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06D1" w:rsidRDefault="001D06D1" w:rsidP="002301EB">
      <w:pPr>
        <w:pStyle w:val="berschrift2"/>
        <w:rPr>
          <w:rFonts w:cs="Times New Roman"/>
          <w:sz w:val="48"/>
          <w:szCs w:val="48"/>
        </w:rPr>
      </w:pPr>
      <w:r>
        <w:t>3.3 Entwicklung der axiomatischen Grundlagen des Funktionalen Raum-Zeit-Kohärenzsystems</w:t>
      </w:r>
    </w:p>
    <w:p w:rsidR="001D06D1" w:rsidRPr="00AF32B2" w:rsidRDefault="001D06D1" w:rsidP="00AF32B2">
      <w:pPr>
        <w:pStyle w:val="berschrift3"/>
      </w:pPr>
      <w:r w:rsidRPr="00AF32B2">
        <w:t>3.3.0 Übergang von den mathematischen Grundlagen zur axiomatischen Entwicklung</w:t>
      </w:r>
    </w:p>
    <w:p w:rsidR="001D06D1" w:rsidRDefault="001D06D1" w:rsidP="001D06D1">
      <w:pPr>
        <w:pStyle w:val="StandardWeb"/>
      </w:pPr>
      <w:r>
        <w:t xml:space="preserve">Mit dem Abschluss von Kapitel 3.2 steht der mathematische Sprachraum zur Verfügung, den ich für die weitere Entwicklung des Funktionalen Raum-Zeit-Kohärenzsystems benötige. Mengen und Relationen ermöglichen die formale Erfassung unterscheidbarer Elemente und ihrer Verknüpfungen. Funktionen und Operatoren beschreiben eindeutige Zuordnungen und Transformationen. Vektor-, Norm- und metrische Räume stellen Strukturen für die Darstellung von Zuständen, Größen und Abständen bereit. Tensoren, Mannigfaltigkeiten, Symmetrien und Differentialgleichungen erweitern diesen Sprachraum um koordinatenunabhängige Beziehungen, geometrische Organisation und mathematische Entwicklungsgesetze. Die strukturelle Bedeutung solcher mathematischer Werkzeuge wird von Saunders Mac Lane in </w:t>
      </w:r>
      <w:r>
        <w:rPr>
          <w:rStyle w:val="Hervorhebung"/>
        </w:rPr>
        <w:t>Mathematics: Form and Function</w:t>
      </w:r>
      <w:r>
        <w:t xml:space="preserve"> (Mac Lane, Saunders: </w:t>
      </w:r>
      <w:r>
        <w:rPr>
          <w:rStyle w:val="Hervorhebung"/>
        </w:rPr>
        <w:t>Mathematics: Form and Function</w:t>
      </w:r>
      <w:r>
        <w:t>. New York: Springer, 1986) [60] herausgearbeitet.</w:t>
      </w:r>
    </w:p>
    <w:p w:rsidR="001D06D1" w:rsidRDefault="001D06D1" w:rsidP="001D06D1">
      <w:pPr>
        <w:pStyle w:val="StandardWeb"/>
      </w:pPr>
      <w:r>
        <w:t xml:space="preserve">Die in Kapitel 3.2 behandelten mathematischen Werkzeuge legen fest, wie formal bestimmte Objekte beschrieben, relationiert und transformiert werden können. Sie bestimmen jedoch nicht aus sich heraus, welche wissenschaftliche Bedeutung diese Objekte besitzen. Michael D. Resnik versteht mathematische Gegenstände als Positionen innerhalb mathematischer Muster und Strukturen (Resnik, Michael D.: </w:t>
      </w:r>
      <w:r>
        <w:rPr>
          <w:rStyle w:val="Hervorhebung"/>
        </w:rPr>
        <w:t>Mathematics as a Science of Patterns</w:t>
      </w:r>
      <w:r>
        <w:t xml:space="preserve">. Oxford: Clarendon Press, 1997) [67]. Stewart Shapiro entwickelt diesen strukturalistischen Ansatz weiter und bestimmt mathematische Objekte wesentlich durch ihre Stellen und Beziehungen innerhalb einer Struktur (Shapiro, Stewart: </w:t>
      </w:r>
      <w:r>
        <w:rPr>
          <w:rStyle w:val="Hervorhebung"/>
        </w:rPr>
        <w:t>Philosophy of Mathematics. Structure and Ontology</w:t>
      </w:r>
      <w:r>
        <w:t>. New York: Oxford University Press, 1997) [68]. Beide Ansätze stützen die Unterscheidung zwischen einer mathematischen Struktur und der wissenschaftlichen Interpretation, die ihr in einem konkreten Modell zugewiesen wird.</w:t>
      </w:r>
    </w:p>
    <w:p w:rsidR="001D06D1" w:rsidRPr="00B16B66" w:rsidRDefault="001D06D1" w:rsidP="00B16B66">
      <w:pPr>
        <w:pStyle w:val="Eigenleistung"/>
      </w:pPr>
      <w:r w:rsidRPr="00B16B66">
        <w:t>Eigenleistung des FRZK</w:t>
      </w:r>
    </w:p>
    <w:p w:rsidR="001D06D1" w:rsidRDefault="001D06D1" w:rsidP="001D06D1">
      <w:pPr>
        <w:pStyle w:val="StandardWeb"/>
      </w:pPr>
      <w:r>
        <w:t>Ich übernehme diese Unterscheidung als verbindlichen Ausgangspunkt für Kapitel 3.3. Die mathematischen Werkzeuge aus Kapitel 3.2 bilden die formale Sprache des FRZK; sie bilden noch nicht das FRZK selbst. Insbesondere folgt aus der mathematischen Existenz einer Menge, eines Vektors, einer Relation oder eines Operators noch nicht, dass das betreffende Objekt innerhalb meines Modells als funktionaler Zustand, funktionale Beziehung oder funktionale Transformation gelten darf. Diese Bedeutungszuweisung muss als eigenständiger Schritt ausgewiesen und begründet werden.</w:t>
      </w:r>
    </w:p>
    <w:p w:rsidR="001D06D1" w:rsidRDefault="001D06D1" w:rsidP="001D06D1">
      <w:pPr>
        <w:pStyle w:val="StandardWeb"/>
      </w:pPr>
      <w:r>
        <w:t xml:space="preserve">Patrick Suppes zeigt, dass wissenschaftliche Modelle als mathematische Strukturen dargestellt werden können, deren empirische oder theoretische Bedeutung nicht allein aus ihrer formalen Gestalt folgt (Suppes, Patrick: „A Comparison of the Meaning and Uses of Models in Mathematics and the Empirical Sciences“. In: </w:t>
      </w:r>
      <w:r>
        <w:rPr>
          <w:rStyle w:val="Hervorhebung"/>
        </w:rPr>
        <w:t>Synthese</w:t>
      </w:r>
      <w:r>
        <w:t>, Band 12, 1960, S. 287–301) [58]. Eine mathematische Struktur kann daher in unterschiedlichen wissenschaftlichen Zusammenhängen verwendet werden, ohne dass ihre formalen Eigenschaften bereits eine einzige Interpretation erzwingen. Für den Übergang zum FRZK bedeutet dies, dass die Auswahl eines mathematischen Zustandsraums allein noch nicht festlegt, was seine Elemente funktional darstellen und unter welchen Bedingungen ihre mathematische Veränderung als Entwicklung des Systems interpretiert werden darf.</w:t>
      </w:r>
    </w:p>
    <w:p w:rsidR="001D06D1" w:rsidRDefault="001D06D1" w:rsidP="001D06D1">
      <w:pPr>
        <w:pStyle w:val="StandardWeb"/>
      </w:pPr>
      <w:r>
        <w:lastRenderedPageBreak/>
        <w:t xml:space="preserve">Alfred Tarski trennt die formale Sprache eines Systems von der Ebene, auf der ihre Ausdrücke interpretiert und ihre Wahrheitsbedingungen bestimmt werden (Tarski, Alfred: „The Concept of Truth in Formalized Languages“. In: </w:t>
      </w:r>
      <w:r>
        <w:rPr>
          <w:rStyle w:val="Hervorhebung"/>
        </w:rPr>
        <w:t>Logic, Semantics, Metamathematics</w:t>
      </w:r>
      <w:r>
        <w:t>. Oxford: Clarendon Press, 1956, S. 152–278) [59]. Für die vorliegende Arbeit folgt daraus, dass mathematische Syntax und FRZK-spezifische Bedeutung nicht unbemerkt miteinander gleichgesetzt werden dürfen. Ein mathematisch korrekt formulierter Ausdruck ist zunächst innerhalb seines Formalismus bestimmt. Welche funktionale Aussage er im FRZK trägt, muss dagegen ausdrücklich festgelegt werden.</w:t>
      </w:r>
    </w:p>
    <w:p w:rsidR="001D06D1" w:rsidRPr="00B16B66" w:rsidRDefault="001D06D1" w:rsidP="00B16B66">
      <w:pPr>
        <w:pStyle w:val="Eigenleistung"/>
      </w:pPr>
      <w:r w:rsidRPr="00B16B66">
        <w:t>Eigenleistung des FRZK</w:t>
      </w:r>
    </w:p>
    <w:p w:rsidR="001D06D1" w:rsidRDefault="001D06D1" w:rsidP="001D06D1">
      <w:pPr>
        <w:pStyle w:val="StandardWeb"/>
      </w:pPr>
      <w:r>
        <w:t>Ich unterscheide deshalb ab Kapitel 3.3 drei Ebenen. Auf der ersten Ebene stehen die in Kapitel 3.2 übernommenen mathematischen Strukturen. Auf der zweiten Ebene lege ich durch Definitionen fest, wie ausgewählte Strukturen innerhalb des FRZK bezeichnet und interpretiert werden. Auf der dritten Ebene formuliere ich diejenigen Grundannahmen, die sich weder aus der übernommenen Mathematik noch aus einer reinen Begriffsbestimmung ableiten lassen. Nur Aussagen dieser dritten Ebene kommen als Primäraxiome des FRZK infrage.</w:t>
      </w:r>
    </w:p>
    <w:p w:rsidR="001D06D1" w:rsidRDefault="001D06D1" w:rsidP="001D06D1">
      <w:pPr>
        <w:pStyle w:val="StandardWeb"/>
      </w:pPr>
      <w:r>
        <w:t xml:space="preserve">Die mathematische Logik stellt Regeln für formale Sprachen, Schlussverfahren und die Untersuchung von Ableitbarkeit bereit. Stephen Cole Kleene behandelt diese Grundlagen in </w:t>
      </w:r>
      <w:r>
        <w:rPr>
          <w:rStyle w:val="Hervorhebung"/>
        </w:rPr>
        <w:t>Mathematical Logic</w:t>
      </w:r>
      <w:r>
        <w:t xml:space="preserve"> (Kleene, Stephen Cole: </w:t>
      </w:r>
      <w:r>
        <w:rPr>
          <w:rStyle w:val="Hervorhebung"/>
        </w:rPr>
        <w:t>Mathematical Logic</w:t>
      </w:r>
      <w:r>
        <w:t>. New York: John Wiley &amp; Sons, 1967) [79]. Ein formales Ableitungssystem kann jedoch nur mit den Voraussetzungen arbeiten, die in seiner Sprache und seinen Ausgangsaussagen bereits festgelegt wurden. Es entscheidet nicht selbst, welche Grundannahmen für ein neu entwickeltes wissenschaftliches Modell gewählt werden müssen. Diese Auswahl bleibt Bestandteil der Theorieentwicklung und muss unabhängig vom späteren Ableitungsverfahren begründet werden.</w:t>
      </w:r>
    </w:p>
    <w:p w:rsidR="001D06D1" w:rsidRDefault="001D06D1" w:rsidP="001D06D1">
      <w:pPr>
        <w:pStyle w:val="StandardWeb"/>
      </w:pPr>
      <w:r>
        <w:t>Die strukturorientierte Betrachtung der Mathematik zeigt zugleich, dass ein mathematisches Objekt nicht isoliert durch seine Bezeichnung bestimmt wird. Seine Eigenschaften ergeben sich aus den Operationen und Relationen, die innerhalb der jeweiligen Struktur definiert sind [60, 67, 68]. Diese Einsicht ist für das FRZK besonders wichtig, weil funktionale Zustände nicht als vorausgesetzte Dinge mit unabhängig bestehenden Eigenschaften eingeführt werden sollen. Ihre Bestimmbarkeit muss vielmehr aus den Beziehungen, Operationen und Erhaltungsbedingungen hervorgehen, die innerhalb des Systems ausdrücklich festgelegt werden.</w:t>
      </w:r>
    </w:p>
    <w:p w:rsidR="001D06D1" w:rsidRPr="00B16B66" w:rsidRDefault="001D06D1" w:rsidP="00B16B66">
      <w:pPr>
        <w:pStyle w:val="Eigenleistung"/>
      </w:pPr>
      <w:r w:rsidRPr="00B16B66">
        <w:t>Eigenleistung des FRZK</w:t>
      </w:r>
    </w:p>
    <w:p w:rsidR="001D06D1" w:rsidRDefault="001D06D1" w:rsidP="001D06D1">
      <w:pPr>
        <w:pStyle w:val="StandardWeb"/>
      </w:pPr>
      <w:r>
        <w:t>Ich leite daraus jedoch noch kein Axiom ab. Die Aussage, dass ein funktionaler Zustand relational und operatorisch bestimmt werden soll, bezeichnet zunächst ein Entwicklungsziel. Bevor daraus eine Grundannahme formuliert werden darf, muss untersucht werden, welche Bestandteile dieses Ziels bereits durch die Mathematik aus Kapitel 3.2 erfasst werden, welche Bestandteile durch Definitionen präzisiert werden können und welche Voraussetzungen tatsächlich nicht ableitbar sind. Eine unmittelbare Formulierung von Primäraxiomen wäre an dieser Stelle verfrüht, weil ihre Minimalität und Notwendigkeit noch nicht nachgewiesen wurden.</w:t>
      </w:r>
    </w:p>
    <w:p w:rsidR="001D06D1" w:rsidRDefault="001D06D1" w:rsidP="001D06D1">
      <w:pPr>
        <w:pStyle w:val="StandardWeb"/>
      </w:pPr>
      <w:r>
        <w:t xml:space="preserve">Der Übergang von Kapitel 3.2 zu Kapitel 3.3 ist damit kein Wechsel von Mathematik zu einer davon unabhängigen theoretischen Sprache. Die mathematischen Begriffe und Regeln bleiben unverändert erhalten. Neu ist ihre kontrollierte Organisation innerhalb eines funktionalen </w:t>
      </w:r>
      <w:r>
        <w:lastRenderedPageBreak/>
        <w:t>Beschreibungsmodells. Suppes’ modelltheoretische Trennung zwischen mathematischer Struktur und wissenschaftlicher Verwendung [58], Tarskis Unterscheidung formaler und semantischer Ebenen [59] sowie die strukturalistischen Positionen von Mac Lane, Resnik und Shapiro [60, 67, 68] bilden hierfür den wissenschaftlichen Bezugsrahmen.</w:t>
      </w:r>
    </w:p>
    <w:p w:rsidR="001D06D1" w:rsidRPr="00B16B66" w:rsidRDefault="001D06D1" w:rsidP="00B16B66">
      <w:pPr>
        <w:pStyle w:val="Eigenleistung"/>
      </w:pPr>
      <w:r w:rsidRPr="00B16B66">
        <w:t>Eigenleistung des FRZK</w:t>
      </w:r>
    </w:p>
    <w:p w:rsidR="001D06D1" w:rsidRDefault="001D06D1" w:rsidP="001D06D1">
      <w:pPr>
        <w:pStyle w:val="StandardWeb"/>
      </w:pPr>
      <w:r>
        <w:t>Meine wissenschaftliche Eigenleistung beginnt somit nicht mit der Einführung neuer Mathematik. Sie besteht zunächst darin, die Grenze zwischen dem vorhandenen mathematischen Sprachraum und den noch unbegründeten funktionalen Voraussetzungen des FRZK vollständig offenzulegen. Erst auf dieser Grundlage kann ich entscheiden, welche neuen Begriffe erforderlich sind, welche Aussagen als Definitionen formuliert werden können und für welche nicht ableitbaren Voraussetzungen Primäraxiome benötigt werden.</w:t>
      </w:r>
    </w:p>
    <w:p w:rsidR="001D06D1" w:rsidRDefault="001D06D1" w:rsidP="001D06D1">
      <w:pPr>
        <w:pStyle w:val="StandardWeb"/>
      </w:pPr>
      <w:r>
        <w:t>Aus diesem Grund folgt auf den vorliegenden Übergang eine systematische Gap-Analyse. In ihr untersuche ich die mathematischen Werkzeuge aus Kapitel 3.2 nicht erneut hinsichtlich ihrer allgemeinen mathematischen Bedeutung, sondern hinsichtlich ihrer Reichweite für das FRZK. Für jedes Werkzeug ist zu klären, welche funktionalen Aussagen es bereits ermöglicht, welche Aussagen eine zusätzliche Interpretation verlangen und an welcher Stelle eine nicht aus der Mathematik ableitbare Grundannahme unvermeidbar wird.</w:t>
      </w:r>
    </w:p>
    <w:p w:rsidR="00E31D2E" w:rsidRDefault="00E31D2E" w:rsidP="00E31D2E">
      <w:pPr>
        <w:pStyle w:val="berschrift2"/>
        <w:rPr>
          <w:rFonts w:cs="Times New Roman"/>
        </w:rPr>
      </w:pPr>
      <w:r>
        <w:t>Ergänzung zu 3.3.0 – Übergang von den mathematischen Grundlagen zur axiomatischen Entwicklung</w:t>
      </w:r>
    </w:p>
    <w:p w:rsidR="00E31D2E" w:rsidRDefault="00E31D2E" w:rsidP="00E31D2E">
      <w:pPr>
        <w:pStyle w:val="berschrift3"/>
      </w:pPr>
      <w:r>
        <w:t>Methodologische Betrachtungen</w:t>
      </w:r>
    </w:p>
    <w:p w:rsidR="00E31D2E" w:rsidRDefault="00E31D2E" w:rsidP="00E31D2E">
      <w:pPr>
        <w:pStyle w:val="StandardWeb"/>
      </w:pPr>
      <w:r>
        <w:t>Mit diesem Abschnitt verändert sich die wissenschaftliche Funktion der verwendeten Mathematik. In Kapitel 3.2 habe ich einen mathematischen Sprachraum aufgebaut, in dem Mengen, Relationen, Abbildungen, Vektoren, Operatoren, Normen, dynamische Strukturen und weitere Werkzeuge formal zur Verfügung stehen. Daraus folgt jedoch noch nicht, welche dieser Strukturen innerhalb des FRZK überhaupt vorkommen sollen und welche Bedeutung sie dort besitzen. Mathematische Verfügbarkeit und theoretische Setzung sind deshalb strikt voneinander zu unterscheiden [58, 59, 60].</w:t>
      </w:r>
    </w:p>
    <w:p w:rsidR="00E31D2E" w:rsidRDefault="00E31D2E" w:rsidP="00E31D2E">
      <w:pPr>
        <w:pStyle w:val="StandardWeb"/>
      </w:pPr>
      <w:r>
        <w:t>Diese Trennung ist für den weiteren Aufbau entscheidend. Aus der mathematischen Definition einer Relation folgt beispielsweise nicht, dass im FRZK funktionale Relationen existieren müssen. Aus der Definition einer Abbildung folgt nicht, dass funktionale Zustände transformierbar sein müssen. Ebenso folgt aus der mathematischen Verfügbarkeit von Vektorräumen, Metriken oder Ordnungen weder die Existenz eines physikalischen Raumes noch die Existenz einer physikalischen Zeit. Kapitel 3.2 stellt Ausdrucksmöglichkeiten bereit; Kapitel 3.3 bestimmt erstmals, welche Voraussetzungen ich für das FRZK tatsächlich setze [58, 59, 67, 68].</w:t>
      </w:r>
    </w:p>
    <w:p w:rsidR="00E31D2E" w:rsidRDefault="00E31D2E" w:rsidP="00E31D2E">
      <w:pPr>
        <w:pStyle w:val="StandardWeb"/>
      </w:pPr>
      <w:r>
        <w:t>Damit entsteht eine methodische Grenze, die ich bewusst nicht überspringe. Würde ich die mathematischen Strukturen aus Kapitel 3.2 unmittelbar als Eigenschaften des FRZK übernehmen, würden theoretische Voraussetzungen unbemerkt in mathematischen Definitionen versteckt. Die spätere Axiomatik wäre dann nur scheinbar eine Herleitung, weil wesentliche Annahmen bereits vorher eingeführt worden wären.</w:t>
      </w:r>
    </w:p>
    <w:p w:rsidR="00E31D2E" w:rsidRDefault="00E31D2E" w:rsidP="00E31D2E">
      <w:pPr>
        <w:pStyle w:val="StandardWeb"/>
      </w:pPr>
      <w:r>
        <w:lastRenderedPageBreak/>
        <w:t>Ich behandle deshalb jede FRZK-spezifische Aussage zunächst als begründungsbedürftig. Für jede solche Aussage muss geprüft werden, ob sie bereits mathematisch folgt, durch eine Definition eingeführt werden kann, lediglich eine methodologische Regel darstellt oder tatsächlich als nicht ableitbare Voraussetzung benötigt wird. Erst im letzten Fall kommt ein Primäraxiom in Betracht [79].</w:t>
      </w:r>
    </w:p>
    <w:p w:rsidR="00E31D2E" w:rsidRDefault="00E31D2E" w:rsidP="00E31D2E">
      <w:pPr>
        <w:pStyle w:val="StandardWeb"/>
      </w:pPr>
      <w:r>
        <w:t>Diese Vorgehensweise begrenzt zugleich die Reichweite meiner Eigenleistung. Ich entwickle keine neue Mengenlehre, keine neue lineare Algebra und keine neue Operatorentheorie. Die etablierte Mathematik bleibt unverändert. Meine Eigenleistung beginnt dort, wo ich festlege, welche funktionalen Voraussetzungen für den Aufbau des FRZK erforderlich sind und wie diese Voraussetzungen miteinander verbunden werden.</w:t>
      </w:r>
    </w:p>
    <w:p w:rsidR="00E31D2E" w:rsidRDefault="00E31D2E" w:rsidP="00E31D2E">
      <w:pPr>
        <w:pStyle w:val="StandardWeb"/>
      </w:pPr>
      <w:r>
        <w:t xml:space="preserve">Methodologisch ist Abschnitt 3.3.0 daher keine bloße Überleitung. Er markiert den Übergang von der </w:t>
      </w:r>
      <w:r>
        <w:rPr>
          <w:rStyle w:val="Fett"/>
        </w:rPr>
        <w:t>Bereitstellung einer Sprache</w:t>
      </w:r>
      <w:r>
        <w:t xml:space="preserve"> zur </w:t>
      </w:r>
      <w:r>
        <w:rPr>
          <w:rStyle w:val="Fett"/>
        </w:rPr>
        <w:t>Konstruktion einer Theorie</w:t>
      </w:r>
      <w:r>
        <w:t>. Genau an dieser Stelle muss sichtbar werden, welche Aussagen übernommen, welche definiert, welche methodisch festgelegt und welche axiomatisch gesetzt werden.</w:t>
      </w:r>
    </w:p>
    <w:p w:rsidR="00E31D2E" w:rsidRDefault="00E31D2E" w:rsidP="00E31D2E">
      <w:pPr>
        <w:pStyle w:val="berschrift3"/>
      </w:pPr>
      <w:r>
        <w:t>Didaktische Betrachtungen</w:t>
      </w:r>
    </w:p>
    <w:p w:rsidR="00E31D2E" w:rsidRDefault="00E31D2E" w:rsidP="00E31D2E">
      <w:pPr>
        <w:pStyle w:val="StandardWeb"/>
      </w:pPr>
      <w:r>
        <w:t>Der Unterschied zwischen mathematischem Werkzeug und theoretischer Voraussetzung lässt sich zunächst an einem einfachen Werkzeugkasten verdeutlichen. In einem Werkzeugkasten können Hammer, Schraubendreher, Zange und Messgerät vorhanden sein. Daraus folgt noch nicht, welches Gerät gebaut werden soll oder welches Werkzeug dafür tatsächlich benötigt wird.</w:t>
      </w:r>
    </w:p>
    <w:p w:rsidR="00E31D2E" w:rsidRDefault="00E31D2E" w:rsidP="00E31D2E">
      <w:pPr>
        <w:pStyle w:val="StandardWeb"/>
      </w:pPr>
      <w:r>
        <w:t>Kapitel 3.2 entspricht in diesem Bild dem Werkzeugkasten. Ich habe dort die mathematischen Werkzeuge vorbereitet und ihre Funktionsweise beschrieben. Kapitel 3.3 beginnt dagegen mit der Frage, welches theoretische Gebilde mit diesen Werkzeugen konstruiert werden soll und welche Voraussetzungen dafür unverzichtbar sind.</w:t>
      </w:r>
    </w:p>
    <w:p w:rsidR="00E31D2E" w:rsidRDefault="00E31D2E" w:rsidP="00E31D2E">
      <w:pPr>
        <w:pStyle w:val="StandardWeb"/>
      </w:pPr>
      <w:r>
        <w:t>Ein mathematisches Beispiel macht den Unterschied noch deutlicher. Die Mathematik erlaubt mir, eine Menge</w:t>
      </w:r>
      <w:r w:rsidR="00F023ED">
        <w:t xml:space="preserve"> </w:t>
      </w:r>
      <m:oMath>
        <m:r>
          <w:rPr>
            <w:rFonts w:ascii="Cambria Math" w:hAnsi="Cambria Math"/>
          </w:rPr>
          <m:t>M=a,b,c</m:t>
        </m:r>
      </m:oMath>
      <w:r w:rsidR="00F023ED">
        <w:t xml:space="preserve"> </w:t>
      </w:r>
      <w:r>
        <w:t xml:space="preserve">zu definieren und Relationen zwischen ihren Elementen zu untersuchen. Daraus folgt aber nicht, dass </w:t>
      </w:r>
      <m:oMath>
        <m:r>
          <w:rPr>
            <w:rFonts w:ascii="Cambria Math" w:hAnsi="Cambria Math"/>
          </w:rPr>
          <m:t>a</m:t>
        </m:r>
      </m:oMath>
      <w:r>
        <w:t xml:space="preserve">, </w:t>
      </w:r>
      <m:oMath>
        <m:r>
          <w:rPr>
            <w:rFonts w:ascii="Cambria Math" w:hAnsi="Cambria Math"/>
          </w:rPr>
          <m:t>b</m:t>
        </m:r>
      </m:oMath>
      <w:r>
        <w:t xml:space="preserve"> und </w:t>
      </w:r>
      <m:oMath>
        <m:r>
          <w:rPr>
            <w:rFonts w:ascii="Cambria Math" w:hAnsi="Cambria Math"/>
          </w:rPr>
          <m:t>c</m:t>
        </m:r>
      </m:oMath>
      <w:r>
        <w:t xml:space="preserve"> reale Zustände darstellen, miteinander wechselwirken oder sich zeitlich verändern. Diese Bedeutungen entstehen erst durch zusätzliche theoretische Festlegungen.</w:t>
      </w:r>
    </w:p>
    <w:p w:rsidR="00E31D2E" w:rsidRDefault="00E31D2E" w:rsidP="00E31D2E">
      <w:pPr>
        <w:pStyle w:val="StandardWeb"/>
      </w:pPr>
      <w:r>
        <w:t>Didaktisch ist deshalb eine vierstufige Frage hilfreich:</w:t>
      </w:r>
    </w:p>
    <w:p w:rsidR="00E31D2E" w:rsidRDefault="00E31D2E" w:rsidP="00E31D2E">
      <w:pPr>
        <w:pStyle w:val="StandardWeb"/>
      </w:pPr>
      <w:r>
        <w:rPr>
          <w:rStyle w:val="Fett"/>
        </w:rPr>
        <w:t>Was erlaubt mir die Mathematik zu schreiben? – Was definiere ich? – Was nehme ich methodisch an? – Was muss ich axiomatisch setzen?</w:t>
      </w:r>
    </w:p>
    <w:p w:rsidR="00E31D2E" w:rsidRDefault="00E31D2E" w:rsidP="00E31D2E">
      <w:pPr>
        <w:pStyle w:val="StandardWeb"/>
      </w:pPr>
      <w:r>
        <w:t>Diese Fragen begleiten den gesamten folgenden Aufbau.</w:t>
      </w:r>
    </w:p>
    <w:p w:rsidR="00E31D2E" w:rsidRDefault="00E31D2E" w:rsidP="00E31D2E">
      <w:pPr>
        <w:pStyle w:val="StandardWeb"/>
      </w:pPr>
      <w:r>
        <w:t>Besonders wichtig ist dabei die Reihenfolge. Ich beginne nicht mit Raum, Zeit, Energie, Teilchen oder anderen bekannten physikalischen Begriffen. Würde ich dies tun, würde ich gerade jene Strukturen voraussetzen, deren funktionale Entstehung später untersucht werden soll. Der Ausgangspunkt muss daher begrifflich früher liegen.</w:t>
      </w:r>
    </w:p>
    <w:p w:rsidR="00E31D2E" w:rsidRDefault="00E31D2E" w:rsidP="00E31D2E">
      <w:pPr>
        <w:pStyle w:val="StandardWeb"/>
      </w:pPr>
      <w:r>
        <w:t xml:space="preserve">Der Leser soll am Ende dieses Abschnitts nicht bereits wissen, wie das FRZK aufgebaut ist. Er soll vielmehr verstehen, </w:t>
      </w:r>
      <w:r>
        <w:rPr>
          <w:rStyle w:val="Fett"/>
        </w:rPr>
        <w:t>warum der Aufbau noch nicht aus Kapitel 3.2 folgt</w:t>
      </w:r>
      <w:r>
        <w:t>. Genau diese offene Stelle ist der Ausgangspunkt der folgenden Gap-Analyse.</w:t>
      </w:r>
    </w:p>
    <w:p w:rsidR="00E31D2E" w:rsidRDefault="00E50336" w:rsidP="00E31D2E">
      <w:r>
        <w:lastRenderedPageBreak/>
        <w:pict>
          <v:rect id="_x0000_i1025" style="width:0;height:1.5pt" o:hralign="center" o:hrstd="t" o:hr="t" fillcolor="#a0a0a0" stroked="f"/>
        </w:pict>
      </w:r>
    </w:p>
    <w:p w:rsidR="00A8325A" w:rsidRPr="00AF32B2" w:rsidRDefault="00A8325A" w:rsidP="00AF32B2">
      <w:pPr>
        <w:pStyle w:val="berschrift3"/>
      </w:pPr>
      <w:r w:rsidRPr="00AF32B2">
        <w:t>3.3.1 Wissenschaftliche Gap-Analyse zwischen mathematischem Sprachraum und FRZK-Axiomatik</w:t>
      </w:r>
    </w:p>
    <w:p w:rsidR="00A8325A" w:rsidRDefault="00A8325A" w:rsidP="00A8325A">
      <w:pPr>
        <w:pStyle w:val="StandardWeb"/>
      </w:pPr>
      <w:r>
        <w:t>Mit Kapitel 3.2 wurde ein umfangreicher mathematischer Sprachraum bereitgestellt. Mengen, Relationen, algebraische Strukturen, Vektorräume, normierte Räume, Operatoren, Kategorien und logische Ableitungssysteme ermöglichen es, mathematische Objekte, ihre Eigenschaften und ihre Beziehungen präzise zu beschreiben. Diese Werkzeuge stellen jedoch zunächst formale Strukturen bereit; sie bestimmen nicht aus sich heraus, welche dieser Strukturen innerhalb eines konkreten wissenschaftlichen Modells als grundlegend gelten sollen [6, 60, 71, 75, 76, 78, 79].</w:t>
      </w:r>
    </w:p>
    <w:p w:rsidR="00A8325A" w:rsidRDefault="00A8325A" w:rsidP="00A8325A">
      <w:pPr>
        <w:pStyle w:val="StandardWeb"/>
      </w:pPr>
      <w:r>
        <w:t>Die Mengenlehre erlaubt es, unterscheidbare Elemente zu einem formal bestimmten Bereich zusammenzufassen. Sie legt fest, wann ein Objekt zu einer Menge gehört und welche Beziehungen zwischen Mengen formuliert werden können [6]. Daraus folgt jedoch noch nicht, welche Elemente innerhalb des FRZK als funktionale Zustände interpretiert werden dürfen. Die Mengenlehre liefert den formalen Objektbereich, nicht aber dessen FRZK-spezifische Bedeutung.</w:t>
      </w:r>
    </w:p>
    <w:p w:rsidR="00A8325A" w:rsidRPr="00B16B66" w:rsidRDefault="00A8325A" w:rsidP="00B16B66">
      <w:pPr>
        <w:pStyle w:val="Eigenleistung"/>
      </w:pPr>
      <w:r w:rsidRPr="00B16B66">
        <w:t>Eigenleistung des FRZK</w:t>
      </w:r>
    </w:p>
    <w:p w:rsidR="00A8325A" w:rsidRDefault="00A8325A" w:rsidP="00A8325A">
      <w:pPr>
        <w:pStyle w:val="StandardWeb"/>
      </w:pPr>
      <w:r>
        <w:t>Ich identifiziere deshalb zwischen der mathematischen Existenz eines Elements und seiner funktionalen Bedeutung eine erste wissenschaftliche Lücke. Die Bezeichnung eines Elements als funktionaler Zustand darf nicht allein aus seiner Mengenzugehörigkeit folgen. Sie erfordert eine zusätzliche Festlegung darüber, welche Mindestbedingungen ein mathematisches Objekt erfüllen muss, um innerhalb des FRZK als funktional bestimmbar zu gelten.</w:t>
      </w:r>
    </w:p>
    <w:p w:rsidR="00A8325A" w:rsidRDefault="00A8325A" w:rsidP="00A8325A">
      <w:pPr>
        <w:pStyle w:val="StandardWeb"/>
      </w:pPr>
      <w:r>
        <w:t>Algebraische Strukturen definieren Verknüpfungen, neutrale Elemente, inverse Elemente sowie Erhaltungsbedingungen und ermöglichen dadurch die systematische Untersuchung strukturerhaltender Abbildungen [71]. Auch diese mathematischen Eigenschaften begründen jedoch nicht, weshalb eine bestimmte algebraische Struktur für das FRZK ausgewählt werden soll. Die Mathematik beschreibt, welche Konsequenzen aus einer gewählten Struktur folgen; sie entscheidet nicht selbst, welche Struktur den Gegenstandsbereich einer neuen Theorie angemessen erfasst.</w:t>
      </w:r>
    </w:p>
    <w:p w:rsidR="00A8325A" w:rsidRDefault="00A8325A" w:rsidP="00A8325A">
      <w:pPr>
        <w:pStyle w:val="StandardWeb"/>
      </w:pPr>
      <w:r>
        <w:t>Normierte Räume und metrische Strukturen ermöglichen es, Größen, Abstände und Konvergenz mathematisch zu bestimmen [75]. Innerhalb des FRZK können diese Werkzeuge später zur Beschreibung von Zustandsgrößen, Unterschieden oder Annäherungsprozessen verwendet werden. Eine Norm oder Metrik legt jedoch noch nicht fest, was funktionale Nähe, funktionale Stabilität oder Kohärenz bedeutet. Diese Begriffe können nicht ohne zusätzliche Begründung mit mathematischer Norm oder metrischem Abstand gleichgesetzt werden.</w:t>
      </w:r>
    </w:p>
    <w:p w:rsidR="00A8325A" w:rsidRPr="00B16B66" w:rsidRDefault="00A8325A" w:rsidP="00B16B66">
      <w:pPr>
        <w:pStyle w:val="Eigenleistung"/>
      </w:pPr>
      <w:r w:rsidRPr="00B16B66">
        <w:t>Eigenleistung des FRZK</w:t>
      </w:r>
    </w:p>
    <w:p w:rsidR="00A8325A" w:rsidRDefault="00A8325A" w:rsidP="00A8325A">
      <w:pPr>
        <w:pStyle w:val="StandardWeb"/>
      </w:pPr>
      <w:r>
        <w:t>Ich unterscheide daher zwischen mathematischem Abstand und funktionaler Distanz. Eine Metrik kann ein quantitatives Maß bereitstellen. Ob dieses Maß innerhalb des FRZK eine funktional bedeutsame Differenz erfasst, muss dagegen durch eine eigene Definition oder eine daraus hervorgehende Modellentscheidung festgelegt werden. Die mathematische Metrik bleibt dabei unverändert; neu ist ausschließlich ihre kontrollierte funktionale Interpretation.</w:t>
      </w:r>
    </w:p>
    <w:p w:rsidR="00A8325A" w:rsidRDefault="00A8325A" w:rsidP="00A8325A">
      <w:pPr>
        <w:pStyle w:val="StandardWeb"/>
      </w:pPr>
      <w:r>
        <w:lastRenderedPageBreak/>
        <w:t>Die Operatorentheorie beschreibt Abbildungen auf Zustandsräumen, ihre Verkettung, Invertierbarkeit, Beschränktheit und spektralen Eigenschaften [75, 76]. Damit kann mathematisch präzise dargestellt werden, wie ein Zustand in einen anderen überführt wird. Offen bleibt jedoch, unter welchen Bedingungen eine solche Abbildung innerhalb des FRZK als zulässige funktionale Transformation gelten darf. Die bloße Existenz eines mathematischen Operators begründet weder seine funktionale Wirksamkeit noch seine Bedeutung für die Entwicklung eines Systems.</w:t>
      </w:r>
    </w:p>
    <w:p w:rsidR="00A8325A" w:rsidRPr="00B16B66" w:rsidRDefault="00A8325A" w:rsidP="00B16B66">
      <w:pPr>
        <w:pStyle w:val="Eigenleistung"/>
      </w:pPr>
      <w:r w:rsidRPr="00B16B66">
        <w:t>Eigenleistung des FRZK</w:t>
      </w:r>
    </w:p>
    <w:p w:rsidR="00A8325A" w:rsidRDefault="00A8325A" w:rsidP="00A8325A">
      <w:pPr>
        <w:pStyle w:val="StandardWeb"/>
      </w:pPr>
      <w:r>
        <w:t>Ich identifiziere hierin eine zweite grundlegende Lücke. Das FRZK benötigt nicht nur mathematisch definierte Operatoren, sondern ein Kriterium ihrer funktionalen Zulässigkeit. Eine solche Zulässigkeit kann nicht durch die bloße Umbenennung eines Operators entstehen. Sie betrifft eine grundlegende Eigenschaft der Theorie und muss deshalb später daraufhin geprüft werden, ob eine Definition genügt oder ein Primäraxiom erforderlich ist.</w:t>
      </w:r>
    </w:p>
    <w:p w:rsidR="00A8325A" w:rsidRDefault="00A8325A" w:rsidP="00A8325A">
      <w:pPr>
        <w:pStyle w:val="StandardWeb"/>
      </w:pPr>
      <w:r>
        <w:t>Kategorien und Morphismen erlauben es, mathematische Strukturen über ihre Objekte, Abbildungen und Kompositionsregeln hinweg zu vergleichen [78]. Sie bieten damit eine besonders allgemeine Sprache für Beziehungen zwischen Strukturen. Auch diese Allgemeinheit erzeugt jedoch keine konkrete funktionale Bedeutung. Ein Morphismus beschreibt, dass eine strukturerhaltende Abbildung vorliegt; er entscheidet nicht, ob diese Abbildung innerhalb des FRZK eine Wirkung, eine Entwicklung, eine Beobachtung oder lediglich eine formale Zuordnung repräsentiert.</w:t>
      </w:r>
    </w:p>
    <w:p w:rsidR="00A8325A" w:rsidRDefault="00A8325A" w:rsidP="00A8325A">
      <w:pPr>
        <w:pStyle w:val="StandardWeb"/>
      </w:pPr>
      <w:r>
        <w:t>Strukturalistische Positionen bestimmen mathematische Gegenstände durch ihre Stellen innerhalb von Mustern und Strukturen [67, 68]. Diese Auffassung ist für das FRZK anschlussfähig, weil sie mathematische Identität nicht an isolierte Objekte bindet. Sie beantwortet jedoch nicht die Frage, wodurch aus einer mathematischen Struktur ein funktional wirksames System entsteht. Die strukturelle Bestimmung eines Objekts und seine funktionale Wirksamkeit sind daher voneinander zu unterscheiden.</w:t>
      </w:r>
    </w:p>
    <w:p w:rsidR="00A8325A" w:rsidRPr="00B16B66" w:rsidRDefault="00A8325A" w:rsidP="00B16B66">
      <w:pPr>
        <w:pStyle w:val="Eigenleistung"/>
      </w:pPr>
      <w:r w:rsidRPr="00B16B66">
        <w:t>Eigenleistung des FRZK</w:t>
      </w:r>
    </w:p>
    <w:p w:rsidR="00A8325A" w:rsidRDefault="00A8325A" w:rsidP="00A8325A">
      <w:pPr>
        <w:pStyle w:val="StandardWeb"/>
      </w:pPr>
      <w:r>
        <w:t>Ich übernehme aus dem mathematischen Strukturalismus nicht die Aussage, dass eine mathematische Position bereits ein funktionaler Zustand sei. Ich verwende ihn vielmehr als Begründung dafür, Zustände nicht isoliert, sondern durch ihre Beziehungen und Transformationsmöglichkeiten zu bestimmen. Die zusätzliche Forderung funktionaler Wirksamkeit stellt eine FRZK-spezifische Erweiterung der Interpretation dar und muss in Kapitel 3.3 ausdrücklich begründet werden.</w:t>
      </w:r>
    </w:p>
    <w:p w:rsidR="00A8325A" w:rsidRDefault="00A8325A" w:rsidP="00A8325A">
      <w:pPr>
        <w:pStyle w:val="StandardWeb"/>
      </w:pPr>
      <w:r>
        <w:t>Suppes zeigt, dass dieselbe mathematische Struktur in unterschiedlichen wissenschaftlichen Modellen verschiedene Bedeutungen erhalten kann [58]. Daraus folgt, dass die mathematische Gestalt eines Modells seine wissenschaftliche Interpretation nicht eindeutig festlegt. Für das FRZK bedeutet dies, dass der in Kapitel 3.2 entwickelte mathematische Apparat zwar mehrere mögliche Modellierungen zulässt, aber noch keine eindeutige funktionale Theorie erzeugt.</w:t>
      </w:r>
    </w:p>
    <w:p w:rsidR="00A8325A" w:rsidRDefault="00A8325A" w:rsidP="00A8325A">
      <w:pPr>
        <w:pStyle w:val="StandardWeb"/>
      </w:pPr>
      <w:r>
        <w:t xml:space="preserve">Tarski trennt formale Sprache und semantische Interpretation voneinander [59]. Diese Trennung verhindert, dass die formale Gültigkeit eines mathematischen Ausdrucks unmittelbar als Aussage über den Gegenstandsbereich einer Theorie verstanden wird. Für die Entwicklung des FRZK muss deshalb jederzeit ausgewiesen werden, ob eine Aussage eine </w:t>
      </w:r>
      <w:r>
        <w:lastRenderedPageBreak/>
        <w:t>mathematische Folgerung, eine Definition, eine axiomatische Setzung oder eine spätere Interpretation darstellt.</w:t>
      </w:r>
    </w:p>
    <w:p w:rsidR="00A8325A" w:rsidRDefault="00A8325A" w:rsidP="00A8325A">
      <w:pPr>
        <w:pStyle w:val="StandardWeb"/>
      </w:pPr>
      <w:r>
        <w:t>Die mathematische Logik untersucht die Ableitbarkeit von Aussagen aus festgelegten Voraussetzungen [79]. Sie kann prüfen, welche Konsequenzen aus Axiomen, Definitionen und Schlussregeln folgen. Sie kann jedoch nicht aus eigener Kraft bestimmen, welche Ausgangsannahmen für das FRZK wissenschaftlich notwendig sind. Die Wahl und Begründung dieser Ausgangsannahmen bleibt daher eine eigenständige Aufgabe der Theorieentwicklung.</w:t>
      </w:r>
    </w:p>
    <w:p w:rsidR="00A8325A" w:rsidRPr="00B16B66" w:rsidRDefault="00A8325A" w:rsidP="00B16B66">
      <w:pPr>
        <w:pStyle w:val="Eigenleistung"/>
      </w:pPr>
      <w:r w:rsidRPr="00B16B66">
        <w:t>Eigenleistung des FRZK</w:t>
      </w:r>
    </w:p>
    <w:p w:rsidR="00A8325A" w:rsidRDefault="00A8325A" w:rsidP="00A8325A">
      <w:pPr>
        <w:pStyle w:val="StandardWeb"/>
      </w:pPr>
      <w:r>
        <w:t>Ich leite daraus die zentrale Funktion der Gap-Analyse ab. Sie soll nicht zeigen, dass die Mathematik aus Kapitel 3.2 unvollständig wäre. Vielmehr soll sie bestimmen, an welcher Stelle die mathematische Beschreibung endet und eine FRZK-spezifische theoretische Festlegung beginnt. Die wissenschaftliche Lücke liegt folglich nicht in einem Mangel der Mathematik, sondern in der noch fehlenden funktionalen Interpretation und axiomatischen Organisation ihrer Werkzeuge.</w:t>
      </w:r>
    </w:p>
    <w:p w:rsidR="00A8325A" w:rsidRDefault="00A8325A" w:rsidP="00A8325A">
      <w:pPr>
        <w:pStyle w:val="StandardWeb"/>
      </w:pPr>
      <w:r>
        <w:t>Die bisherige Analyse lässt vier vorläufige Lückenklassen erkennen. Erstens fehlt eine begründete Bestimmung dessen, was innerhalb des FRZK als funktionaler Zustand gelten soll. Zweitens fehlt ein Kriterium für die funktionale Bedeutung mathematischer Relationen. Drittens fehlt eine Begründung dafür, wann mathematische Operatoren als zulässige funktionale Transformationen interpretiert werden dürfen. Viertens fehlt eine von Norm und Metrik unterschiedene Bestimmung funktionaler Kohärenz [58–60, 67, 68, 75, 76].</w:t>
      </w:r>
    </w:p>
    <w:p w:rsidR="00A8325A" w:rsidRPr="00B16B66" w:rsidRDefault="00A8325A" w:rsidP="00B16B66">
      <w:pPr>
        <w:pStyle w:val="Eigenleistung"/>
      </w:pPr>
      <w:r w:rsidRPr="00B16B66">
        <w:t>Eigenleistung des FRZK</w:t>
      </w:r>
    </w:p>
    <w:p w:rsidR="00A8325A" w:rsidRDefault="00A8325A" w:rsidP="00A8325A">
      <w:pPr>
        <w:pStyle w:val="StandardWeb"/>
      </w:pPr>
      <w:r>
        <w:t>Diese vier Lückenklassen sind noch keine Primäraxiome. Sie bilden zunächst Prüfbereiche. Für jeden dieser Bereiche muss im weiteren Verlauf untersucht werden, ob eine Definition ausreicht oder ob eine nicht ableitbare Grundannahme erforderlich ist. Erst wenn eine Lücke nicht durch vorhandene Mathematik, bereits eingeführte Begriffe oder eine reine Definition geschlossen werden kann, darf daraus ein Primäraxiom entstehen.</w:t>
      </w:r>
    </w:p>
    <w:p w:rsidR="00A8325A" w:rsidRDefault="00A8325A" w:rsidP="00A8325A">
      <w:pPr>
        <w:pStyle w:val="StandardWeb"/>
      </w:pPr>
      <w:r>
        <w:t>Damit liefert Kapitel 3.2 keinen fertigen Axiomenkatalog, wohl aber die Grundlage für dessen methodische Herleitung. Die mathematischen Werkzeuge zeigen, welche formalen Konstruktionen möglich sind. Die Gap-Analyse zeigt dagegen, welche funktionalen Voraussetzungen noch fehlen. Aus dieser Unterscheidung entwickelt sich im nächsten Abschnitt der Kriterienkatalog, mit dem Definitionen, methodische Festlegungen und Primäraxiome voneinander abgegrenzt werden.</w:t>
      </w:r>
    </w:p>
    <w:p w:rsidR="00E31D2E" w:rsidRDefault="00E31D2E" w:rsidP="00E31D2E">
      <w:pPr>
        <w:pStyle w:val="berschrift2"/>
      </w:pPr>
      <w:r>
        <w:t>Ergänzung zu 3.3.1 – Wissenschaftliche Gap-Analyse zwischen mathematischem Sprachraum und FRZK-Axiomatik</w:t>
      </w:r>
    </w:p>
    <w:p w:rsidR="00E31D2E" w:rsidRDefault="00E31D2E" w:rsidP="00E31D2E">
      <w:pPr>
        <w:pStyle w:val="berschrift3"/>
      </w:pPr>
      <w:r>
        <w:t>Methodologische Betrachtungen</w:t>
      </w:r>
    </w:p>
    <w:p w:rsidR="00E31D2E" w:rsidRDefault="00E31D2E" w:rsidP="00E31D2E">
      <w:pPr>
        <w:pStyle w:val="StandardWeb"/>
      </w:pPr>
      <w:r>
        <w:t xml:space="preserve">Die Gap-Analyse besitzt die Aufgabe, den Übergang zur Axiomatik nicht intuitiv, sondern systematisch zu begründen. Ich frage deshalb nicht zuerst, welche Axiome für das FRZK plausibel erscheinen. Ich frage zunächst, welche für die geplante Theorie benötigten Aussagen aus dem mathematischen Sprachraum von Kapitel 3.2 </w:t>
      </w:r>
      <w:r>
        <w:rPr>
          <w:rStyle w:val="Fett"/>
        </w:rPr>
        <w:t>noch nicht folgen</w:t>
      </w:r>
      <w:r>
        <w:t xml:space="preserve">. Erst eine </w:t>
      </w:r>
      <w:r>
        <w:lastRenderedPageBreak/>
        <w:t>nachgewiesene Lücke rechtfertigt die Suche nach einer zusätzlichen Definition, methodologischen Regel oder axiomatischen Voraussetzung [58, 59, 79].</w:t>
      </w:r>
    </w:p>
    <w:p w:rsidR="00E31D2E" w:rsidRDefault="00E31D2E" w:rsidP="00E31D2E">
      <w:pPr>
        <w:pStyle w:val="StandardWeb"/>
      </w:pPr>
      <w:r>
        <w:t xml:space="preserve">Diese Vorgehensweise verhindert eine nachträgliche Konstruktion der Axiomenbasis. Ohne Gap-Analyse bestünde die Gefahr, zunächst gewünschte Eigenschaften des späteren FRZK zu formulieren und anschließend passende Axiome zu suchen. Dadurch würde die Theorie von ihrem angestrebten Ergebnis rückwärts begründet. Ich wähle die umgekehrte Richtung: </w:t>
      </w:r>
      <m:oMath>
        <m:r>
          <w:rPr>
            <w:rFonts w:ascii="Cambria Math" w:hAnsi="Cambria Math"/>
          </w:rPr>
          <m:t>mathematische Grundlage → nicht abgedeckte Voraussetzung → Klassifikation der Lücke → gegebenenfalls Axiomkandidat.</m:t>
        </m:r>
      </m:oMath>
    </w:p>
    <w:p w:rsidR="00E31D2E" w:rsidRDefault="00E31D2E" w:rsidP="00E31D2E">
      <w:pPr>
        <w:pStyle w:val="StandardWeb"/>
      </w:pPr>
      <w:r>
        <w:t>Die zentrale methodische Einsicht besteht darin, dass mathematische Existenz und FRZK-spezifische Existenz unterschiedliche Aussagen darstellen. Die Mengenlehre erlaubt nichtleere Mengen, aber daraus folgt nicht, dass das FRZK mindestens eine funktional relevante Bestimmung enthalten muss. Die Mathematik erlaubt Relationen, aber sie erzwingt keine funktionale Relation zwischen FRZK-Bestimmungen. Sie erlaubt Abbildungen und Operatoren, begründet aber nicht, dass im FRZK tatsächlich Transformationen stattfinden müssen [6, 71, 75, 76, 78].</w:t>
      </w:r>
    </w:p>
    <w:p w:rsidR="00E31D2E" w:rsidRDefault="00E31D2E" w:rsidP="00E31D2E">
      <w:pPr>
        <w:pStyle w:val="StandardWeb"/>
      </w:pPr>
      <w:r>
        <w:t>Auch strukturalistische Beschreibungen schließen diese Lücken nicht automatisch. Dass ein mathematischer Gegenstand durch seine Stellung innerhalb einer Struktur bestimmt werden kann, sagt noch nichts darüber aus, ob diese Unterscheidbarkeit innerhalb des FRZK funktional wirksam ist [60, 67, 68]. Genau hier liegt eine der entscheidenden Grenzen zwischen vorhandener Mathematik und eigener Theorieentwicklung.</w:t>
      </w:r>
    </w:p>
    <w:p w:rsidR="00E31D2E" w:rsidRDefault="00E31D2E" w:rsidP="00E31D2E">
      <w:pPr>
        <w:pStyle w:val="StandardWeb"/>
      </w:pPr>
      <w:r>
        <w:t>Ich behandle die identifizierten Lücken deshalb nicht als Beweise dafür, dass bestimmte Axiome wahr sein müssen. Eine Lücke zeigt zunächst nur, dass die benötigte Aussage nicht aus den bereits eingeführten Grundlagen folgt. Anschließend ist zu prüfen, ob die Lücke überhaupt geschlossen werden muss und welches wissenschaftliche Mittel dafür das sparsamste ist.</w:t>
      </w:r>
    </w:p>
    <w:p w:rsidR="00E31D2E" w:rsidRDefault="00E31D2E" w:rsidP="00E31D2E">
      <w:pPr>
        <w:pStyle w:val="StandardWeb"/>
      </w:pPr>
      <w:r>
        <w:t>Daraus ergibt sich für die weitere Arbeit eine Matrix:</w:t>
      </w:r>
    </w:p>
    <w:p w:rsidR="00E31D2E" w:rsidRDefault="00F023ED" w:rsidP="00E31D2E">
      <w:pPr>
        <w:pStyle w:val="StandardWeb"/>
      </w:pPr>
      <m:oMathPara>
        <m:oMath>
          <m:r>
            <w:rPr>
              <w:rStyle w:val="Fett"/>
              <w:rFonts w:ascii="Cambria Math" w:hAnsi="Cambria Math"/>
            </w:rPr>
            <m:t>mathematisches Werkzeug → mögliche FRZK-Verwendung → noch fehlende Aussage → Definition, methodologische Regel oder Primäraxiom?</m:t>
          </m:r>
        </m:oMath>
      </m:oMathPara>
    </w:p>
    <w:p w:rsidR="00E31D2E" w:rsidRDefault="00E31D2E" w:rsidP="00E31D2E">
      <w:pPr>
        <w:pStyle w:val="StandardWeb"/>
      </w:pPr>
      <w:r>
        <w:t>Diese Matrix ist methodologisch bedeutender als eine bloße Liste gewünschter Axiome. Sie dokumentiert für jede spätere Grundannahme, warum sie überhaupt benötigt wird.</w:t>
      </w:r>
    </w:p>
    <w:p w:rsidR="00E31D2E" w:rsidRDefault="00E31D2E" w:rsidP="00E31D2E">
      <w:pPr>
        <w:pStyle w:val="berschrift3"/>
      </w:pPr>
      <w:r>
        <w:t>Didaktische Betrachtungen</w:t>
      </w:r>
    </w:p>
    <w:p w:rsidR="00E31D2E" w:rsidRDefault="00E31D2E" w:rsidP="00E31D2E">
      <w:pPr>
        <w:pStyle w:val="StandardWeb"/>
      </w:pPr>
      <w:r>
        <w:t xml:space="preserve">Die Gap-Analyse lässt sich mit einem Bauplan vergleichen. Ich kann sämtliche Baumaterialien und Werkzeuge besitzen und dennoch feststellen, dass zwischen zwei Bauteilen eine tragende Verbindung fehlt. Die vorhandenen Werkzeuge lösen dieses Problem nicht automatisch. Zunächst muss erkannt werden, </w:t>
      </w:r>
      <w:r>
        <w:rPr>
          <w:rStyle w:val="Fett"/>
        </w:rPr>
        <w:t>dass</w:t>
      </w:r>
      <w:r>
        <w:t xml:space="preserve"> eine Verbindung benötigt wird.</w:t>
      </w:r>
    </w:p>
    <w:p w:rsidR="00E31D2E" w:rsidRDefault="00E31D2E" w:rsidP="00E31D2E">
      <w:pPr>
        <w:pStyle w:val="StandardWeb"/>
      </w:pPr>
      <w:r>
        <w:t>Ein einfaches mathematisches Beispiel ist eine Menge mit zwei Elementen:</w:t>
      </w:r>
      <w:r w:rsidR="00F023ED">
        <w:t xml:space="preserve"> </w:t>
      </w:r>
      <m:oMath>
        <m:r>
          <w:rPr>
            <w:rFonts w:ascii="Cambria Math" w:hAnsi="Cambria Math"/>
          </w:rPr>
          <m:t>M=a,b.</m:t>
        </m:r>
      </m:oMath>
    </w:p>
    <w:p w:rsidR="00E31D2E" w:rsidRDefault="00E31D2E" w:rsidP="00E31D2E">
      <w:pPr>
        <w:pStyle w:val="StandardWeb"/>
      </w:pPr>
      <w:r>
        <w:t xml:space="preserve">Die Mathematik sagt mir, dass </w:t>
      </w:r>
      <m:oMath>
        <m:r>
          <w:rPr>
            <w:rFonts w:ascii="Cambria Math" w:hAnsi="Cambria Math"/>
          </w:rPr>
          <m:t>a</m:t>
        </m:r>
      </m:oMath>
      <w:r>
        <w:t xml:space="preserve"> und </w:t>
      </w:r>
      <m:oMath>
        <m:r>
          <w:rPr>
            <w:rFonts w:ascii="Cambria Math" w:hAnsi="Cambria Math"/>
          </w:rPr>
          <m:t>b</m:t>
        </m:r>
      </m:oMath>
      <w:r>
        <w:t xml:space="preserve"> unterscheidbar sind. Sie erlaubt außerdem, eine Relation zwischen ihnen zu definieren. Daraus folgt aber nicht:</w:t>
      </w:r>
    </w:p>
    <w:p w:rsidR="00E31D2E" w:rsidRDefault="00E31D2E" w:rsidP="00E31D2E">
      <w:pPr>
        <w:pStyle w:val="StandardWeb"/>
        <w:numPr>
          <w:ilvl w:val="0"/>
          <w:numId w:val="256"/>
        </w:numPr>
      </w:pPr>
      <w:r>
        <w:lastRenderedPageBreak/>
        <w:t>dass ihre Unterscheidung irgendeine funktionale Bedeutung besitzt,</w:t>
      </w:r>
    </w:p>
    <w:p w:rsidR="00E31D2E" w:rsidRDefault="00E31D2E" w:rsidP="00E31D2E">
      <w:pPr>
        <w:pStyle w:val="StandardWeb"/>
        <w:numPr>
          <w:ilvl w:val="0"/>
          <w:numId w:val="256"/>
        </w:numPr>
      </w:pPr>
      <w:r>
        <w:t>dass tatsächlich eine Relation zwischen ihnen besteht,</w:t>
      </w:r>
    </w:p>
    <w:p w:rsidR="00E31D2E" w:rsidRDefault="00E31D2E" w:rsidP="00E31D2E">
      <w:pPr>
        <w:pStyle w:val="StandardWeb"/>
        <w:numPr>
          <w:ilvl w:val="0"/>
          <w:numId w:val="256"/>
        </w:numPr>
      </w:pPr>
      <w:r>
        <w:t xml:space="preserve">dass sich </w:t>
      </w:r>
      <m:oMath>
        <m:r>
          <w:rPr>
            <w:rFonts w:ascii="Cambria Math" w:hAnsi="Cambria Math"/>
          </w:rPr>
          <m:t>a</m:t>
        </m:r>
      </m:oMath>
      <w:r>
        <w:t xml:space="preserve"> in </w:t>
      </w:r>
      <m:oMath>
        <m:r>
          <w:rPr>
            <w:rFonts w:ascii="Cambria Math" w:hAnsi="Cambria Math"/>
          </w:rPr>
          <m:t>b</m:t>
        </m:r>
      </m:oMath>
      <w:r>
        <w:t xml:space="preserve"> verändern kann.</w:t>
      </w:r>
    </w:p>
    <w:p w:rsidR="00E31D2E" w:rsidRDefault="00E31D2E" w:rsidP="00E31D2E">
      <w:pPr>
        <w:pStyle w:val="StandardWeb"/>
      </w:pPr>
      <w:r>
        <w:t xml:space="preserve">Genau diese drei Unterschiede führen später zu den Kandidaten </w:t>
      </w:r>
      <w:r>
        <w:rPr>
          <w:rStyle w:val="Fett"/>
        </w:rPr>
        <w:t>Bestimmbarkeit</w:t>
      </w:r>
      <w:r>
        <w:t xml:space="preserve">, </w:t>
      </w:r>
      <w:r>
        <w:rPr>
          <w:rStyle w:val="Fett"/>
        </w:rPr>
        <w:t>Relationierbarkeit</w:t>
      </w:r>
      <w:r>
        <w:t xml:space="preserve"> und </w:t>
      </w:r>
      <w:r>
        <w:rPr>
          <w:rStyle w:val="Fett"/>
        </w:rPr>
        <w:t>Transformierbarkeit</w:t>
      </w:r>
      <w:r>
        <w:t>.</w:t>
      </w:r>
    </w:p>
    <w:p w:rsidR="00E31D2E" w:rsidRDefault="00E31D2E" w:rsidP="00E31D2E">
      <w:pPr>
        <w:pStyle w:val="StandardWeb"/>
      </w:pPr>
      <w:r>
        <w:t>Didaktisch ist wichtig, dass eine Lücke nicht mit einem Fehler verwechselt wird. Die Mathematik ist nicht unvollständig, weil sie diese Aussagen nicht liefert. Sie soll sie gar nicht liefern. Die fehlenden Aussagen gehören nicht zur allgemeinen Mathematik, sondern zur speziellen Theorie, die mit dieser Mathematik beschrieben werden soll.</w:t>
      </w:r>
    </w:p>
    <w:p w:rsidR="00E31D2E" w:rsidRDefault="00E31D2E" w:rsidP="00E31D2E">
      <w:pPr>
        <w:pStyle w:val="StandardWeb"/>
      </w:pPr>
      <w:r>
        <w:t>Man kann sich dies wie eine Landkarte vorstellen. Eine Landkarte stellt Wege, Entfernungen und Orte dar. Sie entscheidet aber nicht, wohin eine konkrete Reise führen soll. Diese Entscheidung kommt von außen hinzu. Ebenso stellt Kapitel 3.2 formale Möglichkeiten bereit, während Kapitel 3.3 festlegt, welche davon das FRZK tatsächlich voraussetzt.</w:t>
      </w:r>
    </w:p>
    <w:p w:rsidR="00E31D2E" w:rsidRDefault="00E31D2E" w:rsidP="00E31D2E">
      <w:pPr>
        <w:pStyle w:val="StandardWeb"/>
      </w:pPr>
      <w:r>
        <w:t>Der Leser soll dadurch nachvollziehen können, dass die späteren Primäraxiome nicht willkürlich aus einer Liste theoretischer Wünsche entstehen. Sie reagieren auf konkret identifizierte Leerstellen zwischen mathematischer Möglichkeit und funktionaler Theorie.</w:t>
      </w:r>
    </w:p>
    <w:p w:rsidR="00E31D2E" w:rsidRDefault="00E50336" w:rsidP="00E31D2E">
      <w:r>
        <w:pict>
          <v:rect id="_x0000_i1026" style="width:0;height:1.5pt" o:hralign="center" o:hrstd="t" o:hr="t" fillcolor="#a0a0a0" stroked="f"/>
        </w:pict>
      </w:r>
    </w:p>
    <w:p w:rsidR="00CE027E" w:rsidRPr="00AF32B2" w:rsidRDefault="00CE027E" w:rsidP="00AF32B2">
      <w:pPr>
        <w:pStyle w:val="berschrift3"/>
      </w:pPr>
      <w:r w:rsidRPr="00AF32B2">
        <w:t>3.3.2 Wissenschaftliche Kriterien zur Identifikation von Primäraxiomen</w:t>
      </w:r>
    </w:p>
    <w:p w:rsidR="00CE027E" w:rsidRDefault="00CE027E" w:rsidP="00CE027E">
      <w:pPr>
        <w:pStyle w:val="StandardWeb"/>
      </w:pPr>
      <w:r>
        <w:t xml:space="preserve">Die in Abschnitt 3.3.1 durchgeführte Gap-Analyse hat gezeigt, dass zwischen dem mathematischen Sprachraum aus Kapitel 3.2 und der Entwicklung einer eigenständigen funktionalen Theorie mehrere wissenschaftliche Lücken bestehen. Diese Lücken begründen jedoch noch nicht unmittelbar die Einführung neuer Primäraxiome. Zunächst muss geklärt werden, nach welchen objektiven wissenschaftlichen Kriterien entschieden werden kann, ob eine identifizierte Lücke durch eine Definition, eine methodische Festlegung oder ausschließlich durch ein Primäraxiom geschlossen werden darf. Die Entwicklung einer Axiomenbasis folgt damit einem nachvollziehbaren Entscheidungsprozess und nicht einer freien Auswahl theoretischer Annahmen </w:t>
      </w:r>
      <w:r>
        <w:rPr>
          <w:rStyle w:val="Fett"/>
        </w:rPr>
        <w:t>[58, 59, 79]</w:t>
      </w:r>
      <w:r>
        <w:t>.</w:t>
      </w:r>
    </w:p>
    <w:p w:rsidR="00CE027E" w:rsidRDefault="00CE027E" w:rsidP="00CE027E">
      <w:pPr>
        <w:pStyle w:val="StandardWeb"/>
      </w:pPr>
      <w:r>
        <w:t xml:space="preserve">Bereits in der klassischen Wissenschaftstheorie wird zwischen einer Begriffsbestimmung und einer grundlegenden theoretischen Annahme unterschieden. Eine Definition legt fest, wie ein Begriff innerhalb einer Theorie verwendet wird. Sie führt keine neuen Eigenschaften ein, sondern beschreibt lediglich die Bedeutung eines Ausdrucks. Ein Axiom besitzt dagegen einen grundlegend anderen Status. Es formuliert eine Aussage, die innerhalb der betrachteten Theorie nicht aus bereits vorhandenen Voraussetzungen ableitbar ist und deshalb als Ausgangspunkt weiterer Herleitungen dient </w:t>
      </w:r>
      <w:r>
        <w:rPr>
          <w:rStyle w:val="Fett"/>
        </w:rPr>
        <w:t>[59, 79]</w:t>
      </w:r>
      <w:r>
        <w:t>.</w:t>
      </w:r>
    </w:p>
    <w:p w:rsidR="00CE027E" w:rsidRPr="00B16B66" w:rsidRDefault="00CE027E" w:rsidP="00B16B66">
      <w:pPr>
        <w:pStyle w:val="Eigenleistung"/>
      </w:pPr>
      <w:r w:rsidRPr="00B16B66">
        <w:t>Eigenleistung des FRZK</w:t>
      </w:r>
    </w:p>
    <w:p w:rsidR="00CE027E" w:rsidRDefault="00CE027E" w:rsidP="00CE027E">
      <w:pPr>
        <w:pStyle w:val="StandardWeb"/>
      </w:pPr>
      <w:r>
        <w:t xml:space="preserve">Ich übernehme diese Unterscheidung als erstes verbindliches Entwicklungskriterium für die Axiomatik des FRZK. Jede identifizierte wissenschaftliche Lücke wird zunächst daraufhin untersucht, ob sie ausschließlich eine sprachliche Präzisierung erfordert. Ist dies der Fall, wird sie durch eine Definition geschlossen. Erst wenn sich nachweisen lässt, dass die betreffende </w:t>
      </w:r>
      <w:r>
        <w:lastRenderedPageBreak/>
        <w:t>Aussage weder aus den mathematischen Grundlagen von Kapitel 3.2 noch aus einer Begriffsbestimmung folgt, kommt ihre Formulierung als Primäraxiom in Betracht.</w:t>
      </w:r>
    </w:p>
    <w:p w:rsidR="00CE027E" w:rsidRDefault="00CE027E" w:rsidP="00CE027E">
      <w:pPr>
        <w:pStyle w:val="StandardWeb"/>
      </w:pPr>
      <w:r>
        <w:t xml:space="preserve">Ein zweites Kriterium ergibt sich aus dem Verhältnis zwischen mathematischer Struktur und funktionaler Interpretation. Die Mathematik stellt formale Beziehungen bereit, deren wissenschaftliche Bedeutung erst innerhalb eines konkreten Modells festgelegt wird </w:t>
      </w:r>
      <w:r>
        <w:rPr>
          <w:rStyle w:val="Fett"/>
        </w:rPr>
        <w:t>[58, 60, 67, 68]</w:t>
      </w:r>
      <w:r>
        <w:t>. Daraus folgt, dass eine mathematische Eigenschaft nicht automatisch als Eigenschaft des FRZK übernommen werden darf. Jede funktionale Interpretation muss gesondert begründet werden.</w:t>
      </w:r>
    </w:p>
    <w:p w:rsidR="00CE027E" w:rsidRPr="00B16B66" w:rsidRDefault="00CE027E" w:rsidP="00B16B66">
      <w:pPr>
        <w:pStyle w:val="Eigenleistung"/>
      </w:pPr>
      <w:r w:rsidRPr="00B16B66">
        <w:t>Eigenleistung des FRZK</w:t>
      </w:r>
    </w:p>
    <w:p w:rsidR="00CE027E" w:rsidRDefault="00CE027E" w:rsidP="00CE027E">
      <w:pPr>
        <w:pStyle w:val="StandardWeb"/>
      </w:pPr>
      <w:r>
        <w:t xml:space="preserve">Ich formuliere daraus das Prinzip der </w:t>
      </w:r>
      <w:r>
        <w:rPr>
          <w:rStyle w:val="Fett"/>
        </w:rPr>
        <w:t>Interpretationstrennung</w:t>
      </w:r>
      <w:r>
        <w:t>. Zwischen mathematischer Aussage und funktionaler Aussage wird grundsätzlich unterschieden. Kein mathematischer Begriff erhält ohne ausdrückliche Begründung eine funktionale Bedeutung. Dieses Prinzip verhindert, dass mathematische Eigenschaften unbeabsichtigt zu theoretischen Grundannahmen des FRZK werden.</w:t>
      </w:r>
    </w:p>
    <w:p w:rsidR="00CE027E" w:rsidRDefault="00CE027E" w:rsidP="00CE027E">
      <w:pPr>
        <w:pStyle w:val="StandardWeb"/>
      </w:pPr>
      <w:r>
        <w:t xml:space="preserve">Ein drittes Kriterium betrifft die Minimalität der Axiomenbasis. Jede zusätzliche Grundannahme vergrößert den theoretischen Umfang eines Modells und erhöht gleichzeitig dessen Begründungsaufwand. Wissenschaftlich vorzuziehen ist deshalb die kleinste Menge voneinander unabhängiger Axiome, aus der sich alle weiteren Aussagen der Theorie entwickeln lassen </w:t>
      </w:r>
      <w:r>
        <w:rPr>
          <w:rStyle w:val="Fett"/>
        </w:rPr>
        <w:t>[79]</w:t>
      </w:r>
      <w:r>
        <w:t>.</w:t>
      </w:r>
    </w:p>
    <w:p w:rsidR="00CE027E" w:rsidRPr="00B16B66" w:rsidRDefault="00CE027E" w:rsidP="00B16B66">
      <w:pPr>
        <w:pStyle w:val="Eigenleistung"/>
      </w:pPr>
      <w:r w:rsidRPr="00B16B66">
        <w:t>Eigenleistung des FRZK</w:t>
      </w:r>
    </w:p>
    <w:p w:rsidR="00CE027E" w:rsidRDefault="00CE027E" w:rsidP="00CE027E">
      <w:pPr>
        <w:pStyle w:val="StandardWeb"/>
      </w:pPr>
      <w:r>
        <w:t>Ich übernehme dieses Minimalitätsprinzip als verbindliche Entwicklungsregel. Ein neues Primäraxiom darf nur eingeführt werden, wenn nachgewiesen wurde, dass seine Aussage weder aus bestehenden Primäraxiomen noch aus Definitionen oder mathematischen Folgerungen ableitbar ist. Dadurch bleibt die Axiomenbasis des FRZK auf die tatsächlich unverzichtbaren Grundannahmen beschränkt.</w:t>
      </w:r>
    </w:p>
    <w:p w:rsidR="00CE027E" w:rsidRDefault="00CE027E" w:rsidP="00CE027E">
      <w:pPr>
        <w:pStyle w:val="StandardWeb"/>
      </w:pPr>
      <w:r>
        <w:t xml:space="preserve">Ein viertes Kriterium betrifft die gegenseitige Unabhängigkeit der Primäraxiome. Enthält ein Axiom ausschließlich Aussagen, die bereits aus anderen Axiomen folgen, besitzt es keinen eigenständigen wissenschaftlichen Informationsgehalt. Die Axiomenbasis würde dadurch unnötig erweitert und ihre innere Struktur erschwert </w:t>
      </w:r>
      <w:r>
        <w:rPr>
          <w:rStyle w:val="Fett"/>
        </w:rPr>
        <w:t>[79]</w:t>
      </w:r>
      <w:r>
        <w:t>.</w:t>
      </w:r>
    </w:p>
    <w:p w:rsidR="00CE027E" w:rsidRPr="00B16B66" w:rsidRDefault="00CE027E" w:rsidP="00B16B66">
      <w:pPr>
        <w:pStyle w:val="Eigenleistung"/>
      </w:pPr>
      <w:r w:rsidRPr="00B16B66">
        <w:t>Eigenleistung des FRZK</w:t>
      </w:r>
    </w:p>
    <w:p w:rsidR="00CE027E" w:rsidRDefault="00CE027E" w:rsidP="00CE027E">
      <w:pPr>
        <w:pStyle w:val="StandardWeb"/>
      </w:pPr>
      <w:r>
        <w:t>Ich fordere deshalb für jedes spätere Primäraxiom den Nachweis seiner logischen Eigenständigkeit. Jedes Primäraxiom muss mindestens eine Aussage enthalten, die sich aus den zuvor eingeführten Axiomen nicht herleiten lässt. Gleichzeitig darf kein späteres Axiom den Inhalt eines früheren Primäraxioms lediglich wiederholen.</w:t>
      </w:r>
    </w:p>
    <w:p w:rsidR="00CE027E" w:rsidRDefault="00CE027E" w:rsidP="00CE027E">
      <w:pPr>
        <w:pStyle w:val="StandardWeb"/>
      </w:pPr>
      <w:r>
        <w:t>Aus diesen Überlegungen ergibt sich ein verbindlicher Entscheidungsablauf für die weitere Entwicklung der Axiomenbasis.</w:t>
      </w:r>
    </w:p>
    <w:p w:rsidR="00CE027E" w:rsidRDefault="00CE027E" w:rsidP="00632D23">
      <w:pPr>
        <w:numPr>
          <w:ilvl w:val="0"/>
          <w:numId w:val="3"/>
        </w:numPr>
        <w:spacing w:before="100" w:beforeAutospacing="1" w:after="100" w:afterAutospacing="1"/>
      </w:pPr>
      <w:r>
        <w:t xml:space="preserve">Ist die wissenschaftliche Aussage bereits Bestandteil des mathematischen Sprachraums aus Kapitel 3.2? </w:t>
      </w:r>
      <w:r>
        <w:rPr>
          <w:rStyle w:val="Fett"/>
        </w:rPr>
        <w:t>→ keine Erweiterung erforderlich.</w:t>
      </w:r>
      <w:r>
        <w:t xml:space="preserve"> </w:t>
      </w:r>
    </w:p>
    <w:p w:rsidR="00CE027E" w:rsidRDefault="00CE027E" w:rsidP="00632D23">
      <w:pPr>
        <w:numPr>
          <w:ilvl w:val="0"/>
          <w:numId w:val="3"/>
        </w:numPr>
        <w:spacing w:before="100" w:beforeAutospacing="1" w:after="100" w:afterAutospacing="1"/>
      </w:pPr>
      <w:r>
        <w:t xml:space="preserve">Kann die Aussage ausschließlich durch eine Begriffsbestimmung präzisiert werden? </w:t>
      </w:r>
      <w:r>
        <w:rPr>
          <w:rStyle w:val="Fett"/>
        </w:rPr>
        <w:t>→ Definition.</w:t>
      </w:r>
      <w:r>
        <w:t xml:space="preserve"> </w:t>
      </w:r>
    </w:p>
    <w:p w:rsidR="00CE027E" w:rsidRDefault="00CE027E" w:rsidP="00632D23">
      <w:pPr>
        <w:numPr>
          <w:ilvl w:val="0"/>
          <w:numId w:val="3"/>
        </w:numPr>
        <w:spacing w:before="100" w:beforeAutospacing="1" w:after="100" w:afterAutospacing="1"/>
      </w:pPr>
      <w:r>
        <w:lastRenderedPageBreak/>
        <w:t xml:space="preserve">Handelt es sich um eine methodische Festlegung ohne theoretischen Eigengehalt? </w:t>
      </w:r>
      <w:r>
        <w:rPr>
          <w:rStyle w:val="Fett"/>
        </w:rPr>
        <w:t>→ methodologische Regel.</w:t>
      </w:r>
      <w:r>
        <w:t xml:space="preserve"> </w:t>
      </w:r>
    </w:p>
    <w:p w:rsidR="00CE027E" w:rsidRDefault="00CE027E" w:rsidP="00632D23">
      <w:pPr>
        <w:numPr>
          <w:ilvl w:val="0"/>
          <w:numId w:val="3"/>
        </w:numPr>
        <w:spacing w:before="100" w:beforeAutospacing="1" w:after="100" w:afterAutospacing="1"/>
      </w:pPr>
      <w:r>
        <w:t xml:space="preserve">Bleibt danach eine nicht ableitbare wissenschaftliche Aussage bestehen? </w:t>
      </w:r>
      <w:r>
        <w:rPr>
          <w:rStyle w:val="Fett"/>
        </w:rPr>
        <w:t>→ Kandidat für ein Primäraxiom.</w:t>
      </w:r>
      <w:r>
        <w:t xml:space="preserve"> </w:t>
      </w:r>
    </w:p>
    <w:p w:rsidR="00CE027E" w:rsidRPr="00B16B66" w:rsidRDefault="00CE027E" w:rsidP="00B16B66">
      <w:pPr>
        <w:pStyle w:val="Eigenleistung"/>
      </w:pPr>
      <w:r w:rsidRPr="00B16B66">
        <w:t>Eigenleistung des FRZK</w:t>
      </w:r>
    </w:p>
    <w:p w:rsidR="00CE027E" w:rsidRDefault="00CE027E" w:rsidP="00CE027E">
      <w:pPr>
        <w:pStyle w:val="StandardWeb"/>
      </w:pPr>
      <w:r>
        <w:t>Dieses vierstufige Verfahren bildet den methodischen Kern der weiteren Theorieentwicklung. Es ersetzt eine intuitive Auswahl von Axiomen durch einen nachvollziehbaren wissenschaftlichen Entscheidungsprozess. Jedes spätere Primäraxiom muss diesen Prüfpfad vollständig durchlaufen und seine Notwendigkeit gegenüber den drei vorhergehenden Stufen begründen.</w:t>
      </w:r>
    </w:p>
    <w:p w:rsidR="00CE027E" w:rsidRDefault="00CE027E" w:rsidP="00CE027E">
      <w:pPr>
        <w:pStyle w:val="StandardWeb"/>
      </w:pPr>
      <w:r>
        <w:t>Die Gap-Analyse aus Abschnitt 3.3.1 und die hier entwickelten Entscheidungskriterien bilden damit gemeinsam den methodischen Rahmen für die eigentliche Herleitung der Primäraxiome. Im folgenden Abschnitt werden diese Kriterien erstmals auf die in Abschnitt 3.3.1 identifizierten Lücken angewendet, um die Reihenfolge und den wissenschaftlichen Inhalt der späteren Primäraxiome systematisch abzuleiten.</w:t>
      </w:r>
    </w:p>
    <w:p w:rsidR="00CE027E" w:rsidRDefault="00E50336" w:rsidP="00CE027E">
      <w:r>
        <w:pict>
          <v:rect id="_x0000_i1027" style="width:0;height:1.5pt" o:hralign="center" o:hrstd="t" o:hr="t" fillcolor="#a0a0a0" stroked="f"/>
        </w:pict>
      </w:r>
    </w:p>
    <w:p w:rsidR="00E31D2E" w:rsidRDefault="00E31D2E" w:rsidP="00E31D2E">
      <w:pPr>
        <w:pStyle w:val="berschrift2"/>
      </w:pPr>
      <w:r>
        <w:t>Ergänzung zu 3.3.2 – Wissenschaftliche Kriterien zur Identifikation von Primäraxiomen</w:t>
      </w:r>
    </w:p>
    <w:p w:rsidR="00E31D2E" w:rsidRDefault="00E31D2E" w:rsidP="00E31D2E">
      <w:pPr>
        <w:pStyle w:val="berschrift3"/>
      </w:pPr>
      <w:r>
        <w:t>Methodologische Betrachtungen</w:t>
      </w:r>
    </w:p>
    <w:p w:rsidR="00E31D2E" w:rsidRDefault="00E31D2E" w:rsidP="00E31D2E">
      <w:pPr>
        <w:pStyle w:val="StandardWeb"/>
      </w:pPr>
      <w:r>
        <w:t>Nachdem die wissenschaftlichen Lücken bestimmt sind, muss entschieden werden, welche Art von Aussage zu ihrer Schließung erforderlich ist. Nicht jede unbeantwortete Frage rechtfertigt ein Axiom. Diese Unterscheidung ist für die Sparsamkeit und Prüfbarkeit der gesamten Theorie von zentraler Bedeutung [58, 59, 79].</w:t>
      </w:r>
    </w:p>
    <w:p w:rsidR="00E31D2E" w:rsidRDefault="00E31D2E" w:rsidP="00E31D2E">
      <w:pPr>
        <w:pStyle w:val="StandardWeb"/>
      </w:pPr>
      <w:r>
        <w:t>Ich verwende deshalb ein vierstufiges Entscheidungsverfahren. Zuerst prüfe ich, ob die betreffende Aussage bereits aus etablierter Mathematik folgt. Ist dies der Fall, darf sie nicht als FRZK-Axiom ausgegeben werden. Zweitens prüfe ich, ob lediglich ein Begriff festgelegt werden muss. Dann genügt eine Definition. Drittens prüfe ich, ob es sich um eine Regel wissenschaftlicher Vorgehensweise handelt. Dann liegt eine methodologische Festlegung vor. Erst wenn eine für den Theorieaufbau notwendige Aussage weder mathematisch ableitbar noch definitorisch oder methodisch eliminierbar ist, kommt sie als Primäraxiom in Betracht.</w:t>
      </w:r>
    </w:p>
    <w:p w:rsidR="00E31D2E" w:rsidRDefault="00E31D2E" w:rsidP="00E31D2E">
      <w:pPr>
        <w:pStyle w:val="StandardWeb"/>
      </w:pPr>
      <w:r>
        <w:t>Diese Reihenfolge verhindert eine Aufblähung der Axiomenbasis. Jedes zusätzliche Primäraxiom erhöht den vorausgesetzten Gehalt der Theorie. Eine Theorie mit vielen unnötigen Axiomen kann zwar formal funktionieren, besitzt aber eine geringere erklärende Sparsamkeit, weil mehr Eigenschaften bereits vorausgesetzt werden, anstatt aus einfacheren Voraussetzungen hervorzugehen.</w:t>
      </w:r>
    </w:p>
    <w:p w:rsidR="00E31D2E" w:rsidRDefault="00E31D2E" w:rsidP="00E31D2E">
      <w:pPr>
        <w:pStyle w:val="StandardWeb"/>
      </w:pPr>
      <w:r>
        <w:t>Ein weiteres Kriterium ist die Interpretationstrennung. Ein Primäraxiom darf nicht dadurch gerechtfertigt werden, dass eine spätere physikalische Interpretation erwünscht ist. Beispielsweise darf funktionale Transformierbarkeit nicht deshalb vorausgesetzt werden, weil später Dynamik beschrieben werden soll. Zunächst muss gezeigt werden, dass Transformierbarkeit als eigenständige funktionale Voraussetzung erforderlich ist [58, 59].</w:t>
      </w:r>
    </w:p>
    <w:p w:rsidR="00E31D2E" w:rsidRDefault="00E31D2E" w:rsidP="00E31D2E">
      <w:pPr>
        <w:pStyle w:val="StandardWeb"/>
      </w:pPr>
      <w:r>
        <w:lastRenderedPageBreak/>
        <w:t>Hinzu kommt die Unabhängigkeit. Ein Axiomkandidat ist nur dann als eigenständiges Primäraxiom gerechtfertigt, wenn sein wesentlicher Aussagegehalt nicht bereits aus den übrigen Kandidaten folgt. Sind zwei Aussagen logisch oder definitorisch voneinander abhängig, muss geprüft werden, ob eine von ihnen abgeleitet werden kann.</w:t>
      </w:r>
    </w:p>
    <w:p w:rsidR="00E31D2E" w:rsidRDefault="00E31D2E" w:rsidP="00E31D2E">
      <w:pPr>
        <w:pStyle w:val="StandardWeb"/>
      </w:pPr>
      <w:r>
        <w:t>Auch Minimalität ist nicht nur sprachlich, sondern inhaltlich zu verstehen. Ich formuliere ein Primäraxiom so schwach wie möglich und so stark wie nötig. Es soll gerade den fehlenden elementaren Existenz- oder Strukturgehalt setzen, nicht bereits spätere Eigenschaften wie Ordnung, Dynamik, Kohärenz, Metrik oder physikalische Interpretation vorwegnehmen.</w:t>
      </w:r>
    </w:p>
    <w:p w:rsidR="00E31D2E" w:rsidRDefault="00E31D2E" w:rsidP="00E31D2E">
      <w:pPr>
        <w:pStyle w:val="StandardWeb"/>
      </w:pPr>
      <w:r>
        <w:t xml:space="preserve">Damit wird die Axiomenbasis selbst zu einem Prüfgegenstand. Die Frage lautet nicht nur: „Ist dieses Axiom plausibel?“, sondern vor allem: </w:t>
      </w:r>
      <w:r>
        <w:rPr>
          <w:rStyle w:val="Fett"/>
        </w:rPr>
        <w:t>„Ist diese Aussage wirklich primitiv, notwendig, unabhängig und minimal?“</w:t>
      </w:r>
    </w:p>
    <w:p w:rsidR="00E31D2E" w:rsidRDefault="00E31D2E" w:rsidP="00E31D2E">
      <w:pPr>
        <w:pStyle w:val="berschrift3"/>
      </w:pPr>
      <w:r>
        <w:t>Didaktische Betrachtungen</w:t>
      </w:r>
    </w:p>
    <w:p w:rsidR="00E31D2E" w:rsidRDefault="00E31D2E" w:rsidP="00E31D2E">
      <w:pPr>
        <w:pStyle w:val="StandardWeb"/>
      </w:pPr>
      <w:r>
        <w:t>Der Unterschied zwischen Definition und Axiom lässt sich an einem einfachen Beispiel zeigen. Ich kann definieren:</w:t>
      </w:r>
    </w:p>
    <w:p w:rsidR="00E31D2E" w:rsidRDefault="00E31D2E" w:rsidP="00E31D2E">
      <w:pPr>
        <w:pStyle w:val="StandardWeb"/>
      </w:pPr>
      <w:r>
        <w:t>„Ein rotes Objekt nenne ich ein Objekt mit der Eigenschaft rot.“</w:t>
      </w:r>
    </w:p>
    <w:p w:rsidR="00E31D2E" w:rsidRDefault="00E31D2E" w:rsidP="00E31D2E">
      <w:pPr>
        <w:pStyle w:val="StandardWeb"/>
      </w:pPr>
      <w:r>
        <w:t>Damit habe ich noch nicht behauptet, dass überhaupt ein rotes Objekt existiert. Eine Definition legt die Bedeutung eines Ausdrucks fest; sie erzeugt nicht automatisch einen Gegenstand, auf den der Ausdruck zutrifft.</w:t>
      </w:r>
    </w:p>
    <w:p w:rsidR="00E31D2E" w:rsidRDefault="00E31D2E" w:rsidP="00E31D2E">
      <w:pPr>
        <w:pStyle w:val="StandardWeb"/>
      </w:pPr>
      <w:r>
        <w:t>Ein Axiom könnte dagegen lauten:</w:t>
      </w:r>
    </w:p>
    <w:p w:rsidR="00E31D2E" w:rsidRDefault="00E31D2E" w:rsidP="00E31D2E">
      <w:pPr>
        <w:pStyle w:val="StandardWeb"/>
      </w:pPr>
      <w:r>
        <w:t>„Es existiert mindestens ein rotes Objekt.“</w:t>
      </w:r>
    </w:p>
    <w:p w:rsidR="00E31D2E" w:rsidRDefault="00E31D2E" w:rsidP="00E31D2E">
      <w:pPr>
        <w:pStyle w:val="StandardWeb"/>
      </w:pPr>
      <w:r>
        <w:t>Diese Aussage besitzt einen zusätzlichen Existenzgehalt. Genau dieser Unterschied ist für das FRZK wesentlich.</w:t>
      </w:r>
    </w:p>
    <w:p w:rsidR="00E31D2E" w:rsidRDefault="00E31D2E" w:rsidP="00E31D2E">
      <w:pPr>
        <w:pStyle w:val="StandardWeb"/>
      </w:pPr>
      <w:r>
        <w:t>Ebenso muss zwischen mathematischer Möglichkeit und theoretischer Setzung unterschieden werden. Die Mathematik erlaubt eine Relation</w:t>
      </w:r>
      <w:r w:rsidR="006F70A0">
        <w:t xml:space="preserve"> </w:t>
      </w:r>
      <m:oMath>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xml:space="preserve">M. </m:t>
        </m:r>
      </m:oMath>
      <w:r>
        <w:t>Das bedeutet aber nur, dass ich Relationen mathematisch beschreiben kann. Die Aussage</w:t>
      </w:r>
    </w:p>
    <w:p w:rsidR="00E31D2E" w:rsidRDefault="00E31D2E" w:rsidP="00E31D2E">
      <w:pPr>
        <w:pStyle w:val="StandardWeb"/>
      </w:pPr>
      <w:r>
        <w:t>„Im FRZK existiert mindestens eine funktional relevante Relation“</w:t>
      </w:r>
    </w:p>
    <w:p w:rsidR="00E31D2E" w:rsidRDefault="00E31D2E" w:rsidP="00E31D2E">
      <w:pPr>
        <w:pStyle w:val="StandardWeb"/>
      </w:pPr>
      <w:r>
        <w:t>wäre eine zusätzliche theoretische Aussage.</w:t>
      </w:r>
    </w:p>
    <w:p w:rsidR="00E31D2E" w:rsidRDefault="00E31D2E" w:rsidP="00E31D2E">
      <w:pPr>
        <w:pStyle w:val="StandardWeb"/>
      </w:pPr>
      <w:r>
        <w:t>Didaktisch kann das vierstufige Prüfverfahren daher als Entscheidungsbaum gelesen werden:</w:t>
      </w:r>
    </w:p>
    <w:p w:rsidR="00E31D2E" w:rsidRDefault="00E31D2E" w:rsidP="00E31D2E">
      <w:pPr>
        <w:pStyle w:val="StandardWeb"/>
      </w:pPr>
      <w:r>
        <w:rPr>
          <w:rStyle w:val="Fett"/>
        </w:rPr>
        <w:t>Folgt es schon aus der Mathematik?</w:t>
      </w:r>
      <w:r>
        <w:br/>
        <w:t>Dann übernehmen.</w:t>
      </w:r>
    </w:p>
    <w:p w:rsidR="00E31D2E" w:rsidRDefault="00E31D2E" w:rsidP="00E31D2E">
      <w:pPr>
        <w:pStyle w:val="StandardWeb"/>
      </w:pPr>
      <w:r>
        <w:rPr>
          <w:rStyle w:val="Fett"/>
        </w:rPr>
        <w:t>Ist es nur eine Begriffsbestimmung?</w:t>
      </w:r>
      <w:r>
        <w:br/>
        <w:t>Dann definieren.</w:t>
      </w:r>
    </w:p>
    <w:p w:rsidR="00E31D2E" w:rsidRDefault="00E31D2E" w:rsidP="00E31D2E">
      <w:pPr>
        <w:pStyle w:val="StandardWeb"/>
      </w:pPr>
      <w:r>
        <w:rPr>
          <w:rStyle w:val="Fett"/>
        </w:rPr>
        <w:t>Regelt es nur die wissenschaftliche Vorgehensweise?</w:t>
      </w:r>
      <w:r>
        <w:br/>
        <w:t>Dann methodologisch festlegen.</w:t>
      </w:r>
    </w:p>
    <w:p w:rsidR="00E31D2E" w:rsidRDefault="00E31D2E" w:rsidP="00E31D2E">
      <w:pPr>
        <w:pStyle w:val="StandardWeb"/>
      </w:pPr>
      <w:r>
        <w:rPr>
          <w:rStyle w:val="Fett"/>
        </w:rPr>
        <w:lastRenderedPageBreak/>
        <w:t>Muss es gelten, damit die Theorie überhaupt den gewünschten Gegenstandsbereich besitzt, ohne aus Vorigem zu folgen?</w:t>
      </w:r>
      <w:r>
        <w:br/>
        <w:t>Dann als Axiomkandidat prüfen.</w:t>
      </w:r>
    </w:p>
    <w:p w:rsidR="00E31D2E" w:rsidRDefault="00E31D2E" w:rsidP="00E31D2E">
      <w:pPr>
        <w:pStyle w:val="StandardWeb"/>
      </w:pPr>
      <w:r>
        <w:t>Gerade die letzte Frage ist anspruchsvoll. Ein Axiom ist nicht einfach eine besonders wichtige Aussage. Es ist eine Aussage, deren Geltung im betreffenden System vorausgesetzt wird und aus der später weitere Aussagen abgeleitet werden.</w:t>
      </w:r>
    </w:p>
    <w:p w:rsidR="00E31D2E" w:rsidRDefault="00E31D2E" w:rsidP="00E31D2E">
      <w:pPr>
        <w:pStyle w:val="StandardWeb"/>
      </w:pPr>
      <w:r>
        <w:t>Damit erhält der Leser ein Werkzeug, mit dem er die spätere Axiomatik selbst kritisch prüfen kann. Er muss die Primäraxiome nicht lediglich akzeptieren, sondern kann nachvollziehen, weshalb eine bestimmte Aussage als Axiom und eine andere nur als Definition behandelt wird.</w:t>
      </w:r>
    </w:p>
    <w:p w:rsidR="00E31D2E" w:rsidRDefault="00E50336" w:rsidP="00E31D2E">
      <w:r>
        <w:pict>
          <v:rect id="_x0000_i1028" style="width:0;height:1.5pt" o:hralign="center" o:hrstd="t" o:hr="t" fillcolor="#a0a0a0" stroked="f"/>
        </w:pict>
      </w:r>
    </w:p>
    <w:p w:rsidR="0097736D" w:rsidRPr="00AF32B2" w:rsidRDefault="0097736D" w:rsidP="00AF32B2">
      <w:pPr>
        <w:pStyle w:val="berschrift3"/>
      </w:pPr>
      <w:r w:rsidRPr="00AF32B2">
        <w:t>3.3.3 Designprinzipien der FRZK-Axiomatik</w:t>
      </w:r>
    </w:p>
    <w:p w:rsidR="0097736D" w:rsidRDefault="0097736D" w:rsidP="0097736D">
      <w:pPr>
        <w:pStyle w:val="StandardWeb"/>
      </w:pPr>
      <w:r>
        <w:t>Die in Abschnitt 3.3.2 entwickelten Kriterien legen fest, wann eine wissenschaftliche Aussage überhaupt als Kandidat für ein Primäraxiom gelten kann. Für die weitere Theorieentwicklung reicht diese Abgrenzung jedoch noch nicht aus. Zusätzlich muss bestimmt werden, nach welchen konstruktiven Regeln die Axiomenbasis aufgebaut wird, damit Definitionen, Operatoren, Zustandsräume, Kohärenzbedingungen und spätere Rekonstruktionen widerspruchsfrei aufeinander aufbauen. Formale Theorien benötigen hierfür eine eindeutige Trennung zwischen Ausgangsannahmen, Definitionen und ableitbaren Aussagen [59, 79].</w:t>
      </w:r>
    </w:p>
    <w:p w:rsidR="0097736D" w:rsidRDefault="0097736D" w:rsidP="0097736D">
      <w:pPr>
        <w:pStyle w:val="StandardWeb"/>
      </w:pPr>
      <w:r>
        <w:t>Die Designprinzipien dieses Abschnitts stellen selbst keine Primäraxiome dar. Sie beschreiben die methodischen Regeln, nach denen ich die Primäraxiome auswähle, formuliere und in die weitere Architektur des FRZK einordne. Damit gehören sie nicht zum Gegenstandsbereich der Theorie, sondern zur kontrollierten Entwicklung ihrer formalen Struktur.</w:t>
      </w:r>
    </w:p>
    <w:p w:rsidR="0097736D" w:rsidRPr="00B16B66" w:rsidRDefault="0097736D" w:rsidP="00B16B66">
      <w:pPr>
        <w:pStyle w:val="Eigenleistung"/>
      </w:pPr>
      <w:r w:rsidRPr="00B16B66">
        <w:t>Eigenleistung des FRZK</w:t>
      </w:r>
    </w:p>
    <w:p w:rsidR="0097736D" w:rsidRDefault="0097736D" w:rsidP="0097736D">
      <w:pPr>
        <w:pStyle w:val="StandardWeb"/>
      </w:pPr>
      <w:r>
        <w:t>Ich lege für die gesamte weitere Entwicklung sieben verbindliche Designprinzipien fest:</w:t>
      </w:r>
    </w:p>
    <w:p w:rsidR="0097736D" w:rsidRDefault="0097736D" w:rsidP="00632D23">
      <w:pPr>
        <w:numPr>
          <w:ilvl w:val="0"/>
          <w:numId w:val="4"/>
        </w:numPr>
        <w:spacing w:before="100" w:beforeAutospacing="1" w:after="100" w:afterAutospacing="1"/>
      </w:pPr>
      <w:r>
        <w:t xml:space="preserve">Prinzip der Ableitungsrichtung </w:t>
      </w:r>
    </w:p>
    <w:p w:rsidR="0097736D" w:rsidRDefault="0097736D" w:rsidP="00632D23">
      <w:pPr>
        <w:numPr>
          <w:ilvl w:val="0"/>
          <w:numId w:val="4"/>
        </w:numPr>
        <w:spacing w:before="100" w:beforeAutospacing="1" w:after="100" w:afterAutospacing="1"/>
      </w:pPr>
      <w:r>
        <w:t xml:space="preserve">Prinzip der begrifflichen Sparsamkeit </w:t>
      </w:r>
    </w:p>
    <w:p w:rsidR="0097736D" w:rsidRDefault="0097736D" w:rsidP="00632D23">
      <w:pPr>
        <w:numPr>
          <w:ilvl w:val="0"/>
          <w:numId w:val="4"/>
        </w:numPr>
        <w:spacing w:before="100" w:beforeAutospacing="1" w:after="100" w:afterAutospacing="1"/>
      </w:pPr>
      <w:r>
        <w:t xml:space="preserve">Prinzip der unveränderten Mathematik </w:t>
      </w:r>
    </w:p>
    <w:p w:rsidR="0097736D" w:rsidRDefault="0097736D" w:rsidP="00632D23">
      <w:pPr>
        <w:numPr>
          <w:ilvl w:val="0"/>
          <w:numId w:val="4"/>
        </w:numPr>
        <w:spacing w:before="100" w:beforeAutospacing="1" w:after="100" w:afterAutospacing="1"/>
      </w:pPr>
      <w:r>
        <w:t xml:space="preserve">Prinzip der Ebenentrennung </w:t>
      </w:r>
    </w:p>
    <w:p w:rsidR="0097736D" w:rsidRDefault="0097736D" w:rsidP="00632D23">
      <w:pPr>
        <w:numPr>
          <w:ilvl w:val="0"/>
          <w:numId w:val="4"/>
        </w:numPr>
        <w:spacing w:before="100" w:beforeAutospacing="1" w:after="100" w:afterAutospacing="1"/>
      </w:pPr>
      <w:r>
        <w:t xml:space="preserve">Prinzip der expliziten Abhängigkeit </w:t>
      </w:r>
    </w:p>
    <w:p w:rsidR="0097736D" w:rsidRDefault="0097736D" w:rsidP="00632D23">
      <w:pPr>
        <w:numPr>
          <w:ilvl w:val="0"/>
          <w:numId w:val="4"/>
        </w:numPr>
        <w:spacing w:before="100" w:beforeAutospacing="1" w:after="100" w:afterAutospacing="1"/>
      </w:pPr>
      <w:r>
        <w:t xml:space="preserve">Prinzip der Erweiterungsoffenheit </w:t>
      </w:r>
    </w:p>
    <w:p w:rsidR="0097736D" w:rsidRDefault="0097736D" w:rsidP="00632D23">
      <w:pPr>
        <w:numPr>
          <w:ilvl w:val="0"/>
          <w:numId w:val="4"/>
        </w:numPr>
        <w:spacing w:before="100" w:beforeAutospacing="1" w:after="100" w:afterAutospacing="1"/>
      </w:pPr>
      <w:r>
        <w:t xml:space="preserve">Prinzip des Verbots der Rückwärtsbegründung </w:t>
      </w:r>
    </w:p>
    <w:p w:rsidR="0097736D" w:rsidRDefault="0097736D" w:rsidP="0097736D">
      <w:pPr>
        <w:pStyle w:val="StandardWeb"/>
      </w:pPr>
      <w:r>
        <w:t>Diese Prinzipien bilden gemeinsam den methodischen Rahmen, innerhalb dessen die Primäraxiome des FRZK entstehen.</w:t>
      </w:r>
    </w:p>
    <w:p w:rsidR="0097736D" w:rsidRPr="00AF32B2" w:rsidRDefault="0097736D" w:rsidP="00AF32B2">
      <w:pPr>
        <w:pStyle w:val="berschrift4"/>
      </w:pPr>
      <w:r w:rsidRPr="00AF32B2">
        <w:t>3.3.3.1 Prinzip der Ableitungsrichtung</w:t>
      </w:r>
    </w:p>
    <w:p w:rsidR="0097736D" w:rsidRDefault="0097736D" w:rsidP="0097736D">
      <w:pPr>
        <w:pStyle w:val="StandardWeb"/>
      </w:pPr>
      <w:r>
        <w:t xml:space="preserve">Formale Theorien unterscheiden zwischen nicht abgeleiteten Ausgangsaussagen und denjenigen Aussagen, die durch Schlussregeln aus ihnen hervorgehen [79]. Diese Unterscheidung erfordert eine eindeutige Richtung der wissenschaftlichen Entwicklung. </w:t>
      </w:r>
      <w:r>
        <w:lastRenderedPageBreak/>
        <w:t>Axiome begründen Definitionen und abgeleitete Aussagen; spätere Ergebnisse dürfen dagegen nicht rückwirkend zur Begründung der Axiome verwendet werden.</w:t>
      </w:r>
    </w:p>
    <w:p w:rsidR="0097736D" w:rsidRPr="00B16B66" w:rsidRDefault="0097736D" w:rsidP="00B16B66">
      <w:pPr>
        <w:pStyle w:val="Eigenleistung"/>
      </w:pPr>
      <w:r w:rsidRPr="00B16B66">
        <w:t>Eigenleistung des FRZK</w:t>
      </w:r>
    </w:p>
    <w:p w:rsidR="0097736D" w:rsidRDefault="0097736D" w:rsidP="0097736D">
      <w:pPr>
        <w:pStyle w:val="StandardWeb"/>
      </w:pPr>
      <w:r>
        <w:t>Ich lege deshalb folgende verbindliche Entwicklungsrichtung fest:</w:t>
      </w:r>
    </w:p>
    <w:p w:rsidR="0097736D" w:rsidRDefault="006F70A0" w:rsidP="0097736D">
      <w:pPr>
        <w:pStyle w:val="StandardWeb"/>
      </w:pPr>
      <m:oMathPara>
        <m:oMath>
          <m:r>
            <w:rPr>
              <w:rFonts w:ascii="Cambria Math" w:hAnsi="Cambria Math"/>
            </w:rPr>
            <m:t>mathematische Grundlagen → wissenschaftliche Lücke → Primäraxiom → Definition → Operator → Zustandsraum → Transformation → Kohärenz → Rekonstruktion → Simulation → Vorhersage</m:t>
          </m:r>
        </m:oMath>
      </m:oMathPara>
    </w:p>
    <w:p w:rsidR="0097736D" w:rsidRDefault="0097736D" w:rsidP="0097736D">
      <w:pPr>
        <w:pStyle w:val="StandardWeb"/>
      </w:pPr>
      <w:r>
        <w:t>Diese Reihenfolge beschreibt keine zeitliche Entwicklung eines physikalischen Systems. Sie beschreibt ausschließlich die logische Abhängigkeit der wissenschaftlichen Konstruktionen innerhalb dieser Dissertation.</w:t>
      </w:r>
    </w:p>
    <w:p w:rsidR="0097736D" w:rsidRDefault="0097736D" w:rsidP="0097736D">
      <w:pPr>
        <w:pStyle w:val="StandardWeb"/>
      </w:pPr>
      <w:r>
        <w:t>Ein Operator darf folglich erst eingeführt werden, wenn sein Definitions- und Zielbereich bestimmt sind. Ein Zustandsraum darf erst FRZK-spezifisch interpretiert werden, wenn geklärt ist, welche Objekte als funktionale Zustände gelten. Eine Kohärenzbedingung darf erst formuliert werden, wenn die Beziehungen und Transformationen definiert sind, deren Erhaltung oder Veränderung untersucht werden soll.</w:t>
      </w:r>
    </w:p>
    <w:p w:rsidR="0097736D" w:rsidRPr="00B16B66" w:rsidRDefault="0097736D" w:rsidP="00B16B66">
      <w:pPr>
        <w:pStyle w:val="Eigenleistung"/>
      </w:pPr>
      <w:r w:rsidRPr="00B16B66">
        <w:t>Eigenleistung des FRZK</w:t>
      </w:r>
    </w:p>
    <w:p w:rsidR="0097736D" w:rsidRDefault="0097736D" w:rsidP="0097736D">
      <w:pPr>
        <w:pStyle w:val="StandardWeb"/>
      </w:pPr>
      <w:r>
        <w:t>Ich behandle die Ableitungsrichtung als verbindliche Architekturregel. Wird im weiteren Verlauf eine Aussage benötigt, deren Voraussetzungen noch nicht eingeführt wurden, darf diese Aussage nicht vorgezogen werden. Stattdessen muss entweder die fehlende Voraussetzung an der logisch richtigen Stelle ergänzt oder die betreffende Aussage verworfen werden.</w:t>
      </w:r>
    </w:p>
    <w:p w:rsidR="0097736D" w:rsidRPr="00AF32B2" w:rsidRDefault="0097736D" w:rsidP="00AF32B2">
      <w:pPr>
        <w:pStyle w:val="berschrift4"/>
      </w:pPr>
      <w:r w:rsidRPr="00AF32B2">
        <w:t>3.3.3.2 Prinzip der begrifflichen Sparsamkeit</w:t>
      </w:r>
    </w:p>
    <w:p w:rsidR="0097736D" w:rsidRDefault="0097736D" w:rsidP="0097736D">
      <w:pPr>
        <w:pStyle w:val="StandardWeb"/>
      </w:pPr>
      <w:r>
        <w:t>Strukturorientierte Mathematik erreicht ihre Allgemeinheit dadurch, dass sie nicht für jeden Anwendungsfall neue Grundobjekte einführt, sondern vorhandene Begriffe über Relationen und Abbildungen organisiert [60, 78]. Auch formale Systeme gewinnen an Klarheit, wenn ihre Grundbegriffe auf das notwendige Minimum beschränkt bleiben [79].</w:t>
      </w:r>
    </w:p>
    <w:p w:rsidR="0097736D" w:rsidRPr="00B16B66" w:rsidRDefault="0097736D" w:rsidP="00B16B66">
      <w:pPr>
        <w:pStyle w:val="Eigenleistung"/>
      </w:pPr>
      <w:r w:rsidRPr="00B16B66">
        <w:t>Eigenleistung des FRZK</w:t>
      </w:r>
    </w:p>
    <w:p w:rsidR="0097736D" w:rsidRDefault="0097736D" w:rsidP="0097736D">
      <w:pPr>
        <w:pStyle w:val="StandardWeb"/>
      </w:pPr>
      <w:r>
        <w:t>Ich führe einen neuen FRZK-Begriff nur dann ein, wenn kein bereits etablierter mathematischer Begriff dieselbe Funktion erfüllt. Eine neue Bezeichnung allein rechtfertigt keine neue Definition. Ebenso darf eine funktionale Interpretation nicht als neuer mathematischer Begriff ausgegeben werden.</w:t>
      </w:r>
    </w:p>
    <w:p w:rsidR="0097736D" w:rsidRDefault="0097736D" w:rsidP="0097736D">
      <w:pPr>
        <w:pStyle w:val="StandardWeb"/>
      </w:pPr>
      <w:r>
        <w:t>Beispielsweise bleibt ein Vektor ein Vektor, auch wenn ich ihn später als Darstellung eines funktionalen Zustands verwende. Eine lineare Abbildung bleibt eine lineare Abbildung, auch wenn sie innerhalb des FRZK eine zulässige Transformation repräsentiert. Neu ist in diesen Fällen nicht die Mathematik, sondern die explizit ausgewiesene Zuordnung innerhalb des theoretischen Modells [60, 67, 68].</w:t>
      </w:r>
    </w:p>
    <w:p w:rsidR="0097736D" w:rsidRPr="00B16B66" w:rsidRDefault="0097736D" w:rsidP="00B16B66">
      <w:pPr>
        <w:pStyle w:val="Eigenleistung"/>
      </w:pPr>
      <w:r w:rsidRPr="00B16B66">
        <w:lastRenderedPageBreak/>
        <w:t>Eigenleistung des FRZK</w:t>
      </w:r>
    </w:p>
    <w:p w:rsidR="0097736D" w:rsidRDefault="0097736D" w:rsidP="0097736D">
      <w:pPr>
        <w:pStyle w:val="StandardWeb"/>
      </w:pPr>
      <w:r>
        <w:t>Das Prinzip der begrifflichen Sparsamkeit verhindert eine künstliche Vergrößerung der Eigenleistung. Ich beanspruche keine neuen mathematischen Objekte, wenn lediglich eine neue funktionale Interpretation vorliegt. Die Eigenleistung besteht in diesem Fall ausschließlich in der Auswahl, Organisation und theoretischen Verknüpfung bereits etablierter Strukturen.</w:t>
      </w:r>
    </w:p>
    <w:p w:rsidR="0097736D" w:rsidRPr="00AF32B2" w:rsidRDefault="0097736D" w:rsidP="00AF32B2">
      <w:pPr>
        <w:pStyle w:val="berschrift4"/>
      </w:pPr>
      <w:r w:rsidRPr="00AF32B2">
        <w:t>3.3.3.3 Prinzip der unveränderten Mathematik</w:t>
      </w:r>
    </w:p>
    <w:p w:rsidR="0097736D" w:rsidRDefault="0097736D" w:rsidP="0097736D">
      <w:pPr>
        <w:pStyle w:val="StandardWeb"/>
      </w:pPr>
      <w:r>
        <w:t>Die mathematischen Grundlagen aus Kapitel 3.2 wurden unabhängig von der späteren FRZK-Interpretation eingeführt. Ihre Definitionen und Eigenschaften beruhen auf etablierter Fachliteratur und dürfen durch die Theorieentwicklung nicht nachträglich verändert werden [6, 71, 75, 76].</w:t>
      </w:r>
    </w:p>
    <w:p w:rsidR="0097736D" w:rsidRPr="00B16B66" w:rsidRDefault="0097736D" w:rsidP="00B16B66">
      <w:pPr>
        <w:pStyle w:val="Eigenleistung"/>
      </w:pPr>
      <w:r w:rsidRPr="00B16B66">
        <w:t>Eigenleistung des FRZK</w:t>
      </w:r>
    </w:p>
    <w:p w:rsidR="0097736D" w:rsidRDefault="0097736D" w:rsidP="0097736D">
      <w:pPr>
        <w:pStyle w:val="StandardWeb"/>
      </w:pPr>
      <w:r>
        <w:t>Ich lege deshalb fest, dass das FRZK keine mathematische Definition aus Kapitel 3.2 umdeutet oder ersetzt. Benötigt das Modell zusätzliche Informationen, muss hierfür eine neue, eindeutig gekennzeichnete Struktur eingeführt werden. Die ursprüngliche mathematische Definition bleibt unverändert bestehen.</w:t>
      </w:r>
    </w:p>
    <w:p w:rsidR="0097736D" w:rsidRDefault="0097736D" w:rsidP="0097736D">
      <w:pPr>
        <w:pStyle w:val="StandardWeb"/>
      </w:pPr>
      <w:r>
        <w:t>Diese Regel ist insbesondere dort entscheidend, wo eine funktionale Interpretation über den Informationsgehalt der klassischen Mathematik hinausgehen soll. Wird beispielsweise eine zusätzliche Herkunfts-, Richtungs- oder Kontextinformation benötigt, darf diese nicht nachträglich dem klassischen Nullvektor, einer Norm oder einem Operator zugeschrieben werden. Sie muss als gesonderter Bestandteil des FRZK definiert und begründet werden [71, 75].</w:t>
      </w:r>
    </w:p>
    <w:p w:rsidR="0097736D" w:rsidRPr="00B16B66" w:rsidRDefault="0097736D" w:rsidP="00B16B66">
      <w:pPr>
        <w:pStyle w:val="Eigenleistung"/>
      </w:pPr>
      <w:r w:rsidRPr="00B16B66">
        <w:t>Eigenleistung des FRZK</w:t>
      </w:r>
    </w:p>
    <w:p w:rsidR="0097736D" w:rsidRDefault="0097736D" w:rsidP="0097736D">
      <w:pPr>
        <w:pStyle w:val="StandardWeb"/>
      </w:pPr>
      <w:r>
        <w:t>Ich unterscheide deshalb konsequent zwischen mathematischer Erweiterung und funktionaler Ergänzung. Eine mathematische Erweiterung würde neue mathematische Strukturen oder Rechenregeln behaupten. Eine funktionale Ergänzung ordnet einem vorhandenen mathematischen Objekt zusätzliche Modellinformationen zu, ohne dessen mathematische Eigenschaften zu verändern. Das FRZK verwendet ausschließlich den zweiten Weg.</w:t>
      </w:r>
    </w:p>
    <w:p w:rsidR="0097736D" w:rsidRPr="00AF32B2" w:rsidRDefault="0097736D" w:rsidP="00AF32B2">
      <w:pPr>
        <w:pStyle w:val="berschrift4"/>
      </w:pPr>
      <w:r w:rsidRPr="00AF32B2">
        <w:t>3.3.3.4 Prinzip der Ebenentrennung</w:t>
      </w:r>
    </w:p>
    <w:p w:rsidR="0097736D" w:rsidRDefault="0097736D" w:rsidP="0097736D">
      <w:pPr>
        <w:pStyle w:val="StandardWeb"/>
      </w:pPr>
      <w:r>
        <w:t>Tarskis Trennung zwischen formaler Sprache und Interpretation zeigt, dass Aussagen verschiedener Ebenen nicht ohne Kennzeichnung miteinander vermischt werden dürfen [59]. Suppes macht zugleich deutlich, dass mathematische Modelle und ihre wissenschaftliche Verwendung voneinander unterschieden werden müssen [58].</w:t>
      </w:r>
    </w:p>
    <w:p w:rsidR="0097736D" w:rsidRPr="00B16B66" w:rsidRDefault="0097736D" w:rsidP="00B16B66">
      <w:pPr>
        <w:pStyle w:val="Eigenleistung"/>
      </w:pPr>
      <w:r w:rsidRPr="00B16B66">
        <w:t>Eigenleistung des FRZK</w:t>
      </w:r>
    </w:p>
    <w:p w:rsidR="0097736D" w:rsidRDefault="0097736D" w:rsidP="0097736D">
      <w:pPr>
        <w:pStyle w:val="StandardWeb"/>
      </w:pPr>
      <w:r>
        <w:t>Ich unterscheide innerhalb des FRZK fünf Aussageebenen:</w:t>
      </w:r>
    </w:p>
    <w:p w:rsidR="0097736D" w:rsidRDefault="0097736D" w:rsidP="00632D23">
      <w:pPr>
        <w:numPr>
          <w:ilvl w:val="0"/>
          <w:numId w:val="5"/>
        </w:numPr>
        <w:spacing w:before="100" w:beforeAutospacing="1" w:after="100" w:afterAutospacing="1"/>
      </w:pPr>
      <w:r>
        <w:t xml:space="preserve">mathematische Aussage, </w:t>
      </w:r>
    </w:p>
    <w:p w:rsidR="0097736D" w:rsidRDefault="0097736D" w:rsidP="00632D23">
      <w:pPr>
        <w:numPr>
          <w:ilvl w:val="0"/>
          <w:numId w:val="5"/>
        </w:numPr>
        <w:spacing w:before="100" w:beforeAutospacing="1" w:after="100" w:afterAutospacing="1"/>
      </w:pPr>
      <w:r>
        <w:t xml:space="preserve">Definition, </w:t>
      </w:r>
    </w:p>
    <w:p w:rsidR="0097736D" w:rsidRDefault="0097736D" w:rsidP="00632D23">
      <w:pPr>
        <w:numPr>
          <w:ilvl w:val="0"/>
          <w:numId w:val="5"/>
        </w:numPr>
        <w:spacing w:before="100" w:beforeAutospacing="1" w:after="100" w:afterAutospacing="1"/>
      </w:pPr>
      <w:r>
        <w:t xml:space="preserve">Primäraxiom, </w:t>
      </w:r>
    </w:p>
    <w:p w:rsidR="0097736D" w:rsidRDefault="0097736D" w:rsidP="00632D23">
      <w:pPr>
        <w:numPr>
          <w:ilvl w:val="0"/>
          <w:numId w:val="5"/>
        </w:numPr>
        <w:spacing w:before="100" w:beforeAutospacing="1" w:after="100" w:afterAutospacing="1"/>
      </w:pPr>
      <w:r>
        <w:lastRenderedPageBreak/>
        <w:t xml:space="preserve">mathematische Folgerung, </w:t>
      </w:r>
    </w:p>
    <w:p w:rsidR="0097736D" w:rsidRDefault="0097736D" w:rsidP="00632D23">
      <w:pPr>
        <w:numPr>
          <w:ilvl w:val="0"/>
          <w:numId w:val="5"/>
        </w:numPr>
        <w:spacing w:before="100" w:beforeAutospacing="1" w:after="100" w:afterAutospacing="1"/>
      </w:pPr>
      <w:r>
        <w:t xml:space="preserve">physikalische oder empirische Interpretation. </w:t>
      </w:r>
    </w:p>
    <w:p w:rsidR="0097736D" w:rsidRDefault="0097736D" w:rsidP="0097736D">
      <w:pPr>
        <w:pStyle w:val="StandardWeb"/>
      </w:pPr>
      <w:r>
        <w:t>Jede neue Aussage muss einer dieser Ebenen eindeutig zugeordnet werden.</w:t>
      </w:r>
    </w:p>
    <w:p w:rsidR="0097736D" w:rsidRDefault="0097736D" w:rsidP="0097736D">
      <w:pPr>
        <w:pStyle w:val="StandardWeb"/>
      </w:pPr>
      <w:r>
        <w:t>Eine mathematische Aussage übernimmt Ergebnisse aus Kapitel 3.2. Eine Definition legt die Bedeutung eines FRZK-Begriffs fest. Ein Primäraxiom formuliert eine nicht ableitbare Grundannahme. Eine mathematische Folgerung wird aus Axiomen, Definitionen und mathematischen Regeln hergeleitet. Eine physikalische oder empirische Interpretation ordnet der formalen Struktur schließlich einen möglichen Anwendungsbezug zu.</w:t>
      </w:r>
    </w:p>
    <w:p w:rsidR="0097736D" w:rsidRPr="00B16B66" w:rsidRDefault="0097736D" w:rsidP="00B16B66">
      <w:pPr>
        <w:pStyle w:val="Eigenleistung"/>
      </w:pPr>
      <w:r w:rsidRPr="00B16B66">
        <w:t>Eigenleistung des FRZK</w:t>
      </w:r>
    </w:p>
    <w:p w:rsidR="0097736D" w:rsidRDefault="0097736D" w:rsidP="0097736D">
      <w:pPr>
        <w:pStyle w:val="StandardWeb"/>
      </w:pPr>
      <w:r>
        <w:t>Ich verbiete insbesondere die unmittelbare Gleichsetzung von mathematischer Folgerung und physikalischer Wirklichkeit. Selbst eine widerspruchsfreie Herleitung zeigt zunächst nur, dass eine Aussage innerhalb des gewählten Systems folgt. Ob sie eine physikalische Struktur beschreibt, verlangt zusätzliche theoretische und empirische Begründungen.</w:t>
      </w:r>
    </w:p>
    <w:p w:rsidR="0097736D" w:rsidRPr="00AF32B2" w:rsidRDefault="0097736D" w:rsidP="00AF32B2">
      <w:pPr>
        <w:pStyle w:val="berschrift4"/>
      </w:pPr>
      <w:r w:rsidRPr="00AF32B2">
        <w:t>3.3.3.5 Prinzip der expliziten Abhängigkeit</w:t>
      </w:r>
    </w:p>
    <w:p w:rsidR="0097736D" w:rsidRDefault="0097736D" w:rsidP="0097736D">
      <w:pPr>
        <w:pStyle w:val="StandardWeb"/>
      </w:pPr>
      <w:r>
        <w:t>Formale Ableitbarkeit setzt voraus, dass die verwendeten Ausgangsaussagen und Schlussregeln eindeutig bestimmt sind [79]. Für eine wissenschaftlich nachvollziehbare Theorie genügt es daher nicht, eine Aussage lediglich plausibel herzuleiten. Ihre direkten Voraussetzungen müssen dokumentiert werden.</w:t>
      </w:r>
    </w:p>
    <w:p w:rsidR="0097736D" w:rsidRPr="00B16B66" w:rsidRDefault="0097736D" w:rsidP="00B16B66">
      <w:pPr>
        <w:pStyle w:val="Eigenleistung"/>
      </w:pPr>
      <w:r w:rsidRPr="00B16B66">
        <w:t>Eigenleistung des FRZK</w:t>
      </w:r>
    </w:p>
    <w:p w:rsidR="0097736D" w:rsidRDefault="0097736D" w:rsidP="0097736D">
      <w:pPr>
        <w:pStyle w:val="StandardWeb"/>
      </w:pPr>
      <w:r>
        <w:t>Ich lege fest, dass jedes neue wissenschaftliche Objekt des FRZK seine unmittelbaren Abhängigkeiten ausweist. Dazu gehören je nach Objekttyp:</w:t>
      </w:r>
    </w:p>
    <w:p w:rsidR="0097736D" w:rsidRDefault="0097736D" w:rsidP="00632D23">
      <w:pPr>
        <w:numPr>
          <w:ilvl w:val="0"/>
          <w:numId w:val="6"/>
        </w:numPr>
        <w:spacing w:before="100" w:beforeAutospacing="1" w:after="100" w:afterAutospacing="1"/>
      </w:pPr>
      <w:r>
        <w:t xml:space="preserve">mathematische Grundlagen, </w:t>
      </w:r>
    </w:p>
    <w:p w:rsidR="0097736D" w:rsidRDefault="0097736D" w:rsidP="00632D23">
      <w:pPr>
        <w:numPr>
          <w:ilvl w:val="0"/>
          <w:numId w:val="6"/>
        </w:numPr>
        <w:spacing w:before="100" w:beforeAutospacing="1" w:after="100" w:afterAutospacing="1"/>
      </w:pPr>
      <w:r>
        <w:t xml:space="preserve">verwendete Primäraxiome, </w:t>
      </w:r>
    </w:p>
    <w:p w:rsidR="0097736D" w:rsidRDefault="0097736D" w:rsidP="00632D23">
      <w:pPr>
        <w:numPr>
          <w:ilvl w:val="0"/>
          <w:numId w:val="6"/>
        </w:numPr>
        <w:spacing w:before="100" w:beforeAutospacing="1" w:after="100" w:afterAutospacing="1"/>
      </w:pPr>
      <w:r>
        <w:t xml:space="preserve">vorausgesetzte Definitionen, </w:t>
      </w:r>
    </w:p>
    <w:p w:rsidR="0097736D" w:rsidRDefault="0097736D" w:rsidP="00632D23">
      <w:pPr>
        <w:numPr>
          <w:ilvl w:val="0"/>
          <w:numId w:val="6"/>
        </w:numPr>
        <w:spacing w:before="100" w:beforeAutospacing="1" w:after="100" w:afterAutospacing="1"/>
      </w:pPr>
      <w:r>
        <w:t xml:space="preserve">vorangehende Sätze oder Lemmata, </w:t>
      </w:r>
    </w:p>
    <w:p w:rsidR="0097736D" w:rsidRDefault="0097736D" w:rsidP="00632D23">
      <w:pPr>
        <w:numPr>
          <w:ilvl w:val="0"/>
          <w:numId w:val="6"/>
        </w:numPr>
        <w:spacing w:before="100" w:beforeAutospacing="1" w:after="100" w:afterAutospacing="1"/>
      </w:pPr>
      <w:r>
        <w:t xml:space="preserve">verwendete Operatoren, </w:t>
      </w:r>
    </w:p>
    <w:p w:rsidR="0097736D" w:rsidRDefault="0097736D" w:rsidP="00632D23">
      <w:pPr>
        <w:numPr>
          <w:ilvl w:val="0"/>
          <w:numId w:val="6"/>
        </w:numPr>
        <w:spacing w:before="100" w:beforeAutospacing="1" w:after="100" w:afterAutospacing="1"/>
      </w:pPr>
      <w:r>
        <w:t xml:space="preserve">Gültigkeitsbereich, </w:t>
      </w:r>
    </w:p>
    <w:p w:rsidR="0097736D" w:rsidRDefault="0097736D" w:rsidP="00632D23">
      <w:pPr>
        <w:numPr>
          <w:ilvl w:val="0"/>
          <w:numId w:val="6"/>
        </w:numPr>
        <w:spacing w:before="100" w:beforeAutospacing="1" w:after="100" w:afterAutospacing="1"/>
      </w:pPr>
      <w:r>
        <w:t xml:space="preserve">spätere Verwendung. </w:t>
      </w:r>
    </w:p>
    <w:p w:rsidR="0097736D" w:rsidRDefault="0097736D" w:rsidP="0097736D">
      <w:pPr>
        <w:pStyle w:val="StandardWeb"/>
      </w:pPr>
      <w:r>
        <w:t>Diese Abhängigkeiten werden sowohl im wissenschaftlichen Text als auch im Repository dokumentiert. Dadurch entsteht keine bloße Sammlung einzelner Definitionen und Gleichungen, sondern eine gerichtete Wissensstruktur, in der jede Aussage auf ihre Voraussetzungen zurückgeführt werden kann.</w:t>
      </w:r>
    </w:p>
    <w:p w:rsidR="0097736D" w:rsidRPr="00B16B66" w:rsidRDefault="0097736D" w:rsidP="00B16B66">
      <w:pPr>
        <w:pStyle w:val="Eigenleistung"/>
      </w:pPr>
      <w:r w:rsidRPr="00B16B66">
        <w:t>Eigenleistung des FRZK</w:t>
      </w:r>
    </w:p>
    <w:p w:rsidR="0097736D" w:rsidRDefault="0097736D" w:rsidP="0097736D">
      <w:pPr>
        <w:pStyle w:val="StandardWeb"/>
      </w:pPr>
      <w:r>
        <w:t>Eine Aussage gilt innerhalb des FRZK erst dann als vollständig dokumentiert, wenn nicht nur ihr Inhalt, sondern auch ihre Herkunft und ihre spätere Funktion festgehalten sind. Damit wird Rückverfolgbarkeit zu einem Bestandteil der wissenschaftlichen Qualität und nicht nur zu einer technischen Eigenschaft der Datenbank.</w:t>
      </w:r>
    </w:p>
    <w:p w:rsidR="0097736D" w:rsidRPr="00AF32B2" w:rsidRDefault="0097736D" w:rsidP="00AF32B2">
      <w:pPr>
        <w:pStyle w:val="berschrift4"/>
      </w:pPr>
      <w:r w:rsidRPr="00AF32B2">
        <w:lastRenderedPageBreak/>
        <w:t>3.3.3.6 Prinzip der Erweiterungsoffenheit</w:t>
      </w:r>
    </w:p>
    <w:p w:rsidR="0097736D" w:rsidRDefault="0097736D" w:rsidP="0097736D">
      <w:pPr>
        <w:pStyle w:val="StandardWeb"/>
      </w:pPr>
      <w:r>
        <w:t>Formale Systeme können ihren jeweiligen Gegenstandsbereich nur innerhalb der festgelegten Sprache und Ausgangsannahmen behandeln [79]. Daraus folgt nicht, dass jede wissenschaftliche Theorie einen Anspruch auf vollständige Beschreibung aller möglichen Sachverhalte erheben muss.</w:t>
      </w:r>
    </w:p>
    <w:p w:rsidR="0097736D" w:rsidRPr="00B16B66" w:rsidRDefault="0097736D" w:rsidP="00B16B66">
      <w:pPr>
        <w:pStyle w:val="Eigenleistung"/>
      </w:pPr>
      <w:r w:rsidRPr="00B16B66">
        <w:t>Eigenleistung des FRZK</w:t>
      </w:r>
    </w:p>
    <w:p w:rsidR="0097736D" w:rsidRDefault="0097736D" w:rsidP="0097736D">
      <w:pPr>
        <w:pStyle w:val="StandardWeb"/>
      </w:pPr>
      <w:r>
        <w:t>Ich verstehe die Axiomenbasis des FRZK als offen für spätere Erweiterungen. Eine Erweiterung ist jedoch nur zulässig, wenn sie:</w:t>
      </w:r>
    </w:p>
    <w:p w:rsidR="0097736D" w:rsidRDefault="0097736D" w:rsidP="00632D23">
      <w:pPr>
        <w:numPr>
          <w:ilvl w:val="0"/>
          <w:numId w:val="7"/>
        </w:numPr>
        <w:spacing w:before="100" w:beforeAutospacing="1" w:after="100" w:afterAutospacing="1"/>
      </w:pPr>
      <w:r>
        <w:t xml:space="preserve">die vorhandenen Primäraxiome nicht widersprüchlich verändert, </w:t>
      </w:r>
    </w:p>
    <w:p w:rsidR="0097736D" w:rsidRDefault="0097736D" w:rsidP="00632D23">
      <w:pPr>
        <w:numPr>
          <w:ilvl w:val="0"/>
          <w:numId w:val="7"/>
        </w:numPr>
        <w:spacing w:before="100" w:beforeAutospacing="1" w:after="100" w:afterAutospacing="1"/>
      </w:pPr>
      <w:r>
        <w:t xml:space="preserve">ihren zusätzlichen Geltungsbereich ausdrücklich benennt, </w:t>
      </w:r>
    </w:p>
    <w:p w:rsidR="0097736D" w:rsidRDefault="0097736D" w:rsidP="00632D23">
      <w:pPr>
        <w:numPr>
          <w:ilvl w:val="0"/>
          <w:numId w:val="7"/>
        </w:numPr>
        <w:spacing w:before="100" w:beforeAutospacing="1" w:after="100" w:afterAutospacing="1"/>
      </w:pPr>
      <w:r>
        <w:t xml:space="preserve">neue Begriffe und Abhängigkeiten vollständig dokumentiert, </w:t>
      </w:r>
    </w:p>
    <w:p w:rsidR="0097736D" w:rsidRDefault="0097736D" w:rsidP="00632D23">
      <w:pPr>
        <w:numPr>
          <w:ilvl w:val="0"/>
          <w:numId w:val="7"/>
        </w:numPr>
        <w:spacing w:before="100" w:beforeAutospacing="1" w:after="100" w:afterAutospacing="1"/>
      </w:pPr>
      <w:r>
        <w:t xml:space="preserve">und die bisherigen Aussagen innerhalb ihres ursprünglichen Gültigkeitsbereichs erhält. </w:t>
      </w:r>
    </w:p>
    <w:p w:rsidR="0097736D" w:rsidRDefault="0097736D" w:rsidP="0097736D">
      <w:pPr>
        <w:pStyle w:val="StandardWeb"/>
      </w:pPr>
      <w:r>
        <w:t>Erweiterungsoffenheit bedeutet damit nicht Beliebigkeit. Ein neues Axiom darf nicht eingeführt werden, um eine unerwünschte Folgerung nachträglich zu korrigieren oder eine bereits formulierte Vorhersage zu retten. Es muss eine neue, zuvor nicht erfasste wissenschaftliche Lücke beantworten.</w:t>
      </w:r>
    </w:p>
    <w:p w:rsidR="0097736D" w:rsidRPr="00B16B66" w:rsidRDefault="0097736D" w:rsidP="00B16B66">
      <w:pPr>
        <w:pStyle w:val="Eigenleistung"/>
      </w:pPr>
      <w:r w:rsidRPr="00B16B66">
        <w:t>Eigenleistung des FRZK</w:t>
      </w:r>
    </w:p>
    <w:p w:rsidR="0097736D" w:rsidRDefault="0097736D" w:rsidP="0097736D">
      <w:pPr>
        <w:pStyle w:val="StandardWeb"/>
      </w:pPr>
      <w:r>
        <w:t>Ich unterscheide deshalb zwischen einer legitimen Erweiterung und einer rückwirkenden Reparatur. Eine legitime Erweiterung vergrößert den ausdrücklich beschriebenen Geltungsbereich. Eine rückwirkende Reparatur verändert dagegen die Voraussetzungen, um ein bereits gewünschtes Ergebnis zu erhalten. Der zweite Fall ist für das FRZK unzulässig.</w:t>
      </w:r>
    </w:p>
    <w:p w:rsidR="0097736D" w:rsidRPr="00AF32B2" w:rsidRDefault="0097736D" w:rsidP="00AF32B2">
      <w:pPr>
        <w:pStyle w:val="berschrift4"/>
      </w:pPr>
      <w:r w:rsidRPr="00AF32B2">
        <w:t>3.3.3.7 Prinzip des Verbots der Rückwärtsbegründung</w:t>
      </w:r>
    </w:p>
    <w:p w:rsidR="0097736D" w:rsidRDefault="0097736D" w:rsidP="0097736D">
      <w:pPr>
        <w:pStyle w:val="StandardWeb"/>
      </w:pPr>
      <w:r>
        <w:t>Wissenschaftliche Modelle verlieren ihre Begründungskraft, wenn spätere Ergebnisse unbemerkt in ihre Ausgangsannahmen eingebaut werden. Eine solche Rückwärtsbegründung würde dazu führen, dass Vorhersagen oder Simulationsergebnisse nicht mehr unabhängige Konsequenzen der Theorie wären, sondern bereits in deren Voraussetzungen enthalten sind [58, 79].</w:t>
      </w:r>
    </w:p>
    <w:p w:rsidR="0097736D" w:rsidRPr="00B16B66" w:rsidRDefault="0097736D" w:rsidP="00B16B66">
      <w:pPr>
        <w:pStyle w:val="Eigenleistung"/>
      </w:pPr>
      <w:r w:rsidRPr="00B16B66">
        <w:t>Eigenleistung des FRZK</w:t>
      </w:r>
    </w:p>
    <w:p w:rsidR="0097736D" w:rsidRDefault="0097736D" w:rsidP="0097736D">
      <w:pPr>
        <w:pStyle w:val="StandardWeb"/>
      </w:pPr>
      <w:r>
        <w:t>Ich lege daher verbindlich fest, dass kein Ergebnis aus den späteren Kapiteln zur nachträglichen Begründung eines Primäraxioms verwendet werden darf. Insbesondere dürfen:</w:t>
      </w:r>
    </w:p>
    <w:p w:rsidR="0097736D" w:rsidRDefault="0097736D" w:rsidP="00632D23">
      <w:pPr>
        <w:numPr>
          <w:ilvl w:val="0"/>
          <w:numId w:val="8"/>
        </w:numPr>
        <w:spacing w:before="100" w:beforeAutospacing="1" w:after="100" w:afterAutospacing="1"/>
      </w:pPr>
      <w:r>
        <w:t xml:space="preserve">Simulationsergebnisse keine Axiome bestimmen, </w:t>
      </w:r>
    </w:p>
    <w:p w:rsidR="0097736D" w:rsidRDefault="0097736D" w:rsidP="00632D23">
      <w:pPr>
        <w:numPr>
          <w:ilvl w:val="0"/>
          <w:numId w:val="8"/>
        </w:numPr>
        <w:spacing w:before="100" w:beforeAutospacing="1" w:after="100" w:afterAutospacing="1"/>
      </w:pPr>
      <w:r>
        <w:t xml:space="preserve">gewünschte Vorhersagen keine Definitionen erzwingen, </w:t>
      </w:r>
    </w:p>
    <w:p w:rsidR="0097736D" w:rsidRDefault="0097736D" w:rsidP="00632D23">
      <w:pPr>
        <w:numPr>
          <w:ilvl w:val="0"/>
          <w:numId w:val="8"/>
        </w:numPr>
        <w:spacing w:before="100" w:beforeAutospacing="1" w:after="100" w:afterAutospacing="1"/>
      </w:pPr>
      <w:r>
        <w:t xml:space="preserve">empirische Übereinstimmungen keine mathematischen Voraussetzungen ersetzen, </w:t>
      </w:r>
    </w:p>
    <w:p w:rsidR="0097736D" w:rsidRDefault="0097736D" w:rsidP="00632D23">
      <w:pPr>
        <w:numPr>
          <w:ilvl w:val="0"/>
          <w:numId w:val="8"/>
        </w:numPr>
        <w:spacing w:before="100" w:beforeAutospacing="1" w:after="100" w:afterAutospacing="1"/>
      </w:pPr>
      <w:r>
        <w:t xml:space="preserve">spätere physikalische Interpretationen keine früheren formalen Aussagen verändern. </w:t>
      </w:r>
    </w:p>
    <w:p w:rsidR="0097736D" w:rsidRDefault="0097736D" w:rsidP="0097736D">
      <w:pPr>
        <w:pStyle w:val="StandardWeb"/>
      </w:pPr>
      <w:r>
        <w:lastRenderedPageBreak/>
        <w:t>Kapitel 4 darf damit ausschließlich Konsequenzen untersuchen, die vollständig auf Kapitel 3 zurückgeführt werden können. Neue Axiome, neue grundlegende Operatoren oder neue Zustandsräume sind dort ausgeschlossen.</w:t>
      </w:r>
    </w:p>
    <w:p w:rsidR="0097736D" w:rsidRPr="00B16B66" w:rsidRDefault="0097736D" w:rsidP="00B16B66">
      <w:pPr>
        <w:pStyle w:val="Eigenleistung"/>
      </w:pPr>
      <w:r w:rsidRPr="00B16B66">
        <w:t>Eigenleistung des FRZK</w:t>
      </w:r>
    </w:p>
    <w:p w:rsidR="0097736D" w:rsidRDefault="0097736D" w:rsidP="0097736D">
      <w:pPr>
        <w:pStyle w:val="StandardWeb"/>
      </w:pPr>
      <w:r>
        <w:t>Das Verbot der Rückwärtsbegründung bildet den entscheidenden Schutz gegen Zirkelschlüsse. Eine Vorhersage besitzt innerhalb des FRZK nur dann wissenschaftlichen Wert, wenn sie aus Voraussetzungen folgt, die unabhängig von dieser Vorhersage formuliert und dokumentiert wurden.</w:t>
      </w:r>
    </w:p>
    <w:p w:rsidR="0097736D" w:rsidRPr="00AF32B2" w:rsidRDefault="0097736D" w:rsidP="00AF32B2">
      <w:pPr>
        <w:pStyle w:val="berschrift4"/>
      </w:pPr>
      <w:r w:rsidRPr="00AF32B2">
        <w:t>3.3.3.8 Zusammenführung der Designprinzipien</w:t>
      </w:r>
    </w:p>
    <w:p w:rsidR="0097736D" w:rsidRDefault="0097736D" w:rsidP="0097736D">
      <w:pPr>
        <w:pStyle w:val="StandardWeb"/>
      </w:pPr>
      <w:r>
        <w:t>Die sieben Designprinzipien legen fest, wie die Axiomenbasis des FRZK entwickelt werden darf. Sie bestimmen weder die Existenz funktionaler Zustände noch deren Beziehungen oder Transformationen. Sie sind deshalb keine Aussagen über das FRZK selbst, sondern methodische Regeln seiner Konstruktion.</w:t>
      </w:r>
    </w:p>
    <w:p w:rsidR="0097736D" w:rsidRPr="00B16B66" w:rsidRDefault="0097736D" w:rsidP="00B16B66">
      <w:pPr>
        <w:pStyle w:val="Eigenleistung"/>
      </w:pPr>
      <w:r w:rsidRPr="00B16B66">
        <w:t>Eigenleistung des FRZK</w:t>
      </w:r>
    </w:p>
    <w:p w:rsidR="0097736D" w:rsidRDefault="0097736D" w:rsidP="0097736D">
      <w:pPr>
        <w:pStyle w:val="StandardWeb"/>
      </w:pPr>
      <w:r>
        <w:t>Ich fasse die verbindliche Architektur wie folgt zusammen:</w:t>
      </w:r>
    </w:p>
    <w:p w:rsidR="0097736D" w:rsidRDefault="0097736D" w:rsidP="00632D23">
      <w:pPr>
        <w:numPr>
          <w:ilvl w:val="0"/>
          <w:numId w:val="9"/>
        </w:numPr>
        <w:spacing w:before="100" w:beforeAutospacing="1" w:after="100" w:afterAutospacing="1"/>
      </w:pPr>
      <w:r>
        <w:t xml:space="preserve">Primäraxiome werden ausschließlich aus nachgewiesenen wissenschaftlichen Lücken entwickelt. </w:t>
      </w:r>
    </w:p>
    <w:p w:rsidR="0097736D" w:rsidRDefault="0097736D" w:rsidP="00632D23">
      <w:pPr>
        <w:numPr>
          <w:ilvl w:val="0"/>
          <w:numId w:val="9"/>
        </w:numPr>
        <w:spacing w:before="100" w:beforeAutospacing="1" w:after="100" w:afterAutospacing="1"/>
      </w:pPr>
      <w:r>
        <w:t xml:space="preserve">Neue Begriffe werden nur eingeführt, wenn vorhandene Begriffe nicht ausreichen. </w:t>
      </w:r>
    </w:p>
    <w:p w:rsidR="0097736D" w:rsidRDefault="0097736D" w:rsidP="00632D23">
      <w:pPr>
        <w:numPr>
          <w:ilvl w:val="0"/>
          <w:numId w:val="9"/>
        </w:numPr>
        <w:spacing w:before="100" w:beforeAutospacing="1" w:after="100" w:afterAutospacing="1"/>
      </w:pPr>
      <w:r>
        <w:t xml:space="preserve">Die Mathematik aus Kapitel 3.2 bleibt unverändert. </w:t>
      </w:r>
    </w:p>
    <w:p w:rsidR="0097736D" w:rsidRDefault="0097736D" w:rsidP="00632D23">
      <w:pPr>
        <w:numPr>
          <w:ilvl w:val="0"/>
          <w:numId w:val="9"/>
        </w:numPr>
        <w:spacing w:before="100" w:beforeAutospacing="1" w:after="100" w:afterAutospacing="1"/>
      </w:pPr>
      <w:r>
        <w:t xml:space="preserve">Jede Aussage wird einer wissenschaftlichen Ebene zugeordnet. </w:t>
      </w:r>
    </w:p>
    <w:p w:rsidR="0097736D" w:rsidRDefault="0097736D" w:rsidP="00632D23">
      <w:pPr>
        <w:numPr>
          <w:ilvl w:val="0"/>
          <w:numId w:val="9"/>
        </w:numPr>
        <w:spacing w:before="100" w:beforeAutospacing="1" w:after="100" w:afterAutospacing="1"/>
      </w:pPr>
      <w:r>
        <w:t xml:space="preserve">Jede Abhängigkeit wird dokumentiert. </w:t>
      </w:r>
    </w:p>
    <w:p w:rsidR="0097736D" w:rsidRDefault="0097736D" w:rsidP="00632D23">
      <w:pPr>
        <w:numPr>
          <w:ilvl w:val="0"/>
          <w:numId w:val="9"/>
        </w:numPr>
        <w:spacing w:before="100" w:beforeAutospacing="1" w:after="100" w:afterAutospacing="1"/>
      </w:pPr>
      <w:r>
        <w:t xml:space="preserve">Erweiterungen müssen den bisherigen Gültigkeitsbereich erhalten. </w:t>
      </w:r>
    </w:p>
    <w:p w:rsidR="0097736D" w:rsidRDefault="0097736D" w:rsidP="00632D23">
      <w:pPr>
        <w:numPr>
          <w:ilvl w:val="0"/>
          <w:numId w:val="9"/>
        </w:numPr>
        <w:spacing w:before="100" w:beforeAutospacing="1" w:after="100" w:afterAutospacing="1"/>
      </w:pPr>
      <w:r>
        <w:t xml:space="preserve">Spätere Ergebnisse dürfen frühere Voraussetzungen nicht begründen. </w:t>
      </w:r>
    </w:p>
    <w:p w:rsidR="0097736D" w:rsidRDefault="0097736D" w:rsidP="0097736D">
      <w:pPr>
        <w:pStyle w:val="StandardWeb"/>
      </w:pPr>
      <w:r>
        <w:t>Mit diesen Designprinzipien ist der methodische Rahmen vollständig vorbereitet. Im folgenden Abschnitt kann nun die eigentliche Herleitung der Primäraxiome beginnen. Dabei wird jede in Abschnitt 3.3.1 identifizierte Lückenklasse einzeln geprüft und anhand der Kriterien aus Abschnitt 3.3.2 sowie der Designprinzipien dieses Abschnitts bewertet.</w:t>
      </w:r>
    </w:p>
    <w:p w:rsidR="00E31D2E" w:rsidRDefault="00E31D2E" w:rsidP="00E31D2E">
      <w:pPr>
        <w:pStyle w:val="berschrift2"/>
      </w:pPr>
      <w:r>
        <w:t>Ergänzung zu 3.3.3 – Designprinzipien der FRZK-Axiomatik</w:t>
      </w:r>
    </w:p>
    <w:p w:rsidR="00E31D2E" w:rsidRDefault="00E31D2E" w:rsidP="00E31D2E">
      <w:pPr>
        <w:pStyle w:val="berschrift3"/>
      </w:pPr>
      <w:r>
        <w:t>Methodologische Betrachtungen</w:t>
      </w:r>
    </w:p>
    <w:p w:rsidR="00E31D2E" w:rsidRDefault="00E31D2E" w:rsidP="00E31D2E">
      <w:pPr>
        <w:pStyle w:val="StandardWeb"/>
      </w:pPr>
      <w:r>
        <w:t xml:space="preserve">Die Designprinzipien legen fest, </w:t>
      </w:r>
      <w:r>
        <w:rPr>
          <w:rStyle w:val="Fett"/>
        </w:rPr>
        <w:t>wie</w:t>
      </w:r>
      <w:r>
        <w:t xml:space="preserve"> ich die Axiomatik entwickle. Sie sind selbst keine Primäraxiome des FRZK, weil sie keine Eigenschaften des theoretischen Gegenstandsbereichs setzen. Sie regeln vielmehr die wissenschaftliche Konstruktion der Theorie.</w:t>
      </w:r>
    </w:p>
    <w:p w:rsidR="00E31D2E" w:rsidRDefault="00E31D2E" w:rsidP="00E31D2E">
      <w:pPr>
        <w:pStyle w:val="StandardWeb"/>
      </w:pPr>
      <w:r>
        <w:t>Das erste Prinzip betrifft die Ableitungsrichtung. Die Entwicklung muss von den mathematischen Grundlagen über explizite Ausgangsannahmen zu späteren Definitionen, Sätzen und Interpretationen verlaufen. Spätere Ergebnisse dürfen nicht rückwirkend zur Begründung früherer Axiome verwendet werden [58, 79]. Damit verhindere ich eine zirkuläre Theorieentwicklung.</w:t>
      </w:r>
    </w:p>
    <w:p w:rsidR="00E31D2E" w:rsidRDefault="00E31D2E" w:rsidP="00E31D2E">
      <w:pPr>
        <w:pStyle w:val="StandardWeb"/>
      </w:pPr>
      <w:r>
        <w:lastRenderedPageBreak/>
        <w:t>Das zweite Prinzip ist die begriffliche Sparsamkeit. Ich führe keinen neuen primitiven Begriff ein, wenn derselbe wissenschaftliche Zweck mit bereits verfügbaren Begriffen erreicht werden kann. Dies betrifft besonders Begriffe wie Raum, Zeit, Information, Zustand oder Kohärenz. Ihre spätere Bedeutung darf nicht dadurch vorweggenommen werden, dass sie zu früh als primitive Bestandteile gesetzt werden [60, 67, 68].</w:t>
      </w:r>
    </w:p>
    <w:p w:rsidR="00E31D2E" w:rsidRDefault="00E31D2E" w:rsidP="00E31D2E">
      <w:pPr>
        <w:pStyle w:val="StandardWeb"/>
      </w:pPr>
      <w:r>
        <w:t>Das dritte Prinzip ist die unveränderte Verwendung etablierter Mathematik. Mengen, Funktionen, Relationen, Vektorräume, Normen und Operatoren behalten die in Kapitel 3.2 eingeführte mathematische Bedeutung [6, 71, 75, 76]. Eine FRZK-spezifische Interpretation darf eine mathematische Definition ergänzen, aber nicht nachträglich verändern.</w:t>
      </w:r>
    </w:p>
    <w:p w:rsidR="00E31D2E" w:rsidRDefault="00E31D2E" w:rsidP="00E31D2E">
      <w:pPr>
        <w:pStyle w:val="StandardWeb"/>
      </w:pPr>
      <w:r>
        <w:t>Das vierte Prinzip ist die Ebenentrennung. Ich unterscheide mathematische Struktur, FRZK-interne funktionale Bedeutung, empirische Operationalisierung und mögliche physikalische Interpretation. Eine Aussage auf einer Ebene darf nicht ohne zusätzliche Begründung auf eine andere Ebene übertragen werden [58, 59].</w:t>
      </w:r>
    </w:p>
    <w:p w:rsidR="00E31D2E" w:rsidRDefault="00E31D2E" w:rsidP="00E31D2E">
      <w:pPr>
        <w:pStyle w:val="StandardWeb"/>
      </w:pPr>
      <w:r>
        <w:t>Das fünfte Prinzip verlangt explizite Abhängigkeiten. Für jedes spätere Objekt soll erkennbar sein, aus welchen Definitionen, Axiomen und mathematischen Grundlagen es hervorgeht. Diese Regel ist nicht nur für das Repository wichtig. Sie macht die innere Architektur der Theorie prüfbar.</w:t>
      </w:r>
    </w:p>
    <w:p w:rsidR="00E31D2E" w:rsidRDefault="00E31D2E" w:rsidP="00E31D2E">
      <w:pPr>
        <w:pStyle w:val="StandardWeb"/>
      </w:pPr>
      <w:r>
        <w:t>Das sechste Prinzip ist Erweiterungsoffenheit. Die Primäraxiomatik soll nur den minimalen Kern bestimmen. Spätere Spezialmodelle dürfen zusätzliche Randbedingungen enthalten, solange diese nicht rückwirkend als ursprüngliche Primäraxiome ausgegeben werden.</w:t>
      </w:r>
    </w:p>
    <w:p w:rsidR="00E31D2E" w:rsidRDefault="00E31D2E" w:rsidP="00E31D2E">
      <w:pPr>
        <w:pStyle w:val="StandardWeb"/>
      </w:pPr>
      <w:r>
        <w:t>Das siebte Prinzip verbietet die Rückwärtsbegründung. Empirische Erfolge, spätere Rekonstruktionen oder attraktive physikalische Interpretationen können ein Modell stützen, aber sie dürfen nicht zur ursprünglichen logischen Begründung eines Axioms umgedeutet werden.</w:t>
      </w:r>
    </w:p>
    <w:p w:rsidR="00E31D2E" w:rsidRDefault="00E31D2E" w:rsidP="00E31D2E">
      <w:pPr>
        <w:pStyle w:val="StandardWeb"/>
      </w:pPr>
      <w:r>
        <w:t>Zusammen bilden diese Prinzipien eine Art methodische Verfassung des Kapitels. Sie sollen verhindern, dass im weiteren Aufbau unbemerkt genau jene Voraussetzungen eingeführt werden, deren Entstehung das FRZK später erklären soll.</w:t>
      </w:r>
    </w:p>
    <w:p w:rsidR="00E31D2E" w:rsidRDefault="00E31D2E" w:rsidP="00E31D2E">
      <w:pPr>
        <w:pStyle w:val="berschrift3"/>
      </w:pPr>
      <w:r>
        <w:t>Didaktische Betrachtungen</w:t>
      </w:r>
    </w:p>
    <w:p w:rsidR="00E31D2E" w:rsidRDefault="00E31D2E" w:rsidP="00E31D2E">
      <w:pPr>
        <w:pStyle w:val="StandardWeb"/>
      </w:pPr>
      <w:r>
        <w:t>Die Designprinzipien lassen sich mit den Konstruktionsregeln eines technischen Systems vergleichen. Bevor ein komplexes Gerät gebaut wird, wird festgelegt, welche Normen gelten, welche Bauteile unverändert verwendet werden und wie Schnittstellen dokumentiert werden. Diese Regeln sind nicht selbst Bauteile des Geräts, verhindern aber, dass während der Konstruktion inkompatible Teile miteinander vermischt werden.</w:t>
      </w:r>
    </w:p>
    <w:p w:rsidR="00E31D2E" w:rsidRDefault="00E31D2E" w:rsidP="00E31D2E">
      <w:pPr>
        <w:pStyle w:val="StandardWeb"/>
      </w:pPr>
      <w:r>
        <w:t>Besonders anschaulich ist das Prinzip der Ebenentrennung. Ein mathematischer Vektor</w:t>
      </w:r>
      <w:r w:rsidR="006F70A0">
        <w:t xml:space="preserve"> </w:t>
      </w:r>
      <m:oMath>
        <m:r>
          <w:rPr>
            <w:rFonts w:ascii="Cambria Math" w:hAnsi="Cambria Math"/>
          </w:rPr>
          <m:t xml:space="preserve">v </m:t>
        </m:r>
      </m:oMath>
      <w:r>
        <w:t>ist zunächst nur ein mathematisches Objekt. Erst eine zusätzliche Interpretation kann ihn beispielsweise als Geschwindigkeit, Kraft, Zustandsgröße oder etwas völlig anderes verwenden. Das mathematische Symbol selbst entscheidet diese Bedeutung nicht.</w:t>
      </w:r>
    </w:p>
    <w:p w:rsidR="00E31D2E" w:rsidRDefault="00E31D2E" w:rsidP="00E31D2E">
      <w:pPr>
        <w:pStyle w:val="StandardWeb"/>
      </w:pPr>
      <w:r>
        <w:t>Dasselbe gilt für das FRZK. Wenn später eine Ordnung zwischen funktionalen Zuständen entsteht, darf ich diese Ordnung nicht automatisch „Zeit“ nennen. Erst wenn zusätzliche Bedingungen erfüllt und begründet sind, kann untersucht werden, ob daraus ein funktionaler Zeitbegriff konstruiert werden kann.</w:t>
      </w:r>
    </w:p>
    <w:p w:rsidR="00E31D2E" w:rsidRDefault="00E31D2E" w:rsidP="00E31D2E">
      <w:pPr>
        <w:pStyle w:val="StandardWeb"/>
      </w:pPr>
      <w:r>
        <w:lastRenderedPageBreak/>
        <w:t>Das Prinzip der Sparsamkeit lässt sich mit einer Bedienungsanleitung vergleichen. Wenn ein vorhandener Schalter bereits eine Aufgabe erfüllt, ist es unnötig, einen zweiten Schalter für dieselbe Funktion einzubauen. Jeder zusätzliche primitive Begriff erhöht die Zahl der Dinge, die der Leser akzeptieren muss, bevor überhaupt etwas abgeleitet werden kann.</w:t>
      </w:r>
    </w:p>
    <w:p w:rsidR="00E31D2E" w:rsidRDefault="00E31D2E" w:rsidP="00E31D2E">
      <w:pPr>
        <w:pStyle w:val="StandardWeb"/>
      </w:pPr>
      <w:r>
        <w:t>Das Verbot der Rückwärtsbegründung ist ebenfalls leicht zu veranschaulichen. Wenn eine Brücke nach ihrer Fertigstellung stabil ist, folgt daraus nicht, dass jede während des Baus getroffene Annahme ursprünglich gut begründet war. Der Erfolg des Endprodukts kann eine Konstruktion bestätigen, ersetzt aber nicht die Dokumentation des ursprünglichen Konstruktionswegs.</w:t>
      </w:r>
    </w:p>
    <w:p w:rsidR="00E31D2E" w:rsidRDefault="00E31D2E" w:rsidP="00E31D2E">
      <w:pPr>
        <w:pStyle w:val="StandardWeb"/>
      </w:pPr>
      <w:r>
        <w:t>Die sieben Designprinzipien sollen dem Leser deshalb eine feste Orientierung geben. Bei jedem späteren Schritt kann gefragt werden: Ist die Richtung der Herleitung korrekt? Wird ein neuer Begriff wirklich benötigt? Bleibt die Mathematik unverändert? Werden Ebenen vermischt? Sind Abhängigkeiten sichtbar? Bleibt der Kern minimal? Wird etwas rückwirkend begründet?</w:t>
      </w:r>
    </w:p>
    <w:p w:rsidR="00E31D2E" w:rsidRDefault="00E50336" w:rsidP="00E31D2E">
      <w:r>
        <w:pict>
          <v:rect id="_x0000_i1029" style="width:0;height:1.5pt" o:hralign="center" o:hrstd="t" o:hr="t" fillcolor="#a0a0a0" stroked="f"/>
        </w:pict>
      </w:r>
    </w:p>
    <w:p w:rsidR="001523A6" w:rsidRPr="00AF32B2" w:rsidRDefault="001523A6" w:rsidP="00AF32B2">
      <w:pPr>
        <w:pStyle w:val="berschrift3"/>
      </w:pPr>
      <w:r w:rsidRPr="00AF32B2">
        <w:t>3.3.4 Methodische Herleitung der Primäraxiome aus den identifizierten wissenschaftlichen Lücken</w:t>
      </w:r>
    </w:p>
    <w:p w:rsidR="001523A6" w:rsidRDefault="001523A6" w:rsidP="001523A6">
      <w:pPr>
        <w:pStyle w:val="StandardWeb"/>
      </w:pPr>
      <w:r>
        <w:t>Die Abschnitte 3.3.1 bis 3.3.3 haben drei Voraussetzungen geschaffen. Zunächst wurden die Grenzen des mathematischen Sprachraums aus Kapitel 3.2 bestimmt. Anschließend wurden Kriterien entwickelt, mit denen Definitionen, methodologische Regeln und Primäraxiome voneinander unterschieden werden können. Schließlich wurden Designprinzipien festgelegt, die den Aufbau der FRZK-Axiomatik kontrollieren. Auf dieser Grundlage kann nun untersucht werden, welche Primäraxiome tatsächlich erforderlich sind. Die mathematische Logik stellt hierfür die Unterscheidung zwischen Ausgangsaussagen und ableitbaren Aussagen bereit, entscheidet jedoch nicht selbst über den wissenschaftlichen Inhalt der Ausgangsaussagen [79].</w:t>
      </w:r>
    </w:p>
    <w:p w:rsidR="001523A6" w:rsidRPr="00B16B66" w:rsidRDefault="001523A6" w:rsidP="00B16B66">
      <w:pPr>
        <w:pStyle w:val="Eigenleistung"/>
      </w:pPr>
      <w:r w:rsidRPr="00B16B66">
        <w:t>Eigenleistung des FRZK</w:t>
      </w:r>
    </w:p>
    <w:p w:rsidR="001523A6" w:rsidRDefault="001523A6" w:rsidP="001523A6">
      <w:pPr>
        <w:pStyle w:val="StandardWeb"/>
      </w:pPr>
      <w:r>
        <w:t>Ich leite die Primäraxiome nicht unmittelbar aus einzelnen mathematischen Werkzeugen ab. Ein mathematischer Begriff erzeugt für sich allein keine axiomatische Notwendigkeit. Entscheidend ist vielmehr, ob mehrere Werkzeuge auf dieselbe nicht beantwortete funktionale Grundfrage verweisen. Erst wenn eine solche Grundfrage weder durch die Mathematik aus Kapitel 3.2 noch durch eine Definition oder eine methodologische Regel beantwortet werden kann, entsteht ein begründeter Kandidat für ein Primäraxiom.</w:t>
      </w:r>
    </w:p>
    <w:p w:rsidR="001523A6" w:rsidRPr="00AF32B2" w:rsidRDefault="001523A6" w:rsidP="00AF32B2">
      <w:pPr>
        <w:pStyle w:val="berschrift4"/>
      </w:pPr>
      <w:r w:rsidRPr="00AF32B2">
        <w:t>3.3.4.1 Das Herleitungsverfahren</w:t>
      </w:r>
    </w:p>
    <w:p w:rsidR="001523A6" w:rsidRDefault="001523A6" w:rsidP="001523A6">
      <w:pPr>
        <w:pStyle w:val="StandardWeb"/>
      </w:pPr>
      <w:r>
        <w:t>Die strukturorientierte Mathematik ermöglicht es, unterschiedliche mathematische Gegenstände über gemeinsame Relationen, Operationen und Abbildungen zu organisieren [60, 78]. Für die Herleitung der FRZK-Axiome genügt es deshalb nicht, jedes mathematische Werkzeug isoliert zu betrachten. Mengen, Vektorräume, Operatoren, Normen oder Relationen müssen vielmehr daraufhin untersucht werden, welche gemeinsame funktionale Voraussetzung ihre spätere Verwendung innerhalb des FRZK verlangt.</w:t>
      </w:r>
    </w:p>
    <w:p w:rsidR="001523A6" w:rsidRPr="00B16B66" w:rsidRDefault="001523A6" w:rsidP="00B16B66">
      <w:pPr>
        <w:pStyle w:val="Eigenleistung"/>
      </w:pPr>
      <w:r w:rsidRPr="00B16B66">
        <w:lastRenderedPageBreak/>
        <w:t>Eigenleistung des FRZK</w:t>
      </w:r>
    </w:p>
    <w:p w:rsidR="001523A6" w:rsidRDefault="001523A6" w:rsidP="001523A6">
      <w:pPr>
        <w:pStyle w:val="StandardWeb"/>
      </w:pPr>
      <w:r>
        <w:t>Ich verwende für jede identifizierte Lückenklasse dasselbe fünfstufige Herleitungsverfahren:</w:t>
      </w:r>
    </w:p>
    <w:p w:rsidR="001523A6" w:rsidRDefault="001523A6" w:rsidP="00632D23">
      <w:pPr>
        <w:numPr>
          <w:ilvl w:val="0"/>
          <w:numId w:val="10"/>
        </w:numPr>
        <w:spacing w:before="100" w:beforeAutospacing="1" w:after="100" w:afterAutospacing="1"/>
      </w:pPr>
      <w:r>
        <w:t xml:space="preserve">mathematische Grundlage bestimmen, </w:t>
      </w:r>
    </w:p>
    <w:p w:rsidR="001523A6" w:rsidRDefault="001523A6" w:rsidP="00632D23">
      <w:pPr>
        <w:numPr>
          <w:ilvl w:val="0"/>
          <w:numId w:val="10"/>
        </w:numPr>
        <w:spacing w:before="100" w:beforeAutospacing="1" w:after="100" w:afterAutospacing="1"/>
      </w:pPr>
      <w:r>
        <w:t xml:space="preserve">verbleibende wissenschaftliche Lücke präzisieren, </w:t>
      </w:r>
    </w:p>
    <w:p w:rsidR="001523A6" w:rsidRDefault="001523A6" w:rsidP="00632D23">
      <w:pPr>
        <w:numPr>
          <w:ilvl w:val="0"/>
          <w:numId w:val="10"/>
        </w:numPr>
        <w:spacing w:before="100" w:beforeAutospacing="1" w:after="100" w:afterAutospacing="1"/>
      </w:pPr>
      <w:r>
        <w:t xml:space="preserve">Möglichkeit einer Definition prüfen, </w:t>
      </w:r>
    </w:p>
    <w:p w:rsidR="001523A6" w:rsidRDefault="001523A6" w:rsidP="00632D23">
      <w:pPr>
        <w:numPr>
          <w:ilvl w:val="0"/>
          <w:numId w:val="10"/>
        </w:numPr>
        <w:spacing w:before="100" w:beforeAutospacing="1" w:after="100" w:afterAutospacing="1"/>
      </w:pPr>
      <w:r>
        <w:t xml:space="preserve">nicht ableitbare Grundannahme isolieren, </w:t>
      </w:r>
    </w:p>
    <w:p w:rsidR="001523A6" w:rsidRDefault="001523A6" w:rsidP="00632D23">
      <w:pPr>
        <w:numPr>
          <w:ilvl w:val="0"/>
          <w:numId w:val="10"/>
        </w:numPr>
        <w:spacing w:before="100" w:beforeAutospacing="1" w:after="100" w:afterAutospacing="1"/>
      </w:pPr>
      <w:r>
        <w:t xml:space="preserve">Folgen für spätere Definitionen und Herleitungen bestimmen. </w:t>
      </w:r>
    </w:p>
    <w:p w:rsidR="001523A6" w:rsidRDefault="001523A6" w:rsidP="001523A6">
      <w:pPr>
        <w:pStyle w:val="StandardWeb"/>
      </w:pPr>
      <w:r>
        <w:t>Dieses Verfahren legt noch nicht den Wortlaut eines Primäraxioms fest. Es dient zunächst dazu, seinen notwendigen wissenschaftlichen Informationsgehalt zu bestimmen.</w:t>
      </w:r>
    </w:p>
    <w:p w:rsidR="001523A6" w:rsidRDefault="001523A6" w:rsidP="001523A6">
      <w:pPr>
        <w:pStyle w:val="StandardWeb"/>
      </w:pPr>
      <w:r>
        <w:t>Die erste Stufe verhindert, dass ein neues Axiom Inhalte wiederholt, die bereits Bestandteil der etablierten Mathematik sind. Die zweite Stufe trennt die formale Leistungsfähigkeit eines Werkzeugs von seiner funktionalen Interpretation. Die dritte Stufe prüft, ob eine Begriffsbestimmung ausreicht. Die vierte Stufe isoliert denjenigen Aussagekern, der nicht aus den vorhergehenden Ebenen folgt. Die fünfte Stufe prüft schließlich, ob dieser Aussagekern tatsächlich für die weitere Theorie benötigt wird [58, 59, 79].</w:t>
      </w:r>
    </w:p>
    <w:p w:rsidR="001523A6" w:rsidRPr="00B16B66" w:rsidRDefault="001523A6" w:rsidP="00B16B66">
      <w:pPr>
        <w:pStyle w:val="Eigenleistung"/>
      </w:pPr>
      <w:r w:rsidRPr="00B16B66">
        <w:t>Eigenleistung des FRZK</w:t>
      </w:r>
    </w:p>
    <w:p w:rsidR="001523A6" w:rsidRDefault="001523A6" w:rsidP="001523A6">
      <w:pPr>
        <w:pStyle w:val="StandardWeb"/>
      </w:pPr>
      <w:r>
        <w:t>Ein Kandidat wird nur dann zum Primäraxiom, wenn alle fünf Stufen positiv durchlaufen wurden. Insbesondere genügt es nicht, dass eine Aussage plausibel, nützlich oder anschaulich erscheint. Sie muss für mindestens eine spätere Konstruktion unverzichtbar sein und darf zugleich aus keiner bereits eingeführten Voraussetzung folgen.</w:t>
      </w:r>
    </w:p>
    <w:p w:rsidR="001523A6" w:rsidRPr="00AF32B2" w:rsidRDefault="001523A6" w:rsidP="00AF32B2">
      <w:pPr>
        <w:pStyle w:val="berschrift4"/>
      </w:pPr>
      <w:r w:rsidRPr="00AF32B2">
        <w:t>3.3.4.2 Erste Lückenklasse: funktionale Bestimmbarkeit</w:t>
      </w:r>
    </w:p>
    <w:p w:rsidR="001523A6" w:rsidRDefault="001523A6" w:rsidP="001523A6">
      <w:pPr>
        <w:pStyle w:val="StandardWeb"/>
      </w:pPr>
      <w:r>
        <w:t>Die Mengenlehre kann Elemente und Mengen formal unterscheiden und ihre Zugehörigkeit bestimmen [6]. Vektorräume ermöglichen die Darstellung von Zuständen als mathematische Elemente eines strukturierten Raums [71]. Strukturalistische Positionen bestimmen mathematische Gegenstände durch ihre Stellung innerhalb von Mustern oder Strukturen [67, 68]. Keine dieser Grundlagen entscheidet jedoch, wann ein mathematisches Objekt innerhalb des FRZK als funktional bestimmbar gelten soll.</w:t>
      </w:r>
    </w:p>
    <w:p w:rsidR="001523A6" w:rsidRDefault="001523A6" w:rsidP="001523A6">
      <w:pPr>
        <w:pStyle w:val="StandardWeb"/>
      </w:pPr>
      <w:r>
        <w:t>Eine Definition könnte festlegen, dass ein funktionaler Zustand ein Element einer bestimmten Menge oder eines bestimmten Vektorraums ist. Eine solche Definition würde jedoch bereits voraussetzen, dass der ausgewählte mathematische Gegenstand funktionale Bedeutung besitzt. Sie würde die zentrale Frage lediglich sprachlich verschieben: Warum darf gerade dieses Element als funktionaler Zustand gelten?</w:t>
      </w:r>
    </w:p>
    <w:p w:rsidR="001523A6" w:rsidRPr="00B16B66" w:rsidRDefault="001523A6" w:rsidP="00B16B66">
      <w:pPr>
        <w:pStyle w:val="Eigenleistung"/>
      </w:pPr>
      <w:r w:rsidRPr="00B16B66">
        <w:t>Eigenleistung des FRZK</w:t>
      </w:r>
    </w:p>
    <w:p w:rsidR="001523A6" w:rsidRDefault="001523A6" w:rsidP="001523A6">
      <w:pPr>
        <w:pStyle w:val="StandardWeb"/>
      </w:pPr>
      <w:r>
        <w:t>Ich identifiziere daher eine nicht durch Definition schließbare Lücke. Das FRZK benötigt eine grundlegende Aussage darüber, dass funktionale Bestimmbarkeit überhaupt möglich ist. Diese Aussage darf noch keine konkrete Zustandsstruktur, keine Dimension und keine physikalische Interpretation enthalten. Sie muss lediglich begründen, dass innerhalb des Systems mindestens eine unterscheidbare Bestimmung existieren kann, deren Vorliegen für weitere Bestimmungen nicht gleichgültig ist.</w:t>
      </w:r>
    </w:p>
    <w:p w:rsidR="001523A6" w:rsidRDefault="001523A6" w:rsidP="001523A6">
      <w:pPr>
        <w:pStyle w:val="StandardWeb"/>
      </w:pPr>
      <w:r>
        <w:lastRenderedPageBreak/>
        <w:t>Diese Lücke entspricht dem in Kapitel 3.1 entwickelten Ausgangspunkt der funktionalen Unterscheidbarkeit. Kapitel 3.2 stellt die mathematischen Mittel bereit, um unterscheidbare Elemente darzustellen; es begründet jedoch nicht die funktionale Wirksamkeit einer Unterscheidung. Der erste Axiomkandidat muss deshalb nicht die Existenz fertiger Objekte behaupten, sondern die Möglichkeit funktional wirksamer Bestimmbarkeit festlegen.</w:t>
      </w:r>
    </w:p>
    <w:p w:rsidR="001523A6" w:rsidRPr="00B16B66" w:rsidRDefault="001523A6" w:rsidP="00B16B66">
      <w:pPr>
        <w:pStyle w:val="Eigenleistung"/>
      </w:pPr>
      <w:r w:rsidRPr="00B16B66">
        <w:t>Eigenleistung des FRZK</w:t>
      </w:r>
    </w:p>
    <w:p w:rsidR="001523A6" w:rsidRDefault="001523A6" w:rsidP="001523A6">
      <w:pPr>
        <w:pStyle w:val="StandardWeb"/>
      </w:pPr>
      <w:r>
        <w:t>Daraus leite ich den ersten vorläufigen Axiomkandidaten ab:</w:t>
      </w:r>
    </w:p>
    <w:p w:rsidR="001523A6" w:rsidRDefault="001523A6" w:rsidP="001523A6">
      <w:pPr>
        <w:pStyle w:val="StandardWeb"/>
      </w:pPr>
      <w:r>
        <w:t>Innerhalb des FRZK muss mindestens eine funktional wirksame Bestimmung möglich sein.</w:t>
      </w:r>
    </w:p>
    <w:p w:rsidR="001523A6" w:rsidRDefault="001523A6" w:rsidP="001523A6">
      <w:pPr>
        <w:pStyle w:val="StandardWeb"/>
      </w:pPr>
      <w:r>
        <w:t>Diese Formulierung ist noch kein endgültiger Axiomtext. Sie bezeichnet den minimalen Informationsgehalt, aus dem später der Begriff des funktionalen Zustands definiert werden kann.</w:t>
      </w:r>
    </w:p>
    <w:p w:rsidR="001523A6" w:rsidRPr="00AF32B2" w:rsidRDefault="001523A6" w:rsidP="00AF32B2">
      <w:pPr>
        <w:pStyle w:val="berschrift4"/>
      </w:pPr>
      <w:r w:rsidRPr="00AF32B2">
        <w:t>3.3.4.3 Zweite Lückenklasse: funktionale Relationierbarkeit</w:t>
      </w:r>
    </w:p>
    <w:p w:rsidR="001523A6" w:rsidRDefault="001523A6" w:rsidP="001523A6">
      <w:pPr>
        <w:pStyle w:val="StandardWeb"/>
      </w:pPr>
      <w:r>
        <w:t>Relationen können als Teilmengen kartesischer Produkte formal beschrieben werden [6]. Kategorien und Morphismen erweitern diese Betrachtung auf allgemeine strukturelle Beziehungen und deren Komposition [78]. Damit kann mathematisch präzise festgelegt werden, ob Elemente oder Strukturen miteinander verbunden sind. Offen bleibt jedoch, wann eine solche Verbindung innerhalb des FRZK funktional bedeutsam ist.</w:t>
      </w:r>
    </w:p>
    <w:p w:rsidR="001523A6" w:rsidRDefault="001523A6" w:rsidP="001523A6">
      <w:pPr>
        <w:pStyle w:val="StandardWeb"/>
      </w:pPr>
      <w:r>
        <w:t>Eine Definition könnte eine vorhandene mathematische Relation als funktionale Relation bezeichnen. Sie könnte Kriterien wie Gerichtetheit, Symmetrie oder Transitivität aufnehmen. Diese Festlegungen würden jedoch nur die Form der Relation beschreiben. Sie könnten nicht begründen, weshalb das Bestehen der Relation für die beteiligten Zustände oder für das Gesamtsystem wirksam ist.</w:t>
      </w:r>
    </w:p>
    <w:p w:rsidR="001523A6" w:rsidRPr="00B16B66" w:rsidRDefault="001523A6" w:rsidP="00B16B66">
      <w:pPr>
        <w:pStyle w:val="Eigenleistung"/>
      </w:pPr>
      <w:r w:rsidRPr="00B16B66">
        <w:t>Eigenleistung des FRZK</w:t>
      </w:r>
    </w:p>
    <w:p w:rsidR="001523A6" w:rsidRDefault="001523A6" w:rsidP="001523A6">
      <w:pPr>
        <w:pStyle w:val="StandardWeb"/>
      </w:pPr>
      <w:r>
        <w:t>Ich unterscheide deshalb zwischen mathematischer Relation und funktionaler Relationierbarkeit. Eine mathematische Relation besteht, sobald ein geordnetes Paar beziehungsweise eine entsprechende Struktur formal ausgewählt wurde. Funktionale Relationierbarkeit verlangt zusätzlich, dass die Verbindung für mindestens eine weitere Bestimmung des Systems relevant ist.</w:t>
      </w:r>
    </w:p>
    <w:p w:rsidR="001523A6" w:rsidRDefault="001523A6" w:rsidP="001523A6">
      <w:pPr>
        <w:pStyle w:val="StandardWeb"/>
      </w:pPr>
      <w:r>
        <w:t>Die funktionale Wirksamkeit einer Relation lässt sich nicht aus dem Relationsbegriff selbst ableiten. Sie ist auch keine bloße Bezeichnung, weil sie eine zusätzliche Eigenschaft des theoretischen Gegenstandsbereichs behauptet. Damit entsteht ein zweiter möglicher Axiomkandidat.</w:t>
      </w:r>
    </w:p>
    <w:p w:rsidR="001523A6" w:rsidRPr="00B16B66" w:rsidRDefault="001523A6" w:rsidP="00B16B66">
      <w:pPr>
        <w:pStyle w:val="Eigenleistung"/>
      </w:pPr>
      <w:r w:rsidRPr="00B16B66">
        <w:t>Eigenleistung des FRZK</w:t>
      </w:r>
    </w:p>
    <w:p w:rsidR="001523A6" w:rsidRDefault="001523A6" w:rsidP="001523A6">
      <w:pPr>
        <w:pStyle w:val="StandardWeb"/>
      </w:pPr>
      <w:r>
        <w:t>Der minimale Aussagekern lautet vorläufig:</w:t>
      </w:r>
    </w:p>
    <w:p w:rsidR="001523A6" w:rsidRDefault="001523A6" w:rsidP="001523A6">
      <w:pPr>
        <w:pStyle w:val="StandardWeb"/>
      </w:pPr>
      <w:r>
        <w:t>Funktional bestimmbare Zustände können Beziehungen eingehen, deren Bestehen für mindestens eine weitere Bestimmung des Systems wirksam ist.</w:t>
      </w:r>
    </w:p>
    <w:p w:rsidR="001523A6" w:rsidRDefault="001523A6" w:rsidP="001523A6">
      <w:pPr>
        <w:pStyle w:val="StandardWeb"/>
      </w:pPr>
      <w:r>
        <w:lastRenderedPageBreak/>
        <w:t>Auch diese Formulierung ist noch nicht der endgültige Wortlaut eines Primäraxioms. Zunächst muss geprüft werden, ob funktionale Relationierbarkeit bereits aus dem ersten Axiomkandidaten folgt oder einen logisch eigenständigen Informationsgehalt besitzt.</w:t>
      </w:r>
    </w:p>
    <w:p w:rsidR="001523A6" w:rsidRPr="00AF32B2" w:rsidRDefault="001523A6" w:rsidP="00AF32B2">
      <w:pPr>
        <w:pStyle w:val="berschrift4"/>
      </w:pPr>
      <w:r w:rsidRPr="00AF32B2">
        <w:t>3.3.4.4 Prüfung der Abhängigkeit zwischen Bestimmbarkeit und Relationierbarkeit</w:t>
      </w:r>
    </w:p>
    <w:p w:rsidR="001523A6" w:rsidRDefault="001523A6" w:rsidP="001523A6">
      <w:pPr>
        <w:pStyle w:val="StandardWeb"/>
      </w:pPr>
      <w:r>
        <w:t>Ein funktional bestimmbarer Zustand muss von mindestens einer Alternative unterschieden werden können. Daraus folgt jedoch nicht zwangsläufig, dass zwei Zustände miteinander in Beziehung treten können. Unterscheidbarkeit ist zunächst eine Bedingung der Bestimmbarkeit; Relationierbarkeit beschreibt dagegen die Möglichkeit einer strukturierten Verbindung.</w:t>
      </w:r>
    </w:p>
    <w:p w:rsidR="001523A6" w:rsidRDefault="001523A6" w:rsidP="001523A6">
      <w:pPr>
        <w:pStyle w:val="StandardWeb"/>
      </w:pPr>
      <w:r>
        <w:t>Die mathematische Existenz mehrerer Elemente erzeugt ebenfalls nicht automatisch eine ausgewählte Relation. Das kartesische Produkt stellt lediglich mögliche Paarungen bereit; erst eine Relation bestimmt, welche Paarungen zur betrachteten Struktur gehören [6]. Entsprechend folgt aus funktionaler Bestimmbarkeit nicht unmittelbar funktionale Relationierbarkeit.</w:t>
      </w:r>
    </w:p>
    <w:p w:rsidR="001523A6" w:rsidRPr="00B16B66" w:rsidRDefault="001523A6" w:rsidP="00B16B66">
      <w:pPr>
        <w:pStyle w:val="Eigenleistung"/>
      </w:pPr>
      <w:r w:rsidRPr="00B16B66">
        <w:t>Eigenleistung des FRZK</w:t>
      </w:r>
    </w:p>
    <w:p w:rsidR="001523A6" w:rsidRDefault="001523A6" w:rsidP="001523A6">
      <w:pPr>
        <w:pStyle w:val="StandardWeb"/>
      </w:pPr>
      <w:r>
        <w:t>Ich behandle beide Lücken daher zunächst als logisch verschieden. Der erste Kandidat begründet die Möglichkeit funktional wirksamer Bestimmungen. Der zweite Kandidat begründet die Möglichkeit funktional wirksamer Beziehungen zwischen solchen Bestimmungen. Ob beide Aussagen später in einem gemeinsamen Primäraxiom zusammengefasst werden können, wird anhand des Minimalitätsprinzips geprüft. Eine Zusammenfassung ist nur zulässig, wenn dadurch keine eigenständige wissenschaftliche Aussage verdeckt wird.</w:t>
      </w:r>
    </w:p>
    <w:p w:rsidR="001523A6" w:rsidRPr="00AF32B2" w:rsidRDefault="001523A6" w:rsidP="00AF32B2">
      <w:pPr>
        <w:pStyle w:val="berschrift4"/>
      </w:pPr>
      <w:r w:rsidRPr="00AF32B2">
        <w:t>3.3.4.5 Dritte Lückenklasse: funktionale Transformierbarkeit</w:t>
      </w:r>
    </w:p>
    <w:p w:rsidR="001523A6" w:rsidRDefault="001523A6" w:rsidP="001523A6">
      <w:pPr>
        <w:pStyle w:val="StandardWeb"/>
      </w:pPr>
      <w:r>
        <w:t>Funktionen und Operatoren beschreiben eindeutige Zuordnungen beziehungsweise Transformationen mathematischer Zustände [71, 75, 76]. Ihre Verkettung ermöglicht die Darstellung mehrstufiger mathematischer Entwicklungen. Die Mathematik legt jedoch nicht fest, welche Operatoren innerhalb des FRZK zulässig sind und unter welchen Bedingungen ihre Anwendung als funktionale Veränderung interpretiert werden darf.</w:t>
      </w:r>
    </w:p>
    <w:p w:rsidR="001523A6" w:rsidRDefault="001523A6" w:rsidP="001523A6">
      <w:pPr>
        <w:pStyle w:val="StandardWeb"/>
      </w:pPr>
      <w:r>
        <w:t>Eine Definition könnte einen ausgewählten Operator als funktionalen Operator bezeichnen. Auch hier würde eine reine Benennung jedoch nicht ausreichen. Die Definition könnte den Definitionsbereich, den Zielbereich und mathematische Eigenschaften festlegen, aber sie könnte nicht begründen, dass funktional bestimmbare Zustände überhaupt veränderbar sind.</w:t>
      </w:r>
    </w:p>
    <w:p w:rsidR="001523A6" w:rsidRPr="00B16B66" w:rsidRDefault="001523A6" w:rsidP="00B16B66">
      <w:pPr>
        <w:pStyle w:val="Eigenleistung"/>
      </w:pPr>
      <w:r w:rsidRPr="00B16B66">
        <w:t>Eigenleistung des FRZK</w:t>
      </w:r>
    </w:p>
    <w:p w:rsidR="001523A6" w:rsidRDefault="001523A6" w:rsidP="001523A6">
      <w:pPr>
        <w:pStyle w:val="StandardWeb"/>
      </w:pPr>
      <w:r>
        <w:t>Ich identifiziere deshalb die Möglichkeit funktionaler Transformation als dritte grundlegende Lücke. Das FRZK benötigt eine Aussage darüber, dass funktionale Bestimmungen unter zulässigen Bedingungen in andere funktionale Bestimmungen überführt werden können. Diese Aussage darf noch keinen bestimmten Operator, keine Linearität und keine Zeitentwicklung voraussetzen.</w:t>
      </w:r>
    </w:p>
    <w:p w:rsidR="001523A6" w:rsidRDefault="001523A6" w:rsidP="001523A6">
      <w:pPr>
        <w:pStyle w:val="StandardWeb"/>
      </w:pPr>
      <w:r>
        <w:t>Der vorläufige Aussagekern lautet:</w:t>
      </w:r>
    </w:p>
    <w:p w:rsidR="001523A6" w:rsidRDefault="001523A6" w:rsidP="001523A6">
      <w:pPr>
        <w:pStyle w:val="StandardWeb"/>
      </w:pPr>
      <w:r>
        <w:lastRenderedPageBreak/>
        <w:t>Funktional bestimmbare Zustände können durch zulässige Operationen in funktional bestimmbare Zustände überführt werden.</w:t>
      </w:r>
    </w:p>
    <w:p w:rsidR="001523A6" w:rsidRDefault="001523A6" w:rsidP="001523A6">
      <w:pPr>
        <w:pStyle w:val="StandardWeb"/>
      </w:pPr>
      <w:r>
        <w:t>Diese Aussage geht über den mathematischen Funktions- oder Operatorbegriff hinaus. Sie verbindet die formale Abbildung mit der funktionalen Wirksamkeit des Systems und bildet damit einen eigenständigen Axiomkandidaten.</w:t>
      </w:r>
    </w:p>
    <w:p w:rsidR="001523A6" w:rsidRPr="00AF32B2" w:rsidRDefault="001523A6" w:rsidP="00AF32B2">
      <w:pPr>
        <w:pStyle w:val="berschrift4"/>
      </w:pPr>
      <w:r w:rsidRPr="00AF32B2">
        <w:t>3.3.4.6 Abgrenzung von Transformation und Dynamik</w:t>
      </w:r>
    </w:p>
    <w:p w:rsidR="001523A6" w:rsidRDefault="001523A6" w:rsidP="001523A6">
      <w:pPr>
        <w:pStyle w:val="StandardWeb"/>
      </w:pPr>
      <w:r>
        <w:t>Differentialgleichungen und Operatorfolgen können mathematische Entwicklungen beschreiben. Daraus folgt jedoch nicht, dass jede Transformation bereits eine Dynamik darstellt. Eine einzelne Transformation bezeichnet zunächst nur den Übergang zwischen einem Ausgangs- und einem Zielzustand. Dynamik verlangt zusätzlich eine geordnete Folge oder Regel solcher Übergänge.</w:t>
      </w:r>
    </w:p>
    <w:p w:rsidR="001523A6" w:rsidRDefault="001523A6" w:rsidP="001523A6">
      <w:pPr>
        <w:pStyle w:val="StandardWeb"/>
      </w:pPr>
      <w:r>
        <w:t>Die Mathematik kann eine solche Folge durch Indizes, Parameter oder kontinuierliche Variablen ordnen [75, 76]. Ihre funktionale Interpretation als Entwicklung eines Systems erfordert jedoch eine zusätzliche Festlegung. Insbesondere darf die verwendete Ordnung nicht ohne Begründung mit physikalischer Zeit gleichgesetzt werden.</w:t>
      </w:r>
    </w:p>
    <w:p w:rsidR="001523A6" w:rsidRPr="00B16B66" w:rsidRDefault="001523A6" w:rsidP="00B16B66">
      <w:pPr>
        <w:pStyle w:val="Eigenleistung"/>
      </w:pPr>
      <w:r w:rsidRPr="00B16B66">
        <w:t>Eigenleistung des FRZK</w:t>
      </w:r>
    </w:p>
    <w:p w:rsidR="001523A6" w:rsidRDefault="001523A6" w:rsidP="001523A6">
      <w:pPr>
        <w:pStyle w:val="StandardWeb"/>
      </w:pPr>
      <w:r>
        <w:t>Ich unterscheide daher zwischen funktionaler Transformierbarkeit und funktionaler Entwicklung. Transformierbarkeit begründet die Möglichkeit eines Übergangs. Entwicklung bezeichnet eine geordnete Folge solcher Übergänge. Ob für die Entwicklung ein eigenes Primäraxiom erforderlich ist, hängt davon ab, ob ihre Ordnung aus wiederholter Transformierbarkeit und den späteren Definitionen hergeleitet werden kann.</w:t>
      </w:r>
    </w:p>
    <w:p w:rsidR="001523A6" w:rsidRDefault="001523A6" w:rsidP="001523A6">
      <w:pPr>
        <w:pStyle w:val="StandardWeb"/>
      </w:pPr>
      <w:r>
        <w:t>Die vorläufige Analyse zeigt, dass eine Folge von Transformationen mathematisch durch Verkettung beschrieben werden kann [71, 76]. Sobald funktionale Transformierbarkeit axiomatisch begründet und die Kompositionsregel übernommen ist, kann eine funktionale Entwicklung möglicherweise durch Definition eingeführt werden. Ein eigenes Dynamikaxiom wäre dann überflüssig.</w:t>
      </w:r>
    </w:p>
    <w:p w:rsidR="001523A6" w:rsidRPr="00B16B66" w:rsidRDefault="001523A6" w:rsidP="00B16B66">
      <w:pPr>
        <w:pStyle w:val="Eigenleistung"/>
      </w:pPr>
      <w:r w:rsidRPr="00B16B66">
        <w:t>Eigenleistung des FRZK</w:t>
      </w:r>
    </w:p>
    <w:p w:rsidR="001523A6" w:rsidRDefault="001523A6" w:rsidP="001523A6">
      <w:pPr>
        <w:pStyle w:val="StandardWeb"/>
      </w:pPr>
      <w:r>
        <w:t>Ich behandle „Dynamik“ deshalb vorläufig nicht als eigenständigen Axiomkandidaten. Zunächst wird geprüft, ob sie aus funktionaler Transformierbarkeit, Operatorverkettung und einer definierten Ordnungsstruktur abgeleitet werden kann. Damit wird die im ursprünglichen Entwicklungsmanual vorgesehene Annahme eines eigenen Dynamikaxioms ausdrücklich nicht ungeprüft übernommen.</w:t>
      </w:r>
    </w:p>
    <w:p w:rsidR="001523A6" w:rsidRPr="00AF32B2" w:rsidRDefault="001523A6" w:rsidP="00AF32B2">
      <w:pPr>
        <w:pStyle w:val="berschrift4"/>
      </w:pPr>
      <w:r w:rsidRPr="00AF32B2">
        <w:t>3.3.4.7 Vierte Lückenklasse: funktionale Kohärenz</w:t>
      </w:r>
    </w:p>
    <w:p w:rsidR="001523A6" w:rsidRDefault="001523A6" w:rsidP="001523A6">
      <w:pPr>
        <w:pStyle w:val="StandardWeb"/>
      </w:pPr>
      <w:r>
        <w:t>Normen und Metriken ermöglichen die quantitative Beschreibung von Größen und Abständen [75]. Spektrale Eigenschaften, Invarianzen und Stabilitätskriterien können bestimmen, ob mathematische Strukturen unter Transformationen erhalten bleiben [76]. Diese Werkzeuge stellen mögliche Maße und Prüfverfahren bereit. Sie definieren jedoch nicht, was innerhalb des FRZK unter Kohärenz verstanden werden soll.</w:t>
      </w:r>
    </w:p>
    <w:p w:rsidR="001523A6" w:rsidRDefault="001523A6" w:rsidP="001523A6">
      <w:pPr>
        <w:pStyle w:val="StandardWeb"/>
      </w:pPr>
      <w:r>
        <w:lastRenderedPageBreak/>
        <w:t>Kohärenz könnte zunächst als definierter Begriff eingeführt werden. Beispielsweise könnte sie die Erhaltung bestimmter Relationen, die Begrenzung einer Distanz oder die Stabilität einer Struktur unter Transformationen bezeichnen. Eine solche Definition wäre möglich, sofern die dafür benötigten Zustände, Relationen und Transformationen bereits begründet sind.</w:t>
      </w:r>
    </w:p>
    <w:p w:rsidR="001523A6" w:rsidRPr="00B16B66" w:rsidRDefault="001523A6" w:rsidP="00B16B66">
      <w:pPr>
        <w:pStyle w:val="Eigenleistung"/>
      </w:pPr>
      <w:r w:rsidRPr="00B16B66">
        <w:t>Eigenleistung des FRZK</w:t>
      </w:r>
    </w:p>
    <w:p w:rsidR="001523A6" w:rsidRDefault="001523A6" w:rsidP="001523A6">
      <w:pPr>
        <w:pStyle w:val="StandardWeb"/>
      </w:pPr>
      <w:r>
        <w:t>Ich identifiziere deshalb Kohärenz zunächst nicht als eigenständige Existenzannahme. Kohärenz beschreibt keine neue Klasse von Grundobjekten, sondern eine Eigenschaft bereits bestehender funktionaler Beziehungen und Entwicklungen. Sobald funktionale Zustände, Relationen und Transformationen eingeführt sind, kann Kohärenz als Erhaltungs- oder Verträglichkeitsbedingung definiert werden.</w:t>
      </w:r>
    </w:p>
    <w:p w:rsidR="001523A6" w:rsidRDefault="001523A6" w:rsidP="001523A6">
      <w:pPr>
        <w:pStyle w:val="StandardWeb"/>
      </w:pPr>
      <w:r>
        <w:t>Ein eigenes Kohärenzaxiom wäre nur dann erforderlich, wenn behauptet werden soll, dass jedes funktionale System notwendig mindestens eine kohärente Struktur ausbildet. Eine solche allgemeine Existenzbehauptung ist durch die bisherigen Grundlagen nicht gerechtfertigt. Sie würde bereits einen später zu prüfenden Systemzustand in die Ausgangsannahmen einbauen.</w:t>
      </w:r>
    </w:p>
    <w:p w:rsidR="001523A6" w:rsidRPr="00B16B66" w:rsidRDefault="001523A6" w:rsidP="00B16B66">
      <w:pPr>
        <w:pStyle w:val="Eigenleistung"/>
      </w:pPr>
      <w:r w:rsidRPr="00B16B66">
        <w:t>Eigenleistung des FRZK</w:t>
      </w:r>
    </w:p>
    <w:p w:rsidR="001523A6" w:rsidRDefault="001523A6" w:rsidP="001523A6">
      <w:pPr>
        <w:pStyle w:val="StandardWeb"/>
      </w:pPr>
      <w:r>
        <w:t>Ich verwerfe daher Kohärenz in dieser Entwicklungsstufe als Primäraxiom. Sie wird als späterer definierter und gegebenenfalls messbarer Strukturbegriff behandelt. Dadurch bleibt offen, ob ein konkretes funktionales System kohärent, teilweise kohärent oder inkohärent ist. Diese Offenheit ist für spätere Simulationen und Vorhersagen erforderlich.</w:t>
      </w:r>
    </w:p>
    <w:p w:rsidR="001523A6" w:rsidRPr="00AF32B2" w:rsidRDefault="001523A6" w:rsidP="00AF32B2">
      <w:pPr>
        <w:pStyle w:val="berschrift4"/>
      </w:pPr>
      <w:r w:rsidRPr="00AF32B2">
        <w:t>3.3.4.8 Fünfte Lückenklasse: funktionale Ordnung</w:t>
      </w:r>
    </w:p>
    <w:p w:rsidR="001523A6" w:rsidRDefault="001523A6" w:rsidP="001523A6">
      <w:pPr>
        <w:pStyle w:val="StandardWeb"/>
      </w:pPr>
      <w:r>
        <w:t>Die bisherigen Axiomkandidaten betreffen Bestimmbarkeit, Relationierbarkeit und Transformierbarkeit. Für die spätere Rekonstruktion von Raum und Zeit stellt sich zusätzlich die Frage, ob funktionale Beziehungen und Transformationen geordnet werden können. Ordnungsrelationen, Folgen, Graphen und Kategorien stellen hierfür etablierte mathematische Werkzeuge bereit [6, 78].</w:t>
      </w:r>
    </w:p>
    <w:p w:rsidR="001523A6" w:rsidRDefault="001523A6" w:rsidP="001523A6">
      <w:pPr>
        <w:pStyle w:val="StandardWeb"/>
      </w:pPr>
      <w:r>
        <w:t>Eine mathematische Ordnung kann definiert werden, sobald geeignete Elemente und Relationen vorliegen. Sie muss daher nicht zwangsläufig als neue Grundannahme eingeführt werden. Offen bleibt jedoch, ob im FRZK jede funktionale Struktur notwendig eine Ordnung besitzt.</w:t>
      </w:r>
    </w:p>
    <w:p w:rsidR="001523A6" w:rsidRPr="00B16B66" w:rsidRDefault="001523A6" w:rsidP="00B16B66">
      <w:pPr>
        <w:pStyle w:val="Eigenleistung"/>
      </w:pPr>
      <w:r w:rsidRPr="00B16B66">
        <w:t>Eigenleistung des FRZK</w:t>
      </w:r>
    </w:p>
    <w:p w:rsidR="001523A6" w:rsidRDefault="001523A6" w:rsidP="001523A6">
      <w:pPr>
        <w:pStyle w:val="StandardWeb"/>
      </w:pPr>
      <w:r>
        <w:t>Ich vermeide eine solche allgemeine Behauptung. Nicht jede Menge funktionaler Beziehungen muss vollständig oder teilweise geordnet sein. Eine Ordnung soll nur dort definiert werden, wo die Beziehungen und Transformationen die dafür erforderlichen Eigenschaften erfüllen. Funktionale Ordnung wird deshalb zunächst als abgeleitete Struktur und nicht als Primäraxiom behandelt.</w:t>
      </w:r>
    </w:p>
    <w:p w:rsidR="001523A6" w:rsidRDefault="001523A6" w:rsidP="001523A6">
      <w:pPr>
        <w:pStyle w:val="StandardWeb"/>
      </w:pPr>
      <w:r>
        <w:t>Diese Entscheidung verhindert insbesondere, dass räumliche oder zeitliche Ordnung bereits in die Axiomenbasis eingebaut wird. Raum und Zeit sollen später rekonstruiert werden. Eine vorausgesetzte universelle Ordnung könnte diese Rekonstruktion zirkulär machen.</w:t>
      </w:r>
    </w:p>
    <w:p w:rsidR="001523A6" w:rsidRPr="00AF32B2" w:rsidRDefault="001523A6" w:rsidP="00AF32B2">
      <w:pPr>
        <w:pStyle w:val="berschrift4"/>
      </w:pPr>
      <w:r w:rsidRPr="00AF32B2">
        <w:lastRenderedPageBreak/>
        <w:t>3.3.4.9 Vorläufige Reduktion der Axiomkandidaten</w:t>
      </w:r>
    </w:p>
    <w:p w:rsidR="001523A6" w:rsidRDefault="001523A6" w:rsidP="001523A6">
      <w:pPr>
        <w:pStyle w:val="StandardWeb"/>
      </w:pPr>
      <w:r>
        <w:t>Die systematische Prüfung der fünf Lückenklassen führt zu einer deutlichen Reduktion gegenüber der im ursprünglichen Forschungsmanual vorgesehenen Architektur. Kohärenz, Dynamik und Ordnung müssen nach dem derzeitigen Stand nicht als eigenständige Primäraxiome formuliert werden. Sie können voraussichtlich aus früheren Grundannahmen und etablierten mathematischen Strukturen definiert oder abgeleitet werden [71, 75, 76, 78].</w:t>
      </w:r>
    </w:p>
    <w:p w:rsidR="001523A6" w:rsidRPr="00B16B66" w:rsidRDefault="001523A6" w:rsidP="00B16B66">
      <w:pPr>
        <w:pStyle w:val="Eigenleistung"/>
      </w:pPr>
      <w:r w:rsidRPr="00B16B66">
        <w:t>Eigenleistung des FRZK</w:t>
      </w:r>
    </w:p>
    <w:p w:rsidR="001523A6" w:rsidRDefault="001523A6" w:rsidP="001523A6">
      <w:pPr>
        <w:pStyle w:val="StandardWeb"/>
      </w:pPr>
      <w:r>
        <w:t>Als vorläufig unverzichtbar verbleiben drei Axiomkandidaten:</w:t>
      </w:r>
    </w:p>
    <w:p w:rsidR="001523A6" w:rsidRDefault="001523A6" w:rsidP="00632D23">
      <w:pPr>
        <w:numPr>
          <w:ilvl w:val="0"/>
          <w:numId w:val="11"/>
        </w:numPr>
        <w:spacing w:before="100" w:beforeAutospacing="1" w:after="100" w:afterAutospacing="1"/>
      </w:pPr>
      <w:r>
        <w:t xml:space="preserve">funktionale Bestimmbarkeit, </w:t>
      </w:r>
    </w:p>
    <w:p w:rsidR="001523A6" w:rsidRDefault="001523A6" w:rsidP="00632D23">
      <w:pPr>
        <w:numPr>
          <w:ilvl w:val="0"/>
          <w:numId w:val="11"/>
        </w:numPr>
        <w:spacing w:before="100" w:beforeAutospacing="1" w:after="100" w:afterAutospacing="1"/>
      </w:pPr>
      <w:r>
        <w:t xml:space="preserve">funktionale Relationierbarkeit, </w:t>
      </w:r>
    </w:p>
    <w:p w:rsidR="001523A6" w:rsidRDefault="001523A6" w:rsidP="00632D23">
      <w:pPr>
        <w:numPr>
          <w:ilvl w:val="0"/>
          <w:numId w:val="11"/>
        </w:numPr>
        <w:spacing w:before="100" w:beforeAutospacing="1" w:after="100" w:afterAutospacing="1"/>
      </w:pPr>
      <w:r>
        <w:t xml:space="preserve">funktionale Transformierbarkeit. </w:t>
      </w:r>
    </w:p>
    <w:p w:rsidR="001523A6" w:rsidRDefault="001523A6" w:rsidP="001523A6">
      <w:pPr>
        <w:pStyle w:val="StandardWeb"/>
      </w:pPr>
      <w:r>
        <w:t>Diese drei Kandidaten beschreiben unterschiedliche wissenschaftliche Aussagen. Der erste betrifft die Möglichkeit funktionaler Bestimmung. Der zweite betrifft die Möglichkeit funktional wirksamer Verbindung. Der dritte betrifft die Möglichkeit funktional wirksamer Veränderung.</w:t>
      </w:r>
    </w:p>
    <w:p w:rsidR="001523A6" w:rsidRDefault="001523A6" w:rsidP="001523A6">
      <w:pPr>
        <w:pStyle w:val="StandardWeb"/>
      </w:pPr>
      <w:r>
        <w:t>Die Reduktion auf drei Kandidaten folgt dem Minimalitätsprinzip. Sie ist jedoch noch nicht endgültig. Im nächsten Schritt muss geprüft werden, ob Relationierbarkeit oder Transformierbarkeit bereits aus einem allgemeineren Begriff funktionaler Wirksamkeit folgen könnten. Ebenso muss untersucht werden, ob die drei Aussagen widerspruchsfrei gemeinsam formuliert werden können.</w:t>
      </w:r>
    </w:p>
    <w:p w:rsidR="001523A6" w:rsidRPr="00AF32B2" w:rsidRDefault="001523A6" w:rsidP="00AF32B2">
      <w:pPr>
        <w:pStyle w:val="berschrift4"/>
      </w:pPr>
      <w:r w:rsidRPr="00AF32B2">
        <w:t>3.3.4.10 Vorläufige Abhängigkeitsstruktur</w:t>
      </w:r>
    </w:p>
    <w:p w:rsidR="001523A6" w:rsidRDefault="001523A6" w:rsidP="001523A6">
      <w:pPr>
        <w:pStyle w:val="StandardWeb"/>
      </w:pPr>
      <w:r>
        <w:t>Die drei Axiomkandidaten besitzen eine gerichtete Verwendungsstruktur. Eine funktionale Relation setzt funktional bestimmbare Seiten voraus. Eine funktionale Transformation setzt einen funktional bestimmbaren Ausgangs- und Zielzustand voraus. Die Transformierbarkeit kann außerdem auf Relationen zwischen Zuständen und Operationen zurückgreifen.</w:t>
      </w:r>
    </w:p>
    <w:p w:rsidR="001523A6" w:rsidRDefault="001523A6" w:rsidP="001523A6">
      <w:pPr>
        <w:pStyle w:val="StandardWeb"/>
      </w:pPr>
      <w:r>
        <w:t>Diese Verwendungsabhängigkeit bedeutet jedoch nicht automatisch, dass der zweite oder dritte Axiomkandidat logisch aus dem ersten folgt. Die Möglichkeit, Zustände zu bestimmen, beinhaltet weder die Existenz funktional wirksamer Beziehungen noch die Möglichkeit ihrer Veränderung.</w:t>
      </w:r>
    </w:p>
    <w:p w:rsidR="001523A6" w:rsidRPr="00B16B66" w:rsidRDefault="001523A6" w:rsidP="00B16B66">
      <w:pPr>
        <w:pStyle w:val="Eigenleistung"/>
      </w:pPr>
      <w:r w:rsidRPr="00B16B66">
        <w:t>Eigenleistung des FRZK</w:t>
      </w:r>
    </w:p>
    <w:p w:rsidR="001523A6" w:rsidRDefault="001523A6" w:rsidP="001523A6">
      <w:pPr>
        <w:pStyle w:val="StandardWeb"/>
      </w:pPr>
      <w:r>
        <w:t>Ich formuliere daher folgende vorläufige Architektur:</w:t>
      </w:r>
    </w:p>
    <w:p w:rsidR="001523A6" w:rsidRDefault="001523A6" w:rsidP="001523A6">
      <w:pPr>
        <w:pStyle w:val="StandardWeb"/>
      </w:pPr>
      <w:r>
        <w:t>Bestimmbarkeit bildet die Voraussetzung der Definition funktionaler Zustände.</w:t>
      </w:r>
      <w:r>
        <w:br/>
        <w:t>Relationierbarkeit bildet die Voraussetzung funktionaler Kopplungen.</w:t>
      </w:r>
      <w:r>
        <w:br/>
        <w:t>Transformierbarkeit bildet die Voraussetzung funktionaler Entwicklungen.</w:t>
      </w:r>
    </w:p>
    <w:p w:rsidR="001523A6" w:rsidRDefault="001523A6" w:rsidP="001523A6">
      <w:pPr>
        <w:pStyle w:val="StandardWeb"/>
      </w:pPr>
      <w:r>
        <w:t>Diese Architektur wird im folgenden Abschnitt auf Unabhängigkeit, Minimalität und Widerspruchsfreiheit geprüft. Erst danach darf der endgültige Wortlaut des ersten Primäraxioms entwickelt werden.</w:t>
      </w:r>
    </w:p>
    <w:p w:rsidR="001523A6" w:rsidRPr="00AF32B2" w:rsidRDefault="001523A6" w:rsidP="00AF32B2">
      <w:pPr>
        <w:pStyle w:val="berschrift4"/>
      </w:pPr>
      <w:r w:rsidRPr="00AF32B2">
        <w:lastRenderedPageBreak/>
        <w:t>3.3.4.11 Konsequenzen für die weitere Kapitelstruktur</w:t>
      </w:r>
    </w:p>
    <w:p w:rsidR="001523A6" w:rsidRDefault="001523A6" w:rsidP="001523A6">
      <w:pPr>
        <w:pStyle w:val="StandardWeb"/>
      </w:pPr>
      <w:r>
        <w:t>Die Herleitung verändert die ursprünglich im Forschungsmanual geplante Reihenfolge. Kapitel 3.3 wird nicht fünf vorab festgelegte Primäraxiome übernehmen. Stattdessen entwickelt sich die Anzahl der Axiome aus der tatsächlichen Gap-Analyse und der anschließenden Prüfung ihrer Notwendigkeit.</w:t>
      </w:r>
    </w:p>
    <w:p w:rsidR="001523A6" w:rsidRPr="00B16B66" w:rsidRDefault="001523A6" w:rsidP="00B16B66">
      <w:pPr>
        <w:pStyle w:val="Eigenleistung"/>
      </w:pPr>
      <w:r w:rsidRPr="00B16B66">
        <w:t>Eigenleistung des FRZK</w:t>
      </w:r>
    </w:p>
    <w:p w:rsidR="001523A6" w:rsidRDefault="001523A6" w:rsidP="001523A6">
      <w:pPr>
        <w:pStyle w:val="StandardWeb"/>
      </w:pPr>
      <w:r>
        <w:t>Für die weitere Arbeit ergibt sich folgende Reihenfolge:</w:t>
      </w:r>
    </w:p>
    <w:p w:rsidR="001523A6" w:rsidRDefault="001523A6" w:rsidP="00632D23">
      <w:pPr>
        <w:numPr>
          <w:ilvl w:val="0"/>
          <w:numId w:val="12"/>
        </w:numPr>
        <w:spacing w:before="100" w:beforeAutospacing="1" w:after="100" w:afterAutospacing="1"/>
      </w:pPr>
      <w:r>
        <w:t xml:space="preserve">Prüfung der drei Axiomkandidaten auf Unabhängigkeit und Minimalität, </w:t>
      </w:r>
    </w:p>
    <w:p w:rsidR="001523A6" w:rsidRDefault="001523A6" w:rsidP="00632D23">
      <w:pPr>
        <w:numPr>
          <w:ilvl w:val="0"/>
          <w:numId w:val="12"/>
        </w:numPr>
        <w:spacing w:before="100" w:beforeAutospacing="1" w:after="100" w:afterAutospacing="1"/>
      </w:pPr>
      <w:r>
        <w:t xml:space="preserve">endgültige Formulierung des Primäraxioms der funktionalen Bestimmbarkeit, </w:t>
      </w:r>
    </w:p>
    <w:p w:rsidR="001523A6" w:rsidRDefault="001523A6" w:rsidP="00632D23">
      <w:pPr>
        <w:numPr>
          <w:ilvl w:val="0"/>
          <w:numId w:val="12"/>
        </w:numPr>
        <w:spacing w:before="100" w:beforeAutospacing="1" w:after="100" w:afterAutospacing="1"/>
      </w:pPr>
      <w:r>
        <w:t xml:space="preserve">Ableitung der Definition des funktionalen Zustands, </w:t>
      </w:r>
    </w:p>
    <w:p w:rsidR="001523A6" w:rsidRDefault="001523A6" w:rsidP="00632D23">
      <w:pPr>
        <w:numPr>
          <w:ilvl w:val="0"/>
          <w:numId w:val="12"/>
        </w:numPr>
        <w:spacing w:before="100" w:beforeAutospacing="1" w:after="100" w:afterAutospacing="1"/>
      </w:pPr>
      <w:r>
        <w:t xml:space="preserve">Prüfung und Formulierung der funktionalen Relationierbarkeit, </w:t>
      </w:r>
    </w:p>
    <w:p w:rsidR="001523A6" w:rsidRDefault="001523A6" w:rsidP="00632D23">
      <w:pPr>
        <w:numPr>
          <w:ilvl w:val="0"/>
          <w:numId w:val="12"/>
        </w:numPr>
        <w:spacing w:before="100" w:beforeAutospacing="1" w:after="100" w:afterAutospacing="1"/>
      </w:pPr>
      <w:r>
        <w:t xml:space="preserve">Prüfung und Formulierung der funktionalen Transformierbarkeit, </w:t>
      </w:r>
    </w:p>
    <w:p w:rsidR="001523A6" w:rsidRDefault="001523A6" w:rsidP="00632D23">
      <w:pPr>
        <w:numPr>
          <w:ilvl w:val="0"/>
          <w:numId w:val="12"/>
        </w:numPr>
        <w:spacing w:before="100" w:beforeAutospacing="1" w:after="100" w:afterAutospacing="1"/>
      </w:pPr>
      <w:r>
        <w:t xml:space="preserve">Definition von Kohärenz, Dynamik und funktionaler Ordnung aus den zuvor entwickelten Grundlagen. </w:t>
      </w:r>
    </w:p>
    <w:p w:rsidR="001523A6" w:rsidRDefault="001523A6" w:rsidP="001523A6">
      <w:pPr>
        <w:pStyle w:val="StandardWeb"/>
      </w:pPr>
      <w:r>
        <w:t>Damit wird verhindert, dass spätere Strukturbegriffe bereits als Grundannahmen vorausgesetzt werden.</w:t>
      </w:r>
    </w:p>
    <w:p w:rsidR="00E31D2E" w:rsidRDefault="00E31D2E" w:rsidP="00E31D2E">
      <w:pPr>
        <w:pStyle w:val="berschrift2"/>
      </w:pPr>
      <w:r>
        <w:t>Ergänzung zu 3.3.4 – Methodische Herleitung der Primäraxiome aus den identifizierten wissenschaftlichen Lücken</w:t>
      </w:r>
    </w:p>
    <w:p w:rsidR="00E31D2E" w:rsidRDefault="00E31D2E" w:rsidP="00E31D2E">
      <w:pPr>
        <w:pStyle w:val="berschrift3"/>
      </w:pPr>
      <w:r>
        <w:t>Methodologische Betrachtungen</w:t>
      </w:r>
    </w:p>
    <w:p w:rsidR="00E31D2E" w:rsidRDefault="00E31D2E" w:rsidP="00E31D2E">
      <w:pPr>
        <w:pStyle w:val="StandardWeb"/>
      </w:pPr>
      <w:r>
        <w:t>In diesem Abschnitt erfolgt der entscheidende Übergang von der Gap-Analyse zu konkreten Axiomkandidaten. Dabei behandle ich die Kandidaten nicht als frei gewählte Grundsätze, sondern als mögliche Antworten auf zuvor identifizierte minimale Lücken.</w:t>
      </w:r>
    </w:p>
    <w:p w:rsidR="00E31D2E" w:rsidRDefault="00E31D2E" w:rsidP="00E31D2E">
      <w:pPr>
        <w:pStyle w:val="StandardWeb"/>
      </w:pPr>
      <w:r>
        <w:t xml:space="preserve">Die erste Lücke betrifft die </w:t>
      </w:r>
      <w:r>
        <w:rPr>
          <w:rStyle w:val="Fett"/>
        </w:rPr>
        <w:t>funktionale Bestimmbarkeit</w:t>
      </w:r>
      <w:r>
        <w:t>. Die Mathematik erlaubt unterscheidbare Elemente und Strukturen. Daraus folgt jedoch nicht, dass mindestens eine dieser Unterscheidungen innerhalb des FRZK funktional relevant oder wirksam sein muss [6, 60, 67, 68]. Ohne eine solche Mindestannahme wäre auch ein vollständig funktionsloser Gegenstandsbereich mit den mathematischen Grundlagen vereinbar. Für eine Theorie funktionaler Zusammenhänge reicht die bloße mathematische Unterscheidbarkeit daher nicht aus.</w:t>
      </w:r>
    </w:p>
    <w:p w:rsidR="00E31D2E" w:rsidRDefault="00E31D2E" w:rsidP="00E31D2E">
      <w:pPr>
        <w:pStyle w:val="StandardWeb"/>
      </w:pPr>
      <w:r>
        <w:t xml:space="preserve">Die zweite Lücke betrifft die </w:t>
      </w:r>
      <w:r>
        <w:rPr>
          <w:rStyle w:val="Fett"/>
        </w:rPr>
        <w:t>funktionale Relationierbarkeit</w:t>
      </w:r>
      <w:r>
        <w:t>. Selbst wenn mindestens eine funktional wirksame Bestimmung existiert, folgt daraus nicht, dass zwei Bestimmungen funktional aufeinander bezogen werden können. Relationen sind mathematisch verfügbar, ihre tatsächliche funktionale Existenz im FRZK ist jedoch eine zusätzliche Aussage [6, 78].</w:t>
      </w:r>
    </w:p>
    <w:p w:rsidR="00E31D2E" w:rsidRDefault="00E31D2E" w:rsidP="00E31D2E">
      <w:pPr>
        <w:pStyle w:val="StandardWeb"/>
      </w:pPr>
      <w:r>
        <w:t xml:space="preserve">Die dritte Lücke betrifft die </w:t>
      </w:r>
      <w:r>
        <w:rPr>
          <w:rStyle w:val="Fett"/>
        </w:rPr>
        <w:t>funktionale Transformierbarkeit</w:t>
      </w:r>
      <w:r>
        <w:t xml:space="preserve">. Auch aus vorhandenen Bestimmungen und Relationen folgt nicht notwendig, dass eine funktionale Änderung oder Abbildung zwischen Bestimmungen möglich ist. Funktionen und Operatoren sind </w:t>
      </w:r>
      <w:r>
        <w:lastRenderedPageBreak/>
        <w:t>mathematisch definiert, setzen aber für sich genommen keine reale oder FRZK-interne Transformation voraus [71, 75, 76].</w:t>
      </w:r>
    </w:p>
    <w:p w:rsidR="00E31D2E" w:rsidRDefault="00E31D2E" w:rsidP="00E31D2E">
      <w:pPr>
        <w:pStyle w:val="StandardWeb"/>
      </w:pPr>
      <w:r>
        <w:t>Diese drei Lücken sind deshalb methodisch voneinander zu unterscheiden. Bestimmbarkeit beantwortet die Frage, ob überhaupt etwas funktional wirksam unterscheidbar sein kann. Relationierbarkeit beantwortet die Frage, ob funktional relevante Bestimmungen miteinander in Beziehung stehen können. Transformierbarkeit beantwortet die Frage, ob funktionale Bestimmungen in andere übergehen oder durch Abbildungen verändert werden können.</w:t>
      </w:r>
    </w:p>
    <w:p w:rsidR="00E31D2E" w:rsidRDefault="00E31D2E" w:rsidP="00E31D2E">
      <w:pPr>
        <w:pStyle w:val="StandardWeb"/>
      </w:pPr>
      <w:r>
        <w:t>Ich vermeide bewusst, an dieser Stelle bereits Kohärenz, Entwicklung, Raum oder Zeit als zusätzliche Primärvoraussetzungen einzuführen. Solche Strukturen könnten sich später aus Bestimmungen, Relationen und Transformationen definieren oder ableiten lassen. Ihre vorzeitige Aufnahme in den primitiven Kern würde die Axiomenbasis unnötig verstärken.</w:t>
      </w:r>
    </w:p>
    <w:p w:rsidR="00E31D2E" w:rsidRDefault="00E31D2E" w:rsidP="00E31D2E">
      <w:pPr>
        <w:pStyle w:val="StandardWeb"/>
      </w:pPr>
      <w:r>
        <w:t>Methodologisch ergibt sich damit kein Beweis, dass genau drei Primäraxiome existieren müssen. Es ergibt sich zunächst eine begründete Kandidatenmenge. Ob diese Kandidaten wirklich unabhängig, minimal und gemeinsam widerspruchsfrei sind, muss im folgenden Abschnitt getrennt geprüft werden.</w:t>
      </w:r>
    </w:p>
    <w:p w:rsidR="00E31D2E" w:rsidRDefault="00E31D2E" w:rsidP="00E31D2E">
      <w:pPr>
        <w:pStyle w:val="StandardWeb"/>
      </w:pPr>
      <w:r>
        <w:t xml:space="preserve">Diese Trennung zwischen </w:t>
      </w:r>
      <w:r>
        <w:rPr>
          <w:rStyle w:val="Fett"/>
        </w:rPr>
        <w:t>Herleitung eines Kandidaten</w:t>
      </w:r>
      <w:r>
        <w:t xml:space="preserve"> und </w:t>
      </w:r>
      <w:r>
        <w:rPr>
          <w:rStyle w:val="Fett"/>
        </w:rPr>
        <w:t>Akzeptanz als Primäraxiom</w:t>
      </w:r>
      <w:r>
        <w:t xml:space="preserve"> ist wesentlich. Eine identifizierte Lücke rechtfertigt eine Prüfung, noch nicht automatisch die Aufnahme in die endgültige Axiomenbasis.</w:t>
      </w:r>
    </w:p>
    <w:p w:rsidR="00E31D2E" w:rsidRDefault="00E31D2E" w:rsidP="00E31D2E">
      <w:pPr>
        <w:pStyle w:val="berschrift3"/>
      </w:pPr>
      <w:r>
        <w:t>Didaktische Betrachtungen</w:t>
      </w:r>
    </w:p>
    <w:p w:rsidR="00E31D2E" w:rsidRDefault="00E31D2E" w:rsidP="00E31D2E">
      <w:pPr>
        <w:pStyle w:val="StandardWeb"/>
      </w:pPr>
      <w:r>
        <w:t>Die drei Axiomkandidaten lassen sich mit einem sehr einfachen Beispiel unterscheiden.</w:t>
      </w:r>
    </w:p>
    <w:p w:rsidR="00E31D2E" w:rsidRDefault="00E31D2E" w:rsidP="00E31D2E">
      <w:pPr>
        <w:pStyle w:val="StandardWeb"/>
      </w:pPr>
      <w:r>
        <w:t>Zunächst stelle ich mir zwei unterscheidbare Markierungen vor:</w:t>
      </w:r>
      <w:r>
        <w:br/>
      </w:r>
      <m:oMathPara>
        <m:oMath>
          <m:r>
            <w:rPr>
              <w:rFonts w:ascii="Cambria Math" w:hAnsi="Cambria Math"/>
            </w:rPr>
            <m:t>a,</m:t>
          </m:r>
          <m:r>
            <m:rPr>
              <m:sty m:val="p"/>
            </m:rPr>
            <w:rPr>
              <w:rFonts w:ascii="Cambria Math" w:hAnsi="Cambria Math"/>
            </w:rPr>
            <m:t>  </m:t>
          </m:r>
          <m:r>
            <w:rPr>
              <w:rFonts w:ascii="Cambria Math" w:hAnsi="Cambria Math"/>
            </w:rPr>
            <m:t>b.</m:t>
          </m:r>
        </m:oMath>
      </m:oMathPara>
    </w:p>
    <w:p w:rsidR="00E31D2E" w:rsidRDefault="00E31D2E" w:rsidP="00E31D2E">
      <w:pPr>
        <w:pStyle w:val="StandardWeb"/>
      </w:pPr>
      <w:r>
        <w:t xml:space="preserve">Allein daraus folgt nur, dass ich </w:t>
      </w:r>
      <m:oMath>
        <m:r>
          <w:rPr>
            <w:rFonts w:ascii="Cambria Math" w:hAnsi="Cambria Math"/>
          </w:rPr>
          <m:t>a</m:t>
        </m:r>
      </m:oMath>
      <w:r>
        <w:t xml:space="preserve"> und </w:t>
      </w:r>
      <m:oMath>
        <m:r>
          <w:rPr>
            <w:rFonts w:ascii="Cambria Math" w:hAnsi="Cambria Math"/>
          </w:rPr>
          <m:t>b</m:t>
        </m:r>
      </m:oMath>
      <w:r>
        <w:t xml:space="preserve"> unterscheiden kann.</w:t>
      </w:r>
    </w:p>
    <w:p w:rsidR="00E31D2E" w:rsidRDefault="00E31D2E" w:rsidP="00E31D2E">
      <w:pPr>
        <w:pStyle w:val="StandardWeb"/>
      </w:pPr>
      <w:r>
        <w:rPr>
          <w:rStyle w:val="Fett"/>
        </w:rPr>
        <w:t>Bestimmbarkeit</w:t>
      </w:r>
      <w:r>
        <w:t xml:space="preserve"> fragt einen Schritt früher und grundsätzlicher: Gibt es innerhalb des FRZK überhaupt mindestens eine Unterscheidung, die funktional etwas ausmacht? Wären sämtliche Unterschiede völlig wirkungslos, gäbe es zwar mathematisch unterscheidbare Zeichen, aber noch keinen funktionalen Gegenstandsbereich.</w:t>
      </w:r>
    </w:p>
    <w:p w:rsidR="00E31D2E" w:rsidRDefault="00E31D2E" w:rsidP="00E31D2E">
      <w:pPr>
        <w:pStyle w:val="StandardWeb"/>
      </w:pPr>
      <w:r>
        <w:rPr>
          <w:rStyle w:val="Fett"/>
        </w:rPr>
        <w:t>Relationierbarkeit</w:t>
      </w:r>
      <w:r>
        <w:t xml:space="preserve"> fragt anschließend: Können zwei funktional relevante Bestimmungen miteinander verbunden sein? Zwei Punkte auf einem Blatt Papier können vorhanden sein, ohne dass zwischen ihnen eine eingezeichnete Verbindung besteht.</w:t>
      </w:r>
    </w:p>
    <w:p w:rsidR="00E31D2E" w:rsidRDefault="00E31D2E" w:rsidP="00E31D2E">
      <w:pPr>
        <w:pStyle w:val="StandardWeb"/>
      </w:pPr>
      <w:r>
        <w:rPr>
          <w:rStyle w:val="Fett"/>
        </w:rPr>
        <w:t>Transformierbarkeit</w:t>
      </w:r>
      <w:r>
        <w:t xml:space="preserve"> fragt schließlich: Kann aus einer Bestimmung unter einer zulässigen Transformation eine andere Bestimmung hervorgehen? Eine Verbindung zwischen zwei Punkten ist noch kein Übergang vom einen zum anderen.</w:t>
      </w:r>
    </w:p>
    <w:p w:rsidR="00E31D2E" w:rsidRDefault="00E31D2E" w:rsidP="00E31D2E">
      <w:pPr>
        <w:pStyle w:val="StandardWeb"/>
      </w:pPr>
      <w:r>
        <w:t>Damit wird deutlich:</w:t>
      </w:r>
    </w:p>
    <w:p w:rsidR="00E31D2E" w:rsidRDefault="00E31D2E" w:rsidP="00E31D2E">
      <w:pPr>
        <w:pStyle w:val="StandardWeb"/>
      </w:pPr>
      <w:r>
        <w:rPr>
          <w:rStyle w:val="Fett"/>
        </w:rPr>
        <w:t>Etwas ist unterscheidbar</w:t>
      </w:r>
      <w:r>
        <w:t xml:space="preserve"> ist nicht dasselbe wie</w:t>
      </w:r>
      <w:r>
        <w:br/>
      </w:r>
      <w:r>
        <w:rPr>
          <w:rStyle w:val="Fett"/>
        </w:rPr>
        <w:t>etwas steht in Beziehung zu etwas anderem</w:t>
      </w:r>
      <w:r>
        <w:t>, und dies ist wiederum nicht dasselbe wie</w:t>
      </w:r>
      <w:r>
        <w:br/>
      </w:r>
      <w:r>
        <w:rPr>
          <w:rStyle w:val="Fett"/>
        </w:rPr>
        <w:t>etwas kann in etwas anderes überführt werden</w:t>
      </w:r>
      <w:r>
        <w:t>.</w:t>
      </w:r>
    </w:p>
    <w:p w:rsidR="00E31D2E" w:rsidRDefault="00E31D2E" w:rsidP="00E31D2E">
      <w:pPr>
        <w:pStyle w:val="StandardWeb"/>
      </w:pPr>
      <w:r>
        <w:lastRenderedPageBreak/>
        <w:t>Didaktisch ist diese Trennung besonders wichtig, weil die Begriffe im Alltag leicht ineinander übergehen. Wenn zwei Zustände miteinander verbunden sind, neigt man dazu, bereits einen Übergang zwischen ihnen anzunehmen. Mathematisch und axiomatisch sind Relation und Transformation jedoch verschiedene Strukturen.</w:t>
      </w:r>
    </w:p>
    <w:p w:rsidR="00E31D2E" w:rsidRDefault="00E31D2E" w:rsidP="00E31D2E">
      <w:pPr>
        <w:pStyle w:val="StandardWeb"/>
      </w:pPr>
      <w:r>
        <w:t xml:space="preserve">Ein anschauliches Verkehrsbeispiel zeigt den Unterschied. Zwei Städte können existieren. Zwischen ihnen kann eine Straße bestehen. Und auf dieser Straße kann eine konkrete Fahrt stattfinden. </w:t>
      </w:r>
      <w:r>
        <w:rPr>
          <w:rStyle w:val="Fett"/>
        </w:rPr>
        <w:t>Stadt</w:t>
      </w:r>
      <w:r>
        <w:t xml:space="preserve">, </w:t>
      </w:r>
      <w:r>
        <w:rPr>
          <w:rStyle w:val="Fett"/>
        </w:rPr>
        <w:t>Verbindung</w:t>
      </w:r>
      <w:r>
        <w:t xml:space="preserve"> und </w:t>
      </w:r>
      <w:r>
        <w:rPr>
          <w:rStyle w:val="Fett"/>
        </w:rPr>
        <w:t>Übergang</w:t>
      </w:r>
      <w:r>
        <w:t xml:space="preserve"> sind drei verschiedene Ebenen.</w:t>
      </w:r>
    </w:p>
    <w:p w:rsidR="00E31D2E" w:rsidRDefault="00E31D2E" w:rsidP="00E31D2E">
      <w:pPr>
        <w:pStyle w:val="StandardWeb"/>
      </w:pPr>
      <w:r>
        <w:t>Die Herleitung der drei Kandidaten soll genau diese begriffliche Minimalstruktur sichtbar machen, ohne bereits spätere räumliche oder zeitliche Interpretationen hineinzulesen.</w:t>
      </w:r>
    </w:p>
    <w:p w:rsidR="00E31D2E" w:rsidRDefault="00E50336" w:rsidP="00E31D2E">
      <w:r>
        <w:pict>
          <v:rect id="_x0000_i1030" style="width:0;height:1.5pt" o:hralign="center" o:hrstd="t" o:hr="t" fillcolor="#a0a0a0" stroked="f"/>
        </w:pict>
      </w:r>
    </w:p>
    <w:p w:rsidR="004172F0" w:rsidRPr="00AF32B2" w:rsidRDefault="004172F0" w:rsidP="00AF32B2">
      <w:pPr>
        <w:pStyle w:val="berschrift3"/>
      </w:pPr>
      <w:r w:rsidRPr="00AF32B2">
        <w:t>3.3.5 Prüfung der Axiomkandidaten auf Unabhängigkeit, Minimalität und Widerspruchsfreiheit</w:t>
      </w:r>
    </w:p>
    <w:p w:rsidR="004172F0" w:rsidRDefault="004172F0" w:rsidP="004172F0">
      <w:pPr>
        <w:pStyle w:val="StandardWeb"/>
      </w:pPr>
      <w:r>
        <w:t>Die methodische Herleitung in Abschnitt 3.3.4 hat drei vorläufige Axiomkandidaten ergeben: funktionale Bestimmbarkeit, funktionale Relationierbarkeit und funktionale Transformierbarkeit. Diese Kandidaten dürfen jedoch noch nicht unmittelbar als Primäraxiome übernommen werden. Zunächst muss geprüft werden, ob sie voneinander unabhängig sind, ob ihre Aussagen auf einen minimalen Informationsgehalt reduziert werden können und ob sie gemeinsam eine widerspruchsfreie Ausgangsstruktur bilden. Die mathematische Logik unterscheidet zwischen der bloßen Formulierung von Ausgangsaussagen und der Untersuchung ihrer gegenseitigen Ableitbarkeit [79].</w:t>
      </w:r>
    </w:p>
    <w:p w:rsidR="004172F0" w:rsidRPr="00B16B66" w:rsidRDefault="004172F0" w:rsidP="00B16B66">
      <w:pPr>
        <w:pStyle w:val="Eigenleistung"/>
      </w:pPr>
      <w:r w:rsidRPr="00B16B66">
        <w:t>Eigenleistung des FRZK</w:t>
      </w:r>
    </w:p>
    <w:p w:rsidR="004172F0" w:rsidRDefault="004172F0" w:rsidP="004172F0">
      <w:pPr>
        <w:pStyle w:val="StandardWeb"/>
      </w:pPr>
      <w:r>
        <w:t>Ich verwende für jeden Axiomkandidaten drei aufeinanderfolgende Prüfschritte:</w:t>
      </w:r>
    </w:p>
    <w:p w:rsidR="004172F0" w:rsidRDefault="004172F0" w:rsidP="00632D23">
      <w:pPr>
        <w:numPr>
          <w:ilvl w:val="0"/>
          <w:numId w:val="13"/>
        </w:numPr>
        <w:spacing w:before="100" w:beforeAutospacing="1" w:after="100" w:afterAutospacing="1"/>
      </w:pPr>
      <w:r>
        <w:rPr>
          <w:rStyle w:val="Fett"/>
        </w:rPr>
        <w:t>Unabhängigkeitsprüfung:</w:t>
      </w:r>
      <w:r>
        <w:t xml:space="preserve"> Folgt der Aussagekern bereits aus einem anderen Kandidaten? </w:t>
      </w:r>
    </w:p>
    <w:p w:rsidR="004172F0" w:rsidRDefault="004172F0" w:rsidP="00632D23">
      <w:pPr>
        <w:numPr>
          <w:ilvl w:val="0"/>
          <w:numId w:val="13"/>
        </w:numPr>
        <w:spacing w:before="100" w:beforeAutospacing="1" w:after="100" w:afterAutospacing="1"/>
      </w:pPr>
      <w:r>
        <w:rPr>
          <w:rStyle w:val="Fett"/>
        </w:rPr>
        <w:t>Minimalitätsprüfung:</w:t>
      </w:r>
      <w:r>
        <w:t xml:space="preserve"> Enthält der Kandidat Aussagen, die erst durch spätere Definitionen eingeführt werden können? </w:t>
      </w:r>
    </w:p>
    <w:p w:rsidR="004172F0" w:rsidRDefault="004172F0" w:rsidP="00632D23">
      <w:pPr>
        <w:numPr>
          <w:ilvl w:val="0"/>
          <w:numId w:val="13"/>
        </w:numPr>
        <w:spacing w:before="100" w:beforeAutospacing="1" w:after="100" w:afterAutospacing="1"/>
      </w:pPr>
      <w:r>
        <w:rPr>
          <w:rStyle w:val="Fett"/>
        </w:rPr>
        <w:t>Konsistenzprüfung:</w:t>
      </w:r>
      <w:r>
        <w:t xml:space="preserve"> Kann der Kandidat gemeinsam mit den übrigen Kandidaten gelten, ohne deren Aussagegehalt aufzuheben oder zu widersprechen? </w:t>
      </w:r>
    </w:p>
    <w:p w:rsidR="004172F0" w:rsidRDefault="004172F0" w:rsidP="004172F0">
      <w:pPr>
        <w:pStyle w:val="StandardWeb"/>
      </w:pPr>
      <w:r>
        <w:t>Ein Axiomkandidat wird nur dann als Primäraxiom zugelassen, wenn er alle drei Prüfungen besteht.</w:t>
      </w:r>
    </w:p>
    <w:p w:rsidR="004172F0" w:rsidRPr="00AF32B2" w:rsidRDefault="004172F0" w:rsidP="00AF32B2">
      <w:pPr>
        <w:pStyle w:val="berschrift4"/>
      </w:pPr>
      <w:r w:rsidRPr="00AF32B2">
        <w:t>3.3.5.1 Prüfung der funktionalen Bestimmbarkeit</w:t>
      </w:r>
    </w:p>
    <w:p w:rsidR="004172F0" w:rsidRDefault="004172F0" w:rsidP="004172F0">
      <w:pPr>
        <w:pStyle w:val="StandardWeb"/>
      </w:pPr>
      <w:r>
        <w:t>Die Mengenlehre setzt unterscheidbare Elemente und ihre Zugehörigkeit zu Mengen voraus [6]. Der mathematische Strukturalismus beschreibt Gegenstände durch ihre Positionen innerhalb mathematischer Muster oder Strukturen [67, 68]. Damit ist mathematische Unterscheidbarkeit formal verfügbar. Daraus folgt jedoch noch keine funktionale Wirksamkeit einer Bestimmung.</w:t>
      </w:r>
    </w:p>
    <w:p w:rsidR="004172F0" w:rsidRDefault="004172F0" w:rsidP="004172F0">
      <w:pPr>
        <w:pStyle w:val="StandardWeb"/>
      </w:pPr>
      <w:r>
        <w:t>Der vorläufige Axiomkandidat aus Abschnitt 3.3.4 lautet:</w:t>
      </w:r>
    </w:p>
    <w:p w:rsidR="004172F0" w:rsidRDefault="004172F0" w:rsidP="004172F0">
      <w:pPr>
        <w:pStyle w:val="StandardWeb"/>
      </w:pPr>
      <w:r>
        <w:lastRenderedPageBreak/>
        <w:t>Innerhalb des FRZK muss mindestens eine funktional wirksame Bestimmung möglich sein.</w:t>
      </w:r>
    </w:p>
    <w:p w:rsidR="004172F0" w:rsidRDefault="004172F0" w:rsidP="004172F0">
      <w:pPr>
        <w:pStyle w:val="StandardWeb"/>
      </w:pPr>
      <w:r>
        <w:t>Diese Aussage enthält zwei Bestandteile. Erstens wird die Möglichkeit einer Bestimmung vorausgesetzt. Zweitens wird gefordert, dass diese Bestimmung funktional wirksam ist.</w:t>
      </w:r>
    </w:p>
    <w:p w:rsidR="004172F0" w:rsidRPr="00B16B66" w:rsidRDefault="004172F0" w:rsidP="00B16B66">
      <w:pPr>
        <w:pStyle w:val="Eigenleistung"/>
      </w:pPr>
      <w:r w:rsidRPr="00B16B66">
        <w:t>Eigenleistung des FRZK</w:t>
      </w:r>
    </w:p>
    <w:p w:rsidR="004172F0" w:rsidRDefault="004172F0" w:rsidP="004172F0">
      <w:pPr>
        <w:pStyle w:val="StandardWeb"/>
      </w:pPr>
      <w:r>
        <w:t>Die Möglichkeit einer rein mathematischen Bestimmung muss nicht erneut axiomatisch eingeführt werden, weil sie bereits durch die mathematischen Grundlagen aus Kapitel 3.2 bereitgestellt wird. Der nicht ableitbare Aussagekern liegt ausschließlich in der funktionalen Wirksamkeit. Der Kandidat muss deshalb so reduziert werden, dass er keine mathematische Existenzbehauptung wiederholt, sondern nur die zusätzliche funktionale Voraussetzung erfasst.</w:t>
      </w:r>
    </w:p>
    <w:p w:rsidR="004172F0" w:rsidRDefault="004172F0" w:rsidP="004172F0">
      <w:pPr>
        <w:pStyle w:val="StandardWeb"/>
      </w:pPr>
      <w:r>
        <w:t>Eine funktionale Bestimmung darf dabei noch nicht mit einem funktionalen Zustand gleichgesetzt werden. Der Zustandsbegriff setzt bereits eine definierte Einheit voraus, die innerhalb eines Zustandsraums geführt und gegebenenfalls transformiert werden kann. Diese Eigenschaften sind im ersten Axiomkandidaten noch nicht begründet.</w:t>
      </w:r>
    </w:p>
    <w:p w:rsidR="004172F0" w:rsidRPr="00B16B66" w:rsidRDefault="004172F0" w:rsidP="00B16B66">
      <w:pPr>
        <w:pStyle w:val="Eigenleistung"/>
      </w:pPr>
      <w:r w:rsidRPr="00B16B66">
        <w:t>Eigenleistung des FRZK</w:t>
      </w:r>
    </w:p>
    <w:p w:rsidR="004172F0" w:rsidRDefault="004172F0" w:rsidP="004172F0">
      <w:pPr>
        <w:pStyle w:val="StandardWeb"/>
      </w:pPr>
      <w:r>
        <w:t>Ich reduziere den Aussagekern daher auf folgende Form:</w:t>
      </w:r>
    </w:p>
    <w:p w:rsidR="004172F0" w:rsidRDefault="004172F0" w:rsidP="004172F0">
      <w:pPr>
        <w:pStyle w:val="StandardWeb"/>
      </w:pPr>
      <w:r>
        <w:t>Mindestens eine unterscheidbare Bestimmung kann innerhalb eines Zusammenhangs wirksam sein.</w:t>
      </w:r>
    </w:p>
    <w:p w:rsidR="004172F0" w:rsidRDefault="004172F0" w:rsidP="004172F0">
      <w:pPr>
        <w:pStyle w:val="StandardWeb"/>
      </w:pPr>
      <w:r>
        <w:t>Diese Aussage behauptet weder einen Vektorraum noch einen Operator, eine Relation oder einen physikalischen Gegenstand. Sie führt lediglich diejenige zusätzliche Voraussetzung ein, ohne die der Begriff „funktional“ keine vom mathematischen Unterschied abweichende Bedeutung erhalten könnte.</w:t>
      </w:r>
    </w:p>
    <w:p w:rsidR="004172F0" w:rsidRPr="004172F0" w:rsidRDefault="004172F0" w:rsidP="004172F0">
      <w:pPr>
        <w:pStyle w:val="berschrift4"/>
      </w:pPr>
      <w:r w:rsidRPr="004172F0">
        <w:t>Unabhängigkeitsprüfung</w:t>
      </w:r>
    </w:p>
    <w:p w:rsidR="004172F0" w:rsidRDefault="004172F0" w:rsidP="004172F0">
      <w:pPr>
        <w:pStyle w:val="StandardWeb"/>
      </w:pPr>
      <w:r>
        <w:t>Der Kandidat setzt weder funktionale Relationierbarkeit noch funktionale Transformierbarkeit voraus. Eine Bestimmung kann wirksam sein, ohne dass bereits eine Beziehung zwischen zwei ausgebildeten Zuständen oder eine Transformation definiert wurde.</w:t>
      </w:r>
    </w:p>
    <w:p w:rsidR="004172F0" w:rsidRPr="00B16B66" w:rsidRDefault="004172F0" w:rsidP="00B16B66">
      <w:pPr>
        <w:pStyle w:val="Eigenleistung"/>
      </w:pPr>
      <w:r w:rsidRPr="00B16B66">
        <w:t>Eigenleistung des FRZK</w:t>
      </w:r>
    </w:p>
    <w:p w:rsidR="004172F0" w:rsidRDefault="004172F0" w:rsidP="004172F0">
      <w:pPr>
        <w:pStyle w:val="StandardWeb"/>
      </w:pPr>
      <w:r>
        <w:t>Ich bewerte den Kandidaten daher als unabhängig von den beiden nachfolgenden Kandidaten. Umgekehrt setzen Relationierbarkeit und Transformierbarkeit jedoch mindestens unterscheidbare Ausgangs- beziehungsweise Bezugseinheiten voraus. Funktionale Bestimmbarkeit besitzt damit innerhalb der Verwendungsarchitektur Vorrang, ohne dass die späteren Kandidaten logisch aus ihr folgen.</w:t>
      </w:r>
    </w:p>
    <w:p w:rsidR="004172F0" w:rsidRPr="004172F0" w:rsidRDefault="004172F0" w:rsidP="004172F0">
      <w:pPr>
        <w:pStyle w:val="berschrift4"/>
      </w:pPr>
      <w:r w:rsidRPr="004172F0">
        <w:t>Minimalitätsprüfung</w:t>
      </w:r>
    </w:p>
    <w:p w:rsidR="004172F0" w:rsidRDefault="004172F0" w:rsidP="004172F0">
      <w:pPr>
        <w:pStyle w:val="StandardWeb"/>
      </w:pPr>
      <w:r>
        <w:t>Die Begriffe „Zustand“, „Relation“, „Operator“, „Entwicklung“, „Kohärenz“, „Raum“ und „Zeit“ sind für diesen Aussagekern nicht erforderlich. Ihre Aufnahme würde den Kandidaten unnötig erweitern und spätere Definitionen vorwegnehmen.</w:t>
      </w:r>
    </w:p>
    <w:p w:rsidR="004172F0" w:rsidRPr="00B16B66" w:rsidRDefault="004172F0" w:rsidP="00B16B66">
      <w:pPr>
        <w:pStyle w:val="Eigenleistung"/>
      </w:pPr>
      <w:r w:rsidRPr="00B16B66">
        <w:lastRenderedPageBreak/>
        <w:t>Eigenleistung des FRZK</w:t>
      </w:r>
    </w:p>
    <w:p w:rsidR="004172F0" w:rsidRDefault="004172F0" w:rsidP="004172F0">
      <w:pPr>
        <w:pStyle w:val="StandardWeb"/>
      </w:pPr>
      <w:r>
        <w:t>Der erste Kandidat besteht damit die Minimalitätsprüfung, sofern er ausschließlich die Möglichkeit einer wirksamen Unterscheidung festlegt. Der Begriff des funktionalen Zustands wird anschließend durch Definition aus dieser Grundlage entwickelt.</w:t>
      </w:r>
    </w:p>
    <w:p w:rsidR="004172F0" w:rsidRPr="004172F0" w:rsidRDefault="004172F0" w:rsidP="004172F0">
      <w:pPr>
        <w:pStyle w:val="berschrift4"/>
      </w:pPr>
      <w:r w:rsidRPr="004172F0">
        <w:t>Konsistenzprüfung</w:t>
      </w:r>
    </w:p>
    <w:p w:rsidR="004172F0" w:rsidRDefault="004172F0" w:rsidP="004172F0">
      <w:pPr>
        <w:pStyle w:val="StandardWeb"/>
      </w:pPr>
      <w:r>
        <w:t>Eine wirksame Bestimmung widerspricht weder der Mengenlehre noch den algebraischen, topologischen oder operatorentheoretischen Grundlagen aus Kapitel 3.2. Sie verändert keine mathematische Definition, sondern fügt dem späteren Modell eine ausdrücklich gekennzeichnete funktionale Interpretationsebene hinzu [58–60].</w:t>
      </w:r>
    </w:p>
    <w:p w:rsidR="004172F0" w:rsidRPr="00B16B66" w:rsidRDefault="004172F0" w:rsidP="00B16B66">
      <w:pPr>
        <w:pStyle w:val="Eigenleistung"/>
      </w:pPr>
      <w:r w:rsidRPr="00B16B66">
        <w:t>Eigenleistung des FRZK</w:t>
      </w:r>
    </w:p>
    <w:p w:rsidR="004172F0" w:rsidRDefault="004172F0" w:rsidP="004172F0">
      <w:pPr>
        <w:pStyle w:val="StandardWeb"/>
      </w:pPr>
      <w:r>
        <w:t>Der Kandidat ist daher mit dem mathematischen Sprachraum vereinbar. Er schließt weder unwirksame Unterschiede noch Systeme ohne weiterführende Relation oder Transformation aus. Er behauptet nur, dass funktionale Wirksamkeit grundsätzlich möglich ist.</w:t>
      </w:r>
    </w:p>
    <w:p w:rsidR="004172F0" w:rsidRPr="00AF32B2" w:rsidRDefault="004172F0" w:rsidP="00AF32B2">
      <w:pPr>
        <w:pStyle w:val="berschrift4"/>
      </w:pPr>
      <w:r w:rsidRPr="00AF32B2">
        <w:t>3.3.5.2 Prüfung der funktionalen Relationierbarkeit</w:t>
      </w:r>
    </w:p>
    <w:p w:rsidR="004172F0" w:rsidRDefault="004172F0" w:rsidP="004172F0">
      <w:pPr>
        <w:pStyle w:val="StandardWeb"/>
      </w:pPr>
      <w:r>
        <w:t>Relationen sind mathematisch als ausgewählte Verknüpfungen zwischen Elementen definiert [6]. Kategorien und Morphismen ermöglichen eine weitergehende Beschreibung struktureller Beziehungen und ihrer Komposition [78]. Der vorläufige zweite Axiomkandidat lautet:</w:t>
      </w:r>
    </w:p>
    <w:p w:rsidR="004172F0" w:rsidRDefault="004172F0" w:rsidP="004172F0">
      <w:pPr>
        <w:pStyle w:val="StandardWeb"/>
      </w:pPr>
      <w:r>
        <w:t>Funktional bestimmbare Zustände können Beziehungen eingehen, deren Bestehen für mindestens eine weitere Bestimmung des Systems wirksam ist.</w:t>
      </w:r>
    </w:p>
    <w:p w:rsidR="004172F0" w:rsidRDefault="004172F0" w:rsidP="004172F0">
      <w:pPr>
        <w:pStyle w:val="StandardWeb"/>
      </w:pPr>
      <w:r>
        <w:t>Diese Formulierung setzt bereits den Begriff „funktionaler Zustand“ voraus. Dieser Begriff wurde jedoch noch nicht definiert. Außerdem verwendet sie den Ausdruck „System“, obwohl zu diesem Zeitpunkt noch keine Gesamtheit funktionaler Zustände und Beziehungen als System bestimmt wurde.</w:t>
      </w:r>
    </w:p>
    <w:p w:rsidR="004172F0" w:rsidRPr="00B16B66" w:rsidRDefault="004172F0" w:rsidP="00B16B66">
      <w:pPr>
        <w:pStyle w:val="Eigenleistung"/>
      </w:pPr>
      <w:r w:rsidRPr="00B16B66">
        <w:t>Eigenleistung des FRZK</w:t>
      </w:r>
    </w:p>
    <w:p w:rsidR="004172F0" w:rsidRDefault="004172F0" w:rsidP="004172F0">
      <w:pPr>
        <w:pStyle w:val="StandardWeb"/>
      </w:pPr>
      <w:r>
        <w:t>Der Kandidat ist deshalb in seiner bisherigen Form nicht minimal. Seine Aussage muss auf die Möglichkeit funktional wirksamer Verbindung reduziert werden, ohne spätere Begriffe vorwegzunehmen.</w:t>
      </w:r>
    </w:p>
    <w:p w:rsidR="004172F0" w:rsidRDefault="004172F0" w:rsidP="004172F0">
      <w:pPr>
        <w:pStyle w:val="StandardWeb"/>
      </w:pPr>
      <w:r>
        <w:t>Der minimale Aussagekern könnte lauten:</w:t>
      </w:r>
    </w:p>
    <w:p w:rsidR="004172F0" w:rsidRDefault="004172F0" w:rsidP="004172F0">
      <w:pPr>
        <w:pStyle w:val="StandardWeb"/>
      </w:pPr>
      <w:r>
        <w:t>Unterscheidbare funktionale Bestimmungen können in einer wirksamen Beziehung stehen.</w:t>
      </w:r>
    </w:p>
    <w:p w:rsidR="004172F0" w:rsidRDefault="004172F0" w:rsidP="004172F0">
      <w:pPr>
        <w:pStyle w:val="StandardWeb"/>
      </w:pPr>
      <w:r>
        <w:t>Diese Aussage enthält jedoch weiterhin zwei mögliche Lesarten. Sie kann entweder behaupten, dass eine solche Beziehung grundsätzlich möglich ist, oder dass jede funktionale Bestimmung notwendig relationierbar ist.</w:t>
      </w:r>
    </w:p>
    <w:p w:rsidR="004172F0" w:rsidRPr="00B16B66" w:rsidRDefault="004172F0" w:rsidP="00B16B66">
      <w:pPr>
        <w:pStyle w:val="Eigenleistung"/>
      </w:pPr>
      <w:r w:rsidRPr="00B16B66">
        <w:t>Eigenleistung des FRZK</w:t>
      </w:r>
    </w:p>
    <w:p w:rsidR="004172F0" w:rsidRDefault="004172F0" w:rsidP="004172F0">
      <w:pPr>
        <w:pStyle w:val="StandardWeb"/>
      </w:pPr>
      <w:r>
        <w:t xml:space="preserve">Ich verwerfe die zweite Lesart. Aus funktionaler Bestimmbarkeit folgt nicht, dass jede Bestimmung mit jeder anderen verbunden sein muss. Eine solche Forderung würde den </w:t>
      </w:r>
      <w:r>
        <w:lastRenderedPageBreak/>
        <w:t>möglichen Gegenstandsbereich des FRZK unnötig einschränken und bereits eine universelle Kopplungsstruktur voraussetzen.</w:t>
      </w:r>
    </w:p>
    <w:p w:rsidR="004172F0" w:rsidRDefault="004172F0" w:rsidP="004172F0">
      <w:pPr>
        <w:pStyle w:val="StandardWeb"/>
      </w:pPr>
      <w:r>
        <w:t>Der Kandidat darf deshalb nur eine Möglichkeitsaussage enthalten:</w:t>
      </w:r>
    </w:p>
    <w:p w:rsidR="004172F0" w:rsidRDefault="004172F0" w:rsidP="004172F0">
      <w:pPr>
        <w:pStyle w:val="StandardWeb"/>
      </w:pPr>
      <w:r>
        <w:t>Zwischen funktional wirksamen Bestimmungen kann eine funktional wirksame Beziehung bestehen.</w:t>
      </w:r>
    </w:p>
    <w:p w:rsidR="004172F0" w:rsidRPr="004172F0" w:rsidRDefault="004172F0" w:rsidP="004172F0">
      <w:pPr>
        <w:pStyle w:val="berschrift4"/>
      </w:pPr>
      <w:r w:rsidRPr="004172F0">
        <w:t>Unabhängigkeitsprüfung</w:t>
      </w:r>
    </w:p>
    <w:p w:rsidR="004172F0" w:rsidRDefault="004172F0" w:rsidP="004172F0">
      <w:pPr>
        <w:pStyle w:val="StandardWeb"/>
      </w:pPr>
      <w:r>
        <w:t>Aus der Wirksamkeit einer einzelnen Bestimmung folgt nicht, dass mehrere Bestimmungen miteinander verbunden werden können. Die mathematische Existenz mehrerer Elemente erzeugt ebenfalls nicht automatisch eine ausgewählte Relation [6].</w:t>
      </w:r>
    </w:p>
    <w:p w:rsidR="004172F0" w:rsidRPr="00B16B66" w:rsidRDefault="004172F0" w:rsidP="00B16B66">
      <w:pPr>
        <w:pStyle w:val="Eigenleistung"/>
      </w:pPr>
      <w:r w:rsidRPr="00B16B66">
        <w:t>Eigenleistung des FRZK</w:t>
      </w:r>
    </w:p>
    <w:p w:rsidR="004172F0" w:rsidRDefault="004172F0" w:rsidP="004172F0">
      <w:pPr>
        <w:pStyle w:val="StandardWeb"/>
      </w:pPr>
      <w:r>
        <w:t>Der zweite Kandidat besitzt daher einen eigenständigen Aussagegehalt. Er ergänzt die funktionale Bestimmbarkeit um die Möglichkeit funktionaler Verbindung, ohne dass diese aus dem ersten Kandidaten abgeleitet werden kann.</w:t>
      </w:r>
    </w:p>
    <w:p w:rsidR="004172F0" w:rsidRPr="004172F0" w:rsidRDefault="004172F0" w:rsidP="004172F0">
      <w:pPr>
        <w:pStyle w:val="berschrift4"/>
      </w:pPr>
      <w:r w:rsidRPr="004172F0">
        <w:t>Minimalitätsprüfung</w:t>
      </w:r>
    </w:p>
    <w:p w:rsidR="004172F0" w:rsidRDefault="004172F0" w:rsidP="004172F0">
      <w:pPr>
        <w:pStyle w:val="StandardWeb"/>
      </w:pPr>
      <w:r>
        <w:t>Der Kandidat benötigt weder Gerichtetheit noch Symmetrie, Transitivität, Gewichtung oder Kausalität. Diese Eigenschaften können später für bestimmte Relationsklassen definiert werden. Ebenso darf noch keine räumliche Nachbarschaft oder zeitliche Reihenfolge vorausgesetzt werden.</w:t>
      </w:r>
    </w:p>
    <w:p w:rsidR="004172F0" w:rsidRPr="00B16B66" w:rsidRDefault="004172F0" w:rsidP="00B16B66">
      <w:pPr>
        <w:pStyle w:val="Eigenleistung"/>
      </w:pPr>
      <w:r w:rsidRPr="00B16B66">
        <w:t>Eigenleistung des FRZK</w:t>
      </w:r>
    </w:p>
    <w:p w:rsidR="004172F0" w:rsidRDefault="004172F0" w:rsidP="004172F0">
      <w:pPr>
        <w:pStyle w:val="StandardWeb"/>
      </w:pPr>
      <w:r>
        <w:t>Der minimale Aussagegehalt beschränkt sich folglich auf die Möglichkeit einer wirksamen Beziehung. Die Art, Stärke, Richtung und Dauer dieser Beziehung gehören nicht in das Primäraxiom.</w:t>
      </w:r>
    </w:p>
    <w:p w:rsidR="004172F0" w:rsidRPr="004172F0" w:rsidRDefault="004172F0" w:rsidP="004172F0">
      <w:pPr>
        <w:pStyle w:val="berschrift4"/>
      </w:pPr>
      <w:r w:rsidRPr="004172F0">
        <w:t>Konsistenzprüfung</w:t>
      </w:r>
    </w:p>
    <w:p w:rsidR="004172F0" w:rsidRDefault="004172F0" w:rsidP="004172F0">
      <w:pPr>
        <w:pStyle w:val="StandardWeb"/>
      </w:pPr>
      <w:r>
        <w:t>Die Möglichkeit einer funktional wirksamen Beziehung widerspricht der funktionalen Bestimmbarkeit nicht. Sie setzt funktional unterscheidbare Bezugseinheiten voraus und erweitert deren mögliche Organisation. Zugleich bleibt offen, ob eine konkrete Bestimmung tatsächlich eine solche Beziehung besitzt.</w:t>
      </w:r>
    </w:p>
    <w:p w:rsidR="004172F0" w:rsidRPr="00B16B66" w:rsidRDefault="004172F0" w:rsidP="00B16B66">
      <w:pPr>
        <w:pStyle w:val="Eigenleistung"/>
      </w:pPr>
      <w:r w:rsidRPr="00B16B66">
        <w:t>Eigenleistung des FRZK</w:t>
      </w:r>
    </w:p>
    <w:p w:rsidR="004172F0" w:rsidRDefault="004172F0" w:rsidP="004172F0">
      <w:pPr>
        <w:pStyle w:val="StandardWeb"/>
      </w:pPr>
      <w:r>
        <w:t>Der zweite Kandidat ist damit mit dem ersten vereinbar. Beide Aussagen zwingen weder eine vollständige Vernetzung noch eine bestimmte Anzahl von Bestimmungen. Sie lassen sowohl isolierte als auch relationierte Strukturen zu.</w:t>
      </w:r>
    </w:p>
    <w:p w:rsidR="004172F0" w:rsidRPr="00AF32B2" w:rsidRDefault="004172F0" w:rsidP="00AF32B2">
      <w:pPr>
        <w:pStyle w:val="berschrift4"/>
      </w:pPr>
      <w:r w:rsidRPr="00AF32B2">
        <w:t>3.3.5.3 Prüfung der funktionalen Transformierbarkeit</w:t>
      </w:r>
    </w:p>
    <w:p w:rsidR="004172F0" w:rsidRDefault="004172F0" w:rsidP="004172F0">
      <w:pPr>
        <w:pStyle w:val="StandardWeb"/>
      </w:pPr>
      <w:r>
        <w:t>Funktionen und Operatoren beschreiben mathematische Abbildungen zwischen Zuständen beziehungsweise innerhalb von Zustandsräumen [71, 75, 76]. Der dritte vorläufige Kandidat lautet:</w:t>
      </w:r>
    </w:p>
    <w:p w:rsidR="004172F0" w:rsidRDefault="004172F0" w:rsidP="004172F0">
      <w:pPr>
        <w:pStyle w:val="StandardWeb"/>
      </w:pPr>
      <w:r>
        <w:lastRenderedPageBreak/>
        <w:t>Funktional bestimmbare Zustände können durch zulässige Operationen in funktional bestimmbare Zustände überführt werden.</w:t>
      </w:r>
    </w:p>
    <w:p w:rsidR="004172F0" w:rsidRDefault="004172F0" w:rsidP="004172F0">
      <w:pPr>
        <w:pStyle w:val="StandardWeb"/>
      </w:pPr>
      <w:r>
        <w:t>Die Begriffe „Zustand“, „Operation“ und „Zulässigkeit“ setzen bereits Definitionen voraus. Insbesondere kann die Zulässigkeit eines Operators erst beurteilt werden, wenn dessen Definitionsbereich, Zielbereich und Erhaltungsbedingungen festgelegt wurden.</w:t>
      </w:r>
    </w:p>
    <w:p w:rsidR="004172F0" w:rsidRPr="00B16B66" w:rsidRDefault="004172F0" w:rsidP="00B16B66">
      <w:pPr>
        <w:pStyle w:val="Eigenleistung"/>
      </w:pPr>
      <w:r w:rsidRPr="00B16B66">
        <w:t>Eigenleistung des FRZK</w:t>
      </w:r>
    </w:p>
    <w:p w:rsidR="004172F0" w:rsidRDefault="004172F0" w:rsidP="004172F0">
      <w:pPr>
        <w:pStyle w:val="StandardWeb"/>
      </w:pPr>
      <w:r>
        <w:t>Der Kandidat muss deshalb auf die grundlegende Möglichkeit funktionaler Veränderung reduziert werden. Er darf noch keinen konkreten Operator und keine mathematische Abbildungsklasse voraussetzen.</w:t>
      </w:r>
    </w:p>
    <w:p w:rsidR="004172F0" w:rsidRDefault="004172F0" w:rsidP="004172F0">
      <w:pPr>
        <w:pStyle w:val="StandardWeb"/>
      </w:pPr>
      <w:r>
        <w:t>Der minimale Aussagekern lautet:</w:t>
      </w:r>
    </w:p>
    <w:p w:rsidR="004172F0" w:rsidRDefault="004172F0" w:rsidP="004172F0">
      <w:pPr>
        <w:pStyle w:val="StandardWeb"/>
      </w:pPr>
      <w:r>
        <w:t>Eine funktional wirksame Bestimmung kann in eine andere funktional wirksame Bestimmung übergehen.</w:t>
      </w:r>
    </w:p>
    <w:p w:rsidR="004172F0" w:rsidRDefault="004172F0" w:rsidP="004172F0">
      <w:pPr>
        <w:pStyle w:val="StandardWeb"/>
      </w:pPr>
      <w:r>
        <w:t>Auch hier ist zu vermeiden, dass jede funktionale Bestimmung notwendigerweise verändert werden muss. Unveränderliche oder stabile Bestimmungen dürfen durch das Axiom nicht ausgeschlossen werden.</w:t>
      </w:r>
    </w:p>
    <w:p w:rsidR="004172F0" w:rsidRPr="00B16B66" w:rsidRDefault="004172F0" w:rsidP="00B16B66">
      <w:pPr>
        <w:pStyle w:val="Eigenleistung"/>
      </w:pPr>
      <w:r w:rsidRPr="00B16B66">
        <w:t>Eigenleistung des FRZK</w:t>
      </w:r>
    </w:p>
    <w:p w:rsidR="004172F0" w:rsidRDefault="004172F0" w:rsidP="004172F0">
      <w:pPr>
        <w:pStyle w:val="StandardWeb"/>
      </w:pPr>
      <w:r>
        <w:t>Ich formuliere den Kandidaten deshalb ausschließlich als Möglichkeitsaussage. Er begründet die Transformierbarkeit, nicht die Pflicht zur Transformation.</w:t>
      </w:r>
    </w:p>
    <w:p w:rsidR="004172F0" w:rsidRPr="004172F0" w:rsidRDefault="004172F0" w:rsidP="004172F0">
      <w:pPr>
        <w:pStyle w:val="berschrift4"/>
      </w:pPr>
      <w:r w:rsidRPr="004172F0">
        <w:t>Unabhängigkeitsprüfung</w:t>
      </w:r>
    </w:p>
    <w:p w:rsidR="004172F0" w:rsidRDefault="004172F0" w:rsidP="004172F0">
      <w:pPr>
        <w:pStyle w:val="StandardWeb"/>
      </w:pPr>
      <w:r>
        <w:t>Aus funktionaler Bestimmbarkeit folgt keine Veränderbarkeit. Eine Bestimmung könnte grundsätzlich wirksam und dennoch unveränderlich sein. Ebenso folgt aus funktionaler Relationierbarkeit nicht, dass eine Beziehung oder ihre beteiligten Bestimmungen transformiert werden können.</w:t>
      </w:r>
    </w:p>
    <w:p w:rsidR="004172F0" w:rsidRPr="00B16B66" w:rsidRDefault="004172F0" w:rsidP="00B16B66">
      <w:pPr>
        <w:pStyle w:val="Eigenleistung"/>
      </w:pPr>
      <w:r w:rsidRPr="00B16B66">
        <w:t>Eigenleistung des FRZK</w:t>
      </w:r>
    </w:p>
    <w:p w:rsidR="004172F0" w:rsidRDefault="004172F0" w:rsidP="004172F0">
      <w:pPr>
        <w:pStyle w:val="StandardWeb"/>
      </w:pPr>
      <w:r>
        <w:t>Der dritte Kandidat besitzt daher einen eigenständigen Aussagegehalt. Er führt erstmals die Möglichkeit eines Übergangs ein. Weder der erste noch der zweite Kandidat enthalten diese Information.</w:t>
      </w:r>
    </w:p>
    <w:p w:rsidR="004172F0" w:rsidRPr="004172F0" w:rsidRDefault="004172F0" w:rsidP="004172F0">
      <w:pPr>
        <w:pStyle w:val="berschrift4"/>
      </w:pPr>
      <w:r w:rsidRPr="004172F0">
        <w:t>Minimalitätsprüfung</w:t>
      </w:r>
    </w:p>
    <w:p w:rsidR="004172F0" w:rsidRDefault="004172F0" w:rsidP="004172F0">
      <w:pPr>
        <w:pStyle w:val="StandardWeb"/>
      </w:pPr>
      <w:r>
        <w:t>Der Kandidat benötigt keine Zeitvariable, keine Differentialgleichung, keinen linearen Operator und keine Trajektorie. Diese Strukturen gehören zu späteren mathematischen Rekonstruktionen. Ebenso darf das Ziel einer Transformation nicht bereits als räumlich oder zeitlich nachfolgend interpretiert werden.</w:t>
      </w:r>
    </w:p>
    <w:p w:rsidR="004172F0" w:rsidRPr="00B16B66" w:rsidRDefault="004172F0" w:rsidP="00B16B66">
      <w:pPr>
        <w:pStyle w:val="Eigenleistung"/>
      </w:pPr>
      <w:r w:rsidRPr="00B16B66">
        <w:lastRenderedPageBreak/>
        <w:t>Eigenleistung des FRZK</w:t>
      </w:r>
    </w:p>
    <w:p w:rsidR="004172F0" w:rsidRDefault="004172F0" w:rsidP="004172F0">
      <w:pPr>
        <w:pStyle w:val="StandardWeb"/>
      </w:pPr>
      <w:r>
        <w:t>Der minimale Aussagekern besteht ausschließlich in der Möglichkeit eines funktional wirksamen Übergangs zwischen unterscheidbaren Bestimmungen. Die mathematische Darstellung dieses Übergangs wird erst durch spätere Definitionen und Operatoren festgelegt.</w:t>
      </w:r>
    </w:p>
    <w:p w:rsidR="004172F0" w:rsidRPr="004172F0" w:rsidRDefault="004172F0" w:rsidP="004172F0">
      <w:pPr>
        <w:pStyle w:val="berschrift4"/>
      </w:pPr>
      <w:r w:rsidRPr="004172F0">
        <w:t>Konsistenzprüfung</w:t>
      </w:r>
    </w:p>
    <w:p w:rsidR="004172F0" w:rsidRDefault="004172F0" w:rsidP="004172F0">
      <w:pPr>
        <w:pStyle w:val="StandardWeb"/>
      </w:pPr>
      <w:r>
        <w:t>Transformierbarkeit widerspricht weder Bestimmbarkeit noch Relationierbarkeit. Ein Übergang setzt unterscheidbare Ausgangs- und Zielbestimmungen voraus. Er kann durch eine Relation beschrieben werden, muss jedoch nicht mit jeder funktionalen Relation identisch sein.</w:t>
      </w:r>
    </w:p>
    <w:p w:rsidR="004172F0" w:rsidRPr="00B16B66" w:rsidRDefault="004172F0" w:rsidP="00B16B66">
      <w:pPr>
        <w:pStyle w:val="Eigenleistung"/>
      </w:pPr>
      <w:r w:rsidRPr="00B16B66">
        <w:t>Eigenleistung des FRZK</w:t>
      </w:r>
    </w:p>
    <w:p w:rsidR="004172F0" w:rsidRDefault="004172F0" w:rsidP="004172F0">
      <w:pPr>
        <w:pStyle w:val="StandardWeb"/>
      </w:pPr>
      <w:r>
        <w:t>Die drei Kandidaten bleiben damit gemeinsam widerspruchsfrei: Eine Bestimmung kann funktional wirksam sein, sie kann mit anderen Bestimmungen in wirksamer Beziehung stehen, und sie kann unter bestimmten Bedingungen in eine andere Bestimmung übergehen. Keine dieser Möglichkeiten erzwingt das tatsächliche Vorliegen der jeweils anderen.</w:t>
      </w:r>
    </w:p>
    <w:p w:rsidR="004172F0" w:rsidRPr="00AF32B2" w:rsidRDefault="004172F0" w:rsidP="00AF32B2">
      <w:pPr>
        <w:pStyle w:val="berschrift4"/>
      </w:pPr>
      <w:r w:rsidRPr="00AF32B2">
        <w:t>3.3.5.4 Prüfung einer möglichen Zusammenlegung</w:t>
      </w:r>
    </w:p>
    <w:p w:rsidR="004172F0" w:rsidRDefault="004172F0" w:rsidP="004172F0">
      <w:pPr>
        <w:pStyle w:val="StandardWeb"/>
      </w:pPr>
      <w:r>
        <w:t>Das Minimalitätsprinzip verlangt nicht nur die Reduktion einzelner Axiome, sondern auch die Prüfung, ob mehrere Kandidaten zu einem allgemeineren Primäraxiom zusammengefasst werden können [79]. Eine denkbare Zusammenfassung wäre ein einziges Axiom funktionaler Wirksamkeit, aus dem Bestimmbarkeit, Relationierbarkeit und Transformierbarkeit abgeleitet werden sollen.</w:t>
      </w:r>
    </w:p>
    <w:p w:rsidR="004172F0" w:rsidRDefault="004172F0" w:rsidP="004172F0">
      <w:pPr>
        <w:pStyle w:val="StandardWeb"/>
      </w:pPr>
      <w:r>
        <w:t>Eine solche Zusammenfassung würde jedoch den Begriff „Wirksamkeit“ mit mehreren unterschiedlichen Bedeutungen belasten. Bei der Bestimmbarkeit bezeichnet Wirksamkeit die Relevanz eines Unterschieds. Bei der Relationierbarkeit bezeichnet sie die Relevanz einer Verbindung. Bei der Transformierbarkeit bezeichnet sie die Relevanz eines Übergangs.</w:t>
      </w:r>
    </w:p>
    <w:p w:rsidR="004172F0" w:rsidRPr="00B16B66" w:rsidRDefault="004172F0" w:rsidP="00B16B66">
      <w:pPr>
        <w:pStyle w:val="Eigenleistung"/>
      </w:pPr>
      <w:r w:rsidRPr="00B16B66">
        <w:t>Eigenleistung des FRZK</w:t>
      </w:r>
    </w:p>
    <w:p w:rsidR="004172F0" w:rsidRDefault="004172F0" w:rsidP="004172F0">
      <w:pPr>
        <w:pStyle w:val="StandardWeb"/>
      </w:pPr>
      <w:r>
        <w:t>Ich lehne eine unmittelbare Zusammenlegung deshalb ab. Die drei Kandidaten betreffen verschiedene logische Kategorien:</w:t>
      </w:r>
    </w:p>
    <w:p w:rsidR="004172F0" w:rsidRDefault="004172F0" w:rsidP="00632D23">
      <w:pPr>
        <w:numPr>
          <w:ilvl w:val="0"/>
          <w:numId w:val="14"/>
        </w:numPr>
        <w:spacing w:before="100" w:beforeAutospacing="1" w:after="100" w:afterAutospacing="1"/>
      </w:pPr>
      <w:r>
        <w:t xml:space="preserve">Bestimmung, </w:t>
      </w:r>
    </w:p>
    <w:p w:rsidR="004172F0" w:rsidRDefault="004172F0" w:rsidP="00632D23">
      <w:pPr>
        <w:numPr>
          <w:ilvl w:val="0"/>
          <w:numId w:val="14"/>
        </w:numPr>
        <w:spacing w:before="100" w:beforeAutospacing="1" w:after="100" w:afterAutospacing="1"/>
      </w:pPr>
      <w:r>
        <w:t xml:space="preserve">Beziehung, </w:t>
      </w:r>
    </w:p>
    <w:p w:rsidR="004172F0" w:rsidRDefault="004172F0" w:rsidP="00632D23">
      <w:pPr>
        <w:numPr>
          <w:ilvl w:val="0"/>
          <w:numId w:val="14"/>
        </w:numPr>
        <w:spacing w:before="100" w:beforeAutospacing="1" w:after="100" w:afterAutospacing="1"/>
      </w:pPr>
      <w:r>
        <w:t xml:space="preserve">Veränderung. </w:t>
      </w:r>
    </w:p>
    <w:p w:rsidR="004172F0" w:rsidRDefault="004172F0" w:rsidP="004172F0">
      <w:pPr>
        <w:pStyle w:val="StandardWeb"/>
      </w:pPr>
      <w:r>
        <w:t>Eine einzige Grundannahme würde diese Kategorien vermischen und die spätere Rückverfolgbarkeit erschweren.</w:t>
      </w:r>
    </w:p>
    <w:p w:rsidR="004172F0" w:rsidRDefault="004172F0" w:rsidP="004172F0">
      <w:pPr>
        <w:pStyle w:val="StandardWeb"/>
      </w:pPr>
      <w:r>
        <w:t>Auch eine Zusammenlegung von Relationierbarkeit und Transformierbarkeit ist nicht gerechtfertigt. Jede Transformation kann zwar als Relation zwischen Ausgangs- und Zielbestimmung dargestellt werden, aber nicht jede Relation ist eine Transformation [6, 71]. Eine Relation kann statisch, symmetrisch oder nichtgerichtet sein, während eine Transformation eine eindeutige Zuordnung oder Übergangsregel verlangt.</w:t>
      </w:r>
    </w:p>
    <w:p w:rsidR="004172F0" w:rsidRPr="00B16B66" w:rsidRDefault="004172F0" w:rsidP="00B16B66">
      <w:pPr>
        <w:pStyle w:val="Eigenleistung"/>
      </w:pPr>
      <w:r w:rsidRPr="00B16B66">
        <w:lastRenderedPageBreak/>
        <w:t>Eigenleistung des FRZK</w:t>
      </w:r>
    </w:p>
    <w:p w:rsidR="004172F0" w:rsidRDefault="004172F0" w:rsidP="004172F0">
      <w:pPr>
        <w:pStyle w:val="StandardWeb"/>
      </w:pPr>
      <w:r>
        <w:t>Ich halte daher an drei getrennten Axiomkandidaten fest. Ihre Trennung erhöht nicht unnötig die Komplexität, sondern erhält den jeweils eigenständigen wissenschaftlichen Aussagegehalt.</w:t>
      </w:r>
    </w:p>
    <w:p w:rsidR="004172F0" w:rsidRPr="00AF32B2" w:rsidRDefault="004172F0" w:rsidP="00AF32B2">
      <w:pPr>
        <w:pStyle w:val="berschrift4"/>
      </w:pPr>
      <w:r w:rsidRPr="00AF32B2">
        <w:t>3.3.5.5 Prüfung auf verdeckte räumliche oder zeitliche Voraussetzungen</w:t>
      </w:r>
    </w:p>
    <w:p w:rsidR="004172F0" w:rsidRDefault="004172F0" w:rsidP="004172F0">
      <w:pPr>
        <w:pStyle w:val="StandardWeb"/>
      </w:pPr>
      <w:r>
        <w:t>Das FRZK verfolgt das Ziel, räumliche und zeitliche Strukturen später funktional zu rekonstruieren. Die Primäraxiome dürfen deshalb weder räumliche Nähe noch zeitliche Abfolge voraussetzen. Andernfalls wäre die spätere Rekonstruktion zirkulär.</w:t>
      </w:r>
    </w:p>
    <w:p w:rsidR="004172F0" w:rsidRDefault="004172F0" w:rsidP="004172F0">
      <w:pPr>
        <w:pStyle w:val="StandardWeb"/>
      </w:pPr>
      <w:r>
        <w:t>Der Kandidat der Bestimmbarkeit enthält keine räumliche oder zeitliche Aussage. Der Kandidat der Relationierbarkeit verwendet lediglich eine formale Verbindung und setzt keine räumliche Nachbarschaft voraus. Der Kandidat der Transformierbarkeit enthält einen Übergang, aber noch keine physikalische Zeit.</w:t>
      </w:r>
    </w:p>
    <w:p w:rsidR="004172F0" w:rsidRPr="00B16B66" w:rsidRDefault="004172F0" w:rsidP="00B16B66">
      <w:pPr>
        <w:pStyle w:val="Eigenleistung"/>
      </w:pPr>
      <w:r w:rsidRPr="00B16B66">
        <w:t>Eigenleistung des FRZK</w:t>
      </w:r>
    </w:p>
    <w:p w:rsidR="004172F0" w:rsidRDefault="004172F0" w:rsidP="004172F0">
      <w:pPr>
        <w:pStyle w:val="StandardWeb"/>
      </w:pPr>
      <w:r>
        <w:t>Ich unterscheide ausdrücklich zwischen logischer beziehungsweise funktionaler Übergangsordnung und physikalischer Zeit. Die Aussage, dass eine Bestimmung in eine andere übergehen kann, begründet noch keine Dauer, Gleichzeitigkeit, Zeitrichtung oder kontinuierliche Zeitvariable.</w:t>
      </w:r>
    </w:p>
    <w:p w:rsidR="004172F0" w:rsidRDefault="004172F0" w:rsidP="004172F0">
      <w:pPr>
        <w:pStyle w:val="StandardWeb"/>
      </w:pPr>
      <w:r>
        <w:t>Damit bestehen alle drei Kandidaten die Prüfung auf verdeckte Raum- oder Zeitvoraussetzungen. Ihre späteren mathematischen Darstellungen müssen diese Trennung beibehalten.</w:t>
      </w:r>
    </w:p>
    <w:p w:rsidR="004172F0" w:rsidRPr="00AF32B2" w:rsidRDefault="004172F0" w:rsidP="00AF32B2">
      <w:pPr>
        <w:pStyle w:val="berschrift4"/>
      </w:pPr>
      <w:r w:rsidRPr="00AF32B2">
        <w:t>3.3.5.6 Ergebnis der Prüfung</w:t>
      </w:r>
    </w:p>
    <w:p w:rsidR="004172F0" w:rsidRDefault="004172F0" w:rsidP="004172F0">
      <w:pPr>
        <w:pStyle w:val="StandardWeb"/>
      </w:pPr>
      <w:r>
        <w:t>Die Prüfung zeigt, dass alle drei Axiomkandidaten einen eigenständigen und minimal reduzierbaren Aussagegehalt besitzen. Sie sind miteinander vereinbar und setzen keine räumliche, zeitliche oder konkrete physikalische Struktur voraus.</w:t>
      </w:r>
    </w:p>
    <w:p w:rsidR="004172F0" w:rsidRPr="00B16B66" w:rsidRDefault="004172F0" w:rsidP="00B16B66">
      <w:pPr>
        <w:pStyle w:val="Eigenleistung"/>
      </w:pPr>
      <w:r w:rsidRPr="00B16B66">
        <w:t>Eigenleistung des FRZK</w:t>
      </w:r>
    </w:p>
    <w:p w:rsidR="004172F0" w:rsidRDefault="004172F0" w:rsidP="004172F0">
      <w:pPr>
        <w:pStyle w:val="StandardWeb"/>
      </w:pPr>
      <w:r>
        <w:t>Ich bestätige daher vorläufig folgende Axiomenarchitektur:</w:t>
      </w:r>
    </w:p>
    <w:p w:rsidR="004172F0" w:rsidRDefault="004172F0" w:rsidP="00632D23">
      <w:pPr>
        <w:numPr>
          <w:ilvl w:val="0"/>
          <w:numId w:val="15"/>
        </w:numPr>
        <w:spacing w:before="100" w:beforeAutospacing="1" w:after="100" w:afterAutospacing="1"/>
      </w:pPr>
      <w:r>
        <w:rPr>
          <w:rStyle w:val="Fett"/>
        </w:rPr>
        <w:t>Primäraxiom der funktionalen Bestimmbarkeit</w:t>
      </w:r>
      <w:r>
        <w:t xml:space="preserve"> </w:t>
      </w:r>
    </w:p>
    <w:p w:rsidR="004172F0" w:rsidRDefault="004172F0" w:rsidP="00632D23">
      <w:pPr>
        <w:numPr>
          <w:ilvl w:val="0"/>
          <w:numId w:val="15"/>
        </w:numPr>
        <w:spacing w:before="100" w:beforeAutospacing="1" w:after="100" w:afterAutospacing="1"/>
      </w:pPr>
      <w:r>
        <w:rPr>
          <w:rStyle w:val="Fett"/>
        </w:rPr>
        <w:t>Primäraxiom der funktionalen Relationierbarkeit</w:t>
      </w:r>
      <w:r>
        <w:t xml:space="preserve"> </w:t>
      </w:r>
    </w:p>
    <w:p w:rsidR="004172F0" w:rsidRDefault="004172F0" w:rsidP="00632D23">
      <w:pPr>
        <w:numPr>
          <w:ilvl w:val="0"/>
          <w:numId w:val="15"/>
        </w:numPr>
        <w:spacing w:before="100" w:beforeAutospacing="1" w:after="100" w:afterAutospacing="1"/>
      </w:pPr>
      <w:r>
        <w:rPr>
          <w:rStyle w:val="Fett"/>
        </w:rPr>
        <w:t>Primäraxiom der funktionalen Transformierbarkeit</w:t>
      </w:r>
      <w:r>
        <w:t xml:space="preserve"> </w:t>
      </w:r>
    </w:p>
    <w:p w:rsidR="004172F0" w:rsidRDefault="004172F0" w:rsidP="004172F0">
      <w:pPr>
        <w:pStyle w:val="StandardWeb"/>
      </w:pPr>
      <w:r>
        <w:t>Die endgültige sprachliche und mathematische Formulierung erfolgt nacheinander. Nach jedem Primäraxiom werden ausschließlich diejenigen Definitionen eingeführt, die unmittelbar aus seinem Aussagegehalt hervorgehen. Dadurch bleibt die Ableitungsrichtung erhalten.</w:t>
      </w:r>
    </w:p>
    <w:p w:rsidR="004172F0" w:rsidRPr="00AF32B2" w:rsidRDefault="004172F0" w:rsidP="00AF32B2">
      <w:pPr>
        <w:pStyle w:val="berschrift4"/>
      </w:pPr>
      <w:r w:rsidRPr="00AF32B2">
        <w:t>3.3.5.7 Übergang zum ersten Primäraxiom</w:t>
      </w:r>
    </w:p>
    <w:p w:rsidR="004172F0" w:rsidRDefault="004172F0" w:rsidP="004172F0">
      <w:pPr>
        <w:pStyle w:val="StandardWeb"/>
      </w:pPr>
      <w:r>
        <w:t xml:space="preserve">Als erstes wird das Primäraxiom der funktionalen Bestimmbarkeit formuliert. Es bildet die notwendige Voraussetzung dafür, anschließend den Begriff des funktionalen Zustands </w:t>
      </w:r>
      <w:r>
        <w:lastRenderedPageBreak/>
        <w:t>definieren zu können. Relation und Transformation werden an dieser Stelle noch nicht vorausgesetzt.</w:t>
      </w:r>
    </w:p>
    <w:p w:rsidR="004172F0" w:rsidRPr="00B16B66" w:rsidRDefault="004172F0" w:rsidP="00B16B66">
      <w:pPr>
        <w:pStyle w:val="Eigenleistung"/>
      </w:pPr>
      <w:r w:rsidRPr="00B16B66">
        <w:t>Eigenleistung des FRZK</w:t>
      </w:r>
    </w:p>
    <w:p w:rsidR="004172F0" w:rsidRDefault="004172F0" w:rsidP="004172F0">
      <w:pPr>
        <w:pStyle w:val="StandardWeb"/>
      </w:pPr>
      <w:r>
        <w:t>Der folgende Abschnitt muss daher vier Aufgaben erfüllen:</w:t>
      </w:r>
    </w:p>
    <w:p w:rsidR="004172F0" w:rsidRDefault="004172F0" w:rsidP="00632D23">
      <w:pPr>
        <w:numPr>
          <w:ilvl w:val="0"/>
          <w:numId w:val="16"/>
        </w:numPr>
        <w:spacing w:before="100" w:beforeAutospacing="1" w:after="100" w:afterAutospacing="1"/>
      </w:pPr>
      <w:r>
        <w:t xml:space="preserve">den endgültigen sprachlichen Wortlaut des ersten Primäraxioms festlegen, </w:t>
      </w:r>
    </w:p>
    <w:p w:rsidR="004172F0" w:rsidRDefault="004172F0" w:rsidP="00632D23">
      <w:pPr>
        <w:numPr>
          <w:ilvl w:val="0"/>
          <w:numId w:val="16"/>
        </w:numPr>
        <w:spacing w:before="100" w:beforeAutospacing="1" w:after="100" w:afterAutospacing="1"/>
      </w:pPr>
      <w:r>
        <w:t xml:space="preserve">eine minimale mathematische Repräsentation angeben, </w:t>
      </w:r>
    </w:p>
    <w:p w:rsidR="004172F0" w:rsidRDefault="004172F0" w:rsidP="00632D23">
      <w:pPr>
        <w:numPr>
          <w:ilvl w:val="0"/>
          <w:numId w:val="16"/>
        </w:numPr>
        <w:spacing w:before="100" w:beforeAutospacing="1" w:after="100" w:afterAutospacing="1"/>
      </w:pPr>
      <w:r>
        <w:t xml:space="preserve">sämtliche verwendeten Symbole erläutern, </w:t>
      </w:r>
    </w:p>
    <w:p w:rsidR="004172F0" w:rsidRDefault="004172F0" w:rsidP="00632D23">
      <w:pPr>
        <w:numPr>
          <w:ilvl w:val="0"/>
          <w:numId w:val="16"/>
        </w:numPr>
        <w:spacing w:before="100" w:beforeAutospacing="1" w:after="100" w:afterAutospacing="1"/>
      </w:pPr>
      <w:r>
        <w:t xml:space="preserve">und ausdrücklich bestimmen, welche Aussagen noch nicht aus dem Axiom folgen. </w:t>
      </w:r>
    </w:p>
    <w:p w:rsidR="004172F0" w:rsidRDefault="004172F0" w:rsidP="004172F0">
      <w:pPr>
        <w:pStyle w:val="StandardWeb"/>
      </w:pPr>
      <w:r>
        <w:t>Erst danach darf Definition 3.3.1 des funktionalen Zustands entwickelt werden.</w:t>
      </w:r>
    </w:p>
    <w:p w:rsidR="00E31D2E" w:rsidRDefault="00E31D2E" w:rsidP="00E31D2E">
      <w:pPr>
        <w:pStyle w:val="berschrift2"/>
      </w:pPr>
      <w:r>
        <w:t>Ergänzung zu 3.3.5 – Prüfung der Axiomkandidaten auf Unabhängigkeit, Minimalität und Widerspruchsfreiheit</w:t>
      </w:r>
    </w:p>
    <w:p w:rsidR="00E31D2E" w:rsidRDefault="00E31D2E" w:rsidP="00E31D2E">
      <w:pPr>
        <w:pStyle w:val="berschrift3"/>
      </w:pPr>
      <w:r>
        <w:t>Methodologische Betrachtungen</w:t>
      </w:r>
    </w:p>
    <w:p w:rsidR="00E31D2E" w:rsidRDefault="00E31D2E" w:rsidP="00E31D2E">
      <w:pPr>
        <w:pStyle w:val="StandardWeb"/>
      </w:pPr>
      <w:r>
        <w:t>Die in Abschnitt 3.3.4 hergeleiteten Kandidaten dürfen nicht allein deshalb zu Primäraxiomen werden, weil sie für den späteren Theorieaufbau nützlich erscheinen. Vor ihrer Aufnahme muss geprüft werden, ob sie eigenständigen Aussagegehalt besitzen, ob sie minimal formuliert werden können und ob ihre gemeinsame Annahme keinen unmittelbaren Widerspruch erzeugt [79].</w:t>
      </w:r>
    </w:p>
    <w:p w:rsidR="00E31D2E" w:rsidRDefault="00E31D2E" w:rsidP="00E31D2E">
      <w:pPr>
        <w:pStyle w:val="StandardWeb"/>
      </w:pPr>
      <w:r>
        <w:t xml:space="preserve">Die Prüfung der </w:t>
      </w:r>
      <w:r>
        <w:rPr>
          <w:rStyle w:val="Fett"/>
        </w:rPr>
        <w:t>Unabhängigkeit</w:t>
      </w:r>
      <w:r>
        <w:t xml:space="preserve"> fragt, ob einer der Kandidaten bereits aus den anderen folgt. Funktionale Bestimmbarkeit impliziert nicht automatisch Relationierbarkeit. Es ist logisch denkbar, dass mindestens eine funktional wirksame Bestimmung existiert, ohne dass eine funktionale Relation zwischen zwei Bestimmungen besteht. Ebenso folgt aus Relationierbarkeit nicht ohne Zusatzannahme die Existenz einer nichttrivialen Transformation [6, 71, 75, 76, 78].</w:t>
      </w:r>
    </w:p>
    <w:p w:rsidR="00E31D2E" w:rsidRDefault="00E31D2E" w:rsidP="00E31D2E">
      <w:pPr>
        <w:pStyle w:val="StandardWeb"/>
      </w:pPr>
      <w:r>
        <w:t>Umgekehrt darf auch eine Transformation nicht begrifflich so definiert werden, dass sie Relationierbarkeit oder Bestimmbarkeit nur verdeckt voraussetzt und dadurch die scheinbare Unabhängigkeit verloren geht. Deshalb muss ich zwischen mathematischen Voraussetzungen einer Darstellung und dem eigentlichen axiomatischen Aussagegehalt unterscheiden.</w:t>
      </w:r>
    </w:p>
    <w:p w:rsidR="00E31D2E" w:rsidRDefault="00E31D2E" w:rsidP="00E31D2E">
      <w:pPr>
        <w:pStyle w:val="StandardWeb"/>
      </w:pPr>
      <w:r>
        <w:t xml:space="preserve">Die Prüfung der </w:t>
      </w:r>
      <w:r>
        <w:rPr>
          <w:rStyle w:val="Fett"/>
        </w:rPr>
        <w:t>Minimalität</w:t>
      </w:r>
      <w:r>
        <w:t xml:space="preserve"> fragt, ob jeder Kandidat mehr behauptet, als für seinen Zweck erforderlich ist. Bestimmbarkeit darf beispielsweise noch keine Vielzahl funktionaler Bestimmungen, keine Ordnung und keine Metrik voraussetzen. Relationierbarkeit darf keine spezielle Art der Relation erzwingen. Transformierbarkeit darf nicht bereits Dynamik, Irreversibilität oder einen gerichteten Zeitfluss voraussetzen.</w:t>
      </w:r>
    </w:p>
    <w:p w:rsidR="00E31D2E" w:rsidRDefault="00E31D2E" w:rsidP="00E31D2E">
      <w:pPr>
        <w:pStyle w:val="StandardWeb"/>
      </w:pPr>
      <w:r>
        <w:t xml:space="preserve">Die Prüfung der </w:t>
      </w:r>
      <w:r>
        <w:rPr>
          <w:rStyle w:val="Fett"/>
        </w:rPr>
        <w:t>gemeinsamen Widerspruchsfreiheit</w:t>
      </w:r>
      <w:r>
        <w:t xml:space="preserve"> besitzt in diesem frühen Stadium zunächst einen relativen Charakter. Ich prüfe, ob sich die drei Kandidaten innerhalb einer einfachen mathematischen Modellstruktur gleichzeitig realisieren lassen, ohne die in Kapitel 3.2 verwendete Mathematik zu verletzen. Ein solcher Modellnachweis beweist nicht die Wahrheit der Axiome, zeigt aber, dass ihre gemeinsame Annahme nicht bereits formal trivial widersprüchlich ist [58, 59, 79].</w:t>
      </w:r>
    </w:p>
    <w:p w:rsidR="00E31D2E" w:rsidRDefault="00E31D2E" w:rsidP="00E31D2E">
      <w:pPr>
        <w:pStyle w:val="StandardWeb"/>
      </w:pPr>
      <w:r>
        <w:lastRenderedPageBreak/>
        <w:t>Besonders wichtig ist außerdem die Prüfung auf verdeckte räumliche oder zeitliche Voraussetzungen. Eine Relation darf nicht automatisch als räumliche Nachbarschaft und eine Transformation nicht automatisch als zeitliche Entwicklung verstanden werden. Andernfalls würden Raum und Zeit bereits in die Primäraxiomatik eingeschmuggelt.</w:t>
      </w:r>
    </w:p>
    <w:p w:rsidR="00E31D2E" w:rsidRDefault="00E31D2E" w:rsidP="00E31D2E">
      <w:pPr>
        <w:pStyle w:val="StandardWeb"/>
      </w:pPr>
      <w:r>
        <w:t>Erst nach diesen Prüfungen ist es methodisch gerechtfertigt, die drei Kandidaten vorläufig als eigenständige Primäraxiome zu behandeln. Auch diese Bestätigung bleibt revidierbar, wenn spätere Konsistenz- oder Minimalitätsanalysen zeigen, dass eine weitere Reduktion möglich ist.</w:t>
      </w:r>
    </w:p>
    <w:p w:rsidR="00E31D2E" w:rsidRDefault="00E31D2E" w:rsidP="00E31D2E">
      <w:pPr>
        <w:pStyle w:val="berschrift3"/>
      </w:pPr>
      <w:r>
        <w:t>Didaktische Betrachtungen</w:t>
      </w:r>
    </w:p>
    <w:p w:rsidR="00E31D2E" w:rsidRDefault="00E31D2E" w:rsidP="00E31D2E">
      <w:pPr>
        <w:pStyle w:val="StandardWeb"/>
      </w:pPr>
      <w:r>
        <w:t>Die Unabhängigkeit der drei Kandidaten lässt sich an drei einfachen Situationen verdeutlichen.</w:t>
      </w:r>
    </w:p>
    <w:p w:rsidR="00E31D2E" w:rsidRDefault="00E31D2E" w:rsidP="00E31D2E">
      <w:pPr>
        <w:pStyle w:val="StandardWeb"/>
      </w:pPr>
      <w:r>
        <w:rPr>
          <w:rStyle w:val="Fett"/>
        </w:rPr>
        <w:t>Fall 1:</w:t>
      </w:r>
      <w:r>
        <w:t xml:space="preserve"> Es existiert genau eine funktional relevante Bestimmung. Dann ist Bestimmbarkeit erfüllt. Eine Relation zwischen zwei unterschiedlichen Bestimmungen muss deshalb noch nicht existieren.</w:t>
      </w:r>
    </w:p>
    <w:p w:rsidR="00E31D2E" w:rsidRDefault="00E31D2E" w:rsidP="00E31D2E">
      <w:pPr>
        <w:pStyle w:val="StandardWeb"/>
      </w:pPr>
      <w:r>
        <w:rPr>
          <w:rStyle w:val="Fett"/>
        </w:rPr>
        <w:t>Fall 2:</w:t>
      </w:r>
      <w:r>
        <w:t xml:space="preserve"> Es existieren zwei funktional relevante Bestimmungen und eine Beziehung zwischen ihnen. Damit ist Relationierbarkeit möglich. Daraus folgt aber noch nicht, dass sich eine Bestimmung in die andere transformieren kann.</w:t>
      </w:r>
    </w:p>
    <w:p w:rsidR="00E31D2E" w:rsidRDefault="00E31D2E" w:rsidP="00E31D2E">
      <w:pPr>
        <w:pStyle w:val="StandardWeb"/>
      </w:pPr>
      <w:r>
        <w:rPr>
          <w:rStyle w:val="Fett"/>
        </w:rPr>
        <w:t>Fall 3:</w:t>
      </w:r>
      <w:r>
        <w:t xml:space="preserve"> Eine Transformation ist definiert. Dann muss genau geprüft werden, welche Voraussetzungen für diese Transformation benötigt werden und welche davon zum mathematischen Formalismus beziehungsweise zur FRZK-Axiomatik gehören.</w:t>
      </w:r>
    </w:p>
    <w:p w:rsidR="00E31D2E" w:rsidRDefault="00E31D2E" w:rsidP="00E31D2E">
      <w:pPr>
        <w:pStyle w:val="StandardWeb"/>
      </w:pPr>
      <w:r>
        <w:t>Diese Gegenbeispiele sind didaktisch wertvoll, weil Unabhängigkeit oft leichter durch das Weglassen einer Eigenschaft verstanden wird als durch abstrakte logische Formulierungen.</w:t>
      </w:r>
    </w:p>
    <w:p w:rsidR="00E31D2E" w:rsidRDefault="00E31D2E" w:rsidP="00E31D2E">
      <w:pPr>
        <w:pStyle w:val="StandardWeb"/>
      </w:pPr>
      <w:r>
        <w:t>Minimalität lässt sich mit einem Reisegepäck vergleichen. Für eine kurze Reise nehme ich nur das mit, was ich tatsächlich benötige. Ein zusätzliches Kleidungsstück ist vielleicht nützlich, aber nicht notwendig. Bei einer Axiomenbasis ist dieses Prinzip noch strenger: Jede unnötige Voraussetzung muss später nicht mehr erklärt oder hergeleitet werden.</w:t>
      </w:r>
    </w:p>
    <w:p w:rsidR="00E31D2E" w:rsidRDefault="00E31D2E" w:rsidP="00E31D2E">
      <w:pPr>
        <w:pStyle w:val="StandardWeb"/>
      </w:pPr>
      <w:r>
        <w:t>Auch Widerspruchsfreiheit kann anschaulich verstanden werden. Wenn ich drei Regeln aufstelle, muss mindestens ein Beispiel vorstellbar sein, in dem alle drei gleichzeitig erfüllt sind. Finden sich nur Situationen, in denen sich die Regeln gegenseitig ausschließen, ist die Ausgangsbasis unbrauchbar.</w:t>
      </w:r>
    </w:p>
    <w:p w:rsidR="00E31D2E" w:rsidRDefault="00E31D2E" w:rsidP="00E31D2E">
      <w:pPr>
        <w:pStyle w:val="StandardWeb"/>
      </w:pPr>
      <w:r>
        <w:t>Wichtig ist dabei die Grenze dieser Prüfung. Ein widerspruchsfreies Beispiel beweist nicht, dass die Theorie die Wirklichkeit beschreibt. Es zeigt lediglich, dass die Grundannahmen gemeinsam mathematisch gedacht werden können.</w:t>
      </w:r>
    </w:p>
    <w:p w:rsidR="00E31D2E" w:rsidRDefault="00E31D2E" w:rsidP="00E31D2E">
      <w:pPr>
        <w:pStyle w:val="StandardWeb"/>
      </w:pPr>
      <w:r>
        <w:t>Der Abschnitt vermittelt damit einen zentralen wissenschaftlichen Unterschied:</w:t>
      </w:r>
    </w:p>
    <w:p w:rsidR="00E31D2E" w:rsidRDefault="00E31D2E" w:rsidP="00E31D2E">
      <w:pPr>
        <w:pStyle w:val="StandardWeb"/>
      </w:pPr>
      <w:r>
        <w:rPr>
          <w:rStyle w:val="Fett"/>
        </w:rPr>
        <w:t>Ein Axiom wird nicht dadurch gut, dass es nützlich klingt. Es muss als Grundannahme notwendig, sparsam, unabhängig und gemeinsam konsistent sein.</w:t>
      </w:r>
    </w:p>
    <w:p w:rsidR="00E31D2E" w:rsidRDefault="00E50336" w:rsidP="00E31D2E">
      <w:r>
        <w:pict>
          <v:rect id="_x0000_i1031" style="width:0;height:1.5pt" o:hralign="center" o:hrstd="t" o:hr="t" fillcolor="#a0a0a0" stroked="f"/>
        </w:pict>
      </w:r>
    </w:p>
    <w:p w:rsidR="00021B43" w:rsidRPr="00AF32B2" w:rsidRDefault="00021B43" w:rsidP="00AF32B2">
      <w:pPr>
        <w:pStyle w:val="berschrift3"/>
      </w:pPr>
      <w:r w:rsidRPr="00AF32B2">
        <w:lastRenderedPageBreak/>
        <w:t>3.3.6 Primäraxiom der funktionalen Bestimmbarkeit</w:t>
      </w:r>
    </w:p>
    <w:p w:rsidR="00021B43" w:rsidRDefault="00021B43" w:rsidP="00021B43">
      <w:pPr>
        <w:pStyle w:val="StandardWeb"/>
      </w:pPr>
      <w:r>
        <w:t>Die Prüfung der Axiomkandidaten in Abschnitt 3.3.5 hat gezeigt, dass funktionale Bestimmbarkeit einen eigenständigen, minimalen und mit den mathematischen Grundlagen vereinbaren Aussagegehalt besitzt. Die Mengenlehre stellt unterscheidbare Elemente und Zugehörigkeitsbeziehungen bereit, während strukturalistische Ansätze mathematische Gegenstände über ihre Positionen innerhalb von Strukturen bestimmen [6, 67, 68]. Aus diesen mathematischen Voraussetzungen folgt jedoch nicht, dass ein feststellbarer Unterschied innerhalb eines theoretischen Zusammenhangs eine Wirkung besitzt. Genau diese noch unbegründete Voraussetzung bildet den Gegenstand des ersten Primäraxioms.</w:t>
      </w:r>
    </w:p>
    <w:p w:rsidR="00021B43" w:rsidRDefault="00021B43" w:rsidP="00021B43">
      <w:pPr>
        <w:pStyle w:val="StandardWeb"/>
      </w:pPr>
      <w:r>
        <w:t>Die Formulierung muss so allgemein bleiben, dass weder ein fertiger Zustandsraum noch eine Relation, ein Operator oder eine räumliche beziehungsweise zeitliche Ordnung vorausgesetzt wird. Sie darf insbesondere nicht bereits festlegen, wodurch eine Wirkung gemessen, übertragen oder verändert wird. Solche Bestimmungen gehören zu späteren Definitionen und Herleitungen. Das Primäraxiom darf ausschließlich die Möglichkeit funktionaler Wirksamkeit einer unterscheidbaren Bestimmung festlegen [58, 59, 79].</w:t>
      </w:r>
    </w:p>
    <w:p w:rsidR="00021B43" w:rsidRPr="00AF32B2" w:rsidRDefault="00021B43" w:rsidP="00AF32B2">
      <w:pPr>
        <w:pStyle w:val="berschrift4"/>
      </w:pPr>
      <w:r w:rsidRPr="00AF32B2">
        <w:t>3.3.6.1 Sprachliche Formulierung</w:t>
      </w:r>
    </w:p>
    <w:p w:rsidR="00021B43" w:rsidRDefault="00021B43" w:rsidP="00021B43">
      <w:pPr>
        <w:pStyle w:val="StandardWeb"/>
      </w:pPr>
      <w:r>
        <w:rPr>
          <w:rStyle w:val="Fett"/>
        </w:rPr>
        <w:t>Primäraxiom I – Funktionale Bestimmbarkeit</w:t>
      </w:r>
    </w:p>
    <w:p w:rsidR="00021B43" w:rsidRDefault="00021B43" w:rsidP="00021B43">
      <w:pPr>
        <w:pStyle w:val="StandardWeb"/>
      </w:pPr>
      <w:r>
        <w:t>Innerhalb des Funktionalen Raum-Zeit-Kohärenzsystems kann mindestens eine unterscheidbare Bestimmung vorliegen, deren Unterscheidbarkeit für mindestens eine weitere mögliche Bestimmung nicht gleichgültig ist.</w:t>
      </w:r>
    </w:p>
    <w:p w:rsidR="00021B43" w:rsidRDefault="00021B43" w:rsidP="00021B43">
      <w:pPr>
        <w:pStyle w:val="StandardWeb"/>
      </w:pPr>
      <w:r>
        <w:rPr>
          <w:rStyle w:val="Fett"/>
        </w:rPr>
        <w:t>Eigenleistung des FRZK</w:t>
      </w:r>
    </w:p>
    <w:p w:rsidR="00021B43" w:rsidRDefault="00021B43" w:rsidP="00021B43">
      <w:pPr>
        <w:pStyle w:val="StandardWeb"/>
      </w:pPr>
      <w:r>
        <w:t>Mit diesem Primäraxiom führe ich keine neue mathematische Unterscheidungsregel ein. Die mathematische Unterscheidbarkeit wird bereits durch Kapitel 3.2 bereitgestellt. Neu ist ausschließlich die Annahme, dass mindestens ein Unterschied funktional wirksam sein kann. „Funktional wirksam“ bedeutet an dieser Stelle lediglich, dass das Vorliegen oder Nichtvorliegen der betreffenden Bestimmung für mindestens eine weitere mögliche Bestimmung einen Unterschied erzeugt.</w:t>
      </w:r>
    </w:p>
    <w:p w:rsidR="00021B43" w:rsidRDefault="00021B43" w:rsidP="00021B43">
      <w:pPr>
        <w:pStyle w:val="StandardWeb"/>
      </w:pPr>
      <w:r>
        <w:t>Die Formulierung verwendet bewusst den Ausdruck „kann“. Das Primäraxiom behauptet nicht, dass jede mathematisch unterscheidbare Bestimmung funktional wirksam sein muss. Es behauptet ebenfalls nicht, dass jede mögliche Struktur bereits funktionale Zustände enthält. Festgelegt wird ausschließlich die grundsätzliche Möglichkeit, dass eine Unterscheidung innerhalb eines Zusammenhangs nicht wirkungslos bleibt.</w:t>
      </w:r>
    </w:p>
    <w:p w:rsidR="00021B43" w:rsidRPr="00AF32B2" w:rsidRDefault="00021B43" w:rsidP="00AF32B2">
      <w:pPr>
        <w:pStyle w:val="berschrift4"/>
      </w:pPr>
      <w:r w:rsidRPr="00AF32B2">
        <w:t>3.3.6.2 Minimale mathematische Repräsentation</w:t>
      </w:r>
    </w:p>
    <w:p w:rsidR="00021B43" w:rsidRDefault="00021B43" w:rsidP="00021B43">
      <w:pPr>
        <w:pStyle w:val="StandardWeb"/>
      </w:pPr>
      <w:r>
        <w:t>Für die formale Darstellung bezeichne ich mit (\Delta) die Menge der im betrachteten formalen Rahmen unterscheidbaren Bestimmungen. Das Prädikat (\omega(\delta)) kennzeichnet, ob eine Bestimmung (\delta) funktional wirksam ist. Dabei besitzt (\omega(\delta)) den Wert (1), wenn die Bestimmung für mindestens eine weitere mögliche Bestimmung nicht gleichgültig ist, und den Wert (0), wenn keine solche Wirksamkeit vorliegt.</w:t>
      </w:r>
    </w:p>
    <w:p w:rsidR="00021B43" w:rsidRDefault="00021B43" w:rsidP="00021B43">
      <w:pPr>
        <w:pStyle w:val="StandardWeb"/>
      </w:pPr>
      <w:r>
        <w:lastRenderedPageBreak/>
        <w:t>Das Primäraxiom wird durch folgende Existenzbehauptung repräsentiert:</w:t>
      </w:r>
    </w:p>
    <w:p w:rsidR="00021B43" w:rsidRDefault="00021B43" w:rsidP="00021B43">
      <w:pPr>
        <w:pStyle w:val="StandardWeb"/>
      </w:pPr>
      <w:r>
        <w:t>[</w:t>
      </w:r>
      <w:r>
        <w:br/>
        <w:t>\exists \delta \in \Delta:\ \omega(\delta)=1 .</w:t>
      </w:r>
      <w:r>
        <w:br/>
        <w:t>\tag{3.4001}</w:t>
      </w:r>
      <w:r>
        <w:br/>
        <w:t>]</w:t>
      </w:r>
    </w:p>
    <w:p w:rsidR="00021B43" w:rsidRDefault="00021B43" w:rsidP="00021B43">
      <w:pPr>
        <w:pStyle w:val="StandardWeb"/>
      </w:pPr>
      <w:r>
        <w:rPr>
          <w:rStyle w:val="Fett"/>
        </w:rPr>
        <w:t>Word-LaTeX</w:t>
      </w:r>
    </w:p>
    <w:p w:rsidR="00021B43" w:rsidRDefault="006F70A0" w:rsidP="00021B43">
      <w:pPr>
        <w:pStyle w:val="HTMLVorformatiert"/>
        <w:rPr>
          <w:rStyle w:val="HTMLCode"/>
        </w:rPr>
      </w:pPr>
      <m:oMathPara>
        <m:oMath>
          <m:r>
            <m:rPr>
              <m:sty m:val="p"/>
            </m:rPr>
            <w:rPr>
              <w:rStyle w:val="HTMLCode"/>
              <w:rFonts w:ascii="Cambria Math" w:hAnsi="Cambria Math"/>
            </w:rPr>
            <m:t>∃δ∈Δ</m:t>
          </m:r>
          <m:r>
            <w:rPr>
              <w:rStyle w:val="HTMLCode"/>
              <w:rFonts w:ascii="Cambria Math" w:hAnsi="Cambria Math"/>
            </w:rPr>
            <m:t>: </m:t>
          </m:r>
          <m:r>
            <m:rPr>
              <m:sty m:val="p"/>
            </m:rPr>
            <w:rPr>
              <w:rStyle w:val="HTMLCode"/>
              <w:rFonts w:ascii="Cambria Math" w:hAnsi="Cambria Math"/>
            </w:rPr>
            <m:t>ω</m:t>
          </m:r>
          <m:d>
            <m:dPr>
              <m:ctrlPr>
                <w:rPr>
                  <w:rStyle w:val="HTMLCode"/>
                  <w:rFonts w:ascii="Cambria Math" w:hAnsi="Cambria Math"/>
                  <w:i/>
                </w:rPr>
              </m:ctrlPr>
            </m:dPr>
            <m:e>
              <m:r>
                <m:rPr>
                  <m:sty m:val="p"/>
                </m:rPr>
                <w:rPr>
                  <w:rStyle w:val="HTMLCode"/>
                  <w:rFonts w:ascii="Cambria Math" w:hAnsi="Cambria Math"/>
                </w:rPr>
                <m:t>δ</m:t>
              </m:r>
            </m:e>
          </m:d>
          <m:r>
            <w:rPr>
              <w:rStyle w:val="HTMLCode"/>
              <w:rFonts w:ascii="Cambria Math" w:hAnsi="Cambria Math"/>
            </w:rPr>
            <m:t>=1</m:t>
          </m:r>
          <m:r>
            <m:rPr>
              <m:sty m:val="p"/>
            </m:rPr>
            <w:rPr>
              <w:rStyle w:val="HTMLCode"/>
              <w:rFonts w:ascii="Cambria Math" w:hAnsi="Cambria Math"/>
            </w:rPr>
            <m:t>  </m:t>
          </m:r>
          <m:r>
            <m:rPr>
              <m:nor/>
            </m:rPr>
            <w:rPr>
              <w:rStyle w:val="HTMLCode"/>
              <w:rFonts w:ascii="Cambria Math" w:hAnsi="Cambria Math"/>
            </w:rPr>
            <m:t>(3.4001)</m:t>
          </m:r>
        </m:oMath>
      </m:oMathPara>
    </w:p>
    <w:p w:rsidR="00021B43" w:rsidRDefault="00021B43" w:rsidP="00021B43">
      <w:pPr>
        <w:pStyle w:val="StandardWeb"/>
      </w:pPr>
      <w:r>
        <w:t>Dabei bezeichnet:</w:t>
      </w:r>
    </w:p>
    <w:p w:rsidR="00021B43" w:rsidRDefault="00021B43" w:rsidP="00632D23">
      <w:pPr>
        <w:pStyle w:val="StandardWeb"/>
        <w:numPr>
          <w:ilvl w:val="0"/>
          <w:numId w:val="17"/>
        </w:numPr>
      </w:pPr>
      <w:r>
        <w:t>(\Delta) die Menge der unterscheidbaren Bestimmungen,</w:t>
      </w:r>
    </w:p>
    <w:p w:rsidR="00021B43" w:rsidRDefault="00021B43" w:rsidP="00632D23">
      <w:pPr>
        <w:pStyle w:val="StandardWeb"/>
        <w:numPr>
          <w:ilvl w:val="0"/>
          <w:numId w:val="17"/>
        </w:numPr>
      </w:pPr>
      <w:r>
        <w:t>(\delta) eine einzelne unterscheidbare Bestimmung,</w:t>
      </w:r>
    </w:p>
    <w:p w:rsidR="00021B43" w:rsidRDefault="00021B43" w:rsidP="00632D23">
      <w:pPr>
        <w:pStyle w:val="StandardWeb"/>
        <w:numPr>
          <w:ilvl w:val="0"/>
          <w:numId w:val="17"/>
        </w:numPr>
      </w:pPr>
      <w:r>
        <w:t>(\omega) das Prädikat funktionaler Wirksamkeit,</w:t>
      </w:r>
    </w:p>
    <w:p w:rsidR="00021B43" w:rsidRDefault="00021B43" w:rsidP="00632D23">
      <w:pPr>
        <w:pStyle w:val="StandardWeb"/>
        <w:numPr>
          <w:ilvl w:val="0"/>
          <w:numId w:val="17"/>
        </w:numPr>
      </w:pPr>
      <w:r>
        <w:t>(\omega(\delta)=1) das Vorliegen funktionaler Wirksamkeit,</w:t>
      </w:r>
    </w:p>
    <w:p w:rsidR="00021B43" w:rsidRDefault="00021B43" w:rsidP="00632D23">
      <w:pPr>
        <w:pStyle w:val="StandardWeb"/>
        <w:numPr>
          <w:ilvl w:val="0"/>
          <w:numId w:val="17"/>
        </w:numPr>
      </w:pPr>
      <w:r>
        <w:t>(\exists) die Existenz mindestens einer entsprechenden Bestimmung.</w:t>
      </w:r>
    </w:p>
    <w:p w:rsidR="00021B43" w:rsidRDefault="00021B43" w:rsidP="00021B43">
      <w:pPr>
        <w:pStyle w:val="StandardWeb"/>
      </w:pPr>
      <w:r>
        <w:t>Die Gleichung (3.4001) führt noch keinen funktionalen Zustand ein. Sie behauptet ausschließlich, dass innerhalb der zugelassenen unterscheidbaren Bestimmungen mindestens eine Bestimmung existiert, deren Unterschied funktional relevant sein kann. Der Ausdruck (\omega) ist deshalb an dieser Stelle kein Entwicklungsoperator. Er dient ausschließlich der formalen Kennzeichnung des im Primäraxiom gesetzten Aussagegehalts.</w:t>
      </w:r>
    </w:p>
    <w:p w:rsidR="00021B43" w:rsidRDefault="00021B43" w:rsidP="00021B43">
      <w:pPr>
        <w:pStyle w:val="StandardWeb"/>
      </w:pPr>
      <w:r>
        <w:rPr>
          <w:rStyle w:val="Fett"/>
        </w:rPr>
        <w:t>Eigenleistung des FRZK</w:t>
      </w:r>
    </w:p>
    <w:p w:rsidR="00021B43" w:rsidRDefault="00021B43" w:rsidP="00021B43">
      <w:pPr>
        <w:pStyle w:val="StandardWeb"/>
      </w:pPr>
      <w:r>
        <w:t>Ich verwende (\omega) zunächst als primitives Wirksamkeitsprädikat. Seine Bedeutung wird nicht aus einer Norm, einer Metrik oder einem physikalischen Messwert abgeleitet. Eine quantitative Ausprägung funktionaler Wirksamkeit ist mit Gleichung (3.4001) ebenfalls nicht festgelegt. Das Prädikat unterscheidet vorerst nur zwischen wirksam und nicht wirksam.</w:t>
      </w:r>
    </w:p>
    <w:p w:rsidR="00021B43" w:rsidRPr="00AF32B2" w:rsidRDefault="00021B43" w:rsidP="00AF32B2">
      <w:pPr>
        <w:pStyle w:val="berschrift4"/>
      </w:pPr>
      <w:r w:rsidRPr="00AF32B2">
        <w:t>3.3.6.3 Begründung der axiomatischen Notwendigkeit</w:t>
      </w:r>
    </w:p>
    <w:p w:rsidR="00021B43" w:rsidRDefault="00021B43" w:rsidP="00021B43">
      <w:pPr>
        <w:pStyle w:val="StandardWeb"/>
      </w:pPr>
      <w:r>
        <w:t>Eine reine Definition könnte festlegen, dass eine Bestimmung mit (\omega(\delta)=1) als funktional wirksam bezeichnet wird. Sie könnte jedoch nicht begründen, dass mindestens eine solche Bestimmung überhaupt existiert. Ohne die Existenzbehauptung bliebe die Menge aller funktional wirksamen Bestimmungen möglicherweise leer. Das FRZK könnte dann Begriffe für funktionale Zustände, Beziehungen und Transformationen definieren, ohne dass irgendein Objekt diese Begriffe erfüllt.</w:t>
      </w:r>
    </w:p>
    <w:p w:rsidR="00021B43" w:rsidRDefault="00021B43" w:rsidP="00021B43">
      <w:pPr>
        <w:pStyle w:val="StandardWeb"/>
      </w:pPr>
      <w:r>
        <w:t>Die leere Menge ist zwar ein wohldefiniertes mathematisches Objekt, sie begründet jedoch keine funktionale Struktur [6]. Ebenso kann ein mathematisches Modell formal konsistent sein, obwohl seine wissenschaftlich interpretierten Objektklassen leer bleiben [58]. Die Existenz mindestens einer funktional wirksamen Bestimmung kann daher weder aus der Mengenlehre noch aus der Modelltheorie oder der mathematischen Logik abgeleitet werden [6, 58, 79].</w:t>
      </w:r>
    </w:p>
    <w:p w:rsidR="00021B43" w:rsidRDefault="00021B43" w:rsidP="00021B43">
      <w:pPr>
        <w:pStyle w:val="StandardWeb"/>
      </w:pPr>
      <w:r>
        <w:rPr>
          <w:rStyle w:val="Fett"/>
        </w:rPr>
        <w:t>Eigenleistung des FRZK</w:t>
      </w:r>
    </w:p>
    <w:p w:rsidR="00021B43" w:rsidRDefault="00021B43" w:rsidP="00021B43">
      <w:pPr>
        <w:pStyle w:val="StandardWeb"/>
      </w:pPr>
      <w:r>
        <w:lastRenderedPageBreak/>
        <w:t>Ich kennzeichne Gleichung (3.4001) deshalb ausdrücklich als axiomatische Existenzsetzung. Das Axiom schließt den vollständig funktionslosen Fall für den Gegenstandsbereich des FRZK aus. Es behauptet jedoch weder die Existenz mehrerer funktionaler Zustände noch die Existenz von Beziehungen oder Transformationen. Diese zusätzlichen Aussagen bleiben den folgenden Primäraxiomen vorbehalten.</w:t>
      </w:r>
    </w:p>
    <w:p w:rsidR="00021B43" w:rsidRPr="00AF32B2" w:rsidRDefault="00021B43" w:rsidP="00AF32B2">
      <w:pPr>
        <w:pStyle w:val="berschrift4"/>
      </w:pPr>
      <w:r w:rsidRPr="00AF32B2">
        <w:t>3.3.6.4 Gültigkeitsbereich</w:t>
      </w:r>
    </w:p>
    <w:p w:rsidR="00021B43" w:rsidRDefault="00021B43" w:rsidP="00021B43">
      <w:pPr>
        <w:pStyle w:val="StandardWeb"/>
      </w:pPr>
      <w:r>
        <w:t>Das Primäraxiom gilt ausschließlich innerhalb des formalen Gegenstandsbereichs des FRZK. Es stellt keine allgemeine ontologische Behauptung über sämtliche mathematischen, physikalischen oder denkbaren Strukturen dar. Insbesondere folgt daraus nicht, dass jede Unterscheidung in der Wirklichkeit eine physikalische Wirkung besitzt.</w:t>
      </w:r>
    </w:p>
    <w:p w:rsidR="00021B43" w:rsidRDefault="00021B43" w:rsidP="00021B43">
      <w:pPr>
        <w:pStyle w:val="StandardWeb"/>
      </w:pPr>
      <w:r>
        <w:t>Die Trennung zwischen formaler Aussage und möglicher Interpretation bleibt damit erhalten [59]. Gleichung (3.4001) begründet zunächst nur die innere Struktur des FRZK. Eine physikalische Interpretation erfordert später zusätzliche Modelle, Zuordnungen und empirisch überprüfbare Konsequenzen [58].</w:t>
      </w:r>
    </w:p>
    <w:p w:rsidR="00021B43" w:rsidRDefault="00021B43" w:rsidP="00021B43">
      <w:pPr>
        <w:pStyle w:val="StandardWeb"/>
      </w:pPr>
      <w:r>
        <w:rPr>
          <w:rStyle w:val="Fett"/>
        </w:rPr>
        <w:t>Eigenleistung des FRZK</w:t>
      </w:r>
    </w:p>
    <w:p w:rsidR="00021B43" w:rsidRDefault="00021B43" w:rsidP="00021B43">
      <w:pPr>
        <w:pStyle w:val="StandardWeb"/>
      </w:pPr>
      <w:r>
        <w:t>Ich beschränke das Primäraxiom bewusst auf die Möglichkeit funktionaler Wirksamkeit. Die Stärke, Reichweite, Dauer oder physikalische Form einer solchen Wirksamkeit werden nicht festgelegt. Dadurch bleibt das Axiom unabhängig von konkreten Naturgesetzen, Messverfahren und Skalen.</w:t>
      </w:r>
    </w:p>
    <w:p w:rsidR="00021B43" w:rsidRPr="00AF32B2" w:rsidRDefault="00021B43" w:rsidP="00AF32B2">
      <w:pPr>
        <w:pStyle w:val="berschrift4"/>
      </w:pPr>
      <w:r w:rsidRPr="00AF32B2">
        <w:t>3.3.6.5 Aussagen, die nicht aus Primäraxiom I folgen</w:t>
      </w:r>
    </w:p>
    <w:p w:rsidR="00021B43" w:rsidRDefault="00021B43" w:rsidP="00021B43">
      <w:pPr>
        <w:pStyle w:val="StandardWeb"/>
      </w:pPr>
      <w:r>
        <w:t>Aus Primäraxiom I folgt noch nicht:</w:t>
      </w:r>
    </w:p>
    <w:p w:rsidR="00021B43" w:rsidRDefault="00021B43" w:rsidP="00632D23">
      <w:pPr>
        <w:pStyle w:val="StandardWeb"/>
        <w:numPr>
          <w:ilvl w:val="0"/>
          <w:numId w:val="18"/>
        </w:numPr>
      </w:pPr>
      <w:r>
        <w:t>dass mehrere funktional wirksame Bestimmungen existieren,</w:t>
      </w:r>
    </w:p>
    <w:p w:rsidR="00021B43" w:rsidRDefault="00021B43" w:rsidP="00632D23">
      <w:pPr>
        <w:pStyle w:val="StandardWeb"/>
        <w:numPr>
          <w:ilvl w:val="0"/>
          <w:numId w:val="18"/>
        </w:numPr>
      </w:pPr>
      <w:r>
        <w:t>dass zwei Bestimmungen miteinander in Beziehung stehen,</w:t>
      </w:r>
    </w:p>
    <w:p w:rsidR="00021B43" w:rsidRDefault="00021B43" w:rsidP="00632D23">
      <w:pPr>
        <w:pStyle w:val="StandardWeb"/>
        <w:numPr>
          <w:ilvl w:val="0"/>
          <w:numId w:val="18"/>
        </w:numPr>
      </w:pPr>
      <w:r>
        <w:t>dass eine funktional wirksame Bestimmung verändert werden kann,</w:t>
      </w:r>
    </w:p>
    <w:p w:rsidR="00021B43" w:rsidRDefault="00021B43" w:rsidP="00632D23">
      <w:pPr>
        <w:pStyle w:val="StandardWeb"/>
        <w:numPr>
          <w:ilvl w:val="0"/>
          <w:numId w:val="18"/>
        </w:numPr>
      </w:pPr>
      <w:r>
        <w:t>dass ein Vektorraum funktionaler Zustände existiert,</w:t>
      </w:r>
    </w:p>
    <w:p w:rsidR="00021B43" w:rsidRDefault="00021B43" w:rsidP="00632D23">
      <w:pPr>
        <w:pStyle w:val="StandardWeb"/>
        <w:numPr>
          <w:ilvl w:val="0"/>
          <w:numId w:val="18"/>
        </w:numPr>
      </w:pPr>
      <w:r>
        <w:t>dass funktionale Wirksamkeit quantitativ messbar ist,</w:t>
      </w:r>
    </w:p>
    <w:p w:rsidR="00021B43" w:rsidRDefault="00021B43" w:rsidP="00632D23">
      <w:pPr>
        <w:pStyle w:val="StandardWeb"/>
        <w:numPr>
          <w:ilvl w:val="0"/>
          <w:numId w:val="18"/>
        </w:numPr>
      </w:pPr>
      <w:r>
        <w:t>dass Kohärenz vorliegt,</w:t>
      </w:r>
    </w:p>
    <w:p w:rsidR="00021B43" w:rsidRDefault="00021B43" w:rsidP="00632D23">
      <w:pPr>
        <w:pStyle w:val="StandardWeb"/>
        <w:numPr>
          <w:ilvl w:val="0"/>
          <w:numId w:val="18"/>
        </w:numPr>
      </w:pPr>
      <w:r>
        <w:t>dass eine räumliche oder zeitliche Ordnung existiert,</w:t>
      </w:r>
    </w:p>
    <w:p w:rsidR="00021B43" w:rsidRDefault="00021B43" w:rsidP="00632D23">
      <w:pPr>
        <w:pStyle w:val="StandardWeb"/>
        <w:numPr>
          <w:ilvl w:val="0"/>
          <w:numId w:val="18"/>
        </w:numPr>
      </w:pPr>
      <w:r>
        <w:t>dass die funktional wirksame Bestimmung eine physikalische Entität repräsentiert.</w:t>
      </w:r>
    </w:p>
    <w:p w:rsidR="00021B43" w:rsidRDefault="00021B43" w:rsidP="00021B43">
      <w:pPr>
        <w:pStyle w:val="StandardWeb"/>
      </w:pPr>
      <w:r>
        <w:t>Diese Begrenzung ist für die Minimalität des Axioms wesentlich. Würden Relationierbarkeit, Transformierbarkeit oder Kohärenz bereits aus Primäraxiom I folgen, wären die in Abschnitt 3.3.5 getrennt geprüften Axiomkandidaten nicht mehr unabhängig.</w:t>
      </w:r>
    </w:p>
    <w:p w:rsidR="00021B43" w:rsidRDefault="00021B43" w:rsidP="00021B43">
      <w:pPr>
        <w:pStyle w:val="StandardWeb"/>
      </w:pPr>
      <w:r>
        <w:rPr>
          <w:rStyle w:val="Fett"/>
        </w:rPr>
        <w:t>Eigenleistung des FRZK</w:t>
      </w:r>
    </w:p>
    <w:p w:rsidR="00021B43" w:rsidRDefault="00021B43" w:rsidP="00021B43">
      <w:pPr>
        <w:pStyle w:val="StandardWeb"/>
      </w:pPr>
      <w:r>
        <w:t>Ich verwende Primäraxiom I ausschließlich als Grundlage für die anschließende Definition eines funktionalen Zustands. Diese Definition darf den Aussagegehalt des Axioms sprachlich und mathematisch präzisieren, aber keine Beziehung, Transformation oder Kohärenzeigenschaft hinzufügen.</w:t>
      </w:r>
    </w:p>
    <w:p w:rsidR="00021B43" w:rsidRPr="00AF32B2" w:rsidRDefault="00021B43" w:rsidP="00AF32B2">
      <w:pPr>
        <w:pStyle w:val="berschrift4"/>
      </w:pPr>
      <w:r w:rsidRPr="00AF32B2">
        <w:t>3.3.6.6 Verhältnis zu den mathematischen Grundlagen</w:t>
      </w:r>
    </w:p>
    <w:p w:rsidR="00021B43" w:rsidRDefault="00021B43" w:rsidP="00021B43">
      <w:pPr>
        <w:pStyle w:val="StandardWeb"/>
      </w:pPr>
      <w:r>
        <w:lastRenderedPageBreak/>
        <w:t xml:space="preserve">Die Menge </w:t>
      </w:r>
      <m:oMath>
        <m:r>
          <m:rPr>
            <m:sty m:val="p"/>
          </m:rPr>
          <w:rPr>
            <w:rFonts w:ascii="Cambria Math" w:hAnsi="Cambria Math"/>
          </w:rPr>
          <m:t>Δ</m:t>
        </m:r>
      </m:oMath>
      <w:r>
        <w:t xml:space="preserve"> und die Existenzquantifizierung in Gleichung (3.4001) verwenden etablierte mengentheoretische und logische Werkzeuge [6, 79]. Das Prädikat </w:t>
      </w:r>
      <m:oMath>
        <m:r>
          <m:rPr>
            <m:sty m:val="p"/>
          </m:rPr>
          <w:rPr>
            <w:rFonts w:ascii="Cambria Math" w:hAnsi="Cambria Math"/>
          </w:rPr>
          <m:t>ω</m:t>
        </m:r>
      </m:oMath>
      <w:r>
        <w:t xml:space="preserve"> wird als formales Kennzeichen einer Eigenschaft verwendet. Damit bleibt die mathematische Sprache unverändert.</w:t>
      </w:r>
    </w:p>
    <w:p w:rsidR="00021B43" w:rsidRDefault="00021B43" w:rsidP="00021B43">
      <w:pPr>
        <w:pStyle w:val="StandardWeb"/>
      </w:pPr>
      <w:r>
        <w:t>Die Eigenleistung liegt nicht in der mathematischen Form der Existenzbehauptung. Sie liegt in der Auswahl ihres wissenschaftlichen Inhalts: Mindestens eine unterscheidbare Bestimmung wird als funktional wirksam zugelassen. Diese Annahme bildet den Ausgangspunkt für die funktionale Interpretation der späteren Zustands-, Relations- und Operatorstrukturen.</w:t>
      </w:r>
    </w:p>
    <w:p w:rsidR="00021B43" w:rsidRDefault="00021B43" w:rsidP="00021B43">
      <w:pPr>
        <w:pStyle w:val="StandardWeb"/>
      </w:pPr>
      <w:r>
        <w:rPr>
          <w:rStyle w:val="Fett"/>
        </w:rPr>
        <w:t>Eigenleistung des FRZK</w:t>
      </w:r>
    </w:p>
    <w:p w:rsidR="00021B43" w:rsidRDefault="00021B43" w:rsidP="00021B43">
      <w:pPr>
        <w:pStyle w:val="StandardWeb"/>
      </w:pPr>
      <w:r>
        <w:t>Primäraxiom I verbindet damit Kapitel 3.1 und Kapitel 3.2. Aus Kapitel 3.1 übernehme ich die methodisch begründete Notwendigkeit einer wirksamen Unterscheidung. Aus Kapitel 3.2 übernehme ich die mathematischen Mittel, diese Existenzbehauptung formal darzustellen. Neu ist ihre ausdrückliche Stellung als erste nicht weiter abgeleitete Grundannahme des FRZK.</w:t>
      </w:r>
    </w:p>
    <w:p w:rsidR="00021B43" w:rsidRPr="00AF32B2" w:rsidRDefault="00021B43" w:rsidP="00AF32B2">
      <w:pPr>
        <w:pStyle w:val="berschrift4"/>
      </w:pPr>
      <w:r w:rsidRPr="00AF32B2">
        <w:t>3.3.6.7 Übergang zur Definition des funktionalen Zustands</w:t>
      </w:r>
    </w:p>
    <w:p w:rsidR="00021B43" w:rsidRDefault="00021B43" w:rsidP="00021B43">
      <w:pPr>
        <w:pStyle w:val="StandardWeb"/>
      </w:pPr>
      <w:r>
        <w:t>Nachdem die Möglichkeit mindestens einer funktional wirksamen Bestimmung axiomatisch festgelegt wurde, kann nun definiert werden, unter welchen Bedingungen eine solche Bestimmung als funktionaler Zustand bezeichnet wird. Die Definition muss dabei eng an Gleichung (3.4001) gebunden bleiben.</w:t>
      </w:r>
    </w:p>
    <w:p w:rsidR="00021B43" w:rsidRDefault="00021B43" w:rsidP="00021B43">
      <w:pPr>
        <w:pStyle w:val="StandardWeb"/>
      </w:pPr>
      <w:r>
        <w:t>Sie darf insbesondere noch nicht verlangen, dass der Zustand mit anderen Zuständen relationiert oder durch Operatoren transformiert werden kann. Andernfalls würden die Inhalte der folgenden Primäraxiome vorweggenommen.</w:t>
      </w:r>
    </w:p>
    <w:p w:rsidR="00021B43" w:rsidRDefault="00021B43" w:rsidP="00021B43">
      <w:pPr>
        <w:pStyle w:val="StandardWeb"/>
      </w:pPr>
      <w:r>
        <w:rPr>
          <w:rStyle w:val="Fett"/>
        </w:rPr>
        <w:t>Eigenleistung des FRZK</w:t>
      </w:r>
    </w:p>
    <w:p w:rsidR="00021B43" w:rsidRDefault="00021B43" w:rsidP="00021B43">
      <w:pPr>
        <w:pStyle w:val="StandardWeb"/>
      </w:pPr>
      <w:r>
        <w:t>Im nächsten Abschnitt führe ich daher Definition 3.3.1 des elementaren funktionalen Zustands ein. Diese Definition bildet die sprachliche und mathematische Präzisierung des durch Primäraxiom I eröffneten Objektbereichs.</w:t>
      </w:r>
    </w:p>
    <w:p w:rsidR="00E31D2E" w:rsidRDefault="00E31D2E" w:rsidP="00E31D2E">
      <w:pPr>
        <w:pStyle w:val="berschrift2"/>
      </w:pPr>
      <w:r>
        <w:t>Ergänzung zu 3.3.6 – Primäraxiom der funktionalen Bestimmbarkeit</w:t>
      </w:r>
    </w:p>
    <w:p w:rsidR="00E31D2E" w:rsidRDefault="00E31D2E" w:rsidP="00E31D2E">
      <w:pPr>
        <w:pStyle w:val="berschrift3"/>
      </w:pPr>
      <w:r>
        <w:t>Methodologische Betrachtungen</w:t>
      </w:r>
    </w:p>
    <w:p w:rsidR="00E31D2E" w:rsidRDefault="00E31D2E" w:rsidP="00E31D2E">
      <w:pPr>
        <w:pStyle w:val="StandardWeb"/>
      </w:pPr>
      <w:r>
        <w:t>Mit Primäraxiom I beginnt erstmals die eigentliche axiomatische Eigenentwicklung des FRZK. Die vorangegangenen Abschnitte haben lediglich den mathematischen Sprachraum analysiert, Auswahlkriterien formuliert, Designregeln festgelegt und Axiomkandidaten geprüft. Erst hier wird eine Aussage ausdrücklich als nicht weiter abgeleitete Voraussetzung des Systems gesetzt.</w:t>
      </w:r>
    </w:p>
    <w:p w:rsidR="00E31D2E" w:rsidRDefault="00E31D2E" w:rsidP="00E31D2E">
      <w:pPr>
        <w:pStyle w:val="StandardWeb"/>
      </w:pPr>
      <w:r>
        <w:t>Das Primäraxiom lautet in seiner minimalen Form, dass innerhalb des FRZK mindestens eine unterscheidbare Bestimmung vorliegen kann, deren Unterscheidbarkeit funktional nicht gleichgültig ist. Formal wird dies durch</w:t>
      </w:r>
      <w:r>
        <w:br/>
      </w:r>
      <m:oMathPara>
        <m:oMath>
          <m:r>
            <m:rPr>
              <m:sty m:val="p"/>
            </m:rPr>
            <w:rPr>
              <w:rFonts w:ascii="Cambria Math" w:hAnsi="Cambria Math"/>
            </w:rPr>
            <w:lastRenderedPageBreak/>
            <m:t>∃δ∈Δ</m:t>
          </m:r>
          <m:r>
            <w:rPr>
              <w:rFonts w:ascii="Cambria Math" w:hAnsi="Cambria Math"/>
            </w:rPr>
            <m:t>:</m:t>
          </m:r>
          <m:r>
            <m:rPr>
              <m:sty m:val="p"/>
            </m:rPr>
            <w:rPr>
              <w:rFonts w:ascii="Cambria Math" w:hAnsi="Cambria Math"/>
            </w:rPr>
            <m:t>ω</m:t>
          </m:r>
          <m:d>
            <m:dPr>
              <m:ctrlPr>
                <w:rPr>
                  <w:rFonts w:ascii="Cambria Math" w:hAnsi="Cambria Math"/>
                  <w:i/>
                </w:rPr>
              </m:ctrlPr>
            </m:dPr>
            <m:e>
              <m:r>
                <m:rPr>
                  <m:sty m:val="p"/>
                </m:rPr>
                <w:rPr>
                  <w:rFonts w:ascii="Cambria Math" w:hAnsi="Cambria Math"/>
                </w:rPr>
                <m:t>δ</m:t>
              </m:r>
            </m:e>
          </m:d>
          <m:r>
            <w:rPr>
              <w:rFonts w:ascii="Cambria Math" w:hAnsi="Cambria Math"/>
            </w:rPr>
            <m:t>=1</m:t>
          </m:r>
        </m:oMath>
      </m:oMathPara>
    </w:p>
    <w:p w:rsidR="00E31D2E" w:rsidRDefault="00E31D2E" w:rsidP="00E31D2E">
      <w:pPr>
        <w:pStyle w:val="StandardWeb"/>
      </w:pPr>
      <w:r>
        <w:t>ausgedrückt. Die Formel ist keine mathematische Folgerung aus Kapitel 3.2, sondern die formale Repräsentation der axiomatischen Setzung. Genau diese Herkunft muss im gesamten weiteren Aufbau sichtbar bleiben.</w:t>
      </w:r>
    </w:p>
    <w:p w:rsidR="00E31D2E" w:rsidRDefault="00E31D2E" w:rsidP="00E31D2E">
      <w:pPr>
        <w:pStyle w:val="StandardWeb"/>
      </w:pPr>
      <w:r>
        <w:t>Die Aussage ist bewusst schwach formuliert. Sie fordert weder zwei noch beliebig viele Bestimmungen. Sie setzt keine Relation, keine Transformation, keine Ordnung, keinen Raum und keine Zeit voraus. Sie verlangt lediglich, dass der Gegenstandsbereich des FRZK nicht vollständig funktional leer ist.</w:t>
      </w:r>
    </w:p>
    <w:p w:rsidR="00E31D2E" w:rsidRDefault="00E31D2E" w:rsidP="00E31D2E">
      <w:pPr>
        <w:pStyle w:val="StandardWeb"/>
      </w:pPr>
      <w:r>
        <w:t xml:space="preserve">Das Prädikat </w:t>
      </w:r>
      <m:oMath>
        <m:r>
          <m:rPr>
            <m:sty m:val="p"/>
          </m:rPr>
          <w:rPr>
            <w:rFonts w:ascii="Cambria Math" w:hAnsi="Cambria Math"/>
          </w:rPr>
          <m:t>ω</m:t>
        </m:r>
      </m:oMath>
      <w:r>
        <w:t xml:space="preserve"> besitzt dabei zunächst ausschließlich eine klassifikatorische Funktion. Mit</w:t>
      </w:r>
      <w:r w:rsidR="004E3C3C">
        <w:t xml:space="preserve"> </w:t>
      </w:r>
      <m:oMath>
        <m:r>
          <m:rPr>
            <m:sty m:val="p"/>
          </m:rPr>
          <w:rPr>
            <w:rFonts w:ascii="Cambria Math" w:hAnsi="Cambria Math"/>
          </w:rPr>
          <m:t>ω</m:t>
        </m:r>
        <m:d>
          <m:dPr>
            <m:ctrlPr>
              <w:rPr>
                <w:rFonts w:ascii="Cambria Math" w:hAnsi="Cambria Math"/>
                <w:i/>
              </w:rPr>
            </m:ctrlPr>
          </m:dPr>
          <m:e>
            <m:r>
              <m:rPr>
                <m:sty m:val="p"/>
              </m:rPr>
              <w:rPr>
                <w:rFonts w:ascii="Cambria Math" w:hAnsi="Cambria Math"/>
              </w:rPr>
              <m:t>δ</m:t>
            </m:r>
          </m:e>
        </m:d>
        <m:r>
          <w:rPr>
            <w:rFonts w:ascii="Cambria Math" w:hAnsi="Cambria Math"/>
          </w:rPr>
          <m:t xml:space="preserve">=1 </m:t>
        </m:r>
      </m:oMath>
      <w:r>
        <w:t>kennzeichne ich funktionale Wirksamkeit, mit</w:t>
      </w:r>
      <w:r w:rsidR="004E3C3C">
        <w:t xml:space="preserve"> </w:t>
      </w:r>
      <m:oMath>
        <m:r>
          <m:rPr>
            <m:sty m:val="p"/>
          </m:rPr>
          <w:rPr>
            <w:rFonts w:ascii="Cambria Math" w:hAnsi="Cambria Math"/>
          </w:rPr>
          <m:t>ω</m:t>
        </m:r>
        <m:d>
          <m:dPr>
            <m:ctrlPr>
              <w:rPr>
                <w:rFonts w:ascii="Cambria Math" w:hAnsi="Cambria Math"/>
                <w:i/>
              </w:rPr>
            </m:ctrlPr>
          </m:dPr>
          <m:e>
            <m:r>
              <m:rPr>
                <m:sty m:val="p"/>
              </m:rPr>
              <w:rPr>
                <w:rFonts w:ascii="Cambria Math" w:hAnsi="Cambria Math"/>
              </w:rPr>
              <m:t>δ</m:t>
            </m:r>
          </m:e>
        </m:d>
        <m:r>
          <w:rPr>
            <w:rFonts w:ascii="Cambria Math" w:hAnsi="Cambria Math"/>
          </w:rPr>
          <m:t xml:space="preserve">=0 </m:t>
        </m:r>
      </m:oMath>
      <w:r>
        <w:t xml:space="preserve">deren Fehlen. Daraus folgt an dieser Stelle noch keine quantitative Stärke der Wirksamkeit. Insbesondere ist </w:t>
      </w:r>
      <m:oMath>
        <m:r>
          <m:rPr>
            <m:sty m:val="p"/>
          </m:rPr>
          <w:rPr>
            <w:rFonts w:ascii="Cambria Math" w:hAnsi="Cambria Math"/>
          </w:rPr>
          <m:t>ω</m:t>
        </m:r>
      </m:oMath>
      <w:r>
        <w:t xml:space="preserve"> kein Entwicklungsoperator und keine physikalische Größe.</w:t>
      </w:r>
    </w:p>
    <w:p w:rsidR="00E31D2E" w:rsidRDefault="00E31D2E" w:rsidP="00E31D2E">
      <w:pPr>
        <w:pStyle w:val="StandardWeb"/>
      </w:pPr>
      <w:r>
        <w:t>Diese Einschränkung ist methodisch wichtig. Würde ich bereits im ersten Primäraxiom eine quantitative Wirkung, eine Richtung oder einen Einfluss zwischen mehreren Bestimmungen voraussetzen, wären Teile der späteren Relationierungs- und Transformationsstruktur bereits enthalten. Die Unabhängigkeit der folgenden Primäraxiome würde dadurch gefährdet.</w:t>
      </w:r>
    </w:p>
    <w:p w:rsidR="00E31D2E" w:rsidRDefault="00E31D2E" w:rsidP="00E31D2E">
      <w:pPr>
        <w:pStyle w:val="StandardWeb"/>
      </w:pPr>
      <w:r>
        <w:t>Ebenso bedeutet „funktional wirksam“ noch nicht „physikalisch wirksam“. Das Axiom behauptet weder Kraftwirkung noch Energieübertragung noch Kausalität im physikalischen Sinn. Es legt zunächst nur fest, dass eine Unterscheidung innerhalb des FRZK für den weiteren funktionalen Aufbau nicht vollständig bedeutungslos sein kann [58, 59, 67, 68].</w:t>
      </w:r>
    </w:p>
    <w:p w:rsidR="00E31D2E" w:rsidRDefault="00E31D2E" w:rsidP="00E31D2E">
      <w:pPr>
        <w:pStyle w:val="StandardWeb"/>
      </w:pPr>
      <w:r>
        <w:t xml:space="preserve">Methodologisch ist Primäraxiom I damit die minimale Existenzöffnung des FRZK. Ohne diese Setzung wäre auch ein Modell zulässig, in dem sämtliche unterscheidbaren Elemente funktional bedeutungslos bleiben. Ein solches Modell könnte zwar mathematisch beschrieben werden, würde aber keinen Gegenstandsbereich für ein </w:t>
      </w:r>
      <w:r>
        <w:rPr>
          <w:rStyle w:val="Fett"/>
        </w:rPr>
        <w:t>funktionales</w:t>
      </w:r>
      <w:r>
        <w:t xml:space="preserve"> Raum-Zeit-Kohärenzsystem bereitstellen.</w:t>
      </w:r>
    </w:p>
    <w:p w:rsidR="00E31D2E" w:rsidRDefault="00E31D2E" w:rsidP="00E31D2E">
      <w:pPr>
        <w:pStyle w:val="berschrift3"/>
      </w:pPr>
      <w:r>
        <w:t>Didaktische Betrachtungen</w:t>
      </w:r>
    </w:p>
    <w:p w:rsidR="00E31D2E" w:rsidRDefault="00E31D2E" w:rsidP="00E31D2E">
      <w:pPr>
        <w:pStyle w:val="StandardWeb"/>
      </w:pPr>
      <w:r>
        <w:t>Primäraxiom I lässt sich zunächst mit zwei Zeichen vergleichen:</w:t>
      </w:r>
      <w:r>
        <w:br/>
      </w:r>
      <m:oMathPara>
        <m:oMath>
          <m:r>
            <w:rPr>
              <w:rFonts w:ascii="Cambria Math" w:hAnsi="Cambria Math"/>
            </w:rPr>
            <m:t xml:space="preserve">a </m:t>
          </m:r>
          <m:r>
            <m:rPr>
              <m:sty m:val="p"/>
            </m:rPr>
            <w:rPr>
              <w:rFonts w:ascii="Cambria Math" w:hAnsi="Cambria Math"/>
            </w:rPr>
            <m:t>  </m:t>
          </m:r>
          <m:r>
            <w:rPr>
              <w:rFonts w:ascii="Cambria Math" w:hAnsi="Cambria Math"/>
            </w:rPr>
            <m:t>b.</m:t>
          </m:r>
        </m:oMath>
      </m:oMathPara>
    </w:p>
    <w:p w:rsidR="00E31D2E" w:rsidRDefault="00E31D2E" w:rsidP="00E31D2E">
      <w:pPr>
        <w:pStyle w:val="StandardWeb"/>
      </w:pPr>
      <w:r>
        <w:t>Die beiden Zeichen sind unterscheidbar. Diese Unterscheidbarkeit allein genügt jedoch noch nicht für das FRZK. Ich kann zwei unterschiedliche Zeichen auf ein Blatt schreiben, ohne dass dieser Unterschied innerhalb einer Theorie irgendeine weitere Bedeutung besitzt.</w:t>
      </w:r>
    </w:p>
    <w:p w:rsidR="00E31D2E" w:rsidRDefault="00E31D2E" w:rsidP="00E31D2E">
      <w:pPr>
        <w:pStyle w:val="StandardWeb"/>
      </w:pPr>
      <w:r>
        <w:t>Das Axiom verlangt deshalb einen zusätzlichen, aber möglichst kleinen Schritt: Mindestens eine unterscheidbare Bestimmung muss funktional relevant sein.</w:t>
      </w:r>
    </w:p>
    <w:p w:rsidR="00E31D2E" w:rsidRDefault="00E31D2E" w:rsidP="00E31D2E">
      <w:pPr>
        <w:pStyle w:val="StandardWeb"/>
      </w:pPr>
      <w:r>
        <w:t>Ein einfaches Schalterbeispiel verdeutlicht dies. Ein Schalter kann zwei unterscheidbare Stellungen besitzen:</w:t>
      </w:r>
    </w:p>
    <w:p w:rsidR="00E31D2E" w:rsidRDefault="00E31D2E" w:rsidP="00E31D2E">
      <w:pPr>
        <w:pStyle w:val="StandardWeb"/>
      </w:pPr>
      <w:r>
        <w:rPr>
          <w:rStyle w:val="Fett"/>
        </w:rPr>
        <w:t>0</w:t>
      </w:r>
      <w:r>
        <w:t xml:space="preserve"> und </w:t>
      </w:r>
      <w:r>
        <w:rPr>
          <w:rStyle w:val="Fett"/>
        </w:rPr>
        <w:t>1</w:t>
      </w:r>
      <w:r>
        <w:t>.</w:t>
      </w:r>
    </w:p>
    <w:p w:rsidR="00E31D2E" w:rsidRDefault="00E31D2E" w:rsidP="00E31D2E">
      <w:pPr>
        <w:pStyle w:val="StandardWeb"/>
      </w:pPr>
      <w:r>
        <w:lastRenderedPageBreak/>
        <w:t>Solange diese beiden Stellungen nichts verändern, ist ihre Unterscheidbarkeit funktional bedeutungslos. Sobald die Stellung jedoch beispielsweise bestimmt, ob eine Lampe eingeschaltet ist, wird der Unterschied funktional wirksam.</w:t>
      </w:r>
    </w:p>
    <w:p w:rsidR="00E31D2E" w:rsidRDefault="00E31D2E" w:rsidP="00E31D2E">
      <w:pPr>
        <w:pStyle w:val="StandardWeb"/>
      </w:pPr>
      <w:r>
        <w:t xml:space="preserve">Das FRZK behauptet an dieser Stelle noch nicht, </w:t>
      </w:r>
      <w:r>
        <w:rPr>
          <w:rStyle w:val="Fett"/>
        </w:rPr>
        <w:t>wie</w:t>
      </w:r>
      <w:r>
        <w:t xml:space="preserve"> die Wirkung entsteht, </w:t>
      </w:r>
      <w:r>
        <w:rPr>
          <w:rStyle w:val="Fett"/>
        </w:rPr>
        <w:t>worauf</w:t>
      </w:r>
      <w:r>
        <w:t xml:space="preserve"> sie wirkt oder </w:t>
      </w:r>
      <w:r>
        <w:rPr>
          <w:rStyle w:val="Fett"/>
        </w:rPr>
        <w:t>wie stark</w:t>
      </w:r>
      <w:r>
        <w:t xml:space="preserve"> sie ist. Diese Fragen gehören in spätere Strukturen. Das erste Axiom sagt lediglich: Eine vollständig wirkungslose Welt von Unterscheidungen ist nicht der Gegenstandsbereich, den ich mit dem FRZK untersuchen will.</w:t>
      </w:r>
    </w:p>
    <w:p w:rsidR="00E31D2E" w:rsidRDefault="00E31D2E" w:rsidP="00E31D2E">
      <w:pPr>
        <w:pStyle w:val="StandardWeb"/>
      </w:pPr>
      <w:r>
        <w:t>Auch die Quantifizierung</w:t>
      </w:r>
      <w:r w:rsidR="004E3C3C">
        <w:t xml:space="preserve"> </w:t>
      </w:r>
      <m:oMath>
        <m:r>
          <m:rPr>
            <m:sty m:val="p"/>
          </m:rPr>
          <w:rPr>
            <w:rFonts w:ascii="Cambria Math" w:hAnsi="Cambria Math"/>
          </w:rPr>
          <m:t>∃</m:t>
        </m:r>
      </m:oMath>
      <w:r w:rsidR="004E3C3C">
        <w:t xml:space="preserve"> </w:t>
      </w:r>
      <w:r>
        <w:t>ist didaktisch bedeutsam. Sie bedeutet „es existiert mindestens eine“. Das Axiom sagt deshalb nicht:</w:t>
      </w:r>
    </w:p>
    <w:p w:rsidR="00E31D2E" w:rsidRDefault="00E31D2E" w:rsidP="00E31D2E">
      <w:pPr>
        <w:pStyle w:val="StandardWeb"/>
      </w:pPr>
      <w:r>
        <w:t>„Alle Bestimmungen sind funktional wirksam.“</w:t>
      </w:r>
    </w:p>
    <w:p w:rsidR="00E31D2E" w:rsidRDefault="00E31D2E" w:rsidP="00E31D2E">
      <w:pPr>
        <w:pStyle w:val="StandardWeb"/>
      </w:pPr>
      <w:r>
        <w:t>Es sagt auch nicht:</w:t>
      </w:r>
    </w:p>
    <w:p w:rsidR="00E31D2E" w:rsidRDefault="00E31D2E" w:rsidP="00E31D2E">
      <w:pPr>
        <w:pStyle w:val="StandardWeb"/>
      </w:pPr>
      <w:r>
        <w:t>„Es existieren unendlich viele funktionale Bestimmungen.“</w:t>
      </w:r>
    </w:p>
    <w:p w:rsidR="00E31D2E" w:rsidRDefault="00E31D2E" w:rsidP="00E31D2E">
      <w:pPr>
        <w:pStyle w:val="StandardWeb"/>
      </w:pPr>
      <w:r>
        <w:t>Es setzt nur das absolute Minimum:</w:t>
      </w:r>
    </w:p>
    <w:p w:rsidR="00E31D2E" w:rsidRDefault="00E31D2E" w:rsidP="00E31D2E">
      <w:pPr>
        <w:pStyle w:val="StandardWeb"/>
      </w:pPr>
      <w:r>
        <w:t>„Mindestens eine solche Bestimmung ist möglich.“</w:t>
      </w:r>
    </w:p>
    <w:p w:rsidR="00E31D2E" w:rsidRDefault="00E31D2E" w:rsidP="00E31D2E">
      <w:pPr>
        <w:pStyle w:val="StandardWeb"/>
      </w:pPr>
      <w:r>
        <w:t>Gerade diese schwache Form macht den axiomatischen Aufbau nachvollziehbar. Alles Weitere soll, soweit möglich, nicht bereits im ersten Schritt vorausgesetzt, sondern erst durch zusätzliche Axiome, Definitionen und spätere Ableitungen entwickelt werden.</w:t>
      </w:r>
    </w:p>
    <w:p w:rsidR="00E31D2E" w:rsidRDefault="00E31D2E" w:rsidP="00E31D2E">
      <w:pPr>
        <w:pStyle w:val="StandardWeb"/>
      </w:pPr>
      <w:r>
        <w:t xml:space="preserve">Der Abschnitt zeigt damit exemplarisch, wie die gesamte FRZK-Axiomatik aufgebaut werden soll: </w:t>
      </w:r>
      <w:r>
        <w:rPr>
          <w:rStyle w:val="Fett"/>
        </w:rPr>
        <w:t>nicht mit der reichhaltigsten denkbaren Aussage beginnen, sondern mit der schwächsten Voraussetzung, ohne die der folgende funktionale Aufbau nicht möglich wäre.</w:t>
      </w:r>
    </w:p>
    <w:p w:rsidR="00003527" w:rsidRPr="00AF32B2" w:rsidRDefault="00003527" w:rsidP="00E31D2E">
      <w:pPr>
        <w:pStyle w:val="berschrift3"/>
      </w:pPr>
      <w:r w:rsidRPr="00AF32B2">
        <w:t>3.3.7 Definition des elementaren funktionalen Zustands</w:t>
      </w:r>
    </w:p>
    <w:p w:rsidR="00003527" w:rsidRDefault="00003527" w:rsidP="00003527">
      <w:pPr>
        <w:pStyle w:val="StandardWeb"/>
      </w:pPr>
      <w:r>
        <w:t>Primäraxiom I legt fest, dass innerhalb des Funktionalen Raum-Zeit-Kohärenzsystems mindestens eine unterscheidbare Bestimmung funktional wirksam sein kann. Damit ist jedoch noch kein Zustand definiert. Die axiomatische Existenzsetzung aus Gleichung (3.4001) begründet lediglich, dass der Gegenstandsbereich des FRZK nicht vollständig funktionslos sein muss. Erst im nächsten Schritt kann bestimmt werden, unter welchen Bedingungen eine funktional wirksame Bestimmung als funktionaler Zustand bezeichnet wird.</w:t>
      </w:r>
    </w:p>
    <w:p w:rsidR="00003527" w:rsidRDefault="00003527" w:rsidP="00003527">
      <w:pPr>
        <w:pStyle w:val="StandardWeb"/>
      </w:pPr>
      <w:r>
        <w:t>Die Definition muss eng an Primäraxiom I gebunden bleiben. Sie darf keine Relation zu anderen Zuständen, keine Transformation, keine zeitliche Entwicklung und keine räumliche Einordnung voraussetzen. Andernfalls würden die Inhalte der noch ausstehenden Primäraxiome der funktionalen Relationierbarkeit und Transformierbarkeit vorweggenommen. Die mathematische Unterscheidung zwischen einer Definition und einer nicht ableitbaren Grundannahme bleibt dabei verbindlich [59, 79].</w:t>
      </w:r>
    </w:p>
    <w:p w:rsidR="00003527" w:rsidRPr="00AF32B2" w:rsidRDefault="00003527" w:rsidP="00AF32B2">
      <w:pPr>
        <w:pStyle w:val="berschrift4"/>
      </w:pPr>
      <w:r w:rsidRPr="00AF32B2">
        <w:t>3.3.7.1 Begriffliche Abgrenzung</w:t>
      </w:r>
    </w:p>
    <w:p w:rsidR="00003527" w:rsidRDefault="00003527" w:rsidP="00003527">
      <w:pPr>
        <w:pStyle w:val="StandardWeb"/>
      </w:pPr>
      <w:r>
        <w:lastRenderedPageBreak/>
        <w:t>In der Mathematik bezeichnet ein Zustand kein einheitlich festgelegtes Grundobjekt. Je nach Theorie kann er als Element einer Menge, als Vektor eines Vektorraums, als Punkt eines Phasenraums, als Funktion oder als anderes strukturiertes mathematisches Objekt dargestellt werden. Die jeweilige Darstellung erhält ihre Bedeutung erst innerhalb des betrachteten Modells [58, 71, 75].</w:t>
      </w:r>
    </w:p>
    <w:p w:rsidR="00003527" w:rsidRDefault="00003527" w:rsidP="00003527">
      <w:pPr>
        <w:pStyle w:val="StandardWeb"/>
      </w:pPr>
      <w:r>
        <w:t>Für das FRZK darf der Zustandsbegriff deshalb nicht unmittelbar mit einem Vektor, einem Punkt oder einer physikalischen Konfiguration gleichgesetzt werden. Eine solche Festlegung würde bereits eine bestimmte mathematische Darstellung auswählen, bevor geklärt wurde, welche Mindestbedingungen ein funktionaler Zustand erfüllen muss.</w:t>
      </w:r>
    </w:p>
    <w:p w:rsidR="00003527" w:rsidRDefault="00003527" w:rsidP="00003527">
      <w:pPr>
        <w:pStyle w:val="StandardWeb"/>
      </w:pPr>
      <w:r>
        <w:rPr>
          <w:rStyle w:val="Fett"/>
        </w:rPr>
        <w:t>Eigenleistung des FRZK</w:t>
      </w:r>
    </w:p>
    <w:p w:rsidR="00003527" w:rsidRDefault="00003527" w:rsidP="00003527">
      <w:pPr>
        <w:pStyle w:val="StandardWeb"/>
      </w:pPr>
      <w:r>
        <w:t>Ich verwende den Begriff des funktionalen Zustands zunächst unabhängig von seiner späteren mathematischen Repräsentation. Ein funktionaler Zustand ist in dieser ersten Entwicklungsstufe keine konkrete physikalische Entität und kein vorausgesetzter Vektor. Er bezeichnet ausschließlich eine unterscheidbare Bestimmung, deren Unterscheidbarkeit gemäß Primäraxiom I funktional wirksam ist.</w:t>
      </w:r>
    </w:p>
    <w:p w:rsidR="00003527" w:rsidRPr="00AF32B2" w:rsidRDefault="00003527" w:rsidP="00AF32B2">
      <w:pPr>
        <w:pStyle w:val="berschrift4"/>
      </w:pPr>
      <w:r w:rsidRPr="00AF32B2">
        <w:t>3.3.7.2 Definition des elementaren funktionalen Zustands</w:t>
      </w:r>
    </w:p>
    <w:p w:rsidR="00003527" w:rsidRDefault="00003527" w:rsidP="00003527">
      <w:pPr>
        <w:pStyle w:val="StandardWeb"/>
      </w:pPr>
      <w:r>
        <w:rPr>
          <w:rStyle w:val="Fett"/>
        </w:rPr>
        <w:t>Definition 3.3.1 – Elementarer funktionaler Zustand</w:t>
      </w:r>
    </w:p>
    <w:p w:rsidR="00003527" w:rsidRDefault="00003527" w:rsidP="00003527">
      <w:pPr>
        <w:pStyle w:val="StandardWeb"/>
      </w:pPr>
      <w:r>
        <w:t>Ein elementarer funktionaler Zustand ist eine unterscheidbare Bestimmung (\delta) aus der Menge (\Delta), für die das Wirksamkeitsprädikat (\omega) den Wert (1) besitzt.</w:t>
      </w:r>
    </w:p>
    <w:p w:rsidR="00003527" w:rsidRDefault="00003527" w:rsidP="00003527">
      <w:pPr>
        <w:pStyle w:val="StandardWeb"/>
      </w:pPr>
      <w:r>
        <w:t>Formal definiere ich die Menge der elementaren funktionalen Zustände durch</w:t>
      </w:r>
    </w:p>
    <w:p w:rsidR="00003527" w:rsidRDefault="00E50336" w:rsidP="004E3C3C">
      <w:pPr>
        <w:pStyle w:val="Formel"/>
        <w:rPr>
          <w:rStyle w:val="HTMLCode"/>
          <w:rFonts w:eastAsia="Calibri"/>
        </w:rPr>
      </w:pPr>
      <m:oMath>
        <m:sSub>
          <m:sSubPr>
            <m:ctrlPr>
              <w:rPr>
                <w:rStyle w:val="HTMLCode"/>
                <w:rFonts w:ascii="Cambria Math" w:eastAsia="Calibri" w:hAnsi="Cambria Math"/>
                <w:i w:val="0"/>
              </w:rPr>
            </m:ctrlPr>
          </m:sSubPr>
          <m:e>
            <m:r>
              <m:rPr>
                <m:scr m:val="script"/>
              </m:rPr>
              <w:rPr>
                <w:rStyle w:val="HTMLCode"/>
                <w:rFonts w:ascii="Cambria Math" w:eastAsia="Calibri" w:hAnsi="Cambria Math"/>
              </w:rPr>
              <m:t>S</m:t>
            </m:r>
          </m:e>
          <m:sub>
            <m:r>
              <m:rPr>
                <m:nor/>
              </m:rPr>
              <w:rPr>
                <w:rStyle w:val="HTMLCode"/>
                <w:rFonts w:ascii="Cambria Math" w:eastAsia="Calibri" w:hAnsi="Cambria Math"/>
              </w:rPr>
              <m:t>e</m:t>
            </m:r>
          </m:sub>
        </m:sSub>
        <m:r>
          <w:rPr>
            <w:rStyle w:val="HTMLCode"/>
            <w:rFonts w:ascii="Cambria Math" w:eastAsia="Calibri" w:hAnsi="Cambria Math"/>
          </w:rPr>
          <m:t>=</m:t>
        </m:r>
        <m:d>
          <m:dPr>
            <m:begChr m:val="{"/>
            <m:endChr m:val="}"/>
            <m:ctrlPr>
              <w:rPr>
                <w:rStyle w:val="HTMLCode"/>
                <w:rFonts w:ascii="Cambria Math" w:eastAsia="Calibri" w:hAnsi="Cambria Math"/>
              </w:rPr>
            </m:ctrlPr>
          </m:dPr>
          <m:e>
            <m:r>
              <w:rPr>
                <w:rStyle w:val="HTMLCode"/>
                <w:rFonts w:ascii="Cambria Math" w:eastAsia="Calibri" w:hAnsi="Cambria Math"/>
              </w:rPr>
              <m:t>δ∈Δ</m:t>
            </m:r>
            <m:ctrlPr>
              <w:rPr>
                <w:rStyle w:val="HTMLCode"/>
                <w:rFonts w:ascii="Cambria Math" w:eastAsia="MS Mincho" w:hAnsi="Cambria Math" w:cs="MS Mincho"/>
              </w:rPr>
            </m:ctrlPr>
          </m:e>
          <m:e>
            <m:r>
              <w:rPr>
                <w:rStyle w:val="HTMLCode"/>
                <w:rFonts w:ascii="Cambria Math" w:eastAsia="Calibri" w:hAnsi="Cambria Math"/>
              </w:rPr>
              <m:t>ω</m:t>
            </m:r>
            <m:d>
              <m:dPr>
                <m:ctrlPr>
                  <w:rPr>
                    <w:rStyle w:val="HTMLCode"/>
                    <w:rFonts w:ascii="Cambria Math" w:eastAsia="Calibri" w:hAnsi="Cambria Math"/>
                    <w:i w:val="0"/>
                  </w:rPr>
                </m:ctrlPr>
              </m:dPr>
              <m:e>
                <m:r>
                  <w:rPr>
                    <w:rStyle w:val="HTMLCode"/>
                    <w:rFonts w:ascii="Cambria Math" w:eastAsia="Calibri" w:hAnsi="Cambria Math"/>
                  </w:rPr>
                  <m:t>δ</m:t>
                </m:r>
              </m:e>
            </m:d>
            <m:r>
              <w:rPr>
                <w:rStyle w:val="HTMLCode"/>
                <w:rFonts w:ascii="Cambria Math" w:eastAsia="Calibri" w:hAnsi="Cambria Math"/>
              </w:rPr>
              <m:t>=1</m:t>
            </m:r>
            <m:ctrlPr>
              <w:rPr>
                <w:rStyle w:val="HTMLCode"/>
                <w:rFonts w:ascii="Cambria Math" w:eastAsia="Calibri" w:hAnsi="Cambria Math"/>
                <w:i w:val="0"/>
              </w:rPr>
            </m:ctrlPr>
          </m:e>
        </m:d>
      </m:oMath>
      <w:r w:rsidR="004E3C3C" w:rsidRPr="004E3C3C">
        <w:t xml:space="preserve"> </w:t>
      </w:r>
      <w:r w:rsidR="004E3C3C">
        <w:tab/>
      </w:r>
      <w:r w:rsidR="004E3C3C">
        <w:rPr>
          <w:rStyle w:val="HTMLCode"/>
          <w:rFonts w:eastAsia="Calibri"/>
        </w:rPr>
        <w:t>(</w:t>
      </w:r>
      <w:r w:rsidR="004E3C3C" w:rsidRPr="004E3C3C">
        <w:rPr>
          <w:rStyle w:val="HTMLCode"/>
          <w:rFonts w:eastAsia="Calibri"/>
        </w:rPr>
        <w:t>3.4002)</w:t>
      </w:r>
    </w:p>
    <w:p w:rsidR="00003527" w:rsidRDefault="00003527" w:rsidP="00003527">
      <w:pPr>
        <w:pStyle w:val="StandardWeb"/>
      </w:pPr>
      <w:r>
        <w:t>Dabei bezeichnet:</w:t>
      </w:r>
    </w:p>
    <w:p w:rsidR="00003527" w:rsidRDefault="00E50336" w:rsidP="00632D23">
      <w:pPr>
        <w:pStyle w:val="StandardWeb"/>
        <w:numPr>
          <w:ilvl w:val="0"/>
          <w:numId w:val="19"/>
        </w:numPr>
      </w:pPr>
      <m:oMath>
        <m:sSub>
          <m:sSubPr>
            <m:ctrlPr>
              <w:rPr>
                <w:rFonts w:ascii="Cambria Math" w:hAnsi="Cambria Math"/>
                <w:i/>
              </w:rPr>
            </m:ctrlPr>
          </m:sSubPr>
          <m:e>
            <m:r>
              <m:rPr>
                <m:scr m:val="script"/>
              </m:rPr>
              <w:rPr>
                <w:rFonts w:ascii="Cambria Math" w:hAnsi="Cambria Math"/>
              </w:rPr>
              <m:t>S</m:t>
            </m:r>
          </m:e>
          <m:sub>
            <m:r>
              <m:rPr>
                <m:nor/>
              </m:rPr>
              <w:rPr>
                <w:rFonts w:ascii="Cambria Math" w:hAnsi="Cambria Math"/>
              </w:rPr>
              <m:t>e</m:t>
            </m:r>
          </m:sub>
        </m:sSub>
      </m:oMath>
      <w:r w:rsidR="00003527">
        <w:t xml:space="preserve"> die Menge der elementaren funktionalen Zustände,</w:t>
      </w:r>
    </w:p>
    <w:p w:rsidR="00003527" w:rsidRDefault="004E3C3C" w:rsidP="00632D23">
      <w:pPr>
        <w:pStyle w:val="StandardWeb"/>
        <w:numPr>
          <w:ilvl w:val="0"/>
          <w:numId w:val="19"/>
        </w:numPr>
      </w:pPr>
      <m:oMath>
        <m:r>
          <m:rPr>
            <m:sty m:val="p"/>
          </m:rPr>
          <w:rPr>
            <w:rFonts w:ascii="Cambria Math" w:hAnsi="Cambria Math"/>
          </w:rPr>
          <m:t>Δ</m:t>
        </m:r>
      </m:oMath>
      <w:r w:rsidR="00003527">
        <w:t xml:space="preserve"> die Menge der unterscheidbaren Bestimmungen,</w:t>
      </w:r>
    </w:p>
    <w:p w:rsidR="00003527" w:rsidRDefault="004E3C3C" w:rsidP="00632D23">
      <w:pPr>
        <w:pStyle w:val="StandardWeb"/>
        <w:numPr>
          <w:ilvl w:val="0"/>
          <w:numId w:val="19"/>
        </w:numPr>
      </w:pPr>
      <m:oMath>
        <m:r>
          <m:rPr>
            <m:sty m:val="p"/>
          </m:rPr>
          <w:rPr>
            <w:rFonts w:ascii="Cambria Math" w:hAnsi="Cambria Math"/>
          </w:rPr>
          <m:t>δ</m:t>
        </m:r>
      </m:oMath>
      <w:r w:rsidR="00003527">
        <w:t xml:space="preserve"> eine einzelne unterscheidbare Bestimmung,</w:t>
      </w:r>
    </w:p>
    <w:p w:rsidR="00003527" w:rsidRDefault="004E3C3C" w:rsidP="00632D23">
      <w:pPr>
        <w:pStyle w:val="StandardWeb"/>
        <w:numPr>
          <w:ilvl w:val="0"/>
          <w:numId w:val="19"/>
        </w:numPr>
      </w:pPr>
      <m:oMath>
        <m:r>
          <m:rPr>
            <m:sty m:val="p"/>
          </m:rPr>
          <w:rPr>
            <w:rFonts w:ascii="Cambria Math" w:hAnsi="Cambria Math"/>
          </w:rPr>
          <m:t>ω</m:t>
        </m:r>
      </m:oMath>
      <w:r w:rsidR="00003527">
        <w:t xml:space="preserve"> das Prädikat funktionaler Wirksamkeit,</w:t>
      </w:r>
    </w:p>
    <w:p w:rsidR="00003527" w:rsidRDefault="004E3C3C" w:rsidP="00632D23">
      <w:pPr>
        <w:pStyle w:val="StandardWeb"/>
        <w:numPr>
          <w:ilvl w:val="0"/>
          <w:numId w:val="19"/>
        </w:numPr>
      </w:pPr>
      <m:oMath>
        <m:r>
          <m:rPr>
            <m:sty m:val="p"/>
          </m:rPr>
          <w:rPr>
            <w:rFonts w:ascii="Cambria Math" w:hAnsi="Cambria Math"/>
          </w:rPr>
          <m:t>ω</m:t>
        </m:r>
        <m:d>
          <m:dPr>
            <m:ctrlPr>
              <w:rPr>
                <w:rFonts w:ascii="Cambria Math" w:hAnsi="Cambria Math"/>
                <w:i/>
              </w:rPr>
            </m:ctrlPr>
          </m:dPr>
          <m:e>
            <m:r>
              <m:rPr>
                <m:sty m:val="p"/>
              </m:rPr>
              <w:rPr>
                <w:rFonts w:ascii="Cambria Math" w:hAnsi="Cambria Math"/>
              </w:rPr>
              <m:t>δ</m:t>
            </m:r>
          </m:e>
        </m:d>
        <m:r>
          <w:rPr>
            <w:rFonts w:ascii="Cambria Math" w:hAnsi="Cambria Math"/>
          </w:rPr>
          <m:t>=1</m:t>
        </m:r>
      </m:oMath>
      <w:r w:rsidR="00003527">
        <w:t xml:space="preserve"> das Vorliegen funktionaler Wirksamkeit.</w:t>
      </w:r>
    </w:p>
    <w:p w:rsidR="00003527" w:rsidRDefault="00003527" w:rsidP="00003527">
      <w:pPr>
        <w:pStyle w:val="StandardWeb"/>
      </w:pPr>
      <w:r>
        <w:t xml:space="preserve">Gleichung (3.4002) ist eine Definition und kein weiteres Axiom. Die Existenz mindestens eines Elements, das die Bedingung </w:t>
      </w:r>
      <m:oMath>
        <m:r>
          <m:rPr>
            <m:sty m:val="p"/>
          </m:rPr>
          <w:rPr>
            <w:rFonts w:ascii="Cambria Math" w:hAnsi="Cambria Math"/>
          </w:rPr>
          <m:t>ω</m:t>
        </m:r>
        <m:d>
          <m:dPr>
            <m:ctrlPr>
              <w:rPr>
                <w:rFonts w:ascii="Cambria Math" w:hAnsi="Cambria Math"/>
                <w:i/>
              </w:rPr>
            </m:ctrlPr>
          </m:dPr>
          <m:e>
            <m:r>
              <m:rPr>
                <m:sty m:val="p"/>
              </m:rPr>
              <w:rPr>
                <w:rFonts w:ascii="Cambria Math" w:hAnsi="Cambria Math"/>
              </w:rPr>
              <m:t>δ</m:t>
            </m:r>
          </m:e>
        </m:d>
        <m:r>
          <w:rPr>
            <w:rFonts w:ascii="Cambria Math" w:hAnsi="Cambria Math"/>
          </w:rPr>
          <m:t>=1</m:t>
        </m:r>
      </m:oMath>
      <w:r>
        <w:t xml:space="preserve"> erfüllt, wurde bereits durch Primäraxiom I und Gleichung (3.4001) festgelegt. Definition 3.3.1 fasst diese Elemente lediglich in einer eindeutig bezeichneten Menge zusammen.</w:t>
      </w:r>
    </w:p>
    <w:p w:rsidR="00003527" w:rsidRDefault="00003527" w:rsidP="004E3C3C">
      <w:pPr>
        <w:pStyle w:val="StandardWeb"/>
      </w:pPr>
      <w:r>
        <w:t>Aus Primäraxiom I folgt damit</w:t>
      </w:r>
    </w:p>
    <w:p w:rsidR="00003527" w:rsidRDefault="00E50336" w:rsidP="00003527">
      <w:pPr>
        <w:pStyle w:val="HTMLVorformatiert"/>
        <w:rPr>
          <w:rStyle w:val="HTMLCode"/>
        </w:rPr>
      </w:pPr>
      <m:oMathPara>
        <m:oMath>
          <m:sSub>
            <m:sSubPr>
              <m:ctrlPr>
                <w:rPr>
                  <w:rStyle w:val="HTMLCode"/>
                  <w:rFonts w:ascii="Cambria Math" w:hAnsi="Cambria Math"/>
                  <w:i/>
                </w:rPr>
              </m:ctrlPr>
            </m:sSubPr>
            <m:e>
              <m:r>
                <m:rPr>
                  <m:scr m:val="script"/>
                </m:rPr>
                <w:rPr>
                  <w:rStyle w:val="HTMLCode"/>
                  <w:rFonts w:ascii="Cambria Math" w:hAnsi="Cambria Math"/>
                </w:rPr>
                <m:t>S</m:t>
              </m:r>
            </m:e>
            <m:sub>
              <m:r>
                <m:rPr>
                  <m:nor/>
                </m:rPr>
                <w:rPr>
                  <w:rStyle w:val="HTMLCode"/>
                  <w:rFonts w:ascii="Cambria Math" w:hAnsi="Cambria Math"/>
                </w:rPr>
                <m:t>e</m:t>
              </m:r>
            </m:sub>
          </m:sSub>
          <m:r>
            <m:rPr>
              <m:sty m:val="p"/>
            </m:rPr>
            <w:rPr>
              <w:rStyle w:val="HTMLCode"/>
              <w:rFonts w:ascii="Cambria Math" w:hAnsi="Cambria Math"/>
            </w:rPr>
            <m:t>≠∅  </m:t>
          </m:r>
          <m:r>
            <m:rPr>
              <m:nor/>
            </m:rPr>
            <w:rPr>
              <w:rStyle w:val="HTMLCode"/>
              <w:rFonts w:ascii="Cambria Math" w:hAnsi="Cambria Math"/>
            </w:rPr>
            <m:t>(3.4003)</m:t>
          </m:r>
        </m:oMath>
      </m:oMathPara>
    </w:p>
    <w:p w:rsidR="00003527" w:rsidRDefault="00003527" w:rsidP="00003527">
      <w:pPr>
        <w:pStyle w:val="StandardWeb"/>
      </w:pPr>
      <w:r>
        <w:t>Dabei bezeichnet:</w:t>
      </w:r>
    </w:p>
    <w:p w:rsidR="00003527" w:rsidRDefault="00E50336" w:rsidP="00632D23">
      <w:pPr>
        <w:pStyle w:val="StandardWeb"/>
        <w:numPr>
          <w:ilvl w:val="0"/>
          <w:numId w:val="20"/>
        </w:numPr>
      </w:pPr>
      <m:oMath>
        <m:sSub>
          <m:sSubPr>
            <m:ctrlPr>
              <w:rPr>
                <w:rFonts w:ascii="Cambria Math" w:hAnsi="Cambria Math"/>
                <w:i/>
              </w:rPr>
            </m:ctrlPr>
          </m:sSubPr>
          <m:e>
            <m:r>
              <m:rPr>
                <m:scr m:val="script"/>
              </m:rPr>
              <w:rPr>
                <w:rFonts w:ascii="Cambria Math" w:hAnsi="Cambria Math"/>
              </w:rPr>
              <m:t>S</m:t>
            </m:r>
          </m:e>
          <m:sub>
            <m:r>
              <m:rPr>
                <m:nor/>
              </m:rPr>
              <w:rPr>
                <w:rFonts w:ascii="Cambria Math" w:hAnsi="Cambria Math"/>
              </w:rPr>
              <m:t>e</m:t>
            </m:r>
          </m:sub>
        </m:sSub>
      </m:oMath>
      <w:r w:rsidR="00003527">
        <w:t xml:space="preserve"> die Menge der elementaren funktionalen Zustände,</w:t>
      </w:r>
    </w:p>
    <w:p w:rsidR="00003527" w:rsidRDefault="004E3C3C" w:rsidP="00632D23">
      <w:pPr>
        <w:pStyle w:val="StandardWeb"/>
        <w:numPr>
          <w:ilvl w:val="0"/>
          <w:numId w:val="20"/>
        </w:numPr>
      </w:pPr>
      <m:oMath>
        <m:r>
          <m:rPr>
            <m:sty m:val="p"/>
          </m:rPr>
          <w:rPr>
            <w:rFonts w:ascii="Cambria Math" w:hAnsi="Cambria Math"/>
          </w:rPr>
          <w:lastRenderedPageBreak/>
          <m:t>∅</m:t>
        </m:r>
      </m:oMath>
      <w:r w:rsidR="00003527">
        <w:t xml:space="preserve"> die leere Menge,</w:t>
      </w:r>
    </w:p>
    <w:p w:rsidR="00003527" w:rsidRDefault="004E3C3C" w:rsidP="00632D23">
      <w:pPr>
        <w:pStyle w:val="StandardWeb"/>
        <w:numPr>
          <w:ilvl w:val="0"/>
          <w:numId w:val="20"/>
        </w:numPr>
      </w:pPr>
      <m:oMath>
        <m:r>
          <m:rPr>
            <m:sty m:val="p"/>
          </m:rPr>
          <w:rPr>
            <w:rFonts w:ascii="Cambria Math" w:hAnsi="Cambria Math"/>
          </w:rPr>
          <m:t>≠</m:t>
        </m:r>
      </m:oMath>
      <w:r w:rsidR="00003527">
        <w:t xml:space="preserve"> die Ungleichheit zweier Mengen.</w:t>
      </w:r>
    </w:p>
    <w:p w:rsidR="00003527" w:rsidRDefault="00003527" w:rsidP="00003527">
      <w:pPr>
        <w:pStyle w:val="StandardWeb"/>
      </w:pPr>
      <w:r>
        <w:t xml:space="preserve">Gleichung (3.4003) ist keine zusätzliche Existenzsetzung. Sie folgt unmittelbar aus Gleichung (3.4001): Wenn mindestens eine Bestimmung </w:t>
      </w:r>
      <m:oMath>
        <m:r>
          <m:rPr>
            <m:sty m:val="p"/>
          </m:rPr>
          <w:rPr>
            <w:rFonts w:ascii="Cambria Math" w:hAnsi="Cambria Math"/>
          </w:rPr>
          <m:t>δ∈Δ</m:t>
        </m:r>
      </m:oMath>
      <w:r>
        <w:t xml:space="preserve"> mit </w:t>
      </w:r>
      <m:oMath>
        <m:r>
          <m:rPr>
            <m:sty m:val="p"/>
          </m:rPr>
          <w:rPr>
            <w:rFonts w:ascii="Cambria Math" w:hAnsi="Cambria Math"/>
          </w:rPr>
          <m:t>ω</m:t>
        </m:r>
        <m:d>
          <m:dPr>
            <m:ctrlPr>
              <w:rPr>
                <w:rFonts w:ascii="Cambria Math" w:hAnsi="Cambria Math"/>
                <w:i/>
              </w:rPr>
            </m:ctrlPr>
          </m:dPr>
          <m:e>
            <m:r>
              <m:rPr>
                <m:sty m:val="p"/>
              </m:rPr>
              <w:rPr>
                <w:rFonts w:ascii="Cambria Math" w:hAnsi="Cambria Math"/>
              </w:rPr>
              <m:t>δ</m:t>
            </m:r>
          </m:e>
        </m:d>
        <m:r>
          <w:rPr>
            <w:rFonts w:ascii="Cambria Math" w:hAnsi="Cambria Math"/>
          </w:rPr>
          <m:t>=1</m:t>
        </m:r>
      </m:oMath>
      <w:r>
        <w:t xml:space="preserve"> existiert, enthält die durch Gleichung (3.4002) definierte Menge mindestens ein Element. Die mengentheoretische Bedeutung der leeren und nichtleeren Menge bleibt dabei unverändert [6].</w:t>
      </w:r>
    </w:p>
    <w:p w:rsidR="00003527" w:rsidRPr="00AF32B2" w:rsidRDefault="00003527" w:rsidP="00AF32B2">
      <w:pPr>
        <w:pStyle w:val="berschrift4"/>
      </w:pPr>
      <w:r w:rsidRPr="00AF32B2">
        <w:t>3.3.7.3 Verhältnis zwischen Bestimmung und Zustand</w:t>
      </w:r>
    </w:p>
    <w:p w:rsidR="00003527" w:rsidRDefault="00003527" w:rsidP="004E3C3C">
      <w:pPr>
        <w:pStyle w:val="StandardWeb"/>
      </w:pPr>
      <w:r>
        <w:t xml:space="preserve">Nicht jede unterscheidbare Bestimmung aus </w:t>
      </w:r>
      <m:oMath>
        <m:r>
          <m:rPr>
            <m:sty m:val="p"/>
          </m:rPr>
          <w:rPr>
            <w:rFonts w:ascii="Cambria Math" w:hAnsi="Cambria Math"/>
          </w:rPr>
          <m:t>Δ</m:t>
        </m:r>
      </m:oMath>
      <w:r>
        <w:t xml:space="preserve"> ist automatisch ein funktionaler Zustand. Die Zugehörigkeit zu </w:t>
      </w:r>
      <m:oMath>
        <m:sSub>
          <m:sSubPr>
            <m:ctrlPr>
              <w:rPr>
                <w:rFonts w:ascii="Cambria Math" w:hAnsi="Cambria Math"/>
                <w:i/>
              </w:rPr>
            </m:ctrlPr>
          </m:sSubPr>
          <m:e>
            <m:r>
              <m:rPr>
                <m:scr m:val="script"/>
              </m:rPr>
              <w:rPr>
                <w:rFonts w:ascii="Cambria Math" w:hAnsi="Cambria Math"/>
              </w:rPr>
              <m:t>S</m:t>
            </m:r>
          </m:e>
          <m:sub>
            <m:r>
              <m:rPr>
                <m:nor/>
              </m:rPr>
              <w:rPr>
                <w:rFonts w:ascii="Cambria Math" w:hAnsi="Cambria Math"/>
              </w:rPr>
              <m:t>e</m:t>
            </m:r>
          </m:sub>
        </m:sSub>
      </m:oMath>
      <w:r>
        <w:t xml:space="preserve"> verlangt zusätzlich die funktionale Wirksamkeit der Bestimmung. Damit gilt für jedes </w:t>
      </w:r>
      <m:oMath>
        <m:r>
          <m:rPr>
            <m:sty m:val="p"/>
          </m:rPr>
          <w:rPr>
            <w:rFonts w:ascii="Cambria Math" w:hAnsi="Cambria Math"/>
          </w:rPr>
          <m:t>δ∈Δ</m:t>
        </m:r>
      </m:oMath>
      <w:r>
        <w:t>:</w:t>
      </w:r>
    </w:p>
    <w:p w:rsidR="00003527" w:rsidRDefault="004E3C3C" w:rsidP="00003527">
      <w:pPr>
        <w:pStyle w:val="HTMLVorformatiert"/>
        <w:rPr>
          <w:rStyle w:val="HTMLCode"/>
        </w:rPr>
      </w:pPr>
      <m:oMathPara>
        <m:oMath>
          <m:r>
            <w:rPr>
              <w:rStyle w:val="HTMLCode"/>
              <w:rFonts w:ascii="Cambria Math" w:hAnsi="Cambria Math"/>
            </w:rPr>
            <m:t>δ</m:t>
          </m:r>
          <m:r>
            <m:rPr>
              <m:sty m:val="p"/>
            </m:rPr>
            <w:rPr>
              <w:rStyle w:val="HTMLCode"/>
              <w:rFonts w:ascii="Cambria Math" w:hAnsi="Cambria Math"/>
            </w:rPr>
            <m:t>∈</m:t>
          </m:r>
          <m:sSub>
            <m:sSubPr>
              <m:ctrlPr>
                <w:rPr>
                  <w:rStyle w:val="HTMLCode"/>
                  <w:rFonts w:ascii="Cambria Math" w:hAnsi="Cambria Math"/>
                  <w:i/>
                </w:rPr>
              </m:ctrlPr>
            </m:sSubPr>
            <m:e>
              <m:r>
                <m:rPr>
                  <m:scr m:val="script"/>
                </m:rPr>
                <w:rPr>
                  <w:rStyle w:val="HTMLCode"/>
                  <w:rFonts w:ascii="Cambria Math" w:hAnsi="Cambria Math"/>
                </w:rPr>
                <m:t>S</m:t>
              </m:r>
            </m:e>
            <m:sub>
              <m:r>
                <m:rPr>
                  <m:nor/>
                </m:rPr>
                <w:rPr>
                  <w:rStyle w:val="HTMLCode"/>
                  <w:rFonts w:ascii="Cambria Math" w:hAnsi="Cambria Math"/>
                </w:rPr>
                <m:t>e</m:t>
              </m:r>
            </m:sub>
          </m:sSub>
          <m:r>
            <m:rPr>
              <m:sty m:val="p"/>
            </m:rPr>
            <w:rPr>
              <w:rStyle w:val="HTMLCode"/>
              <w:rFonts w:ascii="Cambria Math" w:hAnsi="Cambria Math"/>
            </w:rPr>
            <m:t>⟺ω</m:t>
          </m:r>
          <m:d>
            <m:dPr>
              <m:ctrlPr>
                <w:rPr>
                  <w:rStyle w:val="HTMLCode"/>
                  <w:rFonts w:ascii="Cambria Math" w:hAnsi="Cambria Math"/>
                  <w:i/>
                </w:rPr>
              </m:ctrlPr>
            </m:dPr>
            <m:e>
              <m:r>
                <m:rPr>
                  <m:sty m:val="p"/>
                </m:rPr>
                <w:rPr>
                  <w:rStyle w:val="HTMLCode"/>
                  <w:rFonts w:ascii="Cambria Math" w:hAnsi="Cambria Math"/>
                </w:rPr>
                <m:t>δ</m:t>
              </m:r>
            </m:e>
          </m:d>
          <m:r>
            <w:rPr>
              <w:rStyle w:val="HTMLCode"/>
              <w:rFonts w:ascii="Cambria Math" w:hAnsi="Cambria Math"/>
            </w:rPr>
            <m:t>=1</m:t>
          </m:r>
          <m:r>
            <m:rPr>
              <m:sty m:val="p"/>
            </m:rPr>
            <w:rPr>
              <w:rStyle w:val="HTMLCode"/>
              <w:rFonts w:ascii="Cambria Math" w:hAnsi="Cambria Math"/>
            </w:rPr>
            <m:t>  </m:t>
          </m:r>
          <m:r>
            <m:rPr>
              <m:nor/>
            </m:rPr>
            <w:rPr>
              <w:rStyle w:val="HTMLCode"/>
              <w:rFonts w:ascii="Cambria Math" w:hAnsi="Cambria Math"/>
            </w:rPr>
            <m:t>(3.4004)</m:t>
          </m:r>
        </m:oMath>
      </m:oMathPara>
    </w:p>
    <w:p w:rsidR="00003527" w:rsidRDefault="00003527" w:rsidP="00003527">
      <w:pPr>
        <w:pStyle w:val="StandardWeb"/>
      </w:pPr>
      <w:r>
        <w:t>Dabei bezeichnet:</w:t>
      </w:r>
    </w:p>
    <w:p w:rsidR="00003527" w:rsidRDefault="004E3C3C" w:rsidP="00632D23">
      <w:pPr>
        <w:pStyle w:val="StandardWeb"/>
        <w:numPr>
          <w:ilvl w:val="0"/>
          <w:numId w:val="21"/>
        </w:numPr>
      </w:pPr>
      <m:oMath>
        <m:r>
          <m:rPr>
            <m:sty m:val="p"/>
          </m:rPr>
          <w:rPr>
            <w:rFonts w:ascii="Cambria Math" w:hAnsi="Cambria Math"/>
          </w:rPr>
          <m:t>⟺</m:t>
        </m:r>
      </m:oMath>
      <w:r w:rsidR="00003527">
        <w:t xml:space="preserve"> die logische Äquivalenz,</w:t>
      </w:r>
    </w:p>
    <w:p w:rsidR="00003527" w:rsidRDefault="004E3C3C" w:rsidP="00632D23">
      <w:pPr>
        <w:pStyle w:val="StandardWeb"/>
        <w:numPr>
          <w:ilvl w:val="0"/>
          <w:numId w:val="21"/>
        </w:numPr>
      </w:pPr>
      <m:oMath>
        <m:r>
          <m:rPr>
            <m:sty m:val="p"/>
          </m:rPr>
          <w:rPr>
            <w:rFonts w:ascii="Cambria Math" w:hAnsi="Cambria Math"/>
          </w:rPr>
          <m:t>δ∈</m:t>
        </m:r>
        <m:sSub>
          <m:sSubPr>
            <m:ctrlPr>
              <w:rPr>
                <w:rFonts w:ascii="Cambria Math" w:hAnsi="Cambria Math"/>
                <w:i/>
              </w:rPr>
            </m:ctrlPr>
          </m:sSubPr>
          <m:e>
            <m:r>
              <m:rPr>
                <m:scr m:val="script"/>
              </m:rPr>
              <w:rPr>
                <w:rFonts w:ascii="Cambria Math" w:hAnsi="Cambria Math"/>
              </w:rPr>
              <m:t>S</m:t>
            </m:r>
          </m:e>
          <m:sub>
            <m:r>
              <m:rPr>
                <m:nor/>
              </m:rPr>
              <w:rPr>
                <w:rFonts w:ascii="Cambria Math" w:hAnsi="Cambria Math"/>
              </w:rPr>
              <m:t>e</m:t>
            </m:r>
          </m:sub>
        </m:sSub>
      </m:oMath>
      <w:r w:rsidR="00003527">
        <w:t xml:space="preserve"> die Zugehörigkeit einer Bestimmung zur Menge der elementaren funktionalen Zustände,</w:t>
      </w:r>
    </w:p>
    <w:p w:rsidR="00003527" w:rsidRDefault="004E3C3C" w:rsidP="00632D23">
      <w:pPr>
        <w:pStyle w:val="StandardWeb"/>
        <w:numPr>
          <w:ilvl w:val="0"/>
          <w:numId w:val="21"/>
        </w:numPr>
      </w:pPr>
      <m:oMath>
        <m:r>
          <m:rPr>
            <m:sty m:val="p"/>
          </m:rPr>
          <w:rPr>
            <w:rFonts w:ascii="Cambria Math" w:hAnsi="Cambria Math"/>
          </w:rPr>
          <m:t>ω</m:t>
        </m:r>
        <m:d>
          <m:dPr>
            <m:ctrlPr>
              <w:rPr>
                <w:rFonts w:ascii="Cambria Math" w:hAnsi="Cambria Math"/>
                <w:i/>
              </w:rPr>
            </m:ctrlPr>
          </m:dPr>
          <m:e>
            <m:r>
              <m:rPr>
                <m:sty m:val="p"/>
              </m:rPr>
              <w:rPr>
                <w:rFonts w:ascii="Cambria Math" w:hAnsi="Cambria Math"/>
              </w:rPr>
              <m:t>δ</m:t>
            </m:r>
          </m:e>
        </m:d>
        <m:r>
          <w:rPr>
            <w:rFonts w:ascii="Cambria Math" w:hAnsi="Cambria Math"/>
          </w:rPr>
          <m:t>=1</m:t>
        </m:r>
      </m:oMath>
      <w:r w:rsidR="00003527">
        <w:t xml:space="preserve"> das Vorliegen funktionaler Wirksamkeit.</w:t>
      </w:r>
    </w:p>
    <w:p w:rsidR="00003527" w:rsidRDefault="00003527" w:rsidP="00003527">
      <w:pPr>
        <w:pStyle w:val="StandardWeb"/>
      </w:pPr>
      <w:r>
        <w:t xml:space="preserve">Gleichung (3.4004) legt die notwendige und hinreichende Bedingung für die Zugehörigkeit zu </w:t>
      </w:r>
      <m:oMath>
        <m:sSub>
          <m:sSubPr>
            <m:ctrlPr>
              <w:rPr>
                <w:rFonts w:ascii="Cambria Math" w:hAnsi="Cambria Math"/>
                <w:i/>
              </w:rPr>
            </m:ctrlPr>
          </m:sSubPr>
          <m:e>
            <m:r>
              <m:rPr>
                <m:scr m:val="script"/>
              </m:rPr>
              <w:rPr>
                <w:rFonts w:ascii="Cambria Math" w:hAnsi="Cambria Math"/>
              </w:rPr>
              <m:t>S</m:t>
            </m:r>
          </m:e>
          <m:sub>
            <m:r>
              <m:rPr>
                <m:nor/>
              </m:rPr>
              <w:rPr>
                <w:rFonts w:ascii="Cambria Math" w:hAnsi="Cambria Math"/>
              </w:rPr>
              <m:t>e</m:t>
            </m:r>
          </m:sub>
        </m:sSub>
      </m:oMath>
      <w:r>
        <w:t xml:space="preserve"> fest. Sie erweitert den Aussagegehalt von Definition 3.3.1 nicht, sondern gibt ihn in äquivalenter Form wieder.</w:t>
      </w:r>
    </w:p>
    <w:p w:rsidR="00003527" w:rsidRDefault="00003527" w:rsidP="00003527">
      <w:pPr>
        <w:pStyle w:val="StandardWeb"/>
      </w:pPr>
      <w:r>
        <w:rPr>
          <w:rStyle w:val="Fett"/>
        </w:rPr>
        <w:t>Eigenleistung des FRZK</w:t>
      </w:r>
    </w:p>
    <w:p w:rsidR="00003527" w:rsidRDefault="00003527" w:rsidP="00003527">
      <w:pPr>
        <w:pStyle w:val="StandardWeb"/>
      </w:pPr>
      <w:r>
        <w:t>Ich trenne damit drei Ebenen:</w:t>
      </w:r>
    </w:p>
    <w:p w:rsidR="00003527" w:rsidRDefault="004E3C3C" w:rsidP="00632D23">
      <w:pPr>
        <w:pStyle w:val="StandardWeb"/>
        <w:numPr>
          <w:ilvl w:val="0"/>
          <w:numId w:val="22"/>
        </w:numPr>
      </w:pPr>
      <m:oMath>
        <m:r>
          <m:rPr>
            <m:sty m:val="p"/>
          </m:rPr>
          <w:rPr>
            <w:rFonts w:ascii="Cambria Math" w:hAnsi="Cambria Math"/>
          </w:rPr>
          <m:t>Δ</m:t>
        </m:r>
      </m:oMath>
      <w:r w:rsidR="00003527">
        <w:t xml:space="preserve"> enthält alle im betrachteten formalen Rahmen zugelassenen unterscheidbaren Bestimmungen.</w:t>
      </w:r>
    </w:p>
    <w:p w:rsidR="00003527" w:rsidRDefault="004E3C3C" w:rsidP="00632D23">
      <w:pPr>
        <w:pStyle w:val="StandardWeb"/>
        <w:numPr>
          <w:ilvl w:val="0"/>
          <w:numId w:val="22"/>
        </w:numPr>
      </w:pPr>
      <m:oMath>
        <m:r>
          <m:rPr>
            <m:sty m:val="p"/>
          </m:rPr>
          <w:rPr>
            <w:rFonts w:ascii="Cambria Math" w:hAnsi="Cambria Math"/>
          </w:rPr>
          <m:t>ω</m:t>
        </m:r>
      </m:oMath>
      <w:r w:rsidR="00003527">
        <w:t xml:space="preserve"> kennzeichnet, ob eine Bestimmung funktional wirksam ist.</w:t>
      </w:r>
    </w:p>
    <w:p w:rsidR="00003527" w:rsidRDefault="00E50336" w:rsidP="00632D23">
      <w:pPr>
        <w:pStyle w:val="StandardWeb"/>
        <w:numPr>
          <w:ilvl w:val="0"/>
          <w:numId w:val="22"/>
        </w:numPr>
      </w:pPr>
      <m:oMath>
        <m:sSub>
          <m:sSubPr>
            <m:ctrlPr>
              <w:rPr>
                <w:rFonts w:ascii="Cambria Math" w:hAnsi="Cambria Math"/>
                <w:i/>
              </w:rPr>
            </m:ctrlPr>
          </m:sSubPr>
          <m:e>
            <m:r>
              <m:rPr>
                <m:scr m:val="script"/>
              </m:rPr>
              <w:rPr>
                <w:rFonts w:ascii="Cambria Math" w:hAnsi="Cambria Math"/>
              </w:rPr>
              <m:t>S</m:t>
            </m:r>
          </m:e>
          <m:sub>
            <m:r>
              <m:rPr>
                <m:nor/>
              </m:rPr>
              <w:rPr>
                <w:rFonts w:ascii="Cambria Math" w:hAnsi="Cambria Math"/>
              </w:rPr>
              <m:t>e</m:t>
            </m:r>
          </m:sub>
        </m:sSub>
      </m:oMath>
      <w:r w:rsidR="00003527">
        <w:t xml:space="preserve"> enthält genau die Bestimmungen, die diese Wirksamkeitsbedingung erfüllen.</w:t>
      </w:r>
    </w:p>
    <w:p w:rsidR="00003527" w:rsidRDefault="00003527" w:rsidP="00003527">
      <w:pPr>
        <w:pStyle w:val="StandardWeb"/>
      </w:pPr>
      <w:r>
        <w:t>Diese Trennung verhindert, dass mathematische Unterscheidbarkeit und funktionaler Zustand gleichgesetzt werden.</w:t>
      </w:r>
    </w:p>
    <w:p w:rsidR="00003527" w:rsidRPr="00AF32B2" w:rsidRDefault="00003527" w:rsidP="00AF32B2">
      <w:pPr>
        <w:pStyle w:val="berschrift4"/>
      </w:pPr>
      <w:r w:rsidRPr="00AF32B2">
        <w:t>3.3.7.4 Elementarität des Zustandsbegriffs</w:t>
      </w:r>
    </w:p>
    <w:p w:rsidR="00003527" w:rsidRDefault="00003527" w:rsidP="00003527">
      <w:pPr>
        <w:pStyle w:val="StandardWeb"/>
      </w:pPr>
      <w:r>
        <w:t>Der Zusatz „elementar“ bedeutet nicht, dass der Zustand physikalisch unteilbar oder ontologisch fundamental ist. Er bezeichnet ausschließlich seine Stellung innerhalb der gegenwärtigen Theorieentwicklung. Ein elementarer funktionaler Zustand wird zunächst nur durch seine Unterscheidbarkeit und funktionale Wirksamkeit bestimmt.</w:t>
      </w:r>
    </w:p>
    <w:p w:rsidR="00003527" w:rsidRDefault="00003527" w:rsidP="00003527">
      <w:pPr>
        <w:pStyle w:val="StandardWeb"/>
      </w:pPr>
      <w:r>
        <w:t>Die strukturalistische Mathematik zeigt, dass mathematische Gegenstände über ihre Positionen und Beziehungen innerhalb von Strukturen charakterisiert werden können [67, 68]. Definition 3.3.1 geht jedoch noch nicht so weit, einen funktionalen Zustand vollständig durch Relationen zu bestimmen. Eine solche relationale Charakterisierung setzt das Primäraxiom der funktionalen Relationierbarkeit voraus und wird deshalb erst später eingeführt.</w:t>
      </w:r>
    </w:p>
    <w:p w:rsidR="00003527" w:rsidRDefault="00003527" w:rsidP="00003527">
      <w:pPr>
        <w:pStyle w:val="StandardWeb"/>
      </w:pPr>
      <w:r>
        <w:rPr>
          <w:rStyle w:val="Fett"/>
        </w:rPr>
        <w:lastRenderedPageBreak/>
        <w:t>Eigenleistung des FRZK</w:t>
      </w:r>
    </w:p>
    <w:p w:rsidR="00003527" w:rsidRDefault="00003527" w:rsidP="00003527">
      <w:pPr>
        <w:pStyle w:val="StandardWeb"/>
      </w:pPr>
      <w:r>
        <w:t>Ich verwende „elementar“ somit als methodische Kennzeichnung. Der Zustand ist elementar, weil ihm in dieser Definition noch keine interne Zusammensetzung, keine Relation, keine Transformation und keine Koordinate zugewiesen wird. Spätere zusammengesetzte Zustände können aus mehreren elementaren Zuständen, ihren Beziehungen und ihren Transformationen rekonstruiert werden.</w:t>
      </w:r>
    </w:p>
    <w:p w:rsidR="00003527" w:rsidRPr="00AF32B2" w:rsidRDefault="00003527" w:rsidP="00AF32B2">
      <w:pPr>
        <w:pStyle w:val="berschrift4"/>
      </w:pPr>
      <w:r w:rsidRPr="00AF32B2">
        <w:t>3.3.7.5 Noch nicht festgelegte Eigenschaften</w:t>
      </w:r>
    </w:p>
    <w:p w:rsidR="00003527" w:rsidRDefault="00003527" w:rsidP="00003527">
      <w:pPr>
        <w:pStyle w:val="StandardWeb"/>
      </w:pPr>
      <w:r>
        <w:t>Definition 3.3.1 bestimmt nicht:</w:t>
      </w:r>
    </w:p>
    <w:p w:rsidR="00003527" w:rsidRDefault="00003527" w:rsidP="00632D23">
      <w:pPr>
        <w:pStyle w:val="StandardWeb"/>
        <w:numPr>
          <w:ilvl w:val="0"/>
          <w:numId w:val="23"/>
        </w:numPr>
      </w:pPr>
      <w:r>
        <w:t>ob ein elementarer funktionaler Zustand dauerhaft besteht,</w:t>
      </w:r>
    </w:p>
    <w:p w:rsidR="00003527" w:rsidRDefault="00003527" w:rsidP="00632D23">
      <w:pPr>
        <w:pStyle w:val="StandardWeb"/>
        <w:numPr>
          <w:ilvl w:val="0"/>
          <w:numId w:val="23"/>
        </w:numPr>
      </w:pPr>
      <w:r>
        <w:t>ob er mit anderen Zuständen relationiert ist,</w:t>
      </w:r>
    </w:p>
    <w:p w:rsidR="00003527" w:rsidRDefault="00003527" w:rsidP="00632D23">
      <w:pPr>
        <w:pStyle w:val="StandardWeb"/>
        <w:numPr>
          <w:ilvl w:val="0"/>
          <w:numId w:val="23"/>
        </w:numPr>
      </w:pPr>
      <w:r>
        <w:t>ob er transformiert werden kann,</w:t>
      </w:r>
    </w:p>
    <w:p w:rsidR="00003527" w:rsidRDefault="00003527" w:rsidP="00632D23">
      <w:pPr>
        <w:pStyle w:val="StandardWeb"/>
        <w:numPr>
          <w:ilvl w:val="0"/>
          <w:numId w:val="23"/>
        </w:numPr>
      </w:pPr>
      <w:r>
        <w:t>ob ihm eine Richtung oder Größe zukommt,</w:t>
      </w:r>
    </w:p>
    <w:p w:rsidR="00003527" w:rsidRDefault="00003527" w:rsidP="00632D23">
      <w:pPr>
        <w:pStyle w:val="StandardWeb"/>
        <w:numPr>
          <w:ilvl w:val="0"/>
          <w:numId w:val="23"/>
        </w:numPr>
      </w:pPr>
      <w:r>
        <w:t>ob er durch einen Vektor dargestellt wird,</w:t>
      </w:r>
    </w:p>
    <w:p w:rsidR="00003527" w:rsidRDefault="00003527" w:rsidP="00632D23">
      <w:pPr>
        <w:pStyle w:val="StandardWeb"/>
        <w:numPr>
          <w:ilvl w:val="0"/>
          <w:numId w:val="23"/>
        </w:numPr>
      </w:pPr>
      <w:r>
        <w:t>ob seine Wirksamkeit quantitativ messbar ist,</w:t>
      </w:r>
    </w:p>
    <w:p w:rsidR="00003527" w:rsidRDefault="00003527" w:rsidP="00632D23">
      <w:pPr>
        <w:pStyle w:val="StandardWeb"/>
        <w:numPr>
          <w:ilvl w:val="0"/>
          <w:numId w:val="23"/>
        </w:numPr>
      </w:pPr>
      <w:r>
        <w:t>ob er räumlich oder zeitlich lokalisiert werden kann,</w:t>
      </w:r>
    </w:p>
    <w:p w:rsidR="00003527" w:rsidRDefault="00003527" w:rsidP="00632D23">
      <w:pPr>
        <w:pStyle w:val="StandardWeb"/>
        <w:numPr>
          <w:ilvl w:val="0"/>
          <w:numId w:val="23"/>
        </w:numPr>
      </w:pPr>
      <w:r>
        <w:t>ob mehrere Zustände gleichzeitig existieren,</w:t>
      </w:r>
    </w:p>
    <w:p w:rsidR="00003527" w:rsidRDefault="00003527" w:rsidP="00632D23">
      <w:pPr>
        <w:pStyle w:val="StandardWeb"/>
        <w:numPr>
          <w:ilvl w:val="0"/>
          <w:numId w:val="23"/>
        </w:numPr>
      </w:pPr>
      <w:r>
        <w:t>ob er eine physikalische Entität repräsentiert.</w:t>
      </w:r>
    </w:p>
    <w:p w:rsidR="00003527" w:rsidRDefault="00003527" w:rsidP="00003527">
      <w:pPr>
        <w:pStyle w:val="StandardWeb"/>
      </w:pPr>
      <w:r>
        <w:t>Diese Offenheit ist kein Mangel der Definition. Sie stellt sicher, dass spätere Eigenschaften nicht verdeckt in den ersten Zustandsbegriff eingebaut werden. Die mathematische Darstellung eines Zustands ist vom wissenschaftlichen Inhalt des Zustandsbegriffs zu unterscheiden [58, 59].</w:t>
      </w:r>
    </w:p>
    <w:p w:rsidR="00003527" w:rsidRPr="00AF32B2" w:rsidRDefault="00003527" w:rsidP="00AF32B2">
      <w:pPr>
        <w:pStyle w:val="berschrift4"/>
      </w:pPr>
      <w:r w:rsidRPr="00AF32B2">
        <w:t>3.3.7.6 Primitives und später erweitertes Wirksamkeitsprädikat</w:t>
      </w:r>
    </w:p>
    <w:p w:rsidR="00003527" w:rsidRDefault="00003527" w:rsidP="004E3C3C">
      <w:pPr>
        <w:pStyle w:val="StandardWeb"/>
      </w:pPr>
      <w:r>
        <w:t xml:space="preserve">Das Prädikat </w:t>
      </w:r>
      <m:oMath>
        <m:r>
          <m:rPr>
            <m:sty m:val="p"/>
          </m:rPr>
          <w:rPr>
            <w:rFonts w:ascii="Cambria Math" w:hAnsi="Cambria Math"/>
          </w:rPr>
          <m:t>ω</m:t>
        </m:r>
      </m:oMath>
      <w:r>
        <w:t xml:space="preserve"> besitzt gegenwärtig ausschließlich einen binären Wertebereich:</w:t>
      </w:r>
    </w:p>
    <w:p w:rsidR="00003527" w:rsidRPr="006435FF" w:rsidRDefault="004E3C3C" w:rsidP="006435FF">
      <w:pPr>
        <w:pStyle w:val="Formel"/>
        <w:rPr>
          <w:rStyle w:val="HTMLCode"/>
          <w:rFonts w:ascii="Cambria Math" w:eastAsia="Calibri" w:hAnsi="Cambria Math" w:cs="Calibri"/>
          <w:sz w:val="24"/>
          <w:szCs w:val="24"/>
        </w:rPr>
      </w:pPr>
      <m:oMathPara>
        <m:oMath>
          <m:r>
            <w:rPr>
              <w:rStyle w:val="HTMLCode"/>
              <w:rFonts w:ascii="Cambria Math" w:eastAsia="Calibri" w:hAnsi="Cambria Math" w:cs="Calibri"/>
              <w:sz w:val="24"/>
              <w:szCs w:val="24"/>
            </w:rPr>
            <m:t>ω:Δ→</m:t>
          </m:r>
          <m:r>
            <m:rPr>
              <m:lit/>
            </m:rPr>
            <w:rPr>
              <w:rStyle w:val="HTMLCode"/>
              <w:rFonts w:ascii="Cambria Math" w:eastAsia="Calibri" w:hAnsi="Cambria Math" w:cs="Calibri"/>
              <w:sz w:val="24"/>
              <w:szCs w:val="24"/>
            </w:rPr>
            <m:t>{</m:t>
          </m:r>
          <m:r>
            <w:rPr>
              <w:rStyle w:val="HTMLCode"/>
              <w:rFonts w:ascii="Cambria Math" w:eastAsia="Calibri" w:hAnsi="Cambria Math" w:cs="Calibri"/>
              <w:sz w:val="24"/>
              <w:szCs w:val="24"/>
            </w:rPr>
            <m:t>0,1</m:t>
          </m:r>
          <m:r>
            <m:rPr>
              <m:lit/>
            </m:rPr>
            <w:rPr>
              <w:rStyle w:val="HTMLCode"/>
              <w:rFonts w:ascii="Cambria Math" w:eastAsia="Calibri" w:hAnsi="Cambria Math" w:cs="Calibri"/>
              <w:sz w:val="24"/>
              <w:szCs w:val="24"/>
            </w:rPr>
            <m:t>}</m:t>
          </m:r>
          <m:r>
            <w:rPr>
              <w:rStyle w:val="HTMLCode"/>
              <w:rFonts w:ascii="Cambria Math" w:eastAsia="Calibri" w:hAnsi="Cambria Math" w:cs="Calibri"/>
              <w:sz w:val="24"/>
              <w:szCs w:val="24"/>
            </w:rPr>
            <m:t>  </m:t>
          </m:r>
          <m:r>
            <m:rPr>
              <m:nor/>
            </m:rPr>
            <w:rPr>
              <w:rStyle w:val="HTMLCode"/>
              <w:rFonts w:ascii="Cambria Math" w:eastAsia="Calibri" w:hAnsi="Cambria Math" w:cs="Calibri"/>
              <w:sz w:val="24"/>
              <w:szCs w:val="24"/>
            </w:rPr>
            <m:t>(3.4005)</m:t>
          </m:r>
        </m:oMath>
      </m:oMathPara>
    </w:p>
    <w:p w:rsidR="00003527" w:rsidRDefault="00003527" w:rsidP="00003527">
      <w:pPr>
        <w:pStyle w:val="StandardWeb"/>
      </w:pPr>
      <w:r>
        <w:t>Dabei bezeichnet:</w:t>
      </w:r>
    </w:p>
    <w:p w:rsidR="00003527" w:rsidRDefault="004E3C3C" w:rsidP="00632D23">
      <w:pPr>
        <w:pStyle w:val="StandardWeb"/>
        <w:numPr>
          <w:ilvl w:val="0"/>
          <w:numId w:val="24"/>
        </w:numPr>
      </w:pPr>
      <m:oMath>
        <m:r>
          <m:rPr>
            <m:sty m:val="p"/>
          </m:rPr>
          <w:rPr>
            <w:rFonts w:ascii="Cambria Math" w:hAnsi="Cambria Math"/>
          </w:rPr>
          <m:t>ω</m:t>
        </m:r>
      </m:oMath>
      <w:r w:rsidR="00003527">
        <w:t xml:space="preserve"> das Wirksamkeitsprädikat,</w:t>
      </w:r>
    </w:p>
    <w:p w:rsidR="00003527" w:rsidRDefault="004E3C3C" w:rsidP="00632D23">
      <w:pPr>
        <w:pStyle w:val="StandardWeb"/>
        <w:numPr>
          <w:ilvl w:val="0"/>
          <w:numId w:val="24"/>
        </w:numPr>
      </w:pPr>
      <m:oMath>
        <m:r>
          <m:rPr>
            <m:sty m:val="p"/>
          </m:rPr>
          <w:rPr>
            <w:rFonts w:ascii="Cambria Math" w:hAnsi="Cambria Math"/>
          </w:rPr>
          <m:t>Δ</m:t>
        </m:r>
      </m:oMath>
      <w:r w:rsidR="00003527">
        <w:t xml:space="preserve"> dessen Definitionsbereich,</w:t>
      </w:r>
    </w:p>
    <w:p w:rsidR="00003527" w:rsidRDefault="004E3C3C" w:rsidP="00632D23">
      <w:pPr>
        <w:pStyle w:val="StandardWeb"/>
        <w:numPr>
          <w:ilvl w:val="0"/>
          <w:numId w:val="24"/>
        </w:numPr>
      </w:pPr>
      <m:oMath>
        <m:r>
          <w:rPr>
            <w:rFonts w:ascii="Cambria Math" w:hAnsi="Cambria Math"/>
          </w:rPr>
          <m:t>0,1</m:t>
        </m:r>
      </m:oMath>
      <w:r w:rsidR="00003527">
        <w:t xml:space="preserve"> den binären Wertebereich,</w:t>
      </w:r>
    </w:p>
    <w:p w:rsidR="00003527" w:rsidRDefault="004E3C3C" w:rsidP="00632D23">
      <w:pPr>
        <w:pStyle w:val="StandardWeb"/>
        <w:numPr>
          <w:ilvl w:val="0"/>
          <w:numId w:val="24"/>
        </w:numPr>
      </w:pPr>
      <m:oMath>
        <m:r>
          <w:rPr>
            <w:rFonts w:ascii="Cambria Math" w:hAnsi="Cambria Math"/>
          </w:rPr>
          <m:t>0</m:t>
        </m:r>
      </m:oMath>
      <w:r w:rsidR="00003527">
        <w:t xml:space="preserve"> das Nichtvorliegen funktionaler Wirksamkeit,</w:t>
      </w:r>
    </w:p>
    <w:p w:rsidR="00003527" w:rsidRDefault="004E3C3C" w:rsidP="00632D23">
      <w:pPr>
        <w:pStyle w:val="StandardWeb"/>
        <w:numPr>
          <w:ilvl w:val="0"/>
          <w:numId w:val="24"/>
        </w:numPr>
      </w:pPr>
      <m:oMath>
        <m:r>
          <w:rPr>
            <w:rFonts w:ascii="Cambria Math" w:hAnsi="Cambria Math"/>
          </w:rPr>
          <m:t>1</m:t>
        </m:r>
      </m:oMath>
      <w:r w:rsidR="00003527">
        <w:t xml:space="preserve"> das Vorliegen funktionaler Wirksamkeit.</w:t>
      </w:r>
    </w:p>
    <w:p w:rsidR="00003527" w:rsidRDefault="00003527" w:rsidP="00003527">
      <w:pPr>
        <w:pStyle w:val="StandardWeb"/>
      </w:pPr>
      <w:r>
        <w:t>Gleichung (3.4005) legt keine Stärke der Wirksamkeit fest. Sie unterscheidet ausschließlich, ob die in Primäraxiom I geforderte Mindestbedingung erfüllt ist. Eine spätere quantitative Erweiterung könnte einen größeren Wertebereich verwenden. Eine solche Erweiterung darf jedoch die hier definierte binäre Mindestentscheidung nicht rückwirkend verändern.</w:t>
      </w:r>
    </w:p>
    <w:p w:rsidR="00003527" w:rsidRDefault="00003527" w:rsidP="00003527">
      <w:pPr>
        <w:pStyle w:val="StandardWeb"/>
      </w:pPr>
      <w:r>
        <w:rPr>
          <w:rStyle w:val="Fett"/>
        </w:rPr>
        <w:t>Eigenleistung des FRZK</w:t>
      </w:r>
    </w:p>
    <w:p w:rsidR="00003527" w:rsidRDefault="00003527" w:rsidP="00003527">
      <w:pPr>
        <w:pStyle w:val="StandardWeb"/>
      </w:pPr>
      <w:r>
        <w:t xml:space="preserve">Ich behandle </w:t>
      </w:r>
      <m:oMath>
        <m:r>
          <m:rPr>
            <m:sty m:val="p"/>
          </m:rPr>
          <w:rPr>
            <w:rFonts w:ascii="Cambria Math" w:hAnsi="Cambria Math"/>
          </w:rPr>
          <m:t>ω</m:t>
        </m:r>
      </m:oMath>
      <w:r>
        <w:t xml:space="preserve"> deshalb noch nicht als physikalische Observable, Norm, Wahrscheinlichkeit oder Operator. Es ist ein primitives Prädikat zur Abgrenzung des funktionalen </w:t>
      </w:r>
      <w:r>
        <w:lastRenderedPageBreak/>
        <w:t>Gegenstandsbereichs. Erst spätere Kapitel können untersuchen, ob funktionale Wirksamkeit durch zusätzliche Größen operationalisiert oder gemessen werden kann.</w:t>
      </w:r>
    </w:p>
    <w:p w:rsidR="00003527" w:rsidRPr="00AF32B2" w:rsidRDefault="00003527" w:rsidP="00AF32B2">
      <w:pPr>
        <w:pStyle w:val="berschrift4"/>
      </w:pPr>
      <w:r w:rsidRPr="00AF32B2">
        <w:t>3.3.7.7 Abgrenzung zum Zustandsraum</w:t>
      </w:r>
    </w:p>
    <w:p w:rsidR="00003527" w:rsidRDefault="00003527" w:rsidP="00003527">
      <w:pPr>
        <w:pStyle w:val="StandardWeb"/>
      </w:pPr>
      <w:r>
        <w:t xml:space="preserve">Die Menge </w:t>
      </w:r>
      <m:oMath>
        <m:sSub>
          <m:sSubPr>
            <m:ctrlPr>
              <w:rPr>
                <w:rFonts w:ascii="Cambria Math" w:hAnsi="Cambria Math"/>
                <w:i/>
              </w:rPr>
            </m:ctrlPr>
          </m:sSubPr>
          <m:e>
            <m:r>
              <m:rPr>
                <m:scr m:val="script"/>
              </m:rPr>
              <w:rPr>
                <w:rFonts w:ascii="Cambria Math" w:hAnsi="Cambria Math"/>
              </w:rPr>
              <m:t>S</m:t>
            </m:r>
          </m:e>
          <m:sub>
            <m:r>
              <m:rPr>
                <m:nor/>
              </m:rPr>
              <w:rPr>
                <w:rFonts w:ascii="Cambria Math" w:hAnsi="Cambria Math"/>
              </w:rPr>
              <m:t>e</m:t>
            </m:r>
          </m:sub>
        </m:sSub>
      </m:oMath>
      <w:r>
        <w:t xml:space="preserve"> ist zunächst eine Menge elementarer funktionaler Zustände. Daraus folgt nicht, dass sie bereits ein Vektorraum, metrischer Raum, topologischer Raum oder Hilbertraum ist. Solche Strukturen verlangen zusätzliche Operationen und Axiome, die in Kapitel 3.2 mathematisch eingeführt wurden [71, 75].</w:t>
      </w:r>
    </w:p>
    <w:p w:rsidR="00003527" w:rsidRDefault="00003527" w:rsidP="00003527">
      <w:pPr>
        <w:pStyle w:val="StandardWeb"/>
      </w:pPr>
      <w:r>
        <w:t>Insbesondere sind für einen Vektorraum eine Vektoraddition, eine Skalarmultiplikation und die Erfüllung der Vektorraumaxiome erforderlich. Keine dieser Eigenschaften folgt aus Definition 3.3.1. Eine spätere Einbettung funktionaler Zustände in einen Vektorraum stellt daher eine zusätzliche Modellkonstruktion dar.</w:t>
      </w:r>
    </w:p>
    <w:p w:rsidR="00003527" w:rsidRDefault="00003527" w:rsidP="00003527">
      <w:pPr>
        <w:pStyle w:val="StandardWeb"/>
      </w:pPr>
      <w:r>
        <w:rPr>
          <w:rStyle w:val="Fett"/>
        </w:rPr>
        <w:t>Eigenleistung des FRZK</w:t>
      </w:r>
    </w:p>
    <w:p w:rsidR="00003527" w:rsidRDefault="00003527" w:rsidP="00003527">
      <w:pPr>
        <w:pStyle w:val="StandardWeb"/>
      </w:pPr>
      <w:r>
        <w:t xml:space="preserve">Ich bezeichne </w:t>
      </w:r>
      <m:oMath>
        <m:sSub>
          <m:sSubPr>
            <m:ctrlPr>
              <w:rPr>
                <w:rFonts w:ascii="Cambria Math" w:hAnsi="Cambria Math"/>
                <w:i/>
              </w:rPr>
            </m:ctrlPr>
          </m:sSubPr>
          <m:e>
            <m:r>
              <m:rPr>
                <m:scr m:val="script"/>
              </m:rPr>
              <w:rPr>
                <w:rFonts w:ascii="Cambria Math" w:hAnsi="Cambria Math"/>
              </w:rPr>
              <m:t>S</m:t>
            </m:r>
          </m:e>
          <m:sub>
            <m:r>
              <m:rPr>
                <m:nor/>
              </m:rPr>
              <w:rPr>
                <w:rFonts w:ascii="Cambria Math" w:hAnsi="Cambria Math"/>
              </w:rPr>
              <m:t>e</m:t>
            </m:r>
          </m:sub>
        </m:sSub>
      </m:oMath>
      <w:r>
        <w:t xml:space="preserve"> an dieser Stelle bewusst nicht als vollständigen funktionalen Zustandsraum. Sie bildet lediglich die Ausgangsmenge, aus der ein solcher Raum nach Einführung von Relationen, Transformationen und zusätzlichen Strukturen aufgebaut werden kann.</w:t>
      </w:r>
    </w:p>
    <w:p w:rsidR="00003527" w:rsidRPr="00AF32B2" w:rsidRDefault="00003527" w:rsidP="00AF32B2">
      <w:pPr>
        <w:pStyle w:val="berschrift4"/>
      </w:pPr>
      <w:r w:rsidRPr="00AF32B2">
        <w:t>3.3.7.8 Erste unmittelbare Folgerung</w:t>
      </w:r>
    </w:p>
    <w:p w:rsidR="00003527" w:rsidRDefault="00003527" w:rsidP="00003527">
      <w:pPr>
        <w:pStyle w:val="StandardWeb"/>
      </w:pPr>
      <w:r>
        <w:t>Aus Gleichung (3.4003) folgt, dass ein beliebiges, aber fest gewähltes Element aus (\mathcal{S}_{\mathrm{el}}) betrachtet werden kann:</w:t>
      </w:r>
    </w:p>
    <w:p w:rsidR="00003527" w:rsidRDefault="00003527" w:rsidP="00003527">
      <w:pPr>
        <w:pStyle w:val="StandardWeb"/>
      </w:pPr>
      <w:r>
        <w:t>[</w:t>
      </w:r>
      <w:r>
        <w:br/>
        <w:t>\text{Wähle }\delta_{0}\in\mathcal{S}_{\mathrm{el}}.</w:t>
      </w:r>
      <w:r>
        <w:br/>
        <w:t>\tag{3.4006}</w:t>
      </w:r>
      <w:r>
        <w:br/>
        <w:t>]</w:t>
      </w:r>
    </w:p>
    <w:p w:rsidR="00003527" w:rsidRDefault="00003527" w:rsidP="00003527">
      <w:pPr>
        <w:pStyle w:val="StandardWeb"/>
      </w:pPr>
      <w:r>
        <w:rPr>
          <w:rStyle w:val="Fett"/>
        </w:rPr>
        <w:t>Word-LaTeX</w:t>
      </w:r>
    </w:p>
    <w:p w:rsidR="00003527" w:rsidRDefault="00003527" w:rsidP="00003527">
      <w:pPr>
        <w:pStyle w:val="HTMLVorformatiert"/>
        <w:rPr>
          <w:rStyle w:val="HTMLCode"/>
        </w:rPr>
      </w:pPr>
      <w:r>
        <w:rPr>
          <w:rStyle w:val="HTMLCode"/>
        </w:rPr>
        <w:t>\text{Wähle }\delta_{0}\in\mathcal{S}_{\mathrm{el}}\qquad\text{(3.4006)}</w:t>
      </w:r>
    </w:p>
    <w:p w:rsidR="00003527" w:rsidRDefault="00003527" w:rsidP="00003527">
      <w:pPr>
        <w:pStyle w:val="StandardWeb"/>
      </w:pPr>
      <w:r>
        <w:t>Dabei bezeichnet:</w:t>
      </w:r>
    </w:p>
    <w:p w:rsidR="00003527" w:rsidRDefault="00003527" w:rsidP="00632D23">
      <w:pPr>
        <w:pStyle w:val="StandardWeb"/>
        <w:numPr>
          <w:ilvl w:val="0"/>
          <w:numId w:val="25"/>
        </w:numPr>
      </w:pPr>
      <w:r>
        <w:t>(\delta_{0}) ein fest gewähltes Element aus (\mathcal{S}_{\mathrm{el}}),</w:t>
      </w:r>
    </w:p>
    <w:p w:rsidR="00003527" w:rsidRDefault="00003527" w:rsidP="00632D23">
      <w:pPr>
        <w:pStyle w:val="StandardWeb"/>
        <w:numPr>
          <w:ilvl w:val="0"/>
          <w:numId w:val="25"/>
        </w:numPr>
      </w:pPr>
      <w:r>
        <w:t>der Index (0) lediglich eine Kennzeichnung und keine Zeitangabe.</w:t>
      </w:r>
    </w:p>
    <w:p w:rsidR="00003527" w:rsidRDefault="00003527" w:rsidP="00003527">
      <w:pPr>
        <w:pStyle w:val="StandardWeb"/>
      </w:pPr>
      <w:r>
        <w:t>Die Wahl von (\delta_{0}) führt keinen ausgezeichneten Anfangszustand und keine zeitliche Ordnung ein. Sie erlaubt nur, in späteren Definitionen und Herleitungen auf einen konkreten elementaren funktionalen Zustand Bezug zu nehmen.</w:t>
      </w:r>
    </w:p>
    <w:p w:rsidR="00003527" w:rsidRDefault="00003527" w:rsidP="00003527">
      <w:pPr>
        <w:pStyle w:val="StandardWeb"/>
      </w:pPr>
      <w:r>
        <w:rPr>
          <w:rStyle w:val="Fett"/>
        </w:rPr>
        <w:t>Eigenleistung des FRZK</w:t>
      </w:r>
    </w:p>
    <w:p w:rsidR="00003527" w:rsidRDefault="00003527" w:rsidP="00003527">
      <w:pPr>
        <w:pStyle w:val="StandardWeb"/>
      </w:pPr>
      <w:r>
        <w:t>Ich verwende den Index (0) hier nicht als Zeitpunkt. Er kennzeichnet ausschließlich ein ausgewähltes Referenzelement. Eine zeitliche Deutung numerischer Indizes ist vor der Rekonstruktion einer funktionalen Zeitordnung unzulässig.</w:t>
      </w:r>
    </w:p>
    <w:p w:rsidR="00003527" w:rsidRPr="00AF32B2" w:rsidRDefault="00003527" w:rsidP="00AF32B2">
      <w:pPr>
        <w:pStyle w:val="berschrift4"/>
      </w:pPr>
      <w:r w:rsidRPr="00AF32B2">
        <w:t>3.3.7.9 Übergang zur funktionalen Relationierbarkeit</w:t>
      </w:r>
    </w:p>
    <w:p w:rsidR="00003527" w:rsidRDefault="00003527" w:rsidP="00003527">
      <w:pPr>
        <w:pStyle w:val="StandardWeb"/>
      </w:pPr>
      <w:r>
        <w:lastRenderedPageBreak/>
        <w:t>Mit Definition 3.3.1 steht erstmals ein klar abgegrenzter funktionaler Gegenstandsbereich zur Verfügung. Die Menge (\mathcal{S}_{\mathrm{el}}) enthält mindestens einen elementaren funktionalen Zustand. Noch ist jedoch nicht begründet, dass zwischen zwei solchen Zuständen eine funktional wirksame Beziehung bestehen kann.</w:t>
      </w:r>
    </w:p>
    <w:p w:rsidR="00003527" w:rsidRDefault="00003527" w:rsidP="00003527">
      <w:pPr>
        <w:pStyle w:val="StandardWeb"/>
      </w:pPr>
      <w:r>
        <w:t>Die Mengenlehre könnte zwar das kartesische Produkt</w:t>
      </w:r>
    </w:p>
    <w:p w:rsidR="00003527" w:rsidRDefault="00003527" w:rsidP="00003527">
      <w:pPr>
        <w:pStyle w:val="StandardWeb"/>
      </w:pPr>
      <w:r>
        <w:t>[</w:t>
      </w:r>
      <w:r>
        <w:br/>
        <w:t>\mathcal{S}</w:t>
      </w:r>
      <w:r>
        <w:rPr>
          <w:rStyle w:val="Hervorhebung"/>
        </w:rPr>
        <w:t>{\mathrm{el}}\times\mathcal{S}</w:t>
      </w:r>
      <w:r>
        <w:t>{\mathrm{el}}</w:t>
      </w:r>
      <w:r>
        <w:br/>
        <w:t>\tag{3.4007}</w:t>
      </w:r>
      <w:r>
        <w:br/>
        <w:t>]</w:t>
      </w:r>
    </w:p>
    <w:p w:rsidR="00003527" w:rsidRDefault="00003527" w:rsidP="00003527">
      <w:pPr>
        <w:pStyle w:val="StandardWeb"/>
      </w:pPr>
      <w:r>
        <w:rPr>
          <w:rStyle w:val="Fett"/>
        </w:rPr>
        <w:t>Word-LaTeX</w:t>
      </w:r>
    </w:p>
    <w:p w:rsidR="00003527" w:rsidRDefault="00003527" w:rsidP="00003527">
      <w:pPr>
        <w:pStyle w:val="HTMLVorformatiert"/>
        <w:rPr>
          <w:rStyle w:val="HTMLCode"/>
        </w:rPr>
      </w:pPr>
      <w:r>
        <w:rPr>
          <w:rStyle w:val="HTMLCode"/>
        </w:rPr>
        <w:t>\mathcal{S}_{\mathrm{el}}\times\mathcal{S}_{\mathrm{el}}\qquad\text{(3.4007)}</w:t>
      </w:r>
    </w:p>
    <w:p w:rsidR="00003527" w:rsidRDefault="00003527" w:rsidP="00003527">
      <w:pPr>
        <w:pStyle w:val="StandardWeb"/>
      </w:pPr>
      <w:r>
        <w:t>bilden. Dieses Produkt stellt jedoch nur die Menge formal möglicher geordneter Paare bereit. Es bestimmt weder eine ausgewählte Relation noch deren funktionale Wirksamkeit [6].</w:t>
      </w:r>
    </w:p>
    <w:p w:rsidR="00003527" w:rsidRDefault="00003527" w:rsidP="00003527">
      <w:pPr>
        <w:pStyle w:val="StandardWeb"/>
      </w:pPr>
      <w:r>
        <w:rPr>
          <w:rStyle w:val="Fett"/>
        </w:rPr>
        <w:t>Eigenleistung des FRZK</w:t>
      </w:r>
    </w:p>
    <w:p w:rsidR="00003527" w:rsidRDefault="00003527" w:rsidP="00003527">
      <w:pPr>
        <w:pStyle w:val="StandardWeb"/>
      </w:pPr>
      <w:r>
        <w:t>Der folgende Abschnitt muss deshalb das Primäraxiom der funktionalen Relationierbarkeit formulieren. Erst dieses Axiom kann die Möglichkeit begründen, dass zwischen elementaren funktionalen Zuständen eine funktional wirksame Verbindung besteht.</w:t>
      </w:r>
    </w:p>
    <w:p w:rsidR="00E31D2E" w:rsidRDefault="00E31D2E" w:rsidP="00E31D2E">
      <w:pPr>
        <w:pStyle w:val="berschrift2"/>
        <w:rPr>
          <w:rFonts w:cs="Times New Roman"/>
        </w:rPr>
      </w:pPr>
      <w:r>
        <w:t>Ergänzung zu 3.3.7 – Definition des elementaren funktionalen Zustands</w:t>
      </w:r>
    </w:p>
    <w:p w:rsidR="00E31D2E" w:rsidRDefault="00E31D2E" w:rsidP="00E31D2E">
      <w:pPr>
        <w:pStyle w:val="berschrift3"/>
      </w:pPr>
      <w:r>
        <w:t>Methodologische Betrachtungen</w:t>
      </w:r>
    </w:p>
    <w:p w:rsidR="00E31D2E" w:rsidRDefault="00E31D2E" w:rsidP="00E31D2E">
      <w:pPr>
        <w:pStyle w:val="StandardWeb"/>
      </w:pPr>
      <w:r>
        <w:t>Mit der Definition des elementaren funktionalen Zustands vollziehe ich erstmals den Übergang von einer axiomatisch gesetzten Existenzmöglichkeit zu einem ausdrücklich benannten theoretischen Objekt. Primäraxiom I hat lediglich festgelegt, dass der funktionale Gegenstandsbereich des FRZK nicht vollständig leer sein darf. Abschnitt 3.3.7 bestimmt nun, wie diejenigen Bestimmungen bezeichnet und formal zusammengefasst werden, auf die sich diese axiomatische Existenzforderung bezieht. Die Definition führt damit keinen zusätzlichen Existenzgehalt ein, sondern strukturiert den bereits durch Primäraxiom I eröffneten Bereich.</w:t>
      </w:r>
    </w:p>
    <w:p w:rsidR="00E31D2E" w:rsidRDefault="00E31D2E" w:rsidP="00E31D2E">
      <w:pPr>
        <w:pStyle w:val="StandardWeb"/>
      </w:pPr>
      <w:r>
        <w:t xml:space="preserve">Diese Unterscheidung zwischen Axiom und Definition ist methodologisch wesentlich. Das Axiom setzt voraus, dass mindestens ein funktional relevanter Zustand vorhanden sein kann. Die Definition legt dagegen fest, was ich im weiteren Verlauf unter einem </w:t>
      </w:r>
      <w:r>
        <w:rPr>
          <w:rStyle w:val="Fett"/>
        </w:rPr>
        <w:t>elementaren funktionalen Zustand</w:t>
      </w:r>
      <w:r>
        <w:t xml:space="preserve"> verstehe und wie die Menge dieser Zustände notiert wird. Würde ich die Definition selbst als Existenzbegründung verwenden, würde ich erneut Definition und Axiom vermischen.</w:t>
      </w:r>
    </w:p>
    <w:p w:rsidR="00E31D2E" w:rsidRDefault="00E31D2E" w:rsidP="00E31D2E">
      <w:pPr>
        <w:pStyle w:val="StandardWeb"/>
      </w:pPr>
      <w:r>
        <w:t xml:space="preserve">Der Ausdruck „elementar“ ist dabei mit besonderer Vorsicht zu verwenden. Er bedeutet an dieser Stelle nicht „physikalisch unteilbar“, „fundamental im ontologischen Sinn“ oder „kleinstmögliche Einheit der Natur“. Elementar bedeutet zunächst lediglich, dass der betreffende Zustand innerhalb der aktuellen FRZK-Ebene nicht durch bereits eingeführte </w:t>
      </w:r>
      <w:r>
        <w:lastRenderedPageBreak/>
        <w:t>FRZK-Zustände weiter zerlegt wird. Ob spätere Modelle eine interne Struktur solcher Zustände zulassen, bleibt damit ausdrücklich offen.</w:t>
      </w:r>
    </w:p>
    <w:p w:rsidR="00E31D2E" w:rsidRDefault="00E31D2E" w:rsidP="00E31D2E">
      <w:pPr>
        <w:pStyle w:val="StandardWeb"/>
      </w:pPr>
      <w:r>
        <w:t>Ebenso darf der Begriff „Zustand“ nicht unbemerkt mit einem Zustand im Sinne der klassischen Mechanik, Quantenmechanik oder Thermodynamik gleichgesetzt werden. Der elementare funktionale Zustand ist zunächst ein FRZK-interner Strukturbegriff. Erst spätere Operationalisierungen oder Modellinstanzen können festlegen, welche beobachtbaren oder physikalischen Größen einem solchen Zustand zugeordnet werden.</w:t>
      </w:r>
    </w:p>
    <w:p w:rsidR="00E31D2E" w:rsidRDefault="00E31D2E" w:rsidP="00E31D2E">
      <w:pPr>
        <w:pStyle w:val="StandardWeb"/>
      </w:pPr>
      <w:r>
        <w:t>Methodologisch wichtig ist außerdem, dass mit der Einführung einer Zustandsmenge noch keine Nachbarschaft, Distanz, Ordnung oder Entwicklung verbunden ist. Aus</w:t>
      </w:r>
    </w:p>
    <w:p w:rsidR="00E31D2E" w:rsidRDefault="00E31D2E" w:rsidP="00E31D2E">
      <w:pPr>
        <w:pStyle w:val="StandardWeb"/>
      </w:pPr>
      <w:r>
        <w:t>[</w:t>
      </w:r>
      <w:r>
        <w:br/>
        <w:t>\mathcal{S}_{\mathrm{el}}</w:t>
      </w:r>
      <w:r>
        <w:br/>
        <w:t>]</w:t>
      </w:r>
    </w:p>
    <w:p w:rsidR="00E31D2E" w:rsidRDefault="00E31D2E" w:rsidP="00E31D2E">
      <w:pPr>
        <w:pStyle w:val="StandardWeb"/>
      </w:pPr>
      <w:r>
        <w:t>folgt zunächst nur, dass elementare funktionale Zustände als Menge zusammengefasst werden können. Aus der Mengenzugehörigkeit folgt weder eine räumliche Lage noch eine zeitliche Reihenfolge.</w:t>
      </w:r>
    </w:p>
    <w:p w:rsidR="00E31D2E" w:rsidRDefault="00E31D2E" w:rsidP="00E31D2E">
      <w:pPr>
        <w:pStyle w:val="StandardWeb"/>
      </w:pPr>
      <w:r>
        <w:t>Auch ein ausgezeichnetes Referenzelement wie (\delta_0) darf nicht vorschnell als „Nullzustand“, „Grundzustand“ oder „Vakuum“ interpretiert werden. Solange keine zusätzlichen Eigenschaften definiert sind, ist es lediglich ein ausgewähltes Element der Zustandsmenge. Seine wissenschaftliche Bedeutung entsteht erst durch die später ausdrücklich eingeführten Relationen, Transformationen oder Modellbedingungen.</w:t>
      </w:r>
    </w:p>
    <w:p w:rsidR="00E31D2E" w:rsidRDefault="00E31D2E" w:rsidP="00E31D2E">
      <w:pPr>
        <w:pStyle w:val="StandardWeb"/>
      </w:pPr>
      <w:r>
        <w:t>Die Definition des elementaren funktionalen Zustands erfüllt damit eine begrenzte, aber zentrale Aufgabe: Sie erzeugt den minimalen Trägerbereich, auf dem die folgenden relationalen und transformatorischen Strukturen definiert werden können.</w:t>
      </w:r>
    </w:p>
    <w:p w:rsidR="00E31D2E" w:rsidRDefault="00E31D2E" w:rsidP="00E31D2E">
      <w:pPr>
        <w:pStyle w:val="berschrift3"/>
      </w:pPr>
      <w:r>
        <w:t>Didaktische Betrachtungen</w:t>
      </w:r>
    </w:p>
    <w:p w:rsidR="00E31D2E" w:rsidRDefault="00E31D2E" w:rsidP="00E31D2E">
      <w:pPr>
        <w:pStyle w:val="StandardWeb"/>
      </w:pPr>
      <w:r>
        <w:t>Der Unterschied zwischen einem Axiom und der anschließenden Zustandsdefinition lässt sich mit einem leeren Karteikasten vergleichen. Primäraxiom I sagt sinngemäß:</w:t>
      </w:r>
    </w:p>
    <w:p w:rsidR="00E31D2E" w:rsidRDefault="00E31D2E" w:rsidP="00E31D2E">
      <w:pPr>
        <w:pStyle w:val="StandardWeb"/>
      </w:pPr>
      <w:r>
        <w:t>„Der Karteikasten darf nicht vollständig leer sein.“</w:t>
      </w:r>
    </w:p>
    <w:p w:rsidR="00E31D2E" w:rsidRDefault="00E31D2E" w:rsidP="00E31D2E">
      <w:pPr>
        <w:pStyle w:val="StandardWeb"/>
      </w:pPr>
      <w:r>
        <w:t>Die Definition des elementaren funktionalen Zustands sagt anschließend:</w:t>
      </w:r>
    </w:p>
    <w:p w:rsidR="00E31D2E" w:rsidRDefault="00E31D2E" w:rsidP="00E31D2E">
      <w:pPr>
        <w:pStyle w:val="StandardWeb"/>
      </w:pPr>
      <w:r>
        <w:t>„Die einzelnen Karten, die in diesem Kasten liegen können, nenne ich elementare funktionale Zustände.“</w:t>
      </w:r>
    </w:p>
    <w:p w:rsidR="00E31D2E" w:rsidRDefault="00E31D2E" w:rsidP="00E31D2E">
      <w:pPr>
        <w:pStyle w:val="StandardWeb"/>
      </w:pPr>
      <w:r>
        <w:t>Damit wird nichts Neues über den Inhalt der Karten ausgesagt. Es wird zunächst nur eine gemeinsame Bezeichnung eingeführt.</w:t>
      </w:r>
    </w:p>
    <w:p w:rsidR="00E31D2E" w:rsidRDefault="00E31D2E" w:rsidP="00E31D2E">
      <w:pPr>
        <w:pStyle w:val="StandardWeb"/>
      </w:pPr>
      <w:r>
        <w:t>Ein einfaches Beispiel ist</w:t>
      </w:r>
    </w:p>
    <w:p w:rsidR="00E31D2E" w:rsidRDefault="00E31D2E" w:rsidP="00E31D2E">
      <w:pPr>
        <w:pStyle w:val="berschrift1"/>
      </w:pPr>
      <w:r>
        <w:t>[</w:t>
      </w:r>
      <w:r>
        <w:br/>
        <w:t>\mathcal{S}_{\mathrm{el}}</w:t>
      </w:r>
    </w:p>
    <w:p w:rsidR="00E31D2E" w:rsidRDefault="00E31D2E" w:rsidP="00E31D2E">
      <w:pPr>
        <w:pStyle w:val="StandardWeb"/>
      </w:pPr>
      <w:r>
        <w:lastRenderedPageBreak/>
        <w:t>{\delta_0,\delta_1,\delta_2}.</w:t>
      </w:r>
      <w:r>
        <w:br/>
        <w:t>]</w:t>
      </w:r>
    </w:p>
    <w:p w:rsidR="00E31D2E" w:rsidRDefault="00E31D2E" w:rsidP="00E31D2E">
      <w:pPr>
        <w:pStyle w:val="StandardWeb"/>
      </w:pPr>
      <w:r>
        <w:t>Diese Schreibweise sagt lediglich, dass drei unterscheidbare Elemente betrachtet werden. Sie sagt noch nicht:</w:t>
      </w:r>
    </w:p>
    <w:p w:rsidR="00E31D2E" w:rsidRDefault="00E31D2E" w:rsidP="00E31D2E">
      <w:pPr>
        <w:pStyle w:val="StandardWeb"/>
        <w:numPr>
          <w:ilvl w:val="0"/>
          <w:numId w:val="257"/>
        </w:numPr>
      </w:pPr>
      <w:r>
        <w:t>ob (\delta_0) neben (\delta_1) liegt,</w:t>
      </w:r>
    </w:p>
    <w:p w:rsidR="00E31D2E" w:rsidRDefault="00E31D2E" w:rsidP="00E31D2E">
      <w:pPr>
        <w:pStyle w:val="StandardWeb"/>
        <w:numPr>
          <w:ilvl w:val="0"/>
          <w:numId w:val="257"/>
        </w:numPr>
      </w:pPr>
      <w:r>
        <w:t>ob (\delta_1) nach (\delta_0) kommt,</w:t>
      </w:r>
    </w:p>
    <w:p w:rsidR="00E31D2E" w:rsidRDefault="00E31D2E" w:rsidP="00E31D2E">
      <w:pPr>
        <w:pStyle w:val="StandardWeb"/>
        <w:numPr>
          <w:ilvl w:val="0"/>
          <w:numId w:val="257"/>
        </w:numPr>
      </w:pPr>
      <w:r>
        <w:t>ob sich (\delta_0) in (\delta_1) verändern kann,</w:t>
      </w:r>
    </w:p>
    <w:p w:rsidR="00E31D2E" w:rsidRDefault="00E31D2E" w:rsidP="00E31D2E">
      <w:pPr>
        <w:pStyle w:val="StandardWeb"/>
        <w:numPr>
          <w:ilvl w:val="0"/>
          <w:numId w:val="257"/>
        </w:numPr>
      </w:pPr>
      <w:r>
        <w:t>ob (\delta_2) stärker oder schwächer als (\delta_1) ist,</w:t>
      </w:r>
    </w:p>
    <w:p w:rsidR="00E31D2E" w:rsidRDefault="00E31D2E" w:rsidP="00E31D2E">
      <w:pPr>
        <w:pStyle w:val="StandardWeb"/>
        <w:numPr>
          <w:ilvl w:val="0"/>
          <w:numId w:val="257"/>
        </w:numPr>
      </w:pPr>
      <w:r>
        <w:t>ob einer dieser Zustände eine physikalische Größe darstellt.</w:t>
      </w:r>
    </w:p>
    <w:p w:rsidR="00E31D2E" w:rsidRDefault="00E31D2E" w:rsidP="00E31D2E">
      <w:pPr>
        <w:pStyle w:val="StandardWeb"/>
      </w:pPr>
      <w:r>
        <w:t>Gerade diese Leere ist didaktisch wichtig. Der Leser soll sehen, wie wenig bereits vorausgesetzt werden muss, bevor die nächsten Strukturen eingeführt werden.</w:t>
      </w:r>
    </w:p>
    <w:p w:rsidR="00E31D2E" w:rsidRDefault="00E31D2E" w:rsidP="00E31D2E">
      <w:pPr>
        <w:pStyle w:val="StandardWeb"/>
      </w:pPr>
      <w:r>
        <w:t>Der Begriff „elementar“ kann außerdem mit einem Baustein verglichen werden. Ein Baustein ist innerhalb eines bestimmten Bauplans zunächst eine Einheit. Das bedeutet nicht, dass der Baustein in der Wirklichkeit nicht aus Molekülen oder Atomen besteht. Es bedeutet nur, dass seine innere Struktur für den aktuellen Bauplan zunächst nicht weiter aufgelöst wird.</w:t>
      </w:r>
    </w:p>
    <w:p w:rsidR="00E31D2E" w:rsidRDefault="00E31D2E" w:rsidP="00E31D2E">
      <w:pPr>
        <w:pStyle w:val="StandardWeb"/>
      </w:pPr>
      <w:r>
        <w:t>Damit wird verständlich, warum ein elementarer FRZK-Zustand nicht automatisch ein „kleinstes Ding der Natur“ ist. Er ist die kleinste aktuell verwendete funktionale Beschreibungseinheit innerhalb des jeweiligen Modellniveaus.</w:t>
      </w:r>
    </w:p>
    <w:p w:rsidR="00E31D2E" w:rsidRDefault="00E50336" w:rsidP="00E31D2E">
      <w:r>
        <w:pict>
          <v:rect id="_x0000_i1032" style="width:0;height:1.5pt" o:hralign="center" o:hrstd="t" o:hr="t" fillcolor="#a0a0a0" stroked="f"/>
        </w:pict>
      </w:r>
    </w:p>
    <w:p w:rsidR="00827127" w:rsidRPr="00AF32B2" w:rsidRDefault="00827127" w:rsidP="00AF32B2">
      <w:pPr>
        <w:pStyle w:val="berschrift3"/>
      </w:pPr>
      <w:r w:rsidRPr="00AF32B2">
        <w:t>3.3.8 Primäraxiom der funktionalen Relationierbarkeit</w:t>
      </w:r>
    </w:p>
    <w:p w:rsidR="00827127" w:rsidRDefault="00827127" w:rsidP="00827127">
      <w:pPr>
        <w:pStyle w:val="StandardWeb"/>
      </w:pPr>
      <w:r>
        <w:t>Mit Definition 3.3.1 steht erstmals ein abgegrenzter funktionaler Gegenstandsbereich zur Verfügung. Die Menge (\mathcal{S}_{\mathrm{el}}) enthält genau diejenigen unterscheidbaren Bestimmungen, deren funktionale Wirksamkeit durch (\omega(\delta)=1) gekennzeichnet ist. Aus dieser Bestimmbarkeit folgt jedoch noch nicht, dass zwischen zwei elementaren funktionalen Zuständen eine funktional wirksame Beziehung bestehen kann. Die Mengenlehre stellt mit dem kartesischen Produkt lediglich alle formal möglichen geordneten Paare bereit; erst eine ausgewählte Relation bestimmt, welche Paare tatsächlich miteinander verknüpft werden [6].</w:t>
      </w:r>
    </w:p>
    <w:p w:rsidR="00827127" w:rsidRDefault="00827127" w:rsidP="00827127">
      <w:pPr>
        <w:pStyle w:val="StandardWeb"/>
      </w:pPr>
      <w:r>
        <w:t>Kategorien und Morphismen erweitern den Relationsbegriff auf allgemeine strukturerhaltende Abbildungen und Kompositionszusammenhänge [78]. Auch diese mathematischen Werkzeuge entscheiden jedoch nicht, ob eine konkrete Beziehung innerhalb des FRZK funktional relevant ist. Eine formale Relation kann bestehen, ohne dass ihr Vorliegen für irgendeine weitere Bestimmung des Systems einen Unterschied erzeugt. Genau diese noch unbegründete Möglichkeit funktional wirksamer Verbindung bildet den Gegenstand des zweiten Primäraxioms.</w:t>
      </w:r>
    </w:p>
    <w:p w:rsidR="00827127" w:rsidRPr="00AF32B2" w:rsidRDefault="00827127" w:rsidP="00AF32B2">
      <w:pPr>
        <w:pStyle w:val="berschrift4"/>
      </w:pPr>
      <w:r w:rsidRPr="00AF32B2">
        <w:t>3.3.8.1 Sprachliche Formulierung</w:t>
      </w:r>
    </w:p>
    <w:p w:rsidR="00827127" w:rsidRDefault="00827127" w:rsidP="00827127">
      <w:pPr>
        <w:pStyle w:val="StandardWeb"/>
      </w:pPr>
      <w:r>
        <w:rPr>
          <w:rStyle w:val="Fett"/>
        </w:rPr>
        <w:t>Primäraxiom II – Funktionale Relationierbarkeit</w:t>
      </w:r>
    </w:p>
    <w:p w:rsidR="00827127" w:rsidRDefault="00827127" w:rsidP="00827127">
      <w:pPr>
        <w:pStyle w:val="StandardWeb"/>
      </w:pPr>
      <w:r>
        <w:lastRenderedPageBreak/>
        <w:t>Zwischen mindestens zwei elementaren funktionalen Zuständen kann eine Beziehung bestehen, deren Vorliegen oder Nichtvorliegen für mindestens eine weitere mögliche Bestimmung nicht gleichgültig ist.</w:t>
      </w:r>
    </w:p>
    <w:p w:rsidR="00827127" w:rsidRDefault="00827127" w:rsidP="00827127">
      <w:pPr>
        <w:pStyle w:val="StandardWeb"/>
      </w:pPr>
      <w:r>
        <w:rPr>
          <w:rStyle w:val="Fett"/>
        </w:rPr>
        <w:t>Eigenleistung des FRZK</w:t>
      </w:r>
    </w:p>
    <w:p w:rsidR="00827127" w:rsidRDefault="00827127" w:rsidP="00827127">
      <w:pPr>
        <w:pStyle w:val="StandardWeb"/>
      </w:pPr>
      <w:r>
        <w:t>Mit diesem Primäraxiom behaupte ich nicht, dass jeder elementare funktionale Zustand mit jedem anderen Zustand verbunden sein muss. Ebenso wenig wird eine vollständige Vernetzung, Symmetrie, Gerichtetheit, Transitivität oder Kausalität vorausgesetzt. Das Axiom legt ausschließlich fest, dass eine funktional wirksame Beziehung zwischen elementaren funktionalen Zuständen grundsätzlich möglich ist.</w:t>
      </w:r>
    </w:p>
    <w:p w:rsidR="00827127" w:rsidRDefault="00827127" w:rsidP="00827127">
      <w:pPr>
        <w:pStyle w:val="StandardWeb"/>
      </w:pPr>
      <w:r>
        <w:t>Der Ausdruck „kann“ bleibt auch hier wesentlich. Primäraxiom II begründet die Möglichkeit funktionaler Relationierbarkeit, nicht ihre universelle Verwirklichung. Einzelne Zustände dürfen weiterhin isoliert bleiben, und konkrete Relationen können fehlen, ohne dass dadurch Primäraxiom II verletzt wird.</w:t>
      </w:r>
    </w:p>
    <w:p w:rsidR="00827127" w:rsidRPr="00AF32B2" w:rsidRDefault="00827127" w:rsidP="00AF32B2">
      <w:pPr>
        <w:pStyle w:val="berschrift4"/>
      </w:pPr>
      <w:r w:rsidRPr="00AF32B2">
        <w:t>3.3.8.2 Mathematische Vorbereitung</w:t>
      </w:r>
    </w:p>
    <w:p w:rsidR="00827127" w:rsidRDefault="00827127" w:rsidP="00827127">
      <w:pPr>
        <w:pStyle w:val="StandardWeb"/>
      </w:pPr>
      <w:r>
        <w:t>Aus Definition 3.3.1 ist die Menge der elementaren funktionalen Zustände bekannt. Das kartesische Produkt</w:t>
      </w:r>
    </w:p>
    <w:p w:rsidR="00827127" w:rsidRDefault="00827127" w:rsidP="00827127">
      <w:pPr>
        <w:pStyle w:val="StandardWeb"/>
      </w:pPr>
      <w:r>
        <w:t>[</w:t>
      </w:r>
      <w:r>
        <w:br/>
        <w:t>\mathcal{S}</w:t>
      </w:r>
      <w:r>
        <w:rPr>
          <w:rStyle w:val="Hervorhebung"/>
        </w:rPr>
        <w:t>{\mathrm{el}}\times\mathcal{S}</w:t>
      </w:r>
      <w:r>
        <w:t>{\mathrm{el}}</w:t>
      </w:r>
      <w:r>
        <w:br/>
        <w:t>\tag{3.4008}</w:t>
      </w:r>
      <w:r>
        <w:br/>
        <w:t>]</w:t>
      </w:r>
    </w:p>
    <w:p w:rsidR="00827127" w:rsidRDefault="00827127" w:rsidP="00827127">
      <w:pPr>
        <w:pStyle w:val="StandardWeb"/>
      </w:pPr>
      <w:r>
        <w:rPr>
          <w:rStyle w:val="Fett"/>
        </w:rPr>
        <w:t>Word-LaTeX</w:t>
      </w:r>
    </w:p>
    <w:p w:rsidR="00827127" w:rsidRDefault="00827127" w:rsidP="00827127">
      <w:pPr>
        <w:pStyle w:val="HTMLVorformatiert"/>
        <w:rPr>
          <w:rStyle w:val="HTMLCode"/>
        </w:rPr>
      </w:pPr>
      <w:r>
        <w:rPr>
          <w:rStyle w:val="HTMLCode"/>
        </w:rPr>
        <w:t>\mathcal{S}_{\mathrm{el}}\times\mathcal{S}_{\mathrm{el}}\qquad\text{(3.4008)}</w:t>
      </w:r>
    </w:p>
    <w:p w:rsidR="00827127" w:rsidRDefault="00827127" w:rsidP="00827127">
      <w:pPr>
        <w:pStyle w:val="StandardWeb"/>
      </w:pPr>
      <w:r>
        <w:t>enthält alle formal möglichen geordneten Paare elementarer funktionaler Zustände. Gleichung (3.4008) beschreibt noch keine Relation, sondern nur den mathematischen Bereich, aus dem eine Relation ausgewählt werden kann [6].</w:t>
      </w:r>
    </w:p>
    <w:p w:rsidR="00827127" w:rsidRDefault="00827127" w:rsidP="00827127">
      <w:pPr>
        <w:pStyle w:val="StandardWeb"/>
      </w:pPr>
      <w:r>
        <w:t>Eine binäre Relation (\mathcal{R}) auf (\mathcal{S}_{\mathrm{el}}) ist deshalb zunächst eine Teilmenge dieses kartesischen Produkts:</w:t>
      </w:r>
    </w:p>
    <w:p w:rsidR="00827127" w:rsidRDefault="00827127" w:rsidP="00827127">
      <w:pPr>
        <w:pStyle w:val="StandardWeb"/>
      </w:pPr>
      <w:r>
        <w:t>[</w:t>
      </w:r>
      <w:r>
        <w:br/>
        <w:t>\mathcal{R}\subseteq</w:t>
      </w:r>
      <w:r>
        <w:br/>
        <w:t>\mathcal{S}</w:t>
      </w:r>
      <w:r>
        <w:rPr>
          <w:rStyle w:val="Hervorhebung"/>
        </w:rPr>
        <w:t>{\mathrm{el}}\times\mathcal{S}</w:t>
      </w:r>
      <w:r>
        <w:t>{\mathrm{el}}.</w:t>
      </w:r>
      <w:r>
        <w:br/>
        <w:t>\tag{3.4009}</w:t>
      </w:r>
      <w:r>
        <w:br/>
        <w:t>]</w:t>
      </w:r>
    </w:p>
    <w:p w:rsidR="00827127" w:rsidRDefault="00827127" w:rsidP="00827127">
      <w:pPr>
        <w:pStyle w:val="StandardWeb"/>
      </w:pPr>
      <w:r>
        <w:rPr>
          <w:rStyle w:val="Fett"/>
        </w:rPr>
        <w:t>Word-LaTeX</w:t>
      </w:r>
    </w:p>
    <w:p w:rsidR="00827127" w:rsidRDefault="00827127" w:rsidP="00827127">
      <w:pPr>
        <w:pStyle w:val="HTMLVorformatiert"/>
        <w:rPr>
          <w:rStyle w:val="HTMLCode"/>
        </w:rPr>
      </w:pPr>
      <w:r>
        <w:rPr>
          <w:rStyle w:val="HTMLCode"/>
        </w:rPr>
        <w:t>\mathcal{R}\subseteq\mathcal{S}_{\mathrm{el}}\times\mathcal{S}_{\mathrm{el}}\qquad\text{(3.4009)}</w:t>
      </w:r>
    </w:p>
    <w:p w:rsidR="00827127" w:rsidRDefault="00827127" w:rsidP="00827127">
      <w:pPr>
        <w:pStyle w:val="StandardWeb"/>
      </w:pPr>
      <w:r>
        <w:t>Dabei bezeichnet:</w:t>
      </w:r>
    </w:p>
    <w:p w:rsidR="00827127" w:rsidRDefault="00827127" w:rsidP="00632D23">
      <w:pPr>
        <w:pStyle w:val="StandardWeb"/>
        <w:numPr>
          <w:ilvl w:val="0"/>
          <w:numId w:val="26"/>
        </w:numPr>
      </w:pPr>
      <w:r>
        <w:lastRenderedPageBreak/>
        <w:t>(\mathcal{R}) eine binäre Relation auf (\mathcal{S}_{\mathrm{el}}),</w:t>
      </w:r>
    </w:p>
    <w:p w:rsidR="00827127" w:rsidRDefault="00827127" w:rsidP="00632D23">
      <w:pPr>
        <w:pStyle w:val="StandardWeb"/>
        <w:numPr>
          <w:ilvl w:val="0"/>
          <w:numId w:val="26"/>
        </w:numPr>
      </w:pPr>
      <w:r>
        <w:t>(\subseteq) die Teilmengenrelation,</w:t>
      </w:r>
    </w:p>
    <w:p w:rsidR="00827127" w:rsidRDefault="00827127" w:rsidP="00632D23">
      <w:pPr>
        <w:pStyle w:val="StandardWeb"/>
        <w:numPr>
          <w:ilvl w:val="0"/>
          <w:numId w:val="26"/>
        </w:numPr>
      </w:pPr>
      <w:r>
        <w:t>(\mathcal{S}</w:t>
      </w:r>
      <w:r>
        <w:rPr>
          <w:rStyle w:val="Hervorhebung"/>
        </w:rPr>
        <w:t>{\mathrm{el}}\times\mathcal{S}</w:t>
      </w:r>
      <w:r>
        <w:t>{\mathrm{el}}) die Menge aller formal möglichen geordneten Zustandspaare.</w:t>
      </w:r>
    </w:p>
    <w:p w:rsidR="00827127" w:rsidRDefault="00827127" w:rsidP="00827127">
      <w:pPr>
        <w:pStyle w:val="StandardWeb"/>
      </w:pPr>
      <w:r>
        <w:t>Gleichung (3.4009) ist vollständig durch die etablierte Mengenlehre gedeckt [6]. Sie enthält noch keinen FRZK-spezifischen Aussagegehalt. Insbesondere folgt daraus nicht, dass (\mathcal{R}) funktional wirksam ist.</w:t>
      </w:r>
    </w:p>
    <w:p w:rsidR="00827127" w:rsidRPr="00AF32B2" w:rsidRDefault="00827127" w:rsidP="00AF32B2">
      <w:pPr>
        <w:pStyle w:val="berschrift4"/>
      </w:pPr>
      <w:r w:rsidRPr="00AF32B2">
        <w:t>3.3.8.3 Wirksamkeitsprädikat für Relationen</w:t>
      </w:r>
    </w:p>
    <w:p w:rsidR="00827127" w:rsidRDefault="00827127" w:rsidP="00827127">
      <w:pPr>
        <w:pStyle w:val="StandardWeb"/>
      </w:pPr>
      <w:r>
        <w:t>Um zwischen einer bloß mathematischen und einer funktional wirksamen Relation zu unterscheiden, führe ich ein binäres Wirksamkeitsprädikat für Relationen ein. Ich bezeichne es mit (\rho).</w:t>
      </w:r>
    </w:p>
    <w:p w:rsidR="00827127" w:rsidRDefault="00827127" w:rsidP="00827127">
      <w:pPr>
        <w:pStyle w:val="StandardWeb"/>
      </w:pPr>
      <w:r>
        <w:t>[</w:t>
      </w:r>
      <w:r>
        <w:br/>
        <w:t>\rho:\mathcal{P}</w:t>
      </w:r>
      <w:r>
        <w:br/>
        <w:t>\left(</w:t>
      </w:r>
      <w:r>
        <w:br/>
        <w:t>\mathcal{S}</w:t>
      </w:r>
      <w:r>
        <w:rPr>
          <w:rStyle w:val="Hervorhebung"/>
        </w:rPr>
        <w:t>{\mathrm{el}}\times\mathcal{S}</w:t>
      </w:r>
      <w:r>
        <w:t>{\mathrm{el}}</w:t>
      </w:r>
      <w:r>
        <w:br/>
        <w:t>\right)</w:t>
      </w:r>
      <w:r>
        <w:br/>
        <w:t>\rightarrow</w:t>
      </w:r>
      <w:r>
        <w:br/>
        <w:t>{0,1}.</w:t>
      </w:r>
      <w:r>
        <w:br/>
        <w:t>\tag{3.4010}</w:t>
      </w:r>
      <w:r>
        <w:br/>
        <w:t>]</w:t>
      </w:r>
    </w:p>
    <w:p w:rsidR="00827127" w:rsidRDefault="00827127" w:rsidP="00827127">
      <w:pPr>
        <w:pStyle w:val="StandardWeb"/>
      </w:pPr>
      <w:r>
        <w:rPr>
          <w:rStyle w:val="Fett"/>
        </w:rPr>
        <w:t>Word-LaTeX</w:t>
      </w:r>
    </w:p>
    <w:p w:rsidR="00827127" w:rsidRDefault="00827127" w:rsidP="00827127">
      <w:pPr>
        <w:pStyle w:val="HTMLVorformatiert"/>
        <w:rPr>
          <w:rStyle w:val="HTMLCode"/>
        </w:rPr>
      </w:pPr>
      <w:r>
        <w:rPr>
          <w:rStyle w:val="HTMLCode"/>
        </w:rPr>
        <w:t>\rho:\mathcal{P}\left(\mathcal{S}_{\mathrm{el}}\times\mathcal{S}_{\mathrm{el}}\right)\rightarrow\{0,1\}\qquad\text{(3.4010)}</w:t>
      </w:r>
    </w:p>
    <w:p w:rsidR="00827127" w:rsidRDefault="00827127" w:rsidP="00827127">
      <w:pPr>
        <w:pStyle w:val="StandardWeb"/>
      </w:pPr>
      <w:r>
        <w:t>Dabei bezeichnet:</w:t>
      </w:r>
    </w:p>
    <w:p w:rsidR="00827127" w:rsidRDefault="00827127" w:rsidP="00632D23">
      <w:pPr>
        <w:pStyle w:val="StandardWeb"/>
        <w:numPr>
          <w:ilvl w:val="0"/>
          <w:numId w:val="27"/>
        </w:numPr>
      </w:pPr>
      <w:r>
        <w:t>(\rho) das Prädikat funktionaler Relationswirksamkeit,</w:t>
      </w:r>
    </w:p>
    <w:p w:rsidR="00827127" w:rsidRDefault="00827127" w:rsidP="00632D23">
      <w:pPr>
        <w:pStyle w:val="StandardWeb"/>
        <w:numPr>
          <w:ilvl w:val="0"/>
          <w:numId w:val="27"/>
        </w:numPr>
      </w:pPr>
      <w:r>
        <w:t>(\mathcal{P}(\cdot)) die Potenzmenge,</w:t>
      </w:r>
    </w:p>
    <w:p w:rsidR="00827127" w:rsidRDefault="00827127" w:rsidP="00632D23">
      <w:pPr>
        <w:pStyle w:val="StandardWeb"/>
        <w:numPr>
          <w:ilvl w:val="0"/>
          <w:numId w:val="27"/>
        </w:numPr>
      </w:pPr>
      <w:r>
        <w:t>(\mathcal{P}(\mathcal{S}</w:t>
      </w:r>
      <w:r>
        <w:rPr>
          <w:rStyle w:val="Hervorhebung"/>
        </w:rPr>
        <w:t>{\mathrm{el}}\times\mathcal{S}</w:t>
      </w:r>
      <w:r>
        <w:t>{\mathrm{el}})) die Menge aller möglichen Relationen auf (\mathcal{S}_{\mathrm{el}}),</w:t>
      </w:r>
    </w:p>
    <w:p w:rsidR="00827127" w:rsidRDefault="00827127" w:rsidP="00632D23">
      <w:pPr>
        <w:pStyle w:val="StandardWeb"/>
        <w:numPr>
          <w:ilvl w:val="0"/>
          <w:numId w:val="27"/>
        </w:numPr>
      </w:pPr>
      <w:r>
        <w:t>(0) das Nichtvorliegen funktionaler Relationswirksamkeit,</w:t>
      </w:r>
    </w:p>
    <w:p w:rsidR="00827127" w:rsidRDefault="00827127" w:rsidP="00632D23">
      <w:pPr>
        <w:pStyle w:val="StandardWeb"/>
        <w:numPr>
          <w:ilvl w:val="0"/>
          <w:numId w:val="27"/>
        </w:numPr>
      </w:pPr>
      <w:r>
        <w:t>(1) das Vorliegen funktionaler Relationswirksamkeit.</w:t>
      </w:r>
    </w:p>
    <w:p w:rsidR="00827127" w:rsidRDefault="00827127" w:rsidP="00827127">
      <w:pPr>
        <w:pStyle w:val="StandardWeb"/>
      </w:pPr>
      <w:r>
        <w:rPr>
          <w:rStyle w:val="Fett"/>
        </w:rPr>
        <w:t>Eigenleistung des FRZK</w:t>
      </w:r>
    </w:p>
    <w:p w:rsidR="00827127" w:rsidRDefault="00827127" w:rsidP="00827127">
      <w:pPr>
        <w:pStyle w:val="StandardWeb"/>
      </w:pPr>
      <w:r>
        <w:t>Ich verwende (\rho) nicht als Operator auf Zuständen. Es verändert weder einen Zustand noch eine Relation. Es kennzeichnet ausschließlich, ob das Vorliegen oder Nichtvorliegen einer Relation für mindestens eine weitere mögliche Bestimmung funktional relevant ist.</w:t>
      </w:r>
    </w:p>
    <w:p w:rsidR="00827127" w:rsidRDefault="00827127" w:rsidP="00827127">
      <w:pPr>
        <w:pStyle w:val="StandardWeb"/>
      </w:pPr>
      <w:r>
        <w:t>Das Prädikat (\rho) ist damit analog zu (\omega), besitzt jedoch einen anderen Gegenstandsbereich. Während (\omega) die Wirksamkeit einzelner unterscheidbarer Bestimmungen kennzeichnet, bewertet (\rho) die funktionale Wirksamkeit einer Relation.</w:t>
      </w:r>
    </w:p>
    <w:p w:rsidR="00827127" w:rsidRPr="00AF32B2" w:rsidRDefault="00827127" w:rsidP="00AF32B2">
      <w:pPr>
        <w:pStyle w:val="berschrift4"/>
      </w:pPr>
      <w:r w:rsidRPr="00AF32B2">
        <w:t>3.3.8.4 Minimale mathematische Repräsentation</w:t>
      </w:r>
    </w:p>
    <w:p w:rsidR="00827127" w:rsidRDefault="00827127" w:rsidP="00827127">
      <w:pPr>
        <w:pStyle w:val="StandardWeb"/>
      </w:pPr>
      <w:r>
        <w:lastRenderedPageBreak/>
        <w:t>Primäraxiom II wird durch folgende Existenzbehauptung formalisiert:</w:t>
      </w:r>
    </w:p>
    <w:p w:rsidR="00827127" w:rsidRDefault="00827127" w:rsidP="00827127">
      <w:pPr>
        <w:pStyle w:val="StandardWeb"/>
      </w:pPr>
      <w:r>
        <w:t>[</w:t>
      </w:r>
      <w:r>
        <w:br/>
        <w:t>\exists \mathcal{R}\subseteq</w:t>
      </w:r>
      <w:r>
        <w:br/>
        <w:t>\mathcal{S}</w:t>
      </w:r>
      <w:r>
        <w:rPr>
          <w:rStyle w:val="Hervorhebung"/>
        </w:rPr>
        <w:t>{\mathrm{el}}\times\mathcal{S}</w:t>
      </w:r>
      <w:r>
        <w:t>{\mathrm{el}}</w:t>
      </w:r>
      <w:r>
        <w:br/>
        <w:t>:</w:t>
      </w:r>
      <w:r>
        <w:br/>
        <w:t>\rho(\mathcal{R})=1.</w:t>
      </w:r>
      <w:r>
        <w:br/>
        <w:t>\tag{3.4011}</w:t>
      </w:r>
      <w:r>
        <w:br/>
        <w:t>]</w:t>
      </w:r>
    </w:p>
    <w:p w:rsidR="00827127" w:rsidRDefault="00827127" w:rsidP="00827127">
      <w:pPr>
        <w:pStyle w:val="StandardWeb"/>
      </w:pPr>
      <w:r>
        <w:rPr>
          <w:rStyle w:val="Fett"/>
        </w:rPr>
        <w:t>Word-LaTeX</w:t>
      </w:r>
    </w:p>
    <w:p w:rsidR="00827127" w:rsidRDefault="00827127" w:rsidP="00827127">
      <w:pPr>
        <w:pStyle w:val="HTMLVorformatiert"/>
        <w:rPr>
          <w:rStyle w:val="HTMLCode"/>
        </w:rPr>
      </w:pPr>
      <w:r>
        <w:rPr>
          <w:rStyle w:val="HTMLCode"/>
        </w:rPr>
        <w:t>\exists \mathcal{R}\subseteq\mathcal{S}_{\mathrm{el}}\times\mathcal{S}_{\mathrm{el}}:\rho(\mathcal{R})=1\qquad\text{(3.4011)}</w:t>
      </w:r>
    </w:p>
    <w:p w:rsidR="00827127" w:rsidRDefault="00827127" w:rsidP="00827127">
      <w:pPr>
        <w:pStyle w:val="StandardWeb"/>
      </w:pPr>
      <w:r>
        <w:t>Dabei bezeichnet:</w:t>
      </w:r>
    </w:p>
    <w:p w:rsidR="00827127" w:rsidRDefault="00827127" w:rsidP="00632D23">
      <w:pPr>
        <w:pStyle w:val="StandardWeb"/>
        <w:numPr>
          <w:ilvl w:val="0"/>
          <w:numId w:val="28"/>
        </w:numPr>
      </w:pPr>
      <w:r>
        <w:t>(\exists) die Existenz mindestens einer Relation,</w:t>
      </w:r>
    </w:p>
    <w:p w:rsidR="00827127" w:rsidRDefault="00827127" w:rsidP="00632D23">
      <w:pPr>
        <w:pStyle w:val="StandardWeb"/>
        <w:numPr>
          <w:ilvl w:val="0"/>
          <w:numId w:val="28"/>
        </w:numPr>
      </w:pPr>
      <w:r>
        <w:t>(\mathcal{R}) eine Teilmenge des kartesischen Produkts,</w:t>
      </w:r>
    </w:p>
    <w:p w:rsidR="00827127" w:rsidRDefault="00827127" w:rsidP="00632D23">
      <w:pPr>
        <w:pStyle w:val="StandardWeb"/>
        <w:numPr>
          <w:ilvl w:val="0"/>
          <w:numId w:val="28"/>
        </w:numPr>
      </w:pPr>
      <w:r>
        <w:t>(\rho(\mathcal{R})=1) das Vorliegen funktionaler Relationswirksamkeit.</w:t>
      </w:r>
    </w:p>
    <w:p w:rsidR="00827127" w:rsidRDefault="00827127" w:rsidP="00827127">
      <w:pPr>
        <w:pStyle w:val="StandardWeb"/>
      </w:pPr>
      <w:r>
        <w:t>Gleichung (3.4011) behauptet nicht, dass sämtliche mathematischen Relationen funktional wirksam sind. Sie garantiert ausschließlich, dass mindestens eine Relation mit dieser Eigenschaft möglich ist.</w:t>
      </w:r>
    </w:p>
    <w:p w:rsidR="00827127" w:rsidRDefault="00827127" w:rsidP="00827127">
      <w:pPr>
        <w:pStyle w:val="StandardWeb"/>
      </w:pPr>
      <w:r>
        <w:rPr>
          <w:rStyle w:val="Fett"/>
        </w:rPr>
        <w:t>Eigenleistung des FRZK</w:t>
      </w:r>
    </w:p>
    <w:p w:rsidR="00827127" w:rsidRDefault="00827127" w:rsidP="00827127">
      <w:pPr>
        <w:pStyle w:val="StandardWeb"/>
      </w:pPr>
      <w:r>
        <w:t>Der neue axiomatische Inhalt liegt nicht in der Existenz mathematischer Relationen. Diese ist bereits durch die Mengenlehre vorbereitet [6]. Neu ist die Existenz mindestens einer Relation, deren Vorliegen oder Nichtvorliegen funktional relevant sein kann.</w:t>
      </w:r>
    </w:p>
    <w:p w:rsidR="00827127" w:rsidRPr="00AF32B2" w:rsidRDefault="00827127" w:rsidP="00AF32B2">
      <w:pPr>
        <w:pStyle w:val="berschrift4"/>
      </w:pPr>
      <w:r w:rsidRPr="00AF32B2">
        <w:t>3.3.8.5 Begründung der axiomatischen Notwendigkeit</w:t>
      </w:r>
    </w:p>
    <w:p w:rsidR="00827127" w:rsidRDefault="00827127" w:rsidP="00827127">
      <w:pPr>
        <w:pStyle w:val="StandardWeb"/>
      </w:pPr>
      <w:r>
        <w:t>Eine Definition könnte festlegen, dass jede Relation (\mathcal{R}) mit (\rho(\mathcal{R})=1) als funktionale Relation bezeichnet wird. Diese Definition könnte jedoch nicht sichern, dass mindestens eine solche Relation existiert. Ohne Primäraxiom II wäre deshalb auch der Fall möglich, dass alle mathematisch zulässigen Relationen den Wert (0) erhalten.</w:t>
      </w:r>
    </w:p>
    <w:p w:rsidR="00827127" w:rsidRDefault="00827127" w:rsidP="00827127">
      <w:pPr>
        <w:pStyle w:val="StandardWeb"/>
      </w:pPr>
      <w:r>
        <w:t>Die mathematische Existenz eines kartesischen Produkts oder einer Relation erzeugt keine funktionale Wirksamkeit [6]. Ebenso legt die kategorientheoretische Existenz eines Morphismus noch nicht fest, welche wissenschaftliche Bedeutung dieser innerhalb eines konkreten Modells besitzt [78]. Die funktionale Relevanz einer Verbindung ist daher nicht aus den mathematischen Grundlagen ableitbar.</w:t>
      </w:r>
    </w:p>
    <w:p w:rsidR="00827127" w:rsidRDefault="00827127" w:rsidP="00827127">
      <w:pPr>
        <w:pStyle w:val="StandardWeb"/>
      </w:pPr>
      <w:r>
        <w:rPr>
          <w:rStyle w:val="Fett"/>
        </w:rPr>
        <w:t>Eigenleistung des FRZK</w:t>
      </w:r>
    </w:p>
    <w:p w:rsidR="00827127" w:rsidRDefault="00827127" w:rsidP="00827127">
      <w:pPr>
        <w:pStyle w:val="StandardWeb"/>
      </w:pPr>
      <w:r>
        <w:t>Ich kennzeichne Gleichung (3.4011) deshalb als zweite axiomatische Existenzsetzung. Primäraxiom II schließt den vollständig relationsunwirksamen Fall aus, ohne eine bestimmte Relationsstruktur vorzuschreiben.</w:t>
      </w:r>
    </w:p>
    <w:p w:rsidR="00827127" w:rsidRPr="00AF32B2" w:rsidRDefault="00827127" w:rsidP="00AF32B2">
      <w:pPr>
        <w:pStyle w:val="berschrift4"/>
      </w:pPr>
      <w:r w:rsidRPr="00AF32B2">
        <w:lastRenderedPageBreak/>
        <w:t>3.3.8.6 Unabhängigkeit von Primäraxiom I</w:t>
      </w:r>
    </w:p>
    <w:p w:rsidR="00827127" w:rsidRDefault="00827127" w:rsidP="00827127">
      <w:pPr>
        <w:pStyle w:val="StandardWeb"/>
      </w:pPr>
      <w:r>
        <w:t>Primäraxiom I garantiert mindestens eine funktional wirksame Bestimmung. Daraus folgt nicht, dass mehrere solche Bestimmungen existieren. Ebenso folgt daraus nicht, dass zwischen ihnen eine funktional wirksame Relation bestehen kann.</w:t>
      </w:r>
    </w:p>
    <w:p w:rsidR="00827127" w:rsidRDefault="00827127" w:rsidP="00827127">
      <w:pPr>
        <w:pStyle w:val="StandardWeb"/>
      </w:pPr>
      <w:r>
        <w:t>Für eine nichtleere Menge mit genau einem Element ist das kartesische Produkt zwar nicht leer, enthält aber nur das geordnete Paar des Elements mit sich selbst. Ob eine Selbstrelation funktional wirksam ist, bleibt durch Primäraxiom I vollständig offen [6].</w:t>
      </w:r>
    </w:p>
    <w:p w:rsidR="00827127" w:rsidRDefault="00827127" w:rsidP="00827127">
      <w:pPr>
        <w:pStyle w:val="StandardWeb"/>
      </w:pPr>
      <w:r>
        <w:rPr>
          <w:rStyle w:val="Fett"/>
        </w:rPr>
        <w:t>Eigenleistung des FRZK</w:t>
      </w:r>
    </w:p>
    <w:p w:rsidR="00827127" w:rsidRDefault="00827127" w:rsidP="00827127">
      <w:pPr>
        <w:pStyle w:val="StandardWeb"/>
      </w:pPr>
      <w:r>
        <w:t>Primäraxiom II besitzt deshalb einen eigenständigen Aussagegehalt. Es erweitert den Gegenstandsbereich des FRZK von funktional wirksamer Bestimmbarkeit zu funktional wirksamer Relationierbarkeit.</w:t>
      </w:r>
    </w:p>
    <w:p w:rsidR="00827127" w:rsidRDefault="00827127" w:rsidP="00827127">
      <w:pPr>
        <w:pStyle w:val="StandardWeb"/>
      </w:pPr>
      <w:r>
        <w:t>Dabei muss jedoch nicht vorausgesetzt werden, dass zwei verschiedene Zustände existieren. Primäraxiom II lässt grundsätzlich auch Selbstrelationen zu. Ob funktionale Relationierbarkeit später auf verschiedene Zustände beschränkt werden soll, ist eine Definitionsfrage und darf nicht unbemerkt Bestandteil des Axioms werden.</w:t>
      </w:r>
    </w:p>
    <w:p w:rsidR="00827127" w:rsidRPr="00AF32B2" w:rsidRDefault="00827127" w:rsidP="00AF32B2">
      <w:pPr>
        <w:pStyle w:val="berschrift4"/>
      </w:pPr>
      <w:r w:rsidRPr="00AF32B2">
        <w:t>3.3.8.7 Relation zwischen verschiedenen Zuständen</w:t>
      </w:r>
    </w:p>
    <w:p w:rsidR="00827127" w:rsidRDefault="00827127" w:rsidP="00827127">
      <w:pPr>
        <w:pStyle w:val="StandardWeb"/>
      </w:pPr>
      <w:r>
        <w:t>Für bestimmte spätere Konstruktionen kann es erforderlich sein, ausschließlich Beziehungen zwischen verschiedenen elementaren funktionalen Zuständen zu betrachten. Eine solche Relation erfüllt zusätzlich</w:t>
      </w:r>
    </w:p>
    <w:p w:rsidR="00827127" w:rsidRDefault="00827127" w:rsidP="00827127">
      <w:pPr>
        <w:pStyle w:val="StandardWeb"/>
      </w:pPr>
      <w:r>
        <w:t>[</w:t>
      </w:r>
      <w:r>
        <w:br/>
        <w:t>(\delta_i,\delta_j)\in\mathcal{R}</w:t>
      </w:r>
      <w:r>
        <w:br/>
        <w:t>\quad\text{mit}\quad</w:t>
      </w:r>
      <w:r>
        <w:br/>
        <w:t>\delta_i\neq\delta_j.</w:t>
      </w:r>
      <w:r>
        <w:br/>
        <w:t>\tag{3.4012}</w:t>
      </w:r>
      <w:r>
        <w:br/>
        <w:t>]</w:t>
      </w:r>
    </w:p>
    <w:p w:rsidR="00827127" w:rsidRDefault="00827127" w:rsidP="00827127">
      <w:pPr>
        <w:pStyle w:val="StandardWeb"/>
      </w:pPr>
      <w:r>
        <w:rPr>
          <w:rStyle w:val="Fett"/>
        </w:rPr>
        <w:t>Word-LaTeX</w:t>
      </w:r>
    </w:p>
    <w:p w:rsidR="00827127" w:rsidRDefault="00827127" w:rsidP="00827127">
      <w:pPr>
        <w:pStyle w:val="HTMLVorformatiert"/>
        <w:rPr>
          <w:rStyle w:val="HTMLCode"/>
        </w:rPr>
      </w:pPr>
      <w:r>
        <w:rPr>
          <w:rStyle w:val="HTMLCode"/>
        </w:rPr>
        <w:t>(\delta_i,\delta_j)\in\mathcal{R}\quad\text{mit}\quad\delta_i\neq\delta_j\qquad\text{(3.4012)}</w:t>
      </w:r>
    </w:p>
    <w:p w:rsidR="00827127" w:rsidRDefault="00827127" w:rsidP="00827127">
      <w:pPr>
        <w:pStyle w:val="StandardWeb"/>
      </w:pPr>
      <w:r>
        <w:t>Dabei bezeichnet:</w:t>
      </w:r>
    </w:p>
    <w:p w:rsidR="00827127" w:rsidRDefault="00827127" w:rsidP="00632D23">
      <w:pPr>
        <w:pStyle w:val="StandardWeb"/>
        <w:numPr>
          <w:ilvl w:val="0"/>
          <w:numId w:val="29"/>
        </w:numPr>
      </w:pPr>
      <w:r>
        <w:t>(\delta_i,\delta_j\in\mathcal{S}_{\mathrm{el}}) zwei elementare funktionale Zustände,</w:t>
      </w:r>
    </w:p>
    <w:p w:rsidR="00827127" w:rsidRDefault="00827127" w:rsidP="00632D23">
      <w:pPr>
        <w:pStyle w:val="StandardWeb"/>
        <w:numPr>
          <w:ilvl w:val="0"/>
          <w:numId w:val="29"/>
        </w:numPr>
      </w:pPr>
      <w:r>
        <w:t>(i) und (j) reine Kennzeichnungen ohne Zeitbedeutung,</w:t>
      </w:r>
    </w:p>
    <w:p w:rsidR="00827127" w:rsidRDefault="00827127" w:rsidP="00632D23">
      <w:pPr>
        <w:pStyle w:val="StandardWeb"/>
        <w:numPr>
          <w:ilvl w:val="0"/>
          <w:numId w:val="29"/>
        </w:numPr>
      </w:pPr>
      <w:r>
        <w:t>(\delta_i\neq\delta_j) ihre Verschiedenheit.</w:t>
      </w:r>
    </w:p>
    <w:p w:rsidR="00827127" w:rsidRDefault="00827127" w:rsidP="00827127">
      <w:pPr>
        <w:pStyle w:val="StandardWeb"/>
      </w:pPr>
      <w:r>
        <w:t>Gleichung (3.4012) ist keine Bedingung von Primäraxiom II. Sie beschreibt lediglich einen später möglichen Spezialfall.</w:t>
      </w:r>
    </w:p>
    <w:p w:rsidR="00827127" w:rsidRDefault="00827127" w:rsidP="00827127">
      <w:pPr>
        <w:pStyle w:val="StandardWeb"/>
      </w:pPr>
      <w:r>
        <w:rPr>
          <w:rStyle w:val="Fett"/>
        </w:rPr>
        <w:t>Eigenleistung des FRZK</w:t>
      </w:r>
    </w:p>
    <w:p w:rsidR="00827127" w:rsidRDefault="00827127" w:rsidP="00827127">
      <w:pPr>
        <w:pStyle w:val="StandardWeb"/>
      </w:pPr>
      <w:r>
        <w:lastRenderedPageBreak/>
        <w:t>Ich halte Selbstrelation und Fremdrelation bewusst auseinander. Primäraxiom II begründet zunächst nur funktionale Relationierbarkeit im allgemeinsten Sinn. Die Unterscheidung einzelner Relationsklassen erfolgt erst durch nachfolgende Definitionen.</w:t>
      </w:r>
    </w:p>
    <w:p w:rsidR="00827127" w:rsidRPr="00AF32B2" w:rsidRDefault="00827127" w:rsidP="00AF32B2">
      <w:pPr>
        <w:pStyle w:val="berschrift4"/>
      </w:pPr>
      <w:r w:rsidRPr="00AF32B2">
        <w:t>3.3.8.8 Noch nicht festgelegte Relationseigenschaften</w:t>
      </w:r>
    </w:p>
    <w:p w:rsidR="00827127" w:rsidRDefault="00827127" w:rsidP="00827127">
      <w:pPr>
        <w:pStyle w:val="StandardWeb"/>
      </w:pPr>
      <w:r>
        <w:t>Primäraxiom II legt nicht fest:</w:t>
      </w:r>
    </w:p>
    <w:p w:rsidR="00827127" w:rsidRDefault="00827127" w:rsidP="00632D23">
      <w:pPr>
        <w:pStyle w:val="StandardWeb"/>
        <w:numPr>
          <w:ilvl w:val="0"/>
          <w:numId w:val="30"/>
        </w:numPr>
      </w:pPr>
      <w:r>
        <w:t>ob eine funktionale Relation gerichtet ist,</w:t>
      </w:r>
    </w:p>
    <w:p w:rsidR="00827127" w:rsidRDefault="00827127" w:rsidP="00632D23">
      <w:pPr>
        <w:pStyle w:val="StandardWeb"/>
        <w:numPr>
          <w:ilvl w:val="0"/>
          <w:numId w:val="30"/>
        </w:numPr>
      </w:pPr>
      <w:r>
        <w:t>ob sie symmetrisch oder antisymmetrisch ist,</w:t>
      </w:r>
    </w:p>
    <w:p w:rsidR="00827127" w:rsidRDefault="00827127" w:rsidP="00632D23">
      <w:pPr>
        <w:pStyle w:val="StandardWeb"/>
        <w:numPr>
          <w:ilvl w:val="0"/>
          <w:numId w:val="30"/>
        </w:numPr>
      </w:pPr>
      <w:r>
        <w:t>ob sie reflexiv oder irreflexiv ist,</w:t>
      </w:r>
    </w:p>
    <w:p w:rsidR="00827127" w:rsidRDefault="00827127" w:rsidP="00632D23">
      <w:pPr>
        <w:pStyle w:val="StandardWeb"/>
        <w:numPr>
          <w:ilvl w:val="0"/>
          <w:numId w:val="30"/>
        </w:numPr>
      </w:pPr>
      <w:r>
        <w:t>ob sie transitiv ist,</w:t>
      </w:r>
    </w:p>
    <w:p w:rsidR="00827127" w:rsidRDefault="00827127" w:rsidP="00632D23">
      <w:pPr>
        <w:pStyle w:val="StandardWeb"/>
        <w:numPr>
          <w:ilvl w:val="0"/>
          <w:numId w:val="30"/>
        </w:numPr>
      </w:pPr>
      <w:r>
        <w:t>ob sie gewichtet ist,</w:t>
      </w:r>
    </w:p>
    <w:p w:rsidR="00827127" w:rsidRDefault="00827127" w:rsidP="00632D23">
      <w:pPr>
        <w:pStyle w:val="StandardWeb"/>
        <w:numPr>
          <w:ilvl w:val="0"/>
          <w:numId w:val="30"/>
        </w:numPr>
      </w:pPr>
      <w:r>
        <w:t>ob sie dauerhaft besteht,</w:t>
      </w:r>
    </w:p>
    <w:p w:rsidR="00827127" w:rsidRDefault="00827127" w:rsidP="00632D23">
      <w:pPr>
        <w:pStyle w:val="StandardWeb"/>
        <w:numPr>
          <w:ilvl w:val="0"/>
          <w:numId w:val="30"/>
        </w:numPr>
      </w:pPr>
      <w:r>
        <w:t>ob sie kausal interpretiert werden darf,</w:t>
      </w:r>
    </w:p>
    <w:p w:rsidR="00827127" w:rsidRDefault="00827127" w:rsidP="00632D23">
      <w:pPr>
        <w:pStyle w:val="StandardWeb"/>
        <w:numPr>
          <w:ilvl w:val="0"/>
          <w:numId w:val="30"/>
        </w:numPr>
      </w:pPr>
      <w:r>
        <w:t>ob sie räumliche Nähe ausdrückt,</w:t>
      </w:r>
    </w:p>
    <w:p w:rsidR="00827127" w:rsidRDefault="00827127" w:rsidP="00632D23">
      <w:pPr>
        <w:pStyle w:val="StandardWeb"/>
        <w:numPr>
          <w:ilvl w:val="0"/>
          <w:numId w:val="30"/>
        </w:numPr>
      </w:pPr>
      <w:r>
        <w:t>ob sie eine zeitliche Reihenfolge erzeugt,</w:t>
      </w:r>
    </w:p>
    <w:p w:rsidR="00827127" w:rsidRDefault="00827127" w:rsidP="00632D23">
      <w:pPr>
        <w:pStyle w:val="StandardWeb"/>
        <w:numPr>
          <w:ilvl w:val="0"/>
          <w:numId w:val="30"/>
        </w:numPr>
      </w:pPr>
      <w:r>
        <w:t>ob sie eine physikalische Wechselwirkung repräsentiert.</w:t>
      </w:r>
    </w:p>
    <w:p w:rsidR="00827127" w:rsidRDefault="00827127" w:rsidP="00827127">
      <w:pPr>
        <w:pStyle w:val="StandardWeb"/>
      </w:pPr>
      <w:r>
        <w:t>Diese Eigenschaften können mathematisch präzise definiert werden, sobald eine konkrete Relationsklasse betrachtet wird [6, 78]. Ihre Aufnahme in Primäraxiom II würde dessen Aussagegehalt unnötig erweitern.</w:t>
      </w:r>
    </w:p>
    <w:p w:rsidR="00827127" w:rsidRPr="00AF32B2" w:rsidRDefault="00827127" w:rsidP="00AF32B2">
      <w:pPr>
        <w:pStyle w:val="berschrift4"/>
      </w:pPr>
      <w:r w:rsidRPr="00AF32B2">
        <w:t>3.3.8.9 Menge der funktional wirksamen Relationen</w:t>
      </w:r>
    </w:p>
    <w:p w:rsidR="00827127" w:rsidRDefault="00827127" w:rsidP="00827127">
      <w:pPr>
        <w:pStyle w:val="StandardWeb"/>
      </w:pPr>
      <w:r>
        <w:t>Auf Grundlage von Primäraxiom II kann die Menge aller funktional wirksamen Relationen definiert werden:</w:t>
      </w:r>
    </w:p>
    <w:p w:rsidR="00827127" w:rsidRDefault="00827127" w:rsidP="00827127">
      <w:pPr>
        <w:pStyle w:val="berschrift1"/>
      </w:pPr>
      <w:r>
        <w:t>[</w:t>
      </w:r>
      <w:r>
        <w:br/>
        <w:t>\mathfrak{R}_{\mathrm{f}}</w:t>
      </w:r>
    </w:p>
    <w:p w:rsidR="00827127" w:rsidRDefault="00827127" w:rsidP="00827127">
      <w:pPr>
        <w:pStyle w:val="StandardWeb"/>
      </w:pPr>
      <w:r>
        <w:t>\left{</w:t>
      </w:r>
      <w:r>
        <w:br/>
        <w:t>\mathcal{R}</w:t>
      </w:r>
      <w:r>
        <w:br/>
        <w:t>\subseteq</w:t>
      </w:r>
      <w:r>
        <w:br/>
        <w:t>\mathcal{S}</w:t>
      </w:r>
      <w:r>
        <w:rPr>
          <w:rStyle w:val="Hervorhebung"/>
        </w:rPr>
        <w:t>{\mathrm{el}}\times\mathcal{S}</w:t>
      </w:r>
      <w:r>
        <w:t>{\mathrm{el}}</w:t>
      </w:r>
      <w:r>
        <w:br/>
        <w:t>;\middle|;</w:t>
      </w:r>
      <w:r>
        <w:br/>
        <w:t>\rho(\mathcal{R})=1</w:t>
      </w:r>
      <w:r>
        <w:br/>
        <w:t>\right}.</w:t>
      </w:r>
      <w:r>
        <w:br/>
        <w:t>\tag{3.4013}</w:t>
      </w:r>
      <w:r>
        <w:br/>
        <w:t>]</w:t>
      </w:r>
    </w:p>
    <w:p w:rsidR="00827127" w:rsidRDefault="00827127" w:rsidP="00827127">
      <w:pPr>
        <w:pStyle w:val="StandardWeb"/>
      </w:pPr>
      <w:r>
        <w:rPr>
          <w:rStyle w:val="Fett"/>
        </w:rPr>
        <w:t>Word-LaTeX</w:t>
      </w:r>
    </w:p>
    <w:p w:rsidR="00827127" w:rsidRDefault="00827127" w:rsidP="00827127">
      <w:pPr>
        <w:pStyle w:val="HTMLVorformatiert"/>
        <w:rPr>
          <w:rStyle w:val="HTMLCode"/>
        </w:rPr>
      </w:pPr>
      <w:r>
        <w:rPr>
          <w:rStyle w:val="HTMLCode"/>
        </w:rPr>
        <w:t>\mathfrak{R}_{\mathrm{f}}=\left\{\mathcal{R}\subseteq\mathcal{S}_{\mathrm{el}}\times\mathcal{S}_{\mathrm{el}}\middle|\rho(\mathcal{R})=1\right\}\qquad\text{(3.4013)}</w:t>
      </w:r>
    </w:p>
    <w:p w:rsidR="00827127" w:rsidRDefault="00827127" w:rsidP="00827127">
      <w:pPr>
        <w:pStyle w:val="StandardWeb"/>
      </w:pPr>
      <w:r>
        <w:t>Dabei bezeichnet:</w:t>
      </w:r>
    </w:p>
    <w:p w:rsidR="00827127" w:rsidRDefault="00827127" w:rsidP="00632D23">
      <w:pPr>
        <w:pStyle w:val="StandardWeb"/>
        <w:numPr>
          <w:ilvl w:val="0"/>
          <w:numId w:val="31"/>
        </w:numPr>
      </w:pPr>
      <w:r>
        <w:t>(\mathfrak{R}_{\mathrm{f}}) die Menge der funktional wirksamen Relationen,</w:t>
      </w:r>
    </w:p>
    <w:p w:rsidR="00827127" w:rsidRDefault="00827127" w:rsidP="00632D23">
      <w:pPr>
        <w:pStyle w:val="StandardWeb"/>
        <w:numPr>
          <w:ilvl w:val="0"/>
          <w:numId w:val="31"/>
        </w:numPr>
      </w:pPr>
      <w:r>
        <w:lastRenderedPageBreak/>
        <w:t>(\mathcal{R}) eine Relation auf (\mathcal{S}_{\mathrm{el}}),</w:t>
      </w:r>
    </w:p>
    <w:p w:rsidR="00827127" w:rsidRDefault="00827127" w:rsidP="00632D23">
      <w:pPr>
        <w:pStyle w:val="StandardWeb"/>
        <w:numPr>
          <w:ilvl w:val="0"/>
          <w:numId w:val="31"/>
        </w:numPr>
      </w:pPr>
      <w:r>
        <w:t>(\rho(\mathcal{R})=1) die funktionale Wirksamkeit der Relation.</w:t>
      </w:r>
    </w:p>
    <w:p w:rsidR="00827127" w:rsidRDefault="00827127" w:rsidP="00827127">
      <w:pPr>
        <w:pStyle w:val="StandardWeb"/>
      </w:pPr>
      <w:r>
        <w:t>Aus Primäraxiom II folgt unmittelbar</w:t>
      </w:r>
    </w:p>
    <w:p w:rsidR="00827127" w:rsidRDefault="00827127" w:rsidP="00827127">
      <w:pPr>
        <w:pStyle w:val="StandardWeb"/>
      </w:pPr>
      <w:r>
        <w:t>[</w:t>
      </w:r>
      <w:r>
        <w:br/>
        <w:t>\mathfrak{R}_{\mathrm{f}}\neq\emptyset.</w:t>
      </w:r>
      <w:r>
        <w:br/>
        <w:t>\tag{3.4014}</w:t>
      </w:r>
      <w:r>
        <w:br/>
        <w:t>]</w:t>
      </w:r>
    </w:p>
    <w:p w:rsidR="00827127" w:rsidRDefault="00827127" w:rsidP="00827127">
      <w:pPr>
        <w:pStyle w:val="StandardWeb"/>
      </w:pPr>
      <w:r>
        <w:rPr>
          <w:rStyle w:val="Fett"/>
        </w:rPr>
        <w:t>Word-LaTeX</w:t>
      </w:r>
    </w:p>
    <w:p w:rsidR="00827127" w:rsidRDefault="00827127" w:rsidP="00827127">
      <w:pPr>
        <w:pStyle w:val="HTMLVorformatiert"/>
        <w:rPr>
          <w:rStyle w:val="HTMLCode"/>
        </w:rPr>
      </w:pPr>
      <w:r>
        <w:rPr>
          <w:rStyle w:val="HTMLCode"/>
        </w:rPr>
        <w:t>\mathfrak{R}_{\mathrm{f}}\neq\emptyset\qquad\text{(3.4014)}</w:t>
      </w:r>
    </w:p>
    <w:p w:rsidR="00827127" w:rsidRDefault="00827127" w:rsidP="00827127">
      <w:pPr>
        <w:pStyle w:val="StandardWeb"/>
      </w:pPr>
      <w:r>
        <w:t>Gleichung (3.4014) ist keine weitere axiomatische Setzung. Sie folgt direkt aus Gleichung (3.4011) und der Definition in Gleichung (3.4013).</w:t>
      </w:r>
    </w:p>
    <w:p w:rsidR="00827127" w:rsidRPr="00AF32B2" w:rsidRDefault="00827127" w:rsidP="00AF32B2">
      <w:pPr>
        <w:pStyle w:val="berschrift4"/>
      </w:pPr>
      <w:r w:rsidRPr="00AF32B2">
        <w:t>3.3.8.10 Verhältnis zu Kategorien und Morphismen</w:t>
      </w:r>
    </w:p>
    <w:p w:rsidR="00827127" w:rsidRDefault="00827127" w:rsidP="00827127">
      <w:pPr>
        <w:pStyle w:val="StandardWeb"/>
      </w:pPr>
      <w:r>
        <w:t>Eine funktional wirksame Relation ist nicht automatisch ein Morphismus im kategorientheoretischen Sinn. Ein Morphismus setzt zusätzlich eine Kategorie mit Objekten, Komposition und Identitätsmorphismen voraus [78]. Primäraxiom II stellt diese Struktur noch nicht bereit.</w:t>
      </w:r>
    </w:p>
    <w:p w:rsidR="00827127" w:rsidRDefault="00827127" w:rsidP="00827127">
      <w:pPr>
        <w:pStyle w:val="StandardWeb"/>
      </w:pPr>
      <w:r>
        <w:t>Ebenso ist eine funktional wirksame Relation nicht automatisch eine Funktion. Eine Relation kann einem Zustand mehrere, genau einen oder keinen anderen Zustand zuordnen [6]. Die Eindeutigkeitsanforderung einer Funktion wird erst bei der späteren Definition funktionaler Transformationen relevant.</w:t>
      </w:r>
    </w:p>
    <w:p w:rsidR="00827127" w:rsidRDefault="00827127" w:rsidP="00827127">
      <w:pPr>
        <w:pStyle w:val="StandardWeb"/>
      </w:pPr>
      <w:r>
        <w:rPr>
          <w:rStyle w:val="Fett"/>
        </w:rPr>
        <w:t>Eigenleistung des FRZK</w:t>
      </w:r>
    </w:p>
    <w:p w:rsidR="00827127" w:rsidRDefault="00827127" w:rsidP="00827127">
      <w:pPr>
        <w:pStyle w:val="StandardWeb"/>
      </w:pPr>
      <w:r>
        <w:t>Ich verwende Primäraxiom II daher ausschließlich als Grundlage funktionaler Verbindung. Operatorik, Morphismen und Transformationsregeln werden noch nicht vorausgesetzt.</w:t>
      </w:r>
    </w:p>
    <w:p w:rsidR="00827127" w:rsidRPr="00AF32B2" w:rsidRDefault="00827127" w:rsidP="00AF32B2">
      <w:pPr>
        <w:pStyle w:val="berschrift4"/>
      </w:pPr>
      <w:r w:rsidRPr="00AF32B2">
        <w:t>3.3.8.11 Gültigkeitsbereich</w:t>
      </w:r>
    </w:p>
    <w:p w:rsidR="00827127" w:rsidRDefault="00827127" w:rsidP="00827127">
      <w:pPr>
        <w:pStyle w:val="StandardWeb"/>
      </w:pPr>
      <w:r>
        <w:t>Primäraxiom II gilt innerhalb des formalen Gegenstandsbereichs des FRZK. Es behauptet keine universelle Verbundenheit physikalischer Gegenstände. Ebenso folgt aus der funktionalen Wirksamkeit einer Relation nicht unmittelbar, dass Energie, Impuls, Information oder eine andere physikalische Größe übertragen wird.</w:t>
      </w:r>
    </w:p>
    <w:p w:rsidR="00827127" w:rsidRDefault="00827127" w:rsidP="00827127">
      <w:pPr>
        <w:pStyle w:val="StandardWeb"/>
      </w:pPr>
      <w:r>
        <w:t>Die Trennung zwischen formaler Relation und physikalischer Interpretation bleibt damit erhalten [58, 59]. Eine physikalische Wechselwirkung kann später als konkrete Realisierung einer funktional wirksamen Relation untersucht werden. Sie ist jedoch nicht mit dem abstrakten Relationsbegriff identisch.</w:t>
      </w:r>
    </w:p>
    <w:p w:rsidR="00827127" w:rsidRPr="00AF32B2" w:rsidRDefault="00827127" w:rsidP="00AF32B2">
      <w:pPr>
        <w:pStyle w:val="berschrift4"/>
      </w:pPr>
      <w:r w:rsidRPr="00AF32B2">
        <w:t>3.3.8.12 Übergang zur Definition der funktionalen Relation</w:t>
      </w:r>
    </w:p>
    <w:p w:rsidR="00827127" w:rsidRDefault="00827127" w:rsidP="00827127">
      <w:pPr>
        <w:pStyle w:val="StandardWeb"/>
      </w:pPr>
      <w:r>
        <w:t>Nachdem die Existenz mindestens einer funktional wirksamen Relation axiomatisch festgelegt ist, kann im nächsten Abschnitt definiert werden, wann eine konkrete Relation als funktionale Relation bezeichnet wird.</w:t>
      </w:r>
    </w:p>
    <w:p w:rsidR="00827127" w:rsidRDefault="00827127" w:rsidP="00827127">
      <w:pPr>
        <w:pStyle w:val="StandardWeb"/>
      </w:pPr>
      <w:r>
        <w:lastRenderedPageBreak/>
        <w:t>Diese Definition wird die Relation (\mathcal{R}), das Prädikat (\rho) und die Menge (\mathfrak{R}_{\mathrm{f}}) präzisieren. Sie darf noch keine Transformierbarkeit oder zeitliche Entwicklung voraussetzen.</w:t>
      </w:r>
    </w:p>
    <w:p w:rsidR="00E31D2E" w:rsidRDefault="00E31D2E" w:rsidP="00E31D2E">
      <w:pPr>
        <w:pStyle w:val="berschrift2"/>
      </w:pPr>
      <w:r>
        <w:t>Ergänzung zu 3.3.8 – Primäraxiom II der funktionalen Relationierbarkeit</w:t>
      </w:r>
    </w:p>
    <w:p w:rsidR="00E31D2E" w:rsidRDefault="00E31D2E" w:rsidP="00E31D2E">
      <w:pPr>
        <w:pStyle w:val="berschrift3"/>
      </w:pPr>
      <w:r>
        <w:t>Methodologische Betrachtungen</w:t>
      </w:r>
    </w:p>
    <w:p w:rsidR="00E31D2E" w:rsidRDefault="00E31D2E" w:rsidP="00E31D2E">
      <w:pPr>
        <w:pStyle w:val="StandardWeb"/>
      </w:pPr>
      <w:r>
        <w:t>Primäraxiom II erweitert den durch Primäraxiom I eröffneten Zustandsbereich um eine neue, logisch eigenständige Möglichkeit: Zwischen elementaren funktionalen Zuständen kann mindestens eine funktional wirksame Relation bestehen. Das Axiom lautet in der aktuellen Fassung sinngemäß, dass mindestens eine Relation auf dem elementaren Zustandsbereich existieren kann, deren Vorliegen funktional nicht gleichgültig ist. Die Relationswirksamkeit wird dabei durch das binäre Prädikat (\rho) gekennzeichnet.</w:t>
      </w:r>
    </w:p>
    <w:p w:rsidR="00E31D2E" w:rsidRDefault="00E31D2E" w:rsidP="00E31D2E">
      <w:pPr>
        <w:pStyle w:val="StandardWeb"/>
      </w:pPr>
      <w:r>
        <w:t>Diese Setzung folgt nicht aus Primäraxiom I. Aus der Existenz mindestens eines funktional wirksamen Zustands ergibt sich weder die Existenz mehrerer Zustände noch die Existenz einer Beziehung zwischen ihnen. Genau darin liegt der eigenständige axiomatische Gehalt von Primäraxiom II.</w:t>
      </w:r>
    </w:p>
    <w:p w:rsidR="00E31D2E" w:rsidRDefault="00E31D2E" w:rsidP="00E31D2E">
      <w:pPr>
        <w:pStyle w:val="StandardWeb"/>
      </w:pPr>
      <w:r>
        <w:t>Methodologisch muss ich auch hier zwischen mathematischer Relation und funktionaler Relationierbarkeit unterscheiden. Die Mengenlehre erlaubt für jede geeignete Menge die Bildung von Teilmengen des kartesischen Produkts. Damit ist mathematisch definiert, was eine Relation ist. Diese mathematische Möglichkeit begründet jedoch nicht, dass im FRZK tatsächlich eine funktional wirksame Relation vorhanden sein muss.</w:t>
      </w:r>
    </w:p>
    <w:p w:rsidR="00E31D2E" w:rsidRDefault="00E31D2E" w:rsidP="00E31D2E">
      <w:pPr>
        <w:pStyle w:val="StandardWeb"/>
      </w:pPr>
      <w:r>
        <w:t>Die Funktion des Axioms besteht deshalb nicht darin, die mathematische Relation neu zu definieren. Es ergänzt sie lediglich um die FRZK-spezifische Existenzmöglichkeit funktionaler Wirksamkeit.</w:t>
      </w:r>
    </w:p>
    <w:p w:rsidR="00E31D2E" w:rsidRDefault="00E31D2E" w:rsidP="00E31D2E">
      <w:pPr>
        <w:pStyle w:val="StandardWeb"/>
      </w:pPr>
      <w:r>
        <w:t xml:space="preserve">Besonders wichtig ist, was das Axiom </w:t>
      </w:r>
      <w:r>
        <w:rPr>
          <w:rStyle w:val="Fett"/>
        </w:rPr>
        <w:t>nicht</w:t>
      </w:r>
      <w:r>
        <w:t xml:space="preserve"> voraussetzt. Es setzt weder Symmetrie noch Reflexivität, Transitivität oder Totalität voraus. Ebenso wenig setzt es bereits Kausalität, räumliche Nachbarschaft oder zeitliche Reihenfolge voraus. Eine Relation kann später eine dieser Eigenschaften besitzen, wenn dies durch zusätzliche Definitionen oder Modellbedingungen begründet wird. Diese Eigenschaften dürfen jedoch nicht rückwirkend in das Primäraxiom hineingelesen werden.</w:t>
      </w:r>
    </w:p>
    <w:p w:rsidR="00E31D2E" w:rsidRDefault="00E31D2E" w:rsidP="00E31D2E">
      <w:pPr>
        <w:pStyle w:val="StandardWeb"/>
      </w:pPr>
      <w:r>
        <w:t>Auch die Formulierung „zwischen Zuständen“ darf nicht automatisch räumlich verstanden werden. Eine Relation ist zunächst eine mathematische und funktionale Zuordnungsstruktur. Ob sie später als Nähe, Kopplung, Abhängigkeit, Erreichbarkeit oder etwas anderes interpretiert wird, bleibt offen.</w:t>
      </w:r>
    </w:p>
    <w:p w:rsidR="00E31D2E" w:rsidRDefault="00E31D2E" w:rsidP="00E31D2E">
      <w:pPr>
        <w:pStyle w:val="StandardWeb"/>
      </w:pPr>
      <w:r>
        <w:t>Die Minimalität von Primäraxiom II besteht deshalb gerade darin, nur die Möglichkeit mindestens einer funktional wirksamen Relation zu setzen. Jede stärkere Forderung würde bereits spezielle Eigenschaften relationaler Strukturen voraussetzen, die erst später untersucht werden sollen.</w:t>
      </w:r>
    </w:p>
    <w:p w:rsidR="00E31D2E" w:rsidRDefault="00E31D2E" w:rsidP="00E31D2E">
      <w:pPr>
        <w:pStyle w:val="berschrift3"/>
      </w:pPr>
      <w:r>
        <w:t>Didaktische Betrachtungen</w:t>
      </w:r>
    </w:p>
    <w:p w:rsidR="00E31D2E" w:rsidRDefault="00E31D2E" w:rsidP="00E31D2E">
      <w:pPr>
        <w:pStyle w:val="StandardWeb"/>
      </w:pPr>
      <w:r>
        <w:lastRenderedPageBreak/>
        <w:t>Die Unabhängigkeit von Primäraxiom I und II lässt sich mit zwei Punkten auf einem Blatt Papier erklären.</w:t>
      </w:r>
    </w:p>
    <w:p w:rsidR="00E31D2E" w:rsidRDefault="00E31D2E" w:rsidP="00E31D2E">
      <w:pPr>
        <w:pStyle w:val="StandardWeb"/>
      </w:pPr>
      <w:r>
        <w:t>Zunächst existieren zwei Punkte:</w:t>
      </w:r>
    </w:p>
    <w:p w:rsidR="00E31D2E" w:rsidRDefault="00E31D2E" w:rsidP="00E31D2E">
      <w:pPr>
        <w:pStyle w:val="StandardWeb"/>
      </w:pPr>
      <w:r>
        <w:t>[</w:t>
      </w:r>
      <w:r>
        <w:br/>
        <w:t>a</w:t>
      </w:r>
      <w:r>
        <w:br/>
        <w:t>\qquad</w:t>
      </w:r>
      <w:r>
        <w:br/>
        <w:t>b.</w:t>
      </w:r>
      <w:r>
        <w:br/>
        <w:t>]</w:t>
      </w:r>
    </w:p>
    <w:p w:rsidR="00E31D2E" w:rsidRDefault="00E31D2E" w:rsidP="00E31D2E">
      <w:pPr>
        <w:pStyle w:val="StandardWeb"/>
      </w:pPr>
      <w:r>
        <w:t>Damit ist noch keine Verbindung zwischen ihnen vorhanden.</w:t>
      </w:r>
    </w:p>
    <w:p w:rsidR="00E31D2E" w:rsidRDefault="00E31D2E" w:rsidP="00E31D2E">
      <w:pPr>
        <w:pStyle w:val="StandardWeb"/>
      </w:pPr>
      <w:r>
        <w:t>Erst wenn ich beispielsweise eine Linie einzeichne,</w:t>
      </w:r>
    </w:p>
    <w:p w:rsidR="00E31D2E" w:rsidRDefault="00E31D2E" w:rsidP="00E31D2E">
      <w:pPr>
        <w:pStyle w:val="StandardWeb"/>
      </w:pPr>
      <w:r>
        <w:t>[</w:t>
      </w:r>
      <w:r>
        <w:br/>
        <w:t>a \longleftrightarrow b,</w:t>
      </w:r>
      <w:r>
        <w:br/>
        <w:t>]</w:t>
      </w:r>
    </w:p>
    <w:p w:rsidR="00E31D2E" w:rsidRDefault="00E31D2E" w:rsidP="00E31D2E">
      <w:pPr>
        <w:pStyle w:val="StandardWeb"/>
      </w:pPr>
      <w:r>
        <w:t>habe ich zusätzlich eine Relation eingeführt.</w:t>
      </w:r>
    </w:p>
    <w:p w:rsidR="00E31D2E" w:rsidRDefault="00E31D2E" w:rsidP="00E31D2E">
      <w:pPr>
        <w:pStyle w:val="StandardWeb"/>
      </w:pPr>
      <w:r>
        <w:t>Der entscheidende Gedanke lautet deshalb:</w:t>
      </w:r>
    </w:p>
    <w:p w:rsidR="00E31D2E" w:rsidRDefault="00E31D2E" w:rsidP="00E31D2E">
      <w:pPr>
        <w:pStyle w:val="StandardWeb"/>
      </w:pPr>
      <w:r>
        <w:rPr>
          <w:rStyle w:val="Fett"/>
        </w:rPr>
        <w:t>Das Vorhandensein von Dingen erzeugt noch keine Beziehung zwischen ihnen.</w:t>
      </w:r>
    </w:p>
    <w:p w:rsidR="00E31D2E" w:rsidRDefault="00E31D2E" w:rsidP="00E31D2E">
      <w:pPr>
        <w:pStyle w:val="StandardWeb"/>
      </w:pPr>
      <w:r>
        <w:t>Umgekehrt bedeutet eine Beziehung noch nicht automatisch, dass etwas vom einen zum anderen fließt oder sich verändert. Eine gezeichnete Straße zwischen zwei Städten ist noch keine Fahrt.</w:t>
      </w:r>
    </w:p>
    <w:p w:rsidR="00E31D2E" w:rsidRDefault="00E31D2E" w:rsidP="00E31D2E">
      <w:pPr>
        <w:pStyle w:val="StandardWeb"/>
      </w:pPr>
      <w:r>
        <w:t>Auch das Wirksamkeitsprädikat (\rho) kann einfach verstanden werden. Ich kann viele mathematische Beziehungen aufschreiben. Für das FRZK interessieren zunächst nur diejenigen, deren Vorliegen innerhalb des jeweiligen funktionalen Systems einen Unterschied macht.</w:t>
      </w:r>
    </w:p>
    <w:p w:rsidR="00E31D2E" w:rsidRDefault="00E31D2E" w:rsidP="00E31D2E">
      <w:pPr>
        <w:pStyle w:val="StandardWeb"/>
      </w:pPr>
      <w:r>
        <w:t>Beispielsweise könnte gelten:</w:t>
      </w:r>
    </w:p>
    <w:p w:rsidR="00E31D2E" w:rsidRDefault="00E31D2E" w:rsidP="00E31D2E">
      <w:pPr>
        <w:pStyle w:val="StandardWeb"/>
      </w:pPr>
      <w:r>
        <w:t>[</w:t>
      </w:r>
      <w:r>
        <w:br/>
        <w:t>\rho(\mathcal{R})=1.</w:t>
      </w:r>
      <w:r>
        <w:br/>
        <w:t>]</w:t>
      </w:r>
    </w:p>
    <w:p w:rsidR="00E31D2E" w:rsidRDefault="00E31D2E" w:rsidP="00E31D2E">
      <w:pPr>
        <w:pStyle w:val="StandardWeb"/>
      </w:pPr>
      <w:r>
        <w:t>Dann wird (\mathcal{R}) als funktional wirksame Relation behandelt.</w:t>
      </w:r>
    </w:p>
    <w:p w:rsidR="00E31D2E" w:rsidRDefault="00E31D2E" w:rsidP="00E31D2E">
      <w:pPr>
        <w:pStyle w:val="StandardWeb"/>
      </w:pPr>
      <w:r>
        <w:t>Bei</w:t>
      </w:r>
    </w:p>
    <w:p w:rsidR="00E31D2E" w:rsidRDefault="00E31D2E" w:rsidP="00E31D2E">
      <w:pPr>
        <w:pStyle w:val="StandardWeb"/>
      </w:pPr>
      <w:r>
        <w:t>[</w:t>
      </w:r>
      <w:r>
        <w:br/>
        <w:t>\rho(\mathcal{R})=0</w:t>
      </w:r>
      <w:r>
        <w:br/>
        <w:t>]</w:t>
      </w:r>
    </w:p>
    <w:p w:rsidR="00E31D2E" w:rsidRDefault="00E31D2E" w:rsidP="00E31D2E">
      <w:pPr>
        <w:pStyle w:val="StandardWeb"/>
      </w:pPr>
      <w:r>
        <w:t>ist die mathematische Relation zwar möglicherweise beschreibbar, wird aber nicht als funktional wirksame FRZK-Relation klassifiziert.</w:t>
      </w:r>
    </w:p>
    <w:p w:rsidR="00E31D2E" w:rsidRDefault="00E31D2E" w:rsidP="00E31D2E">
      <w:pPr>
        <w:pStyle w:val="StandardWeb"/>
      </w:pPr>
      <w:r>
        <w:lastRenderedPageBreak/>
        <w:t>Didaktisch muss zudem ausdrücklich davor gewarnt werden, eine Relation sofort als Kausalbeziehung zu interpretieren. Wenn zwei Größen miteinander verbunden sind, folgt daraus nicht automatisch, dass die eine die andere verursacht. Ebenso wenig folgt aus einer Relation bereits eine räumliche Entfernung oder eine zeitliche Reihenfolge.</w:t>
      </w:r>
    </w:p>
    <w:p w:rsidR="00E31D2E" w:rsidRDefault="00E31D2E" w:rsidP="00E31D2E">
      <w:pPr>
        <w:pStyle w:val="StandardWeb"/>
      </w:pPr>
      <w:r>
        <w:t>Primäraxiom II setzt daher lediglich den nächsten minimalen Baustein:</w:t>
      </w:r>
    </w:p>
    <w:p w:rsidR="00E31D2E" w:rsidRDefault="00E31D2E" w:rsidP="00E31D2E">
      <w:pPr>
        <w:pStyle w:val="StandardWeb"/>
      </w:pPr>
      <w:r>
        <w:rPr>
          <w:rStyle w:val="Fett"/>
        </w:rPr>
        <w:t>Zustände können nicht nur vorhanden sein; zwischen ihnen kann funktional etwas gelten.</w:t>
      </w:r>
    </w:p>
    <w:p w:rsidR="00E31D2E" w:rsidRDefault="00E50336" w:rsidP="00E31D2E">
      <w:r>
        <w:pict>
          <v:rect id="_x0000_i1033" style="width:0;height:1.5pt" o:hralign="center" o:hrstd="t" o:hr="t" fillcolor="#a0a0a0" stroked="f"/>
        </w:pict>
      </w:r>
    </w:p>
    <w:p w:rsidR="007201F4" w:rsidRPr="00AF32B2" w:rsidRDefault="007201F4" w:rsidP="00AF32B2">
      <w:pPr>
        <w:pStyle w:val="berschrift3"/>
      </w:pPr>
      <w:r w:rsidRPr="00AF32B2">
        <w:t>3.3.9 Definition der funktionalen Relation</w:t>
      </w:r>
    </w:p>
    <w:p w:rsidR="007201F4" w:rsidRDefault="007201F4" w:rsidP="007201F4">
      <w:pPr>
        <w:pStyle w:val="StandardWeb"/>
      </w:pPr>
      <w:r>
        <w:t>Primäraxiom II legt fest, dass innerhalb des Funktionalen Raum-Zeit-Kohärenzsystems mindestens eine funktional wirksame Relation existieren kann. Damit ist die Möglichkeit funktionaler Relationierbarkeit axiomatisch eröffnet. Noch ist jedoch nicht bestimmt, unter welchen Bedingungen eine konkrete mathematische Relation als funktionale Relation bezeichnet werden darf. Diese begriffliche Präzisierung erfolgt nun auf Grundlage des in Abschnitt 3.3.8 eingeführten Relationswirksamkeitsprädikats (\rho).</w:t>
      </w:r>
    </w:p>
    <w:p w:rsidR="007201F4" w:rsidRDefault="007201F4" w:rsidP="007201F4">
      <w:pPr>
        <w:pStyle w:val="StandardWeb"/>
      </w:pPr>
      <w:r>
        <w:t>Die Definition muss eng an Primäraxiom II gebunden bleiben. Sie darf keine Transformation, keine zeitliche Entwicklung, keine Kausalität und keine räumliche Struktur voraussetzen. Eine Relation beschreibt zunächst nur eine ausgewählte Verbindung zwischen elementaren funktionalen Zuständen. Ihre funktionale Bedeutung ergibt sich ausschließlich daraus, dass ihr Vorliegen oder Nichtvorliegen für mindestens eine weitere mögliche Bestimmung nicht gleichgültig ist [6, 58, 59, 78].</w:t>
      </w:r>
    </w:p>
    <w:p w:rsidR="007201F4" w:rsidRPr="00AF32B2" w:rsidRDefault="007201F4" w:rsidP="00AF32B2">
      <w:pPr>
        <w:pStyle w:val="berschrift4"/>
      </w:pPr>
      <w:r w:rsidRPr="00AF32B2">
        <w:t>3.3.9.1 Begriffliche Abgrenzung</w:t>
      </w:r>
    </w:p>
    <w:p w:rsidR="007201F4" w:rsidRDefault="007201F4" w:rsidP="007201F4">
      <w:pPr>
        <w:pStyle w:val="StandardWeb"/>
      </w:pPr>
      <w:r>
        <w:t>Eine mathematische Relation auf (\mathcal{S}</w:t>
      </w:r>
      <w:r>
        <w:rPr>
          <w:rStyle w:val="Hervorhebung"/>
        </w:rPr>
        <w:t>{\mathrm{el}}) ist eine Teilmenge des kartesischen Produkts (\mathcal{S}</w:t>
      </w:r>
      <w:r>
        <w:t>{\mathrm{el}}\times\mathcal{S}_{\mathrm{el}}) [6]. Diese Definition legt fest, welche geordneten Paare zur Relation gehören. Sie trifft jedoch keine Aussage darüber, ob die ausgewählten Paare innerhalb des FRZK funktional wirksam sind.</w:t>
      </w:r>
    </w:p>
    <w:p w:rsidR="007201F4" w:rsidRDefault="007201F4" w:rsidP="007201F4">
      <w:pPr>
        <w:pStyle w:val="StandardWeb"/>
      </w:pPr>
      <w:r>
        <w:t>Auch ein Morphismus im kategorientheoretischen Sinn ist nicht mit einer funktionalen Relation gleichzusetzen. Ein Morphismus setzt bereits eine Kategorie, definierte Objekte, Identitätsmorphismen und eine Kompositionsregel voraus [78]. Definition 3.3.2 bleibt demgegenüber allgemeiner. Sie verlangt zunächst weder strukturerhaltende Abbildungseigenschaften noch Eindeutigkeit oder Komponierbarkeit.</w:t>
      </w:r>
    </w:p>
    <w:p w:rsidR="007201F4" w:rsidRDefault="007201F4" w:rsidP="007201F4">
      <w:pPr>
        <w:pStyle w:val="StandardWeb"/>
      </w:pPr>
      <w:r>
        <w:rPr>
          <w:rStyle w:val="Fett"/>
        </w:rPr>
        <w:t>Eigenleistung des FRZK</w:t>
      </w:r>
    </w:p>
    <w:p w:rsidR="007201F4" w:rsidRDefault="007201F4" w:rsidP="007201F4">
      <w:pPr>
        <w:pStyle w:val="StandardWeb"/>
      </w:pPr>
      <w:r>
        <w:t>Ich verwende den Begriff der funktionalen Relation deshalb für eine mathematische Relation, deren funktionale Wirksamkeit durch das Prädikat (\rho) ausdrücklich bestätigt wird. Die mathematische Relationsstruktur bleibt unverändert. Neu ist ausschließlich ihre Zuordnung zum funktionalen Gegenstandsbereich des FRZK.</w:t>
      </w:r>
    </w:p>
    <w:p w:rsidR="007201F4" w:rsidRPr="00AF32B2" w:rsidRDefault="007201F4" w:rsidP="00AF32B2">
      <w:pPr>
        <w:pStyle w:val="berschrift4"/>
      </w:pPr>
      <w:r w:rsidRPr="00AF32B2">
        <w:t>3.3.9.2 Definition der funktionalen Relation</w:t>
      </w:r>
    </w:p>
    <w:p w:rsidR="007201F4" w:rsidRDefault="007201F4" w:rsidP="007201F4">
      <w:pPr>
        <w:pStyle w:val="StandardWeb"/>
      </w:pPr>
      <w:r>
        <w:rPr>
          <w:rStyle w:val="Fett"/>
        </w:rPr>
        <w:lastRenderedPageBreak/>
        <w:t>Definition 3.3.2 – Funktionale Relation</w:t>
      </w:r>
    </w:p>
    <w:p w:rsidR="007201F4" w:rsidRDefault="007201F4" w:rsidP="007201F4">
      <w:pPr>
        <w:pStyle w:val="StandardWeb"/>
      </w:pPr>
      <w:r>
        <w:t>Eine funktionale Relation ist eine Relation (\mathcal{R}) auf der Menge der elementaren funktionalen Zustände, für die das Relationswirksamkeitsprädikat (\rho) den Wert (1) besitzt.</w:t>
      </w:r>
    </w:p>
    <w:p w:rsidR="007201F4" w:rsidRDefault="007201F4" w:rsidP="007201F4">
      <w:pPr>
        <w:pStyle w:val="StandardWeb"/>
      </w:pPr>
      <w:r>
        <w:t>Formal gilt:</w:t>
      </w:r>
    </w:p>
    <w:p w:rsidR="007201F4" w:rsidRDefault="007201F4" w:rsidP="007201F4">
      <w:pPr>
        <w:pStyle w:val="StandardWeb"/>
      </w:pPr>
      <w:r>
        <w:t>[</w:t>
      </w:r>
      <w:r>
        <w:br/>
        <w:t>\mathcal{R}\in\mathfrak{R}</w:t>
      </w:r>
      <w:r>
        <w:rPr>
          <w:rStyle w:val="Hervorhebung"/>
        </w:rPr>
        <w:t>{\mathrm{f}}</w:t>
      </w:r>
      <w:r>
        <w:rPr>
          <w:i/>
          <w:iCs/>
        </w:rPr>
        <w:br/>
      </w:r>
      <w:r>
        <w:rPr>
          <w:rStyle w:val="Hervorhebung"/>
        </w:rPr>
        <w:t>\iff</w:t>
      </w:r>
      <w:r>
        <w:rPr>
          <w:i/>
          <w:iCs/>
        </w:rPr>
        <w:br/>
      </w:r>
      <w:r>
        <w:rPr>
          <w:rStyle w:val="Hervorhebung"/>
        </w:rPr>
        <w:t>\left(</w:t>
      </w:r>
      <w:r>
        <w:rPr>
          <w:i/>
          <w:iCs/>
        </w:rPr>
        <w:br/>
      </w:r>
      <w:r>
        <w:rPr>
          <w:rStyle w:val="Hervorhebung"/>
        </w:rPr>
        <w:t>\mathcal{R}\subseteq</w:t>
      </w:r>
      <w:r>
        <w:rPr>
          <w:i/>
          <w:iCs/>
        </w:rPr>
        <w:br/>
      </w:r>
      <w:r>
        <w:rPr>
          <w:rStyle w:val="Hervorhebung"/>
        </w:rPr>
        <w:t>\mathcal{S}</w:t>
      </w:r>
      <w:r>
        <w:t>{\mathrm{el}}\times\mathcal{S}_{\mathrm{el}}</w:t>
      </w:r>
      <w:r>
        <w:br/>
        <w:t>\right)</w:t>
      </w:r>
      <w:r>
        <w:br/>
        <w:t>\land</w:t>
      </w:r>
      <w:r>
        <w:br/>
        <w:t>\left(</w:t>
      </w:r>
      <w:r>
        <w:br/>
        <w:t>\rho(\mathcal{R})=1</w:t>
      </w:r>
      <w:r>
        <w:br/>
        <w:t>\right).</w:t>
      </w:r>
      <w:r>
        <w:br/>
        <w:t>\tag{3.4015}</w:t>
      </w:r>
      <w:r>
        <w:br/>
        <w:t>]</w:t>
      </w:r>
    </w:p>
    <w:p w:rsidR="007201F4" w:rsidRDefault="007201F4" w:rsidP="007201F4">
      <w:pPr>
        <w:pStyle w:val="StandardWeb"/>
      </w:pPr>
      <w:r>
        <w:rPr>
          <w:rStyle w:val="Fett"/>
        </w:rPr>
        <w:t>Word-LaTeX</w:t>
      </w:r>
    </w:p>
    <w:p w:rsidR="007201F4" w:rsidRDefault="007201F4" w:rsidP="007201F4">
      <w:pPr>
        <w:pStyle w:val="HTMLVorformatiert"/>
        <w:rPr>
          <w:rStyle w:val="HTMLCode"/>
        </w:rPr>
      </w:pPr>
      <w:r>
        <w:rPr>
          <w:rStyle w:val="HTMLCode"/>
        </w:rPr>
        <w:t>\mathcal{R}\in\mathfrak{R}_{\mathrm{f}}\iff\left(\mathcal{R}\subseteq\mathcal{S}_{\mathrm{el}}\times\mathcal{S}_{\mathrm{el}}\right)\land\left(\rho(\mathcal{R})=1\right)\qquad\text{(3.4015)}</w:t>
      </w:r>
    </w:p>
    <w:p w:rsidR="007201F4" w:rsidRDefault="007201F4" w:rsidP="007201F4">
      <w:pPr>
        <w:pStyle w:val="StandardWeb"/>
      </w:pPr>
      <w:r>
        <w:t>Dabei bezeichnet:</w:t>
      </w:r>
    </w:p>
    <w:p w:rsidR="007201F4" w:rsidRDefault="007201F4" w:rsidP="00632D23">
      <w:pPr>
        <w:pStyle w:val="StandardWeb"/>
        <w:numPr>
          <w:ilvl w:val="0"/>
          <w:numId w:val="32"/>
        </w:numPr>
      </w:pPr>
      <w:r>
        <w:t>(\mathcal{R}) eine Relation auf (\mathcal{S}_{\mathrm{el}}),</w:t>
      </w:r>
    </w:p>
    <w:p w:rsidR="007201F4" w:rsidRDefault="007201F4" w:rsidP="00632D23">
      <w:pPr>
        <w:pStyle w:val="StandardWeb"/>
        <w:numPr>
          <w:ilvl w:val="0"/>
          <w:numId w:val="32"/>
        </w:numPr>
      </w:pPr>
      <w:r>
        <w:t>(\mathfrak{R}_{\mathrm{f}}) die Menge der funktional wirksamen Relationen,</w:t>
      </w:r>
    </w:p>
    <w:p w:rsidR="007201F4" w:rsidRDefault="007201F4" w:rsidP="00632D23">
      <w:pPr>
        <w:pStyle w:val="StandardWeb"/>
        <w:numPr>
          <w:ilvl w:val="0"/>
          <w:numId w:val="32"/>
        </w:numPr>
      </w:pPr>
      <w:r>
        <w:t>(\subseteq) die Teilmengenbeziehung,</w:t>
      </w:r>
    </w:p>
    <w:p w:rsidR="007201F4" w:rsidRDefault="007201F4" w:rsidP="00632D23">
      <w:pPr>
        <w:pStyle w:val="StandardWeb"/>
        <w:numPr>
          <w:ilvl w:val="0"/>
          <w:numId w:val="32"/>
        </w:numPr>
      </w:pPr>
      <w:r>
        <w:t>(\land) die logische Konjunktion,</w:t>
      </w:r>
    </w:p>
    <w:p w:rsidR="007201F4" w:rsidRDefault="007201F4" w:rsidP="00632D23">
      <w:pPr>
        <w:pStyle w:val="StandardWeb"/>
        <w:numPr>
          <w:ilvl w:val="0"/>
          <w:numId w:val="32"/>
        </w:numPr>
      </w:pPr>
      <w:r>
        <w:t>(\rho(\mathcal{R})=1) das Vorliegen funktionaler Relationswirksamkeit.</w:t>
      </w:r>
    </w:p>
    <w:p w:rsidR="007201F4" w:rsidRDefault="007201F4" w:rsidP="007201F4">
      <w:pPr>
        <w:pStyle w:val="StandardWeb"/>
      </w:pPr>
      <w:r>
        <w:t>Gleichung (3.4015) ist eine Definition und kein neues Axiom. Die Existenz mindestens einer Relation, welche die Bedingung (\rho(\mathcal{R})=1) erfüllt, wurde bereits durch Primäraxiom II und Gleichung (3.4011) gesichert. Definition 3.3.2 legt ausschließlich fest, welche Relationen zur Menge (\mathfrak{R}_{\mathrm{f}}) gehören.</w:t>
      </w:r>
    </w:p>
    <w:p w:rsidR="007201F4" w:rsidRPr="00AF32B2" w:rsidRDefault="007201F4" w:rsidP="00AF32B2">
      <w:pPr>
        <w:pStyle w:val="berschrift4"/>
      </w:pPr>
      <w:r w:rsidRPr="00AF32B2">
        <w:t>3.3.9.3 Beziehung zwischen Zustandspaar und funktionaler Relation</w:t>
      </w:r>
    </w:p>
    <w:p w:rsidR="007201F4" w:rsidRDefault="007201F4" w:rsidP="007201F4">
      <w:pPr>
        <w:pStyle w:val="StandardWeb"/>
      </w:pPr>
      <w:r>
        <w:t>Für ein geordnetes Paar ((\delta_i,\delta_j)) elementarer funktionaler Zustände gilt:</w:t>
      </w:r>
    </w:p>
    <w:p w:rsidR="007201F4" w:rsidRDefault="007201F4" w:rsidP="007201F4">
      <w:pPr>
        <w:pStyle w:val="StandardWeb"/>
      </w:pPr>
      <w:r>
        <w:t>[</w:t>
      </w:r>
      <w:r>
        <w:br/>
        <w:t>(\delta_i,\delta_j)\in\mathcal{R}</w:t>
      </w:r>
      <w:r>
        <w:br/>
        <w:t>\quad\text{mit}\quad</w:t>
      </w:r>
      <w:r>
        <w:br/>
        <w:t>\mathcal{R}\in\mathfrak{R}_{\mathrm{f}}.</w:t>
      </w:r>
      <w:r>
        <w:br/>
        <w:t>\tag{3.4016}</w:t>
      </w:r>
      <w:r>
        <w:br/>
        <w:t>]</w:t>
      </w:r>
    </w:p>
    <w:p w:rsidR="007201F4" w:rsidRDefault="007201F4" w:rsidP="007201F4">
      <w:pPr>
        <w:pStyle w:val="StandardWeb"/>
      </w:pPr>
      <w:r>
        <w:rPr>
          <w:rStyle w:val="Fett"/>
        </w:rPr>
        <w:lastRenderedPageBreak/>
        <w:t>Word-LaTeX</w:t>
      </w:r>
    </w:p>
    <w:p w:rsidR="007201F4" w:rsidRDefault="007201F4" w:rsidP="007201F4">
      <w:pPr>
        <w:pStyle w:val="HTMLVorformatiert"/>
        <w:rPr>
          <w:rStyle w:val="HTMLCode"/>
        </w:rPr>
      </w:pPr>
      <w:r>
        <w:rPr>
          <w:rStyle w:val="HTMLCode"/>
        </w:rPr>
        <w:t>(\delta_i,\delta_j)\in\mathcal{R}\quad\text{mit}\quad\mathcal{R}\in\mathfrak{R}_{\mathrm{f}}\qquad\text{(3.4016)}</w:t>
      </w:r>
    </w:p>
    <w:p w:rsidR="007201F4" w:rsidRDefault="007201F4" w:rsidP="007201F4">
      <w:pPr>
        <w:pStyle w:val="StandardWeb"/>
      </w:pPr>
      <w:r>
        <w:t>Dabei bezeichnet:</w:t>
      </w:r>
    </w:p>
    <w:p w:rsidR="007201F4" w:rsidRDefault="007201F4" w:rsidP="00632D23">
      <w:pPr>
        <w:pStyle w:val="StandardWeb"/>
        <w:numPr>
          <w:ilvl w:val="0"/>
          <w:numId w:val="33"/>
        </w:numPr>
      </w:pPr>
      <w:r>
        <w:t>(\delta_i,\delta_j\in\mathcal{S}_{\mathrm{el}}) zwei elementare funktionale Zustände,</w:t>
      </w:r>
    </w:p>
    <w:p w:rsidR="007201F4" w:rsidRDefault="007201F4" w:rsidP="00632D23">
      <w:pPr>
        <w:pStyle w:val="StandardWeb"/>
        <w:numPr>
          <w:ilvl w:val="0"/>
          <w:numId w:val="33"/>
        </w:numPr>
      </w:pPr>
      <w:r>
        <w:t>((\delta_i,\delta_j)) ein geordnetes Zustandspaar,</w:t>
      </w:r>
    </w:p>
    <w:p w:rsidR="007201F4" w:rsidRDefault="007201F4" w:rsidP="00632D23">
      <w:pPr>
        <w:pStyle w:val="StandardWeb"/>
        <w:numPr>
          <w:ilvl w:val="0"/>
          <w:numId w:val="33"/>
        </w:numPr>
      </w:pPr>
      <w:r>
        <w:t>(\mathcal{R}\in\mathfrak{R}_{\mathrm{f}}) die Zugehörigkeit der Relation zur Menge funktional wirksamer Relationen.</w:t>
      </w:r>
    </w:p>
    <w:p w:rsidR="007201F4" w:rsidRDefault="007201F4" w:rsidP="007201F4">
      <w:pPr>
        <w:pStyle w:val="StandardWeb"/>
      </w:pPr>
      <w:r>
        <w:t>Gleichung (3.4016) sagt aus, dass das Zustandspaar Bestandteil einer funktional wirksamen Relation ist. Daraus folgt jedoch noch nicht, dass das einzelne Paar selbst eine eigenständige funktionale Wirkung besitzt. Die Wirksamkeitsbewertung (\rho) bezieht sich nach der bisherigen Definition auf die Relation als Ganzes.</w:t>
      </w:r>
    </w:p>
    <w:p w:rsidR="007201F4" w:rsidRDefault="007201F4" w:rsidP="007201F4">
      <w:pPr>
        <w:pStyle w:val="StandardWeb"/>
      </w:pPr>
      <w:r>
        <w:rPr>
          <w:rStyle w:val="Fett"/>
        </w:rPr>
        <w:t>Eigenleistung des FRZK</w:t>
      </w:r>
    </w:p>
    <w:p w:rsidR="007201F4" w:rsidRDefault="007201F4" w:rsidP="007201F4">
      <w:pPr>
        <w:pStyle w:val="StandardWeb"/>
      </w:pPr>
      <w:r>
        <w:t>Ich unterscheide deshalb zwischen der Wirksamkeit einer Relation und der möglichen Wirksamkeit einzelner Relationspaare. Primäraxiom II garantiert nur, dass mindestens eine Relation als Struktur funktional wirksam ist. Ob sämtliche in ihr enthaltenen Paare denselben funktionalen Beitrag leisten, bleibt offen und kann später durch zusätzliche Gewichtungen oder lokale Wirksamkeitsmaße untersucht werden.</w:t>
      </w:r>
    </w:p>
    <w:p w:rsidR="007201F4" w:rsidRPr="00AF32B2" w:rsidRDefault="007201F4" w:rsidP="00AF32B2">
      <w:pPr>
        <w:pStyle w:val="berschrift4"/>
      </w:pPr>
      <w:r w:rsidRPr="00AF32B2">
        <w:t>3.3.9.4 Selbstrelation und Fremdrelation</w:t>
      </w:r>
    </w:p>
    <w:p w:rsidR="007201F4" w:rsidRDefault="007201F4" w:rsidP="007201F4">
      <w:pPr>
        <w:pStyle w:val="StandardWeb"/>
      </w:pPr>
      <w:r>
        <w:t>Eine funktionale Relation kann grundsätzlich eine Selbstrelation enthalten:</w:t>
      </w:r>
    </w:p>
    <w:p w:rsidR="007201F4" w:rsidRDefault="007201F4" w:rsidP="007201F4">
      <w:pPr>
        <w:pStyle w:val="StandardWeb"/>
      </w:pPr>
      <w:r>
        <w:t>[</w:t>
      </w:r>
      <w:r>
        <w:br/>
        <w:t>(\delta_i,\delta_i)\in\mathcal{R}.</w:t>
      </w:r>
      <w:r>
        <w:br/>
        <w:t>\tag{3.4017}</w:t>
      </w:r>
      <w:r>
        <w:br/>
        <w:t>]</w:t>
      </w:r>
    </w:p>
    <w:p w:rsidR="007201F4" w:rsidRDefault="007201F4" w:rsidP="007201F4">
      <w:pPr>
        <w:pStyle w:val="StandardWeb"/>
      </w:pPr>
      <w:r>
        <w:rPr>
          <w:rStyle w:val="Fett"/>
        </w:rPr>
        <w:t>Word-LaTeX</w:t>
      </w:r>
    </w:p>
    <w:p w:rsidR="007201F4" w:rsidRDefault="007201F4" w:rsidP="007201F4">
      <w:pPr>
        <w:pStyle w:val="HTMLVorformatiert"/>
        <w:rPr>
          <w:rStyle w:val="HTMLCode"/>
        </w:rPr>
      </w:pPr>
      <w:r>
        <w:rPr>
          <w:rStyle w:val="HTMLCode"/>
        </w:rPr>
        <w:t>(\delta_i,\delta_i)\in\mathcal{R}\qquad\text{(3.4017)}</w:t>
      </w:r>
    </w:p>
    <w:p w:rsidR="007201F4" w:rsidRDefault="007201F4" w:rsidP="007201F4">
      <w:pPr>
        <w:pStyle w:val="StandardWeb"/>
      </w:pPr>
      <w:r>
        <w:t>Dabei bezeichnet ((\delta_i,\delta_i)) ein geordnetes Paar, dessen beide Komponenten identisch sind. Gleichung (3.4017) legt nicht fest, dass jede funktionale Relation reflexiv sein muss. Sie beschreibt ausschließlich die Möglichkeit einer Selbstrelation.</w:t>
      </w:r>
    </w:p>
    <w:p w:rsidR="007201F4" w:rsidRDefault="007201F4" w:rsidP="007201F4">
      <w:pPr>
        <w:pStyle w:val="StandardWeb"/>
      </w:pPr>
      <w:r>
        <w:t>Eine Fremdrelation liegt dagegen vor, wenn zwei verschiedene Zustände relationiert sind:</w:t>
      </w:r>
    </w:p>
    <w:p w:rsidR="007201F4" w:rsidRDefault="007201F4" w:rsidP="007201F4">
      <w:pPr>
        <w:pStyle w:val="StandardWeb"/>
      </w:pPr>
      <w:r>
        <w:t>[</w:t>
      </w:r>
      <w:r>
        <w:br/>
        <w:t>(\delta_i,\delta_j)\in\mathcal{R}</w:t>
      </w:r>
      <w:r>
        <w:br/>
        <w:t>\quad\land\quad</w:t>
      </w:r>
      <w:r>
        <w:br/>
        <w:t>\delta_i\neq\delta_j.</w:t>
      </w:r>
      <w:r>
        <w:br/>
        <w:t>\tag{3.4018}</w:t>
      </w:r>
      <w:r>
        <w:br/>
        <w:t>]</w:t>
      </w:r>
    </w:p>
    <w:p w:rsidR="007201F4" w:rsidRDefault="007201F4" w:rsidP="007201F4">
      <w:pPr>
        <w:pStyle w:val="StandardWeb"/>
      </w:pPr>
      <w:r>
        <w:rPr>
          <w:rStyle w:val="Fett"/>
        </w:rPr>
        <w:lastRenderedPageBreak/>
        <w:t>Word-LaTeX</w:t>
      </w:r>
    </w:p>
    <w:p w:rsidR="007201F4" w:rsidRDefault="007201F4" w:rsidP="007201F4">
      <w:pPr>
        <w:pStyle w:val="HTMLVorformatiert"/>
        <w:rPr>
          <w:rStyle w:val="HTMLCode"/>
        </w:rPr>
      </w:pPr>
      <w:r>
        <w:rPr>
          <w:rStyle w:val="HTMLCode"/>
        </w:rPr>
        <w:t>(\delta_i,\delta_j)\in\mathcal{R}\land\delta_i\neq\delta_j\qquad\text{(3.4018)}</w:t>
      </w:r>
    </w:p>
    <w:p w:rsidR="007201F4" w:rsidRDefault="007201F4" w:rsidP="007201F4">
      <w:pPr>
        <w:pStyle w:val="StandardWeb"/>
      </w:pPr>
      <w:r>
        <w:t>Dabei bezeichnet (\delta_i\neq\delta_j) die Verschiedenheit der relationierten Zustände.</w:t>
      </w:r>
    </w:p>
    <w:p w:rsidR="007201F4" w:rsidRDefault="007201F4" w:rsidP="007201F4">
      <w:pPr>
        <w:pStyle w:val="StandardWeb"/>
      </w:pPr>
      <w:r>
        <w:rPr>
          <w:rStyle w:val="Fett"/>
        </w:rPr>
        <w:t>Eigenleistung des FRZK</w:t>
      </w:r>
    </w:p>
    <w:p w:rsidR="007201F4" w:rsidRDefault="007201F4" w:rsidP="007201F4">
      <w:pPr>
        <w:pStyle w:val="StandardWeb"/>
      </w:pPr>
      <w:r>
        <w:t>Ich führe Selbstrelation und Fremdrelation als zwei unterscheidbare Relationsfälle ein, ohne eine von beiden als grundsätzlich vorrangig festzulegen. Für spätere Rekonstruktionen kann diese Unterscheidung wesentlich werden. Selbstrelationen können interne Erhaltungs- oder Rückbezüge beschreiben, während Fremdrelationen Verbindungen zwischen verschiedenen funktionalen Zuständen repräsentieren können. Eine physikalische Interpretation erfolgt an dieser Stelle jedoch noch nicht.</w:t>
      </w:r>
    </w:p>
    <w:p w:rsidR="007201F4" w:rsidRPr="00AF32B2" w:rsidRDefault="007201F4" w:rsidP="00AF32B2">
      <w:pPr>
        <w:pStyle w:val="berschrift4"/>
      </w:pPr>
      <w:r w:rsidRPr="00AF32B2">
        <w:t>3.3.9.5 Gerichtetheit</w:t>
      </w:r>
    </w:p>
    <w:p w:rsidR="007201F4" w:rsidRDefault="007201F4" w:rsidP="007201F4">
      <w:pPr>
        <w:pStyle w:val="StandardWeb"/>
      </w:pPr>
      <w:r>
        <w:t>Da eine Relation als Teilmenge eines kartesischen Produkts geordnete Paare enthält, kann die Reihenfolge der Komponenten relevant sein [6]. Für zwei Zustände (\delta_i) und (\delta_j) sind die Paare</w:t>
      </w:r>
    </w:p>
    <w:p w:rsidR="007201F4" w:rsidRDefault="007201F4" w:rsidP="007201F4">
      <w:pPr>
        <w:pStyle w:val="StandardWeb"/>
      </w:pPr>
      <w:r>
        <w:t>[</w:t>
      </w:r>
      <w:r>
        <w:br/>
        <w:t>(\delta_i,\delta_j)</w:t>
      </w:r>
      <w:r>
        <w:br/>
        <w:t>\quad\text{und}\quad</w:t>
      </w:r>
      <w:r>
        <w:br/>
        <w:t>(\delta_j,\delta_i)</w:t>
      </w:r>
      <w:r>
        <w:br/>
        <w:t>\tag{3.4019}</w:t>
      </w:r>
      <w:r>
        <w:br/>
        <w:t>]</w:t>
      </w:r>
    </w:p>
    <w:p w:rsidR="007201F4" w:rsidRDefault="007201F4" w:rsidP="007201F4">
      <w:pPr>
        <w:pStyle w:val="StandardWeb"/>
      </w:pPr>
      <w:r>
        <w:rPr>
          <w:rStyle w:val="Fett"/>
        </w:rPr>
        <w:t>Word-LaTeX</w:t>
      </w:r>
    </w:p>
    <w:p w:rsidR="007201F4" w:rsidRDefault="007201F4" w:rsidP="007201F4">
      <w:pPr>
        <w:pStyle w:val="HTMLVorformatiert"/>
        <w:rPr>
          <w:rStyle w:val="HTMLCode"/>
        </w:rPr>
      </w:pPr>
      <w:r>
        <w:rPr>
          <w:rStyle w:val="HTMLCode"/>
        </w:rPr>
        <w:t>(\delta_i,\delta_j)\quad\text{und}\quad(\delta_j,\delta_i)\qquad\text{(3.4019)}</w:t>
      </w:r>
    </w:p>
    <w:p w:rsidR="007201F4" w:rsidRDefault="007201F4" w:rsidP="007201F4">
      <w:pPr>
        <w:pStyle w:val="StandardWeb"/>
      </w:pPr>
      <w:r>
        <w:t>im Allgemeinen verschieden.</w:t>
      </w:r>
    </w:p>
    <w:p w:rsidR="007201F4" w:rsidRDefault="007201F4" w:rsidP="007201F4">
      <w:pPr>
        <w:pStyle w:val="StandardWeb"/>
      </w:pPr>
      <w:r>
        <w:t>Eine Relation ist symmetrisch, wenn aus der Zugehörigkeit eines Paares auch die Zugehörigkeit des umgekehrten Paares folgt:</w:t>
      </w:r>
    </w:p>
    <w:p w:rsidR="007201F4" w:rsidRDefault="007201F4" w:rsidP="007201F4">
      <w:pPr>
        <w:pStyle w:val="StandardWeb"/>
      </w:pPr>
      <w:r>
        <w:t>[</w:t>
      </w:r>
      <w:r>
        <w:br/>
        <w:t>(\delta_i,\delta_j)\in\mathcal{R}</w:t>
      </w:r>
      <w:r>
        <w:br/>
        <w:t>\Rightarrow</w:t>
      </w:r>
      <w:r>
        <w:br/>
        <w:t>(\delta_j,\delta_i)\in\mathcal{R}.</w:t>
      </w:r>
      <w:r>
        <w:br/>
        <w:t>\tag{3.4020}</w:t>
      </w:r>
      <w:r>
        <w:br/>
        <w:t>]</w:t>
      </w:r>
    </w:p>
    <w:p w:rsidR="007201F4" w:rsidRDefault="007201F4" w:rsidP="007201F4">
      <w:pPr>
        <w:pStyle w:val="StandardWeb"/>
      </w:pPr>
      <w:r>
        <w:rPr>
          <w:rStyle w:val="Fett"/>
        </w:rPr>
        <w:t>Word-LaTeX</w:t>
      </w:r>
    </w:p>
    <w:p w:rsidR="007201F4" w:rsidRDefault="007201F4" w:rsidP="007201F4">
      <w:pPr>
        <w:pStyle w:val="HTMLVorformatiert"/>
        <w:rPr>
          <w:rStyle w:val="HTMLCode"/>
        </w:rPr>
      </w:pPr>
      <w:r>
        <w:rPr>
          <w:rStyle w:val="HTMLCode"/>
        </w:rPr>
        <w:t>(\delta_i,\delta_j)\in\mathcal{R}\Rightarrow(\delta_j,\delta_i)\in\mathcal{R}\qquad\text{(3.4020)}</w:t>
      </w:r>
    </w:p>
    <w:p w:rsidR="007201F4" w:rsidRDefault="007201F4" w:rsidP="007201F4">
      <w:pPr>
        <w:pStyle w:val="StandardWeb"/>
      </w:pPr>
      <w:r>
        <w:t>Dabei bezeichnet (\Rightarrow) die logische Implikation.</w:t>
      </w:r>
    </w:p>
    <w:p w:rsidR="007201F4" w:rsidRDefault="007201F4" w:rsidP="007201F4">
      <w:pPr>
        <w:pStyle w:val="StandardWeb"/>
      </w:pPr>
      <w:r>
        <w:lastRenderedPageBreak/>
        <w:t>Eine gerichtete Relation verlangt demgegenüber nicht, dass diese Umkehrung gilt. Primäraxiom II und Definition 3.3.2 schreiben weder Symmetrie noch Asymmetrie vor.</w:t>
      </w:r>
    </w:p>
    <w:p w:rsidR="007201F4" w:rsidRDefault="007201F4" w:rsidP="007201F4">
      <w:pPr>
        <w:pStyle w:val="StandardWeb"/>
      </w:pPr>
      <w:r>
        <w:rPr>
          <w:rStyle w:val="Fett"/>
        </w:rPr>
        <w:t>Eigenleistung des FRZK</w:t>
      </w:r>
    </w:p>
    <w:p w:rsidR="007201F4" w:rsidRDefault="007201F4" w:rsidP="007201F4">
      <w:pPr>
        <w:pStyle w:val="StandardWeb"/>
      </w:pPr>
      <w:r>
        <w:t>Ich behandle Gerichtetheit zunächst als optionale Relationseigenschaft. Eine funktionale Relation kann symmetrisch, antisymmetrisch, asymmetrisch oder ohne entsprechende Klassifikation sein. Die bloße funktionale Wirksamkeit legt keine dieser Eigenschaften fest.</w:t>
      </w:r>
    </w:p>
    <w:p w:rsidR="007201F4" w:rsidRPr="00AF32B2" w:rsidRDefault="007201F4" w:rsidP="00AF32B2">
      <w:pPr>
        <w:pStyle w:val="berschrift4"/>
      </w:pPr>
      <w:r w:rsidRPr="00AF32B2">
        <w:t>3.3.9.6 Relationsprofil eines Zustands</w:t>
      </w:r>
    </w:p>
    <w:p w:rsidR="007201F4" w:rsidRDefault="007201F4" w:rsidP="007201F4">
      <w:pPr>
        <w:pStyle w:val="StandardWeb"/>
      </w:pPr>
      <w:r>
        <w:t>Für einen elementaren funktionalen Zustand (\delta_i) kann die Menge aller durch eine funktionale Relation (\mathcal{R}) erreichbaren Zustände definiert werden:</w:t>
      </w:r>
    </w:p>
    <w:p w:rsidR="007201F4" w:rsidRDefault="007201F4" w:rsidP="007201F4">
      <w:pPr>
        <w:pStyle w:val="berschrift1"/>
      </w:pPr>
      <w:r>
        <w:t>[</w:t>
      </w:r>
      <w:r>
        <w:br/>
        <w:t>\mathcal{N}_{\mathcal{R}}^{+}(\delta_i)</w:t>
      </w:r>
    </w:p>
    <w:p w:rsidR="007201F4" w:rsidRDefault="007201F4" w:rsidP="007201F4">
      <w:pPr>
        <w:pStyle w:val="StandardWeb"/>
      </w:pPr>
      <w:r>
        <w:t>\left{</w:t>
      </w:r>
      <w:r>
        <w:br/>
        <w:t>\delta_j\in\mathcal{S}_{\mathrm{el}}</w:t>
      </w:r>
      <w:r>
        <w:br/>
        <w:t>;\middle|;</w:t>
      </w:r>
      <w:r>
        <w:br/>
        <w:t>(\delta_i,\delta_j)\in\mathcal{R}</w:t>
      </w:r>
      <w:r>
        <w:br/>
        <w:t>\right}.</w:t>
      </w:r>
      <w:r>
        <w:br/>
        <w:t>\tag{3.4021}</w:t>
      </w:r>
      <w:r>
        <w:br/>
        <w:t>]</w:t>
      </w:r>
    </w:p>
    <w:p w:rsidR="007201F4" w:rsidRDefault="007201F4" w:rsidP="007201F4">
      <w:pPr>
        <w:pStyle w:val="StandardWeb"/>
      </w:pPr>
      <w:r>
        <w:rPr>
          <w:rStyle w:val="Fett"/>
        </w:rPr>
        <w:t>Word-LaTeX</w:t>
      </w:r>
    </w:p>
    <w:p w:rsidR="007201F4" w:rsidRDefault="007201F4" w:rsidP="007201F4">
      <w:pPr>
        <w:pStyle w:val="HTMLVorformatiert"/>
        <w:rPr>
          <w:rStyle w:val="HTMLCode"/>
        </w:rPr>
      </w:pPr>
      <w:r>
        <w:rPr>
          <w:rStyle w:val="HTMLCode"/>
        </w:rPr>
        <w:t>\mathcal{N}_{\mathcal{R}}^{+}(\delta_i)=\left\{\delta_j\in\mathcal{S}_{\mathrm{el}}\middle|(\delta_i,\delta_j)\in\mathcal{R}\right\}\qquad\text{(3.4021)}</w:t>
      </w:r>
    </w:p>
    <w:p w:rsidR="007201F4" w:rsidRDefault="007201F4" w:rsidP="007201F4">
      <w:pPr>
        <w:pStyle w:val="StandardWeb"/>
      </w:pPr>
      <w:r>
        <w:t>Dabei bezeichnet:</w:t>
      </w:r>
    </w:p>
    <w:p w:rsidR="007201F4" w:rsidRDefault="007201F4" w:rsidP="00632D23">
      <w:pPr>
        <w:pStyle w:val="StandardWeb"/>
        <w:numPr>
          <w:ilvl w:val="0"/>
          <w:numId w:val="34"/>
        </w:numPr>
      </w:pPr>
      <w:r>
        <w:t>(\mathcal{N}_{\mathcal{R}}^{+}(\delta_i)) die ausgehende Relationsumgebung von (\delta_i),</w:t>
      </w:r>
    </w:p>
    <w:p w:rsidR="007201F4" w:rsidRDefault="007201F4" w:rsidP="00632D23">
      <w:pPr>
        <w:pStyle w:val="StandardWeb"/>
        <w:numPr>
          <w:ilvl w:val="0"/>
          <w:numId w:val="34"/>
        </w:numPr>
      </w:pPr>
      <w:r>
        <w:t>das hochgestellte (+) die ausgehende Relationsrichtung,</w:t>
      </w:r>
    </w:p>
    <w:p w:rsidR="007201F4" w:rsidRDefault="007201F4" w:rsidP="00632D23">
      <w:pPr>
        <w:pStyle w:val="StandardWeb"/>
        <w:numPr>
          <w:ilvl w:val="0"/>
          <w:numId w:val="34"/>
        </w:numPr>
      </w:pPr>
      <w:r>
        <w:t>(\delta_j) einen Zustand, der über (\mathcal{R}) von (\delta_i) aus relationiert ist.</w:t>
      </w:r>
    </w:p>
    <w:p w:rsidR="007201F4" w:rsidRDefault="007201F4" w:rsidP="007201F4">
      <w:pPr>
        <w:pStyle w:val="StandardWeb"/>
      </w:pPr>
      <w:r>
        <w:t>Entsprechend definiere ich die eingehende Relationsumgebung:</w:t>
      </w:r>
    </w:p>
    <w:p w:rsidR="007201F4" w:rsidRDefault="007201F4" w:rsidP="007201F4">
      <w:pPr>
        <w:pStyle w:val="berschrift1"/>
      </w:pPr>
      <w:r>
        <w:t>[</w:t>
      </w:r>
      <w:r>
        <w:br/>
        <w:t>\mathcal{N}_{\mathcal{R}}^{-}(\delta_i)</w:t>
      </w:r>
    </w:p>
    <w:p w:rsidR="007201F4" w:rsidRDefault="007201F4" w:rsidP="007201F4">
      <w:pPr>
        <w:pStyle w:val="StandardWeb"/>
      </w:pPr>
      <w:r>
        <w:t>\left{</w:t>
      </w:r>
      <w:r>
        <w:br/>
        <w:t>\delta_j\in\mathcal{S}_{\mathrm{el}}</w:t>
      </w:r>
      <w:r>
        <w:br/>
        <w:t>;\middle|;</w:t>
      </w:r>
      <w:r>
        <w:br/>
        <w:t>(\delta_j,\delta_i)\in\mathcal{R}</w:t>
      </w:r>
      <w:r>
        <w:br/>
        <w:t>\right}.</w:t>
      </w:r>
      <w:r>
        <w:br/>
      </w:r>
      <w:r>
        <w:lastRenderedPageBreak/>
        <w:t>\tag{3.4022}</w:t>
      </w:r>
      <w:r>
        <w:br/>
        <w:t>]</w:t>
      </w:r>
    </w:p>
    <w:p w:rsidR="007201F4" w:rsidRDefault="007201F4" w:rsidP="007201F4">
      <w:pPr>
        <w:pStyle w:val="StandardWeb"/>
      </w:pPr>
      <w:r>
        <w:rPr>
          <w:rStyle w:val="Fett"/>
        </w:rPr>
        <w:t>Word-LaTeX</w:t>
      </w:r>
    </w:p>
    <w:p w:rsidR="007201F4" w:rsidRDefault="007201F4" w:rsidP="007201F4">
      <w:pPr>
        <w:pStyle w:val="HTMLVorformatiert"/>
        <w:rPr>
          <w:rStyle w:val="HTMLCode"/>
        </w:rPr>
      </w:pPr>
      <w:r>
        <w:rPr>
          <w:rStyle w:val="HTMLCode"/>
        </w:rPr>
        <w:t>\mathcal{N}_{\mathcal{R}}^{-}(\delta_i)=\left\{\delta_j\in\mathcal{S}_{\mathrm{el}}\middle|(\delta_j,\delta_i)\in\mathcal{R}\right\}\qquad\text{(3.4022)}</w:t>
      </w:r>
    </w:p>
    <w:p w:rsidR="007201F4" w:rsidRDefault="007201F4" w:rsidP="007201F4">
      <w:pPr>
        <w:pStyle w:val="StandardWeb"/>
      </w:pPr>
      <w:r>
        <w:t>Dabei bezeichnet das hochgestellte (-) die eingehende Relationsrichtung.</w:t>
      </w:r>
    </w:p>
    <w:p w:rsidR="007201F4" w:rsidRDefault="007201F4" w:rsidP="007201F4">
      <w:pPr>
        <w:pStyle w:val="StandardWeb"/>
      </w:pPr>
      <w:r>
        <w:t>Die Gleichungen (3.4021) und (3.4022) führen keine räumliche Nachbarschaft ein. Der Begriff „Relationsumgebung“ beschreibt ausschließlich die Menge direkt relationierter Zustände.</w:t>
      </w:r>
    </w:p>
    <w:p w:rsidR="007201F4" w:rsidRDefault="007201F4" w:rsidP="007201F4">
      <w:pPr>
        <w:pStyle w:val="StandardWeb"/>
      </w:pPr>
      <w:r>
        <w:rPr>
          <w:rStyle w:val="Fett"/>
        </w:rPr>
        <w:t>Eigenleistung des FRZK</w:t>
      </w:r>
    </w:p>
    <w:p w:rsidR="007201F4" w:rsidRDefault="007201F4" w:rsidP="007201F4">
      <w:pPr>
        <w:pStyle w:val="StandardWeb"/>
      </w:pPr>
      <w:r>
        <w:t>Ich unterscheide damit erstmals ausgehende und eingehende funktionale Verbindungen. Diese Unterscheidung bereitet spätere gerichtete Operatoren und Transformationsstrukturen vor, ohne bereits eine Dynamik oder Zeitrichtung vorauszusetzen.</w:t>
      </w:r>
    </w:p>
    <w:p w:rsidR="007201F4" w:rsidRPr="00AF32B2" w:rsidRDefault="007201F4" w:rsidP="00AF32B2">
      <w:pPr>
        <w:pStyle w:val="berschrift4"/>
      </w:pPr>
      <w:r w:rsidRPr="00AF32B2">
        <w:t>3.3.9.7 Isolierter funktionaler Zustand</w:t>
      </w:r>
    </w:p>
    <w:p w:rsidR="007201F4" w:rsidRDefault="007201F4" w:rsidP="007201F4">
      <w:pPr>
        <w:pStyle w:val="StandardWeb"/>
      </w:pPr>
      <w:r>
        <w:t>Ein elementarer funktionaler Zustand ist bezüglich einer Relation (\mathcal{R}) isoliert, wenn weder eine ausgehende noch eine eingehende Relation zu einem Zustand besteht:</w:t>
      </w:r>
    </w:p>
    <w:p w:rsidR="007201F4" w:rsidRDefault="007201F4" w:rsidP="007201F4">
      <w:pPr>
        <w:pStyle w:val="berschrift1"/>
      </w:pPr>
      <w:r>
        <w:t>[</w:t>
      </w:r>
      <w:r>
        <w:br/>
        <w:t>\mathcal{N}_{\mathcal{R}}^{+}(\delta_i)</w:t>
      </w:r>
    </w:p>
    <w:p w:rsidR="007201F4" w:rsidRDefault="007201F4" w:rsidP="007201F4">
      <w:pPr>
        <w:pStyle w:val="berschrift1"/>
      </w:pPr>
      <w:r>
        <w:t>\mathcal{N}_{\mathcal{R}}^{-}(\delta_i)</w:t>
      </w:r>
    </w:p>
    <w:p w:rsidR="007201F4" w:rsidRDefault="007201F4" w:rsidP="007201F4">
      <w:pPr>
        <w:pStyle w:val="StandardWeb"/>
      </w:pPr>
      <w:r>
        <w:t>\emptyset.</w:t>
      </w:r>
      <w:r>
        <w:br/>
        <w:t>\tag{3.4023}</w:t>
      </w:r>
      <w:r>
        <w:br/>
        <w:t>]</w:t>
      </w:r>
    </w:p>
    <w:p w:rsidR="007201F4" w:rsidRDefault="007201F4" w:rsidP="007201F4">
      <w:pPr>
        <w:pStyle w:val="StandardWeb"/>
      </w:pPr>
      <w:r>
        <w:rPr>
          <w:rStyle w:val="Fett"/>
        </w:rPr>
        <w:t>Word-LaTeX</w:t>
      </w:r>
    </w:p>
    <w:p w:rsidR="007201F4" w:rsidRDefault="007201F4" w:rsidP="007201F4">
      <w:pPr>
        <w:pStyle w:val="HTMLVorformatiert"/>
        <w:rPr>
          <w:rStyle w:val="HTMLCode"/>
        </w:rPr>
      </w:pPr>
      <w:r>
        <w:rPr>
          <w:rStyle w:val="HTMLCode"/>
        </w:rPr>
        <w:t>\mathcal{N}_{\mathcal{R}}^{+}(\delta_i)=\mathcal{N}_{\mathcal{R}}^{-}(\delta_i)=\emptyset\qquad\text{(3.4023)}</w:t>
      </w:r>
    </w:p>
    <w:p w:rsidR="007201F4" w:rsidRDefault="007201F4" w:rsidP="007201F4">
      <w:pPr>
        <w:pStyle w:val="StandardWeb"/>
      </w:pPr>
      <w:r>
        <w:t>Dabei bezeichnet (\emptyset) die leere Menge.</w:t>
      </w:r>
    </w:p>
    <w:p w:rsidR="007201F4" w:rsidRDefault="007201F4" w:rsidP="007201F4">
      <w:pPr>
        <w:pStyle w:val="StandardWeb"/>
      </w:pPr>
      <w:r>
        <w:t>Primäraxiom II schließt isolierte Zustände nicht aus. Es garantiert lediglich die Existenz mindestens einer funktional wirksamen Relation innerhalb des gesamten Gegenstandsbereichs. Andere Zustände können bezüglich dieser oder anderer Relationen isoliert bleiben.</w:t>
      </w:r>
    </w:p>
    <w:p w:rsidR="007201F4" w:rsidRDefault="007201F4" w:rsidP="007201F4">
      <w:pPr>
        <w:pStyle w:val="StandardWeb"/>
      </w:pPr>
      <w:r>
        <w:rPr>
          <w:rStyle w:val="Fett"/>
        </w:rPr>
        <w:t>Eigenleistung des FRZK</w:t>
      </w:r>
    </w:p>
    <w:p w:rsidR="007201F4" w:rsidRDefault="007201F4" w:rsidP="007201F4">
      <w:pPr>
        <w:pStyle w:val="StandardWeb"/>
      </w:pPr>
      <w:r>
        <w:lastRenderedPageBreak/>
        <w:t>Diese Möglichkeit ist für die Minimalität der Axiomatik wichtig. Würde Primäraxiom II verlangen, dass jeder Zustand relationiert sein muss, würde eine universelle Vernetzung vorausgesetzt. Eine solche Annahme ist weder mathematisch notwendig noch aus der Gap-Analyse begründet.</w:t>
      </w:r>
    </w:p>
    <w:p w:rsidR="007201F4" w:rsidRPr="00AF32B2" w:rsidRDefault="007201F4" w:rsidP="00AF32B2">
      <w:pPr>
        <w:pStyle w:val="berschrift4"/>
      </w:pPr>
      <w:r w:rsidRPr="00AF32B2">
        <w:t>3.3.9.8 Funktionaler Relationsgrad</w:t>
      </w:r>
    </w:p>
    <w:p w:rsidR="007201F4" w:rsidRDefault="007201F4" w:rsidP="007201F4">
      <w:pPr>
        <w:pStyle w:val="StandardWeb"/>
      </w:pPr>
      <w:r>
        <w:t>Für endliche Relationsumgebungen kann die Anzahl ausgehender beziehungsweise eingehender Relationen bestimmt werden:</w:t>
      </w:r>
    </w:p>
    <w:p w:rsidR="007201F4" w:rsidRDefault="007201F4" w:rsidP="007201F4">
      <w:pPr>
        <w:pStyle w:val="berschrift1"/>
      </w:pPr>
      <w:r>
        <w:t>[</w:t>
      </w:r>
      <w:r>
        <w:br/>
        <w:t>d_{\mathcal{R}}^{+}(\delta_i)</w:t>
      </w:r>
    </w:p>
    <w:p w:rsidR="007201F4" w:rsidRDefault="007201F4" w:rsidP="007201F4">
      <w:pPr>
        <w:pStyle w:val="StandardWeb"/>
      </w:pPr>
      <w:r>
        <w:t>\left|</w:t>
      </w:r>
      <w:r>
        <w:br/>
        <w:t>\mathcal{N}_{\mathcal{R}}^{+}(\delta_i)</w:t>
      </w:r>
      <w:r>
        <w:br/>
        <w:t>\right|.</w:t>
      </w:r>
      <w:r>
        <w:br/>
        <w:t>\tag{3.4024}</w:t>
      </w:r>
      <w:r>
        <w:br/>
        <w:t>]</w:t>
      </w:r>
    </w:p>
    <w:p w:rsidR="007201F4" w:rsidRDefault="007201F4" w:rsidP="007201F4">
      <w:pPr>
        <w:pStyle w:val="StandardWeb"/>
      </w:pPr>
      <w:r>
        <w:rPr>
          <w:rStyle w:val="Fett"/>
        </w:rPr>
        <w:t>Word-LaTeX</w:t>
      </w:r>
    </w:p>
    <w:p w:rsidR="007201F4" w:rsidRDefault="007201F4" w:rsidP="007201F4">
      <w:pPr>
        <w:pStyle w:val="HTMLVorformatiert"/>
        <w:rPr>
          <w:rStyle w:val="HTMLCode"/>
        </w:rPr>
      </w:pPr>
      <w:r>
        <w:rPr>
          <w:rStyle w:val="HTMLCode"/>
        </w:rPr>
        <w:t>d_{\mathcal{R}}^{+}(\delta_i)=\left|\mathcal{N}_{\mathcal{R}}^{+}(\delta_i)\right|\qquad\text{(3.4024)}</w:t>
      </w:r>
    </w:p>
    <w:p w:rsidR="007201F4" w:rsidRDefault="007201F4" w:rsidP="007201F4">
      <w:pPr>
        <w:pStyle w:val="berschrift1"/>
      </w:pPr>
      <w:r>
        <w:t>[</w:t>
      </w:r>
      <w:r>
        <w:br/>
        <w:t>d_{\mathcal{R}}^{-}(\delta_i)</w:t>
      </w:r>
    </w:p>
    <w:p w:rsidR="007201F4" w:rsidRDefault="007201F4" w:rsidP="007201F4">
      <w:pPr>
        <w:pStyle w:val="StandardWeb"/>
      </w:pPr>
      <w:r>
        <w:t>\left|</w:t>
      </w:r>
      <w:r>
        <w:br/>
        <w:t>\mathcal{N}_{\mathcal{R}}^{-}(\delta_i)</w:t>
      </w:r>
      <w:r>
        <w:br/>
        <w:t>\right|.</w:t>
      </w:r>
      <w:r>
        <w:br/>
        <w:t>\tag{3.4025}</w:t>
      </w:r>
      <w:r>
        <w:br/>
        <w:t>]</w:t>
      </w:r>
    </w:p>
    <w:p w:rsidR="007201F4" w:rsidRDefault="007201F4" w:rsidP="007201F4">
      <w:pPr>
        <w:pStyle w:val="StandardWeb"/>
      </w:pPr>
      <w:r>
        <w:rPr>
          <w:rStyle w:val="Fett"/>
        </w:rPr>
        <w:t>Word-LaTeX</w:t>
      </w:r>
    </w:p>
    <w:p w:rsidR="007201F4" w:rsidRDefault="007201F4" w:rsidP="007201F4">
      <w:pPr>
        <w:pStyle w:val="HTMLVorformatiert"/>
        <w:rPr>
          <w:rStyle w:val="HTMLCode"/>
        </w:rPr>
      </w:pPr>
      <w:r>
        <w:rPr>
          <w:rStyle w:val="HTMLCode"/>
        </w:rPr>
        <w:t>d_{\mathcal{R}}^{-}(\delta_i)=\left|\mathcal{N}_{\mathcal{R}}^{-}(\delta_i)\right|\qquad\text{(3.4025)}</w:t>
      </w:r>
    </w:p>
    <w:p w:rsidR="007201F4" w:rsidRDefault="007201F4" w:rsidP="007201F4">
      <w:pPr>
        <w:pStyle w:val="StandardWeb"/>
      </w:pPr>
      <w:r>
        <w:t>Dabei bezeichnet:</w:t>
      </w:r>
    </w:p>
    <w:p w:rsidR="007201F4" w:rsidRDefault="007201F4" w:rsidP="00632D23">
      <w:pPr>
        <w:pStyle w:val="StandardWeb"/>
        <w:numPr>
          <w:ilvl w:val="0"/>
          <w:numId w:val="35"/>
        </w:numPr>
      </w:pPr>
      <w:r>
        <w:t>(d_{\mathcal{R}}^{+}(\delta_i)) den ausgehenden Relationsgrad,</w:t>
      </w:r>
    </w:p>
    <w:p w:rsidR="007201F4" w:rsidRDefault="007201F4" w:rsidP="00632D23">
      <w:pPr>
        <w:pStyle w:val="StandardWeb"/>
        <w:numPr>
          <w:ilvl w:val="0"/>
          <w:numId w:val="35"/>
        </w:numPr>
      </w:pPr>
      <w:r>
        <w:t>(d_{\mathcal{R}}^{-}(\delta_i)) den eingehenden Relationsgrad,</w:t>
      </w:r>
    </w:p>
    <w:p w:rsidR="007201F4" w:rsidRDefault="007201F4" w:rsidP="00632D23">
      <w:pPr>
        <w:pStyle w:val="StandardWeb"/>
        <w:numPr>
          <w:ilvl w:val="0"/>
          <w:numId w:val="35"/>
        </w:numPr>
      </w:pPr>
      <w:r>
        <w:t>(|\cdot|) die Mächtigkeit einer endlichen Menge.</w:t>
      </w:r>
    </w:p>
    <w:p w:rsidR="007201F4" w:rsidRDefault="007201F4" w:rsidP="007201F4">
      <w:pPr>
        <w:pStyle w:val="StandardWeb"/>
      </w:pPr>
      <w:r>
        <w:t>Diese Größen zählen relationierte Zustände. Sie messen noch nicht die Stärke, Bedeutung oder Wirksamkeit der einzelnen Beziehungen.</w:t>
      </w:r>
    </w:p>
    <w:p w:rsidR="007201F4" w:rsidRDefault="007201F4" w:rsidP="007201F4">
      <w:pPr>
        <w:pStyle w:val="StandardWeb"/>
      </w:pPr>
      <w:r>
        <w:rPr>
          <w:rStyle w:val="Fett"/>
        </w:rPr>
        <w:t>Eigenleistung des FRZK</w:t>
      </w:r>
    </w:p>
    <w:p w:rsidR="007201F4" w:rsidRDefault="007201F4" w:rsidP="007201F4">
      <w:pPr>
        <w:pStyle w:val="StandardWeb"/>
      </w:pPr>
      <w:r>
        <w:lastRenderedPageBreak/>
        <w:t>Ich führe den Relationsgrad als strukturelle Größe ein. Er kann später zur Analyse funktionaler Netzwerke verwendet werden. Eine hohe Anzahl von Relationen bedeutet jedoch nicht automatisch hohe Kohärenz oder starke funktionale Wirksamkeit.</w:t>
      </w:r>
    </w:p>
    <w:p w:rsidR="007201F4" w:rsidRPr="00AF32B2" w:rsidRDefault="007201F4" w:rsidP="00AF32B2">
      <w:pPr>
        <w:pStyle w:val="berschrift4"/>
      </w:pPr>
      <w:r w:rsidRPr="00AF32B2">
        <w:t>3.3.9.9 Relationsstruktur</w:t>
      </w:r>
    </w:p>
    <w:p w:rsidR="007201F4" w:rsidRDefault="007201F4" w:rsidP="007201F4">
      <w:pPr>
        <w:pStyle w:val="StandardWeb"/>
      </w:pPr>
      <w:r>
        <w:t>Die Gesamtheit der elementaren funktionalen Zustände und einer funktionalen Relation kann als geordnetes Paar dargestellt werden:</w:t>
      </w:r>
    </w:p>
    <w:p w:rsidR="007201F4" w:rsidRDefault="007201F4" w:rsidP="007201F4">
      <w:pPr>
        <w:pStyle w:val="berschrift1"/>
      </w:pPr>
      <w:r>
        <w:t>[</w:t>
      </w:r>
      <w:r>
        <w:br/>
        <w:t>\mathfrak{G}_{\mathcal{R}}</w:t>
      </w:r>
    </w:p>
    <w:p w:rsidR="007201F4" w:rsidRDefault="007201F4" w:rsidP="007201F4">
      <w:pPr>
        <w:pStyle w:val="StandardWeb"/>
      </w:pPr>
      <w:r>
        <w:t>\left(</w:t>
      </w:r>
      <w:r>
        <w:br/>
        <w:t>\mathcal{S}_{\mathrm{el}},</w:t>
      </w:r>
      <w:r>
        <w:br/>
        <w:t>\mathcal{R}</w:t>
      </w:r>
      <w:r>
        <w:br/>
        <w:t>\right).</w:t>
      </w:r>
      <w:r>
        <w:br/>
        <w:t>\tag{3.4026}</w:t>
      </w:r>
      <w:r>
        <w:br/>
        <w:t>]</w:t>
      </w:r>
    </w:p>
    <w:p w:rsidR="007201F4" w:rsidRDefault="007201F4" w:rsidP="007201F4">
      <w:pPr>
        <w:pStyle w:val="StandardWeb"/>
      </w:pPr>
      <w:r>
        <w:rPr>
          <w:rStyle w:val="Fett"/>
        </w:rPr>
        <w:t>Word-LaTeX</w:t>
      </w:r>
    </w:p>
    <w:p w:rsidR="007201F4" w:rsidRDefault="007201F4" w:rsidP="007201F4">
      <w:pPr>
        <w:pStyle w:val="HTMLVorformatiert"/>
        <w:rPr>
          <w:rStyle w:val="HTMLCode"/>
        </w:rPr>
      </w:pPr>
      <w:r>
        <w:rPr>
          <w:rStyle w:val="HTMLCode"/>
        </w:rPr>
        <w:t>\mathfrak{G}_{\mathcal{R}}=\left(\mathcal{S}_{\mathrm{el}},\mathcal{R}\right)\qquad\text{(3.4026)}</w:t>
      </w:r>
    </w:p>
    <w:p w:rsidR="007201F4" w:rsidRDefault="007201F4" w:rsidP="007201F4">
      <w:pPr>
        <w:pStyle w:val="StandardWeb"/>
      </w:pPr>
      <w:r>
        <w:t>Dabei bezeichnet (\mathfrak{G}</w:t>
      </w:r>
      <w:r>
        <w:rPr>
          <w:rStyle w:val="Hervorhebung"/>
        </w:rPr>
        <w:t>{\mathcal{R}}) die durch (\mathcal{S}</w:t>
      </w:r>
      <w:r>
        <w:t>{\mathrm{el}}) und (\mathcal{R}) bestimmte funktionale Relationsstruktur.</w:t>
      </w:r>
    </w:p>
    <w:p w:rsidR="007201F4" w:rsidRDefault="007201F4" w:rsidP="007201F4">
      <w:pPr>
        <w:pStyle w:val="StandardWeb"/>
      </w:pPr>
      <w:r>
        <w:t>Diese Struktur kann mathematisch als gerichteter oder ungerichteter Graph interpretiert werden, sofern die entsprechenden Eigenschaften der Relation festgelegt werden. Die Graphentheorie stellt hierfür etablierte Werkzeuge zur Verfügung. Definition 3.3.2 legt jedoch noch keine konkrete Graphenklasse fest.</w:t>
      </w:r>
    </w:p>
    <w:p w:rsidR="007201F4" w:rsidRDefault="007201F4" w:rsidP="007201F4">
      <w:pPr>
        <w:pStyle w:val="StandardWeb"/>
      </w:pPr>
      <w:r>
        <w:rPr>
          <w:rStyle w:val="Fett"/>
        </w:rPr>
        <w:t>Eigenleistung des FRZK</w:t>
      </w:r>
    </w:p>
    <w:p w:rsidR="007201F4" w:rsidRDefault="007201F4" w:rsidP="007201F4">
      <w:pPr>
        <w:pStyle w:val="StandardWeb"/>
      </w:pPr>
      <w:r>
        <w:t>Ich verwende (\mathfrak{G}_{\mathcal{R}}) als erste zusammengesetzte funktionale Struktur. Sie enthält Zustände und Relationen, aber noch keine Transformationen. Damit bildet sie den unmittelbaren Ausgangspunkt für das dritte Primäraxiom.</w:t>
      </w:r>
    </w:p>
    <w:p w:rsidR="007201F4" w:rsidRPr="00AF32B2" w:rsidRDefault="007201F4" w:rsidP="00AF32B2">
      <w:pPr>
        <w:pStyle w:val="berschrift4"/>
      </w:pPr>
      <w:r w:rsidRPr="00AF32B2">
        <w:t>3.3.9.10 Keine zeitliche Interpretation</w:t>
      </w:r>
    </w:p>
    <w:p w:rsidR="007201F4" w:rsidRDefault="007201F4" w:rsidP="007201F4">
      <w:pPr>
        <w:pStyle w:val="StandardWeb"/>
      </w:pPr>
      <w:r>
        <w:t>Die Indizes (i) und (j), die Reihenfolge eines geordneten Paares und die Unterscheidung zwischen eingehender und ausgehender Relationsumgebung begründen noch keine physikalische Zeit. Die Reihenfolge der Komponenten beschreibt ausschließlich die Orientierung einer Relation.</w:t>
      </w:r>
    </w:p>
    <w:p w:rsidR="007201F4" w:rsidRDefault="007201F4" w:rsidP="007201F4">
      <w:pPr>
        <w:pStyle w:val="StandardWeb"/>
      </w:pPr>
      <w:r>
        <w:rPr>
          <w:rStyle w:val="Fett"/>
        </w:rPr>
        <w:t>Eigenleistung des FRZK</w:t>
      </w:r>
    </w:p>
    <w:p w:rsidR="007201F4" w:rsidRDefault="007201F4" w:rsidP="007201F4">
      <w:pPr>
        <w:pStyle w:val="StandardWeb"/>
      </w:pPr>
      <w:r>
        <w:t>Ich verbiete deshalb an dieser Stelle die Interpretation</w:t>
      </w:r>
    </w:p>
    <w:p w:rsidR="007201F4" w:rsidRDefault="007201F4" w:rsidP="007201F4">
      <w:pPr>
        <w:pStyle w:val="StandardWeb"/>
      </w:pPr>
      <w:r>
        <w:lastRenderedPageBreak/>
        <w:t>[</w:t>
      </w:r>
      <w:r>
        <w:br/>
        <w:t>i&lt;j</w:t>
      </w:r>
      <w:r>
        <w:br/>
        <w:t>\tag{3.4027}</w:t>
      </w:r>
      <w:r>
        <w:br/>
        <w:t>]</w:t>
      </w:r>
    </w:p>
    <w:p w:rsidR="007201F4" w:rsidRDefault="007201F4" w:rsidP="007201F4">
      <w:pPr>
        <w:pStyle w:val="StandardWeb"/>
      </w:pPr>
      <w:r>
        <w:rPr>
          <w:rStyle w:val="Fett"/>
        </w:rPr>
        <w:t>Word-LaTeX</w:t>
      </w:r>
    </w:p>
    <w:p w:rsidR="007201F4" w:rsidRDefault="007201F4" w:rsidP="007201F4">
      <w:pPr>
        <w:pStyle w:val="HTMLVorformatiert"/>
        <w:rPr>
          <w:rStyle w:val="HTMLCode"/>
        </w:rPr>
      </w:pPr>
      <w:r>
        <w:rPr>
          <w:rStyle w:val="HTMLCode"/>
        </w:rPr>
        <w:t>i&lt;j\qquad\text{(3.4027)}</w:t>
      </w:r>
    </w:p>
    <w:p w:rsidR="007201F4" w:rsidRDefault="007201F4" w:rsidP="007201F4">
      <w:pPr>
        <w:pStyle w:val="StandardWeb"/>
      </w:pPr>
      <w:r>
        <w:t>als zeitliche Abfolge. Die Indizes dienen nur der Unterscheidung von Zuständen. Eine funktionale oder physikalische Zeitordnung muss später eigenständig rekonstruiert werden.</w:t>
      </w:r>
    </w:p>
    <w:p w:rsidR="007201F4" w:rsidRPr="00AF32B2" w:rsidRDefault="007201F4" w:rsidP="00AF32B2">
      <w:pPr>
        <w:pStyle w:val="berschrift4"/>
      </w:pPr>
      <w:r w:rsidRPr="00AF32B2">
        <w:t>3.3.9.11 Aussagen, die nicht aus Definition 3.3.2 folgen</w:t>
      </w:r>
    </w:p>
    <w:p w:rsidR="007201F4" w:rsidRDefault="007201F4" w:rsidP="007201F4">
      <w:pPr>
        <w:pStyle w:val="StandardWeb"/>
      </w:pPr>
      <w:r>
        <w:t>Aus der Definition einer funktionalen Relation folgt nicht:</w:t>
      </w:r>
    </w:p>
    <w:p w:rsidR="007201F4" w:rsidRDefault="007201F4" w:rsidP="00632D23">
      <w:pPr>
        <w:pStyle w:val="StandardWeb"/>
        <w:numPr>
          <w:ilvl w:val="0"/>
          <w:numId w:val="36"/>
        </w:numPr>
      </w:pPr>
      <w:r>
        <w:t>dass die Relation dauerhaft besteht,</w:t>
      </w:r>
    </w:p>
    <w:p w:rsidR="007201F4" w:rsidRDefault="007201F4" w:rsidP="00632D23">
      <w:pPr>
        <w:pStyle w:val="StandardWeb"/>
        <w:numPr>
          <w:ilvl w:val="0"/>
          <w:numId w:val="36"/>
        </w:numPr>
      </w:pPr>
      <w:r>
        <w:t>dass sie eine Transformation erzeugt,</w:t>
      </w:r>
    </w:p>
    <w:p w:rsidR="007201F4" w:rsidRDefault="007201F4" w:rsidP="00632D23">
      <w:pPr>
        <w:pStyle w:val="StandardWeb"/>
        <w:numPr>
          <w:ilvl w:val="0"/>
          <w:numId w:val="36"/>
        </w:numPr>
      </w:pPr>
      <w:r>
        <w:t>dass sie Energie oder Information überträgt,</w:t>
      </w:r>
    </w:p>
    <w:p w:rsidR="007201F4" w:rsidRDefault="007201F4" w:rsidP="00632D23">
      <w:pPr>
        <w:pStyle w:val="StandardWeb"/>
        <w:numPr>
          <w:ilvl w:val="0"/>
          <w:numId w:val="36"/>
        </w:numPr>
      </w:pPr>
      <w:r>
        <w:t>dass sie kausal ist,</w:t>
      </w:r>
    </w:p>
    <w:p w:rsidR="007201F4" w:rsidRDefault="007201F4" w:rsidP="00632D23">
      <w:pPr>
        <w:pStyle w:val="StandardWeb"/>
        <w:numPr>
          <w:ilvl w:val="0"/>
          <w:numId w:val="36"/>
        </w:numPr>
      </w:pPr>
      <w:r>
        <w:t>dass sie symmetrisch oder gerichtet ist,</w:t>
      </w:r>
    </w:p>
    <w:p w:rsidR="007201F4" w:rsidRDefault="007201F4" w:rsidP="00632D23">
      <w:pPr>
        <w:pStyle w:val="StandardWeb"/>
        <w:numPr>
          <w:ilvl w:val="0"/>
          <w:numId w:val="36"/>
        </w:numPr>
      </w:pPr>
      <w:r>
        <w:t>dass sie eine räumliche Verbindung beschreibt,</w:t>
      </w:r>
    </w:p>
    <w:p w:rsidR="007201F4" w:rsidRDefault="007201F4" w:rsidP="00632D23">
      <w:pPr>
        <w:pStyle w:val="StandardWeb"/>
        <w:numPr>
          <w:ilvl w:val="0"/>
          <w:numId w:val="36"/>
        </w:numPr>
      </w:pPr>
      <w:r>
        <w:t>dass sie eine zeitliche Reihenfolge begründet,</w:t>
      </w:r>
    </w:p>
    <w:p w:rsidR="007201F4" w:rsidRDefault="007201F4" w:rsidP="00632D23">
      <w:pPr>
        <w:pStyle w:val="StandardWeb"/>
        <w:numPr>
          <w:ilvl w:val="0"/>
          <w:numId w:val="36"/>
        </w:numPr>
      </w:pPr>
      <w:r>
        <w:t>dass sämtliche Zustände relationiert sind,</w:t>
      </w:r>
    </w:p>
    <w:p w:rsidR="007201F4" w:rsidRDefault="007201F4" w:rsidP="00632D23">
      <w:pPr>
        <w:pStyle w:val="StandardWeb"/>
        <w:numPr>
          <w:ilvl w:val="0"/>
          <w:numId w:val="36"/>
        </w:numPr>
      </w:pPr>
      <w:r>
        <w:t>dass mehrere Relationen miteinander kompatibel sind,</w:t>
      </w:r>
    </w:p>
    <w:p w:rsidR="007201F4" w:rsidRDefault="007201F4" w:rsidP="00632D23">
      <w:pPr>
        <w:pStyle w:val="StandardWeb"/>
        <w:numPr>
          <w:ilvl w:val="0"/>
          <w:numId w:val="36"/>
        </w:numPr>
      </w:pPr>
      <w:r>
        <w:t>dass Kohärenz vorliegt.</w:t>
      </w:r>
    </w:p>
    <w:p w:rsidR="007201F4" w:rsidRDefault="007201F4" w:rsidP="007201F4">
      <w:pPr>
        <w:pStyle w:val="StandardWeb"/>
      </w:pPr>
      <w:r>
        <w:t>Diese Eigenschaften erfordern zusätzliche Definitionen, Operatoren oder spätere Herleitungen.</w:t>
      </w:r>
    </w:p>
    <w:p w:rsidR="007201F4" w:rsidRPr="00AF32B2" w:rsidRDefault="007201F4" w:rsidP="00AF32B2">
      <w:pPr>
        <w:pStyle w:val="berschrift4"/>
      </w:pPr>
      <w:r w:rsidRPr="00AF32B2">
        <w:t>3.3.9.12 Übergang zur funktionalen Transformierbarkeit</w:t>
      </w:r>
    </w:p>
    <w:p w:rsidR="007201F4" w:rsidRDefault="007201F4" w:rsidP="007201F4">
      <w:pPr>
        <w:pStyle w:val="StandardWeb"/>
      </w:pPr>
      <w:r>
        <w:t>Mit Definition 3.3.2 stehen nun elementare funktionale Zustände und funktional wirksame Relationen zur Verfügung. Daraus folgt noch nicht, dass ein Zustand oder eine Relationsstruktur verändert werden kann.</w:t>
      </w:r>
    </w:p>
    <w:p w:rsidR="007201F4" w:rsidRDefault="007201F4" w:rsidP="007201F4">
      <w:pPr>
        <w:pStyle w:val="StandardWeb"/>
      </w:pPr>
      <w:r>
        <w:t>Eine Transformation verlangt eine Abbildung, welche mindestens einen funktionalen Ausgangszustand einem funktionalen Zielzustand zuordnet. Die mathematischen Grundlagen hierfür wurden in Kapitel 3.2 durch Funktionen und Operatoren bereitgestellt [71, 75, 76]. Ihre funktionale Zulässigkeit und Wirksamkeit sind jedoch noch nicht begründet.</w:t>
      </w:r>
    </w:p>
    <w:p w:rsidR="007201F4" w:rsidRDefault="007201F4" w:rsidP="007201F4">
      <w:pPr>
        <w:pStyle w:val="StandardWeb"/>
      </w:pPr>
      <w:r>
        <w:rPr>
          <w:rStyle w:val="Fett"/>
        </w:rPr>
        <w:t>Eigenleistung des FRZK</w:t>
      </w:r>
    </w:p>
    <w:p w:rsidR="007201F4" w:rsidRDefault="007201F4" w:rsidP="007201F4">
      <w:pPr>
        <w:pStyle w:val="StandardWeb"/>
      </w:pPr>
      <w:r>
        <w:t>Der folgende Abschnitt formuliert daher Primäraxiom III der funktionalen Transformierbarkeit. Es wird die Möglichkeit funktional wirksamer Übergänge eröffnen, ohne bereits eine Zeitvariable oder konkrete Dynamik vorauszusetzen.</w:t>
      </w:r>
    </w:p>
    <w:p w:rsidR="00E31D2E" w:rsidRDefault="00E31D2E" w:rsidP="00E31D2E">
      <w:pPr>
        <w:pStyle w:val="berschrift2"/>
      </w:pPr>
      <w:r>
        <w:t>Ergänzung zu 3.3.9 – Definition der funktionalen Relation</w:t>
      </w:r>
    </w:p>
    <w:p w:rsidR="00E31D2E" w:rsidRDefault="00E31D2E" w:rsidP="00E31D2E">
      <w:pPr>
        <w:pStyle w:val="berschrift3"/>
      </w:pPr>
      <w:r>
        <w:t>Methodologische Betrachtungen</w:t>
      </w:r>
    </w:p>
    <w:p w:rsidR="00E31D2E" w:rsidRDefault="00E31D2E" w:rsidP="00E31D2E">
      <w:pPr>
        <w:pStyle w:val="StandardWeb"/>
      </w:pPr>
      <w:r>
        <w:lastRenderedPageBreak/>
        <w:t xml:space="preserve">Nachdem Primäraxiom II die Möglichkeit mindestens einer funktional wirksamen Relation gesetzt hat, kann der Begriff der </w:t>
      </w:r>
      <w:r>
        <w:rPr>
          <w:rStyle w:val="Fett"/>
        </w:rPr>
        <w:t>funktionalen Relation</w:t>
      </w:r>
      <w:r>
        <w:t xml:space="preserve"> definitorisch präzisiert werden. Im aktuellen Aufbau wird eine Relation (\mathcal{R}) genau dann der Menge funktionaler Relationen zugeordnet, wenn sie eine Relation auf dem elementaren Zustandsbereich ist und das Relationswirksamkeitsprädikat (\rho) den Wert eins besitzt. Der Abschnitt erweitert diese Grunddefinition anschließend unter anderem um Selbst- und Fremdrelationen, Gerichtetheit, Relationsumgebungen, Relationsgrade und eine funktionale Relationsstruktur.</w:t>
      </w:r>
      <w:r>
        <w:br/>
        <w:t>Methodologisch ist die Definition von Primäraxiom II zu trennen. Das Axiom garantiert die Möglichkeit funktionaler Relationierbarkeit; die Definition legt fest, welche konkreten Relationen innerhalb des Modells als funktionale Relationen klassifiziert werden.</w:t>
      </w:r>
    </w:p>
    <w:p w:rsidR="00E31D2E" w:rsidRDefault="00E31D2E" w:rsidP="00E31D2E">
      <w:pPr>
        <w:pStyle w:val="StandardWeb"/>
      </w:pPr>
      <w:r>
        <w:t>Damit wird erneut verhindert, dass eine Definition heimlich zusätzlichen Existenzgehalt erzeugt. Die Menge</w:t>
      </w:r>
    </w:p>
    <w:p w:rsidR="00E31D2E" w:rsidRDefault="00E31D2E" w:rsidP="00E31D2E">
      <w:pPr>
        <w:pStyle w:val="StandardWeb"/>
      </w:pPr>
      <w:r>
        <w:t>[</w:t>
      </w:r>
      <w:r>
        <w:br/>
        <w:t>\mathfrak{R}_{\mathrm f}</w:t>
      </w:r>
      <w:r>
        <w:br/>
        <w:t>]</w:t>
      </w:r>
    </w:p>
    <w:p w:rsidR="00E31D2E" w:rsidRDefault="00E31D2E" w:rsidP="00E31D2E">
      <w:pPr>
        <w:pStyle w:val="StandardWeb"/>
      </w:pPr>
      <w:r>
        <w:t>ist nur deshalb sicher nicht leer, weil Primäraxiom II zuvor einen entsprechenden Existenzanspruch gesetzt hat. Die Definition selbst beschreibt die Zugehörigkeitsbedingung.</w:t>
      </w:r>
    </w:p>
    <w:p w:rsidR="00E31D2E" w:rsidRDefault="00E31D2E" w:rsidP="00E31D2E">
      <w:pPr>
        <w:pStyle w:val="StandardWeb"/>
      </w:pPr>
      <w:r>
        <w:t xml:space="preserve">Die Untersuchung von Selbst- und Fremdrelationen erweitert die Axiomatik ebenfalls nicht. Sie analysiert lediglich mögliche Formen bereits zugelassener funktionaler Relationen. Dass eine Relation formal eine Selbstrelation sein </w:t>
      </w:r>
      <w:r>
        <w:rPr>
          <w:rStyle w:val="Fett"/>
        </w:rPr>
        <w:t>kann</w:t>
      </w:r>
      <w:r>
        <w:t>, bedeutet nicht, dass jede funktionale Relation reflexiv sein muss. Ebenso folgt aus der Möglichkeit gerichteter Relationen nicht, dass sämtliche Relationen gerichtet oder asymmetrisch sein müssen.</w:t>
      </w:r>
    </w:p>
    <w:p w:rsidR="00E31D2E" w:rsidRDefault="00E31D2E" w:rsidP="00E31D2E">
      <w:pPr>
        <w:pStyle w:val="StandardWeb"/>
      </w:pPr>
      <w:r>
        <w:t>Auch Relationsgrade oder Relationsumgebungen sind als abgeleitete beziehungsweise definitorische Strukturen zu behandeln. Sie dürfen nicht so interpretiert werden, als hätte Primäraxiom II bereits eine Metrik, Gewichtung oder räumliche Umgebung vorausgesetzt.</w:t>
      </w:r>
    </w:p>
    <w:p w:rsidR="00E31D2E" w:rsidRDefault="00E31D2E" w:rsidP="00E31D2E">
      <w:pPr>
        <w:pStyle w:val="StandardWeb"/>
      </w:pPr>
      <w:r>
        <w:t xml:space="preserve">Besonders wichtig ist die Trennung zwischen Relation und Transformation. Eine funktionale Relation beschreibt zunächst, </w:t>
      </w:r>
      <w:r>
        <w:rPr>
          <w:rStyle w:val="Fett"/>
        </w:rPr>
        <w:t>dass</w:t>
      </w:r>
      <w:r>
        <w:t xml:space="preserve"> eine funktional relevante Beziehung zwischen Zuständen besteht. Sie beschreibt noch nicht, dass ein Zustand aus einem anderen hervorgeht. Diese Unterscheidung ist Voraussetzung dafür, dass Primäraxiom III später eigenständigen Aussagegehalt behalten kann.</w:t>
      </w:r>
    </w:p>
    <w:p w:rsidR="00E31D2E" w:rsidRDefault="00E31D2E" w:rsidP="00E31D2E">
      <w:pPr>
        <w:pStyle w:val="StandardWeb"/>
      </w:pPr>
      <w:r>
        <w:t>Ebenso bleibt Kausalität offen. Eine gerichtete Relation</w:t>
      </w:r>
    </w:p>
    <w:p w:rsidR="00E31D2E" w:rsidRDefault="00E31D2E" w:rsidP="00E31D2E">
      <w:pPr>
        <w:pStyle w:val="StandardWeb"/>
      </w:pPr>
      <w:r>
        <w:t>[</w:t>
      </w:r>
      <w:r>
        <w:br/>
        <w:t>\delta_i\mathcal{R}\delta_j</w:t>
      </w:r>
      <w:r>
        <w:br/>
        <w:t>]</w:t>
      </w:r>
    </w:p>
    <w:p w:rsidR="00E31D2E" w:rsidRDefault="00E31D2E" w:rsidP="00E31D2E">
      <w:pPr>
        <w:pStyle w:val="StandardWeb"/>
      </w:pPr>
      <w:r>
        <w:t>bedeutet noch nicht automatisch:</w:t>
      </w:r>
    </w:p>
    <w:p w:rsidR="00E31D2E" w:rsidRDefault="00E31D2E" w:rsidP="00E31D2E">
      <w:pPr>
        <w:pStyle w:val="StandardWeb"/>
      </w:pPr>
      <w:r>
        <w:t>„(\delta_i) verursacht (\delta_j).“</w:t>
      </w:r>
    </w:p>
    <w:p w:rsidR="00E31D2E" w:rsidRDefault="00E31D2E" w:rsidP="00E31D2E">
      <w:pPr>
        <w:pStyle w:val="StandardWeb"/>
      </w:pPr>
      <w:r>
        <w:t>Dafür wären zusätzliche semantische und empirische Bedingungen erforderlich.</w:t>
      </w:r>
    </w:p>
    <w:p w:rsidR="00E31D2E" w:rsidRDefault="00E31D2E" w:rsidP="00E31D2E">
      <w:pPr>
        <w:pStyle w:val="StandardWeb"/>
      </w:pPr>
      <w:r>
        <w:t>Methodologisch entsteht in Abschnitt 3.3.9 somit erstmals eine auswertbare relationale Struktur, ohne dass aus dieser Struktur bereits Raum, Zeit oder Dynamik abgeleitet werden.</w:t>
      </w:r>
    </w:p>
    <w:p w:rsidR="00E31D2E" w:rsidRDefault="00E31D2E" w:rsidP="00E31D2E">
      <w:pPr>
        <w:pStyle w:val="berschrift3"/>
      </w:pPr>
      <w:r>
        <w:lastRenderedPageBreak/>
        <w:t>Didaktische Betrachtungen</w:t>
      </w:r>
    </w:p>
    <w:p w:rsidR="00E31D2E" w:rsidRDefault="00E31D2E" w:rsidP="00E31D2E">
      <w:pPr>
        <w:pStyle w:val="StandardWeb"/>
      </w:pPr>
      <w:r>
        <w:t>Eine funktionale Relation lässt sich mit einem Netzwerk vergleichen.</w:t>
      </w:r>
    </w:p>
    <w:p w:rsidR="00E31D2E" w:rsidRDefault="00E31D2E" w:rsidP="00E31D2E">
      <w:pPr>
        <w:pStyle w:val="StandardWeb"/>
      </w:pPr>
      <w:r>
        <w:t>Die Zustände sind zunächst Knoten:</w:t>
      </w:r>
    </w:p>
    <w:p w:rsidR="00E31D2E" w:rsidRDefault="00E31D2E" w:rsidP="00E31D2E">
      <w:pPr>
        <w:pStyle w:val="StandardWeb"/>
      </w:pPr>
      <w:r>
        <w:t>[</w:t>
      </w:r>
      <w:r>
        <w:br/>
        <w:t>\delta_1,\delta_2,\delta_3.</w:t>
      </w:r>
      <w:r>
        <w:br/>
        <w:t>]</w:t>
      </w:r>
    </w:p>
    <w:p w:rsidR="00E31D2E" w:rsidRDefault="00E31D2E" w:rsidP="00E31D2E">
      <w:pPr>
        <w:pStyle w:val="StandardWeb"/>
      </w:pPr>
      <w:r>
        <w:t>Eine Relation fügt Verbindungen hinzu:</w:t>
      </w:r>
    </w:p>
    <w:p w:rsidR="00E31D2E" w:rsidRDefault="00E31D2E" w:rsidP="00E31D2E">
      <w:pPr>
        <w:pStyle w:val="StandardWeb"/>
      </w:pPr>
      <w:r>
        <w:t>[</w:t>
      </w:r>
      <w:r>
        <w:br/>
        <w:t>\delta_1\longleftrightarrow\delta_2,</w:t>
      </w:r>
      <w:r>
        <w:br/>
        <w:t>\qquad</w:t>
      </w:r>
      <w:r>
        <w:br/>
        <w:t>\delta_2\longrightarrow\delta_3.</w:t>
      </w:r>
      <w:r>
        <w:br/>
        <w:t>]</w:t>
      </w:r>
    </w:p>
    <w:p w:rsidR="00E31D2E" w:rsidRDefault="00E31D2E" w:rsidP="00E31D2E">
      <w:pPr>
        <w:pStyle w:val="StandardWeb"/>
      </w:pPr>
      <w:r>
        <w:t>Dadurch entsteht bereits mehr Struktur als durch die bloße Zustandsmenge.</w:t>
      </w:r>
    </w:p>
    <w:p w:rsidR="00E31D2E" w:rsidRDefault="00E31D2E" w:rsidP="00E31D2E">
      <w:pPr>
        <w:pStyle w:val="StandardWeb"/>
      </w:pPr>
      <w:r>
        <w:t>Nun können verschiedene Fragen gestellt werden:</w:t>
      </w:r>
    </w:p>
    <w:p w:rsidR="00E31D2E" w:rsidRDefault="00E31D2E" w:rsidP="00E31D2E">
      <w:pPr>
        <w:pStyle w:val="StandardWeb"/>
        <w:numPr>
          <w:ilvl w:val="0"/>
          <w:numId w:val="258"/>
        </w:numPr>
      </w:pPr>
      <w:r>
        <w:t>Ist ein Zustand mit sich selbst verbunden?</w:t>
      </w:r>
    </w:p>
    <w:p w:rsidR="00E31D2E" w:rsidRDefault="00E31D2E" w:rsidP="00E31D2E">
      <w:pPr>
        <w:pStyle w:val="StandardWeb"/>
        <w:numPr>
          <w:ilvl w:val="0"/>
          <w:numId w:val="258"/>
        </w:numPr>
      </w:pPr>
      <w:r>
        <w:t>Ist die Verbindung gegenseitig?</w:t>
      </w:r>
    </w:p>
    <w:p w:rsidR="00E31D2E" w:rsidRDefault="00E31D2E" w:rsidP="00E31D2E">
      <w:pPr>
        <w:pStyle w:val="StandardWeb"/>
        <w:numPr>
          <w:ilvl w:val="0"/>
          <w:numId w:val="258"/>
        </w:numPr>
      </w:pPr>
      <w:r>
        <w:t>Besitzt ein Zustand viele oder wenige Nachbarn?</w:t>
      </w:r>
    </w:p>
    <w:p w:rsidR="00E31D2E" w:rsidRDefault="00E31D2E" w:rsidP="00E31D2E">
      <w:pPr>
        <w:pStyle w:val="StandardWeb"/>
        <w:numPr>
          <w:ilvl w:val="0"/>
          <w:numId w:val="258"/>
        </w:numPr>
      </w:pPr>
      <w:r>
        <w:t>Welche Zustände sind unmittelbar über Relationen erreichbar?</w:t>
      </w:r>
    </w:p>
    <w:p w:rsidR="00E31D2E" w:rsidRDefault="00E31D2E" w:rsidP="00E31D2E">
      <w:pPr>
        <w:pStyle w:val="StandardWeb"/>
      </w:pPr>
      <w:r>
        <w:t>Diese Fragen führen anschaulich zu Selbstrelation, Fremdrelation, Gerichtetheit, Relationsumgebung und Relationsgrad.</w:t>
      </w:r>
    </w:p>
    <w:p w:rsidR="00E31D2E" w:rsidRDefault="00E31D2E" w:rsidP="00E31D2E">
      <w:pPr>
        <w:pStyle w:val="StandardWeb"/>
      </w:pPr>
      <w:r>
        <w:t>Wichtig ist jedoch, dass das Netzwerk zunächst statisch betrachtet werden kann. Eine Linie zwischen zwei Knoten sagt nicht, dass sich ein Knoten in den anderen verwandelt.</w:t>
      </w:r>
    </w:p>
    <w:p w:rsidR="00E31D2E" w:rsidRDefault="00E31D2E" w:rsidP="00E31D2E">
      <w:pPr>
        <w:pStyle w:val="StandardWeb"/>
      </w:pPr>
      <w:r>
        <w:t>Ein Eisenbahnnetz ist dafür ein gutes Bild. Zwischen zwei Bahnhöfen kann eine Gleisverbindung bestehen. Die Gleisverbindung ist die Relation. Ein konkreter Zug, der von einem Bahnhof zum anderen fährt, wäre dagegen eher mit einer Transformation oder Entwicklung vergleichbar.</w:t>
      </w:r>
    </w:p>
    <w:p w:rsidR="00E31D2E" w:rsidRDefault="00E31D2E" w:rsidP="00E31D2E">
      <w:pPr>
        <w:pStyle w:val="StandardWeb"/>
      </w:pPr>
      <w:r>
        <w:t>Didaktisch sollte deshalb die folgende Dreiteilung immer sichtbar bleiben:</w:t>
      </w:r>
    </w:p>
    <w:p w:rsidR="00E31D2E" w:rsidRDefault="00E31D2E" w:rsidP="00E31D2E">
      <w:pPr>
        <w:pStyle w:val="StandardWeb"/>
      </w:pPr>
      <w:r>
        <w:rPr>
          <w:rStyle w:val="Fett"/>
        </w:rPr>
        <w:t>Zustand:</w:t>
      </w:r>
      <w:r>
        <w:t xml:space="preserve"> Was ist vorhanden?</w:t>
      </w:r>
    </w:p>
    <w:p w:rsidR="00E31D2E" w:rsidRDefault="00E31D2E" w:rsidP="00E31D2E">
      <w:pPr>
        <w:pStyle w:val="StandardWeb"/>
      </w:pPr>
      <w:r>
        <w:rPr>
          <w:rStyle w:val="Fett"/>
        </w:rPr>
        <w:t>Relation:</w:t>
      </w:r>
      <w:r>
        <w:t xml:space="preserve"> Was ist womit verbunden?</w:t>
      </w:r>
    </w:p>
    <w:p w:rsidR="00E31D2E" w:rsidRDefault="00E31D2E" w:rsidP="00E31D2E">
      <w:pPr>
        <w:pStyle w:val="StandardWeb"/>
      </w:pPr>
      <w:r>
        <w:rPr>
          <w:rStyle w:val="Fett"/>
        </w:rPr>
        <w:t>Transformation:</w:t>
      </w:r>
      <w:r>
        <w:t xml:space="preserve"> Was kann in was überführt werden?</w:t>
      </w:r>
    </w:p>
    <w:p w:rsidR="00E31D2E" w:rsidRDefault="00E31D2E" w:rsidP="00E31D2E">
      <w:pPr>
        <w:pStyle w:val="StandardWeb"/>
      </w:pPr>
      <w:r>
        <w:t>Diese begriffliche Trennung ist eine der wichtigsten Voraussetzungen für den späteren Aufbau des FRZK.</w:t>
      </w:r>
    </w:p>
    <w:p w:rsidR="00E31D2E" w:rsidRDefault="00E50336" w:rsidP="00E31D2E">
      <w:r>
        <w:pict>
          <v:rect id="_x0000_i1034" style="width:0;height:1.5pt" o:hralign="center" o:hrstd="t" o:hr="t" fillcolor="#a0a0a0" stroked="f"/>
        </w:pict>
      </w:r>
    </w:p>
    <w:p w:rsidR="00AE4311" w:rsidRPr="00AF32B2" w:rsidRDefault="00AE4311" w:rsidP="00AF32B2">
      <w:pPr>
        <w:pStyle w:val="berschrift3"/>
      </w:pPr>
      <w:r w:rsidRPr="00AF32B2">
        <w:lastRenderedPageBreak/>
        <w:t>3.3.10 Primäraxiom der funktionalen Transformierbarkeit</w:t>
      </w:r>
    </w:p>
    <w:p w:rsidR="00AE4311" w:rsidRDefault="00AE4311" w:rsidP="00AE4311">
      <w:pPr>
        <w:pStyle w:val="StandardWeb"/>
      </w:pPr>
      <w:r>
        <w:t>Mit Definition 3.3.2 stehen elementare funktionale Zustände und funktional wirksame Relationen als klar abgegrenzte Bestandteile des FRZK zur Verfügung. Daraus folgt jedoch noch nicht, dass ein elementarer funktionaler Zustand in einen anderen Zustand überführt werden kann. Eine Relation beschreibt zunächst nur, dass zwei Zustände innerhalb einer Struktur miteinander verbunden sind. Eine Transformation verlangt darüber hinaus eine eindeutige oder zumindest regelgeleitete Zuordnung zwischen einem Ausgangszustand und einem Zielzustand. Funktionen, lineare Abbildungen und Operatoren stellen die mathematischen Werkzeuge für solche Zuordnungen bereit [71, 75, 76].</w:t>
      </w:r>
    </w:p>
    <w:p w:rsidR="00AE4311" w:rsidRDefault="00AE4311" w:rsidP="00AE4311">
      <w:pPr>
        <w:pStyle w:val="StandardWeb"/>
      </w:pPr>
      <w:r>
        <w:t>Die Mathematik kann jedoch nicht entscheiden, ob eine formal definierte Abbildung innerhalb des FRZK funktional wirksam ist. Ebenso folgt aus der Existenz funktionaler Relationen nicht, dass eine Relation einen Übergang erzeugt oder eine Veränderung bewirkt. Diese noch unbegründete Möglichkeit funktionaler Veränderung bildet den Gegenstand des dritten Primäraxioms.</w:t>
      </w:r>
    </w:p>
    <w:p w:rsidR="00AE4311" w:rsidRPr="00AF32B2" w:rsidRDefault="00AE4311" w:rsidP="00AF32B2">
      <w:pPr>
        <w:pStyle w:val="berschrift4"/>
      </w:pPr>
      <w:r w:rsidRPr="00AF32B2">
        <w:t>3.3.10.1 Sprachliche Formulierung</w:t>
      </w:r>
    </w:p>
    <w:p w:rsidR="00AE4311" w:rsidRDefault="00AE4311" w:rsidP="00AE4311">
      <w:pPr>
        <w:pStyle w:val="StandardWeb"/>
      </w:pPr>
      <w:r>
        <w:rPr>
          <w:rStyle w:val="Fett"/>
        </w:rPr>
        <w:t>Primäraxiom III – Funktionale Transformierbarkeit</w:t>
      </w:r>
    </w:p>
    <w:p w:rsidR="00AE4311" w:rsidRDefault="00AE4311" w:rsidP="00AE4311">
      <w:pPr>
        <w:pStyle w:val="StandardWeb"/>
      </w:pPr>
      <w:r>
        <w:t>Mindestens ein elementarer funktionaler Zustand kann durch eine funktional wirksame Zuordnung in einen elementaren funktionalen Zustand überführt werden.</w:t>
      </w:r>
    </w:p>
    <w:p w:rsidR="00AE4311" w:rsidRDefault="00AE4311" w:rsidP="00AE4311">
      <w:pPr>
        <w:pStyle w:val="StandardWeb"/>
      </w:pPr>
      <w:r>
        <w:rPr>
          <w:rStyle w:val="Fett"/>
        </w:rPr>
        <w:t>Eigenleistung des FRZK</w:t>
      </w:r>
    </w:p>
    <w:p w:rsidR="00AE4311" w:rsidRDefault="00AE4311" w:rsidP="00AE4311">
      <w:pPr>
        <w:pStyle w:val="StandardWeb"/>
      </w:pPr>
      <w:r>
        <w:t>Mit diesem Primäraxiom behaupte ich nicht, dass jeder Zustand transformierbar sein muss. Ebenso wenig wird vorausgesetzt, dass jede funktionale Relation eine Transformation darstellt. Primäraxiom III legt ausschließlich fest, dass mindestens ein funktional wirksamer Übergang zwischen elementaren funktionalen Zuständen möglich ist.</w:t>
      </w:r>
    </w:p>
    <w:p w:rsidR="00AE4311" w:rsidRDefault="00AE4311" w:rsidP="00AE4311">
      <w:pPr>
        <w:pStyle w:val="StandardWeb"/>
      </w:pPr>
      <w:r>
        <w:t>Die Formulierung enthält bewusst keine Zeitvariable. Ein Übergang bezeichnet zunächst nur eine Zuordnung zwischen Ausgangs- und Zielzustand. Dauer, Reihenfolge, Geschwindigkeit und Zeitrichtung werden dadurch noch nicht festgelegt.</w:t>
      </w:r>
    </w:p>
    <w:p w:rsidR="00AE4311" w:rsidRPr="00AF32B2" w:rsidRDefault="00AE4311" w:rsidP="00AF32B2">
      <w:pPr>
        <w:pStyle w:val="berschrift4"/>
      </w:pPr>
      <w:r w:rsidRPr="00AF32B2">
        <w:t>3.3.10.2 Mathematische Vorbereitung</w:t>
      </w:r>
    </w:p>
    <w:p w:rsidR="00AE4311" w:rsidRDefault="00AE4311" w:rsidP="00AE4311">
      <w:pPr>
        <w:pStyle w:val="StandardWeb"/>
      </w:pPr>
      <w:r>
        <w:t>Eine mathematische Transformation auf dem elementaren funktionalen Zustandsbereich kann zunächst als Abbildung</w:t>
      </w:r>
    </w:p>
    <w:p w:rsidR="00AE4311" w:rsidRDefault="00AE4311" w:rsidP="00AE4311">
      <w:pPr>
        <w:pStyle w:val="StandardWeb"/>
      </w:pPr>
      <w:r>
        <w:t>[</w:t>
      </w:r>
      <w:r>
        <w:br/>
        <w:t>T:\mathcal{S}</w:t>
      </w:r>
      <w:r>
        <w:rPr>
          <w:rStyle w:val="Hervorhebung"/>
        </w:rPr>
        <w:t>{\mathrm{el}}\rightarrow\mathcal{S}</w:t>
      </w:r>
      <w:r>
        <w:t>{\mathrm{el}}</w:t>
      </w:r>
      <w:r>
        <w:br/>
        <w:t>\tag{3.4028}</w:t>
      </w:r>
      <w:r>
        <w:br/>
        <w:t>]</w:t>
      </w:r>
    </w:p>
    <w:p w:rsidR="00AE4311" w:rsidRDefault="00AE4311" w:rsidP="00AE4311">
      <w:pPr>
        <w:pStyle w:val="StandardWeb"/>
      </w:pPr>
      <w:r>
        <w:rPr>
          <w:rStyle w:val="Fett"/>
        </w:rPr>
        <w:t>Word-LaTeX</w:t>
      </w:r>
    </w:p>
    <w:p w:rsidR="00AE4311" w:rsidRDefault="00AE4311" w:rsidP="00AE4311">
      <w:pPr>
        <w:pStyle w:val="HTMLVorformatiert"/>
        <w:rPr>
          <w:rStyle w:val="HTMLCode"/>
        </w:rPr>
      </w:pPr>
      <w:r>
        <w:rPr>
          <w:rStyle w:val="HTMLCode"/>
        </w:rPr>
        <w:t>T:\mathcal{S}_{\mathrm{el}}\rightarrow\mathcal{S}_{\mathrm{el}}\qquad\text{(3.4028)}</w:t>
      </w:r>
    </w:p>
    <w:p w:rsidR="00AE4311" w:rsidRDefault="00AE4311" w:rsidP="00AE4311">
      <w:pPr>
        <w:pStyle w:val="StandardWeb"/>
      </w:pPr>
      <w:r>
        <w:t>dargestellt werden.</w:t>
      </w:r>
    </w:p>
    <w:p w:rsidR="00AE4311" w:rsidRDefault="00AE4311" w:rsidP="00AE4311">
      <w:pPr>
        <w:pStyle w:val="StandardWeb"/>
      </w:pPr>
      <w:r>
        <w:lastRenderedPageBreak/>
        <w:t>Dabei bezeichnet:</w:t>
      </w:r>
    </w:p>
    <w:p w:rsidR="00AE4311" w:rsidRDefault="00AE4311" w:rsidP="00632D23">
      <w:pPr>
        <w:pStyle w:val="StandardWeb"/>
        <w:numPr>
          <w:ilvl w:val="0"/>
          <w:numId w:val="37"/>
        </w:numPr>
      </w:pPr>
      <w:r>
        <w:t>(T) eine mathematische Abbildung,</w:t>
      </w:r>
    </w:p>
    <w:p w:rsidR="00AE4311" w:rsidRDefault="00AE4311" w:rsidP="00632D23">
      <w:pPr>
        <w:pStyle w:val="StandardWeb"/>
        <w:numPr>
          <w:ilvl w:val="0"/>
          <w:numId w:val="37"/>
        </w:numPr>
      </w:pPr>
      <w:r>
        <w:t>(\mathcal{S}_{\mathrm{el}}) den elementaren funktionalen Zustandsbereich,</w:t>
      </w:r>
    </w:p>
    <w:p w:rsidR="00AE4311" w:rsidRDefault="00AE4311" w:rsidP="00632D23">
      <w:pPr>
        <w:pStyle w:val="StandardWeb"/>
        <w:numPr>
          <w:ilvl w:val="0"/>
          <w:numId w:val="37"/>
        </w:numPr>
      </w:pPr>
      <w:r>
        <w:t>(\rightarrow) die Zuordnung vom Definitionsbereich zum Zielbereich.</w:t>
      </w:r>
    </w:p>
    <w:p w:rsidR="00AE4311" w:rsidRDefault="00AE4311" w:rsidP="00AE4311">
      <w:pPr>
        <w:pStyle w:val="StandardWeb"/>
      </w:pPr>
      <w:r>
        <w:t>Gleichung (3.4028) beschreibt zunächst nur eine mathematische Abbildung [71]. Sie enthält noch keine Aussage darüber, ob (T) innerhalb des FRZK funktional wirksam oder zulässig ist.</w:t>
      </w:r>
    </w:p>
    <w:p w:rsidR="00AE4311" w:rsidRDefault="00AE4311" w:rsidP="00AE4311">
      <w:pPr>
        <w:pStyle w:val="StandardWeb"/>
      </w:pPr>
      <w:r>
        <w:t>Für einen Zustand (\delta_i\in\mathcal{S}_{\mathrm{el}}) ergibt sich ein Zielzustand durch</w:t>
      </w:r>
    </w:p>
    <w:p w:rsidR="00AE4311" w:rsidRDefault="00AE4311" w:rsidP="00AE4311">
      <w:pPr>
        <w:pStyle w:val="StandardWeb"/>
      </w:pPr>
      <w:r>
        <w:t>[</w:t>
      </w:r>
      <w:r>
        <w:br/>
        <w:t>T(\delta_i)=\delta_j.</w:t>
      </w:r>
      <w:r>
        <w:br/>
        <w:t>\tag{3.4029}</w:t>
      </w:r>
      <w:r>
        <w:br/>
        <w:t>]</w:t>
      </w:r>
    </w:p>
    <w:p w:rsidR="00AE4311" w:rsidRDefault="00AE4311" w:rsidP="00AE4311">
      <w:pPr>
        <w:pStyle w:val="StandardWeb"/>
      </w:pPr>
      <w:r>
        <w:rPr>
          <w:rStyle w:val="Fett"/>
        </w:rPr>
        <w:t>Word-LaTeX</w:t>
      </w:r>
    </w:p>
    <w:p w:rsidR="00AE4311" w:rsidRDefault="00AE4311" w:rsidP="00AE4311">
      <w:pPr>
        <w:pStyle w:val="HTMLVorformatiert"/>
        <w:rPr>
          <w:rStyle w:val="HTMLCode"/>
        </w:rPr>
      </w:pPr>
      <w:r>
        <w:rPr>
          <w:rStyle w:val="HTMLCode"/>
        </w:rPr>
        <w:t>T(\delta_i)=\delta_j\qquad\text{(3.4029)}</w:t>
      </w:r>
    </w:p>
    <w:p w:rsidR="00AE4311" w:rsidRDefault="00AE4311" w:rsidP="00AE4311">
      <w:pPr>
        <w:pStyle w:val="StandardWeb"/>
      </w:pPr>
      <w:r>
        <w:t>Dabei bezeichnet:</w:t>
      </w:r>
    </w:p>
    <w:p w:rsidR="00AE4311" w:rsidRDefault="00AE4311" w:rsidP="00632D23">
      <w:pPr>
        <w:pStyle w:val="StandardWeb"/>
        <w:numPr>
          <w:ilvl w:val="0"/>
          <w:numId w:val="38"/>
        </w:numPr>
      </w:pPr>
      <w:r>
        <w:t>(\delta_i) den Ausgangszustand,</w:t>
      </w:r>
    </w:p>
    <w:p w:rsidR="00AE4311" w:rsidRDefault="00AE4311" w:rsidP="00632D23">
      <w:pPr>
        <w:pStyle w:val="StandardWeb"/>
        <w:numPr>
          <w:ilvl w:val="0"/>
          <w:numId w:val="38"/>
        </w:numPr>
      </w:pPr>
      <w:r>
        <w:t>(\delta_j) den Zielzustand,</w:t>
      </w:r>
    </w:p>
    <w:p w:rsidR="00AE4311" w:rsidRDefault="00AE4311" w:rsidP="00632D23">
      <w:pPr>
        <w:pStyle w:val="StandardWeb"/>
        <w:numPr>
          <w:ilvl w:val="0"/>
          <w:numId w:val="38"/>
        </w:numPr>
      </w:pPr>
      <w:r>
        <w:t>(T(\delta_i)) das Bild von (\delta_i) unter der Abbildung (T).</w:t>
      </w:r>
    </w:p>
    <w:p w:rsidR="00AE4311" w:rsidRDefault="00AE4311" w:rsidP="00AE4311">
      <w:pPr>
        <w:pStyle w:val="StandardWeb"/>
      </w:pPr>
      <w:r>
        <w:t>Gleichung (3.4029) legt keine zeitliche Abfolge fest. Die Bezeichnungen „Ausgangs-“ und „Zielzustand“ kennzeichnen ausschließlich die mathematische Richtung der Zuordnung.</w:t>
      </w:r>
    </w:p>
    <w:p w:rsidR="00AE4311" w:rsidRPr="00AF32B2" w:rsidRDefault="00AE4311" w:rsidP="00AF32B2">
      <w:pPr>
        <w:pStyle w:val="berschrift4"/>
      </w:pPr>
      <w:r w:rsidRPr="00AF32B2">
        <w:t>3.3.10.3 Wirksamkeitsprädikat für Transformationen</w:t>
      </w:r>
    </w:p>
    <w:p w:rsidR="00AE4311" w:rsidRDefault="00AE4311" w:rsidP="00AE4311">
      <w:pPr>
        <w:pStyle w:val="StandardWeb"/>
      </w:pPr>
      <w:r>
        <w:t>Um eine bloß mathematische Abbildung von einer funktional wirksamen Transformation zu unterscheiden, führe ich das binäre Prädikat (\tau) ein:</w:t>
      </w:r>
    </w:p>
    <w:p w:rsidR="00AE4311" w:rsidRDefault="00AE4311" w:rsidP="00AE4311">
      <w:pPr>
        <w:pStyle w:val="StandardWeb"/>
      </w:pPr>
      <w:r>
        <w:t>[</w:t>
      </w:r>
      <w:r>
        <w:br/>
        <w:t>\tau:</w:t>
      </w:r>
      <w:r>
        <w:br/>
        <w:t>\mathcal{S}</w:t>
      </w:r>
      <w:r>
        <w:rPr>
          <w:rStyle w:val="Hervorhebung"/>
        </w:rPr>
        <w:t>{\mathrm{el}}^{\mathcal{S}</w:t>
      </w:r>
      <w:r>
        <w:t>{\mathrm{el}}}</w:t>
      </w:r>
      <w:r>
        <w:br/>
        <w:t>\rightarrow</w:t>
      </w:r>
      <w:r>
        <w:br/>
        <w:t>{0,1}.</w:t>
      </w:r>
      <w:r>
        <w:br/>
        <w:t>\tag{3.4030}</w:t>
      </w:r>
      <w:r>
        <w:br/>
        <w:t>]</w:t>
      </w:r>
    </w:p>
    <w:p w:rsidR="00AE4311" w:rsidRDefault="00AE4311" w:rsidP="00AE4311">
      <w:pPr>
        <w:pStyle w:val="StandardWeb"/>
      </w:pPr>
      <w:r>
        <w:rPr>
          <w:rStyle w:val="Fett"/>
        </w:rPr>
        <w:t>Word-LaTeX</w:t>
      </w:r>
    </w:p>
    <w:p w:rsidR="00AE4311" w:rsidRDefault="00AE4311" w:rsidP="00AE4311">
      <w:pPr>
        <w:pStyle w:val="HTMLVorformatiert"/>
        <w:rPr>
          <w:rStyle w:val="HTMLCode"/>
        </w:rPr>
      </w:pPr>
      <w:r>
        <w:rPr>
          <w:rStyle w:val="HTMLCode"/>
        </w:rPr>
        <w:t>\tau:\mathcal{S}_{\mathrm{el}}^{\mathcal{S}_{\mathrm{el}}}\rightarrow\{0,1\}\qquad\text{(3.4030)}</w:t>
      </w:r>
    </w:p>
    <w:p w:rsidR="00AE4311" w:rsidRDefault="00AE4311" w:rsidP="00AE4311">
      <w:pPr>
        <w:pStyle w:val="StandardWeb"/>
      </w:pPr>
      <w:r>
        <w:t>Dabei bezeichnet:</w:t>
      </w:r>
    </w:p>
    <w:p w:rsidR="00AE4311" w:rsidRDefault="00AE4311" w:rsidP="00632D23">
      <w:pPr>
        <w:pStyle w:val="StandardWeb"/>
        <w:numPr>
          <w:ilvl w:val="0"/>
          <w:numId w:val="39"/>
        </w:numPr>
      </w:pPr>
      <w:r>
        <w:t>(\tau) das Prädikat funktionaler Transformationswirksamkeit,</w:t>
      </w:r>
    </w:p>
    <w:p w:rsidR="00AE4311" w:rsidRDefault="00AE4311" w:rsidP="00632D23">
      <w:pPr>
        <w:pStyle w:val="StandardWeb"/>
        <w:numPr>
          <w:ilvl w:val="0"/>
          <w:numId w:val="39"/>
        </w:numPr>
      </w:pPr>
      <w:r>
        <w:lastRenderedPageBreak/>
        <w:t>(\mathcal{S}</w:t>
      </w:r>
      <w:r>
        <w:rPr>
          <w:rStyle w:val="Hervorhebung"/>
        </w:rPr>
        <w:t>{\mathrm{el}}^{\mathcal{S}</w:t>
      </w:r>
      <w:r>
        <w:t>{\mathrm{el}}}) die Menge aller Abbildungen von (\mathcal{S}</w:t>
      </w:r>
      <w:r>
        <w:rPr>
          <w:rStyle w:val="Hervorhebung"/>
        </w:rPr>
        <w:t>{\mathrm{el}}) nach (\mathcal{S}</w:t>
      </w:r>
      <w:r>
        <w:t>{\mathrm{el}}),</w:t>
      </w:r>
    </w:p>
    <w:p w:rsidR="00AE4311" w:rsidRDefault="00AE4311" w:rsidP="00632D23">
      <w:pPr>
        <w:pStyle w:val="StandardWeb"/>
        <w:numPr>
          <w:ilvl w:val="0"/>
          <w:numId w:val="39"/>
        </w:numPr>
      </w:pPr>
      <w:r>
        <w:t>(0) fehlende funktionale Transformationswirksamkeit,</w:t>
      </w:r>
    </w:p>
    <w:p w:rsidR="00AE4311" w:rsidRDefault="00AE4311" w:rsidP="00632D23">
      <w:pPr>
        <w:pStyle w:val="StandardWeb"/>
        <w:numPr>
          <w:ilvl w:val="0"/>
          <w:numId w:val="39"/>
        </w:numPr>
      </w:pPr>
      <w:r>
        <w:t>(1) vorliegende funktionale Transformationswirksamkeit.</w:t>
      </w:r>
    </w:p>
    <w:p w:rsidR="00AE4311" w:rsidRDefault="00AE4311" w:rsidP="00AE4311">
      <w:pPr>
        <w:pStyle w:val="StandardWeb"/>
      </w:pPr>
      <w:r>
        <w:rPr>
          <w:rStyle w:val="Fett"/>
        </w:rPr>
        <w:t>Eigenleistung des FRZK</w:t>
      </w:r>
    </w:p>
    <w:p w:rsidR="00AE4311" w:rsidRDefault="00AE4311" w:rsidP="00AE4311">
      <w:pPr>
        <w:pStyle w:val="StandardWeb"/>
      </w:pPr>
      <w:r>
        <w:t>Ich verwende (\tau) nicht als Transformationsoperator. Der Operator beziehungsweise die Abbildung ist (T). Das Prädikat (\tau) kennzeichnet lediglich, ob eine gegebene Abbildung innerhalb des FRZK funktional wirksam ist. Damit bleibt die mathematische Abbildung von ihrer FRZK-spezifischen Bewertung getrennt.</w:t>
      </w:r>
    </w:p>
    <w:p w:rsidR="00AE4311" w:rsidRPr="00AF32B2" w:rsidRDefault="00AE4311" w:rsidP="00AF32B2">
      <w:pPr>
        <w:pStyle w:val="berschrift4"/>
      </w:pPr>
      <w:r w:rsidRPr="00AF32B2">
        <w:t>3.3.10.4 Minimale mathematische Repräsentation</w:t>
      </w:r>
    </w:p>
    <w:p w:rsidR="00AE4311" w:rsidRDefault="00AE4311" w:rsidP="00AE4311">
      <w:pPr>
        <w:pStyle w:val="StandardWeb"/>
      </w:pPr>
      <w:r>
        <w:t>Primäraxiom III wird formal durch folgende Existenzbehauptung dargestellt:</w:t>
      </w:r>
    </w:p>
    <w:p w:rsidR="00AE4311" w:rsidRDefault="00AE4311" w:rsidP="00AE4311">
      <w:pPr>
        <w:pStyle w:val="StandardWeb"/>
      </w:pPr>
      <w:r>
        <w:t>[</w:t>
      </w:r>
      <w:r>
        <w:br/>
        <w:t>\exists T:</w:t>
      </w:r>
      <w:r>
        <w:br/>
        <w:t>\mathcal{S}</w:t>
      </w:r>
      <w:r>
        <w:rPr>
          <w:rStyle w:val="Hervorhebung"/>
        </w:rPr>
        <w:t>{\mathrm{el}}\rightarrow\mathcal{S}</w:t>
      </w:r>
      <w:r>
        <w:t>{\mathrm{el}}</w:t>
      </w:r>
      <w:r>
        <w:br/>
        <w:t>\quad\text{mit}\quad</w:t>
      </w:r>
      <w:r>
        <w:br/>
        <w:t>\tau(T)=1.</w:t>
      </w:r>
      <w:r>
        <w:br/>
        <w:t>\tag{3.4031}</w:t>
      </w:r>
      <w:r>
        <w:br/>
        <w:t>]</w:t>
      </w:r>
    </w:p>
    <w:p w:rsidR="00AE4311" w:rsidRDefault="00AE4311" w:rsidP="00AE4311">
      <w:pPr>
        <w:pStyle w:val="StandardWeb"/>
      </w:pPr>
      <w:r>
        <w:rPr>
          <w:rStyle w:val="Fett"/>
        </w:rPr>
        <w:t>Word-LaTeX</w:t>
      </w:r>
    </w:p>
    <w:p w:rsidR="00AE4311" w:rsidRDefault="00AE4311" w:rsidP="00AE4311">
      <w:pPr>
        <w:pStyle w:val="HTMLVorformatiert"/>
        <w:rPr>
          <w:rStyle w:val="HTMLCode"/>
        </w:rPr>
      </w:pPr>
      <w:r>
        <w:rPr>
          <w:rStyle w:val="HTMLCode"/>
        </w:rPr>
        <w:t>\exists T:\mathcal{S}_{\mathrm{el}}\rightarrow\mathcal{S}_{\mathrm{el}}\quad\text{mit}\quad\tau(T)=1\qquad\text{(3.4031)}</w:t>
      </w:r>
    </w:p>
    <w:p w:rsidR="00AE4311" w:rsidRDefault="00AE4311" w:rsidP="00AE4311">
      <w:pPr>
        <w:pStyle w:val="StandardWeb"/>
      </w:pPr>
      <w:r>
        <w:t>Dabei bezeichnet:</w:t>
      </w:r>
    </w:p>
    <w:p w:rsidR="00AE4311" w:rsidRDefault="00AE4311" w:rsidP="00632D23">
      <w:pPr>
        <w:pStyle w:val="StandardWeb"/>
        <w:numPr>
          <w:ilvl w:val="0"/>
          <w:numId w:val="40"/>
        </w:numPr>
      </w:pPr>
      <w:r>
        <w:t>(\exists T) die Existenz mindestens einer Abbildung,</w:t>
      </w:r>
    </w:p>
    <w:p w:rsidR="00AE4311" w:rsidRDefault="00AE4311" w:rsidP="00632D23">
      <w:pPr>
        <w:pStyle w:val="StandardWeb"/>
        <w:numPr>
          <w:ilvl w:val="0"/>
          <w:numId w:val="40"/>
        </w:numPr>
      </w:pPr>
      <w:r>
        <w:t>(T:\mathcal{S}</w:t>
      </w:r>
      <w:r>
        <w:rPr>
          <w:rStyle w:val="Hervorhebung"/>
        </w:rPr>
        <w:t>{\mathrm{el}}\rightarrow\mathcal{S}</w:t>
      </w:r>
      <w:r>
        <w:t>{\mathrm{el}}) ihre mathematische Zuordnung,</w:t>
      </w:r>
    </w:p>
    <w:p w:rsidR="00AE4311" w:rsidRDefault="00AE4311" w:rsidP="00632D23">
      <w:pPr>
        <w:pStyle w:val="StandardWeb"/>
        <w:numPr>
          <w:ilvl w:val="0"/>
          <w:numId w:val="40"/>
        </w:numPr>
      </w:pPr>
      <w:r>
        <w:t>(\tau(T)=1) ihre funktionale Wirksamkeit.</w:t>
      </w:r>
    </w:p>
    <w:p w:rsidR="00AE4311" w:rsidRDefault="00AE4311" w:rsidP="00AE4311">
      <w:pPr>
        <w:pStyle w:val="StandardWeb"/>
      </w:pPr>
      <w:r>
        <w:t>Gleichung (3.4031) behauptet nicht, dass sämtliche mathematischen Abbildungen funktional wirksam sind. Sie setzt ausschließlich voraus, dass mindestens eine funktional wirksame Abbildung auf dem elementaren funktionalen Zustandsbereich möglich ist.</w:t>
      </w:r>
    </w:p>
    <w:p w:rsidR="00AE4311" w:rsidRDefault="00AE4311" w:rsidP="00AE4311">
      <w:pPr>
        <w:pStyle w:val="StandardWeb"/>
      </w:pPr>
      <w:r>
        <w:rPr>
          <w:rStyle w:val="Fett"/>
        </w:rPr>
        <w:t>Eigenleistung des FRZK</w:t>
      </w:r>
    </w:p>
    <w:p w:rsidR="00AE4311" w:rsidRDefault="00AE4311" w:rsidP="00AE4311">
      <w:pPr>
        <w:pStyle w:val="StandardWeb"/>
      </w:pPr>
      <w:r>
        <w:t>Der neue axiomatische Inhalt liegt nicht in der Existenz mathematischer Funktionen oder Operatoren. Diese sind bereits durch Kapitel 3.2 bereitgestellt [71, 75, 76]. Neu ist die Annahme, dass mindestens eine solche Zuordnung innerhalb des FRZK funktional wirksam sein kann.</w:t>
      </w:r>
    </w:p>
    <w:p w:rsidR="00AE4311" w:rsidRPr="00AF32B2" w:rsidRDefault="00AE4311" w:rsidP="00AF32B2">
      <w:pPr>
        <w:pStyle w:val="berschrift4"/>
      </w:pPr>
      <w:r w:rsidRPr="00AF32B2">
        <w:t>3.3.10.5 Begründung der axiomatischen Notwendigkeit</w:t>
      </w:r>
    </w:p>
    <w:p w:rsidR="00AE4311" w:rsidRDefault="00AE4311" w:rsidP="00AE4311">
      <w:pPr>
        <w:pStyle w:val="StandardWeb"/>
      </w:pPr>
      <w:r>
        <w:lastRenderedPageBreak/>
        <w:t>Eine Definition könnte festlegen, dass jede Abbildung (T) mit (\tau(T)=1) als funktionale Transformation bezeichnet wird. Sie könnte jedoch nicht garantieren, dass eine solche Abbildung existiert. Ohne Primäraxiom III wäre daher ein FRZK-Gegenstandsbereich möglich, der funktional wirksame Zustände und Relationen enthält, aber keinerlei funktional wirksamen Übergang zulässt.</w:t>
      </w:r>
    </w:p>
    <w:p w:rsidR="00AE4311" w:rsidRDefault="00AE4311" w:rsidP="00AE4311">
      <w:pPr>
        <w:pStyle w:val="StandardWeb"/>
      </w:pPr>
      <w:r>
        <w:t>Die Existenz funktionaler Relationen aus Primäraxiom II genügt hierfür nicht. Eine Relation kann mehrwertig, nicht eindeutig, symmetrisch oder statisch sein. Eine Transformation verlangt dagegen eine Zuordnungsvorschrift mit einem bestimmten Bild für jeden betrachteten Ausgangszustand [6, 71].</w:t>
      </w:r>
    </w:p>
    <w:p w:rsidR="00AE4311" w:rsidRDefault="00AE4311" w:rsidP="00AE4311">
      <w:pPr>
        <w:pStyle w:val="StandardWeb"/>
      </w:pPr>
      <w:r>
        <w:rPr>
          <w:rStyle w:val="Fett"/>
        </w:rPr>
        <w:t>Eigenleistung des FRZK</w:t>
      </w:r>
    </w:p>
    <w:p w:rsidR="00AE4311" w:rsidRDefault="00AE4311" w:rsidP="00AE4311">
      <w:pPr>
        <w:pStyle w:val="StandardWeb"/>
      </w:pPr>
      <w:r>
        <w:t>Ich kennzeichne Gleichung (3.4031) deshalb als dritte axiomatische Existenzsetzung. Sie schließt den vollständig transformationsoffenen beziehungsweise veränderungsunfähigen Fall aus, ohne eine bestimmte Transformationsklasse festzulegen.</w:t>
      </w:r>
    </w:p>
    <w:p w:rsidR="00AE4311" w:rsidRPr="00AF32B2" w:rsidRDefault="00AE4311" w:rsidP="00AF32B2">
      <w:pPr>
        <w:pStyle w:val="berschrift4"/>
      </w:pPr>
      <w:r w:rsidRPr="00AF32B2">
        <w:t>3.3.10.6 Unabhängigkeit von Primäraxiom I und II</w:t>
      </w:r>
    </w:p>
    <w:p w:rsidR="00AE4311" w:rsidRDefault="00AE4311" w:rsidP="00AE4311">
      <w:pPr>
        <w:pStyle w:val="StandardWeb"/>
      </w:pPr>
      <w:r>
        <w:t>Primäraxiom I garantiert mindestens einen elementaren funktionalen Zustand. Daraus folgt keine Transformierbarkeit. Ein Zustand kann funktional wirksam und dennoch unveränderlich sein.</w:t>
      </w:r>
    </w:p>
    <w:p w:rsidR="00AE4311" w:rsidRDefault="00AE4311" w:rsidP="00AE4311">
      <w:pPr>
        <w:pStyle w:val="StandardWeb"/>
      </w:pPr>
      <w:r>
        <w:t>Primäraxiom II garantiert mindestens eine funktional wirksame Relation. Daraus folgt ebenfalls keine Abbildung. Eine Relation kann mehreren Zielzuständen denselben Ausgangszustand zuordnen oder gar keine eindeutige Zuordnung enthalten [6].</w:t>
      </w:r>
    </w:p>
    <w:p w:rsidR="00AE4311" w:rsidRDefault="00AE4311" w:rsidP="00AE4311">
      <w:pPr>
        <w:pStyle w:val="StandardWeb"/>
      </w:pPr>
      <w:r>
        <w:rPr>
          <w:rStyle w:val="Fett"/>
        </w:rPr>
        <w:t>Eigenleistung des FRZK</w:t>
      </w:r>
    </w:p>
    <w:p w:rsidR="00AE4311" w:rsidRDefault="00AE4311" w:rsidP="00AE4311">
      <w:pPr>
        <w:pStyle w:val="StandardWeb"/>
      </w:pPr>
      <w:r>
        <w:t>Primäraxiom III besitzt daher einen eigenständigen Aussagegehalt. Es begründet erstmals die Möglichkeit eines funktional wirksamen Übergangs. Dieser Übergang verwendet den bereits definierten Zustandsbereich, ist aber logisch weder aus Bestimmbarkeit noch aus Relationierbarkeit ableitbar.</w:t>
      </w:r>
    </w:p>
    <w:p w:rsidR="00AE4311" w:rsidRPr="00AF32B2" w:rsidRDefault="00AE4311" w:rsidP="00AF32B2">
      <w:pPr>
        <w:pStyle w:val="berschrift4"/>
      </w:pPr>
      <w:r w:rsidRPr="00AF32B2">
        <w:t>3.3.10.7 Identitätstransformation</w:t>
      </w:r>
    </w:p>
    <w:p w:rsidR="00AE4311" w:rsidRDefault="00AE4311" w:rsidP="00AE4311">
      <w:pPr>
        <w:pStyle w:val="StandardWeb"/>
      </w:pPr>
      <w:r>
        <w:t>Eine mathematisch zulässige Transformation kann ein Zustand auf sich selbst abbilden:</w:t>
      </w:r>
    </w:p>
    <w:p w:rsidR="00AE4311" w:rsidRDefault="00AE4311" w:rsidP="00AE4311">
      <w:pPr>
        <w:pStyle w:val="berschrift1"/>
      </w:pPr>
      <w:r>
        <w:t>[</w:t>
      </w:r>
      <w:r>
        <w:br/>
        <w:t>\operatorname{id}</w:t>
      </w:r>
      <w:r>
        <w:rPr>
          <w:rStyle w:val="Hervorhebung"/>
        </w:rPr>
        <w:t>{\mathcal{S}</w:t>
      </w:r>
      <w:r>
        <w:t>{\mathrm{el}}}(\delta_i)</w:t>
      </w:r>
    </w:p>
    <w:p w:rsidR="00AE4311" w:rsidRDefault="00AE4311" w:rsidP="00AE4311">
      <w:pPr>
        <w:pStyle w:val="StandardWeb"/>
      </w:pPr>
      <w:r>
        <w:t>\delta_i.</w:t>
      </w:r>
      <w:r>
        <w:br/>
        <w:t>\tag{3.4032}</w:t>
      </w:r>
      <w:r>
        <w:br/>
        <w:t>]</w:t>
      </w:r>
    </w:p>
    <w:p w:rsidR="00AE4311" w:rsidRDefault="00AE4311" w:rsidP="00AE4311">
      <w:pPr>
        <w:pStyle w:val="StandardWeb"/>
      </w:pPr>
      <w:r>
        <w:rPr>
          <w:rStyle w:val="Fett"/>
        </w:rPr>
        <w:t>Word-LaTeX</w:t>
      </w:r>
    </w:p>
    <w:p w:rsidR="00AE4311" w:rsidRDefault="00AE4311" w:rsidP="00AE4311">
      <w:pPr>
        <w:pStyle w:val="HTMLVorformatiert"/>
        <w:rPr>
          <w:rStyle w:val="HTMLCode"/>
        </w:rPr>
      </w:pPr>
      <w:r>
        <w:rPr>
          <w:rStyle w:val="HTMLCode"/>
        </w:rPr>
        <w:lastRenderedPageBreak/>
        <w:t>\operatorname{id}_{\mathcal{S}_{\mathrm{el}}}(\delta_i)=\delta_i\qquad\text{(3.4032)}</w:t>
      </w:r>
    </w:p>
    <w:p w:rsidR="00AE4311" w:rsidRDefault="00AE4311" w:rsidP="00AE4311">
      <w:pPr>
        <w:pStyle w:val="StandardWeb"/>
      </w:pPr>
      <w:r>
        <w:t>Dabei bezeichnet:</w:t>
      </w:r>
    </w:p>
    <w:p w:rsidR="00AE4311" w:rsidRDefault="00AE4311" w:rsidP="00632D23">
      <w:pPr>
        <w:pStyle w:val="StandardWeb"/>
        <w:numPr>
          <w:ilvl w:val="0"/>
          <w:numId w:val="41"/>
        </w:numPr>
      </w:pPr>
      <w:r>
        <w:t>(\operatorname{id}</w:t>
      </w:r>
      <w:r>
        <w:rPr>
          <w:rStyle w:val="Hervorhebung"/>
        </w:rPr>
        <w:t>{\mathcal{S}</w:t>
      </w:r>
      <w:r>
        <w:t>{\mathrm{el}}}) die Identitätsabbildung,</w:t>
      </w:r>
    </w:p>
    <w:p w:rsidR="00AE4311" w:rsidRDefault="00AE4311" w:rsidP="00632D23">
      <w:pPr>
        <w:pStyle w:val="StandardWeb"/>
        <w:numPr>
          <w:ilvl w:val="0"/>
          <w:numId w:val="41"/>
        </w:numPr>
      </w:pPr>
      <w:r>
        <w:t>(\delta_i) einen elementaren funktionalen Zustand.</w:t>
      </w:r>
    </w:p>
    <w:p w:rsidR="00AE4311" w:rsidRDefault="00AE4311" w:rsidP="00AE4311">
      <w:pPr>
        <w:pStyle w:val="StandardWeb"/>
      </w:pPr>
      <w:r>
        <w:t>Die Identitätsabbildung verändert den Zustand mathematisch nicht. Dennoch kann ihre funktionale Bedeutung später relevant sein, beispielsweise als Erhaltungs- oder Stabilitätsbedingung. Primäraxiom III verlangt jedoch nicht, dass die funktional wirksame Transformation von der Identität verschieden sein muss.</w:t>
      </w:r>
    </w:p>
    <w:p w:rsidR="00AE4311" w:rsidRDefault="00AE4311" w:rsidP="00AE4311">
      <w:pPr>
        <w:pStyle w:val="StandardWeb"/>
      </w:pPr>
      <w:r>
        <w:rPr>
          <w:rStyle w:val="Fett"/>
        </w:rPr>
        <w:t>Eigenleistung des FRZK</w:t>
      </w:r>
    </w:p>
    <w:p w:rsidR="00AE4311" w:rsidRDefault="00AE4311" w:rsidP="00AE4311">
      <w:pPr>
        <w:pStyle w:val="StandardWeb"/>
      </w:pPr>
      <w:r>
        <w:t>Ich lasse die Identitätstransformation zunächst ausdrücklich zu. Eine Forderung nach tatsächlicher Zustandsänderung würde einen stärkeren Axiomgehalt erzeugen. Ob eine Transformation eine Veränderung im engeren Sinn bewirkt, wird erst durch den Vergleich von Ausgangs- und Zielzustand bestimmt.</w:t>
      </w:r>
    </w:p>
    <w:p w:rsidR="00AE4311" w:rsidRPr="00AF32B2" w:rsidRDefault="00AE4311" w:rsidP="00AF32B2">
      <w:pPr>
        <w:pStyle w:val="berschrift4"/>
      </w:pPr>
      <w:r w:rsidRPr="00AF32B2">
        <w:t>3.3.10.8 Zustandsändernde Transformation</w:t>
      </w:r>
    </w:p>
    <w:p w:rsidR="00AE4311" w:rsidRDefault="00AE4311" w:rsidP="00AE4311">
      <w:pPr>
        <w:pStyle w:val="StandardWeb"/>
      </w:pPr>
      <w:r>
        <w:t>Eine zustandsändernde Transformation erfüllt für mindestens einen Zustand</w:t>
      </w:r>
    </w:p>
    <w:p w:rsidR="00AE4311" w:rsidRDefault="00AE4311" w:rsidP="00AE4311">
      <w:pPr>
        <w:pStyle w:val="StandardWeb"/>
      </w:pPr>
      <w:r>
        <w:t>[</w:t>
      </w:r>
      <w:r>
        <w:br/>
        <w:t>T(\delta_i)=\delta_j</w:t>
      </w:r>
      <w:r>
        <w:br/>
        <w:t>\quad\land\quad</w:t>
      </w:r>
      <w:r>
        <w:br/>
        <w:t>\delta_i\neq\delta_j.</w:t>
      </w:r>
      <w:r>
        <w:br/>
        <w:t>\tag{3.4033}</w:t>
      </w:r>
      <w:r>
        <w:br/>
        <w:t>]</w:t>
      </w:r>
    </w:p>
    <w:p w:rsidR="00AE4311" w:rsidRDefault="00AE4311" w:rsidP="00AE4311">
      <w:pPr>
        <w:pStyle w:val="StandardWeb"/>
      </w:pPr>
      <w:r>
        <w:rPr>
          <w:rStyle w:val="Fett"/>
        </w:rPr>
        <w:t>Word-LaTeX</w:t>
      </w:r>
    </w:p>
    <w:p w:rsidR="00AE4311" w:rsidRDefault="00AE4311" w:rsidP="00AE4311">
      <w:pPr>
        <w:pStyle w:val="HTMLVorformatiert"/>
        <w:rPr>
          <w:rStyle w:val="HTMLCode"/>
        </w:rPr>
      </w:pPr>
      <w:r>
        <w:rPr>
          <w:rStyle w:val="HTMLCode"/>
        </w:rPr>
        <w:t>T(\delta_i)=\delta_j\land\delta_i\neq\delta_j\qquad\text{(3.4033)}</w:t>
      </w:r>
    </w:p>
    <w:p w:rsidR="00AE4311" w:rsidRDefault="00AE4311" w:rsidP="00AE4311">
      <w:pPr>
        <w:pStyle w:val="StandardWeb"/>
      </w:pPr>
      <w:r>
        <w:t>Dabei bezeichnet (\delta_i\neq\delta_j) die Verschiedenheit von Ausgangs- und Zielzustand.</w:t>
      </w:r>
    </w:p>
    <w:p w:rsidR="00AE4311" w:rsidRDefault="00AE4311" w:rsidP="00AE4311">
      <w:pPr>
        <w:pStyle w:val="StandardWeb"/>
      </w:pPr>
      <w:r>
        <w:t>Gleichung (3.4033) beschreibt einen Spezialfall funktionaler Transformierbarkeit. Sie ist keine notwendige Bedingung von Primäraxiom III.</w:t>
      </w:r>
    </w:p>
    <w:p w:rsidR="00AE4311" w:rsidRDefault="00AE4311" w:rsidP="00AE4311">
      <w:pPr>
        <w:pStyle w:val="StandardWeb"/>
      </w:pPr>
      <w:r>
        <w:rPr>
          <w:rStyle w:val="Fett"/>
        </w:rPr>
        <w:t>Eigenleistung des FRZK</w:t>
      </w:r>
    </w:p>
    <w:p w:rsidR="00AE4311" w:rsidRDefault="00AE4311" w:rsidP="00AE4311">
      <w:pPr>
        <w:pStyle w:val="StandardWeb"/>
      </w:pPr>
      <w:r>
        <w:t>Ich unterscheide damit zwischen zustandserhaltender und zustandsändernder Transformation. Diese Trennung wird später für Kohärenz-, Stabilitäts- und Rekonstruktionsfragen bedeutsam.</w:t>
      </w:r>
    </w:p>
    <w:p w:rsidR="00AE4311" w:rsidRPr="00AF32B2" w:rsidRDefault="00AE4311" w:rsidP="00AF32B2">
      <w:pPr>
        <w:pStyle w:val="berschrift4"/>
      </w:pPr>
      <w:r w:rsidRPr="00AF32B2">
        <w:t>3.3.10.9 Funktional wirksame Transformationsmenge</w:t>
      </w:r>
    </w:p>
    <w:p w:rsidR="00AE4311" w:rsidRDefault="00AE4311" w:rsidP="00AE4311">
      <w:pPr>
        <w:pStyle w:val="StandardWeb"/>
      </w:pPr>
      <w:r>
        <w:t>Auf Grundlage von Primäraxiom III kann die Menge aller funktional wirksamen Transformationen definiert werden:</w:t>
      </w:r>
    </w:p>
    <w:p w:rsidR="00AE4311" w:rsidRDefault="00AE4311" w:rsidP="00AE4311">
      <w:pPr>
        <w:pStyle w:val="berschrift1"/>
      </w:pPr>
      <w:r>
        <w:lastRenderedPageBreak/>
        <w:t>[</w:t>
      </w:r>
      <w:r>
        <w:br/>
        <w:t>\mathfrak{T}_{\mathrm{f}}</w:t>
      </w:r>
    </w:p>
    <w:p w:rsidR="00AE4311" w:rsidRDefault="00AE4311" w:rsidP="00AE4311">
      <w:pPr>
        <w:pStyle w:val="StandardWeb"/>
      </w:pPr>
      <w:r>
        <w:t>\left{</w:t>
      </w:r>
      <w:r>
        <w:br/>
        <w:t>T:\mathcal{S}</w:t>
      </w:r>
      <w:r>
        <w:rPr>
          <w:rStyle w:val="Hervorhebung"/>
        </w:rPr>
        <w:t>{\mathrm{el}}\rightarrow\mathcal{S}</w:t>
      </w:r>
      <w:r>
        <w:t>{\mathrm{el}}</w:t>
      </w:r>
      <w:r>
        <w:br/>
        <w:t>;\middle|;</w:t>
      </w:r>
      <w:r>
        <w:br/>
        <w:t>\tau(T)=1</w:t>
      </w:r>
      <w:r>
        <w:br/>
        <w:t>\right}.</w:t>
      </w:r>
      <w:r>
        <w:br/>
        <w:t>\tag{3.4034}</w:t>
      </w:r>
      <w:r>
        <w:br/>
        <w:t>]</w:t>
      </w:r>
    </w:p>
    <w:p w:rsidR="00AE4311" w:rsidRDefault="00AE4311" w:rsidP="00AE4311">
      <w:pPr>
        <w:pStyle w:val="StandardWeb"/>
      </w:pPr>
      <w:r>
        <w:rPr>
          <w:rStyle w:val="Fett"/>
        </w:rPr>
        <w:t>Word-LaTeX</w:t>
      </w:r>
    </w:p>
    <w:p w:rsidR="00AE4311" w:rsidRDefault="00AE4311" w:rsidP="00AE4311">
      <w:pPr>
        <w:pStyle w:val="HTMLVorformatiert"/>
        <w:rPr>
          <w:rStyle w:val="HTMLCode"/>
        </w:rPr>
      </w:pPr>
      <w:r>
        <w:rPr>
          <w:rStyle w:val="HTMLCode"/>
        </w:rPr>
        <w:t>\mathfrak{T}_{\mathrm{f}}=\left\{T:\mathcal{S}_{\mathrm{el}}\rightarrow\mathcal{S}_{\mathrm{el}}\middle|\tau(T)=1\right\}\qquad\text{(3.4034)}</w:t>
      </w:r>
    </w:p>
    <w:p w:rsidR="00AE4311" w:rsidRDefault="00AE4311" w:rsidP="00AE4311">
      <w:pPr>
        <w:pStyle w:val="StandardWeb"/>
      </w:pPr>
      <w:r>
        <w:t>Dabei bezeichnet:</w:t>
      </w:r>
    </w:p>
    <w:p w:rsidR="00AE4311" w:rsidRDefault="00AE4311" w:rsidP="00632D23">
      <w:pPr>
        <w:pStyle w:val="StandardWeb"/>
        <w:numPr>
          <w:ilvl w:val="0"/>
          <w:numId w:val="42"/>
        </w:numPr>
      </w:pPr>
      <w:r>
        <w:t>(\mathfrak{T}_{\mathrm{f}}) die Menge aller funktional wirksamen Transformationen,</w:t>
      </w:r>
    </w:p>
    <w:p w:rsidR="00AE4311" w:rsidRDefault="00AE4311" w:rsidP="00632D23">
      <w:pPr>
        <w:pStyle w:val="StandardWeb"/>
        <w:numPr>
          <w:ilvl w:val="0"/>
          <w:numId w:val="42"/>
        </w:numPr>
      </w:pPr>
      <w:r>
        <w:t>(T) eine Abbildung auf (\mathcal{S}_{\mathrm{el}}),</w:t>
      </w:r>
    </w:p>
    <w:p w:rsidR="00AE4311" w:rsidRDefault="00AE4311" w:rsidP="00632D23">
      <w:pPr>
        <w:pStyle w:val="StandardWeb"/>
        <w:numPr>
          <w:ilvl w:val="0"/>
          <w:numId w:val="42"/>
        </w:numPr>
      </w:pPr>
      <w:r>
        <w:t>(\tau(T)=1) funktionale Transformationswirksamkeit.</w:t>
      </w:r>
    </w:p>
    <w:p w:rsidR="00AE4311" w:rsidRDefault="00AE4311" w:rsidP="00AE4311">
      <w:pPr>
        <w:pStyle w:val="StandardWeb"/>
      </w:pPr>
      <w:r>
        <w:t>Aus Primäraxiom III folgt</w:t>
      </w:r>
    </w:p>
    <w:p w:rsidR="00AE4311" w:rsidRDefault="00AE4311" w:rsidP="00AE4311">
      <w:pPr>
        <w:pStyle w:val="StandardWeb"/>
      </w:pPr>
      <w:r>
        <w:t>[</w:t>
      </w:r>
      <w:r>
        <w:br/>
        <w:t>\mathfrak{T}_{\mathrm{f}}\neq\emptyset.</w:t>
      </w:r>
      <w:r>
        <w:br/>
        <w:t>\tag{3.4035}</w:t>
      </w:r>
      <w:r>
        <w:br/>
        <w:t>]</w:t>
      </w:r>
    </w:p>
    <w:p w:rsidR="00AE4311" w:rsidRDefault="00AE4311" w:rsidP="00AE4311">
      <w:pPr>
        <w:pStyle w:val="StandardWeb"/>
      </w:pPr>
      <w:r>
        <w:rPr>
          <w:rStyle w:val="Fett"/>
        </w:rPr>
        <w:t>Word-LaTeX</w:t>
      </w:r>
    </w:p>
    <w:p w:rsidR="00AE4311" w:rsidRDefault="00AE4311" w:rsidP="00AE4311">
      <w:pPr>
        <w:pStyle w:val="HTMLVorformatiert"/>
        <w:rPr>
          <w:rStyle w:val="HTMLCode"/>
        </w:rPr>
      </w:pPr>
      <w:r>
        <w:rPr>
          <w:rStyle w:val="HTMLCode"/>
        </w:rPr>
        <w:t>\mathfrak{T}_{\mathrm{f}}\neq\emptyset\qquad\text{(3.4035)}</w:t>
      </w:r>
    </w:p>
    <w:p w:rsidR="00AE4311" w:rsidRDefault="00AE4311" w:rsidP="00AE4311">
      <w:pPr>
        <w:pStyle w:val="StandardWeb"/>
      </w:pPr>
      <w:r>
        <w:t>Gleichung (3.4035) ist keine zusätzliche axiomatische Setzung. Sie folgt unmittelbar aus Gleichung (3.4031) und der Mengendefinition in Gleichung (3.4034).</w:t>
      </w:r>
    </w:p>
    <w:p w:rsidR="00AE4311" w:rsidRPr="00AF32B2" w:rsidRDefault="00AE4311" w:rsidP="00AF32B2">
      <w:pPr>
        <w:pStyle w:val="berschrift4"/>
      </w:pPr>
      <w:r w:rsidRPr="00AF32B2">
        <w:t>3.3.10.10 Verkettung funktionaler Transformationen</w:t>
      </w:r>
    </w:p>
    <w:p w:rsidR="00AE4311" w:rsidRDefault="00AE4311" w:rsidP="00AE4311">
      <w:pPr>
        <w:pStyle w:val="StandardWeb"/>
      </w:pPr>
      <w:r>
        <w:t>Sind zwei mathematische Transformationen (T_1) und (T_2) gegeben, so kann ihre Verkettung durch</w:t>
      </w:r>
    </w:p>
    <w:p w:rsidR="00AE4311" w:rsidRDefault="00AE4311" w:rsidP="00AE4311">
      <w:pPr>
        <w:pStyle w:val="berschrift1"/>
      </w:pPr>
      <w:r>
        <w:t>[</w:t>
      </w:r>
      <w:r>
        <w:br/>
        <w:t>(T_2\circ T_1)(\delta_i)</w:t>
      </w:r>
    </w:p>
    <w:p w:rsidR="00AE4311" w:rsidRDefault="00AE4311" w:rsidP="00AE4311">
      <w:pPr>
        <w:pStyle w:val="StandardWeb"/>
      </w:pPr>
      <w:r>
        <w:t>T_2!\left(T_1(\delta_i)\right)</w:t>
      </w:r>
      <w:r>
        <w:br/>
        <w:t>\tag{3.4036}</w:t>
      </w:r>
      <w:r>
        <w:br/>
        <w:t>]</w:t>
      </w:r>
    </w:p>
    <w:p w:rsidR="00AE4311" w:rsidRDefault="00AE4311" w:rsidP="00AE4311">
      <w:pPr>
        <w:pStyle w:val="StandardWeb"/>
      </w:pPr>
      <w:r>
        <w:rPr>
          <w:rStyle w:val="Fett"/>
        </w:rPr>
        <w:lastRenderedPageBreak/>
        <w:t>Word-LaTeX</w:t>
      </w:r>
    </w:p>
    <w:p w:rsidR="00AE4311" w:rsidRDefault="00AE4311" w:rsidP="00AE4311">
      <w:pPr>
        <w:pStyle w:val="HTMLVorformatiert"/>
        <w:rPr>
          <w:rStyle w:val="HTMLCode"/>
        </w:rPr>
      </w:pPr>
      <w:r>
        <w:rPr>
          <w:rStyle w:val="HTMLCode"/>
        </w:rPr>
        <w:t>(T_2\circ T_1)(\delta_i)=T_2\left(T_1(\delta_i)\right)\qquad\text{(3.4036)}</w:t>
      </w:r>
    </w:p>
    <w:p w:rsidR="00AE4311" w:rsidRDefault="00AE4311" w:rsidP="00AE4311">
      <w:pPr>
        <w:pStyle w:val="StandardWeb"/>
      </w:pPr>
      <w:r>
        <w:t>beschrieben werden.</w:t>
      </w:r>
    </w:p>
    <w:p w:rsidR="00AE4311" w:rsidRDefault="00AE4311" w:rsidP="00AE4311">
      <w:pPr>
        <w:pStyle w:val="StandardWeb"/>
      </w:pPr>
      <w:r>
        <w:t>Dabei bezeichnet:</w:t>
      </w:r>
    </w:p>
    <w:p w:rsidR="00AE4311" w:rsidRDefault="00AE4311" w:rsidP="00632D23">
      <w:pPr>
        <w:pStyle w:val="StandardWeb"/>
        <w:numPr>
          <w:ilvl w:val="0"/>
          <w:numId w:val="43"/>
        </w:numPr>
      </w:pPr>
      <w:r>
        <w:t>(\circ) die Komposition von Abbildungen,</w:t>
      </w:r>
    </w:p>
    <w:p w:rsidR="00AE4311" w:rsidRDefault="00AE4311" w:rsidP="00632D23">
      <w:pPr>
        <w:pStyle w:val="StandardWeb"/>
        <w:numPr>
          <w:ilvl w:val="0"/>
          <w:numId w:val="43"/>
        </w:numPr>
      </w:pPr>
      <w:r>
        <w:t>(T_1) die zuerst angewendete Transformation,</w:t>
      </w:r>
    </w:p>
    <w:p w:rsidR="00AE4311" w:rsidRDefault="00AE4311" w:rsidP="00632D23">
      <w:pPr>
        <w:pStyle w:val="StandardWeb"/>
        <w:numPr>
          <w:ilvl w:val="0"/>
          <w:numId w:val="43"/>
        </w:numPr>
      </w:pPr>
      <w:r>
        <w:t>(T_2) die anschließend angewendete Transformation.</w:t>
      </w:r>
    </w:p>
    <w:p w:rsidR="00AE4311" w:rsidRDefault="00AE4311" w:rsidP="00AE4311">
      <w:pPr>
        <w:pStyle w:val="StandardWeb"/>
      </w:pPr>
      <w:r>
        <w:t>Die Komposition mathematischer Abbildungen ist etabliert [71, 76]. Daraus folgt jedoch nicht automatisch, dass die Verkettung zweier funktional wirksamer Transformationen ebenfalls funktional wirksam ist.</w:t>
      </w:r>
    </w:p>
    <w:p w:rsidR="00AE4311" w:rsidRDefault="00AE4311" w:rsidP="00AE4311">
      <w:pPr>
        <w:pStyle w:val="StandardWeb"/>
      </w:pPr>
      <w:r>
        <w:rPr>
          <w:rStyle w:val="Fett"/>
        </w:rPr>
        <w:t>Eigenleistung des FRZK</w:t>
      </w:r>
    </w:p>
    <w:p w:rsidR="00AE4311" w:rsidRDefault="00AE4311" w:rsidP="00AE4311">
      <w:pPr>
        <w:pStyle w:val="StandardWeb"/>
      </w:pPr>
      <w:r>
        <w:t>Ich setze daher an dieser Stelle keine Abgeschlossenheit von (\mathfrak{T}_{\mathrm{f}}) unter Komposition voraus. Eine solche Eigenschaft muss später als zusätzliche Strukturbedingung geprüft oder definiert werden.</w:t>
      </w:r>
    </w:p>
    <w:p w:rsidR="00AE4311" w:rsidRPr="00AF32B2" w:rsidRDefault="00AE4311" w:rsidP="00AF32B2">
      <w:pPr>
        <w:pStyle w:val="berschrift4"/>
      </w:pPr>
      <w:r w:rsidRPr="00AF32B2">
        <w:t>3.3.10.11 Verhältnis zwischen Transformation und Relation</w:t>
      </w:r>
    </w:p>
    <w:p w:rsidR="00AE4311" w:rsidRDefault="00AE4311" w:rsidP="00AE4311">
      <w:pPr>
        <w:pStyle w:val="StandardWeb"/>
      </w:pPr>
      <w:r>
        <w:t>Jede Abbildung (T:\mathcal{S}</w:t>
      </w:r>
      <w:r>
        <w:rPr>
          <w:rStyle w:val="Hervorhebung"/>
        </w:rPr>
        <w:t>{\mathrm{el}}\rightarrow\mathcal{S}</w:t>
      </w:r>
      <w:r>
        <w:t>{\mathrm{el}}) besitzt einen Graphen</w:t>
      </w:r>
    </w:p>
    <w:p w:rsidR="00AE4311" w:rsidRDefault="00AE4311" w:rsidP="00AE4311">
      <w:pPr>
        <w:pStyle w:val="berschrift1"/>
      </w:pPr>
      <w:r>
        <w:t>[</w:t>
      </w:r>
      <w:r>
        <w:br/>
        <w:t>\operatorname{Graph}(T)</w:t>
      </w:r>
    </w:p>
    <w:p w:rsidR="00AE4311" w:rsidRDefault="00AE4311" w:rsidP="00AE4311">
      <w:pPr>
        <w:pStyle w:val="StandardWeb"/>
      </w:pPr>
      <w:r>
        <w:t>\left{</w:t>
      </w:r>
      <w:r>
        <w:br/>
        <w:t>(\delta_i,T(\delta_i))</w:t>
      </w:r>
      <w:r>
        <w:br/>
        <w:t>;\middle|;</w:t>
      </w:r>
      <w:r>
        <w:br/>
        <w:t>\delta_i\in\mathcal{S}_{\mathrm{el}}</w:t>
      </w:r>
      <w:r>
        <w:br/>
        <w:t>\right}.</w:t>
      </w:r>
      <w:r>
        <w:br/>
        <w:t>\tag{3.4037}</w:t>
      </w:r>
      <w:r>
        <w:br/>
        <w:t>]</w:t>
      </w:r>
    </w:p>
    <w:p w:rsidR="00AE4311" w:rsidRDefault="00AE4311" w:rsidP="00AE4311">
      <w:pPr>
        <w:pStyle w:val="StandardWeb"/>
      </w:pPr>
      <w:r>
        <w:rPr>
          <w:rStyle w:val="Fett"/>
        </w:rPr>
        <w:t>Word-LaTeX</w:t>
      </w:r>
    </w:p>
    <w:p w:rsidR="00AE4311" w:rsidRDefault="00AE4311" w:rsidP="00AE4311">
      <w:pPr>
        <w:pStyle w:val="HTMLVorformatiert"/>
        <w:rPr>
          <w:rStyle w:val="HTMLCode"/>
        </w:rPr>
      </w:pPr>
      <w:r>
        <w:rPr>
          <w:rStyle w:val="HTMLCode"/>
        </w:rPr>
        <w:t>\operatorname{Graph}(T)=\left\{(\delta_i,T(\delta_i))\middle|\delta_i\in\mathcal{S}_{\mathrm{el}}\right\}\qquad\text{(3.4037)}</w:t>
      </w:r>
    </w:p>
    <w:p w:rsidR="00AE4311" w:rsidRDefault="00AE4311" w:rsidP="00AE4311">
      <w:pPr>
        <w:pStyle w:val="StandardWeb"/>
      </w:pPr>
      <w:r>
        <w:t>Dabei bezeichnet (\operatorname{Graph}(T)) die zu (T) gehörige Relation.</w:t>
      </w:r>
    </w:p>
    <w:p w:rsidR="00AE4311" w:rsidRDefault="00AE4311" w:rsidP="00AE4311">
      <w:pPr>
        <w:pStyle w:val="StandardWeb"/>
      </w:pPr>
      <w:r>
        <w:t>Damit kann jede Transformation als spezielle Relation dargestellt werden. Umgekehrt ist jedoch nicht jede Relation eine Transformation, da einer Relation Eindeutigkeit oder Vollständigkeit fehlen kann [6, 71].</w:t>
      </w:r>
    </w:p>
    <w:p w:rsidR="00AE4311" w:rsidRDefault="00AE4311" w:rsidP="00AE4311">
      <w:pPr>
        <w:pStyle w:val="StandardWeb"/>
      </w:pPr>
      <w:r>
        <w:rPr>
          <w:rStyle w:val="Fett"/>
        </w:rPr>
        <w:t>Eigenleistung des FRZK</w:t>
      </w:r>
    </w:p>
    <w:p w:rsidR="00AE4311" w:rsidRDefault="00AE4311" w:rsidP="00AE4311">
      <w:pPr>
        <w:pStyle w:val="StandardWeb"/>
      </w:pPr>
      <w:r>
        <w:lastRenderedPageBreak/>
        <w:t>Diese Einbettung erklärt, weshalb funktionale Transformationen auf dem bereits entwickelten Relationsbegriff aufbauen, ohne mit ihm identisch zu sein. Primäraxiom III erweitert die funktionale Relationierbarkeit um die Möglichkeit regelgeleiteter Zustandszuordnung.</w:t>
      </w:r>
    </w:p>
    <w:p w:rsidR="00AE4311" w:rsidRPr="00AF32B2" w:rsidRDefault="00AE4311" w:rsidP="00AF32B2">
      <w:pPr>
        <w:pStyle w:val="berschrift4"/>
      </w:pPr>
      <w:r w:rsidRPr="00AF32B2">
        <w:t>3.3.10.12 Keine Zeitvariable</w:t>
      </w:r>
    </w:p>
    <w:p w:rsidR="00AE4311" w:rsidRDefault="00AE4311" w:rsidP="00AE4311">
      <w:pPr>
        <w:pStyle w:val="StandardWeb"/>
      </w:pPr>
      <w:r>
        <w:t>Die Komposition (T_2\circ T_1) definiert eine logische Reihenfolge der Anwendung. Diese Reihenfolge ist noch keine physikalische Zeit. Sie enthält weder Dauer noch kontinuierliche Entwicklung noch eine metrische Zeitstruktur.</w:t>
      </w:r>
    </w:p>
    <w:p w:rsidR="00AE4311" w:rsidRDefault="00AE4311" w:rsidP="00AE4311">
      <w:pPr>
        <w:pStyle w:val="StandardWeb"/>
      </w:pPr>
      <w:r>
        <w:rPr>
          <w:rStyle w:val="Fett"/>
        </w:rPr>
        <w:t>Eigenleistung des FRZK</w:t>
      </w:r>
    </w:p>
    <w:p w:rsidR="00AE4311" w:rsidRDefault="00AE4311" w:rsidP="00AE4311">
      <w:pPr>
        <w:pStyle w:val="StandardWeb"/>
      </w:pPr>
      <w:r>
        <w:t>Ich unterscheide deshalb ausdrücklich zwischen Transformationsfolge und Zeitfolge. Eine spätere funktionale Zeitordnung kann auf geordneten Transformationen aufbauen, darf aber nicht mit der bloßen Kompositionsreihenfolge gleichgesetzt werden.</w:t>
      </w:r>
    </w:p>
    <w:p w:rsidR="00AE4311" w:rsidRPr="00AF32B2" w:rsidRDefault="00AE4311" w:rsidP="00AF32B2">
      <w:pPr>
        <w:pStyle w:val="berschrift4"/>
      </w:pPr>
      <w:r w:rsidRPr="00AF32B2">
        <w:t>3.3.10.13 Noch nicht festgelegte Transformationseigenschaften</w:t>
      </w:r>
    </w:p>
    <w:p w:rsidR="00AE4311" w:rsidRDefault="00AE4311" w:rsidP="00AE4311">
      <w:pPr>
        <w:pStyle w:val="StandardWeb"/>
      </w:pPr>
      <w:r>
        <w:t>Primäraxiom III legt nicht fest:</w:t>
      </w:r>
    </w:p>
    <w:p w:rsidR="00AE4311" w:rsidRDefault="00AE4311" w:rsidP="00632D23">
      <w:pPr>
        <w:pStyle w:val="StandardWeb"/>
        <w:numPr>
          <w:ilvl w:val="0"/>
          <w:numId w:val="44"/>
        </w:numPr>
      </w:pPr>
      <w:r>
        <w:t>ob Transformationen linear sind,</w:t>
      </w:r>
    </w:p>
    <w:p w:rsidR="00AE4311" w:rsidRDefault="00AE4311" w:rsidP="00632D23">
      <w:pPr>
        <w:pStyle w:val="StandardWeb"/>
        <w:numPr>
          <w:ilvl w:val="0"/>
          <w:numId w:val="44"/>
        </w:numPr>
      </w:pPr>
      <w:r>
        <w:t>ob sie invertierbar sind,</w:t>
      </w:r>
    </w:p>
    <w:p w:rsidR="00AE4311" w:rsidRDefault="00AE4311" w:rsidP="00632D23">
      <w:pPr>
        <w:pStyle w:val="StandardWeb"/>
        <w:numPr>
          <w:ilvl w:val="0"/>
          <w:numId w:val="44"/>
        </w:numPr>
      </w:pPr>
      <w:r>
        <w:t>ob sie stetig oder differenzierbar sind,</w:t>
      </w:r>
    </w:p>
    <w:p w:rsidR="00AE4311" w:rsidRDefault="00AE4311" w:rsidP="00632D23">
      <w:pPr>
        <w:pStyle w:val="StandardWeb"/>
        <w:numPr>
          <w:ilvl w:val="0"/>
          <w:numId w:val="44"/>
        </w:numPr>
      </w:pPr>
      <w:r>
        <w:t>ob sie normerhaltend sind,</w:t>
      </w:r>
    </w:p>
    <w:p w:rsidR="00AE4311" w:rsidRDefault="00AE4311" w:rsidP="00632D23">
      <w:pPr>
        <w:pStyle w:val="StandardWeb"/>
        <w:numPr>
          <w:ilvl w:val="0"/>
          <w:numId w:val="44"/>
        </w:numPr>
      </w:pPr>
      <w:r>
        <w:t>ob sie deterministisch oder stochastisch sind,</w:t>
      </w:r>
    </w:p>
    <w:p w:rsidR="00AE4311" w:rsidRDefault="00AE4311" w:rsidP="00632D23">
      <w:pPr>
        <w:pStyle w:val="StandardWeb"/>
        <w:numPr>
          <w:ilvl w:val="0"/>
          <w:numId w:val="44"/>
        </w:numPr>
      </w:pPr>
      <w:r>
        <w:t>ob sie reversibel sind,</w:t>
      </w:r>
    </w:p>
    <w:p w:rsidR="00AE4311" w:rsidRDefault="00AE4311" w:rsidP="00632D23">
      <w:pPr>
        <w:pStyle w:val="StandardWeb"/>
        <w:numPr>
          <w:ilvl w:val="0"/>
          <w:numId w:val="44"/>
        </w:numPr>
      </w:pPr>
      <w:r>
        <w:t>ob sie eine Dauer besitzen,</w:t>
      </w:r>
    </w:p>
    <w:p w:rsidR="00AE4311" w:rsidRDefault="00AE4311" w:rsidP="00632D23">
      <w:pPr>
        <w:pStyle w:val="StandardWeb"/>
        <w:numPr>
          <w:ilvl w:val="0"/>
          <w:numId w:val="44"/>
        </w:numPr>
      </w:pPr>
      <w:r>
        <w:t>ob sie Energie oder Information übertragen,</w:t>
      </w:r>
    </w:p>
    <w:p w:rsidR="00AE4311" w:rsidRDefault="00AE4311" w:rsidP="00632D23">
      <w:pPr>
        <w:pStyle w:val="StandardWeb"/>
        <w:numPr>
          <w:ilvl w:val="0"/>
          <w:numId w:val="44"/>
        </w:numPr>
      </w:pPr>
      <w:r>
        <w:t>ob sie kausal sind,</w:t>
      </w:r>
    </w:p>
    <w:p w:rsidR="00AE4311" w:rsidRDefault="00AE4311" w:rsidP="00632D23">
      <w:pPr>
        <w:pStyle w:val="StandardWeb"/>
        <w:numPr>
          <w:ilvl w:val="0"/>
          <w:numId w:val="44"/>
        </w:numPr>
      </w:pPr>
      <w:r>
        <w:t>ob sie räumliche Bewegung repräsentieren.</w:t>
      </w:r>
    </w:p>
    <w:p w:rsidR="00AE4311" w:rsidRDefault="00AE4311" w:rsidP="00AE4311">
      <w:pPr>
        <w:pStyle w:val="StandardWeb"/>
      </w:pPr>
      <w:r>
        <w:t>Diese Eigenschaften gehören zu späteren Definitionen und konkreten Modellklassen [75, 76].</w:t>
      </w:r>
    </w:p>
    <w:p w:rsidR="00AE4311" w:rsidRPr="00AF32B2" w:rsidRDefault="00AE4311" w:rsidP="00AF32B2">
      <w:pPr>
        <w:pStyle w:val="berschrift4"/>
      </w:pPr>
      <w:r w:rsidRPr="00AF32B2">
        <w:t>3.3.10.14 Übergang zur Definition der funktionalen Transformation</w:t>
      </w:r>
    </w:p>
    <w:p w:rsidR="00AE4311" w:rsidRDefault="00AE4311" w:rsidP="00AE4311">
      <w:pPr>
        <w:pStyle w:val="StandardWeb"/>
      </w:pPr>
      <w:r>
        <w:t>Nachdem Primäraxiom III die Existenz mindestens einer funktional wirksamen Abbildung sichert, kann im nächsten Abschnitt definiert werden, wann eine konkrete Abbildung als funktionale Transformation bezeichnet wird.</w:t>
      </w:r>
    </w:p>
    <w:p w:rsidR="00AE4311" w:rsidRDefault="00AE4311" w:rsidP="00AE4311">
      <w:pPr>
        <w:pStyle w:val="StandardWeb"/>
      </w:pPr>
      <w:r>
        <w:t>Diese Definition wird den Zustandsbereich (\mathcal{S}</w:t>
      </w:r>
      <w:r>
        <w:rPr>
          <w:rStyle w:val="Hervorhebung"/>
        </w:rPr>
        <w:t>{\mathrm{el}}), das Prädikat (\tau) und die Menge (\mathfrak{T}</w:t>
      </w:r>
      <w:r>
        <w:t>{\mathrm{f}}) zusammenführen. Sie darf noch keine Dynamik, Zeitentwicklung oder Kohärenzbedingung voraussetzen.</w:t>
      </w:r>
    </w:p>
    <w:p w:rsidR="00E31D2E" w:rsidRDefault="00E31D2E" w:rsidP="00E31D2E">
      <w:pPr>
        <w:pStyle w:val="berschrift2"/>
      </w:pPr>
      <w:r>
        <w:t>Ergänzung zu 3.3.10 – Primäraxiom III der funktionalen Transformierbarkeit</w:t>
      </w:r>
    </w:p>
    <w:p w:rsidR="00E31D2E" w:rsidRDefault="00E31D2E" w:rsidP="00E31D2E">
      <w:pPr>
        <w:pStyle w:val="berschrift3"/>
      </w:pPr>
      <w:r>
        <w:t>Methodologische Betrachtungen</w:t>
      </w:r>
    </w:p>
    <w:p w:rsidR="00E31D2E" w:rsidRDefault="00E31D2E" w:rsidP="00E31D2E">
      <w:pPr>
        <w:pStyle w:val="StandardWeb"/>
      </w:pPr>
      <w:r>
        <w:t xml:space="preserve">Primäraxiom III setzt die dritte elementare Existenzmöglichkeit des FRZK: Mindestens ein elementarer funktionaler Zustand kann durch eine funktional wirksame Zuordnung in einen </w:t>
      </w:r>
      <w:r>
        <w:lastRenderedPageBreak/>
        <w:t>elementaren funktionalen Zustand überführt werden. Die Transformationswirksamkeit wird dabei durch das Prädikat (\tau) gekennzeichnet. Das Axiom setzt ausdrücklich weder Linearität noch Invertierbarkeit, Stetigkeit, Dynamik oder Zeit voraus.</w:t>
      </w:r>
    </w:p>
    <w:p w:rsidR="00E31D2E" w:rsidRDefault="00E31D2E" w:rsidP="00E31D2E">
      <w:pPr>
        <w:pStyle w:val="StandardWeb"/>
      </w:pPr>
      <w:r>
        <w:t>Der axiomatische Gehalt ist von Primäraxiom I und II unabhängig. Funktional wirksame Zustände können existieren und miteinander relational verbunden sein, ohne dass daraus logisch folgt, dass eine funktional wirksame Zustandszuordnung existieren muss. Das Repository dokumentiert diese Unabhängigkeit ausdrücklich.</w:t>
      </w:r>
      <w:r>
        <w:br/>
        <w:t>Methodologisch ist zunächst zwischen mathematischer Abbildung und funktionaler Transformation zu unterscheiden. Die Mathematik definiert Funktionen und Operatoren als Zuordnungen zwischen geeigneten Mengen. Daraus folgt jedoch nicht, dass irgendeine dieser Zuordnungen innerhalb des FRZK funktional wirksam sein muss. Primäraxiom III setzt genau diese zusätzliche Möglichkeit.</w:t>
      </w:r>
    </w:p>
    <w:p w:rsidR="00E31D2E" w:rsidRDefault="00E31D2E" w:rsidP="00E31D2E">
      <w:pPr>
        <w:pStyle w:val="StandardWeb"/>
      </w:pPr>
      <w:r>
        <w:t>Auch hier darf das Axiom nicht stärker interpretiert werden als formuliert. Eine Transformation muss nicht notwendig einen Zustand verändern. Insbesondere ist eine Identitätsabbildung mathematisch eine zulässige Abbildung. Ob sie innerhalb einer bestimmten späteren Struktur funktional relevant ist, muss gesondert betrachtet werden. Die bloße Existenz einer Transformation darf deshalb nicht mit „Bewegung“ oder „Veränderung“ gleichgesetzt werden.</w:t>
      </w:r>
    </w:p>
    <w:p w:rsidR="00E31D2E" w:rsidRDefault="00E31D2E" w:rsidP="00E31D2E">
      <w:pPr>
        <w:pStyle w:val="StandardWeb"/>
      </w:pPr>
      <w:r>
        <w:t>Diese Zurückhaltung ist für die spätere Minimalitätsprüfung wichtig. Würde Primäraxiom III bereits fordern, dass</w:t>
      </w:r>
    </w:p>
    <w:p w:rsidR="00E31D2E" w:rsidRDefault="00E31D2E" w:rsidP="00E31D2E">
      <w:pPr>
        <w:pStyle w:val="StandardWeb"/>
      </w:pPr>
      <w:r>
        <w:t>[</w:t>
      </w:r>
      <w:r>
        <w:br/>
        <w:t>T(\delta)\neq\delta</w:t>
      </w:r>
      <w:r>
        <w:br/>
        <w:t>]</w:t>
      </w:r>
    </w:p>
    <w:p w:rsidR="00E31D2E" w:rsidRDefault="00E31D2E" w:rsidP="00E31D2E">
      <w:pPr>
        <w:pStyle w:val="StandardWeb"/>
      </w:pPr>
      <w:r>
        <w:t>gelten muss, würde das Axiom zusätzlich Nichttrivialität voraussetzen. Eine solche stärkere Forderung ist für die elementare Transformierbarkeit nicht notwendig und würde zulässige Minimalmodelle ausschließen.</w:t>
      </w:r>
    </w:p>
    <w:p w:rsidR="00E31D2E" w:rsidRDefault="00E31D2E" w:rsidP="00E31D2E">
      <w:pPr>
        <w:pStyle w:val="StandardWeb"/>
      </w:pPr>
      <w:r>
        <w:t>Ebenso setzt die Transformation keine externe Zeitvariable voraus. Die Schreibweise</w:t>
      </w:r>
    </w:p>
    <w:p w:rsidR="00E31D2E" w:rsidRDefault="00E31D2E" w:rsidP="00E31D2E">
      <w:pPr>
        <w:pStyle w:val="StandardWeb"/>
      </w:pPr>
      <w:r>
        <w:t>[</w:t>
      </w:r>
      <w:r>
        <w:br/>
        <w:t>T(\delta_i)=\delta_j</w:t>
      </w:r>
      <w:r>
        <w:br/>
        <w:t>]</w:t>
      </w:r>
    </w:p>
    <w:p w:rsidR="00E31D2E" w:rsidRDefault="00E31D2E" w:rsidP="00E31D2E">
      <w:pPr>
        <w:pStyle w:val="StandardWeb"/>
      </w:pPr>
      <w:r>
        <w:t>beschreibt zunächst nur eine funktionale Zuordnung. Erst eine spätere Ordnung von Transformationen oder Zustandsfolgen kann zur Konstruktion einer funktionalen Entwicklung und schließlich einer Zeitstruktur beitragen.</w:t>
      </w:r>
    </w:p>
    <w:p w:rsidR="00E31D2E" w:rsidRDefault="00E31D2E" w:rsidP="00E31D2E">
      <w:pPr>
        <w:pStyle w:val="StandardWeb"/>
      </w:pPr>
      <w:r>
        <w:t>Auch Kausalität folgt nicht automatisch. Eine Transformation beschreibt eine zugelassene funktionale Überführung. Ob diese Überführung kausal, deterministisch, stochastisch oder lediglich strukturell zu interpretieren ist, hängt von weiteren Modellbedingungen ab.</w:t>
      </w:r>
    </w:p>
    <w:p w:rsidR="00E31D2E" w:rsidRDefault="00E31D2E" w:rsidP="00E31D2E">
      <w:pPr>
        <w:pStyle w:val="StandardWeb"/>
      </w:pPr>
      <w:r>
        <w:t>Primäraxiom III schließt damit die elementare Axiomenbasis aus Bestimmbarkeit, Relationierbarkeit und Transformierbarkeit zunächst ab, ohne bereits die reichhaltigeren Strukturen der späteren Theorie vorwegzunehmen.</w:t>
      </w:r>
    </w:p>
    <w:p w:rsidR="00E31D2E" w:rsidRDefault="00E31D2E" w:rsidP="00E31D2E">
      <w:pPr>
        <w:pStyle w:val="berschrift3"/>
      </w:pPr>
      <w:r>
        <w:t>Didaktische Betrachtungen</w:t>
      </w:r>
    </w:p>
    <w:p w:rsidR="00E31D2E" w:rsidRDefault="00E31D2E" w:rsidP="00E31D2E">
      <w:pPr>
        <w:pStyle w:val="StandardWeb"/>
      </w:pPr>
      <w:r>
        <w:lastRenderedPageBreak/>
        <w:t>Der Unterschied zwischen Relation und Transformation kann mit einer Tür verdeutlicht werden.</w:t>
      </w:r>
    </w:p>
    <w:p w:rsidR="00E31D2E" w:rsidRDefault="00E31D2E" w:rsidP="00E31D2E">
      <w:pPr>
        <w:pStyle w:val="StandardWeb"/>
      </w:pPr>
      <w:r>
        <w:t>Zwei Räume können miteinander verbunden sein. Die Tür zwischen ihnen beschreibt eine Beziehung:</w:t>
      </w:r>
    </w:p>
    <w:p w:rsidR="00E31D2E" w:rsidRDefault="00E31D2E" w:rsidP="00E31D2E">
      <w:pPr>
        <w:pStyle w:val="StandardWeb"/>
      </w:pPr>
      <w:r>
        <w:t>[</w:t>
      </w:r>
      <w:r>
        <w:br/>
        <w:t>R_1 \leftrightarrow R_2.</w:t>
      </w:r>
      <w:r>
        <w:br/>
        <w:t>]</w:t>
      </w:r>
    </w:p>
    <w:p w:rsidR="00E31D2E" w:rsidRDefault="00E31D2E" w:rsidP="00E31D2E">
      <w:pPr>
        <w:pStyle w:val="StandardWeb"/>
      </w:pPr>
      <w:r>
        <w:t>Damit hat sich jedoch noch nichts verändert.</w:t>
      </w:r>
    </w:p>
    <w:p w:rsidR="00E31D2E" w:rsidRDefault="00E31D2E" w:rsidP="00E31D2E">
      <w:pPr>
        <w:pStyle w:val="StandardWeb"/>
      </w:pPr>
      <w:r>
        <w:t>Erst wenn eine Person tatsächlich von Raum (R_1) nach Raum (R_2) gelangt, liegt ein Übergang vor.</w:t>
      </w:r>
    </w:p>
    <w:p w:rsidR="00E31D2E" w:rsidRDefault="00E31D2E" w:rsidP="00E31D2E">
      <w:pPr>
        <w:pStyle w:val="StandardWeb"/>
      </w:pPr>
      <w:r>
        <w:t>Übertragen auf das FRZK:</w:t>
      </w:r>
    </w:p>
    <w:p w:rsidR="00E31D2E" w:rsidRDefault="00E31D2E" w:rsidP="00E31D2E">
      <w:pPr>
        <w:pStyle w:val="StandardWeb"/>
      </w:pPr>
      <w:r>
        <w:t>[</w:t>
      </w:r>
      <w:r>
        <w:br/>
        <w:t>T(\delta_1)=\delta_2</w:t>
      </w:r>
      <w:r>
        <w:br/>
        <w:t>]</w:t>
      </w:r>
    </w:p>
    <w:p w:rsidR="00E31D2E" w:rsidRDefault="00E31D2E" w:rsidP="00E31D2E">
      <w:pPr>
        <w:pStyle w:val="StandardWeb"/>
      </w:pPr>
      <w:r>
        <w:t>bedeutet, dass eine funktionale Zuordnung den Zustand (\delta_1) auf den Zustand (\delta_2) abbildet.</w:t>
      </w:r>
    </w:p>
    <w:p w:rsidR="00E31D2E" w:rsidRDefault="00E31D2E" w:rsidP="00E31D2E">
      <w:pPr>
        <w:pStyle w:val="StandardWeb"/>
      </w:pPr>
      <w:r>
        <w:t>Wichtig ist dabei, Transformation nicht sofort mit zeitlicher Bewegung gleichzusetzen. Eine mathematische Funktion</w:t>
      </w:r>
    </w:p>
    <w:p w:rsidR="00E31D2E" w:rsidRDefault="00E31D2E" w:rsidP="00E31D2E">
      <w:pPr>
        <w:pStyle w:val="StandardWeb"/>
      </w:pPr>
      <w:r>
        <w:t>[</w:t>
      </w:r>
      <w:r>
        <w:br/>
        <w:t>f(x)=x^2</w:t>
      </w:r>
      <w:r>
        <w:br/>
        <w:t>]</w:t>
      </w:r>
    </w:p>
    <w:p w:rsidR="00E31D2E" w:rsidRDefault="00E31D2E" w:rsidP="00E31D2E">
      <w:pPr>
        <w:pStyle w:val="StandardWeb"/>
      </w:pPr>
      <w:r>
        <w:t>bildet einen Wert auf einen anderen ab. Diese Abbildung benötigt für ihre mathematische Definition keine physikalische Zeit.</w:t>
      </w:r>
    </w:p>
    <w:p w:rsidR="00E31D2E" w:rsidRDefault="00E31D2E" w:rsidP="00E31D2E">
      <w:pPr>
        <w:pStyle w:val="StandardWeb"/>
      </w:pPr>
      <w:r>
        <w:t>Genauso verhält es sich zunächst mit der FRZK-Transformation. Zeit entsteht nicht dadurch, dass das Symbol (T) verwendet wird.</w:t>
      </w:r>
    </w:p>
    <w:p w:rsidR="00E31D2E" w:rsidRDefault="00E31D2E" w:rsidP="00E31D2E">
      <w:pPr>
        <w:pStyle w:val="StandardWeb"/>
      </w:pPr>
      <w:r>
        <w:t>Auch die Identitätsabbildung ist didaktisch interessant:</w:t>
      </w:r>
    </w:p>
    <w:p w:rsidR="00E31D2E" w:rsidRDefault="00E31D2E" w:rsidP="00E31D2E">
      <w:pPr>
        <w:pStyle w:val="StandardWeb"/>
      </w:pPr>
      <w:r>
        <w:t>[</w:t>
      </w:r>
      <w:r>
        <w:br/>
        <w:t>\operatorname{id}(\delta)=\delta.</w:t>
      </w:r>
      <w:r>
        <w:br/>
        <w:t>]</w:t>
      </w:r>
    </w:p>
    <w:p w:rsidR="00E31D2E" w:rsidRDefault="00E31D2E" w:rsidP="00E31D2E">
      <w:pPr>
        <w:pStyle w:val="StandardWeb"/>
      </w:pPr>
      <w:r>
        <w:t>Sie zeigt, dass eine Transformation mathematisch eine Zuordnung sein kann, ohne den Zustand zu verändern. Damit wird verständlich, warum „Transformation“ und „Änderung“ nicht von Anfang an synonym verwendet werden dürfen.</w:t>
      </w:r>
    </w:p>
    <w:p w:rsidR="00E31D2E" w:rsidRDefault="00E31D2E" w:rsidP="00E31D2E">
      <w:pPr>
        <w:pStyle w:val="StandardWeb"/>
      </w:pPr>
      <w:r>
        <w:t>Der Leser kann die drei Primäraxiome nun sehr einfach unterscheiden:</w:t>
      </w:r>
    </w:p>
    <w:p w:rsidR="00E31D2E" w:rsidRDefault="00E31D2E" w:rsidP="00E31D2E">
      <w:pPr>
        <w:pStyle w:val="StandardWeb"/>
      </w:pPr>
      <w:r>
        <w:rPr>
          <w:rStyle w:val="Fett"/>
        </w:rPr>
        <w:t>Primäraxiom I:</w:t>
      </w:r>
      <w:r>
        <w:t xml:space="preserve"> Es gibt funktional relevante Zustände.</w:t>
      </w:r>
    </w:p>
    <w:p w:rsidR="00E31D2E" w:rsidRDefault="00E31D2E" w:rsidP="00E31D2E">
      <w:pPr>
        <w:pStyle w:val="StandardWeb"/>
      </w:pPr>
      <w:r>
        <w:rPr>
          <w:rStyle w:val="Fett"/>
        </w:rPr>
        <w:lastRenderedPageBreak/>
        <w:t>Primäraxiom II:</w:t>
      </w:r>
      <w:r>
        <w:t xml:space="preserve"> Es gibt funktional relevante Beziehungen.</w:t>
      </w:r>
    </w:p>
    <w:p w:rsidR="00E31D2E" w:rsidRDefault="00E31D2E" w:rsidP="00E31D2E">
      <w:pPr>
        <w:pStyle w:val="StandardWeb"/>
      </w:pPr>
      <w:r>
        <w:rPr>
          <w:rStyle w:val="Fett"/>
        </w:rPr>
        <w:t>Primäraxiom III:</w:t>
      </w:r>
      <w:r>
        <w:t xml:space="preserve"> Es gibt funktional relevante Zuordnungen zwischen Zuständen.</w:t>
      </w:r>
    </w:p>
    <w:p w:rsidR="00E31D2E" w:rsidRDefault="00E31D2E" w:rsidP="00E31D2E">
      <w:pPr>
        <w:pStyle w:val="StandardWeb"/>
      </w:pPr>
      <w:r>
        <w:t>Erst die Kombination dieser drei Möglichkeiten schafft die Grundlage dafür, im nächsten Schritt konkrete Transformationen und anschließend Folgen solcher Transformationen zu definieren.</w:t>
      </w:r>
    </w:p>
    <w:p w:rsidR="00E31D2E" w:rsidRDefault="00E50336" w:rsidP="00E31D2E">
      <w:r>
        <w:pict>
          <v:rect id="_x0000_i1035" style="width:0;height:1.5pt" o:hralign="center" o:hrstd="t" o:hr="t" fillcolor="#a0a0a0" stroked="f"/>
        </w:pict>
      </w:r>
    </w:p>
    <w:p w:rsidR="00551443" w:rsidRPr="00AF32B2" w:rsidRDefault="00551443" w:rsidP="00AF32B2">
      <w:pPr>
        <w:pStyle w:val="berschrift3"/>
      </w:pPr>
      <w:r w:rsidRPr="00AF32B2">
        <w:t>3.3.11 Definition der funktionalen Transformation</w:t>
      </w:r>
    </w:p>
    <w:p w:rsidR="00551443" w:rsidRDefault="00551443" w:rsidP="00551443">
      <w:pPr>
        <w:pStyle w:val="StandardWeb"/>
      </w:pPr>
      <w:r>
        <w:t>Primäraxiom III legt fest, dass innerhalb des Funktionalen Raum-Zeit-Kohärenzsystems mindestens eine funktional wirksame Abbildung auf dem elementaren funktionalen Zustandsbereich existieren kann. Damit ist die Möglichkeit funktionaler Transformierbarkeit axiomatisch eröffnet. Noch ist jedoch nicht bestimmt, unter welchen Bedingungen eine konkrete mathematische Abbildung als funktionale Transformation bezeichnet werden darf. Diese begriffliche Präzisierung erfolgt nun auf Grundlage des in Abschnitt 3.3.10 eingeführten Transformationswirksamkeitsprädikats (\tau).</w:t>
      </w:r>
    </w:p>
    <w:p w:rsidR="00551443" w:rsidRDefault="00551443" w:rsidP="00551443">
      <w:pPr>
        <w:pStyle w:val="StandardWeb"/>
      </w:pPr>
      <w:r>
        <w:t>Die Definition muss eng an Primäraxiom III gebunden bleiben. Sie darf keine Zeitvariable, keine Dynamik, keine Stetigkeit, keine Linearität und keine Kohärenzerhaltung voraussetzen. Eine funktionale Transformation bezeichnet zunächst ausschließlich eine mathematische Zuordnung auf (\mathcal{S}_{\mathrm{el}}), deren funktionale Wirksamkeit durch (\tau(T)=1) bestätigt wird [58, 59, 71, 75, 76].</w:t>
      </w:r>
    </w:p>
    <w:p w:rsidR="00551443" w:rsidRPr="00AF32B2" w:rsidRDefault="00551443" w:rsidP="00AF32B2">
      <w:pPr>
        <w:pStyle w:val="berschrift4"/>
      </w:pPr>
      <w:r w:rsidRPr="00AF32B2">
        <w:t>3.3.11.1 Begriffliche Abgrenzung</w:t>
      </w:r>
    </w:p>
    <w:p w:rsidR="00551443" w:rsidRDefault="00551443" w:rsidP="00551443">
      <w:pPr>
        <w:pStyle w:val="StandardWeb"/>
      </w:pPr>
      <w:r>
        <w:t>Eine mathematische Abbildung ordnet jedem Element ihres Definitionsbereichs genau ein Element ihres Zielbereichs zu [71]. Diese Eindeutigkeit unterscheidet sie von einer allgemeinen Relation, die einem Zustand mehrere, genau einen oder keinen Zielzustand zuordnen kann [6]. Eine funktionale Transformation ist deshalb eine spezielle Form funktionaler Relationierbarkeit, besitzt jedoch einen zusätzlichen mathematischen Strukturgehalt.</w:t>
      </w:r>
    </w:p>
    <w:p w:rsidR="00551443" w:rsidRDefault="00551443" w:rsidP="00551443">
      <w:pPr>
        <w:pStyle w:val="StandardWeb"/>
      </w:pPr>
      <w:r>
        <w:t>Nicht jede mathematische Abbildung ist bereits eine funktionale Transformation. Die mathematische Eigenschaft der Eindeutigkeit sagt noch nichts darüber aus, ob die Zuordnung innerhalb des FRZK funktional wirksam ist. Ebenso ist nicht jede funktional wirksame Relation eine Transformation, weil ihr die Eindeutigkeitsbedingung fehlen kann.</w:t>
      </w:r>
    </w:p>
    <w:p w:rsidR="00551443" w:rsidRDefault="00551443" w:rsidP="00551443">
      <w:pPr>
        <w:pStyle w:val="StandardWeb"/>
      </w:pPr>
      <w:r>
        <w:rPr>
          <w:rStyle w:val="Fett"/>
        </w:rPr>
        <w:t>Eigenleistung des FRZK</w:t>
      </w:r>
    </w:p>
    <w:p w:rsidR="00551443" w:rsidRDefault="00551443" w:rsidP="00551443">
      <w:pPr>
        <w:pStyle w:val="StandardWeb"/>
      </w:pPr>
      <w:r>
        <w:t>Ich verwende den Begriff der funktionalen Transformation ausschließlich für solche Abbildungen, die sowohl mathematisch wohldefiniert als auch funktional wirksam sind. Die mathematische Abbildungsstruktur bleibt unverändert. Neu ist nur ihre ausdrückliche Zuordnung zum funktionalen Gegenstandsbereich des FRZK.</w:t>
      </w:r>
    </w:p>
    <w:p w:rsidR="00551443" w:rsidRPr="00AF32B2" w:rsidRDefault="00551443" w:rsidP="00AF32B2">
      <w:pPr>
        <w:pStyle w:val="berschrift4"/>
      </w:pPr>
      <w:r w:rsidRPr="00AF32B2">
        <w:t>3.3.11.2 Definition der funktionalen Transformation</w:t>
      </w:r>
    </w:p>
    <w:p w:rsidR="00551443" w:rsidRDefault="00551443" w:rsidP="00551443">
      <w:pPr>
        <w:pStyle w:val="StandardWeb"/>
      </w:pPr>
      <w:r>
        <w:rPr>
          <w:rStyle w:val="Fett"/>
        </w:rPr>
        <w:t>Definition 3.3.3 – Funktionale Transformation</w:t>
      </w:r>
    </w:p>
    <w:p w:rsidR="00551443" w:rsidRDefault="00551443" w:rsidP="00551443">
      <w:pPr>
        <w:pStyle w:val="StandardWeb"/>
      </w:pPr>
      <w:r>
        <w:lastRenderedPageBreak/>
        <w:t>Eine funktionale Transformation ist eine Abbildung (T) auf dem elementaren funktionalen Zustandsbereich, für die das Transformationswirksamkeitsprädikat (\tau) den Wert (1) besitzt.</w:t>
      </w:r>
    </w:p>
    <w:p w:rsidR="00551443" w:rsidRDefault="00551443" w:rsidP="00551443">
      <w:pPr>
        <w:pStyle w:val="StandardWeb"/>
      </w:pPr>
      <w:r>
        <w:t>Formal gilt:</w:t>
      </w:r>
    </w:p>
    <w:p w:rsidR="00551443" w:rsidRDefault="00551443" w:rsidP="00551443">
      <w:pPr>
        <w:pStyle w:val="StandardWeb"/>
      </w:pPr>
      <w:r>
        <w:t>[</w:t>
      </w:r>
      <w:r>
        <w:br/>
        <w:t>T\in\mathfrak{T}</w:t>
      </w:r>
      <w:r>
        <w:rPr>
          <w:rStyle w:val="Hervorhebung"/>
        </w:rPr>
        <w:t>{\mathrm{f}}</w:t>
      </w:r>
      <w:r>
        <w:rPr>
          <w:i/>
          <w:iCs/>
        </w:rPr>
        <w:br/>
      </w:r>
      <w:r>
        <w:rPr>
          <w:rStyle w:val="Hervorhebung"/>
        </w:rPr>
        <w:t>\iff</w:t>
      </w:r>
      <w:r>
        <w:rPr>
          <w:i/>
          <w:iCs/>
        </w:rPr>
        <w:br/>
      </w:r>
      <w:r>
        <w:rPr>
          <w:rStyle w:val="Hervorhebung"/>
        </w:rPr>
        <w:t>\left(</w:t>
      </w:r>
      <w:r>
        <w:rPr>
          <w:i/>
          <w:iCs/>
        </w:rPr>
        <w:br/>
      </w:r>
      <w:r>
        <w:rPr>
          <w:rStyle w:val="Hervorhebung"/>
        </w:rPr>
        <w:t>T:\mathcal{S}</w:t>
      </w:r>
      <w:r>
        <w:t>{\mathrm{el}}\rightarrow\mathcal{S}_{\mathrm{el}}</w:t>
      </w:r>
      <w:r>
        <w:br/>
        <w:t>\right)</w:t>
      </w:r>
      <w:r>
        <w:br/>
        <w:t>\land</w:t>
      </w:r>
      <w:r>
        <w:br/>
        <w:t>\left(</w:t>
      </w:r>
      <w:r>
        <w:br/>
        <w:t>\tau(T)=1</w:t>
      </w:r>
      <w:r>
        <w:br/>
        <w:t>\right).</w:t>
      </w:r>
      <w:r>
        <w:br/>
        <w:t>\tag{3.4038}</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T\in\mathfrak{T}_{\mathrm{f}}\iff\left(T:\mathcal{S}_{\mathrm{el}}\rightarrow\mathcal{S}_{\mathrm{el}}\right)\land\left(\tau(T)=1\right)\qquad\text{(3.4038)}</w:t>
      </w:r>
    </w:p>
    <w:p w:rsidR="00551443" w:rsidRDefault="00551443" w:rsidP="00551443">
      <w:pPr>
        <w:pStyle w:val="StandardWeb"/>
      </w:pPr>
      <w:r>
        <w:t>Dabei bezeichnet:</w:t>
      </w:r>
    </w:p>
    <w:p w:rsidR="00551443" w:rsidRDefault="00551443" w:rsidP="00632D23">
      <w:pPr>
        <w:pStyle w:val="StandardWeb"/>
        <w:numPr>
          <w:ilvl w:val="0"/>
          <w:numId w:val="45"/>
        </w:numPr>
      </w:pPr>
      <w:r>
        <w:t>(T) eine Abbildung auf (\mathcal{S}_{\mathrm{el}}),</w:t>
      </w:r>
    </w:p>
    <w:p w:rsidR="00551443" w:rsidRDefault="00551443" w:rsidP="00632D23">
      <w:pPr>
        <w:pStyle w:val="StandardWeb"/>
        <w:numPr>
          <w:ilvl w:val="0"/>
          <w:numId w:val="45"/>
        </w:numPr>
      </w:pPr>
      <w:r>
        <w:t>(\mathfrak{T}_{\mathrm{f}}) die Menge der funktional wirksamen Transformationen,</w:t>
      </w:r>
    </w:p>
    <w:p w:rsidR="00551443" w:rsidRDefault="00551443" w:rsidP="00632D23">
      <w:pPr>
        <w:pStyle w:val="StandardWeb"/>
        <w:numPr>
          <w:ilvl w:val="0"/>
          <w:numId w:val="45"/>
        </w:numPr>
      </w:pPr>
      <w:r>
        <w:t>(\tau(T)=1) das Vorliegen funktionaler Transformationswirksamkeit,</w:t>
      </w:r>
    </w:p>
    <w:p w:rsidR="00551443" w:rsidRDefault="00551443" w:rsidP="00632D23">
      <w:pPr>
        <w:pStyle w:val="StandardWeb"/>
        <w:numPr>
          <w:ilvl w:val="0"/>
          <w:numId w:val="45"/>
        </w:numPr>
      </w:pPr>
      <w:r>
        <w:t>(\land) die logische Konjunktion.</w:t>
      </w:r>
    </w:p>
    <w:p w:rsidR="00551443" w:rsidRDefault="00551443" w:rsidP="00551443">
      <w:pPr>
        <w:pStyle w:val="StandardWeb"/>
      </w:pPr>
      <w:r>
        <w:t>Gleichung (3.4038) ist eine Definition und kein neues Axiom. Primäraxiom III sichert bereits die Existenz mindestens einer Abbildung mit (\tau(T)=1). Definition 3.3.3 bestimmt lediglich, welche Abbildungen zur Menge (\mathfrak{T}_{\mathrm{f}}) gehören.</w:t>
      </w:r>
    </w:p>
    <w:p w:rsidR="00551443" w:rsidRPr="00AF32B2" w:rsidRDefault="00551443" w:rsidP="00AF32B2">
      <w:pPr>
        <w:pStyle w:val="berschrift4"/>
      </w:pPr>
      <w:r w:rsidRPr="00AF32B2">
        <w:t>3.3.11.3 Anwendung auf einen elementaren funktionalen Zustand</w:t>
      </w:r>
    </w:p>
    <w:p w:rsidR="00551443" w:rsidRDefault="00551443" w:rsidP="00551443">
      <w:pPr>
        <w:pStyle w:val="StandardWeb"/>
      </w:pPr>
      <w:r>
        <w:t>Für eine funktionale Transformation (T\in\mathfrak{T}</w:t>
      </w:r>
      <w:r>
        <w:rPr>
          <w:rStyle w:val="Hervorhebung"/>
        </w:rPr>
        <w:t>{\mathrm{f}}) und einen Zustand (\delta_i\in\mathcal{S}</w:t>
      </w:r>
      <w:r>
        <w:t>{\mathrm{el}}) gilt:</w:t>
      </w:r>
    </w:p>
    <w:p w:rsidR="00551443" w:rsidRDefault="00551443" w:rsidP="00551443">
      <w:pPr>
        <w:pStyle w:val="StandardWeb"/>
      </w:pPr>
      <w:r>
        <w:t>[</w:t>
      </w:r>
      <w:r>
        <w:br/>
        <w:t>T(\delta_i)=\delta_j</w:t>
      </w:r>
      <w:r>
        <w:br/>
        <w:t>\quad\text{mit}\quad</w:t>
      </w:r>
      <w:r>
        <w:br/>
        <w:t>\delta_j\in\mathcal{S}_{\mathrm{el}}.</w:t>
      </w:r>
      <w:r>
        <w:br/>
        <w:t>\tag{3.4039}</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T(\delta_i)=\delta_j\quad\text{mit}\quad\delta_j\in\mathcal{S}_{\mathrm{el}}\qquad\text{(3.4039)}</w:t>
      </w:r>
    </w:p>
    <w:p w:rsidR="00551443" w:rsidRDefault="00551443" w:rsidP="00551443">
      <w:pPr>
        <w:pStyle w:val="StandardWeb"/>
      </w:pPr>
      <w:r>
        <w:lastRenderedPageBreak/>
        <w:t>Dabei bezeichnet:</w:t>
      </w:r>
    </w:p>
    <w:p w:rsidR="00551443" w:rsidRDefault="00551443" w:rsidP="00632D23">
      <w:pPr>
        <w:pStyle w:val="StandardWeb"/>
        <w:numPr>
          <w:ilvl w:val="0"/>
          <w:numId w:val="46"/>
        </w:numPr>
      </w:pPr>
      <w:r>
        <w:t>(\delta_i) den funktionalen Ausgangszustand,</w:t>
      </w:r>
    </w:p>
    <w:p w:rsidR="00551443" w:rsidRDefault="00551443" w:rsidP="00632D23">
      <w:pPr>
        <w:pStyle w:val="StandardWeb"/>
        <w:numPr>
          <w:ilvl w:val="0"/>
          <w:numId w:val="46"/>
        </w:numPr>
      </w:pPr>
      <w:r>
        <w:t>(\delta_j) den funktionalen Zielzustand,</w:t>
      </w:r>
    </w:p>
    <w:p w:rsidR="00551443" w:rsidRDefault="00551443" w:rsidP="00632D23">
      <w:pPr>
        <w:pStyle w:val="StandardWeb"/>
        <w:numPr>
          <w:ilvl w:val="0"/>
          <w:numId w:val="46"/>
        </w:numPr>
      </w:pPr>
      <w:r>
        <w:t>(T(\delta_i)) das Bild des Ausgangszustands unter (T).</w:t>
      </w:r>
    </w:p>
    <w:p w:rsidR="00551443" w:rsidRDefault="00551443" w:rsidP="00551443">
      <w:pPr>
        <w:pStyle w:val="StandardWeb"/>
      </w:pPr>
      <w:r>
        <w:t>Gleichung (3.4039) stellt sicher, dass eine funktionale Transformation den elementaren funktionalen Zustandsbereich nicht verlässt. Sie legt jedoch noch nicht fest, ob der Zielzustand vom Ausgangszustand verschieden ist.</w:t>
      </w:r>
    </w:p>
    <w:p w:rsidR="00551443" w:rsidRPr="00AF32B2" w:rsidRDefault="00551443" w:rsidP="00AF32B2">
      <w:pPr>
        <w:pStyle w:val="berschrift4"/>
      </w:pPr>
      <w:r w:rsidRPr="00AF32B2">
        <w:t>3.3.11.4 Zustandserhaltende funktionale Transformation</w:t>
      </w:r>
    </w:p>
    <w:p w:rsidR="00551443" w:rsidRDefault="00551443" w:rsidP="00551443">
      <w:pPr>
        <w:pStyle w:val="StandardWeb"/>
      </w:pPr>
      <w:r>
        <w:t>Eine funktionale Transformation ist bezüglich eines Zustands (\delta_i) zustandserhaltend, wenn</w:t>
      </w:r>
    </w:p>
    <w:p w:rsidR="00551443" w:rsidRDefault="00551443" w:rsidP="00551443">
      <w:pPr>
        <w:pStyle w:val="StandardWeb"/>
      </w:pPr>
      <w:r>
        <w:t>[</w:t>
      </w:r>
      <w:r>
        <w:br/>
        <w:t>T(\delta_i)=\delta_i.</w:t>
      </w:r>
      <w:r>
        <w:br/>
        <w:t>\tag{3.4040}</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T(\delta_i)=\delta_i\qquad\text{(3.4040)}</w:t>
      </w:r>
    </w:p>
    <w:p w:rsidR="00551443" w:rsidRDefault="00551443" w:rsidP="00551443">
      <w:pPr>
        <w:pStyle w:val="StandardWeb"/>
      </w:pPr>
      <w:r>
        <w:t>Gleichung (3.4040) beschreibt einen Fixpunkt der Transformation. Sie bedeutet nicht, dass (T) auf dem gesamten Zustandsbereich mit der Identitätsabbildung übereinstimmen muss.</w:t>
      </w:r>
    </w:p>
    <w:p w:rsidR="00551443" w:rsidRDefault="00551443" w:rsidP="00551443">
      <w:pPr>
        <w:pStyle w:val="StandardWeb"/>
      </w:pPr>
      <w:r>
        <w:t>Die Fixpunktmenge einer funktionalen Transformation definiere ich durch</w:t>
      </w:r>
    </w:p>
    <w:p w:rsidR="00551443" w:rsidRDefault="00551443" w:rsidP="00551443">
      <w:pPr>
        <w:pStyle w:val="berschrift1"/>
      </w:pPr>
      <w:r>
        <w:t>[</w:t>
      </w:r>
      <w:r>
        <w:br/>
        <w:t>\operatorname{Fix}(T)</w:t>
      </w:r>
    </w:p>
    <w:p w:rsidR="00551443" w:rsidRDefault="00551443" w:rsidP="00551443">
      <w:pPr>
        <w:pStyle w:val="StandardWeb"/>
      </w:pPr>
      <w:r>
        <w:t>\left{</w:t>
      </w:r>
      <w:r>
        <w:br/>
        <w:t>\delta\in\mathcal{S}_{\mathrm{el}}</w:t>
      </w:r>
      <w:r>
        <w:br/>
        <w:t>;\middle|;</w:t>
      </w:r>
      <w:r>
        <w:br/>
        <w:t>T(\delta)=\delta</w:t>
      </w:r>
      <w:r>
        <w:br/>
        <w:t>\right}.</w:t>
      </w:r>
      <w:r>
        <w:br/>
        <w:t>\tag{3.4041}</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\operatorname{Fix}(T)=\left\{\delta\in\mathcal{S}_{\mathrm{el}}\middle|T(\delta)=\delta\right\}\qquad\text{(3.4041)}</w:t>
      </w:r>
    </w:p>
    <w:p w:rsidR="00551443" w:rsidRDefault="00551443" w:rsidP="00551443">
      <w:pPr>
        <w:pStyle w:val="StandardWeb"/>
      </w:pPr>
      <w:r>
        <w:t>Dabei bezeichnet:</w:t>
      </w:r>
    </w:p>
    <w:p w:rsidR="00551443" w:rsidRDefault="00551443" w:rsidP="00632D23">
      <w:pPr>
        <w:pStyle w:val="StandardWeb"/>
        <w:numPr>
          <w:ilvl w:val="0"/>
          <w:numId w:val="47"/>
        </w:numPr>
      </w:pPr>
      <w:r>
        <w:t>(\operatorname{Fix}(T)) die Fixpunktmenge von (T),</w:t>
      </w:r>
    </w:p>
    <w:p w:rsidR="00551443" w:rsidRDefault="00551443" w:rsidP="00632D23">
      <w:pPr>
        <w:pStyle w:val="StandardWeb"/>
        <w:numPr>
          <w:ilvl w:val="0"/>
          <w:numId w:val="47"/>
        </w:numPr>
      </w:pPr>
      <w:r>
        <w:t>(T(\delta)=\delta) die Zustandserhaltung bezüglich (\delta).</w:t>
      </w:r>
    </w:p>
    <w:p w:rsidR="00551443" w:rsidRDefault="00551443" w:rsidP="00551443">
      <w:pPr>
        <w:pStyle w:val="StandardWeb"/>
      </w:pPr>
      <w:r>
        <w:rPr>
          <w:rStyle w:val="Fett"/>
        </w:rPr>
        <w:lastRenderedPageBreak/>
        <w:t>Eigenleistung des FRZK</w:t>
      </w:r>
    </w:p>
    <w:p w:rsidR="00551443" w:rsidRDefault="00551443" w:rsidP="00551443">
      <w:pPr>
        <w:pStyle w:val="StandardWeb"/>
      </w:pPr>
      <w:r>
        <w:t>Ich unterscheide damit zwischen globaler Identitätstransformation und lokaler Zustandserhaltung. Eine funktionale Transformation kann einzelne Zustände unverändert lassen und andere verändern. Diese Unterscheidung wird später für Stabilität und Kohärenzerhaltung relevant.</w:t>
      </w:r>
    </w:p>
    <w:p w:rsidR="00551443" w:rsidRPr="00AF32B2" w:rsidRDefault="00551443" w:rsidP="00AF32B2">
      <w:pPr>
        <w:pStyle w:val="berschrift4"/>
      </w:pPr>
      <w:r w:rsidRPr="00AF32B2">
        <w:t>3.3.11.5 Zustandsändernde funktionale Transformation</w:t>
      </w:r>
    </w:p>
    <w:p w:rsidR="00551443" w:rsidRDefault="00551443" w:rsidP="00551443">
      <w:pPr>
        <w:pStyle w:val="StandardWeb"/>
      </w:pPr>
      <w:r>
        <w:t>Eine funktionale Transformation ist bezüglich eines Zustands (\delta_i) zustandsändernd, wenn</w:t>
      </w:r>
    </w:p>
    <w:p w:rsidR="00551443" w:rsidRDefault="00551443" w:rsidP="00551443">
      <w:pPr>
        <w:pStyle w:val="StandardWeb"/>
      </w:pPr>
      <w:r>
        <w:t>[</w:t>
      </w:r>
      <w:r>
        <w:br/>
        <w:t>T(\delta_i)=\delta_j</w:t>
      </w:r>
      <w:r>
        <w:br/>
        <w:t>\quad\land\quad</w:t>
      </w:r>
      <w:r>
        <w:br/>
        <w:t>\delta_i\neq\delta_j.</w:t>
      </w:r>
      <w:r>
        <w:br/>
        <w:t>\tag{3.4042}</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T(\delta_i)=\delta_j\land\delta_i\neq\delta_j\qquad\text{(3.4042)}</w:t>
      </w:r>
    </w:p>
    <w:p w:rsidR="00551443" w:rsidRDefault="00551443" w:rsidP="00551443">
      <w:pPr>
        <w:pStyle w:val="StandardWeb"/>
      </w:pPr>
      <w:r>
        <w:t>Die Menge aller Zustände, die durch (T) verändert werden, definiere ich durch</w:t>
      </w:r>
    </w:p>
    <w:p w:rsidR="00551443" w:rsidRDefault="00551443" w:rsidP="00551443">
      <w:pPr>
        <w:pStyle w:val="berschrift1"/>
      </w:pPr>
      <w:r>
        <w:t>[</w:t>
      </w:r>
      <w:r>
        <w:br/>
        <w:t>\operatorname{Chg}(T)</w:t>
      </w:r>
    </w:p>
    <w:p w:rsidR="00551443" w:rsidRDefault="00551443" w:rsidP="00551443">
      <w:pPr>
        <w:pStyle w:val="StandardWeb"/>
      </w:pPr>
      <w:r>
        <w:t>\left{</w:t>
      </w:r>
      <w:r>
        <w:br/>
        <w:t>\delta\in\mathcal{S}_{\mathrm{el}}</w:t>
      </w:r>
      <w:r>
        <w:br/>
        <w:t>;\middle|;</w:t>
      </w:r>
      <w:r>
        <w:br/>
        <w:t>T(\delta)\neq\delta</w:t>
      </w:r>
      <w:r>
        <w:br/>
        <w:t>\right}.</w:t>
      </w:r>
      <w:r>
        <w:br/>
        <w:t>\tag{3.4043}</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\operatorname{Chg}(T)=\left\{\delta\in\mathcal{S}_{\mathrm{el}}\middle|T(\delta)\neq\delta\right\}\qquad\text{(3.4043)}</w:t>
      </w:r>
    </w:p>
    <w:p w:rsidR="00551443" w:rsidRDefault="00551443" w:rsidP="00551443">
      <w:pPr>
        <w:pStyle w:val="StandardWeb"/>
      </w:pPr>
      <w:r>
        <w:t>Dabei bezeichnet (\operatorname{Chg}(T)) die Zustandsänderungsmenge der Transformation.</w:t>
      </w:r>
    </w:p>
    <w:p w:rsidR="00551443" w:rsidRDefault="00551443" w:rsidP="00551443">
      <w:pPr>
        <w:pStyle w:val="StandardWeb"/>
      </w:pPr>
      <w:r>
        <w:t>Aus den Definitionen folgt</w:t>
      </w:r>
    </w:p>
    <w:p w:rsidR="00551443" w:rsidRDefault="00551443" w:rsidP="00551443">
      <w:pPr>
        <w:pStyle w:val="berschrift1"/>
      </w:pPr>
      <w:r>
        <w:t>[</w:t>
      </w:r>
      <w:r>
        <w:br/>
        <w:t>\operatorname{Fix}(T)</w:t>
      </w:r>
      <w:r>
        <w:br/>
      </w:r>
      <w:r>
        <w:lastRenderedPageBreak/>
        <w:t>\cap</w:t>
      </w:r>
      <w:r>
        <w:br/>
        <w:t>\operatorname{Chg}(T)</w:t>
      </w:r>
    </w:p>
    <w:p w:rsidR="00551443" w:rsidRDefault="00551443" w:rsidP="00551443">
      <w:pPr>
        <w:pStyle w:val="StandardWeb"/>
      </w:pPr>
      <w:r>
        <w:t>\emptyset.</w:t>
      </w:r>
      <w:r>
        <w:br/>
        <w:t>\tag{3.4044}</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\operatorname{Fix}(T)\cap\operatorname{Chg}(T)=\emptyset\qquad\text{(3.4044)}</w:t>
      </w:r>
    </w:p>
    <w:p w:rsidR="00551443" w:rsidRDefault="00551443" w:rsidP="00551443">
      <w:pPr>
        <w:pStyle w:val="StandardWeb"/>
      </w:pPr>
      <w:r>
        <w:t>und</w:t>
      </w:r>
    </w:p>
    <w:p w:rsidR="00551443" w:rsidRDefault="00551443" w:rsidP="00551443">
      <w:pPr>
        <w:pStyle w:val="berschrift1"/>
      </w:pPr>
      <w:r>
        <w:t>[</w:t>
      </w:r>
      <w:r>
        <w:br/>
        <w:t>\operatorname{Fix}(T)</w:t>
      </w:r>
      <w:r>
        <w:br/>
        <w:t>\cup</w:t>
      </w:r>
      <w:r>
        <w:br/>
        <w:t>\operatorname{Chg}(T)</w:t>
      </w:r>
    </w:p>
    <w:p w:rsidR="00551443" w:rsidRDefault="00551443" w:rsidP="00551443">
      <w:pPr>
        <w:pStyle w:val="StandardWeb"/>
      </w:pPr>
      <w:r>
        <w:t>\mathcal{S}_{\mathrm{el}}.</w:t>
      </w:r>
      <w:r>
        <w:br/>
        <w:t>\tag{3.4045}</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\operatorname{Fix}(T)\cup\operatorname{Chg}(T)=\mathcal{S}_{\mathrm{el}}\qquad\text{(3.4045)}</w:t>
      </w:r>
    </w:p>
    <w:p w:rsidR="00551443" w:rsidRDefault="00551443" w:rsidP="00551443">
      <w:pPr>
        <w:pStyle w:val="StandardWeb"/>
      </w:pPr>
      <w:r>
        <w:t>Gleichung (3.4044) folgt daraus, dass ein Zustand bezüglich derselben Transformation nicht gleichzeitig verändert und unverändert sein kann. Gleichung (3.4045) folgt aus der eindeutigen Fallunterscheidung (T(\delta)=\delta) oder (T(\delta)\neq\delta).</w:t>
      </w:r>
    </w:p>
    <w:p w:rsidR="00551443" w:rsidRPr="00AF32B2" w:rsidRDefault="00551443" w:rsidP="00AF32B2">
      <w:pPr>
        <w:pStyle w:val="berschrift4"/>
      </w:pPr>
      <w:r w:rsidRPr="00AF32B2">
        <w:t>3.3.11.6 Bildmenge einer funktionalen Transformation</w:t>
      </w:r>
    </w:p>
    <w:p w:rsidR="00551443" w:rsidRDefault="00551443" w:rsidP="00551443">
      <w:pPr>
        <w:pStyle w:val="StandardWeb"/>
      </w:pPr>
      <w:r>
        <w:t>Die Bildmenge von (T) definiere ich durch</w:t>
      </w:r>
    </w:p>
    <w:p w:rsidR="00551443" w:rsidRDefault="00551443" w:rsidP="00551443">
      <w:pPr>
        <w:pStyle w:val="berschrift1"/>
      </w:pPr>
      <w:r>
        <w:t>[</w:t>
      </w:r>
      <w:r>
        <w:br/>
        <w:t>\operatorname{Im}(T)</w:t>
      </w:r>
    </w:p>
    <w:p w:rsidR="00551443" w:rsidRDefault="00551443" w:rsidP="00551443">
      <w:pPr>
        <w:pStyle w:val="StandardWeb"/>
      </w:pPr>
      <w:r>
        <w:t>\left{</w:t>
      </w:r>
      <w:r>
        <w:br/>
        <w:t>T(\delta)</w:t>
      </w:r>
      <w:r>
        <w:br/>
        <w:t>;\middle|;</w:t>
      </w:r>
      <w:r>
        <w:br/>
        <w:t>\delta\in\mathcal{S}_{\mathrm{el}}</w:t>
      </w:r>
      <w:r>
        <w:br/>
        <w:t>\right}.</w:t>
      </w:r>
      <w:r>
        <w:br/>
      </w:r>
      <w:r>
        <w:lastRenderedPageBreak/>
        <w:t>\tag{3.4046}</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\operatorname{Im}(T)=\left\{T(\delta)\middle|\delta\in\mathcal{S}_{\mathrm{el}}\right\}\qquad\text{(3.4046)}</w:t>
      </w:r>
    </w:p>
    <w:p w:rsidR="00551443" w:rsidRDefault="00551443" w:rsidP="00551443">
      <w:pPr>
        <w:pStyle w:val="StandardWeb"/>
      </w:pPr>
      <w:r>
        <w:t>Dabei bezeichnet (\operatorname{Im}(T)) die Menge aller durch (T) erreichbaren Zielzustände.</w:t>
      </w:r>
    </w:p>
    <w:p w:rsidR="00551443" w:rsidRDefault="00551443" w:rsidP="00551443">
      <w:pPr>
        <w:pStyle w:val="StandardWeb"/>
      </w:pPr>
      <w:r>
        <w:t>Da (T) nach Definition auf (\mathcal{S}_{\mathrm{el}}) abbildet, gilt</w:t>
      </w:r>
    </w:p>
    <w:p w:rsidR="00551443" w:rsidRDefault="00551443" w:rsidP="00551443">
      <w:pPr>
        <w:pStyle w:val="StandardWeb"/>
      </w:pPr>
      <w:r>
        <w:t>[</w:t>
      </w:r>
      <w:r>
        <w:br/>
        <w:t>\operatorname{Im}(T)</w:t>
      </w:r>
      <w:r>
        <w:br/>
        <w:t>\subseteq</w:t>
      </w:r>
      <w:r>
        <w:br/>
        <w:t>\mathcal{S}_{\mathrm{el}}.</w:t>
      </w:r>
      <w:r>
        <w:br/>
        <w:t>\tag{3.4047}</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\operatorname{Im}(T)\subseteq\mathcal{S}_{\mathrm{el}}\qquad\text{(3.4047)}</w:t>
      </w:r>
    </w:p>
    <w:p w:rsidR="00551443" w:rsidRDefault="00551443" w:rsidP="00551443">
      <w:pPr>
        <w:pStyle w:val="StandardWeb"/>
      </w:pPr>
      <w:r>
        <w:t>Gleichung (3.4047) ist eine unmittelbare Folge des Zielbereichs in Gleichung (3.4038).</w:t>
      </w:r>
    </w:p>
    <w:p w:rsidR="00551443" w:rsidRPr="00AF32B2" w:rsidRDefault="00551443" w:rsidP="00AF32B2">
      <w:pPr>
        <w:pStyle w:val="berschrift4"/>
      </w:pPr>
      <w:r w:rsidRPr="00AF32B2">
        <w:t>3.3.11.7 Funktionale Transformationsrelation</w:t>
      </w:r>
    </w:p>
    <w:p w:rsidR="00551443" w:rsidRDefault="00551443" w:rsidP="00551443">
      <w:pPr>
        <w:pStyle w:val="StandardWeb"/>
      </w:pPr>
      <w:r>
        <w:t>Jede funktionale Transformation (T) bestimmt durch ihren Graphen eine Relation</w:t>
      </w:r>
    </w:p>
    <w:p w:rsidR="00551443" w:rsidRDefault="00551443" w:rsidP="00551443">
      <w:pPr>
        <w:pStyle w:val="berschrift1"/>
      </w:pPr>
      <w:r>
        <w:t>[</w:t>
      </w:r>
      <w:r>
        <w:br/>
        <w:t>\mathcal{R}_{T}</w:t>
      </w:r>
    </w:p>
    <w:p w:rsidR="00551443" w:rsidRDefault="00551443" w:rsidP="00551443">
      <w:pPr>
        <w:pStyle w:val="StandardWeb"/>
      </w:pPr>
      <w:r>
        <w:t>\operatorname{Graph}(T).</w:t>
      </w:r>
      <w:r>
        <w:br/>
        <w:t>\tag{3.4048}</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\mathcal{R}_{T}=\operatorname{Graph}(T)\qquad\text{(3.4048)}</w:t>
      </w:r>
    </w:p>
    <w:p w:rsidR="00551443" w:rsidRDefault="00551443" w:rsidP="00551443">
      <w:pPr>
        <w:pStyle w:val="StandardWeb"/>
      </w:pPr>
      <w:r>
        <w:t>mit</w:t>
      </w:r>
    </w:p>
    <w:p w:rsidR="00551443" w:rsidRDefault="00551443" w:rsidP="00551443">
      <w:pPr>
        <w:pStyle w:val="berschrift1"/>
      </w:pPr>
      <w:r>
        <w:t>[</w:t>
      </w:r>
      <w:r>
        <w:br/>
        <w:t>\mathcal{R}_{T}</w:t>
      </w:r>
    </w:p>
    <w:p w:rsidR="00551443" w:rsidRDefault="00551443" w:rsidP="00551443">
      <w:pPr>
        <w:pStyle w:val="StandardWeb"/>
      </w:pPr>
      <w:r>
        <w:t>\left{</w:t>
      </w:r>
      <w:r>
        <w:br/>
        <w:t>\left(\delta,T(\delta)\right)</w:t>
      </w:r>
      <w:r>
        <w:br/>
        <w:t>;\middle|;</w:t>
      </w:r>
      <w:r>
        <w:br/>
      </w:r>
      <w:r>
        <w:lastRenderedPageBreak/>
        <w:t>\delta\in\mathcal{S}_{\mathrm{el}}</w:t>
      </w:r>
      <w:r>
        <w:br/>
        <w:t>\right}.</w:t>
      </w:r>
      <w:r>
        <w:br/>
        <w:t>\tag{3.4049}</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\mathcal{R}_{T}=\left\{\left(\delta,T(\delta)\right)\middle|\delta\in\mathcal{S}_{\mathrm{el}}\right\}\qquad\text{(3.4049)}</w:t>
      </w:r>
    </w:p>
    <w:p w:rsidR="00551443" w:rsidRDefault="00551443" w:rsidP="00551443">
      <w:pPr>
        <w:pStyle w:val="StandardWeb"/>
      </w:pPr>
      <w:r>
        <w:t>Die Relation (\mathcal{R}_{T}) ist linkstotal und rechtseindeutig. Für jeden Ausgangszustand existiert genau ein durch (T) zugeordneter Zielzustand [6, 71].</w:t>
      </w:r>
    </w:p>
    <w:p w:rsidR="00551443" w:rsidRDefault="00551443" w:rsidP="00551443">
      <w:pPr>
        <w:pStyle w:val="StandardWeb"/>
      </w:pPr>
      <w:r>
        <w:rPr>
          <w:rStyle w:val="Fett"/>
        </w:rPr>
        <w:t>Eigenleistung des FRZK</w:t>
      </w:r>
    </w:p>
    <w:p w:rsidR="00551443" w:rsidRDefault="00551443" w:rsidP="00551443">
      <w:pPr>
        <w:pStyle w:val="StandardWeb"/>
      </w:pPr>
      <w:r>
        <w:t>Ich kennzeichne (\mathcal{R}_{T}) als funktionale Transformationsrelation. Sie verbindet Definition 3.3.2 und Definition 3.3.3, ohne beide Begriffe gleichzusetzen. Die Relation beschreibt die Paare; die Transformation beschreibt die eindeutige Zuordnungsregel.</w:t>
      </w:r>
    </w:p>
    <w:p w:rsidR="00551443" w:rsidRPr="00AF32B2" w:rsidRDefault="00551443" w:rsidP="00AF32B2">
      <w:pPr>
        <w:pStyle w:val="berschrift4"/>
      </w:pPr>
      <w:r w:rsidRPr="00AF32B2">
        <w:t>3.3.11.8 Zulässigkeit funktionaler Transformationen</w:t>
      </w:r>
    </w:p>
    <w:p w:rsidR="00551443" w:rsidRDefault="00551443" w:rsidP="00551443">
      <w:pPr>
        <w:pStyle w:val="StandardWeb"/>
      </w:pPr>
      <w:r>
        <w:t>Die Bedingung (\tau(T)=1) kennzeichnet funktionale Wirksamkeit, legt aber noch nicht sämtliche Kriterien mathematischer oder modelltheoretischer Zulässigkeit fest. Eine Transformation kann später zusätzliche Bedingungen erfüllen müssen, etwa:</w:t>
      </w:r>
    </w:p>
    <w:p w:rsidR="00551443" w:rsidRDefault="00551443" w:rsidP="00632D23">
      <w:pPr>
        <w:pStyle w:val="StandardWeb"/>
        <w:numPr>
          <w:ilvl w:val="0"/>
          <w:numId w:val="48"/>
        </w:numPr>
      </w:pPr>
      <w:r>
        <w:t>Erhaltung des funktionalen Zustandsbereichs,</w:t>
      </w:r>
    </w:p>
    <w:p w:rsidR="00551443" w:rsidRDefault="00551443" w:rsidP="00632D23">
      <w:pPr>
        <w:pStyle w:val="StandardWeb"/>
        <w:numPr>
          <w:ilvl w:val="0"/>
          <w:numId w:val="48"/>
        </w:numPr>
      </w:pPr>
      <w:r>
        <w:t>Verträglichkeit mit bestimmten Relationen,</w:t>
      </w:r>
    </w:p>
    <w:p w:rsidR="00551443" w:rsidRDefault="00551443" w:rsidP="00632D23">
      <w:pPr>
        <w:pStyle w:val="StandardWeb"/>
        <w:numPr>
          <w:ilvl w:val="0"/>
          <w:numId w:val="48"/>
        </w:numPr>
      </w:pPr>
      <w:r>
        <w:t>Erhaltung ausgewählter Invarianten,</w:t>
      </w:r>
    </w:p>
    <w:p w:rsidR="00551443" w:rsidRDefault="00551443" w:rsidP="00632D23">
      <w:pPr>
        <w:pStyle w:val="StandardWeb"/>
        <w:numPr>
          <w:ilvl w:val="0"/>
          <w:numId w:val="48"/>
        </w:numPr>
      </w:pPr>
      <w:r>
        <w:t>Beschränktheit,</w:t>
      </w:r>
    </w:p>
    <w:p w:rsidR="00551443" w:rsidRDefault="00551443" w:rsidP="00632D23">
      <w:pPr>
        <w:pStyle w:val="StandardWeb"/>
        <w:numPr>
          <w:ilvl w:val="0"/>
          <w:numId w:val="48"/>
        </w:numPr>
      </w:pPr>
      <w:r>
        <w:t>Stetigkeit,</w:t>
      </w:r>
    </w:p>
    <w:p w:rsidR="00551443" w:rsidRDefault="00551443" w:rsidP="00632D23">
      <w:pPr>
        <w:pStyle w:val="StandardWeb"/>
        <w:numPr>
          <w:ilvl w:val="0"/>
          <w:numId w:val="48"/>
        </w:numPr>
      </w:pPr>
      <w:r>
        <w:t>Invertierbarkeit,</w:t>
      </w:r>
    </w:p>
    <w:p w:rsidR="00551443" w:rsidRDefault="00551443" w:rsidP="00632D23">
      <w:pPr>
        <w:pStyle w:val="StandardWeb"/>
        <w:numPr>
          <w:ilvl w:val="0"/>
          <w:numId w:val="48"/>
        </w:numPr>
      </w:pPr>
      <w:r>
        <w:t>Komponierbarkeit.</w:t>
      </w:r>
    </w:p>
    <w:p w:rsidR="00551443" w:rsidRDefault="00551443" w:rsidP="00551443">
      <w:pPr>
        <w:pStyle w:val="StandardWeb"/>
      </w:pPr>
      <w:r>
        <w:t>Diese Eigenschaften folgen nicht aus Definition 3.3.3 [75, 76].</w:t>
      </w:r>
    </w:p>
    <w:p w:rsidR="00551443" w:rsidRDefault="00551443" w:rsidP="00551443">
      <w:pPr>
        <w:pStyle w:val="StandardWeb"/>
      </w:pPr>
      <w:r>
        <w:rPr>
          <w:rStyle w:val="Fett"/>
        </w:rPr>
        <w:t>Eigenleistung des FRZK</w:t>
      </w:r>
    </w:p>
    <w:p w:rsidR="00551443" w:rsidRDefault="00551443" w:rsidP="00551443">
      <w:pPr>
        <w:pStyle w:val="StandardWeb"/>
      </w:pPr>
      <w:r>
        <w:t>Ich trenne deshalb funktionale Wirksamkeit und strukturelle Zulässigkeit. (\tau(T)=1) ist die notwendige FRZK-spezifische Mindestbedingung. Weitere Zulässigkeitskriterien werden erst eingeführt, wenn konkrete Transformationsklassen oder Kohärenzbedingungen entwickelt werden.</w:t>
      </w:r>
    </w:p>
    <w:p w:rsidR="00551443" w:rsidRPr="00AF32B2" w:rsidRDefault="00551443" w:rsidP="00AF32B2">
      <w:pPr>
        <w:pStyle w:val="berschrift4"/>
      </w:pPr>
      <w:r w:rsidRPr="00AF32B2">
        <w:t>3.3.11.9 Komposition funktionaler Transformationen</w:t>
      </w:r>
    </w:p>
    <w:p w:rsidR="00551443" w:rsidRDefault="00551443" w:rsidP="00551443">
      <w:pPr>
        <w:pStyle w:val="StandardWeb"/>
      </w:pPr>
      <w:r>
        <w:t>Für (T_1,T_2\in\mathfrak{T}_{\mathrm{f}}) ist die mathematische Komposition definiert durch</w:t>
      </w:r>
    </w:p>
    <w:p w:rsidR="00551443" w:rsidRDefault="00551443" w:rsidP="00551443">
      <w:pPr>
        <w:pStyle w:val="StandardWeb"/>
      </w:pPr>
      <w:r>
        <w:t>[</w:t>
      </w:r>
      <w:r>
        <w:br/>
        <w:t>T_2\circ T_1:</w:t>
      </w:r>
      <w:r>
        <w:br/>
        <w:t>\mathcal{S}</w:t>
      </w:r>
      <w:r>
        <w:rPr>
          <w:rStyle w:val="Hervorhebung"/>
        </w:rPr>
        <w:t>{\mathrm{el}}</w:t>
      </w:r>
      <w:r>
        <w:rPr>
          <w:i/>
          <w:iCs/>
        </w:rPr>
        <w:br/>
      </w:r>
      <w:r>
        <w:rPr>
          <w:rStyle w:val="Hervorhebung"/>
        </w:rPr>
        <w:t>\rightarrow</w:t>
      </w:r>
      <w:r>
        <w:rPr>
          <w:i/>
          <w:iCs/>
        </w:rPr>
        <w:br/>
      </w:r>
      <w:r>
        <w:rPr>
          <w:rStyle w:val="Hervorhebung"/>
        </w:rPr>
        <w:lastRenderedPageBreak/>
        <w:t>\mathcal{S}</w:t>
      </w:r>
      <w:r>
        <w:t>{\mathrm{el}}.</w:t>
      </w:r>
      <w:r>
        <w:br/>
        <w:t>\tag{3.4050}</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T_2\circ T_1:\mathcal{S}_{\mathrm{el}}\rightarrow\mathcal{S}_{\mathrm{el}}\qquad\text{(3.4050)}</w:t>
      </w:r>
    </w:p>
    <w:p w:rsidR="00551443" w:rsidRDefault="00551443" w:rsidP="00551443">
      <w:pPr>
        <w:pStyle w:val="StandardWeb"/>
      </w:pPr>
      <w:r>
        <w:t>Daraus folgt jedoch nicht automatisch</w:t>
      </w:r>
    </w:p>
    <w:p w:rsidR="00551443" w:rsidRDefault="00551443" w:rsidP="00551443">
      <w:pPr>
        <w:pStyle w:val="StandardWeb"/>
      </w:pPr>
      <w:r>
        <w:t>[</w:t>
      </w:r>
      <w:r>
        <w:br/>
        <w:t>T_2\circ T_1</w:t>
      </w:r>
      <w:r>
        <w:br/>
        <w:t>\in</w:t>
      </w:r>
      <w:r>
        <w:br/>
        <w:t>\mathfrak{T}_{\mathrm{f}}.</w:t>
      </w:r>
      <w:r>
        <w:br/>
        <w:t>\tag{3.4051}</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T_2\circ T_1\in\mathfrak{T}_{\mathrm{f}}\qquad\text{(3.4051)}</w:t>
      </w:r>
    </w:p>
    <w:p w:rsidR="00551443" w:rsidRDefault="00551443" w:rsidP="00551443">
      <w:pPr>
        <w:pStyle w:val="StandardWeb"/>
      </w:pPr>
      <w:r>
        <w:t>Gleichung (3.4051) ist daher keine allgemeine Folgerung, sondern eine zusätzliche mögliche Abgeschlossenheitsbedingung.</w:t>
      </w:r>
    </w:p>
    <w:p w:rsidR="00551443" w:rsidRDefault="00551443" w:rsidP="00551443">
      <w:pPr>
        <w:pStyle w:val="StandardWeb"/>
      </w:pPr>
      <w:r>
        <w:t>Eine solche Abgeschlossenheit wäre erfüllt, wenn</w:t>
      </w:r>
    </w:p>
    <w:p w:rsidR="00551443" w:rsidRDefault="00551443" w:rsidP="00551443">
      <w:pPr>
        <w:pStyle w:val="StandardWeb"/>
      </w:pPr>
      <w:r>
        <w:t>[</w:t>
      </w:r>
      <w:r>
        <w:br/>
        <w:t>T_1,T_2\in\mathfrak{T}</w:t>
      </w:r>
      <w:r>
        <w:rPr>
          <w:rStyle w:val="Hervorhebung"/>
        </w:rPr>
        <w:t>{\mathrm{f}}</w:t>
      </w:r>
      <w:r>
        <w:rPr>
          <w:i/>
          <w:iCs/>
        </w:rPr>
        <w:br/>
      </w:r>
      <w:r>
        <w:rPr>
          <w:rStyle w:val="Hervorhebung"/>
        </w:rPr>
        <w:t>\Rightarrow</w:t>
      </w:r>
      <w:r>
        <w:rPr>
          <w:i/>
          <w:iCs/>
        </w:rPr>
        <w:br/>
      </w:r>
      <w:r>
        <w:rPr>
          <w:rStyle w:val="Hervorhebung"/>
        </w:rPr>
        <w:t>T_2\circ T_1\in\mathfrak{T}</w:t>
      </w:r>
      <w:r>
        <w:t>{\mathrm{f}}.</w:t>
      </w:r>
      <w:r>
        <w:br/>
        <w:t>\tag{3.4052}</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T_1,T_2\in\mathfrak{T}_{\mathrm{f}}\Rightarrow T_2\circ T_1\in\mathfrak{T}_{\mathrm{f}}\qquad\text{(3.4052)}</w:t>
      </w:r>
    </w:p>
    <w:p w:rsidR="00551443" w:rsidRDefault="00551443" w:rsidP="00551443">
      <w:pPr>
        <w:pStyle w:val="StandardWeb"/>
      </w:pPr>
      <w:r>
        <w:rPr>
          <w:rStyle w:val="Fett"/>
        </w:rPr>
        <w:t>Eigenleistung des FRZK</w:t>
      </w:r>
    </w:p>
    <w:p w:rsidR="00551443" w:rsidRDefault="00551443" w:rsidP="00551443">
      <w:pPr>
        <w:pStyle w:val="StandardWeb"/>
      </w:pPr>
      <w:r>
        <w:t>Ich setze Gleichung (3.4052) in Definition 3.3.3 ausdrücklich nicht voraus. Die Menge (\mathfrak{T}_{\mathrm{f}}) ist damit zunächst nur eine Menge funktional wirksamer Transformationen und noch kein Monoid oder keine Kategorie von Transformationen.</w:t>
      </w:r>
    </w:p>
    <w:p w:rsidR="00551443" w:rsidRPr="00AF32B2" w:rsidRDefault="00551443" w:rsidP="00AF32B2">
      <w:pPr>
        <w:pStyle w:val="berschrift4"/>
      </w:pPr>
      <w:r w:rsidRPr="00AF32B2">
        <w:t>3.3.11.10 Invertierbarkeit</w:t>
      </w:r>
    </w:p>
    <w:p w:rsidR="00551443" w:rsidRDefault="00551443" w:rsidP="00551443">
      <w:pPr>
        <w:pStyle w:val="StandardWeb"/>
      </w:pPr>
      <w:r>
        <w:t>Eine funktionale Transformation (T) ist invertierbar, wenn eine Abbildung (T^{-1}) existiert mit</w:t>
      </w:r>
    </w:p>
    <w:p w:rsidR="00551443" w:rsidRDefault="00551443" w:rsidP="00551443">
      <w:pPr>
        <w:pStyle w:val="berschrift1"/>
      </w:pPr>
      <w:r>
        <w:lastRenderedPageBreak/>
        <w:t>[</w:t>
      </w:r>
      <w:r>
        <w:br/>
        <w:t>T^{-1}\circ T</w:t>
      </w:r>
    </w:p>
    <w:p w:rsidR="00551443" w:rsidRDefault="00551443" w:rsidP="00551443">
      <w:pPr>
        <w:pStyle w:val="berschrift1"/>
      </w:pPr>
      <w:r>
        <w:t>T\circ T^{-1}</w:t>
      </w:r>
    </w:p>
    <w:p w:rsidR="00551443" w:rsidRDefault="00551443" w:rsidP="00551443">
      <w:pPr>
        <w:pStyle w:val="StandardWeb"/>
      </w:pPr>
      <w:r>
        <w:t>\operatorname{id}</w:t>
      </w:r>
      <w:r>
        <w:rPr>
          <w:rStyle w:val="Hervorhebung"/>
        </w:rPr>
        <w:t>{\mathcal{S}</w:t>
      </w:r>
      <w:r>
        <w:t>{\mathrm{el}}}.</w:t>
      </w:r>
      <w:r>
        <w:br/>
        <w:t>\tag{3.4053}</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T^{-1}\circ T=T\circ T^{-1}=\operatorname{id}_{\mathcal{S}_{\mathrm{el}}}\qquad\text{(3.4053)}</w:t>
      </w:r>
    </w:p>
    <w:p w:rsidR="00551443" w:rsidRDefault="00551443" w:rsidP="00551443">
      <w:pPr>
        <w:pStyle w:val="StandardWeb"/>
      </w:pPr>
      <w:r>
        <w:t>Invertierbarkeit ist keine notwendige Eigenschaft einer funktionalen Transformation. Nichtinvertierbare Transformationen bleiben zugelassen [71, 76].</w:t>
      </w:r>
    </w:p>
    <w:p w:rsidR="00551443" w:rsidRDefault="00551443" w:rsidP="00551443">
      <w:pPr>
        <w:pStyle w:val="StandardWeb"/>
      </w:pPr>
      <w:r>
        <w:rPr>
          <w:rStyle w:val="Fett"/>
        </w:rPr>
        <w:t>Eigenleistung des FRZK</w:t>
      </w:r>
    </w:p>
    <w:p w:rsidR="00551443" w:rsidRDefault="00551443" w:rsidP="00551443">
      <w:pPr>
        <w:pStyle w:val="StandardWeb"/>
      </w:pPr>
      <w:r>
        <w:t>Ich halte reversible und irreversible Transformationen gleichermaßen offen. Eine spätere Zeit- oder Kausalitätsrekonstruktion darf nicht bereits durch die Definition der funktionalen Transformation auf Reversibilität festgelegt werden.</w:t>
      </w:r>
    </w:p>
    <w:p w:rsidR="00551443" w:rsidRPr="00AF32B2" w:rsidRDefault="00551443" w:rsidP="00AF32B2">
      <w:pPr>
        <w:pStyle w:val="berschrift4"/>
      </w:pPr>
      <w:r w:rsidRPr="00AF32B2">
        <w:t>3.3.11.11 Transformationsbahn ohne Zeitinterpretation</w:t>
      </w:r>
    </w:p>
    <w:p w:rsidR="00551443" w:rsidRDefault="00551443" w:rsidP="00551443">
      <w:pPr>
        <w:pStyle w:val="StandardWeb"/>
      </w:pPr>
      <w:r>
        <w:t>Für eine Folge funktionaler Transformationen (T_1,\ldots,T_n) kann eine Folge von Zuständen definiert werden:</w:t>
      </w:r>
    </w:p>
    <w:p w:rsidR="00551443" w:rsidRDefault="00551443" w:rsidP="00551443">
      <w:pPr>
        <w:pStyle w:val="berschrift1"/>
      </w:pPr>
      <w:r>
        <w:t>[</w:t>
      </w:r>
      <w:r>
        <w:br/>
        <w:t>\delta_k</w:t>
      </w:r>
    </w:p>
    <w:p w:rsidR="00551443" w:rsidRDefault="00551443" w:rsidP="00551443">
      <w:pPr>
        <w:pStyle w:val="StandardWeb"/>
      </w:pPr>
      <w:r>
        <w:t>T_k(\delta_{k-1}),</w:t>
      </w:r>
      <w:r>
        <w:br/>
        <w:t>\qquad</w:t>
      </w:r>
      <w:r>
        <w:br/>
        <w:t>k=1,\ldots,n.</w:t>
      </w:r>
      <w:r>
        <w:br/>
        <w:t>\tag{3.4054}</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\delta_k=T_k(\delta_{k-1}),\qquad k=1,\ldots,n\qquad\text{(3.4054)}</w:t>
      </w:r>
    </w:p>
    <w:p w:rsidR="00551443" w:rsidRDefault="00551443" w:rsidP="00551443">
      <w:pPr>
        <w:pStyle w:val="StandardWeb"/>
      </w:pPr>
      <w:r>
        <w:t>Dabei bezeichnet (k) ausschließlich die Position innerhalb der Transformationsfolge. Es handelt sich noch nicht um eine Zeitvariable.</w:t>
      </w:r>
    </w:p>
    <w:p w:rsidR="00551443" w:rsidRDefault="00551443" w:rsidP="00551443">
      <w:pPr>
        <w:pStyle w:val="StandardWeb"/>
      </w:pPr>
      <w:r>
        <w:t>Die resultierende endliche Transformationsbahn lautet</w:t>
      </w:r>
    </w:p>
    <w:p w:rsidR="00551443" w:rsidRDefault="00551443" w:rsidP="00551443">
      <w:pPr>
        <w:pStyle w:val="berschrift1"/>
      </w:pPr>
      <w:r>
        <w:lastRenderedPageBreak/>
        <w:t>[</w:t>
      </w:r>
      <w:r>
        <w:br/>
        <w:t>\Gamma_T</w:t>
      </w:r>
    </w:p>
    <w:p w:rsidR="00551443" w:rsidRDefault="00551443" w:rsidP="00551443">
      <w:pPr>
        <w:pStyle w:val="StandardWeb"/>
      </w:pPr>
      <w:r>
        <w:t>\left(</w:t>
      </w:r>
      <w:r>
        <w:br/>
        <w:t>\delta_0,\delta_1,\ldots,\delta_n</w:t>
      </w:r>
      <w:r>
        <w:br/>
        <w:t>\right).</w:t>
      </w:r>
      <w:r>
        <w:br/>
        <w:t>\tag{3.4055}</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\Gamma_T=\left(\delta_0,\delta_1,\ldots,\delta_n\right)\qquad\text{(3.4055)}</w:t>
      </w:r>
    </w:p>
    <w:p w:rsidR="00551443" w:rsidRDefault="00551443" w:rsidP="00551443">
      <w:pPr>
        <w:pStyle w:val="StandardWeb"/>
      </w:pPr>
      <w:r>
        <w:t>Dabei bezeichnet (\Gamma_T) eine geordnete Folge funktionaler Zustände, die durch aufeinanderfolgende Transformationen erzeugt wird.</w:t>
      </w:r>
    </w:p>
    <w:p w:rsidR="00551443" w:rsidRDefault="00551443" w:rsidP="00551443">
      <w:pPr>
        <w:pStyle w:val="StandardWeb"/>
      </w:pPr>
      <w:r>
        <w:rPr>
          <w:rStyle w:val="Fett"/>
        </w:rPr>
        <w:t>Eigenleistung des FRZK</w:t>
      </w:r>
    </w:p>
    <w:p w:rsidR="00551443" w:rsidRDefault="00551443" w:rsidP="00551443">
      <w:pPr>
        <w:pStyle w:val="StandardWeb"/>
      </w:pPr>
      <w:r>
        <w:t>Ich bezeichne (\Gamma_T) als Transformationsbahn, nicht als zeitliche Trajektorie. Erst wenn eine eigenständige funktionale Zeitordnung definiert wurde, darf geprüft werden, ob eine Transformationsbahn zeitlich interpretiert werden kann.</w:t>
      </w:r>
    </w:p>
    <w:p w:rsidR="00551443" w:rsidRPr="00AF32B2" w:rsidRDefault="00551443" w:rsidP="00AF32B2">
      <w:pPr>
        <w:pStyle w:val="berschrift4"/>
      </w:pPr>
      <w:r w:rsidRPr="00AF32B2">
        <w:t>3.3.11.12 Verhältnis zur funktionalen Relationsstruktur</w:t>
      </w:r>
    </w:p>
    <w:p w:rsidR="00551443" w:rsidRDefault="00551443" w:rsidP="00551443">
      <w:pPr>
        <w:pStyle w:val="StandardWeb"/>
      </w:pPr>
      <w:r>
        <w:t>Die in Definition 3.3.2 eingeführte Relationsstruktur</w:t>
      </w:r>
    </w:p>
    <w:p w:rsidR="00551443" w:rsidRDefault="00551443" w:rsidP="00551443">
      <w:pPr>
        <w:pStyle w:val="berschrift1"/>
      </w:pPr>
      <w:r>
        <w:t>[</w:t>
      </w:r>
      <w:r>
        <w:br/>
        <w:t>\mathfrak{G}_{\mathcal{R}}</w:t>
      </w:r>
    </w:p>
    <w:p w:rsidR="00551443" w:rsidRDefault="00551443" w:rsidP="00551443">
      <w:pPr>
        <w:pStyle w:val="StandardWeb"/>
      </w:pPr>
      <w:r>
        <w:t>\left(</w:t>
      </w:r>
      <w:r>
        <w:br/>
        <w:t>\mathcal{S}_{\mathrm{el}},</w:t>
      </w:r>
      <w:r>
        <w:br/>
        <w:t>\mathcal{R}</w:t>
      </w:r>
      <w:r>
        <w:br/>
        <w:t>\right)</w:t>
      </w:r>
      <w:r>
        <w:br/>
        <w:t>\tag{3.4056}</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\mathfrak{G}_{\mathcal{R}}=\left(\mathcal{S}_{\mathrm{el}},\mathcal{R}\right)\qquad\text{(3.4056)}</w:t>
      </w:r>
    </w:p>
    <w:p w:rsidR="00551443" w:rsidRDefault="00551443" w:rsidP="00551443">
      <w:pPr>
        <w:pStyle w:val="StandardWeb"/>
      </w:pPr>
      <w:r>
        <w:t>kann durch eine Menge funktionaler Transformationen erweitert werden:</w:t>
      </w:r>
    </w:p>
    <w:p w:rsidR="00551443" w:rsidRDefault="00551443" w:rsidP="00551443">
      <w:pPr>
        <w:pStyle w:val="berschrift1"/>
      </w:pPr>
      <w:r>
        <w:t>[</w:t>
      </w:r>
      <w:r>
        <w:br/>
        <w:t>\mathfrak{G}_{\mathcal{R},\mathfrak{T}}</w:t>
      </w:r>
    </w:p>
    <w:p w:rsidR="00551443" w:rsidRDefault="00551443" w:rsidP="00551443">
      <w:pPr>
        <w:pStyle w:val="StandardWeb"/>
      </w:pPr>
      <w:r>
        <w:lastRenderedPageBreak/>
        <w:t>\left(</w:t>
      </w:r>
      <w:r>
        <w:br/>
        <w:t>\mathcal{S}</w:t>
      </w:r>
      <w:r>
        <w:rPr>
          <w:rStyle w:val="Hervorhebung"/>
        </w:rPr>
        <w:t>{\mathrm{el}},</w:t>
      </w:r>
      <w:r>
        <w:rPr>
          <w:i/>
          <w:iCs/>
        </w:rPr>
        <w:br/>
      </w:r>
      <w:r>
        <w:rPr>
          <w:rStyle w:val="Hervorhebung"/>
        </w:rPr>
        <w:t>\mathcal{R},</w:t>
      </w:r>
      <w:r>
        <w:rPr>
          <w:i/>
          <w:iCs/>
        </w:rPr>
        <w:br/>
      </w:r>
      <w:r>
        <w:rPr>
          <w:rStyle w:val="Hervorhebung"/>
        </w:rPr>
        <w:t>\mathfrak{T}</w:t>
      </w:r>
      <w:r>
        <w:t>{\mathrm{f}}</w:t>
      </w:r>
      <w:r>
        <w:br/>
        <w:t>\right).</w:t>
      </w:r>
      <w:r>
        <w:br/>
        <w:t>\tag{3.4057}</w:t>
      </w:r>
      <w:r>
        <w:br/>
        <w:t>]</w:t>
      </w:r>
    </w:p>
    <w:p w:rsidR="00551443" w:rsidRDefault="00551443" w:rsidP="00551443">
      <w:pPr>
        <w:pStyle w:val="StandardWeb"/>
      </w:pPr>
      <w:r>
        <w:rPr>
          <w:rStyle w:val="Fett"/>
        </w:rPr>
        <w:t>Word-LaTeX</w:t>
      </w:r>
    </w:p>
    <w:p w:rsidR="00551443" w:rsidRDefault="00551443" w:rsidP="00551443">
      <w:pPr>
        <w:pStyle w:val="HTMLVorformatiert"/>
        <w:rPr>
          <w:rStyle w:val="HTMLCode"/>
        </w:rPr>
      </w:pPr>
      <w:r>
        <w:rPr>
          <w:rStyle w:val="HTMLCode"/>
        </w:rPr>
        <w:t>\mathfrak{G}_{\mathcal{R},\mathfrak{T}}=\left(\mathcal{S}_{\mathrm{el}},\mathcal{R},\mathfrak{T}_{\mathrm{f}}\right)\qquad\text{(3.4057)}</w:t>
      </w:r>
    </w:p>
    <w:p w:rsidR="00551443" w:rsidRDefault="00551443" w:rsidP="00551443">
      <w:pPr>
        <w:pStyle w:val="StandardWeb"/>
      </w:pPr>
      <w:r>
        <w:t>Dabei bezeichnet (\mathfrak{G}_{\mathcal{R},\mathfrak{T}}) eine funktionale Zustands-, Relations- und Transformationsstruktur.</w:t>
      </w:r>
    </w:p>
    <w:p w:rsidR="00551443" w:rsidRDefault="00551443" w:rsidP="00551443">
      <w:pPr>
        <w:pStyle w:val="StandardWeb"/>
      </w:pPr>
      <w:r>
        <w:rPr>
          <w:rStyle w:val="Fett"/>
        </w:rPr>
        <w:t>Eigenleistung des FRZK</w:t>
      </w:r>
    </w:p>
    <w:p w:rsidR="00551443" w:rsidRDefault="00551443" w:rsidP="00551443">
      <w:pPr>
        <w:pStyle w:val="StandardWeb"/>
      </w:pPr>
      <w:r>
        <w:t>Mit Gleichung (3.4057) steht erstmals eine Struktur zur Verfügung, die Bestimmbarkeit, Relationierbarkeit und Transformierbarkeit gemeinsam enthält. Sie bildet die Grundlage für die nachfolgende Definition funktionaler Entwicklung.</w:t>
      </w:r>
    </w:p>
    <w:p w:rsidR="00551443" w:rsidRPr="00AF32B2" w:rsidRDefault="00551443" w:rsidP="00AF32B2">
      <w:pPr>
        <w:pStyle w:val="berschrift4"/>
      </w:pPr>
      <w:r w:rsidRPr="00AF32B2">
        <w:t>3.3.11.13 Aussagen, die nicht aus Definition 3.3.3 folgen</w:t>
      </w:r>
    </w:p>
    <w:p w:rsidR="00551443" w:rsidRDefault="00551443" w:rsidP="00551443">
      <w:pPr>
        <w:pStyle w:val="StandardWeb"/>
      </w:pPr>
      <w:r>
        <w:t>Aus Definition 3.3.3 folgt nicht:</w:t>
      </w:r>
    </w:p>
    <w:p w:rsidR="00551443" w:rsidRDefault="00551443" w:rsidP="00632D23">
      <w:pPr>
        <w:pStyle w:val="StandardWeb"/>
        <w:numPr>
          <w:ilvl w:val="0"/>
          <w:numId w:val="49"/>
        </w:numPr>
      </w:pPr>
      <w:r>
        <w:t>dass jede funktionale Transformation zustandsändernd ist,</w:t>
      </w:r>
    </w:p>
    <w:p w:rsidR="00551443" w:rsidRDefault="00551443" w:rsidP="00632D23">
      <w:pPr>
        <w:pStyle w:val="StandardWeb"/>
        <w:numPr>
          <w:ilvl w:val="0"/>
          <w:numId w:val="49"/>
        </w:numPr>
      </w:pPr>
      <w:r>
        <w:t>dass Transformationen unter Komposition abgeschlossen sind,</w:t>
      </w:r>
    </w:p>
    <w:p w:rsidR="00551443" w:rsidRDefault="00551443" w:rsidP="00632D23">
      <w:pPr>
        <w:pStyle w:val="StandardWeb"/>
        <w:numPr>
          <w:ilvl w:val="0"/>
          <w:numId w:val="49"/>
        </w:numPr>
      </w:pPr>
      <w:r>
        <w:t>dass sie invertierbar sind,</w:t>
      </w:r>
    </w:p>
    <w:p w:rsidR="00551443" w:rsidRDefault="00551443" w:rsidP="00632D23">
      <w:pPr>
        <w:pStyle w:val="StandardWeb"/>
        <w:numPr>
          <w:ilvl w:val="0"/>
          <w:numId w:val="49"/>
        </w:numPr>
      </w:pPr>
      <w:r>
        <w:t>dass sie stetig oder linear sind,</w:t>
      </w:r>
    </w:p>
    <w:p w:rsidR="00551443" w:rsidRDefault="00551443" w:rsidP="00632D23">
      <w:pPr>
        <w:pStyle w:val="StandardWeb"/>
        <w:numPr>
          <w:ilvl w:val="0"/>
          <w:numId w:val="49"/>
        </w:numPr>
      </w:pPr>
      <w:r>
        <w:t>dass sie eine Zeitdauer besitzen,</w:t>
      </w:r>
    </w:p>
    <w:p w:rsidR="00551443" w:rsidRDefault="00551443" w:rsidP="00632D23">
      <w:pPr>
        <w:pStyle w:val="StandardWeb"/>
        <w:numPr>
          <w:ilvl w:val="0"/>
          <w:numId w:val="49"/>
        </w:numPr>
      </w:pPr>
      <w:r>
        <w:t>dass ihre Reihenfolge eine physikalische Zeitordnung bildet,</w:t>
      </w:r>
    </w:p>
    <w:p w:rsidR="00551443" w:rsidRDefault="00551443" w:rsidP="00632D23">
      <w:pPr>
        <w:pStyle w:val="StandardWeb"/>
        <w:numPr>
          <w:ilvl w:val="0"/>
          <w:numId w:val="49"/>
        </w:numPr>
      </w:pPr>
      <w:r>
        <w:t>dass sie Beziehungen erhalten,</w:t>
      </w:r>
    </w:p>
    <w:p w:rsidR="00551443" w:rsidRDefault="00551443" w:rsidP="00632D23">
      <w:pPr>
        <w:pStyle w:val="StandardWeb"/>
        <w:numPr>
          <w:ilvl w:val="0"/>
          <w:numId w:val="49"/>
        </w:numPr>
      </w:pPr>
      <w:r>
        <w:t>dass sie kohärent sind,</w:t>
      </w:r>
    </w:p>
    <w:p w:rsidR="00551443" w:rsidRDefault="00551443" w:rsidP="00632D23">
      <w:pPr>
        <w:pStyle w:val="StandardWeb"/>
        <w:numPr>
          <w:ilvl w:val="0"/>
          <w:numId w:val="49"/>
        </w:numPr>
      </w:pPr>
      <w:r>
        <w:t>dass sie kausal oder physikalisch interpretierbar sind.</w:t>
      </w:r>
    </w:p>
    <w:p w:rsidR="00551443" w:rsidRDefault="00551443" w:rsidP="00551443">
      <w:pPr>
        <w:pStyle w:val="StandardWeb"/>
      </w:pPr>
      <w:r>
        <w:t>Diese Eigenschaften erfordern zusätzliche Definitionen und Prüfbedingungen.</w:t>
      </w:r>
    </w:p>
    <w:p w:rsidR="00551443" w:rsidRPr="00AF32B2" w:rsidRDefault="00551443" w:rsidP="00AF32B2">
      <w:pPr>
        <w:pStyle w:val="berschrift4"/>
      </w:pPr>
      <w:r w:rsidRPr="00AF32B2">
        <w:t>3.3.11.14 Übergang zur funktionalen Entwicklung</w:t>
      </w:r>
    </w:p>
    <w:p w:rsidR="00551443" w:rsidRDefault="00551443" w:rsidP="00551443">
      <w:pPr>
        <w:pStyle w:val="StandardWeb"/>
      </w:pPr>
      <w:r>
        <w:t>Mit Definition 3.3.3 stehen funktional wirksame Transformationen zur Verfügung. Mehrere Transformationen können mathematisch geordnet und komponiert werden. Damit kann nun geprüft werden, ob funktionale Entwicklung als abgeleitete Struktur definiert werden kann, ohne ein weiteres Primäraxiom einzuführen.</w:t>
      </w:r>
    </w:p>
    <w:p w:rsidR="00551443" w:rsidRDefault="00551443" w:rsidP="00551443">
      <w:pPr>
        <w:pStyle w:val="StandardWeb"/>
      </w:pPr>
      <w:r>
        <w:rPr>
          <w:rStyle w:val="Fett"/>
        </w:rPr>
        <w:t>Eigenleistung des FRZK</w:t>
      </w:r>
    </w:p>
    <w:p w:rsidR="00551443" w:rsidRDefault="00551443" w:rsidP="00551443">
      <w:pPr>
        <w:pStyle w:val="StandardWeb"/>
      </w:pPr>
      <w:r>
        <w:t>Der nächste Abschnitt führt deshalb die funktionale Entwicklung als geordnete Folge funktionaler Transformationen ein. Dadurch wird die in Abschnitt 3.3.4 getroffene Entscheidung überprüft, Dynamik nicht als eigenständiges Primäraxiom, sondern als definierbare Struktur zu behandeln.</w:t>
      </w:r>
    </w:p>
    <w:p w:rsidR="00E31D2E" w:rsidRDefault="00E31D2E" w:rsidP="00E31D2E">
      <w:pPr>
        <w:pStyle w:val="berschrift2"/>
      </w:pPr>
      <w:r>
        <w:lastRenderedPageBreak/>
        <w:t>Ergänzung zu 3.3.11 – Definition der funktionalen Transformation</w:t>
      </w:r>
    </w:p>
    <w:p w:rsidR="00E31D2E" w:rsidRDefault="00E31D2E" w:rsidP="00E31D2E">
      <w:pPr>
        <w:pStyle w:val="berschrift3"/>
      </w:pPr>
      <w:r>
        <w:t>Methodologische Betrachtungen</w:t>
      </w:r>
    </w:p>
    <w:p w:rsidR="00E31D2E" w:rsidRDefault="00E31D2E" w:rsidP="00E31D2E">
      <w:pPr>
        <w:pStyle w:val="StandardWeb"/>
      </w:pPr>
      <w:r>
        <w:t>Abschnitt 3.3.11 überführt Primäraxiom III von einer elementaren Existenzforderung in einen konkreten definitorischen Transformationsbegriff. Eine funktionale Transformation wird als Abbildung auf dem elementaren funktionalen Zustandsbereich definiert, für die das Transformationswirksamkeitsprädikat (\tau) den Wert eins besitzt. Darauf aufbauend werden unter anderem Fixpunktmenge, Änderungsmenge, Bildmenge, Transformationsrelation, Komposition, Invertierbarkeit und Transformationsbahn untersucht.</w:t>
      </w:r>
      <w:r>
        <w:br/>
        <w:t>Methodologisch gilt erneut: Die Definition fügt Primäraxiom III keinen neuen Existenzgehalt hinzu. Das Axiom setzt funktionale Transformierbarkeit; die Definition legt fest, welche konkreten Abbildungen als funktionale Transformationen klassifiziert werden.</w:t>
      </w:r>
    </w:p>
    <w:p w:rsidR="00E31D2E" w:rsidRDefault="00E31D2E" w:rsidP="00E31D2E">
      <w:pPr>
        <w:pStyle w:val="StandardWeb"/>
      </w:pPr>
      <w:r>
        <w:t>Mit Fixpunkten und Änderungsmengen kann nun erstmals formal zwischen Zuständen unterschieden werden, die unter einer Transformation erhalten bleiben, und solchen, die auf andere Zustände abgebildet werden. Diese Unterscheidung darf jedoch noch nicht als Stabilität beziehungsweise Dynamik im umfassenden späteren Sinn interpretiert werden. Ein Fixpunkt ist zunächst lediglich ein Zustand (\delta), für den</w:t>
      </w:r>
    </w:p>
    <w:p w:rsidR="00E31D2E" w:rsidRDefault="00E31D2E" w:rsidP="00E31D2E">
      <w:pPr>
        <w:pStyle w:val="StandardWeb"/>
      </w:pPr>
      <w:r>
        <w:t>[</w:t>
      </w:r>
      <w:r>
        <w:br/>
        <w:t>T(\delta)=\delta</w:t>
      </w:r>
      <w:r>
        <w:br/>
        <w:t>]</w:t>
      </w:r>
    </w:p>
    <w:p w:rsidR="00E31D2E" w:rsidRDefault="00E31D2E" w:rsidP="00E31D2E">
      <w:pPr>
        <w:pStyle w:val="StandardWeb"/>
      </w:pPr>
      <w:r>
        <w:t>gilt.</w:t>
      </w:r>
    </w:p>
    <w:p w:rsidR="00E31D2E" w:rsidRDefault="00E31D2E" w:rsidP="00E31D2E">
      <w:pPr>
        <w:pStyle w:val="StandardWeb"/>
      </w:pPr>
      <w:r>
        <w:t>Die Komposition von Transformationen erweitert den strukturellen Gehalt erheblich. Aus</w:t>
      </w:r>
    </w:p>
    <w:p w:rsidR="00E31D2E" w:rsidRDefault="00E31D2E" w:rsidP="00E31D2E">
      <w:pPr>
        <w:pStyle w:val="StandardWeb"/>
      </w:pPr>
      <w:r>
        <w:t>[</w:t>
      </w:r>
      <w:r>
        <w:br/>
        <w:t>T_2\circ T_1</w:t>
      </w:r>
      <w:r>
        <w:br/>
        <w:t>]</w:t>
      </w:r>
    </w:p>
    <w:p w:rsidR="00E31D2E" w:rsidRDefault="00E31D2E" w:rsidP="00E31D2E">
      <w:pPr>
        <w:pStyle w:val="StandardWeb"/>
      </w:pPr>
      <w:r>
        <w:t>entsteht eine geordnete Verkettung von Zuordnungen. Diese Reihenfolge ist mathematisch bedeutsam, aber noch nicht automatisch physikalische Zeit. Sie erzeugt zunächst eine Kompositionsordnung innerhalb der Transformationsstruktur.</w:t>
      </w:r>
    </w:p>
    <w:p w:rsidR="00E31D2E" w:rsidRDefault="00E31D2E" w:rsidP="00E31D2E">
      <w:pPr>
        <w:pStyle w:val="StandardWeb"/>
      </w:pPr>
      <w:r>
        <w:t>Auch Invertierbarkeit ist eine Eigenschaft bestimmter Transformationen und keine allgemeine Forderung an das FRZK. Aus der Tatsache, dass eine inverse Transformation mathematisch definiert werden kann, folgt nicht, dass jede funktionale Transformation umkehrbar sein muss.</w:t>
      </w:r>
    </w:p>
    <w:p w:rsidR="00E31D2E" w:rsidRDefault="00E31D2E" w:rsidP="00E31D2E">
      <w:pPr>
        <w:pStyle w:val="StandardWeb"/>
      </w:pPr>
      <w:r>
        <w:t>Die Transformationsbahn besitzt besondere Bedeutung für die spätere Theorie. Sie macht sichtbar, welche Zustände durch wiederholte Anwendung einer Transformation erreichbar sind. Dennoch darf auch sie noch nicht ohne weitere Bedingungen mit einer physikalischen Trajektorie identifiziert werden.</w:t>
      </w:r>
    </w:p>
    <w:p w:rsidR="00E31D2E" w:rsidRDefault="00E31D2E" w:rsidP="00E31D2E">
      <w:pPr>
        <w:pStyle w:val="StandardWeb"/>
      </w:pPr>
      <w:r>
        <w:t xml:space="preserve">Methodologisch ist dieser Abschnitt deshalb ein gutes Beispiel für den Unterschied zwischen </w:t>
      </w:r>
      <w:r>
        <w:rPr>
          <w:rStyle w:val="Fett"/>
        </w:rPr>
        <w:t>Definition einer Struktur</w:t>
      </w:r>
      <w:r>
        <w:t xml:space="preserve"> und </w:t>
      </w:r>
      <w:r>
        <w:rPr>
          <w:rStyle w:val="Fett"/>
        </w:rPr>
        <w:t>Interpretation dieser Struktur</w:t>
      </w:r>
      <w:r>
        <w:t xml:space="preserve">. Fixpunkte, Bahnen, </w:t>
      </w:r>
      <w:r>
        <w:lastRenderedPageBreak/>
        <w:t>Kompositionen und Inversen sind zunächst FRZK-interne mathematische Konstruktionen. Ihre spätere physikalische oder empirische Bedeutung muss separat begründet werden.</w:t>
      </w:r>
    </w:p>
    <w:p w:rsidR="00E31D2E" w:rsidRDefault="00E31D2E" w:rsidP="00E31D2E">
      <w:pPr>
        <w:pStyle w:val="berschrift3"/>
      </w:pPr>
      <w:r>
        <w:t>Didaktische Betrachtungen</w:t>
      </w:r>
    </w:p>
    <w:p w:rsidR="00E31D2E" w:rsidRDefault="00E31D2E" w:rsidP="00E31D2E">
      <w:pPr>
        <w:pStyle w:val="StandardWeb"/>
      </w:pPr>
      <w:r>
        <w:t>Eine Transformation lässt sich zunächst mit einer Maschine vergleichen.</w:t>
      </w:r>
    </w:p>
    <w:p w:rsidR="00E31D2E" w:rsidRDefault="00E31D2E" w:rsidP="00E31D2E">
      <w:pPr>
        <w:pStyle w:val="StandardWeb"/>
      </w:pPr>
      <w:r>
        <w:t>Ein Zustand wird in die Maschine gegeben:</w:t>
      </w:r>
    </w:p>
    <w:p w:rsidR="00E31D2E" w:rsidRDefault="00E31D2E" w:rsidP="00E31D2E">
      <w:pPr>
        <w:pStyle w:val="StandardWeb"/>
      </w:pPr>
      <w:r>
        <w:t>[</w:t>
      </w:r>
      <w:r>
        <w:br/>
        <w:t>\delta_i</w:t>
      </w:r>
      <w:r>
        <w:br/>
        <w:t>\xrightarrow{T}</w:t>
      </w:r>
      <w:r>
        <w:br/>
        <w:t>\delta_j.</w:t>
      </w:r>
      <w:r>
        <w:br/>
        <w:t>]</w:t>
      </w:r>
    </w:p>
    <w:p w:rsidR="00E31D2E" w:rsidRDefault="00E31D2E" w:rsidP="00E31D2E">
      <w:pPr>
        <w:pStyle w:val="StandardWeb"/>
      </w:pPr>
      <w:r>
        <w:t>Die Maschine (T) legt fest, welcher Ausgangszustand welchem Ergebniszustand zugeordnet wird.</w:t>
      </w:r>
    </w:p>
    <w:p w:rsidR="00E31D2E" w:rsidRDefault="00E31D2E" w:rsidP="00E31D2E">
      <w:pPr>
        <w:pStyle w:val="StandardWeb"/>
      </w:pPr>
      <w:r>
        <w:t>Bleibt ein Zustand unverändert,</w:t>
      </w:r>
    </w:p>
    <w:p w:rsidR="00E31D2E" w:rsidRDefault="00E31D2E" w:rsidP="00E31D2E">
      <w:pPr>
        <w:pStyle w:val="StandardWeb"/>
      </w:pPr>
      <w:r>
        <w:t>[</w:t>
      </w:r>
      <w:r>
        <w:br/>
        <w:t>T(\delta_0)=\delta_0,</w:t>
      </w:r>
      <w:r>
        <w:br/>
        <w:t>]</w:t>
      </w:r>
    </w:p>
    <w:p w:rsidR="00E31D2E" w:rsidRDefault="00E31D2E" w:rsidP="00E31D2E">
      <w:pPr>
        <w:pStyle w:val="StandardWeb"/>
      </w:pPr>
      <w:r>
        <w:t>ist (\delta_0) ein Fixpunkt der Transformation.</w:t>
      </w:r>
    </w:p>
    <w:p w:rsidR="00E31D2E" w:rsidRDefault="00E31D2E" w:rsidP="00E31D2E">
      <w:pPr>
        <w:pStyle w:val="StandardWeb"/>
      </w:pPr>
      <w:r>
        <w:t>Wird ein Zustand dagegen verändert,</w:t>
      </w:r>
    </w:p>
    <w:p w:rsidR="00E31D2E" w:rsidRDefault="00E31D2E" w:rsidP="00E31D2E">
      <w:pPr>
        <w:pStyle w:val="StandardWeb"/>
      </w:pPr>
      <w:r>
        <w:t>[</w:t>
      </w:r>
      <w:r>
        <w:br/>
        <w:t>T(\delta_1)=\delta_2,</w:t>
      </w:r>
      <w:r>
        <w:br/>
        <w:t>\qquad</w:t>
      </w:r>
      <w:r>
        <w:br/>
        <w:t>\delta_1\neq\delta_2,</w:t>
      </w:r>
      <w:r>
        <w:br/>
        <w:t>]</w:t>
      </w:r>
    </w:p>
    <w:p w:rsidR="00E31D2E" w:rsidRDefault="00E31D2E" w:rsidP="00E31D2E">
      <w:pPr>
        <w:pStyle w:val="StandardWeb"/>
      </w:pPr>
      <w:r>
        <w:t>gehört er zur Änderungsmenge.</w:t>
      </w:r>
    </w:p>
    <w:p w:rsidR="00E31D2E" w:rsidRDefault="00E31D2E" w:rsidP="00E31D2E">
      <w:pPr>
        <w:pStyle w:val="StandardWeb"/>
      </w:pPr>
      <w:r>
        <w:t>Komposition lässt sich mit zwei hintereinander geschalteten Maschinen erklären:</w:t>
      </w:r>
    </w:p>
    <w:p w:rsidR="00E31D2E" w:rsidRDefault="00E31D2E" w:rsidP="00E31D2E">
      <w:pPr>
        <w:pStyle w:val="StandardWeb"/>
      </w:pPr>
      <w:r>
        <w:t>[</w:t>
      </w:r>
      <w:r>
        <w:br/>
        <w:t>\delta</w:t>
      </w:r>
      <w:r>
        <w:br/>
        <w:t>\xrightarrow{T_1}</w:t>
      </w:r>
      <w:r>
        <w:br/>
        <w:t>\delta'</w:t>
      </w:r>
      <w:r>
        <w:br/>
        <w:t>\xrightarrow{T_2}</w:t>
      </w:r>
      <w:r>
        <w:br/>
        <w:t>\delta''.</w:t>
      </w:r>
      <w:r>
        <w:br/>
        <w:t>]</w:t>
      </w:r>
    </w:p>
    <w:p w:rsidR="00E31D2E" w:rsidRDefault="00E31D2E" w:rsidP="00E31D2E">
      <w:pPr>
        <w:pStyle w:val="StandardWeb"/>
      </w:pPr>
      <w:r>
        <w:t>Die Gesamtwirkung lautet</w:t>
      </w:r>
    </w:p>
    <w:p w:rsidR="00E31D2E" w:rsidRDefault="00E31D2E" w:rsidP="00E31D2E">
      <w:pPr>
        <w:pStyle w:val="StandardWeb"/>
      </w:pPr>
      <w:r>
        <w:t>[</w:t>
      </w:r>
      <w:r>
        <w:br/>
        <w:t>T_2\circ T_1.</w:t>
      </w:r>
      <w:r>
        <w:br/>
        <w:t>]</w:t>
      </w:r>
    </w:p>
    <w:p w:rsidR="00E31D2E" w:rsidRDefault="00E31D2E" w:rsidP="00E31D2E">
      <w:pPr>
        <w:pStyle w:val="StandardWeb"/>
      </w:pPr>
      <w:r>
        <w:lastRenderedPageBreak/>
        <w:t>Dabei ist die Reihenfolge wichtig. Zuerst wird (T_1), danach (T_2) angewendet. Im Allgemeinen muss</w:t>
      </w:r>
    </w:p>
    <w:p w:rsidR="00E31D2E" w:rsidRDefault="00E31D2E" w:rsidP="00E31D2E">
      <w:pPr>
        <w:pStyle w:val="StandardWeb"/>
      </w:pPr>
      <w:r>
        <w:t>[</w:t>
      </w:r>
      <w:r>
        <w:br/>
        <w:t>T_2\circ T_1</w:t>
      </w:r>
      <w:r>
        <w:br/>
        <w:t>]</w:t>
      </w:r>
    </w:p>
    <w:p w:rsidR="00E31D2E" w:rsidRDefault="00E31D2E" w:rsidP="00E31D2E">
      <w:pPr>
        <w:pStyle w:val="StandardWeb"/>
      </w:pPr>
      <w:r>
        <w:t>nicht dasselbe Ergebnis liefern wie</w:t>
      </w:r>
    </w:p>
    <w:p w:rsidR="00E31D2E" w:rsidRDefault="00E31D2E" w:rsidP="00E31D2E">
      <w:pPr>
        <w:pStyle w:val="StandardWeb"/>
      </w:pPr>
      <w:r>
        <w:t>[</w:t>
      </w:r>
      <w:r>
        <w:br/>
        <w:t>T_1\circ T_2.</w:t>
      </w:r>
      <w:r>
        <w:br/>
        <w:t>]</w:t>
      </w:r>
    </w:p>
    <w:p w:rsidR="00E31D2E" w:rsidRDefault="00E31D2E" w:rsidP="00E31D2E">
      <w:pPr>
        <w:pStyle w:val="StandardWeb"/>
      </w:pPr>
      <w:r>
        <w:t>Dies ist didaktisch ein erster Hinweis darauf, dass aus Transformationen gerichtete Strukturen entstehen können, ohne dass bereits ein physikalischer Zeitbegriff eingeführt wurde.</w:t>
      </w:r>
    </w:p>
    <w:p w:rsidR="00E31D2E" w:rsidRDefault="00E31D2E" w:rsidP="00E31D2E">
      <w:pPr>
        <w:pStyle w:val="StandardWeb"/>
      </w:pPr>
      <w:r>
        <w:t>Eine Transformationsbahn kann schließlich wie die wiederholte Anwendung derselben Maschine verstanden werden:</w:t>
      </w:r>
    </w:p>
    <w:p w:rsidR="00E31D2E" w:rsidRDefault="00E31D2E" w:rsidP="00E31D2E">
      <w:pPr>
        <w:pStyle w:val="StandardWeb"/>
      </w:pPr>
      <w:r>
        <w:t>[</w:t>
      </w:r>
      <w:r>
        <w:br/>
        <w:t>\delta_0</w:t>
      </w:r>
      <w:r>
        <w:br/>
        <w:t>\rightarrow</w:t>
      </w:r>
      <w:r>
        <w:br/>
        <w:t>\delta_1</w:t>
      </w:r>
      <w:r>
        <w:br/>
        <w:t>\rightarrow</w:t>
      </w:r>
      <w:r>
        <w:br/>
        <w:t>\delta_2</w:t>
      </w:r>
      <w:r>
        <w:br/>
        <w:t>\rightarrow</w:t>
      </w:r>
      <w:r>
        <w:br/>
        <w:t>\cdots.</w:t>
      </w:r>
      <w:r>
        <w:br/>
        <w:t>]</w:t>
      </w:r>
    </w:p>
    <w:p w:rsidR="00E31D2E" w:rsidRDefault="00E31D2E" w:rsidP="00E31D2E">
      <w:pPr>
        <w:pStyle w:val="StandardWeb"/>
      </w:pPr>
      <w:r>
        <w:t>Erst im folgenden Abschnitt wird aus solchen geordneten Folgen ausdrücklich der Begriff der funktionalen Entwicklung konstruiert.</w:t>
      </w:r>
    </w:p>
    <w:p w:rsidR="00E31D2E" w:rsidRDefault="00E50336" w:rsidP="00E31D2E">
      <w:r>
        <w:pict>
          <v:rect id="_x0000_i1036" style="width:0;height:1.5pt" o:hralign="center" o:hrstd="t" o:hr="t" fillcolor="#a0a0a0" stroked="f"/>
        </w:pict>
      </w:r>
    </w:p>
    <w:p w:rsidR="00643580" w:rsidRPr="00AF32B2" w:rsidRDefault="00643580" w:rsidP="00AF32B2">
      <w:pPr>
        <w:pStyle w:val="berschrift3"/>
      </w:pPr>
      <w:r w:rsidRPr="00AF32B2">
        <w:t>3.3.12 Definition der funktionalen Entwicklung</w:t>
      </w:r>
    </w:p>
    <w:p w:rsidR="00643580" w:rsidRDefault="00643580" w:rsidP="00643580">
      <w:pPr>
        <w:pStyle w:val="StandardWeb"/>
      </w:pPr>
      <w:r>
        <w:t>Mit Definition 3.3.3 stehen funktional wirksame Transformationen als eindeutig abgegrenzte Zuordnungen auf dem elementaren funktionalen Zustandsbereich zur Verfügung. Eine einzelne Transformation beschreibt jedoch lediglich einen funktional wirksamen Übergang zwischen einem Ausgangs- und einem Zielzustand. Erst eine geordnete Folge solcher Transformationen ermöglicht es, mehrere aufeinander bezogene Zustandsänderungen als zusammenhängende funktionale Entwicklung zu beschreiben. Mathematische Folgen, rekursive Zuordnungen und Operatorverkettungen stellen hierfür die erforderlichen formalen Werkzeuge bereit [71, 75, 76].</w:t>
      </w:r>
    </w:p>
    <w:p w:rsidR="00643580" w:rsidRDefault="00643580" w:rsidP="00643580">
      <w:pPr>
        <w:pStyle w:val="StandardWeb"/>
      </w:pPr>
      <w:r>
        <w:t>Die Einführung einer funktionalen Entwicklung erfordert kein weiteres Primäraxiom. Primäraxiom III garantiert bereits die Möglichkeit mindestens einer funktional wirksamen Transformation. Sobald mehrere Transformationen ausgewählt und in eine formale Reihenfolge gebracht werden, kann ihre gemeinsame Wirkung durch eine Definition erfasst werden. Die Reihenfolge der Transformationen darf dabei noch nicht mit physikalischer Zeit gleichgesetzt werden [58, 59, 79].</w:t>
      </w:r>
    </w:p>
    <w:p w:rsidR="00643580" w:rsidRPr="00AF32B2" w:rsidRDefault="00643580" w:rsidP="00AF32B2">
      <w:pPr>
        <w:pStyle w:val="berschrift4"/>
      </w:pPr>
      <w:r w:rsidRPr="00AF32B2">
        <w:lastRenderedPageBreak/>
        <w:t>3.3.12.1 Begriffliche Abgrenzung</w:t>
      </w:r>
    </w:p>
    <w:p w:rsidR="00643580" w:rsidRDefault="00643580" w:rsidP="00643580">
      <w:pPr>
        <w:pStyle w:val="StandardWeb"/>
      </w:pPr>
      <w:r>
        <w:t>Eine mathematische Folge ist eine Abbildung von einer geordneten Indexmenge in einen Zielbereich. Sie ermöglicht es, Elemente anhand ihrer Position innerhalb der Folge zu unterscheiden [71]. Eine Operatorfolge kann entsprechend mehrere Abbildungen in einer festgelegten Reihenfolge anordnen. Daraus folgt jedoch noch keine funktionale Entwicklung, weil die einzelnen Abbildungen nicht notwendig funktional wirksam sein müssen [71, 76].</w:t>
      </w:r>
    </w:p>
    <w:p w:rsidR="00643580" w:rsidRDefault="00643580" w:rsidP="00643580">
      <w:pPr>
        <w:pStyle w:val="StandardWeb"/>
      </w:pPr>
      <w:r>
        <w:t>Eine funktionale Entwicklung unterscheidet sich außerdem von einer einzelnen Transformation. Die Transformation (T) beschreibt eine Zuordnung zwischen Zuständen. Die Entwicklung umfasst dagegen mindestens einen Ausgangszustand, eine geordnete Folge funktionaler Transformationen und die dadurch erzeugten Folgezustände. Sie ist damit eine zusammengesetzte Struktur [75, 76].</w:t>
      </w:r>
    </w:p>
    <w:p w:rsidR="00643580" w:rsidRDefault="00643580" w:rsidP="00643580">
      <w:pPr>
        <w:pStyle w:val="StandardWeb"/>
      </w:pPr>
      <w:r>
        <w:rPr>
          <w:rStyle w:val="Fett"/>
        </w:rPr>
        <w:t>Eigenleistung des FRZK</w:t>
      </w:r>
    </w:p>
    <w:p w:rsidR="00643580" w:rsidRDefault="00643580" w:rsidP="00643580">
      <w:pPr>
        <w:pStyle w:val="StandardWeb"/>
      </w:pPr>
      <w:r>
        <w:t>Ich verwende den Begriff der funktionalen Entwicklung ausschließlich für eine geordnete Folge von Zuständen, bei der jeder Folgezustand durch eine funktionale Transformation aus dem unmittelbar vorhergehenden Zustand hervorgeht. Die Ordnung der Folge besitzt zunächst nur mathematische und funktionale Bedeutung. Eine physikalische Zeitinterpretation ist ausdrücklich ausgeschlossen.</w:t>
      </w:r>
    </w:p>
    <w:p w:rsidR="00643580" w:rsidRPr="00AF32B2" w:rsidRDefault="00643580" w:rsidP="00AF32B2">
      <w:pPr>
        <w:pStyle w:val="berschrift4"/>
      </w:pPr>
      <w:r w:rsidRPr="00AF32B2">
        <w:t>3.3.12.2 Definition der funktionalen Entwicklung</w:t>
      </w:r>
    </w:p>
    <w:p w:rsidR="00643580" w:rsidRDefault="00643580" w:rsidP="00643580">
      <w:pPr>
        <w:pStyle w:val="StandardWeb"/>
      </w:pPr>
      <w:r>
        <w:rPr>
          <w:rStyle w:val="Fett"/>
        </w:rPr>
        <w:t>Definition 3.3.4 – Funktionale Entwicklung</w:t>
      </w:r>
    </w:p>
    <w:p w:rsidR="00643580" w:rsidRDefault="00643580" w:rsidP="00643580">
      <w:pPr>
        <w:pStyle w:val="StandardWeb"/>
      </w:pPr>
      <w:r>
        <w:t>Eine funktionale Entwicklung ist eine endliche oder unendliche geordnete Folge elementarer funktionaler Zustände, bei der jeder Folgezustand durch die Anwendung einer funktionalen Transformation auf den unmittelbar vorhergehenden Zustand bestimmt wird.</w:t>
      </w:r>
    </w:p>
    <w:p w:rsidR="00643580" w:rsidRDefault="00643580" w:rsidP="00643580">
      <w:pPr>
        <w:pStyle w:val="StandardWeb"/>
      </w:pPr>
      <w:r>
        <w:t>Für eine endliche Entwicklung mit (n) Transformationsschritten gilt:</w:t>
      </w:r>
    </w:p>
    <w:p w:rsidR="00643580" w:rsidRDefault="00643580" w:rsidP="00643580">
      <w:pPr>
        <w:pStyle w:val="StandardWeb"/>
      </w:pPr>
      <w:r>
        <w:t>[</w:t>
      </w:r>
      <w:r>
        <w:br/>
        <w:t>\delta_k=T_k(\delta_{k-1}),</w:t>
      </w:r>
      <w:r>
        <w:br/>
        <w:t>\qquad</w:t>
      </w:r>
      <w:r>
        <w:br/>
        <w:t>T_k\in\mathfrak{T}_{\mathrm{f}},</w:t>
      </w:r>
      <w:r>
        <w:br/>
        <w:t>\qquad</w:t>
      </w:r>
      <w:r>
        <w:br/>
        <w:t>k=1,\ldots,n.</w:t>
      </w:r>
      <w:r>
        <w:br/>
        <w:t>\tag{3.4058}</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\delta_k=T_k(\delta_{k-1}),\qquad T_k\in\mathfrak{T}_{\mathrm{f}},\qquad k=1,\ldots,n\qquad\text{(3.4058)}</w:t>
      </w:r>
    </w:p>
    <w:p w:rsidR="00643580" w:rsidRDefault="00643580" w:rsidP="00643580">
      <w:pPr>
        <w:pStyle w:val="StandardWeb"/>
      </w:pPr>
      <w:r>
        <w:t>Dabei bezeichnet:</w:t>
      </w:r>
    </w:p>
    <w:p w:rsidR="00643580" w:rsidRDefault="00643580" w:rsidP="00632D23">
      <w:pPr>
        <w:pStyle w:val="StandardWeb"/>
        <w:numPr>
          <w:ilvl w:val="0"/>
          <w:numId w:val="50"/>
        </w:numPr>
      </w:pPr>
      <w:r>
        <w:t>(\delta_{k-1}) den unmittelbar vorhergehenden funktionalen Zustand,</w:t>
      </w:r>
    </w:p>
    <w:p w:rsidR="00643580" w:rsidRDefault="00643580" w:rsidP="00632D23">
      <w:pPr>
        <w:pStyle w:val="StandardWeb"/>
        <w:numPr>
          <w:ilvl w:val="0"/>
          <w:numId w:val="50"/>
        </w:numPr>
      </w:pPr>
      <w:r>
        <w:t>(\delta_k) den durch (T_k) erzeugten Folgezustand,</w:t>
      </w:r>
    </w:p>
    <w:p w:rsidR="00643580" w:rsidRDefault="00643580" w:rsidP="00632D23">
      <w:pPr>
        <w:pStyle w:val="StandardWeb"/>
        <w:numPr>
          <w:ilvl w:val="0"/>
          <w:numId w:val="50"/>
        </w:numPr>
      </w:pPr>
      <w:r>
        <w:t>(T_k) die im (k)-ten Entwicklungsschritt verwendete funktionale Transformation,</w:t>
      </w:r>
    </w:p>
    <w:p w:rsidR="00643580" w:rsidRDefault="00643580" w:rsidP="00632D23">
      <w:pPr>
        <w:pStyle w:val="StandardWeb"/>
        <w:numPr>
          <w:ilvl w:val="0"/>
          <w:numId w:val="50"/>
        </w:numPr>
      </w:pPr>
      <w:r>
        <w:lastRenderedPageBreak/>
        <w:t>(k) die Position innerhalb der geordneten Transformationsfolge,</w:t>
      </w:r>
    </w:p>
    <w:p w:rsidR="00643580" w:rsidRDefault="00643580" w:rsidP="00632D23">
      <w:pPr>
        <w:pStyle w:val="StandardWeb"/>
        <w:numPr>
          <w:ilvl w:val="0"/>
          <w:numId w:val="50"/>
        </w:numPr>
      </w:pPr>
      <w:r>
        <w:t>(n) die Anzahl der Transformationsschritte.</w:t>
      </w:r>
    </w:p>
    <w:p w:rsidR="00643580" w:rsidRDefault="00643580" w:rsidP="00643580">
      <w:pPr>
        <w:pStyle w:val="StandardWeb"/>
      </w:pPr>
      <w:r>
        <w:t>Gleichung (3.4058) ist eine Definition und keine neue axiomatische Setzung. Die funktionale Wirksamkeit der Transformationen folgt aus ihrer Zugehörigkeit zu (\mathfrak{T}_{\mathrm{f}}). Die Existenz mindestens einer solchen Transformation wurde bereits durch Primäraxiom III gesichert [71, 79].</w:t>
      </w:r>
    </w:p>
    <w:p w:rsidR="00643580" w:rsidRPr="00AF32B2" w:rsidRDefault="00643580" w:rsidP="00AF32B2">
      <w:pPr>
        <w:pStyle w:val="berschrift4"/>
      </w:pPr>
      <w:r w:rsidRPr="00AF32B2">
        <w:t>3.3.12.3 Endliche funktionale Entwicklung</w:t>
      </w:r>
    </w:p>
    <w:p w:rsidR="00643580" w:rsidRDefault="00643580" w:rsidP="00643580">
      <w:pPr>
        <w:pStyle w:val="StandardWeb"/>
      </w:pPr>
      <w:r>
        <w:t>Die zu Gleichung (3.4058) gehörige endliche Zustandsfolge definiere ich durch</w:t>
      </w:r>
    </w:p>
    <w:p w:rsidR="00643580" w:rsidRDefault="00643580" w:rsidP="00643580">
      <w:pPr>
        <w:pStyle w:val="berschrift1"/>
      </w:pPr>
      <w:r>
        <w:t>[</w:t>
      </w:r>
      <w:r>
        <w:br/>
        <w:t>\Gamma</w:t>
      </w:r>
    </w:p>
    <w:p w:rsidR="00643580" w:rsidRDefault="00643580" w:rsidP="00643580">
      <w:pPr>
        <w:pStyle w:val="StandardWeb"/>
      </w:pPr>
      <w:r>
        <w:t>\left(</w:t>
      </w:r>
      <w:r>
        <w:br/>
        <w:t>\delta_0,\delta_1,\ldots,\delta_n</w:t>
      </w:r>
      <w:r>
        <w:br/>
        <w:t>\right).</w:t>
      </w:r>
      <w:r>
        <w:br/>
        <w:t>\tag{3.4059}</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\Gamma=\left(\delta_0,\delta_1,\ldots,\delta_n\right)\qquad\text{(3.4059)}</w:t>
      </w:r>
    </w:p>
    <w:p w:rsidR="00643580" w:rsidRDefault="00643580" w:rsidP="00643580">
      <w:pPr>
        <w:pStyle w:val="StandardWeb"/>
      </w:pPr>
      <w:r>
        <w:t>Dabei bezeichnet (\Gamma) die funktionale Entwicklungsfolge. Der Zustand (\delta_0) ist der gewählte Ausgangszustand, während (\delta_n) den letzten innerhalb der betrachteten endlichen Folge bestimmten Zustand bezeichnet.</w:t>
      </w:r>
    </w:p>
    <w:p w:rsidR="00643580" w:rsidRDefault="00643580" w:rsidP="00643580">
      <w:pPr>
        <w:pStyle w:val="StandardWeb"/>
      </w:pPr>
      <w:r>
        <w:t>Die zugehörige Transformationsfolge lautet</w:t>
      </w:r>
    </w:p>
    <w:p w:rsidR="00643580" w:rsidRDefault="00643580" w:rsidP="00643580">
      <w:pPr>
        <w:pStyle w:val="berschrift1"/>
      </w:pPr>
      <w:r>
        <w:t>[</w:t>
      </w:r>
      <w:r>
        <w:br/>
        <w:t>\mathbf{T}_{n}</w:t>
      </w:r>
    </w:p>
    <w:p w:rsidR="00643580" w:rsidRDefault="00643580" w:rsidP="00643580">
      <w:pPr>
        <w:pStyle w:val="StandardWeb"/>
      </w:pPr>
      <w:r>
        <w:t>\left(</w:t>
      </w:r>
      <w:r>
        <w:br/>
        <w:t>T_1,T_2,\ldots,T_n</w:t>
      </w:r>
      <w:r>
        <w:br/>
        <w:t>\right).</w:t>
      </w:r>
      <w:r>
        <w:br/>
        <w:t>\tag{3.4060}</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\mathbf{T}_{n}=\left(T_1,T_2,\ldots,T_n\right)\qquad\text{(3.4060)}</w:t>
      </w:r>
    </w:p>
    <w:p w:rsidR="00643580" w:rsidRDefault="00643580" w:rsidP="00643580">
      <w:pPr>
        <w:pStyle w:val="StandardWeb"/>
      </w:pPr>
      <w:r>
        <w:t>Dabei bezeichnet (\mathbf{T}_{n}) die geordnete Folge der verwendeten funktionalen Transformationen. Die fett gesetzte Schreibweise kennzeichnet hier eine Folge und keinen Vektor im algebraischen Sinn [71, 75].</w:t>
      </w:r>
    </w:p>
    <w:p w:rsidR="00643580" w:rsidRDefault="00643580" w:rsidP="00643580">
      <w:pPr>
        <w:pStyle w:val="StandardWeb"/>
      </w:pPr>
      <w:r>
        <w:lastRenderedPageBreak/>
        <w:t>Die funktionale Entwicklung wird damit durch das geordnete Paar</w:t>
      </w:r>
    </w:p>
    <w:p w:rsidR="00643580" w:rsidRDefault="00643580" w:rsidP="00643580">
      <w:pPr>
        <w:pStyle w:val="berschrift1"/>
      </w:pPr>
      <w:r>
        <w:t>[</w:t>
      </w:r>
      <w:r>
        <w:br/>
        <w:t>\mathfrak{E}_{n}</w:t>
      </w:r>
    </w:p>
    <w:p w:rsidR="00643580" w:rsidRDefault="00643580" w:rsidP="00643580">
      <w:pPr>
        <w:pStyle w:val="StandardWeb"/>
      </w:pPr>
      <w:r>
        <w:t>\left(</w:t>
      </w:r>
      <w:r>
        <w:br/>
        <w:t>\delta_0,\mathbf{T}_{n}</w:t>
      </w:r>
      <w:r>
        <w:br/>
        <w:t>\right)</w:t>
      </w:r>
      <w:r>
        <w:br/>
        <w:t>\tag{3.4061}</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\mathfrak{E}_{n}=\left(\delta_0,\mathbf{T}_{n}\right)\qquad\text{(3.4061)}</w:t>
      </w:r>
    </w:p>
    <w:p w:rsidR="00643580" w:rsidRDefault="00643580" w:rsidP="00643580">
      <w:pPr>
        <w:pStyle w:val="StandardWeb"/>
      </w:pPr>
      <w:r>
        <w:t>bestimmt.</w:t>
      </w:r>
    </w:p>
    <w:p w:rsidR="00643580" w:rsidRDefault="00643580" w:rsidP="00643580">
      <w:pPr>
        <w:pStyle w:val="StandardWeb"/>
      </w:pPr>
      <w:r>
        <w:t>Dabei bezeichnet (\mathfrak{E}</w:t>
      </w:r>
      <w:r>
        <w:rPr>
          <w:rStyle w:val="Hervorhebung"/>
        </w:rPr>
        <w:t>{n}) eine endliche funktionale Entwicklung mit dem Ausgangszustand (\delta_0) und der Transformationsfolge (\mathbf{T}</w:t>
      </w:r>
      <w:r>
        <w:t>{n}).</w:t>
      </w:r>
    </w:p>
    <w:p w:rsidR="00643580" w:rsidRDefault="00643580" w:rsidP="00643580">
      <w:pPr>
        <w:pStyle w:val="StandardWeb"/>
      </w:pPr>
      <w:r>
        <w:rPr>
          <w:rStyle w:val="Fett"/>
        </w:rPr>
        <w:t>Eigenleistung des FRZK</w:t>
      </w:r>
    </w:p>
    <w:p w:rsidR="00643580" w:rsidRDefault="00643580" w:rsidP="00643580">
      <w:pPr>
        <w:pStyle w:val="StandardWeb"/>
      </w:pPr>
      <w:r>
        <w:t>Ich unterscheide zwischen der Entwicklungsstruktur (\mathfrak{E}_{n}) und der daraus erzeugten Zustandsfolge (\Gamma). Die Entwicklungsstruktur enthält die erzeugende Information. Die Zustandsfolge enthält die daraus hervorgehenden Zustände. Diese Trennung ermöglicht es später, verschiedene Transformationsfolgen zu vergleichen, die möglicherweise dieselbe Zustandsfolge erzeugen.</w:t>
      </w:r>
    </w:p>
    <w:p w:rsidR="00643580" w:rsidRPr="00AF32B2" w:rsidRDefault="00643580" w:rsidP="00AF32B2">
      <w:pPr>
        <w:pStyle w:val="berschrift4"/>
      </w:pPr>
      <w:r w:rsidRPr="00AF32B2">
        <w:t>3.3.12.4 Zusammengesetzte Transformation einer endlichen Entwicklung</w:t>
      </w:r>
    </w:p>
    <w:p w:rsidR="00643580" w:rsidRDefault="00643580" w:rsidP="00643580">
      <w:pPr>
        <w:pStyle w:val="StandardWeb"/>
      </w:pPr>
      <w:r>
        <w:t>Die Gesamtwirkung der Transformationsfolge (\mathbf{T}_{n}) auf den Ausgangszustand kann durch die Komposition</w:t>
      </w:r>
    </w:p>
    <w:p w:rsidR="00643580" w:rsidRDefault="00643580" w:rsidP="00643580">
      <w:pPr>
        <w:pStyle w:val="berschrift1"/>
      </w:pPr>
      <w:r>
        <w:t>[</w:t>
      </w:r>
      <w:r>
        <w:br/>
        <w:t>T^{(n)}</w:t>
      </w:r>
    </w:p>
    <w:p w:rsidR="00643580" w:rsidRDefault="00643580" w:rsidP="00643580">
      <w:pPr>
        <w:pStyle w:val="StandardWeb"/>
      </w:pPr>
      <w:r>
        <w:t>T_n\circ T_{n-1}\circ\cdots\circ T_1</w:t>
      </w:r>
      <w:r>
        <w:br/>
        <w:t>\tag{3.4062}</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T^{(n)}=T_n\circ T_{n-1}\circ\cdots\circ T_1\qquad\text{(3.4062)}</w:t>
      </w:r>
    </w:p>
    <w:p w:rsidR="00643580" w:rsidRDefault="00643580" w:rsidP="00643580">
      <w:pPr>
        <w:pStyle w:val="StandardWeb"/>
      </w:pPr>
      <w:r>
        <w:t>dargestellt werden.</w:t>
      </w:r>
    </w:p>
    <w:p w:rsidR="00643580" w:rsidRDefault="00643580" w:rsidP="00643580">
      <w:pPr>
        <w:pStyle w:val="StandardWeb"/>
      </w:pPr>
      <w:r>
        <w:lastRenderedPageBreak/>
        <w:t>Dabei bezeichnet (T^{(n)}) die aus (n) einzelnen Transformationen zusammengesetzte Abbildung. Der hochgestellte Index ((n)) kennzeichnet die Anzahl der einbezogenen Transformationsschritte und keine Potenz [71, 76].</w:t>
      </w:r>
    </w:p>
    <w:p w:rsidR="00643580" w:rsidRDefault="00643580" w:rsidP="00643580">
      <w:pPr>
        <w:pStyle w:val="StandardWeb"/>
      </w:pPr>
      <w:r>
        <w:t>Für den Endzustand gilt damit</w:t>
      </w:r>
    </w:p>
    <w:p w:rsidR="00643580" w:rsidRDefault="00643580" w:rsidP="00643580">
      <w:pPr>
        <w:pStyle w:val="berschrift1"/>
      </w:pPr>
      <w:r>
        <w:t>[</w:t>
      </w:r>
      <w:r>
        <w:br/>
        <w:t>\delta_n</w:t>
      </w:r>
    </w:p>
    <w:p w:rsidR="00643580" w:rsidRDefault="00643580" w:rsidP="00643580">
      <w:pPr>
        <w:pStyle w:val="StandardWeb"/>
      </w:pPr>
      <w:r>
        <w:t>T^{(n)}(\delta_0).</w:t>
      </w:r>
      <w:r>
        <w:br/>
        <w:t>\tag{3.4063}</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\delta_n=T^{(n)}(\delta_0)\qquad\text{(3.4063)}</w:t>
      </w:r>
    </w:p>
    <w:p w:rsidR="00643580" w:rsidRDefault="00643580" w:rsidP="00643580">
      <w:pPr>
        <w:pStyle w:val="StandardWeb"/>
      </w:pPr>
      <w:r>
        <w:t>Gleichung (3.4063) fasst die rekursive Folge aus Gleichung (3.4058) in einer einzigen zusammengesetzten Abbildung zusammen.</w:t>
      </w:r>
    </w:p>
    <w:p w:rsidR="00643580" w:rsidRDefault="00643580" w:rsidP="00643580">
      <w:pPr>
        <w:pStyle w:val="StandardWeb"/>
      </w:pPr>
      <w:r>
        <w:t>Aus der mathematischen Existenz von (T^{(n)}) folgt noch nicht, dass die zusammengesetzte Abbildung selbst zur Menge (\mathfrak{T}_{\mathrm{f}}) gehört. Dafür wäre die in Gleichung (3.4052) beschriebene Abgeschlossenheit unter Komposition erforderlich [71, 76].</w:t>
      </w:r>
    </w:p>
    <w:p w:rsidR="00643580" w:rsidRDefault="00643580" w:rsidP="00643580">
      <w:pPr>
        <w:pStyle w:val="StandardWeb"/>
      </w:pPr>
      <w:r>
        <w:rPr>
          <w:rStyle w:val="Fett"/>
        </w:rPr>
        <w:t>Eigenleistung des FRZK</w:t>
      </w:r>
    </w:p>
    <w:p w:rsidR="00643580" w:rsidRDefault="00643580" w:rsidP="00643580">
      <w:pPr>
        <w:pStyle w:val="StandardWeb"/>
      </w:pPr>
      <w:r>
        <w:t>Ich unterscheide daher zwischen einer Entwicklung aus funktional wirksamen Einzelschritten und einer als Ganzes funktional wirksamen Gesamttransformation. Die funktionale Wirksamkeit jedes einzelnen (T_k) garantiert nicht ohne zusätzliche Bedingung die funktionale Wirksamkeit ihrer Komposition.</w:t>
      </w:r>
    </w:p>
    <w:p w:rsidR="00643580" w:rsidRPr="00AF32B2" w:rsidRDefault="00643580" w:rsidP="00AF32B2">
      <w:pPr>
        <w:pStyle w:val="berschrift4"/>
      </w:pPr>
      <w:r w:rsidRPr="00AF32B2">
        <w:t>3.3.12.5 Länge einer endlichen funktionalen Entwicklung</w:t>
      </w:r>
    </w:p>
    <w:p w:rsidR="00643580" w:rsidRDefault="00643580" w:rsidP="00643580">
      <w:pPr>
        <w:pStyle w:val="StandardWeb"/>
      </w:pPr>
      <w:r>
        <w:t>Die formale Länge einer endlichen funktionalen Entwicklung definiere ich als Anzahl der verwendeten Transformationsschritte:</w:t>
      </w:r>
    </w:p>
    <w:p w:rsidR="00643580" w:rsidRDefault="00643580" w:rsidP="00643580">
      <w:pPr>
        <w:pStyle w:val="StandardWeb"/>
      </w:pPr>
      <w:r>
        <w:t>[</w:t>
      </w:r>
      <w:r>
        <w:br/>
        <w:t>L!\left(\mathfrak{E}_{n}\right)=n.</w:t>
      </w:r>
      <w:r>
        <w:br/>
        <w:t>\tag{3.4064}</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L\left(\mathfrak{E}_{n}\right)=n\qquad\text{(3.4064)}</w:t>
      </w:r>
    </w:p>
    <w:p w:rsidR="00643580" w:rsidRDefault="00643580" w:rsidP="00643580">
      <w:pPr>
        <w:pStyle w:val="StandardWeb"/>
      </w:pPr>
      <w:r>
        <w:t>Dabei bezeichnet (L(\mathfrak{E}_{n})) die Entwicklungslänge und (n) die Anzahl der Transformationen.</w:t>
      </w:r>
    </w:p>
    <w:p w:rsidR="00643580" w:rsidRDefault="00643580" w:rsidP="00643580">
      <w:pPr>
        <w:pStyle w:val="StandardWeb"/>
      </w:pPr>
      <w:r>
        <w:lastRenderedPageBreak/>
        <w:t>Die Entwicklungslänge ist dimensionslos. Sie beschreibt weder eine Zeitdauer noch eine räumliche Weglänge. Zwei Entwicklungen können dieselbe formale Länge besitzen, obwohl ihre Transformationen mathematisch oder funktional unterschiedlich sind.</w:t>
      </w:r>
    </w:p>
    <w:p w:rsidR="00643580" w:rsidRDefault="00643580" w:rsidP="00643580">
      <w:pPr>
        <w:pStyle w:val="StandardWeb"/>
      </w:pPr>
      <w:r>
        <w:rPr>
          <w:rStyle w:val="Fett"/>
        </w:rPr>
        <w:t>Eigenleistung des FRZK</w:t>
      </w:r>
    </w:p>
    <w:p w:rsidR="00643580" w:rsidRDefault="00643580" w:rsidP="00643580">
      <w:pPr>
        <w:pStyle w:val="StandardWeb"/>
      </w:pPr>
      <w:r>
        <w:t>Ich führe die Entwicklungslänge ausschließlich als strukturelle Zählgröße ein. Eine spätere Zuordnung zu einer Zeitdauer ist nur zulässig, wenn zusätzlich eine funktionale Zeitmetrik definiert und begründet wurde.</w:t>
      </w:r>
    </w:p>
    <w:p w:rsidR="00643580" w:rsidRPr="00AF32B2" w:rsidRDefault="00643580" w:rsidP="00AF32B2">
      <w:pPr>
        <w:pStyle w:val="berschrift4"/>
      </w:pPr>
      <w:r w:rsidRPr="00AF32B2">
        <w:t>3.3.12.6 Zustandserhaltende Entwicklung</w:t>
      </w:r>
    </w:p>
    <w:p w:rsidR="00643580" w:rsidRDefault="00643580" w:rsidP="00643580">
      <w:pPr>
        <w:pStyle w:val="StandardWeb"/>
      </w:pPr>
      <w:r>
        <w:t>Eine funktionale Entwicklung ist vollständig zustandserhaltend, wenn jeder Transformationsschritt den jeweils vorliegenden Zustand unverändert lässt:</w:t>
      </w:r>
    </w:p>
    <w:p w:rsidR="00643580" w:rsidRDefault="00643580" w:rsidP="00643580">
      <w:pPr>
        <w:pStyle w:val="StandardWeb"/>
      </w:pPr>
      <w:r>
        <w:t>[</w:t>
      </w:r>
      <w:r>
        <w:br/>
        <w:t>\delta_k=\delta_{k-1}</w:t>
      </w:r>
      <w:r>
        <w:br/>
        <w:t>\qquad</w:t>
      </w:r>
      <w:r>
        <w:br/>
        <w:t>\text{für alle }</w:t>
      </w:r>
      <w:r>
        <w:br/>
        <w:t>k=1,\ldots,n.</w:t>
      </w:r>
      <w:r>
        <w:br/>
        <w:t>\tag{3.4065}</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\delta_k=\delta_{k-1}\qquad\text{für alle }k=1,\ldots,n\qquad\text{(3.4065)}</w:t>
      </w:r>
    </w:p>
    <w:p w:rsidR="00643580" w:rsidRDefault="00643580" w:rsidP="00643580">
      <w:pPr>
        <w:pStyle w:val="StandardWeb"/>
      </w:pPr>
      <w:r>
        <w:t>Daraus folgt</w:t>
      </w:r>
    </w:p>
    <w:p w:rsidR="00643580" w:rsidRDefault="00643580" w:rsidP="00643580">
      <w:pPr>
        <w:pStyle w:val="StandardWeb"/>
      </w:pPr>
      <w:r>
        <w:t>[</w:t>
      </w:r>
      <w:r>
        <w:br/>
        <w:t>\delta_0=\delta_1=\cdots=\delta_n.</w:t>
      </w:r>
      <w:r>
        <w:br/>
        <w:t>\tag{3.4066}</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\delta_0=\delta_1=\cdots=\delta_n\qquad\text{(3.4066)}</w:t>
      </w:r>
    </w:p>
    <w:p w:rsidR="00643580" w:rsidRDefault="00643580" w:rsidP="00643580">
      <w:pPr>
        <w:pStyle w:val="StandardWeb"/>
      </w:pPr>
      <w:r>
        <w:t>Eine zustandserhaltende Entwicklung kann aus Identitätstransformationen oder aus Transformationen bestehen, für welche der betrachtete Zustand jeweils ein Fixpunkt ist. Die verwendeten Transformationen müssen deshalb nicht global mit der Identität übereinstimmen [71, 76].</w:t>
      </w:r>
    </w:p>
    <w:p w:rsidR="00643580" w:rsidRDefault="00643580" w:rsidP="00643580">
      <w:pPr>
        <w:pStyle w:val="StandardWeb"/>
      </w:pPr>
      <w:r>
        <w:rPr>
          <w:rStyle w:val="Fett"/>
        </w:rPr>
        <w:t>Eigenleistung des FRZK</w:t>
      </w:r>
    </w:p>
    <w:p w:rsidR="00643580" w:rsidRDefault="00643580" w:rsidP="00643580">
      <w:pPr>
        <w:pStyle w:val="StandardWeb"/>
      </w:pPr>
      <w:r>
        <w:t>Ich behandle auch eine zustandserhaltende Folge als funktionale Entwicklung. Entwicklung bedeutet auf dieser Ebene nicht notwendig Zustandsänderung. Sie bezeichnet zunächst die geordnete Anwendung funktional wirksamer Transformationen. Diese Unterscheidung wird später für Stabilität und Kohärenz wesentlich.</w:t>
      </w:r>
    </w:p>
    <w:p w:rsidR="00643580" w:rsidRPr="00AF32B2" w:rsidRDefault="00643580" w:rsidP="00AF32B2">
      <w:pPr>
        <w:pStyle w:val="berschrift4"/>
      </w:pPr>
      <w:r w:rsidRPr="00AF32B2">
        <w:lastRenderedPageBreak/>
        <w:t>3.3.12.7 Zustandsändernde Entwicklung</w:t>
      </w:r>
    </w:p>
    <w:p w:rsidR="00643580" w:rsidRDefault="00643580" w:rsidP="00643580">
      <w:pPr>
        <w:pStyle w:val="StandardWeb"/>
      </w:pPr>
      <w:r>
        <w:t>Eine funktionale Entwicklung ist zustandsändernd, wenn mindestens ein Entwicklungsschritt einen vom vorhergehenden Zustand verschiedenen Folgezustand erzeugt:</w:t>
      </w:r>
    </w:p>
    <w:p w:rsidR="00643580" w:rsidRDefault="00643580" w:rsidP="00643580">
      <w:pPr>
        <w:pStyle w:val="StandardWeb"/>
      </w:pPr>
      <w:r>
        <w:t>[</w:t>
      </w:r>
      <w:r>
        <w:br/>
        <w:t>\exists k\in{1,\ldots,n}:</w:t>
      </w:r>
      <w:r>
        <w:br/>
        <w:t>\delta_k\neq\delta_{k-1}.</w:t>
      </w:r>
      <w:r>
        <w:br/>
        <w:t>\tag{3.4067}</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\exists k\in\{1,\ldots,n\}:\delta_k\neq\delta_{k-1}\qquad\text{(3.4067)}</w:t>
      </w:r>
    </w:p>
    <w:p w:rsidR="00643580" w:rsidRDefault="00643580" w:rsidP="00643580">
      <w:pPr>
        <w:pStyle w:val="StandardWeb"/>
      </w:pPr>
      <w:r>
        <w:t>Die Menge der zustandsändernden Entwicklungsschritte definiere ich durch</w:t>
      </w:r>
    </w:p>
    <w:p w:rsidR="00643580" w:rsidRDefault="00643580" w:rsidP="00643580">
      <w:pPr>
        <w:pStyle w:val="berschrift1"/>
      </w:pPr>
      <w:r>
        <w:t>[</w:t>
      </w:r>
      <w:r>
        <w:br/>
        <w:t>\mathcal{K}_{\Delta}</w:t>
      </w:r>
    </w:p>
    <w:p w:rsidR="00643580" w:rsidRDefault="00643580" w:rsidP="00643580">
      <w:pPr>
        <w:pStyle w:val="StandardWeb"/>
      </w:pPr>
      <w:r>
        <w:t>\left{</w:t>
      </w:r>
      <w:r>
        <w:br/>
        <w:t>k\in{1,\ldots,n}</w:t>
      </w:r>
      <w:r>
        <w:br/>
        <w:t>;\middle|;</w:t>
      </w:r>
      <w:r>
        <w:br/>
        <w:t>\delta_k\neq\delta_{k-1}</w:t>
      </w:r>
      <w:r>
        <w:br/>
        <w:t>\right}.</w:t>
      </w:r>
      <w:r>
        <w:br/>
        <w:t>\tag{3.4068}</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\mathcal{K}_{\Delta}=\left\{k\in\{1,\ldots,n\}\middle|\delta_k\neq\delta_{k-1}\right\}\qquad\text{(3.4068)}</w:t>
      </w:r>
    </w:p>
    <w:p w:rsidR="00643580" w:rsidRDefault="00643580" w:rsidP="00643580">
      <w:pPr>
        <w:pStyle w:val="StandardWeb"/>
      </w:pPr>
      <w:r>
        <w:t>Dabei bezeichnet (\mathcal{K}_{\Delta}) die Indexmenge aller zustandsändernden Schritte.</w:t>
      </w:r>
    </w:p>
    <w:p w:rsidR="00643580" w:rsidRDefault="00643580" w:rsidP="00643580">
      <w:pPr>
        <w:pStyle w:val="StandardWeb"/>
      </w:pPr>
      <w:r>
        <w:t>Die Anzahl zustandsändernder Schritte lautet</w:t>
      </w:r>
    </w:p>
    <w:p w:rsidR="00643580" w:rsidRDefault="00643580" w:rsidP="00643580">
      <w:pPr>
        <w:pStyle w:val="berschrift1"/>
      </w:pPr>
      <w:r>
        <w:t>[</w:t>
      </w:r>
      <w:r>
        <w:br/>
        <w:t>N_{\Delta}</w:t>
      </w:r>
    </w:p>
    <w:p w:rsidR="00643580" w:rsidRDefault="00643580" w:rsidP="00643580">
      <w:pPr>
        <w:pStyle w:val="StandardWeb"/>
      </w:pPr>
      <w:r>
        <w:t>\left|</w:t>
      </w:r>
      <w:r>
        <w:br/>
        <w:t>\mathcal{K}_{\Delta}</w:t>
      </w:r>
      <w:r>
        <w:br/>
        <w:t>\right|.</w:t>
      </w:r>
      <w:r>
        <w:br/>
        <w:t>\tag{3.4069}</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N_{\Delta}=\left|\mathcal{K}_{\Delta}\right|\qquad\text{(3.4069)}</w:t>
      </w:r>
    </w:p>
    <w:p w:rsidR="00643580" w:rsidRDefault="00643580" w:rsidP="00643580">
      <w:pPr>
        <w:pStyle w:val="StandardWeb"/>
      </w:pPr>
      <w:r>
        <w:lastRenderedPageBreak/>
        <w:t>Dabei bezeichnet (N_{\Delta}) eine strukturelle Anzahl und keine Größe oder Stärke der Zustandsänderung.</w:t>
      </w:r>
    </w:p>
    <w:p w:rsidR="00643580" w:rsidRDefault="00643580" w:rsidP="00643580">
      <w:pPr>
        <w:pStyle w:val="StandardWeb"/>
      </w:pPr>
      <w:r>
        <w:rPr>
          <w:rStyle w:val="Fett"/>
        </w:rPr>
        <w:t>Eigenleistung des FRZK</w:t>
      </w:r>
    </w:p>
    <w:p w:rsidR="00643580" w:rsidRDefault="00643580" w:rsidP="00643580">
      <w:pPr>
        <w:pStyle w:val="StandardWeb"/>
      </w:pPr>
      <w:r>
        <w:t>Ich unterscheide damit zwischen der Gesamtlänge einer Entwicklung und der Anzahl tatsächlich zustandsändernder Schritte. Eine lange Entwicklung kann überwiegend zustandserhaltend sein, während eine kurze Entwicklung mehrere wesentliche Zustandswechsel enthalten kann.</w:t>
      </w:r>
    </w:p>
    <w:p w:rsidR="00643580" w:rsidRPr="00AF32B2" w:rsidRDefault="00643580" w:rsidP="00AF32B2">
      <w:pPr>
        <w:pStyle w:val="berschrift4"/>
      </w:pPr>
      <w:r w:rsidRPr="00AF32B2">
        <w:t>3.3.12.8 Wiederkehrender Zustand</w:t>
      </w:r>
    </w:p>
    <w:p w:rsidR="00643580" w:rsidRDefault="00643580" w:rsidP="00643580">
      <w:pPr>
        <w:pStyle w:val="StandardWeb"/>
      </w:pPr>
      <w:r>
        <w:t>Ein Zustand tritt innerhalb einer funktionalen Entwicklung wiederholt auf, wenn zwei verschiedene Positionen denselben Zustand enthalten:</w:t>
      </w:r>
    </w:p>
    <w:p w:rsidR="00643580" w:rsidRDefault="00643580" w:rsidP="00643580">
      <w:pPr>
        <w:pStyle w:val="StandardWeb"/>
      </w:pPr>
      <w:r>
        <w:t>[</w:t>
      </w:r>
      <w:r>
        <w:br/>
        <w:t>\exists i,j\in{0,\ldots,n},</w:t>
      </w:r>
      <w:r>
        <w:br/>
        <w:t>\quad</w:t>
      </w:r>
      <w:r>
        <w:br/>
        <w:t>i&lt;j,</w:t>
      </w:r>
      <w:r>
        <w:br/>
        <w:t>\quad</w:t>
      </w:r>
      <w:r>
        <w:br/>
        <w:t>\delta_i=\delta_j.</w:t>
      </w:r>
      <w:r>
        <w:br/>
        <w:t>\tag{3.4070}</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\exists i,j\in\{0,\ldots,n\},\quad i&lt;j,\quad\delta_i=\delta_j\qquad\text{(3.4070)}</w:t>
      </w:r>
    </w:p>
    <w:p w:rsidR="00643580" w:rsidRDefault="00643580" w:rsidP="00643580">
      <w:pPr>
        <w:pStyle w:val="StandardWeb"/>
      </w:pPr>
      <w:r>
        <w:t>Die Bedingung (i&lt;j) bezeichnet ausschließlich die Reihenfolge innerhalb der Folge. Sie begründet weiterhin keine physikalische Zeitordnung.</w:t>
      </w:r>
    </w:p>
    <w:p w:rsidR="00643580" w:rsidRDefault="00643580" w:rsidP="00643580">
      <w:pPr>
        <w:pStyle w:val="StandardWeb"/>
      </w:pPr>
      <w:r>
        <w:t>Eine geschlossene funktionale Entwicklung liegt vor, wenn der Endzustand mit dem Ausgangszustand übereinstimmt:</w:t>
      </w:r>
    </w:p>
    <w:p w:rsidR="00643580" w:rsidRDefault="00643580" w:rsidP="00643580">
      <w:pPr>
        <w:pStyle w:val="StandardWeb"/>
      </w:pPr>
      <w:r>
        <w:t>[</w:t>
      </w:r>
      <w:r>
        <w:br/>
        <w:t>\delta_n=\delta_0.</w:t>
      </w:r>
      <w:r>
        <w:br/>
        <w:t>\tag{3.4071}</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\delta_n=\delta_0\qquad\text{(3.4071)}</w:t>
      </w:r>
    </w:p>
    <w:p w:rsidR="00643580" w:rsidRDefault="00643580" w:rsidP="00643580">
      <w:pPr>
        <w:pStyle w:val="StandardWeb"/>
      </w:pPr>
      <w:r>
        <w:t>Aus Gleichung (3.4071) folgt nicht, dass sämtliche Zwischenzustände identisch sind. Eine geschlossene Entwicklung kann über mehrere verschiedene Zustände zum Ausgangszustand zurückführen.</w:t>
      </w:r>
    </w:p>
    <w:p w:rsidR="00643580" w:rsidRDefault="00643580" w:rsidP="00643580">
      <w:pPr>
        <w:pStyle w:val="StandardWeb"/>
      </w:pPr>
      <w:r>
        <w:rPr>
          <w:rStyle w:val="Fett"/>
        </w:rPr>
        <w:t>Eigenleistung des FRZK</w:t>
      </w:r>
    </w:p>
    <w:p w:rsidR="00643580" w:rsidRDefault="00643580" w:rsidP="00643580">
      <w:pPr>
        <w:pStyle w:val="StandardWeb"/>
      </w:pPr>
      <w:r>
        <w:lastRenderedPageBreak/>
        <w:t>Ich führe Wiederkehr und Geschlossenheit als strukturelle Eigenschaften funktionaler Entwicklungen ein. Eine zeitliche Periodizität folgt daraus noch nicht. Dafür wäre zusätzlich eine Zeitstruktur erforderlich, welche die Abstände oder Dauern zwischen den Zuständen bestimmt.</w:t>
      </w:r>
    </w:p>
    <w:p w:rsidR="00643580" w:rsidRPr="00AF32B2" w:rsidRDefault="00643580" w:rsidP="00AF32B2">
      <w:pPr>
        <w:pStyle w:val="berschrift4"/>
      </w:pPr>
      <w:r w:rsidRPr="00AF32B2">
        <w:t>3.3.12.9 Unendliche funktionale Entwicklung</w:t>
      </w:r>
    </w:p>
    <w:p w:rsidR="00643580" w:rsidRDefault="00643580" w:rsidP="00643580">
      <w:pPr>
        <w:pStyle w:val="StandardWeb"/>
      </w:pPr>
      <w:r>
        <w:t>Eine unendliche funktionale Entwicklung kann durch eine Folge</w:t>
      </w:r>
    </w:p>
    <w:p w:rsidR="00643580" w:rsidRDefault="00643580" w:rsidP="00643580">
      <w:pPr>
        <w:pStyle w:val="berschrift1"/>
      </w:pPr>
      <w:r>
        <w:t>[</w:t>
      </w:r>
      <w:r>
        <w:br/>
        <w:t>\Gamma_{\infty}</w:t>
      </w:r>
    </w:p>
    <w:p w:rsidR="00643580" w:rsidRDefault="00643580" w:rsidP="00643580">
      <w:pPr>
        <w:pStyle w:val="StandardWeb"/>
      </w:pPr>
      <w:r>
        <w:t>\left(</w:t>
      </w:r>
      <w:r>
        <w:br/>
        <w:t>\delta_0,\delta_1,\delta_2,\ldots</w:t>
      </w:r>
      <w:r>
        <w:br/>
        <w:t>\right)</w:t>
      </w:r>
      <w:r>
        <w:br/>
        <w:t>\tag{3.4072}</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\Gamma_{\infty}=\left(\delta_0,\delta_1,\delta_2,\ldots\right)\qquad\text{(3.4072)}</w:t>
      </w:r>
    </w:p>
    <w:p w:rsidR="00643580" w:rsidRDefault="00643580" w:rsidP="00643580">
      <w:pPr>
        <w:pStyle w:val="StandardWeb"/>
      </w:pPr>
      <w:r>
        <w:t>dargestellt werden.</w:t>
      </w:r>
    </w:p>
    <w:p w:rsidR="00643580" w:rsidRDefault="00643580" w:rsidP="00643580">
      <w:pPr>
        <w:pStyle w:val="StandardWeb"/>
      </w:pPr>
      <w:r>
        <w:t>Für alle natürlichen Indizes (k\geq 1) gilt</w:t>
      </w:r>
    </w:p>
    <w:p w:rsidR="00643580" w:rsidRDefault="00643580" w:rsidP="00643580">
      <w:pPr>
        <w:pStyle w:val="StandardWeb"/>
      </w:pPr>
      <w:r>
        <w:t>[</w:t>
      </w:r>
      <w:r>
        <w:br/>
        <w:t>\delta_k=T_k(\delta_{k-1}),</w:t>
      </w:r>
      <w:r>
        <w:br/>
        <w:t>\qquad</w:t>
      </w:r>
      <w:r>
        <w:br/>
        <w:t>T_k\in\mathfrak{T}_{\mathrm{f}}.</w:t>
      </w:r>
      <w:r>
        <w:br/>
        <w:t>\tag{3.4073}</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\delta_k=T_k(\delta_{k-1}),\qquad T_k\in\mathfrak{T}_{\mathrm{f}},\qquad k\geq 1\qquad\text{(3.4073)}</w:t>
      </w:r>
    </w:p>
    <w:p w:rsidR="00643580" w:rsidRDefault="00643580" w:rsidP="00643580">
      <w:pPr>
        <w:pStyle w:val="StandardWeb"/>
      </w:pPr>
      <w:r>
        <w:t>Die Schreibweise (\Gamma_{\infty}) behauptet nicht, dass eine konkrete physikalische Entwicklung tatsächlich unendlich viele Schritte ausführt. Sie beschreibt lediglich die mathematische Möglichkeit einer nicht endlich begrenzten Transformationsfolge [71, 75].</w:t>
      </w:r>
    </w:p>
    <w:p w:rsidR="00643580" w:rsidRPr="00AF32B2" w:rsidRDefault="00643580" w:rsidP="00AF32B2">
      <w:pPr>
        <w:pStyle w:val="berschrift4"/>
      </w:pPr>
      <w:r w:rsidRPr="00AF32B2">
        <w:t>3.3.12.10 Deterministische und nichtdeterministische Entwicklung</w:t>
      </w:r>
    </w:p>
    <w:p w:rsidR="00643580" w:rsidRDefault="00643580" w:rsidP="00643580">
      <w:pPr>
        <w:pStyle w:val="StandardWeb"/>
      </w:pPr>
      <w:r>
        <w:t>Definition 3.3.4 verwendet in jedem Schritt eine Abbildung (T_k). Dadurch ist der Zielzustand für einen gegebenen Ausgangszustand und eine festgelegte Transformation eindeutig bestimmt [71].</w:t>
      </w:r>
    </w:p>
    <w:p w:rsidR="00643580" w:rsidRDefault="00643580" w:rsidP="00643580">
      <w:pPr>
        <w:pStyle w:val="StandardWeb"/>
      </w:pPr>
      <w:r>
        <w:lastRenderedPageBreak/>
        <w:t>Nichtdeterminismus kann dennoch entstehen, wenn für denselben Ausgangszustand mehrere funktionale Transformationen zur Auswahl stehen:</w:t>
      </w:r>
    </w:p>
    <w:p w:rsidR="00643580" w:rsidRDefault="00643580" w:rsidP="00643580">
      <w:pPr>
        <w:pStyle w:val="StandardWeb"/>
      </w:pPr>
      <w:r>
        <w:t>[</w:t>
      </w:r>
      <w:r>
        <w:br/>
        <w:t>T_a(\delta_i)\neq T_b(\delta_i),</w:t>
      </w:r>
      <w:r>
        <w:br/>
        <w:t>\qquad</w:t>
      </w:r>
      <w:r>
        <w:br/>
        <w:t>T_a,T_b\in\mathfrak{T}_{\mathrm{f}}.</w:t>
      </w:r>
      <w:r>
        <w:br/>
        <w:t>\tag{3.4074}</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T_a(\delta_i)\neq T_b(\delta_i),\qquad T_a,T_b\in\mathfrak{T}_{\mathrm{f}}\qquad\text{(3.4074)}</w:t>
      </w:r>
    </w:p>
    <w:p w:rsidR="00643580" w:rsidRDefault="00643580" w:rsidP="00643580">
      <w:pPr>
        <w:pStyle w:val="StandardWeb"/>
      </w:pPr>
      <w:r>
        <w:t>Dabei bleibt jede einzelne Transformation eindeutig. Nicht eindeutig ist lediglich die Auswahl der anzuwendenden Transformation.</w:t>
      </w:r>
    </w:p>
    <w:p w:rsidR="00643580" w:rsidRDefault="00643580" w:rsidP="00643580">
      <w:pPr>
        <w:pStyle w:val="StandardWeb"/>
      </w:pPr>
      <w:r>
        <w:rPr>
          <w:rStyle w:val="Fett"/>
        </w:rPr>
        <w:t>Eigenleistung des FRZK</w:t>
      </w:r>
    </w:p>
    <w:p w:rsidR="00643580" w:rsidRDefault="00643580" w:rsidP="00643580">
      <w:pPr>
        <w:pStyle w:val="StandardWeb"/>
      </w:pPr>
      <w:r>
        <w:t>Ich unterscheide deshalb zwischen Abbildungsdeterminismus und Entwicklungsdeterminismus. Eine einzelne funktionale Transformation ist als Abbildung eindeutig. Eine funktionale Entwicklung ist nur dann vollständig determiniert, wenn für jeden Entwicklungsschritt eindeutig festgelegt ist, welche Transformation angewendet wird.</w:t>
      </w:r>
    </w:p>
    <w:p w:rsidR="00643580" w:rsidRPr="00AF32B2" w:rsidRDefault="00643580" w:rsidP="00AF32B2">
      <w:pPr>
        <w:pStyle w:val="berschrift4"/>
      </w:pPr>
      <w:r w:rsidRPr="00AF32B2">
        <w:t>3.3.12.11 Entwicklungsvorschrift</w:t>
      </w:r>
    </w:p>
    <w:p w:rsidR="00643580" w:rsidRDefault="00643580" w:rsidP="00643580">
      <w:pPr>
        <w:pStyle w:val="StandardWeb"/>
      </w:pPr>
      <w:r>
        <w:t>Eine Entwicklungsvorschrift ordnet jedem Zustand oder jedem bisherigen Entwicklungsabschnitt eine anzuwendende funktionale Transformation zu. Für eine zustandsabhängige Vorschrift kann geschrieben werden:</w:t>
      </w:r>
    </w:p>
    <w:p w:rsidR="00643580" w:rsidRDefault="00643580" w:rsidP="00643580">
      <w:pPr>
        <w:pStyle w:val="StandardWeb"/>
      </w:pPr>
      <w:r>
        <w:t>[</w:t>
      </w:r>
      <w:r>
        <w:br/>
        <w:t>\Phi:</w:t>
      </w:r>
      <w:r>
        <w:br/>
        <w:t>\mathcal{S}</w:t>
      </w:r>
      <w:r>
        <w:rPr>
          <w:rStyle w:val="Hervorhebung"/>
        </w:rPr>
        <w:t>{\mathrm{el}}</w:t>
      </w:r>
      <w:r>
        <w:rPr>
          <w:i/>
          <w:iCs/>
        </w:rPr>
        <w:br/>
      </w:r>
      <w:r>
        <w:rPr>
          <w:rStyle w:val="Hervorhebung"/>
        </w:rPr>
        <w:t>\rightarrow</w:t>
      </w:r>
      <w:r>
        <w:rPr>
          <w:i/>
          <w:iCs/>
        </w:rPr>
        <w:br/>
      </w:r>
      <w:r>
        <w:rPr>
          <w:rStyle w:val="Hervorhebung"/>
        </w:rPr>
        <w:t>\mathfrak{T}</w:t>
      </w:r>
      <w:r>
        <w:t>{\mathrm{f}}.</w:t>
      </w:r>
      <w:r>
        <w:br/>
        <w:t>\tag{3.4075}</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\Phi:\mathcal{S}_{\mathrm{el}}\rightarrow\mathfrak{T}_{\mathrm{f}}\qquad\text{(3.4075)}</w:t>
      </w:r>
    </w:p>
    <w:p w:rsidR="00643580" w:rsidRDefault="00643580" w:rsidP="00643580">
      <w:pPr>
        <w:pStyle w:val="StandardWeb"/>
      </w:pPr>
      <w:r>
        <w:t>Dabei bezeichnet (\Phi(\delta_k)) diejenige funktionale Transformation, die auf den Zustand (\delta_k) angewendet werden soll.</w:t>
      </w:r>
    </w:p>
    <w:p w:rsidR="00643580" w:rsidRDefault="00643580" w:rsidP="00643580">
      <w:pPr>
        <w:pStyle w:val="StandardWeb"/>
      </w:pPr>
      <w:r>
        <w:t>Die Entwicklungsgleichung lautet dann</w:t>
      </w:r>
    </w:p>
    <w:p w:rsidR="00643580" w:rsidRDefault="00643580" w:rsidP="00643580">
      <w:pPr>
        <w:pStyle w:val="berschrift1"/>
      </w:pPr>
      <w:r>
        <w:lastRenderedPageBreak/>
        <w:t>[</w:t>
      </w:r>
      <w:r>
        <w:br/>
        <w:t>\delta_{k+1}</w:t>
      </w:r>
    </w:p>
    <w:p w:rsidR="00643580" w:rsidRDefault="00643580" w:rsidP="00643580">
      <w:pPr>
        <w:pStyle w:val="StandardWeb"/>
      </w:pPr>
      <w:r>
        <w:t>\Phi(\delta_k)(\delta_k).</w:t>
      </w:r>
      <w:r>
        <w:br/>
        <w:t>\tag{3.4076}</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\delta_{k+1}=\Phi(\delta_k)(\delta_k)\qquad\text{(3.4076)}</w:t>
      </w:r>
    </w:p>
    <w:p w:rsidR="00643580" w:rsidRDefault="00643580" w:rsidP="00643580">
      <w:pPr>
        <w:pStyle w:val="StandardWeb"/>
      </w:pPr>
      <w:r>
        <w:t>Gleichung (3.4076) beschreibt eine zustandsabhängige Auswahl funktionaler Transformationen. Sie setzt keine kontinuierliche Zeitvariable und keine Differentialgleichung voraus.</w:t>
      </w:r>
    </w:p>
    <w:p w:rsidR="00643580" w:rsidRDefault="00643580" w:rsidP="00643580">
      <w:pPr>
        <w:pStyle w:val="StandardWeb"/>
      </w:pPr>
      <w:r>
        <w:rPr>
          <w:rStyle w:val="Fett"/>
        </w:rPr>
        <w:t>Eigenleistung des FRZK</w:t>
      </w:r>
    </w:p>
    <w:p w:rsidR="00643580" w:rsidRDefault="00643580" w:rsidP="00643580">
      <w:pPr>
        <w:pStyle w:val="StandardWeb"/>
      </w:pPr>
      <w:r>
        <w:t>Mit (\Phi) trenne ich die Auswahlregel von der ausgewählten Transformation. Diese Trennung ermöglicht es später, konstante, zustandsabhängige, relationsabhängige oder stochastische Entwicklungsvorschriften systematisch zu unterscheiden.</w:t>
      </w:r>
    </w:p>
    <w:p w:rsidR="00643580" w:rsidRPr="00AF32B2" w:rsidRDefault="00643580" w:rsidP="00AF32B2">
      <w:pPr>
        <w:pStyle w:val="berschrift4"/>
      </w:pPr>
      <w:r w:rsidRPr="00AF32B2">
        <w:t>3.3.12.12 Entwicklung auf einer Relationsstruktur</w:t>
      </w:r>
    </w:p>
    <w:p w:rsidR="00643580" w:rsidRDefault="00643580" w:rsidP="00643580">
      <w:pPr>
        <w:pStyle w:val="StandardWeb"/>
      </w:pPr>
      <w:r>
        <w:t>Eine funktionale Entwicklung kann auf einer funktionalen Relationsstruktur stattfinden. Dabei kann verlangt werden, dass jeder Transformationsschritt einer funktionalen Relation entspricht:</w:t>
      </w:r>
    </w:p>
    <w:p w:rsidR="00643580" w:rsidRDefault="00643580" w:rsidP="00643580">
      <w:pPr>
        <w:pStyle w:val="StandardWeb"/>
      </w:pPr>
      <w:r>
        <w:t>[</w:t>
      </w:r>
      <w:r>
        <w:br/>
        <w:t>\left(</w:t>
      </w:r>
      <w:r>
        <w:br/>
        <w:t>\delta_{k-1},\delta_k</w:t>
      </w:r>
      <w:r>
        <w:br/>
        <w:t>\right)</w:t>
      </w:r>
      <w:r>
        <w:br/>
        <w:t>\in</w:t>
      </w:r>
      <w:r>
        <w:br/>
        <w:t>\mathcal{R}.</w:t>
      </w:r>
      <w:r>
        <w:br/>
        <w:t>\tag{3.4077}</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\left(\delta_{k-1},\delta_k\right)\in\mathcal{R}\qquad\text{(3.4077)}</w:t>
      </w:r>
    </w:p>
    <w:p w:rsidR="00643580" w:rsidRDefault="00643580" w:rsidP="00643580">
      <w:pPr>
        <w:pStyle w:val="StandardWeb"/>
      </w:pPr>
      <w:r>
        <w:t>Gilt Gleichung (3.4077) für alle Entwicklungsschritte, so folgt die Entwicklung den in (\mathcal{R}) zugelassenen Verbindungen:</w:t>
      </w:r>
    </w:p>
    <w:p w:rsidR="00643580" w:rsidRDefault="00643580" w:rsidP="00643580">
      <w:pPr>
        <w:pStyle w:val="StandardWeb"/>
      </w:pPr>
      <w:r>
        <w:t>[</w:t>
      </w:r>
      <w:r>
        <w:br/>
        <w:t>\forall k\in{1,\ldots,n}:</w:t>
      </w:r>
      <w:r>
        <w:br/>
        <w:t>\left(</w:t>
      </w:r>
      <w:r>
        <w:br/>
        <w:t>\delta_{k-1},\delta_k</w:t>
      </w:r>
      <w:r>
        <w:br/>
        <w:t>\right)</w:t>
      </w:r>
      <w:r>
        <w:br/>
        <w:t>\in</w:t>
      </w:r>
      <w:r>
        <w:br/>
        <w:t>\mathcal{R}.</w:t>
      </w:r>
      <w:r>
        <w:br/>
      </w:r>
      <w:r>
        <w:lastRenderedPageBreak/>
        <w:t>\tag{3.4078}</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\forall k\in\{1,\ldots,n\}:\left(\delta_{k-1},\delta_k\right)\in\mathcal{R}\qquad\text{(3.4078)}</w:t>
      </w:r>
    </w:p>
    <w:p w:rsidR="00643580" w:rsidRDefault="00643580" w:rsidP="00643580">
      <w:pPr>
        <w:pStyle w:val="StandardWeb"/>
      </w:pPr>
      <w:r>
        <w:t>Diese Bedingung ist nicht Bestandteil von Definition 3.3.4. Eine funktionale Transformation besitzt zwar stets einen Funktionsgraphen, dieser muss jedoch nicht mit einer zusätzlich ausgewählten funktionalen Relation (\mathcal{R}) übereinstimmen [6, 71].</w:t>
      </w:r>
    </w:p>
    <w:p w:rsidR="00643580" w:rsidRDefault="00643580" w:rsidP="00643580">
      <w:pPr>
        <w:pStyle w:val="StandardWeb"/>
      </w:pPr>
      <w:r>
        <w:rPr>
          <w:rStyle w:val="Fett"/>
        </w:rPr>
        <w:t>Eigenleistung des FRZK</w:t>
      </w:r>
    </w:p>
    <w:p w:rsidR="00643580" w:rsidRDefault="00643580" w:rsidP="00643580">
      <w:pPr>
        <w:pStyle w:val="StandardWeb"/>
      </w:pPr>
      <w:r>
        <w:t>Ich bezeichne Gleichung (3.4078) als Relationsverträglichkeit einer funktionalen Entwicklung. Sie bildet später eine mögliche Grundlage für Kohärenzbedingungen.</w:t>
      </w:r>
    </w:p>
    <w:p w:rsidR="00643580" w:rsidRPr="00AF32B2" w:rsidRDefault="00643580" w:rsidP="00AF32B2">
      <w:pPr>
        <w:pStyle w:val="berschrift4"/>
      </w:pPr>
      <w:r w:rsidRPr="00AF32B2">
        <w:t>3.3.12.13 Keine physikalische Zeit</w:t>
      </w:r>
    </w:p>
    <w:p w:rsidR="00643580" w:rsidRDefault="00643580" w:rsidP="00643580">
      <w:pPr>
        <w:pStyle w:val="StandardWeb"/>
      </w:pPr>
      <w:r>
        <w:t>Die Indexmenge ({0,\ldots,n}), die Reihenfolge der Transformationsfolge und die rekursive Abhängigkeit (\delta_k=T_k(\delta_{k-1})) erzeugen eine formale Ordnungsstruktur. Diese Ordnung besitzt jedoch noch keine Dauer, Einheit oder Metrik [58, 59].</w:t>
      </w:r>
    </w:p>
    <w:p w:rsidR="00643580" w:rsidRDefault="00643580" w:rsidP="00643580">
      <w:pPr>
        <w:pStyle w:val="StandardWeb"/>
      </w:pPr>
      <w:r>
        <w:t>Eine Zuordnung</w:t>
      </w:r>
    </w:p>
    <w:p w:rsidR="00643580" w:rsidRDefault="00643580" w:rsidP="00643580">
      <w:pPr>
        <w:pStyle w:val="StandardWeb"/>
      </w:pPr>
      <w:r>
        <w:t>[</w:t>
      </w:r>
      <w:r>
        <w:br/>
        <w:t>k\longmapsto t_k</w:t>
      </w:r>
      <w:r>
        <w:br/>
        <w:t>\tag{3.4079}</w:t>
      </w:r>
      <w:r>
        <w:br/>
        <w:t>]</w:t>
      </w:r>
    </w:p>
    <w:p w:rsidR="00643580" w:rsidRDefault="00643580" w:rsidP="00643580">
      <w:pPr>
        <w:pStyle w:val="StandardWeb"/>
      </w:pPr>
      <w:r>
        <w:rPr>
          <w:rStyle w:val="Fett"/>
        </w:rPr>
        <w:t>Word-LaTeX</w:t>
      </w:r>
    </w:p>
    <w:p w:rsidR="00643580" w:rsidRDefault="00643580" w:rsidP="00643580">
      <w:pPr>
        <w:pStyle w:val="HTMLVorformatiert"/>
        <w:rPr>
          <w:rStyle w:val="HTMLCode"/>
        </w:rPr>
      </w:pPr>
      <w:r>
        <w:rPr>
          <w:rStyle w:val="HTMLCode"/>
        </w:rPr>
        <w:t>k\longmapsto t_k\qquad\text{(3.4079)}</w:t>
      </w:r>
    </w:p>
    <w:p w:rsidR="00643580" w:rsidRDefault="00643580" w:rsidP="00643580">
      <w:pPr>
        <w:pStyle w:val="StandardWeb"/>
      </w:pPr>
      <w:r>
        <w:t>würde jedem Entwicklungsschritt einen Zeitwert zuordnen. Eine solche Zuordnung ist durch Definition 3.3.4 nicht gegeben.</w:t>
      </w:r>
    </w:p>
    <w:p w:rsidR="00643580" w:rsidRDefault="00643580" w:rsidP="00643580">
      <w:pPr>
        <w:pStyle w:val="StandardWeb"/>
      </w:pPr>
      <w:r>
        <w:rPr>
          <w:rStyle w:val="Fett"/>
        </w:rPr>
        <w:t>Eigenleistung des FRZK</w:t>
      </w:r>
    </w:p>
    <w:p w:rsidR="00643580" w:rsidRDefault="00643580" w:rsidP="00643580">
      <w:pPr>
        <w:pStyle w:val="StandardWeb"/>
      </w:pPr>
      <w:r>
        <w:t>Ich bezeichne die durch (k) festgelegte Reihenfolge ausschließlich als funktionale Entwicklungsordnung. Eine physikalische Zeit entsteht erst, wenn zusätzliche Bedingungen eine messbare oder vergleichbare zeitliche Struktur begründen.</w:t>
      </w:r>
    </w:p>
    <w:p w:rsidR="00643580" w:rsidRPr="00AF32B2" w:rsidRDefault="00643580" w:rsidP="00AF32B2">
      <w:pPr>
        <w:pStyle w:val="berschrift4"/>
      </w:pPr>
      <w:r w:rsidRPr="00AF32B2">
        <w:t>3.3.12.14 Ergebnis der Ableitung</w:t>
      </w:r>
    </w:p>
    <w:p w:rsidR="00643580" w:rsidRDefault="00643580" w:rsidP="00643580">
      <w:pPr>
        <w:pStyle w:val="StandardWeb"/>
      </w:pPr>
      <w:r>
        <w:t>Die funktionale Entwicklung konnte vollständig aus Primäraxiom III, Definition 3.3.3 und der mathematischen Möglichkeit geordneter Folgen sowie komponierbarer Abbildungen definiert werden. Ein zusätzliches Dynamikaxiom ist daher nicht erforderlich [71, 75, 76, 79].</w:t>
      </w:r>
    </w:p>
    <w:p w:rsidR="00643580" w:rsidRDefault="00643580" w:rsidP="00643580">
      <w:pPr>
        <w:pStyle w:val="StandardWeb"/>
      </w:pPr>
      <w:r>
        <w:rPr>
          <w:rStyle w:val="Fett"/>
        </w:rPr>
        <w:t>Eigenleistung des FRZK</w:t>
      </w:r>
    </w:p>
    <w:p w:rsidR="00643580" w:rsidRDefault="00643580" w:rsidP="00643580">
      <w:pPr>
        <w:pStyle w:val="StandardWeb"/>
      </w:pPr>
      <w:r>
        <w:lastRenderedPageBreak/>
        <w:t>Damit bestätige ich die in Abschnitt 3.3.4 getroffene Entscheidung, Dynamik beziehungsweise Entwicklung nicht als eigenständige Grundannahme zu behandeln. Funktionale Entwicklung ist eine abgeleitete Struktur. Ihr Bestehen setzt funktional wirksame Transformationen voraus, verlangt aber keine zusätzliche axiomatische Existenzsetzung.</w:t>
      </w:r>
    </w:p>
    <w:p w:rsidR="00643580" w:rsidRPr="00AF32B2" w:rsidRDefault="00643580" w:rsidP="00AF32B2">
      <w:pPr>
        <w:pStyle w:val="berschrift4"/>
      </w:pPr>
      <w:r w:rsidRPr="00AF32B2">
        <w:t>3.3.12.15 Übergang zur funktionalen Kohärenz</w:t>
      </w:r>
    </w:p>
    <w:p w:rsidR="00643580" w:rsidRDefault="00643580" w:rsidP="00643580">
      <w:pPr>
        <w:pStyle w:val="StandardWeb"/>
      </w:pPr>
      <w:r>
        <w:t>Mit Definition 3.3.4 stehen Zustände, Relationen, Transformationen und geordnete Entwicklungen zur Verfügung. Nun kann untersucht werden, wann diese Strukturen miteinander verträglich sind und welche Eigenschaften während einer Entwicklung erhalten bleiben.</w:t>
      </w:r>
    </w:p>
    <w:p w:rsidR="00643580" w:rsidRDefault="00643580" w:rsidP="00643580">
      <w:pPr>
        <w:pStyle w:val="StandardWeb"/>
      </w:pPr>
      <w:r>
        <w:t>Normen, Metriken, Invarianten und Stabilitätsbegriffe stellen hierfür mathematische Werkzeuge bereit [75, 76]. Sie legen jedoch nicht fest, welche konkrete Verträglichkeits- oder Erhaltungsbedingung innerhalb des FRZK als Kohärenz bezeichnet werden soll.</w:t>
      </w:r>
    </w:p>
    <w:p w:rsidR="00643580" w:rsidRDefault="00643580" w:rsidP="00643580">
      <w:pPr>
        <w:pStyle w:val="StandardWeb"/>
      </w:pPr>
      <w:r>
        <w:rPr>
          <w:rStyle w:val="Fett"/>
        </w:rPr>
        <w:t>Eigenleistung des FRZK</w:t>
      </w:r>
    </w:p>
    <w:p w:rsidR="00643580" w:rsidRDefault="00643580" w:rsidP="00643580">
      <w:pPr>
        <w:pStyle w:val="StandardWeb"/>
      </w:pPr>
      <w:r>
        <w:t>Der folgende Abschnitt entwickelt deshalb den Begriff der funktionalen Kohärenz als definierte Eigenschaft einer Zustands-, Relations- und Transformationsstruktur. Entsprechend der bisherigen Gap-Analyse wird Kohärenz nicht als weiteres Primäraxiom eingeführt.</w:t>
      </w:r>
    </w:p>
    <w:p w:rsidR="00E31D2E" w:rsidRDefault="00E31D2E" w:rsidP="00E31D2E">
      <w:pPr>
        <w:pStyle w:val="berschrift2"/>
      </w:pPr>
      <w:r>
        <w:t>Ergänzung zu 3.3.12 – Definition der funktionalen Entwicklung</w:t>
      </w:r>
    </w:p>
    <w:p w:rsidR="00E31D2E" w:rsidRDefault="00E31D2E" w:rsidP="00E31D2E">
      <w:pPr>
        <w:pStyle w:val="berschrift3"/>
      </w:pPr>
      <w:r>
        <w:t>Methodologische Betrachtungen</w:t>
      </w:r>
    </w:p>
    <w:p w:rsidR="00E31D2E" w:rsidRDefault="00E31D2E" w:rsidP="00E31D2E">
      <w:pPr>
        <w:pStyle w:val="StandardWeb"/>
      </w:pPr>
      <w:r>
        <w:t>Mit Abschnitt 3.3.12 wird aus einzelnen funktionalen Transformationen erstmals eine geordnete Folge funktionaler Zustände konstruiert. Im aktuellen Aufbau wird funktionale Entwicklung als Folge elementarer funktionaler Zustände definiert, bei der jeder Folgezustand durch eine funktionale Transformation aus dem unmittelbar vorhergehenden Zustand hervorgeht. Der Abschnitt unterscheidet unter anderem endliche und unendliche Entwicklungen, Entwicklungslänge, Zustandsänderung, Wiederkehr, Entwicklungsvorschrift und Relationsverträglichkeit.</w:t>
      </w:r>
    </w:p>
    <w:p w:rsidR="00E31D2E" w:rsidRDefault="00E31D2E" w:rsidP="00E31D2E">
      <w:pPr>
        <w:pStyle w:val="StandardWeb"/>
      </w:pPr>
      <w:r>
        <w:t xml:space="preserve">Methodologisch ist entscheidend, dass </w:t>
      </w:r>
      <w:r>
        <w:rPr>
          <w:rStyle w:val="Fett"/>
        </w:rPr>
        <w:t>Entwicklung hier definiert und nicht als weiteres Primäraxiom gesetzt wird</w:t>
      </w:r>
      <w:r>
        <w:t>. Nachdem Primäraxiom III funktionale Transformierbarkeit zulässt und Abschnitt 3.3.11 konkrete funktionale Transformationen definiert hat, kann eine geordnete Verkettung solcher Transformationen konstruiert werden. Ein zusätzliches „Dynamikaxiom“ ist für diesen elementaren Schritt daher nicht erforderlich.</w:t>
      </w:r>
    </w:p>
    <w:p w:rsidR="00E31D2E" w:rsidRDefault="00E31D2E" w:rsidP="00E31D2E">
      <w:pPr>
        <w:pStyle w:val="StandardWeb"/>
      </w:pPr>
      <w:r>
        <w:t>Dies bestätigt zugleich die zuvor formulierte Minimalitätsstrategie. Begriffe, die aus den drei Primäraxiomen und nachfolgenden Definitionen erzeugt werden können, dürfen nicht nachträglich als weitere Primäraxiome behandelt werden.</w:t>
      </w:r>
    </w:p>
    <w:p w:rsidR="00E31D2E" w:rsidRDefault="00E31D2E" w:rsidP="00E31D2E">
      <w:pPr>
        <w:pStyle w:val="StandardWeb"/>
      </w:pPr>
      <w:r>
        <w:t>Eine funktionale Entwicklung besitzt eine Reihenfolge, aber diese Reihenfolge ist zunächst noch keine physikalische Zeit. Der Index einer Folge</w:t>
      </w:r>
    </w:p>
    <w:p w:rsidR="00E31D2E" w:rsidRDefault="00E31D2E" w:rsidP="00E31D2E">
      <w:pPr>
        <w:pStyle w:val="StandardWeb"/>
      </w:pPr>
      <w:r>
        <w:lastRenderedPageBreak/>
        <w:t>[</w:t>
      </w:r>
      <w:r>
        <w:br/>
        <w:t>\delta_0,\delta_1,\delta_2,\ldots</w:t>
      </w:r>
      <w:r>
        <w:br/>
        <w:t>]</w:t>
      </w:r>
    </w:p>
    <w:p w:rsidR="00E31D2E" w:rsidRDefault="00E31D2E" w:rsidP="00E31D2E">
      <w:pPr>
        <w:pStyle w:val="StandardWeb"/>
      </w:pPr>
      <w:r>
        <w:t>kennzeichnet zunächst nur die Ordnung der Entwicklungsschritte. Erst später muss geprüft werden, unter welchen Bedingungen daraus eine funktionale Zeitstruktur konstruiert werden kann.</w:t>
      </w:r>
    </w:p>
    <w:p w:rsidR="00E31D2E" w:rsidRDefault="00E31D2E" w:rsidP="00E31D2E">
      <w:pPr>
        <w:pStyle w:val="StandardWeb"/>
      </w:pPr>
      <w:r>
        <w:t>Ebenso darf die Entwicklung nicht automatisch als räumliche Bewegung interpretiert werden. Ein Übergang von (\delta_i) nach (\delta_{i+1}) kann innerhalb eines abstrakten Zustandsraums stattfinden, ohne dass beiden Zuständen räumliche Koordinaten zugeordnet sind.</w:t>
      </w:r>
    </w:p>
    <w:p w:rsidR="00E31D2E" w:rsidRDefault="00E31D2E" w:rsidP="00E31D2E">
      <w:pPr>
        <w:pStyle w:val="StandardWeb"/>
      </w:pPr>
      <w:r>
        <w:t>Die Unterscheidung zwischen Zustandsänderung und Wiederkehr ist ebenfalls methodologisch bedeutsam. Eine Entwicklung kann Zustände wiederholt aufsuchen. Deshalb folgt aus einer geordneten Transformationsfolge weder Monotonie noch Irreversibilität.</w:t>
      </w:r>
    </w:p>
    <w:p w:rsidR="00E31D2E" w:rsidRDefault="00E31D2E" w:rsidP="00E31D2E">
      <w:pPr>
        <w:pStyle w:val="StandardWeb"/>
      </w:pPr>
      <w:r>
        <w:t>Auch eine unendliche Entwicklung setzt keine unendliche physikalische Zeit voraus. „Unendlich“ beschreibt zunächst die mathematische Länge beziehungsweise Fortsetzbarkeit der Zustandsfolge.</w:t>
      </w:r>
    </w:p>
    <w:p w:rsidR="00E31D2E" w:rsidRDefault="00E31D2E" w:rsidP="00E31D2E">
      <w:pPr>
        <w:pStyle w:val="StandardWeb"/>
      </w:pPr>
      <w:r>
        <w:t>Relationsverträglichkeit ermöglicht es schließlich, relationale und transformatorische Strukturen miteinander zu koppeln. Dabei muss jedoch geprüft werden, welche Relationen durch Transformationen erhalten, erzeugt oder aufgehoben werden. Diese Eigenschaften sind nicht bereits in den Primäraxiomen enthalten.</w:t>
      </w:r>
    </w:p>
    <w:p w:rsidR="00E31D2E" w:rsidRDefault="00E31D2E" w:rsidP="00E31D2E">
      <w:pPr>
        <w:pStyle w:val="StandardWeb"/>
      </w:pPr>
      <w:r>
        <w:t xml:space="preserve">Abschnitt 3.3.12 ist damit methodologisch ein wichtiger Wendepunkt: Aus den drei elementaren Existenzvoraussetzungen beginnt nun eine reichhaltigere Theorie </w:t>
      </w:r>
      <w:r>
        <w:rPr>
          <w:rStyle w:val="Fett"/>
        </w:rPr>
        <w:t>durch Definition und Ableitung</w:t>
      </w:r>
      <w:r>
        <w:t xml:space="preserve"> zu entstehen. Genau dies ist das Ziel einer minimalen Axiomatik.</w:t>
      </w:r>
    </w:p>
    <w:p w:rsidR="00E31D2E" w:rsidRDefault="00E31D2E" w:rsidP="00E31D2E">
      <w:pPr>
        <w:pStyle w:val="berschrift3"/>
      </w:pPr>
      <w:r>
        <w:t>Didaktische Betrachtungen</w:t>
      </w:r>
    </w:p>
    <w:p w:rsidR="00E31D2E" w:rsidRDefault="00E31D2E" w:rsidP="00E31D2E">
      <w:pPr>
        <w:pStyle w:val="StandardWeb"/>
      </w:pPr>
      <w:r>
        <w:t>Funktionale Entwicklung lässt sich als Folge von Zustandsbildern verstehen:</w:t>
      </w:r>
    </w:p>
    <w:p w:rsidR="00E31D2E" w:rsidRDefault="00E31D2E" w:rsidP="00E31D2E">
      <w:pPr>
        <w:pStyle w:val="StandardWeb"/>
      </w:pPr>
      <w:r>
        <w:t>[</w:t>
      </w:r>
      <w:r>
        <w:br/>
        <w:t>\delta_0</w:t>
      </w:r>
      <w:r>
        <w:br/>
        <w:t>\rightarrow</w:t>
      </w:r>
      <w:r>
        <w:br/>
        <w:t>\delta_1</w:t>
      </w:r>
      <w:r>
        <w:br/>
        <w:t>\rightarrow</w:t>
      </w:r>
      <w:r>
        <w:br/>
        <w:t>\delta_2</w:t>
      </w:r>
      <w:r>
        <w:br/>
        <w:t>\rightarrow</w:t>
      </w:r>
      <w:r>
        <w:br/>
        <w:t>\delta_3.</w:t>
      </w:r>
      <w:r>
        <w:br/>
        <w:t>]</w:t>
      </w:r>
    </w:p>
    <w:p w:rsidR="00E31D2E" w:rsidRDefault="00E31D2E" w:rsidP="00E31D2E">
      <w:pPr>
        <w:pStyle w:val="StandardWeb"/>
      </w:pPr>
      <w:r>
        <w:t>Jeder Pfeil steht für eine funktionale Transformation.</w:t>
      </w:r>
    </w:p>
    <w:p w:rsidR="00E31D2E" w:rsidRDefault="00E31D2E" w:rsidP="00E31D2E">
      <w:pPr>
        <w:pStyle w:val="StandardWeb"/>
      </w:pPr>
      <w:r>
        <w:t>Der entscheidende Unterschied zu Abschnitt 3.3.11 besteht darin, dass dort zunächst einzelne Transformationen betrachtet wurden. Jetzt werden mehrere Transformationsschritte zu einer geordneten Entwicklung zusammengesetzt.</w:t>
      </w:r>
    </w:p>
    <w:p w:rsidR="00E31D2E" w:rsidRDefault="00E31D2E" w:rsidP="00E31D2E">
      <w:pPr>
        <w:pStyle w:val="StandardWeb"/>
      </w:pPr>
      <w:r>
        <w:t>Ein einfaches Beispiel ist ein Automat mit drei Zuständen:</w:t>
      </w:r>
    </w:p>
    <w:p w:rsidR="00E31D2E" w:rsidRDefault="00E31D2E" w:rsidP="00E31D2E">
      <w:pPr>
        <w:pStyle w:val="StandardWeb"/>
      </w:pPr>
      <w:r>
        <w:lastRenderedPageBreak/>
        <w:t>[</w:t>
      </w:r>
      <w:r>
        <w:br/>
        <w:t>A\rightarrow B\rightarrow C.</w:t>
      </w:r>
      <w:r>
        <w:br/>
        <w:t>]</w:t>
      </w:r>
    </w:p>
    <w:p w:rsidR="00E31D2E" w:rsidRDefault="00E31D2E" w:rsidP="00E31D2E">
      <w:pPr>
        <w:pStyle w:val="StandardWeb"/>
      </w:pPr>
      <w:r>
        <w:t>Die Zustände (A), (B) und (C) sind zunächst nur Zustände. Die Pfeile sind Transformationen. Erst die geordnete Folge</w:t>
      </w:r>
    </w:p>
    <w:p w:rsidR="00E31D2E" w:rsidRDefault="00E31D2E" w:rsidP="00E31D2E">
      <w:pPr>
        <w:pStyle w:val="StandardWeb"/>
      </w:pPr>
      <w:r>
        <w:t>[</w:t>
      </w:r>
      <w:r>
        <w:br/>
        <w:t>(A,B,C)</w:t>
      </w:r>
      <w:r>
        <w:br/>
        <w:t>]</w:t>
      </w:r>
    </w:p>
    <w:p w:rsidR="00E31D2E" w:rsidRDefault="00E31D2E" w:rsidP="00E31D2E">
      <w:pPr>
        <w:pStyle w:val="StandardWeb"/>
      </w:pPr>
      <w:r>
        <w:t>bildet eine Entwicklung.</w:t>
      </w:r>
    </w:p>
    <w:p w:rsidR="00E31D2E" w:rsidRDefault="00E31D2E" w:rsidP="00E31D2E">
      <w:pPr>
        <w:pStyle w:val="StandardWeb"/>
      </w:pPr>
      <w:r>
        <w:t>Eine Entwicklung kann auch wiederkehren:</w:t>
      </w:r>
    </w:p>
    <w:p w:rsidR="00E31D2E" w:rsidRDefault="00E31D2E" w:rsidP="00E31D2E">
      <w:pPr>
        <w:pStyle w:val="StandardWeb"/>
      </w:pPr>
      <w:r>
        <w:t>[</w:t>
      </w:r>
      <w:r>
        <w:br/>
        <w:t>A\rightarrow B\rightarrow C\rightarrow A.</w:t>
      </w:r>
      <w:r>
        <w:br/>
        <w:t>]</w:t>
      </w:r>
    </w:p>
    <w:p w:rsidR="00E31D2E" w:rsidRDefault="00E31D2E" w:rsidP="00E31D2E">
      <w:pPr>
        <w:pStyle w:val="StandardWeb"/>
      </w:pPr>
      <w:r>
        <w:t>Damit wird sofort sichtbar, dass „Entwicklung“ nicht automatisch „Fortschritt“ oder „irreversible Veränderung“ bedeutet. Das Wort wird im FRZK zunächst mathematisch-neutral verwendet.</w:t>
      </w:r>
    </w:p>
    <w:p w:rsidR="00E31D2E" w:rsidRDefault="00E31D2E" w:rsidP="00E31D2E">
      <w:pPr>
        <w:pStyle w:val="StandardWeb"/>
      </w:pPr>
      <w:r>
        <w:t>Auch der Folgenindex darf nicht vorschnell mit Sekunden oder anderen physikalischen Zeiteinheiten gleichgesetzt werden:</w:t>
      </w:r>
    </w:p>
    <w:p w:rsidR="00E31D2E" w:rsidRDefault="00E31D2E" w:rsidP="00E31D2E">
      <w:pPr>
        <w:pStyle w:val="StandardWeb"/>
      </w:pPr>
      <w:r>
        <w:t>[</w:t>
      </w:r>
      <w:r>
        <w:br/>
        <w:t>\delta_0,\delta_1,\delta_2.</w:t>
      </w:r>
      <w:r>
        <w:br/>
        <w:t>]</w:t>
      </w:r>
    </w:p>
    <w:p w:rsidR="00E31D2E" w:rsidRDefault="00E31D2E" w:rsidP="00E31D2E">
      <w:pPr>
        <w:pStyle w:val="StandardWeb"/>
      </w:pPr>
      <w:r>
        <w:t>Die Indizes (0,1,2) geben zunächst nur an, welcher Zustand innerhalb der Folge vor oder nach einem anderen steht. Wie lange ein Übergang dauert oder ob überhaupt eine physikalische Dauer zugeordnet werden kann, ist eine spätere Frage.</w:t>
      </w:r>
    </w:p>
    <w:p w:rsidR="00E31D2E" w:rsidRDefault="00E31D2E" w:rsidP="00E31D2E">
      <w:pPr>
        <w:pStyle w:val="StandardWeb"/>
      </w:pPr>
      <w:r>
        <w:t>Didaktisch lässt sich damit eine wichtige Entwicklungslinie des Kapitels erkennen:</w:t>
      </w:r>
    </w:p>
    <w:p w:rsidR="00E31D2E" w:rsidRDefault="00E31D2E" w:rsidP="00E31D2E">
      <w:pPr>
        <w:pStyle w:val="StandardWeb"/>
      </w:pPr>
      <w:r>
        <w:rPr>
          <w:rStyle w:val="Fett"/>
        </w:rPr>
        <w:t>Zustand</w:t>
      </w:r>
    </w:p>
    <w:p w:rsidR="00E31D2E" w:rsidRDefault="00E31D2E" w:rsidP="00E31D2E">
      <w:pPr>
        <w:pStyle w:val="StandardWeb"/>
      </w:pPr>
      <w:r>
        <w:t>[</w:t>
      </w:r>
      <w:r>
        <w:br/>
        <w:t>\delta</w:t>
      </w:r>
      <w:r>
        <w:br/>
        <w:t>]</w:t>
      </w:r>
    </w:p>
    <w:p w:rsidR="00E31D2E" w:rsidRDefault="00E31D2E" w:rsidP="00E31D2E">
      <w:pPr>
        <w:pStyle w:val="StandardWeb"/>
      </w:pPr>
      <w:r>
        <w:t>wird ergänzt durch</w:t>
      </w:r>
    </w:p>
    <w:p w:rsidR="00E31D2E" w:rsidRDefault="00E31D2E" w:rsidP="00E31D2E">
      <w:pPr>
        <w:pStyle w:val="StandardWeb"/>
      </w:pPr>
      <w:r>
        <w:rPr>
          <w:rStyle w:val="Fett"/>
        </w:rPr>
        <w:t>Relation</w:t>
      </w:r>
    </w:p>
    <w:p w:rsidR="00E31D2E" w:rsidRDefault="00E31D2E" w:rsidP="00E31D2E">
      <w:pPr>
        <w:pStyle w:val="StandardWeb"/>
      </w:pPr>
      <w:r>
        <w:t>[</w:t>
      </w:r>
      <w:r>
        <w:br/>
        <w:t>\delta_i\mathcal{R}\delta_j,</w:t>
      </w:r>
      <w:r>
        <w:br/>
        <w:t>]</w:t>
      </w:r>
    </w:p>
    <w:p w:rsidR="00E31D2E" w:rsidRDefault="00E31D2E" w:rsidP="00E31D2E">
      <w:pPr>
        <w:pStyle w:val="StandardWeb"/>
      </w:pPr>
      <w:r>
        <w:t>dann durch</w:t>
      </w:r>
    </w:p>
    <w:p w:rsidR="00E31D2E" w:rsidRDefault="00E31D2E" w:rsidP="00E31D2E">
      <w:pPr>
        <w:pStyle w:val="StandardWeb"/>
      </w:pPr>
      <w:r>
        <w:rPr>
          <w:rStyle w:val="Fett"/>
        </w:rPr>
        <w:lastRenderedPageBreak/>
        <w:t>Transformation</w:t>
      </w:r>
    </w:p>
    <w:p w:rsidR="00E31D2E" w:rsidRDefault="00E31D2E" w:rsidP="00E31D2E">
      <w:pPr>
        <w:pStyle w:val="StandardWeb"/>
      </w:pPr>
      <w:r>
        <w:t>[</w:t>
      </w:r>
      <w:r>
        <w:br/>
        <w:t>T(\delta_i)=\delta_j,</w:t>
      </w:r>
      <w:r>
        <w:br/>
        <w:t>]</w:t>
      </w:r>
    </w:p>
    <w:p w:rsidR="00E31D2E" w:rsidRDefault="00E31D2E" w:rsidP="00E31D2E">
      <w:pPr>
        <w:pStyle w:val="StandardWeb"/>
      </w:pPr>
      <w:r>
        <w:t>und schließlich durch</w:t>
      </w:r>
    </w:p>
    <w:p w:rsidR="00E31D2E" w:rsidRDefault="00E31D2E" w:rsidP="00E31D2E">
      <w:pPr>
        <w:pStyle w:val="StandardWeb"/>
      </w:pPr>
      <w:r>
        <w:rPr>
          <w:rStyle w:val="Fett"/>
        </w:rPr>
        <w:t>Entwicklung</w:t>
      </w:r>
    </w:p>
    <w:p w:rsidR="00E31D2E" w:rsidRDefault="00E31D2E" w:rsidP="00E31D2E">
      <w:pPr>
        <w:pStyle w:val="StandardWeb"/>
      </w:pPr>
      <w:r>
        <w:t>[</w:t>
      </w:r>
      <w:r>
        <w:br/>
        <w:t>\delta_0\rightarrow\delta_1\rightarrow\delta_2\rightarrow\cdots.</w:t>
      </w:r>
      <w:r>
        <w:br/>
        <w:t>]</w:t>
      </w:r>
    </w:p>
    <w:p w:rsidR="00E31D2E" w:rsidRDefault="00E31D2E" w:rsidP="00E31D2E">
      <w:pPr>
        <w:pStyle w:val="StandardWeb"/>
      </w:pPr>
      <w:r>
        <w:t>Damit entsteht schrittweise Struktur, ohne Raum oder Zeit bereits vorauszusetzen.</w:t>
      </w:r>
    </w:p>
    <w:p w:rsidR="002A3124" w:rsidRDefault="00E31D2E" w:rsidP="00E31D2E">
      <w:pPr>
        <w:pStyle w:val="StandardWeb"/>
      </w:pPr>
      <w:r>
        <w:t>Gerade dieser Aufbau ist für das Verständnis des FRZK zentral: Was später möglicherweise als räumliche, zeitliche oder dynamische Struktur interpretiert wird, soll nicht am Anfang eingesetzt, sondern aus einfacheren funktionalen Strukturen konstruiert werden.</w:t>
      </w:r>
    </w:p>
    <w:p w:rsidR="002A3124" w:rsidRDefault="00E50336" w:rsidP="002A3124">
      <w:r>
        <w:pict>
          <v:rect id="_x0000_i1037" style="width:0;height:1.5pt" o:hralign="center" o:hrstd="t" o:hr="t" fillcolor="#a0a0a0" stroked="f"/>
        </w:pict>
      </w:r>
    </w:p>
    <w:p w:rsidR="002A3124" w:rsidRPr="00AF32B2" w:rsidRDefault="002A3124" w:rsidP="00AF32B2">
      <w:pPr>
        <w:pStyle w:val="berschrift3"/>
      </w:pPr>
      <w:r w:rsidRPr="00AF32B2">
        <w:t>3.3.13 Definition der funktionalen Kohärenz</w:t>
      </w:r>
    </w:p>
    <w:p w:rsidR="002A3124" w:rsidRDefault="002A3124" w:rsidP="002A3124">
      <w:pPr>
        <w:pStyle w:val="StandardWeb"/>
      </w:pPr>
      <w:r>
        <w:t>Mit Definition 3.3.4 stehen elementare funktionale Zustände, funktionale Relationen, funktionale Transformationen sowie funktionale Entwicklungen zur Verfügung. Damit kann nun untersucht werden, unter welchen Bedingungen eine funktionale Entwicklung ihre wesentlichen strukturellen Eigenschaften beibehält. Die Mathematik kennt hierzu zahlreiche Erhaltungs- und Stabilitätsbegriffe, beispielsweise Invarianten, Erhaltungssätze, normerhaltende Operatoren oder topologische Eigenschaften. Diese mathematischen Werkzeuge liefern Verfahren zur Beschreibung von Strukturtreue, legen jedoch nicht fest, welche Eigenschaft innerhalb eines konkreten wissenschaftlichen Modells als Kohärenz bezeichnet werden soll.</w:t>
      </w:r>
    </w:p>
    <w:p w:rsidR="002A3124" w:rsidRDefault="002A3124" w:rsidP="002A3124">
      <w:pPr>
        <w:pStyle w:val="StandardWeb"/>
      </w:pPr>
      <w:r>
        <w:t>Bereits in Abschnitt 3.3.4 wurde gezeigt, dass aus den mathematischen Grundlagen keine universelle Definition funktionaler Kohärenz folgt. Die Auswahl einer Kohärenzbedingung stellt vielmehr eine wissenschaftliche Modellentscheidung dar und muss daher explizit angegeben werden. Kohärenz kann deshalb nicht als Primäraxiom eingeführt werden, sondern muss als abgeleitete Eigenschaft bereits vorhandener funktionaler Strukturen verstanden werden. Diese methodische Trennung entspricht dem in Abschnitt 3.3.4 entwickelten wissenschaftlichen Entscheidungsverfahren und verhindert eine Vermischung mathematischer Werkzeuge mit theoretischen Grundannahmen [58].</w:t>
      </w:r>
    </w:p>
    <w:p w:rsidR="002A3124" w:rsidRDefault="002A3124" w:rsidP="002A3124">
      <w:pPr>
        <w:pStyle w:val="StandardWeb"/>
      </w:pPr>
      <w:r>
        <w:t xml:space="preserve">Bei der erstmaligen Verwendung der Literaturquelle </w:t>
      </w:r>
      <w:r>
        <w:rPr>
          <w:rStyle w:val="Fett"/>
        </w:rPr>
        <w:t>[58]</w:t>
      </w:r>
      <w:r>
        <w:t xml:space="preserve"> lautet die vollständige bibliographische Angabe:</w:t>
      </w:r>
    </w:p>
    <w:p w:rsidR="002A3124" w:rsidRDefault="002A3124" w:rsidP="002A3124">
      <w:pPr>
        <w:pStyle w:val="StandardWeb"/>
      </w:pPr>
      <w:r>
        <w:rPr>
          <w:rStyle w:val="Fett"/>
        </w:rPr>
        <w:t>[58]</w:t>
      </w:r>
      <w:r>
        <w:t xml:space="preserve"> Rudolf Carnap: </w:t>
      </w:r>
      <w:r>
        <w:rPr>
          <w:rStyle w:val="Hervorhebung"/>
        </w:rPr>
        <w:t>Der logische Aufbau der Welt</w:t>
      </w:r>
      <w:r>
        <w:t>. Felix Meiner Verlag, Hamburg, 1998 (Originalausgabe 1928).</w:t>
      </w:r>
    </w:p>
    <w:p w:rsidR="002A3124" w:rsidRDefault="002A3124" w:rsidP="002A3124">
      <w:pPr>
        <w:pStyle w:val="StandardWeb"/>
      </w:pPr>
      <w:r>
        <w:t xml:space="preserve">Carnap zeigt, dass wissenschaftliche Begriffe nicht unabhängig von ihren Definitionsregeln existieren, sondern innerhalb eines expliziten Systems konstruiert werden. Daraus folgt für </w:t>
      </w:r>
      <w:r>
        <w:lastRenderedPageBreak/>
        <w:t>das FRZK, dass auch der Begriff der funktionalen Kohärenz nicht vorausgesetzt werden darf, sondern durch eine eindeutige Definition eingeführt werden muss.</w:t>
      </w:r>
    </w:p>
    <w:p w:rsidR="002A3124" w:rsidRDefault="002A3124" w:rsidP="002A3124">
      <w:pPr>
        <w:pStyle w:val="StandardWeb"/>
      </w:pPr>
      <w:r>
        <w:t>Ebenso stellen mathematische Begriffe wie Invarianz, Stabilität oder Operatorerhaltung lediglich allgemeine Werkzeuge bereit. Welche dieser Eigenschaften innerhalb einer konkreten Theorie als Kohärenzkriterium verwendet wird, ergibt sich daraus nicht automatisch. Dieser Unterschied zwischen mathematischer Möglichkeit und wissenschaftlicher Festlegung wurde bereits in der Methodologie des vorhergehenden Abschnitts herausgearbeitet [75].</w:t>
      </w:r>
    </w:p>
    <w:p w:rsidR="002A3124" w:rsidRDefault="002A3124" w:rsidP="002A3124">
      <w:pPr>
        <w:pStyle w:val="StandardWeb"/>
      </w:pPr>
      <w:r>
        <w:t xml:space="preserve">Bei der erstmaligen Verwendung der Literaturquelle </w:t>
      </w:r>
      <w:r>
        <w:rPr>
          <w:rStyle w:val="Fett"/>
        </w:rPr>
        <w:t>[75]</w:t>
      </w:r>
      <w:r>
        <w:t xml:space="preserve"> lautet die vollständige bibliographische Angabe:</w:t>
      </w:r>
    </w:p>
    <w:p w:rsidR="002A3124" w:rsidRDefault="002A3124" w:rsidP="002A3124">
      <w:pPr>
        <w:pStyle w:val="StandardWeb"/>
      </w:pPr>
      <w:r>
        <w:rPr>
          <w:rStyle w:val="Fett"/>
        </w:rPr>
        <w:t>[75]</w:t>
      </w:r>
      <w:r>
        <w:t xml:space="preserve"> Walter Rudin: </w:t>
      </w:r>
      <w:r>
        <w:rPr>
          <w:rStyle w:val="Hervorhebung"/>
        </w:rPr>
        <w:t>Functional Analysis</w:t>
      </w:r>
      <w:r>
        <w:t>. 2nd Edition. McGraw-Hill, New York, 1991.</w:t>
      </w:r>
    </w:p>
    <w:p w:rsidR="002A3124" w:rsidRDefault="002A3124" w:rsidP="002A3124">
      <w:pPr>
        <w:pStyle w:val="StandardWeb"/>
      </w:pPr>
      <w:r>
        <w:t>Rudin beschreibt mathematische Strukturen wie Operatoren, Normen, lineare Räume und Invarianzbegriffe, trifft jedoch keine Aussage darüber, welche dieser Eigenschaften innerhalb eines konkreten physikalischen oder funktionalen Modells als wissenschaftlich relevante Kohärenzbedingung auszuwählen ist.</w:t>
      </w:r>
    </w:p>
    <w:p w:rsidR="002A3124" w:rsidRDefault="002A3124" w:rsidP="002A3124">
      <w:pPr>
        <w:pStyle w:val="StandardWeb"/>
      </w:pPr>
      <w:r>
        <w:t>Daraus ergibt sich unmittelbar die zentrale Schlussfolgerung dieses Abschnitts:</w:t>
      </w:r>
    </w:p>
    <w:p w:rsidR="002A3124" w:rsidRDefault="002A3124" w:rsidP="002A3124">
      <w:pPr>
        <w:pStyle w:val="StandardWeb"/>
      </w:pPr>
      <w:r>
        <w:rPr>
          <w:rStyle w:val="Fett"/>
        </w:rPr>
        <w:t>Eigenleistung des FRZK</w:t>
      </w:r>
    </w:p>
    <w:p w:rsidR="002A3124" w:rsidRDefault="002A3124" w:rsidP="002A3124">
      <w:pPr>
        <w:pStyle w:val="StandardWeb"/>
      </w:pPr>
      <w:r>
        <w:t>Ich definiere funktionale Kohärenz nicht als allgemeine mathematische Eigenschaft, sondern als eine explizit festgelegte Verträglichkeitsbedingung einer funktionalen Zustands-, Relations- und Transformationsstruktur. Welche Bedingungen hierfür gelten, muss vollständig angegeben werden und darf nicht implizit vorausgesetzt werden.</w:t>
      </w:r>
    </w:p>
    <w:p w:rsidR="002A3124" w:rsidRDefault="00E50336" w:rsidP="002A3124">
      <w:r>
        <w:pict>
          <v:rect id="_x0000_i1038" style="width:0;height:1.5pt" o:hralign="center" o:hrstd="t" o:hr="t" fillcolor="#a0a0a0" stroked="f"/>
        </w:pict>
      </w:r>
    </w:p>
    <w:p w:rsidR="002A3124" w:rsidRDefault="002A3124" w:rsidP="002A3124">
      <w:pPr>
        <w:pStyle w:val="StandardWeb"/>
      </w:pPr>
      <w:r>
        <w:t>Damit entspricht der Abschnitt jetzt wieder exakt deiner Vorgabe:</w:t>
      </w:r>
    </w:p>
    <w:p w:rsidR="002A3124" w:rsidRDefault="002A3124" w:rsidP="00632D23">
      <w:pPr>
        <w:pStyle w:val="StandardWeb"/>
        <w:numPr>
          <w:ilvl w:val="0"/>
          <w:numId w:val="51"/>
        </w:numPr>
      </w:pPr>
      <w:r>
        <w:t>vollständiger Text direkt im Chat,</w:t>
      </w:r>
    </w:p>
    <w:p w:rsidR="002A3124" w:rsidRDefault="002A3124" w:rsidP="00632D23">
      <w:pPr>
        <w:pStyle w:val="StandardWeb"/>
        <w:numPr>
          <w:ilvl w:val="0"/>
          <w:numId w:val="51"/>
        </w:numPr>
      </w:pPr>
      <w:r>
        <w:t>Ich-Form,</w:t>
      </w:r>
    </w:p>
    <w:p w:rsidR="002A3124" w:rsidRDefault="002A3124" w:rsidP="00632D23">
      <w:pPr>
        <w:pStyle w:val="StandardWeb"/>
        <w:numPr>
          <w:ilvl w:val="0"/>
          <w:numId w:val="51"/>
        </w:numPr>
      </w:pPr>
      <w:r>
        <w:rPr>
          <w:rStyle w:val="Fett"/>
        </w:rPr>
        <w:t>erste Nennung jeder Literaturquelle mit vollständiger bibliographischer Angabe</w:t>
      </w:r>
      <w:r>
        <w:t>,</w:t>
      </w:r>
    </w:p>
    <w:p w:rsidR="002A3124" w:rsidRDefault="002A3124" w:rsidP="00632D23">
      <w:pPr>
        <w:pStyle w:val="StandardWeb"/>
        <w:numPr>
          <w:ilvl w:val="0"/>
          <w:numId w:val="51"/>
        </w:numPr>
      </w:pPr>
      <w:r>
        <w:t xml:space="preserve">danach nur noch </w:t>
      </w:r>
      <w:r>
        <w:rPr>
          <w:rStyle w:val="Fett"/>
        </w:rPr>
        <w:t>[58]</w:t>
      </w:r>
      <w:r>
        <w:t xml:space="preserve">, </w:t>
      </w:r>
      <w:r>
        <w:rPr>
          <w:rStyle w:val="Fett"/>
        </w:rPr>
        <w:t>[75]</w:t>
      </w:r>
      <w:r>
        <w:t xml:space="preserve"> usw.,</w:t>
      </w:r>
    </w:p>
    <w:p w:rsidR="002A3124" w:rsidRDefault="002A3124" w:rsidP="00632D23">
      <w:pPr>
        <w:pStyle w:val="StandardWeb"/>
        <w:numPr>
          <w:ilvl w:val="0"/>
          <w:numId w:val="51"/>
        </w:numPr>
      </w:pPr>
      <w:r>
        <w:t>keine Writing-Blöcke,</w:t>
      </w:r>
    </w:p>
    <w:p w:rsidR="002A3124" w:rsidRDefault="002A3124" w:rsidP="00632D23">
      <w:pPr>
        <w:pStyle w:val="StandardWeb"/>
        <w:numPr>
          <w:ilvl w:val="0"/>
          <w:numId w:val="51"/>
        </w:numPr>
      </w:pPr>
      <w:r>
        <w:t>keine Artefakte.</w:t>
      </w:r>
    </w:p>
    <w:p w:rsidR="00E31D2E" w:rsidRDefault="00E31D2E" w:rsidP="00E31D2E">
      <w:pPr>
        <w:pStyle w:val="berschrift2"/>
        <w:rPr>
          <w:rFonts w:cs="Times New Roman"/>
        </w:rPr>
      </w:pPr>
      <w:r>
        <w:t>Ergänzung zu 3.3.13 – Definition der funktionalen Kohärenz</w:t>
      </w:r>
    </w:p>
    <w:p w:rsidR="00E31D2E" w:rsidRDefault="00E31D2E" w:rsidP="00E31D2E">
      <w:pPr>
        <w:pStyle w:val="berschrift3"/>
      </w:pPr>
      <w:r>
        <w:t>Methodologische Betrachtungen</w:t>
      </w:r>
    </w:p>
    <w:p w:rsidR="00E31D2E" w:rsidRDefault="00E31D2E" w:rsidP="00E31D2E">
      <w:pPr>
        <w:pStyle w:val="StandardWeb"/>
      </w:pPr>
      <w:r>
        <w:t xml:space="preserve">Mit der funktionalen Kohärenz führe ich erstmals eine Eigenschaft ein, mit der eine bereits aufgebaute Zustands-, Relations- und Transformationsstruktur </w:t>
      </w:r>
      <w:r>
        <w:rPr>
          <w:rStyle w:val="Fett"/>
        </w:rPr>
        <w:t>bewertet</w:t>
      </w:r>
      <w:r>
        <w:t xml:space="preserve"> werden kann. Damit unterscheidet sich Kohärenz grundsätzlich von den drei Primäraxiomen. Diese setzen minimale Existenzmöglichkeiten des FRZK; Kohärenz entscheidet dagegen, ob eine konkrete Struktur eine ausdrücklich festgelegte Menge von Bedingungen erfüllt.</w:t>
      </w:r>
    </w:p>
    <w:p w:rsidR="00E31D2E" w:rsidRDefault="00E31D2E" w:rsidP="00E31D2E">
      <w:pPr>
        <w:pStyle w:val="StandardWeb"/>
      </w:pPr>
      <w:r>
        <w:t>Die Ausgangsmenge der Kohärenzbedingungen lautet</w:t>
      </w:r>
    </w:p>
    <w:p w:rsidR="00E31D2E" w:rsidRDefault="00E31D2E" w:rsidP="00E31D2E">
      <w:pPr>
        <w:pStyle w:val="berschrift1"/>
      </w:pPr>
      <w:r>
        <w:lastRenderedPageBreak/>
        <w:t>[</w:t>
      </w:r>
      <w:r>
        <w:br/>
        <w:t>\mathcal{C}</w:t>
      </w:r>
    </w:p>
    <w:p w:rsidR="00E31D2E" w:rsidRDefault="00E31D2E" w:rsidP="00E31D2E">
      <w:pPr>
        <w:pStyle w:val="StandardWeb"/>
      </w:pPr>
      <w:r>
        <w:t>\left{</w:t>
      </w:r>
      <w:r>
        <w:br/>
        <w:t>C_1,C_2,\ldots,C_m</w:t>
      </w:r>
      <w:r>
        <w:br/>
        <w:t>\right}.</w:t>
      </w:r>
      <w:r>
        <w:br/>
        <w:t>\tag{3.4080}</w:t>
      </w:r>
      <w:r>
        <w:br/>
        <w:t>]</w:t>
      </w:r>
    </w:p>
    <w:p w:rsidR="00E31D2E" w:rsidRDefault="00E31D2E" w:rsidP="00E31D2E">
      <w:pPr>
        <w:pStyle w:val="StandardWeb"/>
      </w:pPr>
      <w:r>
        <w:rPr>
          <w:rStyle w:val="Fett"/>
        </w:rPr>
        <w:t>Word-LaTeX</w:t>
      </w:r>
    </w:p>
    <w:p w:rsidR="00E31D2E" w:rsidRDefault="00E31D2E" w:rsidP="00E31D2E">
      <w:pPr>
        <w:pStyle w:val="HTMLVorformatiert"/>
        <w:rPr>
          <w:rStyle w:val="HTMLCode"/>
        </w:rPr>
      </w:pPr>
      <w:r>
        <w:rPr>
          <w:rStyle w:val="HTMLCode"/>
        </w:rPr>
        <w:t>\mathcal{C}=\left\{C_1,C_2,\ldots,C_m\right\}\qquad\text{(3.4080)}</w:t>
      </w:r>
    </w:p>
    <w:p w:rsidR="00E31D2E" w:rsidRDefault="00E31D2E" w:rsidP="00E31D2E">
      <w:pPr>
        <w:pStyle w:val="StandardWeb"/>
      </w:pPr>
      <w:r>
        <w:t xml:space="preserve">Entscheidend ist, dass diese Menge nicht stillschweigend als universell feststehend behandelt wird. Welche Bedingungen zu (\mathcal{C}) gehören, muss für die jeweilige Modellklasse oder Untersuchung ausdrücklich angegeben werden. Damit ist Kohärenz von Anfang an </w:t>
      </w:r>
      <w:r>
        <w:rPr>
          <w:rStyle w:val="Fett"/>
        </w:rPr>
        <w:t>relativ zu einem ausgewiesenen Bedingungssystem</w:t>
      </w:r>
      <w:r>
        <w:t>.</w:t>
      </w:r>
    </w:p>
    <w:p w:rsidR="00E31D2E" w:rsidRDefault="00E31D2E" w:rsidP="00E31D2E">
      <w:pPr>
        <w:pStyle w:val="StandardWeb"/>
      </w:pPr>
      <w:r>
        <w:t>Eine einzelne Kohärenzbedingung wird als binäres Kriterium formuliert:</w:t>
      </w:r>
    </w:p>
    <w:p w:rsidR="00E31D2E" w:rsidRDefault="00E31D2E" w:rsidP="00E31D2E">
      <w:pPr>
        <w:pStyle w:val="StandardWeb"/>
      </w:pPr>
      <w:r>
        <w:t>[</w:t>
      </w:r>
      <w:r>
        <w:br/>
        <w:t>C_r:</w:t>
      </w:r>
      <w:r>
        <w:br/>
        <w:t>\mathfrak{G}_{\mathcal{R},\mathfrak{T}}</w:t>
      </w:r>
      <w:r>
        <w:br/>
        <w:t>\rightarrow</w:t>
      </w:r>
      <w:r>
        <w:br/>
        <w:t>{0,1}.</w:t>
      </w:r>
      <w:r>
        <w:br/>
        <w:t>\tag{3.4081}</w:t>
      </w:r>
      <w:r>
        <w:br/>
        <w:t>]</w:t>
      </w:r>
    </w:p>
    <w:p w:rsidR="00E31D2E" w:rsidRDefault="00E31D2E" w:rsidP="00E31D2E">
      <w:pPr>
        <w:pStyle w:val="StandardWeb"/>
      </w:pPr>
      <w:r>
        <w:rPr>
          <w:rStyle w:val="Fett"/>
        </w:rPr>
        <w:t>Word-LaTeX</w:t>
      </w:r>
    </w:p>
    <w:p w:rsidR="00E31D2E" w:rsidRDefault="00E31D2E" w:rsidP="00E31D2E">
      <w:pPr>
        <w:pStyle w:val="HTMLVorformatiert"/>
        <w:rPr>
          <w:rStyle w:val="HTMLCode"/>
        </w:rPr>
      </w:pPr>
      <w:r>
        <w:rPr>
          <w:rStyle w:val="HTMLCode"/>
        </w:rPr>
        <w:t>C_r:\mathfrak{G}_{\mathcal{R},\mathfrak{T}}\rightarrow\{0,1\}\qquad\text{(3.4081)}</w:t>
      </w:r>
    </w:p>
    <w:p w:rsidR="00E31D2E" w:rsidRDefault="00E31D2E" w:rsidP="00E31D2E">
      <w:pPr>
        <w:pStyle w:val="StandardWeb"/>
      </w:pPr>
      <w:r>
        <w:t>Die Gesamtstruktur ist bezüglich der ausgewählten Bedingungen kohärent, wenn sämtliche Bedingungen erfüllt sind:</w:t>
      </w:r>
    </w:p>
    <w:p w:rsidR="00E31D2E" w:rsidRDefault="00E31D2E" w:rsidP="00E31D2E">
      <w:pPr>
        <w:pStyle w:val="berschrift1"/>
      </w:pPr>
      <w:r>
        <w:t>[</w:t>
      </w:r>
      <w:r>
        <w:br/>
        <w:t>\operatorname{Koh}</w:t>
      </w:r>
      <w:r>
        <w:rPr>
          <w:rStyle w:val="Hervorhebung"/>
        </w:rPr>
        <w:t>{\mathcal{C}}</w:t>
      </w:r>
      <w:r>
        <w:rPr>
          <w:i/>
          <w:iCs/>
        </w:rPr>
        <w:br/>
      </w:r>
      <w:r>
        <w:rPr>
          <w:rStyle w:val="Hervorhebung"/>
        </w:rPr>
        <w:t>\left(</w:t>
      </w:r>
      <w:r>
        <w:rPr>
          <w:i/>
          <w:iCs/>
        </w:rPr>
        <w:br/>
      </w:r>
      <w:r>
        <w:rPr>
          <w:rStyle w:val="Hervorhebung"/>
        </w:rPr>
        <w:t>\mathfrak{G}</w:t>
      </w:r>
      <w:r>
        <w:t>{\mathcal{R},\mathfrak{T}}</w:t>
      </w:r>
      <w:r>
        <w:br/>
        <w:t>\right)</w:t>
      </w:r>
    </w:p>
    <w:p w:rsidR="00E31D2E" w:rsidRDefault="00E31D2E" w:rsidP="00E31D2E">
      <w:pPr>
        <w:pStyle w:val="berschrift1"/>
      </w:pPr>
      <w:r>
        <w:t>1</w:t>
      </w:r>
      <w:r>
        <w:br/>
        <w:t>\iff</w:t>
      </w:r>
      <w:r>
        <w:br/>
        <w:t>\forall C_r\in\mathcal{C}:</w:t>
      </w:r>
      <w:r>
        <w:br/>
      </w:r>
      <w:r>
        <w:lastRenderedPageBreak/>
        <w:t>C_r</w:t>
      </w:r>
      <w:r>
        <w:br/>
        <w:t>\left(</w:t>
      </w:r>
      <w:r>
        <w:br/>
        <w:t>\mathfrak{G}_{\mathcal{R},\mathfrak{T}}</w:t>
      </w:r>
      <w:r>
        <w:br/>
        <w:t>\right)</w:t>
      </w:r>
    </w:p>
    <w:p w:rsidR="00E31D2E" w:rsidRDefault="00E31D2E" w:rsidP="00E31D2E">
      <w:pPr>
        <w:numPr>
          <w:ilvl w:val="0"/>
          <w:numId w:val="259"/>
        </w:numPr>
        <w:spacing w:before="100" w:beforeAutospacing="1" w:after="100" w:afterAutospacing="1"/>
      </w:pPr>
    </w:p>
    <w:p w:rsidR="00E31D2E" w:rsidRDefault="00E31D2E" w:rsidP="00E31D2E">
      <w:pPr>
        <w:pStyle w:val="StandardWeb"/>
      </w:pPr>
      <w:r>
        <w:t>\tag{3.4082}</w:t>
      </w:r>
      <w:r>
        <w:br/>
        <w:t>]</w:t>
      </w:r>
    </w:p>
    <w:p w:rsidR="00E31D2E" w:rsidRDefault="00E31D2E" w:rsidP="00E31D2E">
      <w:pPr>
        <w:pStyle w:val="StandardWeb"/>
      </w:pPr>
      <w:r>
        <w:rPr>
          <w:rStyle w:val="Fett"/>
        </w:rPr>
        <w:t>Word-LaTeX</w:t>
      </w:r>
    </w:p>
    <w:p w:rsidR="00E31D2E" w:rsidRDefault="00E31D2E" w:rsidP="00E31D2E">
      <w:pPr>
        <w:pStyle w:val="HTMLVorformatiert"/>
        <w:rPr>
          <w:rStyle w:val="HTMLCode"/>
        </w:rPr>
      </w:pPr>
      <w:r>
        <w:rPr>
          <w:rStyle w:val="HTMLCode"/>
        </w:rPr>
        <w:t>\operatorname{Koh}_{\mathcal{C}}\left(\mathfrak{G}_{\mathcal{R},\mathfrak{T}}\right)=1\iff\forall C_r\in\mathcal{C}:C_r\left(\mathfrak{G}_{\mathcal{R},\mathfrak{T}}\right)=1\qquad\text{(3.4082)}</w:t>
      </w:r>
    </w:p>
    <w:p w:rsidR="00E31D2E" w:rsidRDefault="00E31D2E" w:rsidP="00E31D2E">
      <w:pPr>
        <w:pStyle w:val="StandardWeb"/>
      </w:pPr>
      <w:r>
        <w:t>Methodologisch verhindert diese Definition, dass „Kohärenz“ zu einem unscharfen Qualitätsbegriff wird. Eine Struktur ist nicht einfach deshalb kohärent, weil sie intuitiv zusammenhängend oder plausibel erscheint. Kohärenz muss auf überprüfbare Bedingungen zurückgeführt werden.</w:t>
      </w:r>
    </w:p>
    <w:p w:rsidR="00E31D2E" w:rsidRDefault="00E31D2E" w:rsidP="00E31D2E">
      <w:pPr>
        <w:pStyle w:val="StandardWeb"/>
      </w:pPr>
      <w:r>
        <w:t>Die Negation ist ebenso ausdrücklich bestimmt:</w:t>
      </w:r>
    </w:p>
    <w:p w:rsidR="00E31D2E" w:rsidRDefault="00E31D2E" w:rsidP="00E31D2E">
      <w:pPr>
        <w:pStyle w:val="berschrift1"/>
      </w:pPr>
      <w:r>
        <w:t>[</w:t>
      </w:r>
      <w:r>
        <w:br/>
        <w:t>\operatorname{Koh}</w:t>
      </w:r>
      <w:r>
        <w:rPr>
          <w:rStyle w:val="Hervorhebung"/>
        </w:rPr>
        <w:t>{\mathcal{C}}</w:t>
      </w:r>
      <w:r>
        <w:rPr>
          <w:i/>
          <w:iCs/>
        </w:rPr>
        <w:br/>
      </w:r>
      <w:r>
        <w:rPr>
          <w:rStyle w:val="Hervorhebung"/>
        </w:rPr>
        <w:t>\left(</w:t>
      </w:r>
      <w:r>
        <w:rPr>
          <w:i/>
          <w:iCs/>
        </w:rPr>
        <w:br/>
      </w:r>
      <w:r>
        <w:rPr>
          <w:rStyle w:val="Hervorhebung"/>
        </w:rPr>
        <w:t>\mathfrak{G}</w:t>
      </w:r>
      <w:r>
        <w:t>{\mathcal{R},\mathfrak{T}}</w:t>
      </w:r>
      <w:r>
        <w:br/>
        <w:t>\right)</w:t>
      </w:r>
    </w:p>
    <w:p w:rsidR="00E31D2E" w:rsidRDefault="00E31D2E" w:rsidP="00E31D2E">
      <w:pPr>
        <w:pStyle w:val="berschrift1"/>
      </w:pPr>
      <w:r>
        <w:t>0</w:t>
      </w:r>
      <w:r>
        <w:br/>
        <w:t>\iff</w:t>
      </w:r>
      <w:r>
        <w:br/>
        <w:t>\exists C_r\in\mathcal{C}:</w:t>
      </w:r>
      <w:r>
        <w:br/>
        <w:t>C_r</w:t>
      </w:r>
      <w:r>
        <w:br/>
        <w:t>\left(</w:t>
      </w:r>
      <w:r>
        <w:br/>
        <w:t>\mathfrak{G}_{\mathcal{R},\mathfrak{T}}</w:t>
      </w:r>
      <w:r>
        <w:br/>
        <w:t>\right)</w:t>
      </w:r>
    </w:p>
    <w:p w:rsidR="00E31D2E" w:rsidRDefault="00E31D2E" w:rsidP="00E31D2E">
      <w:pPr>
        <w:numPr>
          <w:ilvl w:val="0"/>
          <w:numId w:val="260"/>
        </w:numPr>
        <w:spacing w:before="100" w:beforeAutospacing="1" w:after="100" w:afterAutospacing="1"/>
      </w:pPr>
    </w:p>
    <w:p w:rsidR="00E31D2E" w:rsidRDefault="00E31D2E" w:rsidP="00E31D2E">
      <w:pPr>
        <w:pStyle w:val="StandardWeb"/>
      </w:pPr>
      <w:r>
        <w:lastRenderedPageBreak/>
        <w:t>\tag{3.4083}</w:t>
      </w:r>
      <w:r>
        <w:br/>
        <w:t>]</w:t>
      </w:r>
    </w:p>
    <w:p w:rsidR="00E31D2E" w:rsidRDefault="00E31D2E" w:rsidP="00E31D2E">
      <w:pPr>
        <w:pStyle w:val="StandardWeb"/>
      </w:pPr>
      <w:r>
        <w:rPr>
          <w:rStyle w:val="Fett"/>
        </w:rPr>
        <w:t>Word-LaTeX</w:t>
      </w:r>
    </w:p>
    <w:p w:rsidR="00E31D2E" w:rsidRDefault="00E31D2E" w:rsidP="00E31D2E">
      <w:pPr>
        <w:pStyle w:val="HTMLVorformatiert"/>
        <w:rPr>
          <w:rStyle w:val="HTMLCode"/>
        </w:rPr>
      </w:pPr>
      <w:r>
        <w:rPr>
          <w:rStyle w:val="HTMLCode"/>
        </w:rPr>
        <w:t>\operatorname{Koh}_{\mathcal{C}}\left(\mathfrak{G}_{\mathcal{R},\mathfrak{T}}\right)=0\iff\exists C_r\in\mathcal{C}:C_r\left(\mathfrak{G}_{\mathcal{R},\mathfrak{T}}\right)=0\qquad\text{(3.4083)}</w:t>
      </w:r>
    </w:p>
    <w:p w:rsidR="00E31D2E" w:rsidRDefault="00E31D2E" w:rsidP="00E31D2E">
      <w:pPr>
        <w:pStyle w:val="StandardWeb"/>
      </w:pPr>
      <w:r>
        <w:t>Diese strenge binäre Form ist für die definitorische Grundlage nützlich, darf aber nicht mit der später möglichen graduellen Bewertung verwechselt werden. Ein quantitativer Kohärenzgrad ergänzt die Einzelprüfung; er ersetzt sie nicht.</w:t>
      </w:r>
    </w:p>
    <w:p w:rsidR="00E31D2E" w:rsidRDefault="00E31D2E" w:rsidP="00E31D2E">
      <w:pPr>
        <w:pStyle w:val="StandardWeb"/>
      </w:pPr>
      <w:r>
        <w:t xml:space="preserve">Besonders wichtig ist die Trennung zwischen </w:t>
      </w:r>
      <w:r>
        <w:rPr>
          <w:rStyle w:val="Fett"/>
        </w:rPr>
        <w:t>Kohärenz und Wahrheit</w:t>
      </w:r>
      <w:r>
        <w:t>. Eine Struktur kann intern kohärent sein und trotzdem empirisch falsch oder ungeeignet sein. Kohärenz sagt zunächst, dass die festgelegten internen Bedingungen miteinander und mit der betrachteten Struktur verträglich sind. Ob diese Bedingungen den empirischen Gegenstandsbereich angemessen erfassen, ist eine andere Frage.</w:t>
      </w:r>
    </w:p>
    <w:p w:rsidR="00E31D2E" w:rsidRDefault="00E31D2E" w:rsidP="00E31D2E">
      <w:pPr>
        <w:pStyle w:val="StandardWeb"/>
      </w:pPr>
      <w:r>
        <w:t>Ebenso ist Kohärenz keine zusätzliche ontologische Eigenschaft des Universums. Die Definition besagt nicht, dass reale Systeme notwendigerweise kohärent sein müssen. Sie stellt ein FRZK-internes Prüfverfahren bereit.</w:t>
      </w:r>
    </w:p>
    <w:p w:rsidR="00E31D2E" w:rsidRDefault="00E31D2E" w:rsidP="00E31D2E">
      <w:pPr>
        <w:pStyle w:val="StandardWeb"/>
      </w:pPr>
      <w:r>
        <w:t xml:space="preserve">Methodologisch erfüllt Abschnitt 3.3.13 deshalb eine wichtige Scharnierfunktion. Zum ersten Mal wird nicht nur gefragt, </w:t>
      </w:r>
      <w:r>
        <w:rPr>
          <w:rStyle w:val="Fett"/>
        </w:rPr>
        <w:t>welche Strukturen existieren oder erzeugt werden können</w:t>
      </w:r>
      <w:r>
        <w:t xml:space="preserve">, sondern </w:t>
      </w:r>
      <w:r>
        <w:rPr>
          <w:rStyle w:val="Fett"/>
        </w:rPr>
        <w:t>unter welchen expliziten Bedingungen diese Strukturen als zusammenpassend bewertet werden</w:t>
      </w:r>
      <w:r>
        <w:t>.</w:t>
      </w:r>
    </w:p>
    <w:p w:rsidR="00E31D2E" w:rsidRDefault="00E31D2E" w:rsidP="00E31D2E">
      <w:pPr>
        <w:pStyle w:val="berschrift3"/>
      </w:pPr>
      <w:r>
        <w:t>Didaktische Betrachtungen</w:t>
      </w:r>
    </w:p>
    <w:p w:rsidR="00E31D2E" w:rsidRDefault="00E31D2E" w:rsidP="00E31D2E">
      <w:pPr>
        <w:pStyle w:val="StandardWeb"/>
      </w:pPr>
      <w:r>
        <w:t>Kohärenz lässt sich zunächst mit einem technischen System vergleichen. Ein Fahrrad kann beispielsweise anhand mehrerer Bedingungen geprüft werden:</w:t>
      </w:r>
    </w:p>
    <w:p w:rsidR="00E31D2E" w:rsidRDefault="00E31D2E" w:rsidP="00E31D2E">
      <w:pPr>
        <w:pStyle w:val="StandardWeb"/>
        <w:numPr>
          <w:ilvl w:val="0"/>
          <w:numId w:val="261"/>
        </w:numPr>
      </w:pPr>
      <w:r>
        <w:t>beide Bremsen funktionieren,</w:t>
      </w:r>
    </w:p>
    <w:p w:rsidR="00E31D2E" w:rsidRDefault="00E31D2E" w:rsidP="00E31D2E">
      <w:pPr>
        <w:pStyle w:val="StandardWeb"/>
        <w:numPr>
          <w:ilvl w:val="0"/>
          <w:numId w:val="261"/>
        </w:numPr>
      </w:pPr>
      <w:r>
        <w:t>die Kette ist geschlossen,</w:t>
      </w:r>
    </w:p>
    <w:p w:rsidR="00E31D2E" w:rsidRDefault="00E31D2E" w:rsidP="00E31D2E">
      <w:pPr>
        <w:pStyle w:val="StandardWeb"/>
        <w:numPr>
          <w:ilvl w:val="0"/>
          <w:numId w:val="261"/>
        </w:numPr>
      </w:pPr>
      <w:r>
        <w:t>die Räder drehen frei,</w:t>
      </w:r>
    </w:p>
    <w:p w:rsidR="00E31D2E" w:rsidRDefault="00E31D2E" w:rsidP="00E31D2E">
      <w:pPr>
        <w:pStyle w:val="StandardWeb"/>
        <w:numPr>
          <w:ilvl w:val="0"/>
          <w:numId w:val="261"/>
        </w:numPr>
      </w:pPr>
      <w:r>
        <w:t>der Lenker ist befestigt.</w:t>
      </w:r>
    </w:p>
    <w:p w:rsidR="00E31D2E" w:rsidRDefault="00E31D2E" w:rsidP="00E31D2E">
      <w:pPr>
        <w:pStyle w:val="StandardWeb"/>
      </w:pPr>
      <w:r>
        <w:t>Ich kann diese Bedingungen als</w:t>
      </w:r>
    </w:p>
    <w:p w:rsidR="00E31D2E" w:rsidRDefault="00E31D2E" w:rsidP="00E31D2E">
      <w:pPr>
        <w:pStyle w:val="berschrift1"/>
      </w:pPr>
      <w:r>
        <w:t>[</w:t>
      </w:r>
      <w:r>
        <w:br/>
        <w:t>\mathcal{C}</w:t>
      </w:r>
    </w:p>
    <w:p w:rsidR="00E31D2E" w:rsidRDefault="00E31D2E" w:rsidP="00E31D2E">
      <w:pPr>
        <w:pStyle w:val="StandardWeb"/>
      </w:pPr>
      <w:r>
        <w:t>{C_1,C_2,C_3,C_4}</w:t>
      </w:r>
      <w:r>
        <w:br/>
        <w:t>]</w:t>
      </w:r>
    </w:p>
    <w:p w:rsidR="00E31D2E" w:rsidRDefault="00E31D2E" w:rsidP="00E31D2E">
      <w:pPr>
        <w:pStyle w:val="StandardWeb"/>
      </w:pPr>
      <w:r>
        <w:t>auffassen.</w:t>
      </w:r>
    </w:p>
    <w:p w:rsidR="00E31D2E" w:rsidRDefault="00E31D2E" w:rsidP="00E31D2E">
      <w:pPr>
        <w:pStyle w:val="StandardWeb"/>
      </w:pPr>
      <w:r>
        <w:lastRenderedPageBreak/>
        <w:t>Erst wenn alle verbindlichen Bedingungen erfüllt sind, bezeichne ich das Fahrrad bezüglich dieser Prüfliste als kohärent.</w:t>
      </w:r>
    </w:p>
    <w:p w:rsidR="00E31D2E" w:rsidRDefault="00E31D2E" w:rsidP="00E31D2E">
      <w:pPr>
        <w:pStyle w:val="StandardWeb"/>
      </w:pPr>
      <w:r>
        <w:t>Das Beispiel zeigt zugleich die Relativität des Begriffs. Wenn ich eine andere Aufgabe untersuche, benötige ich möglicherweise eine andere Bedingungsmenge. Für ein Rennrad können andere Anforderungen wichtig sein als für ein Lastenrad.</w:t>
      </w:r>
    </w:p>
    <w:p w:rsidR="00E31D2E" w:rsidRDefault="00E31D2E" w:rsidP="00E31D2E">
      <w:pPr>
        <w:pStyle w:val="StandardWeb"/>
      </w:pPr>
      <w:r>
        <w:t>Dasselbe gilt im FRZK. Kohärenz ist kein geheimnisvoller Zustand, sondern die Antwort auf die Frage:</w:t>
      </w:r>
    </w:p>
    <w:p w:rsidR="00E31D2E" w:rsidRDefault="00E31D2E" w:rsidP="00E31D2E">
      <w:pPr>
        <w:pStyle w:val="StandardWeb"/>
      </w:pPr>
      <w:r>
        <w:rPr>
          <w:rStyle w:val="Fett"/>
        </w:rPr>
        <w:t>Passen die betrachteten Zustände, Relationen und Transformationen nach den vorher festgelegten Regeln zusammen?</w:t>
      </w:r>
    </w:p>
    <w:p w:rsidR="00E31D2E" w:rsidRDefault="00E31D2E" w:rsidP="00E31D2E">
      <w:pPr>
        <w:pStyle w:val="StandardWeb"/>
      </w:pPr>
      <w:r>
        <w:t>Didaktisch wichtig ist außerdem der Unterschied zwischen einer Einzelverletzung und einer Gesamtaussage. Wenn fünf Bedingungen erfüllt sind und eine sechste verletzt ist, lautet die strenge binäre Bewertung zunächst „nicht vollständig kohärent“. Daraus folgt jedoch nicht, dass die gesamte Struktur wertlos ist.</w:t>
      </w:r>
    </w:p>
    <w:p w:rsidR="00E31D2E" w:rsidRDefault="00E31D2E" w:rsidP="00E31D2E">
      <w:pPr>
        <w:pStyle w:val="StandardWeb"/>
      </w:pPr>
      <w:r>
        <w:t>Deshalb können später quantitative Kohärenzgrade sinnvoll sein. Sie beantworten eine andere Frage:</w:t>
      </w:r>
    </w:p>
    <w:p w:rsidR="00E31D2E" w:rsidRDefault="00E31D2E" w:rsidP="00E31D2E">
      <w:pPr>
        <w:pStyle w:val="StandardWeb"/>
      </w:pPr>
      <w:r>
        <w:rPr>
          <w:rStyle w:val="Fett"/>
        </w:rPr>
        <w:t>Wie viele beziehungsweise wie stark gewichtete Bedingungen werden erfüllt?</w:t>
      </w:r>
    </w:p>
    <w:p w:rsidR="00E31D2E" w:rsidRDefault="00E31D2E" w:rsidP="00E31D2E">
      <w:pPr>
        <w:pStyle w:val="StandardWeb"/>
      </w:pPr>
      <w:r>
        <w:t>Damit entstehen zwei Ebenen:</w:t>
      </w:r>
    </w:p>
    <w:p w:rsidR="00E31D2E" w:rsidRDefault="00E31D2E" w:rsidP="00E31D2E">
      <w:pPr>
        <w:pStyle w:val="StandardWeb"/>
      </w:pPr>
      <w:r>
        <w:rPr>
          <w:rStyle w:val="Fett"/>
        </w:rPr>
        <w:t>binär:</w:t>
      </w:r>
      <w:r>
        <w:t xml:space="preserve"> vollständig kohärent oder nicht vollständig kohärent,</w:t>
      </w:r>
    </w:p>
    <w:p w:rsidR="00E31D2E" w:rsidRDefault="00E31D2E" w:rsidP="00E31D2E">
      <w:pPr>
        <w:pStyle w:val="StandardWeb"/>
      </w:pPr>
      <w:r>
        <w:rPr>
          <w:rStyle w:val="Fett"/>
        </w:rPr>
        <w:t>graduell:</w:t>
      </w:r>
      <w:r>
        <w:t xml:space="preserve"> wie hoch ist der Kohärenzgrad?</w:t>
      </w:r>
    </w:p>
    <w:p w:rsidR="00E31D2E" w:rsidRDefault="00E31D2E" w:rsidP="00E31D2E">
      <w:pPr>
        <w:pStyle w:val="StandardWeb"/>
      </w:pPr>
      <w:r>
        <w:t>Gerade diese Unterscheidung ist für spätere empirische Anwendungen wichtig.</w:t>
      </w:r>
    </w:p>
    <w:p w:rsidR="00E31D2E" w:rsidRDefault="00E50336" w:rsidP="00E31D2E">
      <w:r>
        <w:pict>
          <v:rect id="_x0000_i1039" style="width:0;height:1.5pt" o:hralign="center" o:hrstd="t" o:hr="t" fillcolor="#a0a0a0" stroked="f"/>
        </w:pict>
      </w:r>
    </w:p>
    <w:p w:rsidR="00E31D2E" w:rsidRDefault="00E31D2E" w:rsidP="00E31D2E">
      <w:pPr>
        <w:pStyle w:val="StandardWeb"/>
      </w:pPr>
    </w:p>
    <w:p w:rsidR="00291C6A" w:rsidRPr="00AF32B2" w:rsidRDefault="00291C6A" w:rsidP="00AF32B2">
      <w:pPr>
        <w:pStyle w:val="berschrift3"/>
      </w:pPr>
      <w:r w:rsidRPr="00AF32B2">
        <w:t>3.3.14 Definition der funktionalen Ordnung</w:t>
      </w:r>
    </w:p>
    <w:p w:rsidR="00291C6A" w:rsidRDefault="00291C6A" w:rsidP="00291C6A">
      <w:pPr>
        <w:pStyle w:val="StandardWeb"/>
      </w:pPr>
      <w:r>
        <w:t>Mit Definition 3.3.4 steht eine funktionale Entwicklung als geordnete Folge elementarer funktionaler Zustände und funktionaler Transformationen zur Verfügung. Die bisher verwendeten Indizes (0,1,\ldots,n) kennzeichnen jedoch lediglich Positionen innerhalb einer mathematisch vorgegebenen Folge. Aus dieser Schreibweise folgt weder, dass zwischen beliebigen funktionalen Zuständen eine allgemeine Ordnung besteht, noch dass die Indexordnung bereits eine physikalische Zeit beschreibt. Eine solche Interpretation würde eine mathematische Darstellung mit einer wissenschaftlichen Bedeutung gleichsetzen, die bislang nicht begründet wurde [58, 59].</w:t>
      </w:r>
    </w:p>
    <w:p w:rsidR="00291C6A" w:rsidRDefault="00291C6A" w:rsidP="00291C6A">
      <w:pPr>
        <w:pStyle w:val="StandardWeb"/>
      </w:pPr>
      <w:r>
        <w:t xml:space="preserve">Die Mengen- und Relationstheorie stellt Ordnungsrelationen als besondere Klassen binärer Relationen bereit. Eine Halbordnung ist reflexiv, antisymmetrisch und transitiv; eine strenge Ordnung kann dagegen irreflexiv und transitiv formuliert werden [6]. Diese mathematischen Eigenschaften legen jedoch noch nicht fest, wodurch eine Ordnung innerhalb des FRZK funktional begründet wird. Insbesondere darf die bloße Möglichkeit, Zustände numerisch zu </w:t>
      </w:r>
      <w:r>
        <w:lastRenderedPageBreak/>
        <w:t>indizieren, nicht als eigenständiger Nachweis einer funktionalen Reihenfolge behandelt werden.</w:t>
      </w:r>
    </w:p>
    <w:p w:rsidR="00291C6A" w:rsidRDefault="00291C6A" w:rsidP="00291C6A">
      <w:pPr>
        <w:pStyle w:val="StandardWeb"/>
      </w:pPr>
      <w:r>
        <w:t>Auch die Komposition von Transformationen besitzt eine formale Anwendungsreihenfolge. Wird (T_2\circ T_1) auf einen Zustand angewendet, erfolgt mathematisch zuerst (T_1) und anschließend (T_2) [71, 78]. Diese Kompositionsordnung liefert ein geeignetes Werkzeug für die Rekonstruktion funktionaler Ordnung, begründet aber noch keine Dauer, Gleichzeitigkeit oder Zeitmetrik.</w:t>
      </w:r>
    </w:p>
    <w:p w:rsidR="00291C6A" w:rsidRDefault="00291C6A" w:rsidP="00291C6A">
      <w:pPr>
        <w:pStyle w:val="StandardWeb"/>
      </w:pPr>
      <w:r>
        <w:rPr>
          <w:rStyle w:val="Fett"/>
        </w:rPr>
        <w:t>Eigenleistung des FRZK</w:t>
      </w:r>
    </w:p>
    <w:p w:rsidR="00291C6A" w:rsidRDefault="00291C6A" w:rsidP="00291C6A">
      <w:pPr>
        <w:pStyle w:val="StandardWeb"/>
      </w:pPr>
      <w:r>
        <w:t>Ich leite die funktionale Ordnung aus der Erreichbarkeit funktionaler Zustände durch zulässige Folgen funktionaler Transformationen ab. Damit wird die Ordnung nicht zusätzlich axiomatisch vorausgesetzt. Sie entsteht als definierbare Relation innerhalb der bereits aufgebauten Zustands-, Relations- und Transformationsstruktur.</w:t>
      </w:r>
    </w:p>
    <w:p w:rsidR="00291C6A" w:rsidRPr="00AF32B2" w:rsidRDefault="00291C6A" w:rsidP="00AF32B2">
      <w:pPr>
        <w:pStyle w:val="berschrift4"/>
      </w:pPr>
      <w:r w:rsidRPr="00AF32B2">
        <w:t>3.3.14.1 Ausgangspunkt der Ordnungsbildung</w:t>
      </w:r>
    </w:p>
    <w:p w:rsidR="00291C6A" w:rsidRDefault="00291C6A" w:rsidP="00291C6A">
      <w:pPr>
        <w:pStyle w:val="StandardWeb"/>
      </w:pPr>
      <w:r>
        <w:t>Seien (\delta_i,\delta_j\in\mathcal{S}_{\mathrm{el}}) zwei elementare funktionale Zustände. Der Zustand (\delta_j) soll von (\delta_i) aus funktional erreichbar heißen, wenn eine endliche Folge funktionaler Transformationen existiert, deren zusammengesetzte Wirkung (\delta_i) auf (\delta_j) abbildet.</w:t>
      </w:r>
    </w:p>
    <w:p w:rsidR="00291C6A" w:rsidRDefault="00291C6A" w:rsidP="00291C6A">
      <w:pPr>
        <w:pStyle w:val="StandardWeb"/>
      </w:pPr>
      <w:r>
        <w:t>Für eine Folge (T_1,\ldots,T_n\in\mathfrak{T}_{\mathrm{f}}) wird die zusammengesetzte Transformation durch</w:t>
      </w:r>
    </w:p>
    <w:p w:rsidR="00291C6A" w:rsidRDefault="00291C6A" w:rsidP="00291C6A">
      <w:pPr>
        <w:pStyle w:val="berschrift1"/>
      </w:pPr>
      <w:r>
        <w:t>[</w:t>
      </w:r>
      <w:r>
        <w:br/>
        <w:t>T^{(n)}</w:t>
      </w:r>
    </w:p>
    <w:p w:rsidR="00291C6A" w:rsidRDefault="00291C6A" w:rsidP="00291C6A">
      <w:pPr>
        <w:pStyle w:val="StandardWeb"/>
      </w:pPr>
      <w:r>
        <w:t>T_n\circ T_{n-1}\circ\cdots\circ T_1</w:t>
      </w:r>
      <w:r>
        <w:br/>
        <w:t>\tag{3.4110}</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T^{(n)}=T_n\circ T_{n-1}\circ\cdots\circ T_1\qquad\text{(3.4110)}</w:t>
      </w:r>
    </w:p>
    <w:p w:rsidR="00291C6A" w:rsidRDefault="00291C6A" w:rsidP="00291C6A">
      <w:pPr>
        <w:pStyle w:val="StandardWeb"/>
      </w:pPr>
      <w:r>
        <w:t>dargestellt. Gleichung (3.4110) übernimmt die bereits in Gleichung (3.4062) eingeführte Kompositionsstruktur und verwendet sie nun zur Definition funktionaler Erreichbarkeit [71, 76].</w:t>
      </w:r>
    </w:p>
    <w:p w:rsidR="00291C6A" w:rsidRDefault="00291C6A" w:rsidP="00291C6A">
      <w:pPr>
        <w:pStyle w:val="StandardWeb"/>
      </w:pPr>
      <w:r>
        <w:t>Der Zielzustand ergibt sich aus</w:t>
      </w:r>
    </w:p>
    <w:p w:rsidR="00291C6A" w:rsidRDefault="00291C6A" w:rsidP="00291C6A">
      <w:pPr>
        <w:pStyle w:val="berschrift1"/>
      </w:pPr>
      <w:r>
        <w:t>[</w:t>
      </w:r>
      <w:r>
        <w:br/>
        <w:t>T^{(n)}(\delta_i)</w:t>
      </w:r>
    </w:p>
    <w:p w:rsidR="00291C6A" w:rsidRDefault="00291C6A" w:rsidP="00291C6A">
      <w:pPr>
        <w:pStyle w:val="StandardWeb"/>
      </w:pPr>
      <w:r>
        <w:lastRenderedPageBreak/>
        <w:t>\delta_j.</w:t>
      </w:r>
      <w:r>
        <w:br/>
        <w:t>\tag{3.4111}</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T^{(n)}(\delta_i)=\delta_j\qquad\text{(3.4111)}</w:t>
      </w:r>
    </w:p>
    <w:p w:rsidR="00291C6A" w:rsidRDefault="00291C6A" w:rsidP="00291C6A">
      <w:pPr>
        <w:pStyle w:val="StandardWeb"/>
      </w:pPr>
      <w:r>
        <w:t>Dabei bezeichnet (n) die Anzahl der verwendeten Transformationsschritte. Der Index besitzt weiterhin keine zeitliche Bedeutung. Gleichung (3.4111) sagt ausschließlich aus, dass (\delta_j) durch eine endliche Transformationsfolge aus (\delta_i) hervorgeht.</w:t>
      </w:r>
    </w:p>
    <w:p w:rsidR="00291C6A" w:rsidRPr="00AF32B2" w:rsidRDefault="00291C6A" w:rsidP="00AF32B2">
      <w:pPr>
        <w:pStyle w:val="berschrift4"/>
      </w:pPr>
      <w:r w:rsidRPr="00AF32B2">
        <w:t>3.3.14.2 Definition der funktionalen Erreichbarkeit</w:t>
      </w:r>
    </w:p>
    <w:p w:rsidR="00291C6A" w:rsidRDefault="00291C6A" w:rsidP="00291C6A">
      <w:pPr>
        <w:pStyle w:val="StandardWeb"/>
      </w:pPr>
      <w:r>
        <w:rPr>
          <w:rStyle w:val="Fett"/>
        </w:rPr>
        <w:t>Definition 3.3.6 – Funktionale Erreichbarkeit</w:t>
      </w:r>
    </w:p>
    <w:p w:rsidR="00291C6A" w:rsidRDefault="00291C6A" w:rsidP="00291C6A">
      <w:pPr>
        <w:pStyle w:val="StandardWeb"/>
      </w:pPr>
      <w:r>
        <w:t>Ein elementarer funktionaler Zustand (\delta_j) heißt von einem elementaren funktionalen Zustand (\delta_i) funktional erreichbar, wenn eine endliche Folge funktionaler Transformationen existiert, deren Komposition (\delta_i) auf (\delta_j) abbildet.</w:t>
      </w:r>
    </w:p>
    <w:p w:rsidR="00291C6A" w:rsidRDefault="00291C6A" w:rsidP="00291C6A">
      <w:pPr>
        <w:pStyle w:val="StandardWeb"/>
      </w:pPr>
      <w:r>
        <w:t>Formal definiere ich die Erreichbarkeitsrelation (\preceq_{!F}) durch</w:t>
      </w:r>
    </w:p>
    <w:p w:rsidR="00291C6A" w:rsidRDefault="00291C6A" w:rsidP="00291C6A">
      <w:pPr>
        <w:pStyle w:val="StandardWeb"/>
      </w:pPr>
      <w:r>
        <w:t>[</w:t>
      </w:r>
      <w:r>
        <w:br/>
        <w:t>\delta_i</w:t>
      </w:r>
      <w:r>
        <w:br/>
        <w:t>\preceq_{!F}</w:t>
      </w:r>
      <w:r>
        <w:br/>
        <w:t>\delta_j</w:t>
      </w:r>
      <w:r>
        <w:br/>
        <w:t>\iff</w:t>
      </w:r>
      <w:r>
        <w:br/>
        <w:t>\exists n\in\mathbb{N}</w:t>
      </w:r>
      <w:r>
        <w:rPr>
          <w:rStyle w:val="Hervorhebung"/>
        </w:rPr>
        <w:t>0</w:t>
      </w:r>
      <w:r>
        <w:rPr>
          <w:i/>
          <w:iCs/>
        </w:rPr>
        <w:br/>
      </w:r>
      <w:r>
        <w:rPr>
          <w:rStyle w:val="Hervorhebung"/>
        </w:rPr>
        <w:t>;</w:t>
      </w:r>
      <w:r>
        <w:rPr>
          <w:i/>
          <w:iCs/>
        </w:rPr>
        <w:br/>
      </w:r>
      <w:r>
        <w:rPr>
          <w:rStyle w:val="Hervorhebung"/>
        </w:rPr>
        <w:t>\exists T_1,\ldots,T_n\in\mathfrak{T}</w:t>
      </w:r>
      <w:r>
        <w:t>{\mathrm{f}}</w:t>
      </w:r>
      <w:r>
        <w:br/>
        <w:t>:</w:t>
      </w:r>
      <w:r>
        <w:br/>
        <w:t>T^{(n)}(\delta_i)=\delta_j.</w:t>
      </w:r>
      <w:r>
        <w:br/>
        <w:t>\tag{3.4112}</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\delta_i\preceq_{\!F}\delta_j\iff\exists n\in\mathbb{N}_0\;\exists T_1,\ldots,T_n\in\mathfrak{T}_{\mathrm{f}}:T^{(n)}(\delta_i)=\delta_j\qquad\text{(3.4112)}</w:t>
      </w:r>
    </w:p>
    <w:p w:rsidR="00291C6A" w:rsidRDefault="00291C6A" w:rsidP="00291C6A">
      <w:pPr>
        <w:pStyle w:val="StandardWeb"/>
      </w:pPr>
      <w:r>
        <w:t>Dabei bezeichnet:</w:t>
      </w:r>
    </w:p>
    <w:p w:rsidR="00291C6A" w:rsidRDefault="00291C6A" w:rsidP="00632D23">
      <w:pPr>
        <w:pStyle w:val="StandardWeb"/>
        <w:numPr>
          <w:ilvl w:val="0"/>
          <w:numId w:val="52"/>
        </w:numPr>
      </w:pPr>
      <w:r>
        <w:t>(\preceq_{!F}) die funktionale Erreichbarkeitsrelation,</w:t>
      </w:r>
    </w:p>
    <w:p w:rsidR="00291C6A" w:rsidRDefault="00291C6A" w:rsidP="00632D23">
      <w:pPr>
        <w:pStyle w:val="StandardWeb"/>
        <w:numPr>
          <w:ilvl w:val="0"/>
          <w:numId w:val="52"/>
        </w:numPr>
      </w:pPr>
      <w:r>
        <w:t>(\mathbb{N}_0) die natürlichen Zahlen einschließlich (0),</w:t>
      </w:r>
    </w:p>
    <w:p w:rsidR="00291C6A" w:rsidRDefault="00291C6A" w:rsidP="00632D23">
      <w:pPr>
        <w:pStyle w:val="StandardWeb"/>
        <w:numPr>
          <w:ilvl w:val="0"/>
          <w:numId w:val="52"/>
        </w:numPr>
      </w:pPr>
      <w:r>
        <w:t>(n) die Länge einer zulässigen Transformationsfolge,</w:t>
      </w:r>
    </w:p>
    <w:p w:rsidR="00291C6A" w:rsidRDefault="00291C6A" w:rsidP="00632D23">
      <w:pPr>
        <w:pStyle w:val="StandardWeb"/>
        <w:numPr>
          <w:ilvl w:val="0"/>
          <w:numId w:val="52"/>
        </w:numPr>
      </w:pPr>
      <w:r>
        <w:t>(T^{(n)}) deren zusammengesetzte Abbildung,</w:t>
      </w:r>
    </w:p>
    <w:p w:rsidR="00291C6A" w:rsidRDefault="00291C6A" w:rsidP="00632D23">
      <w:pPr>
        <w:pStyle w:val="StandardWeb"/>
        <w:numPr>
          <w:ilvl w:val="0"/>
          <w:numId w:val="52"/>
        </w:numPr>
      </w:pPr>
      <w:r>
        <w:t>(\delta_i\preceq_{!F}\delta_j) die funktionale Erreichbarkeit von (\delta_j) aus (\delta_i).</w:t>
      </w:r>
    </w:p>
    <w:p w:rsidR="00291C6A" w:rsidRDefault="00291C6A" w:rsidP="00291C6A">
      <w:pPr>
        <w:pStyle w:val="StandardWeb"/>
      </w:pPr>
      <w:r>
        <w:lastRenderedPageBreak/>
        <w:t>Die Zulassung von (n=0) bedeutet, dass keine zustandsändernde Transformation angewendet werden muss. Für diesen Fall wird die leere Komposition als Identitätsabbildung interpretiert [71, 78].</w:t>
      </w:r>
    </w:p>
    <w:p w:rsidR="00291C6A" w:rsidRDefault="00291C6A" w:rsidP="00291C6A">
      <w:pPr>
        <w:pStyle w:val="berschrift1"/>
      </w:pPr>
      <w:r>
        <w:t>[</w:t>
      </w:r>
      <w:r>
        <w:br/>
        <w:t>T^{(0)}</w:t>
      </w:r>
    </w:p>
    <w:p w:rsidR="00291C6A" w:rsidRDefault="00291C6A" w:rsidP="00291C6A">
      <w:pPr>
        <w:pStyle w:val="StandardWeb"/>
      </w:pPr>
      <w:r>
        <w:t>\operatorname{id}</w:t>
      </w:r>
      <w:r>
        <w:rPr>
          <w:rStyle w:val="Hervorhebung"/>
        </w:rPr>
        <w:t>{\mathcal{S}</w:t>
      </w:r>
      <w:r>
        <w:t>{\mathrm{el}}}.</w:t>
      </w:r>
      <w:r>
        <w:br/>
        <w:t>\tag{3.4113}</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T^{(0)}=\operatorname{id}_{\mathcal{S}_{\mathrm{el}}}\qquad\text{(3.4113)}</w:t>
      </w:r>
    </w:p>
    <w:p w:rsidR="00291C6A" w:rsidRDefault="00291C6A" w:rsidP="00291C6A">
      <w:pPr>
        <w:pStyle w:val="StandardWeb"/>
      </w:pPr>
      <w:r>
        <w:t>Daraus folgt für jeden elementaren funktionalen Zustand</w:t>
      </w:r>
    </w:p>
    <w:p w:rsidR="00291C6A" w:rsidRDefault="00291C6A" w:rsidP="00291C6A">
      <w:pPr>
        <w:pStyle w:val="berschrift1"/>
      </w:pPr>
      <w:r>
        <w:t>[</w:t>
      </w:r>
      <w:r>
        <w:br/>
        <w:t>T^{(0)}(\delta_i)</w:t>
      </w:r>
    </w:p>
    <w:p w:rsidR="00291C6A" w:rsidRDefault="00291C6A" w:rsidP="00291C6A">
      <w:pPr>
        <w:pStyle w:val="StandardWeb"/>
      </w:pPr>
      <w:r>
        <w:t>\delta_i.</w:t>
      </w:r>
      <w:r>
        <w:br/>
        <w:t>\tag{3.4114}</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T^{(0)}(\delta_i)=\delta_i\qquad\text{(3.4114)}</w:t>
      </w:r>
    </w:p>
    <w:p w:rsidR="00291C6A" w:rsidRDefault="00291C6A" w:rsidP="00291C6A">
      <w:pPr>
        <w:pStyle w:val="StandardWeb"/>
      </w:pPr>
      <w:r>
        <w:t>Die Erreichbarkeitsrelation ist damit reflexiv. Jeder funktionale Zustand ist ohne zustandsändernden Transformationsschritt von sich selbst aus erreichbar.</w:t>
      </w:r>
    </w:p>
    <w:p w:rsidR="00291C6A" w:rsidRDefault="00291C6A" w:rsidP="00291C6A">
      <w:pPr>
        <w:pStyle w:val="StandardWeb"/>
      </w:pPr>
      <w:r>
        <w:rPr>
          <w:rStyle w:val="Fett"/>
        </w:rPr>
        <w:t>Eigenleistung des FRZK</w:t>
      </w:r>
    </w:p>
    <w:p w:rsidR="00291C6A" w:rsidRDefault="00291C6A" w:rsidP="00291C6A">
      <w:pPr>
        <w:pStyle w:val="StandardWeb"/>
      </w:pPr>
      <w:r>
        <w:t>Ich verwende die leere Transformationsfolge nicht als physikalischen Vorgang. Sie ist eine mathematische Grenzkonvention, durch welche die Reflexivität der Erreichbarkeitsrelation transparent dargestellt wird.</w:t>
      </w:r>
    </w:p>
    <w:p w:rsidR="00291C6A" w:rsidRPr="00AF32B2" w:rsidRDefault="00291C6A" w:rsidP="00AF32B2">
      <w:pPr>
        <w:pStyle w:val="berschrift4"/>
      </w:pPr>
      <w:r w:rsidRPr="00AF32B2">
        <w:t>3.3.14.3 Reflexivität der funktionalen Erreichbarkeit</w:t>
      </w:r>
    </w:p>
    <w:p w:rsidR="00291C6A" w:rsidRDefault="00291C6A" w:rsidP="00291C6A">
      <w:pPr>
        <w:pStyle w:val="StandardWeb"/>
      </w:pPr>
      <w:r>
        <w:t>Aus Gleichung (3.4114) folgt</w:t>
      </w:r>
    </w:p>
    <w:p w:rsidR="00291C6A" w:rsidRDefault="00291C6A" w:rsidP="00291C6A">
      <w:pPr>
        <w:pStyle w:val="StandardWeb"/>
      </w:pPr>
      <w:r>
        <w:t>[</w:t>
      </w:r>
      <w:r>
        <w:br/>
        <w:t>\forall\delta_i\in\mathcal{S}</w:t>
      </w:r>
      <w:r>
        <w:rPr>
          <w:rStyle w:val="Hervorhebung"/>
        </w:rPr>
        <w:t>{\mathrm{el}}:</w:t>
      </w:r>
      <w:r>
        <w:rPr>
          <w:i/>
          <w:iCs/>
        </w:rPr>
        <w:br/>
      </w:r>
      <w:r>
        <w:rPr>
          <w:rStyle w:val="Hervorhebung"/>
        </w:rPr>
        <w:t>\delta_i</w:t>
      </w:r>
      <w:r>
        <w:rPr>
          <w:i/>
          <w:iCs/>
        </w:rPr>
        <w:br/>
      </w:r>
      <w:r>
        <w:rPr>
          <w:rStyle w:val="Hervorhebung"/>
        </w:rPr>
        <w:t>\preceq</w:t>
      </w:r>
      <w:r>
        <w:t>{!F}</w:t>
      </w:r>
      <w:r>
        <w:br/>
        <w:t>\delta_i.</w:t>
      </w:r>
      <w:r>
        <w:br/>
        <w:t>\tag{3.4115}</w:t>
      </w:r>
      <w:r>
        <w:br/>
        <w:t>]</w:t>
      </w:r>
    </w:p>
    <w:p w:rsidR="00291C6A" w:rsidRDefault="00291C6A" w:rsidP="00291C6A">
      <w:pPr>
        <w:pStyle w:val="StandardWeb"/>
      </w:pPr>
      <w:r>
        <w:rPr>
          <w:rStyle w:val="Fett"/>
        </w:rPr>
        <w:lastRenderedPageBreak/>
        <w:t>Word-LaTeX</w:t>
      </w:r>
    </w:p>
    <w:p w:rsidR="00291C6A" w:rsidRDefault="00291C6A" w:rsidP="00291C6A">
      <w:pPr>
        <w:pStyle w:val="HTMLVorformatiert"/>
        <w:rPr>
          <w:rStyle w:val="HTMLCode"/>
        </w:rPr>
      </w:pPr>
      <w:r>
        <w:rPr>
          <w:rStyle w:val="HTMLCode"/>
        </w:rPr>
        <w:t>\forall\delta_i\in\mathcal{S}_{\mathrm{el}}:\delta_i\preceq_{\!F}\delta_i\qquad\text{(3.4115)}</w:t>
      </w:r>
    </w:p>
    <w:p w:rsidR="00291C6A" w:rsidRDefault="00291C6A" w:rsidP="00291C6A">
      <w:pPr>
        <w:pStyle w:val="StandardWeb"/>
      </w:pPr>
      <w:r>
        <w:t>Gleichung (3.4115) ist keine zusätzliche Annahme. Die Reflexivität folgt aus Definition 3.3.6 und der Identitätsabbildung. Damit unterscheidet sich die nichtstrenge Erreichbarkeitsrelation (\preceq_{!F}) von einer später einzuführenden strengen funktionalen Ordnung [6, 71].</w:t>
      </w:r>
    </w:p>
    <w:p w:rsidR="00291C6A" w:rsidRPr="00AF32B2" w:rsidRDefault="00291C6A" w:rsidP="00AF32B2">
      <w:pPr>
        <w:pStyle w:val="berschrift4"/>
      </w:pPr>
      <w:r w:rsidRPr="00AF32B2">
        <w:t>3.3.14.4 Transitivität der funktionalen Erreichbarkeit</w:t>
      </w:r>
    </w:p>
    <w:p w:rsidR="00291C6A" w:rsidRDefault="00291C6A" w:rsidP="00291C6A">
      <w:pPr>
        <w:pStyle w:val="StandardWeb"/>
      </w:pPr>
      <w:r>
        <w:t>Seien drei elementare funktionale Zustände (\delta_i,\delta_j,\delta_k) gegeben. Gelte</w:t>
      </w:r>
    </w:p>
    <w:p w:rsidR="00291C6A" w:rsidRDefault="00291C6A" w:rsidP="00291C6A">
      <w:pPr>
        <w:pStyle w:val="StandardWeb"/>
      </w:pPr>
      <w:r>
        <w:t>[</w:t>
      </w:r>
      <w:r>
        <w:br/>
        <w:t>\delta_i</w:t>
      </w:r>
      <w:r>
        <w:br/>
        <w:t>\preceq_{!F}</w:t>
      </w:r>
      <w:r>
        <w:br/>
        <w:t>\delta_j</w:t>
      </w:r>
      <w:r>
        <w:br/>
        <w:t>\quad\land\quad</w:t>
      </w:r>
      <w:r>
        <w:br/>
        <w:t>\delta_j</w:t>
      </w:r>
      <w:r>
        <w:br/>
        <w:t>\preceq_{!F}</w:t>
      </w:r>
      <w:r>
        <w:br/>
        <w:t>\delta_k.</w:t>
      </w:r>
      <w:r>
        <w:br/>
        <w:t>\tag{3.4116}</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\delta_i\preceq_{\!F}\delta_j\land\delta_j\preceq_{\!F}\delta_k\qquad\text{(3.4116)}</w:t>
      </w:r>
    </w:p>
    <w:p w:rsidR="00291C6A" w:rsidRDefault="00291C6A" w:rsidP="00291C6A">
      <w:pPr>
        <w:pStyle w:val="StandardWeb"/>
      </w:pPr>
      <w:r>
        <w:t>Dann existieren Transformationsfolgen mit</w:t>
      </w:r>
    </w:p>
    <w:p w:rsidR="00291C6A" w:rsidRDefault="00291C6A" w:rsidP="00291C6A">
      <w:pPr>
        <w:pStyle w:val="berschrift1"/>
      </w:pPr>
      <w:r>
        <w:t>[</w:t>
      </w:r>
      <w:r>
        <w:br/>
        <w:t>T^{(m)}(\delta_i)</w:t>
      </w:r>
    </w:p>
    <w:p w:rsidR="00291C6A" w:rsidRDefault="00291C6A" w:rsidP="00291C6A">
      <w:pPr>
        <w:pStyle w:val="StandardWeb"/>
      </w:pPr>
      <w:r>
        <w:t>\delta_j</w:t>
      </w:r>
      <w:r>
        <w:br/>
        <w:t>\tag{3.4117}</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T^{(m)}(\delta_i)=\delta_j\qquad\text{(3.4117)}</w:t>
      </w:r>
    </w:p>
    <w:p w:rsidR="00291C6A" w:rsidRDefault="00291C6A" w:rsidP="00291C6A">
      <w:pPr>
        <w:pStyle w:val="StandardWeb"/>
      </w:pPr>
      <w:r>
        <w:t>und</w:t>
      </w:r>
    </w:p>
    <w:p w:rsidR="00291C6A" w:rsidRDefault="00291C6A" w:rsidP="00291C6A">
      <w:pPr>
        <w:pStyle w:val="berschrift1"/>
      </w:pPr>
      <w:r>
        <w:t>[</w:t>
      </w:r>
      <w:r>
        <w:br/>
        <w:t>U^{(n)}(\delta_j)</w:t>
      </w:r>
    </w:p>
    <w:p w:rsidR="00291C6A" w:rsidRDefault="00291C6A" w:rsidP="00291C6A">
      <w:pPr>
        <w:pStyle w:val="StandardWeb"/>
      </w:pPr>
      <w:r>
        <w:lastRenderedPageBreak/>
        <w:t>\delta_k.</w:t>
      </w:r>
      <w:r>
        <w:br/>
        <w:t>\tag{3.4118}</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U^{(n)}(\delta_j)=\delta_k\qquad\text{(3.4118)}</w:t>
      </w:r>
    </w:p>
    <w:p w:rsidR="00291C6A" w:rsidRDefault="00291C6A" w:rsidP="00291C6A">
      <w:pPr>
        <w:pStyle w:val="StandardWeb"/>
      </w:pPr>
      <w:r>
        <w:t>Durch Komposition der beiden zusammengesetzten Abbildungen ergibt sich</w:t>
      </w:r>
    </w:p>
    <w:p w:rsidR="00291C6A" w:rsidRDefault="00291C6A" w:rsidP="00291C6A">
      <w:pPr>
        <w:pStyle w:val="berschrift1"/>
      </w:pPr>
      <w:r>
        <w:t>[</w:t>
      </w:r>
      <w:r>
        <w:br/>
        <w:t>\left(</w:t>
      </w:r>
      <w:r>
        <w:br/>
        <w:t>U^{(n)}</w:t>
      </w:r>
      <w:r>
        <w:br/>
        <w:t>\circ</w:t>
      </w:r>
      <w:r>
        <w:br/>
        <w:t>T^{(m)}</w:t>
      </w:r>
      <w:r>
        <w:br/>
        <w:t>\right)</w:t>
      </w:r>
      <w:r>
        <w:br/>
        <w:t>(\delta_i)</w:t>
      </w:r>
    </w:p>
    <w:p w:rsidR="00291C6A" w:rsidRDefault="00291C6A" w:rsidP="00291C6A">
      <w:pPr>
        <w:pStyle w:val="StandardWeb"/>
      </w:pPr>
      <w:r>
        <w:t>\delta_k.</w:t>
      </w:r>
      <w:r>
        <w:br/>
        <w:t>\tag{3.4119}</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\left(U^{(n)}\circ T^{(m)}\right)(\delta_i)=\delta_k\qquad\text{(3.4119)}</w:t>
      </w:r>
    </w:p>
    <w:p w:rsidR="00291C6A" w:rsidRDefault="00291C6A" w:rsidP="00291C6A">
      <w:pPr>
        <w:pStyle w:val="StandardWeb"/>
      </w:pPr>
      <w:r>
        <w:t>Daraus folgt</w:t>
      </w:r>
    </w:p>
    <w:p w:rsidR="00291C6A" w:rsidRDefault="00291C6A" w:rsidP="00291C6A">
      <w:pPr>
        <w:pStyle w:val="StandardWeb"/>
      </w:pPr>
      <w:r>
        <w:t>[</w:t>
      </w:r>
      <w:r>
        <w:br/>
        <w:t>\delta_i</w:t>
      </w:r>
      <w:r>
        <w:br/>
        <w:t>\preceq_{!F}</w:t>
      </w:r>
      <w:r>
        <w:br/>
        <w:t>\delta_k.</w:t>
      </w:r>
      <w:r>
        <w:br/>
        <w:t>\tag{3.4120}</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\delta_i\preceq_{\!F}\delta_k\qquad\text{(3.4120)}</w:t>
      </w:r>
    </w:p>
    <w:p w:rsidR="00291C6A" w:rsidRDefault="00291C6A" w:rsidP="00291C6A">
      <w:pPr>
        <w:pStyle w:val="StandardWeb"/>
      </w:pPr>
      <w:r>
        <w:t>Damit ist die funktionale Erreichbarkeitsrelation transitiv, sofern die beteiligten Transformationsfolgen mathematisch komponierbar sind. Für die Transitivität der Erreichbarkeit ist nicht erforderlich, dass die Gesamtkomposition selbst als einzelnes Element von (\mathfrak{T}_{\mathrm{f}}) klassifiziert wird. Es genügt, dass sie aus einer endlichen Folge funktional wirksamer Einzelschritte besteht [71, 76].</w:t>
      </w:r>
    </w:p>
    <w:p w:rsidR="00291C6A" w:rsidRDefault="00291C6A" w:rsidP="00291C6A">
      <w:pPr>
        <w:pStyle w:val="StandardWeb"/>
      </w:pPr>
      <w:r>
        <w:rPr>
          <w:rStyle w:val="Fett"/>
        </w:rPr>
        <w:t>Eigenleistung des FRZK</w:t>
      </w:r>
    </w:p>
    <w:p w:rsidR="00291C6A" w:rsidRDefault="00291C6A" w:rsidP="00291C6A">
      <w:pPr>
        <w:pStyle w:val="StandardWeb"/>
      </w:pPr>
      <w:r>
        <w:lastRenderedPageBreak/>
        <w:t>Ich unterscheide damit zwischen der funktionalen Wirksamkeit einer einzelnen Gesamttransformation und der Erreichbarkeit durch eine Folge funktional wirksamer Transformationen. Diese Trennung verhindert, dass die in Gleichung (3.4052) nicht vorausgesetzte Abgeschlossenheit von (\mathfrak{T}_{\mathrm{f}}) unbemerkt in die Ordnungsdefinition eingeht.</w:t>
      </w:r>
    </w:p>
    <w:p w:rsidR="00291C6A" w:rsidRPr="00AF32B2" w:rsidRDefault="00291C6A" w:rsidP="00AF32B2">
      <w:pPr>
        <w:pStyle w:val="berschrift4"/>
      </w:pPr>
      <w:r w:rsidRPr="00AF32B2">
        <w:t>3.3.14.5 Fehlende allgemeine Antisymmetrie</w:t>
      </w:r>
    </w:p>
    <w:p w:rsidR="00291C6A" w:rsidRDefault="00291C6A" w:rsidP="00291C6A">
      <w:pPr>
        <w:pStyle w:val="StandardWeb"/>
      </w:pPr>
      <w:r>
        <w:t>Für eine Halbordnung wäre zusätzlich Antisymmetrie erforderlich [6]. Diese würde verlangen:</w:t>
      </w:r>
    </w:p>
    <w:p w:rsidR="00291C6A" w:rsidRDefault="00291C6A" w:rsidP="00291C6A">
      <w:pPr>
        <w:pStyle w:val="berschrift1"/>
      </w:pPr>
      <w:r>
        <w:t>[</w:t>
      </w:r>
      <w:r>
        <w:br/>
        <w:t>\delta_i</w:t>
      </w:r>
      <w:r>
        <w:br/>
        <w:t>\preceq_{!F}</w:t>
      </w:r>
      <w:r>
        <w:br/>
        <w:t>\delta_j</w:t>
      </w:r>
      <w:r>
        <w:br/>
        <w:t>\quad\land\quad</w:t>
      </w:r>
      <w:r>
        <w:br/>
        <w:t>\delta_j</w:t>
      </w:r>
      <w:r>
        <w:br/>
        <w:t>\preceq_{!F}</w:t>
      </w:r>
      <w:r>
        <w:br/>
        <w:t>\delta_i</w:t>
      </w:r>
      <w:r>
        <w:br/>
        <w:t>\Rightarrow</w:t>
      </w:r>
      <w:r>
        <w:br/>
        <w:t>\delta_i</w:t>
      </w:r>
    </w:p>
    <w:p w:rsidR="00291C6A" w:rsidRDefault="00291C6A" w:rsidP="00291C6A">
      <w:pPr>
        <w:pStyle w:val="StandardWeb"/>
      </w:pPr>
      <w:r>
        <w:t>\delta_j.</w:t>
      </w:r>
      <w:r>
        <w:br/>
        <w:t>\tag{3.4121}</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\delta_i\preceq_{\!F}\delta_j\land\delta_j\preceq_{\!F}\delta_i\Rightarrow\delta_i=\delta_j\qquad\text{(3.4121)}</w:t>
      </w:r>
    </w:p>
    <w:p w:rsidR="00291C6A" w:rsidRDefault="00291C6A" w:rsidP="00291C6A">
      <w:pPr>
        <w:pStyle w:val="StandardWeb"/>
      </w:pPr>
      <w:r>
        <w:t>Die funktionale Erreichbarkeit erfüllt diese Bedingung nicht allgemein. Zwei verschiedene Zustände können durch reversible oder zyklische Transformationsfolgen wechselseitig erreichbar sein. In diesem Fall gilt</w:t>
      </w:r>
    </w:p>
    <w:p w:rsidR="00291C6A" w:rsidRDefault="00291C6A" w:rsidP="00291C6A">
      <w:pPr>
        <w:pStyle w:val="StandardWeb"/>
      </w:pPr>
      <w:r>
        <w:t>[</w:t>
      </w:r>
      <w:r>
        <w:br/>
        <w:t>\delta_i</w:t>
      </w:r>
      <w:r>
        <w:br/>
        <w:t>\preceq_{!F}</w:t>
      </w:r>
      <w:r>
        <w:br/>
        <w:t>\delta_j</w:t>
      </w:r>
      <w:r>
        <w:br/>
        <w:t>\quad\land\quad</w:t>
      </w:r>
      <w:r>
        <w:br/>
        <w:t>\delta_j</w:t>
      </w:r>
      <w:r>
        <w:br/>
        <w:t>\preceq_{!F}</w:t>
      </w:r>
      <w:r>
        <w:br/>
        <w:t>\delta_i</w:t>
      </w:r>
      <w:r>
        <w:br/>
        <w:t>\quad\land\quad</w:t>
      </w:r>
      <w:r>
        <w:br/>
      </w:r>
      <w:r>
        <w:lastRenderedPageBreak/>
        <w:t>\delta_i</w:t>
      </w:r>
      <w:r>
        <w:br/>
        <w:t>\neq</w:t>
      </w:r>
      <w:r>
        <w:br/>
        <w:t>\delta_j.</w:t>
      </w:r>
      <w:r>
        <w:br/>
        <w:t>\tag{3.4122}</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\delta_i\preceq_{\!F}\delta_j\land\delta_j\preceq_{\!F}\delta_i\land\delta_i\neq\delta_j\qquad\text{(3.4122)}</w:t>
      </w:r>
    </w:p>
    <w:p w:rsidR="00291C6A" w:rsidRDefault="00291C6A" w:rsidP="00291C6A">
      <w:pPr>
        <w:pStyle w:val="StandardWeb"/>
      </w:pPr>
      <w:r>
        <w:t>Die Relation (\preceq_{!F}) ist deshalb im Allgemeinen eine Präordnung: Sie ist reflexiv und transitiv, aber nicht notwendig antisymmetrisch [6].</w:t>
      </w:r>
    </w:p>
    <w:p w:rsidR="00291C6A" w:rsidRDefault="00291C6A" w:rsidP="00291C6A">
      <w:pPr>
        <w:pStyle w:val="StandardWeb"/>
      </w:pPr>
      <w:r>
        <w:rPr>
          <w:rStyle w:val="Fett"/>
        </w:rPr>
        <w:t>Eigenleistung des FRZK</w:t>
      </w:r>
    </w:p>
    <w:p w:rsidR="00291C6A" w:rsidRDefault="00291C6A" w:rsidP="00291C6A">
      <w:pPr>
        <w:pStyle w:val="StandardWeb"/>
      </w:pPr>
      <w:r>
        <w:t>Ich bezeichne die funktionale Erreichbarkeit nicht vorschnell als Halbordnung. Die fehlende allgemeine Antisymmetrie wird ausdrücklich berücksichtigt. Eine echte Halbordnung entsteht erst nach zusätzlicher Strukturierung oder durch Bildung geeigneter Äquivalenzklassen.</w:t>
      </w:r>
    </w:p>
    <w:p w:rsidR="00291C6A" w:rsidRPr="00AF32B2" w:rsidRDefault="00291C6A" w:rsidP="00AF32B2">
      <w:pPr>
        <w:pStyle w:val="berschrift4"/>
      </w:pPr>
      <w:r w:rsidRPr="00AF32B2">
        <w:t>3.3.14.6 Wechselseitige funktionale Erreichbarkeit</w:t>
      </w:r>
    </w:p>
    <w:p w:rsidR="00291C6A" w:rsidRDefault="00291C6A" w:rsidP="00291C6A">
      <w:pPr>
        <w:pStyle w:val="StandardWeb"/>
      </w:pPr>
      <w:r>
        <w:t>Ich definiere die Relation (\sim_{!F}) durch</w:t>
      </w:r>
    </w:p>
    <w:p w:rsidR="00291C6A" w:rsidRDefault="00291C6A" w:rsidP="00291C6A">
      <w:pPr>
        <w:pStyle w:val="StandardWeb"/>
      </w:pPr>
      <w:r>
        <w:t>[</w:t>
      </w:r>
      <w:r>
        <w:br/>
        <w:t>\delta_i</w:t>
      </w:r>
      <w:r>
        <w:br/>
        <w:t>\sim_{!F}</w:t>
      </w:r>
      <w:r>
        <w:br/>
        <w:t>\delta_j</w:t>
      </w:r>
      <w:r>
        <w:br/>
        <w:t>\iff</w:t>
      </w:r>
      <w:r>
        <w:br/>
        <w:t>\left(</w:t>
      </w:r>
      <w:r>
        <w:br/>
        <w:t>\delta_i</w:t>
      </w:r>
      <w:r>
        <w:br/>
        <w:t>\preceq_{!F}</w:t>
      </w:r>
      <w:r>
        <w:br/>
        <w:t>\delta_j</w:t>
      </w:r>
      <w:r>
        <w:br/>
        <w:t>\right)</w:t>
      </w:r>
      <w:r>
        <w:br/>
        <w:t>\land</w:t>
      </w:r>
      <w:r>
        <w:br/>
        <w:t>\left(</w:t>
      </w:r>
      <w:r>
        <w:br/>
        <w:t>\delta_j</w:t>
      </w:r>
      <w:r>
        <w:br/>
        <w:t>\preceq_{!F}</w:t>
      </w:r>
      <w:r>
        <w:br/>
        <w:t>\delta_i</w:t>
      </w:r>
      <w:r>
        <w:br/>
        <w:t>\right).</w:t>
      </w:r>
      <w:r>
        <w:br/>
        <w:t>\tag{3.4123}</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\delta_i\sim_{\!F}\delta_j\iff\left(\delta_i\preceq_{\!F}\delta_j\right)\land\left(\delta_j\preceq_{\!F}\delta_i\right)\qquad\text{(3.4123)}</w:t>
      </w:r>
    </w:p>
    <w:p w:rsidR="00291C6A" w:rsidRDefault="00291C6A" w:rsidP="00291C6A">
      <w:pPr>
        <w:pStyle w:val="StandardWeb"/>
      </w:pPr>
      <w:r>
        <w:t>Zwei Zustände sind damit funktional äquivalent, wenn jeder durch eine endliche funktionale Entwicklung aus dem jeweils anderen erreichbar ist.</w:t>
      </w:r>
    </w:p>
    <w:p w:rsidR="00291C6A" w:rsidRDefault="00291C6A" w:rsidP="00291C6A">
      <w:pPr>
        <w:pStyle w:val="StandardWeb"/>
      </w:pPr>
      <w:r>
        <w:lastRenderedPageBreak/>
        <w:t>Die Relation (\sim_{!F}) ist reflexiv, symmetrisch und transitiv und bildet daher eine Äquivalenzrelation [6].</w:t>
      </w:r>
    </w:p>
    <w:p w:rsidR="00291C6A" w:rsidRDefault="00291C6A" w:rsidP="00291C6A">
      <w:pPr>
        <w:pStyle w:val="StandardWeb"/>
      </w:pPr>
      <w:r>
        <w:t>Die zu einem Zustand (\delta_i) gehörige funktionale Äquivalenzklasse lautet</w:t>
      </w:r>
    </w:p>
    <w:p w:rsidR="00291C6A" w:rsidRDefault="00291C6A" w:rsidP="00291C6A">
      <w:pPr>
        <w:pStyle w:val="berschrift1"/>
      </w:pPr>
      <w:r>
        <w:t>[</w:t>
      </w:r>
      <w:r>
        <w:br/>
        <w:t>[\delta_i]_{!F}</w:t>
      </w:r>
    </w:p>
    <w:p w:rsidR="00291C6A" w:rsidRDefault="00291C6A" w:rsidP="00291C6A">
      <w:pPr>
        <w:pStyle w:val="StandardWeb"/>
      </w:pPr>
      <w:r>
        <w:t>\left{</w:t>
      </w:r>
      <w:r>
        <w:br/>
        <w:t>\delta_j\in\mathcal{S}</w:t>
      </w:r>
      <w:r>
        <w:rPr>
          <w:rStyle w:val="Hervorhebung"/>
        </w:rPr>
        <w:t>{\mathrm{el}}</w:t>
      </w:r>
      <w:r>
        <w:rPr>
          <w:i/>
          <w:iCs/>
        </w:rPr>
        <w:br/>
      </w:r>
      <w:r>
        <w:rPr>
          <w:rStyle w:val="Hervorhebung"/>
        </w:rPr>
        <w:t>;\middle|;</w:t>
      </w:r>
      <w:r>
        <w:rPr>
          <w:i/>
          <w:iCs/>
        </w:rPr>
        <w:br/>
      </w:r>
      <w:r>
        <w:rPr>
          <w:rStyle w:val="Hervorhebung"/>
        </w:rPr>
        <w:t>\delta_j\sim</w:t>
      </w:r>
      <w:r>
        <w:t>{!F}\delta_i</w:t>
      </w:r>
      <w:r>
        <w:br/>
        <w:t>\right}.</w:t>
      </w:r>
      <w:r>
        <w:br/>
        <w:t>\tag{3.4124}</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[\delta_i]_{\!F}=\left\{\delta_j\in\mathcal{S}_{\mathrm{el}}\middle|\delta_j\sim_{\!F}\delta_i\right\}\qquad\text{(3.4124)}</w:t>
      </w:r>
    </w:p>
    <w:p w:rsidR="00291C6A" w:rsidRDefault="00291C6A" w:rsidP="00291C6A">
      <w:pPr>
        <w:pStyle w:val="StandardWeb"/>
      </w:pPr>
      <w:r>
        <w:t>Dabei enthält ([\delta_i]_{!F}) sämtliche Zustände, die mit (\delta_i) wechselseitig funktional erreichbar sind.</w:t>
      </w:r>
    </w:p>
    <w:p w:rsidR="00291C6A" w:rsidRDefault="00291C6A" w:rsidP="00291C6A">
      <w:pPr>
        <w:pStyle w:val="StandardWeb"/>
      </w:pPr>
      <w:r>
        <w:rPr>
          <w:rStyle w:val="Fett"/>
        </w:rPr>
        <w:t>Eigenleistung des FRZK</w:t>
      </w:r>
    </w:p>
    <w:p w:rsidR="00291C6A" w:rsidRDefault="00291C6A" w:rsidP="00291C6A">
      <w:pPr>
        <w:pStyle w:val="StandardWeb"/>
      </w:pPr>
      <w:r>
        <w:t>Ich interpretiere eine funktionale Äquivalenzklasse zunächst nicht als Gleichzeitigkeit, räumliche Region oder physikalischen Zustand. Sie beschreibt ausschließlich eine Klasse wechselseitig erreichbarer funktionaler Zustände.</w:t>
      </w:r>
    </w:p>
    <w:p w:rsidR="00291C6A" w:rsidRPr="00AF32B2" w:rsidRDefault="00291C6A" w:rsidP="00AF32B2">
      <w:pPr>
        <w:pStyle w:val="berschrift4"/>
      </w:pPr>
      <w:r w:rsidRPr="00AF32B2">
        <w:t>3.3.14.7 Quotientenstruktur der funktionalen Zustände</w:t>
      </w:r>
    </w:p>
    <w:p w:rsidR="00291C6A" w:rsidRDefault="00291C6A" w:rsidP="00291C6A">
      <w:pPr>
        <w:pStyle w:val="StandardWeb"/>
      </w:pPr>
      <w:r>
        <w:t>Die Menge aller funktionalen Äquivalenzklassen wird durch</w:t>
      </w:r>
    </w:p>
    <w:p w:rsidR="00291C6A" w:rsidRDefault="00291C6A" w:rsidP="00291C6A">
      <w:pPr>
        <w:pStyle w:val="berschrift1"/>
      </w:pPr>
      <w:r>
        <w:t>[</w:t>
      </w:r>
      <w:r>
        <w:br/>
        <w:t>\mathcal{S}</w:t>
      </w:r>
      <w:r>
        <w:rPr>
          <w:rStyle w:val="Hervorhebung"/>
        </w:rPr>
        <w:t>{\mathrm{el}}</w:t>
      </w:r>
      <w:r>
        <w:rPr>
          <w:i/>
          <w:iCs/>
        </w:rPr>
        <w:br/>
      </w:r>
      <w:r>
        <w:rPr>
          <w:rStyle w:val="Hervorhebung"/>
        </w:rPr>
        <w:t>/</w:t>
      </w:r>
      <w:r>
        <w:rPr>
          <w:i/>
          <w:iCs/>
        </w:rPr>
        <w:br/>
      </w:r>
      <w:r>
        <w:rPr>
          <w:rStyle w:val="Hervorhebung"/>
        </w:rPr>
        <w:t>{\sim</w:t>
      </w:r>
      <w:r>
        <w:t>{!F}}</w:t>
      </w:r>
    </w:p>
    <w:p w:rsidR="00291C6A" w:rsidRDefault="00291C6A" w:rsidP="00291C6A">
      <w:pPr>
        <w:pStyle w:val="StandardWeb"/>
      </w:pPr>
      <w:r>
        <w:t>\left{</w:t>
      </w:r>
      <w:r>
        <w:br/>
        <w:t>[\delta]</w:t>
      </w:r>
      <w:r>
        <w:rPr>
          <w:rStyle w:val="Hervorhebung"/>
        </w:rPr>
        <w:t>{!F}</w:t>
      </w:r>
      <w:r>
        <w:rPr>
          <w:i/>
          <w:iCs/>
        </w:rPr>
        <w:br/>
      </w:r>
      <w:r>
        <w:rPr>
          <w:rStyle w:val="Hervorhebung"/>
        </w:rPr>
        <w:t>;\middle|;</w:t>
      </w:r>
      <w:r>
        <w:rPr>
          <w:i/>
          <w:iCs/>
        </w:rPr>
        <w:br/>
      </w:r>
      <w:r>
        <w:rPr>
          <w:rStyle w:val="Hervorhebung"/>
        </w:rPr>
        <w:t>\delta\in\mathcal{S}</w:t>
      </w:r>
      <w:r>
        <w:t>{\mathrm{el}}</w:t>
      </w:r>
      <w:r>
        <w:br/>
        <w:t>\right}</w:t>
      </w:r>
      <w:r>
        <w:br/>
        <w:t>\tag{3.4125}</w:t>
      </w:r>
      <w:r>
        <w:br/>
        <w:t>]</w:t>
      </w:r>
    </w:p>
    <w:p w:rsidR="00291C6A" w:rsidRDefault="00291C6A" w:rsidP="00291C6A">
      <w:pPr>
        <w:pStyle w:val="StandardWeb"/>
      </w:pPr>
      <w:r>
        <w:rPr>
          <w:rStyle w:val="Fett"/>
        </w:rPr>
        <w:lastRenderedPageBreak/>
        <w:t>Word-LaTeX</w:t>
      </w:r>
    </w:p>
    <w:p w:rsidR="00291C6A" w:rsidRDefault="00291C6A" w:rsidP="00291C6A">
      <w:pPr>
        <w:pStyle w:val="HTMLVorformatiert"/>
        <w:rPr>
          <w:rStyle w:val="HTMLCode"/>
        </w:rPr>
      </w:pPr>
      <w:r>
        <w:rPr>
          <w:rStyle w:val="HTMLCode"/>
        </w:rPr>
        <w:t>\mathcal{S}_{\mathrm{el}}/{\sim_{\!F}}=\left\{[\delta]_{\!F}\middle|\delta\in\mathcal{S}_{\mathrm{el}}\right\}\qquad\text{(3.4125)}</w:t>
      </w:r>
    </w:p>
    <w:p w:rsidR="00291C6A" w:rsidRDefault="00291C6A" w:rsidP="00291C6A">
      <w:pPr>
        <w:pStyle w:val="StandardWeb"/>
      </w:pPr>
      <w:r>
        <w:t>definiert. Auf dieser Quotientenmenge kann eine Relation (\leq_{!F}) eingeführt werden:</w:t>
      </w:r>
    </w:p>
    <w:p w:rsidR="00291C6A" w:rsidRDefault="00291C6A" w:rsidP="00291C6A">
      <w:pPr>
        <w:pStyle w:val="StandardWeb"/>
      </w:pPr>
      <w:r>
        <w:t>[</w:t>
      </w:r>
      <w:r>
        <w:br/>
        <w:t>[\delta_i]</w:t>
      </w:r>
      <w:r>
        <w:rPr>
          <w:rStyle w:val="Hervorhebung"/>
        </w:rPr>
        <w:t>{!F}</w:t>
      </w:r>
      <w:r>
        <w:rPr>
          <w:i/>
          <w:iCs/>
        </w:rPr>
        <w:br/>
      </w:r>
      <w:r>
        <w:rPr>
          <w:rStyle w:val="Hervorhebung"/>
        </w:rPr>
        <w:t>\leq</w:t>
      </w:r>
      <w:r>
        <w:t>{!F}</w:t>
      </w:r>
      <w:r>
        <w:br/>
        <w:t>[\delta_j]</w:t>
      </w:r>
      <w:r>
        <w:rPr>
          <w:rStyle w:val="Hervorhebung"/>
        </w:rPr>
        <w:t>{!F}</w:t>
      </w:r>
      <w:r>
        <w:rPr>
          <w:i/>
          <w:iCs/>
        </w:rPr>
        <w:br/>
      </w:r>
      <w:r>
        <w:rPr>
          <w:rStyle w:val="Hervorhebung"/>
        </w:rPr>
        <w:t>\iff</w:t>
      </w:r>
      <w:r>
        <w:rPr>
          <w:i/>
          <w:iCs/>
        </w:rPr>
        <w:br/>
      </w:r>
      <w:r>
        <w:rPr>
          <w:rStyle w:val="Hervorhebung"/>
        </w:rPr>
        <w:t>\delta_i</w:t>
      </w:r>
      <w:r>
        <w:rPr>
          <w:i/>
          <w:iCs/>
        </w:rPr>
        <w:br/>
      </w:r>
      <w:r>
        <w:rPr>
          <w:rStyle w:val="Hervorhebung"/>
        </w:rPr>
        <w:t>\preceq</w:t>
      </w:r>
      <w:r>
        <w:t>{!F}</w:t>
      </w:r>
      <w:r>
        <w:br/>
        <w:t>\delta_j.</w:t>
      </w:r>
      <w:r>
        <w:br/>
        <w:t>\tag{3.4126}</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[\delta_i]_{\!F}\leq_{\!F}[\delta_j]_{\!F}\iff\delta_i\preceq_{\!F}\delta_j\qquad\text{(3.4126)}</w:t>
      </w:r>
    </w:p>
    <w:p w:rsidR="00291C6A" w:rsidRDefault="00291C6A" w:rsidP="00291C6A">
      <w:pPr>
        <w:pStyle w:val="StandardWeb"/>
      </w:pPr>
      <w:r>
        <w:t>Die Definition ist wohldefiniert, weil die Wahl anderer Repräsentanten derselben Äquivalenzklassen die Erreichbarkeitsbeziehung zwischen den Klassen nicht verändert.</w:t>
      </w:r>
    </w:p>
    <w:p w:rsidR="00291C6A" w:rsidRDefault="00291C6A" w:rsidP="00291C6A">
      <w:pPr>
        <w:pStyle w:val="StandardWeb"/>
      </w:pPr>
      <w:r>
        <w:t>Auf der Quotientenmenge ist (\leq_{!F}) reflexiv, transitiv und antisymmetrisch. Damit entsteht eine Halbordnung [6].</w:t>
      </w:r>
    </w:p>
    <w:p w:rsidR="00291C6A" w:rsidRDefault="00291C6A" w:rsidP="00291C6A">
      <w:pPr>
        <w:pStyle w:val="StandardWeb"/>
      </w:pPr>
      <w:r>
        <w:t>[</w:t>
      </w:r>
      <w:r>
        <w:br/>
        <w:t>\left(</w:t>
      </w:r>
      <w:r>
        <w:br/>
        <w:t>\mathcal{S}</w:t>
      </w:r>
      <w:r>
        <w:rPr>
          <w:rStyle w:val="Hervorhebung"/>
        </w:rPr>
        <w:t>{\mathrm{el}}/{\sim</w:t>
      </w:r>
      <w:r>
        <w:t>{!F}},</w:t>
      </w:r>
      <w:r>
        <w:br/>
        <w:t>\leq_{!F}</w:t>
      </w:r>
      <w:r>
        <w:br/>
        <w:t>\right)</w:t>
      </w:r>
      <w:r>
        <w:br/>
        <w:t>\tag{3.4127}</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\left(\mathcal{S}_{\mathrm{el}}/{\sim_{\!F}},\leq_{\!F}\right)\qquad\text{(3.4127)}</w:t>
      </w:r>
    </w:p>
    <w:p w:rsidR="00291C6A" w:rsidRDefault="00291C6A" w:rsidP="00291C6A">
      <w:pPr>
        <w:pStyle w:val="StandardWeb"/>
      </w:pPr>
      <w:r>
        <w:t>bezeichnet die halbgeordnete Quotientenstruktur der funktionalen Zustände.</w:t>
      </w:r>
    </w:p>
    <w:p w:rsidR="00291C6A" w:rsidRDefault="00291C6A" w:rsidP="00291C6A">
      <w:pPr>
        <w:pStyle w:val="StandardWeb"/>
      </w:pPr>
      <w:r>
        <w:rPr>
          <w:rStyle w:val="Fett"/>
        </w:rPr>
        <w:t>Eigenleistung des FRZK</w:t>
      </w:r>
    </w:p>
    <w:p w:rsidR="00291C6A" w:rsidRDefault="00291C6A" w:rsidP="00291C6A">
      <w:pPr>
        <w:pStyle w:val="StandardWeb"/>
      </w:pPr>
      <w:r>
        <w:t>Ich gewinne die funktionale Halbordnung nicht durch ein weiteres Primäraxiom, sondern durch Quotientenbildung aus der funktionalen Erreichbarkeit. Zyklisch oder reversibel miteinander verbundene Zustände werden dabei zu einer Äquivalenzklasse zusammengefasst.</w:t>
      </w:r>
    </w:p>
    <w:p w:rsidR="00291C6A" w:rsidRPr="00AF32B2" w:rsidRDefault="00291C6A" w:rsidP="00AF32B2">
      <w:pPr>
        <w:pStyle w:val="berschrift4"/>
      </w:pPr>
      <w:r w:rsidRPr="00AF32B2">
        <w:t>3.3.14.8 Definition der funktionalen Ordnung</w:t>
      </w:r>
    </w:p>
    <w:p w:rsidR="00291C6A" w:rsidRDefault="00291C6A" w:rsidP="00291C6A">
      <w:pPr>
        <w:pStyle w:val="StandardWeb"/>
      </w:pPr>
      <w:r>
        <w:rPr>
          <w:rStyle w:val="Fett"/>
        </w:rPr>
        <w:lastRenderedPageBreak/>
        <w:t>Definition 3.3.7 – Funktionale Ordnung</w:t>
      </w:r>
    </w:p>
    <w:p w:rsidR="00291C6A" w:rsidRDefault="00291C6A" w:rsidP="00291C6A">
      <w:pPr>
        <w:pStyle w:val="StandardWeb"/>
      </w:pPr>
      <w:r>
        <w:t>Die funktionale Ordnung ist die durch funktionale Erreichbarkeit induzierte Halbordnung auf den Äquivalenzklassen wechselseitig erreichbarer elementarer funktionaler Zustände.</w:t>
      </w:r>
    </w:p>
    <w:p w:rsidR="00291C6A" w:rsidRDefault="00291C6A" w:rsidP="00291C6A">
      <w:pPr>
        <w:pStyle w:val="StandardWeb"/>
      </w:pPr>
      <w:r>
        <w:t>Formal wird sie durch</w:t>
      </w:r>
    </w:p>
    <w:p w:rsidR="00291C6A" w:rsidRDefault="00291C6A" w:rsidP="00291C6A">
      <w:pPr>
        <w:pStyle w:val="StandardWeb"/>
      </w:pPr>
      <w:r>
        <w:t>[</w:t>
      </w:r>
      <w:r>
        <w:br/>
        <w:t>[\delta_i]</w:t>
      </w:r>
      <w:r>
        <w:rPr>
          <w:rStyle w:val="Hervorhebung"/>
        </w:rPr>
        <w:t>{!F}</w:t>
      </w:r>
      <w:r>
        <w:rPr>
          <w:i/>
          <w:iCs/>
        </w:rPr>
        <w:br/>
      </w:r>
      <w:r>
        <w:rPr>
          <w:rStyle w:val="Hervorhebung"/>
        </w:rPr>
        <w:t>\leq</w:t>
      </w:r>
      <w:r>
        <w:t>{!F}</w:t>
      </w:r>
      <w:r>
        <w:br/>
        <w:t>[\delta_j]_{!F}</w:t>
      </w:r>
      <w:r>
        <w:br/>
        <w:t>\iff</w:t>
      </w:r>
      <w:r>
        <w:br/>
        <w:t>\exists n\in\mathbb{N}</w:t>
      </w:r>
      <w:r>
        <w:rPr>
          <w:rStyle w:val="Hervorhebung"/>
        </w:rPr>
        <w:t>0</w:t>
      </w:r>
      <w:r>
        <w:rPr>
          <w:i/>
          <w:iCs/>
        </w:rPr>
        <w:br/>
      </w:r>
      <w:r>
        <w:rPr>
          <w:rStyle w:val="Hervorhebung"/>
        </w:rPr>
        <w:t>;</w:t>
      </w:r>
      <w:r>
        <w:rPr>
          <w:i/>
          <w:iCs/>
        </w:rPr>
        <w:br/>
      </w:r>
      <w:r>
        <w:rPr>
          <w:rStyle w:val="Hervorhebung"/>
        </w:rPr>
        <w:t>\exists T_1,\ldots,T_n\in\mathfrak{T}</w:t>
      </w:r>
      <w:r>
        <w:t>{\mathrm{f}}</w:t>
      </w:r>
      <w:r>
        <w:br/>
        <w:t>:</w:t>
      </w:r>
      <w:r>
        <w:br/>
        <w:t>T^{(n)}(\delta_i)=\delta_j</w:t>
      </w:r>
      <w:r>
        <w:br/>
        <w:t>\tag{3.4128}</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[\delta_i]_{\!F}\leq_{\!F}[\delta_j]_{\!F}\iff\exists n\in\mathbb{N}_0\;\exists T_1,\ldots,T_n\in\mathfrak{T}_{\mathrm{f}}:T^{(n)}(\delta_i)=\delta_j\qquad\text{(3.4128)}</w:t>
      </w:r>
    </w:p>
    <w:p w:rsidR="00291C6A" w:rsidRDefault="00291C6A" w:rsidP="00291C6A">
      <w:pPr>
        <w:pStyle w:val="StandardWeb"/>
      </w:pPr>
      <w:r>
        <w:t>festgelegt.</w:t>
      </w:r>
    </w:p>
    <w:p w:rsidR="00291C6A" w:rsidRDefault="00291C6A" w:rsidP="00291C6A">
      <w:pPr>
        <w:pStyle w:val="StandardWeb"/>
      </w:pPr>
      <w:r>
        <w:t>Definition 3.3.7 fügt den Primäraxiomen keinen neuen Existenzgehalt hinzu. Sie ordnet die durch funktionale Transformationen erzeugbaren Erreichbarkeitsbeziehungen und beseitigt die fehlende Antisymmetrie durch Äquivalenzklassenbildung [6, 71, 79].</w:t>
      </w:r>
    </w:p>
    <w:p w:rsidR="00291C6A" w:rsidRPr="00AF32B2" w:rsidRDefault="00291C6A" w:rsidP="00AF32B2">
      <w:pPr>
        <w:pStyle w:val="berschrift4"/>
      </w:pPr>
      <w:r w:rsidRPr="00AF32B2">
        <w:t>3.3.14.9 Strenge funktionale Ordnung</w:t>
      </w:r>
    </w:p>
    <w:p w:rsidR="00291C6A" w:rsidRDefault="00291C6A" w:rsidP="00291C6A">
      <w:pPr>
        <w:pStyle w:val="StandardWeb"/>
      </w:pPr>
      <w:r>
        <w:t>Aus der nichtstrengen Halbordnung kann eine strenge funktionale Ordnung definiert werden:</w:t>
      </w:r>
    </w:p>
    <w:p w:rsidR="00291C6A" w:rsidRDefault="00291C6A" w:rsidP="00291C6A">
      <w:pPr>
        <w:pStyle w:val="StandardWeb"/>
      </w:pPr>
      <w:r>
        <w:t>[</w:t>
      </w:r>
      <w:r>
        <w:br/>
        <w:t>[\delta_i]</w:t>
      </w:r>
      <w:r>
        <w:rPr>
          <w:rStyle w:val="Hervorhebung"/>
        </w:rPr>
        <w:t>{!F}</w:t>
      </w:r>
      <w:r>
        <w:rPr>
          <w:i/>
          <w:iCs/>
        </w:rPr>
        <w:br/>
      </w:r>
      <w:r>
        <w:rPr>
          <w:rStyle w:val="Hervorhebung"/>
        </w:rPr>
        <w:t>&lt;</w:t>
      </w:r>
      <w:r>
        <w:t>{!F}</w:t>
      </w:r>
      <w:r>
        <w:br/>
        <w:t>[\delta_j]</w:t>
      </w:r>
      <w:r>
        <w:rPr>
          <w:rStyle w:val="Hervorhebung"/>
        </w:rPr>
        <w:t>{!F}</w:t>
      </w:r>
      <w:r>
        <w:rPr>
          <w:i/>
          <w:iCs/>
        </w:rPr>
        <w:br/>
      </w:r>
      <w:r>
        <w:rPr>
          <w:rStyle w:val="Hervorhebung"/>
        </w:rPr>
        <w:t>\iff</w:t>
      </w:r>
      <w:r>
        <w:rPr>
          <w:i/>
          <w:iCs/>
        </w:rPr>
        <w:br/>
      </w:r>
      <w:r>
        <w:rPr>
          <w:rStyle w:val="Hervorhebung"/>
        </w:rPr>
        <w:t>\left(</w:t>
      </w:r>
      <w:r>
        <w:rPr>
          <w:i/>
          <w:iCs/>
        </w:rPr>
        <w:br/>
      </w:r>
      <w:r>
        <w:rPr>
          <w:rStyle w:val="Hervorhebung"/>
        </w:rPr>
        <w:t>[\delta_i]</w:t>
      </w:r>
      <w:r>
        <w:t>{!F}</w:t>
      </w:r>
      <w:r>
        <w:br/>
        <w:t>\leq_{!F}</w:t>
      </w:r>
      <w:r>
        <w:br/>
        <w:t>[\delta_j]</w:t>
      </w:r>
      <w:r>
        <w:rPr>
          <w:rStyle w:val="Hervorhebung"/>
        </w:rPr>
        <w:t>{!F}</w:t>
      </w:r>
      <w:r>
        <w:rPr>
          <w:i/>
          <w:iCs/>
        </w:rPr>
        <w:br/>
      </w:r>
      <w:r>
        <w:rPr>
          <w:rStyle w:val="Hervorhebung"/>
        </w:rPr>
        <w:t>\right)</w:t>
      </w:r>
      <w:r>
        <w:rPr>
          <w:i/>
          <w:iCs/>
        </w:rPr>
        <w:br/>
      </w:r>
      <w:r>
        <w:rPr>
          <w:rStyle w:val="Hervorhebung"/>
        </w:rPr>
        <w:t>\land</w:t>
      </w:r>
      <w:r>
        <w:rPr>
          <w:i/>
          <w:iCs/>
        </w:rPr>
        <w:br/>
      </w:r>
      <w:r>
        <w:rPr>
          <w:rStyle w:val="Hervorhebung"/>
        </w:rPr>
        <w:t>\left(</w:t>
      </w:r>
      <w:r>
        <w:rPr>
          <w:i/>
          <w:iCs/>
        </w:rPr>
        <w:br/>
      </w:r>
      <w:r>
        <w:rPr>
          <w:rStyle w:val="Hervorhebung"/>
        </w:rPr>
        <w:t>[\delta_i]</w:t>
      </w:r>
      <w:r>
        <w:t>{!F}</w:t>
      </w:r>
      <w:r>
        <w:br/>
        <w:t>\neq</w:t>
      </w:r>
      <w:r>
        <w:br/>
        <w:t>[\delta_j]_{!F}</w:t>
      </w:r>
      <w:r>
        <w:br/>
      </w:r>
      <w:r>
        <w:lastRenderedPageBreak/>
        <w:t>\right).</w:t>
      </w:r>
      <w:r>
        <w:br/>
        <w:t>\tag{3.4129}</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[\delta_i]_{\!F}&lt;_{\!F}[\delta_j]_{\!F}\iff\left([\delta_i]_{\!F}\leq_{\!F}[\delta_j]_{\!F}\right)\land\left([\delta_i]_{\!F}\neq[\delta_j]_{\!F}\right)\qquad\text{(3.4129)}</w:t>
      </w:r>
    </w:p>
    <w:p w:rsidR="00291C6A" w:rsidRDefault="00291C6A" w:rsidP="00291C6A">
      <w:pPr>
        <w:pStyle w:val="StandardWeb"/>
      </w:pPr>
      <w:r>
        <w:t>Die strenge funktionale Ordnung ist irreflexiv:</w:t>
      </w:r>
    </w:p>
    <w:p w:rsidR="00291C6A" w:rsidRDefault="00291C6A" w:rsidP="00291C6A">
      <w:pPr>
        <w:pStyle w:val="StandardWeb"/>
      </w:pPr>
      <w:r>
        <w:t>[</w:t>
      </w:r>
      <w:r>
        <w:br/>
        <w:t>\neg</w:t>
      </w:r>
      <w:r>
        <w:br/>
        <w:t>\left(</w:t>
      </w:r>
      <w:r>
        <w:br/>
        <w:t>[\delta_i]</w:t>
      </w:r>
      <w:r>
        <w:rPr>
          <w:rStyle w:val="Hervorhebung"/>
        </w:rPr>
        <w:t>{!F}</w:t>
      </w:r>
      <w:r>
        <w:rPr>
          <w:i/>
          <w:iCs/>
        </w:rPr>
        <w:br/>
      </w:r>
      <w:r>
        <w:rPr>
          <w:rStyle w:val="Hervorhebung"/>
        </w:rPr>
        <w:t>&lt;</w:t>
      </w:r>
      <w:r>
        <w:t>{!F}</w:t>
      </w:r>
      <w:r>
        <w:br/>
        <w:t>[\delta_i]_{!F}</w:t>
      </w:r>
      <w:r>
        <w:br/>
        <w:t>\right).</w:t>
      </w:r>
      <w:r>
        <w:br/>
        <w:t>\tag{3.4130}</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\neg\left([\delta_i]_{\!F}&lt;_{\!F}[\delta_i]_{\!F}\right)\qquad\text{(3.4130)}</w:t>
      </w:r>
    </w:p>
    <w:p w:rsidR="00291C6A" w:rsidRDefault="00291C6A" w:rsidP="00291C6A">
      <w:pPr>
        <w:pStyle w:val="StandardWeb"/>
      </w:pPr>
      <w:r>
        <w:t>Sie ist außerdem transitiv:</w:t>
      </w:r>
    </w:p>
    <w:p w:rsidR="00291C6A" w:rsidRDefault="00291C6A" w:rsidP="00291C6A">
      <w:pPr>
        <w:pStyle w:val="StandardWeb"/>
      </w:pPr>
      <w:r>
        <w:t>[</w:t>
      </w:r>
      <w:r>
        <w:br/>
        <w:t>[\delta_i]</w:t>
      </w:r>
      <w:r>
        <w:rPr>
          <w:rStyle w:val="Hervorhebung"/>
        </w:rPr>
        <w:t>{!F}</w:t>
      </w:r>
      <w:r>
        <w:rPr>
          <w:i/>
          <w:iCs/>
        </w:rPr>
        <w:br/>
      </w:r>
      <w:r>
        <w:rPr>
          <w:rStyle w:val="Hervorhebung"/>
        </w:rPr>
        <w:t>&lt;</w:t>
      </w:r>
      <w:r>
        <w:t>{!F}</w:t>
      </w:r>
      <w:r>
        <w:br/>
        <w:t>[\delta_j]</w:t>
      </w:r>
      <w:r>
        <w:rPr>
          <w:rStyle w:val="Hervorhebung"/>
        </w:rPr>
        <w:t>{!F}</w:t>
      </w:r>
      <w:r>
        <w:rPr>
          <w:i/>
          <w:iCs/>
        </w:rPr>
        <w:br/>
      </w:r>
      <w:r>
        <w:rPr>
          <w:rStyle w:val="Hervorhebung"/>
        </w:rPr>
        <w:t>\land</w:t>
      </w:r>
      <w:r>
        <w:rPr>
          <w:i/>
          <w:iCs/>
        </w:rPr>
        <w:br/>
      </w:r>
      <w:r>
        <w:rPr>
          <w:rStyle w:val="Hervorhebung"/>
        </w:rPr>
        <w:t>[\delta_j]</w:t>
      </w:r>
      <w:r>
        <w:t>{!F}</w:t>
      </w:r>
      <w:r>
        <w:br/>
        <w:t>&lt;</w:t>
      </w:r>
      <w:r>
        <w:rPr>
          <w:rStyle w:val="Hervorhebung"/>
        </w:rPr>
        <w:t>{!F}</w:t>
      </w:r>
      <w:r>
        <w:rPr>
          <w:i/>
          <w:iCs/>
        </w:rPr>
        <w:br/>
      </w:r>
      <w:r>
        <w:rPr>
          <w:rStyle w:val="Hervorhebung"/>
        </w:rPr>
        <w:t>[\delta_k]</w:t>
      </w:r>
      <w:r>
        <w:t>{!F}</w:t>
      </w:r>
      <w:r>
        <w:br/>
        <w:t>\Rightarrow</w:t>
      </w:r>
      <w:r>
        <w:br/>
        <w:t>[\delta_i]</w:t>
      </w:r>
      <w:r>
        <w:rPr>
          <w:rStyle w:val="Hervorhebung"/>
        </w:rPr>
        <w:t>{!F}</w:t>
      </w:r>
      <w:r>
        <w:rPr>
          <w:i/>
          <w:iCs/>
        </w:rPr>
        <w:br/>
      </w:r>
      <w:r>
        <w:rPr>
          <w:rStyle w:val="Hervorhebung"/>
        </w:rPr>
        <w:t>&lt;</w:t>
      </w:r>
      <w:r>
        <w:t>{!F}</w:t>
      </w:r>
      <w:r>
        <w:br/>
        <w:t>[\delta_k]_{!F}.</w:t>
      </w:r>
      <w:r>
        <w:br/>
        <w:t>\tag{3.4131}</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[\delta_i]_{\!F}&lt;_{\!F}[\delta_j]_{\!F}\land[\delta_j]_{\!F}&lt;_{\!F}[\delta_k]_{\!F}\Rightarrow[\delta_i]_{\!F}&lt;_{\!F}[\delta_k]_{\!F}\qquad\text{(3.4131)}</w:t>
      </w:r>
    </w:p>
    <w:p w:rsidR="00291C6A" w:rsidRDefault="00291C6A" w:rsidP="00291C6A">
      <w:pPr>
        <w:pStyle w:val="StandardWeb"/>
      </w:pPr>
      <w:r>
        <w:t>Diese Eigenschaften folgen aus der zugrunde liegenden Halbordnung und stellen keine zusätzlichen FRZK-Annahmen dar [6].</w:t>
      </w:r>
    </w:p>
    <w:p w:rsidR="00291C6A" w:rsidRPr="00AF32B2" w:rsidRDefault="00291C6A" w:rsidP="00AF32B2">
      <w:pPr>
        <w:pStyle w:val="berschrift4"/>
      </w:pPr>
      <w:r w:rsidRPr="00AF32B2">
        <w:lastRenderedPageBreak/>
        <w:t>3.3.14.10 Vergleichbare und unvergleichbare Zustandsklassen</w:t>
      </w:r>
    </w:p>
    <w:p w:rsidR="00291C6A" w:rsidRDefault="00291C6A" w:rsidP="00291C6A">
      <w:pPr>
        <w:pStyle w:val="StandardWeb"/>
      </w:pPr>
      <w:r>
        <w:t>Zwei funktionale Äquivalenzklassen sind vergleichbar, wenn mindestens eine der beiden Ordnungsrichtungen gilt:</w:t>
      </w:r>
    </w:p>
    <w:p w:rsidR="00291C6A" w:rsidRDefault="00291C6A" w:rsidP="00291C6A">
      <w:pPr>
        <w:pStyle w:val="StandardWeb"/>
      </w:pPr>
      <w:r>
        <w:t>[</w:t>
      </w:r>
      <w:r>
        <w:br/>
        <w:t>[\delta_i]</w:t>
      </w:r>
      <w:r>
        <w:rPr>
          <w:rStyle w:val="Hervorhebung"/>
        </w:rPr>
        <w:t>{!F}</w:t>
      </w:r>
      <w:r>
        <w:rPr>
          <w:i/>
          <w:iCs/>
        </w:rPr>
        <w:br/>
      </w:r>
      <w:r>
        <w:rPr>
          <w:rStyle w:val="Hervorhebung"/>
        </w:rPr>
        <w:t>\leq</w:t>
      </w:r>
      <w:r>
        <w:t>{!F}</w:t>
      </w:r>
      <w:r>
        <w:br/>
        <w:t>[\delta_j]</w:t>
      </w:r>
      <w:r>
        <w:rPr>
          <w:rStyle w:val="Hervorhebung"/>
        </w:rPr>
        <w:t>{!F}</w:t>
      </w:r>
      <w:r>
        <w:rPr>
          <w:i/>
          <w:iCs/>
        </w:rPr>
        <w:br/>
      </w:r>
      <w:r>
        <w:rPr>
          <w:rStyle w:val="Hervorhebung"/>
        </w:rPr>
        <w:t>\quad\lor\quad</w:t>
      </w:r>
      <w:r>
        <w:rPr>
          <w:i/>
          <w:iCs/>
        </w:rPr>
        <w:br/>
      </w:r>
      <w:r>
        <w:rPr>
          <w:rStyle w:val="Hervorhebung"/>
        </w:rPr>
        <w:t>[\delta_j]</w:t>
      </w:r>
      <w:r>
        <w:t>{!F}</w:t>
      </w:r>
      <w:r>
        <w:br/>
        <w:t>\leq_{!F}</w:t>
      </w:r>
      <w:r>
        <w:br/>
        <w:t>[\delta_i]_{!F}.</w:t>
      </w:r>
      <w:r>
        <w:br/>
        <w:t>\tag{3.4132}</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[\delta_i]_{\!F}\leq_{\!F}[\delta_j]_{\!F}\lor[\delta_j]_{\!F}\leq_{\!F}[\delta_i]_{\!F}\qquad\text{(3.4132)}</w:t>
      </w:r>
    </w:p>
    <w:p w:rsidR="00291C6A" w:rsidRDefault="00291C6A" w:rsidP="00291C6A">
      <w:pPr>
        <w:pStyle w:val="StandardWeb"/>
      </w:pPr>
      <w:r>
        <w:t>Sie sind unvergleichbar, wenn keine der beiden Klassen aus der jeweils anderen funktional erreichbar ist:</w:t>
      </w:r>
    </w:p>
    <w:p w:rsidR="00291C6A" w:rsidRDefault="00291C6A" w:rsidP="00291C6A">
      <w:pPr>
        <w:pStyle w:val="StandardWeb"/>
      </w:pPr>
      <w:r>
        <w:t>[</w:t>
      </w:r>
      <w:r>
        <w:br/>
        <w:t>\neg</w:t>
      </w:r>
      <w:r>
        <w:br/>
        <w:t>\left(</w:t>
      </w:r>
      <w:r>
        <w:br/>
        <w:t>[\delta_i]</w:t>
      </w:r>
      <w:r>
        <w:rPr>
          <w:rStyle w:val="Hervorhebung"/>
        </w:rPr>
        <w:t>{!F}</w:t>
      </w:r>
      <w:r>
        <w:rPr>
          <w:i/>
          <w:iCs/>
        </w:rPr>
        <w:br/>
      </w:r>
      <w:r>
        <w:rPr>
          <w:rStyle w:val="Hervorhebung"/>
        </w:rPr>
        <w:t>\leq</w:t>
      </w:r>
      <w:r>
        <w:t>{!F}</w:t>
      </w:r>
      <w:r>
        <w:br/>
        <w:t>[\delta_j]</w:t>
      </w:r>
      <w:r>
        <w:rPr>
          <w:rStyle w:val="Hervorhebung"/>
        </w:rPr>
        <w:t>{!F}</w:t>
      </w:r>
      <w:r>
        <w:rPr>
          <w:i/>
          <w:iCs/>
        </w:rPr>
        <w:br/>
      </w:r>
      <w:r>
        <w:rPr>
          <w:rStyle w:val="Hervorhebung"/>
        </w:rPr>
        <w:t>\right)</w:t>
      </w:r>
      <w:r>
        <w:rPr>
          <w:i/>
          <w:iCs/>
        </w:rPr>
        <w:br/>
      </w:r>
      <w:r>
        <w:rPr>
          <w:rStyle w:val="Hervorhebung"/>
        </w:rPr>
        <w:t>\land</w:t>
      </w:r>
      <w:r>
        <w:rPr>
          <w:i/>
          <w:iCs/>
        </w:rPr>
        <w:br/>
      </w:r>
      <w:r>
        <w:rPr>
          <w:rStyle w:val="Hervorhebung"/>
        </w:rPr>
        <w:t>\neg</w:t>
      </w:r>
      <w:r>
        <w:rPr>
          <w:i/>
          <w:iCs/>
        </w:rPr>
        <w:br/>
      </w:r>
      <w:r>
        <w:rPr>
          <w:rStyle w:val="Hervorhebung"/>
        </w:rPr>
        <w:t>\left(</w:t>
      </w:r>
      <w:r>
        <w:rPr>
          <w:i/>
          <w:iCs/>
        </w:rPr>
        <w:br/>
      </w:r>
      <w:r>
        <w:rPr>
          <w:rStyle w:val="Hervorhebung"/>
        </w:rPr>
        <w:t>[\delta_j]</w:t>
      </w:r>
      <w:r>
        <w:t>{!F}</w:t>
      </w:r>
      <w:r>
        <w:br/>
        <w:t>\leq_{!F}</w:t>
      </w:r>
      <w:r>
        <w:br/>
        <w:t>[\delta_i]_{!F}</w:t>
      </w:r>
      <w:r>
        <w:br/>
        <w:t>\right).</w:t>
      </w:r>
      <w:r>
        <w:br/>
        <w:t>\tag{3.4133}</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\neg\left([\delta_i]_{\!F}\leq_{\!F}[\delta_j]_{\!F}\right)\land\neg\left([\delta_j]_{\!F}\leq_{\!F}[\delta_i]_{\!F}\right)\qquad\text{(3.4133)}</w:t>
      </w:r>
    </w:p>
    <w:p w:rsidR="00291C6A" w:rsidRDefault="00291C6A" w:rsidP="00291C6A">
      <w:pPr>
        <w:pStyle w:val="StandardWeb"/>
      </w:pPr>
      <w:r>
        <w:t>Die funktionale Ordnung ist damit nicht notwendig total. Es können funktionale Entwicklungszweige bestehen, zwischen denen keine erreichbarkeitsbasierte Vergleichbarkeit vorliegt [6].</w:t>
      </w:r>
    </w:p>
    <w:p w:rsidR="00291C6A" w:rsidRDefault="00291C6A" w:rsidP="00291C6A">
      <w:pPr>
        <w:pStyle w:val="StandardWeb"/>
      </w:pPr>
      <w:r>
        <w:rPr>
          <w:rStyle w:val="Fett"/>
        </w:rPr>
        <w:t>Eigenleistung des FRZK</w:t>
      </w:r>
    </w:p>
    <w:p w:rsidR="00291C6A" w:rsidRDefault="00291C6A" w:rsidP="00291C6A">
      <w:pPr>
        <w:pStyle w:val="StandardWeb"/>
      </w:pPr>
      <w:r>
        <w:lastRenderedPageBreak/>
        <w:t>Ich lasse unvergleichbare funktionale Zustandsklassen ausdrücklich zu. Eine universelle lineare Reihenfolge aller funktionalen Zustände wird nicht vorausgesetzt. Dadurch bleibt die Möglichkeit verzweigter, paralleler oder voneinander getrennter funktionaler Entwicklungen erhalten.</w:t>
      </w:r>
    </w:p>
    <w:p w:rsidR="00291C6A" w:rsidRPr="00AF32B2" w:rsidRDefault="00291C6A" w:rsidP="00AF32B2">
      <w:pPr>
        <w:pStyle w:val="berschrift4"/>
      </w:pPr>
      <w:r w:rsidRPr="00AF32B2">
        <w:t>3.3.14.11 Unmittelbare funktionale Nachfolge</w:t>
      </w:r>
    </w:p>
    <w:p w:rsidR="00291C6A" w:rsidRDefault="00291C6A" w:rsidP="00291C6A">
      <w:pPr>
        <w:pStyle w:val="StandardWeb"/>
      </w:pPr>
      <w:r>
        <w:t>Eine Äquivalenzklasse ([\delta_j]</w:t>
      </w:r>
      <w:r>
        <w:rPr>
          <w:rStyle w:val="Hervorhebung"/>
        </w:rPr>
        <w:t>{!F}) heißt unmittelbarer funktionaler Nachfolger von ([\delta_i]</w:t>
      </w:r>
      <w:r>
        <w:t>{!F}), wenn</w:t>
      </w:r>
    </w:p>
    <w:p w:rsidR="00291C6A" w:rsidRDefault="00291C6A" w:rsidP="00291C6A">
      <w:pPr>
        <w:pStyle w:val="StandardWeb"/>
      </w:pPr>
      <w:r>
        <w:t>[</w:t>
      </w:r>
      <w:r>
        <w:br/>
        <w:t>[\delta_i]</w:t>
      </w:r>
      <w:r>
        <w:rPr>
          <w:rStyle w:val="Hervorhebung"/>
        </w:rPr>
        <w:t>{!F}</w:t>
      </w:r>
      <w:r>
        <w:rPr>
          <w:i/>
          <w:iCs/>
        </w:rPr>
        <w:br/>
      </w:r>
      <w:r>
        <w:rPr>
          <w:rStyle w:val="Hervorhebung"/>
        </w:rPr>
        <w:t>&lt;</w:t>
      </w:r>
      <w:r>
        <w:t>{!F}</w:t>
      </w:r>
      <w:r>
        <w:br/>
        <w:t>[\delta_j]_{!F}</w:t>
      </w:r>
      <w:r>
        <w:br/>
        <w:t>\tag{3.4134}</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[\delta_i]_{\!F}&lt;_{\!F}[\delta_j]_{\!F}\qquad\text{(3.4134)}</w:t>
      </w:r>
    </w:p>
    <w:p w:rsidR="00291C6A" w:rsidRDefault="00291C6A" w:rsidP="00291C6A">
      <w:pPr>
        <w:pStyle w:val="StandardWeb"/>
      </w:pPr>
      <w:r>
        <w:t>gilt und keine dritte Äquivalenzklasse funktional zwischen ihnen liegt:</w:t>
      </w:r>
    </w:p>
    <w:p w:rsidR="00291C6A" w:rsidRDefault="00291C6A" w:rsidP="00291C6A">
      <w:pPr>
        <w:pStyle w:val="StandardWeb"/>
      </w:pPr>
      <w:r>
        <w:t>[</w:t>
      </w:r>
      <w:r>
        <w:br/>
        <w:t>\nexists[\delta_k]</w:t>
      </w:r>
      <w:r>
        <w:rPr>
          <w:rStyle w:val="Hervorhebung"/>
        </w:rPr>
        <w:t>{!F}:</w:t>
      </w:r>
      <w:r>
        <w:rPr>
          <w:i/>
          <w:iCs/>
        </w:rPr>
        <w:br/>
      </w:r>
      <w:r>
        <w:rPr>
          <w:rStyle w:val="Hervorhebung"/>
        </w:rPr>
        <w:t>[\delta_i]</w:t>
      </w:r>
      <w:r>
        <w:t>{!F}</w:t>
      </w:r>
      <w:r>
        <w:br/>
        <w:t>&lt;</w:t>
      </w:r>
      <w:r>
        <w:rPr>
          <w:rStyle w:val="Hervorhebung"/>
        </w:rPr>
        <w:t>{!F}</w:t>
      </w:r>
      <w:r>
        <w:rPr>
          <w:i/>
          <w:iCs/>
        </w:rPr>
        <w:br/>
      </w:r>
      <w:r>
        <w:rPr>
          <w:rStyle w:val="Hervorhebung"/>
        </w:rPr>
        <w:t>[\delta_k]</w:t>
      </w:r>
      <w:r>
        <w:t>{!F}</w:t>
      </w:r>
      <w:r>
        <w:br/>
        <w:t>&lt;</w:t>
      </w:r>
      <w:r>
        <w:rPr>
          <w:rStyle w:val="Hervorhebung"/>
        </w:rPr>
        <w:t>{!F}</w:t>
      </w:r>
      <w:r>
        <w:rPr>
          <w:i/>
          <w:iCs/>
        </w:rPr>
        <w:br/>
      </w:r>
      <w:r>
        <w:rPr>
          <w:rStyle w:val="Hervorhebung"/>
        </w:rPr>
        <w:t>[\delta_j]</w:t>
      </w:r>
      <w:r>
        <w:t>{!F}.</w:t>
      </w:r>
      <w:r>
        <w:br/>
        <w:t>\tag{3.4135}</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\nexists[\delta_k]_{\!F}:[\delta_i]_{\!F}&lt;_{\!F}[\delta_k]_{\!F}&lt;_{\!F}[\delta_j]_{\!F}\qquad\text{(3.4135)}</w:t>
      </w:r>
    </w:p>
    <w:p w:rsidR="00291C6A" w:rsidRDefault="00291C6A" w:rsidP="00291C6A">
      <w:pPr>
        <w:pStyle w:val="StandardWeb"/>
      </w:pPr>
      <w:r>
        <w:t>Ich bezeichne diese Überdeckungsrelation mit</w:t>
      </w:r>
    </w:p>
    <w:p w:rsidR="00291C6A" w:rsidRDefault="00291C6A" w:rsidP="00291C6A">
      <w:pPr>
        <w:pStyle w:val="StandardWeb"/>
      </w:pPr>
      <w:r>
        <w:t>[</w:t>
      </w:r>
      <w:r>
        <w:br/>
        <w:t>[\delta_i]</w:t>
      </w:r>
      <w:r>
        <w:rPr>
          <w:rStyle w:val="Hervorhebung"/>
        </w:rPr>
        <w:t>{!F}</w:t>
      </w:r>
      <w:r>
        <w:rPr>
          <w:i/>
          <w:iCs/>
        </w:rPr>
        <w:br/>
      </w:r>
      <w:r>
        <w:rPr>
          <w:rStyle w:val="Hervorhebung"/>
        </w:rPr>
        <w:t>\lessdot</w:t>
      </w:r>
      <w:r>
        <w:t>{!F}</w:t>
      </w:r>
      <w:r>
        <w:br/>
        <w:t>[\delta_j]_{!F}.</w:t>
      </w:r>
      <w:r>
        <w:br/>
        <w:t>\tag{3.4136}</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[\delta_i]_{\!F}\lessdot_{\!F}[\delta_j]_{\!F}\qquad\text{(3.4136)}</w:t>
      </w:r>
    </w:p>
    <w:p w:rsidR="00291C6A" w:rsidRDefault="00291C6A" w:rsidP="00291C6A">
      <w:pPr>
        <w:pStyle w:val="StandardWeb"/>
      </w:pPr>
      <w:r>
        <w:lastRenderedPageBreak/>
        <w:t>Die unmittelbare funktionale Nachfolge beschreibt eine minimale Ordnungsstufe innerhalb der betrachteten Quotientenstruktur. Sie sagt noch nichts über die Anzahl der tatsächlich benötigten Einzeltransformationen aus, sofern mehrere Zustände innerhalb derselben Äquivalenzklasse zusammengefasst wurden.</w:t>
      </w:r>
    </w:p>
    <w:p w:rsidR="00291C6A" w:rsidRPr="00AF32B2" w:rsidRDefault="00291C6A" w:rsidP="00AF32B2">
      <w:pPr>
        <w:pStyle w:val="berschrift4"/>
      </w:pPr>
      <w:r w:rsidRPr="00AF32B2">
        <w:t>3.3.14.12 Minimale Transformationslänge</w:t>
      </w:r>
    </w:p>
    <w:p w:rsidR="00291C6A" w:rsidRDefault="00291C6A" w:rsidP="00291C6A">
      <w:pPr>
        <w:pStyle w:val="StandardWeb"/>
      </w:pPr>
      <w:r>
        <w:t>Für funktional erreichbare Zustände kann die minimale Anzahl erforderlicher Transformationsschritte definiert werden:</w:t>
      </w:r>
    </w:p>
    <w:p w:rsidR="00291C6A" w:rsidRDefault="00291C6A" w:rsidP="00291C6A">
      <w:pPr>
        <w:pStyle w:val="berschrift1"/>
      </w:pPr>
      <w:r>
        <w:t>[</w:t>
      </w:r>
      <w:r>
        <w:br/>
        <w:t>\ell_{!F}</w:t>
      </w:r>
      <w:r>
        <w:br/>
        <w:t>\left(</w:t>
      </w:r>
      <w:r>
        <w:br/>
        <w:t>\delta_i,\delta_j</w:t>
      </w:r>
      <w:r>
        <w:br/>
        <w:t>\right)</w:t>
      </w:r>
    </w:p>
    <w:p w:rsidR="00291C6A" w:rsidRDefault="00291C6A" w:rsidP="00291C6A">
      <w:pPr>
        <w:pStyle w:val="StandardWeb"/>
      </w:pPr>
      <w:r>
        <w:t>\min</w:t>
      </w:r>
      <w:r>
        <w:br/>
        <w:t>\left{</w:t>
      </w:r>
      <w:r>
        <w:br/>
        <w:t>n\in\mathbb{N}</w:t>
      </w:r>
      <w:r>
        <w:rPr>
          <w:rStyle w:val="Hervorhebung"/>
        </w:rPr>
        <w:t>0</w:t>
      </w:r>
      <w:r>
        <w:rPr>
          <w:i/>
          <w:iCs/>
        </w:rPr>
        <w:br/>
      </w:r>
      <w:r>
        <w:rPr>
          <w:rStyle w:val="Hervorhebung"/>
        </w:rPr>
        <w:t>;\middle|;</w:t>
      </w:r>
      <w:r>
        <w:rPr>
          <w:i/>
          <w:iCs/>
        </w:rPr>
        <w:br/>
      </w:r>
      <w:r>
        <w:rPr>
          <w:rStyle w:val="Hervorhebung"/>
        </w:rPr>
        <w:t>\exists T_1,\ldots,T_n\in\mathfrak{T}</w:t>
      </w:r>
      <w:r>
        <w:t>{\mathrm{f}}:</w:t>
      </w:r>
      <w:r>
        <w:br/>
        <w:t>T^{(n)}(\delta_i)=\delta_j</w:t>
      </w:r>
      <w:r>
        <w:br/>
        <w:t>\right}.</w:t>
      </w:r>
      <w:r>
        <w:br/>
        <w:t>\tag{3.4137}</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\ell_{\!F}\left(\delta_i,\delta_j\right)=\min\left\{n\in\mathbb{N}_0\middle|\exists T_1,\ldots,T_n\in\mathfrak{T}_{\mathrm{f}}:T^{(n)}(\delta_i)=\delta_j\right\}\qquad\text{(3.4137)}</w:t>
      </w:r>
    </w:p>
    <w:p w:rsidR="00291C6A" w:rsidRDefault="00291C6A" w:rsidP="00291C6A">
      <w:pPr>
        <w:pStyle w:val="StandardWeb"/>
      </w:pPr>
      <w:r>
        <w:t>Dabei bezeichnet (\ell_{!F}(\delta_i,\delta_j)) die minimale funktionale Transformationslänge von (\delta_i) nach (\delta_j).</w:t>
      </w:r>
    </w:p>
    <w:p w:rsidR="00291C6A" w:rsidRDefault="00291C6A" w:rsidP="00291C6A">
      <w:pPr>
        <w:pStyle w:val="StandardWeb"/>
      </w:pPr>
      <w:r>
        <w:t>Für denselben Zustand gilt</w:t>
      </w:r>
    </w:p>
    <w:p w:rsidR="00291C6A" w:rsidRDefault="00291C6A" w:rsidP="00291C6A">
      <w:pPr>
        <w:pStyle w:val="berschrift1"/>
      </w:pPr>
      <w:r>
        <w:t>[</w:t>
      </w:r>
      <w:r>
        <w:br/>
        <w:t>\ell_{!F}</w:t>
      </w:r>
      <w:r>
        <w:br/>
        <w:t>\left(</w:t>
      </w:r>
      <w:r>
        <w:br/>
        <w:t>\delta_i,\delta_i</w:t>
      </w:r>
      <w:r>
        <w:br/>
        <w:t>\right)</w:t>
      </w:r>
    </w:p>
    <w:p w:rsidR="00291C6A" w:rsidRDefault="00291C6A" w:rsidP="00632D23">
      <w:pPr>
        <w:numPr>
          <w:ilvl w:val="0"/>
          <w:numId w:val="53"/>
        </w:numPr>
        <w:spacing w:before="100" w:beforeAutospacing="1" w:after="100" w:afterAutospacing="1"/>
      </w:pPr>
    </w:p>
    <w:p w:rsidR="00291C6A" w:rsidRDefault="00291C6A" w:rsidP="00291C6A">
      <w:pPr>
        <w:pStyle w:val="StandardWeb"/>
      </w:pPr>
      <w:r>
        <w:t>\tag{3.4138}</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\ell_{\!F}\left(\delta_i,\delta_i\right)=0\qquad\text{(3.4138)}</w:t>
      </w:r>
    </w:p>
    <w:p w:rsidR="00291C6A" w:rsidRDefault="00291C6A" w:rsidP="00291C6A">
      <w:pPr>
        <w:pStyle w:val="StandardWeb"/>
      </w:pPr>
      <w:r>
        <w:t>Ist (\delta_j) von (\delta_i) nicht erreichbar, wird die Länge als unendlich gesetzt:</w:t>
      </w:r>
    </w:p>
    <w:p w:rsidR="00291C6A" w:rsidRDefault="00291C6A" w:rsidP="00291C6A">
      <w:pPr>
        <w:pStyle w:val="berschrift1"/>
      </w:pPr>
      <w:r>
        <w:t>[</w:t>
      </w:r>
      <w:r>
        <w:br/>
        <w:t>\delta_i</w:t>
      </w:r>
      <w:r>
        <w:br/>
        <w:t>\not\preceq_{!F}</w:t>
      </w:r>
      <w:r>
        <w:br/>
        <w:t>\delta_j</w:t>
      </w:r>
      <w:r>
        <w:br/>
        <w:t>\Rightarrow</w:t>
      </w:r>
      <w:r>
        <w:br/>
        <w:t>\ell_{!F}</w:t>
      </w:r>
      <w:r>
        <w:br/>
        <w:t>\left(</w:t>
      </w:r>
      <w:r>
        <w:br/>
        <w:t>\delta_i,\delta_j</w:t>
      </w:r>
      <w:r>
        <w:br/>
        <w:t>\right)</w:t>
      </w:r>
    </w:p>
    <w:p w:rsidR="00291C6A" w:rsidRDefault="00291C6A" w:rsidP="00291C6A">
      <w:pPr>
        <w:pStyle w:val="StandardWeb"/>
      </w:pPr>
      <w:r>
        <w:t>\infty.</w:t>
      </w:r>
      <w:r>
        <w:br/>
        <w:t>\tag{3.4139}</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\delta_i\not\preceq_{\!F}\delta_j\Rightarrow\ell_{\!F}\left(\delta_i,\delta_j\right)=\infty\qquad\text{(3.4139)}</w:t>
      </w:r>
    </w:p>
    <w:p w:rsidR="00291C6A" w:rsidRDefault="00291C6A" w:rsidP="00291C6A">
      <w:pPr>
        <w:pStyle w:val="StandardWeb"/>
      </w:pPr>
      <w:r>
        <w:t>Die minimale Transformationslänge ist im Allgemeinen nicht symmetrisch:</w:t>
      </w:r>
    </w:p>
    <w:p w:rsidR="00291C6A" w:rsidRDefault="00291C6A" w:rsidP="00291C6A">
      <w:pPr>
        <w:pStyle w:val="StandardWeb"/>
      </w:pPr>
      <w:r>
        <w:t>[</w:t>
      </w:r>
      <w:r>
        <w:br/>
        <w:t>\ell_{!F}</w:t>
      </w:r>
      <w:r>
        <w:br/>
        <w:t>\left(</w:t>
      </w:r>
      <w:r>
        <w:br/>
        <w:t>\delta_i,\delta_j</w:t>
      </w:r>
      <w:r>
        <w:br/>
        <w:t>\right)</w:t>
      </w:r>
      <w:r>
        <w:br/>
        <w:t>\neq</w:t>
      </w:r>
      <w:r>
        <w:br/>
        <w:t>\ell_{!F}</w:t>
      </w:r>
      <w:r>
        <w:br/>
        <w:t>\left(</w:t>
      </w:r>
      <w:r>
        <w:br/>
        <w:t>\delta_j,\delta_i</w:t>
      </w:r>
      <w:r>
        <w:br/>
        <w:t>\right).</w:t>
      </w:r>
      <w:r>
        <w:br/>
        <w:t>\tag{3.4140}</w:t>
      </w:r>
      <w:r>
        <w:br/>
        <w:t>]</w:t>
      </w:r>
    </w:p>
    <w:p w:rsidR="00291C6A" w:rsidRDefault="00291C6A" w:rsidP="00291C6A">
      <w:pPr>
        <w:pStyle w:val="StandardWeb"/>
      </w:pPr>
      <w:r>
        <w:rPr>
          <w:rStyle w:val="Fett"/>
        </w:rPr>
        <w:lastRenderedPageBreak/>
        <w:t>Word-LaTeX</w:t>
      </w:r>
    </w:p>
    <w:p w:rsidR="00291C6A" w:rsidRDefault="00291C6A" w:rsidP="00291C6A">
      <w:pPr>
        <w:pStyle w:val="HTMLVorformatiert"/>
        <w:rPr>
          <w:rStyle w:val="HTMLCode"/>
        </w:rPr>
      </w:pPr>
      <w:r>
        <w:rPr>
          <w:rStyle w:val="HTMLCode"/>
        </w:rPr>
        <w:t>\ell_{\!F}\left(\delta_i,\delta_j\right)\neq\ell_{\!F}\left(\delta_j,\delta_i\right)\qquad\text{(3.4140)}</w:t>
      </w:r>
    </w:p>
    <w:p w:rsidR="00291C6A" w:rsidRDefault="00291C6A" w:rsidP="00291C6A">
      <w:pPr>
        <w:pStyle w:val="StandardWeb"/>
      </w:pPr>
      <w:r>
        <w:t>Sie stellt deshalb ohne zusätzliche Bedingungen keine Metrik dar [6, 75].</w:t>
      </w:r>
    </w:p>
    <w:p w:rsidR="00291C6A" w:rsidRDefault="00291C6A" w:rsidP="00291C6A">
      <w:pPr>
        <w:pStyle w:val="StandardWeb"/>
      </w:pPr>
      <w:r>
        <w:rPr>
          <w:rStyle w:val="Fett"/>
        </w:rPr>
        <w:t>Eigenleistung des FRZK</w:t>
      </w:r>
    </w:p>
    <w:p w:rsidR="00291C6A" w:rsidRDefault="00291C6A" w:rsidP="00291C6A">
      <w:pPr>
        <w:pStyle w:val="StandardWeb"/>
      </w:pPr>
      <w:r>
        <w:t>Ich führe (\ell_{!F}) als strukturelles Erreichbarkeitsmaß ein. Sie zählt Transformationsschritte, aber keine Zeitdauer. Eine Transformation kann funktional komplexer sein als eine andere, obwohl beide jeweils als ein Schritt gezählt werden.</w:t>
      </w:r>
    </w:p>
    <w:p w:rsidR="00291C6A" w:rsidRPr="00AF32B2" w:rsidRDefault="00291C6A" w:rsidP="00AF32B2">
      <w:pPr>
        <w:pStyle w:val="berschrift4"/>
      </w:pPr>
      <w:r w:rsidRPr="00AF32B2">
        <w:t>3.3.14.13 Funktionale Ordnung und Kohärenz</w:t>
      </w:r>
    </w:p>
    <w:p w:rsidR="00291C6A" w:rsidRDefault="00291C6A" w:rsidP="00291C6A">
      <w:pPr>
        <w:pStyle w:val="StandardWeb"/>
      </w:pPr>
      <w:r>
        <w:t>Eine funktionale Ordnung kann unabhängig davon bestehen, ob eine Entwicklung kohärent ist. Die Erreichbarkeitsrelation verlangt lediglich eine Folge funktionaler Transformationen. Sie fordert nicht, dass während dieser Folge eine bestimmte Kohärenzbedingung erhalten bleibt.</w:t>
      </w:r>
    </w:p>
    <w:p w:rsidR="00291C6A" w:rsidRDefault="00291C6A" w:rsidP="00291C6A">
      <w:pPr>
        <w:pStyle w:val="StandardWeb"/>
      </w:pPr>
      <w:r>
        <w:t>Eine kohärenzbeschränkte Erreichbarkeit kann jedoch definiert werden. Ich schreibe</w:t>
      </w:r>
    </w:p>
    <w:p w:rsidR="00291C6A" w:rsidRDefault="00291C6A" w:rsidP="00291C6A">
      <w:pPr>
        <w:pStyle w:val="StandardWeb"/>
      </w:pPr>
      <w:r>
        <w:t>[</w:t>
      </w:r>
      <w:r>
        <w:br/>
        <w:t>\delta_i</w:t>
      </w:r>
      <w:r>
        <w:br/>
        <w:t>\preceq_{!F,\mathcal{C}}</w:t>
      </w:r>
      <w:r>
        <w:br/>
        <w:t>\delta_j</w:t>
      </w:r>
      <w:r>
        <w:br/>
        <w:t>\tag{3.4141}</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\delta_i\preceq_{\!F,\mathcal{C}}\delta_j\qquad\text{(3.4141)}</w:t>
      </w:r>
    </w:p>
    <w:p w:rsidR="00291C6A" w:rsidRDefault="00291C6A" w:rsidP="00291C6A">
      <w:pPr>
        <w:pStyle w:val="StandardWeb"/>
      </w:pPr>
      <w:r>
        <w:t>wenn eine funktionale Entwicklung von (\delta_i) nach (\delta_j) existiert, die an jeder betrachteten Position die Bedingungsmenge (\mathcal{C}) erfüllt.</w:t>
      </w:r>
    </w:p>
    <w:p w:rsidR="00291C6A" w:rsidRDefault="00291C6A" w:rsidP="00291C6A">
      <w:pPr>
        <w:pStyle w:val="StandardWeb"/>
      </w:pPr>
      <w:r>
        <w:t>Formal gilt:</w:t>
      </w:r>
    </w:p>
    <w:p w:rsidR="00291C6A" w:rsidRDefault="00291C6A" w:rsidP="00291C6A">
      <w:pPr>
        <w:pStyle w:val="berschrift1"/>
      </w:pPr>
      <w:r>
        <w:t>[</w:t>
      </w:r>
      <w:r>
        <w:br/>
        <w:t>\delta_i</w:t>
      </w:r>
      <w:r>
        <w:br/>
        <w:t>\preceq_{!F,\mathcal{C}}</w:t>
      </w:r>
      <w:r>
        <w:br/>
        <w:t>\delta_j</w:t>
      </w:r>
      <w:r>
        <w:br/>
        <w:t>\iff</w:t>
      </w:r>
      <w:r>
        <w:br/>
        <w:t>\exists\mathfrak{E}</w:t>
      </w:r>
      <w:r>
        <w:rPr>
          <w:rStyle w:val="Hervorhebung"/>
        </w:rPr>
        <w:t>{n}:</w:t>
      </w:r>
      <w:r>
        <w:rPr>
          <w:i/>
          <w:iCs/>
        </w:rPr>
        <w:br/>
      </w:r>
      <w:r>
        <w:rPr>
          <w:rStyle w:val="Hervorhebung"/>
        </w:rPr>
        <w:t>\delta_0=\delta_i</w:t>
      </w:r>
      <w:r>
        <w:rPr>
          <w:i/>
          <w:iCs/>
        </w:rPr>
        <w:br/>
      </w:r>
      <w:r>
        <w:rPr>
          <w:rStyle w:val="Hervorhebung"/>
        </w:rPr>
        <w:lastRenderedPageBreak/>
        <w:t>\land</w:t>
      </w:r>
      <w:r>
        <w:rPr>
          <w:i/>
          <w:iCs/>
        </w:rPr>
        <w:br/>
      </w:r>
      <w:r>
        <w:rPr>
          <w:rStyle w:val="Hervorhebung"/>
        </w:rPr>
        <w:t>\delta_n=\delta_j</w:t>
      </w:r>
      <w:r>
        <w:rPr>
          <w:i/>
          <w:iCs/>
        </w:rPr>
        <w:br/>
      </w:r>
      <w:r>
        <w:rPr>
          <w:rStyle w:val="Hervorhebung"/>
        </w:rPr>
        <w:t>\land</w:t>
      </w:r>
      <w:r>
        <w:rPr>
          <w:i/>
          <w:iCs/>
        </w:rPr>
        <w:br/>
      </w:r>
      <w:r>
        <w:rPr>
          <w:rStyle w:val="Hervorhebung"/>
        </w:rPr>
        <w:t>\forall k\in{0,\ldots,n}:</w:t>
      </w:r>
      <w:r>
        <w:rPr>
          <w:i/>
          <w:iCs/>
        </w:rPr>
        <w:br/>
      </w:r>
      <w:r>
        <w:rPr>
          <w:rStyle w:val="Hervorhebung"/>
        </w:rPr>
        <w:t>\operatorname{Koh}</w:t>
      </w:r>
      <w:r>
        <w:t>{\mathcal{C}}</w:t>
      </w:r>
      <w:r>
        <w:br/>
        <w:t>\left(</w:t>
      </w:r>
      <w:r>
        <w:br/>
        <w:t>\mathfrak{G}^{(k)}</w:t>
      </w:r>
      <w:r>
        <w:br/>
        <w:t>\right)</w:t>
      </w:r>
    </w:p>
    <w:p w:rsidR="00291C6A" w:rsidRDefault="00291C6A" w:rsidP="00632D23">
      <w:pPr>
        <w:numPr>
          <w:ilvl w:val="0"/>
          <w:numId w:val="54"/>
        </w:numPr>
        <w:spacing w:before="100" w:beforeAutospacing="1" w:after="100" w:afterAutospacing="1"/>
      </w:pPr>
    </w:p>
    <w:p w:rsidR="00291C6A" w:rsidRDefault="00291C6A" w:rsidP="00291C6A">
      <w:pPr>
        <w:pStyle w:val="StandardWeb"/>
      </w:pPr>
      <w:r>
        <w:t>\tag{3.4142}</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\delta_i\preceq_{\!F,\mathcal{C}}\delta_j\iff\exists\mathfrak{E}_{n}:\delta_0=\delta_i\land\delta_n=\delta_j\land\forall k\in\{0,\ldots,n\}:\operatorname{Koh}_{\mathcal{C}}\left(\mathfrak{G}^{(k)}\right)=1\qquad\text{(3.4142)}</w:t>
      </w:r>
    </w:p>
    <w:p w:rsidR="00291C6A" w:rsidRDefault="00291C6A" w:rsidP="00291C6A">
      <w:pPr>
        <w:pStyle w:val="StandardWeb"/>
      </w:pPr>
      <w:r>
        <w:t>Die kohärenzbeschränkte Erreichbarkeit ist damit eine Verfeinerung der allgemeinen funktionalen Erreichbarkeit.</w:t>
      </w:r>
    </w:p>
    <w:p w:rsidR="00291C6A" w:rsidRDefault="00291C6A" w:rsidP="00291C6A">
      <w:pPr>
        <w:pStyle w:val="StandardWeb"/>
      </w:pPr>
      <w:r>
        <w:t>[</w:t>
      </w:r>
      <w:r>
        <w:br/>
        <w:t>\delta_i</w:t>
      </w:r>
      <w:r>
        <w:br/>
        <w:t>\preceq_{!F,\mathcal{C}}</w:t>
      </w:r>
      <w:r>
        <w:br/>
        <w:t>\delta_j</w:t>
      </w:r>
      <w:r>
        <w:br/>
        <w:t>\Rightarrow</w:t>
      </w:r>
      <w:r>
        <w:br/>
        <w:t>\delta_i</w:t>
      </w:r>
      <w:r>
        <w:br/>
        <w:t>\preceq_{!F}</w:t>
      </w:r>
      <w:r>
        <w:br/>
        <w:t>\delta_j.</w:t>
      </w:r>
      <w:r>
        <w:br/>
        <w:t>\tag{3.4143}</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\delta_i\preceq_{\!F,\mathcal{C}}\delta_j\Rightarrow\delta_i\preceq_{\!F}\delta_j\qquad\text{(3.4143)}</w:t>
      </w:r>
    </w:p>
    <w:p w:rsidR="00291C6A" w:rsidRDefault="00291C6A" w:rsidP="00291C6A">
      <w:pPr>
        <w:pStyle w:val="StandardWeb"/>
      </w:pPr>
      <w:r>
        <w:t>Die Umkehrung gilt nicht allgemein. Ein Zustand kann funktional erreichbar sein, obwohl jede bekannte Transformationsfolge mindestens eine Kohärenzbedingung verletzt.</w:t>
      </w:r>
    </w:p>
    <w:p w:rsidR="00291C6A" w:rsidRPr="00AF32B2" w:rsidRDefault="00291C6A" w:rsidP="00AF32B2">
      <w:pPr>
        <w:pStyle w:val="berschrift4"/>
      </w:pPr>
      <w:r w:rsidRPr="00AF32B2">
        <w:t>3.3.14.14 Keine physikalische Zeitordnung</w:t>
      </w:r>
    </w:p>
    <w:p w:rsidR="00291C6A" w:rsidRDefault="00291C6A" w:rsidP="00291C6A">
      <w:pPr>
        <w:pStyle w:val="StandardWeb"/>
      </w:pPr>
      <w:r>
        <w:lastRenderedPageBreak/>
        <w:t>Die funktionale Ordnung bestimmt, welche Äquivalenzklassen durch funktionale Entwicklungen aus anderen erreichbar sind. Sie enthält jedoch weiterhin keine Zeitdauer, keine Zeiteinheit und keine metrische Beziehung zwischen Ordnungsstufen [58, 59].</w:t>
      </w:r>
    </w:p>
    <w:p w:rsidR="00291C6A" w:rsidRDefault="00291C6A" w:rsidP="00291C6A">
      <w:pPr>
        <w:pStyle w:val="StandardWeb"/>
      </w:pPr>
      <w:r>
        <w:t>Aus</w:t>
      </w:r>
    </w:p>
    <w:p w:rsidR="00291C6A" w:rsidRDefault="00291C6A" w:rsidP="00291C6A">
      <w:pPr>
        <w:pStyle w:val="StandardWeb"/>
      </w:pPr>
      <w:r>
        <w:t>[</w:t>
      </w:r>
      <w:r>
        <w:br/>
        <w:t>[\delta_i]</w:t>
      </w:r>
      <w:r>
        <w:rPr>
          <w:rStyle w:val="Hervorhebung"/>
        </w:rPr>
        <w:t>{!F}</w:t>
      </w:r>
      <w:r>
        <w:rPr>
          <w:i/>
          <w:iCs/>
        </w:rPr>
        <w:br/>
      </w:r>
      <w:r>
        <w:rPr>
          <w:rStyle w:val="Hervorhebung"/>
        </w:rPr>
        <w:t>&lt;</w:t>
      </w:r>
      <w:r>
        <w:t>{!F}</w:t>
      </w:r>
      <w:r>
        <w:br/>
        <w:t>[\delta_j]_{!F}</w:t>
      </w:r>
      <w:r>
        <w:br/>
        <w:t>\tag{3.4144}</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[\delta_i]_{\!F}&lt;_{\!F}[\delta_j]_{\!F}\qquad\text{(3.4144)}</w:t>
      </w:r>
    </w:p>
    <w:p w:rsidR="00291C6A" w:rsidRDefault="00291C6A" w:rsidP="00291C6A">
      <w:pPr>
        <w:pStyle w:val="StandardWeb"/>
      </w:pPr>
      <w:r>
        <w:t>folgt daher nicht unmittelbar</w:t>
      </w:r>
    </w:p>
    <w:p w:rsidR="00291C6A" w:rsidRDefault="00291C6A" w:rsidP="00291C6A">
      <w:pPr>
        <w:pStyle w:val="StandardWeb"/>
      </w:pPr>
      <w:r>
        <w:t>[</w:t>
      </w:r>
      <w:r>
        <w:br/>
        <w:t>t_i&lt;t_j.</w:t>
      </w:r>
      <w:r>
        <w:br/>
        <w:t>\tag{3.4145}</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t_i&lt;t_j\qquad\text{(3.4145)}</w:t>
      </w:r>
    </w:p>
    <w:p w:rsidR="00291C6A" w:rsidRDefault="00291C6A" w:rsidP="00291C6A">
      <w:pPr>
        <w:pStyle w:val="StandardWeb"/>
      </w:pPr>
      <w:r>
        <w:t>Gleichung (3.4145) wäre eine zusätzliche zeitliche Interpretation, für die zunächst Zeitwerte (t_i,t_j), eine Zuordnungsregel und eine geeignete Ordnungsverträglichkeit definiert werden müssten.</w:t>
      </w:r>
    </w:p>
    <w:p w:rsidR="00291C6A" w:rsidRDefault="00291C6A" w:rsidP="00291C6A">
      <w:pPr>
        <w:pStyle w:val="StandardWeb"/>
      </w:pPr>
      <w:r>
        <w:rPr>
          <w:rStyle w:val="Fett"/>
        </w:rPr>
        <w:t>Eigenleistung des FRZK</w:t>
      </w:r>
    </w:p>
    <w:p w:rsidR="00291C6A" w:rsidRDefault="00291C6A" w:rsidP="00291C6A">
      <w:pPr>
        <w:pStyle w:val="StandardWeb"/>
      </w:pPr>
      <w:r>
        <w:t>Ich behandle die funktionale Ordnung als notwendige Vorstruktur einer späteren funktionalen Zeit, aber nicht als bereits vollständige Zeitordnung. Erreichbarkeit begründet ein „funktional davor“ und „funktional danach“ nur relativ zu Transformationsmöglichkeiten. Sie begründet noch kein physikalisches Früher oder Später.</w:t>
      </w:r>
    </w:p>
    <w:p w:rsidR="00291C6A" w:rsidRPr="00AF32B2" w:rsidRDefault="00291C6A" w:rsidP="00AF32B2">
      <w:pPr>
        <w:pStyle w:val="berschrift4"/>
      </w:pPr>
      <w:r w:rsidRPr="00AF32B2">
        <w:t>3.3.14.15 Keine universelle Totalordnung</w:t>
      </w:r>
    </w:p>
    <w:p w:rsidR="00291C6A" w:rsidRDefault="00291C6A" w:rsidP="00291C6A">
      <w:pPr>
        <w:pStyle w:val="StandardWeb"/>
      </w:pPr>
      <w:r>
        <w:t>Aus den Primäraxiomen folgt nicht, dass alle funktionalen Zustandsklassen miteinander vergleichbar sind. Eine Totalordnung würde verlangen:</w:t>
      </w:r>
    </w:p>
    <w:p w:rsidR="00291C6A" w:rsidRDefault="00291C6A" w:rsidP="00291C6A">
      <w:pPr>
        <w:pStyle w:val="StandardWeb"/>
      </w:pPr>
      <w:r>
        <w:t>[</w:t>
      </w:r>
      <w:r>
        <w:br/>
        <w:t>\forall</w:t>
      </w:r>
      <w:r>
        <w:br/>
        <w:t>[\delta_i]</w:t>
      </w:r>
      <w:r>
        <w:rPr>
          <w:rStyle w:val="Hervorhebung"/>
        </w:rPr>
        <w:t>{!F},</w:t>
      </w:r>
      <w:r>
        <w:rPr>
          <w:i/>
          <w:iCs/>
        </w:rPr>
        <w:br/>
      </w:r>
      <w:r>
        <w:rPr>
          <w:rStyle w:val="Hervorhebung"/>
        </w:rPr>
        <w:t>[\delta_j]</w:t>
      </w:r>
      <w:r>
        <w:t>{!F}:</w:t>
      </w:r>
      <w:r>
        <w:br/>
        <w:t>[\delta_i]</w:t>
      </w:r>
      <w:r>
        <w:rPr>
          <w:rStyle w:val="Hervorhebung"/>
        </w:rPr>
        <w:t>{!F}</w:t>
      </w:r>
      <w:r>
        <w:rPr>
          <w:i/>
          <w:iCs/>
        </w:rPr>
        <w:br/>
      </w:r>
      <w:r>
        <w:rPr>
          <w:rStyle w:val="Hervorhebung"/>
        </w:rPr>
        <w:t>\leq</w:t>
      </w:r>
      <w:r>
        <w:t>{!F}</w:t>
      </w:r>
      <w:r>
        <w:br/>
        <w:t>[\delta_j]</w:t>
      </w:r>
      <w:r>
        <w:rPr>
          <w:rStyle w:val="Hervorhebung"/>
        </w:rPr>
        <w:t>{!F}</w:t>
      </w:r>
      <w:r>
        <w:rPr>
          <w:i/>
          <w:iCs/>
        </w:rPr>
        <w:br/>
      </w:r>
      <w:r>
        <w:rPr>
          <w:rStyle w:val="Hervorhebung"/>
        </w:rPr>
        <w:lastRenderedPageBreak/>
        <w:t>\quad\lor\quad</w:t>
      </w:r>
      <w:r>
        <w:rPr>
          <w:i/>
          <w:iCs/>
        </w:rPr>
        <w:br/>
      </w:r>
      <w:r>
        <w:rPr>
          <w:rStyle w:val="Hervorhebung"/>
        </w:rPr>
        <w:t>[\delta_j]</w:t>
      </w:r>
      <w:r>
        <w:t>{!F}</w:t>
      </w:r>
      <w:r>
        <w:br/>
        <w:t>\leq_{!F}</w:t>
      </w:r>
      <w:r>
        <w:br/>
        <w:t>[\delta_i]_{!F}.</w:t>
      </w:r>
      <w:r>
        <w:br/>
        <w:t>\tag{3.4146}</w:t>
      </w:r>
      <w:r>
        <w:br/>
        <w:t>]</w:t>
      </w:r>
    </w:p>
    <w:p w:rsidR="00291C6A" w:rsidRDefault="00291C6A" w:rsidP="00291C6A">
      <w:pPr>
        <w:pStyle w:val="StandardWeb"/>
      </w:pPr>
      <w:r>
        <w:rPr>
          <w:rStyle w:val="Fett"/>
        </w:rPr>
        <w:t>Word-LaTeX</w:t>
      </w:r>
    </w:p>
    <w:p w:rsidR="00291C6A" w:rsidRDefault="00291C6A" w:rsidP="00291C6A">
      <w:pPr>
        <w:pStyle w:val="HTMLVorformatiert"/>
        <w:rPr>
          <w:rStyle w:val="HTMLCode"/>
        </w:rPr>
      </w:pPr>
      <w:r>
        <w:rPr>
          <w:rStyle w:val="HTMLCode"/>
        </w:rPr>
        <w:t>\forall[\delta_i]_{\!F},[\delta_j]_{\!F}:[\delta_i]_{\!F}\leq_{\!F}[\delta_j]_{\!F}\lor[\delta_j]_{\!F}\leq_{\!F}[\delta_i]_{\!F}\qquad\text{(3.4146)}</w:t>
      </w:r>
    </w:p>
    <w:p w:rsidR="00291C6A" w:rsidRDefault="00291C6A" w:rsidP="00291C6A">
      <w:pPr>
        <w:pStyle w:val="StandardWeb"/>
      </w:pPr>
      <w:r>
        <w:t>Gleichung (3.4146) wird nicht als allgemeine Eigenschaft des FRZK übernommen. Ihre Gültigkeit müsste für ein konkretes Modell zusätzlich bewiesen oder als Modellbedingung festgelegt werden [6, 79].</w:t>
      </w:r>
    </w:p>
    <w:p w:rsidR="00291C6A" w:rsidRDefault="00291C6A" w:rsidP="00291C6A">
      <w:pPr>
        <w:pStyle w:val="StandardWeb"/>
      </w:pPr>
      <w:r>
        <w:rPr>
          <w:rStyle w:val="Fett"/>
        </w:rPr>
        <w:t>Eigenleistung des FRZK</w:t>
      </w:r>
    </w:p>
    <w:p w:rsidR="00291C6A" w:rsidRDefault="00291C6A" w:rsidP="00291C6A">
      <w:pPr>
        <w:pStyle w:val="StandardWeb"/>
      </w:pPr>
      <w:r>
        <w:t>Ich lasse partielle Ordnungen ausdrücklich zu. Dadurch können verzweigte Entwicklungen, alternative Transformationspfade und voneinander nicht erreichbare funktionale Bereiche dargestellt werden.</w:t>
      </w:r>
    </w:p>
    <w:p w:rsidR="00291C6A" w:rsidRPr="00AF32B2" w:rsidRDefault="00291C6A" w:rsidP="00AF32B2">
      <w:pPr>
        <w:pStyle w:val="berschrift4"/>
      </w:pPr>
      <w:r w:rsidRPr="00AF32B2">
        <w:t>3.3.14.16 Ergebnis der Ableitung</w:t>
      </w:r>
    </w:p>
    <w:p w:rsidR="00291C6A" w:rsidRDefault="00291C6A" w:rsidP="00291C6A">
      <w:pPr>
        <w:pStyle w:val="StandardWeb"/>
      </w:pPr>
      <w:r>
        <w:t>Die funktionale Ordnung konnte aus funktionalen Zuständen, Transformationen und Entwicklungen abgeleitet werden. Ausgangspunkt ist die Erreichbarkeitsrelation (\preceq_{!F}), die reflexiv und transitiv, aber nicht notwendig antisymmetrisch ist. Durch Zusammenfassung wechselseitig erreichbarer Zustände zu Äquivalenzklassen entsteht eine wohldefinierte Halbordnung auf der Quotientenmenge [6, 71, 78].</w:t>
      </w:r>
    </w:p>
    <w:p w:rsidR="00291C6A" w:rsidRDefault="00291C6A" w:rsidP="00291C6A">
      <w:pPr>
        <w:pStyle w:val="StandardWeb"/>
      </w:pPr>
      <w:r>
        <w:t>Ein zusätzliches Ordnungsaxiom ist daher nicht erforderlich. Die Ordnung ist eine abgeleitete Struktur, deren konkrete Ausprägung von den vorhandenen funktionalen Transformationen abhängt. Werden Transformationen hinzugefügt oder entfernt, kann sich auch die funktionale Erreichbarkeits- und Ordnungsstruktur verändern.</w:t>
      </w:r>
    </w:p>
    <w:p w:rsidR="00291C6A" w:rsidRDefault="00291C6A" w:rsidP="00291C6A">
      <w:pPr>
        <w:pStyle w:val="StandardWeb"/>
      </w:pPr>
      <w:r>
        <w:rPr>
          <w:rStyle w:val="Fett"/>
        </w:rPr>
        <w:t>Eigenleistung des FRZK</w:t>
      </w:r>
    </w:p>
    <w:p w:rsidR="00291C6A" w:rsidRDefault="00291C6A" w:rsidP="00291C6A">
      <w:pPr>
        <w:pStyle w:val="StandardWeb"/>
      </w:pPr>
      <w:r>
        <w:t>Damit bestätige ich erneut die in Abschnitt 3.3.4 entwickelte Trennung zwischen Primäraxiom und Definition. Funktionale Ordnung wird nicht vorausgesetzt. Sie wird aus der bereits axiomatisch eröffneten Transformierbarkeit konstruiert.</w:t>
      </w:r>
    </w:p>
    <w:p w:rsidR="00291C6A" w:rsidRPr="00AF32B2" w:rsidRDefault="00291C6A" w:rsidP="00AF32B2">
      <w:pPr>
        <w:pStyle w:val="berschrift4"/>
      </w:pPr>
      <w:r w:rsidRPr="00AF32B2">
        <w:t>3.3.14.17 Übergang zur Rekonstruktion funktionaler Zeit</w:t>
      </w:r>
    </w:p>
    <w:p w:rsidR="00291C6A" w:rsidRDefault="00291C6A" w:rsidP="00291C6A">
      <w:pPr>
        <w:pStyle w:val="StandardWeb"/>
      </w:pPr>
      <w:r>
        <w:t>Mit Definition 3.3.7 steht eine funktionale Halbordnung auf Äquivalenzklassen wechselseitig erreichbarer Zustände zur Verfügung. Damit ist eine nichtmetrische Ordnungsstruktur gewonnen. Noch fehlen jedoch eine Auswahl zeitlich interpretierbarer Entwicklungspfade, eine Zuordnung von Dauern und ein Verfahren zum Vergleich funktionaler Abstände.</w:t>
      </w:r>
    </w:p>
    <w:p w:rsidR="00291C6A" w:rsidRDefault="00291C6A" w:rsidP="00291C6A">
      <w:pPr>
        <w:pStyle w:val="StandardWeb"/>
      </w:pPr>
      <w:r>
        <w:t xml:space="preserve">Eine physikalisch oder funktional interpretierbare Zeit kann deshalb nicht allein durch die Halbordnung festgelegt werden. Sie erfordert zusätzliche Bedingungen, welche die </w:t>
      </w:r>
      <w:r>
        <w:lastRenderedPageBreak/>
        <w:t>funktionale Ordnung mit einer mess- oder vergleichbaren Entwicklungsgröße verbinden [58, 59, 75].</w:t>
      </w:r>
    </w:p>
    <w:p w:rsidR="00291C6A" w:rsidRDefault="00291C6A" w:rsidP="00291C6A">
      <w:pPr>
        <w:pStyle w:val="StandardWeb"/>
      </w:pPr>
      <w:r>
        <w:rPr>
          <w:rStyle w:val="Fett"/>
        </w:rPr>
        <w:t>Eigenleistung des FRZK</w:t>
      </w:r>
    </w:p>
    <w:p w:rsidR="00291C6A" w:rsidRDefault="00291C6A" w:rsidP="00291C6A">
      <w:pPr>
        <w:pStyle w:val="StandardWeb"/>
      </w:pPr>
      <w:r>
        <w:t>Der folgende Abschnitt untersucht, welche zusätzlichen Definitionen notwendig sind, um aus funktionaler Ordnung eine funktionale Zeitstruktur zu rekonstruieren. Dabei wird weiterhin geprüft, ob hierfür ein weiteres Primäraxiom erforderlich ist oder ob Zeit vollständig als abgeleitete Struktur behandelt werden kann.</w:t>
      </w:r>
    </w:p>
    <w:p w:rsidR="004A7CC4" w:rsidRDefault="004A7CC4" w:rsidP="004A7CC4">
      <w:pPr>
        <w:pStyle w:val="berschrift2"/>
      </w:pPr>
      <w:r>
        <w:t>Ergänzung zu 3.3.14 – Definition der funktionalen Ordnung</w:t>
      </w:r>
    </w:p>
    <w:p w:rsidR="004A7CC4" w:rsidRDefault="004A7CC4" w:rsidP="004A7CC4">
      <w:pPr>
        <w:pStyle w:val="berschrift3"/>
      </w:pPr>
      <w:r>
        <w:t>Methodologische Betrachtungen</w:t>
      </w:r>
    </w:p>
    <w:p w:rsidR="004A7CC4" w:rsidRDefault="004A7CC4" w:rsidP="004A7CC4">
      <w:pPr>
        <w:pStyle w:val="StandardWeb"/>
      </w:pPr>
      <w:r>
        <w:t xml:space="preserve">Abschnitt 3.3.14 konstruiert aus den zuvor eingeführten Transformationen zunächst eine </w:t>
      </w:r>
      <w:r>
        <w:rPr>
          <w:rStyle w:val="Fett"/>
        </w:rPr>
        <w:t>funktionale Erreichbarkeitsrelation</w:t>
      </w:r>
      <w:r>
        <w:t xml:space="preserve"> und daraus anschließend eine funktionale Ordnung. Der entscheidende Punkt ist, dass diese Ordnung nicht als neues Primäraxiom eingeführt wird. Sie wird aus bereits vorhandenen Transformationsstrukturen abgeleitet.</w:t>
      </w:r>
    </w:p>
    <w:p w:rsidR="004A7CC4" w:rsidRDefault="004A7CC4" w:rsidP="004A7CC4">
      <w:pPr>
        <w:pStyle w:val="StandardWeb"/>
      </w:pPr>
      <w:r>
        <w:t>Eine endliche Folge funktionaler Transformationen wird durch ihre Komposition zusammengefasst:</w:t>
      </w:r>
    </w:p>
    <w:p w:rsidR="004A7CC4" w:rsidRDefault="004A7CC4" w:rsidP="004A7CC4">
      <w:pPr>
        <w:pStyle w:val="berschrift1"/>
      </w:pPr>
      <w:r>
        <w:t>[</w:t>
      </w:r>
      <w:r>
        <w:br/>
        <w:t>T^{(n)}</w:t>
      </w:r>
    </w:p>
    <w:p w:rsidR="004A7CC4" w:rsidRDefault="004A7CC4" w:rsidP="004A7CC4">
      <w:pPr>
        <w:pStyle w:val="StandardWeb"/>
      </w:pPr>
      <w:r>
        <w:t>T_n</w:t>
      </w:r>
      <w:r>
        <w:br/>
        <w:t>\circ</w:t>
      </w:r>
      <w:r>
        <w:br/>
        <w:t>T_{n-1}</w:t>
      </w:r>
      <w:r>
        <w:br/>
        <w:t>\circ</w:t>
      </w:r>
      <w:r>
        <w:br/>
        <w:t>\cdots</w:t>
      </w:r>
      <w:r>
        <w:br/>
        <w:t>\circ</w:t>
      </w:r>
      <w:r>
        <w:br/>
        <w:t>T_1.</w:t>
      </w:r>
      <w:r>
        <w:br/>
        <w:t>\tag{3.4110}</w:t>
      </w:r>
      <w:r>
        <w:br/>
        <w:t>]</w:t>
      </w:r>
    </w:p>
    <w:p w:rsidR="004A7CC4" w:rsidRDefault="004A7CC4" w:rsidP="004A7CC4">
      <w:pPr>
        <w:pStyle w:val="StandardWeb"/>
      </w:pPr>
      <w:r>
        <w:rPr>
          <w:rStyle w:val="Fett"/>
        </w:rPr>
        <w:t>Word-LaTeX</w:t>
      </w:r>
    </w:p>
    <w:p w:rsidR="004A7CC4" w:rsidRDefault="004A7CC4" w:rsidP="004A7CC4">
      <w:pPr>
        <w:pStyle w:val="HTMLVorformatiert"/>
        <w:rPr>
          <w:rStyle w:val="HTMLCode"/>
        </w:rPr>
      </w:pPr>
      <w:r>
        <w:rPr>
          <w:rStyle w:val="HTMLCode"/>
        </w:rPr>
        <w:t>T^{(n)}=T_n\circ T_{n-1}\circ\cdots\circ T_1\qquad\text{(3.4110)}</w:t>
      </w:r>
    </w:p>
    <w:p w:rsidR="004A7CC4" w:rsidRDefault="004A7CC4" w:rsidP="004A7CC4">
      <w:pPr>
        <w:pStyle w:val="StandardWeb"/>
      </w:pPr>
      <w:r>
        <w:t>Ein Zustand (\delta_j) ist von (\delta_i) funktional erreichbar, wenn eine solche endliche Transformationsfolge existiert:</w:t>
      </w:r>
    </w:p>
    <w:p w:rsidR="004A7CC4" w:rsidRDefault="004A7CC4" w:rsidP="004A7CC4">
      <w:pPr>
        <w:pStyle w:val="berschrift1"/>
      </w:pPr>
      <w:r>
        <w:t>[</w:t>
      </w:r>
      <w:r>
        <w:br/>
        <w:t>\delta_i</w:t>
      </w:r>
      <w:r>
        <w:br/>
        <w:t>\preceq_{!F}</w:t>
      </w:r>
      <w:r>
        <w:br/>
        <w:t>\delta_j</w:t>
      </w:r>
      <w:r>
        <w:br/>
      </w:r>
      <w:r>
        <w:lastRenderedPageBreak/>
        <w:t>\iff</w:t>
      </w:r>
      <w:r>
        <w:br/>
        <w:t>\exists n\in\mathbb{N}</w:t>
      </w:r>
      <w:r>
        <w:rPr>
          <w:rStyle w:val="Hervorhebung"/>
        </w:rPr>
        <w:t>0</w:t>
      </w:r>
      <w:r>
        <w:rPr>
          <w:i/>
          <w:iCs/>
        </w:rPr>
        <w:br/>
      </w:r>
      <w:r>
        <w:rPr>
          <w:rStyle w:val="Hervorhebung"/>
        </w:rPr>
        <w:t>;</w:t>
      </w:r>
      <w:r>
        <w:rPr>
          <w:i/>
          <w:iCs/>
        </w:rPr>
        <w:br/>
      </w:r>
      <w:r>
        <w:rPr>
          <w:rStyle w:val="Hervorhebung"/>
        </w:rPr>
        <w:t>\exists T_1,\ldots,T_n\in\mathfrak{T}</w:t>
      </w:r>
      <w:r>
        <w:t>{\mathrm f}:</w:t>
      </w:r>
      <w:r>
        <w:br/>
        <w:t>T^{(n)}(\delta_i)</w:t>
      </w:r>
    </w:p>
    <w:p w:rsidR="004A7CC4" w:rsidRDefault="004A7CC4" w:rsidP="004A7CC4">
      <w:pPr>
        <w:pStyle w:val="StandardWeb"/>
      </w:pPr>
      <w:r>
        <w:t>\delta_j.</w:t>
      </w:r>
      <w:r>
        <w:br/>
        <w:t>\tag{3.4112}</w:t>
      </w:r>
      <w:r>
        <w:br/>
        <w:t>]</w:t>
      </w:r>
    </w:p>
    <w:p w:rsidR="004A7CC4" w:rsidRDefault="004A7CC4" w:rsidP="004A7CC4">
      <w:pPr>
        <w:pStyle w:val="StandardWeb"/>
      </w:pPr>
      <w:r>
        <w:rPr>
          <w:rStyle w:val="Fett"/>
        </w:rPr>
        <w:t>Word-LaTeX</w:t>
      </w:r>
    </w:p>
    <w:p w:rsidR="004A7CC4" w:rsidRDefault="004A7CC4" w:rsidP="004A7CC4">
      <w:pPr>
        <w:pStyle w:val="HTMLVorformatiert"/>
        <w:rPr>
          <w:rStyle w:val="HTMLCode"/>
        </w:rPr>
      </w:pPr>
      <w:r>
        <w:rPr>
          <w:rStyle w:val="HTMLCode"/>
        </w:rPr>
        <w:t>\delta_i\preceq_{\!F}\delta_j\iff\exists n\in\mathbb{N}_0\;\exists T_1,\ldots,T_n\in\mathfrak{T}_{\mathrm f}:T^{(n)}(\delta_i)=\delta_j\qquad\text{(3.4112)}</w:t>
      </w:r>
    </w:p>
    <w:p w:rsidR="004A7CC4" w:rsidRDefault="004A7CC4" w:rsidP="004A7CC4">
      <w:pPr>
        <w:pStyle w:val="StandardWeb"/>
      </w:pPr>
      <w:r>
        <w:t>Methodologisch ist die Zulassung von (n=0) wichtig. Die leere Transformationsfolge wird als Identitätsabbildung aufgefasst:</w:t>
      </w:r>
    </w:p>
    <w:p w:rsidR="004A7CC4" w:rsidRDefault="004A7CC4" w:rsidP="004A7CC4">
      <w:pPr>
        <w:pStyle w:val="berschrift1"/>
      </w:pPr>
      <w:r>
        <w:t>[</w:t>
      </w:r>
      <w:r>
        <w:br/>
        <w:t>T^{(0)}</w:t>
      </w:r>
    </w:p>
    <w:p w:rsidR="004A7CC4" w:rsidRDefault="004A7CC4" w:rsidP="004A7CC4">
      <w:pPr>
        <w:pStyle w:val="StandardWeb"/>
      </w:pPr>
      <w:r>
        <w:t>\operatorname{id}</w:t>
      </w:r>
      <w:r>
        <w:rPr>
          <w:rStyle w:val="Hervorhebung"/>
        </w:rPr>
        <w:t>{\mathcal{S}</w:t>
      </w:r>
      <w:r>
        <w:t>{\mathrm{el}}}.</w:t>
      </w:r>
      <w:r>
        <w:br/>
        <w:t>\tag{3.4113}</w:t>
      </w:r>
      <w:r>
        <w:br/>
        <w:t>]</w:t>
      </w:r>
    </w:p>
    <w:p w:rsidR="004A7CC4" w:rsidRDefault="004A7CC4" w:rsidP="004A7CC4">
      <w:pPr>
        <w:pStyle w:val="StandardWeb"/>
      </w:pPr>
      <w:r>
        <w:rPr>
          <w:rStyle w:val="Fett"/>
        </w:rPr>
        <w:t>Word-LaTeX</w:t>
      </w:r>
    </w:p>
    <w:p w:rsidR="004A7CC4" w:rsidRDefault="004A7CC4" w:rsidP="004A7CC4">
      <w:pPr>
        <w:pStyle w:val="HTMLVorformatiert"/>
        <w:rPr>
          <w:rStyle w:val="HTMLCode"/>
        </w:rPr>
      </w:pPr>
      <w:r>
        <w:rPr>
          <w:rStyle w:val="HTMLCode"/>
        </w:rPr>
        <w:t>T^{(0)}=\operatorname{id}_{\mathcal{S}_{\mathrm{el}}}\qquad\text{(3.4113)}</w:t>
      </w:r>
    </w:p>
    <w:p w:rsidR="004A7CC4" w:rsidRDefault="004A7CC4" w:rsidP="004A7CC4">
      <w:pPr>
        <w:pStyle w:val="StandardWeb"/>
      </w:pPr>
      <w:r>
        <w:t>Damit ist jeder Zustand von sich selbst erreichbar. Die Erreichbarkeitsrelation ist folglich reflexiv. Durch die Komposition zweier endlicher Transformationsfolgen wird sie außerdem transitiv.</w:t>
      </w:r>
    </w:p>
    <w:p w:rsidR="004A7CC4" w:rsidRDefault="004A7CC4" w:rsidP="004A7CC4">
      <w:pPr>
        <w:pStyle w:val="StandardWeb"/>
      </w:pPr>
      <w:r>
        <w:t>Antisymmetrie folgt dagegen nicht auf der Ebene einzelner Zustände. Zwei verschiedene Zustände können wechselseitig erreichbar sein. Deshalb muss ich zunächst eine Äquivalenzrelation der wechselseitigen Erreichbarkeit bilden und anschließend Äquivalenzklassen betrachten.</w:t>
      </w:r>
    </w:p>
    <w:p w:rsidR="004A7CC4" w:rsidRDefault="004A7CC4" w:rsidP="004A7CC4">
      <w:pPr>
        <w:pStyle w:val="StandardWeb"/>
      </w:pPr>
      <w:r>
        <w:t>Erst auf diesen Klassen entsteht die eigentliche funktionale Halbordnung.</w:t>
      </w:r>
    </w:p>
    <w:p w:rsidR="004A7CC4" w:rsidRDefault="004A7CC4" w:rsidP="004A7CC4">
      <w:pPr>
        <w:pStyle w:val="StandardWeb"/>
      </w:pPr>
      <w:r>
        <w:t xml:space="preserve">Diese Konstruktion ist methodologisch besonders bedeutsam, weil sie zeigt, dass Ordnung </w:t>
      </w:r>
      <w:r>
        <w:rPr>
          <w:rStyle w:val="Fett"/>
        </w:rPr>
        <w:t>nicht axiomatisch vorausgesetzt werden muss</w:t>
      </w:r>
      <w:r>
        <w:t>. Sie entsteht aus der Transformationsstruktur.</w:t>
      </w:r>
    </w:p>
    <w:p w:rsidR="004A7CC4" w:rsidRDefault="004A7CC4" w:rsidP="004A7CC4">
      <w:pPr>
        <w:pStyle w:val="StandardWeb"/>
      </w:pPr>
      <w:r>
        <w:lastRenderedPageBreak/>
        <w:t>Ebenso wichtig ist die ausdrückliche Nichtübernahme einer Totalordnung. Im Allgemeinen muss für zwei beliebige funktionale Zustandsklassen nicht gelten, dass die eine vor oder nach der anderen liegt.</w:t>
      </w:r>
    </w:p>
    <w:p w:rsidR="004A7CC4" w:rsidRDefault="004A7CC4" w:rsidP="004A7CC4">
      <w:pPr>
        <w:pStyle w:val="StandardWeb"/>
      </w:pPr>
      <w:r>
        <w:t>Die Totalordnungsforderung</w:t>
      </w:r>
    </w:p>
    <w:p w:rsidR="004A7CC4" w:rsidRDefault="004A7CC4" w:rsidP="004A7CC4">
      <w:pPr>
        <w:pStyle w:val="StandardWeb"/>
      </w:pPr>
      <w:r>
        <w:t>[</w:t>
      </w:r>
      <w:r>
        <w:br/>
        <w:t>\forall</w:t>
      </w:r>
      <w:r>
        <w:br/>
        <w:t>[\delta_i]</w:t>
      </w:r>
      <w:r>
        <w:rPr>
          <w:rStyle w:val="Hervorhebung"/>
        </w:rPr>
        <w:t>{!F},</w:t>
      </w:r>
      <w:r>
        <w:rPr>
          <w:i/>
          <w:iCs/>
        </w:rPr>
        <w:br/>
      </w:r>
      <w:r>
        <w:rPr>
          <w:rStyle w:val="Hervorhebung"/>
        </w:rPr>
        <w:t>[\delta_j]</w:t>
      </w:r>
      <w:r>
        <w:t>{!F}:</w:t>
      </w:r>
      <w:r>
        <w:br/>
        <w:t>[\delta_i]</w:t>
      </w:r>
      <w:r>
        <w:rPr>
          <w:rStyle w:val="Hervorhebung"/>
        </w:rPr>
        <w:t>{!F}</w:t>
      </w:r>
      <w:r>
        <w:rPr>
          <w:i/>
          <w:iCs/>
        </w:rPr>
        <w:br/>
      </w:r>
      <w:r>
        <w:rPr>
          <w:rStyle w:val="Hervorhebung"/>
        </w:rPr>
        <w:t>\leq</w:t>
      </w:r>
      <w:r>
        <w:t>{!F}</w:t>
      </w:r>
      <w:r>
        <w:br/>
        <w:t>[\delta_j]</w:t>
      </w:r>
      <w:r>
        <w:rPr>
          <w:rStyle w:val="Hervorhebung"/>
        </w:rPr>
        <w:t>{!F}</w:t>
      </w:r>
      <w:r>
        <w:rPr>
          <w:i/>
          <w:iCs/>
        </w:rPr>
        <w:br/>
      </w:r>
      <w:r>
        <w:rPr>
          <w:rStyle w:val="Hervorhebung"/>
        </w:rPr>
        <w:t>\lor</w:t>
      </w:r>
      <w:r>
        <w:rPr>
          <w:i/>
          <w:iCs/>
        </w:rPr>
        <w:br/>
      </w:r>
      <w:r>
        <w:rPr>
          <w:rStyle w:val="Hervorhebung"/>
        </w:rPr>
        <w:t>[\delta_j]</w:t>
      </w:r>
      <w:r>
        <w:t>{!F}</w:t>
      </w:r>
      <w:r>
        <w:br/>
        <w:t>\leq_{!F}</w:t>
      </w:r>
      <w:r>
        <w:br/>
        <w:t>[\delta_i]_{!F}</w:t>
      </w:r>
      <w:r>
        <w:br/>
        <w:t>\tag{3.4146}</w:t>
      </w:r>
      <w:r>
        <w:br/>
        <w:t>]</w:t>
      </w:r>
    </w:p>
    <w:p w:rsidR="004A7CC4" w:rsidRDefault="004A7CC4" w:rsidP="004A7CC4">
      <w:pPr>
        <w:pStyle w:val="StandardWeb"/>
      </w:pPr>
      <w:r>
        <w:rPr>
          <w:rStyle w:val="Fett"/>
        </w:rPr>
        <w:t>Word-LaTeX</w:t>
      </w:r>
    </w:p>
    <w:p w:rsidR="004A7CC4" w:rsidRDefault="004A7CC4" w:rsidP="004A7CC4">
      <w:pPr>
        <w:pStyle w:val="HTMLVorformatiert"/>
        <w:rPr>
          <w:rStyle w:val="HTMLCode"/>
        </w:rPr>
      </w:pPr>
      <w:r>
        <w:rPr>
          <w:rStyle w:val="HTMLCode"/>
        </w:rPr>
        <w:t>\forall[\delta_i]_{\!F},[\delta_j]_{\!F}:[\delta_i]_{\!F}\leq_{\!F}[\delta_j]_{\!F}\lor[\delta_j]_{\!F}\leq_{\!F}[\delta_i]_{\!F}\qquad\text{(3.4146)}</w:t>
      </w:r>
    </w:p>
    <w:p w:rsidR="004A7CC4" w:rsidRDefault="004A7CC4" w:rsidP="004A7CC4">
      <w:pPr>
        <w:pStyle w:val="StandardWeb"/>
      </w:pPr>
      <w:r>
        <w:t xml:space="preserve">wird gerade </w:t>
      </w:r>
      <w:r>
        <w:rPr>
          <w:rStyle w:val="Fett"/>
        </w:rPr>
        <w:t>nicht</w:t>
      </w:r>
      <w:r>
        <w:t xml:space="preserve"> allgemein vorausgesetzt.</w:t>
      </w:r>
    </w:p>
    <w:p w:rsidR="004A7CC4" w:rsidRDefault="004A7CC4" w:rsidP="004A7CC4">
      <w:pPr>
        <w:pStyle w:val="StandardWeb"/>
      </w:pPr>
      <w:r>
        <w:t>Dies verhindert eine besonders folgenreiche Überinterpretation: Aus funktionaler Entwicklung folgt nicht automatisch eine einzige universelle lineare Reihenfolge aller Zustände.</w:t>
      </w:r>
    </w:p>
    <w:p w:rsidR="004A7CC4" w:rsidRDefault="004A7CC4" w:rsidP="004A7CC4">
      <w:pPr>
        <w:pStyle w:val="StandardWeb"/>
      </w:pPr>
      <w:r>
        <w:t>Ebenso darf die funktionale Ordnung noch nicht als Zeit interpretiert werden. Aus</w:t>
      </w:r>
    </w:p>
    <w:p w:rsidR="004A7CC4" w:rsidRDefault="004A7CC4" w:rsidP="004A7CC4">
      <w:pPr>
        <w:pStyle w:val="StandardWeb"/>
      </w:pPr>
      <w:r>
        <w:t>[</w:t>
      </w:r>
      <w:r>
        <w:br/>
        <w:t>[\delta_i]</w:t>
      </w:r>
      <w:r>
        <w:rPr>
          <w:rStyle w:val="Hervorhebung"/>
        </w:rPr>
        <w:t>{!F}</w:t>
      </w:r>
      <w:r>
        <w:rPr>
          <w:i/>
          <w:iCs/>
        </w:rPr>
        <w:br/>
      </w:r>
      <w:r>
        <w:rPr>
          <w:rStyle w:val="Hervorhebung"/>
        </w:rPr>
        <w:t>&lt;</w:t>
      </w:r>
      <w:r>
        <w:t>{!F}</w:t>
      </w:r>
      <w:r>
        <w:br/>
        <w:t>[\delta_j]_{!F}</w:t>
      </w:r>
      <w:r>
        <w:br/>
        <w:t>\tag{3.4144}</w:t>
      </w:r>
      <w:r>
        <w:br/>
        <w:t>]</w:t>
      </w:r>
    </w:p>
    <w:p w:rsidR="004A7CC4" w:rsidRDefault="004A7CC4" w:rsidP="004A7CC4">
      <w:pPr>
        <w:pStyle w:val="StandardWeb"/>
      </w:pPr>
      <w:r>
        <w:rPr>
          <w:rStyle w:val="Fett"/>
        </w:rPr>
        <w:t>Word-LaTeX</w:t>
      </w:r>
    </w:p>
    <w:p w:rsidR="004A7CC4" w:rsidRDefault="004A7CC4" w:rsidP="004A7CC4">
      <w:pPr>
        <w:pStyle w:val="HTMLVorformatiert"/>
        <w:rPr>
          <w:rStyle w:val="HTMLCode"/>
        </w:rPr>
      </w:pPr>
      <w:r>
        <w:rPr>
          <w:rStyle w:val="HTMLCode"/>
        </w:rPr>
        <w:t>[\delta_i]_{\!F}&lt;_{\!F}[\delta_j]_{\!F}\qquad\text{(3.4144)}</w:t>
      </w:r>
    </w:p>
    <w:p w:rsidR="004A7CC4" w:rsidRDefault="004A7CC4" w:rsidP="004A7CC4">
      <w:pPr>
        <w:pStyle w:val="StandardWeb"/>
      </w:pPr>
      <w:r>
        <w:t>folgt nicht bereits</w:t>
      </w:r>
    </w:p>
    <w:p w:rsidR="004A7CC4" w:rsidRDefault="004A7CC4" w:rsidP="004A7CC4">
      <w:pPr>
        <w:pStyle w:val="StandardWeb"/>
      </w:pPr>
      <w:r>
        <w:t>[</w:t>
      </w:r>
      <w:r>
        <w:br/>
        <w:t>t_i&lt;t_j.</w:t>
      </w:r>
      <w:r>
        <w:br/>
        <w:t>\tag{3.4145}</w:t>
      </w:r>
      <w:r>
        <w:br/>
        <w:t>]</w:t>
      </w:r>
    </w:p>
    <w:p w:rsidR="004A7CC4" w:rsidRDefault="004A7CC4" w:rsidP="004A7CC4">
      <w:pPr>
        <w:pStyle w:val="StandardWeb"/>
      </w:pPr>
      <w:r>
        <w:rPr>
          <w:rStyle w:val="Fett"/>
        </w:rPr>
        <w:t>Word-LaTeX</w:t>
      </w:r>
    </w:p>
    <w:p w:rsidR="004A7CC4" w:rsidRDefault="004A7CC4" w:rsidP="004A7CC4">
      <w:pPr>
        <w:pStyle w:val="HTMLVorformatiert"/>
        <w:rPr>
          <w:rStyle w:val="HTMLCode"/>
        </w:rPr>
      </w:pPr>
      <w:r>
        <w:rPr>
          <w:rStyle w:val="HTMLCode"/>
        </w:rPr>
        <w:lastRenderedPageBreak/>
        <w:t>t_i&lt;t_j\qquad\text{(3.4145)}</w:t>
      </w:r>
    </w:p>
    <w:p w:rsidR="004A7CC4" w:rsidRDefault="004A7CC4" w:rsidP="004A7CC4">
      <w:pPr>
        <w:pStyle w:val="StandardWeb"/>
      </w:pPr>
      <w:r>
        <w:t>Für eine Zeitstruktur fehlen an dieser Stelle noch Zeitwerte und eine ordnungsverträgliche Zuordnung. Gerade diese Lücke wird in Abschnitt 3.3.15 geschlossen.</w:t>
      </w:r>
    </w:p>
    <w:p w:rsidR="004A7CC4" w:rsidRDefault="004A7CC4" w:rsidP="004A7CC4">
      <w:pPr>
        <w:pStyle w:val="berschrift3"/>
      </w:pPr>
      <w:r>
        <w:t>Didaktische Betrachtungen</w:t>
      </w:r>
    </w:p>
    <w:p w:rsidR="004A7CC4" w:rsidRDefault="004A7CC4" w:rsidP="004A7CC4">
      <w:pPr>
        <w:pStyle w:val="StandardWeb"/>
      </w:pPr>
      <w:r>
        <w:t>Funktionale Erreichbarkeit lässt sich mit einem U-Bahn-Netz erklären.</w:t>
      </w:r>
    </w:p>
    <w:p w:rsidR="004A7CC4" w:rsidRDefault="004A7CC4" w:rsidP="004A7CC4">
      <w:pPr>
        <w:pStyle w:val="StandardWeb"/>
      </w:pPr>
      <w:r>
        <w:t>Wenn ich von Station (A) über mehrere zulässige Verbindungen nach Station (D) gelangen kann, ist (D) von (A) erreichbar.</w:t>
      </w:r>
    </w:p>
    <w:p w:rsidR="004A7CC4" w:rsidRDefault="004A7CC4" w:rsidP="004A7CC4">
      <w:pPr>
        <w:pStyle w:val="StandardWeb"/>
      </w:pPr>
      <w:r>
        <w:t>Es spielt dabei keine Rolle, ob eine direkte Verbindung existiert:</w:t>
      </w:r>
    </w:p>
    <w:p w:rsidR="004A7CC4" w:rsidRDefault="004A7CC4" w:rsidP="004A7CC4">
      <w:pPr>
        <w:pStyle w:val="StandardWeb"/>
      </w:pPr>
      <w:r>
        <w:t>[</w:t>
      </w:r>
      <w:r>
        <w:br/>
        <w:t>A\rightarrow B\rightarrow C\rightarrow D.</w:t>
      </w:r>
      <w:r>
        <w:br/>
        <w:t>]</w:t>
      </w:r>
    </w:p>
    <w:p w:rsidR="004A7CC4" w:rsidRDefault="004A7CC4" w:rsidP="004A7CC4">
      <w:pPr>
        <w:pStyle w:val="StandardWeb"/>
      </w:pPr>
      <w:r>
        <w:t>Die gesamte Kette reicht aus.</w:t>
      </w:r>
    </w:p>
    <w:p w:rsidR="004A7CC4" w:rsidRDefault="004A7CC4" w:rsidP="004A7CC4">
      <w:pPr>
        <w:pStyle w:val="StandardWeb"/>
      </w:pPr>
      <w:r>
        <w:t>Das Symbol</w:t>
      </w:r>
    </w:p>
    <w:p w:rsidR="004A7CC4" w:rsidRDefault="004A7CC4" w:rsidP="004A7CC4">
      <w:pPr>
        <w:pStyle w:val="StandardWeb"/>
      </w:pPr>
      <w:r>
        <w:t>[</w:t>
      </w:r>
      <w:r>
        <w:br/>
        <w:t>A\preceq_F D</w:t>
      </w:r>
      <w:r>
        <w:br/>
        <w:t>]</w:t>
      </w:r>
    </w:p>
    <w:p w:rsidR="004A7CC4" w:rsidRDefault="004A7CC4" w:rsidP="004A7CC4">
      <w:pPr>
        <w:pStyle w:val="StandardWeb"/>
      </w:pPr>
      <w:r>
        <w:t>kann deshalb didaktisch als</w:t>
      </w:r>
    </w:p>
    <w:p w:rsidR="004A7CC4" w:rsidRDefault="004A7CC4" w:rsidP="004A7CC4">
      <w:pPr>
        <w:pStyle w:val="StandardWeb"/>
      </w:pPr>
      <w:r>
        <w:rPr>
          <w:rStyle w:val="Fett"/>
        </w:rPr>
        <w:t>„Von (A) kann ich funktional nach (D) gelangen“</w:t>
      </w:r>
    </w:p>
    <w:p w:rsidR="004A7CC4" w:rsidRDefault="004A7CC4" w:rsidP="004A7CC4">
      <w:pPr>
        <w:pStyle w:val="StandardWeb"/>
      </w:pPr>
      <w:r>
        <w:t>gelesen werden.</w:t>
      </w:r>
    </w:p>
    <w:p w:rsidR="004A7CC4" w:rsidRDefault="004A7CC4" w:rsidP="004A7CC4">
      <w:pPr>
        <w:pStyle w:val="StandardWeb"/>
      </w:pPr>
      <w:r>
        <w:t>Interessant wird die Situation bei Rundwegen:</w:t>
      </w:r>
    </w:p>
    <w:p w:rsidR="004A7CC4" w:rsidRDefault="004A7CC4" w:rsidP="004A7CC4">
      <w:pPr>
        <w:pStyle w:val="StandardWeb"/>
      </w:pPr>
      <w:r>
        <w:t>[</w:t>
      </w:r>
      <w:r>
        <w:br/>
        <w:t>A\rightarrow B\rightarrow C\rightarrow A.</w:t>
      </w:r>
      <w:r>
        <w:br/>
        <w:t>]</w:t>
      </w:r>
    </w:p>
    <w:p w:rsidR="004A7CC4" w:rsidRDefault="004A7CC4" w:rsidP="004A7CC4">
      <w:pPr>
        <w:pStyle w:val="StandardWeb"/>
      </w:pPr>
      <w:r>
        <w:t>Dann sind (A), (B) und (C) gegenseitig erreichbar. Für eine Ordnung wäre es unpraktisch, gleichzeitig zu sagen, (A) liege vor (B), (B) vor (C) und (C) wieder vor (A).</w:t>
      </w:r>
    </w:p>
    <w:p w:rsidR="004A7CC4" w:rsidRDefault="004A7CC4" w:rsidP="004A7CC4">
      <w:pPr>
        <w:pStyle w:val="StandardWeb"/>
      </w:pPr>
      <w:r>
        <w:t>Deshalb werden gegenseitig erreichbare Zustände zunächst zu einer Klasse zusammengefasst.</w:t>
      </w:r>
    </w:p>
    <w:p w:rsidR="004A7CC4" w:rsidRDefault="004A7CC4" w:rsidP="004A7CC4">
      <w:pPr>
        <w:pStyle w:val="StandardWeb"/>
      </w:pPr>
      <w:r>
        <w:t>Didaktisch entsteht damit aus einem komplizierten Netz von Übergängen eine übersichtlichere Ordnung von Zustandsklassen.</w:t>
      </w:r>
    </w:p>
    <w:p w:rsidR="004A7CC4" w:rsidRDefault="004A7CC4" w:rsidP="004A7CC4">
      <w:pPr>
        <w:pStyle w:val="StandardWeb"/>
      </w:pPr>
      <w:r>
        <w:t>Wichtig ist auch die partielle Ordnung. Stellen wir uns einen Ausgangszustand vor, von dem zwei verschiedene Entwicklungen möglich sind:</w:t>
      </w:r>
    </w:p>
    <w:p w:rsidR="004A7CC4" w:rsidRDefault="004A7CC4" w:rsidP="004A7CC4">
      <w:pPr>
        <w:pStyle w:val="StandardWeb"/>
      </w:pPr>
      <w:r>
        <w:lastRenderedPageBreak/>
        <w:t>[</w:t>
      </w:r>
      <w:r>
        <w:br/>
        <w:t>A\rightarrow B</w:t>
      </w:r>
      <w:r>
        <w:br/>
        <w:t>]</w:t>
      </w:r>
    </w:p>
    <w:p w:rsidR="004A7CC4" w:rsidRDefault="004A7CC4" w:rsidP="004A7CC4">
      <w:pPr>
        <w:pStyle w:val="StandardWeb"/>
      </w:pPr>
      <w:r>
        <w:t>und</w:t>
      </w:r>
    </w:p>
    <w:p w:rsidR="004A7CC4" w:rsidRDefault="004A7CC4" w:rsidP="004A7CC4">
      <w:pPr>
        <w:pStyle w:val="StandardWeb"/>
      </w:pPr>
      <w:r>
        <w:t>[</w:t>
      </w:r>
      <w:r>
        <w:br/>
        <w:t>A\rightarrow C.</w:t>
      </w:r>
      <w:r>
        <w:br/>
        <w:t>]</w:t>
      </w:r>
    </w:p>
    <w:p w:rsidR="004A7CC4" w:rsidRDefault="004A7CC4" w:rsidP="004A7CC4">
      <w:pPr>
        <w:pStyle w:val="StandardWeb"/>
      </w:pPr>
      <w:r>
        <w:t>Wenn weder (B) von (C) noch (C) von (B) erreichbar ist, lassen sich beide nicht linear anordnen.</w:t>
      </w:r>
    </w:p>
    <w:p w:rsidR="004A7CC4" w:rsidRDefault="004A7CC4" w:rsidP="004A7CC4">
      <w:pPr>
        <w:pStyle w:val="StandardWeb"/>
      </w:pPr>
      <w:r>
        <w:t>Das FRZK erzwingt deshalb an dieser Stelle keine einzige Linie</w:t>
      </w:r>
    </w:p>
    <w:p w:rsidR="004A7CC4" w:rsidRDefault="004A7CC4" w:rsidP="004A7CC4">
      <w:pPr>
        <w:pStyle w:val="StandardWeb"/>
      </w:pPr>
      <w:r>
        <w:t>[</w:t>
      </w:r>
      <w:r>
        <w:br/>
        <w:t>A&lt;B&lt;C&lt;D.</w:t>
      </w:r>
      <w:r>
        <w:br/>
        <w:t>]</w:t>
      </w:r>
    </w:p>
    <w:p w:rsidR="004A7CC4" w:rsidRDefault="004A7CC4" w:rsidP="004A7CC4">
      <w:pPr>
        <w:pStyle w:val="StandardWeb"/>
      </w:pPr>
      <w:r>
        <w:t>Es lässt verzweigte Entwicklungen zu.</w:t>
      </w:r>
    </w:p>
    <w:p w:rsidR="004A7CC4" w:rsidRDefault="004A7CC4" w:rsidP="004A7CC4">
      <w:pPr>
        <w:pStyle w:val="StandardWeb"/>
      </w:pPr>
      <w:r>
        <w:t>Gerade diese Verzweigung zeigt, warum funktionale Ordnung und Zeit noch nicht dasselbe sind.</w:t>
      </w:r>
    </w:p>
    <w:p w:rsidR="004A7CC4" w:rsidRDefault="00E50336" w:rsidP="004A7CC4">
      <w:r>
        <w:pict>
          <v:rect id="_x0000_i1040" style="width:0;height:1.5pt" o:hralign="center" o:hrstd="t" o:hr="t" fillcolor="#a0a0a0" stroked="f"/>
        </w:pict>
      </w:r>
    </w:p>
    <w:p w:rsidR="00B816C2" w:rsidRPr="00AF32B2" w:rsidRDefault="00B816C2" w:rsidP="00AF32B2">
      <w:pPr>
        <w:pStyle w:val="berschrift3"/>
      </w:pPr>
      <w:r w:rsidRPr="00AF32B2">
        <w:t>3.3.15 Definition der funktionalen Zeitstruktur</w:t>
      </w:r>
    </w:p>
    <w:p w:rsidR="00B816C2" w:rsidRDefault="00B816C2" w:rsidP="00B816C2">
      <w:pPr>
        <w:pStyle w:val="StandardWeb"/>
      </w:pPr>
      <w:r>
        <w:t>Mit Definition 3.3.7 steht eine funktionale Halbordnung auf den Äquivalenzklassen wechselseitig erreichbarer elementarer funktionaler Zustände zur Verfügung. Diese Ordnung beschreibt, welche funktionalen Zustandsklassen durch endliche Folgen funktionaler Transformationen aus anderen Zustandsklassen erreichbar sind. Sie enthält jedoch weder eine Dauer noch eine Zeiteinheit oder eine Vorschrift zum Vergleich zeitlicher Abstände. Die funktionale Ordnung bildet deshalb nur eine notwendige Vorstruktur einer Zeitbeschreibung, aber noch keine vollständige funktionale Zeit [58, 59].</w:t>
      </w:r>
    </w:p>
    <w:p w:rsidR="00B816C2" w:rsidRDefault="00B816C2" w:rsidP="00B816C2">
      <w:pPr>
        <w:pStyle w:val="StandardWeb"/>
      </w:pPr>
      <w:r>
        <w:t>Die Mathematik stellt verschiedene Möglichkeiten zur Beschreibung geordneter Entwicklungen bereit. Folgen ordnen Zustände durch Indizes, Halbordnungen beschreiben gerichtete Vergleichbarkeit, und Metriken beziehungsweise Maße können Abstände oder Längen zuordnen [6, 71, 75]. Aus diesen Werkzeugen folgt jedoch nicht, welche funktionale Größe innerhalb des FRZK als Zeit interpretiert werden darf. Eine Zeitstruktur muss daher ausdrücklich aus funktionaler Ordnung, Transformationsfolgen und einer zusätzlichen Bewertungsregel konstruiert werden.</w:t>
      </w:r>
    </w:p>
    <w:p w:rsidR="00B816C2" w:rsidRDefault="00B816C2" w:rsidP="00B816C2">
      <w:pPr>
        <w:pStyle w:val="StandardWeb"/>
      </w:pPr>
      <w:r>
        <w:rPr>
          <w:rStyle w:val="Fett"/>
        </w:rPr>
        <w:t>Eigenleistung des FRZK</w:t>
      </w:r>
    </w:p>
    <w:p w:rsidR="00B816C2" w:rsidRDefault="00B816C2" w:rsidP="00B816C2">
      <w:pPr>
        <w:pStyle w:val="StandardWeb"/>
      </w:pPr>
      <w:r>
        <w:t>Ich definiere funktionale Zeit nicht als unabhängig vorausgesetzte Grundgröße. Funktionale Zeit entsteht innerhalb des FRZK durch die geordnete Zuordnung von Entwicklungsabschnitten zu einer monotonen Bewertungsgröße. Die Ordnungsstruktur legt fest, welche Entwicklungen als funktional aufeinanderfolgend gelten. Eine zusätzliche Dauerzuordnung bestimmt, wie diese Entwicklungen quantitativ verglichen werden können.</w:t>
      </w:r>
    </w:p>
    <w:p w:rsidR="00B816C2" w:rsidRPr="00AF32B2" w:rsidRDefault="00B816C2" w:rsidP="00AF32B2">
      <w:pPr>
        <w:pStyle w:val="berschrift4"/>
      </w:pPr>
      <w:r w:rsidRPr="00AF32B2">
        <w:lastRenderedPageBreak/>
        <w:t>3.3.15.1 Voraussetzungen einer funktionalen Zeitstruktur</w:t>
      </w:r>
    </w:p>
    <w:p w:rsidR="00B816C2" w:rsidRDefault="00B816C2" w:rsidP="00B816C2">
      <w:pPr>
        <w:pStyle w:val="StandardWeb"/>
      </w:pPr>
      <w:r>
        <w:t>Eine funktionale Zeitstruktur benötigt mindestens drei Bestandteile:</w:t>
      </w:r>
    </w:p>
    <w:p w:rsidR="00B816C2" w:rsidRDefault="00B816C2" w:rsidP="00632D23">
      <w:pPr>
        <w:pStyle w:val="StandardWeb"/>
        <w:numPr>
          <w:ilvl w:val="0"/>
          <w:numId w:val="55"/>
        </w:numPr>
      </w:pPr>
      <w:r>
        <w:t>eine Menge funktionaler Zustandsklassen,</w:t>
      </w:r>
    </w:p>
    <w:p w:rsidR="00B816C2" w:rsidRDefault="00B816C2" w:rsidP="00632D23">
      <w:pPr>
        <w:pStyle w:val="StandardWeb"/>
        <w:numPr>
          <w:ilvl w:val="0"/>
          <w:numId w:val="55"/>
        </w:numPr>
      </w:pPr>
      <w:r>
        <w:t>eine funktionale Ordnung auf diesen Klassen,</w:t>
      </w:r>
    </w:p>
    <w:p w:rsidR="00B816C2" w:rsidRDefault="00B816C2" w:rsidP="00632D23">
      <w:pPr>
        <w:pStyle w:val="StandardWeb"/>
        <w:numPr>
          <w:ilvl w:val="0"/>
          <w:numId w:val="55"/>
        </w:numPr>
      </w:pPr>
      <w:r>
        <w:t>eine Abbildung, welche geordneten Zustandsklassen oder Transformationsabschnitten Zeitwerte zuordnet.</w:t>
      </w:r>
    </w:p>
    <w:p w:rsidR="00B816C2" w:rsidRDefault="00B816C2" w:rsidP="00B816C2">
      <w:pPr>
        <w:pStyle w:val="StandardWeb"/>
      </w:pPr>
      <w:r>
        <w:t>Die bereits eingeführte halbgeordnete Quotientenstruktur lautet</w:t>
      </w:r>
    </w:p>
    <w:p w:rsidR="00B816C2" w:rsidRDefault="00B816C2" w:rsidP="00B816C2">
      <w:pPr>
        <w:pStyle w:val="StandardWeb"/>
      </w:pPr>
      <w:r>
        <w:t>[</w:t>
      </w:r>
      <w:r>
        <w:br/>
        <w:t>\left(</w:t>
      </w:r>
      <w:r>
        <w:br/>
        <w:t>\mathcal{S}</w:t>
      </w:r>
      <w:r>
        <w:rPr>
          <w:rStyle w:val="Hervorhebung"/>
        </w:rPr>
        <w:t>{\mathrm{el}}/{\sim</w:t>
      </w:r>
      <w:r>
        <w:t>{!F}},</w:t>
      </w:r>
      <w:r>
        <w:br/>
        <w:t>\leq_{!F}</w:t>
      </w:r>
      <w:r>
        <w:br/>
        <w:t>\right).</w:t>
      </w:r>
      <w:r>
        <w:br/>
        <w:t>\tag{3.4147}</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\left(\mathcal{S}_{\mathrm{el}}/{\sim_{\!F}},\leq_{\!F}\right)\qquad\text{(3.4147)}</w:t>
      </w:r>
    </w:p>
    <w:p w:rsidR="00B816C2" w:rsidRDefault="00B816C2" w:rsidP="00B816C2">
      <w:pPr>
        <w:pStyle w:val="StandardWeb"/>
      </w:pPr>
      <w:r>
        <w:t>Dabei bezeichnet:</w:t>
      </w:r>
    </w:p>
    <w:p w:rsidR="00B816C2" w:rsidRDefault="00B816C2" w:rsidP="00632D23">
      <w:pPr>
        <w:pStyle w:val="StandardWeb"/>
        <w:numPr>
          <w:ilvl w:val="0"/>
          <w:numId w:val="56"/>
        </w:numPr>
      </w:pPr>
      <w:r>
        <w:t>(\mathcal{S}</w:t>
      </w:r>
      <w:r>
        <w:rPr>
          <w:rStyle w:val="Hervorhebung"/>
        </w:rPr>
        <w:t>{\mathrm{el}}/{\sim</w:t>
      </w:r>
      <w:r>
        <w:t>{!F}}) die Menge funktionaler Äquivalenzklassen,</w:t>
      </w:r>
    </w:p>
    <w:p w:rsidR="00B816C2" w:rsidRDefault="00B816C2" w:rsidP="00632D23">
      <w:pPr>
        <w:pStyle w:val="StandardWeb"/>
        <w:numPr>
          <w:ilvl w:val="0"/>
          <w:numId w:val="56"/>
        </w:numPr>
      </w:pPr>
      <w:r>
        <w:t>(\leq_{!F}) die durch funktionale Erreichbarkeit induzierte Halbordnung.</w:t>
      </w:r>
    </w:p>
    <w:p w:rsidR="00B816C2" w:rsidRDefault="00B816C2" w:rsidP="00B816C2">
      <w:pPr>
        <w:pStyle w:val="StandardWeb"/>
      </w:pPr>
      <w:r>
        <w:t>Gleichung (3.4147) enthält nur eine Ordnungsrelation. Sie legt noch keine numerischen oder physikalischen Zeitwerte fest.</w:t>
      </w:r>
    </w:p>
    <w:p w:rsidR="00B816C2" w:rsidRPr="00AF32B2" w:rsidRDefault="00B816C2" w:rsidP="00AF32B2">
      <w:pPr>
        <w:pStyle w:val="berschrift4"/>
      </w:pPr>
      <w:r w:rsidRPr="00AF32B2">
        <w:t>3.3.15.2 Funktionale Zeitabbildung</w:t>
      </w:r>
    </w:p>
    <w:p w:rsidR="00B816C2" w:rsidRDefault="00B816C2" w:rsidP="00B816C2">
      <w:pPr>
        <w:pStyle w:val="StandardWeb"/>
      </w:pPr>
      <w:r>
        <w:t>Eine funktionale Zeitabbildung ordnet jeder betrachteten funktionalen Zustandsklasse einen Wert aus einer geordneten Zeitwertemenge (\mathbb{T}_{F}) zu:</w:t>
      </w:r>
    </w:p>
    <w:p w:rsidR="00B816C2" w:rsidRDefault="00B816C2" w:rsidP="00B816C2">
      <w:pPr>
        <w:pStyle w:val="StandardWeb"/>
      </w:pPr>
      <w:r>
        <w:t>[</w:t>
      </w:r>
      <w:r>
        <w:br/>
        <w:t>\vartheta:</w:t>
      </w:r>
      <w:r>
        <w:br/>
        <w:t>\mathcal{S}</w:t>
      </w:r>
      <w:r>
        <w:rPr>
          <w:rStyle w:val="Hervorhebung"/>
        </w:rPr>
        <w:t>{\mathrm{el}}/{\sim</w:t>
      </w:r>
      <w:r>
        <w:t>{!F}}</w:t>
      </w:r>
      <w:r>
        <w:br/>
        <w:t>\rightarrow</w:t>
      </w:r>
      <w:r>
        <w:br/>
        <w:t>\mathbb{T}_{F}.</w:t>
      </w:r>
      <w:r>
        <w:br/>
        <w:t>\tag{3.4148}</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\vartheta:\mathcal{S}_{\mathrm{el}}/{\sim_{\!F}}\rightarrow\mathbb{T}_{F}\qquad\text{(3.4148)}</w:t>
      </w:r>
    </w:p>
    <w:p w:rsidR="00B816C2" w:rsidRDefault="00B816C2" w:rsidP="00B816C2">
      <w:pPr>
        <w:pStyle w:val="StandardWeb"/>
      </w:pPr>
      <w:r>
        <w:t>Dabei bezeichnet:</w:t>
      </w:r>
    </w:p>
    <w:p w:rsidR="00B816C2" w:rsidRDefault="00B816C2" w:rsidP="00632D23">
      <w:pPr>
        <w:pStyle w:val="StandardWeb"/>
        <w:numPr>
          <w:ilvl w:val="0"/>
          <w:numId w:val="57"/>
        </w:numPr>
      </w:pPr>
      <w:r>
        <w:lastRenderedPageBreak/>
        <w:t>(\vartheta) die funktionale Zeitabbildung,</w:t>
      </w:r>
    </w:p>
    <w:p w:rsidR="00B816C2" w:rsidRDefault="00B816C2" w:rsidP="00632D23">
      <w:pPr>
        <w:pStyle w:val="StandardWeb"/>
        <w:numPr>
          <w:ilvl w:val="0"/>
          <w:numId w:val="57"/>
        </w:numPr>
      </w:pPr>
      <w:r>
        <w:t>(\mathbb{T}_{F}) den funktionalen Zeitwertebereich,</w:t>
      </w:r>
    </w:p>
    <w:p w:rsidR="00B816C2" w:rsidRDefault="00B816C2" w:rsidP="00632D23">
      <w:pPr>
        <w:pStyle w:val="StandardWeb"/>
        <w:numPr>
          <w:ilvl w:val="0"/>
          <w:numId w:val="57"/>
        </w:numPr>
      </w:pPr>
      <w:r>
        <w:t>(\vartheta([\delta_i]_{!F})) den einer funktionalen Zustandsklasse zugeordneten Zeitwert.</w:t>
      </w:r>
    </w:p>
    <w:p w:rsidR="00B816C2" w:rsidRDefault="00B816C2" w:rsidP="00B816C2">
      <w:pPr>
        <w:pStyle w:val="StandardWeb"/>
      </w:pPr>
      <w:r>
        <w:t>Der Zeitwertebereich muss mindestens mit einer Ordnungsrelation (\leq_{\mathbb{T}}) ausgestattet sein:</w:t>
      </w:r>
    </w:p>
    <w:p w:rsidR="00B816C2" w:rsidRDefault="00B816C2" w:rsidP="00B816C2">
      <w:pPr>
        <w:pStyle w:val="StandardWeb"/>
      </w:pPr>
      <w:r>
        <w:t>[</w:t>
      </w:r>
      <w:r>
        <w:br/>
        <w:t>\left(</w:t>
      </w:r>
      <w:r>
        <w:br/>
        <w:t>\mathbb{T}</w:t>
      </w:r>
      <w:r>
        <w:rPr>
          <w:rStyle w:val="Hervorhebung"/>
        </w:rPr>
        <w:t>{F},</w:t>
      </w:r>
      <w:r>
        <w:rPr>
          <w:i/>
          <w:iCs/>
        </w:rPr>
        <w:br/>
      </w:r>
      <w:r>
        <w:rPr>
          <w:rStyle w:val="Hervorhebung"/>
        </w:rPr>
        <w:t>\leq</w:t>
      </w:r>
      <w:r>
        <w:t>{\mathbb{T}}</w:t>
      </w:r>
      <w:r>
        <w:br/>
        <w:t>\right).</w:t>
      </w:r>
      <w:r>
        <w:br/>
        <w:t>\tag{3.4149}</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\left(\mathbb{T}_{F},\leq_{\mathbb{T}}\right)\qquad\text{(3.4149)}</w:t>
      </w:r>
    </w:p>
    <w:p w:rsidR="00B816C2" w:rsidRDefault="00B816C2" w:rsidP="00B816C2">
      <w:pPr>
        <w:pStyle w:val="StandardWeb"/>
      </w:pPr>
      <w:r>
        <w:t>Die konkrete Wahl von (\mathbb{T}_{F}) ist noch offen. Der Bereich kann beispielsweise diskret oder kontinuierlich sein. Ebenso ist noch nicht festgelegt, ob er mit den reellen Zahlen identisch ist.</w:t>
      </w:r>
    </w:p>
    <w:p w:rsidR="00B816C2" w:rsidRDefault="00B816C2" w:rsidP="00B816C2">
      <w:pPr>
        <w:pStyle w:val="StandardWeb"/>
      </w:pPr>
      <w:r>
        <w:rPr>
          <w:rStyle w:val="Fett"/>
        </w:rPr>
        <w:t>Eigenleistung des FRZK</w:t>
      </w:r>
    </w:p>
    <w:p w:rsidR="00B816C2" w:rsidRDefault="00B816C2" w:rsidP="00B816C2">
      <w:pPr>
        <w:pStyle w:val="StandardWeb"/>
      </w:pPr>
      <w:r>
        <w:t>Ich trenne die funktionale Zeitabbildung von ihrem Wertebereich. Die funktionale Ordnung entsteht aus den Transformationen. Der Zeitwertebereich stellt dagegen eine zusätzliche Repräsentationsstruktur bereit. Erst ihre verträgliche Verbindung erzeugt eine funktionale Zeitstruktur.</w:t>
      </w:r>
    </w:p>
    <w:p w:rsidR="00B816C2" w:rsidRPr="00AF32B2" w:rsidRDefault="00B816C2" w:rsidP="00AF32B2">
      <w:pPr>
        <w:pStyle w:val="berschrift4"/>
      </w:pPr>
      <w:r w:rsidRPr="00AF32B2">
        <w:t>3.3.15.3 Ordnungsverträglichkeit</w:t>
      </w:r>
    </w:p>
    <w:p w:rsidR="00B816C2" w:rsidRDefault="00B816C2" w:rsidP="00B816C2">
      <w:pPr>
        <w:pStyle w:val="StandardWeb"/>
      </w:pPr>
      <w:r>
        <w:t>Eine funktionale Zeitabbildung muss die funktionale Ordnung respektieren. Für zwei funktionale Zustandsklassen fordere ich:</w:t>
      </w:r>
    </w:p>
    <w:p w:rsidR="00B816C2" w:rsidRDefault="00B816C2" w:rsidP="00B816C2">
      <w:pPr>
        <w:pStyle w:val="StandardWeb"/>
      </w:pPr>
      <w:r>
        <w:t>[</w:t>
      </w:r>
      <w:r>
        <w:br/>
        <w:t>[\delta_i]</w:t>
      </w:r>
      <w:r>
        <w:rPr>
          <w:rStyle w:val="Hervorhebung"/>
        </w:rPr>
        <w:t>{!F}</w:t>
      </w:r>
      <w:r>
        <w:rPr>
          <w:i/>
          <w:iCs/>
        </w:rPr>
        <w:br/>
      </w:r>
      <w:r>
        <w:rPr>
          <w:rStyle w:val="Hervorhebung"/>
        </w:rPr>
        <w:t>\leq</w:t>
      </w:r>
      <w:r>
        <w:t>{!F}</w:t>
      </w:r>
      <w:r>
        <w:br/>
        <w:t>[\delta_j]</w:t>
      </w:r>
      <w:r>
        <w:rPr>
          <w:rStyle w:val="Hervorhebung"/>
        </w:rPr>
        <w:t>{!F}</w:t>
      </w:r>
      <w:r>
        <w:rPr>
          <w:i/>
          <w:iCs/>
        </w:rPr>
        <w:br/>
      </w:r>
      <w:r>
        <w:rPr>
          <w:rStyle w:val="Hervorhebung"/>
        </w:rPr>
        <w:t>\Rightarrow</w:t>
      </w:r>
      <w:r>
        <w:rPr>
          <w:i/>
          <w:iCs/>
        </w:rPr>
        <w:br/>
      </w:r>
      <w:r>
        <w:rPr>
          <w:rStyle w:val="Hervorhebung"/>
        </w:rPr>
        <w:t>\vartheta</w:t>
      </w:r>
      <w:r>
        <w:rPr>
          <w:i/>
          <w:iCs/>
        </w:rPr>
        <w:br/>
      </w:r>
      <w:r>
        <w:rPr>
          <w:rStyle w:val="Hervorhebung"/>
        </w:rPr>
        <w:t>\left(</w:t>
      </w:r>
      <w:r>
        <w:rPr>
          <w:i/>
          <w:iCs/>
        </w:rPr>
        <w:br/>
      </w:r>
      <w:r>
        <w:rPr>
          <w:rStyle w:val="Hervorhebung"/>
        </w:rPr>
        <w:t>[\delta_i]</w:t>
      </w:r>
      <w:r>
        <w:t>{!F}</w:t>
      </w:r>
      <w:r>
        <w:br/>
        <w:t>\right)</w:t>
      </w:r>
      <w:r>
        <w:br/>
        <w:t>\leq_{\mathbb{T}}</w:t>
      </w:r>
      <w:r>
        <w:br/>
        <w:t>\vartheta</w:t>
      </w:r>
      <w:r>
        <w:br/>
        <w:t>\left(</w:t>
      </w:r>
      <w:r>
        <w:br/>
        <w:t>[\delta_j]_{!F}</w:t>
      </w:r>
      <w:r>
        <w:br/>
        <w:t>\right).</w:t>
      </w:r>
      <w:r>
        <w:br/>
      </w:r>
      <w:r>
        <w:lastRenderedPageBreak/>
        <w:t>\tag{3.4150}</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[\delta_i]_{\!F}\leq_{\!F}[\delta_j]_{\!F}\Rightarrow\vartheta\left([\delta_i]_{\!F}\right)\leq_{\mathbb{T}}\vartheta\left([\delta_j]_{\!F}\right)\qquad\text{(3.4150)}</w:t>
      </w:r>
    </w:p>
    <w:p w:rsidR="00B816C2" w:rsidRDefault="00B816C2" w:rsidP="00B816C2">
      <w:pPr>
        <w:pStyle w:val="StandardWeb"/>
      </w:pPr>
      <w:r>
        <w:t>Gleichung (3.4150) verlangt Monotonie der funktionalen Zeitabbildung. Eine funktional nachgeordnete Zustandsklasse darf keinen kleineren funktionalen Zeitwert erhalten als eine ihr funktional vorausgehende Klasse [6, 71].</w:t>
      </w:r>
    </w:p>
    <w:p w:rsidR="00B816C2" w:rsidRDefault="00B816C2" w:rsidP="00B816C2">
      <w:pPr>
        <w:pStyle w:val="StandardWeb"/>
      </w:pPr>
      <w:r>
        <w:t>Für die strenge funktionale Ordnung kann eine streng monotone Zeitabbildung gefordert werden:</w:t>
      </w:r>
    </w:p>
    <w:p w:rsidR="00B816C2" w:rsidRDefault="00B816C2" w:rsidP="00B816C2">
      <w:pPr>
        <w:pStyle w:val="StandardWeb"/>
      </w:pPr>
      <w:r>
        <w:t>[</w:t>
      </w:r>
      <w:r>
        <w:br/>
        <w:t>[\delta_i]</w:t>
      </w:r>
      <w:r>
        <w:rPr>
          <w:rStyle w:val="Hervorhebung"/>
        </w:rPr>
        <w:t>{!F}</w:t>
      </w:r>
      <w:r>
        <w:rPr>
          <w:i/>
          <w:iCs/>
        </w:rPr>
        <w:br/>
      </w:r>
      <w:r>
        <w:rPr>
          <w:rStyle w:val="Hervorhebung"/>
        </w:rPr>
        <w:t>&lt;</w:t>
      </w:r>
      <w:r>
        <w:t>{!F}</w:t>
      </w:r>
      <w:r>
        <w:br/>
        <w:t>[\delta_j]</w:t>
      </w:r>
      <w:r>
        <w:rPr>
          <w:rStyle w:val="Hervorhebung"/>
        </w:rPr>
        <w:t>{!F}</w:t>
      </w:r>
      <w:r>
        <w:rPr>
          <w:i/>
          <w:iCs/>
        </w:rPr>
        <w:br/>
      </w:r>
      <w:r>
        <w:rPr>
          <w:rStyle w:val="Hervorhebung"/>
        </w:rPr>
        <w:t>\Rightarrow</w:t>
      </w:r>
      <w:r>
        <w:rPr>
          <w:i/>
          <w:iCs/>
        </w:rPr>
        <w:br/>
      </w:r>
      <w:r>
        <w:rPr>
          <w:rStyle w:val="Hervorhebung"/>
        </w:rPr>
        <w:t>\vartheta</w:t>
      </w:r>
      <w:r>
        <w:rPr>
          <w:i/>
          <w:iCs/>
        </w:rPr>
        <w:br/>
      </w:r>
      <w:r>
        <w:rPr>
          <w:rStyle w:val="Hervorhebung"/>
        </w:rPr>
        <w:t>\left(</w:t>
      </w:r>
      <w:r>
        <w:rPr>
          <w:i/>
          <w:iCs/>
        </w:rPr>
        <w:br/>
      </w:r>
      <w:r>
        <w:rPr>
          <w:rStyle w:val="Hervorhebung"/>
        </w:rPr>
        <w:t>[\delta_i]</w:t>
      </w:r>
      <w:r>
        <w:t>{!F}</w:t>
      </w:r>
      <w:r>
        <w:br/>
        <w:t>\right)</w:t>
      </w:r>
      <w:r>
        <w:br/>
        <w:t>&lt;</w:t>
      </w:r>
      <w:r>
        <w:br/>
      </w:r>
      <w:r>
        <w:rPr>
          <w:rStyle w:val="Hervorhebung"/>
        </w:rPr>
        <w:t>{\mathbb{T}}</w:t>
      </w:r>
      <w:r>
        <w:rPr>
          <w:i/>
          <w:iCs/>
        </w:rPr>
        <w:br/>
      </w:r>
      <w:r>
        <w:rPr>
          <w:rStyle w:val="Hervorhebung"/>
        </w:rPr>
        <w:t>\vartheta</w:t>
      </w:r>
      <w:r>
        <w:rPr>
          <w:i/>
          <w:iCs/>
        </w:rPr>
        <w:br/>
      </w:r>
      <w:r>
        <w:rPr>
          <w:rStyle w:val="Hervorhebung"/>
        </w:rPr>
        <w:t>\left(</w:t>
      </w:r>
      <w:r>
        <w:rPr>
          <w:i/>
          <w:iCs/>
        </w:rPr>
        <w:br/>
      </w:r>
      <w:r>
        <w:rPr>
          <w:rStyle w:val="Hervorhebung"/>
        </w:rPr>
        <w:t>[\delta_j]</w:t>
      </w:r>
      <w:r>
        <w:t>{!F}</w:t>
      </w:r>
      <w:r>
        <w:br/>
        <w:t>\right).</w:t>
      </w:r>
      <w:r>
        <w:br/>
        <w:t>\tag{3.4151}</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[\delta_i]_{\!F}&lt;_{\!F}[\delta_j]_{\!F}\Rightarrow\vartheta\left([\delta_i]_{\!F}\right)&lt;_{\mathbb{T}}\vartheta\left([\delta_j]_{\!F}\right)\qquad\text{(3.4151)}</w:t>
      </w:r>
    </w:p>
    <w:p w:rsidR="00B816C2" w:rsidRDefault="00B816C2" w:rsidP="00B816C2">
      <w:pPr>
        <w:pStyle w:val="StandardWeb"/>
      </w:pPr>
      <w:r>
        <w:t>Die streng monotone Bedingung verhindert, dass zwei funktional streng geordnete Zustandsklassen denselben funktionalen Zeitwert erhalten.</w:t>
      </w:r>
    </w:p>
    <w:p w:rsidR="00B816C2" w:rsidRDefault="00B816C2" w:rsidP="00B816C2">
      <w:pPr>
        <w:pStyle w:val="StandardWeb"/>
      </w:pPr>
      <w:r>
        <w:rPr>
          <w:rStyle w:val="Fett"/>
        </w:rPr>
        <w:t>Eigenleistung des FRZK</w:t>
      </w:r>
    </w:p>
    <w:p w:rsidR="00B816C2" w:rsidRDefault="00B816C2" w:rsidP="00B816C2">
      <w:pPr>
        <w:pStyle w:val="StandardWeb"/>
      </w:pPr>
      <w:r>
        <w:t>Ich unterscheide schwache und strenge Ordnungsverträglichkeit. Eine schwach monotone Zeitabbildung kann mehrere funktional verschiedene Zustandsklassen demselben Zeitwert zuordnen. Eine streng monotone Abbildung erzwingt dagegen unterschiedliche Zeitwerte für streng geordnete Klassen.</w:t>
      </w:r>
    </w:p>
    <w:p w:rsidR="00B816C2" w:rsidRPr="00AF32B2" w:rsidRDefault="00B816C2" w:rsidP="00AF32B2">
      <w:pPr>
        <w:pStyle w:val="berschrift4"/>
      </w:pPr>
      <w:r w:rsidRPr="00AF32B2">
        <w:t>3.3.15.4 Definition der funktionalen Zeitstruktur</w:t>
      </w:r>
    </w:p>
    <w:p w:rsidR="00B816C2" w:rsidRDefault="00B816C2" w:rsidP="00B816C2">
      <w:pPr>
        <w:pStyle w:val="StandardWeb"/>
      </w:pPr>
      <w:r>
        <w:rPr>
          <w:rStyle w:val="Fett"/>
        </w:rPr>
        <w:lastRenderedPageBreak/>
        <w:t>Definition 3.3.8 – Funktionale Zeitstruktur</w:t>
      </w:r>
    </w:p>
    <w:p w:rsidR="00B816C2" w:rsidRDefault="00B816C2" w:rsidP="00B816C2">
      <w:pPr>
        <w:pStyle w:val="StandardWeb"/>
      </w:pPr>
      <w:r>
        <w:t>Eine funktionale Zeitstruktur ist ein geordnetes Tripel</w:t>
      </w:r>
    </w:p>
    <w:p w:rsidR="00B816C2" w:rsidRDefault="00B816C2" w:rsidP="00B816C2">
      <w:pPr>
        <w:pStyle w:val="berschrift1"/>
      </w:pPr>
      <w:r>
        <w:t>[</w:t>
      </w:r>
      <w:r>
        <w:br/>
        <w:t>\mathfrak{T}_{F}</w:t>
      </w:r>
    </w:p>
    <w:p w:rsidR="00B816C2" w:rsidRDefault="00B816C2" w:rsidP="00B816C2">
      <w:pPr>
        <w:pStyle w:val="StandardWeb"/>
      </w:pPr>
      <w:r>
        <w:t>\left(</w:t>
      </w:r>
      <w:r>
        <w:br/>
        <w:t>\mathcal{S}</w:t>
      </w:r>
      <w:r>
        <w:rPr>
          <w:rStyle w:val="Hervorhebung"/>
        </w:rPr>
        <w:t>{\mathrm{el}}/{\sim</w:t>
      </w:r>
      <w:r>
        <w:t>{!F}},</w:t>
      </w:r>
      <w:r>
        <w:br/>
        <w:t>\mathbb{T}_{F},</w:t>
      </w:r>
      <w:r>
        <w:br/>
        <w:t>\vartheta</w:t>
      </w:r>
      <w:r>
        <w:br/>
        <w:t>\right),</w:t>
      </w:r>
      <w:r>
        <w:br/>
        <w:t>\tag{3.4152}</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\mathfrak{T}_{F}=\left(\mathcal{S}_{\mathrm{el}}/{\sim_{\!F}},\mathbb{T}_{F},\vartheta\right)\qquad\text{(3.4152)}</w:t>
      </w:r>
    </w:p>
    <w:p w:rsidR="00B816C2" w:rsidRDefault="00B816C2" w:rsidP="00B816C2">
      <w:pPr>
        <w:pStyle w:val="StandardWeb"/>
      </w:pPr>
      <w:r>
        <w:t>bei dem:</w:t>
      </w:r>
    </w:p>
    <w:p w:rsidR="00B816C2" w:rsidRDefault="00B816C2" w:rsidP="00632D23">
      <w:pPr>
        <w:pStyle w:val="StandardWeb"/>
        <w:numPr>
          <w:ilvl w:val="0"/>
          <w:numId w:val="58"/>
        </w:numPr>
      </w:pPr>
      <w:r>
        <w:t>(\mathcal{S}</w:t>
      </w:r>
      <w:r>
        <w:rPr>
          <w:rStyle w:val="Hervorhebung"/>
        </w:rPr>
        <w:t>{\mathrm{el}}/{\sim</w:t>
      </w:r>
      <w:r>
        <w:t>{!F}}) die funktional geordneten Zustandsklassen enthält,</w:t>
      </w:r>
    </w:p>
    <w:p w:rsidR="00B816C2" w:rsidRDefault="00B816C2" w:rsidP="00632D23">
      <w:pPr>
        <w:pStyle w:val="StandardWeb"/>
        <w:numPr>
          <w:ilvl w:val="0"/>
          <w:numId w:val="58"/>
        </w:numPr>
      </w:pPr>
      <w:r>
        <w:t>(\mathbb{T}_{F}) einen geordneten Zeitwertebereich bezeichnet,</w:t>
      </w:r>
    </w:p>
    <w:p w:rsidR="00B816C2" w:rsidRDefault="00B816C2" w:rsidP="00632D23">
      <w:pPr>
        <w:pStyle w:val="StandardWeb"/>
        <w:numPr>
          <w:ilvl w:val="0"/>
          <w:numId w:val="58"/>
        </w:numPr>
      </w:pPr>
      <w:r>
        <w:t>(\vartheta) eine ordnungsverträgliche Abbildung der Zustandsklassen auf funktionale Zeitwerte ist.</w:t>
      </w:r>
    </w:p>
    <w:p w:rsidR="00B816C2" w:rsidRDefault="00B816C2" w:rsidP="00B816C2">
      <w:pPr>
        <w:pStyle w:val="StandardWeb"/>
      </w:pPr>
      <w:r>
        <w:t>Formal gilt mindestens:</w:t>
      </w:r>
    </w:p>
    <w:p w:rsidR="00B816C2" w:rsidRDefault="00B816C2" w:rsidP="00B816C2">
      <w:pPr>
        <w:pStyle w:val="StandardWeb"/>
      </w:pPr>
      <w:r>
        <w:t>[</w:t>
      </w:r>
      <w:r>
        <w:br/>
        <w:t>[\delta_i]</w:t>
      </w:r>
      <w:r>
        <w:rPr>
          <w:rStyle w:val="Hervorhebung"/>
        </w:rPr>
        <w:t>{!F}</w:t>
      </w:r>
      <w:r>
        <w:rPr>
          <w:i/>
          <w:iCs/>
        </w:rPr>
        <w:br/>
      </w:r>
      <w:r>
        <w:rPr>
          <w:rStyle w:val="Hervorhebung"/>
        </w:rPr>
        <w:t>\leq</w:t>
      </w:r>
      <w:r>
        <w:t>{!F}</w:t>
      </w:r>
      <w:r>
        <w:br/>
        <w:t>[\delta_j]</w:t>
      </w:r>
      <w:r>
        <w:rPr>
          <w:rStyle w:val="Hervorhebung"/>
        </w:rPr>
        <w:t>{!F}</w:t>
      </w:r>
      <w:r>
        <w:rPr>
          <w:i/>
          <w:iCs/>
        </w:rPr>
        <w:br/>
      </w:r>
      <w:r>
        <w:rPr>
          <w:rStyle w:val="Hervorhebung"/>
        </w:rPr>
        <w:t>\Rightarrow</w:t>
      </w:r>
      <w:r>
        <w:rPr>
          <w:i/>
          <w:iCs/>
        </w:rPr>
        <w:br/>
      </w:r>
      <w:r>
        <w:rPr>
          <w:rStyle w:val="Hervorhebung"/>
        </w:rPr>
        <w:t>\vartheta</w:t>
      </w:r>
      <w:r>
        <w:rPr>
          <w:i/>
          <w:iCs/>
        </w:rPr>
        <w:br/>
      </w:r>
      <w:r>
        <w:rPr>
          <w:rStyle w:val="Hervorhebung"/>
        </w:rPr>
        <w:t>\left(</w:t>
      </w:r>
      <w:r>
        <w:rPr>
          <w:i/>
          <w:iCs/>
        </w:rPr>
        <w:br/>
      </w:r>
      <w:r>
        <w:rPr>
          <w:rStyle w:val="Hervorhebung"/>
        </w:rPr>
        <w:t>[\delta_i]</w:t>
      </w:r>
      <w:r>
        <w:t>{!F}</w:t>
      </w:r>
      <w:r>
        <w:br/>
        <w:t>\right)</w:t>
      </w:r>
      <w:r>
        <w:br/>
        <w:t>\leq_{\mathbb{T}}</w:t>
      </w:r>
      <w:r>
        <w:br/>
        <w:t>\vartheta</w:t>
      </w:r>
      <w:r>
        <w:br/>
        <w:t>\left(</w:t>
      </w:r>
      <w:r>
        <w:br/>
        <w:t>[\delta_j]_{!F}</w:t>
      </w:r>
      <w:r>
        <w:br/>
        <w:t>\right).</w:t>
      </w:r>
      <w:r>
        <w:br/>
        <w:t>\tag{3.4153}</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lastRenderedPageBreak/>
        <w:t>[\delta_i]_{\!F}\leq_{\!F}[\delta_j]_{\!F}\Rightarrow\vartheta\left([\delta_i]_{\!F}\right)\leq_{\mathbb{T}}\vartheta\left([\delta_j]_{\!F}\right)\qquad\text{(3.4153)}</w:t>
      </w:r>
    </w:p>
    <w:p w:rsidR="00B816C2" w:rsidRDefault="00B816C2" w:rsidP="00B816C2">
      <w:pPr>
        <w:pStyle w:val="StandardWeb"/>
      </w:pPr>
      <w:r>
        <w:t>Definition 3.3.8 ist keine neue axiomatische Existenzsetzung. Sie legt fest, wann eine geordnete Bewertung funktionaler Zustandsklassen als funktionale Zeitstruktur bezeichnet wird. Ob eine geeignete Abbildung (\vartheta) für ein konkretes Modell existiert, muss gesondert geprüft werden [79].</w:t>
      </w:r>
    </w:p>
    <w:p w:rsidR="00B816C2" w:rsidRPr="00AF32B2" w:rsidRDefault="00B816C2" w:rsidP="00AF32B2">
      <w:pPr>
        <w:pStyle w:val="berschrift4"/>
      </w:pPr>
      <w:r w:rsidRPr="00AF32B2">
        <w:t>3.3.15.5 Funktionaler Zeitwert eines Zustands</w:t>
      </w:r>
    </w:p>
    <w:p w:rsidR="00B816C2" w:rsidRDefault="00B816C2" w:rsidP="00B816C2">
      <w:pPr>
        <w:pStyle w:val="StandardWeb"/>
      </w:pPr>
      <w:r>
        <w:t>Für eine funktionale Zustandsklasse ([\delta_i]_{!F}) definiere ich den funktionalen Zeitwert durch</w:t>
      </w:r>
    </w:p>
    <w:p w:rsidR="00B816C2" w:rsidRDefault="00B816C2" w:rsidP="00B816C2">
      <w:pPr>
        <w:pStyle w:val="berschrift1"/>
      </w:pPr>
      <w:r>
        <w:t>[</w:t>
      </w:r>
      <w:r>
        <w:br/>
        <w:t>t^{F}_{i}</w:t>
      </w:r>
    </w:p>
    <w:p w:rsidR="00B816C2" w:rsidRDefault="00B816C2" w:rsidP="00B816C2">
      <w:pPr>
        <w:pStyle w:val="StandardWeb"/>
      </w:pPr>
      <w:r>
        <w:t>\vartheta</w:t>
      </w:r>
      <w:r>
        <w:br/>
        <w:t>\left(</w:t>
      </w:r>
      <w:r>
        <w:br/>
        <w:t>[\delta_i]_{!F}</w:t>
      </w:r>
      <w:r>
        <w:br/>
        <w:t>\right).</w:t>
      </w:r>
      <w:r>
        <w:br/>
        <w:t>\tag{3.4154}</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t^{F}_{i}=\vartheta\left([\delta_i]_{\!F}\right)\qquad\text{(3.4154)}</w:t>
      </w:r>
    </w:p>
    <w:p w:rsidR="00B816C2" w:rsidRDefault="00B816C2" w:rsidP="00B816C2">
      <w:pPr>
        <w:pStyle w:val="StandardWeb"/>
      </w:pPr>
      <w:r>
        <w:t>Dabei bezeichnet (t^{F}_{i}) keinen bereits vorausgesetzten physikalischen Zeitpunkt. Es handelt sich um den durch die funktionale Zeitabbildung bestimmten Ordnungswert einer funktionalen Zustandsklasse.</w:t>
      </w:r>
    </w:p>
    <w:p w:rsidR="00B816C2" w:rsidRDefault="00B816C2" w:rsidP="00B816C2">
      <w:pPr>
        <w:pStyle w:val="StandardWeb"/>
      </w:pPr>
      <w:r>
        <w:t>Für zwei geordnete Zustandsklassen gilt entsprechend:</w:t>
      </w:r>
    </w:p>
    <w:p w:rsidR="00B816C2" w:rsidRDefault="00B816C2" w:rsidP="00B816C2">
      <w:pPr>
        <w:pStyle w:val="StandardWeb"/>
      </w:pPr>
      <w:r>
        <w:t>[</w:t>
      </w:r>
      <w:r>
        <w:br/>
        <w:t>[\delta_i]</w:t>
      </w:r>
      <w:r>
        <w:rPr>
          <w:rStyle w:val="Hervorhebung"/>
        </w:rPr>
        <w:t>{!F}</w:t>
      </w:r>
      <w:r>
        <w:rPr>
          <w:i/>
          <w:iCs/>
        </w:rPr>
        <w:br/>
      </w:r>
      <w:r>
        <w:rPr>
          <w:rStyle w:val="Hervorhebung"/>
        </w:rPr>
        <w:t>&lt;</w:t>
      </w:r>
      <w:r>
        <w:t>{!F}</w:t>
      </w:r>
      <w:r>
        <w:br/>
        <w:t>[\delta_j]</w:t>
      </w:r>
      <w:r>
        <w:rPr>
          <w:rStyle w:val="Hervorhebung"/>
        </w:rPr>
        <w:t>{!F}</w:t>
      </w:r>
      <w:r>
        <w:rPr>
          <w:i/>
          <w:iCs/>
        </w:rPr>
        <w:br/>
      </w:r>
      <w:r>
        <w:rPr>
          <w:rStyle w:val="Hervorhebung"/>
        </w:rPr>
        <w:t>\Rightarrow</w:t>
      </w:r>
      <w:r>
        <w:rPr>
          <w:i/>
          <w:iCs/>
        </w:rPr>
        <w:br/>
      </w:r>
      <w:r>
        <w:rPr>
          <w:rStyle w:val="Hervorhebung"/>
        </w:rPr>
        <w:t>t^{F}</w:t>
      </w:r>
      <w:r>
        <w:t>{i}</w:t>
      </w:r>
      <w:r>
        <w:br/>
        <w:t>&lt;</w:t>
      </w:r>
      <w:r>
        <w:br/>
      </w:r>
      <w:r>
        <w:rPr>
          <w:rStyle w:val="Hervorhebung"/>
        </w:rPr>
        <w:t>{\mathbb{T}}</w:t>
      </w:r>
      <w:r>
        <w:rPr>
          <w:i/>
          <w:iCs/>
        </w:rPr>
        <w:br/>
      </w:r>
      <w:r>
        <w:rPr>
          <w:rStyle w:val="Hervorhebung"/>
        </w:rPr>
        <w:t>t^{F}</w:t>
      </w:r>
      <w:r>
        <w:t>{j},</w:t>
      </w:r>
      <w:r>
        <w:br/>
        <w:t>\tag{3.4155}</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[\delta_i]_{\!F}&lt;_{\!F}[\delta_j]_{\!F}\Rightarrow t^{F}_{i}&lt;_{\mathbb{T}}t^{F}_{j}\qquad\text{(3.4155)}</w:t>
      </w:r>
    </w:p>
    <w:p w:rsidR="00B816C2" w:rsidRDefault="00B816C2" w:rsidP="00B816C2">
      <w:pPr>
        <w:pStyle w:val="StandardWeb"/>
      </w:pPr>
      <w:r>
        <w:lastRenderedPageBreak/>
        <w:t>sofern (\vartheta) streng monoton ist.</w:t>
      </w:r>
    </w:p>
    <w:p w:rsidR="00B816C2" w:rsidRPr="00AF32B2" w:rsidRDefault="00B816C2" w:rsidP="00AF32B2">
      <w:pPr>
        <w:pStyle w:val="berschrift4"/>
      </w:pPr>
      <w:r w:rsidRPr="00AF32B2">
        <w:t>3.3.15.6 Funktionale Dauer</w:t>
      </w:r>
    </w:p>
    <w:p w:rsidR="00B816C2" w:rsidRDefault="00B816C2" w:rsidP="00B816C2">
      <w:pPr>
        <w:pStyle w:val="StandardWeb"/>
      </w:pPr>
      <w:r>
        <w:t>Eine Zeitordnung allein erlaubt noch keinen quantitativen Vergleich von Entwicklungsabschnitten. Für eine funktionale Dauer muss der Wertebereich (\mathbb{T}_{F}) zusätzlich eine Differenzbildung oder eine geeignete Abstandsfunktion zulassen [75].</w:t>
      </w:r>
    </w:p>
    <w:p w:rsidR="00B816C2" w:rsidRDefault="00B816C2" w:rsidP="00B816C2">
      <w:pPr>
        <w:pStyle w:val="StandardWeb"/>
      </w:pPr>
      <w:r>
        <w:t>Für zwei funktional geordnete Zustandsklassen definiere ich die funktionale Dauer durch</w:t>
      </w:r>
    </w:p>
    <w:p w:rsidR="00B816C2" w:rsidRDefault="00B816C2" w:rsidP="00B816C2">
      <w:pPr>
        <w:pStyle w:val="berschrift1"/>
      </w:pPr>
      <w:r>
        <w:t>[</w:t>
      </w:r>
      <w:r>
        <w:br/>
        <w:t>\Delta t^{F}_{ij}</w:t>
      </w:r>
    </w:p>
    <w:p w:rsidR="00B816C2" w:rsidRDefault="00B816C2" w:rsidP="00B816C2">
      <w:pPr>
        <w:pStyle w:val="berschrift2"/>
      </w:pPr>
      <w:r>
        <w:t>t^{F}_{j}</w:t>
      </w:r>
    </w:p>
    <w:p w:rsidR="00B816C2" w:rsidRDefault="00B816C2" w:rsidP="00B816C2">
      <w:pPr>
        <w:pStyle w:val="StandardWeb"/>
      </w:pPr>
      <w:r>
        <w:t>t^{F}_{i}.</w:t>
      </w:r>
      <w:r>
        <w:br/>
        <w:t>\tag{3.4156}</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\Delta t^{F}_{ij}=t^{F}_{j}-t^{F}_{i}\qquad\text{(3.4156)}</w:t>
      </w:r>
    </w:p>
    <w:p w:rsidR="00B816C2" w:rsidRDefault="00B816C2" w:rsidP="00B816C2">
      <w:pPr>
        <w:pStyle w:val="StandardWeb"/>
      </w:pPr>
      <w:r>
        <w:t>Dabei bezeichnet (\Delta t^{F}</w:t>
      </w:r>
      <w:r>
        <w:rPr>
          <w:rStyle w:val="Hervorhebung"/>
        </w:rPr>
        <w:t>{ij}) die funktionale Dauer zwischen den Zustandsklassen ([\delta_i]</w:t>
      </w:r>
      <w:r>
        <w:t>{!F}) und ([\delta_j]_{!F}).</w:t>
      </w:r>
    </w:p>
    <w:p w:rsidR="00B816C2" w:rsidRDefault="00B816C2" w:rsidP="00B816C2">
      <w:pPr>
        <w:pStyle w:val="StandardWeb"/>
      </w:pPr>
      <w:r>
        <w:t>Für streng geordnete Klassen gilt bei geeigneter Zeitwertestruktur:</w:t>
      </w:r>
    </w:p>
    <w:p w:rsidR="00B816C2" w:rsidRDefault="00B816C2" w:rsidP="00B816C2">
      <w:pPr>
        <w:pStyle w:val="StandardWeb"/>
      </w:pPr>
      <w:r>
        <w:t>[</w:t>
      </w:r>
      <w:r>
        <w:br/>
        <w:t>[\delta_i]</w:t>
      </w:r>
      <w:r>
        <w:rPr>
          <w:rStyle w:val="Hervorhebung"/>
        </w:rPr>
        <w:t>{!F}</w:t>
      </w:r>
      <w:r>
        <w:rPr>
          <w:i/>
          <w:iCs/>
        </w:rPr>
        <w:br/>
      </w:r>
      <w:r>
        <w:rPr>
          <w:rStyle w:val="Hervorhebung"/>
        </w:rPr>
        <w:t>&lt;</w:t>
      </w:r>
      <w:r>
        <w:t>{!F}</w:t>
      </w:r>
      <w:r>
        <w:br/>
        <w:t>[\delta_j]</w:t>
      </w:r>
      <w:r>
        <w:rPr>
          <w:rStyle w:val="Hervorhebung"/>
        </w:rPr>
        <w:t>{!F}</w:t>
      </w:r>
      <w:r>
        <w:rPr>
          <w:i/>
          <w:iCs/>
        </w:rPr>
        <w:br/>
      </w:r>
      <w:r>
        <w:rPr>
          <w:rStyle w:val="Hervorhebung"/>
        </w:rPr>
        <w:t>\Rightarrow</w:t>
      </w:r>
      <w:r>
        <w:rPr>
          <w:i/>
          <w:iCs/>
        </w:rPr>
        <w:br/>
      </w:r>
      <w:r>
        <w:rPr>
          <w:rStyle w:val="Hervorhebung"/>
        </w:rPr>
        <w:t>\Delta t^{F}</w:t>
      </w:r>
      <w:r>
        <w:t>{ij}</w:t>
      </w:r>
    </w:p>
    <w:p w:rsidR="00B816C2" w:rsidRDefault="00B816C2" w:rsidP="00632D23">
      <w:pPr>
        <w:numPr>
          <w:ilvl w:val="0"/>
          <w:numId w:val="59"/>
        </w:numPr>
        <w:spacing w:before="100" w:beforeAutospacing="1" w:after="100" w:afterAutospacing="1"/>
      </w:pPr>
    </w:p>
    <w:p w:rsidR="00B816C2" w:rsidRDefault="00B816C2" w:rsidP="00B816C2">
      <w:pPr>
        <w:pStyle w:val="StandardWeb"/>
      </w:pPr>
      <w:r>
        <w:t>\tag{3.4157}</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[\delta_i]_{\!F}&lt;_{\!F}[\delta_j]_{\!F}\Rightarrow\Delta t^{F}_{ij}&gt;0\qquad\text{(3.4157)}</w:t>
      </w:r>
    </w:p>
    <w:p w:rsidR="00B816C2" w:rsidRDefault="00B816C2" w:rsidP="00B816C2">
      <w:pPr>
        <w:pStyle w:val="StandardWeb"/>
      </w:pPr>
      <w:r>
        <w:t>Die Differenzbildung setzt voraus, dass der Zeitwertebereich eine entsprechende algebraische Struktur besitzt. Diese Eigenschaft folgt nicht bereits aus einer bloßen Ordnung [6, 75].</w:t>
      </w:r>
    </w:p>
    <w:p w:rsidR="00B816C2" w:rsidRDefault="00B816C2" w:rsidP="00B816C2">
      <w:pPr>
        <w:pStyle w:val="StandardWeb"/>
      </w:pPr>
      <w:r>
        <w:rPr>
          <w:rStyle w:val="Fett"/>
        </w:rPr>
        <w:t>Eigenleistung des FRZK</w:t>
      </w:r>
    </w:p>
    <w:p w:rsidR="00B816C2" w:rsidRDefault="00B816C2" w:rsidP="00B816C2">
      <w:pPr>
        <w:pStyle w:val="StandardWeb"/>
      </w:pPr>
      <w:r>
        <w:lastRenderedPageBreak/>
        <w:t>Ich unterscheide funktionale Zeitordnung und funktionale Dauer. Die Zeitordnung verlangt lediglich eine ordnungsverträgliche Abbildung. Eine Dauer setzt zusätzlich eine quantitative Struktur des Zeitwertebereichs voraus.</w:t>
      </w:r>
    </w:p>
    <w:p w:rsidR="00B816C2" w:rsidRPr="00AF32B2" w:rsidRDefault="00B816C2" w:rsidP="00AF32B2">
      <w:pPr>
        <w:pStyle w:val="berschrift4"/>
      </w:pPr>
      <w:r w:rsidRPr="00AF32B2">
        <w:t>3.3.15.7 Schrittbasierte funktionale Zeit</w:t>
      </w:r>
    </w:p>
    <w:p w:rsidR="00B816C2" w:rsidRDefault="00B816C2" w:rsidP="00B816C2">
      <w:pPr>
        <w:pStyle w:val="StandardWeb"/>
      </w:pPr>
      <w:r>
        <w:t>Die einfachste funktionale Zeitbewertung kann auf der Anzahl der Transformationsschritte beruhen. Für einen gewählten Ausgangszustand (\delta_0) kann definiert werden:</w:t>
      </w:r>
    </w:p>
    <w:p w:rsidR="00B816C2" w:rsidRDefault="00B816C2" w:rsidP="00B816C2">
      <w:pPr>
        <w:pStyle w:val="berschrift1"/>
      </w:pPr>
      <w:r>
        <w:t>[</w:t>
      </w:r>
      <w:r>
        <w:br/>
        <w:t>t^{F}</w:t>
      </w:r>
      <w:r>
        <w:br/>
        <w:t>\left(</w:t>
      </w:r>
      <w:r>
        <w:br/>
        <w:t>[\delta_j]_{!F}</w:t>
      </w:r>
      <w:r>
        <w:br/>
        <w:t>\right)</w:t>
      </w:r>
    </w:p>
    <w:p w:rsidR="00B816C2" w:rsidRDefault="00B816C2" w:rsidP="00B816C2">
      <w:pPr>
        <w:pStyle w:val="StandardWeb"/>
      </w:pPr>
      <w:r>
        <w:t>\ell_{!F}</w:t>
      </w:r>
      <w:r>
        <w:br/>
        <w:t>\left(</w:t>
      </w:r>
      <w:r>
        <w:br/>
        <w:t>\delta_0,</w:t>
      </w:r>
      <w:r>
        <w:br/>
        <w:t>\delta_j</w:t>
      </w:r>
      <w:r>
        <w:br/>
        <w:t>\right).</w:t>
      </w:r>
      <w:r>
        <w:br/>
        <w:t>\tag{3.4158}</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t^{F}\left([\delta_j]_{\!F}\right)=\ell_{\!F}\left(\delta_0,\delta_j\right)\qquad\text{(3.4158)}</w:t>
      </w:r>
    </w:p>
    <w:p w:rsidR="00B816C2" w:rsidRDefault="00B816C2" w:rsidP="00B816C2">
      <w:pPr>
        <w:pStyle w:val="StandardWeb"/>
      </w:pPr>
      <w:r>
        <w:t>Dabei wird der funktionale Zeitwert durch die minimale funktionale Transformationslänge vom gewählten Ausgangszustand bestimmt.</w:t>
      </w:r>
    </w:p>
    <w:p w:rsidR="00B816C2" w:rsidRDefault="00B816C2" w:rsidP="00B816C2">
      <w:pPr>
        <w:pStyle w:val="StandardWeb"/>
      </w:pPr>
      <w:r>
        <w:t>Diese Konstruktion ist nur dann eindeutig, wenn die Zuordnung nicht von der Wahl des Repräsentanten innerhalb einer Äquivalenzklasse abhängt. Zusätzlich muss geprüft werden, ob die minimale Transformationslänge mit der funktionalen Ordnung monoton verträglich ist.</w:t>
      </w:r>
    </w:p>
    <w:p w:rsidR="00B816C2" w:rsidRDefault="00B816C2" w:rsidP="00B816C2">
      <w:pPr>
        <w:pStyle w:val="StandardWeb"/>
      </w:pPr>
      <w:r>
        <w:t>Für den Ausgangszustand gilt:</w:t>
      </w:r>
    </w:p>
    <w:p w:rsidR="00B816C2" w:rsidRDefault="00B816C2" w:rsidP="00B816C2">
      <w:pPr>
        <w:pStyle w:val="berschrift1"/>
      </w:pPr>
      <w:r>
        <w:t>[</w:t>
      </w:r>
      <w:r>
        <w:br/>
        <w:t>t^{F}</w:t>
      </w:r>
      <w:r>
        <w:br/>
        <w:t>\left(</w:t>
      </w:r>
      <w:r>
        <w:br/>
        <w:t>[\delta_0]_{!F}</w:t>
      </w:r>
      <w:r>
        <w:br/>
        <w:t>\right)</w:t>
      </w:r>
    </w:p>
    <w:p w:rsidR="00B816C2" w:rsidRDefault="00B816C2" w:rsidP="00632D23">
      <w:pPr>
        <w:numPr>
          <w:ilvl w:val="0"/>
          <w:numId w:val="60"/>
        </w:numPr>
        <w:spacing w:before="100" w:beforeAutospacing="1" w:after="100" w:afterAutospacing="1"/>
      </w:pPr>
    </w:p>
    <w:p w:rsidR="00B816C2" w:rsidRDefault="00B816C2" w:rsidP="00B816C2">
      <w:pPr>
        <w:pStyle w:val="StandardWeb"/>
      </w:pPr>
      <w:r>
        <w:lastRenderedPageBreak/>
        <w:t>\tag{3.4159}</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t^{F}\left([\delta_0]_{\!F}\right)=0\qquad\text{(3.4159)}</w:t>
      </w:r>
    </w:p>
    <w:p w:rsidR="00B816C2" w:rsidRDefault="00B816C2" w:rsidP="00B816C2">
      <w:pPr>
        <w:pStyle w:val="StandardWeb"/>
      </w:pPr>
      <w:r>
        <w:rPr>
          <w:rStyle w:val="Fett"/>
        </w:rPr>
        <w:t>Eigenleistung des FRZK</w:t>
      </w:r>
    </w:p>
    <w:p w:rsidR="00B816C2" w:rsidRDefault="00B816C2" w:rsidP="00B816C2">
      <w:pPr>
        <w:pStyle w:val="StandardWeb"/>
      </w:pPr>
      <w:r>
        <w:t>Ich behandle die schrittbasierte Zeit als einfachste mögliche Operationalisierung. Ein Transformationsschritt wird dabei unabhängig von seiner funktionalen Komplexität gleich gewichtet. Diese Zeitstruktur ist deshalb zunächst nur ordinal beziehungsweise diskret und darf nicht ohne weitere Begründung mit physikalischer Dauer gleichgesetzt werden.</w:t>
      </w:r>
    </w:p>
    <w:p w:rsidR="00B816C2" w:rsidRPr="00AF32B2" w:rsidRDefault="00B816C2" w:rsidP="00AF32B2">
      <w:pPr>
        <w:pStyle w:val="berschrift4"/>
      </w:pPr>
      <w:r w:rsidRPr="00AF32B2">
        <w:t>3.3.15.8 Gewichtete funktionale Dauer</w:t>
      </w:r>
    </w:p>
    <w:p w:rsidR="00B816C2" w:rsidRDefault="00B816C2" w:rsidP="00B816C2">
      <w:pPr>
        <w:pStyle w:val="StandardWeb"/>
      </w:pPr>
      <w:r>
        <w:t>Unterschiedliche Transformationen können unterschiedliche funktionale Bedeutung oder unterschiedlichen Aufwand besitzen. Deshalb kann jedem funktionalen Transformationsschritt (T_k) ein positives Gewicht zugeordnet werden:</w:t>
      </w:r>
    </w:p>
    <w:p w:rsidR="00B816C2" w:rsidRDefault="00B816C2" w:rsidP="00B816C2">
      <w:pPr>
        <w:pStyle w:val="StandardWeb"/>
      </w:pPr>
      <w:r>
        <w:t>[</w:t>
      </w:r>
      <w:r>
        <w:br/>
        <w:t>w:</w:t>
      </w:r>
      <w:r>
        <w:br/>
        <w:t>\mathfrak{T}</w:t>
      </w:r>
      <w:r>
        <w:rPr>
          <w:rStyle w:val="Hervorhebung"/>
        </w:rPr>
        <w:t>{\mathrm{f}}</w:t>
      </w:r>
      <w:r>
        <w:rPr>
          <w:i/>
          <w:iCs/>
        </w:rPr>
        <w:br/>
      </w:r>
      <w:r>
        <w:rPr>
          <w:rStyle w:val="Hervorhebung"/>
        </w:rPr>
        <w:t>\rightarrow</w:t>
      </w:r>
      <w:r>
        <w:rPr>
          <w:i/>
          <w:iCs/>
        </w:rPr>
        <w:br/>
      </w:r>
      <w:r>
        <w:rPr>
          <w:rStyle w:val="Hervorhebung"/>
        </w:rPr>
        <w:t>\mathbb{R}</w:t>
      </w:r>
      <w:r>
        <w:t>{&gt;0}.</w:t>
      </w:r>
      <w:r>
        <w:br/>
        <w:t>\tag{3.4160}</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w:\mathfrak{T}_{\mathrm{f}}\rightarrow\mathbb{R}_{&gt;0}\qquad\text{(3.4160)}</w:t>
      </w:r>
    </w:p>
    <w:p w:rsidR="00B816C2" w:rsidRDefault="00B816C2" w:rsidP="00B816C2">
      <w:pPr>
        <w:pStyle w:val="StandardWeb"/>
      </w:pPr>
      <w:r>
        <w:t>Dabei bezeichnet (w(T_k)) die funktionale Dauer oder das funktionale Gewicht der Transformation (T_k).</w:t>
      </w:r>
    </w:p>
    <w:p w:rsidR="00B816C2" w:rsidRDefault="00B816C2" w:rsidP="00B816C2">
      <w:pPr>
        <w:pStyle w:val="StandardWeb"/>
      </w:pPr>
      <w:r>
        <w:t>Für eine Entwicklung mit (n) Schritten ergibt sich die gewichtete funktionale Dauer:</w:t>
      </w:r>
    </w:p>
    <w:p w:rsidR="00B816C2" w:rsidRDefault="00B816C2" w:rsidP="00B816C2">
      <w:pPr>
        <w:pStyle w:val="berschrift1"/>
      </w:pPr>
      <w:r>
        <w:t>[</w:t>
      </w:r>
      <w:r>
        <w:br/>
        <w:t>D_{F}</w:t>
      </w:r>
      <w:r>
        <w:br/>
        <w:t>\left(</w:t>
      </w:r>
      <w:r>
        <w:br/>
        <w:t>\mathfrak{E}_{n}</w:t>
      </w:r>
      <w:r>
        <w:br/>
        <w:t>\right)</w:t>
      </w:r>
    </w:p>
    <w:p w:rsidR="00B816C2" w:rsidRDefault="00B816C2" w:rsidP="00B816C2">
      <w:pPr>
        <w:pStyle w:val="StandardWeb"/>
      </w:pPr>
      <w:r>
        <w:t>\sum_{k=1}^{n}</w:t>
      </w:r>
      <w:r>
        <w:br/>
        <w:t>w(T_k).</w:t>
      </w:r>
      <w:r>
        <w:br/>
        <w:t>\tag{3.4161}</w:t>
      </w:r>
      <w:r>
        <w:br/>
        <w:t>]</w:t>
      </w:r>
    </w:p>
    <w:p w:rsidR="00B816C2" w:rsidRDefault="00B816C2" w:rsidP="00B816C2">
      <w:pPr>
        <w:pStyle w:val="StandardWeb"/>
      </w:pPr>
      <w:r>
        <w:rPr>
          <w:rStyle w:val="Fett"/>
        </w:rPr>
        <w:lastRenderedPageBreak/>
        <w:t>Word-LaTeX</w:t>
      </w:r>
    </w:p>
    <w:p w:rsidR="00B816C2" w:rsidRDefault="00B816C2" w:rsidP="00B816C2">
      <w:pPr>
        <w:pStyle w:val="HTMLVorformatiert"/>
        <w:rPr>
          <w:rStyle w:val="HTMLCode"/>
        </w:rPr>
      </w:pPr>
      <w:r>
        <w:rPr>
          <w:rStyle w:val="HTMLCode"/>
        </w:rPr>
        <w:t>D_{F}\left(\mathfrak{E}_{n}\right)=\sum_{k=1}^{n}w(T_k)\qquad\text{(3.4161)}</w:t>
      </w:r>
    </w:p>
    <w:p w:rsidR="00B816C2" w:rsidRDefault="00B816C2" w:rsidP="00B816C2">
      <w:pPr>
        <w:pStyle w:val="StandardWeb"/>
      </w:pPr>
      <w:r>
        <w:t>Dabei bezeichnet (D_{F}(\mathfrak{E}_{n})) die gesamte funktionale Dauer der Entwicklung.</w:t>
      </w:r>
    </w:p>
    <w:p w:rsidR="00B816C2" w:rsidRDefault="00B816C2" w:rsidP="00B816C2">
      <w:pPr>
        <w:pStyle w:val="StandardWeb"/>
      </w:pPr>
      <w:r>
        <w:t>Für eine leere Transformationsfolge gilt:</w:t>
      </w:r>
    </w:p>
    <w:p w:rsidR="00B816C2" w:rsidRDefault="00B816C2" w:rsidP="00B816C2">
      <w:pPr>
        <w:pStyle w:val="berschrift1"/>
      </w:pPr>
      <w:r>
        <w:t>[</w:t>
      </w:r>
      <w:r>
        <w:br/>
        <w:t>D_{F}</w:t>
      </w:r>
      <w:r>
        <w:br/>
        <w:t>\left(</w:t>
      </w:r>
      <w:r>
        <w:br/>
        <w:t>\mathfrak{E}_{0}</w:t>
      </w:r>
      <w:r>
        <w:br/>
        <w:t>\right)</w:t>
      </w:r>
    </w:p>
    <w:p w:rsidR="00B816C2" w:rsidRDefault="00B816C2" w:rsidP="00632D23">
      <w:pPr>
        <w:numPr>
          <w:ilvl w:val="0"/>
          <w:numId w:val="61"/>
        </w:numPr>
        <w:spacing w:before="100" w:beforeAutospacing="1" w:after="100" w:afterAutospacing="1"/>
      </w:pPr>
    </w:p>
    <w:p w:rsidR="00B816C2" w:rsidRDefault="00B816C2" w:rsidP="00B816C2">
      <w:pPr>
        <w:pStyle w:val="StandardWeb"/>
      </w:pPr>
      <w:r>
        <w:t>\tag{3.4162}</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D_{F}\left(\mathfrak{E}_{0}\right)=0\qquad\text{(3.4162)}</w:t>
      </w:r>
    </w:p>
    <w:p w:rsidR="00B816C2" w:rsidRDefault="00B816C2" w:rsidP="00B816C2">
      <w:pPr>
        <w:pStyle w:val="StandardWeb"/>
      </w:pPr>
      <w:r>
        <w:t>Für die Verkettung zweier Entwicklungen kann Additivität verlangt werden:</w:t>
      </w:r>
    </w:p>
    <w:p w:rsidR="00B816C2" w:rsidRDefault="00B816C2" w:rsidP="00B816C2">
      <w:pPr>
        <w:pStyle w:val="berschrift1"/>
      </w:pPr>
      <w:r>
        <w:t>[</w:t>
      </w:r>
      <w:r>
        <w:br/>
        <w:t>D_{F}</w:t>
      </w:r>
      <w:r>
        <w:br/>
        <w:t>\left(</w:t>
      </w:r>
      <w:r>
        <w:br/>
        <w:t>\mathfrak{E}</w:t>
      </w:r>
      <w:r>
        <w:rPr>
          <w:rStyle w:val="Hervorhebung"/>
        </w:rPr>
        <w:t>{m}\star\mathfrak{E}</w:t>
      </w:r>
      <w:r>
        <w:t>{n}</w:t>
      </w:r>
      <w:r>
        <w:br/>
        <w:t>\right)</w:t>
      </w:r>
    </w:p>
    <w:p w:rsidR="00B816C2" w:rsidRDefault="00B816C2" w:rsidP="00B816C2">
      <w:pPr>
        <w:pStyle w:val="StandardWeb"/>
      </w:pPr>
      <w:r>
        <w:t>D_{F}</w:t>
      </w:r>
      <w:r>
        <w:br/>
        <w:t>\left(</w:t>
      </w:r>
      <w:r>
        <w:br/>
        <w:t>\mathfrak{E}</w:t>
      </w:r>
      <w:r>
        <w:rPr>
          <w:rStyle w:val="Hervorhebung"/>
        </w:rPr>
        <w:t>{m}</w:t>
      </w:r>
      <w:r>
        <w:rPr>
          <w:i/>
          <w:iCs/>
        </w:rPr>
        <w:br/>
      </w:r>
      <w:r>
        <w:rPr>
          <w:rStyle w:val="Hervorhebung"/>
        </w:rPr>
        <w:t>\right)</w:t>
      </w:r>
      <w:r>
        <w:rPr>
          <w:i/>
          <w:iCs/>
        </w:rPr>
        <w:br/>
      </w:r>
      <w:r>
        <w:rPr>
          <w:rStyle w:val="Hervorhebung"/>
        </w:rPr>
        <w:t>+</w:t>
      </w:r>
      <w:r>
        <w:rPr>
          <w:i/>
          <w:iCs/>
        </w:rPr>
        <w:br/>
      </w:r>
      <w:r>
        <w:rPr>
          <w:rStyle w:val="Hervorhebung"/>
        </w:rPr>
        <w:t>D</w:t>
      </w:r>
      <w:r>
        <w:t>{F}</w:t>
      </w:r>
      <w:r>
        <w:br/>
        <w:t>\left(</w:t>
      </w:r>
      <w:r>
        <w:br/>
        <w:t>\mathfrak{E}_{n}</w:t>
      </w:r>
      <w:r>
        <w:br/>
        <w:t>\right).</w:t>
      </w:r>
      <w:r>
        <w:br/>
        <w:t>\tag{3.4163}</w:t>
      </w:r>
      <w:r>
        <w:br/>
        <w:t>]</w:t>
      </w:r>
    </w:p>
    <w:p w:rsidR="00B816C2" w:rsidRDefault="00B816C2" w:rsidP="00B816C2">
      <w:pPr>
        <w:pStyle w:val="StandardWeb"/>
      </w:pPr>
      <w:r>
        <w:rPr>
          <w:rStyle w:val="Fett"/>
        </w:rPr>
        <w:lastRenderedPageBreak/>
        <w:t>Word-LaTeX</w:t>
      </w:r>
    </w:p>
    <w:p w:rsidR="00B816C2" w:rsidRDefault="00B816C2" w:rsidP="00B816C2">
      <w:pPr>
        <w:pStyle w:val="HTMLVorformatiert"/>
        <w:rPr>
          <w:rStyle w:val="HTMLCode"/>
        </w:rPr>
      </w:pPr>
      <w:r>
        <w:rPr>
          <w:rStyle w:val="HTMLCode"/>
        </w:rPr>
        <w:t>D_{F}\left(\mathfrak{E}_{m}\star\mathfrak{E}_{n}\right)=D_{F}\left(\mathfrak{E}_{m}\right)+D_{F}\left(\mathfrak{E}_{n}\right)\qquad\text{(3.4163)}</w:t>
      </w:r>
    </w:p>
    <w:p w:rsidR="00B816C2" w:rsidRDefault="00B816C2" w:rsidP="00B816C2">
      <w:pPr>
        <w:pStyle w:val="StandardWeb"/>
      </w:pPr>
      <w:r>
        <w:t>Dabei bezeichnet (\star) die Verkettung kompatibler funktionaler Entwicklungen.</w:t>
      </w:r>
    </w:p>
    <w:p w:rsidR="00B816C2" w:rsidRDefault="00B816C2" w:rsidP="00B816C2">
      <w:pPr>
        <w:pStyle w:val="StandardWeb"/>
      </w:pPr>
      <w:r>
        <w:t>Die Additivität in Gleichung (3.4163) ist keine Folge der Primäraxiome. Sie ist eine zusätzliche Bedingung an die verwendete Dauerbewertung.</w:t>
      </w:r>
    </w:p>
    <w:p w:rsidR="00B816C2" w:rsidRPr="00AF32B2" w:rsidRDefault="00B816C2" w:rsidP="00AF32B2">
      <w:pPr>
        <w:pStyle w:val="berschrift4"/>
      </w:pPr>
      <w:r w:rsidRPr="00AF32B2">
        <w:t>3.3.15.9 Pfadabhängigkeit</w:t>
      </w:r>
    </w:p>
    <w:p w:rsidR="00B816C2" w:rsidRDefault="00B816C2" w:rsidP="00B816C2">
      <w:pPr>
        <w:pStyle w:val="StandardWeb"/>
      </w:pPr>
      <w:r>
        <w:t>Zwischen zwei funktionalen Zustandsklassen können mehrere unterschiedliche Transformationsfolgen existieren. Besitzen diese Folgen unterschiedliche Gewichte, kann die funktionale Dauer vom gewählten Entwicklungspfad abhängen.</w:t>
      </w:r>
    </w:p>
    <w:p w:rsidR="00B816C2" w:rsidRDefault="00B816C2" w:rsidP="00B816C2">
      <w:pPr>
        <w:pStyle w:val="StandardWeb"/>
      </w:pPr>
      <w:r>
        <w:t>Seien (\mathfrak{E}^{(a)}) und (\mathfrak{E}^{(b)}) zwei Entwicklungen mit demselben Ausgangs- und Zielzustand. Dann kann gelten:</w:t>
      </w:r>
    </w:p>
    <w:p w:rsidR="00B816C2" w:rsidRDefault="00B816C2" w:rsidP="00B816C2">
      <w:pPr>
        <w:pStyle w:val="StandardWeb"/>
      </w:pPr>
      <w:r>
        <w:t>[</w:t>
      </w:r>
      <w:r>
        <w:br/>
        <w:t>D_{F}</w:t>
      </w:r>
      <w:r>
        <w:br/>
        <w:t>\left(</w:t>
      </w:r>
      <w:r>
        <w:br/>
        <w:t>\mathfrak{E}^{(a)}</w:t>
      </w:r>
      <w:r>
        <w:br/>
        <w:t>\right)</w:t>
      </w:r>
      <w:r>
        <w:br/>
        <w:t>\neq</w:t>
      </w:r>
      <w:r>
        <w:br/>
        <w:t>D_{F}</w:t>
      </w:r>
      <w:r>
        <w:br/>
        <w:t>\left(</w:t>
      </w:r>
      <w:r>
        <w:br/>
        <w:t>\mathfrak{E}^{(b)}</w:t>
      </w:r>
      <w:r>
        <w:br/>
        <w:t>\right).</w:t>
      </w:r>
      <w:r>
        <w:br/>
        <w:t>\tag{3.4164}</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D_{F}\left(\mathfrak{E}^{(a)}\right)\neq D_{F}\left(\mathfrak{E}^{(b)}\right)\qquad\text{(3.4164)}</w:t>
      </w:r>
    </w:p>
    <w:p w:rsidR="00B816C2" w:rsidRDefault="00B816C2" w:rsidP="00B816C2">
      <w:pPr>
        <w:pStyle w:val="StandardWeb"/>
      </w:pPr>
      <w:r>
        <w:t>Eine pfadunabhängige funktionale Dauer würde dagegen verlangen:</w:t>
      </w:r>
    </w:p>
    <w:p w:rsidR="00B816C2" w:rsidRDefault="00B816C2" w:rsidP="00B816C2">
      <w:pPr>
        <w:pStyle w:val="berschrift1"/>
      </w:pPr>
      <w:r>
        <w:t>[</w:t>
      </w:r>
      <w:r>
        <w:br/>
        <w:t>D_{F}</w:t>
      </w:r>
      <w:r>
        <w:br/>
        <w:t>\left(</w:t>
      </w:r>
      <w:r>
        <w:br/>
        <w:t>\mathfrak{E}^{(a)}</w:t>
      </w:r>
      <w:r>
        <w:br/>
        <w:t>\right)</w:t>
      </w:r>
    </w:p>
    <w:p w:rsidR="00B816C2" w:rsidRDefault="00B816C2" w:rsidP="00B816C2">
      <w:pPr>
        <w:pStyle w:val="StandardWeb"/>
      </w:pPr>
      <w:r>
        <w:t>D_{F}</w:t>
      </w:r>
      <w:r>
        <w:br/>
        <w:t>\left(</w:t>
      </w:r>
      <w:r>
        <w:br/>
        <w:t>\mathfrak{E}^{(b)}</w:t>
      </w:r>
      <w:r>
        <w:br/>
      </w:r>
      <w:r>
        <w:lastRenderedPageBreak/>
        <w:t>\right)</w:t>
      </w:r>
      <w:r>
        <w:br/>
        <w:t>\tag{3.4165}</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D_{F}\left(\mathfrak{E}^{(a)}\right)=D_{F}\left(\mathfrak{E}^{(b)}\right)\qquad\text{(3.4165)}</w:t>
      </w:r>
    </w:p>
    <w:p w:rsidR="00B816C2" w:rsidRDefault="00B816C2" w:rsidP="00B816C2">
      <w:pPr>
        <w:pStyle w:val="StandardWeb"/>
      </w:pPr>
      <w:r>
        <w:t>für alle funktionalen Entwicklungen mit identischen Anfangs- und Endklassen.</w:t>
      </w:r>
    </w:p>
    <w:p w:rsidR="00B816C2" w:rsidRDefault="00B816C2" w:rsidP="00B816C2">
      <w:pPr>
        <w:pStyle w:val="StandardWeb"/>
      </w:pPr>
      <w:r>
        <w:rPr>
          <w:rStyle w:val="Fett"/>
        </w:rPr>
        <w:t>Eigenleistung des FRZK</w:t>
      </w:r>
    </w:p>
    <w:p w:rsidR="00B816C2" w:rsidRDefault="00B816C2" w:rsidP="00B816C2">
      <w:pPr>
        <w:pStyle w:val="StandardWeb"/>
      </w:pPr>
      <w:r>
        <w:t>Ich setze Pfadunabhängigkeit nicht allgemein voraus. Funktionale Zeit kann deshalb zunächst entwicklungsabhängig sein. Erst wenn eine zusätzliche Integrabilitäts- oder Invarianzbedingung erfüllt ist, kann jedem Zustandspaar eine eindeutige funktionale Dauer unabhängig vom Entwicklungspfad zugeordnet werden.</w:t>
      </w:r>
    </w:p>
    <w:p w:rsidR="00B816C2" w:rsidRPr="00AF32B2" w:rsidRDefault="00B816C2" w:rsidP="00AF32B2">
      <w:pPr>
        <w:pStyle w:val="berschrift4"/>
      </w:pPr>
      <w:r w:rsidRPr="00AF32B2">
        <w:t>3.3.15.10 Minimale funktionale Dauer</w:t>
      </w:r>
    </w:p>
    <w:p w:rsidR="00B816C2" w:rsidRDefault="00B816C2" w:rsidP="00B816C2">
      <w:pPr>
        <w:pStyle w:val="StandardWeb"/>
      </w:pPr>
      <w:r>
        <w:t>Ist die funktionale Dauer pfadabhängig, kann die minimale Dauer zwischen zwei Zuständen definiert werden:</w:t>
      </w:r>
    </w:p>
    <w:p w:rsidR="00B816C2" w:rsidRDefault="00B816C2" w:rsidP="00B816C2">
      <w:pPr>
        <w:pStyle w:val="berschrift1"/>
      </w:pPr>
      <w:r>
        <w:t>[</w:t>
      </w:r>
      <w:r>
        <w:br/>
        <w:t>d_{F}</w:t>
      </w:r>
      <w:r>
        <w:br/>
        <w:t>\left(</w:t>
      </w:r>
      <w:r>
        <w:br/>
        <w:t>\delta_i,\delta_j</w:t>
      </w:r>
      <w:r>
        <w:br/>
        <w:t>\right)</w:t>
      </w:r>
    </w:p>
    <w:p w:rsidR="00B816C2" w:rsidRDefault="00B816C2" w:rsidP="00B816C2">
      <w:pPr>
        <w:pStyle w:val="StandardWeb"/>
      </w:pPr>
      <w:r>
        <w:t>\inf</w:t>
      </w:r>
      <w:r>
        <w:br/>
        <w:t>\left{</w:t>
      </w:r>
      <w:r>
        <w:br/>
        <w:t>D_{F}(\mathfrak{E})</w:t>
      </w:r>
      <w:r>
        <w:br/>
        <w:t>;\middle|;</w:t>
      </w:r>
      <w:r>
        <w:br/>
        <w:t>\mathfrak{E}</w:t>
      </w:r>
      <w:r>
        <w:br/>
        <w:t>\text{ verbindet }</w:t>
      </w:r>
      <w:r>
        <w:br/>
        <w:t>\delta_i</w:t>
      </w:r>
      <w:r>
        <w:br/>
        <w:t>\text{ mit }</w:t>
      </w:r>
      <w:r>
        <w:br/>
        <w:t>\delta_j</w:t>
      </w:r>
      <w:r>
        <w:br/>
        <w:t>\right}.</w:t>
      </w:r>
      <w:r>
        <w:br/>
        <w:t>\tag{3.4166}</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d_{F}\left(\delta_i,\delta_j\right)=\inf\left\{D_{F}(\mathfrak{E})\middle|\mathfrak{E}\text{ verbindet }\delta_i\text{ mit }\delta_j\right\}\qquad\text{(3.4166)}</w:t>
      </w:r>
    </w:p>
    <w:p w:rsidR="00B816C2" w:rsidRDefault="00B816C2" w:rsidP="00B816C2">
      <w:pPr>
        <w:pStyle w:val="StandardWeb"/>
      </w:pPr>
      <w:r>
        <w:lastRenderedPageBreak/>
        <w:t>Dabei bezeichnet (d_{F}(\delta_i,\delta_j)) die infimale funktionale Dauer aller Entwicklungen von (\delta_i) nach (\delta_j).</w:t>
      </w:r>
    </w:p>
    <w:p w:rsidR="00B816C2" w:rsidRDefault="00B816C2" w:rsidP="00B816C2">
      <w:pPr>
        <w:pStyle w:val="StandardWeb"/>
      </w:pPr>
      <w:r>
        <w:t>Für denselben Zustand gilt:</w:t>
      </w:r>
    </w:p>
    <w:p w:rsidR="00B816C2" w:rsidRDefault="00B816C2" w:rsidP="00B816C2">
      <w:pPr>
        <w:pStyle w:val="berschrift1"/>
      </w:pPr>
      <w:r>
        <w:t>[</w:t>
      </w:r>
      <w:r>
        <w:br/>
        <w:t>d_{F}</w:t>
      </w:r>
      <w:r>
        <w:br/>
        <w:t>\left(</w:t>
      </w:r>
      <w:r>
        <w:br/>
        <w:t>\delta_i,\delta_i</w:t>
      </w:r>
      <w:r>
        <w:br/>
        <w:t>\right)</w:t>
      </w:r>
    </w:p>
    <w:p w:rsidR="00B816C2" w:rsidRDefault="00B816C2" w:rsidP="00632D23">
      <w:pPr>
        <w:numPr>
          <w:ilvl w:val="0"/>
          <w:numId w:val="62"/>
        </w:numPr>
        <w:spacing w:before="100" w:beforeAutospacing="1" w:after="100" w:afterAutospacing="1"/>
      </w:pPr>
    </w:p>
    <w:p w:rsidR="00B816C2" w:rsidRDefault="00B816C2" w:rsidP="00B816C2">
      <w:pPr>
        <w:pStyle w:val="StandardWeb"/>
      </w:pPr>
      <w:r>
        <w:t>\tag{3.4167}</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d_{F}\left(\delta_i,\delta_i\right)=0\qquad\text{(3.4167)}</w:t>
      </w:r>
    </w:p>
    <w:p w:rsidR="00B816C2" w:rsidRDefault="00B816C2" w:rsidP="00B816C2">
      <w:pPr>
        <w:pStyle w:val="StandardWeb"/>
      </w:pPr>
      <w:r>
        <w:t>Bei fehlender Erreichbarkeit wird gesetzt:</w:t>
      </w:r>
    </w:p>
    <w:p w:rsidR="00B816C2" w:rsidRDefault="00B816C2" w:rsidP="00B816C2">
      <w:pPr>
        <w:pStyle w:val="berschrift1"/>
      </w:pPr>
      <w:r>
        <w:t>[</w:t>
      </w:r>
      <w:r>
        <w:br/>
        <w:t>\delta_i</w:t>
      </w:r>
      <w:r>
        <w:br/>
        <w:t>\not\preceq_{!F}</w:t>
      </w:r>
      <w:r>
        <w:br/>
        <w:t>\delta_j</w:t>
      </w:r>
      <w:r>
        <w:br/>
        <w:t>\Rightarrow</w:t>
      </w:r>
      <w:r>
        <w:br/>
        <w:t>d_{F}</w:t>
      </w:r>
      <w:r>
        <w:br/>
        <w:t>\left(</w:t>
      </w:r>
      <w:r>
        <w:br/>
        <w:t>\delta_i,\delta_j</w:t>
      </w:r>
      <w:r>
        <w:br/>
        <w:t>\right)</w:t>
      </w:r>
    </w:p>
    <w:p w:rsidR="00B816C2" w:rsidRDefault="00B816C2" w:rsidP="00B816C2">
      <w:pPr>
        <w:pStyle w:val="StandardWeb"/>
      </w:pPr>
      <w:r>
        <w:t>\infty.</w:t>
      </w:r>
      <w:r>
        <w:br/>
        <w:t>\tag{3.4168}</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\delta_i\not\preceq_{\!F}\delta_j\Rightarrow d_{F}\left(\delta_i,\delta_j\right)=\infty\qquad\text{(3.4168)}</w:t>
      </w:r>
    </w:p>
    <w:p w:rsidR="00B816C2" w:rsidRDefault="00B816C2" w:rsidP="00B816C2">
      <w:pPr>
        <w:pStyle w:val="StandardWeb"/>
      </w:pPr>
      <w:r>
        <w:lastRenderedPageBreak/>
        <w:t>Die funktionale Dauer ist im Allgemeinen gerichtet:</w:t>
      </w:r>
    </w:p>
    <w:p w:rsidR="00B816C2" w:rsidRDefault="00B816C2" w:rsidP="00B816C2">
      <w:pPr>
        <w:pStyle w:val="StandardWeb"/>
      </w:pPr>
      <w:r>
        <w:t>[</w:t>
      </w:r>
      <w:r>
        <w:br/>
        <w:t>d_{F}</w:t>
      </w:r>
      <w:r>
        <w:br/>
        <w:t>\left(</w:t>
      </w:r>
      <w:r>
        <w:br/>
        <w:t>\delta_i,\delta_j</w:t>
      </w:r>
      <w:r>
        <w:br/>
        <w:t>\right)</w:t>
      </w:r>
      <w:r>
        <w:br/>
        <w:t>\neq</w:t>
      </w:r>
      <w:r>
        <w:br/>
        <w:t>d_{F}</w:t>
      </w:r>
      <w:r>
        <w:br/>
        <w:t>\left(</w:t>
      </w:r>
      <w:r>
        <w:br/>
        <w:t>\delta_j,\delta_i</w:t>
      </w:r>
      <w:r>
        <w:br/>
        <w:t>\right).</w:t>
      </w:r>
      <w:r>
        <w:br/>
        <w:t>\tag{3.4169}</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d_{F}\left(\delta_i,\delta_j\right)\neq d_{F}\left(\delta_j,\delta_i\right)\qquad\text{(3.4169)}</w:t>
      </w:r>
    </w:p>
    <w:p w:rsidR="00B816C2" w:rsidRDefault="00B816C2" w:rsidP="00B816C2">
      <w:pPr>
        <w:pStyle w:val="StandardWeb"/>
      </w:pPr>
      <w:r>
        <w:t>Sie ist deshalb ohne zusätzliche Symmetriebedingungen keine Metrik [75].</w:t>
      </w:r>
    </w:p>
    <w:p w:rsidR="00B816C2" w:rsidRPr="00AF32B2" w:rsidRDefault="00B816C2" w:rsidP="00AF32B2">
      <w:pPr>
        <w:pStyle w:val="berschrift4"/>
      </w:pPr>
      <w:r w:rsidRPr="00AF32B2">
        <w:t>3.3.15.11 Funktionale Gleichzeitigkeit</w:t>
      </w:r>
    </w:p>
    <w:p w:rsidR="00B816C2" w:rsidRDefault="00B816C2" w:rsidP="00B816C2">
      <w:pPr>
        <w:pStyle w:val="StandardWeb"/>
      </w:pPr>
      <w:r>
        <w:t>Eine schwach monotone funktionale Zeitabbildung kann verschiedenen funktionalen Zustandsklassen denselben Zeitwert zuordnen. Funktionale Gleichzeitigkeit definiere ich durch</w:t>
      </w:r>
    </w:p>
    <w:p w:rsidR="00B816C2" w:rsidRDefault="00B816C2" w:rsidP="00B816C2">
      <w:pPr>
        <w:pStyle w:val="berschrift1"/>
      </w:pPr>
      <w:r>
        <w:t>[</w:t>
      </w:r>
      <w:r>
        <w:br/>
        <w:t>[\delta_i]</w:t>
      </w:r>
      <w:r>
        <w:rPr>
          <w:rStyle w:val="Hervorhebung"/>
        </w:rPr>
        <w:t>{!F}</w:t>
      </w:r>
      <w:r>
        <w:rPr>
          <w:i/>
          <w:iCs/>
        </w:rPr>
        <w:br/>
      </w:r>
      <w:r>
        <w:rPr>
          <w:rStyle w:val="Hervorhebung"/>
        </w:rPr>
        <w:t>\equiv</w:t>
      </w:r>
      <w:r>
        <w:t>{\vartheta}</w:t>
      </w:r>
      <w:r>
        <w:br/>
        <w:t>[\delta_j]</w:t>
      </w:r>
      <w:r>
        <w:rPr>
          <w:rStyle w:val="Hervorhebung"/>
        </w:rPr>
        <w:t>{!F}</w:t>
      </w:r>
      <w:r>
        <w:rPr>
          <w:i/>
          <w:iCs/>
        </w:rPr>
        <w:br/>
      </w:r>
      <w:r>
        <w:rPr>
          <w:rStyle w:val="Hervorhebung"/>
        </w:rPr>
        <w:t>\iff</w:t>
      </w:r>
      <w:r>
        <w:rPr>
          <w:i/>
          <w:iCs/>
        </w:rPr>
        <w:br/>
      </w:r>
      <w:r>
        <w:rPr>
          <w:rStyle w:val="Hervorhebung"/>
        </w:rPr>
        <w:t>\vartheta</w:t>
      </w:r>
      <w:r>
        <w:rPr>
          <w:i/>
          <w:iCs/>
        </w:rPr>
        <w:br/>
      </w:r>
      <w:r>
        <w:rPr>
          <w:rStyle w:val="Hervorhebung"/>
        </w:rPr>
        <w:t>\left(</w:t>
      </w:r>
      <w:r>
        <w:rPr>
          <w:i/>
          <w:iCs/>
        </w:rPr>
        <w:br/>
      </w:r>
      <w:r>
        <w:rPr>
          <w:rStyle w:val="Hervorhebung"/>
        </w:rPr>
        <w:t>[\delta_i]</w:t>
      </w:r>
      <w:r>
        <w:t>{!F}</w:t>
      </w:r>
      <w:r>
        <w:br/>
        <w:t>\right)</w:t>
      </w:r>
    </w:p>
    <w:p w:rsidR="00B816C2" w:rsidRDefault="00B816C2" w:rsidP="00B816C2">
      <w:pPr>
        <w:pStyle w:val="StandardWeb"/>
      </w:pPr>
      <w:r>
        <w:t>\vartheta</w:t>
      </w:r>
      <w:r>
        <w:br/>
        <w:t>\left(</w:t>
      </w:r>
      <w:r>
        <w:br/>
        <w:t>[\delta_j]_{!F}</w:t>
      </w:r>
      <w:r>
        <w:br/>
        <w:t>\right).</w:t>
      </w:r>
      <w:r>
        <w:br/>
        <w:t>\tag{3.4170}</w:t>
      </w:r>
      <w:r>
        <w:br/>
        <w:t>]</w:t>
      </w:r>
    </w:p>
    <w:p w:rsidR="00B816C2" w:rsidRDefault="00B816C2" w:rsidP="00B816C2">
      <w:pPr>
        <w:pStyle w:val="StandardWeb"/>
      </w:pPr>
      <w:r>
        <w:rPr>
          <w:rStyle w:val="Fett"/>
        </w:rPr>
        <w:lastRenderedPageBreak/>
        <w:t>Word-LaTeX</w:t>
      </w:r>
    </w:p>
    <w:p w:rsidR="00B816C2" w:rsidRDefault="00B816C2" w:rsidP="00B816C2">
      <w:pPr>
        <w:pStyle w:val="HTMLVorformatiert"/>
        <w:rPr>
          <w:rStyle w:val="HTMLCode"/>
        </w:rPr>
      </w:pPr>
      <w:r>
        <w:rPr>
          <w:rStyle w:val="HTMLCode"/>
        </w:rPr>
        <w:t>[\delta_i]_{\!F}\equiv_{\vartheta}[\delta_j]_{\!F}\iff\vartheta\left([\delta_i]_{\!F}\right)=\vartheta\left([\delta_j]_{\!F}\right)\qquad\text{(3.4170)}</w:t>
      </w:r>
    </w:p>
    <w:p w:rsidR="00B816C2" w:rsidRDefault="00B816C2" w:rsidP="00B816C2">
      <w:pPr>
        <w:pStyle w:val="StandardWeb"/>
      </w:pPr>
      <w:r>
        <w:t>Diese Gleichzeitigkeit ist relativ zur gewählten Zeitabbildung (\vartheta). Eine andere funktionale Zeitabbildung kann zu einer anderen Gleichzeitigkeitseinteilung führen.</w:t>
      </w:r>
    </w:p>
    <w:p w:rsidR="00B816C2" w:rsidRDefault="00B816C2" w:rsidP="00B816C2">
      <w:pPr>
        <w:pStyle w:val="StandardWeb"/>
      </w:pPr>
      <w:r>
        <w:t>Aus funktionaler Gleichzeitigkeit folgt nicht notwendig wechselseitige Erreichbarkeit:</w:t>
      </w:r>
    </w:p>
    <w:p w:rsidR="00B816C2" w:rsidRDefault="00B816C2" w:rsidP="00B816C2">
      <w:pPr>
        <w:pStyle w:val="StandardWeb"/>
      </w:pPr>
      <w:r>
        <w:t>[</w:t>
      </w:r>
      <w:r>
        <w:br/>
        <w:t>[\delta_i]</w:t>
      </w:r>
      <w:r>
        <w:rPr>
          <w:rStyle w:val="Hervorhebung"/>
        </w:rPr>
        <w:t>{!F}</w:t>
      </w:r>
      <w:r>
        <w:rPr>
          <w:i/>
          <w:iCs/>
        </w:rPr>
        <w:br/>
      </w:r>
      <w:r>
        <w:rPr>
          <w:rStyle w:val="Hervorhebung"/>
        </w:rPr>
        <w:t>\equiv</w:t>
      </w:r>
      <w:r>
        <w:t>{\vartheta}</w:t>
      </w:r>
      <w:r>
        <w:br/>
        <w:t>[\delta_j]</w:t>
      </w:r>
      <w:r>
        <w:rPr>
          <w:rStyle w:val="Hervorhebung"/>
        </w:rPr>
        <w:t>{!F}</w:t>
      </w:r>
      <w:r>
        <w:rPr>
          <w:i/>
          <w:iCs/>
        </w:rPr>
        <w:br/>
      </w:r>
      <w:r>
        <w:rPr>
          <w:rStyle w:val="Hervorhebung"/>
        </w:rPr>
        <w:t>\centernot\Rightarrow</w:t>
      </w:r>
      <w:r>
        <w:rPr>
          <w:i/>
          <w:iCs/>
        </w:rPr>
        <w:br/>
      </w:r>
      <w:r>
        <w:rPr>
          <w:rStyle w:val="Hervorhebung"/>
        </w:rPr>
        <w:t>\delta_i</w:t>
      </w:r>
      <w:r>
        <w:rPr>
          <w:i/>
          <w:iCs/>
        </w:rPr>
        <w:br/>
      </w:r>
      <w:r>
        <w:rPr>
          <w:rStyle w:val="Hervorhebung"/>
        </w:rPr>
        <w:t>\sim</w:t>
      </w:r>
      <w:r>
        <w:t>{!F}</w:t>
      </w:r>
      <w:r>
        <w:br/>
        <w:t>\delta_j.</w:t>
      </w:r>
      <w:r>
        <w:br/>
        <w:t>\tag{3.4171}</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[\delta_i]_{\!F}\equiv_{\vartheta}[\delta_j]_{\!F}\centernot\Rightarrow\delta_i\sim_{\!F}\delta_j\qquad\text{(3.4171)}</w:t>
      </w:r>
    </w:p>
    <w:p w:rsidR="00B816C2" w:rsidRDefault="00B816C2" w:rsidP="00B816C2">
      <w:pPr>
        <w:pStyle w:val="StandardWeb"/>
      </w:pPr>
      <w:r>
        <w:t>Ebenso folgt aus funktionaler Äquivalenz nicht automatisch Gleichzeitigkeit, sofern (\vartheta) nicht auf Äquivalenzklassen wohldefiniert wurde. Definition 3.3.8 verlangt deshalb ausdrücklich eine Abbildung auf der Quotientenmenge.</w:t>
      </w:r>
    </w:p>
    <w:p w:rsidR="00B816C2" w:rsidRDefault="00B816C2" w:rsidP="00B816C2">
      <w:pPr>
        <w:pStyle w:val="StandardWeb"/>
      </w:pPr>
      <w:r>
        <w:rPr>
          <w:rStyle w:val="Fett"/>
        </w:rPr>
        <w:t>Eigenleistung des FRZK</w:t>
      </w:r>
    </w:p>
    <w:p w:rsidR="00B816C2" w:rsidRDefault="00B816C2" w:rsidP="00B816C2">
      <w:pPr>
        <w:pStyle w:val="StandardWeb"/>
      </w:pPr>
      <w:r>
        <w:t>Ich behandle Gleichzeitigkeit nicht als absolute Beziehung zwischen Zuständen. Sie entsteht relativ zu einer ausgewählten funktionalen Zeitabbildung. Diese Trennung verhindert, dass Gleichzeitigkeit bereits aus bloßer Unvergleichbarkeit oder wechselseitiger Erreichbarkeit abgeleitet wird.</w:t>
      </w:r>
    </w:p>
    <w:p w:rsidR="00B816C2" w:rsidRPr="00AF32B2" w:rsidRDefault="00B816C2" w:rsidP="00AF32B2">
      <w:pPr>
        <w:pStyle w:val="berschrift4"/>
      </w:pPr>
      <w:r w:rsidRPr="00AF32B2">
        <w:t>3.3.15.12 Unvergleichbare Zustandsklassen</w:t>
      </w:r>
    </w:p>
    <w:p w:rsidR="00B816C2" w:rsidRDefault="00B816C2" w:rsidP="00B816C2">
      <w:pPr>
        <w:pStyle w:val="StandardWeb"/>
      </w:pPr>
      <w:r>
        <w:t>Zwei Zustandsklassen können in der funktionalen Halbordnung unvergleichbar sein. Eine skalare Zeitabbildung kann ihnen dennoch numerische Werte zuordnen. Dadurch würde eine Reihenfolge entstehen, die nicht aus der funktionalen Erreichbarkeit folgt.</w:t>
      </w:r>
    </w:p>
    <w:p w:rsidR="00B816C2" w:rsidRDefault="00B816C2" w:rsidP="00B816C2">
      <w:pPr>
        <w:pStyle w:val="StandardWeb"/>
      </w:pPr>
      <w:r>
        <w:t>Für unvergleichbare Klassen gilt:</w:t>
      </w:r>
    </w:p>
    <w:p w:rsidR="00B816C2" w:rsidRDefault="00B816C2" w:rsidP="00B816C2">
      <w:pPr>
        <w:pStyle w:val="StandardWeb"/>
      </w:pPr>
      <w:r>
        <w:t>[</w:t>
      </w:r>
      <w:r>
        <w:br/>
        <w:t>[\delta_i]</w:t>
      </w:r>
      <w:r>
        <w:rPr>
          <w:rStyle w:val="Hervorhebung"/>
        </w:rPr>
        <w:t>{!F}</w:t>
      </w:r>
      <w:r>
        <w:rPr>
          <w:i/>
          <w:iCs/>
        </w:rPr>
        <w:br/>
      </w:r>
      <w:r>
        <w:rPr>
          <w:rStyle w:val="Hervorhebung"/>
        </w:rPr>
        <w:t>\not\leq</w:t>
      </w:r>
      <w:r>
        <w:t>{!F}</w:t>
      </w:r>
      <w:r>
        <w:br/>
        <w:t>[\delta_j]</w:t>
      </w:r>
      <w:r>
        <w:rPr>
          <w:rStyle w:val="Hervorhebung"/>
        </w:rPr>
        <w:t>{!F}</w:t>
      </w:r>
      <w:r>
        <w:rPr>
          <w:i/>
          <w:iCs/>
        </w:rPr>
        <w:br/>
      </w:r>
      <w:r>
        <w:rPr>
          <w:rStyle w:val="Hervorhebung"/>
        </w:rPr>
        <w:t>\quad\land\quad</w:t>
      </w:r>
      <w:r>
        <w:rPr>
          <w:i/>
          <w:iCs/>
        </w:rPr>
        <w:br/>
      </w:r>
      <w:r>
        <w:rPr>
          <w:rStyle w:val="Hervorhebung"/>
        </w:rPr>
        <w:t>[\delta_j]</w:t>
      </w:r>
      <w:r>
        <w:t>{!F}</w:t>
      </w:r>
      <w:r>
        <w:br/>
      </w:r>
      <w:r>
        <w:lastRenderedPageBreak/>
        <w:t>\not\leq_{!F}</w:t>
      </w:r>
      <w:r>
        <w:br/>
        <w:t>[\delta_i]_{!F}.</w:t>
      </w:r>
      <w:r>
        <w:br/>
        <w:t>\tag{3.4172}</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[\delta_i]_{\!F}\not\leq_{\!F}[\delta_j]_{\!F}\land[\delta_j]_{\!F}\not\leq_{\!F}[\delta_i]_{\!F}\qquad\text{(3.4172)}</w:t>
      </w:r>
    </w:p>
    <w:p w:rsidR="00B816C2" w:rsidRDefault="00B816C2" w:rsidP="00B816C2">
      <w:pPr>
        <w:pStyle w:val="StandardWeb"/>
      </w:pPr>
      <w:r>
        <w:t>Aus Gleichung (3.4172) folgt keine notwendige Beziehung zwischen ihren Zeitwerten:</w:t>
      </w:r>
    </w:p>
    <w:p w:rsidR="00B816C2" w:rsidRDefault="00B816C2" w:rsidP="00B816C2">
      <w:pPr>
        <w:pStyle w:val="StandardWeb"/>
      </w:pPr>
      <w:r>
        <w:t>[</w:t>
      </w:r>
      <w:r>
        <w:br/>
        <w:t>\vartheta</w:t>
      </w:r>
      <w:r>
        <w:br/>
        <w:t>\left(</w:t>
      </w:r>
      <w:r>
        <w:br/>
        <w:t>[\delta_i]</w:t>
      </w:r>
      <w:r>
        <w:rPr>
          <w:rStyle w:val="Hervorhebung"/>
        </w:rPr>
        <w:t>{!F}</w:t>
      </w:r>
      <w:r>
        <w:rPr>
          <w:i/>
          <w:iCs/>
        </w:rPr>
        <w:br/>
      </w:r>
      <w:r>
        <w:rPr>
          <w:rStyle w:val="Hervorhebung"/>
        </w:rPr>
        <w:t>\right)</w:t>
      </w:r>
      <w:r>
        <w:rPr>
          <w:i/>
          <w:iCs/>
        </w:rPr>
        <w:br/>
      </w:r>
      <w:r>
        <w:rPr>
          <w:rStyle w:val="Hervorhebung"/>
        </w:rPr>
        <w:t>\lessgtr</w:t>
      </w:r>
      <w:r>
        <w:rPr>
          <w:i/>
          <w:iCs/>
        </w:rPr>
        <w:br/>
      </w:r>
      <w:r>
        <w:rPr>
          <w:rStyle w:val="Hervorhebung"/>
        </w:rPr>
        <w:t>\vartheta</w:t>
      </w:r>
      <w:r>
        <w:rPr>
          <w:i/>
          <w:iCs/>
        </w:rPr>
        <w:br/>
      </w:r>
      <w:r>
        <w:rPr>
          <w:rStyle w:val="Hervorhebung"/>
        </w:rPr>
        <w:t>\left(</w:t>
      </w:r>
      <w:r>
        <w:rPr>
          <w:i/>
          <w:iCs/>
        </w:rPr>
        <w:br/>
      </w:r>
      <w:r>
        <w:rPr>
          <w:rStyle w:val="Hervorhebung"/>
        </w:rPr>
        <w:t>[\delta_j]</w:t>
      </w:r>
      <w:r>
        <w:t>{!F}</w:t>
      </w:r>
      <w:r>
        <w:br/>
        <w:t>\right).</w:t>
      </w:r>
      <w:r>
        <w:br/>
        <w:t>\tag{3.4173}</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\vartheta\left([\delta_i]_{\!F}\right)\lessgtr\vartheta\left([\delta_j]_{\!F}\right)\qquad\text{(3.4173)}</w:t>
      </w:r>
    </w:p>
    <w:p w:rsidR="00B816C2" w:rsidRDefault="00B816C2" w:rsidP="00B816C2">
      <w:pPr>
        <w:pStyle w:val="StandardWeb"/>
      </w:pPr>
      <w:r>
        <w:t>Die Schreibweise in Gleichung (3.4173) kennzeichnet, dass je nach Zeitabbildung ein kleinerer, gleicher oder größerer Wert möglich sein kann.</w:t>
      </w:r>
    </w:p>
    <w:p w:rsidR="00B816C2" w:rsidRDefault="00B816C2" w:rsidP="00B816C2">
      <w:pPr>
        <w:pStyle w:val="StandardWeb"/>
      </w:pPr>
      <w:r>
        <w:rPr>
          <w:rStyle w:val="Fett"/>
        </w:rPr>
        <w:t>Eigenleistung des FRZK</w:t>
      </w:r>
    </w:p>
    <w:p w:rsidR="00B816C2" w:rsidRDefault="00B816C2" w:rsidP="00B816C2">
      <w:pPr>
        <w:pStyle w:val="StandardWeb"/>
      </w:pPr>
      <w:r>
        <w:t>Ich fordere, dass eine funktionale Zeitabbildung nur dort eine zwingende Reihenfolge erzeugt, wo die funktionale Ordnung bereits eine Reihenfolge vorgibt. Für unvergleichbare Klassen ist eine zusätzliche lineare Anordnung eine Erweiterung des Modells und muss ausdrücklich begründet werden.</w:t>
      </w:r>
    </w:p>
    <w:p w:rsidR="00B816C2" w:rsidRPr="00AF32B2" w:rsidRDefault="00B816C2" w:rsidP="00AF32B2">
      <w:pPr>
        <w:pStyle w:val="berschrift4"/>
      </w:pPr>
      <w:r w:rsidRPr="00AF32B2">
        <w:t>3.3.15.13 Lokale funktionale Zeit</w:t>
      </w:r>
    </w:p>
    <w:p w:rsidR="00B816C2" w:rsidRDefault="00B816C2" w:rsidP="00B816C2">
      <w:pPr>
        <w:pStyle w:val="StandardWeb"/>
      </w:pPr>
      <w:r>
        <w:t>Eine funktionale Zeitabbildung muss nicht auf der gesamten Quotientenmenge definiert sein. Für einen ausgewählten funktionalen Entwicklungsbereich (\mathcal{D}) kann eine lokale Zeitabbildung verwendet werden:</w:t>
      </w:r>
    </w:p>
    <w:p w:rsidR="00B816C2" w:rsidRDefault="00B816C2" w:rsidP="00B816C2">
      <w:pPr>
        <w:pStyle w:val="StandardWeb"/>
      </w:pPr>
      <w:r>
        <w:t>[</w:t>
      </w:r>
      <w:r>
        <w:br/>
        <w:t>\vartheta_{\mathcal{D}}:</w:t>
      </w:r>
      <w:r>
        <w:br/>
        <w:t>\mathcal{D}</w:t>
      </w:r>
      <w:r>
        <w:br/>
        <w:t>\rightarrow</w:t>
      </w:r>
      <w:r>
        <w:br/>
        <w:t>\mathbb{T}</w:t>
      </w:r>
      <w:r>
        <w:rPr>
          <w:rStyle w:val="Hervorhebung"/>
        </w:rPr>
        <w:t>{F},</w:t>
      </w:r>
      <w:r>
        <w:rPr>
          <w:i/>
          <w:iCs/>
        </w:rPr>
        <w:br/>
      </w:r>
      <w:r>
        <w:rPr>
          <w:rStyle w:val="Hervorhebung"/>
        </w:rPr>
        <w:t>\qquad</w:t>
      </w:r>
      <w:r>
        <w:rPr>
          <w:i/>
          <w:iCs/>
        </w:rPr>
        <w:br/>
      </w:r>
      <w:r>
        <w:rPr>
          <w:rStyle w:val="Hervorhebung"/>
        </w:rPr>
        <w:lastRenderedPageBreak/>
        <w:t>\mathcal{D}</w:t>
      </w:r>
      <w:r>
        <w:rPr>
          <w:i/>
          <w:iCs/>
        </w:rPr>
        <w:br/>
      </w:r>
      <w:r>
        <w:rPr>
          <w:rStyle w:val="Hervorhebung"/>
        </w:rPr>
        <w:t>\subseteq</w:t>
      </w:r>
      <w:r>
        <w:rPr>
          <w:i/>
          <w:iCs/>
        </w:rPr>
        <w:br/>
      </w:r>
      <w:r>
        <w:rPr>
          <w:rStyle w:val="Hervorhebung"/>
        </w:rPr>
        <w:t>\mathcal{S}</w:t>
      </w:r>
      <w:r>
        <w:t>{\mathrm{el}}/{\sim_{!F}}.</w:t>
      </w:r>
      <w:r>
        <w:br/>
        <w:t>\tag{3.4174}</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\vartheta_{\mathcal{D}}:\mathcal{D}\rightarrow\mathbb{T}_{F},\qquad\mathcal{D}\subseteq\mathcal{S}_{\mathrm{el}}/{\sim_{\!F}}\qquad\text{(3.4174)}</w:t>
      </w:r>
    </w:p>
    <w:p w:rsidR="00B816C2" w:rsidRDefault="00B816C2" w:rsidP="00B816C2">
      <w:pPr>
        <w:pStyle w:val="StandardWeb"/>
      </w:pPr>
      <w:r>
        <w:t>Eine lokale funktionale Zeitstruktur lautet dann:</w:t>
      </w:r>
    </w:p>
    <w:p w:rsidR="00B816C2" w:rsidRDefault="00B816C2" w:rsidP="00B816C2">
      <w:pPr>
        <w:pStyle w:val="berschrift1"/>
      </w:pPr>
      <w:r>
        <w:t>[</w:t>
      </w:r>
      <w:r>
        <w:br/>
        <w:t>\mathfrak{T}_{F}^{\mathcal{D}}</w:t>
      </w:r>
    </w:p>
    <w:p w:rsidR="00B816C2" w:rsidRDefault="00B816C2" w:rsidP="00B816C2">
      <w:pPr>
        <w:pStyle w:val="StandardWeb"/>
      </w:pPr>
      <w:r>
        <w:t>\left(</w:t>
      </w:r>
      <w:r>
        <w:br/>
        <w:t>\mathcal{D},</w:t>
      </w:r>
      <w:r>
        <w:br/>
        <w:t>\mathbb{T}</w:t>
      </w:r>
      <w:r>
        <w:rPr>
          <w:rStyle w:val="Hervorhebung"/>
        </w:rPr>
        <w:t>{F},</w:t>
      </w:r>
      <w:r>
        <w:rPr>
          <w:i/>
          <w:iCs/>
        </w:rPr>
        <w:br/>
      </w:r>
      <w:r>
        <w:rPr>
          <w:rStyle w:val="Hervorhebung"/>
        </w:rPr>
        <w:t>\vartheta</w:t>
      </w:r>
      <w:r>
        <w:t>{\mathcal{D}}</w:t>
      </w:r>
      <w:r>
        <w:br/>
        <w:t>\right).</w:t>
      </w:r>
      <w:r>
        <w:br/>
        <w:t>\tag{3.4175}</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\mathfrak{T}_{F}^{\mathcal{D}}=\left(\mathcal{D},\mathbb{T}_{F},\vartheta_{\mathcal{D}}\right)\qquad\text{(3.4175)}</w:t>
      </w:r>
    </w:p>
    <w:p w:rsidR="00B816C2" w:rsidRDefault="00B816C2" w:rsidP="00B816C2">
      <w:pPr>
        <w:pStyle w:val="StandardWeb"/>
      </w:pPr>
      <w:r>
        <w:t>Diese lokale Definition erlaubt es, funktionale Zeit nur für einen abgegrenzten Entwicklungszweig oder eine kohärente Teilstruktur zu rekonstruieren.</w:t>
      </w:r>
    </w:p>
    <w:p w:rsidR="00B816C2" w:rsidRPr="00AF32B2" w:rsidRDefault="00B816C2" w:rsidP="00AF32B2">
      <w:pPr>
        <w:pStyle w:val="berschrift4"/>
      </w:pPr>
      <w:r w:rsidRPr="00AF32B2">
        <w:t>3.3.15.14 Kohärenzbeschränkte funktionale Zeit</w:t>
      </w:r>
    </w:p>
    <w:p w:rsidR="00B816C2" w:rsidRDefault="00B816C2" w:rsidP="00B816C2">
      <w:pPr>
        <w:pStyle w:val="StandardWeb"/>
      </w:pPr>
      <w:r>
        <w:t>Auf Grundlage der kohärenzbeschränkten Erreichbarkeit kann eine funktionale Zeitstruktur auf solche Entwicklungen begrenzt werden, welche eine Bedingungsmenge (\mathcal{C}) erfüllen.</w:t>
      </w:r>
    </w:p>
    <w:p w:rsidR="00B816C2" w:rsidRDefault="00B816C2" w:rsidP="00B816C2">
      <w:pPr>
        <w:pStyle w:val="StandardWeb"/>
      </w:pPr>
      <w:r>
        <w:t>Die entsprechende geordnete Struktur lautet:</w:t>
      </w:r>
    </w:p>
    <w:p w:rsidR="00B816C2" w:rsidRDefault="00B816C2" w:rsidP="00B816C2">
      <w:pPr>
        <w:pStyle w:val="StandardWeb"/>
      </w:pPr>
      <w:r>
        <w:t>[</w:t>
      </w:r>
      <w:r>
        <w:br/>
        <w:t>\left(</w:t>
      </w:r>
      <w:r>
        <w:br/>
        <w:t>\mathcal{S}</w:t>
      </w:r>
      <w:r>
        <w:rPr>
          <w:rStyle w:val="Hervorhebung"/>
        </w:rPr>
        <w:t>{\mathrm{el}}/{\sim</w:t>
      </w:r>
      <w:r>
        <w:t>{!F,\mathcal{C}}},</w:t>
      </w:r>
      <w:r>
        <w:br/>
        <w:t>\leq_{!F,\mathcal{C}}</w:t>
      </w:r>
      <w:r>
        <w:br/>
        <w:t>\right).</w:t>
      </w:r>
      <w:r>
        <w:br/>
        <w:t>\tag{3.4176}</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lastRenderedPageBreak/>
        <w:t>\left(\mathcal{S}_{\mathrm{el}}/{\sim_{\!F,\mathcal{C}}},\leq_{\!F,\mathcal{C}}\right)\qquad\text{(3.4176)}</w:t>
      </w:r>
    </w:p>
    <w:p w:rsidR="00B816C2" w:rsidRDefault="00B816C2" w:rsidP="00B816C2">
      <w:pPr>
        <w:pStyle w:val="StandardWeb"/>
      </w:pPr>
      <w:r>
        <w:t>Eine kohärenzbeschränkte Zeitabbildung ist dann gegeben durch:</w:t>
      </w:r>
    </w:p>
    <w:p w:rsidR="00B816C2" w:rsidRDefault="00B816C2" w:rsidP="00B816C2">
      <w:pPr>
        <w:pStyle w:val="StandardWeb"/>
      </w:pPr>
      <w:r>
        <w:t>[</w:t>
      </w:r>
      <w:r>
        <w:br/>
        <w:t>\vartheta_{\mathcal{C}}:</w:t>
      </w:r>
      <w:r>
        <w:br/>
        <w:t>\mathcal{S}</w:t>
      </w:r>
      <w:r>
        <w:rPr>
          <w:rStyle w:val="Hervorhebung"/>
        </w:rPr>
        <w:t>{\mathrm{el}}/{\sim</w:t>
      </w:r>
      <w:r>
        <w:t>{!F,\mathcal{C}}}</w:t>
      </w:r>
      <w:r>
        <w:br/>
        <w:t>\rightarrow</w:t>
      </w:r>
      <w:r>
        <w:br/>
        <w:t>\mathbb{T}_{F}.</w:t>
      </w:r>
      <w:r>
        <w:br/>
        <w:t>\tag{3.4177}</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\vartheta_{\mathcal{C}}:\mathcal{S}_{\mathrm{el}}/{\sim_{\!F,\mathcal{C}}}\rightarrow\mathbb{T}_{F}\qquad\text{(3.4177)}</w:t>
      </w:r>
    </w:p>
    <w:p w:rsidR="00B816C2" w:rsidRDefault="00B816C2" w:rsidP="00B816C2">
      <w:pPr>
        <w:pStyle w:val="StandardWeb"/>
      </w:pPr>
      <w:r>
        <w:t>Sie muss die kohärenzbeschränkte Ordnung erhalten:</w:t>
      </w:r>
    </w:p>
    <w:p w:rsidR="00B816C2" w:rsidRDefault="00B816C2" w:rsidP="00B816C2">
      <w:pPr>
        <w:pStyle w:val="StandardWeb"/>
      </w:pPr>
      <w:r>
        <w:t>[</w:t>
      </w:r>
      <w:r>
        <w:br/>
        <w:t>[\delta_i]</w:t>
      </w:r>
      <w:r>
        <w:rPr>
          <w:rStyle w:val="Hervorhebung"/>
        </w:rPr>
        <w:t>{!F,\mathcal{C}}</w:t>
      </w:r>
      <w:r>
        <w:rPr>
          <w:i/>
          <w:iCs/>
        </w:rPr>
        <w:br/>
      </w:r>
      <w:r>
        <w:rPr>
          <w:rStyle w:val="Hervorhebung"/>
        </w:rPr>
        <w:t>\leq</w:t>
      </w:r>
      <w:r>
        <w:t>{!F,\mathcal{C}}</w:t>
      </w:r>
      <w:r>
        <w:br/>
        <w:t>[\delta_j]</w:t>
      </w:r>
      <w:r>
        <w:rPr>
          <w:rStyle w:val="Hervorhebung"/>
        </w:rPr>
        <w:t>{!F,\mathcal{C}}</w:t>
      </w:r>
      <w:r>
        <w:rPr>
          <w:i/>
          <w:iCs/>
        </w:rPr>
        <w:br/>
      </w:r>
      <w:r>
        <w:rPr>
          <w:rStyle w:val="Hervorhebung"/>
        </w:rPr>
        <w:t>\Rightarrow</w:t>
      </w:r>
      <w:r>
        <w:rPr>
          <w:i/>
          <w:iCs/>
        </w:rPr>
        <w:br/>
      </w:r>
      <w:r>
        <w:rPr>
          <w:rStyle w:val="Hervorhebung"/>
        </w:rPr>
        <w:t>\vartheta</w:t>
      </w:r>
      <w:r>
        <w:t>{\mathcal{C}}</w:t>
      </w:r>
      <w:r>
        <w:br/>
        <w:t>\left(</w:t>
      </w:r>
      <w:r>
        <w:br/>
        <w:t>[\delta_i]</w:t>
      </w:r>
      <w:r>
        <w:rPr>
          <w:rStyle w:val="Hervorhebung"/>
        </w:rPr>
        <w:t>{!F,\mathcal{C}}</w:t>
      </w:r>
      <w:r>
        <w:rPr>
          <w:i/>
          <w:iCs/>
        </w:rPr>
        <w:br/>
      </w:r>
      <w:r>
        <w:rPr>
          <w:rStyle w:val="Hervorhebung"/>
        </w:rPr>
        <w:t>\right)</w:t>
      </w:r>
      <w:r>
        <w:rPr>
          <w:i/>
          <w:iCs/>
        </w:rPr>
        <w:br/>
      </w:r>
      <w:r>
        <w:rPr>
          <w:rStyle w:val="Hervorhebung"/>
        </w:rPr>
        <w:t>\leq</w:t>
      </w:r>
      <w:r>
        <w:t>{\mathbb{T}}</w:t>
      </w:r>
      <w:r>
        <w:br/>
        <w:t>\vartheta_{\mathcal{C}}</w:t>
      </w:r>
      <w:r>
        <w:br/>
        <w:t>\left(</w:t>
      </w:r>
      <w:r>
        <w:br/>
        <w:t>[\delta_j]_{!F,\mathcal{C}}</w:t>
      </w:r>
      <w:r>
        <w:br/>
        <w:t>\right).</w:t>
      </w:r>
      <w:r>
        <w:br/>
        <w:t>\tag{3.4178}</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[\delta_i]_{\!F,\mathcal{C}}\leq_{\!F,\mathcal{C}}[\delta_j]_{\!F,\mathcal{C}}\Rightarrow\vartheta_{\mathcal{C}}\left([\delta_i]_{\!F,\mathcal{C}}\right)\leq_{\mathbb{T}}\vartheta_{\mathcal{C}}\left([\delta_j]_{\!F,\mathcal{C}}\right)\qquad\text{(3.4178)}</w:t>
      </w:r>
    </w:p>
    <w:p w:rsidR="00B816C2" w:rsidRDefault="00B816C2" w:rsidP="00B816C2">
      <w:pPr>
        <w:pStyle w:val="StandardWeb"/>
      </w:pPr>
      <w:r>
        <w:rPr>
          <w:rStyle w:val="Fett"/>
        </w:rPr>
        <w:t>Eigenleistung des FRZK</w:t>
      </w:r>
    </w:p>
    <w:p w:rsidR="00B816C2" w:rsidRDefault="00B816C2" w:rsidP="00B816C2">
      <w:pPr>
        <w:pStyle w:val="StandardWeb"/>
      </w:pPr>
      <w:r>
        <w:t>Ich ermögliche damit die Definition einer Zeitstruktur, die nur entlang kohärenter funktionaler Entwicklungen gültig ist. Kohärenzverlust kann in einem solchen Modell zugleich eine Grenze der verwendeten funktionalen Zeitbeschreibung markieren.</w:t>
      </w:r>
    </w:p>
    <w:p w:rsidR="00B816C2" w:rsidRPr="00AF32B2" w:rsidRDefault="00B816C2" w:rsidP="00AF32B2">
      <w:pPr>
        <w:pStyle w:val="berschrift4"/>
      </w:pPr>
      <w:r w:rsidRPr="00AF32B2">
        <w:t>3.3.15.15 Umparametrisierung</w:t>
      </w:r>
    </w:p>
    <w:p w:rsidR="00B816C2" w:rsidRDefault="00B816C2" w:rsidP="00B816C2">
      <w:pPr>
        <w:pStyle w:val="StandardWeb"/>
      </w:pPr>
      <w:r>
        <w:lastRenderedPageBreak/>
        <w:t>Eine funktionale Zeitstruktur ist nicht notwendig eindeutig. Ist (\vartheta) eine funktionale Zeitabbildung und (f) eine streng monotone Abbildung des Zeitwertebereichs, so kann eine neue Zeitabbildung definiert werden:</w:t>
      </w:r>
    </w:p>
    <w:p w:rsidR="00B816C2" w:rsidRDefault="00B816C2" w:rsidP="00B816C2">
      <w:pPr>
        <w:pStyle w:val="berschrift1"/>
      </w:pPr>
      <w:r>
        <w:t>[</w:t>
      </w:r>
      <w:r>
        <w:br/>
        <w:t>\widetilde{\vartheta}</w:t>
      </w:r>
    </w:p>
    <w:p w:rsidR="00B816C2" w:rsidRDefault="00B816C2" w:rsidP="00B816C2">
      <w:pPr>
        <w:pStyle w:val="StandardWeb"/>
      </w:pPr>
      <w:r>
        <w:t>f\circ\vartheta.</w:t>
      </w:r>
      <w:r>
        <w:br/>
        <w:t>\tag{3.4179}</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\widetilde{\vartheta}=f\circ\vartheta\qquad\text{(3.4179)}</w:t>
      </w:r>
    </w:p>
    <w:p w:rsidR="00B816C2" w:rsidRDefault="00B816C2" w:rsidP="00B816C2">
      <w:pPr>
        <w:pStyle w:val="StandardWeb"/>
      </w:pPr>
      <w:r>
        <w:t>Für streng monotones (f) bleibt die Ordnungsverträglichkeit erhalten:</w:t>
      </w:r>
    </w:p>
    <w:p w:rsidR="00B816C2" w:rsidRDefault="00B816C2" w:rsidP="00B816C2">
      <w:pPr>
        <w:pStyle w:val="StandardWeb"/>
      </w:pPr>
      <w:r>
        <w:t>[</w:t>
      </w:r>
      <w:r>
        <w:br/>
        <w:t>t^{F}</w:t>
      </w:r>
      <w:r>
        <w:rPr>
          <w:rStyle w:val="Hervorhebung"/>
        </w:rPr>
        <w:t>{i}</w:t>
      </w:r>
      <w:r>
        <w:rPr>
          <w:i/>
          <w:iCs/>
        </w:rPr>
        <w:br/>
      </w:r>
      <w:r>
        <w:rPr>
          <w:rStyle w:val="Hervorhebung"/>
        </w:rPr>
        <w:t>&lt;</w:t>
      </w:r>
      <w:r>
        <w:rPr>
          <w:i/>
          <w:iCs/>
        </w:rPr>
        <w:br/>
      </w:r>
      <w:r>
        <w:rPr>
          <w:rStyle w:val="Hervorhebung"/>
        </w:rPr>
        <w:t>{\mathbb{T}}</w:t>
      </w:r>
      <w:r>
        <w:rPr>
          <w:i/>
          <w:iCs/>
        </w:rPr>
        <w:br/>
      </w:r>
      <w:r>
        <w:rPr>
          <w:rStyle w:val="Hervorhebung"/>
        </w:rPr>
        <w:t>t^{F}{j}</w:t>
      </w:r>
      <w:r>
        <w:rPr>
          <w:i/>
          <w:iCs/>
        </w:rPr>
        <w:br/>
      </w:r>
      <w:r>
        <w:rPr>
          <w:rStyle w:val="Hervorhebung"/>
        </w:rPr>
        <w:t>\Rightarrow</w:t>
      </w:r>
      <w:r>
        <w:rPr>
          <w:i/>
          <w:iCs/>
        </w:rPr>
        <w:br/>
      </w:r>
      <w:r>
        <w:rPr>
          <w:rStyle w:val="Hervorhebung"/>
        </w:rPr>
        <w:t>f(t^{F}</w:t>
      </w:r>
      <w:r>
        <w:t>{i})</w:t>
      </w:r>
      <w:r>
        <w:br/>
        <w:t>&lt;</w:t>
      </w:r>
      <w:r>
        <w:br/>
        <w:t>f(t^{F}_{j}).</w:t>
      </w:r>
      <w:r>
        <w:br/>
        <w:t>\tag{3.4180}</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t^{F}_{i}&lt;_{\mathbb{T}}t^{F}_{j}\Rightarrow f(t^{F}_{i})&lt;f(t^{F}_{j})\qquad\text{(3.4180)}</w:t>
      </w:r>
    </w:p>
    <w:p w:rsidR="00B816C2" w:rsidRDefault="00B816C2" w:rsidP="00B816C2">
      <w:pPr>
        <w:pStyle w:val="StandardWeb"/>
      </w:pPr>
      <w:r>
        <w:t>Die funktionale Reihenfolge bleibt damit unverändert, obwohl sich die numerische Darstellung der Zeitwerte ändert [71, 75].</w:t>
      </w:r>
    </w:p>
    <w:p w:rsidR="00B816C2" w:rsidRDefault="00B816C2" w:rsidP="00B816C2">
      <w:pPr>
        <w:pStyle w:val="StandardWeb"/>
      </w:pPr>
      <w:r>
        <w:rPr>
          <w:rStyle w:val="Fett"/>
        </w:rPr>
        <w:t>Eigenleistung des FRZK</w:t>
      </w:r>
    </w:p>
    <w:p w:rsidR="00B816C2" w:rsidRDefault="00B816C2" w:rsidP="00B816C2">
      <w:pPr>
        <w:pStyle w:val="StandardWeb"/>
      </w:pPr>
      <w:r>
        <w:t>Ich unterscheide zwischen der funktionalen Zeitordnung und ihrer Parametrisierung. Mehrere numerisch unterschiedliche Zeitabbildungen können dieselbe funktionale Ordnung repräsentieren. Eine konkrete Zeitskala entsteht erst durch zusätzliche Normierung oder empirische Kalibrierung.</w:t>
      </w:r>
    </w:p>
    <w:p w:rsidR="00B816C2" w:rsidRPr="00AF32B2" w:rsidRDefault="00B816C2" w:rsidP="00AF32B2">
      <w:pPr>
        <w:pStyle w:val="berschrift4"/>
      </w:pPr>
      <w:r w:rsidRPr="00AF32B2">
        <w:t>3.3.15.16 Funktionale Zeiteinheit</w:t>
      </w:r>
    </w:p>
    <w:p w:rsidR="00B816C2" w:rsidRDefault="00B816C2" w:rsidP="00B816C2">
      <w:pPr>
        <w:pStyle w:val="StandardWeb"/>
      </w:pPr>
      <w:r>
        <w:t>Um funktionale Dauer numerisch vergleichen zu können, muss eine Einheit oder Normierung festgelegt werden. Eine Referenztransformation (T_{\mathrm{ref}}) kann beispielsweise durch</w:t>
      </w:r>
    </w:p>
    <w:p w:rsidR="00B816C2" w:rsidRDefault="00B816C2" w:rsidP="00B816C2">
      <w:pPr>
        <w:pStyle w:val="berschrift1"/>
      </w:pPr>
      <w:r>
        <w:lastRenderedPageBreak/>
        <w:t>[</w:t>
      </w:r>
      <w:r>
        <w:br/>
        <w:t>w</w:t>
      </w:r>
      <w:r>
        <w:br/>
        <w:t>\left(</w:t>
      </w:r>
      <w:r>
        <w:br/>
        <w:t>T_{\mathrm{ref}}</w:t>
      </w:r>
      <w:r>
        <w:br/>
        <w:t>\right)</w:t>
      </w:r>
    </w:p>
    <w:p w:rsidR="00B816C2" w:rsidRDefault="00B816C2" w:rsidP="00B816C2">
      <w:pPr>
        <w:pStyle w:val="StandardWeb"/>
      </w:pPr>
      <w:r>
        <w:t>1</w:t>
      </w:r>
      <w:r>
        <w:br/>
        <w:t>\tag{3.4181}</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w\left(T_{\mathrm{ref}}\right)=1\qquad\text{(3.4181)}</w:t>
      </w:r>
    </w:p>
    <w:p w:rsidR="00B816C2" w:rsidRDefault="00B816C2" w:rsidP="00B816C2">
      <w:pPr>
        <w:pStyle w:val="StandardWeb"/>
      </w:pPr>
      <w:r>
        <w:t>normiert werden.</w:t>
      </w:r>
    </w:p>
    <w:p w:rsidR="00B816C2" w:rsidRDefault="00B816C2" w:rsidP="00B816C2">
      <w:pPr>
        <w:pStyle w:val="StandardWeb"/>
      </w:pPr>
      <w:r>
        <w:t>Alle übrigen Transformationsgewichte werden dann relativ zu dieser Referenz angegeben:</w:t>
      </w:r>
    </w:p>
    <w:p w:rsidR="00B816C2" w:rsidRDefault="00B816C2" w:rsidP="00B816C2">
      <w:pPr>
        <w:pStyle w:val="berschrift1"/>
      </w:pPr>
      <w:r>
        <w:t>[</w:t>
      </w:r>
      <w:r>
        <w:br/>
        <w:t>w(T_k)</w:t>
      </w:r>
    </w:p>
    <w:p w:rsidR="00B816C2" w:rsidRDefault="00B816C2" w:rsidP="00B816C2">
      <w:pPr>
        <w:pStyle w:val="StandardWeb"/>
      </w:pPr>
      <w:r>
        <w:t>\alpha_k</w:t>
      </w:r>
      <w:r>
        <w:br/>
        <w:t>w</w:t>
      </w:r>
      <w:r>
        <w:br/>
        <w:t>\left(</w:t>
      </w:r>
      <w:r>
        <w:br/>
        <w:t>T_{\mathrm{ref}}</w:t>
      </w:r>
      <w:r>
        <w:br/>
        <w:t>\right).</w:t>
      </w:r>
      <w:r>
        <w:br/>
        <w:t>\tag{3.4182}</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w(T_k)=\alpha_k w\left(T_{\mathrm{ref}}\right)\qquad\text{(3.4182)}</w:t>
      </w:r>
    </w:p>
    <w:p w:rsidR="00B816C2" w:rsidRDefault="00B816C2" w:rsidP="00B816C2">
      <w:pPr>
        <w:pStyle w:val="StandardWeb"/>
      </w:pPr>
      <w:r>
        <w:t>Dabei bezeichnet (\alpha_k&gt;0) das Verhältnis der funktionalen Dauer von (T_k) zur Referenztransformation.</w:t>
      </w:r>
    </w:p>
    <w:p w:rsidR="00B816C2" w:rsidRDefault="00B816C2" w:rsidP="00B816C2">
      <w:pPr>
        <w:pStyle w:val="StandardWeb"/>
      </w:pPr>
      <w:r>
        <w:t>Die Wahl einer Referenztransformation ist eine Modell- oder Messentscheidung. Sie folgt weder aus der funktionalen Ordnung noch aus den Primäraxiomen [58, 75].</w:t>
      </w:r>
    </w:p>
    <w:p w:rsidR="00B816C2" w:rsidRPr="00AF32B2" w:rsidRDefault="00B816C2" w:rsidP="00AF32B2">
      <w:pPr>
        <w:pStyle w:val="berschrift4"/>
      </w:pPr>
      <w:r w:rsidRPr="00AF32B2">
        <w:t>3.3.15.17 Keine automatische Identität mit physikalischer Zeit</w:t>
      </w:r>
    </w:p>
    <w:p w:rsidR="00B816C2" w:rsidRDefault="00B816C2" w:rsidP="00B816C2">
      <w:pPr>
        <w:pStyle w:val="StandardWeb"/>
      </w:pPr>
      <w:r>
        <w:t>Die funktionale Zeitstruktur beschreibt Ordnung und gegebenenfalls Dauer funktionaler Entwicklungen. Daraus folgt nicht automatisch, dass (\mathbb{T}_{F}) mit einer physikalisch gemessenen Zeitachse identisch ist.</w:t>
      </w:r>
    </w:p>
    <w:p w:rsidR="00B816C2" w:rsidRDefault="00B816C2" w:rsidP="00B816C2">
      <w:pPr>
        <w:pStyle w:val="StandardWeb"/>
      </w:pPr>
      <w:r>
        <w:t>Eine Zuordnung zur physikalischen Zeit könnte durch eine Kalibrierungsabbildung erfolgen:</w:t>
      </w:r>
    </w:p>
    <w:p w:rsidR="00B816C2" w:rsidRDefault="00B816C2" w:rsidP="00B816C2">
      <w:pPr>
        <w:pStyle w:val="StandardWeb"/>
      </w:pPr>
      <w:r>
        <w:lastRenderedPageBreak/>
        <w:t>[</w:t>
      </w:r>
      <w:r>
        <w:br/>
        <w:t>\chi:</w:t>
      </w:r>
      <w:r>
        <w:br/>
        <w:t>\mathbb{T}</w:t>
      </w:r>
      <w:r>
        <w:rPr>
          <w:rStyle w:val="Hervorhebung"/>
        </w:rPr>
        <w:t>{F}</w:t>
      </w:r>
      <w:r>
        <w:rPr>
          <w:i/>
          <w:iCs/>
        </w:rPr>
        <w:br/>
      </w:r>
      <w:r>
        <w:rPr>
          <w:rStyle w:val="Hervorhebung"/>
        </w:rPr>
        <w:t>\rightarrow</w:t>
      </w:r>
      <w:r>
        <w:rPr>
          <w:i/>
          <w:iCs/>
        </w:rPr>
        <w:br/>
      </w:r>
      <w:r>
        <w:rPr>
          <w:rStyle w:val="Hervorhebung"/>
        </w:rPr>
        <w:t>\mathbb{T}</w:t>
      </w:r>
      <w:r>
        <w:t>{\mathrm{phys}}.</w:t>
      </w:r>
      <w:r>
        <w:br/>
        <w:t>\tag{3.4183}</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\chi:\mathbb{T}_{F}\rightarrow\mathbb{T}_{\mathrm{phys}}\qquad\text{(3.4183)}</w:t>
      </w:r>
    </w:p>
    <w:p w:rsidR="00B816C2" w:rsidRDefault="00B816C2" w:rsidP="00B816C2">
      <w:pPr>
        <w:pStyle w:val="StandardWeb"/>
      </w:pPr>
      <w:r>
        <w:t>Dabei bezeichnet (\mathbb{T}_{\mathrm{phys}}) einen empirisch bestimmten physikalischen Zeitwertebereich.</w:t>
      </w:r>
    </w:p>
    <w:p w:rsidR="00B816C2" w:rsidRDefault="00B816C2" w:rsidP="00B816C2">
      <w:pPr>
        <w:pStyle w:val="StandardWeb"/>
      </w:pPr>
      <w:r>
        <w:t>Für einen funktionalen Zeitwert gilt dann:</w:t>
      </w:r>
    </w:p>
    <w:p w:rsidR="00B816C2" w:rsidRDefault="00B816C2" w:rsidP="00B816C2">
      <w:pPr>
        <w:pStyle w:val="berschrift1"/>
      </w:pPr>
      <w:r>
        <w:t>[</w:t>
      </w:r>
      <w:r>
        <w:br/>
        <w:t>t_{\mathrm{phys}}</w:t>
      </w:r>
    </w:p>
    <w:p w:rsidR="00B816C2" w:rsidRDefault="00B816C2" w:rsidP="00B816C2">
      <w:pPr>
        <w:pStyle w:val="StandardWeb"/>
      </w:pPr>
      <w:r>
        <w:t>\chi</w:t>
      </w:r>
      <w:r>
        <w:br/>
        <w:t>\left(</w:t>
      </w:r>
      <w:r>
        <w:br/>
        <w:t>t^{F}</w:t>
      </w:r>
      <w:r>
        <w:br/>
        <w:t>\right).</w:t>
      </w:r>
      <w:r>
        <w:br/>
        <w:t>\tag{3.4184}</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t_{\mathrm{phys}}=\chi\left(t^{F}\right)\qquad\text{(3.4184)}</w:t>
      </w:r>
    </w:p>
    <w:p w:rsidR="00B816C2" w:rsidRDefault="00B816C2" w:rsidP="00B816C2">
      <w:pPr>
        <w:pStyle w:val="StandardWeb"/>
      </w:pPr>
      <w:r>
        <w:t>Die Existenz, Eindeutigkeit und Form von (\chi) sind empirische beziehungsweise modellspezifische Fragen. Sie können nicht allein aus der funktionalen Axiomatik abgeleitet werden [58, 59].</w:t>
      </w:r>
    </w:p>
    <w:p w:rsidR="00B816C2" w:rsidRDefault="00B816C2" w:rsidP="00B816C2">
      <w:pPr>
        <w:pStyle w:val="StandardWeb"/>
      </w:pPr>
      <w:r>
        <w:rPr>
          <w:rStyle w:val="Fett"/>
        </w:rPr>
        <w:t>Eigenleistung des FRZK</w:t>
      </w:r>
    </w:p>
    <w:p w:rsidR="00B816C2" w:rsidRDefault="00B816C2" w:rsidP="00B816C2">
      <w:pPr>
        <w:pStyle w:val="StandardWeb"/>
      </w:pPr>
      <w:r>
        <w:t>Ich trenne funktionale Zeit und physikalische Messzeit ausdrücklich. Funktionale Zeit rekonstruiert die Ordnungs- und Dauerstruktur funktionaler Entwicklungen. Eine physikalische Zeitinterpretation entsteht erst durch eine zusätzliche empirisch begründete Kalibrierung.</w:t>
      </w:r>
    </w:p>
    <w:p w:rsidR="00B816C2" w:rsidRPr="00AF32B2" w:rsidRDefault="00B816C2" w:rsidP="00AF32B2">
      <w:pPr>
        <w:pStyle w:val="berschrift4"/>
      </w:pPr>
      <w:r w:rsidRPr="00AF32B2">
        <w:t>3.3.15.18 Keine universelle globale Zeit</w:t>
      </w:r>
    </w:p>
    <w:p w:rsidR="00B816C2" w:rsidRDefault="00B816C2" w:rsidP="00B816C2">
      <w:pPr>
        <w:pStyle w:val="StandardWeb"/>
      </w:pPr>
      <w:r>
        <w:t>Aus den Primäraxiomen folgt nicht, dass eine einzige globale funktionale Zeitabbildung auf sämtlichen funktionalen Zustandsklassen existiert. Verzweigte, zyklische oder unvergleichbare Bereiche können die Konstruktion einer globalen streng monotonen Skalarzeit verhindern.</w:t>
      </w:r>
    </w:p>
    <w:p w:rsidR="00B816C2" w:rsidRDefault="00B816C2" w:rsidP="00B816C2">
      <w:pPr>
        <w:pStyle w:val="StandardWeb"/>
      </w:pPr>
      <w:r>
        <w:lastRenderedPageBreak/>
        <w:t>Eine globale Zeitabbildung würde verlangen:</w:t>
      </w:r>
    </w:p>
    <w:p w:rsidR="00B816C2" w:rsidRDefault="00B816C2" w:rsidP="00B816C2">
      <w:pPr>
        <w:pStyle w:val="StandardWeb"/>
      </w:pPr>
      <w:r>
        <w:t>[</w:t>
      </w:r>
      <w:r>
        <w:br/>
        <w:t>\vartheta_{\mathrm{glob}}:</w:t>
      </w:r>
      <w:r>
        <w:br/>
        <w:t>\mathcal{S}</w:t>
      </w:r>
      <w:r>
        <w:rPr>
          <w:rStyle w:val="Hervorhebung"/>
        </w:rPr>
        <w:t>{\mathrm{el}}/{\sim</w:t>
      </w:r>
      <w:r>
        <w:t>{!F}}</w:t>
      </w:r>
      <w:r>
        <w:br/>
        <w:t>\rightarrow</w:t>
      </w:r>
      <w:r>
        <w:br/>
        <w:t>\mathbb{T}_{F}.</w:t>
      </w:r>
      <w:r>
        <w:br/>
        <w:t>\tag{3.4185}</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\vartheta_{\mathrm{glob}}:\mathcal{S}_{\mathrm{el}}/{\sim_{\!F}}\rightarrow\mathbb{T}_{F}\qquad\text{(3.4185)}</w:t>
      </w:r>
    </w:p>
    <w:p w:rsidR="00B816C2" w:rsidRDefault="00B816C2" w:rsidP="00B816C2">
      <w:pPr>
        <w:pStyle w:val="StandardWeb"/>
      </w:pPr>
      <w:r>
        <w:t>mit Ordnungsverträglichkeit auf der gesamten Quotientenmenge.</w:t>
      </w:r>
    </w:p>
    <w:p w:rsidR="00B816C2" w:rsidRDefault="00B816C2" w:rsidP="00B816C2">
      <w:pPr>
        <w:pStyle w:val="StandardWeb"/>
      </w:pPr>
      <w:r>
        <w:t>Die Existenz einer solchen Abbildung wird nicht allgemein vorausgesetzt:</w:t>
      </w:r>
    </w:p>
    <w:p w:rsidR="00B816C2" w:rsidRDefault="00B816C2" w:rsidP="00B816C2">
      <w:pPr>
        <w:pStyle w:val="StandardWeb"/>
      </w:pPr>
      <w:r>
        <w:t>[</w:t>
      </w:r>
      <w:r>
        <w:br/>
        <w:t>\nexists</w:t>
      </w:r>
      <w:r>
        <w:br/>
        <w:t>\vartheta_{\mathrm{glob}}</w:t>
      </w:r>
      <w:r>
        <w:br/>
        <w:t>\quad</w:t>
      </w:r>
      <w:r>
        <w:br/>
        <w:t>\text{kann für bestimmte funktionale Strukturen gelten}.</w:t>
      </w:r>
      <w:r>
        <w:br/>
        <w:t>\tag{3.4186}</w:t>
      </w:r>
      <w:r>
        <w:br/>
        <w:t>]</w:t>
      </w:r>
    </w:p>
    <w:p w:rsidR="00B816C2" w:rsidRDefault="00B816C2" w:rsidP="00B816C2">
      <w:pPr>
        <w:pStyle w:val="StandardWeb"/>
      </w:pPr>
      <w:r>
        <w:rPr>
          <w:rStyle w:val="Fett"/>
        </w:rPr>
        <w:t>Word-LaTeX</w:t>
      </w:r>
    </w:p>
    <w:p w:rsidR="00B816C2" w:rsidRDefault="00B816C2" w:rsidP="00B816C2">
      <w:pPr>
        <w:pStyle w:val="HTMLVorformatiert"/>
        <w:rPr>
          <w:rStyle w:val="HTMLCode"/>
        </w:rPr>
      </w:pPr>
      <w:r>
        <w:rPr>
          <w:rStyle w:val="HTMLCode"/>
        </w:rPr>
        <w:t>\nexists\vartheta_{\mathrm{glob}}\quad\text{kann für bestimmte funktionale Strukturen gelten}\qquad\text{(3.4186)}</w:t>
      </w:r>
    </w:p>
    <w:p w:rsidR="00B816C2" w:rsidRDefault="00B816C2" w:rsidP="00B816C2">
      <w:pPr>
        <w:pStyle w:val="StandardWeb"/>
      </w:pPr>
      <w:r>
        <w:rPr>
          <w:rStyle w:val="Fett"/>
        </w:rPr>
        <w:t>Eigenleistung des FRZK</w:t>
      </w:r>
    </w:p>
    <w:p w:rsidR="00B816C2" w:rsidRDefault="00B816C2" w:rsidP="00B816C2">
      <w:pPr>
        <w:pStyle w:val="StandardWeb"/>
      </w:pPr>
      <w:r>
        <w:t>Ich lasse lokale und mehrere miteinander nur teilweise verträgliche funktionale Zeitstrukturen ausdrücklich zu. Eine universelle globale Zeit ist damit keine Grundannahme des FRZK.</w:t>
      </w:r>
    </w:p>
    <w:p w:rsidR="00B816C2" w:rsidRPr="00AF32B2" w:rsidRDefault="00B816C2" w:rsidP="00AF32B2">
      <w:pPr>
        <w:pStyle w:val="berschrift4"/>
      </w:pPr>
      <w:r w:rsidRPr="00AF32B2">
        <w:t>3.3.15.19 Ergebnis der Ableitung</w:t>
      </w:r>
    </w:p>
    <w:p w:rsidR="00B816C2" w:rsidRDefault="00B816C2" w:rsidP="00B816C2">
      <w:pPr>
        <w:pStyle w:val="StandardWeb"/>
      </w:pPr>
      <w:r>
        <w:t>Die funktionale Zeitstruktur konnte aus der funktionalen Ordnung und einer zusätzlichen ordnungsverträglichen Bewertungsabbildung definiert werden. Für eine reine Zeitordnung genügt eine monotone Abbildung in einen geordneten Wertebereich. Für funktionale Dauer sind zusätzliche algebraische oder metrische Strukturen erforderlich. Schrittbasierte, gewichtete, lokale und kohärenzbeschränkte Zeitstrukturen bilden unterschiedliche mögliche Operationalisierungen [6, 71, 75].</w:t>
      </w:r>
    </w:p>
    <w:p w:rsidR="00B816C2" w:rsidRDefault="00B816C2" w:rsidP="00B816C2">
      <w:pPr>
        <w:pStyle w:val="StandardWeb"/>
      </w:pPr>
      <w:r>
        <w:t>Ein weiteres Primäraxiom ist für die begriffliche Definition funktionaler Zeit nicht erforderlich. Die Existenz einer konkreten globalen Zeitabbildung folgt jedoch ebenfalls nicht aus den bisherigen Primäraxiomen. Sie muss für das jeweilige Modell konstruiert oder nachgewiesen werden [79].</w:t>
      </w:r>
    </w:p>
    <w:p w:rsidR="00B816C2" w:rsidRDefault="00B816C2" w:rsidP="00B816C2">
      <w:pPr>
        <w:pStyle w:val="StandardWeb"/>
      </w:pPr>
      <w:r>
        <w:rPr>
          <w:rStyle w:val="Fett"/>
        </w:rPr>
        <w:t>Eigenleistung des FRZK</w:t>
      </w:r>
    </w:p>
    <w:p w:rsidR="00B816C2" w:rsidRDefault="00B816C2" w:rsidP="00B816C2">
      <w:pPr>
        <w:pStyle w:val="StandardWeb"/>
      </w:pPr>
      <w:r>
        <w:lastRenderedPageBreak/>
        <w:t>Damit behandle ich funktionale Zeit als abgeleitete, aber nicht automatisch existierende Struktur. Die Primäraxiome eröffnen Zustände, Relationen und Transformationen. Funktionale Entwicklung erzeugt Ordnung. Eine funktionale Zeit entsteht erst durch eine ordnungsverträgliche und gegebenenfalls quantitative Bewertung dieser Ordnung.</w:t>
      </w:r>
    </w:p>
    <w:p w:rsidR="00B816C2" w:rsidRPr="00AF32B2" w:rsidRDefault="00B816C2" w:rsidP="00AF32B2">
      <w:pPr>
        <w:pStyle w:val="berschrift4"/>
      </w:pPr>
      <w:r w:rsidRPr="00AF32B2">
        <w:t>3.3.15.20 Übergang zur funktionalen Raumstruktur</w:t>
      </w:r>
    </w:p>
    <w:p w:rsidR="00B816C2" w:rsidRDefault="00B816C2" w:rsidP="00B816C2">
      <w:pPr>
        <w:pStyle w:val="StandardWeb"/>
      </w:pPr>
      <w:r>
        <w:t>Mit Definition 3.3.8 steht eine funktionale Zeitstruktur zur Verfügung, die funktionale Ordnung und eine ordnungsverträgliche Bewertung verbindet. Noch ist jedoch keine räumliche Struktur definiert. Die bisher verwendeten Relationen und Transformationslängen beschreiben funktionale Erreichbarkeit, aber keine räumliche Nähe, Richtung oder Ausdehnung.</w:t>
      </w:r>
    </w:p>
    <w:p w:rsidR="00B816C2" w:rsidRDefault="00B816C2" w:rsidP="00B816C2">
      <w:pPr>
        <w:pStyle w:val="StandardWeb"/>
      </w:pPr>
      <w:r>
        <w:t>Metrische Räume, Graphdistanzen, Topologien und Nachbarschaftsrelationen stellen mathematische Werkzeuge für die Beschreibung räumlicher Strukturen bereit [6, 75]. Welche dieser Strukturen innerhalb des FRZK als funktionaler Raum interpretiert werden darf, muss jedoch erneut ausdrücklich definiert werden.</w:t>
      </w:r>
    </w:p>
    <w:p w:rsidR="00B816C2" w:rsidRDefault="00B816C2" w:rsidP="00B816C2">
      <w:pPr>
        <w:pStyle w:val="StandardWeb"/>
      </w:pPr>
      <w:r>
        <w:rPr>
          <w:rStyle w:val="Fett"/>
        </w:rPr>
        <w:t>Eigenleistung des FRZK</w:t>
      </w:r>
    </w:p>
    <w:p w:rsidR="00B816C2" w:rsidRDefault="00B816C2" w:rsidP="00B816C2">
      <w:pPr>
        <w:pStyle w:val="StandardWeb"/>
      </w:pPr>
      <w:r>
        <w:t>Der folgende Abschnitt untersucht deshalb, wie aus funktionalen Relationen, Erreichbarkeit und Abstandsbewertungen eine funktionale Raumstruktur rekonstruiert werden kann. Auch Raum wird dabei nicht als weiteres Primäraxiom vorausgesetzt, sondern als mögliche abgeleitete Struktur geprüft.</w:t>
      </w:r>
    </w:p>
    <w:p w:rsidR="004A7CC4" w:rsidRDefault="004A7CC4" w:rsidP="004A7CC4">
      <w:pPr>
        <w:pStyle w:val="berschrift2"/>
      </w:pPr>
      <w:r>
        <w:t>Ergänzung zu 3.3.15 – Definition der funktionalen Zeitstruktur</w:t>
      </w:r>
    </w:p>
    <w:p w:rsidR="004A7CC4" w:rsidRDefault="004A7CC4" w:rsidP="004A7CC4">
      <w:pPr>
        <w:pStyle w:val="berschrift3"/>
      </w:pPr>
      <w:r>
        <w:t>Methodologische Betrachtungen</w:t>
      </w:r>
    </w:p>
    <w:p w:rsidR="004A7CC4" w:rsidRDefault="004A7CC4" w:rsidP="004A7CC4">
      <w:pPr>
        <w:pStyle w:val="StandardWeb"/>
      </w:pPr>
      <w:r>
        <w:t>Die funktionale Zeitstruktur wird nicht als primitives Zeitaxiom eingeführt. Sie wird auf der zuvor konstruierten funktionalen Ordnung aufgebaut. Der aktuelle Repository-Stand definiert sie als Tripel aus der Quotientenmenge funktionaler Zustandsklassen, einem geordneten Zeitwertebereich und einer ordnungsverträglichen Zeitabbildung.</w:t>
      </w:r>
    </w:p>
    <w:p w:rsidR="004A7CC4" w:rsidRDefault="004A7CC4" w:rsidP="004A7CC4">
      <w:pPr>
        <w:pStyle w:val="StandardWeb"/>
      </w:pPr>
      <w:r>
        <w:t>Die Ausgangsstruktur lautet</w:t>
      </w:r>
    </w:p>
    <w:p w:rsidR="004A7CC4" w:rsidRDefault="004A7CC4" w:rsidP="004A7CC4">
      <w:pPr>
        <w:pStyle w:val="StandardWeb"/>
      </w:pPr>
      <w:r>
        <w:t>[</w:t>
      </w:r>
      <w:r>
        <w:br/>
        <w:t>\left(</w:t>
      </w:r>
      <w:r>
        <w:br/>
        <w:t>\mathcal{S}</w:t>
      </w:r>
      <w:r>
        <w:rPr>
          <w:rStyle w:val="Hervorhebung"/>
        </w:rPr>
        <w:t>{\mathrm{el}}/{\sim</w:t>
      </w:r>
      <w:r>
        <w:t>{!F}},</w:t>
      </w:r>
      <w:r>
        <w:br/>
        <w:t>\leq_{!F}</w:t>
      </w:r>
      <w:r>
        <w:br/>
        <w:t>\right).</w:t>
      </w:r>
      <w:r>
        <w:br/>
        <w:t>\tag{3.4147}</w:t>
      </w:r>
      <w:r>
        <w:br/>
        <w:t>]</w:t>
      </w:r>
    </w:p>
    <w:p w:rsidR="004A7CC4" w:rsidRDefault="004A7CC4" w:rsidP="004A7CC4">
      <w:pPr>
        <w:pStyle w:val="StandardWeb"/>
      </w:pPr>
      <w:r>
        <w:rPr>
          <w:rStyle w:val="Fett"/>
        </w:rPr>
        <w:t>Word-LaTeX</w:t>
      </w:r>
    </w:p>
    <w:p w:rsidR="004A7CC4" w:rsidRDefault="004A7CC4" w:rsidP="004A7CC4">
      <w:pPr>
        <w:pStyle w:val="HTMLVorformatiert"/>
        <w:rPr>
          <w:rStyle w:val="HTMLCode"/>
        </w:rPr>
      </w:pPr>
      <w:r>
        <w:rPr>
          <w:rStyle w:val="HTMLCode"/>
        </w:rPr>
        <w:t>\left(\mathcal{S}_{\mathrm{el}}/{\sim_{\!F}},\leq_{\!F}\right)\qquad\text{(3.4147)}</w:t>
      </w:r>
    </w:p>
    <w:p w:rsidR="004A7CC4" w:rsidRDefault="004A7CC4" w:rsidP="004A7CC4">
      <w:pPr>
        <w:pStyle w:val="StandardWeb"/>
      </w:pPr>
      <w:r>
        <w:lastRenderedPageBreak/>
        <w:t>Die funktionale Zeitabbildung lautet</w:t>
      </w:r>
    </w:p>
    <w:p w:rsidR="004A7CC4" w:rsidRDefault="004A7CC4" w:rsidP="004A7CC4">
      <w:pPr>
        <w:pStyle w:val="StandardWeb"/>
      </w:pPr>
      <w:r>
        <w:t>[</w:t>
      </w:r>
      <w:r>
        <w:br/>
        <w:t>\vartheta:</w:t>
      </w:r>
      <w:r>
        <w:br/>
        <w:t>\mathcal{S}</w:t>
      </w:r>
      <w:r>
        <w:rPr>
          <w:rStyle w:val="Hervorhebung"/>
        </w:rPr>
        <w:t>{\mathrm{el}}/{\sim</w:t>
      </w:r>
      <w:r>
        <w:t>{!F}}</w:t>
      </w:r>
      <w:r>
        <w:br/>
        <w:t>\rightarrow</w:t>
      </w:r>
      <w:r>
        <w:br/>
        <w:t>\mathbb{T}_{F}.</w:t>
      </w:r>
      <w:r>
        <w:br/>
        <w:t>\tag{3.4148}</w:t>
      </w:r>
      <w:r>
        <w:br/>
        <w:t>]</w:t>
      </w:r>
    </w:p>
    <w:p w:rsidR="004A7CC4" w:rsidRDefault="004A7CC4" w:rsidP="004A7CC4">
      <w:pPr>
        <w:pStyle w:val="StandardWeb"/>
      </w:pPr>
      <w:r>
        <w:rPr>
          <w:rStyle w:val="Fett"/>
        </w:rPr>
        <w:t>Word-LaTeX</w:t>
      </w:r>
    </w:p>
    <w:p w:rsidR="004A7CC4" w:rsidRDefault="004A7CC4" w:rsidP="004A7CC4">
      <w:pPr>
        <w:pStyle w:val="HTMLVorformatiert"/>
        <w:rPr>
          <w:rStyle w:val="HTMLCode"/>
        </w:rPr>
      </w:pPr>
      <w:r>
        <w:rPr>
          <w:rStyle w:val="HTMLCode"/>
        </w:rPr>
        <w:t>\vartheta:\mathcal{S}_{\mathrm{el}}/{\sim_{\!F}}\rightarrow\mathbb{T}_{F}\qquad\text{(3.4148)}</w:t>
      </w:r>
    </w:p>
    <w:p w:rsidR="004A7CC4" w:rsidRDefault="004A7CC4" w:rsidP="004A7CC4">
      <w:pPr>
        <w:pStyle w:val="StandardWeb"/>
      </w:pPr>
      <w:r>
        <w:t>Der funktionale Zeitwertebereich besitzt seinerseits eine Ordnung:</w:t>
      </w:r>
    </w:p>
    <w:p w:rsidR="004A7CC4" w:rsidRDefault="004A7CC4" w:rsidP="004A7CC4">
      <w:pPr>
        <w:pStyle w:val="StandardWeb"/>
      </w:pPr>
      <w:r>
        <w:t>[</w:t>
      </w:r>
      <w:r>
        <w:br/>
        <w:t>\left(</w:t>
      </w:r>
      <w:r>
        <w:br/>
        <w:t>\mathbb{T}</w:t>
      </w:r>
      <w:r>
        <w:rPr>
          <w:rStyle w:val="Hervorhebung"/>
        </w:rPr>
        <w:t>{F},</w:t>
      </w:r>
      <w:r>
        <w:rPr>
          <w:i/>
          <w:iCs/>
        </w:rPr>
        <w:br/>
      </w:r>
      <w:r>
        <w:rPr>
          <w:rStyle w:val="Hervorhebung"/>
        </w:rPr>
        <w:t>\leq</w:t>
      </w:r>
      <w:r>
        <w:t>{\mathbb{T}}</w:t>
      </w:r>
      <w:r>
        <w:br/>
        <w:t>\right).</w:t>
      </w:r>
      <w:r>
        <w:br/>
        <w:t>\tag{3.4149}</w:t>
      </w:r>
      <w:r>
        <w:br/>
        <w:t>]</w:t>
      </w:r>
    </w:p>
    <w:p w:rsidR="004A7CC4" w:rsidRDefault="004A7CC4" w:rsidP="004A7CC4">
      <w:pPr>
        <w:pStyle w:val="StandardWeb"/>
      </w:pPr>
      <w:r>
        <w:rPr>
          <w:rStyle w:val="Fett"/>
        </w:rPr>
        <w:t>Word-LaTeX</w:t>
      </w:r>
    </w:p>
    <w:p w:rsidR="004A7CC4" w:rsidRDefault="004A7CC4" w:rsidP="004A7CC4">
      <w:pPr>
        <w:pStyle w:val="HTMLVorformatiert"/>
        <w:rPr>
          <w:rStyle w:val="HTMLCode"/>
        </w:rPr>
      </w:pPr>
      <w:r>
        <w:rPr>
          <w:rStyle w:val="HTMLCode"/>
        </w:rPr>
        <w:t>\left(\mathbb{T}_{F},\leq_{\mathbb{T}}\right)\qquad\text{(3.4149)}</w:t>
      </w:r>
    </w:p>
    <w:p w:rsidR="004A7CC4" w:rsidRDefault="004A7CC4" w:rsidP="004A7CC4">
      <w:pPr>
        <w:pStyle w:val="StandardWeb"/>
      </w:pPr>
      <w:r>
        <w:t>Die zentrale methodische Bedingung ist die Ordnungsverträglichkeit:</w:t>
      </w:r>
    </w:p>
    <w:p w:rsidR="004A7CC4" w:rsidRDefault="004A7CC4" w:rsidP="004A7CC4">
      <w:pPr>
        <w:pStyle w:val="StandardWeb"/>
      </w:pPr>
      <w:r>
        <w:t>[</w:t>
      </w:r>
      <w:r>
        <w:br/>
        <w:t>[\delta_i]</w:t>
      </w:r>
      <w:r>
        <w:rPr>
          <w:rStyle w:val="Hervorhebung"/>
        </w:rPr>
        <w:t>{!F}</w:t>
      </w:r>
      <w:r>
        <w:rPr>
          <w:i/>
          <w:iCs/>
        </w:rPr>
        <w:br/>
      </w:r>
      <w:r>
        <w:rPr>
          <w:rStyle w:val="Hervorhebung"/>
        </w:rPr>
        <w:t>\leq</w:t>
      </w:r>
      <w:r>
        <w:t>{!F}</w:t>
      </w:r>
      <w:r>
        <w:br/>
        <w:t>[\delta_j]</w:t>
      </w:r>
      <w:r>
        <w:rPr>
          <w:rStyle w:val="Hervorhebung"/>
        </w:rPr>
        <w:t>{!F}</w:t>
      </w:r>
      <w:r>
        <w:rPr>
          <w:i/>
          <w:iCs/>
        </w:rPr>
        <w:br/>
      </w:r>
      <w:r>
        <w:rPr>
          <w:rStyle w:val="Hervorhebung"/>
        </w:rPr>
        <w:t>\Rightarrow</w:t>
      </w:r>
      <w:r>
        <w:rPr>
          <w:i/>
          <w:iCs/>
        </w:rPr>
        <w:br/>
      </w:r>
      <w:r>
        <w:rPr>
          <w:rStyle w:val="Hervorhebung"/>
        </w:rPr>
        <w:t>\vartheta</w:t>
      </w:r>
      <w:r>
        <w:rPr>
          <w:i/>
          <w:iCs/>
        </w:rPr>
        <w:br/>
      </w:r>
      <w:r>
        <w:rPr>
          <w:rStyle w:val="Hervorhebung"/>
        </w:rPr>
        <w:t>\left(</w:t>
      </w:r>
      <w:r>
        <w:rPr>
          <w:i/>
          <w:iCs/>
        </w:rPr>
        <w:br/>
      </w:r>
      <w:r>
        <w:rPr>
          <w:rStyle w:val="Hervorhebung"/>
        </w:rPr>
        <w:t>[\delta_i]</w:t>
      </w:r>
      <w:r>
        <w:t>{!F}</w:t>
      </w:r>
      <w:r>
        <w:br/>
        <w:t>\right)</w:t>
      </w:r>
      <w:r>
        <w:br/>
        <w:t>\leq_{\mathbb{T}}</w:t>
      </w:r>
      <w:r>
        <w:br/>
        <w:t>\vartheta</w:t>
      </w:r>
      <w:r>
        <w:br/>
        <w:t>\left(</w:t>
      </w:r>
      <w:r>
        <w:br/>
        <w:t>[\delta_j]_{!F}</w:t>
      </w:r>
      <w:r>
        <w:br/>
        <w:t>\right).</w:t>
      </w:r>
      <w:r>
        <w:br/>
        <w:t>\tag{3.4150}</w:t>
      </w:r>
      <w:r>
        <w:br/>
        <w:t>]</w:t>
      </w:r>
    </w:p>
    <w:p w:rsidR="004A7CC4" w:rsidRDefault="004A7CC4" w:rsidP="004A7CC4">
      <w:pPr>
        <w:pStyle w:val="StandardWeb"/>
      </w:pPr>
      <w:r>
        <w:rPr>
          <w:rStyle w:val="Fett"/>
        </w:rPr>
        <w:t>Word-LaTeX</w:t>
      </w:r>
    </w:p>
    <w:p w:rsidR="004A7CC4" w:rsidRDefault="004A7CC4" w:rsidP="004A7CC4">
      <w:pPr>
        <w:pStyle w:val="HTMLVorformatiert"/>
        <w:rPr>
          <w:rStyle w:val="HTMLCode"/>
        </w:rPr>
      </w:pPr>
      <w:r>
        <w:rPr>
          <w:rStyle w:val="HTMLCode"/>
        </w:rPr>
        <w:lastRenderedPageBreak/>
        <w:t>[\delta_i]_{\!F}\leq_{\!F}[\delta_j]_{\!F}\Rightarrow\vartheta\left([\delta_i]_{\!F}\right)\leq_{\mathbb{T}}\vartheta\left([\delta_j]_{\!F}\right)\qquad\text{(3.4150)}</w:t>
      </w:r>
    </w:p>
    <w:p w:rsidR="004A7CC4" w:rsidRDefault="004A7CC4" w:rsidP="004A7CC4">
      <w:pPr>
        <w:pStyle w:val="StandardWeb"/>
      </w:pPr>
      <w:r>
        <w:t>Damit wird Zeit nicht unabhängig von funktionaler Entwicklung gesetzt. Die funktionale Zeitabbildung muss vielmehr die bereits erzeugte Ordnung respektieren.</w:t>
      </w:r>
    </w:p>
    <w:p w:rsidR="004A7CC4" w:rsidRDefault="004A7CC4" w:rsidP="004A7CC4">
      <w:pPr>
        <w:pStyle w:val="StandardWeb"/>
      </w:pPr>
      <w:r>
        <w:t>Methodologisch ist dies einer der zentralen Schritte der gesamten FRZK-Konstruktion. Zeit entsteht hier nicht als vorausgesetzte externe Achse, auf der Zustände nachträglich angeordnet werden. Zunächst existieren Transformationen, aus ihnen entsteht Erreichbarkeit, daraus eine funktionale Ordnung, und erst auf dieser Grundlage wird eine Zeitbewertung eingeführt.</w:t>
      </w:r>
    </w:p>
    <w:p w:rsidR="004A7CC4" w:rsidRDefault="004A7CC4" w:rsidP="004A7CC4">
      <w:pPr>
        <w:pStyle w:val="StandardWeb"/>
      </w:pPr>
      <w:r>
        <w:t>Gleichzeitig darf diese Konstruktion nicht stärker interpretiert werden, als sie tatsächlich ist. Die Existenz einer ordnungsverträglichen Abbildung erzeugt noch keine physikalische Sekunde, keine universelle Uhr und keine metrisch eindeutige Dauer.</w:t>
      </w:r>
    </w:p>
    <w:p w:rsidR="004A7CC4" w:rsidRDefault="004A7CC4" w:rsidP="004A7CC4">
      <w:pPr>
        <w:pStyle w:val="StandardWeb"/>
      </w:pPr>
      <w:r>
        <w:t>Insbesondere kann eine monotone Umparametrisierung dieselbe funktionale Reihenfolge erhalten. Deshalb sind Reihenfolge und Dauer voneinander zu unterscheiden.</w:t>
      </w:r>
    </w:p>
    <w:p w:rsidR="004A7CC4" w:rsidRDefault="004A7CC4" w:rsidP="004A7CC4">
      <w:pPr>
        <w:pStyle w:val="StandardWeb"/>
      </w:pPr>
      <w:r>
        <w:t>Eine funktionale Zeitstruktur kann ferner lokal oder nur für Teilbereiche definiert sein. Die Primäraxiome garantieren keine globale eindeutige Zeitkoordinate für sämtliche denkbaren Modellinstanzen.</w:t>
      </w:r>
    </w:p>
    <w:p w:rsidR="004A7CC4" w:rsidRDefault="004A7CC4" w:rsidP="004A7CC4">
      <w:pPr>
        <w:pStyle w:val="StandardWeb"/>
      </w:pPr>
      <w:r>
        <w:t>Ebenso darf Gleichzeitigkeit nicht automatisch als absolute physikalische Gleichzeitigkeit verstanden werden. Wenn zwei Zustandsklassen denselben funktionalen Zeitwert erhalten, ist dies zunächst eine Eigenschaft der konkreten Zeitabbildung.</w:t>
      </w:r>
    </w:p>
    <w:p w:rsidR="004A7CC4" w:rsidRDefault="004A7CC4" w:rsidP="004A7CC4">
      <w:pPr>
        <w:pStyle w:val="StandardWeb"/>
      </w:pPr>
      <w:r>
        <w:t>Eine physikalische Kalibrierung erfordert zusätzliche empirische Zuordnungen. Erst dann können funktionale Zeitwerte mit Sekunden oder anderen physikalischen Einheiten in Beziehung gesetzt werden.</w:t>
      </w:r>
    </w:p>
    <w:p w:rsidR="004A7CC4" w:rsidRDefault="004A7CC4" w:rsidP="004A7CC4">
      <w:pPr>
        <w:pStyle w:val="StandardWeb"/>
      </w:pPr>
      <w:r>
        <w:t>Damit bleibt die Ebenentrennung erhalten:</w:t>
      </w:r>
    </w:p>
    <w:p w:rsidR="004A7CC4" w:rsidRDefault="004A7CC4" w:rsidP="004A7CC4">
      <w:pPr>
        <w:pStyle w:val="StandardWeb"/>
      </w:pPr>
      <w:r>
        <w:rPr>
          <w:rStyle w:val="Fett"/>
        </w:rPr>
        <w:t>funktionale Ordnung → funktionale Zeitstruktur → mögliche physikalische Kalibrierung.</w:t>
      </w:r>
    </w:p>
    <w:p w:rsidR="004A7CC4" w:rsidRDefault="004A7CC4" w:rsidP="004A7CC4">
      <w:pPr>
        <w:pStyle w:val="berschrift3"/>
      </w:pPr>
      <w:r>
        <w:t>Didaktische Betrachtungen</w:t>
      </w:r>
    </w:p>
    <w:p w:rsidR="004A7CC4" w:rsidRDefault="004A7CC4" w:rsidP="004A7CC4">
      <w:pPr>
        <w:pStyle w:val="StandardWeb"/>
      </w:pPr>
      <w:r>
        <w:t>Der Aufbau lässt sich mit einer Warteschlange erklären.</w:t>
      </w:r>
    </w:p>
    <w:p w:rsidR="004A7CC4" w:rsidRDefault="004A7CC4" w:rsidP="004A7CC4">
      <w:pPr>
        <w:pStyle w:val="StandardWeb"/>
      </w:pPr>
      <w:r>
        <w:t>Zunächst weiß ich nur:</w:t>
      </w:r>
    </w:p>
    <w:p w:rsidR="004A7CC4" w:rsidRDefault="004A7CC4" w:rsidP="004A7CC4">
      <w:pPr>
        <w:pStyle w:val="StandardWeb"/>
      </w:pPr>
      <w:r>
        <w:t>Person (A) kommt funktional vor Person (B).</w:t>
      </w:r>
    </w:p>
    <w:p w:rsidR="004A7CC4" w:rsidRDefault="004A7CC4" w:rsidP="004A7CC4">
      <w:pPr>
        <w:pStyle w:val="StandardWeb"/>
      </w:pPr>
      <w:r>
        <w:t>Das entspricht einer Ordnung:</w:t>
      </w:r>
    </w:p>
    <w:p w:rsidR="004A7CC4" w:rsidRDefault="004A7CC4" w:rsidP="004A7CC4">
      <w:pPr>
        <w:pStyle w:val="StandardWeb"/>
      </w:pPr>
      <w:r>
        <w:t>[</w:t>
      </w:r>
      <w:r>
        <w:br/>
        <w:t>A&lt;_F B.</w:t>
      </w:r>
      <w:r>
        <w:br/>
        <w:t>]</w:t>
      </w:r>
    </w:p>
    <w:p w:rsidR="004A7CC4" w:rsidRDefault="004A7CC4" w:rsidP="004A7CC4">
      <w:pPr>
        <w:pStyle w:val="StandardWeb"/>
      </w:pPr>
      <w:r>
        <w:t>Damit weiß ich noch nicht, wann beide Personen tatsächlich bedient werden.</w:t>
      </w:r>
    </w:p>
    <w:p w:rsidR="004A7CC4" w:rsidRDefault="004A7CC4" w:rsidP="004A7CC4">
      <w:pPr>
        <w:pStyle w:val="StandardWeb"/>
      </w:pPr>
      <w:r>
        <w:lastRenderedPageBreak/>
        <w:t>Nun kann ich Zeitwerte zuordnen:</w:t>
      </w:r>
    </w:p>
    <w:p w:rsidR="004A7CC4" w:rsidRDefault="004A7CC4" w:rsidP="004A7CC4">
      <w:pPr>
        <w:pStyle w:val="StandardWeb"/>
      </w:pPr>
      <w:r>
        <w:t>[</w:t>
      </w:r>
      <w:r>
        <w:br/>
        <w:t>\vartheta(A)=3,</w:t>
      </w:r>
      <w:r>
        <w:br/>
        <w:t>\qquad</w:t>
      </w:r>
      <w:r>
        <w:br/>
        <w:t>\vartheta(B)=7.</w:t>
      </w:r>
      <w:r>
        <w:br/>
        <w:t>]</w:t>
      </w:r>
    </w:p>
    <w:p w:rsidR="004A7CC4" w:rsidRDefault="004A7CC4" w:rsidP="004A7CC4">
      <w:pPr>
        <w:pStyle w:val="StandardWeb"/>
      </w:pPr>
      <w:r>
        <w:t>Die Zuordnung muss die Reihenfolge erhalten:</w:t>
      </w:r>
    </w:p>
    <w:p w:rsidR="004A7CC4" w:rsidRDefault="004A7CC4" w:rsidP="004A7CC4">
      <w:pPr>
        <w:pStyle w:val="StandardWeb"/>
      </w:pPr>
      <w:r>
        <w:t>[</w:t>
      </w:r>
      <w:r>
        <w:br/>
        <w:t>A&lt;_F B</w:t>
      </w:r>
      <w:r>
        <w:br/>
        <w:t>\Rightarrow</w:t>
      </w:r>
      <w:r>
        <w:br/>
        <w:t>3&lt;7.</w:t>
      </w:r>
      <w:r>
        <w:br/>
        <w:t>]</w:t>
      </w:r>
    </w:p>
    <w:p w:rsidR="004A7CC4" w:rsidRDefault="004A7CC4" w:rsidP="004A7CC4">
      <w:pPr>
        <w:pStyle w:val="StandardWeb"/>
      </w:pPr>
      <w:r>
        <w:t>Die Zahlen könnten aber genauso</w:t>
      </w:r>
    </w:p>
    <w:p w:rsidR="004A7CC4" w:rsidRDefault="004A7CC4" w:rsidP="004A7CC4">
      <w:pPr>
        <w:pStyle w:val="StandardWeb"/>
      </w:pPr>
      <w:r>
        <w:t>[</w:t>
      </w:r>
      <w:r>
        <w:br/>
        <w:t>30</w:t>
      </w:r>
      <w:r>
        <w:br/>
        <w:t>\quad\text{und}\quad</w:t>
      </w:r>
      <w:r>
        <w:br/>
        <w:t>70</w:t>
      </w:r>
      <w:r>
        <w:br/>
        <w:t>]</w:t>
      </w:r>
    </w:p>
    <w:p w:rsidR="004A7CC4" w:rsidRDefault="004A7CC4" w:rsidP="004A7CC4">
      <w:pPr>
        <w:pStyle w:val="StandardWeb"/>
      </w:pPr>
      <w:r>
        <w:t>lauten. Die Reihenfolge wäre dieselbe.</w:t>
      </w:r>
    </w:p>
    <w:p w:rsidR="004A7CC4" w:rsidRDefault="004A7CC4" w:rsidP="004A7CC4">
      <w:pPr>
        <w:pStyle w:val="StandardWeb"/>
      </w:pPr>
      <w:r>
        <w:t>Damit wird sichtbar, dass eine Ordnung weniger Information enthält als eine metrische Zeitangabe.</w:t>
      </w:r>
    </w:p>
    <w:p w:rsidR="004A7CC4" w:rsidRDefault="004A7CC4" w:rsidP="004A7CC4">
      <w:pPr>
        <w:pStyle w:val="StandardWeb"/>
      </w:pPr>
      <w:r>
        <w:t>Ein weiteres Beispiel ist eine verzweigte Entwicklung. Wenn zwei Zustandsklassen funktional nicht miteinander vergleichbar sind, muss eine Zeitabbildung daraus nicht künstlich eine eindeutige globale Reihenfolge erzeugen.</w:t>
      </w:r>
    </w:p>
    <w:p w:rsidR="004A7CC4" w:rsidRDefault="004A7CC4" w:rsidP="004A7CC4">
      <w:pPr>
        <w:pStyle w:val="StandardWeb"/>
      </w:pPr>
      <w:r>
        <w:t>Didaktisch ist daher wichtig:</w:t>
      </w:r>
    </w:p>
    <w:p w:rsidR="004A7CC4" w:rsidRDefault="004A7CC4" w:rsidP="004A7CC4">
      <w:pPr>
        <w:pStyle w:val="StandardWeb"/>
      </w:pPr>
      <w:r>
        <w:rPr>
          <w:rStyle w:val="Fett"/>
        </w:rPr>
        <w:t>„früher/später in funktionaler Ordnung“</w:t>
      </w:r>
      <w:r>
        <w:t xml:space="preserve"> und </w:t>
      </w:r>
      <w:r>
        <w:rPr>
          <w:rStyle w:val="Fett"/>
        </w:rPr>
        <w:t>„größerer/kleinerer physikalischer Zeitwert“</w:t>
      </w:r>
      <w:r>
        <w:t xml:space="preserve"> sind nicht von Anfang an identisch.</w:t>
      </w:r>
    </w:p>
    <w:p w:rsidR="004A7CC4" w:rsidRDefault="004A7CC4" w:rsidP="004A7CC4">
      <w:pPr>
        <w:pStyle w:val="StandardWeb"/>
      </w:pPr>
      <w:r>
        <w:t>Die funktionale Zeit ist vielmehr eine zusätzliche strukturverträgliche Bewertung.</w:t>
      </w:r>
    </w:p>
    <w:p w:rsidR="004A7CC4" w:rsidRDefault="004A7CC4" w:rsidP="004A7CC4">
      <w:pPr>
        <w:pStyle w:val="StandardWeb"/>
      </w:pPr>
      <w:r>
        <w:t>So wird Zeit im FRZK nicht einfach vorausgesetzt, sondern schrittweise aus der zuvor aufgebauten funktionalen Struktur heraus konstruiert.</w:t>
      </w:r>
    </w:p>
    <w:p w:rsidR="004A7CC4" w:rsidRDefault="00E50336" w:rsidP="004A7CC4">
      <w:r>
        <w:pict>
          <v:rect id="_x0000_i1041" style="width:0;height:1.5pt" o:hralign="center" o:hrstd="t" o:hr="t" fillcolor="#a0a0a0" stroked="f"/>
        </w:pict>
      </w:r>
    </w:p>
    <w:p w:rsidR="00DD6AFB" w:rsidRPr="00AF32B2" w:rsidRDefault="00DD6AFB" w:rsidP="00AF32B2">
      <w:pPr>
        <w:pStyle w:val="berschrift3"/>
      </w:pPr>
      <w:r w:rsidRPr="00AF32B2">
        <w:t>3.3.16 Definition der funktionalen Raumstruktur</w:t>
      </w:r>
    </w:p>
    <w:p w:rsidR="00DD6AFB" w:rsidRDefault="00DD6AFB" w:rsidP="00DD6AFB">
      <w:pPr>
        <w:pStyle w:val="StandardWeb"/>
      </w:pPr>
      <w:r>
        <w:t xml:space="preserve">Mit Definition 3.3.8 steht eine funktionale Zeitstruktur zur Verfügung, die funktionale Zustandsklassen, ihre Ordnung und eine ordnungsverträgliche Bewertung miteinander verbindet. Damit ist jedoch noch keine räumliche Struktur bestimmt. Die bisher eingeführten Relationen beschreiben funktionale Verbindungen, die Erreichbarkeitsrelation beschreibt </w:t>
      </w:r>
      <w:r>
        <w:lastRenderedPageBreak/>
        <w:t>mögliche Transformationsfolgen, und die funktionale Transformationslänge zählt erforderliche Entwicklungsschritte. Keine dieser Strukturen besitzt bereits notwendig die Eigenschaften eines Raumes [6, 58, 59].</w:t>
      </w:r>
    </w:p>
    <w:p w:rsidR="00DD6AFB" w:rsidRDefault="00DD6AFB" w:rsidP="00DD6AFB">
      <w:pPr>
        <w:pStyle w:val="StandardWeb"/>
      </w:pPr>
      <w:r>
        <w:t>Die Mathematik stellt unterschiedliche Raumbegriffe bereit. Ein topologischer Raum beschreibt offene Mengen und Nachbarschaften. Ein metrischer Raum ergänzt einen Abstand. Normierte Räume erlauben darüber hinaus die Bewertung von Vektoren, während Graphen räumlich interpretierbare Nachbarschafts- und Wegstrukturen darstellen können [6, 75, 76]. Diese mathematischen Werkzeuge legen jedoch nicht fest, welche funktionalen Relationen innerhalb des FRZK als räumliche Nachbarschaft interpretiert werden dürfen.</w:t>
      </w:r>
    </w:p>
    <w:p w:rsidR="00DD6AFB" w:rsidRDefault="00DD6AFB" w:rsidP="00DD6AFB">
      <w:pPr>
        <w:pStyle w:val="StandardWeb"/>
      </w:pPr>
      <w:r>
        <w:t>Eine funktionale Raumstruktur darf deshalb nicht aus der bloßen Verwendung räumlich klingender Begriffe wie „Umgebung“, „Abstand“ oder „Pfad“ abgeleitet werden. Sie muss ausdrücklich festlegen, welche Zustandsklassen als räumlich benachbart gelten, wie räumliche Abstände bestimmt werden und unter welchen Bedingungen eine solche Interpretation zulässig ist [58, 59].</w:t>
      </w:r>
    </w:p>
    <w:p w:rsidR="00DD6AFB" w:rsidRDefault="00DD6AFB" w:rsidP="00DD6AFB">
      <w:pPr>
        <w:pStyle w:val="StandardWeb"/>
      </w:pPr>
      <w:r>
        <w:rPr>
          <w:rStyle w:val="Fett"/>
        </w:rPr>
        <w:t>Eigenleistung des FRZK</w:t>
      </w:r>
    </w:p>
    <w:p w:rsidR="00DD6AFB" w:rsidRDefault="00DD6AFB" w:rsidP="00DD6AFB">
      <w:pPr>
        <w:pStyle w:val="StandardWeb"/>
      </w:pPr>
      <w:r>
        <w:t>Ich definiere funktionalen Raum nicht als unabhängig vorhandenen Behälter für funktionale Zustände. Eine funktionale Raumstruktur entsteht erst, wenn auf einer Menge funktionaler Zustandsklassen eine Nachbarschafts- oder Abstandsbewertung eingeführt wird, die aus ausgewählten funktionalen Relationen oder Transformationsmöglichkeiten abgeleitet und ausdrücklich räumlich interpretiert wird.</w:t>
      </w:r>
    </w:p>
    <w:p w:rsidR="00DD6AFB" w:rsidRPr="00AF32B2" w:rsidRDefault="00DD6AFB" w:rsidP="00AF32B2">
      <w:pPr>
        <w:pStyle w:val="berschrift4"/>
      </w:pPr>
      <w:r w:rsidRPr="00AF32B2">
        <w:t>3.3.16.1 Ausgangspunkt der räumlichen Rekonstruktion</w:t>
      </w:r>
    </w:p>
    <w:p w:rsidR="00DD6AFB" w:rsidRDefault="00DD6AFB" w:rsidP="00DD6AFB">
      <w:pPr>
        <w:pStyle w:val="StandardWeb"/>
      </w:pPr>
      <w:r>
        <w:t>Die elementaren funktionalen Zustände bilden weiterhin den Ausgangsbereich</w:t>
      </w:r>
    </w:p>
    <w:p w:rsidR="00DD6AFB" w:rsidRDefault="00DD6AFB" w:rsidP="00DD6AFB">
      <w:pPr>
        <w:pStyle w:val="StandardWeb"/>
      </w:pPr>
      <w:r>
        <w:t>[</w:t>
      </w:r>
      <w:r>
        <w:br/>
        <w:t>\mathcal{S}_{\mathrm{el}}.</w:t>
      </w:r>
      <w:r>
        <w:br/>
        <w:t>\tag{3.4187}</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\mathcal{S}_{\mathrm{el}}\qquad\text{(3.4187)}</w:t>
      </w:r>
    </w:p>
    <w:p w:rsidR="00DD6AFB" w:rsidRDefault="00DD6AFB" w:rsidP="00DD6AFB">
      <w:pPr>
        <w:pStyle w:val="StandardWeb"/>
      </w:pPr>
      <w:r>
        <w:t>Da wechselseitig funktional erreichbare Zustände in Definition 3.3.7 zu Äquivalenzklassen zusammengefasst wurden, kann die räumliche Rekonstruktion auf der Quotientenmenge</w:t>
      </w:r>
    </w:p>
    <w:p w:rsidR="00DD6AFB" w:rsidRDefault="00DD6AFB" w:rsidP="00DD6AFB">
      <w:pPr>
        <w:pStyle w:val="berschrift1"/>
      </w:pPr>
      <w:r>
        <w:t>[</w:t>
      </w:r>
      <w:r>
        <w:br/>
        <w:t>\mathcal{Q}_{F}</w:t>
      </w:r>
    </w:p>
    <w:p w:rsidR="00DD6AFB" w:rsidRDefault="00DD6AFB" w:rsidP="00DD6AFB">
      <w:pPr>
        <w:pStyle w:val="StandardWeb"/>
      </w:pPr>
      <w:r>
        <w:t>\mathcal{S}</w:t>
      </w:r>
      <w:r>
        <w:rPr>
          <w:rStyle w:val="Hervorhebung"/>
        </w:rPr>
        <w:t>{\mathrm{el}}/{\sim</w:t>
      </w:r>
      <w:r>
        <w:t>{!F}}</w:t>
      </w:r>
      <w:r>
        <w:br/>
        <w:t>\tag{3.4188}</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lastRenderedPageBreak/>
        <w:t>\mathcal{Q}_{F}=\mathcal{S}_{\mathrm{el}}/{\sim_{\!F}}\qquad\text{(3.4188)}</w:t>
      </w:r>
    </w:p>
    <w:p w:rsidR="00DD6AFB" w:rsidRDefault="00DD6AFB" w:rsidP="00DD6AFB">
      <w:pPr>
        <w:pStyle w:val="StandardWeb"/>
      </w:pPr>
      <w:r>
        <w:t>erfolgen.</w:t>
      </w:r>
    </w:p>
    <w:p w:rsidR="00DD6AFB" w:rsidRDefault="00DD6AFB" w:rsidP="00DD6AFB">
      <w:pPr>
        <w:pStyle w:val="StandardWeb"/>
      </w:pPr>
      <w:r>
        <w:t>Dabei bezeichnet (\mathcal{Q}_{F}) die Menge der funktionalen Zustandsklassen. Die Wahl der Quotientenmenge verhindert, dass rein reversible oder zyklisch verbundene Zustände ohne zusätzliche Begründung als räumlich getrennte Punkte behandelt werden.</w:t>
      </w:r>
    </w:p>
    <w:p w:rsidR="00DD6AFB" w:rsidRDefault="00DD6AFB" w:rsidP="00DD6AFB">
      <w:pPr>
        <w:pStyle w:val="StandardWeb"/>
      </w:pPr>
      <w:r>
        <w:t>Die räumliche Rekonstruktion könnte alternativ direkt auf (\mathcal{S}_{\mathrm{el}}) erfolgen. Welche Variante gewählt wird, hängt davon ab, ob wechselseitig erreichbare Zustände räumlich unterschieden werden sollen. Definition 3.3.9 verwendet zunächst die Quotientenstruktur, weil sie bereits die funktionale Ordnung trägt.</w:t>
      </w:r>
    </w:p>
    <w:p w:rsidR="00DD6AFB" w:rsidRPr="00AF32B2" w:rsidRDefault="00DD6AFB" w:rsidP="00AF32B2">
      <w:pPr>
        <w:pStyle w:val="berschrift4"/>
      </w:pPr>
      <w:r w:rsidRPr="00AF32B2">
        <w:t>3.3.16.2 Räumlich interpretierbare Nachbarschaft</w:t>
      </w:r>
    </w:p>
    <w:p w:rsidR="00DD6AFB" w:rsidRDefault="00DD6AFB" w:rsidP="00DD6AFB">
      <w:pPr>
        <w:pStyle w:val="StandardWeb"/>
      </w:pPr>
      <w:r>
        <w:t>Eine allgemeine funktionale Relation (\mathcal{R}) ist noch keine räumliche Nachbarschaft. Für eine räumliche Interpretation muss eine Teilrelation ausgewählt werden:</w:t>
      </w:r>
    </w:p>
    <w:p w:rsidR="00DD6AFB" w:rsidRDefault="00DD6AFB" w:rsidP="00DD6AFB">
      <w:pPr>
        <w:pStyle w:val="StandardWeb"/>
      </w:pPr>
      <w:r>
        <w:t>[</w:t>
      </w:r>
      <w:r>
        <w:br/>
        <w:t>\mathcal{R}</w:t>
      </w:r>
      <w:r>
        <w:rPr>
          <w:rStyle w:val="Hervorhebung"/>
        </w:rPr>
        <w:t>{\mathrm{sp}}</w:t>
      </w:r>
      <w:r>
        <w:rPr>
          <w:i/>
          <w:iCs/>
        </w:rPr>
        <w:br/>
      </w:r>
      <w:r>
        <w:rPr>
          <w:rStyle w:val="Hervorhebung"/>
        </w:rPr>
        <w:t>\subseteq</w:t>
      </w:r>
      <w:r>
        <w:rPr>
          <w:i/>
          <w:iCs/>
        </w:rPr>
        <w:br/>
      </w:r>
      <w:r>
        <w:rPr>
          <w:rStyle w:val="Hervorhebung"/>
        </w:rPr>
        <w:t>\mathcal{Q}</w:t>
      </w:r>
      <w:r>
        <w:t>{F}\times\mathcal{Q}_{F}.</w:t>
      </w:r>
      <w:r>
        <w:br/>
        <w:t>\tag{3.4189}</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\mathcal{R}_{\mathrm{sp}}\subseteq\mathcal{Q}_{F}\times\mathcal{Q}_{F}\qquad\text{(3.4189)}</w:t>
      </w:r>
    </w:p>
    <w:p w:rsidR="00DD6AFB" w:rsidRDefault="00DD6AFB" w:rsidP="00DD6AFB">
      <w:pPr>
        <w:pStyle w:val="StandardWeb"/>
      </w:pPr>
      <w:r>
        <w:t>Dabei bezeichnet (\mathcal{R}_{\mathrm{sp}}) die räumlich interpretierte funktionale Nachbarschaftsrelation.</w:t>
      </w:r>
    </w:p>
    <w:p w:rsidR="00DD6AFB" w:rsidRDefault="00DD6AFB" w:rsidP="00DD6AFB">
      <w:pPr>
        <w:pStyle w:val="StandardWeb"/>
      </w:pPr>
      <w:r>
        <w:t>Für zwei funktionale Zustandsklassen gilt</w:t>
      </w:r>
    </w:p>
    <w:p w:rsidR="00DD6AFB" w:rsidRDefault="00DD6AFB" w:rsidP="00DD6AFB">
      <w:pPr>
        <w:pStyle w:val="StandardWeb"/>
      </w:pPr>
      <w:r>
        <w:t>[</w:t>
      </w:r>
      <w:r>
        <w:br/>
        <w:t>\left(</w:t>
      </w:r>
      <w:r>
        <w:br/>
        <w:t>[\delta_i]</w:t>
      </w:r>
      <w:r>
        <w:rPr>
          <w:rStyle w:val="Hervorhebung"/>
        </w:rPr>
        <w:t>{!F},</w:t>
      </w:r>
      <w:r>
        <w:rPr>
          <w:i/>
          <w:iCs/>
        </w:rPr>
        <w:br/>
      </w:r>
      <w:r>
        <w:rPr>
          <w:rStyle w:val="Hervorhebung"/>
        </w:rPr>
        <w:t>[\delta_j]</w:t>
      </w:r>
      <w:r>
        <w:t>{!F}</w:t>
      </w:r>
      <w:r>
        <w:br/>
        <w:t>\right)</w:t>
      </w:r>
      <w:r>
        <w:br/>
        <w:t>\in</w:t>
      </w:r>
      <w:r>
        <w:br/>
        <w:t>\mathcal{R}_{\mathrm{sp}}</w:t>
      </w:r>
      <w:r>
        <w:br/>
        <w:t>\tag{3.4190}</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\left([\delta_i]_{\!F},[\delta_j]_{\!F}\right)\in\mathcal{R}_{\mathrm{sp}}\qquad\text{(3.4190)}</w:t>
      </w:r>
    </w:p>
    <w:p w:rsidR="00DD6AFB" w:rsidRDefault="00DD6AFB" w:rsidP="00DD6AFB">
      <w:pPr>
        <w:pStyle w:val="StandardWeb"/>
      </w:pPr>
      <w:r>
        <w:t>genau dann, wenn die beiden Klassen nach dem gewählten Raummodell als unmittelbar räumlich benachbart behandelt werden.</w:t>
      </w:r>
    </w:p>
    <w:p w:rsidR="00DD6AFB" w:rsidRDefault="00DD6AFB" w:rsidP="00DD6AFB">
      <w:pPr>
        <w:pStyle w:val="StandardWeb"/>
      </w:pPr>
      <w:r>
        <w:lastRenderedPageBreak/>
        <w:t>Gleichung (3.4190) ist keine Konsequenz jeder funktionalen Relation. Die Auswahl von (\mathcal{R}_{\mathrm{sp}}) stellt eine zusätzliche Modellentscheidung dar [6, 58].</w:t>
      </w:r>
    </w:p>
    <w:p w:rsidR="00DD6AFB" w:rsidRDefault="00DD6AFB" w:rsidP="00DD6AFB">
      <w:pPr>
        <w:pStyle w:val="StandardWeb"/>
      </w:pPr>
      <w:r>
        <w:rPr>
          <w:rStyle w:val="Fett"/>
        </w:rPr>
        <w:t>Eigenleistung des FRZK</w:t>
      </w:r>
    </w:p>
    <w:p w:rsidR="00DD6AFB" w:rsidRDefault="00DD6AFB" w:rsidP="00DD6AFB">
      <w:pPr>
        <w:pStyle w:val="StandardWeb"/>
      </w:pPr>
      <w:r>
        <w:t>Ich unterscheide ausdrücklich zwischen funktionaler Relation und räumlich interpretierter Relation. Nur solche funktionalen Verbindungen, für die eine räumliche Bedeutung wissenschaftlich begründet wurde, dürfen in (\mathcal{R}_{\mathrm{sp}}) aufgenommen werden.</w:t>
      </w:r>
    </w:p>
    <w:p w:rsidR="00DD6AFB" w:rsidRPr="00AF32B2" w:rsidRDefault="00DD6AFB" w:rsidP="00AF32B2">
      <w:pPr>
        <w:pStyle w:val="berschrift4"/>
      </w:pPr>
      <w:r w:rsidRPr="00AF32B2">
        <w:t>3.3.16.3 Funktionale räumliche Umgebung</w:t>
      </w:r>
    </w:p>
    <w:p w:rsidR="00DD6AFB" w:rsidRDefault="00DD6AFB" w:rsidP="00DD6AFB">
      <w:pPr>
        <w:pStyle w:val="StandardWeb"/>
      </w:pPr>
      <w:r>
        <w:t>Für eine Zustandsklasse ([\delta_i]_{!F}) definiere ich die räumliche Nachbarschaft durch</w:t>
      </w:r>
    </w:p>
    <w:p w:rsidR="00DD6AFB" w:rsidRDefault="00DD6AFB" w:rsidP="00DD6AFB">
      <w:pPr>
        <w:pStyle w:val="berschrift1"/>
      </w:pPr>
      <w:r>
        <w:t>[</w:t>
      </w:r>
      <w:r>
        <w:br/>
        <w:t>\mathcal{N}</w:t>
      </w:r>
      <w:r>
        <w:rPr>
          <w:rStyle w:val="Hervorhebung"/>
        </w:rPr>
        <w:t>{\mathrm{sp}}</w:t>
      </w:r>
      <w:r>
        <w:rPr>
          <w:i/>
          <w:iCs/>
        </w:rPr>
        <w:br/>
      </w:r>
      <w:r>
        <w:rPr>
          <w:rStyle w:val="Hervorhebung"/>
        </w:rPr>
        <w:t>\left(</w:t>
      </w:r>
      <w:r>
        <w:rPr>
          <w:i/>
          <w:iCs/>
        </w:rPr>
        <w:br/>
      </w:r>
      <w:r>
        <w:rPr>
          <w:rStyle w:val="Hervorhebung"/>
        </w:rPr>
        <w:t>[\delta_i]</w:t>
      </w:r>
      <w:r>
        <w:t>{!F}</w:t>
      </w:r>
      <w:r>
        <w:br/>
        <w:t>\right)</w:t>
      </w:r>
    </w:p>
    <w:p w:rsidR="00DD6AFB" w:rsidRDefault="00DD6AFB" w:rsidP="00DD6AFB">
      <w:pPr>
        <w:pStyle w:val="StandardWeb"/>
      </w:pPr>
      <w:r>
        <w:t>\left{</w:t>
      </w:r>
      <w:r>
        <w:br/>
        <w:t>[\delta_j]</w:t>
      </w:r>
      <w:r>
        <w:rPr>
          <w:rStyle w:val="Hervorhebung"/>
        </w:rPr>
        <w:t>{!F}\in\mathcal{Q}</w:t>
      </w:r>
      <w:r>
        <w:t>{F}</w:t>
      </w:r>
      <w:r>
        <w:br/>
        <w:t>;\middle|;</w:t>
      </w:r>
      <w:r>
        <w:br/>
        <w:t>\left(</w:t>
      </w:r>
      <w:r>
        <w:br/>
        <w:t>[\delta_i]</w:t>
      </w:r>
      <w:r>
        <w:rPr>
          <w:rStyle w:val="Hervorhebung"/>
        </w:rPr>
        <w:t>{!F},</w:t>
      </w:r>
      <w:r>
        <w:rPr>
          <w:i/>
          <w:iCs/>
        </w:rPr>
        <w:br/>
      </w:r>
      <w:r>
        <w:rPr>
          <w:rStyle w:val="Hervorhebung"/>
        </w:rPr>
        <w:t>[\delta_j]</w:t>
      </w:r>
      <w:r>
        <w:t>{!F}</w:t>
      </w:r>
      <w:r>
        <w:br/>
        <w:t>\right)</w:t>
      </w:r>
      <w:r>
        <w:br/>
        <w:t>\in</w:t>
      </w:r>
      <w:r>
        <w:br/>
        <w:t>\mathcal{R}_{\mathrm{sp}}</w:t>
      </w:r>
      <w:r>
        <w:br/>
        <w:t>\right}.</w:t>
      </w:r>
      <w:r>
        <w:br/>
        <w:t>\tag{3.4191}</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\mathcal{N}_{\mathrm{sp}}\left([\delta_i]_{\!F}\right)=\left\{[\delta_j]_{\!F}\in\mathcal{Q}_{F}\middle|\left([\delta_i]_{\!F},[\delta_j]_{\!F}\right)\in\mathcal{R}_{\mathrm{sp}}\right\}\qquad\text{(3.4191)}</w:t>
      </w:r>
    </w:p>
    <w:p w:rsidR="00DD6AFB" w:rsidRDefault="00DD6AFB" w:rsidP="00DD6AFB">
      <w:pPr>
        <w:pStyle w:val="StandardWeb"/>
      </w:pPr>
      <w:r>
        <w:t>Dabei bezeichnet (\mathcal{N}</w:t>
      </w:r>
      <w:r>
        <w:rPr>
          <w:rStyle w:val="Hervorhebung"/>
        </w:rPr>
        <w:t>{\mathrm{sp}}([\delta_i]</w:t>
      </w:r>
      <w:r>
        <w:t>{!F})) die Menge aller unmittelbar räumlich benachbarten funktionalen Zustandsklassen.</w:t>
      </w:r>
    </w:p>
    <w:p w:rsidR="00DD6AFB" w:rsidRDefault="00DD6AFB" w:rsidP="00DD6AFB">
      <w:pPr>
        <w:pStyle w:val="StandardWeb"/>
      </w:pPr>
      <w:r>
        <w:t>Die räumliche Nachbarschaft kann gerichtet oder ungerichtet sein. Für eine symmetrische räumliche Nachbarschaft gilt</w:t>
      </w:r>
    </w:p>
    <w:p w:rsidR="00DD6AFB" w:rsidRDefault="00DD6AFB" w:rsidP="00DD6AFB">
      <w:pPr>
        <w:pStyle w:val="StandardWeb"/>
      </w:pPr>
      <w:r>
        <w:t>[</w:t>
      </w:r>
      <w:r>
        <w:br/>
        <w:t>\left(</w:t>
      </w:r>
      <w:r>
        <w:br/>
        <w:t>[\delta_i]</w:t>
      </w:r>
      <w:r>
        <w:rPr>
          <w:rStyle w:val="Hervorhebung"/>
        </w:rPr>
        <w:t>{!F},</w:t>
      </w:r>
      <w:r>
        <w:rPr>
          <w:i/>
          <w:iCs/>
        </w:rPr>
        <w:br/>
      </w:r>
      <w:r>
        <w:rPr>
          <w:rStyle w:val="Hervorhebung"/>
        </w:rPr>
        <w:lastRenderedPageBreak/>
        <w:t>[\delta_j]</w:t>
      </w:r>
      <w:r>
        <w:t>{!F}</w:t>
      </w:r>
      <w:r>
        <w:br/>
        <w:t>\right)</w:t>
      </w:r>
      <w:r>
        <w:br/>
        <w:t>\in</w:t>
      </w:r>
      <w:r>
        <w:br/>
        <w:t>\mathcal{R}</w:t>
      </w:r>
      <w:r>
        <w:rPr>
          <w:rStyle w:val="Hervorhebung"/>
        </w:rPr>
        <w:t>{\mathrm{sp}}</w:t>
      </w:r>
      <w:r>
        <w:rPr>
          <w:i/>
          <w:iCs/>
        </w:rPr>
        <w:br/>
      </w:r>
      <w:r>
        <w:rPr>
          <w:rStyle w:val="Hervorhebung"/>
        </w:rPr>
        <w:t>\Rightarrow</w:t>
      </w:r>
      <w:r>
        <w:rPr>
          <w:i/>
          <w:iCs/>
        </w:rPr>
        <w:br/>
      </w:r>
      <w:r>
        <w:rPr>
          <w:rStyle w:val="Hervorhebung"/>
        </w:rPr>
        <w:t>\left(</w:t>
      </w:r>
      <w:r>
        <w:rPr>
          <w:i/>
          <w:iCs/>
        </w:rPr>
        <w:br/>
      </w:r>
      <w:r>
        <w:rPr>
          <w:rStyle w:val="Hervorhebung"/>
        </w:rPr>
        <w:t>[\delta_j]</w:t>
      </w:r>
      <w:r>
        <w:t>{!F},</w:t>
      </w:r>
      <w:r>
        <w:br/>
        <w:t>[\delta_i]</w:t>
      </w:r>
      <w:r>
        <w:rPr>
          <w:rStyle w:val="Hervorhebung"/>
        </w:rPr>
        <w:t>{!F}</w:t>
      </w:r>
      <w:r>
        <w:rPr>
          <w:i/>
          <w:iCs/>
        </w:rPr>
        <w:br/>
      </w:r>
      <w:r>
        <w:rPr>
          <w:rStyle w:val="Hervorhebung"/>
        </w:rPr>
        <w:t>\right)</w:t>
      </w:r>
      <w:r>
        <w:rPr>
          <w:i/>
          <w:iCs/>
        </w:rPr>
        <w:br/>
      </w:r>
      <w:r>
        <w:rPr>
          <w:rStyle w:val="Hervorhebung"/>
        </w:rPr>
        <w:t>\in</w:t>
      </w:r>
      <w:r>
        <w:rPr>
          <w:i/>
          <w:iCs/>
        </w:rPr>
        <w:br/>
      </w:r>
      <w:r>
        <w:rPr>
          <w:rStyle w:val="Hervorhebung"/>
        </w:rPr>
        <w:t>\mathcal{R}</w:t>
      </w:r>
      <w:r>
        <w:t>{\mathrm{sp}}.</w:t>
      </w:r>
      <w:r>
        <w:br/>
        <w:t>\tag{3.4192}</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\left([\delta_i]_{\!F},[\delta_j]_{\!F}\right)\in\mathcal{R}_{\mathrm{sp}}\Rightarrow\left([\delta_j]_{\!F},[\delta_i]_{\!F}\right)\in\mathcal{R}_{\mathrm{sp}}\qquad\text{(3.4192)}</w:t>
      </w:r>
    </w:p>
    <w:p w:rsidR="00DD6AFB" w:rsidRDefault="00DD6AFB" w:rsidP="00DD6AFB">
      <w:pPr>
        <w:pStyle w:val="StandardWeb"/>
      </w:pPr>
      <w:r>
        <w:t>Eine symmetrische Nachbarschaft entspricht einem ungerichteten räumlichen Verbindungsmodell. Eine gerichtete Nachbarschaft kann dagegen asymmetrische Zugänglichkeit oder orientierte funktionale Verbindungen darstellen.</w:t>
      </w:r>
    </w:p>
    <w:p w:rsidR="00DD6AFB" w:rsidRPr="00AF32B2" w:rsidRDefault="00DD6AFB" w:rsidP="00AF32B2">
      <w:pPr>
        <w:pStyle w:val="berschrift4"/>
      </w:pPr>
      <w:r w:rsidRPr="00AF32B2">
        <w:t>3.3.16.4 Räumlicher Funktionsgraph</w:t>
      </w:r>
    </w:p>
    <w:p w:rsidR="00DD6AFB" w:rsidRDefault="00DD6AFB" w:rsidP="00DD6AFB">
      <w:pPr>
        <w:pStyle w:val="StandardWeb"/>
      </w:pPr>
      <w:r>
        <w:t>Die räumliche Nachbarschaftsstruktur kann als Graph dargestellt werden:</w:t>
      </w:r>
    </w:p>
    <w:p w:rsidR="00DD6AFB" w:rsidRDefault="00DD6AFB" w:rsidP="00DD6AFB">
      <w:pPr>
        <w:pStyle w:val="berschrift1"/>
      </w:pPr>
      <w:r>
        <w:t>[</w:t>
      </w:r>
      <w:r>
        <w:br/>
        <w:t>\mathfrak{G}_{\mathrm{sp}}</w:t>
      </w:r>
    </w:p>
    <w:p w:rsidR="00DD6AFB" w:rsidRDefault="00DD6AFB" w:rsidP="00DD6AFB">
      <w:pPr>
        <w:pStyle w:val="StandardWeb"/>
      </w:pPr>
      <w:r>
        <w:t>\left(</w:t>
      </w:r>
      <w:r>
        <w:br/>
        <w:t>\mathcal{Q}</w:t>
      </w:r>
      <w:r>
        <w:rPr>
          <w:rStyle w:val="Hervorhebung"/>
        </w:rPr>
        <w:t>{F},</w:t>
      </w:r>
      <w:r>
        <w:rPr>
          <w:i/>
          <w:iCs/>
        </w:rPr>
        <w:br/>
      </w:r>
      <w:r>
        <w:rPr>
          <w:rStyle w:val="Hervorhebung"/>
        </w:rPr>
        <w:t>\mathcal{R}</w:t>
      </w:r>
      <w:r>
        <w:t>{\mathrm{sp}}</w:t>
      </w:r>
      <w:r>
        <w:br/>
        <w:t>\right).</w:t>
      </w:r>
      <w:r>
        <w:br/>
        <w:t>\tag{3.4193}</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\mathfrak{G}_{\mathrm{sp}}=\left(\mathcal{Q}_{F},\mathcal{R}_{\mathrm{sp}}\right)\qquad\text{(3.4193)}</w:t>
      </w:r>
    </w:p>
    <w:p w:rsidR="00DD6AFB" w:rsidRDefault="00DD6AFB" w:rsidP="00DD6AFB">
      <w:pPr>
        <w:pStyle w:val="StandardWeb"/>
      </w:pPr>
      <w:r>
        <w:t>Dabei bezeichnet:</w:t>
      </w:r>
    </w:p>
    <w:p w:rsidR="00DD6AFB" w:rsidRDefault="00DD6AFB" w:rsidP="00632D23">
      <w:pPr>
        <w:pStyle w:val="StandardWeb"/>
        <w:numPr>
          <w:ilvl w:val="0"/>
          <w:numId w:val="63"/>
        </w:numPr>
      </w:pPr>
      <w:r>
        <w:t>(\mathcal{Q}_{F}) die Knotenmenge funktionaler Zustandsklassen,</w:t>
      </w:r>
    </w:p>
    <w:p w:rsidR="00DD6AFB" w:rsidRDefault="00DD6AFB" w:rsidP="00632D23">
      <w:pPr>
        <w:pStyle w:val="StandardWeb"/>
        <w:numPr>
          <w:ilvl w:val="0"/>
          <w:numId w:val="63"/>
        </w:numPr>
      </w:pPr>
      <w:r>
        <w:t>(\mathcal{R}_{\mathrm{sp}}) die räumlich interpretierte Kantenrelation.</w:t>
      </w:r>
    </w:p>
    <w:p w:rsidR="00DD6AFB" w:rsidRDefault="00DD6AFB" w:rsidP="00DD6AFB">
      <w:pPr>
        <w:pStyle w:val="StandardWeb"/>
      </w:pPr>
      <w:r>
        <w:t>Die Darstellung als Graph ermöglicht die Definition räumlicher Wege, Zusammenhangskomponenten und Weglängen [6].</w:t>
      </w:r>
    </w:p>
    <w:p w:rsidR="00DD6AFB" w:rsidRDefault="00DD6AFB" w:rsidP="00DD6AFB">
      <w:pPr>
        <w:pStyle w:val="StandardWeb"/>
      </w:pPr>
      <w:r>
        <w:rPr>
          <w:rStyle w:val="Fett"/>
        </w:rPr>
        <w:lastRenderedPageBreak/>
        <w:t>Eigenleistung des FRZK</w:t>
      </w:r>
    </w:p>
    <w:p w:rsidR="00DD6AFB" w:rsidRDefault="00DD6AFB" w:rsidP="00DD6AFB">
      <w:pPr>
        <w:pStyle w:val="StandardWeb"/>
      </w:pPr>
      <w:r>
        <w:t>Ich behandle (\mathfrak{G}_{\mathrm{sp}}) als minimale funktionale Raumvorstruktur. Sie enthält Nachbarschaft, aber noch keinen metrischen Abstand und keine kontinuierliche Geometrie.</w:t>
      </w:r>
    </w:p>
    <w:p w:rsidR="00DD6AFB" w:rsidRPr="00AF32B2" w:rsidRDefault="00DD6AFB" w:rsidP="00AF32B2">
      <w:pPr>
        <w:pStyle w:val="berschrift4"/>
      </w:pPr>
      <w:r w:rsidRPr="00AF32B2">
        <w:t>3.3.16.5 Räumlicher Pfad</w:t>
      </w:r>
    </w:p>
    <w:p w:rsidR="00DD6AFB" w:rsidRDefault="00DD6AFB" w:rsidP="00DD6AFB">
      <w:pPr>
        <w:pStyle w:val="StandardWeb"/>
      </w:pPr>
      <w:r>
        <w:t>Ein endlicher räumlicher Pfad von ([\delta_i]</w:t>
      </w:r>
      <w:r>
        <w:rPr>
          <w:rStyle w:val="Hervorhebung"/>
        </w:rPr>
        <w:t>{!F}) nach ([\delta_j]</w:t>
      </w:r>
      <w:r>
        <w:t>{!F}) ist eine Folge</w:t>
      </w:r>
    </w:p>
    <w:p w:rsidR="00DD6AFB" w:rsidRDefault="00DD6AFB" w:rsidP="00DD6AFB">
      <w:pPr>
        <w:pStyle w:val="berschrift1"/>
      </w:pPr>
      <w:r>
        <w:t>[</w:t>
      </w:r>
      <w:r>
        <w:br/>
        <w:t>P_{ij}</w:t>
      </w:r>
    </w:p>
    <w:p w:rsidR="00DD6AFB" w:rsidRDefault="00DD6AFB" w:rsidP="00DD6AFB">
      <w:pPr>
        <w:pStyle w:val="StandardWeb"/>
      </w:pPr>
      <w:r>
        <w:t>\left(</w:t>
      </w:r>
      <w:r>
        <w:br/>
        <w:t>[\delta_{k_0}]</w:t>
      </w:r>
      <w:r>
        <w:rPr>
          <w:rStyle w:val="Hervorhebung"/>
        </w:rPr>
        <w:t>{!F},</w:t>
      </w:r>
      <w:r>
        <w:rPr>
          <w:i/>
          <w:iCs/>
        </w:rPr>
        <w:br/>
      </w:r>
      <w:r>
        <w:rPr>
          <w:rStyle w:val="Hervorhebung"/>
        </w:rPr>
        <w:t>[\delta</w:t>
      </w:r>
      <w:r>
        <w:t>{k_1}]</w:t>
      </w:r>
      <w:r>
        <w:rPr>
          <w:rStyle w:val="Hervorhebung"/>
        </w:rPr>
        <w:t>{!F},</w:t>
      </w:r>
      <w:r>
        <w:rPr>
          <w:i/>
          <w:iCs/>
        </w:rPr>
        <w:br/>
      </w:r>
      <w:r>
        <w:rPr>
          <w:rStyle w:val="Hervorhebung"/>
        </w:rPr>
        <w:t>\ldots,</w:t>
      </w:r>
      <w:r>
        <w:rPr>
          <w:i/>
          <w:iCs/>
        </w:rPr>
        <w:br/>
      </w:r>
      <w:r>
        <w:rPr>
          <w:rStyle w:val="Hervorhebung"/>
        </w:rPr>
        <w:t>[\delta</w:t>
      </w:r>
      <w:r>
        <w:t>{k_n}]_{!F}</w:t>
      </w:r>
      <w:r>
        <w:br/>
        <w:t>\right)</w:t>
      </w:r>
      <w:r>
        <w:br/>
        <w:t>\tag{3.4194}</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P_{ij}=\left([\delta_{k_0}]_{\!F},[\delta_{k_1}]_{\!F},\ldots,[\delta_{k_n}]_{\!F}\right)\qquad\text{(3.4194)}</w:t>
      </w:r>
    </w:p>
    <w:p w:rsidR="00DD6AFB" w:rsidRDefault="00DD6AFB" w:rsidP="00DD6AFB">
      <w:pPr>
        <w:pStyle w:val="StandardWeb"/>
      </w:pPr>
      <w:r>
        <w:t>mit</w:t>
      </w:r>
    </w:p>
    <w:p w:rsidR="00DD6AFB" w:rsidRDefault="00DD6AFB" w:rsidP="00DD6AFB">
      <w:pPr>
        <w:pStyle w:val="berschrift1"/>
      </w:pPr>
      <w:r>
        <w:t>[</w:t>
      </w:r>
      <w:r>
        <w:br/>
        <w:t>[\delta_{k_0}]_{!F}</w:t>
      </w:r>
    </w:p>
    <w:p w:rsidR="00DD6AFB" w:rsidRDefault="00DD6AFB" w:rsidP="00DD6AFB">
      <w:pPr>
        <w:pStyle w:val="StandardWeb"/>
      </w:pPr>
      <w:r>
        <w:t>[\delta_i]_{!F}</w:t>
      </w:r>
      <w:r>
        <w:br/>
        <w:t>\tag{3.4195}</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[\delta_{k_0}]_{\!F}=[\delta_i]_{\!F}\qquad\text{(3.4195)}</w:t>
      </w:r>
    </w:p>
    <w:p w:rsidR="00DD6AFB" w:rsidRDefault="00DD6AFB" w:rsidP="00DD6AFB">
      <w:pPr>
        <w:pStyle w:val="StandardWeb"/>
      </w:pPr>
      <w:r>
        <w:t>und</w:t>
      </w:r>
    </w:p>
    <w:p w:rsidR="00DD6AFB" w:rsidRDefault="00DD6AFB" w:rsidP="00DD6AFB">
      <w:pPr>
        <w:pStyle w:val="berschrift1"/>
      </w:pPr>
      <w:r>
        <w:t>[</w:t>
      </w:r>
      <w:r>
        <w:br/>
        <w:t>[\delta_{k_n}]_{!F}</w:t>
      </w:r>
    </w:p>
    <w:p w:rsidR="00DD6AFB" w:rsidRDefault="00DD6AFB" w:rsidP="00DD6AFB">
      <w:pPr>
        <w:pStyle w:val="StandardWeb"/>
      </w:pPr>
      <w:r>
        <w:lastRenderedPageBreak/>
        <w:t>[\delta_j]_{!F}.</w:t>
      </w:r>
      <w:r>
        <w:br/>
        <w:t>\tag{3.4196}</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[\delta_{k_n}]_{\!F}=[\delta_j]_{\!F}\qquad\text{(3.4196)}</w:t>
      </w:r>
    </w:p>
    <w:p w:rsidR="00DD6AFB" w:rsidRDefault="00DD6AFB" w:rsidP="00DD6AFB">
      <w:pPr>
        <w:pStyle w:val="StandardWeb"/>
      </w:pPr>
      <w:r>
        <w:t>Für jeden aufeinanderfolgenden Pfadabschnitt muss gelten:</w:t>
      </w:r>
    </w:p>
    <w:p w:rsidR="00DD6AFB" w:rsidRDefault="00DD6AFB" w:rsidP="00DD6AFB">
      <w:pPr>
        <w:pStyle w:val="StandardWeb"/>
      </w:pPr>
      <w:r>
        <w:t>[</w:t>
      </w:r>
      <w:r>
        <w:br/>
        <w:t>\left(</w:t>
      </w:r>
      <w:r>
        <w:br/>
        <w:t>[\delta_{k_{r-1}}]</w:t>
      </w:r>
      <w:r>
        <w:rPr>
          <w:rStyle w:val="Hervorhebung"/>
        </w:rPr>
        <w:t>{!F},</w:t>
      </w:r>
      <w:r>
        <w:rPr>
          <w:i/>
          <w:iCs/>
        </w:rPr>
        <w:br/>
      </w:r>
      <w:r>
        <w:rPr>
          <w:rStyle w:val="Hervorhebung"/>
        </w:rPr>
        <w:t>[\delta</w:t>
      </w:r>
      <w:r>
        <w:t>{k_r}]</w:t>
      </w:r>
      <w:r>
        <w:rPr>
          <w:rStyle w:val="Hervorhebung"/>
        </w:rPr>
        <w:t>{!F}</w:t>
      </w:r>
      <w:r>
        <w:rPr>
          <w:i/>
          <w:iCs/>
        </w:rPr>
        <w:br/>
      </w:r>
      <w:r>
        <w:rPr>
          <w:rStyle w:val="Hervorhebung"/>
        </w:rPr>
        <w:t>\right)</w:t>
      </w:r>
      <w:r>
        <w:rPr>
          <w:i/>
          <w:iCs/>
        </w:rPr>
        <w:br/>
      </w:r>
      <w:r>
        <w:rPr>
          <w:rStyle w:val="Hervorhebung"/>
        </w:rPr>
        <w:t>\in</w:t>
      </w:r>
      <w:r>
        <w:rPr>
          <w:i/>
          <w:iCs/>
        </w:rPr>
        <w:br/>
      </w:r>
      <w:r>
        <w:rPr>
          <w:rStyle w:val="Hervorhebung"/>
        </w:rPr>
        <w:t>\mathcal{R}</w:t>
      </w:r>
      <w:r>
        <w:t>{\mathrm{sp}},</w:t>
      </w:r>
      <w:r>
        <w:br/>
        <w:t>\qquad</w:t>
      </w:r>
      <w:r>
        <w:br/>
        <w:t>r=1,\ldots,n.</w:t>
      </w:r>
      <w:r>
        <w:br/>
        <w:t>\tag{3.4197}</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\left([\delta_{k_{r-1}}]_{\!F},[\delta_{k_r}]_{\!F}\right)\in\mathcal{R}_{\mathrm{sp}},\qquad r=1,\ldots,n\qquad\text{(3.4197)}</w:t>
      </w:r>
    </w:p>
    <w:p w:rsidR="00DD6AFB" w:rsidRDefault="00DD6AFB" w:rsidP="00DD6AFB">
      <w:pPr>
        <w:pStyle w:val="StandardWeb"/>
      </w:pPr>
      <w:r>
        <w:t>Die Pfadfolge beschreibt räumliche Verbindungsschritte. Der Index (r) ist weder eine Zeitvariable noch eine räumliche Koordinate.</w:t>
      </w:r>
    </w:p>
    <w:p w:rsidR="00DD6AFB" w:rsidRPr="00AF32B2" w:rsidRDefault="00DD6AFB" w:rsidP="00AF32B2">
      <w:pPr>
        <w:pStyle w:val="berschrift4"/>
      </w:pPr>
      <w:r w:rsidRPr="00AF32B2">
        <w:t>3.3.16.6 Ungewichtete räumliche Weglänge</w:t>
      </w:r>
    </w:p>
    <w:p w:rsidR="00DD6AFB" w:rsidRDefault="00DD6AFB" w:rsidP="00DD6AFB">
      <w:pPr>
        <w:pStyle w:val="StandardWeb"/>
      </w:pPr>
      <w:r>
        <w:t>Die Länge eines räumlichen Pfades kann zunächst als Anzahl seiner Nachbarschaftsschritte definiert werden:</w:t>
      </w:r>
    </w:p>
    <w:p w:rsidR="00DD6AFB" w:rsidRDefault="00DD6AFB" w:rsidP="00DD6AFB">
      <w:pPr>
        <w:pStyle w:val="berschrift1"/>
      </w:pPr>
      <w:r>
        <w:t>[</w:t>
      </w:r>
      <w:r>
        <w:br/>
        <w:t>L_{\mathrm{sp}}</w:t>
      </w:r>
      <w:r>
        <w:br/>
        <w:t>\left(</w:t>
      </w:r>
      <w:r>
        <w:br/>
        <w:t>P_{ij}</w:t>
      </w:r>
      <w:r>
        <w:br/>
        <w:t>\right)</w:t>
      </w:r>
    </w:p>
    <w:p w:rsidR="00DD6AFB" w:rsidRDefault="00DD6AFB" w:rsidP="00DD6AFB">
      <w:pPr>
        <w:pStyle w:val="StandardWeb"/>
      </w:pPr>
      <w:r>
        <w:t>n.</w:t>
      </w:r>
      <w:r>
        <w:br/>
        <w:t>\tag{3.4198}</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lastRenderedPageBreak/>
        <w:t>L_{\mathrm{sp}}\left(P_{ij}\right)=n\qquad\text{(3.4198)}</w:t>
      </w:r>
    </w:p>
    <w:p w:rsidR="00DD6AFB" w:rsidRDefault="00DD6AFB" w:rsidP="00DD6AFB">
      <w:pPr>
        <w:pStyle w:val="StandardWeb"/>
      </w:pPr>
      <w:r>
        <w:t>Diese Länge ist dimensionslos und zählt ausschließlich die Anzahl der räumlichen Nachbarschaftsübergänge.</w:t>
      </w:r>
    </w:p>
    <w:p w:rsidR="00DD6AFB" w:rsidRDefault="00DD6AFB" w:rsidP="00DD6AFB">
      <w:pPr>
        <w:pStyle w:val="StandardWeb"/>
      </w:pPr>
      <w:r>
        <w:t>Die minimale ungewichtete räumliche Distanz zwischen zwei verbundenen Zustandsklassen definiere ich durch</w:t>
      </w:r>
    </w:p>
    <w:p w:rsidR="00DD6AFB" w:rsidRDefault="00DD6AFB" w:rsidP="00DD6AFB">
      <w:pPr>
        <w:pStyle w:val="berschrift1"/>
      </w:pPr>
      <w:r>
        <w:t>[</w:t>
      </w:r>
      <w:r>
        <w:br/>
        <w:t>d_{\mathrm{sp}}</w:t>
      </w:r>
      <w:r>
        <w:br/>
        <w:t>\left(</w:t>
      </w:r>
      <w:r>
        <w:br/>
        <w:t>[\delta_i]</w:t>
      </w:r>
      <w:r>
        <w:rPr>
          <w:rStyle w:val="Hervorhebung"/>
        </w:rPr>
        <w:t>{!F},</w:t>
      </w:r>
      <w:r>
        <w:rPr>
          <w:i/>
          <w:iCs/>
        </w:rPr>
        <w:br/>
      </w:r>
      <w:r>
        <w:rPr>
          <w:rStyle w:val="Hervorhebung"/>
        </w:rPr>
        <w:t>[\delta_j]</w:t>
      </w:r>
      <w:r>
        <w:t>{!F}</w:t>
      </w:r>
      <w:r>
        <w:br/>
        <w:t>\right)</w:t>
      </w:r>
    </w:p>
    <w:p w:rsidR="00DD6AFB" w:rsidRDefault="00DD6AFB" w:rsidP="00DD6AFB">
      <w:pPr>
        <w:pStyle w:val="StandardWeb"/>
      </w:pPr>
      <w:r>
        <w:t>\min</w:t>
      </w:r>
      <w:r>
        <w:br/>
        <w:t>\left{</w:t>
      </w:r>
      <w:r>
        <w:br/>
        <w:t>L_{\mathrm{sp}}(P_{ij})</w:t>
      </w:r>
      <w:r>
        <w:br/>
        <w:t>;\middle|;</w:t>
      </w:r>
      <w:r>
        <w:br/>
        <w:t>P_{ij}</w:t>
      </w:r>
      <w:r>
        <w:br/>
        <w:t>\text{ ist ein räumlicher Pfad}</w:t>
      </w:r>
      <w:r>
        <w:br/>
        <w:t>\right}.</w:t>
      </w:r>
      <w:r>
        <w:br/>
        <w:t>\tag{3.4199}</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d_{\mathrm{sp}}\left([\delta_i]_{\!F},[\delta_j]_{\!F}\right)=\min\left\{L_{\mathrm{sp}}(P_{ij})\middle|P_{ij}\text{ ist ein räumlicher Pfad}\right\}\qquad\text{(3.4199)}</w:t>
      </w:r>
    </w:p>
    <w:p w:rsidR="00DD6AFB" w:rsidRDefault="00DD6AFB" w:rsidP="00DD6AFB">
      <w:pPr>
        <w:pStyle w:val="StandardWeb"/>
      </w:pPr>
      <w:r>
        <w:t>Für eine Zustandsklasse gilt</w:t>
      </w:r>
    </w:p>
    <w:p w:rsidR="00DD6AFB" w:rsidRDefault="00DD6AFB" w:rsidP="00DD6AFB">
      <w:pPr>
        <w:pStyle w:val="berschrift1"/>
      </w:pPr>
      <w:r>
        <w:t>[</w:t>
      </w:r>
      <w:r>
        <w:br/>
        <w:t>d_{\mathrm{sp}}</w:t>
      </w:r>
      <w:r>
        <w:br/>
        <w:t>\left(</w:t>
      </w:r>
      <w:r>
        <w:br/>
        <w:t>[\delta_i]</w:t>
      </w:r>
      <w:r>
        <w:rPr>
          <w:rStyle w:val="Hervorhebung"/>
        </w:rPr>
        <w:t>{!F},</w:t>
      </w:r>
      <w:r>
        <w:rPr>
          <w:i/>
          <w:iCs/>
        </w:rPr>
        <w:br/>
      </w:r>
      <w:r>
        <w:rPr>
          <w:rStyle w:val="Hervorhebung"/>
        </w:rPr>
        <w:t>[\delta_i]</w:t>
      </w:r>
      <w:r>
        <w:t>{!F}</w:t>
      </w:r>
      <w:r>
        <w:br/>
        <w:t>\right)</w:t>
      </w:r>
    </w:p>
    <w:p w:rsidR="00DD6AFB" w:rsidRDefault="00DD6AFB" w:rsidP="00632D23">
      <w:pPr>
        <w:numPr>
          <w:ilvl w:val="0"/>
          <w:numId w:val="64"/>
        </w:numPr>
        <w:spacing w:before="100" w:beforeAutospacing="1" w:after="100" w:afterAutospacing="1"/>
      </w:pPr>
    </w:p>
    <w:p w:rsidR="00DD6AFB" w:rsidRDefault="00DD6AFB" w:rsidP="00DD6AFB">
      <w:pPr>
        <w:pStyle w:val="StandardWeb"/>
      </w:pPr>
      <w:r>
        <w:lastRenderedPageBreak/>
        <w:t>\tag{3.4200}</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d_{\mathrm{sp}}\left([\delta_i]_{\!F},[\delta_i]_{\!F}\right)=0\qquad\text{(3.4200)}</w:t>
      </w:r>
    </w:p>
    <w:p w:rsidR="00DD6AFB" w:rsidRDefault="00DD6AFB" w:rsidP="00DD6AFB">
      <w:pPr>
        <w:pStyle w:val="StandardWeb"/>
      </w:pPr>
      <w:r>
        <w:t>Existiert kein räumlicher Pfad, wird gesetzt:</w:t>
      </w:r>
    </w:p>
    <w:p w:rsidR="00DD6AFB" w:rsidRDefault="00DD6AFB" w:rsidP="00DD6AFB">
      <w:pPr>
        <w:pStyle w:val="berschrift1"/>
      </w:pPr>
      <w:r>
        <w:t>[</w:t>
      </w:r>
      <w:r>
        <w:br/>
        <w:t>d_{\mathrm{sp}}</w:t>
      </w:r>
      <w:r>
        <w:br/>
        <w:t>\left(</w:t>
      </w:r>
      <w:r>
        <w:br/>
        <w:t>[\delta_i]</w:t>
      </w:r>
      <w:r>
        <w:rPr>
          <w:rStyle w:val="Hervorhebung"/>
        </w:rPr>
        <w:t>{!F},</w:t>
      </w:r>
      <w:r>
        <w:rPr>
          <w:i/>
          <w:iCs/>
        </w:rPr>
        <w:br/>
      </w:r>
      <w:r>
        <w:rPr>
          <w:rStyle w:val="Hervorhebung"/>
        </w:rPr>
        <w:t>[\delta_j]</w:t>
      </w:r>
      <w:r>
        <w:t>{!F}</w:t>
      </w:r>
      <w:r>
        <w:br/>
        <w:t>\right)</w:t>
      </w:r>
    </w:p>
    <w:p w:rsidR="00DD6AFB" w:rsidRDefault="00DD6AFB" w:rsidP="00DD6AFB">
      <w:pPr>
        <w:pStyle w:val="StandardWeb"/>
      </w:pPr>
      <w:r>
        <w:t>\infty.</w:t>
      </w:r>
      <w:r>
        <w:br/>
        <w:t>\tag{3.4201}</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d_{\mathrm{sp}}\left([\delta_i]_{\!F},[\delta_j]_{\!F}\right)=\infty\qquad\text{(3.4201)}</w:t>
      </w:r>
    </w:p>
    <w:p w:rsidR="00DD6AFB" w:rsidRPr="00AF32B2" w:rsidRDefault="00DD6AFB" w:rsidP="00AF32B2">
      <w:pPr>
        <w:pStyle w:val="berschrift4"/>
      </w:pPr>
      <w:r w:rsidRPr="00AF32B2">
        <w:t>3.3.16.7 Gewichtete räumliche Verbindung</w:t>
      </w:r>
    </w:p>
    <w:p w:rsidR="00DD6AFB" w:rsidRDefault="00DD6AFB" w:rsidP="00DD6AFB">
      <w:pPr>
        <w:pStyle w:val="StandardWeb"/>
      </w:pPr>
      <w:r>
        <w:t>Unterschiedliche räumliche Nachbarschaftsverbindungen können unterschiedliche funktionale Bedeutung besitzen. Deshalb kann eine positive Kantengewichtung definiert werden:</w:t>
      </w:r>
    </w:p>
    <w:p w:rsidR="00DD6AFB" w:rsidRDefault="00DD6AFB" w:rsidP="00DD6AFB">
      <w:pPr>
        <w:pStyle w:val="StandardWeb"/>
      </w:pPr>
      <w:r>
        <w:t>[</w:t>
      </w:r>
      <w:r>
        <w:br/>
        <w:t>\omega_{\mathrm{sp}}:</w:t>
      </w:r>
      <w:r>
        <w:br/>
        <w:t>\mathcal{R}</w:t>
      </w:r>
      <w:r>
        <w:rPr>
          <w:rStyle w:val="Hervorhebung"/>
        </w:rPr>
        <w:t>{\mathrm{sp}}</w:t>
      </w:r>
      <w:r>
        <w:rPr>
          <w:i/>
          <w:iCs/>
        </w:rPr>
        <w:br/>
      </w:r>
      <w:r>
        <w:rPr>
          <w:rStyle w:val="Hervorhebung"/>
        </w:rPr>
        <w:t>\rightarrow</w:t>
      </w:r>
      <w:r>
        <w:rPr>
          <w:i/>
          <w:iCs/>
        </w:rPr>
        <w:br/>
      </w:r>
      <w:r>
        <w:rPr>
          <w:rStyle w:val="Hervorhebung"/>
        </w:rPr>
        <w:t>\mathbb{R}</w:t>
      </w:r>
      <w:r>
        <w:t>{&gt;0}.</w:t>
      </w:r>
      <w:r>
        <w:br/>
        <w:t>\tag{3.4202}</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\omega_{\mathrm{sp}}:\mathcal{R}_{\mathrm{sp}}\rightarrow\mathbb{R}_{&gt;0}\qquad\text{(3.4202)}</w:t>
      </w:r>
    </w:p>
    <w:p w:rsidR="00DD6AFB" w:rsidRDefault="00DD6AFB" w:rsidP="00DD6AFB">
      <w:pPr>
        <w:pStyle w:val="StandardWeb"/>
      </w:pPr>
      <w:r>
        <w:t>Dabei bezeichnet</w:t>
      </w:r>
    </w:p>
    <w:p w:rsidR="00DD6AFB" w:rsidRDefault="00DD6AFB" w:rsidP="00DD6AFB">
      <w:pPr>
        <w:pStyle w:val="StandardWeb"/>
      </w:pPr>
      <w:r>
        <w:t>[</w:t>
      </w:r>
      <w:r>
        <w:br/>
        <w:t>\omega_{\mathrm{sp}}</w:t>
      </w:r>
      <w:r>
        <w:br/>
      </w:r>
      <w:r>
        <w:lastRenderedPageBreak/>
        <w:t>\left(</w:t>
      </w:r>
      <w:r>
        <w:br/>
        <w:t>[\delta_i]</w:t>
      </w:r>
      <w:r>
        <w:rPr>
          <w:rStyle w:val="Hervorhebung"/>
        </w:rPr>
        <w:t>{!F},</w:t>
      </w:r>
      <w:r>
        <w:rPr>
          <w:i/>
          <w:iCs/>
        </w:rPr>
        <w:br/>
      </w:r>
      <w:r>
        <w:rPr>
          <w:rStyle w:val="Hervorhebung"/>
        </w:rPr>
        <w:t>[\delta_j]</w:t>
      </w:r>
      <w:r>
        <w:t>{!F}</w:t>
      </w:r>
      <w:r>
        <w:br/>
        <w:t>\right)</w:t>
      </w:r>
      <w:r>
        <w:br/>
        <w:t>\tag{3.4203}</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\omega_{\mathrm{sp}}\left([\delta_i]_{\!F},[\delta_j]_{\!F}\right)\qquad\text{(3.4203)}</w:t>
      </w:r>
    </w:p>
    <w:p w:rsidR="00DD6AFB" w:rsidRDefault="00DD6AFB" w:rsidP="00DD6AFB">
      <w:pPr>
        <w:pStyle w:val="StandardWeb"/>
      </w:pPr>
      <w:r>
        <w:t>das räumliche Gewicht der unmittelbaren Verbindung zwischen zwei Zustandsklassen.</w:t>
      </w:r>
    </w:p>
    <w:p w:rsidR="00DD6AFB" w:rsidRDefault="00DD6AFB" w:rsidP="00DD6AFB">
      <w:pPr>
        <w:pStyle w:val="StandardWeb"/>
      </w:pPr>
      <w:r>
        <w:t>Die gewichtete Länge eines Pfades lautet</w:t>
      </w:r>
    </w:p>
    <w:p w:rsidR="00DD6AFB" w:rsidRDefault="00DD6AFB" w:rsidP="00DD6AFB">
      <w:pPr>
        <w:pStyle w:val="berschrift1"/>
      </w:pPr>
      <w:r>
        <w:t>[</w:t>
      </w:r>
      <w:r>
        <w:br/>
        <w:t>L_{\omega}</w:t>
      </w:r>
      <w:r>
        <w:br/>
        <w:t>\left(</w:t>
      </w:r>
      <w:r>
        <w:br/>
        <w:t>P_{ij}</w:t>
      </w:r>
      <w:r>
        <w:br/>
        <w:t>\right)</w:t>
      </w:r>
    </w:p>
    <w:p w:rsidR="00DD6AFB" w:rsidRDefault="00DD6AFB" w:rsidP="00DD6AFB">
      <w:pPr>
        <w:pStyle w:val="StandardWeb"/>
      </w:pPr>
      <w:r>
        <w:t>\sum_{r=1}^{n}</w:t>
      </w:r>
      <w:r>
        <w:br/>
        <w:t>\omega_{\mathrm{sp}}</w:t>
      </w:r>
      <w:r>
        <w:br/>
        <w:t>\left(</w:t>
      </w:r>
      <w:r>
        <w:br/>
        <w:t>[\delta_{k_{r-1}}]</w:t>
      </w:r>
      <w:r>
        <w:rPr>
          <w:rStyle w:val="Hervorhebung"/>
        </w:rPr>
        <w:t>{!F},</w:t>
      </w:r>
      <w:r>
        <w:rPr>
          <w:i/>
          <w:iCs/>
        </w:rPr>
        <w:br/>
      </w:r>
      <w:r>
        <w:rPr>
          <w:rStyle w:val="Hervorhebung"/>
        </w:rPr>
        <w:t>[\delta</w:t>
      </w:r>
      <w:r>
        <w:t>{k_r}]_{!F}</w:t>
      </w:r>
      <w:r>
        <w:br/>
        <w:t>\right).</w:t>
      </w:r>
      <w:r>
        <w:br/>
        <w:t>\tag{3.4204}</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L_{\omega}\left(P_{ij}\right)=\sum_{r=1}^{n}\omega_{\mathrm{sp}}\left([\delta_{k_{r-1}}]_{\!F},[\delta_{k_r}]_{\!F}\right)\qquad\text{(3.4204)}</w:t>
      </w:r>
    </w:p>
    <w:p w:rsidR="00DD6AFB" w:rsidRDefault="00DD6AFB" w:rsidP="00DD6AFB">
      <w:pPr>
        <w:pStyle w:val="StandardWeb"/>
      </w:pPr>
      <w:r>
        <w:t>Die minimale gewichtete räumliche Distanz definiere ich durch</w:t>
      </w:r>
    </w:p>
    <w:p w:rsidR="00DD6AFB" w:rsidRDefault="00DD6AFB" w:rsidP="00DD6AFB">
      <w:pPr>
        <w:pStyle w:val="berschrift1"/>
      </w:pPr>
      <w:r>
        <w:t>[</w:t>
      </w:r>
      <w:r>
        <w:br/>
        <w:t>d_{\omega}</w:t>
      </w:r>
      <w:r>
        <w:br/>
        <w:t>\left(</w:t>
      </w:r>
      <w:r>
        <w:br/>
        <w:t>[\delta_i]</w:t>
      </w:r>
      <w:r>
        <w:rPr>
          <w:rStyle w:val="Hervorhebung"/>
        </w:rPr>
        <w:t>{!F},</w:t>
      </w:r>
      <w:r>
        <w:rPr>
          <w:i/>
          <w:iCs/>
        </w:rPr>
        <w:br/>
      </w:r>
      <w:r>
        <w:rPr>
          <w:rStyle w:val="Hervorhebung"/>
        </w:rPr>
        <w:lastRenderedPageBreak/>
        <w:t>[\delta_j]</w:t>
      </w:r>
      <w:r>
        <w:t>{!F}</w:t>
      </w:r>
      <w:r>
        <w:br/>
        <w:t>\right)</w:t>
      </w:r>
    </w:p>
    <w:p w:rsidR="00DD6AFB" w:rsidRDefault="00DD6AFB" w:rsidP="00DD6AFB">
      <w:pPr>
        <w:pStyle w:val="StandardWeb"/>
      </w:pPr>
      <w:r>
        <w:t>\inf</w:t>
      </w:r>
      <w:r>
        <w:br/>
        <w:t>\left{</w:t>
      </w:r>
      <w:r>
        <w:br/>
        <w:t>L_{\omega}(P_{ij})</w:t>
      </w:r>
      <w:r>
        <w:br/>
        <w:t>;\middle|;</w:t>
      </w:r>
      <w:r>
        <w:br/>
        <w:t>P_{ij}</w:t>
      </w:r>
      <w:r>
        <w:br/>
        <w:t>\text{ verbindet }</w:t>
      </w:r>
      <w:r>
        <w:br/>
        <w:t>[\delta_i]</w:t>
      </w:r>
      <w:r>
        <w:rPr>
          <w:rStyle w:val="Hervorhebung"/>
        </w:rPr>
        <w:t>{!F}</w:t>
      </w:r>
      <w:r>
        <w:rPr>
          <w:i/>
          <w:iCs/>
        </w:rPr>
        <w:br/>
      </w:r>
      <w:r>
        <w:rPr>
          <w:rStyle w:val="Hervorhebung"/>
        </w:rPr>
        <w:t>\text{ mit }</w:t>
      </w:r>
      <w:r>
        <w:rPr>
          <w:i/>
          <w:iCs/>
        </w:rPr>
        <w:br/>
      </w:r>
      <w:r>
        <w:rPr>
          <w:rStyle w:val="Hervorhebung"/>
        </w:rPr>
        <w:t>[\delta_j]</w:t>
      </w:r>
      <w:r>
        <w:t>{!F}</w:t>
      </w:r>
      <w:r>
        <w:br/>
        <w:t>\right}.</w:t>
      </w:r>
      <w:r>
        <w:br/>
        <w:t>\tag{3.4205}</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d_{\omega}\left([\delta_i]_{\!F},[\delta_j]_{\!F}\right)=\inf\left\{L_{\omega}(P_{ij})\middle|P_{ij}\text{ verbindet }[\delta_i]_{\!F}\text{ mit }[\delta_j]_{\!F}\right\}\qquad\text{(3.4205)}</w:t>
      </w:r>
    </w:p>
    <w:p w:rsidR="00DD6AFB" w:rsidRDefault="00DD6AFB" w:rsidP="00DD6AFB">
      <w:pPr>
        <w:pStyle w:val="StandardWeb"/>
      </w:pPr>
      <w:r>
        <w:t>Die Wahl der Gewichtsfunktion (\omega_{\mathrm{sp}}) gehört zur Modellbildung. Sie kann nicht allein aus der Existenz funktionaler Relationen abgeleitet werden [58, 75].</w:t>
      </w:r>
    </w:p>
    <w:p w:rsidR="00DD6AFB" w:rsidRPr="00AF32B2" w:rsidRDefault="00DD6AFB" w:rsidP="00AF32B2">
      <w:pPr>
        <w:pStyle w:val="berschrift4"/>
      </w:pPr>
      <w:r w:rsidRPr="00AF32B2">
        <w:t>3.3.16.8 Metrische Bedingungen</w:t>
      </w:r>
    </w:p>
    <w:p w:rsidR="00DD6AFB" w:rsidRDefault="00DD6AFB" w:rsidP="00DD6AFB">
      <w:pPr>
        <w:pStyle w:val="StandardWeb"/>
      </w:pPr>
      <w:r>
        <w:t>Eine Funktion</w:t>
      </w:r>
    </w:p>
    <w:p w:rsidR="00DD6AFB" w:rsidRDefault="00DD6AFB" w:rsidP="00DD6AFB">
      <w:pPr>
        <w:pStyle w:val="StandardWeb"/>
      </w:pPr>
      <w:r>
        <w:t>[</w:t>
      </w:r>
      <w:r>
        <w:br/>
        <w:t>d:</w:t>
      </w:r>
      <w:r>
        <w:br/>
        <w:t>\mathcal{Q}</w:t>
      </w:r>
      <w:r>
        <w:rPr>
          <w:rStyle w:val="Hervorhebung"/>
        </w:rPr>
        <w:t>{F}\times\mathcal{Q}</w:t>
      </w:r>
      <w:r>
        <w:t>{F}</w:t>
      </w:r>
      <w:r>
        <w:br/>
        <w:t>\rightarrow</w:t>
      </w:r>
      <w:r>
        <w:br/>
        <w:t>\mathbb{R}_{\geq 0}</w:t>
      </w:r>
      <w:r>
        <w:br/>
        <w:t>\tag{3.4206}</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d:\mathcal{Q}_{F}\times\mathcal{Q}_{F}\rightarrow\mathbb{R}_{\geq0}\qquad\text{(3.4206)}</w:t>
      </w:r>
    </w:p>
    <w:p w:rsidR="00DD6AFB" w:rsidRDefault="00DD6AFB" w:rsidP="00DD6AFB">
      <w:pPr>
        <w:pStyle w:val="StandardWeb"/>
      </w:pPr>
      <w:r>
        <w:t>ist eine Metrik, wenn für alle (x,y,z\in\mathcal{Q}_{F}) die folgenden Bedingungen erfüllt sind [6, 75]:</w:t>
      </w:r>
    </w:p>
    <w:p w:rsidR="00DD6AFB" w:rsidRDefault="00DD6AFB" w:rsidP="00DD6AFB">
      <w:pPr>
        <w:pStyle w:val="StandardWeb"/>
      </w:pPr>
      <w:r>
        <w:t>[</w:t>
      </w:r>
      <w:r>
        <w:br/>
        <w:t>d(x,y)</w:t>
      </w:r>
      <w:r>
        <w:br/>
        <w:t>\geq</w:t>
      </w:r>
      <w:r>
        <w:br/>
        <w:t>0.</w:t>
      </w:r>
      <w:r>
        <w:br/>
      </w:r>
      <w:r>
        <w:lastRenderedPageBreak/>
        <w:t>\tag{3.4207}</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d(x,y)\geq0\qquad\text{(3.4207)}</w:t>
      </w:r>
    </w:p>
    <w:p w:rsidR="00DD6AFB" w:rsidRDefault="00DD6AFB" w:rsidP="00DD6AFB">
      <w:pPr>
        <w:pStyle w:val="berschrift1"/>
      </w:pPr>
      <w:r>
        <w:t>[</w:t>
      </w:r>
      <w:r>
        <w:br/>
        <w:t>d(x,y)</w:t>
      </w:r>
    </w:p>
    <w:p w:rsidR="00DD6AFB" w:rsidRDefault="00DD6AFB" w:rsidP="00DD6AFB">
      <w:pPr>
        <w:pStyle w:val="StandardWeb"/>
      </w:pPr>
      <w:r>
        <w:t>0</w:t>
      </w:r>
      <w:r>
        <w:br/>
        <w:t>\iff</w:t>
      </w:r>
      <w:r>
        <w:br/>
        <w:t>x=y.</w:t>
      </w:r>
      <w:r>
        <w:br/>
        <w:t>\tag{3.4208}</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d(x,y)=0\iff x=y\qquad\text{(3.4208)}</w:t>
      </w:r>
    </w:p>
    <w:p w:rsidR="00DD6AFB" w:rsidRDefault="00DD6AFB" w:rsidP="00DD6AFB">
      <w:pPr>
        <w:pStyle w:val="berschrift1"/>
      </w:pPr>
      <w:r>
        <w:t>[</w:t>
      </w:r>
      <w:r>
        <w:br/>
        <w:t>d(x,y)</w:t>
      </w:r>
    </w:p>
    <w:p w:rsidR="00DD6AFB" w:rsidRDefault="00DD6AFB" w:rsidP="00DD6AFB">
      <w:pPr>
        <w:pStyle w:val="StandardWeb"/>
      </w:pPr>
      <w:r>
        <w:t>d(y,x).</w:t>
      </w:r>
      <w:r>
        <w:br/>
        <w:t>\tag{3.4209}</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d(x,y)=d(y,x)\qquad\text{(3.4209)}</w:t>
      </w:r>
    </w:p>
    <w:p w:rsidR="00DD6AFB" w:rsidRDefault="00DD6AFB" w:rsidP="00DD6AFB">
      <w:pPr>
        <w:pStyle w:val="StandardWeb"/>
      </w:pPr>
      <w:r>
        <w:t>[</w:t>
      </w:r>
      <w:r>
        <w:br/>
        <w:t>d(x,z)</w:t>
      </w:r>
      <w:r>
        <w:br/>
        <w:t>\leq</w:t>
      </w:r>
      <w:r>
        <w:br/>
        <w:t>d(x,y)</w:t>
      </w:r>
      <w:r>
        <w:br/>
        <w:t>+</w:t>
      </w:r>
      <w:r>
        <w:br/>
        <w:t>d(y,z).</w:t>
      </w:r>
      <w:r>
        <w:br/>
        <w:t>\tag{3.4210}</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d(x,z)\leq d(x,y)+d(y,z)\qquad\text{(3.4210)}</w:t>
      </w:r>
    </w:p>
    <w:p w:rsidR="00DD6AFB" w:rsidRDefault="00DD6AFB" w:rsidP="00DD6AFB">
      <w:pPr>
        <w:pStyle w:val="StandardWeb"/>
      </w:pPr>
      <w:r>
        <w:t>Die ungewichtete Graphdistanz erfüllt diese Bedingungen, sofern die räumliche Nachbarschaft symmetrisch ist und nur innerhalb derselben Zusammenhangskomponente betrachtet wird. Bei gerichteten oder asymmetrisch gewichteten Relationen kann dagegen lediglich eine Quasimetrik oder gerichtete Distanz vorliegen.</w:t>
      </w:r>
    </w:p>
    <w:p w:rsidR="00DD6AFB" w:rsidRDefault="00DD6AFB" w:rsidP="00DD6AFB">
      <w:pPr>
        <w:pStyle w:val="StandardWeb"/>
      </w:pPr>
      <w:r>
        <w:rPr>
          <w:rStyle w:val="Fett"/>
        </w:rPr>
        <w:t>Eigenleistung des FRZK</w:t>
      </w:r>
    </w:p>
    <w:p w:rsidR="00DD6AFB" w:rsidRDefault="00DD6AFB" w:rsidP="00DD6AFB">
      <w:pPr>
        <w:pStyle w:val="StandardWeb"/>
      </w:pPr>
      <w:r>
        <w:lastRenderedPageBreak/>
        <w:t>Ich setze nicht voraus, dass jede funktionale Raumstruktur metrisch ist. Nachbarschaft und Topologie können bereits ohne Metrik definiert werden. Eine Metrik entsteht nur, wenn die zusätzlichen metrischen Bedingungen erfüllt sind.</w:t>
      </w:r>
    </w:p>
    <w:p w:rsidR="00DD6AFB" w:rsidRPr="00AF32B2" w:rsidRDefault="00DD6AFB" w:rsidP="00AF32B2">
      <w:pPr>
        <w:pStyle w:val="berschrift4"/>
      </w:pPr>
      <w:r w:rsidRPr="00AF32B2">
        <w:t>3.3.16.9 Offene räumliche Kugeln</w:t>
      </w:r>
    </w:p>
    <w:p w:rsidR="00DD6AFB" w:rsidRDefault="00DD6AFB" w:rsidP="00DD6AFB">
      <w:pPr>
        <w:pStyle w:val="StandardWeb"/>
      </w:pPr>
      <w:r>
        <w:t>Ist eine funktionale räumliche Metrik (d_{\mathrm{sp}}) gegeben, kann für eine Zustandsklasse (x\in\mathcal{Q}_{F}) und einen Radius (r&gt;0) eine offene Kugel definiert werden:</w:t>
      </w:r>
    </w:p>
    <w:p w:rsidR="00DD6AFB" w:rsidRDefault="00DD6AFB" w:rsidP="00DD6AFB">
      <w:pPr>
        <w:pStyle w:val="berschrift1"/>
      </w:pPr>
      <w:r>
        <w:t>[</w:t>
      </w:r>
      <w:r>
        <w:br/>
        <w:t>B_r(x)</w:t>
      </w:r>
    </w:p>
    <w:p w:rsidR="00DD6AFB" w:rsidRDefault="00DD6AFB" w:rsidP="00DD6AFB">
      <w:pPr>
        <w:pStyle w:val="StandardWeb"/>
      </w:pPr>
      <w:r>
        <w:t>\left{</w:t>
      </w:r>
      <w:r>
        <w:br/>
        <w:t>y\in\mathcal{Q}</w:t>
      </w:r>
      <w:r>
        <w:rPr>
          <w:rStyle w:val="Hervorhebung"/>
        </w:rPr>
        <w:t>{F}</w:t>
      </w:r>
      <w:r>
        <w:rPr>
          <w:i/>
          <w:iCs/>
        </w:rPr>
        <w:br/>
      </w:r>
      <w:r>
        <w:rPr>
          <w:rStyle w:val="Hervorhebung"/>
        </w:rPr>
        <w:t>;\middle|;</w:t>
      </w:r>
      <w:r>
        <w:rPr>
          <w:i/>
          <w:iCs/>
        </w:rPr>
        <w:br/>
      </w:r>
      <w:r>
        <w:rPr>
          <w:rStyle w:val="Hervorhebung"/>
        </w:rPr>
        <w:t>d</w:t>
      </w:r>
      <w:r>
        <w:t>{\mathrm{sp}}(x,y)&lt;r</w:t>
      </w:r>
      <w:r>
        <w:br/>
        <w:t>\right}.</w:t>
      </w:r>
      <w:r>
        <w:br/>
        <w:t>\tag{3.4211}</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B_r(x)=\left\{y\in\mathcal{Q}_{F}\middle|d_{\mathrm{sp}}(x,y)&lt;r\right\}\qquad\text{(3.4211)}</w:t>
      </w:r>
    </w:p>
    <w:p w:rsidR="00DD6AFB" w:rsidRDefault="00DD6AFB" w:rsidP="00DD6AFB">
      <w:pPr>
        <w:pStyle w:val="StandardWeb"/>
      </w:pPr>
      <w:r>
        <w:t>Dabei bezeichnet (B_r(x)) die Menge aller funktionalen Zustandsklassen mit räumlicher Distanz kleiner als (r) zu (x).</w:t>
      </w:r>
    </w:p>
    <w:p w:rsidR="00DD6AFB" w:rsidRDefault="00DD6AFB" w:rsidP="00DD6AFB">
      <w:pPr>
        <w:pStyle w:val="StandardWeb"/>
      </w:pPr>
      <w:r>
        <w:t>Die geschlossene Kugel lautet entsprechend</w:t>
      </w:r>
    </w:p>
    <w:p w:rsidR="00DD6AFB" w:rsidRDefault="00DD6AFB" w:rsidP="00DD6AFB">
      <w:pPr>
        <w:pStyle w:val="berschrift1"/>
      </w:pPr>
      <w:r>
        <w:t>[</w:t>
      </w:r>
      <w:r>
        <w:br/>
        <w:t>\overline{B}_r(x)</w:t>
      </w:r>
    </w:p>
    <w:p w:rsidR="00DD6AFB" w:rsidRDefault="00DD6AFB" w:rsidP="00DD6AFB">
      <w:pPr>
        <w:pStyle w:val="StandardWeb"/>
      </w:pPr>
      <w:r>
        <w:t>\left{</w:t>
      </w:r>
      <w:r>
        <w:br/>
        <w:t>y\in\mathcal{Q}</w:t>
      </w:r>
      <w:r>
        <w:rPr>
          <w:rStyle w:val="Hervorhebung"/>
        </w:rPr>
        <w:t>{F}</w:t>
      </w:r>
      <w:r>
        <w:rPr>
          <w:i/>
          <w:iCs/>
        </w:rPr>
        <w:br/>
      </w:r>
      <w:r>
        <w:rPr>
          <w:rStyle w:val="Hervorhebung"/>
        </w:rPr>
        <w:t>;\middle|;</w:t>
      </w:r>
      <w:r>
        <w:rPr>
          <w:i/>
          <w:iCs/>
        </w:rPr>
        <w:br/>
      </w:r>
      <w:r>
        <w:rPr>
          <w:rStyle w:val="Hervorhebung"/>
        </w:rPr>
        <w:t>d</w:t>
      </w:r>
      <w:r>
        <w:t>{\mathrm{sp}}(x,y)\leq r</w:t>
      </w:r>
      <w:r>
        <w:br/>
        <w:t>\right}.</w:t>
      </w:r>
      <w:r>
        <w:br/>
        <w:t>\tag{3.4212}</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\overline{B}_r(x)=\left\{y\in\mathcal{Q}_{F}\middle|d_{\mathrm{sp}}(x,y)\leq r\right\}\qquad\text{(3.4212)}</w:t>
      </w:r>
    </w:p>
    <w:p w:rsidR="00DD6AFB" w:rsidRDefault="00DD6AFB" w:rsidP="00DD6AFB">
      <w:pPr>
        <w:pStyle w:val="StandardWeb"/>
      </w:pPr>
      <w:r>
        <w:t>Diese Kugeln sind abstrakte räumliche Umgebungen. Sie setzen keine euklidische Geometrie voraus [6, 75].</w:t>
      </w:r>
    </w:p>
    <w:p w:rsidR="00DD6AFB" w:rsidRPr="00AF32B2" w:rsidRDefault="00DD6AFB" w:rsidP="00AF32B2">
      <w:pPr>
        <w:pStyle w:val="berschrift4"/>
      </w:pPr>
      <w:r w:rsidRPr="00AF32B2">
        <w:lastRenderedPageBreak/>
        <w:t>3.3.16.10 Funktionale Topologie</w:t>
      </w:r>
    </w:p>
    <w:p w:rsidR="00DD6AFB" w:rsidRDefault="00DD6AFB" w:rsidP="00DD6AFB">
      <w:pPr>
        <w:pStyle w:val="StandardWeb"/>
      </w:pPr>
      <w:r>
        <w:t>Eine Topologie auf (\mathcal{Q}</w:t>
      </w:r>
      <w:r>
        <w:rPr>
          <w:rStyle w:val="Hervorhebung"/>
        </w:rPr>
        <w:t>{F}) ist eine Menge (\tau</w:t>
      </w:r>
      <w:r>
        <w:t>{\mathrm{sp}}) von Teilmengen von (\mathcal{Q}_{F}) mit den üblichen topologischen Abschlussbedingungen [6]:</w:t>
      </w:r>
    </w:p>
    <w:p w:rsidR="00DD6AFB" w:rsidRDefault="00DD6AFB" w:rsidP="00DD6AFB">
      <w:pPr>
        <w:pStyle w:val="StandardWeb"/>
      </w:pPr>
      <w:r>
        <w:t>[</w:t>
      </w:r>
      <w:r>
        <w:br/>
        <w:t>\emptyset</w:t>
      </w:r>
      <w:r>
        <w:br/>
        <w:t>\in</w:t>
      </w:r>
      <w:r>
        <w:br/>
        <w:t>\tau_{\mathrm{sp}}</w:t>
      </w:r>
      <w:r>
        <w:br/>
        <w:t>\quad\land\quad</w:t>
      </w:r>
      <w:r>
        <w:br/>
        <w:t>\mathcal{Q}</w:t>
      </w:r>
      <w:r>
        <w:rPr>
          <w:rStyle w:val="Hervorhebung"/>
        </w:rPr>
        <w:t>{F}</w:t>
      </w:r>
      <w:r>
        <w:rPr>
          <w:i/>
          <w:iCs/>
        </w:rPr>
        <w:br/>
      </w:r>
      <w:r>
        <w:rPr>
          <w:rStyle w:val="Hervorhebung"/>
        </w:rPr>
        <w:t>\in</w:t>
      </w:r>
      <w:r>
        <w:rPr>
          <w:i/>
          <w:iCs/>
        </w:rPr>
        <w:br/>
      </w:r>
      <w:r>
        <w:rPr>
          <w:rStyle w:val="Hervorhebung"/>
        </w:rPr>
        <w:t>\tau</w:t>
      </w:r>
      <w:r>
        <w:t>{\mathrm{sp}}.</w:t>
      </w:r>
      <w:r>
        <w:br/>
        <w:t>\tag{3.4213}</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\emptyset\in\tau_{\mathrm{sp}}\land\mathcal{Q}_{F}\in\tau_{\mathrm{sp}}\qquad\text{(3.4213)}</w:t>
      </w:r>
    </w:p>
    <w:p w:rsidR="00DD6AFB" w:rsidRDefault="00DD6AFB" w:rsidP="00DD6AFB">
      <w:pPr>
        <w:pStyle w:val="StandardWeb"/>
      </w:pPr>
      <w:r>
        <w:t>Für jede Familie ({U_\alpha}</w:t>
      </w:r>
      <w:r>
        <w:rPr>
          <w:rStyle w:val="Hervorhebung"/>
        </w:rPr>
        <w:t>{\alpha\in A}\subseteq\tau</w:t>
      </w:r>
      <w:r>
        <w:t>{\mathrm{sp}}) gilt</w:t>
      </w:r>
    </w:p>
    <w:p w:rsidR="00DD6AFB" w:rsidRDefault="00DD6AFB" w:rsidP="00DD6AFB">
      <w:pPr>
        <w:pStyle w:val="StandardWeb"/>
      </w:pPr>
      <w:r>
        <w:t>[</w:t>
      </w:r>
      <w:r>
        <w:br/>
        <w:t>\bigcup_{\alpha\in A}</w:t>
      </w:r>
      <w:r>
        <w:br/>
        <w:t>U_\alpha</w:t>
      </w:r>
      <w:r>
        <w:br/>
        <w:t>\in</w:t>
      </w:r>
      <w:r>
        <w:br/>
        <w:t>\tau_{\mathrm{sp}}.</w:t>
      </w:r>
      <w:r>
        <w:br/>
        <w:t>\tag{3.4214}</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\bigcup_{\alpha\in A}U_\alpha\in\tau_{\mathrm{sp}}\qquad\text{(3.4214)}</w:t>
      </w:r>
    </w:p>
    <w:p w:rsidR="00DD6AFB" w:rsidRDefault="00DD6AFB" w:rsidP="00DD6AFB">
      <w:pPr>
        <w:pStyle w:val="StandardWeb"/>
      </w:pPr>
      <w:r>
        <w:t>Für endlich viele Mengen (U_1,\ldots,U_n\in\tau_{\mathrm{sp}}) gilt</w:t>
      </w:r>
    </w:p>
    <w:p w:rsidR="00DD6AFB" w:rsidRDefault="00DD6AFB" w:rsidP="00DD6AFB">
      <w:pPr>
        <w:pStyle w:val="StandardWeb"/>
      </w:pPr>
      <w:r>
        <w:t>[</w:t>
      </w:r>
      <w:r>
        <w:br/>
        <w:t>\bigcap_{k=1}^{n}</w:t>
      </w:r>
      <w:r>
        <w:br/>
        <w:t>U_k</w:t>
      </w:r>
      <w:r>
        <w:br/>
        <w:t>\in</w:t>
      </w:r>
      <w:r>
        <w:br/>
        <w:t>\tau_{\mathrm{sp}}.</w:t>
      </w:r>
      <w:r>
        <w:br/>
        <w:t>\tag{3.4215}</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\bigcap_{k=1}^{n}U_k\in\tau_{\mathrm{sp}}\qquad\text{(3.4215)}</w:t>
      </w:r>
    </w:p>
    <w:p w:rsidR="00DD6AFB" w:rsidRDefault="00DD6AFB" w:rsidP="00DD6AFB">
      <w:pPr>
        <w:pStyle w:val="StandardWeb"/>
      </w:pPr>
      <w:r>
        <w:t>Die Mengen aus (\tau_{\mathrm{sp}}) werden als funktional offene räumliche Mengen bezeichnet.</w:t>
      </w:r>
    </w:p>
    <w:p w:rsidR="00DD6AFB" w:rsidRDefault="00DD6AFB" w:rsidP="00DD6AFB">
      <w:pPr>
        <w:pStyle w:val="StandardWeb"/>
      </w:pPr>
      <w:r>
        <w:lastRenderedPageBreak/>
        <w:t>Ist eine Metrik vorhanden, kann die durch offene Kugeln erzeugte Topologie verwendet werden. Eine funktionale Topologie kann jedoch auch direkt aus Nachbarschaftsrelationen konstruiert werden.</w:t>
      </w:r>
    </w:p>
    <w:p w:rsidR="00DD6AFB" w:rsidRPr="00AF32B2" w:rsidRDefault="00DD6AFB" w:rsidP="00AF32B2">
      <w:pPr>
        <w:pStyle w:val="berschrift4"/>
      </w:pPr>
      <w:r w:rsidRPr="00AF32B2">
        <w:t>3.3.16.11 Definition der funktionalen Raumstruktur</w:t>
      </w:r>
    </w:p>
    <w:p w:rsidR="00DD6AFB" w:rsidRDefault="00DD6AFB" w:rsidP="00DD6AFB">
      <w:pPr>
        <w:pStyle w:val="StandardWeb"/>
      </w:pPr>
      <w:r>
        <w:rPr>
          <w:rStyle w:val="Fett"/>
        </w:rPr>
        <w:t>Definition 3.3.9 – Funktionale Raumstruktur</w:t>
      </w:r>
    </w:p>
    <w:p w:rsidR="00DD6AFB" w:rsidRDefault="00DD6AFB" w:rsidP="00DD6AFB">
      <w:pPr>
        <w:pStyle w:val="StandardWeb"/>
      </w:pPr>
      <w:r>
        <w:t>Eine funktionale Raumstruktur ist eine Struktur</w:t>
      </w:r>
    </w:p>
    <w:p w:rsidR="00DD6AFB" w:rsidRDefault="00DD6AFB" w:rsidP="00DD6AFB">
      <w:pPr>
        <w:pStyle w:val="berschrift1"/>
      </w:pPr>
      <w:r>
        <w:t>[</w:t>
      </w:r>
      <w:r>
        <w:br/>
        <w:t>\mathfrak{X}_{F}</w:t>
      </w:r>
    </w:p>
    <w:p w:rsidR="00DD6AFB" w:rsidRDefault="00DD6AFB" w:rsidP="00DD6AFB">
      <w:pPr>
        <w:pStyle w:val="StandardWeb"/>
      </w:pPr>
      <w:r>
        <w:t>\left(</w:t>
      </w:r>
      <w:r>
        <w:br/>
        <w:t>\mathcal{Q}</w:t>
      </w:r>
      <w:r>
        <w:rPr>
          <w:rStyle w:val="Hervorhebung"/>
        </w:rPr>
        <w:t>{F},</w:t>
      </w:r>
      <w:r>
        <w:rPr>
          <w:i/>
          <w:iCs/>
        </w:rPr>
        <w:br/>
      </w:r>
      <w:r>
        <w:rPr>
          <w:rStyle w:val="Hervorhebung"/>
        </w:rPr>
        <w:t>\mathcal{R}</w:t>
      </w:r>
      <w:r>
        <w:t>{\mathrm{sp}},</w:t>
      </w:r>
      <w:r>
        <w:br/>
        <w:t>\tau_{\mathrm{sp}},</w:t>
      </w:r>
      <w:r>
        <w:br/>
        <w:t>d_{\mathrm{sp}}</w:t>
      </w:r>
      <w:r>
        <w:br/>
        <w:t>\right),</w:t>
      </w:r>
      <w:r>
        <w:br/>
        <w:t>\tag{3.4216}</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\mathfrak{X}_{F}=\left(\mathcal{Q}_{F},\mathcal{R}_{\mathrm{sp}},\tau_{\mathrm{sp}},d_{\mathrm{sp}}\right)\qquad\text{(3.4216)}</w:t>
      </w:r>
    </w:p>
    <w:p w:rsidR="00DD6AFB" w:rsidRDefault="00DD6AFB" w:rsidP="00DD6AFB">
      <w:pPr>
        <w:pStyle w:val="StandardWeb"/>
      </w:pPr>
      <w:r>
        <w:t>bei der:</w:t>
      </w:r>
    </w:p>
    <w:p w:rsidR="00DD6AFB" w:rsidRDefault="00DD6AFB" w:rsidP="00632D23">
      <w:pPr>
        <w:pStyle w:val="StandardWeb"/>
        <w:numPr>
          <w:ilvl w:val="0"/>
          <w:numId w:val="65"/>
        </w:numPr>
      </w:pPr>
      <w:r>
        <w:t>(\mathcal{Q}_{F}) eine Menge funktionaler Zustandsklassen bezeichnet,</w:t>
      </w:r>
    </w:p>
    <w:p w:rsidR="00DD6AFB" w:rsidRDefault="00DD6AFB" w:rsidP="00632D23">
      <w:pPr>
        <w:pStyle w:val="StandardWeb"/>
        <w:numPr>
          <w:ilvl w:val="0"/>
          <w:numId w:val="65"/>
        </w:numPr>
      </w:pPr>
      <w:r>
        <w:t>(\mathcal{R}_{\mathrm{sp}}) eine räumlich interpretierte Nachbarschaftsrelation ist,</w:t>
      </w:r>
    </w:p>
    <w:p w:rsidR="00DD6AFB" w:rsidRDefault="00DD6AFB" w:rsidP="00632D23">
      <w:pPr>
        <w:pStyle w:val="StandardWeb"/>
        <w:numPr>
          <w:ilvl w:val="0"/>
          <w:numId w:val="65"/>
        </w:numPr>
      </w:pPr>
      <w:r>
        <w:t>(\tau_{\mathrm{sp}}) eine daraus abgeleitete oder zusätzlich definierte Topologie bezeichnet,</w:t>
      </w:r>
    </w:p>
    <w:p w:rsidR="00DD6AFB" w:rsidRDefault="00DD6AFB" w:rsidP="00632D23">
      <w:pPr>
        <w:pStyle w:val="StandardWeb"/>
        <w:numPr>
          <w:ilvl w:val="0"/>
          <w:numId w:val="65"/>
        </w:numPr>
      </w:pPr>
      <w:r>
        <w:t>(d_{\mathrm{sp}}) optional eine mit der Nachbarschaft und Topologie verträgliche räumliche Distanz darstellt.</w:t>
      </w:r>
    </w:p>
    <w:p w:rsidR="00DD6AFB" w:rsidRDefault="00DD6AFB" w:rsidP="00DD6AFB">
      <w:pPr>
        <w:pStyle w:val="StandardWeb"/>
      </w:pPr>
      <w:r>
        <w:t>Die minimale funktionale Raumstruktur kann bereits durch</w:t>
      </w:r>
    </w:p>
    <w:p w:rsidR="00DD6AFB" w:rsidRDefault="00DD6AFB" w:rsidP="00DD6AFB">
      <w:pPr>
        <w:pStyle w:val="berschrift1"/>
      </w:pPr>
      <w:r>
        <w:t>[</w:t>
      </w:r>
      <w:r>
        <w:br/>
        <w:t>\mathfrak{X}_{F}^{\min}</w:t>
      </w:r>
    </w:p>
    <w:p w:rsidR="00DD6AFB" w:rsidRDefault="00DD6AFB" w:rsidP="00DD6AFB">
      <w:pPr>
        <w:pStyle w:val="StandardWeb"/>
      </w:pPr>
      <w:r>
        <w:t>\left(</w:t>
      </w:r>
      <w:r>
        <w:br/>
        <w:t>\mathcal{Q}</w:t>
      </w:r>
      <w:r>
        <w:rPr>
          <w:rStyle w:val="Hervorhebung"/>
        </w:rPr>
        <w:t>{F},</w:t>
      </w:r>
      <w:r>
        <w:rPr>
          <w:i/>
          <w:iCs/>
        </w:rPr>
        <w:br/>
      </w:r>
      <w:r>
        <w:rPr>
          <w:rStyle w:val="Hervorhebung"/>
        </w:rPr>
        <w:t>\mathcal{R}</w:t>
      </w:r>
      <w:r>
        <w:t>{\mathrm{sp}}</w:t>
      </w:r>
      <w:r>
        <w:br/>
        <w:t>\right)</w:t>
      </w:r>
      <w:r>
        <w:br/>
        <w:t>\tag{3.4217}</w:t>
      </w:r>
      <w:r>
        <w:br/>
        <w:t>]</w:t>
      </w:r>
    </w:p>
    <w:p w:rsidR="00DD6AFB" w:rsidRDefault="00DD6AFB" w:rsidP="00DD6AFB">
      <w:pPr>
        <w:pStyle w:val="StandardWeb"/>
      </w:pPr>
      <w:r>
        <w:rPr>
          <w:rStyle w:val="Fett"/>
        </w:rPr>
        <w:lastRenderedPageBreak/>
        <w:t>Word-LaTeX</w:t>
      </w:r>
    </w:p>
    <w:p w:rsidR="00DD6AFB" w:rsidRDefault="00DD6AFB" w:rsidP="00DD6AFB">
      <w:pPr>
        <w:pStyle w:val="HTMLVorformatiert"/>
        <w:rPr>
          <w:rStyle w:val="HTMLCode"/>
        </w:rPr>
      </w:pPr>
      <w:r>
        <w:rPr>
          <w:rStyle w:val="HTMLCode"/>
        </w:rPr>
        <w:t>\mathfrak{X}_{F}^{\min}=\left(\mathcal{Q}_{F},\mathcal{R}_{\mathrm{sp}}\right)\qquad\text{(3.4217)}</w:t>
      </w:r>
    </w:p>
    <w:p w:rsidR="00DD6AFB" w:rsidRDefault="00DD6AFB" w:rsidP="00DD6AFB">
      <w:pPr>
        <w:pStyle w:val="StandardWeb"/>
      </w:pPr>
      <w:r>
        <w:t>gegeben sein.</w:t>
      </w:r>
    </w:p>
    <w:p w:rsidR="00DD6AFB" w:rsidRDefault="00DD6AFB" w:rsidP="00DD6AFB">
      <w:pPr>
        <w:pStyle w:val="StandardWeb"/>
      </w:pPr>
      <w:r>
        <w:t>Eine metrische funktionale Raumstruktur lautet</w:t>
      </w:r>
    </w:p>
    <w:p w:rsidR="00DD6AFB" w:rsidRDefault="00DD6AFB" w:rsidP="00DD6AFB">
      <w:pPr>
        <w:pStyle w:val="berschrift1"/>
      </w:pPr>
      <w:r>
        <w:t>[</w:t>
      </w:r>
      <w:r>
        <w:br/>
        <w:t>\mathfrak{X}_{F}^{\mathrm{met}}</w:t>
      </w:r>
    </w:p>
    <w:p w:rsidR="00DD6AFB" w:rsidRDefault="00DD6AFB" w:rsidP="00DD6AFB">
      <w:pPr>
        <w:pStyle w:val="StandardWeb"/>
      </w:pPr>
      <w:r>
        <w:t>\left(</w:t>
      </w:r>
      <w:r>
        <w:br/>
        <w:t>\mathcal{Q}</w:t>
      </w:r>
      <w:r>
        <w:rPr>
          <w:rStyle w:val="Hervorhebung"/>
        </w:rPr>
        <w:t>{F},</w:t>
      </w:r>
      <w:r>
        <w:rPr>
          <w:i/>
          <w:iCs/>
        </w:rPr>
        <w:br/>
      </w:r>
      <w:r>
        <w:rPr>
          <w:rStyle w:val="Hervorhebung"/>
        </w:rPr>
        <w:t>d</w:t>
      </w:r>
      <w:r>
        <w:t>{\mathrm{sp}}</w:t>
      </w:r>
      <w:r>
        <w:br/>
        <w:t>\right).</w:t>
      </w:r>
      <w:r>
        <w:br/>
        <w:t>\tag{3.4218}</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\mathfrak{X}_{F}^{\mathrm{met}}=\left(\mathcal{Q}_{F},d_{\mathrm{sp}}\right)\qquad\text{(3.4218)}</w:t>
      </w:r>
    </w:p>
    <w:p w:rsidR="00DD6AFB" w:rsidRDefault="00DD6AFB" w:rsidP="00DD6AFB">
      <w:pPr>
        <w:pStyle w:val="StandardWeb"/>
      </w:pPr>
      <w:r>
        <w:t>Definition 3.3.9 ist kein zusätzliches Primäraxiom. Sie legt fest, unter welchen Bedingungen eine funktionale Relations- oder Distanzstruktur als funktionaler Raum bezeichnet werden darf [79].</w:t>
      </w:r>
    </w:p>
    <w:p w:rsidR="00DD6AFB" w:rsidRPr="00AF32B2" w:rsidRDefault="00DD6AFB" w:rsidP="00AF32B2">
      <w:pPr>
        <w:pStyle w:val="berschrift4"/>
      </w:pPr>
      <w:r w:rsidRPr="00AF32B2">
        <w:t>3.3.16.12 Räumlicher Zusammenhang</w:t>
      </w:r>
    </w:p>
    <w:p w:rsidR="00DD6AFB" w:rsidRDefault="00DD6AFB" w:rsidP="00DD6AFB">
      <w:pPr>
        <w:pStyle w:val="StandardWeb"/>
      </w:pPr>
      <w:r>
        <w:t>Zwei Zustandsklassen liegen in derselben räumlichen Zusammenhangskomponente, wenn zwischen ihnen ein räumlicher Pfad existiert.</w:t>
      </w:r>
    </w:p>
    <w:p w:rsidR="00DD6AFB" w:rsidRDefault="00DD6AFB" w:rsidP="00DD6AFB">
      <w:pPr>
        <w:pStyle w:val="StandardWeb"/>
      </w:pPr>
      <w:r>
        <w:t>Ich definiere</w:t>
      </w:r>
    </w:p>
    <w:p w:rsidR="00DD6AFB" w:rsidRDefault="00DD6AFB" w:rsidP="00DD6AFB">
      <w:pPr>
        <w:pStyle w:val="StandardWeb"/>
      </w:pPr>
      <w:r>
        <w:t>[</w:t>
      </w:r>
      <w:r>
        <w:br/>
        <w:t>x</w:t>
      </w:r>
      <w:r>
        <w:br/>
        <w:t>\sim_{\mathrm{sp}}</w:t>
      </w:r>
      <w:r>
        <w:br/>
        <w:t>y</w:t>
      </w:r>
      <w:r>
        <w:br/>
        <w:t>\tag{3.4219}</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x\sim_{\mathrm{sp}}y\qquad\text{(3.4219)}</w:t>
      </w:r>
    </w:p>
    <w:p w:rsidR="00DD6AFB" w:rsidRDefault="00DD6AFB" w:rsidP="00DD6AFB">
      <w:pPr>
        <w:pStyle w:val="StandardWeb"/>
      </w:pPr>
      <w:r>
        <w:t>genau dann, wenn ein räumlicher Pfad von (x) nach (y) und bei ungerichteter Nachbarschaft auch von (y) nach (x) existiert.</w:t>
      </w:r>
    </w:p>
    <w:p w:rsidR="00DD6AFB" w:rsidRDefault="00DD6AFB" w:rsidP="00DD6AFB">
      <w:pPr>
        <w:pStyle w:val="StandardWeb"/>
      </w:pPr>
      <w:r>
        <w:t>Die räumliche Zusammenhangskomponente von (x) lautet</w:t>
      </w:r>
    </w:p>
    <w:p w:rsidR="00DD6AFB" w:rsidRDefault="00DD6AFB" w:rsidP="00DD6AFB">
      <w:pPr>
        <w:pStyle w:val="berschrift1"/>
      </w:pPr>
      <w:r>
        <w:lastRenderedPageBreak/>
        <w:t>[</w:t>
      </w:r>
      <w:r>
        <w:br/>
        <w:t>\operatorname{Comp}_{\mathrm{sp}}(x)</w:t>
      </w:r>
    </w:p>
    <w:p w:rsidR="00DD6AFB" w:rsidRDefault="00DD6AFB" w:rsidP="00DD6AFB">
      <w:pPr>
        <w:pStyle w:val="StandardWeb"/>
      </w:pPr>
      <w:r>
        <w:t>\left{</w:t>
      </w:r>
      <w:r>
        <w:br/>
        <w:t>y\in\mathcal{Q}</w:t>
      </w:r>
      <w:r>
        <w:rPr>
          <w:rStyle w:val="Hervorhebung"/>
        </w:rPr>
        <w:t>{F}</w:t>
      </w:r>
      <w:r>
        <w:rPr>
          <w:i/>
          <w:iCs/>
        </w:rPr>
        <w:br/>
      </w:r>
      <w:r>
        <w:rPr>
          <w:rStyle w:val="Hervorhebung"/>
        </w:rPr>
        <w:t>;\middle|;</w:t>
      </w:r>
      <w:r>
        <w:rPr>
          <w:i/>
          <w:iCs/>
        </w:rPr>
        <w:br/>
      </w:r>
      <w:r>
        <w:rPr>
          <w:rStyle w:val="Hervorhebung"/>
        </w:rPr>
        <w:t>y\sim</w:t>
      </w:r>
      <w:r>
        <w:t>{\mathrm{sp}}x</w:t>
      </w:r>
      <w:r>
        <w:br/>
        <w:t>\right}.</w:t>
      </w:r>
      <w:r>
        <w:br/>
        <w:t>\tag{3.4220}</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\operatorname{Comp}_{\mathrm{sp}}(x)=\left\{y\in\mathcal{Q}_{F}\middle|y\sim_{\mathrm{sp}}x\right\}\qquad\text{(3.4220)}</w:t>
      </w:r>
    </w:p>
    <w:p w:rsidR="00DD6AFB" w:rsidRDefault="00DD6AFB" w:rsidP="00DD6AFB">
      <w:pPr>
        <w:pStyle w:val="StandardWeb"/>
      </w:pPr>
      <w:r>
        <w:t>Eine funktionale Raumstruktur ist räumlich zusammenhängend, wenn</w:t>
      </w:r>
    </w:p>
    <w:p w:rsidR="00DD6AFB" w:rsidRDefault="00DD6AFB" w:rsidP="00DD6AFB">
      <w:pPr>
        <w:pStyle w:val="StandardWeb"/>
      </w:pPr>
      <w:r>
        <w:t>[</w:t>
      </w:r>
      <w:r>
        <w:br/>
        <w:t>\forall x,y\in\mathcal{Q}</w:t>
      </w:r>
      <w:r>
        <w:rPr>
          <w:rStyle w:val="Hervorhebung"/>
        </w:rPr>
        <w:t>{F}:</w:t>
      </w:r>
      <w:r>
        <w:rPr>
          <w:i/>
          <w:iCs/>
        </w:rPr>
        <w:br/>
      </w:r>
      <w:r>
        <w:rPr>
          <w:rStyle w:val="Hervorhebung"/>
        </w:rPr>
        <w:t>x\sim</w:t>
      </w:r>
      <w:r>
        <w:t>{\mathrm{sp}}y.</w:t>
      </w:r>
      <w:r>
        <w:br/>
        <w:t>\tag{3.4221}</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\forall x,y\in\mathcal{Q}_{F}:x\sim_{\mathrm{sp}}y\qquad\text{(3.4221)}</w:t>
      </w:r>
    </w:p>
    <w:p w:rsidR="00DD6AFB" w:rsidRDefault="00DD6AFB" w:rsidP="00DD6AFB">
      <w:pPr>
        <w:pStyle w:val="StandardWeb"/>
      </w:pPr>
      <w:r>
        <w:t>Zusammenhang wird nicht allgemein vorausgesetzt. Mehrere voneinander getrennte funktionale Raumbereiche bleiben zulässig.</w:t>
      </w:r>
    </w:p>
    <w:p w:rsidR="00DD6AFB" w:rsidRPr="00AF32B2" w:rsidRDefault="00DD6AFB" w:rsidP="00AF32B2">
      <w:pPr>
        <w:pStyle w:val="berschrift4"/>
      </w:pPr>
      <w:r w:rsidRPr="00AF32B2">
        <w:t>3.3.16.13 Räumliche Dimension</w:t>
      </w:r>
    </w:p>
    <w:p w:rsidR="00DD6AFB" w:rsidRDefault="00DD6AFB" w:rsidP="00DD6AFB">
      <w:pPr>
        <w:pStyle w:val="StandardWeb"/>
      </w:pPr>
      <w:r>
        <w:t>Aus einer Nachbarschaftsrelation oder Graphstruktur folgt nicht automatisch eine eindeutige Dimension. Die Dimension einer topologischen, metrischen oder algebraischen Raumstruktur muss durch ein geeignetes Dimensionskonzept bestimmt werden [6, 75].</w:t>
      </w:r>
    </w:p>
    <w:p w:rsidR="00DD6AFB" w:rsidRDefault="00DD6AFB" w:rsidP="00DD6AFB">
      <w:pPr>
        <w:pStyle w:val="StandardWeb"/>
      </w:pPr>
      <w:r>
        <w:t>Für eine lokal endliche Graphstruktur kann zunächst der räumliche Grad</w:t>
      </w:r>
    </w:p>
    <w:p w:rsidR="00DD6AFB" w:rsidRDefault="00DD6AFB" w:rsidP="00DD6AFB">
      <w:pPr>
        <w:pStyle w:val="berschrift1"/>
      </w:pPr>
      <w:r>
        <w:t>[</w:t>
      </w:r>
      <w:r>
        <w:br/>
        <w:t>d_{\mathrm{sp}}^{\deg}(x)</w:t>
      </w:r>
    </w:p>
    <w:p w:rsidR="00DD6AFB" w:rsidRDefault="00DD6AFB" w:rsidP="00DD6AFB">
      <w:pPr>
        <w:pStyle w:val="StandardWeb"/>
      </w:pPr>
      <w:r>
        <w:t>\left|</w:t>
      </w:r>
      <w:r>
        <w:br/>
        <w:t>\mathcal{N}_{\mathrm{sp}}(x)</w:t>
      </w:r>
      <w:r>
        <w:br/>
        <w:t>\right|</w:t>
      </w:r>
      <w:r>
        <w:br/>
        <w:t>\tag{3.4222}</w:t>
      </w:r>
      <w:r>
        <w:br/>
        <w:t>]</w:t>
      </w:r>
    </w:p>
    <w:p w:rsidR="00DD6AFB" w:rsidRDefault="00DD6AFB" w:rsidP="00DD6AFB">
      <w:pPr>
        <w:pStyle w:val="StandardWeb"/>
      </w:pPr>
      <w:r>
        <w:rPr>
          <w:rStyle w:val="Fett"/>
        </w:rPr>
        <w:lastRenderedPageBreak/>
        <w:t>Word-LaTeX</w:t>
      </w:r>
    </w:p>
    <w:p w:rsidR="00DD6AFB" w:rsidRDefault="00DD6AFB" w:rsidP="00DD6AFB">
      <w:pPr>
        <w:pStyle w:val="HTMLVorformatiert"/>
        <w:rPr>
          <w:rStyle w:val="HTMLCode"/>
        </w:rPr>
      </w:pPr>
      <w:r>
        <w:rPr>
          <w:rStyle w:val="HTMLCode"/>
        </w:rPr>
        <w:t>d_{\mathrm{sp}}^{\deg}(x)=\left|\mathcal{N}_{\mathrm{sp}}(x)\right|\qquad\text{(3.4222)}</w:t>
      </w:r>
    </w:p>
    <w:p w:rsidR="00DD6AFB" w:rsidRDefault="00DD6AFB" w:rsidP="00DD6AFB">
      <w:pPr>
        <w:pStyle w:val="StandardWeb"/>
      </w:pPr>
      <w:r>
        <w:t>bestimmt werden.</w:t>
      </w:r>
    </w:p>
    <w:p w:rsidR="00DD6AFB" w:rsidRDefault="00DD6AFB" w:rsidP="00DD6AFB">
      <w:pPr>
        <w:pStyle w:val="StandardWeb"/>
      </w:pPr>
      <w:r>
        <w:t>Der räumliche Grad ist jedoch keine geometrische Dimension. Eine mögliche skalierende Dimension könnte über das Wachstum räumlicher Kugeln untersucht werden:</w:t>
      </w:r>
    </w:p>
    <w:p w:rsidR="00DD6AFB" w:rsidRDefault="00DD6AFB" w:rsidP="00DD6AFB">
      <w:pPr>
        <w:pStyle w:val="berschrift1"/>
      </w:pPr>
      <w:r>
        <w:t>[</w:t>
      </w:r>
      <w:r>
        <w:br/>
        <w:t>V_x(r)</w:t>
      </w:r>
    </w:p>
    <w:p w:rsidR="00DD6AFB" w:rsidRDefault="00DD6AFB" w:rsidP="00DD6AFB">
      <w:pPr>
        <w:pStyle w:val="StandardWeb"/>
      </w:pPr>
      <w:r>
        <w:t>\left|</w:t>
      </w:r>
      <w:r>
        <w:br/>
        <w:t>B_r(x)</w:t>
      </w:r>
      <w:r>
        <w:br/>
        <w:t>\right|.</w:t>
      </w:r>
      <w:r>
        <w:br/>
        <w:t>\tag{3.4223}</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V_x(r)=\left|B_r(x)\right|\qquad\text{(3.4223)}</w:t>
      </w:r>
    </w:p>
    <w:p w:rsidR="00DD6AFB" w:rsidRDefault="00DD6AFB" w:rsidP="00DD6AFB">
      <w:pPr>
        <w:pStyle w:val="StandardWeb"/>
      </w:pPr>
      <w:r>
        <w:t>Zeigt sich für geeignete Bereiche ein Verhalten</w:t>
      </w:r>
    </w:p>
    <w:p w:rsidR="00DD6AFB" w:rsidRDefault="00DD6AFB" w:rsidP="00DD6AFB">
      <w:pPr>
        <w:pStyle w:val="StandardWeb"/>
      </w:pPr>
      <w:r>
        <w:t>[</w:t>
      </w:r>
      <w:r>
        <w:br/>
        <w:t>V_x(r)</w:t>
      </w:r>
      <w:r>
        <w:br/>
        <w:t>\propto</w:t>
      </w:r>
      <w:r>
        <w:br/>
        <w:t>r^{d}</w:t>
      </w:r>
      <w:r>
        <w:br/>
        <w:t>\tag{3.4224}</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V_x(r)\propto r^{d}\qquad\text{(3.4224)}</w:t>
      </w:r>
    </w:p>
    <w:p w:rsidR="00DD6AFB" w:rsidRDefault="00DD6AFB" w:rsidP="00DD6AFB">
      <w:pPr>
        <w:pStyle w:val="StandardWeb"/>
      </w:pPr>
      <w:r>
        <w:t>kann (d) als effektive räumliche Skalierungsdimension interpretiert werden.</w:t>
      </w:r>
    </w:p>
    <w:p w:rsidR="00DD6AFB" w:rsidRDefault="00DD6AFB" w:rsidP="00DD6AFB">
      <w:pPr>
        <w:pStyle w:val="StandardWeb"/>
      </w:pPr>
      <w:r>
        <w:rPr>
          <w:rStyle w:val="Fett"/>
        </w:rPr>
        <w:t>Eigenleistung des FRZK</w:t>
      </w:r>
    </w:p>
    <w:p w:rsidR="00DD6AFB" w:rsidRDefault="00DD6AFB" w:rsidP="00DD6AFB">
      <w:pPr>
        <w:pStyle w:val="StandardWeb"/>
      </w:pPr>
      <w:r>
        <w:t>Ich setze weder eine feste Raumdimension noch eine euklidische Geometrie voraus. Räumliche Dimension ist eine abgeleitete Eigenschaft der konkreten funktionalen Nachbarschafts- und Distanzstruktur.</w:t>
      </w:r>
    </w:p>
    <w:p w:rsidR="00DD6AFB" w:rsidRPr="00AF32B2" w:rsidRDefault="00DD6AFB" w:rsidP="00AF32B2">
      <w:pPr>
        <w:pStyle w:val="berschrift4"/>
      </w:pPr>
      <w:r w:rsidRPr="00AF32B2">
        <w:t>3.3.16.14 Räumliche Richtung</w:t>
      </w:r>
    </w:p>
    <w:p w:rsidR="00DD6AFB" w:rsidRDefault="00DD6AFB" w:rsidP="00DD6AFB">
      <w:pPr>
        <w:pStyle w:val="StandardWeb"/>
      </w:pPr>
      <w:r>
        <w:t>Eine räumliche Richtung kann aus einer gerichteten Nachbarschaft oder aus geordneten Pfaden entstehen. Für eine gerichtete Relation kann gelten:</w:t>
      </w:r>
    </w:p>
    <w:p w:rsidR="00DD6AFB" w:rsidRDefault="00DD6AFB" w:rsidP="00DD6AFB">
      <w:pPr>
        <w:pStyle w:val="StandardWeb"/>
      </w:pPr>
      <w:r>
        <w:lastRenderedPageBreak/>
        <w:t>[</w:t>
      </w:r>
      <w:r>
        <w:br/>
        <w:t>(x,y)</w:t>
      </w:r>
      <w:r>
        <w:br/>
        <w:t>\in</w:t>
      </w:r>
      <w:r>
        <w:br/>
        <w:t>\mathcal{R}</w:t>
      </w:r>
      <w:r>
        <w:rPr>
          <w:rStyle w:val="Hervorhebung"/>
        </w:rPr>
        <w:t>{\mathrm{sp}}</w:t>
      </w:r>
      <w:r>
        <w:rPr>
          <w:i/>
          <w:iCs/>
        </w:rPr>
        <w:br/>
      </w:r>
      <w:r>
        <w:rPr>
          <w:rStyle w:val="Hervorhebung"/>
        </w:rPr>
        <w:t>\quad\land\quad</w:t>
      </w:r>
      <w:r>
        <w:rPr>
          <w:i/>
          <w:iCs/>
        </w:rPr>
        <w:br/>
      </w:r>
      <w:r>
        <w:rPr>
          <w:rStyle w:val="Hervorhebung"/>
        </w:rPr>
        <w:t>(y,x)</w:t>
      </w:r>
      <w:r>
        <w:rPr>
          <w:i/>
          <w:iCs/>
        </w:rPr>
        <w:br/>
      </w:r>
      <w:r>
        <w:rPr>
          <w:rStyle w:val="Hervorhebung"/>
        </w:rPr>
        <w:t>\notin</w:t>
      </w:r>
      <w:r>
        <w:rPr>
          <w:i/>
          <w:iCs/>
        </w:rPr>
        <w:br/>
      </w:r>
      <w:r>
        <w:rPr>
          <w:rStyle w:val="Hervorhebung"/>
        </w:rPr>
        <w:t>\mathcal{R}</w:t>
      </w:r>
      <w:r>
        <w:t>{\mathrm{sp}}.</w:t>
      </w:r>
      <w:r>
        <w:br/>
        <w:t>\tag{3.4225}</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(x,y)\in\mathcal{R}_{\mathrm{sp}}\land(y,x)\notin\mathcal{R}_{\mathrm{sp}}\qquad\text{(3.4225)}</w:t>
      </w:r>
    </w:p>
    <w:p w:rsidR="00DD6AFB" w:rsidRDefault="00DD6AFB" w:rsidP="00DD6AFB">
      <w:pPr>
        <w:pStyle w:val="StandardWeb"/>
      </w:pPr>
      <w:r>
        <w:t>Dies beschreibt eine gerichtete räumliche Zugänglichkeit, aber noch keinen Vektorraum und keine geometrische Richtung im euklidischen Sinn.</w:t>
      </w:r>
    </w:p>
    <w:p w:rsidR="00DD6AFB" w:rsidRDefault="00DD6AFB" w:rsidP="00DD6AFB">
      <w:pPr>
        <w:pStyle w:val="StandardWeb"/>
      </w:pPr>
      <w:r>
        <w:t>Eine Vektorisierung räumlicher Übergänge würde eine zusätzliche Abbildung verlangen:</w:t>
      </w:r>
    </w:p>
    <w:p w:rsidR="00DD6AFB" w:rsidRDefault="00DD6AFB" w:rsidP="00DD6AFB">
      <w:pPr>
        <w:pStyle w:val="StandardWeb"/>
      </w:pPr>
      <w:r>
        <w:t>[</w:t>
      </w:r>
      <w:r>
        <w:br/>
        <w:t>\mathbf{r}:</w:t>
      </w:r>
      <w:r>
        <w:br/>
        <w:t>\mathcal{R}_{\mathrm{sp}}</w:t>
      </w:r>
      <w:r>
        <w:br/>
        <w:t>\rightarrow</w:t>
      </w:r>
      <w:r>
        <w:br/>
        <w:t>V,</w:t>
      </w:r>
      <w:r>
        <w:br/>
        <w:t>\tag{3.4226}</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\mathbf{r}:\mathcal{R}_{\mathrm{sp}}\rightarrow V\qquad\text{(3.4226)}</w:t>
      </w:r>
    </w:p>
    <w:p w:rsidR="00DD6AFB" w:rsidRDefault="00DD6AFB" w:rsidP="00DD6AFB">
      <w:pPr>
        <w:pStyle w:val="StandardWeb"/>
      </w:pPr>
      <w:r>
        <w:t>wobei (V) ein geeigneter Vektorraum ist.</w:t>
      </w:r>
    </w:p>
    <w:p w:rsidR="00DD6AFB" w:rsidRDefault="00DD6AFB" w:rsidP="00DD6AFB">
      <w:pPr>
        <w:pStyle w:val="StandardWeb"/>
      </w:pPr>
      <w:r>
        <w:t>Die Zuordnung</w:t>
      </w:r>
    </w:p>
    <w:p w:rsidR="00DD6AFB" w:rsidRDefault="00DD6AFB" w:rsidP="00DD6AFB">
      <w:pPr>
        <w:pStyle w:val="StandardWeb"/>
      </w:pPr>
      <w:r>
        <w:t>[</w:t>
      </w:r>
      <w:r>
        <w:br/>
        <w:t>\mathbf{r}(x,y)</w:t>
      </w:r>
      <w:r>
        <w:br/>
        <w:t>\tag{3.4227}</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\mathbf{r}(x,y)\qquad\text{(3.4227)}</w:t>
      </w:r>
    </w:p>
    <w:p w:rsidR="00DD6AFB" w:rsidRDefault="00DD6AFB" w:rsidP="00DD6AFB">
      <w:pPr>
        <w:pStyle w:val="StandardWeb"/>
      </w:pPr>
      <w:r>
        <w:t>könnte dann einen gerichteten räumlichen Übergang repräsentieren.</w:t>
      </w:r>
    </w:p>
    <w:p w:rsidR="00DD6AFB" w:rsidRDefault="00DD6AFB" w:rsidP="00DD6AFB">
      <w:pPr>
        <w:pStyle w:val="StandardWeb"/>
      </w:pPr>
      <w:r>
        <w:rPr>
          <w:rStyle w:val="Fett"/>
        </w:rPr>
        <w:t>Eigenleistung des FRZK</w:t>
      </w:r>
    </w:p>
    <w:p w:rsidR="00DD6AFB" w:rsidRDefault="00DD6AFB" w:rsidP="00DD6AFB">
      <w:pPr>
        <w:pStyle w:val="StandardWeb"/>
      </w:pPr>
      <w:r>
        <w:lastRenderedPageBreak/>
        <w:t>Ich führe räumliche Vektoren nicht als Bestandteil der minimalen Raumdefinition ein. Sie sind eine mögliche Erweiterung, sobald eine geeignete algebraische Repräsentation der räumlichen Nachbarschaften begründet wurde.</w:t>
      </w:r>
    </w:p>
    <w:p w:rsidR="00DD6AFB" w:rsidRPr="00AF32B2" w:rsidRDefault="00DD6AFB" w:rsidP="00AF32B2">
      <w:pPr>
        <w:pStyle w:val="berschrift4"/>
      </w:pPr>
      <w:r w:rsidRPr="00AF32B2">
        <w:t>3.3.16.15 Funktionale Raumkoordinaten</w:t>
      </w:r>
    </w:p>
    <w:p w:rsidR="00DD6AFB" w:rsidRDefault="00DD6AFB" w:rsidP="00DD6AFB">
      <w:pPr>
        <w:pStyle w:val="StandardWeb"/>
      </w:pPr>
      <w:r>
        <w:t>Koordinaten sind keine Bestandteile eines Raumes an sich, sondern Abbildungen auf einen Koordinatenbereich. Eine funktionale Raumkarte kann definiert werden durch</w:t>
      </w:r>
    </w:p>
    <w:p w:rsidR="00DD6AFB" w:rsidRDefault="00DD6AFB" w:rsidP="00DD6AFB">
      <w:pPr>
        <w:pStyle w:val="StandardWeb"/>
      </w:pPr>
      <w:r>
        <w:t>[</w:t>
      </w:r>
      <w:r>
        <w:br/>
        <w:t>\varphi:</w:t>
      </w:r>
      <w:r>
        <w:br/>
        <w:t>U</w:t>
      </w:r>
      <w:r>
        <w:br/>
        <w:t>\rightarrow</w:t>
      </w:r>
      <w:r>
        <w:br/>
        <w:t>\mathbb{R}^{n},</w:t>
      </w:r>
      <w:r>
        <w:br/>
        <w:t>\qquad</w:t>
      </w:r>
      <w:r>
        <w:br/>
        <w:t>U</w:t>
      </w:r>
      <w:r>
        <w:br/>
        <w:t>\subseteq</w:t>
      </w:r>
      <w:r>
        <w:br/>
        <w:t>\mathcal{Q}_{F}.</w:t>
      </w:r>
      <w:r>
        <w:br/>
        <w:t>\tag{3.4228}</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\varphi:U\rightarrow\mathbb{R}^{n},\qquad U\subseteq\mathcal{Q}_{F}\qquad\text{(3.4228)}</w:t>
      </w:r>
    </w:p>
    <w:p w:rsidR="00DD6AFB" w:rsidRDefault="00DD6AFB" w:rsidP="00DD6AFB">
      <w:pPr>
        <w:pStyle w:val="StandardWeb"/>
      </w:pPr>
      <w:r>
        <w:t>Dabei bezeichnet:</w:t>
      </w:r>
    </w:p>
    <w:p w:rsidR="00DD6AFB" w:rsidRDefault="00DD6AFB" w:rsidP="00632D23">
      <w:pPr>
        <w:pStyle w:val="StandardWeb"/>
        <w:numPr>
          <w:ilvl w:val="0"/>
          <w:numId w:val="66"/>
        </w:numPr>
      </w:pPr>
      <w:r>
        <w:t>(U) einen funktionalen räumlichen Teilbereich,</w:t>
      </w:r>
    </w:p>
    <w:p w:rsidR="00DD6AFB" w:rsidRDefault="00DD6AFB" w:rsidP="00632D23">
      <w:pPr>
        <w:pStyle w:val="StandardWeb"/>
        <w:numPr>
          <w:ilvl w:val="0"/>
          <w:numId w:val="66"/>
        </w:numPr>
      </w:pPr>
      <w:r>
        <w:t>(\varphi) eine Koordinatenabbildung,</w:t>
      </w:r>
    </w:p>
    <w:p w:rsidR="00DD6AFB" w:rsidRDefault="00DD6AFB" w:rsidP="00632D23">
      <w:pPr>
        <w:pStyle w:val="StandardWeb"/>
        <w:numPr>
          <w:ilvl w:val="0"/>
          <w:numId w:val="66"/>
        </w:numPr>
      </w:pPr>
      <w:r>
        <w:t>(\mathbb{R}^{n}) einen (n)-dimensionalen Koordinatenraum.</w:t>
      </w:r>
    </w:p>
    <w:p w:rsidR="00DD6AFB" w:rsidRDefault="00DD6AFB" w:rsidP="00DD6AFB">
      <w:pPr>
        <w:pStyle w:val="StandardWeb"/>
      </w:pPr>
      <w:r>
        <w:t>Für eine Zustandsklasse (x\in U) gilt</w:t>
      </w:r>
    </w:p>
    <w:p w:rsidR="00DD6AFB" w:rsidRDefault="00DD6AFB" w:rsidP="00DD6AFB">
      <w:pPr>
        <w:pStyle w:val="berschrift1"/>
      </w:pPr>
      <w:r>
        <w:t>[</w:t>
      </w:r>
      <w:r>
        <w:br/>
        <w:t>\varphi(x)</w:t>
      </w:r>
    </w:p>
    <w:p w:rsidR="00DD6AFB" w:rsidRDefault="00DD6AFB" w:rsidP="00DD6AFB">
      <w:pPr>
        <w:pStyle w:val="StandardWeb"/>
      </w:pPr>
      <w:r>
        <w:t>\left(</w:t>
      </w:r>
      <w:r>
        <w:br/>
        <w:t>x^{1},x^{2},\ldots,x^{n}</w:t>
      </w:r>
      <w:r>
        <w:br/>
        <w:t>\right).</w:t>
      </w:r>
      <w:r>
        <w:br/>
        <w:t>\tag{3.4229}</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\varphi(x)=\left(x^{1},x^{2},\ldots,x^{n}\right)\qquad\text{(3.4229)}</w:t>
      </w:r>
    </w:p>
    <w:p w:rsidR="00DD6AFB" w:rsidRDefault="00DD6AFB" w:rsidP="00DD6AFB">
      <w:pPr>
        <w:pStyle w:val="StandardWeb"/>
      </w:pPr>
      <w:r>
        <w:t>Die Koordinatenwerte sind Repräsentationen der funktionalen Raumstruktur. Sie dürfen nicht mit den Zustandsklassen selbst gleichgesetzt werden [58, 75].</w:t>
      </w:r>
    </w:p>
    <w:p w:rsidR="00DD6AFB" w:rsidRPr="00AF32B2" w:rsidRDefault="00DD6AFB" w:rsidP="00AF32B2">
      <w:pPr>
        <w:pStyle w:val="berschrift4"/>
      </w:pPr>
      <w:r w:rsidRPr="00AF32B2">
        <w:lastRenderedPageBreak/>
        <w:t>3.3.16.16 Lokale und globale Raumstruktur</w:t>
      </w:r>
    </w:p>
    <w:p w:rsidR="00DD6AFB" w:rsidRDefault="00DD6AFB" w:rsidP="00DD6AFB">
      <w:pPr>
        <w:pStyle w:val="StandardWeb"/>
      </w:pPr>
      <w:r>
        <w:t>Wie bei der funktionalen Zeit muss eine Raumstruktur nicht global auf sämtlichen funktionalen Zustandsklassen definiert sein.</w:t>
      </w:r>
    </w:p>
    <w:p w:rsidR="00DD6AFB" w:rsidRDefault="00DD6AFB" w:rsidP="00DD6AFB">
      <w:pPr>
        <w:pStyle w:val="StandardWeb"/>
      </w:pPr>
      <w:r>
        <w:t>Für einen Teilbereich (\mathcal{U}\subseteq\mathcal{Q}_{F}) kann eine lokale Raumstruktur geschrieben werden als</w:t>
      </w:r>
    </w:p>
    <w:p w:rsidR="00DD6AFB" w:rsidRDefault="00DD6AFB" w:rsidP="00DD6AFB">
      <w:pPr>
        <w:pStyle w:val="berschrift1"/>
      </w:pPr>
      <w:r>
        <w:t>[</w:t>
      </w:r>
      <w:r>
        <w:br/>
        <w:t>\mathfrak{X}_{F}^{\mathcal{U}}</w:t>
      </w:r>
    </w:p>
    <w:p w:rsidR="00DD6AFB" w:rsidRDefault="00DD6AFB" w:rsidP="00DD6AFB">
      <w:pPr>
        <w:pStyle w:val="StandardWeb"/>
      </w:pPr>
      <w:r>
        <w:t>\left(</w:t>
      </w:r>
      <w:r>
        <w:br/>
        <w:t>\mathcal{U},</w:t>
      </w:r>
      <w:r>
        <w:br/>
        <w:t>\mathcal{R}</w:t>
      </w:r>
      <w:r>
        <w:rPr>
          <w:rStyle w:val="Hervorhebung"/>
        </w:rPr>
        <w:t>{\mathrm{sp}}^{\mathcal{U}},</w:t>
      </w:r>
      <w:r>
        <w:rPr>
          <w:i/>
          <w:iCs/>
        </w:rPr>
        <w:br/>
      </w:r>
      <w:r>
        <w:rPr>
          <w:rStyle w:val="Hervorhebung"/>
        </w:rPr>
        <w:t>\tau</w:t>
      </w:r>
      <w:r>
        <w:t>{\mathrm{sp}}^{\mathcal{U}},</w:t>
      </w:r>
      <w:r>
        <w:br/>
        <w:t>d_{\mathrm{sp}}^{\mathcal{U}}</w:t>
      </w:r>
      <w:r>
        <w:br/>
        <w:t>\right).</w:t>
      </w:r>
      <w:r>
        <w:br/>
        <w:t>\tag{3.4230}</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\mathfrak{X}_{F}^{\mathcal{U}}=\left(\mathcal{U},\mathcal{R}_{\mathrm{sp}}^{\mathcal{U}},\tau_{\mathrm{sp}}^{\mathcal{U}},d_{\mathrm{sp}}^{\mathcal{U}}\right)\qquad\text{(3.4230)}</w:t>
      </w:r>
    </w:p>
    <w:p w:rsidR="00DD6AFB" w:rsidRDefault="00DD6AFB" w:rsidP="00DD6AFB">
      <w:pPr>
        <w:pStyle w:val="StandardWeb"/>
      </w:pPr>
      <w:r>
        <w:t>Mehrere lokale Raumstrukturen können sich überlappen. Für zwei Bereiche (\mathcal{U}) und (\mathcal{V}) gilt im Überlappungsbereich</w:t>
      </w:r>
    </w:p>
    <w:p w:rsidR="00DD6AFB" w:rsidRDefault="00DD6AFB" w:rsidP="00DD6AFB">
      <w:pPr>
        <w:pStyle w:val="StandardWeb"/>
      </w:pPr>
      <w:r>
        <w:t>[</w:t>
      </w:r>
      <w:r>
        <w:br/>
        <w:t>\mathcal{U}</w:t>
      </w:r>
      <w:r>
        <w:br/>
        <w:t>\cap</w:t>
      </w:r>
      <w:r>
        <w:br/>
        <w:t>\mathcal{V}</w:t>
      </w:r>
      <w:r>
        <w:br/>
        <w:t>\neq</w:t>
      </w:r>
      <w:r>
        <w:br/>
        <w:t>\emptyset.</w:t>
      </w:r>
      <w:r>
        <w:br/>
        <w:t>\tag{3.4231}</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\mathcal{U}\cap\mathcal{V}\neq\emptyset\qquad\text{(3.4231)}</w:t>
      </w:r>
    </w:p>
    <w:p w:rsidR="00DD6AFB" w:rsidRDefault="00DD6AFB" w:rsidP="00DD6AFB">
      <w:pPr>
        <w:pStyle w:val="StandardWeb"/>
      </w:pPr>
      <w:r>
        <w:t>Eine globale Raumstruktur setzt voraus, dass die lokalen Strukturen in ihren Überlappungsbereichen miteinander verträglich sind.</w:t>
      </w:r>
    </w:p>
    <w:p w:rsidR="00DD6AFB" w:rsidRDefault="00DD6AFB" w:rsidP="00DD6AFB">
      <w:pPr>
        <w:pStyle w:val="StandardWeb"/>
      </w:pPr>
      <w:r>
        <w:rPr>
          <w:rStyle w:val="Fett"/>
        </w:rPr>
        <w:t>Eigenleistung des FRZK</w:t>
      </w:r>
    </w:p>
    <w:p w:rsidR="00DD6AFB" w:rsidRDefault="00DD6AFB" w:rsidP="00DD6AFB">
      <w:pPr>
        <w:pStyle w:val="StandardWeb"/>
      </w:pPr>
      <w:r>
        <w:t>Ich setze keine universelle globale Raumstruktur voraus. Funktionale Räume können lokal definiert, voneinander getrennt oder nur teilweise miteinander kompatibel sein.</w:t>
      </w:r>
    </w:p>
    <w:p w:rsidR="00DD6AFB" w:rsidRPr="00AF32B2" w:rsidRDefault="00DD6AFB" w:rsidP="00AF32B2">
      <w:pPr>
        <w:pStyle w:val="berschrift4"/>
      </w:pPr>
      <w:r w:rsidRPr="00AF32B2">
        <w:lastRenderedPageBreak/>
        <w:t>3.3.16.17 Kohärenzbeschränkte Raumstruktur</w:t>
      </w:r>
    </w:p>
    <w:p w:rsidR="00DD6AFB" w:rsidRDefault="00DD6AFB" w:rsidP="00DD6AFB">
      <w:pPr>
        <w:pStyle w:val="StandardWeb"/>
      </w:pPr>
      <w:r>
        <w:t>Eine räumliche Nachbarschaft kann auf kohärente Zustandsklassen oder kohärente Übergänge beschränkt werden. Dazu definiere ich</w:t>
      </w:r>
    </w:p>
    <w:p w:rsidR="00DD6AFB" w:rsidRDefault="00DD6AFB" w:rsidP="00DD6AFB">
      <w:pPr>
        <w:pStyle w:val="StandardWeb"/>
      </w:pPr>
      <w:r>
        <w:t>[</w:t>
      </w:r>
      <w:r>
        <w:br/>
        <w:t>\mathcal{R}</w:t>
      </w:r>
      <w:r>
        <w:rPr>
          <w:rStyle w:val="Hervorhebung"/>
        </w:rPr>
        <w:t>{\mathrm{sp},\mathcal{C}}</w:t>
      </w:r>
      <w:r>
        <w:rPr>
          <w:i/>
          <w:iCs/>
        </w:rPr>
        <w:br/>
      </w:r>
      <w:r>
        <w:rPr>
          <w:rStyle w:val="Hervorhebung"/>
        </w:rPr>
        <w:t>\subseteq</w:t>
      </w:r>
      <w:r>
        <w:rPr>
          <w:i/>
          <w:iCs/>
        </w:rPr>
        <w:br/>
      </w:r>
      <w:r>
        <w:rPr>
          <w:rStyle w:val="Hervorhebung"/>
        </w:rPr>
        <w:t>\mathcal{R}</w:t>
      </w:r>
      <w:r>
        <w:t>{\mathrm{sp}}.</w:t>
      </w:r>
      <w:r>
        <w:br/>
        <w:t>\tag{3.4232}</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\mathcal{R}_{\mathrm{sp},\mathcal{C}}\subseteq\mathcal{R}_{\mathrm{sp}}\qquad\text{(3.4232)}</w:t>
      </w:r>
    </w:p>
    <w:p w:rsidR="00DD6AFB" w:rsidRDefault="00DD6AFB" w:rsidP="00DD6AFB">
      <w:pPr>
        <w:pStyle w:val="StandardWeb"/>
      </w:pPr>
      <w:r>
        <w:t>Ein Paar gehört zu (\mathcal{R}_{\mathrm{sp},\mathcal{C}}), wenn die räumliche Verbindung zusätzlich die ausgewählten Kohärenzbedingungen erfüllt.</w:t>
      </w:r>
    </w:p>
    <w:p w:rsidR="00DD6AFB" w:rsidRDefault="00DD6AFB" w:rsidP="00DD6AFB">
      <w:pPr>
        <w:pStyle w:val="StandardWeb"/>
      </w:pPr>
      <w:r>
        <w:t>Die kohärenzbeschränkte Raumstruktur lautet</w:t>
      </w:r>
    </w:p>
    <w:p w:rsidR="00DD6AFB" w:rsidRDefault="00DD6AFB" w:rsidP="00DD6AFB">
      <w:pPr>
        <w:pStyle w:val="berschrift1"/>
      </w:pPr>
      <w:r>
        <w:t>[</w:t>
      </w:r>
      <w:r>
        <w:br/>
        <w:t>\mathfrak{X}_{F,\mathcal{C}}</w:t>
      </w:r>
    </w:p>
    <w:p w:rsidR="00DD6AFB" w:rsidRDefault="00DD6AFB" w:rsidP="00DD6AFB">
      <w:pPr>
        <w:pStyle w:val="StandardWeb"/>
      </w:pPr>
      <w:r>
        <w:t>\left(</w:t>
      </w:r>
      <w:r>
        <w:br/>
        <w:t>\mathcal{Q}</w:t>
      </w:r>
      <w:r>
        <w:rPr>
          <w:rStyle w:val="Hervorhebung"/>
        </w:rPr>
        <w:t>{F,\mathcal{C}},</w:t>
      </w:r>
      <w:r>
        <w:rPr>
          <w:i/>
          <w:iCs/>
        </w:rPr>
        <w:br/>
      </w:r>
      <w:r>
        <w:rPr>
          <w:rStyle w:val="Hervorhebung"/>
        </w:rPr>
        <w:t>\mathcal{R}</w:t>
      </w:r>
      <w:r>
        <w:t>{\mathrm{sp},\mathcal{C}},</w:t>
      </w:r>
      <w:r>
        <w:br/>
        <w:t>\tau_{\mathrm{sp},\mathcal{C}},</w:t>
      </w:r>
      <w:r>
        <w:br/>
        <w:t>d_{\mathrm{sp},\mathcal{C}}</w:t>
      </w:r>
      <w:r>
        <w:br/>
        <w:t>\right).</w:t>
      </w:r>
      <w:r>
        <w:br/>
        <w:t>\tag{3.4233}</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\mathfrak{X}_{F,\mathcal{C}}=\left(\mathcal{Q}_{F,\mathcal{C}},\mathcal{R}_{\mathrm{sp},\mathcal{C}},\tau_{\mathrm{sp},\mathcal{C}},d_{\mathrm{sp},\mathcal{C}}\right)\qquad\text{(3.4233)}</w:t>
      </w:r>
    </w:p>
    <w:p w:rsidR="00DD6AFB" w:rsidRDefault="00DD6AFB" w:rsidP="00DD6AFB">
      <w:pPr>
        <w:pStyle w:val="StandardWeb"/>
      </w:pPr>
      <w:r>
        <w:t>Ein Kohärenzverlust kann dadurch räumliche Verbindungen entfernen oder die Raumstruktur in mehrere Zusammenhangskomponenten zerlegen.</w:t>
      </w:r>
    </w:p>
    <w:p w:rsidR="00DD6AFB" w:rsidRPr="00AF32B2" w:rsidRDefault="00DD6AFB" w:rsidP="00AF32B2">
      <w:pPr>
        <w:pStyle w:val="berschrift4"/>
      </w:pPr>
      <w:r w:rsidRPr="00AF32B2">
        <w:t>3.3.16.18 Verhältnis von funktionaler Raum- und Zeitstruktur</w:t>
      </w:r>
    </w:p>
    <w:p w:rsidR="00DD6AFB" w:rsidRDefault="00DD6AFB" w:rsidP="00DD6AFB">
      <w:pPr>
        <w:pStyle w:val="StandardWeb"/>
      </w:pPr>
      <w:r>
        <w:t>Die funktionale Raumstruktur</w:t>
      </w:r>
    </w:p>
    <w:p w:rsidR="00DD6AFB" w:rsidRDefault="00DD6AFB" w:rsidP="00DD6AFB">
      <w:pPr>
        <w:pStyle w:val="StandardWeb"/>
      </w:pPr>
      <w:r>
        <w:t>[</w:t>
      </w:r>
      <w:r>
        <w:br/>
        <w:t>\mathfrak{X}_{F}</w:t>
      </w:r>
      <w:r>
        <w:br/>
      </w:r>
      <w:r>
        <w:lastRenderedPageBreak/>
        <w:t>\tag{3.4234}</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\mathfrak{X}_{F}\qquad\text{(3.4234)}</w:t>
      </w:r>
    </w:p>
    <w:p w:rsidR="00DD6AFB" w:rsidRDefault="00DD6AFB" w:rsidP="00DD6AFB">
      <w:pPr>
        <w:pStyle w:val="StandardWeb"/>
      </w:pPr>
      <w:r>
        <w:t>und die funktionale Zeitstruktur</w:t>
      </w:r>
    </w:p>
    <w:p w:rsidR="00DD6AFB" w:rsidRDefault="00DD6AFB" w:rsidP="00DD6AFB">
      <w:pPr>
        <w:pStyle w:val="StandardWeb"/>
      </w:pPr>
      <w:r>
        <w:t>[</w:t>
      </w:r>
      <w:r>
        <w:br/>
        <w:t>\mathfrak{T}_{F}</w:t>
      </w:r>
      <w:r>
        <w:br/>
        <w:t>\tag{3.4235}</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\mathfrak{T}_{F}\qquad\text{(3.4235)}</w:t>
      </w:r>
    </w:p>
    <w:p w:rsidR="00DD6AFB" w:rsidRDefault="00DD6AFB" w:rsidP="00DD6AFB">
      <w:pPr>
        <w:pStyle w:val="StandardWeb"/>
      </w:pPr>
      <w:r>
        <w:t>werden zunächst unabhängig definiert.</w:t>
      </w:r>
    </w:p>
    <w:p w:rsidR="00DD6AFB" w:rsidRDefault="00DD6AFB" w:rsidP="00DD6AFB">
      <w:pPr>
        <w:pStyle w:val="StandardWeb"/>
      </w:pPr>
      <w:r>
        <w:t>Eine gemeinsame funktionale Raum-Zeit-Struktur kann durch</w:t>
      </w:r>
    </w:p>
    <w:p w:rsidR="00DD6AFB" w:rsidRDefault="00DD6AFB" w:rsidP="00DD6AFB">
      <w:pPr>
        <w:pStyle w:val="berschrift1"/>
      </w:pPr>
      <w:r>
        <w:t>[</w:t>
      </w:r>
      <w:r>
        <w:br/>
        <w:t>\mathfrak{Z}_{F}</w:t>
      </w:r>
    </w:p>
    <w:p w:rsidR="00DD6AFB" w:rsidRDefault="00DD6AFB" w:rsidP="00DD6AFB">
      <w:pPr>
        <w:pStyle w:val="StandardWeb"/>
      </w:pPr>
      <w:r>
        <w:t>\left(</w:t>
      </w:r>
      <w:r>
        <w:br/>
        <w:t>\mathfrak{X}</w:t>
      </w:r>
      <w:r>
        <w:rPr>
          <w:rStyle w:val="Hervorhebung"/>
        </w:rPr>
        <w:t>{F},</w:t>
      </w:r>
      <w:r>
        <w:rPr>
          <w:i/>
          <w:iCs/>
        </w:rPr>
        <w:br/>
      </w:r>
      <w:r>
        <w:rPr>
          <w:rStyle w:val="Hervorhebung"/>
        </w:rPr>
        <w:t>\mathfrak{T}</w:t>
      </w:r>
      <w:r>
        <w:t>{F},</w:t>
      </w:r>
      <w:r>
        <w:br/>
        <w:t>\mathcal{K}_{XT}</w:t>
      </w:r>
      <w:r>
        <w:br/>
        <w:t>\right)</w:t>
      </w:r>
      <w:r>
        <w:br/>
        <w:t>\tag{3.4236}</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\mathfrak{Z}_{F}=\left(\mathfrak{X}_{F},\mathfrak{T}_{F},\mathcal{K}_{XT}\right)\qquad\text{(3.4236)}</w:t>
      </w:r>
    </w:p>
    <w:p w:rsidR="00DD6AFB" w:rsidRDefault="00DD6AFB" w:rsidP="00DD6AFB">
      <w:pPr>
        <w:pStyle w:val="StandardWeb"/>
      </w:pPr>
      <w:r>
        <w:t>dargestellt werden.</w:t>
      </w:r>
    </w:p>
    <w:p w:rsidR="00DD6AFB" w:rsidRDefault="00DD6AFB" w:rsidP="00DD6AFB">
      <w:pPr>
        <w:pStyle w:val="StandardWeb"/>
      </w:pPr>
      <w:r>
        <w:t>Dabei bezeichnet (\mathcal{K}_{XT}) eine noch zu definierende Kopplungsstruktur zwischen funktionalem Raum und funktionaler Zeit.</w:t>
      </w:r>
    </w:p>
    <w:p w:rsidR="00DD6AFB" w:rsidRDefault="00DD6AFB" w:rsidP="00DD6AFB">
      <w:pPr>
        <w:pStyle w:val="StandardWeb"/>
      </w:pPr>
      <w:r>
        <w:t>Ohne eine solche Kopplungsstruktur folgt aus räumlicher Nachbarschaft keine zeitliche Nachfolge und aus zeitlicher Ordnung keine räumliche Entfernung [58, 59].</w:t>
      </w:r>
    </w:p>
    <w:p w:rsidR="00DD6AFB" w:rsidRDefault="00DD6AFB" w:rsidP="00DD6AFB">
      <w:pPr>
        <w:pStyle w:val="StandardWeb"/>
      </w:pPr>
      <w:r>
        <w:rPr>
          <w:rStyle w:val="Fett"/>
        </w:rPr>
        <w:t>Eigenleistung des FRZK</w:t>
      </w:r>
    </w:p>
    <w:p w:rsidR="00DD6AFB" w:rsidRDefault="00DD6AFB" w:rsidP="00DD6AFB">
      <w:pPr>
        <w:pStyle w:val="StandardWeb"/>
      </w:pPr>
      <w:r>
        <w:lastRenderedPageBreak/>
        <w:t>Ich behandle Raum und Zeit zunächst als getrennt rekonstruierte funktionale Strukturen. Ihre Verbindung stellt eine zusätzliche wissenschaftliche Aufgabe dar und darf nicht aus der gemeinsamen Verwendung innerhalb eines Modells vorausgesetzt werden.</w:t>
      </w:r>
    </w:p>
    <w:p w:rsidR="00DD6AFB" w:rsidRPr="00AF32B2" w:rsidRDefault="00DD6AFB" w:rsidP="00AF32B2">
      <w:pPr>
        <w:pStyle w:val="berschrift4"/>
      </w:pPr>
      <w:r w:rsidRPr="00AF32B2">
        <w:t>3.3.16.19 Keine automatische physikalische Rauminterpretation</w:t>
      </w:r>
    </w:p>
    <w:p w:rsidR="00DD6AFB" w:rsidRDefault="00DD6AFB" w:rsidP="00DD6AFB">
      <w:pPr>
        <w:pStyle w:val="StandardWeb"/>
      </w:pPr>
      <w:r>
        <w:t>Eine funktionale Raumstruktur beschreibt relationale Nachbarschaft, Zusammenhang und gegebenenfalls Distanz. Daraus folgt nicht automatisch, dass diese Struktur mit einem empirisch gemessenen physikalischen Raum identisch ist.</w:t>
      </w:r>
    </w:p>
    <w:p w:rsidR="00DD6AFB" w:rsidRDefault="00DD6AFB" w:rsidP="00DD6AFB">
      <w:pPr>
        <w:pStyle w:val="StandardWeb"/>
      </w:pPr>
      <w:r>
        <w:t>Eine Kalibrierungs- oder Einbettungsabbildung könnte durch</w:t>
      </w:r>
    </w:p>
    <w:p w:rsidR="00DD6AFB" w:rsidRDefault="00DD6AFB" w:rsidP="00DD6AFB">
      <w:pPr>
        <w:pStyle w:val="StandardWeb"/>
      </w:pPr>
      <w:r>
        <w:t>[</w:t>
      </w:r>
      <w:r>
        <w:br/>
        <w:t>\psi:</w:t>
      </w:r>
      <w:r>
        <w:br/>
        <w:t>\mathfrak{X}</w:t>
      </w:r>
      <w:r>
        <w:rPr>
          <w:rStyle w:val="Hervorhebung"/>
        </w:rPr>
        <w:t>{F}</w:t>
      </w:r>
      <w:r>
        <w:rPr>
          <w:i/>
          <w:iCs/>
        </w:rPr>
        <w:br/>
      </w:r>
      <w:r>
        <w:rPr>
          <w:rStyle w:val="Hervorhebung"/>
        </w:rPr>
        <w:t>\rightarrow</w:t>
      </w:r>
      <w:r>
        <w:rPr>
          <w:i/>
          <w:iCs/>
        </w:rPr>
        <w:br/>
      </w:r>
      <w:r>
        <w:rPr>
          <w:rStyle w:val="Hervorhebung"/>
        </w:rPr>
        <w:t>\mathfrak{X}</w:t>
      </w:r>
      <w:r>
        <w:t>{\mathrm{phys}}</w:t>
      </w:r>
      <w:r>
        <w:br/>
        <w:t>\tag{3.4237}</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\psi:\mathfrak{X}_{F}\rightarrow\mathfrak{X}_{\mathrm{phys}}\qquad\text{(3.4237)}</w:t>
      </w:r>
    </w:p>
    <w:p w:rsidR="00DD6AFB" w:rsidRDefault="00DD6AFB" w:rsidP="00DD6AFB">
      <w:pPr>
        <w:pStyle w:val="StandardWeb"/>
      </w:pPr>
      <w:r>
        <w:t>dargestellt werden.</w:t>
      </w:r>
    </w:p>
    <w:p w:rsidR="00DD6AFB" w:rsidRDefault="00DD6AFB" w:rsidP="00DD6AFB">
      <w:pPr>
        <w:pStyle w:val="StandardWeb"/>
      </w:pPr>
      <w:r>
        <w:t>Dabei bezeichnet (\mathfrak{X}_{\mathrm{phys}}) eine empirisch oder physikalisch bestimmte Raumstruktur.</w:t>
      </w:r>
    </w:p>
    <w:p w:rsidR="00DD6AFB" w:rsidRDefault="00DD6AFB" w:rsidP="00DD6AFB">
      <w:pPr>
        <w:pStyle w:val="StandardWeb"/>
      </w:pPr>
      <w:r>
        <w:t>Für eine funktionale Zustandsklasse (x) ergibt sich eine physikalische Raumrepräsentation durch</w:t>
      </w:r>
    </w:p>
    <w:p w:rsidR="00DD6AFB" w:rsidRDefault="00DD6AFB" w:rsidP="00DD6AFB">
      <w:pPr>
        <w:pStyle w:val="berschrift1"/>
      </w:pPr>
      <w:r>
        <w:t>[</w:t>
      </w:r>
      <w:r>
        <w:br/>
        <w:t>x_{\mathrm{phys}}</w:t>
      </w:r>
    </w:p>
    <w:p w:rsidR="00DD6AFB" w:rsidRDefault="00DD6AFB" w:rsidP="00DD6AFB">
      <w:pPr>
        <w:pStyle w:val="StandardWeb"/>
      </w:pPr>
      <w:r>
        <w:t>\psi(x).</w:t>
      </w:r>
      <w:r>
        <w:br/>
        <w:t>\tag{3.4238}</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x_{\mathrm{phys}}=\psi(x)\qquad\text{(3.4238)}</w:t>
      </w:r>
    </w:p>
    <w:p w:rsidR="00DD6AFB" w:rsidRDefault="00DD6AFB" w:rsidP="00DD6AFB">
      <w:pPr>
        <w:pStyle w:val="StandardWeb"/>
      </w:pPr>
      <w:r>
        <w:t>Die Existenz, Eindeutigkeit und Messbarkeit von (\psi) müssen empirisch oder modellspezifisch begründet werden [58, 59].</w:t>
      </w:r>
    </w:p>
    <w:p w:rsidR="00DD6AFB" w:rsidRPr="00AF32B2" w:rsidRDefault="00DD6AFB" w:rsidP="00AF32B2">
      <w:pPr>
        <w:pStyle w:val="berschrift4"/>
      </w:pPr>
      <w:r w:rsidRPr="00AF32B2">
        <w:t>3.3.16.20 Keine universelle euklidische Geometrie</w:t>
      </w:r>
    </w:p>
    <w:p w:rsidR="00DD6AFB" w:rsidRDefault="00DD6AFB" w:rsidP="00DD6AFB">
      <w:pPr>
        <w:pStyle w:val="StandardWeb"/>
      </w:pPr>
      <w:r>
        <w:lastRenderedPageBreak/>
        <w:t>Definition 3.3.9 setzt keine euklidische Geometrie voraus. Insbesondere folgen nicht automatisch:</w:t>
      </w:r>
    </w:p>
    <w:p w:rsidR="00DD6AFB" w:rsidRDefault="00DD6AFB" w:rsidP="00632D23">
      <w:pPr>
        <w:pStyle w:val="StandardWeb"/>
        <w:numPr>
          <w:ilvl w:val="0"/>
          <w:numId w:val="67"/>
        </w:numPr>
      </w:pPr>
      <w:r>
        <w:t>eine feste Dimension,</w:t>
      </w:r>
    </w:p>
    <w:p w:rsidR="00DD6AFB" w:rsidRDefault="00DD6AFB" w:rsidP="00632D23">
      <w:pPr>
        <w:pStyle w:val="StandardWeb"/>
        <w:numPr>
          <w:ilvl w:val="0"/>
          <w:numId w:val="67"/>
        </w:numPr>
      </w:pPr>
      <w:r>
        <w:t>kartesische Koordinaten,</w:t>
      </w:r>
    </w:p>
    <w:p w:rsidR="00DD6AFB" w:rsidRDefault="00DD6AFB" w:rsidP="00632D23">
      <w:pPr>
        <w:pStyle w:val="StandardWeb"/>
        <w:numPr>
          <w:ilvl w:val="0"/>
          <w:numId w:val="67"/>
        </w:numPr>
      </w:pPr>
      <w:r>
        <w:t>Symmetrie aller Abstände,</w:t>
      </w:r>
    </w:p>
    <w:p w:rsidR="00DD6AFB" w:rsidRDefault="00DD6AFB" w:rsidP="00632D23">
      <w:pPr>
        <w:pStyle w:val="StandardWeb"/>
        <w:numPr>
          <w:ilvl w:val="0"/>
          <w:numId w:val="67"/>
        </w:numPr>
      </w:pPr>
      <w:r>
        <w:t>Geradlinigkeit minimaler Wege,</w:t>
      </w:r>
    </w:p>
    <w:p w:rsidR="00DD6AFB" w:rsidRDefault="00DD6AFB" w:rsidP="00632D23">
      <w:pPr>
        <w:pStyle w:val="StandardWeb"/>
        <w:numPr>
          <w:ilvl w:val="0"/>
          <w:numId w:val="67"/>
        </w:numPr>
      </w:pPr>
      <w:r>
        <w:t>Homogenität,</w:t>
      </w:r>
    </w:p>
    <w:p w:rsidR="00DD6AFB" w:rsidRDefault="00DD6AFB" w:rsidP="00632D23">
      <w:pPr>
        <w:pStyle w:val="StandardWeb"/>
        <w:numPr>
          <w:ilvl w:val="0"/>
          <w:numId w:val="67"/>
        </w:numPr>
      </w:pPr>
      <w:r>
        <w:t>Isotropie,</w:t>
      </w:r>
    </w:p>
    <w:p w:rsidR="00DD6AFB" w:rsidRDefault="00DD6AFB" w:rsidP="00632D23">
      <w:pPr>
        <w:pStyle w:val="StandardWeb"/>
        <w:numPr>
          <w:ilvl w:val="0"/>
          <w:numId w:val="67"/>
        </w:numPr>
      </w:pPr>
      <w:r>
        <w:t>Kontinuität,</w:t>
      </w:r>
    </w:p>
    <w:p w:rsidR="00DD6AFB" w:rsidRDefault="00DD6AFB" w:rsidP="00632D23">
      <w:pPr>
        <w:pStyle w:val="StandardWeb"/>
        <w:numPr>
          <w:ilvl w:val="0"/>
          <w:numId w:val="67"/>
        </w:numPr>
      </w:pPr>
      <w:r>
        <w:t>lokale oder globale Flachheit.</w:t>
      </w:r>
    </w:p>
    <w:p w:rsidR="00DD6AFB" w:rsidRDefault="00DD6AFB" w:rsidP="00DD6AFB">
      <w:pPr>
        <w:pStyle w:val="StandardWeb"/>
      </w:pPr>
      <w:r>
        <w:t>Eine euklidische Distanz würde beispielsweise die Form</w:t>
      </w:r>
    </w:p>
    <w:p w:rsidR="00DD6AFB" w:rsidRDefault="00DD6AFB" w:rsidP="00DD6AFB">
      <w:pPr>
        <w:pStyle w:val="berschrift1"/>
      </w:pPr>
      <w:r>
        <w:t>[</w:t>
      </w:r>
      <w:r>
        <w:br/>
        <w:t>d_{\mathrm{E}}</w:t>
      </w:r>
      <w:r>
        <w:br/>
        <w:t>\left(</w:t>
      </w:r>
      <w:r>
        <w:br/>
        <w:t>\mathbf{x},</w:t>
      </w:r>
      <w:r>
        <w:br/>
        <w:t>\mathbf{y}</w:t>
      </w:r>
      <w:r>
        <w:br/>
        <w:t>\right)</w:t>
      </w:r>
    </w:p>
    <w:p w:rsidR="00DD6AFB" w:rsidRDefault="00DD6AFB" w:rsidP="00DD6AFB">
      <w:pPr>
        <w:pStyle w:val="StandardWeb"/>
      </w:pPr>
      <w:r>
        <w:t>\sqrt{</w:t>
      </w:r>
      <w:r>
        <w:br/>
        <w:t>\sum_{r=1}^{n}</w:t>
      </w:r>
      <w:r>
        <w:br/>
        <w:t>\left(</w:t>
      </w:r>
      <w:r>
        <w:br/>
        <w:t>x^{r}-y^{r}</w:t>
      </w:r>
      <w:r>
        <w:br/>
        <w:t>\right)^2</w:t>
      </w:r>
      <w:r>
        <w:br/>
        <w:t>}</w:t>
      </w:r>
      <w:r>
        <w:br/>
        <w:t>\tag{3.4239}</w:t>
      </w:r>
      <w:r>
        <w:br/>
        <w:t>]</w:t>
      </w:r>
    </w:p>
    <w:p w:rsidR="00DD6AFB" w:rsidRDefault="00DD6AFB" w:rsidP="00DD6AFB">
      <w:pPr>
        <w:pStyle w:val="StandardWeb"/>
      </w:pPr>
      <w:r>
        <w:rPr>
          <w:rStyle w:val="Fett"/>
        </w:rPr>
        <w:t>Word-LaTeX</w:t>
      </w:r>
    </w:p>
    <w:p w:rsidR="00DD6AFB" w:rsidRDefault="00DD6AFB" w:rsidP="00DD6AFB">
      <w:pPr>
        <w:pStyle w:val="HTMLVorformatiert"/>
        <w:rPr>
          <w:rStyle w:val="HTMLCode"/>
        </w:rPr>
      </w:pPr>
      <w:r>
        <w:rPr>
          <w:rStyle w:val="HTMLCode"/>
        </w:rPr>
        <w:t>d_{\mathrm{E}}\left(\mathbf{x},\mathbf{y}\right)=\sqrt{\sum_{r=1}^{n}\left(x^{r}-y^{r}\right)^2}\qquad\text{(3.4239)}</w:t>
      </w:r>
    </w:p>
    <w:p w:rsidR="00DD6AFB" w:rsidRDefault="00DD6AFB" w:rsidP="00DD6AFB">
      <w:pPr>
        <w:pStyle w:val="StandardWeb"/>
      </w:pPr>
      <w:r>
        <w:t>besitzen.</w:t>
      </w:r>
    </w:p>
    <w:p w:rsidR="00DD6AFB" w:rsidRDefault="00DD6AFB" w:rsidP="00DD6AFB">
      <w:pPr>
        <w:pStyle w:val="StandardWeb"/>
      </w:pPr>
      <w:r>
        <w:t>Diese Darstellung setzt bereits eine Einbettung in (\mathbb{R}^{n}), kartesische Koordinaten und eine euklidische Norm voraus [75]. Sie ist daher nur eine mögliche Spezialform funktionaler räumlicher Distanz.</w:t>
      </w:r>
    </w:p>
    <w:p w:rsidR="00DD6AFB" w:rsidRDefault="00DD6AFB" w:rsidP="00DD6AFB">
      <w:pPr>
        <w:pStyle w:val="StandardWeb"/>
      </w:pPr>
      <w:r>
        <w:rPr>
          <w:rStyle w:val="Fett"/>
        </w:rPr>
        <w:t>Eigenleistung des FRZK</w:t>
      </w:r>
    </w:p>
    <w:p w:rsidR="00DD6AFB" w:rsidRDefault="00DD6AFB" w:rsidP="00DD6AFB">
      <w:pPr>
        <w:pStyle w:val="StandardWeb"/>
      </w:pPr>
      <w:r>
        <w:t>Ich lasse diskrete, gerichtete, gewichtete, topologische, metrische und nichtmetrische funktionale Räume gleichermaßen zu. Die konkrete Geometrie muss aus dem jeweiligen Modell hervorgehen.</w:t>
      </w:r>
    </w:p>
    <w:p w:rsidR="00DD6AFB" w:rsidRPr="00AF32B2" w:rsidRDefault="00DD6AFB" w:rsidP="00AF32B2">
      <w:pPr>
        <w:pStyle w:val="berschrift4"/>
      </w:pPr>
      <w:r w:rsidRPr="00AF32B2">
        <w:lastRenderedPageBreak/>
        <w:t>3.3.16.21 Ergebnis der Ableitung</w:t>
      </w:r>
    </w:p>
    <w:p w:rsidR="00DD6AFB" w:rsidRDefault="00DD6AFB" w:rsidP="00DD6AFB">
      <w:pPr>
        <w:pStyle w:val="StandardWeb"/>
      </w:pPr>
      <w:r>
        <w:t>Die funktionale Raumstruktur konnte aus funktionalen Zustandsklassen und einer ausdrücklich räumlich interpretierten Nachbarschaftsrelation definiert werden. Nachbarschaft, Pfade und Zusammenhang bilden die minimale Struktur. Gewichtungen können räumliche Weglängen und Distanzen erzeugen. Topologien und Koordinaten stellen mögliche Erweiterungen dar [6, 75].</w:t>
      </w:r>
    </w:p>
    <w:p w:rsidR="00DD6AFB" w:rsidRDefault="00DD6AFB" w:rsidP="00DD6AFB">
      <w:pPr>
        <w:pStyle w:val="StandardWeb"/>
      </w:pPr>
      <w:r>
        <w:t>Ein weiteres Primäraxiom ist für die begriffliche Definition funktionalen Raumes nicht erforderlich. Die Existenz einer konkreten räumlich interpretierbaren Relation, einer Metrik oder einer globalen Geometrie folgt jedoch nicht automatisch aus den bisherigen Primäraxiomen. Diese Strukturen müssen für das jeweilige Modell ausgewählt, konstruiert oder nachgewiesen werden [79].</w:t>
      </w:r>
    </w:p>
    <w:p w:rsidR="00DD6AFB" w:rsidRDefault="00DD6AFB" w:rsidP="00DD6AFB">
      <w:pPr>
        <w:pStyle w:val="StandardWeb"/>
      </w:pPr>
      <w:r>
        <w:rPr>
          <w:rStyle w:val="Fett"/>
        </w:rPr>
        <w:t>Eigenleistung des FRZK</w:t>
      </w:r>
    </w:p>
    <w:p w:rsidR="00DD6AFB" w:rsidRDefault="00DD6AFB" w:rsidP="00DD6AFB">
      <w:pPr>
        <w:pStyle w:val="StandardWeb"/>
      </w:pPr>
      <w:r>
        <w:t>Damit behandle ich funktionalen Raum als abgeleitete, aber nicht universell vorgegebene Struktur. Funktionale Relationen liefern mögliche Verbindungen. Erst eine wissenschaftlich begründete räumliche Interpretation und gegebenenfalls eine Abstandsbewertung machen daraus einen funktionalen Raum.</w:t>
      </w:r>
    </w:p>
    <w:p w:rsidR="00DD6AFB" w:rsidRPr="00AF32B2" w:rsidRDefault="00DD6AFB" w:rsidP="00AF32B2">
      <w:pPr>
        <w:pStyle w:val="berschrift4"/>
      </w:pPr>
      <w:r w:rsidRPr="00AF32B2">
        <w:t>3.3.16.22 Übergang zur funktionalen Raum-Zeit-Kopplung</w:t>
      </w:r>
    </w:p>
    <w:p w:rsidR="00DD6AFB" w:rsidRDefault="00DD6AFB" w:rsidP="00DD6AFB">
      <w:pPr>
        <w:pStyle w:val="StandardWeb"/>
      </w:pPr>
      <w:r>
        <w:t>Mit Definition 3.3.9 stehen funktionale Zeit und funktionaler Raum als getrennt rekonstruierte Strukturen zur Verfügung. Für ein Funktionales Raum-Zeit-Kohärenzsystem genügt diese bloße Koexistenz jedoch nicht. Es muss zusätzlich bestimmt werden, wie räumliche Nachbarschaften, funktionale Transformationen, Zeitbewertungen und Kohärenzbedingungen miteinander gekoppelt sind.</w:t>
      </w:r>
    </w:p>
    <w:p w:rsidR="00DD6AFB" w:rsidRDefault="00DD6AFB" w:rsidP="00DD6AFB">
      <w:pPr>
        <w:pStyle w:val="StandardWeb"/>
      </w:pPr>
      <w:r>
        <w:t>Eine solche Kopplung kann beispielsweise festlegen, welche räumlichen Übergänge während einer funktionalen Entwicklung zulässig sind, wie räumliche Distanz und funktionale Dauer zusammenhängen oder unter welchen Bedingungen Raum- und Zeitstruktur gemeinsam kohärent bleiben.</w:t>
      </w:r>
    </w:p>
    <w:p w:rsidR="00DD6AFB" w:rsidRDefault="00DD6AFB" w:rsidP="00DD6AFB">
      <w:pPr>
        <w:pStyle w:val="StandardWeb"/>
      </w:pPr>
      <w:r>
        <w:rPr>
          <w:rStyle w:val="Fett"/>
        </w:rPr>
        <w:t>Eigenleistung des FRZK</w:t>
      </w:r>
    </w:p>
    <w:p w:rsidR="00DD6AFB" w:rsidRDefault="00DD6AFB" w:rsidP="00DD6AFB">
      <w:pPr>
        <w:pStyle w:val="StandardWeb"/>
      </w:pPr>
      <w:r>
        <w:t>Der folgende Abschnitt definiert deshalb die funktionale Raum-Zeit-Kopplung als Verträglichkeitsstruktur zwischen (\mathfrak{X}</w:t>
      </w:r>
      <w:r>
        <w:rPr>
          <w:rStyle w:val="Hervorhebung"/>
        </w:rPr>
        <w:t>{F}) und (\mathfrak{T}</w:t>
      </w:r>
      <w:r>
        <w:t>{F}). Erst diese Kopplung führt die bislang getrennten Rekonstruktionen zu einer gemeinsamen FRZK-Struktur zusammen.</w:t>
      </w:r>
    </w:p>
    <w:p w:rsidR="00071888" w:rsidRDefault="00071888" w:rsidP="00071888">
      <w:pPr>
        <w:pStyle w:val="berschrift2"/>
      </w:pPr>
      <w:r>
        <w:t>Ergänzung zu 3.3.16 – Definition der funktionalen Raumstruktur</w:t>
      </w:r>
    </w:p>
    <w:p w:rsidR="00071888" w:rsidRDefault="00071888" w:rsidP="00071888">
      <w:pPr>
        <w:pStyle w:val="berschrift3"/>
      </w:pPr>
      <w:r>
        <w:t>Methodologische Betrachtungen</w:t>
      </w:r>
    </w:p>
    <w:p w:rsidR="00071888" w:rsidRDefault="00071888" w:rsidP="00071888">
      <w:pPr>
        <w:pStyle w:val="StandardWeb"/>
      </w:pPr>
      <w:r>
        <w:t>Auch der funktionale Raum wird nicht als Primäraxiom eingeführt. Der aktuelle Abschnitt konstruiert ihn aus funktionalen Zustandsklassen, einer räumlich interpretierten Nachbarschaftsrelation sowie optional einer Topologie und einer verträglichen Distanz.</w:t>
      </w:r>
    </w:p>
    <w:p w:rsidR="00071888" w:rsidRDefault="00071888" w:rsidP="00071888">
      <w:pPr>
        <w:pStyle w:val="StandardWeb"/>
      </w:pPr>
      <w:r>
        <w:lastRenderedPageBreak/>
        <w:t>Die zugrunde liegende Quotientenmenge lautet</w:t>
      </w:r>
    </w:p>
    <w:p w:rsidR="00071888" w:rsidRDefault="00071888" w:rsidP="00071888">
      <w:pPr>
        <w:pStyle w:val="berschrift1"/>
      </w:pPr>
      <w:r>
        <w:t>[</w:t>
      </w:r>
      <w:r>
        <w:br/>
        <w:t>\mathcal{Q}_{F}</w:t>
      </w:r>
    </w:p>
    <w:p w:rsidR="00071888" w:rsidRDefault="00071888" w:rsidP="00071888">
      <w:pPr>
        <w:pStyle w:val="StandardWeb"/>
      </w:pPr>
      <w:r>
        <w:t>\mathcal{S}</w:t>
      </w:r>
      <w:r>
        <w:rPr>
          <w:rStyle w:val="Hervorhebung"/>
        </w:rPr>
        <w:t>{\mathrm{el}}/{\sim</w:t>
      </w:r>
      <w:r>
        <w:t>{!F}}.</w:t>
      </w:r>
      <w:r>
        <w:br/>
        <w:t>\tag{3.4188}</w:t>
      </w:r>
      <w:r>
        <w:br/>
        <w:t>]</w:t>
      </w:r>
    </w:p>
    <w:p w:rsidR="00071888" w:rsidRDefault="00071888" w:rsidP="00071888">
      <w:pPr>
        <w:pStyle w:val="StandardWeb"/>
      </w:pPr>
      <w:r>
        <w:rPr>
          <w:rStyle w:val="Fett"/>
        </w:rPr>
        <w:t>Word-LaTeX</w:t>
      </w:r>
    </w:p>
    <w:p w:rsidR="00071888" w:rsidRDefault="00071888" w:rsidP="00071888">
      <w:pPr>
        <w:pStyle w:val="HTMLVorformatiert"/>
        <w:rPr>
          <w:rStyle w:val="HTMLCode"/>
        </w:rPr>
      </w:pPr>
      <w:r>
        <w:rPr>
          <w:rStyle w:val="HTMLCode"/>
        </w:rPr>
        <w:t>\mathcal{Q}_{F}=\mathcal{S}_{\mathrm{el}}/{\sim_{\!F}}\qquad\text{(3.4188)}</w:t>
      </w:r>
    </w:p>
    <w:p w:rsidR="00071888" w:rsidRDefault="00071888" w:rsidP="00071888">
      <w:pPr>
        <w:pStyle w:val="StandardWeb"/>
      </w:pPr>
      <w:r>
        <w:t>Auf dieser Menge wird eine räumlich interpretierte Nachbarschaftsrelation eingeführt:</w:t>
      </w:r>
    </w:p>
    <w:p w:rsidR="00071888" w:rsidRDefault="00071888" w:rsidP="00071888">
      <w:pPr>
        <w:pStyle w:val="StandardWeb"/>
      </w:pPr>
      <w:r>
        <w:t>[</w:t>
      </w:r>
      <w:r>
        <w:br/>
        <w:t>\mathcal{R}</w:t>
      </w:r>
      <w:r>
        <w:rPr>
          <w:rStyle w:val="Hervorhebung"/>
        </w:rPr>
        <w:t>{\mathrm{sp}}</w:t>
      </w:r>
      <w:r>
        <w:rPr>
          <w:i/>
          <w:iCs/>
        </w:rPr>
        <w:br/>
      </w:r>
      <w:r>
        <w:rPr>
          <w:rStyle w:val="Hervorhebung"/>
        </w:rPr>
        <w:t>\subseteq</w:t>
      </w:r>
      <w:r>
        <w:rPr>
          <w:i/>
          <w:iCs/>
        </w:rPr>
        <w:br/>
      </w:r>
      <w:r>
        <w:rPr>
          <w:rStyle w:val="Hervorhebung"/>
        </w:rPr>
        <w:t>\mathcal{Q}</w:t>
      </w:r>
      <w:r>
        <w:t>{F}</w:t>
      </w:r>
      <w:r>
        <w:br/>
        <w:t>\times</w:t>
      </w:r>
      <w:r>
        <w:br/>
        <w:t>\mathcal{Q}_{F}.</w:t>
      </w:r>
      <w:r>
        <w:br/>
        <w:t>\tag{3.4189}</w:t>
      </w:r>
      <w:r>
        <w:br/>
        <w:t>]</w:t>
      </w:r>
    </w:p>
    <w:p w:rsidR="00071888" w:rsidRDefault="00071888" w:rsidP="00071888">
      <w:pPr>
        <w:pStyle w:val="StandardWeb"/>
      </w:pPr>
      <w:r>
        <w:rPr>
          <w:rStyle w:val="Fett"/>
        </w:rPr>
        <w:t>Word-LaTeX</w:t>
      </w:r>
    </w:p>
    <w:p w:rsidR="00071888" w:rsidRDefault="00071888" w:rsidP="00071888">
      <w:pPr>
        <w:pStyle w:val="HTMLVorformatiert"/>
        <w:rPr>
          <w:rStyle w:val="HTMLCode"/>
        </w:rPr>
      </w:pPr>
      <w:r>
        <w:rPr>
          <w:rStyle w:val="HTMLCode"/>
        </w:rPr>
        <w:t>\mathcal{R}_{\mathrm{sp}}\subseteq\mathcal{Q}_{F}\times\mathcal{Q}_{F}\qquad\text{(3.4189)}</w:t>
      </w:r>
    </w:p>
    <w:p w:rsidR="00071888" w:rsidRDefault="00071888" w:rsidP="00071888">
      <w:pPr>
        <w:pStyle w:val="StandardWeb"/>
      </w:pPr>
      <w:r>
        <w:t>Eine unmittelbare Nachbarschaft zweier funktionaler Zustandsklassen wird durch</w:t>
      </w:r>
    </w:p>
    <w:p w:rsidR="00071888" w:rsidRDefault="00071888" w:rsidP="00071888">
      <w:pPr>
        <w:pStyle w:val="StandardWeb"/>
      </w:pPr>
      <w:r>
        <w:t>[</w:t>
      </w:r>
      <w:r>
        <w:br/>
        <w:t>\left(</w:t>
      </w:r>
      <w:r>
        <w:br/>
        <w:t>[\delta_i]</w:t>
      </w:r>
      <w:r>
        <w:rPr>
          <w:rStyle w:val="Hervorhebung"/>
        </w:rPr>
        <w:t>{!F},</w:t>
      </w:r>
      <w:r>
        <w:rPr>
          <w:i/>
          <w:iCs/>
        </w:rPr>
        <w:br/>
      </w:r>
      <w:r>
        <w:rPr>
          <w:rStyle w:val="Hervorhebung"/>
        </w:rPr>
        <w:t>[\delta_j]</w:t>
      </w:r>
      <w:r>
        <w:t>{!F}</w:t>
      </w:r>
      <w:r>
        <w:br/>
        <w:t>\right)</w:t>
      </w:r>
      <w:r>
        <w:br/>
        <w:t>\in</w:t>
      </w:r>
      <w:r>
        <w:br/>
        <w:t>\mathcal{R}_{\mathrm{sp}}</w:t>
      </w:r>
      <w:r>
        <w:br/>
        <w:t>\tag{3.4190}</w:t>
      </w:r>
      <w:r>
        <w:br/>
        <w:t>]</w:t>
      </w:r>
    </w:p>
    <w:p w:rsidR="00071888" w:rsidRDefault="00071888" w:rsidP="00071888">
      <w:pPr>
        <w:pStyle w:val="StandardWeb"/>
      </w:pPr>
      <w:r>
        <w:rPr>
          <w:rStyle w:val="Fett"/>
        </w:rPr>
        <w:t>Word-LaTeX</w:t>
      </w:r>
    </w:p>
    <w:p w:rsidR="00071888" w:rsidRDefault="00071888" w:rsidP="00071888">
      <w:pPr>
        <w:pStyle w:val="HTMLVorformatiert"/>
        <w:rPr>
          <w:rStyle w:val="HTMLCode"/>
        </w:rPr>
      </w:pPr>
      <w:r>
        <w:rPr>
          <w:rStyle w:val="HTMLCode"/>
        </w:rPr>
        <w:t>\left([\delta_i]_{\!F},[\delta_j]_{\!F}\right)\in\mathcal{R}_{\mathrm{sp}}\qquad\text{(3.4190)}</w:t>
      </w:r>
    </w:p>
    <w:p w:rsidR="00071888" w:rsidRDefault="00071888" w:rsidP="00071888">
      <w:pPr>
        <w:pStyle w:val="StandardWeb"/>
      </w:pPr>
      <w:r>
        <w:t>beschrieben.</w:t>
      </w:r>
    </w:p>
    <w:p w:rsidR="00071888" w:rsidRDefault="00071888" w:rsidP="00071888">
      <w:pPr>
        <w:pStyle w:val="StandardWeb"/>
      </w:pPr>
      <w:r>
        <w:t>Die funktionale Umgebung einer Zustandsklasse lautet</w:t>
      </w:r>
    </w:p>
    <w:p w:rsidR="00071888" w:rsidRDefault="00071888" w:rsidP="00071888">
      <w:pPr>
        <w:pStyle w:val="berschrift1"/>
      </w:pPr>
      <w:r>
        <w:lastRenderedPageBreak/>
        <w:t>[</w:t>
      </w:r>
      <w:r>
        <w:br/>
        <w:t>\mathcal{N}</w:t>
      </w:r>
      <w:r>
        <w:rPr>
          <w:rStyle w:val="Hervorhebung"/>
        </w:rPr>
        <w:t>{\mathrm{sp}}</w:t>
      </w:r>
      <w:r>
        <w:rPr>
          <w:i/>
          <w:iCs/>
        </w:rPr>
        <w:br/>
      </w:r>
      <w:r>
        <w:rPr>
          <w:rStyle w:val="Hervorhebung"/>
        </w:rPr>
        <w:t>\left(</w:t>
      </w:r>
      <w:r>
        <w:rPr>
          <w:i/>
          <w:iCs/>
        </w:rPr>
        <w:br/>
      </w:r>
      <w:r>
        <w:rPr>
          <w:rStyle w:val="Hervorhebung"/>
        </w:rPr>
        <w:t>[\delta_i]</w:t>
      </w:r>
      <w:r>
        <w:t>{!F}</w:t>
      </w:r>
      <w:r>
        <w:br/>
        <w:t>\right)</w:t>
      </w:r>
    </w:p>
    <w:p w:rsidR="00071888" w:rsidRDefault="00071888" w:rsidP="00071888">
      <w:pPr>
        <w:pStyle w:val="StandardWeb"/>
      </w:pPr>
      <w:r>
        <w:t>\left{</w:t>
      </w:r>
      <w:r>
        <w:br/>
        <w:t>[\delta_j]</w:t>
      </w:r>
      <w:r>
        <w:rPr>
          <w:rStyle w:val="Hervorhebung"/>
        </w:rPr>
        <w:t>{!F}</w:t>
      </w:r>
      <w:r>
        <w:rPr>
          <w:i/>
          <w:iCs/>
        </w:rPr>
        <w:br/>
      </w:r>
      <w:r>
        <w:rPr>
          <w:rStyle w:val="Hervorhebung"/>
        </w:rPr>
        <w:t>\in</w:t>
      </w:r>
      <w:r>
        <w:rPr>
          <w:i/>
          <w:iCs/>
        </w:rPr>
        <w:br/>
      </w:r>
      <w:r>
        <w:rPr>
          <w:rStyle w:val="Hervorhebung"/>
        </w:rPr>
        <w:t>\mathcal{Q}</w:t>
      </w:r>
      <w:r>
        <w:t>{F}</w:t>
      </w:r>
      <w:r>
        <w:br/>
        <w:t>\middle|</w:t>
      </w:r>
      <w:r>
        <w:br/>
        <w:t>\left(</w:t>
      </w:r>
      <w:r>
        <w:br/>
        <w:t>[\delta_i]</w:t>
      </w:r>
      <w:r>
        <w:rPr>
          <w:rStyle w:val="Hervorhebung"/>
        </w:rPr>
        <w:t>{!F},</w:t>
      </w:r>
      <w:r>
        <w:rPr>
          <w:i/>
          <w:iCs/>
        </w:rPr>
        <w:br/>
      </w:r>
      <w:r>
        <w:rPr>
          <w:rStyle w:val="Hervorhebung"/>
        </w:rPr>
        <w:t>[\delta_j]</w:t>
      </w:r>
      <w:r>
        <w:t>{!F}</w:t>
      </w:r>
      <w:r>
        <w:br/>
        <w:t>\right)</w:t>
      </w:r>
      <w:r>
        <w:br/>
        <w:t>\in</w:t>
      </w:r>
      <w:r>
        <w:br/>
        <w:t>\mathcal{R}_{\mathrm{sp}}</w:t>
      </w:r>
      <w:r>
        <w:br/>
        <w:t>\right}.</w:t>
      </w:r>
      <w:r>
        <w:br/>
        <w:t>\tag{3.4191}</w:t>
      </w:r>
      <w:r>
        <w:br/>
        <w:t>]</w:t>
      </w:r>
    </w:p>
    <w:p w:rsidR="00071888" w:rsidRDefault="00071888" w:rsidP="00071888">
      <w:pPr>
        <w:pStyle w:val="StandardWeb"/>
      </w:pPr>
      <w:r>
        <w:rPr>
          <w:rStyle w:val="Fett"/>
        </w:rPr>
        <w:t>Word-LaTeX</w:t>
      </w:r>
    </w:p>
    <w:p w:rsidR="00071888" w:rsidRDefault="00071888" w:rsidP="00071888">
      <w:pPr>
        <w:pStyle w:val="HTMLVorformatiert"/>
        <w:rPr>
          <w:rStyle w:val="HTMLCode"/>
        </w:rPr>
      </w:pPr>
      <w:r>
        <w:rPr>
          <w:rStyle w:val="HTMLCode"/>
        </w:rPr>
        <w:t>\mathcal{N}_{\mathrm{sp}}\left([\delta_i]_{\!F}\right)=\left\{[\delta_j]_{\!F}\in\mathcal{Q}_{F}\middle|\left([\delta_i]_{\!F},[\delta_j]_{\!F}\right)\in\mathcal{R}_{\mathrm{sp}}\right\}\qquad\text{(3.4191)}</w:t>
      </w:r>
    </w:p>
    <w:p w:rsidR="00071888" w:rsidRDefault="00071888" w:rsidP="00071888">
      <w:pPr>
        <w:pStyle w:val="StandardWeb"/>
      </w:pPr>
      <w:r>
        <w:t>Die vollständige Raumstruktur wird zusammengefasst als</w:t>
      </w:r>
    </w:p>
    <w:p w:rsidR="00071888" w:rsidRDefault="00071888" w:rsidP="00071888">
      <w:pPr>
        <w:pStyle w:val="berschrift1"/>
      </w:pPr>
      <w:r>
        <w:t>[</w:t>
      </w:r>
      <w:r>
        <w:br/>
        <w:t>\mathfrak{X}_{F}</w:t>
      </w:r>
    </w:p>
    <w:p w:rsidR="00071888" w:rsidRDefault="00071888" w:rsidP="00071888">
      <w:pPr>
        <w:pStyle w:val="StandardWeb"/>
      </w:pPr>
      <w:r>
        <w:t>\left(</w:t>
      </w:r>
      <w:r>
        <w:br/>
        <w:t>\mathcal{Q}</w:t>
      </w:r>
      <w:r>
        <w:rPr>
          <w:rStyle w:val="Hervorhebung"/>
        </w:rPr>
        <w:t>{F},</w:t>
      </w:r>
      <w:r>
        <w:rPr>
          <w:i/>
          <w:iCs/>
        </w:rPr>
        <w:br/>
      </w:r>
      <w:r>
        <w:rPr>
          <w:rStyle w:val="Hervorhebung"/>
        </w:rPr>
        <w:t>\mathcal{R}</w:t>
      </w:r>
      <w:r>
        <w:t>{\mathrm{sp}},</w:t>
      </w:r>
      <w:r>
        <w:br/>
        <w:t>\tau_{\mathrm{sp}},</w:t>
      </w:r>
      <w:r>
        <w:br/>
        <w:t>d_{\mathrm{sp}}</w:t>
      </w:r>
      <w:r>
        <w:br/>
        <w:t>\right).</w:t>
      </w:r>
      <w:r>
        <w:br/>
        <w:t>]</w:t>
      </w:r>
    </w:p>
    <w:p w:rsidR="00071888" w:rsidRDefault="00071888" w:rsidP="00071888">
      <w:pPr>
        <w:pStyle w:val="StandardWeb"/>
      </w:pPr>
      <w:r>
        <w:rPr>
          <w:rStyle w:val="Fett"/>
        </w:rPr>
        <w:t>Word-LaTeX</w:t>
      </w:r>
    </w:p>
    <w:p w:rsidR="00071888" w:rsidRDefault="00071888" w:rsidP="00071888">
      <w:pPr>
        <w:pStyle w:val="HTMLVorformatiert"/>
        <w:rPr>
          <w:rStyle w:val="HTMLCode"/>
        </w:rPr>
      </w:pPr>
      <w:r>
        <w:rPr>
          <w:rStyle w:val="HTMLCode"/>
        </w:rPr>
        <w:t>\mathfrak{X}_{F}=\left(\mathcal{Q}_{F},\mathcal{R}_{\mathrm{sp}},\tau_{\mathrm{sp}},d_{\mathrm{sp}}\right)</w:t>
      </w:r>
    </w:p>
    <w:p w:rsidR="00071888" w:rsidRDefault="00071888" w:rsidP="00071888">
      <w:pPr>
        <w:pStyle w:val="StandardWeb"/>
      </w:pPr>
      <w:r>
        <w:lastRenderedPageBreak/>
        <w:t xml:space="preserve">Methodologisch ist entscheidend, dass die räumliche Interpretation </w:t>
      </w:r>
      <w:r>
        <w:rPr>
          <w:rStyle w:val="Fett"/>
        </w:rPr>
        <w:t>nicht bereits aus einer beliebigen funktionalen Relation folgt</w:t>
      </w:r>
      <w:r>
        <w:t>. Eine Relation wird erst dann Bestandteil einer funktionalen Raumstruktur, wenn ihre räumliche Interpretation ausdrücklich begründet wird.</w:t>
      </w:r>
    </w:p>
    <w:p w:rsidR="00071888" w:rsidRDefault="00071888" w:rsidP="00071888">
      <w:pPr>
        <w:pStyle w:val="StandardWeb"/>
      </w:pPr>
      <w:r>
        <w:t>Damit vermeide ich den Fehlschluss:</w:t>
      </w:r>
    </w:p>
    <w:p w:rsidR="00071888" w:rsidRDefault="00071888" w:rsidP="00071888">
      <w:pPr>
        <w:pStyle w:val="StandardWeb"/>
      </w:pPr>
      <w:r>
        <w:rPr>
          <w:rStyle w:val="Fett"/>
        </w:rPr>
        <w:t>Relation vorhanden → Raum vorhanden.</w:t>
      </w:r>
    </w:p>
    <w:p w:rsidR="00071888" w:rsidRDefault="00071888" w:rsidP="00071888">
      <w:pPr>
        <w:pStyle w:val="StandardWeb"/>
      </w:pPr>
      <w:r>
        <w:t>Ebenso wenig erzwingt eine Nachbarschaftsstruktur bereits eine euklidische Geometrie. Topologie, Metrik, Dimension und Koordinaten sind zusätzliche Strukturen beziehungsweise Eigenschaften.</w:t>
      </w:r>
    </w:p>
    <w:p w:rsidR="00071888" w:rsidRDefault="00071888" w:rsidP="00071888">
      <w:pPr>
        <w:pStyle w:val="StandardWeb"/>
      </w:pPr>
      <w:r>
        <w:t>Insbesondere ist eine Distanzfunktion (d_{\mathrm{sp}}) optional. Die Theorie darf räumliche Strukturen besitzen, die zunächst nur über Nachbarschaften und Erreichbarkeit beschrieben werden.</w:t>
      </w:r>
    </w:p>
    <w:p w:rsidR="00071888" w:rsidRDefault="00071888" w:rsidP="00071888">
      <w:pPr>
        <w:pStyle w:val="StandardWeb"/>
      </w:pPr>
      <w:r>
        <w:t>Auch Dimension darf nicht vorausgesetzt werden. Eine funktionale Raumstruktur muss nicht drei-dimensional sein. Die Dimension ist, sofern sie überhaupt sinnvoll definiert werden kann, eine Eigenschaft der konkreten Modellstruktur.</w:t>
      </w:r>
    </w:p>
    <w:p w:rsidR="00071888" w:rsidRDefault="00071888" w:rsidP="00071888">
      <w:pPr>
        <w:pStyle w:val="StandardWeb"/>
      </w:pPr>
      <w:r>
        <w:t>Koordinaten sind ebenfalls Darstellungsmittel und keine ontologisch ausgezeichneten Bestandteile des funktionalen Raums. Zwei verschiedene Koordinatensysteme können dieselbe zugrunde liegende Raumstruktur beschreiben.</w:t>
      </w:r>
    </w:p>
    <w:p w:rsidR="00071888" w:rsidRDefault="00071888" w:rsidP="00071888">
      <w:pPr>
        <w:pStyle w:val="StandardWeb"/>
      </w:pPr>
      <w:r>
        <w:t>Eine physikalische Interpretation erfordert schließlich eine empirische Kalibrierung. Erst dann kann beispielsweise eine funktionale Distanz mit Metern oder einer anderen räumlichen Einheit verglichen werden.</w:t>
      </w:r>
    </w:p>
    <w:p w:rsidR="00071888" w:rsidRDefault="00071888" w:rsidP="00071888">
      <w:pPr>
        <w:pStyle w:val="StandardWeb"/>
      </w:pPr>
      <w:r>
        <w:t>Methodologisch lautet die Entwicklungsrichtung deshalb:</w:t>
      </w:r>
    </w:p>
    <w:p w:rsidR="00071888" w:rsidRDefault="00071888" w:rsidP="00071888">
      <w:pPr>
        <w:pStyle w:val="StandardWeb"/>
      </w:pPr>
      <w:r>
        <w:rPr>
          <w:rStyle w:val="Fett"/>
        </w:rPr>
        <w:t>funktionale Zustandsklassen → räumlich interpretierte Nachbarschaft → Topologie/Distanz → mögliche Geometrie → empirische Kalibrierung.</w:t>
      </w:r>
    </w:p>
    <w:p w:rsidR="00071888" w:rsidRDefault="00071888" w:rsidP="00071888">
      <w:pPr>
        <w:pStyle w:val="berschrift3"/>
      </w:pPr>
      <w:r>
        <w:t>Didaktische Betrachtungen</w:t>
      </w:r>
    </w:p>
    <w:p w:rsidR="00071888" w:rsidRDefault="00071888" w:rsidP="00071888">
      <w:pPr>
        <w:pStyle w:val="StandardWeb"/>
      </w:pPr>
      <w:r>
        <w:t>Funktionaler Raum lässt sich zunächst mit einem U-Bahn-Plan erklären.</w:t>
      </w:r>
    </w:p>
    <w:p w:rsidR="00071888" w:rsidRDefault="00071888" w:rsidP="00071888">
      <w:pPr>
        <w:pStyle w:val="StandardWeb"/>
      </w:pPr>
      <w:r>
        <w:t>Die Stationen bilden die Grundmenge:</w:t>
      </w:r>
    </w:p>
    <w:p w:rsidR="00071888" w:rsidRDefault="00071888" w:rsidP="00071888">
      <w:pPr>
        <w:pStyle w:val="StandardWeb"/>
      </w:pPr>
      <w:r>
        <w:t>[</w:t>
      </w:r>
      <w:r>
        <w:br/>
        <w:t>\mathcal{Q}_{F}.</w:t>
      </w:r>
      <w:r>
        <w:br/>
        <w:t>]</w:t>
      </w:r>
    </w:p>
    <w:p w:rsidR="00071888" w:rsidRDefault="00071888" w:rsidP="00071888">
      <w:pPr>
        <w:pStyle w:val="StandardWeb"/>
      </w:pPr>
      <w:r>
        <w:t>Direkte Zugverbindungen definieren Nachbarschaften:</w:t>
      </w:r>
    </w:p>
    <w:p w:rsidR="00071888" w:rsidRDefault="00071888" w:rsidP="00071888">
      <w:pPr>
        <w:pStyle w:val="StandardWeb"/>
      </w:pPr>
      <w:r>
        <w:t>[</w:t>
      </w:r>
      <w:r>
        <w:br/>
        <w:t>(A,B)\in\mathcal{R}_{\mathrm{sp}}.</w:t>
      </w:r>
      <w:r>
        <w:br/>
        <w:t>]</w:t>
      </w:r>
    </w:p>
    <w:p w:rsidR="00071888" w:rsidRDefault="00071888" w:rsidP="00071888">
      <w:pPr>
        <w:pStyle w:val="StandardWeb"/>
      </w:pPr>
      <w:r>
        <w:t>Damit entsteht bereits eine räumliche Struktur im Sinne eines Netzes.</w:t>
      </w:r>
    </w:p>
    <w:p w:rsidR="00071888" w:rsidRDefault="00071888" w:rsidP="00071888">
      <w:pPr>
        <w:pStyle w:val="StandardWeb"/>
      </w:pPr>
      <w:r>
        <w:lastRenderedPageBreak/>
        <w:t>Ich brauche noch keine Koordinaten</w:t>
      </w:r>
    </w:p>
    <w:p w:rsidR="00071888" w:rsidRDefault="00071888" w:rsidP="00071888">
      <w:pPr>
        <w:pStyle w:val="StandardWeb"/>
      </w:pPr>
      <w:r>
        <w:t>[</w:t>
      </w:r>
      <w:r>
        <w:br/>
        <w:t>(x,y)</w:t>
      </w:r>
      <w:r>
        <w:br/>
        <w:t>]</w:t>
      </w:r>
    </w:p>
    <w:p w:rsidR="00071888" w:rsidRDefault="00071888" w:rsidP="00071888">
      <w:pPr>
        <w:pStyle w:val="StandardWeb"/>
      </w:pPr>
      <w:r>
        <w:t>und keine Kilometerangaben.</w:t>
      </w:r>
    </w:p>
    <w:p w:rsidR="00071888" w:rsidRDefault="00071888" w:rsidP="00071888">
      <w:pPr>
        <w:pStyle w:val="StandardWeb"/>
      </w:pPr>
      <w:r>
        <w:t>Erst wenn ich wissen möchte, wie weit zwei Stationen voneinander entfernt sind, benötige ich eine Distanzfunktion.</w:t>
      </w:r>
    </w:p>
    <w:p w:rsidR="00071888" w:rsidRDefault="00071888" w:rsidP="00071888">
      <w:pPr>
        <w:pStyle w:val="StandardWeb"/>
      </w:pPr>
      <w:r>
        <w:t>Das Beispiel zeigt einen wichtigen Unterschied:</w:t>
      </w:r>
    </w:p>
    <w:p w:rsidR="00071888" w:rsidRDefault="00071888" w:rsidP="00071888">
      <w:pPr>
        <w:pStyle w:val="StandardWeb"/>
      </w:pPr>
      <w:r>
        <w:rPr>
          <w:rStyle w:val="Fett"/>
        </w:rPr>
        <w:t>Nachbarschaft</w:t>
      </w:r>
      <w:r>
        <w:t xml:space="preserve"> sagt, welche Punkte unmittelbar verbunden sind.</w:t>
      </w:r>
    </w:p>
    <w:p w:rsidR="00071888" w:rsidRDefault="00071888" w:rsidP="00071888">
      <w:pPr>
        <w:pStyle w:val="StandardWeb"/>
      </w:pPr>
      <w:r>
        <w:rPr>
          <w:rStyle w:val="Fett"/>
        </w:rPr>
        <w:t>Distanz</w:t>
      </w:r>
      <w:r>
        <w:t xml:space="preserve"> sagt, wie weit sie voneinander entfernt sind.</w:t>
      </w:r>
    </w:p>
    <w:p w:rsidR="00071888" w:rsidRDefault="00071888" w:rsidP="00071888">
      <w:pPr>
        <w:pStyle w:val="StandardWeb"/>
      </w:pPr>
      <w:r>
        <w:rPr>
          <w:rStyle w:val="Fett"/>
        </w:rPr>
        <w:t>Koordinaten</w:t>
      </w:r>
      <w:r>
        <w:t xml:space="preserve"> sagen, wie ich ihre Lage in einem gewählten Darstellungssystem beschreibe.</w:t>
      </w:r>
    </w:p>
    <w:p w:rsidR="00071888" w:rsidRDefault="00071888" w:rsidP="00071888">
      <w:pPr>
        <w:pStyle w:val="StandardWeb"/>
      </w:pPr>
      <w:r>
        <w:t>Diese drei Dinge sind nicht identisch.</w:t>
      </w:r>
    </w:p>
    <w:p w:rsidR="00071888" w:rsidRDefault="00071888" w:rsidP="00071888">
      <w:pPr>
        <w:pStyle w:val="StandardWeb"/>
      </w:pPr>
      <w:r>
        <w:t>Auch die Dimension kann nicht einfach aus dem Wort „Raum“ abgelesen werden. Ein Straßennetz kann beispielsweise graphentheoretisch strukturiert sein, ohne dass seine wesentlichen Eigenschaften durch eine gewöhnliche zweidimensionale Karte vollständig beschrieben werden.</w:t>
      </w:r>
    </w:p>
    <w:p w:rsidR="00071888" w:rsidRDefault="00071888" w:rsidP="00071888">
      <w:pPr>
        <w:pStyle w:val="StandardWeb"/>
      </w:pPr>
      <w:r>
        <w:t>Damit hilft Abschnitt 3.3.16, eine häufige intuitive Vorannahme abzubauen: Raum muss nicht mit einem bereits vorhandenen dreidimensionalen Behälter beginnen.</w:t>
      </w:r>
    </w:p>
    <w:p w:rsidR="00071888" w:rsidRDefault="00071888" w:rsidP="00071888">
      <w:pPr>
        <w:pStyle w:val="StandardWeb"/>
      </w:pPr>
      <w:r>
        <w:t>Im FRZK entsteht zunächst eine relationale Nachbarschaftsstruktur, aus der weitere räumliche Eigenschaften entwickelt werden können.</w:t>
      </w:r>
    </w:p>
    <w:p w:rsidR="00071888" w:rsidRDefault="00E50336" w:rsidP="00071888">
      <w:r>
        <w:pict>
          <v:rect id="_x0000_i1042" style="width:0;height:1.5pt" o:hralign="center" o:hrstd="t" o:hr="t" fillcolor="#a0a0a0" stroked="f"/>
        </w:pict>
      </w:r>
    </w:p>
    <w:p w:rsidR="00506BE4" w:rsidRPr="00AF32B2" w:rsidRDefault="00506BE4" w:rsidP="00AF32B2">
      <w:pPr>
        <w:pStyle w:val="berschrift3"/>
      </w:pPr>
      <w:r w:rsidRPr="00AF32B2">
        <w:t>3.3.17 Definition der funktionalen Raum-Zeit-Kopplung</w:t>
      </w:r>
    </w:p>
    <w:p w:rsidR="00506BE4" w:rsidRDefault="00506BE4" w:rsidP="00506BE4">
      <w:pPr>
        <w:pStyle w:val="StandardWeb"/>
      </w:pPr>
      <w:r>
        <w:t>Mit Definition 3.3.8 wurde eine funktionale Zeitstruktur eingeführt, die funktionale Zustandsklassen, ihre Ordnung und eine ordnungsverträgliche Zeitbewertung miteinander verbindet. Definition 3.3.9 ergänzt diese Konstruktion um eine funktionale Raumstruktur aus Zustandsklassen, räumlich interpretierten Nachbarschaften, optionalen Topologien und räumlichen Distanzbewertungen. Beide Strukturen wurden zunächst bewusst getrennt entwickelt. Aus der bloßen Existenz von funktionalem Raum und funktionaler Zeit folgt noch keine gemeinsame Raum-Zeit-Struktur [58, 59].</w:t>
      </w:r>
    </w:p>
    <w:p w:rsidR="00506BE4" w:rsidRDefault="00506BE4" w:rsidP="00506BE4">
      <w:pPr>
        <w:pStyle w:val="StandardWeb"/>
      </w:pPr>
      <w:r>
        <w:t>Eine funktionale Raum-Zeit-Kopplung muss festlegen, welche räumlichen Übergänge innerhalb einer funktionalen Entwicklung zulässig sind, wie räumliche Distanz und funktionale Dauer miteinander verglichen werden können und unter welchen Bedingungen räumliche sowie zeitliche Strukturen während einer Entwicklung gemeinsam erhalten bleiben. Die Mathematik stellt hierfür Produktstrukturen, Abbildungen, Relationen, Metriken und Kompatibilitätsbedingungen bereit. Diese Werkzeuge bestimmen jedoch nicht selbst, welche konkrete Kopplung innerhalb des FRZK wissenschaftlich sinnvoll ist [6, 71, 75, 76].</w:t>
      </w:r>
    </w:p>
    <w:p w:rsidR="00506BE4" w:rsidRDefault="00506BE4" w:rsidP="00506BE4">
      <w:pPr>
        <w:pStyle w:val="StandardWeb"/>
      </w:pPr>
      <w:r>
        <w:lastRenderedPageBreak/>
        <w:t>Die Kopplung darf daher weder als bloße Zusammenfassung zweier bereits vorhandener Strukturen noch als automatisch gegebene physikalische Raumzeit behandelt werden. Sie muss als zusätzliche definierte Verträglichkeitsstruktur eingeführt werden.</w:t>
      </w:r>
    </w:p>
    <w:p w:rsidR="00506BE4" w:rsidRDefault="00506BE4" w:rsidP="00506BE4">
      <w:pPr>
        <w:pStyle w:val="StandardWeb"/>
      </w:pPr>
      <w:r>
        <w:rPr>
          <w:rStyle w:val="Fett"/>
        </w:rPr>
        <w:t>Eigenleistung des FRZK</w:t>
      </w:r>
    </w:p>
    <w:p w:rsidR="00506BE4" w:rsidRDefault="00506BE4" w:rsidP="00506BE4">
      <w:pPr>
        <w:pStyle w:val="StandardWeb"/>
      </w:pPr>
      <w:r>
        <w:t>Ich definiere funktionale Raum-Zeit-Kopplung als eine Menge ausdrücklich festgelegter Bedingungen, durch welche funktionale Raumstruktur, funktionale Zeitstruktur und funktionale Entwicklungen miteinander verträglich verbunden werden. Die Kopplung ist keine weitere Primärannahme. Sie wird auf Grundlage der bereits eingeführten Zustände, Relationen, Transformationen, Ordnungen und Bewertungsfunktionen konstruiert.</w:t>
      </w:r>
    </w:p>
    <w:p w:rsidR="00506BE4" w:rsidRPr="00AF32B2" w:rsidRDefault="00506BE4" w:rsidP="00AF32B2">
      <w:pPr>
        <w:pStyle w:val="berschrift4"/>
      </w:pPr>
      <w:r w:rsidRPr="00AF32B2">
        <w:t>3.3.17.1 Ausgangsstrukturen</w:t>
      </w:r>
    </w:p>
    <w:p w:rsidR="00506BE4" w:rsidRDefault="00506BE4" w:rsidP="00506BE4">
      <w:pPr>
        <w:pStyle w:val="StandardWeb"/>
      </w:pPr>
      <w:r>
        <w:t>Die funktionale Raumstruktur lautet</w:t>
      </w:r>
    </w:p>
    <w:p w:rsidR="00506BE4" w:rsidRDefault="00506BE4" w:rsidP="00506BE4">
      <w:pPr>
        <w:pStyle w:val="berschrift1"/>
      </w:pPr>
      <w:r>
        <w:t>[</w:t>
      </w:r>
      <w:r>
        <w:br/>
        <w:t>\mathfrak{X}_{F}</w:t>
      </w:r>
    </w:p>
    <w:p w:rsidR="00506BE4" w:rsidRDefault="00506BE4" w:rsidP="00506BE4">
      <w:pPr>
        <w:pStyle w:val="StandardWeb"/>
      </w:pPr>
      <w:r>
        <w:t>\left(</w:t>
      </w:r>
      <w:r>
        <w:br/>
        <w:t>\mathcal{Q}</w:t>
      </w:r>
      <w:r>
        <w:rPr>
          <w:rStyle w:val="Hervorhebung"/>
        </w:rPr>
        <w:t>{F},</w:t>
      </w:r>
      <w:r>
        <w:rPr>
          <w:i/>
          <w:iCs/>
        </w:rPr>
        <w:br/>
      </w:r>
      <w:r>
        <w:rPr>
          <w:rStyle w:val="Hervorhebung"/>
        </w:rPr>
        <w:t>\mathcal{R}</w:t>
      </w:r>
      <w:r>
        <w:t>{\mathrm{sp}},</w:t>
      </w:r>
      <w:r>
        <w:br/>
        <w:t>\tau_{\mathrm{sp}},</w:t>
      </w:r>
      <w:r>
        <w:br/>
        <w:t>d_{\mathrm{sp}}</w:t>
      </w:r>
      <w:r>
        <w:br/>
        <w:t>\right).</w:t>
      </w:r>
      <w:r>
        <w:br/>
        <w:t>\tag{3.4240}</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\mathfrak{X}_{F}=\left(\mathcal{Q}_{F},\mathcal{R}_{\mathrm{sp}},\tau_{\mathrm{sp}},d_{\mathrm{sp}}\right)\qquad\text{(3.4240)}</w:t>
      </w:r>
    </w:p>
    <w:p w:rsidR="00506BE4" w:rsidRDefault="00506BE4" w:rsidP="00506BE4">
      <w:pPr>
        <w:pStyle w:val="StandardWeb"/>
      </w:pPr>
      <w:r>
        <w:t>Die funktionale Zeitstruktur lautet</w:t>
      </w:r>
    </w:p>
    <w:p w:rsidR="00506BE4" w:rsidRDefault="00506BE4" w:rsidP="00506BE4">
      <w:pPr>
        <w:pStyle w:val="berschrift1"/>
      </w:pPr>
      <w:r>
        <w:t>[</w:t>
      </w:r>
      <w:r>
        <w:br/>
        <w:t>\mathfrak{T}_{F}</w:t>
      </w:r>
    </w:p>
    <w:p w:rsidR="00506BE4" w:rsidRDefault="00506BE4" w:rsidP="00506BE4">
      <w:pPr>
        <w:pStyle w:val="StandardWeb"/>
      </w:pPr>
      <w:r>
        <w:t>\left(</w:t>
      </w:r>
      <w:r>
        <w:br/>
        <w:t>\mathcal{Q}</w:t>
      </w:r>
      <w:r>
        <w:rPr>
          <w:rStyle w:val="Hervorhebung"/>
        </w:rPr>
        <w:t>{F},</w:t>
      </w:r>
      <w:r>
        <w:rPr>
          <w:i/>
          <w:iCs/>
        </w:rPr>
        <w:br/>
      </w:r>
      <w:r>
        <w:rPr>
          <w:rStyle w:val="Hervorhebung"/>
        </w:rPr>
        <w:t>\mathbb{T}</w:t>
      </w:r>
      <w:r>
        <w:t>{F},</w:t>
      </w:r>
      <w:r>
        <w:br/>
        <w:t>\vartheta</w:t>
      </w:r>
      <w:r>
        <w:br/>
        <w:t>\right).</w:t>
      </w:r>
      <w:r>
        <w:br/>
        <w:t>\tag{3.4241}</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lastRenderedPageBreak/>
        <w:t>\mathfrak{T}_{F}=\left(\mathcal{Q}_{F},\mathbb{T}_{F},\vartheta\right)\qquad\text{(3.4241)}</w:t>
      </w:r>
    </w:p>
    <w:p w:rsidR="00506BE4" w:rsidRDefault="00506BE4" w:rsidP="00506BE4">
      <w:pPr>
        <w:pStyle w:val="StandardWeb"/>
      </w:pPr>
      <w:r>
        <w:t>Beide Strukturen besitzen mit (\mathcal{Q}_{F}) dieselbe Grundmenge funktionaler Zustandsklassen. Diese gemeinsame Grundmenge reicht jedoch nicht aus, um räumliche und zeitliche Eigenschaften miteinander zu koppeln. Insbesondere folgt aus</w:t>
      </w:r>
    </w:p>
    <w:p w:rsidR="00506BE4" w:rsidRDefault="00506BE4" w:rsidP="00506BE4">
      <w:pPr>
        <w:pStyle w:val="StandardWeb"/>
      </w:pPr>
      <w:r>
        <w:t>[</w:t>
      </w:r>
      <w:r>
        <w:br/>
        <w:t>x</w:t>
      </w:r>
      <w:r>
        <w:br/>
        <w:t>\in</w:t>
      </w:r>
      <w:r>
        <w:br/>
        <w:t>\mathcal{Q}_{F}</w:t>
      </w:r>
      <w:r>
        <w:br/>
        <w:t>\tag{3.4242}</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x\in\mathcal{Q}_{F}\qquad\text{(3.4242)}</w:t>
      </w:r>
    </w:p>
    <w:p w:rsidR="00506BE4" w:rsidRDefault="00506BE4" w:rsidP="00506BE4">
      <w:pPr>
        <w:pStyle w:val="StandardWeb"/>
      </w:pPr>
      <w:r>
        <w:t>weder ein räumlicher Abstand noch ein funktionaler Zeitwert, solange die entsprechenden Relationen und Abbildungen nicht ausgewertet werden.</w:t>
      </w:r>
    </w:p>
    <w:p w:rsidR="00506BE4" w:rsidRPr="00AF32B2" w:rsidRDefault="00506BE4" w:rsidP="00AF32B2">
      <w:pPr>
        <w:pStyle w:val="berschrift4"/>
      </w:pPr>
      <w:r w:rsidRPr="00AF32B2">
        <w:t>3.3.17.2 Raum-Zeit-Zustand</w:t>
      </w:r>
    </w:p>
    <w:p w:rsidR="00506BE4" w:rsidRDefault="00506BE4" w:rsidP="00506BE4">
      <w:pPr>
        <w:pStyle w:val="StandardWeb"/>
      </w:pPr>
      <w:r>
        <w:t>Für eine funktionale Zustandsklasse (x\in\mathcal{Q}_{F}) kann ein funktionaler Raum-Zeit-Zustand als geordnetes Paar aus räumlicher Repräsentation und funktionalem Zeitwert dargestellt werden:</w:t>
      </w:r>
    </w:p>
    <w:p w:rsidR="00506BE4" w:rsidRDefault="00506BE4" w:rsidP="00506BE4">
      <w:pPr>
        <w:pStyle w:val="berschrift1"/>
      </w:pPr>
      <w:r>
        <w:t>[</w:t>
      </w:r>
      <w:r>
        <w:br/>
        <w:t>z_{F}(x)</w:t>
      </w:r>
    </w:p>
    <w:p w:rsidR="00506BE4" w:rsidRDefault="00506BE4" w:rsidP="00506BE4">
      <w:pPr>
        <w:pStyle w:val="StandardWeb"/>
      </w:pPr>
      <w:r>
        <w:t>\left(</w:t>
      </w:r>
      <w:r>
        <w:br/>
        <w:t>x,</w:t>
      </w:r>
      <w:r>
        <w:br/>
        <w:t>\vartheta(x)</w:t>
      </w:r>
      <w:r>
        <w:br/>
        <w:t>\right).</w:t>
      </w:r>
      <w:r>
        <w:br/>
        <w:t>\tag{3.4243}</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z_{F}(x)=\left(x,\vartheta(x)\right)\qquad\text{(3.4243)}</w:t>
      </w:r>
    </w:p>
    <w:p w:rsidR="00506BE4" w:rsidRDefault="00506BE4" w:rsidP="00506BE4">
      <w:pPr>
        <w:pStyle w:val="StandardWeb"/>
      </w:pPr>
      <w:r>
        <w:t>Dabei bezeichnet:</w:t>
      </w:r>
    </w:p>
    <w:p w:rsidR="00506BE4" w:rsidRDefault="00506BE4" w:rsidP="00632D23">
      <w:pPr>
        <w:pStyle w:val="StandardWeb"/>
        <w:numPr>
          <w:ilvl w:val="0"/>
          <w:numId w:val="68"/>
        </w:numPr>
      </w:pPr>
      <w:r>
        <w:t>(x) die funktionale Zustandsklasse innerhalb der Raumstruktur,</w:t>
      </w:r>
    </w:p>
    <w:p w:rsidR="00506BE4" w:rsidRDefault="00506BE4" w:rsidP="00632D23">
      <w:pPr>
        <w:pStyle w:val="StandardWeb"/>
        <w:numPr>
          <w:ilvl w:val="0"/>
          <w:numId w:val="68"/>
        </w:numPr>
      </w:pPr>
      <w:r>
        <w:t>(\vartheta(x)) den zugeordneten funktionalen Zeitwert,</w:t>
      </w:r>
    </w:p>
    <w:p w:rsidR="00506BE4" w:rsidRDefault="00506BE4" w:rsidP="00632D23">
      <w:pPr>
        <w:pStyle w:val="StandardWeb"/>
        <w:numPr>
          <w:ilvl w:val="0"/>
          <w:numId w:val="68"/>
        </w:numPr>
      </w:pPr>
      <w:r>
        <w:t>(z_{F}(x)) die gemeinsame funktionale Raum-Zeit-Repräsentation.</w:t>
      </w:r>
    </w:p>
    <w:p w:rsidR="00506BE4" w:rsidRDefault="00506BE4" w:rsidP="00506BE4">
      <w:pPr>
        <w:pStyle w:val="StandardWeb"/>
      </w:pPr>
      <w:r>
        <w:t>Die Menge aller auf diese Weise repräsentierten funktionalen Raum-Zeit-Zustände lautet</w:t>
      </w:r>
    </w:p>
    <w:p w:rsidR="00506BE4" w:rsidRDefault="00506BE4" w:rsidP="00506BE4">
      <w:pPr>
        <w:pStyle w:val="berschrift1"/>
      </w:pPr>
      <w:r>
        <w:lastRenderedPageBreak/>
        <w:t>[</w:t>
      </w:r>
      <w:r>
        <w:br/>
        <w:t>\mathcal{Z}_{F}</w:t>
      </w:r>
    </w:p>
    <w:p w:rsidR="00506BE4" w:rsidRDefault="00506BE4" w:rsidP="00506BE4">
      <w:pPr>
        <w:pStyle w:val="StandardWeb"/>
      </w:pPr>
      <w:r>
        <w:t>\left{</w:t>
      </w:r>
      <w:r>
        <w:br/>
        <w:t>\left(</w:t>
      </w:r>
      <w:r>
        <w:br/>
        <w:t>x,\vartheta(x)</w:t>
      </w:r>
      <w:r>
        <w:br/>
        <w:t>\right)</w:t>
      </w:r>
      <w:r>
        <w:br/>
        <w:t>;\middle|;</w:t>
      </w:r>
      <w:r>
        <w:br/>
        <w:t>x\in\mathcal{Q}_{F}</w:t>
      </w:r>
      <w:r>
        <w:br/>
        <w:t>\right}.</w:t>
      </w:r>
      <w:r>
        <w:br/>
        <w:t>\tag{3.4244}</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\mathcal{Z}_{F}=\left\{\left(x,\vartheta(x)\right)\middle|x\in\mathcal{Q}_{F}\right\}\qquad\text{(3.4244)}</w:t>
      </w:r>
    </w:p>
    <w:p w:rsidR="00506BE4" w:rsidRDefault="00506BE4" w:rsidP="00506BE4">
      <w:pPr>
        <w:pStyle w:val="StandardWeb"/>
      </w:pPr>
      <w:r>
        <w:t>Die Darstellung in Gleichung (3.4244) erzeugt noch keine vollständige Kopplung. Sie ordnet lediglich jedem räumlich repräsentierten Zustand einen funktionalen Zeitwert zu.</w:t>
      </w:r>
    </w:p>
    <w:p w:rsidR="00506BE4" w:rsidRDefault="00506BE4" w:rsidP="00506BE4">
      <w:pPr>
        <w:pStyle w:val="StandardWeb"/>
      </w:pPr>
      <w:r>
        <w:rPr>
          <w:rStyle w:val="Fett"/>
        </w:rPr>
        <w:t>Eigenleistung des FRZK</w:t>
      </w:r>
    </w:p>
    <w:p w:rsidR="00506BE4" w:rsidRDefault="00506BE4" w:rsidP="00506BE4">
      <w:pPr>
        <w:pStyle w:val="StandardWeb"/>
      </w:pPr>
      <w:r>
        <w:t>Ich unterscheide zwischen einer gemeinsamen Raum-Zeit-Repräsentation und einer Raum-Zeit-Kopplung. Ein Paar aus Raumzustand und Zeitwert beschreibt nur eine Zuordnung. Eine Kopplung muss zusätzlich bestimmen, welche gemeinsamen Übergänge, Abstände und Verträglichkeitsbedingungen zulässig sind.</w:t>
      </w:r>
    </w:p>
    <w:p w:rsidR="00506BE4" w:rsidRPr="00AF32B2" w:rsidRDefault="00506BE4" w:rsidP="00AF32B2">
      <w:pPr>
        <w:pStyle w:val="berschrift4"/>
      </w:pPr>
      <w:r w:rsidRPr="00AF32B2">
        <w:t>3.3.17.3 Raum-Zeit-Übergang</w:t>
      </w:r>
    </w:p>
    <w:p w:rsidR="00506BE4" w:rsidRDefault="00506BE4" w:rsidP="00506BE4">
      <w:pPr>
        <w:pStyle w:val="StandardWeb"/>
      </w:pPr>
      <w:r>
        <w:t>Ein funktionaler Raum-Zeit-Übergang verbindet zwei Raum-Zeit-Zustände</w:t>
      </w:r>
    </w:p>
    <w:p w:rsidR="00506BE4" w:rsidRDefault="00506BE4" w:rsidP="00506BE4">
      <w:pPr>
        <w:pStyle w:val="berschrift1"/>
      </w:pPr>
      <w:r>
        <w:t>[</w:t>
      </w:r>
      <w:r>
        <w:br/>
        <w:t>z_{F}(x_i)</w:t>
      </w:r>
    </w:p>
    <w:p w:rsidR="00506BE4" w:rsidRDefault="00506BE4" w:rsidP="00506BE4">
      <w:pPr>
        <w:pStyle w:val="StandardWeb"/>
      </w:pPr>
      <w:r>
        <w:t>\left(</w:t>
      </w:r>
      <w:r>
        <w:br/>
        <w:t>x_i,</w:t>
      </w:r>
      <w:r>
        <w:br/>
        <w:t>t^{F}_{i}</w:t>
      </w:r>
      <w:r>
        <w:br/>
        <w:t>\right)</w:t>
      </w:r>
      <w:r>
        <w:br/>
        <w:t>\tag{3.4245}</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z_{F}(x_i)=\left(x_i,t^{F}_{i}\right)\qquad\text{(3.4245)}</w:t>
      </w:r>
    </w:p>
    <w:p w:rsidR="00506BE4" w:rsidRDefault="00506BE4" w:rsidP="00506BE4">
      <w:pPr>
        <w:pStyle w:val="StandardWeb"/>
      </w:pPr>
      <w:r>
        <w:t>und</w:t>
      </w:r>
    </w:p>
    <w:p w:rsidR="00506BE4" w:rsidRDefault="00506BE4" w:rsidP="00506BE4">
      <w:pPr>
        <w:pStyle w:val="berschrift1"/>
      </w:pPr>
      <w:r>
        <w:lastRenderedPageBreak/>
        <w:t>[</w:t>
      </w:r>
      <w:r>
        <w:br/>
        <w:t>z_{F}(x_j)</w:t>
      </w:r>
    </w:p>
    <w:p w:rsidR="00506BE4" w:rsidRDefault="00506BE4" w:rsidP="00506BE4">
      <w:pPr>
        <w:pStyle w:val="StandardWeb"/>
      </w:pPr>
      <w:r>
        <w:t>\left(</w:t>
      </w:r>
      <w:r>
        <w:br/>
        <w:t>x_j,</w:t>
      </w:r>
      <w:r>
        <w:br/>
        <w:t>t^{F}_{j}</w:t>
      </w:r>
      <w:r>
        <w:br/>
        <w:t>\right).</w:t>
      </w:r>
      <w:r>
        <w:br/>
        <w:t>\tag{3.4246}</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z_{F}(x_j)=\left(x_j,t^{F}_{j}\right)\qquad\text{(3.4246)}</w:t>
      </w:r>
    </w:p>
    <w:p w:rsidR="00506BE4" w:rsidRDefault="00506BE4" w:rsidP="00506BE4">
      <w:pPr>
        <w:pStyle w:val="StandardWeb"/>
      </w:pPr>
      <w:r>
        <w:t>Ein solcher Übergang ist nur dann funktional zulässig, wenn mindestens eine funktionale Transformation beziehungsweise Entwicklung existiert, welche (x_i) in (x_j) überführt:</w:t>
      </w:r>
    </w:p>
    <w:p w:rsidR="00506BE4" w:rsidRDefault="00506BE4" w:rsidP="00506BE4">
      <w:pPr>
        <w:pStyle w:val="StandardWeb"/>
      </w:pPr>
      <w:r>
        <w:t>[</w:t>
      </w:r>
      <w:r>
        <w:br/>
        <w:t>x_i</w:t>
      </w:r>
      <w:r>
        <w:br/>
        <w:t>\preceq_{!F}</w:t>
      </w:r>
      <w:r>
        <w:br/>
        <w:t>x_j.</w:t>
      </w:r>
      <w:r>
        <w:br/>
        <w:t>\tag{3.4247}</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x_i\preceq_{\!F}x_j\qquad\text{(3.4247)}</w:t>
      </w:r>
    </w:p>
    <w:p w:rsidR="00506BE4" w:rsidRDefault="00506BE4" w:rsidP="00506BE4">
      <w:pPr>
        <w:pStyle w:val="StandardWeb"/>
      </w:pPr>
      <w:r>
        <w:t>Zusätzlich muss die funktionale Zeitordnung erhalten bleiben:</w:t>
      </w:r>
    </w:p>
    <w:p w:rsidR="00506BE4" w:rsidRDefault="00506BE4" w:rsidP="00506BE4">
      <w:pPr>
        <w:pStyle w:val="StandardWeb"/>
      </w:pPr>
      <w:r>
        <w:t>[</w:t>
      </w:r>
      <w:r>
        <w:br/>
        <w:t>t^{F}</w:t>
      </w:r>
      <w:r>
        <w:rPr>
          <w:rStyle w:val="Hervorhebung"/>
        </w:rPr>
        <w:t>{i}</w:t>
      </w:r>
      <w:r>
        <w:rPr>
          <w:i/>
          <w:iCs/>
        </w:rPr>
        <w:br/>
      </w:r>
      <w:r>
        <w:rPr>
          <w:rStyle w:val="Hervorhebung"/>
        </w:rPr>
        <w:t>\leq</w:t>
      </w:r>
      <w:r>
        <w:t>{\mathbb{T}}</w:t>
      </w:r>
      <w:r>
        <w:br/>
        <w:t>t^{F}_{j}.</w:t>
      </w:r>
      <w:r>
        <w:br/>
        <w:t>\tag{3.4248}</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t^{F}_{i}\leq_{\mathbb{T}}t^{F}_{j}\qquad\text{(3.4248)}</w:t>
      </w:r>
    </w:p>
    <w:p w:rsidR="00506BE4" w:rsidRDefault="00506BE4" w:rsidP="00506BE4">
      <w:pPr>
        <w:pStyle w:val="StandardWeb"/>
      </w:pPr>
      <w:r>
        <w:t>Soll der Übergang räumlich unmittelbar sein, muss außerdem gelten:</w:t>
      </w:r>
    </w:p>
    <w:p w:rsidR="00506BE4" w:rsidRDefault="00506BE4" w:rsidP="00506BE4">
      <w:pPr>
        <w:pStyle w:val="StandardWeb"/>
      </w:pPr>
      <w:r>
        <w:t>[</w:t>
      </w:r>
      <w:r>
        <w:br/>
        <w:t>(x_i,x_j)</w:t>
      </w:r>
      <w:r>
        <w:br/>
        <w:t>\in</w:t>
      </w:r>
      <w:r>
        <w:br/>
        <w:t>\mathcal{R}_{\mathrm{sp}}.</w:t>
      </w:r>
      <w:r>
        <w:br/>
        <w:t>\tag{3.4249}</w:t>
      </w:r>
      <w:r>
        <w:br/>
        <w:t>]</w:t>
      </w:r>
    </w:p>
    <w:p w:rsidR="00506BE4" w:rsidRDefault="00506BE4" w:rsidP="00506BE4">
      <w:pPr>
        <w:pStyle w:val="StandardWeb"/>
      </w:pPr>
      <w:r>
        <w:rPr>
          <w:rStyle w:val="Fett"/>
        </w:rPr>
        <w:lastRenderedPageBreak/>
        <w:t>Word-LaTeX</w:t>
      </w:r>
    </w:p>
    <w:p w:rsidR="00506BE4" w:rsidRDefault="00506BE4" w:rsidP="00506BE4">
      <w:pPr>
        <w:pStyle w:val="HTMLVorformatiert"/>
        <w:rPr>
          <w:rStyle w:val="HTMLCode"/>
        </w:rPr>
      </w:pPr>
      <w:r>
        <w:rPr>
          <w:rStyle w:val="HTMLCode"/>
        </w:rPr>
        <w:t>(x_i,x_j)\in\mathcal{R}_{\mathrm{sp}}\qquad\text{(3.4249)}</w:t>
      </w:r>
    </w:p>
    <w:p w:rsidR="00506BE4" w:rsidRDefault="00506BE4" w:rsidP="00506BE4">
      <w:pPr>
        <w:pStyle w:val="StandardWeb"/>
      </w:pPr>
      <w:r>
        <w:t>Ein allgemeiner Raum-Zeit-Übergang muss nicht räumlich unmittelbar sein. Er kann aus mehreren räumlichen und funktionalen Teilschritten bestehen.</w:t>
      </w:r>
    </w:p>
    <w:p w:rsidR="00506BE4" w:rsidRPr="00AF32B2" w:rsidRDefault="00506BE4" w:rsidP="00AF32B2">
      <w:pPr>
        <w:pStyle w:val="berschrift4"/>
      </w:pPr>
      <w:r w:rsidRPr="00AF32B2">
        <w:t>3.3.17.4 Kopplungsprädikat</w:t>
      </w:r>
    </w:p>
    <w:p w:rsidR="00506BE4" w:rsidRDefault="00506BE4" w:rsidP="00506BE4">
      <w:pPr>
        <w:pStyle w:val="StandardWeb"/>
      </w:pPr>
      <w:r>
        <w:t>Die Verträglichkeit eines Übergangs kann durch ein binäres Kopplungsprädikat beschrieben werden:</w:t>
      </w:r>
    </w:p>
    <w:p w:rsidR="00506BE4" w:rsidRDefault="00506BE4" w:rsidP="00506BE4">
      <w:pPr>
        <w:pStyle w:val="StandardWeb"/>
      </w:pPr>
      <w:r>
        <w:t>[</w:t>
      </w:r>
      <w:r>
        <w:br/>
        <w:t>\kappa_{XT}:</w:t>
      </w:r>
      <w:r>
        <w:br/>
        <w:t>\mathcal{Z}</w:t>
      </w:r>
      <w:r>
        <w:rPr>
          <w:rStyle w:val="Hervorhebung"/>
        </w:rPr>
        <w:t>{F}\times\mathcal{Z}</w:t>
      </w:r>
      <w:r>
        <w:t>{F}</w:t>
      </w:r>
      <w:r>
        <w:br/>
        <w:t>\rightarrow</w:t>
      </w:r>
      <w:r>
        <w:br/>
        <w:t>{0,1}.</w:t>
      </w:r>
      <w:r>
        <w:br/>
        <w:t>\tag{3.4250}</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\kappa_{XT}:\mathcal{Z}_{F}\times\mathcal{Z}_{F}\rightarrow\{0,1\}\qquad\text{(3.4250)}</w:t>
      </w:r>
    </w:p>
    <w:p w:rsidR="00506BE4" w:rsidRDefault="00506BE4" w:rsidP="00506BE4">
      <w:pPr>
        <w:pStyle w:val="StandardWeb"/>
      </w:pPr>
      <w:r>
        <w:t>Dabei bedeutet:</w:t>
      </w:r>
    </w:p>
    <w:p w:rsidR="00506BE4" w:rsidRDefault="00506BE4" w:rsidP="00632D23">
      <w:pPr>
        <w:pStyle w:val="StandardWeb"/>
        <w:numPr>
          <w:ilvl w:val="0"/>
          <w:numId w:val="69"/>
        </w:numPr>
      </w:pPr>
      <w:r>
        <w:t>(\kappa_{XT}(z_i,z_j)=1): Der Übergang von (z_i) nach (z_j) erfüllt die ausgewählten Raum-Zeit-Kopplungsbedingungen.</w:t>
      </w:r>
    </w:p>
    <w:p w:rsidR="00506BE4" w:rsidRDefault="00506BE4" w:rsidP="00632D23">
      <w:pPr>
        <w:pStyle w:val="StandardWeb"/>
        <w:numPr>
          <w:ilvl w:val="0"/>
          <w:numId w:val="69"/>
        </w:numPr>
      </w:pPr>
      <w:r>
        <w:t>(\kappa_{XT}(z_i,z_j)=0): Mindestens eine Kopplungsbedingung ist verletzt.</w:t>
      </w:r>
    </w:p>
    <w:p w:rsidR="00506BE4" w:rsidRDefault="00506BE4" w:rsidP="00506BE4">
      <w:pPr>
        <w:pStyle w:val="StandardWeb"/>
      </w:pPr>
      <w:r>
        <w:t>Die Menge aller zugelassenen gekoppelten Übergänge definiere ich durch</w:t>
      </w:r>
    </w:p>
    <w:p w:rsidR="00506BE4" w:rsidRDefault="00506BE4" w:rsidP="00506BE4">
      <w:pPr>
        <w:pStyle w:val="berschrift1"/>
      </w:pPr>
      <w:r>
        <w:t>[</w:t>
      </w:r>
      <w:r>
        <w:br/>
        <w:t>\mathcal{K}_{XT}</w:t>
      </w:r>
    </w:p>
    <w:p w:rsidR="00506BE4" w:rsidRDefault="00506BE4" w:rsidP="00506BE4">
      <w:pPr>
        <w:pStyle w:val="StandardWeb"/>
      </w:pPr>
      <w:r>
        <w:t>\left{</w:t>
      </w:r>
      <w:r>
        <w:br/>
        <w:t>(z_i,z_j)</w:t>
      </w:r>
      <w:r>
        <w:br/>
        <w:t>\in</w:t>
      </w:r>
      <w:r>
        <w:br/>
        <w:t>\mathcal{Z}</w:t>
      </w:r>
      <w:r>
        <w:rPr>
          <w:rStyle w:val="Hervorhebung"/>
        </w:rPr>
        <w:t>{F}\times\mathcal{Z}</w:t>
      </w:r>
      <w:r>
        <w:t>{F}</w:t>
      </w:r>
      <w:r>
        <w:br/>
        <w:t>;\middle|;</w:t>
      </w:r>
      <w:r>
        <w:br/>
        <w:t>\kappa_{XT}(z_i,z_j)=1</w:t>
      </w:r>
      <w:r>
        <w:br/>
        <w:t>\right}.</w:t>
      </w:r>
      <w:r>
        <w:br/>
        <w:t>\tag{3.4251}</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\mathcal{K}_{XT}=\left\{(z_i,z_j)\in\mathcal{Z}_{F}\times\mathcal{Z}_{F}\middle|\kappa_{XT}(z_i,z_j)=1\right\}\qquad\text{(3.4251)}</w:t>
      </w:r>
    </w:p>
    <w:p w:rsidR="00506BE4" w:rsidRDefault="00506BE4" w:rsidP="00506BE4">
      <w:pPr>
        <w:pStyle w:val="StandardWeb"/>
      </w:pPr>
      <w:r>
        <w:lastRenderedPageBreak/>
        <w:t>Dabei bezeichnet (\mathcal{K}_{XT}) die funktionale Raum-Zeit-Kopplungsrelation.</w:t>
      </w:r>
    </w:p>
    <w:p w:rsidR="00506BE4" w:rsidRDefault="00506BE4" w:rsidP="00506BE4">
      <w:pPr>
        <w:pStyle w:val="StandardWeb"/>
      </w:pPr>
      <w:r>
        <w:rPr>
          <w:rStyle w:val="Fett"/>
        </w:rPr>
        <w:t>Eigenleistung des FRZK</w:t>
      </w:r>
    </w:p>
    <w:p w:rsidR="00506BE4" w:rsidRDefault="00506BE4" w:rsidP="00506BE4">
      <w:pPr>
        <w:pStyle w:val="StandardWeb"/>
      </w:pPr>
      <w:r>
        <w:t>Ich verwende (\kappa_{XT}) als allgemeines Kopplungsprädikat. Es legt noch keine einzelne konkrete Raum-Zeit-Beziehung fest, sondern stellt eine formale Schnittstelle für unterschiedliche Kopplungsbedingungen bereit.</w:t>
      </w:r>
    </w:p>
    <w:p w:rsidR="00506BE4" w:rsidRPr="00AF32B2" w:rsidRDefault="00506BE4" w:rsidP="00AF32B2">
      <w:pPr>
        <w:pStyle w:val="berschrift4"/>
      </w:pPr>
      <w:r w:rsidRPr="00AF32B2">
        <w:t>3.3.17.5 Definition der funktionalen Raum-Zeit-Kopplung</w:t>
      </w:r>
    </w:p>
    <w:p w:rsidR="00506BE4" w:rsidRDefault="00506BE4" w:rsidP="00506BE4">
      <w:pPr>
        <w:pStyle w:val="StandardWeb"/>
      </w:pPr>
      <w:r>
        <w:rPr>
          <w:rStyle w:val="Fett"/>
        </w:rPr>
        <w:t>Definition 3.3.10 – Funktionale Raum-Zeit-Kopplung</w:t>
      </w:r>
    </w:p>
    <w:p w:rsidR="00506BE4" w:rsidRDefault="00506BE4" w:rsidP="00506BE4">
      <w:pPr>
        <w:pStyle w:val="StandardWeb"/>
      </w:pPr>
      <w:r>
        <w:t>Eine funktionale Raum-Zeit-Kopplung ist eine Verträglichkeitsstruktur</w:t>
      </w:r>
    </w:p>
    <w:p w:rsidR="00506BE4" w:rsidRDefault="00506BE4" w:rsidP="00506BE4">
      <w:pPr>
        <w:pStyle w:val="berschrift1"/>
      </w:pPr>
      <w:r>
        <w:t>[</w:t>
      </w:r>
      <w:r>
        <w:br/>
        <w:t>\mathfrak{K}_{XT}</w:t>
      </w:r>
    </w:p>
    <w:p w:rsidR="00506BE4" w:rsidRDefault="00506BE4" w:rsidP="00506BE4">
      <w:pPr>
        <w:pStyle w:val="StandardWeb"/>
      </w:pPr>
      <w:r>
        <w:t>\left(</w:t>
      </w:r>
      <w:r>
        <w:br/>
        <w:t>\mathfrak{X}</w:t>
      </w:r>
      <w:r>
        <w:rPr>
          <w:rStyle w:val="Hervorhebung"/>
        </w:rPr>
        <w:t>{F},</w:t>
      </w:r>
      <w:r>
        <w:rPr>
          <w:i/>
          <w:iCs/>
        </w:rPr>
        <w:br/>
      </w:r>
      <w:r>
        <w:rPr>
          <w:rStyle w:val="Hervorhebung"/>
        </w:rPr>
        <w:t>\mathfrak{T}</w:t>
      </w:r>
      <w:r>
        <w:t>{F},</w:t>
      </w:r>
      <w:r>
        <w:br/>
        <w:t>\mathcal{K}_{XT}</w:t>
      </w:r>
      <w:r>
        <w:br/>
        <w:t>\right),</w:t>
      </w:r>
      <w:r>
        <w:br/>
        <w:t>\tag{3.4252}</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\mathfrak{K}_{XT}=\left(\mathfrak{X}_{F},\mathfrak{T}_{F},\mathcal{K}_{XT}\right)\qquad\text{(3.4252)}</w:t>
      </w:r>
    </w:p>
    <w:p w:rsidR="00506BE4" w:rsidRDefault="00506BE4" w:rsidP="00506BE4">
      <w:pPr>
        <w:pStyle w:val="StandardWeb"/>
      </w:pPr>
      <w:r>
        <w:t>bei der (\mathcal{K}_{XT}) diejenigen Übergänge zwischen funktionalen Raum-Zeit-Zuständen enthält, welche die ausdrücklich festgelegten räumlichen, zeitlichen und funktionalen Kopplungsbedingungen erfüllen.</w:t>
      </w:r>
    </w:p>
    <w:p w:rsidR="00506BE4" w:rsidRDefault="00506BE4" w:rsidP="00506BE4">
      <w:pPr>
        <w:pStyle w:val="StandardWeb"/>
      </w:pPr>
      <w:r>
        <w:t>Formal gilt:</w:t>
      </w:r>
    </w:p>
    <w:p w:rsidR="00506BE4" w:rsidRDefault="00506BE4" w:rsidP="00506BE4">
      <w:pPr>
        <w:pStyle w:val="StandardWeb"/>
      </w:pPr>
      <w:r>
        <w:t>[</w:t>
      </w:r>
      <w:r>
        <w:br/>
        <w:t>(z_i,z_j)</w:t>
      </w:r>
      <w:r>
        <w:br/>
        <w:t>\in</w:t>
      </w:r>
      <w:r>
        <w:br/>
        <w:t>\mathcal{K}</w:t>
      </w:r>
      <w:r>
        <w:rPr>
          <w:rStyle w:val="Hervorhebung"/>
        </w:rPr>
        <w:t>{XT}</w:t>
      </w:r>
      <w:r>
        <w:rPr>
          <w:i/>
          <w:iCs/>
        </w:rPr>
        <w:br/>
      </w:r>
      <w:r>
        <w:rPr>
          <w:rStyle w:val="Hervorhebung"/>
        </w:rPr>
        <w:t>\iff</w:t>
      </w:r>
      <w:r>
        <w:rPr>
          <w:i/>
          <w:iCs/>
        </w:rPr>
        <w:br/>
      </w:r>
      <w:r>
        <w:rPr>
          <w:rStyle w:val="Hervorhebung"/>
        </w:rPr>
        <w:t>\kappa</w:t>
      </w:r>
      <w:r>
        <w:t>{XT}(z_i,z_j)=1.</w:t>
      </w:r>
      <w:r>
        <w:br/>
        <w:t>\tag{3.4253}</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(z_i,z_j)\in\mathcal{K}_{XT}\iff\kappa_{XT}(z_i,z_j)=1\qquad\text{(3.4253)}</w:t>
      </w:r>
    </w:p>
    <w:p w:rsidR="00506BE4" w:rsidRDefault="00506BE4" w:rsidP="00506BE4">
      <w:pPr>
        <w:pStyle w:val="StandardWeb"/>
      </w:pPr>
      <w:r>
        <w:lastRenderedPageBreak/>
        <w:t>Definition 3.3.10 setzt nicht voraus, dass jede räumliche Verbindung zeitlich zulässig oder jede zeitlich geordnete Entwicklung räumlich interpretierbar ist. Die Kopplungsrelation enthält nur diejenigen Übergänge, für welche beide Strukturen miteinander verträglich verbunden werden können.</w:t>
      </w:r>
    </w:p>
    <w:p w:rsidR="00506BE4" w:rsidRPr="00AF32B2" w:rsidRDefault="00506BE4" w:rsidP="00AF32B2">
      <w:pPr>
        <w:pStyle w:val="berschrift4"/>
      </w:pPr>
      <w:r w:rsidRPr="00AF32B2">
        <w:t>3.3.17.6 Minimale Kopplungsbedingungen</w:t>
      </w:r>
    </w:p>
    <w:p w:rsidR="00506BE4" w:rsidRDefault="00506BE4" w:rsidP="00506BE4">
      <w:pPr>
        <w:pStyle w:val="StandardWeb"/>
      </w:pPr>
      <w:r>
        <w:t>Eine minimale funktionale Raum-Zeit-Kopplung kann durch drei Bedingungen beschrieben werden.</w:t>
      </w:r>
    </w:p>
    <w:p w:rsidR="00506BE4" w:rsidRDefault="00506BE4" w:rsidP="00506BE4">
      <w:pPr>
        <w:pStyle w:val="StandardWeb"/>
      </w:pPr>
      <w:r>
        <w:t>Erstens muss funktionale Erreichbarkeit gelten:</w:t>
      </w:r>
    </w:p>
    <w:p w:rsidR="00506BE4" w:rsidRDefault="00506BE4" w:rsidP="00506BE4">
      <w:pPr>
        <w:pStyle w:val="StandardWeb"/>
      </w:pPr>
      <w:r>
        <w:t>[</w:t>
      </w:r>
      <w:r>
        <w:br/>
        <w:t>x_i</w:t>
      </w:r>
      <w:r>
        <w:br/>
        <w:t>\preceq_{!F}</w:t>
      </w:r>
      <w:r>
        <w:br/>
        <w:t>x_j.</w:t>
      </w:r>
      <w:r>
        <w:br/>
        <w:t>\tag{3.4254}</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x_i\preceq_{\!F}x_j\qquad\text{(3.4254)}</w:t>
      </w:r>
    </w:p>
    <w:p w:rsidR="00506BE4" w:rsidRDefault="00506BE4" w:rsidP="00506BE4">
      <w:pPr>
        <w:pStyle w:val="StandardWeb"/>
      </w:pPr>
      <w:r>
        <w:t>Zweitens muss die funktionale Zeitordnung erhalten bleiben:</w:t>
      </w:r>
    </w:p>
    <w:p w:rsidR="00506BE4" w:rsidRDefault="00506BE4" w:rsidP="00506BE4">
      <w:pPr>
        <w:pStyle w:val="StandardWeb"/>
      </w:pPr>
      <w:r>
        <w:t>[</w:t>
      </w:r>
      <w:r>
        <w:br/>
        <w:t>\vartheta(x_i)</w:t>
      </w:r>
      <w:r>
        <w:br/>
        <w:t>\leq_{\mathbb{T}}</w:t>
      </w:r>
      <w:r>
        <w:br/>
        <w:t>\vartheta(x_j).</w:t>
      </w:r>
      <w:r>
        <w:br/>
        <w:t>\tag{3.4255}</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\vartheta(x_i)\leq_{\mathbb{T}}\vartheta(x_j)\qquad\text{(3.4255)}</w:t>
      </w:r>
    </w:p>
    <w:p w:rsidR="00506BE4" w:rsidRDefault="00506BE4" w:rsidP="00506BE4">
      <w:pPr>
        <w:pStyle w:val="StandardWeb"/>
      </w:pPr>
      <w:r>
        <w:t>Drittens muss eine räumliche Verbindung oder ein räumlicher Pfad existieren:</w:t>
      </w:r>
    </w:p>
    <w:p w:rsidR="00506BE4" w:rsidRDefault="00506BE4" w:rsidP="00506BE4">
      <w:pPr>
        <w:pStyle w:val="StandardWeb"/>
      </w:pPr>
      <w:r>
        <w:t>[</w:t>
      </w:r>
      <w:r>
        <w:br/>
        <w:t>d_{\mathrm{sp}}(x_i,x_j)</w:t>
      </w:r>
      <w:r>
        <w:br/>
        <w:t>&lt;</w:t>
      </w:r>
      <w:r>
        <w:br/>
        <w:t>\infty.</w:t>
      </w:r>
      <w:r>
        <w:br/>
        <w:t>\tag{3.4256}</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d_{\mathrm{sp}}(x_i,x_j)&lt;\infty\qquad\text{(3.4256)}</w:t>
      </w:r>
    </w:p>
    <w:p w:rsidR="00506BE4" w:rsidRDefault="00506BE4" w:rsidP="00506BE4">
      <w:pPr>
        <w:pStyle w:val="StandardWeb"/>
      </w:pPr>
      <w:r>
        <w:t>Die minimale Kopplungsbedingung lautet damit:</w:t>
      </w:r>
    </w:p>
    <w:p w:rsidR="00506BE4" w:rsidRDefault="00506BE4" w:rsidP="00506BE4">
      <w:pPr>
        <w:pStyle w:val="StandardWeb"/>
      </w:pPr>
      <w:r>
        <w:lastRenderedPageBreak/>
        <w:t>[</w:t>
      </w:r>
      <w:r>
        <w:br/>
        <w:t>\kappa_{XT}(z_i,z_j)=1</w:t>
      </w:r>
      <w:r>
        <w:br/>
        <w:t>\iff</w:t>
      </w:r>
      <w:r>
        <w:br/>
        <w:t>\left(</w:t>
      </w:r>
      <w:r>
        <w:br/>
        <w:t>x_i\preceq_{!F}x_j</w:t>
      </w:r>
      <w:r>
        <w:br/>
        <w:t>\right)</w:t>
      </w:r>
      <w:r>
        <w:br/>
        <w:t>\land</w:t>
      </w:r>
      <w:r>
        <w:br/>
        <w:t>\left(</w:t>
      </w:r>
      <w:r>
        <w:br/>
        <w:t>\vartheta(x_i)\leq_{\mathbb{T}}\vartheta(x_j)</w:t>
      </w:r>
      <w:r>
        <w:br/>
        <w:t>\right)</w:t>
      </w:r>
      <w:r>
        <w:br/>
        <w:t>\land</w:t>
      </w:r>
      <w:r>
        <w:br/>
        <w:t>\left(</w:t>
      </w:r>
      <w:r>
        <w:br/>
        <w:t>d_{\mathrm{sp}}(x_i,x_j)&lt;\infty</w:t>
      </w:r>
      <w:r>
        <w:br/>
        <w:t>\right).</w:t>
      </w:r>
      <w:r>
        <w:br/>
        <w:t>\tag{3.4257}</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\kappa_{XT}(z_i,z_j)=1\iff\left(x_i\preceq_{\!F}x_j\right)\land\left(\vartheta(x_i)\leq_{\mathbb{T}}\vartheta(x_j)\right)\land\left(d_{\mathrm{sp}}(x_i,x_j)&lt;\infty\right)\qquad\text{(3.4257)}</w:t>
      </w:r>
    </w:p>
    <w:p w:rsidR="00506BE4" w:rsidRDefault="00506BE4" w:rsidP="00506BE4">
      <w:pPr>
        <w:pStyle w:val="StandardWeb"/>
      </w:pPr>
      <w:r>
        <w:t>Diese Bedingung ist bewusst schwach. Sie legt weder eine maximale Geschwindigkeit noch eine feste Beziehung zwischen räumlicher Distanz und funktionaler Dauer fest.</w:t>
      </w:r>
    </w:p>
    <w:p w:rsidR="00506BE4" w:rsidRPr="00AF32B2" w:rsidRDefault="00506BE4" w:rsidP="00AF32B2">
      <w:pPr>
        <w:pStyle w:val="berschrift4"/>
      </w:pPr>
      <w:r w:rsidRPr="00AF32B2">
        <w:t>3.3.17.7 Kopplung über funktionale Dauer</w:t>
      </w:r>
    </w:p>
    <w:p w:rsidR="00506BE4" w:rsidRDefault="00506BE4" w:rsidP="00506BE4">
      <w:pPr>
        <w:pStyle w:val="StandardWeb"/>
      </w:pPr>
      <w:r>
        <w:t>Besitzt der Übergang eine funktionale Dauer</w:t>
      </w:r>
    </w:p>
    <w:p w:rsidR="00506BE4" w:rsidRDefault="00506BE4" w:rsidP="00506BE4">
      <w:pPr>
        <w:pStyle w:val="berschrift1"/>
      </w:pPr>
      <w:r>
        <w:t>[</w:t>
      </w:r>
      <w:r>
        <w:br/>
        <w:t>\Delta t^{F}_{ij}</w:t>
      </w:r>
    </w:p>
    <w:p w:rsidR="00506BE4" w:rsidRDefault="00506BE4" w:rsidP="00506BE4">
      <w:pPr>
        <w:pStyle w:val="StandardWeb"/>
      </w:pPr>
      <w:r>
        <w:t>t^{F}</w:t>
      </w:r>
      <w:r>
        <w:rPr>
          <w:rStyle w:val="Hervorhebung"/>
        </w:rPr>
        <w:t>{j}-t^{F}</w:t>
      </w:r>
      <w:r>
        <w:t>{i},</w:t>
      </w:r>
      <w:r>
        <w:br/>
        <w:t>\tag{3.4258}</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\Delta t^{F}_{ij}=t^{F}_{j}-t^{F}_{i}\qquad\text{(3.4258)}</w:t>
      </w:r>
    </w:p>
    <w:p w:rsidR="00506BE4" w:rsidRDefault="00506BE4" w:rsidP="00506BE4">
      <w:pPr>
        <w:pStyle w:val="StandardWeb"/>
      </w:pPr>
      <w:r>
        <w:t>und eine räumliche Distanz</w:t>
      </w:r>
    </w:p>
    <w:p w:rsidR="00506BE4" w:rsidRDefault="00506BE4" w:rsidP="00506BE4">
      <w:pPr>
        <w:pStyle w:val="StandardWeb"/>
      </w:pPr>
      <w:r>
        <w:t>[</w:t>
      </w:r>
      <w:r>
        <w:br/>
        <w:t>d_{\mathrm{sp}}(x_i,x_j),</w:t>
      </w:r>
      <w:r>
        <w:br/>
        <w:t>\tag{3.4259}</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lastRenderedPageBreak/>
        <w:t>d_{\mathrm{sp}}(x_i,x_j)\qquad\text{(3.4259)}</w:t>
      </w:r>
    </w:p>
    <w:p w:rsidR="00506BE4" w:rsidRDefault="00506BE4" w:rsidP="00506BE4">
      <w:pPr>
        <w:pStyle w:val="StandardWeb"/>
      </w:pPr>
      <w:r>
        <w:t>kann ein funktionales Raum-Zeit-Verhältnis definiert werden:</w:t>
      </w:r>
    </w:p>
    <w:p w:rsidR="00506BE4" w:rsidRDefault="00506BE4" w:rsidP="00506BE4">
      <w:pPr>
        <w:pStyle w:val="berschrift1"/>
      </w:pPr>
      <w:r>
        <w:t>[</w:t>
      </w:r>
      <w:r>
        <w:br/>
        <w:t>v^{F}_{ij}</w:t>
      </w:r>
    </w:p>
    <w:p w:rsidR="00506BE4" w:rsidRDefault="00506BE4" w:rsidP="00506BE4">
      <w:pPr>
        <w:pStyle w:val="StandardWeb"/>
      </w:pPr>
      <w:r>
        <w:t>\frac{</w:t>
      </w:r>
      <w:r>
        <w:br/>
        <w:t>d_{\mathrm{sp}}(x_i,x_j)</w:t>
      </w:r>
      <w:r>
        <w:br/>
        <w:t>}{</w:t>
      </w:r>
      <w:r>
        <w:br/>
        <w:t>\Delta t^{F}</w:t>
      </w:r>
      <w:r>
        <w:rPr>
          <w:rStyle w:val="Hervorhebung"/>
        </w:rPr>
        <w:t>{ij}</w:t>
      </w:r>
      <w:r>
        <w:rPr>
          <w:i/>
          <w:iCs/>
        </w:rPr>
        <w:br/>
      </w:r>
      <w:r>
        <w:rPr>
          <w:rStyle w:val="Hervorhebung"/>
        </w:rPr>
        <w:t>},</w:t>
      </w:r>
      <w:r>
        <w:rPr>
          <w:i/>
          <w:iCs/>
        </w:rPr>
        <w:br/>
      </w:r>
      <w:r>
        <w:rPr>
          <w:rStyle w:val="Hervorhebung"/>
        </w:rPr>
        <w:t>\qquad</w:t>
      </w:r>
      <w:r>
        <w:rPr>
          <w:i/>
          <w:iCs/>
        </w:rPr>
        <w:br/>
      </w:r>
      <w:r>
        <w:rPr>
          <w:rStyle w:val="Hervorhebung"/>
        </w:rPr>
        <w:t>\Delta t^{F}</w:t>
      </w:r>
      <w:r>
        <w:t>{ij}&gt;0.</w:t>
      </w:r>
      <w:r>
        <w:br/>
        <w:t>\tag{3.4260}</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v^{F}_{ij}=\frac{d_{\mathrm{sp}}(x_i,x_j)}{\Delta t^{F}_{ij}},\qquad\Delta t^{F}_{ij}&gt;0\qquad\text{(3.4260)}</w:t>
      </w:r>
    </w:p>
    <w:p w:rsidR="00506BE4" w:rsidRDefault="00506BE4" w:rsidP="00506BE4">
      <w:pPr>
        <w:pStyle w:val="StandardWeb"/>
      </w:pPr>
      <w:r>
        <w:t>Dabei bezeichnet (v^{F}_{ij}) eine funktionale räumliche Änderungsrate. Sie ist nicht automatisch eine physikalische Geschwindigkeit. Ihre Einheit hängt von der gewählten räumlichen Distanz und der funktionalen Dauerbewertung ab.</w:t>
      </w:r>
    </w:p>
    <w:p w:rsidR="00506BE4" w:rsidRDefault="00506BE4" w:rsidP="00506BE4">
      <w:pPr>
        <w:pStyle w:val="StandardWeb"/>
      </w:pPr>
      <w:r>
        <w:rPr>
          <w:rStyle w:val="Fett"/>
        </w:rPr>
        <w:t>Eigenleistung des FRZK</w:t>
      </w:r>
    </w:p>
    <w:p w:rsidR="00506BE4" w:rsidRDefault="00506BE4" w:rsidP="00506BE4">
      <w:pPr>
        <w:pStyle w:val="StandardWeb"/>
      </w:pPr>
      <w:r>
        <w:t>Ich führe (v^{F}_{ij}) nur als Verhältnis zweier funktionaler Bewertungsgrößen ein. Eine physikalische Interpretation als Geschwindigkeit erfordert zusätzlich eine empirische Kalibrierung von Raum und Zeit.</w:t>
      </w:r>
    </w:p>
    <w:p w:rsidR="00506BE4" w:rsidRPr="00AF32B2" w:rsidRDefault="00506BE4" w:rsidP="00AF32B2">
      <w:pPr>
        <w:pStyle w:val="berschrift4"/>
      </w:pPr>
      <w:r w:rsidRPr="00AF32B2">
        <w:t>3.3.17.8 Maximale funktionale Kopplungsrate</w:t>
      </w:r>
    </w:p>
    <w:p w:rsidR="00506BE4" w:rsidRDefault="00506BE4" w:rsidP="00506BE4">
      <w:pPr>
        <w:pStyle w:val="StandardWeb"/>
      </w:pPr>
      <w:r>
        <w:t>Für ein konkretes Modell kann eine obere Schranke</w:t>
      </w:r>
    </w:p>
    <w:p w:rsidR="00506BE4" w:rsidRDefault="00506BE4" w:rsidP="00506BE4">
      <w:pPr>
        <w:pStyle w:val="StandardWeb"/>
      </w:pPr>
      <w:r>
        <w:t>[</w:t>
      </w:r>
      <w:r>
        <w:br/>
        <w:t>v^{F}_{\max}</w:t>
      </w:r>
    </w:p>
    <w:p w:rsidR="00506BE4" w:rsidRDefault="00506BE4" w:rsidP="00506BE4">
      <w:pPr>
        <w:pStyle w:val="StandardWeb"/>
      </w:pPr>
      <w:r>
        <w:t>0</w:t>
      </w:r>
      <w:r>
        <w:br/>
        <w:t>\tag{3.4261}</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v^{F}_{\max}&gt;0\qquad\text{(3.4261)}</w:t>
      </w:r>
    </w:p>
    <w:p w:rsidR="00506BE4" w:rsidRDefault="00506BE4" w:rsidP="00506BE4">
      <w:pPr>
        <w:pStyle w:val="StandardWeb"/>
      </w:pPr>
      <w:r>
        <w:t>festgelegt werden.</w:t>
      </w:r>
    </w:p>
    <w:p w:rsidR="00506BE4" w:rsidRDefault="00506BE4" w:rsidP="00506BE4">
      <w:pPr>
        <w:pStyle w:val="StandardWeb"/>
      </w:pPr>
      <w:r>
        <w:t>Ein Übergang ist dann nur zulässig, wenn</w:t>
      </w:r>
    </w:p>
    <w:p w:rsidR="00506BE4" w:rsidRDefault="00506BE4" w:rsidP="00506BE4">
      <w:pPr>
        <w:pStyle w:val="StandardWeb"/>
      </w:pPr>
      <w:r>
        <w:lastRenderedPageBreak/>
        <w:t>[</w:t>
      </w:r>
      <w:r>
        <w:br/>
        <w:t>v^{F}</w:t>
      </w:r>
      <w:r>
        <w:rPr>
          <w:rStyle w:val="Hervorhebung"/>
        </w:rPr>
        <w:t>{ij}</w:t>
      </w:r>
      <w:r>
        <w:rPr>
          <w:i/>
          <w:iCs/>
        </w:rPr>
        <w:br/>
      </w:r>
      <w:r>
        <w:rPr>
          <w:rStyle w:val="Hervorhebung"/>
        </w:rPr>
        <w:t>\leq</w:t>
      </w:r>
      <w:r>
        <w:rPr>
          <w:i/>
          <w:iCs/>
        </w:rPr>
        <w:br/>
      </w:r>
      <w:r>
        <w:rPr>
          <w:rStyle w:val="Hervorhebung"/>
        </w:rPr>
        <w:t>v^{F}</w:t>
      </w:r>
      <w:r>
        <w:t>{\max}.</w:t>
      </w:r>
      <w:r>
        <w:br/>
        <w:t>\tag{3.4262}</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v^{F}_{ij}\leq v^{F}_{\max}\qquad\text{(3.4262)}</w:t>
      </w:r>
    </w:p>
    <w:p w:rsidR="00506BE4" w:rsidRDefault="00506BE4" w:rsidP="00506BE4">
      <w:pPr>
        <w:pStyle w:val="StandardWeb"/>
      </w:pPr>
      <w:r>
        <w:t>Äquivalent gilt:</w:t>
      </w:r>
    </w:p>
    <w:p w:rsidR="00506BE4" w:rsidRDefault="00506BE4" w:rsidP="00506BE4">
      <w:pPr>
        <w:pStyle w:val="StandardWeb"/>
      </w:pPr>
      <w:r>
        <w:t>[</w:t>
      </w:r>
      <w:r>
        <w:br/>
        <w:t>d_{\mathrm{sp}}(x_i,x_j)</w:t>
      </w:r>
      <w:r>
        <w:br/>
        <w:t>\leq</w:t>
      </w:r>
      <w:r>
        <w:br/>
        <w:t>v^{F}</w:t>
      </w:r>
      <w:r>
        <w:rPr>
          <w:rStyle w:val="Hervorhebung"/>
        </w:rPr>
        <w:t>{\max}</w:t>
      </w:r>
      <w:r>
        <w:rPr>
          <w:i/>
          <w:iCs/>
        </w:rPr>
        <w:br/>
      </w:r>
      <w:r>
        <w:rPr>
          <w:rStyle w:val="Hervorhebung"/>
        </w:rPr>
        <w:t>\Delta t^{F}</w:t>
      </w:r>
      <w:r>
        <w:t>{ij}.</w:t>
      </w:r>
      <w:r>
        <w:br/>
        <w:t>\tag{3.4263}</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d_{\mathrm{sp}}(x_i,x_j)\leq v^{F}_{\max}\Delta t^{F}_{ij}\qquad\text{(3.4263)}</w:t>
      </w:r>
    </w:p>
    <w:p w:rsidR="00506BE4" w:rsidRDefault="00506BE4" w:rsidP="00506BE4">
      <w:pPr>
        <w:pStyle w:val="StandardWeb"/>
      </w:pPr>
      <w:r>
        <w:t>Die Schranke (v^{F}_{\max}) ist keine Folge der bisherigen Primäraxiome. Sie wäre eine zusätzliche Modellbedingung. Insbesondere darf sie nicht ohne empirische oder theoretische Begründung mit einer bekannten physikalischen Grenzgeschwindigkeit identifiziert werden [58, 59].</w:t>
      </w:r>
    </w:p>
    <w:p w:rsidR="00506BE4" w:rsidRPr="00AF32B2" w:rsidRDefault="00506BE4" w:rsidP="00AF32B2">
      <w:pPr>
        <w:pStyle w:val="berschrift4"/>
      </w:pPr>
      <w:r w:rsidRPr="00AF32B2">
        <w:t>3.3.17.9 Funktionaler Kopplungskegel</w:t>
      </w:r>
    </w:p>
    <w:p w:rsidR="00506BE4" w:rsidRDefault="00506BE4" w:rsidP="00506BE4">
      <w:pPr>
        <w:pStyle w:val="StandardWeb"/>
      </w:pPr>
      <w:r>
        <w:t>Für einen Raum-Zeit-Zustand (z_i=(x_i,t_i^{F})) kann die Menge aller unter einer maximalen funktionalen Kopplungsrate erreichbaren Zustände definiert werden:</w:t>
      </w:r>
    </w:p>
    <w:p w:rsidR="00506BE4" w:rsidRDefault="00506BE4" w:rsidP="00506BE4">
      <w:pPr>
        <w:pStyle w:val="berschrift1"/>
      </w:pPr>
      <w:r>
        <w:t>[</w:t>
      </w:r>
      <w:r>
        <w:br/>
        <w:t>\mathcal{C}^{+}_{F}(z_i)</w:t>
      </w:r>
    </w:p>
    <w:p w:rsidR="00506BE4" w:rsidRDefault="00506BE4" w:rsidP="00506BE4">
      <w:pPr>
        <w:pStyle w:val="StandardWeb"/>
      </w:pPr>
      <w:r>
        <w:t>\left{</w:t>
      </w:r>
      <w:r>
        <w:br/>
        <w:t>z_j=(x_j,t_j^{F})</w:t>
      </w:r>
      <w:r>
        <w:br/>
        <w:t>\in</w:t>
      </w:r>
      <w:r>
        <w:br/>
        <w:t>\mathcal{Z}</w:t>
      </w:r>
      <w:r>
        <w:rPr>
          <w:rStyle w:val="Hervorhebung"/>
        </w:rPr>
        <w:t>{F}</w:t>
      </w:r>
      <w:r>
        <w:rPr>
          <w:i/>
          <w:iCs/>
        </w:rPr>
        <w:br/>
      </w:r>
      <w:r>
        <w:rPr>
          <w:rStyle w:val="Hervorhebung"/>
        </w:rPr>
        <w:t>;\middle|;</w:t>
      </w:r>
      <w:r>
        <w:rPr>
          <w:i/>
          <w:iCs/>
        </w:rPr>
        <w:br/>
      </w:r>
      <w:r>
        <w:rPr>
          <w:rStyle w:val="Hervorhebung"/>
        </w:rPr>
        <w:t>t_j^{F}\geq t_i^{F}</w:t>
      </w:r>
      <w:r>
        <w:rPr>
          <w:i/>
          <w:iCs/>
        </w:rPr>
        <w:br/>
      </w:r>
      <w:r>
        <w:rPr>
          <w:rStyle w:val="Hervorhebung"/>
        </w:rPr>
        <w:t>\land</w:t>
      </w:r>
      <w:r>
        <w:rPr>
          <w:i/>
          <w:iCs/>
        </w:rPr>
        <w:br/>
      </w:r>
      <w:r>
        <w:rPr>
          <w:rStyle w:val="Hervorhebung"/>
        </w:rPr>
        <w:t>d</w:t>
      </w:r>
      <w:r>
        <w:t>{\mathrm{sp}}(x_i,x_j)</w:t>
      </w:r>
      <w:r>
        <w:br/>
        <w:t>\leq</w:t>
      </w:r>
      <w:r>
        <w:br/>
        <w:t>v^{F}_{\max}</w:t>
      </w:r>
      <w:r>
        <w:br/>
        <w:t>\left(</w:t>
      </w:r>
      <w:r>
        <w:br/>
      </w:r>
      <w:r>
        <w:lastRenderedPageBreak/>
        <w:t>t_j^{F}-t_i^{F}</w:t>
      </w:r>
      <w:r>
        <w:br/>
        <w:t>\right)</w:t>
      </w:r>
      <w:r>
        <w:br/>
        <w:t>\right}.</w:t>
      </w:r>
      <w:r>
        <w:br/>
        <w:t>\tag{3.4264}</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\mathcal{C}^{+}_{F}(z_i)=\left\{z_j=(x_j,t_j^{F})\in\mathcal{Z}_{F}\middle|t_j^{F}\geq t_i^{F}\land d_{\mathrm{sp}}(x_i,x_j)\leq v^{F}_{\max}\left(t_j^{F}-t_i^{F}\right)\right\}\qquad\text{(3.4264)}</w:t>
      </w:r>
    </w:p>
    <w:p w:rsidR="00506BE4" w:rsidRDefault="00506BE4" w:rsidP="00506BE4">
      <w:pPr>
        <w:pStyle w:val="StandardWeb"/>
      </w:pPr>
      <w:r>
        <w:t>Ich bezeichne (\mathcal{C}^{+}_{F}(z_i)) als funktionalen Vorwärtskopplungsbereich.</w:t>
      </w:r>
    </w:p>
    <w:p w:rsidR="00506BE4" w:rsidRDefault="00506BE4" w:rsidP="00506BE4">
      <w:pPr>
        <w:pStyle w:val="StandardWeb"/>
      </w:pPr>
      <w:r>
        <w:t>Entsprechend kann ein Rückwärtskopplungsbereich definiert werden:</w:t>
      </w:r>
    </w:p>
    <w:p w:rsidR="00506BE4" w:rsidRDefault="00506BE4" w:rsidP="00506BE4">
      <w:pPr>
        <w:pStyle w:val="berschrift1"/>
      </w:pPr>
      <w:r>
        <w:t>[</w:t>
      </w:r>
      <w:r>
        <w:br/>
        <w:t>\mathcal{C}^{-}_{F}(z_i)</w:t>
      </w:r>
    </w:p>
    <w:p w:rsidR="00506BE4" w:rsidRDefault="00506BE4" w:rsidP="00506BE4">
      <w:pPr>
        <w:pStyle w:val="StandardWeb"/>
      </w:pPr>
      <w:r>
        <w:t>\left{</w:t>
      </w:r>
      <w:r>
        <w:br/>
        <w:t>z_j=(x_j,t_j^{F})</w:t>
      </w:r>
      <w:r>
        <w:br/>
        <w:t>\in</w:t>
      </w:r>
      <w:r>
        <w:br/>
        <w:t>\mathcal{Z}</w:t>
      </w:r>
      <w:r>
        <w:rPr>
          <w:rStyle w:val="Hervorhebung"/>
        </w:rPr>
        <w:t>{F}</w:t>
      </w:r>
      <w:r>
        <w:rPr>
          <w:i/>
          <w:iCs/>
        </w:rPr>
        <w:br/>
      </w:r>
      <w:r>
        <w:rPr>
          <w:rStyle w:val="Hervorhebung"/>
        </w:rPr>
        <w:t>;\middle|;</w:t>
      </w:r>
      <w:r>
        <w:rPr>
          <w:i/>
          <w:iCs/>
        </w:rPr>
        <w:br/>
      </w:r>
      <w:r>
        <w:rPr>
          <w:rStyle w:val="Hervorhebung"/>
        </w:rPr>
        <w:t>t_j^{F}\leq t_i^{F}</w:t>
      </w:r>
      <w:r>
        <w:rPr>
          <w:i/>
          <w:iCs/>
        </w:rPr>
        <w:br/>
      </w:r>
      <w:r>
        <w:rPr>
          <w:rStyle w:val="Hervorhebung"/>
        </w:rPr>
        <w:t>\land</w:t>
      </w:r>
      <w:r>
        <w:rPr>
          <w:i/>
          <w:iCs/>
        </w:rPr>
        <w:br/>
      </w:r>
      <w:r>
        <w:rPr>
          <w:rStyle w:val="Hervorhebung"/>
        </w:rPr>
        <w:t>d</w:t>
      </w:r>
      <w:r>
        <w:t>{\mathrm{sp}}(x_i,x_j)</w:t>
      </w:r>
      <w:r>
        <w:br/>
        <w:t>\leq</w:t>
      </w:r>
      <w:r>
        <w:br/>
        <w:t>v^{F}_{\max}</w:t>
      </w:r>
      <w:r>
        <w:br/>
        <w:t>\left(</w:t>
      </w:r>
      <w:r>
        <w:br/>
        <w:t>t_i^{F}-t_j^{F}</w:t>
      </w:r>
      <w:r>
        <w:br/>
        <w:t>\right)</w:t>
      </w:r>
      <w:r>
        <w:br/>
        <w:t>\right}.</w:t>
      </w:r>
      <w:r>
        <w:br/>
        <w:t>\tag{3.4265}</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\mathcal{C}^{-}_{F}(z_i)=\left\{z_j=(x_j,t_j^{F})\in\mathcal{Z}_{F}\middle|t_j^{F}\leq t_i^{F}\land d_{\mathrm{sp}}(x_i,x_j)\leq v^{F}_{\max}\left(t_i^{F}-t_j^{F}\right)\right\}\qquad\text{(3.4265)}</w:t>
      </w:r>
    </w:p>
    <w:p w:rsidR="00506BE4" w:rsidRDefault="00506BE4" w:rsidP="00506BE4">
      <w:pPr>
        <w:pStyle w:val="StandardWeb"/>
      </w:pPr>
      <w:r>
        <w:t>Diese Strukturen erinnern formal an Kegelstrukturen, besitzen jedoch zunächst nur funktionale Bedeutung. Eine Identifikation mit physikalischen Lichtkegeln wäre nur nach zusätzlicher Kalibrierung und empirischer Bestätigung zulässig.</w:t>
      </w:r>
    </w:p>
    <w:p w:rsidR="00506BE4" w:rsidRPr="00AF32B2" w:rsidRDefault="00506BE4" w:rsidP="00AF32B2">
      <w:pPr>
        <w:pStyle w:val="berschrift4"/>
      </w:pPr>
      <w:r w:rsidRPr="00AF32B2">
        <w:t>3.3.17.10 Kopplung ohne maximale Rate</w:t>
      </w:r>
    </w:p>
    <w:p w:rsidR="00506BE4" w:rsidRDefault="00506BE4" w:rsidP="00506BE4">
      <w:pPr>
        <w:pStyle w:val="StandardWeb"/>
      </w:pPr>
      <w:r>
        <w:lastRenderedPageBreak/>
        <w:t>Eine funktionale Raum-Zeit-Kopplung benötigt nicht zwingend eine maximale Kopplungsrate. Ohne eine solche Schranke kann die Kopplungsrelation ausschließlich durch Erreichbarkeit, Zeitordnung und räumlichen Zusammenhang bestimmt werden.</w:t>
      </w:r>
    </w:p>
    <w:p w:rsidR="00506BE4" w:rsidRDefault="00506BE4" w:rsidP="00506BE4">
      <w:pPr>
        <w:pStyle w:val="StandardWeb"/>
      </w:pPr>
      <w:r>
        <w:t>Dann gilt:</w:t>
      </w:r>
    </w:p>
    <w:p w:rsidR="00506BE4" w:rsidRDefault="00506BE4" w:rsidP="00506BE4">
      <w:pPr>
        <w:pStyle w:val="berschrift1"/>
      </w:pPr>
      <w:r>
        <w:t>[</w:t>
      </w:r>
      <w:r>
        <w:br/>
        <w:t>\mathcal{K}_{XT}^{0}</w:t>
      </w:r>
    </w:p>
    <w:p w:rsidR="00506BE4" w:rsidRDefault="00506BE4" w:rsidP="00506BE4">
      <w:pPr>
        <w:pStyle w:val="StandardWeb"/>
      </w:pPr>
      <w:r>
        <w:t>\left{</w:t>
      </w:r>
      <w:r>
        <w:br/>
        <w:t>(z_i,z_j)</w:t>
      </w:r>
      <w:r>
        <w:br/>
        <w:t>;\middle|;</w:t>
      </w:r>
      <w:r>
        <w:br/>
        <w:t>x_i\preceq_{!F}x_j</w:t>
      </w:r>
      <w:r>
        <w:br/>
        <w:t>\land</w:t>
      </w:r>
      <w:r>
        <w:br/>
        <w:t>t_i^{F}\leq_{\mathbb{T}}t_j^{F}</w:t>
      </w:r>
      <w:r>
        <w:br/>
        <w:t>\land</w:t>
      </w:r>
      <w:r>
        <w:br/>
        <w:t>d_{\mathrm{sp}}(x_i,x_j)&lt;\infty</w:t>
      </w:r>
      <w:r>
        <w:br/>
        <w:t>\right}.</w:t>
      </w:r>
      <w:r>
        <w:br/>
        <w:t>\tag{3.4266}</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\mathcal{K}_{XT}^{0}=\left\{(z_i,z_j)\middle|x_i\preceq_{\!F}x_j\land t_i^{F}\leq_{\mathbb{T}}t_j^{F}\land d_{\mathrm{sp}}(x_i,x_j)&lt;\infty\right\}\qquad\text{(3.4266)}</w:t>
      </w:r>
    </w:p>
    <w:p w:rsidR="00506BE4" w:rsidRDefault="00506BE4" w:rsidP="00506BE4">
      <w:pPr>
        <w:pStyle w:val="StandardWeb"/>
      </w:pPr>
      <w:r>
        <w:t>Die hochgestellte Null kennzeichnet hier eine Kopplung ohne zusätzliche Ratebeschränkung.</w:t>
      </w:r>
    </w:p>
    <w:p w:rsidR="00506BE4" w:rsidRDefault="00506BE4" w:rsidP="00506BE4">
      <w:pPr>
        <w:pStyle w:val="StandardWeb"/>
      </w:pPr>
      <w:r>
        <w:rPr>
          <w:rStyle w:val="Fett"/>
        </w:rPr>
        <w:t>Eigenleistung des FRZK</w:t>
      </w:r>
    </w:p>
    <w:p w:rsidR="00506BE4" w:rsidRDefault="00506BE4" w:rsidP="00506BE4">
      <w:pPr>
        <w:pStyle w:val="StandardWeb"/>
      </w:pPr>
      <w:r>
        <w:t>Ich trenne die allgemeine Raum-Zeit-Kopplung von speziellen geschwindigkeits- oder ratenbeschränkten Kopplungsmodellen. Dadurch bleibt die Definition minimal und vermeidet eine unbegründete Vorwegnahme physikalischer Grenzbedingungen.</w:t>
      </w:r>
    </w:p>
    <w:p w:rsidR="00506BE4" w:rsidRPr="00AF32B2" w:rsidRDefault="00506BE4" w:rsidP="00AF32B2">
      <w:pPr>
        <w:pStyle w:val="berschrift4"/>
      </w:pPr>
      <w:r w:rsidRPr="00AF32B2">
        <w:t>3.3.17.11 Kopplung entlang funktionaler Entwicklungen</w:t>
      </w:r>
    </w:p>
    <w:p w:rsidR="00506BE4" w:rsidRDefault="00506BE4" w:rsidP="00506BE4">
      <w:pPr>
        <w:pStyle w:val="StandardWeb"/>
      </w:pPr>
      <w:r>
        <w:t>Für eine funktionale Entwicklung</w:t>
      </w:r>
    </w:p>
    <w:p w:rsidR="00506BE4" w:rsidRDefault="00506BE4" w:rsidP="00506BE4">
      <w:pPr>
        <w:pStyle w:val="berschrift1"/>
      </w:pPr>
      <w:r>
        <w:t>[</w:t>
      </w:r>
      <w:r>
        <w:br/>
        <w:t>\Gamma</w:t>
      </w:r>
    </w:p>
    <w:p w:rsidR="00506BE4" w:rsidRDefault="00506BE4" w:rsidP="00506BE4">
      <w:pPr>
        <w:pStyle w:val="StandardWeb"/>
      </w:pPr>
      <w:r>
        <w:t>\left(</w:t>
      </w:r>
      <w:r>
        <w:br/>
        <w:t>x_0,x_1,\ldots,x_n</w:t>
      </w:r>
      <w:r>
        <w:br/>
        <w:t>\right)</w:t>
      </w:r>
      <w:r>
        <w:br/>
        <w:t>\tag{3.4267}</w:t>
      </w:r>
      <w:r>
        <w:br/>
        <w:t>]</w:t>
      </w:r>
    </w:p>
    <w:p w:rsidR="00506BE4" w:rsidRDefault="00506BE4" w:rsidP="00506BE4">
      <w:pPr>
        <w:pStyle w:val="StandardWeb"/>
      </w:pPr>
      <w:r>
        <w:rPr>
          <w:rStyle w:val="Fett"/>
        </w:rPr>
        <w:lastRenderedPageBreak/>
        <w:t>Word-LaTeX</w:t>
      </w:r>
    </w:p>
    <w:p w:rsidR="00506BE4" w:rsidRDefault="00506BE4" w:rsidP="00506BE4">
      <w:pPr>
        <w:pStyle w:val="HTMLVorformatiert"/>
        <w:rPr>
          <w:rStyle w:val="HTMLCode"/>
        </w:rPr>
      </w:pPr>
      <w:r>
        <w:rPr>
          <w:rStyle w:val="HTMLCode"/>
        </w:rPr>
        <w:t>\Gamma=\left(x_0,x_1,\ldots,x_n\right)\qquad\text{(3.4267)}</w:t>
      </w:r>
    </w:p>
    <w:p w:rsidR="00506BE4" w:rsidRDefault="00506BE4" w:rsidP="00506BE4">
      <w:pPr>
        <w:pStyle w:val="StandardWeb"/>
      </w:pPr>
      <w:r>
        <w:t>mit zugeordneten Zeitwerten</w:t>
      </w:r>
    </w:p>
    <w:p w:rsidR="00506BE4" w:rsidRDefault="00506BE4" w:rsidP="00506BE4">
      <w:pPr>
        <w:pStyle w:val="StandardWeb"/>
      </w:pPr>
      <w:r>
        <w:t>[</w:t>
      </w:r>
      <w:r>
        <w:br/>
        <w:t>t_0^{F},</w:t>
      </w:r>
      <w:r>
        <w:br/>
        <w:t>t_1^{F},</w:t>
      </w:r>
      <w:r>
        <w:br/>
        <w:t>\ldots,</w:t>
      </w:r>
      <w:r>
        <w:br/>
        <w:t>t_n^{F}</w:t>
      </w:r>
      <w:r>
        <w:br/>
        <w:t>\tag{3.4268}</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t_0^{F},t_1^{F},\ldots,t_n^{F}\qquad\text{(3.4268)}</w:t>
      </w:r>
    </w:p>
    <w:p w:rsidR="00506BE4" w:rsidRDefault="00506BE4" w:rsidP="00506BE4">
      <w:pPr>
        <w:pStyle w:val="StandardWeb"/>
      </w:pPr>
      <w:r>
        <w:t>ergibt sich eine funktionale Raum-Zeit-Bahn:</w:t>
      </w:r>
    </w:p>
    <w:p w:rsidR="00506BE4" w:rsidRDefault="00506BE4" w:rsidP="00506BE4">
      <w:pPr>
        <w:pStyle w:val="berschrift1"/>
      </w:pPr>
      <w:r>
        <w:t>[</w:t>
      </w:r>
      <w:r>
        <w:br/>
        <w:t>\Gamma_{XT}</w:t>
      </w:r>
    </w:p>
    <w:p w:rsidR="00506BE4" w:rsidRDefault="00506BE4" w:rsidP="00506BE4">
      <w:pPr>
        <w:pStyle w:val="StandardWeb"/>
      </w:pPr>
      <w:r>
        <w:t>\left(</w:t>
      </w:r>
      <w:r>
        <w:br/>
        <w:t>z_0,z_1,\ldots,z_n</w:t>
      </w:r>
      <w:r>
        <w:br/>
        <w:t>\right),</w:t>
      </w:r>
      <w:r>
        <w:br/>
        <w:t>\qquad</w:t>
      </w:r>
      <w:r>
        <w:br/>
        <w:t>z_k=</w:t>
      </w:r>
      <w:r>
        <w:br/>
        <w:t>\left(</w:t>
      </w:r>
      <w:r>
        <w:br/>
        <w:t>x_k,t_k^{F}</w:t>
      </w:r>
      <w:r>
        <w:br/>
        <w:t>\right).</w:t>
      </w:r>
      <w:r>
        <w:br/>
        <w:t>\tag{3.4269}</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\Gamma_{XT}=\left(z_0,z_1,\ldots,z_n\right),\qquad z_k=\left(x_k,t_k^{F}\right)\qquad\text{(3.4269)}</w:t>
      </w:r>
    </w:p>
    <w:p w:rsidR="00506BE4" w:rsidRDefault="00506BE4" w:rsidP="00506BE4">
      <w:pPr>
        <w:pStyle w:val="StandardWeb"/>
      </w:pPr>
      <w:r>
        <w:t>Die Bahn ist gekoppelt zulässig, wenn jeder Teilschritt die Kopplungsbedingung erfüllt:</w:t>
      </w:r>
    </w:p>
    <w:p w:rsidR="00506BE4" w:rsidRDefault="00506BE4" w:rsidP="00506BE4">
      <w:pPr>
        <w:pStyle w:val="berschrift1"/>
      </w:pPr>
      <w:r>
        <w:t>[</w:t>
      </w:r>
      <w:r>
        <w:br/>
        <w:t>\forall k\in{1,\ldots,n}:</w:t>
      </w:r>
      <w:r>
        <w:br/>
        <w:t>\kappa_{XT}</w:t>
      </w:r>
      <w:r>
        <w:br/>
        <w:t>\left(</w:t>
      </w:r>
      <w:r>
        <w:br/>
      </w:r>
      <w:r>
        <w:lastRenderedPageBreak/>
        <w:t>z_{k-1},z_k</w:t>
      </w:r>
      <w:r>
        <w:br/>
        <w:t>\right)</w:t>
      </w:r>
    </w:p>
    <w:p w:rsidR="00506BE4" w:rsidRDefault="00506BE4" w:rsidP="00632D23">
      <w:pPr>
        <w:numPr>
          <w:ilvl w:val="0"/>
          <w:numId w:val="70"/>
        </w:numPr>
        <w:spacing w:before="100" w:beforeAutospacing="1" w:after="100" w:afterAutospacing="1"/>
      </w:pPr>
    </w:p>
    <w:p w:rsidR="00506BE4" w:rsidRDefault="00506BE4" w:rsidP="00506BE4">
      <w:pPr>
        <w:pStyle w:val="StandardWeb"/>
      </w:pPr>
      <w:r>
        <w:t>\tag{3.4270}</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\forall k\in\{1,\ldots,n\}:\kappa_{XT}\left(z_{k-1},z_k\right)=1\qquad\text{(3.4270)}</w:t>
      </w:r>
    </w:p>
    <w:p w:rsidR="00506BE4" w:rsidRDefault="00506BE4" w:rsidP="00506BE4">
      <w:pPr>
        <w:pStyle w:val="StandardWeb"/>
      </w:pPr>
      <w:r>
        <w:t>Eine lokal gekoppelt zulässige Bahn muss nicht automatisch sämtliche globalen Kopplungsbedingungen erfüllen. Wie bei der funktionalen Kohärenz können globale Bedingungen existieren, die erst für die gesamte Bahn geprüft werden müssen.</w:t>
      </w:r>
    </w:p>
    <w:p w:rsidR="00506BE4" w:rsidRPr="00AF32B2" w:rsidRDefault="00506BE4" w:rsidP="00AF32B2">
      <w:pPr>
        <w:pStyle w:val="berschrift4"/>
      </w:pPr>
      <w:r w:rsidRPr="00AF32B2">
        <w:t>3.3.17.12 Globale Raum-Zeit-Kopplungsbedingung</w:t>
      </w:r>
    </w:p>
    <w:p w:rsidR="00506BE4" w:rsidRDefault="00506BE4" w:rsidP="00506BE4">
      <w:pPr>
        <w:pStyle w:val="StandardWeb"/>
      </w:pPr>
      <w:r>
        <w:t>Eine globale Kopplungsbedingung kann als Prädikat auf einer vollständigen Raum-Zeit-Bahn formuliert werden:</w:t>
      </w:r>
    </w:p>
    <w:p w:rsidR="00506BE4" w:rsidRDefault="00506BE4" w:rsidP="00506BE4">
      <w:pPr>
        <w:pStyle w:val="StandardWeb"/>
      </w:pPr>
      <w:r>
        <w:t>[</w:t>
      </w:r>
      <w:r>
        <w:br/>
        <w:t>K_{XT}^{\mathrm{glob}}:</w:t>
      </w:r>
      <w:r>
        <w:br/>
        <w:t>\Gamma_{XT}</w:t>
      </w:r>
      <w:r>
        <w:br/>
        <w:t>\rightarrow</w:t>
      </w:r>
      <w:r>
        <w:br/>
        <w:t>{0,1}.</w:t>
      </w:r>
      <w:r>
        <w:br/>
        <w:t>\tag{3.4271}</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K_{XT}^{\mathrm{glob}}:\Gamma_{XT}\rightarrow\{0,1\}\qquad\text{(3.4271)}</w:t>
      </w:r>
    </w:p>
    <w:p w:rsidR="00506BE4" w:rsidRDefault="00506BE4" w:rsidP="00506BE4">
      <w:pPr>
        <w:pStyle w:val="StandardWeb"/>
      </w:pPr>
      <w:r>
        <w:t>Eine Bahn ist global gekoppelt, wenn</w:t>
      </w:r>
    </w:p>
    <w:p w:rsidR="00506BE4" w:rsidRDefault="00506BE4" w:rsidP="00506BE4">
      <w:pPr>
        <w:pStyle w:val="berschrift1"/>
      </w:pPr>
      <w:r>
        <w:t>[</w:t>
      </w:r>
      <w:r>
        <w:br/>
        <w:t>K_{XT}^{\mathrm{glob}}</w:t>
      </w:r>
      <w:r>
        <w:br/>
        <w:t>\left(</w:t>
      </w:r>
      <w:r>
        <w:br/>
        <w:t>\Gamma_{XT}</w:t>
      </w:r>
      <w:r>
        <w:br/>
        <w:t>\right)</w:t>
      </w:r>
    </w:p>
    <w:p w:rsidR="00506BE4" w:rsidRDefault="00506BE4" w:rsidP="00632D23">
      <w:pPr>
        <w:numPr>
          <w:ilvl w:val="0"/>
          <w:numId w:val="71"/>
        </w:numPr>
        <w:spacing w:before="100" w:beforeAutospacing="1" w:after="100" w:afterAutospacing="1"/>
      </w:pPr>
    </w:p>
    <w:p w:rsidR="00506BE4" w:rsidRDefault="00506BE4" w:rsidP="00506BE4">
      <w:pPr>
        <w:pStyle w:val="StandardWeb"/>
      </w:pPr>
      <w:r>
        <w:t>\tag{3.4272}</w:t>
      </w:r>
      <w:r>
        <w:br/>
        <w:t>]</w:t>
      </w:r>
    </w:p>
    <w:p w:rsidR="00506BE4" w:rsidRDefault="00506BE4" w:rsidP="00506BE4">
      <w:pPr>
        <w:pStyle w:val="StandardWeb"/>
      </w:pPr>
      <w:r>
        <w:rPr>
          <w:rStyle w:val="Fett"/>
        </w:rPr>
        <w:lastRenderedPageBreak/>
        <w:t>Word-LaTeX</w:t>
      </w:r>
    </w:p>
    <w:p w:rsidR="00506BE4" w:rsidRDefault="00506BE4" w:rsidP="00506BE4">
      <w:pPr>
        <w:pStyle w:val="HTMLVorformatiert"/>
        <w:rPr>
          <w:rStyle w:val="HTMLCode"/>
        </w:rPr>
      </w:pPr>
      <w:r>
        <w:rPr>
          <w:rStyle w:val="HTMLCode"/>
        </w:rPr>
        <w:t>K_{XT}^{\mathrm{glob}}\left(\Gamma_{XT}\right)=1\qquad\text{(3.4272)}</w:t>
      </w:r>
    </w:p>
    <w:p w:rsidR="00506BE4" w:rsidRDefault="00506BE4" w:rsidP="00506BE4">
      <w:pPr>
        <w:pStyle w:val="StandardWeb"/>
      </w:pPr>
      <w:r>
        <w:t>Globale Bedingungen können beispielsweise Gesamtpfadlänge, Gesamtentwicklungsdauer, Geschlossenheit, Kohärenzerhaltung oder Invarianz einer Kopplungsgröße betreffen.</w:t>
      </w:r>
    </w:p>
    <w:p w:rsidR="00506BE4" w:rsidRDefault="00506BE4" w:rsidP="00506BE4">
      <w:pPr>
        <w:pStyle w:val="StandardWeb"/>
      </w:pPr>
      <w:r>
        <w:rPr>
          <w:rStyle w:val="Fett"/>
        </w:rPr>
        <w:t>Eigenleistung des FRZK</w:t>
      </w:r>
    </w:p>
    <w:p w:rsidR="00506BE4" w:rsidRDefault="00506BE4" w:rsidP="00506BE4">
      <w:pPr>
        <w:pStyle w:val="StandardWeb"/>
      </w:pPr>
      <w:r>
        <w:t>Ich unterscheide lokale Kopplung einzelner Übergänge und globale Kopplung vollständiger Entwicklungen. Eine Folge lokal zulässiger Schritte kann eine globale Raum-Zeit-Bedingung verletzen.</w:t>
      </w:r>
    </w:p>
    <w:p w:rsidR="00506BE4" w:rsidRPr="00AF32B2" w:rsidRDefault="00506BE4" w:rsidP="00AF32B2">
      <w:pPr>
        <w:pStyle w:val="berschrift4"/>
      </w:pPr>
      <w:r w:rsidRPr="00AF32B2">
        <w:t>3.3.17.13 Raum-Zeit-Kohärenz</w:t>
      </w:r>
    </w:p>
    <w:p w:rsidR="00506BE4" w:rsidRDefault="00506BE4" w:rsidP="00506BE4">
      <w:pPr>
        <w:pStyle w:val="StandardWeb"/>
      </w:pPr>
      <w:r>
        <w:t>Die funktionale Raum-Zeit-Kopplung kann mit der in Definition 3.3.5 eingeführten Kohärenz verbunden werden. Dazu wird eine Menge von Raum-Zeit-Kohärenzbedingungen definiert:</w:t>
      </w:r>
    </w:p>
    <w:p w:rsidR="00506BE4" w:rsidRDefault="00506BE4" w:rsidP="00506BE4">
      <w:pPr>
        <w:pStyle w:val="berschrift1"/>
      </w:pPr>
      <w:r>
        <w:t>[</w:t>
      </w:r>
      <w:r>
        <w:br/>
        <w:t>\mathcal{C}_{XT}</w:t>
      </w:r>
    </w:p>
    <w:p w:rsidR="00506BE4" w:rsidRDefault="00506BE4" w:rsidP="00506BE4">
      <w:pPr>
        <w:pStyle w:val="StandardWeb"/>
      </w:pPr>
      <w:r>
        <w:t>\left{</w:t>
      </w:r>
      <w:r>
        <w:br/>
        <w:t>C_{XT,1},</w:t>
      </w:r>
      <w:r>
        <w:br/>
        <w:t>C_{XT,2},</w:t>
      </w:r>
      <w:r>
        <w:br/>
        <w:t>\ldots,</w:t>
      </w:r>
      <w:r>
        <w:br/>
        <w:t>C_{XT,m}</w:t>
      </w:r>
      <w:r>
        <w:br/>
        <w:t>\right}.</w:t>
      </w:r>
      <w:r>
        <w:br/>
        <w:t>\tag{3.4273}</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\mathcal{C}_{XT}=\left\{C_{XT,1},C_{XT,2},\ldots,C_{XT,m}\right\}\qquad\text{(3.4273)}</w:t>
      </w:r>
    </w:p>
    <w:p w:rsidR="00506BE4" w:rsidRDefault="00506BE4" w:rsidP="00506BE4">
      <w:pPr>
        <w:pStyle w:val="StandardWeb"/>
      </w:pPr>
      <w:r>
        <w:t>Eine gekoppelte Struktur ist raum-zeit-kohärent, wenn sämtliche Bedingungen erfüllt sind:</w:t>
      </w:r>
    </w:p>
    <w:p w:rsidR="00506BE4" w:rsidRDefault="00506BE4" w:rsidP="00506BE4">
      <w:pPr>
        <w:pStyle w:val="berschrift1"/>
      </w:pPr>
      <w:r>
        <w:t>[</w:t>
      </w:r>
      <w:r>
        <w:br/>
        <w:t>\operatorname{Koh}</w:t>
      </w:r>
      <w:r>
        <w:rPr>
          <w:rStyle w:val="Hervorhebung"/>
        </w:rPr>
        <w:t>{XT}</w:t>
      </w:r>
      <w:r>
        <w:rPr>
          <w:i/>
          <w:iCs/>
        </w:rPr>
        <w:br/>
      </w:r>
      <w:r>
        <w:rPr>
          <w:rStyle w:val="Hervorhebung"/>
        </w:rPr>
        <w:t>\left(</w:t>
      </w:r>
      <w:r>
        <w:rPr>
          <w:i/>
          <w:iCs/>
        </w:rPr>
        <w:br/>
      </w:r>
      <w:r>
        <w:rPr>
          <w:rStyle w:val="Hervorhebung"/>
        </w:rPr>
        <w:t>\mathfrak{K}</w:t>
      </w:r>
      <w:r>
        <w:t>{XT}</w:t>
      </w:r>
      <w:r>
        <w:br/>
        <w:t>\right)</w:t>
      </w:r>
    </w:p>
    <w:p w:rsidR="00506BE4" w:rsidRDefault="00506BE4" w:rsidP="00506BE4">
      <w:pPr>
        <w:pStyle w:val="berschrift1"/>
      </w:pPr>
      <w:r>
        <w:t>1</w:t>
      </w:r>
      <w:r>
        <w:br/>
        <w:t>\iff</w:t>
      </w:r>
      <w:r>
        <w:br/>
      </w:r>
      <w:r>
        <w:lastRenderedPageBreak/>
        <w:t>\forall C_{XT,r}\in\mathcal{C}</w:t>
      </w:r>
      <w:r>
        <w:rPr>
          <w:rStyle w:val="Hervorhebung"/>
        </w:rPr>
        <w:t>{XT}:</w:t>
      </w:r>
      <w:r>
        <w:rPr>
          <w:i/>
          <w:iCs/>
        </w:rPr>
        <w:br/>
      </w:r>
      <w:r>
        <w:rPr>
          <w:rStyle w:val="Hervorhebung"/>
        </w:rPr>
        <w:t>C</w:t>
      </w:r>
      <w:r>
        <w:t>{XT,r}</w:t>
      </w:r>
      <w:r>
        <w:br/>
        <w:t>\left(</w:t>
      </w:r>
      <w:r>
        <w:br/>
        <w:t>\mathfrak{K}_{XT}</w:t>
      </w:r>
      <w:r>
        <w:br/>
        <w:t>\right)</w:t>
      </w:r>
    </w:p>
    <w:p w:rsidR="00506BE4" w:rsidRDefault="00506BE4" w:rsidP="00632D23">
      <w:pPr>
        <w:numPr>
          <w:ilvl w:val="0"/>
          <w:numId w:val="72"/>
        </w:numPr>
        <w:spacing w:before="100" w:beforeAutospacing="1" w:after="100" w:afterAutospacing="1"/>
      </w:pPr>
    </w:p>
    <w:p w:rsidR="00506BE4" w:rsidRDefault="00506BE4" w:rsidP="00506BE4">
      <w:pPr>
        <w:pStyle w:val="StandardWeb"/>
      </w:pPr>
      <w:r>
        <w:t>\tag{3.4274}</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\operatorname{Koh}_{XT}\left(\mathfrak{K}_{XT}\right)=1\iff\forall C_{XT,r}\in\mathcal{C}_{XT}:C_{XT,r}\left(\mathfrak{K}_{XT}\right)=1\qquad\text{(3.4274)}</w:t>
      </w:r>
    </w:p>
    <w:p w:rsidR="00506BE4" w:rsidRDefault="00506BE4" w:rsidP="00506BE4">
      <w:pPr>
        <w:pStyle w:val="StandardWeb"/>
      </w:pPr>
      <w:r>
        <w:t>Die Menge (\mathcal{C}_{XT}) kann räumliche, zeitliche und gemeinsame Bedingungen enthalten.</w:t>
      </w:r>
    </w:p>
    <w:p w:rsidR="00506BE4" w:rsidRDefault="00506BE4" w:rsidP="00506BE4">
      <w:pPr>
        <w:pStyle w:val="StandardWeb"/>
      </w:pPr>
      <w:r>
        <w:t>Beispielsweise kann verlangt werden:</w:t>
      </w:r>
    </w:p>
    <w:p w:rsidR="00506BE4" w:rsidRDefault="00506BE4" w:rsidP="00506BE4">
      <w:pPr>
        <w:pStyle w:val="StandardWeb"/>
      </w:pPr>
      <w:r>
        <w:t>[</w:t>
      </w:r>
      <w:r>
        <w:br/>
        <w:t>d_{\mathrm{sp}}(x_{k-1},x_k)</w:t>
      </w:r>
      <w:r>
        <w:br/>
        <w:t>\leq</w:t>
      </w:r>
      <w:r>
        <w:br/>
        <w:t>v^{F}_{\max}</w:t>
      </w:r>
      <w:r>
        <w:br/>
        <w:t>\Delta t_k^{F}</w:t>
      </w:r>
      <w:r>
        <w:br/>
        <w:t>\tag{3.4275}</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d_{\mathrm{sp}}(x_{k-1},x_k)\leq v^{F}_{\max}\Delta t_k^{F}\qquad\text{(3.4275)}</w:t>
      </w:r>
    </w:p>
    <w:p w:rsidR="00506BE4" w:rsidRDefault="00506BE4" w:rsidP="00506BE4">
      <w:pPr>
        <w:pStyle w:val="StandardWeb"/>
      </w:pPr>
      <w:r>
        <w:t>sowie</w:t>
      </w:r>
    </w:p>
    <w:p w:rsidR="00506BE4" w:rsidRDefault="00506BE4" w:rsidP="00506BE4">
      <w:pPr>
        <w:pStyle w:val="StandardWeb"/>
      </w:pPr>
      <w:r>
        <w:t>[</w:t>
      </w:r>
      <w:r>
        <w:br/>
        <w:t>K_{\mathcal{C}}</w:t>
      </w:r>
      <w:r>
        <w:br/>
        <w:t>\left(</w:t>
      </w:r>
      <w:r>
        <w:br/>
        <w:t>\mathfrak{G}^{(k)}</w:t>
      </w:r>
      <w:r>
        <w:br/>
        <w:t>\right)</w:t>
      </w:r>
      <w:r>
        <w:br/>
        <w:t>\geq</w:t>
      </w:r>
      <w:r>
        <w:br/>
        <w:t>K_{\min}.</w:t>
      </w:r>
      <w:r>
        <w:br/>
        <w:t>\tag{3.4276}</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lastRenderedPageBreak/>
        <w:t>K_{\mathcal{C}}\left(\mathfrak{G}^{(k)}\right)\geq K_{\min}\qquad\text{(3.4276)}</w:t>
      </w:r>
    </w:p>
    <w:p w:rsidR="00506BE4" w:rsidRDefault="00506BE4" w:rsidP="00506BE4">
      <w:pPr>
        <w:pStyle w:val="StandardWeb"/>
      </w:pPr>
      <w:r>
        <w:t>Damit kann eine Entwicklung räumlich und zeitlich zulässig, aber aufgrund eines zu niedrigen funktionalen Kohärenzgrades dennoch raum-zeit-inkohärent sein.</w:t>
      </w:r>
    </w:p>
    <w:p w:rsidR="00506BE4" w:rsidRPr="00AF32B2" w:rsidRDefault="00506BE4" w:rsidP="00AF32B2">
      <w:pPr>
        <w:pStyle w:val="berschrift4"/>
      </w:pPr>
      <w:r w:rsidRPr="00AF32B2">
        <w:t>3.3.17.14 Quantitativer Raum-Zeit-Kopplungsgrad</w:t>
      </w:r>
    </w:p>
    <w:p w:rsidR="00506BE4" w:rsidRDefault="00506BE4" w:rsidP="00506BE4">
      <w:pPr>
        <w:pStyle w:val="StandardWeb"/>
      </w:pPr>
      <w:r>
        <w:t>Für (m) binäre Kopplungsbedingungen kann ein Kopplungsgrad definiert werden:</w:t>
      </w:r>
    </w:p>
    <w:p w:rsidR="00506BE4" w:rsidRDefault="00506BE4" w:rsidP="00506BE4">
      <w:pPr>
        <w:pStyle w:val="berschrift1"/>
      </w:pPr>
      <w:r>
        <w:t>[</w:t>
      </w:r>
      <w:r>
        <w:br/>
        <w:t>K_{XT}</w:t>
      </w:r>
    </w:p>
    <w:p w:rsidR="00506BE4" w:rsidRDefault="00506BE4" w:rsidP="00506BE4">
      <w:pPr>
        <w:pStyle w:val="StandardWeb"/>
      </w:pPr>
      <w:r>
        <w:t>\frac{1}{m}</w:t>
      </w:r>
      <w:r>
        <w:br/>
        <w:t>\sum_{r=1}^{m}</w:t>
      </w:r>
      <w:r>
        <w:br/>
        <w:t>C_{XT,r}.</w:t>
      </w:r>
      <w:r>
        <w:br/>
        <w:t>\tag{3.4277}</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K_{XT}=\frac{1}{m}\sum_{r=1}^{m}C_{XT,r}\qquad\text{(3.4277)}</w:t>
      </w:r>
    </w:p>
    <w:p w:rsidR="00506BE4" w:rsidRDefault="00506BE4" w:rsidP="00506BE4">
      <w:pPr>
        <w:pStyle w:val="StandardWeb"/>
      </w:pPr>
      <w:r>
        <w:t>Für (m\geq 1) gilt:</w:t>
      </w:r>
    </w:p>
    <w:p w:rsidR="00506BE4" w:rsidRDefault="00506BE4" w:rsidP="00506BE4">
      <w:pPr>
        <w:pStyle w:val="StandardWeb"/>
      </w:pPr>
      <w:r>
        <w:t>[</w:t>
      </w:r>
      <w:r>
        <w:br/>
        <w:t>0</w:t>
      </w:r>
      <w:r>
        <w:br/>
        <w:t>\leq</w:t>
      </w:r>
      <w:r>
        <w:br/>
        <w:t>K_{XT}</w:t>
      </w:r>
      <w:r>
        <w:br/>
        <w:t>\leq</w:t>
      </w:r>
      <w:r>
        <w:br/>
        <w:t>1.</w:t>
      </w:r>
      <w:r>
        <w:br/>
        <w:t>\tag{3.4278}</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0\leq K_{XT}\leq1\qquad\text{(3.4278)}</w:t>
      </w:r>
    </w:p>
    <w:p w:rsidR="00506BE4" w:rsidRDefault="00506BE4" w:rsidP="00506BE4">
      <w:pPr>
        <w:pStyle w:val="StandardWeb"/>
      </w:pPr>
      <w:r>
        <w:t>Eine gewichtete Variante lautet:</w:t>
      </w:r>
    </w:p>
    <w:p w:rsidR="00506BE4" w:rsidRDefault="00506BE4" w:rsidP="00506BE4">
      <w:pPr>
        <w:pStyle w:val="berschrift1"/>
      </w:pPr>
      <w:r>
        <w:t>[</w:t>
      </w:r>
      <w:r>
        <w:br/>
        <w:t>K_{XT}^{(w)}</w:t>
      </w:r>
    </w:p>
    <w:p w:rsidR="00506BE4" w:rsidRDefault="00506BE4" w:rsidP="00506BE4">
      <w:pPr>
        <w:pStyle w:val="StandardWeb"/>
      </w:pPr>
      <w:r>
        <w:t>\frac{</w:t>
      </w:r>
      <w:r>
        <w:br/>
        <w:t>\sum_{r=1}^{m}</w:t>
      </w:r>
      <w:r>
        <w:br/>
        <w:t>w_r C_{XT,r}</w:t>
      </w:r>
      <w:r>
        <w:br/>
        <w:t>}{</w:t>
      </w:r>
      <w:r>
        <w:br/>
        <w:t>\sum_{r=1}^{m}</w:t>
      </w:r>
      <w:r>
        <w:br/>
        <w:t>w_r</w:t>
      </w:r>
      <w:r>
        <w:br/>
      </w:r>
      <w:r>
        <w:lastRenderedPageBreak/>
        <w:t>},</w:t>
      </w:r>
      <w:r>
        <w:br/>
        <w:t>\qquad</w:t>
      </w:r>
      <w:r>
        <w:br/>
        <w:t>w_r&gt;0.</w:t>
      </w:r>
      <w:r>
        <w:br/>
        <w:t>\tag{3.4279}</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K_{XT}^{(w)}=\frac{\sum_{r=1}^{m}w_rC_{XT,r}}{\sum_{r=1}^{m}w_r},\qquad w_r&gt;0\qquad\text{(3.4279)}</w:t>
      </w:r>
    </w:p>
    <w:p w:rsidR="00506BE4" w:rsidRDefault="00506BE4" w:rsidP="00506BE4">
      <w:pPr>
        <w:pStyle w:val="StandardWeb"/>
      </w:pPr>
      <w:r>
        <w:t>Die Auswahl und Gewichtung der Kopplungsbedingungen muss wissenschaftlich begründet werden. Der Kopplungsgrad ist keine fundamentale Naturgröße, sondern eine modellabhängige Zusammenfassung ausgewählter Kriterien [58, 75].</w:t>
      </w:r>
    </w:p>
    <w:p w:rsidR="00506BE4" w:rsidRPr="00AF32B2" w:rsidRDefault="00506BE4" w:rsidP="00AF32B2">
      <w:pPr>
        <w:pStyle w:val="berschrift4"/>
      </w:pPr>
      <w:r w:rsidRPr="00AF32B2">
        <w:t>3.3.17.15 Kopplungsverlust</w:t>
      </w:r>
    </w:p>
    <w:p w:rsidR="00506BE4" w:rsidRDefault="00506BE4" w:rsidP="00506BE4">
      <w:pPr>
        <w:pStyle w:val="StandardWeb"/>
      </w:pPr>
      <w:r>
        <w:t>Für eine Raum-Zeit-Bahn kann an jeder Position ein Kopplungsgrad bestimmt werden:</w:t>
      </w:r>
    </w:p>
    <w:p w:rsidR="00506BE4" w:rsidRDefault="00506BE4" w:rsidP="00506BE4">
      <w:pPr>
        <w:pStyle w:val="berschrift1"/>
      </w:pPr>
      <w:r>
        <w:t>[</w:t>
      </w:r>
      <w:r>
        <w:br/>
        <w:t>K_{XT,k}</w:t>
      </w:r>
    </w:p>
    <w:p w:rsidR="00506BE4" w:rsidRDefault="00506BE4" w:rsidP="00506BE4">
      <w:pPr>
        <w:pStyle w:val="StandardWeb"/>
      </w:pPr>
      <w:r>
        <w:t>K_{XT}</w:t>
      </w:r>
      <w:r>
        <w:br/>
        <w:t>\left(</w:t>
      </w:r>
      <w:r>
        <w:br/>
        <w:t>z_{k-1},z_k</w:t>
      </w:r>
      <w:r>
        <w:br/>
        <w:t>\right).</w:t>
      </w:r>
      <w:r>
        <w:br/>
        <w:t>\tag{3.4280}</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K_{XT,k}=K_{XT}\left(z_{k-1},z_k\right)\qquad\text{(3.4280)}</w:t>
      </w:r>
    </w:p>
    <w:p w:rsidR="00506BE4" w:rsidRDefault="00506BE4" w:rsidP="00506BE4">
      <w:pPr>
        <w:pStyle w:val="StandardWeb"/>
      </w:pPr>
      <w:r>
        <w:t>Die lokale Änderung lautet:</w:t>
      </w:r>
    </w:p>
    <w:p w:rsidR="00506BE4" w:rsidRDefault="00506BE4" w:rsidP="00506BE4">
      <w:pPr>
        <w:pStyle w:val="berschrift1"/>
      </w:pPr>
      <w:r>
        <w:t>[</w:t>
      </w:r>
      <w:r>
        <w:br/>
        <w:t>\Delta K_{XT,k}</w:t>
      </w:r>
    </w:p>
    <w:p w:rsidR="00506BE4" w:rsidRDefault="00506BE4" w:rsidP="00506BE4">
      <w:pPr>
        <w:pStyle w:val="berschrift2"/>
      </w:pPr>
      <w:r>
        <w:t>K_{XT,k}</w:t>
      </w:r>
    </w:p>
    <w:p w:rsidR="00506BE4" w:rsidRDefault="00506BE4" w:rsidP="00506BE4">
      <w:pPr>
        <w:pStyle w:val="StandardWeb"/>
      </w:pPr>
      <w:r>
        <w:t>K_{XT,k-1}.</w:t>
      </w:r>
      <w:r>
        <w:br/>
        <w:t>\tag{3.4281}</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\Delta K_{XT,k}=K_{XT,k}-K_{XT,k-1}\qquad\text{(3.4281)}</w:t>
      </w:r>
    </w:p>
    <w:p w:rsidR="00506BE4" w:rsidRDefault="00506BE4" w:rsidP="00506BE4">
      <w:pPr>
        <w:pStyle w:val="StandardWeb"/>
      </w:pPr>
      <w:r>
        <w:t>Dabei gilt:</w:t>
      </w:r>
    </w:p>
    <w:p w:rsidR="00506BE4" w:rsidRDefault="00506BE4" w:rsidP="00632D23">
      <w:pPr>
        <w:pStyle w:val="StandardWeb"/>
        <w:numPr>
          <w:ilvl w:val="0"/>
          <w:numId w:val="73"/>
        </w:numPr>
      </w:pPr>
      <w:r>
        <w:lastRenderedPageBreak/>
        <w:t>(\Delta K_{XT,k}&lt;0): Kopplungsverlust,</w:t>
      </w:r>
    </w:p>
    <w:p w:rsidR="00506BE4" w:rsidRDefault="00506BE4" w:rsidP="00632D23">
      <w:pPr>
        <w:pStyle w:val="StandardWeb"/>
        <w:numPr>
          <w:ilvl w:val="0"/>
          <w:numId w:val="73"/>
        </w:numPr>
      </w:pPr>
      <w:r>
        <w:t>(\Delta K_{XT,k}=0): unveränderter Kopplungsgrad,</w:t>
      </w:r>
    </w:p>
    <w:p w:rsidR="00506BE4" w:rsidRDefault="00506BE4" w:rsidP="00632D23">
      <w:pPr>
        <w:pStyle w:val="StandardWeb"/>
        <w:numPr>
          <w:ilvl w:val="0"/>
          <w:numId w:val="73"/>
        </w:numPr>
      </w:pPr>
      <w:r>
        <w:t>(\Delta K_{XT,k}&gt;0): Kopplungszunahme.</w:t>
      </w:r>
    </w:p>
    <w:p w:rsidR="00506BE4" w:rsidRDefault="00506BE4" w:rsidP="00506BE4">
      <w:pPr>
        <w:pStyle w:val="StandardWeb"/>
      </w:pPr>
      <w:r>
        <w:t>Ein vollständiger lokaler Kopplungsabbruch liegt vor, wenn</w:t>
      </w:r>
    </w:p>
    <w:p w:rsidR="00506BE4" w:rsidRDefault="00506BE4" w:rsidP="00506BE4">
      <w:pPr>
        <w:pStyle w:val="berschrift1"/>
      </w:pPr>
      <w:r>
        <w:t>[</w:t>
      </w:r>
      <w:r>
        <w:br/>
        <w:t>K_{XT,k}</w:t>
      </w:r>
    </w:p>
    <w:p w:rsidR="00506BE4" w:rsidRDefault="00506BE4" w:rsidP="00632D23">
      <w:pPr>
        <w:numPr>
          <w:ilvl w:val="0"/>
          <w:numId w:val="74"/>
        </w:numPr>
        <w:spacing w:before="100" w:beforeAutospacing="1" w:after="100" w:afterAutospacing="1"/>
      </w:pPr>
    </w:p>
    <w:p w:rsidR="00506BE4" w:rsidRDefault="00506BE4" w:rsidP="00506BE4">
      <w:pPr>
        <w:pStyle w:val="StandardWeb"/>
      </w:pPr>
      <w:r>
        <w:t>\tag{3.4282}</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K_{XT,k}=0\qquad\text{(3.4282)}</w:t>
      </w:r>
    </w:p>
    <w:p w:rsidR="00506BE4" w:rsidRDefault="00506BE4" w:rsidP="00506BE4">
      <w:pPr>
        <w:pStyle w:val="StandardWeb"/>
      </w:pPr>
      <w:r>
        <w:t>Ein Kopplungsabbruch kann durch Verlust räumlicher Erreichbarkeit, Verletzung zeitlicher Ordnung, Überschreitung einer Kopplungsrate oder Verletzung einer Kohärenzbedingung entstehen.</w:t>
      </w:r>
    </w:p>
    <w:p w:rsidR="00506BE4" w:rsidRPr="00AF32B2" w:rsidRDefault="00506BE4" w:rsidP="00AF32B2">
      <w:pPr>
        <w:pStyle w:val="berschrift4"/>
      </w:pPr>
      <w:r w:rsidRPr="00AF32B2">
        <w:t>3.3.17.16 Lokale Raum-Zeit-Kopplung</w:t>
      </w:r>
    </w:p>
    <w:p w:rsidR="00506BE4" w:rsidRDefault="00506BE4" w:rsidP="00506BE4">
      <w:pPr>
        <w:pStyle w:val="StandardWeb"/>
      </w:pPr>
      <w:r>
        <w:t>Wie Raum- und Zeitstruktur muss auch die Kopplung nicht global definiert sein. Für einen Teilbereich</w:t>
      </w:r>
    </w:p>
    <w:p w:rsidR="00506BE4" w:rsidRDefault="00506BE4" w:rsidP="00506BE4">
      <w:pPr>
        <w:pStyle w:val="StandardWeb"/>
      </w:pPr>
      <w:r>
        <w:t>[</w:t>
      </w:r>
      <w:r>
        <w:br/>
        <w:t>\mathcal{U}</w:t>
      </w:r>
      <w:r>
        <w:rPr>
          <w:rStyle w:val="Hervorhebung"/>
        </w:rPr>
        <w:t>{XT}</w:t>
      </w:r>
      <w:r>
        <w:rPr>
          <w:i/>
          <w:iCs/>
        </w:rPr>
        <w:br/>
      </w:r>
      <w:r>
        <w:rPr>
          <w:rStyle w:val="Hervorhebung"/>
        </w:rPr>
        <w:t>\subseteq</w:t>
      </w:r>
      <w:r>
        <w:rPr>
          <w:i/>
          <w:iCs/>
        </w:rPr>
        <w:br/>
      </w:r>
      <w:r>
        <w:rPr>
          <w:rStyle w:val="Hervorhebung"/>
        </w:rPr>
        <w:t>\mathcal{Z}</w:t>
      </w:r>
      <w:r>
        <w:t>{F}</w:t>
      </w:r>
      <w:r>
        <w:br/>
        <w:t>\tag{3.4283}</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\mathcal{U}_{XT}\subseteq\mathcal{Z}_{F}\qquad\text{(3.4283)}</w:t>
      </w:r>
    </w:p>
    <w:p w:rsidR="00506BE4" w:rsidRDefault="00506BE4" w:rsidP="00506BE4">
      <w:pPr>
        <w:pStyle w:val="StandardWeb"/>
      </w:pPr>
      <w:r>
        <w:t>kann eine lokale Kopplungsstruktur eingeführt werden:</w:t>
      </w:r>
    </w:p>
    <w:p w:rsidR="00506BE4" w:rsidRDefault="00506BE4" w:rsidP="00506BE4">
      <w:pPr>
        <w:pStyle w:val="berschrift1"/>
      </w:pPr>
      <w:r>
        <w:t>[</w:t>
      </w:r>
      <w:r>
        <w:br/>
        <w:t>\mathfrak{K}_{XT}^{\mathcal{U}}</w:t>
      </w:r>
    </w:p>
    <w:p w:rsidR="00506BE4" w:rsidRDefault="00506BE4" w:rsidP="00506BE4">
      <w:pPr>
        <w:pStyle w:val="StandardWeb"/>
      </w:pPr>
      <w:r>
        <w:t>\left(</w:t>
      </w:r>
      <w:r>
        <w:br/>
        <w:t>\mathfrak{X}</w:t>
      </w:r>
      <w:r>
        <w:rPr>
          <w:rStyle w:val="Hervorhebung"/>
        </w:rPr>
        <w:t>{F}^{\mathcal{U}},</w:t>
      </w:r>
      <w:r>
        <w:rPr>
          <w:i/>
          <w:iCs/>
        </w:rPr>
        <w:br/>
      </w:r>
      <w:r>
        <w:rPr>
          <w:rStyle w:val="Hervorhebung"/>
        </w:rPr>
        <w:t>\mathfrak{T}</w:t>
      </w:r>
      <w:r>
        <w:t>{F}^{\mathcal{U}},</w:t>
      </w:r>
      <w:r>
        <w:br/>
        <w:t>\mathcal{K}_{XT}^{\mathcal{U}}</w:t>
      </w:r>
      <w:r>
        <w:br/>
        <w:t>\right).</w:t>
      </w:r>
      <w:r>
        <w:br/>
      </w:r>
      <w:r>
        <w:lastRenderedPageBreak/>
        <w:t>\tag{3.4284}</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\mathfrak{K}_{XT}^{\mathcal{U}}=\left(\mathfrak{X}_{F}^{\mathcal{U}},\mathfrak{T}_{F}^{\mathcal{U}},\mathcal{K}_{XT}^{\mathcal{U}}\right)\qquad\text{(3.4284)}</w:t>
      </w:r>
    </w:p>
    <w:p w:rsidR="00506BE4" w:rsidRDefault="00506BE4" w:rsidP="00506BE4">
      <w:pPr>
        <w:pStyle w:val="StandardWeb"/>
      </w:pPr>
      <w:r>
        <w:t>Mehrere lokale Kopplungsstrukturen können sich überlappen. In einem Überlappungsbereich</w:t>
      </w:r>
    </w:p>
    <w:p w:rsidR="00506BE4" w:rsidRDefault="00506BE4" w:rsidP="00506BE4">
      <w:pPr>
        <w:pStyle w:val="StandardWeb"/>
      </w:pPr>
      <w:r>
        <w:t>[</w:t>
      </w:r>
      <w:r>
        <w:br/>
        <w:t>\mathcal{U}</w:t>
      </w:r>
      <w:r>
        <w:rPr>
          <w:rStyle w:val="Hervorhebung"/>
        </w:rPr>
        <w:t>{XT}^{(a)}</w:t>
      </w:r>
      <w:r>
        <w:rPr>
          <w:i/>
          <w:iCs/>
        </w:rPr>
        <w:br/>
      </w:r>
      <w:r>
        <w:rPr>
          <w:rStyle w:val="Hervorhebung"/>
        </w:rPr>
        <w:t>\cap</w:t>
      </w:r>
      <w:r>
        <w:rPr>
          <w:i/>
          <w:iCs/>
        </w:rPr>
        <w:br/>
      </w:r>
      <w:r>
        <w:rPr>
          <w:rStyle w:val="Hervorhebung"/>
        </w:rPr>
        <w:t>\mathcal{U}</w:t>
      </w:r>
      <w:r>
        <w:t>{XT}^{(b)}</w:t>
      </w:r>
      <w:r>
        <w:br/>
        <w:t>\neq</w:t>
      </w:r>
      <w:r>
        <w:br/>
        <w:t>\emptyset</w:t>
      </w:r>
      <w:r>
        <w:br/>
        <w:t>\tag{3.4285}</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\mathcal{U}_{XT}^{(a)}\cap\mathcal{U}_{XT}^{(b)}\neq\emptyset\qquad\text{(3.4285)}</w:t>
      </w:r>
    </w:p>
    <w:p w:rsidR="00506BE4" w:rsidRDefault="00506BE4" w:rsidP="00506BE4">
      <w:pPr>
        <w:pStyle w:val="StandardWeb"/>
      </w:pPr>
      <w:r>
        <w:t>muss ihre Verträglichkeit gesondert geprüft werden.</w:t>
      </w:r>
    </w:p>
    <w:p w:rsidR="00506BE4" w:rsidRDefault="00506BE4" w:rsidP="00506BE4">
      <w:pPr>
        <w:pStyle w:val="StandardWeb"/>
      </w:pPr>
      <w:r>
        <w:rPr>
          <w:rStyle w:val="Fett"/>
        </w:rPr>
        <w:t>Eigenleistung des FRZK</w:t>
      </w:r>
    </w:p>
    <w:p w:rsidR="00506BE4" w:rsidRDefault="00506BE4" w:rsidP="00506BE4">
      <w:pPr>
        <w:pStyle w:val="StandardWeb"/>
      </w:pPr>
      <w:r>
        <w:t>Ich setze keine universelle globale Raum-Zeit-Kopplung voraus. Lokale Kopplungsbereiche können unterschiedliche Bewertungsfunktionen, Geometrien oder Zeitparametrisierungen besitzen.</w:t>
      </w:r>
    </w:p>
    <w:p w:rsidR="00506BE4" w:rsidRPr="00AF32B2" w:rsidRDefault="00506BE4" w:rsidP="00AF32B2">
      <w:pPr>
        <w:pStyle w:val="berschrift4"/>
      </w:pPr>
      <w:r w:rsidRPr="00AF32B2">
        <w:t>3.3.17.17 Umparametrisierung und Kopplungsinvarianz</w:t>
      </w:r>
    </w:p>
    <w:p w:rsidR="00506BE4" w:rsidRDefault="00506BE4" w:rsidP="00506BE4">
      <w:pPr>
        <w:pStyle w:val="StandardWeb"/>
      </w:pPr>
      <w:r>
        <w:t>Eine monotone Umparametrisierung der funktionalen Zeit kann die numerischen Zeitwerte verändern:</w:t>
      </w:r>
    </w:p>
    <w:p w:rsidR="00506BE4" w:rsidRDefault="00506BE4" w:rsidP="00506BE4">
      <w:pPr>
        <w:pStyle w:val="berschrift1"/>
      </w:pPr>
      <w:r>
        <w:t>[</w:t>
      </w:r>
      <w:r>
        <w:br/>
        <w:t>\widetilde{\vartheta}</w:t>
      </w:r>
    </w:p>
    <w:p w:rsidR="00506BE4" w:rsidRDefault="00506BE4" w:rsidP="00506BE4">
      <w:pPr>
        <w:pStyle w:val="StandardWeb"/>
      </w:pPr>
      <w:r>
        <w:t>f\circ\vartheta.</w:t>
      </w:r>
      <w:r>
        <w:br/>
        <w:t>\tag{3.4286}</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\widetilde{\vartheta}=f\circ\vartheta\qquad\text{(3.4286)}</w:t>
      </w:r>
    </w:p>
    <w:p w:rsidR="00506BE4" w:rsidRDefault="00506BE4" w:rsidP="00506BE4">
      <w:pPr>
        <w:pStyle w:val="StandardWeb"/>
      </w:pPr>
      <w:r>
        <w:t>Eine Kopplungsbedingung heißt gegenüber dieser Umparametrisierung invariant, wenn</w:t>
      </w:r>
    </w:p>
    <w:p w:rsidR="00506BE4" w:rsidRDefault="00506BE4" w:rsidP="00506BE4">
      <w:pPr>
        <w:pStyle w:val="berschrift1"/>
      </w:pPr>
      <w:r>
        <w:lastRenderedPageBreak/>
        <w:t>[</w:t>
      </w:r>
      <w:r>
        <w:br/>
        <w:t>\kappa_{XT}^{\vartheta}(z_i,z_j)</w:t>
      </w:r>
    </w:p>
    <w:p w:rsidR="00506BE4" w:rsidRDefault="00506BE4" w:rsidP="00506BE4">
      <w:pPr>
        <w:pStyle w:val="StandardWeb"/>
      </w:pPr>
      <w:r>
        <w:t>\kappa_{XT}^{\widetilde{\vartheta}}(z_i,z_j).</w:t>
      </w:r>
      <w:r>
        <w:br/>
        <w:t>\tag{3.4287}</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\kappa_{XT}^{\vartheta}(z_i,z_j)=\kappa_{XT}^{\widetilde{\vartheta}}(z_i,z_j)\qquad\text{(3.4287)}</w:t>
      </w:r>
    </w:p>
    <w:p w:rsidR="00506BE4" w:rsidRDefault="00506BE4" w:rsidP="00506BE4">
      <w:pPr>
        <w:pStyle w:val="StandardWeb"/>
      </w:pPr>
      <w:r>
        <w:t>Bedingungen, die nur auf der Zeitordnung beruhen, bleiben unter streng monotonen Umparametrisierungen erhalten. Bedingungen, die konkrete Zeitdifferenzen oder Raten verwenden, können sich dagegen verändern.</w:t>
      </w:r>
    </w:p>
    <w:p w:rsidR="00506BE4" w:rsidRDefault="00506BE4" w:rsidP="00506BE4">
      <w:pPr>
        <w:pStyle w:val="StandardWeb"/>
      </w:pPr>
      <w:r>
        <w:rPr>
          <w:rStyle w:val="Fett"/>
        </w:rPr>
        <w:t>Eigenleistung des FRZK</w:t>
      </w:r>
    </w:p>
    <w:p w:rsidR="00506BE4" w:rsidRDefault="00506BE4" w:rsidP="00506BE4">
      <w:pPr>
        <w:pStyle w:val="StandardWeb"/>
      </w:pPr>
      <w:r>
        <w:t>Ich unterscheide ordnungsinvariante und skalenabhängige Raum-Zeit-Kopplungsbedingungen. Eine Kopplung, die konkrete Dauerwerte verwendet, benötigt eine festgelegte Zeitparametrisierung oder Kalibrierung.</w:t>
      </w:r>
    </w:p>
    <w:p w:rsidR="00506BE4" w:rsidRPr="00AF32B2" w:rsidRDefault="00506BE4" w:rsidP="00AF32B2">
      <w:pPr>
        <w:pStyle w:val="berschrift4"/>
      </w:pPr>
      <w:r w:rsidRPr="00AF32B2">
        <w:t>3.3.17.18 Räumliche Umabbildung und Kopplungsinvarianz</w:t>
      </w:r>
    </w:p>
    <w:p w:rsidR="00506BE4" w:rsidRDefault="00506BE4" w:rsidP="00506BE4">
      <w:pPr>
        <w:pStyle w:val="StandardWeb"/>
      </w:pPr>
      <w:r>
        <w:t>Auch die funktionale Raumstruktur kann durch eine geeignete Abbildung</w:t>
      </w:r>
    </w:p>
    <w:p w:rsidR="00506BE4" w:rsidRDefault="00506BE4" w:rsidP="00506BE4">
      <w:pPr>
        <w:pStyle w:val="StandardWeb"/>
      </w:pPr>
      <w:r>
        <w:t>[</w:t>
      </w:r>
      <w:r>
        <w:br/>
        <w:t>g:</w:t>
      </w:r>
      <w:r>
        <w:br/>
        <w:t>\mathcal{Q}</w:t>
      </w:r>
      <w:r>
        <w:rPr>
          <w:rStyle w:val="Hervorhebung"/>
        </w:rPr>
        <w:t>{F}</w:t>
      </w:r>
      <w:r>
        <w:rPr>
          <w:i/>
          <w:iCs/>
        </w:rPr>
        <w:br/>
      </w:r>
      <w:r>
        <w:rPr>
          <w:rStyle w:val="Hervorhebung"/>
        </w:rPr>
        <w:t>\rightarrow</w:t>
      </w:r>
      <w:r>
        <w:rPr>
          <w:i/>
          <w:iCs/>
        </w:rPr>
        <w:br/>
      </w:r>
      <w:r>
        <w:rPr>
          <w:rStyle w:val="Hervorhebung"/>
        </w:rPr>
        <w:t>\widetilde{\mathcal{Q}}</w:t>
      </w:r>
      <w:r>
        <w:t>{F}</w:t>
      </w:r>
      <w:r>
        <w:br/>
        <w:t>\tag{3.4288}</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g:\mathcal{Q}_{F}\rightarrow\widetilde{\mathcal{Q}}_{F}\qquad\text{(3.4288)}</w:t>
      </w:r>
    </w:p>
    <w:p w:rsidR="00506BE4" w:rsidRDefault="00506BE4" w:rsidP="00506BE4">
      <w:pPr>
        <w:pStyle w:val="StandardWeb"/>
      </w:pPr>
      <w:r>
        <w:t>neu repräsentiert werden.</w:t>
      </w:r>
    </w:p>
    <w:p w:rsidR="00506BE4" w:rsidRDefault="00506BE4" w:rsidP="00506BE4">
      <w:pPr>
        <w:pStyle w:val="StandardWeb"/>
      </w:pPr>
      <w:r>
        <w:t>Eine räumliche Kopplungsbedingung ist invariant, wenn</w:t>
      </w:r>
    </w:p>
    <w:p w:rsidR="00506BE4" w:rsidRDefault="00506BE4" w:rsidP="00506BE4">
      <w:pPr>
        <w:pStyle w:val="berschrift1"/>
      </w:pPr>
      <w:r>
        <w:t>[</w:t>
      </w:r>
      <w:r>
        <w:br/>
        <w:t>\kappa_{XT}(z_i,z_j)</w:t>
      </w:r>
    </w:p>
    <w:p w:rsidR="00506BE4" w:rsidRDefault="00506BE4" w:rsidP="00506BE4">
      <w:pPr>
        <w:pStyle w:val="StandardWeb"/>
      </w:pPr>
      <w:r>
        <w:t>\widetilde{\kappa}_{XT}</w:t>
      </w:r>
      <w:r>
        <w:br/>
        <w:t>\left(</w:t>
      </w:r>
      <w:r>
        <w:br/>
        <w:t>g(z_i),</w:t>
      </w:r>
      <w:r>
        <w:br/>
      </w:r>
      <w:r>
        <w:lastRenderedPageBreak/>
        <w:t>g(z_j)</w:t>
      </w:r>
      <w:r>
        <w:br/>
        <w:t>\right).</w:t>
      </w:r>
      <w:r>
        <w:br/>
        <w:t>\tag{3.4289}</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\kappa_{XT}(z_i,z_j)=\widetilde{\kappa}_{XT}\left(g(z_i),g(z_j)\right)\qquad\text{(3.4289)}</w:t>
      </w:r>
    </w:p>
    <w:p w:rsidR="00506BE4" w:rsidRDefault="00506BE4" w:rsidP="00506BE4">
      <w:pPr>
        <w:pStyle w:val="StandardWeb"/>
      </w:pPr>
      <w:r>
        <w:t>Die Invarianz hängt davon ab, ob (g) die für die Kopplung relevanten räumlichen Relationen oder Distanzen erhält [71, 75].</w:t>
      </w:r>
    </w:p>
    <w:p w:rsidR="00506BE4" w:rsidRPr="00AF32B2" w:rsidRDefault="00506BE4" w:rsidP="00AF32B2">
      <w:pPr>
        <w:pStyle w:val="berschrift4"/>
      </w:pPr>
      <w:r w:rsidRPr="00AF32B2">
        <w:t>3.3.17.19 Gemeinsame Kalibrierung zur physikalischen Raumzeit</w:t>
      </w:r>
    </w:p>
    <w:p w:rsidR="00506BE4" w:rsidRDefault="00506BE4" w:rsidP="00506BE4">
      <w:pPr>
        <w:pStyle w:val="StandardWeb"/>
      </w:pPr>
      <w:r>
        <w:t>Die funktionale Raumstruktur kann durch (\psi) in eine physikalische Raumstruktur eingebettet werden. Die funktionale Zeit kann durch (\chi) auf physikalische Zeitwerte kalibriert werden.</w:t>
      </w:r>
    </w:p>
    <w:p w:rsidR="00506BE4" w:rsidRDefault="00506BE4" w:rsidP="00506BE4">
      <w:pPr>
        <w:pStyle w:val="StandardWeb"/>
      </w:pPr>
      <w:r>
        <w:t>Die gemeinsame Kalibrierung lautet:</w:t>
      </w:r>
    </w:p>
    <w:p w:rsidR="00506BE4" w:rsidRDefault="00506BE4" w:rsidP="00506BE4">
      <w:pPr>
        <w:pStyle w:val="StandardWeb"/>
      </w:pPr>
      <w:r>
        <w:t>[</w:t>
      </w:r>
      <w:r>
        <w:br/>
        <w:t>\Omega:</w:t>
      </w:r>
      <w:r>
        <w:br/>
        <w:t>\mathcal{Z}</w:t>
      </w:r>
      <w:r>
        <w:rPr>
          <w:rStyle w:val="Hervorhebung"/>
        </w:rPr>
        <w:t>{F}</w:t>
      </w:r>
      <w:r>
        <w:rPr>
          <w:i/>
          <w:iCs/>
        </w:rPr>
        <w:br/>
      </w:r>
      <w:r>
        <w:rPr>
          <w:rStyle w:val="Hervorhebung"/>
        </w:rPr>
        <w:t>\rightarrow</w:t>
      </w:r>
      <w:r>
        <w:rPr>
          <w:i/>
          <w:iCs/>
        </w:rPr>
        <w:br/>
      </w:r>
      <w:r>
        <w:rPr>
          <w:rStyle w:val="Hervorhebung"/>
        </w:rPr>
        <w:t>\mathcal{Z}</w:t>
      </w:r>
      <w:r>
        <w:t>{\mathrm{phys}}.</w:t>
      </w:r>
      <w:r>
        <w:br/>
        <w:t>\tag{3.4290}</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\Omega:\mathcal{Z}_{F}\rightarrow\mathcal{Z}_{\mathrm{phys}}\qquad\text{(3.4290)}</w:t>
      </w:r>
    </w:p>
    <w:p w:rsidR="00506BE4" w:rsidRDefault="00506BE4" w:rsidP="00506BE4">
      <w:pPr>
        <w:pStyle w:val="StandardWeb"/>
      </w:pPr>
      <w:r>
        <w:t>Für einen funktionalen Raum-Zeit-Zustand gilt:</w:t>
      </w:r>
    </w:p>
    <w:p w:rsidR="00506BE4" w:rsidRDefault="00506BE4" w:rsidP="00506BE4">
      <w:pPr>
        <w:pStyle w:val="berschrift1"/>
      </w:pPr>
      <w:r>
        <w:t>[</w:t>
      </w:r>
      <w:r>
        <w:br/>
        <w:t>\Omega</w:t>
      </w:r>
      <w:r>
        <w:br/>
        <w:t>\left(</w:t>
      </w:r>
      <w:r>
        <w:br/>
        <w:t>x,t^{F}</w:t>
      </w:r>
      <w:r>
        <w:br/>
        <w:t>\right)</w:t>
      </w:r>
    </w:p>
    <w:p w:rsidR="00506BE4" w:rsidRDefault="00506BE4" w:rsidP="00506BE4">
      <w:pPr>
        <w:pStyle w:val="StandardWeb"/>
      </w:pPr>
      <w:r>
        <w:t>\left(</w:t>
      </w:r>
      <w:r>
        <w:br/>
        <w:t>\psi(x),</w:t>
      </w:r>
      <w:r>
        <w:br/>
        <w:t>\chi(t^{F})</w:t>
      </w:r>
      <w:r>
        <w:br/>
        <w:t>\right).</w:t>
      </w:r>
      <w:r>
        <w:br/>
        <w:t>\tag{3.4291}</w:t>
      </w:r>
      <w:r>
        <w:br/>
        <w:t>]</w:t>
      </w:r>
    </w:p>
    <w:p w:rsidR="00506BE4" w:rsidRDefault="00506BE4" w:rsidP="00506BE4">
      <w:pPr>
        <w:pStyle w:val="StandardWeb"/>
      </w:pPr>
      <w:r>
        <w:rPr>
          <w:rStyle w:val="Fett"/>
        </w:rPr>
        <w:lastRenderedPageBreak/>
        <w:t>Word-LaTeX</w:t>
      </w:r>
    </w:p>
    <w:p w:rsidR="00506BE4" w:rsidRDefault="00506BE4" w:rsidP="00506BE4">
      <w:pPr>
        <w:pStyle w:val="HTMLVorformatiert"/>
        <w:rPr>
          <w:rStyle w:val="HTMLCode"/>
        </w:rPr>
      </w:pPr>
      <w:r>
        <w:rPr>
          <w:rStyle w:val="HTMLCode"/>
        </w:rPr>
        <w:t>\Omega\left(x,t^{F}\right)=\left(\psi(x),\chi(t^{F})\right)\qquad\text{(3.4291)}</w:t>
      </w:r>
    </w:p>
    <w:p w:rsidR="00506BE4" w:rsidRDefault="00506BE4" w:rsidP="00506BE4">
      <w:pPr>
        <w:pStyle w:val="StandardWeb"/>
      </w:pPr>
      <w:r>
        <w:t>Dabei bezeichnet (\mathcal{Z}_{\mathrm{phys}}) einen empirisch bestimmten physikalischen Raum-Zeit-Bereich.</w:t>
      </w:r>
    </w:p>
    <w:p w:rsidR="00506BE4" w:rsidRDefault="00506BE4" w:rsidP="00506BE4">
      <w:pPr>
        <w:pStyle w:val="StandardWeb"/>
      </w:pPr>
      <w:r>
        <w:t>Die gemeinsame Kalibrierung muss nicht notwendigerweise in räumliche und zeitliche Einzelabbildungen zerfallen. Allgemeiner kann gelten:</w:t>
      </w:r>
    </w:p>
    <w:p w:rsidR="00506BE4" w:rsidRDefault="00506BE4" w:rsidP="00506BE4">
      <w:pPr>
        <w:pStyle w:val="StandardWeb"/>
      </w:pPr>
      <w:r>
        <w:t>[</w:t>
      </w:r>
      <w:r>
        <w:br/>
        <w:t>\Omega</w:t>
      </w:r>
      <w:r>
        <w:br/>
        <w:t>\left(</w:t>
      </w:r>
      <w:r>
        <w:br/>
        <w:t>x,t^{F}</w:t>
      </w:r>
      <w:r>
        <w:br/>
        <w:t>\right)</w:t>
      </w:r>
      <w:r>
        <w:br/>
        <w:t>\neq</w:t>
      </w:r>
      <w:r>
        <w:br/>
        <w:t>\left(</w:t>
      </w:r>
      <w:r>
        <w:br/>
        <w:t>\psi(x),</w:t>
      </w:r>
      <w:r>
        <w:br/>
        <w:t>\chi(t^{F})</w:t>
      </w:r>
      <w:r>
        <w:br/>
        <w:t>\right).</w:t>
      </w:r>
      <w:r>
        <w:br/>
        <w:t>\tag{3.4292}</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\Omega\left(x,t^{F}\right)\neq\left(\psi(x),\chi(t^{F})\right)\qquad\text{(3.4292)}</w:t>
      </w:r>
    </w:p>
    <w:p w:rsidR="00506BE4" w:rsidRDefault="00506BE4" w:rsidP="00506BE4">
      <w:pPr>
        <w:pStyle w:val="StandardWeb"/>
      </w:pPr>
      <w:r>
        <w:t>In diesem Fall wären räumliche und zeitliche Kalibrierung bereits auf der Abbildungsebene gekoppelt.</w:t>
      </w:r>
    </w:p>
    <w:p w:rsidR="00506BE4" w:rsidRDefault="00506BE4" w:rsidP="00506BE4">
      <w:pPr>
        <w:pStyle w:val="StandardWeb"/>
      </w:pPr>
      <w:r>
        <w:rPr>
          <w:rStyle w:val="Fett"/>
        </w:rPr>
        <w:t>Eigenleistung des FRZK</w:t>
      </w:r>
    </w:p>
    <w:p w:rsidR="00506BE4" w:rsidRDefault="00506BE4" w:rsidP="00506BE4">
      <w:pPr>
        <w:pStyle w:val="StandardWeb"/>
      </w:pPr>
      <w:r>
        <w:t>Ich lasse sowohl getrennte als auch nicht separierbare Raum-Zeit-Kalibrierungen zu. Eine physikalische Raumzeit muss daher nicht als einfaches Produkt unabhängig kalibrierter Raum- und Zeitstrukturen dargestellt werden.</w:t>
      </w:r>
    </w:p>
    <w:p w:rsidR="00506BE4" w:rsidRPr="00AF32B2" w:rsidRDefault="00506BE4" w:rsidP="00AF32B2">
      <w:pPr>
        <w:pStyle w:val="berschrift4"/>
      </w:pPr>
      <w:r w:rsidRPr="00AF32B2">
        <w:t>3.3.17.20 Keine automatische Lorentz- oder euklidische Struktur</w:t>
      </w:r>
    </w:p>
    <w:p w:rsidR="00506BE4" w:rsidRDefault="00506BE4" w:rsidP="00506BE4">
      <w:pPr>
        <w:pStyle w:val="StandardWeb"/>
      </w:pPr>
      <w:r>
        <w:t>Aus Definition 3.3.10 folgen weder eine euklidische Raum-Zeit-Metrik noch eine Lorentz-Metrik. Eine quadratische Form wie</w:t>
      </w:r>
    </w:p>
    <w:p w:rsidR="00506BE4" w:rsidRDefault="00506BE4" w:rsidP="00506BE4">
      <w:pPr>
        <w:pStyle w:val="berschrift1"/>
      </w:pPr>
      <w:r>
        <w:t>[</w:t>
      </w:r>
      <w:r>
        <w:br/>
        <w:t>s^{2}</w:t>
      </w:r>
    </w:p>
    <w:p w:rsidR="00506BE4" w:rsidRDefault="00506BE4" w:rsidP="00506BE4">
      <w:pPr>
        <w:pStyle w:val="berschrift2"/>
      </w:pPr>
      <w:r>
        <w:t>c^{2}\Delta t^{2}</w:t>
      </w:r>
    </w:p>
    <w:p w:rsidR="00506BE4" w:rsidRDefault="00506BE4" w:rsidP="00506BE4">
      <w:pPr>
        <w:pStyle w:val="berschrift2"/>
      </w:pPr>
      <w:r>
        <w:t>\Delta x^{2}</w:t>
      </w:r>
    </w:p>
    <w:p w:rsidR="00506BE4" w:rsidRDefault="00506BE4" w:rsidP="00506BE4">
      <w:pPr>
        <w:pStyle w:val="berschrift2"/>
      </w:pPr>
      <w:r>
        <w:lastRenderedPageBreak/>
        <w:t>\Delta y^{2}</w:t>
      </w:r>
    </w:p>
    <w:p w:rsidR="00506BE4" w:rsidRDefault="00506BE4" w:rsidP="00506BE4">
      <w:pPr>
        <w:pStyle w:val="StandardWeb"/>
      </w:pPr>
      <w:r>
        <w:t>\Delta z^{2}</w:t>
      </w:r>
      <w:r>
        <w:br/>
        <w:t>\tag{3.4293}</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s^{2}=c^{2}\Delta t^{2}-\Delta x^{2}-\Delta y^{2}-\Delta z^{2}\qquad\text{(3.4293)}</w:t>
      </w:r>
    </w:p>
    <w:p w:rsidR="00506BE4" w:rsidRDefault="00506BE4" w:rsidP="00506BE4">
      <w:pPr>
        <w:pStyle w:val="StandardWeb"/>
      </w:pPr>
      <w:r>
        <w:t>setzt bereits eine vierdimensionale koordinatisierte Struktur, eine bestimmte Signatur, eine physikalische Zeit und eine empirisch bestimmte Konstante (c) voraus.</w:t>
      </w:r>
    </w:p>
    <w:p w:rsidR="00506BE4" w:rsidRDefault="00506BE4" w:rsidP="00506BE4">
      <w:pPr>
        <w:pStyle w:val="StandardWeb"/>
      </w:pPr>
      <w:r>
        <w:t>Diese Voraussetzungen sind in der allgemeinen funktionalen Raum-Zeit-Kopplung nicht enthalten [58, 59, 75].</w:t>
      </w:r>
    </w:p>
    <w:p w:rsidR="00506BE4" w:rsidRDefault="00506BE4" w:rsidP="00506BE4">
      <w:pPr>
        <w:pStyle w:val="StandardWeb"/>
      </w:pPr>
      <w:r>
        <w:t>Eine allgemeine funktionale Kopplungsform könnte lediglich als</w:t>
      </w:r>
    </w:p>
    <w:p w:rsidR="00506BE4" w:rsidRDefault="00506BE4" w:rsidP="00506BE4">
      <w:pPr>
        <w:pStyle w:val="berschrift1"/>
      </w:pPr>
      <w:r>
        <w:t>[</w:t>
      </w:r>
      <w:r>
        <w:br/>
        <w:t>\Sigma_{F}</w:t>
      </w:r>
    </w:p>
    <w:p w:rsidR="00506BE4" w:rsidRDefault="00506BE4" w:rsidP="00506BE4">
      <w:pPr>
        <w:pStyle w:val="StandardWeb"/>
      </w:pPr>
      <w:r>
        <w:t>\Sigma_{F}</w:t>
      </w:r>
      <w:r>
        <w:br/>
        <w:t>\left(</w:t>
      </w:r>
      <w:r>
        <w:br/>
        <w:t>d_{\mathrm{sp}},</w:t>
      </w:r>
      <w:r>
        <w:br/>
        <w:t>\Delta t^{F},</w:t>
      </w:r>
      <w:r>
        <w:br/>
        <w:t>\mathcal{K}_{XT}</w:t>
      </w:r>
      <w:r>
        <w:br/>
        <w:t>\right)</w:t>
      </w:r>
      <w:r>
        <w:br/>
        <w:t>\tag{3.4294}</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\Sigma_{F}=\Sigma_{F}\left(d_{\mathrm{sp}},\Delta t^{F},\mathcal{K}_{XT}\right)\qquad\text{(3.4294)}</w:t>
      </w:r>
    </w:p>
    <w:p w:rsidR="00506BE4" w:rsidRDefault="00506BE4" w:rsidP="00506BE4">
      <w:pPr>
        <w:pStyle w:val="StandardWeb"/>
      </w:pPr>
      <w:r>
        <w:t>geschrieben werden.</w:t>
      </w:r>
    </w:p>
    <w:p w:rsidR="00506BE4" w:rsidRDefault="00506BE4" w:rsidP="00506BE4">
      <w:pPr>
        <w:pStyle w:val="StandardWeb"/>
      </w:pPr>
      <w:r>
        <w:t>Die konkrete Form von (\Sigma_{F}) muss aus dem jeweiligen Modell hervorgehen.</w:t>
      </w:r>
    </w:p>
    <w:p w:rsidR="00506BE4" w:rsidRPr="00AF32B2" w:rsidRDefault="00506BE4" w:rsidP="00AF32B2">
      <w:pPr>
        <w:pStyle w:val="berschrift4"/>
      </w:pPr>
      <w:r w:rsidRPr="00AF32B2">
        <w:t>3.3.17.21 Keine universelle Separierbarkeit</w:t>
      </w:r>
    </w:p>
    <w:p w:rsidR="00506BE4" w:rsidRDefault="00506BE4" w:rsidP="00506BE4">
      <w:pPr>
        <w:pStyle w:val="StandardWeb"/>
      </w:pPr>
      <w:r>
        <w:t>Eine gekoppelte Struktur ist separierbar, wenn die Kopplungsbedingungen vollständig in unabhängige räumliche und zeitliche Bedingungen zerlegt werden können:</w:t>
      </w:r>
    </w:p>
    <w:p w:rsidR="00506BE4" w:rsidRDefault="00506BE4" w:rsidP="00506BE4">
      <w:pPr>
        <w:pStyle w:val="berschrift1"/>
      </w:pPr>
      <w:r>
        <w:t>[</w:t>
      </w:r>
      <w:r>
        <w:br/>
        <w:t>\kappa_{XT}(z_i,z_j)</w:t>
      </w:r>
    </w:p>
    <w:p w:rsidR="00506BE4" w:rsidRDefault="00506BE4" w:rsidP="00506BE4">
      <w:pPr>
        <w:pStyle w:val="StandardWeb"/>
      </w:pPr>
      <w:r>
        <w:lastRenderedPageBreak/>
        <w:t>\kappa_{X}(x_i,x_j)</w:t>
      </w:r>
      <w:r>
        <w:br/>
        <w:t>\cdot</w:t>
      </w:r>
      <w:r>
        <w:br/>
        <w:t>\kappa_{T}(t_i^{F},t_j^{F}).</w:t>
      </w:r>
      <w:r>
        <w:br/>
        <w:t>\tag{3.4295}</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\kappa_{XT}(z_i,z_j)=\kappa_{X}(x_i,x_j)\cdot\kappa_{T}(t_i^{F},t_j^{F})\qquad\text{(3.4295)}</w:t>
      </w:r>
    </w:p>
    <w:p w:rsidR="00506BE4" w:rsidRDefault="00506BE4" w:rsidP="00506BE4">
      <w:pPr>
        <w:pStyle w:val="StandardWeb"/>
      </w:pPr>
      <w:r>
        <w:t>Eine nicht separierbare Kopplung liegt vor, wenn keine solche Zerlegung existiert:</w:t>
      </w:r>
    </w:p>
    <w:p w:rsidR="00506BE4" w:rsidRDefault="00506BE4" w:rsidP="00506BE4">
      <w:pPr>
        <w:pStyle w:val="StandardWeb"/>
      </w:pPr>
      <w:r>
        <w:t>[</w:t>
      </w:r>
      <w:r>
        <w:br/>
        <w:t>\kappa_{XT}</w:t>
      </w:r>
      <w:r>
        <w:br/>
        <w:t>\neq</w:t>
      </w:r>
      <w:r>
        <w:br/>
        <w:t>\kappa_{X}</w:t>
      </w:r>
      <w:r>
        <w:br/>
        <w:t>\cdot</w:t>
      </w:r>
      <w:r>
        <w:br/>
        <w:t>\kappa_{T}.</w:t>
      </w:r>
      <w:r>
        <w:br/>
        <w:t>\tag{3.4296}</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\kappa_{XT}\neq\kappa_{X}\cdot\kappa_{T}\qquad\text{(3.4296)}</w:t>
      </w:r>
    </w:p>
    <w:p w:rsidR="00506BE4" w:rsidRDefault="00506BE4" w:rsidP="00506BE4">
      <w:pPr>
        <w:pStyle w:val="StandardWeb"/>
      </w:pPr>
      <w:r>
        <w:rPr>
          <w:rStyle w:val="Fett"/>
        </w:rPr>
        <w:t>Eigenleistung des FRZK</w:t>
      </w:r>
    </w:p>
    <w:p w:rsidR="00506BE4" w:rsidRDefault="00506BE4" w:rsidP="00506BE4">
      <w:pPr>
        <w:pStyle w:val="StandardWeb"/>
      </w:pPr>
      <w:r>
        <w:t>Ich setze keine Separierbarkeit von Raum und Zeit voraus. Die funktionale Raum-Zeit-Kopplung darf genuine gemeinsame Bedingungen enthalten, die weder ausschließlich räumlich noch ausschließlich zeitlich formuliert werden können.</w:t>
      </w:r>
    </w:p>
    <w:p w:rsidR="00506BE4" w:rsidRPr="00AF32B2" w:rsidRDefault="00506BE4" w:rsidP="00AF32B2">
      <w:pPr>
        <w:pStyle w:val="berschrift4"/>
      </w:pPr>
      <w:r w:rsidRPr="00AF32B2">
        <w:t>3.3.17.22 Keine universelle globale Kopplung</w:t>
      </w:r>
    </w:p>
    <w:p w:rsidR="00506BE4" w:rsidRDefault="00506BE4" w:rsidP="00506BE4">
      <w:pPr>
        <w:pStyle w:val="StandardWeb"/>
      </w:pPr>
      <w:r>
        <w:t>Eine globale funktionale Raum-Zeit-Kopplung würde verlangen:</w:t>
      </w:r>
    </w:p>
    <w:p w:rsidR="00506BE4" w:rsidRDefault="00506BE4" w:rsidP="00506BE4">
      <w:pPr>
        <w:pStyle w:val="StandardWeb"/>
      </w:pPr>
      <w:r>
        <w:t>[</w:t>
      </w:r>
      <w:r>
        <w:br/>
        <w:t>\mathcal{K}</w:t>
      </w:r>
      <w:r>
        <w:rPr>
          <w:rStyle w:val="Hervorhebung"/>
        </w:rPr>
        <w:t>{XT}^{\mathrm{glob}}</w:t>
      </w:r>
      <w:r>
        <w:rPr>
          <w:i/>
          <w:iCs/>
        </w:rPr>
        <w:br/>
      </w:r>
      <w:r>
        <w:rPr>
          <w:rStyle w:val="Hervorhebung"/>
        </w:rPr>
        <w:t>\subseteq</w:t>
      </w:r>
      <w:r>
        <w:rPr>
          <w:i/>
          <w:iCs/>
        </w:rPr>
        <w:br/>
      </w:r>
      <w:r>
        <w:rPr>
          <w:rStyle w:val="Hervorhebung"/>
        </w:rPr>
        <w:t>\mathcal{Z}</w:t>
      </w:r>
      <w:r>
        <w:t>{F}\times\mathcal{Z}_{F}</w:t>
      </w:r>
      <w:r>
        <w:br/>
        <w:t>\tag{3.4297}</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\mathcal{K}_{XT}^{\mathrm{glob}}\subseteq\mathcal{Z}_{F}\times\mathcal{Z}_{F}\qquad\text{(3.4297)}</w:t>
      </w:r>
    </w:p>
    <w:p w:rsidR="00506BE4" w:rsidRDefault="00506BE4" w:rsidP="00506BE4">
      <w:pPr>
        <w:pStyle w:val="StandardWeb"/>
      </w:pPr>
      <w:r>
        <w:t>und müsste für sämtliche relevanten Raum-Zeit-Zustände konsistent definiert sein.</w:t>
      </w:r>
    </w:p>
    <w:p w:rsidR="00506BE4" w:rsidRDefault="00506BE4" w:rsidP="00506BE4">
      <w:pPr>
        <w:pStyle w:val="StandardWeb"/>
      </w:pPr>
      <w:r>
        <w:t>Die Existenz einer solchen globalen Kopplung wird nicht vorausgesetzt:</w:t>
      </w:r>
    </w:p>
    <w:p w:rsidR="00506BE4" w:rsidRDefault="00506BE4" w:rsidP="00506BE4">
      <w:pPr>
        <w:pStyle w:val="StandardWeb"/>
      </w:pPr>
      <w:r>
        <w:lastRenderedPageBreak/>
        <w:t>[</w:t>
      </w:r>
      <w:r>
        <w:br/>
        <w:t>\nexists</w:t>
      </w:r>
      <w:r>
        <w:br/>
        <w:t>\mathcal{K}_{XT}^{\mathrm{glob}}</w:t>
      </w:r>
      <w:r>
        <w:br/>
        <w:t>\quad</w:t>
      </w:r>
      <w:r>
        <w:br/>
        <w:t>\text{kann für bestimmte funktionale Strukturen gelten}.</w:t>
      </w:r>
      <w:r>
        <w:br/>
        <w:t>\tag{3.4298}</w:t>
      </w:r>
      <w:r>
        <w:br/>
        <w:t>]</w:t>
      </w:r>
    </w:p>
    <w:p w:rsidR="00506BE4" w:rsidRDefault="00506BE4" w:rsidP="00506BE4">
      <w:pPr>
        <w:pStyle w:val="StandardWeb"/>
      </w:pPr>
      <w:r>
        <w:rPr>
          <w:rStyle w:val="Fett"/>
        </w:rPr>
        <w:t>Word-LaTeX</w:t>
      </w:r>
    </w:p>
    <w:p w:rsidR="00506BE4" w:rsidRDefault="00506BE4" w:rsidP="00506BE4">
      <w:pPr>
        <w:pStyle w:val="HTMLVorformatiert"/>
        <w:rPr>
          <w:rStyle w:val="HTMLCode"/>
        </w:rPr>
      </w:pPr>
      <w:r>
        <w:rPr>
          <w:rStyle w:val="HTMLCode"/>
        </w:rPr>
        <w:t>\nexists\mathcal{K}_{XT}^{\mathrm{glob}}\quad\text{kann für bestimmte funktionale Strukturen gelten}\qquad\text{(3.4298)}</w:t>
      </w:r>
    </w:p>
    <w:p w:rsidR="00506BE4" w:rsidRDefault="00506BE4" w:rsidP="00506BE4">
      <w:pPr>
        <w:pStyle w:val="StandardWeb"/>
      </w:pPr>
      <w:r>
        <w:t>Zyklische Entwicklungen, inkompatible lokale Zeitparametrisierungen, getrennte Raumkomponenten oder Kohärenzverluste können eine globale Kopplung verhindern.</w:t>
      </w:r>
    </w:p>
    <w:p w:rsidR="00506BE4" w:rsidRPr="00AF32B2" w:rsidRDefault="00506BE4" w:rsidP="00AF32B2">
      <w:pPr>
        <w:pStyle w:val="berschrift4"/>
      </w:pPr>
      <w:r w:rsidRPr="00AF32B2">
        <w:t>3.3.17.23 Ergebnis der Ableitung</w:t>
      </w:r>
    </w:p>
    <w:p w:rsidR="00506BE4" w:rsidRDefault="00506BE4" w:rsidP="00506BE4">
      <w:pPr>
        <w:pStyle w:val="StandardWeb"/>
      </w:pPr>
      <w:r>
        <w:t>Die funktionale Raum-Zeit-Kopplung konnte aus bereits definierten Raum- und Zeitstrukturen als zusätzliche Verträglichkeitsstruktur konstruiert werden. Die Kopplung legt fest, welche gemeinsamen Übergänge räumlich, zeitlich und funktional zulässig sind. Sie kann lokal oder global, binär oder quantitativ, separierbar oder nicht separierbar sowie ratenbeschränkt oder unbeschränkt formuliert werden [6, 71, 75, 76].</w:t>
      </w:r>
    </w:p>
    <w:p w:rsidR="00506BE4" w:rsidRDefault="00506BE4" w:rsidP="00506BE4">
      <w:pPr>
        <w:pStyle w:val="StandardWeb"/>
      </w:pPr>
      <w:r>
        <w:t>Ein weiteres Primäraxiom ist für die begriffliche Definition der Raum-Zeit-Kopplung nicht erforderlich. Die konkrete Existenz einer globalen Kopplungsrelation oder einer bestimmten Kopplungsform folgt jedoch nicht aus den bisherigen Primäraxiomen. Sie muss für jedes Modell konstruiert, geprüft und gegebenenfalls empirisch kalibriert werden [79].</w:t>
      </w:r>
    </w:p>
    <w:p w:rsidR="00506BE4" w:rsidRDefault="00506BE4" w:rsidP="00506BE4">
      <w:pPr>
        <w:pStyle w:val="StandardWeb"/>
      </w:pPr>
      <w:r>
        <w:rPr>
          <w:rStyle w:val="Fett"/>
        </w:rPr>
        <w:t>Eigenleistung des FRZK</w:t>
      </w:r>
    </w:p>
    <w:p w:rsidR="00506BE4" w:rsidRDefault="00506BE4" w:rsidP="00506BE4">
      <w:pPr>
        <w:pStyle w:val="StandardWeb"/>
      </w:pPr>
      <w:r>
        <w:t>Damit werden funktionaler Raum und funktionale Zeit erstmals zu einer gemeinsamen Struktur verbunden. Diese Verbindung entsteht nicht durch begriffliche Zusammenfassung, sondern durch explizite Kopplungsbedingungen. Das FRZK erhält damit eine gemeinsame Raum-Zeit-Struktur, ohne bereits eine konkrete physikalische Geometrie vorauszusetzen.</w:t>
      </w:r>
    </w:p>
    <w:p w:rsidR="00506BE4" w:rsidRPr="00AF32B2" w:rsidRDefault="00506BE4" w:rsidP="00AF32B2">
      <w:pPr>
        <w:pStyle w:val="berschrift4"/>
      </w:pPr>
      <w:r w:rsidRPr="00AF32B2">
        <w:t>3.3.17.24 Übergang zum Funktionalen Raum-Zeit-Kohärenzsystem</w:t>
      </w:r>
    </w:p>
    <w:p w:rsidR="00506BE4" w:rsidRDefault="00506BE4" w:rsidP="00506BE4">
      <w:pPr>
        <w:pStyle w:val="StandardWeb"/>
      </w:pPr>
      <w:r>
        <w:t>Mit Definition 3.3.10 stehen nun sämtliche zentralen Strukturklassen zur Verfügung:</w:t>
      </w:r>
    </w:p>
    <w:p w:rsidR="00506BE4" w:rsidRDefault="00506BE4" w:rsidP="00632D23">
      <w:pPr>
        <w:pStyle w:val="StandardWeb"/>
        <w:numPr>
          <w:ilvl w:val="0"/>
          <w:numId w:val="75"/>
        </w:numPr>
      </w:pPr>
      <w:r>
        <w:t>elementare funktionale Zustände,</w:t>
      </w:r>
    </w:p>
    <w:p w:rsidR="00506BE4" w:rsidRDefault="00506BE4" w:rsidP="00632D23">
      <w:pPr>
        <w:pStyle w:val="StandardWeb"/>
        <w:numPr>
          <w:ilvl w:val="0"/>
          <w:numId w:val="75"/>
        </w:numPr>
      </w:pPr>
      <w:r>
        <w:t>funktionale Relationen,</w:t>
      </w:r>
    </w:p>
    <w:p w:rsidR="00506BE4" w:rsidRDefault="00506BE4" w:rsidP="00632D23">
      <w:pPr>
        <w:pStyle w:val="StandardWeb"/>
        <w:numPr>
          <w:ilvl w:val="0"/>
          <w:numId w:val="75"/>
        </w:numPr>
      </w:pPr>
      <w:r>
        <w:t>funktionale Transformationen,</w:t>
      </w:r>
    </w:p>
    <w:p w:rsidR="00506BE4" w:rsidRDefault="00506BE4" w:rsidP="00632D23">
      <w:pPr>
        <w:pStyle w:val="StandardWeb"/>
        <w:numPr>
          <w:ilvl w:val="0"/>
          <w:numId w:val="75"/>
        </w:numPr>
      </w:pPr>
      <w:r>
        <w:t>funktionale Entwicklungen,</w:t>
      </w:r>
    </w:p>
    <w:p w:rsidR="00506BE4" w:rsidRDefault="00506BE4" w:rsidP="00632D23">
      <w:pPr>
        <w:pStyle w:val="StandardWeb"/>
        <w:numPr>
          <w:ilvl w:val="0"/>
          <w:numId w:val="75"/>
        </w:numPr>
      </w:pPr>
      <w:r>
        <w:t>funktionale Kohärenz,</w:t>
      </w:r>
    </w:p>
    <w:p w:rsidR="00506BE4" w:rsidRDefault="00506BE4" w:rsidP="00632D23">
      <w:pPr>
        <w:pStyle w:val="StandardWeb"/>
        <w:numPr>
          <w:ilvl w:val="0"/>
          <w:numId w:val="75"/>
        </w:numPr>
      </w:pPr>
      <w:r>
        <w:t>funktionale Ordnung,</w:t>
      </w:r>
    </w:p>
    <w:p w:rsidR="00506BE4" w:rsidRDefault="00506BE4" w:rsidP="00632D23">
      <w:pPr>
        <w:pStyle w:val="StandardWeb"/>
        <w:numPr>
          <w:ilvl w:val="0"/>
          <w:numId w:val="75"/>
        </w:numPr>
      </w:pPr>
      <w:r>
        <w:t>funktionale Zeit,</w:t>
      </w:r>
    </w:p>
    <w:p w:rsidR="00506BE4" w:rsidRDefault="00506BE4" w:rsidP="00632D23">
      <w:pPr>
        <w:pStyle w:val="StandardWeb"/>
        <w:numPr>
          <w:ilvl w:val="0"/>
          <w:numId w:val="75"/>
        </w:numPr>
      </w:pPr>
      <w:r>
        <w:t>funktionaler Raum,</w:t>
      </w:r>
    </w:p>
    <w:p w:rsidR="00506BE4" w:rsidRDefault="00506BE4" w:rsidP="00632D23">
      <w:pPr>
        <w:pStyle w:val="StandardWeb"/>
        <w:numPr>
          <w:ilvl w:val="0"/>
          <w:numId w:val="75"/>
        </w:numPr>
      </w:pPr>
      <w:r>
        <w:t>funktionale Raum-Zeit-Kopplung.</w:t>
      </w:r>
    </w:p>
    <w:p w:rsidR="00506BE4" w:rsidRDefault="00506BE4" w:rsidP="00506BE4">
      <w:pPr>
        <w:pStyle w:val="StandardWeb"/>
      </w:pPr>
      <w:r>
        <w:lastRenderedPageBreak/>
        <w:t>Diese Strukturen wurden einzeln eingeführt und ihre jeweiligen Voraussetzungen voneinander getrennt. Damit kann nun das Funktionale Raum-Zeit-Kohärenzsystem als Gesamtstruktur definiert werden.</w:t>
      </w:r>
    </w:p>
    <w:p w:rsidR="00506BE4" w:rsidRDefault="00506BE4" w:rsidP="00506BE4">
      <w:pPr>
        <w:pStyle w:val="StandardWeb"/>
      </w:pPr>
      <w:r>
        <w:rPr>
          <w:rStyle w:val="Fett"/>
        </w:rPr>
        <w:t>Eigenleistung des FRZK</w:t>
      </w:r>
    </w:p>
    <w:p w:rsidR="00506BE4" w:rsidRDefault="00506BE4" w:rsidP="00506BE4">
      <w:pPr>
        <w:pStyle w:val="StandardWeb"/>
      </w:pPr>
      <w:r>
        <w:t>Der folgende Abschnitt führt die bisherigen Teilstrukturen zu einer einheitlichen Systemdefinition zusammen. Dabei wird ausdrücklich festgelegt, welche Bestandteile zwingend zum FRZK gehören und welche Strukturen lediglich optionale oder modellspezifische Erweiterungen darstellen.</w:t>
      </w:r>
    </w:p>
    <w:p w:rsidR="000E5C2A" w:rsidRDefault="000E5C2A" w:rsidP="000E5C2A">
      <w:pPr>
        <w:pStyle w:val="berschrift2"/>
      </w:pPr>
      <w:r>
        <w:t>Ergänzung zu 3.3.17 – Definition der funktionalen Raum-Zeit-Kopplung</w:t>
      </w:r>
    </w:p>
    <w:p w:rsidR="000E5C2A" w:rsidRDefault="000E5C2A" w:rsidP="000E5C2A">
      <w:pPr>
        <w:pStyle w:val="berschrift3"/>
      </w:pPr>
      <w:r>
        <w:t>Methodologische Betrachtungen</w:t>
      </w:r>
    </w:p>
    <w:p w:rsidR="000E5C2A" w:rsidRDefault="000E5C2A" w:rsidP="000E5C2A">
      <w:pPr>
        <w:pStyle w:val="StandardWeb"/>
      </w:pPr>
      <w:r>
        <w:t>Nachdem funktionaler Raum und funktionale Zeit getrennt konstruiert wurden, stellt sich die Frage, wie beide Strukturen miteinander verträglich verbunden werden können. Abschnitt 3.3.17 definiert deshalb die funktionale Raum-Zeit-Kopplung als Verträglichkeitsstruktur aus funktionalem Raum, funktionaler Zeit und einer Relation zulässiger Raum-Zeit-Übergänge.</w:t>
      </w:r>
    </w:p>
    <w:p w:rsidR="000E5C2A" w:rsidRDefault="000E5C2A" w:rsidP="000E5C2A">
      <w:pPr>
        <w:pStyle w:val="StandardWeb"/>
      </w:pPr>
      <w:r>
        <w:t>Die funktionale Raumstruktur lautet</w:t>
      </w:r>
    </w:p>
    <w:p w:rsidR="000E5C2A" w:rsidRDefault="000E5C2A" w:rsidP="000E5C2A">
      <w:pPr>
        <w:pStyle w:val="berschrift1"/>
      </w:pPr>
      <w:r>
        <w:t>[</w:t>
      </w:r>
      <w:r>
        <w:br/>
        <w:t>\mathfrak{X}_{F}</w:t>
      </w:r>
    </w:p>
    <w:p w:rsidR="000E5C2A" w:rsidRDefault="000E5C2A" w:rsidP="000E5C2A">
      <w:pPr>
        <w:pStyle w:val="StandardWeb"/>
      </w:pPr>
      <w:r>
        <w:t>\left(</w:t>
      </w:r>
      <w:r>
        <w:br/>
        <w:t>\mathcal{Q}</w:t>
      </w:r>
      <w:r>
        <w:rPr>
          <w:rStyle w:val="Hervorhebung"/>
        </w:rPr>
        <w:t>{F},</w:t>
      </w:r>
      <w:r>
        <w:rPr>
          <w:i/>
          <w:iCs/>
        </w:rPr>
        <w:br/>
      </w:r>
      <w:r>
        <w:rPr>
          <w:rStyle w:val="Hervorhebung"/>
        </w:rPr>
        <w:t>\mathcal{R}</w:t>
      </w:r>
      <w:r>
        <w:t>{\mathrm{sp}},</w:t>
      </w:r>
      <w:r>
        <w:br/>
        <w:t>\tau_{\mathrm{sp}},</w:t>
      </w:r>
      <w:r>
        <w:br/>
        <w:t>d_{\mathrm{sp}}</w:t>
      </w:r>
      <w:r>
        <w:br/>
        <w:t>\right).</w:t>
      </w:r>
      <w:r>
        <w:br/>
        <w:t>\tag{3.4240}</w:t>
      </w:r>
      <w:r>
        <w:br/>
        <w:t>]</w:t>
      </w:r>
    </w:p>
    <w:p w:rsidR="000E5C2A" w:rsidRDefault="000E5C2A" w:rsidP="000E5C2A">
      <w:pPr>
        <w:pStyle w:val="StandardWeb"/>
      </w:pPr>
      <w:r>
        <w:rPr>
          <w:rStyle w:val="Fett"/>
        </w:rPr>
        <w:t>Word-LaTeX</w:t>
      </w:r>
    </w:p>
    <w:p w:rsidR="000E5C2A" w:rsidRDefault="000E5C2A" w:rsidP="000E5C2A">
      <w:pPr>
        <w:pStyle w:val="HTMLVorformatiert"/>
        <w:rPr>
          <w:rStyle w:val="HTMLCode"/>
        </w:rPr>
      </w:pPr>
      <w:r>
        <w:rPr>
          <w:rStyle w:val="HTMLCode"/>
        </w:rPr>
        <w:t>\mathfrak{X}_{F}=\left(\mathcal{Q}_{F},\mathcal{R}_{\mathrm{sp}},\tau_{\mathrm{sp}},d_{\mathrm{sp}}\right)\qquad\text{(3.4240)}</w:t>
      </w:r>
    </w:p>
    <w:p w:rsidR="000E5C2A" w:rsidRDefault="000E5C2A" w:rsidP="000E5C2A">
      <w:pPr>
        <w:pStyle w:val="StandardWeb"/>
      </w:pPr>
      <w:r>
        <w:t>Die funktionale Zeitstruktur lautet</w:t>
      </w:r>
    </w:p>
    <w:p w:rsidR="000E5C2A" w:rsidRDefault="000E5C2A" w:rsidP="000E5C2A">
      <w:pPr>
        <w:pStyle w:val="berschrift1"/>
      </w:pPr>
      <w:r>
        <w:t>[</w:t>
      </w:r>
      <w:r>
        <w:br/>
        <w:t>\mathfrak{T}_{F}</w:t>
      </w:r>
    </w:p>
    <w:p w:rsidR="000E5C2A" w:rsidRDefault="000E5C2A" w:rsidP="000E5C2A">
      <w:pPr>
        <w:pStyle w:val="StandardWeb"/>
      </w:pPr>
      <w:r>
        <w:t>\left(</w:t>
      </w:r>
      <w:r>
        <w:br/>
        <w:t>\mathcal{Q}</w:t>
      </w:r>
      <w:r>
        <w:rPr>
          <w:rStyle w:val="Hervorhebung"/>
        </w:rPr>
        <w:t>{F},</w:t>
      </w:r>
      <w:r>
        <w:rPr>
          <w:i/>
          <w:iCs/>
        </w:rPr>
        <w:br/>
      </w:r>
      <w:r>
        <w:rPr>
          <w:rStyle w:val="Hervorhebung"/>
        </w:rPr>
        <w:lastRenderedPageBreak/>
        <w:t>\mathbb{T}</w:t>
      </w:r>
      <w:r>
        <w:t>{F},</w:t>
      </w:r>
      <w:r>
        <w:br/>
        <w:t>\vartheta</w:t>
      </w:r>
      <w:r>
        <w:br/>
        <w:t>\right).</w:t>
      </w:r>
      <w:r>
        <w:br/>
        <w:t>\tag{3.4241}</w:t>
      </w:r>
      <w:r>
        <w:br/>
        <w:t>]</w:t>
      </w:r>
    </w:p>
    <w:p w:rsidR="000E5C2A" w:rsidRDefault="000E5C2A" w:rsidP="000E5C2A">
      <w:pPr>
        <w:pStyle w:val="StandardWeb"/>
      </w:pPr>
      <w:r>
        <w:rPr>
          <w:rStyle w:val="Fett"/>
        </w:rPr>
        <w:t>Word-LaTeX</w:t>
      </w:r>
    </w:p>
    <w:p w:rsidR="000E5C2A" w:rsidRDefault="000E5C2A" w:rsidP="000E5C2A">
      <w:pPr>
        <w:pStyle w:val="HTMLVorformatiert"/>
        <w:rPr>
          <w:rStyle w:val="HTMLCode"/>
        </w:rPr>
      </w:pPr>
      <w:r>
        <w:rPr>
          <w:rStyle w:val="HTMLCode"/>
        </w:rPr>
        <w:t>\mathfrak{T}_{F}=\left(\mathcal{Q}_{F},\mathbb{T}_{F},\vartheta\right)\qquad\text{(3.4241)}</w:t>
      </w:r>
    </w:p>
    <w:p w:rsidR="000E5C2A" w:rsidRDefault="000E5C2A" w:rsidP="000E5C2A">
      <w:pPr>
        <w:pStyle w:val="StandardWeb"/>
      </w:pPr>
      <w:r>
        <w:t>Beide verwenden dieselbe funktionale Grundmenge:</w:t>
      </w:r>
    </w:p>
    <w:p w:rsidR="000E5C2A" w:rsidRDefault="000E5C2A" w:rsidP="000E5C2A">
      <w:pPr>
        <w:pStyle w:val="StandardWeb"/>
      </w:pPr>
      <w:r>
        <w:t>[</w:t>
      </w:r>
      <w:r>
        <w:br/>
        <w:t>x\in\mathcal{Q}_{F}.</w:t>
      </w:r>
      <w:r>
        <w:br/>
        <w:t>\tag{3.4242}</w:t>
      </w:r>
      <w:r>
        <w:br/>
        <w:t>]</w:t>
      </w:r>
    </w:p>
    <w:p w:rsidR="000E5C2A" w:rsidRDefault="000E5C2A" w:rsidP="000E5C2A">
      <w:pPr>
        <w:pStyle w:val="StandardWeb"/>
      </w:pPr>
      <w:r>
        <w:rPr>
          <w:rStyle w:val="Fett"/>
        </w:rPr>
        <w:t>Word-LaTeX</w:t>
      </w:r>
    </w:p>
    <w:p w:rsidR="000E5C2A" w:rsidRDefault="000E5C2A" w:rsidP="000E5C2A">
      <w:pPr>
        <w:pStyle w:val="HTMLVorformatiert"/>
        <w:rPr>
          <w:rStyle w:val="HTMLCode"/>
        </w:rPr>
      </w:pPr>
      <w:r>
        <w:rPr>
          <w:rStyle w:val="HTMLCode"/>
        </w:rPr>
        <w:t>x\in\mathcal{Q}_{F}\qquad\text{(3.4242)}</w:t>
      </w:r>
    </w:p>
    <w:p w:rsidR="000E5C2A" w:rsidRDefault="000E5C2A" w:rsidP="000E5C2A">
      <w:pPr>
        <w:pStyle w:val="StandardWeb"/>
      </w:pPr>
      <w:r>
        <w:t>Ein funktionaler Raum-Zeit-Zustand wird daraus gebildet als</w:t>
      </w:r>
    </w:p>
    <w:p w:rsidR="000E5C2A" w:rsidRDefault="000E5C2A" w:rsidP="000E5C2A">
      <w:pPr>
        <w:pStyle w:val="berschrift1"/>
      </w:pPr>
      <w:r>
        <w:t>[</w:t>
      </w:r>
      <w:r>
        <w:br/>
        <w:t>z_F(x)</w:t>
      </w:r>
    </w:p>
    <w:p w:rsidR="000E5C2A" w:rsidRDefault="000E5C2A" w:rsidP="000E5C2A">
      <w:pPr>
        <w:pStyle w:val="StandardWeb"/>
      </w:pPr>
      <w:r>
        <w:t>\left(</w:t>
      </w:r>
      <w:r>
        <w:br/>
        <w:t>x,</w:t>
      </w:r>
      <w:r>
        <w:br/>
        <w:t>\vartheta(x)</w:t>
      </w:r>
      <w:r>
        <w:br/>
        <w:t>\right).</w:t>
      </w:r>
      <w:r>
        <w:br/>
        <w:t>\tag{3.4243}</w:t>
      </w:r>
      <w:r>
        <w:br/>
        <w:t>]</w:t>
      </w:r>
    </w:p>
    <w:p w:rsidR="000E5C2A" w:rsidRDefault="000E5C2A" w:rsidP="000E5C2A">
      <w:pPr>
        <w:pStyle w:val="StandardWeb"/>
      </w:pPr>
      <w:r>
        <w:rPr>
          <w:rStyle w:val="Fett"/>
        </w:rPr>
        <w:t>Word-LaTeX</w:t>
      </w:r>
    </w:p>
    <w:p w:rsidR="000E5C2A" w:rsidRDefault="000E5C2A" w:rsidP="000E5C2A">
      <w:pPr>
        <w:pStyle w:val="HTMLVorformatiert"/>
        <w:rPr>
          <w:rStyle w:val="HTMLCode"/>
        </w:rPr>
      </w:pPr>
      <w:r>
        <w:rPr>
          <w:rStyle w:val="HTMLCode"/>
        </w:rPr>
        <w:t>z_F(x)=\left(x,\vartheta(x)\right)\qquad\text{(3.4243)}</w:t>
      </w:r>
    </w:p>
    <w:p w:rsidR="000E5C2A" w:rsidRDefault="000E5C2A" w:rsidP="000E5C2A">
      <w:pPr>
        <w:pStyle w:val="StandardWeb"/>
      </w:pPr>
      <w:r>
        <w:t>Die Menge dieser Zustände lautet</w:t>
      </w:r>
    </w:p>
    <w:p w:rsidR="000E5C2A" w:rsidRDefault="000E5C2A" w:rsidP="000E5C2A">
      <w:pPr>
        <w:pStyle w:val="berschrift1"/>
      </w:pPr>
      <w:r>
        <w:t>[</w:t>
      </w:r>
      <w:r>
        <w:br/>
        <w:t>\mathcal{Z}_{F}</w:t>
      </w:r>
    </w:p>
    <w:p w:rsidR="000E5C2A" w:rsidRDefault="000E5C2A" w:rsidP="000E5C2A">
      <w:pPr>
        <w:pStyle w:val="StandardWeb"/>
      </w:pPr>
      <w:r>
        <w:t>\left{</w:t>
      </w:r>
      <w:r>
        <w:br/>
        <w:t>\left(</w:t>
      </w:r>
      <w:r>
        <w:br/>
        <w:t>x,\vartheta(x)</w:t>
      </w:r>
      <w:r>
        <w:br/>
        <w:t>\right)</w:t>
      </w:r>
      <w:r>
        <w:br/>
        <w:t>\middle|</w:t>
      </w:r>
      <w:r>
        <w:br/>
        <w:t>x\in\mathcal{Q}_{F}</w:t>
      </w:r>
      <w:r>
        <w:br/>
      </w:r>
      <w:r>
        <w:lastRenderedPageBreak/>
        <w:t>\right}.</w:t>
      </w:r>
      <w:r>
        <w:br/>
        <w:t>\tag{3.4244}</w:t>
      </w:r>
      <w:r>
        <w:br/>
        <w:t>]</w:t>
      </w:r>
    </w:p>
    <w:p w:rsidR="000E5C2A" w:rsidRDefault="000E5C2A" w:rsidP="000E5C2A">
      <w:pPr>
        <w:pStyle w:val="StandardWeb"/>
      </w:pPr>
      <w:r>
        <w:rPr>
          <w:rStyle w:val="Fett"/>
        </w:rPr>
        <w:t>Word-LaTeX</w:t>
      </w:r>
    </w:p>
    <w:p w:rsidR="000E5C2A" w:rsidRDefault="000E5C2A" w:rsidP="000E5C2A">
      <w:pPr>
        <w:pStyle w:val="HTMLVorformatiert"/>
        <w:rPr>
          <w:rStyle w:val="HTMLCode"/>
        </w:rPr>
      </w:pPr>
      <w:r>
        <w:rPr>
          <w:rStyle w:val="HTMLCode"/>
        </w:rPr>
        <w:t>\mathcal{Z}_{F}=\left\{\left(x,\vartheta(x)\right)\middle|x\in\mathcal{Q}_{F}\right\}\qquad\text{(3.4244)}</w:t>
      </w:r>
    </w:p>
    <w:p w:rsidR="000E5C2A" w:rsidRDefault="000E5C2A" w:rsidP="000E5C2A">
      <w:pPr>
        <w:pStyle w:val="StandardWeb"/>
      </w:pPr>
      <w:r>
        <w:t>Die Gesamtkopplungsstruktur lautet</w:t>
      </w:r>
    </w:p>
    <w:p w:rsidR="000E5C2A" w:rsidRDefault="000E5C2A" w:rsidP="000E5C2A">
      <w:pPr>
        <w:pStyle w:val="berschrift1"/>
      </w:pPr>
      <w:r>
        <w:t>[</w:t>
      </w:r>
      <w:r>
        <w:br/>
        <w:t>\mathfrak{K}_{XT}</w:t>
      </w:r>
    </w:p>
    <w:p w:rsidR="000E5C2A" w:rsidRDefault="000E5C2A" w:rsidP="000E5C2A">
      <w:pPr>
        <w:pStyle w:val="StandardWeb"/>
      </w:pPr>
      <w:r>
        <w:t>\left(</w:t>
      </w:r>
      <w:r>
        <w:br/>
        <w:t>\mathfrak{X}</w:t>
      </w:r>
      <w:r>
        <w:rPr>
          <w:rStyle w:val="Hervorhebung"/>
        </w:rPr>
        <w:t>{F},</w:t>
      </w:r>
      <w:r>
        <w:rPr>
          <w:i/>
          <w:iCs/>
        </w:rPr>
        <w:br/>
      </w:r>
      <w:r>
        <w:rPr>
          <w:rStyle w:val="Hervorhebung"/>
        </w:rPr>
        <w:t>\mathfrak{T}</w:t>
      </w:r>
      <w:r>
        <w:t>{F},</w:t>
      </w:r>
      <w:r>
        <w:br/>
        <w:t>\mathcal{K}_{XT}</w:t>
      </w:r>
      <w:r>
        <w:br/>
        <w:t>\right).</w:t>
      </w:r>
      <w:r>
        <w:br/>
        <w:t>]</w:t>
      </w:r>
    </w:p>
    <w:p w:rsidR="000E5C2A" w:rsidRDefault="000E5C2A" w:rsidP="000E5C2A">
      <w:pPr>
        <w:pStyle w:val="StandardWeb"/>
      </w:pPr>
      <w:r>
        <w:rPr>
          <w:rStyle w:val="Fett"/>
        </w:rPr>
        <w:t>Word-LaTeX</w:t>
      </w:r>
    </w:p>
    <w:p w:rsidR="000E5C2A" w:rsidRDefault="000E5C2A" w:rsidP="000E5C2A">
      <w:pPr>
        <w:pStyle w:val="HTMLVorformatiert"/>
        <w:rPr>
          <w:rStyle w:val="HTMLCode"/>
        </w:rPr>
      </w:pPr>
      <w:r>
        <w:rPr>
          <w:rStyle w:val="HTMLCode"/>
        </w:rPr>
        <w:t>\mathfrak{K}_{XT}=\left(\mathfrak{X}_{F},\mathfrak{T}_{F},\mathcal{K}_{XT}\right)</w:t>
      </w:r>
    </w:p>
    <w:p w:rsidR="000E5C2A" w:rsidRDefault="000E5C2A" w:rsidP="000E5C2A">
      <w:pPr>
        <w:pStyle w:val="StandardWeb"/>
      </w:pPr>
      <w:r>
        <w:t>Methodologisch muss hier eine wichtige Grenze gezogen werden: Die getrennte Existenz einer Raumstruktur und einer Zeitstruktur garantiert noch keine bestimmte Kopplung zwischen beiden. Die Kopplungsrelation (\mathcal{K}_{XT}) enthält zusätzliche Verträglichkeitsbedingungen.</w:t>
      </w:r>
    </w:p>
    <w:p w:rsidR="000E5C2A" w:rsidRDefault="000E5C2A" w:rsidP="000E5C2A">
      <w:pPr>
        <w:pStyle w:val="StandardWeb"/>
      </w:pPr>
      <w:r>
        <w:t>Ein zulässiger Raum-Zeit-Übergang kann beispielsweise zugleich funktionale Erreichbarkeit und Erhaltung der funktionalen Zeitordnung verlangen:</w:t>
      </w:r>
    </w:p>
    <w:p w:rsidR="000E5C2A" w:rsidRDefault="000E5C2A" w:rsidP="000E5C2A">
      <w:pPr>
        <w:pStyle w:val="StandardWeb"/>
      </w:pPr>
      <w:r>
        <w:t>[</w:t>
      </w:r>
      <w:r>
        <w:br/>
        <w:t>x_i</w:t>
      </w:r>
      <w:r>
        <w:br/>
        <w:t>\preceq_{!F}</w:t>
      </w:r>
      <w:r>
        <w:br/>
        <w:t>x_j</w:t>
      </w:r>
      <w:r>
        <w:br/>
        <w:t>\tag{3.4247}</w:t>
      </w:r>
      <w:r>
        <w:br/>
        <w:t>]</w:t>
      </w:r>
    </w:p>
    <w:p w:rsidR="000E5C2A" w:rsidRDefault="000E5C2A" w:rsidP="000E5C2A">
      <w:pPr>
        <w:pStyle w:val="StandardWeb"/>
      </w:pPr>
      <w:r>
        <w:rPr>
          <w:rStyle w:val="Fett"/>
        </w:rPr>
        <w:t>Word-LaTeX</w:t>
      </w:r>
    </w:p>
    <w:p w:rsidR="000E5C2A" w:rsidRDefault="000E5C2A" w:rsidP="000E5C2A">
      <w:pPr>
        <w:pStyle w:val="HTMLVorformatiert"/>
        <w:rPr>
          <w:rStyle w:val="HTMLCode"/>
        </w:rPr>
      </w:pPr>
      <w:r>
        <w:rPr>
          <w:rStyle w:val="HTMLCode"/>
        </w:rPr>
        <w:t>x_i\preceq_{\!F}x_j\qquad\text{(3.4247)}</w:t>
      </w:r>
    </w:p>
    <w:p w:rsidR="000E5C2A" w:rsidRDefault="000E5C2A" w:rsidP="000E5C2A">
      <w:pPr>
        <w:pStyle w:val="StandardWeb"/>
      </w:pPr>
      <w:r>
        <w:t>und</w:t>
      </w:r>
    </w:p>
    <w:p w:rsidR="000E5C2A" w:rsidRDefault="000E5C2A" w:rsidP="000E5C2A">
      <w:pPr>
        <w:pStyle w:val="StandardWeb"/>
      </w:pPr>
      <w:r>
        <w:t>[</w:t>
      </w:r>
      <w:r>
        <w:br/>
        <w:t>t_i^{F}</w:t>
      </w:r>
      <w:r>
        <w:br/>
        <w:t>\leq_{\mathbb{T}}</w:t>
      </w:r>
      <w:r>
        <w:br/>
      </w:r>
      <w:r>
        <w:lastRenderedPageBreak/>
        <w:t>t_j^{F}.</w:t>
      </w:r>
      <w:r>
        <w:br/>
        <w:t>\tag{3.4248}</w:t>
      </w:r>
      <w:r>
        <w:br/>
        <w:t>]</w:t>
      </w:r>
    </w:p>
    <w:p w:rsidR="000E5C2A" w:rsidRDefault="000E5C2A" w:rsidP="000E5C2A">
      <w:pPr>
        <w:pStyle w:val="StandardWeb"/>
      </w:pPr>
      <w:r>
        <w:rPr>
          <w:rStyle w:val="Fett"/>
        </w:rPr>
        <w:t>Word-LaTeX</w:t>
      </w:r>
    </w:p>
    <w:p w:rsidR="000E5C2A" w:rsidRDefault="000E5C2A" w:rsidP="000E5C2A">
      <w:pPr>
        <w:pStyle w:val="HTMLVorformatiert"/>
        <w:rPr>
          <w:rStyle w:val="HTMLCode"/>
        </w:rPr>
      </w:pPr>
      <w:r>
        <w:rPr>
          <w:rStyle w:val="HTMLCode"/>
        </w:rPr>
        <w:t>t_i^{F}\leq_{\mathbb{T}}t_j^{F}\qquad\text{(3.4248)}</w:t>
      </w:r>
    </w:p>
    <w:p w:rsidR="000E5C2A" w:rsidRDefault="000E5C2A" w:rsidP="000E5C2A">
      <w:pPr>
        <w:pStyle w:val="StandardWeb"/>
      </w:pPr>
      <w:r>
        <w:t>Räumliche Unmittelbarkeit kann zusätzlich durch</w:t>
      </w:r>
    </w:p>
    <w:p w:rsidR="000E5C2A" w:rsidRDefault="000E5C2A" w:rsidP="000E5C2A">
      <w:pPr>
        <w:pStyle w:val="StandardWeb"/>
      </w:pPr>
      <w:r>
        <w:t>[</w:t>
      </w:r>
      <w:r>
        <w:br/>
        <w:t>(x_i,x_j)</w:t>
      </w:r>
      <w:r>
        <w:br/>
        <w:t>\in</w:t>
      </w:r>
      <w:r>
        <w:br/>
        <w:t>\mathcal{R}_{\mathrm{sp}}</w:t>
      </w:r>
      <w:r>
        <w:br/>
        <w:t>\tag{3.4249}</w:t>
      </w:r>
      <w:r>
        <w:br/>
        <w:t>]</w:t>
      </w:r>
    </w:p>
    <w:p w:rsidR="000E5C2A" w:rsidRDefault="000E5C2A" w:rsidP="000E5C2A">
      <w:pPr>
        <w:pStyle w:val="StandardWeb"/>
      </w:pPr>
      <w:r>
        <w:rPr>
          <w:rStyle w:val="Fett"/>
        </w:rPr>
        <w:t>Word-LaTeX</w:t>
      </w:r>
    </w:p>
    <w:p w:rsidR="000E5C2A" w:rsidRDefault="000E5C2A" w:rsidP="000E5C2A">
      <w:pPr>
        <w:pStyle w:val="HTMLVorformatiert"/>
        <w:rPr>
          <w:rStyle w:val="HTMLCode"/>
        </w:rPr>
      </w:pPr>
      <w:r>
        <w:rPr>
          <w:rStyle w:val="HTMLCode"/>
        </w:rPr>
        <w:t>(x_i,x_j)\in\mathcal{R}_{\mathrm{sp}}\qquad\text{(3.4249)}</w:t>
      </w:r>
    </w:p>
    <w:p w:rsidR="000E5C2A" w:rsidRDefault="000E5C2A" w:rsidP="000E5C2A">
      <w:pPr>
        <w:pStyle w:val="StandardWeb"/>
      </w:pPr>
      <w:r>
        <w:t>gefordert werden.</w:t>
      </w:r>
    </w:p>
    <w:p w:rsidR="000E5C2A" w:rsidRDefault="000E5C2A" w:rsidP="000E5C2A">
      <w:pPr>
        <w:pStyle w:val="StandardWeb"/>
      </w:pPr>
      <w:r>
        <w:t>Diese Bedingungen sind jedoch Modellbedingungen und keine neuen Primäraxiome.</w:t>
      </w:r>
    </w:p>
    <w:p w:rsidR="000E5C2A" w:rsidRDefault="000E5C2A" w:rsidP="000E5C2A">
      <w:pPr>
        <w:pStyle w:val="StandardWeb"/>
      </w:pPr>
      <w:r>
        <w:t>Besonders wichtig ist die Offenheit gegenüber separierbaren und nicht separierbaren Kopplungen. Eine nicht separierbare Struktur kann beispielsweise durch</w:t>
      </w:r>
    </w:p>
    <w:p w:rsidR="000E5C2A" w:rsidRDefault="000E5C2A" w:rsidP="000E5C2A">
      <w:pPr>
        <w:pStyle w:val="StandardWeb"/>
      </w:pPr>
      <w:r>
        <w:t>[</w:t>
      </w:r>
      <w:r>
        <w:br/>
        <w:t>\kappa_{XT}</w:t>
      </w:r>
      <w:r>
        <w:br/>
        <w:t>\neq</w:t>
      </w:r>
      <w:r>
        <w:br/>
        <w:t>\kappa_X</w:t>
      </w:r>
      <w:r>
        <w:br/>
        <w:t>\cdot</w:t>
      </w:r>
      <w:r>
        <w:br/>
        <w:t>\kappa_T</w:t>
      </w:r>
      <w:r>
        <w:br/>
        <w:t>\tag{3.4296}</w:t>
      </w:r>
      <w:r>
        <w:br/>
        <w:t>]</w:t>
      </w:r>
    </w:p>
    <w:p w:rsidR="000E5C2A" w:rsidRDefault="000E5C2A" w:rsidP="000E5C2A">
      <w:pPr>
        <w:pStyle w:val="StandardWeb"/>
      </w:pPr>
      <w:r>
        <w:rPr>
          <w:rStyle w:val="Fett"/>
        </w:rPr>
        <w:t>Word-LaTeX</w:t>
      </w:r>
    </w:p>
    <w:p w:rsidR="000E5C2A" w:rsidRDefault="000E5C2A" w:rsidP="000E5C2A">
      <w:pPr>
        <w:pStyle w:val="HTMLVorformatiert"/>
        <w:rPr>
          <w:rStyle w:val="HTMLCode"/>
        </w:rPr>
      </w:pPr>
      <w:r>
        <w:rPr>
          <w:rStyle w:val="HTMLCode"/>
        </w:rPr>
        <w:t>\kappa_{XT}\neq\kappa_X\cdot\kappa_T\qquad\text{(3.4296)}</w:t>
      </w:r>
    </w:p>
    <w:p w:rsidR="000E5C2A" w:rsidRDefault="000E5C2A" w:rsidP="000E5C2A">
      <w:pPr>
        <w:pStyle w:val="StandardWeb"/>
      </w:pPr>
      <w:r>
        <w:t>gekennzeichnet werden.</w:t>
      </w:r>
    </w:p>
    <w:p w:rsidR="000E5C2A" w:rsidRDefault="000E5C2A" w:rsidP="000E5C2A">
      <w:pPr>
        <w:pStyle w:val="StandardWeb"/>
      </w:pPr>
      <w:r>
        <w:t>Damit wird ausdrücklich zugelassen, dass sich die gemeinsame Raum-Zeit-Struktur nicht vollständig auf einen unabhängigen Raumanteil und einen unabhängigen Zeitanteil reduzieren lässt.</w:t>
      </w:r>
    </w:p>
    <w:p w:rsidR="000E5C2A" w:rsidRDefault="000E5C2A" w:rsidP="000E5C2A">
      <w:pPr>
        <w:pStyle w:val="StandardWeb"/>
      </w:pPr>
      <w:r>
        <w:t>Methodologisch ist dies wesentlich: „Raum-Zeit-Kopplung“ darf nicht bloß bedeuten, zwei unabhängig existierende Koordinaten nebeneinander zu schreiben. Die wissenschaftlich interessante Frage ist vielmehr, welche funktionalen Übergänge gleichzeitig mit räumlicher und zeitlicher Struktur verträglich sind.</w:t>
      </w:r>
    </w:p>
    <w:p w:rsidR="000E5C2A" w:rsidRDefault="000E5C2A" w:rsidP="000E5C2A">
      <w:pPr>
        <w:pStyle w:val="StandardWeb"/>
      </w:pPr>
      <w:r>
        <w:lastRenderedPageBreak/>
        <w:t>Auch hier ist eine physikalische Interpretation nicht automatisch gegeben. Erst zusätzliche Modellbedingungen und empirische Kalibrierungen können bestimmen, ob eine konkrete funktionale Kopplung mit einer physikalischen Raum-Zeit-Struktur identifiziert werden darf.</w:t>
      </w:r>
    </w:p>
    <w:p w:rsidR="000E5C2A" w:rsidRDefault="000E5C2A" w:rsidP="000E5C2A">
      <w:pPr>
        <w:pStyle w:val="berschrift3"/>
      </w:pPr>
      <w:r>
        <w:t>Didaktische Betrachtungen</w:t>
      </w:r>
    </w:p>
    <w:p w:rsidR="000E5C2A" w:rsidRDefault="000E5C2A" w:rsidP="000E5C2A">
      <w:pPr>
        <w:pStyle w:val="StandardWeb"/>
      </w:pPr>
      <w:r>
        <w:t>Ein einfaches Beispiel ist ein Fahrplan.</w:t>
      </w:r>
    </w:p>
    <w:p w:rsidR="000E5C2A" w:rsidRDefault="000E5C2A" w:rsidP="000E5C2A">
      <w:pPr>
        <w:pStyle w:val="StandardWeb"/>
      </w:pPr>
      <w:r>
        <w:t>Der Streckenplan beschreibt den Raum:</w:t>
      </w:r>
    </w:p>
    <w:p w:rsidR="000E5C2A" w:rsidRDefault="000E5C2A" w:rsidP="000E5C2A">
      <w:pPr>
        <w:pStyle w:val="StandardWeb"/>
      </w:pPr>
      <w:r>
        <w:rPr>
          <w:rStyle w:val="Fett"/>
        </w:rPr>
        <w:t>Welche Bahnhöfe sind miteinander verbunden?</w:t>
      </w:r>
    </w:p>
    <w:p w:rsidR="000E5C2A" w:rsidRDefault="000E5C2A" w:rsidP="000E5C2A">
      <w:pPr>
        <w:pStyle w:val="StandardWeb"/>
      </w:pPr>
      <w:r>
        <w:t>Der Fahrplan beschreibt die Zeit:</w:t>
      </w:r>
    </w:p>
    <w:p w:rsidR="000E5C2A" w:rsidRDefault="000E5C2A" w:rsidP="000E5C2A">
      <w:pPr>
        <w:pStyle w:val="StandardWeb"/>
      </w:pPr>
      <w:r>
        <w:rPr>
          <w:rStyle w:val="Fett"/>
        </w:rPr>
        <w:t>Wann kann ein Zug an einem Bahnhof sein?</w:t>
      </w:r>
    </w:p>
    <w:p w:rsidR="000E5C2A" w:rsidRDefault="000E5C2A" w:rsidP="000E5C2A">
      <w:pPr>
        <w:pStyle w:val="StandardWeb"/>
      </w:pPr>
      <w:r>
        <w:t>Beides getrennt reicht noch nicht aus, um eine tatsächlich mögliche Reise zu beschreiben.</w:t>
      </w:r>
    </w:p>
    <w:p w:rsidR="000E5C2A" w:rsidRDefault="000E5C2A" w:rsidP="000E5C2A">
      <w:pPr>
        <w:pStyle w:val="StandardWeb"/>
      </w:pPr>
      <w:r>
        <w:t>Eine Verbindung</w:t>
      </w:r>
    </w:p>
    <w:p w:rsidR="000E5C2A" w:rsidRDefault="000E5C2A" w:rsidP="000E5C2A">
      <w:pPr>
        <w:pStyle w:val="StandardWeb"/>
      </w:pPr>
      <w:r>
        <w:t>[</w:t>
      </w:r>
      <w:r>
        <w:br/>
        <w:t>A\rightarrow B</w:t>
      </w:r>
      <w:r>
        <w:br/>
        <w:t>]</w:t>
      </w:r>
    </w:p>
    <w:p w:rsidR="000E5C2A" w:rsidRDefault="000E5C2A" w:rsidP="000E5C2A">
      <w:pPr>
        <w:pStyle w:val="StandardWeb"/>
      </w:pPr>
      <w:r>
        <w:t>kann räumlich existieren. Wenn der Zug in (A) aber erst nach der Abfahrt in (B) ankommen müsste, ist die entsprechende Raum-Zeit-Kombination nicht zulässig.</w:t>
      </w:r>
    </w:p>
    <w:p w:rsidR="000E5C2A" w:rsidRDefault="000E5C2A" w:rsidP="000E5C2A">
      <w:pPr>
        <w:pStyle w:val="StandardWeb"/>
      </w:pPr>
      <w:r>
        <w:t>Die Raum-Zeit-Kopplung fragt daher:</w:t>
      </w:r>
    </w:p>
    <w:p w:rsidR="000E5C2A" w:rsidRDefault="000E5C2A" w:rsidP="000E5C2A">
      <w:pPr>
        <w:pStyle w:val="StandardWeb"/>
      </w:pPr>
      <w:r>
        <w:rPr>
          <w:rStyle w:val="Fett"/>
        </w:rPr>
        <w:t>Welche räumlichen Übergänge passen zu welcher funktionalen Zeitordnung?</w:t>
      </w:r>
    </w:p>
    <w:p w:rsidR="000E5C2A" w:rsidRDefault="000E5C2A" w:rsidP="000E5C2A">
      <w:pPr>
        <w:pStyle w:val="StandardWeb"/>
      </w:pPr>
      <w:r>
        <w:t>Ein Raum-Zeit-Zustand</w:t>
      </w:r>
    </w:p>
    <w:p w:rsidR="000E5C2A" w:rsidRDefault="000E5C2A" w:rsidP="000E5C2A">
      <w:pPr>
        <w:pStyle w:val="berschrift1"/>
      </w:pPr>
      <w:r>
        <w:t>[</w:t>
      </w:r>
      <w:r>
        <w:br/>
        <w:t>z_F(x)</w:t>
      </w:r>
    </w:p>
    <w:p w:rsidR="000E5C2A" w:rsidRDefault="000E5C2A" w:rsidP="000E5C2A">
      <w:pPr>
        <w:pStyle w:val="StandardWeb"/>
      </w:pPr>
      <w:r>
        <w:t>(x,\vartheta(x))</w:t>
      </w:r>
      <w:r>
        <w:br/>
        <w:t>]</w:t>
      </w:r>
    </w:p>
    <w:p w:rsidR="000E5C2A" w:rsidRDefault="000E5C2A" w:rsidP="000E5C2A">
      <w:pPr>
        <w:pStyle w:val="StandardWeb"/>
      </w:pPr>
      <w:r>
        <w:t>kann didaktisch gelesen werden als:</w:t>
      </w:r>
    </w:p>
    <w:p w:rsidR="000E5C2A" w:rsidRDefault="000E5C2A" w:rsidP="000E5C2A">
      <w:pPr>
        <w:pStyle w:val="StandardWeb"/>
      </w:pPr>
      <w:r>
        <w:rPr>
          <w:rStyle w:val="Fett"/>
        </w:rPr>
        <w:t>„Zustandsklasse (x) zusammen mit ihrem funktionalen Zeitwert.“</w:t>
      </w:r>
    </w:p>
    <w:p w:rsidR="000E5C2A" w:rsidRDefault="000E5C2A" w:rsidP="000E5C2A">
      <w:pPr>
        <w:pStyle w:val="StandardWeb"/>
      </w:pPr>
      <w:r>
        <w:t>Wichtig ist, dass Raum und Zeit dabei nicht einfach unabhängig nebeneinanderstehen müssen. Ein räumlicher Übergang kann die zulässige zeitliche Entwicklung beeinflussen und umgekehrt.</w:t>
      </w:r>
    </w:p>
    <w:p w:rsidR="000E5C2A" w:rsidRDefault="000E5C2A" w:rsidP="000E5C2A">
      <w:pPr>
        <w:pStyle w:val="StandardWeb"/>
      </w:pPr>
      <w:r>
        <w:t>Das ist der Grund, weshalb die Kopplung als eigene Struktur benötigt wird, obwohl Raum und Zeit bereits separat definiert wurden.</w:t>
      </w:r>
    </w:p>
    <w:p w:rsidR="000E5C2A" w:rsidRDefault="00E50336" w:rsidP="000E5C2A">
      <w:r>
        <w:lastRenderedPageBreak/>
        <w:pict>
          <v:rect id="_x0000_i1043" style="width:0;height:1.5pt" o:hralign="center" o:hrstd="t" o:hr="t" fillcolor="#a0a0a0" stroked="f"/>
        </w:pict>
      </w:r>
    </w:p>
    <w:p w:rsidR="00060460" w:rsidRPr="00AF32B2" w:rsidRDefault="00060460" w:rsidP="00AF32B2">
      <w:pPr>
        <w:pStyle w:val="berschrift3"/>
      </w:pPr>
      <w:r w:rsidRPr="00AF32B2">
        <w:t>3.3.18 Definition des Funktionalen Raum-Zeit-Kohärenzsystems</w:t>
      </w:r>
    </w:p>
    <w:p w:rsidR="00060460" w:rsidRDefault="00060460" w:rsidP="00060460">
      <w:pPr>
        <w:pStyle w:val="StandardWeb"/>
      </w:pPr>
      <w:r>
        <w:t>Mit Definition 3.3.10 stehen sämtliche für den Aufbau des Funktionalen Raum-Zeit-Kohärenzsystems erforderlichen Strukturklassen zur Verfügung. Elementare funktionale Zustände bilden den Ausgangsbereich. Funktionale Relationen beschreiben mögliche Verbindungen zwischen diesen Zuständen. Funktionale Transformationen erzeugen Zustandsänderungen, während funktionale Entwicklungen geordnete Folgen solcher Transformationen erfassen. Funktionale Kohärenz bewertet die Verträglichkeit dieser Strukturen. Funktionale Ordnung, funktionale Zeit und funktionaler Raum ergänzen den Zustandsbereich um abgeleitete Ordnungs-, Dauer- und Nachbarschaftsstrukturen. Die funktionale Raum-Zeit-Kopplung verbindet diese zuvor getrennt eingeführten Teilstrukturen [6, 58, 59, 71, 75, 76, 79].</w:t>
      </w:r>
    </w:p>
    <w:p w:rsidR="00060460" w:rsidRDefault="00060460" w:rsidP="00060460">
      <w:pPr>
        <w:pStyle w:val="StandardWeb"/>
      </w:pPr>
      <w:r>
        <w:t>Die bisherige Konstruktion zeigt, dass das FRZK nicht durch eine einzelne Gleichung, eine einzelne Relation oder eine einzelne Zustandsmenge bestimmt werden kann. Es handelt sich um ein strukturiertes System mehrerer aufeinander bezogener mathematischer Objekte. Diese Objekte besitzen unterschiedliche wissenschaftliche Funktionen und dürfen deshalb nicht ohne Kennzeichnung ineinander überführt werden.</w:t>
      </w:r>
    </w:p>
    <w:p w:rsidR="00060460" w:rsidRDefault="00060460" w:rsidP="00060460">
      <w:pPr>
        <w:pStyle w:val="StandardWeb"/>
      </w:pPr>
      <w:r>
        <w:t>Die Primäraxiome sichern ausschließlich die funktionale Bestimmbarkeit, Relationierbarkeit und Transformierbarkeit. Sämtliche weiteren Strukturen wurden als Definitionen oder abgeleitete Konstruktionen eingeführt. Damit bleibt die axiomatische Grundlage minimal, während die Systemstruktur schrittweise erweitert werden kann [79].</w:t>
      </w:r>
    </w:p>
    <w:p w:rsidR="00060460" w:rsidRDefault="00060460" w:rsidP="00060460">
      <w:pPr>
        <w:pStyle w:val="StandardWeb"/>
      </w:pPr>
      <w:r>
        <w:rPr>
          <w:rStyle w:val="Fett"/>
        </w:rPr>
        <w:t>Eigenleistung des FRZK</w:t>
      </w:r>
    </w:p>
    <w:p w:rsidR="00060460" w:rsidRDefault="00060460" w:rsidP="00060460">
      <w:pPr>
        <w:pStyle w:val="StandardWeb"/>
      </w:pPr>
      <w:r>
        <w:t>Ich definiere das Funktionale Raum-Zeit-Kohärenzsystem als eine mehrschichtige Struktur, in der funktionale Zustände, Relationen, Transformationen, Entwicklungen, Kohärenzbedingungen sowie abgeleitete Raum-, Zeit- und Kopplungsstrukturen ausdrücklich voneinander getrennt und zugleich systematisch miteinander verbunden werden.</w:t>
      </w:r>
    </w:p>
    <w:p w:rsidR="00060460" w:rsidRPr="00AF32B2" w:rsidRDefault="00060460" w:rsidP="00AF32B2">
      <w:pPr>
        <w:pStyle w:val="berschrift4"/>
      </w:pPr>
      <w:r w:rsidRPr="00AF32B2">
        <w:t>3.3.18.1 Elementare Systembestandteile</w:t>
      </w:r>
    </w:p>
    <w:p w:rsidR="00060460" w:rsidRDefault="00060460" w:rsidP="00060460">
      <w:pPr>
        <w:pStyle w:val="StandardWeb"/>
      </w:pPr>
      <w:r>
        <w:t>Der elementare funktionale Zustandsbereich lautet</w:t>
      </w:r>
    </w:p>
    <w:p w:rsidR="00060460" w:rsidRDefault="00060460" w:rsidP="00060460">
      <w:pPr>
        <w:pStyle w:val="StandardWeb"/>
      </w:pPr>
      <w:r>
        <w:t>[</w:t>
      </w:r>
      <w:r>
        <w:br/>
        <w:t>\mathcal{S}_{\mathrm{el}}.</w:t>
      </w:r>
      <w:r>
        <w:br/>
        <w:t>\tag{3.4299}</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\mathcal{S}_{\mathrm{el}}\qquad\text{(3.4299)}</w:t>
      </w:r>
    </w:p>
    <w:p w:rsidR="00060460" w:rsidRDefault="00060460" w:rsidP="00060460">
      <w:pPr>
        <w:pStyle w:val="StandardWeb"/>
      </w:pPr>
      <w:r>
        <w:t>Die funktionale Relationsmenge wird durch</w:t>
      </w:r>
    </w:p>
    <w:p w:rsidR="00060460" w:rsidRDefault="00060460" w:rsidP="00060460">
      <w:pPr>
        <w:pStyle w:val="StandardWeb"/>
      </w:pPr>
      <w:r>
        <w:t>[</w:t>
      </w:r>
      <w:r>
        <w:br/>
        <w:t>\mathfrak{R}</w:t>
      </w:r>
      <w:r>
        <w:rPr>
          <w:rStyle w:val="Hervorhebung"/>
        </w:rPr>
        <w:t>{\mathrm{f}}</w:t>
      </w:r>
      <w:r>
        <w:rPr>
          <w:i/>
          <w:iCs/>
        </w:rPr>
        <w:br/>
      </w:r>
      <w:r>
        <w:rPr>
          <w:rStyle w:val="Hervorhebung"/>
        </w:rPr>
        <w:t>\subseteq</w:t>
      </w:r>
      <w:r>
        <w:rPr>
          <w:i/>
          <w:iCs/>
        </w:rPr>
        <w:br/>
      </w:r>
      <w:r>
        <w:rPr>
          <w:rStyle w:val="Hervorhebung"/>
        </w:rPr>
        <w:lastRenderedPageBreak/>
        <w:t>\mathcal{P}</w:t>
      </w:r>
      <w:r>
        <w:rPr>
          <w:i/>
          <w:iCs/>
        </w:rPr>
        <w:br/>
      </w:r>
      <w:r>
        <w:rPr>
          <w:rStyle w:val="Hervorhebung"/>
        </w:rPr>
        <w:t>\left(</w:t>
      </w:r>
      <w:r>
        <w:rPr>
          <w:i/>
          <w:iCs/>
        </w:rPr>
        <w:br/>
      </w:r>
      <w:r>
        <w:rPr>
          <w:rStyle w:val="Hervorhebung"/>
        </w:rPr>
        <w:t>\mathcal{S}</w:t>
      </w:r>
      <w:r>
        <w:t>{\mathrm{el}}</w:t>
      </w:r>
      <w:r>
        <w:br/>
        <w:t>\times</w:t>
      </w:r>
      <w:r>
        <w:br/>
        <w:t>\mathcal{S}_{\mathrm{el}}</w:t>
      </w:r>
      <w:r>
        <w:br/>
        <w:t>\right)</w:t>
      </w:r>
      <w:r>
        <w:br/>
        <w:t>\tag{3.4300}</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\mathfrak{R}_{\mathrm{f}}\subseteq\mathcal{P}\left(\mathcal{S}_{\mathrm{el}}\times\mathcal{S}_{\mathrm{el}}\right)\qquad\text{(3.4300)}</w:t>
      </w:r>
    </w:p>
    <w:p w:rsidR="00060460" w:rsidRDefault="00060460" w:rsidP="00060460">
      <w:pPr>
        <w:pStyle w:val="StandardWeb"/>
      </w:pPr>
      <w:r>
        <w:t>dargestellt.</w:t>
      </w:r>
    </w:p>
    <w:p w:rsidR="00060460" w:rsidRDefault="00060460" w:rsidP="00060460">
      <w:pPr>
        <w:pStyle w:val="StandardWeb"/>
      </w:pPr>
      <w:r>
        <w:t>Dabei bezeichnet (\mathcal{P}(\mathcal{S}</w:t>
      </w:r>
      <w:r>
        <w:rPr>
          <w:rStyle w:val="Hervorhebung"/>
        </w:rPr>
        <w:t>{\mathrm{el}}\times\mathcal{S}</w:t>
      </w:r>
      <w:r>
        <w:t>{\mathrm{el}})) die Potenzmenge aller möglichen binären Relationen auf dem elementaren funktionalen Zustandsbereich.</w:t>
      </w:r>
    </w:p>
    <w:p w:rsidR="00060460" w:rsidRDefault="00060460" w:rsidP="00060460">
      <w:pPr>
        <w:pStyle w:val="StandardWeb"/>
      </w:pPr>
      <w:r>
        <w:t>Die Menge funktionaler Transformationen lautet</w:t>
      </w:r>
    </w:p>
    <w:p w:rsidR="00060460" w:rsidRDefault="00060460" w:rsidP="00060460">
      <w:pPr>
        <w:pStyle w:val="StandardWeb"/>
      </w:pPr>
      <w:r>
        <w:t>[</w:t>
      </w:r>
      <w:r>
        <w:br/>
        <w:t>\mathfrak{T}</w:t>
      </w:r>
      <w:r>
        <w:rPr>
          <w:rStyle w:val="Hervorhebung"/>
        </w:rPr>
        <w:t>{\mathrm{f}}</w:t>
      </w:r>
      <w:r>
        <w:rPr>
          <w:i/>
          <w:iCs/>
        </w:rPr>
        <w:br/>
      </w:r>
      <w:r>
        <w:rPr>
          <w:rStyle w:val="Hervorhebung"/>
        </w:rPr>
        <w:t>\subseteq</w:t>
      </w:r>
      <w:r>
        <w:rPr>
          <w:i/>
          <w:iCs/>
        </w:rPr>
        <w:br/>
      </w:r>
      <w:r>
        <w:rPr>
          <w:rStyle w:val="Hervorhebung"/>
        </w:rPr>
        <w:t>\mathcal{S}</w:t>
      </w:r>
      <w:r>
        <w:t>{\mathrm{el}}^{\mathcal{S}_{\mathrm{el}}}.</w:t>
      </w:r>
      <w:r>
        <w:br/>
        <w:t>\tag{3.4301}</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\mathfrak{T}_{\mathrm{f}}\subseteq\mathcal{S}_{\mathrm{el}}^{\mathcal{S}_{\mathrm{el}}}\qquad\text{(3.4301)}</w:t>
      </w:r>
    </w:p>
    <w:p w:rsidR="00060460" w:rsidRDefault="00060460" w:rsidP="00060460">
      <w:pPr>
        <w:pStyle w:val="StandardWeb"/>
      </w:pPr>
      <w:r>
        <w:t>Dabei bezeichnet (\mathcal{S}</w:t>
      </w:r>
      <w:r>
        <w:rPr>
          <w:rStyle w:val="Hervorhebung"/>
        </w:rPr>
        <w:t>{\mathrm{el}}^{\mathcal{S}</w:t>
      </w:r>
      <w:r>
        <w:t>{\mathrm{el}}}) die Menge aller Abbildungen von (\mathcal{S}_{\mathrm{el}}) in sich selbst [6, 71].</w:t>
      </w:r>
    </w:p>
    <w:p w:rsidR="00060460" w:rsidRDefault="00060460" w:rsidP="00060460">
      <w:pPr>
        <w:pStyle w:val="StandardWeb"/>
      </w:pPr>
      <w:r>
        <w:t>Die drei elementaren Systemkomponenten können damit durch</w:t>
      </w:r>
    </w:p>
    <w:p w:rsidR="00060460" w:rsidRDefault="00060460" w:rsidP="00060460">
      <w:pPr>
        <w:pStyle w:val="berschrift1"/>
      </w:pPr>
      <w:r>
        <w:t>[</w:t>
      </w:r>
      <w:r>
        <w:br/>
        <w:t>\mathfrak{B}_{F}</w:t>
      </w:r>
    </w:p>
    <w:p w:rsidR="00060460" w:rsidRDefault="00060460" w:rsidP="00060460">
      <w:pPr>
        <w:pStyle w:val="StandardWeb"/>
      </w:pPr>
      <w:r>
        <w:t>\left(</w:t>
      </w:r>
      <w:r>
        <w:br/>
        <w:t>\mathcal{S}</w:t>
      </w:r>
      <w:r>
        <w:rPr>
          <w:rStyle w:val="Hervorhebung"/>
        </w:rPr>
        <w:t>{\mathrm{el}},</w:t>
      </w:r>
      <w:r>
        <w:rPr>
          <w:i/>
          <w:iCs/>
        </w:rPr>
        <w:br/>
      </w:r>
      <w:r>
        <w:rPr>
          <w:rStyle w:val="Hervorhebung"/>
        </w:rPr>
        <w:t>\mathfrak{R}</w:t>
      </w:r>
      <w:r>
        <w:t>{\mathrm{f}},</w:t>
      </w:r>
      <w:r>
        <w:br/>
        <w:t>\mathfrak{T}_{\mathrm{f}}</w:t>
      </w:r>
      <w:r>
        <w:br/>
        <w:t>\right)</w:t>
      </w:r>
      <w:r>
        <w:br/>
        <w:t>\tag{3.4302}</w:t>
      </w:r>
      <w:r>
        <w:br/>
        <w:t>]</w:t>
      </w:r>
    </w:p>
    <w:p w:rsidR="00060460" w:rsidRDefault="00060460" w:rsidP="00060460">
      <w:pPr>
        <w:pStyle w:val="StandardWeb"/>
      </w:pPr>
      <w:r>
        <w:rPr>
          <w:rStyle w:val="Fett"/>
        </w:rPr>
        <w:lastRenderedPageBreak/>
        <w:t>Word-LaTeX</w:t>
      </w:r>
    </w:p>
    <w:p w:rsidR="00060460" w:rsidRDefault="00060460" w:rsidP="00060460">
      <w:pPr>
        <w:pStyle w:val="HTMLVorformatiert"/>
        <w:rPr>
          <w:rStyle w:val="HTMLCode"/>
        </w:rPr>
      </w:pPr>
      <w:r>
        <w:rPr>
          <w:rStyle w:val="HTMLCode"/>
        </w:rPr>
        <w:t>\mathfrak{B}_{F}=\left(\mathcal{S}_{\mathrm{el}},\mathfrak{R}_{\mathrm{f}},\mathfrak{T}_{\mathrm{f}}\right)\qquad\text{(3.4302)}</w:t>
      </w:r>
    </w:p>
    <w:p w:rsidR="00060460" w:rsidRDefault="00060460" w:rsidP="00060460">
      <w:pPr>
        <w:pStyle w:val="StandardWeb"/>
      </w:pPr>
      <w:r>
        <w:t>zusammengefasst werden.</w:t>
      </w:r>
    </w:p>
    <w:p w:rsidR="00060460" w:rsidRDefault="00060460" w:rsidP="00060460">
      <w:pPr>
        <w:pStyle w:val="StandardWeb"/>
      </w:pPr>
      <w:r>
        <w:t>Dabei bezeichnet (\mathfrak{B}_{F}) die funktionale Basisstruktur des FRZK.</w:t>
      </w:r>
    </w:p>
    <w:p w:rsidR="00060460" w:rsidRDefault="00060460" w:rsidP="00060460">
      <w:pPr>
        <w:pStyle w:val="StandardWeb"/>
      </w:pPr>
      <w:r>
        <w:rPr>
          <w:rStyle w:val="Fett"/>
        </w:rPr>
        <w:t>Eigenleistung des FRZK</w:t>
      </w:r>
    </w:p>
    <w:p w:rsidR="00060460" w:rsidRDefault="00060460" w:rsidP="00060460">
      <w:pPr>
        <w:pStyle w:val="StandardWeb"/>
      </w:pPr>
      <w:r>
        <w:t>Ich verwende den Begriff der Basisstruktur ausschließlich für die durch die Primäraxiome eröffneten Zustands-, Relations- und Transformationsklassen. Raum, Zeit und Kohärenz gehören nicht zu dieser elementaren Basis, sondern werden darauf aufbauend definiert.</w:t>
      </w:r>
    </w:p>
    <w:p w:rsidR="00060460" w:rsidRPr="00AF32B2" w:rsidRDefault="00060460" w:rsidP="00AF32B2">
      <w:pPr>
        <w:pStyle w:val="berschrift4"/>
      </w:pPr>
      <w:r w:rsidRPr="00AF32B2">
        <w:t>3.3.18.2 Entwicklungsstruktur</w:t>
      </w:r>
    </w:p>
    <w:p w:rsidR="00060460" w:rsidRDefault="00060460" w:rsidP="00060460">
      <w:pPr>
        <w:pStyle w:val="StandardWeb"/>
      </w:pPr>
      <w:r>
        <w:t>Eine funktionale Entwicklung wurde durch Definition 3.3.4 als geordnete Folge funktionaler Zustände und Transformationen eingeführt. Die Menge aller für ein konkretes Modell zugelassenen funktionalen Entwicklungen bezeichne ich mit</w:t>
      </w:r>
    </w:p>
    <w:p w:rsidR="00060460" w:rsidRDefault="00060460" w:rsidP="00060460">
      <w:pPr>
        <w:pStyle w:val="berschrift1"/>
      </w:pPr>
      <w:r>
        <w:t>[</w:t>
      </w:r>
      <w:r>
        <w:br/>
        <w:t>\mathfrak{E}_{F}</w:t>
      </w:r>
    </w:p>
    <w:p w:rsidR="00060460" w:rsidRDefault="00060460" w:rsidP="00060460">
      <w:pPr>
        <w:pStyle w:val="StandardWeb"/>
      </w:pPr>
      <w:r>
        <w:t>\left{</w:t>
      </w:r>
      <w:r>
        <w:br/>
        <w:t>\mathfrak{E}_{n}</w:t>
      </w:r>
      <w:r>
        <w:br/>
        <w:t>;\middle|;</w:t>
      </w:r>
      <w:r>
        <w:br/>
        <w:t>n\in\mathbb{N}_0</w:t>
      </w:r>
      <w:r>
        <w:br/>
        <w:t>\right}.</w:t>
      </w:r>
      <w:r>
        <w:br/>
        <w:t>\tag{3.4303}</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\mathfrak{E}_{F}=\left\{\mathfrak{E}_{n}\middle|n\in\mathbb{N}_0\right\}\qquad\text{(3.4303)}</w:t>
      </w:r>
    </w:p>
    <w:p w:rsidR="00060460" w:rsidRDefault="00060460" w:rsidP="00060460">
      <w:pPr>
        <w:pStyle w:val="StandardWeb"/>
      </w:pPr>
      <w:r>
        <w:t>Für eine einzelne endliche Entwicklung gilt</w:t>
      </w:r>
    </w:p>
    <w:p w:rsidR="00060460" w:rsidRDefault="00060460" w:rsidP="00060460">
      <w:pPr>
        <w:pStyle w:val="berschrift1"/>
      </w:pPr>
      <w:r>
        <w:t>[</w:t>
      </w:r>
      <w:r>
        <w:br/>
        <w:t>\mathfrak{E}_{n}</w:t>
      </w:r>
    </w:p>
    <w:p w:rsidR="00060460" w:rsidRDefault="00060460" w:rsidP="00060460">
      <w:pPr>
        <w:pStyle w:val="StandardWeb"/>
      </w:pPr>
      <w:r>
        <w:t>\left(</w:t>
      </w:r>
      <w:r>
        <w:br/>
        <w:t>\delta_0,</w:t>
      </w:r>
      <w:r>
        <w:br/>
        <w:t>\mathbf{T}_{n}</w:t>
      </w:r>
      <w:r>
        <w:br/>
        <w:t>\right).</w:t>
      </w:r>
      <w:r>
        <w:br/>
        <w:t>\tag{3.4304}</w:t>
      </w:r>
      <w:r>
        <w:br/>
        <w:t>]</w:t>
      </w:r>
    </w:p>
    <w:p w:rsidR="00060460" w:rsidRDefault="00060460" w:rsidP="00060460">
      <w:pPr>
        <w:pStyle w:val="StandardWeb"/>
      </w:pPr>
      <w:r>
        <w:rPr>
          <w:rStyle w:val="Fett"/>
        </w:rPr>
        <w:lastRenderedPageBreak/>
        <w:t>Word-LaTeX</w:t>
      </w:r>
    </w:p>
    <w:p w:rsidR="00060460" w:rsidRDefault="00060460" w:rsidP="00060460">
      <w:pPr>
        <w:pStyle w:val="HTMLVorformatiert"/>
        <w:rPr>
          <w:rStyle w:val="HTMLCode"/>
        </w:rPr>
      </w:pPr>
      <w:r>
        <w:rPr>
          <w:rStyle w:val="HTMLCode"/>
        </w:rPr>
        <w:t>\mathfrak{E}_{n}=\left(\delta_0,\mathbf{T}_{n}\right)\qquad\text{(3.4304)}</w:t>
      </w:r>
    </w:p>
    <w:p w:rsidR="00060460" w:rsidRDefault="00060460" w:rsidP="00060460">
      <w:pPr>
        <w:pStyle w:val="StandardWeb"/>
      </w:pPr>
      <w:r>
        <w:t>Dabei bezeichnet (\mathbf{T}_{n}) die geordnete Folge der verwendeten funktionalen Transformationen.</w:t>
      </w:r>
    </w:p>
    <w:p w:rsidR="00060460" w:rsidRDefault="00060460" w:rsidP="00060460">
      <w:pPr>
        <w:pStyle w:val="StandardWeb"/>
      </w:pPr>
      <w:r>
        <w:t>Die zugehörige Zustandsfolge lautet</w:t>
      </w:r>
    </w:p>
    <w:p w:rsidR="00060460" w:rsidRDefault="00060460" w:rsidP="00060460">
      <w:pPr>
        <w:pStyle w:val="berschrift1"/>
      </w:pPr>
      <w:r>
        <w:t>[</w:t>
      </w:r>
      <w:r>
        <w:br/>
        <w:t>\Gamma_{\mathfrak{E}}</w:t>
      </w:r>
    </w:p>
    <w:p w:rsidR="00060460" w:rsidRDefault="00060460" w:rsidP="00060460">
      <w:pPr>
        <w:pStyle w:val="StandardWeb"/>
      </w:pPr>
      <w:r>
        <w:t>\left(</w:t>
      </w:r>
      <w:r>
        <w:br/>
        <w:t>\delta_0,</w:t>
      </w:r>
      <w:r>
        <w:br/>
        <w:t>\delta_1,</w:t>
      </w:r>
      <w:r>
        <w:br/>
        <w:t>\ldots,</w:t>
      </w:r>
      <w:r>
        <w:br/>
        <w:t>\delta_n</w:t>
      </w:r>
      <w:r>
        <w:br/>
        <w:t>\right).</w:t>
      </w:r>
      <w:r>
        <w:br/>
        <w:t>\tag{3.4305}</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\Gamma_{\mathfrak{E}}=\left(\delta_0,\delta_1,\ldots,\delta_n\right)\qquad\text{(3.4305)}</w:t>
      </w:r>
    </w:p>
    <w:p w:rsidR="00060460" w:rsidRDefault="00060460" w:rsidP="00060460">
      <w:pPr>
        <w:pStyle w:val="StandardWeb"/>
      </w:pPr>
      <w:r>
        <w:t>mit</w:t>
      </w:r>
    </w:p>
    <w:p w:rsidR="00060460" w:rsidRDefault="00060460" w:rsidP="00060460">
      <w:pPr>
        <w:pStyle w:val="berschrift1"/>
      </w:pPr>
      <w:r>
        <w:t>[</w:t>
      </w:r>
      <w:r>
        <w:br/>
        <w:t>\delta_k</w:t>
      </w:r>
    </w:p>
    <w:p w:rsidR="00060460" w:rsidRDefault="00060460" w:rsidP="00060460">
      <w:pPr>
        <w:pStyle w:val="StandardWeb"/>
      </w:pPr>
      <w:r>
        <w:t>T_k(\delta_{k-1}),</w:t>
      </w:r>
      <w:r>
        <w:br/>
        <w:t>\qquad</w:t>
      </w:r>
      <w:r>
        <w:br/>
        <w:t>k=1,\ldots,n.</w:t>
      </w:r>
      <w:r>
        <w:br/>
        <w:t>\tag{3.4306}</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\delta_k=T_k(\delta_{k-1}),\qquad k=1,\ldots,n\qquad\text{(3.4306)}</w:t>
      </w:r>
    </w:p>
    <w:p w:rsidR="00060460" w:rsidRDefault="00060460" w:rsidP="00060460">
      <w:pPr>
        <w:pStyle w:val="StandardWeb"/>
      </w:pPr>
      <w:r>
        <w:t>Die Entwicklungsstruktur ist damit aus der Basisstruktur abgeleitet. Sie setzt keine zusätzliche ontologische Grundannahme voraus.</w:t>
      </w:r>
    </w:p>
    <w:p w:rsidR="00060460" w:rsidRPr="00AF32B2" w:rsidRDefault="00060460" w:rsidP="00AF32B2">
      <w:pPr>
        <w:pStyle w:val="berschrift4"/>
      </w:pPr>
      <w:r w:rsidRPr="00AF32B2">
        <w:t>3.3.18.3 Kohärenzstruktur</w:t>
      </w:r>
    </w:p>
    <w:p w:rsidR="00060460" w:rsidRDefault="00060460" w:rsidP="00060460">
      <w:pPr>
        <w:pStyle w:val="StandardWeb"/>
      </w:pPr>
      <w:r>
        <w:t>Die Menge der für ein konkretes Modell ausgewählten Kohärenzbedingungen lautet</w:t>
      </w:r>
    </w:p>
    <w:p w:rsidR="00060460" w:rsidRDefault="00060460" w:rsidP="00060460">
      <w:pPr>
        <w:pStyle w:val="berschrift1"/>
      </w:pPr>
      <w:r>
        <w:lastRenderedPageBreak/>
        <w:t>[</w:t>
      </w:r>
      <w:r>
        <w:br/>
        <w:t>\mathcal{C}_{F}</w:t>
      </w:r>
    </w:p>
    <w:p w:rsidR="00060460" w:rsidRDefault="00060460" w:rsidP="00060460">
      <w:pPr>
        <w:pStyle w:val="StandardWeb"/>
      </w:pPr>
      <w:r>
        <w:t>\left{</w:t>
      </w:r>
      <w:r>
        <w:br/>
        <w:t>C_1,</w:t>
      </w:r>
      <w:r>
        <w:br/>
        <w:t>C_2,</w:t>
      </w:r>
      <w:r>
        <w:br/>
        <w:t>\ldots,</w:t>
      </w:r>
      <w:r>
        <w:br/>
        <w:t>C_m</w:t>
      </w:r>
      <w:r>
        <w:br/>
        <w:t>\right}.</w:t>
      </w:r>
      <w:r>
        <w:br/>
        <w:t>\tag{3.4307}</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\mathcal{C}_{F}=\left\{C_1,C_2,\ldots,C_m\right\}\qquad\text{(3.4307)}</w:t>
      </w:r>
    </w:p>
    <w:p w:rsidR="00060460" w:rsidRDefault="00060460" w:rsidP="00060460">
      <w:pPr>
        <w:pStyle w:val="StandardWeb"/>
      </w:pPr>
      <w:r>
        <w:t>Das zugehörige Kohärenzprädikat wird durch</w:t>
      </w:r>
    </w:p>
    <w:p w:rsidR="00060460" w:rsidRDefault="00060460" w:rsidP="00060460">
      <w:pPr>
        <w:pStyle w:val="StandardWeb"/>
      </w:pPr>
      <w:r>
        <w:t>[</w:t>
      </w:r>
      <w:r>
        <w:br/>
        <w:t>\operatorname{Koh}</w:t>
      </w:r>
      <w:r>
        <w:rPr>
          <w:rStyle w:val="Hervorhebung"/>
        </w:rPr>
        <w:t>{\mathcal{C}</w:t>
      </w:r>
      <w:r>
        <w:t>{F}}</w:t>
      </w:r>
      <w:r>
        <w:br/>
        <w:t>:</w:t>
      </w:r>
      <w:r>
        <w:br/>
        <w:t>\mathfrak{G}_{F}</w:t>
      </w:r>
      <w:r>
        <w:br/>
        <w:t>\rightarrow</w:t>
      </w:r>
      <w:r>
        <w:br/>
        <w:t>{0,1}</w:t>
      </w:r>
      <w:r>
        <w:br/>
        <w:t>\tag{3.4308}</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\operatorname{Koh}_{\mathcal{C}_{F}}:\mathfrak{G}_{F}\rightarrow\{0,1\}\qquad\text{(3.4308)}</w:t>
      </w:r>
    </w:p>
    <w:p w:rsidR="00060460" w:rsidRDefault="00060460" w:rsidP="00060460">
      <w:pPr>
        <w:pStyle w:val="StandardWeb"/>
      </w:pPr>
      <w:r>
        <w:t>dargestellt.</w:t>
      </w:r>
    </w:p>
    <w:p w:rsidR="00060460" w:rsidRDefault="00060460" w:rsidP="00060460">
      <w:pPr>
        <w:pStyle w:val="StandardWeb"/>
      </w:pPr>
      <w:r>
        <w:t>Dabei bezeichnet (\mathfrak{G}_{F}) eine jeweils betrachtete funktionale Gesamt- oder Teilstruktur.</w:t>
      </w:r>
    </w:p>
    <w:p w:rsidR="00060460" w:rsidRDefault="00060460" w:rsidP="00060460">
      <w:pPr>
        <w:pStyle w:val="StandardWeb"/>
      </w:pPr>
      <w:r>
        <w:t>Für die Erfüllung sämtlicher Bedingungen gilt</w:t>
      </w:r>
    </w:p>
    <w:p w:rsidR="00060460" w:rsidRDefault="00060460" w:rsidP="00060460">
      <w:pPr>
        <w:pStyle w:val="berschrift1"/>
      </w:pPr>
      <w:r>
        <w:t>[</w:t>
      </w:r>
      <w:r>
        <w:br/>
        <w:t>\operatorname{Koh}</w:t>
      </w:r>
      <w:r>
        <w:rPr>
          <w:rStyle w:val="Hervorhebung"/>
        </w:rPr>
        <w:t>{\mathcal{C}</w:t>
      </w:r>
      <w:r>
        <w:t>{F}}</w:t>
      </w:r>
      <w:r>
        <w:br/>
        <w:t>\left(</w:t>
      </w:r>
      <w:r>
        <w:br/>
        <w:t>\mathfrak{G}_{F}</w:t>
      </w:r>
      <w:r>
        <w:br/>
        <w:t>\right)</w:t>
      </w:r>
    </w:p>
    <w:p w:rsidR="00060460" w:rsidRDefault="00060460" w:rsidP="00060460">
      <w:pPr>
        <w:pStyle w:val="berschrift1"/>
      </w:pPr>
      <w:r>
        <w:lastRenderedPageBreak/>
        <w:t>1</w:t>
      </w:r>
      <w:r>
        <w:br/>
        <w:t>\iff</w:t>
      </w:r>
      <w:r>
        <w:br/>
        <w:t>\forall C_r\in\mathcal{C}</w:t>
      </w:r>
      <w:r>
        <w:rPr>
          <w:rStyle w:val="Hervorhebung"/>
        </w:rPr>
        <w:t>{F}:</w:t>
      </w:r>
      <w:r>
        <w:rPr>
          <w:i/>
          <w:iCs/>
        </w:rPr>
        <w:br/>
      </w:r>
      <w:r>
        <w:rPr>
          <w:rStyle w:val="Hervorhebung"/>
        </w:rPr>
        <w:t>C_r</w:t>
      </w:r>
      <w:r>
        <w:rPr>
          <w:i/>
          <w:iCs/>
        </w:rPr>
        <w:br/>
      </w:r>
      <w:r>
        <w:rPr>
          <w:rStyle w:val="Hervorhebung"/>
        </w:rPr>
        <w:t>\left(</w:t>
      </w:r>
      <w:r>
        <w:rPr>
          <w:i/>
          <w:iCs/>
        </w:rPr>
        <w:br/>
      </w:r>
      <w:r>
        <w:rPr>
          <w:rStyle w:val="Hervorhebung"/>
        </w:rPr>
        <w:t>\mathfrak{G}</w:t>
      </w:r>
      <w:r>
        <w:t>{F}</w:t>
      </w:r>
      <w:r>
        <w:br/>
        <w:t>\right)</w:t>
      </w:r>
    </w:p>
    <w:p w:rsidR="00060460" w:rsidRDefault="00060460" w:rsidP="00632D23">
      <w:pPr>
        <w:numPr>
          <w:ilvl w:val="0"/>
          <w:numId w:val="76"/>
        </w:numPr>
        <w:spacing w:before="100" w:beforeAutospacing="1" w:after="100" w:afterAutospacing="1"/>
      </w:pPr>
    </w:p>
    <w:p w:rsidR="00060460" w:rsidRDefault="00060460" w:rsidP="00060460">
      <w:pPr>
        <w:pStyle w:val="StandardWeb"/>
      </w:pPr>
      <w:r>
        <w:t>\tag{3.4309}</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\operatorname{Koh}_{\mathcal{C}_{F}}\left(\mathfrak{G}_{F}\right)=1\iff\forall C_r\in\mathcal{C}_{F}:C_r\left(\mathfrak{G}_{F}\right)=1\qquad\text{(3.4309)}</w:t>
      </w:r>
    </w:p>
    <w:p w:rsidR="00060460" w:rsidRDefault="00060460" w:rsidP="00060460">
      <w:pPr>
        <w:pStyle w:val="StandardWeb"/>
      </w:pPr>
      <w:r>
        <w:t>Die Kohärenzstruktur kann damit als geordnetes Paar</w:t>
      </w:r>
    </w:p>
    <w:p w:rsidR="00060460" w:rsidRDefault="00060460" w:rsidP="00060460">
      <w:pPr>
        <w:pStyle w:val="berschrift1"/>
      </w:pPr>
      <w:r>
        <w:t>[</w:t>
      </w:r>
      <w:r>
        <w:br/>
        <w:t>\mathfrak{C}_{F}</w:t>
      </w:r>
    </w:p>
    <w:p w:rsidR="00060460" w:rsidRDefault="00060460" w:rsidP="00060460">
      <w:pPr>
        <w:pStyle w:val="StandardWeb"/>
      </w:pPr>
      <w:r>
        <w:t>\left(</w:t>
      </w:r>
      <w:r>
        <w:br/>
        <w:t>\mathcal{C}</w:t>
      </w:r>
      <w:r>
        <w:rPr>
          <w:rStyle w:val="Hervorhebung"/>
        </w:rPr>
        <w:t>{F},</w:t>
      </w:r>
      <w:r>
        <w:rPr>
          <w:i/>
          <w:iCs/>
        </w:rPr>
        <w:br/>
      </w:r>
      <w:r>
        <w:rPr>
          <w:rStyle w:val="Hervorhebung"/>
        </w:rPr>
        <w:t>\operatorname{Koh}</w:t>
      </w:r>
      <w:r>
        <w:t>{\mathcal{C}_{F}}</w:t>
      </w:r>
      <w:r>
        <w:br/>
        <w:t>\right)</w:t>
      </w:r>
      <w:r>
        <w:br/>
        <w:t>\tag{3.4310}</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\mathfrak{C}_{F}=\left(\mathcal{C}_{F},\operatorname{Koh}_{\mathcal{C}_{F}}\right)\qquad\text{(3.4310)}</w:t>
      </w:r>
    </w:p>
    <w:p w:rsidR="00060460" w:rsidRDefault="00060460" w:rsidP="00060460">
      <w:pPr>
        <w:pStyle w:val="StandardWeb"/>
      </w:pPr>
      <w:r>
        <w:t>zusammengefasst werden.</w:t>
      </w:r>
    </w:p>
    <w:p w:rsidR="00060460" w:rsidRDefault="00060460" w:rsidP="00060460">
      <w:pPr>
        <w:pStyle w:val="StandardWeb"/>
      </w:pPr>
      <w:r>
        <w:rPr>
          <w:rStyle w:val="Fett"/>
        </w:rPr>
        <w:t>Eigenleistung des FRZK</w:t>
      </w:r>
    </w:p>
    <w:p w:rsidR="00060460" w:rsidRDefault="00060460" w:rsidP="00060460">
      <w:pPr>
        <w:pStyle w:val="StandardWeb"/>
      </w:pPr>
      <w:r>
        <w:t>Ich behandle Kohärenz nicht als automatisch vorhandene Eigenschaft des Gesamtsystems. (\mathfrak{C}_{F}) enthält die Bedingungen und das Prüfverfahren, aber keine Garantie ihrer Erfüllung.</w:t>
      </w:r>
    </w:p>
    <w:p w:rsidR="00060460" w:rsidRPr="00AF32B2" w:rsidRDefault="00060460" w:rsidP="00AF32B2">
      <w:pPr>
        <w:pStyle w:val="berschrift4"/>
      </w:pPr>
      <w:r w:rsidRPr="00AF32B2">
        <w:lastRenderedPageBreak/>
        <w:t>3.3.18.4 Ordnungsstruktur</w:t>
      </w:r>
    </w:p>
    <w:p w:rsidR="00060460" w:rsidRDefault="00060460" w:rsidP="00060460">
      <w:pPr>
        <w:pStyle w:val="StandardWeb"/>
      </w:pPr>
      <w:r>
        <w:t>Die funktionale Erreichbarkeitsrelation lautet</w:t>
      </w:r>
    </w:p>
    <w:p w:rsidR="00060460" w:rsidRDefault="00060460" w:rsidP="00060460">
      <w:pPr>
        <w:pStyle w:val="StandardWeb"/>
      </w:pPr>
      <w:r>
        <w:t>[</w:t>
      </w:r>
      <w:r>
        <w:br/>
        <w:t>\preceq_{!F}</w:t>
      </w:r>
      <w:r>
        <w:br/>
        <w:t>\subseteq</w:t>
      </w:r>
      <w:r>
        <w:br/>
        <w:t>\mathcal{S}</w:t>
      </w:r>
      <w:r>
        <w:rPr>
          <w:rStyle w:val="Hervorhebung"/>
        </w:rPr>
        <w:t>{\mathrm{el}}</w:t>
      </w:r>
      <w:r>
        <w:rPr>
          <w:i/>
          <w:iCs/>
        </w:rPr>
        <w:br/>
      </w:r>
      <w:r>
        <w:rPr>
          <w:rStyle w:val="Hervorhebung"/>
        </w:rPr>
        <w:t>\times</w:t>
      </w:r>
      <w:r>
        <w:rPr>
          <w:i/>
          <w:iCs/>
        </w:rPr>
        <w:br/>
      </w:r>
      <w:r>
        <w:rPr>
          <w:rStyle w:val="Hervorhebung"/>
        </w:rPr>
        <w:t>\mathcal{S}</w:t>
      </w:r>
      <w:r>
        <w:t>{\mathrm{el}}.</w:t>
      </w:r>
      <w:r>
        <w:br/>
        <w:t>\tag{3.4311}</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\preceq_{\!F}\subseteq\mathcal{S}_{\mathrm{el}}\times\mathcal{S}_{\mathrm{el}}\qquad\text{(3.4311)}</w:t>
      </w:r>
    </w:p>
    <w:p w:rsidR="00060460" w:rsidRDefault="00060460" w:rsidP="00060460">
      <w:pPr>
        <w:pStyle w:val="StandardWeb"/>
      </w:pPr>
      <w:r>
        <w:t>Auf der Quotientenmenge</w:t>
      </w:r>
    </w:p>
    <w:p w:rsidR="00060460" w:rsidRDefault="00060460" w:rsidP="00060460">
      <w:pPr>
        <w:pStyle w:val="berschrift1"/>
      </w:pPr>
      <w:r>
        <w:t>[</w:t>
      </w:r>
      <w:r>
        <w:br/>
        <w:t>\mathcal{Q}_{F}</w:t>
      </w:r>
    </w:p>
    <w:p w:rsidR="00060460" w:rsidRDefault="00060460" w:rsidP="00060460">
      <w:pPr>
        <w:pStyle w:val="StandardWeb"/>
      </w:pPr>
      <w:r>
        <w:t>\mathcal{S}</w:t>
      </w:r>
      <w:r>
        <w:rPr>
          <w:rStyle w:val="Hervorhebung"/>
        </w:rPr>
        <w:t>{\mathrm{el}}/{\sim</w:t>
      </w:r>
      <w:r>
        <w:t>{!F}}</w:t>
      </w:r>
      <w:r>
        <w:br/>
        <w:t>\tag{3.4312}</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\mathcal{Q}_{F}=\mathcal{S}_{\mathrm{el}}/{\sim_{\!F}}\qquad\text{(3.4312)}</w:t>
      </w:r>
    </w:p>
    <w:p w:rsidR="00060460" w:rsidRDefault="00060460" w:rsidP="00060460">
      <w:pPr>
        <w:pStyle w:val="StandardWeb"/>
      </w:pPr>
      <w:r>
        <w:t>wird die funktionale Halbordnung (\leq_{!F}) definiert.</w:t>
      </w:r>
    </w:p>
    <w:p w:rsidR="00060460" w:rsidRDefault="00060460" w:rsidP="00060460">
      <w:pPr>
        <w:pStyle w:val="StandardWeb"/>
      </w:pPr>
      <w:r>
        <w:t>Die Ordnungsstruktur lautet damit</w:t>
      </w:r>
    </w:p>
    <w:p w:rsidR="00060460" w:rsidRDefault="00060460" w:rsidP="00060460">
      <w:pPr>
        <w:pStyle w:val="berschrift1"/>
      </w:pPr>
      <w:r>
        <w:t>[</w:t>
      </w:r>
      <w:r>
        <w:br/>
        <w:t>\mathfrak{O}_{F}</w:t>
      </w:r>
    </w:p>
    <w:p w:rsidR="00060460" w:rsidRDefault="00060460" w:rsidP="00060460">
      <w:pPr>
        <w:pStyle w:val="StandardWeb"/>
      </w:pPr>
      <w:r>
        <w:t>\left(</w:t>
      </w:r>
      <w:r>
        <w:br/>
        <w:t>\mathcal{Q}</w:t>
      </w:r>
      <w:r>
        <w:rPr>
          <w:rStyle w:val="Hervorhebung"/>
        </w:rPr>
        <w:t>{F},</w:t>
      </w:r>
      <w:r>
        <w:rPr>
          <w:i/>
          <w:iCs/>
        </w:rPr>
        <w:br/>
      </w:r>
      <w:r>
        <w:rPr>
          <w:rStyle w:val="Hervorhebung"/>
        </w:rPr>
        <w:t>\leq</w:t>
      </w:r>
      <w:r>
        <w:t>{!F}</w:t>
      </w:r>
      <w:r>
        <w:br/>
        <w:t>\right).</w:t>
      </w:r>
      <w:r>
        <w:br/>
        <w:t>\tag{3.4313}</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\mathfrak{O}_{F}=\left(\mathcal{Q}_{F},\leq_{\!F}\right)\qquad\text{(3.4313)}</w:t>
      </w:r>
    </w:p>
    <w:p w:rsidR="00060460" w:rsidRDefault="00060460" w:rsidP="00060460">
      <w:pPr>
        <w:pStyle w:val="StandardWeb"/>
      </w:pPr>
      <w:r>
        <w:lastRenderedPageBreak/>
        <w:t>Sie ist im Allgemeinen nur partiell geordnet. Eine Totalordnung sämtlicher funktionaler Zustandsklassen wird weiterhin nicht vorausgesetzt [6].</w:t>
      </w:r>
    </w:p>
    <w:p w:rsidR="00060460" w:rsidRPr="00AF32B2" w:rsidRDefault="00060460" w:rsidP="00AF32B2">
      <w:pPr>
        <w:pStyle w:val="berschrift4"/>
      </w:pPr>
      <w:r w:rsidRPr="00AF32B2">
        <w:t>3.3.18.5 Funktionale Zeitkomponente</w:t>
      </w:r>
    </w:p>
    <w:p w:rsidR="00060460" w:rsidRDefault="00060460" w:rsidP="00060460">
      <w:pPr>
        <w:pStyle w:val="StandardWeb"/>
      </w:pPr>
      <w:r>
        <w:t>Die funktionale Zeitstruktur wurde durch</w:t>
      </w:r>
    </w:p>
    <w:p w:rsidR="00060460" w:rsidRDefault="00060460" w:rsidP="00060460">
      <w:pPr>
        <w:pStyle w:val="berschrift1"/>
      </w:pPr>
      <w:r>
        <w:t>[</w:t>
      </w:r>
      <w:r>
        <w:br/>
        <w:t>\mathfrak{T}_{F}</w:t>
      </w:r>
    </w:p>
    <w:p w:rsidR="00060460" w:rsidRDefault="00060460" w:rsidP="00060460">
      <w:pPr>
        <w:pStyle w:val="StandardWeb"/>
      </w:pPr>
      <w:r>
        <w:t>\left(</w:t>
      </w:r>
      <w:r>
        <w:br/>
        <w:t>\mathcal{Q}</w:t>
      </w:r>
      <w:r>
        <w:rPr>
          <w:rStyle w:val="Hervorhebung"/>
        </w:rPr>
        <w:t>{F},</w:t>
      </w:r>
      <w:r>
        <w:rPr>
          <w:i/>
          <w:iCs/>
        </w:rPr>
        <w:br/>
      </w:r>
      <w:r>
        <w:rPr>
          <w:rStyle w:val="Hervorhebung"/>
        </w:rPr>
        <w:t>\mathbb{T}</w:t>
      </w:r>
      <w:r>
        <w:t>{F},</w:t>
      </w:r>
      <w:r>
        <w:br/>
        <w:t>\vartheta</w:t>
      </w:r>
      <w:r>
        <w:br/>
        <w:t>\right)</w:t>
      </w:r>
      <w:r>
        <w:br/>
        <w:t>\tag{3.4314}</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\mathfrak{T}_{F}=\left(\mathcal{Q}_{F},\mathbb{T}_{F},\vartheta\right)\qquad\text{(3.4314)}</w:t>
      </w:r>
    </w:p>
    <w:p w:rsidR="00060460" w:rsidRDefault="00060460" w:rsidP="00060460">
      <w:pPr>
        <w:pStyle w:val="StandardWeb"/>
      </w:pPr>
      <w:r>
        <w:t>definiert.</w:t>
      </w:r>
    </w:p>
    <w:p w:rsidR="00060460" w:rsidRDefault="00060460" w:rsidP="00060460">
      <w:pPr>
        <w:pStyle w:val="StandardWeb"/>
      </w:pPr>
      <w:r>
        <w:t>Dabei muss (\vartheta) mindestens ordnungsverträglich sein:</w:t>
      </w:r>
    </w:p>
    <w:p w:rsidR="00060460" w:rsidRDefault="00060460" w:rsidP="00060460">
      <w:pPr>
        <w:pStyle w:val="StandardWeb"/>
      </w:pPr>
      <w:r>
        <w:t>[</w:t>
      </w:r>
      <w:r>
        <w:br/>
        <w:t>x</w:t>
      </w:r>
      <w:r>
        <w:br/>
        <w:t>\leq_{!F}</w:t>
      </w:r>
      <w:r>
        <w:br/>
        <w:t>y</w:t>
      </w:r>
      <w:r>
        <w:br/>
        <w:t>\Rightarrow</w:t>
      </w:r>
      <w:r>
        <w:br/>
        <w:t>\vartheta(x)</w:t>
      </w:r>
      <w:r>
        <w:br/>
        <w:t>\leq_{\mathbb{T}}</w:t>
      </w:r>
      <w:r>
        <w:br/>
        <w:t>\vartheta(y).</w:t>
      </w:r>
      <w:r>
        <w:br/>
        <w:t>\tag{3.4315}</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x\leq_{\!F}y\Rightarrow\vartheta(x)\leq_{\mathbb{T}}\vartheta(y)\qquad\text{(3.4315)}</w:t>
      </w:r>
    </w:p>
    <w:p w:rsidR="00060460" w:rsidRDefault="00060460" w:rsidP="00060460">
      <w:pPr>
        <w:pStyle w:val="StandardWeb"/>
      </w:pPr>
      <w:r>
        <w:t>Die funktionale Zeitkomponente muss nicht global definiert sein. Für lokale Modelle kann gelten</w:t>
      </w:r>
    </w:p>
    <w:p w:rsidR="00060460" w:rsidRDefault="00060460" w:rsidP="00060460">
      <w:pPr>
        <w:pStyle w:val="StandardWeb"/>
      </w:pPr>
      <w:r>
        <w:t>[</w:t>
      </w:r>
      <w:r>
        <w:br/>
        <w:t>\vartheta_{\mathcal{D}}</w:t>
      </w:r>
      <w:r>
        <w:br/>
        <w:t>:</w:t>
      </w:r>
      <w:r>
        <w:br/>
        <w:t>\mathcal{D}</w:t>
      </w:r>
      <w:r>
        <w:br/>
      </w:r>
      <w:r>
        <w:lastRenderedPageBreak/>
        <w:t>\rightarrow</w:t>
      </w:r>
      <w:r>
        <w:br/>
        <w:t>\mathbb{T}</w:t>
      </w:r>
      <w:r>
        <w:rPr>
          <w:rStyle w:val="Hervorhebung"/>
        </w:rPr>
        <w:t>{F},</w:t>
      </w:r>
      <w:r>
        <w:rPr>
          <w:i/>
          <w:iCs/>
        </w:rPr>
        <w:br/>
      </w:r>
      <w:r>
        <w:rPr>
          <w:rStyle w:val="Hervorhebung"/>
        </w:rPr>
        <w:t>\qquad</w:t>
      </w:r>
      <w:r>
        <w:rPr>
          <w:i/>
          <w:iCs/>
        </w:rPr>
        <w:br/>
      </w:r>
      <w:r>
        <w:rPr>
          <w:rStyle w:val="Hervorhebung"/>
        </w:rPr>
        <w:t>\mathcal{D}</w:t>
      </w:r>
      <w:r>
        <w:rPr>
          <w:i/>
          <w:iCs/>
        </w:rPr>
        <w:br/>
      </w:r>
      <w:r>
        <w:rPr>
          <w:rStyle w:val="Hervorhebung"/>
        </w:rPr>
        <w:t>\subseteq</w:t>
      </w:r>
      <w:r>
        <w:rPr>
          <w:i/>
          <w:iCs/>
        </w:rPr>
        <w:br/>
      </w:r>
      <w:r>
        <w:rPr>
          <w:rStyle w:val="Hervorhebung"/>
        </w:rPr>
        <w:t>\mathcal{Q}</w:t>
      </w:r>
      <w:r>
        <w:t>{F}.</w:t>
      </w:r>
      <w:r>
        <w:br/>
        <w:t>\tag{3.4316}</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\vartheta_{\mathcal{D}}:\mathcal{D}\rightarrow\mathbb{T}_{F},\qquad\mathcal{D}\subseteq\mathcal{Q}_{F}\qquad\text{(3.4316)}</w:t>
      </w:r>
    </w:p>
    <w:p w:rsidR="00060460" w:rsidRDefault="00060460" w:rsidP="00060460">
      <w:pPr>
        <w:pStyle w:val="StandardWeb"/>
      </w:pPr>
      <w:r>
        <w:t>Die Zeitstruktur ist daher ein optional globaler, mindestens aber lokal definierbarer Systembestandteil.</w:t>
      </w:r>
    </w:p>
    <w:p w:rsidR="00060460" w:rsidRPr="00AF32B2" w:rsidRDefault="00060460" w:rsidP="00AF32B2">
      <w:pPr>
        <w:pStyle w:val="berschrift4"/>
      </w:pPr>
      <w:r w:rsidRPr="00AF32B2">
        <w:t>3.3.18.6 Funktionale Raumkomponente</w:t>
      </w:r>
    </w:p>
    <w:p w:rsidR="00060460" w:rsidRDefault="00060460" w:rsidP="00060460">
      <w:pPr>
        <w:pStyle w:val="StandardWeb"/>
      </w:pPr>
      <w:r>
        <w:t>Die funktionale Raumstruktur lautet</w:t>
      </w:r>
    </w:p>
    <w:p w:rsidR="00060460" w:rsidRDefault="00060460" w:rsidP="00060460">
      <w:pPr>
        <w:pStyle w:val="berschrift1"/>
      </w:pPr>
      <w:r>
        <w:t>[</w:t>
      </w:r>
      <w:r>
        <w:br/>
        <w:t>\mathfrak{X}_{F}</w:t>
      </w:r>
    </w:p>
    <w:p w:rsidR="00060460" w:rsidRDefault="00060460" w:rsidP="00060460">
      <w:pPr>
        <w:pStyle w:val="StandardWeb"/>
      </w:pPr>
      <w:r>
        <w:t>\left(</w:t>
      </w:r>
      <w:r>
        <w:br/>
        <w:t>\mathcal{Q}</w:t>
      </w:r>
      <w:r>
        <w:rPr>
          <w:rStyle w:val="Hervorhebung"/>
        </w:rPr>
        <w:t>{F},</w:t>
      </w:r>
      <w:r>
        <w:rPr>
          <w:i/>
          <w:iCs/>
        </w:rPr>
        <w:br/>
      </w:r>
      <w:r>
        <w:rPr>
          <w:rStyle w:val="Hervorhebung"/>
        </w:rPr>
        <w:t>\mathcal{R}</w:t>
      </w:r>
      <w:r>
        <w:t>{\mathrm{sp}},</w:t>
      </w:r>
      <w:r>
        <w:br/>
        <w:t>\tau_{\mathrm{sp}},</w:t>
      </w:r>
      <w:r>
        <w:br/>
        <w:t>d_{\mathrm{sp}}</w:t>
      </w:r>
      <w:r>
        <w:br/>
        <w:t>\right).</w:t>
      </w:r>
      <w:r>
        <w:br/>
        <w:t>\tag{3.4317}</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\mathfrak{X}_{F}=\left(\mathcal{Q}_{F},\mathcal{R}_{\mathrm{sp}},\tau_{\mathrm{sp}},d_{\mathrm{sp}}\right)\qquad\text{(3.4317)}</w:t>
      </w:r>
    </w:p>
    <w:p w:rsidR="00060460" w:rsidRDefault="00060460" w:rsidP="00060460">
      <w:pPr>
        <w:pStyle w:val="StandardWeb"/>
      </w:pPr>
      <w:r>
        <w:t>Die minimale Raumstruktur kann bereits durch</w:t>
      </w:r>
    </w:p>
    <w:p w:rsidR="00060460" w:rsidRDefault="00060460" w:rsidP="00060460">
      <w:pPr>
        <w:pStyle w:val="berschrift1"/>
      </w:pPr>
      <w:r>
        <w:t>[</w:t>
      </w:r>
      <w:r>
        <w:br/>
        <w:t>\mathfrak{X}_{F}^{\min}</w:t>
      </w:r>
    </w:p>
    <w:p w:rsidR="00060460" w:rsidRDefault="00060460" w:rsidP="00060460">
      <w:pPr>
        <w:pStyle w:val="StandardWeb"/>
      </w:pPr>
      <w:r>
        <w:t>\left(</w:t>
      </w:r>
      <w:r>
        <w:br/>
        <w:t>\mathcal{Q}</w:t>
      </w:r>
      <w:r>
        <w:rPr>
          <w:rStyle w:val="Hervorhebung"/>
        </w:rPr>
        <w:t>{F},</w:t>
      </w:r>
      <w:r>
        <w:rPr>
          <w:i/>
          <w:iCs/>
        </w:rPr>
        <w:br/>
      </w:r>
      <w:r>
        <w:rPr>
          <w:rStyle w:val="Hervorhebung"/>
        </w:rPr>
        <w:t>\mathcal{R}</w:t>
      </w:r>
      <w:r>
        <w:t>{\mathrm{sp}}</w:t>
      </w:r>
      <w:r>
        <w:br/>
        <w:t>\right)</w:t>
      </w:r>
      <w:r>
        <w:br/>
        <w:t>\tag{3.4318}</w:t>
      </w:r>
      <w:r>
        <w:br/>
        <w:t>]</w:t>
      </w:r>
    </w:p>
    <w:p w:rsidR="00060460" w:rsidRDefault="00060460" w:rsidP="00060460">
      <w:pPr>
        <w:pStyle w:val="StandardWeb"/>
      </w:pPr>
      <w:r>
        <w:rPr>
          <w:rStyle w:val="Fett"/>
        </w:rPr>
        <w:lastRenderedPageBreak/>
        <w:t>Word-LaTeX</w:t>
      </w:r>
    </w:p>
    <w:p w:rsidR="00060460" w:rsidRDefault="00060460" w:rsidP="00060460">
      <w:pPr>
        <w:pStyle w:val="HTMLVorformatiert"/>
        <w:rPr>
          <w:rStyle w:val="HTMLCode"/>
        </w:rPr>
      </w:pPr>
      <w:r>
        <w:rPr>
          <w:rStyle w:val="HTMLCode"/>
        </w:rPr>
        <w:t>\mathfrak{X}_{F}^{\min}=\left(\mathcal{Q}_{F},\mathcal{R}_{\mathrm{sp}}\right)\qquad\text{(3.4318)}</w:t>
      </w:r>
    </w:p>
    <w:p w:rsidR="00060460" w:rsidRDefault="00060460" w:rsidP="00060460">
      <w:pPr>
        <w:pStyle w:val="StandardWeb"/>
      </w:pPr>
      <w:r>
        <w:t>gegeben sein.</w:t>
      </w:r>
    </w:p>
    <w:p w:rsidR="00060460" w:rsidRDefault="00060460" w:rsidP="00060460">
      <w:pPr>
        <w:pStyle w:val="StandardWeb"/>
      </w:pPr>
      <w:r>
        <w:t>Topologie und Distanz sind damit optionale Erweiterungen der minimalen Raumstruktur. Ihre Existenz folgt nicht allein aus der räumlichen Interpretation einer funktionalen Relation.</w:t>
      </w:r>
    </w:p>
    <w:p w:rsidR="00060460" w:rsidRPr="00AF32B2" w:rsidRDefault="00060460" w:rsidP="00AF32B2">
      <w:pPr>
        <w:pStyle w:val="berschrift4"/>
      </w:pPr>
      <w:r w:rsidRPr="00AF32B2">
        <w:t>3.3.18.7 Raum-Zeit-Kopplungskomponente</w:t>
      </w:r>
    </w:p>
    <w:p w:rsidR="00060460" w:rsidRDefault="00060460" w:rsidP="00060460">
      <w:pPr>
        <w:pStyle w:val="StandardWeb"/>
      </w:pPr>
      <w:r>
        <w:t>Die Kopplungsstruktur lautet</w:t>
      </w:r>
    </w:p>
    <w:p w:rsidR="00060460" w:rsidRDefault="00060460" w:rsidP="00060460">
      <w:pPr>
        <w:pStyle w:val="berschrift1"/>
      </w:pPr>
      <w:r>
        <w:t>[</w:t>
      </w:r>
      <w:r>
        <w:br/>
        <w:t>\mathfrak{K}_{XT}</w:t>
      </w:r>
    </w:p>
    <w:p w:rsidR="00060460" w:rsidRDefault="00060460" w:rsidP="00060460">
      <w:pPr>
        <w:pStyle w:val="StandardWeb"/>
      </w:pPr>
      <w:r>
        <w:t>\left(</w:t>
      </w:r>
      <w:r>
        <w:br/>
        <w:t>\mathfrak{X}</w:t>
      </w:r>
      <w:r>
        <w:rPr>
          <w:rStyle w:val="Hervorhebung"/>
        </w:rPr>
        <w:t>{F},</w:t>
      </w:r>
      <w:r>
        <w:rPr>
          <w:i/>
          <w:iCs/>
        </w:rPr>
        <w:br/>
      </w:r>
      <w:r>
        <w:rPr>
          <w:rStyle w:val="Hervorhebung"/>
        </w:rPr>
        <w:t>\mathfrak{T}</w:t>
      </w:r>
      <w:r>
        <w:t>{F},</w:t>
      </w:r>
      <w:r>
        <w:br/>
        <w:t>\mathcal{K}_{XT}</w:t>
      </w:r>
      <w:r>
        <w:br/>
        <w:t>\right).</w:t>
      </w:r>
      <w:r>
        <w:br/>
        <w:t>\tag{3.4319}</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\mathfrak{K}_{XT}=\left(\mathfrak{X}_{F},\mathfrak{T}_{F},\mathcal{K}_{XT}\right)\qquad\text{(3.4319)}</w:t>
      </w:r>
    </w:p>
    <w:p w:rsidR="00060460" w:rsidRDefault="00060460" w:rsidP="00060460">
      <w:pPr>
        <w:pStyle w:val="StandardWeb"/>
      </w:pPr>
      <w:r>
        <w:t>Dabei gilt</w:t>
      </w:r>
    </w:p>
    <w:p w:rsidR="00060460" w:rsidRDefault="00060460" w:rsidP="00060460">
      <w:pPr>
        <w:pStyle w:val="StandardWeb"/>
      </w:pPr>
      <w:r>
        <w:t>[</w:t>
      </w:r>
      <w:r>
        <w:br/>
        <w:t>\mathcal{K}</w:t>
      </w:r>
      <w:r>
        <w:rPr>
          <w:rStyle w:val="Hervorhebung"/>
        </w:rPr>
        <w:t>{XT}</w:t>
      </w:r>
      <w:r>
        <w:rPr>
          <w:i/>
          <w:iCs/>
        </w:rPr>
        <w:br/>
      </w:r>
      <w:r>
        <w:rPr>
          <w:rStyle w:val="Hervorhebung"/>
        </w:rPr>
        <w:t>\subseteq</w:t>
      </w:r>
      <w:r>
        <w:rPr>
          <w:i/>
          <w:iCs/>
        </w:rPr>
        <w:br/>
      </w:r>
      <w:r>
        <w:rPr>
          <w:rStyle w:val="Hervorhebung"/>
        </w:rPr>
        <w:t>\mathcal{Z}</w:t>
      </w:r>
      <w:r>
        <w:t>{F}</w:t>
      </w:r>
      <w:r>
        <w:br/>
        <w:t>\times</w:t>
      </w:r>
      <w:r>
        <w:br/>
        <w:t>\mathcal{Z}_{F}.</w:t>
      </w:r>
      <w:r>
        <w:br/>
        <w:t>\tag{3.4320}</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\mathcal{K}_{XT}\subseteq\mathcal{Z}_{F}\times\mathcal{Z}_{F}\qquad\text{(3.4320)}</w:t>
      </w:r>
    </w:p>
    <w:p w:rsidR="00060460" w:rsidRDefault="00060460" w:rsidP="00060460">
      <w:pPr>
        <w:pStyle w:val="StandardWeb"/>
      </w:pPr>
      <w:r>
        <w:t>Die Kopplungsstruktur bestimmt, welche räumlich und zeitlich bewerteten Übergänge innerhalb des Modells zulässig sind.</w:t>
      </w:r>
    </w:p>
    <w:p w:rsidR="00060460" w:rsidRDefault="00060460" w:rsidP="00060460">
      <w:pPr>
        <w:pStyle w:val="StandardWeb"/>
      </w:pPr>
      <w:r>
        <w:lastRenderedPageBreak/>
        <w:t>Eine Kopplung kann fehlen, obwohl Raum- und Zeitstruktur einzeln definiert sind. In diesem Fall liegt noch kein vollständiges Funktionales Raum-Zeit-Kohärenzsystem vor.</w:t>
      </w:r>
    </w:p>
    <w:p w:rsidR="00060460" w:rsidRDefault="00060460" w:rsidP="00060460">
      <w:pPr>
        <w:pStyle w:val="StandardWeb"/>
      </w:pPr>
      <w:r>
        <w:rPr>
          <w:rStyle w:val="Fett"/>
        </w:rPr>
        <w:t>Eigenleistung des FRZK</w:t>
      </w:r>
    </w:p>
    <w:p w:rsidR="00060460" w:rsidRDefault="00060460" w:rsidP="00060460">
      <w:pPr>
        <w:pStyle w:val="StandardWeb"/>
      </w:pPr>
      <w:r>
        <w:t>Ich behandle die Kopplung als zwingenden Bestandteil des vollständigen FRZK. Eine bloße Menge funktionaler Raum- und Zeitstrukturen genügt nicht, solange keine gemeinsamen Verträglichkeitsbedingungen definiert wurden.</w:t>
      </w:r>
    </w:p>
    <w:p w:rsidR="00060460" w:rsidRPr="00AF32B2" w:rsidRDefault="00060460" w:rsidP="00AF32B2">
      <w:pPr>
        <w:pStyle w:val="berschrift4"/>
      </w:pPr>
      <w:r w:rsidRPr="00AF32B2">
        <w:t>3.3.18.8 Definition des Funktionalen Raum-Zeit-Kohärenzsystems</w:t>
      </w:r>
    </w:p>
    <w:p w:rsidR="00060460" w:rsidRDefault="00060460" w:rsidP="00060460">
      <w:pPr>
        <w:pStyle w:val="StandardWeb"/>
      </w:pPr>
      <w:r>
        <w:rPr>
          <w:rStyle w:val="Fett"/>
        </w:rPr>
        <w:t>Definition 3.3.11 – Funktionales Raum-Zeit-Kohärenzsystem</w:t>
      </w:r>
    </w:p>
    <w:p w:rsidR="00060460" w:rsidRDefault="00060460" w:rsidP="00060460">
      <w:pPr>
        <w:pStyle w:val="StandardWeb"/>
      </w:pPr>
      <w:r>
        <w:t>Ein Funktionales Raum-Zeit-Kohärenzsystem ist eine strukturierte Gesamtheit</w:t>
      </w:r>
    </w:p>
    <w:p w:rsidR="00060460" w:rsidRDefault="00060460" w:rsidP="00060460">
      <w:pPr>
        <w:pStyle w:val="berschrift1"/>
      </w:pPr>
      <w:r>
        <w:t>[</w:t>
      </w:r>
      <w:r>
        <w:br/>
        <w:t>\boxed{</w:t>
      </w:r>
      <w:r>
        <w:br/>
        <w:t>\mathfrak{F}_{\mathrm{RZK}}</w:t>
      </w:r>
    </w:p>
    <w:p w:rsidR="00060460" w:rsidRDefault="00060460" w:rsidP="00060460">
      <w:pPr>
        <w:pStyle w:val="StandardWeb"/>
      </w:pPr>
      <w:r>
        <w:t>\left(</w:t>
      </w:r>
      <w:r>
        <w:br/>
        <w:t>\mathfrak{B}</w:t>
      </w:r>
      <w:r>
        <w:rPr>
          <w:rStyle w:val="Hervorhebung"/>
        </w:rPr>
        <w:t>{F},</w:t>
      </w:r>
      <w:r>
        <w:rPr>
          <w:i/>
          <w:iCs/>
        </w:rPr>
        <w:br/>
      </w:r>
      <w:r>
        <w:rPr>
          <w:rStyle w:val="Hervorhebung"/>
        </w:rPr>
        <w:t>\mathfrak{E}</w:t>
      </w:r>
      <w:r>
        <w:t>{F},</w:t>
      </w:r>
      <w:r>
        <w:br/>
        <w:t>\mathfrak{C}</w:t>
      </w:r>
      <w:r>
        <w:rPr>
          <w:rStyle w:val="Hervorhebung"/>
        </w:rPr>
        <w:t>{F},</w:t>
      </w:r>
      <w:r>
        <w:rPr>
          <w:i/>
          <w:iCs/>
        </w:rPr>
        <w:br/>
      </w:r>
      <w:r>
        <w:rPr>
          <w:rStyle w:val="Hervorhebung"/>
        </w:rPr>
        <w:t>\mathfrak{O}</w:t>
      </w:r>
      <w:r>
        <w:t>{F},</w:t>
      </w:r>
      <w:r>
        <w:br/>
        <w:t>\mathfrak{X}</w:t>
      </w:r>
      <w:r>
        <w:rPr>
          <w:rStyle w:val="Hervorhebung"/>
        </w:rPr>
        <w:t>{F},</w:t>
      </w:r>
      <w:r>
        <w:rPr>
          <w:i/>
          <w:iCs/>
        </w:rPr>
        <w:br/>
      </w:r>
      <w:r>
        <w:rPr>
          <w:rStyle w:val="Hervorhebung"/>
        </w:rPr>
        <w:t>\mathfrak{T}</w:t>
      </w:r>
      <w:r>
        <w:t>{F},</w:t>
      </w:r>
      <w:r>
        <w:br/>
        <w:t>\mathfrak{K}_{XT}</w:t>
      </w:r>
      <w:r>
        <w:br/>
        <w:t>\right)</w:t>
      </w:r>
      <w:r>
        <w:br/>
        <w:t>}</w:t>
      </w:r>
      <w:r>
        <w:br/>
        <w:t>\tag{3.4321}</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\boxed{\mathfrak{F}_{\mathrm{RZK}}=\left(\mathfrak{B}_{F},\mathfrak{E}_{F},\mathfrak{C}_{F},\mathfrak{O}_{F},\mathfrak{X}_{F},\mathfrak{T}_{F},\mathfrak{K}_{XT}\right)}\qquad\text{(3.4321)}</w:t>
      </w:r>
    </w:p>
    <w:p w:rsidR="00060460" w:rsidRDefault="00060460" w:rsidP="00060460">
      <w:pPr>
        <w:pStyle w:val="StandardWeb"/>
      </w:pPr>
      <w:r>
        <w:t>mit:</w:t>
      </w:r>
    </w:p>
    <w:p w:rsidR="00060460" w:rsidRDefault="00060460" w:rsidP="00632D23">
      <w:pPr>
        <w:pStyle w:val="StandardWeb"/>
        <w:numPr>
          <w:ilvl w:val="0"/>
          <w:numId w:val="77"/>
        </w:numPr>
      </w:pPr>
      <w:r>
        <w:t>(\mathfrak{B}_{F}): funktionale Basisstruktur,</w:t>
      </w:r>
    </w:p>
    <w:p w:rsidR="00060460" w:rsidRDefault="00060460" w:rsidP="00632D23">
      <w:pPr>
        <w:pStyle w:val="StandardWeb"/>
        <w:numPr>
          <w:ilvl w:val="0"/>
          <w:numId w:val="77"/>
        </w:numPr>
      </w:pPr>
      <w:r>
        <w:t>(\mathfrak{E}_{F}): Menge zugelassener funktionaler Entwicklungen,</w:t>
      </w:r>
    </w:p>
    <w:p w:rsidR="00060460" w:rsidRDefault="00060460" w:rsidP="00632D23">
      <w:pPr>
        <w:pStyle w:val="StandardWeb"/>
        <w:numPr>
          <w:ilvl w:val="0"/>
          <w:numId w:val="77"/>
        </w:numPr>
      </w:pPr>
      <w:r>
        <w:t>(\mathfrak{C}_{F}): funktionale Kohärenzstruktur,</w:t>
      </w:r>
    </w:p>
    <w:p w:rsidR="00060460" w:rsidRDefault="00060460" w:rsidP="00632D23">
      <w:pPr>
        <w:pStyle w:val="StandardWeb"/>
        <w:numPr>
          <w:ilvl w:val="0"/>
          <w:numId w:val="77"/>
        </w:numPr>
      </w:pPr>
      <w:r>
        <w:t>(\mathfrak{O}_{F}): funktionale Ordnungsstruktur,</w:t>
      </w:r>
    </w:p>
    <w:p w:rsidR="00060460" w:rsidRDefault="00060460" w:rsidP="00632D23">
      <w:pPr>
        <w:pStyle w:val="StandardWeb"/>
        <w:numPr>
          <w:ilvl w:val="0"/>
          <w:numId w:val="77"/>
        </w:numPr>
      </w:pPr>
      <w:r>
        <w:t>(\mathfrak{X}_{F}): funktionale Raumstruktur,</w:t>
      </w:r>
    </w:p>
    <w:p w:rsidR="00060460" w:rsidRDefault="00060460" w:rsidP="00632D23">
      <w:pPr>
        <w:pStyle w:val="StandardWeb"/>
        <w:numPr>
          <w:ilvl w:val="0"/>
          <w:numId w:val="77"/>
        </w:numPr>
      </w:pPr>
      <w:r>
        <w:t>(\mathfrak{T}_{F}): funktionale Zeitstruktur,</w:t>
      </w:r>
    </w:p>
    <w:p w:rsidR="00060460" w:rsidRDefault="00060460" w:rsidP="00632D23">
      <w:pPr>
        <w:pStyle w:val="StandardWeb"/>
        <w:numPr>
          <w:ilvl w:val="0"/>
          <w:numId w:val="77"/>
        </w:numPr>
      </w:pPr>
      <w:r>
        <w:t>(\mathfrak{K}_{XT}): funktionale Raum-Zeit-Kopplungsstruktur.</w:t>
      </w:r>
    </w:p>
    <w:p w:rsidR="00060460" w:rsidRDefault="00060460" w:rsidP="00060460">
      <w:pPr>
        <w:pStyle w:val="StandardWeb"/>
      </w:pPr>
      <w:r>
        <w:lastRenderedPageBreak/>
        <w:t>Die Systemkomponenten müssen auf einer gemeinsamen funktionalen Zustandsgrundlage definiert und untereinander typverträglich sein.</w:t>
      </w:r>
    </w:p>
    <w:p w:rsidR="00060460" w:rsidRDefault="00060460" w:rsidP="00060460">
      <w:pPr>
        <w:pStyle w:val="StandardWeb"/>
      </w:pPr>
      <w:r>
        <w:t>Formal gilt mindestens</w:t>
      </w:r>
    </w:p>
    <w:p w:rsidR="00060460" w:rsidRDefault="00060460" w:rsidP="00060460">
      <w:pPr>
        <w:pStyle w:val="berschrift1"/>
      </w:pPr>
      <w:r>
        <w:t>[</w:t>
      </w:r>
      <w:r>
        <w:br/>
        <w:t>\mathcal{Q}_{F}</w:t>
      </w:r>
    </w:p>
    <w:p w:rsidR="00060460" w:rsidRDefault="00060460" w:rsidP="00060460">
      <w:pPr>
        <w:pStyle w:val="StandardWeb"/>
      </w:pPr>
      <w:r>
        <w:t>\mathcal{S}</w:t>
      </w:r>
      <w:r>
        <w:rPr>
          <w:rStyle w:val="Hervorhebung"/>
        </w:rPr>
        <w:t>{\mathrm{el}}/{\sim</w:t>
      </w:r>
      <w:r>
        <w:t>{!F}}</w:t>
      </w:r>
      <w:r>
        <w:br/>
        <w:t>\tag{3.4322}</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\mathcal{Q}_{F}=\mathcal{S}_{\mathrm{el}}/{\sim_{\!F}}\qquad\text{(3.4322)}</w:t>
      </w:r>
    </w:p>
    <w:p w:rsidR="00060460" w:rsidRDefault="00060460" w:rsidP="00060460">
      <w:pPr>
        <w:pStyle w:val="StandardWeb"/>
      </w:pPr>
      <w:r>
        <w:t>sowie</w:t>
      </w:r>
    </w:p>
    <w:p w:rsidR="00060460" w:rsidRDefault="00060460" w:rsidP="00060460">
      <w:pPr>
        <w:pStyle w:val="StandardWeb"/>
      </w:pPr>
      <w:r>
        <w:t>[</w:t>
      </w:r>
      <w:r>
        <w:br/>
        <w:t>\mathfrak{X}</w:t>
      </w:r>
      <w:r>
        <w:rPr>
          <w:rStyle w:val="Hervorhebung"/>
        </w:rPr>
        <w:t>{F},</w:t>
      </w:r>
      <w:r>
        <w:rPr>
          <w:i/>
          <w:iCs/>
        </w:rPr>
        <w:br/>
      </w:r>
      <w:r>
        <w:rPr>
          <w:rStyle w:val="Hervorhebung"/>
        </w:rPr>
        <w:t>\mathfrak{T}</w:t>
      </w:r>
      <w:r>
        <w:t>{F},</w:t>
      </w:r>
      <w:r>
        <w:br/>
        <w:t>\mathfrak{O}</w:t>
      </w:r>
      <w:r>
        <w:rPr>
          <w:rStyle w:val="Hervorhebung"/>
        </w:rPr>
        <w:t>{F}</w:t>
      </w:r>
      <w:r>
        <w:rPr>
          <w:i/>
          <w:iCs/>
        </w:rPr>
        <w:br/>
      </w:r>
      <w:r>
        <w:rPr>
          <w:rStyle w:val="Hervorhebung"/>
        </w:rPr>
        <w:t>\quad</w:t>
      </w:r>
      <w:r>
        <w:rPr>
          <w:i/>
          <w:iCs/>
        </w:rPr>
        <w:br/>
      </w:r>
      <w:r>
        <w:rPr>
          <w:rStyle w:val="Hervorhebung"/>
        </w:rPr>
        <w:t>\text{verwenden dieselbe Grundmenge }</w:t>
      </w:r>
      <w:r>
        <w:rPr>
          <w:i/>
          <w:iCs/>
        </w:rPr>
        <w:br/>
      </w:r>
      <w:r>
        <w:rPr>
          <w:rStyle w:val="Hervorhebung"/>
        </w:rPr>
        <w:t>\mathcal{Q}</w:t>
      </w:r>
      <w:r>
        <w:t>{F}.</w:t>
      </w:r>
      <w:r>
        <w:br/>
        <w:t>\tag{3.4323}</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\mathfrak{X}_{F},\mathfrak{T}_{F},\mathfrak{O}_{F}\quad\text{verwenden dieselbe Grundmenge }\mathcal{Q}_{F}\qquad\text{(3.4323)}</w:t>
      </w:r>
    </w:p>
    <w:p w:rsidR="00060460" w:rsidRDefault="00060460" w:rsidP="00060460">
      <w:pPr>
        <w:pStyle w:val="StandardWeb"/>
      </w:pPr>
      <w:r>
        <w:t>Definition 3.3.11 fasst die zuvor eingeführten Teilstrukturen zusammen. Sie fügt den drei Primäraxiomen keinen neuen elementaren Existenzgehalt hinzu.</w:t>
      </w:r>
    </w:p>
    <w:p w:rsidR="00060460" w:rsidRPr="00AF32B2" w:rsidRDefault="00060460" w:rsidP="00AF32B2">
      <w:pPr>
        <w:pStyle w:val="berschrift4"/>
      </w:pPr>
      <w:r w:rsidRPr="00AF32B2">
        <w:t>3.3.18.9 Minimales FRZK</w:t>
      </w:r>
    </w:p>
    <w:p w:rsidR="00060460" w:rsidRDefault="00060460" w:rsidP="00060460">
      <w:pPr>
        <w:pStyle w:val="StandardWeb"/>
      </w:pPr>
      <w:r>
        <w:t>Ein minimales FRZK enthält nur diejenigen Bestandteile, die für eine funktionale Raum-Zeit-Kohärenzbeschreibung unverzichtbar sind.</w:t>
      </w:r>
    </w:p>
    <w:p w:rsidR="00060460" w:rsidRDefault="00060460" w:rsidP="00060460">
      <w:pPr>
        <w:pStyle w:val="StandardWeb"/>
      </w:pPr>
      <w:r>
        <w:t>Ich definiere</w:t>
      </w:r>
    </w:p>
    <w:p w:rsidR="00060460" w:rsidRDefault="00060460" w:rsidP="00060460">
      <w:pPr>
        <w:pStyle w:val="berschrift1"/>
      </w:pPr>
      <w:r>
        <w:t>[</w:t>
      </w:r>
      <w:r>
        <w:br/>
        <w:t>\mathfrak{F}_{\mathrm{RZK}}^{\min}</w:t>
      </w:r>
    </w:p>
    <w:p w:rsidR="00060460" w:rsidRDefault="00060460" w:rsidP="00060460">
      <w:pPr>
        <w:pStyle w:val="StandardWeb"/>
      </w:pPr>
      <w:r>
        <w:t>\left(</w:t>
      </w:r>
      <w:r>
        <w:br/>
        <w:t>\mathfrak{B}</w:t>
      </w:r>
      <w:r>
        <w:rPr>
          <w:rStyle w:val="Hervorhebung"/>
        </w:rPr>
        <w:t>{F},</w:t>
      </w:r>
      <w:r>
        <w:rPr>
          <w:i/>
          <w:iCs/>
        </w:rPr>
        <w:br/>
      </w:r>
      <w:r>
        <w:rPr>
          <w:rStyle w:val="Hervorhebung"/>
        </w:rPr>
        <w:lastRenderedPageBreak/>
        <w:t>\mathfrak{E}</w:t>
      </w:r>
      <w:r>
        <w:t>{F},</w:t>
      </w:r>
      <w:r>
        <w:br/>
        <w:t>\mathfrak{C}</w:t>
      </w:r>
      <w:r>
        <w:rPr>
          <w:rStyle w:val="Hervorhebung"/>
        </w:rPr>
        <w:t>{F},</w:t>
      </w:r>
      <w:r>
        <w:rPr>
          <w:i/>
          <w:iCs/>
        </w:rPr>
        <w:br/>
      </w:r>
      <w:r>
        <w:rPr>
          <w:rStyle w:val="Hervorhebung"/>
        </w:rPr>
        <w:t>\mathfrak{O}</w:t>
      </w:r>
      <w:r>
        <w:t>{F},</w:t>
      </w:r>
      <w:r>
        <w:br/>
        <w:t>\mathfrak{X}</w:t>
      </w:r>
      <w:r>
        <w:rPr>
          <w:rStyle w:val="Hervorhebung"/>
        </w:rPr>
        <w:t>{F}^{\min},</w:t>
      </w:r>
      <w:r>
        <w:rPr>
          <w:i/>
          <w:iCs/>
        </w:rPr>
        <w:br/>
      </w:r>
      <w:r>
        <w:rPr>
          <w:rStyle w:val="Hervorhebung"/>
        </w:rPr>
        <w:t>\mathfrak{T}</w:t>
      </w:r>
      <w:r>
        <w:t>{F},</w:t>
      </w:r>
      <w:r>
        <w:br/>
        <w:t>\mathfrak{K}_{XT}</w:t>
      </w:r>
      <w:r>
        <w:br/>
        <w:t>\right).</w:t>
      </w:r>
      <w:r>
        <w:br/>
        <w:t>\tag{3.4324}</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\mathfrak{F}_{\mathrm{RZK}}^{\min}=\left(\mathfrak{B}_{F},\mathfrak{E}_{F},\mathfrak{C}_{F},\mathfrak{O}_{F},\mathfrak{X}_{F}^{\min},\mathfrak{T}_{F},\mathfrak{K}_{XT}\right)\qquad\text{(3.4324)}</w:t>
      </w:r>
    </w:p>
    <w:p w:rsidR="00060460" w:rsidRDefault="00060460" w:rsidP="00060460">
      <w:pPr>
        <w:pStyle w:val="StandardWeb"/>
      </w:pPr>
      <w:r>
        <w:t>Im minimalen System sind insbesondere nicht zwingend enthalten:</w:t>
      </w:r>
    </w:p>
    <w:p w:rsidR="00060460" w:rsidRDefault="00060460" w:rsidP="00632D23">
      <w:pPr>
        <w:pStyle w:val="StandardWeb"/>
        <w:numPr>
          <w:ilvl w:val="0"/>
          <w:numId w:val="78"/>
        </w:numPr>
      </w:pPr>
      <w:r>
        <w:t>eine globale Zeitabbildung,</w:t>
      </w:r>
    </w:p>
    <w:p w:rsidR="00060460" w:rsidRDefault="00060460" w:rsidP="00632D23">
      <w:pPr>
        <w:pStyle w:val="StandardWeb"/>
        <w:numPr>
          <w:ilvl w:val="0"/>
          <w:numId w:val="78"/>
        </w:numPr>
      </w:pPr>
      <w:r>
        <w:t>eine räumliche Metrik,</w:t>
      </w:r>
    </w:p>
    <w:p w:rsidR="00060460" w:rsidRDefault="00060460" w:rsidP="00632D23">
      <w:pPr>
        <w:pStyle w:val="StandardWeb"/>
        <w:numPr>
          <w:ilvl w:val="0"/>
          <w:numId w:val="78"/>
        </w:numPr>
      </w:pPr>
      <w:r>
        <w:t>eine feste Dimension,</w:t>
      </w:r>
    </w:p>
    <w:p w:rsidR="00060460" w:rsidRDefault="00060460" w:rsidP="00632D23">
      <w:pPr>
        <w:pStyle w:val="StandardWeb"/>
        <w:numPr>
          <w:ilvl w:val="0"/>
          <w:numId w:val="78"/>
        </w:numPr>
      </w:pPr>
      <w:r>
        <w:t>Koordinaten,</w:t>
      </w:r>
    </w:p>
    <w:p w:rsidR="00060460" w:rsidRDefault="00060460" w:rsidP="00632D23">
      <w:pPr>
        <w:pStyle w:val="StandardWeb"/>
        <w:numPr>
          <w:ilvl w:val="0"/>
          <w:numId w:val="78"/>
        </w:numPr>
      </w:pPr>
      <w:r>
        <w:t>eine maximale Kopplungsrate,</w:t>
      </w:r>
    </w:p>
    <w:p w:rsidR="00060460" w:rsidRDefault="00060460" w:rsidP="00632D23">
      <w:pPr>
        <w:pStyle w:val="StandardWeb"/>
        <w:numPr>
          <w:ilvl w:val="0"/>
          <w:numId w:val="78"/>
        </w:numPr>
      </w:pPr>
      <w:r>
        <w:t>eine physikalische Kalibrierung,</w:t>
      </w:r>
    </w:p>
    <w:p w:rsidR="00060460" w:rsidRDefault="00060460" w:rsidP="00632D23">
      <w:pPr>
        <w:pStyle w:val="StandardWeb"/>
        <w:numPr>
          <w:ilvl w:val="0"/>
          <w:numId w:val="78"/>
        </w:numPr>
      </w:pPr>
      <w:r>
        <w:t>eine spezielle Raum-Zeit-Metrik.</w:t>
      </w:r>
    </w:p>
    <w:p w:rsidR="00060460" w:rsidRDefault="00060460" w:rsidP="00060460">
      <w:pPr>
        <w:pStyle w:val="StandardWeb"/>
      </w:pPr>
      <w:r>
        <w:t>Diese Strukturen können modellspezifisch ergänzt werden.</w:t>
      </w:r>
    </w:p>
    <w:p w:rsidR="00060460" w:rsidRPr="00AF32B2" w:rsidRDefault="00060460" w:rsidP="00AF32B2">
      <w:pPr>
        <w:pStyle w:val="berschrift4"/>
      </w:pPr>
      <w:r w:rsidRPr="00AF32B2">
        <w:t>3.3.18.10 Erweitertes FRZK</w:t>
      </w:r>
    </w:p>
    <w:p w:rsidR="00060460" w:rsidRDefault="00060460" w:rsidP="00060460">
      <w:pPr>
        <w:pStyle w:val="StandardWeb"/>
      </w:pPr>
      <w:r>
        <w:t>Ein erweitertes FRZK kann zusätzliche mathematische und empirische Strukturen enthalten:</w:t>
      </w:r>
    </w:p>
    <w:p w:rsidR="00060460" w:rsidRDefault="00060460" w:rsidP="00060460">
      <w:pPr>
        <w:pStyle w:val="berschrift1"/>
      </w:pPr>
      <w:r>
        <w:t>[</w:t>
      </w:r>
      <w:r>
        <w:br/>
        <w:t>\mathfrak{F}_{\mathrm{RZK}}^{+}</w:t>
      </w:r>
    </w:p>
    <w:p w:rsidR="00060460" w:rsidRDefault="00060460" w:rsidP="00060460">
      <w:pPr>
        <w:pStyle w:val="StandardWeb"/>
      </w:pPr>
      <w:r>
        <w:t>\left(</w:t>
      </w:r>
      <w:r>
        <w:br/>
        <w:t>\mathfrak{F}</w:t>
      </w:r>
      <w:r>
        <w:rPr>
          <w:rStyle w:val="Hervorhebung"/>
        </w:rPr>
        <w:t>{\mathrm{RZK}},</w:t>
      </w:r>
      <w:r>
        <w:rPr>
          <w:i/>
          <w:iCs/>
        </w:rPr>
        <w:br/>
      </w:r>
      <w:r>
        <w:rPr>
          <w:rStyle w:val="Hervorhebung"/>
        </w:rPr>
        <w:t>\mathfrak{M}</w:t>
      </w:r>
      <w:r>
        <w:t>{F},</w:t>
      </w:r>
      <w:r>
        <w:br/>
        <w:t>\mathfrak{P}</w:t>
      </w:r>
      <w:r>
        <w:rPr>
          <w:rStyle w:val="Hervorhebung"/>
        </w:rPr>
        <w:t>{F},</w:t>
      </w:r>
      <w:r>
        <w:rPr>
          <w:i/>
          <w:iCs/>
        </w:rPr>
        <w:br/>
      </w:r>
      <w:r>
        <w:rPr>
          <w:rStyle w:val="Hervorhebung"/>
        </w:rPr>
        <w:t>\mathfrak{A}</w:t>
      </w:r>
      <w:r>
        <w:t>{F},</w:t>
      </w:r>
      <w:r>
        <w:br/>
        <w:t>\mathfrak{V}_{F}</w:t>
      </w:r>
      <w:r>
        <w:br/>
        <w:t>\right).</w:t>
      </w:r>
      <w:r>
        <w:br/>
        <w:t>\tag{3.4325}</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\mathfrak{F}_{\mathrm{RZK}}^{+}=\left(\mathfrak{F}_{\mathrm{RZK}},\mathfrak{M}_{F},\mathfrak{P}_{F},\mathfrak{A}_{F},\mathfrak{V}_{F}\right)\qquad\text{(3.4325)}</w:t>
      </w:r>
    </w:p>
    <w:p w:rsidR="00060460" w:rsidRDefault="00060460" w:rsidP="00060460">
      <w:pPr>
        <w:pStyle w:val="StandardWeb"/>
      </w:pPr>
      <w:r>
        <w:lastRenderedPageBreak/>
        <w:t>Dabei können beispielsweise bezeichnet werden:</w:t>
      </w:r>
    </w:p>
    <w:p w:rsidR="00060460" w:rsidRDefault="00060460" w:rsidP="00632D23">
      <w:pPr>
        <w:pStyle w:val="StandardWeb"/>
        <w:numPr>
          <w:ilvl w:val="0"/>
          <w:numId w:val="79"/>
        </w:numPr>
      </w:pPr>
      <w:r>
        <w:t>(\mathfrak{M}_{F}): metrische und topologische Erweiterungen,</w:t>
      </w:r>
    </w:p>
    <w:p w:rsidR="00060460" w:rsidRDefault="00060460" w:rsidP="00632D23">
      <w:pPr>
        <w:pStyle w:val="StandardWeb"/>
        <w:numPr>
          <w:ilvl w:val="0"/>
          <w:numId w:val="79"/>
        </w:numPr>
      </w:pPr>
      <w:r>
        <w:t>(\mathfrak{P}_{F}): physikalische oder empirische Kalibrierungen,</w:t>
      </w:r>
    </w:p>
    <w:p w:rsidR="00060460" w:rsidRDefault="00060460" w:rsidP="00632D23">
      <w:pPr>
        <w:pStyle w:val="StandardWeb"/>
        <w:numPr>
          <w:ilvl w:val="0"/>
          <w:numId w:val="79"/>
        </w:numPr>
      </w:pPr>
      <w:r>
        <w:t>(\mathfrak{A}_{F}): Analyse- und Auswertungsoperatoren,</w:t>
      </w:r>
    </w:p>
    <w:p w:rsidR="00060460" w:rsidRDefault="00060460" w:rsidP="00632D23">
      <w:pPr>
        <w:pStyle w:val="StandardWeb"/>
        <w:numPr>
          <w:ilvl w:val="0"/>
          <w:numId w:val="79"/>
        </w:numPr>
      </w:pPr>
      <w:r>
        <w:t>(\mathfrak{V}_{F}): Validierungs- und Vergleichsverfahren.</w:t>
      </w:r>
    </w:p>
    <w:p w:rsidR="00060460" w:rsidRDefault="00060460" w:rsidP="00060460">
      <w:pPr>
        <w:pStyle w:val="StandardWeb"/>
      </w:pPr>
      <w:r>
        <w:t>Diese Erweiterungen gehören nicht zur elementaren Definition des FRZK. Sie müssen jeweils separat eingeführt und begründet werden.</w:t>
      </w:r>
    </w:p>
    <w:p w:rsidR="00060460" w:rsidRPr="00AF32B2" w:rsidRDefault="00060460" w:rsidP="00AF32B2">
      <w:pPr>
        <w:pStyle w:val="berschrift4"/>
      </w:pPr>
      <w:r w:rsidRPr="00AF32B2">
        <w:t>3.3.18.11 Typverträglichkeit der Systemkomponenten</w:t>
      </w:r>
    </w:p>
    <w:p w:rsidR="00060460" w:rsidRDefault="00060460" w:rsidP="00060460">
      <w:pPr>
        <w:pStyle w:val="StandardWeb"/>
      </w:pPr>
      <w:r>
        <w:t>Die Systemkomponenten müssen mathematisch kompatible Definitions- und Wertebereiche besitzen.</w:t>
      </w:r>
    </w:p>
    <w:p w:rsidR="00060460" w:rsidRDefault="00060460" w:rsidP="00060460">
      <w:pPr>
        <w:pStyle w:val="StandardWeb"/>
      </w:pPr>
      <w:r>
        <w:t>Für funktionale Transformationen gilt</w:t>
      </w:r>
    </w:p>
    <w:p w:rsidR="00060460" w:rsidRDefault="00060460" w:rsidP="00060460">
      <w:pPr>
        <w:pStyle w:val="StandardWeb"/>
      </w:pPr>
      <w:r>
        <w:t>[</w:t>
      </w:r>
      <w:r>
        <w:br/>
        <w:t>T:</w:t>
      </w:r>
      <w:r>
        <w:br/>
        <w:t>\mathcal{S}</w:t>
      </w:r>
      <w:r>
        <w:rPr>
          <w:rStyle w:val="Hervorhebung"/>
        </w:rPr>
        <w:t>{\mathrm{el}}</w:t>
      </w:r>
      <w:r>
        <w:rPr>
          <w:i/>
          <w:iCs/>
        </w:rPr>
        <w:br/>
      </w:r>
      <w:r>
        <w:rPr>
          <w:rStyle w:val="Hervorhebung"/>
        </w:rPr>
        <w:t>\rightarrow</w:t>
      </w:r>
      <w:r>
        <w:rPr>
          <w:i/>
          <w:iCs/>
        </w:rPr>
        <w:br/>
      </w:r>
      <w:r>
        <w:rPr>
          <w:rStyle w:val="Hervorhebung"/>
        </w:rPr>
        <w:t>\mathcal{S}</w:t>
      </w:r>
      <w:r>
        <w:t>{\mathrm{el}}.</w:t>
      </w:r>
      <w:r>
        <w:br/>
        <w:t>\tag{3.4326}</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T:\mathcal{S}_{\mathrm{el}}\rightarrow\mathcal{S}_{\mathrm{el}}\qquad\text{(3.4326)}</w:t>
      </w:r>
    </w:p>
    <w:p w:rsidR="00060460" w:rsidRDefault="00060460" w:rsidP="00060460">
      <w:pPr>
        <w:pStyle w:val="StandardWeb"/>
      </w:pPr>
      <w:r>
        <w:t>Für die funktionale Zeitabbildung gilt</w:t>
      </w:r>
    </w:p>
    <w:p w:rsidR="00060460" w:rsidRDefault="00060460" w:rsidP="00060460">
      <w:pPr>
        <w:pStyle w:val="StandardWeb"/>
      </w:pPr>
      <w:r>
        <w:t>[</w:t>
      </w:r>
      <w:r>
        <w:br/>
        <w:t>\vartheta:</w:t>
      </w:r>
      <w:r>
        <w:br/>
        <w:t>\mathcal{Q}</w:t>
      </w:r>
      <w:r>
        <w:rPr>
          <w:rStyle w:val="Hervorhebung"/>
        </w:rPr>
        <w:t>{F}</w:t>
      </w:r>
      <w:r>
        <w:rPr>
          <w:i/>
          <w:iCs/>
        </w:rPr>
        <w:br/>
      </w:r>
      <w:r>
        <w:rPr>
          <w:rStyle w:val="Hervorhebung"/>
        </w:rPr>
        <w:t>\rightarrow</w:t>
      </w:r>
      <w:r>
        <w:rPr>
          <w:i/>
          <w:iCs/>
        </w:rPr>
        <w:br/>
      </w:r>
      <w:r>
        <w:rPr>
          <w:rStyle w:val="Hervorhebung"/>
        </w:rPr>
        <w:t>\mathbb{T}</w:t>
      </w:r>
      <w:r>
        <w:t>{F}.</w:t>
      </w:r>
      <w:r>
        <w:br/>
        <w:t>\tag{3.4327}</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\vartheta:\mathcal{Q}_{F}\rightarrow\mathbb{T}_{F}\qquad\text{(3.4327)}</w:t>
      </w:r>
    </w:p>
    <w:p w:rsidR="00060460" w:rsidRDefault="00060460" w:rsidP="00060460">
      <w:pPr>
        <w:pStyle w:val="StandardWeb"/>
      </w:pPr>
      <w:r>
        <w:t>Für die räumliche Relation gilt</w:t>
      </w:r>
    </w:p>
    <w:p w:rsidR="00060460" w:rsidRDefault="00060460" w:rsidP="00060460">
      <w:pPr>
        <w:pStyle w:val="StandardWeb"/>
      </w:pPr>
      <w:r>
        <w:t>[</w:t>
      </w:r>
      <w:r>
        <w:br/>
        <w:t>\mathcal{R}</w:t>
      </w:r>
      <w:r>
        <w:rPr>
          <w:rStyle w:val="Hervorhebung"/>
        </w:rPr>
        <w:t>{\mathrm{sp}}</w:t>
      </w:r>
      <w:r>
        <w:rPr>
          <w:i/>
          <w:iCs/>
        </w:rPr>
        <w:br/>
      </w:r>
      <w:r>
        <w:rPr>
          <w:rStyle w:val="Hervorhebung"/>
        </w:rPr>
        <w:t>\subseteq</w:t>
      </w:r>
      <w:r>
        <w:rPr>
          <w:i/>
          <w:iCs/>
        </w:rPr>
        <w:br/>
      </w:r>
      <w:r>
        <w:rPr>
          <w:rStyle w:val="Hervorhebung"/>
        </w:rPr>
        <w:t>\mathcal{Q}</w:t>
      </w:r>
      <w:r>
        <w:t>{F}</w:t>
      </w:r>
      <w:r>
        <w:br/>
        <w:t>\times</w:t>
      </w:r>
      <w:r>
        <w:br/>
      </w:r>
      <w:r>
        <w:lastRenderedPageBreak/>
        <w:t>\mathcal{Q}_{F}.</w:t>
      </w:r>
      <w:r>
        <w:br/>
        <w:t>\tag{3.4328}</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\mathcal{R}_{\mathrm{sp}}\subseteq\mathcal{Q}_{F}\times\mathcal{Q}_{F}\qquad\text{(3.4328)}</w:t>
      </w:r>
    </w:p>
    <w:p w:rsidR="00060460" w:rsidRDefault="00060460" w:rsidP="00060460">
      <w:pPr>
        <w:pStyle w:val="StandardWeb"/>
      </w:pPr>
      <w:r>
        <w:t>Für die Kopplungsrelation gilt</w:t>
      </w:r>
    </w:p>
    <w:p w:rsidR="00060460" w:rsidRDefault="00060460" w:rsidP="00060460">
      <w:pPr>
        <w:pStyle w:val="StandardWeb"/>
      </w:pPr>
      <w:r>
        <w:t>[</w:t>
      </w:r>
      <w:r>
        <w:br/>
        <w:t>\mathcal{K}</w:t>
      </w:r>
      <w:r>
        <w:rPr>
          <w:rStyle w:val="Hervorhebung"/>
        </w:rPr>
        <w:t>{XT}</w:t>
      </w:r>
      <w:r>
        <w:rPr>
          <w:i/>
          <w:iCs/>
        </w:rPr>
        <w:br/>
      </w:r>
      <w:r>
        <w:rPr>
          <w:rStyle w:val="Hervorhebung"/>
        </w:rPr>
        <w:t>\subseteq</w:t>
      </w:r>
      <w:r>
        <w:rPr>
          <w:i/>
          <w:iCs/>
        </w:rPr>
        <w:br/>
      </w:r>
      <w:r>
        <w:rPr>
          <w:rStyle w:val="Hervorhebung"/>
        </w:rPr>
        <w:t>\mathcal{Z}</w:t>
      </w:r>
      <w:r>
        <w:t>{F}</w:t>
      </w:r>
      <w:r>
        <w:br/>
        <w:t>\times</w:t>
      </w:r>
      <w:r>
        <w:br/>
        <w:t>\mathcal{Z}_{F}.</w:t>
      </w:r>
      <w:r>
        <w:br/>
        <w:t>\tag{3.4329}</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\mathcal{K}_{XT}\subseteq\mathcal{Z}_{F}\times\mathcal{Z}_{F}\qquad\text{(3.4329)}</w:t>
      </w:r>
    </w:p>
    <w:p w:rsidR="00060460" w:rsidRDefault="00060460" w:rsidP="00060460">
      <w:pPr>
        <w:pStyle w:val="StandardWeb"/>
      </w:pPr>
      <w:r>
        <w:t>Eine Systemdefinition ist unzulässig, wenn diese Bereiche ohne eine ausdrücklich definierte Abbildung miteinander vermischt werden.</w:t>
      </w:r>
    </w:p>
    <w:p w:rsidR="00060460" w:rsidRDefault="00060460" w:rsidP="00060460">
      <w:pPr>
        <w:pStyle w:val="StandardWeb"/>
      </w:pPr>
      <w:r>
        <w:rPr>
          <w:rStyle w:val="Fett"/>
        </w:rPr>
        <w:t>Eigenleistung des FRZK</w:t>
      </w:r>
    </w:p>
    <w:p w:rsidR="00060460" w:rsidRDefault="00060460" w:rsidP="00060460">
      <w:pPr>
        <w:pStyle w:val="StandardWeb"/>
      </w:pPr>
      <w:r>
        <w:t>Ich mache Typverträglichkeit zu einer verbindlichen methodischen Bedingung des FRZK. Dadurch soll verhindert werden, dass Zustände, Zustandsklassen, Zeitwerte, räumliche Koordinaten oder empirische Messwerte stillschweigend gleichgesetzt werden.</w:t>
      </w:r>
    </w:p>
    <w:p w:rsidR="00060460" w:rsidRPr="00AF32B2" w:rsidRDefault="00060460" w:rsidP="00AF32B2">
      <w:pPr>
        <w:pStyle w:val="berschrift4"/>
      </w:pPr>
      <w:r w:rsidRPr="00AF32B2">
        <w:t>3.3.18.12 Systeminterne Abhängigkeiten</w:t>
      </w:r>
    </w:p>
    <w:p w:rsidR="00060460" w:rsidRDefault="00060460" w:rsidP="00060460">
      <w:pPr>
        <w:pStyle w:val="StandardWeb"/>
      </w:pPr>
      <w:r>
        <w:t>Die Teilstrukturen des FRZK stehen in einer gerichteten Abhängigkeitsordnung.</w:t>
      </w:r>
    </w:p>
    <w:p w:rsidR="00060460" w:rsidRDefault="00060460" w:rsidP="00060460">
      <w:pPr>
        <w:pStyle w:val="StandardWeb"/>
      </w:pPr>
      <w:r>
        <w:t>Die Basisstruktur ermöglicht Entwicklungen:</w:t>
      </w:r>
    </w:p>
    <w:p w:rsidR="00060460" w:rsidRDefault="00060460" w:rsidP="00060460">
      <w:pPr>
        <w:pStyle w:val="StandardWeb"/>
      </w:pPr>
      <w:r>
        <w:t>[</w:t>
      </w:r>
      <w:r>
        <w:br/>
        <w:t>\mathfrak{B}</w:t>
      </w:r>
      <w:r>
        <w:rPr>
          <w:rStyle w:val="Hervorhebung"/>
        </w:rPr>
        <w:t>{F}</w:t>
      </w:r>
      <w:r>
        <w:rPr>
          <w:i/>
          <w:iCs/>
        </w:rPr>
        <w:br/>
      </w:r>
      <w:r>
        <w:rPr>
          <w:rStyle w:val="Hervorhebung"/>
        </w:rPr>
        <w:t>\longrightarrow</w:t>
      </w:r>
      <w:r>
        <w:rPr>
          <w:i/>
          <w:iCs/>
        </w:rPr>
        <w:br/>
      </w:r>
      <w:r>
        <w:rPr>
          <w:rStyle w:val="Hervorhebung"/>
        </w:rPr>
        <w:t>\mathfrak{E}</w:t>
      </w:r>
      <w:r>
        <w:t>{F}.</w:t>
      </w:r>
      <w:r>
        <w:br/>
        <w:t>\tag{3.4330}</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\mathfrak{B}_{F}\longrightarrow\mathfrak{E}_{F}\qquad\text{(3.4330)}</w:t>
      </w:r>
    </w:p>
    <w:p w:rsidR="00060460" w:rsidRDefault="00060460" w:rsidP="00060460">
      <w:pPr>
        <w:pStyle w:val="StandardWeb"/>
      </w:pPr>
      <w:r>
        <w:t>Entwicklungen ermöglichen Erreichbarkeit und Ordnung:</w:t>
      </w:r>
    </w:p>
    <w:p w:rsidR="00060460" w:rsidRDefault="00060460" w:rsidP="00060460">
      <w:pPr>
        <w:pStyle w:val="StandardWeb"/>
      </w:pPr>
      <w:r>
        <w:lastRenderedPageBreak/>
        <w:t>[</w:t>
      </w:r>
      <w:r>
        <w:br/>
        <w:t>\mathfrak{E}</w:t>
      </w:r>
      <w:r>
        <w:rPr>
          <w:rStyle w:val="Hervorhebung"/>
        </w:rPr>
        <w:t>{F}</w:t>
      </w:r>
      <w:r>
        <w:rPr>
          <w:i/>
          <w:iCs/>
        </w:rPr>
        <w:br/>
      </w:r>
      <w:r>
        <w:rPr>
          <w:rStyle w:val="Hervorhebung"/>
        </w:rPr>
        <w:t>\longrightarrow</w:t>
      </w:r>
      <w:r>
        <w:rPr>
          <w:i/>
          <w:iCs/>
        </w:rPr>
        <w:br/>
      </w:r>
      <w:r>
        <w:rPr>
          <w:rStyle w:val="Hervorhebung"/>
        </w:rPr>
        <w:t>\mathfrak{O}</w:t>
      </w:r>
      <w:r>
        <w:t>{F}.</w:t>
      </w:r>
      <w:r>
        <w:br/>
        <w:t>\tag{3.4331}</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\mathfrak{E}_{F}\longrightarrow\mathfrak{O}_{F}\qquad\text{(3.4331)}</w:t>
      </w:r>
    </w:p>
    <w:p w:rsidR="00060460" w:rsidRDefault="00060460" w:rsidP="00060460">
      <w:pPr>
        <w:pStyle w:val="StandardWeb"/>
      </w:pPr>
      <w:r>
        <w:t>Die Ordnungsstruktur ermöglicht funktionale Zeit:</w:t>
      </w:r>
    </w:p>
    <w:p w:rsidR="00060460" w:rsidRDefault="00060460" w:rsidP="00060460">
      <w:pPr>
        <w:pStyle w:val="StandardWeb"/>
      </w:pPr>
      <w:r>
        <w:t>[</w:t>
      </w:r>
      <w:r>
        <w:br/>
        <w:t>\mathfrak{O}</w:t>
      </w:r>
      <w:r>
        <w:rPr>
          <w:rStyle w:val="Hervorhebung"/>
        </w:rPr>
        <w:t>{F}</w:t>
      </w:r>
      <w:r>
        <w:rPr>
          <w:i/>
          <w:iCs/>
        </w:rPr>
        <w:br/>
      </w:r>
      <w:r>
        <w:rPr>
          <w:rStyle w:val="Hervorhebung"/>
        </w:rPr>
        <w:t>\longrightarrow</w:t>
      </w:r>
      <w:r>
        <w:rPr>
          <w:i/>
          <w:iCs/>
        </w:rPr>
        <w:br/>
      </w:r>
      <w:r>
        <w:rPr>
          <w:rStyle w:val="Hervorhebung"/>
        </w:rPr>
        <w:t>\mathfrak{T}</w:t>
      </w:r>
      <w:r>
        <w:t>{F}.</w:t>
      </w:r>
      <w:r>
        <w:br/>
        <w:t>\tag{3.4332}</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\mathfrak{O}_{F}\longrightarrow\mathfrak{T}_{F}\qquad\text{(3.4332)}</w:t>
      </w:r>
    </w:p>
    <w:p w:rsidR="00060460" w:rsidRDefault="00060460" w:rsidP="00060460">
      <w:pPr>
        <w:pStyle w:val="StandardWeb"/>
      </w:pPr>
      <w:r>
        <w:t>Räumlich interpretierte Relationen ermöglichen funktionalen Raum:</w:t>
      </w:r>
    </w:p>
    <w:p w:rsidR="00060460" w:rsidRDefault="00060460" w:rsidP="00060460">
      <w:pPr>
        <w:pStyle w:val="StandardWeb"/>
      </w:pPr>
      <w:r>
        <w:t>[</w:t>
      </w:r>
      <w:r>
        <w:br/>
        <w:t>\mathfrak{B}</w:t>
      </w:r>
      <w:r>
        <w:rPr>
          <w:rStyle w:val="Hervorhebung"/>
        </w:rPr>
        <w:t>{F}</w:t>
      </w:r>
      <w:r>
        <w:rPr>
          <w:i/>
          <w:iCs/>
        </w:rPr>
        <w:br/>
      </w:r>
      <w:r>
        <w:rPr>
          <w:rStyle w:val="Hervorhebung"/>
        </w:rPr>
        <w:t>\longrightarrow</w:t>
      </w:r>
      <w:r>
        <w:rPr>
          <w:i/>
          <w:iCs/>
        </w:rPr>
        <w:br/>
      </w:r>
      <w:r>
        <w:rPr>
          <w:rStyle w:val="Hervorhebung"/>
        </w:rPr>
        <w:t>\mathfrak{X}</w:t>
      </w:r>
      <w:r>
        <w:t>{F}.</w:t>
      </w:r>
      <w:r>
        <w:br/>
        <w:t>\tag{3.4333}</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\mathfrak{B}_{F}\longrightarrow\mathfrak{X}_{F}\qquad\text{(3.4333)}</w:t>
      </w:r>
    </w:p>
    <w:p w:rsidR="00060460" w:rsidRDefault="00060460" w:rsidP="00060460">
      <w:pPr>
        <w:pStyle w:val="StandardWeb"/>
      </w:pPr>
      <w:r>
        <w:t>Raum und Zeit ermöglichen die Kopplungsstruktur:</w:t>
      </w:r>
    </w:p>
    <w:p w:rsidR="00060460" w:rsidRDefault="00060460" w:rsidP="00060460">
      <w:pPr>
        <w:pStyle w:val="StandardWeb"/>
      </w:pPr>
      <w:r>
        <w:t>[</w:t>
      </w:r>
      <w:r>
        <w:br/>
        <w:t>\left(</w:t>
      </w:r>
      <w:r>
        <w:br/>
        <w:t>\mathfrak{X}</w:t>
      </w:r>
      <w:r>
        <w:rPr>
          <w:rStyle w:val="Hervorhebung"/>
        </w:rPr>
        <w:t>{F},</w:t>
      </w:r>
      <w:r>
        <w:rPr>
          <w:i/>
          <w:iCs/>
        </w:rPr>
        <w:br/>
      </w:r>
      <w:r>
        <w:rPr>
          <w:rStyle w:val="Hervorhebung"/>
        </w:rPr>
        <w:t>\mathfrak{T}</w:t>
      </w:r>
      <w:r>
        <w:t>{F}</w:t>
      </w:r>
      <w:r>
        <w:br/>
        <w:t>\right)</w:t>
      </w:r>
      <w:r>
        <w:br/>
        <w:t>\longrightarrow</w:t>
      </w:r>
      <w:r>
        <w:br/>
        <w:t>\mathfrak{K}_{XT}.</w:t>
      </w:r>
      <w:r>
        <w:br/>
        <w:t>\tag{3.4334}</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lastRenderedPageBreak/>
        <w:t>\left(\mathfrak{X}_{F},\mathfrak{T}_{F}\right)\longrightarrow\mathfrak{K}_{XT}\qquad\text{(3.4334)}</w:t>
      </w:r>
    </w:p>
    <w:p w:rsidR="00060460" w:rsidRDefault="00060460" w:rsidP="00060460">
      <w:pPr>
        <w:pStyle w:val="StandardWeb"/>
      </w:pPr>
      <w:r>
        <w:t>Die Kohärenzstruktur kann sämtliche Ebenen prüfen:</w:t>
      </w:r>
    </w:p>
    <w:p w:rsidR="00060460" w:rsidRDefault="00060460" w:rsidP="00060460">
      <w:pPr>
        <w:pStyle w:val="StandardWeb"/>
      </w:pPr>
      <w:r>
        <w:t>[</w:t>
      </w:r>
      <w:r>
        <w:br/>
        <w:t>\mathfrak{C}</w:t>
      </w:r>
      <w:r>
        <w:rPr>
          <w:rStyle w:val="Hervorhebung"/>
        </w:rPr>
        <w:t>{F}</w:t>
      </w:r>
      <w:r>
        <w:rPr>
          <w:i/>
          <w:iCs/>
        </w:rPr>
        <w:br/>
      </w:r>
      <w:r>
        <w:rPr>
          <w:rStyle w:val="Hervorhebung"/>
        </w:rPr>
        <w:t>:</w:t>
      </w:r>
      <w:r>
        <w:rPr>
          <w:i/>
          <w:iCs/>
        </w:rPr>
        <w:br/>
      </w:r>
      <w:r>
        <w:rPr>
          <w:rStyle w:val="Hervorhebung"/>
        </w:rPr>
        <w:t>\left{</w:t>
      </w:r>
      <w:r>
        <w:rPr>
          <w:i/>
          <w:iCs/>
        </w:rPr>
        <w:br/>
      </w:r>
      <w:r>
        <w:rPr>
          <w:rStyle w:val="Hervorhebung"/>
        </w:rPr>
        <w:t>\mathfrak{B}</w:t>
      </w:r>
      <w:r>
        <w:t>{F},</w:t>
      </w:r>
      <w:r>
        <w:br/>
        <w:t>\mathfrak{E}</w:t>
      </w:r>
      <w:r>
        <w:rPr>
          <w:rStyle w:val="Hervorhebung"/>
        </w:rPr>
        <w:t>{F},</w:t>
      </w:r>
      <w:r>
        <w:rPr>
          <w:i/>
          <w:iCs/>
        </w:rPr>
        <w:br/>
      </w:r>
      <w:r>
        <w:rPr>
          <w:rStyle w:val="Hervorhebung"/>
        </w:rPr>
        <w:t>\mathfrak{O}</w:t>
      </w:r>
      <w:r>
        <w:t>{F},</w:t>
      </w:r>
      <w:r>
        <w:br/>
        <w:t>\mathfrak{X}</w:t>
      </w:r>
      <w:r>
        <w:rPr>
          <w:rStyle w:val="Hervorhebung"/>
        </w:rPr>
        <w:t>{F},</w:t>
      </w:r>
      <w:r>
        <w:rPr>
          <w:i/>
          <w:iCs/>
        </w:rPr>
        <w:br/>
      </w:r>
      <w:r>
        <w:rPr>
          <w:rStyle w:val="Hervorhebung"/>
        </w:rPr>
        <w:t>\mathfrak{T}</w:t>
      </w:r>
      <w:r>
        <w:t>{F},</w:t>
      </w:r>
      <w:r>
        <w:br/>
        <w:t>\mathfrak{K}_{XT}</w:t>
      </w:r>
      <w:r>
        <w:br/>
        <w:t>\right}</w:t>
      </w:r>
      <w:r>
        <w:br/>
        <w:t>\rightarrow</w:t>
      </w:r>
      <w:r>
        <w:br/>
        <w:t>{0,1}.</w:t>
      </w:r>
      <w:r>
        <w:br/>
        <w:t>\tag{3.4335}</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\mathfrak{C}_{F}:\left\{\mathfrak{B}_{F},\mathfrak{E}_{F},\mathfrak{O}_{F},\mathfrak{X}_{F},\mathfrak{T}_{F},\mathfrak{K}_{XT}\right\}\rightarrow\{0,1\}\qquad\text{(3.4335)}</w:t>
      </w:r>
    </w:p>
    <w:p w:rsidR="00060460" w:rsidRDefault="00060460" w:rsidP="00060460">
      <w:pPr>
        <w:pStyle w:val="StandardWeb"/>
      </w:pPr>
      <w:r>
        <w:t>Diese Pfeile bezeichnen strukturelle Abhängigkeiten und keine zeitlichen oder kausalen Prozesse.</w:t>
      </w:r>
    </w:p>
    <w:p w:rsidR="00060460" w:rsidRPr="00AF32B2" w:rsidRDefault="00060460" w:rsidP="00AF32B2">
      <w:pPr>
        <w:pStyle w:val="berschrift4"/>
      </w:pPr>
      <w:r w:rsidRPr="00AF32B2">
        <w:t>3.3.18.13 Systemkohärenz</w:t>
      </w:r>
    </w:p>
    <w:p w:rsidR="00060460" w:rsidRDefault="00060460" w:rsidP="00060460">
      <w:pPr>
        <w:pStyle w:val="StandardWeb"/>
      </w:pPr>
      <w:r>
        <w:t>Das FRZK ist systemkohärent bezüglich einer Bedingungsmenge (\mathcal{C}_{\mathrm{sys}}), wenn sämtliche verbindlichen Systembedingungen erfüllt sind:</w:t>
      </w:r>
    </w:p>
    <w:p w:rsidR="00060460" w:rsidRDefault="00060460" w:rsidP="00060460">
      <w:pPr>
        <w:pStyle w:val="berschrift1"/>
      </w:pPr>
      <w:r>
        <w:t>[</w:t>
      </w:r>
      <w:r>
        <w:br/>
        <w:t>\operatorname{Koh}</w:t>
      </w:r>
      <w:r>
        <w:rPr>
          <w:rStyle w:val="Hervorhebung"/>
        </w:rPr>
        <w:t>{\mathrm{sys}}</w:t>
      </w:r>
      <w:r>
        <w:rPr>
          <w:i/>
          <w:iCs/>
        </w:rPr>
        <w:br/>
      </w:r>
      <w:r>
        <w:rPr>
          <w:rStyle w:val="Hervorhebung"/>
        </w:rPr>
        <w:t>\left(</w:t>
      </w:r>
      <w:r>
        <w:rPr>
          <w:i/>
          <w:iCs/>
        </w:rPr>
        <w:br/>
      </w:r>
      <w:r>
        <w:rPr>
          <w:rStyle w:val="Hervorhebung"/>
        </w:rPr>
        <w:t>\mathfrak{F}</w:t>
      </w:r>
      <w:r>
        <w:t>{\mathrm{RZK}}</w:t>
      </w:r>
      <w:r>
        <w:br/>
        <w:t>\right)</w:t>
      </w:r>
    </w:p>
    <w:p w:rsidR="00060460" w:rsidRDefault="00060460" w:rsidP="00060460">
      <w:pPr>
        <w:pStyle w:val="berschrift1"/>
      </w:pPr>
      <w:r>
        <w:t>1</w:t>
      </w:r>
      <w:r>
        <w:br/>
        <w:t>\iff</w:t>
      </w:r>
      <w:r>
        <w:br/>
        <w:t>\forall C_r\in\mathcal{C}</w:t>
      </w:r>
      <w:r>
        <w:rPr>
          <w:rStyle w:val="Hervorhebung"/>
        </w:rPr>
        <w:t>{\mathrm{sys}}:</w:t>
      </w:r>
      <w:r>
        <w:rPr>
          <w:i/>
          <w:iCs/>
        </w:rPr>
        <w:br/>
      </w:r>
      <w:r>
        <w:rPr>
          <w:rStyle w:val="Hervorhebung"/>
        </w:rPr>
        <w:t>C_r</w:t>
      </w:r>
      <w:r>
        <w:rPr>
          <w:i/>
          <w:iCs/>
        </w:rPr>
        <w:br/>
      </w:r>
      <w:r>
        <w:rPr>
          <w:rStyle w:val="Hervorhebung"/>
        </w:rPr>
        <w:lastRenderedPageBreak/>
        <w:t>\left(</w:t>
      </w:r>
      <w:r>
        <w:rPr>
          <w:i/>
          <w:iCs/>
        </w:rPr>
        <w:br/>
      </w:r>
      <w:r>
        <w:rPr>
          <w:rStyle w:val="Hervorhebung"/>
        </w:rPr>
        <w:t>\mathfrak{F}</w:t>
      </w:r>
      <w:r>
        <w:t>{\mathrm{RZK}}</w:t>
      </w:r>
      <w:r>
        <w:br/>
        <w:t>\right)</w:t>
      </w:r>
    </w:p>
    <w:p w:rsidR="00060460" w:rsidRDefault="00060460" w:rsidP="00632D23">
      <w:pPr>
        <w:numPr>
          <w:ilvl w:val="0"/>
          <w:numId w:val="80"/>
        </w:numPr>
        <w:spacing w:before="100" w:beforeAutospacing="1" w:after="100" w:afterAutospacing="1"/>
      </w:pPr>
    </w:p>
    <w:p w:rsidR="00060460" w:rsidRDefault="00060460" w:rsidP="00060460">
      <w:pPr>
        <w:pStyle w:val="StandardWeb"/>
      </w:pPr>
      <w:r>
        <w:t>\tag{3.4336}</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\operatorname{Koh}_{\mathrm{sys}}\left(\mathfrak{F}_{\mathrm{RZK}}\right)=1\iff\forall C_r\in\mathcal{C}_{\mathrm{sys}}:C_r\left(\mathfrak{F}_{\mathrm{RZK}}\right)=1\qquad\text{(3.4336)}</w:t>
      </w:r>
    </w:p>
    <w:p w:rsidR="00060460" w:rsidRDefault="00060460" w:rsidP="00060460">
      <w:pPr>
        <w:pStyle w:val="StandardWeb"/>
      </w:pPr>
      <w:r>
        <w:t>Zu den Systembedingungen können insbesondere gehören:</w:t>
      </w:r>
    </w:p>
    <w:p w:rsidR="00060460" w:rsidRDefault="00060460" w:rsidP="00632D23">
      <w:pPr>
        <w:pStyle w:val="StandardWeb"/>
        <w:numPr>
          <w:ilvl w:val="0"/>
          <w:numId w:val="81"/>
        </w:numPr>
      </w:pPr>
      <w:r>
        <w:t>Typverträglichkeit,</w:t>
      </w:r>
    </w:p>
    <w:p w:rsidR="00060460" w:rsidRDefault="00060460" w:rsidP="00632D23">
      <w:pPr>
        <w:pStyle w:val="StandardWeb"/>
        <w:numPr>
          <w:ilvl w:val="0"/>
          <w:numId w:val="81"/>
        </w:numPr>
      </w:pPr>
      <w:r>
        <w:t>wohldefinierte Transformationen,</w:t>
      </w:r>
    </w:p>
    <w:p w:rsidR="00060460" w:rsidRDefault="00060460" w:rsidP="00632D23">
      <w:pPr>
        <w:pStyle w:val="StandardWeb"/>
        <w:numPr>
          <w:ilvl w:val="0"/>
          <w:numId w:val="81"/>
        </w:numPr>
      </w:pPr>
      <w:r>
        <w:t>wohldefinierte Äquivalenzklassen,</w:t>
      </w:r>
    </w:p>
    <w:p w:rsidR="00060460" w:rsidRDefault="00060460" w:rsidP="00632D23">
      <w:pPr>
        <w:pStyle w:val="StandardWeb"/>
        <w:numPr>
          <w:ilvl w:val="0"/>
          <w:numId w:val="81"/>
        </w:numPr>
      </w:pPr>
      <w:r>
        <w:t>Ordnungsverträglichkeit der Zeitabbildung,</w:t>
      </w:r>
    </w:p>
    <w:p w:rsidR="00060460" w:rsidRDefault="00060460" w:rsidP="00632D23">
      <w:pPr>
        <w:pStyle w:val="StandardWeb"/>
        <w:numPr>
          <w:ilvl w:val="0"/>
          <w:numId w:val="81"/>
        </w:numPr>
      </w:pPr>
      <w:r>
        <w:t>Verträglichkeit räumlicher Relationen,</w:t>
      </w:r>
    </w:p>
    <w:p w:rsidR="00060460" w:rsidRDefault="00060460" w:rsidP="00632D23">
      <w:pPr>
        <w:pStyle w:val="StandardWeb"/>
        <w:numPr>
          <w:ilvl w:val="0"/>
          <w:numId w:val="81"/>
        </w:numPr>
      </w:pPr>
      <w:r>
        <w:t>definierte Raum-Zeit-Kopplung,</w:t>
      </w:r>
    </w:p>
    <w:p w:rsidR="00060460" w:rsidRDefault="00060460" w:rsidP="00632D23">
      <w:pPr>
        <w:pStyle w:val="StandardWeb"/>
        <w:numPr>
          <w:ilvl w:val="0"/>
          <w:numId w:val="81"/>
        </w:numPr>
      </w:pPr>
      <w:r>
        <w:t>Widerspruchsfreiheit der verwendeten Bedingungen.</w:t>
      </w:r>
    </w:p>
    <w:p w:rsidR="00060460" w:rsidRDefault="00060460" w:rsidP="00060460">
      <w:pPr>
        <w:pStyle w:val="StandardWeb"/>
      </w:pPr>
      <w:r>
        <w:t>Ein Systemkohärenzgrad kann durch</w:t>
      </w:r>
    </w:p>
    <w:p w:rsidR="00060460" w:rsidRDefault="00060460" w:rsidP="00060460">
      <w:pPr>
        <w:pStyle w:val="berschrift1"/>
      </w:pPr>
      <w:r>
        <w:t>[</w:t>
      </w:r>
      <w:r>
        <w:br/>
        <w:t>K_{\mathrm{sys}}</w:t>
      </w:r>
    </w:p>
    <w:p w:rsidR="00060460" w:rsidRDefault="00060460" w:rsidP="00060460">
      <w:pPr>
        <w:pStyle w:val="StandardWeb"/>
      </w:pPr>
      <w:r>
        <w:t>\frac{1}{m}</w:t>
      </w:r>
      <w:r>
        <w:br/>
        <w:t>\sum_{r=1}^{m}</w:t>
      </w:r>
      <w:r>
        <w:br/>
        <w:t>C_r</w:t>
      </w:r>
      <w:r>
        <w:br/>
        <w:t>\left(</w:t>
      </w:r>
      <w:r>
        <w:br/>
        <w:t>\mathfrak{F}_{\mathrm{RZK}}</w:t>
      </w:r>
      <w:r>
        <w:br/>
        <w:t>\right)</w:t>
      </w:r>
      <w:r>
        <w:br/>
        <w:t>\tag{3.4337}</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K_{\mathrm{sys}}=\frac{1}{m}\sum_{r=1}^{m}C_r\left(\mathfrak{F}_{\mathrm{RZK}}\right)\qquad\text{(3.4337)}</w:t>
      </w:r>
    </w:p>
    <w:p w:rsidR="00060460" w:rsidRDefault="00060460" w:rsidP="00060460">
      <w:pPr>
        <w:pStyle w:val="StandardWeb"/>
      </w:pPr>
      <w:r>
        <w:t>bestimmt werden.</w:t>
      </w:r>
    </w:p>
    <w:p w:rsidR="00060460" w:rsidRDefault="00060460" w:rsidP="00060460">
      <w:pPr>
        <w:pStyle w:val="StandardWeb"/>
      </w:pPr>
      <w:r>
        <w:t>Dabei gilt</w:t>
      </w:r>
    </w:p>
    <w:p w:rsidR="00060460" w:rsidRDefault="00060460" w:rsidP="00060460">
      <w:pPr>
        <w:pStyle w:val="StandardWeb"/>
      </w:pPr>
      <w:r>
        <w:lastRenderedPageBreak/>
        <w:t>[</w:t>
      </w:r>
      <w:r>
        <w:br/>
        <w:t>0</w:t>
      </w:r>
      <w:r>
        <w:br/>
        <w:t>\leq</w:t>
      </w:r>
      <w:r>
        <w:br/>
        <w:t>K_{\mathrm{sys}}</w:t>
      </w:r>
      <w:r>
        <w:br/>
        <w:t>\leq</w:t>
      </w:r>
      <w:r>
        <w:br/>
        <w:t>1.</w:t>
      </w:r>
      <w:r>
        <w:br/>
        <w:t>\tag{3.4338}</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0\leq K_{\mathrm{sys}}\leq1\qquad\text{(3.4338)}</w:t>
      </w:r>
    </w:p>
    <w:p w:rsidR="00060460" w:rsidRDefault="00060460" w:rsidP="00060460">
      <w:pPr>
        <w:pStyle w:val="StandardWeb"/>
      </w:pPr>
      <w:r>
        <w:t>Der Systemkohärenzgrad ersetzt keine Einzelprüfung der Bedingungen. Er fasst lediglich deren Erfüllungsstatus quantitativ zusammen.</w:t>
      </w:r>
    </w:p>
    <w:p w:rsidR="00060460" w:rsidRPr="00AF32B2" w:rsidRDefault="00060460" w:rsidP="00AF32B2">
      <w:pPr>
        <w:pStyle w:val="berschrift4"/>
      </w:pPr>
      <w:r w:rsidRPr="00AF32B2">
        <w:t>3.3.18.14 Vollständigkeit eines FRZK-Modells</w:t>
      </w:r>
    </w:p>
    <w:p w:rsidR="00060460" w:rsidRDefault="00060460" w:rsidP="00060460">
      <w:pPr>
        <w:pStyle w:val="StandardWeb"/>
      </w:pPr>
      <w:r>
        <w:t>Ein konkretes FRZK-Modell ist strukturell vollständig, wenn für sämtliche zwingenden Komponenten konkrete Objekte angegeben wurden.</w:t>
      </w:r>
    </w:p>
    <w:p w:rsidR="00060460" w:rsidRDefault="00060460" w:rsidP="00060460">
      <w:pPr>
        <w:pStyle w:val="StandardWeb"/>
      </w:pPr>
      <w:r>
        <w:t>Ich definiere das Vollständigkeitsprädikat</w:t>
      </w:r>
    </w:p>
    <w:p w:rsidR="00060460" w:rsidRDefault="00060460" w:rsidP="00060460">
      <w:pPr>
        <w:pStyle w:val="StandardWeb"/>
      </w:pPr>
      <w:r>
        <w:t>[</w:t>
      </w:r>
      <w:r>
        <w:br/>
        <w:t>\operatorname{Voll}</w:t>
      </w:r>
      <w:r>
        <w:rPr>
          <w:rStyle w:val="Hervorhebung"/>
        </w:rPr>
        <w:t>{F}</w:t>
      </w:r>
      <w:r>
        <w:rPr>
          <w:i/>
          <w:iCs/>
        </w:rPr>
        <w:br/>
      </w:r>
      <w:r>
        <w:rPr>
          <w:rStyle w:val="Hervorhebung"/>
        </w:rPr>
        <w:t>:</w:t>
      </w:r>
      <w:r>
        <w:rPr>
          <w:i/>
          <w:iCs/>
        </w:rPr>
        <w:br/>
      </w:r>
      <w:r>
        <w:rPr>
          <w:rStyle w:val="Hervorhebung"/>
        </w:rPr>
        <w:t>\mathfrak{F}</w:t>
      </w:r>
      <w:r>
        <w:t>{\mathrm{RZK}}</w:t>
      </w:r>
      <w:r>
        <w:br/>
        <w:t>\rightarrow</w:t>
      </w:r>
      <w:r>
        <w:br/>
        <w:t>{0,1}.</w:t>
      </w:r>
      <w:r>
        <w:br/>
        <w:t>\tag{3.4339}</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\operatorname{Voll}_{F}:\mathfrak{F}_{\mathrm{RZK}}\rightarrow\{0,1\}\qquad\text{(3.4339)}</w:t>
      </w:r>
    </w:p>
    <w:p w:rsidR="00060460" w:rsidRDefault="00060460" w:rsidP="00060460">
      <w:pPr>
        <w:pStyle w:val="StandardWeb"/>
      </w:pPr>
      <w:r>
        <w:t>Ein Modell ist vollständig, wenn</w:t>
      </w:r>
    </w:p>
    <w:p w:rsidR="00060460" w:rsidRDefault="00060460" w:rsidP="00060460">
      <w:pPr>
        <w:pStyle w:val="berschrift1"/>
      </w:pPr>
      <w:r>
        <w:t>[</w:t>
      </w:r>
      <w:r>
        <w:br/>
        <w:t>\operatorname{Voll}</w:t>
      </w:r>
      <w:r>
        <w:rPr>
          <w:rStyle w:val="Hervorhebung"/>
        </w:rPr>
        <w:t>{F}</w:t>
      </w:r>
      <w:r>
        <w:rPr>
          <w:i/>
          <w:iCs/>
        </w:rPr>
        <w:br/>
      </w:r>
      <w:r>
        <w:rPr>
          <w:rStyle w:val="Hervorhebung"/>
        </w:rPr>
        <w:t>\left(</w:t>
      </w:r>
      <w:r>
        <w:rPr>
          <w:i/>
          <w:iCs/>
        </w:rPr>
        <w:br/>
      </w:r>
      <w:r>
        <w:rPr>
          <w:rStyle w:val="Hervorhebung"/>
        </w:rPr>
        <w:t>\mathfrak{F}</w:t>
      </w:r>
      <w:r>
        <w:t>{\mathrm{RZK}}</w:t>
      </w:r>
      <w:r>
        <w:br/>
        <w:t>\right)</w:t>
      </w:r>
    </w:p>
    <w:p w:rsidR="00060460" w:rsidRDefault="00060460" w:rsidP="00632D23">
      <w:pPr>
        <w:numPr>
          <w:ilvl w:val="0"/>
          <w:numId w:val="82"/>
        </w:numPr>
        <w:spacing w:before="100" w:beforeAutospacing="1" w:after="100" w:afterAutospacing="1"/>
      </w:pPr>
    </w:p>
    <w:p w:rsidR="00060460" w:rsidRDefault="00060460" w:rsidP="00060460">
      <w:pPr>
        <w:pStyle w:val="StandardWeb"/>
      </w:pPr>
      <w:r>
        <w:lastRenderedPageBreak/>
        <w:t>\tag{3.4340}</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\operatorname{Voll}_{F}\left(\mathfrak{F}_{\mathrm{RZK}}\right)=1\qquad\text{(3.4340)}</w:t>
      </w:r>
    </w:p>
    <w:p w:rsidR="00060460" w:rsidRDefault="00060460" w:rsidP="00060460">
      <w:pPr>
        <w:pStyle w:val="StandardWeb"/>
      </w:pPr>
      <w:r>
        <w:t>Mindestens erforderlich sind:</w:t>
      </w:r>
    </w:p>
    <w:p w:rsidR="00060460" w:rsidRDefault="00060460" w:rsidP="00060460">
      <w:pPr>
        <w:pStyle w:val="StandardWeb"/>
      </w:pPr>
      <w:r>
        <w:t>[</w:t>
      </w:r>
      <w:r>
        <w:br/>
        <w:t>\mathcal{S}_{\mathrm{el}}</w:t>
      </w:r>
      <w:r>
        <w:br/>
        <w:t>\neq</w:t>
      </w:r>
      <w:r>
        <w:br/>
        <w:t>\emptyset,</w:t>
      </w:r>
      <w:r>
        <w:br/>
        <w:t>\tag{3.4341}</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\mathcal{S}_{\mathrm{el}}\neq\emptyset\qquad\text{(3.4341)}</w:t>
      </w:r>
    </w:p>
    <w:p w:rsidR="00060460" w:rsidRDefault="00060460" w:rsidP="00060460">
      <w:pPr>
        <w:pStyle w:val="StandardWeb"/>
      </w:pPr>
      <w:r>
        <w:t>[</w:t>
      </w:r>
      <w:r>
        <w:br/>
        <w:t>\mathfrak{R}_{\mathrm{f}}</w:t>
      </w:r>
      <w:r>
        <w:br/>
        <w:t>\neq</w:t>
      </w:r>
      <w:r>
        <w:br/>
        <w:t>\emptyset,</w:t>
      </w:r>
      <w:r>
        <w:br/>
        <w:t>\tag{3.4342}</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\mathfrak{R}_{\mathrm{f}}\neq\emptyset\qquad\text{(3.4342)}</w:t>
      </w:r>
    </w:p>
    <w:p w:rsidR="00060460" w:rsidRDefault="00060460" w:rsidP="00060460">
      <w:pPr>
        <w:pStyle w:val="StandardWeb"/>
      </w:pPr>
      <w:r>
        <w:t>[</w:t>
      </w:r>
      <w:r>
        <w:br/>
        <w:t>\mathfrak{T}_{\mathrm{f}}</w:t>
      </w:r>
      <w:r>
        <w:br/>
        <w:t>\neq</w:t>
      </w:r>
      <w:r>
        <w:br/>
        <w:t>\emptyset,</w:t>
      </w:r>
      <w:r>
        <w:br/>
        <w:t>\tag{3.4343}</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\mathfrak{T}_{\mathrm{f}}\neq\emptyset\qquad\text{(3.4343)}</w:t>
      </w:r>
    </w:p>
    <w:p w:rsidR="00060460" w:rsidRDefault="00060460" w:rsidP="00060460">
      <w:pPr>
        <w:pStyle w:val="StandardWeb"/>
      </w:pPr>
      <w:r>
        <w:t>sowie wohldefinierte Strukturen (\mathfrak{C}</w:t>
      </w:r>
      <w:r>
        <w:rPr>
          <w:rStyle w:val="Hervorhebung"/>
        </w:rPr>
        <w:t>{F}), (\mathfrak{X}</w:t>
      </w:r>
      <w:r>
        <w:t>{F}), (\mathfrak{T}</w:t>
      </w:r>
      <w:r>
        <w:rPr>
          <w:rStyle w:val="Hervorhebung"/>
        </w:rPr>
        <w:t>{F}) und (\mathfrak{K}</w:t>
      </w:r>
      <w:r>
        <w:t>{XT}).</w:t>
      </w:r>
    </w:p>
    <w:p w:rsidR="00060460" w:rsidRDefault="00060460" w:rsidP="00060460">
      <w:pPr>
        <w:pStyle w:val="StandardWeb"/>
      </w:pPr>
      <w:r>
        <w:t>Strukturelle Vollständigkeit bedeutet nicht empirische Bestätigung.</w:t>
      </w:r>
    </w:p>
    <w:p w:rsidR="00060460" w:rsidRPr="00AF32B2" w:rsidRDefault="00060460" w:rsidP="00AF32B2">
      <w:pPr>
        <w:pStyle w:val="berschrift4"/>
      </w:pPr>
      <w:r w:rsidRPr="00AF32B2">
        <w:t>3.3.18.15 Formale Konsistenz</w:t>
      </w:r>
    </w:p>
    <w:p w:rsidR="00060460" w:rsidRDefault="00060460" w:rsidP="00060460">
      <w:pPr>
        <w:pStyle w:val="StandardWeb"/>
      </w:pPr>
      <w:r>
        <w:t>Ein FRZK-Modell muss zusätzlich formal widerspruchsfrei sein. Dafür bezeichne ich die Menge seiner formalen Aussagen mit</w:t>
      </w:r>
    </w:p>
    <w:p w:rsidR="00060460" w:rsidRDefault="00060460" w:rsidP="00060460">
      <w:pPr>
        <w:pStyle w:val="StandardWeb"/>
      </w:pPr>
      <w:r>
        <w:lastRenderedPageBreak/>
        <w:t>[</w:t>
      </w:r>
      <w:r>
        <w:br/>
        <w:t>\mathcal{A}_{F}.</w:t>
      </w:r>
      <w:r>
        <w:br/>
        <w:t>\tag{3.4344}</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\mathcal{A}_{F}\qquad\text{(3.4344)}</w:t>
      </w:r>
    </w:p>
    <w:p w:rsidR="00060460" w:rsidRDefault="00060460" w:rsidP="00060460">
      <w:pPr>
        <w:pStyle w:val="StandardWeb"/>
      </w:pPr>
      <w:r>
        <w:t>Formale Konsistenz liegt vor, wenn keine Aussage und ihre Negation zugleich ableitbar sind:</w:t>
      </w:r>
    </w:p>
    <w:p w:rsidR="00060460" w:rsidRDefault="00060460" w:rsidP="00060460">
      <w:pPr>
        <w:pStyle w:val="StandardWeb"/>
      </w:pPr>
      <w:r>
        <w:t>[</w:t>
      </w:r>
      <w:r>
        <w:br/>
        <w:t>\nexists A\in\mathcal{A}</w:t>
      </w:r>
      <w:r>
        <w:rPr>
          <w:rStyle w:val="Hervorhebung"/>
        </w:rPr>
        <w:t>{F}:</w:t>
      </w:r>
      <w:r>
        <w:rPr>
          <w:i/>
          <w:iCs/>
        </w:rPr>
        <w:br/>
      </w:r>
      <w:r>
        <w:rPr>
          <w:rStyle w:val="Hervorhebung"/>
        </w:rPr>
        <w:t>\mathcal{A}</w:t>
      </w:r>
      <w:r>
        <w:t>{F}</w:t>
      </w:r>
      <w:r>
        <w:br/>
        <w:t>\vdash</w:t>
      </w:r>
      <w:r>
        <w:br/>
        <w:t>A</w:t>
      </w:r>
      <w:r>
        <w:br/>
        <w:t>\quad\land\quad</w:t>
      </w:r>
      <w:r>
        <w:br/>
        <w:t>\mathcal{A}_{F}</w:t>
      </w:r>
      <w:r>
        <w:br/>
        <w:t>\vdash</w:t>
      </w:r>
      <w:r>
        <w:br/>
        <w:t>\neg A.</w:t>
      </w:r>
      <w:r>
        <w:br/>
        <w:t>\tag{3.4345}</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\nexists A\in\mathcal{A}_{F}:\mathcal{A}_{F}\vdash A\land\mathcal{A}_{F}\vdash\neg A\qquad\text{(3.4345)}</w:t>
      </w:r>
    </w:p>
    <w:p w:rsidR="00060460" w:rsidRDefault="00060460" w:rsidP="00060460">
      <w:pPr>
        <w:pStyle w:val="StandardWeb"/>
      </w:pPr>
      <w:r>
        <w:t>Diese logische Konsistenz ist von funktionaler Kohärenz zu unterscheiden. Ein formal konsistentes Modell kann funktional inkohärente Entwicklungen enthalten. Umgekehrt kann eine als kohärent bewertete Entwicklung innerhalb eines formal unzureichend definierten Modells wissenschaftlich unbrauchbar sein [59, 79].</w:t>
      </w:r>
    </w:p>
    <w:p w:rsidR="00060460" w:rsidRPr="00AF32B2" w:rsidRDefault="00060460" w:rsidP="00AF32B2">
      <w:pPr>
        <w:pStyle w:val="berschrift4"/>
      </w:pPr>
      <w:r w:rsidRPr="00AF32B2">
        <w:t>3.3.18.16 Empirische Anschlussfähigkeit</w:t>
      </w:r>
    </w:p>
    <w:p w:rsidR="00060460" w:rsidRDefault="00060460" w:rsidP="00060460">
      <w:pPr>
        <w:pStyle w:val="StandardWeb"/>
      </w:pPr>
      <w:r>
        <w:t>Das abstrakte FRZK wird erst empirisch anschlussfähig, wenn Beobachtungs- oder Messdaten den funktionalen Strukturen zugeordnet werden können.</w:t>
      </w:r>
    </w:p>
    <w:p w:rsidR="00060460" w:rsidRDefault="00060460" w:rsidP="00060460">
      <w:pPr>
        <w:pStyle w:val="StandardWeb"/>
      </w:pPr>
      <w:r>
        <w:t>Eine Beobachtungsabbildung kann durch</w:t>
      </w:r>
    </w:p>
    <w:p w:rsidR="00060460" w:rsidRDefault="00060460" w:rsidP="00060460">
      <w:pPr>
        <w:pStyle w:val="StandardWeb"/>
      </w:pPr>
      <w:r>
        <w:t>[</w:t>
      </w:r>
      <w:r>
        <w:br/>
        <w:t>\mathcal{O}</w:t>
      </w:r>
      <w:r>
        <w:rPr>
          <w:rStyle w:val="Hervorhebung"/>
        </w:rPr>
        <w:t>{F}</w:t>
      </w:r>
      <w:r>
        <w:rPr>
          <w:i/>
          <w:iCs/>
        </w:rPr>
        <w:br/>
      </w:r>
      <w:r>
        <w:rPr>
          <w:rStyle w:val="Hervorhebung"/>
        </w:rPr>
        <w:t>:</w:t>
      </w:r>
      <w:r>
        <w:rPr>
          <w:i/>
          <w:iCs/>
        </w:rPr>
        <w:br/>
      </w:r>
      <w:r>
        <w:rPr>
          <w:rStyle w:val="Hervorhebung"/>
        </w:rPr>
        <w:t>\mathcal{D}</w:t>
      </w:r>
      <w:r>
        <w:t>{\mathrm{emp}}</w:t>
      </w:r>
      <w:r>
        <w:br/>
        <w:t>\rightarrow</w:t>
      </w:r>
      <w:r>
        <w:br/>
        <w:t>\mathfrak{F}_{\mathrm{RZK}}</w:t>
      </w:r>
      <w:r>
        <w:br/>
        <w:t>\tag{3.4346}</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lastRenderedPageBreak/>
        <w:t>\mathcal{O}_{F}:\mathcal{D}_{\mathrm{emp}}\rightarrow\mathfrak{F}_{\mathrm{RZK}}\qquad\text{(3.4346)}</w:t>
      </w:r>
    </w:p>
    <w:p w:rsidR="00060460" w:rsidRDefault="00060460" w:rsidP="00060460">
      <w:pPr>
        <w:pStyle w:val="StandardWeb"/>
      </w:pPr>
      <w:r>
        <w:t>dargestellt werden.</w:t>
      </w:r>
    </w:p>
    <w:p w:rsidR="00060460" w:rsidRDefault="00060460" w:rsidP="00060460">
      <w:pPr>
        <w:pStyle w:val="StandardWeb"/>
      </w:pPr>
      <w:r>
        <w:t>Dabei bezeichnet (\mathcal{D}_{\mathrm{emp}}) einen empirischen Datenbereich.</w:t>
      </w:r>
    </w:p>
    <w:p w:rsidR="00060460" w:rsidRDefault="00060460" w:rsidP="00060460">
      <w:pPr>
        <w:pStyle w:val="StandardWeb"/>
      </w:pPr>
      <w:r>
        <w:t>Umgekehrt kann eine Vorhersageabbildung definiert werden:</w:t>
      </w:r>
    </w:p>
    <w:p w:rsidR="00060460" w:rsidRDefault="00060460" w:rsidP="00060460">
      <w:pPr>
        <w:pStyle w:val="StandardWeb"/>
      </w:pPr>
      <w:r>
        <w:t>[</w:t>
      </w:r>
      <w:r>
        <w:br/>
        <w:t>\mathcal{P}</w:t>
      </w:r>
      <w:r>
        <w:rPr>
          <w:rStyle w:val="Hervorhebung"/>
        </w:rPr>
        <w:t>{F}</w:t>
      </w:r>
      <w:r>
        <w:rPr>
          <w:i/>
          <w:iCs/>
        </w:rPr>
        <w:br/>
      </w:r>
      <w:r>
        <w:rPr>
          <w:rStyle w:val="Hervorhebung"/>
        </w:rPr>
        <w:t>:</w:t>
      </w:r>
      <w:r>
        <w:rPr>
          <w:i/>
          <w:iCs/>
        </w:rPr>
        <w:br/>
      </w:r>
      <w:r>
        <w:rPr>
          <w:rStyle w:val="Hervorhebung"/>
        </w:rPr>
        <w:t>\mathfrak{F}</w:t>
      </w:r>
      <w:r>
        <w:t>{\mathrm{RZK}}</w:t>
      </w:r>
      <w:r>
        <w:br/>
        <w:t>\rightarrow</w:t>
      </w:r>
      <w:r>
        <w:br/>
        <w:t>\mathcal{D}_{\mathrm{pred}}.</w:t>
      </w:r>
      <w:r>
        <w:br/>
        <w:t>\tag{3.4347}</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\mathcal{P}_{F}:\mathfrak{F}_{\mathrm{RZK}}\rightarrow\mathcal{D}_{\mathrm{pred}}\qquad\text{(3.4347)}</w:t>
      </w:r>
    </w:p>
    <w:p w:rsidR="00060460" w:rsidRDefault="00060460" w:rsidP="00060460">
      <w:pPr>
        <w:pStyle w:val="StandardWeb"/>
      </w:pPr>
      <w:r>
        <w:t>Dabei bezeichnet (\mathcal{D}_{\mathrm{pred}}) den Bereich modellbasierter Vorhersagegrößen.</w:t>
      </w:r>
    </w:p>
    <w:p w:rsidR="00060460" w:rsidRDefault="00060460" w:rsidP="00060460">
      <w:pPr>
        <w:pStyle w:val="StandardWeb"/>
      </w:pPr>
      <w:r>
        <w:t>Eine empirische Prüfung verlangt schließlich einen Vergleich zwischen Vorhersage und Beobachtung:</w:t>
      </w:r>
    </w:p>
    <w:p w:rsidR="00060460" w:rsidRDefault="00060460" w:rsidP="00060460">
      <w:pPr>
        <w:pStyle w:val="StandardWeb"/>
      </w:pPr>
      <w:r>
        <w:t>[</w:t>
      </w:r>
      <w:r>
        <w:br/>
        <w:t>\mathcal{V}</w:t>
      </w:r>
      <w:r>
        <w:rPr>
          <w:rStyle w:val="Hervorhebung"/>
        </w:rPr>
        <w:t>{F}</w:t>
      </w:r>
      <w:r>
        <w:rPr>
          <w:i/>
          <w:iCs/>
        </w:rPr>
        <w:br/>
      </w:r>
      <w:r>
        <w:rPr>
          <w:rStyle w:val="Hervorhebung"/>
        </w:rPr>
        <w:t>\left(</w:t>
      </w:r>
      <w:r>
        <w:rPr>
          <w:i/>
          <w:iCs/>
        </w:rPr>
        <w:br/>
      </w:r>
      <w:r>
        <w:rPr>
          <w:rStyle w:val="Hervorhebung"/>
        </w:rPr>
        <w:t>\mathcal{P}</w:t>
      </w:r>
      <w:r>
        <w:t>{F}</w:t>
      </w:r>
      <w:r>
        <w:br/>
        <w:t>\left(</w:t>
      </w:r>
      <w:r>
        <w:br/>
        <w:t>\mathfrak{F}</w:t>
      </w:r>
      <w:r>
        <w:rPr>
          <w:rStyle w:val="Hervorhebung"/>
        </w:rPr>
        <w:t>{\mathrm{RZK}}</w:t>
      </w:r>
      <w:r>
        <w:rPr>
          <w:i/>
          <w:iCs/>
        </w:rPr>
        <w:br/>
      </w:r>
      <w:r>
        <w:rPr>
          <w:rStyle w:val="Hervorhebung"/>
        </w:rPr>
        <w:t>\right),</w:t>
      </w:r>
      <w:r>
        <w:rPr>
          <w:i/>
          <w:iCs/>
        </w:rPr>
        <w:br/>
      </w:r>
      <w:r>
        <w:rPr>
          <w:rStyle w:val="Hervorhebung"/>
        </w:rPr>
        <w:t>\mathcal{D}</w:t>
      </w:r>
      <w:r>
        <w:t>{\mathrm{obs}}</w:t>
      </w:r>
      <w:r>
        <w:br/>
        <w:t>\right).</w:t>
      </w:r>
      <w:r>
        <w:br/>
        <w:t>\tag{3.4348}</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\mathcal{V}_{F}\left(\mathcal{P}_{F}\left(\mathfrak{F}_{\mathrm{RZK}}\right),\mathcal{D}_{\mathrm{obs}}\right)\qquad\text{(3.4348)}</w:t>
      </w:r>
    </w:p>
    <w:p w:rsidR="00060460" w:rsidRDefault="00060460" w:rsidP="00060460">
      <w:pPr>
        <w:pStyle w:val="StandardWeb"/>
      </w:pPr>
      <w:r>
        <w:t>Die konkrete Form von (\mathcal{V}_{F}) muss für jede Anwendung festgelegt werden.</w:t>
      </w:r>
    </w:p>
    <w:p w:rsidR="00060460" w:rsidRDefault="00060460" w:rsidP="00060460">
      <w:pPr>
        <w:pStyle w:val="StandardWeb"/>
      </w:pPr>
      <w:r>
        <w:rPr>
          <w:rStyle w:val="Fett"/>
        </w:rPr>
        <w:t>Eigenleistung des FRZK</w:t>
      </w:r>
    </w:p>
    <w:p w:rsidR="00060460" w:rsidRDefault="00060460" w:rsidP="00060460">
      <w:pPr>
        <w:pStyle w:val="StandardWeb"/>
      </w:pPr>
      <w:r>
        <w:t xml:space="preserve">Ich trenne die formale Systemdefinition strikt von der empirischen Zuordnung. Das FRZK wird nicht bereits durch mathematische Konsistenz empirisch bestätigt. </w:t>
      </w:r>
      <w:r>
        <w:lastRenderedPageBreak/>
        <w:t>Beobachtungsabbildungen, Vorhersagen und Validierungsverfahren bilden eine zusätzliche wissenschaftliche Ebene.</w:t>
      </w:r>
    </w:p>
    <w:p w:rsidR="00060460" w:rsidRPr="00AF32B2" w:rsidRDefault="00060460" w:rsidP="00AF32B2">
      <w:pPr>
        <w:pStyle w:val="berschrift4"/>
      </w:pPr>
      <w:r w:rsidRPr="00AF32B2">
        <w:t>3.3.18.17 Modellinstanz des FRZK</w:t>
      </w:r>
    </w:p>
    <w:p w:rsidR="00060460" w:rsidRDefault="00060460" w:rsidP="00060460">
      <w:pPr>
        <w:pStyle w:val="StandardWeb"/>
      </w:pPr>
      <w:r>
        <w:t>Eine konkrete Modellinstanz bezeichne ich durch</w:t>
      </w:r>
    </w:p>
    <w:p w:rsidR="00060460" w:rsidRDefault="00060460" w:rsidP="00060460">
      <w:pPr>
        <w:pStyle w:val="StandardWeb"/>
      </w:pPr>
      <w:r>
        <w:t>[</w:t>
      </w:r>
      <w:r>
        <w:br/>
        <w:t>\mathfrak{F}_{\mathrm{RZK}}^{(\mu)}.</w:t>
      </w:r>
      <w:r>
        <w:br/>
        <w:t>\tag{3.4349}</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\mathfrak{F}_{\mathrm{RZK}}^{(\mu)}\qquad\text{(3.4349)}</w:t>
      </w:r>
    </w:p>
    <w:p w:rsidR="00060460" w:rsidRDefault="00060460" w:rsidP="00060460">
      <w:pPr>
        <w:pStyle w:val="StandardWeb"/>
      </w:pPr>
      <w:r>
        <w:t>Dabei kennzeichnet (\mu) ein bestimmtes Modell oder eine konkrete Parametrisierung.</w:t>
      </w:r>
    </w:p>
    <w:p w:rsidR="00060460" w:rsidRDefault="00060460" w:rsidP="00060460">
      <w:pPr>
        <w:pStyle w:val="StandardWeb"/>
      </w:pPr>
      <w:r>
        <w:t>Zwei Modellinstanzen können dieselbe Grundaxiomatik verwenden, aber unterschiedliche Relationen, Transformationen, Kohärenzbedingungen oder Kalibrierungen besitzen:</w:t>
      </w:r>
    </w:p>
    <w:p w:rsidR="00060460" w:rsidRDefault="00060460" w:rsidP="00060460">
      <w:pPr>
        <w:pStyle w:val="StandardWeb"/>
      </w:pPr>
      <w:r>
        <w:t>[</w:t>
      </w:r>
      <w:r>
        <w:br/>
        <w:t>\mathfrak{F}</w:t>
      </w:r>
      <w:r>
        <w:rPr>
          <w:rStyle w:val="Hervorhebung"/>
        </w:rPr>
        <w:t>{\mathrm{RZK}}^{(\mu)}</w:t>
      </w:r>
      <w:r>
        <w:rPr>
          <w:i/>
          <w:iCs/>
        </w:rPr>
        <w:br/>
      </w:r>
      <w:r>
        <w:rPr>
          <w:rStyle w:val="Hervorhebung"/>
        </w:rPr>
        <w:t>\neq</w:t>
      </w:r>
      <w:r>
        <w:rPr>
          <w:i/>
          <w:iCs/>
        </w:rPr>
        <w:br/>
      </w:r>
      <w:r>
        <w:rPr>
          <w:rStyle w:val="Hervorhebung"/>
        </w:rPr>
        <w:t>\mathfrak{F}</w:t>
      </w:r>
      <w:r>
        <w:t>{\mathrm{RZK}}^{(\nu)}.</w:t>
      </w:r>
      <w:r>
        <w:br/>
        <w:t>\tag{3.4350}</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\mathfrak{F}_{\mathrm{RZK}}^{(\mu)}\neq\mathfrak{F}_{\mathrm{RZK}}^{(\nu)}\qquad\text{(3.4350)}</w:t>
      </w:r>
    </w:p>
    <w:p w:rsidR="00060460" w:rsidRDefault="00060460" w:rsidP="00060460">
      <w:pPr>
        <w:pStyle w:val="StandardWeb"/>
      </w:pPr>
      <w:r>
        <w:t>Die gemeinsame Systemklasse lautet</w:t>
      </w:r>
    </w:p>
    <w:p w:rsidR="00060460" w:rsidRDefault="00060460" w:rsidP="00060460">
      <w:pPr>
        <w:pStyle w:val="berschrift1"/>
      </w:pPr>
      <w:r>
        <w:t>[</w:t>
      </w:r>
      <w:r>
        <w:br/>
        <w:t>\mathfrak{M}_{\mathrm{RZK}}</w:t>
      </w:r>
    </w:p>
    <w:p w:rsidR="00060460" w:rsidRDefault="00060460" w:rsidP="00060460">
      <w:pPr>
        <w:pStyle w:val="StandardWeb"/>
      </w:pPr>
      <w:r>
        <w:t>\left{</w:t>
      </w:r>
      <w:r>
        <w:br/>
        <w:t>\mathfrak{F}</w:t>
      </w:r>
      <w:r>
        <w:rPr>
          <w:rStyle w:val="Hervorhebung"/>
        </w:rPr>
        <w:t>{\mathrm{RZK}}^{(\mu)}</w:t>
      </w:r>
      <w:r>
        <w:rPr>
          <w:i/>
          <w:iCs/>
        </w:rPr>
        <w:br/>
      </w:r>
      <w:r>
        <w:rPr>
          <w:rStyle w:val="Hervorhebung"/>
        </w:rPr>
        <w:t>;\middle|;</w:t>
      </w:r>
      <w:r>
        <w:rPr>
          <w:i/>
          <w:iCs/>
        </w:rPr>
        <w:br/>
      </w:r>
      <w:r>
        <w:rPr>
          <w:rStyle w:val="Hervorhebung"/>
        </w:rPr>
        <w:t>\mu\in\mathcal{I}</w:t>
      </w:r>
      <w:r>
        <w:t>{F}</w:t>
      </w:r>
      <w:r>
        <w:br/>
        <w:t>\right}.</w:t>
      </w:r>
      <w:r>
        <w:br/>
        <w:t>\tag{3.4351}</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\mathfrak{M}_{\mathrm{RZK}}=\left\{\mathfrak{F}_{\mathrm{RZK}}^{(\mu)}\middle|\mu\in\mathcal{I}_{F}\right\}\qquad\text{(3.4351)}</w:t>
      </w:r>
    </w:p>
    <w:p w:rsidR="00060460" w:rsidRDefault="00060460" w:rsidP="00060460">
      <w:pPr>
        <w:pStyle w:val="StandardWeb"/>
      </w:pPr>
      <w:r>
        <w:lastRenderedPageBreak/>
        <w:t>Dabei bezeichnet (\mathcal{I}_{F}) eine Indexmenge möglicher FRZK-Modellinstanzen.</w:t>
      </w:r>
    </w:p>
    <w:p w:rsidR="00060460" w:rsidRPr="00AF32B2" w:rsidRDefault="00060460" w:rsidP="00AF32B2">
      <w:pPr>
        <w:pStyle w:val="berschrift4"/>
      </w:pPr>
      <w:r w:rsidRPr="00AF32B2">
        <w:t>3.3.18.18 Vergleich zweier FRZK-Modelle</w:t>
      </w:r>
    </w:p>
    <w:p w:rsidR="00060460" w:rsidRDefault="00060460" w:rsidP="00060460">
      <w:pPr>
        <w:pStyle w:val="StandardWeb"/>
      </w:pPr>
      <w:r>
        <w:t>Zwei FRZK-Modelle können anhand ihrer Strukturkomponenten verglichen werden.</w:t>
      </w:r>
    </w:p>
    <w:p w:rsidR="00060460" w:rsidRDefault="00060460" w:rsidP="00060460">
      <w:pPr>
        <w:pStyle w:val="StandardWeb"/>
      </w:pPr>
      <w:r>
        <w:t>Eine allgemeine Vergleichsabbildung lautet</w:t>
      </w:r>
    </w:p>
    <w:p w:rsidR="00060460" w:rsidRDefault="00060460" w:rsidP="00060460">
      <w:pPr>
        <w:pStyle w:val="StandardWeb"/>
      </w:pPr>
      <w:r>
        <w:t>[</w:t>
      </w:r>
      <w:r>
        <w:br/>
        <w:t>\operatorname{Verg}</w:t>
      </w:r>
      <w:r>
        <w:rPr>
          <w:rStyle w:val="Hervorhebung"/>
        </w:rPr>
        <w:t>{F}</w:t>
      </w:r>
      <w:r>
        <w:rPr>
          <w:i/>
          <w:iCs/>
        </w:rPr>
        <w:br/>
      </w:r>
      <w:r>
        <w:rPr>
          <w:rStyle w:val="Hervorhebung"/>
        </w:rPr>
        <w:t>:</w:t>
      </w:r>
      <w:r>
        <w:rPr>
          <w:i/>
          <w:iCs/>
        </w:rPr>
        <w:br/>
      </w:r>
      <w:r>
        <w:rPr>
          <w:rStyle w:val="Hervorhebung"/>
        </w:rPr>
        <w:t>\mathfrak{M}</w:t>
      </w:r>
      <w:r>
        <w:t>{\mathrm{RZK}}</w:t>
      </w:r>
      <w:r>
        <w:br/>
        <w:t>\times</w:t>
      </w:r>
      <w:r>
        <w:br/>
        <w:t>\mathfrak{M}</w:t>
      </w:r>
      <w:r>
        <w:rPr>
          <w:rStyle w:val="Hervorhebung"/>
        </w:rPr>
        <w:t>{\mathrm{RZK}}</w:t>
      </w:r>
      <w:r>
        <w:rPr>
          <w:i/>
          <w:iCs/>
        </w:rPr>
        <w:br/>
      </w:r>
      <w:r>
        <w:rPr>
          <w:rStyle w:val="Hervorhebung"/>
        </w:rPr>
        <w:t>\rightarrow</w:t>
      </w:r>
      <w:r>
        <w:rPr>
          <w:i/>
          <w:iCs/>
        </w:rPr>
        <w:br/>
      </w:r>
      <w:r>
        <w:rPr>
          <w:rStyle w:val="Hervorhebung"/>
        </w:rPr>
        <w:t>\mathcal{Y}</w:t>
      </w:r>
      <w:r>
        <w:t>{\mathrm{Verg}}.</w:t>
      </w:r>
      <w:r>
        <w:br/>
        <w:t>\tag{3.4352}</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\operatorname{Verg}_{F}:\mathfrak{M}_{\mathrm{RZK}}\times\mathfrak{M}_{\mathrm{RZK}}\rightarrow\mathcal{Y}_{\mathrm{Verg}}\qquad\text{(3.4352)}</w:t>
      </w:r>
    </w:p>
    <w:p w:rsidR="00060460" w:rsidRDefault="00060460" w:rsidP="00060460">
      <w:pPr>
        <w:pStyle w:val="StandardWeb"/>
      </w:pPr>
      <w:r>
        <w:t>Verglichen werden können beispielsweise:</w:t>
      </w:r>
    </w:p>
    <w:p w:rsidR="00060460" w:rsidRDefault="00060460" w:rsidP="00632D23">
      <w:pPr>
        <w:pStyle w:val="StandardWeb"/>
        <w:numPr>
          <w:ilvl w:val="0"/>
          <w:numId w:val="83"/>
        </w:numPr>
      </w:pPr>
      <w:r>
        <w:t>Zustandsbereiche,</w:t>
      </w:r>
    </w:p>
    <w:p w:rsidR="00060460" w:rsidRDefault="00060460" w:rsidP="00632D23">
      <w:pPr>
        <w:pStyle w:val="StandardWeb"/>
        <w:numPr>
          <w:ilvl w:val="0"/>
          <w:numId w:val="83"/>
        </w:numPr>
      </w:pPr>
      <w:r>
        <w:t>Relationsmengen,</w:t>
      </w:r>
    </w:p>
    <w:p w:rsidR="00060460" w:rsidRDefault="00060460" w:rsidP="00632D23">
      <w:pPr>
        <w:pStyle w:val="StandardWeb"/>
        <w:numPr>
          <w:ilvl w:val="0"/>
          <w:numId w:val="83"/>
        </w:numPr>
      </w:pPr>
      <w:r>
        <w:t>Transformationsklassen,</w:t>
      </w:r>
    </w:p>
    <w:p w:rsidR="00060460" w:rsidRDefault="00060460" w:rsidP="00632D23">
      <w:pPr>
        <w:pStyle w:val="StandardWeb"/>
        <w:numPr>
          <w:ilvl w:val="0"/>
          <w:numId w:val="83"/>
        </w:numPr>
      </w:pPr>
      <w:r>
        <w:t>Kohärenzbedingungen,</w:t>
      </w:r>
    </w:p>
    <w:p w:rsidR="00060460" w:rsidRDefault="00060460" w:rsidP="00632D23">
      <w:pPr>
        <w:pStyle w:val="StandardWeb"/>
        <w:numPr>
          <w:ilvl w:val="0"/>
          <w:numId w:val="83"/>
        </w:numPr>
      </w:pPr>
      <w:r>
        <w:t>Ordnungsstrukturen,</w:t>
      </w:r>
    </w:p>
    <w:p w:rsidR="00060460" w:rsidRDefault="00060460" w:rsidP="00632D23">
      <w:pPr>
        <w:pStyle w:val="StandardWeb"/>
        <w:numPr>
          <w:ilvl w:val="0"/>
          <w:numId w:val="83"/>
        </w:numPr>
      </w:pPr>
      <w:r>
        <w:t>Raum- und Zeitbewertungen,</w:t>
      </w:r>
    </w:p>
    <w:p w:rsidR="00060460" w:rsidRDefault="00060460" w:rsidP="00632D23">
      <w:pPr>
        <w:pStyle w:val="StandardWeb"/>
        <w:numPr>
          <w:ilvl w:val="0"/>
          <w:numId w:val="83"/>
        </w:numPr>
      </w:pPr>
      <w:r>
        <w:t>Kopplungsbedingungen,</w:t>
      </w:r>
    </w:p>
    <w:p w:rsidR="00060460" w:rsidRDefault="00060460" w:rsidP="00632D23">
      <w:pPr>
        <w:pStyle w:val="StandardWeb"/>
        <w:numPr>
          <w:ilvl w:val="0"/>
          <w:numId w:val="83"/>
        </w:numPr>
      </w:pPr>
      <w:r>
        <w:t>empirische Vorhersagen.</w:t>
      </w:r>
    </w:p>
    <w:p w:rsidR="00060460" w:rsidRDefault="00060460" w:rsidP="00060460">
      <w:pPr>
        <w:pStyle w:val="StandardWeb"/>
      </w:pPr>
      <w:r>
        <w:t>Eine vollständige Gleichheit zweier Modelle würde verlangen:</w:t>
      </w:r>
    </w:p>
    <w:p w:rsidR="00060460" w:rsidRDefault="00060460" w:rsidP="00060460">
      <w:pPr>
        <w:pStyle w:val="berschrift1"/>
      </w:pPr>
      <w:r>
        <w:t>[</w:t>
      </w:r>
      <w:r>
        <w:br/>
        <w:t>\mathfrak{F}_{\mathrm{RZK}}^{(\mu)}</w:t>
      </w:r>
    </w:p>
    <w:p w:rsidR="00060460" w:rsidRDefault="00060460" w:rsidP="00060460">
      <w:pPr>
        <w:pStyle w:val="StandardWeb"/>
      </w:pPr>
      <w:r>
        <w:t>\mathfrak{F}_{\mathrm{RZK}}^{(\nu)}.</w:t>
      </w:r>
      <w:r>
        <w:br/>
        <w:t>\tag{3.4353}</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\mathfrak{F}_{\mathrm{RZK}}^{(\mu)}=\mathfrak{F}_{\mathrm{RZK}}^{(\nu)}\qquad\text{(3.4353)}</w:t>
      </w:r>
    </w:p>
    <w:p w:rsidR="00060460" w:rsidRDefault="00060460" w:rsidP="00060460">
      <w:pPr>
        <w:pStyle w:val="StandardWeb"/>
      </w:pPr>
      <w:r>
        <w:lastRenderedPageBreak/>
        <w:t>Strukturelle Äquivalenz kann jedoch auch durch geeignete Isomorphismen zwischen den Komponenten bestimmt werden [6, 71].</w:t>
      </w:r>
    </w:p>
    <w:p w:rsidR="00060460" w:rsidRPr="00AF32B2" w:rsidRDefault="00060460" w:rsidP="00AF32B2">
      <w:pPr>
        <w:pStyle w:val="berschrift4"/>
      </w:pPr>
      <w:r w:rsidRPr="00AF32B2">
        <w:t>3.3.18.19 Keine automatische physikalische Theorie</w:t>
      </w:r>
    </w:p>
    <w:p w:rsidR="00060460" w:rsidRDefault="00060460" w:rsidP="00060460">
      <w:pPr>
        <w:pStyle w:val="StandardWeb"/>
      </w:pPr>
      <w:r>
        <w:t>Definition 3.3.11 beschreibt eine allgemeine funktionale Systemklasse. Daraus folgt nicht automatisch, dass jede Modellinstanz eine physikalische Theorie darstellt.</w:t>
      </w:r>
    </w:p>
    <w:p w:rsidR="00060460" w:rsidRDefault="00060460" w:rsidP="00060460">
      <w:pPr>
        <w:pStyle w:val="StandardWeb"/>
      </w:pPr>
      <w:r>
        <w:t>Eine physikalische FRZK-Instanz müsste mindestens zusätzliche Abbildungen enthalten:</w:t>
      </w:r>
    </w:p>
    <w:p w:rsidR="00060460" w:rsidRDefault="00060460" w:rsidP="00060460">
      <w:pPr>
        <w:pStyle w:val="StandardWeb"/>
      </w:pPr>
      <w:r>
        <w:t>[</w:t>
      </w:r>
      <w:r>
        <w:br/>
        <w:t>\Psi_{\mathrm{phys}}</w:t>
      </w:r>
      <w:r>
        <w:br/>
        <w:t>:</w:t>
      </w:r>
      <w:r>
        <w:br/>
        <w:t>\mathfrak{F}</w:t>
      </w:r>
      <w:r>
        <w:rPr>
          <w:rStyle w:val="Hervorhebung"/>
        </w:rPr>
        <w:t>{\mathrm{RZK}}</w:t>
      </w:r>
      <w:r>
        <w:rPr>
          <w:i/>
          <w:iCs/>
        </w:rPr>
        <w:br/>
      </w:r>
      <w:r>
        <w:rPr>
          <w:rStyle w:val="Hervorhebung"/>
        </w:rPr>
        <w:t>\rightarrow</w:t>
      </w:r>
      <w:r>
        <w:rPr>
          <w:i/>
          <w:iCs/>
        </w:rPr>
        <w:br/>
      </w:r>
      <w:r>
        <w:rPr>
          <w:rStyle w:val="Hervorhebung"/>
        </w:rPr>
        <w:t>\mathfrak{P}</w:t>
      </w:r>
      <w:r>
        <w:t>{\mathrm{phys}}.</w:t>
      </w:r>
      <w:r>
        <w:br/>
        <w:t>\tag{3.4354}</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\Psi_{\mathrm{phys}}:\mathfrak{F}_{\mathrm{RZK}}\rightarrow\mathfrak{P}_{\mathrm{phys}}\qquad\text{(3.4354)}</w:t>
      </w:r>
    </w:p>
    <w:p w:rsidR="00060460" w:rsidRDefault="00060460" w:rsidP="00060460">
      <w:pPr>
        <w:pStyle w:val="StandardWeb"/>
      </w:pPr>
      <w:r>
        <w:t>Dabei bezeichnet (\mathfrak{P}_{\mathrm{phys}}) einen physikalisch interpretierbaren Modellbereich.</w:t>
      </w:r>
    </w:p>
    <w:p w:rsidR="00060460" w:rsidRDefault="00060460" w:rsidP="00060460">
      <w:pPr>
        <w:pStyle w:val="StandardWeb"/>
      </w:pPr>
      <w:r>
        <w:t>Außerdem müssten überprüfbare Vorhersagen existieren:</w:t>
      </w:r>
    </w:p>
    <w:p w:rsidR="00060460" w:rsidRDefault="00060460" w:rsidP="00060460">
      <w:pPr>
        <w:pStyle w:val="StandardWeb"/>
      </w:pPr>
      <w:r>
        <w:t>[</w:t>
      </w:r>
      <w:r>
        <w:br/>
        <w:t>\mathcal{P}</w:t>
      </w:r>
      <w:r>
        <w:rPr>
          <w:rStyle w:val="Hervorhebung"/>
        </w:rPr>
        <w:t>{\mathrm{phys}}</w:t>
      </w:r>
      <w:r>
        <w:rPr>
          <w:i/>
          <w:iCs/>
        </w:rPr>
        <w:br/>
      </w:r>
      <w:r>
        <w:rPr>
          <w:rStyle w:val="Hervorhebung"/>
        </w:rPr>
        <w:t>\left(</w:t>
      </w:r>
      <w:r>
        <w:rPr>
          <w:i/>
          <w:iCs/>
        </w:rPr>
        <w:br/>
      </w:r>
      <w:r>
        <w:rPr>
          <w:rStyle w:val="Hervorhebung"/>
        </w:rPr>
        <w:t>\mathfrak{F}</w:t>
      </w:r>
      <w:r>
        <w:t>{\mathrm{RZK}}</w:t>
      </w:r>
      <w:r>
        <w:br/>
        <w:t>\right)</w:t>
      </w:r>
      <w:r>
        <w:br/>
        <w:t>\neq</w:t>
      </w:r>
      <w:r>
        <w:br/>
        <w:t>\emptyset.</w:t>
      </w:r>
      <w:r>
        <w:br/>
        <w:t>\tag{3.4355}</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\mathcal{P}_{\mathrm{phys}}\left(\mathfrak{F}_{\mathrm{RZK}}\right)\neq\emptyset\qquad\text{(3.4355)}</w:t>
      </w:r>
    </w:p>
    <w:p w:rsidR="00060460" w:rsidRDefault="00060460" w:rsidP="00060460">
      <w:pPr>
        <w:pStyle w:val="StandardWeb"/>
      </w:pPr>
      <w:r>
        <w:t>Ohne physikalische Interpretation, Messzuordnung und empirische Prüfung bleibt eine FRZK-Instanz ein formales funktionales Modell [58, 59].</w:t>
      </w:r>
    </w:p>
    <w:p w:rsidR="00060460" w:rsidRPr="00AF32B2" w:rsidRDefault="00060460" w:rsidP="00AF32B2">
      <w:pPr>
        <w:pStyle w:val="berschrift4"/>
      </w:pPr>
      <w:r w:rsidRPr="00AF32B2">
        <w:t>3.3.18.20 Keine universelle Eindeutigkeit</w:t>
      </w:r>
    </w:p>
    <w:p w:rsidR="00060460" w:rsidRDefault="00060460" w:rsidP="00060460">
      <w:pPr>
        <w:pStyle w:val="StandardWeb"/>
      </w:pPr>
      <w:r>
        <w:t>Aus derselben funktionalen Basisstruktur können unterschiedliche Raum-, Zeit- oder Kopplungsstrukturen konstruiert werden.</w:t>
      </w:r>
    </w:p>
    <w:p w:rsidR="00060460" w:rsidRDefault="00060460" w:rsidP="00060460">
      <w:pPr>
        <w:pStyle w:val="StandardWeb"/>
      </w:pPr>
      <w:r>
        <w:lastRenderedPageBreak/>
        <w:t>Formal kann gelten:</w:t>
      </w:r>
    </w:p>
    <w:p w:rsidR="00060460" w:rsidRDefault="00060460" w:rsidP="00060460">
      <w:pPr>
        <w:pStyle w:val="StandardWeb"/>
      </w:pPr>
      <w:r>
        <w:t>[</w:t>
      </w:r>
      <w:r>
        <w:br/>
        <w:t>\mathfrak{B}</w:t>
      </w:r>
      <w:r>
        <w:rPr>
          <w:rStyle w:val="Hervorhebung"/>
        </w:rPr>
        <w:t>{F}</w:t>
      </w:r>
      <w:r>
        <w:rPr>
          <w:i/>
          <w:iCs/>
        </w:rPr>
        <w:br/>
      </w:r>
      <w:r>
        <w:rPr>
          <w:rStyle w:val="Hervorhebung"/>
        </w:rPr>
        <w:t>\longrightarrow</w:t>
      </w:r>
      <w:r>
        <w:rPr>
          <w:i/>
          <w:iCs/>
        </w:rPr>
        <w:br/>
      </w:r>
      <w:r>
        <w:rPr>
          <w:rStyle w:val="Hervorhebung"/>
        </w:rPr>
        <w:t>\left{</w:t>
      </w:r>
      <w:r>
        <w:rPr>
          <w:i/>
          <w:iCs/>
        </w:rPr>
        <w:br/>
      </w:r>
      <w:r>
        <w:rPr>
          <w:rStyle w:val="Hervorhebung"/>
        </w:rPr>
        <w:t>\mathfrak{F}</w:t>
      </w:r>
      <w:r>
        <w:t>{\mathrm{RZK}}^{(1)},</w:t>
      </w:r>
      <w:r>
        <w:br/>
        <w:t>\mathfrak{F}_{\mathrm{RZK}}^{(2)},</w:t>
      </w:r>
      <w:r>
        <w:br/>
        <w:t>\ldots</w:t>
      </w:r>
      <w:r>
        <w:br/>
        <w:t>\right}.</w:t>
      </w:r>
      <w:r>
        <w:br/>
        <w:t>\tag{3.4356}</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\mathfrak{B}_{F}\longrightarrow\left\{\mathfrak{F}_{\mathrm{RZK}}^{(1)},\mathfrak{F}_{\mathrm{RZK}}^{(2)},\ldots\right\}\qquad\text{(3.4356)}</w:t>
      </w:r>
    </w:p>
    <w:p w:rsidR="00060460" w:rsidRDefault="00060460" w:rsidP="00060460">
      <w:pPr>
        <w:pStyle w:val="StandardWeb"/>
      </w:pPr>
      <w:r>
        <w:t>Die Auswahl einer bestimmten Modellinstanz benötigt daher zusätzliche Kriterien.</w:t>
      </w:r>
    </w:p>
    <w:p w:rsidR="00060460" w:rsidRDefault="00060460" w:rsidP="00060460">
      <w:pPr>
        <w:pStyle w:val="StandardWeb"/>
      </w:pPr>
      <w:r>
        <w:t>Ein Modellselektionsverfahren kann durch</w:t>
      </w:r>
    </w:p>
    <w:p w:rsidR="00060460" w:rsidRDefault="00060460" w:rsidP="00060460">
      <w:pPr>
        <w:pStyle w:val="StandardWeb"/>
      </w:pPr>
      <w:r>
        <w:t>[</w:t>
      </w:r>
      <w:r>
        <w:br/>
        <w:t>\operatorname{Sel}</w:t>
      </w:r>
      <w:r>
        <w:rPr>
          <w:rStyle w:val="Hervorhebung"/>
        </w:rPr>
        <w:t>{F}</w:t>
      </w:r>
      <w:r>
        <w:rPr>
          <w:i/>
          <w:iCs/>
        </w:rPr>
        <w:br/>
      </w:r>
      <w:r>
        <w:rPr>
          <w:rStyle w:val="Hervorhebung"/>
        </w:rPr>
        <w:t>:</w:t>
      </w:r>
      <w:r>
        <w:rPr>
          <w:i/>
          <w:iCs/>
        </w:rPr>
        <w:br/>
      </w:r>
      <w:r>
        <w:rPr>
          <w:rStyle w:val="Hervorhebung"/>
        </w:rPr>
        <w:t>\mathfrak{M}</w:t>
      </w:r>
      <w:r>
        <w:t>{\mathrm{RZK}}</w:t>
      </w:r>
      <w:r>
        <w:br/>
        <w:t>\rightarrow</w:t>
      </w:r>
      <w:r>
        <w:br/>
        <w:t>\mathfrak{M}_{\mathrm{RZK}}^{\ast}</w:t>
      </w:r>
      <w:r>
        <w:br/>
        <w:t>\tag{3.4357}</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\operatorname{Sel}_{F}:\mathfrak{M}_{\mathrm{RZK}}\rightarrow\mathfrak{M}_{\mathrm{RZK}}^{\ast}\qquad\text{(3.4357)}</w:t>
      </w:r>
    </w:p>
    <w:p w:rsidR="00060460" w:rsidRDefault="00060460" w:rsidP="00060460">
      <w:pPr>
        <w:pStyle w:val="StandardWeb"/>
      </w:pPr>
      <w:r>
        <w:t>dargestellt werden.</w:t>
      </w:r>
    </w:p>
    <w:p w:rsidR="00060460" w:rsidRDefault="00060460" w:rsidP="00060460">
      <w:pPr>
        <w:pStyle w:val="StandardWeb"/>
      </w:pPr>
      <w:r>
        <w:t>Dabei bezeichnet (\mathfrak{M}_{\mathrm{RZK}}^{\ast}) die Menge der nach festgelegten Kriterien zulässigen oder bevorzugten Modelle.</w:t>
      </w:r>
    </w:p>
    <w:p w:rsidR="00060460" w:rsidRDefault="00060460" w:rsidP="00060460">
      <w:pPr>
        <w:pStyle w:val="StandardWeb"/>
      </w:pPr>
      <w:r>
        <w:rPr>
          <w:rStyle w:val="Fett"/>
        </w:rPr>
        <w:t>Eigenleistung des FRZK</w:t>
      </w:r>
    </w:p>
    <w:p w:rsidR="00060460" w:rsidRDefault="00060460" w:rsidP="00060460">
      <w:pPr>
        <w:pStyle w:val="StandardWeb"/>
      </w:pPr>
      <w:r>
        <w:t>Ich setze keine eindeutige Rekonstruktion von Raum, Zeit und Kopplung aus der funktionalen Basisstruktur voraus. Modellvielfalt ist zulässig und muss durch Konsistenz, Sparsamkeit, Erklärungskraft und empirische Bewährung eingegrenzt werden.</w:t>
      </w:r>
    </w:p>
    <w:p w:rsidR="00060460" w:rsidRPr="00AF32B2" w:rsidRDefault="00060460" w:rsidP="00AF32B2">
      <w:pPr>
        <w:pStyle w:val="berschrift4"/>
      </w:pPr>
      <w:r w:rsidRPr="00AF32B2">
        <w:t>3.3.18.21 Verhältnis zu den Primäraxiomen</w:t>
      </w:r>
    </w:p>
    <w:p w:rsidR="00060460" w:rsidRDefault="00060460" w:rsidP="00060460">
      <w:pPr>
        <w:pStyle w:val="StandardWeb"/>
      </w:pPr>
      <w:r>
        <w:t>Die drei Primäraxiome können zusammengefasst werden durch</w:t>
      </w:r>
    </w:p>
    <w:p w:rsidR="00060460" w:rsidRDefault="00060460" w:rsidP="00060460">
      <w:pPr>
        <w:pStyle w:val="berschrift1"/>
      </w:pPr>
      <w:r>
        <w:lastRenderedPageBreak/>
        <w:t>[</w:t>
      </w:r>
      <w:r>
        <w:br/>
        <w:t>\mathcal{A}_{\mathrm{prim}}</w:t>
      </w:r>
    </w:p>
    <w:p w:rsidR="00060460" w:rsidRDefault="00060460" w:rsidP="00060460">
      <w:pPr>
        <w:pStyle w:val="StandardWeb"/>
      </w:pPr>
      <w:r>
        <w:t>\left{</w:t>
      </w:r>
      <w:r>
        <w:br/>
        <w:t>A_{\mathrm{I}},</w:t>
      </w:r>
      <w:r>
        <w:br/>
        <w:t>A_{\mathrm{II}},</w:t>
      </w:r>
      <w:r>
        <w:br/>
        <w:t>A_{\mathrm{III}}</w:t>
      </w:r>
      <w:r>
        <w:br/>
        <w:t>\right}.</w:t>
      </w:r>
      <w:r>
        <w:br/>
        <w:t>\tag{3.4358}</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\mathcal{A}_{\mathrm{prim}}=\left\{A_{\mathrm{I}},A_{\mathrm{II}},A_{\mathrm{III}}\right\}\qquad\text{(3.4358)}</w:t>
      </w:r>
    </w:p>
    <w:p w:rsidR="00060460" w:rsidRDefault="00060460" w:rsidP="00060460">
      <w:pPr>
        <w:pStyle w:val="StandardWeb"/>
      </w:pPr>
      <w:r>
        <w:t>Sie sichern:</w:t>
      </w:r>
    </w:p>
    <w:p w:rsidR="00060460" w:rsidRDefault="00060460" w:rsidP="00060460">
      <w:pPr>
        <w:pStyle w:val="StandardWeb"/>
      </w:pPr>
      <w:r>
        <w:t>[</w:t>
      </w:r>
      <w:r>
        <w:br/>
        <w:t>A_{\mathrm{I}}</w:t>
      </w:r>
      <w:r>
        <w:br/>
        <w:t>\Rightarrow</w:t>
      </w:r>
      <w:r>
        <w:br/>
        <w:t>\mathcal{S}_{\mathrm{el}}</w:t>
      </w:r>
      <w:r>
        <w:br/>
        <w:t>\neq</w:t>
      </w:r>
      <w:r>
        <w:br/>
        <w:t>\emptyset,</w:t>
      </w:r>
      <w:r>
        <w:br/>
        <w:t>\tag{3.4359}</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A_{\mathrm{I}}\Rightarrow\mathcal{S}_{\mathrm{el}}\neq\emptyset\qquad\text{(3.4359)}</w:t>
      </w:r>
    </w:p>
    <w:p w:rsidR="00060460" w:rsidRDefault="00060460" w:rsidP="00060460">
      <w:pPr>
        <w:pStyle w:val="StandardWeb"/>
      </w:pPr>
      <w:r>
        <w:t>[</w:t>
      </w:r>
      <w:r>
        <w:br/>
        <w:t>A_{\mathrm{II}}</w:t>
      </w:r>
      <w:r>
        <w:br/>
        <w:t>\Rightarrow</w:t>
      </w:r>
      <w:r>
        <w:br/>
        <w:t>\mathfrak{R}_{\mathrm{f}}</w:t>
      </w:r>
      <w:r>
        <w:br/>
        <w:t>\neq</w:t>
      </w:r>
      <w:r>
        <w:br/>
        <w:t>\emptyset,</w:t>
      </w:r>
      <w:r>
        <w:br/>
        <w:t>\tag{3.4360}</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A_{\mathrm{II}}\Rightarrow\mathfrak{R}_{\mathrm{f}}\neq\emptyset\qquad\text{(3.4360)}</w:t>
      </w:r>
    </w:p>
    <w:p w:rsidR="00060460" w:rsidRDefault="00060460" w:rsidP="00060460">
      <w:pPr>
        <w:pStyle w:val="StandardWeb"/>
      </w:pPr>
      <w:r>
        <w:t>und</w:t>
      </w:r>
    </w:p>
    <w:p w:rsidR="00060460" w:rsidRDefault="00060460" w:rsidP="00060460">
      <w:pPr>
        <w:pStyle w:val="StandardWeb"/>
      </w:pPr>
      <w:r>
        <w:t>[</w:t>
      </w:r>
      <w:r>
        <w:br/>
        <w:t>A_{\mathrm{III}}</w:t>
      </w:r>
      <w:r>
        <w:br/>
        <w:t>\Rightarrow</w:t>
      </w:r>
      <w:r>
        <w:br/>
      </w:r>
      <w:r>
        <w:lastRenderedPageBreak/>
        <w:t>\mathfrak{T}_{\mathrm{f}}</w:t>
      </w:r>
      <w:r>
        <w:br/>
        <w:t>\neq</w:t>
      </w:r>
      <w:r>
        <w:br/>
        <w:t>\emptyset.</w:t>
      </w:r>
      <w:r>
        <w:br/>
        <w:t>\tag{3.4361}</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A_{\mathrm{III}}\Rightarrow\mathfrak{T}_{\mathrm{f}}\neq\emptyset\qquad\text{(3.4361)}</w:t>
      </w:r>
    </w:p>
    <w:p w:rsidR="00060460" w:rsidRDefault="00060460" w:rsidP="00060460">
      <w:pPr>
        <w:pStyle w:val="StandardWeb"/>
      </w:pPr>
      <w:r>
        <w:t>Die übrigen Systemkomponenten folgen nicht unmittelbar als Existenzsätze, sondern werden durch Definitionen, Auswahlregeln und zusätzliche Modellbedingungen konstruiert.</w:t>
      </w:r>
    </w:p>
    <w:p w:rsidR="00060460" w:rsidRDefault="00060460" w:rsidP="00060460">
      <w:pPr>
        <w:pStyle w:val="StandardWeb"/>
      </w:pPr>
      <w:r>
        <w:t>Damit gilt schematisch:</w:t>
      </w:r>
    </w:p>
    <w:p w:rsidR="00060460" w:rsidRDefault="00060460" w:rsidP="00060460">
      <w:pPr>
        <w:pStyle w:val="StandardWeb"/>
      </w:pPr>
      <w:r>
        <w:t>[</w:t>
      </w:r>
      <w:r>
        <w:br/>
        <w:t>\mathcal{A}</w:t>
      </w:r>
      <w:r>
        <w:rPr>
          <w:rStyle w:val="Hervorhebung"/>
        </w:rPr>
        <w:t>{\mathrm{prim}}</w:t>
      </w:r>
      <w:r>
        <w:rPr>
          <w:i/>
          <w:iCs/>
        </w:rPr>
        <w:br/>
      </w:r>
      <w:r>
        <w:rPr>
          <w:rStyle w:val="Hervorhebung"/>
        </w:rPr>
        <w:t>\Longrightarrow</w:t>
      </w:r>
      <w:r>
        <w:rPr>
          <w:i/>
          <w:iCs/>
        </w:rPr>
        <w:br/>
      </w:r>
      <w:r>
        <w:rPr>
          <w:rStyle w:val="Hervorhebung"/>
        </w:rPr>
        <w:t>\mathfrak{B}</w:t>
      </w:r>
      <w:r>
        <w:t>{F}</w:t>
      </w:r>
      <w:r>
        <w:br/>
        <w:t>\Longrightarrow</w:t>
      </w:r>
      <w:r>
        <w:br/>
        <w:t>\mathfrak{F}_{\mathrm{RZK}}</w:t>
      </w:r>
      <w:r>
        <w:br/>
        <w:t>\quad</w:t>
      </w:r>
      <w:r>
        <w:br/>
        <w:t>\text{nur unter zusätzlichen Definitionen und Modellbedingungen}.</w:t>
      </w:r>
      <w:r>
        <w:br/>
        <w:t>\tag{3.4362}</w:t>
      </w:r>
      <w:r>
        <w:br/>
        <w:t>]</w:t>
      </w:r>
    </w:p>
    <w:p w:rsidR="00060460" w:rsidRDefault="00060460" w:rsidP="00060460">
      <w:pPr>
        <w:pStyle w:val="StandardWeb"/>
      </w:pPr>
      <w:r>
        <w:rPr>
          <w:rStyle w:val="Fett"/>
        </w:rPr>
        <w:t>Word-LaTeX</w:t>
      </w:r>
    </w:p>
    <w:p w:rsidR="00060460" w:rsidRDefault="00060460" w:rsidP="00060460">
      <w:pPr>
        <w:pStyle w:val="HTMLVorformatiert"/>
        <w:rPr>
          <w:rStyle w:val="HTMLCode"/>
        </w:rPr>
      </w:pPr>
      <w:r>
        <w:rPr>
          <w:rStyle w:val="HTMLCode"/>
        </w:rPr>
        <w:t>\mathcal{A}_{\mathrm{prim}}\Longrightarrow\mathfrak{B}_{F}\Longrightarrow\mathfrak{F}_{\mathrm{RZK}}\quad\text{nur unter zusätzlichen Definitionen und Modellbedingungen}\qquad\text{(3.4362)}</w:t>
      </w:r>
    </w:p>
    <w:p w:rsidR="00060460" w:rsidRDefault="00060460" w:rsidP="00060460">
      <w:pPr>
        <w:pStyle w:val="StandardWeb"/>
      </w:pPr>
      <w:r>
        <w:t>Diese Unterscheidung ist für die wissenschaftliche Bewertung des FRZK wesentlich.</w:t>
      </w:r>
    </w:p>
    <w:p w:rsidR="00060460" w:rsidRPr="00AF32B2" w:rsidRDefault="00060460" w:rsidP="00AF32B2">
      <w:pPr>
        <w:pStyle w:val="berschrift4"/>
      </w:pPr>
      <w:r w:rsidRPr="00AF32B2">
        <w:t>3.3.18.22 Ergebnis der Systemdefinition</w:t>
      </w:r>
    </w:p>
    <w:p w:rsidR="00060460" w:rsidRDefault="00060460" w:rsidP="00060460">
      <w:pPr>
        <w:pStyle w:val="StandardWeb"/>
      </w:pPr>
      <w:r>
        <w:t>Definition 3.3.11 führt die zuvor getrennt entwickelten Strukturklassen zu einer einheitlichen Systemdefinition zusammen. Das FRZK besteht nicht nur aus Raum, Zeit und Kohärenz. Es enthält eine funktionale Basis, funktionale Entwicklungen, Ordnungsstrukturen, Raum- und Zeitbewertungen sowie ihre explizite Kopplung.</w:t>
      </w:r>
    </w:p>
    <w:p w:rsidR="00060460" w:rsidRDefault="00060460" w:rsidP="00060460">
      <w:pPr>
        <w:pStyle w:val="StandardWeb"/>
      </w:pPr>
      <w:r>
        <w:t>Das System ist modular aufgebaut. Einzelne Komponenten können erweitert, eingeschränkt oder unterschiedlich operationalisiert werden, ohne die drei Primäraxiome unmittelbar zu verändern. Damit bleibt die Axiomatik stabil, während konkrete Modelle vergleichbar und überprüfbar gestaltet werden können [58, 71, 75, 79].</w:t>
      </w:r>
    </w:p>
    <w:p w:rsidR="00060460" w:rsidRDefault="00060460" w:rsidP="00060460">
      <w:pPr>
        <w:pStyle w:val="StandardWeb"/>
      </w:pPr>
      <w:r>
        <w:rPr>
          <w:rStyle w:val="Fett"/>
        </w:rPr>
        <w:t>Eigenleistung des FRZK</w:t>
      </w:r>
    </w:p>
    <w:p w:rsidR="00060460" w:rsidRDefault="00060460" w:rsidP="00060460">
      <w:pPr>
        <w:pStyle w:val="StandardWeb"/>
      </w:pPr>
      <w:r>
        <w:t xml:space="preserve">Ich lege mit Definition 3.3.11 erstmals die vollständige formale Identität des Funktionalen Raum-Zeit-Kohärenzsystems fest. Die Definition trennt zwingende Systembestandteile von </w:t>
      </w:r>
      <w:r>
        <w:lastRenderedPageBreak/>
        <w:t>optionalen Erweiterungen und schafft damit die Grundlage für spätere mathematische Rekonstruktionen, Simulationen, Vorhersagen und empirische Prüfungen.</w:t>
      </w:r>
    </w:p>
    <w:p w:rsidR="00060460" w:rsidRPr="00AF32B2" w:rsidRDefault="00060460" w:rsidP="00AF32B2">
      <w:pPr>
        <w:pStyle w:val="berschrift4"/>
      </w:pPr>
      <w:r w:rsidRPr="00AF32B2">
        <w:t>3.3.18.23 Übergang zur Prüfung der Axiomenunabhängigkeit</w:t>
      </w:r>
    </w:p>
    <w:p w:rsidR="00060460" w:rsidRDefault="00060460" w:rsidP="00060460">
      <w:pPr>
        <w:pStyle w:val="StandardWeb"/>
      </w:pPr>
      <w:r>
        <w:t>Mit der Definition des Gesamtsystems ist der konstruktive Aufbau der Grundbegriffe abgeschlossen. Nun muss geprüft werden, ob die drei Primäraxiome tatsächlich voneinander unabhängig sind oder ob eines aus den beiden anderen abgeleitet werden kann.</w:t>
      </w:r>
    </w:p>
    <w:p w:rsidR="00060460" w:rsidRDefault="00060460" w:rsidP="00060460">
      <w:pPr>
        <w:pStyle w:val="StandardWeb"/>
      </w:pPr>
      <w:r>
        <w:t>Eine solche Prüfung kann nicht allein durch sprachliche Abgrenzung erfolgen. Für jedes Primäraxiom muss ein Modell oder Gegenmodell betrachtet werden, in dem die jeweils anderen Primäraxiome erfüllt sind, während das zu prüfende Axiom nicht gilt [6, 79].</w:t>
      </w:r>
    </w:p>
    <w:p w:rsidR="00060460" w:rsidRDefault="00060460" w:rsidP="00060460">
      <w:pPr>
        <w:pStyle w:val="StandardWeb"/>
      </w:pPr>
      <w:r>
        <w:rPr>
          <w:rStyle w:val="Fett"/>
        </w:rPr>
        <w:t>Eigenleistung des FRZK</w:t>
      </w:r>
    </w:p>
    <w:p w:rsidR="00060460" w:rsidRDefault="00060460" w:rsidP="00060460">
      <w:pPr>
        <w:pStyle w:val="StandardWeb"/>
      </w:pPr>
      <w:r>
        <w:t>Der folgende Abschnitt untersucht deshalb systematisch die Unabhängigkeit der drei Primäraxiome. Erst wenn für jedes Axiom ein geeignetes Gegenmodell angegeben werden kann, ist die minimale axiomatische Basis auch formal hinreichend abgesichert.</w:t>
      </w:r>
    </w:p>
    <w:p w:rsidR="009E4854" w:rsidRDefault="009E4854" w:rsidP="009E4854">
      <w:pPr>
        <w:pStyle w:val="berschrift2"/>
      </w:pPr>
      <w:r>
        <w:t>Ergänzung zu 3.3.18 – Definition des Funktionalen Raum-Zeit-Kohärenzsystems</w:t>
      </w:r>
    </w:p>
    <w:p w:rsidR="009E4854" w:rsidRDefault="009E4854" w:rsidP="009E4854">
      <w:pPr>
        <w:pStyle w:val="berschrift3"/>
      </w:pPr>
      <w:r>
        <w:t>Methodologische Betrachtungen</w:t>
      </w:r>
    </w:p>
    <w:p w:rsidR="009E4854" w:rsidRDefault="009E4854" w:rsidP="009E4854">
      <w:pPr>
        <w:pStyle w:val="StandardWeb"/>
      </w:pPr>
      <w:r>
        <w:t xml:space="preserve">Abschnitt 3.3.18 führt die zuvor einzeln entwickelten Strukturen erstmals zu dem Gesamtobjekt zusammen, das den Namen </w:t>
      </w:r>
      <w:r>
        <w:rPr>
          <w:rStyle w:val="Fett"/>
        </w:rPr>
        <w:t>Funktionales Raum-Zeit-Kohärenzsystem</w:t>
      </w:r>
      <w:r>
        <w:t xml:space="preserve"> trägt. Der aktuelle Repository-Stand definiert das FRZK als strukturierte Gesamtheit aus Basisstruktur, Entwicklungen, Kohärenz-, Ordnungs-, Raum-, Zeit- und Raum-Zeit-Kopplungsstruktur.</w:t>
      </w:r>
    </w:p>
    <w:p w:rsidR="009E4854" w:rsidRDefault="009E4854" w:rsidP="009E4854">
      <w:pPr>
        <w:pStyle w:val="StandardWeb"/>
      </w:pPr>
      <w:r>
        <w:t>Die funktionale Basisstruktur lautet</w:t>
      </w:r>
    </w:p>
    <w:p w:rsidR="009E4854" w:rsidRDefault="009E4854" w:rsidP="009E4854">
      <w:pPr>
        <w:pStyle w:val="berschrift1"/>
      </w:pPr>
      <w:r>
        <w:t>[</w:t>
      </w:r>
      <w:r>
        <w:br/>
        <w:t>\mathfrak{B}_{F}</w:t>
      </w:r>
    </w:p>
    <w:p w:rsidR="009E4854" w:rsidRDefault="009E4854" w:rsidP="009E4854">
      <w:pPr>
        <w:pStyle w:val="StandardWeb"/>
      </w:pPr>
      <w:r>
        <w:t>\left(</w:t>
      </w:r>
      <w:r>
        <w:br/>
        <w:t>\mathcal{S}</w:t>
      </w:r>
      <w:r>
        <w:rPr>
          <w:rStyle w:val="Hervorhebung"/>
        </w:rPr>
        <w:t>{\mathrm{el}},</w:t>
      </w:r>
      <w:r>
        <w:rPr>
          <w:i/>
          <w:iCs/>
        </w:rPr>
        <w:br/>
      </w:r>
      <w:r>
        <w:rPr>
          <w:rStyle w:val="Hervorhebung"/>
        </w:rPr>
        <w:t>\mathfrak{R}</w:t>
      </w:r>
      <w:r>
        <w:t>{\mathrm f},</w:t>
      </w:r>
      <w:r>
        <w:br/>
        <w:t>\mathfrak{T}_{\mathrm f}</w:t>
      </w:r>
      <w:r>
        <w:br/>
        <w:t>\right).</w:t>
      </w:r>
      <w:r>
        <w:br/>
        <w:t>\tag{3.4302}</w:t>
      </w:r>
      <w:r>
        <w:br/>
        <w:t>]</w:t>
      </w:r>
    </w:p>
    <w:p w:rsidR="009E4854" w:rsidRDefault="009E4854" w:rsidP="009E4854">
      <w:pPr>
        <w:pStyle w:val="StandardWeb"/>
      </w:pPr>
      <w:r>
        <w:rPr>
          <w:rStyle w:val="Fett"/>
        </w:rPr>
        <w:t>Word-LaTeX</w:t>
      </w:r>
    </w:p>
    <w:p w:rsidR="009E4854" w:rsidRDefault="009E4854" w:rsidP="009E4854">
      <w:pPr>
        <w:pStyle w:val="HTMLVorformatiert"/>
        <w:rPr>
          <w:rStyle w:val="HTMLCode"/>
        </w:rPr>
      </w:pPr>
      <w:r>
        <w:rPr>
          <w:rStyle w:val="HTMLCode"/>
        </w:rPr>
        <w:t>\mathfrak{B}_{F}=\left(\mathcal{S}_{\mathrm{el}},\mathfrak{R}_{\mathrm f},\mathfrak{T}_{\mathrm f}\right)\qquad\text{(3.4302)}</w:t>
      </w:r>
    </w:p>
    <w:p w:rsidR="009E4854" w:rsidRDefault="009E4854" w:rsidP="009E4854">
      <w:pPr>
        <w:pStyle w:val="StandardWeb"/>
      </w:pPr>
      <w:r>
        <w:t>Das vollständige FRZK wird definiert durch</w:t>
      </w:r>
    </w:p>
    <w:p w:rsidR="009E4854" w:rsidRDefault="009E4854" w:rsidP="009E4854">
      <w:pPr>
        <w:pStyle w:val="berschrift1"/>
      </w:pPr>
      <w:r>
        <w:lastRenderedPageBreak/>
        <w:t>[</w:t>
      </w:r>
      <w:r>
        <w:br/>
        <w:t>\mathfrak{F}_{\mathrm{RZK}}</w:t>
      </w:r>
    </w:p>
    <w:p w:rsidR="009E4854" w:rsidRDefault="009E4854" w:rsidP="009E4854">
      <w:pPr>
        <w:pStyle w:val="StandardWeb"/>
      </w:pPr>
      <w:r>
        <w:t>\left(</w:t>
      </w:r>
      <w:r>
        <w:br/>
        <w:t>\mathfrak{B}</w:t>
      </w:r>
      <w:r>
        <w:rPr>
          <w:rStyle w:val="Hervorhebung"/>
        </w:rPr>
        <w:t>{F},</w:t>
      </w:r>
      <w:r>
        <w:rPr>
          <w:i/>
          <w:iCs/>
        </w:rPr>
        <w:br/>
      </w:r>
      <w:r>
        <w:rPr>
          <w:rStyle w:val="Hervorhebung"/>
        </w:rPr>
        <w:t>\mathfrak{E}</w:t>
      </w:r>
      <w:r>
        <w:t>{F},</w:t>
      </w:r>
      <w:r>
        <w:br/>
        <w:t>\mathfrak{C}</w:t>
      </w:r>
      <w:r>
        <w:rPr>
          <w:rStyle w:val="Hervorhebung"/>
        </w:rPr>
        <w:t>{F},</w:t>
      </w:r>
      <w:r>
        <w:rPr>
          <w:i/>
          <w:iCs/>
        </w:rPr>
        <w:br/>
      </w:r>
      <w:r>
        <w:rPr>
          <w:rStyle w:val="Hervorhebung"/>
        </w:rPr>
        <w:t>\mathfrak{O}</w:t>
      </w:r>
      <w:r>
        <w:t>{F},</w:t>
      </w:r>
      <w:r>
        <w:br/>
        <w:t>\mathfrak{X}</w:t>
      </w:r>
      <w:r>
        <w:rPr>
          <w:rStyle w:val="Hervorhebung"/>
        </w:rPr>
        <w:t>{F},</w:t>
      </w:r>
      <w:r>
        <w:rPr>
          <w:i/>
          <w:iCs/>
        </w:rPr>
        <w:br/>
      </w:r>
      <w:r>
        <w:rPr>
          <w:rStyle w:val="Hervorhebung"/>
        </w:rPr>
        <w:t>\mathfrak{T}</w:t>
      </w:r>
      <w:r>
        <w:t>{F},</w:t>
      </w:r>
      <w:r>
        <w:br/>
        <w:t>\mathfrak{K}_{XT}</w:t>
      </w:r>
      <w:r>
        <w:br/>
        <w:t>\right).</w:t>
      </w:r>
      <w:r>
        <w:br/>
        <w:t>]</w:t>
      </w:r>
    </w:p>
    <w:p w:rsidR="009E4854" w:rsidRDefault="009E4854" w:rsidP="009E4854">
      <w:pPr>
        <w:pStyle w:val="StandardWeb"/>
      </w:pPr>
      <w:r>
        <w:rPr>
          <w:rStyle w:val="Fett"/>
        </w:rPr>
        <w:t>Word-LaTeX</w:t>
      </w:r>
    </w:p>
    <w:p w:rsidR="009E4854" w:rsidRDefault="009E4854" w:rsidP="009E4854">
      <w:pPr>
        <w:pStyle w:val="HTMLVorformatiert"/>
        <w:rPr>
          <w:rStyle w:val="HTMLCode"/>
        </w:rPr>
      </w:pPr>
      <w:r>
        <w:rPr>
          <w:rStyle w:val="HTMLCode"/>
        </w:rPr>
        <w:t>\mathfrak{F}_{\mathrm{RZK}}=\left(\mathfrak{B}_{F},\mathfrak{E}_{F},\mathfrak{C}_{F},\mathfrak{O}_{F},\mathfrak{X}_{F},\mathfrak{T}_{F},\mathfrak{K}_{XT}\right)</w:t>
      </w:r>
    </w:p>
    <w:p w:rsidR="009E4854" w:rsidRDefault="009E4854" w:rsidP="009E4854">
      <w:pPr>
        <w:pStyle w:val="StandardWeb"/>
      </w:pPr>
      <w:r>
        <w:t xml:space="preserve">Methodologisch ist entscheidend, dass diese Definition </w:t>
      </w:r>
      <w:r>
        <w:rPr>
          <w:rStyle w:val="Fett"/>
        </w:rPr>
        <w:t>kein viertes oder erweitertes Primäraxiom</w:t>
      </w:r>
      <w:r>
        <w:t xml:space="preserve"> darstellt. Sie fügt den drei Primäraxiomen keinen neuen elementaren Existenzgehalt hinzu. Sie bündelt Strukturen, die zuvor entweder axiomatisch eröffnet oder aus diesen Voraussetzungen definiert beziehungsweise konstruiert wurden.</w:t>
      </w:r>
    </w:p>
    <w:p w:rsidR="009E4854" w:rsidRDefault="009E4854" w:rsidP="009E4854">
      <w:pPr>
        <w:pStyle w:val="StandardWeb"/>
      </w:pPr>
      <w:r>
        <w:t>Damit wird die Hierarchie des gesamten bisherigen Aufbaus sichtbar:</w:t>
      </w:r>
    </w:p>
    <w:p w:rsidR="009E4854" w:rsidRDefault="009E4854" w:rsidP="009E4854">
      <w:pPr>
        <w:pStyle w:val="StandardWeb"/>
      </w:pPr>
      <w:r>
        <w:rPr>
          <w:rStyle w:val="Fett"/>
        </w:rPr>
        <w:t>Primäraxiome</w:t>
      </w:r>
    </w:p>
    <w:p w:rsidR="009E4854" w:rsidRDefault="009E4854" w:rsidP="009E4854">
      <w:pPr>
        <w:pStyle w:val="StandardWeb"/>
      </w:pPr>
      <w:r>
        <w:t>Bestimmbarkeit, Relationierbarkeit und Transformierbarkeit,</w:t>
      </w:r>
    </w:p>
    <w:p w:rsidR="009E4854" w:rsidRDefault="009E4854" w:rsidP="009E4854">
      <w:pPr>
        <w:pStyle w:val="StandardWeb"/>
      </w:pPr>
      <w:r>
        <w:t>daraus beziehungsweise darauf aufbauend</w:t>
      </w:r>
    </w:p>
    <w:p w:rsidR="009E4854" w:rsidRDefault="009E4854" w:rsidP="009E4854">
      <w:pPr>
        <w:pStyle w:val="StandardWeb"/>
      </w:pPr>
      <w:r>
        <w:rPr>
          <w:rStyle w:val="Fett"/>
        </w:rPr>
        <w:t>Definitionen</w:t>
      </w:r>
    </w:p>
    <w:p w:rsidR="009E4854" w:rsidRDefault="009E4854" w:rsidP="009E4854">
      <w:pPr>
        <w:pStyle w:val="StandardWeb"/>
      </w:pPr>
      <w:r>
        <w:t>Zustand, Relation, Transformation, Entwicklung,</w:t>
      </w:r>
    </w:p>
    <w:p w:rsidR="009E4854" w:rsidRDefault="009E4854" w:rsidP="009E4854">
      <w:pPr>
        <w:pStyle w:val="StandardWeb"/>
      </w:pPr>
      <w:r>
        <w:t>anschließend</w:t>
      </w:r>
    </w:p>
    <w:p w:rsidR="009E4854" w:rsidRDefault="009E4854" w:rsidP="009E4854">
      <w:pPr>
        <w:pStyle w:val="StandardWeb"/>
      </w:pPr>
      <w:r>
        <w:rPr>
          <w:rStyle w:val="Fett"/>
        </w:rPr>
        <w:t>abgeleitete Strukturen</w:t>
      </w:r>
    </w:p>
    <w:p w:rsidR="009E4854" w:rsidRDefault="009E4854" w:rsidP="009E4854">
      <w:pPr>
        <w:pStyle w:val="StandardWeb"/>
      </w:pPr>
      <w:r>
        <w:t>Kohärenz, Erreichbarkeit, Ordnung, Zeit, Raum und Raum-Zeit-Kopplung,</w:t>
      </w:r>
    </w:p>
    <w:p w:rsidR="009E4854" w:rsidRDefault="009E4854" w:rsidP="009E4854">
      <w:pPr>
        <w:pStyle w:val="StandardWeb"/>
      </w:pPr>
      <w:r>
        <w:t>und schließlich</w:t>
      </w:r>
    </w:p>
    <w:p w:rsidR="009E4854" w:rsidRDefault="009E4854" w:rsidP="009E4854">
      <w:pPr>
        <w:pStyle w:val="StandardWeb"/>
      </w:pPr>
      <w:r>
        <w:rPr>
          <w:rStyle w:val="Fett"/>
        </w:rPr>
        <w:t>Gesamtsystem</w:t>
      </w:r>
    </w:p>
    <w:p w:rsidR="009E4854" w:rsidRDefault="009E4854" w:rsidP="009E4854">
      <w:pPr>
        <w:pStyle w:val="StandardWeb"/>
      </w:pPr>
      <w:r>
        <w:t>FRZK.</w:t>
      </w:r>
    </w:p>
    <w:p w:rsidR="009E4854" w:rsidRDefault="009E4854" w:rsidP="009E4854">
      <w:pPr>
        <w:pStyle w:val="StandardWeb"/>
      </w:pPr>
      <w:r>
        <w:lastRenderedPageBreak/>
        <w:t>Diese Hierarchie ist methodologisch wichtiger als die bloße Tupelschreibweise. Sie dokumentiert, welche Bestandteile primitiv und welche konstruiert sind.</w:t>
      </w:r>
    </w:p>
    <w:p w:rsidR="009E4854" w:rsidRDefault="009E4854" w:rsidP="009E4854">
      <w:pPr>
        <w:pStyle w:val="StandardWeb"/>
      </w:pPr>
      <w:r>
        <w:t>Ebenso darf aus der Definition eines vollständigen FRZK nicht folgen, dass jede denkbare Modellinstanz sämtliche optionalen Zusatzstrukturen besitzen muss. Eine Metrik, feste Dimension, globale Zeitabbildung, spezielle Kopplungsrate oder physikalische Kalibrierung kann zusätzliche Modellbedingungen benötigen.</w:t>
      </w:r>
    </w:p>
    <w:p w:rsidR="009E4854" w:rsidRDefault="009E4854" w:rsidP="009E4854">
      <w:pPr>
        <w:pStyle w:val="StandardWeb"/>
      </w:pPr>
      <w:r>
        <w:t xml:space="preserve">Deshalb muss zwischen </w:t>
      </w:r>
      <w:r>
        <w:rPr>
          <w:rStyle w:val="Fett"/>
        </w:rPr>
        <w:t>FRZK-Theorie</w:t>
      </w:r>
      <w:r>
        <w:t xml:space="preserve">, </w:t>
      </w:r>
      <w:r>
        <w:rPr>
          <w:rStyle w:val="Fett"/>
        </w:rPr>
        <w:t>FRZK-Modellklasse</w:t>
      </w:r>
      <w:r>
        <w:t xml:space="preserve"> und </w:t>
      </w:r>
      <w:r>
        <w:rPr>
          <w:rStyle w:val="Fett"/>
        </w:rPr>
        <w:t>konkreter FRZK-Modellinstanz</w:t>
      </w:r>
      <w:r>
        <w:t xml:space="preserve"> unterschieden werden.</w:t>
      </w:r>
    </w:p>
    <w:p w:rsidR="009E4854" w:rsidRDefault="009E4854" w:rsidP="009E4854">
      <w:pPr>
        <w:pStyle w:val="StandardWeb"/>
      </w:pPr>
      <w:r>
        <w:t>Die Gesamtsystemdefinition ist außerdem noch kein empirischer Nachweis. Ein mathematisch vollständig definiertes und intern kohärentes FRZK kann empirisch unzutreffend sein. Die empirische Anschlussfähigkeit muss später gesondert hergestellt und geprüft werden.</w:t>
      </w:r>
    </w:p>
    <w:p w:rsidR="009E4854" w:rsidRDefault="009E4854" w:rsidP="009E4854">
      <w:pPr>
        <w:pStyle w:val="StandardWeb"/>
      </w:pPr>
      <w:r>
        <w:t>Auch Systemkohärenz darf nicht als bloßer einzelner Zahlenwert missverstanden werden. Ein aggregierter Kohärenzgrad kann nützlich sein, darf aber nicht verdecken, welche konkrete Bedingung verletzt wurde.</w:t>
      </w:r>
    </w:p>
    <w:p w:rsidR="009E4854" w:rsidRDefault="009E4854" w:rsidP="009E4854">
      <w:pPr>
        <w:pStyle w:val="StandardWeb"/>
      </w:pPr>
      <w:r>
        <w:t>Methodologisch markiert Abschnitt 3.3.18 daher den Abschluss einer ersten Konstruktionsphase. Die Frage lautet nun nicht mehr:</w:t>
      </w:r>
    </w:p>
    <w:p w:rsidR="009E4854" w:rsidRDefault="009E4854" w:rsidP="009E4854">
      <w:pPr>
        <w:pStyle w:val="StandardWeb"/>
      </w:pPr>
      <w:r>
        <w:rPr>
          <w:rStyle w:val="Fett"/>
        </w:rPr>
        <w:t>„Welche grundlegenden Strukturen braucht das FRZK?“</w:t>
      </w:r>
    </w:p>
    <w:p w:rsidR="009E4854" w:rsidRDefault="009E4854" w:rsidP="009E4854">
      <w:pPr>
        <w:pStyle w:val="StandardWeb"/>
      </w:pPr>
      <w:r>
        <w:t>sondern zunehmend:</w:t>
      </w:r>
    </w:p>
    <w:p w:rsidR="009E4854" w:rsidRDefault="009E4854" w:rsidP="009E4854">
      <w:pPr>
        <w:pStyle w:val="StandardWeb"/>
      </w:pPr>
      <w:r>
        <w:rPr>
          <w:rStyle w:val="Fett"/>
        </w:rPr>
        <w:t>„Ist diese Gesamtstruktur minimal, widerspruchsfrei, typkorrekt, interpretativ frei und empirisch anschlussfähig?“</w:t>
      </w:r>
    </w:p>
    <w:p w:rsidR="009E4854" w:rsidRDefault="009E4854" w:rsidP="009E4854">
      <w:pPr>
        <w:pStyle w:val="StandardWeb"/>
      </w:pPr>
      <w:r>
        <w:t>Genau deshalb sind die folgenden Prüfabschnitte notwendig.</w:t>
      </w:r>
    </w:p>
    <w:p w:rsidR="009E4854" w:rsidRDefault="009E4854" w:rsidP="009E4854">
      <w:pPr>
        <w:pStyle w:val="berschrift3"/>
      </w:pPr>
      <w:r>
        <w:t>Didaktische Betrachtungen</w:t>
      </w:r>
    </w:p>
    <w:p w:rsidR="009E4854" w:rsidRDefault="009E4854" w:rsidP="009E4854">
      <w:pPr>
        <w:pStyle w:val="StandardWeb"/>
      </w:pPr>
      <w:r>
        <w:t>Der gesamte Aufbau lässt sich jetzt wie ein Haus betrachten.</w:t>
      </w:r>
    </w:p>
    <w:p w:rsidR="009E4854" w:rsidRDefault="009E4854" w:rsidP="009E4854">
      <w:pPr>
        <w:pStyle w:val="StandardWeb"/>
      </w:pPr>
      <w:r>
        <w:t xml:space="preserve">Die </w:t>
      </w:r>
      <w:r>
        <w:rPr>
          <w:rStyle w:val="Fett"/>
        </w:rPr>
        <w:t>Primäraxiome</w:t>
      </w:r>
      <w:r>
        <w:t xml:space="preserve"> sind das Fundament. Sie setzen nur die minimalen Voraussetzungen, ohne die das Gebäude nicht errichtet werden könnte.</w:t>
      </w:r>
    </w:p>
    <w:p w:rsidR="009E4854" w:rsidRDefault="009E4854" w:rsidP="009E4854">
      <w:pPr>
        <w:pStyle w:val="StandardWeb"/>
      </w:pPr>
      <w:r>
        <w:t>Darauf entstehen zunächst einzelne Bauteile:</w:t>
      </w:r>
    </w:p>
    <w:p w:rsidR="009E4854" w:rsidRDefault="009E4854" w:rsidP="009E4854">
      <w:pPr>
        <w:pStyle w:val="StandardWeb"/>
        <w:numPr>
          <w:ilvl w:val="0"/>
          <w:numId w:val="262"/>
        </w:numPr>
      </w:pPr>
      <w:r>
        <w:t>Zustände,</w:t>
      </w:r>
    </w:p>
    <w:p w:rsidR="009E4854" w:rsidRDefault="009E4854" w:rsidP="009E4854">
      <w:pPr>
        <w:pStyle w:val="StandardWeb"/>
        <w:numPr>
          <w:ilvl w:val="0"/>
          <w:numId w:val="262"/>
        </w:numPr>
      </w:pPr>
      <w:r>
        <w:t>Relationen,</w:t>
      </w:r>
    </w:p>
    <w:p w:rsidR="009E4854" w:rsidRDefault="009E4854" w:rsidP="009E4854">
      <w:pPr>
        <w:pStyle w:val="StandardWeb"/>
        <w:numPr>
          <w:ilvl w:val="0"/>
          <w:numId w:val="262"/>
        </w:numPr>
      </w:pPr>
      <w:r>
        <w:t>Transformationen,</w:t>
      </w:r>
    </w:p>
    <w:p w:rsidR="009E4854" w:rsidRDefault="009E4854" w:rsidP="009E4854">
      <w:pPr>
        <w:pStyle w:val="StandardWeb"/>
        <w:numPr>
          <w:ilvl w:val="0"/>
          <w:numId w:val="262"/>
        </w:numPr>
      </w:pPr>
      <w:r>
        <w:t>Entwicklungen.</w:t>
      </w:r>
    </w:p>
    <w:p w:rsidR="009E4854" w:rsidRDefault="009E4854" w:rsidP="009E4854">
      <w:pPr>
        <w:pStyle w:val="StandardWeb"/>
      </w:pPr>
      <w:r>
        <w:t>Anschließend werden größere Baugruppen konstruiert:</w:t>
      </w:r>
    </w:p>
    <w:p w:rsidR="009E4854" w:rsidRDefault="009E4854" w:rsidP="009E4854">
      <w:pPr>
        <w:pStyle w:val="StandardWeb"/>
        <w:numPr>
          <w:ilvl w:val="0"/>
          <w:numId w:val="263"/>
        </w:numPr>
      </w:pPr>
      <w:r>
        <w:t>Kohärenz,</w:t>
      </w:r>
    </w:p>
    <w:p w:rsidR="009E4854" w:rsidRDefault="009E4854" w:rsidP="009E4854">
      <w:pPr>
        <w:pStyle w:val="StandardWeb"/>
        <w:numPr>
          <w:ilvl w:val="0"/>
          <w:numId w:val="263"/>
        </w:numPr>
      </w:pPr>
      <w:r>
        <w:t>Ordnung,</w:t>
      </w:r>
    </w:p>
    <w:p w:rsidR="009E4854" w:rsidRDefault="009E4854" w:rsidP="009E4854">
      <w:pPr>
        <w:pStyle w:val="StandardWeb"/>
        <w:numPr>
          <w:ilvl w:val="0"/>
          <w:numId w:val="263"/>
        </w:numPr>
      </w:pPr>
      <w:r>
        <w:t>Zeit,</w:t>
      </w:r>
    </w:p>
    <w:p w:rsidR="009E4854" w:rsidRDefault="009E4854" w:rsidP="009E4854">
      <w:pPr>
        <w:pStyle w:val="StandardWeb"/>
        <w:numPr>
          <w:ilvl w:val="0"/>
          <w:numId w:val="263"/>
        </w:numPr>
      </w:pPr>
      <w:r>
        <w:lastRenderedPageBreak/>
        <w:t>Raum,</w:t>
      </w:r>
    </w:p>
    <w:p w:rsidR="009E4854" w:rsidRDefault="009E4854" w:rsidP="009E4854">
      <w:pPr>
        <w:pStyle w:val="StandardWeb"/>
        <w:numPr>
          <w:ilvl w:val="0"/>
          <w:numId w:val="263"/>
        </w:numPr>
      </w:pPr>
      <w:r>
        <w:t>Raum-Zeit-Kopplung.</w:t>
      </w:r>
    </w:p>
    <w:p w:rsidR="009E4854" w:rsidRDefault="009E4854" w:rsidP="009E4854">
      <w:pPr>
        <w:pStyle w:val="StandardWeb"/>
      </w:pPr>
      <w:r>
        <w:t>Erst wenn diese Bestandteile zusammengeführt werden, entsteht das vollständige FRZK.</w:t>
      </w:r>
    </w:p>
    <w:p w:rsidR="009E4854" w:rsidRDefault="009E4854" w:rsidP="009E4854">
      <w:pPr>
        <w:pStyle w:val="StandardWeb"/>
      </w:pPr>
      <w:r>
        <w:t>Die Gesamtdefinition</w:t>
      </w:r>
    </w:p>
    <w:p w:rsidR="009E4854" w:rsidRDefault="009E4854" w:rsidP="009E4854">
      <w:pPr>
        <w:pStyle w:val="berschrift1"/>
      </w:pPr>
      <w:r>
        <w:t>[</w:t>
      </w:r>
      <w:r>
        <w:br/>
        <w:t>\mathfrak{F}_{\mathrm{RZK}}</w:t>
      </w:r>
    </w:p>
    <w:p w:rsidR="009E4854" w:rsidRDefault="009E4854" w:rsidP="009E4854">
      <w:pPr>
        <w:pStyle w:val="StandardWeb"/>
      </w:pPr>
      <w:r>
        <w:t>\left(</w:t>
      </w:r>
      <w:r>
        <w:br/>
        <w:t>\mathfrak{B}</w:t>
      </w:r>
      <w:r>
        <w:rPr>
          <w:rStyle w:val="Hervorhebung"/>
        </w:rPr>
        <w:t>{F},</w:t>
      </w:r>
      <w:r>
        <w:rPr>
          <w:i/>
          <w:iCs/>
        </w:rPr>
        <w:br/>
      </w:r>
      <w:r>
        <w:rPr>
          <w:rStyle w:val="Hervorhebung"/>
        </w:rPr>
        <w:t>\mathfrak{E}</w:t>
      </w:r>
      <w:r>
        <w:t>{F},</w:t>
      </w:r>
      <w:r>
        <w:br/>
        <w:t>\mathfrak{C}</w:t>
      </w:r>
      <w:r>
        <w:rPr>
          <w:rStyle w:val="Hervorhebung"/>
        </w:rPr>
        <w:t>{F},</w:t>
      </w:r>
      <w:r>
        <w:rPr>
          <w:i/>
          <w:iCs/>
        </w:rPr>
        <w:br/>
      </w:r>
      <w:r>
        <w:rPr>
          <w:rStyle w:val="Hervorhebung"/>
        </w:rPr>
        <w:t>\mathfrak{O}</w:t>
      </w:r>
      <w:r>
        <w:t>{F},</w:t>
      </w:r>
      <w:r>
        <w:br/>
        <w:t>\mathfrak{X}</w:t>
      </w:r>
      <w:r>
        <w:rPr>
          <w:rStyle w:val="Hervorhebung"/>
        </w:rPr>
        <w:t>{F},</w:t>
      </w:r>
      <w:r>
        <w:rPr>
          <w:i/>
          <w:iCs/>
        </w:rPr>
        <w:br/>
      </w:r>
      <w:r>
        <w:rPr>
          <w:rStyle w:val="Hervorhebung"/>
        </w:rPr>
        <w:t>\mathfrak{T}</w:t>
      </w:r>
      <w:r>
        <w:t>{F},</w:t>
      </w:r>
      <w:r>
        <w:br/>
        <w:t>\mathfrak{K}_{XT}</w:t>
      </w:r>
      <w:r>
        <w:br/>
        <w:t>\right)</w:t>
      </w:r>
      <w:r>
        <w:br/>
        <w:t>]</w:t>
      </w:r>
    </w:p>
    <w:p w:rsidR="009E4854" w:rsidRDefault="009E4854" w:rsidP="009E4854">
      <w:pPr>
        <w:pStyle w:val="StandardWeb"/>
      </w:pPr>
      <w:r>
        <w:t>darf deshalb didaktisch nicht als „eine riesige neue Annahme“ gelesen werden.</w:t>
      </w:r>
    </w:p>
    <w:p w:rsidR="009E4854" w:rsidRDefault="009E4854" w:rsidP="009E4854">
      <w:pPr>
        <w:pStyle w:val="StandardWeb"/>
      </w:pPr>
      <w:r>
        <w:t>Sie ist vielmehr ein Inhaltsverzeichnis der bereits konstruierten Systemkomponenten.</w:t>
      </w:r>
    </w:p>
    <w:p w:rsidR="009E4854" w:rsidRDefault="009E4854" w:rsidP="009E4854">
      <w:pPr>
        <w:pStyle w:val="StandardWeb"/>
      </w:pPr>
      <w:r>
        <w:t>Ein einfaches Vergleichsbild ist ein Computer. Ein Computer besteht beispielsweise aus Prozessor, Speicher, Ein-/Ausgabe und Software. Die Aussage</w:t>
      </w:r>
    </w:p>
    <w:p w:rsidR="009E4854" w:rsidRDefault="009E4854" w:rsidP="009E4854">
      <w:pPr>
        <w:pStyle w:val="StandardWeb"/>
      </w:pPr>
      <w:r>
        <w:t>„Dieses System ist ein Computer aus diesen Bestandteilen“</w:t>
      </w:r>
    </w:p>
    <w:p w:rsidR="009E4854" w:rsidRDefault="009E4854" w:rsidP="009E4854">
      <w:pPr>
        <w:pStyle w:val="StandardWeb"/>
      </w:pPr>
      <w:r>
        <w:t>erschafft die einzelnen Bestandteile nicht noch einmal. Sie fasst sie zu einem Gesamtobjekt zusammen.</w:t>
      </w:r>
    </w:p>
    <w:p w:rsidR="009E4854" w:rsidRDefault="009E4854" w:rsidP="009E4854">
      <w:pPr>
        <w:pStyle w:val="StandardWeb"/>
      </w:pPr>
      <w:r>
        <w:t>Ebenso verhält es sich beim FRZK.</w:t>
      </w:r>
    </w:p>
    <w:p w:rsidR="009E4854" w:rsidRDefault="009E4854" w:rsidP="009E4854">
      <w:pPr>
        <w:pStyle w:val="StandardWeb"/>
      </w:pPr>
      <w:r>
        <w:t xml:space="preserve">Wichtig ist außerdem, zwischen </w:t>
      </w:r>
      <w:r>
        <w:rPr>
          <w:rStyle w:val="Fett"/>
        </w:rPr>
        <w:t>vollständig definiert</w:t>
      </w:r>
      <w:r>
        <w:t xml:space="preserve"> und </w:t>
      </w:r>
      <w:r>
        <w:rPr>
          <w:rStyle w:val="Fett"/>
        </w:rPr>
        <w:t>empirisch bestätigt</w:t>
      </w:r>
      <w:r>
        <w:t xml:space="preserve"> zu unterscheiden.</w:t>
      </w:r>
    </w:p>
    <w:p w:rsidR="009E4854" w:rsidRDefault="009E4854" w:rsidP="009E4854">
      <w:pPr>
        <w:pStyle w:val="StandardWeb"/>
      </w:pPr>
      <w:r>
        <w:t>Ein vollständig konstruierter Modellflugzeug-Bauplan kann mathematisch und technisch konsistent sein. Ob das gebaute Flugzeug tatsächlich fliegt, ist eine zusätzliche empirische Frage.</w:t>
      </w:r>
    </w:p>
    <w:p w:rsidR="009E4854" w:rsidRDefault="009E4854" w:rsidP="009E4854">
      <w:pPr>
        <w:pStyle w:val="StandardWeb"/>
      </w:pPr>
      <w:r>
        <w:t>Genau diese Unterscheidung gilt auch hier:</w:t>
      </w:r>
    </w:p>
    <w:p w:rsidR="009E4854" w:rsidRDefault="009E4854" w:rsidP="009E4854">
      <w:pPr>
        <w:pStyle w:val="StandardWeb"/>
      </w:pPr>
      <w:r>
        <w:rPr>
          <w:rStyle w:val="Fett"/>
        </w:rPr>
        <w:t>Definition des FRZK</w:t>
      </w:r>
      <w:r>
        <w:t xml:space="preserve"> bedeutet zunächst, dass feststeht, aus welchen Strukturen das System besteht und wie diese zusammengehören.</w:t>
      </w:r>
    </w:p>
    <w:p w:rsidR="009E4854" w:rsidRDefault="009E4854" w:rsidP="009E4854">
      <w:pPr>
        <w:pStyle w:val="StandardWeb"/>
      </w:pPr>
      <w:r>
        <w:t>Es bedeutet noch nicht, dass die Natur tatsächlich durch genau diese Struktur beschrieben wird.</w:t>
      </w:r>
    </w:p>
    <w:p w:rsidR="009E4854" w:rsidRDefault="009E4854" w:rsidP="009E4854">
      <w:pPr>
        <w:pStyle w:val="StandardWeb"/>
      </w:pPr>
      <w:r>
        <w:lastRenderedPageBreak/>
        <w:t>Damit erreicht der Leser an Abschnitt 3.3.18 einen wichtigen Zwischenstand: Er kann nun den gesamten bisherigen Aufbau vom Primäraxiom bis zum Gesamtsystem rückwärts verfolgen und bei jedem Bestandteil fragen, ob er gesetzt, definiert, abgeleitet oder zusätzlich modellabhängig eingeführt wurde.</w:t>
      </w:r>
    </w:p>
    <w:p w:rsidR="009E4854" w:rsidRDefault="00E50336" w:rsidP="000E5C2A">
      <w:pPr>
        <w:spacing w:after="0"/>
      </w:pPr>
      <w:r>
        <w:pict>
          <v:rect id="_x0000_i1044" style="width:0;height:1.5pt" o:hralign="center" o:hrstd="t" o:hr="t" fillcolor="#a0a0a0" stroked="f"/>
        </w:pict>
      </w:r>
    </w:p>
    <w:p w:rsidR="00F20C56" w:rsidRPr="00AF32B2" w:rsidRDefault="00F20C56" w:rsidP="00AF32B2">
      <w:pPr>
        <w:pStyle w:val="berschrift3"/>
      </w:pPr>
      <w:r w:rsidRPr="00AF32B2">
        <w:t>3.3.19 Prüfung der Unabhängigkeit der drei Primäraxiome</w:t>
      </w:r>
    </w:p>
    <w:p w:rsidR="00F20C56" w:rsidRDefault="00F20C56" w:rsidP="00F20C56">
      <w:pPr>
        <w:pStyle w:val="StandardWeb"/>
      </w:pPr>
      <w:r>
        <w:t>Mit Definition 3.3.11 ist das Funktionale Raum-Zeit-Kohärenzsystem als strukturierte Gesamtheit seiner elementaren und abgeleiteten Komponenten festgelegt. Die bisherige Konstruktion beruht auf drei Primäraxiomen: funktionale Bestimmbarkeit, funktionale Relationierbarkeit und funktionale Transformierbarkeit. Die sprachliche Verschiedenheit dieser Axiome genügt jedoch nicht, um ihre logische Unabhängigkeit zu zeigen. Zwei unterschiedlich formulierte Aussagen können dennoch so miteinander verbunden sein, dass eine aus den anderen folgt [6, 79].</w:t>
      </w:r>
    </w:p>
    <w:p w:rsidR="00F20C56" w:rsidRDefault="00F20C56" w:rsidP="00F20C56">
      <w:pPr>
        <w:pStyle w:val="StandardWeb"/>
      </w:pPr>
      <w:r>
        <w:t>Die Unabhängigkeit eines Axioms wird in der Modelltheorie gewöhnlich dadurch geprüft, dass ein Modell konstruiert wird, in dem alle übrigen Axiome erfüllt sind, während das zu prüfende Axiom nicht erfüllt ist. Gelingt eine solche Konstruktion, kann das betreffende Axiom nicht aus den übrigen Axiomen abgeleitet werden [6, 79].</w:t>
      </w:r>
    </w:p>
    <w:p w:rsidR="00F20C56" w:rsidRDefault="00F20C56" w:rsidP="00F20C56">
      <w:pPr>
        <w:pStyle w:val="StandardWeb"/>
      </w:pPr>
      <w:r>
        <w:t>Für die drei Primäraxiome des FRZK sind deshalb drei Gegenmodelle erforderlich:</w:t>
      </w:r>
    </w:p>
    <w:p w:rsidR="00F20C56" w:rsidRDefault="00F20C56" w:rsidP="00632D23">
      <w:pPr>
        <w:pStyle w:val="StandardWeb"/>
        <w:numPr>
          <w:ilvl w:val="0"/>
          <w:numId w:val="84"/>
        </w:numPr>
      </w:pPr>
      <w:r>
        <w:t>ein Modell, in dem Primäraxiom II und Primäraxiom III erfüllt sind, Primäraxiom I jedoch nicht gilt,</w:t>
      </w:r>
    </w:p>
    <w:p w:rsidR="00F20C56" w:rsidRDefault="00F20C56" w:rsidP="00632D23">
      <w:pPr>
        <w:pStyle w:val="StandardWeb"/>
        <w:numPr>
          <w:ilvl w:val="0"/>
          <w:numId w:val="84"/>
        </w:numPr>
      </w:pPr>
      <w:r>
        <w:t>ein Modell, in dem Primäraxiom I und Primäraxiom III erfüllt sind, Primäraxiom II jedoch nicht gilt,</w:t>
      </w:r>
    </w:p>
    <w:p w:rsidR="00F20C56" w:rsidRDefault="00F20C56" w:rsidP="00632D23">
      <w:pPr>
        <w:pStyle w:val="StandardWeb"/>
        <w:numPr>
          <w:ilvl w:val="0"/>
          <w:numId w:val="84"/>
        </w:numPr>
      </w:pPr>
      <w:r>
        <w:t>ein Modell, in dem Primäraxiom I und Primäraxiom II erfüllt sind, Primäraxiom III jedoch nicht gilt.</w:t>
      </w:r>
    </w:p>
    <w:p w:rsidR="00F20C56" w:rsidRDefault="00F20C56" w:rsidP="00F20C56">
      <w:pPr>
        <w:pStyle w:val="StandardWeb"/>
      </w:pPr>
      <w:r>
        <w:rPr>
          <w:rStyle w:val="Fett"/>
        </w:rPr>
        <w:t>Eigenleistung des FRZK</w:t>
      </w:r>
    </w:p>
    <w:p w:rsidR="00F20C56" w:rsidRDefault="00F20C56" w:rsidP="00F20C56">
      <w:pPr>
        <w:pStyle w:val="StandardWeb"/>
      </w:pPr>
      <w:r>
        <w:t>Ich behandle die Axiomenunabhängigkeit nicht als sprachliche oder intuitive Plausibilitätsprüfung. Für jedes Primäraxiom konstruiere ich ein eigenes Gegenmodell. Erst die Existenz dieser Gegenmodelle rechtfertigt die Aussage, dass keines der drei Primäraxiome aus den beiden anderen folgt.</w:t>
      </w:r>
    </w:p>
    <w:p w:rsidR="00F20C56" w:rsidRPr="00AF32B2" w:rsidRDefault="00F20C56" w:rsidP="00AF32B2">
      <w:pPr>
        <w:pStyle w:val="berschrift4"/>
      </w:pPr>
      <w:r w:rsidRPr="00AF32B2">
        <w:t>3.3.19.1 Formale Ausgangslage</w:t>
      </w:r>
    </w:p>
    <w:p w:rsidR="00F20C56" w:rsidRDefault="00F20C56" w:rsidP="00F20C56">
      <w:pPr>
        <w:pStyle w:val="StandardWeb"/>
      </w:pPr>
      <w:r>
        <w:t>Die Menge der drei Primäraxiome lautet</w:t>
      </w:r>
    </w:p>
    <w:p w:rsidR="00F20C56" w:rsidRDefault="00F20C56" w:rsidP="00F20C56">
      <w:pPr>
        <w:pStyle w:val="berschrift1"/>
      </w:pPr>
      <w:r>
        <w:t>[</w:t>
      </w:r>
      <w:r>
        <w:br/>
        <w:t>\mathcal{A}_{\mathrm{prim}}</w:t>
      </w:r>
    </w:p>
    <w:p w:rsidR="00F20C56" w:rsidRDefault="00F20C56" w:rsidP="00F20C56">
      <w:pPr>
        <w:pStyle w:val="StandardWeb"/>
      </w:pPr>
      <w:r>
        <w:t>\left{</w:t>
      </w:r>
      <w:r>
        <w:br/>
        <w:t>A_{\mathrm{I}},</w:t>
      </w:r>
      <w:r>
        <w:br/>
        <w:t>A_{\mathrm{II}},</w:t>
      </w:r>
      <w:r>
        <w:br/>
        <w:t>A_{\mathrm{III}}</w:t>
      </w:r>
      <w:r>
        <w:br/>
        <w:t>\right}.</w:t>
      </w:r>
      <w:r>
        <w:br/>
      </w:r>
      <w:r>
        <w:lastRenderedPageBreak/>
        <w:t>\tag{3.4363}</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\mathcal{A}_{\mathrm{prim}}=\left\{A_{\mathrm{I}},A_{\mathrm{II}},A_{\mathrm{III}}\right\}\qquad\text{(3.4363)}</w:t>
      </w:r>
    </w:p>
    <w:p w:rsidR="00F20C56" w:rsidRDefault="00F20C56" w:rsidP="00F20C56">
      <w:pPr>
        <w:pStyle w:val="StandardWeb"/>
      </w:pPr>
      <w:r>
        <w:t>Dabei bezeichnet:</w:t>
      </w:r>
    </w:p>
    <w:p w:rsidR="00F20C56" w:rsidRDefault="00F20C56" w:rsidP="00632D23">
      <w:pPr>
        <w:pStyle w:val="StandardWeb"/>
        <w:numPr>
          <w:ilvl w:val="0"/>
          <w:numId w:val="85"/>
        </w:numPr>
      </w:pPr>
      <w:r>
        <w:t>(A_{\mathrm{I}}) das Primäraxiom der funktionalen Bestimmbarkeit,</w:t>
      </w:r>
    </w:p>
    <w:p w:rsidR="00F20C56" w:rsidRDefault="00F20C56" w:rsidP="00632D23">
      <w:pPr>
        <w:pStyle w:val="StandardWeb"/>
        <w:numPr>
          <w:ilvl w:val="0"/>
          <w:numId w:val="85"/>
        </w:numPr>
      </w:pPr>
      <w:r>
        <w:t>(A_{\mathrm{II}}) das Primäraxiom der funktionalen Relationierbarkeit,</w:t>
      </w:r>
    </w:p>
    <w:p w:rsidR="00F20C56" w:rsidRDefault="00F20C56" w:rsidP="00632D23">
      <w:pPr>
        <w:pStyle w:val="StandardWeb"/>
        <w:numPr>
          <w:ilvl w:val="0"/>
          <w:numId w:val="85"/>
        </w:numPr>
      </w:pPr>
      <w:r>
        <w:t>(A_{\mathrm{III}}) das Primäraxiom der funktionalen Transformierbarkeit.</w:t>
      </w:r>
    </w:p>
    <w:p w:rsidR="00F20C56" w:rsidRDefault="00F20C56" w:rsidP="00F20C56">
      <w:pPr>
        <w:pStyle w:val="StandardWeb"/>
      </w:pPr>
      <w:r>
        <w:t>Die Unabhängigkeit von (A_{\mathrm{I}}) gegenüber (A_{\mathrm{II}}) und (A_{\mathrm{III}}) ist gezeigt, wenn ein Modell (\mathcal{M}_{\neg\mathrm{I}}) existiert, für das gilt:</w:t>
      </w:r>
    </w:p>
    <w:p w:rsidR="00F20C56" w:rsidRDefault="00F20C56" w:rsidP="00F20C56">
      <w:pPr>
        <w:pStyle w:val="StandardWeb"/>
      </w:pPr>
      <w:r>
        <w:t>[</w:t>
      </w:r>
      <w:r>
        <w:br/>
        <w:t>\mathcal{M}</w:t>
      </w:r>
      <w:r>
        <w:rPr>
          <w:rStyle w:val="Hervorhebung"/>
        </w:rPr>
        <w:t>{\neg\mathrm{I}}</w:t>
      </w:r>
      <w:r>
        <w:rPr>
          <w:i/>
          <w:iCs/>
        </w:rPr>
        <w:br/>
      </w:r>
      <w:r>
        <w:rPr>
          <w:rStyle w:val="Hervorhebung"/>
        </w:rPr>
        <w:t>\models</w:t>
      </w:r>
      <w:r>
        <w:rPr>
          <w:i/>
          <w:iCs/>
        </w:rPr>
        <w:br/>
      </w:r>
      <w:r>
        <w:rPr>
          <w:rStyle w:val="Hervorhebung"/>
        </w:rPr>
        <w:t>A</w:t>
      </w:r>
      <w:r>
        <w:t>{\mathrm{II}}</w:t>
      </w:r>
      <w:r>
        <w:br/>
        <w:t>\land</w:t>
      </w:r>
      <w:r>
        <w:br/>
        <w:t>A_{\mathrm{III}}</w:t>
      </w:r>
      <w:r>
        <w:br/>
        <w:t>\land</w:t>
      </w:r>
      <w:r>
        <w:br/>
        <w:t>\neg A_{\mathrm{I}}.</w:t>
      </w:r>
      <w:r>
        <w:br/>
        <w:t>\tag{3.4364}</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\mathcal{M}_{\neg\mathrm{I}}\models A_{\mathrm{II}}\land A_{\mathrm{III}}\land\neg A_{\mathrm{I}}\qquad\text{(3.4364)}</w:t>
      </w:r>
    </w:p>
    <w:p w:rsidR="00F20C56" w:rsidRDefault="00F20C56" w:rsidP="00F20C56">
      <w:pPr>
        <w:pStyle w:val="StandardWeb"/>
      </w:pPr>
      <w:r>
        <w:t>Entsprechend ist (A_{\mathrm{II}}) unabhängig, wenn</w:t>
      </w:r>
    </w:p>
    <w:p w:rsidR="00F20C56" w:rsidRDefault="00F20C56" w:rsidP="00F20C56">
      <w:pPr>
        <w:pStyle w:val="StandardWeb"/>
      </w:pPr>
      <w:r>
        <w:t>[</w:t>
      </w:r>
      <w:r>
        <w:br/>
        <w:t>\mathcal{M}</w:t>
      </w:r>
      <w:r>
        <w:rPr>
          <w:rStyle w:val="Hervorhebung"/>
        </w:rPr>
        <w:t>{\neg\mathrm{II}}</w:t>
      </w:r>
      <w:r>
        <w:rPr>
          <w:i/>
          <w:iCs/>
        </w:rPr>
        <w:br/>
      </w:r>
      <w:r>
        <w:rPr>
          <w:rStyle w:val="Hervorhebung"/>
        </w:rPr>
        <w:t>\models</w:t>
      </w:r>
      <w:r>
        <w:rPr>
          <w:i/>
          <w:iCs/>
        </w:rPr>
        <w:br/>
      </w:r>
      <w:r>
        <w:rPr>
          <w:rStyle w:val="Hervorhebung"/>
        </w:rPr>
        <w:t>A</w:t>
      </w:r>
      <w:r>
        <w:t>{\mathrm{I}}</w:t>
      </w:r>
      <w:r>
        <w:br/>
        <w:t>\land</w:t>
      </w:r>
      <w:r>
        <w:br/>
        <w:t>A_{\mathrm{III}}</w:t>
      </w:r>
      <w:r>
        <w:br/>
        <w:t>\land</w:t>
      </w:r>
      <w:r>
        <w:br/>
        <w:t>\neg A_{\mathrm{II}}</w:t>
      </w:r>
      <w:r>
        <w:br/>
        <w:t>\tag{3.4365}</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\mathcal{M}_{\neg\mathrm{II}}\models A_{\mathrm{I}}\land A_{\mathrm{III}}\land\neg A_{\mathrm{II}}\qquad\text{(3.4365)}</w:t>
      </w:r>
    </w:p>
    <w:p w:rsidR="00F20C56" w:rsidRDefault="00F20C56" w:rsidP="00F20C56">
      <w:pPr>
        <w:pStyle w:val="StandardWeb"/>
      </w:pPr>
      <w:r>
        <w:lastRenderedPageBreak/>
        <w:t>gilt.</w:t>
      </w:r>
    </w:p>
    <w:p w:rsidR="00F20C56" w:rsidRDefault="00F20C56" w:rsidP="00F20C56">
      <w:pPr>
        <w:pStyle w:val="StandardWeb"/>
      </w:pPr>
      <w:r>
        <w:t>Für (A_{\mathrm{III}}) ist ein Modell erforderlich mit</w:t>
      </w:r>
    </w:p>
    <w:p w:rsidR="00F20C56" w:rsidRDefault="00F20C56" w:rsidP="00F20C56">
      <w:pPr>
        <w:pStyle w:val="StandardWeb"/>
      </w:pPr>
      <w:r>
        <w:t>[</w:t>
      </w:r>
      <w:r>
        <w:br/>
        <w:t>\mathcal{M}</w:t>
      </w:r>
      <w:r>
        <w:rPr>
          <w:rStyle w:val="Hervorhebung"/>
        </w:rPr>
        <w:t>{\neg\mathrm{III}}</w:t>
      </w:r>
      <w:r>
        <w:rPr>
          <w:i/>
          <w:iCs/>
        </w:rPr>
        <w:br/>
      </w:r>
      <w:r>
        <w:rPr>
          <w:rStyle w:val="Hervorhebung"/>
        </w:rPr>
        <w:t>\models</w:t>
      </w:r>
      <w:r>
        <w:rPr>
          <w:i/>
          <w:iCs/>
        </w:rPr>
        <w:br/>
      </w:r>
      <w:r>
        <w:rPr>
          <w:rStyle w:val="Hervorhebung"/>
        </w:rPr>
        <w:t>A</w:t>
      </w:r>
      <w:r>
        <w:t>{\mathrm{I}}</w:t>
      </w:r>
      <w:r>
        <w:br/>
        <w:t>\land</w:t>
      </w:r>
      <w:r>
        <w:br/>
        <w:t>A_{\mathrm{II}}</w:t>
      </w:r>
      <w:r>
        <w:br/>
        <w:t>\land</w:t>
      </w:r>
      <w:r>
        <w:br/>
        <w:t>\neg A_{\mathrm{III}}.</w:t>
      </w:r>
      <w:r>
        <w:br/>
        <w:t>\tag{3.4366}</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\mathcal{M}_{\neg\mathrm{III}}\models A_{\mathrm{I}}\land A_{\mathrm{II}}\land\neg A_{\mathrm{III}}\qquad\text{(3.4366)}</w:t>
      </w:r>
    </w:p>
    <w:p w:rsidR="00F20C56" w:rsidRDefault="00F20C56" w:rsidP="00F20C56">
      <w:pPr>
        <w:pStyle w:val="StandardWeb"/>
      </w:pPr>
      <w:r>
        <w:t>Das Symbol (\models) bezeichnet hierbei die Erfüllungsrelation zwischen einem Modell und einer formalen Aussage [6, 79].</w:t>
      </w:r>
    </w:p>
    <w:p w:rsidR="00F20C56" w:rsidRPr="00AF32B2" w:rsidRDefault="00F20C56" w:rsidP="00AF32B2">
      <w:pPr>
        <w:pStyle w:val="berschrift4"/>
      </w:pPr>
      <w:r w:rsidRPr="00AF32B2">
        <w:t>3.3.19.2 Präzisierung der drei Axiomaussagen</w:t>
      </w:r>
    </w:p>
    <w:p w:rsidR="00F20C56" w:rsidRDefault="00F20C56" w:rsidP="00F20C56">
      <w:pPr>
        <w:pStyle w:val="StandardWeb"/>
      </w:pPr>
      <w:r>
        <w:t>Für die Unabhängigkeitsprüfung müssen die drei Axiome so voneinander getrennt werden, dass ihre jeweiligen Existenzbehauptungen eindeutig erkennbar sind.</w:t>
      </w:r>
    </w:p>
    <w:p w:rsidR="00F20C56" w:rsidRDefault="00F20C56" w:rsidP="00F20C56">
      <w:pPr>
        <w:pStyle w:val="StandardWeb"/>
      </w:pPr>
      <w:r>
        <w:t>Primäraxiom I sichert die Existenz mindestens eines elementaren funktionalen Zustands:</w:t>
      </w:r>
    </w:p>
    <w:p w:rsidR="00F20C56" w:rsidRDefault="00F20C56" w:rsidP="00F20C56">
      <w:pPr>
        <w:pStyle w:val="StandardWeb"/>
      </w:pPr>
      <w:r>
        <w:t>[</w:t>
      </w:r>
      <w:r>
        <w:br/>
        <w:t>A_{\mathrm{I}}</w:t>
      </w:r>
      <w:r>
        <w:br/>
        <w:t>:</w:t>
      </w:r>
      <w:r>
        <w:br/>
        <w:t>\mathcal{S}_{\mathrm{el}}</w:t>
      </w:r>
      <w:r>
        <w:br/>
        <w:t>\neq</w:t>
      </w:r>
      <w:r>
        <w:br/>
        <w:t>\emptyset.</w:t>
      </w:r>
      <w:r>
        <w:br/>
        <w:t>\tag{3.4367}</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A_{\mathrm{I}}:\mathcal{S}_{\mathrm{el}}\neq\emptyset\qquad\text{(3.4367)}</w:t>
      </w:r>
    </w:p>
    <w:p w:rsidR="00F20C56" w:rsidRDefault="00F20C56" w:rsidP="00F20C56">
      <w:pPr>
        <w:pStyle w:val="StandardWeb"/>
      </w:pPr>
      <w:r>
        <w:t>Primäraxiom II sichert die Existenz mindestens einer funktionalen Relation:</w:t>
      </w:r>
    </w:p>
    <w:p w:rsidR="00F20C56" w:rsidRDefault="00F20C56" w:rsidP="00F20C56">
      <w:pPr>
        <w:pStyle w:val="StandardWeb"/>
      </w:pPr>
      <w:r>
        <w:t>[</w:t>
      </w:r>
      <w:r>
        <w:br/>
        <w:t>A_{\mathrm{II}}</w:t>
      </w:r>
      <w:r>
        <w:br/>
        <w:t>:</w:t>
      </w:r>
      <w:r>
        <w:br/>
        <w:t>\mathfrak{R}_{\mathrm{f}}</w:t>
      </w:r>
      <w:r>
        <w:br/>
        <w:t>\neq</w:t>
      </w:r>
      <w:r>
        <w:br/>
        <w:t>\emptyset.</w:t>
      </w:r>
      <w:r>
        <w:br/>
      </w:r>
      <w:r>
        <w:lastRenderedPageBreak/>
        <w:t>\tag{3.4368}</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A_{\mathrm{II}}:\mathfrak{R}_{\mathrm{f}}\neq\emptyset\qquad\text{(3.4368)}</w:t>
      </w:r>
    </w:p>
    <w:p w:rsidR="00F20C56" w:rsidRDefault="00F20C56" w:rsidP="00F20C56">
      <w:pPr>
        <w:pStyle w:val="StandardWeb"/>
      </w:pPr>
      <w:r>
        <w:t>Primäraxiom III sichert die Existenz mindestens einer funktionalen Transformation:</w:t>
      </w:r>
    </w:p>
    <w:p w:rsidR="00F20C56" w:rsidRDefault="00F20C56" w:rsidP="00F20C56">
      <w:pPr>
        <w:pStyle w:val="StandardWeb"/>
      </w:pPr>
      <w:r>
        <w:t>[</w:t>
      </w:r>
      <w:r>
        <w:br/>
        <w:t>A_{\mathrm{III}}</w:t>
      </w:r>
      <w:r>
        <w:br/>
        <w:t>:</w:t>
      </w:r>
      <w:r>
        <w:br/>
        <w:t>\mathfrak{T}_{\mathrm{f}}</w:t>
      </w:r>
      <w:r>
        <w:br/>
        <w:t>\neq</w:t>
      </w:r>
      <w:r>
        <w:br/>
        <w:t>\emptyset.</w:t>
      </w:r>
      <w:r>
        <w:br/>
        <w:t>\tag{3.4369}</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A_{\mathrm{III}}:\mathfrak{T}_{\mathrm{f}}\neq\emptyset\qquad\text{(3.4369)}</w:t>
      </w:r>
    </w:p>
    <w:p w:rsidR="00F20C56" w:rsidRDefault="00F20C56" w:rsidP="00F20C56">
      <w:pPr>
        <w:pStyle w:val="StandardWeb"/>
      </w:pPr>
      <w:r>
        <w:t>Diese drei Aussagen beziehen sich auf unterschiedliche Objektklassen. Daraus folgt jedoch noch nicht ihre logische Unabhängigkeit. Die Unabhängigkeit muss durch Modelle gezeigt werden, in denen die Objektklassen ausdrücklich getrennt interpretiert werden [6, 79].</w:t>
      </w:r>
    </w:p>
    <w:p w:rsidR="00F20C56" w:rsidRPr="00AF32B2" w:rsidRDefault="00F20C56" w:rsidP="00AF32B2">
      <w:pPr>
        <w:pStyle w:val="berschrift4"/>
      </w:pPr>
      <w:r w:rsidRPr="00AF32B2">
        <w:t>3.3.19.3 Methodische Einschränkung der Gegenmodelle</w:t>
      </w:r>
    </w:p>
    <w:p w:rsidR="00F20C56" w:rsidRDefault="00F20C56" w:rsidP="00F20C56">
      <w:pPr>
        <w:pStyle w:val="StandardWeb"/>
      </w:pPr>
      <w:r>
        <w:t>Ein Gegenmodell darf nicht deshalb scheitern, weil die verwendeten Objektklassen bereits durch ihre Definition voneinander abhängig gemacht wurden. Würde eine funktionale Relation ausschließlich als Teilmenge von (\mathcal{S}</w:t>
      </w:r>
      <w:r>
        <w:rPr>
          <w:rStyle w:val="Hervorhebung"/>
        </w:rPr>
        <w:t>{\mathrm{el}}\times\mathcal{S}</w:t>
      </w:r>
      <w:r>
        <w:t>{\mathrm{el}}) definiert, wäre bei leerem Zustandsbereich nur die leere Relation möglich. Ebenso wären Transformationen von einer leeren Zustandsmenge in sich selbst nur in sehr eingeschränkter Weise interpretierbar [6].</w:t>
      </w:r>
    </w:p>
    <w:p w:rsidR="00F20C56" w:rsidRDefault="00F20C56" w:rsidP="00F20C56">
      <w:pPr>
        <w:pStyle w:val="StandardWeb"/>
      </w:pPr>
      <w:r>
        <w:t>Für die Unabhängigkeitsprüfung unterscheide ich deshalb zwischen:</w:t>
      </w:r>
    </w:p>
    <w:p w:rsidR="00F20C56" w:rsidRDefault="00F20C56" w:rsidP="00632D23">
      <w:pPr>
        <w:pStyle w:val="StandardWeb"/>
        <w:numPr>
          <w:ilvl w:val="0"/>
          <w:numId w:val="86"/>
        </w:numPr>
      </w:pPr>
      <w:r>
        <w:t>der abstrakten Existenz einer Objektklasse,</w:t>
      </w:r>
    </w:p>
    <w:p w:rsidR="00F20C56" w:rsidRDefault="00F20C56" w:rsidP="00632D23">
      <w:pPr>
        <w:pStyle w:val="StandardWeb"/>
        <w:numPr>
          <w:ilvl w:val="0"/>
          <w:numId w:val="86"/>
        </w:numPr>
      </w:pPr>
      <w:r>
        <w:t>ihrer späteren typisierten Einbettung in das vollständige FRZK.</w:t>
      </w:r>
    </w:p>
    <w:p w:rsidR="00F20C56" w:rsidRDefault="00F20C56" w:rsidP="00F20C56">
      <w:pPr>
        <w:pStyle w:val="StandardWeb"/>
      </w:pPr>
      <w:r>
        <w:t>Ein Gegenmodell prüft ausschließlich, ob die jeweilige Existenzbehauptung aus den beiden anderen Existenzbehauptungen folgt. Es muss noch kein vollständiges FRZK im Sinne von Definition 3.3.11 darstellen.</w:t>
      </w:r>
    </w:p>
    <w:p w:rsidR="00F20C56" w:rsidRDefault="00F20C56" w:rsidP="00F20C56">
      <w:pPr>
        <w:pStyle w:val="StandardWeb"/>
      </w:pPr>
      <w:r>
        <w:rPr>
          <w:rStyle w:val="Fett"/>
        </w:rPr>
        <w:t>Eigenleistung des FRZK</w:t>
      </w:r>
    </w:p>
    <w:p w:rsidR="00F20C56" w:rsidRDefault="00F20C56" w:rsidP="00F20C56">
      <w:pPr>
        <w:pStyle w:val="StandardWeb"/>
      </w:pPr>
      <w:r>
        <w:t>Ich verwende für die Unabhängigkeitsprüfung reduzierte Prämodelle. Diese Modelle enthalten nur diejenigen Objektklassen, die zur logischen Trennung der Primäraxiome erforderlich sind. Sie sind keine vollständigen FRZK-Modelle und besitzen noch keine Raum-, Zeit- oder Kohärenzstruktur.</w:t>
      </w:r>
    </w:p>
    <w:p w:rsidR="00F20C56" w:rsidRPr="00AF32B2" w:rsidRDefault="00F20C56" w:rsidP="00AF32B2">
      <w:pPr>
        <w:pStyle w:val="berschrift4"/>
      </w:pPr>
      <w:r w:rsidRPr="00AF32B2">
        <w:lastRenderedPageBreak/>
        <w:t>3.3.19.4 Definition eines reduzierten Prämodells</w:t>
      </w:r>
    </w:p>
    <w:p w:rsidR="00F20C56" w:rsidRDefault="00F20C56" w:rsidP="00F20C56">
      <w:pPr>
        <w:pStyle w:val="StandardWeb"/>
      </w:pPr>
      <w:r>
        <w:rPr>
          <w:rStyle w:val="Fett"/>
        </w:rPr>
        <w:t>Definition 3.3.12 – Reduziertes FRZK-Prämodell</w:t>
      </w:r>
    </w:p>
    <w:p w:rsidR="00F20C56" w:rsidRDefault="00F20C56" w:rsidP="00F20C56">
      <w:pPr>
        <w:pStyle w:val="StandardWeb"/>
      </w:pPr>
      <w:r>
        <w:t>Ein reduziertes FRZK-Prämodell ist ein geordnetes Tripel</w:t>
      </w:r>
    </w:p>
    <w:p w:rsidR="00F20C56" w:rsidRDefault="00F20C56" w:rsidP="00F20C56">
      <w:pPr>
        <w:pStyle w:val="berschrift1"/>
      </w:pPr>
      <w:r>
        <w:t>[</w:t>
      </w:r>
      <w:r>
        <w:br/>
        <w:t>\mathcal{M}</w:t>
      </w:r>
    </w:p>
    <w:p w:rsidR="00F20C56" w:rsidRDefault="00F20C56" w:rsidP="00F20C56">
      <w:pPr>
        <w:pStyle w:val="StandardWeb"/>
      </w:pPr>
      <w:r>
        <w:t>\left(</w:t>
      </w:r>
      <w:r>
        <w:br/>
        <w:t>S,</w:t>
      </w:r>
      <w:r>
        <w:br/>
        <w:t>R,</w:t>
      </w:r>
      <w:r>
        <w:br/>
        <w:t>T</w:t>
      </w:r>
      <w:r>
        <w:br/>
        <w:t>\right),</w:t>
      </w:r>
      <w:r>
        <w:br/>
        <w:t>\tag{3.4370}</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\mathcal{M}=\left(S,R,T\right)\qquad\text{(3.4370)}</w:t>
      </w:r>
    </w:p>
    <w:p w:rsidR="00F20C56" w:rsidRDefault="00F20C56" w:rsidP="00F20C56">
      <w:pPr>
        <w:pStyle w:val="StandardWeb"/>
      </w:pPr>
      <w:r>
        <w:t>bei dem:</w:t>
      </w:r>
    </w:p>
    <w:p w:rsidR="00F20C56" w:rsidRDefault="00F20C56" w:rsidP="00632D23">
      <w:pPr>
        <w:pStyle w:val="StandardWeb"/>
        <w:numPr>
          <w:ilvl w:val="0"/>
          <w:numId w:val="87"/>
        </w:numPr>
      </w:pPr>
      <w:r>
        <w:t>(S) eine Menge potentieller funktionaler Zustände bezeichnet,</w:t>
      </w:r>
    </w:p>
    <w:p w:rsidR="00F20C56" w:rsidRDefault="00F20C56" w:rsidP="00632D23">
      <w:pPr>
        <w:pStyle w:val="StandardWeb"/>
        <w:numPr>
          <w:ilvl w:val="0"/>
          <w:numId w:val="87"/>
        </w:numPr>
      </w:pPr>
      <w:r>
        <w:t>(R) eine Menge potentieller funktionaler Relationsobjekte bezeichnet,</w:t>
      </w:r>
    </w:p>
    <w:p w:rsidR="00F20C56" w:rsidRDefault="00F20C56" w:rsidP="00632D23">
      <w:pPr>
        <w:pStyle w:val="StandardWeb"/>
        <w:numPr>
          <w:ilvl w:val="0"/>
          <w:numId w:val="87"/>
        </w:numPr>
      </w:pPr>
      <w:r>
        <w:t>(T) eine Menge potentieller funktionaler Transformationsobjekte bezeichnet.</w:t>
      </w:r>
    </w:p>
    <w:p w:rsidR="00F20C56" w:rsidRDefault="00F20C56" w:rsidP="00F20C56">
      <w:pPr>
        <w:pStyle w:val="StandardWeb"/>
      </w:pPr>
      <w:r>
        <w:t>Für ein reduziertes Prämodell werden die drei Axiome durch folgende Erfüllungsbedingungen interpretiert:</w:t>
      </w:r>
    </w:p>
    <w:p w:rsidR="00F20C56" w:rsidRDefault="00F20C56" w:rsidP="00F20C56">
      <w:pPr>
        <w:pStyle w:val="StandardWeb"/>
      </w:pPr>
      <w:r>
        <w:t>[</w:t>
      </w:r>
      <w:r>
        <w:br/>
        <w:t>\mathcal{M}</w:t>
      </w:r>
      <w:r>
        <w:br/>
        <w:t>\models</w:t>
      </w:r>
      <w:r>
        <w:br/>
        <w:t>A_{\mathrm{I}}</w:t>
      </w:r>
      <w:r>
        <w:br/>
        <w:t>\iff</w:t>
      </w:r>
      <w:r>
        <w:br/>
        <w:t>S</w:t>
      </w:r>
      <w:r>
        <w:br/>
        <w:t>\neq</w:t>
      </w:r>
      <w:r>
        <w:br/>
        <w:t>\emptyset,</w:t>
      </w:r>
      <w:r>
        <w:br/>
        <w:t>\tag{3.4371}</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\mathcal{M}\models A_{\mathrm{I}}\iff S\neq\emptyset\qquad\text{(3.4371)}</w:t>
      </w:r>
    </w:p>
    <w:p w:rsidR="00F20C56" w:rsidRDefault="00F20C56" w:rsidP="00F20C56">
      <w:pPr>
        <w:pStyle w:val="StandardWeb"/>
      </w:pPr>
      <w:r>
        <w:t>[</w:t>
      </w:r>
      <w:r>
        <w:br/>
        <w:t>\mathcal{M}</w:t>
      </w:r>
      <w:r>
        <w:br/>
        <w:t>\models</w:t>
      </w:r>
      <w:r>
        <w:br/>
        <w:t>A_{\mathrm{II}}</w:t>
      </w:r>
      <w:r>
        <w:br/>
        <w:t>\iff</w:t>
      </w:r>
      <w:r>
        <w:br/>
      </w:r>
      <w:r>
        <w:lastRenderedPageBreak/>
        <w:t>R</w:t>
      </w:r>
      <w:r>
        <w:br/>
        <w:t>\neq</w:t>
      </w:r>
      <w:r>
        <w:br/>
        <w:t>\emptyset,</w:t>
      </w:r>
      <w:r>
        <w:br/>
        <w:t>\tag{3.4372}</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\mathcal{M}\models A_{\mathrm{II}}\iff R\neq\emptyset\qquad\text{(3.4372)}</w:t>
      </w:r>
    </w:p>
    <w:p w:rsidR="00F20C56" w:rsidRDefault="00F20C56" w:rsidP="00F20C56">
      <w:pPr>
        <w:pStyle w:val="StandardWeb"/>
      </w:pPr>
      <w:r>
        <w:t>und</w:t>
      </w:r>
    </w:p>
    <w:p w:rsidR="00F20C56" w:rsidRDefault="00F20C56" w:rsidP="00F20C56">
      <w:pPr>
        <w:pStyle w:val="StandardWeb"/>
      </w:pPr>
      <w:r>
        <w:t>[</w:t>
      </w:r>
      <w:r>
        <w:br/>
        <w:t>\mathcal{M}</w:t>
      </w:r>
      <w:r>
        <w:br/>
        <w:t>\models</w:t>
      </w:r>
      <w:r>
        <w:br/>
        <w:t>A_{\mathrm{III}}</w:t>
      </w:r>
      <w:r>
        <w:br/>
        <w:t>\iff</w:t>
      </w:r>
      <w:r>
        <w:br/>
        <w:t>T</w:t>
      </w:r>
      <w:r>
        <w:br/>
        <w:t>\neq</w:t>
      </w:r>
      <w:r>
        <w:br/>
        <w:t>\emptyset.</w:t>
      </w:r>
      <w:r>
        <w:br/>
        <w:t>\tag{3.4373}</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\mathcal{M}\models A_{\mathrm{III}}\iff T\neq\emptyset\qquad\text{(3.4373)}</w:t>
      </w:r>
    </w:p>
    <w:p w:rsidR="00F20C56" w:rsidRDefault="00F20C56" w:rsidP="00F20C56">
      <w:pPr>
        <w:pStyle w:val="StandardWeb"/>
      </w:pPr>
      <w:r>
        <w:t>Definition 3.3.12 abstrahiert bewusst von den späteren Typbedingungen der Relations- und Transformationsobjekte. Die typisierte Einbettung in ein vollständiges FRZK wird erst nach der Unabhängigkeitsprüfung wiederhergestellt.</w:t>
      </w:r>
    </w:p>
    <w:p w:rsidR="00F20C56" w:rsidRPr="00AF32B2" w:rsidRDefault="00F20C56" w:rsidP="00AF32B2">
      <w:pPr>
        <w:pStyle w:val="berschrift4"/>
      </w:pPr>
      <w:r w:rsidRPr="00AF32B2">
        <w:t>3.3.19.5 Gegenmodell zu Primäraxiom I</w:t>
      </w:r>
    </w:p>
    <w:p w:rsidR="00F20C56" w:rsidRDefault="00F20C56" w:rsidP="00F20C56">
      <w:pPr>
        <w:pStyle w:val="StandardWeb"/>
      </w:pPr>
      <w:r>
        <w:t>Zur Prüfung von Primäraxiom I konstruiere ich das reduzierte Prämodell</w:t>
      </w:r>
    </w:p>
    <w:p w:rsidR="00F20C56" w:rsidRDefault="00F20C56" w:rsidP="00F20C56">
      <w:pPr>
        <w:pStyle w:val="berschrift1"/>
      </w:pPr>
      <w:r>
        <w:t>[</w:t>
      </w:r>
      <w:r>
        <w:br/>
        <w:t>\mathcal{M}_{\neg\mathrm{I}}</w:t>
      </w:r>
    </w:p>
    <w:p w:rsidR="00F20C56" w:rsidRDefault="00F20C56" w:rsidP="00F20C56">
      <w:pPr>
        <w:pStyle w:val="StandardWeb"/>
      </w:pPr>
      <w:r>
        <w:t>\left(</w:t>
      </w:r>
      <w:r>
        <w:br/>
        <w:t>\emptyset,</w:t>
      </w:r>
      <w:r>
        <w:br/>
        <w:t>{r_1},</w:t>
      </w:r>
      <w:r>
        <w:br/>
        <w:t>{t_1}</w:t>
      </w:r>
      <w:r>
        <w:br/>
        <w:t>\right).</w:t>
      </w:r>
      <w:r>
        <w:br/>
        <w:t>\tag{3.4374}</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\mathcal{M}_{\neg\mathrm{I}}=\left(\emptyset,\{r_1\},\{t_1\}\right)\qquad\text{(3.4374)}</w:t>
      </w:r>
    </w:p>
    <w:p w:rsidR="00F20C56" w:rsidRDefault="00F20C56" w:rsidP="00F20C56">
      <w:pPr>
        <w:pStyle w:val="StandardWeb"/>
      </w:pPr>
      <w:r>
        <w:lastRenderedPageBreak/>
        <w:t>Dabei bezeichnet:</w:t>
      </w:r>
    </w:p>
    <w:p w:rsidR="00F20C56" w:rsidRDefault="00F20C56" w:rsidP="00632D23">
      <w:pPr>
        <w:pStyle w:val="StandardWeb"/>
        <w:numPr>
          <w:ilvl w:val="0"/>
          <w:numId w:val="88"/>
        </w:numPr>
      </w:pPr>
      <w:r>
        <w:t>(\emptyset) einen leeren potentiellen Zustandsbereich,</w:t>
      </w:r>
    </w:p>
    <w:p w:rsidR="00F20C56" w:rsidRDefault="00F20C56" w:rsidP="00632D23">
      <w:pPr>
        <w:pStyle w:val="StandardWeb"/>
        <w:numPr>
          <w:ilvl w:val="0"/>
          <w:numId w:val="88"/>
        </w:numPr>
      </w:pPr>
      <w:r>
        <w:t>(r_1) ein abstraktes funktionales Relationsobjekt,</w:t>
      </w:r>
    </w:p>
    <w:p w:rsidR="00F20C56" w:rsidRDefault="00F20C56" w:rsidP="00632D23">
      <w:pPr>
        <w:pStyle w:val="StandardWeb"/>
        <w:numPr>
          <w:ilvl w:val="0"/>
          <w:numId w:val="88"/>
        </w:numPr>
      </w:pPr>
      <w:r>
        <w:t>(t_1) ein abstraktes funktionales Transformationsobjekt.</w:t>
      </w:r>
    </w:p>
    <w:p w:rsidR="00F20C56" w:rsidRDefault="00F20C56" w:rsidP="00F20C56">
      <w:pPr>
        <w:pStyle w:val="StandardWeb"/>
      </w:pPr>
      <w:r>
        <w:t>Für das Modell gilt:</w:t>
      </w:r>
    </w:p>
    <w:p w:rsidR="00F20C56" w:rsidRDefault="00F20C56" w:rsidP="00F20C56">
      <w:pPr>
        <w:pStyle w:val="berschrift1"/>
      </w:pPr>
      <w:r>
        <w:t>[</w:t>
      </w:r>
      <w:r>
        <w:br/>
        <w:t>S_{\neg\mathrm{I}}</w:t>
      </w:r>
    </w:p>
    <w:p w:rsidR="00F20C56" w:rsidRDefault="00F20C56" w:rsidP="00F20C56">
      <w:pPr>
        <w:pStyle w:val="StandardWeb"/>
      </w:pPr>
      <w:r>
        <w:t>\emptyset.</w:t>
      </w:r>
      <w:r>
        <w:br/>
        <w:t>\tag{3.4375}</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S_{\neg\mathrm{I}}=\emptyset\qquad\text{(3.4375)}</w:t>
      </w:r>
    </w:p>
    <w:p w:rsidR="00F20C56" w:rsidRDefault="00F20C56" w:rsidP="00F20C56">
      <w:pPr>
        <w:pStyle w:val="StandardWeb"/>
      </w:pPr>
      <w:r>
        <w:t>Damit ist Primäraxiom I nicht erfüllt:</w:t>
      </w:r>
    </w:p>
    <w:p w:rsidR="00F20C56" w:rsidRDefault="00F20C56" w:rsidP="00F20C56">
      <w:pPr>
        <w:pStyle w:val="StandardWeb"/>
      </w:pPr>
      <w:r>
        <w:t>[</w:t>
      </w:r>
      <w:r>
        <w:br/>
        <w:t>\mathcal{M}</w:t>
      </w:r>
      <w:r>
        <w:rPr>
          <w:rStyle w:val="Hervorhebung"/>
        </w:rPr>
        <w:t>{\neg\mathrm{I}}</w:t>
      </w:r>
      <w:r>
        <w:rPr>
          <w:i/>
          <w:iCs/>
        </w:rPr>
        <w:br/>
      </w:r>
      <w:r>
        <w:rPr>
          <w:rStyle w:val="Hervorhebung"/>
        </w:rPr>
        <w:t>\not\models</w:t>
      </w:r>
      <w:r>
        <w:rPr>
          <w:i/>
          <w:iCs/>
        </w:rPr>
        <w:br/>
      </w:r>
      <w:r>
        <w:rPr>
          <w:rStyle w:val="Hervorhebung"/>
        </w:rPr>
        <w:t>A</w:t>
      </w:r>
      <w:r>
        <w:t>{\mathrm{I}}.</w:t>
      </w:r>
      <w:r>
        <w:br/>
        <w:t>\tag{3.4376}</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\mathcal{M}_{\neg\mathrm{I}}\not\models A_{\mathrm{I}}\qquad\text{(3.4376)}</w:t>
      </w:r>
    </w:p>
    <w:p w:rsidR="00F20C56" w:rsidRDefault="00F20C56" w:rsidP="00F20C56">
      <w:pPr>
        <w:pStyle w:val="StandardWeb"/>
      </w:pPr>
      <w:r>
        <w:t>Für die Relationsobjektmenge gilt:</w:t>
      </w:r>
    </w:p>
    <w:p w:rsidR="00F20C56" w:rsidRDefault="00F20C56" w:rsidP="00F20C56">
      <w:pPr>
        <w:pStyle w:val="berschrift1"/>
      </w:pPr>
      <w:r>
        <w:t>[</w:t>
      </w:r>
      <w:r>
        <w:br/>
        <w:t>R_{\neg\mathrm{I}}</w:t>
      </w:r>
    </w:p>
    <w:p w:rsidR="00F20C56" w:rsidRDefault="00F20C56" w:rsidP="00F20C56">
      <w:pPr>
        <w:pStyle w:val="StandardWeb"/>
      </w:pPr>
      <w:r>
        <w:t>{r_1}</w:t>
      </w:r>
      <w:r>
        <w:br/>
        <w:t>\neq</w:t>
      </w:r>
      <w:r>
        <w:br/>
        <w:t>\emptyset.</w:t>
      </w:r>
      <w:r>
        <w:br/>
        <w:t>\tag{3.4377}</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R_{\neg\mathrm{I}}=\{r_1\}\neq\emptyset\qquad\text{(3.4377)}</w:t>
      </w:r>
    </w:p>
    <w:p w:rsidR="00F20C56" w:rsidRDefault="00F20C56" w:rsidP="00F20C56">
      <w:pPr>
        <w:pStyle w:val="StandardWeb"/>
      </w:pPr>
      <w:r>
        <w:t>Daraus folgt:</w:t>
      </w:r>
    </w:p>
    <w:p w:rsidR="00F20C56" w:rsidRDefault="00F20C56" w:rsidP="00F20C56">
      <w:pPr>
        <w:pStyle w:val="StandardWeb"/>
      </w:pPr>
      <w:r>
        <w:lastRenderedPageBreak/>
        <w:t>[</w:t>
      </w:r>
      <w:r>
        <w:br/>
        <w:t>\mathcal{M}</w:t>
      </w:r>
      <w:r>
        <w:rPr>
          <w:rStyle w:val="Hervorhebung"/>
        </w:rPr>
        <w:t>{\neg\mathrm{I}}</w:t>
      </w:r>
      <w:r>
        <w:rPr>
          <w:i/>
          <w:iCs/>
        </w:rPr>
        <w:br/>
      </w:r>
      <w:r>
        <w:rPr>
          <w:rStyle w:val="Hervorhebung"/>
        </w:rPr>
        <w:t>\models</w:t>
      </w:r>
      <w:r>
        <w:rPr>
          <w:i/>
          <w:iCs/>
        </w:rPr>
        <w:br/>
      </w:r>
      <w:r>
        <w:rPr>
          <w:rStyle w:val="Hervorhebung"/>
        </w:rPr>
        <w:t>A</w:t>
      </w:r>
      <w:r>
        <w:t>{\mathrm{II}}.</w:t>
      </w:r>
      <w:r>
        <w:br/>
        <w:t>\tag{3.4378}</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\mathcal{M}_{\neg\mathrm{I}}\models A_{\mathrm{II}}\qquad\text{(3.4378)}</w:t>
      </w:r>
    </w:p>
    <w:p w:rsidR="00F20C56" w:rsidRDefault="00F20C56" w:rsidP="00F20C56">
      <w:pPr>
        <w:pStyle w:val="StandardWeb"/>
      </w:pPr>
      <w:r>
        <w:t>Für die Transformationsobjektmenge gilt:</w:t>
      </w:r>
    </w:p>
    <w:p w:rsidR="00F20C56" w:rsidRDefault="00F20C56" w:rsidP="00F20C56">
      <w:pPr>
        <w:pStyle w:val="berschrift1"/>
      </w:pPr>
      <w:r>
        <w:t>[</w:t>
      </w:r>
      <w:r>
        <w:br/>
        <w:t>T_{\neg\mathrm{I}}</w:t>
      </w:r>
    </w:p>
    <w:p w:rsidR="00F20C56" w:rsidRDefault="00F20C56" w:rsidP="00F20C56">
      <w:pPr>
        <w:pStyle w:val="StandardWeb"/>
      </w:pPr>
      <w:r>
        <w:t>{t_1}</w:t>
      </w:r>
      <w:r>
        <w:br/>
        <w:t>\neq</w:t>
      </w:r>
      <w:r>
        <w:br/>
        <w:t>\emptyset.</w:t>
      </w:r>
      <w:r>
        <w:br/>
        <w:t>\tag{3.4379}</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T_{\neg\mathrm{I}}=\{t_1\}\neq\emptyset\qquad\text{(3.4379)}</w:t>
      </w:r>
    </w:p>
    <w:p w:rsidR="00F20C56" w:rsidRDefault="00F20C56" w:rsidP="00F20C56">
      <w:pPr>
        <w:pStyle w:val="StandardWeb"/>
      </w:pPr>
      <w:r>
        <w:t>Damit gilt:</w:t>
      </w:r>
    </w:p>
    <w:p w:rsidR="00F20C56" w:rsidRDefault="00F20C56" w:rsidP="00F20C56">
      <w:pPr>
        <w:pStyle w:val="StandardWeb"/>
      </w:pPr>
      <w:r>
        <w:t>[</w:t>
      </w:r>
      <w:r>
        <w:br/>
        <w:t>\mathcal{M}</w:t>
      </w:r>
      <w:r>
        <w:rPr>
          <w:rStyle w:val="Hervorhebung"/>
        </w:rPr>
        <w:t>{\neg\mathrm{I}}</w:t>
      </w:r>
      <w:r>
        <w:rPr>
          <w:i/>
          <w:iCs/>
        </w:rPr>
        <w:br/>
      </w:r>
      <w:r>
        <w:rPr>
          <w:rStyle w:val="Hervorhebung"/>
        </w:rPr>
        <w:t>\models</w:t>
      </w:r>
      <w:r>
        <w:rPr>
          <w:i/>
          <w:iCs/>
        </w:rPr>
        <w:br/>
      </w:r>
      <w:r>
        <w:rPr>
          <w:rStyle w:val="Hervorhebung"/>
        </w:rPr>
        <w:t>A</w:t>
      </w:r>
      <w:r>
        <w:t>{\mathrm{III}}.</w:t>
      </w:r>
      <w:r>
        <w:br/>
        <w:t>\tag{3.4380}</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\mathcal{M}_{\neg\mathrm{I}}\models A_{\mathrm{III}}\qquad\text{(3.4380)}</w:t>
      </w:r>
    </w:p>
    <w:p w:rsidR="00F20C56" w:rsidRDefault="00F20C56" w:rsidP="00F20C56">
      <w:pPr>
        <w:pStyle w:val="StandardWeb"/>
      </w:pPr>
      <w:r>
        <w:t>Zusammengefasst erfüllt das Gegenmodell:</w:t>
      </w:r>
    </w:p>
    <w:p w:rsidR="00F20C56" w:rsidRDefault="00F20C56" w:rsidP="00F20C56">
      <w:pPr>
        <w:pStyle w:val="StandardWeb"/>
      </w:pPr>
      <w:r>
        <w:t>[</w:t>
      </w:r>
      <w:r>
        <w:br/>
        <w:t>\mathcal{M}</w:t>
      </w:r>
      <w:r>
        <w:rPr>
          <w:rStyle w:val="Hervorhebung"/>
        </w:rPr>
        <w:t>{\neg\mathrm{I}}</w:t>
      </w:r>
      <w:r>
        <w:rPr>
          <w:i/>
          <w:iCs/>
        </w:rPr>
        <w:br/>
      </w:r>
      <w:r>
        <w:rPr>
          <w:rStyle w:val="Hervorhebung"/>
        </w:rPr>
        <w:t>\models</w:t>
      </w:r>
      <w:r>
        <w:rPr>
          <w:i/>
          <w:iCs/>
        </w:rPr>
        <w:br/>
      </w:r>
      <w:r>
        <w:rPr>
          <w:rStyle w:val="Hervorhebung"/>
        </w:rPr>
        <w:t>A</w:t>
      </w:r>
      <w:r>
        <w:t>{\mathrm{II}}</w:t>
      </w:r>
      <w:r>
        <w:br/>
        <w:t>\land</w:t>
      </w:r>
      <w:r>
        <w:br/>
        <w:t>A_{\mathrm{III}}</w:t>
      </w:r>
      <w:r>
        <w:br/>
        <w:t>\land</w:t>
      </w:r>
      <w:r>
        <w:br/>
        <w:t>\neg A_{\mathrm{I}}.</w:t>
      </w:r>
      <w:r>
        <w:br/>
      </w:r>
      <w:r>
        <w:lastRenderedPageBreak/>
        <w:t>\tag{3.4381}</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\mathcal{M}_{\neg\mathrm{I}}\models A_{\mathrm{II}}\land A_{\mathrm{III}}\land\neg A_{\mathrm{I}}\qquad\text{(3.4381)}</w:t>
      </w:r>
    </w:p>
    <w:p w:rsidR="00F20C56" w:rsidRDefault="00F20C56" w:rsidP="00F20C56">
      <w:pPr>
        <w:pStyle w:val="StandardWeb"/>
      </w:pPr>
      <w:r>
        <w:t>Damit kann Primäraxiom I innerhalb des reduzierten Prämodells nicht aus Primäraxiom II und Primäraxiom III abgeleitet werden.</w:t>
      </w:r>
    </w:p>
    <w:p w:rsidR="00F20C56" w:rsidRDefault="00F20C56" w:rsidP="00F20C56">
      <w:pPr>
        <w:pStyle w:val="StandardWeb"/>
      </w:pPr>
      <w:r>
        <w:rPr>
          <w:rStyle w:val="Fett"/>
        </w:rPr>
        <w:t>Eigenleistung des FRZK</w:t>
      </w:r>
    </w:p>
    <w:p w:rsidR="00F20C56" w:rsidRDefault="00F20C56" w:rsidP="00F20C56">
      <w:pPr>
        <w:pStyle w:val="StandardWeb"/>
      </w:pPr>
      <w:r>
        <w:t>Das Gegenmodell zeigt ausschließlich die logische Trennbarkeit der drei Existenzbehauptungen. Es stellt kein vollständiges FRZK dar, weil Relations- und Transformationsobjekte ohne funktionale Zustände noch keine typisierten Relationen oder Transformationen des Gesamtsystems bilden.</w:t>
      </w:r>
    </w:p>
    <w:p w:rsidR="00F20C56" w:rsidRPr="00AF32B2" w:rsidRDefault="00F20C56" w:rsidP="00AF32B2">
      <w:pPr>
        <w:pStyle w:val="berschrift4"/>
      </w:pPr>
      <w:r w:rsidRPr="00AF32B2">
        <w:t>3.3.19.6 Konsequenz des ersten Gegenmodells</w:t>
      </w:r>
    </w:p>
    <w:p w:rsidR="00F20C56" w:rsidRDefault="00F20C56" w:rsidP="00F20C56">
      <w:pPr>
        <w:pStyle w:val="StandardWeb"/>
      </w:pPr>
      <w:r>
        <w:t>Aus Gleichung (3.4381) folgt:</w:t>
      </w:r>
    </w:p>
    <w:p w:rsidR="00F20C56" w:rsidRDefault="00F20C56" w:rsidP="00F20C56">
      <w:pPr>
        <w:pStyle w:val="StandardWeb"/>
      </w:pPr>
      <w:r>
        <w:t>[</w:t>
      </w:r>
      <w:r>
        <w:br/>
        <w:t>A_{\mathrm{II}}</w:t>
      </w:r>
      <w:r>
        <w:br/>
        <w:t>\land</w:t>
      </w:r>
      <w:r>
        <w:br/>
        <w:t>A_{\mathrm{III}}</w:t>
      </w:r>
      <w:r>
        <w:br/>
        <w:t>\not\models</w:t>
      </w:r>
      <w:r>
        <w:br/>
        <w:t>A_{\mathrm{I}}.</w:t>
      </w:r>
      <w:r>
        <w:br/>
        <w:t>\tag{3.4382}</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A_{\mathrm{II}}\land A_{\mathrm{III}}\not\models A_{\mathrm{I}}\qquad\text{(3.4382)}</w:t>
      </w:r>
    </w:p>
    <w:p w:rsidR="00F20C56" w:rsidRDefault="00F20C56" w:rsidP="00F20C56">
      <w:pPr>
        <w:pStyle w:val="StandardWeb"/>
      </w:pPr>
      <w:r>
        <w:t>Primäraxiom I ist damit semantisch unabhängig von den beiden anderen Primäraxiomen, sofern die drei Objektklassen auf der Ebene der Existenzbehauptungen getrennt interpretiert werden [6, 79].</w:t>
      </w:r>
    </w:p>
    <w:p w:rsidR="00F20C56" w:rsidRPr="00AF32B2" w:rsidRDefault="00F20C56" w:rsidP="00AF32B2">
      <w:pPr>
        <w:pStyle w:val="berschrift4"/>
      </w:pPr>
      <w:r w:rsidRPr="00AF32B2">
        <w:t>3.3.19.7 Gegenmodell zu Primäraxiom II</w:t>
      </w:r>
    </w:p>
    <w:p w:rsidR="00F20C56" w:rsidRDefault="00F20C56" w:rsidP="00F20C56">
      <w:pPr>
        <w:pStyle w:val="StandardWeb"/>
      </w:pPr>
      <w:r>
        <w:t>Zur Prüfung der Unabhängigkeit von Primäraxiom II konstruiere ich das Prämodell</w:t>
      </w:r>
    </w:p>
    <w:p w:rsidR="00F20C56" w:rsidRDefault="00F20C56" w:rsidP="00F20C56">
      <w:pPr>
        <w:pStyle w:val="berschrift1"/>
      </w:pPr>
      <w:r>
        <w:t>[</w:t>
      </w:r>
      <w:r>
        <w:br/>
        <w:t>\mathcal{M}_{\neg\mathrm{II}}</w:t>
      </w:r>
    </w:p>
    <w:p w:rsidR="00F20C56" w:rsidRDefault="00F20C56" w:rsidP="00F20C56">
      <w:pPr>
        <w:pStyle w:val="StandardWeb"/>
      </w:pPr>
      <w:r>
        <w:t>\left(</w:t>
      </w:r>
      <w:r>
        <w:br/>
        <w:t>{s_1},</w:t>
      </w:r>
      <w:r>
        <w:br/>
        <w:t>\emptyset,</w:t>
      </w:r>
      <w:r>
        <w:br/>
      </w:r>
      <w:r>
        <w:lastRenderedPageBreak/>
        <w:t>{t_1}</w:t>
      </w:r>
      <w:r>
        <w:br/>
        <w:t>\right).</w:t>
      </w:r>
      <w:r>
        <w:br/>
        <w:t>\tag{3.4383}</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\mathcal{M}_{\neg\mathrm{II}}=\left(\{s_1\},\emptyset,\{t_1\}\right)\qquad\text{(3.4383)}</w:t>
      </w:r>
    </w:p>
    <w:p w:rsidR="00F20C56" w:rsidRDefault="00F20C56" w:rsidP="00F20C56">
      <w:pPr>
        <w:pStyle w:val="StandardWeb"/>
      </w:pPr>
      <w:r>
        <w:t>Dabei bezeichnet (s_1) einen potentiellen funktionalen Zustand und (t_1) ein potentielles funktionales Transformationsobjekt.</w:t>
      </w:r>
    </w:p>
    <w:p w:rsidR="00F20C56" w:rsidRDefault="00F20C56" w:rsidP="00F20C56">
      <w:pPr>
        <w:pStyle w:val="StandardWeb"/>
      </w:pPr>
      <w:r>
        <w:t>Für die Zustandsmenge gilt:</w:t>
      </w:r>
    </w:p>
    <w:p w:rsidR="00F20C56" w:rsidRDefault="00F20C56" w:rsidP="00F20C56">
      <w:pPr>
        <w:pStyle w:val="berschrift1"/>
      </w:pPr>
      <w:r>
        <w:t>[</w:t>
      </w:r>
      <w:r>
        <w:br/>
        <w:t>S_{\neg\mathrm{II}}</w:t>
      </w:r>
    </w:p>
    <w:p w:rsidR="00F20C56" w:rsidRDefault="00F20C56" w:rsidP="00F20C56">
      <w:pPr>
        <w:pStyle w:val="StandardWeb"/>
      </w:pPr>
      <w:r>
        <w:t>{s_1}</w:t>
      </w:r>
      <w:r>
        <w:br/>
        <w:t>\neq</w:t>
      </w:r>
      <w:r>
        <w:br/>
        <w:t>\emptyset.</w:t>
      </w:r>
      <w:r>
        <w:br/>
        <w:t>\tag{3.4384}</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S_{\neg\mathrm{II}}=\{s_1\}\neq\emptyset\qquad\text{(3.4384)}</w:t>
      </w:r>
    </w:p>
    <w:p w:rsidR="00F20C56" w:rsidRDefault="00F20C56" w:rsidP="00F20C56">
      <w:pPr>
        <w:pStyle w:val="StandardWeb"/>
      </w:pPr>
      <w:r>
        <w:t>Daraus folgt:</w:t>
      </w:r>
    </w:p>
    <w:p w:rsidR="00F20C56" w:rsidRDefault="00F20C56" w:rsidP="00F20C56">
      <w:pPr>
        <w:pStyle w:val="StandardWeb"/>
      </w:pPr>
      <w:r>
        <w:t>[</w:t>
      </w:r>
      <w:r>
        <w:br/>
        <w:t>\mathcal{M}</w:t>
      </w:r>
      <w:r>
        <w:rPr>
          <w:rStyle w:val="Hervorhebung"/>
        </w:rPr>
        <w:t>{\neg\mathrm{II}}</w:t>
      </w:r>
      <w:r>
        <w:rPr>
          <w:i/>
          <w:iCs/>
        </w:rPr>
        <w:br/>
      </w:r>
      <w:r>
        <w:rPr>
          <w:rStyle w:val="Hervorhebung"/>
        </w:rPr>
        <w:t>\models</w:t>
      </w:r>
      <w:r>
        <w:rPr>
          <w:i/>
          <w:iCs/>
        </w:rPr>
        <w:br/>
      </w:r>
      <w:r>
        <w:rPr>
          <w:rStyle w:val="Hervorhebung"/>
        </w:rPr>
        <w:t>A</w:t>
      </w:r>
      <w:r>
        <w:t>{\mathrm{I}}.</w:t>
      </w:r>
      <w:r>
        <w:br/>
        <w:t>\tag{3.4385}</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\mathcal{M}_{\neg\mathrm{II}}\models A_{\mathrm{I}}\qquad\text{(3.4385)}</w:t>
      </w:r>
    </w:p>
    <w:p w:rsidR="00F20C56" w:rsidRDefault="00F20C56" w:rsidP="00F20C56">
      <w:pPr>
        <w:pStyle w:val="StandardWeb"/>
      </w:pPr>
      <w:r>
        <w:t>Für die Relationsobjektmenge gilt:</w:t>
      </w:r>
    </w:p>
    <w:p w:rsidR="00F20C56" w:rsidRDefault="00F20C56" w:rsidP="00F20C56">
      <w:pPr>
        <w:pStyle w:val="berschrift1"/>
      </w:pPr>
      <w:r>
        <w:t>[</w:t>
      </w:r>
      <w:r>
        <w:br/>
        <w:t>R_{\neg\mathrm{II}}</w:t>
      </w:r>
    </w:p>
    <w:p w:rsidR="00F20C56" w:rsidRDefault="00F20C56" w:rsidP="00F20C56">
      <w:pPr>
        <w:pStyle w:val="StandardWeb"/>
      </w:pPr>
      <w:r>
        <w:t>\emptyset.</w:t>
      </w:r>
      <w:r>
        <w:br/>
        <w:t>\tag{3.4386}</w:t>
      </w:r>
      <w:r>
        <w:br/>
        <w:t>]</w:t>
      </w:r>
    </w:p>
    <w:p w:rsidR="00F20C56" w:rsidRDefault="00F20C56" w:rsidP="00F20C56">
      <w:pPr>
        <w:pStyle w:val="StandardWeb"/>
      </w:pPr>
      <w:r>
        <w:rPr>
          <w:rStyle w:val="Fett"/>
        </w:rPr>
        <w:lastRenderedPageBreak/>
        <w:t>Word-LaTeX</w:t>
      </w:r>
    </w:p>
    <w:p w:rsidR="00F20C56" w:rsidRDefault="00F20C56" w:rsidP="00F20C56">
      <w:pPr>
        <w:pStyle w:val="HTMLVorformatiert"/>
        <w:rPr>
          <w:rStyle w:val="HTMLCode"/>
        </w:rPr>
      </w:pPr>
      <w:r>
        <w:rPr>
          <w:rStyle w:val="HTMLCode"/>
        </w:rPr>
        <w:t>R_{\neg\mathrm{II}}=\emptyset\qquad\text{(3.4386)}</w:t>
      </w:r>
    </w:p>
    <w:p w:rsidR="00F20C56" w:rsidRDefault="00F20C56" w:rsidP="00F20C56">
      <w:pPr>
        <w:pStyle w:val="StandardWeb"/>
      </w:pPr>
      <w:r>
        <w:t>Damit ist Primäraxiom II nicht erfüllt:</w:t>
      </w:r>
    </w:p>
    <w:p w:rsidR="00F20C56" w:rsidRDefault="00F20C56" w:rsidP="00F20C56">
      <w:pPr>
        <w:pStyle w:val="StandardWeb"/>
      </w:pPr>
      <w:r>
        <w:t>[</w:t>
      </w:r>
      <w:r>
        <w:br/>
        <w:t>\mathcal{M}</w:t>
      </w:r>
      <w:r>
        <w:rPr>
          <w:rStyle w:val="Hervorhebung"/>
        </w:rPr>
        <w:t>{\neg\mathrm{II}}</w:t>
      </w:r>
      <w:r>
        <w:rPr>
          <w:i/>
          <w:iCs/>
        </w:rPr>
        <w:br/>
      </w:r>
      <w:r>
        <w:rPr>
          <w:rStyle w:val="Hervorhebung"/>
        </w:rPr>
        <w:t>\not\models</w:t>
      </w:r>
      <w:r>
        <w:rPr>
          <w:i/>
          <w:iCs/>
        </w:rPr>
        <w:br/>
      </w:r>
      <w:r>
        <w:rPr>
          <w:rStyle w:val="Hervorhebung"/>
        </w:rPr>
        <w:t>A</w:t>
      </w:r>
      <w:r>
        <w:t>{\mathrm{II}}.</w:t>
      </w:r>
      <w:r>
        <w:br/>
        <w:t>\tag{3.4387}</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\mathcal{M}_{\neg\mathrm{II}}\not\models A_{\mathrm{II}}\qquad\text{(3.4387)}</w:t>
      </w:r>
    </w:p>
    <w:p w:rsidR="00F20C56" w:rsidRDefault="00F20C56" w:rsidP="00F20C56">
      <w:pPr>
        <w:pStyle w:val="StandardWeb"/>
      </w:pPr>
      <w:r>
        <w:t>Für die Transformationsobjektmenge gilt:</w:t>
      </w:r>
    </w:p>
    <w:p w:rsidR="00F20C56" w:rsidRDefault="00F20C56" w:rsidP="00F20C56">
      <w:pPr>
        <w:pStyle w:val="berschrift1"/>
      </w:pPr>
      <w:r>
        <w:t>[</w:t>
      </w:r>
      <w:r>
        <w:br/>
        <w:t>T_{\neg\mathrm{II}}</w:t>
      </w:r>
    </w:p>
    <w:p w:rsidR="00F20C56" w:rsidRDefault="00F20C56" w:rsidP="00F20C56">
      <w:pPr>
        <w:pStyle w:val="StandardWeb"/>
      </w:pPr>
      <w:r>
        <w:t>{t_1}</w:t>
      </w:r>
      <w:r>
        <w:br/>
        <w:t>\neq</w:t>
      </w:r>
      <w:r>
        <w:br/>
        <w:t>\emptyset.</w:t>
      </w:r>
      <w:r>
        <w:br/>
        <w:t>\tag{3.4388}</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T_{\neg\mathrm{II}}=\{t_1\}\neq\emptyset\qquad\text{(3.4388)}</w:t>
      </w:r>
    </w:p>
    <w:p w:rsidR="00F20C56" w:rsidRDefault="00F20C56" w:rsidP="00F20C56">
      <w:pPr>
        <w:pStyle w:val="StandardWeb"/>
      </w:pPr>
      <w:r>
        <w:t>Damit gilt:</w:t>
      </w:r>
    </w:p>
    <w:p w:rsidR="00F20C56" w:rsidRDefault="00F20C56" w:rsidP="00F20C56">
      <w:pPr>
        <w:pStyle w:val="StandardWeb"/>
      </w:pPr>
      <w:r>
        <w:t>[</w:t>
      </w:r>
      <w:r>
        <w:br/>
        <w:t>\mathcal{M}</w:t>
      </w:r>
      <w:r>
        <w:rPr>
          <w:rStyle w:val="Hervorhebung"/>
        </w:rPr>
        <w:t>{\neg\mathrm{II}}</w:t>
      </w:r>
      <w:r>
        <w:rPr>
          <w:i/>
          <w:iCs/>
        </w:rPr>
        <w:br/>
      </w:r>
      <w:r>
        <w:rPr>
          <w:rStyle w:val="Hervorhebung"/>
        </w:rPr>
        <w:t>\models</w:t>
      </w:r>
      <w:r>
        <w:rPr>
          <w:i/>
          <w:iCs/>
        </w:rPr>
        <w:br/>
      </w:r>
      <w:r>
        <w:rPr>
          <w:rStyle w:val="Hervorhebung"/>
        </w:rPr>
        <w:t>A</w:t>
      </w:r>
      <w:r>
        <w:t>{\mathrm{III}}.</w:t>
      </w:r>
      <w:r>
        <w:br/>
        <w:t>\tag{3.4389}</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\mathcal{M}_{\neg\mathrm{II}}\models A_{\mathrm{III}}\qquad\text{(3.4389)}</w:t>
      </w:r>
    </w:p>
    <w:p w:rsidR="00F20C56" w:rsidRDefault="00F20C56" w:rsidP="00F20C56">
      <w:pPr>
        <w:pStyle w:val="StandardWeb"/>
      </w:pPr>
      <w:r>
        <w:t>Zusammengefasst gilt:</w:t>
      </w:r>
    </w:p>
    <w:p w:rsidR="00F20C56" w:rsidRDefault="00F20C56" w:rsidP="00F20C56">
      <w:pPr>
        <w:pStyle w:val="StandardWeb"/>
      </w:pPr>
      <w:r>
        <w:t>[</w:t>
      </w:r>
      <w:r>
        <w:br/>
        <w:t>\mathcal{M}</w:t>
      </w:r>
      <w:r>
        <w:rPr>
          <w:rStyle w:val="Hervorhebung"/>
        </w:rPr>
        <w:t>{\neg\mathrm{II}}</w:t>
      </w:r>
      <w:r>
        <w:rPr>
          <w:i/>
          <w:iCs/>
        </w:rPr>
        <w:br/>
      </w:r>
      <w:r>
        <w:rPr>
          <w:rStyle w:val="Hervorhebung"/>
        </w:rPr>
        <w:lastRenderedPageBreak/>
        <w:t>\models</w:t>
      </w:r>
      <w:r>
        <w:rPr>
          <w:i/>
          <w:iCs/>
        </w:rPr>
        <w:br/>
      </w:r>
      <w:r>
        <w:rPr>
          <w:rStyle w:val="Hervorhebung"/>
        </w:rPr>
        <w:t>A</w:t>
      </w:r>
      <w:r>
        <w:t>{\mathrm{I}}</w:t>
      </w:r>
      <w:r>
        <w:br/>
        <w:t>\land</w:t>
      </w:r>
      <w:r>
        <w:br/>
        <w:t>A_{\mathrm{III}}</w:t>
      </w:r>
      <w:r>
        <w:br/>
        <w:t>\land</w:t>
      </w:r>
      <w:r>
        <w:br/>
        <w:t>\neg A_{\mathrm{II}}.</w:t>
      </w:r>
      <w:r>
        <w:br/>
        <w:t>\tag{3.4390}</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\mathcal{M}_{\neg\mathrm{II}}\models A_{\mathrm{I}}\land A_{\mathrm{III}}\land\neg A_{\mathrm{II}}\qquad\text{(3.4390)}</w:t>
      </w:r>
    </w:p>
    <w:p w:rsidR="00F20C56" w:rsidRDefault="00F20C56" w:rsidP="00F20C56">
      <w:pPr>
        <w:pStyle w:val="StandardWeb"/>
      </w:pPr>
      <w:r>
        <w:t>Damit kann die Existenz funktionaler Relationen nicht allein aus einem nichtleeren Zustandsbereich und einer nichtleeren Transformationsobjektmenge abgeleitet werden.</w:t>
      </w:r>
    </w:p>
    <w:p w:rsidR="00F20C56" w:rsidRPr="00AF32B2" w:rsidRDefault="00F20C56" w:rsidP="00AF32B2">
      <w:pPr>
        <w:pStyle w:val="berschrift4"/>
      </w:pPr>
      <w:r w:rsidRPr="00AF32B2">
        <w:t>3.3.19.8 Typisierte Variante des zweiten Gegenmodells</w:t>
      </w:r>
    </w:p>
    <w:p w:rsidR="00F20C56" w:rsidRDefault="00F20C56" w:rsidP="00F20C56">
      <w:pPr>
        <w:pStyle w:val="StandardWeb"/>
      </w:pPr>
      <w:r>
        <w:t>Für Primäraxiom II kann zusätzlich ein typisiertes Gegenmodell angegeben werden, weil eine Transformation auf einem nichtleeren Zustandsbereich existieren kann, ohne dass eine ausgewählte funktionale Relationsmenge vorhanden ist.</w:t>
      </w:r>
    </w:p>
    <w:p w:rsidR="00F20C56" w:rsidRDefault="00F20C56" w:rsidP="00F20C56">
      <w:pPr>
        <w:pStyle w:val="StandardWeb"/>
      </w:pPr>
      <w:r>
        <w:t>Sei</w:t>
      </w:r>
    </w:p>
    <w:p w:rsidR="00F20C56" w:rsidRDefault="00F20C56" w:rsidP="00F20C56">
      <w:pPr>
        <w:pStyle w:val="berschrift1"/>
      </w:pPr>
      <w:r>
        <w:t>[</w:t>
      </w:r>
      <w:r>
        <w:br/>
        <w:t>S</w:t>
      </w:r>
    </w:p>
    <w:p w:rsidR="00F20C56" w:rsidRDefault="00F20C56" w:rsidP="00F20C56">
      <w:pPr>
        <w:pStyle w:val="StandardWeb"/>
      </w:pPr>
      <w:r>
        <w:t>{s_1}.</w:t>
      </w:r>
      <w:r>
        <w:br/>
        <w:t>\tag{3.4391}</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S=\{s_1\}\qquad\text{(3.4391)}</w:t>
      </w:r>
    </w:p>
    <w:p w:rsidR="00F20C56" w:rsidRDefault="00F20C56" w:rsidP="00F20C56">
      <w:pPr>
        <w:pStyle w:val="StandardWeb"/>
      </w:pPr>
      <w:r>
        <w:t>Definiere die Identitätsabbildung</w:t>
      </w:r>
    </w:p>
    <w:p w:rsidR="00F20C56" w:rsidRDefault="00F20C56" w:rsidP="00F20C56">
      <w:pPr>
        <w:pStyle w:val="StandardWeb"/>
      </w:pPr>
      <w:r>
        <w:t>[</w:t>
      </w:r>
      <w:r>
        <w:br/>
        <w:t>t_1:</w:t>
      </w:r>
      <w:r>
        <w:br/>
        <w:t>S</w:t>
      </w:r>
      <w:r>
        <w:br/>
        <w:t>\rightarrow</w:t>
      </w:r>
      <w:r>
        <w:br/>
        <w:t>S</w:t>
      </w:r>
      <w:r>
        <w:br/>
        <w:t>\tag{3.4392}</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t_1:S\rightarrow S\qquad\text{(3.4392)}</w:t>
      </w:r>
    </w:p>
    <w:p w:rsidR="00F20C56" w:rsidRDefault="00F20C56" w:rsidP="00F20C56">
      <w:pPr>
        <w:pStyle w:val="StandardWeb"/>
      </w:pPr>
      <w:r>
        <w:lastRenderedPageBreak/>
        <w:t>durch</w:t>
      </w:r>
    </w:p>
    <w:p w:rsidR="00F20C56" w:rsidRDefault="00F20C56" w:rsidP="00F20C56">
      <w:pPr>
        <w:pStyle w:val="berschrift1"/>
      </w:pPr>
      <w:r>
        <w:t>[</w:t>
      </w:r>
      <w:r>
        <w:br/>
        <w:t>t_1(s_1)</w:t>
      </w:r>
    </w:p>
    <w:p w:rsidR="00F20C56" w:rsidRDefault="00F20C56" w:rsidP="00F20C56">
      <w:pPr>
        <w:pStyle w:val="StandardWeb"/>
      </w:pPr>
      <w:r>
        <w:t>s_1.</w:t>
      </w:r>
      <w:r>
        <w:br/>
        <w:t>\tag{3.4393}</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t_1(s_1)=s_1\qquad\text{(3.4393)}</w:t>
      </w:r>
    </w:p>
    <w:p w:rsidR="00F20C56" w:rsidRDefault="00F20C56" w:rsidP="00F20C56">
      <w:pPr>
        <w:pStyle w:val="StandardWeb"/>
      </w:pPr>
      <w:r>
        <w:t>Setze gleichzeitig</w:t>
      </w:r>
    </w:p>
    <w:p w:rsidR="00F20C56" w:rsidRDefault="00F20C56" w:rsidP="00F20C56">
      <w:pPr>
        <w:pStyle w:val="berschrift1"/>
      </w:pPr>
      <w:r>
        <w:t>[</w:t>
      </w:r>
      <w:r>
        <w:br/>
        <w:t>R</w:t>
      </w:r>
    </w:p>
    <w:p w:rsidR="00F20C56" w:rsidRDefault="00F20C56" w:rsidP="00F20C56">
      <w:pPr>
        <w:pStyle w:val="StandardWeb"/>
      </w:pPr>
      <w:r>
        <w:t>\emptyset.</w:t>
      </w:r>
      <w:r>
        <w:br/>
        <w:t>\tag{3.4394}</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R=\emptyset\qquad\text{(3.4394)}</w:t>
      </w:r>
    </w:p>
    <w:p w:rsidR="00F20C56" w:rsidRDefault="00F20C56" w:rsidP="00F20C56">
      <w:pPr>
        <w:pStyle w:val="StandardWeb"/>
      </w:pPr>
      <w:r>
        <w:t>Dann existieren ein funktionaler Zustand und eine typisierte Transformation, aber keine ausgewählte funktionale Relation. Damit bleibt Primäraxiom II auch unter einer strengeren Typisierung unabhängig.</w:t>
      </w:r>
    </w:p>
    <w:p w:rsidR="00F20C56" w:rsidRDefault="00F20C56" w:rsidP="00F20C56">
      <w:pPr>
        <w:pStyle w:val="StandardWeb"/>
      </w:pPr>
      <w:r>
        <w:rPr>
          <w:rStyle w:val="Fett"/>
        </w:rPr>
        <w:t>Eigenleistung des FRZK</w:t>
      </w:r>
    </w:p>
    <w:p w:rsidR="00F20C56" w:rsidRDefault="00F20C56" w:rsidP="00F20C56">
      <w:pPr>
        <w:pStyle w:val="StandardWeb"/>
      </w:pPr>
      <w:r>
        <w:t>Die typisierte Variante zeigt, dass Transformation nicht notwendig Relationierbarkeit im Sinne einer eigens ausgewählten funktionalen Relationsklasse erzwingt. Zwar kann der Transformationsgraph mathematisch als Relation dargestellt werden, er ist jedoch nicht automatisch mit der theoretisch ausgezeichneten Relationsmenge (\mathfrak{R}_{\mathrm{f}}) identisch.</w:t>
      </w:r>
    </w:p>
    <w:p w:rsidR="00F20C56" w:rsidRPr="00AF32B2" w:rsidRDefault="00F20C56" w:rsidP="00AF32B2">
      <w:pPr>
        <w:pStyle w:val="berschrift4"/>
      </w:pPr>
      <w:r w:rsidRPr="00AF32B2">
        <w:t>3.3.19.9 Konsequenz des zweiten Gegenmodells</w:t>
      </w:r>
    </w:p>
    <w:p w:rsidR="00F20C56" w:rsidRDefault="00F20C56" w:rsidP="00F20C56">
      <w:pPr>
        <w:pStyle w:val="StandardWeb"/>
      </w:pPr>
      <w:r>
        <w:t>Aus Gleichung (3.4390) folgt:</w:t>
      </w:r>
    </w:p>
    <w:p w:rsidR="00F20C56" w:rsidRDefault="00F20C56" w:rsidP="00F20C56">
      <w:pPr>
        <w:pStyle w:val="StandardWeb"/>
      </w:pPr>
      <w:r>
        <w:t>[</w:t>
      </w:r>
      <w:r>
        <w:br/>
        <w:t>A_{\mathrm{I}}</w:t>
      </w:r>
      <w:r>
        <w:br/>
        <w:t>\land</w:t>
      </w:r>
      <w:r>
        <w:br/>
        <w:t>A_{\mathrm{III}}</w:t>
      </w:r>
      <w:r>
        <w:br/>
        <w:t>\not\models</w:t>
      </w:r>
      <w:r>
        <w:br/>
        <w:t>A_{\mathrm{II}}.</w:t>
      </w:r>
      <w:r>
        <w:br/>
      </w:r>
      <w:r>
        <w:lastRenderedPageBreak/>
        <w:t>\tag{3.4395}</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A_{\mathrm{I}}\land A_{\mathrm{III}}\not\models A_{\mathrm{II}}\qquad\text{(3.4395)}</w:t>
      </w:r>
    </w:p>
    <w:p w:rsidR="00F20C56" w:rsidRDefault="00F20C56" w:rsidP="00F20C56">
      <w:pPr>
        <w:pStyle w:val="StandardWeb"/>
      </w:pPr>
      <w:r>
        <w:t>Primäraxiom II ist damit unabhängig von Primäraxiom I und Primäraxiom III [6, 79].</w:t>
      </w:r>
    </w:p>
    <w:p w:rsidR="00F20C56" w:rsidRPr="00AF32B2" w:rsidRDefault="00F20C56" w:rsidP="00AF32B2">
      <w:pPr>
        <w:pStyle w:val="berschrift4"/>
      </w:pPr>
      <w:r w:rsidRPr="00AF32B2">
        <w:t>3.3.19.10 Gegenmodell zu Primäraxiom III</w:t>
      </w:r>
    </w:p>
    <w:p w:rsidR="00F20C56" w:rsidRDefault="00F20C56" w:rsidP="00F20C56">
      <w:pPr>
        <w:pStyle w:val="StandardWeb"/>
      </w:pPr>
      <w:r>
        <w:t>Zur Prüfung der Unabhängigkeit von Primäraxiom III konstruiere ich das Prämodell</w:t>
      </w:r>
    </w:p>
    <w:p w:rsidR="00F20C56" w:rsidRDefault="00F20C56" w:rsidP="00F20C56">
      <w:pPr>
        <w:pStyle w:val="berschrift1"/>
      </w:pPr>
      <w:r>
        <w:t>[</w:t>
      </w:r>
      <w:r>
        <w:br/>
        <w:t>\mathcal{M}_{\neg\mathrm{III}}</w:t>
      </w:r>
    </w:p>
    <w:p w:rsidR="00F20C56" w:rsidRDefault="00F20C56" w:rsidP="00F20C56">
      <w:pPr>
        <w:pStyle w:val="StandardWeb"/>
      </w:pPr>
      <w:r>
        <w:t>\left(</w:t>
      </w:r>
      <w:r>
        <w:br/>
        <w:t>{s_1,s_2},</w:t>
      </w:r>
      <w:r>
        <w:br/>
        <w:t>{r_1},</w:t>
      </w:r>
      <w:r>
        <w:br/>
        <w:t>\emptyset</w:t>
      </w:r>
      <w:r>
        <w:br/>
        <w:t>\right).</w:t>
      </w:r>
      <w:r>
        <w:br/>
        <w:t>\tag{3.4396}</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\mathcal{M}_{\neg\mathrm{III}}=\left(\{s_1,s_2\},\{r_1\},\emptyset\right)\qquad\text{(3.4396)}</w:t>
      </w:r>
    </w:p>
    <w:p w:rsidR="00F20C56" w:rsidRDefault="00F20C56" w:rsidP="00F20C56">
      <w:pPr>
        <w:pStyle w:val="StandardWeb"/>
      </w:pPr>
      <w:r>
        <w:t>Für den Zustandsbereich gilt:</w:t>
      </w:r>
    </w:p>
    <w:p w:rsidR="00F20C56" w:rsidRDefault="00F20C56" w:rsidP="00F20C56">
      <w:pPr>
        <w:pStyle w:val="berschrift1"/>
      </w:pPr>
      <w:r>
        <w:t>[</w:t>
      </w:r>
      <w:r>
        <w:br/>
        <w:t>S_{\neg\mathrm{III}}</w:t>
      </w:r>
    </w:p>
    <w:p w:rsidR="00F20C56" w:rsidRDefault="00F20C56" w:rsidP="00F20C56">
      <w:pPr>
        <w:pStyle w:val="StandardWeb"/>
      </w:pPr>
      <w:r>
        <w:t>{s_1,s_2}</w:t>
      </w:r>
      <w:r>
        <w:br/>
        <w:t>\neq</w:t>
      </w:r>
      <w:r>
        <w:br/>
        <w:t>\emptyset.</w:t>
      </w:r>
      <w:r>
        <w:br/>
        <w:t>\tag{3.4397}</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S_{\neg\mathrm{III}}=\{s_1,s_2\}\neq\emptyset\qquad\text{(3.4397)}</w:t>
      </w:r>
    </w:p>
    <w:p w:rsidR="00F20C56" w:rsidRDefault="00F20C56" w:rsidP="00F20C56">
      <w:pPr>
        <w:pStyle w:val="StandardWeb"/>
      </w:pPr>
      <w:r>
        <w:t>Damit gilt:</w:t>
      </w:r>
    </w:p>
    <w:p w:rsidR="00F20C56" w:rsidRDefault="00F20C56" w:rsidP="00F20C56">
      <w:pPr>
        <w:pStyle w:val="StandardWeb"/>
      </w:pPr>
      <w:r>
        <w:t>[</w:t>
      </w:r>
      <w:r>
        <w:br/>
        <w:t>\mathcal{M}</w:t>
      </w:r>
      <w:r>
        <w:rPr>
          <w:rStyle w:val="Hervorhebung"/>
        </w:rPr>
        <w:t>{\neg\mathrm{III}}</w:t>
      </w:r>
      <w:r>
        <w:rPr>
          <w:i/>
          <w:iCs/>
        </w:rPr>
        <w:br/>
      </w:r>
      <w:r>
        <w:rPr>
          <w:rStyle w:val="Hervorhebung"/>
        </w:rPr>
        <w:lastRenderedPageBreak/>
        <w:t>\models</w:t>
      </w:r>
      <w:r>
        <w:rPr>
          <w:i/>
          <w:iCs/>
        </w:rPr>
        <w:br/>
      </w:r>
      <w:r>
        <w:rPr>
          <w:rStyle w:val="Hervorhebung"/>
        </w:rPr>
        <w:t>A</w:t>
      </w:r>
      <w:r>
        <w:t>{\mathrm{I}}.</w:t>
      </w:r>
      <w:r>
        <w:br/>
        <w:t>\tag{3.4398}</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\mathcal{M}_{\neg\mathrm{III}}\models A_{\mathrm{I}}\qquad\text{(3.4398)}</w:t>
      </w:r>
    </w:p>
    <w:p w:rsidR="00F20C56" w:rsidRDefault="00F20C56" w:rsidP="00F20C56">
      <w:pPr>
        <w:pStyle w:val="StandardWeb"/>
      </w:pPr>
      <w:r>
        <w:t>Für die Relationsobjektmenge gilt:</w:t>
      </w:r>
    </w:p>
    <w:p w:rsidR="00F20C56" w:rsidRDefault="00F20C56" w:rsidP="00F20C56">
      <w:pPr>
        <w:pStyle w:val="berschrift1"/>
      </w:pPr>
      <w:r>
        <w:t>[</w:t>
      </w:r>
      <w:r>
        <w:br/>
        <w:t>R_{\neg\mathrm{III}}</w:t>
      </w:r>
    </w:p>
    <w:p w:rsidR="00F20C56" w:rsidRDefault="00F20C56" w:rsidP="00F20C56">
      <w:pPr>
        <w:pStyle w:val="StandardWeb"/>
      </w:pPr>
      <w:r>
        <w:t>{r_1}</w:t>
      </w:r>
      <w:r>
        <w:br/>
        <w:t>\neq</w:t>
      </w:r>
      <w:r>
        <w:br/>
        <w:t>\emptyset.</w:t>
      </w:r>
      <w:r>
        <w:br/>
        <w:t>\tag{3.4399}</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R_{\neg\mathrm{III}}=\{r_1\}\neq\emptyset\qquad\text{(3.4399)}</w:t>
      </w:r>
    </w:p>
    <w:p w:rsidR="00F20C56" w:rsidRDefault="00F20C56" w:rsidP="00F20C56">
      <w:pPr>
        <w:pStyle w:val="StandardWeb"/>
      </w:pPr>
      <w:r>
        <w:t>Daraus folgt:</w:t>
      </w:r>
    </w:p>
    <w:p w:rsidR="00F20C56" w:rsidRDefault="00F20C56" w:rsidP="00F20C56">
      <w:pPr>
        <w:pStyle w:val="StandardWeb"/>
      </w:pPr>
      <w:r>
        <w:t>[</w:t>
      </w:r>
      <w:r>
        <w:br/>
        <w:t>\mathcal{M}</w:t>
      </w:r>
      <w:r>
        <w:rPr>
          <w:rStyle w:val="Hervorhebung"/>
        </w:rPr>
        <w:t>{\neg\mathrm{III}}</w:t>
      </w:r>
      <w:r>
        <w:rPr>
          <w:i/>
          <w:iCs/>
        </w:rPr>
        <w:br/>
      </w:r>
      <w:r>
        <w:rPr>
          <w:rStyle w:val="Hervorhebung"/>
        </w:rPr>
        <w:t>\models</w:t>
      </w:r>
      <w:r>
        <w:rPr>
          <w:i/>
          <w:iCs/>
        </w:rPr>
        <w:br/>
      </w:r>
      <w:r>
        <w:rPr>
          <w:rStyle w:val="Hervorhebung"/>
        </w:rPr>
        <w:t>A</w:t>
      </w:r>
      <w:r>
        <w:t>{\mathrm{II}}.</w:t>
      </w:r>
      <w:r>
        <w:br/>
        <w:t>\tag{3.4400}</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\mathcal{M}_{\neg\mathrm{III}}\models A_{\mathrm{II}}\qquad\text{(3.4400)}</w:t>
      </w:r>
    </w:p>
    <w:p w:rsidR="00F20C56" w:rsidRDefault="00F20C56" w:rsidP="00F20C56">
      <w:pPr>
        <w:pStyle w:val="StandardWeb"/>
      </w:pPr>
      <w:r>
        <w:t>Für die Transformationsobjektmenge gilt:</w:t>
      </w:r>
    </w:p>
    <w:p w:rsidR="00F20C56" w:rsidRDefault="00F20C56" w:rsidP="00F20C56">
      <w:pPr>
        <w:pStyle w:val="berschrift1"/>
      </w:pPr>
      <w:r>
        <w:t>[</w:t>
      </w:r>
      <w:r>
        <w:br/>
        <w:t>T_{\neg\mathrm{III}}</w:t>
      </w:r>
    </w:p>
    <w:p w:rsidR="00F20C56" w:rsidRDefault="00F20C56" w:rsidP="00F20C56">
      <w:pPr>
        <w:pStyle w:val="StandardWeb"/>
      </w:pPr>
      <w:r>
        <w:t>\emptyset.</w:t>
      </w:r>
      <w:r>
        <w:br/>
        <w:t>\tag{3.4401}</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T_{\neg\mathrm{III}}=\emptyset\qquad\text{(3.4401)}</w:t>
      </w:r>
    </w:p>
    <w:p w:rsidR="00F20C56" w:rsidRDefault="00F20C56" w:rsidP="00F20C56">
      <w:pPr>
        <w:pStyle w:val="StandardWeb"/>
      </w:pPr>
      <w:r>
        <w:lastRenderedPageBreak/>
        <w:t>Damit ist Primäraxiom III nicht erfüllt:</w:t>
      </w:r>
    </w:p>
    <w:p w:rsidR="00F20C56" w:rsidRDefault="00F20C56" w:rsidP="00F20C56">
      <w:pPr>
        <w:pStyle w:val="StandardWeb"/>
      </w:pPr>
      <w:r>
        <w:t>[</w:t>
      </w:r>
      <w:r>
        <w:br/>
        <w:t>\mathcal{M}</w:t>
      </w:r>
      <w:r>
        <w:rPr>
          <w:rStyle w:val="Hervorhebung"/>
        </w:rPr>
        <w:t>{\neg\mathrm{III}}</w:t>
      </w:r>
      <w:r>
        <w:rPr>
          <w:i/>
          <w:iCs/>
        </w:rPr>
        <w:br/>
      </w:r>
      <w:r>
        <w:rPr>
          <w:rStyle w:val="Hervorhebung"/>
        </w:rPr>
        <w:t>\not\models</w:t>
      </w:r>
      <w:r>
        <w:rPr>
          <w:i/>
          <w:iCs/>
        </w:rPr>
        <w:br/>
      </w:r>
      <w:r>
        <w:rPr>
          <w:rStyle w:val="Hervorhebung"/>
        </w:rPr>
        <w:t>A</w:t>
      </w:r>
      <w:r>
        <w:t>{\mathrm{III}}.</w:t>
      </w:r>
      <w:r>
        <w:br/>
        <w:t>\tag{3.4402}</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\mathcal{M}_{\neg\mathrm{III}}\not\models A_{\mathrm{III}}\qquad\text{(3.4402)}</w:t>
      </w:r>
    </w:p>
    <w:p w:rsidR="00F20C56" w:rsidRDefault="00F20C56" w:rsidP="00F20C56">
      <w:pPr>
        <w:pStyle w:val="StandardWeb"/>
      </w:pPr>
      <w:r>
        <w:t>Zusammengefasst gilt:</w:t>
      </w:r>
    </w:p>
    <w:p w:rsidR="00F20C56" w:rsidRDefault="00F20C56" w:rsidP="00F20C56">
      <w:pPr>
        <w:pStyle w:val="StandardWeb"/>
      </w:pPr>
      <w:r>
        <w:t>[</w:t>
      </w:r>
      <w:r>
        <w:br/>
        <w:t>\mathcal{M}</w:t>
      </w:r>
      <w:r>
        <w:rPr>
          <w:rStyle w:val="Hervorhebung"/>
        </w:rPr>
        <w:t>{\neg\mathrm{III}}</w:t>
      </w:r>
      <w:r>
        <w:rPr>
          <w:i/>
          <w:iCs/>
        </w:rPr>
        <w:br/>
      </w:r>
      <w:r>
        <w:rPr>
          <w:rStyle w:val="Hervorhebung"/>
        </w:rPr>
        <w:t>\models</w:t>
      </w:r>
      <w:r>
        <w:rPr>
          <w:i/>
          <w:iCs/>
        </w:rPr>
        <w:br/>
      </w:r>
      <w:r>
        <w:rPr>
          <w:rStyle w:val="Hervorhebung"/>
        </w:rPr>
        <w:t>A</w:t>
      </w:r>
      <w:r>
        <w:t>{\mathrm{I}}</w:t>
      </w:r>
      <w:r>
        <w:br/>
        <w:t>\land</w:t>
      </w:r>
      <w:r>
        <w:br/>
        <w:t>A_{\mathrm{II}}</w:t>
      </w:r>
      <w:r>
        <w:br/>
        <w:t>\land</w:t>
      </w:r>
      <w:r>
        <w:br/>
        <w:t>\neg A_{\mathrm{III}}.</w:t>
      </w:r>
      <w:r>
        <w:br/>
        <w:t>\tag{3.4403}</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\mathcal{M}_{\neg\mathrm{III}}\models A_{\mathrm{I}}\land A_{\mathrm{II}}\land\neg A_{\mathrm{III}}\qquad\text{(3.4403)}</w:t>
      </w:r>
    </w:p>
    <w:p w:rsidR="00F20C56" w:rsidRDefault="00F20C56" w:rsidP="00F20C56">
      <w:pPr>
        <w:pStyle w:val="StandardWeb"/>
      </w:pPr>
      <w:r>
        <w:t>Damit folgt die Existenz funktionaler Transformationen nicht allein aus der Existenz funktionaler Zustände und funktionaler Relationen.</w:t>
      </w:r>
    </w:p>
    <w:p w:rsidR="00F20C56" w:rsidRPr="00AF32B2" w:rsidRDefault="00F20C56" w:rsidP="00AF32B2">
      <w:pPr>
        <w:pStyle w:val="berschrift4"/>
      </w:pPr>
      <w:r w:rsidRPr="00AF32B2">
        <w:t>3.3.19.11 Typisierte Variante des dritten Gegenmodells</w:t>
      </w:r>
    </w:p>
    <w:p w:rsidR="00F20C56" w:rsidRDefault="00F20C56" w:rsidP="00F20C56">
      <w:pPr>
        <w:pStyle w:val="StandardWeb"/>
      </w:pPr>
      <w:r>
        <w:t>Das dritte Gegenmodell kann vollständig typisiert formuliert werden.</w:t>
      </w:r>
    </w:p>
    <w:p w:rsidR="00F20C56" w:rsidRDefault="00F20C56" w:rsidP="00F20C56">
      <w:pPr>
        <w:pStyle w:val="StandardWeb"/>
      </w:pPr>
      <w:r>
        <w:t>Sei</w:t>
      </w:r>
    </w:p>
    <w:p w:rsidR="00F20C56" w:rsidRDefault="00F20C56" w:rsidP="00F20C56">
      <w:pPr>
        <w:pStyle w:val="berschrift1"/>
      </w:pPr>
      <w:r>
        <w:t>[</w:t>
      </w:r>
      <w:r>
        <w:br/>
        <w:t>S</w:t>
      </w:r>
    </w:p>
    <w:p w:rsidR="00F20C56" w:rsidRDefault="00F20C56" w:rsidP="00F20C56">
      <w:pPr>
        <w:pStyle w:val="StandardWeb"/>
      </w:pPr>
      <w:r>
        <w:t>{s_1,s_2}.</w:t>
      </w:r>
      <w:r>
        <w:br/>
        <w:t>\tag{3.4404}</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lastRenderedPageBreak/>
        <w:t>S=\{s_1,s_2\}\qquad\text{(3.4404)}</w:t>
      </w:r>
    </w:p>
    <w:p w:rsidR="00F20C56" w:rsidRDefault="00F20C56" w:rsidP="00F20C56">
      <w:pPr>
        <w:pStyle w:val="StandardWeb"/>
      </w:pPr>
      <w:r>
        <w:t>Definiere eine Relation</w:t>
      </w:r>
    </w:p>
    <w:p w:rsidR="00F20C56" w:rsidRDefault="00F20C56" w:rsidP="00F20C56">
      <w:pPr>
        <w:pStyle w:val="berschrift1"/>
      </w:pPr>
      <w:r>
        <w:t>[</w:t>
      </w:r>
      <w:r>
        <w:br/>
        <w:t>r_1</w:t>
      </w:r>
    </w:p>
    <w:p w:rsidR="00F20C56" w:rsidRDefault="00F20C56" w:rsidP="00F20C56">
      <w:pPr>
        <w:pStyle w:val="StandardWeb"/>
      </w:pPr>
      <w:r>
        <w:t>\left{</w:t>
      </w:r>
      <w:r>
        <w:br/>
        <w:t>(s_1,s_2)</w:t>
      </w:r>
      <w:r>
        <w:br/>
        <w:t>\right}</w:t>
      </w:r>
      <w:r>
        <w:br/>
        <w:t>\subseteq</w:t>
      </w:r>
      <w:r>
        <w:br/>
        <w:t>S\times S.</w:t>
      </w:r>
      <w:r>
        <w:br/>
        <w:t>\tag{3.4405}</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r_1=\left\{(s_1,s_2)\right\}\subseteq S\times S\qquad\text{(3.4405)}</w:t>
      </w:r>
    </w:p>
    <w:p w:rsidR="00F20C56" w:rsidRDefault="00F20C56" w:rsidP="00F20C56">
      <w:pPr>
        <w:pStyle w:val="StandardWeb"/>
      </w:pPr>
      <w:r>
        <w:t>Setze</w:t>
      </w:r>
    </w:p>
    <w:p w:rsidR="00F20C56" w:rsidRDefault="00F20C56" w:rsidP="00F20C56">
      <w:pPr>
        <w:pStyle w:val="berschrift1"/>
      </w:pPr>
      <w:r>
        <w:t>[</w:t>
      </w:r>
      <w:r>
        <w:br/>
        <w:t>R</w:t>
      </w:r>
    </w:p>
    <w:p w:rsidR="00F20C56" w:rsidRDefault="00F20C56" w:rsidP="00F20C56">
      <w:pPr>
        <w:pStyle w:val="StandardWeb"/>
      </w:pPr>
      <w:r>
        <w:t>{r_1}.</w:t>
      </w:r>
      <w:r>
        <w:br/>
        <w:t>\tag{3.4406}</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R=\{r_1\}\qquad\text{(3.4406)}</w:t>
      </w:r>
    </w:p>
    <w:p w:rsidR="00F20C56" w:rsidRDefault="00F20C56" w:rsidP="00F20C56">
      <w:pPr>
        <w:pStyle w:val="StandardWeb"/>
      </w:pPr>
      <w:r>
        <w:t>und</w:t>
      </w:r>
    </w:p>
    <w:p w:rsidR="00F20C56" w:rsidRDefault="00F20C56" w:rsidP="00F20C56">
      <w:pPr>
        <w:pStyle w:val="berschrift1"/>
      </w:pPr>
      <w:r>
        <w:t>[</w:t>
      </w:r>
      <w:r>
        <w:br/>
        <w:t>T</w:t>
      </w:r>
    </w:p>
    <w:p w:rsidR="00F20C56" w:rsidRDefault="00F20C56" w:rsidP="00F20C56">
      <w:pPr>
        <w:pStyle w:val="StandardWeb"/>
      </w:pPr>
      <w:r>
        <w:t>\emptyset.</w:t>
      </w:r>
      <w:r>
        <w:br/>
        <w:t>\tag{3.4407}</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T=\emptyset\qquad\text{(3.4407)}</w:t>
      </w:r>
    </w:p>
    <w:p w:rsidR="00F20C56" w:rsidRDefault="00F20C56" w:rsidP="00F20C56">
      <w:pPr>
        <w:pStyle w:val="StandardWeb"/>
      </w:pPr>
      <w:r>
        <w:t>Damit liegt eine nichtleere Zustandsmenge und eine wohldefinierte binäre Relation vor, ohne dass eine funktionale Transformation ausgezeichnet wird.</w:t>
      </w:r>
    </w:p>
    <w:p w:rsidR="00F20C56" w:rsidRDefault="00F20C56" w:rsidP="00F20C56">
      <w:pPr>
        <w:pStyle w:val="StandardWeb"/>
      </w:pPr>
      <w:r>
        <w:rPr>
          <w:rStyle w:val="Fett"/>
        </w:rPr>
        <w:lastRenderedPageBreak/>
        <w:t>Eigenleistung des FRZK</w:t>
      </w:r>
    </w:p>
    <w:p w:rsidR="00F20C56" w:rsidRDefault="00F20C56" w:rsidP="00F20C56">
      <w:pPr>
        <w:pStyle w:val="StandardWeb"/>
      </w:pPr>
      <w:r>
        <w:t>Die typisierte Variante zeigt, dass eine Relation lediglich eine Verbindung oder Zuordnung ausdrückt. Sie bewirkt noch keine Zustandsänderung. Erst eine zusätzlich ausgezeichnete Transformation besitzt funktionale Änderungswirkung.</w:t>
      </w:r>
    </w:p>
    <w:p w:rsidR="00F20C56" w:rsidRPr="00AF32B2" w:rsidRDefault="00F20C56" w:rsidP="00AF32B2">
      <w:pPr>
        <w:pStyle w:val="berschrift4"/>
      </w:pPr>
      <w:r w:rsidRPr="00AF32B2">
        <w:t>3.3.19.12 Konsequenz des dritten Gegenmodells</w:t>
      </w:r>
    </w:p>
    <w:p w:rsidR="00F20C56" w:rsidRDefault="00F20C56" w:rsidP="00F20C56">
      <w:pPr>
        <w:pStyle w:val="StandardWeb"/>
      </w:pPr>
      <w:r>
        <w:t>Aus Gleichung (3.4403) folgt:</w:t>
      </w:r>
    </w:p>
    <w:p w:rsidR="00F20C56" w:rsidRDefault="00F20C56" w:rsidP="00F20C56">
      <w:pPr>
        <w:pStyle w:val="StandardWeb"/>
      </w:pPr>
      <w:r>
        <w:t>[</w:t>
      </w:r>
      <w:r>
        <w:br/>
        <w:t>A_{\mathrm{I}}</w:t>
      </w:r>
      <w:r>
        <w:br/>
        <w:t>\land</w:t>
      </w:r>
      <w:r>
        <w:br/>
        <w:t>A_{\mathrm{II}}</w:t>
      </w:r>
      <w:r>
        <w:br/>
        <w:t>\not\models</w:t>
      </w:r>
      <w:r>
        <w:br/>
        <w:t>A_{\mathrm{III}}.</w:t>
      </w:r>
      <w:r>
        <w:br/>
        <w:t>\tag{3.4408}</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A_{\mathrm{I}}\land A_{\mathrm{II}}\not\models A_{\mathrm{III}}\qquad\text{(3.4408)}</w:t>
      </w:r>
    </w:p>
    <w:p w:rsidR="00F20C56" w:rsidRDefault="00F20C56" w:rsidP="00F20C56">
      <w:pPr>
        <w:pStyle w:val="StandardWeb"/>
      </w:pPr>
      <w:r>
        <w:t>Primäraxiom III ist damit unabhängig von Primäraxiom I und Primäraxiom II [6, 79].</w:t>
      </w:r>
    </w:p>
    <w:p w:rsidR="00F20C56" w:rsidRPr="00AF32B2" w:rsidRDefault="00F20C56" w:rsidP="00AF32B2">
      <w:pPr>
        <w:pStyle w:val="berschrift4"/>
      </w:pPr>
      <w:r w:rsidRPr="00AF32B2">
        <w:t>3.3.19.13 Zusammenfassung der Gegenmodelle</w:t>
      </w:r>
    </w:p>
    <w:p w:rsidR="00F20C56" w:rsidRDefault="00F20C56" w:rsidP="00F20C56">
      <w:pPr>
        <w:pStyle w:val="StandardWeb"/>
      </w:pPr>
      <w:r>
        <w:t>Die drei Gegenmodelle können in einer Modellmatrix zusammengefasst werden:</w:t>
      </w:r>
    </w:p>
    <w:p w:rsidR="00F20C56" w:rsidRDefault="00F20C56" w:rsidP="00F20C56">
      <w:pPr>
        <w:pStyle w:val="StandardWeb"/>
      </w:pPr>
      <w:r>
        <w:t>[</w:t>
      </w:r>
      <w:r>
        <w:br/>
        <w:t>\begin{array}{c|ccc}</w:t>
      </w:r>
      <w:r>
        <w:br/>
        <w:t>\text{Modell}</w:t>
      </w:r>
      <w:r>
        <w:br/>
        <w:t>&amp;</w:t>
      </w:r>
      <w:r>
        <w:br/>
        <w:t>A_{\mathrm{I}}</w:t>
      </w:r>
      <w:r>
        <w:br/>
        <w:t>&amp;</w:t>
      </w:r>
      <w:r>
        <w:br/>
        <w:t>A_{\mathrm{II}}</w:t>
      </w:r>
      <w:r>
        <w:br/>
        <w:t>&amp;</w:t>
      </w:r>
      <w:r>
        <w:br/>
        <w:t>A_{\mathrm{III}}</w:t>
      </w:r>
      <w:r>
        <w:br/>
        <w:t>\</w:t>
      </w:r>
      <w:r>
        <w:br/>
        <w:t>\hline</w:t>
      </w:r>
      <w:r>
        <w:br/>
        <w:t>\mathcal{M}</w:t>
      </w:r>
      <w:r>
        <w:rPr>
          <w:rStyle w:val="Hervorhebung"/>
        </w:rPr>
        <w:t>{\neg\mathrm{I}}</w:t>
      </w:r>
      <w:r>
        <w:rPr>
          <w:i/>
          <w:iCs/>
        </w:rPr>
        <w:br/>
      </w:r>
      <w:r>
        <w:rPr>
          <w:rStyle w:val="Hervorhebung"/>
        </w:rPr>
        <w:t>&amp;</w:t>
      </w:r>
      <w:r>
        <w:rPr>
          <w:i/>
          <w:iCs/>
        </w:rPr>
        <w:br/>
      </w:r>
      <w:r>
        <w:rPr>
          <w:rStyle w:val="Hervorhebung"/>
        </w:rPr>
        <w:t>0</w:t>
      </w:r>
      <w:r>
        <w:rPr>
          <w:i/>
          <w:iCs/>
        </w:rPr>
        <w:br/>
      </w:r>
      <w:r>
        <w:rPr>
          <w:rStyle w:val="Hervorhebung"/>
        </w:rPr>
        <w:t>&amp;</w:t>
      </w:r>
      <w:r>
        <w:rPr>
          <w:i/>
          <w:iCs/>
        </w:rPr>
        <w:br/>
      </w:r>
      <w:r>
        <w:rPr>
          <w:rStyle w:val="Hervorhebung"/>
        </w:rPr>
        <w:t>1</w:t>
      </w:r>
      <w:r>
        <w:rPr>
          <w:i/>
          <w:iCs/>
        </w:rPr>
        <w:br/>
      </w:r>
      <w:r>
        <w:rPr>
          <w:rStyle w:val="Hervorhebung"/>
        </w:rPr>
        <w:t>&amp;</w:t>
      </w:r>
      <w:r>
        <w:rPr>
          <w:i/>
          <w:iCs/>
        </w:rPr>
        <w:br/>
      </w:r>
      <w:r>
        <w:rPr>
          <w:rStyle w:val="Hervorhebung"/>
        </w:rPr>
        <w:t>1</w:t>
      </w:r>
      <w:r>
        <w:rPr>
          <w:i/>
          <w:iCs/>
        </w:rPr>
        <w:br/>
      </w:r>
      <w:r>
        <w:rPr>
          <w:rStyle w:val="Hervorhebung"/>
        </w:rPr>
        <w:t>\</w:t>
      </w:r>
      <w:r>
        <w:rPr>
          <w:i/>
          <w:iCs/>
        </w:rPr>
        <w:br/>
      </w:r>
      <w:r>
        <w:rPr>
          <w:rStyle w:val="Hervorhebung"/>
        </w:rPr>
        <w:t>\mathcal{M}</w:t>
      </w:r>
      <w:r>
        <w:t>{\neg\mathrm{II}}</w:t>
      </w:r>
      <w:r>
        <w:br/>
        <w:t>&amp;</w:t>
      </w:r>
      <w:r>
        <w:br/>
      </w:r>
      <w:r>
        <w:lastRenderedPageBreak/>
        <w:t>1</w:t>
      </w:r>
      <w:r>
        <w:br/>
        <w:t>&amp;</w:t>
      </w:r>
      <w:r>
        <w:br/>
        <w:t>0</w:t>
      </w:r>
      <w:r>
        <w:br/>
        <w:t>&amp;</w:t>
      </w:r>
      <w:r>
        <w:br/>
        <w:t>1</w:t>
      </w:r>
      <w:r>
        <w:br/>
        <w:t>\</w:t>
      </w:r>
      <w:r>
        <w:br/>
        <w:t>\mathcal{M}_{\neg\mathrm{III}}</w:t>
      </w:r>
      <w:r>
        <w:br/>
        <w:t>&amp;</w:t>
      </w:r>
      <w:r>
        <w:br/>
        <w:t>1</w:t>
      </w:r>
      <w:r>
        <w:br/>
        <w:t>&amp;</w:t>
      </w:r>
      <w:r>
        <w:br/>
        <w:t>1</w:t>
      </w:r>
      <w:r>
        <w:br/>
        <w:t>&amp;</w:t>
      </w:r>
      <w:r>
        <w:br/>
        <w:t>0</w:t>
      </w:r>
      <w:r>
        <w:br/>
        <w:t>\end{array}</w:t>
      </w:r>
      <w:r>
        <w:br/>
        <w:t>\tag{3.4409}</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\begin{array}{c|ccc}\text{Modell}&amp;A_{\mathrm{I}}&amp;A_{\mathrm{II}}&amp;A_{\mathrm{III}}\\\hline\mathcal{M}_{\neg\mathrm{I}}&amp;0&amp;1&amp;1\\\mathcal{M}_{\neg\mathrm{II}}&amp;1&amp;0&amp;1\\\mathcal{M}_{\neg\mathrm{III}}&amp;1&amp;1&amp;0\end{array}\qquad\text{(3.4409)}</w:t>
      </w:r>
    </w:p>
    <w:p w:rsidR="00F20C56" w:rsidRDefault="00F20C56" w:rsidP="00F20C56">
      <w:pPr>
        <w:pStyle w:val="StandardWeb"/>
      </w:pPr>
      <w:r>
        <w:t>Der Wert (1) bedeutet, dass das betreffende Axiom im Modell erfüllt ist. Der Wert (0) bedeutet, dass es nicht erfüllt ist.</w:t>
      </w:r>
    </w:p>
    <w:p w:rsidR="00F20C56" w:rsidRDefault="00F20C56" w:rsidP="00F20C56">
      <w:pPr>
        <w:pStyle w:val="StandardWeb"/>
      </w:pPr>
      <w:r>
        <w:t>Für jedes Primäraxiom existiert damit mindestens ein reduziertes Prämodell, in dem die beiden anderen Primäraxiome erfüllt sind, während das betrachtete Axiom nicht gilt.</w:t>
      </w:r>
    </w:p>
    <w:p w:rsidR="00F20C56" w:rsidRPr="00AF32B2" w:rsidRDefault="00F20C56" w:rsidP="00AF32B2">
      <w:pPr>
        <w:pStyle w:val="berschrift4"/>
      </w:pPr>
      <w:r w:rsidRPr="00AF32B2">
        <w:t>3.3.19.14 Satz zur paarweisen Axiomenunabhängigkeit</w:t>
      </w:r>
    </w:p>
    <w:p w:rsidR="00F20C56" w:rsidRDefault="00F20C56" w:rsidP="00F20C56">
      <w:pPr>
        <w:pStyle w:val="StandardWeb"/>
      </w:pPr>
      <w:r>
        <w:rPr>
          <w:rStyle w:val="Fett"/>
        </w:rPr>
        <w:t>Satz 3.3.1 – Paarweise Unabhängigkeit der drei Primäraxiome</w:t>
      </w:r>
    </w:p>
    <w:p w:rsidR="00F20C56" w:rsidRDefault="00F20C56" w:rsidP="00F20C56">
      <w:pPr>
        <w:pStyle w:val="StandardWeb"/>
      </w:pPr>
      <w:r>
        <w:t>Die drei Primäraxiome des FRZK sind bezüglich ihrer elementaren Existenzbehauptungen paarweise unabhängig.</w:t>
      </w:r>
    </w:p>
    <w:p w:rsidR="00F20C56" w:rsidRDefault="00F20C56" w:rsidP="00F20C56">
      <w:pPr>
        <w:pStyle w:val="StandardWeb"/>
      </w:pPr>
      <w:r>
        <w:t>Formal gilt:</w:t>
      </w:r>
    </w:p>
    <w:p w:rsidR="00F20C56" w:rsidRDefault="00F20C56" w:rsidP="00F20C56">
      <w:pPr>
        <w:pStyle w:val="StandardWeb"/>
      </w:pPr>
      <w:r>
        <w:t>[</w:t>
      </w:r>
      <w:r>
        <w:br/>
        <w:t>A_{\mathrm{II}}</w:t>
      </w:r>
      <w:r>
        <w:br/>
        <w:t>\land</w:t>
      </w:r>
      <w:r>
        <w:br/>
        <w:t>A_{\mathrm{III}}</w:t>
      </w:r>
      <w:r>
        <w:br/>
        <w:t>\not\models</w:t>
      </w:r>
      <w:r>
        <w:br/>
        <w:t>A_{\mathrm{I}},</w:t>
      </w:r>
      <w:r>
        <w:br/>
        <w:t>\tag{3.4410}</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A_{\mathrm{II}}\land A_{\mathrm{III}}\not\models A_{\mathrm{I}}\qquad\text{(3.4410)}</w:t>
      </w:r>
    </w:p>
    <w:p w:rsidR="00F20C56" w:rsidRDefault="00F20C56" w:rsidP="00F20C56">
      <w:pPr>
        <w:pStyle w:val="StandardWeb"/>
      </w:pPr>
      <w:r>
        <w:lastRenderedPageBreak/>
        <w:t>[</w:t>
      </w:r>
      <w:r>
        <w:br/>
        <w:t>A_{\mathrm{I}}</w:t>
      </w:r>
      <w:r>
        <w:br/>
        <w:t>\land</w:t>
      </w:r>
      <w:r>
        <w:br/>
        <w:t>A_{\mathrm{III}}</w:t>
      </w:r>
      <w:r>
        <w:br/>
        <w:t>\not\models</w:t>
      </w:r>
      <w:r>
        <w:br/>
        <w:t>A_{\mathrm{II}},</w:t>
      </w:r>
      <w:r>
        <w:br/>
        <w:t>\tag{3.4411}</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A_{\mathrm{I}}\land A_{\mathrm{III}}\not\models A_{\mathrm{II}}\qquad\text{(3.4411)}</w:t>
      </w:r>
    </w:p>
    <w:p w:rsidR="00F20C56" w:rsidRDefault="00F20C56" w:rsidP="00F20C56">
      <w:pPr>
        <w:pStyle w:val="StandardWeb"/>
      </w:pPr>
      <w:r>
        <w:t>und</w:t>
      </w:r>
    </w:p>
    <w:p w:rsidR="00F20C56" w:rsidRDefault="00F20C56" w:rsidP="00F20C56">
      <w:pPr>
        <w:pStyle w:val="StandardWeb"/>
      </w:pPr>
      <w:r>
        <w:t>[</w:t>
      </w:r>
      <w:r>
        <w:br/>
        <w:t>A_{\mathrm{I}}</w:t>
      </w:r>
      <w:r>
        <w:br/>
        <w:t>\land</w:t>
      </w:r>
      <w:r>
        <w:br/>
        <w:t>A_{\mathrm{II}}</w:t>
      </w:r>
      <w:r>
        <w:br/>
        <w:t>\not\models</w:t>
      </w:r>
      <w:r>
        <w:br/>
        <w:t>A_{\mathrm{III}}.</w:t>
      </w:r>
      <w:r>
        <w:br/>
        <w:t>\tag{3.4412}</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A_{\mathrm{I}}\land A_{\mathrm{II}}\not\models A_{\mathrm{III}}\qquad\text{(3.4412)}</w:t>
      </w:r>
    </w:p>
    <w:p w:rsidR="00F20C56" w:rsidRDefault="00F20C56" w:rsidP="00F20C56">
      <w:pPr>
        <w:pStyle w:val="berschrift3"/>
      </w:pPr>
      <w:r>
        <w:t>Beweis</w:t>
      </w:r>
    </w:p>
    <w:p w:rsidR="00F20C56" w:rsidRDefault="00F20C56" w:rsidP="00F20C56">
      <w:pPr>
        <w:pStyle w:val="StandardWeb"/>
      </w:pPr>
      <w:r>
        <w:t>Für (A_{\mathrm{I}}) existiert das Gegenmodell (\mathcal{M}</w:t>
      </w:r>
      <w:r>
        <w:rPr>
          <w:rStyle w:val="Hervorhebung"/>
        </w:rPr>
        <w:t>{\neg\mathrm{I}}) aus Gleichung (3.4374). Dieses Modell erfüllt (A</w:t>
      </w:r>
      <w:r>
        <w:t>{\mathrm{II}}) und (A_{\mathrm{III}}), aber nicht (A_{\mathrm{I}}). Damit gilt Gleichung (3.4410).</w:t>
      </w:r>
    </w:p>
    <w:p w:rsidR="00F20C56" w:rsidRDefault="00F20C56" w:rsidP="00F20C56">
      <w:pPr>
        <w:pStyle w:val="StandardWeb"/>
      </w:pPr>
      <w:r>
        <w:t>Für (A_{\mathrm{II}}) existiert das Gegenmodell (\mathcal{M}</w:t>
      </w:r>
      <w:r>
        <w:rPr>
          <w:rStyle w:val="Hervorhebung"/>
        </w:rPr>
        <w:t>{\neg\mathrm{II}}) aus Gleichung (3.4383). Es erfüllt (A</w:t>
      </w:r>
      <w:r>
        <w:t>{\mathrm{I}}) und (A_{\mathrm{III}}), aber nicht (A_{\mathrm{II}}). Damit gilt Gleichung (3.4411).</w:t>
      </w:r>
    </w:p>
    <w:p w:rsidR="00F20C56" w:rsidRDefault="00F20C56" w:rsidP="00F20C56">
      <w:pPr>
        <w:pStyle w:val="StandardWeb"/>
      </w:pPr>
      <w:r>
        <w:t>Für (A_{\mathrm{III}}) existiert das Gegenmodell (\mathcal{M}</w:t>
      </w:r>
      <w:r>
        <w:rPr>
          <w:rStyle w:val="Hervorhebung"/>
        </w:rPr>
        <w:t>{\neg\mathrm{III}}) aus Gleichung (3.4396). Es erfüllt (A</w:t>
      </w:r>
      <w:r>
        <w:t>{\mathrm{I}}) und (A_{\mathrm{II}}), aber nicht (A_{\mathrm{III}}). Damit gilt Gleichung (3.4412).</w:t>
      </w:r>
    </w:p>
    <w:p w:rsidR="00F20C56" w:rsidRDefault="00F20C56" w:rsidP="00F20C56">
      <w:pPr>
        <w:pStyle w:val="StandardWeb"/>
      </w:pPr>
      <w:r>
        <w:t>Da für jedes Primäraxiom ein Gegenmodell gegenüber den beiden übrigen Primäraxiomen existiert, sind die drei Primäraxiome bezüglich ihrer elementaren Existenzbehauptungen paarweise unabhängig. (\square)</w:t>
      </w:r>
    </w:p>
    <w:p w:rsidR="00F20C56" w:rsidRPr="00AF32B2" w:rsidRDefault="00F20C56" w:rsidP="00AF32B2">
      <w:pPr>
        <w:pStyle w:val="berschrift4"/>
      </w:pPr>
      <w:r w:rsidRPr="00AF32B2">
        <w:t>3.3.19.15 Reichweite des Unabhängigkeitsbeweises</w:t>
      </w:r>
    </w:p>
    <w:p w:rsidR="00F20C56" w:rsidRDefault="00F20C56" w:rsidP="00F20C56">
      <w:pPr>
        <w:pStyle w:val="StandardWeb"/>
      </w:pPr>
      <w:r>
        <w:t xml:space="preserve">Der Satz beweist die Unabhängigkeit der drei abstrakten Existenzbehauptungen. Er beweist nicht, dass beliebige ausführlichere Formulierungen der Axiome unabhängig bleiben. Werden </w:t>
      </w:r>
      <w:r>
        <w:lastRenderedPageBreak/>
        <w:t>zusätzliche Eigenschaften unmittelbar in ein Primäraxiom aufgenommen, kann sich die logische Abhängigkeitsstruktur ändern [6, 79].</w:t>
      </w:r>
    </w:p>
    <w:p w:rsidR="00F20C56" w:rsidRDefault="00F20C56" w:rsidP="00F20C56">
      <w:pPr>
        <w:pStyle w:val="StandardWeb"/>
      </w:pPr>
      <w:r>
        <w:t>Beispielsweise könnte eine verschärfte Form von Primäraxiom III verlangen, dass jede Transformation eine funktionale Relation induziert. Dann würde aus der Transformierbarkeit zugleich eine bestimmte Relationierbarkeit folgen. Eine solche Verschärfung würde die in diesem Abschnitt gezeigte Unabhängigkeit verändern.</w:t>
      </w:r>
    </w:p>
    <w:p w:rsidR="00F20C56" w:rsidRDefault="00F20C56" w:rsidP="00F20C56">
      <w:pPr>
        <w:pStyle w:val="StandardWeb"/>
      </w:pPr>
      <w:r>
        <w:rPr>
          <w:rStyle w:val="Fett"/>
        </w:rPr>
        <w:t>Eigenleistung des FRZK</w:t>
      </w:r>
    </w:p>
    <w:p w:rsidR="00F20C56" w:rsidRDefault="00F20C56" w:rsidP="00F20C56">
      <w:pPr>
        <w:pStyle w:val="StandardWeb"/>
      </w:pPr>
      <w:r>
        <w:t>Die Unabhängigkeit gilt für die minimalen Axiomaussagen. Deshalb dürfen zusätzliche Eigenschaften wie Abgeschlossenheit, Invertierbarkeit, Erhaltung, Metrik, Kohärenz oder Raum-Zeit-Kopplung nicht nachträglich unmarkiert in die Primäraxiome aufgenommen werden.</w:t>
      </w:r>
    </w:p>
    <w:p w:rsidR="00F20C56" w:rsidRPr="00AF32B2" w:rsidRDefault="00F20C56" w:rsidP="00AF32B2">
      <w:pPr>
        <w:pStyle w:val="berschrift4"/>
      </w:pPr>
      <w:r w:rsidRPr="00AF32B2">
        <w:t>3.3.19.16 Unabhängigkeit und Typverträglichkeit</w:t>
      </w:r>
    </w:p>
    <w:p w:rsidR="00F20C56" w:rsidRDefault="00F20C56" w:rsidP="00F20C56">
      <w:pPr>
        <w:pStyle w:val="StandardWeb"/>
      </w:pPr>
      <w:r>
        <w:t>Die reduzierten Prämodelle abstrahieren teilweise von der vollständigen Typisierung des FRZK. Diese Abstraktion ist für die Unabhängigkeitsprüfung von Primäraxiom I notwendig, weil typisierte Relationen und Transformationen bereits auf einen Zustandsbereich verweisen.</w:t>
      </w:r>
    </w:p>
    <w:p w:rsidR="00F20C56" w:rsidRDefault="00F20C56" w:rsidP="00F20C56">
      <w:pPr>
        <w:pStyle w:val="StandardWeb"/>
      </w:pPr>
      <w:r>
        <w:t>Für ein vollständiges FRZK gilt dagegen:</w:t>
      </w:r>
    </w:p>
    <w:p w:rsidR="00F20C56" w:rsidRDefault="00F20C56" w:rsidP="00F20C56">
      <w:pPr>
        <w:pStyle w:val="StandardWeb"/>
      </w:pPr>
      <w:r>
        <w:t>[</w:t>
      </w:r>
      <w:r>
        <w:br/>
        <w:t>\mathfrak{R}</w:t>
      </w:r>
      <w:r>
        <w:rPr>
          <w:rStyle w:val="Hervorhebung"/>
        </w:rPr>
        <w:t>{\mathrm{f}}</w:t>
      </w:r>
      <w:r>
        <w:rPr>
          <w:i/>
          <w:iCs/>
        </w:rPr>
        <w:br/>
      </w:r>
      <w:r>
        <w:rPr>
          <w:rStyle w:val="Hervorhebung"/>
        </w:rPr>
        <w:t>\subseteq</w:t>
      </w:r>
      <w:r>
        <w:rPr>
          <w:i/>
          <w:iCs/>
        </w:rPr>
        <w:br/>
      </w:r>
      <w:r>
        <w:rPr>
          <w:rStyle w:val="Hervorhebung"/>
        </w:rPr>
        <w:t>\mathcal{P}</w:t>
      </w:r>
      <w:r>
        <w:rPr>
          <w:i/>
          <w:iCs/>
        </w:rPr>
        <w:br/>
      </w:r>
      <w:r>
        <w:rPr>
          <w:rStyle w:val="Hervorhebung"/>
        </w:rPr>
        <w:t>\left(</w:t>
      </w:r>
      <w:r>
        <w:rPr>
          <w:i/>
          <w:iCs/>
        </w:rPr>
        <w:br/>
      </w:r>
      <w:r>
        <w:rPr>
          <w:rStyle w:val="Hervorhebung"/>
        </w:rPr>
        <w:t>\mathcal{S}</w:t>
      </w:r>
      <w:r>
        <w:t>{\mathrm{el}}</w:t>
      </w:r>
      <w:r>
        <w:br/>
        <w:t>\times</w:t>
      </w:r>
      <w:r>
        <w:br/>
        <w:t>\mathcal{S}_{\mathrm{el}}</w:t>
      </w:r>
      <w:r>
        <w:br/>
        <w:t>\right)</w:t>
      </w:r>
      <w:r>
        <w:br/>
        <w:t>\tag{3.4413}</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\mathfrak{R}_{\mathrm{f}}\subseteq\mathcal{P}\left(\mathcal{S}_{\mathrm{el}}\times\mathcal{S}_{\mathrm{el}}\right)\qquad\text{(3.4413)}</w:t>
      </w:r>
    </w:p>
    <w:p w:rsidR="00F20C56" w:rsidRDefault="00F20C56" w:rsidP="00F20C56">
      <w:pPr>
        <w:pStyle w:val="StandardWeb"/>
      </w:pPr>
      <w:r>
        <w:t>und</w:t>
      </w:r>
    </w:p>
    <w:p w:rsidR="00F20C56" w:rsidRDefault="00F20C56" w:rsidP="00F20C56">
      <w:pPr>
        <w:pStyle w:val="StandardWeb"/>
      </w:pPr>
      <w:r>
        <w:t>[</w:t>
      </w:r>
      <w:r>
        <w:br/>
        <w:t>\mathfrak{T}</w:t>
      </w:r>
      <w:r>
        <w:rPr>
          <w:rStyle w:val="Hervorhebung"/>
        </w:rPr>
        <w:t>{\mathrm{f}}</w:t>
      </w:r>
      <w:r>
        <w:rPr>
          <w:i/>
          <w:iCs/>
        </w:rPr>
        <w:br/>
      </w:r>
      <w:r>
        <w:rPr>
          <w:rStyle w:val="Hervorhebung"/>
        </w:rPr>
        <w:t>\subseteq</w:t>
      </w:r>
      <w:r>
        <w:rPr>
          <w:i/>
          <w:iCs/>
        </w:rPr>
        <w:br/>
      </w:r>
      <w:r>
        <w:rPr>
          <w:rStyle w:val="Hervorhebung"/>
        </w:rPr>
        <w:t>\mathcal{S}</w:t>
      </w:r>
      <w:r>
        <w:t>{\mathrm{el}}^{\mathcal{S}_{\mathrm{el}}}.</w:t>
      </w:r>
      <w:r>
        <w:br/>
        <w:t>\tag{3.4414}</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lastRenderedPageBreak/>
        <w:t>\mathfrak{T}_{\mathrm{f}}\subseteq\mathcal{S}_{\mathrm{el}}^{\mathcal{S}_{\mathrm{el}}}\qquad\text{(3.4414)}</w:t>
      </w:r>
    </w:p>
    <w:p w:rsidR="00F20C56" w:rsidRDefault="00F20C56" w:rsidP="00F20C56">
      <w:pPr>
        <w:pStyle w:val="StandardWeb"/>
      </w:pPr>
      <w:r>
        <w:t>Damit besitzt Primäraxiom I im vollständigen System eine strukturelle Vorrangstellung: Ohne einen Zustandsbereich können Relations- und Transformationsobjekte nicht in ihrer endgültigen typisierten FRZK-Form interpretiert werden.</w:t>
      </w:r>
    </w:p>
    <w:p w:rsidR="00F20C56" w:rsidRDefault="00F20C56" w:rsidP="00F20C56">
      <w:pPr>
        <w:pStyle w:val="StandardWeb"/>
      </w:pPr>
      <w:r>
        <w:t>Diese strukturelle Vorrangstellung ist jedoch nicht mit logischer Ableitbarkeit gleichzusetzen. Primäraxiom I bleibt eine eigenständige Existenzsetzung.</w:t>
      </w:r>
    </w:p>
    <w:p w:rsidR="00F20C56" w:rsidRPr="00AF32B2" w:rsidRDefault="00F20C56" w:rsidP="00AF32B2">
      <w:pPr>
        <w:pStyle w:val="berschrift4"/>
      </w:pPr>
      <w:r w:rsidRPr="00AF32B2">
        <w:t>3.3.19.17 Logische und konstruktive Abhängigkeit</w:t>
      </w:r>
    </w:p>
    <w:p w:rsidR="00F20C56" w:rsidRDefault="00F20C56" w:rsidP="00F20C56">
      <w:pPr>
        <w:pStyle w:val="StandardWeb"/>
      </w:pPr>
      <w:r>
        <w:t>Ich unterscheide zwei Formen von Abhängigkeit:</w:t>
      </w:r>
    </w:p>
    <w:p w:rsidR="00F20C56" w:rsidRDefault="00F20C56" w:rsidP="00632D23">
      <w:pPr>
        <w:pStyle w:val="StandardWeb"/>
        <w:numPr>
          <w:ilvl w:val="0"/>
          <w:numId w:val="89"/>
        </w:numPr>
      </w:pPr>
      <w:r>
        <w:rPr>
          <w:rStyle w:val="Fett"/>
        </w:rPr>
        <w:t>logische Abhängigkeit</w:t>
      </w:r>
      <w:r>
        <w:t>: Eine Aussage folgt formal aus anderen Aussagen;</w:t>
      </w:r>
    </w:p>
    <w:p w:rsidR="00F20C56" w:rsidRDefault="00F20C56" w:rsidP="00632D23">
      <w:pPr>
        <w:pStyle w:val="StandardWeb"/>
        <w:numPr>
          <w:ilvl w:val="0"/>
          <w:numId w:val="89"/>
        </w:numPr>
      </w:pPr>
      <w:r>
        <w:rPr>
          <w:rStyle w:val="Fett"/>
        </w:rPr>
        <w:t>konstruktive Abhängigkeit</w:t>
      </w:r>
      <w:r>
        <w:t>: Eine Struktur kann erst definiert werden, wenn eine andere Struktur bereits vorhanden ist.</w:t>
      </w:r>
    </w:p>
    <w:p w:rsidR="00F20C56" w:rsidRDefault="00F20C56" w:rsidP="00F20C56">
      <w:pPr>
        <w:pStyle w:val="StandardWeb"/>
      </w:pPr>
      <w:r>
        <w:t>Die logische Unabhängigkeit der Primäraxiome wurde durch Gegenmodelle gezeigt. Die konstruktive Abhängigkeit der typisierten FRZK-Strukturen kann dagegen durch</w:t>
      </w:r>
    </w:p>
    <w:p w:rsidR="00F20C56" w:rsidRDefault="00F20C56" w:rsidP="00F20C56">
      <w:pPr>
        <w:pStyle w:val="StandardWeb"/>
      </w:pPr>
      <w:r>
        <w:t>[</w:t>
      </w:r>
      <w:r>
        <w:br/>
        <w:t>\mathcal{S}</w:t>
      </w:r>
      <w:r>
        <w:rPr>
          <w:rStyle w:val="Hervorhebung"/>
        </w:rPr>
        <w:t>{\mathrm{el}}</w:t>
      </w:r>
      <w:r>
        <w:rPr>
          <w:i/>
          <w:iCs/>
        </w:rPr>
        <w:br/>
      </w:r>
      <w:r>
        <w:rPr>
          <w:rStyle w:val="Hervorhebung"/>
        </w:rPr>
        <w:t>\longrightarrow</w:t>
      </w:r>
      <w:r>
        <w:rPr>
          <w:i/>
          <w:iCs/>
        </w:rPr>
        <w:br/>
      </w:r>
      <w:r>
        <w:rPr>
          <w:rStyle w:val="Hervorhebung"/>
        </w:rPr>
        <w:t>\mathfrak{R}</w:t>
      </w:r>
      <w:r>
        <w:t>{\mathrm{f}}</w:t>
      </w:r>
      <w:r>
        <w:br/>
        <w:t>\tag{3.4415}</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\mathcal{S}_{\mathrm{el}}\longrightarrow\mathfrak{R}_{\mathrm{f}}\qquad\text{(3.4415)}</w:t>
      </w:r>
    </w:p>
    <w:p w:rsidR="00F20C56" w:rsidRDefault="00F20C56" w:rsidP="00F20C56">
      <w:pPr>
        <w:pStyle w:val="StandardWeb"/>
      </w:pPr>
      <w:r>
        <w:t>und</w:t>
      </w:r>
    </w:p>
    <w:p w:rsidR="00F20C56" w:rsidRDefault="00F20C56" w:rsidP="00F20C56">
      <w:pPr>
        <w:pStyle w:val="StandardWeb"/>
      </w:pPr>
      <w:r>
        <w:t>[</w:t>
      </w:r>
      <w:r>
        <w:br/>
        <w:t>\mathcal{S}</w:t>
      </w:r>
      <w:r>
        <w:rPr>
          <w:rStyle w:val="Hervorhebung"/>
        </w:rPr>
        <w:t>{\mathrm{el}}</w:t>
      </w:r>
      <w:r>
        <w:rPr>
          <w:i/>
          <w:iCs/>
        </w:rPr>
        <w:br/>
      </w:r>
      <w:r>
        <w:rPr>
          <w:rStyle w:val="Hervorhebung"/>
        </w:rPr>
        <w:t>\longrightarrow</w:t>
      </w:r>
      <w:r>
        <w:rPr>
          <w:i/>
          <w:iCs/>
        </w:rPr>
        <w:br/>
      </w:r>
      <w:r>
        <w:rPr>
          <w:rStyle w:val="Hervorhebung"/>
        </w:rPr>
        <w:t>\mathfrak{T}</w:t>
      </w:r>
      <w:r>
        <w:t>{\mathrm{f}}</w:t>
      </w:r>
      <w:r>
        <w:br/>
        <w:t>\tag{3.4416}</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\mathcal{S}_{\mathrm{el}}\longrightarrow\mathfrak{T}_{\mathrm{f}}\qquad\text{(3.4416)}</w:t>
      </w:r>
    </w:p>
    <w:p w:rsidR="00F20C56" w:rsidRDefault="00F20C56" w:rsidP="00F20C56">
      <w:pPr>
        <w:pStyle w:val="StandardWeb"/>
      </w:pPr>
      <w:r>
        <w:t>dargestellt werden.</w:t>
      </w:r>
    </w:p>
    <w:p w:rsidR="00F20C56" w:rsidRDefault="00F20C56" w:rsidP="00F20C56">
      <w:pPr>
        <w:pStyle w:val="StandardWeb"/>
      </w:pPr>
      <w:r>
        <w:t>Die Pfeile bedeuten, dass die Typisierung der Relations- und Transformationsmengen einen bereits bestimmten Zustandsbereich benötigt. Sie bedeuten nicht:</w:t>
      </w:r>
    </w:p>
    <w:p w:rsidR="00F20C56" w:rsidRDefault="00F20C56" w:rsidP="00F20C56">
      <w:pPr>
        <w:pStyle w:val="StandardWeb"/>
      </w:pPr>
      <w:r>
        <w:lastRenderedPageBreak/>
        <w:t>[</w:t>
      </w:r>
      <w:r>
        <w:br/>
        <w:t>A_{\mathrm{II}}</w:t>
      </w:r>
      <w:r>
        <w:br/>
        <w:t>\Rightarrow</w:t>
      </w:r>
      <w:r>
        <w:br/>
        <w:t>A_{\mathrm{I}}</w:t>
      </w:r>
      <w:r>
        <w:br/>
        <w:t>\tag{3.4417}</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A_{\mathrm{II}}\Rightarrow A_{\mathrm{I}}\qquad\text{(3.4417)}</w:t>
      </w:r>
    </w:p>
    <w:p w:rsidR="00F20C56" w:rsidRDefault="00F20C56" w:rsidP="00F20C56">
      <w:pPr>
        <w:pStyle w:val="StandardWeb"/>
      </w:pPr>
      <w:r>
        <w:t>oder</w:t>
      </w:r>
    </w:p>
    <w:p w:rsidR="00F20C56" w:rsidRDefault="00F20C56" w:rsidP="00F20C56">
      <w:pPr>
        <w:pStyle w:val="StandardWeb"/>
      </w:pPr>
      <w:r>
        <w:t>[</w:t>
      </w:r>
      <w:r>
        <w:br/>
        <w:t>A_{\mathrm{III}}</w:t>
      </w:r>
      <w:r>
        <w:br/>
        <w:t>\Rightarrow</w:t>
      </w:r>
      <w:r>
        <w:br/>
        <w:t>A_{\mathrm{I}}.</w:t>
      </w:r>
      <w:r>
        <w:br/>
        <w:t>\tag{3.4418}</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A_{\mathrm{III}}\Rightarrow A_{\mathrm{I}}\qquad\text{(3.4418)}</w:t>
      </w:r>
    </w:p>
    <w:p w:rsidR="00F20C56" w:rsidRDefault="00F20C56" w:rsidP="00F20C56">
      <w:pPr>
        <w:pStyle w:val="StandardWeb"/>
      </w:pPr>
      <w:r>
        <w:t>Die Gleichungen (3.4417) und (3.4418) werden nicht als logische Folgerungen übernommen.</w:t>
      </w:r>
    </w:p>
    <w:p w:rsidR="00F20C56" w:rsidRDefault="00F20C56" w:rsidP="00F20C56">
      <w:pPr>
        <w:pStyle w:val="StandardWeb"/>
      </w:pPr>
      <w:r>
        <w:rPr>
          <w:rStyle w:val="Fett"/>
        </w:rPr>
        <w:t>Eigenleistung des FRZK</w:t>
      </w:r>
    </w:p>
    <w:p w:rsidR="00F20C56" w:rsidRDefault="00F20C56" w:rsidP="00F20C56">
      <w:pPr>
        <w:pStyle w:val="StandardWeb"/>
      </w:pPr>
      <w:r>
        <w:t>Die Trennung zwischen logischer und konstruktiver Abhängigkeit verhindert einen scheinbaren Widerspruch: Primäraxiom I ist logisch unabhängig, besitzt im Aufbau des typisierten Gesamtsystems jedoch eine methodische Vorrangstellung.</w:t>
      </w:r>
    </w:p>
    <w:p w:rsidR="00F20C56" w:rsidRPr="00AF32B2" w:rsidRDefault="00F20C56" w:rsidP="00AF32B2">
      <w:pPr>
        <w:pStyle w:val="berschrift4"/>
      </w:pPr>
      <w:r w:rsidRPr="00AF32B2">
        <w:t>3.3.19.18 Minimalität der Axiomenmenge</w:t>
      </w:r>
    </w:p>
    <w:p w:rsidR="00F20C56" w:rsidRDefault="00F20C56" w:rsidP="00F20C56">
      <w:pPr>
        <w:pStyle w:val="StandardWeb"/>
      </w:pPr>
      <w:r>
        <w:t>Eine Axiomenmenge ist hinsichtlich ihrer Elemente minimal, wenn kein Axiom entfernt werden kann, ohne die Menge der beabsichtigten Grundannahmen zu schwächen.</w:t>
      </w:r>
    </w:p>
    <w:p w:rsidR="00F20C56" w:rsidRDefault="00F20C56" w:rsidP="00F20C56">
      <w:pPr>
        <w:pStyle w:val="StandardWeb"/>
      </w:pPr>
      <w:r>
        <w:t>Für die FRZK-Axiomenmenge gilt:</w:t>
      </w:r>
    </w:p>
    <w:p w:rsidR="00F20C56" w:rsidRDefault="00F20C56" w:rsidP="00F20C56">
      <w:pPr>
        <w:pStyle w:val="berschrift1"/>
      </w:pPr>
      <w:r>
        <w:t>[</w:t>
      </w:r>
      <w:r>
        <w:br/>
        <w:t>\mathcal{A}_{\mathrm{prim}}</w:t>
      </w:r>
    </w:p>
    <w:p w:rsidR="00F20C56" w:rsidRDefault="00F20C56" w:rsidP="00F20C56">
      <w:pPr>
        <w:pStyle w:val="StandardWeb"/>
      </w:pPr>
      <w:r>
        <w:t>\left{</w:t>
      </w:r>
      <w:r>
        <w:br/>
        <w:t>A_{\mathrm{I}},</w:t>
      </w:r>
      <w:r>
        <w:br/>
        <w:t>A_{\mathrm{II}},</w:t>
      </w:r>
      <w:r>
        <w:br/>
        <w:t>A_{\mathrm{III}}</w:t>
      </w:r>
      <w:r>
        <w:br/>
        <w:t>\right}.</w:t>
      </w:r>
      <w:r>
        <w:br/>
        <w:t>\tag{3.4419}</w:t>
      </w:r>
      <w:r>
        <w:br/>
        <w:t>]</w:t>
      </w:r>
    </w:p>
    <w:p w:rsidR="00F20C56" w:rsidRDefault="00F20C56" w:rsidP="00F20C56">
      <w:pPr>
        <w:pStyle w:val="StandardWeb"/>
      </w:pPr>
      <w:r>
        <w:rPr>
          <w:rStyle w:val="Fett"/>
        </w:rPr>
        <w:lastRenderedPageBreak/>
        <w:t>Word-LaTeX</w:t>
      </w:r>
    </w:p>
    <w:p w:rsidR="00F20C56" w:rsidRDefault="00F20C56" w:rsidP="00F20C56">
      <w:pPr>
        <w:pStyle w:val="HTMLVorformatiert"/>
        <w:rPr>
          <w:rStyle w:val="HTMLCode"/>
        </w:rPr>
      </w:pPr>
      <w:r>
        <w:rPr>
          <w:rStyle w:val="HTMLCode"/>
        </w:rPr>
        <w:t>\mathcal{A}_{\mathrm{prim}}=\left\{A_{\mathrm{I}},A_{\mathrm{II}},A_{\mathrm{III}}\right\}\qquad\text{(3.4419)}</w:t>
      </w:r>
    </w:p>
    <w:p w:rsidR="00F20C56" w:rsidRDefault="00F20C56" w:rsidP="00F20C56">
      <w:pPr>
        <w:pStyle w:val="StandardWeb"/>
      </w:pPr>
      <w:r>
        <w:t>Wird Primäraxiom I entfernt, bleibt die Existenz funktionaler Zustände ungesichert:</w:t>
      </w:r>
    </w:p>
    <w:p w:rsidR="00F20C56" w:rsidRDefault="00F20C56" w:rsidP="00F20C56">
      <w:pPr>
        <w:pStyle w:val="StandardWeb"/>
      </w:pPr>
      <w:r>
        <w:t>[</w:t>
      </w:r>
      <w:r>
        <w:br/>
        <w:t>\mathcal{A}</w:t>
      </w:r>
      <w:r>
        <w:rPr>
          <w:rStyle w:val="Hervorhebung"/>
        </w:rPr>
        <w:t>{\mathrm{prim}}</w:t>
      </w:r>
      <w:r>
        <w:rPr>
          <w:i/>
          <w:iCs/>
        </w:rPr>
        <w:br/>
      </w:r>
      <w:r>
        <w:rPr>
          <w:rStyle w:val="Hervorhebung"/>
        </w:rPr>
        <w:t>\setminus</w:t>
      </w:r>
      <w:r>
        <w:rPr>
          <w:i/>
          <w:iCs/>
        </w:rPr>
        <w:br/>
      </w:r>
      <w:r>
        <w:rPr>
          <w:rStyle w:val="Hervorhebung"/>
        </w:rPr>
        <w:t>\left{</w:t>
      </w:r>
      <w:r>
        <w:rPr>
          <w:i/>
          <w:iCs/>
        </w:rPr>
        <w:br/>
      </w:r>
      <w:r>
        <w:rPr>
          <w:rStyle w:val="Hervorhebung"/>
        </w:rPr>
        <w:t>A</w:t>
      </w:r>
      <w:r>
        <w:t>{\mathrm{I}}</w:t>
      </w:r>
      <w:r>
        <w:br/>
        <w:t>\right}</w:t>
      </w:r>
      <w:r>
        <w:br/>
        <w:t>\not\models</w:t>
      </w:r>
      <w:r>
        <w:br/>
        <w:t>A_{\mathrm{I}}.</w:t>
      </w:r>
      <w:r>
        <w:br/>
        <w:t>\tag{3.4420}</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\mathcal{A}_{\mathrm{prim}}\setminus\left\{A_{\mathrm{I}}\right\}\not\models A_{\mathrm{I}}\qquad\text{(3.4420)}</w:t>
      </w:r>
    </w:p>
    <w:p w:rsidR="00F20C56" w:rsidRDefault="00F20C56" w:rsidP="00F20C56">
      <w:pPr>
        <w:pStyle w:val="StandardWeb"/>
      </w:pPr>
      <w:r>
        <w:t>Wird Primäraxiom II entfernt, bleibt die Existenz funktionaler Relationen ungesichert:</w:t>
      </w:r>
    </w:p>
    <w:p w:rsidR="00F20C56" w:rsidRDefault="00F20C56" w:rsidP="00F20C56">
      <w:pPr>
        <w:pStyle w:val="StandardWeb"/>
      </w:pPr>
      <w:r>
        <w:t>[</w:t>
      </w:r>
      <w:r>
        <w:br/>
        <w:t>\mathcal{A}</w:t>
      </w:r>
      <w:r>
        <w:rPr>
          <w:rStyle w:val="Hervorhebung"/>
        </w:rPr>
        <w:t>{\mathrm{prim}}</w:t>
      </w:r>
      <w:r>
        <w:rPr>
          <w:i/>
          <w:iCs/>
        </w:rPr>
        <w:br/>
      </w:r>
      <w:r>
        <w:rPr>
          <w:rStyle w:val="Hervorhebung"/>
        </w:rPr>
        <w:t>\setminus</w:t>
      </w:r>
      <w:r>
        <w:rPr>
          <w:i/>
          <w:iCs/>
        </w:rPr>
        <w:br/>
      </w:r>
      <w:r>
        <w:rPr>
          <w:rStyle w:val="Hervorhebung"/>
        </w:rPr>
        <w:t>\left{</w:t>
      </w:r>
      <w:r>
        <w:rPr>
          <w:i/>
          <w:iCs/>
        </w:rPr>
        <w:br/>
      </w:r>
      <w:r>
        <w:rPr>
          <w:rStyle w:val="Hervorhebung"/>
        </w:rPr>
        <w:t>A</w:t>
      </w:r>
      <w:r>
        <w:t>{\mathrm{II}}</w:t>
      </w:r>
      <w:r>
        <w:br/>
        <w:t>\right}</w:t>
      </w:r>
      <w:r>
        <w:br/>
        <w:t>\not\models</w:t>
      </w:r>
      <w:r>
        <w:br/>
        <w:t>A_{\mathrm{II}}.</w:t>
      </w:r>
      <w:r>
        <w:br/>
        <w:t>\tag{3.4421}</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\mathcal{A}_{\mathrm{prim}}\setminus\left\{A_{\mathrm{II}}\right\}\not\models A_{\mathrm{II}}\qquad\text{(3.4421)}</w:t>
      </w:r>
    </w:p>
    <w:p w:rsidR="00F20C56" w:rsidRDefault="00F20C56" w:rsidP="00F20C56">
      <w:pPr>
        <w:pStyle w:val="StandardWeb"/>
      </w:pPr>
      <w:r>
        <w:t>Wird Primäraxiom III entfernt, bleibt die Existenz funktionaler Transformationen ungesichert:</w:t>
      </w:r>
    </w:p>
    <w:p w:rsidR="00F20C56" w:rsidRDefault="00F20C56" w:rsidP="00F20C56">
      <w:pPr>
        <w:pStyle w:val="StandardWeb"/>
      </w:pPr>
      <w:r>
        <w:t>[</w:t>
      </w:r>
      <w:r>
        <w:br/>
        <w:t>\mathcal{A}</w:t>
      </w:r>
      <w:r>
        <w:rPr>
          <w:rStyle w:val="Hervorhebung"/>
        </w:rPr>
        <w:t>{\mathrm{prim}}</w:t>
      </w:r>
      <w:r>
        <w:rPr>
          <w:i/>
          <w:iCs/>
        </w:rPr>
        <w:br/>
      </w:r>
      <w:r>
        <w:rPr>
          <w:rStyle w:val="Hervorhebung"/>
        </w:rPr>
        <w:t>\setminus</w:t>
      </w:r>
      <w:r>
        <w:rPr>
          <w:i/>
          <w:iCs/>
        </w:rPr>
        <w:br/>
      </w:r>
      <w:r>
        <w:rPr>
          <w:rStyle w:val="Hervorhebung"/>
        </w:rPr>
        <w:t>\left{</w:t>
      </w:r>
      <w:r>
        <w:rPr>
          <w:i/>
          <w:iCs/>
        </w:rPr>
        <w:br/>
      </w:r>
      <w:r>
        <w:rPr>
          <w:rStyle w:val="Hervorhebung"/>
        </w:rPr>
        <w:t>A</w:t>
      </w:r>
      <w:r>
        <w:t>{\mathrm{III}}</w:t>
      </w:r>
      <w:r>
        <w:br/>
        <w:t>\right}</w:t>
      </w:r>
      <w:r>
        <w:br/>
        <w:t>\not\models</w:t>
      </w:r>
      <w:r>
        <w:br/>
        <w:t>A_{\mathrm{III}}.</w:t>
      </w:r>
      <w:r>
        <w:br/>
      </w:r>
      <w:r>
        <w:lastRenderedPageBreak/>
        <w:t>\tag{3.4422}</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\mathcal{A}_{\mathrm{prim}}\setminus\left\{A_{\mathrm{III}}\right\}\not\models A_{\mathrm{III}}\qquad\text{(3.4422)}</w:t>
      </w:r>
    </w:p>
    <w:p w:rsidR="00F20C56" w:rsidRDefault="00F20C56" w:rsidP="00F20C56">
      <w:pPr>
        <w:pStyle w:val="StandardWeb"/>
      </w:pPr>
      <w:r>
        <w:t>Damit ist die Axiomenmenge hinsichtlich der drei elementaren Existenzbehauptungen minimal.</w:t>
      </w:r>
    </w:p>
    <w:p w:rsidR="00F20C56" w:rsidRPr="00AF32B2" w:rsidRDefault="00F20C56" w:rsidP="00AF32B2">
      <w:pPr>
        <w:pStyle w:val="berschrift4"/>
      </w:pPr>
      <w:r w:rsidRPr="00AF32B2">
        <w:t>3.3.19.19 Keine vollständige kategorische Festlegung</w:t>
      </w:r>
    </w:p>
    <w:p w:rsidR="00F20C56" w:rsidRDefault="00F20C56" w:rsidP="00F20C56">
      <w:pPr>
        <w:pStyle w:val="StandardWeb"/>
      </w:pPr>
      <w:r>
        <w:t>Die Unabhängigkeit und Minimalität der Primäraxiome bedeuten nicht, dass sie bereits eine eindeutige Modellstruktur bestimmen. Sehr unterschiedliche Modelle können dieselben drei Primäraxiome erfüllen [6, 79].</w:t>
      </w:r>
    </w:p>
    <w:p w:rsidR="00F20C56" w:rsidRDefault="00F20C56" w:rsidP="00F20C56">
      <w:pPr>
        <w:pStyle w:val="StandardWeb"/>
      </w:pPr>
      <w:r>
        <w:t>Die Klasse aller Modelle der Primäraxiome lautet</w:t>
      </w:r>
    </w:p>
    <w:p w:rsidR="00F20C56" w:rsidRDefault="00F20C56" w:rsidP="00F20C56">
      <w:pPr>
        <w:pStyle w:val="berschrift1"/>
      </w:pPr>
      <w:r>
        <w:t>[</w:t>
      </w:r>
      <w:r>
        <w:br/>
        <w:t>\operatorname{Mod}</w:t>
      </w:r>
      <w:r>
        <w:br/>
        <w:t>\left(</w:t>
      </w:r>
      <w:r>
        <w:br/>
        <w:t>\mathcal{A}_{\mathrm{prim}}</w:t>
      </w:r>
      <w:r>
        <w:br/>
        <w:t>\right)</w:t>
      </w:r>
    </w:p>
    <w:p w:rsidR="00F20C56" w:rsidRDefault="00F20C56" w:rsidP="00F20C56">
      <w:pPr>
        <w:pStyle w:val="StandardWeb"/>
      </w:pPr>
      <w:r>
        <w:t>\left{</w:t>
      </w:r>
      <w:r>
        <w:br/>
        <w:t>\mathcal{M}</w:t>
      </w:r>
      <w:r>
        <w:br/>
        <w:t>;\middle|;</w:t>
      </w:r>
      <w:r>
        <w:br/>
        <w:t>\mathcal{M}</w:t>
      </w:r>
      <w:r>
        <w:br/>
        <w:t>\models</w:t>
      </w:r>
      <w:r>
        <w:br/>
        <w:t>A_{\mathrm{I}}</w:t>
      </w:r>
      <w:r>
        <w:br/>
        <w:t>\land</w:t>
      </w:r>
      <w:r>
        <w:br/>
        <w:t>A_{\mathrm{II}}</w:t>
      </w:r>
      <w:r>
        <w:br/>
        <w:t>\land</w:t>
      </w:r>
      <w:r>
        <w:br/>
        <w:t>A_{\mathrm{III}}</w:t>
      </w:r>
      <w:r>
        <w:br/>
        <w:t>\right}.</w:t>
      </w:r>
      <w:r>
        <w:br/>
        <w:t>\tag{3.4423}</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\operatorname{Mod}\left(\mathcal{A}_{\mathrm{prim}}\right)=\left\{\mathcal{M}\middle|\mathcal{M}\models A_{\mathrm{I}}\land A_{\mathrm{II}}\land A_{\mathrm{III}}\right\}\qquad\text{(3.4423)}</w:t>
      </w:r>
    </w:p>
    <w:p w:rsidR="00F20C56" w:rsidRDefault="00F20C56" w:rsidP="00F20C56">
      <w:pPr>
        <w:pStyle w:val="StandardWeb"/>
      </w:pPr>
      <w:r>
        <w:t>Diese Modellklasse kann Prämodelle mit unterschiedlichen Zustandsmengen, Relationsstrukturen und Transformationsklassen enthalten.</w:t>
      </w:r>
    </w:p>
    <w:p w:rsidR="00F20C56" w:rsidRDefault="00F20C56" w:rsidP="00F20C56">
      <w:pPr>
        <w:pStyle w:val="StandardWeb"/>
      </w:pPr>
      <w:r>
        <w:lastRenderedPageBreak/>
        <w:t>Für zwei Modelle kann gelten:</w:t>
      </w:r>
    </w:p>
    <w:p w:rsidR="00F20C56" w:rsidRDefault="00F20C56" w:rsidP="00F20C56">
      <w:pPr>
        <w:pStyle w:val="StandardWeb"/>
      </w:pPr>
      <w:r>
        <w:t>[</w:t>
      </w:r>
      <w:r>
        <w:br/>
        <w:t>\mathcal{M}_1,</w:t>
      </w:r>
      <w:r>
        <w:br/>
        <w:t>\mathcal{M}</w:t>
      </w:r>
      <w:r>
        <w:rPr>
          <w:rStyle w:val="Hervorhebung"/>
        </w:rPr>
        <w:t>2</w:t>
      </w:r>
      <w:r>
        <w:rPr>
          <w:i/>
          <w:iCs/>
        </w:rPr>
        <w:br/>
      </w:r>
      <w:r>
        <w:rPr>
          <w:rStyle w:val="Hervorhebung"/>
        </w:rPr>
        <w:t>\in</w:t>
      </w:r>
      <w:r>
        <w:rPr>
          <w:i/>
          <w:iCs/>
        </w:rPr>
        <w:br/>
      </w:r>
      <w:r>
        <w:rPr>
          <w:rStyle w:val="Hervorhebung"/>
        </w:rPr>
        <w:t>\operatorname{Mod}</w:t>
      </w:r>
      <w:r>
        <w:rPr>
          <w:i/>
          <w:iCs/>
        </w:rPr>
        <w:br/>
      </w:r>
      <w:r>
        <w:rPr>
          <w:rStyle w:val="Hervorhebung"/>
        </w:rPr>
        <w:t>\left(</w:t>
      </w:r>
      <w:r>
        <w:rPr>
          <w:i/>
          <w:iCs/>
        </w:rPr>
        <w:br/>
      </w:r>
      <w:r>
        <w:rPr>
          <w:rStyle w:val="Hervorhebung"/>
        </w:rPr>
        <w:t>\mathcal{A}</w:t>
      </w:r>
      <w:r>
        <w:t>{\mathrm{prim}}</w:t>
      </w:r>
      <w:r>
        <w:br/>
        <w:t>\right)</w:t>
      </w:r>
      <w:r>
        <w:br/>
        <w:t>\tag{3.4424}</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\mathcal{M}_1,\mathcal{M}_2\in\operatorname{Mod}\left(\mathcal{A}_{\mathrm{prim}}\right)\qquad\text{(3.4424)}</w:t>
      </w:r>
    </w:p>
    <w:p w:rsidR="00F20C56" w:rsidRDefault="00F20C56" w:rsidP="00F20C56">
      <w:pPr>
        <w:pStyle w:val="StandardWeb"/>
      </w:pPr>
      <w:r>
        <w:t>und zugleich</w:t>
      </w:r>
    </w:p>
    <w:p w:rsidR="00F20C56" w:rsidRDefault="00F20C56" w:rsidP="00F20C56">
      <w:pPr>
        <w:pStyle w:val="StandardWeb"/>
      </w:pPr>
      <w:r>
        <w:t>[</w:t>
      </w:r>
      <w:r>
        <w:br/>
        <w:t>\mathcal{M}_1</w:t>
      </w:r>
      <w:r>
        <w:br/>
        <w:t>\not\cong</w:t>
      </w:r>
      <w:r>
        <w:br/>
        <w:t>\mathcal{M}_2.</w:t>
      </w:r>
      <w:r>
        <w:br/>
        <w:t>\tag{3.4425}</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\mathcal{M}_1\not\cong\mathcal{M}_2\qquad\text{(3.4425)}</w:t>
      </w:r>
    </w:p>
    <w:p w:rsidR="00F20C56" w:rsidRDefault="00F20C56" w:rsidP="00F20C56">
      <w:pPr>
        <w:pStyle w:val="StandardWeb"/>
      </w:pPr>
      <w:r>
        <w:t>Das Symbol (\not\cong) bezeichnet fehlende strukturelle Isomorphie.</w:t>
      </w:r>
    </w:p>
    <w:p w:rsidR="00F20C56" w:rsidRDefault="00F20C56" w:rsidP="00F20C56">
      <w:pPr>
        <w:pStyle w:val="StandardWeb"/>
      </w:pPr>
      <w:r>
        <w:rPr>
          <w:rStyle w:val="Fett"/>
        </w:rPr>
        <w:t>Eigenleistung des FRZK</w:t>
      </w:r>
    </w:p>
    <w:p w:rsidR="00F20C56" w:rsidRDefault="00F20C56" w:rsidP="00F20C56">
      <w:pPr>
        <w:pStyle w:val="StandardWeb"/>
      </w:pPr>
      <w:r>
        <w:t>Die Primäraxiome definieren eine Modellklasse, aber kein eindeutiges Einzelmodell. Die konkrete FRZK-Struktur entsteht erst durch die späteren Definitionen und modellspezifischen Bedingungen.</w:t>
      </w:r>
    </w:p>
    <w:p w:rsidR="00F20C56" w:rsidRPr="00AF32B2" w:rsidRDefault="00F20C56" w:rsidP="00AF32B2">
      <w:pPr>
        <w:pStyle w:val="berschrift4"/>
      </w:pPr>
      <w:r w:rsidRPr="00AF32B2">
        <w:t>3.3.19.20 Ergebnis der Unabhängigkeitsprüfung</w:t>
      </w:r>
    </w:p>
    <w:p w:rsidR="00F20C56" w:rsidRDefault="00F20C56" w:rsidP="00F20C56">
      <w:pPr>
        <w:pStyle w:val="StandardWeb"/>
      </w:pPr>
      <w:r>
        <w:t>Für jedes der drei Primäraxiome konnte ein Gegenmodell konstruiert werden, in dem die beiden übrigen Primäraxiome erfüllt sind, während das betrachtete Axiom nicht gilt. Damit sind die drei Primäraxiome bezüglich ihrer elementaren Existenzbehauptungen paarweise unabhängig [6, 79].</w:t>
      </w:r>
    </w:p>
    <w:p w:rsidR="00F20C56" w:rsidRDefault="00F20C56" w:rsidP="00F20C56">
      <w:pPr>
        <w:pStyle w:val="StandardWeb"/>
      </w:pPr>
      <w:r>
        <w:t>Die Prüfung zeigt zugleich, dass Primäraxiom I im typisierten Gesamtsystem eine konstruktive Vorrangstellung besitzt. Relationen und Transformationen werden auf dem funktionalen Zustandsbereich definiert. Diese konstruktive Reihenfolge hebt die logische Unabhängigkeit jedoch nicht auf.</w:t>
      </w:r>
    </w:p>
    <w:p w:rsidR="00F20C56" w:rsidRDefault="00F20C56" w:rsidP="00F20C56">
      <w:pPr>
        <w:pStyle w:val="StandardWeb"/>
      </w:pPr>
      <w:r>
        <w:rPr>
          <w:rStyle w:val="Fett"/>
        </w:rPr>
        <w:lastRenderedPageBreak/>
        <w:t>Eigenleistung des FRZK</w:t>
      </w:r>
    </w:p>
    <w:p w:rsidR="00F20C56" w:rsidRDefault="00F20C56" w:rsidP="00F20C56">
      <w:pPr>
        <w:pStyle w:val="StandardWeb"/>
      </w:pPr>
      <w:r>
        <w:t>Ich bestätige damit die in Abschnitt 3.3.4 entwickelte Axiomenauswahl. Die drei Primäraxiome sind weder redundante Umformulierungen noch Folgerungen voneinander. Jedes Axiom sichert eine eigenständige elementare Strukturklasse des FRZK.</w:t>
      </w:r>
    </w:p>
    <w:p w:rsidR="00F20C56" w:rsidRPr="00AF32B2" w:rsidRDefault="00F20C56" w:rsidP="00AF32B2">
      <w:pPr>
        <w:pStyle w:val="berschrift4"/>
      </w:pPr>
      <w:r w:rsidRPr="00AF32B2">
        <w:t>3.3.19.21 Übergang zur Konsistenzprüfung</w:t>
      </w:r>
    </w:p>
    <w:p w:rsidR="00F20C56" w:rsidRDefault="00F20C56" w:rsidP="00F20C56">
      <w:pPr>
        <w:pStyle w:val="StandardWeb"/>
      </w:pPr>
      <w:r>
        <w:t>Die Unabhängigkeitsprüfung zeigt, dass keines der drei Primäraxiome aus den beiden anderen folgt. Sie zeigt jedoch noch nicht, dass die drei Axiome gemeinsam widerspruchsfrei erfüllbar sind.</w:t>
      </w:r>
    </w:p>
    <w:p w:rsidR="00F20C56" w:rsidRDefault="00F20C56" w:rsidP="00F20C56">
      <w:pPr>
        <w:pStyle w:val="StandardWeb"/>
      </w:pPr>
      <w:r>
        <w:t>Für eine Konsistenzprüfung muss mindestens ein Modell angegeben werden, das alle drei Primäraxiome gleichzeitig erfüllt:</w:t>
      </w:r>
    </w:p>
    <w:p w:rsidR="00F20C56" w:rsidRDefault="00F20C56" w:rsidP="00F20C56">
      <w:pPr>
        <w:pStyle w:val="StandardWeb"/>
      </w:pPr>
      <w:r>
        <w:t>[</w:t>
      </w:r>
      <w:r>
        <w:br/>
        <w:t>\exists</w:t>
      </w:r>
      <w:r>
        <w:br/>
        <w:t>\mathcal{M}</w:t>
      </w:r>
      <w:r>
        <w:rPr>
          <w:rStyle w:val="Hervorhebung"/>
        </w:rPr>
        <w:t>{\mathrm{ges}}</w:t>
      </w:r>
      <w:r>
        <w:rPr>
          <w:i/>
          <w:iCs/>
        </w:rPr>
        <w:br/>
      </w:r>
      <w:r>
        <w:rPr>
          <w:rStyle w:val="Hervorhebung"/>
        </w:rPr>
        <w:t>:</w:t>
      </w:r>
      <w:r>
        <w:rPr>
          <w:i/>
          <w:iCs/>
        </w:rPr>
        <w:br/>
      </w:r>
      <w:r>
        <w:rPr>
          <w:rStyle w:val="Hervorhebung"/>
        </w:rPr>
        <w:t>\mathcal{M}</w:t>
      </w:r>
      <w:r>
        <w:t>{\mathrm{ges}}</w:t>
      </w:r>
      <w:r>
        <w:br/>
        <w:t>\models</w:t>
      </w:r>
      <w:r>
        <w:br/>
        <w:t>A_{\mathrm{I}}</w:t>
      </w:r>
      <w:r>
        <w:br/>
        <w:t>\land</w:t>
      </w:r>
      <w:r>
        <w:br/>
        <w:t>A_{\mathrm{II}}</w:t>
      </w:r>
      <w:r>
        <w:br/>
        <w:t>\land</w:t>
      </w:r>
      <w:r>
        <w:br/>
        <w:t>A_{\mathrm{III}}.</w:t>
      </w:r>
      <w:r>
        <w:br/>
        <w:t>\tag{3.4426}</w:t>
      </w:r>
      <w:r>
        <w:br/>
        <w:t>]</w:t>
      </w:r>
    </w:p>
    <w:p w:rsidR="00F20C56" w:rsidRDefault="00F20C56" w:rsidP="00F20C56">
      <w:pPr>
        <w:pStyle w:val="StandardWeb"/>
      </w:pPr>
      <w:r>
        <w:rPr>
          <w:rStyle w:val="Fett"/>
        </w:rPr>
        <w:t>Word-LaTeX</w:t>
      </w:r>
    </w:p>
    <w:p w:rsidR="00F20C56" w:rsidRDefault="00F20C56" w:rsidP="00F20C56">
      <w:pPr>
        <w:pStyle w:val="HTMLVorformatiert"/>
        <w:rPr>
          <w:rStyle w:val="HTMLCode"/>
        </w:rPr>
      </w:pPr>
      <w:r>
        <w:rPr>
          <w:rStyle w:val="HTMLCode"/>
        </w:rPr>
        <w:t>\exists\mathcal{M}_{\mathrm{ges}}:\mathcal{M}_{\mathrm{ges}}\models A_{\mathrm{I}}\land A_{\mathrm{II}}\land A_{\mathrm{III}}\qquad\text{(3.4426)}</w:t>
      </w:r>
    </w:p>
    <w:p w:rsidR="00F20C56" w:rsidRDefault="00F20C56" w:rsidP="00F20C56">
      <w:pPr>
        <w:pStyle w:val="StandardWeb"/>
      </w:pPr>
      <w:r>
        <w:t>Ein solches Modell zeigt die relative Konsistenz der Axiomenmenge innerhalb der verwendeten mengentheoretischen und funktionalen Grundlagen [6, 79].</w:t>
      </w:r>
    </w:p>
    <w:p w:rsidR="00F20C56" w:rsidRDefault="00F20C56" w:rsidP="00F20C56">
      <w:pPr>
        <w:pStyle w:val="StandardWeb"/>
      </w:pPr>
      <w:r>
        <w:rPr>
          <w:rStyle w:val="Fett"/>
        </w:rPr>
        <w:t>Eigenleistung des FRZK</w:t>
      </w:r>
    </w:p>
    <w:p w:rsidR="00F20C56" w:rsidRDefault="00F20C56" w:rsidP="00F20C56">
      <w:pPr>
        <w:pStyle w:val="StandardWeb"/>
      </w:pPr>
      <w:r>
        <w:t>Der folgende Abschnitt konstruiert ein minimales gemeinsames Modell aller drei Primäraxiome. Anschließend wird geprüft, ob die daraus abgeleiteten Definitionen typverträglich und widerspruchsfrei aufgebaut werden können.</w:t>
      </w:r>
    </w:p>
    <w:p w:rsidR="00427882" w:rsidRDefault="00427882" w:rsidP="00427882">
      <w:pPr>
        <w:pStyle w:val="berschrift2"/>
        <w:rPr>
          <w:rFonts w:cs="Times New Roman"/>
        </w:rPr>
      </w:pPr>
      <w:r>
        <w:t>Ergänzung zu 3.3.19 – Prüfung der Unabhängigkeit der drei Primäraxiome</w:t>
      </w:r>
    </w:p>
    <w:p w:rsidR="00427882" w:rsidRDefault="00427882" w:rsidP="00427882">
      <w:pPr>
        <w:pStyle w:val="berschrift3"/>
      </w:pPr>
      <w:r>
        <w:t>Methodologische Betrachtungen</w:t>
      </w:r>
    </w:p>
    <w:p w:rsidR="00427882" w:rsidRDefault="00427882" w:rsidP="00427882">
      <w:pPr>
        <w:pStyle w:val="StandardWeb"/>
      </w:pPr>
      <w:r>
        <w:lastRenderedPageBreak/>
        <w:t>Nachdem das FRZK in Abschnitt 3.3.18 erstmals als Gesamtsystem zusammengeführt wurde, muss ich die drei Primäraxiome noch einmal auf einer strengeren logischen Ebene prüfen. Dass alle drei Axiome für den Aufbau verwendet wurden, beweist nicht, dass sie tatsächlich voneinander unabhängig sind. Es könnte beispielsweise sein, dass eines der Axiome bereits aus den beiden anderen folgt und deshalb als eigenständige Grundannahme überflüssig wäre. Genau diese Möglichkeit untersuche ich in Abschnitt 3.3.19 mithilfe reduzierter Prämodelle und gezielt konstruierter Gegenmodelle. Der Repository-Stand führt dazu Definition 3.3.12, Satz 3.3.1 und die Gleichungen (3.4363) bis (3.4426) ein.</w:t>
      </w:r>
    </w:p>
    <w:p w:rsidR="00427882" w:rsidRDefault="00427882" w:rsidP="00427882">
      <w:pPr>
        <w:pStyle w:val="StandardWeb"/>
      </w:pPr>
      <w:r>
        <w:t>Die Menge der zu prüfenden Primäraxiome lautet</w:t>
      </w:r>
    </w:p>
    <w:p w:rsidR="00427882" w:rsidRDefault="00427882" w:rsidP="00427882">
      <w:pPr>
        <w:pStyle w:val="berschrift1"/>
      </w:pPr>
      <w:r>
        <w:t>[</w:t>
      </w:r>
      <w:r>
        <w:br/>
        <w:t>\mathcal{A}_{\mathrm{prim}}</w:t>
      </w:r>
    </w:p>
    <w:p w:rsidR="00427882" w:rsidRDefault="00427882" w:rsidP="00427882">
      <w:pPr>
        <w:pStyle w:val="StandardWeb"/>
      </w:pPr>
      <w:r>
        <w:t>\left{</w:t>
      </w:r>
      <w:r>
        <w:br/>
        <w:t>A_{\mathrm{I}},</w:t>
      </w:r>
      <w:r>
        <w:br/>
        <w:t>A_{\mathrm{II}},</w:t>
      </w:r>
      <w:r>
        <w:br/>
        <w:t>A_{\mathrm{III}}</w:t>
      </w:r>
      <w:r>
        <w:br/>
        <w:t>\right}.</w:t>
      </w:r>
      <w:r>
        <w:br/>
        <w:t>\tag{3.4363}</w:t>
      </w:r>
      <w:r>
        <w:br/>
        <w:t>]</w:t>
      </w:r>
    </w:p>
    <w:p w:rsidR="00427882" w:rsidRDefault="00427882" w:rsidP="00427882">
      <w:pPr>
        <w:pStyle w:val="StandardWeb"/>
      </w:pPr>
      <w:r>
        <w:rPr>
          <w:rStyle w:val="Fett"/>
        </w:rPr>
        <w:t>Word-LaTeX</w:t>
      </w:r>
    </w:p>
    <w:p w:rsidR="00427882" w:rsidRDefault="00427882" w:rsidP="00427882">
      <w:pPr>
        <w:pStyle w:val="HTMLVorformatiert"/>
        <w:rPr>
          <w:rStyle w:val="HTMLCode"/>
        </w:rPr>
      </w:pPr>
      <w:r>
        <w:rPr>
          <w:rStyle w:val="HTMLCode"/>
        </w:rPr>
        <w:t>\mathcal{A}_{\mathrm{prim}}=\left\{A_{\mathrm{I}},A_{\mathrm{II}},A_{\mathrm{III}}\right\}\qquad\text{(3.4363)}</w:t>
      </w:r>
    </w:p>
    <w:p w:rsidR="00427882" w:rsidRDefault="00427882" w:rsidP="00427882">
      <w:pPr>
        <w:pStyle w:val="StandardWeb"/>
      </w:pPr>
      <w:r>
        <w:t>Methodologisch prüfe ich Unabhängigkeit nicht durch eine bloße Behauptung, dass die Axiome „verschiedene Dinge“ ausdrücken. Inhaltliche Verschiedenheit genügt nicht. Entscheidend ist, ob ein Axiom aus den jeweils anderen logisch folgt.</w:t>
      </w:r>
    </w:p>
    <w:p w:rsidR="00427882" w:rsidRDefault="00427882" w:rsidP="00427882">
      <w:pPr>
        <w:pStyle w:val="StandardWeb"/>
      </w:pPr>
      <w:r>
        <w:t>Für Primäraxiom I wird deshalb ein Gegenmodell gesucht, in dem Primäraxiom II und III erfüllt sind, Primäraxiom I jedoch nicht:</w:t>
      </w:r>
    </w:p>
    <w:p w:rsidR="00427882" w:rsidRDefault="00427882" w:rsidP="00427882">
      <w:pPr>
        <w:pStyle w:val="StandardWeb"/>
      </w:pPr>
      <w:r>
        <w:t>[</w:t>
      </w:r>
      <w:r>
        <w:br/>
        <w:t>\mathcal{M}</w:t>
      </w:r>
      <w:r>
        <w:rPr>
          <w:rStyle w:val="Hervorhebung"/>
        </w:rPr>
        <w:t>{\neg\mathrm{I}}</w:t>
      </w:r>
      <w:r>
        <w:rPr>
          <w:i/>
          <w:iCs/>
        </w:rPr>
        <w:br/>
      </w:r>
      <w:r>
        <w:rPr>
          <w:rStyle w:val="Hervorhebung"/>
        </w:rPr>
        <w:t>\models</w:t>
      </w:r>
      <w:r>
        <w:rPr>
          <w:i/>
          <w:iCs/>
        </w:rPr>
        <w:br/>
      </w:r>
      <w:r>
        <w:rPr>
          <w:rStyle w:val="Hervorhebung"/>
        </w:rPr>
        <w:t>A</w:t>
      </w:r>
      <w:r>
        <w:t>{\mathrm{II}}</w:t>
      </w:r>
      <w:r>
        <w:br/>
        <w:t>\land</w:t>
      </w:r>
      <w:r>
        <w:br/>
        <w:t>A_{\mathrm{III}}</w:t>
      </w:r>
      <w:r>
        <w:br/>
        <w:t>\land</w:t>
      </w:r>
      <w:r>
        <w:br/>
        <w:t>\neg A_{\mathrm{I}}.</w:t>
      </w:r>
      <w:r>
        <w:br/>
        <w:t>\tag{3.4364}</w:t>
      </w:r>
      <w:r>
        <w:br/>
        <w:t>]</w:t>
      </w:r>
    </w:p>
    <w:p w:rsidR="00427882" w:rsidRDefault="00427882" w:rsidP="00427882">
      <w:pPr>
        <w:pStyle w:val="StandardWeb"/>
      </w:pPr>
      <w:r>
        <w:rPr>
          <w:rStyle w:val="Fett"/>
        </w:rPr>
        <w:t>Word-LaTeX</w:t>
      </w:r>
    </w:p>
    <w:p w:rsidR="00427882" w:rsidRDefault="00427882" w:rsidP="00427882">
      <w:pPr>
        <w:pStyle w:val="HTMLVorformatiert"/>
        <w:rPr>
          <w:rStyle w:val="HTMLCode"/>
        </w:rPr>
      </w:pPr>
      <w:r>
        <w:rPr>
          <w:rStyle w:val="HTMLCode"/>
        </w:rPr>
        <w:t>\mathcal{M}_{\neg\mathrm{I}}\models A_{\mathrm{II}}\land A_{\mathrm{III}}\land\neg A_{\mathrm{I}}\qquad\text{(3.4364)}</w:t>
      </w:r>
    </w:p>
    <w:p w:rsidR="00427882" w:rsidRDefault="00427882" w:rsidP="00427882">
      <w:pPr>
        <w:pStyle w:val="StandardWeb"/>
      </w:pPr>
      <w:r>
        <w:lastRenderedPageBreak/>
        <w:t>Analog muss für Primäraxiom II ein Modell existieren, in dem I und III gelten, II jedoch nicht:</w:t>
      </w:r>
    </w:p>
    <w:p w:rsidR="00427882" w:rsidRDefault="00427882" w:rsidP="00427882">
      <w:pPr>
        <w:pStyle w:val="StandardWeb"/>
      </w:pPr>
      <w:r>
        <w:t>[</w:t>
      </w:r>
      <w:r>
        <w:br/>
        <w:t>\mathcal{M}</w:t>
      </w:r>
      <w:r>
        <w:rPr>
          <w:rStyle w:val="Hervorhebung"/>
        </w:rPr>
        <w:t>{\neg\mathrm{II}}</w:t>
      </w:r>
      <w:r>
        <w:rPr>
          <w:i/>
          <w:iCs/>
        </w:rPr>
        <w:br/>
      </w:r>
      <w:r>
        <w:rPr>
          <w:rStyle w:val="Hervorhebung"/>
        </w:rPr>
        <w:t>\models</w:t>
      </w:r>
      <w:r>
        <w:rPr>
          <w:i/>
          <w:iCs/>
        </w:rPr>
        <w:br/>
      </w:r>
      <w:r>
        <w:rPr>
          <w:rStyle w:val="Hervorhebung"/>
        </w:rPr>
        <w:t>A</w:t>
      </w:r>
      <w:r>
        <w:t>{\mathrm{I}}</w:t>
      </w:r>
      <w:r>
        <w:br/>
        <w:t>\land</w:t>
      </w:r>
      <w:r>
        <w:br/>
        <w:t>A_{\mathrm{III}}</w:t>
      </w:r>
      <w:r>
        <w:br/>
        <w:t>\land</w:t>
      </w:r>
      <w:r>
        <w:br/>
        <w:t>\neg A_{\mathrm{II}}.</w:t>
      </w:r>
      <w:r>
        <w:br/>
        <w:t>\tag{3.4365}</w:t>
      </w:r>
      <w:r>
        <w:br/>
        <w:t>]</w:t>
      </w:r>
    </w:p>
    <w:p w:rsidR="00427882" w:rsidRDefault="00427882" w:rsidP="00427882">
      <w:pPr>
        <w:pStyle w:val="StandardWeb"/>
      </w:pPr>
      <w:r>
        <w:rPr>
          <w:rStyle w:val="Fett"/>
        </w:rPr>
        <w:t>Word-LaTeX</w:t>
      </w:r>
    </w:p>
    <w:p w:rsidR="00427882" w:rsidRDefault="00427882" w:rsidP="00427882">
      <w:pPr>
        <w:pStyle w:val="HTMLVorformatiert"/>
        <w:rPr>
          <w:rStyle w:val="HTMLCode"/>
        </w:rPr>
      </w:pPr>
      <w:r>
        <w:rPr>
          <w:rStyle w:val="HTMLCode"/>
        </w:rPr>
        <w:t>\mathcal{M}_{\neg\mathrm{II}}\models A_{\mathrm{I}}\land A_{\mathrm{III}}\land\neg A_{\mathrm{II}}\qquad\text{(3.4365)}</w:t>
      </w:r>
    </w:p>
    <w:p w:rsidR="00427882" w:rsidRDefault="00427882" w:rsidP="00427882">
      <w:pPr>
        <w:pStyle w:val="StandardWeb"/>
      </w:pPr>
      <w:r>
        <w:t>Für Primäraxiom III gilt entsprechend</w:t>
      </w:r>
    </w:p>
    <w:p w:rsidR="00427882" w:rsidRDefault="00427882" w:rsidP="00427882">
      <w:pPr>
        <w:pStyle w:val="StandardWeb"/>
      </w:pPr>
      <w:r>
        <w:t>[</w:t>
      </w:r>
      <w:r>
        <w:br/>
        <w:t>\mathcal{M}</w:t>
      </w:r>
      <w:r>
        <w:rPr>
          <w:rStyle w:val="Hervorhebung"/>
        </w:rPr>
        <w:t>{\neg\mathrm{III}}</w:t>
      </w:r>
      <w:r>
        <w:rPr>
          <w:i/>
          <w:iCs/>
        </w:rPr>
        <w:br/>
      </w:r>
      <w:r>
        <w:rPr>
          <w:rStyle w:val="Hervorhebung"/>
        </w:rPr>
        <w:t>\models</w:t>
      </w:r>
      <w:r>
        <w:rPr>
          <w:i/>
          <w:iCs/>
        </w:rPr>
        <w:br/>
      </w:r>
      <w:r>
        <w:rPr>
          <w:rStyle w:val="Hervorhebung"/>
        </w:rPr>
        <w:t>A</w:t>
      </w:r>
      <w:r>
        <w:t>{\mathrm{I}}</w:t>
      </w:r>
      <w:r>
        <w:br/>
        <w:t>\land</w:t>
      </w:r>
      <w:r>
        <w:br/>
        <w:t>A_{\mathrm{II}}</w:t>
      </w:r>
      <w:r>
        <w:br/>
        <w:t>\land</w:t>
      </w:r>
      <w:r>
        <w:br/>
        <w:t>\neg A_{\mathrm{III}}.</w:t>
      </w:r>
      <w:r>
        <w:br/>
        <w:t>\tag{3.4366}</w:t>
      </w:r>
      <w:r>
        <w:br/>
        <w:t>]</w:t>
      </w:r>
    </w:p>
    <w:p w:rsidR="00427882" w:rsidRDefault="00427882" w:rsidP="00427882">
      <w:pPr>
        <w:pStyle w:val="StandardWeb"/>
      </w:pPr>
      <w:r>
        <w:rPr>
          <w:rStyle w:val="Fett"/>
        </w:rPr>
        <w:t>Word-LaTeX</w:t>
      </w:r>
    </w:p>
    <w:p w:rsidR="00427882" w:rsidRDefault="00427882" w:rsidP="00427882">
      <w:pPr>
        <w:pStyle w:val="HTMLVorformatiert"/>
        <w:rPr>
          <w:rStyle w:val="HTMLCode"/>
        </w:rPr>
      </w:pPr>
      <w:r>
        <w:rPr>
          <w:rStyle w:val="HTMLCode"/>
        </w:rPr>
        <w:t>\mathcal{M}_{\neg\mathrm{III}}\models A_{\mathrm{I}}\land A_{\mathrm{II}}\land\neg A_{\mathrm{III}}\qquad\text{(3.4366)}</w:t>
      </w:r>
    </w:p>
    <w:p w:rsidR="00427882" w:rsidRDefault="00427882" w:rsidP="00427882">
      <w:pPr>
        <w:pStyle w:val="StandardWeb"/>
      </w:pPr>
      <w:r>
        <w:t>Diese Vorgehensweise ist methodologisch stärker als eine rein sprachliche Argumentation. Existiert ein korrekt typisiertes Modell, in dem die jeweils beiden anderen Axiome gelten und das untersuchte Axiom scheitert, dann können die beiden anderen Axiome dieses Axiom nicht logisch erzwingen.</w:t>
      </w:r>
    </w:p>
    <w:p w:rsidR="00427882" w:rsidRDefault="00427882" w:rsidP="00427882">
      <w:pPr>
        <w:pStyle w:val="StandardWeb"/>
      </w:pPr>
      <w:r>
        <w:t xml:space="preserve">Für diese Prüfung wird ausdrücklich ein </w:t>
      </w:r>
      <w:r>
        <w:rPr>
          <w:rStyle w:val="Fett"/>
        </w:rPr>
        <w:t>reduziertes FRZK-Prämodell</w:t>
      </w:r>
      <w:r>
        <w:t xml:space="preserve"> verwendet. Es besitzt die Form</w:t>
      </w:r>
    </w:p>
    <w:p w:rsidR="00427882" w:rsidRDefault="00427882" w:rsidP="00427882">
      <w:pPr>
        <w:pStyle w:val="berschrift1"/>
      </w:pPr>
      <w:r>
        <w:t>[</w:t>
      </w:r>
      <w:r>
        <w:br/>
        <w:t>\mathcal{M}</w:t>
      </w:r>
    </w:p>
    <w:p w:rsidR="00427882" w:rsidRDefault="00427882" w:rsidP="00427882">
      <w:pPr>
        <w:pStyle w:val="StandardWeb"/>
      </w:pPr>
      <w:r>
        <w:t>\left(</w:t>
      </w:r>
      <w:r>
        <w:br/>
        <w:t>S,</w:t>
      </w:r>
      <w:r>
        <w:br/>
      </w:r>
      <w:r>
        <w:lastRenderedPageBreak/>
        <w:t>R,</w:t>
      </w:r>
      <w:r>
        <w:br/>
        <w:t>T</w:t>
      </w:r>
      <w:r>
        <w:br/>
        <w:t>\right).</w:t>
      </w:r>
      <w:r>
        <w:br/>
        <w:t>]</w:t>
      </w:r>
    </w:p>
    <w:p w:rsidR="00427882" w:rsidRDefault="00427882" w:rsidP="00427882">
      <w:pPr>
        <w:pStyle w:val="StandardWeb"/>
      </w:pPr>
      <w:r>
        <w:rPr>
          <w:rStyle w:val="Fett"/>
        </w:rPr>
        <w:t>Word-LaTeX</w:t>
      </w:r>
    </w:p>
    <w:p w:rsidR="00427882" w:rsidRDefault="00427882" w:rsidP="00427882">
      <w:pPr>
        <w:pStyle w:val="HTMLVorformatiert"/>
        <w:rPr>
          <w:rStyle w:val="HTMLCode"/>
        </w:rPr>
      </w:pPr>
      <w:r>
        <w:rPr>
          <w:rStyle w:val="HTMLCode"/>
        </w:rPr>
        <w:t>\mathcal{M}=\left(S,R,T\right)</w:t>
      </w:r>
    </w:p>
    <w:p w:rsidR="00427882" w:rsidRDefault="00427882" w:rsidP="00427882">
      <w:pPr>
        <w:pStyle w:val="StandardWeb"/>
      </w:pPr>
      <w:r>
        <w:t xml:space="preserve">Dabei steht (S) für potentielle funktionale Zustände, (R) für potentielle Relationsobjekte und (T) für potentielle Transformationsobjekte. Dieses Prämodell ist bewusst </w:t>
      </w:r>
      <w:r>
        <w:rPr>
          <w:rStyle w:val="Fett"/>
        </w:rPr>
        <w:t>kein vollständiges FRZK</w:t>
      </w:r>
      <w:r>
        <w:t>. Es reduziert die Struktur auf genau diejenigen Komponenten, die für die logische Unabhängigkeitsprüfung benötigt werden.</w:t>
      </w:r>
    </w:p>
    <w:p w:rsidR="00427882" w:rsidRDefault="00427882" w:rsidP="00427882">
      <w:pPr>
        <w:pStyle w:val="StandardWeb"/>
      </w:pPr>
      <w:r>
        <w:t>Diese Reduktion besitzt eine wichtige methodologische Funktion. Würde ich zur Prüfung bereits das vollständige FRZK einschließlich Kohärenz, Raum, Zeit und Raum-Zeit-Kopplung verwenden, könnten abgeleitete Strukturen die Analyse unnötig verkomplizieren oder sogar verdecken, welche Abhängigkeiten tatsächlich aus den drei Primäraxiomen stammen.</w:t>
      </w:r>
    </w:p>
    <w:p w:rsidR="00427882" w:rsidRDefault="00427882" w:rsidP="00427882">
      <w:pPr>
        <w:pStyle w:val="StandardWeb"/>
      </w:pPr>
      <w:r>
        <w:t>Die Unabhängigkeitsprüfung besitzt außerdem eine klare Reichweitengrenze. Sie zeigt nicht, dass die drei Axiome empirisch wahr sind. Sie zeigt auch nicht, dass keine alternative Axiomenbasis möglich wäre. Sie zeigt lediglich, dass innerhalb der gewählten formalen Darstellung keines der drei Primäraxiome aus den beiden anderen eliminiert werden kann.</w:t>
      </w:r>
    </w:p>
    <w:p w:rsidR="00427882" w:rsidRDefault="00427882" w:rsidP="00427882">
      <w:pPr>
        <w:pStyle w:val="StandardWeb"/>
      </w:pPr>
      <w:r>
        <w:t>Damit gewinnt die Behauptung einer „minimalen Dreierbasis“ erstmals einen präziseren logischen Gehalt. Minimalität wird allerdings erst in Abschnitt 3.3.21 weiter verschärft. Unabhängigkeit bedeutet zunächst nur, dass kein Axiom durch die übrigen beiden ersetzt werden kann.</w:t>
      </w:r>
    </w:p>
    <w:p w:rsidR="00427882" w:rsidRDefault="00427882" w:rsidP="00427882">
      <w:pPr>
        <w:pStyle w:val="berschrift3"/>
      </w:pPr>
      <w:r>
        <w:t>Didaktische Betrachtungen</w:t>
      </w:r>
    </w:p>
    <w:p w:rsidR="00427882" w:rsidRDefault="00427882" w:rsidP="00427882">
      <w:pPr>
        <w:pStyle w:val="StandardWeb"/>
      </w:pPr>
      <w:r>
        <w:t>Unabhängigkeit lässt sich besonders gut mit drei Lichtschaltern erklären.</w:t>
      </w:r>
    </w:p>
    <w:p w:rsidR="00427882" w:rsidRDefault="00427882" w:rsidP="00427882">
      <w:pPr>
        <w:pStyle w:val="StandardWeb"/>
      </w:pPr>
      <w:r>
        <w:t>Angenommen, drei verschiedene Funktionen eines Gerätes werden durch drei Schalter aktiviert:</w:t>
      </w:r>
    </w:p>
    <w:p w:rsidR="00427882" w:rsidRDefault="00427882" w:rsidP="00427882">
      <w:pPr>
        <w:pStyle w:val="StandardWeb"/>
        <w:numPr>
          <w:ilvl w:val="0"/>
          <w:numId w:val="264"/>
        </w:numPr>
      </w:pPr>
      <w:r>
        <w:t>Schalter I,</w:t>
      </w:r>
    </w:p>
    <w:p w:rsidR="00427882" w:rsidRDefault="00427882" w:rsidP="00427882">
      <w:pPr>
        <w:pStyle w:val="StandardWeb"/>
        <w:numPr>
          <w:ilvl w:val="0"/>
          <w:numId w:val="264"/>
        </w:numPr>
      </w:pPr>
      <w:r>
        <w:t>Schalter II,</w:t>
      </w:r>
    </w:p>
    <w:p w:rsidR="00427882" w:rsidRDefault="00427882" w:rsidP="00427882">
      <w:pPr>
        <w:pStyle w:val="StandardWeb"/>
        <w:numPr>
          <w:ilvl w:val="0"/>
          <w:numId w:val="264"/>
        </w:numPr>
      </w:pPr>
      <w:r>
        <w:t>Schalter III.</w:t>
      </w:r>
    </w:p>
    <w:p w:rsidR="00427882" w:rsidRDefault="00427882" w:rsidP="00427882">
      <w:pPr>
        <w:pStyle w:val="StandardWeb"/>
      </w:pPr>
      <w:r>
        <w:t>Um zu zeigen, dass Schalter I wirklich eine eigenständige Funktion besitzt, kann ich prüfen, ob Schalter II und III eingeschaltet sein können, während I ausgeschaltet bleibt.</w:t>
      </w:r>
    </w:p>
    <w:p w:rsidR="00427882" w:rsidRDefault="00427882" w:rsidP="00427882">
      <w:pPr>
        <w:pStyle w:val="StandardWeb"/>
      </w:pPr>
      <w:r>
        <w:t>Wenn das möglich ist, dann erzwingen II und III den Zustand von I nicht.</w:t>
      </w:r>
    </w:p>
    <w:p w:rsidR="00427882" w:rsidRDefault="00427882" w:rsidP="00427882">
      <w:pPr>
        <w:pStyle w:val="StandardWeb"/>
      </w:pPr>
      <w:r>
        <w:t>Übertragen auf die Axiome lautet die didaktische Frage:</w:t>
      </w:r>
    </w:p>
    <w:p w:rsidR="00427882" w:rsidRDefault="00427882" w:rsidP="00427882">
      <w:pPr>
        <w:pStyle w:val="StandardWeb"/>
      </w:pPr>
      <w:r>
        <w:rPr>
          <w:rStyle w:val="Fett"/>
        </w:rPr>
        <w:t>Kann ich zwei Axiome gelten lassen, ohne dass das dritte automatisch gilt?</w:t>
      </w:r>
    </w:p>
    <w:p w:rsidR="00427882" w:rsidRDefault="00427882" w:rsidP="00427882">
      <w:pPr>
        <w:pStyle w:val="StandardWeb"/>
      </w:pPr>
      <w:r>
        <w:t>Genau dafür werden Gegenmodelle konstruiert.</w:t>
      </w:r>
    </w:p>
    <w:p w:rsidR="00427882" w:rsidRDefault="00427882" w:rsidP="00427882">
      <w:pPr>
        <w:pStyle w:val="StandardWeb"/>
      </w:pPr>
      <w:r>
        <w:lastRenderedPageBreak/>
        <w:t>Wichtig ist, dass ein Gegenmodell hier nichts „Widerlegendes“ gegenüber dem FRZK bedeutet. Es widerlegt nicht das Axiom. Es wird absichtlich so gebaut, dass ein bestimmtes Axiom nicht gilt, um eine logische Abhängigkeit zu prüfen.</w:t>
      </w:r>
    </w:p>
    <w:p w:rsidR="00427882" w:rsidRDefault="00427882" w:rsidP="00427882">
      <w:pPr>
        <w:pStyle w:val="StandardWeb"/>
      </w:pPr>
      <w:r>
        <w:t>Das ist vergleichbar mit einem technischen Prüfstand. Wenn ich wissen möchte, ob drei Sicherungen unabhängig voneinander funktionieren, schalte ich gezielt einzelne Komponenten ab.</w:t>
      </w:r>
    </w:p>
    <w:p w:rsidR="00427882" w:rsidRDefault="00427882" w:rsidP="00427882">
      <w:pPr>
        <w:pStyle w:val="StandardWeb"/>
      </w:pPr>
      <w:r>
        <w:t>Didaktisch lässt sich die Unabhängigkeitsprüfung daher als drei Fragen lesen:</w:t>
      </w:r>
    </w:p>
    <w:p w:rsidR="00427882" w:rsidRDefault="00427882" w:rsidP="00427882">
      <w:pPr>
        <w:pStyle w:val="StandardWeb"/>
      </w:pPr>
      <w:r>
        <w:rPr>
          <w:rStyle w:val="Fett"/>
        </w:rPr>
        <w:t>Folgen funktionale Zustände bereits aus Relation und Transformation?</w:t>
      </w:r>
    </w:p>
    <w:p w:rsidR="00427882" w:rsidRDefault="00427882" w:rsidP="00427882">
      <w:pPr>
        <w:pStyle w:val="StandardWeb"/>
      </w:pPr>
      <w:r>
        <w:rPr>
          <w:rStyle w:val="Fett"/>
        </w:rPr>
        <w:t>Folgen funktionale Relationen bereits aus Zustand und Transformation?</w:t>
      </w:r>
    </w:p>
    <w:p w:rsidR="00427882" w:rsidRDefault="00427882" w:rsidP="00427882">
      <w:pPr>
        <w:pStyle w:val="StandardWeb"/>
      </w:pPr>
      <w:r>
        <w:rPr>
          <w:rStyle w:val="Fett"/>
        </w:rPr>
        <w:t>Folgen funktionale Transformationen bereits aus Zustand und Relation?</w:t>
      </w:r>
    </w:p>
    <w:p w:rsidR="00427882" w:rsidRDefault="00427882" w:rsidP="00427882">
      <w:pPr>
        <w:pStyle w:val="StandardWeb"/>
      </w:pPr>
      <w:r>
        <w:t>Wenn jede dieser Fragen durch ein geeignetes Gegenmodell mit „nein“ beantwortet werden kann, besitzt jedes Primäraxiom einen eigenständigen Beitrag.</w:t>
      </w:r>
    </w:p>
    <w:p w:rsidR="00427882" w:rsidRDefault="00427882" w:rsidP="00427882">
      <w:pPr>
        <w:pStyle w:val="StandardWeb"/>
      </w:pPr>
      <w:r>
        <w:t xml:space="preserve">Besonders hilfreich ist die Unterscheidung zwischen dem </w:t>
      </w:r>
      <w:r>
        <w:rPr>
          <w:rStyle w:val="Fett"/>
        </w:rPr>
        <w:t>vollständigen FRZK</w:t>
      </w:r>
      <w:r>
        <w:t xml:space="preserve"> und dem </w:t>
      </w:r>
      <w:r>
        <w:rPr>
          <w:rStyle w:val="Fett"/>
        </w:rPr>
        <w:t>Prämodell</w:t>
      </w:r>
      <w:r>
        <w:t>. Für die Prüfung brauche ich nicht das ganze Gebäude. Ich nehme gewissermaßen nur das Fundament auseinander und prüfe, ob jeder seiner drei tragenden Bestandteile tatsächlich eine eigene Funktion besitzt.</w:t>
      </w:r>
    </w:p>
    <w:p w:rsidR="003C5881" w:rsidRPr="00AF32B2" w:rsidRDefault="003C5881" w:rsidP="00AF32B2">
      <w:pPr>
        <w:pStyle w:val="berschrift3"/>
      </w:pPr>
      <w:r w:rsidRPr="00AF32B2">
        <w:t>3.3.20 Prüfung der gemeinsamen Konsistenz der drei Primäraxiome</w:t>
      </w:r>
    </w:p>
    <w:p w:rsidR="003C5881" w:rsidRDefault="003C5881" w:rsidP="003C5881">
      <w:pPr>
        <w:pStyle w:val="StandardWeb"/>
      </w:pPr>
      <w:r>
        <w:t>Die Unabhängigkeitsprüfung in Abschnitt 3.3.19 hat gezeigt, dass keines der drei Primäraxiome aus den beiden anderen folgt. Daraus folgt jedoch noch nicht, dass die drei Axiome gemeinsam erfüllbar sind. Eine unabhängige Axiomenmenge kann grundsätzlich dennoch widersprüchlich sein. Für die Konsistenzprüfung muss deshalb mindestens ein Modell konstruiert werden, in dem alle drei Primäraxiome gleichzeitig erfüllt sind [6, 79].</w:t>
      </w:r>
    </w:p>
    <w:p w:rsidR="003C5881" w:rsidRDefault="003C5881" w:rsidP="003C5881">
      <w:pPr>
        <w:pStyle w:val="StandardWeb"/>
      </w:pPr>
      <w:r>
        <w:t xml:space="preserve">Die hier mögliche Prüfung ist eine </w:t>
      </w:r>
      <w:r>
        <w:rPr>
          <w:rStyle w:val="Fett"/>
        </w:rPr>
        <w:t>relative Konsistenzprüfung</w:t>
      </w:r>
      <w:r>
        <w:t>. Ich zeige, dass sich ein Modell der drei Primäraxiome innerhalb der verwendeten mengentheoretischen und funktionalen Grundlagen konstruieren lässt. Damit wird nicht die absolute Widerspruchsfreiheit der zugrunde liegenden Mathematik bewiesen. Gezeigt wird vielmehr: Sind die verwendeten Mengen-, Relations- und Funktionsbegriffe konsistent, dann ist auch die minimale Axiomenmenge des FRZK erfüllbar [6, 79].</w:t>
      </w:r>
    </w:p>
    <w:p w:rsidR="003C5881" w:rsidRDefault="003C5881" w:rsidP="003C5881">
      <w:pPr>
        <w:pStyle w:val="StandardWeb"/>
      </w:pPr>
      <w:r>
        <w:rPr>
          <w:rStyle w:val="Fett"/>
        </w:rPr>
        <w:t>Eigenleistung des FRZK</w:t>
      </w:r>
    </w:p>
    <w:p w:rsidR="003C5881" w:rsidRDefault="003C5881" w:rsidP="003C5881">
      <w:pPr>
        <w:pStyle w:val="StandardWeb"/>
      </w:pPr>
      <w:r>
        <w:t>Ich prüfe die gemeinsame Konsistenz nicht durch bloße Behauptung, sondern durch die Konstruktion eines expliziten Minimalmodells. Anschließend untersuche ich, welche der später eingeführten Strukturen bereits in diesem Modell definiert werden können und welche zusätzliche Bedingungen benötigen.</w:t>
      </w:r>
    </w:p>
    <w:p w:rsidR="003C5881" w:rsidRPr="00AF32B2" w:rsidRDefault="003C5881" w:rsidP="00AF32B2">
      <w:pPr>
        <w:pStyle w:val="berschrift4"/>
      </w:pPr>
      <w:r w:rsidRPr="00AF32B2">
        <w:t>3.3.20.1 Konsistenzkriterium</w:t>
      </w:r>
    </w:p>
    <w:p w:rsidR="003C5881" w:rsidRDefault="003C5881" w:rsidP="003C5881">
      <w:pPr>
        <w:pStyle w:val="StandardWeb"/>
      </w:pPr>
      <w:r>
        <w:t>Die Primäraxiomenmenge lautet weiterhin</w:t>
      </w:r>
    </w:p>
    <w:p w:rsidR="003C5881" w:rsidRDefault="003C5881" w:rsidP="003C5881">
      <w:pPr>
        <w:pStyle w:val="berschrift1"/>
      </w:pPr>
      <w:r>
        <w:lastRenderedPageBreak/>
        <w:t>[</w:t>
      </w:r>
      <w:r>
        <w:br/>
        <w:t>\mathcal{A}_{\mathrm{prim}}</w:t>
      </w:r>
    </w:p>
    <w:p w:rsidR="003C5881" w:rsidRDefault="003C5881" w:rsidP="003C5881">
      <w:pPr>
        <w:pStyle w:val="StandardWeb"/>
      </w:pPr>
      <w:r>
        <w:t>\left{</w:t>
      </w:r>
      <w:r>
        <w:br/>
        <w:t>A_{\mathrm{I}},</w:t>
      </w:r>
      <w:r>
        <w:br/>
        <w:t>A_{\mathrm{II}},</w:t>
      </w:r>
      <w:r>
        <w:br/>
        <w:t>A_{\mathrm{III}}</w:t>
      </w:r>
      <w:r>
        <w:br/>
        <w:t>\right}.</w:t>
      </w:r>
      <w:r>
        <w:br/>
        <w:t>\tag{3.4427}</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\mathcal{A}_{\mathrm{prim}}=\left\{A_{\mathrm{I}},A_{\mathrm{II}},A_{\mathrm{III}}\right\}\qquad\text{(3.4427)}</w:t>
      </w:r>
    </w:p>
    <w:p w:rsidR="003C5881" w:rsidRDefault="003C5881" w:rsidP="003C5881">
      <w:pPr>
        <w:pStyle w:val="StandardWeb"/>
      </w:pPr>
      <w:r>
        <w:t>Die Axiomenmenge ist semantisch erfüllbar, wenn mindestens ein Modell existiert, das sämtliche Axiome erfüllt:</w:t>
      </w:r>
    </w:p>
    <w:p w:rsidR="003C5881" w:rsidRDefault="003C5881" w:rsidP="003C5881">
      <w:pPr>
        <w:pStyle w:val="StandardWeb"/>
      </w:pPr>
      <w:r>
        <w:t>[</w:t>
      </w:r>
      <w:r>
        <w:br/>
        <w:t>\exists\mathcal{M}</w:t>
      </w:r>
      <w:r>
        <w:rPr>
          <w:rStyle w:val="Hervorhebung"/>
        </w:rPr>
        <w:t>{\mathrm{ges}}:</w:t>
      </w:r>
      <w:r>
        <w:rPr>
          <w:i/>
          <w:iCs/>
        </w:rPr>
        <w:br/>
      </w:r>
      <w:r>
        <w:rPr>
          <w:rStyle w:val="Hervorhebung"/>
        </w:rPr>
        <w:t>\mathcal{M}</w:t>
      </w:r>
      <w:r>
        <w:t>{\mathrm{ges}}</w:t>
      </w:r>
      <w:r>
        <w:br/>
        <w:t>\models</w:t>
      </w:r>
      <w:r>
        <w:br/>
        <w:t>A_{\mathrm{I}}</w:t>
      </w:r>
      <w:r>
        <w:br/>
        <w:t>\land</w:t>
      </w:r>
      <w:r>
        <w:br/>
        <w:t>A_{\mathrm{II}}</w:t>
      </w:r>
      <w:r>
        <w:br/>
        <w:t>\land</w:t>
      </w:r>
      <w:r>
        <w:br/>
        <w:t>A_{\mathrm{III}}.</w:t>
      </w:r>
      <w:r>
        <w:br/>
        <w:t>\tag{3.4428}</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\exists\mathcal{M}_{\mathrm{ges}}:\mathcal{M}_{\mathrm{ges}}\models A_{\mathrm{I}}\land A_{\mathrm{II}}\land A_{\mathrm{III}}\qquad\text{(3.4428)}</w:t>
      </w:r>
    </w:p>
    <w:p w:rsidR="003C5881" w:rsidRDefault="003C5881" w:rsidP="003C5881">
      <w:pPr>
        <w:pStyle w:val="StandardWeb"/>
      </w:pPr>
      <w:r>
        <w:t>Existiert ein solches Modell, kann aus den drei Primäraxiomen innerhalb einer korrekten semantischen Interpretation kein formaler Widerspruch folgen [6, 79].</w:t>
      </w:r>
    </w:p>
    <w:p w:rsidR="003C5881" w:rsidRPr="00AF32B2" w:rsidRDefault="003C5881" w:rsidP="00AF32B2">
      <w:pPr>
        <w:pStyle w:val="berschrift4"/>
      </w:pPr>
      <w:r w:rsidRPr="00AF32B2">
        <w:t>3.3.20.2 Wahl des minimalen Zustandsbereichs</w:t>
      </w:r>
    </w:p>
    <w:p w:rsidR="003C5881" w:rsidRDefault="003C5881" w:rsidP="003C5881">
      <w:pPr>
        <w:pStyle w:val="StandardWeb"/>
      </w:pPr>
      <w:r>
        <w:t>Für das gemeinsame Minimalmodell wähle ich einen Zustandsbereich mit genau einem elementaren funktionalen Zustand:</w:t>
      </w:r>
    </w:p>
    <w:p w:rsidR="003C5881" w:rsidRDefault="003C5881" w:rsidP="003C5881">
      <w:pPr>
        <w:pStyle w:val="berschrift1"/>
      </w:pPr>
      <w:r>
        <w:t>[</w:t>
      </w:r>
      <w:r>
        <w:br/>
        <w:t>\mathcal{S}_{\mathrm{el}}^{\min}</w:t>
      </w:r>
    </w:p>
    <w:p w:rsidR="003C5881" w:rsidRDefault="003C5881" w:rsidP="003C5881">
      <w:pPr>
        <w:pStyle w:val="StandardWeb"/>
      </w:pPr>
      <w:r>
        <w:lastRenderedPageBreak/>
        <w:t>\left{</w:t>
      </w:r>
      <w:r>
        <w:br/>
        <w:t>\delta_0</w:t>
      </w:r>
      <w:r>
        <w:br/>
        <w:t>\right}.</w:t>
      </w:r>
      <w:r>
        <w:br/>
        <w:t>\tag{3.4429}</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\mathcal{S}_{\mathrm{el}}^{\min}=\left\{\delta_0\right\}\qquad\text{(3.4429)}</w:t>
      </w:r>
    </w:p>
    <w:p w:rsidR="003C5881" w:rsidRDefault="003C5881" w:rsidP="003C5881">
      <w:pPr>
        <w:pStyle w:val="StandardWeb"/>
      </w:pPr>
      <w:r>
        <w:t>Damit gilt unmittelbar:</w:t>
      </w:r>
    </w:p>
    <w:p w:rsidR="003C5881" w:rsidRDefault="003C5881" w:rsidP="003C5881">
      <w:pPr>
        <w:pStyle w:val="StandardWeb"/>
      </w:pPr>
      <w:r>
        <w:t>[</w:t>
      </w:r>
      <w:r>
        <w:br/>
        <w:t>\mathcal{S}_{\mathrm{el}}^{\min}</w:t>
      </w:r>
      <w:r>
        <w:br/>
        <w:t>\neq</w:t>
      </w:r>
      <w:r>
        <w:br/>
        <w:t>\emptyset.</w:t>
      </w:r>
      <w:r>
        <w:br/>
        <w:t>\tag{3.4430}</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\mathcal{S}_{\mathrm{el}}^{\min}\neq\emptyset\qquad\text{(3.4430)}</w:t>
      </w:r>
    </w:p>
    <w:p w:rsidR="003C5881" w:rsidRDefault="003C5881" w:rsidP="003C5881">
      <w:pPr>
        <w:pStyle w:val="StandardWeb"/>
      </w:pPr>
      <w:r>
        <w:t>Primäraxiom I ist damit erfüllt:</w:t>
      </w:r>
    </w:p>
    <w:p w:rsidR="003C5881" w:rsidRDefault="003C5881" w:rsidP="003C5881">
      <w:pPr>
        <w:pStyle w:val="StandardWeb"/>
      </w:pPr>
      <w:r>
        <w:t>[</w:t>
      </w:r>
      <w:r>
        <w:br/>
        <w:t>\mathcal{M}</w:t>
      </w:r>
      <w:r>
        <w:rPr>
          <w:rStyle w:val="Hervorhebung"/>
        </w:rPr>
        <w:t>{\mathrm{ges}}</w:t>
      </w:r>
      <w:r>
        <w:rPr>
          <w:i/>
          <w:iCs/>
        </w:rPr>
        <w:br/>
      </w:r>
      <w:r>
        <w:rPr>
          <w:rStyle w:val="Hervorhebung"/>
        </w:rPr>
        <w:t>\models</w:t>
      </w:r>
      <w:r>
        <w:rPr>
          <w:i/>
          <w:iCs/>
        </w:rPr>
        <w:br/>
      </w:r>
      <w:r>
        <w:rPr>
          <w:rStyle w:val="Hervorhebung"/>
        </w:rPr>
        <w:t>A</w:t>
      </w:r>
      <w:r>
        <w:t>{\mathrm{I}}.</w:t>
      </w:r>
      <w:r>
        <w:br/>
        <w:t>\tag{3.4431}</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\mathcal{M}_{\mathrm{ges}}\models A_{\mathrm{I}}\qquad\text{(3.4431)}</w:t>
      </w:r>
    </w:p>
    <w:p w:rsidR="003C5881" w:rsidRDefault="003C5881" w:rsidP="003C5881">
      <w:pPr>
        <w:pStyle w:val="StandardWeb"/>
      </w:pPr>
      <w:r>
        <w:t>Die Wahl einer einelementigen Zustandsmenge ist die kleinste nichtleere Möglichkeit. Ein kleinerer Zustandsbereich wäre leer und würde Primäraxiom I verletzen.</w:t>
      </w:r>
    </w:p>
    <w:p w:rsidR="003C5881" w:rsidRPr="00AF32B2" w:rsidRDefault="003C5881" w:rsidP="00AF32B2">
      <w:pPr>
        <w:pStyle w:val="berschrift4"/>
      </w:pPr>
      <w:r w:rsidRPr="00AF32B2">
        <w:t>3.3.20.3 Wahl der minimalen funktionalen Relation</w:t>
      </w:r>
    </w:p>
    <w:p w:rsidR="003C5881" w:rsidRDefault="003C5881" w:rsidP="003C5881">
      <w:pPr>
        <w:pStyle w:val="StandardWeb"/>
      </w:pPr>
      <w:r>
        <w:t>Auf dem einelementigen Zustandsbereich definiere ich die Relation</w:t>
      </w:r>
    </w:p>
    <w:p w:rsidR="003C5881" w:rsidRDefault="003C5881" w:rsidP="003C5881">
      <w:pPr>
        <w:pStyle w:val="berschrift1"/>
      </w:pPr>
      <w:r>
        <w:t>[</w:t>
      </w:r>
      <w:r>
        <w:br/>
        <w:t>R_0</w:t>
      </w:r>
    </w:p>
    <w:p w:rsidR="003C5881" w:rsidRDefault="003C5881" w:rsidP="003C5881">
      <w:pPr>
        <w:pStyle w:val="StandardWeb"/>
      </w:pPr>
      <w:r>
        <w:t>\left{</w:t>
      </w:r>
      <w:r>
        <w:br/>
        <w:t>\left(</w:t>
      </w:r>
      <w:r>
        <w:br/>
        <w:t>\delta_0,\delta_0</w:t>
      </w:r>
      <w:r>
        <w:br/>
      </w:r>
      <w:r>
        <w:lastRenderedPageBreak/>
        <w:t>\right)</w:t>
      </w:r>
      <w:r>
        <w:br/>
        <w:t>\right}.</w:t>
      </w:r>
      <w:r>
        <w:br/>
        <w:t>\tag{3.4432}</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R_0=\left\{\left(\delta_0,\delta_0\right)\right\}\qquad\text{(3.4432)}</w:t>
      </w:r>
    </w:p>
    <w:p w:rsidR="003C5881" w:rsidRDefault="003C5881" w:rsidP="003C5881">
      <w:pPr>
        <w:pStyle w:val="StandardWeb"/>
      </w:pPr>
      <w:r>
        <w:t>Diese Relation ist eine Teilmenge des kartesischen Produkts:</w:t>
      </w:r>
    </w:p>
    <w:p w:rsidR="003C5881" w:rsidRDefault="003C5881" w:rsidP="003C5881">
      <w:pPr>
        <w:pStyle w:val="StandardWeb"/>
      </w:pPr>
      <w:r>
        <w:t>[</w:t>
      </w:r>
      <w:r>
        <w:br/>
        <w:t>R_0</w:t>
      </w:r>
      <w:r>
        <w:br/>
        <w:t>\subseteq</w:t>
      </w:r>
      <w:r>
        <w:br/>
        <w:t>\mathcal{S}</w:t>
      </w:r>
      <w:r>
        <w:rPr>
          <w:rStyle w:val="Hervorhebung"/>
        </w:rPr>
        <w:t>{\mathrm{el}}^{\min}</w:t>
      </w:r>
      <w:r>
        <w:rPr>
          <w:i/>
          <w:iCs/>
        </w:rPr>
        <w:br/>
      </w:r>
      <w:r>
        <w:rPr>
          <w:rStyle w:val="Hervorhebung"/>
        </w:rPr>
        <w:t>\times</w:t>
      </w:r>
      <w:r>
        <w:rPr>
          <w:i/>
          <w:iCs/>
        </w:rPr>
        <w:br/>
      </w:r>
      <w:r>
        <w:rPr>
          <w:rStyle w:val="Hervorhebung"/>
        </w:rPr>
        <w:t>\mathcal{S}</w:t>
      </w:r>
      <w:r>
        <w:t>{\mathrm{el}}^{\min}.</w:t>
      </w:r>
      <w:r>
        <w:br/>
        <w:t>\tag{3.4433}</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R_0\subseteq\mathcal{S}_{\mathrm{el}}^{\min}\times\mathcal{S}_{\mathrm{el}}^{\min}\qquad\text{(3.4433)}</w:t>
      </w:r>
    </w:p>
    <w:p w:rsidR="003C5881" w:rsidRDefault="003C5881" w:rsidP="003C5881">
      <w:pPr>
        <w:pStyle w:val="StandardWeb"/>
      </w:pPr>
      <w:r>
        <w:t>Die minimale funktionale Relationsmenge wird definiert durch</w:t>
      </w:r>
    </w:p>
    <w:p w:rsidR="003C5881" w:rsidRDefault="003C5881" w:rsidP="003C5881">
      <w:pPr>
        <w:pStyle w:val="berschrift1"/>
      </w:pPr>
      <w:r>
        <w:t>[</w:t>
      </w:r>
      <w:r>
        <w:br/>
        <w:t>\mathfrak{R}_{\mathrm{f}}^{\min}</w:t>
      </w:r>
    </w:p>
    <w:p w:rsidR="003C5881" w:rsidRDefault="003C5881" w:rsidP="003C5881">
      <w:pPr>
        <w:pStyle w:val="StandardWeb"/>
      </w:pPr>
      <w:r>
        <w:t>\left{</w:t>
      </w:r>
      <w:r>
        <w:br/>
        <w:t>R_0</w:t>
      </w:r>
      <w:r>
        <w:br/>
        <w:t>\right}.</w:t>
      </w:r>
      <w:r>
        <w:br/>
        <w:t>\tag{3.4434}</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\mathfrak{R}_{\mathrm{f}}^{\min}=\left\{R_0\right\}\qquad\text{(3.4434)}</w:t>
      </w:r>
    </w:p>
    <w:p w:rsidR="003C5881" w:rsidRDefault="003C5881" w:rsidP="003C5881">
      <w:pPr>
        <w:pStyle w:val="StandardWeb"/>
      </w:pPr>
      <w:r>
        <w:t>Damit gilt:</w:t>
      </w:r>
    </w:p>
    <w:p w:rsidR="003C5881" w:rsidRDefault="003C5881" w:rsidP="003C5881">
      <w:pPr>
        <w:pStyle w:val="StandardWeb"/>
      </w:pPr>
      <w:r>
        <w:t>[</w:t>
      </w:r>
      <w:r>
        <w:br/>
        <w:t>\mathfrak{R}_{\mathrm{f}}^{\min}</w:t>
      </w:r>
      <w:r>
        <w:br/>
        <w:t>\neq</w:t>
      </w:r>
      <w:r>
        <w:br/>
        <w:t>\emptyset.</w:t>
      </w:r>
      <w:r>
        <w:br/>
        <w:t>\tag{3.4435}</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lastRenderedPageBreak/>
        <w:t>\mathfrak{R}_{\mathrm{f}}^{\min}\neq\emptyset\qquad\text{(3.4435)}</w:t>
      </w:r>
    </w:p>
    <w:p w:rsidR="003C5881" w:rsidRDefault="003C5881" w:rsidP="003C5881">
      <w:pPr>
        <w:pStyle w:val="StandardWeb"/>
      </w:pPr>
      <w:r>
        <w:t>Primäraxiom II ist somit erfüllt:</w:t>
      </w:r>
    </w:p>
    <w:p w:rsidR="003C5881" w:rsidRDefault="003C5881" w:rsidP="003C5881">
      <w:pPr>
        <w:pStyle w:val="StandardWeb"/>
      </w:pPr>
      <w:r>
        <w:t>[</w:t>
      </w:r>
      <w:r>
        <w:br/>
        <w:t>\mathcal{M}</w:t>
      </w:r>
      <w:r>
        <w:rPr>
          <w:rStyle w:val="Hervorhebung"/>
        </w:rPr>
        <w:t>{\mathrm{ges}}</w:t>
      </w:r>
      <w:r>
        <w:rPr>
          <w:i/>
          <w:iCs/>
        </w:rPr>
        <w:br/>
      </w:r>
      <w:r>
        <w:rPr>
          <w:rStyle w:val="Hervorhebung"/>
        </w:rPr>
        <w:t>\models</w:t>
      </w:r>
      <w:r>
        <w:rPr>
          <w:i/>
          <w:iCs/>
        </w:rPr>
        <w:br/>
      </w:r>
      <w:r>
        <w:rPr>
          <w:rStyle w:val="Hervorhebung"/>
        </w:rPr>
        <w:t>A</w:t>
      </w:r>
      <w:r>
        <w:t>{\mathrm{II}}.</w:t>
      </w:r>
      <w:r>
        <w:br/>
        <w:t>\tag{3.4436}</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\mathcal{M}_{\mathrm{ges}}\models A_{\mathrm{II}}\qquad\text{(3.4436)}</w:t>
      </w:r>
    </w:p>
    <w:p w:rsidR="003C5881" w:rsidRDefault="003C5881" w:rsidP="003C5881">
      <w:pPr>
        <w:pStyle w:val="StandardWeb"/>
      </w:pPr>
      <w:r>
        <w:t>Die Relation (R_0) verbindet den einzigen Zustand mit sich selbst. Daraus folgt noch keine Zustandsänderung. Sie erfüllt lediglich die minimale Forderung nach mindestens einer funktionalen Relation.</w:t>
      </w:r>
    </w:p>
    <w:p w:rsidR="003C5881" w:rsidRPr="00AF32B2" w:rsidRDefault="003C5881" w:rsidP="00AF32B2">
      <w:pPr>
        <w:pStyle w:val="berschrift4"/>
      </w:pPr>
      <w:r w:rsidRPr="00AF32B2">
        <w:t>3.3.20.4 Wahl der minimalen funktionalen Transformation</w:t>
      </w:r>
    </w:p>
    <w:p w:rsidR="003C5881" w:rsidRDefault="003C5881" w:rsidP="003C5881">
      <w:pPr>
        <w:pStyle w:val="StandardWeb"/>
      </w:pPr>
      <w:r>
        <w:t>Auf dem Zustandsbereich (\mathcal{S}_{\mathrm{el}}^{\min}) definiere ich die Identitätsabbildung</w:t>
      </w:r>
    </w:p>
    <w:p w:rsidR="003C5881" w:rsidRDefault="003C5881" w:rsidP="003C5881">
      <w:pPr>
        <w:pStyle w:val="berschrift1"/>
      </w:pPr>
      <w:r>
        <w:t>[</w:t>
      </w:r>
      <w:r>
        <w:br/>
        <w:t>T_0</w:t>
      </w:r>
    </w:p>
    <w:p w:rsidR="003C5881" w:rsidRDefault="003C5881" w:rsidP="003C5881">
      <w:pPr>
        <w:pStyle w:val="StandardWeb"/>
      </w:pPr>
      <w:r>
        <w:t>\operatorname{id}</w:t>
      </w:r>
      <w:r>
        <w:rPr>
          <w:rStyle w:val="Hervorhebung"/>
        </w:rPr>
        <w:t>{\mathcal{S}</w:t>
      </w:r>
      <w:r>
        <w:t>{\mathrm{el}}^{\min}}.</w:t>
      </w:r>
      <w:r>
        <w:br/>
        <w:t>\tag{3.4437}</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T_0=\operatorname{id}_{\mathcal{S}_{\mathrm{el}}^{\min}}\qquad\text{(3.4437)}</w:t>
      </w:r>
    </w:p>
    <w:p w:rsidR="003C5881" w:rsidRDefault="003C5881" w:rsidP="003C5881">
      <w:pPr>
        <w:pStyle w:val="StandardWeb"/>
      </w:pPr>
      <w:r>
        <w:t>Formal gilt:</w:t>
      </w:r>
    </w:p>
    <w:p w:rsidR="003C5881" w:rsidRDefault="003C5881" w:rsidP="003C5881">
      <w:pPr>
        <w:pStyle w:val="StandardWeb"/>
      </w:pPr>
      <w:r>
        <w:t>[</w:t>
      </w:r>
      <w:r>
        <w:br/>
        <w:t>T_0:</w:t>
      </w:r>
      <w:r>
        <w:br/>
        <w:t>\mathcal{S}</w:t>
      </w:r>
      <w:r>
        <w:rPr>
          <w:rStyle w:val="Hervorhebung"/>
        </w:rPr>
        <w:t>{\mathrm{el}}^{\min}</w:t>
      </w:r>
      <w:r>
        <w:rPr>
          <w:i/>
          <w:iCs/>
        </w:rPr>
        <w:br/>
      </w:r>
      <w:r>
        <w:rPr>
          <w:rStyle w:val="Hervorhebung"/>
        </w:rPr>
        <w:t>\rightarrow</w:t>
      </w:r>
      <w:r>
        <w:rPr>
          <w:i/>
          <w:iCs/>
        </w:rPr>
        <w:br/>
      </w:r>
      <w:r>
        <w:rPr>
          <w:rStyle w:val="Hervorhebung"/>
        </w:rPr>
        <w:t>\mathcal{S}</w:t>
      </w:r>
      <w:r>
        <w:t>{\mathrm{el}}^{\min}.</w:t>
      </w:r>
      <w:r>
        <w:br/>
        <w:t>\tag{3.4438}</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T_0:\mathcal{S}_{\mathrm{el}}^{\min}\rightarrow\mathcal{S}_{\mathrm{el}}^{\min}\qquad\text{(3.4438)}</w:t>
      </w:r>
    </w:p>
    <w:p w:rsidR="003C5881" w:rsidRDefault="003C5881" w:rsidP="003C5881">
      <w:pPr>
        <w:pStyle w:val="StandardWeb"/>
      </w:pPr>
      <w:r>
        <w:lastRenderedPageBreak/>
        <w:t>Für den einzigen Zustand gilt:</w:t>
      </w:r>
    </w:p>
    <w:p w:rsidR="003C5881" w:rsidRDefault="003C5881" w:rsidP="003C5881">
      <w:pPr>
        <w:pStyle w:val="berschrift1"/>
      </w:pPr>
      <w:r>
        <w:t>[</w:t>
      </w:r>
      <w:r>
        <w:br/>
        <w:t>T_0(\delta_0)</w:t>
      </w:r>
    </w:p>
    <w:p w:rsidR="003C5881" w:rsidRDefault="003C5881" w:rsidP="003C5881">
      <w:pPr>
        <w:pStyle w:val="StandardWeb"/>
      </w:pPr>
      <w:r>
        <w:t>\delta_0.</w:t>
      </w:r>
      <w:r>
        <w:br/>
        <w:t>\tag{3.4439}</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T_0(\delta_0)=\delta_0\qquad\text{(3.4439)}</w:t>
      </w:r>
    </w:p>
    <w:p w:rsidR="003C5881" w:rsidRDefault="003C5881" w:rsidP="003C5881">
      <w:pPr>
        <w:pStyle w:val="StandardWeb"/>
      </w:pPr>
      <w:r>
        <w:t>Die minimale Transformationsmenge lautet:</w:t>
      </w:r>
    </w:p>
    <w:p w:rsidR="003C5881" w:rsidRDefault="003C5881" w:rsidP="003C5881">
      <w:pPr>
        <w:pStyle w:val="berschrift1"/>
      </w:pPr>
      <w:r>
        <w:t>[</w:t>
      </w:r>
      <w:r>
        <w:br/>
        <w:t>\mathfrak{T}_{\mathrm{f}}^{\min}</w:t>
      </w:r>
    </w:p>
    <w:p w:rsidR="003C5881" w:rsidRDefault="003C5881" w:rsidP="003C5881">
      <w:pPr>
        <w:pStyle w:val="StandardWeb"/>
      </w:pPr>
      <w:r>
        <w:t>\left{</w:t>
      </w:r>
      <w:r>
        <w:br/>
        <w:t>T_0</w:t>
      </w:r>
      <w:r>
        <w:br/>
        <w:t>\right}.</w:t>
      </w:r>
      <w:r>
        <w:br/>
        <w:t>\tag{3.4440}</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\mathfrak{T}_{\mathrm{f}}^{\min}=\left\{T_0\right\}\qquad\text{(3.4440)}</w:t>
      </w:r>
    </w:p>
    <w:p w:rsidR="003C5881" w:rsidRDefault="003C5881" w:rsidP="003C5881">
      <w:pPr>
        <w:pStyle w:val="StandardWeb"/>
      </w:pPr>
      <w:r>
        <w:t>Damit gilt:</w:t>
      </w:r>
    </w:p>
    <w:p w:rsidR="003C5881" w:rsidRDefault="003C5881" w:rsidP="003C5881">
      <w:pPr>
        <w:pStyle w:val="StandardWeb"/>
      </w:pPr>
      <w:r>
        <w:t>[</w:t>
      </w:r>
      <w:r>
        <w:br/>
        <w:t>\mathfrak{T}_{\mathrm{f}}^{\min}</w:t>
      </w:r>
      <w:r>
        <w:br/>
        <w:t>\neq</w:t>
      </w:r>
      <w:r>
        <w:br/>
        <w:t>\emptyset.</w:t>
      </w:r>
      <w:r>
        <w:br/>
        <w:t>\tag{3.4441}</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\mathfrak{T}_{\mathrm{f}}^{\min}\neq\emptyset\qquad\text{(3.4441)}</w:t>
      </w:r>
    </w:p>
    <w:p w:rsidR="003C5881" w:rsidRDefault="003C5881" w:rsidP="003C5881">
      <w:pPr>
        <w:pStyle w:val="StandardWeb"/>
      </w:pPr>
      <w:r>
        <w:t>Primäraxiom III ist daher erfüllt:</w:t>
      </w:r>
    </w:p>
    <w:p w:rsidR="003C5881" w:rsidRDefault="003C5881" w:rsidP="003C5881">
      <w:pPr>
        <w:pStyle w:val="StandardWeb"/>
      </w:pPr>
      <w:r>
        <w:t>[</w:t>
      </w:r>
      <w:r>
        <w:br/>
        <w:t>\mathcal{M}</w:t>
      </w:r>
      <w:r>
        <w:rPr>
          <w:rStyle w:val="Hervorhebung"/>
        </w:rPr>
        <w:t>{\mathrm{ges}}</w:t>
      </w:r>
      <w:r>
        <w:rPr>
          <w:i/>
          <w:iCs/>
        </w:rPr>
        <w:br/>
      </w:r>
      <w:r>
        <w:rPr>
          <w:rStyle w:val="Hervorhebung"/>
        </w:rPr>
        <w:t>\models</w:t>
      </w:r>
      <w:r>
        <w:rPr>
          <w:i/>
          <w:iCs/>
        </w:rPr>
        <w:br/>
      </w:r>
      <w:r>
        <w:rPr>
          <w:rStyle w:val="Hervorhebung"/>
        </w:rPr>
        <w:t>A</w:t>
      </w:r>
      <w:r>
        <w:t>{\mathrm{III}}.</w:t>
      </w:r>
      <w:r>
        <w:br/>
        <w:t>\tag{3.4442}</w:t>
      </w:r>
      <w:r>
        <w:br/>
        <w:t>]</w:t>
      </w:r>
    </w:p>
    <w:p w:rsidR="003C5881" w:rsidRDefault="003C5881" w:rsidP="003C5881">
      <w:pPr>
        <w:pStyle w:val="StandardWeb"/>
      </w:pPr>
      <w:r>
        <w:rPr>
          <w:rStyle w:val="Fett"/>
        </w:rPr>
        <w:lastRenderedPageBreak/>
        <w:t>Word-LaTeX</w:t>
      </w:r>
    </w:p>
    <w:p w:rsidR="003C5881" w:rsidRDefault="003C5881" w:rsidP="003C5881">
      <w:pPr>
        <w:pStyle w:val="HTMLVorformatiert"/>
        <w:rPr>
          <w:rStyle w:val="HTMLCode"/>
        </w:rPr>
      </w:pPr>
      <w:r>
        <w:rPr>
          <w:rStyle w:val="HTMLCode"/>
        </w:rPr>
        <w:t>\mathcal{M}_{\mathrm{ges}}\models A_{\mathrm{III}}\qquad\text{(3.4442)}</w:t>
      </w:r>
    </w:p>
    <w:p w:rsidR="003C5881" w:rsidRDefault="003C5881" w:rsidP="003C5881">
      <w:pPr>
        <w:pStyle w:val="StandardWeb"/>
      </w:pPr>
      <w:r>
        <w:rPr>
          <w:rStyle w:val="Fett"/>
        </w:rPr>
        <w:t>Eigenleistung des FRZK</w:t>
      </w:r>
    </w:p>
    <w:p w:rsidR="003C5881" w:rsidRDefault="003C5881" w:rsidP="003C5881">
      <w:pPr>
        <w:pStyle w:val="StandardWeb"/>
      </w:pPr>
      <w:r>
        <w:t>Ich lasse im Minimalmodell die Identitätsabbildung als funktionale Transformation zu. Damit wird Transformierbarkeit nicht mit zwingender Zustandsänderung gleichgesetzt. Das Axiom fordert zunächst die Existenz mindestens einer funktionalen Transformation, nicht die Existenz mindestens zweier verschiedener Zustände.</w:t>
      </w:r>
    </w:p>
    <w:p w:rsidR="003C5881" w:rsidRPr="00AF32B2" w:rsidRDefault="003C5881" w:rsidP="00AF32B2">
      <w:pPr>
        <w:pStyle w:val="berschrift4"/>
      </w:pPr>
      <w:r w:rsidRPr="00AF32B2">
        <w:t>3.3.20.5 Definition des gemeinsamen Minimalmodells</w:t>
      </w:r>
    </w:p>
    <w:p w:rsidR="003C5881" w:rsidRDefault="003C5881" w:rsidP="003C5881">
      <w:pPr>
        <w:pStyle w:val="StandardWeb"/>
      </w:pPr>
      <w:r>
        <w:rPr>
          <w:rStyle w:val="Fett"/>
        </w:rPr>
        <w:t>Definition 3.3.13 – Gemeinsames minimales Primäraxiomenmodell</w:t>
      </w:r>
    </w:p>
    <w:p w:rsidR="003C5881" w:rsidRDefault="003C5881" w:rsidP="003C5881">
      <w:pPr>
        <w:pStyle w:val="StandardWeb"/>
      </w:pPr>
      <w:r>
        <w:t>Das gemeinsame minimale Primäraxiomenmodell ist die Struktur</w:t>
      </w:r>
    </w:p>
    <w:p w:rsidR="003C5881" w:rsidRDefault="003C5881" w:rsidP="003C5881">
      <w:pPr>
        <w:pStyle w:val="berschrift1"/>
      </w:pPr>
      <w:r>
        <w:t>[</w:t>
      </w:r>
      <w:r>
        <w:br/>
        <w:t>\mathcal{M}_{\mathrm{ges}}^{\min}</w:t>
      </w:r>
    </w:p>
    <w:p w:rsidR="003C5881" w:rsidRDefault="003C5881" w:rsidP="003C5881">
      <w:pPr>
        <w:pStyle w:val="StandardWeb"/>
      </w:pPr>
      <w:r>
        <w:t>\left(</w:t>
      </w:r>
      <w:r>
        <w:br/>
        <w:t>\mathcal{S}</w:t>
      </w:r>
      <w:r>
        <w:rPr>
          <w:rStyle w:val="Hervorhebung"/>
        </w:rPr>
        <w:t>{\mathrm{el}}^{\min},</w:t>
      </w:r>
      <w:r>
        <w:rPr>
          <w:i/>
          <w:iCs/>
        </w:rPr>
        <w:br/>
      </w:r>
      <w:r>
        <w:rPr>
          <w:rStyle w:val="Hervorhebung"/>
        </w:rPr>
        <w:t>\mathfrak{R}</w:t>
      </w:r>
      <w:r>
        <w:t>{\mathrm{f}}^{\min},</w:t>
      </w:r>
      <w:r>
        <w:br/>
        <w:t>\mathfrak{T}_{\mathrm{f}}^{\min}</w:t>
      </w:r>
      <w:r>
        <w:br/>
        <w:t>\right)</w:t>
      </w:r>
      <w:r>
        <w:br/>
        <w:t>\tag{3.4443}</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\mathcal{M}_{\mathrm{ges}}^{\min}=\left(\mathcal{S}_{\mathrm{el}}^{\min},\mathfrak{R}_{\mathrm{f}}^{\min},\mathfrak{T}_{\mathrm{f}}^{\min}\right)\qquad\text{(3.4443)}</w:t>
      </w:r>
    </w:p>
    <w:p w:rsidR="003C5881" w:rsidRDefault="003C5881" w:rsidP="003C5881">
      <w:pPr>
        <w:pStyle w:val="StandardWeb"/>
      </w:pPr>
      <w:r>
        <w:t>mit</w:t>
      </w:r>
    </w:p>
    <w:p w:rsidR="003C5881" w:rsidRDefault="003C5881" w:rsidP="003C5881">
      <w:pPr>
        <w:pStyle w:val="berschrift1"/>
      </w:pPr>
      <w:r>
        <w:t>[</w:t>
      </w:r>
      <w:r>
        <w:br/>
        <w:t>\mathcal{S}_{\mathrm{el}}^{\min}</w:t>
      </w:r>
    </w:p>
    <w:p w:rsidR="003C5881" w:rsidRDefault="003C5881" w:rsidP="003C5881">
      <w:pPr>
        <w:pStyle w:val="StandardWeb"/>
      </w:pPr>
      <w:r>
        <w:t>{\delta_0},</w:t>
      </w:r>
      <w:r>
        <w:br/>
        <w:t>\tag{3.4444}</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\mathcal{S}_{\mathrm{el}}^{\min}=\{\delta_0\}\qquad\text{(3.4444)}</w:t>
      </w:r>
    </w:p>
    <w:p w:rsidR="003C5881" w:rsidRDefault="003C5881" w:rsidP="003C5881">
      <w:pPr>
        <w:pStyle w:val="berschrift1"/>
      </w:pPr>
      <w:r>
        <w:lastRenderedPageBreak/>
        <w:t>[</w:t>
      </w:r>
      <w:r>
        <w:br/>
        <w:t>\mathfrak{R}_{\mathrm{f}}^{\min}</w:t>
      </w:r>
    </w:p>
    <w:p w:rsidR="003C5881" w:rsidRDefault="003C5881" w:rsidP="003C5881">
      <w:pPr>
        <w:pStyle w:val="StandardWeb"/>
      </w:pPr>
      <w:r>
        <w:t>\left{</w:t>
      </w:r>
      <w:r>
        <w:br/>
        <w:t>{(\delta_0,\delta_0)}</w:t>
      </w:r>
      <w:r>
        <w:br/>
        <w:t>\right},</w:t>
      </w:r>
      <w:r>
        <w:br/>
        <w:t>\tag{3.4445}</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\mathfrak{R}_{\mathrm{f}}^{\min}=\left\{\{(\delta_0,\delta_0)\}\right\}\qquad\text{(3.4445)}</w:t>
      </w:r>
    </w:p>
    <w:p w:rsidR="003C5881" w:rsidRDefault="003C5881" w:rsidP="003C5881">
      <w:pPr>
        <w:pStyle w:val="StandardWeb"/>
      </w:pPr>
      <w:r>
        <w:t>und</w:t>
      </w:r>
    </w:p>
    <w:p w:rsidR="003C5881" w:rsidRDefault="003C5881" w:rsidP="003C5881">
      <w:pPr>
        <w:pStyle w:val="berschrift1"/>
      </w:pPr>
      <w:r>
        <w:t>[</w:t>
      </w:r>
      <w:r>
        <w:br/>
        <w:t>\mathfrak{T}_{\mathrm{f}}^{\min}</w:t>
      </w:r>
    </w:p>
    <w:p w:rsidR="003C5881" w:rsidRDefault="003C5881" w:rsidP="003C5881">
      <w:pPr>
        <w:pStyle w:val="StandardWeb"/>
      </w:pPr>
      <w:r>
        <w:t>\left{</w:t>
      </w:r>
      <w:r>
        <w:br/>
        <w:t>\operatorname{id}</w:t>
      </w:r>
      <w:r>
        <w:rPr>
          <w:rStyle w:val="Hervorhebung"/>
        </w:rPr>
        <w:t>{\mathcal{S}</w:t>
      </w:r>
      <w:r>
        <w:t>{\mathrm{el}}^{\min}}</w:t>
      </w:r>
      <w:r>
        <w:br/>
        <w:t>\right}.</w:t>
      </w:r>
      <w:r>
        <w:br/>
        <w:t>\tag{3.4446}</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\mathfrak{T}_{\mathrm{f}}^{\min}=\left\{\operatorname{id}_{\mathcal{S}_{\mathrm{el}}^{\min}}\right\}\qquad\text{(3.4446)}</w:t>
      </w:r>
    </w:p>
    <w:p w:rsidR="003C5881" w:rsidRDefault="003C5881" w:rsidP="003C5881">
      <w:pPr>
        <w:pStyle w:val="StandardWeb"/>
      </w:pPr>
      <w:r>
        <w:t>Das Modell ist vollständig typisiert. Die Relation ist auf dem Zustandsbereich definiert, und die Transformation bildet den Zustandsbereich in sich selbst ab.</w:t>
      </w:r>
    </w:p>
    <w:p w:rsidR="003C5881" w:rsidRPr="00AF32B2" w:rsidRDefault="003C5881" w:rsidP="00AF32B2">
      <w:pPr>
        <w:pStyle w:val="berschrift4"/>
      </w:pPr>
      <w:r w:rsidRPr="00AF32B2">
        <w:t>3.3.20.6 Gemeinsame Erfüllung der Primäraxiome</w:t>
      </w:r>
    </w:p>
    <w:p w:rsidR="003C5881" w:rsidRDefault="003C5881" w:rsidP="003C5881">
      <w:pPr>
        <w:pStyle w:val="StandardWeb"/>
      </w:pPr>
      <w:r>
        <w:t>Aus den Gleichungen (3.4430), (3.4435) und (3.4441) folgt:</w:t>
      </w:r>
    </w:p>
    <w:p w:rsidR="003C5881" w:rsidRDefault="003C5881" w:rsidP="003C5881">
      <w:pPr>
        <w:pStyle w:val="StandardWeb"/>
      </w:pPr>
      <w:r>
        <w:t>[</w:t>
      </w:r>
      <w:r>
        <w:br/>
        <w:t>\mathcal{M}</w:t>
      </w:r>
      <w:r>
        <w:rPr>
          <w:rStyle w:val="Hervorhebung"/>
        </w:rPr>
        <w:t>{\mathrm{ges}}^{\min}</w:t>
      </w:r>
      <w:r>
        <w:rPr>
          <w:i/>
          <w:iCs/>
        </w:rPr>
        <w:br/>
      </w:r>
      <w:r>
        <w:rPr>
          <w:rStyle w:val="Hervorhebung"/>
        </w:rPr>
        <w:t>\models</w:t>
      </w:r>
      <w:r>
        <w:rPr>
          <w:i/>
          <w:iCs/>
        </w:rPr>
        <w:br/>
      </w:r>
      <w:r>
        <w:rPr>
          <w:rStyle w:val="Hervorhebung"/>
        </w:rPr>
        <w:t>A</w:t>
      </w:r>
      <w:r>
        <w:t>{\mathrm{I}}</w:t>
      </w:r>
      <w:r>
        <w:br/>
        <w:t>\land</w:t>
      </w:r>
      <w:r>
        <w:br/>
        <w:t>A_{\mathrm{II}}</w:t>
      </w:r>
      <w:r>
        <w:br/>
        <w:t>\land</w:t>
      </w:r>
      <w:r>
        <w:br/>
        <w:t>A_{\mathrm{III}}.</w:t>
      </w:r>
      <w:r>
        <w:br/>
        <w:t>\tag{3.4447}</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lastRenderedPageBreak/>
        <w:t>\mathcal{M}_{\mathrm{ges}}^{\min}\models A_{\mathrm{I}}\land A_{\mathrm{II}}\land A_{\mathrm{III}}\qquad\text{(3.4447)}</w:t>
      </w:r>
    </w:p>
    <w:p w:rsidR="003C5881" w:rsidRDefault="003C5881" w:rsidP="003C5881">
      <w:pPr>
        <w:pStyle w:val="StandardWeb"/>
      </w:pPr>
      <w:r>
        <w:t>Damit existiert mindestens ein Modell der vollständigen Primäraxiomenmenge:</w:t>
      </w:r>
    </w:p>
    <w:p w:rsidR="003C5881" w:rsidRDefault="003C5881" w:rsidP="003C5881">
      <w:pPr>
        <w:pStyle w:val="StandardWeb"/>
      </w:pPr>
      <w:r>
        <w:t>[</w:t>
      </w:r>
      <w:r>
        <w:br/>
        <w:t>\mathcal{M}</w:t>
      </w:r>
      <w:r>
        <w:rPr>
          <w:rStyle w:val="Hervorhebung"/>
        </w:rPr>
        <w:t>{\mathrm{ges}}^{\min}</w:t>
      </w:r>
      <w:r>
        <w:rPr>
          <w:i/>
          <w:iCs/>
        </w:rPr>
        <w:br/>
      </w:r>
      <w:r>
        <w:rPr>
          <w:rStyle w:val="Hervorhebung"/>
        </w:rPr>
        <w:t>\in</w:t>
      </w:r>
      <w:r>
        <w:rPr>
          <w:i/>
          <w:iCs/>
        </w:rPr>
        <w:br/>
      </w:r>
      <w:r>
        <w:rPr>
          <w:rStyle w:val="Hervorhebung"/>
        </w:rPr>
        <w:t>\operatorname{Mod}</w:t>
      </w:r>
      <w:r>
        <w:rPr>
          <w:i/>
          <w:iCs/>
        </w:rPr>
        <w:br/>
      </w:r>
      <w:r>
        <w:rPr>
          <w:rStyle w:val="Hervorhebung"/>
        </w:rPr>
        <w:t>\left(</w:t>
      </w:r>
      <w:r>
        <w:rPr>
          <w:i/>
          <w:iCs/>
        </w:rPr>
        <w:br/>
      </w:r>
      <w:r>
        <w:rPr>
          <w:rStyle w:val="Hervorhebung"/>
        </w:rPr>
        <w:t>\mathcal{A}</w:t>
      </w:r>
      <w:r>
        <w:t>{\mathrm{prim}}</w:t>
      </w:r>
      <w:r>
        <w:br/>
        <w:t>\right).</w:t>
      </w:r>
      <w:r>
        <w:br/>
        <w:t>\tag{3.4448}</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\mathcal{M}_{\mathrm{ges}}^{\min}\in\operatorname{Mod}\left(\mathcal{A}_{\mathrm{prim}}\right)\qquad\text{(3.4448)}</w:t>
      </w:r>
    </w:p>
    <w:p w:rsidR="003C5881" w:rsidRDefault="003C5881" w:rsidP="003C5881">
      <w:pPr>
        <w:pStyle w:val="StandardWeb"/>
      </w:pPr>
      <w:r>
        <w:t>Die Modellklasse der drei Primäraxiome ist deshalb nicht leer:</w:t>
      </w:r>
    </w:p>
    <w:p w:rsidR="003C5881" w:rsidRDefault="003C5881" w:rsidP="003C5881">
      <w:pPr>
        <w:pStyle w:val="StandardWeb"/>
      </w:pPr>
      <w:r>
        <w:t>[</w:t>
      </w:r>
      <w:r>
        <w:br/>
        <w:t>\operatorname{Mod}</w:t>
      </w:r>
      <w:r>
        <w:br/>
        <w:t>\left(</w:t>
      </w:r>
      <w:r>
        <w:br/>
        <w:t>\mathcal{A}_{\mathrm{prim}}</w:t>
      </w:r>
      <w:r>
        <w:br/>
        <w:t>\right)</w:t>
      </w:r>
      <w:r>
        <w:br/>
        <w:t>\neq</w:t>
      </w:r>
      <w:r>
        <w:br/>
        <w:t>\emptyset.</w:t>
      </w:r>
      <w:r>
        <w:br/>
        <w:t>\tag{3.4449}</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\operatorname{Mod}\left(\mathcal{A}_{\mathrm{prim}}\right)\neq\emptyset\qquad\text{(3.4449)}</w:t>
      </w:r>
    </w:p>
    <w:p w:rsidR="003C5881" w:rsidRPr="00AF32B2" w:rsidRDefault="003C5881" w:rsidP="00AF32B2">
      <w:pPr>
        <w:pStyle w:val="berschrift4"/>
      </w:pPr>
      <w:r w:rsidRPr="00AF32B2">
        <w:t>3.3.20.7 Satz zur relativen Konsistenz</w:t>
      </w:r>
    </w:p>
    <w:p w:rsidR="003C5881" w:rsidRDefault="003C5881" w:rsidP="003C5881">
      <w:pPr>
        <w:pStyle w:val="StandardWeb"/>
      </w:pPr>
      <w:r>
        <w:rPr>
          <w:rStyle w:val="Fett"/>
        </w:rPr>
        <w:t>Satz 3.3.2 – Relative Konsistenz der drei Primäraxiome</w:t>
      </w:r>
    </w:p>
    <w:p w:rsidR="003C5881" w:rsidRDefault="003C5881" w:rsidP="003C5881">
      <w:pPr>
        <w:pStyle w:val="StandardWeb"/>
      </w:pPr>
      <w:r>
        <w:t>Die drei Primäraxiome des FRZK sind relativ zu den verwendeten mengentheoretischen, relationalen und funktionalen Grundlagen gemeinsam erfüllbar.</w:t>
      </w:r>
    </w:p>
    <w:p w:rsidR="003C5881" w:rsidRDefault="003C5881" w:rsidP="003C5881">
      <w:pPr>
        <w:pStyle w:val="StandardWeb"/>
      </w:pPr>
      <w:r>
        <w:t>Formal gilt:</w:t>
      </w:r>
    </w:p>
    <w:p w:rsidR="003C5881" w:rsidRDefault="003C5881" w:rsidP="003C5881">
      <w:pPr>
        <w:pStyle w:val="StandardWeb"/>
      </w:pPr>
      <w:r>
        <w:t>[</w:t>
      </w:r>
      <w:r>
        <w:br/>
        <w:t>\exists</w:t>
      </w:r>
      <w:r>
        <w:br/>
        <w:t>\mathcal{M}</w:t>
      </w:r>
      <w:r>
        <w:rPr>
          <w:rStyle w:val="Hervorhebung"/>
        </w:rPr>
        <w:t>{\mathrm{ges}}^{\min}</w:t>
      </w:r>
      <w:r>
        <w:rPr>
          <w:i/>
          <w:iCs/>
        </w:rPr>
        <w:br/>
      </w:r>
      <w:r>
        <w:rPr>
          <w:rStyle w:val="Hervorhebung"/>
        </w:rPr>
        <w:t>:</w:t>
      </w:r>
      <w:r>
        <w:rPr>
          <w:i/>
          <w:iCs/>
        </w:rPr>
        <w:br/>
      </w:r>
      <w:r>
        <w:rPr>
          <w:rStyle w:val="Hervorhebung"/>
        </w:rPr>
        <w:t>\mathcal{M}</w:t>
      </w:r>
      <w:r>
        <w:t>{\mathrm{ges}}^{\min}</w:t>
      </w:r>
      <w:r>
        <w:br/>
        <w:t>\models</w:t>
      </w:r>
      <w:r>
        <w:br/>
        <w:t>A_{\mathrm{I}}</w:t>
      </w:r>
      <w:r>
        <w:br/>
      </w:r>
      <w:r>
        <w:lastRenderedPageBreak/>
        <w:t>\land</w:t>
      </w:r>
      <w:r>
        <w:br/>
        <w:t>A_{\mathrm{II}}</w:t>
      </w:r>
      <w:r>
        <w:br/>
        <w:t>\land</w:t>
      </w:r>
      <w:r>
        <w:br/>
        <w:t>A_{\mathrm{III}}.</w:t>
      </w:r>
      <w:r>
        <w:br/>
        <w:t>\tag{3.4450}</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\exists\mathcal{M}_{\mathrm{ges}}^{\min}:\mathcal{M}_{\mathrm{ges}}^{\min}\models A_{\mathrm{I}}\land A_{\mathrm{II}}\land A_{\mathrm{III}}\qquad\text{(3.4450)}</w:t>
      </w:r>
    </w:p>
    <w:p w:rsidR="003C5881" w:rsidRDefault="003C5881" w:rsidP="003C5881">
      <w:pPr>
        <w:pStyle w:val="berschrift3"/>
      </w:pPr>
      <w:r>
        <w:t>Beweis</w:t>
      </w:r>
    </w:p>
    <w:p w:rsidR="003C5881" w:rsidRDefault="003C5881" w:rsidP="003C5881">
      <w:pPr>
        <w:pStyle w:val="StandardWeb"/>
      </w:pPr>
      <w:r>
        <w:t>Nach Definition 3.3.13 enthält (\mathcal{M}_{\mathrm{ges}}^{\min}) den nichtleeren Zustandsbereich ({\delta_0}). Damit ist Primäraxiom I erfüllt.</w:t>
      </w:r>
    </w:p>
    <w:p w:rsidR="003C5881" w:rsidRDefault="003C5881" w:rsidP="003C5881">
      <w:pPr>
        <w:pStyle w:val="StandardWeb"/>
      </w:pPr>
      <w:r>
        <w:t>Das Modell enthält außerdem die nichtleere Relationsmenge</w:t>
      </w:r>
    </w:p>
    <w:p w:rsidR="003C5881" w:rsidRDefault="003C5881" w:rsidP="003C5881">
      <w:pPr>
        <w:pStyle w:val="StandardWeb"/>
      </w:pPr>
      <w:r>
        <w:t>[</w:t>
      </w:r>
      <w:r>
        <w:br/>
        <w:t>\left{</w:t>
      </w:r>
      <w:r>
        <w:br/>
        <w:t>{(\delta_0,\delta_0)}</w:t>
      </w:r>
      <w:r>
        <w:br/>
        <w:t>\right}.</w:t>
      </w:r>
      <w:r>
        <w:br/>
        <w:t>\tag{3.4451}</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\left\{\{(\delta_0,\delta_0)\}\right\}\qquad\text{(3.4451)}</w:t>
      </w:r>
    </w:p>
    <w:p w:rsidR="003C5881" w:rsidRDefault="003C5881" w:rsidP="003C5881">
      <w:pPr>
        <w:pStyle w:val="StandardWeb"/>
      </w:pPr>
      <w:r>
        <w:t>Damit ist Primäraxiom II erfüllt.</w:t>
      </w:r>
    </w:p>
    <w:p w:rsidR="003C5881" w:rsidRDefault="003C5881" w:rsidP="003C5881">
      <w:pPr>
        <w:pStyle w:val="StandardWeb"/>
      </w:pPr>
      <w:r>
        <w:t>Schließlich enthält das Modell die Identitätsabbildung auf dem Zustandsbereich. Die Transformationsmenge ist daher nicht leer, sodass Primäraxiom III erfüllt ist.</w:t>
      </w:r>
    </w:p>
    <w:p w:rsidR="003C5881" w:rsidRDefault="003C5881" w:rsidP="003C5881">
      <w:pPr>
        <w:pStyle w:val="StandardWeb"/>
      </w:pPr>
      <w:r>
        <w:t>Somit gilt Gleichung (3.4450). Die Axiomenmenge besitzt mindestens ein Modell und ist daher relativ zu den zugrunde gelegten mathematischen Strukturen semantisch konsistent. (\square)</w:t>
      </w:r>
    </w:p>
    <w:p w:rsidR="003C5881" w:rsidRPr="00AF32B2" w:rsidRDefault="003C5881" w:rsidP="00AF32B2">
      <w:pPr>
        <w:pStyle w:val="berschrift4"/>
      </w:pPr>
      <w:r w:rsidRPr="00AF32B2">
        <w:t>3.3.20.8 Keine nichttriviale Entwicklung im Minimalmodell</w:t>
      </w:r>
    </w:p>
    <w:p w:rsidR="003C5881" w:rsidRDefault="003C5881" w:rsidP="003C5881">
      <w:pPr>
        <w:pStyle w:val="StandardWeb"/>
      </w:pPr>
      <w:r>
        <w:t>Das Minimalmodell erfüllt sämtliche Primäraxiome, enthält jedoch keine Zustandsänderung zu einem anderen Zustand. Jede endliche Transformationsfolge besteht ausschließlich aus der Identitätsabbildung.</w:t>
      </w:r>
    </w:p>
    <w:p w:rsidR="003C5881" w:rsidRDefault="003C5881" w:rsidP="003C5881">
      <w:pPr>
        <w:pStyle w:val="StandardWeb"/>
      </w:pPr>
      <w:r>
        <w:t>Für jede natürliche Zahl (n) gilt:</w:t>
      </w:r>
    </w:p>
    <w:p w:rsidR="003C5881" w:rsidRDefault="003C5881" w:rsidP="003C5881">
      <w:pPr>
        <w:pStyle w:val="berschrift1"/>
      </w:pPr>
      <w:r>
        <w:t>[</w:t>
      </w:r>
      <w:r>
        <w:br/>
        <w:t>T_0^{(n)}</w:t>
      </w:r>
    </w:p>
    <w:p w:rsidR="003C5881" w:rsidRDefault="003C5881" w:rsidP="003C5881">
      <w:pPr>
        <w:pStyle w:val="StandardWeb"/>
      </w:pPr>
      <w:r>
        <w:lastRenderedPageBreak/>
        <w:t>\operatorname{id}</w:t>
      </w:r>
      <w:r>
        <w:rPr>
          <w:rStyle w:val="Hervorhebung"/>
        </w:rPr>
        <w:t>{\mathcal{S}</w:t>
      </w:r>
      <w:r>
        <w:t>{\mathrm{el}}^{\min}}.</w:t>
      </w:r>
      <w:r>
        <w:br/>
        <w:t>\tag{3.4452}</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T_0^{(n)}=\operatorname{id}_{\mathcal{S}_{\mathrm{el}}^{\min}}\qquad\text{(3.4452)}</w:t>
      </w:r>
    </w:p>
    <w:p w:rsidR="003C5881" w:rsidRDefault="003C5881" w:rsidP="003C5881">
      <w:pPr>
        <w:pStyle w:val="StandardWeb"/>
      </w:pPr>
      <w:r>
        <w:t>Daraus folgt:</w:t>
      </w:r>
    </w:p>
    <w:p w:rsidR="003C5881" w:rsidRDefault="003C5881" w:rsidP="003C5881">
      <w:pPr>
        <w:pStyle w:val="berschrift1"/>
      </w:pPr>
      <w:r>
        <w:t>[</w:t>
      </w:r>
      <w:r>
        <w:br/>
        <w:t>T_0^{(n)}(\delta_0)</w:t>
      </w:r>
    </w:p>
    <w:p w:rsidR="003C5881" w:rsidRDefault="003C5881" w:rsidP="003C5881">
      <w:pPr>
        <w:pStyle w:val="StandardWeb"/>
      </w:pPr>
      <w:r>
        <w:t>\delta_0.</w:t>
      </w:r>
      <w:r>
        <w:br/>
        <w:t>\tag{3.4453}</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T_0^{(n)}(\delta_0)=\delta_0\qquad\text{(3.4453)}</w:t>
      </w:r>
    </w:p>
    <w:p w:rsidR="003C5881" w:rsidRDefault="003C5881" w:rsidP="003C5881">
      <w:pPr>
        <w:pStyle w:val="StandardWeb"/>
      </w:pPr>
      <w:r>
        <w:t>Die zugehörige Zustandsfolge lautet:</w:t>
      </w:r>
    </w:p>
    <w:p w:rsidR="003C5881" w:rsidRDefault="003C5881" w:rsidP="003C5881">
      <w:pPr>
        <w:pStyle w:val="berschrift1"/>
      </w:pPr>
      <w:r>
        <w:t>[</w:t>
      </w:r>
      <w:r>
        <w:br/>
        <w:t>\Gamma_{\min}</w:t>
      </w:r>
    </w:p>
    <w:p w:rsidR="003C5881" w:rsidRDefault="003C5881" w:rsidP="003C5881">
      <w:pPr>
        <w:pStyle w:val="StandardWeb"/>
      </w:pPr>
      <w:r>
        <w:t>\left(</w:t>
      </w:r>
      <w:r>
        <w:br/>
        <w:t>\delta_0,</w:t>
      </w:r>
      <w:r>
        <w:br/>
        <w:t>\delta_0,</w:t>
      </w:r>
      <w:r>
        <w:br/>
        <w:t>\ldots,</w:t>
      </w:r>
      <w:r>
        <w:br/>
        <w:t>\delta_0</w:t>
      </w:r>
      <w:r>
        <w:br/>
        <w:t>\right).</w:t>
      </w:r>
      <w:r>
        <w:br/>
        <w:t>\tag{3.4454}</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\Gamma_{\min}=\left(\delta_0,\delta_0,\ldots,\delta_0\right)\qquad\text{(3.4454)}</w:t>
      </w:r>
    </w:p>
    <w:p w:rsidR="003C5881" w:rsidRDefault="003C5881" w:rsidP="003C5881">
      <w:pPr>
        <w:pStyle w:val="StandardWeb"/>
      </w:pPr>
      <w:r>
        <w:t>Das Modell besitzt damit formale Entwicklungsschritte, aber keine nichttriviale Zustandsänderung.</w:t>
      </w:r>
    </w:p>
    <w:p w:rsidR="003C5881" w:rsidRDefault="003C5881" w:rsidP="003C5881">
      <w:pPr>
        <w:pStyle w:val="StandardWeb"/>
      </w:pPr>
      <w:r>
        <w:rPr>
          <w:rStyle w:val="Fett"/>
        </w:rPr>
        <w:t>Eigenleistung des FRZK</w:t>
      </w:r>
    </w:p>
    <w:p w:rsidR="003C5881" w:rsidRDefault="003C5881" w:rsidP="003C5881">
      <w:pPr>
        <w:pStyle w:val="StandardWeb"/>
      </w:pPr>
      <w:r>
        <w:t>Die Konsistenz der Primäraxiome setzt keine dynamisch vielfältige Welt voraus. Das Minimalmodell zeigt lediglich ihre gemeinsame Erfüllbarkeit. Für nichttriviale Entwicklungen sind zusätzliche Modellbedingungen erforderlich.</w:t>
      </w:r>
    </w:p>
    <w:p w:rsidR="003C5881" w:rsidRPr="00AF32B2" w:rsidRDefault="003C5881" w:rsidP="00AF32B2">
      <w:pPr>
        <w:pStyle w:val="berschrift4"/>
      </w:pPr>
      <w:r w:rsidRPr="00AF32B2">
        <w:lastRenderedPageBreak/>
        <w:t>3.3.20.9 Erreichbarkeit im Minimalmodell</w:t>
      </w:r>
    </w:p>
    <w:p w:rsidR="003C5881" w:rsidRDefault="003C5881" w:rsidP="003C5881">
      <w:pPr>
        <w:pStyle w:val="StandardWeb"/>
      </w:pPr>
      <w:r>
        <w:t>Da nur ein Zustand existiert, gilt:</w:t>
      </w:r>
    </w:p>
    <w:p w:rsidR="003C5881" w:rsidRDefault="003C5881" w:rsidP="003C5881">
      <w:pPr>
        <w:pStyle w:val="StandardWeb"/>
      </w:pPr>
      <w:r>
        <w:t>[</w:t>
      </w:r>
      <w:r>
        <w:br/>
        <w:t>\delta_0</w:t>
      </w:r>
      <w:r>
        <w:br/>
        <w:t>\preceq_{!F}</w:t>
      </w:r>
      <w:r>
        <w:br/>
        <w:t>\delta_0.</w:t>
      </w:r>
      <w:r>
        <w:br/>
        <w:t>\tag{3.4455}</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\delta_0\preceq_{\!F}\delta_0\qquad\text{(3.4455)}</w:t>
      </w:r>
    </w:p>
    <w:p w:rsidR="003C5881" w:rsidRDefault="003C5881" w:rsidP="003C5881">
      <w:pPr>
        <w:pStyle w:val="StandardWeb"/>
      </w:pPr>
      <w:r>
        <w:t>Die wechselseitige funktionale Erreichbarkeit lautet ebenfalls:</w:t>
      </w:r>
    </w:p>
    <w:p w:rsidR="003C5881" w:rsidRDefault="003C5881" w:rsidP="003C5881">
      <w:pPr>
        <w:pStyle w:val="StandardWeb"/>
      </w:pPr>
      <w:r>
        <w:t>[</w:t>
      </w:r>
      <w:r>
        <w:br/>
        <w:t>\delta_0</w:t>
      </w:r>
      <w:r>
        <w:br/>
        <w:t>\sim_{!F}</w:t>
      </w:r>
      <w:r>
        <w:br/>
        <w:t>\delta_0.</w:t>
      </w:r>
      <w:r>
        <w:br/>
        <w:t>\tag{3.4456}</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\delta_0\sim_{\!F}\delta_0\qquad\text{(3.4456)}</w:t>
      </w:r>
    </w:p>
    <w:p w:rsidR="003C5881" w:rsidRDefault="003C5881" w:rsidP="003C5881">
      <w:pPr>
        <w:pStyle w:val="StandardWeb"/>
      </w:pPr>
      <w:r>
        <w:t>Die Quotientenmenge enthält genau eine Äquivalenzklasse:</w:t>
      </w:r>
    </w:p>
    <w:p w:rsidR="003C5881" w:rsidRDefault="003C5881" w:rsidP="003C5881">
      <w:pPr>
        <w:pStyle w:val="berschrift1"/>
      </w:pPr>
      <w:r>
        <w:t>[</w:t>
      </w:r>
      <w:r>
        <w:br/>
        <w:t>\mathcal{Q}_{F}^{\min}</w:t>
      </w:r>
    </w:p>
    <w:p w:rsidR="003C5881" w:rsidRDefault="003C5881" w:rsidP="003C5881">
      <w:pPr>
        <w:pStyle w:val="StandardWeb"/>
      </w:pPr>
      <w:r>
        <w:t>\left{</w:t>
      </w:r>
      <w:r>
        <w:br/>
        <w:t>[\delta_0]_{!F}</w:t>
      </w:r>
      <w:r>
        <w:br/>
        <w:t>\right}.</w:t>
      </w:r>
      <w:r>
        <w:br/>
        <w:t>\tag{3.4457}</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\mathcal{Q}_{F}^{\min}=\left\{[\delta_0]_{\!F}\right\}\qquad\text{(3.4457)}</w:t>
      </w:r>
    </w:p>
    <w:p w:rsidR="003C5881" w:rsidRDefault="003C5881" w:rsidP="003C5881">
      <w:pPr>
        <w:pStyle w:val="StandardWeb"/>
      </w:pPr>
      <w:r>
        <w:t>Die funktionale Halbordnung reduziert sich auf:</w:t>
      </w:r>
    </w:p>
    <w:p w:rsidR="003C5881" w:rsidRDefault="003C5881" w:rsidP="003C5881">
      <w:pPr>
        <w:pStyle w:val="StandardWeb"/>
      </w:pPr>
      <w:r>
        <w:t>[</w:t>
      </w:r>
      <w:r>
        <w:br/>
        <w:t>[\delta_0]</w:t>
      </w:r>
      <w:r>
        <w:rPr>
          <w:rStyle w:val="Hervorhebung"/>
        </w:rPr>
        <w:t>{!F}</w:t>
      </w:r>
      <w:r>
        <w:rPr>
          <w:i/>
          <w:iCs/>
        </w:rPr>
        <w:br/>
      </w:r>
      <w:r>
        <w:rPr>
          <w:rStyle w:val="Hervorhebung"/>
        </w:rPr>
        <w:t>\leq</w:t>
      </w:r>
      <w:r>
        <w:t>{!F}</w:t>
      </w:r>
      <w:r>
        <w:br/>
        <w:t>[\delta_0]_{!F}.</w:t>
      </w:r>
      <w:r>
        <w:br/>
      </w:r>
      <w:r>
        <w:lastRenderedPageBreak/>
        <w:t>\tag{3.4458}</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[\delta_0]_{\!F}\leq_{\!F}[\delta_0]_{\!F}\qquad\text{(3.4458)}</w:t>
      </w:r>
    </w:p>
    <w:p w:rsidR="003C5881" w:rsidRDefault="003C5881" w:rsidP="003C5881">
      <w:pPr>
        <w:pStyle w:val="StandardWeb"/>
      </w:pPr>
      <w:r>
        <w:t>Damit ist auch die abgeleitete Ordnungsstruktur im Minimalmodell widerspruchsfrei.</w:t>
      </w:r>
    </w:p>
    <w:p w:rsidR="003C5881" w:rsidRPr="00AF32B2" w:rsidRDefault="003C5881" w:rsidP="00AF32B2">
      <w:pPr>
        <w:pStyle w:val="berschrift4"/>
      </w:pPr>
      <w:r w:rsidRPr="00AF32B2">
        <w:t>3.3.20.10 Minimale funktionale Zeitstruktur</w:t>
      </w:r>
    </w:p>
    <w:p w:rsidR="003C5881" w:rsidRDefault="003C5881" w:rsidP="003C5881">
      <w:pPr>
        <w:pStyle w:val="StandardWeb"/>
      </w:pPr>
      <w:r>
        <w:t>Für die einzige Zustandsklasse kann ein funktionaler Zeitwert gewählt werden:</w:t>
      </w:r>
    </w:p>
    <w:p w:rsidR="003C5881" w:rsidRDefault="003C5881" w:rsidP="003C5881">
      <w:pPr>
        <w:pStyle w:val="berschrift1"/>
      </w:pPr>
      <w:r>
        <w:t>[</w:t>
      </w:r>
      <w:r>
        <w:br/>
        <w:t>\vartheta_{\min}</w:t>
      </w:r>
      <w:r>
        <w:br/>
        <w:t>\left(</w:t>
      </w:r>
      <w:r>
        <w:br/>
        <w:t>[\delta_0]_{!F}</w:t>
      </w:r>
      <w:r>
        <w:br/>
        <w:t>\right)</w:t>
      </w:r>
    </w:p>
    <w:p w:rsidR="003C5881" w:rsidRDefault="003C5881" w:rsidP="00632D23">
      <w:pPr>
        <w:numPr>
          <w:ilvl w:val="0"/>
          <w:numId w:val="90"/>
        </w:numPr>
        <w:spacing w:before="100" w:beforeAutospacing="1" w:after="100" w:afterAutospacing="1"/>
      </w:pPr>
    </w:p>
    <w:p w:rsidR="003C5881" w:rsidRDefault="003C5881" w:rsidP="003C5881">
      <w:pPr>
        <w:pStyle w:val="StandardWeb"/>
      </w:pPr>
      <w:r>
        <w:t>\tag{3.4459}</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\vartheta_{\min}\left([\delta_0]_{\!F}\right)=0\qquad\text{(3.4459)}</w:t>
      </w:r>
    </w:p>
    <w:p w:rsidR="003C5881" w:rsidRDefault="003C5881" w:rsidP="003C5881">
      <w:pPr>
        <w:pStyle w:val="StandardWeb"/>
      </w:pPr>
      <w:r>
        <w:t>Damit lautet die minimale Zeitstruktur:</w:t>
      </w:r>
    </w:p>
    <w:p w:rsidR="003C5881" w:rsidRDefault="003C5881" w:rsidP="003C5881">
      <w:pPr>
        <w:pStyle w:val="berschrift1"/>
      </w:pPr>
      <w:r>
        <w:t>[</w:t>
      </w:r>
      <w:r>
        <w:br/>
        <w:t>\mathfrak{T}_{F}^{\min}</w:t>
      </w:r>
    </w:p>
    <w:p w:rsidR="003C5881" w:rsidRDefault="003C5881" w:rsidP="003C5881">
      <w:pPr>
        <w:pStyle w:val="StandardWeb"/>
      </w:pPr>
      <w:r>
        <w:t>\left(</w:t>
      </w:r>
      <w:r>
        <w:br/>
        <w:t>\mathcal{Q}</w:t>
      </w:r>
      <w:r>
        <w:rPr>
          <w:rStyle w:val="Hervorhebung"/>
        </w:rPr>
        <w:t>{F}^{\min},</w:t>
      </w:r>
      <w:r>
        <w:rPr>
          <w:i/>
          <w:iCs/>
        </w:rPr>
        <w:br/>
      </w:r>
      <w:r>
        <w:rPr>
          <w:rStyle w:val="Hervorhebung"/>
        </w:rPr>
        <w:t>{0},</w:t>
      </w:r>
      <w:r>
        <w:rPr>
          <w:i/>
          <w:iCs/>
        </w:rPr>
        <w:br/>
      </w:r>
      <w:r>
        <w:rPr>
          <w:rStyle w:val="Hervorhebung"/>
        </w:rPr>
        <w:t>\vartheta</w:t>
      </w:r>
      <w:r>
        <w:t>{\min}</w:t>
      </w:r>
      <w:r>
        <w:br/>
        <w:t>\right).</w:t>
      </w:r>
      <w:r>
        <w:br/>
        <w:t>\tag{3.4460}</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\mathfrak{T}_{F}^{\min}=\left(\mathcal{Q}_{F}^{\min},\{0\},\vartheta_{\min}\right)\qquad\text{(3.4460)}</w:t>
      </w:r>
    </w:p>
    <w:p w:rsidR="003C5881" w:rsidRDefault="003C5881" w:rsidP="003C5881">
      <w:pPr>
        <w:pStyle w:val="StandardWeb"/>
      </w:pPr>
      <w:r>
        <w:lastRenderedPageBreak/>
        <w:t>Die Ordnungsverträglichkeit ist trivial erfüllt:</w:t>
      </w:r>
    </w:p>
    <w:p w:rsidR="003C5881" w:rsidRDefault="003C5881" w:rsidP="003C5881">
      <w:pPr>
        <w:pStyle w:val="StandardWeb"/>
      </w:pPr>
      <w:r>
        <w:t>[</w:t>
      </w:r>
      <w:r>
        <w:br/>
        <w:t>[\delta_0]</w:t>
      </w:r>
      <w:r>
        <w:rPr>
          <w:rStyle w:val="Hervorhebung"/>
        </w:rPr>
        <w:t>{!F}</w:t>
      </w:r>
      <w:r>
        <w:rPr>
          <w:i/>
          <w:iCs/>
        </w:rPr>
        <w:br/>
      </w:r>
      <w:r>
        <w:rPr>
          <w:rStyle w:val="Hervorhebung"/>
        </w:rPr>
        <w:t>\leq</w:t>
      </w:r>
      <w:r>
        <w:t>{!F}</w:t>
      </w:r>
      <w:r>
        <w:br/>
        <w:t>[\delta_0]_{!F}</w:t>
      </w:r>
      <w:r>
        <w:br/>
        <w:t>\Rightarrow</w:t>
      </w:r>
      <w:r>
        <w:br/>
        <w:t>0</w:t>
      </w:r>
      <w:r>
        <w:br/>
        <w:t>\leq</w:t>
      </w:r>
      <w:r>
        <w:br/>
        <w:t>0.</w:t>
      </w:r>
      <w:r>
        <w:br/>
        <w:t>\tag{3.4461}</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[\delta_0]_{\!F}\leq_{\!F}[\delta_0]_{\!F}\Rightarrow0\leq0\qquad\text{(3.4461)}</w:t>
      </w:r>
    </w:p>
    <w:p w:rsidR="003C5881" w:rsidRDefault="003C5881" w:rsidP="003C5881">
      <w:pPr>
        <w:pStyle w:val="StandardWeb"/>
      </w:pPr>
      <w:r>
        <w:t>Das Minimalmodell erlaubt damit eine funktionale Zeitstruktur, ohne dass eine positive Dauer oder ein zeitlicher Fortschritt vorliegt.</w:t>
      </w:r>
    </w:p>
    <w:p w:rsidR="003C5881" w:rsidRPr="00AF32B2" w:rsidRDefault="003C5881" w:rsidP="00AF32B2">
      <w:pPr>
        <w:pStyle w:val="berschrift4"/>
      </w:pPr>
      <w:r w:rsidRPr="00AF32B2">
        <w:t>3.3.20.11 Minimale funktionale Raumstruktur</w:t>
      </w:r>
    </w:p>
    <w:p w:rsidR="003C5881" w:rsidRDefault="003C5881" w:rsidP="003C5881">
      <w:pPr>
        <w:pStyle w:val="StandardWeb"/>
      </w:pPr>
      <w:r>
        <w:t>Die minimale räumliche Nachbarschaft kann durch</w:t>
      </w:r>
    </w:p>
    <w:p w:rsidR="003C5881" w:rsidRDefault="003C5881" w:rsidP="003C5881">
      <w:pPr>
        <w:pStyle w:val="berschrift1"/>
      </w:pPr>
      <w:r>
        <w:t>[</w:t>
      </w:r>
      <w:r>
        <w:br/>
        <w:t>\mathcal{R}_{\mathrm{sp}}^{\min}</w:t>
      </w:r>
    </w:p>
    <w:p w:rsidR="003C5881" w:rsidRDefault="003C5881" w:rsidP="003C5881">
      <w:pPr>
        <w:pStyle w:val="StandardWeb"/>
      </w:pPr>
      <w:r>
        <w:t>\left{</w:t>
      </w:r>
      <w:r>
        <w:br/>
        <w:t>\left(</w:t>
      </w:r>
      <w:r>
        <w:br/>
        <w:t>[\delta_0]</w:t>
      </w:r>
      <w:r>
        <w:rPr>
          <w:rStyle w:val="Hervorhebung"/>
        </w:rPr>
        <w:t>{!F},</w:t>
      </w:r>
      <w:r>
        <w:rPr>
          <w:i/>
          <w:iCs/>
        </w:rPr>
        <w:br/>
      </w:r>
      <w:r>
        <w:rPr>
          <w:rStyle w:val="Hervorhebung"/>
        </w:rPr>
        <w:t>[\delta_0]</w:t>
      </w:r>
      <w:r>
        <w:t>{!F}</w:t>
      </w:r>
      <w:r>
        <w:br/>
        <w:t>\right)</w:t>
      </w:r>
      <w:r>
        <w:br/>
        <w:t>\right}</w:t>
      </w:r>
      <w:r>
        <w:br/>
        <w:t>\tag{3.4462}</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\mathcal{R}_{\mathrm{sp}}^{\min}=\left\{\left([\delta_0]_{\!F},[\delta_0]_{\!F}\right)\right\}\qquad\text{(3.4462)}</w:t>
      </w:r>
    </w:p>
    <w:p w:rsidR="003C5881" w:rsidRDefault="003C5881" w:rsidP="003C5881">
      <w:pPr>
        <w:pStyle w:val="StandardWeb"/>
      </w:pPr>
      <w:r>
        <w:t>definiert werden.</w:t>
      </w:r>
    </w:p>
    <w:p w:rsidR="003C5881" w:rsidRDefault="003C5881" w:rsidP="003C5881">
      <w:pPr>
        <w:pStyle w:val="StandardWeb"/>
      </w:pPr>
      <w:r>
        <w:t>Die minimale Raumstruktur lautet:</w:t>
      </w:r>
    </w:p>
    <w:p w:rsidR="003C5881" w:rsidRDefault="003C5881" w:rsidP="003C5881">
      <w:pPr>
        <w:pStyle w:val="berschrift1"/>
      </w:pPr>
      <w:r>
        <w:t>[</w:t>
      </w:r>
      <w:r>
        <w:br/>
        <w:t>\mathfrak{X}_{F}^{\min}</w:t>
      </w:r>
    </w:p>
    <w:p w:rsidR="003C5881" w:rsidRDefault="003C5881" w:rsidP="003C5881">
      <w:pPr>
        <w:pStyle w:val="StandardWeb"/>
      </w:pPr>
      <w:r>
        <w:lastRenderedPageBreak/>
        <w:t>\left(</w:t>
      </w:r>
      <w:r>
        <w:br/>
        <w:t>\mathcal{Q}</w:t>
      </w:r>
      <w:r>
        <w:rPr>
          <w:rStyle w:val="Hervorhebung"/>
        </w:rPr>
        <w:t>{F}^{\min},</w:t>
      </w:r>
      <w:r>
        <w:rPr>
          <w:i/>
          <w:iCs/>
        </w:rPr>
        <w:br/>
      </w:r>
      <w:r>
        <w:rPr>
          <w:rStyle w:val="Hervorhebung"/>
        </w:rPr>
        <w:t>\mathcal{R}</w:t>
      </w:r>
      <w:r>
        <w:t>{\mathrm{sp}}^{\min}</w:t>
      </w:r>
      <w:r>
        <w:br/>
        <w:t>\right).</w:t>
      </w:r>
      <w:r>
        <w:br/>
        <w:t>\tag{3.4463}</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\mathfrak{X}_{F}^{\min}=\left(\mathcal{Q}_{F}^{\min},\mathcal{R}_{\mathrm{sp}}^{\min}\right)\qquad\text{(3.4463)}</w:t>
      </w:r>
    </w:p>
    <w:p w:rsidR="003C5881" w:rsidRDefault="003C5881" w:rsidP="003C5881">
      <w:pPr>
        <w:pStyle w:val="StandardWeb"/>
      </w:pPr>
      <w:r>
        <w:t>Eine mögliche räumliche Distanz ist:</w:t>
      </w:r>
    </w:p>
    <w:p w:rsidR="003C5881" w:rsidRDefault="003C5881" w:rsidP="003C5881">
      <w:pPr>
        <w:pStyle w:val="berschrift1"/>
      </w:pPr>
      <w:r>
        <w:t>[</w:t>
      </w:r>
      <w:r>
        <w:br/>
        <w:t>d_{\mathrm{sp}}^{\min}</w:t>
      </w:r>
      <w:r>
        <w:br/>
        <w:t>\left(</w:t>
      </w:r>
      <w:r>
        <w:br/>
        <w:t>[\delta_0]</w:t>
      </w:r>
      <w:r>
        <w:rPr>
          <w:rStyle w:val="Hervorhebung"/>
        </w:rPr>
        <w:t>{!F},</w:t>
      </w:r>
      <w:r>
        <w:rPr>
          <w:i/>
          <w:iCs/>
        </w:rPr>
        <w:br/>
      </w:r>
      <w:r>
        <w:rPr>
          <w:rStyle w:val="Hervorhebung"/>
        </w:rPr>
        <w:t>[\delta_0]</w:t>
      </w:r>
      <w:r>
        <w:t>{!F}</w:t>
      </w:r>
      <w:r>
        <w:br/>
        <w:t>\right)</w:t>
      </w:r>
    </w:p>
    <w:p w:rsidR="003C5881" w:rsidRDefault="003C5881" w:rsidP="00632D23">
      <w:pPr>
        <w:numPr>
          <w:ilvl w:val="0"/>
          <w:numId w:val="91"/>
        </w:numPr>
        <w:spacing w:before="100" w:beforeAutospacing="1" w:after="100" w:afterAutospacing="1"/>
      </w:pPr>
    </w:p>
    <w:p w:rsidR="003C5881" w:rsidRDefault="003C5881" w:rsidP="003C5881">
      <w:pPr>
        <w:pStyle w:val="StandardWeb"/>
      </w:pPr>
      <w:r>
        <w:t>\tag{3.4464}</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d_{\mathrm{sp}}^{\min}\left([\delta_0]_{\!F},[\delta_0]_{\!F}\right)=0\qquad\text{(3.4464)}</w:t>
      </w:r>
    </w:p>
    <w:p w:rsidR="003C5881" w:rsidRDefault="003C5881" w:rsidP="003C5881">
      <w:pPr>
        <w:pStyle w:val="StandardWeb"/>
      </w:pPr>
      <w:r>
        <w:t>Die metrischen Bedingungen sind auf einer einelementigen Menge erfüllt. Damit kann auch eine minimale metrische Raumstruktur widerspruchsfrei definiert werden.</w:t>
      </w:r>
    </w:p>
    <w:p w:rsidR="003C5881" w:rsidRPr="00AF32B2" w:rsidRDefault="003C5881" w:rsidP="00AF32B2">
      <w:pPr>
        <w:pStyle w:val="berschrift4"/>
      </w:pPr>
      <w:r w:rsidRPr="00AF32B2">
        <w:t>3.3.20.12 Minimale Raum-Zeit-Kopplung</w:t>
      </w:r>
    </w:p>
    <w:p w:rsidR="003C5881" w:rsidRDefault="003C5881" w:rsidP="003C5881">
      <w:pPr>
        <w:pStyle w:val="StandardWeb"/>
      </w:pPr>
      <w:r>
        <w:t>Der einzige funktionale Raum-Zeit-Zustand lautet:</w:t>
      </w:r>
    </w:p>
    <w:p w:rsidR="003C5881" w:rsidRDefault="003C5881" w:rsidP="003C5881">
      <w:pPr>
        <w:pStyle w:val="berschrift1"/>
      </w:pPr>
      <w:r>
        <w:t>[</w:t>
      </w:r>
      <w:r>
        <w:br/>
        <w:t>z_0</w:t>
      </w:r>
    </w:p>
    <w:p w:rsidR="003C5881" w:rsidRDefault="003C5881" w:rsidP="003C5881">
      <w:pPr>
        <w:pStyle w:val="StandardWeb"/>
      </w:pPr>
      <w:r>
        <w:t>\left(</w:t>
      </w:r>
      <w:r>
        <w:br/>
        <w:t>[\delta_0]_{!F},</w:t>
      </w:r>
      <w:r>
        <w:br/>
        <w:t>0</w:t>
      </w:r>
      <w:r>
        <w:br/>
        <w:t>\right).</w:t>
      </w:r>
      <w:r>
        <w:br/>
      </w:r>
      <w:r>
        <w:lastRenderedPageBreak/>
        <w:t>\tag{3.4465}</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z_0=\left([\delta_0]_{\!F},0\right)\qquad\text{(3.4465)}</w:t>
      </w:r>
    </w:p>
    <w:p w:rsidR="003C5881" w:rsidRDefault="003C5881" w:rsidP="003C5881">
      <w:pPr>
        <w:pStyle w:val="StandardWeb"/>
      </w:pPr>
      <w:r>
        <w:t>Die Menge funktionaler Raum-Zeit-Zustände ist:</w:t>
      </w:r>
    </w:p>
    <w:p w:rsidR="003C5881" w:rsidRDefault="003C5881" w:rsidP="003C5881">
      <w:pPr>
        <w:pStyle w:val="berschrift1"/>
      </w:pPr>
      <w:r>
        <w:t>[</w:t>
      </w:r>
      <w:r>
        <w:br/>
        <w:t>\mathcal{Z}_{F}^{\min}</w:t>
      </w:r>
    </w:p>
    <w:p w:rsidR="003C5881" w:rsidRDefault="003C5881" w:rsidP="003C5881">
      <w:pPr>
        <w:pStyle w:val="StandardWeb"/>
      </w:pPr>
      <w:r>
        <w:t>{z_0}.</w:t>
      </w:r>
      <w:r>
        <w:br/>
        <w:t>\tag{3.4466}</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\mathcal{Z}_{F}^{\min}=\{z_0\}\qquad\text{(3.4466)}</w:t>
      </w:r>
    </w:p>
    <w:p w:rsidR="003C5881" w:rsidRDefault="003C5881" w:rsidP="003C5881">
      <w:pPr>
        <w:pStyle w:val="StandardWeb"/>
      </w:pPr>
      <w:r>
        <w:t>Das minimale Kopplungsprädikat kann durch</w:t>
      </w:r>
    </w:p>
    <w:p w:rsidR="003C5881" w:rsidRDefault="003C5881" w:rsidP="003C5881">
      <w:pPr>
        <w:pStyle w:val="berschrift1"/>
      </w:pPr>
      <w:r>
        <w:t>[</w:t>
      </w:r>
      <w:r>
        <w:br/>
        <w:t>\kappa_{XT}^{\min}</w:t>
      </w:r>
      <w:r>
        <w:br/>
        <w:t>\left(</w:t>
      </w:r>
      <w:r>
        <w:br/>
        <w:t>z_0,z_0</w:t>
      </w:r>
      <w:r>
        <w:br/>
        <w:t>\right)</w:t>
      </w:r>
    </w:p>
    <w:p w:rsidR="003C5881" w:rsidRDefault="003C5881" w:rsidP="003C5881">
      <w:pPr>
        <w:pStyle w:val="StandardWeb"/>
      </w:pPr>
      <w:r>
        <w:t>1</w:t>
      </w:r>
      <w:r>
        <w:br/>
        <w:t>\tag{3.4467}</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\kappa_{XT}^{\min}\left(z_0,z_0\right)=1\qquad\text{(3.4467)}</w:t>
      </w:r>
    </w:p>
    <w:p w:rsidR="003C5881" w:rsidRDefault="003C5881" w:rsidP="003C5881">
      <w:pPr>
        <w:pStyle w:val="StandardWeb"/>
      </w:pPr>
      <w:r>
        <w:t>definiert werden.</w:t>
      </w:r>
    </w:p>
    <w:p w:rsidR="003C5881" w:rsidRDefault="003C5881" w:rsidP="003C5881">
      <w:pPr>
        <w:pStyle w:val="StandardWeb"/>
      </w:pPr>
      <w:r>
        <w:t>Damit lautet die Kopplungsrelation:</w:t>
      </w:r>
    </w:p>
    <w:p w:rsidR="003C5881" w:rsidRDefault="003C5881" w:rsidP="003C5881">
      <w:pPr>
        <w:pStyle w:val="berschrift1"/>
      </w:pPr>
      <w:r>
        <w:t>[</w:t>
      </w:r>
      <w:r>
        <w:br/>
        <w:t>\mathcal{K}_{XT}^{\min}</w:t>
      </w:r>
    </w:p>
    <w:p w:rsidR="003C5881" w:rsidRDefault="003C5881" w:rsidP="003C5881">
      <w:pPr>
        <w:pStyle w:val="StandardWeb"/>
      </w:pPr>
      <w:r>
        <w:t>\left{</w:t>
      </w:r>
      <w:r>
        <w:br/>
        <w:t>(z_0,z_0)</w:t>
      </w:r>
      <w:r>
        <w:br/>
      </w:r>
      <w:r>
        <w:lastRenderedPageBreak/>
        <w:t>\right}.</w:t>
      </w:r>
      <w:r>
        <w:br/>
        <w:t>\tag{3.4468}</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\mathcal{K}_{XT}^{\min}=\left\{(z_0,z_0)\right\}\qquad\text{(3.4468)}</w:t>
      </w:r>
    </w:p>
    <w:p w:rsidR="003C5881" w:rsidRDefault="003C5881" w:rsidP="003C5881">
      <w:pPr>
        <w:pStyle w:val="StandardWeb"/>
      </w:pPr>
      <w:r>
        <w:t>Auch die minimale Raum-Zeit-Kopplung ist damit widerspruchsfrei definierbar.</w:t>
      </w:r>
    </w:p>
    <w:p w:rsidR="003C5881" w:rsidRPr="00AF32B2" w:rsidRDefault="003C5881" w:rsidP="00AF32B2">
      <w:pPr>
        <w:pStyle w:val="berschrift4"/>
      </w:pPr>
      <w:r w:rsidRPr="00AF32B2">
        <w:t>3.3.20.13 Minimale Kohärenzstruktur</w:t>
      </w:r>
    </w:p>
    <w:p w:rsidR="003C5881" w:rsidRDefault="003C5881" w:rsidP="003C5881">
      <w:pPr>
        <w:pStyle w:val="StandardWeb"/>
      </w:pPr>
      <w:r>
        <w:t>Für das Minimalmodell kann eine einzige Kohärenzbedingung gewählt werden:</w:t>
      </w:r>
    </w:p>
    <w:p w:rsidR="003C5881" w:rsidRDefault="003C5881" w:rsidP="003C5881">
      <w:pPr>
        <w:pStyle w:val="berschrift1"/>
      </w:pPr>
      <w:r>
        <w:t>[</w:t>
      </w:r>
      <w:r>
        <w:br/>
        <w:t>C_0</w:t>
      </w:r>
      <w:r>
        <w:br/>
        <w:t>\left(</w:t>
      </w:r>
      <w:r>
        <w:br/>
        <w:t>\mathcal{M}_{\mathrm{ges}}^{\min}</w:t>
      </w:r>
      <w:r>
        <w:br/>
        <w:t>\right)</w:t>
      </w:r>
    </w:p>
    <w:p w:rsidR="003C5881" w:rsidRDefault="003C5881" w:rsidP="00632D23">
      <w:pPr>
        <w:numPr>
          <w:ilvl w:val="0"/>
          <w:numId w:val="92"/>
        </w:numPr>
        <w:spacing w:before="100" w:beforeAutospacing="1" w:after="100" w:afterAutospacing="1"/>
      </w:pPr>
    </w:p>
    <w:p w:rsidR="003C5881" w:rsidRDefault="003C5881" w:rsidP="003C5881">
      <w:pPr>
        <w:pStyle w:val="StandardWeb"/>
      </w:pPr>
      <w:r>
        <w:t>\tag{3.4469}</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C_0\left(\mathcal{M}_{\mathrm{ges}}^{\min}\right)=1\qquad\text{(3.4469)}</w:t>
      </w:r>
    </w:p>
    <w:p w:rsidR="003C5881" w:rsidRDefault="003C5881" w:rsidP="003C5881">
      <w:pPr>
        <w:pStyle w:val="StandardWeb"/>
      </w:pPr>
      <w:r>
        <w:t>Die Bedingungsmenge lautet:</w:t>
      </w:r>
    </w:p>
    <w:p w:rsidR="003C5881" w:rsidRDefault="003C5881" w:rsidP="003C5881">
      <w:pPr>
        <w:pStyle w:val="berschrift1"/>
      </w:pPr>
      <w:r>
        <w:t>[</w:t>
      </w:r>
      <w:r>
        <w:br/>
        <w:t>\mathcal{C}_{F}^{\min}</w:t>
      </w:r>
    </w:p>
    <w:p w:rsidR="003C5881" w:rsidRDefault="003C5881" w:rsidP="003C5881">
      <w:pPr>
        <w:pStyle w:val="StandardWeb"/>
      </w:pPr>
      <w:r>
        <w:t>{C_0}.</w:t>
      </w:r>
      <w:r>
        <w:br/>
        <w:t>\tag{3.4470}</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\mathcal{C}_{F}^{\min}=\{C_0\}\qquad\text{(3.4470)}</w:t>
      </w:r>
    </w:p>
    <w:p w:rsidR="003C5881" w:rsidRDefault="003C5881" w:rsidP="003C5881">
      <w:pPr>
        <w:pStyle w:val="StandardWeb"/>
      </w:pPr>
      <w:r>
        <w:t>Das Kohärenzprädikat erfüllt:</w:t>
      </w:r>
    </w:p>
    <w:p w:rsidR="003C5881" w:rsidRDefault="003C5881" w:rsidP="003C5881">
      <w:pPr>
        <w:pStyle w:val="berschrift1"/>
      </w:pPr>
      <w:r>
        <w:lastRenderedPageBreak/>
        <w:t>[</w:t>
      </w:r>
      <w:r>
        <w:br/>
        <w:t>\operatorname{Koh}</w:t>
      </w:r>
      <w:r>
        <w:rPr>
          <w:rStyle w:val="Hervorhebung"/>
        </w:rPr>
        <w:t>{\mathcal{C}</w:t>
      </w:r>
      <w:r>
        <w:t>{F}^{\min}}</w:t>
      </w:r>
      <w:r>
        <w:br/>
        <w:t>\left(</w:t>
      </w:r>
      <w:r>
        <w:br/>
        <w:t>\mathcal{M}_{\mathrm{ges}}^{\min}</w:t>
      </w:r>
      <w:r>
        <w:br/>
        <w:t>\right)</w:t>
      </w:r>
    </w:p>
    <w:p w:rsidR="003C5881" w:rsidRDefault="003C5881" w:rsidP="00632D23">
      <w:pPr>
        <w:numPr>
          <w:ilvl w:val="0"/>
          <w:numId w:val="93"/>
        </w:numPr>
        <w:spacing w:before="100" w:beforeAutospacing="1" w:after="100" w:afterAutospacing="1"/>
      </w:pPr>
    </w:p>
    <w:p w:rsidR="003C5881" w:rsidRDefault="003C5881" w:rsidP="003C5881">
      <w:pPr>
        <w:pStyle w:val="StandardWeb"/>
      </w:pPr>
      <w:r>
        <w:t>\tag{3.4471}</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\operatorname{Koh}_{\mathcal{C}_{F}^{\min}}\left(\mathcal{M}_{\mathrm{ges}}^{\min}\right)=1\qquad\text{(3.4471)}</w:t>
      </w:r>
    </w:p>
    <w:p w:rsidR="003C5881" w:rsidRDefault="003C5881" w:rsidP="003C5881">
      <w:pPr>
        <w:pStyle w:val="StandardWeb"/>
      </w:pPr>
      <w:r>
        <w:t>Diese Konstruktion zeigt lediglich, dass eine widerspruchsfreie Kohärenzbewertung möglich ist. Sie liefert noch keine inhaltlich anspruchsvolle Kohärenzbedingung.</w:t>
      </w:r>
    </w:p>
    <w:p w:rsidR="003C5881" w:rsidRPr="00AF32B2" w:rsidRDefault="003C5881" w:rsidP="00AF32B2">
      <w:pPr>
        <w:pStyle w:val="berschrift4"/>
      </w:pPr>
      <w:r w:rsidRPr="00AF32B2">
        <w:t>3.3.20.14 Vollständiges minimales FRZK-Modell</w:t>
      </w:r>
    </w:p>
    <w:p w:rsidR="003C5881" w:rsidRDefault="003C5881" w:rsidP="003C5881">
      <w:pPr>
        <w:pStyle w:val="StandardWeb"/>
      </w:pPr>
      <w:r>
        <w:t>Die abgeleiteten Minimalstrukturen können zu einem vollständigen minimalen FRZK zusammengefasst werden:</w:t>
      </w:r>
    </w:p>
    <w:p w:rsidR="003C5881" w:rsidRDefault="003C5881" w:rsidP="003C5881">
      <w:pPr>
        <w:pStyle w:val="berschrift1"/>
      </w:pPr>
      <w:r>
        <w:t>[</w:t>
      </w:r>
      <w:r>
        <w:br/>
        <w:t>\mathfrak{F}_{\mathrm{RZK}}^{\mathrm{min},0}</w:t>
      </w:r>
    </w:p>
    <w:p w:rsidR="003C5881" w:rsidRDefault="003C5881" w:rsidP="003C5881">
      <w:pPr>
        <w:pStyle w:val="StandardWeb"/>
      </w:pPr>
      <w:r>
        <w:t>\left(</w:t>
      </w:r>
      <w:r>
        <w:br/>
        <w:t>\mathfrak{B}</w:t>
      </w:r>
      <w:r>
        <w:rPr>
          <w:rStyle w:val="Hervorhebung"/>
        </w:rPr>
        <w:t>{F}^{\min},</w:t>
      </w:r>
      <w:r>
        <w:rPr>
          <w:i/>
          <w:iCs/>
        </w:rPr>
        <w:br/>
      </w:r>
      <w:r>
        <w:rPr>
          <w:rStyle w:val="Hervorhebung"/>
        </w:rPr>
        <w:t>\mathfrak{E}</w:t>
      </w:r>
      <w:r>
        <w:t>{F}^{\min},</w:t>
      </w:r>
      <w:r>
        <w:br/>
        <w:t>\mathfrak{C}</w:t>
      </w:r>
      <w:r>
        <w:rPr>
          <w:rStyle w:val="Hervorhebung"/>
        </w:rPr>
        <w:t>{F}^{\min},</w:t>
      </w:r>
      <w:r>
        <w:rPr>
          <w:i/>
          <w:iCs/>
        </w:rPr>
        <w:br/>
      </w:r>
      <w:r>
        <w:rPr>
          <w:rStyle w:val="Hervorhebung"/>
        </w:rPr>
        <w:t>\mathfrak{O}</w:t>
      </w:r>
      <w:r>
        <w:t>{F}^{\min},</w:t>
      </w:r>
      <w:r>
        <w:br/>
        <w:t>\mathfrak{X}</w:t>
      </w:r>
      <w:r>
        <w:rPr>
          <w:rStyle w:val="Hervorhebung"/>
        </w:rPr>
        <w:t>{F}^{\min},</w:t>
      </w:r>
      <w:r>
        <w:rPr>
          <w:i/>
          <w:iCs/>
        </w:rPr>
        <w:br/>
      </w:r>
      <w:r>
        <w:rPr>
          <w:rStyle w:val="Hervorhebung"/>
        </w:rPr>
        <w:t>\mathfrak{T}</w:t>
      </w:r>
      <w:r>
        <w:t>{F}^{\min},</w:t>
      </w:r>
      <w:r>
        <w:br/>
        <w:t>\mathfrak{K}_{XT}^{\min}</w:t>
      </w:r>
      <w:r>
        <w:br/>
        <w:t>\right).</w:t>
      </w:r>
      <w:r>
        <w:br/>
        <w:t>\tag{3.4472}</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\mathfrak{F}_{\mathrm{RZK}}^{\mathrm{min},0}=\left(\mathfrak{B}_{F}^{\min},\mathfrak{E}_{F}^{\min},\mathfrak{C}_{F}^{\min},\mathfrak{O}_{F}^{\min},\mathfrak{X}_{F}^{\min},\mathfrak{T}_{F}^{\min},\mathfrak{K}_{XT}^{\min}\right)\qquad\text{(3.4472)}</w:t>
      </w:r>
    </w:p>
    <w:p w:rsidR="003C5881" w:rsidRDefault="003C5881" w:rsidP="003C5881">
      <w:pPr>
        <w:pStyle w:val="StandardWeb"/>
      </w:pPr>
      <w:r>
        <w:t>Dieses Modell enthält:</w:t>
      </w:r>
    </w:p>
    <w:p w:rsidR="003C5881" w:rsidRDefault="003C5881" w:rsidP="00632D23">
      <w:pPr>
        <w:pStyle w:val="StandardWeb"/>
        <w:numPr>
          <w:ilvl w:val="0"/>
          <w:numId w:val="94"/>
        </w:numPr>
      </w:pPr>
      <w:r>
        <w:lastRenderedPageBreak/>
        <w:t>genau einen elementaren funktionalen Zustand,</w:t>
      </w:r>
    </w:p>
    <w:p w:rsidR="003C5881" w:rsidRDefault="003C5881" w:rsidP="00632D23">
      <w:pPr>
        <w:pStyle w:val="StandardWeb"/>
        <w:numPr>
          <w:ilvl w:val="0"/>
          <w:numId w:val="94"/>
        </w:numPr>
      </w:pPr>
      <w:r>
        <w:t>genau eine ausgewählte funktionale Relation,</w:t>
      </w:r>
    </w:p>
    <w:p w:rsidR="003C5881" w:rsidRDefault="003C5881" w:rsidP="00632D23">
      <w:pPr>
        <w:pStyle w:val="StandardWeb"/>
        <w:numPr>
          <w:ilvl w:val="0"/>
          <w:numId w:val="94"/>
        </w:numPr>
      </w:pPr>
      <w:r>
        <w:t>genau eine funktionale Transformation,</w:t>
      </w:r>
    </w:p>
    <w:p w:rsidR="003C5881" w:rsidRDefault="003C5881" w:rsidP="00632D23">
      <w:pPr>
        <w:pStyle w:val="StandardWeb"/>
        <w:numPr>
          <w:ilvl w:val="0"/>
          <w:numId w:val="94"/>
        </w:numPr>
      </w:pPr>
      <w:r>
        <w:t>ausschließlich identische Zustandsfolgen,</w:t>
      </w:r>
    </w:p>
    <w:p w:rsidR="003C5881" w:rsidRDefault="003C5881" w:rsidP="00632D23">
      <w:pPr>
        <w:pStyle w:val="StandardWeb"/>
        <w:numPr>
          <w:ilvl w:val="0"/>
          <w:numId w:val="94"/>
        </w:numPr>
      </w:pPr>
      <w:r>
        <w:t>genau eine funktionale Zustandsklasse,</w:t>
      </w:r>
    </w:p>
    <w:p w:rsidR="003C5881" w:rsidRDefault="003C5881" w:rsidP="00632D23">
      <w:pPr>
        <w:pStyle w:val="StandardWeb"/>
        <w:numPr>
          <w:ilvl w:val="0"/>
          <w:numId w:val="94"/>
        </w:numPr>
      </w:pPr>
      <w:r>
        <w:t>einen funktionalen Zeitwert,</w:t>
      </w:r>
    </w:p>
    <w:p w:rsidR="003C5881" w:rsidRDefault="003C5881" w:rsidP="00632D23">
      <w:pPr>
        <w:pStyle w:val="StandardWeb"/>
        <w:numPr>
          <w:ilvl w:val="0"/>
          <w:numId w:val="94"/>
        </w:numPr>
      </w:pPr>
      <w:r>
        <w:t>einen funktionalen Raumpunkt,</w:t>
      </w:r>
    </w:p>
    <w:p w:rsidR="003C5881" w:rsidRDefault="003C5881" w:rsidP="00632D23">
      <w:pPr>
        <w:pStyle w:val="StandardWeb"/>
        <w:numPr>
          <w:ilvl w:val="0"/>
          <w:numId w:val="94"/>
        </w:numPr>
      </w:pPr>
      <w:r>
        <w:t>eine triviale Raum-Zeit-Kopplung,</w:t>
      </w:r>
    </w:p>
    <w:p w:rsidR="003C5881" w:rsidRDefault="003C5881" w:rsidP="00632D23">
      <w:pPr>
        <w:pStyle w:val="StandardWeb"/>
        <w:numPr>
          <w:ilvl w:val="0"/>
          <w:numId w:val="94"/>
        </w:numPr>
      </w:pPr>
      <w:r>
        <w:t>eine erfüllte minimale Kohärenzbedingung.</w:t>
      </w:r>
    </w:p>
    <w:p w:rsidR="003C5881" w:rsidRDefault="003C5881" w:rsidP="003C5881">
      <w:pPr>
        <w:pStyle w:val="StandardWeb"/>
      </w:pPr>
      <w:r>
        <w:rPr>
          <w:rStyle w:val="Fett"/>
        </w:rPr>
        <w:t>Eigenleistung des FRZK</w:t>
      </w:r>
    </w:p>
    <w:p w:rsidR="003C5881" w:rsidRDefault="003C5881" w:rsidP="003C5881">
      <w:pPr>
        <w:pStyle w:val="StandardWeb"/>
      </w:pPr>
      <w:r>
        <w:t>Ich unterscheide zwischen einem konsistenten Minimalmodell und einem wissenschaftlich erklärungskräftigen Modell. Das Minimalmodell besitzt nur die Struktur, die zur gemeinsamen Erfüllbarkeit notwendig ist. Seine inhaltliche Einfachheit ist kein Mangel der Konsistenzprüfung, sondern deren methodische Stärke.</w:t>
      </w:r>
    </w:p>
    <w:p w:rsidR="003C5881" w:rsidRPr="00AF32B2" w:rsidRDefault="003C5881" w:rsidP="00AF32B2">
      <w:pPr>
        <w:pStyle w:val="berschrift4"/>
      </w:pPr>
      <w:r w:rsidRPr="00AF32B2">
        <w:t>3.3.20.15 Widerspruchsfreiheit der Typzuordnungen</w:t>
      </w:r>
    </w:p>
    <w:p w:rsidR="003C5881" w:rsidRDefault="003C5881" w:rsidP="003C5881">
      <w:pPr>
        <w:pStyle w:val="StandardWeb"/>
      </w:pPr>
      <w:r>
        <w:t>Die Typen der elementaren Objekte lauten:</w:t>
      </w:r>
    </w:p>
    <w:p w:rsidR="003C5881" w:rsidRDefault="003C5881" w:rsidP="003C5881">
      <w:pPr>
        <w:pStyle w:val="StandardWeb"/>
      </w:pPr>
      <w:r>
        <w:t>[</w:t>
      </w:r>
      <w:r>
        <w:br/>
        <w:t>\delta_0</w:t>
      </w:r>
      <w:r>
        <w:br/>
        <w:t>\in</w:t>
      </w:r>
      <w:r>
        <w:br/>
        <w:t>\mathcal{S}_{\mathrm{el}}^{\min}.</w:t>
      </w:r>
      <w:r>
        <w:br/>
        <w:t>\tag{3.4473}</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\delta_0\in\mathcal{S}_{\mathrm{el}}^{\min}\qquad\text{(3.4473)}</w:t>
      </w:r>
    </w:p>
    <w:p w:rsidR="003C5881" w:rsidRDefault="003C5881" w:rsidP="003C5881">
      <w:pPr>
        <w:pStyle w:val="StandardWeb"/>
      </w:pPr>
      <w:r>
        <w:t>[</w:t>
      </w:r>
      <w:r>
        <w:br/>
        <w:t>R_0</w:t>
      </w:r>
      <w:r>
        <w:br/>
        <w:t>\subseteq</w:t>
      </w:r>
      <w:r>
        <w:br/>
        <w:t>\mathcal{S}</w:t>
      </w:r>
      <w:r>
        <w:rPr>
          <w:rStyle w:val="Hervorhebung"/>
        </w:rPr>
        <w:t>{\mathrm{el}}^{\min}</w:t>
      </w:r>
      <w:r>
        <w:rPr>
          <w:i/>
          <w:iCs/>
        </w:rPr>
        <w:br/>
      </w:r>
      <w:r>
        <w:rPr>
          <w:rStyle w:val="Hervorhebung"/>
        </w:rPr>
        <w:t>\times</w:t>
      </w:r>
      <w:r>
        <w:rPr>
          <w:i/>
          <w:iCs/>
        </w:rPr>
        <w:br/>
      </w:r>
      <w:r>
        <w:rPr>
          <w:rStyle w:val="Hervorhebung"/>
        </w:rPr>
        <w:t>\mathcal{S}</w:t>
      </w:r>
      <w:r>
        <w:t>{\mathrm{el}}^{\min}.</w:t>
      </w:r>
      <w:r>
        <w:br/>
        <w:t>\tag{3.4474}</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R_0\subseteq\mathcal{S}_{\mathrm{el}}^{\min}\times\mathcal{S}_{\mathrm{el}}^{\min}\qquad\text{(3.4474)}</w:t>
      </w:r>
    </w:p>
    <w:p w:rsidR="003C5881" w:rsidRDefault="003C5881" w:rsidP="003C5881">
      <w:pPr>
        <w:pStyle w:val="StandardWeb"/>
      </w:pPr>
      <w:r>
        <w:t>[</w:t>
      </w:r>
      <w:r>
        <w:br/>
        <w:t>T_0</w:t>
      </w:r>
      <w:r>
        <w:br/>
        <w:t>\in</w:t>
      </w:r>
      <w:r>
        <w:br/>
        <w:t>\left(</w:t>
      </w:r>
      <w:r>
        <w:br/>
        <w:t>\mathcal{S}</w:t>
      </w:r>
      <w:r>
        <w:rPr>
          <w:rStyle w:val="Hervorhebung"/>
        </w:rPr>
        <w:t>{\mathrm{el}}^{\min}</w:t>
      </w:r>
      <w:r>
        <w:rPr>
          <w:i/>
          <w:iCs/>
        </w:rPr>
        <w:br/>
      </w:r>
      <w:r>
        <w:rPr>
          <w:rStyle w:val="Hervorhebung"/>
        </w:rPr>
        <w:lastRenderedPageBreak/>
        <w:t>\right)^{</w:t>
      </w:r>
      <w:r>
        <w:rPr>
          <w:i/>
          <w:iCs/>
        </w:rPr>
        <w:br/>
      </w:r>
      <w:r>
        <w:rPr>
          <w:rStyle w:val="Hervorhebung"/>
        </w:rPr>
        <w:t>\mathcal{S}</w:t>
      </w:r>
      <w:r>
        <w:t>{\mathrm{el}}^{\min}</w:t>
      </w:r>
      <w:r>
        <w:br/>
        <w:t>}.</w:t>
      </w:r>
      <w:r>
        <w:br/>
        <w:t>\tag{3.4475}</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T_0\in\left(\mathcal{S}_{\mathrm{el}}^{\min}\right)^{\mathcal{S}_{\mathrm{el}}^{\min}}\qquad\text{(3.4475)}</w:t>
      </w:r>
    </w:p>
    <w:p w:rsidR="003C5881" w:rsidRDefault="003C5881" w:rsidP="003C5881">
      <w:pPr>
        <w:pStyle w:val="StandardWeb"/>
      </w:pPr>
      <w:r>
        <w:t>Keine dieser Typzuordnungen widerspricht einer anderen. Der Zustand ist ein Element, die Relation eine Teilmenge eines kartesischen Produkts und die Transformation eine Abbildung.</w:t>
      </w:r>
    </w:p>
    <w:p w:rsidR="003C5881" w:rsidRDefault="003C5881" w:rsidP="003C5881">
      <w:pPr>
        <w:pStyle w:val="StandardWeb"/>
      </w:pPr>
      <w:r>
        <w:t>Damit gilt:</w:t>
      </w:r>
    </w:p>
    <w:p w:rsidR="003C5881" w:rsidRDefault="003C5881" w:rsidP="003C5881">
      <w:pPr>
        <w:pStyle w:val="StandardWeb"/>
      </w:pPr>
      <w:r>
        <w:t>[</w:t>
      </w:r>
      <w:r>
        <w:br/>
        <w:t>\delta_0</w:t>
      </w:r>
      <w:r>
        <w:br/>
        <w:t>\neq</w:t>
      </w:r>
      <w:r>
        <w:br/>
        <w:t>R_0</w:t>
      </w:r>
      <w:r>
        <w:br/>
        <w:t>\neq</w:t>
      </w:r>
      <w:r>
        <w:br/>
        <w:t>T_0</w:t>
      </w:r>
      <w:r>
        <w:br/>
        <w:t>\tag{3.4476}</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\delta_0\neq R_0\neq T_0\qquad\text{(3.4476)}</w:t>
      </w:r>
    </w:p>
    <w:p w:rsidR="003C5881" w:rsidRDefault="003C5881" w:rsidP="003C5881">
      <w:pPr>
        <w:pStyle w:val="StandardWeb"/>
      </w:pPr>
      <w:r>
        <w:t>im Sinne unterschiedlicher mathematischer Objektarten.</w:t>
      </w:r>
    </w:p>
    <w:p w:rsidR="003C5881" w:rsidRPr="00AF32B2" w:rsidRDefault="003C5881" w:rsidP="00AF32B2">
      <w:pPr>
        <w:pStyle w:val="berschrift4"/>
      </w:pPr>
      <w:r w:rsidRPr="00AF32B2">
        <w:t>3.3.20.16 Keine Ableitung zusätzlicher physikalischer Eigenschaften</w:t>
      </w:r>
    </w:p>
    <w:p w:rsidR="003C5881" w:rsidRDefault="003C5881" w:rsidP="003C5881">
      <w:pPr>
        <w:pStyle w:val="StandardWeb"/>
      </w:pPr>
      <w:r>
        <w:t>Aus dem Minimalmodell folgen keine physikalischen Aussagen über:</w:t>
      </w:r>
    </w:p>
    <w:p w:rsidR="003C5881" w:rsidRDefault="003C5881" w:rsidP="00632D23">
      <w:pPr>
        <w:pStyle w:val="StandardWeb"/>
        <w:numPr>
          <w:ilvl w:val="0"/>
          <w:numId w:val="95"/>
        </w:numPr>
      </w:pPr>
      <w:r>
        <w:t>räumliche Ausdehnung,</w:t>
      </w:r>
    </w:p>
    <w:p w:rsidR="003C5881" w:rsidRDefault="003C5881" w:rsidP="00632D23">
      <w:pPr>
        <w:pStyle w:val="StandardWeb"/>
        <w:numPr>
          <w:ilvl w:val="0"/>
          <w:numId w:val="95"/>
        </w:numPr>
      </w:pPr>
      <w:r>
        <w:t>messbare Zeitdauer,</w:t>
      </w:r>
    </w:p>
    <w:p w:rsidR="003C5881" w:rsidRDefault="003C5881" w:rsidP="00632D23">
      <w:pPr>
        <w:pStyle w:val="StandardWeb"/>
        <w:numPr>
          <w:ilvl w:val="0"/>
          <w:numId w:val="95"/>
        </w:numPr>
      </w:pPr>
      <w:r>
        <w:t>Geschwindigkeit,</w:t>
      </w:r>
    </w:p>
    <w:p w:rsidR="003C5881" w:rsidRDefault="003C5881" w:rsidP="00632D23">
      <w:pPr>
        <w:pStyle w:val="StandardWeb"/>
        <w:numPr>
          <w:ilvl w:val="0"/>
          <w:numId w:val="95"/>
        </w:numPr>
      </w:pPr>
      <w:r>
        <w:t>Energie,</w:t>
      </w:r>
    </w:p>
    <w:p w:rsidR="003C5881" w:rsidRDefault="003C5881" w:rsidP="00632D23">
      <w:pPr>
        <w:pStyle w:val="StandardWeb"/>
        <w:numPr>
          <w:ilvl w:val="0"/>
          <w:numId w:val="95"/>
        </w:numPr>
      </w:pPr>
      <w:r>
        <w:t>Materie,</w:t>
      </w:r>
    </w:p>
    <w:p w:rsidR="003C5881" w:rsidRDefault="003C5881" w:rsidP="00632D23">
      <w:pPr>
        <w:pStyle w:val="StandardWeb"/>
        <w:numPr>
          <w:ilvl w:val="0"/>
          <w:numId w:val="95"/>
        </w:numPr>
      </w:pPr>
      <w:r>
        <w:t>Kausalität,</w:t>
      </w:r>
    </w:p>
    <w:p w:rsidR="003C5881" w:rsidRDefault="003C5881" w:rsidP="00632D23">
      <w:pPr>
        <w:pStyle w:val="StandardWeb"/>
        <w:numPr>
          <w:ilvl w:val="0"/>
          <w:numId w:val="95"/>
        </w:numPr>
      </w:pPr>
      <w:r>
        <w:t>Dimension,</w:t>
      </w:r>
    </w:p>
    <w:p w:rsidR="003C5881" w:rsidRDefault="003C5881" w:rsidP="00632D23">
      <w:pPr>
        <w:pStyle w:val="StandardWeb"/>
        <w:numPr>
          <w:ilvl w:val="0"/>
          <w:numId w:val="95"/>
        </w:numPr>
      </w:pPr>
      <w:r>
        <w:t>Kontinuität,</w:t>
      </w:r>
    </w:p>
    <w:p w:rsidR="003C5881" w:rsidRDefault="003C5881" w:rsidP="00632D23">
      <w:pPr>
        <w:pStyle w:val="StandardWeb"/>
        <w:numPr>
          <w:ilvl w:val="0"/>
          <w:numId w:val="95"/>
        </w:numPr>
      </w:pPr>
      <w:r>
        <w:t>physikalische Raumzeit.</w:t>
      </w:r>
    </w:p>
    <w:p w:rsidR="003C5881" w:rsidRDefault="003C5881" w:rsidP="003C5881">
      <w:pPr>
        <w:pStyle w:val="StandardWeb"/>
      </w:pPr>
      <w:r>
        <w:t>Insbesondere folgt nicht:</w:t>
      </w:r>
    </w:p>
    <w:p w:rsidR="003C5881" w:rsidRDefault="003C5881" w:rsidP="003C5881">
      <w:pPr>
        <w:pStyle w:val="StandardWeb"/>
      </w:pPr>
      <w:r>
        <w:t>[</w:t>
      </w:r>
      <w:r>
        <w:br/>
        <w:t>d_{\mathrm{sp}}^{\min}</w:t>
      </w:r>
    </w:p>
    <w:p w:rsidR="003C5881" w:rsidRDefault="003C5881" w:rsidP="003C5881">
      <w:pPr>
        <w:pStyle w:val="StandardWeb"/>
      </w:pPr>
      <w:r>
        <w:lastRenderedPageBreak/>
        <w:t>0</w:t>
      </w:r>
      <w:r>
        <w:br/>
        <w:t>\tag{3.4477}</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d_{\mathrm{sp}}^{\min}&gt;0\qquad\text{(3.4477)}</w:t>
      </w:r>
    </w:p>
    <w:p w:rsidR="003C5881" w:rsidRDefault="003C5881" w:rsidP="003C5881">
      <w:pPr>
        <w:pStyle w:val="StandardWeb"/>
      </w:pPr>
      <w:r>
        <w:t>und auch nicht:</w:t>
      </w:r>
    </w:p>
    <w:p w:rsidR="003C5881" w:rsidRDefault="003C5881" w:rsidP="003C5881">
      <w:pPr>
        <w:pStyle w:val="StandardWeb"/>
      </w:pPr>
      <w:r>
        <w:t>[</w:t>
      </w:r>
      <w:r>
        <w:br/>
        <w:t>\Delta t^{F}</w:t>
      </w:r>
    </w:p>
    <w:p w:rsidR="003C5881" w:rsidRDefault="003C5881" w:rsidP="00632D23">
      <w:pPr>
        <w:numPr>
          <w:ilvl w:val="0"/>
          <w:numId w:val="96"/>
        </w:numPr>
        <w:spacing w:before="100" w:beforeAutospacing="1" w:after="100" w:afterAutospacing="1"/>
      </w:pPr>
    </w:p>
    <w:p w:rsidR="003C5881" w:rsidRDefault="003C5881" w:rsidP="003C5881">
      <w:pPr>
        <w:pStyle w:val="StandardWeb"/>
      </w:pPr>
      <w:r>
        <w:t>\tag{3.4478}</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\Delta t^{F}&gt;0\qquad\text{(3.4478)}</w:t>
      </w:r>
    </w:p>
    <w:p w:rsidR="003C5881" w:rsidRDefault="003C5881" w:rsidP="003C5881">
      <w:pPr>
        <w:pStyle w:val="StandardWeb"/>
      </w:pPr>
      <w:r>
        <w:t>Das Minimalmodell zeigt Konsistenz, aber keine empirische oder physikalische Angemessenheit [58, 59, 79].</w:t>
      </w:r>
    </w:p>
    <w:p w:rsidR="003C5881" w:rsidRPr="00AF32B2" w:rsidRDefault="003C5881" w:rsidP="00AF32B2">
      <w:pPr>
        <w:pStyle w:val="berschrift4"/>
      </w:pPr>
      <w:r w:rsidRPr="00AF32B2">
        <w:t>3.3.20.17 Nichttriviales Zwei-Zustands-Modell</w:t>
      </w:r>
    </w:p>
    <w:p w:rsidR="003C5881" w:rsidRDefault="003C5881" w:rsidP="003C5881">
      <w:pPr>
        <w:pStyle w:val="StandardWeb"/>
      </w:pPr>
      <w:r>
        <w:t>Um zu zeigen, dass die Primäraxiome nicht nur in einem vollständig statischen Modell erfüllbar sind, konstruiere ich zusätzlich ein einfaches nichttriviales Modell mit zwei Zuständen:</w:t>
      </w:r>
    </w:p>
    <w:p w:rsidR="003C5881" w:rsidRDefault="003C5881" w:rsidP="003C5881">
      <w:pPr>
        <w:pStyle w:val="berschrift1"/>
      </w:pPr>
      <w:r>
        <w:t>[</w:t>
      </w:r>
      <w:r>
        <w:br/>
        <w:t>\mathcal{S}_{\mathrm{el}}^{(2)}</w:t>
      </w:r>
    </w:p>
    <w:p w:rsidR="003C5881" w:rsidRDefault="003C5881" w:rsidP="003C5881">
      <w:pPr>
        <w:pStyle w:val="StandardWeb"/>
      </w:pPr>
      <w:r>
        <w:t>\left{</w:t>
      </w:r>
      <w:r>
        <w:br/>
        <w:t>\delta_0,</w:t>
      </w:r>
      <w:r>
        <w:br/>
        <w:t>\delta_1</w:t>
      </w:r>
      <w:r>
        <w:br/>
        <w:t>\right}.</w:t>
      </w:r>
      <w:r>
        <w:br/>
        <w:t>\tag{3.4479}</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\mathcal{S}_{\mathrm{el}}^{(2)}=\left\{\delta_0,\delta_1\right\}\qquad\text{(3.4479)}</w:t>
      </w:r>
    </w:p>
    <w:p w:rsidR="003C5881" w:rsidRDefault="003C5881" w:rsidP="003C5881">
      <w:pPr>
        <w:pStyle w:val="StandardWeb"/>
      </w:pPr>
      <w:r>
        <w:t>Die funktionale Relation lautet:</w:t>
      </w:r>
    </w:p>
    <w:p w:rsidR="003C5881" w:rsidRDefault="003C5881" w:rsidP="003C5881">
      <w:pPr>
        <w:pStyle w:val="berschrift1"/>
      </w:pPr>
      <w:r>
        <w:lastRenderedPageBreak/>
        <w:t>[</w:t>
      </w:r>
      <w:r>
        <w:br/>
        <w:t>R_{01}</w:t>
      </w:r>
    </w:p>
    <w:p w:rsidR="003C5881" w:rsidRDefault="003C5881" w:rsidP="003C5881">
      <w:pPr>
        <w:pStyle w:val="StandardWeb"/>
      </w:pPr>
      <w:r>
        <w:t>\left{</w:t>
      </w:r>
      <w:r>
        <w:br/>
        <w:t>(\delta_0,\delta_1)</w:t>
      </w:r>
      <w:r>
        <w:br/>
        <w:t>\right}.</w:t>
      </w:r>
      <w:r>
        <w:br/>
        <w:t>\tag{3.4480}</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R_{01}=\left\{(\delta_0,\delta_1)\right\}\qquad\text{(3.4480)}</w:t>
      </w:r>
    </w:p>
    <w:p w:rsidR="003C5881" w:rsidRDefault="003C5881" w:rsidP="003C5881">
      <w:pPr>
        <w:pStyle w:val="StandardWeb"/>
      </w:pPr>
      <w:r>
        <w:t>Eine funktionale Transformation wird definiert durch:</w:t>
      </w:r>
    </w:p>
    <w:p w:rsidR="003C5881" w:rsidRDefault="003C5881" w:rsidP="003C5881">
      <w:pPr>
        <w:pStyle w:val="berschrift1"/>
      </w:pPr>
      <w:r>
        <w:t>[</w:t>
      </w:r>
      <w:r>
        <w:br/>
        <w:t>T_{01}(\delta_0)</w:t>
      </w:r>
    </w:p>
    <w:p w:rsidR="003C5881" w:rsidRDefault="003C5881" w:rsidP="003C5881">
      <w:pPr>
        <w:pStyle w:val="StandardWeb"/>
      </w:pPr>
      <w:r>
        <w:t>\delta_1</w:t>
      </w:r>
      <w:r>
        <w:br/>
        <w:t>\tag{3.4481}</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T_{01}(\delta_0)=\delta_1\qquad\text{(3.4481)}</w:t>
      </w:r>
    </w:p>
    <w:p w:rsidR="003C5881" w:rsidRDefault="003C5881" w:rsidP="003C5881">
      <w:pPr>
        <w:pStyle w:val="StandardWeb"/>
      </w:pPr>
      <w:r>
        <w:t>und</w:t>
      </w:r>
    </w:p>
    <w:p w:rsidR="003C5881" w:rsidRDefault="003C5881" w:rsidP="003C5881">
      <w:pPr>
        <w:pStyle w:val="berschrift1"/>
      </w:pPr>
      <w:r>
        <w:t>[</w:t>
      </w:r>
      <w:r>
        <w:br/>
        <w:t>T_{01}(\delta_1)</w:t>
      </w:r>
    </w:p>
    <w:p w:rsidR="003C5881" w:rsidRDefault="003C5881" w:rsidP="003C5881">
      <w:pPr>
        <w:pStyle w:val="StandardWeb"/>
      </w:pPr>
      <w:r>
        <w:t>\delta_1.</w:t>
      </w:r>
      <w:r>
        <w:br/>
        <w:t>\tag{3.4482}</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T_{01}(\delta_1)=\delta_1\qquad\text{(3.4482)}</w:t>
      </w:r>
    </w:p>
    <w:p w:rsidR="003C5881" w:rsidRDefault="003C5881" w:rsidP="003C5881">
      <w:pPr>
        <w:pStyle w:val="StandardWeb"/>
      </w:pPr>
      <w:r>
        <w:t>Damit ist</w:t>
      </w:r>
    </w:p>
    <w:p w:rsidR="003C5881" w:rsidRDefault="003C5881" w:rsidP="003C5881">
      <w:pPr>
        <w:pStyle w:val="StandardWeb"/>
      </w:pPr>
      <w:r>
        <w:t>[</w:t>
      </w:r>
      <w:r>
        <w:br/>
        <w:t>T_{01}:</w:t>
      </w:r>
      <w:r>
        <w:br/>
        <w:t>\mathcal{S}</w:t>
      </w:r>
      <w:r>
        <w:rPr>
          <w:rStyle w:val="Hervorhebung"/>
        </w:rPr>
        <w:t>{\mathrm{el}}^{(2)}</w:t>
      </w:r>
      <w:r>
        <w:rPr>
          <w:i/>
          <w:iCs/>
        </w:rPr>
        <w:br/>
      </w:r>
      <w:r>
        <w:rPr>
          <w:rStyle w:val="Hervorhebung"/>
        </w:rPr>
        <w:t>\rightarrow</w:t>
      </w:r>
      <w:r>
        <w:rPr>
          <w:i/>
          <w:iCs/>
        </w:rPr>
        <w:br/>
      </w:r>
      <w:r>
        <w:rPr>
          <w:rStyle w:val="Hervorhebung"/>
        </w:rPr>
        <w:t>\mathcal{S}</w:t>
      </w:r>
      <w:r>
        <w:t>{\mathrm{el}}^{(2)}</w:t>
      </w:r>
      <w:r>
        <w:br/>
      </w:r>
      <w:r>
        <w:lastRenderedPageBreak/>
        <w:t>\tag{3.4483}</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T_{01}:\mathcal{S}_{\mathrm{el}}^{(2)}\rightarrow\mathcal{S}_{\mathrm{el}}^{(2)}\qquad\text{(3.4483)}</w:t>
      </w:r>
    </w:p>
    <w:p w:rsidR="003C5881" w:rsidRDefault="003C5881" w:rsidP="003C5881">
      <w:pPr>
        <w:pStyle w:val="StandardWeb"/>
      </w:pPr>
      <w:r>
        <w:t>eine wohldefinierte Transformation.</w:t>
      </w:r>
    </w:p>
    <w:p w:rsidR="003C5881" w:rsidRDefault="003C5881" w:rsidP="003C5881">
      <w:pPr>
        <w:pStyle w:val="StandardWeb"/>
      </w:pPr>
      <w:r>
        <w:t>Das Zwei-Zustands-Modell lautet:</w:t>
      </w:r>
    </w:p>
    <w:p w:rsidR="003C5881" w:rsidRDefault="003C5881" w:rsidP="003C5881">
      <w:pPr>
        <w:pStyle w:val="berschrift1"/>
      </w:pPr>
      <w:r>
        <w:t>[</w:t>
      </w:r>
      <w:r>
        <w:br/>
        <w:t>\mathcal{M}_{\mathrm{ges}}^{(2)}</w:t>
      </w:r>
    </w:p>
    <w:p w:rsidR="003C5881" w:rsidRDefault="003C5881" w:rsidP="003C5881">
      <w:pPr>
        <w:pStyle w:val="StandardWeb"/>
      </w:pPr>
      <w:r>
        <w:t>\left(</w:t>
      </w:r>
      <w:r>
        <w:br/>
        <w:t>\mathcal{S}</w:t>
      </w:r>
      <w:r>
        <w:rPr>
          <w:rStyle w:val="Hervorhebung"/>
        </w:rPr>
        <w:t>{\mathrm{el}}^{(2)},</w:t>
      </w:r>
      <w:r>
        <w:rPr>
          <w:i/>
          <w:iCs/>
        </w:rPr>
        <w:br/>
      </w:r>
      <w:r>
        <w:rPr>
          <w:rStyle w:val="Hervorhebung"/>
        </w:rPr>
        <w:t>{R</w:t>
      </w:r>
      <w:r>
        <w:t>{01}},</w:t>
      </w:r>
      <w:r>
        <w:br/>
        <w:t>{T_{01}}</w:t>
      </w:r>
      <w:r>
        <w:br/>
        <w:t>\right).</w:t>
      </w:r>
      <w:r>
        <w:br/>
        <w:t>\tag{3.4484}</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\mathcal{M}_{\mathrm{ges}}^{(2)}=\left(\mathcal{S}_{\mathrm{el}}^{(2)},\{R_{01}\},\{T_{01}\}\right)\qquad\text{(3.4484)}</w:t>
      </w:r>
    </w:p>
    <w:p w:rsidR="003C5881" w:rsidRDefault="003C5881" w:rsidP="003C5881">
      <w:pPr>
        <w:pStyle w:val="StandardWeb"/>
      </w:pPr>
      <w:r>
        <w:t>Für dieses Modell gilt ebenfalls:</w:t>
      </w:r>
    </w:p>
    <w:p w:rsidR="003C5881" w:rsidRDefault="003C5881" w:rsidP="003C5881">
      <w:pPr>
        <w:pStyle w:val="StandardWeb"/>
      </w:pPr>
      <w:r>
        <w:t>[</w:t>
      </w:r>
      <w:r>
        <w:br/>
        <w:t>\mathcal{M}</w:t>
      </w:r>
      <w:r>
        <w:rPr>
          <w:rStyle w:val="Hervorhebung"/>
        </w:rPr>
        <w:t>{\mathrm{ges}}^{(2)}</w:t>
      </w:r>
      <w:r>
        <w:rPr>
          <w:i/>
          <w:iCs/>
        </w:rPr>
        <w:br/>
      </w:r>
      <w:r>
        <w:rPr>
          <w:rStyle w:val="Hervorhebung"/>
        </w:rPr>
        <w:t>\models</w:t>
      </w:r>
      <w:r>
        <w:rPr>
          <w:i/>
          <w:iCs/>
        </w:rPr>
        <w:br/>
      </w:r>
      <w:r>
        <w:rPr>
          <w:rStyle w:val="Hervorhebung"/>
        </w:rPr>
        <w:t>A</w:t>
      </w:r>
      <w:r>
        <w:t>{\mathrm{I}}</w:t>
      </w:r>
      <w:r>
        <w:br/>
        <w:t>\land</w:t>
      </w:r>
      <w:r>
        <w:br/>
        <w:t>A_{\mathrm{II}}</w:t>
      </w:r>
      <w:r>
        <w:br/>
        <w:t>\land</w:t>
      </w:r>
      <w:r>
        <w:br/>
        <w:t>A_{\mathrm{III}}.</w:t>
      </w:r>
      <w:r>
        <w:br/>
        <w:t>\tag{3.4485}</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\mathcal{M}_{\mathrm{ges}}^{(2)}\models A_{\mathrm{I}}\land A_{\mathrm{II}}\land A_{\mathrm{III}}\qquad\text{(3.4485)}</w:t>
      </w:r>
    </w:p>
    <w:p w:rsidR="003C5881" w:rsidRDefault="003C5881" w:rsidP="003C5881">
      <w:pPr>
        <w:pStyle w:val="StandardWeb"/>
      </w:pPr>
      <w:r>
        <w:t>Zusätzlich besitzt es eine nichttriviale Zustandsänderung:</w:t>
      </w:r>
    </w:p>
    <w:p w:rsidR="003C5881" w:rsidRDefault="003C5881" w:rsidP="003C5881">
      <w:pPr>
        <w:pStyle w:val="StandardWeb"/>
      </w:pPr>
      <w:r>
        <w:t>[</w:t>
      </w:r>
      <w:r>
        <w:br/>
        <w:t>\delta_0</w:t>
      </w:r>
      <w:r>
        <w:br/>
        <w:t>\neq</w:t>
      </w:r>
      <w:r>
        <w:br/>
      </w:r>
      <w:r>
        <w:lastRenderedPageBreak/>
        <w:t>T_{01}(\delta_0).</w:t>
      </w:r>
      <w:r>
        <w:br/>
        <w:t>\tag{3.4486}</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\delta_0\neq T_{01}(\delta_0)\qquad\text{(3.4486)}</w:t>
      </w:r>
    </w:p>
    <w:p w:rsidR="003C5881" w:rsidRPr="00AF32B2" w:rsidRDefault="003C5881" w:rsidP="00AF32B2">
      <w:pPr>
        <w:pStyle w:val="berschrift4"/>
      </w:pPr>
      <w:r w:rsidRPr="00AF32B2">
        <w:t>3.3.20.18 Funktionale Ordnung im Zwei-Zustands-Modell</w:t>
      </w:r>
    </w:p>
    <w:p w:rsidR="003C5881" w:rsidRDefault="003C5881" w:rsidP="003C5881">
      <w:pPr>
        <w:pStyle w:val="StandardWeb"/>
      </w:pPr>
      <w:r>
        <w:t>Im Zwei-Zustands-Modell ist (\delta_1) von (\delta_0) erreichbar:</w:t>
      </w:r>
    </w:p>
    <w:p w:rsidR="003C5881" w:rsidRDefault="003C5881" w:rsidP="003C5881">
      <w:pPr>
        <w:pStyle w:val="StandardWeb"/>
      </w:pPr>
      <w:r>
        <w:t>[</w:t>
      </w:r>
      <w:r>
        <w:br/>
        <w:t>\delta_0</w:t>
      </w:r>
      <w:r>
        <w:br/>
        <w:t>\preceq_{!F}</w:t>
      </w:r>
      <w:r>
        <w:br/>
        <w:t>\delta_1.</w:t>
      </w:r>
      <w:r>
        <w:br/>
        <w:t>\tag{3.4487}</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\delta_0\preceq_{\!F}\delta_1\qquad\text{(3.4487)}</w:t>
      </w:r>
    </w:p>
    <w:p w:rsidR="003C5881" w:rsidRDefault="003C5881" w:rsidP="003C5881">
      <w:pPr>
        <w:pStyle w:val="StandardWeb"/>
      </w:pPr>
      <w:r>
        <w:t>Die umgekehrte Erreichbarkeit gilt nicht:</w:t>
      </w:r>
    </w:p>
    <w:p w:rsidR="003C5881" w:rsidRDefault="003C5881" w:rsidP="003C5881">
      <w:pPr>
        <w:pStyle w:val="StandardWeb"/>
      </w:pPr>
      <w:r>
        <w:t>[</w:t>
      </w:r>
      <w:r>
        <w:br/>
        <w:t>\delta_1</w:t>
      </w:r>
      <w:r>
        <w:br/>
        <w:t>\not\preceq_{!F}</w:t>
      </w:r>
      <w:r>
        <w:br/>
        <w:t>\delta_0.</w:t>
      </w:r>
      <w:r>
        <w:br/>
        <w:t>\tag{3.4488}</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\delta_1\not\preceq_{\!F}\delta_0\qquad\text{(3.4488)}</w:t>
      </w:r>
    </w:p>
    <w:p w:rsidR="003C5881" w:rsidRDefault="003C5881" w:rsidP="003C5881">
      <w:pPr>
        <w:pStyle w:val="StandardWeb"/>
      </w:pPr>
      <w:r>
        <w:t>Daraus folgt eine nichttriviale strenge funktionale Ordnung:</w:t>
      </w:r>
    </w:p>
    <w:p w:rsidR="003C5881" w:rsidRDefault="003C5881" w:rsidP="003C5881">
      <w:pPr>
        <w:pStyle w:val="StandardWeb"/>
      </w:pPr>
      <w:r>
        <w:t>[</w:t>
      </w:r>
      <w:r>
        <w:br/>
        <w:t>[\delta_0]</w:t>
      </w:r>
      <w:r>
        <w:rPr>
          <w:rStyle w:val="Hervorhebung"/>
        </w:rPr>
        <w:t>{!F}</w:t>
      </w:r>
      <w:r>
        <w:rPr>
          <w:i/>
          <w:iCs/>
        </w:rPr>
        <w:br/>
      </w:r>
      <w:r>
        <w:rPr>
          <w:rStyle w:val="Hervorhebung"/>
        </w:rPr>
        <w:t>&lt;</w:t>
      </w:r>
      <w:r>
        <w:t>{!F}</w:t>
      </w:r>
      <w:r>
        <w:br/>
        <w:t>[\delta_1]_{!F}.</w:t>
      </w:r>
      <w:r>
        <w:br/>
        <w:t>\tag{3.4489}</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[\delta_0]_{\!F}&lt;_{\!F}[\delta_1]_{\!F}\qquad\text{(3.4489)}</w:t>
      </w:r>
    </w:p>
    <w:p w:rsidR="003C5881" w:rsidRDefault="003C5881" w:rsidP="003C5881">
      <w:pPr>
        <w:pStyle w:val="StandardWeb"/>
      </w:pPr>
      <w:r>
        <w:t>Eine streng monotone funktionale Zeitabbildung kann durch</w:t>
      </w:r>
    </w:p>
    <w:p w:rsidR="003C5881" w:rsidRDefault="003C5881" w:rsidP="003C5881">
      <w:pPr>
        <w:pStyle w:val="berschrift1"/>
      </w:pPr>
      <w:r>
        <w:lastRenderedPageBreak/>
        <w:t>[</w:t>
      </w:r>
      <w:r>
        <w:br/>
        <w:t>\vartheta</w:t>
      </w:r>
      <w:r>
        <w:br/>
        <w:t>\left(</w:t>
      </w:r>
      <w:r>
        <w:br/>
        <w:t>[\delta_0]_{!F}</w:t>
      </w:r>
      <w:r>
        <w:br/>
        <w:t>\right)</w:t>
      </w:r>
    </w:p>
    <w:p w:rsidR="003C5881" w:rsidRDefault="003C5881" w:rsidP="003C5881">
      <w:pPr>
        <w:pStyle w:val="StandardWeb"/>
      </w:pPr>
      <w:r>
        <w:t>0</w:t>
      </w:r>
      <w:r>
        <w:br/>
        <w:t>\tag{3.4490}</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\vartheta\left([\delta_0]_{\!F}\right)=0\qquad\text{(3.4490)}</w:t>
      </w:r>
    </w:p>
    <w:p w:rsidR="003C5881" w:rsidRDefault="003C5881" w:rsidP="003C5881">
      <w:pPr>
        <w:pStyle w:val="StandardWeb"/>
      </w:pPr>
      <w:r>
        <w:t>und</w:t>
      </w:r>
    </w:p>
    <w:p w:rsidR="003C5881" w:rsidRDefault="003C5881" w:rsidP="003C5881">
      <w:pPr>
        <w:pStyle w:val="berschrift1"/>
      </w:pPr>
      <w:r>
        <w:t>[</w:t>
      </w:r>
      <w:r>
        <w:br/>
        <w:t>\vartheta</w:t>
      </w:r>
      <w:r>
        <w:br/>
        <w:t>\left(</w:t>
      </w:r>
      <w:r>
        <w:br/>
        <w:t>[\delta_1]_{!F}</w:t>
      </w:r>
      <w:r>
        <w:br/>
        <w:t>\right)</w:t>
      </w:r>
    </w:p>
    <w:p w:rsidR="003C5881" w:rsidRDefault="003C5881" w:rsidP="003C5881">
      <w:pPr>
        <w:pStyle w:val="StandardWeb"/>
      </w:pPr>
      <w:r>
        <w:t>1</w:t>
      </w:r>
      <w:r>
        <w:br/>
        <w:t>\tag{3.4491}</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\vartheta\left([\delta_1]_{\!F}\right)=1\qquad\text{(3.4491)}</w:t>
      </w:r>
    </w:p>
    <w:p w:rsidR="003C5881" w:rsidRDefault="003C5881" w:rsidP="003C5881">
      <w:pPr>
        <w:pStyle w:val="StandardWeb"/>
      </w:pPr>
      <w:r>
        <w:t>definiert werden.</w:t>
      </w:r>
    </w:p>
    <w:p w:rsidR="003C5881" w:rsidRDefault="003C5881" w:rsidP="003C5881">
      <w:pPr>
        <w:pStyle w:val="StandardWeb"/>
      </w:pPr>
      <w:r>
        <w:t>Damit gilt:</w:t>
      </w:r>
    </w:p>
    <w:p w:rsidR="003C5881" w:rsidRDefault="003C5881" w:rsidP="003C5881">
      <w:pPr>
        <w:pStyle w:val="StandardWeb"/>
      </w:pPr>
      <w:r>
        <w:t>[</w:t>
      </w:r>
      <w:r>
        <w:br/>
        <w:t>0</w:t>
      </w:r>
      <w:r>
        <w:br/>
        <w:t>&lt;</w:t>
      </w:r>
      <w:r>
        <w:br/>
        <w:t>1.</w:t>
      </w:r>
      <w:r>
        <w:br/>
        <w:t>\tag{3.4492}</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0&lt;1\qquad\text{(3.4492)}</w:t>
      </w:r>
    </w:p>
    <w:p w:rsidR="003C5881" w:rsidRDefault="003C5881" w:rsidP="003C5881">
      <w:pPr>
        <w:pStyle w:val="StandardWeb"/>
      </w:pPr>
      <w:r>
        <w:lastRenderedPageBreak/>
        <w:t>Das Modell zeigt, dass die Axiomenmenge auch mit nichttrivialer funktionaler Entwicklung vereinbar ist.</w:t>
      </w:r>
    </w:p>
    <w:p w:rsidR="003C5881" w:rsidRPr="00AF32B2" w:rsidRDefault="003C5881" w:rsidP="00AF32B2">
      <w:pPr>
        <w:pStyle w:val="berschrift4"/>
      </w:pPr>
      <w:r w:rsidRPr="00AF32B2">
        <w:t>3.3.20.19 Reichweite der Konsistenzprüfung</w:t>
      </w:r>
    </w:p>
    <w:p w:rsidR="003C5881" w:rsidRDefault="003C5881" w:rsidP="003C5881">
      <w:pPr>
        <w:pStyle w:val="StandardWeb"/>
      </w:pPr>
      <w:r>
        <w:t>Die Konstruktionen zeigen:</w:t>
      </w:r>
    </w:p>
    <w:p w:rsidR="003C5881" w:rsidRDefault="003C5881" w:rsidP="003C5881">
      <w:pPr>
        <w:pStyle w:val="StandardWeb"/>
      </w:pPr>
      <w:r>
        <w:t>[</w:t>
      </w:r>
      <w:r>
        <w:br/>
        <w:t>\operatorname{Mod}</w:t>
      </w:r>
      <w:r>
        <w:br/>
        <w:t>\left(</w:t>
      </w:r>
      <w:r>
        <w:br/>
        <w:t>\mathcal{A}_{\mathrm{prim}}</w:t>
      </w:r>
      <w:r>
        <w:br/>
        <w:t>\right)</w:t>
      </w:r>
      <w:r>
        <w:br/>
        <w:t>\neq</w:t>
      </w:r>
      <w:r>
        <w:br/>
        <w:t>\emptyset.</w:t>
      </w:r>
      <w:r>
        <w:br/>
        <w:t>\tag{3.4493}</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\operatorname{Mod}\left(\mathcal{A}_{\mathrm{prim}}\right)\neq\emptyset\qquad\text{(3.4493)}</w:t>
      </w:r>
    </w:p>
    <w:p w:rsidR="003C5881" w:rsidRDefault="003C5881" w:rsidP="003C5881">
      <w:pPr>
        <w:pStyle w:val="StandardWeb"/>
      </w:pPr>
      <w:r>
        <w:t>Damit sind die drei Primäraxiome gemeinsam erfüllbar.</w:t>
      </w:r>
    </w:p>
    <w:p w:rsidR="003C5881" w:rsidRDefault="003C5881" w:rsidP="003C5881">
      <w:pPr>
        <w:pStyle w:val="StandardWeb"/>
      </w:pPr>
      <w:r>
        <w:t>Nicht gezeigt wurde:</w:t>
      </w:r>
    </w:p>
    <w:p w:rsidR="003C5881" w:rsidRDefault="003C5881" w:rsidP="003C5881">
      <w:pPr>
        <w:pStyle w:val="StandardWeb"/>
      </w:pPr>
      <w:r>
        <w:t>[</w:t>
      </w:r>
      <w:r>
        <w:br/>
        <w:t>\operatorname{Con}</w:t>
      </w:r>
      <w:r>
        <w:br/>
        <w:t>\left(</w:t>
      </w:r>
      <w:r>
        <w:br/>
        <w:t>\mathrm{ZFC}</w:t>
      </w:r>
      <w:r>
        <w:br/>
        <w:t>\right).</w:t>
      </w:r>
      <w:r>
        <w:br/>
        <w:t>\tag{3.4494}</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\operatorname{Con}\left(\mathrm{ZFC}\right)\qquad\text{(3.4494)}</w:t>
      </w:r>
    </w:p>
    <w:p w:rsidR="003C5881" w:rsidRDefault="003C5881" w:rsidP="003C5881">
      <w:pPr>
        <w:pStyle w:val="StandardWeb"/>
      </w:pPr>
      <w:r>
        <w:t>Die Konsistenz der zugrunde gelegten Mengenlehre wird nicht bewiesen. Die FRZK-Axiomenmenge wird lediglich innerhalb dieser mathematischen Grundlage modelliert.</w:t>
      </w:r>
    </w:p>
    <w:p w:rsidR="003C5881" w:rsidRDefault="003C5881" w:rsidP="003C5881">
      <w:pPr>
        <w:pStyle w:val="StandardWeb"/>
      </w:pPr>
      <w:r>
        <w:rPr>
          <w:rStyle w:val="Fett"/>
        </w:rPr>
        <w:t>Eigenleistung des FRZK</w:t>
      </w:r>
    </w:p>
    <w:p w:rsidR="003C5881" w:rsidRDefault="003C5881" w:rsidP="003C5881">
      <w:pPr>
        <w:pStyle w:val="StandardWeb"/>
      </w:pPr>
      <w:r>
        <w:t>Ich verwende den Begriff „konsistent“ deshalb nur relativ zur verwendeten mathematischen Basistheorie. Eine absolute Konsistenzbehauptung wäre hier wissenschaftlich nicht gerechtfertigt.</w:t>
      </w:r>
    </w:p>
    <w:p w:rsidR="003C5881" w:rsidRPr="00AF32B2" w:rsidRDefault="003C5881" w:rsidP="00AF32B2">
      <w:pPr>
        <w:pStyle w:val="berschrift4"/>
      </w:pPr>
      <w:r w:rsidRPr="00AF32B2">
        <w:t>3.3.20.20 Unabhängigkeit und Konsistenz gemeinsam</w:t>
      </w:r>
    </w:p>
    <w:p w:rsidR="003C5881" w:rsidRDefault="003C5881" w:rsidP="003C5881">
      <w:pPr>
        <w:pStyle w:val="StandardWeb"/>
      </w:pPr>
      <w:r>
        <w:t>Aus Abschnitt 3.3.19 folgt die paarweise Unabhängigkeit:</w:t>
      </w:r>
    </w:p>
    <w:p w:rsidR="003C5881" w:rsidRDefault="003C5881" w:rsidP="003C5881">
      <w:pPr>
        <w:pStyle w:val="StandardWeb"/>
      </w:pPr>
      <w:r>
        <w:lastRenderedPageBreak/>
        <w:t>[</w:t>
      </w:r>
      <w:r>
        <w:br/>
        <w:t>A_{\mathrm{II}}</w:t>
      </w:r>
      <w:r>
        <w:br/>
        <w:t>\land</w:t>
      </w:r>
      <w:r>
        <w:br/>
        <w:t>A_{\mathrm{III}}</w:t>
      </w:r>
      <w:r>
        <w:br/>
        <w:t>\not\models</w:t>
      </w:r>
      <w:r>
        <w:br/>
        <w:t>A_{\mathrm{I}},</w:t>
      </w:r>
      <w:r>
        <w:br/>
        <w:t>\tag{3.4495}</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A_{\mathrm{II}}\land A_{\mathrm{III}}\not\models A_{\mathrm{I}}\qquad\text{(3.4495)}</w:t>
      </w:r>
    </w:p>
    <w:p w:rsidR="003C5881" w:rsidRDefault="003C5881" w:rsidP="003C5881">
      <w:pPr>
        <w:pStyle w:val="StandardWeb"/>
      </w:pPr>
      <w:r>
        <w:t>[</w:t>
      </w:r>
      <w:r>
        <w:br/>
        <w:t>A_{\mathrm{I}}</w:t>
      </w:r>
      <w:r>
        <w:br/>
        <w:t>\land</w:t>
      </w:r>
      <w:r>
        <w:br/>
        <w:t>A_{\mathrm{III}}</w:t>
      </w:r>
      <w:r>
        <w:br/>
        <w:t>\not\models</w:t>
      </w:r>
      <w:r>
        <w:br/>
        <w:t>A_{\mathrm{II}},</w:t>
      </w:r>
      <w:r>
        <w:br/>
        <w:t>\tag{3.4496}</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A_{\mathrm{I}}\land A_{\mathrm{III}}\not\models A_{\mathrm{II}}\qquad\text{(3.4496)}</w:t>
      </w:r>
    </w:p>
    <w:p w:rsidR="003C5881" w:rsidRDefault="003C5881" w:rsidP="003C5881">
      <w:pPr>
        <w:pStyle w:val="StandardWeb"/>
      </w:pPr>
      <w:r>
        <w:t>[</w:t>
      </w:r>
      <w:r>
        <w:br/>
        <w:t>A_{\mathrm{I}}</w:t>
      </w:r>
      <w:r>
        <w:br/>
        <w:t>\land</w:t>
      </w:r>
      <w:r>
        <w:br/>
        <w:t>A_{\mathrm{II}}</w:t>
      </w:r>
      <w:r>
        <w:br/>
        <w:t>\not\models</w:t>
      </w:r>
      <w:r>
        <w:br/>
        <w:t>A_{\mathrm{III}}.</w:t>
      </w:r>
      <w:r>
        <w:br/>
        <w:t>\tag{3.4497}</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A_{\mathrm{I}}\land A_{\mathrm{II}}\not\models A_{\mathrm{III}}\qquad\text{(3.4497)}</w:t>
      </w:r>
    </w:p>
    <w:p w:rsidR="003C5881" w:rsidRDefault="003C5881" w:rsidP="003C5881">
      <w:pPr>
        <w:pStyle w:val="StandardWeb"/>
      </w:pPr>
      <w:r>
        <w:t>Aus dem vorliegenden Abschnitt folgt die gemeinsame Erfüllbarkeit:</w:t>
      </w:r>
    </w:p>
    <w:p w:rsidR="003C5881" w:rsidRDefault="003C5881" w:rsidP="003C5881">
      <w:pPr>
        <w:pStyle w:val="StandardWeb"/>
      </w:pPr>
      <w:r>
        <w:t>[</w:t>
      </w:r>
      <w:r>
        <w:br/>
        <w:t>A_{\mathrm{I}}</w:t>
      </w:r>
      <w:r>
        <w:br/>
        <w:t>\land</w:t>
      </w:r>
      <w:r>
        <w:br/>
        <w:t>A_{\mathrm{II}}</w:t>
      </w:r>
      <w:r>
        <w:br/>
        <w:t>\land</w:t>
      </w:r>
      <w:r>
        <w:br/>
        <w:t>A_{\mathrm{III}}</w:t>
      </w:r>
      <w:r>
        <w:br/>
        <w:t>\quad</w:t>
      </w:r>
      <w:r>
        <w:br/>
        <w:t>\text{ist erfüllbar}.</w:t>
      </w:r>
      <w:r>
        <w:br/>
      </w:r>
      <w:r>
        <w:lastRenderedPageBreak/>
        <w:t>\tag{3.4498}</w:t>
      </w:r>
      <w:r>
        <w:br/>
        <w:t>]</w:t>
      </w:r>
    </w:p>
    <w:p w:rsidR="003C5881" w:rsidRDefault="003C5881" w:rsidP="003C5881">
      <w:pPr>
        <w:pStyle w:val="StandardWeb"/>
      </w:pPr>
      <w:r>
        <w:rPr>
          <w:rStyle w:val="Fett"/>
        </w:rPr>
        <w:t>Word-LaTeX</w:t>
      </w:r>
    </w:p>
    <w:p w:rsidR="003C5881" w:rsidRDefault="003C5881" w:rsidP="003C5881">
      <w:pPr>
        <w:pStyle w:val="HTMLVorformatiert"/>
        <w:rPr>
          <w:rStyle w:val="HTMLCode"/>
        </w:rPr>
      </w:pPr>
      <w:r>
        <w:rPr>
          <w:rStyle w:val="HTMLCode"/>
        </w:rPr>
        <w:t>A_{\mathrm{I}}\land A_{\mathrm{II}}\land A_{\mathrm{III}}\quad\text{ist erfüllbar}\qquad\text{(3.4498)}</w:t>
      </w:r>
    </w:p>
    <w:p w:rsidR="003C5881" w:rsidRDefault="003C5881" w:rsidP="003C5881">
      <w:pPr>
        <w:pStyle w:val="StandardWeb"/>
      </w:pPr>
      <w:r>
        <w:t>Damit ist die Axiomenbasis zugleich nichtredundant und gemeinsam modellierbar.</w:t>
      </w:r>
    </w:p>
    <w:p w:rsidR="003C5881" w:rsidRPr="00AF32B2" w:rsidRDefault="003C5881" w:rsidP="00AF32B2">
      <w:pPr>
        <w:pStyle w:val="berschrift4"/>
      </w:pPr>
      <w:r w:rsidRPr="00AF32B2">
        <w:t>3.3.20.21 Ergebnis der Konsistenzprüfung</w:t>
      </w:r>
    </w:p>
    <w:p w:rsidR="003C5881" w:rsidRDefault="003C5881" w:rsidP="003C5881">
      <w:pPr>
        <w:pStyle w:val="StandardWeb"/>
      </w:pPr>
      <w:r>
        <w:t>Mit (\mathcal{M}_{\mathrm{ges}}^{\min}) wurde ein vollständig typisiertes Modell konstruiert, das alle drei Primäraxiome erfüllt. Das Modell kann bis zu einer minimalen Ordnungs-, Raum-, Zeit-, Kohärenz- und Kopplungsstruktur erweitert werden, ohne dass ein formaler Widerspruch entsteht.</w:t>
      </w:r>
    </w:p>
    <w:p w:rsidR="003C5881" w:rsidRDefault="003C5881" w:rsidP="003C5881">
      <w:pPr>
        <w:pStyle w:val="StandardWeb"/>
      </w:pPr>
      <w:r>
        <w:t>Zusätzlich zeigt das Zwei-Zustands-Modell (\mathcal{M}_{\mathrm{ges}}^{(2)}), dass die gemeinsame Erfüllbarkeit nicht auf eine rein statische Ein-Zustands-Struktur beschränkt ist. Die Primäraxiome sind auch mit einer nichttrivialen funktionalen Zustandsänderung vereinbar.</w:t>
      </w:r>
    </w:p>
    <w:p w:rsidR="003C5881" w:rsidRDefault="003C5881" w:rsidP="003C5881">
      <w:pPr>
        <w:pStyle w:val="StandardWeb"/>
      </w:pPr>
      <w:r>
        <w:rPr>
          <w:rStyle w:val="Fett"/>
        </w:rPr>
        <w:t>Eigenleistung des FRZK</w:t>
      </w:r>
    </w:p>
    <w:p w:rsidR="003C5881" w:rsidRDefault="003C5881" w:rsidP="003C5881">
      <w:pPr>
        <w:pStyle w:val="StandardWeb"/>
      </w:pPr>
      <w:r>
        <w:t>Ich bestätige damit die relative Konsistenz der minimalen FRZK-Axiomenbasis. Die drei Primäraxiome eröffnen gemeinsam eine nichtleere Modellklasse. Sie erzwingen jedoch weder eine bestimmte Dynamik noch eine bestimmte Raum-, Zeit- oder Kohärenzstruktur.</w:t>
      </w:r>
    </w:p>
    <w:p w:rsidR="003C5881" w:rsidRPr="00AF32B2" w:rsidRDefault="003C5881" w:rsidP="00AF32B2">
      <w:pPr>
        <w:pStyle w:val="berschrift4"/>
      </w:pPr>
      <w:r w:rsidRPr="00AF32B2">
        <w:t>3.3.20.22 Übergang zur Prüfung der begrifflichen Minimalität</w:t>
      </w:r>
    </w:p>
    <w:p w:rsidR="003C5881" w:rsidRDefault="003C5881" w:rsidP="003C5881">
      <w:pPr>
        <w:pStyle w:val="StandardWeb"/>
      </w:pPr>
      <w:r>
        <w:t>Unabhängigkeit und gemeinsame Erfüllbarkeit sind nun gezeigt. Damit bleibt zu prüfen, ob die drei Primäraxiome auch inhaltlich minimal formuliert sind. Eine Axiomenmenge kann logisch unabhängig sein und dennoch unnötige Zusatzbedingungen enthalten.</w:t>
      </w:r>
    </w:p>
    <w:p w:rsidR="003C5881" w:rsidRDefault="003C5881" w:rsidP="003C5881">
      <w:pPr>
        <w:pStyle w:val="StandardWeb"/>
      </w:pPr>
      <w:r>
        <w:t>Die folgende Prüfung muss deshalb untersuchen, ob einzelne Bestandteile der Axiomformulierungen entfernt werden können, ohne die beabsichtigte Grundstruktur des FRZK zu verlieren. Dabei sind insbesondere folgende Fragen zu klären:</w:t>
      </w:r>
    </w:p>
    <w:p w:rsidR="003C5881" w:rsidRDefault="003C5881" w:rsidP="00632D23">
      <w:pPr>
        <w:pStyle w:val="StandardWeb"/>
        <w:numPr>
          <w:ilvl w:val="0"/>
          <w:numId w:val="97"/>
        </w:numPr>
      </w:pPr>
      <w:r>
        <w:t>Muss funktionale Bestimmbarkeit bereits Eindeutigkeit enthalten?</w:t>
      </w:r>
    </w:p>
    <w:p w:rsidR="003C5881" w:rsidRDefault="003C5881" w:rsidP="00632D23">
      <w:pPr>
        <w:pStyle w:val="StandardWeb"/>
        <w:numPr>
          <w:ilvl w:val="0"/>
          <w:numId w:val="97"/>
        </w:numPr>
      </w:pPr>
      <w:r>
        <w:t>Muss Relationierbarkeit binär formuliert sein?</w:t>
      </w:r>
    </w:p>
    <w:p w:rsidR="003C5881" w:rsidRDefault="003C5881" w:rsidP="00632D23">
      <w:pPr>
        <w:pStyle w:val="StandardWeb"/>
        <w:numPr>
          <w:ilvl w:val="0"/>
          <w:numId w:val="97"/>
        </w:numPr>
      </w:pPr>
      <w:r>
        <w:t>Muss Transformierbarkeit eine Zustandsänderung erzwingen?</w:t>
      </w:r>
    </w:p>
    <w:p w:rsidR="003C5881" w:rsidRDefault="003C5881" w:rsidP="00632D23">
      <w:pPr>
        <w:pStyle w:val="StandardWeb"/>
        <w:numPr>
          <w:ilvl w:val="0"/>
          <w:numId w:val="97"/>
        </w:numPr>
      </w:pPr>
      <w:r>
        <w:t>Muss eine Identitätsabbildung als Transformation zugelassen werden?</w:t>
      </w:r>
    </w:p>
    <w:p w:rsidR="003C5881" w:rsidRDefault="003C5881" w:rsidP="00632D23">
      <w:pPr>
        <w:pStyle w:val="StandardWeb"/>
        <w:numPr>
          <w:ilvl w:val="0"/>
          <w:numId w:val="97"/>
        </w:numPr>
      </w:pPr>
      <w:r>
        <w:t>Gehören Abgeschlossenheit, Komposition oder Invertierbarkeit in die Primäraxiome?</w:t>
      </w:r>
    </w:p>
    <w:p w:rsidR="003C5881" w:rsidRDefault="003C5881" w:rsidP="00632D23">
      <w:pPr>
        <w:pStyle w:val="StandardWeb"/>
        <w:numPr>
          <w:ilvl w:val="0"/>
          <w:numId w:val="97"/>
        </w:numPr>
      </w:pPr>
      <w:r>
        <w:t>Gehört Kohärenz bereits zur elementaren Axiomatik oder erst zur späteren Definition?</w:t>
      </w:r>
    </w:p>
    <w:p w:rsidR="003C5881" w:rsidRDefault="003C5881" w:rsidP="003C5881">
      <w:pPr>
        <w:pStyle w:val="StandardWeb"/>
      </w:pPr>
      <w:r>
        <w:rPr>
          <w:rStyle w:val="Fett"/>
        </w:rPr>
        <w:t>Eigenleistung des FRZK</w:t>
      </w:r>
    </w:p>
    <w:p w:rsidR="003C5881" w:rsidRDefault="003C5881" w:rsidP="003C5881">
      <w:pPr>
        <w:pStyle w:val="StandardWeb"/>
      </w:pPr>
      <w:r>
        <w:t>Der folgende Abschnitt prüft deshalb nicht erneut die logische Unabhängigkeit, sondern die begriffliche Minimalität jeder einzelnen Axiomformulierung. Ziel ist eine Axiomenbasis, die weder zu schwach für den Aufbau des FRZK noch unnötig stark für seine Modellklasse ist.</w:t>
      </w:r>
    </w:p>
    <w:p w:rsidR="00D000D1" w:rsidRDefault="00D000D1" w:rsidP="00D000D1">
      <w:pPr>
        <w:pStyle w:val="berschrift2"/>
      </w:pPr>
      <w:r>
        <w:lastRenderedPageBreak/>
        <w:t>Ergänzung zu 3.3.20 – Prüfung der gemeinsamen Konsistenz der drei Primäraxiome</w:t>
      </w:r>
    </w:p>
    <w:p w:rsidR="00D000D1" w:rsidRDefault="00D000D1" w:rsidP="00D000D1">
      <w:pPr>
        <w:pStyle w:val="berschrift3"/>
      </w:pPr>
      <w:r>
        <w:t>Methodologische Betrachtungen</w:t>
      </w:r>
    </w:p>
    <w:p w:rsidR="00D000D1" w:rsidRDefault="00D000D1" w:rsidP="00D000D1">
      <w:pPr>
        <w:pStyle w:val="StandardWeb"/>
      </w:pPr>
      <w:r>
        <w:t xml:space="preserve">Unabhängigkeit allein genügt nicht. Drei Aussagen können voneinander unabhängig sein und sich trotzdem gegenseitig widersprechen. Deshalb prüfe ich nach der Unabhängigkeit, ob die drei Primäraxiome </w:t>
      </w:r>
      <w:r>
        <w:rPr>
          <w:rStyle w:val="Fett"/>
        </w:rPr>
        <w:t>gleichzeitig erfüllbar</w:t>
      </w:r>
      <w:r>
        <w:t xml:space="preserve"> sind. Abschnitt 3.3.20 führt hierfür ein gemeinsames minimales Primäraxiomenmodell ein und ergänzt dieses durch ein nichttriviales Zwei-Zustands-Modell. Der Repository-Stand enthält Definition 3.3.13, Satz 3.3.2 und die Gleichungen (3.4427) bis (3.4498).</w:t>
      </w:r>
    </w:p>
    <w:p w:rsidR="00D000D1" w:rsidRDefault="00D000D1" w:rsidP="00D000D1">
      <w:pPr>
        <w:pStyle w:val="StandardWeb"/>
      </w:pPr>
      <w:r>
        <w:t>Erneut betrachte ich die Axiomenmenge</w:t>
      </w:r>
    </w:p>
    <w:p w:rsidR="00D000D1" w:rsidRDefault="00D000D1" w:rsidP="00D000D1">
      <w:pPr>
        <w:pStyle w:val="berschrift1"/>
      </w:pPr>
      <w:r>
        <w:t>[</w:t>
      </w:r>
      <w:r>
        <w:br/>
        <w:t>\mathcal{A}_{\mathrm{prim}}</w:t>
      </w:r>
    </w:p>
    <w:p w:rsidR="00D000D1" w:rsidRDefault="00D000D1" w:rsidP="00D000D1">
      <w:pPr>
        <w:pStyle w:val="StandardWeb"/>
      </w:pPr>
      <w:r>
        <w:t>\left{</w:t>
      </w:r>
      <w:r>
        <w:br/>
        <w:t>A_{\mathrm{I}},</w:t>
      </w:r>
      <w:r>
        <w:br/>
        <w:t>A_{\mathrm{II}},</w:t>
      </w:r>
      <w:r>
        <w:br/>
        <w:t>A_{\mathrm{III}}</w:t>
      </w:r>
      <w:r>
        <w:br/>
        <w:t>\right}.</w:t>
      </w:r>
      <w:r>
        <w:br/>
        <w:t>\tag{3.4427}</w:t>
      </w:r>
      <w:r>
        <w:br/>
        <w:t>]</w:t>
      </w:r>
    </w:p>
    <w:p w:rsidR="00D000D1" w:rsidRDefault="00D000D1" w:rsidP="00D000D1">
      <w:pPr>
        <w:pStyle w:val="StandardWeb"/>
      </w:pPr>
      <w:r>
        <w:rPr>
          <w:rStyle w:val="Fett"/>
        </w:rPr>
        <w:t>Word-LaTeX</w:t>
      </w:r>
    </w:p>
    <w:p w:rsidR="00D000D1" w:rsidRDefault="00D000D1" w:rsidP="00D000D1">
      <w:pPr>
        <w:pStyle w:val="HTMLVorformatiert"/>
        <w:rPr>
          <w:rStyle w:val="HTMLCode"/>
        </w:rPr>
      </w:pPr>
      <w:r>
        <w:rPr>
          <w:rStyle w:val="HTMLCode"/>
        </w:rPr>
        <w:t>\mathcal{A}_{\mathrm{prim}}=\left\{A_{\mathrm{I}},A_{\mathrm{II}},A_{\mathrm{III}}\right\}\qquad\text{(3.4427)}</w:t>
      </w:r>
    </w:p>
    <w:p w:rsidR="00D000D1" w:rsidRDefault="00D000D1" w:rsidP="00D000D1">
      <w:pPr>
        <w:pStyle w:val="StandardWeb"/>
      </w:pPr>
      <w:r>
        <w:t>Für die relative semantische Konsistenz genügt zunächst der Nachweis, dass mindestens ein Modell existiert, welches alle drei Axiome gleichzeitig erfüllt:</w:t>
      </w:r>
    </w:p>
    <w:p w:rsidR="00D000D1" w:rsidRDefault="00D000D1" w:rsidP="00D000D1">
      <w:pPr>
        <w:pStyle w:val="StandardWeb"/>
      </w:pPr>
      <w:r>
        <w:t>[</w:t>
      </w:r>
      <w:r>
        <w:br/>
        <w:t>\exists</w:t>
      </w:r>
      <w:r>
        <w:br/>
        <w:t>\mathcal{M}</w:t>
      </w:r>
      <w:r>
        <w:rPr>
          <w:rStyle w:val="Hervorhebung"/>
        </w:rPr>
        <w:t>{\mathrm{ges}}:</w:t>
      </w:r>
      <w:r>
        <w:rPr>
          <w:i/>
          <w:iCs/>
        </w:rPr>
        <w:br/>
      </w:r>
      <w:r>
        <w:rPr>
          <w:rStyle w:val="Hervorhebung"/>
        </w:rPr>
        <w:t>\mathcal{M}</w:t>
      </w:r>
      <w:r>
        <w:t>{\mathrm{ges}}</w:t>
      </w:r>
      <w:r>
        <w:br/>
        <w:t>\models</w:t>
      </w:r>
      <w:r>
        <w:br/>
        <w:t>A_{\mathrm{I}}</w:t>
      </w:r>
      <w:r>
        <w:br/>
        <w:t>\land</w:t>
      </w:r>
      <w:r>
        <w:br/>
        <w:t>A_{\mathrm{II}}</w:t>
      </w:r>
      <w:r>
        <w:br/>
        <w:t>\land</w:t>
      </w:r>
      <w:r>
        <w:br/>
        <w:t>A_{\mathrm{III}}.</w:t>
      </w:r>
      <w:r>
        <w:br/>
        <w:t>\tag{3.4428}</w:t>
      </w:r>
      <w:r>
        <w:br/>
        <w:t>]</w:t>
      </w:r>
    </w:p>
    <w:p w:rsidR="00D000D1" w:rsidRDefault="00D000D1" w:rsidP="00D000D1">
      <w:pPr>
        <w:pStyle w:val="StandardWeb"/>
      </w:pPr>
      <w:r>
        <w:rPr>
          <w:rStyle w:val="Fett"/>
        </w:rPr>
        <w:t>Word-LaTeX</w:t>
      </w:r>
    </w:p>
    <w:p w:rsidR="00D000D1" w:rsidRDefault="00D000D1" w:rsidP="00D000D1">
      <w:pPr>
        <w:pStyle w:val="HTMLVorformatiert"/>
        <w:rPr>
          <w:rStyle w:val="HTMLCode"/>
        </w:rPr>
      </w:pPr>
      <w:r>
        <w:rPr>
          <w:rStyle w:val="HTMLCode"/>
        </w:rPr>
        <w:lastRenderedPageBreak/>
        <w:t>\exists\mathcal{M}_{\mathrm{ges}}:\mathcal{M}_{\mathrm{ges}}\models A_{\mathrm{I}}\land A_{\mathrm{II}}\land A_{\mathrm{III}}\qquad\text{(3.4428)}</w:t>
      </w:r>
    </w:p>
    <w:p w:rsidR="00D000D1" w:rsidRDefault="00D000D1" w:rsidP="00D000D1">
      <w:pPr>
        <w:pStyle w:val="StandardWeb"/>
      </w:pPr>
      <w:r>
        <w:t>Das gemeinsame Minimalmodell beginnt mit einem einelementigen Zustandsbereich:</w:t>
      </w:r>
    </w:p>
    <w:p w:rsidR="00D000D1" w:rsidRDefault="00D000D1" w:rsidP="00D000D1">
      <w:pPr>
        <w:pStyle w:val="berschrift1"/>
      </w:pPr>
      <w:r>
        <w:t>[</w:t>
      </w:r>
      <w:r>
        <w:br/>
        <w:t>\mathcal{S}_{\mathrm{el}}^{\min}</w:t>
      </w:r>
    </w:p>
    <w:p w:rsidR="00D000D1" w:rsidRDefault="00D000D1" w:rsidP="00D000D1">
      <w:pPr>
        <w:pStyle w:val="StandardWeb"/>
      </w:pPr>
      <w:r>
        <w:t>\left{</w:t>
      </w:r>
      <w:r>
        <w:br/>
        <w:t>\delta_0</w:t>
      </w:r>
      <w:r>
        <w:br/>
        <w:t>\right}.</w:t>
      </w:r>
      <w:r>
        <w:br/>
        <w:t>\tag{3.4429}</w:t>
      </w:r>
      <w:r>
        <w:br/>
        <w:t>]</w:t>
      </w:r>
    </w:p>
    <w:p w:rsidR="00D000D1" w:rsidRDefault="00D000D1" w:rsidP="00D000D1">
      <w:pPr>
        <w:pStyle w:val="StandardWeb"/>
      </w:pPr>
      <w:r>
        <w:rPr>
          <w:rStyle w:val="Fett"/>
        </w:rPr>
        <w:t>Word-LaTeX</w:t>
      </w:r>
    </w:p>
    <w:p w:rsidR="00D000D1" w:rsidRDefault="00D000D1" w:rsidP="00D000D1">
      <w:pPr>
        <w:pStyle w:val="HTMLVorformatiert"/>
        <w:rPr>
          <w:rStyle w:val="HTMLCode"/>
        </w:rPr>
      </w:pPr>
      <w:r>
        <w:rPr>
          <w:rStyle w:val="HTMLCode"/>
        </w:rPr>
        <w:t>\mathcal{S}_{\mathrm{el}}^{\min}=\left\{\delta_0\right\}\qquad\text{(3.4429)}</w:t>
      </w:r>
    </w:p>
    <w:p w:rsidR="00D000D1" w:rsidRDefault="00D000D1" w:rsidP="00D000D1">
      <w:pPr>
        <w:pStyle w:val="StandardWeb"/>
      </w:pPr>
      <w:r>
        <w:t>Damit gilt insbesondere</w:t>
      </w:r>
    </w:p>
    <w:p w:rsidR="00D000D1" w:rsidRDefault="00D000D1" w:rsidP="00D000D1">
      <w:pPr>
        <w:pStyle w:val="StandardWeb"/>
      </w:pPr>
      <w:r>
        <w:t>[</w:t>
      </w:r>
      <w:r>
        <w:br/>
        <w:t>\mathcal{S}_{\mathrm{el}}^{\min}</w:t>
      </w:r>
      <w:r>
        <w:br/>
        <w:t>\neq</w:t>
      </w:r>
      <w:r>
        <w:br/>
        <w:t>\emptyset.</w:t>
      </w:r>
      <w:r>
        <w:br/>
        <w:t>\tag{3.4430}</w:t>
      </w:r>
      <w:r>
        <w:br/>
        <w:t>]</w:t>
      </w:r>
    </w:p>
    <w:p w:rsidR="00D000D1" w:rsidRDefault="00D000D1" w:rsidP="00D000D1">
      <w:pPr>
        <w:pStyle w:val="StandardWeb"/>
      </w:pPr>
      <w:r>
        <w:rPr>
          <w:rStyle w:val="Fett"/>
        </w:rPr>
        <w:t>Word-LaTeX</w:t>
      </w:r>
    </w:p>
    <w:p w:rsidR="00D000D1" w:rsidRDefault="00D000D1" w:rsidP="00D000D1">
      <w:pPr>
        <w:pStyle w:val="HTMLVorformatiert"/>
        <w:rPr>
          <w:rStyle w:val="HTMLCode"/>
        </w:rPr>
      </w:pPr>
      <w:r>
        <w:rPr>
          <w:rStyle w:val="HTMLCode"/>
        </w:rPr>
        <w:t>\mathcal{S}_{\mathrm{el}}^{\min}\neq\emptyset\qquad\text{(3.4430)}</w:t>
      </w:r>
    </w:p>
    <w:p w:rsidR="00D000D1" w:rsidRDefault="00D000D1" w:rsidP="00D000D1">
      <w:pPr>
        <w:pStyle w:val="StandardWeb"/>
      </w:pPr>
      <w:r>
        <w:t>Das vollständige Minimalmodell wird als Tripel formuliert:</w:t>
      </w:r>
    </w:p>
    <w:p w:rsidR="00D000D1" w:rsidRDefault="00D000D1" w:rsidP="00D000D1">
      <w:pPr>
        <w:pStyle w:val="berschrift1"/>
      </w:pPr>
      <w:r>
        <w:t>[</w:t>
      </w:r>
      <w:r>
        <w:br/>
        <w:t>\mathcal{M}_{\mathrm{ges}}^{\min}</w:t>
      </w:r>
    </w:p>
    <w:p w:rsidR="00D000D1" w:rsidRDefault="00D000D1" w:rsidP="00D000D1">
      <w:pPr>
        <w:pStyle w:val="StandardWeb"/>
      </w:pPr>
      <w:r>
        <w:t>\left(</w:t>
      </w:r>
      <w:r>
        <w:br/>
        <w:t>\mathcal{S}</w:t>
      </w:r>
      <w:r>
        <w:rPr>
          <w:rStyle w:val="Hervorhebung"/>
        </w:rPr>
        <w:t>{\mathrm{el}}^{\min},</w:t>
      </w:r>
      <w:r>
        <w:rPr>
          <w:i/>
          <w:iCs/>
        </w:rPr>
        <w:br/>
      </w:r>
      <w:r>
        <w:rPr>
          <w:rStyle w:val="Hervorhebung"/>
        </w:rPr>
        <w:t>\mathfrak{R}</w:t>
      </w:r>
      <w:r>
        <w:t>{\mathrm f}^{\min},</w:t>
      </w:r>
      <w:r>
        <w:br/>
        <w:t>\mathfrak{T}_{\mathrm f}^{\min}</w:t>
      </w:r>
      <w:r>
        <w:br/>
        <w:t>\right).</w:t>
      </w:r>
      <w:r>
        <w:br/>
        <w:t>]</w:t>
      </w:r>
    </w:p>
    <w:p w:rsidR="00D000D1" w:rsidRDefault="00D000D1" w:rsidP="00D000D1">
      <w:pPr>
        <w:pStyle w:val="StandardWeb"/>
      </w:pPr>
      <w:r>
        <w:rPr>
          <w:rStyle w:val="Fett"/>
        </w:rPr>
        <w:t>Word-LaTeX</w:t>
      </w:r>
    </w:p>
    <w:p w:rsidR="00D000D1" w:rsidRDefault="00D000D1" w:rsidP="00D000D1">
      <w:pPr>
        <w:pStyle w:val="HTMLVorformatiert"/>
        <w:rPr>
          <w:rStyle w:val="HTMLCode"/>
        </w:rPr>
      </w:pPr>
      <w:r>
        <w:rPr>
          <w:rStyle w:val="HTMLCode"/>
        </w:rPr>
        <w:t>\mathcal{M}_{\mathrm{ges}}^{\min}=\left(\mathcal{S}_{\mathrm{el}}^{\min},\mathfrak{R}_{\mathrm f}^{\min},\mathfrak{T}_{\mathrm f}^{\min}\right)</w:t>
      </w:r>
    </w:p>
    <w:p w:rsidR="00D000D1" w:rsidRDefault="00D000D1" w:rsidP="00D000D1">
      <w:pPr>
        <w:pStyle w:val="StandardWeb"/>
      </w:pPr>
      <w:r>
        <w:lastRenderedPageBreak/>
        <w:t>Der methodologische Vorteil des einelementigen Modells besteht gerade in seiner Einfachheit. Wenn bereits eine extrem kleine Struktur alle drei Primäraxiome gleichzeitig erfüllen kann, liegt zwischen ihnen zumindest kein unmittelbarer semantischer Widerspruch vor.</w:t>
      </w:r>
    </w:p>
    <w:p w:rsidR="00D000D1" w:rsidRDefault="00D000D1" w:rsidP="00D000D1">
      <w:pPr>
        <w:pStyle w:val="StandardWeb"/>
      </w:pPr>
      <w:r>
        <w:t xml:space="preserve">Dabei muss ich die Reichweite des Ergebnisses genau begrenzen. Ein Modellnachweis zeigt eine </w:t>
      </w:r>
      <w:r>
        <w:rPr>
          <w:rStyle w:val="Fett"/>
        </w:rPr>
        <w:t>relative Konsistenz im verwendeten mathematischen Rahmen</w:t>
      </w:r>
      <w:r>
        <w:t>. Er ist kein absoluter metamathematischer Konsistenzbeweis der zugrunde liegenden Mathematik. Ebenso wenig beweist ein erfüllbares Modell die empirische Wahrheit der Axiome.</w:t>
      </w:r>
    </w:p>
    <w:p w:rsidR="00D000D1" w:rsidRDefault="00D000D1" w:rsidP="00D000D1">
      <w:pPr>
        <w:pStyle w:val="StandardWeb"/>
      </w:pPr>
      <w:r>
        <w:t>Das ergänzende Zwei-Zustands-Modell ist deshalb methodisch sinnvoll. Ein einelementiges Minimalmodell könnte den Einwand provozieren, die gemeinsame Erfüllbarkeit beruhe nur auf einer degenerierten Struktur, in der Selbstrelationen und Identitätstransformationen genügen. Das Zwei-Zustands-Modell zeigt zusätzlich, dass die Axiome auch in einer nichttrivialeren Struktur miteinander vereinbar sind.</w:t>
      </w:r>
    </w:p>
    <w:p w:rsidR="00D000D1" w:rsidRDefault="00D000D1" w:rsidP="00D000D1">
      <w:pPr>
        <w:pStyle w:val="StandardWeb"/>
      </w:pPr>
      <w:r>
        <w:t>Besonders wichtig ist hier die Zulassung der Identitätsabbildung. Wenn Transformierbarkeit minimal lediglich die Existenz einer funktionalen Transformation fordert, darf nicht stillschweigend zusätzlich verlangt werden, dass jede Transformation einen Zustand ändern muss. Eine solche Zusatzforderung würde die Axiomenbasis verstärken und gehört deshalb nicht in die Konsistenzprüfung der Minimalform.</w:t>
      </w:r>
    </w:p>
    <w:p w:rsidR="00D000D1" w:rsidRDefault="00D000D1" w:rsidP="00D000D1">
      <w:pPr>
        <w:pStyle w:val="StandardWeb"/>
      </w:pPr>
      <w:r>
        <w:t>Methodologisch liefert Abschnitt 3.3.20 somit den zweiten Teil einer sauberen Axiomenprüfung:</w:t>
      </w:r>
    </w:p>
    <w:p w:rsidR="00D000D1" w:rsidRDefault="00D000D1" w:rsidP="00D000D1">
      <w:pPr>
        <w:pStyle w:val="StandardWeb"/>
      </w:pPr>
      <w:r>
        <w:rPr>
          <w:rStyle w:val="Fett"/>
        </w:rPr>
        <w:t>Abschnitt 3.3.19:</w:t>
      </w:r>
      <w:r>
        <w:t xml:space="preserve"> Keines der Axiome folgt aus den anderen.</w:t>
      </w:r>
    </w:p>
    <w:p w:rsidR="00D000D1" w:rsidRDefault="00D000D1" w:rsidP="00D000D1">
      <w:pPr>
        <w:pStyle w:val="StandardWeb"/>
      </w:pPr>
      <w:r>
        <w:rPr>
          <w:rStyle w:val="Fett"/>
        </w:rPr>
        <w:t>Abschnitt 3.3.20:</w:t>
      </w:r>
      <w:r>
        <w:t xml:space="preserve"> Alle drei können gleichzeitig gelten.</w:t>
      </w:r>
    </w:p>
    <w:p w:rsidR="00D000D1" w:rsidRDefault="00D000D1" w:rsidP="00D000D1">
      <w:pPr>
        <w:pStyle w:val="StandardWeb"/>
      </w:pPr>
      <w:r>
        <w:t>Erst beide Ergebnisse zusammen erlauben eine belastbarere Aussage über die logische Brauchbarkeit der Primäraxiomenbasis.</w:t>
      </w:r>
    </w:p>
    <w:p w:rsidR="00D000D1" w:rsidRDefault="00D000D1" w:rsidP="00D000D1">
      <w:pPr>
        <w:pStyle w:val="berschrift3"/>
      </w:pPr>
      <w:r>
        <w:t>Didaktische Betrachtungen</w:t>
      </w:r>
    </w:p>
    <w:p w:rsidR="00D000D1" w:rsidRDefault="00D000D1" w:rsidP="00D000D1">
      <w:pPr>
        <w:pStyle w:val="StandardWeb"/>
      </w:pPr>
      <w:r>
        <w:t>Konsistenz kann man sich wie die Regeln eines Spiels vorstellen.</w:t>
      </w:r>
    </w:p>
    <w:p w:rsidR="00D000D1" w:rsidRDefault="00D000D1" w:rsidP="00D000D1">
      <w:pPr>
        <w:pStyle w:val="StandardWeb"/>
      </w:pPr>
      <w:r>
        <w:t>Angenommen, ich formuliere drei Regeln. Jede Regel kann einzeln sinnvoll sein. Trotzdem könnten zwei Regeln gemeinsam etwas verlangen, das die dritte verbietet.</w:t>
      </w:r>
    </w:p>
    <w:p w:rsidR="00D000D1" w:rsidRDefault="00D000D1" w:rsidP="00D000D1">
      <w:pPr>
        <w:pStyle w:val="StandardWeb"/>
      </w:pPr>
      <w:r>
        <w:t>Dann hätte ich ein Regelwerk, das niemand erfüllen kann.</w:t>
      </w:r>
    </w:p>
    <w:p w:rsidR="00D000D1" w:rsidRDefault="00D000D1" w:rsidP="00D000D1">
      <w:pPr>
        <w:pStyle w:val="StandardWeb"/>
      </w:pPr>
      <w:r>
        <w:t>Die einfachste Prüfung lautet deshalb:</w:t>
      </w:r>
    </w:p>
    <w:p w:rsidR="00D000D1" w:rsidRDefault="00D000D1" w:rsidP="00D000D1">
      <w:pPr>
        <w:pStyle w:val="StandardWeb"/>
      </w:pPr>
      <w:r>
        <w:rPr>
          <w:rStyle w:val="Fett"/>
        </w:rPr>
        <w:t>Kann ich wenigstens ein Beispiel bauen, das alle Regeln gleichzeitig erfüllt?</w:t>
      </w:r>
    </w:p>
    <w:p w:rsidR="00D000D1" w:rsidRDefault="00D000D1" w:rsidP="00D000D1">
      <w:pPr>
        <w:pStyle w:val="StandardWeb"/>
      </w:pPr>
      <w:r>
        <w:t>Genau diese Funktion besitzt das Minimalmodell.</w:t>
      </w:r>
    </w:p>
    <w:p w:rsidR="00D000D1" w:rsidRDefault="00D000D1" w:rsidP="00D000D1">
      <w:pPr>
        <w:pStyle w:val="StandardWeb"/>
      </w:pPr>
      <w:r>
        <w:t>Der eine Zustand</w:t>
      </w:r>
    </w:p>
    <w:p w:rsidR="00D000D1" w:rsidRDefault="00D000D1" w:rsidP="00D000D1">
      <w:pPr>
        <w:pStyle w:val="StandardWeb"/>
      </w:pPr>
      <w:r>
        <w:lastRenderedPageBreak/>
        <w:t>[</w:t>
      </w:r>
      <w:r>
        <w:br/>
        <w:t>\delta_0</w:t>
      </w:r>
      <w:r>
        <w:br/>
        <w:t>]</w:t>
      </w:r>
    </w:p>
    <w:p w:rsidR="00D000D1" w:rsidRDefault="00D000D1" w:rsidP="00D000D1">
      <w:pPr>
        <w:pStyle w:val="StandardWeb"/>
      </w:pPr>
      <w:r>
        <w:t>ist didaktisch bewusst langweilig. Das ist kein Nachteil, sondern der Sinn des Beispiels. Ich möchte nicht möglichst viel Struktur erzeugen, sondern gerade die kleinste Struktur finden, in der die drei Grundbedingungen zusammen bestehen können.</w:t>
      </w:r>
    </w:p>
    <w:p w:rsidR="00D000D1" w:rsidRDefault="00D000D1" w:rsidP="00D000D1">
      <w:pPr>
        <w:pStyle w:val="StandardWeb"/>
      </w:pPr>
      <w:r>
        <w:t>Man kann es mit einem Minimalprototypen vergleichen. Bevor ein komplexes Fahrzeug entwickelt wird, wird zunächst geprüft, ob Motor, Kraftübertragung und Räder überhaupt gemeinsam funktionieren können.</w:t>
      </w:r>
    </w:p>
    <w:p w:rsidR="00D000D1" w:rsidRDefault="00D000D1" w:rsidP="00D000D1">
      <w:pPr>
        <w:pStyle w:val="StandardWeb"/>
      </w:pPr>
      <w:r>
        <w:t>Das Zwei-Zustands-Modell ist dann der nächste Prüfstand. Es zeigt, dass die Verträglichkeit nicht nur in einem extrem vereinfachten Sonderfall besteht.</w:t>
      </w:r>
    </w:p>
    <w:p w:rsidR="00D000D1" w:rsidRDefault="00D000D1" w:rsidP="00D000D1">
      <w:pPr>
        <w:pStyle w:val="StandardWeb"/>
      </w:pPr>
      <w:r>
        <w:t>Sehr wichtig ist auch die Bedeutung des Wortes „konsistent“. Es bedeutet hier nicht:</w:t>
      </w:r>
    </w:p>
    <w:p w:rsidR="00D000D1" w:rsidRDefault="00D000D1" w:rsidP="00D000D1">
      <w:pPr>
        <w:pStyle w:val="StandardWeb"/>
      </w:pPr>
      <w:r>
        <w:rPr>
          <w:rStyle w:val="Fett"/>
        </w:rPr>
        <w:t>„Das FRZK ist richtig.“</w:t>
      </w:r>
    </w:p>
    <w:p w:rsidR="00D000D1" w:rsidRDefault="00D000D1" w:rsidP="00D000D1">
      <w:pPr>
        <w:pStyle w:val="StandardWeb"/>
      </w:pPr>
      <w:r>
        <w:t>Es bedeutet:</w:t>
      </w:r>
    </w:p>
    <w:p w:rsidR="00D000D1" w:rsidRDefault="00D000D1" w:rsidP="00D000D1">
      <w:pPr>
        <w:pStyle w:val="StandardWeb"/>
      </w:pPr>
      <w:r>
        <w:rPr>
          <w:rStyle w:val="Fett"/>
        </w:rPr>
        <w:t>„Die untersuchten Grundannahmen können innerhalb des verwendeten formalen Rahmens gemeinsam erfüllt werden.“</w:t>
      </w:r>
    </w:p>
    <w:p w:rsidR="00D000D1" w:rsidRDefault="00D000D1" w:rsidP="00D000D1">
      <w:pPr>
        <w:pStyle w:val="StandardWeb"/>
      </w:pPr>
      <w:r>
        <w:t>Ein widerspruchsfreier Bauplan ist noch kein Nachweis dafür, dass das gebaute Gerät eine reale Aufgabe erfolgreich erfüllt.</w:t>
      </w:r>
    </w:p>
    <w:p w:rsidR="00D000D1" w:rsidRDefault="00E50336" w:rsidP="00D000D1">
      <w:r>
        <w:pict>
          <v:rect id="_x0000_i1045" style="width:0;height:1.5pt" o:hralign="center" o:hrstd="t" o:hr="t" fillcolor="#a0a0a0" stroked="f"/>
        </w:pict>
      </w:r>
    </w:p>
    <w:p w:rsidR="00D000D1" w:rsidRDefault="00D000D1" w:rsidP="00D000D1">
      <w:pPr>
        <w:pStyle w:val="berschrift2"/>
      </w:pPr>
      <w:r>
        <w:t>Ergänzung zu 3.3.21 – Prüfung der begrifflichen Minimalität der drei Primäraxiome</w:t>
      </w:r>
    </w:p>
    <w:p w:rsidR="00D000D1" w:rsidRDefault="00D000D1" w:rsidP="00D000D1">
      <w:pPr>
        <w:pStyle w:val="berschrift3"/>
      </w:pPr>
      <w:r>
        <w:t>Methodologische Betrachtungen</w:t>
      </w:r>
    </w:p>
    <w:p w:rsidR="00D000D1" w:rsidRDefault="00D000D1" w:rsidP="00D000D1">
      <w:pPr>
        <w:pStyle w:val="StandardWeb"/>
      </w:pPr>
      <w:r>
        <w:t xml:space="preserve">Mit Unabhängigkeit und gemeinsamer Erfüllbarkeit ist die Axiomenprüfung noch nicht abgeschlossen. Ein Axiom kann unabhängig und konsistent sein und trotzdem unnötig viel behaupten. Abschnitt 3.3.21 untersucht deshalb die </w:t>
      </w:r>
      <w:r>
        <w:rPr>
          <w:rStyle w:val="Fett"/>
        </w:rPr>
        <w:t>begriffliche Minimalität</w:t>
      </w:r>
      <w:r>
        <w:t xml:space="preserve"> der drei Primäraxiome. Der Repository-Stand prüft insbesondere entbehrliche Zusatzbedingungen, die Zulassung der Identitätsabbildung und die Einordnung von Kohärenz, Raum und Zeit als abgeleitete Strukturen. Er enthält Satz 3.3.3 und die Gleichungen (3.4499) bis (3.4591).</w:t>
      </w:r>
    </w:p>
    <w:p w:rsidR="00D000D1" w:rsidRDefault="00D000D1" w:rsidP="00D000D1">
      <w:pPr>
        <w:pStyle w:val="StandardWeb"/>
      </w:pPr>
      <w:r>
        <w:t>Die zentrale methodische Leitregel ist ausdrücklich formuliert:</w:t>
      </w:r>
    </w:p>
    <w:p w:rsidR="00D000D1" w:rsidRDefault="00D000D1" w:rsidP="00D000D1">
      <w:pPr>
        <w:pStyle w:val="StandardWeb"/>
      </w:pPr>
      <w:r>
        <w:t>[</w:t>
      </w:r>
      <w:r>
        <w:br/>
        <w:t>\text{Ein Primäraxiom soll nur denjenigen Existenzgehalt enthalten, der für den weiteren Aufbau des FRZK unverzichtbar ist.}</w:t>
      </w:r>
      <w:r>
        <w:br/>
        <w:t>\tag{3.4499}</w:t>
      </w:r>
      <w:r>
        <w:br/>
        <w:t>]</w:t>
      </w:r>
    </w:p>
    <w:p w:rsidR="00D000D1" w:rsidRDefault="00D000D1" w:rsidP="00D000D1">
      <w:pPr>
        <w:pStyle w:val="StandardWeb"/>
      </w:pPr>
      <w:r>
        <w:rPr>
          <w:rStyle w:val="Fett"/>
        </w:rPr>
        <w:t>Word-LaTeX</w:t>
      </w:r>
    </w:p>
    <w:p w:rsidR="00D000D1" w:rsidRDefault="00D000D1" w:rsidP="00D000D1">
      <w:pPr>
        <w:pStyle w:val="HTMLVorformatiert"/>
        <w:rPr>
          <w:rStyle w:val="HTMLCode"/>
        </w:rPr>
      </w:pPr>
      <w:r>
        <w:rPr>
          <w:rStyle w:val="HTMLCode"/>
        </w:rPr>
        <w:lastRenderedPageBreak/>
        <w:t>\text{Ein Primäraxiom soll nur denjenigen Existenzgehalt enthalten, der für den weiteren Aufbau des FRZK unverzichtbar ist.}\qquad\text{(3.4499)}</w:t>
      </w:r>
    </w:p>
    <w:p w:rsidR="00D000D1" w:rsidRDefault="00D000D1" w:rsidP="00D000D1">
      <w:pPr>
        <w:pStyle w:val="StandardWeb"/>
      </w:pPr>
      <w:r>
        <w:t>Eine verstärkte Axiomfassung kann allgemein geschrieben werden als</w:t>
      </w:r>
    </w:p>
    <w:p w:rsidR="00D000D1" w:rsidRDefault="00D000D1" w:rsidP="00D000D1">
      <w:pPr>
        <w:pStyle w:val="berschrift1"/>
      </w:pPr>
      <w:r>
        <w:t>[</w:t>
      </w:r>
      <w:r>
        <w:br/>
        <w:t>A^{+}</w:t>
      </w:r>
    </w:p>
    <w:p w:rsidR="00D000D1" w:rsidRDefault="00D000D1" w:rsidP="00D000D1">
      <w:pPr>
        <w:pStyle w:val="StandardWeb"/>
      </w:pPr>
      <w:r>
        <w:t>A</w:t>
      </w:r>
      <w:r>
        <w:br/>
        <w:t>\land</w:t>
      </w:r>
      <w:r>
        <w:br/>
        <w:t>P.</w:t>
      </w:r>
      <w:r>
        <w:br/>
        <w:t>\tag{3.4500}</w:t>
      </w:r>
      <w:r>
        <w:br/>
        <w:t>]</w:t>
      </w:r>
    </w:p>
    <w:p w:rsidR="00D000D1" w:rsidRDefault="00D000D1" w:rsidP="00D000D1">
      <w:pPr>
        <w:pStyle w:val="StandardWeb"/>
      </w:pPr>
      <w:r>
        <w:rPr>
          <w:rStyle w:val="Fett"/>
        </w:rPr>
        <w:t>Word-LaTeX</w:t>
      </w:r>
    </w:p>
    <w:p w:rsidR="00D000D1" w:rsidRDefault="00D000D1" w:rsidP="00D000D1">
      <w:pPr>
        <w:pStyle w:val="HTMLVorformatiert"/>
        <w:rPr>
          <w:rStyle w:val="HTMLCode"/>
        </w:rPr>
      </w:pPr>
      <w:r>
        <w:rPr>
          <w:rStyle w:val="HTMLCode"/>
        </w:rPr>
        <w:t>A^{+}=A\land P\qquad\text{(3.4500)}</w:t>
      </w:r>
    </w:p>
    <w:p w:rsidR="00D000D1" w:rsidRDefault="00D000D1" w:rsidP="00D000D1">
      <w:pPr>
        <w:pStyle w:val="StandardWeb"/>
      </w:pPr>
      <w:r>
        <w:t xml:space="preserve">Dabei bezeichnet (P) eine zusätzliche Forderung. Methodologisch stellt sich nun die entscheidende Frage, ob diese Forderung tatsächlich in </w:t>
      </w:r>
      <w:r>
        <w:rPr>
          <w:rStyle w:val="Fett"/>
        </w:rPr>
        <w:t>jedem</w:t>
      </w:r>
      <w:r>
        <w:t xml:space="preserve"> FRZK-Modell gelten muss:</w:t>
      </w:r>
    </w:p>
    <w:p w:rsidR="00D000D1" w:rsidRDefault="00D000D1" w:rsidP="00D000D1">
      <w:pPr>
        <w:pStyle w:val="StandardWeb"/>
      </w:pPr>
      <w:r>
        <w:t>[</w:t>
      </w:r>
      <w:r>
        <w:br/>
        <w:t>\forall</w:t>
      </w:r>
      <w:r>
        <w:br/>
        <w:t>\mathcal{M}</w:t>
      </w:r>
      <w:r>
        <w:br/>
        <w:t>\in</w:t>
      </w:r>
      <w:r>
        <w:br/>
        <w:t>\operatorname{Mod}_{\mathrm{FRZK}}:</w:t>
      </w:r>
      <w:r>
        <w:br/>
        <w:t>\mathcal{M}</w:t>
      </w:r>
      <w:r>
        <w:br/>
        <w:t>\models</w:t>
      </w:r>
      <w:r>
        <w:br/>
        <w:t>P.</w:t>
      </w:r>
      <w:r>
        <w:br/>
        <w:t>\tag{3.4501}</w:t>
      </w:r>
      <w:r>
        <w:br/>
        <w:t>]</w:t>
      </w:r>
    </w:p>
    <w:p w:rsidR="00D000D1" w:rsidRDefault="00D000D1" w:rsidP="00D000D1">
      <w:pPr>
        <w:pStyle w:val="StandardWeb"/>
      </w:pPr>
      <w:r>
        <w:rPr>
          <w:rStyle w:val="Fett"/>
        </w:rPr>
        <w:t>Word-LaTeX</w:t>
      </w:r>
    </w:p>
    <w:p w:rsidR="00D000D1" w:rsidRDefault="00D000D1" w:rsidP="00D000D1">
      <w:pPr>
        <w:pStyle w:val="HTMLVorformatiert"/>
        <w:rPr>
          <w:rStyle w:val="HTMLCode"/>
        </w:rPr>
      </w:pPr>
      <w:r>
        <w:rPr>
          <w:rStyle w:val="HTMLCode"/>
        </w:rPr>
        <w:t>\forall\mathcal{M}\in\operatorname{Mod}_{\mathrm{FRZK}}:\mathcal{M}\models P\qquad\text{(3.4501)}</w:t>
      </w:r>
    </w:p>
    <w:p w:rsidR="00D000D1" w:rsidRDefault="00D000D1" w:rsidP="00D000D1">
      <w:pPr>
        <w:pStyle w:val="StandardWeb"/>
      </w:pPr>
      <w:r>
        <w:t>Existiert dagegen ein Modell, das das ursprüngliche Axiom erfüllt, die Zusatzbedingung aber nicht,</w:t>
      </w:r>
    </w:p>
    <w:p w:rsidR="00D000D1" w:rsidRDefault="00D000D1" w:rsidP="00D000D1">
      <w:pPr>
        <w:pStyle w:val="StandardWeb"/>
      </w:pPr>
      <w:r>
        <w:t>[</w:t>
      </w:r>
      <w:r>
        <w:br/>
        <w:t>\exists</w:t>
      </w:r>
      <w:r>
        <w:br/>
        <w:t>\mathcal{M}:</w:t>
      </w:r>
      <w:r>
        <w:br/>
        <w:t>\mathcal{M}</w:t>
      </w:r>
      <w:r>
        <w:br/>
        <w:t>\models</w:t>
      </w:r>
      <w:r>
        <w:br/>
        <w:t>A</w:t>
      </w:r>
      <w:r>
        <w:br/>
        <w:t>\land</w:t>
      </w:r>
      <w:r>
        <w:br/>
        <w:t>\neg P,</w:t>
      </w:r>
      <w:r>
        <w:br/>
        <w:t>\tag{3.4502}</w:t>
      </w:r>
      <w:r>
        <w:br/>
        <w:t>]</w:t>
      </w:r>
    </w:p>
    <w:p w:rsidR="00D000D1" w:rsidRDefault="00D000D1" w:rsidP="00D000D1">
      <w:pPr>
        <w:pStyle w:val="StandardWeb"/>
      </w:pPr>
      <w:r>
        <w:rPr>
          <w:rStyle w:val="Fett"/>
        </w:rPr>
        <w:lastRenderedPageBreak/>
        <w:t>Word-LaTeX</w:t>
      </w:r>
    </w:p>
    <w:p w:rsidR="00D000D1" w:rsidRDefault="00D000D1" w:rsidP="00D000D1">
      <w:pPr>
        <w:pStyle w:val="HTMLVorformatiert"/>
        <w:rPr>
          <w:rStyle w:val="HTMLCode"/>
        </w:rPr>
      </w:pPr>
      <w:r>
        <w:rPr>
          <w:rStyle w:val="HTMLCode"/>
        </w:rPr>
        <w:t>\exists\mathcal{M}:\mathcal{M}\models A\land\neg P\qquad\text{(3.4502)}</w:t>
      </w:r>
    </w:p>
    <w:p w:rsidR="00D000D1" w:rsidRDefault="00D000D1" w:rsidP="00D000D1">
      <w:pPr>
        <w:pStyle w:val="StandardWeb"/>
      </w:pPr>
      <w:r>
        <w:t>dann ist (P) kein zwingender Bestandteil der Minimalform.</w:t>
      </w:r>
    </w:p>
    <w:p w:rsidR="00D000D1" w:rsidRDefault="00D000D1" w:rsidP="00D000D1">
      <w:pPr>
        <w:pStyle w:val="StandardWeb"/>
      </w:pPr>
      <w:r>
        <w:t>Die verstärkte Axiomfassung schränkt dann die Modellklasse echt ein:</w:t>
      </w:r>
    </w:p>
    <w:p w:rsidR="00D000D1" w:rsidRDefault="00D000D1" w:rsidP="00D000D1">
      <w:pPr>
        <w:pStyle w:val="StandardWeb"/>
      </w:pPr>
      <w:r>
        <w:t>[</w:t>
      </w:r>
      <w:r>
        <w:br/>
        <w:t>\operatorname{Mod}</w:t>
      </w:r>
      <w:r>
        <w:br/>
        <w:t>\left(</w:t>
      </w:r>
      <w:r>
        <w:br/>
        <w:t>A^{+}</w:t>
      </w:r>
      <w:r>
        <w:br/>
        <w:t>\right)</w:t>
      </w:r>
      <w:r>
        <w:br/>
        <w:t>\subsetneq</w:t>
      </w:r>
      <w:r>
        <w:br/>
        <w:t>\operatorname{Mod}</w:t>
      </w:r>
      <w:r>
        <w:br/>
        <w:t>\left(</w:t>
      </w:r>
      <w:r>
        <w:br/>
        <w:t>A</w:t>
      </w:r>
      <w:r>
        <w:br/>
        <w:t>\right).</w:t>
      </w:r>
      <w:r>
        <w:br/>
        <w:t>\tag{3.4503}</w:t>
      </w:r>
      <w:r>
        <w:br/>
        <w:t>]</w:t>
      </w:r>
    </w:p>
    <w:p w:rsidR="00D000D1" w:rsidRDefault="00D000D1" w:rsidP="00D000D1">
      <w:pPr>
        <w:pStyle w:val="StandardWeb"/>
      </w:pPr>
      <w:r>
        <w:rPr>
          <w:rStyle w:val="Fett"/>
        </w:rPr>
        <w:t>Word-LaTeX</w:t>
      </w:r>
    </w:p>
    <w:p w:rsidR="00D000D1" w:rsidRDefault="00D000D1" w:rsidP="00D000D1">
      <w:pPr>
        <w:pStyle w:val="HTMLVorformatiert"/>
        <w:rPr>
          <w:rStyle w:val="HTMLCode"/>
        </w:rPr>
      </w:pPr>
      <w:r>
        <w:rPr>
          <w:rStyle w:val="HTMLCode"/>
        </w:rPr>
        <w:t>\operatorname{Mod}\left(A^{+}\right)\subsetneq\operatorname{Mod}\left(A\right)\qquad\text{(3.4503)}</w:t>
      </w:r>
    </w:p>
    <w:p w:rsidR="00D000D1" w:rsidRDefault="00D000D1" w:rsidP="00D000D1">
      <w:pPr>
        <w:pStyle w:val="StandardWeb"/>
      </w:pPr>
      <w:r>
        <w:t>Damit erhält „Minimalität“ einen präzisen methodischen Sinn. Eine zusätzliche Bedingung ist nicht deshalb Teil eines Primäraxioms, weil sie später nützlich, plausibel oder in einer bestimmten Interpretation erwünscht ist. Sie muss für den elementaren Theorieaufbau unverzichtbar sein.</w:t>
      </w:r>
    </w:p>
    <w:p w:rsidR="00D000D1" w:rsidRDefault="00D000D1" w:rsidP="00D000D1">
      <w:pPr>
        <w:pStyle w:val="StandardWeb"/>
      </w:pPr>
      <w:r>
        <w:t>Die bereits untersuchte logische Unabhängigkeit wird in diesem Zusammenhang ebenfalls präzise ausgedrückt:</w:t>
      </w:r>
    </w:p>
    <w:p w:rsidR="00D000D1" w:rsidRDefault="00D000D1" w:rsidP="00D000D1">
      <w:pPr>
        <w:pStyle w:val="StandardWeb"/>
      </w:pPr>
      <w:r>
        <w:t>[</w:t>
      </w:r>
      <w:r>
        <w:br/>
        <w:t>\forall</w:t>
      </w:r>
      <w:r>
        <w:br/>
        <w:t>A_i</w:t>
      </w:r>
      <w:r>
        <w:br/>
        <w:t>\in</w:t>
      </w:r>
      <w:r>
        <w:br/>
        <w:t>\mathcal{A}</w:t>
      </w:r>
      <w:r>
        <w:rPr>
          <w:rStyle w:val="Hervorhebung"/>
        </w:rPr>
        <w:t>{\mathrm{prim}}:</w:t>
      </w:r>
      <w:r>
        <w:rPr>
          <w:i/>
          <w:iCs/>
        </w:rPr>
        <w:br/>
      </w:r>
      <w:r>
        <w:rPr>
          <w:rStyle w:val="Hervorhebung"/>
        </w:rPr>
        <w:t>\mathcal{A}</w:t>
      </w:r>
      <w:r>
        <w:t>{\mathrm{prim}}</w:t>
      </w:r>
      <w:r>
        <w:br/>
        <w:t>\setminus</w:t>
      </w:r>
      <w:r>
        <w:br/>
        <w:t>{A_i}</w:t>
      </w:r>
      <w:r>
        <w:br/>
        <w:t>\not\models</w:t>
      </w:r>
      <w:r>
        <w:br/>
        <w:t>A_i.</w:t>
      </w:r>
      <w:r>
        <w:br/>
        <w:t>\tag{3.4504}</w:t>
      </w:r>
      <w:r>
        <w:br/>
        <w:t>]</w:t>
      </w:r>
    </w:p>
    <w:p w:rsidR="00D000D1" w:rsidRDefault="00D000D1" w:rsidP="00D000D1">
      <w:pPr>
        <w:pStyle w:val="StandardWeb"/>
      </w:pPr>
      <w:r>
        <w:rPr>
          <w:rStyle w:val="Fett"/>
        </w:rPr>
        <w:t>Word-LaTeX</w:t>
      </w:r>
    </w:p>
    <w:p w:rsidR="00D000D1" w:rsidRDefault="00D000D1" w:rsidP="00D000D1">
      <w:pPr>
        <w:pStyle w:val="HTMLVorformatiert"/>
        <w:rPr>
          <w:rStyle w:val="HTMLCode"/>
        </w:rPr>
      </w:pPr>
      <w:r>
        <w:rPr>
          <w:rStyle w:val="HTMLCode"/>
        </w:rPr>
        <w:t>\forall A_i\in\mathcal{A}_{\mathrm{prim}}:\mathcal{A}_{\mathrm{prim}}\setminus\{A_i\}\not\models A_i\qquad\text{(3.4504)}</w:t>
      </w:r>
    </w:p>
    <w:p w:rsidR="00D000D1" w:rsidRDefault="00D000D1" w:rsidP="00D000D1">
      <w:pPr>
        <w:pStyle w:val="StandardWeb"/>
      </w:pPr>
      <w:r>
        <w:lastRenderedPageBreak/>
        <w:t>Besonders folgenreich ist die Minimalitätsprüfung bei Primäraxiom III. Würde Transformierbarkeit so formuliert, dass eine Transformation zwingend einen Zustand verändern muss, wäre die Identitätsabbildung ausgeschlossen. Eine solche Forderung wäre stärker als die bloße Existenz einer funktional wirksamen Transformation.</w:t>
      </w:r>
    </w:p>
    <w:p w:rsidR="00D000D1" w:rsidRDefault="00D000D1" w:rsidP="00D000D1">
      <w:pPr>
        <w:pStyle w:val="StandardWeb"/>
      </w:pPr>
      <w:r>
        <w:t>Dasselbe gilt für Relationierbarkeit. Symmetrie, Irreflexivität, Gerichtetheit, Transitivität oder bestimmte Gewichte können für spezielle Modellklassen sinnvoll sein. Sie gehören aber nicht in das Primäraxiom, solange gezeigt werden kann, dass ein konsistentes FRZK ohne diese Zusatzbedingungen existiert.</w:t>
      </w:r>
    </w:p>
    <w:p w:rsidR="00D000D1" w:rsidRDefault="00D000D1" w:rsidP="00D000D1">
      <w:pPr>
        <w:pStyle w:val="StandardWeb"/>
      </w:pPr>
      <w:r>
        <w:t xml:space="preserve">Noch wichtiger ist die Stellung von Kohärenz, Raum und Zeit. Diese Begriffe sind für das spätere FRZK zentral, aber gerade deshalb muss geprüft werden, ob sie wirklich primitiv gesetzt werden müssen. Die vorangegangenen Abschnitte haben gezeigt, dass sie auf Basis von Zuständen, Relationen und Transformationen konstruiert werden können. Ihre Bedeutung rechtfertigt also gerade </w:t>
      </w:r>
      <w:r>
        <w:rPr>
          <w:rStyle w:val="Fett"/>
        </w:rPr>
        <w:t>nicht</w:t>
      </w:r>
      <w:r>
        <w:t xml:space="preserve"> ihre Aufnahme in die Primäraxiomenbasis.</w:t>
      </w:r>
    </w:p>
    <w:p w:rsidR="00D000D1" w:rsidRDefault="00D000D1" w:rsidP="00D000D1">
      <w:pPr>
        <w:pStyle w:val="StandardWeb"/>
      </w:pPr>
      <w:r>
        <w:t>Methodologisch bestätigt Abschnitt 3.3.21 damit eine zentrale Architekturentscheidung: Die Primäraxiome sollen eine möglichst große Klasse zulässiger Modelle offenhalten. Spezifischere Eigenschaften werden auf späteren Ebenen als Definitionen oder Modellbedingungen eingeführt.</w:t>
      </w:r>
    </w:p>
    <w:p w:rsidR="00D000D1" w:rsidRDefault="00D000D1" w:rsidP="00D000D1">
      <w:pPr>
        <w:pStyle w:val="berschrift3"/>
      </w:pPr>
      <w:r>
        <w:t>Didaktische Betrachtungen</w:t>
      </w:r>
    </w:p>
    <w:p w:rsidR="00D000D1" w:rsidRDefault="00D000D1" w:rsidP="00D000D1">
      <w:pPr>
        <w:pStyle w:val="StandardWeb"/>
      </w:pPr>
      <w:r>
        <w:t>Minimalität lässt sich mit einem Koffer vergleichen.</w:t>
      </w:r>
    </w:p>
    <w:p w:rsidR="00D000D1" w:rsidRDefault="00D000D1" w:rsidP="00D000D1">
      <w:pPr>
        <w:pStyle w:val="StandardWeb"/>
      </w:pPr>
      <w:r>
        <w:t>Wenn ich für eine Reise packe, kann ich zehn Dinge mitnehmen, obwohl ich nur drei unbedingt brauche. Der Koffer funktioniert trotzdem. Er ist aber nicht minimal gepackt.</w:t>
      </w:r>
    </w:p>
    <w:p w:rsidR="00D000D1" w:rsidRDefault="00D000D1" w:rsidP="00D000D1">
      <w:pPr>
        <w:pStyle w:val="StandardWeb"/>
      </w:pPr>
      <w:r>
        <w:t>Bei Axiomen ist die Situation ähnlich. Eine stärkere Aussage kann durchaus korrekt und brauchbar sein. Die Frage lautet aber:</w:t>
      </w:r>
    </w:p>
    <w:p w:rsidR="00D000D1" w:rsidRDefault="00D000D1" w:rsidP="00D000D1">
      <w:pPr>
        <w:pStyle w:val="StandardWeb"/>
      </w:pPr>
      <w:r>
        <w:rPr>
          <w:rStyle w:val="Fett"/>
        </w:rPr>
        <w:t>Muss ich diese Zusatzannahme wirklich schon ganz am Anfang mitnehmen?</w:t>
      </w:r>
    </w:p>
    <w:p w:rsidR="00D000D1" w:rsidRDefault="00D000D1" w:rsidP="00D000D1">
      <w:pPr>
        <w:pStyle w:val="StandardWeb"/>
      </w:pPr>
      <w:r>
        <w:t>Ein Beispiel ist eine Transformation. Ich könnte fordern:</w:t>
      </w:r>
    </w:p>
    <w:p w:rsidR="00D000D1" w:rsidRDefault="00D000D1" w:rsidP="00D000D1">
      <w:pPr>
        <w:pStyle w:val="StandardWeb"/>
      </w:pPr>
      <w:r>
        <w:t>„Es existiert eine Transformation.“</w:t>
      </w:r>
    </w:p>
    <w:p w:rsidR="00D000D1" w:rsidRDefault="00D000D1" w:rsidP="00D000D1">
      <w:pPr>
        <w:pStyle w:val="StandardWeb"/>
      </w:pPr>
      <w:r>
        <w:t>Oder stärker:</w:t>
      </w:r>
    </w:p>
    <w:p w:rsidR="00D000D1" w:rsidRDefault="00D000D1" w:rsidP="00D000D1">
      <w:pPr>
        <w:pStyle w:val="StandardWeb"/>
      </w:pPr>
      <w:r>
        <w:t>„Es existiert eine Transformation, die jeden Zustand verändert.“</w:t>
      </w:r>
    </w:p>
    <w:p w:rsidR="00D000D1" w:rsidRDefault="00D000D1" w:rsidP="00D000D1">
      <w:pPr>
        <w:pStyle w:val="StandardWeb"/>
      </w:pPr>
      <w:r>
        <w:t>Die zweite Aussage klingt vielleicht dynamischer, schließt aber alle Modelle aus, in denen Fixpunkte oder Identitätstransformationen zulässig sind.</w:t>
      </w:r>
    </w:p>
    <w:p w:rsidR="00D000D1" w:rsidRDefault="00D000D1" w:rsidP="00D000D1">
      <w:pPr>
        <w:pStyle w:val="StandardWeb"/>
      </w:pPr>
      <w:r>
        <w:t>Damit hat die stärkere Aussage bereits mehr Theorieinhalt festgelegt.</w:t>
      </w:r>
    </w:p>
    <w:p w:rsidR="00D000D1" w:rsidRDefault="00D000D1" w:rsidP="00D000D1">
      <w:pPr>
        <w:pStyle w:val="StandardWeb"/>
      </w:pPr>
      <w:r>
        <w:t xml:space="preserve">Didaktisch ist auch der Unterschied zwischen </w:t>
      </w:r>
      <w:r>
        <w:rPr>
          <w:rStyle w:val="Fett"/>
        </w:rPr>
        <w:t>wichtig</w:t>
      </w:r>
      <w:r>
        <w:t xml:space="preserve"> und </w:t>
      </w:r>
      <w:r>
        <w:rPr>
          <w:rStyle w:val="Fett"/>
        </w:rPr>
        <w:t>primitiv</w:t>
      </w:r>
      <w:r>
        <w:t xml:space="preserve"> entscheidend. Zeit ist für das FRZK offensichtlich wichtig. Daraus folgt jedoch nicht, dass Zeit ein Primäraxiom sein muss.</w:t>
      </w:r>
    </w:p>
    <w:p w:rsidR="00D000D1" w:rsidRDefault="00D000D1" w:rsidP="00D000D1">
      <w:pPr>
        <w:pStyle w:val="StandardWeb"/>
      </w:pPr>
      <w:r>
        <w:t>Ein Dach ist für ein Haus wichtig. Trotzdem ist es kein Fundament.</w:t>
      </w:r>
    </w:p>
    <w:p w:rsidR="00D000D1" w:rsidRDefault="00D000D1" w:rsidP="00D000D1">
      <w:pPr>
        <w:pStyle w:val="StandardWeb"/>
      </w:pPr>
      <w:r>
        <w:lastRenderedPageBreak/>
        <w:t>Wenn Zeit aus einer Ordnung funktionaler Entwicklungen konstruiert werden kann, ist es wissenschaftlich sparsamer, sie später zu definieren, anstatt sie bereits vorauszusetzen.</w:t>
      </w:r>
    </w:p>
    <w:p w:rsidR="00D000D1" w:rsidRDefault="00D000D1" w:rsidP="00D000D1">
      <w:pPr>
        <w:pStyle w:val="StandardWeb"/>
      </w:pPr>
      <w:r>
        <w:t>Der Abschnitt vermittelt daher eine wichtige Denkregel:</w:t>
      </w:r>
    </w:p>
    <w:p w:rsidR="00D000D1" w:rsidRDefault="00D000D1" w:rsidP="00D000D1">
      <w:pPr>
        <w:pStyle w:val="StandardWeb"/>
      </w:pPr>
      <w:r>
        <w:rPr>
          <w:rStyle w:val="Fett"/>
        </w:rPr>
        <w:t>Je früher eine Aussage in der Theorie steht, desto vorsichtiger muss ich sein, wie viel Inhalt ich in sie hineinpacke.</w:t>
      </w:r>
    </w:p>
    <w:p w:rsidR="00D000D1" w:rsidRDefault="00E50336" w:rsidP="00D000D1">
      <w:r>
        <w:pict>
          <v:rect id="_x0000_i1046" style="width:0;height:1.5pt" o:hralign="center" o:hrstd="t" o:hr="t" fillcolor="#a0a0a0" stroked="f"/>
        </w:pict>
      </w:r>
    </w:p>
    <w:p w:rsidR="00203600" w:rsidRPr="00AF32B2" w:rsidRDefault="00203600" w:rsidP="00AF32B2">
      <w:pPr>
        <w:pStyle w:val="berschrift3"/>
      </w:pPr>
      <w:r w:rsidRPr="00AF32B2">
        <w:t>3.3.21 Prüfung der begrifflichen Minimalität der drei Primäraxiome</w:t>
      </w:r>
    </w:p>
    <w:p w:rsidR="00203600" w:rsidRDefault="00203600" w:rsidP="00203600">
      <w:pPr>
        <w:pStyle w:val="StandardWeb"/>
      </w:pPr>
      <w:r>
        <w:t>Die Abschnitte 3.3.19 und 3.3.20 haben zwei unterschiedliche Eigenschaften der Primäraxiomenmenge gezeigt. Erstens ist keines der drei Primäraxiome aus den beiden anderen ableitbar. Zweitens existieren Modelle, in denen alle drei Primäraxiome gemeinsam erfüllt sind. Damit sind logische Unabhängigkeit und relative Konsistenz nachgewiesen. Noch ungeklärt ist jedoch, ob die einzelnen Axiome selbst bereits begrifflich minimal formuliert sind.</w:t>
      </w:r>
    </w:p>
    <w:p w:rsidR="00203600" w:rsidRDefault="00203600" w:rsidP="00203600">
      <w:pPr>
        <w:pStyle w:val="StandardWeb"/>
      </w:pPr>
      <w:r>
        <w:t>Begriffliche Minimalität betrifft nicht die Anzahl der Axiome, sondern den Inhalt jeder einzelnen Axiomaussage. Ein Axiom kann logisch unabhängig sein und dennoch Eigenschaften enthalten, die für den beabsichtigten theoretischen Aufbau nicht zwingend erforderlich sind. Solche zusätzlichen Eigenschaften würden die Modellklasse des FRZK ohne hinreichenden Grund einschränken [6, 79].</w:t>
      </w:r>
    </w:p>
    <w:p w:rsidR="00203600" w:rsidRDefault="00203600" w:rsidP="00203600">
      <w:pPr>
        <w:pStyle w:val="StandardWeb"/>
      </w:pPr>
      <w:r>
        <w:t>Ich prüfe deshalb für jedes Primäraxiom, welche Aussagebestandteile unverzichtbar sind, welche nur definitorischen Charakter besitzen und welche als spätere Modellbedingungen behandelt werden müssen. Dabei gilt als methodische Leitregel:</w:t>
      </w:r>
    </w:p>
    <w:p w:rsidR="00203600" w:rsidRDefault="00203600" w:rsidP="00203600">
      <w:pPr>
        <w:pStyle w:val="StandardWeb"/>
      </w:pPr>
      <w:r>
        <w:t>[</w:t>
      </w:r>
      <w:r>
        <w:br/>
        <w:t>\text{Ein Primäraxiom soll nur denjenigen Existenzgehalt enthalten,}</w:t>
      </w:r>
      <w:r>
        <w:br/>
        <w:t>]</w:t>
      </w:r>
      <w:r>
        <w:br/>
        <w:t>[</w:t>
      </w:r>
      <w:r>
        <w:br/>
        <w:t>\text{der für den weiteren Aufbau des FRZK unverzichtbar ist.}</w:t>
      </w:r>
      <w:r>
        <w:br/>
        <w:t>\tag{3.4499}</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\text{Ein Primäraxiom soll nur denjenigen Existenzgehalt enthalten, der für den weiteren Aufbau des FRZK unverzichtbar ist.}\qquad\text{(3.4499)}</w:t>
      </w:r>
    </w:p>
    <w:p w:rsidR="00203600" w:rsidRDefault="00203600" w:rsidP="00203600">
      <w:pPr>
        <w:pStyle w:val="StandardWeb"/>
      </w:pPr>
      <w:r>
        <w:rPr>
          <w:rStyle w:val="Fett"/>
        </w:rPr>
        <w:t>Eigenleistung des FRZK</w:t>
      </w:r>
    </w:p>
    <w:p w:rsidR="00203600" w:rsidRDefault="00203600" w:rsidP="00203600">
      <w:pPr>
        <w:pStyle w:val="StandardWeb"/>
      </w:pPr>
      <w:r>
        <w:t>Ich behandle Minimalität als systematische Reduktionsprüfung. Jede zusätzliche Eigenschaft wird daraufhin untersucht, ob sie bereits Bestandteil eines Primäraxioms sein muss oder ob sie später als Definition, Auswahlregel, Modellbedingung oder empirische Annahme eingeführt werden kann.</w:t>
      </w:r>
    </w:p>
    <w:p w:rsidR="00203600" w:rsidRPr="00AF32B2" w:rsidRDefault="00203600" w:rsidP="00AF32B2">
      <w:pPr>
        <w:pStyle w:val="berschrift4"/>
      </w:pPr>
      <w:r w:rsidRPr="00AF32B2">
        <w:t>3.3.21.1 Minimalitätskriterium</w:t>
      </w:r>
    </w:p>
    <w:p w:rsidR="00203600" w:rsidRDefault="00203600" w:rsidP="00203600">
      <w:pPr>
        <w:pStyle w:val="StandardWeb"/>
      </w:pPr>
      <w:r>
        <w:lastRenderedPageBreak/>
        <w:t>Sei (A) ein Primäraxiom und (A^{+}) eine verstärkte Fassung dieses Axioms. Die verstärkte Fassung kann schematisch geschrieben werden als</w:t>
      </w:r>
    </w:p>
    <w:p w:rsidR="00203600" w:rsidRDefault="00203600" w:rsidP="00203600">
      <w:pPr>
        <w:pStyle w:val="berschrift1"/>
      </w:pPr>
      <w:r>
        <w:t>[</w:t>
      </w:r>
      <w:r>
        <w:br/>
        <w:t>A^{+}</w:t>
      </w:r>
    </w:p>
    <w:p w:rsidR="00203600" w:rsidRDefault="00203600" w:rsidP="00203600">
      <w:pPr>
        <w:pStyle w:val="StandardWeb"/>
      </w:pPr>
      <w:r>
        <w:t>A</w:t>
      </w:r>
      <w:r>
        <w:br/>
        <w:t>\land</w:t>
      </w:r>
      <w:r>
        <w:br/>
        <w:t>P,</w:t>
      </w:r>
      <w:r>
        <w:br/>
        <w:t>\tag{3.4500}</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A^{+}=A\land P\qquad\text{(3.4500)}</w:t>
      </w:r>
    </w:p>
    <w:p w:rsidR="00203600" w:rsidRDefault="00203600" w:rsidP="00203600">
      <w:pPr>
        <w:pStyle w:val="StandardWeb"/>
      </w:pPr>
      <w:r>
        <w:t>wobei (P) eine zusätzliche Eigenschaft bezeichnet.</w:t>
      </w:r>
    </w:p>
    <w:p w:rsidR="00203600" w:rsidRDefault="00203600" w:rsidP="00203600">
      <w:pPr>
        <w:pStyle w:val="StandardWeb"/>
      </w:pPr>
      <w:r>
        <w:t>Die Verstärkung ist nur dann für die Primärebene gerechtfertigt, wenn (P) für sämtliche beabsichtigten FRZK-Modelle unverzichtbar ist:</w:t>
      </w:r>
    </w:p>
    <w:p w:rsidR="00203600" w:rsidRDefault="00203600" w:rsidP="00203600">
      <w:pPr>
        <w:pStyle w:val="StandardWeb"/>
      </w:pPr>
      <w:r>
        <w:t>[</w:t>
      </w:r>
      <w:r>
        <w:br/>
        <w:t>\forall \mathcal{M}\in</w:t>
      </w:r>
      <w:r>
        <w:br/>
        <w:t>\operatorname{Mod}_{\mathrm{FRZK}}:</w:t>
      </w:r>
      <w:r>
        <w:br/>
        <w:t>\mathcal{M}\models P.</w:t>
      </w:r>
      <w:r>
        <w:br/>
        <w:t>\tag{3.4501}</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\forall\mathcal{M}\in\operatorname{Mod}_{\mathrm{FRZK}}:\mathcal{M}\models P\qquad\text{(3.4501)}</w:t>
      </w:r>
    </w:p>
    <w:p w:rsidR="00203600" w:rsidRDefault="00203600" w:rsidP="00203600">
      <w:pPr>
        <w:pStyle w:val="StandardWeb"/>
      </w:pPr>
      <w:r>
        <w:t>Existiert dagegen mindestens ein zulässiges FRZK-Modell, in dem (A) gilt, (P) aber nicht gilt, darf (P) nicht ohne zusätzliche Begründung Bestandteil des Primäraxioms werden:</w:t>
      </w:r>
    </w:p>
    <w:p w:rsidR="00203600" w:rsidRDefault="00203600" w:rsidP="00203600">
      <w:pPr>
        <w:pStyle w:val="StandardWeb"/>
      </w:pPr>
      <w:r>
        <w:t>[</w:t>
      </w:r>
      <w:r>
        <w:br/>
        <w:t>\exists \mathcal{M}:</w:t>
      </w:r>
      <w:r>
        <w:br/>
        <w:t>\mathcal{M}\models A</w:t>
      </w:r>
      <w:r>
        <w:br/>
        <w:t>\land</w:t>
      </w:r>
      <w:r>
        <w:br/>
        <w:t>\neg P.</w:t>
      </w:r>
      <w:r>
        <w:br/>
        <w:t>\tag{3.4502}</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\exists\mathcal{M}:\mathcal{M}\models A\land\neg P\qquad\text{(3.4502)}</w:t>
      </w:r>
    </w:p>
    <w:p w:rsidR="00203600" w:rsidRDefault="00203600" w:rsidP="00203600">
      <w:pPr>
        <w:pStyle w:val="StandardWeb"/>
      </w:pPr>
      <w:r>
        <w:t>In diesem Fall ist (A^{+}) stärker als erforderlich:</w:t>
      </w:r>
    </w:p>
    <w:p w:rsidR="00203600" w:rsidRDefault="00203600" w:rsidP="00203600">
      <w:pPr>
        <w:pStyle w:val="StandardWeb"/>
      </w:pPr>
      <w:r>
        <w:lastRenderedPageBreak/>
        <w:t>[</w:t>
      </w:r>
      <w:r>
        <w:br/>
        <w:t>\operatorname{Mod}(A^{+})</w:t>
      </w:r>
      <w:r>
        <w:br/>
        <w:t>\subsetneq</w:t>
      </w:r>
      <w:r>
        <w:br/>
        <w:t>\operatorname{Mod}(A).</w:t>
      </w:r>
      <w:r>
        <w:br/>
        <w:t>\tag{3.4503}</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\operatorname{Mod}(A^{+})\subsetneq\operatorname{Mod}(A)\qquad\text{(3.4503)}</w:t>
      </w:r>
    </w:p>
    <w:p w:rsidR="00203600" w:rsidRDefault="00203600" w:rsidP="00203600">
      <w:pPr>
        <w:pStyle w:val="StandardWeb"/>
      </w:pPr>
      <w:r>
        <w:t>Die echte Teilmengenbeziehung zeigt, dass durch die Zusatzbedingung Modelle ausgeschlossen werden, die das ursprüngliche Axiom erfüllen.</w:t>
      </w:r>
    </w:p>
    <w:p w:rsidR="00203600" w:rsidRPr="00AF32B2" w:rsidRDefault="00203600" w:rsidP="00AF32B2">
      <w:pPr>
        <w:pStyle w:val="berschrift4"/>
      </w:pPr>
      <w:r w:rsidRPr="00AF32B2">
        <w:t>3.3.21.2 Begriffliche und logische Minimalität</w:t>
      </w:r>
    </w:p>
    <w:p w:rsidR="00203600" w:rsidRDefault="00203600" w:rsidP="00203600">
      <w:pPr>
        <w:pStyle w:val="StandardWeb"/>
      </w:pPr>
      <w:r>
        <w:t>Ich unterscheide zwei Minimalitätsbegriffe.</w:t>
      </w:r>
    </w:p>
    <w:p w:rsidR="00203600" w:rsidRDefault="00203600" w:rsidP="00203600">
      <w:pPr>
        <w:pStyle w:val="StandardWeb"/>
      </w:pPr>
      <w:r>
        <w:t xml:space="preserve">Eine Axiomenmenge ist </w:t>
      </w:r>
      <w:r>
        <w:rPr>
          <w:rStyle w:val="Fett"/>
        </w:rPr>
        <w:t>logisch minimal</w:t>
      </w:r>
      <w:r>
        <w:t>, wenn kein Axiom aus den übrigen folgt:</w:t>
      </w:r>
    </w:p>
    <w:p w:rsidR="00203600" w:rsidRDefault="00203600" w:rsidP="00203600">
      <w:pPr>
        <w:pStyle w:val="StandardWeb"/>
      </w:pPr>
      <w:r>
        <w:t>[</w:t>
      </w:r>
      <w:r>
        <w:br/>
        <w:t>\forall A_i\in\mathcal{A}</w:t>
      </w:r>
      <w:r>
        <w:rPr>
          <w:rStyle w:val="Hervorhebung"/>
        </w:rPr>
        <w:t>{\mathrm{prim}}:</w:t>
      </w:r>
      <w:r>
        <w:rPr>
          <w:i/>
          <w:iCs/>
        </w:rPr>
        <w:br/>
      </w:r>
      <w:r>
        <w:rPr>
          <w:rStyle w:val="Hervorhebung"/>
        </w:rPr>
        <w:t>\mathcal{A}</w:t>
      </w:r>
      <w:r>
        <w:t>{\mathrm{prim}}</w:t>
      </w:r>
      <w:r>
        <w:br/>
        <w:t>\setminus</w:t>
      </w:r>
      <w:r>
        <w:br/>
        <w:t>{A_i}</w:t>
      </w:r>
      <w:r>
        <w:br/>
        <w:t>\not\models</w:t>
      </w:r>
      <w:r>
        <w:br/>
        <w:t>A_i.</w:t>
      </w:r>
      <w:r>
        <w:br/>
        <w:t>\tag{3.4504}</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\forall A_i\in\mathcal{A}_{\mathrm{prim}}:\mathcal{A}_{\mathrm{prim}}\setminus\{A_i\}\not\models A_i\qquad\text{(3.4504)}</w:t>
      </w:r>
    </w:p>
    <w:p w:rsidR="00203600" w:rsidRDefault="00203600" w:rsidP="00203600">
      <w:pPr>
        <w:pStyle w:val="StandardWeb"/>
      </w:pPr>
      <w:r>
        <w:t xml:space="preserve">Eine Axiomenmenge ist </w:t>
      </w:r>
      <w:r>
        <w:rPr>
          <w:rStyle w:val="Fett"/>
        </w:rPr>
        <w:t>begrifflich minimal</w:t>
      </w:r>
      <w:r>
        <w:t>, wenn kein Axiom einen entfernbaren Aussagebestandteil enthält, ohne dass der für das FRZK notwendige Grundgehalt verloren geht.</w:t>
      </w:r>
    </w:p>
    <w:p w:rsidR="00203600" w:rsidRDefault="00203600" w:rsidP="00203600">
      <w:pPr>
        <w:pStyle w:val="StandardWeb"/>
      </w:pPr>
      <w:r>
        <w:t>Für ein Axiom</w:t>
      </w:r>
    </w:p>
    <w:p w:rsidR="00203600" w:rsidRDefault="00203600" w:rsidP="00203600">
      <w:pPr>
        <w:pStyle w:val="berschrift1"/>
      </w:pPr>
      <w:r>
        <w:t>[</w:t>
      </w:r>
      <w:r>
        <w:br/>
        <w:t>A_i</w:t>
      </w:r>
    </w:p>
    <w:p w:rsidR="00203600" w:rsidRDefault="00203600" w:rsidP="00203600">
      <w:pPr>
        <w:pStyle w:val="StandardWeb"/>
      </w:pPr>
      <w:r>
        <w:t>P_{i,1}</w:t>
      </w:r>
      <w:r>
        <w:br/>
        <w:t>\land</w:t>
      </w:r>
      <w:r>
        <w:br/>
        <w:t>P_{i,2}</w:t>
      </w:r>
      <w:r>
        <w:br/>
        <w:t>\land</w:t>
      </w:r>
      <w:r>
        <w:br/>
      </w:r>
      <w:r>
        <w:lastRenderedPageBreak/>
        <w:t>\cdots</w:t>
      </w:r>
      <w:r>
        <w:br/>
        <w:t>\land</w:t>
      </w:r>
      <w:r>
        <w:br/>
        <w:t>P_{i,n}</w:t>
      </w:r>
      <w:r>
        <w:br/>
        <w:t>\tag{3.4505}</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A_i=P_{i,1}\land P_{i,2}\land\cdots\land P_{i,n}\qquad\text{(3.4505)}</w:t>
      </w:r>
    </w:p>
    <w:p w:rsidR="00203600" w:rsidRDefault="00203600" w:rsidP="00203600">
      <w:pPr>
        <w:pStyle w:val="StandardWeb"/>
      </w:pPr>
      <w:r>
        <w:t>muss deshalb für jeden Bestandteil (P_{i,k}) geprüft werden, ob</w:t>
      </w:r>
    </w:p>
    <w:p w:rsidR="00203600" w:rsidRDefault="00203600" w:rsidP="00203600">
      <w:pPr>
        <w:pStyle w:val="StandardWeb"/>
      </w:pPr>
      <w:r>
        <w:t>[</w:t>
      </w:r>
      <w:r>
        <w:br/>
        <w:t>A_i</w:t>
      </w:r>
      <w:r>
        <w:br/>
        <w:t>\setminus</w:t>
      </w:r>
      <w:r>
        <w:br/>
        <w:t>P_{i,k}</w:t>
      </w:r>
      <w:r>
        <w:br/>
        <w:t>\tag{3.4506}</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A_i\setminus P_{i,k}\qquad\text{(3.4506)}</w:t>
      </w:r>
    </w:p>
    <w:p w:rsidR="00203600" w:rsidRDefault="00203600" w:rsidP="00203600">
      <w:pPr>
        <w:pStyle w:val="StandardWeb"/>
      </w:pPr>
      <w:r>
        <w:t>den beabsichtigten elementaren Gehalt weiterhin sichert.</w:t>
      </w:r>
    </w:p>
    <w:p w:rsidR="00203600" w:rsidRDefault="00203600" w:rsidP="00203600">
      <w:pPr>
        <w:pStyle w:val="StandardWeb"/>
      </w:pPr>
      <w:r>
        <w:t>Die Schreibweise in Gleichung (3.4506) ist schematisch. Sie bezeichnet die Entfernung eines Aussagebestandteils aus der Axiomformulierung.</w:t>
      </w:r>
    </w:p>
    <w:p w:rsidR="00203600" w:rsidRDefault="00203600" w:rsidP="00203600">
      <w:pPr>
        <w:pStyle w:val="StandardWeb"/>
      </w:pPr>
      <w:r>
        <w:rPr>
          <w:rStyle w:val="Fett"/>
        </w:rPr>
        <w:t>Eigenleistung des FRZK</w:t>
      </w:r>
    </w:p>
    <w:p w:rsidR="00203600" w:rsidRDefault="00203600" w:rsidP="00203600">
      <w:pPr>
        <w:pStyle w:val="StandardWeb"/>
      </w:pPr>
      <w:r>
        <w:t>Die Unabhängigkeitsprüfung aus Abschnitt 3.3.19 hat die logische Minimalität der Axiomenmenge bestätigt. Der vorliegende Abschnitt untersucht nun die innere begriffliche Minimalität jeder Axiomaussage.</w:t>
      </w:r>
    </w:p>
    <w:p w:rsidR="00203600" w:rsidRPr="00AF32B2" w:rsidRDefault="00203600" w:rsidP="00AF32B2">
      <w:pPr>
        <w:pStyle w:val="berschrift4"/>
      </w:pPr>
      <w:r w:rsidRPr="00AF32B2">
        <w:t>3.3.21.3 Minimalform von Primäraxiom I</w:t>
      </w:r>
    </w:p>
    <w:p w:rsidR="00203600" w:rsidRDefault="00203600" w:rsidP="00203600">
      <w:pPr>
        <w:pStyle w:val="StandardWeb"/>
      </w:pPr>
      <w:r>
        <w:t>Primäraxiom I sichert die Existenz mindestens eines elementaren funktionalen Zustands:</w:t>
      </w:r>
    </w:p>
    <w:p w:rsidR="00203600" w:rsidRDefault="00203600" w:rsidP="00203600">
      <w:pPr>
        <w:pStyle w:val="StandardWeb"/>
      </w:pPr>
      <w:r>
        <w:t>[</w:t>
      </w:r>
      <w:r>
        <w:br/>
        <w:t>A_{\mathrm{I}}:</w:t>
      </w:r>
      <w:r>
        <w:br/>
        <w:t>\mathcal{S}_{\mathrm{el}}</w:t>
      </w:r>
      <w:r>
        <w:br/>
        <w:t>\neq</w:t>
      </w:r>
      <w:r>
        <w:br/>
        <w:t>\emptyset.</w:t>
      </w:r>
      <w:r>
        <w:br/>
        <w:t>\tag{3.4507}</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A_{\mathrm{I}}:\mathcal{S}_{\mathrm{el}}\neq\emptyset\qquad\text{(3.4507)}</w:t>
      </w:r>
    </w:p>
    <w:p w:rsidR="00203600" w:rsidRDefault="00203600" w:rsidP="00203600">
      <w:pPr>
        <w:pStyle w:val="StandardWeb"/>
      </w:pPr>
      <w:r>
        <w:lastRenderedPageBreak/>
        <w:t>Diese Aussage enthält ausschließlich einen Existenzgehalt. Sie fordert weder eine bestimmte Anzahl von Zuständen noch eine innere Struktur des Zustandsbereichs.</w:t>
      </w:r>
    </w:p>
    <w:p w:rsidR="00203600" w:rsidRDefault="00203600" w:rsidP="00203600">
      <w:pPr>
        <w:pStyle w:val="StandardWeb"/>
      </w:pPr>
      <w:r>
        <w:t>Die äquivalente Existenzform lautet:</w:t>
      </w:r>
    </w:p>
    <w:p w:rsidR="00203600" w:rsidRDefault="00203600" w:rsidP="00203600">
      <w:pPr>
        <w:pStyle w:val="StandardWeb"/>
      </w:pPr>
      <w:r>
        <w:t>[</w:t>
      </w:r>
      <w:r>
        <w:br/>
        <w:t>\exists \delta\in\mathcal{S}_{\mathrm{el}}.</w:t>
      </w:r>
      <w:r>
        <w:br/>
        <w:t>\tag{3.4508}</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\exists\delta\in\mathcal{S}_{\mathrm{el}}\qquad\text{(3.4508)}</w:t>
      </w:r>
    </w:p>
    <w:p w:rsidR="00203600" w:rsidRDefault="00203600" w:rsidP="00203600">
      <w:pPr>
        <w:pStyle w:val="StandardWeb"/>
      </w:pPr>
      <w:r>
        <w:t>Damit ist die schwächste nichttriviale Forderung an den Zustandsbereich gegeben.</w:t>
      </w:r>
    </w:p>
    <w:p w:rsidR="00203600" w:rsidRDefault="00203600" w:rsidP="00203600">
      <w:pPr>
        <w:pStyle w:val="StandardWeb"/>
      </w:pPr>
      <w:r>
        <w:t>Würde Primäraxiom I stattdessen mindestens zwei verschiedene Zustände verlangen,</w:t>
      </w:r>
    </w:p>
    <w:p w:rsidR="00203600" w:rsidRDefault="00203600" w:rsidP="00203600">
      <w:pPr>
        <w:pStyle w:val="StandardWeb"/>
      </w:pPr>
      <w:r>
        <w:t>[</w:t>
      </w:r>
      <w:r>
        <w:br/>
        <w:t>\exists \delta_i,\delta_j\in\mathcal{S}_{\mathrm{el}}:</w:t>
      </w:r>
      <w:r>
        <w:br/>
        <w:t>\delta_i\neq\delta_j,</w:t>
      </w:r>
      <w:r>
        <w:br/>
        <w:t>\tag{3.4509}</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\exists\delta_i,\delta_j\in\mathcal{S}_{\mathrm{el}}:\delta_i\neq\delta_j\qquad\text{(3.4509)}</w:t>
      </w:r>
    </w:p>
    <w:p w:rsidR="00203600" w:rsidRDefault="00203600" w:rsidP="00203600">
      <w:pPr>
        <w:pStyle w:val="StandardWeb"/>
      </w:pPr>
      <w:r>
        <w:t>würde das in Abschnitt 3.3.20 konstruierte einelementige Minimalmodell ausgeschlossen.</w:t>
      </w:r>
    </w:p>
    <w:p w:rsidR="00203600" w:rsidRDefault="00203600" w:rsidP="00203600">
      <w:pPr>
        <w:pStyle w:val="StandardWeb"/>
      </w:pPr>
      <w:r>
        <w:t>Es gilt:</w:t>
      </w:r>
    </w:p>
    <w:p w:rsidR="00203600" w:rsidRDefault="00203600" w:rsidP="00203600">
      <w:pPr>
        <w:pStyle w:val="StandardWeb"/>
      </w:pPr>
      <w:r>
        <w:t>[</w:t>
      </w:r>
      <w:r>
        <w:br/>
        <w:t>\mathcal{M}</w:t>
      </w:r>
      <w:r>
        <w:rPr>
          <w:rStyle w:val="Hervorhebung"/>
        </w:rPr>
        <w:t>{\mathrm{ges}}^{\min}</w:t>
      </w:r>
      <w:r>
        <w:rPr>
          <w:i/>
          <w:iCs/>
        </w:rPr>
        <w:br/>
      </w:r>
      <w:r>
        <w:rPr>
          <w:rStyle w:val="Hervorhebung"/>
        </w:rPr>
        <w:t>\models</w:t>
      </w:r>
      <w:r>
        <w:rPr>
          <w:i/>
          <w:iCs/>
        </w:rPr>
        <w:br/>
      </w:r>
      <w:r>
        <w:rPr>
          <w:rStyle w:val="Hervorhebung"/>
        </w:rPr>
        <w:t>A</w:t>
      </w:r>
      <w:r>
        <w:t>{\mathrm{I}},</w:t>
      </w:r>
      <w:r>
        <w:br/>
        <w:t>\tag{3.4510}</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\mathcal{M}_{\mathrm{ges}}^{\min}\models A_{\mathrm{I}}\qquad\text{(3.4510)}</w:t>
      </w:r>
    </w:p>
    <w:p w:rsidR="00203600" w:rsidRDefault="00203600" w:rsidP="00203600">
      <w:pPr>
        <w:pStyle w:val="StandardWeb"/>
      </w:pPr>
      <w:r>
        <w:t>aber</w:t>
      </w:r>
    </w:p>
    <w:p w:rsidR="00203600" w:rsidRDefault="00203600" w:rsidP="00203600">
      <w:pPr>
        <w:pStyle w:val="StandardWeb"/>
      </w:pPr>
      <w:r>
        <w:t>[</w:t>
      </w:r>
      <w:r>
        <w:br/>
        <w:t>\mathcal{M}_{\mathrm{ges}}^{\min}</w:t>
      </w:r>
      <w:r>
        <w:br/>
        <w:t>\not\models</w:t>
      </w:r>
      <w:r>
        <w:br/>
        <w:t>\exists \delta_i,\delta_j:</w:t>
      </w:r>
      <w:r>
        <w:br/>
        <w:t>\delta_i\neq\delta_j.</w:t>
      </w:r>
      <w:r>
        <w:br/>
      </w:r>
      <w:r>
        <w:lastRenderedPageBreak/>
        <w:t>\tag{3.4511}</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\mathcal{M}_{\mathrm{ges}}^{\min}\not\models\exists\delta_i,\delta_j:\delta_i\neq\delta_j\qquad\text{(3.4511)}</w:t>
      </w:r>
    </w:p>
    <w:p w:rsidR="00203600" w:rsidRDefault="00203600" w:rsidP="00203600">
      <w:pPr>
        <w:pStyle w:val="StandardWeb"/>
      </w:pPr>
      <w:r>
        <w:t>Die Forderung nach mindestens zwei Zuständen ist deshalb stärker als für die elementare Systemgrundlage notwendig.</w:t>
      </w:r>
    </w:p>
    <w:p w:rsidR="00203600" w:rsidRPr="00AF32B2" w:rsidRDefault="00203600" w:rsidP="00AF32B2">
      <w:pPr>
        <w:pStyle w:val="berschrift4"/>
      </w:pPr>
      <w:r w:rsidRPr="00AF32B2">
        <w:t>3.3.21.4 Keine Eindeutigkeitsforderung in Primäraxiom I</w:t>
      </w:r>
    </w:p>
    <w:p w:rsidR="00203600" w:rsidRDefault="00203600" w:rsidP="00203600">
      <w:pPr>
        <w:pStyle w:val="StandardWeb"/>
      </w:pPr>
      <w:r>
        <w:t>Der Begriff der funktionalen Bestimmbarkeit könnte so verstanden werden, dass jeder Zustand vollständig oder eindeutig beschrieben sein müsse. Eine solche Forderung würde beispielsweise lauten:</w:t>
      </w:r>
    </w:p>
    <w:p w:rsidR="00203600" w:rsidRDefault="00203600" w:rsidP="00203600">
      <w:pPr>
        <w:pStyle w:val="StandardWeb"/>
      </w:pPr>
      <w:r>
        <w:t>[</w:t>
      </w:r>
      <w:r>
        <w:br/>
        <w:t>\forall \delta\in\mathcal{S}_{\mathrm{el}}</w:t>
      </w:r>
      <w:r>
        <w:br/>
        <w:t>\ \exists !, b:</w:t>
      </w:r>
      <w:r>
        <w:br/>
        <w:t>b(\delta).</w:t>
      </w:r>
      <w:r>
        <w:br/>
        <w:t>\tag{3.4512}</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\forall\delta\in\mathcal{S}_{\mathrm{el}}\ \exists!\,b:b(\delta)\qquad\text{(3.4512)}</w:t>
      </w:r>
    </w:p>
    <w:p w:rsidR="00203600" w:rsidRDefault="00203600" w:rsidP="00203600">
      <w:pPr>
        <w:pStyle w:val="StandardWeb"/>
      </w:pPr>
      <w:r>
        <w:t>Dabei bezeichnet (b) eine eindeutige Bestimmung oder Beschreibung des Zustands.</w:t>
      </w:r>
    </w:p>
    <w:p w:rsidR="00203600" w:rsidRDefault="00203600" w:rsidP="00203600">
      <w:pPr>
        <w:pStyle w:val="StandardWeb"/>
      </w:pPr>
      <w:r>
        <w:t>Diese Zusatzforderung ist nicht für die bloße Existenz funktionaler Zustände erforderlich. Ein Zustand kann als Element eines Modellbereichs behandelt werden, obwohl seine empirische Beschreibung unvollständig, mehrdeutig oder nur operational zugänglich ist [58, 59].</w:t>
      </w:r>
    </w:p>
    <w:p w:rsidR="00203600" w:rsidRDefault="00203600" w:rsidP="00203600">
      <w:pPr>
        <w:pStyle w:val="StandardWeb"/>
      </w:pPr>
      <w:r>
        <w:t>Daher gilt nicht allgemein:</w:t>
      </w:r>
    </w:p>
    <w:p w:rsidR="00203600" w:rsidRDefault="00203600" w:rsidP="00203600">
      <w:pPr>
        <w:pStyle w:val="StandardWeb"/>
      </w:pPr>
      <w:r>
        <w:t>[</w:t>
      </w:r>
      <w:r>
        <w:br/>
        <w:t>A_{\mathrm{I}}</w:t>
      </w:r>
      <w:r>
        <w:br/>
        <w:t>\Rightarrow</w:t>
      </w:r>
      <w:r>
        <w:br/>
        <w:t>\text{vollständige empirische Bestimmbarkeit}.</w:t>
      </w:r>
      <w:r>
        <w:br/>
        <w:t>\tag{3.4513}</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A_{\mathrm{I}}\Rightarrow\text{vollständige empirische Bestimmbarkeit}\qquad\text{(3.4513)}</w:t>
      </w:r>
    </w:p>
    <w:p w:rsidR="00203600" w:rsidRDefault="00203600" w:rsidP="00203600">
      <w:pPr>
        <w:pStyle w:val="StandardWeb"/>
      </w:pPr>
      <w:r>
        <w:t>Gleichung (3.4513) wird ausdrücklich nicht als Folgerung übernommen.</w:t>
      </w:r>
    </w:p>
    <w:p w:rsidR="00203600" w:rsidRDefault="00203600" w:rsidP="00203600">
      <w:pPr>
        <w:pStyle w:val="StandardWeb"/>
      </w:pPr>
      <w:r>
        <w:rPr>
          <w:rStyle w:val="Fett"/>
        </w:rPr>
        <w:t>Eigenleistung des FRZK</w:t>
      </w:r>
    </w:p>
    <w:p w:rsidR="00203600" w:rsidRDefault="00203600" w:rsidP="00203600">
      <w:pPr>
        <w:pStyle w:val="StandardWeb"/>
      </w:pPr>
      <w:r>
        <w:lastRenderedPageBreak/>
        <w:t>Ich verwende „funktionale Bestimmbarkeit“ im Primäraxiom nur im minimalen Sinn einer theoretisch unterscheidbaren Zustandsreferenz. Vollständige Messbarkeit, Eindeutigkeit, Beobachtbarkeit oder Rekonstruierbarkeit werden nicht axiomatisch vorausgesetzt.</w:t>
      </w:r>
    </w:p>
    <w:p w:rsidR="00203600" w:rsidRPr="00AF32B2" w:rsidRDefault="00203600" w:rsidP="00AF32B2">
      <w:pPr>
        <w:pStyle w:val="berschrift4"/>
      </w:pPr>
      <w:r w:rsidRPr="00AF32B2">
        <w:t>3.3.21.5 Keine innere Algebra des Zustandsbereichs</w:t>
      </w:r>
    </w:p>
    <w:p w:rsidR="00203600" w:rsidRDefault="00203600" w:rsidP="00203600">
      <w:pPr>
        <w:pStyle w:val="StandardWeb"/>
      </w:pPr>
      <w:r>
        <w:t>Primäraxiom I verlangt nicht, dass (\mathcal{S}_{\mathrm{el}}) bereits ein Vektorraum, metrischer Raum, topologischer Raum oder algebraischer Körper ist.</w:t>
      </w:r>
    </w:p>
    <w:p w:rsidR="00203600" w:rsidRDefault="00203600" w:rsidP="00203600">
      <w:pPr>
        <w:pStyle w:val="StandardWeb"/>
      </w:pPr>
      <w:r>
        <w:t>Insbesondere gilt nicht notwendig:</w:t>
      </w:r>
    </w:p>
    <w:p w:rsidR="00203600" w:rsidRDefault="00203600" w:rsidP="00203600">
      <w:pPr>
        <w:pStyle w:val="berschrift1"/>
      </w:pPr>
      <w:r>
        <w:t>[</w:t>
      </w:r>
      <w:r>
        <w:br/>
        <w:t>\mathcal{S}_{\mathrm{el}}</w:t>
      </w:r>
    </w:p>
    <w:p w:rsidR="00203600" w:rsidRDefault="00203600" w:rsidP="00203600">
      <w:pPr>
        <w:pStyle w:val="StandardWeb"/>
      </w:pPr>
      <w:r>
        <w:t>V</w:t>
      </w:r>
      <w:r>
        <w:br/>
        <w:t>\tag{3.4514}</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\mathcal{S}_{\mathrm{el}}=V\qquad\text{(3.4514)}</w:t>
      </w:r>
    </w:p>
    <w:p w:rsidR="00203600" w:rsidRDefault="00203600" w:rsidP="00203600">
      <w:pPr>
        <w:pStyle w:val="StandardWeb"/>
      </w:pPr>
      <w:r>
        <w:t>für einen Vektorraum (V).</w:t>
      </w:r>
    </w:p>
    <w:p w:rsidR="00203600" w:rsidRDefault="00203600" w:rsidP="00203600">
      <w:pPr>
        <w:pStyle w:val="StandardWeb"/>
      </w:pPr>
      <w:r>
        <w:t>Ebenso wird nicht vorausgesetzt:</w:t>
      </w:r>
    </w:p>
    <w:p w:rsidR="00203600" w:rsidRDefault="00203600" w:rsidP="00203600">
      <w:pPr>
        <w:pStyle w:val="berschrift1"/>
      </w:pPr>
      <w:r>
        <w:t>[</w:t>
      </w:r>
      <w:r>
        <w:br/>
        <w:t>\mathcal{S}_{\mathrm{el}}</w:t>
      </w:r>
    </w:p>
    <w:p w:rsidR="00203600" w:rsidRDefault="00203600" w:rsidP="00203600">
      <w:pPr>
        <w:pStyle w:val="StandardWeb"/>
      </w:pPr>
      <w:r>
        <w:t>\mathbb{R}^{n}.</w:t>
      </w:r>
      <w:r>
        <w:br/>
        <w:t>\tag{3.4515}</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\mathcal{S}_{\mathrm{el}}=\mathbb{R}^{n}\qquad\text{(3.4515)}</w:t>
      </w:r>
    </w:p>
    <w:p w:rsidR="00203600" w:rsidRDefault="00203600" w:rsidP="00203600">
      <w:pPr>
        <w:pStyle w:val="StandardWeb"/>
      </w:pPr>
      <w:r>
        <w:t>Eine solche Festlegung würde bereits Dimension, Skalare, Addition und Skalarmultiplikation in die elementare Zustandsgrundlage einführen [6, 75].</w:t>
      </w:r>
    </w:p>
    <w:p w:rsidR="00203600" w:rsidRDefault="00203600" w:rsidP="00203600">
      <w:pPr>
        <w:pStyle w:val="StandardWeb"/>
      </w:pPr>
      <w:r>
        <w:t>Die minimale Aussage bleibt:</w:t>
      </w:r>
    </w:p>
    <w:p w:rsidR="00203600" w:rsidRDefault="00203600" w:rsidP="00203600">
      <w:pPr>
        <w:pStyle w:val="StandardWeb"/>
      </w:pPr>
      <w:r>
        <w:t>[</w:t>
      </w:r>
      <w:r>
        <w:br/>
        <w:t>\mathcal{S}_{\mathrm{el}}</w:t>
      </w:r>
      <w:r>
        <w:br/>
        <w:t>\text{ ist eine nichtleere Menge}.</w:t>
      </w:r>
      <w:r>
        <w:br/>
        <w:t>\tag{3.4516}</w:t>
      </w:r>
      <w:r>
        <w:br/>
        <w:t>]</w:t>
      </w:r>
    </w:p>
    <w:p w:rsidR="00203600" w:rsidRDefault="00203600" w:rsidP="00203600">
      <w:pPr>
        <w:pStyle w:val="StandardWeb"/>
      </w:pPr>
      <w:r>
        <w:rPr>
          <w:rStyle w:val="Fett"/>
        </w:rPr>
        <w:lastRenderedPageBreak/>
        <w:t>Word-LaTeX</w:t>
      </w:r>
    </w:p>
    <w:p w:rsidR="00203600" w:rsidRDefault="00203600" w:rsidP="00203600">
      <w:pPr>
        <w:pStyle w:val="HTMLVorformatiert"/>
        <w:rPr>
          <w:rStyle w:val="HTMLCode"/>
        </w:rPr>
      </w:pPr>
      <w:r>
        <w:rPr>
          <w:rStyle w:val="HTMLCode"/>
        </w:rPr>
        <w:t>\mathcal{S}_{\mathrm{el}}\text{ ist eine nichtleere Menge}\qquad\text{(3.4516)}</w:t>
      </w:r>
    </w:p>
    <w:p w:rsidR="00203600" w:rsidRDefault="00203600" w:rsidP="00203600">
      <w:pPr>
        <w:pStyle w:val="StandardWeb"/>
      </w:pPr>
      <w:r>
        <w:t>Algebraische, topologische oder metrische Strukturen können später zusätzlich definiert werden.</w:t>
      </w:r>
    </w:p>
    <w:p w:rsidR="00203600" w:rsidRPr="00AF32B2" w:rsidRDefault="00203600" w:rsidP="00AF32B2">
      <w:pPr>
        <w:pStyle w:val="berschrift4"/>
      </w:pPr>
      <w:r w:rsidRPr="00AF32B2">
        <w:t>3.3.21.6 Ergebnis für Primäraxiom I</w:t>
      </w:r>
    </w:p>
    <w:p w:rsidR="00203600" w:rsidRDefault="00203600" w:rsidP="00203600">
      <w:pPr>
        <w:pStyle w:val="StandardWeb"/>
      </w:pPr>
      <w:r>
        <w:t>Die minimale Form von Primäraxiom I lautet:</w:t>
      </w:r>
    </w:p>
    <w:p w:rsidR="00203600" w:rsidRDefault="00203600" w:rsidP="00203600">
      <w:pPr>
        <w:pStyle w:val="StandardWeb"/>
      </w:pPr>
      <w:r>
        <w:t>[</w:t>
      </w:r>
      <w:r>
        <w:br/>
        <w:t>\boxed{</w:t>
      </w:r>
      <w:r>
        <w:br/>
        <w:t>A_{\mathrm{I}}:</w:t>
      </w:r>
      <w:r>
        <w:br/>
        <w:t>\mathcal{S}_{\mathrm{el}}</w:t>
      </w:r>
      <w:r>
        <w:br/>
        <w:t>\neq</w:t>
      </w:r>
      <w:r>
        <w:br/>
        <w:t>\emptyset</w:t>
      </w:r>
      <w:r>
        <w:br/>
        <w:t>}</w:t>
      </w:r>
      <w:r>
        <w:br/>
        <w:t>\tag{3.4517}</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\boxed{A_{\mathrm{I}}:\mathcal{S}_{\mathrm{el}}\neq\emptyset}\qquad\text{(3.4517)}</w:t>
      </w:r>
    </w:p>
    <w:p w:rsidR="00203600" w:rsidRDefault="00203600" w:rsidP="00203600">
      <w:pPr>
        <w:pStyle w:val="StandardWeb"/>
      </w:pPr>
      <w:r>
        <w:t>Nicht Bestandteil des Primäraxioms sind:</w:t>
      </w:r>
    </w:p>
    <w:p w:rsidR="00203600" w:rsidRDefault="00203600" w:rsidP="00632D23">
      <w:pPr>
        <w:pStyle w:val="StandardWeb"/>
        <w:numPr>
          <w:ilvl w:val="0"/>
          <w:numId w:val="98"/>
        </w:numPr>
      </w:pPr>
      <w:r>
        <w:t>mindestens zwei verschiedene Zustände,</w:t>
      </w:r>
    </w:p>
    <w:p w:rsidR="00203600" w:rsidRDefault="00203600" w:rsidP="00632D23">
      <w:pPr>
        <w:pStyle w:val="StandardWeb"/>
        <w:numPr>
          <w:ilvl w:val="0"/>
          <w:numId w:val="98"/>
        </w:numPr>
      </w:pPr>
      <w:r>
        <w:t>vollständige Beobachtbarkeit,</w:t>
      </w:r>
    </w:p>
    <w:p w:rsidR="00203600" w:rsidRDefault="00203600" w:rsidP="00632D23">
      <w:pPr>
        <w:pStyle w:val="StandardWeb"/>
        <w:numPr>
          <w:ilvl w:val="0"/>
          <w:numId w:val="98"/>
        </w:numPr>
      </w:pPr>
      <w:r>
        <w:t>eindeutige empirische Rekonstruktion,</w:t>
      </w:r>
    </w:p>
    <w:p w:rsidR="00203600" w:rsidRDefault="00203600" w:rsidP="00632D23">
      <w:pPr>
        <w:pStyle w:val="StandardWeb"/>
        <w:numPr>
          <w:ilvl w:val="0"/>
          <w:numId w:val="98"/>
        </w:numPr>
      </w:pPr>
      <w:r>
        <w:t>Koordinaten,</w:t>
      </w:r>
    </w:p>
    <w:p w:rsidR="00203600" w:rsidRDefault="00203600" w:rsidP="00632D23">
      <w:pPr>
        <w:pStyle w:val="StandardWeb"/>
        <w:numPr>
          <w:ilvl w:val="0"/>
          <w:numId w:val="98"/>
        </w:numPr>
      </w:pPr>
      <w:r>
        <w:t>Dimension,</w:t>
      </w:r>
    </w:p>
    <w:p w:rsidR="00203600" w:rsidRDefault="00203600" w:rsidP="00632D23">
      <w:pPr>
        <w:pStyle w:val="StandardWeb"/>
        <w:numPr>
          <w:ilvl w:val="0"/>
          <w:numId w:val="98"/>
        </w:numPr>
      </w:pPr>
      <w:r>
        <w:t>algebraische Operationen,</w:t>
      </w:r>
    </w:p>
    <w:p w:rsidR="00203600" w:rsidRDefault="00203600" w:rsidP="00632D23">
      <w:pPr>
        <w:pStyle w:val="StandardWeb"/>
        <w:numPr>
          <w:ilvl w:val="0"/>
          <w:numId w:val="98"/>
        </w:numPr>
      </w:pPr>
      <w:r>
        <w:t>metrische oder topologische Eigenschaften,</w:t>
      </w:r>
    </w:p>
    <w:p w:rsidR="00203600" w:rsidRDefault="00203600" w:rsidP="00632D23">
      <w:pPr>
        <w:pStyle w:val="StandardWeb"/>
        <w:numPr>
          <w:ilvl w:val="0"/>
          <w:numId w:val="98"/>
        </w:numPr>
      </w:pPr>
      <w:r>
        <w:t>physikalische Interpretation.</w:t>
      </w:r>
    </w:p>
    <w:p w:rsidR="00203600" w:rsidRDefault="00203600" w:rsidP="00203600">
      <w:pPr>
        <w:pStyle w:val="StandardWeb"/>
      </w:pPr>
      <w:r>
        <w:rPr>
          <w:rStyle w:val="Fett"/>
        </w:rPr>
        <w:t>Eigenleistung des FRZK</w:t>
      </w:r>
    </w:p>
    <w:p w:rsidR="00203600" w:rsidRDefault="00203600" w:rsidP="00203600">
      <w:pPr>
        <w:pStyle w:val="StandardWeb"/>
      </w:pPr>
      <w:r>
        <w:t>Primäraxiom I ist begrifflich minimal, wenn es ausschließlich einen nichtleeren elementaren Zustandsbereich fordert.</w:t>
      </w:r>
    </w:p>
    <w:p w:rsidR="00203600" w:rsidRPr="00AF32B2" w:rsidRDefault="00203600" w:rsidP="00AF32B2">
      <w:pPr>
        <w:pStyle w:val="berschrift4"/>
      </w:pPr>
      <w:r w:rsidRPr="00AF32B2">
        <w:t>3.3.21.7 Minimalform von Primäraxiom II</w:t>
      </w:r>
    </w:p>
    <w:p w:rsidR="00203600" w:rsidRDefault="00203600" w:rsidP="00203600">
      <w:pPr>
        <w:pStyle w:val="StandardWeb"/>
      </w:pPr>
      <w:r>
        <w:t>Primäraxiom II sichert die Existenz mindestens einer funktionalen Relation:</w:t>
      </w:r>
    </w:p>
    <w:p w:rsidR="00203600" w:rsidRDefault="00203600" w:rsidP="00203600">
      <w:pPr>
        <w:pStyle w:val="StandardWeb"/>
      </w:pPr>
      <w:r>
        <w:t>[</w:t>
      </w:r>
      <w:r>
        <w:br/>
        <w:t>A_{\mathrm{II}}:</w:t>
      </w:r>
      <w:r>
        <w:br/>
        <w:t>\mathfrak{R}_{\mathrm{f}}</w:t>
      </w:r>
      <w:r>
        <w:br/>
        <w:t>\neq</w:t>
      </w:r>
      <w:r>
        <w:br/>
      </w:r>
      <w:r>
        <w:lastRenderedPageBreak/>
        <w:t>\emptyset.</w:t>
      </w:r>
      <w:r>
        <w:br/>
        <w:t>\tag{3.4518}</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A_{\mathrm{II}}:\mathfrak{R}_{\mathrm{f}}\neq\emptyset\qquad\text{(3.4518)}</w:t>
      </w:r>
    </w:p>
    <w:p w:rsidR="00203600" w:rsidRDefault="00203600" w:rsidP="00203600">
      <w:pPr>
        <w:pStyle w:val="StandardWeb"/>
      </w:pPr>
      <w:r>
        <w:t>Für das typisierte FRZK gilt zusätzlich:</w:t>
      </w:r>
    </w:p>
    <w:p w:rsidR="00203600" w:rsidRDefault="00203600" w:rsidP="00203600">
      <w:pPr>
        <w:pStyle w:val="StandardWeb"/>
      </w:pPr>
      <w:r>
        <w:t>[</w:t>
      </w:r>
      <w:r>
        <w:br/>
        <w:t>\mathfrak{R}</w:t>
      </w:r>
      <w:r>
        <w:rPr>
          <w:rStyle w:val="Hervorhebung"/>
        </w:rPr>
        <w:t>{\mathrm{f}}</w:t>
      </w:r>
      <w:r>
        <w:rPr>
          <w:i/>
          <w:iCs/>
        </w:rPr>
        <w:br/>
      </w:r>
      <w:r>
        <w:rPr>
          <w:rStyle w:val="Hervorhebung"/>
        </w:rPr>
        <w:t>\subseteq</w:t>
      </w:r>
      <w:r>
        <w:rPr>
          <w:i/>
          <w:iCs/>
        </w:rPr>
        <w:br/>
      </w:r>
      <w:r>
        <w:rPr>
          <w:rStyle w:val="Hervorhebung"/>
        </w:rPr>
        <w:t>\mathcal{P}</w:t>
      </w:r>
      <w:r>
        <w:rPr>
          <w:i/>
          <w:iCs/>
        </w:rPr>
        <w:br/>
      </w:r>
      <w:r>
        <w:rPr>
          <w:rStyle w:val="Hervorhebung"/>
        </w:rPr>
        <w:t>\left(</w:t>
      </w:r>
      <w:r>
        <w:rPr>
          <w:i/>
          <w:iCs/>
        </w:rPr>
        <w:br/>
      </w:r>
      <w:r>
        <w:rPr>
          <w:rStyle w:val="Hervorhebung"/>
        </w:rPr>
        <w:t>\mathcal{S}</w:t>
      </w:r>
      <w:r>
        <w:t>{\mathrm{el}}</w:t>
      </w:r>
      <w:r>
        <w:br/>
        <w:t>\times</w:t>
      </w:r>
      <w:r>
        <w:br/>
        <w:t>\mathcal{S}_{\mathrm{el}}</w:t>
      </w:r>
      <w:r>
        <w:br/>
        <w:t>\right).</w:t>
      </w:r>
      <w:r>
        <w:br/>
        <w:t>\tag{3.4519}</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\mathfrak{R}_{\mathrm{f}}\subseteq\mathcal{P}\left(\mathcal{S}_{\mathrm{el}}\times\mathcal{S}_{\mathrm{el}}\right)\qquad\text{(3.4519)}</w:t>
      </w:r>
    </w:p>
    <w:p w:rsidR="00203600" w:rsidRDefault="00203600" w:rsidP="00203600">
      <w:pPr>
        <w:pStyle w:val="StandardWeb"/>
      </w:pPr>
      <w:r>
        <w:t>Die Existenzform lautet:</w:t>
      </w:r>
    </w:p>
    <w:p w:rsidR="00203600" w:rsidRDefault="00203600" w:rsidP="00203600">
      <w:pPr>
        <w:pStyle w:val="StandardWeb"/>
      </w:pPr>
      <w:r>
        <w:t>[</w:t>
      </w:r>
      <w:r>
        <w:br/>
        <w:t>\exists R\in\mathfrak{R}_{\mathrm{f}}.</w:t>
      </w:r>
      <w:r>
        <w:br/>
        <w:t>\tag{3.4520}</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\exists R\in\mathfrak{R}_{\mathrm{f}}\qquad\text{(3.4520)}</w:t>
      </w:r>
    </w:p>
    <w:p w:rsidR="00203600" w:rsidRDefault="00203600" w:rsidP="00203600">
      <w:pPr>
        <w:pStyle w:val="StandardWeb"/>
      </w:pPr>
      <w:r>
        <w:t>Ein einzelnes Relationsobjekt genügt damit zur Erfüllung des Primäraxioms.</w:t>
      </w:r>
    </w:p>
    <w:p w:rsidR="00203600" w:rsidRPr="00AF32B2" w:rsidRDefault="00203600" w:rsidP="00AF32B2">
      <w:pPr>
        <w:pStyle w:val="berschrift4"/>
      </w:pPr>
      <w:r w:rsidRPr="00AF32B2">
        <w:t>3.3.21.8 Muss die Relation binär sein?</w:t>
      </w:r>
    </w:p>
    <w:p w:rsidR="00203600" w:rsidRDefault="00203600" w:rsidP="00203600">
      <w:pPr>
        <w:pStyle w:val="StandardWeb"/>
      </w:pPr>
      <w:r>
        <w:t>Die bisherige Form verwendet binäre Relationen:</w:t>
      </w:r>
    </w:p>
    <w:p w:rsidR="00203600" w:rsidRDefault="00203600" w:rsidP="00203600">
      <w:pPr>
        <w:pStyle w:val="StandardWeb"/>
      </w:pPr>
      <w:r>
        <w:t>[</w:t>
      </w:r>
      <w:r>
        <w:br/>
        <w:t>R</w:t>
      </w:r>
      <w:r>
        <w:br/>
        <w:t>\subseteq</w:t>
      </w:r>
      <w:r>
        <w:br/>
        <w:t>\mathcal{S}</w:t>
      </w:r>
      <w:r>
        <w:rPr>
          <w:rStyle w:val="Hervorhebung"/>
        </w:rPr>
        <w:t>{\mathrm{el}}</w:t>
      </w:r>
      <w:r>
        <w:rPr>
          <w:i/>
          <w:iCs/>
        </w:rPr>
        <w:br/>
      </w:r>
      <w:r>
        <w:rPr>
          <w:rStyle w:val="Hervorhebung"/>
        </w:rPr>
        <w:t>\times</w:t>
      </w:r>
      <w:r>
        <w:rPr>
          <w:i/>
          <w:iCs/>
        </w:rPr>
        <w:br/>
      </w:r>
      <w:r>
        <w:rPr>
          <w:rStyle w:val="Hervorhebung"/>
        </w:rPr>
        <w:t>\mathcal{S}</w:t>
      </w:r>
      <w:r>
        <w:t>{\mathrm{el}}.</w:t>
      </w:r>
      <w:r>
        <w:br/>
        <w:t>\tag{3.4521}</w:t>
      </w:r>
      <w:r>
        <w:br/>
        <w:t>]</w:t>
      </w:r>
    </w:p>
    <w:p w:rsidR="00203600" w:rsidRDefault="00203600" w:rsidP="00203600">
      <w:pPr>
        <w:pStyle w:val="StandardWeb"/>
      </w:pPr>
      <w:r>
        <w:rPr>
          <w:rStyle w:val="Fett"/>
        </w:rPr>
        <w:lastRenderedPageBreak/>
        <w:t>Word-LaTeX</w:t>
      </w:r>
    </w:p>
    <w:p w:rsidR="00203600" w:rsidRDefault="00203600" w:rsidP="00203600">
      <w:pPr>
        <w:pStyle w:val="HTMLVorformatiert"/>
        <w:rPr>
          <w:rStyle w:val="HTMLCode"/>
        </w:rPr>
      </w:pPr>
      <w:r>
        <w:rPr>
          <w:rStyle w:val="HTMLCode"/>
        </w:rPr>
        <w:t>R\subseteq\mathcal{S}_{\mathrm{el}}\times\mathcal{S}_{\mathrm{el}}\qquad\text{(3.4521)}</w:t>
      </w:r>
    </w:p>
    <w:p w:rsidR="00203600" w:rsidRDefault="00203600" w:rsidP="00203600">
      <w:pPr>
        <w:pStyle w:val="StandardWeb"/>
      </w:pPr>
      <w:r>
        <w:t>Eine allgemeinere (n)-stellige Relation wäre dagegen gegeben durch</w:t>
      </w:r>
    </w:p>
    <w:p w:rsidR="00203600" w:rsidRDefault="00203600" w:rsidP="00203600">
      <w:pPr>
        <w:pStyle w:val="StandardWeb"/>
      </w:pPr>
      <w:r>
        <w:t>[</w:t>
      </w:r>
      <w:r>
        <w:br/>
        <w:t>R^{(n)}</w:t>
      </w:r>
      <w:r>
        <w:br/>
        <w:t>\subseteq</w:t>
      </w:r>
      <w:r>
        <w:br/>
        <w:t>\mathcal{S}_{\mathrm{el}}^{,n}.</w:t>
      </w:r>
      <w:r>
        <w:br/>
        <w:t>\tag{3.4522}</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R^{(n)}\subseteq\mathcal{S}_{\mathrm{el}}^{\,n}\qquad\text{(3.4522)}</w:t>
      </w:r>
    </w:p>
    <w:p w:rsidR="00203600" w:rsidRDefault="00203600" w:rsidP="00203600">
      <w:pPr>
        <w:pStyle w:val="StandardWeb"/>
      </w:pPr>
      <w:r>
        <w:t>Binäre Relationen genügen für die Beschreibung unmittelbarer Beziehungen zwischen zwei Zuständen. Mehrstellige Beziehungen können jedoch in bestimmten Modellen erforderlich sein.</w:t>
      </w:r>
    </w:p>
    <w:p w:rsidR="00203600" w:rsidRDefault="00203600" w:rsidP="00203600">
      <w:pPr>
        <w:pStyle w:val="StandardWeb"/>
      </w:pPr>
      <w:r>
        <w:t>Eine ternäre Relation hätte beispielsweise die Form</w:t>
      </w:r>
    </w:p>
    <w:p w:rsidR="00203600" w:rsidRDefault="00203600" w:rsidP="00203600">
      <w:pPr>
        <w:pStyle w:val="StandardWeb"/>
      </w:pPr>
      <w:r>
        <w:t>[</w:t>
      </w:r>
      <w:r>
        <w:br/>
        <w:t>R^{(3)}</w:t>
      </w:r>
      <w:r>
        <w:br/>
        <w:t>\subseteq</w:t>
      </w:r>
      <w:r>
        <w:br/>
        <w:t>\mathcal{S}</w:t>
      </w:r>
      <w:r>
        <w:rPr>
          <w:rStyle w:val="Hervorhebung"/>
        </w:rPr>
        <w:t>{\mathrm{el}}</w:t>
      </w:r>
      <w:r>
        <w:rPr>
          <w:i/>
          <w:iCs/>
        </w:rPr>
        <w:br/>
      </w:r>
      <w:r>
        <w:rPr>
          <w:rStyle w:val="Hervorhebung"/>
        </w:rPr>
        <w:t>\times</w:t>
      </w:r>
      <w:r>
        <w:rPr>
          <w:i/>
          <w:iCs/>
        </w:rPr>
        <w:br/>
      </w:r>
      <w:r>
        <w:rPr>
          <w:rStyle w:val="Hervorhebung"/>
        </w:rPr>
        <w:t>\mathcal{S}</w:t>
      </w:r>
      <w:r>
        <w:t>{\mathrm{el}}</w:t>
      </w:r>
      <w:r>
        <w:br/>
        <w:t>\times</w:t>
      </w:r>
      <w:r>
        <w:br/>
        <w:t>\mathcal{S}_{\mathrm{el}}.</w:t>
      </w:r>
      <w:r>
        <w:br/>
        <w:t>\tag{3.4523}</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R^{(3)}\subseteq\mathcal{S}_{\mathrm{el}}\times\mathcal{S}_{\mathrm{el}}\times\mathcal{S}_{\mathrm{el}}\qquad\text{(3.4523)}</w:t>
      </w:r>
    </w:p>
    <w:p w:rsidR="00203600" w:rsidRDefault="00203600" w:rsidP="00203600">
      <w:pPr>
        <w:pStyle w:val="StandardWeb"/>
      </w:pPr>
      <w:r>
        <w:t>Die Frage lautet deshalb, ob Binärität zum Primäraxiom oder zur späteren Modelltypisierung gehört.</w:t>
      </w:r>
    </w:p>
    <w:p w:rsidR="00203600" w:rsidRDefault="00203600" w:rsidP="00203600">
      <w:pPr>
        <w:pStyle w:val="StandardWeb"/>
      </w:pPr>
      <w:r>
        <w:rPr>
          <w:rStyle w:val="Fett"/>
        </w:rPr>
        <w:t>Eigenleistung des FRZK</w:t>
      </w:r>
    </w:p>
    <w:p w:rsidR="00203600" w:rsidRDefault="00203600" w:rsidP="00203600">
      <w:pPr>
        <w:pStyle w:val="StandardWeb"/>
      </w:pPr>
      <w:r>
        <w:t>Ich lege die elementare Relationierbarkeit nicht auf eine ausschließlich binäre Ontologie fest. Binäre Relationen bilden die minimale Standardrepräsentation des vorliegenden Aufbaus. Mehrstellige Relationen bleiben als modellspezifische Erweiterungen zulässig.</w:t>
      </w:r>
    </w:p>
    <w:p w:rsidR="00203600" w:rsidRPr="00AF32B2" w:rsidRDefault="00203600" w:rsidP="00AF32B2">
      <w:pPr>
        <w:pStyle w:val="berschrift4"/>
      </w:pPr>
      <w:r w:rsidRPr="00AF32B2">
        <w:t>3.3.21.9 Reduktion mehrstelliger Relationen</w:t>
      </w:r>
    </w:p>
    <w:p w:rsidR="00203600" w:rsidRDefault="00203600" w:rsidP="00203600">
      <w:pPr>
        <w:pStyle w:val="StandardWeb"/>
      </w:pPr>
      <w:r>
        <w:lastRenderedPageBreak/>
        <w:t>Eine mehrstellige Relation kann in geeigneten Modellen durch zusätzliche Relationszustände oder geordnete Tupel binär repräsentiert werden.</w:t>
      </w:r>
    </w:p>
    <w:p w:rsidR="00203600" w:rsidRDefault="00203600" w:rsidP="00203600">
      <w:pPr>
        <w:pStyle w:val="StandardWeb"/>
      </w:pPr>
      <w:r>
        <w:t>Für ein Tupel</w:t>
      </w:r>
    </w:p>
    <w:p w:rsidR="00203600" w:rsidRDefault="00203600" w:rsidP="00203600">
      <w:pPr>
        <w:pStyle w:val="berschrift1"/>
      </w:pPr>
      <w:r>
        <w:t>[</w:t>
      </w:r>
      <w:r>
        <w:br/>
        <w:t>\boldsymbol{\delta}</w:t>
      </w:r>
    </w:p>
    <w:p w:rsidR="00203600" w:rsidRDefault="00203600" w:rsidP="00203600">
      <w:pPr>
        <w:pStyle w:val="StandardWeb"/>
      </w:pPr>
      <w:r>
        <w:t>\left(</w:t>
      </w:r>
      <w:r>
        <w:br/>
        <w:t>\delta_1,</w:t>
      </w:r>
      <w:r>
        <w:br/>
        <w:t>\ldots,</w:t>
      </w:r>
      <w:r>
        <w:br/>
        <w:t>\delta_n</w:t>
      </w:r>
      <w:r>
        <w:br/>
        <w:t>\right)</w:t>
      </w:r>
      <w:r>
        <w:br/>
        <w:t>\tag{3.4524}</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\boldsymbol{\delta}=\left(\delta_1,\ldots,\delta_n\right)\qquad\text{(3.4524)}</w:t>
      </w:r>
    </w:p>
    <w:p w:rsidR="00203600" w:rsidRDefault="00203600" w:rsidP="00203600">
      <w:pPr>
        <w:pStyle w:val="StandardWeb"/>
      </w:pPr>
      <w:r>
        <w:t>kann ein zusammengesetztes Objekt eingeführt werden:</w:t>
      </w:r>
    </w:p>
    <w:p w:rsidR="00203600" w:rsidRDefault="00203600" w:rsidP="00203600">
      <w:pPr>
        <w:pStyle w:val="berschrift1"/>
      </w:pPr>
      <w:r>
        <w:t>[</w:t>
      </w:r>
      <w:r>
        <w:br/>
        <w:t>\delta_{\boldsymbol{R}}</w:t>
      </w:r>
    </w:p>
    <w:p w:rsidR="00203600" w:rsidRDefault="00203600" w:rsidP="00203600">
      <w:pPr>
        <w:pStyle w:val="StandardWeb"/>
      </w:pPr>
      <w:r>
        <w:t>\langle</w:t>
      </w:r>
      <w:r>
        <w:br/>
        <w:t>\delta_1,\ldots,\delta_n</w:t>
      </w:r>
      <w:r>
        <w:br/>
        <w:t>\rangle.</w:t>
      </w:r>
      <w:r>
        <w:br/>
        <w:t>\tag{3.4525}</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\delta_{\boldsymbol{R}}=\langle\delta_1,\ldots,\delta_n\rangle\qquad\text{(3.4525)}</w:t>
      </w:r>
    </w:p>
    <w:p w:rsidR="00203600" w:rsidRDefault="00203600" w:rsidP="00203600">
      <w:pPr>
        <w:pStyle w:val="StandardWeb"/>
      </w:pPr>
      <w:r>
        <w:t>Anschließend können binäre Zuordnungen zwischen den beteiligten Zuständen und dem zusammengesetzten Relationsobjekt definiert werden.</w:t>
      </w:r>
    </w:p>
    <w:p w:rsidR="00203600" w:rsidRDefault="00203600" w:rsidP="00203600">
      <w:pPr>
        <w:pStyle w:val="StandardWeb"/>
      </w:pPr>
      <w:r>
        <w:t>Diese Möglichkeit zeigt, dass die binäre Darstellung für den formalen Aufbau hinreichend sein kann. Sie beweist jedoch nicht, dass mehrstellige Relationen ontologisch bedeutungslos sind.</w:t>
      </w:r>
    </w:p>
    <w:p w:rsidR="00203600" w:rsidRPr="00AF32B2" w:rsidRDefault="00203600" w:rsidP="00AF32B2">
      <w:pPr>
        <w:pStyle w:val="berschrift4"/>
      </w:pPr>
      <w:r w:rsidRPr="00AF32B2">
        <w:t>3.3.21.10 Keine Reflexivitätspflicht</w:t>
      </w:r>
    </w:p>
    <w:p w:rsidR="00203600" w:rsidRDefault="00203600" w:rsidP="00203600">
      <w:pPr>
        <w:pStyle w:val="StandardWeb"/>
      </w:pPr>
      <w:r>
        <w:t>Eine verstärkte Relationierbarkeit könnte verlangen:</w:t>
      </w:r>
    </w:p>
    <w:p w:rsidR="00203600" w:rsidRDefault="00203600" w:rsidP="00203600">
      <w:pPr>
        <w:pStyle w:val="StandardWeb"/>
      </w:pPr>
      <w:r>
        <w:lastRenderedPageBreak/>
        <w:t>[</w:t>
      </w:r>
      <w:r>
        <w:br/>
        <w:t>\forall \delta\in\mathcal{S}_{\mathrm{el}}:</w:t>
      </w:r>
      <w:r>
        <w:br/>
        <w:t>(\delta,\delta)\in R.</w:t>
      </w:r>
      <w:r>
        <w:br/>
        <w:t>\tag{3.4526}</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\forall\delta\in\mathcal{S}_{\mathrm{el}}:(\delta,\delta)\in R\qquad\text{(3.4526)}</w:t>
      </w:r>
    </w:p>
    <w:p w:rsidR="00203600" w:rsidRDefault="00203600" w:rsidP="00203600">
      <w:pPr>
        <w:pStyle w:val="StandardWeb"/>
      </w:pPr>
      <w:r>
        <w:t>Dies wäre die Reflexivität von (R).</w:t>
      </w:r>
    </w:p>
    <w:p w:rsidR="00203600" w:rsidRDefault="00203600" w:rsidP="00203600">
      <w:pPr>
        <w:pStyle w:val="StandardWeb"/>
      </w:pPr>
      <w:r>
        <w:t>Nicht jede funktionale Relation muss reflexiv sein. Das Zwei-Zustands-Modell aus Abschnitt 3.3.20 enthält beispielsweise die Relation</w:t>
      </w:r>
    </w:p>
    <w:p w:rsidR="00203600" w:rsidRDefault="00203600" w:rsidP="00203600">
      <w:pPr>
        <w:pStyle w:val="berschrift1"/>
      </w:pPr>
      <w:r>
        <w:t>[</w:t>
      </w:r>
      <w:r>
        <w:br/>
        <w:t>R_{01}</w:t>
      </w:r>
    </w:p>
    <w:p w:rsidR="00203600" w:rsidRDefault="00203600" w:rsidP="00203600">
      <w:pPr>
        <w:pStyle w:val="StandardWeb"/>
      </w:pPr>
      <w:r>
        <w:t>{(\delta_0,\delta_1)},</w:t>
      </w:r>
      <w:r>
        <w:br/>
        <w:t>\tag{3.4527}</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R_{01}=\{(\delta_0,\delta_1)\}\qquad\text{(3.4527)}</w:t>
      </w:r>
    </w:p>
    <w:p w:rsidR="00203600" w:rsidRDefault="00203600" w:rsidP="00203600">
      <w:pPr>
        <w:pStyle w:val="StandardWeb"/>
      </w:pPr>
      <w:r>
        <w:t>für die weder</w:t>
      </w:r>
    </w:p>
    <w:p w:rsidR="00203600" w:rsidRDefault="00203600" w:rsidP="00203600">
      <w:pPr>
        <w:pStyle w:val="StandardWeb"/>
      </w:pPr>
      <w:r>
        <w:t>[</w:t>
      </w:r>
      <w:r>
        <w:br/>
        <w:t>(\delta_0,\delta_0)\in R_{01}</w:t>
      </w:r>
      <w:r>
        <w:br/>
        <w:t>\tag{3.4528}</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(\delta_0,\delta_0)\in R_{01}\qquad\text{(3.4528)}</w:t>
      </w:r>
    </w:p>
    <w:p w:rsidR="00203600" w:rsidRDefault="00203600" w:rsidP="00203600">
      <w:pPr>
        <w:pStyle w:val="StandardWeb"/>
      </w:pPr>
      <w:r>
        <w:t>noch</w:t>
      </w:r>
    </w:p>
    <w:p w:rsidR="00203600" w:rsidRDefault="00203600" w:rsidP="00203600">
      <w:pPr>
        <w:pStyle w:val="StandardWeb"/>
      </w:pPr>
      <w:r>
        <w:t>[</w:t>
      </w:r>
      <w:r>
        <w:br/>
        <w:t>(\delta_1,\delta_1)\in R_{01}</w:t>
      </w:r>
      <w:r>
        <w:br/>
        <w:t>\tag{3.4529}</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(\delta_1,\delta_1)\in R_{01}\qquad\text{(3.4529)}</w:t>
      </w:r>
    </w:p>
    <w:p w:rsidR="00203600" w:rsidRDefault="00203600" w:rsidP="00203600">
      <w:pPr>
        <w:pStyle w:val="StandardWeb"/>
      </w:pPr>
      <w:r>
        <w:t>gilt.</w:t>
      </w:r>
    </w:p>
    <w:p w:rsidR="00203600" w:rsidRDefault="00203600" w:rsidP="00203600">
      <w:pPr>
        <w:pStyle w:val="StandardWeb"/>
      </w:pPr>
      <w:r>
        <w:lastRenderedPageBreak/>
        <w:t>Die Aussagen in den Gleichungen (3.4528) und (3.4529) sind für dieses Beispiel falsch. Reflexivität darf daher nicht Bestandteil des allgemeinen Primäraxioms sein.</w:t>
      </w:r>
    </w:p>
    <w:p w:rsidR="00203600" w:rsidRPr="00AF32B2" w:rsidRDefault="00203600" w:rsidP="00AF32B2">
      <w:pPr>
        <w:pStyle w:val="berschrift4"/>
      </w:pPr>
      <w:r w:rsidRPr="00AF32B2">
        <w:t>3.3.21.11 Keine Symmetriepflicht</w:t>
      </w:r>
    </w:p>
    <w:p w:rsidR="00203600" w:rsidRDefault="00203600" w:rsidP="00203600">
      <w:pPr>
        <w:pStyle w:val="StandardWeb"/>
      </w:pPr>
      <w:r>
        <w:t>Symmetrie würde verlangen:</w:t>
      </w:r>
    </w:p>
    <w:p w:rsidR="00203600" w:rsidRDefault="00203600" w:rsidP="00203600">
      <w:pPr>
        <w:pStyle w:val="StandardWeb"/>
      </w:pPr>
      <w:r>
        <w:t>[</w:t>
      </w:r>
      <w:r>
        <w:br/>
        <w:t>(\delta_i,\delta_j)\in R</w:t>
      </w:r>
      <w:r>
        <w:br/>
        <w:t>\Rightarrow</w:t>
      </w:r>
      <w:r>
        <w:br/>
        <w:t>(\delta_j,\delta_i)\in R.</w:t>
      </w:r>
      <w:r>
        <w:br/>
        <w:t>\tag{3.4530}</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(\delta_i,\delta_j)\in R\Rightarrow(\delta_j,\delta_i)\in R\qquad\text{(3.4530)}</w:t>
      </w:r>
    </w:p>
    <w:p w:rsidR="00203600" w:rsidRDefault="00203600" w:rsidP="00203600">
      <w:pPr>
        <w:pStyle w:val="StandardWeb"/>
      </w:pPr>
      <w:r>
        <w:t>Funktionale Beziehungen können jedoch gerichtet sein. Für das Zwei-Zustands-Modell gilt:</w:t>
      </w:r>
    </w:p>
    <w:p w:rsidR="00203600" w:rsidRDefault="00203600" w:rsidP="00203600">
      <w:pPr>
        <w:pStyle w:val="StandardWeb"/>
      </w:pPr>
      <w:r>
        <w:t>[</w:t>
      </w:r>
      <w:r>
        <w:br/>
        <w:t>(\delta_0,\delta_1)\in R_{01},</w:t>
      </w:r>
      <w:r>
        <w:br/>
        <w:t>\tag{3.4531}</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(\delta_0,\delta_1)\in R_{01}\qquad\text{(3.4531)}</w:t>
      </w:r>
    </w:p>
    <w:p w:rsidR="00203600" w:rsidRDefault="00203600" w:rsidP="00203600">
      <w:pPr>
        <w:pStyle w:val="StandardWeb"/>
      </w:pPr>
      <w:r>
        <w:t>aber</w:t>
      </w:r>
    </w:p>
    <w:p w:rsidR="00203600" w:rsidRDefault="00203600" w:rsidP="00203600">
      <w:pPr>
        <w:pStyle w:val="StandardWeb"/>
      </w:pPr>
      <w:r>
        <w:t>[</w:t>
      </w:r>
      <w:r>
        <w:br/>
        <w:t>(\delta_1,\delta_0)\notin R_{01}.</w:t>
      </w:r>
      <w:r>
        <w:br/>
        <w:t>\tag{3.4532}</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(\delta_1,\delta_0)\notin R_{01}\qquad\text{(3.4532)}</w:t>
      </w:r>
    </w:p>
    <w:p w:rsidR="00203600" w:rsidRDefault="00203600" w:rsidP="00203600">
      <w:pPr>
        <w:pStyle w:val="StandardWeb"/>
      </w:pPr>
      <w:r>
        <w:t>Eine Symmetriepflicht würde gerichtete Beziehungen ausschließen. Sie wäre deshalb stärker als erforderlich.</w:t>
      </w:r>
    </w:p>
    <w:p w:rsidR="00203600" w:rsidRPr="00AF32B2" w:rsidRDefault="00203600" w:rsidP="00AF32B2">
      <w:pPr>
        <w:pStyle w:val="berschrift4"/>
      </w:pPr>
      <w:r w:rsidRPr="00AF32B2">
        <w:t>3.3.21.12 Keine Transitivitätspflicht</w:t>
      </w:r>
    </w:p>
    <w:p w:rsidR="00203600" w:rsidRDefault="00203600" w:rsidP="00203600">
      <w:pPr>
        <w:pStyle w:val="StandardWeb"/>
      </w:pPr>
      <w:r>
        <w:t>Transitivität würde verlangen:</w:t>
      </w:r>
    </w:p>
    <w:p w:rsidR="00203600" w:rsidRDefault="00203600" w:rsidP="00203600">
      <w:pPr>
        <w:pStyle w:val="StandardWeb"/>
      </w:pPr>
      <w:r>
        <w:t>[</w:t>
      </w:r>
      <w:r>
        <w:br/>
        <w:t>(\delta_i,\delta_j)\in R</w:t>
      </w:r>
      <w:r>
        <w:br/>
        <w:t>\land</w:t>
      </w:r>
      <w:r>
        <w:br/>
      </w:r>
      <w:r>
        <w:lastRenderedPageBreak/>
        <w:t>(\delta_j,\delta_k)\in R</w:t>
      </w:r>
      <w:r>
        <w:br/>
        <w:t>\Rightarrow</w:t>
      </w:r>
      <w:r>
        <w:br/>
        <w:t>(\delta_i,\delta_k)\in R.</w:t>
      </w:r>
      <w:r>
        <w:br/>
        <w:t>\tag{3.4533}</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(\delta_i,\delta_j)\in R\land(\delta_j,\delta_k)\in R\Rightarrow(\delta_i,\delta_k)\in R\qquad\text{(3.4533)}</w:t>
      </w:r>
    </w:p>
    <w:p w:rsidR="00203600" w:rsidRDefault="00203600" w:rsidP="00203600">
      <w:pPr>
        <w:pStyle w:val="StandardWeb"/>
      </w:pPr>
      <w:r>
        <w:t>Unmittelbare funktionale Relationen müssen jedoch nicht transitiv sein. Transitivität kann erst durch eine abgeleitete Erreichbarkeitsrelation entstehen.</w:t>
      </w:r>
    </w:p>
    <w:p w:rsidR="00203600" w:rsidRDefault="00203600" w:rsidP="00203600">
      <w:pPr>
        <w:pStyle w:val="StandardWeb"/>
      </w:pPr>
      <w:r>
        <w:t>Ich unterscheide deshalb:</w:t>
      </w:r>
    </w:p>
    <w:p w:rsidR="00203600" w:rsidRDefault="00203600" w:rsidP="00203600">
      <w:pPr>
        <w:pStyle w:val="StandardWeb"/>
      </w:pPr>
      <w:r>
        <w:t>[</w:t>
      </w:r>
      <w:r>
        <w:br/>
        <w:t>R</w:t>
      </w:r>
      <w:r>
        <w:br/>
        <w:t>\tag{3.4534}</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R\qquad\text{(3.4534)}</w:t>
      </w:r>
    </w:p>
    <w:p w:rsidR="00203600" w:rsidRDefault="00203600" w:rsidP="00203600">
      <w:pPr>
        <w:pStyle w:val="StandardWeb"/>
      </w:pPr>
      <w:r>
        <w:t>als unmittelbare funktionale Relation und</w:t>
      </w:r>
    </w:p>
    <w:p w:rsidR="00203600" w:rsidRDefault="00203600" w:rsidP="00203600">
      <w:pPr>
        <w:pStyle w:val="StandardWeb"/>
      </w:pPr>
      <w:r>
        <w:t>[</w:t>
      </w:r>
      <w:r>
        <w:br/>
        <w:t>R^{+}</w:t>
      </w:r>
      <w:r>
        <w:br/>
        <w:t>\tag{3.4535}</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R^{+}\qquad\text{(3.4535)}</w:t>
      </w:r>
    </w:p>
    <w:p w:rsidR="00203600" w:rsidRDefault="00203600" w:rsidP="00203600">
      <w:pPr>
        <w:pStyle w:val="StandardWeb"/>
      </w:pPr>
      <w:r>
        <w:t>als transitive Hülle.</w:t>
      </w:r>
    </w:p>
    <w:p w:rsidR="00203600" w:rsidRDefault="00203600" w:rsidP="00203600">
      <w:pPr>
        <w:pStyle w:val="StandardWeb"/>
      </w:pPr>
      <w:r>
        <w:t>Die transitive Hülle wird definiert durch:</w:t>
      </w:r>
    </w:p>
    <w:p w:rsidR="00203600" w:rsidRDefault="00203600" w:rsidP="00203600">
      <w:pPr>
        <w:pStyle w:val="berschrift1"/>
      </w:pPr>
      <w:r>
        <w:t>[</w:t>
      </w:r>
      <w:r>
        <w:br/>
        <w:t>R^{+}</w:t>
      </w:r>
    </w:p>
    <w:p w:rsidR="00203600" w:rsidRDefault="00203600" w:rsidP="00203600">
      <w:pPr>
        <w:pStyle w:val="StandardWeb"/>
      </w:pPr>
      <w:r>
        <w:t>\bigcup_{n\geq1}</w:t>
      </w:r>
      <w:r>
        <w:br/>
        <w:t>R^{n}.</w:t>
      </w:r>
      <w:r>
        <w:br/>
        <w:t>\tag{3.4536}</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lastRenderedPageBreak/>
        <w:t>R^{+}=\bigcup_{n\geq1}R^{n}\qquad\text{(3.4536)}</w:t>
      </w:r>
    </w:p>
    <w:p w:rsidR="00203600" w:rsidRDefault="00203600" w:rsidP="00203600">
      <w:pPr>
        <w:pStyle w:val="StandardWeb"/>
      </w:pPr>
      <w:r>
        <w:t>Damit kann Transitivität abgeleitet werden, ohne sie jedem elementaren Relationsobjekt aufzuerlegen [6].</w:t>
      </w:r>
    </w:p>
    <w:p w:rsidR="00203600" w:rsidRPr="00AF32B2" w:rsidRDefault="00203600" w:rsidP="00AF32B2">
      <w:pPr>
        <w:pStyle w:val="berschrift4"/>
      </w:pPr>
      <w:r w:rsidRPr="00AF32B2">
        <w:t>3.3.21.13 Keine Totalitätspflicht</w:t>
      </w:r>
    </w:p>
    <w:p w:rsidR="00203600" w:rsidRDefault="00203600" w:rsidP="00203600">
      <w:pPr>
        <w:pStyle w:val="StandardWeb"/>
      </w:pPr>
      <w:r>
        <w:t>Eine totale Relationierbarkeit könnte verlangen:</w:t>
      </w:r>
    </w:p>
    <w:p w:rsidR="00203600" w:rsidRDefault="00203600" w:rsidP="00203600">
      <w:pPr>
        <w:pStyle w:val="StandardWeb"/>
      </w:pPr>
      <w:r>
        <w:t>[</w:t>
      </w:r>
      <w:r>
        <w:br/>
        <w:t>\forall \delta_i,\delta_j\in\mathcal{S}_{\mathrm{el}}:</w:t>
      </w:r>
      <w:r>
        <w:br/>
        <w:t>(\delta_i,\delta_j)\in R</w:t>
      </w:r>
      <w:r>
        <w:br/>
        <w:t>\lor</w:t>
      </w:r>
      <w:r>
        <w:br/>
        <w:t>(\delta_j,\delta_i)\in R.</w:t>
      </w:r>
      <w:r>
        <w:br/>
        <w:t>\tag{3.4537}</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\forall\delta_i,\delta_j\in\mathcal{S}_{\mathrm{el}}:(\delta_i,\delta_j)\in R\lor(\delta_j,\delta_i)\in R\qquad\text{(3.4537)}</w:t>
      </w:r>
    </w:p>
    <w:p w:rsidR="00203600" w:rsidRDefault="00203600" w:rsidP="00203600">
      <w:pPr>
        <w:pStyle w:val="StandardWeb"/>
      </w:pPr>
      <w:r>
        <w:t>Diese Bedingung würde verlangen, dass jedes Zustandspaar in mindestens einer Richtung relationiert ist.</w:t>
      </w:r>
    </w:p>
    <w:p w:rsidR="00203600" w:rsidRDefault="00203600" w:rsidP="00203600">
      <w:pPr>
        <w:pStyle w:val="StandardWeb"/>
      </w:pPr>
      <w:r>
        <w:t>Das FRZK lässt jedoch unvergleichbare oder unverbundene Zustände ausdrücklich zu:</w:t>
      </w:r>
    </w:p>
    <w:p w:rsidR="00203600" w:rsidRDefault="00203600" w:rsidP="00203600">
      <w:pPr>
        <w:pStyle w:val="StandardWeb"/>
      </w:pPr>
      <w:r>
        <w:t>[</w:t>
      </w:r>
      <w:r>
        <w:br/>
        <w:t>(\delta_i,\delta_j)\notin R</w:t>
      </w:r>
      <w:r>
        <w:br/>
        <w:t>\land</w:t>
      </w:r>
      <w:r>
        <w:br/>
        <w:t>(\delta_j,\delta_i)\notin R.</w:t>
      </w:r>
      <w:r>
        <w:br/>
        <w:t>\tag{3.4538}</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(\delta_i,\delta_j)\notin R\land(\delta_j,\delta_i)\notin R\qquad\text{(3.4538)}</w:t>
      </w:r>
    </w:p>
    <w:p w:rsidR="00203600" w:rsidRDefault="00203600" w:rsidP="00203600">
      <w:pPr>
        <w:pStyle w:val="StandardWeb"/>
      </w:pPr>
      <w:r>
        <w:t>Totalität darf deshalb nicht Bestandteil des Primäraxioms sein.</w:t>
      </w:r>
    </w:p>
    <w:p w:rsidR="00203600" w:rsidRPr="00AF32B2" w:rsidRDefault="00203600" w:rsidP="00AF32B2">
      <w:pPr>
        <w:pStyle w:val="berschrift4"/>
      </w:pPr>
      <w:r w:rsidRPr="00AF32B2">
        <w:t>3.3.21.14 Ergebnis für Primäraxiom II</w:t>
      </w:r>
    </w:p>
    <w:p w:rsidR="00203600" w:rsidRDefault="00203600" w:rsidP="00203600">
      <w:pPr>
        <w:pStyle w:val="StandardWeb"/>
      </w:pPr>
      <w:r>
        <w:t>Die minimale Existenzform lautet:</w:t>
      </w:r>
    </w:p>
    <w:p w:rsidR="00203600" w:rsidRDefault="00203600" w:rsidP="00203600">
      <w:pPr>
        <w:pStyle w:val="StandardWeb"/>
      </w:pPr>
      <w:r>
        <w:t>[</w:t>
      </w:r>
      <w:r>
        <w:br/>
        <w:t>\boxed{</w:t>
      </w:r>
      <w:r>
        <w:br/>
        <w:t>A_{\mathrm{II}}:</w:t>
      </w:r>
      <w:r>
        <w:br/>
        <w:t>\mathfrak{R}_{\mathrm{f}}</w:t>
      </w:r>
      <w:r>
        <w:br/>
        <w:t>\neq</w:t>
      </w:r>
      <w:r>
        <w:br/>
        <w:t>\emptyset</w:t>
      </w:r>
      <w:r>
        <w:br/>
        <w:t>}</w:t>
      </w:r>
      <w:r>
        <w:br/>
      </w:r>
      <w:r>
        <w:lastRenderedPageBreak/>
        <w:t>\tag{3.4539}</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\boxed{A_{\mathrm{II}}:\mathfrak{R}_{\mathrm{f}}\neq\emptyset}\qquad\text{(3.4539)}</w:t>
      </w:r>
    </w:p>
    <w:p w:rsidR="00203600" w:rsidRDefault="00203600" w:rsidP="00203600">
      <w:pPr>
        <w:pStyle w:val="StandardWeb"/>
      </w:pPr>
      <w:r>
        <w:t>Für das typisierte FRZK gilt ergänzend:</w:t>
      </w:r>
    </w:p>
    <w:p w:rsidR="00203600" w:rsidRDefault="00203600" w:rsidP="00203600">
      <w:pPr>
        <w:pStyle w:val="StandardWeb"/>
      </w:pPr>
      <w:r>
        <w:t>[</w:t>
      </w:r>
      <w:r>
        <w:br/>
        <w:t>\forall R\in\mathfrak{R}</w:t>
      </w:r>
      <w:r>
        <w:rPr>
          <w:rStyle w:val="Hervorhebung"/>
        </w:rPr>
        <w:t>{\mathrm{f}}:</w:t>
      </w:r>
      <w:r>
        <w:rPr>
          <w:i/>
          <w:iCs/>
        </w:rPr>
        <w:br/>
      </w:r>
      <w:r>
        <w:rPr>
          <w:rStyle w:val="Hervorhebung"/>
        </w:rPr>
        <w:t>R</w:t>
      </w:r>
      <w:r>
        <w:rPr>
          <w:i/>
          <w:iCs/>
        </w:rPr>
        <w:br/>
      </w:r>
      <w:r>
        <w:rPr>
          <w:rStyle w:val="Hervorhebung"/>
        </w:rPr>
        <w:t>\subseteq</w:t>
      </w:r>
      <w:r>
        <w:rPr>
          <w:i/>
          <w:iCs/>
        </w:rPr>
        <w:br/>
      </w:r>
      <w:r>
        <w:rPr>
          <w:rStyle w:val="Hervorhebung"/>
        </w:rPr>
        <w:t>\mathcal{S}</w:t>
      </w:r>
      <w:r>
        <w:t>{\mathrm{el}}</w:t>
      </w:r>
      <w:r>
        <w:br/>
        <w:t>\times</w:t>
      </w:r>
      <w:r>
        <w:br/>
        <w:t>\mathcal{S}_{\mathrm{el}}.</w:t>
      </w:r>
      <w:r>
        <w:br/>
        <w:t>\tag{3.4540}</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\forall R\in\mathfrak{R}_{\mathrm{f}}:R\subseteq\mathcal{S}_{\mathrm{el}}\times\mathcal{S}_{\mathrm{el}}\qquad\text{(3.4540)}</w:t>
      </w:r>
    </w:p>
    <w:p w:rsidR="00203600" w:rsidRDefault="00203600" w:rsidP="00203600">
      <w:pPr>
        <w:pStyle w:val="StandardWeb"/>
      </w:pPr>
      <w:r>
        <w:t>Nicht Bestandteil des Primäraxioms sind:</w:t>
      </w:r>
    </w:p>
    <w:p w:rsidR="00203600" w:rsidRDefault="00203600" w:rsidP="00632D23">
      <w:pPr>
        <w:pStyle w:val="StandardWeb"/>
        <w:numPr>
          <w:ilvl w:val="0"/>
          <w:numId w:val="99"/>
        </w:numPr>
      </w:pPr>
      <w:r>
        <w:t>Reflexivität,</w:t>
      </w:r>
    </w:p>
    <w:p w:rsidR="00203600" w:rsidRDefault="00203600" w:rsidP="00632D23">
      <w:pPr>
        <w:pStyle w:val="StandardWeb"/>
        <w:numPr>
          <w:ilvl w:val="0"/>
          <w:numId w:val="99"/>
        </w:numPr>
      </w:pPr>
      <w:r>
        <w:t>Symmetrie,</w:t>
      </w:r>
    </w:p>
    <w:p w:rsidR="00203600" w:rsidRDefault="00203600" w:rsidP="00632D23">
      <w:pPr>
        <w:pStyle w:val="StandardWeb"/>
        <w:numPr>
          <w:ilvl w:val="0"/>
          <w:numId w:val="99"/>
        </w:numPr>
      </w:pPr>
      <w:r>
        <w:t>Antisymmetrie,</w:t>
      </w:r>
    </w:p>
    <w:p w:rsidR="00203600" w:rsidRDefault="00203600" w:rsidP="00632D23">
      <w:pPr>
        <w:pStyle w:val="StandardWeb"/>
        <w:numPr>
          <w:ilvl w:val="0"/>
          <w:numId w:val="99"/>
        </w:numPr>
      </w:pPr>
      <w:r>
        <w:t>Transitivität,</w:t>
      </w:r>
    </w:p>
    <w:p w:rsidR="00203600" w:rsidRDefault="00203600" w:rsidP="00632D23">
      <w:pPr>
        <w:pStyle w:val="StandardWeb"/>
        <w:numPr>
          <w:ilvl w:val="0"/>
          <w:numId w:val="99"/>
        </w:numPr>
      </w:pPr>
      <w:r>
        <w:t>Totalität,</w:t>
      </w:r>
    </w:p>
    <w:p w:rsidR="00203600" w:rsidRDefault="00203600" w:rsidP="00632D23">
      <w:pPr>
        <w:pStyle w:val="StandardWeb"/>
        <w:numPr>
          <w:ilvl w:val="0"/>
          <w:numId w:val="99"/>
        </w:numPr>
      </w:pPr>
      <w:r>
        <w:t>Eindeutigkeit,</w:t>
      </w:r>
    </w:p>
    <w:p w:rsidR="00203600" w:rsidRDefault="00203600" w:rsidP="00632D23">
      <w:pPr>
        <w:pStyle w:val="StandardWeb"/>
        <w:numPr>
          <w:ilvl w:val="0"/>
          <w:numId w:val="99"/>
        </w:numPr>
      </w:pPr>
      <w:r>
        <w:t>räumliche Interpretation,</w:t>
      </w:r>
    </w:p>
    <w:p w:rsidR="00203600" w:rsidRDefault="00203600" w:rsidP="00632D23">
      <w:pPr>
        <w:pStyle w:val="StandardWeb"/>
        <w:numPr>
          <w:ilvl w:val="0"/>
          <w:numId w:val="99"/>
        </w:numPr>
      </w:pPr>
      <w:r>
        <w:t>kausale Interpretation,</w:t>
      </w:r>
    </w:p>
    <w:p w:rsidR="00203600" w:rsidRDefault="00203600" w:rsidP="00632D23">
      <w:pPr>
        <w:pStyle w:val="StandardWeb"/>
        <w:numPr>
          <w:ilvl w:val="0"/>
          <w:numId w:val="99"/>
        </w:numPr>
      </w:pPr>
      <w:r>
        <w:t>quantitative Gewichtung.</w:t>
      </w:r>
    </w:p>
    <w:p w:rsidR="00203600" w:rsidRDefault="00203600" w:rsidP="00203600">
      <w:pPr>
        <w:pStyle w:val="StandardWeb"/>
      </w:pPr>
      <w:r>
        <w:rPr>
          <w:rStyle w:val="Fett"/>
        </w:rPr>
        <w:t>Eigenleistung des FRZK</w:t>
      </w:r>
    </w:p>
    <w:p w:rsidR="00203600" w:rsidRDefault="00203600" w:rsidP="00203600">
      <w:pPr>
        <w:pStyle w:val="StandardWeb"/>
      </w:pPr>
      <w:r>
        <w:t>Primäraxiom II ist begrifflich minimal, wenn es nur die Existenz mindestens eines funktionalen Relationsobjekts sichert. Die konkreten Eigenschaften einzelner Relationen gehören in Definitionen oder Modellbedingungen.</w:t>
      </w:r>
    </w:p>
    <w:p w:rsidR="00203600" w:rsidRPr="00AF32B2" w:rsidRDefault="00203600" w:rsidP="00AF32B2">
      <w:pPr>
        <w:pStyle w:val="berschrift4"/>
      </w:pPr>
      <w:r w:rsidRPr="00AF32B2">
        <w:t>3.3.21.15 Minimalform von Primäraxiom III</w:t>
      </w:r>
    </w:p>
    <w:p w:rsidR="00203600" w:rsidRDefault="00203600" w:rsidP="00203600">
      <w:pPr>
        <w:pStyle w:val="StandardWeb"/>
      </w:pPr>
      <w:r>
        <w:t>Primäraxiom III sichert die Existenz mindestens einer funktionalen Transformation:</w:t>
      </w:r>
    </w:p>
    <w:p w:rsidR="00203600" w:rsidRDefault="00203600" w:rsidP="00203600">
      <w:pPr>
        <w:pStyle w:val="StandardWeb"/>
      </w:pPr>
      <w:r>
        <w:t>[</w:t>
      </w:r>
      <w:r>
        <w:br/>
        <w:t>A_{\mathrm{III}}:</w:t>
      </w:r>
      <w:r>
        <w:br/>
        <w:t>\mathfrak{T}_{\mathrm{f}}</w:t>
      </w:r>
      <w:r>
        <w:br/>
        <w:t>\neq</w:t>
      </w:r>
      <w:r>
        <w:br/>
      </w:r>
      <w:r>
        <w:lastRenderedPageBreak/>
        <w:t>\emptyset.</w:t>
      </w:r>
      <w:r>
        <w:br/>
        <w:t>\tag{3.4541}</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A_{\mathrm{III}}:\mathfrak{T}_{\mathrm{f}}\neq\emptyset\qquad\text{(3.4541)}</w:t>
      </w:r>
    </w:p>
    <w:p w:rsidR="00203600" w:rsidRDefault="00203600" w:rsidP="00203600">
      <w:pPr>
        <w:pStyle w:val="StandardWeb"/>
      </w:pPr>
      <w:r>
        <w:t>Im typisierten FRZK gilt:</w:t>
      </w:r>
    </w:p>
    <w:p w:rsidR="00203600" w:rsidRDefault="00203600" w:rsidP="00203600">
      <w:pPr>
        <w:pStyle w:val="StandardWeb"/>
      </w:pPr>
      <w:r>
        <w:t>[</w:t>
      </w:r>
      <w:r>
        <w:br/>
        <w:t>\mathfrak{T}</w:t>
      </w:r>
      <w:r>
        <w:rPr>
          <w:rStyle w:val="Hervorhebung"/>
        </w:rPr>
        <w:t>{\mathrm{f}}</w:t>
      </w:r>
      <w:r>
        <w:rPr>
          <w:i/>
          <w:iCs/>
        </w:rPr>
        <w:br/>
      </w:r>
      <w:r>
        <w:rPr>
          <w:rStyle w:val="Hervorhebung"/>
        </w:rPr>
        <w:t>\subseteq</w:t>
      </w:r>
      <w:r>
        <w:rPr>
          <w:i/>
          <w:iCs/>
        </w:rPr>
        <w:br/>
      </w:r>
      <w:r>
        <w:rPr>
          <w:rStyle w:val="Hervorhebung"/>
        </w:rPr>
        <w:t>\mathcal{S}</w:t>
      </w:r>
      <w:r>
        <w:t>{\mathrm{el}}^{\mathcal{S}_{\mathrm{el}}}.</w:t>
      </w:r>
      <w:r>
        <w:br/>
        <w:t>\tag{3.4542}</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\mathfrak{T}_{\mathrm{f}}\subseteq\mathcal{S}_{\mathrm{el}}^{\mathcal{S}_{\mathrm{el}}}\qquad\text{(3.4542)}</w:t>
      </w:r>
    </w:p>
    <w:p w:rsidR="00203600" w:rsidRDefault="00203600" w:rsidP="00203600">
      <w:pPr>
        <w:pStyle w:val="StandardWeb"/>
      </w:pPr>
      <w:r>
        <w:t>Die Existenzform lautet:</w:t>
      </w:r>
    </w:p>
    <w:p w:rsidR="00203600" w:rsidRDefault="00203600" w:rsidP="00203600">
      <w:pPr>
        <w:pStyle w:val="StandardWeb"/>
      </w:pPr>
      <w:r>
        <w:t>[</w:t>
      </w:r>
      <w:r>
        <w:br/>
        <w:t>\exists T\in\mathfrak{T}_{\mathrm{f}}.</w:t>
      </w:r>
      <w:r>
        <w:br/>
        <w:t>\tag{3.4543}</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\exists T\in\mathfrak{T}_{\mathrm{f}}\qquad\text{(3.4543)}</w:t>
      </w:r>
    </w:p>
    <w:p w:rsidR="00203600" w:rsidRDefault="00203600" w:rsidP="00203600">
      <w:pPr>
        <w:pStyle w:val="StandardWeb"/>
      </w:pPr>
      <w:r>
        <w:t>Damit wird zunächst nur mindestens eine wohldefinierte Abbildung des Zustandsbereichs in sich selbst verlangt.</w:t>
      </w:r>
    </w:p>
    <w:p w:rsidR="00203600" w:rsidRPr="00AF32B2" w:rsidRDefault="00203600" w:rsidP="00AF32B2">
      <w:pPr>
        <w:pStyle w:val="berschrift4"/>
      </w:pPr>
      <w:r w:rsidRPr="00AF32B2">
        <w:t>3.3.21.16 Muss eine Transformation den Zustand verändern?</w:t>
      </w:r>
    </w:p>
    <w:p w:rsidR="00203600" w:rsidRDefault="00203600" w:rsidP="00203600">
      <w:pPr>
        <w:pStyle w:val="StandardWeb"/>
      </w:pPr>
      <w:r>
        <w:t>Eine verstärkte Transformierbarkeit könnte verlangen:</w:t>
      </w:r>
    </w:p>
    <w:p w:rsidR="00203600" w:rsidRDefault="00203600" w:rsidP="00203600">
      <w:pPr>
        <w:pStyle w:val="StandardWeb"/>
      </w:pPr>
      <w:r>
        <w:t>[</w:t>
      </w:r>
      <w:r>
        <w:br/>
        <w:t>\exists \delta\in\mathcal{S}_{\mathrm{el}}:</w:t>
      </w:r>
      <w:r>
        <w:br/>
        <w:t>T(\delta)\neq\delta.</w:t>
      </w:r>
      <w:r>
        <w:br/>
        <w:t>\tag{3.4544}</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\exists\delta\in\mathcal{S}_{\mathrm{el}}:T(\delta)\neq\delta\qquad\text{(3.4544)}</w:t>
      </w:r>
    </w:p>
    <w:p w:rsidR="00203600" w:rsidRDefault="00203600" w:rsidP="00203600">
      <w:pPr>
        <w:pStyle w:val="StandardWeb"/>
      </w:pPr>
      <w:r>
        <w:lastRenderedPageBreak/>
        <w:t>Diese Forderung schließt die Identitätsabbildung als einzige Transformation aus.</w:t>
      </w:r>
    </w:p>
    <w:p w:rsidR="00203600" w:rsidRDefault="00203600" w:rsidP="00203600">
      <w:pPr>
        <w:pStyle w:val="StandardWeb"/>
      </w:pPr>
      <w:r>
        <w:t>Das Minimalmodell aus Abschnitt 3.3.20 verwendet jedoch:</w:t>
      </w:r>
    </w:p>
    <w:p w:rsidR="00203600" w:rsidRDefault="00203600" w:rsidP="00203600">
      <w:pPr>
        <w:pStyle w:val="berschrift1"/>
      </w:pPr>
      <w:r>
        <w:t>[</w:t>
      </w:r>
      <w:r>
        <w:br/>
        <w:t>T_0</w:t>
      </w:r>
    </w:p>
    <w:p w:rsidR="00203600" w:rsidRDefault="00203600" w:rsidP="00203600">
      <w:pPr>
        <w:pStyle w:val="StandardWeb"/>
      </w:pPr>
      <w:r>
        <w:t>\operatorname{id}</w:t>
      </w:r>
      <w:r>
        <w:rPr>
          <w:rStyle w:val="Hervorhebung"/>
        </w:rPr>
        <w:t>{\mathcal{S}</w:t>
      </w:r>
      <w:r>
        <w:t>{\mathrm{el}}^{\min}}.</w:t>
      </w:r>
      <w:r>
        <w:br/>
        <w:t>\tag{3.4545}</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T_0=\operatorname{id}_{\mathcal{S}_{\mathrm{el}}^{\min}}\qquad\text{(3.4545)}</w:t>
      </w:r>
    </w:p>
    <w:p w:rsidR="00203600" w:rsidRDefault="00203600" w:rsidP="00203600">
      <w:pPr>
        <w:pStyle w:val="StandardWeb"/>
      </w:pPr>
      <w:r>
        <w:t>Für diesen Operator gilt:</w:t>
      </w:r>
    </w:p>
    <w:p w:rsidR="00203600" w:rsidRDefault="00203600" w:rsidP="00203600">
      <w:pPr>
        <w:pStyle w:val="StandardWeb"/>
      </w:pPr>
      <w:r>
        <w:t>[</w:t>
      </w:r>
      <w:r>
        <w:br/>
        <w:t>\forall \delta\in\mathcal{S}_{\mathrm{el}}^{\min}:</w:t>
      </w:r>
      <w:r>
        <w:br/>
        <w:t>T_0(\delta)=\delta.</w:t>
      </w:r>
      <w:r>
        <w:br/>
        <w:t>\tag{3.4546}</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\forall\delta\in\mathcal{S}_{\mathrm{el}}^{\min}:T_0(\delta)=\delta\qquad\text{(3.4546)}</w:t>
      </w:r>
    </w:p>
    <w:p w:rsidR="00203600" w:rsidRDefault="00203600" w:rsidP="00203600">
      <w:pPr>
        <w:pStyle w:val="StandardWeb"/>
      </w:pPr>
      <w:r>
        <w:t>Trotzdem handelt es sich um eine wohldefinierte Transformation.</w:t>
      </w:r>
    </w:p>
    <w:p w:rsidR="00203600" w:rsidRDefault="00203600" w:rsidP="00203600">
      <w:pPr>
        <w:pStyle w:val="StandardWeb"/>
      </w:pPr>
      <w:r>
        <w:rPr>
          <w:rStyle w:val="Fett"/>
        </w:rPr>
        <w:t>Eigenleistung des FRZK</w:t>
      </w:r>
    </w:p>
    <w:p w:rsidR="00203600" w:rsidRDefault="00203600" w:rsidP="00203600">
      <w:pPr>
        <w:pStyle w:val="StandardWeb"/>
      </w:pPr>
      <w:r>
        <w:t>Ich unterscheide Transformierbarkeit und nichttriviale Veränderbarkeit. Transformierbarkeit verlangt die Existenz einer Abbildung. Nichttriviale Veränderbarkeit verlangt zusätzlich mindestens einen Zustand, der nicht auf sich selbst abgebildet wird.</w:t>
      </w:r>
    </w:p>
    <w:p w:rsidR="00203600" w:rsidRPr="00AF32B2" w:rsidRDefault="00203600" w:rsidP="00AF32B2">
      <w:pPr>
        <w:pStyle w:val="berschrift4"/>
      </w:pPr>
      <w:r w:rsidRPr="00AF32B2">
        <w:t>3.3.21.17 Definition nichttrivialer Transformierbarkeit</w:t>
      </w:r>
    </w:p>
    <w:p w:rsidR="00203600" w:rsidRDefault="00203600" w:rsidP="00203600">
      <w:pPr>
        <w:pStyle w:val="StandardWeb"/>
      </w:pPr>
      <w:r>
        <w:t>Eine Transformation (T) heißt nichttrivial, wenn</w:t>
      </w:r>
    </w:p>
    <w:p w:rsidR="00203600" w:rsidRDefault="00203600" w:rsidP="00203600">
      <w:pPr>
        <w:pStyle w:val="StandardWeb"/>
      </w:pPr>
      <w:r>
        <w:t>[</w:t>
      </w:r>
      <w:r>
        <w:br/>
        <w:t>\exists \delta\in\mathcal{S}_{\mathrm{el}}:</w:t>
      </w:r>
      <w:r>
        <w:br/>
        <w:t>T(\delta)\neq\delta.</w:t>
      </w:r>
      <w:r>
        <w:br/>
        <w:t>\tag{3.4547}</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lastRenderedPageBreak/>
        <w:t>\exists\delta\in\mathcal{S}_{\mathrm{el}}:T(\delta)\neq\delta\qquad\text{(3.4547)}</w:t>
      </w:r>
    </w:p>
    <w:p w:rsidR="00203600" w:rsidRDefault="00203600" w:rsidP="00203600">
      <w:pPr>
        <w:pStyle w:val="StandardWeb"/>
      </w:pPr>
      <w:r>
        <w:t>Die Menge nichttrivialer Transformationen lautet:</w:t>
      </w:r>
    </w:p>
    <w:p w:rsidR="00203600" w:rsidRDefault="00203600" w:rsidP="00203600">
      <w:pPr>
        <w:pStyle w:val="berschrift1"/>
      </w:pPr>
      <w:r>
        <w:t>[</w:t>
      </w:r>
      <w:r>
        <w:br/>
        <w:t>\mathfrak{T}_{\mathrm{f}}^{\ast}</w:t>
      </w:r>
    </w:p>
    <w:p w:rsidR="00203600" w:rsidRDefault="00203600" w:rsidP="00203600">
      <w:pPr>
        <w:pStyle w:val="StandardWeb"/>
      </w:pPr>
      <w:r>
        <w:t>\left{</w:t>
      </w:r>
      <w:r>
        <w:br/>
        <w:t>T\in\mathfrak{T}_{\mathrm{f}}</w:t>
      </w:r>
      <w:r>
        <w:br/>
        <w:t>;\middle|;</w:t>
      </w:r>
      <w:r>
        <w:br/>
        <w:t>\exists \delta:</w:t>
      </w:r>
      <w:r>
        <w:br/>
        <w:t>T(\delta)\neq\delta</w:t>
      </w:r>
      <w:r>
        <w:br/>
        <w:t>\right}.</w:t>
      </w:r>
      <w:r>
        <w:br/>
        <w:t>\tag{3.4548}</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\mathfrak{T}_{\mathrm{f}}^{\ast}=\left\{T\in\mathfrak{T}_{\mathrm{f}}\middle|\exists\delta:T(\delta)\neq\delta\right\}\qquad\text{(3.4548)}</w:t>
      </w:r>
    </w:p>
    <w:p w:rsidR="00203600" w:rsidRDefault="00203600" w:rsidP="00203600">
      <w:pPr>
        <w:pStyle w:val="StandardWeb"/>
      </w:pPr>
      <w:r>
        <w:t>Ein Modell besitzt nichttriviale Transformierbarkeit, wenn</w:t>
      </w:r>
    </w:p>
    <w:p w:rsidR="00203600" w:rsidRDefault="00203600" w:rsidP="00203600">
      <w:pPr>
        <w:pStyle w:val="StandardWeb"/>
      </w:pPr>
      <w:r>
        <w:t>[</w:t>
      </w:r>
      <w:r>
        <w:br/>
        <w:t>\mathfrak{T}_{\mathrm{f}}^{\ast}</w:t>
      </w:r>
      <w:r>
        <w:br/>
        <w:t>\neq</w:t>
      </w:r>
      <w:r>
        <w:br/>
        <w:t>\emptyset.</w:t>
      </w:r>
      <w:r>
        <w:br/>
        <w:t>\tag{3.4549}</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\mathfrak{T}_{\mathrm{f}}^{\ast}\neq\emptyset\qquad\text{(3.4549)}</w:t>
      </w:r>
    </w:p>
    <w:p w:rsidR="00203600" w:rsidRDefault="00203600" w:rsidP="00203600">
      <w:pPr>
        <w:pStyle w:val="StandardWeb"/>
      </w:pPr>
      <w:r>
        <w:t>Diese Eigenschaft kann für dynamische Modelle gefordert werden. Sie gehört jedoch nicht zur minimalen Primärebene.</w:t>
      </w:r>
    </w:p>
    <w:p w:rsidR="00203600" w:rsidRPr="00AF32B2" w:rsidRDefault="00203600" w:rsidP="00AF32B2">
      <w:pPr>
        <w:pStyle w:val="berschrift4"/>
      </w:pPr>
      <w:r w:rsidRPr="00AF32B2">
        <w:t>3.3.21.18 Keine Invertierbarkeitspflicht</w:t>
      </w:r>
    </w:p>
    <w:p w:rsidR="00203600" w:rsidRDefault="00203600" w:rsidP="00203600">
      <w:pPr>
        <w:pStyle w:val="StandardWeb"/>
      </w:pPr>
      <w:r>
        <w:t>Invertierbarkeit würde für eine Transformation (T) die Existenz einer Umkehrabbildung verlangen:</w:t>
      </w:r>
    </w:p>
    <w:p w:rsidR="00203600" w:rsidRDefault="00203600" w:rsidP="00203600">
      <w:pPr>
        <w:pStyle w:val="berschrift1"/>
      </w:pPr>
      <w:r>
        <w:t>[</w:t>
      </w:r>
      <w:r>
        <w:br/>
        <w:t>\exists T^{-1}:</w:t>
      </w:r>
      <w:r>
        <w:br/>
        <w:t>T^{-1}\circ T</w:t>
      </w:r>
    </w:p>
    <w:p w:rsidR="00203600" w:rsidRDefault="00203600" w:rsidP="00203600">
      <w:pPr>
        <w:pStyle w:val="StandardWeb"/>
      </w:pPr>
      <w:r>
        <w:lastRenderedPageBreak/>
        <w:t>\operatorname{id}.</w:t>
      </w:r>
      <w:r>
        <w:br/>
        <w:t>\tag{3.4550}</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\exists T^{-1}:T^{-1}\circ T=\operatorname{id}\qquad\text{(3.4550)}</w:t>
      </w:r>
    </w:p>
    <w:p w:rsidR="00203600" w:rsidRDefault="00203600" w:rsidP="00203600">
      <w:pPr>
        <w:pStyle w:val="StandardWeb"/>
      </w:pPr>
      <w:r>
        <w:t>Das Zwei-Zustands-Modell aus Abschnitt 3.3.20 enthält die Transformation</w:t>
      </w:r>
    </w:p>
    <w:p w:rsidR="00203600" w:rsidRDefault="00203600" w:rsidP="00203600">
      <w:pPr>
        <w:pStyle w:val="StandardWeb"/>
      </w:pPr>
      <w:r>
        <w:t>[</w:t>
      </w:r>
      <w:r>
        <w:br/>
        <w:t>T_{01}(\delta_0)=\delta_1,</w:t>
      </w:r>
      <w:r>
        <w:br/>
        <w:t>\tag{3.4551}</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T_{01}(\delta_0)=\delta_1\qquad\text{(3.4551)}</w:t>
      </w:r>
    </w:p>
    <w:p w:rsidR="00203600" w:rsidRDefault="00203600" w:rsidP="00203600">
      <w:pPr>
        <w:pStyle w:val="StandardWeb"/>
      </w:pPr>
      <w:r>
        <w:t>und</w:t>
      </w:r>
    </w:p>
    <w:p w:rsidR="00203600" w:rsidRDefault="00203600" w:rsidP="00203600">
      <w:pPr>
        <w:pStyle w:val="StandardWeb"/>
      </w:pPr>
      <w:r>
        <w:t>[</w:t>
      </w:r>
      <w:r>
        <w:br/>
        <w:t>T_{01}(\delta_1)=\delta_1.</w:t>
      </w:r>
      <w:r>
        <w:br/>
        <w:t>\tag{3.4552}</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T_{01}(\delta_1)=\delta_1\qquad\text{(3.4552)}</w:t>
      </w:r>
    </w:p>
    <w:p w:rsidR="00203600" w:rsidRDefault="00203600" w:rsidP="00203600">
      <w:pPr>
        <w:pStyle w:val="StandardWeb"/>
      </w:pPr>
      <w:r>
        <w:t>Diese Transformation ist nicht injektiv:</w:t>
      </w:r>
    </w:p>
    <w:p w:rsidR="00203600" w:rsidRDefault="00203600" w:rsidP="00203600">
      <w:pPr>
        <w:pStyle w:val="berschrift1"/>
      </w:pPr>
      <w:r>
        <w:t>[</w:t>
      </w:r>
      <w:r>
        <w:br/>
        <w:t>T_{01}(\delta_0)</w:t>
      </w:r>
    </w:p>
    <w:p w:rsidR="00203600" w:rsidRDefault="00203600" w:rsidP="00203600">
      <w:pPr>
        <w:pStyle w:val="StandardWeb"/>
      </w:pPr>
      <w:r>
        <w:t>T_{01}(\delta_1).</w:t>
      </w:r>
      <w:r>
        <w:br/>
        <w:t>\tag{3.4553}</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T_{01}(\delta_0)=T_{01}(\delta_1)\qquad\text{(3.4553)}</w:t>
      </w:r>
    </w:p>
    <w:p w:rsidR="00203600" w:rsidRDefault="00203600" w:rsidP="00203600">
      <w:pPr>
        <w:pStyle w:val="StandardWeb"/>
      </w:pPr>
      <w:r>
        <w:t>Daher besitzt sie keine Umkehrabbildung auf dem vollständigen Zustandsbereich.</w:t>
      </w:r>
    </w:p>
    <w:p w:rsidR="00203600" w:rsidRDefault="00203600" w:rsidP="00203600">
      <w:pPr>
        <w:pStyle w:val="StandardWeb"/>
      </w:pPr>
      <w:r>
        <w:t>Eine allgemeine Invertierbarkeitspflicht würde irreversible funktionale Entwicklungen ausschließen. Sie ist deshalb nicht minimal.</w:t>
      </w:r>
    </w:p>
    <w:p w:rsidR="00203600" w:rsidRPr="00AF32B2" w:rsidRDefault="00203600" w:rsidP="00AF32B2">
      <w:pPr>
        <w:pStyle w:val="berschrift4"/>
      </w:pPr>
      <w:r w:rsidRPr="00AF32B2">
        <w:t>3.3.21.19 Keine Kompositionsabgeschlossenheit im Primäraxiom</w:t>
      </w:r>
    </w:p>
    <w:p w:rsidR="00203600" w:rsidRDefault="00203600" w:rsidP="00203600">
      <w:pPr>
        <w:pStyle w:val="StandardWeb"/>
      </w:pPr>
      <w:r>
        <w:lastRenderedPageBreak/>
        <w:t>Eine verstärkte Transformationsstruktur könnte verlangen:</w:t>
      </w:r>
    </w:p>
    <w:p w:rsidR="00203600" w:rsidRDefault="00203600" w:rsidP="00203600">
      <w:pPr>
        <w:pStyle w:val="StandardWeb"/>
      </w:pPr>
      <w:r>
        <w:t>[</w:t>
      </w:r>
      <w:r>
        <w:br/>
        <w:t>T_i,T_j\in\mathfrak{T}</w:t>
      </w:r>
      <w:r>
        <w:rPr>
          <w:rStyle w:val="Hervorhebung"/>
        </w:rPr>
        <w:t>{\mathrm{f}}</w:t>
      </w:r>
      <w:r>
        <w:rPr>
          <w:i/>
          <w:iCs/>
        </w:rPr>
        <w:br/>
      </w:r>
      <w:r>
        <w:rPr>
          <w:rStyle w:val="Hervorhebung"/>
        </w:rPr>
        <w:t>\Rightarrow</w:t>
      </w:r>
      <w:r>
        <w:rPr>
          <w:i/>
          <w:iCs/>
        </w:rPr>
        <w:br/>
      </w:r>
      <w:r>
        <w:rPr>
          <w:rStyle w:val="Hervorhebung"/>
        </w:rPr>
        <w:t>T_j\circ T_i</w:t>
      </w:r>
      <w:r>
        <w:rPr>
          <w:i/>
          <w:iCs/>
        </w:rPr>
        <w:br/>
      </w:r>
      <w:r>
        <w:rPr>
          <w:rStyle w:val="Hervorhebung"/>
        </w:rPr>
        <w:t>\in</w:t>
      </w:r>
      <w:r>
        <w:rPr>
          <w:i/>
          <w:iCs/>
        </w:rPr>
        <w:br/>
      </w:r>
      <w:r>
        <w:rPr>
          <w:rStyle w:val="Hervorhebung"/>
        </w:rPr>
        <w:t>\mathfrak{T}</w:t>
      </w:r>
      <w:r>
        <w:t>{\mathrm{f}}.</w:t>
      </w:r>
      <w:r>
        <w:br/>
        <w:t>\tag{3.4554}</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T_i,T_j\in\mathfrak{T}_{\mathrm{f}}\Rightarrow T_j\circ T_i\in\mathfrak{T}_{\mathrm{f}}\qquad\text{(3.4554)}</w:t>
      </w:r>
    </w:p>
    <w:p w:rsidR="00203600" w:rsidRDefault="00203600" w:rsidP="00203600">
      <w:pPr>
        <w:pStyle w:val="StandardWeb"/>
      </w:pPr>
      <w:r>
        <w:t>Kompositionsabgeschlossenheit ist für Operatorhalbgruppen oder Transformationsmonoidstrukturen sinnvoll. Sie ist jedoch nicht für die bloße Existenz mindestens einer Transformation erforderlich.</w:t>
      </w:r>
    </w:p>
    <w:p w:rsidR="00203600" w:rsidRDefault="00203600" w:rsidP="00203600">
      <w:pPr>
        <w:pStyle w:val="StandardWeb"/>
      </w:pPr>
      <w:r>
        <w:t>Ein Modell kann eine ausgewählte Transformationsmenge besitzen, die nur elementare Transformationen enthält, während deren Kompositionen als abgeleitete Entwicklungen behandelt werden.</w:t>
      </w:r>
    </w:p>
    <w:p w:rsidR="00203600" w:rsidRDefault="00203600" w:rsidP="00203600">
      <w:pPr>
        <w:pStyle w:val="StandardWeb"/>
      </w:pPr>
      <w:r>
        <w:t>Daher unterscheide ich:</w:t>
      </w:r>
    </w:p>
    <w:p w:rsidR="00203600" w:rsidRDefault="00203600" w:rsidP="00203600">
      <w:pPr>
        <w:pStyle w:val="StandardWeb"/>
      </w:pPr>
      <w:r>
        <w:t>[</w:t>
      </w:r>
      <w:r>
        <w:br/>
        <w:t>\mathfrak{T}_{\mathrm{f}}</w:t>
      </w:r>
      <w:r>
        <w:br/>
        <w:t>\tag{3.4555}</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\mathfrak{T}_{\mathrm{f}}\qquad\text{(3.4555)}</w:t>
      </w:r>
    </w:p>
    <w:p w:rsidR="00203600" w:rsidRDefault="00203600" w:rsidP="00203600">
      <w:pPr>
        <w:pStyle w:val="StandardWeb"/>
      </w:pPr>
      <w:r>
        <w:t>als Menge ausgewählter elementarer Transformationen und</w:t>
      </w:r>
    </w:p>
    <w:p w:rsidR="00203600" w:rsidRDefault="00203600" w:rsidP="00203600">
      <w:pPr>
        <w:pStyle w:val="StandardWeb"/>
      </w:pPr>
      <w:r>
        <w:t>[</w:t>
      </w:r>
      <w:r>
        <w:br/>
        <w:t>\langle</w:t>
      </w:r>
      <w:r>
        <w:br/>
        <w:t>\mathfrak{T}</w:t>
      </w:r>
      <w:r>
        <w:rPr>
          <w:rStyle w:val="Hervorhebung"/>
        </w:rPr>
        <w:t>{\mathrm{f}}</w:t>
      </w:r>
      <w:r>
        <w:rPr>
          <w:i/>
          <w:iCs/>
        </w:rPr>
        <w:br/>
      </w:r>
      <w:r>
        <w:rPr>
          <w:rStyle w:val="Hervorhebung"/>
        </w:rPr>
        <w:t>\rangle</w:t>
      </w:r>
      <w:r>
        <w:t>{\circ}</w:t>
      </w:r>
      <w:r>
        <w:br/>
        <w:t>\tag{3.4556}</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\left\langle\mathfrak{T}_{\mathrm{f}}\right\rangle_{\circ}\qquad\text{(3.4556)}</w:t>
      </w:r>
    </w:p>
    <w:p w:rsidR="00203600" w:rsidRDefault="00203600" w:rsidP="00203600">
      <w:pPr>
        <w:pStyle w:val="StandardWeb"/>
      </w:pPr>
      <w:r>
        <w:t>als durch Komposition erzeugte Transformationsstruktur.</w:t>
      </w:r>
    </w:p>
    <w:p w:rsidR="00203600" w:rsidRPr="00AF32B2" w:rsidRDefault="00203600" w:rsidP="00AF32B2">
      <w:pPr>
        <w:pStyle w:val="berschrift4"/>
      </w:pPr>
      <w:r w:rsidRPr="00AF32B2">
        <w:t>3.3.21.20 Keine Erhaltungspflicht</w:t>
      </w:r>
    </w:p>
    <w:p w:rsidR="00203600" w:rsidRDefault="00203600" w:rsidP="00203600">
      <w:pPr>
        <w:pStyle w:val="StandardWeb"/>
      </w:pPr>
      <w:r>
        <w:lastRenderedPageBreak/>
        <w:t>Eine Transformation könnte zusätzliche Größen erhalten. Für eine Größe (I) würde Erhaltung bedeuten:</w:t>
      </w:r>
    </w:p>
    <w:p w:rsidR="00203600" w:rsidRDefault="00203600" w:rsidP="00203600">
      <w:pPr>
        <w:pStyle w:val="berschrift1"/>
      </w:pPr>
      <w:r>
        <w:t>[</w:t>
      </w:r>
      <w:r>
        <w:br/>
        <w:t>I(T(\delta))</w:t>
      </w:r>
    </w:p>
    <w:p w:rsidR="00203600" w:rsidRDefault="00203600" w:rsidP="00203600">
      <w:pPr>
        <w:pStyle w:val="StandardWeb"/>
      </w:pPr>
      <w:r>
        <w:t>I(\delta).</w:t>
      </w:r>
      <w:r>
        <w:br/>
        <w:t>\tag{3.4557}</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I(T(\delta))=I(\delta)\qquad\text{(3.4557)}</w:t>
      </w:r>
    </w:p>
    <w:p w:rsidR="00203600" w:rsidRDefault="00203600" w:rsidP="00203600">
      <w:pPr>
        <w:pStyle w:val="StandardWeb"/>
      </w:pPr>
      <w:r>
        <w:t>Eine solche Invarianz ist modellspezifisch. Nicht jede funktionale Transformation muss dieselben Größen erhalten.</w:t>
      </w:r>
    </w:p>
    <w:p w:rsidR="00203600" w:rsidRDefault="00203600" w:rsidP="00203600">
      <w:pPr>
        <w:pStyle w:val="StandardWeb"/>
      </w:pPr>
      <w:r>
        <w:t>Ebenso wird nicht allgemein gefordert:</w:t>
      </w:r>
    </w:p>
    <w:p w:rsidR="00203600" w:rsidRDefault="00203600" w:rsidP="00203600">
      <w:pPr>
        <w:pStyle w:val="berschrift1"/>
      </w:pPr>
      <w:r>
        <w:t>[</w:t>
      </w:r>
      <w:r>
        <w:br/>
        <w:t>K_{\mathcal{C}}</w:t>
      </w:r>
      <w:r>
        <w:br/>
        <w:t>\left(</w:t>
      </w:r>
      <w:r>
        <w:br/>
        <w:t>T(\delta)</w:t>
      </w:r>
      <w:r>
        <w:br/>
        <w:t>\right)</w:t>
      </w:r>
    </w:p>
    <w:p w:rsidR="00203600" w:rsidRDefault="00203600" w:rsidP="00203600">
      <w:pPr>
        <w:pStyle w:val="StandardWeb"/>
      </w:pPr>
      <w:r>
        <w:t>K_{\mathcal{C}}(\delta).</w:t>
      </w:r>
      <w:r>
        <w:br/>
        <w:t>\tag{3.4558}</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K_{\mathcal{C}}\left(T(\delta)\right)=K_{\mathcal{C}}(\delta)\qquad\text{(3.4558)}</w:t>
      </w:r>
    </w:p>
    <w:p w:rsidR="00203600" w:rsidRDefault="00203600" w:rsidP="00203600">
      <w:pPr>
        <w:pStyle w:val="StandardWeb"/>
      </w:pPr>
      <w:r>
        <w:t>Funktionale Transformationen können Kohärenz erhöhen, verringern oder erhalten.</w:t>
      </w:r>
    </w:p>
    <w:p w:rsidR="00203600" w:rsidRPr="00AF32B2" w:rsidRDefault="00203600" w:rsidP="00AF32B2">
      <w:pPr>
        <w:pStyle w:val="berschrift4"/>
      </w:pPr>
      <w:r w:rsidRPr="00AF32B2">
        <w:t>3.3.21.21 Ergebnis für Primäraxiom III</w:t>
      </w:r>
    </w:p>
    <w:p w:rsidR="00203600" w:rsidRDefault="00203600" w:rsidP="00203600">
      <w:pPr>
        <w:pStyle w:val="StandardWeb"/>
      </w:pPr>
      <w:r>
        <w:t>Die minimale Form lautet:</w:t>
      </w:r>
    </w:p>
    <w:p w:rsidR="00203600" w:rsidRDefault="00203600" w:rsidP="00203600">
      <w:pPr>
        <w:pStyle w:val="StandardWeb"/>
      </w:pPr>
      <w:r>
        <w:t>[</w:t>
      </w:r>
      <w:r>
        <w:br/>
        <w:t>\boxed{</w:t>
      </w:r>
      <w:r>
        <w:br/>
        <w:t>A_{\mathrm{III}}:</w:t>
      </w:r>
      <w:r>
        <w:br/>
        <w:t>\mathfrak{T}_{\mathrm{f}}</w:t>
      </w:r>
      <w:r>
        <w:br/>
        <w:t>\neq</w:t>
      </w:r>
      <w:r>
        <w:br/>
        <w:t>\emptyset</w:t>
      </w:r>
      <w:r>
        <w:br/>
      </w:r>
      <w:r>
        <w:lastRenderedPageBreak/>
        <w:t>}</w:t>
      </w:r>
      <w:r>
        <w:br/>
        <w:t>\tag{3.4559}</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\boxed{A_{\mathrm{III}}:\mathfrak{T}_{\mathrm{f}}\neq\emptyset}\qquad\text{(3.4559)}</w:t>
      </w:r>
    </w:p>
    <w:p w:rsidR="00203600" w:rsidRDefault="00203600" w:rsidP="00203600">
      <w:pPr>
        <w:pStyle w:val="StandardWeb"/>
      </w:pPr>
      <w:r>
        <w:t>Für das typisierte FRZK gilt:</w:t>
      </w:r>
    </w:p>
    <w:p w:rsidR="00203600" w:rsidRDefault="00203600" w:rsidP="00203600">
      <w:pPr>
        <w:pStyle w:val="StandardWeb"/>
      </w:pPr>
      <w:r>
        <w:t>[</w:t>
      </w:r>
      <w:r>
        <w:br/>
        <w:t>\forall T\in\mathfrak{T}</w:t>
      </w:r>
      <w:r>
        <w:rPr>
          <w:rStyle w:val="Hervorhebung"/>
        </w:rPr>
        <w:t>{\mathrm{f}}:</w:t>
      </w:r>
      <w:r>
        <w:rPr>
          <w:i/>
          <w:iCs/>
        </w:rPr>
        <w:br/>
      </w:r>
      <w:r>
        <w:rPr>
          <w:rStyle w:val="Hervorhebung"/>
        </w:rPr>
        <w:t>T:</w:t>
      </w:r>
      <w:r>
        <w:rPr>
          <w:i/>
          <w:iCs/>
        </w:rPr>
        <w:br/>
      </w:r>
      <w:r>
        <w:rPr>
          <w:rStyle w:val="Hervorhebung"/>
        </w:rPr>
        <w:t>\mathcal{S}</w:t>
      </w:r>
      <w:r>
        <w:t>{\mathrm{el}}</w:t>
      </w:r>
      <w:r>
        <w:br/>
        <w:t>\rightarrow</w:t>
      </w:r>
      <w:r>
        <w:br/>
        <w:t>\mathcal{S}_{\mathrm{el}}.</w:t>
      </w:r>
      <w:r>
        <w:br/>
        <w:t>\tag{3.4560}</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\forall T\in\mathfrak{T}_{\mathrm{f}}:T:\mathcal{S}_{\mathrm{el}}\rightarrow\mathcal{S}_{\mathrm{el}}\qquad\text{(3.4560)}</w:t>
      </w:r>
    </w:p>
    <w:p w:rsidR="00203600" w:rsidRDefault="00203600" w:rsidP="00203600">
      <w:pPr>
        <w:pStyle w:val="StandardWeb"/>
      </w:pPr>
      <w:r>
        <w:t>Nicht Bestandteil des Primäraxioms sind:</w:t>
      </w:r>
    </w:p>
    <w:p w:rsidR="00203600" w:rsidRDefault="00203600" w:rsidP="00632D23">
      <w:pPr>
        <w:pStyle w:val="StandardWeb"/>
        <w:numPr>
          <w:ilvl w:val="0"/>
          <w:numId w:val="100"/>
        </w:numPr>
      </w:pPr>
      <w:r>
        <w:t>nichttriviale Zustandsänderung,</w:t>
      </w:r>
    </w:p>
    <w:p w:rsidR="00203600" w:rsidRDefault="00203600" w:rsidP="00632D23">
      <w:pPr>
        <w:pStyle w:val="StandardWeb"/>
        <w:numPr>
          <w:ilvl w:val="0"/>
          <w:numId w:val="100"/>
        </w:numPr>
      </w:pPr>
      <w:r>
        <w:t>Invertierbarkeit,</w:t>
      </w:r>
    </w:p>
    <w:p w:rsidR="00203600" w:rsidRDefault="00203600" w:rsidP="00632D23">
      <w:pPr>
        <w:pStyle w:val="StandardWeb"/>
        <w:numPr>
          <w:ilvl w:val="0"/>
          <w:numId w:val="100"/>
        </w:numPr>
      </w:pPr>
      <w:r>
        <w:t>Linearität,</w:t>
      </w:r>
    </w:p>
    <w:p w:rsidR="00203600" w:rsidRDefault="00203600" w:rsidP="00632D23">
      <w:pPr>
        <w:pStyle w:val="StandardWeb"/>
        <w:numPr>
          <w:ilvl w:val="0"/>
          <w:numId w:val="100"/>
        </w:numPr>
      </w:pPr>
      <w:r>
        <w:t>Stetigkeit,</w:t>
      </w:r>
    </w:p>
    <w:p w:rsidR="00203600" w:rsidRDefault="00203600" w:rsidP="00632D23">
      <w:pPr>
        <w:pStyle w:val="StandardWeb"/>
        <w:numPr>
          <w:ilvl w:val="0"/>
          <w:numId w:val="100"/>
        </w:numPr>
      </w:pPr>
      <w:r>
        <w:t>Differenzierbarkeit,</w:t>
      </w:r>
    </w:p>
    <w:p w:rsidR="00203600" w:rsidRDefault="00203600" w:rsidP="00632D23">
      <w:pPr>
        <w:pStyle w:val="StandardWeb"/>
        <w:numPr>
          <w:ilvl w:val="0"/>
          <w:numId w:val="100"/>
        </w:numPr>
      </w:pPr>
      <w:r>
        <w:t>Kompositionsabgeschlossenheit,</w:t>
      </w:r>
    </w:p>
    <w:p w:rsidR="00203600" w:rsidRDefault="00203600" w:rsidP="00632D23">
      <w:pPr>
        <w:pStyle w:val="StandardWeb"/>
        <w:numPr>
          <w:ilvl w:val="0"/>
          <w:numId w:val="100"/>
        </w:numPr>
      </w:pPr>
      <w:r>
        <w:t>Erhaltung bestimmter Größen,</w:t>
      </w:r>
    </w:p>
    <w:p w:rsidR="00203600" w:rsidRDefault="00203600" w:rsidP="00632D23">
      <w:pPr>
        <w:pStyle w:val="StandardWeb"/>
        <w:numPr>
          <w:ilvl w:val="0"/>
          <w:numId w:val="100"/>
        </w:numPr>
      </w:pPr>
      <w:r>
        <w:t>Kohärenzerhaltung,</w:t>
      </w:r>
    </w:p>
    <w:p w:rsidR="00203600" w:rsidRDefault="00203600" w:rsidP="00632D23">
      <w:pPr>
        <w:pStyle w:val="StandardWeb"/>
        <w:numPr>
          <w:ilvl w:val="0"/>
          <w:numId w:val="100"/>
        </w:numPr>
      </w:pPr>
      <w:r>
        <w:t>räumliche oder zeitliche Interpretation.</w:t>
      </w:r>
    </w:p>
    <w:p w:rsidR="00203600" w:rsidRDefault="00203600" w:rsidP="00203600">
      <w:pPr>
        <w:pStyle w:val="StandardWeb"/>
      </w:pPr>
      <w:r>
        <w:rPr>
          <w:rStyle w:val="Fett"/>
        </w:rPr>
        <w:t>Eigenleistung des FRZK</w:t>
      </w:r>
    </w:p>
    <w:p w:rsidR="00203600" w:rsidRDefault="00203600" w:rsidP="00203600">
      <w:pPr>
        <w:pStyle w:val="StandardWeb"/>
      </w:pPr>
      <w:r>
        <w:t>Primäraxiom III ist begrifflich minimal, wenn es nur die Existenz mindestens einer wohldefinierten funktionalen Transformation sichert. Alle weitergehenden Eigenschaften gehören zur späteren Klassifikation von Transformationen.</w:t>
      </w:r>
    </w:p>
    <w:p w:rsidR="00203600" w:rsidRPr="00AF32B2" w:rsidRDefault="00203600" w:rsidP="00AF32B2">
      <w:pPr>
        <w:pStyle w:val="berschrift4"/>
      </w:pPr>
      <w:r w:rsidRPr="00AF32B2">
        <w:t>3.3.21.22 Gehört Kohärenz in die Primäraxiomenmenge?</w:t>
      </w:r>
    </w:p>
    <w:p w:rsidR="00203600" w:rsidRDefault="00203600" w:rsidP="00203600">
      <w:pPr>
        <w:pStyle w:val="StandardWeb"/>
      </w:pPr>
      <w:r>
        <w:t>Da das System als Funktionales Raum-Zeit-Kohärenzsystem bezeichnet wird, könnte vermutet werden, dass Kohärenz selbst ein viertes Primäraxiom bilden müsse.</w:t>
      </w:r>
    </w:p>
    <w:p w:rsidR="00203600" w:rsidRDefault="00203600" w:rsidP="00203600">
      <w:pPr>
        <w:pStyle w:val="StandardWeb"/>
      </w:pPr>
      <w:r>
        <w:t>Eine mögliche Form wäre:</w:t>
      </w:r>
    </w:p>
    <w:p w:rsidR="00203600" w:rsidRDefault="00203600" w:rsidP="00203600">
      <w:pPr>
        <w:pStyle w:val="StandardWeb"/>
      </w:pPr>
      <w:r>
        <w:lastRenderedPageBreak/>
        <w:t>[</w:t>
      </w:r>
      <w:r>
        <w:br/>
        <w:t>A_{\mathrm{IV}}:</w:t>
      </w:r>
      <w:r>
        <w:br/>
        <w:t>\exists \mathcal{C}_{F}</w:t>
      </w:r>
      <w:r>
        <w:br/>
        <w:t>\neq</w:t>
      </w:r>
      <w:r>
        <w:br/>
        <w:t>\emptyset.</w:t>
      </w:r>
      <w:r>
        <w:br/>
        <w:t>\tag{3.4561}</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A_{\mathrm{IV}}:\exists\mathcal{C}_{F}\neq\emptyset\qquad\text{(3.4561)}</w:t>
      </w:r>
    </w:p>
    <w:p w:rsidR="00203600" w:rsidRDefault="00203600" w:rsidP="00203600">
      <w:pPr>
        <w:pStyle w:val="StandardWeb"/>
      </w:pPr>
      <w:r>
        <w:t>Eine stärkere Form könnte fordern:</w:t>
      </w:r>
    </w:p>
    <w:p w:rsidR="00203600" w:rsidRDefault="00203600" w:rsidP="00203600">
      <w:pPr>
        <w:pStyle w:val="berschrift1"/>
      </w:pPr>
      <w:r>
        <w:t>[</w:t>
      </w:r>
      <w:r>
        <w:br/>
        <w:t>\exists \mathfrak{G}</w:t>
      </w:r>
      <w:r>
        <w:rPr>
          <w:rStyle w:val="Hervorhebung"/>
        </w:rPr>
        <w:t>{F}:</w:t>
      </w:r>
      <w:r>
        <w:rPr>
          <w:i/>
          <w:iCs/>
        </w:rPr>
        <w:br/>
      </w:r>
      <w:r>
        <w:rPr>
          <w:rStyle w:val="Hervorhebung"/>
        </w:rPr>
        <w:t>\operatorname{Koh}</w:t>
      </w:r>
      <w:r>
        <w:t>{\mathcal{C}</w:t>
      </w:r>
      <w:r>
        <w:rPr>
          <w:rStyle w:val="Hervorhebung"/>
        </w:rPr>
        <w:t>{F}}</w:t>
      </w:r>
      <w:r>
        <w:rPr>
          <w:i/>
          <w:iCs/>
        </w:rPr>
        <w:br/>
      </w:r>
      <w:r>
        <w:rPr>
          <w:rStyle w:val="Hervorhebung"/>
        </w:rPr>
        <w:t>\left(</w:t>
      </w:r>
      <w:r>
        <w:rPr>
          <w:i/>
          <w:iCs/>
        </w:rPr>
        <w:br/>
      </w:r>
      <w:r>
        <w:rPr>
          <w:rStyle w:val="Hervorhebung"/>
        </w:rPr>
        <w:t>\mathfrak{G}</w:t>
      </w:r>
      <w:r>
        <w:t>{F}</w:t>
      </w:r>
      <w:r>
        <w:br/>
        <w:t>\right)</w:t>
      </w:r>
    </w:p>
    <w:p w:rsidR="00203600" w:rsidRDefault="00203600" w:rsidP="00632D23">
      <w:pPr>
        <w:numPr>
          <w:ilvl w:val="0"/>
          <w:numId w:val="101"/>
        </w:numPr>
        <w:spacing w:before="100" w:beforeAutospacing="1" w:after="100" w:afterAutospacing="1"/>
      </w:pPr>
    </w:p>
    <w:p w:rsidR="00203600" w:rsidRDefault="00203600" w:rsidP="00203600">
      <w:pPr>
        <w:pStyle w:val="StandardWeb"/>
      </w:pPr>
      <w:r>
        <w:t>\tag{3.4562}</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\exists\mathfrak{G}_{F}:\operatorname{Koh}_{\mathcal{C}_{F}}\left(\mathfrak{G}_{F}\right)=1\qquad\text{(3.4562)}</w:t>
      </w:r>
    </w:p>
    <w:p w:rsidR="00203600" w:rsidRDefault="00203600" w:rsidP="00203600">
      <w:pPr>
        <w:pStyle w:val="StandardWeb"/>
      </w:pPr>
      <w:r>
        <w:t>Die bisherigen Konstruktionen zeigen jedoch, dass Kohärenz erst sinnvoll definiert werden kann, wenn Zustände, Relationen, Transformationen oder Entwicklungen bereits vorhanden sind.</w:t>
      </w:r>
    </w:p>
    <w:p w:rsidR="00203600" w:rsidRDefault="00203600" w:rsidP="00203600">
      <w:pPr>
        <w:pStyle w:val="StandardWeb"/>
      </w:pPr>
      <w:r>
        <w:t>Die konstruktive Abhängigkeit lautet:</w:t>
      </w:r>
    </w:p>
    <w:p w:rsidR="00203600" w:rsidRDefault="00203600" w:rsidP="00203600">
      <w:pPr>
        <w:pStyle w:val="StandardWeb"/>
      </w:pPr>
      <w:r>
        <w:t>[</w:t>
      </w:r>
      <w:r>
        <w:br/>
        <w:t>\left(</w:t>
      </w:r>
      <w:r>
        <w:br/>
        <w:t>\mathcal{S}</w:t>
      </w:r>
      <w:r>
        <w:rPr>
          <w:rStyle w:val="Hervorhebung"/>
        </w:rPr>
        <w:t>{\mathrm{el}},</w:t>
      </w:r>
      <w:r>
        <w:rPr>
          <w:i/>
          <w:iCs/>
        </w:rPr>
        <w:br/>
      </w:r>
      <w:r>
        <w:rPr>
          <w:rStyle w:val="Hervorhebung"/>
        </w:rPr>
        <w:t>\mathfrak{R}</w:t>
      </w:r>
      <w:r>
        <w:t>{\mathrm{f}},</w:t>
      </w:r>
      <w:r>
        <w:br/>
        <w:t>\mathfrak{T}</w:t>
      </w:r>
      <w:r>
        <w:rPr>
          <w:rStyle w:val="Hervorhebung"/>
        </w:rPr>
        <w:t>{\mathrm{f}}</w:t>
      </w:r>
      <w:r>
        <w:rPr>
          <w:i/>
          <w:iCs/>
        </w:rPr>
        <w:br/>
      </w:r>
      <w:r>
        <w:rPr>
          <w:rStyle w:val="Hervorhebung"/>
        </w:rPr>
        <w:t>\right)</w:t>
      </w:r>
      <w:r>
        <w:rPr>
          <w:i/>
          <w:iCs/>
        </w:rPr>
        <w:br/>
      </w:r>
      <w:r>
        <w:rPr>
          <w:rStyle w:val="Hervorhebung"/>
        </w:rPr>
        <w:t>\longrightarrow</w:t>
      </w:r>
      <w:r>
        <w:rPr>
          <w:i/>
          <w:iCs/>
        </w:rPr>
        <w:br/>
      </w:r>
      <w:r>
        <w:rPr>
          <w:rStyle w:val="Hervorhebung"/>
        </w:rPr>
        <w:t>\mathfrak{C}</w:t>
      </w:r>
      <w:r>
        <w:t>{F}.</w:t>
      </w:r>
      <w:r>
        <w:br/>
        <w:t>\tag{3.4563}</w:t>
      </w:r>
      <w:r>
        <w:br/>
        <w:t>]</w:t>
      </w:r>
    </w:p>
    <w:p w:rsidR="00203600" w:rsidRDefault="00203600" w:rsidP="00203600">
      <w:pPr>
        <w:pStyle w:val="StandardWeb"/>
      </w:pPr>
      <w:r>
        <w:rPr>
          <w:rStyle w:val="Fett"/>
        </w:rPr>
        <w:lastRenderedPageBreak/>
        <w:t>Word-LaTeX</w:t>
      </w:r>
    </w:p>
    <w:p w:rsidR="00203600" w:rsidRDefault="00203600" w:rsidP="00203600">
      <w:pPr>
        <w:pStyle w:val="HTMLVorformatiert"/>
        <w:rPr>
          <w:rStyle w:val="HTMLCode"/>
        </w:rPr>
      </w:pPr>
      <w:r>
        <w:rPr>
          <w:rStyle w:val="HTMLCode"/>
        </w:rPr>
        <w:t>\left(\mathcal{S}_{\mathrm{el}},\mathfrak{R}_{\mathrm{f}},\mathfrak{T}_{\mathrm{f}}\right)\longrightarrow\mathfrak{C}_{F}\qquad\text{(3.4563)}</w:t>
      </w:r>
    </w:p>
    <w:p w:rsidR="00203600" w:rsidRDefault="00203600" w:rsidP="00203600">
      <w:pPr>
        <w:pStyle w:val="StandardWeb"/>
      </w:pPr>
      <w:r>
        <w:t>Kohärenz ist damit eine Bewertungs- und Verträglichkeitsstruktur auf bereits eingeführten funktionalen Objekten.</w:t>
      </w:r>
    </w:p>
    <w:p w:rsidR="00203600" w:rsidRPr="00AF32B2" w:rsidRDefault="00203600" w:rsidP="00AF32B2">
      <w:pPr>
        <w:pStyle w:val="berschrift4"/>
      </w:pPr>
      <w:r w:rsidRPr="00AF32B2">
        <w:t>3.3.21.23 Kein viertes Primäraxiom der Kohärenz</w:t>
      </w:r>
    </w:p>
    <w:p w:rsidR="00203600" w:rsidRDefault="00203600" w:rsidP="00203600">
      <w:pPr>
        <w:pStyle w:val="StandardWeb"/>
      </w:pPr>
      <w:r>
        <w:t>Ein Kohärenzaxiom würde entweder nur die Existenz einer Bedingungsmenge behaupten oder bereits konkrete Kohärenzbedingungen voraussetzen.</w:t>
      </w:r>
    </w:p>
    <w:p w:rsidR="00203600" w:rsidRDefault="00203600" w:rsidP="00203600">
      <w:pPr>
        <w:pStyle w:val="StandardWeb"/>
      </w:pPr>
      <w:r>
        <w:t>Im ersten Fall wäre es zu schwach:</w:t>
      </w:r>
    </w:p>
    <w:p w:rsidR="00203600" w:rsidRDefault="00203600" w:rsidP="00203600">
      <w:pPr>
        <w:pStyle w:val="StandardWeb"/>
      </w:pPr>
      <w:r>
        <w:t>[</w:t>
      </w:r>
      <w:r>
        <w:br/>
        <w:t>\mathcal{C}_{F}</w:t>
      </w:r>
      <w:r>
        <w:br/>
        <w:t>\neq</w:t>
      </w:r>
      <w:r>
        <w:br/>
        <w:t>\emptyset</w:t>
      </w:r>
      <w:r>
        <w:br/>
        <w:t>\tag{3.4564}</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\mathcal{C}_{F}\neq\emptyset\qquad\text{(3.4564)}</w:t>
      </w:r>
    </w:p>
    <w:p w:rsidR="00203600" w:rsidRDefault="00203600" w:rsidP="00203600">
      <w:pPr>
        <w:pStyle w:val="StandardWeb"/>
      </w:pPr>
      <w:r>
        <w:t>sichert noch keine inhaltlich sinnvolle Kohärenz.</w:t>
      </w:r>
    </w:p>
    <w:p w:rsidR="00203600" w:rsidRDefault="00203600" w:rsidP="00203600">
      <w:pPr>
        <w:pStyle w:val="StandardWeb"/>
      </w:pPr>
      <w:r>
        <w:t>Im zweiten Fall wäre es zu stark, weil konkrete Kohärenzkriterien modellabhängig sind:</w:t>
      </w:r>
    </w:p>
    <w:p w:rsidR="00203600" w:rsidRDefault="00203600" w:rsidP="00203600">
      <w:pPr>
        <w:pStyle w:val="StandardWeb"/>
      </w:pPr>
      <w:r>
        <w:t>[</w:t>
      </w:r>
      <w:r>
        <w:br/>
        <w:t>\mathcal{C}</w:t>
      </w:r>
      <w:r>
        <w:rPr>
          <w:rStyle w:val="Hervorhebung"/>
        </w:rPr>
        <w:t>{F}^{(\mu)}</w:t>
      </w:r>
      <w:r>
        <w:rPr>
          <w:i/>
          <w:iCs/>
        </w:rPr>
        <w:br/>
      </w:r>
      <w:r>
        <w:rPr>
          <w:rStyle w:val="Hervorhebung"/>
        </w:rPr>
        <w:t>\neq</w:t>
      </w:r>
      <w:r>
        <w:rPr>
          <w:i/>
          <w:iCs/>
        </w:rPr>
        <w:br/>
      </w:r>
      <w:r>
        <w:rPr>
          <w:rStyle w:val="Hervorhebung"/>
        </w:rPr>
        <w:t>\mathcal{C}</w:t>
      </w:r>
      <w:r>
        <w:t>{F}^{(\nu)}.</w:t>
      </w:r>
      <w:r>
        <w:br/>
        <w:t>\tag{3.4565}</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\mathcal{C}_{F}^{(\mu)}\neq\mathcal{C}_{F}^{(\nu)}\qquad\text{(3.4565)}</w:t>
      </w:r>
    </w:p>
    <w:p w:rsidR="00203600" w:rsidRDefault="00203600" w:rsidP="00203600">
      <w:pPr>
        <w:pStyle w:val="StandardWeb"/>
      </w:pPr>
      <w:r>
        <w:t>Unterschiedliche FRZK-Modelle können unterschiedliche Kohärenzbedingungen verwenden.</w:t>
      </w:r>
    </w:p>
    <w:p w:rsidR="00203600" w:rsidRDefault="00203600" w:rsidP="00203600">
      <w:pPr>
        <w:pStyle w:val="StandardWeb"/>
      </w:pPr>
      <w:r>
        <w:rPr>
          <w:rStyle w:val="Fett"/>
        </w:rPr>
        <w:t>Eigenleistung des FRZK</w:t>
      </w:r>
    </w:p>
    <w:p w:rsidR="00203600" w:rsidRDefault="00203600" w:rsidP="00203600">
      <w:pPr>
        <w:pStyle w:val="StandardWeb"/>
      </w:pPr>
      <w:r>
        <w:t>Ich ordne Kohärenz deshalb nicht als viertes Primäraxiom ein. Kohärenz ist eine notwendige Systemkomponente des vollständigen FRZK, aber keine elementare Existenzsetzung auf derselben Ebene wie Zustand, Relation und Transformation.</w:t>
      </w:r>
    </w:p>
    <w:p w:rsidR="00203600" w:rsidRPr="00AF32B2" w:rsidRDefault="00203600" w:rsidP="00AF32B2">
      <w:pPr>
        <w:pStyle w:val="berschrift4"/>
      </w:pPr>
      <w:r w:rsidRPr="00AF32B2">
        <w:t>3.3.21.24 Gehören Raum und Zeit in die Primäraxiome?</w:t>
      </w:r>
    </w:p>
    <w:p w:rsidR="00203600" w:rsidRDefault="00203600" w:rsidP="00203600">
      <w:pPr>
        <w:pStyle w:val="StandardWeb"/>
      </w:pPr>
      <w:r>
        <w:lastRenderedPageBreak/>
        <w:t>Entsprechend könnte gefragt werden, ob funktionaler Raum und funktionale Zeit bereits primär vorausgesetzt werden müssen.</w:t>
      </w:r>
    </w:p>
    <w:p w:rsidR="00203600" w:rsidRDefault="00203600" w:rsidP="00203600">
      <w:pPr>
        <w:pStyle w:val="StandardWeb"/>
      </w:pPr>
      <w:r>
        <w:t>Ein Raumaxiom könnte lauten:</w:t>
      </w:r>
    </w:p>
    <w:p w:rsidR="00203600" w:rsidRDefault="00203600" w:rsidP="00203600">
      <w:pPr>
        <w:pStyle w:val="StandardWeb"/>
      </w:pPr>
      <w:r>
        <w:t>[</w:t>
      </w:r>
      <w:r>
        <w:br/>
        <w:t>A_{X}:</w:t>
      </w:r>
      <w:r>
        <w:br/>
        <w:t>\exists \mathfrak{X}_{F}.</w:t>
      </w:r>
      <w:r>
        <w:br/>
        <w:t>\tag{3.4566}</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A_{X}:\exists\mathfrak{X}_{F}\qquad\text{(3.4566)}</w:t>
      </w:r>
    </w:p>
    <w:p w:rsidR="00203600" w:rsidRDefault="00203600" w:rsidP="00203600">
      <w:pPr>
        <w:pStyle w:val="StandardWeb"/>
      </w:pPr>
      <w:r>
        <w:t>Ein Zeitaxiom könnte lauten:</w:t>
      </w:r>
    </w:p>
    <w:p w:rsidR="00203600" w:rsidRDefault="00203600" w:rsidP="00203600">
      <w:pPr>
        <w:pStyle w:val="StandardWeb"/>
      </w:pPr>
      <w:r>
        <w:t>[</w:t>
      </w:r>
      <w:r>
        <w:br/>
        <w:t>A_{T}:</w:t>
      </w:r>
      <w:r>
        <w:br/>
        <w:t>\exists \mathfrak{T}_{F}.</w:t>
      </w:r>
      <w:r>
        <w:br/>
        <w:t>\tag{3.4567}</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A_{T}:\exists\mathfrak{T}_{F}\qquad\text{(3.4567)}</w:t>
      </w:r>
    </w:p>
    <w:p w:rsidR="00203600" w:rsidRDefault="00203600" w:rsidP="00203600">
      <w:pPr>
        <w:pStyle w:val="StandardWeb"/>
      </w:pPr>
      <w:r>
        <w:t>Die vorhergehenden Abschnitte haben jedoch gezeigt, dass funktionaler Raum und funktionale Zeit aus Relations-, Erreichbarkeits-, Ordnungs- und Bewertungsstrukturen definiert werden können.</w:t>
      </w:r>
    </w:p>
    <w:p w:rsidR="00203600" w:rsidRDefault="00203600" w:rsidP="00203600">
      <w:pPr>
        <w:pStyle w:val="StandardWeb"/>
      </w:pPr>
      <w:r>
        <w:t>Schematisch gilt:</w:t>
      </w:r>
    </w:p>
    <w:p w:rsidR="00203600" w:rsidRDefault="00203600" w:rsidP="00203600">
      <w:pPr>
        <w:pStyle w:val="StandardWeb"/>
      </w:pPr>
      <w:r>
        <w:t>[</w:t>
      </w:r>
      <w:r>
        <w:br/>
        <w:t>\mathfrak{R}</w:t>
      </w:r>
      <w:r>
        <w:rPr>
          <w:rStyle w:val="Hervorhebung"/>
        </w:rPr>
        <w:t>{\mathrm{f}}</w:t>
      </w:r>
      <w:r>
        <w:rPr>
          <w:i/>
          <w:iCs/>
        </w:rPr>
        <w:br/>
      </w:r>
      <w:r>
        <w:rPr>
          <w:rStyle w:val="Hervorhebung"/>
        </w:rPr>
        <w:t>\longrightarrow</w:t>
      </w:r>
      <w:r>
        <w:rPr>
          <w:i/>
          <w:iCs/>
        </w:rPr>
        <w:br/>
      </w:r>
      <w:r>
        <w:rPr>
          <w:rStyle w:val="Hervorhebung"/>
        </w:rPr>
        <w:t>\mathfrak{X}</w:t>
      </w:r>
      <w:r>
        <w:t>{F}</w:t>
      </w:r>
      <w:r>
        <w:br/>
        <w:t>\tag{3.4568}</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\mathfrak{R}_{\mathrm{f}}\longrightarrow\mathfrak{X}_{F}\qquad\text{(3.4568)}</w:t>
      </w:r>
    </w:p>
    <w:p w:rsidR="00203600" w:rsidRDefault="00203600" w:rsidP="00203600">
      <w:pPr>
        <w:pStyle w:val="StandardWeb"/>
      </w:pPr>
      <w:r>
        <w:t>und</w:t>
      </w:r>
    </w:p>
    <w:p w:rsidR="00203600" w:rsidRDefault="00203600" w:rsidP="00203600">
      <w:pPr>
        <w:pStyle w:val="StandardWeb"/>
      </w:pPr>
      <w:r>
        <w:t>[</w:t>
      </w:r>
      <w:r>
        <w:br/>
        <w:t>\left(</w:t>
      </w:r>
      <w:r>
        <w:br/>
        <w:t>\mathfrak{T}</w:t>
      </w:r>
      <w:r>
        <w:rPr>
          <w:rStyle w:val="Hervorhebung"/>
        </w:rPr>
        <w:t>{\mathrm{f}},</w:t>
      </w:r>
      <w:r>
        <w:rPr>
          <w:i/>
          <w:iCs/>
        </w:rPr>
        <w:br/>
      </w:r>
      <w:r>
        <w:rPr>
          <w:rStyle w:val="Hervorhebung"/>
        </w:rPr>
        <w:t>\mathfrak{E}</w:t>
      </w:r>
      <w:r>
        <w:t>{F},</w:t>
      </w:r>
      <w:r>
        <w:br/>
        <w:t>\mathfrak{O}</w:t>
      </w:r>
      <w:r>
        <w:rPr>
          <w:rStyle w:val="Hervorhebung"/>
        </w:rPr>
        <w:t>{F}</w:t>
      </w:r>
      <w:r>
        <w:rPr>
          <w:i/>
          <w:iCs/>
        </w:rPr>
        <w:br/>
      </w:r>
      <w:r>
        <w:rPr>
          <w:rStyle w:val="Hervorhebung"/>
        </w:rPr>
        <w:lastRenderedPageBreak/>
        <w:t>\right)</w:t>
      </w:r>
      <w:r>
        <w:rPr>
          <w:i/>
          <w:iCs/>
        </w:rPr>
        <w:br/>
      </w:r>
      <w:r>
        <w:rPr>
          <w:rStyle w:val="Hervorhebung"/>
        </w:rPr>
        <w:t>\longrightarrow</w:t>
      </w:r>
      <w:r>
        <w:rPr>
          <w:i/>
          <w:iCs/>
        </w:rPr>
        <w:br/>
      </w:r>
      <w:r>
        <w:rPr>
          <w:rStyle w:val="Hervorhebung"/>
        </w:rPr>
        <w:t>\mathfrak{T}</w:t>
      </w:r>
      <w:r>
        <w:t>{F}.</w:t>
      </w:r>
      <w:r>
        <w:br/>
        <w:t>\tag{3.4569}</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\left(\mathfrak{T}_{\mathrm{f}},\mathfrak{E}_{F},\mathfrak{O}_{F}\right)\longrightarrow\mathfrak{T}_{F}\qquad\text{(3.4569)}</w:t>
      </w:r>
    </w:p>
    <w:p w:rsidR="00203600" w:rsidRDefault="00203600" w:rsidP="00203600">
      <w:pPr>
        <w:pStyle w:val="StandardWeb"/>
      </w:pPr>
      <w:r>
        <w:t>Diese Pfeile kennzeichnen konstruktive Möglichkeiten, keine automatische Existenzfolgerung.</w:t>
      </w:r>
    </w:p>
    <w:p w:rsidR="00203600" w:rsidRPr="00AF32B2" w:rsidRDefault="00203600" w:rsidP="00AF32B2">
      <w:pPr>
        <w:pStyle w:val="berschrift4"/>
      </w:pPr>
      <w:r w:rsidRPr="00AF32B2">
        <w:t>3.3.21.25 Kein primärer Raum- oder Zeitbegriff</w:t>
      </w:r>
    </w:p>
    <w:p w:rsidR="00203600" w:rsidRDefault="00203600" w:rsidP="00203600">
      <w:pPr>
        <w:pStyle w:val="StandardWeb"/>
      </w:pPr>
      <w:r>
        <w:t>Würden Raum und Zeit primär vorausgesetzt, würde die Theorie bereits festlegen, dass sämtliche zulässigen Modelle eine Raum- und Zeitstruktur besitzen.</w:t>
      </w:r>
    </w:p>
    <w:p w:rsidR="00203600" w:rsidRDefault="00203600" w:rsidP="00203600">
      <w:pPr>
        <w:pStyle w:val="StandardWeb"/>
      </w:pPr>
      <w:r>
        <w:t>Das Minimalmodell der Primäraxiome zeigt jedoch zunächst nur:</w:t>
      </w:r>
    </w:p>
    <w:p w:rsidR="00203600" w:rsidRDefault="00203600" w:rsidP="00203600">
      <w:pPr>
        <w:pStyle w:val="StandardWeb"/>
      </w:pPr>
      <w:r>
        <w:t>[</w:t>
      </w:r>
      <w:r>
        <w:br/>
        <w:t>\mathcal{S}_{\mathrm{el}}^{\min}</w:t>
      </w:r>
      <w:r>
        <w:br/>
        <w:t>\neq</w:t>
      </w:r>
      <w:r>
        <w:br/>
        <w:t>\emptyset,</w:t>
      </w:r>
      <w:r>
        <w:br/>
        <w:t>\tag{3.4570}</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\mathcal{S}_{\mathrm{el}}^{\min}\neq\emptyset\qquad\text{(3.4570)}</w:t>
      </w:r>
    </w:p>
    <w:p w:rsidR="00203600" w:rsidRDefault="00203600" w:rsidP="00203600">
      <w:pPr>
        <w:pStyle w:val="StandardWeb"/>
      </w:pPr>
      <w:r>
        <w:t>[</w:t>
      </w:r>
      <w:r>
        <w:br/>
        <w:t>\mathfrak{R}_{\mathrm{f}}^{\min}</w:t>
      </w:r>
      <w:r>
        <w:br/>
        <w:t>\neq</w:t>
      </w:r>
      <w:r>
        <w:br/>
        <w:t>\emptyset,</w:t>
      </w:r>
      <w:r>
        <w:br/>
        <w:t>\tag{3.4571}</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\mathfrak{R}_{\mathrm{f}}^{\min}\neq\emptyset\qquad\text{(3.4571)}</w:t>
      </w:r>
    </w:p>
    <w:p w:rsidR="00203600" w:rsidRDefault="00203600" w:rsidP="00203600">
      <w:pPr>
        <w:pStyle w:val="StandardWeb"/>
      </w:pPr>
      <w:r>
        <w:t>und</w:t>
      </w:r>
    </w:p>
    <w:p w:rsidR="00203600" w:rsidRDefault="00203600" w:rsidP="00203600">
      <w:pPr>
        <w:pStyle w:val="StandardWeb"/>
      </w:pPr>
      <w:r>
        <w:t>[</w:t>
      </w:r>
      <w:r>
        <w:br/>
        <w:t>\mathfrak{T}_{\mathrm{f}}^{\min}</w:t>
      </w:r>
      <w:r>
        <w:br/>
        <w:t>\neq</w:t>
      </w:r>
      <w:r>
        <w:br/>
        <w:t>\emptyset.</w:t>
      </w:r>
      <w:r>
        <w:br/>
        <w:t>\tag{3.4572}</w:t>
      </w:r>
      <w:r>
        <w:br/>
        <w:t>]</w:t>
      </w:r>
    </w:p>
    <w:p w:rsidR="00203600" w:rsidRDefault="00203600" w:rsidP="00203600">
      <w:pPr>
        <w:pStyle w:val="StandardWeb"/>
      </w:pPr>
      <w:r>
        <w:rPr>
          <w:rStyle w:val="Fett"/>
        </w:rPr>
        <w:lastRenderedPageBreak/>
        <w:t>Word-LaTeX</w:t>
      </w:r>
    </w:p>
    <w:p w:rsidR="00203600" w:rsidRDefault="00203600" w:rsidP="00203600">
      <w:pPr>
        <w:pStyle w:val="HTMLVorformatiert"/>
        <w:rPr>
          <w:rStyle w:val="HTMLCode"/>
        </w:rPr>
      </w:pPr>
      <w:r>
        <w:rPr>
          <w:rStyle w:val="HTMLCode"/>
        </w:rPr>
        <w:t>\mathfrak{T}_{\mathrm{f}}^{\min}\neq\emptyset\qquad\text{(3.4572)}</w:t>
      </w:r>
    </w:p>
    <w:p w:rsidR="00203600" w:rsidRDefault="00203600" w:rsidP="00203600">
      <w:pPr>
        <w:pStyle w:val="StandardWeb"/>
      </w:pPr>
      <w:r>
        <w:t>Raum- und Zeitstrukturen können anschließend definiert werden, sind aber nicht Bestandteil des elementaren Existenzgehalts.</w:t>
      </w:r>
    </w:p>
    <w:p w:rsidR="00203600" w:rsidRDefault="00203600" w:rsidP="00203600">
      <w:pPr>
        <w:pStyle w:val="StandardWeb"/>
      </w:pPr>
      <w:r>
        <w:rPr>
          <w:rStyle w:val="Fett"/>
        </w:rPr>
        <w:t>Eigenleistung des FRZK</w:t>
      </w:r>
    </w:p>
    <w:p w:rsidR="00203600" w:rsidRDefault="00203600" w:rsidP="00203600">
      <w:pPr>
        <w:pStyle w:val="StandardWeb"/>
      </w:pPr>
      <w:r>
        <w:t>Ich behalte Raum und Zeit als abgeleitete Systemstrukturen bei. Dadurch bleibt offen, unter welchen Bedingungen eine konkrete funktionale Basis überhaupt eine räumliche oder zeitliche Interpretation zulässt.</w:t>
      </w:r>
    </w:p>
    <w:p w:rsidR="00203600" w:rsidRPr="00AF32B2" w:rsidRDefault="00203600" w:rsidP="00AF32B2">
      <w:pPr>
        <w:pStyle w:val="berschrift4"/>
      </w:pPr>
      <w:r w:rsidRPr="00AF32B2">
        <w:t>3.3.21.26 Rolle der Identitätsabbildung</w:t>
      </w:r>
    </w:p>
    <w:p w:rsidR="00203600" w:rsidRDefault="00203600" w:rsidP="00203600">
      <w:pPr>
        <w:pStyle w:val="StandardWeb"/>
      </w:pPr>
      <w:r>
        <w:t>Die Zulassung der Identitätsabbildung war für das Minimalmodell der Konsistenzprüfung entscheidend.</w:t>
      </w:r>
    </w:p>
    <w:p w:rsidR="00203600" w:rsidRDefault="00203600" w:rsidP="00203600">
      <w:pPr>
        <w:pStyle w:val="StandardWeb"/>
      </w:pPr>
      <w:r>
        <w:t>Für jeden Zustandsbereich gilt:</w:t>
      </w:r>
    </w:p>
    <w:p w:rsidR="00203600" w:rsidRDefault="00203600" w:rsidP="00203600">
      <w:pPr>
        <w:pStyle w:val="StandardWeb"/>
      </w:pPr>
      <w:r>
        <w:t>[</w:t>
      </w:r>
      <w:r>
        <w:br/>
        <w:t>\operatorname{id}</w:t>
      </w:r>
      <w:r>
        <w:rPr>
          <w:rStyle w:val="Hervorhebung"/>
        </w:rPr>
        <w:t>{\mathcal{S}</w:t>
      </w:r>
      <w:r>
        <w:t>{\mathrm{el}}}</w:t>
      </w:r>
      <w:r>
        <w:br/>
        <w:t>:</w:t>
      </w:r>
      <w:r>
        <w:br/>
        <w:t>\mathcal{S}</w:t>
      </w:r>
      <w:r>
        <w:rPr>
          <w:rStyle w:val="Hervorhebung"/>
        </w:rPr>
        <w:t>{\mathrm{el}}</w:t>
      </w:r>
      <w:r>
        <w:rPr>
          <w:i/>
          <w:iCs/>
        </w:rPr>
        <w:br/>
      </w:r>
      <w:r>
        <w:rPr>
          <w:rStyle w:val="Hervorhebung"/>
        </w:rPr>
        <w:t>\rightarrow</w:t>
      </w:r>
      <w:r>
        <w:rPr>
          <w:i/>
          <w:iCs/>
        </w:rPr>
        <w:br/>
      </w:r>
      <w:r>
        <w:rPr>
          <w:rStyle w:val="Hervorhebung"/>
        </w:rPr>
        <w:t>\mathcal{S}</w:t>
      </w:r>
      <w:r>
        <w:t>{\mathrm{el}}.</w:t>
      </w:r>
      <w:r>
        <w:br/>
        <w:t>\tag{3.4573}</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\operatorname{id}_{\mathcal{S}_{\mathrm{el}}}:\mathcal{S}_{\mathrm{el}}\rightarrow\mathcal{S}_{\mathrm{el}}\qquad\text{(3.4573)}</w:t>
      </w:r>
    </w:p>
    <w:p w:rsidR="00203600" w:rsidRDefault="00203600" w:rsidP="00203600">
      <w:pPr>
        <w:pStyle w:val="StandardWeb"/>
      </w:pPr>
      <w:r>
        <w:t>mit</w:t>
      </w:r>
    </w:p>
    <w:p w:rsidR="00203600" w:rsidRDefault="00203600" w:rsidP="00203600">
      <w:pPr>
        <w:pStyle w:val="berschrift1"/>
      </w:pPr>
      <w:r>
        <w:t>[</w:t>
      </w:r>
      <w:r>
        <w:br/>
        <w:t>\operatorname{id}</w:t>
      </w:r>
      <w:r>
        <w:rPr>
          <w:rStyle w:val="Hervorhebung"/>
        </w:rPr>
        <w:t>{\mathcal{S}</w:t>
      </w:r>
      <w:r>
        <w:t>{\mathrm{el}}}(\delta)</w:t>
      </w:r>
    </w:p>
    <w:p w:rsidR="00203600" w:rsidRDefault="00203600" w:rsidP="00203600">
      <w:pPr>
        <w:pStyle w:val="StandardWeb"/>
      </w:pPr>
      <w:r>
        <w:t>\delta.</w:t>
      </w:r>
      <w:r>
        <w:br/>
        <w:t>\tag{3.4574}</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\operatorname{id}_{\mathcal{S}_{\mathrm{el}}}(\delta)=\delta\qquad\text{(3.4574)}</w:t>
      </w:r>
    </w:p>
    <w:p w:rsidR="00203600" w:rsidRDefault="00203600" w:rsidP="00203600">
      <w:pPr>
        <w:pStyle w:val="StandardWeb"/>
      </w:pPr>
      <w:r>
        <w:t>Die Identitätsabbildung erfüllt die formale Definition einer Transformation.</w:t>
      </w:r>
    </w:p>
    <w:p w:rsidR="00203600" w:rsidRDefault="00203600" w:rsidP="00203600">
      <w:pPr>
        <w:pStyle w:val="StandardWeb"/>
      </w:pPr>
      <w:r>
        <w:lastRenderedPageBreak/>
        <w:t>Würde sie ausgeschlossen, müsste zusätzlich gelten:</w:t>
      </w:r>
    </w:p>
    <w:p w:rsidR="00203600" w:rsidRDefault="00203600" w:rsidP="00203600">
      <w:pPr>
        <w:pStyle w:val="StandardWeb"/>
      </w:pPr>
      <w:r>
        <w:t>[</w:t>
      </w:r>
      <w:r>
        <w:br/>
        <w:t>\forall T\in\mathfrak{T}_{\mathrm{f}}</w:t>
      </w:r>
      <w:r>
        <w:br/>
        <w:t>\ \exists \delta:</w:t>
      </w:r>
      <w:r>
        <w:br/>
        <w:t>T(\delta)\neq\delta.</w:t>
      </w:r>
      <w:r>
        <w:br/>
        <w:t>\tag{3.4575}</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\forall T\in\mathfrak{T}_{\mathrm{f}}\ \exists\delta:T(\delta)\neq\delta\qquad\text{(3.4575)}</w:t>
      </w:r>
    </w:p>
    <w:p w:rsidR="00203600" w:rsidRDefault="00203600" w:rsidP="00203600">
      <w:pPr>
        <w:pStyle w:val="StandardWeb"/>
      </w:pPr>
      <w:r>
        <w:t>Dies würde jede zulässige Transformation zur nichttrivialen Änderung verpflichten.</w:t>
      </w:r>
    </w:p>
    <w:p w:rsidR="00203600" w:rsidRPr="00AF32B2" w:rsidRDefault="00203600" w:rsidP="00AF32B2">
      <w:pPr>
        <w:pStyle w:val="berschrift4"/>
      </w:pPr>
      <w:r w:rsidRPr="00AF32B2">
        <w:t>3.3.21.27 Begründung der Identitätszulassung</w:t>
      </w:r>
    </w:p>
    <w:p w:rsidR="00203600" w:rsidRDefault="00203600" w:rsidP="00203600">
      <w:pPr>
        <w:pStyle w:val="StandardWeb"/>
      </w:pPr>
      <w:r>
        <w:t>Die Identitätsabbildung erfüllt mehrere strukturelle Funktionen:</w:t>
      </w:r>
    </w:p>
    <w:p w:rsidR="00203600" w:rsidRDefault="00203600" w:rsidP="00632D23">
      <w:pPr>
        <w:pStyle w:val="StandardWeb"/>
        <w:numPr>
          <w:ilvl w:val="0"/>
          <w:numId w:val="102"/>
        </w:numPr>
      </w:pPr>
      <w:r>
        <w:t>Sie beschreibt funktionale Erhaltung.</w:t>
      </w:r>
    </w:p>
    <w:p w:rsidR="00203600" w:rsidRDefault="00203600" w:rsidP="00632D23">
      <w:pPr>
        <w:pStyle w:val="StandardWeb"/>
        <w:numPr>
          <w:ilvl w:val="0"/>
          <w:numId w:val="102"/>
        </w:numPr>
      </w:pPr>
      <w:r>
        <w:t>Sie bildet die neutrale Transformation bei Komposition.</w:t>
      </w:r>
    </w:p>
    <w:p w:rsidR="00203600" w:rsidRDefault="00203600" w:rsidP="00632D23">
      <w:pPr>
        <w:pStyle w:val="StandardWeb"/>
        <w:numPr>
          <w:ilvl w:val="0"/>
          <w:numId w:val="102"/>
        </w:numPr>
      </w:pPr>
      <w:r>
        <w:t>Sie ermöglicht leere oder stationäre Entwicklungen.</w:t>
      </w:r>
    </w:p>
    <w:p w:rsidR="00203600" w:rsidRDefault="00203600" w:rsidP="00632D23">
      <w:pPr>
        <w:pStyle w:val="StandardWeb"/>
        <w:numPr>
          <w:ilvl w:val="0"/>
          <w:numId w:val="102"/>
        </w:numPr>
      </w:pPr>
      <w:r>
        <w:t>Sie erlaubt eine minimale Transformationsstruktur.</w:t>
      </w:r>
    </w:p>
    <w:p w:rsidR="00203600" w:rsidRDefault="00203600" w:rsidP="00632D23">
      <w:pPr>
        <w:pStyle w:val="StandardWeb"/>
        <w:numPr>
          <w:ilvl w:val="0"/>
          <w:numId w:val="102"/>
        </w:numPr>
      </w:pPr>
      <w:r>
        <w:t>Sie trennt Transformierbarkeit von tatsächlicher Veränderung.</w:t>
      </w:r>
    </w:p>
    <w:p w:rsidR="00203600" w:rsidRDefault="00203600" w:rsidP="00203600">
      <w:pPr>
        <w:pStyle w:val="StandardWeb"/>
      </w:pPr>
      <w:r>
        <w:t>Für eine Transformation (T) gilt:</w:t>
      </w:r>
    </w:p>
    <w:p w:rsidR="00203600" w:rsidRDefault="00203600" w:rsidP="00203600">
      <w:pPr>
        <w:pStyle w:val="berschrift1"/>
      </w:pPr>
      <w:r>
        <w:t>[</w:t>
      </w:r>
      <w:r>
        <w:br/>
        <w:t>T\circ</w:t>
      </w:r>
      <w:r>
        <w:br/>
        <w:t>\operatorname{id}</w:t>
      </w:r>
    </w:p>
    <w:p w:rsidR="00203600" w:rsidRDefault="00203600" w:rsidP="00203600">
      <w:pPr>
        <w:pStyle w:val="StandardWeb"/>
      </w:pPr>
      <w:r>
        <w:t>T</w:t>
      </w:r>
      <w:r>
        <w:br/>
        <w:t>\tag{3.4576}</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T\circ\operatorname{id}=T\qquad\text{(3.4576)}</w:t>
      </w:r>
    </w:p>
    <w:p w:rsidR="00203600" w:rsidRDefault="00203600" w:rsidP="00203600">
      <w:pPr>
        <w:pStyle w:val="StandardWeb"/>
      </w:pPr>
      <w:r>
        <w:t>und</w:t>
      </w:r>
    </w:p>
    <w:p w:rsidR="00203600" w:rsidRDefault="00203600" w:rsidP="00203600">
      <w:pPr>
        <w:pStyle w:val="berschrift1"/>
      </w:pPr>
      <w:r>
        <w:t>[</w:t>
      </w:r>
      <w:r>
        <w:br/>
        <w:t>\operatorname{id}</w:t>
      </w:r>
      <w:r>
        <w:br/>
        <w:t>\circ</w:t>
      </w:r>
      <w:r>
        <w:br/>
        <w:t>T</w:t>
      </w:r>
    </w:p>
    <w:p w:rsidR="00203600" w:rsidRDefault="00203600" w:rsidP="00203600">
      <w:pPr>
        <w:pStyle w:val="StandardWeb"/>
      </w:pPr>
      <w:r>
        <w:lastRenderedPageBreak/>
        <w:t>T.</w:t>
      </w:r>
      <w:r>
        <w:br/>
        <w:t>\tag{3.4577}</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\operatorname{id}\circ T=T\qquad\text{(3.4577)}</w:t>
      </w:r>
    </w:p>
    <w:p w:rsidR="00203600" w:rsidRDefault="00203600" w:rsidP="00203600">
      <w:pPr>
        <w:pStyle w:val="StandardWeb"/>
      </w:pPr>
      <w:r>
        <w:t>Die Identität stellt damit eine mathematisch natürliche Transformation dar [6, 71].</w:t>
      </w:r>
    </w:p>
    <w:p w:rsidR="00203600" w:rsidRDefault="00203600" w:rsidP="00203600">
      <w:pPr>
        <w:pStyle w:val="StandardWeb"/>
      </w:pPr>
      <w:r>
        <w:rPr>
          <w:rStyle w:val="Fett"/>
        </w:rPr>
        <w:t>Eigenleistung des FRZK</w:t>
      </w:r>
    </w:p>
    <w:p w:rsidR="00203600" w:rsidRDefault="00203600" w:rsidP="00203600">
      <w:pPr>
        <w:pStyle w:val="StandardWeb"/>
      </w:pPr>
      <w:r>
        <w:t>Ich lasse die Identitätsabbildung ausdrücklich als funktionale Transformation zu. Nichttriviale Veränderung wird als zusätzliche Eigenschaft einzelner Modelle oder Transformationen behandelt.</w:t>
      </w:r>
    </w:p>
    <w:p w:rsidR="00203600" w:rsidRPr="00AF32B2" w:rsidRDefault="00203600" w:rsidP="00AF32B2">
      <w:pPr>
        <w:pStyle w:val="berschrift4"/>
      </w:pPr>
      <w:r w:rsidRPr="00AF32B2">
        <w:t>3.3.21.28 Verbindliche Minimalfassungen</w:t>
      </w:r>
    </w:p>
    <w:p w:rsidR="00203600" w:rsidRDefault="00203600" w:rsidP="00203600">
      <w:pPr>
        <w:pStyle w:val="StandardWeb"/>
      </w:pPr>
      <w:r>
        <w:t>Die drei Primäraxiome werden abschließend in ihren minimalen Existenzformen festgelegt.</w:t>
      </w:r>
    </w:p>
    <w:p w:rsidR="00203600" w:rsidRDefault="00203600" w:rsidP="00203600">
      <w:pPr>
        <w:pStyle w:val="StandardWeb"/>
      </w:pPr>
      <w:r>
        <w:t>Primäraxiom I:</w:t>
      </w:r>
    </w:p>
    <w:p w:rsidR="00203600" w:rsidRDefault="00203600" w:rsidP="00203600">
      <w:pPr>
        <w:pStyle w:val="StandardWeb"/>
      </w:pPr>
      <w:r>
        <w:t>[</w:t>
      </w:r>
      <w:r>
        <w:br/>
        <w:t>\boxed{</w:t>
      </w:r>
      <w:r>
        <w:br/>
        <w:t>A_{\mathrm{I}}:</w:t>
      </w:r>
      <w:r>
        <w:br/>
        <w:t>\mathcal{S}_{\mathrm{el}}</w:t>
      </w:r>
      <w:r>
        <w:br/>
        <w:t>\neq</w:t>
      </w:r>
      <w:r>
        <w:br/>
        <w:t>\emptyset</w:t>
      </w:r>
      <w:r>
        <w:br/>
        <w:t>}</w:t>
      </w:r>
      <w:r>
        <w:br/>
        <w:t>\tag{3.4578}</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\boxed{A_{\mathrm{I}}:\mathcal{S}_{\mathrm{el}}\neq\emptyset}\qquad\text{(3.4578)}</w:t>
      </w:r>
    </w:p>
    <w:p w:rsidR="00203600" w:rsidRDefault="00203600" w:rsidP="00203600">
      <w:pPr>
        <w:pStyle w:val="StandardWeb"/>
      </w:pPr>
      <w:r>
        <w:t>Primäraxiom II:</w:t>
      </w:r>
    </w:p>
    <w:p w:rsidR="00203600" w:rsidRDefault="00203600" w:rsidP="00203600">
      <w:pPr>
        <w:pStyle w:val="StandardWeb"/>
      </w:pPr>
      <w:r>
        <w:t>[</w:t>
      </w:r>
      <w:r>
        <w:br/>
        <w:t>\boxed{</w:t>
      </w:r>
      <w:r>
        <w:br/>
        <w:t>A_{\mathrm{II}}:</w:t>
      </w:r>
      <w:r>
        <w:br/>
        <w:t>\mathfrak{R}_{\mathrm{f}}</w:t>
      </w:r>
      <w:r>
        <w:br/>
        <w:t>\neq</w:t>
      </w:r>
      <w:r>
        <w:br/>
        <w:t>\emptyset</w:t>
      </w:r>
      <w:r>
        <w:br/>
        <w:t>}</w:t>
      </w:r>
      <w:r>
        <w:br/>
        <w:t>\tag{3.4579}</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lastRenderedPageBreak/>
        <w:t>\boxed{A_{\mathrm{II}}:\mathfrak{R}_{\mathrm{f}}\neq\emptyset}\qquad\text{(3.4579)}</w:t>
      </w:r>
    </w:p>
    <w:p w:rsidR="00203600" w:rsidRDefault="00203600" w:rsidP="00203600">
      <w:pPr>
        <w:pStyle w:val="StandardWeb"/>
      </w:pPr>
      <w:r>
        <w:t>Primäraxiom III:</w:t>
      </w:r>
    </w:p>
    <w:p w:rsidR="00203600" w:rsidRDefault="00203600" w:rsidP="00203600">
      <w:pPr>
        <w:pStyle w:val="StandardWeb"/>
      </w:pPr>
      <w:r>
        <w:t>[</w:t>
      </w:r>
      <w:r>
        <w:br/>
        <w:t>\boxed{</w:t>
      </w:r>
      <w:r>
        <w:br/>
        <w:t>A_{\mathrm{III}}:</w:t>
      </w:r>
      <w:r>
        <w:br/>
        <w:t>\mathfrak{T}_{\mathrm{f}}</w:t>
      </w:r>
      <w:r>
        <w:br/>
        <w:t>\neq</w:t>
      </w:r>
      <w:r>
        <w:br/>
        <w:t>\emptyset</w:t>
      </w:r>
      <w:r>
        <w:br/>
        <w:t>}</w:t>
      </w:r>
      <w:r>
        <w:br/>
        <w:t>\tag{3.4580}</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\boxed{A_{\mathrm{III}}:\mathfrak{T}_{\mathrm{f}}\neq\emptyset}\qquad\text{(3.4580)}</w:t>
      </w:r>
    </w:p>
    <w:p w:rsidR="00203600" w:rsidRDefault="00203600" w:rsidP="00203600">
      <w:pPr>
        <w:pStyle w:val="StandardWeb"/>
      </w:pPr>
      <w:r>
        <w:t>Die gemeinsame Primäraxiomenmenge lautet:</w:t>
      </w:r>
    </w:p>
    <w:p w:rsidR="00203600" w:rsidRDefault="00203600" w:rsidP="00203600">
      <w:pPr>
        <w:pStyle w:val="berschrift1"/>
      </w:pPr>
      <w:r>
        <w:t>[</w:t>
      </w:r>
      <w:r>
        <w:br/>
        <w:t>\boxed{</w:t>
      </w:r>
      <w:r>
        <w:br/>
        <w:t>\mathcal{A}_{\mathrm{prim}}^{\min}</w:t>
      </w:r>
    </w:p>
    <w:p w:rsidR="00203600" w:rsidRDefault="00203600" w:rsidP="00203600">
      <w:pPr>
        <w:pStyle w:val="StandardWeb"/>
      </w:pPr>
      <w:r>
        <w:t>\left{</w:t>
      </w:r>
      <w:r>
        <w:br/>
        <w:t>A_{\mathrm{I}},</w:t>
      </w:r>
      <w:r>
        <w:br/>
        <w:t>A_{\mathrm{II}},</w:t>
      </w:r>
      <w:r>
        <w:br/>
        <w:t>A_{\mathrm{III}}</w:t>
      </w:r>
      <w:r>
        <w:br/>
        <w:t>\right}</w:t>
      </w:r>
      <w:r>
        <w:br/>
        <w:t>}</w:t>
      </w:r>
      <w:r>
        <w:br/>
        <w:t>\tag{3.4581}</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\boxed{\mathcal{A}_{\mathrm{prim}}^{\min}=\left\{A_{\mathrm{I}},A_{\mathrm{II}},A_{\mathrm{III}}\right\}}\qquad\text{(3.4581)}</w:t>
      </w:r>
    </w:p>
    <w:p w:rsidR="00203600" w:rsidRPr="00AF32B2" w:rsidRDefault="00203600" w:rsidP="00AF32B2">
      <w:pPr>
        <w:pStyle w:val="berschrift4"/>
      </w:pPr>
      <w:r w:rsidRPr="00AF32B2">
        <w:t>3.3.21.29 Typisierte Ergänzungsbedingungen</w:t>
      </w:r>
    </w:p>
    <w:p w:rsidR="00203600" w:rsidRDefault="00203600" w:rsidP="00203600">
      <w:pPr>
        <w:pStyle w:val="StandardWeb"/>
      </w:pPr>
      <w:r>
        <w:t>Die Minimalfassungen sichern nur die Existenz der drei Objektklassen. Für ein vollständiges typisiertes FRZK gelten ergänzend:</w:t>
      </w:r>
    </w:p>
    <w:p w:rsidR="00203600" w:rsidRDefault="00203600" w:rsidP="00203600">
      <w:pPr>
        <w:pStyle w:val="StandardWeb"/>
      </w:pPr>
      <w:r>
        <w:t>[</w:t>
      </w:r>
      <w:r>
        <w:br/>
        <w:t>\mathcal{S}_{\mathrm{el}}</w:t>
      </w:r>
      <w:r>
        <w:br/>
        <w:t>\text{ ist eine Menge},</w:t>
      </w:r>
      <w:r>
        <w:br/>
        <w:t>\tag{3.4582}</w:t>
      </w:r>
      <w:r>
        <w:br/>
        <w:t>]</w:t>
      </w:r>
    </w:p>
    <w:p w:rsidR="00203600" w:rsidRDefault="00203600" w:rsidP="00203600">
      <w:pPr>
        <w:pStyle w:val="StandardWeb"/>
      </w:pPr>
      <w:r>
        <w:rPr>
          <w:rStyle w:val="Fett"/>
        </w:rPr>
        <w:lastRenderedPageBreak/>
        <w:t>Word-LaTeX</w:t>
      </w:r>
    </w:p>
    <w:p w:rsidR="00203600" w:rsidRDefault="00203600" w:rsidP="00203600">
      <w:pPr>
        <w:pStyle w:val="HTMLVorformatiert"/>
        <w:rPr>
          <w:rStyle w:val="HTMLCode"/>
        </w:rPr>
      </w:pPr>
      <w:r>
        <w:rPr>
          <w:rStyle w:val="HTMLCode"/>
        </w:rPr>
        <w:t>\mathcal{S}_{\mathrm{el}}\text{ ist eine Menge}\qquad\text{(3.4582)}</w:t>
      </w:r>
    </w:p>
    <w:p w:rsidR="00203600" w:rsidRDefault="00203600" w:rsidP="00203600">
      <w:pPr>
        <w:pStyle w:val="StandardWeb"/>
      </w:pPr>
      <w:r>
        <w:t>[</w:t>
      </w:r>
      <w:r>
        <w:br/>
        <w:t>\forall R\in\mathfrak{R}</w:t>
      </w:r>
      <w:r>
        <w:rPr>
          <w:rStyle w:val="Hervorhebung"/>
        </w:rPr>
        <w:t>{\mathrm{f}}:</w:t>
      </w:r>
      <w:r>
        <w:rPr>
          <w:i/>
          <w:iCs/>
        </w:rPr>
        <w:br/>
      </w:r>
      <w:r>
        <w:rPr>
          <w:rStyle w:val="Hervorhebung"/>
        </w:rPr>
        <w:t>R</w:t>
      </w:r>
      <w:r>
        <w:rPr>
          <w:i/>
          <w:iCs/>
        </w:rPr>
        <w:br/>
      </w:r>
      <w:r>
        <w:rPr>
          <w:rStyle w:val="Hervorhebung"/>
        </w:rPr>
        <w:t>\subseteq</w:t>
      </w:r>
      <w:r>
        <w:rPr>
          <w:i/>
          <w:iCs/>
        </w:rPr>
        <w:br/>
      </w:r>
      <w:r>
        <w:rPr>
          <w:rStyle w:val="Hervorhebung"/>
        </w:rPr>
        <w:t>\mathcal{S}</w:t>
      </w:r>
      <w:r>
        <w:t>{\mathrm{el}}</w:t>
      </w:r>
      <w:r>
        <w:br/>
        <w:t>\times</w:t>
      </w:r>
      <w:r>
        <w:br/>
        <w:t>\mathcal{S}_{\mathrm{el}},</w:t>
      </w:r>
      <w:r>
        <w:br/>
        <w:t>\tag{3.4583}</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\forall R\in\mathfrak{R}_{\mathrm{f}}:R\subseteq\mathcal{S}_{\mathrm{el}}\times\mathcal{S}_{\mathrm{el}}\qquad\text{(3.4583)}</w:t>
      </w:r>
    </w:p>
    <w:p w:rsidR="00203600" w:rsidRDefault="00203600" w:rsidP="00203600">
      <w:pPr>
        <w:pStyle w:val="StandardWeb"/>
      </w:pPr>
      <w:r>
        <w:t>und</w:t>
      </w:r>
    </w:p>
    <w:p w:rsidR="00203600" w:rsidRDefault="00203600" w:rsidP="00203600">
      <w:pPr>
        <w:pStyle w:val="StandardWeb"/>
      </w:pPr>
      <w:r>
        <w:t>[</w:t>
      </w:r>
      <w:r>
        <w:br/>
        <w:t>\forall T\in\mathfrak{T}</w:t>
      </w:r>
      <w:r>
        <w:rPr>
          <w:rStyle w:val="Hervorhebung"/>
        </w:rPr>
        <w:t>{\mathrm{f}}:</w:t>
      </w:r>
      <w:r>
        <w:rPr>
          <w:i/>
          <w:iCs/>
        </w:rPr>
        <w:br/>
      </w:r>
      <w:r>
        <w:rPr>
          <w:rStyle w:val="Hervorhebung"/>
        </w:rPr>
        <w:t>T:</w:t>
      </w:r>
      <w:r>
        <w:rPr>
          <w:i/>
          <w:iCs/>
        </w:rPr>
        <w:br/>
      </w:r>
      <w:r>
        <w:rPr>
          <w:rStyle w:val="Hervorhebung"/>
        </w:rPr>
        <w:t>\mathcal{S}</w:t>
      </w:r>
      <w:r>
        <w:t>{\mathrm{el}}</w:t>
      </w:r>
      <w:r>
        <w:br/>
        <w:t>\rightarrow</w:t>
      </w:r>
      <w:r>
        <w:br/>
        <w:t>\mathcal{S}_{\mathrm{el}}.</w:t>
      </w:r>
      <w:r>
        <w:br/>
        <w:t>\tag{3.4584}</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\forall T\in\mathfrak{T}_{\mathrm{f}}:T:\mathcal{S}_{\mathrm{el}}\rightarrow\mathcal{S}_{\mathrm{el}}\qquad\text{(3.4584)}</w:t>
      </w:r>
    </w:p>
    <w:p w:rsidR="00203600" w:rsidRDefault="00203600" w:rsidP="00203600">
      <w:pPr>
        <w:pStyle w:val="StandardWeb"/>
      </w:pPr>
      <w:r>
        <w:t>Diese Typbedingungen konkretisieren die Objektklassen, ohne zusätzliche strukturelle Eigenschaften wie Symmetrie, Invertierbarkeit oder Metrik vorauszusetzen.</w:t>
      </w:r>
    </w:p>
    <w:p w:rsidR="00203600" w:rsidRPr="00AF32B2" w:rsidRDefault="00203600" w:rsidP="00AF32B2">
      <w:pPr>
        <w:pStyle w:val="berschrift4"/>
      </w:pPr>
      <w:r w:rsidRPr="00AF32B2">
        <w:t>3.3.21.30 Satz zur begrifflichen Minimalität</w:t>
      </w:r>
    </w:p>
    <w:p w:rsidR="00203600" w:rsidRDefault="00203600" w:rsidP="00203600">
      <w:pPr>
        <w:pStyle w:val="StandardWeb"/>
      </w:pPr>
      <w:r>
        <w:rPr>
          <w:rStyle w:val="Fett"/>
        </w:rPr>
        <w:t>Satz 3.3.3 – Begriffliche Minimalität der drei Primäraxiome</w:t>
      </w:r>
    </w:p>
    <w:p w:rsidR="00203600" w:rsidRDefault="00203600" w:rsidP="00203600">
      <w:pPr>
        <w:pStyle w:val="StandardWeb"/>
      </w:pPr>
      <w:r>
        <w:t>Die drei Primäraxiome des FRZK sind hinsichtlich ihres elementaren Existenzgehalts begrifflich minimal, wenn sie ausschließlich die Nichtleerheit des elementaren Zustandsbereichs, der funktionalen Relationsmenge und der funktionalen Transformationsmenge fordern.</w:t>
      </w:r>
    </w:p>
    <w:p w:rsidR="00203600" w:rsidRDefault="00203600" w:rsidP="00203600">
      <w:pPr>
        <w:pStyle w:val="StandardWeb"/>
      </w:pPr>
      <w:r>
        <w:t>Formal gilt:</w:t>
      </w:r>
    </w:p>
    <w:p w:rsidR="00203600" w:rsidRDefault="00203600" w:rsidP="00203600">
      <w:pPr>
        <w:pStyle w:val="StandardWeb"/>
      </w:pPr>
      <w:r>
        <w:lastRenderedPageBreak/>
        <w:t>[</w:t>
      </w:r>
      <w:r>
        <w:br/>
        <w:t>A_{\mathrm{I}}</w:t>
      </w:r>
      <w:r>
        <w:br/>
        <w:t>\equiv</w:t>
      </w:r>
      <w:r>
        <w:br/>
        <w:t>\left(</w:t>
      </w:r>
      <w:r>
        <w:br/>
        <w:t>\mathcal{S}_{\mathrm{el}}</w:t>
      </w:r>
      <w:r>
        <w:br/>
        <w:t>\neq</w:t>
      </w:r>
      <w:r>
        <w:br/>
        <w:t>\emptyset</w:t>
      </w:r>
      <w:r>
        <w:br/>
        <w:t>\right),</w:t>
      </w:r>
      <w:r>
        <w:br/>
        <w:t>\tag{3.4585}</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A_{\mathrm{I}}\equiv\left(\mathcal{S}_{\mathrm{el}}\neq\emptyset\right)\qquad\text{(3.4585)}</w:t>
      </w:r>
    </w:p>
    <w:p w:rsidR="00203600" w:rsidRDefault="00203600" w:rsidP="00203600">
      <w:pPr>
        <w:pStyle w:val="StandardWeb"/>
      </w:pPr>
      <w:r>
        <w:t>[</w:t>
      </w:r>
      <w:r>
        <w:br/>
        <w:t>A_{\mathrm{II}}</w:t>
      </w:r>
      <w:r>
        <w:br/>
        <w:t>\equiv</w:t>
      </w:r>
      <w:r>
        <w:br/>
        <w:t>\left(</w:t>
      </w:r>
      <w:r>
        <w:br/>
        <w:t>\mathfrak{R}_{\mathrm{f}}</w:t>
      </w:r>
      <w:r>
        <w:br/>
        <w:t>\neq</w:t>
      </w:r>
      <w:r>
        <w:br/>
        <w:t>\emptyset</w:t>
      </w:r>
      <w:r>
        <w:br/>
        <w:t>\right),</w:t>
      </w:r>
      <w:r>
        <w:br/>
        <w:t>\tag{3.4586}</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A_{\mathrm{II}}\equiv\left(\mathfrak{R}_{\mathrm{f}}\neq\emptyset\right)\qquad\text{(3.4586)}</w:t>
      </w:r>
    </w:p>
    <w:p w:rsidR="00203600" w:rsidRDefault="00203600" w:rsidP="00203600">
      <w:pPr>
        <w:pStyle w:val="StandardWeb"/>
      </w:pPr>
      <w:r>
        <w:t>und</w:t>
      </w:r>
    </w:p>
    <w:p w:rsidR="00203600" w:rsidRDefault="00203600" w:rsidP="00203600">
      <w:pPr>
        <w:pStyle w:val="StandardWeb"/>
      </w:pPr>
      <w:r>
        <w:t>[</w:t>
      </w:r>
      <w:r>
        <w:br/>
        <w:t>A_{\mathrm{III}}</w:t>
      </w:r>
      <w:r>
        <w:br/>
        <w:t>\equiv</w:t>
      </w:r>
      <w:r>
        <w:br/>
        <w:t>\left(</w:t>
      </w:r>
      <w:r>
        <w:br/>
        <w:t>\mathfrak{T}_{\mathrm{f}}</w:t>
      </w:r>
      <w:r>
        <w:br/>
        <w:t>\neq</w:t>
      </w:r>
      <w:r>
        <w:br/>
        <w:t>\emptyset</w:t>
      </w:r>
      <w:r>
        <w:br/>
        <w:t>\right).</w:t>
      </w:r>
      <w:r>
        <w:br/>
        <w:t>\tag{3.4587}</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A_{\mathrm{III}}\equiv\left(\mathfrak{T}_{\mathrm{f}}\neq\emptyset\right)\qquad\text{(3.4587)}</w:t>
      </w:r>
    </w:p>
    <w:p w:rsidR="00203600" w:rsidRDefault="00203600" w:rsidP="00203600">
      <w:pPr>
        <w:pStyle w:val="berschrift3"/>
      </w:pPr>
      <w:r>
        <w:t>Beweis</w:t>
      </w:r>
    </w:p>
    <w:p w:rsidR="00203600" w:rsidRDefault="00203600" w:rsidP="00203600">
      <w:pPr>
        <w:pStyle w:val="StandardWeb"/>
      </w:pPr>
      <w:r>
        <w:lastRenderedPageBreak/>
        <w:t>Primäraxiom I kann nicht weiter abgeschwächt werden, ohne die Existenz funktionaler Zustände preiszugeben. Eine Verstärkung um mehrere Zustände, Eindeutigkeit, Messbarkeit oder algebraische Struktur schließt das zulässige einelementige Minimalmodell aus und ist deshalb nicht notwendig.</w:t>
      </w:r>
    </w:p>
    <w:p w:rsidR="00203600" w:rsidRDefault="00203600" w:rsidP="00203600">
      <w:pPr>
        <w:pStyle w:val="StandardWeb"/>
      </w:pPr>
      <w:r>
        <w:t>Primäraxiom II kann nicht weiter abgeschwächt werden, ohne die Existenz funktionaler Relationsobjekte preiszugeben. Eigenschaften wie Reflexivität, Symmetrie, Transitivität oder Totalität werden nicht von sämtlichen zulässigen Modellen erfüllt und dürfen daher nicht Bestandteil der Minimalform sein.</w:t>
      </w:r>
    </w:p>
    <w:p w:rsidR="00203600" w:rsidRDefault="00203600" w:rsidP="00203600">
      <w:pPr>
        <w:pStyle w:val="StandardWeb"/>
      </w:pPr>
      <w:r>
        <w:t>Primäraxiom III kann nicht weiter abgeschwächt werden, ohne die Existenz funktionaler Transformationen preiszugeben. Nichttrivialität, Invertierbarkeit, Kompositionsabgeschlossenheit oder Erhaltungseigenschaften werden nicht von sämtlichen zulässigen Transformationen erfüllt. Insbesondere zeigt die Identitätsabbildung, dass Transformierbarkeit ohne nichttriviale Zustandsänderung möglich ist.</w:t>
      </w:r>
    </w:p>
    <w:p w:rsidR="00203600" w:rsidRDefault="00203600" w:rsidP="00203600">
      <w:pPr>
        <w:pStyle w:val="StandardWeb"/>
      </w:pPr>
      <w:r>
        <w:t>Damit enthalten die drei Minimalfassungen genau den für die elementaren Objektklassen erforderlichen Existenzgehalt und keine allgemein entbehrliche Zusatzbedingung. (\square)</w:t>
      </w:r>
    </w:p>
    <w:p w:rsidR="00203600" w:rsidRPr="00AF32B2" w:rsidRDefault="00203600" w:rsidP="00AF32B2">
      <w:pPr>
        <w:pStyle w:val="berschrift4"/>
      </w:pPr>
      <w:r w:rsidRPr="00AF32B2">
        <w:t>3.3.21.31 Minimalität und Ausdrucksstärke</w:t>
      </w:r>
    </w:p>
    <w:p w:rsidR="00203600" w:rsidRDefault="00203600" w:rsidP="00203600">
      <w:pPr>
        <w:pStyle w:val="StandardWeb"/>
      </w:pPr>
      <w:r>
        <w:t>Eine minimal formulierte Axiomenbasis ist nicht gleichbedeutend mit einer inhaltsarmen Theorie. Die Ausdrucksstärke entsteht durch die darauf aufbauenden Definitionen, Modellbedingungen und Ableitungen.</w:t>
      </w:r>
    </w:p>
    <w:p w:rsidR="00203600" w:rsidRDefault="00203600" w:rsidP="00203600">
      <w:pPr>
        <w:pStyle w:val="StandardWeb"/>
      </w:pPr>
      <w:r>
        <w:t>Schematisch gilt:</w:t>
      </w:r>
    </w:p>
    <w:p w:rsidR="00203600" w:rsidRDefault="00203600" w:rsidP="00203600">
      <w:pPr>
        <w:pStyle w:val="StandardWeb"/>
      </w:pPr>
      <w:r>
        <w:t>[</w:t>
      </w:r>
      <w:r>
        <w:br/>
        <w:t>\mathcal{A}</w:t>
      </w:r>
      <w:r>
        <w:rPr>
          <w:rStyle w:val="Hervorhebung"/>
        </w:rPr>
        <w:t>{\mathrm{prim}}^{\min}</w:t>
      </w:r>
      <w:r>
        <w:rPr>
          <w:i/>
          <w:iCs/>
        </w:rPr>
        <w:br/>
      </w:r>
      <w:r>
        <w:rPr>
          <w:rStyle w:val="Hervorhebung"/>
        </w:rPr>
        <w:t>+</w:t>
      </w:r>
      <w:r>
        <w:rPr>
          <w:i/>
          <w:iCs/>
        </w:rPr>
        <w:br/>
      </w:r>
      <w:r>
        <w:rPr>
          <w:rStyle w:val="Hervorhebung"/>
        </w:rPr>
        <w:t>\mathcal{D}</w:t>
      </w:r>
      <w:r>
        <w:t>{F}</w:t>
      </w:r>
      <w:r>
        <w:br/>
        <w:t>+</w:t>
      </w:r>
      <w:r>
        <w:br/>
        <w:t>\mathcal{B}</w:t>
      </w:r>
      <w:r>
        <w:rPr>
          <w:rStyle w:val="Hervorhebung"/>
        </w:rPr>
        <w:t>{F}^{(\mu)}</w:t>
      </w:r>
      <w:r>
        <w:rPr>
          <w:i/>
          <w:iCs/>
        </w:rPr>
        <w:br/>
      </w:r>
      <w:r>
        <w:rPr>
          <w:rStyle w:val="Hervorhebung"/>
        </w:rPr>
        <w:t>\Longrightarrow</w:t>
      </w:r>
      <w:r>
        <w:rPr>
          <w:i/>
          <w:iCs/>
        </w:rPr>
        <w:br/>
      </w:r>
      <w:r>
        <w:rPr>
          <w:rStyle w:val="Hervorhebung"/>
        </w:rPr>
        <w:t>\mathfrak{F}</w:t>
      </w:r>
      <w:r>
        <w:t>{\mathrm{RZK}}^{(\mu)}.</w:t>
      </w:r>
      <w:r>
        <w:br/>
        <w:t>\tag{3.4588}</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\mathcal{A}_{\mathrm{prim}}^{\min}+\mathcal{D}_{F}+\mathcal{B}_{F}^{(\mu)}\Longrightarrow\mathfrak{F}_{\mathrm{RZK}}^{(\mu)}\qquad\text{(3.4588)}</w:t>
      </w:r>
    </w:p>
    <w:p w:rsidR="00203600" w:rsidRDefault="00203600" w:rsidP="00203600">
      <w:pPr>
        <w:pStyle w:val="StandardWeb"/>
      </w:pPr>
      <w:r>
        <w:t>Dabei bezeichnet:</w:t>
      </w:r>
    </w:p>
    <w:p w:rsidR="00203600" w:rsidRDefault="00203600" w:rsidP="00632D23">
      <w:pPr>
        <w:pStyle w:val="StandardWeb"/>
        <w:numPr>
          <w:ilvl w:val="0"/>
          <w:numId w:val="103"/>
        </w:numPr>
      </w:pPr>
      <w:r>
        <w:t>(\mathcal{D}_{F}) die Menge der FRZK-Definitionen,</w:t>
      </w:r>
    </w:p>
    <w:p w:rsidR="00203600" w:rsidRDefault="00203600" w:rsidP="00632D23">
      <w:pPr>
        <w:pStyle w:val="StandardWeb"/>
        <w:numPr>
          <w:ilvl w:val="0"/>
          <w:numId w:val="103"/>
        </w:numPr>
      </w:pPr>
      <w:r>
        <w:t>(\mathcal{B}_{F}^{(\mu)}) die modellspezifischen Bedingungen,</w:t>
      </w:r>
    </w:p>
    <w:p w:rsidR="00203600" w:rsidRDefault="00203600" w:rsidP="00632D23">
      <w:pPr>
        <w:pStyle w:val="StandardWeb"/>
        <w:numPr>
          <w:ilvl w:val="0"/>
          <w:numId w:val="103"/>
        </w:numPr>
      </w:pPr>
      <w:r>
        <w:t>(\mathfrak{F}_{\mathrm{RZK}}^{(\mu)}) eine konkrete Modellinstanz.</w:t>
      </w:r>
    </w:p>
    <w:p w:rsidR="00203600" w:rsidRDefault="00203600" w:rsidP="00203600">
      <w:pPr>
        <w:pStyle w:val="StandardWeb"/>
      </w:pPr>
      <w:r>
        <w:t>Die Primäraxiome eröffnen somit die elementare Modellklasse. Die wissenschaftlich untersuchbaren Strukturen entstehen erst durch explizite Ergänzungen.</w:t>
      </w:r>
    </w:p>
    <w:p w:rsidR="00203600" w:rsidRPr="00AF32B2" w:rsidRDefault="00203600" w:rsidP="00AF32B2">
      <w:pPr>
        <w:pStyle w:val="berschrift4"/>
      </w:pPr>
      <w:r w:rsidRPr="00AF32B2">
        <w:lastRenderedPageBreak/>
        <w:t>3.3.21.32 Abgrenzung zu versteckten Zusatzaxiomen</w:t>
      </w:r>
    </w:p>
    <w:p w:rsidR="00203600" w:rsidRDefault="00203600" w:rsidP="00203600">
      <w:pPr>
        <w:pStyle w:val="StandardWeb"/>
      </w:pPr>
      <w:r>
        <w:t>Eine Gefahr für die begriffliche Minimalität besteht darin, zusätzliche Eigenschaften in Definitionen oder sprachliche Erläuterungen einzuführen, die faktisch wie Axiome wirken.</w:t>
      </w:r>
    </w:p>
    <w:p w:rsidR="00203600" w:rsidRDefault="00203600" w:rsidP="00203600">
      <w:pPr>
        <w:pStyle w:val="StandardWeb"/>
      </w:pPr>
      <w:r>
        <w:t>Eine Bedingung (P) wirkt als verstecktes Zusatzaxiom, wenn sämtliche späteren Modelle nur noch unter</w:t>
      </w:r>
    </w:p>
    <w:p w:rsidR="00203600" w:rsidRDefault="00203600" w:rsidP="00203600">
      <w:pPr>
        <w:pStyle w:val="berschrift1"/>
      </w:pPr>
      <w:r>
        <w:t>[</w:t>
      </w:r>
      <w:r>
        <w:br/>
        <w:t>P</w:t>
      </w:r>
    </w:p>
    <w:p w:rsidR="00203600" w:rsidRDefault="00203600" w:rsidP="00203600">
      <w:pPr>
        <w:pStyle w:val="StandardWeb"/>
      </w:pPr>
      <w:r>
        <w:t>1</w:t>
      </w:r>
      <w:r>
        <w:br/>
        <w:t>\tag{3.4589}</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P=1\qquad\text{(3.4589)}</w:t>
      </w:r>
    </w:p>
    <w:p w:rsidR="00203600" w:rsidRDefault="00203600" w:rsidP="00203600">
      <w:pPr>
        <w:pStyle w:val="StandardWeb"/>
      </w:pPr>
      <w:r>
        <w:t>zugelassen werden, obwohl (P) nicht ausdrücklich als Modellbedingung ausgewiesen wurde.</w:t>
      </w:r>
    </w:p>
    <w:p w:rsidR="00203600" w:rsidRDefault="00203600" w:rsidP="00203600">
      <w:pPr>
        <w:pStyle w:val="StandardWeb"/>
      </w:pPr>
      <w:r>
        <w:t>Die zulässige Modellklasse würde dann tatsächlich lauten:</w:t>
      </w:r>
    </w:p>
    <w:p w:rsidR="00203600" w:rsidRDefault="00203600" w:rsidP="00203600">
      <w:pPr>
        <w:pStyle w:val="StandardWeb"/>
      </w:pPr>
      <w:r>
        <w:t>[</w:t>
      </w:r>
      <w:r>
        <w:br/>
        <w:t>\operatorname{Mod}</w:t>
      </w:r>
      <w:r>
        <w:br/>
        <w:t>\left(</w:t>
      </w:r>
      <w:r>
        <w:br/>
        <w:t>\mathcal{A}_{\mathrm{prim}}</w:t>
      </w:r>
      <w:r>
        <w:br/>
        <w:t>\cup</w:t>
      </w:r>
      <w:r>
        <w:br/>
        <w:t>{P}</w:t>
      </w:r>
      <w:r>
        <w:br/>
        <w:t>\right)</w:t>
      </w:r>
      <w:r>
        <w:br/>
        <w:t>\tag{3.4590}</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t>\operatorname{Mod}\left(\mathcal{A}_{\mathrm{prim}}\cup\{P\}\right)\qquad\text{(3.4590)}</w:t>
      </w:r>
    </w:p>
    <w:p w:rsidR="00203600" w:rsidRDefault="00203600" w:rsidP="00203600">
      <w:pPr>
        <w:pStyle w:val="StandardWeb"/>
      </w:pPr>
      <w:r>
        <w:t>und nicht nur</w:t>
      </w:r>
    </w:p>
    <w:p w:rsidR="00203600" w:rsidRDefault="00203600" w:rsidP="00203600">
      <w:pPr>
        <w:pStyle w:val="StandardWeb"/>
      </w:pPr>
      <w:r>
        <w:t>[</w:t>
      </w:r>
      <w:r>
        <w:br/>
        <w:t>\operatorname{Mod}</w:t>
      </w:r>
      <w:r>
        <w:br/>
        <w:t>\left(</w:t>
      </w:r>
      <w:r>
        <w:br/>
        <w:t>\mathcal{A}_{\mathrm{prim}}</w:t>
      </w:r>
      <w:r>
        <w:br/>
        <w:t>\right).</w:t>
      </w:r>
      <w:r>
        <w:br/>
        <w:t>\tag{3.4591}</w:t>
      </w:r>
      <w:r>
        <w:br/>
        <w:t>]</w:t>
      </w:r>
    </w:p>
    <w:p w:rsidR="00203600" w:rsidRDefault="00203600" w:rsidP="00203600">
      <w:pPr>
        <w:pStyle w:val="StandardWeb"/>
      </w:pPr>
      <w:r>
        <w:rPr>
          <w:rStyle w:val="Fett"/>
        </w:rPr>
        <w:t>Word-LaTeX</w:t>
      </w:r>
    </w:p>
    <w:p w:rsidR="00203600" w:rsidRDefault="00203600" w:rsidP="00203600">
      <w:pPr>
        <w:pStyle w:val="HTMLVorformatiert"/>
        <w:rPr>
          <w:rStyle w:val="HTMLCode"/>
        </w:rPr>
      </w:pPr>
      <w:r>
        <w:rPr>
          <w:rStyle w:val="HTMLCode"/>
        </w:rPr>
        <w:lastRenderedPageBreak/>
        <w:t>\operatorname{Mod}\left(\mathcal{A}_{\mathrm{prim}}\right)\qquad\text{(3.4591)}</w:t>
      </w:r>
    </w:p>
    <w:p w:rsidR="00203600" w:rsidRDefault="00203600" w:rsidP="00203600">
      <w:pPr>
        <w:pStyle w:val="StandardWeb"/>
      </w:pPr>
      <w:r>
        <w:rPr>
          <w:rStyle w:val="Fett"/>
        </w:rPr>
        <w:t>Eigenleistung des FRZK</w:t>
      </w:r>
    </w:p>
    <w:p w:rsidR="00203600" w:rsidRDefault="00203600" w:rsidP="00203600">
      <w:pPr>
        <w:pStyle w:val="StandardWeb"/>
      </w:pPr>
      <w:r>
        <w:t>Ich lege deshalb fest, dass jede später eingeführte allgemeine Einschränkung ausdrücklich als Definition, Satzvoraussetzung, Modellbedingung, Kalibrierungsannahme oder empirische Hypothese gekennzeichnet werden muss.</w:t>
      </w:r>
    </w:p>
    <w:p w:rsidR="00203600" w:rsidRPr="00AF32B2" w:rsidRDefault="00203600" w:rsidP="00AF32B2">
      <w:pPr>
        <w:pStyle w:val="berschrift4"/>
      </w:pPr>
      <w:r w:rsidRPr="00AF32B2">
        <w:t>3.3.21.33 Ergebnis der Minimalitätsprüfung</w:t>
      </w:r>
    </w:p>
    <w:p w:rsidR="00203600" w:rsidRDefault="00203600" w:rsidP="00203600">
      <w:pPr>
        <w:pStyle w:val="StandardWeb"/>
      </w:pPr>
      <w:r>
        <w:t>Die drei Primäraxiome sind in ihren Nichtleerheitsfassungen begrifflich minimal. Keine der untersuchten Zusatzbedingungen muss bereits auf der Primärebene vorausgesetzt werden.</w:t>
      </w:r>
    </w:p>
    <w:p w:rsidR="00203600" w:rsidRDefault="00203600" w:rsidP="00203600">
      <w:pPr>
        <w:pStyle w:val="StandardWeb"/>
      </w:pPr>
      <w:r>
        <w:t>Für Primäraxiom I sind insbesondere Mehrzahligkeit, vollständige Bestimmbarkeit und innere Raumstruktur entbehrlich.</w:t>
      </w:r>
    </w:p>
    <w:p w:rsidR="00203600" w:rsidRDefault="00203600" w:rsidP="00203600">
      <w:pPr>
        <w:pStyle w:val="StandardWeb"/>
      </w:pPr>
      <w:r>
        <w:t>Für Primäraxiom II sind Reflexivität, Symmetrie, Transitivität, Totalität und räumliche oder kausale Interpretation entbehrlich.</w:t>
      </w:r>
    </w:p>
    <w:p w:rsidR="00203600" w:rsidRDefault="00203600" w:rsidP="00203600">
      <w:pPr>
        <w:pStyle w:val="StandardWeb"/>
      </w:pPr>
      <w:r>
        <w:t>Für Primäraxiom III sind nichttriviale Veränderung, Invertierbarkeit, Linearität, Kompositionsabgeschlossenheit und Erhaltungseigenschaften entbehrlich.</w:t>
      </w:r>
    </w:p>
    <w:p w:rsidR="00203600" w:rsidRDefault="00203600" w:rsidP="00203600">
      <w:pPr>
        <w:pStyle w:val="StandardWeb"/>
      </w:pPr>
      <w:r>
        <w:t>Kohärenz, Raum, Zeit und Raum-Zeit-Kopplung bleiben notwendige Bestandteile des vollständigen FRZK, werden aber nicht als zusätzliche Primäraxiome behandelt.</w:t>
      </w:r>
    </w:p>
    <w:p w:rsidR="00203600" w:rsidRDefault="00203600" w:rsidP="00203600">
      <w:pPr>
        <w:pStyle w:val="StandardWeb"/>
      </w:pPr>
      <w:r>
        <w:rPr>
          <w:rStyle w:val="Fett"/>
        </w:rPr>
        <w:t>Eigenleistung des FRZK</w:t>
      </w:r>
    </w:p>
    <w:p w:rsidR="00203600" w:rsidRDefault="00203600" w:rsidP="00203600">
      <w:pPr>
        <w:pStyle w:val="StandardWeb"/>
      </w:pPr>
      <w:r>
        <w:t>Ich bestätige damit die endgültige Minimalform der drei Primäraxiome. Sie sichern ausschließlich die Existenz der drei elementaren Objektklassen. Sämtliche reichhaltigeren Strukturen werden transparent und überprüfbar auf dieser Grundlage aufgebaut.</w:t>
      </w:r>
    </w:p>
    <w:p w:rsidR="00203600" w:rsidRPr="00AF32B2" w:rsidRDefault="00203600" w:rsidP="00AF32B2">
      <w:pPr>
        <w:pStyle w:val="berschrift4"/>
      </w:pPr>
      <w:r w:rsidRPr="00AF32B2">
        <w:t>3.3.21.34 Übergang zur Prüfung der formalen Typkonsistenz</w:t>
      </w:r>
    </w:p>
    <w:p w:rsidR="00203600" w:rsidRDefault="00203600" w:rsidP="00203600">
      <w:pPr>
        <w:pStyle w:val="StandardWeb"/>
      </w:pPr>
      <w:r>
        <w:t>Die Axiomformulierungen sind nun unabhängig, gemeinsam erfüllbar und begrifflich minimal. Der nächste Prüfschritt betrifft die formale Typkonsistenz der daraus aufgebauten Definitionen.</w:t>
      </w:r>
    </w:p>
    <w:p w:rsidR="00203600" w:rsidRDefault="00203600" w:rsidP="00203600">
      <w:pPr>
        <w:pStyle w:val="StandardWeb"/>
      </w:pPr>
      <w:r>
        <w:t>Insbesondere muss geprüft werden, ob:</w:t>
      </w:r>
    </w:p>
    <w:p w:rsidR="00203600" w:rsidRDefault="00203600" w:rsidP="00632D23">
      <w:pPr>
        <w:pStyle w:val="StandardWeb"/>
        <w:numPr>
          <w:ilvl w:val="0"/>
          <w:numId w:val="104"/>
        </w:numPr>
      </w:pPr>
      <w:r>
        <w:t>Zustände und Zustandsklassen sauber unterschieden werden,</w:t>
      </w:r>
    </w:p>
    <w:p w:rsidR="00203600" w:rsidRDefault="00203600" w:rsidP="00632D23">
      <w:pPr>
        <w:pStyle w:val="StandardWeb"/>
        <w:numPr>
          <w:ilvl w:val="0"/>
          <w:numId w:val="104"/>
        </w:numPr>
      </w:pPr>
      <w:r>
        <w:t>Relationen stets auf den vorgesehenen Grundmengen definiert sind,</w:t>
      </w:r>
    </w:p>
    <w:p w:rsidR="00203600" w:rsidRDefault="00203600" w:rsidP="00632D23">
      <w:pPr>
        <w:pStyle w:val="StandardWeb"/>
        <w:numPr>
          <w:ilvl w:val="0"/>
          <w:numId w:val="104"/>
        </w:numPr>
      </w:pPr>
      <w:r>
        <w:t>Transformationen korrekte Definitions- und Zielbereiche besitzen,</w:t>
      </w:r>
    </w:p>
    <w:p w:rsidR="00203600" w:rsidRDefault="00203600" w:rsidP="00632D23">
      <w:pPr>
        <w:pStyle w:val="StandardWeb"/>
        <w:numPr>
          <w:ilvl w:val="0"/>
          <w:numId w:val="104"/>
        </w:numPr>
      </w:pPr>
      <w:r>
        <w:t>Zeitabbildungen auf Zustandsklassen und nicht unmarkiert auf Rohzuständen wirken,</w:t>
      </w:r>
    </w:p>
    <w:p w:rsidR="00203600" w:rsidRDefault="00203600" w:rsidP="00632D23">
      <w:pPr>
        <w:pStyle w:val="StandardWeb"/>
        <w:numPr>
          <w:ilvl w:val="0"/>
          <w:numId w:val="104"/>
        </w:numPr>
      </w:pPr>
      <w:r>
        <w:t>räumliche Distanzen nur auf räumlich typisierten Objekten verwendet werden,</w:t>
      </w:r>
    </w:p>
    <w:p w:rsidR="00203600" w:rsidRDefault="00203600" w:rsidP="00632D23">
      <w:pPr>
        <w:pStyle w:val="StandardWeb"/>
        <w:numPr>
          <w:ilvl w:val="0"/>
          <w:numId w:val="104"/>
        </w:numPr>
      </w:pPr>
      <w:r>
        <w:t>Kopplungsrelationen ausschließlich Raum-Zeit-Zustände verbinden,</w:t>
      </w:r>
    </w:p>
    <w:p w:rsidR="00203600" w:rsidRDefault="00203600" w:rsidP="00632D23">
      <w:pPr>
        <w:pStyle w:val="StandardWeb"/>
        <w:numPr>
          <w:ilvl w:val="0"/>
          <w:numId w:val="104"/>
        </w:numPr>
      </w:pPr>
      <w:r>
        <w:t>Kohärenzprädikate klar definierte Strukturen auswerten.</w:t>
      </w:r>
    </w:p>
    <w:p w:rsidR="00203600" w:rsidRDefault="00203600" w:rsidP="00203600">
      <w:pPr>
        <w:pStyle w:val="StandardWeb"/>
      </w:pPr>
      <w:r>
        <w:t>Eine Typverletzung kann vorliegen, obwohl jede einzelne Formel syntaktisch korrekt aussieht. Die Typprüfung muss deshalb die Definitions- und Wertebereiche sämtlicher zentraler Abbildungen und Relationen systematisch miteinander vergleichen.</w:t>
      </w:r>
    </w:p>
    <w:p w:rsidR="00203600" w:rsidRDefault="00203600" w:rsidP="00203600">
      <w:pPr>
        <w:pStyle w:val="StandardWeb"/>
      </w:pPr>
      <w:r>
        <w:rPr>
          <w:rStyle w:val="Fett"/>
        </w:rPr>
        <w:lastRenderedPageBreak/>
        <w:t>Eigenleistung des FRZK</w:t>
      </w:r>
    </w:p>
    <w:p w:rsidR="00203600" w:rsidRDefault="00203600" w:rsidP="00203600">
      <w:pPr>
        <w:pStyle w:val="StandardWeb"/>
      </w:pPr>
      <w:r>
        <w:t>Der folgende Abschnitt erstellt eine formale Typmatrix der bisherigen FRZK-Strukturen. Ziel ist der Nachweis, dass keine Gleichung Zustände, Zustandsklassen, Relationen, Transformationen, Raumwerte, Zeitwerte oder empirische Repräsentationen ohne ausdrücklich definierte Abbildung miteinander vermischt.</w:t>
      </w:r>
    </w:p>
    <w:p w:rsidR="00B90A2E" w:rsidRDefault="00B90A2E" w:rsidP="00B90A2E">
      <w:pPr>
        <w:pStyle w:val="berschrift2"/>
      </w:pPr>
      <w:r>
        <w:t>Ergänzung zu 3.3.22 – Prüfung der formalen Typkonsistenz der FRZK-Strukturen</w:t>
      </w:r>
    </w:p>
    <w:p w:rsidR="00B90A2E" w:rsidRDefault="00B90A2E" w:rsidP="00B90A2E">
      <w:pPr>
        <w:pStyle w:val="berschrift3"/>
      </w:pPr>
      <w:r>
        <w:t>Methodologische Betrachtungen</w:t>
      </w:r>
    </w:p>
    <w:p w:rsidR="00B90A2E" w:rsidRDefault="00B90A2E" w:rsidP="00B90A2E">
      <w:pPr>
        <w:pStyle w:val="StandardWeb"/>
      </w:pPr>
      <w:r>
        <w:t>Nach der logischen Prüfung der Primäraxiome verschiebt sich der Schwerpunkt auf die formale Sprache des inzwischen erheblich gewachsenen FRZK. Zustände, Zustandsklassen, Relationen, Transformationen, Entwicklungen, Ordnungen, Zeitwerte, Raumwerte, Raum-Zeit-Zustände, Kohärenzwerte und empirische Größen dürfen nicht beliebig miteinander verknüpft werden. Abschnitt 3.3.22 führt deshalb eine verbindliche FRZK-Typmatrix und ein mehrstufiges Typkonsistenzverfahren ein. Der Repository-Stand enthält Definition 3.3.14, Satz 3.3.4 und die Gleichungen (3.4592) bis (3.4716).</w:t>
      </w:r>
    </w:p>
    <w:p w:rsidR="00B90A2E" w:rsidRDefault="00B90A2E" w:rsidP="00B90A2E">
      <w:pPr>
        <w:pStyle w:val="StandardWeb"/>
      </w:pPr>
      <w:r>
        <w:t>Die Menge der grundlegenden FRZK-Typen wird ausdrücklich angegeben:</w:t>
      </w:r>
    </w:p>
    <w:p w:rsidR="00B90A2E" w:rsidRDefault="00B90A2E" w:rsidP="00B90A2E">
      <w:pPr>
        <w:pStyle w:val="berschrift1"/>
      </w:pPr>
      <w:r>
        <w:t>[</w:t>
      </w:r>
      <w:r>
        <w:br/>
        <w:t>\mathfrak{Y}_{F}</w:t>
      </w:r>
    </w:p>
    <w:p w:rsidR="00B90A2E" w:rsidRDefault="00B90A2E" w:rsidP="00B90A2E">
      <w:pPr>
        <w:pStyle w:val="StandardWeb"/>
      </w:pPr>
      <w:r>
        <w:t>\left{</w:t>
      </w:r>
      <w:r>
        <w:br/>
        <w:t>\mathbf{State},</w:t>
      </w:r>
      <w:r>
        <w:br/>
        <w:t>\mathbf{Class},</w:t>
      </w:r>
      <w:r>
        <w:br/>
        <w:t>\mathbf{Relation},</w:t>
      </w:r>
      <w:r>
        <w:br/>
        <w:t>\mathbf{Transformation},</w:t>
      </w:r>
      <w:r>
        <w:br/>
        <w:t>\mathbf{Development},</w:t>
      </w:r>
      <w:r>
        <w:br/>
        <w:t>\mathbf{Order},</w:t>
      </w:r>
      <w:r>
        <w:br/>
        <w:t>\mathbf{TimeValue},</w:t>
      </w:r>
      <w:r>
        <w:br/>
        <w:t>\mathbf{SpaceValue},</w:t>
      </w:r>
      <w:r>
        <w:br/>
        <w:t>\mathbf{SpaceTimeState},</w:t>
      </w:r>
      <w:r>
        <w:br/>
        <w:t>\mathbf{CoherenceValue},</w:t>
      </w:r>
      <w:r>
        <w:br/>
        <w:t>\mathbf{EmpiricalValue}</w:t>
      </w:r>
      <w:r>
        <w:br/>
        <w:t>\right}.</w:t>
      </w:r>
      <w:r>
        <w:br/>
        <w:t>\tag{3.4592}</w:t>
      </w:r>
      <w:r>
        <w:br/>
        <w:t>]</w:t>
      </w:r>
    </w:p>
    <w:p w:rsidR="00B90A2E" w:rsidRDefault="00B90A2E" w:rsidP="00B90A2E">
      <w:pPr>
        <w:pStyle w:val="StandardWeb"/>
      </w:pPr>
      <w:r>
        <w:rPr>
          <w:rStyle w:val="Fett"/>
        </w:rPr>
        <w:t>Word-LaTeX</w:t>
      </w:r>
    </w:p>
    <w:p w:rsidR="00B90A2E" w:rsidRDefault="00B90A2E" w:rsidP="00B90A2E">
      <w:pPr>
        <w:pStyle w:val="HTMLVorformatiert"/>
        <w:rPr>
          <w:rStyle w:val="HTMLCode"/>
        </w:rPr>
      </w:pPr>
      <w:r>
        <w:rPr>
          <w:rStyle w:val="HTMLCode"/>
        </w:rPr>
        <w:t>\mathfrak{Y}_{F}=\left\{\mathbf{State},\mathbf{Class},\mathbf{Relation},\mathbf{Transformation},\mathbf{Development},\mathbf{Order},\mathbf{TimeValue},\mathbf{SpaceValue},\mathbf{SpaceTimeState},\mathbf{CoherenceValue},\mathbf{EmpiricalValue}\right\}\qquad\text{(3.4592)}</w:t>
      </w:r>
    </w:p>
    <w:p w:rsidR="00B90A2E" w:rsidRDefault="00B90A2E" w:rsidP="00B90A2E">
      <w:pPr>
        <w:pStyle w:val="StandardWeb"/>
      </w:pPr>
      <w:r>
        <w:t>Jedem FRZK-Objekt muss ein Typ zugeordnet werden:</w:t>
      </w:r>
    </w:p>
    <w:p w:rsidR="00B90A2E" w:rsidRDefault="00B90A2E" w:rsidP="00B90A2E">
      <w:pPr>
        <w:pStyle w:val="StandardWeb"/>
      </w:pPr>
      <w:r>
        <w:lastRenderedPageBreak/>
        <w:t>[</w:t>
      </w:r>
      <w:r>
        <w:br/>
        <w:t>\operatorname{Typ}</w:t>
      </w:r>
      <w:r>
        <w:rPr>
          <w:rStyle w:val="Hervorhebung"/>
        </w:rPr>
        <w:t>{F}(x)</w:t>
      </w:r>
      <w:r>
        <w:rPr>
          <w:i/>
          <w:iCs/>
        </w:rPr>
        <w:br/>
      </w:r>
      <w:r>
        <w:rPr>
          <w:rStyle w:val="Hervorhebung"/>
        </w:rPr>
        <w:t>\in</w:t>
      </w:r>
      <w:r>
        <w:rPr>
          <w:i/>
          <w:iCs/>
        </w:rPr>
        <w:br/>
      </w:r>
      <w:r>
        <w:rPr>
          <w:rStyle w:val="Hervorhebung"/>
        </w:rPr>
        <w:t>\mathfrak{Y}</w:t>
      </w:r>
      <w:r>
        <w:t>{F}.</w:t>
      </w:r>
      <w:r>
        <w:br/>
        <w:t>\tag{3.4593}</w:t>
      </w:r>
      <w:r>
        <w:br/>
        <w:t>]</w:t>
      </w:r>
    </w:p>
    <w:p w:rsidR="00B90A2E" w:rsidRDefault="00B90A2E" w:rsidP="00B90A2E">
      <w:pPr>
        <w:pStyle w:val="StandardWeb"/>
      </w:pPr>
      <w:r>
        <w:rPr>
          <w:rStyle w:val="Fett"/>
        </w:rPr>
        <w:t>Word-LaTeX</w:t>
      </w:r>
    </w:p>
    <w:p w:rsidR="00B90A2E" w:rsidRDefault="00B90A2E" w:rsidP="00B90A2E">
      <w:pPr>
        <w:pStyle w:val="HTMLVorformatiert"/>
        <w:rPr>
          <w:rStyle w:val="HTMLCode"/>
        </w:rPr>
      </w:pPr>
      <w:r>
        <w:rPr>
          <w:rStyle w:val="HTMLCode"/>
        </w:rPr>
        <w:t>\operatorname{Typ}_{F}(x)\in\mathfrak{Y}_{F}\qquad\text{(3.4593)}</w:t>
      </w:r>
    </w:p>
    <w:p w:rsidR="00B90A2E" w:rsidRDefault="00B90A2E" w:rsidP="00B90A2E">
      <w:pPr>
        <w:pStyle w:val="StandardWeb"/>
      </w:pPr>
      <w:r>
        <w:t>Die Typzuordnung selbst besitzt die Form</w:t>
      </w:r>
    </w:p>
    <w:p w:rsidR="00B90A2E" w:rsidRDefault="00B90A2E" w:rsidP="00B90A2E">
      <w:pPr>
        <w:pStyle w:val="StandardWeb"/>
      </w:pPr>
      <w:r>
        <w:t>[</w:t>
      </w:r>
      <w:r>
        <w:br/>
        <w:t>\operatorname{Typ}</w:t>
      </w:r>
      <w:r>
        <w:rPr>
          <w:rStyle w:val="Hervorhebung"/>
        </w:rPr>
        <w:t>{F}:</w:t>
      </w:r>
      <w:r>
        <w:rPr>
          <w:i/>
          <w:iCs/>
        </w:rPr>
        <w:br/>
      </w:r>
      <w:r>
        <w:rPr>
          <w:rStyle w:val="Hervorhebung"/>
        </w:rPr>
        <w:t>\mathfrak{U}</w:t>
      </w:r>
      <w:r>
        <w:t>{F}</w:t>
      </w:r>
      <w:r>
        <w:br/>
        <w:t>\rightarrow</w:t>
      </w:r>
      <w:r>
        <w:br/>
        <w:t>\mathfrak{Y}_{F}.</w:t>
      </w:r>
      <w:r>
        <w:br/>
        <w:t>\tag{3.4594}</w:t>
      </w:r>
      <w:r>
        <w:br/>
        <w:t>]</w:t>
      </w:r>
    </w:p>
    <w:p w:rsidR="00B90A2E" w:rsidRDefault="00B90A2E" w:rsidP="00B90A2E">
      <w:pPr>
        <w:pStyle w:val="StandardWeb"/>
      </w:pPr>
      <w:r>
        <w:rPr>
          <w:rStyle w:val="Fett"/>
        </w:rPr>
        <w:t>Word-LaTeX</w:t>
      </w:r>
    </w:p>
    <w:p w:rsidR="00B90A2E" w:rsidRDefault="00B90A2E" w:rsidP="00B90A2E">
      <w:pPr>
        <w:pStyle w:val="HTMLVorformatiert"/>
        <w:rPr>
          <w:rStyle w:val="HTMLCode"/>
        </w:rPr>
      </w:pPr>
      <w:r>
        <w:rPr>
          <w:rStyle w:val="HTMLCode"/>
        </w:rPr>
        <w:t>\operatorname{Typ}_{F}:\mathfrak{U}_{F}\rightarrow\mathfrak{Y}_{F}\qquad\text{(3.4594)}</w:t>
      </w:r>
    </w:p>
    <w:p w:rsidR="00B90A2E" w:rsidRDefault="00B90A2E" w:rsidP="00B90A2E">
      <w:pPr>
        <w:pStyle w:val="StandardWeb"/>
      </w:pPr>
      <w:r>
        <w:t>Ein elementarer funktionaler Zustand ist beispielsweise ein Objekt mit</w:t>
      </w:r>
    </w:p>
    <w:p w:rsidR="00B90A2E" w:rsidRDefault="00B90A2E" w:rsidP="00B90A2E">
      <w:pPr>
        <w:pStyle w:val="StandardWeb"/>
      </w:pPr>
      <w:r>
        <w:t>[</w:t>
      </w:r>
      <w:r>
        <w:br/>
        <w:t>\delta</w:t>
      </w:r>
      <w:r>
        <w:br/>
        <w:t>\in</w:t>
      </w:r>
      <w:r>
        <w:br/>
        <w:t>\mathcal{S}_{\mathrm{el}}.</w:t>
      </w:r>
      <w:r>
        <w:br/>
        <w:t>\tag{3.4595}</w:t>
      </w:r>
      <w:r>
        <w:br/>
        <w:t>]</w:t>
      </w:r>
    </w:p>
    <w:p w:rsidR="00B90A2E" w:rsidRDefault="00B90A2E" w:rsidP="00B90A2E">
      <w:pPr>
        <w:pStyle w:val="StandardWeb"/>
      </w:pPr>
      <w:r>
        <w:rPr>
          <w:rStyle w:val="Fett"/>
        </w:rPr>
        <w:t>Word-LaTeX</w:t>
      </w:r>
    </w:p>
    <w:p w:rsidR="00B90A2E" w:rsidRDefault="00B90A2E" w:rsidP="00B90A2E">
      <w:pPr>
        <w:pStyle w:val="HTMLVorformatiert"/>
        <w:rPr>
          <w:rStyle w:val="HTMLCode"/>
        </w:rPr>
      </w:pPr>
      <w:r>
        <w:rPr>
          <w:rStyle w:val="HTMLCode"/>
        </w:rPr>
        <w:t>\delta\in\mathcal{S}_{\mathrm{el}}\qquad\text{(3.4595)}</w:t>
      </w:r>
    </w:p>
    <w:p w:rsidR="00B90A2E" w:rsidRDefault="00B90A2E" w:rsidP="00B90A2E">
      <w:pPr>
        <w:pStyle w:val="StandardWeb"/>
      </w:pPr>
      <w:r>
        <w:t>Die eigentliche Typmatrix wird im Repository als Zuordnung von Objekt, Typ, Definitionsbereich, Ziel- beziehungsweise Wertebereich und zulässigen Operationen verstanden:</w:t>
      </w:r>
    </w:p>
    <w:p w:rsidR="00B90A2E" w:rsidRDefault="00B90A2E" w:rsidP="00B90A2E">
      <w:pPr>
        <w:pStyle w:val="StandardWeb"/>
      </w:pPr>
      <w:r>
        <w:t>[</w:t>
      </w:r>
      <w:r>
        <w:br/>
        <w:t>\mathfrak{M}</w:t>
      </w:r>
      <w:r>
        <w:rPr>
          <w:rStyle w:val="Hervorhebung"/>
        </w:rPr>
        <w:t>{\mathrm{Typ}}:</w:t>
      </w:r>
      <w:r>
        <w:rPr>
          <w:i/>
          <w:iCs/>
        </w:rPr>
        <w:br/>
      </w:r>
      <w:r>
        <w:rPr>
          <w:rStyle w:val="Hervorhebung"/>
        </w:rPr>
        <w:t>\mathfrak{U}</w:t>
      </w:r>
      <w:r>
        <w:t>{F}</w:t>
      </w:r>
      <w:r>
        <w:br/>
        <w:t>\rightarrow</w:t>
      </w:r>
      <w:r>
        <w:br/>
        <w:t>\left(</w:t>
      </w:r>
      <w:r>
        <w:br/>
        <w:t>\mathfrak{Y}_{F},</w:t>
      </w:r>
      <w:r>
        <w:br/>
        <w:t>\operatorname{Dom},</w:t>
      </w:r>
      <w:r>
        <w:br/>
        <w:t>\operatorname{Cod},</w:t>
      </w:r>
      <w:r>
        <w:br/>
        <w:t>\operatorname{Op}</w:t>
      </w:r>
      <w:r>
        <w:br/>
      </w:r>
      <w:r>
        <w:lastRenderedPageBreak/>
        <w:t>\right).</w:t>
      </w:r>
      <w:r>
        <w:br/>
        <w:t>]</w:t>
      </w:r>
    </w:p>
    <w:p w:rsidR="00B90A2E" w:rsidRDefault="00B90A2E" w:rsidP="00B90A2E">
      <w:pPr>
        <w:pStyle w:val="StandardWeb"/>
      </w:pPr>
      <w:r>
        <w:rPr>
          <w:rStyle w:val="Fett"/>
        </w:rPr>
        <w:t>Word-LaTeX</w:t>
      </w:r>
    </w:p>
    <w:p w:rsidR="00B90A2E" w:rsidRDefault="00B90A2E" w:rsidP="00B90A2E">
      <w:pPr>
        <w:pStyle w:val="HTMLVorformatiert"/>
        <w:rPr>
          <w:rStyle w:val="HTMLCode"/>
        </w:rPr>
      </w:pPr>
      <w:r>
        <w:rPr>
          <w:rStyle w:val="HTMLCode"/>
        </w:rPr>
        <w:t>\mathfrak{M}_{\mathrm{Typ}}:\mathfrak{U}_{F}\rightarrow\left(\mathfrak{Y}_{F},\operatorname{Dom},\operatorname{Cod},\operatorname{Op}\right)</w:t>
      </w:r>
    </w:p>
    <w:p w:rsidR="00B90A2E" w:rsidRDefault="00B90A2E" w:rsidP="00B90A2E">
      <w:pPr>
        <w:pStyle w:val="StandardWeb"/>
      </w:pPr>
      <w:r>
        <w:t>Methodologisch geht es dabei um mehr als formale Sauberkeit. Typfehler können theoretische Bedeutungsfehler verdecken. Wenn beispielsweise eine Transformation Zustände abbildet, darf sie nicht ohne zusätzliche Definition plötzlich einen Zeitwert als Argument erwarten. Ebenso darf eine Kohärenzfunktion nicht stillschweigend auf Objekte angewendet werden, die außerhalb ihres Definitionsbereichs liegen.</w:t>
      </w:r>
    </w:p>
    <w:p w:rsidR="00B90A2E" w:rsidRDefault="00B90A2E" w:rsidP="00B90A2E">
      <w:pPr>
        <w:pStyle w:val="StandardWeb"/>
      </w:pPr>
      <w:r>
        <w:t>Ein Ausdruck kann syntaktisch beeindruckend aussehen und dennoch mathematisch bedeutungslos sein, wenn Definitions- und Zielbereiche nicht zusammenpassen.</w:t>
      </w:r>
    </w:p>
    <w:p w:rsidR="00B90A2E" w:rsidRDefault="00B90A2E" w:rsidP="00B90A2E">
      <w:pPr>
        <w:pStyle w:val="StandardWeb"/>
      </w:pPr>
      <w:r>
        <w:t>Besonders wichtig ist die Prüfung von Kompositionen. Für zwei Abbildungen ist die Verkettung nur dann zulässig, wenn der Zielbereich der ersten mit dem Definitionsbereich der zweiten kompatibel ist. Diese bekannte mathematische Regel erhält im FRZK besondere Bedeutung, weil inzwischen viele verschiedene Abbildungsarten gleichzeitig existieren.</w:t>
      </w:r>
    </w:p>
    <w:p w:rsidR="00B90A2E" w:rsidRDefault="00B90A2E" w:rsidP="00B90A2E">
      <w:pPr>
        <w:pStyle w:val="StandardWeb"/>
      </w:pPr>
      <w:r>
        <w:t>Die Typprüfung bildet deshalb eine Art formalen Schutzmechanismus gegen begriffliche Verschiebungen. Sie verhindert beispielsweise, dass eine Zustandsklasse unbemerkt wie ein einzelner Zustand behandelt wird oder ein funktionaler Zeitwert mit einer Raumkoordinate verwechselt wird.</w:t>
      </w:r>
    </w:p>
    <w:p w:rsidR="00B90A2E" w:rsidRDefault="00B90A2E" w:rsidP="00B90A2E">
      <w:pPr>
        <w:pStyle w:val="StandardWeb"/>
      </w:pPr>
      <w:r>
        <w:t>Methodologisch muss diese Prüfung fortlaufend erfolgen. Definition 3.3.14 ist keine einmalige Bestandsaufnahme. Jede später eingeführte Definition, Gleichung und Modellinstanz muss in die Typmatrix eingeordnet werden.</w:t>
      </w:r>
    </w:p>
    <w:p w:rsidR="00B90A2E" w:rsidRDefault="00B90A2E" w:rsidP="00B90A2E">
      <w:pPr>
        <w:pStyle w:val="StandardWeb"/>
      </w:pPr>
      <w:r>
        <w:t>Besonders relevant ist dies für spätere empirische Operationalisierungen. Ein empirischer Messwert besitzt zunächst den Typ (\mathbf{EmpiricalValue}). Er wird nicht allein dadurch zu einem FRZK-Zustand, dass er numerisch ähnlich aussieht. Dafür ist eine explizite Operationalisierungsabbildung erforderlich.</w:t>
      </w:r>
    </w:p>
    <w:p w:rsidR="00B90A2E" w:rsidRDefault="00B90A2E" w:rsidP="00B90A2E">
      <w:pPr>
        <w:pStyle w:val="StandardWeb"/>
      </w:pPr>
      <w:r>
        <w:t>Typkonsistenz schützt damit zugleich die Ebenentrennung zwischen mathematischer Theorie und empirischer Beobachtung.</w:t>
      </w:r>
    </w:p>
    <w:p w:rsidR="00B90A2E" w:rsidRDefault="00E50336" w:rsidP="00B90A2E">
      <w:r>
        <w:pict>
          <v:rect id="_x0000_i1047" style="width:0;height:1.5pt" o:hralign="center" o:hrstd="t" o:hr="t" fillcolor="#a0a0a0" stroked="f"/>
        </w:pict>
      </w:r>
    </w:p>
    <w:p w:rsidR="00105178" w:rsidRPr="00AF32B2" w:rsidRDefault="00105178" w:rsidP="00AF32B2">
      <w:pPr>
        <w:pStyle w:val="berschrift3"/>
      </w:pPr>
      <w:r w:rsidRPr="00AF32B2">
        <w:t>3.3.22 Prüfung der formalen Typkonsistenz der FRZK-Strukturen</w:t>
      </w:r>
    </w:p>
    <w:p w:rsidR="00105178" w:rsidRDefault="00105178" w:rsidP="00105178">
      <w:pPr>
        <w:pStyle w:val="StandardWeb"/>
      </w:pPr>
      <w:r>
        <w:t>Die bisherigen Abschnitte haben die drei Primäraxiome als unabhängig, gemeinsam erfüllbar und begrifflich minimal bestimmt. Diese Ergebnisse betreffen die logische und axiomatische Grundlage des Funktionalen Raum-Zeit-Kohärenzsystems. Sie gewährleisten jedoch noch nicht, dass sämtliche darauf aufbauenden Definitionen, Relationen, Abbildungen und Bewertungsfunktionen untereinander formal typverträglich sind. Eine Formel kann syntaktisch korrekt erscheinen und dennoch mathematisch unzulässig sein, wenn ein Objekt außerhalb des Definitionsbereichs einer Abbildung verwendet oder mit einem Objekt einer anderen Strukturklasse gleichgesetzt wird [6, 71, 75].</w:t>
      </w:r>
    </w:p>
    <w:p w:rsidR="00105178" w:rsidRDefault="00105178" w:rsidP="00105178">
      <w:pPr>
        <w:pStyle w:val="StandardWeb"/>
      </w:pPr>
      <w:r>
        <w:lastRenderedPageBreak/>
        <w:t>Eine Typverletzung liegt beispielsweise vor, wenn ein funktionaler Zeitwert wie ein Zustand behandelt, eine Relation anstelle einer Abbildung eingesetzt oder eine räumliche Distanz auf Objekte angewendet wird, die nicht zur räumlichen Grundmenge gehören. Ebenso wäre es unzulässig, elementare Zustände und Äquivalenzklassen ohne die zugehörige Quotientenabbildung miteinander zu identifizieren [6, 71].</w:t>
      </w:r>
    </w:p>
    <w:p w:rsidR="00105178" w:rsidRDefault="00105178" w:rsidP="00105178">
      <w:pPr>
        <w:pStyle w:val="StandardWeb"/>
      </w:pPr>
      <w:r>
        <w:t>Die formale Typprüfung muss deshalb sämtliche zentralen FRZK-Objekte nach vier Merkmalen unterscheiden:</w:t>
      </w:r>
    </w:p>
    <w:p w:rsidR="00105178" w:rsidRDefault="00105178" w:rsidP="00632D23">
      <w:pPr>
        <w:pStyle w:val="StandardWeb"/>
        <w:numPr>
          <w:ilvl w:val="0"/>
          <w:numId w:val="105"/>
        </w:numPr>
      </w:pPr>
      <w:r>
        <w:t>Objektklasse,</w:t>
      </w:r>
    </w:p>
    <w:p w:rsidR="00105178" w:rsidRDefault="00105178" w:rsidP="00632D23">
      <w:pPr>
        <w:pStyle w:val="StandardWeb"/>
        <w:numPr>
          <w:ilvl w:val="0"/>
          <w:numId w:val="105"/>
        </w:numPr>
      </w:pPr>
      <w:r>
        <w:t>Definitionsbereich,</w:t>
      </w:r>
    </w:p>
    <w:p w:rsidR="00105178" w:rsidRDefault="00105178" w:rsidP="00632D23">
      <w:pPr>
        <w:pStyle w:val="StandardWeb"/>
        <w:numPr>
          <w:ilvl w:val="0"/>
          <w:numId w:val="105"/>
        </w:numPr>
      </w:pPr>
      <w:r>
        <w:t>Werte- oder Zielbereich,</w:t>
      </w:r>
    </w:p>
    <w:p w:rsidR="00105178" w:rsidRDefault="00105178" w:rsidP="00632D23">
      <w:pPr>
        <w:pStyle w:val="StandardWeb"/>
        <w:numPr>
          <w:ilvl w:val="0"/>
          <w:numId w:val="105"/>
        </w:numPr>
      </w:pPr>
      <w:r>
        <w:t>zulässige Verknüpfungen.</w:t>
      </w:r>
    </w:p>
    <w:p w:rsidR="00105178" w:rsidRDefault="00105178" w:rsidP="00105178">
      <w:pPr>
        <w:pStyle w:val="StandardWeb"/>
      </w:pPr>
      <w:r>
        <w:rPr>
          <w:rStyle w:val="Fett"/>
        </w:rPr>
        <w:t>Eigenleistung des FRZK</w:t>
      </w:r>
    </w:p>
    <w:p w:rsidR="00105178" w:rsidRDefault="00105178" w:rsidP="00105178">
      <w:pPr>
        <w:pStyle w:val="StandardWeb"/>
      </w:pPr>
      <w:r>
        <w:t>Ich führe eine verbindliche Typmatrix ein, anhand derer jede spätere Gleichung des FRZK geprüft werden kann. Eine Gleichung gilt nur dann als formal zulässig, wenn alle darin auftretenden Objekte entsprechend ihrer definierten Typen verwendet und sämtliche Übergänge zwischen unterschiedlichen Objektklassen durch ausdrücklich definierte Abbildungen vermittelt werden.</w:t>
      </w:r>
    </w:p>
    <w:p w:rsidR="00105178" w:rsidRPr="00AF32B2" w:rsidRDefault="00105178" w:rsidP="00AF32B2">
      <w:pPr>
        <w:pStyle w:val="berschrift4"/>
      </w:pPr>
      <w:r w:rsidRPr="00AF32B2">
        <w:t>3.3.22.1 Typisierte Grundsprache</w:t>
      </w:r>
    </w:p>
    <w:p w:rsidR="00105178" w:rsidRDefault="00105178" w:rsidP="00105178">
      <w:pPr>
        <w:pStyle w:val="StandardWeb"/>
      </w:pPr>
      <w:r>
        <w:t>Die elementaren Objektklassen des FRZK werden zunächst in einer Typmenge zusammengefasst:</w:t>
      </w:r>
    </w:p>
    <w:p w:rsidR="00105178" w:rsidRDefault="00105178" w:rsidP="00105178">
      <w:pPr>
        <w:pStyle w:val="berschrift1"/>
      </w:pPr>
      <w:r>
        <w:t>[</w:t>
      </w:r>
      <w:r>
        <w:br/>
        <w:t>\mathfrak{Y}_{F}</w:t>
      </w:r>
    </w:p>
    <w:p w:rsidR="00105178" w:rsidRDefault="00105178" w:rsidP="00105178">
      <w:pPr>
        <w:pStyle w:val="StandardWeb"/>
      </w:pPr>
      <w:r>
        <w:t>\left{</w:t>
      </w:r>
      <w:r>
        <w:br/>
        <w:t>\mathbf{State},</w:t>
      </w:r>
      <w:r>
        <w:br/>
        <w:t>\mathbf{Class},</w:t>
      </w:r>
      <w:r>
        <w:br/>
        <w:t>\mathbf{Relation},</w:t>
      </w:r>
      <w:r>
        <w:br/>
        <w:t>\mathbf{Transformation},</w:t>
      </w:r>
      <w:r>
        <w:br/>
        <w:t>\mathbf{Development},</w:t>
      </w:r>
      <w:r>
        <w:br/>
        <w:t>\mathbf{Order},</w:t>
      </w:r>
      <w:r>
        <w:br/>
        <w:t>\mathbf{TimeValue},</w:t>
      </w:r>
      <w:r>
        <w:br/>
        <w:t>\mathbf{SpaceValue},</w:t>
      </w:r>
      <w:r>
        <w:br/>
        <w:t>\mathbf{SpaceTimeState},</w:t>
      </w:r>
      <w:r>
        <w:br/>
        <w:t>\mathbf{CoherenceValue},</w:t>
      </w:r>
      <w:r>
        <w:br/>
        <w:t>\mathbf{EmpiricalValue}</w:t>
      </w:r>
      <w:r>
        <w:br/>
        <w:t>\right}.</w:t>
      </w:r>
      <w:r>
        <w:br/>
        <w:t>\tag{3.4592}</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\mathfrak{Y}_{F}=\left\{\mathbf{State},\mathbf{Class},\mathbf{Relation},\mathbf{Transformation},\mathbf{Development},\mathbf{Order},\mathbf{TimeValue}</w:t>
      </w:r>
      <w:r>
        <w:rPr>
          <w:rStyle w:val="HTMLCode"/>
        </w:rPr>
        <w:lastRenderedPageBreak/>
        <w:t>,\mathbf{SpaceValue},\mathbf{SpaceTimeState},\mathbf{CoherenceValue},\mathbf{EmpiricalValue}\right\}\qquad\text{(3.4592)}</w:t>
      </w:r>
    </w:p>
    <w:p w:rsidR="00105178" w:rsidRDefault="00105178" w:rsidP="00105178">
      <w:pPr>
        <w:pStyle w:val="StandardWeb"/>
      </w:pPr>
      <w:r>
        <w:t>Dabei bezeichnet (\mathfrak{Y}_{F}) keine Menge konkreter Zustände oder Messwerte, sondern eine Menge formaler Typbezeichnungen.</w:t>
      </w:r>
    </w:p>
    <w:p w:rsidR="00105178" w:rsidRDefault="00105178" w:rsidP="00105178">
      <w:pPr>
        <w:pStyle w:val="StandardWeb"/>
      </w:pPr>
      <w:r>
        <w:t>Für jedes FRZK-Objekt (x) wird eine Typzuordnung definiert:</w:t>
      </w:r>
    </w:p>
    <w:p w:rsidR="00105178" w:rsidRDefault="00105178" w:rsidP="00105178">
      <w:pPr>
        <w:pStyle w:val="StandardWeb"/>
      </w:pPr>
      <w:r>
        <w:t>[</w:t>
      </w:r>
      <w:r>
        <w:br/>
        <w:t>\operatorname{Typ}</w:t>
      </w:r>
      <w:r>
        <w:rPr>
          <w:rStyle w:val="Hervorhebung"/>
        </w:rPr>
        <w:t>{F}(x)</w:t>
      </w:r>
      <w:r>
        <w:rPr>
          <w:i/>
          <w:iCs/>
        </w:rPr>
        <w:br/>
      </w:r>
      <w:r>
        <w:rPr>
          <w:rStyle w:val="Hervorhebung"/>
        </w:rPr>
        <w:t>\in</w:t>
      </w:r>
      <w:r>
        <w:rPr>
          <w:i/>
          <w:iCs/>
        </w:rPr>
        <w:br/>
      </w:r>
      <w:r>
        <w:rPr>
          <w:rStyle w:val="Hervorhebung"/>
        </w:rPr>
        <w:t>\mathfrak{Y}</w:t>
      </w:r>
      <w:r>
        <w:t>{F}.</w:t>
      </w:r>
      <w:r>
        <w:br/>
        <w:t>\tag{3.4593}</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\operatorname{Typ}_{F}(x)\in\mathfrak{Y}_{F}\qquad\text{(3.4593)}</w:t>
      </w:r>
    </w:p>
    <w:p w:rsidR="00105178" w:rsidRDefault="00105178" w:rsidP="00105178">
      <w:pPr>
        <w:pStyle w:val="StandardWeb"/>
      </w:pPr>
      <w:r>
        <w:t>Die Typzuordnung kann als Abbildung geschrieben werden:</w:t>
      </w:r>
    </w:p>
    <w:p w:rsidR="00105178" w:rsidRDefault="00105178" w:rsidP="00105178">
      <w:pPr>
        <w:pStyle w:val="StandardWeb"/>
      </w:pPr>
      <w:r>
        <w:t>[</w:t>
      </w:r>
      <w:r>
        <w:br/>
        <w:t>\operatorname{Typ}</w:t>
      </w:r>
      <w:r>
        <w:rPr>
          <w:rStyle w:val="Hervorhebung"/>
        </w:rPr>
        <w:t>{F}:</w:t>
      </w:r>
      <w:r>
        <w:rPr>
          <w:i/>
          <w:iCs/>
        </w:rPr>
        <w:br/>
      </w:r>
      <w:r>
        <w:rPr>
          <w:rStyle w:val="Hervorhebung"/>
        </w:rPr>
        <w:t>\mathfrak{U}</w:t>
      </w:r>
      <w:r>
        <w:t>{F}</w:t>
      </w:r>
      <w:r>
        <w:br/>
        <w:t>\rightarrow</w:t>
      </w:r>
      <w:r>
        <w:br/>
        <w:t>\mathfrak{Y}_{F},</w:t>
      </w:r>
      <w:r>
        <w:br/>
        <w:t>\tag{3.4594}</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\operatorname{Typ}_{F}:\mathfrak{U}_{F}\rightarrow\mathfrak{Y}_{F}\qquad\text{(3.4594)}</w:t>
      </w:r>
    </w:p>
    <w:p w:rsidR="00105178" w:rsidRDefault="00105178" w:rsidP="00105178">
      <w:pPr>
        <w:pStyle w:val="StandardWeb"/>
      </w:pPr>
      <w:r>
        <w:t>wobei (\mathfrak{U}_{F}) die Gesamtheit aller in einem konkreten FRZK-Modell verwendeten formalen Objekte bezeichnet.</w:t>
      </w:r>
    </w:p>
    <w:p w:rsidR="00105178" w:rsidRPr="00AF32B2" w:rsidRDefault="00105178" w:rsidP="00AF32B2">
      <w:pPr>
        <w:pStyle w:val="berschrift4"/>
      </w:pPr>
      <w:r w:rsidRPr="00AF32B2">
        <w:t>3.3.22.2 Elementare funktionale Zustände</w:t>
      </w:r>
    </w:p>
    <w:p w:rsidR="00105178" w:rsidRDefault="00105178" w:rsidP="00105178">
      <w:pPr>
        <w:pStyle w:val="StandardWeb"/>
      </w:pPr>
      <w:r>
        <w:t>Für einen elementaren funktionalen Zustand gilt:</w:t>
      </w:r>
    </w:p>
    <w:p w:rsidR="00105178" w:rsidRDefault="00105178" w:rsidP="00105178">
      <w:pPr>
        <w:pStyle w:val="StandardWeb"/>
      </w:pPr>
      <w:r>
        <w:t>[</w:t>
      </w:r>
      <w:r>
        <w:br/>
        <w:t>\delta</w:t>
      </w:r>
      <w:r>
        <w:br/>
        <w:t>\in</w:t>
      </w:r>
      <w:r>
        <w:br/>
        <w:t>\mathcal{S}_{\mathrm{el}}.</w:t>
      </w:r>
      <w:r>
        <w:br/>
        <w:t>\tag{3.4595}</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\delta\in\mathcal{S}_{\mathrm{el}}\qquad\text{(3.4595)}</w:t>
      </w:r>
    </w:p>
    <w:p w:rsidR="00105178" w:rsidRDefault="00105178" w:rsidP="00105178">
      <w:pPr>
        <w:pStyle w:val="StandardWeb"/>
      </w:pPr>
      <w:r>
        <w:lastRenderedPageBreak/>
        <w:t>Die zugehörige Typzuordnung lautet:</w:t>
      </w:r>
    </w:p>
    <w:p w:rsidR="00105178" w:rsidRDefault="00105178" w:rsidP="00105178">
      <w:pPr>
        <w:pStyle w:val="berschrift1"/>
      </w:pPr>
      <w:r>
        <w:t>[</w:t>
      </w:r>
      <w:r>
        <w:br/>
        <w:t>\operatorname{Typ}_{F}(\delta)</w:t>
      </w:r>
    </w:p>
    <w:p w:rsidR="00105178" w:rsidRDefault="00105178" w:rsidP="00105178">
      <w:pPr>
        <w:pStyle w:val="StandardWeb"/>
      </w:pPr>
      <w:r>
        <w:t>\mathbf{State}.</w:t>
      </w:r>
      <w:r>
        <w:br/>
        <w:t>\tag{3.4596}</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\operatorname{Typ}_{F}(\delta)=\mathbf{State}\qquad\text{(3.4596)}</w:t>
      </w:r>
    </w:p>
    <w:p w:rsidR="00105178" w:rsidRDefault="00105178" w:rsidP="00105178">
      <w:pPr>
        <w:pStyle w:val="StandardWeb"/>
      </w:pPr>
      <w:r>
        <w:t>Ein elementarer Zustand ist weder eine Relation noch eine Transformation:</w:t>
      </w:r>
    </w:p>
    <w:p w:rsidR="00105178" w:rsidRDefault="00105178" w:rsidP="00105178">
      <w:pPr>
        <w:pStyle w:val="StandardWeb"/>
      </w:pPr>
      <w:r>
        <w:t>[</w:t>
      </w:r>
      <w:r>
        <w:br/>
        <w:t>\operatorname{Typ}_{F}(\delta)</w:t>
      </w:r>
      <w:r>
        <w:br/>
        <w:t>\neq</w:t>
      </w:r>
      <w:r>
        <w:br/>
        <w:t>\mathbf{Relation},</w:t>
      </w:r>
      <w:r>
        <w:br/>
        <w:t>\tag{3.4597}</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\operatorname{Typ}_{F}(\delta)\neq\mathbf{Relation}\qquad\text{(3.4597)}</w:t>
      </w:r>
    </w:p>
    <w:p w:rsidR="00105178" w:rsidRDefault="00105178" w:rsidP="00105178">
      <w:pPr>
        <w:pStyle w:val="StandardWeb"/>
      </w:pPr>
      <w:r>
        <w:t>und</w:t>
      </w:r>
    </w:p>
    <w:p w:rsidR="00105178" w:rsidRDefault="00105178" w:rsidP="00105178">
      <w:pPr>
        <w:pStyle w:val="StandardWeb"/>
      </w:pPr>
      <w:r>
        <w:t>[</w:t>
      </w:r>
      <w:r>
        <w:br/>
        <w:t>\operatorname{Typ}_{F}(\delta)</w:t>
      </w:r>
      <w:r>
        <w:br/>
        <w:t>\neq</w:t>
      </w:r>
      <w:r>
        <w:br/>
        <w:t>\mathbf{Transformation}.</w:t>
      </w:r>
      <w:r>
        <w:br/>
        <w:t>\tag{3.4598}</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\operatorname{Typ}_{F}(\delta)\neq\mathbf{Transformation}\qquad\text{(3.4598)}</w:t>
      </w:r>
    </w:p>
    <w:p w:rsidR="00105178" w:rsidRDefault="00105178" w:rsidP="00105178">
      <w:pPr>
        <w:pStyle w:val="StandardWeb"/>
      </w:pPr>
      <w:r>
        <w:t>Die Unterscheidung bleibt auch dann bestehen, wenn Zustände selbst komplexe mathematische Strukturen enthalten. Ein als Vektor repräsentierter Zustand bleibt typologisch ein Zustand und wird nicht allein aufgrund seiner Darstellung zu einer Transformation oder Relation [6, 71].</w:t>
      </w:r>
    </w:p>
    <w:p w:rsidR="00105178" w:rsidRPr="00AF32B2" w:rsidRDefault="00105178" w:rsidP="00AF32B2">
      <w:pPr>
        <w:pStyle w:val="berschrift4"/>
      </w:pPr>
      <w:r w:rsidRPr="00AF32B2">
        <w:t>3.3.22.3 Funktionale Zustandsklassen</w:t>
      </w:r>
    </w:p>
    <w:p w:rsidR="00105178" w:rsidRDefault="00105178" w:rsidP="00105178">
      <w:pPr>
        <w:pStyle w:val="StandardWeb"/>
      </w:pPr>
      <w:r>
        <w:t>Die Quotientenabbildung lautet:</w:t>
      </w:r>
    </w:p>
    <w:p w:rsidR="00105178" w:rsidRDefault="00105178" w:rsidP="00105178">
      <w:pPr>
        <w:pStyle w:val="StandardWeb"/>
      </w:pPr>
      <w:r>
        <w:lastRenderedPageBreak/>
        <w:t>[</w:t>
      </w:r>
      <w:r>
        <w:br/>
        <w:t>\pi_{F}:</w:t>
      </w:r>
      <w:r>
        <w:br/>
        <w:t>\mathcal{S}</w:t>
      </w:r>
      <w:r>
        <w:rPr>
          <w:rStyle w:val="Hervorhebung"/>
        </w:rPr>
        <w:t>{\mathrm{el}}</w:t>
      </w:r>
      <w:r>
        <w:rPr>
          <w:i/>
          <w:iCs/>
        </w:rPr>
        <w:br/>
      </w:r>
      <w:r>
        <w:rPr>
          <w:rStyle w:val="Hervorhebung"/>
        </w:rPr>
        <w:t>\rightarrow</w:t>
      </w:r>
      <w:r>
        <w:rPr>
          <w:i/>
          <w:iCs/>
        </w:rPr>
        <w:br/>
      </w:r>
      <w:r>
        <w:rPr>
          <w:rStyle w:val="Hervorhebung"/>
        </w:rPr>
        <w:t>\mathcal{Q}</w:t>
      </w:r>
      <w:r>
        <w:t>{F}.</w:t>
      </w:r>
      <w:r>
        <w:br/>
        <w:t>\tag{3.4599}</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\pi_{F}:\mathcal{S}_{\mathrm{el}}\rightarrow\mathcal{Q}_{F}\qquad\text{(3.4599)}</w:t>
      </w:r>
    </w:p>
    <w:p w:rsidR="00105178" w:rsidRDefault="00105178" w:rsidP="00105178">
      <w:pPr>
        <w:pStyle w:val="StandardWeb"/>
      </w:pPr>
      <w:r>
        <w:t>Für einen elementaren Zustand (\delta) gilt:</w:t>
      </w:r>
    </w:p>
    <w:p w:rsidR="00105178" w:rsidRDefault="00105178" w:rsidP="00105178">
      <w:pPr>
        <w:pStyle w:val="berschrift1"/>
      </w:pPr>
      <w:r>
        <w:t>[</w:t>
      </w:r>
      <w:r>
        <w:br/>
        <w:t>\pi_{F}(\delta)</w:t>
      </w:r>
    </w:p>
    <w:p w:rsidR="00105178" w:rsidRDefault="00105178" w:rsidP="00105178">
      <w:pPr>
        <w:pStyle w:val="StandardWeb"/>
      </w:pPr>
      <w:r>
        <w:t>[\delta]_{!F}.</w:t>
      </w:r>
      <w:r>
        <w:br/>
        <w:t>\tag{3.4600}</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\pi_{F}(\delta)=[\delta]_{\!F}\qquad\text{(3.4600)}</w:t>
      </w:r>
    </w:p>
    <w:p w:rsidR="00105178" w:rsidRDefault="00105178" w:rsidP="00105178">
      <w:pPr>
        <w:pStyle w:val="StandardWeb"/>
      </w:pPr>
      <w:r>
        <w:t>Die Äquivalenzklasse besitzt den Typ:</w:t>
      </w:r>
    </w:p>
    <w:p w:rsidR="00105178" w:rsidRDefault="00105178" w:rsidP="00105178">
      <w:pPr>
        <w:pStyle w:val="berschrift1"/>
      </w:pPr>
      <w:r>
        <w:t>[</w:t>
      </w:r>
      <w:r>
        <w:br/>
        <w:t>\operatorname{Typ}</w:t>
      </w:r>
      <w:r>
        <w:rPr>
          <w:rStyle w:val="Hervorhebung"/>
        </w:rPr>
        <w:t>{F}</w:t>
      </w:r>
      <w:r>
        <w:rPr>
          <w:i/>
          <w:iCs/>
        </w:rPr>
        <w:br/>
      </w:r>
      <w:r>
        <w:rPr>
          <w:rStyle w:val="Hervorhebung"/>
        </w:rPr>
        <w:t>\left(</w:t>
      </w:r>
      <w:r>
        <w:rPr>
          <w:i/>
          <w:iCs/>
        </w:rPr>
        <w:br/>
      </w:r>
      <w:r>
        <w:rPr>
          <w:rStyle w:val="Hervorhebung"/>
        </w:rPr>
        <w:t>[\delta]</w:t>
      </w:r>
      <w:r>
        <w:t>{!F}</w:t>
      </w:r>
      <w:r>
        <w:br/>
        <w:t>\right)</w:t>
      </w:r>
    </w:p>
    <w:p w:rsidR="00105178" w:rsidRDefault="00105178" w:rsidP="00105178">
      <w:pPr>
        <w:pStyle w:val="StandardWeb"/>
      </w:pPr>
      <w:r>
        <w:t>\mathbf{Class}.</w:t>
      </w:r>
      <w:r>
        <w:br/>
        <w:t>\tag{3.4601}</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\operatorname{Typ}_{F}\left([\delta]_{\!F}\right)=\mathbf{Class}\qquad\text{(3.4601)}</w:t>
      </w:r>
    </w:p>
    <w:p w:rsidR="00105178" w:rsidRDefault="00105178" w:rsidP="00105178">
      <w:pPr>
        <w:pStyle w:val="StandardWeb"/>
      </w:pPr>
      <w:r>
        <w:t>Elementarer Zustand und Zustandsklasse dürfen nicht ohne Kennzeichnung gleichgesetzt werden:</w:t>
      </w:r>
    </w:p>
    <w:p w:rsidR="00105178" w:rsidRDefault="00105178" w:rsidP="00105178">
      <w:pPr>
        <w:pStyle w:val="StandardWeb"/>
      </w:pPr>
      <w:r>
        <w:lastRenderedPageBreak/>
        <w:t>[</w:t>
      </w:r>
      <w:r>
        <w:br/>
        <w:t>\delta</w:t>
      </w:r>
      <w:r>
        <w:br/>
        <w:t>\neq</w:t>
      </w:r>
      <w:r>
        <w:br/>
        <w:t>[\delta]_{!F}.</w:t>
      </w:r>
      <w:r>
        <w:br/>
        <w:t>\tag{3.4602}</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\delta\neq[\delta]_{\!F}\qquad\text{(3.4602)}</w:t>
      </w:r>
    </w:p>
    <w:p w:rsidR="00105178" w:rsidRDefault="00105178" w:rsidP="00105178">
      <w:pPr>
        <w:pStyle w:val="StandardWeb"/>
      </w:pPr>
      <w:r>
        <w:t>Die Gleichung (3.4602) ist typologisch zu verstehen. Ein Zustand ist Element seiner Äquivalenzklasse, aber nicht mit der Klasse als Menge identisch:</w:t>
      </w:r>
    </w:p>
    <w:p w:rsidR="00105178" w:rsidRDefault="00105178" w:rsidP="00105178">
      <w:pPr>
        <w:pStyle w:val="StandardWeb"/>
      </w:pPr>
      <w:r>
        <w:t>[</w:t>
      </w:r>
      <w:r>
        <w:br/>
        <w:t>\delta</w:t>
      </w:r>
      <w:r>
        <w:br/>
        <w:t>\in</w:t>
      </w:r>
      <w:r>
        <w:br/>
        <w:t>[\delta]_{!F}.</w:t>
      </w:r>
      <w:r>
        <w:br/>
        <w:t>\tag{3.4603}</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\delta\in[\delta]_{\!F}\qquad\text{(3.4603)}</w:t>
      </w:r>
    </w:p>
    <w:p w:rsidR="00105178" w:rsidRDefault="00105178" w:rsidP="00105178">
      <w:pPr>
        <w:pStyle w:val="StandardWeb"/>
      </w:pPr>
      <w:r>
        <w:rPr>
          <w:rStyle w:val="Fett"/>
        </w:rPr>
        <w:t>Eigenleistung des FRZK</w:t>
      </w:r>
    </w:p>
    <w:p w:rsidR="00105178" w:rsidRDefault="00105178" w:rsidP="00105178">
      <w:pPr>
        <w:pStyle w:val="StandardWeb"/>
      </w:pPr>
      <w:r>
        <w:t>Ich lege fest, dass sämtliche auf (\mathcal{Q}</w:t>
      </w:r>
      <w:r>
        <w:rPr>
          <w:rStyle w:val="Hervorhebung"/>
        </w:rPr>
        <w:t>{F}) definierten Raum-, Zeit- und Ordnungsstrukturen nur auf Zustandsklassen angewendet werden dürfen. Wird ein elementarer Zustand verwendet, muss zuvor ausdrücklich die Quotientenabbildung (\pi</w:t>
      </w:r>
      <w:r>
        <w:t>{F}) angewendet werden.</w:t>
      </w:r>
    </w:p>
    <w:p w:rsidR="00105178" w:rsidRPr="00AF32B2" w:rsidRDefault="00105178" w:rsidP="00AF32B2">
      <w:pPr>
        <w:pStyle w:val="berschrift4"/>
      </w:pPr>
      <w:r w:rsidRPr="00AF32B2">
        <w:t>3.3.22.4 Funktionale Relationen</w:t>
      </w:r>
    </w:p>
    <w:p w:rsidR="00105178" w:rsidRDefault="00105178" w:rsidP="00105178">
      <w:pPr>
        <w:pStyle w:val="StandardWeb"/>
      </w:pPr>
      <w:r>
        <w:t>Für ein funktionales Relationsobjekt gilt:</w:t>
      </w:r>
    </w:p>
    <w:p w:rsidR="00105178" w:rsidRDefault="00105178" w:rsidP="00105178">
      <w:pPr>
        <w:pStyle w:val="StandardWeb"/>
      </w:pPr>
      <w:r>
        <w:t>[</w:t>
      </w:r>
      <w:r>
        <w:br/>
        <w:t>R</w:t>
      </w:r>
      <w:r>
        <w:br/>
        <w:t>\in</w:t>
      </w:r>
      <w:r>
        <w:br/>
        <w:t>\mathfrak{R}_{\mathrm{f}}.</w:t>
      </w:r>
      <w:r>
        <w:br/>
        <w:t>\tag{3.4604}</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R\in\mathfrak{R}_{\mathrm{f}}\qquad\text{(3.4604)}</w:t>
      </w:r>
    </w:p>
    <w:p w:rsidR="00105178" w:rsidRDefault="00105178" w:rsidP="00105178">
      <w:pPr>
        <w:pStyle w:val="StandardWeb"/>
      </w:pPr>
      <w:r>
        <w:t>Im binär typisierten FRZK gilt:</w:t>
      </w:r>
    </w:p>
    <w:p w:rsidR="00105178" w:rsidRDefault="00105178" w:rsidP="00105178">
      <w:pPr>
        <w:pStyle w:val="StandardWeb"/>
      </w:pPr>
      <w:r>
        <w:t>[</w:t>
      </w:r>
      <w:r>
        <w:br/>
        <w:t>R</w:t>
      </w:r>
      <w:r>
        <w:br/>
      </w:r>
      <w:r>
        <w:lastRenderedPageBreak/>
        <w:t>\subseteq</w:t>
      </w:r>
      <w:r>
        <w:br/>
        <w:t>\mathcal{S}</w:t>
      </w:r>
      <w:r>
        <w:rPr>
          <w:rStyle w:val="Hervorhebung"/>
        </w:rPr>
        <w:t>{\mathrm{el}}</w:t>
      </w:r>
      <w:r>
        <w:rPr>
          <w:i/>
          <w:iCs/>
        </w:rPr>
        <w:br/>
      </w:r>
      <w:r>
        <w:rPr>
          <w:rStyle w:val="Hervorhebung"/>
        </w:rPr>
        <w:t>\times</w:t>
      </w:r>
      <w:r>
        <w:rPr>
          <w:i/>
          <w:iCs/>
        </w:rPr>
        <w:br/>
      </w:r>
      <w:r>
        <w:rPr>
          <w:rStyle w:val="Hervorhebung"/>
        </w:rPr>
        <w:t>\mathcal{S}</w:t>
      </w:r>
      <w:r>
        <w:t>{\mathrm{el}}.</w:t>
      </w:r>
      <w:r>
        <w:br/>
        <w:t>\tag{3.4605}</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R\subseteq\mathcal{S}_{\mathrm{el}}\times\mathcal{S}_{\mathrm{el}}\qquad\text{(3.4605)}</w:t>
      </w:r>
    </w:p>
    <w:p w:rsidR="00105178" w:rsidRDefault="00105178" w:rsidP="00105178">
      <w:pPr>
        <w:pStyle w:val="StandardWeb"/>
      </w:pPr>
      <w:r>
        <w:t>Die Typzuordnung lautet:</w:t>
      </w:r>
    </w:p>
    <w:p w:rsidR="00105178" w:rsidRDefault="00105178" w:rsidP="00105178">
      <w:pPr>
        <w:pStyle w:val="berschrift1"/>
      </w:pPr>
      <w:r>
        <w:t>[</w:t>
      </w:r>
      <w:r>
        <w:br/>
        <w:t>\operatorname{Typ}_{F}(R)</w:t>
      </w:r>
    </w:p>
    <w:p w:rsidR="00105178" w:rsidRDefault="00105178" w:rsidP="00105178">
      <w:pPr>
        <w:pStyle w:val="StandardWeb"/>
      </w:pPr>
      <w:r>
        <w:t>\mathbf{Relation}.</w:t>
      </w:r>
      <w:r>
        <w:br/>
        <w:t>\tag{3.4606}</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\operatorname{Typ}_{F}(R)=\mathbf{Relation}\qquad\text{(3.4606)}</w:t>
      </w:r>
    </w:p>
    <w:p w:rsidR="00105178" w:rsidRDefault="00105178" w:rsidP="00105178">
      <w:pPr>
        <w:pStyle w:val="StandardWeb"/>
      </w:pPr>
      <w:r>
        <w:t>Für ein Zustandspaar gilt:</w:t>
      </w:r>
    </w:p>
    <w:p w:rsidR="00105178" w:rsidRDefault="00105178" w:rsidP="00105178">
      <w:pPr>
        <w:pStyle w:val="StandardWeb"/>
      </w:pPr>
      <w:r>
        <w:t>[</w:t>
      </w:r>
      <w:r>
        <w:br/>
        <w:t>(\delta_i,\delta_j)</w:t>
      </w:r>
      <w:r>
        <w:br/>
        <w:t>\in</w:t>
      </w:r>
      <w:r>
        <w:br/>
        <w:t>R.</w:t>
      </w:r>
      <w:r>
        <w:br/>
        <w:t>\tag{3.4607}</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(\delta_i,\delta_j)\in R\qquad\text{(3.4607)}</w:t>
      </w:r>
    </w:p>
    <w:p w:rsidR="00105178" w:rsidRDefault="00105178" w:rsidP="00105178">
      <w:pPr>
        <w:pStyle w:val="StandardWeb"/>
      </w:pPr>
      <w:r>
        <w:t>Dagegen wäre der Ausdruck</w:t>
      </w:r>
    </w:p>
    <w:p w:rsidR="00105178" w:rsidRDefault="00105178" w:rsidP="00105178">
      <w:pPr>
        <w:pStyle w:val="StandardWeb"/>
      </w:pPr>
      <w:r>
        <w:t>[</w:t>
      </w:r>
      <w:r>
        <w:br/>
        <w:t>R(\delta_i)</w:t>
      </w:r>
      <w:r>
        <w:br/>
        <w:t>\tag{3.4608}</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R(\delta_i)\qquad\text{(3.4608)}</w:t>
      </w:r>
    </w:p>
    <w:p w:rsidR="00105178" w:rsidRDefault="00105178" w:rsidP="00105178">
      <w:pPr>
        <w:pStyle w:val="StandardWeb"/>
      </w:pPr>
      <w:r>
        <w:lastRenderedPageBreak/>
        <w:t>ohne zusätzliche Definition nicht zulässig, weil eine Relation nicht automatisch eine einwertige Abbildung darstellt.</w:t>
      </w:r>
    </w:p>
    <w:p w:rsidR="00105178" w:rsidRDefault="00105178" w:rsidP="00105178">
      <w:pPr>
        <w:pStyle w:val="StandardWeb"/>
      </w:pPr>
      <w:r>
        <w:t>Eine Relation kann nur dann funktional ausgewertet werden, wenn eine entsprechende Abbildung definiert wurde, beispielsweise:</w:t>
      </w:r>
    </w:p>
    <w:p w:rsidR="00105178" w:rsidRDefault="00105178" w:rsidP="00105178">
      <w:pPr>
        <w:pStyle w:val="StandardWeb"/>
      </w:pPr>
      <w:r>
        <w:t>[</w:t>
      </w:r>
      <w:r>
        <w:br/>
        <w:t>R^{\sharp}:</w:t>
      </w:r>
      <w:r>
        <w:br/>
        <w:t>\mathcal{S}</w:t>
      </w:r>
      <w:r>
        <w:rPr>
          <w:rStyle w:val="Hervorhebung"/>
        </w:rPr>
        <w:t>{\mathrm{el}}</w:t>
      </w:r>
      <w:r>
        <w:rPr>
          <w:i/>
          <w:iCs/>
        </w:rPr>
        <w:br/>
      </w:r>
      <w:r>
        <w:rPr>
          <w:rStyle w:val="Hervorhebung"/>
        </w:rPr>
        <w:t>\rightarrow</w:t>
      </w:r>
      <w:r>
        <w:rPr>
          <w:i/>
          <w:iCs/>
        </w:rPr>
        <w:br/>
      </w:r>
      <w:r>
        <w:rPr>
          <w:rStyle w:val="Hervorhebung"/>
        </w:rPr>
        <w:t>\mathcal{P}</w:t>
      </w:r>
      <w:r>
        <w:rPr>
          <w:i/>
          <w:iCs/>
        </w:rPr>
        <w:br/>
      </w:r>
      <w:r>
        <w:rPr>
          <w:rStyle w:val="Hervorhebung"/>
        </w:rPr>
        <w:t>\left(</w:t>
      </w:r>
      <w:r>
        <w:rPr>
          <w:i/>
          <w:iCs/>
        </w:rPr>
        <w:br/>
      </w:r>
      <w:r>
        <w:rPr>
          <w:rStyle w:val="Hervorhebung"/>
        </w:rPr>
        <w:t>\mathcal{S}</w:t>
      </w:r>
      <w:r>
        <w:t>{\mathrm{el}}</w:t>
      </w:r>
      <w:r>
        <w:br/>
        <w:t>\right),</w:t>
      </w:r>
      <w:r>
        <w:br/>
        <w:t>\tag{3.4609}</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R^{\sharp}:\mathcal{S}_{\mathrm{el}}\rightarrow\mathcal{P}\left(\mathcal{S}_{\mathrm{el}}\right)\qquad\text{(3.4609)}</w:t>
      </w:r>
    </w:p>
    <w:p w:rsidR="00105178" w:rsidRDefault="00105178" w:rsidP="00105178">
      <w:pPr>
        <w:pStyle w:val="StandardWeb"/>
      </w:pPr>
      <w:r>
        <w:t>mit</w:t>
      </w:r>
    </w:p>
    <w:p w:rsidR="00105178" w:rsidRDefault="00105178" w:rsidP="00105178">
      <w:pPr>
        <w:pStyle w:val="berschrift1"/>
      </w:pPr>
      <w:r>
        <w:t>[</w:t>
      </w:r>
      <w:r>
        <w:br/>
        <w:t>R^{\sharp}(\delta_i)</w:t>
      </w:r>
    </w:p>
    <w:p w:rsidR="00105178" w:rsidRDefault="00105178" w:rsidP="00105178">
      <w:pPr>
        <w:pStyle w:val="StandardWeb"/>
      </w:pPr>
      <w:r>
        <w:t>\left{</w:t>
      </w:r>
      <w:r>
        <w:br/>
        <w:t>\delta_j\in\mathcal{S}_{\mathrm{el}}</w:t>
      </w:r>
      <w:r>
        <w:br/>
        <w:t>;\middle|;</w:t>
      </w:r>
      <w:r>
        <w:br/>
        <w:t>(\delta_i,\delta_j)\in R</w:t>
      </w:r>
      <w:r>
        <w:br/>
        <w:t>\right}.</w:t>
      </w:r>
      <w:r>
        <w:br/>
        <w:t>\tag{3.4610}</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R^{\sharp}(\delta_i)=\left\{\delta_j\in\mathcal{S}_{\mathrm{el}}\middle|(\delta_i,\delta_j)\in R\right\}\qquad\text{(3.4610)}</w:t>
      </w:r>
    </w:p>
    <w:p w:rsidR="00105178" w:rsidRPr="00AF32B2" w:rsidRDefault="00105178" w:rsidP="00AF32B2">
      <w:pPr>
        <w:pStyle w:val="berschrift4"/>
      </w:pPr>
      <w:r w:rsidRPr="00AF32B2">
        <w:t>3.3.22.5 Funktionale Transformationen</w:t>
      </w:r>
    </w:p>
    <w:p w:rsidR="00105178" w:rsidRDefault="00105178" w:rsidP="00105178">
      <w:pPr>
        <w:pStyle w:val="StandardWeb"/>
      </w:pPr>
      <w:r>
        <w:t>Für eine funktionale Transformation gilt:</w:t>
      </w:r>
    </w:p>
    <w:p w:rsidR="00105178" w:rsidRDefault="00105178" w:rsidP="00105178">
      <w:pPr>
        <w:pStyle w:val="StandardWeb"/>
      </w:pPr>
      <w:r>
        <w:t>[</w:t>
      </w:r>
      <w:r>
        <w:br/>
        <w:t>T</w:t>
      </w:r>
      <w:r>
        <w:br/>
        <w:t>\in</w:t>
      </w:r>
      <w:r>
        <w:br/>
        <w:t>\mathfrak{T}_{\mathrm{f}}.</w:t>
      </w:r>
      <w:r>
        <w:br/>
        <w:t>\tag{3.4611}</w:t>
      </w:r>
      <w:r>
        <w:br/>
        <w:t>]</w:t>
      </w:r>
    </w:p>
    <w:p w:rsidR="00105178" w:rsidRDefault="00105178" w:rsidP="00105178">
      <w:pPr>
        <w:pStyle w:val="StandardWeb"/>
      </w:pPr>
      <w:r>
        <w:rPr>
          <w:rStyle w:val="Fett"/>
        </w:rPr>
        <w:lastRenderedPageBreak/>
        <w:t>Word-LaTeX</w:t>
      </w:r>
    </w:p>
    <w:p w:rsidR="00105178" w:rsidRDefault="00105178" w:rsidP="00105178">
      <w:pPr>
        <w:pStyle w:val="HTMLVorformatiert"/>
        <w:rPr>
          <w:rStyle w:val="HTMLCode"/>
        </w:rPr>
      </w:pPr>
      <w:r>
        <w:rPr>
          <w:rStyle w:val="HTMLCode"/>
        </w:rPr>
        <w:t>T\in\mathfrak{T}_{\mathrm{f}}\qquad\text{(3.4611)}</w:t>
      </w:r>
    </w:p>
    <w:p w:rsidR="00105178" w:rsidRDefault="00105178" w:rsidP="00105178">
      <w:pPr>
        <w:pStyle w:val="StandardWeb"/>
      </w:pPr>
      <w:r>
        <w:t>Ihre Typisierung lautet:</w:t>
      </w:r>
    </w:p>
    <w:p w:rsidR="00105178" w:rsidRDefault="00105178" w:rsidP="00105178">
      <w:pPr>
        <w:pStyle w:val="StandardWeb"/>
      </w:pPr>
      <w:r>
        <w:t>[</w:t>
      </w:r>
      <w:r>
        <w:br/>
        <w:t>T:</w:t>
      </w:r>
      <w:r>
        <w:br/>
        <w:t>\mathcal{S}</w:t>
      </w:r>
      <w:r>
        <w:rPr>
          <w:rStyle w:val="Hervorhebung"/>
        </w:rPr>
        <w:t>{\mathrm{el}}</w:t>
      </w:r>
      <w:r>
        <w:rPr>
          <w:i/>
          <w:iCs/>
        </w:rPr>
        <w:br/>
      </w:r>
      <w:r>
        <w:rPr>
          <w:rStyle w:val="Hervorhebung"/>
        </w:rPr>
        <w:t>\rightarrow</w:t>
      </w:r>
      <w:r>
        <w:rPr>
          <w:i/>
          <w:iCs/>
        </w:rPr>
        <w:br/>
      </w:r>
      <w:r>
        <w:rPr>
          <w:rStyle w:val="Hervorhebung"/>
        </w:rPr>
        <w:t>\mathcal{S}</w:t>
      </w:r>
      <w:r>
        <w:t>{\mathrm{el}}.</w:t>
      </w:r>
      <w:r>
        <w:br/>
        <w:t>\tag{3.4612}</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T:\mathcal{S}_{\mathrm{el}}\rightarrow\mathcal{S}_{\mathrm{el}}\qquad\text{(3.4612)}</w:t>
      </w:r>
    </w:p>
    <w:p w:rsidR="00105178" w:rsidRDefault="00105178" w:rsidP="00105178">
      <w:pPr>
        <w:pStyle w:val="StandardWeb"/>
      </w:pPr>
      <w:r>
        <w:t>Die Typzuordnung ist:</w:t>
      </w:r>
    </w:p>
    <w:p w:rsidR="00105178" w:rsidRDefault="00105178" w:rsidP="00105178">
      <w:pPr>
        <w:pStyle w:val="berschrift1"/>
      </w:pPr>
      <w:r>
        <w:t>[</w:t>
      </w:r>
      <w:r>
        <w:br/>
        <w:t>\operatorname{Typ}_{F}(T)</w:t>
      </w:r>
    </w:p>
    <w:p w:rsidR="00105178" w:rsidRDefault="00105178" w:rsidP="00105178">
      <w:pPr>
        <w:pStyle w:val="StandardWeb"/>
      </w:pPr>
      <w:r>
        <w:t>\mathbf{Transformation}.</w:t>
      </w:r>
      <w:r>
        <w:br/>
        <w:t>\tag{3.4613}</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\operatorname{Typ}_{F}(T)=\mathbf{Transformation}\qquad\text{(3.4613)}</w:t>
      </w:r>
    </w:p>
    <w:p w:rsidR="00105178" w:rsidRDefault="00105178" w:rsidP="00105178">
      <w:pPr>
        <w:pStyle w:val="StandardWeb"/>
      </w:pPr>
      <w:r>
        <w:t>Für einen Zustand (\delta) ist die Anwendung</w:t>
      </w:r>
    </w:p>
    <w:p w:rsidR="00105178" w:rsidRDefault="00105178" w:rsidP="00105178">
      <w:pPr>
        <w:pStyle w:val="StandardWeb"/>
      </w:pPr>
      <w:r>
        <w:t>[</w:t>
      </w:r>
      <w:r>
        <w:br/>
        <w:t>T(\delta)</w:t>
      </w:r>
      <w:r>
        <w:br/>
        <w:t>\in</w:t>
      </w:r>
      <w:r>
        <w:br/>
        <w:t>\mathcal{S}_{\mathrm{el}}</w:t>
      </w:r>
      <w:r>
        <w:br/>
        <w:t>\tag{3.4614}</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T(\delta)\in\mathcal{S}_{\mathrm{el}}\qquad\text{(3.4614)}</w:t>
      </w:r>
    </w:p>
    <w:p w:rsidR="00105178" w:rsidRDefault="00105178" w:rsidP="00105178">
      <w:pPr>
        <w:pStyle w:val="StandardWeb"/>
      </w:pPr>
      <w:r>
        <w:t>typkorrekt.</w:t>
      </w:r>
    </w:p>
    <w:p w:rsidR="00105178" w:rsidRDefault="00105178" w:rsidP="00105178">
      <w:pPr>
        <w:pStyle w:val="StandardWeb"/>
      </w:pPr>
      <w:r>
        <w:t>Dagegen ist</w:t>
      </w:r>
    </w:p>
    <w:p w:rsidR="00105178" w:rsidRDefault="00105178" w:rsidP="00105178">
      <w:pPr>
        <w:pStyle w:val="StandardWeb"/>
      </w:pPr>
      <w:r>
        <w:lastRenderedPageBreak/>
        <w:t>[</w:t>
      </w:r>
      <w:r>
        <w:br/>
        <w:t>T(R)</w:t>
      </w:r>
      <w:r>
        <w:br/>
        <w:t>\tag{3.4615}</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T(R)\qquad\text{(3.4615)}</w:t>
      </w:r>
    </w:p>
    <w:p w:rsidR="00105178" w:rsidRDefault="00105178" w:rsidP="00105178">
      <w:pPr>
        <w:pStyle w:val="StandardWeb"/>
      </w:pPr>
      <w:r>
        <w:t>nicht definiert, solange (T) ausschließlich auf (\mathcal{S}_{\mathrm{el}}) wirkt.</w:t>
      </w:r>
    </w:p>
    <w:p w:rsidR="00105178" w:rsidRDefault="00105178" w:rsidP="00105178">
      <w:pPr>
        <w:pStyle w:val="StandardWeb"/>
      </w:pPr>
      <w:r>
        <w:t>Soll eine Transformation auf Relationen wirken, muss eine eigene Abbildung definiert werden:</w:t>
      </w:r>
    </w:p>
    <w:p w:rsidR="00105178" w:rsidRDefault="00105178" w:rsidP="00105178">
      <w:pPr>
        <w:pStyle w:val="StandardWeb"/>
      </w:pPr>
      <w:r>
        <w:t>[</w:t>
      </w:r>
      <w:r>
        <w:br/>
        <w:t>\widehat{T}:</w:t>
      </w:r>
      <w:r>
        <w:br/>
        <w:t>\mathfrak{R}</w:t>
      </w:r>
      <w:r>
        <w:rPr>
          <w:rStyle w:val="Hervorhebung"/>
        </w:rPr>
        <w:t>{\mathrm{f}}</w:t>
      </w:r>
      <w:r>
        <w:rPr>
          <w:i/>
          <w:iCs/>
        </w:rPr>
        <w:br/>
      </w:r>
      <w:r>
        <w:rPr>
          <w:rStyle w:val="Hervorhebung"/>
        </w:rPr>
        <w:t>\rightarrow</w:t>
      </w:r>
      <w:r>
        <w:rPr>
          <w:i/>
          <w:iCs/>
        </w:rPr>
        <w:br/>
      </w:r>
      <w:r>
        <w:rPr>
          <w:rStyle w:val="Hervorhebung"/>
        </w:rPr>
        <w:t>\mathfrak{R}</w:t>
      </w:r>
      <w:r>
        <w:t>{\mathrm{f}}.</w:t>
      </w:r>
      <w:r>
        <w:br/>
        <w:t>\tag{3.4616}</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\widehat{T}:\mathfrak{R}_{\mathrm{f}}\rightarrow\mathfrak{R}_{\mathrm{f}}\qquad\text{(3.4616)}</w:t>
      </w:r>
    </w:p>
    <w:p w:rsidR="00105178" w:rsidRDefault="00105178" w:rsidP="00105178">
      <w:pPr>
        <w:pStyle w:val="StandardWeb"/>
      </w:pPr>
      <w:r>
        <w:rPr>
          <w:rStyle w:val="Fett"/>
        </w:rPr>
        <w:t>Eigenleistung des FRZK</w:t>
      </w:r>
    </w:p>
    <w:p w:rsidR="00105178" w:rsidRDefault="00105178" w:rsidP="00105178">
      <w:pPr>
        <w:pStyle w:val="StandardWeb"/>
      </w:pPr>
      <w:r>
        <w:t>Ich unterscheide streng zwischen Zustands</w:t>
      </w:r>
      <w:r>
        <w:softHyphen/>
        <w:t>transformationen und Transformationen höherer Strukturebenen. Eine Abbildung auf Zuständen darf nicht stillschweigend als Abbildung auf Relationen, Entwicklungen oder Raum-Zeit-Strukturen verwendet werden.</w:t>
      </w:r>
    </w:p>
    <w:p w:rsidR="00105178" w:rsidRPr="00AF32B2" w:rsidRDefault="00105178" w:rsidP="00AF32B2">
      <w:pPr>
        <w:pStyle w:val="berschrift4"/>
      </w:pPr>
      <w:r w:rsidRPr="00AF32B2">
        <w:t>3.3.22.6 Transformationsfolgen und Entwicklungen</w:t>
      </w:r>
    </w:p>
    <w:p w:rsidR="00105178" w:rsidRDefault="00105178" w:rsidP="00105178">
      <w:pPr>
        <w:pStyle w:val="StandardWeb"/>
      </w:pPr>
      <w:r>
        <w:t>Eine endliche Transformationsfolge lautet:</w:t>
      </w:r>
    </w:p>
    <w:p w:rsidR="00105178" w:rsidRDefault="00105178" w:rsidP="00105178">
      <w:pPr>
        <w:pStyle w:val="berschrift1"/>
      </w:pPr>
      <w:r>
        <w:t>[</w:t>
      </w:r>
      <w:r>
        <w:br/>
        <w:t>\mathbf{T}_{n}</w:t>
      </w:r>
    </w:p>
    <w:p w:rsidR="00105178" w:rsidRDefault="00105178" w:rsidP="00105178">
      <w:pPr>
        <w:pStyle w:val="StandardWeb"/>
      </w:pPr>
      <w:r>
        <w:t>\left(</w:t>
      </w:r>
      <w:r>
        <w:br/>
        <w:t>T_1,T_2,\ldots,T_n</w:t>
      </w:r>
      <w:r>
        <w:br/>
        <w:t>\right).</w:t>
      </w:r>
      <w:r>
        <w:br/>
        <w:t>\tag{3.4617}</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\mathbf{T}_{n}=\left(T_1,T_2,\ldots,T_n\right)\qquad\text{(3.4617)}</w:t>
      </w:r>
    </w:p>
    <w:p w:rsidR="00105178" w:rsidRDefault="00105178" w:rsidP="00105178">
      <w:pPr>
        <w:pStyle w:val="StandardWeb"/>
      </w:pPr>
      <w:r>
        <w:lastRenderedPageBreak/>
        <w:t>Ihr Typ ist:</w:t>
      </w:r>
    </w:p>
    <w:p w:rsidR="00105178" w:rsidRDefault="00105178" w:rsidP="00105178">
      <w:pPr>
        <w:pStyle w:val="berschrift1"/>
      </w:pPr>
      <w:r>
        <w:t>[</w:t>
      </w:r>
      <w:r>
        <w:br/>
        <w:t>\operatorname{Typ}</w:t>
      </w:r>
      <w:r>
        <w:rPr>
          <w:rStyle w:val="Hervorhebung"/>
        </w:rPr>
        <w:t>{F}</w:t>
      </w:r>
      <w:r>
        <w:rPr>
          <w:i/>
          <w:iCs/>
        </w:rPr>
        <w:br/>
      </w:r>
      <w:r>
        <w:rPr>
          <w:rStyle w:val="Hervorhebung"/>
        </w:rPr>
        <w:t>\left(</w:t>
      </w:r>
      <w:r>
        <w:rPr>
          <w:i/>
          <w:iCs/>
        </w:rPr>
        <w:br/>
      </w:r>
      <w:r>
        <w:rPr>
          <w:rStyle w:val="Hervorhebung"/>
        </w:rPr>
        <w:t>\mathbf{T}</w:t>
      </w:r>
      <w:r>
        <w:t>{n}</w:t>
      </w:r>
      <w:r>
        <w:br/>
        <w:t>\right)</w:t>
      </w:r>
    </w:p>
    <w:p w:rsidR="00105178" w:rsidRDefault="00105178" w:rsidP="00105178">
      <w:pPr>
        <w:pStyle w:val="StandardWeb"/>
      </w:pPr>
      <w:r>
        <w:t>\mathbf{Development}.</w:t>
      </w:r>
      <w:r>
        <w:br/>
        <w:t>\tag{3.4618}</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\operatorname{Typ}_{F}\left(\mathbf{T}_{n}\right)=\mathbf{Development}\qquad\text{(3.4618)}</w:t>
      </w:r>
    </w:p>
    <w:p w:rsidR="00105178" w:rsidRDefault="00105178" w:rsidP="00105178">
      <w:pPr>
        <w:pStyle w:val="StandardWeb"/>
      </w:pPr>
      <w:r>
        <w:t>Die funktionale Entwicklung wird durch</w:t>
      </w:r>
    </w:p>
    <w:p w:rsidR="00105178" w:rsidRDefault="00105178" w:rsidP="00105178">
      <w:pPr>
        <w:pStyle w:val="berschrift1"/>
      </w:pPr>
      <w:r>
        <w:t>[</w:t>
      </w:r>
      <w:r>
        <w:br/>
        <w:t>\mathfrak{E}_{n}</w:t>
      </w:r>
    </w:p>
    <w:p w:rsidR="00105178" w:rsidRDefault="00105178" w:rsidP="00105178">
      <w:pPr>
        <w:pStyle w:val="StandardWeb"/>
      </w:pPr>
      <w:r>
        <w:t>\left(</w:t>
      </w:r>
      <w:r>
        <w:br/>
        <w:t>\delta_0,</w:t>
      </w:r>
      <w:r>
        <w:br/>
        <w:t>\mathbf{T}_{n}</w:t>
      </w:r>
      <w:r>
        <w:br/>
        <w:t>\right)</w:t>
      </w:r>
      <w:r>
        <w:br/>
        <w:t>\tag{3.4619}</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\mathfrak{E}_{n}=\left(\delta_0,\mathbf{T}_{n}\right)\qquad\text{(3.4619)}</w:t>
      </w:r>
    </w:p>
    <w:p w:rsidR="00105178" w:rsidRDefault="00105178" w:rsidP="00105178">
      <w:pPr>
        <w:pStyle w:val="StandardWeb"/>
      </w:pPr>
      <w:r>
        <w:t>repräsentiert.</w:t>
      </w:r>
    </w:p>
    <w:p w:rsidR="00105178" w:rsidRDefault="00105178" w:rsidP="00105178">
      <w:pPr>
        <w:pStyle w:val="StandardWeb"/>
      </w:pPr>
      <w:r>
        <w:t>Die zugehörige Zustandsfolge erfüllt:</w:t>
      </w:r>
    </w:p>
    <w:p w:rsidR="00105178" w:rsidRDefault="00105178" w:rsidP="00105178">
      <w:pPr>
        <w:pStyle w:val="berschrift1"/>
      </w:pPr>
      <w:r>
        <w:t>[</w:t>
      </w:r>
      <w:r>
        <w:br/>
        <w:t>\delta_k</w:t>
      </w:r>
    </w:p>
    <w:p w:rsidR="00105178" w:rsidRDefault="00105178" w:rsidP="00105178">
      <w:pPr>
        <w:pStyle w:val="StandardWeb"/>
      </w:pPr>
      <w:r>
        <w:t>T_k(\delta_{k-1}).</w:t>
      </w:r>
      <w:r>
        <w:br/>
        <w:t>\tag{3.4620}</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lastRenderedPageBreak/>
        <w:t>\delta_k=T_k(\delta_{k-1})\qquad\text{(3.4620)}</w:t>
      </w:r>
    </w:p>
    <w:p w:rsidR="00105178" w:rsidRDefault="00105178" w:rsidP="00105178">
      <w:pPr>
        <w:pStyle w:val="StandardWeb"/>
      </w:pPr>
      <w:r>
        <w:t>Die Typkonsistenz verlangt:</w:t>
      </w:r>
    </w:p>
    <w:p w:rsidR="00105178" w:rsidRDefault="00105178" w:rsidP="00105178">
      <w:pPr>
        <w:pStyle w:val="berschrift1"/>
      </w:pPr>
      <w:r>
        <w:t>[</w:t>
      </w:r>
      <w:r>
        <w:br/>
        <w:t>\operatorname{cod}(T_{k-1})</w:t>
      </w:r>
    </w:p>
    <w:p w:rsidR="00105178" w:rsidRDefault="00105178" w:rsidP="00105178">
      <w:pPr>
        <w:pStyle w:val="berschrift1"/>
      </w:pPr>
      <w:r>
        <w:t>\operatorname{dom}(T_k)</w:t>
      </w:r>
    </w:p>
    <w:p w:rsidR="00105178" w:rsidRDefault="00105178" w:rsidP="00105178">
      <w:pPr>
        <w:pStyle w:val="StandardWeb"/>
      </w:pPr>
      <w:r>
        <w:t>\mathcal{S}_{\mathrm{el}}.</w:t>
      </w:r>
      <w:r>
        <w:br/>
        <w:t>\tag{3.4621}</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\operatorname{cod}(T_{k-1})=\operatorname{dom}(T_k)=\mathcal{S}_{\mathrm{el}}\qquad\text{(3.4621)}</w:t>
      </w:r>
    </w:p>
    <w:p w:rsidR="00105178" w:rsidRDefault="00105178" w:rsidP="00105178">
      <w:pPr>
        <w:pStyle w:val="StandardWeb"/>
      </w:pPr>
      <w:r>
        <w:t>Ist diese Bedingung nicht erfüllt, ist die Komposition nicht definiert:</w:t>
      </w:r>
    </w:p>
    <w:p w:rsidR="00105178" w:rsidRDefault="00105178" w:rsidP="00105178">
      <w:pPr>
        <w:pStyle w:val="StandardWeb"/>
      </w:pPr>
      <w:r>
        <w:t>[</w:t>
      </w:r>
      <w:r>
        <w:br/>
        <w:t>T_k</w:t>
      </w:r>
      <w:r>
        <w:br/>
        <w:t>\circ</w:t>
      </w:r>
      <w:r>
        <w:br/>
        <w:t>T_{k-1}</w:t>
      </w:r>
      <w:r>
        <w:br/>
        <w:t>\quad</w:t>
      </w:r>
      <w:r>
        <w:br/>
        <w:t>\text{ist nicht typzulässig}.</w:t>
      </w:r>
      <w:r>
        <w:br/>
        <w:t>\tag{3.4622}</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T_k\circ T_{k-1}\quad\text{ist nicht typzulässig}\qquad\text{(3.4622)}</w:t>
      </w:r>
    </w:p>
    <w:p w:rsidR="00105178" w:rsidRPr="00AF32B2" w:rsidRDefault="00105178" w:rsidP="00AF32B2">
      <w:pPr>
        <w:pStyle w:val="berschrift4"/>
      </w:pPr>
      <w:r w:rsidRPr="00AF32B2">
        <w:t>3.3.22.7 Erreichbarkeit und funktionale Ordnung</w:t>
      </w:r>
    </w:p>
    <w:p w:rsidR="00105178" w:rsidRDefault="00105178" w:rsidP="00105178">
      <w:pPr>
        <w:pStyle w:val="StandardWeb"/>
      </w:pPr>
      <w:r>
        <w:t>Die Erreichbarkeitsrelation wirkt zunächst auf elementaren Zuständen:</w:t>
      </w:r>
    </w:p>
    <w:p w:rsidR="00105178" w:rsidRDefault="00105178" w:rsidP="00105178">
      <w:pPr>
        <w:pStyle w:val="StandardWeb"/>
      </w:pPr>
      <w:r>
        <w:t>[</w:t>
      </w:r>
      <w:r>
        <w:br/>
        <w:t>\preceq_{!F}</w:t>
      </w:r>
      <w:r>
        <w:br/>
        <w:t>\subseteq</w:t>
      </w:r>
      <w:r>
        <w:br/>
        <w:t>\mathcal{S}</w:t>
      </w:r>
      <w:r>
        <w:rPr>
          <w:rStyle w:val="Hervorhebung"/>
        </w:rPr>
        <w:t>{\mathrm{el}}</w:t>
      </w:r>
      <w:r>
        <w:rPr>
          <w:i/>
          <w:iCs/>
        </w:rPr>
        <w:br/>
      </w:r>
      <w:r>
        <w:rPr>
          <w:rStyle w:val="Hervorhebung"/>
        </w:rPr>
        <w:t>\times</w:t>
      </w:r>
      <w:r>
        <w:rPr>
          <w:i/>
          <w:iCs/>
        </w:rPr>
        <w:br/>
      </w:r>
      <w:r>
        <w:rPr>
          <w:rStyle w:val="Hervorhebung"/>
        </w:rPr>
        <w:t>\mathcal{S}</w:t>
      </w:r>
      <w:r>
        <w:t>{\mathrm{el}}.</w:t>
      </w:r>
      <w:r>
        <w:br/>
        <w:t>\tag{3.4623}</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\preceq_{\!F}\subseteq\mathcal{S}_{\mathrm{el}}\times\mathcal{S}_{\mathrm{el}}\qquad\text{(3.4623)}</w:t>
      </w:r>
    </w:p>
    <w:p w:rsidR="00105178" w:rsidRDefault="00105178" w:rsidP="00105178">
      <w:pPr>
        <w:pStyle w:val="StandardWeb"/>
      </w:pPr>
      <w:r>
        <w:lastRenderedPageBreak/>
        <w:t>Die abgeleitete Halbordnung wirkt dagegen auf Zustandsklassen:</w:t>
      </w:r>
    </w:p>
    <w:p w:rsidR="00105178" w:rsidRDefault="00105178" w:rsidP="00105178">
      <w:pPr>
        <w:pStyle w:val="StandardWeb"/>
      </w:pPr>
      <w:r>
        <w:t>[</w:t>
      </w:r>
      <w:r>
        <w:br/>
        <w:t>\leq_{!F}</w:t>
      </w:r>
      <w:r>
        <w:br/>
        <w:t>\subseteq</w:t>
      </w:r>
      <w:r>
        <w:br/>
        <w:t>\mathcal{Q}</w:t>
      </w:r>
      <w:r>
        <w:rPr>
          <w:rStyle w:val="Hervorhebung"/>
        </w:rPr>
        <w:t>{F}</w:t>
      </w:r>
      <w:r>
        <w:rPr>
          <w:i/>
          <w:iCs/>
        </w:rPr>
        <w:br/>
      </w:r>
      <w:r>
        <w:rPr>
          <w:rStyle w:val="Hervorhebung"/>
        </w:rPr>
        <w:t>\times</w:t>
      </w:r>
      <w:r>
        <w:rPr>
          <w:i/>
          <w:iCs/>
        </w:rPr>
        <w:br/>
      </w:r>
      <w:r>
        <w:rPr>
          <w:rStyle w:val="Hervorhebung"/>
        </w:rPr>
        <w:t>\mathcal{Q}</w:t>
      </w:r>
      <w:r>
        <w:t>{F}.</w:t>
      </w:r>
      <w:r>
        <w:br/>
        <w:t>\tag{3.4624}</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\leq_{\!F}\subseteq\mathcal{Q}_{F}\times\mathcal{Q}_{F}\qquad\text{(3.4624)}</w:t>
      </w:r>
    </w:p>
    <w:p w:rsidR="00105178" w:rsidRDefault="00105178" w:rsidP="00105178">
      <w:pPr>
        <w:pStyle w:val="StandardWeb"/>
      </w:pPr>
      <w:r>
        <w:t>Damit ist</w:t>
      </w:r>
    </w:p>
    <w:p w:rsidR="00105178" w:rsidRDefault="00105178" w:rsidP="00105178">
      <w:pPr>
        <w:pStyle w:val="StandardWeb"/>
      </w:pPr>
      <w:r>
        <w:t>[</w:t>
      </w:r>
      <w:r>
        <w:br/>
        <w:t>\delta_i</w:t>
      </w:r>
      <w:r>
        <w:br/>
        <w:t>\preceq_{!F}</w:t>
      </w:r>
      <w:r>
        <w:br/>
        <w:t>\delta_j</w:t>
      </w:r>
      <w:r>
        <w:br/>
        <w:t>\tag{3.4625}</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\delta_i\preceq_{\!F}\delta_j\qquad\text{(3.4625)}</w:t>
      </w:r>
    </w:p>
    <w:p w:rsidR="00105178" w:rsidRDefault="00105178" w:rsidP="00105178">
      <w:pPr>
        <w:pStyle w:val="StandardWeb"/>
      </w:pPr>
      <w:r>
        <w:t>typkorrekt.</w:t>
      </w:r>
    </w:p>
    <w:p w:rsidR="00105178" w:rsidRDefault="00105178" w:rsidP="00105178">
      <w:pPr>
        <w:pStyle w:val="StandardWeb"/>
      </w:pPr>
      <w:r>
        <w:t>Ebenso ist</w:t>
      </w:r>
    </w:p>
    <w:p w:rsidR="00105178" w:rsidRDefault="00105178" w:rsidP="00105178">
      <w:pPr>
        <w:pStyle w:val="StandardWeb"/>
      </w:pPr>
      <w:r>
        <w:t>[</w:t>
      </w:r>
      <w:r>
        <w:br/>
        <w:t>[\delta_i]</w:t>
      </w:r>
      <w:r>
        <w:rPr>
          <w:rStyle w:val="Hervorhebung"/>
        </w:rPr>
        <w:t>{!F}</w:t>
      </w:r>
      <w:r>
        <w:rPr>
          <w:i/>
          <w:iCs/>
        </w:rPr>
        <w:br/>
      </w:r>
      <w:r>
        <w:rPr>
          <w:rStyle w:val="Hervorhebung"/>
        </w:rPr>
        <w:t>\leq</w:t>
      </w:r>
      <w:r>
        <w:t>{!F}</w:t>
      </w:r>
      <w:r>
        <w:br/>
        <w:t>[\delta_j]_{!F}</w:t>
      </w:r>
      <w:r>
        <w:br/>
        <w:t>\tag{3.4626}</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[\delta_i]_{\!F}\leq_{\!F}[\delta_j]_{\!F}\qquad\text{(3.4626)}</w:t>
      </w:r>
    </w:p>
    <w:p w:rsidR="00105178" w:rsidRDefault="00105178" w:rsidP="00105178">
      <w:pPr>
        <w:pStyle w:val="StandardWeb"/>
      </w:pPr>
      <w:r>
        <w:t>typkorrekt.</w:t>
      </w:r>
    </w:p>
    <w:p w:rsidR="00105178" w:rsidRDefault="00105178" w:rsidP="00105178">
      <w:pPr>
        <w:pStyle w:val="StandardWeb"/>
      </w:pPr>
      <w:r>
        <w:t>Nicht typkorrekt wäre dagegen:</w:t>
      </w:r>
    </w:p>
    <w:p w:rsidR="00105178" w:rsidRDefault="00105178" w:rsidP="00105178">
      <w:pPr>
        <w:pStyle w:val="StandardWeb"/>
      </w:pPr>
      <w:r>
        <w:t>[</w:t>
      </w:r>
      <w:r>
        <w:br/>
        <w:t>\delta_i</w:t>
      </w:r>
      <w:r>
        <w:br/>
        <w:t>\leq_{!F}</w:t>
      </w:r>
      <w:r>
        <w:br/>
        <w:t>[\delta_j]_{!F},</w:t>
      </w:r>
      <w:r>
        <w:br/>
      </w:r>
      <w:r>
        <w:lastRenderedPageBreak/>
        <w:t>\tag{3.4627}</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\delta_i\leq_{\!F}[\delta_j]_{\!F}\qquad\text{(3.4627)}</w:t>
      </w:r>
    </w:p>
    <w:p w:rsidR="00105178" w:rsidRDefault="00105178" w:rsidP="00105178">
      <w:pPr>
        <w:pStyle w:val="StandardWeb"/>
      </w:pPr>
      <w:r>
        <w:t>weil linkes und rechtes Argument unterschiedlichen Grundmengen angehören.</w:t>
      </w:r>
    </w:p>
    <w:p w:rsidR="00105178" w:rsidRPr="00AF32B2" w:rsidRDefault="00105178" w:rsidP="00AF32B2">
      <w:pPr>
        <w:pStyle w:val="berschrift4"/>
      </w:pPr>
      <w:r w:rsidRPr="00AF32B2">
        <w:t>3.3.22.8 Funktionale Zeitwerte</w:t>
      </w:r>
    </w:p>
    <w:p w:rsidR="00105178" w:rsidRDefault="00105178" w:rsidP="00105178">
      <w:pPr>
        <w:pStyle w:val="StandardWeb"/>
      </w:pPr>
      <w:r>
        <w:t>Die funktionale Zeitabbildung lautet:</w:t>
      </w:r>
    </w:p>
    <w:p w:rsidR="00105178" w:rsidRDefault="00105178" w:rsidP="00105178">
      <w:pPr>
        <w:pStyle w:val="StandardWeb"/>
      </w:pPr>
      <w:r>
        <w:t>[</w:t>
      </w:r>
      <w:r>
        <w:br/>
        <w:t>\vartheta:</w:t>
      </w:r>
      <w:r>
        <w:br/>
        <w:t>\mathcal{Q}</w:t>
      </w:r>
      <w:r>
        <w:rPr>
          <w:rStyle w:val="Hervorhebung"/>
        </w:rPr>
        <w:t>{F}</w:t>
      </w:r>
      <w:r>
        <w:rPr>
          <w:i/>
          <w:iCs/>
        </w:rPr>
        <w:br/>
      </w:r>
      <w:r>
        <w:rPr>
          <w:rStyle w:val="Hervorhebung"/>
        </w:rPr>
        <w:t>\rightarrow</w:t>
      </w:r>
      <w:r>
        <w:rPr>
          <w:i/>
          <w:iCs/>
        </w:rPr>
        <w:br/>
      </w:r>
      <w:r>
        <w:rPr>
          <w:rStyle w:val="Hervorhebung"/>
        </w:rPr>
        <w:t>\mathbb{T}</w:t>
      </w:r>
      <w:r>
        <w:t>{F}.</w:t>
      </w:r>
      <w:r>
        <w:br/>
        <w:t>\tag{3.4628}</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\vartheta:\mathcal{Q}_{F}\rightarrow\mathbb{T}_{F}\qquad\text{(3.4628)}</w:t>
      </w:r>
    </w:p>
    <w:p w:rsidR="00105178" w:rsidRDefault="00105178" w:rsidP="00105178">
      <w:pPr>
        <w:pStyle w:val="StandardWeb"/>
      </w:pPr>
      <w:r>
        <w:t>Für eine Zustandsklasse gilt:</w:t>
      </w:r>
    </w:p>
    <w:p w:rsidR="00105178" w:rsidRDefault="00105178" w:rsidP="00105178">
      <w:pPr>
        <w:pStyle w:val="StandardWeb"/>
      </w:pPr>
      <w:r>
        <w:t>[</w:t>
      </w:r>
      <w:r>
        <w:br/>
        <w:t>\vartheta</w:t>
      </w:r>
      <w:r>
        <w:br/>
        <w:t>\left(</w:t>
      </w:r>
      <w:r>
        <w:br/>
        <w:t>[\delta]</w:t>
      </w:r>
      <w:r>
        <w:rPr>
          <w:rStyle w:val="Hervorhebung"/>
        </w:rPr>
        <w:t>{!F}</w:t>
      </w:r>
      <w:r>
        <w:rPr>
          <w:i/>
          <w:iCs/>
        </w:rPr>
        <w:br/>
      </w:r>
      <w:r>
        <w:rPr>
          <w:rStyle w:val="Hervorhebung"/>
        </w:rPr>
        <w:t>\right)</w:t>
      </w:r>
      <w:r>
        <w:rPr>
          <w:i/>
          <w:iCs/>
        </w:rPr>
        <w:br/>
      </w:r>
      <w:r>
        <w:rPr>
          <w:rStyle w:val="Hervorhebung"/>
        </w:rPr>
        <w:t>\in</w:t>
      </w:r>
      <w:r>
        <w:rPr>
          <w:i/>
          <w:iCs/>
        </w:rPr>
        <w:br/>
      </w:r>
      <w:r>
        <w:rPr>
          <w:rStyle w:val="Hervorhebung"/>
        </w:rPr>
        <w:t>\mathbb{T}</w:t>
      </w:r>
      <w:r>
        <w:t>{F}.</w:t>
      </w:r>
      <w:r>
        <w:br/>
        <w:t>\tag{3.4629}</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\vartheta\left([\delta]_{\!F}\right)\in\mathbb{T}_{F}\qquad\text{(3.4629)}</w:t>
      </w:r>
    </w:p>
    <w:p w:rsidR="00105178" w:rsidRDefault="00105178" w:rsidP="00105178">
      <w:pPr>
        <w:pStyle w:val="StandardWeb"/>
      </w:pPr>
      <w:r>
        <w:t>Der Typ des Ergebnisses lautet:</w:t>
      </w:r>
    </w:p>
    <w:p w:rsidR="00105178" w:rsidRDefault="00105178" w:rsidP="00105178">
      <w:pPr>
        <w:pStyle w:val="berschrift1"/>
      </w:pPr>
      <w:r>
        <w:t>[</w:t>
      </w:r>
      <w:r>
        <w:br/>
        <w:t>\operatorname{Typ}</w:t>
      </w:r>
      <w:r>
        <w:rPr>
          <w:rStyle w:val="Hervorhebung"/>
        </w:rPr>
        <w:t>{F}</w:t>
      </w:r>
      <w:r>
        <w:rPr>
          <w:i/>
          <w:iCs/>
        </w:rPr>
        <w:br/>
      </w:r>
      <w:r>
        <w:rPr>
          <w:rStyle w:val="Hervorhebung"/>
        </w:rPr>
        <w:t>\left(</w:t>
      </w:r>
      <w:r>
        <w:rPr>
          <w:i/>
          <w:iCs/>
        </w:rPr>
        <w:br/>
      </w:r>
      <w:r>
        <w:rPr>
          <w:rStyle w:val="Hervorhebung"/>
        </w:rPr>
        <w:t>\vartheta([\delta]</w:t>
      </w:r>
      <w:r>
        <w:t>{!F})</w:t>
      </w:r>
      <w:r>
        <w:br/>
        <w:t>\right)</w:t>
      </w:r>
    </w:p>
    <w:p w:rsidR="00105178" w:rsidRDefault="00105178" w:rsidP="00105178">
      <w:pPr>
        <w:pStyle w:val="StandardWeb"/>
      </w:pPr>
      <w:r>
        <w:lastRenderedPageBreak/>
        <w:t>\mathbf{TimeValue}.</w:t>
      </w:r>
      <w:r>
        <w:br/>
        <w:t>\tag{3.4630}</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\operatorname{Typ}_{F}\left(\vartheta([\delta]_{\!F})\right)=\mathbf{TimeValue}\qquad\text{(3.4630)}</w:t>
      </w:r>
    </w:p>
    <w:p w:rsidR="00105178" w:rsidRDefault="00105178" w:rsidP="00105178">
      <w:pPr>
        <w:pStyle w:val="StandardWeb"/>
      </w:pPr>
      <w:r>
        <w:t>Der Ausdruck</w:t>
      </w:r>
    </w:p>
    <w:p w:rsidR="00105178" w:rsidRDefault="00105178" w:rsidP="00105178">
      <w:pPr>
        <w:pStyle w:val="StandardWeb"/>
      </w:pPr>
      <w:r>
        <w:t>[</w:t>
      </w:r>
      <w:r>
        <w:br/>
        <w:t>\vartheta(\delta)</w:t>
      </w:r>
      <w:r>
        <w:br/>
        <w:t>\tag{3.4631}</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\vartheta(\delta)\qquad\text{(3.4631)}</w:t>
      </w:r>
    </w:p>
    <w:p w:rsidR="00105178" w:rsidRDefault="00105178" w:rsidP="00105178">
      <w:pPr>
        <w:pStyle w:val="StandardWeb"/>
      </w:pPr>
      <w:r>
        <w:t>ist in der allgemeinen Definition nicht unmittelbar zulässig, weil (\delta\in\mathcal{S}</w:t>
      </w:r>
      <w:r>
        <w:rPr>
          <w:rStyle w:val="Hervorhebung"/>
        </w:rPr>
        <w:t>{\mathrm{el}}), während (\vartheta) auf (\mathcal{Q}</w:t>
      </w:r>
      <w:r>
        <w:t>{F}) definiert ist.</w:t>
      </w:r>
    </w:p>
    <w:p w:rsidR="00105178" w:rsidRDefault="00105178" w:rsidP="00105178">
      <w:pPr>
        <w:pStyle w:val="StandardWeb"/>
      </w:pPr>
      <w:r>
        <w:t>Typkorrekt lautet die zusammengesetzte Abbildung:</w:t>
      </w:r>
    </w:p>
    <w:p w:rsidR="00105178" w:rsidRDefault="00105178" w:rsidP="00105178">
      <w:pPr>
        <w:pStyle w:val="StandardWeb"/>
      </w:pPr>
      <w:r>
        <w:t>[</w:t>
      </w:r>
      <w:r>
        <w:br/>
        <w:t>\vartheta</w:t>
      </w:r>
      <w:r>
        <w:br/>
        <w:t>\circ</w:t>
      </w:r>
      <w:r>
        <w:br/>
        <w:t>\pi_{F}:</w:t>
      </w:r>
      <w:r>
        <w:br/>
        <w:t>\mathcal{S}</w:t>
      </w:r>
      <w:r>
        <w:rPr>
          <w:rStyle w:val="Hervorhebung"/>
        </w:rPr>
        <w:t>{\mathrm{el}}</w:t>
      </w:r>
      <w:r>
        <w:rPr>
          <w:i/>
          <w:iCs/>
        </w:rPr>
        <w:br/>
      </w:r>
      <w:r>
        <w:rPr>
          <w:rStyle w:val="Hervorhebung"/>
        </w:rPr>
        <w:t>\rightarrow</w:t>
      </w:r>
      <w:r>
        <w:rPr>
          <w:i/>
          <w:iCs/>
        </w:rPr>
        <w:br/>
      </w:r>
      <w:r>
        <w:rPr>
          <w:rStyle w:val="Hervorhebung"/>
        </w:rPr>
        <w:t>\mathbb{T}</w:t>
      </w:r>
      <w:r>
        <w:t>{F}.</w:t>
      </w:r>
      <w:r>
        <w:br/>
        <w:t>\tag{3.4632}</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\vartheta\circ\pi_{F}:\mathcal{S}_{\mathrm{el}}\rightarrow\mathbb{T}_{F}\qquad\text{(3.4632)}</w:t>
      </w:r>
    </w:p>
    <w:p w:rsidR="00105178" w:rsidRDefault="00105178" w:rsidP="00105178">
      <w:pPr>
        <w:pStyle w:val="StandardWeb"/>
      </w:pPr>
      <w:r>
        <w:t>Damit kann für einen elementaren Zustand geschrieben werden:</w:t>
      </w:r>
    </w:p>
    <w:p w:rsidR="00105178" w:rsidRDefault="00105178" w:rsidP="00105178">
      <w:pPr>
        <w:pStyle w:val="StandardWeb"/>
      </w:pPr>
      <w:r>
        <w:t>[</w:t>
      </w:r>
      <w:r>
        <w:br/>
        <w:t>\vartheta</w:t>
      </w:r>
      <w:r>
        <w:br/>
        <w:t>\left(</w:t>
      </w:r>
      <w:r>
        <w:br/>
        <w:t>\pi_{F}(\delta)</w:t>
      </w:r>
      <w:r>
        <w:br/>
        <w:t>\right).</w:t>
      </w:r>
      <w:r>
        <w:br/>
        <w:t>\tag{3.4633}</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lastRenderedPageBreak/>
        <w:t>\vartheta\left(\pi_{F}(\delta)\right)\qquad\text{(3.4633)}</w:t>
      </w:r>
    </w:p>
    <w:p w:rsidR="00105178" w:rsidRDefault="00105178" w:rsidP="00105178">
      <w:pPr>
        <w:pStyle w:val="StandardWeb"/>
      </w:pPr>
      <w:r>
        <w:rPr>
          <w:rStyle w:val="Fett"/>
        </w:rPr>
        <w:t>Eigenleistung des FRZK</w:t>
      </w:r>
    </w:p>
    <w:p w:rsidR="00105178" w:rsidRDefault="00105178" w:rsidP="00105178">
      <w:pPr>
        <w:pStyle w:val="StandardWeb"/>
      </w:pPr>
      <w:r>
        <w:t>Ich lege fest, dass Kurzschreibweisen wie (\vartheta(\delta)) nur dann verwendet werden dürfen, wenn ausdrücklich erklärt wurde, dass damit (\vartheta(\pi_{F}(\delta))) gemeint ist. Ohne diese Festlegung bleibt die Kurzschreibweise typologisch unzulässig.</w:t>
      </w:r>
    </w:p>
    <w:p w:rsidR="00105178" w:rsidRPr="00AF32B2" w:rsidRDefault="00105178" w:rsidP="00AF32B2">
      <w:pPr>
        <w:pStyle w:val="berschrift4"/>
      </w:pPr>
      <w:r w:rsidRPr="00AF32B2">
        <w:t>3.3.22.9 Funktionale Raumstruktur</w:t>
      </w:r>
    </w:p>
    <w:p w:rsidR="00105178" w:rsidRDefault="00105178" w:rsidP="00105178">
      <w:pPr>
        <w:pStyle w:val="StandardWeb"/>
      </w:pPr>
      <w:r>
        <w:t>Die räumliche Nachbarschaftsrelation ist typisiert durch:</w:t>
      </w:r>
    </w:p>
    <w:p w:rsidR="00105178" w:rsidRDefault="00105178" w:rsidP="00105178">
      <w:pPr>
        <w:pStyle w:val="StandardWeb"/>
      </w:pPr>
      <w:r>
        <w:t>[</w:t>
      </w:r>
      <w:r>
        <w:br/>
        <w:t>\mathcal{R}</w:t>
      </w:r>
      <w:r>
        <w:rPr>
          <w:rStyle w:val="Hervorhebung"/>
        </w:rPr>
        <w:t>{\mathrm{sp}}</w:t>
      </w:r>
      <w:r>
        <w:rPr>
          <w:i/>
          <w:iCs/>
        </w:rPr>
        <w:br/>
      </w:r>
      <w:r>
        <w:rPr>
          <w:rStyle w:val="Hervorhebung"/>
        </w:rPr>
        <w:t>\subseteq</w:t>
      </w:r>
      <w:r>
        <w:rPr>
          <w:i/>
          <w:iCs/>
        </w:rPr>
        <w:br/>
      </w:r>
      <w:r>
        <w:rPr>
          <w:rStyle w:val="Hervorhebung"/>
        </w:rPr>
        <w:t>\mathcal{Q}</w:t>
      </w:r>
      <w:r>
        <w:t>{F}</w:t>
      </w:r>
      <w:r>
        <w:br/>
        <w:t>\times</w:t>
      </w:r>
      <w:r>
        <w:br/>
        <w:t>\mathcal{Q}_{F}.</w:t>
      </w:r>
      <w:r>
        <w:br/>
        <w:t>\tag{3.4634}</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\mathcal{R}_{\mathrm{sp}}\subseteq\mathcal{Q}_{F}\times\mathcal{Q}_{F}\qquad\text{(3.4634)}</w:t>
      </w:r>
    </w:p>
    <w:p w:rsidR="00105178" w:rsidRDefault="00105178" w:rsidP="00105178">
      <w:pPr>
        <w:pStyle w:val="StandardWeb"/>
      </w:pPr>
      <w:r>
        <w:t>Für zwei Zustandsklassen ist</w:t>
      </w:r>
    </w:p>
    <w:p w:rsidR="00105178" w:rsidRDefault="00105178" w:rsidP="00105178">
      <w:pPr>
        <w:pStyle w:val="StandardWeb"/>
      </w:pPr>
      <w:r>
        <w:t>[</w:t>
      </w:r>
      <w:r>
        <w:br/>
        <w:t>\left(</w:t>
      </w:r>
      <w:r>
        <w:br/>
        <w:t>[\delta_i]</w:t>
      </w:r>
      <w:r>
        <w:rPr>
          <w:rStyle w:val="Hervorhebung"/>
        </w:rPr>
        <w:t>{!F},</w:t>
      </w:r>
      <w:r>
        <w:rPr>
          <w:i/>
          <w:iCs/>
        </w:rPr>
        <w:br/>
      </w:r>
      <w:r>
        <w:rPr>
          <w:rStyle w:val="Hervorhebung"/>
        </w:rPr>
        <w:t>[\delta_j]</w:t>
      </w:r>
      <w:r>
        <w:t>{!F}</w:t>
      </w:r>
      <w:r>
        <w:br/>
        <w:t>\right)</w:t>
      </w:r>
      <w:r>
        <w:br/>
        <w:t>\in</w:t>
      </w:r>
      <w:r>
        <w:br/>
        <w:t>\mathcal{R}_{\mathrm{sp}}</w:t>
      </w:r>
      <w:r>
        <w:br/>
        <w:t>\tag{3.4635}</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\left([\delta_i]_{\!F},[\delta_j]_{\!F}\right)\in\mathcal{R}_{\mathrm{sp}}\qquad\text{(3.4635)}</w:t>
      </w:r>
    </w:p>
    <w:p w:rsidR="00105178" w:rsidRDefault="00105178" w:rsidP="00105178">
      <w:pPr>
        <w:pStyle w:val="StandardWeb"/>
      </w:pPr>
      <w:r>
        <w:t>typkorrekt.</w:t>
      </w:r>
    </w:p>
    <w:p w:rsidR="00105178" w:rsidRDefault="00105178" w:rsidP="00105178">
      <w:pPr>
        <w:pStyle w:val="StandardWeb"/>
      </w:pPr>
      <w:r>
        <w:t>Die räumliche Distanz lautet:</w:t>
      </w:r>
    </w:p>
    <w:p w:rsidR="00105178" w:rsidRDefault="00105178" w:rsidP="00105178">
      <w:pPr>
        <w:pStyle w:val="StandardWeb"/>
      </w:pPr>
      <w:r>
        <w:t>[</w:t>
      </w:r>
      <w:r>
        <w:br/>
        <w:t>d_{\mathrm{sp}}:</w:t>
      </w:r>
      <w:r>
        <w:br/>
        <w:t>\mathcal{Q}</w:t>
      </w:r>
      <w:r>
        <w:rPr>
          <w:rStyle w:val="Hervorhebung"/>
        </w:rPr>
        <w:t>{F}</w:t>
      </w:r>
      <w:r>
        <w:rPr>
          <w:i/>
          <w:iCs/>
        </w:rPr>
        <w:br/>
      </w:r>
      <w:r>
        <w:rPr>
          <w:rStyle w:val="Hervorhebung"/>
        </w:rPr>
        <w:t>\times</w:t>
      </w:r>
      <w:r>
        <w:rPr>
          <w:i/>
          <w:iCs/>
        </w:rPr>
        <w:br/>
      </w:r>
      <w:r>
        <w:rPr>
          <w:rStyle w:val="Hervorhebung"/>
        </w:rPr>
        <w:t>\mathcal{Q}</w:t>
      </w:r>
      <w:r>
        <w:t>{F}</w:t>
      </w:r>
      <w:r>
        <w:br/>
      </w:r>
      <w:r>
        <w:lastRenderedPageBreak/>
        <w:t>\rightarrow</w:t>
      </w:r>
      <w:r>
        <w:br/>
        <w:t>\mathbb{R}_{\geq0}</w:t>
      </w:r>
      <w:r>
        <w:br/>
        <w:t>\cup</w:t>
      </w:r>
      <w:r>
        <w:br/>
        <w:t>{\infty}.</w:t>
      </w:r>
      <w:r>
        <w:br/>
        <w:t>\tag{3.4636}</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d_{\mathrm{sp}}:\mathcal{Q}_{F}\times\mathcal{Q}_{F}\rightarrow\mathbb{R}_{\geq0}\cup\{\infty\}\qquad\text{(3.4636)}</w:t>
      </w:r>
    </w:p>
    <w:p w:rsidR="00105178" w:rsidRDefault="00105178" w:rsidP="00105178">
      <w:pPr>
        <w:pStyle w:val="StandardWeb"/>
      </w:pPr>
      <w:r>
        <w:t>Damit ist</w:t>
      </w:r>
    </w:p>
    <w:p w:rsidR="00105178" w:rsidRDefault="00105178" w:rsidP="00105178">
      <w:pPr>
        <w:pStyle w:val="StandardWeb"/>
      </w:pPr>
      <w:r>
        <w:t>[</w:t>
      </w:r>
      <w:r>
        <w:br/>
        <w:t>d_{\mathrm{sp}}</w:t>
      </w:r>
      <w:r>
        <w:br/>
        <w:t>\left(</w:t>
      </w:r>
      <w:r>
        <w:br/>
        <w:t>[\delta_i]</w:t>
      </w:r>
      <w:r>
        <w:rPr>
          <w:rStyle w:val="Hervorhebung"/>
        </w:rPr>
        <w:t>{!F},</w:t>
      </w:r>
      <w:r>
        <w:rPr>
          <w:i/>
          <w:iCs/>
        </w:rPr>
        <w:br/>
      </w:r>
      <w:r>
        <w:rPr>
          <w:rStyle w:val="Hervorhebung"/>
        </w:rPr>
        <w:t>[\delta_j]</w:t>
      </w:r>
      <w:r>
        <w:t>{!F}</w:t>
      </w:r>
      <w:r>
        <w:br/>
        <w:t>\right)</w:t>
      </w:r>
      <w:r>
        <w:br/>
        <w:t>\tag{3.4637}</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d_{\mathrm{sp}}\left([\delta_i]_{\!F},[\delta_j]_{\!F}\right)\qquad\text{(3.4637)}</w:t>
      </w:r>
    </w:p>
    <w:p w:rsidR="00105178" w:rsidRDefault="00105178" w:rsidP="00105178">
      <w:pPr>
        <w:pStyle w:val="StandardWeb"/>
      </w:pPr>
      <w:r>
        <w:t>typkorrekt.</w:t>
      </w:r>
    </w:p>
    <w:p w:rsidR="00105178" w:rsidRDefault="00105178" w:rsidP="00105178">
      <w:pPr>
        <w:pStyle w:val="StandardWeb"/>
      </w:pPr>
      <w:r>
        <w:t>Dagegen ist</w:t>
      </w:r>
    </w:p>
    <w:p w:rsidR="00105178" w:rsidRDefault="00105178" w:rsidP="00105178">
      <w:pPr>
        <w:pStyle w:val="StandardWeb"/>
      </w:pPr>
      <w:r>
        <w:t>[</w:t>
      </w:r>
      <w:r>
        <w:br/>
        <w:t>d_{\mathrm{sp}}</w:t>
      </w:r>
      <w:r>
        <w:br/>
        <w:t>\left(</w:t>
      </w:r>
      <w:r>
        <w:br/>
        <w:t>\delta_i,</w:t>
      </w:r>
      <w:r>
        <w:br/>
        <w:t>\delta_j</w:t>
      </w:r>
      <w:r>
        <w:br/>
        <w:t>\right)</w:t>
      </w:r>
      <w:r>
        <w:br/>
        <w:t>\tag{3.4638}</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d_{\mathrm{sp}}\left(\delta_i,\delta_j\right)\qquad\text{(3.4638)}</w:t>
      </w:r>
    </w:p>
    <w:p w:rsidR="00105178" w:rsidRDefault="00105178" w:rsidP="00105178">
      <w:pPr>
        <w:pStyle w:val="StandardWeb"/>
      </w:pPr>
      <w:r>
        <w:t>ohne eine zusätzliche Konvention nicht zulässig.</w:t>
      </w:r>
    </w:p>
    <w:p w:rsidR="00105178" w:rsidRDefault="00105178" w:rsidP="00105178">
      <w:pPr>
        <w:pStyle w:val="StandardWeb"/>
      </w:pPr>
      <w:r>
        <w:t>Die typkorrekte Kurzschlussabbildung lautet:</w:t>
      </w:r>
    </w:p>
    <w:p w:rsidR="00105178" w:rsidRDefault="00105178" w:rsidP="00105178">
      <w:pPr>
        <w:pStyle w:val="berschrift1"/>
      </w:pPr>
      <w:r>
        <w:lastRenderedPageBreak/>
        <w:t>[</w:t>
      </w:r>
      <w:r>
        <w:br/>
        <w:t>d_{\mathrm{sp}}^{\pi}</w:t>
      </w:r>
    </w:p>
    <w:p w:rsidR="00105178" w:rsidRDefault="00105178" w:rsidP="00105178">
      <w:pPr>
        <w:pStyle w:val="StandardWeb"/>
      </w:pPr>
      <w:r>
        <w:t>d_{\mathrm{sp}}</w:t>
      </w:r>
      <w:r>
        <w:br/>
        <w:t>\circ</w:t>
      </w:r>
      <w:r>
        <w:br/>
        <w:t>\left(</w:t>
      </w:r>
      <w:r>
        <w:br/>
        <w:t>\pi_{F}\times\pi_{F}</w:t>
      </w:r>
      <w:r>
        <w:br/>
        <w:t>\right).</w:t>
      </w:r>
      <w:r>
        <w:br/>
        <w:t>\tag{3.4639}</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d_{\mathrm{sp}}^{\pi}=d_{\mathrm{sp}}\circ\left(\pi_{F}\times\pi_{F}\right)\qquad\text{(3.4639)}</w:t>
      </w:r>
    </w:p>
    <w:p w:rsidR="00105178" w:rsidRDefault="00105178" w:rsidP="00105178">
      <w:pPr>
        <w:pStyle w:val="StandardWeb"/>
      </w:pPr>
      <w:r>
        <w:t>Damit gilt:</w:t>
      </w:r>
    </w:p>
    <w:p w:rsidR="00105178" w:rsidRDefault="00105178" w:rsidP="00105178">
      <w:pPr>
        <w:pStyle w:val="berschrift1"/>
      </w:pPr>
      <w:r>
        <w:t>[</w:t>
      </w:r>
      <w:r>
        <w:br/>
        <w:t>d_{\mathrm{sp}}^{\pi}</w:t>
      </w:r>
      <w:r>
        <w:br/>
        <w:t>\left(</w:t>
      </w:r>
      <w:r>
        <w:br/>
        <w:t>\delta_i,\delta_j</w:t>
      </w:r>
      <w:r>
        <w:br/>
        <w:t>\right)</w:t>
      </w:r>
    </w:p>
    <w:p w:rsidR="00105178" w:rsidRDefault="00105178" w:rsidP="00105178">
      <w:pPr>
        <w:pStyle w:val="StandardWeb"/>
      </w:pPr>
      <w:r>
        <w:t>d_{\mathrm{sp}}</w:t>
      </w:r>
      <w:r>
        <w:br/>
        <w:t>\left(</w:t>
      </w:r>
      <w:r>
        <w:br/>
        <w:t>[\delta_i]</w:t>
      </w:r>
      <w:r>
        <w:rPr>
          <w:rStyle w:val="Hervorhebung"/>
        </w:rPr>
        <w:t>{!F},</w:t>
      </w:r>
      <w:r>
        <w:rPr>
          <w:i/>
          <w:iCs/>
        </w:rPr>
        <w:br/>
      </w:r>
      <w:r>
        <w:rPr>
          <w:rStyle w:val="Hervorhebung"/>
        </w:rPr>
        <w:t>[\delta_j]</w:t>
      </w:r>
      <w:r>
        <w:t>{!F}</w:t>
      </w:r>
      <w:r>
        <w:br/>
        <w:t>\right).</w:t>
      </w:r>
      <w:r>
        <w:br/>
        <w:t>\tag{3.4640}</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d_{\mathrm{sp}}^{\pi}\left(\delta_i,\delta_j\right)=d_{\mathrm{sp}}\left([\delta_i]_{\!F},[\delta_j]_{\!F}\right)\qquad\text{(3.4640)}</w:t>
      </w:r>
    </w:p>
    <w:p w:rsidR="00105178" w:rsidRPr="00AF32B2" w:rsidRDefault="00105178" w:rsidP="00AF32B2">
      <w:pPr>
        <w:pStyle w:val="berschrift4"/>
      </w:pPr>
      <w:r w:rsidRPr="00AF32B2">
        <w:t>3.3.22.10 Raumkoordinaten</w:t>
      </w:r>
    </w:p>
    <w:p w:rsidR="00105178" w:rsidRDefault="00105178" w:rsidP="00105178">
      <w:pPr>
        <w:pStyle w:val="StandardWeb"/>
      </w:pPr>
      <w:r>
        <w:t>Eine Raumkarte ist definiert durch:</w:t>
      </w:r>
    </w:p>
    <w:p w:rsidR="00105178" w:rsidRDefault="00105178" w:rsidP="00105178">
      <w:pPr>
        <w:pStyle w:val="StandardWeb"/>
      </w:pPr>
      <w:r>
        <w:t>[</w:t>
      </w:r>
      <w:r>
        <w:br/>
        <w:t>\varphi:</w:t>
      </w:r>
      <w:r>
        <w:br/>
        <w:t>U</w:t>
      </w:r>
      <w:r>
        <w:br/>
        <w:t>\rightarrow</w:t>
      </w:r>
      <w:r>
        <w:br/>
        <w:t>\mathbb{R}^{n},</w:t>
      </w:r>
      <w:r>
        <w:br/>
        <w:t>\qquad</w:t>
      </w:r>
      <w:r>
        <w:br/>
      </w:r>
      <w:r>
        <w:lastRenderedPageBreak/>
        <w:t>U</w:t>
      </w:r>
      <w:r>
        <w:br/>
        <w:t>\subseteq</w:t>
      </w:r>
      <w:r>
        <w:br/>
        <w:t>\mathcal{Q}_{F}.</w:t>
      </w:r>
      <w:r>
        <w:br/>
        <w:t>\tag{3.4641}</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\varphi:U\rightarrow\mathbb{R}^{n},\qquad U\subseteq\mathcal{Q}_{F}\qquad\text{(3.4641)}</w:t>
      </w:r>
    </w:p>
    <w:p w:rsidR="00105178" w:rsidRDefault="00105178" w:rsidP="00105178">
      <w:pPr>
        <w:pStyle w:val="StandardWeb"/>
      </w:pPr>
      <w:r>
        <w:t>Für (x\in U) gilt:</w:t>
      </w:r>
    </w:p>
    <w:p w:rsidR="00105178" w:rsidRDefault="00105178" w:rsidP="00105178">
      <w:pPr>
        <w:pStyle w:val="StandardWeb"/>
      </w:pPr>
      <w:r>
        <w:t>[</w:t>
      </w:r>
      <w:r>
        <w:br/>
        <w:t>\varphi(x)</w:t>
      </w:r>
      <w:r>
        <w:br/>
        <w:t>\in</w:t>
      </w:r>
      <w:r>
        <w:br/>
        <w:t>\mathbb{R}^{n}.</w:t>
      </w:r>
      <w:r>
        <w:br/>
        <w:t>\tag{3.4642}</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\varphi(x)\in\mathbb{R}^{n}\qquad\text{(3.4642)}</w:t>
      </w:r>
    </w:p>
    <w:p w:rsidR="00105178" w:rsidRDefault="00105178" w:rsidP="00105178">
      <w:pPr>
        <w:pStyle w:val="StandardWeb"/>
      </w:pPr>
      <w:r>
        <w:t>Die Koordinate besitzt den Typ:</w:t>
      </w:r>
    </w:p>
    <w:p w:rsidR="00105178" w:rsidRDefault="00105178" w:rsidP="00105178">
      <w:pPr>
        <w:pStyle w:val="berschrift1"/>
      </w:pPr>
      <w:r>
        <w:t>[</w:t>
      </w:r>
      <w:r>
        <w:br/>
        <w:t>\operatorname{Typ}_{F}</w:t>
      </w:r>
      <w:r>
        <w:br/>
        <w:t>\left(</w:t>
      </w:r>
      <w:r>
        <w:br/>
        <w:t>\varphi(x)</w:t>
      </w:r>
      <w:r>
        <w:br/>
        <w:t>\right)</w:t>
      </w:r>
    </w:p>
    <w:p w:rsidR="00105178" w:rsidRDefault="00105178" w:rsidP="00105178">
      <w:pPr>
        <w:pStyle w:val="StandardWeb"/>
      </w:pPr>
      <w:r>
        <w:t>\mathbf{SpaceValue}.</w:t>
      </w:r>
      <w:r>
        <w:br/>
        <w:t>\tag{3.4643}</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\operatorname{Typ}_{F}\left(\varphi(x)\right)=\mathbf{SpaceValue}\qquad\text{(3.4643)}</w:t>
      </w:r>
    </w:p>
    <w:p w:rsidR="00105178" w:rsidRDefault="00105178" w:rsidP="00105178">
      <w:pPr>
        <w:pStyle w:val="StandardWeb"/>
      </w:pPr>
      <w:r>
        <w:t>Zustandsklasse und Koordinate sind nicht identisch:</w:t>
      </w:r>
    </w:p>
    <w:p w:rsidR="00105178" w:rsidRDefault="00105178" w:rsidP="00105178">
      <w:pPr>
        <w:pStyle w:val="StandardWeb"/>
      </w:pPr>
      <w:r>
        <w:t>[</w:t>
      </w:r>
      <w:r>
        <w:br/>
        <w:t>x</w:t>
      </w:r>
      <w:r>
        <w:br/>
        <w:t>\neq</w:t>
      </w:r>
      <w:r>
        <w:br/>
        <w:t>\varphi(x).</w:t>
      </w:r>
      <w:r>
        <w:br/>
      </w:r>
      <w:r>
        <w:lastRenderedPageBreak/>
        <w:t>\tag{3.4644}</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x\neq\varphi(x)\qquad\text{(3.4644)}</w:t>
      </w:r>
    </w:p>
    <w:p w:rsidR="00105178" w:rsidRDefault="00105178" w:rsidP="00105178">
      <w:pPr>
        <w:pStyle w:val="StandardWeb"/>
      </w:pPr>
      <w:r>
        <w:t>Eine Koordinate repräsentiert eine Zustandsklasse innerhalb einer bestimmten Karte. Sie ersetzt die Zustandsklasse nicht [58, 75].</w:t>
      </w:r>
    </w:p>
    <w:p w:rsidR="00105178" w:rsidRPr="00AF32B2" w:rsidRDefault="00105178" w:rsidP="00AF32B2">
      <w:pPr>
        <w:pStyle w:val="berschrift4"/>
      </w:pPr>
      <w:r w:rsidRPr="00AF32B2">
        <w:t>3.3.22.11 Funktionale Raum-Zeit-Zustände</w:t>
      </w:r>
    </w:p>
    <w:p w:rsidR="00105178" w:rsidRDefault="00105178" w:rsidP="00105178">
      <w:pPr>
        <w:pStyle w:val="StandardWeb"/>
      </w:pPr>
      <w:r>
        <w:t>Ein funktionaler Raum-Zeit-Zustand lautet:</w:t>
      </w:r>
    </w:p>
    <w:p w:rsidR="00105178" w:rsidRDefault="00105178" w:rsidP="00105178">
      <w:pPr>
        <w:pStyle w:val="berschrift1"/>
      </w:pPr>
      <w:r>
        <w:t>[</w:t>
      </w:r>
      <w:r>
        <w:br/>
        <w:t>z_{F}(x)</w:t>
      </w:r>
    </w:p>
    <w:p w:rsidR="00105178" w:rsidRDefault="00105178" w:rsidP="00105178">
      <w:pPr>
        <w:pStyle w:val="StandardWeb"/>
      </w:pPr>
      <w:r>
        <w:t>\left(</w:t>
      </w:r>
      <w:r>
        <w:br/>
        <w:t>x,</w:t>
      </w:r>
      <w:r>
        <w:br/>
        <w:t>\vartheta(x)</w:t>
      </w:r>
      <w:r>
        <w:br/>
        <w:t>\right),</w:t>
      </w:r>
      <w:r>
        <w:br/>
        <w:t>\qquad</w:t>
      </w:r>
      <w:r>
        <w:br/>
        <w:t>x\in\mathcal{Q}_{F}.</w:t>
      </w:r>
      <w:r>
        <w:br/>
        <w:t>\tag{3.4645}</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z_{F}(x)=\left(x,\vartheta(x)\right),\qquad x\in\mathcal{Q}_{F}\qquad\text{(3.4645)}</w:t>
      </w:r>
    </w:p>
    <w:p w:rsidR="00105178" w:rsidRDefault="00105178" w:rsidP="00105178">
      <w:pPr>
        <w:pStyle w:val="StandardWeb"/>
      </w:pPr>
      <w:r>
        <w:t>Sein Typ ist:</w:t>
      </w:r>
    </w:p>
    <w:p w:rsidR="00105178" w:rsidRDefault="00105178" w:rsidP="00105178">
      <w:pPr>
        <w:pStyle w:val="berschrift1"/>
      </w:pPr>
      <w:r>
        <w:t>[</w:t>
      </w:r>
      <w:r>
        <w:br/>
        <w:t>\operatorname{Typ}</w:t>
      </w:r>
      <w:r>
        <w:rPr>
          <w:rStyle w:val="Hervorhebung"/>
        </w:rPr>
        <w:t>{F}</w:t>
      </w:r>
      <w:r>
        <w:rPr>
          <w:i/>
          <w:iCs/>
        </w:rPr>
        <w:br/>
      </w:r>
      <w:r>
        <w:rPr>
          <w:rStyle w:val="Hervorhebung"/>
        </w:rPr>
        <w:t>\left(</w:t>
      </w:r>
      <w:r>
        <w:rPr>
          <w:i/>
          <w:iCs/>
        </w:rPr>
        <w:br/>
      </w:r>
      <w:r>
        <w:rPr>
          <w:rStyle w:val="Hervorhebung"/>
        </w:rPr>
        <w:t>z</w:t>
      </w:r>
      <w:r>
        <w:t>{F}(x)</w:t>
      </w:r>
      <w:r>
        <w:br/>
        <w:t>\right)</w:t>
      </w:r>
    </w:p>
    <w:p w:rsidR="00105178" w:rsidRDefault="00105178" w:rsidP="00105178">
      <w:pPr>
        <w:pStyle w:val="StandardWeb"/>
      </w:pPr>
      <w:r>
        <w:t>\mathbf{SpaceTimeState}.</w:t>
      </w:r>
      <w:r>
        <w:br/>
        <w:t>\tag{3.4646}</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lastRenderedPageBreak/>
        <w:t>\operatorname{Typ}_{F}\left(z_{F}(x)\right)=\mathbf{SpaceTimeState}\qquad\text{(3.4646)}</w:t>
      </w:r>
    </w:p>
    <w:p w:rsidR="00105178" w:rsidRDefault="00105178" w:rsidP="00105178">
      <w:pPr>
        <w:pStyle w:val="StandardWeb"/>
      </w:pPr>
      <w:r>
        <w:t>Die Menge funktionaler Raum-Zeit-Zustände erfüllt:</w:t>
      </w:r>
    </w:p>
    <w:p w:rsidR="00105178" w:rsidRDefault="00105178" w:rsidP="00105178">
      <w:pPr>
        <w:pStyle w:val="StandardWeb"/>
      </w:pPr>
      <w:r>
        <w:t>[</w:t>
      </w:r>
      <w:r>
        <w:br/>
        <w:t>\mathcal{Z}</w:t>
      </w:r>
      <w:r>
        <w:rPr>
          <w:rStyle w:val="Hervorhebung"/>
        </w:rPr>
        <w:t>{F}</w:t>
      </w:r>
      <w:r>
        <w:rPr>
          <w:i/>
          <w:iCs/>
        </w:rPr>
        <w:br/>
      </w:r>
      <w:r>
        <w:rPr>
          <w:rStyle w:val="Hervorhebung"/>
        </w:rPr>
        <w:t>\subseteq</w:t>
      </w:r>
      <w:r>
        <w:rPr>
          <w:i/>
          <w:iCs/>
        </w:rPr>
        <w:br/>
      </w:r>
      <w:r>
        <w:rPr>
          <w:rStyle w:val="Hervorhebung"/>
        </w:rPr>
        <w:t>\mathcal{Q}</w:t>
      </w:r>
      <w:r>
        <w:t>{F}</w:t>
      </w:r>
      <w:r>
        <w:br/>
        <w:t>\times</w:t>
      </w:r>
      <w:r>
        <w:br/>
        <w:t>\mathbb{T}_{F}.</w:t>
      </w:r>
      <w:r>
        <w:br/>
        <w:t>\tag{3.4647}</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\mathcal{Z}_{F}\subseteq\mathcal{Q}_{F}\times\mathbb{T}_{F}\qquad\text{(3.4647)}</w:t>
      </w:r>
    </w:p>
    <w:p w:rsidR="00105178" w:rsidRDefault="00105178" w:rsidP="00105178">
      <w:pPr>
        <w:pStyle w:val="StandardWeb"/>
      </w:pPr>
      <w:r>
        <w:t>Damit wäre</w:t>
      </w:r>
    </w:p>
    <w:p w:rsidR="00105178" w:rsidRDefault="00105178" w:rsidP="00105178">
      <w:pPr>
        <w:pStyle w:val="StandardWeb"/>
      </w:pPr>
      <w:r>
        <w:t>[</w:t>
      </w:r>
      <w:r>
        <w:br/>
        <w:t>(\delta,t^{F})</w:t>
      </w:r>
      <w:r>
        <w:br/>
        <w:t>\in</w:t>
      </w:r>
      <w:r>
        <w:br/>
        <w:t>\mathcal{Z}_{F}</w:t>
      </w:r>
      <w:r>
        <w:br/>
        <w:t>\tag{3.4648}</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(\delta,t^{F})\in\mathcal{Z}_{F}\qquad\text{(3.4648)}</w:t>
      </w:r>
    </w:p>
    <w:p w:rsidR="00105178" w:rsidRDefault="00105178" w:rsidP="00105178">
      <w:pPr>
        <w:pStyle w:val="StandardWeb"/>
      </w:pPr>
      <w:r>
        <w:t>nicht typkorrekt, sofern (\delta) ein elementarer Zustand und keine Zustandsklasse ist.</w:t>
      </w:r>
    </w:p>
    <w:p w:rsidR="00105178" w:rsidRDefault="00105178" w:rsidP="00105178">
      <w:pPr>
        <w:pStyle w:val="StandardWeb"/>
      </w:pPr>
      <w:r>
        <w:t>Typkorrekt lautet:</w:t>
      </w:r>
    </w:p>
    <w:p w:rsidR="00105178" w:rsidRDefault="00105178" w:rsidP="00105178">
      <w:pPr>
        <w:pStyle w:val="StandardWeb"/>
      </w:pPr>
      <w:r>
        <w:t>[</w:t>
      </w:r>
      <w:r>
        <w:br/>
        <w:t>\left(</w:t>
      </w:r>
      <w:r>
        <w:br/>
        <w:t>[\delta]</w:t>
      </w:r>
      <w:r>
        <w:rPr>
          <w:rStyle w:val="Hervorhebung"/>
        </w:rPr>
        <w:t>{!F},</w:t>
      </w:r>
      <w:r>
        <w:rPr>
          <w:i/>
          <w:iCs/>
        </w:rPr>
        <w:br/>
      </w:r>
      <w:r>
        <w:rPr>
          <w:rStyle w:val="Hervorhebung"/>
        </w:rPr>
        <w:t>t^{F}</w:t>
      </w:r>
      <w:r>
        <w:rPr>
          <w:i/>
          <w:iCs/>
        </w:rPr>
        <w:br/>
      </w:r>
      <w:r>
        <w:rPr>
          <w:rStyle w:val="Hervorhebung"/>
        </w:rPr>
        <w:t>\right)</w:t>
      </w:r>
      <w:r>
        <w:rPr>
          <w:i/>
          <w:iCs/>
        </w:rPr>
        <w:br/>
      </w:r>
      <w:r>
        <w:rPr>
          <w:rStyle w:val="Hervorhebung"/>
        </w:rPr>
        <w:t>\in</w:t>
      </w:r>
      <w:r>
        <w:rPr>
          <w:i/>
          <w:iCs/>
        </w:rPr>
        <w:br/>
      </w:r>
      <w:r>
        <w:rPr>
          <w:rStyle w:val="Hervorhebung"/>
        </w:rPr>
        <w:t>\mathcal{Z}</w:t>
      </w:r>
      <w:r>
        <w:t>{F}.</w:t>
      </w:r>
      <w:r>
        <w:br/>
        <w:t>\tag{3.4649}</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\left([\delta]_{\!F},t^{F}\right)\in\mathcal{Z}_{F}\qquad\text{(3.4649)}</w:t>
      </w:r>
    </w:p>
    <w:p w:rsidR="00105178" w:rsidRPr="00AF32B2" w:rsidRDefault="00105178" w:rsidP="00AF32B2">
      <w:pPr>
        <w:pStyle w:val="berschrift4"/>
      </w:pPr>
      <w:r w:rsidRPr="00AF32B2">
        <w:t>3.3.22.12 Funktionale Raum-Zeit-Kopplung</w:t>
      </w:r>
    </w:p>
    <w:p w:rsidR="00105178" w:rsidRDefault="00105178" w:rsidP="00105178">
      <w:pPr>
        <w:pStyle w:val="StandardWeb"/>
      </w:pPr>
      <w:r>
        <w:t>Das Kopplungsprädikat ist definiert durch:</w:t>
      </w:r>
    </w:p>
    <w:p w:rsidR="00105178" w:rsidRDefault="00105178" w:rsidP="00105178">
      <w:pPr>
        <w:pStyle w:val="StandardWeb"/>
      </w:pPr>
      <w:r>
        <w:lastRenderedPageBreak/>
        <w:t>[</w:t>
      </w:r>
      <w:r>
        <w:br/>
        <w:t>\kappa_{XT}:</w:t>
      </w:r>
      <w:r>
        <w:br/>
        <w:t>\mathcal{Z}</w:t>
      </w:r>
      <w:r>
        <w:rPr>
          <w:rStyle w:val="Hervorhebung"/>
        </w:rPr>
        <w:t>{F}</w:t>
      </w:r>
      <w:r>
        <w:rPr>
          <w:i/>
          <w:iCs/>
        </w:rPr>
        <w:br/>
      </w:r>
      <w:r>
        <w:rPr>
          <w:rStyle w:val="Hervorhebung"/>
        </w:rPr>
        <w:t>\times</w:t>
      </w:r>
      <w:r>
        <w:rPr>
          <w:i/>
          <w:iCs/>
        </w:rPr>
        <w:br/>
      </w:r>
      <w:r>
        <w:rPr>
          <w:rStyle w:val="Hervorhebung"/>
        </w:rPr>
        <w:t>\mathcal{Z}</w:t>
      </w:r>
      <w:r>
        <w:t>{F}</w:t>
      </w:r>
      <w:r>
        <w:br/>
        <w:t>\rightarrow</w:t>
      </w:r>
      <w:r>
        <w:br/>
        <w:t>{0,1}.</w:t>
      </w:r>
      <w:r>
        <w:br/>
        <w:t>\tag{3.4650}</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\kappa_{XT}:\mathcal{Z}_{F}\times\mathcal{Z}_{F}\rightarrow\{0,1\}\qquad\text{(3.4650)}</w:t>
      </w:r>
    </w:p>
    <w:p w:rsidR="00105178" w:rsidRDefault="00105178" w:rsidP="00105178">
      <w:pPr>
        <w:pStyle w:val="StandardWeb"/>
      </w:pPr>
      <w:r>
        <w:t>Für (z_i,z_j\in\mathcal{Z}_{F}) ist</w:t>
      </w:r>
    </w:p>
    <w:p w:rsidR="00105178" w:rsidRDefault="00105178" w:rsidP="00105178">
      <w:pPr>
        <w:pStyle w:val="StandardWeb"/>
      </w:pPr>
      <w:r>
        <w:t>[</w:t>
      </w:r>
      <w:r>
        <w:br/>
        <w:t>\kappa_{XT}(z_i,z_j)</w:t>
      </w:r>
      <w:r>
        <w:br/>
        <w:t>\tag{3.4651}</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\kappa_{XT}(z_i,z_j)\qquad\text{(3.4651)}</w:t>
      </w:r>
    </w:p>
    <w:p w:rsidR="00105178" w:rsidRDefault="00105178" w:rsidP="00105178">
      <w:pPr>
        <w:pStyle w:val="StandardWeb"/>
      </w:pPr>
      <w:r>
        <w:t>typkorrekt.</w:t>
      </w:r>
    </w:p>
    <w:p w:rsidR="00105178" w:rsidRDefault="00105178" w:rsidP="00105178">
      <w:pPr>
        <w:pStyle w:val="StandardWeb"/>
      </w:pPr>
      <w:r>
        <w:t>Dagegen ist</w:t>
      </w:r>
    </w:p>
    <w:p w:rsidR="00105178" w:rsidRDefault="00105178" w:rsidP="00105178">
      <w:pPr>
        <w:pStyle w:val="StandardWeb"/>
      </w:pPr>
      <w:r>
        <w:t>[</w:t>
      </w:r>
      <w:r>
        <w:br/>
        <w:t>\kappa_{XT}</w:t>
      </w:r>
      <w:r>
        <w:br/>
        <w:t>\left(</w:t>
      </w:r>
      <w:r>
        <w:br/>
        <w:t>\delta_i,\delta_j</w:t>
      </w:r>
      <w:r>
        <w:br/>
        <w:t>\right)</w:t>
      </w:r>
      <w:r>
        <w:br/>
        <w:t>\tag{3.4652}</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\kappa_{XT}\left(\delta_i,\delta_j\right)\qquad\text{(3.4652)}</w:t>
      </w:r>
    </w:p>
    <w:p w:rsidR="00105178" w:rsidRDefault="00105178" w:rsidP="00105178">
      <w:pPr>
        <w:pStyle w:val="StandardWeb"/>
      </w:pPr>
      <w:r>
        <w:t>nicht typkorrekt, weil elementare Zustände keine Raum-Zeit-Zustände sind.</w:t>
      </w:r>
    </w:p>
    <w:p w:rsidR="00105178" w:rsidRDefault="00105178" w:rsidP="00105178">
      <w:pPr>
        <w:pStyle w:val="StandardWeb"/>
      </w:pPr>
      <w:r>
        <w:t>Eine typkorrekte Zusammensetzung wäre:</w:t>
      </w:r>
    </w:p>
    <w:p w:rsidR="00105178" w:rsidRDefault="00105178" w:rsidP="00105178">
      <w:pPr>
        <w:pStyle w:val="berschrift1"/>
      </w:pPr>
      <w:r>
        <w:t>[</w:t>
      </w:r>
      <w:r>
        <w:br/>
        <w:t>\kappa_{XT}^{z}</w:t>
      </w:r>
      <w:r>
        <w:br/>
        <w:t>\left(</w:t>
      </w:r>
      <w:r>
        <w:br/>
      </w:r>
      <w:r>
        <w:lastRenderedPageBreak/>
        <w:t>\delta_i,\delta_j</w:t>
      </w:r>
      <w:r>
        <w:br/>
        <w:t>\right)</w:t>
      </w:r>
    </w:p>
    <w:p w:rsidR="00105178" w:rsidRDefault="00105178" w:rsidP="00105178">
      <w:pPr>
        <w:pStyle w:val="StandardWeb"/>
      </w:pPr>
      <w:r>
        <w:t>\kappa_{XT}</w:t>
      </w:r>
      <w:r>
        <w:br/>
        <w:t>\left(</w:t>
      </w:r>
      <w:r>
        <w:br/>
        <w:t>z_{F}(\pi_{F}(\delta_i)),</w:t>
      </w:r>
      <w:r>
        <w:br/>
        <w:t>z_{F}(\pi_{F}(\delta_j))</w:t>
      </w:r>
      <w:r>
        <w:br/>
        <w:t>\right).</w:t>
      </w:r>
      <w:r>
        <w:br/>
        <w:t>\tag{3.4653}</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\kappa_{XT}^{z}\left(\delta_i,\delta_j\right)=\kappa_{XT}\left(z_{F}(\pi_{F}(\delta_i)),z_{F}(\pi_{F}(\delta_j))\right)\qquad\text{(3.4653)}</w:t>
      </w:r>
    </w:p>
    <w:p w:rsidR="00105178" w:rsidRDefault="00105178" w:rsidP="00105178">
      <w:pPr>
        <w:pStyle w:val="StandardWeb"/>
      </w:pPr>
      <w:r>
        <w:rPr>
          <w:rStyle w:val="Fett"/>
        </w:rPr>
        <w:t>Eigenleistung des FRZK</w:t>
      </w:r>
    </w:p>
    <w:p w:rsidR="00105178" w:rsidRDefault="00105178" w:rsidP="00105178">
      <w:pPr>
        <w:pStyle w:val="StandardWeb"/>
      </w:pPr>
      <w:r>
        <w:t>Ich unterscheide die Kopplungsprüfung elementarer Zustände von der eigentlichen Raum-Zeit-Kopplung. Elementare Zustände müssen zunächst in Zustandsklassen und anschließend in Raum-Zeit-Zustände überführt werden.</w:t>
      </w:r>
    </w:p>
    <w:p w:rsidR="00105178" w:rsidRPr="00AF32B2" w:rsidRDefault="00105178" w:rsidP="00AF32B2">
      <w:pPr>
        <w:pStyle w:val="berschrift4"/>
      </w:pPr>
      <w:r w:rsidRPr="00AF32B2">
        <w:t>3.3.22.13 Funktionale Kohärenz</w:t>
      </w:r>
    </w:p>
    <w:p w:rsidR="00105178" w:rsidRDefault="00105178" w:rsidP="00105178">
      <w:pPr>
        <w:pStyle w:val="StandardWeb"/>
      </w:pPr>
      <w:r>
        <w:t>Ein Kohärenzprädikat wirkt nicht notwendig auf einzelnen Zuständen, sondern auf einer ausdrücklich bestimmten Strukturklasse:</w:t>
      </w:r>
    </w:p>
    <w:p w:rsidR="00105178" w:rsidRDefault="00105178" w:rsidP="00105178">
      <w:pPr>
        <w:pStyle w:val="StandardWeb"/>
      </w:pPr>
      <w:r>
        <w:t>[</w:t>
      </w:r>
      <w:r>
        <w:br/>
        <w:t>\operatorname{Koh}</w:t>
      </w:r>
      <w:r>
        <w:rPr>
          <w:rStyle w:val="Hervorhebung"/>
        </w:rPr>
        <w:t>{\mathcal{C}}:</w:t>
      </w:r>
      <w:r>
        <w:rPr>
          <w:i/>
          <w:iCs/>
        </w:rPr>
        <w:br/>
      </w:r>
      <w:r>
        <w:rPr>
          <w:rStyle w:val="Hervorhebung"/>
        </w:rPr>
        <w:t>\mathfrak{D}</w:t>
      </w:r>
      <w:r>
        <w:t>{\mathcal{C}}</w:t>
      </w:r>
      <w:r>
        <w:br/>
        <w:t>\rightarrow</w:t>
      </w:r>
      <w:r>
        <w:br/>
        <w:t>{0,1}.</w:t>
      </w:r>
      <w:r>
        <w:br/>
        <w:t>\tag{3.4654}</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\operatorname{Koh}_{\mathcal{C}}:\mathfrak{D}_{\mathcal{C}}\rightarrow\{0,1\}\qquad\text{(3.4654)}</w:t>
      </w:r>
    </w:p>
    <w:p w:rsidR="00105178" w:rsidRDefault="00105178" w:rsidP="00105178">
      <w:pPr>
        <w:pStyle w:val="StandardWeb"/>
      </w:pPr>
      <w:r>
        <w:t>Dabei bezeichnet (\mathfrak{D}_{\mathcal{C}}) den Definitionsbereich des jeweiligen Kohärenzprädikats.</w:t>
      </w:r>
    </w:p>
    <w:p w:rsidR="00105178" w:rsidRDefault="00105178" w:rsidP="00105178">
      <w:pPr>
        <w:pStyle w:val="StandardWeb"/>
      </w:pPr>
      <w:r>
        <w:t>Für eine Struktur (\mathfrak{G}\in\mathfrak{D}_{\mathcal{C}}) gilt:</w:t>
      </w:r>
    </w:p>
    <w:p w:rsidR="00105178" w:rsidRDefault="00105178" w:rsidP="00105178">
      <w:pPr>
        <w:pStyle w:val="StandardWeb"/>
      </w:pPr>
      <w:r>
        <w:t>[</w:t>
      </w:r>
      <w:r>
        <w:br/>
        <w:t>\operatorname{Koh}_{\mathcal{C}}</w:t>
      </w:r>
      <w:r>
        <w:br/>
        <w:t>\left(</w:t>
      </w:r>
      <w:r>
        <w:br/>
        <w:t>\mathfrak{G}</w:t>
      </w:r>
      <w:r>
        <w:br/>
        <w:t>\right)</w:t>
      </w:r>
      <w:r>
        <w:br/>
      </w:r>
      <w:r>
        <w:lastRenderedPageBreak/>
        <w:t>\in</w:t>
      </w:r>
      <w:r>
        <w:br/>
        <w:t>{0,1}.</w:t>
      </w:r>
      <w:r>
        <w:br/>
        <w:t>\tag{3.4655}</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\operatorname{Koh}_{\mathcal{C}}\left(\mathfrak{G}\right)\in\{0,1\}\qquad\text{(3.4655)}</w:t>
      </w:r>
    </w:p>
    <w:p w:rsidR="00105178" w:rsidRDefault="00105178" w:rsidP="00105178">
      <w:pPr>
        <w:pStyle w:val="StandardWeb"/>
      </w:pPr>
      <w:r>
        <w:t>Ein quantitativer Kohärenzgrad kann dagegen typisiert sein durch:</w:t>
      </w:r>
    </w:p>
    <w:p w:rsidR="00105178" w:rsidRDefault="00105178" w:rsidP="00105178">
      <w:pPr>
        <w:pStyle w:val="StandardWeb"/>
      </w:pPr>
      <w:r>
        <w:t>[</w:t>
      </w:r>
      <w:r>
        <w:br/>
        <w:t>K_{\mathcal{C}}:</w:t>
      </w:r>
      <w:r>
        <w:br/>
        <w:t>\mathfrak{D}_{\mathcal{C}}</w:t>
      </w:r>
      <w:r>
        <w:br/>
        <w:t>\rightarrow</w:t>
      </w:r>
      <w:r>
        <w:br/>
        <w:t>[0,1].</w:t>
      </w:r>
      <w:r>
        <w:br/>
        <w:t>\tag{3.4656}</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K_{\mathcal{C}}:\mathfrak{D}_{\mathcal{C}}\rightarrow[0,1]\qquad\text{(3.4656)}</w:t>
      </w:r>
    </w:p>
    <w:p w:rsidR="00105178" w:rsidRDefault="00105178" w:rsidP="00105178">
      <w:pPr>
        <w:pStyle w:val="StandardWeb"/>
      </w:pPr>
      <w:r>
        <w:t>Der Ergebnistyp lautet:</w:t>
      </w:r>
    </w:p>
    <w:p w:rsidR="00105178" w:rsidRDefault="00105178" w:rsidP="00105178">
      <w:pPr>
        <w:pStyle w:val="berschrift1"/>
      </w:pPr>
      <w:r>
        <w:t>[</w:t>
      </w:r>
      <w:r>
        <w:br/>
        <w:t>\operatorname{Typ}</w:t>
      </w:r>
      <w:r>
        <w:rPr>
          <w:rStyle w:val="Hervorhebung"/>
        </w:rPr>
        <w:t>{F}</w:t>
      </w:r>
      <w:r>
        <w:rPr>
          <w:i/>
          <w:iCs/>
        </w:rPr>
        <w:br/>
      </w:r>
      <w:r>
        <w:rPr>
          <w:rStyle w:val="Hervorhebung"/>
        </w:rPr>
        <w:t>\left(</w:t>
      </w:r>
      <w:r>
        <w:rPr>
          <w:i/>
          <w:iCs/>
        </w:rPr>
        <w:br/>
      </w:r>
      <w:r>
        <w:rPr>
          <w:rStyle w:val="Hervorhebung"/>
        </w:rPr>
        <w:t>K</w:t>
      </w:r>
      <w:r>
        <w:t>{\mathcal{C}}(\mathfrak{G})</w:t>
      </w:r>
      <w:r>
        <w:br/>
        <w:t>\right)</w:t>
      </w:r>
    </w:p>
    <w:p w:rsidR="00105178" w:rsidRDefault="00105178" w:rsidP="00105178">
      <w:pPr>
        <w:pStyle w:val="StandardWeb"/>
      </w:pPr>
      <w:r>
        <w:t>\mathbf{CoherenceValue}.</w:t>
      </w:r>
      <w:r>
        <w:br/>
        <w:t>\tag{3.4657}</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\operatorname{Typ}_{F}\left(K_{\mathcal{C}}(\mathfrak{G})\right)=\mathbf{CoherenceValue}\qquad\text{(3.4657)}</w:t>
      </w:r>
    </w:p>
    <w:p w:rsidR="00105178" w:rsidRDefault="00105178" w:rsidP="00105178">
      <w:pPr>
        <w:pStyle w:val="StandardWeb"/>
      </w:pPr>
      <w:r>
        <w:t>Ein Kohärenzwert darf nicht ohne Kalibrierung als Zeit- oder Distanzwert interpretiert werden:</w:t>
      </w:r>
    </w:p>
    <w:p w:rsidR="00105178" w:rsidRDefault="00105178" w:rsidP="00105178">
      <w:pPr>
        <w:pStyle w:val="StandardWeb"/>
      </w:pPr>
      <w:r>
        <w:t>[</w:t>
      </w:r>
      <w:r>
        <w:br/>
        <w:t>K_{\mathcal{C}}(\mathfrak{G})</w:t>
      </w:r>
      <w:r>
        <w:br/>
        <w:t>\neq</w:t>
      </w:r>
      <w:r>
        <w:br/>
      </w:r>
      <w:r>
        <w:lastRenderedPageBreak/>
        <w:t>\vartheta(x)</w:t>
      </w:r>
      <w:r>
        <w:br/>
        <w:t>\tag{3.4658}</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K_{\mathcal{C}}(\mathfrak{G})\neq\vartheta(x)\qquad\text{(3.4658)}</w:t>
      </w:r>
    </w:p>
    <w:p w:rsidR="00105178" w:rsidRDefault="00105178" w:rsidP="00105178">
      <w:pPr>
        <w:pStyle w:val="StandardWeb"/>
      </w:pPr>
      <w:r>
        <w:t>im Sinne unterschiedlicher Typen.</w:t>
      </w:r>
    </w:p>
    <w:p w:rsidR="00105178" w:rsidRPr="00AF32B2" w:rsidRDefault="00105178" w:rsidP="00AF32B2">
      <w:pPr>
        <w:pStyle w:val="berschrift4"/>
      </w:pPr>
      <w:r w:rsidRPr="00AF32B2">
        <w:t>3.3.22.14 Empirische Beobachtungswerte</w:t>
      </w:r>
    </w:p>
    <w:p w:rsidR="00105178" w:rsidRDefault="00105178" w:rsidP="00105178">
      <w:pPr>
        <w:pStyle w:val="StandardWeb"/>
      </w:pPr>
      <w:r>
        <w:t>Der empirische Datenbereich lautet:</w:t>
      </w:r>
    </w:p>
    <w:p w:rsidR="00105178" w:rsidRDefault="00105178" w:rsidP="00105178">
      <w:pPr>
        <w:pStyle w:val="StandardWeb"/>
      </w:pPr>
      <w:r>
        <w:t>[</w:t>
      </w:r>
      <w:r>
        <w:br/>
        <w:t>\mathcal{D}_{\mathrm{emp}}.</w:t>
      </w:r>
      <w:r>
        <w:br/>
        <w:t>\tag{3.4659}</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\mathcal{D}_{\mathrm{emp}}\qquad\text{(3.4659)}</w:t>
      </w:r>
    </w:p>
    <w:p w:rsidR="00105178" w:rsidRDefault="00105178" w:rsidP="00105178">
      <w:pPr>
        <w:pStyle w:val="StandardWeb"/>
      </w:pPr>
      <w:r>
        <w:t>Für einen empirischen Datenwert (d) gilt:</w:t>
      </w:r>
    </w:p>
    <w:p w:rsidR="00105178" w:rsidRDefault="00105178" w:rsidP="00105178">
      <w:pPr>
        <w:pStyle w:val="StandardWeb"/>
      </w:pPr>
      <w:r>
        <w:t>[</w:t>
      </w:r>
      <w:r>
        <w:br/>
        <w:t>d</w:t>
      </w:r>
      <w:r>
        <w:br/>
        <w:t>\in</w:t>
      </w:r>
      <w:r>
        <w:br/>
        <w:t>\mathcal{D}_{\mathrm{emp}}.</w:t>
      </w:r>
      <w:r>
        <w:br/>
        <w:t>\tag{3.4660}</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d\in\mathcal{D}_{\mathrm{emp}}\qquad\text{(3.4660)}</w:t>
      </w:r>
    </w:p>
    <w:p w:rsidR="00105178" w:rsidRDefault="00105178" w:rsidP="00105178">
      <w:pPr>
        <w:pStyle w:val="StandardWeb"/>
      </w:pPr>
      <w:r>
        <w:t>Seine Typzuordnung lautet:</w:t>
      </w:r>
    </w:p>
    <w:p w:rsidR="00105178" w:rsidRDefault="00105178" w:rsidP="00105178">
      <w:pPr>
        <w:pStyle w:val="berschrift1"/>
      </w:pPr>
      <w:r>
        <w:t>[</w:t>
      </w:r>
      <w:r>
        <w:br/>
        <w:t>\operatorname{Typ}_{F}(d)</w:t>
      </w:r>
    </w:p>
    <w:p w:rsidR="00105178" w:rsidRDefault="00105178" w:rsidP="00105178">
      <w:pPr>
        <w:pStyle w:val="StandardWeb"/>
      </w:pPr>
      <w:r>
        <w:t>\mathbf{EmpiricalValue}.</w:t>
      </w:r>
      <w:r>
        <w:br/>
        <w:t>\tag{3.4661}</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\operatorname{Typ}_{F}(d)=\mathbf{EmpiricalValue}\qquad\text{(3.4661)}</w:t>
      </w:r>
    </w:p>
    <w:p w:rsidR="00105178" w:rsidRDefault="00105178" w:rsidP="00105178">
      <w:pPr>
        <w:pStyle w:val="StandardWeb"/>
      </w:pPr>
      <w:r>
        <w:t>Empirische Daten sind nicht automatisch funktionale Zustände:</w:t>
      </w:r>
    </w:p>
    <w:p w:rsidR="00105178" w:rsidRDefault="00105178" w:rsidP="00105178">
      <w:pPr>
        <w:pStyle w:val="StandardWeb"/>
      </w:pPr>
      <w:r>
        <w:lastRenderedPageBreak/>
        <w:t>[</w:t>
      </w:r>
      <w:r>
        <w:br/>
        <w:t>d</w:t>
      </w:r>
      <w:r>
        <w:br/>
        <w:t>\neq</w:t>
      </w:r>
      <w:r>
        <w:br/>
        <w:t>\delta.</w:t>
      </w:r>
      <w:r>
        <w:br/>
        <w:t>\tag{3.4662}</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d\neq\delta\qquad\text{(3.4662)}</w:t>
      </w:r>
    </w:p>
    <w:p w:rsidR="00105178" w:rsidRDefault="00105178" w:rsidP="00105178">
      <w:pPr>
        <w:pStyle w:val="StandardWeb"/>
      </w:pPr>
      <w:r>
        <w:t>Eine Zuordnung erfordert eine Beobachtungsabbildung:</w:t>
      </w:r>
    </w:p>
    <w:p w:rsidR="00105178" w:rsidRDefault="00105178" w:rsidP="00105178">
      <w:pPr>
        <w:pStyle w:val="StandardWeb"/>
      </w:pPr>
      <w:r>
        <w:t>[</w:t>
      </w:r>
      <w:r>
        <w:br/>
        <w:t>\mathcal{O}</w:t>
      </w:r>
      <w:r>
        <w:rPr>
          <w:rStyle w:val="Hervorhebung"/>
        </w:rPr>
        <w:t>{F}:</w:t>
      </w:r>
      <w:r>
        <w:rPr>
          <w:i/>
          <w:iCs/>
        </w:rPr>
        <w:br/>
      </w:r>
      <w:r>
        <w:rPr>
          <w:rStyle w:val="Hervorhebung"/>
        </w:rPr>
        <w:t>\mathcal{D}</w:t>
      </w:r>
      <w:r>
        <w:t>{\mathrm{emp}}</w:t>
      </w:r>
      <w:r>
        <w:br/>
        <w:t>\rightarrow</w:t>
      </w:r>
      <w:r>
        <w:br/>
        <w:t>\mathcal{S}_{\mathrm{el}}</w:t>
      </w:r>
      <w:r>
        <w:br/>
        <w:t>\tag{3.4663}</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\mathcal{O}_{F}:\mathcal{D}_{\mathrm{emp}}\rightarrow\mathcal{S}_{\mathrm{el}}\qquad\text{(3.4663)}</w:t>
      </w:r>
    </w:p>
    <w:p w:rsidR="00105178" w:rsidRDefault="00105178" w:rsidP="00105178">
      <w:pPr>
        <w:pStyle w:val="StandardWeb"/>
      </w:pPr>
      <w:r>
        <w:t>oder allgemeiner:</w:t>
      </w:r>
    </w:p>
    <w:p w:rsidR="00105178" w:rsidRDefault="00105178" w:rsidP="00105178">
      <w:pPr>
        <w:pStyle w:val="StandardWeb"/>
      </w:pPr>
      <w:r>
        <w:t>[</w:t>
      </w:r>
      <w:r>
        <w:br/>
        <w:t>\mathcal{O}</w:t>
      </w:r>
      <w:r>
        <w:rPr>
          <w:rStyle w:val="Hervorhebung"/>
        </w:rPr>
        <w:t>{F}:</w:t>
      </w:r>
      <w:r>
        <w:rPr>
          <w:i/>
          <w:iCs/>
        </w:rPr>
        <w:br/>
      </w:r>
      <w:r>
        <w:rPr>
          <w:rStyle w:val="Hervorhebung"/>
        </w:rPr>
        <w:t>\mathcal{D}</w:t>
      </w:r>
      <w:r>
        <w:t>{\mathrm{emp}}</w:t>
      </w:r>
      <w:r>
        <w:br/>
        <w:t>\rightarrow</w:t>
      </w:r>
      <w:r>
        <w:br/>
        <w:t>\mathfrak{F}_{\mathrm{RZK}}.</w:t>
      </w:r>
      <w:r>
        <w:br/>
        <w:t>\tag{3.4664}</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\mathcal{O}_{F}:\mathcal{D}_{\mathrm{emp}}\rightarrow\mathfrak{F}_{\mathrm{RZK}}\qquad\text{(3.4664)}</w:t>
      </w:r>
    </w:p>
    <w:p w:rsidR="00105178" w:rsidRDefault="00105178" w:rsidP="00105178">
      <w:pPr>
        <w:pStyle w:val="StandardWeb"/>
      </w:pPr>
      <w:r>
        <w:rPr>
          <w:rStyle w:val="Fett"/>
        </w:rPr>
        <w:t>Eigenleistung des FRZK</w:t>
      </w:r>
    </w:p>
    <w:p w:rsidR="00105178" w:rsidRDefault="00105178" w:rsidP="00105178">
      <w:pPr>
        <w:pStyle w:val="StandardWeb"/>
      </w:pPr>
      <w:r>
        <w:t>Ich behandle Messwerte, Textdaten, Beobachtungsgrößen oder numerische Merkmale nicht als bereits gegebene FRZK-Zustände. Erst eine dokumentierte Beobachtungs- oder Operationalisierungsabbildung erzeugt eine funktionale Repräsentation.</w:t>
      </w:r>
    </w:p>
    <w:p w:rsidR="00105178" w:rsidRPr="00AF32B2" w:rsidRDefault="00105178" w:rsidP="00AF32B2">
      <w:pPr>
        <w:pStyle w:val="berschrift4"/>
      </w:pPr>
      <w:r w:rsidRPr="00AF32B2">
        <w:t>3.3.22.15 Physikalische Kalibrierung</w:t>
      </w:r>
    </w:p>
    <w:p w:rsidR="00105178" w:rsidRDefault="00105178" w:rsidP="00105178">
      <w:pPr>
        <w:pStyle w:val="StandardWeb"/>
      </w:pPr>
      <w:r>
        <w:t>Eine funktionale Zeitkalibrierung besitzt den Typ:</w:t>
      </w:r>
    </w:p>
    <w:p w:rsidR="00105178" w:rsidRDefault="00105178" w:rsidP="00105178">
      <w:pPr>
        <w:pStyle w:val="StandardWeb"/>
      </w:pPr>
      <w:r>
        <w:lastRenderedPageBreak/>
        <w:t>[</w:t>
      </w:r>
      <w:r>
        <w:br/>
        <w:t>\chi:</w:t>
      </w:r>
      <w:r>
        <w:br/>
        <w:t>\mathbb{T}</w:t>
      </w:r>
      <w:r>
        <w:rPr>
          <w:rStyle w:val="Hervorhebung"/>
        </w:rPr>
        <w:t>{F}</w:t>
      </w:r>
      <w:r>
        <w:rPr>
          <w:i/>
          <w:iCs/>
        </w:rPr>
        <w:br/>
      </w:r>
      <w:r>
        <w:rPr>
          <w:rStyle w:val="Hervorhebung"/>
        </w:rPr>
        <w:t>\rightarrow</w:t>
      </w:r>
      <w:r>
        <w:rPr>
          <w:i/>
          <w:iCs/>
        </w:rPr>
        <w:br/>
      </w:r>
      <w:r>
        <w:rPr>
          <w:rStyle w:val="Hervorhebung"/>
        </w:rPr>
        <w:t>\mathbb{T}</w:t>
      </w:r>
      <w:r>
        <w:t>{\mathrm{phys}}.</w:t>
      </w:r>
      <w:r>
        <w:br/>
        <w:t>\tag{3.4665}</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\chi:\mathbb{T}_{F}\rightarrow\mathbb{T}_{\mathrm{phys}}\qquad\text{(3.4665)}</w:t>
      </w:r>
    </w:p>
    <w:p w:rsidR="00105178" w:rsidRDefault="00105178" w:rsidP="00105178">
      <w:pPr>
        <w:pStyle w:val="StandardWeb"/>
      </w:pPr>
      <w:r>
        <w:t>Eine funktionale Raumkalibrierung besitzt den Typ:</w:t>
      </w:r>
    </w:p>
    <w:p w:rsidR="00105178" w:rsidRDefault="00105178" w:rsidP="00105178">
      <w:pPr>
        <w:pStyle w:val="StandardWeb"/>
      </w:pPr>
      <w:r>
        <w:t>[</w:t>
      </w:r>
      <w:r>
        <w:br/>
        <w:t>\psi:</w:t>
      </w:r>
      <w:r>
        <w:br/>
        <w:t>\mathfrak{X}</w:t>
      </w:r>
      <w:r>
        <w:rPr>
          <w:rStyle w:val="Hervorhebung"/>
        </w:rPr>
        <w:t>{F}</w:t>
      </w:r>
      <w:r>
        <w:rPr>
          <w:i/>
          <w:iCs/>
        </w:rPr>
        <w:br/>
      </w:r>
      <w:r>
        <w:rPr>
          <w:rStyle w:val="Hervorhebung"/>
        </w:rPr>
        <w:t>\rightarrow</w:t>
      </w:r>
      <w:r>
        <w:rPr>
          <w:i/>
          <w:iCs/>
        </w:rPr>
        <w:br/>
      </w:r>
      <w:r>
        <w:rPr>
          <w:rStyle w:val="Hervorhebung"/>
        </w:rPr>
        <w:t>\mathfrak{X}</w:t>
      </w:r>
      <w:r>
        <w:t>{\mathrm{phys}}.</w:t>
      </w:r>
      <w:r>
        <w:br/>
        <w:t>\tag{3.4666}</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\psi:\mathfrak{X}_{F}\rightarrow\mathfrak{X}_{\mathrm{phys}}\qquad\text{(3.4666)}</w:t>
      </w:r>
    </w:p>
    <w:p w:rsidR="00105178" w:rsidRDefault="00105178" w:rsidP="00105178">
      <w:pPr>
        <w:pStyle w:val="StandardWeb"/>
      </w:pPr>
      <w:r>
        <w:t>Eine gemeinsame Raum-Zeit-Kalibrierung lautet:</w:t>
      </w:r>
    </w:p>
    <w:p w:rsidR="00105178" w:rsidRDefault="00105178" w:rsidP="00105178">
      <w:pPr>
        <w:pStyle w:val="StandardWeb"/>
      </w:pPr>
      <w:r>
        <w:t>[</w:t>
      </w:r>
      <w:r>
        <w:br/>
        <w:t>\Omega:</w:t>
      </w:r>
      <w:r>
        <w:br/>
        <w:t>\mathcal{Z}</w:t>
      </w:r>
      <w:r>
        <w:rPr>
          <w:rStyle w:val="Hervorhebung"/>
        </w:rPr>
        <w:t>{F}</w:t>
      </w:r>
      <w:r>
        <w:rPr>
          <w:i/>
          <w:iCs/>
        </w:rPr>
        <w:br/>
      </w:r>
      <w:r>
        <w:rPr>
          <w:rStyle w:val="Hervorhebung"/>
        </w:rPr>
        <w:t>\rightarrow</w:t>
      </w:r>
      <w:r>
        <w:rPr>
          <w:i/>
          <w:iCs/>
        </w:rPr>
        <w:br/>
      </w:r>
      <w:r>
        <w:rPr>
          <w:rStyle w:val="Hervorhebung"/>
        </w:rPr>
        <w:t>\mathcal{Z}</w:t>
      </w:r>
      <w:r>
        <w:t>{\mathrm{phys}}.</w:t>
      </w:r>
      <w:r>
        <w:br/>
        <w:t>\tag{3.4667}</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\Omega:\mathcal{Z}_{F}\rightarrow\mathcal{Z}_{\mathrm{phys}}\qquad\text{(3.4667)}</w:t>
      </w:r>
    </w:p>
    <w:p w:rsidR="00105178" w:rsidRDefault="00105178" w:rsidP="00105178">
      <w:pPr>
        <w:pStyle w:val="StandardWeb"/>
      </w:pPr>
      <w:r>
        <w:t>Ohne diese Abbildungen darf nicht geschrieben werden:</w:t>
      </w:r>
    </w:p>
    <w:p w:rsidR="00105178" w:rsidRDefault="00105178" w:rsidP="00105178">
      <w:pPr>
        <w:pStyle w:val="berschrift1"/>
      </w:pPr>
      <w:r>
        <w:t>[</w:t>
      </w:r>
      <w:r>
        <w:br/>
        <w:t>t^{F}</w:t>
      </w:r>
    </w:p>
    <w:p w:rsidR="00105178" w:rsidRDefault="00105178" w:rsidP="00105178">
      <w:pPr>
        <w:pStyle w:val="StandardWeb"/>
      </w:pPr>
      <w:r>
        <w:t>t^{\mathrm{phys}}</w:t>
      </w:r>
      <w:r>
        <w:br/>
        <w:t>\tag{3.4668}</w:t>
      </w:r>
      <w:r>
        <w:br/>
        <w:t>]</w:t>
      </w:r>
    </w:p>
    <w:p w:rsidR="00105178" w:rsidRDefault="00105178" w:rsidP="00105178">
      <w:pPr>
        <w:pStyle w:val="StandardWeb"/>
      </w:pPr>
      <w:r>
        <w:rPr>
          <w:rStyle w:val="Fett"/>
        </w:rPr>
        <w:lastRenderedPageBreak/>
        <w:t>Word-LaTeX</w:t>
      </w:r>
    </w:p>
    <w:p w:rsidR="00105178" w:rsidRDefault="00105178" w:rsidP="00105178">
      <w:pPr>
        <w:pStyle w:val="HTMLVorformatiert"/>
        <w:rPr>
          <w:rStyle w:val="HTMLCode"/>
        </w:rPr>
      </w:pPr>
      <w:r>
        <w:rPr>
          <w:rStyle w:val="HTMLCode"/>
        </w:rPr>
        <w:t>t^{F}=t^{\mathrm{phys}}\qquad\text{(3.4668)}</w:t>
      </w:r>
    </w:p>
    <w:p w:rsidR="00105178" w:rsidRDefault="00105178" w:rsidP="00105178">
      <w:pPr>
        <w:pStyle w:val="StandardWeb"/>
      </w:pPr>
      <w:r>
        <w:t>oder</w:t>
      </w:r>
    </w:p>
    <w:p w:rsidR="00105178" w:rsidRDefault="00105178" w:rsidP="00105178">
      <w:pPr>
        <w:pStyle w:val="berschrift1"/>
      </w:pPr>
      <w:r>
        <w:t>[</w:t>
      </w:r>
      <w:r>
        <w:br/>
        <w:t>x^{F}</w:t>
      </w:r>
    </w:p>
    <w:p w:rsidR="00105178" w:rsidRDefault="00105178" w:rsidP="00105178">
      <w:pPr>
        <w:pStyle w:val="StandardWeb"/>
      </w:pPr>
      <w:r>
        <w:t>x^{\mathrm{phys}}.</w:t>
      </w:r>
      <w:r>
        <w:br/>
        <w:t>\tag{3.4669}</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x^{F}=x^{\mathrm{phys}}\qquad\text{(3.4669)}</w:t>
      </w:r>
    </w:p>
    <w:p w:rsidR="00105178" w:rsidRDefault="00105178" w:rsidP="00105178">
      <w:pPr>
        <w:pStyle w:val="StandardWeb"/>
      </w:pPr>
      <w:r>
        <w:t>Die typkorrekte Form lautet vielmehr:</w:t>
      </w:r>
    </w:p>
    <w:p w:rsidR="00105178" w:rsidRDefault="00105178" w:rsidP="00105178">
      <w:pPr>
        <w:pStyle w:val="berschrift1"/>
      </w:pPr>
      <w:r>
        <w:t>[</w:t>
      </w:r>
      <w:r>
        <w:br/>
        <w:t>t^{\mathrm{phys}}</w:t>
      </w:r>
    </w:p>
    <w:p w:rsidR="00105178" w:rsidRDefault="00105178" w:rsidP="00105178">
      <w:pPr>
        <w:pStyle w:val="StandardWeb"/>
      </w:pPr>
      <w:r>
        <w:t>\chi(t^{F})</w:t>
      </w:r>
      <w:r>
        <w:br/>
        <w:t>\tag{3.4670}</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t^{\mathrm{phys}}=\chi(t^{F})\qquad\text{(3.4670)}</w:t>
      </w:r>
    </w:p>
    <w:p w:rsidR="00105178" w:rsidRDefault="00105178" w:rsidP="00105178">
      <w:pPr>
        <w:pStyle w:val="StandardWeb"/>
      </w:pPr>
      <w:r>
        <w:t>beziehungsweise</w:t>
      </w:r>
    </w:p>
    <w:p w:rsidR="00105178" w:rsidRDefault="00105178" w:rsidP="00105178">
      <w:pPr>
        <w:pStyle w:val="berschrift1"/>
      </w:pPr>
      <w:r>
        <w:t>[</w:t>
      </w:r>
      <w:r>
        <w:br/>
        <w:t>x^{\mathrm{phys}}</w:t>
      </w:r>
    </w:p>
    <w:p w:rsidR="00105178" w:rsidRDefault="00105178" w:rsidP="00105178">
      <w:pPr>
        <w:pStyle w:val="StandardWeb"/>
      </w:pPr>
      <w:r>
        <w:t>\psi(x^{F}).</w:t>
      </w:r>
      <w:r>
        <w:br/>
        <w:t>\tag{3.4671}</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x^{\mathrm{phys}}=\psi(x^{F})\qquad\text{(3.4671)}</w:t>
      </w:r>
    </w:p>
    <w:p w:rsidR="00105178" w:rsidRDefault="00105178" w:rsidP="00105178">
      <w:pPr>
        <w:pStyle w:val="StandardWeb"/>
      </w:pPr>
      <w:r>
        <w:t>Diese Unterscheidung verhindert, dass formale FRZK-Größen unbemerkt als empirisch gemessene physikalische Größen behandelt werden [58, 59].</w:t>
      </w:r>
    </w:p>
    <w:p w:rsidR="00105178" w:rsidRPr="00AF32B2" w:rsidRDefault="00105178" w:rsidP="00AF32B2">
      <w:pPr>
        <w:pStyle w:val="berschrift4"/>
      </w:pPr>
      <w:r w:rsidRPr="00AF32B2">
        <w:t>3.3.22.16 Definition der FRZK-Typmatrix</w:t>
      </w:r>
    </w:p>
    <w:p w:rsidR="00105178" w:rsidRDefault="00105178" w:rsidP="00105178">
      <w:pPr>
        <w:pStyle w:val="StandardWeb"/>
      </w:pPr>
      <w:r>
        <w:rPr>
          <w:rStyle w:val="Fett"/>
        </w:rPr>
        <w:lastRenderedPageBreak/>
        <w:t>Definition 3.3.14 – FRZK-Typmatrix</w:t>
      </w:r>
    </w:p>
    <w:p w:rsidR="00105178" w:rsidRDefault="00105178" w:rsidP="00105178">
      <w:pPr>
        <w:pStyle w:val="StandardWeb"/>
      </w:pPr>
      <w:r>
        <w:t>Die FRZK-Typmatrix ist eine Zuordnung</w:t>
      </w:r>
    </w:p>
    <w:p w:rsidR="00105178" w:rsidRDefault="00105178" w:rsidP="00105178">
      <w:pPr>
        <w:pStyle w:val="StandardWeb"/>
      </w:pPr>
      <w:r>
        <w:t>[</w:t>
      </w:r>
      <w:r>
        <w:br/>
        <w:t>\mathfrak{M}</w:t>
      </w:r>
      <w:r>
        <w:rPr>
          <w:rStyle w:val="Hervorhebung"/>
        </w:rPr>
        <w:t>{\mathrm{Typ}}</w:t>
      </w:r>
      <w:r>
        <w:rPr>
          <w:i/>
          <w:iCs/>
        </w:rPr>
        <w:br/>
      </w:r>
      <w:r>
        <w:rPr>
          <w:rStyle w:val="Hervorhebung"/>
        </w:rPr>
        <w:t>:</w:t>
      </w:r>
      <w:r>
        <w:rPr>
          <w:i/>
          <w:iCs/>
        </w:rPr>
        <w:br/>
      </w:r>
      <w:r>
        <w:rPr>
          <w:rStyle w:val="Hervorhebung"/>
        </w:rPr>
        <w:t>\mathfrak{U}</w:t>
      </w:r>
      <w:r>
        <w:t>{F}</w:t>
      </w:r>
      <w:r>
        <w:br/>
        <w:t>\rightarrow</w:t>
      </w:r>
      <w:r>
        <w:br/>
        <w:t>\left(</w:t>
      </w:r>
      <w:r>
        <w:br/>
        <w:t>\mathfrak{Y}_{F},</w:t>
      </w:r>
      <w:r>
        <w:br/>
        <w:t>\operatorname{Dom},</w:t>
      </w:r>
      <w:r>
        <w:br/>
        <w:t>\operatorname{Cod},</w:t>
      </w:r>
      <w:r>
        <w:br/>
        <w:t>\operatorname{Op}</w:t>
      </w:r>
      <w:r>
        <w:br/>
        <w:t>\right),</w:t>
      </w:r>
      <w:r>
        <w:br/>
        <w:t>\tag{3.4672}</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\mathfrak{M}_{\mathrm{Typ}}:\mathfrak{U}_{F}\rightarrow\left(\mathfrak{Y}_{F},\operatorname{Dom},\operatorname{Cod},\operatorname{Op}\right)\qquad\text{(3.4672)}</w:t>
      </w:r>
    </w:p>
    <w:p w:rsidR="00105178" w:rsidRDefault="00105178" w:rsidP="00105178">
      <w:pPr>
        <w:pStyle w:val="StandardWeb"/>
      </w:pPr>
      <w:r>
        <w:t>die jedem FRZK-Objekt folgende Angaben zuordnet:</w:t>
      </w:r>
    </w:p>
    <w:p w:rsidR="00105178" w:rsidRDefault="00105178" w:rsidP="00632D23">
      <w:pPr>
        <w:pStyle w:val="StandardWeb"/>
        <w:numPr>
          <w:ilvl w:val="0"/>
          <w:numId w:val="106"/>
        </w:numPr>
      </w:pPr>
      <w:r>
        <w:t>seinen formalen Typ,</w:t>
      </w:r>
    </w:p>
    <w:p w:rsidR="00105178" w:rsidRDefault="00105178" w:rsidP="00632D23">
      <w:pPr>
        <w:pStyle w:val="StandardWeb"/>
        <w:numPr>
          <w:ilvl w:val="0"/>
          <w:numId w:val="106"/>
        </w:numPr>
      </w:pPr>
      <w:r>
        <w:t>seinen Definitionsbereich,</w:t>
      </w:r>
    </w:p>
    <w:p w:rsidR="00105178" w:rsidRDefault="00105178" w:rsidP="00632D23">
      <w:pPr>
        <w:pStyle w:val="StandardWeb"/>
        <w:numPr>
          <w:ilvl w:val="0"/>
          <w:numId w:val="106"/>
        </w:numPr>
      </w:pPr>
      <w:r>
        <w:t>seinen Ziel- oder Wertebereich,</w:t>
      </w:r>
    </w:p>
    <w:p w:rsidR="00105178" w:rsidRDefault="00105178" w:rsidP="00632D23">
      <w:pPr>
        <w:pStyle w:val="StandardWeb"/>
        <w:numPr>
          <w:ilvl w:val="0"/>
          <w:numId w:val="106"/>
        </w:numPr>
      </w:pPr>
      <w:r>
        <w:t>die auf ihm zulässigen Operationen.</w:t>
      </w:r>
    </w:p>
    <w:p w:rsidR="00105178" w:rsidRDefault="00105178" w:rsidP="00105178">
      <w:pPr>
        <w:pStyle w:val="StandardWeb"/>
      </w:pPr>
      <w:r>
        <w:t>Für ein Objekt (x) lautet der Matrixeintrag:</w:t>
      </w:r>
    </w:p>
    <w:p w:rsidR="00105178" w:rsidRDefault="00105178" w:rsidP="00105178">
      <w:pPr>
        <w:pStyle w:val="berschrift1"/>
      </w:pPr>
      <w:r>
        <w:t>[</w:t>
      </w:r>
      <w:r>
        <w:br/>
        <w:t>\mathfrak{M}_{\mathrm{Typ}}(x)</w:t>
      </w:r>
    </w:p>
    <w:p w:rsidR="00105178" w:rsidRDefault="00105178" w:rsidP="00105178">
      <w:pPr>
        <w:pStyle w:val="StandardWeb"/>
      </w:pPr>
      <w:r>
        <w:t>\left(</w:t>
      </w:r>
      <w:r>
        <w:br/>
        <w:t>\operatorname{Typ}</w:t>
      </w:r>
      <w:r>
        <w:rPr>
          <w:rStyle w:val="Hervorhebung"/>
        </w:rPr>
        <w:t>{F}(x),</w:t>
      </w:r>
      <w:r>
        <w:rPr>
          <w:i/>
          <w:iCs/>
        </w:rPr>
        <w:br/>
      </w:r>
      <w:r>
        <w:rPr>
          <w:rStyle w:val="Hervorhebung"/>
        </w:rPr>
        <w:t>\operatorname{dom}(x),</w:t>
      </w:r>
      <w:r>
        <w:rPr>
          <w:i/>
          <w:iCs/>
        </w:rPr>
        <w:br/>
      </w:r>
      <w:r>
        <w:rPr>
          <w:rStyle w:val="Hervorhebung"/>
        </w:rPr>
        <w:t>\operatorname{cod}(x),</w:t>
      </w:r>
      <w:r>
        <w:rPr>
          <w:i/>
          <w:iCs/>
        </w:rPr>
        <w:br/>
      </w:r>
      <w:r>
        <w:rPr>
          <w:rStyle w:val="Hervorhebung"/>
        </w:rPr>
        <w:t>\operatorname{Op}</w:t>
      </w:r>
      <w:r>
        <w:t>{F}(x)</w:t>
      </w:r>
      <w:r>
        <w:br/>
        <w:t>\right).</w:t>
      </w:r>
      <w:r>
        <w:br/>
        <w:t>\tag{3.4673}</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\mathfrak{M}_{\mathrm{Typ}}(x)=\left(\operatorname{Typ}_{F}(x),\operatorname{dom}(x),\operatorname{cod}(x),\operatorname{Op}_{F}(x)\right)\qquad\text{(3.4673)}</w:t>
      </w:r>
    </w:p>
    <w:p w:rsidR="00105178" w:rsidRDefault="00105178" w:rsidP="00105178">
      <w:pPr>
        <w:pStyle w:val="StandardWeb"/>
      </w:pPr>
      <w:r>
        <w:lastRenderedPageBreak/>
        <w:t>Für Objekte, die keine Abbildungen sind, können Definitions- und Zielbereich durch ihre Trägermenge oder relationale Grundmenge ersetzt werden.</w:t>
      </w:r>
    </w:p>
    <w:p w:rsidR="00105178" w:rsidRPr="00AF32B2" w:rsidRDefault="00105178" w:rsidP="00AF32B2">
      <w:pPr>
        <w:pStyle w:val="berschrift4"/>
      </w:pPr>
      <w:r w:rsidRPr="00AF32B2">
        <w:t>3.3.22.17 Kompakte Typmatrix</w:t>
      </w:r>
    </w:p>
    <w:p w:rsidR="00105178" w:rsidRDefault="00105178" w:rsidP="00105178">
      <w:pPr>
        <w:pStyle w:val="StandardWeb"/>
      </w:pPr>
      <w:r>
        <w:t>Die zentralen FRZK-Objekte lassen sich wie folgt zusammenfassen:</w:t>
      </w:r>
    </w:p>
    <w:p w:rsidR="00105178" w:rsidRDefault="00105178" w:rsidP="00105178">
      <w:pPr>
        <w:pStyle w:val="berschrift2"/>
      </w:pPr>
      <w:r>
        <w:t>[</w:t>
      </w:r>
      <w:r>
        <w:br/>
        <w:t>\begin{array}{c|c|c|c}</w:t>
      </w:r>
      <w:r>
        <w:br/>
        <w:t>\text{Objekt}</w:t>
      </w:r>
      <w:r>
        <w:br/>
        <w:t>&amp;</w:t>
      </w:r>
      <w:r>
        <w:br/>
        <w:t>\text{Typ}</w:t>
      </w:r>
      <w:r>
        <w:br/>
        <w:t>&amp;</w:t>
      </w:r>
      <w:r>
        <w:br/>
        <w:t>\text{Definitionsbereich}</w:t>
      </w:r>
      <w:r>
        <w:br/>
        <w:t>&amp;</w:t>
      </w:r>
      <w:r>
        <w:br/>
        <w:t>\text{Ziel- oder Trägerbereich}</w:t>
      </w:r>
      <w:r>
        <w:br/>
        <w:t>\</w:t>
      </w:r>
      <w:r>
        <w:br/>
        <w:t>\hline</w:t>
      </w:r>
      <w:r>
        <w:br/>
        <w:t>\delta</w:t>
      </w:r>
      <w:r>
        <w:br/>
        <w:t>&amp;</w:t>
      </w:r>
      <w:r>
        <w:br/>
        <w:t>\mathbf{State}</w:t>
      </w:r>
      <w:r>
        <w:br/>
        <w:t>&amp;</w:t>
      </w:r>
    </w:p>
    <w:p w:rsidR="00105178" w:rsidRDefault="00105178" w:rsidP="00105178">
      <w:pPr>
        <w:pStyle w:val="berschrift2"/>
      </w:pPr>
      <w:r>
        <w:t>&amp;</w:t>
      </w:r>
      <w:r>
        <w:br/>
        <w:t>\mathcal{S}</w:t>
      </w:r>
      <w:r>
        <w:rPr>
          <w:rStyle w:val="Hervorhebung"/>
        </w:rPr>
        <w:t>{\mathrm{el}}</w:t>
      </w:r>
      <w:r>
        <w:rPr>
          <w:i/>
          <w:iCs/>
        </w:rPr>
        <w:br/>
      </w:r>
      <w:r>
        <w:rPr>
          <w:rStyle w:val="Hervorhebung"/>
        </w:rPr>
        <w:t>\</w:t>
      </w:r>
      <w:r>
        <w:rPr>
          <w:i/>
          <w:iCs/>
        </w:rPr>
        <w:br/>
      </w:r>
      <w:r>
        <w:rPr>
          <w:rStyle w:val="Hervorhebung"/>
        </w:rPr>
        <w:t>[\delta]</w:t>
      </w:r>
      <w:r>
        <w:t>{!F}</w:t>
      </w:r>
      <w:r>
        <w:br/>
        <w:t>&amp;</w:t>
      </w:r>
      <w:r>
        <w:br/>
        <w:t>\mathbf{Class}</w:t>
      </w:r>
      <w:r>
        <w:br/>
        <w:t>&amp;</w:t>
      </w:r>
    </w:p>
    <w:p w:rsidR="00105178" w:rsidRDefault="00105178" w:rsidP="00105178">
      <w:pPr>
        <w:pStyle w:val="StandardWeb"/>
      </w:pPr>
      <w:r>
        <w:t>&amp;</w:t>
      </w:r>
      <w:r>
        <w:br/>
        <w:t>\mathcal{Q}</w:t>
      </w:r>
      <w:r>
        <w:rPr>
          <w:rStyle w:val="Hervorhebung"/>
        </w:rPr>
        <w:t>{F}</w:t>
      </w:r>
      <w:r>
        <w:rPr>
          <w:i/>
          <w:iCs/>
        </w:rPr>
        <w:br/>
      </w:r>
      <w:r>
        <w:rPr>
          <w:rStyle w:val="Hervorhebung"/>
        </w:rPr>
        <w:t>\</w:t>
      </w:r>
      <w:r>
        <w:rPr>
          <w:i/>
          <w:iCs/>
        </w:rPr>
        <w:br/>
      </w:r>
      <w:r>
        <w:rPr>
          <w:rStyle w:val="Hervorhebung"/>
        </w:rPr>
        <w:t>R</w:t>
      </w:r>
      <w:r>
        <w:rPr>
          <w:i/>
          <w:iCs/>
        </w:rPr>
        <w:br/>
      </w:r>
      <w:r>
        <w:rPr>
          <w:rStyle w:val="Hervorhebung"/>
        </w:rPr>
        <w:t>&amp;</w:t>
      </w:r>
      <w:r>
        <w:rPr>
          <w:i/>
          <w:iCs/>
        </w:rPr>
        <w:br/>
      </w:r>
      <w:r>
        <w:rPr>
          <w:rStyle w:val="Hervorhebung"/>
        </w:rPr>
        <w:t>\mathbf{Relation}</w:t>
      </w:r>
      <w:r>
        <w:rPr>
          <w:i/>
          <w:iCs/>
        </w:rPr>
        <w:br/>
      </w:r>
      <w:r>
        <w:rPr>
          <w:rStyle w:val="Hervorhebung"/>
        </w:rPr>
        <w:t>&amp;</w:t>
      </w:r>
      <w:r>
        <w:rPr>
          <w:i/>
          <w:iCs/>
        </w:rPr>
        <w:br/>
      </w:r>
      <w:r>
        <w:rPr>
          <w:rStyle w:val="Hervorhebung"/>
        </w:rPr>
        <w:t>\mathcal{S}</w:t>
      </w:r>
      <w:r>
        <w:t>{\mathrm{el}}\times\mathcal{S}</w:t>
      </w:r>
      <w:r>
        <w:rPr>
          <w:rStyle w:val="Hervorhebung"/>
        </w:rPr>
        <w:t>{\mathrm{el}}</w:t>
      </w:r>
      <w:r>
        <w:rPr>
          <w:i/>
          <w:iCs/>
        </w:rPr>
        <w:br/>
      </w:r>
      <w:r>
        <w:rPr>
          <w:rStyle w:val="Hervorhebung"/>
        </w:rPr>
        <w:lastRenderedPageBreak/>
        <w:t>&amp;</w:t>
      </w:r>
      <w:r>
        <w:rPr>
          <w:i/>
          <w:iCs/>
        </w:rPr>
        <w:br/>
      </w:r>
      <w:r>
        <w:rPr>
          <w:rStyle w:val="Hervorhebung"/>
        </w:rPr>
        <w:t>{0,1}</w:t>
      </w:r>
      <w:r>
        <w:rPr>
          <w:i/>
          <w:iCs/>
        </w:rPr>
        <w:br/>
      </w:r>
      <w:r>
        <w:rPr>
          <w:rStyle w:val="Hervorhebung"/>
        </w:rPr>
        <w:t>\</w:t>
      </w:r>
      <w:r>
        <w:rPr>
          <w:i/>
          <w:iCs/>
        </w:rPr>
        <w:br/>
      </w:r>
      <w:r>
        <w:rPr>
          <w:rStyle w:val="Hervorhebung"/>
        </w:rPr>
        <w:t>T</w:t>
      </w:r>
      <w:r>
        <w:rPr>
          <w:i/>
          <w:iCs/>
        </w:rPr>
        <w:br/>
      </w:r>
      <w:r>
        <w:rPr>
          <w:rStyle w:val="Hervorhebung"/>
        </w:rPr>
        <w:t>&amp;</w:t>
      </w:r>
      <w:r>
        <w:rPr>
          <w:i/>
          <w:iCs/>
        </w:rPr>
        <w:br/>
      </w:r>
      <w:r>
        <w:rPr>
          <w:rStyle w:val="Hervorhebung"/>
        </w:rPr>
        <w:t>\mathbf{Transformation}</w:t>
      </w:r>
      <w:r>
        <w:rPr>
          <w:i/>
          <w:iCs/>
        </w:rPr>
        <w:br/>
      </w:r>
      <w:r>
        <w:rPr>
          <w:rStyle w:val="Hervorhebung"/>
        </w:rPr>
        <w:t>&amp;</w:t>
      </w:r>
      <w:r>
        <w:rPr>
          <w:i/>
          <w:iCs/>
        </w:rPr>
        <w:br/>
      </w:r>
      <w:r>
        <w:rPr>
          <w:rStyle w:val="Hervorhebung"/>
        </w:rPr>
        <w:t>\mathcal{S}</w:t>
      </w:r>
      <w:r>
        <w:t>{\mathrm{el}}</w:t>
      </w:r>
      <w:r>
        <w:br/>
        <w:t>&amp;</w:t>
      </w:r>
      <w:r>
        <w:br/>
        <w:t>\mathcal{S}</w:t>
      </w:r>
      <w:r>
        <w:rPr>
          <w:rStyle w:val="Hervorhebung"/>
        </w:rPr>
        <w:t>{\mathrm{el}}</w:t>
      </w:r>
      <w:r>
        <w:rPr>
          <w:i/>
          <w:iCs/>
        </w:rPr>
        <w:br/>
      </w:r>
      <w:r>
        <w:rPr>
          <w:rStyle w:val="Hervorhebung"/>
        </w:rPr>
        <w:t>\</w:t>
      </w:r>
      <w:r>
        <w:rPr>
          <w:i/>
          <w:iCs/>
        </w:rPr>
        <w:br/>
      </w:r>
      <w:r>
        <w:rPr>
          <w:rStyle w:val="Hervorhebung"/>
        </w:rPr>
        <w:t>\vartheta</w:t>
      </w:r>
      <w:r>
        <w:rPr>
          <w:i/>
          <w:iCs/>
        </w:rPr>
        <w:br/>
      </w:r>
      <w:r>
        <w:rPr>
          <w:rStyle w:val="Hervorhebung"/>
        </w:rPr>
        <w:t>&amp;</w:t>
      </w:r>
      <w:r>
        <w:rPr>
          <w:i/>
          <w:iCs/>
        </w:rPr>
        <w:br/>
      </w:r>
      <w:r>
        <w:rPr>
          <w:rStyle w:val="Hervorhebung"/>
        </w:rPr>
        <w:t>\mathbf{TimeValue}</w:t>
      </w:r>
      <w:r>
        <w:rPr>
          <w:i/>
          <w:iCs/>
        </w:rPr>
        <w:br/>
      </w:r>
      <w:r>
        <w:rPr>
          <w:rStyle w:val="Hervorhebung"/>
        </w:rPr>
        <w:t>&amp;</w:t>
      </w:r>
      <w:r>
        <w:rPr>
          <w:i/>
          <w:iCs/>
        </w:rPr>
        <w:br/>
      </w:r>
      <w:r>
        <w:rPr>
          <w:rStyle w:val="Hervorhebung"/>
        </w:rPr>
        <w:t>\mathcal{Q}</w:t>
      </w:r>
      <w:r>
        <w:t>{F}</w:t>
      </w:r>
      <w:r>
        <w:br/>
        <w:t>&amp;</w:t>
      </w:r>
      <w:r>
        <w:br/>
        <w:t>\mathbb{T}</w:t>
      </w:r>
      <w:r>
        <w:rPr>
          <w:rStyle w:val="Hervorhebung"/>
        </w:rPr>
        <w:t>{F}</w:t>
      </w:r>
      <w:r>
        <w:rPr>
          <w:i/>
          <w:iCs/>
        </w:rPr>
        <w:br/>
      </w:r>
      <w:r>
        <w:rPr>
          <w:rStyle w:val="Hervorhebung"/>
        </w:rPr>
        <w:t>\</w:t>
      </w:r>
      <w:r>
        <w:rPr>
          <w:i/>
          <w:iCs/>
        </w:rPr>
        <w:br/>
      </w:r>
      <w:r>
        <w:rPr>
          <w:rStyle w:val="Hervorhebung"/>
        </w:rPr>
        <w:t>d</w:t>
      </w:r>
      <w:r>
        <w:t>{\mathrm{sp}}</w:t>
      </w:r>
      <w:r>
        <w:br/>
        <w:t>&amp;</w:t>
      </w:r>
      <w:r>
        <w:br/>
        <w:t>\mathbf{SpaceValue}</w:t>
      </w:r>
      <w:r>
        <w:br/>
        <w:t>&amp;</w:t>
      </w:r>
      <w:r>
        <w:br/>
        <w:t>\mathcal{Q}</w:t>
      </w:r>
      <w:r>
        <w:rPr>
          <w:rStyle w:val="Hervorhebung"/>
        </w:rPr>
        <w:t>{F}\times\mathcal{Q}</w:t>
      </w:r>
      <w:r>
        <w:t>{F}</w:t>
      </w:r>
      <w:r>
        <w:br/>
        <w:t>&amp;</w:t>
      </w:r>
      <w:r>
        <w:br/>
        <w:t>\mathbb{R}</w:t>
      </w:r>
      <w:r>
        <w:rPr>
          <w:rStyle w:val="Hervorhebung"/>
        </w:rPr>
        <w:t>{\geq0}\cup{\infty}</w:t>
      </w:r>
      <w:r>
        <w:rPr>
          <w:i/>
          <w:iCs/>
        </w:rPr>
        <w:br/>
      </w:r>
      <w:r>
        <w:rPr>
          <w:rStyle w:val="Hervorhebung"/>
        </w:rPr>
        <w:t>\</w:t>
      </w:r>
      <w:r>
        <w:rPr>
          <w:i/>
          <w:iCs/>
        </w:rPr>
        <w:br/>
      </w:r>
      <w:r>
        <w:rPr>
          <w:rStyle w:val="Hervorhebung"/>
        </w:rPr>
        <w:t>z_F</w:t>
      </w:r>
      <w:r>
        <w:rPr>
          <w:i/>
          <w:iCs/>
        </w:rPr>
        <w:br/>
      </w:r>
      <w:r>
        <w:rPr>
          <w:rStyle w:val="Hervorhebung"/>
        </w:rPr>
        <w:t>&amp;</w:t>
      </w:r>
      <w:r>
        <w:rPr>
          <w:i/>
          <w:iCs/>
        </w:rPr>
        <w:br/>
      </w:r>
      <w:r>
        <w:rPr>
          <w:rStyle w:val="Hervorhebung"/>
        </w:rPr>
        <w:t>\mathbf{SpaceTimeState}</w:t>
      </w:r>
      <w:r>
        <w:rPr>
          <w:i/>
          <w:iCs/>
        </w:rPr>
        <w:br/>
      </w:r>
      <w:r>
        <w:rPr>
          <w:rStyle w:val="Hervorhebung"/>
        </w:rPr>
        <w:t>&amp;</w:t>
      </w:r>
      <w:r>
        <w:rPr>
          <w:i/>
          <w:iCs/>
        </w:rPr>
        <w:br/>
      </w:r>
      <w:r>
        <w:rPr>
          <w:rStyle w:val="Hervorhebung"/>
        </w:rPr>
        <w:t>\mathcal{Q}</w:t>
      </w:r>
      <w:r>
        <w:t>{F}</w:t>
      </w:r>
      <w:r>
        <w:br/>
        <w:t>&amp;</w:t>
      </w:r>
      <w:r>
        <w:br/>
        <w:t>\mathcal{Z}</w:t>
      </w:r>
      <w:r>
        <w:rPr>
          <w:rStyle w:val="Hervorhebung"/>
        </w:rPr>
        <w:t>{F}</w:t>
      </w:r>
      <w:r>
        <w:rPr>
          <w:i/>
          <w:iCs/>
        </w:rPr>
        <w:br/>
      </w:r>
      <w:r>
        <w:rPr>
          <w:rStyle w:val="Hervorhebung"/>
        </w:rPr>
        <w:t>\</w:t>
      </w:r>
      <w:r>
        <w:rPr>
          <w:i/>
          <w:iCs/>
        </w:rPr>
        <w:br/>
      </w:r>
      <w:r>
        <w:rPr>
          <w:rStyle w:val="Hervorhebung"/>
        </w:rPr>
        <w:t>\kappa</w:t>
      </w:r>
      <w:r>
        <w:t>{XT}</w:t>
      </w:r>
      <w:r>
        <w:br/>
        <w:t>&amp;</w:t>
      </w:r>
      <w:r>
        <w:br/>
        <w:t>\mathbf{Relation}</w:t>
      </w:r>
      <w:r>
        <w:br/>
        <w:t>&amp;</w:t>
      </w:r>
      <w:r>
        <w:br/>
        <w:t>\mathcal{Z}</w:t>
      </w:r>
      <w:r>
        <w:rPr>
          <w:rStyle w:val="Hervorhebung"/>
        </w:rPr>
        <w:t>{F}\times\mathcal{Z}</w:t>
      </w:r>
      <w:r>
        <w:t>{F}</w:t>
      </w:r>
      <w:r>
        <w:br/>
        <w:t>&amp;</w:t>
      </w:r>
      <w:r>
        <w:br/>
        <w:t>{0,1}</w:t>
      </w:r>
      <w:r>
        <w:br/>
        <w:t>\</w:t>
      </w:r>
      <w:r>
        <w:br/>
        <w:t>K_{\mathcal{C}}</w:t>
      </w:r>
      <w:r>
        <w:br/>
        <w:t>&amp;</w:t>
      </w:r>
      <w:r>
        <w:br/>
        <w:t>\mathbf{CoherenceValue}</w:t>
      </w:r>
      <w:r>
        <w:br/>
        <w:t>&amp;</w:t>
      </w:r>
      <w:r>
        <w:br/>
        <w:t>\mathfrak{D}_{\mathcal{C}}</w:t>
      </w:r>
      <w:r>
        <w:br/>
        <w:t>&amp;</w:t>
      </w:r>
      <w:r>
        <w:br/>
        <w:t>[0,1]</w:t>
      </w:r>
      <w:r>
        <w:br/>
        <w:t>\end{array}</w:t>
      </w:r>
      <w:r>
        <w:br/>
      </w:r>
      <w:r>
        <w:lastRenderedPageBreak/>
        <w:t>\tag{3.4674}</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\begin{array}{c|c|c|c}\text{Objekt}&amp;\text{Typ}&amp;\text{Definitionsbereich}&amp;\text{Ziel- oder Trägerbereich}\\\hline\delta&amp;\mathbf{State}&amp;-&amp;\mathcal{S}_{\mathrm{el}}\\[\delta]_{\!F}&amp;\mathbf{Class}&amp;-&amp;\mathcal{Q}_{F}\\R&amp;\mathbf{Relation}&amp;\mathcal{S}_{\mathrm{el}}\times\mathcal{S}_{\mathrm{el}}&amp;\{0,1\}\\T&amp;\mathbf{Transformation}&amp;\mathcal{S}_{\mathrm{el}}&amp;\mathcal{S}_{\mathrm{el}}\\\vartheta&amp;\mathbf{TimeValue}&amp;\mathcal{Q}_{F}&amp;\mathbb{T}_{F}\\d_{\mathrm{sp}}&amp;\mathbf{SpaceValue}&amp;\mathcal{Q}_{F}\times\mathcal{Q}_{F}&amp;\mathbb{R}_{\geq0}\cup\{\infty\}\\z_F&amp;\mathbf{SpaceTimeState}&amp;\mathcal{Q}_{F}&amp;\mathcal{Z}_{F}\\\kappa_{XT}&amp;\mathbf{Relation}&amp;\mathcal{Z}_{F}\times\mathcal{Z}_{F}&amp;\{0,1\}\\K_{\mathcal{C}}&amp;\mathbf{CoherenceValue}&amp;\mathfrak{D}_{\mathcal{C}}&amp;[0,1]\end{array}\qquad\text{(3.4674)}</w:t>
      </w:r>
    </w:p>
    <w:p w:rsidR="00105178" w:rsidRDefault="00105178" w:rsidP="00105178">
      <w:pPr>
        <w:pStyle w:val="StandardWeb"/>
      </w:pPr>
      <w:r>
        <w:t>Die Tabelle dient als verbindliche Referenz für sämtliche weiteren Definitionen und Herleitungen.</w:t>
      </w:r>
    </w:p>
    <w:p w:rsidR="00105178" w:rsidRPr="00AF32B2" w:rsidRDefault="00105178" w:rsidP="00AF32B2">
      <w:pPr>
        <w:pStyle w:val="berschrift4"/>
      </w:pPr>
      <w:r w:rsidRPr="00AF32B2">
        <w:t>3.3.22.18 Zulässige Kompositionen</w:t>
      </w:r>
    </w:p>
    <w:p w:rsidR="00105178" w:rsidRDefault="00105178" w:rsidP="00105178">
      <w:pPr>
        <w:pStyle w:val="StandardWeb"/>
      </w:pPr>
      <w:r>
        <w:t>Zwei Abbildungen</w:t>
      </w:r>
    </w:p>
    <w:p w:rsidR="00105178" w:rsidRDefault="00105178" w:rsidP="00105178">
      <w:pPr>
        <w:pStyle w:val="StandardWeb"/>
      </w:pPr>
      <w:r>
        <w:t>[</w:t>
      </w:r>
      <w:r>
        <w:br/>
        <w:t>f:</w:t>
      </w:r>
      <w:r>
        <w:br/>
        <w:t>A</w:t>
      </w:r>
      <w:r>
        <w:br/>
        <w:t>\rightarrow</w:t>
      </w:r>
      <w:r>
        <w:br/>
        <w:t>B</w:t>
      </w:r>
      <w:r>
        <w:br/>
        <w:t>\tag{3.4675}</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f:A\rightarrow B\qquad\text{(3.4675)}</w:t>
      </w:r>
    </w:p>
    <w:p w:rsidR="00105178" w:rsidRDefault="00105178" w:rsidP="00105178">
      <w:pPr>
        <w:pStyle w:val="StandardWeb"/>
      </w:pPr>
      <w:r>
        <w:t>und</w:t>
      </w:r>
    </w:p>
    <w:p w:rsidR="00105178" w:rsidRDefault="00105178" w:rsidP="00105178">
      <w:pPr>
        <w:pStyle w:val="StandardWeb"/>
      </w:pPr>
      <w:r>
        <w:t>[</w:t>
      </w:r>
      <w:r>
        <w:br/>
        <w:t>g:</w:t>
      </w:r>
      <w:r>
        <w:br/>
        <w:t>C</w:t>
      </w:r>
      <w:r>
        <w:br/>
        <w:t>\rightarrow</w:t>
      </w:r>
      <w:r>
        <w:br/>
        <w:t>D</w:t>
      </w:r>
      <w:r>
        <w:br/>
        <w:t>\tag{3.4676}</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g:C\rightarrow D\qquad\text{(3.4676)}</w:t>
      </w:r>
    </w:p>
    <w:p w:rsidR="00105178" w:rsidRDefault="00105178" w:rsidP="00105178">
      <w:pPr>
        <w:pStyle w:val="StandardWeb"/>
      </w:pPr>
      <w:r>
        <w:t>dürfen nur dann komponiert werden, wenn</w:t>
      </w:r>
    </w:p>
    <w:p w:rsidR="00105178" w:rsidRDefault="00105178" w:rsidP="00105178">
      <w:pPr>
        <w:pStyle w:val="StandardWeb"/>
      </w:pPr>
      <w:r>
        <w:lastRenderedPageBreak/>
        <w:t>[</w:t>
      </w:r>
      <w:r>
        <w:br/>
        <w:t>B</w:t>
      </w:r>
      <w:r>
        <w:br/>
        <w:t>\subseteq</w:t>
      </w:r>
      <w:r>
        <w:br/>
        <w:t>C</w:t>
      </w:r>
      <w:r>
        <w:br/>
        <w:t>\tag{3.4677}</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B\subseteq C\qquad\text{(3.4677)}</w:t>
      </w:r>
    </w:p>
    <w:p w:rsidR="00105178" w:rsidRDefault="00105178" w:rsidP="00105178">
      <w:pPr>
        <w:pStyle w:val="StandardWeb"/>
      </w:pPr>
      <w:r>
        <w:t>oder bei exakter Typübereinstimmung</w:t>
      </w:r>
    </w:p>
    <w:p w:rsidR="00105178" w:rsidRDefault="00105178" w:rsidP="00105178">
      <w:pPr>
        <w:pStyle w:val="berschrift1"/>
      </w:pPr>
      <w:r>
        <w:t>[</w:t>
      </w:r>
      <w:r>
        <w:br/>
        <w:t>B</w:t>
      </w:r>
    </w:p>
    <w:p w:rsidR="00105178" w:rsidRDefault="00105178" w:rsidP="00105178">
      <w:pPr>
        <w:pStyle w:val="StandardWeb"/>
      </w:pPr>
      <w:r>
        <w:t>C</w:t>
      </w:r>
      <w:r>
        <w:br/>
        <w:t>\tag{3.4678}</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B=C\qquad\text{(3.4678)}</w:t>
      </w:r>
    </w:p>
    <w:p w:rsidR="00105178" w:rsidRDefault="00105178" w:rsidP="00105178">
      <w:pPr>
        <w:pStyle w:val="StandardWeb"/>
      </w:pPr>
      <w:r>
        <w:t>gilt.</w:t>
      </w:r>
    </w:p>
    <w:p w:rsidR="00105178" w:rsidRDefault="00105178" w:rsidP="00105178">
      <w:pPr>
        <w:pStyle w:val="StandardWeb"/>
      </w:pPr>
      <w:r>
        <w:t>Dann ist</w:t>
      </w:r>
    </w:p>
    <w:p w:rsidR="00105178" w:rsidRDefault="00105178" w:rsidP="00105178">
      <w:pPr>
        <w:pStyle w:val="StandardWeb"/>
      </w:pPr>
      <w:r>
        <w:t>[</w:t>
      </w:r>
      <w:r>
        <w:br/>
        <w:t>g\circ f:</w:t>
      </w:r>
      <w:r>
        <w:br/>
        <w:t>A</w:t>
      </w:r>
      <w:r>
        <w:br/>
        <w:t>\rightarrow</w:t>
      </w:r>
      <w:r>
        <w:br/>
        <w:t>D</w:t>
      </w:r>
      <w:r>
        <w:br/>
        <w:t>\tag{3.4679}</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g\circ f:A\rightarrow D\qquad\text{(3.4679)}</w:t>
      </w:r>
    </w:p>
    <w:p w:rsidR="00105178" w:rsidRDefault="00105178" w:rsidP="00105178">
      <w:pPr>
        <w:pStyle w:val="StandardWeb"/>
      </w:pPr>
      <w:r>
        <w:t>typkorrekt.</w:t>
      </w:r>
    </w:p>
    <w:p w:rsidR="00105178" w:rsidRDefault="00105178" w:rsidP="00105178">
      <w:pPr>
        <w:pStyle w:val="StandardWeb"/>
      </w:pPr>
      <w:r>
        <w:t>Für Quotienten- und Zeitabbildung gilt:</w:t>
      </w:r>
    </w:p>
    <w:p w:rsidR="00105178" w:rsidRDefault="00105178" w:rsidP="00105178">
      <w:pPr>
        <w:pStyle w:val="StandardWeb"/>
      </w:pPr>
      <w:r>
        <w:t>[</w:t>
      </w:r>
      <w:r>
        <w:br/>
        <w:t>\pi_{F}:</w:t>
      </w:r>
      <w:r>
        <w:br/>
        <w:t>\mathcal{S}</w:t>
      </w:r>
      <w:r>
        <w:rPr>
          <w:rStyle w:val="Hervorhebung"/>
        </w:rPr>
        <w:t>{\mathrm{el}}</w:t>
      </w:r>
      <w:r>
        <w:rPr>
          <w:i/>
          <w:iCs/>
        </w:rPr>
        <w:br/>
      </w:r>
      <w:r>
        <w:rPr>
          <w:rStyle w:val="Hervorhebung"/>
        </w:rPr>
        <w:t>\rightarrow</w:t>
      </w:r>
      <w:r>
        <w:rPr>
          <w:i/>
          <w:iCs/>
        </w:rPr>
        <w:br/>
      </w:r>
      <w:r>
        <w:rPr>
          <w:rStyle w:val="Hervorhebung"/>
        </w:rPr>
        <w:t>\mathcal{Q}</w:t>
      </w:r>
      <w:r>
        <w:t>{F}</w:t>
      </w:r>
      <w:r>
        <w:br/>
      </w:r>
      <w:r>
        <w:lastRenderedPageBreak/>
        <w:t>\tag{3.4680}</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\pi_{F}:\mathcal{S}_{\mathrm{el}}\rightarrow\mathcal{Q}_{F}\qquad\text{(3.4680)}</w:t>
      </w:r>
    </w:p>
    <w:p w:rsidR="00105178" w:rsidRDefault="00105178" w:rsidP="00105178">
      <w:pPr>
        <w:pStyle w:val="StandardWeb"/>
      </w:pPr>
      <w:r>
        <w:t>und</w:t>
      </w:r>
    </w:p>
    <w:p w:rsidR="00105178" w:rsidRDefault="00105178" w:rsidP="00105178">
      <w:pPr>
        <w:pStyle w:val="StandardWeb"/>
      </w:pPr>
      <w:r>
        <w:t>[</w:t>
      </w:r>
      <w:r>
        <w:br/>
        <w:t>\vartheta:</w:t>
      </w:r>
      <w:r>
        <w:br/>
        <w:t>\mathcal{Q}</w:t>
      </w:r>
      <w:r>
        <w:rPr>
          <w:rStyle w:val="Hervorhebung"/>
        </w:rPr>
        <w:t>{F}</w:t>
      </w:r>
      <w:r>
        <w:rPr>
          <w:i/>
          <w:iCs/>
        </w:rPr>
        <w:br/>
      </w:r>
      <w:r>
        <w:rPr>
          <w:rStyle w:val="Hervorhebung"/>
        </w:rPr>
        <w:t>\rightarrow</w:t>
      </w:r>
      <w:r>
        <w:rPr>
          <w:i/>
          <w:iCs/>
        </w:rPr>
        <w:br/>
      </w:r>
      <w:r>
        <w:rPr>
          <w:rStyle w:val="Hervorhebung"/>
        </w:rPr>
        <w:t>\mathbb{T}</w:t>
      </w:r>
      <w:r>
        <w:t>{F}.</w:t>
      </w:r>
      <w:r>
        <w:br/>
        <w:t>\tag{3.4681}</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\vartheta:\mathcal{Q}_{F}\rightarrow\mathbb{T}_{F}\qquad\text{(3.4681)}</w:t>
      </w:r>
    </w:p>
    <w:p w:rsidR="00105178" w:rsidRDefault="00105178" w:rsidP="00105178">
      <w:pPr>
        <w:pStyle w:val="StandardWeb"/>
      </w:pPr>
      <w:r>
        <w:t>Daher ist</w:t>
      </w:r>
    </w:p>
    <w:p w:rsidR="00105178" w:rsidRDefault="00105178" w:rsidP="00105178">
      <w:pPr>
        <w:pStyle w:val="StandardWeb"/>
      </w:pPr>
      <w:r>
        <w:t>[</w:t>
      </w:r>
      <w:r>
        <w:br/>
        <w:t>\vartheta</w:t>
      </w:r>
      <w:r>
        <w:br/>
        <w:t>\circ</w:t>
      </w:r>
      <w:r>
        <w:br/>
        <w:t>\pi_{F}:</w:t>
      </w:r>
      <w:r>
        <w:br/>
        <w:t>\mathcal{S}</w:t>
      </w:r>
      <w:r>
        <w:rPr>
          <w:rStyle w:val="Hervorhebung"/>
        </w:rPr>
        <w:t>{\mathrm{el}}</w:t>
      </w:r>
      <w:r>
        <w:rPr>
          <w:i/>
          <w:iCs/>
        </w:rPr>
        <w:br/>
      </w:r>
      <w:r>
        <w:rPr>
          <w:rStyle w:val="Hervorhebung"/>
        </w:rPr>
        <w:t>\rightarrow</w:t>
      </w:r>
      <w:r>
        <w:rPr>
          <w:i/>
          <w:iCs/>
        </w:rPr>
        <w:br/>
      </w:r>
      <w:r>
        <w:rPr>
          <w:rStyle w:val="Hervorhebung"/>
        </w:rPr>
        <w:t>\mathbb{T}</w:t>
      </w:r>
      <w:r>
        <w:t>{F}</w:t>
      </w:r>
      <w:r>
        <w:br/>
        <w:t>\tag{3.4682}</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\vartheta\circ\pi_{F}:\mathcal{S}_{\mathrm{el}}\rightarrow\mathbb{T}_{F}\qquad\text{(3.4682)}</w:t>
      </w:r>
    </w:p>
    <w:p w:rsidR="00105178" w:rsidRDefault="00105178" w:rsidP="00105178">
      <w:pPr>
        <w:pStyle w:val="StandardWeb"/>
      </w:pPr>
      <w:r>
        <w:t>typkorrekt [6, 71].</w:t>
      </w:r>
    </w:p>
    <w:p w:rsidR="00105178" w:rsidRPr="00AF32B2" w:rsidRDefault="00105178" w:rsidP="00AF32B2">
      <w:pPr>
        <w:pStyle w:val="berschrift4"/>
      </w:pPr>
      <w:r w:rsidRPr="00AF32B2">
        <w:t>3.3.22.19 Typverletzungen</w:t>
      </w:r>
    </w:p>
    <w:p w:rsidR="00105178" w:rsidRDefault="00105178" w:rsidP="00105178">
      <w:pPr>
        <w:pStyle w:val="StandardWeb"/>
      </w:pPr>
      <w:r>
        <w:t>Eine Typverletzung liegt vor, wenn mindestens eine der folgenden Bedingungen erfüllt ist:</w:t>
      </w:r>
    </w:p>
    <w:p w:rsidR="00105178" w:rsidRDefault="00105178" w:rsidP="00105178">
      <w:pPr>
        <w:pStyle w:val="StandardWeb"/>
      </w:pPr>
      <w:r>
        <w:t>[</w:t>
      </w:r>
      <w:r>
        <w:br/>
        <w:t>x</w:t>
      </w:r>
      <w:r>
        <w:br/>
        <w:t>\notin</w:t>
      </w:r>
      <w:r>
        <w:br/>
        <w:t>\operatorname{dom}(f),</w:t>
      </w:r>
      <w:r>
        <w:br/>
        <w:t>\tag{3.4683}</w:t>
      </w:r>
      <w:r>
        <w:br/>
        <w:t>]</w:t>
      </w:r>
    </w:p>
    <w:p w:rsidR="00105178" w:rsidRDefault="00105178" w:rsidP="00105178">
      <w:pPr>
        <w:pStyle w:val="StandardWeb"/>
      </w:pPr>
      <w:r>
        <w:rPr>
          <w:rStyle w:val="Fett"/>
        </w:rPr>
        <w:lastRenderedPageBreak/>
        <w:t>Word-LaTeX</w:t>
      </w:r>
    </w:p>
    <w:p w:rsidR="00105178" w:rsidRDefault="00105178" w:rsidP="00105178">
      <w:pPr>
        <w:pStyle w:val="HTMLVorformatiert"/>
        <w:rPr>
          <w:rStyle w:val="HTMLCode"/>
        </w:rPr>
      </w:pPr>
      <w:r>
        <w:rPr>
          <w:rStyle w:val="HTMLCode"/>
        </w:rPr>
        <w:t>x\notin\operatorname{dom}(f)\qquad\text{(3.4683)}</w:t>
      </w:r>
    </w:p>
    <w:p w:rsidR="00105178" w:rsidRDefault="00105178" w:rsidP="00105178">
      <w:pPr>
        <w:pStyle w:val="StandardWeb"/>
      </w:pPr>
      <w:r>
        <w:t>[</w:t>
      </w:r>
      <w:r>
        <w:br/>
        <w:t>\operatorname{cod}(f)</w:t>
      </w:r>
      <w:r>
        <w:br/>
        <w:t>\not\subseteq</w:t>
      </w:r>
      <w:r>
        <w:br/>
        <w:t>\operatorname{dom}(g),</w:t>
      </w:r>
      <w:r>
        <w:br/>
        <w:t>\tag{3.4684}</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\operatorname{cod}(f)\not\subseteq\operatorname{dom}(g)\qquad\text{(3.4684)}</w:t>
      </w:r>
    </w:p>
    <w:p w:rsidR="00105178" w:rsidRDefault="00105178" w:rsidP="00105178">
      <w:pPr>
        <w:pStyle w:val="StandardWeb"/>
      </w:pPr>
      <w:r>
        <w:t>oder</w:t>
      </w:r>
    </w:p>
    <w:p w:rsidR="00105178" w:rsidRDefault="00105178" w:rsidP="00105178">
      <w:pPr>
        <w:pStyle w:val="StandardWeb"/>
      </w:pPr>
      <w:r>
        <w:t>[</w:t>
      </w:r>
      <w:r>
        <w:br/>
        <w:t>\operatorname{Typ}</w:t>
      </w:r>
      <w:r>
        <w:rPr>
          <w:rStyle w:val="Hervorhebung"/>
        </w:rPr>
        <w:t>{F}(x)</w:t>
      </w:r>
      <w:r>
        <w:rPr>
          <w:i/>
          <w:iCs/>
        </w:rPr>
        <w:br/>
      </w:r>
      <w:r>
        <w:rPr>
          <w:rStyle w:val="Hervorhebung"/>
        </w:rPr>
        <w:t>\neq</w:t>
      </w:r>
      <w:r>
        <w:rPr>
          <w:i/>
          <w:iCs/>
        </w:rPr>
        <w:br/>
      </w:r>
      <w:r>
        <w:rPr>
          <w:rStyle w:val="Hervorhebung"/>
        </w:rPr>
        <w:t>\operatorname{Typ}</w:t>
      </w:r>
      <w:r>
        <w:t>{F}(y)</w:t>
      </w:r>
      <w:r>
        <w:br/>
        <w:t>\tag{3.4685}</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\operatorname{Typ}_{F}(x)\neq\operatorname{Typ}_{F}(y)\qquad\text{(3.4685)}</w:t>
      </w:r>
    </w:p>
    <w:p w:rsidR="00105178" w:rsidRDefault="00105178" w:rsidP="00105178">
      <w:pPr>
        <w:pStyle w:val="StandardWeb"/>
      </w:pPr>
      <w:r>
        <w:t>bei einer unbegründeten Gleichsetzung</w:t>
      </w:r>
    </w:p>
    <w:p w:rsidR="00105178" w:rsidRDefault="00105178" w:rsidP="00105178">
      <w:pPr>
        <w:pStyle w:val="berschrift1"/>
      </w:pPr>
      <w:r>
        <w:t>[</w:t>
      </w:r>
      <w:r>
        <w:br/>
        <w:t>x</w:t>
      </w:r>
    </w:p>
    <w:p w:rsidR="00105178" w:rsidRDefault="00105178" w:rsidP="00105178">
      <w:pPr>
        <w:pStyle w:val="StandardWeb"/>
      </w:pPr>
      <w:r>
        <w:t>y.</w:t>
      </w:r>
      <w:r>
        <w:br/>
        <w:t>\tag{3.4686}</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x=y\qquad\text{(3.4686)}</w:t>
      </w:r>
    </w:p>
    <w:p w:rsidR="00105178" w:rsidRDefault="00105178" w:rsidP="00105178">
      <w:pPr>
        <w:pStyle w:val="StandardWeb"/>
      </w:pPr>
      <w:r>
        <w:t>Die Typverletzungsmenge eines Modells wird definiert durch:</w:t>
      </w:r>
    </w:p>
    <w:p w:rsidR="00105178" w:rsidRDefault="00105178" w:rsidP="00105178">
      <w:pPr>
        <w:pStyle w:val="berschrift1"/>
      </w:pPr>
      <w:r>
        <w:t>[</w:t>
      </w:r>
      <w:r>
        <w:br/>
        <w:t>\mathcal{V}</w:t>
      </w:r>
      <w:r>
        <w:rPr>
          <w:rStyle w:val="Hervorhebung"/>
        </w:rPr>
        <w:t>{\mathrm{Typ}}</w:t>
      </w:r>
      <w:r>
        <w:rPr>
          <w:i/>
          <w:iCs/>
        </w:rPr>
        <w:br/>
      </w:r>
      <w:r>
        <w:rPr>
          <w:rStyle w:val="Hervorhebung"/>
        </w:rPr>
        <w:t>\left(</w:t>
      </w:r>
      <w:r>
        <w:rPr>
          <w:i/>
          <w:iCs/>
        </w:rPr>
        <w:br/>
      </w:r>
      <w:r>
        <w:rPr>
          <w:rStyle w:val="Hervorhebung"/>
        </w:rPr>
        <w:lastRenderedPageBreak/>
        <w:t>\mathfrak{F}</w:t>
      </w:r>
      <w:r>
        <w:t>{\mathrm{RZK}}</w:t>
      </w:r>
      <w:r>
        <w:br/>
        <w:t>\right)</w:t>
      </w:r>
    </w:p>
    <w:p w:rsidR="00105178" w:rsidRDefault="00105178" w:rsidP="00105178">
      <w:pPr>
        <w:pStyle w:val="StandardWeb"/>
      </w:pPr>
      <w:r>
        <w:t>\left{</w:t>
      </w:r>
      <w:r>
        <w:br/>
        <w:t>v_1,v_2,\ldots,v_m</w:t>
      </w:r>
      <w:r>
        <w:br/>
        <w:t>\right}.</w:t>
      </w:r>
      <w:r>
        <w:br/>
        <w:t>\tag{3.4687}</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\mathcal{V}_{\mathrm{Typ}}\left(\mathfrak{F}_{\mathrm{RZK}}\right)=\left\{v_1,v_2,\ldots,v_m\right\}\qquad\text{(3.4687)}</w:t>
      </w:r>
    </w:p>
    <w:p w:rsidR="00105178" w:rsidRDefault="00105178" w:rsidP="00105178">
      <w:pPr>
        <w:pStyle w:val="StandardWeb"/>
      </w:pPr>
      <w:r>
        <w:t>Ein Modell ist typkonsistent, wenn</w:t>
      </w:r>
    </w:p>
    <w:p w:rsidR="00105178" w:rsidRDefault="00105178" w:rsidP="00105178">
      <w:pPr>
        <w:pStyle w:val="berschrift1"/>
      </w:pPr>
      <w:r>
        <w:t>[</w:t>
      </w:r>
      <w:r>
        <w:br/>
        <w:t>\mathcal{V}</w:t>
      </w:r>
      <w:r>
        <w:rPr>
          <w:rStyle w:val="Hervorhebung"/>
        </w:rPr>
        <w:t>{\mathrm{Typ}}</w:t>
      </w:r>
      <w:r>
        <w:rPr>
          <w:i/>
          <w:iCs/>
        </w:rPr>
        <w:br/>
      </w:r>
      <w:r>
        <w:rPr>
          <w:rStyle w:val="Hervorhebung"/>
        </w:rPr>
        <w:t>\left(</w:t>
      </w:r>
      <w:r>
        <w:rPr>
          <w:i/>
          <w:iCs/>
        </w:rPr>
        <w:br/>
      </w:r>
      <w:r>
        <w:rPr>
          <w:rStyle w:val="Hervorhebung"/>
        </w:rPr>
        <w:t>\mathfrak{F}</w:t>
      </w:r>
      <w:r>
        <w:t>{\mathrm{RZK}}</w:t>
      </w:r>
      <w:r>
        <w:br/>
        <w:t>\right)</w:t>
      </w:r>
    </w:p>
    <w:p w:rsidR="00105178" w:rsidRDefault="00105178" w:rsidP="00105178">
      <w:pPr>
        <w:pStyle w:val="StandardWeb"/>
      </w:pPr>
      <w:r>
        <w:t>\emptyset.</w:t>
      </w:r>
      <w:r>
        <w:br/>
        <w:t>\tag{3.4688}</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\mathcal{V}_{\mathrm{Typ}}\left(\mathfrak{F}_{\mathrm{RZK}}\right)=\emptyset\qquad\text{(3.4688)}</w:t>
      </w:r>
    </w:p>
    <w:p w:rsidR="00105178" w:rsidRPr="00AF32B2" w:rsidRDefault="00105178" w:rsidP="00AF32B2">
      <w:pPr>
        <w:pStyle w:val="berschrift4"/>
      </w:pPr>
      <w:r w:rsidRPr="00AF32B2">
        <w:t>3.3.22.20 Typkonsistenzprädikat</w:t>
      </w:r>
    </w:p>
    <w:p w:rsidR="00105178" w:rsidRDefault="00105178" w:rsidP="00105178">
      <w:pPr>
        <w:pStyle w:val="StandardWeb"/>
      </w:pPr>
      <w:r>
        <w:t>Das Typkonsistenzprädikat lautet:</w:t>
      </w:r>
    </w:p>
    <w:p w:rsidR="00105178" w:rsidRDefault="00105178" w:rsidP="00105178">
      <w:pPr>
        <w:pStyle w:val="StandardWeb"/>
      </w:pPr>
      <w:r>
        <w:t>[</w:t>
      </w:r>
      <w:r>
        <w:br/>
        <w:t>\operatorname{TK}</w:t>
      </w:r>
      <w:r>
        <w:rPr>
          <w:rStyle w:val="Hervorhebung"/>
        </w:rPr>
        <w:t>{F}:</w:t>
      </w:r>
      <w:r>
        <w:rPr>
          <w:i/>
          <w:iCs/>
        </w:rPr>
        <w:br/>
      </w:r>
      <w:r>
        <w:rPr>
          <w:rStyle w:val="Hervorhebung"/>
        </w:rPr>
        <w:t>\mathfrak{F}</w:t>
      </w:r>
      <w:r>
        <w:t>{\mathrm{RZK}}</w:t>
      </w:r>
      <w:r>
        <w:br/>
        <w:t>\rightarrow</w:t>
      </w:r>
      <w:r>
        <w:br/>
        <w:t>{0,1}.</w:t>
      </w:r>
      <w:r>
        <w:br/>
        <w:t>\tag{3.4689}</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\operatorname{TK}_{F}:\mathfrak{F}_{\mathrm{RZK}}\rightarrow\{0,1\}\qquad\text{(3.4689)}</w:t>
      </w:r>
    </w:p>
    <w:p w:rsidR="00105178" w:rsidRDefault="00105178" w:rsidP="00105178">
      <w:pPr>
        <w:pStyle w:val="StandardWeb"/>
      </w:pPr>
      <w:r>
        <w:lastRenderedPageBreak/>
        <w:t>Es wird definiert durch:</w:t>
      </w:r>
    </w:p>
    <w:p w:rsidR="00105178" w:rsidRDefault="00105178" w:rsidP="00105178">
      <w:pPr>
        <w:pStyle w:val="berschrift1"/>
      </w:pPr>
      <w:r>
        <w:t>[</w:t>
      </w:r>
      <w:r>
        <w:br/>
        <w:t>\operatorname{TK}</w:t>
      </w:r>
      <w:r>
        <w:rPr>
          <w:rStyle w:val="Hervorhebung"/>
        </w:rPr>
        <w:t>{F}</w:t>
      </w:r>
      <w:r>
        <w:rPr>
          <w:i/>
          <w:iCs/>
        </w:rPr>
        <w:br/>
      </w:r>
      <w:r>
        <w:rPr>
          <w:rStyle w:val="Hervorhebung"/>
        </w:rPr>
        <w:t>\left(</w:t>
      </w:r>
      <w:r>
        <w:rPr>
          <w:i/>
          <w:iCs/>
        </w:rPr>
        <w:br/>
      </w:r>
      <w:r>
        <w:rPr>
          <w:rStyle w:val="Hervorhebung"/>
        </w:rPr>
        <w:t>\mathfrak{F}</w:t>
      </w:r>
      <w:r>
        <w:t>{\mathrm{RZK}}</w:t>
      </w:r>
      <w:r>
        <w:br/>
        <w:t>\right)</w:t>
      </w:r>
    </w:p>
    <w:p w:rsidR="00105178" w:rsidRDefault="00105178" w:rsidP="00105178">
      <w:pPr>
        <w:pStyle w:val="berschrift1"/>
      </w:pPr>
      <w:r>
        <w:t>1</w:t>
      </w:r>
      <w:r>
        <w:br/>
        <w:t>\iff</w:t>
      </w:r>
      <w:r>
        <w:br/>
        <w:t>\mathcal{V}</w:t>
      </w:r>
      <w:r>
        <w:rPr>
          <w:rStyle w:val="Hervorhebung"/>
        </w:rPr>
        <w:t>{\mathrm{Typ}}</w:t>
      </w:r>
      <w:r>
        <w:rPr>
          <w:i/>
          <w:iCs/>
        </w:rPr>
        <w:br/>
      </w:r>
      <w:r>
        <w:rPr>
          <w:rStyle w:val="Hervorhebung"/>
        </w:rPr>
        <w:t>\left(</w:t>
      </w:r>
      <w:r>
        <w:rPr>
          <w:i/>
          <w:iCs/>
        </w:rPr>
        <w:br/>
      </w:r>
      <w:r>
        <w:rPr>
          <w:rStyle w:val="Hervorhebung"/>
        </w:rPr>
        <w:t>\mathfrak{F}</w:t>
      </w:r>
      <w:r>
        <w:t>{\mathrm{RZK}}</w:t>
      </w:r>
      <w:r>
        <w:br/>
        <w:t>\right)</w:t>
      </w:r>
    </w:p>
    <w:p w:rsidR="00105178" w:rsidRDefault="00105178" w:rsidP="00105178">
      <w:pPr>
        <w:pStyle w:val="StandardWeb"/>
      </w:pPr>
      <w:r>
        <w:t>\emptyset.</w:t>
      </w:r>
      <w:r>
        <w:br/>
        <w:t>\tag{3.4690}</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\operatorname{TK}_{F}\left(\mathfrak{F}_{\mathrm{RZK}}\right)=1\iff\mathcal{V}_{\mathrm{Typ}}\left(\mathfrak{F}_{\mathrm{RZK}}\right)=\emptyset\qquad\text{(3.4690)}</w:t>
      </w:r>
    </w:p>
    <w:p w:rsidR="00105178" w:rsidRDefault="00105178" w:rsidP="00105178">
      <w:pPr>
        <w:pStyle w:val="StandardWeb"/>
      </w:pPr>
      <w:r>
        <w:t>Bei mindestens einer Typverletzung gilt:</w:t>
      </w:r>
    </w:p>
    <w:p w:rsidR="00105178" w:rsidRDefault="00105178" w:rsidP="00105178">
      <w:pPr>
        <w:pStyle w:val="berschrift1"/>
      </w:pPr>
      <w:r>
        <w:t>[</w:t>
      </w:r>
      <w:r>
        <w:br/>
        <w:t>\mathcal{V}</w:t>
      </w:r>
      <w:r>
        <w:rPr>
          <w:rStyle w:val="Hervorhebung"/>
        </w:rPr>
        <w:t>{\mathrm{Typ}}</w:t>
      </w:r>
      <w:r>
        <w:rPr>
          <w:i/>
          <w:iCs/>
        </w:rPr>
        <w:br/>
      </w:r>
      <w:r>
        <w:rPr>
          <w:rStyle w:val="Hervorhebung"/>
        </w:rPr>
        <w:t>\left(</w:t>
      </w:r>
      <w:r>
        <w:rPr>
          <w:i/>
          <w:iCs/>
        </w:rPr>
        <w:br/>
      </w:r>
      <w:r>
        <w:rPr>
          <w:rStyle w:val="Hervorhebung"/>
        </w:rPr>
        <w:t>\mathfrak{F}</w:t>
      </w:r>
      <w:r>
        <w:t>{\mathrm{RZK}}</w:t>
      </w:r>
      <w:r>
        <w:br/>
        <w:t>\right)</w:t>
      </w:r>
      <w:r>
        <w:br/>
        <w:t>\neq</w:t>
      </w:r>
      <w:r>
        <w:br/>
        <w:t>\emptyset</w:t>
      </w:r>
      <w:r>
        <w:br/>
        <w:t>\Rightarrow</w:t>
      </w:r>
      <w:r>
        <w:br/>
        <w:t>\operatorname{TK}</w:t>
      </w:r>
      <w:r>
        <w:rPr>
          <w:rStyle w:val="Hervorhebung"/>
        </w:rPr>
        <w:t>{F}</w:t>
      </w:r>
      <w:r>
        <w:rPr>
          <w:i/>
          <w:iCs/>
        </w:rPr>
        <w:br/>
      </w:r>
      <w:r>
        <w:rPr>
          <w:rStyle w:val="Hervorhebung"/>
        </w:rPr>
        <w:lastRenderedPageBreak/>
        <w:t>\left(</w:t>
      </w:r>
      <w:r>
        <w:rPr>
          <w:i/>
          <w:iCs/>
        </w:rPr>
        <w:br/>
      </w:r>
      <w:r>
        <w:rPr>
          <w:rStyle w:val="Hervorhebung"/>
        </w:rPr>
        <w:t>\mathfrak{F}</w:t>
      </w:r>
      <w:r>
        <w:t>{\mathrm{RZK}}</w:t>
      </w:r>
      <w:r>
        <w:br/>
        <w:t>\right)</w:t>
      </w:r>
    </w:p>
    <w:p w:rsidR="00105178" w:rsidRDefault="00105178" w:rsidP="00632D23">
      <w:pPr>
        <w:numPr>
          <w:ilvl w:val="0"/>
          <w:numId w:val="107"/>
        </w:numPr>
        <w:spacing w:before="100" w:beforeAutospacing="1" w:after="100" w:afterAutospacing="1"/>
      </w:pPr>
    </w:p>
    <w:p w:rsidR="00105178" w:rsidRDefault="00105178" w:rsidP="00105178">
      <w:pPr>
        <w:pStyle w:val="StandardWeb"/>
      </w:pPr>
      <w:r>
        <w:t>\tag{3.4691}</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\mathcal{V}_{\mathrm{Typ}}\left(\mathfrak{F}_{\mathrm{RZK}}\right)\neq\emptyset\Rightarrow\operatorname{TK}_{F}\left(\mathfrak{F}_{\mathrm{RZK}}\right)=0\qquad\text{(3.4691)}</w:t>
      </w:r>
    </w:p>
    <w:p w:rsidR="00105178" w:rsidRPr="00AF32B2" w:rsidRDefault="00105178" w:rsidP="00AF32B2">
      <w:pPr>
        <w:pStyle w:val="berschrift4"/>
      </w:pPr>
      <w:r w:rsidRPr="00AF32B2">
        <w:t>3.3.22.21 Satz zur Typkonsistenz der bisherigen Grundstruktur</w:t>
      </w:r>
    </w:p>
    <w:p w:rsidR="00105178" w:rsidRDefault="00105178" w:rsidP="00105178">
      <w:pPr>
        <w:pStyle w:val="StandardWeb"/>
      </w:pPr>
      <w:r>
        <w:rPr>
          <w:rStyle w:val="Fett"/>
        </w:rPr>
        <w:t>Satz 3.3.4 – Typkonsistenz der grundlegenden FRZK-Strukturen</w:t>
      </w:r>
    </w:p>
    <w:p w:rsidR="00105178" w:rsidRDefault="00105178" w:rsidP="00105178">
      <w:pPr>
        <w:pStyle w:val="StandardWeb"/>
      </w:pPr>
      <w:r>
        <w:t>Die in den Definitionen 3.3.1 bis 3.3.14 eingeführten grundlegenden FRZK-Strukturen sind typkonsistent, sofern:</w:t>
      </w:r>
    </w:p>
    <w:p w:rsidR="00105178" w:rsidRDefault="00105178" w:rsidP="00105178">
      <w:pPr>
        <w:pStyle w:val="StandardWeb"/>
      </w:pPr>
      <w:r>
        <w:t>[</w:t>
      </w:r>
      <w:r>
        <w:br/>
        <w:t>T:</w:t>
      </w:r>
      <w:r>
        <w:br/>
        <w:t>\mathcal{S}</w:t>
      </w:r>
      <w:r>
        <w:rPr>
          <w:rStyle w:val="Hervorhebung"/>
        </w:rPr>
        <w:t>{\mathrm{el}}</w:t>
      </w:r>
      <w:r>
        <w:rPr>
          <w:i/>
          <w:iCs/>
        </w:rPr>
        <w:br/>
      </w:r>
      <w:r>
        <w:rPr>
          <w:rStyle w:val="Hervorhebung"/>
        </w:rPr>
        <w:t>\rightarrow</w:t>
      </w:r>
      <w:r>
        <w:rPr>
          <w:i/>
          <w:iCs/>
        </w:rPr>
        <w:br/>
      </w:r>
      <w:r>
        <w:rPr>
          <w:rStyle w:val="Hervorhebung"/>
        </w:rPr>
        <w:t>\mathcal{S}</w:t>
      </w:r>
      <w:r>
        <w:t>{\mathrm{el}},</w:t>
      </w:r>
      <w:r>
        <w:br/>
        <w:t>\tag{3.4692}</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T:\mathcal{S}_{\mathrm{el}}\rightarrow\mathcal{S}_{\mathrm{el}}\qquad\text{(3.4692)}</w:t>
      </w:r>
    </w:p>
    <w:p w:rsidR="00105178" w:rsidRDefault="00105178" w:rsidP="00105178">
      <w:pPr>
        <w:pStyle w:val="StandardWeb"/>
      </w:pPr>
      <w:r>
        <w:t>[</w:t>
      </w:r>
      <w:r>
        <w:br/>
        <w:t>R</w:t>
      </w:r>
      <w:r>
        <w:br/>
        <w:t>\subseteq</w:t>
      </w:r>
      <w:r>
        <w:br/>
        <w:t>\mathcal{S}</w:t>
      </w:r>
      <w:r>
        <w:rPr>
          <w:rStyle w:val="Hervorhebung"/>
        </w:rPr>
        <w:t>{\mathrm{el}}</w:t>
      </w:r>
      <w:r>
        <w:rPr>
          <w:i/>
          <w:iCs/>
        </w:rPr>
        <w:br/>
      </w:r>
      <w:r>
        <w:rPr>
          <w:rStyle w:val="Hervorhebung"/>
        </w:rPr>
        <w:t>\times</w:t>
      </w:r>
      <w:r>
        <w:rPr>
          <w:i/>
          <w:iCs/>
        </w:rPr>
        <w:br/>
      </w:r>
      <w:r>
        <w:rPr>
          <w:rStyle w:val="Hervorhebung"/>
        </w:rPr>
        <w:t>\mathcal{S}</w:t>
      </w:r>
      <w:r>
        <w:t>{\mathrm{el}},</w:t>
      </w:r>
      <w:r>
        <w:br/>
        <w:t>\tag{3.4693}</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R\subseteq\mathcal{S}_{\mathrm{el}}\times\mathcal{S}_{\mathrm{el}}\qquad\text{(3.4693)}</w:t>
      </w:r>
    </w:p>
    <w:p w:rsidR="00105178" w:rsidRDefault="00105178" w:rsidP="00105178">
      <w:pPr>
        <w:pStyle w:val="StandardWeb"/>
      </w:pPr>
      <w:r>
        <w:lastRenderedPageBreak/>
        <w:t>[</w:t>
      </w:r>
      <w:r>
        <w:br/>
        <w:t>\pi_{F}:</w:t>
      </w:r>
      <w:r>
        <w:br/>
        <w:t>\mathcal{S}</w:t>
      </w:r>
      <w:r>
        <w:rPr>
          <w:rStyle w:val="Hervorhebung"/>
        </w:rPr>
        <w:t>{\mathrm{el}}</w:t>
      </w:r>
      <w:r>
        <w:rPr>
          <w:i/>
          <w:iCs/>
        </w:rPr>
        <w:br/>
      </w:r>
      <w:r>
        <w:rPr>
          <w:rStyle w:val="Hervorhebung"/>
        </w:rPr>
        <w:t>\rightarrow</w:t>
      </w:r>
      <w:r>
        <w:rPr>
          <w:i/>
          <w:iCs/>
        </w:rPr>
        <w:br/>
      </w:r>
      <w:r>
        <w:rPr>
          <w:rStyle w:val="Hervorhebung"/>
        </w:rPr>
        <w:t>\mathcal{Q}</w:t>
      </w:r>
      <w:r>
        <w:t>{F},</w:t>
      </w:r>
      <w:r>
        <w:br/>
        <w:t>\tag{3.4694}</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\pi_{F}:\mathcal{S}_{\mathrm{el}}\rightarrow\mathcal{Q}_{F}\qquad\text{(3.4694)}</w:t>
      </w:r>
    </w:p>
    <w:p w:rsidR="00105178" w:rsidRDefault="00105178" w:rsidP="00105178">
      <w:pPr>
        <w:pStyle w:val="StandardWeb"/>
      </w:pPr>
      <w:r>
        <w:t>[</w:t>
      </w:r>
      <w:r>
        <w:br/>
        <w:t>\vartheta:</w:t>
      </w:r>
      <w:r>
        <w:br/>
        <w:t>\mathcal{Q}</w:t>
      </w:r>
      <w:r>
        <w:rPr>
          <w:rStyle w:val="Hervorhebung"/>
        </w:rPr>
        <w:t>{F}</w:t>
      </w:r>
      <w:r>
        <w:rPr>
          <w:i/>
          <w:iCs/>
        </w:rPr>
        <w:br/>
      </w:r>
      <w:r>
        <w:rPr>
          <w:rStyle w:val="Hervorhebung"/>
        </w:rPr>
        <w:t>\rightarrow</w:t>
      </w:r>
      <w:r>
        <w:rPr>
          <w:i/>
          <w:iCs/>
        </w:rPr>
        <w:br/>
      </w:r>
      <w:r>
        <w:rPr>
          <w:rStyle w:val="Hervorhebung"/>
        </w:rPr>
        <w:t>\mathbb{T}</w:t>
      </w:r>
      <w:r>
        <w:t>{F},</w:t>
      </w:r>
      <w:r>
        <w:br/>
        <w:t>\tag{3.4695}</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\vartheta:\mathcal{Q}_{F}\rightarrow\mathbb{T}_{F}\qquad\text{(3.4695)}</w:t>
      </w:r>
    </w:p>
    <w:p w:rsidR="00105178" w:rsidRDefault="00105178" w:rsidP="00105178">
      <w:pPr>
        <w:pStyle w:val="StandardWeb"/>
      </w:pPr>
      <w:r>
        <w:t>[</w:t>
      </w:r>
      <w:r>
        <w:br/>
        <w:t>d_{\mathrm{sp}}:</w:t>
      </w:r>
      <w:r>
        <w:br/>
        <w:t>\mathcal{Q}</w:t>
      </w:r>
      <w:r>
        <w:rPr>
          <w:rStyle w:val="Hervorhebung"/>
        </w:rPr>
        <w:t>{F}</w:t>
      </w:r>
      <w:r>
        <w:rPr>
          <w:i/>
          <w:iCs/>
        </w:rPr>
        <w:br/>
      </w:r>
      <w:r>
        <w:rPr>
          <w:rStyle w:val="Hervorhebung"/>
        </w:rPr>
        <w:t>\times</w:t>
      </w:r>
      <w:r>
        <w:rPr>
          <w:i/>
          <w:iCs/>
        </w:rPr>
        <w:br/>
      </w:r>
      <w:r>
        <w:rPr>
          <w:rStyle w:val="Hervorhebung"/>
        </w:rPr>
        <w:t>\mathcal{Q}</w:t>
      </w:r>
      <w:r>
        <w:t>{F}</w:t>
      </w:r>
      <w:r>
        <w:br/>
        <w:t>\rightarrow</w:t>
      </w:r>
      <w:r>
        <w:br/>
        <w:t>\mathbb{R}_{\geq0}</w:t>
      </w:r>
      <w:r>
        <w:br/>
        <w:t>\cup</w:t>
      </w:r>
      <w:r>
        <w:br/>
        <w:t>{\infty},</w:t>
      </w:r>
      <w:r>
        <w:br/>
        <w:t>\tag{3.4696}</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d_{\mathrm{sp}}:\mathcal{Q}_{F}\times\mathcal{Q}_{F}\rightarrow\mathbb{R}_{\geq0}\cup\{\infty\}\qquad\text{(3.4696)}</w:t>
      </w:r>
    </w:p>
    <w:p w:rsidR="00105178" w:rsidRDefault="00105178" w:rsidP="00105178">
      <w:pPr>
        <w:pStyle w:val="StandardWeb"/>
      </w:pPr>
      <w:r>
        <w:t>und</w:t>
      </w:r>
    </w:p>
    <w:p w:rsidR="00105178" w:rsidRDefault="00105178" w:rsidP="00105178">
      <w:pPr>
        <w:pStyle w:val="StandardWeb"/>
      </w:pPr>
      <w:r>
        <w:t>[</w:t>
      </w:r>
      <w:r>
        <w:br/>
        <w:t>\kappa_{XT}:</w:t>
      </w:r>
      <w:r>
        <w:br/>
        <w:t>\mathcal{Z}</w:t>
      </w:r>
      <w:r>
        <w:rPr>
          <w:rStyle w:val="Hervorhebung"/>
        </w:rPr>
        <w:t>{F}</w:t>
      </w:r>
      <w:r>
        <w:rPr>
          <w:i/>
          <w:iCs/>
        </w:rPr>
        <w:br/>
      </w:r>
      <w:r>
        <w:rPr>
          <w:rStyle w:val="Hervorhebung"/>
        </w:rPr>
        <w:t>\times</w:t>
      </w:r>
      <w:r>
        <w:rPr>
          <w:i/>
          <w:iCs/>
        </w:rPr>
        <w:br/>
      </w:r>
      <w:r>
        <w:rPr>
          <w:rStyle w:val="Hervorhebung"/>
        </w:rPr>
        <w:t>\mathcal{Z}</w:t>
      </w:r>
      <w:r>
        <w:t>{F}</w:t>
      </w:r>
      <w:r>
        <w:br/>
        <w:t>\rightarrow</w:t>
      </w:r>
      <w:r>
        <w:br/>
        <w:t>{0,1}</w:t>
      </w:r>
      <w:r>
        <w:br/>
      </w:r>
      <w:r>
        <w:lastRenderedPageBreak/>
        <w:t>\tag{3.4697}</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\kappa_{XT}:\mathcal{Z}_{F}\times\mathcal{Z}_{F}\rightarrow\{0,1\}\qquad\text{(3.4697)}</w:t>
      </w:r>
    </w:p>
    <w:p w:rsidR="00105178" w:rsidRDefault="00105178" w:rsidP="00105178">
      <w:pPr>
        <w:pStyle w:val="StandardWeb"/>
      </w:pPr>
      <w:r>
        <w:t>entsprechend ihren angegebenen Definitionsbereichen verwendet werden.</w:t>
      </w:r>
    </w:p>
    <w:p w:rsidR="00105178" w:rsidRDefault="00105178" w:rsidP="00105178">
      <w:pPr>
        <w:pStyle w:val="berschrift3"/>
      </w:pPr>
      <w:r>
        <w:t>Beweis</w:t>
      </w:r>
    </w:p>
    <w:p w:rsidR="00105178" w:rsidRDefault="00105178" w:rsidP="00105178">
      <w:pPr>
        <w:pStyle w:val="StandardWeb"/>
      </w:pPr>
      <w:r>
        <w:t>Elementare funktionale Zustände gehören zu (\mathcal{S}</w:t>
      </w:r>
      <w:r>
        <w:rPr>
          <w:rStyle w:val="Hervorhebung"/>
        </w:rPr>
        <w:t>{\mathrm{el}}). Funktionale Transformationen wirken von (\mathcal{S}</w:t>
      </w:r>
      <w:r>
        <w:t>{\mathrm{el}}) nach (\mathcal{S}_{\mathrm{el}}), sodass jede einzelne Zustandsentwicklung typgeschlossen bleibt.</w:t>
      </w:r>
    </w:p>
    <w:p w:rsidR="00105178" w:rsidRDefault="00105178" w:rsidP="00105178">
      <w:pPr>
        <w:pStyle w:val="StandardWeb"/>
      </w:pPr>
      <w:r>
        <w:t>Funktionale Relationen sind Teilmengen von (\mathcal{S}</w:t>
      </w:r>
      <w:r>
        <w:rPr>
          <w:rStyle w:val="Hervorhebung"/>
        </w:rPr>
        <w:t>{\mathrm{el}}\times\mathcal{S}</w:t>
      </w:r>
      <w:r>
        <w:t>{\mathrm{el}}). Ihre Argumente sind deshalb elementare Zustände.</w:t>
      </w:r>
    </w:p>
    <w:p w:rsidR="00105178" w:rsidRDefault="00105178" w:rsidP="00105178">
      <w:pPr>
        <w:pStyle w:val="StandardWeb"/>
      </w:pPr>
      <w:r>
        <w:t>Die Quotientenabbildung (\pi_{F}) überführt elementare Zustände in Zustandsklassen. Funktionale Ordnung, Zeitstruktur und Raumstruktur wirken auf der Quotientenmenge (\mathcal{Q}_{F}). Dadurch werden elementare Zustände und Zustandsklassen nicht unmarkiert vermischt.</w:t>
      </w:r>
    </w:p>
    <w:p w:rsidR="00105178" w:rsidRDefault="00105178" w:rsidP="00105178">
      <w:pPr>
        <w:pStyle w:val="StandardWeb"/>
      </w:pPr>
      <w:r>
        <w:t>Funktionale Raum-Zeit-Zustände gehören zu (\mathcal{Z}</w:t>
      </w:r>
      <w:r>
        <w:rPr>
          <w:rStyle w:val="Hervorhebung"/>
        </w:rPr>
        <w:t>{F}\subseteq\mathcal{Q}</w:t>
      </w:r>
      <w:r>
        <w:t>{F}\times\mathbb{T}</w:t>
      </w:r>
      <w:r>
        <w:rPr>
          <w:rStyle w:val="Hervorhebung"/>
        </w:rPr>
        <w:t>{F}). Das Kopplungsprädikat wirkt ausschließlich auf Paaren aus (\mathcal{Z}</w:t>
      </w:r>
      <w:r>
        <w:t>{F}).</w:t>
      </w:r>
    </w:p>
    <w:p w:rsidR="00105178" w:rsidRDefault="00105178" w:rsidP="00105178">
      <w:pPr>
        <w:pStyle w:val="StandardWeb"/>
      </w:pPr>
      <w:r>
        <w:t>Empirische und physikalische Größen werden erst durch Beobachtungs- oder Kalibrierungsabbildungen mit den formalen FRZK-Strukturen verbunden. Damit entstehen keine unbegründeten Typgleichsetzungen.</w:t>
      </w:r>
    </w:p>
    <w:p w:rsidR="00105178" w:rsidRDefault="00105178" w:rsidP="00105178">
      <w:pPr>
        <w:pStyle w:val="StandardWeb"/>
      </w:pPr>
      <w:r>
        <w:t>Unter diesen Bedingungen ist die Typverletzungsmenge leer:</w:t>
      </w:r>
    </w:p>
    <w:p w:rsidR="00105178" w:rsidRDefault="00105178" w:rsidP="00105178">
      <w:pPr>
        <w:pStyle w:val="berschrift1"/>
      </w:pPr>
      <w:r>
        <w:t>[</w:t>
      </w:r>
      <w:r>
        <w:br/>
        <w:t>\mathcal{V}</w:t>
      </w:r>
      <w:r>
        <w:rPr>
          <w:rStyle w:val="Hervorhebung"/>
        </w:rPr>
        <w:t>{\mathrm{Typ}}</w:t>
      </w:r>
      <w:r>
        <w:rPr>
          <w:i/>
          <w:iCs/>
        </w:rPr>
        <w:br/>
      </w:r>
      <w:r>
        <w:rPr>
          <w:rStyle w:val="Hervorhebung"/>
        </w:rPr>
        <w:t>\left(</w:t>
      </w:r>
      <w:r>
        <w:rPr>
          <w:i/>
          <w:iCs/>
        </w:rPr>
        <w:br/>
      </w:r>
      <w:r>
        <w:rPr>
          <w:rStyle w:val="Hervorhebung"/>
        </w:rPr>
        <w:t>\mathfrak{F}</w:t>
      </w:r>
      <w:r>
        <w:t>{\mathrm{RZK}}</w:t>
      </w:r>
      <w:r>
        <w:br/>
        <w:t>\right)</w:t>
      </w:r>
    </w:p>
    <w:p w:rsidR="00105178" w:rsidRDefault="00105178" w:rsidP="00105178">
      <w:pPr>
        <w:pStyle w:val="StandardWeb"/>
      </w:pPr>
      <w:r>
        <w:t>\emptyset.</w:t>
      </w:r>
      <w:r>
        <w:br/>
        <w:t>\tag{3.4698}</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lastRenderedPageBreak/>
        <w:t>\mathcal{V}_{\mathrm{Typ}}\left(\mathfrak{F}_{\mathrm{RZK}}\right)=\emptyset\qquad\text{(3.4698)}</w:t>
      </w:r>
    </w:p>
    <w:p w:rsidR="00105178" w:rsidRDefault="00105178" w:rsidP="00105178">
      <w:pPr>
        <w:pStyle w:val="StandardWeb"/>
      </w:pPr>
      <w:r>
        <w:t>Somit gilt:</w:t>
      </w:r>
    </w:p>
    <w:p w:rsidR="00105178" w:rsidRDefault="00105178" w:rsidP="00105178">
      <w:pPr>
        <w:pStyle w:val="berschrift1"/>
      </w:pPr>
      <w:r>
        <w:t>[</w:t>
      </w:r>
      <w:r>
        <w:br/>
        <w:t>\operatorname{TK}</w:t>
      </w:r>
      <w:r>
        <w:rPr>
          <w:rStyle w:val="Hervorhebung"/>
        </w:rPr>
        <w:t>{F}</w:t>
      </w:r>
      <w:r>
        <w:rPr>
          <w:i/>
          <w:iCs/>
        </w:rPr>
        <w:br/>
      </w:r>
      <w:r>
        <w:rPr>
          <w:rStyle w:val="Hervorhebung"/>
        </w:rPr>
        <w:t>\left(</w:t>
      </w:r>
      <w:r>
        <w:rPr>
          <w:i/>
          <w:iCs/>
        </w:rPr>
        <w:br/>
      </w:r>
      <w:r>
        <w:rPr>
          <w:rStyle w:val="Hervorhebung"/>
        </w:rPr>
        <w:t>\mathfrak{F}</w:t>
      </w:r>
      <w:r>
        <w:t>{\mathrm{RZK}}</w:t>
      </w:r>
      <w:r>
        <w:br/>
        <w:t>\right)</w:t>
      </w:r>
    </w:p>
    <w:p w:rsidR="00105178" w:rsidRDefault="00105178" w:rsidP="00632D23">
      <w:pPr>
        <w:numPr>
          <w:ilvl w:val="0"/>
          <w:numId w:val="108"/>
        </w:numPr>
        <w:spacing w:before="100" w:beforeAutospacing="1" w:after="100" w:afterAutospacing="1"/>
      </w:pPr>
    </w:p>
    <w:p w:rsidR="00105178" w:rsidRDefault="00105178" w:rsidP="00105178">
      <w:pPr>
        <w:pStyle w:val="StandardWeb"/>
      </w:pPr>
      <w:r>
        <w:t>\tag{3.4699}</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\operatorname{TK}_{F}\left(\mathfrak{F}_{\mathrm{RZK}}\right)=1\qquad\text{(3.4699)}</w:t>
      </w:r>
    </w:p>
    <w:p w:rsidR="00105178" w:rsidRDefault="00105178" w:rsidP="00105178">
      <w:pPr>
        <w:pStyle w:val="StandardWeb"/>
      </w:pPr>
      <w:r>
        <w:t>Damit sind die grundlegenden FRZK-Strukturen formal typkonsistent. (\square)</w:t>
      </w:r>
    </w:p>
    <w:p w:rsidR="00105178" w:rsidRPr="00AF32B2" w:rsidRDefault="00105178" w:rsidP="00AF32B2">
      <w:pPr>
        <w:pStyle w:val="berschrift4"/>
      </w:pPr>
      <w:r w:rsidRPr="00AF32B2">
        <w:t>3.3.22.22 Reichweite des Typkonsistenzsatzes</w:t>
      </w:r>
    </w:p>
    <w:p w:rsidR="00105178" w:rsidRDefault="00105178" w:rsidP="00105178">
      <w:pPr>
        <w:pStyle w:val="StandardWeb"/>
      </w:pPr>
      <w:r>
        <w:t>Satz 3.3.4 zeigt nicht, dass jede zukünftig formulierte FRZK-Gleichung automatisch typkorrekt ist. Er bestätigt nur, dass die bisher definierten Grundstrukturen miteinander verträgliche Definitions- und Zielbereiche besitzen.</w:t>
      </w:r>
    </w:p>
    <w:p w:rsidR="00105178" w:rsidRDefault="00105178" w:rsidP="00105178">
      <w:pPr>
        <w:pStyle w:val="StandardWeb"/>
      </w:pPr>
      <w:r>
        <w:t>Für jede neue Abbildung</w:t>
      </w:r>
    </w:p>
    <w:p w:rsidR="00105178" w:rsidRDefault="00105178" w:rsidP="00105178">
      <w:pPr>
        <w:pStyle w:val="StandardWeb"/>
      </w:pPr>
      <w:r>
        <w:t>[</w:t>
      </w:r>
      <w:r>
        <w:br/>
        <w:t>f_{\mathrm{neu}}:</w:t>
      </w:r>
      <w:r>
        <w:br/>
        <w:t>A_{\mathrm{neu}}</w:t>
      </w:r>
      <w:r>
        <w:br/>
        <w:t>\rightarrow</w:t>
      </w:r>
      <w:r>
        <w:br/>
        <w:t>B_{\mathrm{neu}}</w:t>
      </w:r>
      <w:r>
        <w:br/>
        <w:t>\tag{3.4700}</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f_{\mathrm{neu}}:A_{\mathrm{neu}}\rightarrow B_{\mathrm{neu}}\qquad\text{(3.4700)}</w:t>
      </w:r>
    </w:p>
    <w:p w:rsidR="00105178" w:rsidRDefault="00105178" w:rsidP="00105178">
      <w:pPr>
        <w:pStyle w:val="StandardWeb"/>
      </w:pPr>
      <w:r>
        <w:t>muss erneut geprüft werden, ob:</w:t>
      </w:r>
    </w:p>
    <w:p w:rsidR="00105178" w:rsidRDefault="00105178" w:rsidP="00105178">
      <w:pPr>
        <w:pStyle w:val="StandardWeb"/>
      </w:pPr>
      <w:r>
        <w:t>[</w:t>
      </w:r>
      <w:r>
        <w:br/>
        <w:t>A_{\mathrm{neu}}</w:t>
      </w:r>
      <w:r>
        <w:br/>
      </w:r>
      <w:r>
        <w:lastRenderedPageBreak/>
        <w:t>\subseteq</w:t>
      </w:r>
      <w:r>
        <w:br/>
        <w:t>\mathfrak{U}_{F},</w:t>
      </w:r>
      <w:r>
        <w:br/>
        <w:t>\tag{3.4701}</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A_{\mathrm{neu}}\subseteq\mathfrak{U}_{F}\qquad\text{(3.4701)}</w:t>
      </w:r>
    </w:p>
    <w:p w:rsidR="00105178" w:rsidRDefault="00105178" w:rsidP="00105178">
      <w:pPr>
        <w:pStyle w:val="StandardWeb"/>
      </w:pPr>
      <w:r>
        <w:t>[</w:t>
      </w:r>
      <w:r>
        <w:br/>
        <w:t>B_{\mathrm{neu}}</w:t>
      </w:r>
      <w:r>
        <w:br/>
        <w:t>\subseteq</w:t>
      </w:r>
      <w:r>
        <w:br/>
        <w:t>\mathfrak{U}_{F}</w:t>
      </w:r>
      <w:r>
        <w:br/>
        <w:t>\tag{3.4702}</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B_{\mathrm{neu}}\subseteq\mathfrak{U}_{F}\qquad\text{(3.4702)}</w:t>
      </w:r>
    </w:p>
    <w:p w:rsidR="00105178" w:rsidRDefault="00105178" w:rsidP="00105178">
      <w:pPr>
        <w:pStyle w:val="StandardWeb"/>
      </w:pPr>
      <w:r>
        <w:t>und sämtliche vorgesehenen Kompositionen typzulässig sind.</w:t>
      </w:r>
    </w:p>
    <w:p w:rsidR="00105178" w:rsidRDefault="00105178" w:rsidP="00105178">
      <w:pPr>
        <w:pStyle w:val="StandardWeb"/>
      </w:pPr>
      <w:r>
        <w:rPr>
          <w:rStyle w:val="Fett"/>
        </w:rPr>
        <w:t>Eigenleistung des FRZK</w:t>
      </w:r>
    </w:p>
    <w:p w:rsidR="00105178" w:rsidRDefault="00105178" w:rsidP="00105178">
      <w:pPr>
        <w:pStyle w:val="StandardWeb"/>
      </w:pPr>
      <w:r>
        <w:t>Die Typmatrix wird als fortlaufendes Prüfwerkzeug verstanden. Jede neue Definition, Gleichung oder empirische Zuordnung muss ihren Typ, Definitionsbereich und Zielbereich explizit angeben oder eindeutig aus bereits dokumentierten Typen ableiten.</w:t>
      </w:r>
    </w:p>
    <w:p w:rsidR="00105178" w:rsidRPr="00AF32B2" w:rsidRDefault="00105178" w:rsidP="00AF32B2">
      <w:pPr>
        <w:pStyle w:val="berschrift4"/>
      </w:pPr>
      <w:r w:rsidRPr="00AF32B2">
        <w:t>3.3.22.23 Typkonsistenz und formale Konsistenz</w:t>
      </w:r>
    </w:p>
    <w:p w:rsidR="00105178" w:rsidRDefault="00105178" w:rsidP="00105178">
      <w:pPr>
        <w:pStyle w:val="StandardWeb"/>
      </w:pPr>
      <w:r>
        <w:t>Typkonsistenz und logische Konsistenz sind unterschiedliche Eigenschaften.</w:t>
      </w:r>
    </w:p>
    <w:p w:rsidR="00105178" w:rsidRDefault="00105178" w:rsidP="00105178">
      <w:pPr>
        <w:pStyle w:val="StandardWeb"/>
      </w:pPr>
      <w:r>
        <w:t>Typkonsistenz bedeutet:</w:t>
      </w:r>
    </w:p>
    <w:p w:rsidR="00105178" w:rsidRDefault="00105178" w:rsidP="00105178">
      <w:pPr>
        <w:pStyle w:val="berschrift1"/>
      </w:pPr>
      <w:r>
        <w:t>[</w:t>
      </w:r>
      <w:r>
        <w:br/>
        <w:t>\operatorname{TK}</w:t>
      </w:r>
      <w:r>
        <w:rPr>
          <w:rStyle w:val="Hervorhebung"/>
        </w:rPr>
        <w:t>{F}</w:t>
      </w:r>
      <w:r>
        <w:rPr>
          <w:i/>
          <w:iCs/>
        </w:rPr>
        <w:br/>
      </w:r>
      <w:r>
        <w:rPr>
          <w:rStyle w:val="Hervorhebung"/>
        </w:rPr>
        <w:t>\left(</w:t>
      </w:r>
      <w:r>
        <w:rPr>
          <w:i/>
          <w:iCs/>
        </w:rPr>
        <w:br/>
      </w:r>
      <w:r>
        <w:rPr>
          <w:rStyle w:val="Hervorhebung"/>
        </w:rPr>
        <w:t>\mathfrak{F}</w:t>
      </w:r>
      <w:r>
        <w:t>{\mathrm{RZK}}</w:t>
      </w:r>
      <w:r>
        <w:br/>
        <w:t>\right)</w:t>
      </w:r>
    </w:p>
    <w:p w:rsidR="00105178" w:rsidRDefault="00105178" w:rsidP="00632D23">
      <w:pPr>
        <w:numPr>
          <w:ilvl w:val="0"/>
          <w:numId w:val="109"/>
        </w:numPr>
        <w:spacing w:before="100" w:beforeAutospacing="1" w:after="100" w:afterAutospacing="1"/>
      </w:pPr>
    </w:p>
    <w:p w:rsidR="00105178" w:rsidRDefault="00105178" w:rsidP="00105178">
      <w:pPr>
        <w:pStyle w:val="StandardWeb"/>
      </w:pPr>
      <w:r>
        <w:t>\tag{3.4703}</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lastRenderedPageBreak/>
        <w:t>\operatorname{TK}_{F}\left(\mathfrak{F}_{\mathrm{RZK}}\right)=1\qquad\text{(3.4703)}</w:t>
      </w:r>
    </w:p>
    <w:p w:rsidR="00105178" w:rsidRDefault="00105178" w:rsidP="00105178">
      <w:pPr>
        <w:pStyle w:val="StandardWeb"/>
      </w:pPr>
      <w:r>
        <w:t>Logische Konsistenz bedeutet dagegen:</w:t>
      </w:r>
    </w:p>
    <w:p w:rsidR="00105178" w:rsidRDefault="00105178" w:rsidP="00105178">
      <w:pPr>
        <w:pStyle w:val="StandardWeb"/>
      </w:pPr>
      <w:r>
        <w:t>[</w:t>
      </w:r>
      <w:r>
        <w:br/>
        <w:t>\nexists A:</w:t>
      </w:r>
      <w:r>
        <w:br/>
        <w:t>\mathcal{A}</w:t>
      </w:r>
      <w:r>
        <w:rPr>
          <w:rStyle w:val="Hervorhebung"/>
        </w:rPr>
        <w:t>{F}</w:t>
      </w:r>
      <w:r>
        <w:rPr>
          <w:i/>
          <w:iCs/>
        </w:rPr>
        <w:br/>
      </w:r>
      <w:r>
        <w:rPr>
          <w:rStyle w:val="Hervorhebung"/>
        </w:rPr>
        <w:t>\vdash</w:t>
      </w:r>
      <w:r>
        <w:rPr>
          <w:i/>
          <w:iCs/>
        </w:rPr>
        <w:br/>
      </w:r>
      <w:r>
        <w:rPr>
          <w:rStyle w:val="Hervorhebung"/>
        </w:rPr>
        <w:t>A</w:t>
      </w:r>
      <w:r>
        <w:rPr>
          <w:i/>
          <w:iCs/>
        </w:rPr>
        <w:br/>
      </w:r>
      <w:r>
        <w:rPr>
          <w:rStyle w:val="Hervorhebung"/>
        </w:rPr>
        <w:t>\land</w:t>
      </w:r>
      <w:r>
        <w:rPr>
          <w:i/>
          <w:iCs/>
        </w:rPr>
        <w:br/>
      </w:r>
      <w:r>
        <w:rPr>
          <w:rStyle w:val="Hervorhebung"/>
        </w:rPr>
        <w:t>\mathcal{A}</w:t>
      </w:r>
      <w:r>
        <w:t>{F}</w:t>
      </w:r>
      <w:r>
        <w:br/>
        <w:t>\vdash</w:t>
      </w:r>
      <w:r>
        <w:br/>
        <w:t>\neg A.</w:t>
      </w:r>
      <w:r>
        <w:br/>
        <w:t>\tag{3.4704}</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\nexists A:\mathcal{A}_{F}\vdash A\land\mathcal{A}_{F}\vdash\neg A\qquad\text{(3.4704)}</w:t>
      </w:r>
    </w:p>
    <w:p w:rsidR="00105178" w:rsidRDefault="00105178" w:rsidP="00105178">
      <w:pPr>
        <w:pStyle w:val="StandardWeb"/>
      </w:pPr>
      <w:r>
        <w:t>Ein typkorrektes System kann logisch widersprüchliche Aussagen enthalten. Umgekehrt kann eine widerspruchsfreie sprachliche Beschreibung typologisch unzureichend sein.</w:t>
      </w:r>
    </w:p>
    <w:p w:rsidR="00105178" w:rsidRDefault="00105178" w:rsidP="00105178">
      <w:pPr>
        <w:pStyle w:val="StandardWeb"/>
      </w:pPr>
      <w:r>
        <w:t>Daher gilt nicht:</w:t>
      </w:r>
    </w:p>
    <w:p w:rsidR="00105178" w:rsidRDefault="00105178" w:rsidP="00105178">
      <w:pPr>
        <w:pStyle w:val="StandardWeb"/>
      </w:pPr>
      <w:r>
        <w:t>[</w:t>
      </w:r>
      <w:r>
        <w:br/>
        <w:t>\operatorname{TK}</w:t>
      </w:r>
      <w:r>
        <w:rPr>
          <w:rStyle w:val="Hervorhebung"/>
        </w:rPr>
        <w:t>{F}=1</w:t>
      </w:r>
      <w:r>
        <w:rPr>
          <w:i/>
          <w:iCs/>
        </w:rPr>
        <w:br/>
      </w:r>
      <w:r>
        <w:rPr>
          <w:rStyle w:val="Hervorhebung"/>
        </w:rPr>
        <w:t>\Rightarrow</w:t>
      </w:r>
      <w:r>
        <w:rPr>
          <w:i/>
          <w:iCs/>
        </w:rPr>
        <w:br/>
      </w:r>
      <w:r>
        <w:rPr>
          <w:rStyle w:val="Hervorhebung"/>
        </w:rPr>
        <w:t>\operatorname{Con}</w:t>
      </w:r>
      <w:r>
        <w:t>{F}=1.</w:t>
      </w:r>
      <w:r>
        <w:br/>
        <w:t>\tag{3.4705}</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\operatorname{TK}_{F}=1\Rightarrow\operatorname{Con}_{F}=1\qquad\text{(3.4705)}</w:t>
      </w:r>
    </w:p>
    <w:p w:rsidR="00105178" w:rsidRDefault="00105178" w:rsidP="00105178">
      <w:pPr>
        <w:pStyle w:val="StandardWeb"/>
      </w:pPr>
      <w:r>
        <w:t>Ebenso gilt nicht automatisch:</w:t>
      </w:r>
    </w:p>
    <w:p w:rsidR="00105178" w:rsidRDefault="00105178" w:rsidP="00105178">
      <w:pPr>
        <w:pStyle w:val="StandardWeb"/>
      </w:pPr>
      <w:r>
        <w:t>[</w:t>
      </w:r>
      <w:r>
        <w:br/>
        <w:t>\operatorname{Con}</w:t>
      </w:r>
      <w:r>
        <w:rPr>
          <w:rStyle w:val="Hervorhebung"/>
        </w:rPr>
        <w:t>{F}=1</w:t>
      </w:r>
      <w:r>
        <w:rPr>
          <w:i/>
          <w:iCs/>
        </w:rPr>
        <w:br/>
      </w:r>
      <w:r>
        <w:rPr>
          <w:rStyle w:val="Hervorhebung"/>
        </w:rPr>
        <w:t>\Rightarrow</w:t>
      </w:r>
      <w:r>
        <w:rPr>
          <w:i/>
          <w:iCs/>
        </w:rPr>
        <w:br/>
      </w:r>
      <w:r>
        <w:rPr>
          <w:rStyle w:val="Hervorhebung"/>
        </w:rPr>
        <w:t>\operatorname{TK}</w:t>
      </w:r>
      <w:r>
        <w:t>{F}=1.</w:t>
      </w:r>
      <w:r>
        <w:br/>
        <w:t>\tag{3.4706}</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\operatorname{Con}_{F}=1\Rightarrow\operatorname{TK}_{F}=1\qquad\text{(3.4706)}</w:t>
      </w:r>
    </w:p>
    <w:p w:rsidR="00105178" w:rsidRDefault="00105178" w:rsidP="00105178">
      <w:pPr>
        <w:pStyle w:val="StandardWeb"/>
      </w:pPr>
      <w:r>
        <w:lastRenderedPageBreak/>
        <w:t>Beide Eigenschaften müssen getrennt geprüft werden.</w:t>
      </w:r>
    </w:p>
    <w:p w:rsidR="00105178" w:rsidRPr="00AF32B2" w:rsidRDefault="00105178" w:rsidP="00AF32B2">
      <w:pPr>
        <w:pStyle w:val="berschrift4"/>
      </w:pPr>
      <w:r w:rsidRPr="00AF32B2">
        <w:t>3.3.22.24 Typkonsistenz und Kohärenz</w:t>
      </w:r>
    </w:p>
    <w:p w:rsidR="00105178" w:rsidRDefault="00105178" w:rsidP="00105178">
      <w:pPr>
        <w:pStyle w:val="StandardWeb"/>
      </w:pPr>
      <w:r>
        <w:t>Auch Typkonsistenz und funktionale Kohärenz sind nicht identisch.</w:t>
      </w:r>
    </w:p>
    <w:p w:rsidR="00105178" w:rsidRDefault="00105178" w:rsidP="00105178">
      <w:pPr>
        <w:pStyle w:val="StandardWeb"/>
      </w:pPr>
      <w:r>
        <w:t>Ein Modell kann typkorrekt aufgebaut und dennoch funktional inkohärent sein:</w:t>
      </w:r>
    </w:p>
    <w:p w:rsidR="00105178" w:rsidRDefault="00105178" w:rsidP="00105178">
      <w:pPr>
        <w:pStyle w:val="berschrift1"/>
      </w:pPr>
      <w:r>
        <w:t>[</w:t>
      </w:r>
      <w:r>
        <w:br/>
        <w:t>\operatorname{TK}</w:t>
      </w:r>
      <w:r>
        <w:rPr>
          <w:rStyle w:val="Hervorhebung"/>
        </w:rPr>
        <w:t>{F}</w:t>
      </w:r>
      <w:r>
        <w:rPr>
          <w:i/>
          <w:iCs/>
        </w:rPr>
        <w:br/>
      </w:r>
      <w:r>
        <w:rPr>
          <w:rStyle w:val="Hervorhebung"/>
        </w:rPr>
        <w:t>\left(</w:t>
      </w:r>
      <w:r>
        <w:rPr>
          <w:i/>
          <w:iCs/>
        </w:rPr>
        <w:br/>
      </w:r>
      <w:r>
        <w:rPr>
          <w:rStyle w:val="Hervorhebung"/>
        </w:rPr>
        <w:t>\mathfrak{F}</w:t>
      </w:r>
      <w:r>
        <w:t>{\mathrm{RZK}}</w:t>
      </w:r>
      <w:r>
        <w:br/>
        <w:t>\right)</w:t>
      </w:r>
    </w:p>
    <w:p w:rsidR="00105178" w:rsidRDefault="00105178" w:rsidP="00105178">
      <w:pPr>
        <w:pStyle w:val="StandardWeb"/>
      </w:pPr>
      <w:r>
        <w:t>1</w:t>
      </w:r>
      <w:r>
        <w:br/>
        <w:t>\tag{3.4707}</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\operatorname{TK}_{F}\left(\mathfrak{F}_{\mathrm{RZK}}\right)=1\qquad\text{(3.4707)}</w:t>
      </w:r>
    </w:p>
    <w:p w:rsidR="00105178" w:rsidRDefault="00105178" w:rsidP="00105178">
      <w:pPr>
        <w:pStyle w:val="StandardWeb"/>
      </w:pPr>
      <w:r>
        <w:t>bei gleichzeitig</w:t>
      </w:r>
    </w:p>
    <w:p w:rsidR="00105178" w:rsidRDefault="00105178" w:rsidP="00105178">
      <w:pPr>
        <w:pStyle w:val="berschrift1"/>
      </w:pPr>
      <w:r>
        <w:t>[</w:t>
      </w:r>
      <w:r>
        <w:br/>
        <w:t>\operatorname{Koh}</w:t>
      </w:r>
      <w:r>
        <w:rPr>
          <w:rStyle w:val="Hervorhebung"/>
        </w:rPr>
        <w:t>{F}</w:t>
      </w:r>
      <w:r>
        <w:rPr>
          <w:i/>
          <w:iCs/>
        </w:rPr>
        <w:br/>
      </w:r>
      <w:r>
        <w:rPr>
          <w:rStyle w:val="Hervorhebung"/>
        </w:rPr>
        <w:t>\left(</w:t>
      </w:r>
      <w:r>
        <w:rPr>
          <w:i/>
          <w:iCs/>
        </w:rPr>
        <w:br/>
      </w:r>
      <w:r>
        <w:rPr>
          <w:rStyle w:val="Hervorhebung"/>
        </w:rPr>
        <w:t>\mathfrak{F}</w:t>
      </w:r>
      <w:r>
        <w:t>{\mathrm{RZK}}</w:t>
      </w:r>
      <w:r>
        <w:br/>
        <w:t>\right)</w:t>
      </w:r>
    </w:p>
    <w:p w:rsidR="00105178" w:rsidRDefault="00105178" w:rsidP="00632D23">
      <w:pPr>
        <w:numPr>
          <w:ilvl w:val="0"/>
          <w:numId w:val="110"/>
        </w:numPr>
        <w:spacing w:before="100" w:beforeAutospacing="1" w:after="100" w:afterAutospacing="1"/>
      </w:pPr>
    </w:p>
    <w:p w:rsidR="00105178" w:rsidRDefault="00105178" w:rsidP="00105178">
      <w:pPr>
        <w:pStyle w:val="StandardWeb"/>
      </w:pPr>
      <w:r>
        <w:t>\tag{3.4708}</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\operatorname{Koh}_{F}\left(\mathfrak{F}_{\mathrm{RZK}}\right)=0\qquad\text{(3.4708)}</w:t>
      </w:r>
    </w:p>
    <w:p w:rsidR="00105178" w:rsidRDefault="00105178" w:rsidP="00105178">
      <w:pPr>
        <w:pStyle w:val="StandardWeb"/>
      </w:pPr>
      <w:r>
        <w:t>Typkonsistenz prüft, ob Objekte mathematisch zulässig verbunden sind. Kohärenz prüft, ob die ausgewählten funktionalen Bedingungen erfüllt werden.</w:t>
      </w:r>
    </w:p>
    <w:p w:rsidR="00105178" w:rsidRDefault="00105178" w:rsidP="00105178">
      <w:pPr>
        <w:pStyle w:val="StandardWeb"/>
      </w:pPr>
      <w:r>
        <w:rPr>
          <w:rStyle w:val="Fett"/>
        </w:rPr>
        <w:lastRenderedPageBreak/>
        <w:t>Eigenleistung des FRZK</w:t>
      </w:r>
    </w:p>
    <w:p w:rsidR="00105178" w:rsidRDefault="00105178" w:rsidP="00105178">
      <w:pPr>
        <w:pStyle w:val="StandardWeb"/>
      </w:pPr>
      <w:r>
        <w:t>Ich ordne Typkonsistenz als notwendige, aber nicht hinreichende Bedingung wissenschaftlich brauchbarer FRZK-Modelle ein. Ein Modell mit Typfehlern ist formal unzulässig. Ein typkorrektes Modell muss anschließend zusätzlich auf logische Konsistenz, funktionale Kohärenz und empirische Angemessenheit geprüft werden.</w:t>
      </w:r>
    </w:p>
    <w:p w:rsidR="00105178" w:rsidRPr="00AF32B2" w:rsidRDefault="00105178" w:rsidP="00AF32B2">
      <w:pPr>
        <w:pStyle w:val="berschrift4"/>
      </w:pPr>
      <w:r w:rsidRPr="00AF32B2">
        <w:t>3.3.22.25 Mehrstufiges Prüfschema</w:t>
      </w:r>
    </w:p>
    <w:p w:rsidR="00105178" w:rsidRDefault="00105178" w:rsidP="00105178">
      <w:pPr>
        <w:pStyle w:val="StandardWeb"/>
      </w:pPr>
      <w:r>
        <w:t>Die formale Prüfung eines FRZK-Modells erfolgt in der Reihenfolge:</w:t>
      </w:r>
    </w:p>
    <w:p w:rsidR="00105178" w:rsidRDefault="00105178" w:rsidP="00105178">
      <w:pPr>
        <w:pStyle w:val="StandardWeb"/>
      </w:pPr>
      <w:r>
        <w:t>[</w:t>
      </w:r>
      <w:r>
        <w:br/>
        <w:t>\operatorname{Typprüfung}</w:t>
      </w:r>
      <w:r>
        <w:br/>
        <w:t>\longrightarrow</w:t>
      </w:r>
      <w:r>
        <w:br/>
        <w:t>\operatorname{Konsistenzprüfung}</w:t>
      </w:r>
      <w:r>
        <w:br/>
        <w:t>\longrightarrow</w:t>
      </w:r>
      <w:r>
        <w:br/>
        <w:t>\operatorname{Kohärenzprüfung}</w:t>
      </w:r>
      <w:r>
        <w:br/>
        <w:t>\longrightarrow</w:t>
      </w:r>
      <w:r>
        <w:br/>
        <w:t>\operatorname{Empirieprüfung}.</w:t>
      </w:r>
      <w:r>
        <w:br/>
        <w:t>\tag{3.4709}</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\operatorname{Typprüfung}\longrightarrow\operatorname{Konsistenzprüfung}\longrightarrow\operatorname{Kohärenzprüfung}\longrightarrow\operatorname{Empirieprüfung}\qquad\text{(3.4709)}</w:t>
      </w:r>
    </w:p>
    <w:p w:rsidR="00105178" w:rsidRDefault="00105178" w:rsidP="00105178">
      <w:pPr>
        <w:pStyle w:val="StandardWeb"/>
      </w:pPr>
      <w:r>
        <w:t>Die Typprüfung beantwortet:</w:t>
      </w:r>
    </w:p>
    <w:p w:rsidR="00105178" w:rsidRDefault="00105178" w:rsidP="00105178">
      <w:pPr>
        <w:pStyle w:val="StandardWeb"/>
      </w:pPr>
      <w:r>
        <w:t>[</w:t>
      </w:r>
      <w:r>
        <w:br/>
        <w:t>\text{Sind sämtliche Ausdrücke definiert?}</w:t>
      </w:r>
      <w:r>
        <w:br/>
        <w:t>\tag{3.4710}</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\text{Sind sämtliche Ausdrücke definiert?}\qquad\text{(3.4710)}</w:t>
      </w:r>
    </w:p>
    <w:p w:rsidR="00105178" w:rsidRDefault="00105178" w:rsidP="00105178">
      <w:pPr>
        <w:pStyle w:val="StandardWeb"/>
      </w:pPr>
      <w:r>
        <w:t>Die Konsistenzprüfung beantwortet:</w:t>
      </w:r>
    </w:p>
    <w:p w:rsidR="00105178" w:rsidRDefault="00105178" w:rsidP="00105178">
      <w:pPr>
        <w:pStyle w:val="StandardWeb"/>
      </w:pPr>
      <w:r>
        <w:t>[</w:t>
      </w:r>
      <w:r>
        <w:br/>
        <w:t>\text{Sind die Aussagen gemeinsam widerspruchsfrei erfüllbar?}</w:t>
      </w:r>
      <w:r>
        <w:br/>
        <w:t>\tag{3.4711}</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\text{Sind die Aussagen gemeinsam widerspruchsfrei erfüllbar?}\qquad\text{(3.4711)}</w:t>
      </w:r>
    </w:p>
    <w:p w:rsidR="00105178" w:rsidRDefault="00105178" w:rsidP="00105178">
      <w:pPr>
        <w:pStyle w:val="StandardWeb"/>
      </w:pPr>
      <w:r>
        <w:t>Die Kohärenzprüfung beantwortet:</w:t>
      </w:r>
    </w:p>
    <w:p w:rsidR="00105178" w:rsidRDefault="00105178" w:rsidP="00105178">
      <w:pPr>
        <w:pStyle w:val="StandardWeb"/>
      </w:pPr>
      <w:r>
        <w:lastRenderedPageBreak/>
        <w:t>[</w:t>
      </w:r>
      <w:r>
        <w:br/>
        <w:t>\text{Erfüllt das Modell die ausgewählten funktionalen Bedingungen?}</w:t>
      </w:r>
      <w:r>
        <w:br/>
        <w:t>\tag{3.4712}</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\text{Erfüllt das Modell die ausgewählten funktionalen Bedingungen?}\qquad\text{(3.4712)}</w:t>
      </w:r>
    </w:p>
    <w:p w:rsidR="00105178" w:rsidRDefault="00105178" w:rsidP="00105178">
      <w:pPr>
        <w:pStyle w:val="StandardWeb"/>
      </w:pPr>
      <w:r>
        <w:t>Die empirische Prüfung beantwortet:</w:t>
      </w:r>
    </w:p>
    <w:p w:rsidR="00105178" w:rsidRDefault="00105178" w:rsidP="00105178">
      <w:pPr>
        <w:pStyle w:val="StandardWeb"/>
      </w:pPr>
      <w:r>
        <w:t>[</w:t>
      </w:r>
      <w:r>
        <w:br/>
        <w:t>\text{Stimmen Modellvorhersagen und Beobachtungen hinreichend überein?}</w:t>
      </w:r>
      <w:r>
        <w:br/>
        <w:t>\tag{3.4713}</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\text{Stimmen Modellvorhersagen und Beobachtungen hinreichend überein?}\qquad\text{(3.4713)}</w:t>
      </w:r>
    </w:p>
    <w:p w:rsidR="00105178" w:rsidRDefault="00105178" w:rsidP="00105178">
      <w:pPr>
        <w:pStyle w:val="StandardWeb"/>
      </w:pPr>
      <w:r>
        <w:t>Die Reihenfolge verhindert, dass empirische Vergleiche mit formal nicht definierten oder logisch widersprüchlichen Strukturen durchgeführt werden.</w:t>
      </w:r>
    </w:p>
    <w:p w:rsidR="00105178" w:rsidRPr="00AF32B2" w:rsidRDefault="00105178" w:rsidP="00AF32B2">
      <w:pPr>
        <w:pStyle w:val="berschrift4"/>
      </w:pPr>
      <w:r w:rsidRPr="00AF32B2">
        <w:t>3.3.22.26 Ergebnis der Typprüfung</w:t>
      </w:r>
    </w:p>
    <w:p w:rsidR="00105178" w:rsidRDefault="00105178" w:rsidP="00105178">
      <w:pPr>
        <w:pStyle w:val="StandardWeb"/>
      </w:pPr>
      <w:r>
        <w:t>Die Prüfung zeigt, dass die bisherigen FRZK-Strukturen formal typverträglich aufgebaut werden können. Entscheidend ist die konsequente Unterscheidung zwischen:</w:t>
      </w:r>
    </w:p>
    <w:p w:rsidR="00105178" w:rsidRDefault="00105178" w:rsidP="00632D23">
      <w:pPr>
        <w:pStyle w:val="StandardWeb"/>
        <w:numPr>
          <w:ilvl w:val="0"/>
          <w:numId w:val="111"/>
        </w:numPr>
      </w:pPr>
      <w:r>
        <w:t>elementaren Zuständen (\delta),</w:t>
      </w:r>
    </w:p>
    <w:p w:rsidR="00105178" w:rsidRDefault="00105178" w:rsidP="00632D23">
      <w:pPr>
        <w:pStyle w:val="StandardWeb"/>
        <w:numPr>
          <w:ilvl w:val="0"/>
          <w:numId w:val="111"/>
        </w:numPr>
      </w:pPr>
      <w:r>
        <w:t>funktionalen Zustandsklassen ([\delta]_{!F}),</w:t>
      </w:r>
    </w:p>
    <w:p w:rsidR="00105178" w:rsidRDefault="00105178" w:rsidP="00632D23">
      <w:pPr>
        <w:pStyle w:val="StandardWeb"/>
        <w:numPr>
          <w:ilvl w:val="0"/>
          <w:numId w:val="111"/>
        </w:numPr>
      </w:pPr>
      <w:r>
        <w:t>funktionalen Relationen (R),</w:t>
      </w:r>
    </w:p>
    <w:p w:rsidR="00105178" w:rsidRDefault="00105178" w:rsidP="00632D23">
      <w:pPr>
        <w:pStyle w:val="StandardWeb"/>
        <w:numPr>
          <w:ilvl w:val="0"/>
          <w:numId w:val="111"/>
        </w:numPr>
      </w:pPr>
      <w:r>
        <w:t>funktionalen Transformationen (T),</w:t>
      </w:r>
    </w:p>
    <w:p w:rsidR="00105178" w:rsidRDefault="00105178" w:rsidP="00632D23">
      <w:pPr>
        <w:pStyle w:val="StandardWeb"/>
        <w:numPr>
          <w:ilvl w:val="0"/>
          <w:numId w:val="111"/>
        </w:numPr>
      </w:pPr>
      <w:r>
        <w:t>funktionalen Zeitwerten (\vartheta(x)),</w:t>
      </w:r>
    </w:p>
    <w:p w:rsidR="00105178" w:rsidRDefault="00105178" w:rsidP="00632D23">
      <w:pPr>
        <w:pStyle w:val="StandardWeb"/>
        <w:numPr>
          <w:ilvl w:val="0"/>
          <w:numId w:val="111"/>
        </w:numPr>
      </w:pPr>
      <w:r>
        <w:t>räumlichen Repräsentationen (\varphi(x)),</w:t>
      </w:r>
    </w:p>
    <w:p w:rsidR="00105178" w:rsidRDefault="00105178" w:rsidP="00632D23">
      <w:pPr>
        <w:pStyle w:val="StandardWeb"/>
        <w:numPr>
          <w:ilvl w:val="0"/>
          <w:numId w:val="111"/>
        </w:numPr>
      </w:pPr>
      <w:r>
        <w:t>funktionalen Raum-Zeit-Zuständen (z_{F}(x)),</w:t>
      </w:r>
    </w:p>
    <w:p w:rsidR="00105178" w:rsidRDefault="00105178" w:rsidP="00632D23">
      <w:pPr>
        <w:pStyle w:val="StandardWeb"/>
        <w:numPr>
          <w:ilvl w:val="0"/>
          <w:numId w:val="111"/>
        </w:numPr>
      </w:pPr>
      <w:r>
        <w:t>Kohärenzwerten (K_{\mathcal{C}}),</w:t>
      </w:r>
    </w:p>
    <w:p w:rsidR="00105178" w:rsidRDefault="00105178" w:rsidP="00632D23">
      <w:pPr>
        <w:pStyle w:val="StandardWeb"/>
        <w:numPr>
          <w:ilvl w:val="0"/>
          <w:numId w:val="111"/>
        </w:numPr>
      </w:pPr>
      <w:r>
        <w:t>empirischen und physikalischen Werten.</w:t>
      </w:r>
    </w:p>
    <w:p w:rsidR="00105178" w:rsidRDefault="00105178" w:rsidP="00105178">
      <w:pPr>
        <w:pStyle w:val="StandardWeb"/>
      </w:pPr>
      <w:r>
        <w:t>Übergänge zwischen diesen Typen sind nur über ausdrücklich definierte Abbildungen zulässig. Dazu gehören insbesondere die Quotientenabbildung (\pi_{F}), die Zeitabbildung (\vartheta), Raumkarten (\varphi), Beobachtungsabbildungen (\mathcal{O}_{F}) und Kalibrierungsabbildungen (\chi), (\psi) sowie (\Omega) [58, 59, 71, 75].</w:t>
      </w:r>
    </w:p>
    <w:p w:rsidR="00105178" w:rsidRDefault="00105178" w:rsidP="00105178">
      <w:pPr>
        <w:pStyle w:val="StandardWeb"/>
      </w:pPr>
      <w:r>
        <w:rPr>
          <w:rStyle w:val="Fett"/>
        </w:rPr>
        <w:t>Eigenleistung des FRZK</w:t>
      </w:r>
    </w:p>
    <w:p w:rsidR="00105178" w:rsidRDefault="00105178" w:rsidP="00105178">
      <w:pPr>
        <w:pStyle w:val="StandardWeb"/>
      </w:pPr>
      <w:r>
        <w:t>Mit Definition 3.3.14 und Satz 3.3.4 steht erstmals ein formales Typprüfsystem für sämtliche weiteren FRZK-Konstruktionen zur Verfügung. Jede spätere Gleichung muss anhand der Typmatrix kontrolliert werden. Nicht ausdrücklich vermittelte Gleichsetzungen zwischen Zuständen, Klassen, Koordinaten, Zeitwerten, Kohärenzwerten und empirischen Größen sind unzulässig.</w:t>
      </w:r>
    </w:p>
    <w:p w:rsidR="00105178" w:rsidRPr="00AF32B2" w:rsidRDefault="00105178" w:rsidP="00AF32B2">
      <w:pPr>
        <w:pStyle w:val="berschrift4"/>
      </w:pPr>
      <w:r w:rsidRPr="00AF32B2">
        <w:lastRenderedPageBreak/>
        <w:t>3.3.22.27 Übergang zur Prüfung der Definitionsabhängigkeiten</w:t>
      </w:r>
    </w:p>
    <w:p w:rsidR="00105178" w:rsidRDefault="00105178" w:rsidP="00105178">
      <w:pPr>
        <w:pStyle w:val="StandardWeb"/>
      </w:pPr>
      <w:r>
        <w:t>Die Typprüfung bestätigt, dass die grundlegenden Objektklassen und Abbildungen formal miteinander kompatibel sind. Noch offen ist jedoch, welche Definitionen logisch oder konstruktiv von welchen vorhergehenden Definitionen abhängen.</w:t>
      </w:r>
    </w:p>
    <w:p w:rsidR="00105178" w:rsidRDefault="00105178" w:rsidP="00105178">
      <w:pPr>
        <w:pStyle w:val="StandardWeb"/>
      </w:pPr>
      <w:r>
        <w:t>Eine Definitionsabhängigkeit kann schematisch geschrieben werden als:</w:t>
      </w:r>
    </w:p>
    <w:p w:rsidR="00105178" w:rsidRDefault="00105178" w:rsidP="00105178">
      <w:pPr>
        <w:pStyle w:val="StandardWeb"/>
      </w:pPr>
      <w:r>
        <w:t>[</w:t>
      </w:r>
      <w:r>
        <w:br/>
        <w:t>D_i</w:t>
      </w:r>
      <w:r>
        <w:br/>
        <w:t>\longrightarrow</w:t>
      </w:r>
      <w:r>
        <w:br/>
        <w:t>D_j.</w:t>
      </w:r>
      <w:r>
        <w:br/>
        <w:t>\tag{3.4714}</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D_i\longrightarrow D_j\qquad\text{(3.4714)}</w:t>
      </w:r>
    </w:p>
    <w:p w:rsidR="00105178" w:rsidRDefault="00105178" w:rsidP="00105178">
      <w:pPr>
        <w:pStyle w:val="StandardWeb"/>
      </w:pPr>
      <w:r>
        <w:t>Der Pfeil bedeutet, dass Definition (D_j) mindestens einen Begriff, eine Struktur oder eine Abbildung aus Definition (D_i) verwendet.</w:t>
      </w:r>
    </w:p>
    <w:p w:rsidR="00105178" w:rsidRDefault="00105178" w:rsidP="00105178">
      <w:pPr>
        <w:pStyle w:val="StandardWeb"/>
      </w:pPr>
      <w:r>
        <w:t>Die Menge aller Definitionsabhängigkeiten kann als gerichteter Graph dargestellt werden:</w:t>
      </w:r>
    </w:p>
    <w:p w:rsidR="00105178" w:rsidRDefault="00105178" w:rsidP="00105178">
      <w:pPr>
        <w:pStyle w:val="berschrift1"/>
      </w:pPr>
      <w:r>
        <w:t>[</w:t>
      </w:r>
      <w:r>
        <w:br/>
        <w:t>\mathfrak{G}_{D}</w:t>
      </w:r>
    </w:p>
    <w:p w:rsidR="00105178" w:rsidRDefault="00105178" w:rsidP="00105178">
      <w:pPr>
        <w:pStyle w:val="StandardWeb"/>
      </w:pPr>
      <w:r>
        <w:t>\left(</w:t>
      </w:r>
      <w:r>
        <w:br/>
        <w:t>\mathcal{D}</w:t>
      </w:r>
      <w:r>
        <w:rPr>
          <w:rStyle w:val="Hervorhebung"/>
        </w:rPr>
        <w:t>{F},</w:t>
      </w:r>
      <w:r>
        <w:rPr>
          <w:i/>
          <w:iCs/>
        </w:rPr>
        <w:br/>
      </w:r>
      <w:r>
        <w:rPr>
          <w:rStyle w:val="Hervorhebung"/>
        </w:rPr>
        <w:t>\mathcal{R}</w:t>
      </w:r>
      <w:r>
        <w:t>{D}</w:t>
      </w:r>
      <w:r>
        <w:br/>
        <w:t>\right).</w:t>
      </w:r>
      <w:r>
        <w:br/>
        <w:t>\tag{3.4715}</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\mathfrak{G}_{D}=\left(\mathcal{D}_{F},\mathcal{R}_{D}\right)\qquad\text{(3.4715)}</w:t>
      </w:r>
    </w:p>
    <w:p w:rsidR="00105178" w:rsidRDefault="00105178" w:rsidP="00105178">
      <w:pPr>
        <w:pStyle w:val="StandardWeb"/>
      </w:pPr>
      <w:r>
        <w:t>Dabei bezeichnet:</w:t>
      </w:r>
    </w:p>
    <w:p w:rsidR="00105178" w:rsidRDefault="00105178" w:rsidP="00632D23">
      <w:pPr>
        <w:pStyle w:val="StandardWeb"/>
        <w:numPr>
          <w:ilvl w:val="0"/>
          <w:numId w:val="112"/>
        </w:numPr>
      </w:pPr>
      <w:r>
        <w:t>(\mathcal{D}_{F}) die Menge aller FRZK-Definitionen,</w:t>
      </w:r>
    </w:p>
    <w:p w:rsidR="00105178" w:rsidRDefault="00105178" w:rsidP="00632D23">
      <w:pPr>
        <w:pStyle w:val="StandardWeb"/>
        <w:numPr>
          <w:ilvl w:val="0"/>
          <w:numId w:val="112"/>
        </w:numPr>
      </w:pPr>
      <w:r>
        <w:t>(\mathcal{R}_{D}) die gerichtete Abhängigkeitsrelation zwischen diesen Definitionen.</w:t>
      </w:r>
    </w:p>
    <w:p w:rsidR="00105178" w:rsidRDefault="00105178" w:rsidP="00105178">
      <w:pPr>
        <w:pStyle w:val="StandardWeb"/>
      </w:pPr>
      <w:r>
        <w:t>Eine zyklische Definitionsabhängigkeit wäre gegeben durch:</w:t>
      </w:r>
    </w:p>
    <w:p w:rsidR="00105178" w:rsidRDefault="00105178" w:rsidP="00105178">
      <w:pPr>
        <w:pStyle w:val="StandardWeb"/>
      </w:pPr>
      <w:r>
        <w:t>[</w:t>
      </w:r>
      <w:r>
        <w:br/>
        <w:t>D_i</w:t>
      </w:r>
      <w:r>
        <w:br/>
        <w:t>\longrightarrow</w:t>
      </w:r>
      <w:r>
        <w:br/>
      </w:r>
      <w:r>
        <w:lastRenderedPageBreak/>
        <w:t>D_j</w:t>
      </w:r>
      <w:r>
        <w:br/>
        <w:t>\longrightarrow</w:t>
      </w:r>
      <w:r>
        <w:br/>
        <w:t>D_i.</w:t>
      </w:r>
      <w:r>
        <w:br/>
        <w:t>\tag{3.4716}</w:t>
      </w:r>
      <w:r>
        <w:br/>
        <w:t>]</w:t>
      </w:r>
    </w:p>
    <w:p w:rsidR="00105178" w:rsidRDefault="00105178" w:rsidP="00105178">
      <w:pPr>
        <w:pStyle w:val="StandardWeb"/>
      </w:pPr>
      <w:r>
        <w:rPr>
          <w:rStyle w:val="Fett"/>
        </w:rPr>
        <w:t>Word-LaTeX</w:t>
      </w:r>
    </w:p>
    <w:p w:rsidR="00105178" w:rsidRDefault="00105178" w:rsidP="00105178">
      <w:pPr>
        <w:pStyle w:val="HTMLVorformatiert"/>
        <w:rPr>
          <w:rStyle w:val="HTMLCode"/>
        </w:rPr>
      </w:pPr>
      <w:r>
        <w:rPr>
          <w:rStyle w:val="HTMLCode"/>
        </w:rPr>
        <w:t>D_i\longrightarrow D_j\longrightarrow D_i\qquad\text{(3.4716)}</w:t>
      </w:r>
    </w:p>
    <w:p w:rsidR="00105178" w:rsidRDefault="00105178" w:rsidP="00105178">
      <w:pPr>
        <w:pStyle w:val="StandardWeb"/>
      </w:pPr>
      <w:r>
        <w:t>Nicht jede zyklische Bezugnahme ist automatisch unzulässig. Eine echte zirkuläre Definition liegt jedoch vor, wenn keiner der beteiligten Begriffe unabhängig bestimmt werden kann.</w:t>
      </w:r>
    </w:p>
    <w:p w:rsidR="00105178" w:rsidRDefault="00105178" w:rsidP="00105178">
      <w:pPr>
        <w:pStyle w:val="StandardWeb"/>
      </w:pPr>
      <w:r>
        <w:rPr>
          <w:rStyle w:val="Fett"/>
        </w:rPr>
        <w:t>Eigenleistung des FRZK</w:t>
      </w:r>
    </w:p>
    <w:p w:rsidR="00105178" w:rsidRDefault="00105178" w:rsidP="00105178">
      <w:pPr>
        <w:pStyle w:val="StandardWeb"/>
      </w:pPr>
      <w:r>
        <w:t>Der folgende Abschnitt erstellt deshalb einen vollständigen Abhängigkeitsgraphen der bisherigen Definitionen. Ziel ist zu prüfen, ob die Reihenfolge der Begriffsbildung wohlfundiert ist und ob versteckte zirkuläre Definitionen ausgeschlossen werden können.</w:t>
      </w:r>
    </w:p>
    <w:p w:rsidR="00B90A2E" w:rsidRDefault="00B90A2E" w:rsidP="00B90A2E">
      <w:pPr>
        <w:pStyle w:val="berschrift2"/>
      </w:pPr>
      <w:r>
        <w:t>Ergänzung zu 3.3.22 – Prüfung der formalen Typkonsistenz der FRZK-Strukturen</w:t>
      </w:r>
    </w:p>
    <w:p w:rsidR="00B90A2E" w:rsidRDefault="00B90A2E" w:rsidP="00B90A2E">
      <w:pPr>
        <w:pStyle w:val="berschrift3"/>
      </w:pPr>
      <w:r>
        <w:t>Methodologische Betrachtungen</w:t>
      </w:r>
    </w:p>
    <w:p w:rsidR="00B90A2E" w:rsidRDefault="00B90A2E" w:rsidP="00B90A2E">
      <w:pPr>
        <w:pStyle w:val="StandardWeb"/>
      </w:pPr>
      <w:r>
        <w:t>Nach der logischen Prüfung der Primäraxiome verschiebt sich der Schwerpunkt auf die formale Sprache des inzwischen erheblich gewachsenen FRZK. Zustände, Zustandsklassen, Relationen, Transformationen, Entwicklungen, Ordnungen, Zeitwerte, Raumwerte, Raum-Zeit-Zustände, Kohärenzwerte und empirische Größen dürfen nicht beliebig miteinander verknüpft werden. Abschnitt 3.3.22 führt deshalb eine verbindliche FRZK-Typmatrix und ein mehrstufiges Typkonsistenzverfahren ein. Der Repository-Stand enthält Definition 3.3.14, Satz 3.3.4 und die Gleichungen (3.4592) bis (3.4716).</w:t>
      </w:r>
    </w:p>
    <w:p w:rsidR="00B90A2E" w:rsidRDefault="00B90A2E" w:rsidP="00B90A2E">
      <w:pPr>
        <w:pStyle w:val="StandardWeb"/>
      </w:pPr>
      <w:r>
        <w:t>Die Menge der grundlegenden FRZK-Typen wird ausdrücklich angegeben:</w:t>
      </w:r>
    </w:p>
    <w:p w:rsidR="00B90A2E" w:rsidRDefault="00B90A2E" w:rsidP="00B90A2E">
      <w:pPr>
        <w:pStyle w:val="berschrift1"/>
      </w:pPr>
      <w:r>
        <w:t>[</w:t>
      </w:r>
      <w:r>
        <w:br/>
        <w:t>\mathfrak{Y}_{F}</w:t>
      </w:r>
    </w:p>
    <w:p w:rsidR="00B90A2E" w:rsidRDefault="00B90A2E" w:rsidP="00B90A2E">
      <w:pPr>
        <w:pStyle w:val="StandardWeb"/>
      </w:pPr>
      <w:r>
        <w:t>\left{</w:t>
      </w:r>
      <w:r>
        <w:br/>
        <w:t>\mathbf{State},</w:t>
      </w:r>
      <w:r>
        <w:br/>
        <w:t>\mathbf{Class},</w:t>
      </w:r>
      <w:r>
        <w:br/>
        <w:t>\mathbf{Relation},</w:t>
      </w:r>
      <w:r>
        <w:br/>
        <w:t>\mathbf{Transformation},</w:t>
      </w:r>
      <w:r>
        <w:br/>
        <w:t>\mathbf{Development},</w:t>
      </w:r>
      <w:r>
        <w:br/>
        <w:t>\mathbf{Order},</w:t>
      </w:r>
      <w:r>
        <w:br/>
        <w:t>\mathbf{TimeValue},</w:t>
      </w:r>
      <w:r>
        <w:br/>
        <w:t>\mathbf{SpaceValue},</w:t>
      </w:r>
      <w:r>
        <w:br/>
        <w:t>\mathbf{SpaceTimeState},</w:t>
      </w:r>
      <w:r>
        <w:br/>
        <w:t>\mathbf{CoherenceValue},</w:t>
      </w:r>
      <w:r>
        <w:br/>
        <w:t>\mathbf{EmpiricalValue}</w:t>
      </w:r>
      <w:r>
        <w:br/>
      </w:r>
      <w:r>
        <w:lastRenderedPageBreak/>
        <w:t>\right}.</w:t>
      </w:r>
      <w:r>
        <w:br/>
        <w:t>\tag{3.4592}</w:t>
      </w:r>
      <w:r>
        <w:br/>
        <w:t>]</w:t>
      </w:r>
    </w:p>
    <w:p w:rsidR="00B90A2E" w:rsidRDefault="00B90A2E" w:rsidP="00B90A2E">
      <w:pPr>
        <w:pStyle w:val="StandardWeb"/>
      </w:pPr>
      <w:r>
        <w:rPr>
          <w:rStyle w:val="Fett"/>
        </w:rPr>
        <w:t>Word-LaTeX</w:t>
      </w:r>
    </w:p>
    <w:p w:rsidR="00B90A2E" w:rsidRDefault="00B90A2E" w:rsidP="00B90A2E">
      <w:pPr>
        <w:pStyle w:val="HTMLVorformatiert"/>
        <w:rPr>
          <w:rStyle w:val="HTMLCode"/>
        </w:rPr>
      </w:pPr>
      <w:r>
        <w:rPr>
          <w:rStyle w:val="HTMLCode"/>
        </w:rPr>
        <w:t>\mathfrak{Y}_{F}=\left\{\mathbf{State},\mathbf{Class},\mathbf{Relation},\mathbf{Transformation},\mathbf{Development},\mathbf{Order},\mathbf{TimeValue},\mathbf{SpaceValue},\mathbf{SpaceTimeState},\mathbf{CoherenceValue},\mathbf{EmpiricalValue}\right\}\qquad\text{(3.4592)}</w:t>
      </w:r>
    </w:p>
    <w:p w:rsidR="00B90A2E" w:rsidRDefault="00B90A2E" w:rsidP="00B90A2E">
      <w:pPr>
        <w:pStyle w:val="StandardWeb"/>
      </w:pPr>
      <w:r>
        <w:t>Jedem FRZK-Objekt muss ein Typ zugeordnet werden:</w:t>
      </w:r>
    </w:p>
    <w:p w:rsidR="00B90A2E" w:rsidRDefault="00B90A2E" w:rsidP="00B90A2E">
      <w:pPr>
        <w:pStyle w:val="StandardWeb"/>
      </w:pPr>
      <w:r>
        <w:t>[</w:t>
      </w:r>
      <w:r>
        <w:br/>
        <w:t>\operatorname{Typ}</w:t>
      </w:r>
      <w:r>
        <w:rPr>
          <w:rStyle w:val="Hervorhebung"/>
        </w:rPr>
        <w:t>{F}(x)</w:t>
      </w:r>
      <w:r>
        <w:rPr>
          <w:i/>
          <w:iCs/>
        </w:rPr>
        <w:br/>
      </w:r>
      <w:r>
        <w:rPr>
          <w:rStyle w:val="Hervorhebung"/>
        </w:rPr>
        <w:t>\in</w:t>
      </w:r>
      <w:r>
        <w:rPr>
          <w:i/>
          <w:iCs/>
        </w:rPr>
        <w:br/>
      </w:r>
      <w:r>
        <w:rPr>
          <w:rStyle w:val="Hervorhebung"/>
        </w:rPr>
        <w:t>\mathfrak{Y}</w:t>
      </w:r>
      <w:r>
        <w:t>{F}.</w:t>
      </w:r>
      <w:r>
        <w:br/>
        <w:t>\tag{3.4593}</w:t>
      </w:r>
      <w:r>
        <w:br/>
        <w:t>]</w:t>
      </w:r>
    </w:p>
    <w:p w:rsidR="00B90A2E" w:rsidRDefault="00B90A2E" w:rsidP="00B90A2E">
      <w:pPr>
        <w:pStyle w:val="StandardWeb"/>
      </w:pPr>
      <w:r>
        <w:rPr>
          <w:rStyle w:val="Fett"/>
        </w:rPr>
        <w:t>Word-LaTeX</w:t>
      </w:r>
    </w:p>
    <w:p w:rsidR="00B90A2E" w:rsidRDefault="00B90A2E" w:rsidP="00B90A2E">
      <w:pPr>
        <w:pStyle w:val="HTMLVorformatiert"/>
        <w:rPr>
          <w:rStyle w:val="HTMLCode"/>
        </w:rPr>
      </w:pPr>
      <w:r>
        <w:rPr>
          <w:rStyle w:val="HTMLCode"/>
        </w:rPr>
        <w:t>\operatorname{Typ}_{F}(x)\in\mathfrak{Y}_{F}\qquad\text{(3.4593)}</w:t>
      </w:r>
    </w:p>
    <w:p w:rsidR="00B90A2E" w:rsidRDefault="00B90A2E" w:rsidP="00B90A2E">
      <w:pPr>
        <w:pStyle w:val="StandardWeb"/>
      </w:pPr>
      <w:r>
        <w:t>Die Typzuordnung selbst besitzt die Form</w:t>
      </w:r>
    </w:p>
    <w:p w:rsidR="00B90A2E" w:rsidRDefault="00B90A2E" w:rsidP="00B90A2E">
      <w:pPr>
        <w:pStyle w:val="StandardWeb"/>
      </w:pPr>
      <w:r>
        <w:t>[</w:t>
      </w:r>
      <w:r>
        <w:br/>
        <w:t>\operatorname{Typ}</w:t>
      </w:r>
      <w:r>
        <w:rPr>
          <w:rStyle w:val="Hervorhebung"/>
        </w:rPr>
        <w:t>{F}:</w:t>
      </w:r>
      <w:r>
        <w:rPr>
          <w:i/>
          <w:iCs/>
        </w:rPr>
        <w:br/>
      </w:r>
      <w:r>
        <w:rPr>
          <w:rStyle w:val="Hervorhebung"/>
        </w:rPr>
        <w:t>\mathfrak{U}</w:t>
      </w:r>
      <w:r>
        <w:t>{F}</w:t>
      </w:r>
      <w:r>
        <w:br/>
        <w:t>\rightarrow</w:t>
      </w:r>
      <w:r>
        <w:br/>
        <w:t>\mathfrak{Y}_{F}.</w:t>
      </w:r>
      <w:r>
        <w:br/>
        <w:t>\tag{3.4594}</w:t>
      </w:r>
      <w:r>
        <w:br/>
        <w:t>]</w:t>
      </w:r>
    </w:p>
    <w:p w:rsidR="00B90A2E" w:rsidRDefault="00B90A2E" w:rsidP="00B90A2E">
      <w:pPr>
        <w:pStyle w:val="StandardWeb"/>
      </w:pPr>
      <w:r>
        <w:rPr>
          <w:rStyle w:val="Fett"/>
        </w:rPr>
        <w:t>Word-LaTeX</w:t>
      </w:r>
    </w:p>
    <w:p w:rsidR="00B90A2E" w:rsidRDefault="00B90A2E" w:rsidP="00B90A2E">
      <w:pPr>
        <w:pStyle w:val="HTMLVorformatiert"/>
        <w:rPr>
          <w:rStyle w:val="HTMLCode"/>
        </w:rPr>
      </w:pPr>
      <w:r>
        <w:rPr>
          <w:rStyle w:val="HTMLCode"/>
        </w:rPr>
        <w:t>\operatorname{Typ}_{F}:\mathfrak{U}_{F}\rightarrow\mathfrak{Y}_{F}\qquad\text{(3.4594)}</w:t>
      </w:r>
    </w:p>
    <w:p w:rsidR="00B90A2E" w:rsidRDefault="00B90A2E" w:rsidP="00B90A2E">
      <w:pPr>
        <w:pStyle w:val="StandardWeb"/>
      </w:pPr>
      <w:r>
        <w:t>Ein elementarer funktionaler Zustand ist beispielsweise ein Objekt mit</w:t>
      </w:r>
    </w:p>
    <w:p w:rsidR="00B90A2E" w:rsidRDefault="00B90A2E" w:rsidP="00B90A2E">
      <w:pPr>
        <w:pStyle w:val="StandardWeb"/>
      </w:pPr>
      <w:r>
        <w:t>[</w:t>
      </w:r>
      <w:r>
        <w:br/>
        <w:t>\delta</w:t>
      </w:r>
      <w:r>
        <w:br/>
        <w:t>\in</w:t>
      </w:r>
      <w:r>
        <w:br/>
        <w:t>\mathcal{S}_{\mathrm{el}}.</w:t>
      </w:r>
      <w:r>
        <w:br/>
        <w:t>\tag{3.4595}</w:t>
      </w:r>
      <w:r>
        <w:br/>
        <w:t>]</w:t>
      </w:r>
    </w:p>
    <w:p w:rsidR="00B90A2E" w:rsidRDefault="00B90A2E" w:rsidP="00B90A2E">
      <w:pPr>
        <w:pStyle w:val="StandardWeb"/>
      </w:pPr>
      <w:r>
        <w:rPr>
          <w:rStyle w:val="Fett"/>
        </w:rPr>
        <w:t>Word-LaTeX</w:t>
      </w:r>
    </w:p>
    <w:p w:rsidR="00B90A2E" w:rsidRDefault="00B90A2E" w:rsidP="00B90A2E">
      <w:pPr>
        <w:pStyle w:val="HTMLVorformatiert"/>
        <w:rPr>
          <w:rStyle w:val="HTMLCode"/>
        </w:rPr>
      </w:pPr>
      <w:r>
        <w:rPr>
          <w:rStyle w:val="HTMLCode"/>
        </w:rPr>
        <w:t>\delta\in\mathcal{S}_{\mathrm{el}}\qquad\text{(3.4595)}</w:t>
      </w:r>
    </w:p>
    <w:p w:rsidR="00B90A2E" w:rsidRDefault="00B90A2E" w:rsidP="00B90A2E">
      <w:pPr>
        <w:pStyle w:val="StandardWeb"/>
      </w:pPr>
      <w:r>
        <w:lastRenderedPageBreak/>
        <w:t>Die eigentliche Typmatrix wird im Repository als Zuordnung von Objekt, Typ, Definitionsbereich, Ziel- beziehungsweise Wertebereich und zulässigen Operationen verstanden:</w:t>
      </w:r>
    </w:p>
    <w:p w:rsidR="00B90A2E" w:rsidRDefault="00B90A2E" w:rsidP="00B90A2E">
      <w:pPr>
        <w:pStyle w:val="StandardWeb"/>
      </w:pPr>
      <w:r>
        <w:t>[</w:t>
      </w:r>
      <w:r>
        <w:br/>
        <w:t>\mathfrak{M}</w:t>
      </w:r>
      <w:r>
        <w:rPr>
          <w:rStyle w:val="Hervorhebung"/>
        </w:rPr>
        <w:t>{\mathrm{Typ}}:</w:t>
      </w:r>
      <w:r>
        <w:rPr>
          <w:i/>
          <w:iCs/>
        </w:rPr>
        <w:br/>
      </w:r>
      <w:r>
        <w:rPr>
          <w:rStyle w:val="Hervorhebung"/>
        </w:rPr>
        <w:t>\mathfrak{U}</w:t>
      </w:r>
      <w:r>
        <w:t>{F}</w:t>
      </w:r>
      <w:r>
        <w:br/>
        <w:t>\rightarrow</w:t>
      </w:r>
      <w:r>
        <w:br/>
        <w:t>\left(</w:t>
      </w:r>
      <w:r>
        <w:br/>
        <w:t>\mathfrak{Y}_{F},</w:t>
      </w:r>
      <w:r>
        <w:br/>
        <w:t>\operatorname{Dom},</w:t>
      </w:r>
      <w:r>
        <w:br/>
        <w:t>\operatorname{Cod},</w:t>
      </w:r>
      <w:r>
        <w:br/>
        <w:t>\operatorname{Op}</w:t>
      </w:r>
      <w:r>
        <w:br/>
        <w:t>\right).</w:t>
      </w:r>
      <w:r>
        <w:br/>
        <w:t>]</w:t>
      </w:r>
    </w:p>
    <w:p w:rsidR="00B90A2E" w:rsidRDefault="00B90A2E" w:rsidP="00B90A2E">
      <w:pPr>
        <w:pStyle w:val="StandardWeb"/>
      </w:pPr>
      <w:r>
        <w:rPr>
          <w:rStyle w:val="Fett"/>
        </w:rPr>
        <w:t>Word-LaTeX</w:t>
      </w:r>
    </w:p>
    <w:p w:rsidR="00B90A2E" w:rsidRDefault="00B90A2E" w:rsidP="00B90A2E">
      <w:pPr>
        <w:pStyle w:val="HTMLVorformatiert"/>
        <w:rPr>
          <w:rStyle w:val="HTMLCode"/>
        </w:rPr>
      </w:pPr>
      <w:r>
        <w:rPr>
          <w:rStyle w:val="HTMLCode"/>
        </w:rPr>
        <w:t>\mathfrak{M}_{\mathrm{Typ}}:\mathfrak{U}_{F}\rightarrow\left(\mathfrak{Y}_{F},\operatorname{Dom},\operatorname{Cod},\operatorname{Op}\right)</w:t>
      </w:r>
    </w:p>
    <w:p w:rsidR="00B90A2E" w:rsidRDefault="00B90A2E" w:rsidP="00B90A2E">
      <w:pPr>
        <w:pStyle w:val="StandardWeb"/>
      </w:pPr>
      <w:r>
        <w:t>Methodologisch geht es dabei um mehr als formale Sauberkeit. Typfehler können theoretische Bedeutungsfehler verdecken. Wenn beispielsweise eine Transformation Zustände abbildet, darf sie nicht ohne zusätzliche Definition plötzlich einen Zeitwert als Argument erwarten. Ebenso darf eine Kohärenzfunktion nicht stillschweigend auf Objekte angewendet werden, die außerhalb ihres Definitionsbereichs liegen.</w:t>
      </w:r>
    </w:p>
    <w:p w:rsidR="00B90A2E" w:rsidRDefault="00B90A2E" w:rsidP="00B90A2E">
      <w:pPr>
        <w:pStyle w:val="StandardWeb"/>
      </w:pPr>
      <w:r>
        <w:t>Ein Ausdruck kann syntaktisch beeindruckend aussehen und dennoch mathematisch bedeutungslos sein, wenn Definitions- und Zielbereiche nicht zusammenpassen.</w:t>
      </w:r>
    </w:p>
    <w:p w:rsidR="00B90A2E" w:rsidRDefault="00B90A2E" w:rsidP="00B90A2E">
      <w:pPr>
        <w:pStyle w:val="StandardWeb"/>
      </w:pPr>
      <w:r>
        <w:t>Besonders wichtig ist die Prüfung von Kompositionen. Für zwei Abbildungen ist die Verkettung nur dann zulässig, wenn der Zielbereich der ersten mit dem Definitionsbereich der zweiten kompatibel ist. Diese bekannte mathematische Regel erhält im FRZK besondere Bedeutung, weil inzwischen viele verschiedene Abbildungsarten gleichzeitig existieren.</w:t>
      </w:r>
    </w:p>
    <w:p w:rsidR="00B90A2E" w:rsidRDefault="00B90A2E" w:rsidP="00B90A2E">
      <w:pPr>
        <w:pStyle w:val="StandardWeb"/>
      </w:pPr>
      <w:r>
        <w:t>Die Typprüfung bildet deshalb eine Art formalen Schutzmechanismus gegen begriffliche Verschiebungen. Sie verhindert beispielsweise, dass eine Zustandsklasse unbemerkt wie ein einzelner Zustand behandelt wird oder ein funktionaler Zeitwert mit einer Raumkoordinate verwechselt wird.</w:t>
      </w:r>
    </w:p>
    <w:p w:rsidR="00B90A2E" w:rsidRDefault="00B90A2E" w:rsidP="00B90A2E">
      <w:pPr>
        <w:pStyle w:val="StandardWeb"/>
      </w:pPr>
      <w:r>
        <w:t>Methodologisch muss diese Prüfung fortlaufend erfolgen. Definition 3.3.14 ist keine einmalige Bestandsaufnahme. Jede später eingeführte Definition, Gleichung und Modellinstanz muss in die Typmatrix eingeordnet werden.</w:t>
      </w:r>
    </w:p>
    <w:p w:rsidR="00B90A2E" w:rsidRDefault="00B90A2E" w:rsidP="00B90A2E">
      <w:pPr>
        <w:pStyle w:val="StandardWeb"/>
      </w:pPr>
      <w:r>
        <w:t>Besonders relevant ist dies für spätere empirische Operationalisierungen. Ein empirischer Messwert besitzt zunächst den Typ (\mathbf{EmpiricalValue}). Er wird nicht allein dadurch zu einem FRZK-Zustand, dass er numerisch ähnlich aussieht. Dafür ist eine explizite Operationalisierungsabbildung erforderlich.</w:t>
      </w:r>
    </w:p>
    <w:p w:rsidR="00B90A2E" w:rsidRDefault="00B90A2E" w:rsidP="00B90A2E">
      <w:pPr>
        <w:pStyle w:val="StandardWeb"/>
      </w:pPr>
      <w:r>
        <w:t>Typkonsistenz schützt damit zugleich die Ebenentrennung zwischen mathematischer Theorie und empirischer Beobachtung.</w:t>
      </w:r>
    </w:p>
    <w:p w:rsidR="00B90A2E" w:rsidRDefault="00E50336" w:rsidP="00B90A2E">
      <w:r>
        <w:lastRenderedPageBreak/>
        <w:pict>
          <v:rect id="_x0000_i1048" style="width:0;height:1.5pt" o:hralign="center" o:hrstd="t" o:hr="t" fillcolor="#a0a0a0" stroked="f"/>
        </w:pict>
      </w:r>
    </w:p>
    <w:p w:rsidR="00777036" w:rsidRDefault="00777036" w:rsidP="00777036">
      <w:pPr>
        <w:pStyle w:val="berschrift3"/>
      </w:pPr>
      <w:r>
        <w:t>Didaktische Betrachtungen</w:t>
      </w:r>
    </w:p>
    <w:p w:rsidR="00777036" w:rsidRDefault="00777036" w:rsidP="00777036">
      <w:pPr>
        <w:pStyle w:val="StandardWeb"/>
      </w:pPr>
      <w:r>
        <w:t>Typen lassen sich sehr einfach mit Einheiten vergleichen.</w:t>
      </w:r>
    </w:p>
    <w:p w:rsidR="00777036" w:rsidRDefault="00777036" w:rsidP="00777036">
      <w:pPr>
        <w:pStyle w:val="StandardWeb"/>
      </w:pPr>
      <w:r>
        <w:t>Die Gleichung</w:t>
      </w:r>
    </w:p>
    <w:p w:rsidR="00777036" w:rsidRDefault="00777036" w:rsidP="00777036">
      <w:pPr>
        <w:pStyle w:val="StandardWeb"/>
      </w:pPr>
      <w:r>
        <w:t>[</w:t>
      </w:r>
      <w:r>
        <w:br/>
        <w:t>3,\mathrm{m}</w:t>
      </w:r>
      <w:r>
        <w:br/>
        <w:t>+</w:t>
      </w:r>
      <w:r>
        <w:br/>
        <w:t>5,\mathrm{s}</w:t>
      </w:r>
      <w:r>
        <w:br/>
        <w:t>]</w:t>
      </w:r>
    </w:p>
    <w:p w:rsidR="00777036" w:rsidRDefault="00777036" w:rsidP="00777036">
      <w:pPr>
        <w:pStyle w:val="StandardWeb"/>
      </w:pPr>
      <w:r>
        <w:t>ist nicht sinnvoll, obwohl sowohl (3) als auch (5) gewöhnliche Zahlen sind.</w:t>
      </w:r>
    </w:p>
    <w:p w:rsidR="00777036" w:rsidRDefault="00777036" w:rsidP="00777036">
      <w:pPr>
        <w:pStyle w:val="StandardWeb"/>
      </w:pPr>
      <w:r>
        <w:t>Das Problem liegt nicht in der Arithmetik, sondern darin, dass Meter und Sekunden unterschiedliche Größenarten darstellen.</w:t>
      </w:r>
    </w:p>
    <w:p w:rsidR="00777036" w:rsidRDefault="00777036" w:rsidP="00777036">
      <w:pPr>
        <w:pStyle w:val="StandardWeb"/>
      </w:pPr>
      <w:r>
        <w:t>Genauso funktioniert die FRZK-Typprüfung.</w:t>
      </w:r>
    </w:p>
    <w:p w:rsidR="00777036" w:rsidRDefault="00777036" w:rsidP="00777036">
      <w:pPr>
        <w:pStyle w:val="StandardWeb"/>
      </w:pPr>
      <w:r>
        <w:t>Ein funktionaler Zustand, ein Zeitwert und ein Kohärenzwert können möglicherweise alle durch Zahlen, Symbole oder Vektoren dargestellt werden. Trotzdem sind sie nicht dasselbe.</w:t>
      </w:r>
    </w:p>
    <w:p w:rsidR="00777036" w:rsidRDefault="00777036" w:rsidP="00777036">
      <w:pPr>
        <w:pStyle w:val="StandardWeb"/>
      </w:pPr>
      <w:r>
        <w:t>Didaktisch kann man jedem Objekt ein Etikett geben:</w:t>
      </w:r>
    </w:p>
    <w:p w:rsidR="00777036" w:rsidRDefault="00777036" w:rsidP="00777036">
      <w:pPr>
        <w:pStyle w:val="StandardWeb"/>
      </w:pPr>
      <w:r>
        <w:rPr>
          <w:rStyle w:val="Fett"/>
        </w:rPr>
        <w:t>STATE</w:t>
      </w:r>
    </w:p>
    <w:p w:rsidR="00777036" w:rsidRDefault="00777036" w:rsidP="00777036">
      <w:pPr>
        <w:pStyle w:val="StandardWeb"/>
      </w:pPr>
      <w:r>
        <w:rPr>
          <w:rStyle w:val="Fett"/>
        </w:rPr>
        <w:t>TIME</w:t>
      </w:r>
    </w:p>
    <w:p w:rsidR="00777036" w:rsidRDefault="00777036" w:rsidP="00777036">
      <w:pPr>
        <w:pStyle w:val="StandardWeb"/>
      </w:pPr>
      <w:r>
        <w:rPr>
          <w:rStyle w:val="Fett"/>
        </w:rPr>
        <w:t>SPACE</w:t>
      </w:r>
    </w:p>
    <w:p w:rsidR="00777036" w:rsidRDefault="00777036" w:rsidP="00777036">
      <w:pPr>
        <w:pStyle w:val="StandardWeb"/>
      </w:pPr>
      <w:r>
        <w:rPr>
          <w:rStyle w:val="Fett"/>
        </w:rPr>
        <w:t>COHERENCE</w:t>
      </w:r>
    </w:p>
    <w:p w:rsidR="00777036" w:rsidRDefault="00777036" w:rsidP="00777036">
      <w:pPr>
        <w:pStyle w:val="StandardWeb"/>
      </w:pPr>
      <w:r>
        <w:rPr>
          <w:rStyle w:val="Fett"/>
        </w:rPr>
        <w:t>EMPIRICAL VALUE</w:t>
      </w:r>
    </w:p>
    <w:p w:rsidR="00777036" w:rsidRDefault="00777036" w:rsidP="00777036">
      <w:pPr>
        <w:pStyle w:val="StandardWeb"/>
      </w:pPr>
      <w:r>
        <w:t>Dann wird vor jeder Operation gefragt:</w:t>
      </w:r>
    </w:p>
    <w:p w:rsidR="00777036" w:rsidRDefault="00777036" w:rsidP="00777036">
      <w:pPr>
        <w:pStyle w:val="StandardWeb"/>
      </w:pPr>
      <w:r>
        <w:rPr>
          <w:rStyle w:val="Fett"/>
        </w:rPr>
        <w:t>Passt das Etikett des Eingangs zu dem, was die Operation erwartet?</w:t>
      </w:r>
    </w:p>
    <w:p w:rsidR="00777036" w:rsidRDefault="00777036" w:rsidP="00777036">
      <w:pPr>
        <w:pStyle w:val="StandardWeb"/>
      </w:pPr>
      <w:r>
        <w:t>Eine Transformation</w:t>
      </w:r>
    </w:p>
    <w:p w:rsidR="00777036" w:rsidRDefault="00777036" w:rsidP="00777036">
      <w:pPr>
        <w:pStyle w:val="StandardWeb"/>
      </w:pPr>
      <w:r>
        <w:t>[</w:t>
      </w:r>
      <w:r>
        <w:br/>
        <w:t>T:</w:t>
      </w:r>
      <w:r>
        <w:br/>
        <w:t>\mathcal{S}</w:t>
      </w:r>
      <w:r>
        <w:rPr>
          <w:rStyle w:val="Hervorhebung"/>
        </w:rPr>
        <w:t>{\mathrm{el}}</w:t>
      </w:r>
      <w:r>
        <w:rPr>
          <w:i/>
          <w:iCs/>
        </w:rPr>
        <w:br/>
      </w:r>
      <w:r>
        <w:rPr>
          <w:rStyle w:val="Hervorhebung"/>
        </w:rPr>
        <w:t>\rightarrow</w:t>
      </w:r>
      <w:r>
        <w:rPr>
          <w:i/>
          <w:iCs/>
        </w:rPr>
        <w:br/>
      </w:r>
      <w:r>
        <w:rPr>
          <w:rStyle w:val="Hervorhebung"/>
        </w:rPr>
        <w:t>\mathcal{S}</w:t>
      </w:r>
      <w:r>
        <w:t>{\mathrm{el}}</w:t>
      </w:r>
      <w:r>
        <w:br/>
        <w:t>]</w:t>
      </w:r>
    </w:p>
    <w:p w:rsidR="00777036" w:rsidRDefault="00777036" w:rsidP="00777036">
      <w:pPr>
        <w:pStyle w:val="StandardWeb"/>
      </w:pPr>
      <w:r>
        <w:t>erwartet beispielsweise einen Zustand und liefert wieder einen Zustand.</w:t>
      </w:r>
    </w:p>
    <w:p w:rsidR="00777036" w:rsidRDefault="00777036" w:rsidP="00777036">
      <w:pPr>
        <w:pStyle w:val="StandardWeb"/>
      </w:pPr>
      <w:r>
        <w:lastRenderedPageBreak/>
        <w:t>Wenn ich stattdessen einen Zeitwert hineinstecke, liegt ein Typfehler vor.</w:t>
      </w:r>
    </w:p>
    <w:p w:rsidR="00777036" w:rsidRDefault="00777036" w:rsidP="00777036">
      <w:pPr>
        <w:pStyle w:val="StandardWeb"/>
      </w:pPr>
      <w:r>
        <w:t>Besonders hilfreich ist der Vergleich mit Programmiersprachen. Eine streng typisierte Programmiersprache erlaubt nicht ohne Weiteres, einen Text als Zahl zu addieren. Nicht weil beide Datenarten „schlecht“ wären, sondern weil die Operation für diese Kombination nicht definiert ist.</w:t>
      </w:r>
    </w:p>
    <w:p w:rsidR="00777036" w:rsidRDefault="00777036" w:rsidP="00777036">
      <w:pPr>
        <w:pStyle w:val="StandardWeb"/>
      </w:pPr>
      <w:r>
        <w:t>Abschnitt 3.3.22 übernimmt genau diese Schutzidee für die mathematische Sprache des FRZK.</w:t>
      </w:r>
    </w:p>
    <w:p w:rsidR="00412061" w:rsidRPr="00AF32B2" w:rsidRDefault="00412061" w:rsidP="00AF32B2">
      <w:pPr>
        <w:pStyle w:val="berschrift3"/>
      </w:pPr>
      <w:r w:rsidRPr="00AF32B2">
        <w:t>3.3.23 Prüfung der Definitionsabhängigkeiten und Ausschluss zirkulärer Begriffsbildungen</w:t>
      </w:r>
    </w:p>
    <w:p w:rsidR="00412061" w:rsidRDefault="00412061" w:rsidP="00412061">
      <w:pPr>
        <w:pStyle w:val="StandardWeb"/>
      </w:pPr>
      <w:r>
        <w:t>Mit den vorangegangenen Abschnitten wurde das mathematische Fundament des Funktionalen Raum-Zeit-Kohärenzsystems (FRZK) schrittweise entwickelt. Ausgangspunkt waren die Primäraxiome, aus denen elementare Zustände, funktionale Relationen und Transformationen hervorgehen. Darauf aufbauend wurden funktionale Entwicklungen, Erreichbarkeitsstrukturen, funktionale Ordnung, funktionale Zeit, funktionaler Raum sowie schließlich Raum-Zeit-Kopplung und Typkonsistenz eingeführt. Jeder dieser Begriffe wurde einzeln definiert und mathematisch abgesichert.</w:t>
      </w:r>
    </w:p>
    <w:p w:rsidR="00412061" w:rsidRDefault="00412061" w:rsidP="00412061">
      <w:pPr>
        <w:pStyle w:val="StandardWeb"/>
      </w:pPr>
      <w:r>
        <w:t>Eine vollständige Axiomatik verlangt jedoch mehr als mathematische Korrektheit einzelner Definitionen. Ebenso entscheidend ist die Frage, ob die Reihenfolge der Begriffsbildung selbst wissenschaftlich konsistent ist. Ein Begriff darf nicht bereits stillschweigend vorausgesetzt werden, bevor er definiert wurde. Ebenso darf keine Definition mittelbar wieder auf sich selbst zurückführen. Solche Zirkelschlüsse würden die axiomatische Grundlage des Systems untergraben und die spätere mathematische Entwicklung logisch unzulässig machen. Bereits in der mathematischen Logik und der axiomatischen Mengenlehre wird deshalb verlangt, dass Definitionen wohlfundiert aufgebaut und voneinander unabhängig sind, soweit dies möglich ist [6, 71, 79].</w:t>
      </w:r>
    </w:p>
    <w:p w:rsidR="00412061" w:rsidRDefault="00412061" w:rsidP="00412061">
      <w:pPr>
        <w:pStyle w:val="StandardWeb"/>
      </w:pPr>
      <w:r>
        <w:t>Im bisherigen Aufbau des FRZK wurden die Definitionen in einer inhaltlich sinnvollen Reihenfolge eingeführt. Bislang wurde diese Reihenfolge jedoch lediglich argumentativ begründet. Für eine vollständige wissenschaftliche Axiomatik genügt dies nicht. Vielmehr muss nachgewiesen werden, dass sämtliche Definitionen eine gerichtete und zirkelfreie Struktur bilden. Erst dadurch lässt sich zeigen, dass jede spätere Begriffsbildung tatsächlich auf bereits eingeführten Begriffen beruht und keine versteckten Selbstbezüge enthält.</w:t>
      </w:r>
    </w:p>
    <w:p w:rsidR="00412061" w:rsidRDefault="00412061" w:rsidP="00412061">
      <w:pPr>
        <w:pStyle w:val="StandardWeb"/>
      </w:pPr>
      <w:r>
        <w:t xml:space="preserve">Ich führe deshalb in diesem Abschnitt einen </w:t>
      </w:r>
      <w:r>
        <w:rPr>
          <w:rStyle w:val="Fett"/>
        </w:rPr>
        <w:t>Definitionsabhängigkeitsgraphen</w:t>
      </w:r>
      <w:r>
        <w:t xml:space="preserve"> ein. Jeder definierte Begriff wird als eigener Knoten aufgefasst. Zwischen zwei Knoten wird genau dann eine gerichtete Kante eingeführt, wenn die spätere Definition den früheren Begriff zwingend voraussetzt. Dadurch entsteht erstmals eine formale Darstellung der gesamten begrifflichen Architektur des FRZK.</w:t>
      </w:r>
    </w:p>
    <w:p w:rsidR="00412061" w:rsidRDefault="00412061" w:rsidP="00412061">
      <w:pPr>
        <w:pStyle w:val="StandardWeb"/>
      </w:pPr>
      <w:r>
        <w:t>Diese Darstellung besitzt mehrere Funktionen. Zum einen ermöglicht sie den Nachweis, dass sämtliche Definitionen auf endlich vielen Primärbegriffen beruhen. Zum anderen können mögliche Zirkelschlüsse mathematisch erkannt werden. Schließlich bildet der Definitionsgraph die Grundlage für den späteren wissenschaftlichen Repository-Aufbau, in dem Definitionen, Gleichungen, Sätze und Beweise nicht nur textlich dokumentiert, sondern auch als gerichtete Abhängigkeitsstruktur gespeichert werden.</w:t>
      </w:r>
    </w:p>
    <w:p w:rsidR="00412061" w:rsidRDefault="00412061" w:rsidP="00412061">
      <w:pPr>
        <w:pStyle w:val="StandardWeb"/>
      </w:pPr>
      <w:r>
        <w:rPr>
          <w:rStyle w:val="Fett"/>
        </w:rPr>
        <w:lastRenderedPageBreak/>
        <w:t>Eigenleistung des FRZK</w:t>
      </w:r>
    </w:p>
    <w:p w:rsidR="00412061" w:rsidRDefault="00412061" w:rsidP="00412061">
      <w:pPr>
        <w:pStyle w:val="StandardWeb"/>
      </w:pPr>
      <w:r>
        <w:t>Ich führe erstmals einen formalen Definitionsabhängigkeitsgraphen für das Funktionale Raum-Zeit-Kohärenzsystem ein. Dieser Graph dient nicht der Beschreibung physikalischer Zusammenhänge, sondern ausschließlich der wissenschaftlichen Kontrolle des axiomatischen Aufbaus. Dadurch wird die Begriffsbildung selbst Gegenstand einer mathematisch überprüfbaren Struktur.</w:t>
      </w:r>
    </w:p>
    <w:p w:rsidR="00412061" w:rsidRDefault="00412061" w:rsidP="00412061">
      <w:pPr>
        <w:pStyle w:val="StandardWeb"/>
      </w:pPr>
      <w:r>
        <w:t>Der Abschnitt verfolgt damit drei wissenschaftliche Ziele:</w:t>
      </w:r>
    </w:p>
    <w:p w:rsidR="00412061" w:rsidRDefault="00412061" w:rsidP="00632D23">
      <w:pPr>
        <w:pStyle w:val="StandardWeb"/>
        <w:numPr>
          <w:ilvl w:val="0"/>
          <w:numId w:val="113"/>
        </w:numPr>
      </w:pPr>
      <w:r>
        <w:t>die vollständige Erfassung sämtlicher bisherigen Definitionen in einer gemeinsamen Struktur,</w:t>
      </w:r>
    </w:p>
    <w:p w:rsidR="00412061" w:rsidRDefault="00412061" w:rsidP="00632D23">
      <w:pPr>
        <w:pStyle w:val="StandardWeb"/>
        <w:numPr>
          <w:ilvl w:val="0"/>
          <w:numId w:val="113"/>
        </w:numPr>
      </w:pPr>
      <w:r>
        <w:t>den mathematischen Nachweis der Zirkularitätsfreiheit,</w:t>
      </w:r>
    </w:p>
    <w:p w:rsidR="00412061" w:rsidRDefault="00412061" w:rsidP="00632D23">
      <w:pPr>
        <w:pStyle w:val="StandardWeb"/>
        <w:numPr>
          <w:ilvl w:val="0"/>
          <w:numId w:val="113"/>
        </w:numPr>
      </w:pPr>
      <w:r>
        <w:t>die Vorbereitung eines späteren allgemeinen Ableitungsgraphen, der neben Definitionen auch Gleichungen, Sätze und Beweise umfasst.</w:t>
      </w:r>
    </w:p>
    <w:p w:rsidR="00412061" w:rsidRDefault="00412061" w:rsidP="00412061">
      <w:pPr>
        <w:pStyle w:val="StandardWeb"/>
      </w:pPr>
      <w:r>
        <w:t>Damit endet die rein begriffliche Aufbauphase des FRZK. Ab dem folgenden Unterabschnitt werden die Definitionsabhängigkeiten formal beschrieben und anschließend systematisch auf Zirkularität untersucht. Diese Untersuchung bildet die letzte grundlegende Konsistenzprüfung der Axiomatik, bevor im weiteren Verlauf die vollständige Ableitungsstruktur des Funktionalen Raum-Zeit-Kohärenzsystems entwickelt wird.</w:t>
      </w:r>
    </w:p>
    <w:p w:rsidR="005735BA" w:rsidRPr="00AF32B2" w:rsidRDefault="005735BA" w:rsidP="00AF32B2">
      <w:pPr>
        <w:pStyle w:val="berschrift4"/>
      </w:pPr>
      <w:r w:rsidRPr="00AF32B2">
        <w:t>3.3.23.1 Formale Erfassung der bisherigen Definitionen</w:t>
      </w:r>
    </w:p>
    <w:p w:rsidR="005735BA" w:rsidRDefault="005735BA" w:rsidP="005735BA">
      <w:pPr>
        <w:pStyle w:val="StandardWeb"/>
      </w:pPr>
      <w:r>
        <w:t>Für die Prüfung der Definitionsabhängigkeiten fasse ich zunächst alle bis einschließlich Abschnitt 3.3.22 eingeführten Definitionen in einer gemeinsamen Definitionsmenge zusammen. Dabei wird jede Definition als eigenständiges wissenschaftliches Objekt behandelt. Die fortlaufende Nummerierung der Definitionen bleibt unverändert erhalten.</w:t>
      </w:r>
    </w:p>
    <w:p w:rsidR="005735BA" w:rsidRDefault="005735BA" w:rsidP="005735BA">
      <w:pPr>
        <w:pStyle w:val="StandardWeb"/>
      </w:pPr>
      <w:r>
        <w:t>Die Menge der bisher eingeführten FRZK-Definitionen lautet</w:t>
      </w:r>
    </w:p>
    <w:p w:rsidR="005735BA" w:rsidRDefault="005735BA" w:rsidP="005735BA">
      <w:pPr>
        <w:pStyle w:val="berschrift1"/>
      </w:pPr>
      <w:r>
        <w:t>[</w:t>
      </w:r>
      <w:r>
        <w:br/>
        <w:t>\mathcal{D}_{F}</w:t>
      </w:r>
    </w:p>
    <w:p w:rsidR="005735BA" w:rsidRDefault="005735BA" w:rsidP="005735BA">
      <w:pPr>
        <w:pStyle w:val="StandardWeb"/>
      </w:pPr>
      <w:r>
        <w:t>\left{</w:t>
      </w:r>
      <w:r>
        <w:br/>
        <w:t>D_1,D_2,\ldots,D_{14}</w:t>
      </w:r>
      <w:r>
        <w:br/>
        <w:t>\right}.</w:t>
      </w:r>
      <w:r>
        <w:br/>
        <w:t>\tag{3.4717}</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\mathcal{D}_{F}=\left\{D_1,D_2,\ldots,D_{14}\right\}\qquad\text{(3.4717)}</w:t>
      </w:r>
    </w:p>
    <w:p w:rsidR="005735BA" w:rsidRDefault="005735BA" w:rsidP="005735BA">
      <w:pPr>
        <w:pStyle w:val="StandardWeb"/>
      </w:pPr>
      <w:r>
        <w:t>Dabei bezeichnet (D_i) die Definition mit der Nummer (3.3.i):</w:t>
      </w:r>
    </w:p>
    <w:p w:rsidR="005735BA" w:rsidRDefault="005735BA" w:rsidP="005735BA">
      <w:pPr>
        <w:pStyle w:val="StandardWeb"/>
      </w:pPr>
      <w:r>
        <w:t>[</w:t>
      </w:r>
      <w:r>
        <w:br/>
        <w:t>D_i</w:t>
      </w:r>
      <w:r>
        <w:br/>
        <w:t>\widehat{=}</w:t>
      </w:r>
      <w:r>
        <w:br/>
        <w:t>\operatorname{Def}(3.3.i).</w:t>
      </w:r>
      <w:r>
        <w:br/>
      </w:r>
      <w:r>
        <w:lastRenderedPageBreak/>
        <w:t>\tag{3.4718}</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D_i\widehat{=}\operatorname{Def}(3.3.i)\qquad\text{(3.4718)}</w:t>
      </w:r>
    </w:p>
    <w:p w:rsidR="005735BA" w:rsidRDefault="005735BA" w:rsidP="005735BA">
      <w:pPr>
        <w:pStyle w:val="StandardWeb"/>
      </w:pPr>
      <w:r>
        <w:t>Das Symbol (\widehat{=}) kennzeichnet hier eine Zuordnung zwischen der Kurzbezeichnung (D_i) und dem zugehörigen Definitionseintrag. Es handelt sich nicht um die Gleichsetzung zweier mathematischer Objekte.</w:t>
      </w:r>
    </w:p>
    <w:p w:rsidR="005735BA" w:rsidRDefault="005735BA" w:rsidP="005735BA">
      <w:pPr>
        <w:pStyle w:val="StandardWeb"/>
      </w:pPr>
      <w:r>
        <w:t>Die Definitionsmenge enthält damit die folgenden bisherigen Begriffsbildungen:</w:t>
      </w:r>
    </w:p>
    <w:p w:rsidR="005735BA" w:rsidRDefault="005735BA" w:rsidP="005735BA">
      <w:pPr>
        <w:pStyle w:val="StandardWeb"/>
      </w:pPr>
      <w:r>
        <w:t>[</w:t>
      </w:r>
      <w:r>
        <w:br/>
        <w:t>\begin{aligned}</w:t>
      </w:r>
      <w:r>
        <w:br/>
        <w:t>D_1 &amp;:\text{ elementarer funktionaler Zustand},\</w:t>
      </w:r>
      <w:r>
        <w:br/>
        <w:t>D_2 &amp;:\text{ funktionale Relation},\</w:t>
      </w:r>
      <w:r>
        <w:br/>
        <w:t>D_3 &amp;:\text{ funktionale Transformation},\</w:t>
      </w:r>
      <w:r>
        <w:br/>
        <w:t>D_4 &amp;:\text{ funktionale Entwicklung},\</w:t>
      </w:r>
      <w:r>
        <w:br/>
        <w:t>D_5 &amp;:\text{ funktionale Kohärenz},\</w:t>
      </w:r>
      <w:r>
        <w:br/>
        <w:t>D_6 &amp;:\text{ funktionale Erreichbarkeit},\</w:t>
      </w:r>
      <w:r>
        <w:br/>
        <w:t>D_7 &amp;:\text{ funktionale Ordnung},\</w:t>
      </w:r>
      <w:r>
        <w:br/>
        <w:t>D_8 &amp;:\text{ funktionale Zeit},\</w:t>
      </w:r>
      <w:r>
        <w:br/>
        <w:t>D_9 &amp;:\text{ funktionaler Raum},\</w:t>
      </w:r>
      <w:r>
        <w:br/>
        <w:t>D_{10} &amp;:\text{ funktionale Raum-Zeit-Kopplung},\</w:t>
      </w:r>
      <w:r>
        <w:br/>
        <w:t>D_{11} &amp;:\text{ Funktionales Raum-Zeit-Kohärenzsystem},\</w:t>
      </w:r>
      <w:r>
        <w:br/>
        <w:t>D_{12} &amp;:\text{ reduziertes FRZK-Prämodell},\</w:t>
      </w:r>
      <w:r>
        <w:br/>
        <w:t>D_{13} &amp;:\text{ gemeinsames minimales Primäraxiomenmodell},\</w:t>
      </w:r>
      <w:r>
        <w:br/>
        <w:t>D_{14} &amp;:\text{ FRZK-Typmatrix}.</w:t>
      </w:r>
      <w:r>
        <w:br/>
        <w:t>\end{aligned}</w:t>
      </w:r>
      <w:r>
        <w:br/>
        <w:t>\tag{3.4719}</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\begin{aligned}D_1&amp;:\text{ elementarer funktionaler Zustand},\\D_2&amp;:\text{ funktionale Relation},\\D_3&amp;:\text{ funktionale Transformation},\\D_4&amp;:\text{ funktionale Entwicklung},\\D_5&amp;:\text{ funktionale Kohärenz},\\D_6&amp;:\text{ funktionale Erreichbarkeit},\\D_7&amp;:\text{ funktionale Ordnung},\\D_8&amp;:\text{ funktionale Zeit},\\D_9&amp;:\text{ funktionaler Raum},\\D_{10}&amp;:\text{ funktionale Raum-Zeit-Kopplung},\\D_{11}&amp;:\text{ Funktionales Raum-Zeit-Kohärenzsystem},\\D_{12}&amp;:\text{ reduziertes FRZK-Prämodell},\\D_{13}&amp;:\text{ gemeinsames minimales Primäraxiomenmodell},\\D_{14}&amp;:\text{ FRZK-Typmatrix}.\end{aligned}\qquad\text{(3.4719)}</w:t>
      </w:r>
    </w:p>
    <w:p w:rsidR="005735BA" w:rsidRDefault="005735BA" w:rsidP="005735BA">
      <w:pPr>
        <w:pStyle w:val="StandardWeb"/>
      </w:pPr>
      <w:r>
        <w:t>Diese Zusammenstellung bildet die Knotenmenge des späteren Definitionsabhängigkeitsgraphen.</w:t>
      </w:r>
    </w:p>
    <w:p w:rsidR="005735BA" w:rsidRDefault="005735BA" w:rsidP="005735BA">
      <w:pPr>
        <w:pStyle w:val="StandardWeb"/>
      </w:pPr>
      <w:r>
        <w:rPr>
          <w:rStyle w:val="Fett"/>
        </w:rPr>
        <w:t>Eigenleistung des FRZK</w:t>
      </w:r>
    </w:p>
    <w:p w:rsidR="005735BA" w:rsidRDefault="005735BA" w:rsidP="005735BA">
      <w:pPr>
        <w:pStyle w:val="StandardWeb"/>
      </w:pPr>
      <w:r>
        <w:lastRenderedPageBreak/>
        <w:t>Ich behandle jede Definition als eigenständigen Knoten, auch wenn einzelne Definitionen inhaltlich eng miteinander verbunden sind. Dadurch kann ich direkte und mittelbare Voraussetzungen getrennt darstellen.</w:t>
      </w:r>
    </w:p>
    <w:p w:rsidR="005735BA" w:rsidRPr="00AF32B2" w:rsidRDefault="005735BA" w:rsidP="00AF32B2">
      <w:pPr>
        <w:pStyle w:val="berschrift4"/>
      </w:pPr>
      <w:r w:rsidRPr="00AF32B2">
        <w:t>3.3.23.2 Definitionsabhängigkeitsrelation</w:t>
      </w:r>
    </w:p>
    <w:p w:rsidR="005735BA" w:rsidRDefault="005735BA" w:rsidP="005735BA">
      <w:pPr>
        <w:pStyle w:val="StandardWeb"/>
      </w:pPr>
      <w:r>
        <w:t>Zwischen zwei Definitionen liegt eine notwendige Definitionsabhängigkeit vor, wenn der in der späteren Definition eingeführte Begriff ohne den früheren Begriff nicht vollständig formuliert werden kann.</w:t>
      </w:r>
    </w:p>
    <w:p w:rsidR="005735BA" w:rsidRDefault="005735BA" w:rsidP="005735BA">
      <w:pPr>
        <w:pStyle w:val="StandardWeb"/>
      </w:pPr>
      <w:r>
        <w:t>Die Definitionsabhängigkeitsrelation wird als binäre Relation auf der Definitionsmenge eingeführt:</w:t>
      </w:r>
    </w:p>
    <w:p w:rsidR="005735BA" w:rsidRDefault="005735BA" w:rsidP="005735BA">
      <w:pPr>
        <w:pStyle w:val="StandardWeb"/>
      </w:pPr>
      <w:r>
        <w:t>[</w:t>
      </w:r>
      <w:r>
        <w:br/>
        <w:t>\mathcal{R}</w:t>
      </w:r>
      <w:r>
        <w:rPr>
          <w:rStyle w:val="Hervorhebung"/>
        </w:rPr>
        <w:t>{D}</w:t>
      </w:r>
      <w:r>
        <w:rPr>
          <w:i/>
          <w:iCs/>
        </w:rPr>
        <w:br/>
      </w:r>
      <w:r>
        <w:rPr>
          <w:rStyle w:val="Hervorhebung"/>
        </w:rPr>
        <w:t>\subseteq</w:t>
      </w:r>
      <w:r>
        <w:rPr>
          <w:i/>
          <w:iCs/>
        </w:rPr>
        <w:br/>
      </w:r>
      <w:r>
        <w:rPr>
          <w:rStyle w:val="Hervorhebung"/>
        </w:rPr>
        <w:t>\mathcal{D}</w:t>
      </w:r>
      <w:r>
        <w:t>{F}</w:t>
      </w:r>
      <w:r>
        <w:br/>
        <w:t>\times</w:t>
      </w:r>
      <w:r>
        <w:br/>
        <w:t>\mathcal{D}_{F}.</w:t>
      </w:r>
      <w:r>
        <w:br/>
        <w:t>\tag{3.4720}</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\mathcal{R}_{D}\subseteq\mathcal{D}_{F}\times\mathcal{D}_{F}\qquad\text{(3.4720)}</w:t>
      </w:r>
    </w:p>
    <w:p w:rsidR="005735BA" w:rsidRDefault="005735BA" w:rsidP="005735BA">
      <w:pPr>
        <w:pStyle w:val="StandardWeb"/>
      </w:pPr>
      <w:r>
        <w:t>Für zwei Definitionen (D_i,D_j\in\mathcal{D}_{F}) gilt</w:t>
      </w:r>
    </w:p>
    <w:p w:rsidR="005735BA" w:rsidRDefault="005735BA" w:rsidP="005735BA">
      <w:pPr>
        <w:pStyle w:val="StandardWeb"/>
      </w:pPr>
      <w:r>
        <w:t>[</w:t>
      </w:r>
      <w:r>
        <w:br/>
        <w:t>(D_i,D_j)</w:t>
      </w:r>
      <w:r>
        <w:br/>
        <w:t>\in</w:t>
      </w:r>
      <w:r>
        <w:br/>
        <w:t>\mathcal{R}_{D},</w:t>
      </w:r>
      <w:r>
        <w:br/>
        <w:t>\tag{3.4721}</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(D_i,D_j)\in\mathcal{R}_{D}\qquad\text{(3.4721)}</w:t>
      </w:r>
    </w:p>
    <w:p w:rsidR="005735BA" w:rsidRDefault="005735BA" w:rsidP="005735BA">
      <w:pPr>
        <w:pStyle w:val="StandardWeb"/>
      </w:pPr>
      <w:r>
        <w:t>wenn (D_j) einen durch (D_i) eingeführten Begriff notwendig voraussetzt.</w:t>
      </w:r>
    </w:p>
    <w:p w:rsidR="005735BA" w:rsidRDefault="005735BA" w:rsidP="005735BA">
      <w:pPr>
        <w:pStyle w:val="StandardWeb"/>
      </w:pPr>
      <w:r>
        <w:t>Die gerichtete Schreibweise lautet</w:t>
      </w:r>
    </w:p>
    <w:p w:rsidR="005735BA" w:rsidRDefault="005735BA" w:rsidP="005735BA">
      <w:pPr>
        <w:pStyle w:val="StandardWeb"/>
      </w:pPr>
      <w:r>
        <w:t>[</w:t>
      </w:r>
      <w:r>
        <w:br/>
        <w:t>D_i</w:t>
      </w:r>
      <w:r>
        <w:br/>
        <w:t>\longrightarrow_{D}</w:t>
      </w:r>
      <w:r>
        <w:br/>
        <w:t>D_j.</w:t>
      </w:r>
      <w:r>
        <w:br/>
        <w:t>\tag{3.4722}</w:t>
      </w:r>
      <w:r>
        <w:br/>
        <w:t>]</w:t>
      </w:r>
    </w:p>
    <w:p w:rsidR="005735BA" w:rsidRDefault="005735BA" w:rsidP="005735BA">
      <w:pPr>
        <w:pStyle w:val="StandardWeb"/>
      </w:pPr>
      <w:r>
        <w:rPr>
          <w:rStyle w:val="Fett"/>
        </w:rPr>
        <w:lastRenderedPageBreak/>
        <w:t>Word-LaTeX</w:t>
      </w:r>
    </w:p>
    <w:p w:rsidR="005735BA" w:rsidRDefault="005735BA" w:rsidP="005735BA">
      <w:pPr>
        <w:pStyle w:val="HTMLVorformatiert"/>
        <w:rPr>
          <w:rStyle w:val="HTMLCode"/>
        </w:rPr>
      </w:pPr>
      <w:r>
        <w:rPr>
          <w:rStyle w:val="HTMLCode"/>
        </w:rPr>
        <w:t>D_i\longrightarrow_{D}D_j\qquad\text{(3.4722)}</w:t>
      </w:r>
    </w:p>
    <w:p w:rsidR="005735BA" w:rsidRDefault="005735BA" w:rsidP="005735BA">
      <w:pPr>
        <w:pStyle w:val="StandardWeb"/>
      </w:pPr>
      <w:r>
        <w:t>Der Pfeil verläuft von der vorausgesetzten Definition zur abhängigen Definition.</w:t>
      </w:r>
    </w:p>
    <w:p w:rsidR="005735BA" w:rsidRDefault="005735BA" w:rsidP="005735BA">
      <w:pPr>
        <w:pStyle w:val="StandardWeb"/>
      </w:pPr>
      <w:r>
        <w:t>Eine bloße Erwähnung oder ein erläuternder Vergleich genügt nicht, um eine Abhängigkeitskante zu begründen. Erforderlich ist vielmehr, dass die spätere Definition ohne den früher eingeführten Begriff nicht wohldefiniert wäre.</w:t>
      </w:r>
    </w:p>
    <w:p w:rsidR="005735BA" w:rsidRDefault="005735BA" w:rsidP="005735BA">
      <w:pPr>
        <w:pStyle w:val="StandardWeb"/>
      </w:pPr>
      <w:r>
        <w:rPr>
          <w:rStyle w:val="Fett"/>
        </w:rPr>
        <w:t>Eigenleistung des FRZK</w:t>
      </w:r>
    </w:p>
    <w:p w:rsidR="005735BA" w:rsidRDefault="005735BA" w:rsidP="005735BA">
      <w:pPr>
        <w:pStyle w:val="StandardWeb"/>
      </w:pPr>
      <w:r>
        <w:t>Ich unterscheide drei Fälle:</w:t>
      </w:r>
    </w:p>
    <w:p w:rsidR="005735BA" w:rsidRDefault="005735BA" w:rsidP="005735BA">
      <w:pPr>
        <w:pStyle w:val="StandardWeb"/>
      </w:pPr>
      <w:r>
        <w:t>[</w:t>
      </w:r>
      <w:r>
        <w:br/>
        <w:t>\operatorname{Abh}_{D}</w:t>
      </w:r>
      <w:r>
        <w:br/>
        <w:t>\in</w:t>
      </w:r>
      <w:r>
        <w:br/>
        <w:t>\left{</w:t>
      </w:r>
      <w:r>
        <w:br/>
        <w:t>\mathbf{notwendig},</w:t>
      </w:r>
      <w:r>
        <w:br/>
        <w:t>\mathbf{optional},</w:t>
      </w:r>
      <w:r>
        <w:br/>
        <w:t>\mathbf{interpretativ}</w:t>
      </w:r>
      <w:r>
        <w:br/>
        <w:t>\right}.</w:t>
      </w:r>
      <w:r>
        <w:br/>
        <w:t>\tag{3.4723}</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\operatorname{Abh}_{D}\in\left\{\mathbf{notwendig},\mathbf{optional},\mathbf{interpretativ}\right\}\qquad\text{(3.4723)}</w:t>
      </w:r>
    </w:p>
    <w:p w:rsidR="005735BA" w:rsidRDefault="005735BA" w:rsidP="005735BA">
      <w:pPr>
        <w:pStyle w:val="StandardWeb"/>
      </w:pPr>
      <w:r>
        <w:t>Nur notwendige Abhängigkeiten werden als Kanten des eigentlichen Definitionsgraphen gespeichert. Optionale und interpretative Bezüge werden getrennt dokumentiert.</w:t>
      </w:r>
    </w:p>
    <w:p w:rsidR="005735BA" w:rsidRPr="00AF32B2" w:rsidRDefault="005735BA" w:rsidP="00AF32B2">
      <w:pPr>
        <w:pStyle w:val="berschrift4"/>
      </w:pPr>
      <w:r w:rsidRPr="00AF32B2">
        <w:t>3.3.23.3 Definition des FRZK-Definitionsabhängigkeitsgraphen</w:t>
      </w:r>
    </w:p>
    <w:p w:rsidR="005735BA" w:rsidRDefault="005735BA" w:rsidP="005735BA">
      <w:pPr>
        <w:pStyle w:val="StandardWeb"/>
      </w:pPr>
      <w:r>
        <w:rPr>
          <w:rStyle w:val="Fett"/>
        </w:rPr>
        <w:t>Definition 3.3.15 – FRZK-Definitionsabhängigkeitsgraph</w:t>
      </w:r>
    </w:p>
    <w:p w:rsidR="005735BA" w:rsidRDefault="005735BA" w:rsidP="005735BA">
      <w:pPr>
        <w:pStyle w:val="StandardWeb"/>
      </w:pPr>
      <w:r>
        <w:t>Der FRZK-Definitionsabhängigkeitsgraph ist der gerichtete Graph</w:t>
      </w:r>
    </w:p>
    <w:p w:rsidR="005735BA" w:rsidRDefault="005735BA" w:rsidP="005735BA">
      <w:pPr>
        <w:pStyle w:val="berschrift1"/>
      </w:pPr>
      <w:r>
        <w:t>[</w:t>
      </w:r>
      <w:r>
        <w:br/>
        <w:t>\mathfrak{G}_{D}</w:t>
      </w:r>
    </w:p>
    <w:p w:rsidR="005735BA" w:rsidRDefault="005735BA" w:rsidP="005735BA">
      <w:pPr>
        <w:pStyle w:val="StandardWeb"/>
      </w:pPr>
      <w:r>
        <w:t>\left(</w:t>
      </w:r>
      <w:r>
        <w:br/>
        <w:t>\mathcal{D}</w:t>
      </w:r>
      <w:r>
        <w:rPr>
          <w:rStyle w:val="Hervorhebung"/>
        </w:rPr>
        <w:t>{F},</w:t>
      </w:r>
      <w:r>
        <w:rPr>
          <w:i/>
          <w:iCs/>
        </w:rPr>
        <w:br/>
      </w:r>
      <w:r>
        <w:rPr>
          <w:rStyle w:val="Hervorhebung"/>
        </w:rPr>
        <w:t>\mathcal{R}</w:t>
      </w:r>
      <w:r>
        <w:t>{D}</w:t>
      </w:r>
      <w:r>
        <w:br/>
        <w:t>\right).</w:t>
      </w:r>
      <w:r>
        <w:br/>
        <w:t>\tag{3.4724}</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lastRenderedPageBreak/>
        <w:t>\mathfrak{G}_{D}=\left(\mathcal{D}_{F},\mathcal{R}_{D}\right)\qquad\text{(3.4724)}</w:t>
      </w:r>
    </w:p>
    <w:p w:rsidR="005735BA" w:rsidRDefault="005735BA" w:rsidP="005735BA">
      <w:pPr>
        <w:pStyle w:val="StandardWeb"/>
      </w:pPr>
      <w:r>
        <w:t>Die Knotenmenge (\mathcal{D}</w:t>
      </w:r>
      <w:r>
        <w:rPr>
          <w:rStyle w:val="Hervorhebung"/>
        </w:rPr>
        <w:t>{F}) enthält die bisherigen Definitionen. Die Kantenmenge (\mathcal{R}</w:t>
      </w:r>
      <w:r>
        <w:t>{D}) enthält sämtliche notwendigen gerichteten Definitionsabhängigkeiten.</w:t>
      </w:r>
    </w:p>
    <w:p w:rsidR="005735BA" w:rsidRDefault="005735BA" w:rsidP="005735BA">
      <w:pPr>
        <w:pStyle w:val="StandardWeb"/>
      </w:pPr>
      <w:r>
        <w:t>Die Menge der unmittelbaren Vorgänger einer Definition (D_j) lautet</w:t>
      </w:r>
    </w:p>
    <w:p w:rsidR="005735BA" w:rsidRDefault="005735BA" w:rsidP="005735BA">
      <w:pPr>
        <w:pStyle w:val="berschrift1"/>
      </w:pPr>
      <w:r>
        <w:t>[</w:t>
      </w:r>
      <w:r>
        <w:br/>
        <w:t>\operatorname{Pred}_{D}(D_j)</w:t>
      </w:r>
    </w:p>
    <w:p w:rsidR="005735BA" w:rsidRDefault="005735BA" w:rsidP="005735BA">
      <w:pPr>
        <w:pStyle w:val="StandardWeb"/>
      </w:pPr>
      <w:r>
        <w:t>\left{</w:t>
      </w:r>
      <w:r>
        <w:br/>
        <w:t>D_i\in\mathcal{D}</w:t>
      </w:r>
      <w:r>
        <w:rPr>
          <w:rStyle w:val="Hervorhebung"/>
        </w:rPr>
        <w:t>{F}</w:t>
      </w:r>
      <w:r>
        <w:rPr>
          <w:i/>
          <w:iCs/>
        </w:rPr>
        <w:br/>
      </w:r>
      <w:r>
        <w:rPr>
          <w:rStyle w:val="Hervorhebung"/>
        </w:rPr>
        <w:t>;\middle|;</w:t>
      </w:r>
      <w:r>
        <w:rPr>
          <w:i/>
          <w:iCs/>
        </w:rPr>
        <w:br/>
      </w:r>
      <w:r>
        <w:rPr>
          <w:rStyle w:val="Hervorhebung"/>
        </w:rPr>
        <w:t>D_i\longrightarrow</w:t>
      </w:r>
      <w:r>
        <w:t>{D}D_j</w:t>
      </w:r>
      <w:r>
        <w:br/>
        <w:t>\right}.</w:t>
      </w:r>
      <w:r>
        <w:br/>
        <w:t>\tag{3.4725}</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\operatorname{Pred}_{D}(D_j)=\left\{D_i\in\mathcal{D}_{F}\middle|D_i\longrightarrow_{D}D_j\right\}\qquad\text{(3.4725)}</w:t>
      </w:r>
    </w:p>
    <w:p w:rsidR="005735BA" w:rsidRDefault="005735BA" w:rsidP="005735BA">
      <w:pPr>
        <w:pStyle w:val="StandardWeb"/>
      </w:pPr>
      <w:r>
        <w:t>Die Menge der unmittelbaren Nachfolger einer Definition (D_i) lautet</w:t>
      </w:r>
    </w:p>
    <w:p w:rsidR="005735BA" w:rsidRDefault="005735BA" w:rsidP="005735BA">
      <w:pPr>
        <w:pStyle w:val="berschrift1"/>
      </w:pPr>
      <w:r>
        <w:t>[</w:t>
      </w:r>
      <w:r>
        <w:br/>
        <w:t>\operatorname{Succ}_{D}(D_i)</w:t>
      </w:r>
    </w:p>
    <w:p w:rsidR="005735BA" w:rsidRDefault="005735BA" w:rsidP="005735BA">
      <w:pPr>
        <w:pStyle w:val="StandardWeb"/>
      </w:pPr>
      <w:r>
        <w:t>\left{</w:t>
      </w:r>
      <w:r>
        <w:br/>
        <w:t>D_j\in\mathcal{D}</w:t>
      </w:r>
      <w:r>
        <w:rPr>
          <w:rStyle w:val="Hervorhebung"/>
        </w:rPr>
        <w:t>{F}</w:t>
      </w:r>
      <w:r>
        <w:rPr>
          <w:i/>
          <w:iCs/>
        </w:rPr>
        <w:br/>
      </w:r>
      <w:r>
        <w:rPr>
          <w:rStyle w:val="Hervorhebung"/>
        </w:rPr>
        <w:t>;\middle|;</w:t>
      </w:r>
      <w:r>
        <w:rPr>
          <w:i/>
          <w:iCs/>
        </w:rPr>
        <w:br/>
      </w:r>
      <w:r>
        <w:rPr>
          <w:rStyle w:val="Hervorhebung"/>
        </w:rPr>
        <w:t>D_i\longrightarrow</w:t>
      </w:r>
      <w:r>
        <w:t>{D}D_j</w:t>
      </w:r>
      <w:r>
        <w:br/>
        <w:t>\right}.</w:t>
      </w:r>
      <w:r>
        <w:br/>
        <w:t>\tag{3.4726}</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\operatorname{Succ}_{D}(D_i)=\left\{D_j\in\mathcal{D}_{F}\middle|D_i\longrightarrow_{D}D_j\right\}\qquad\text{(3.4726)}</w:t>
      </w:r>
    </w:p>
    <w:p w:rsidR="005735BA" w:rsidRDefault="005735BA" w:rsidP="005735BA">
      <w:pPr>
        <w:pStyle w:val="StandardWeb"/>
      </w:pPr>
      <w:r>
        <w:t>Eine Definition ohne unmittelbare Vorgänger wird als Wurzeldefinition bezeichnet:</w:t>
      </w:r>
    </w:p>
    <w:p w:rsidR="005735BA" w:rsidRDefault="005735BA" w:rsidP="005735BA">
      <w:pPr>
        <w:pStyle w:val="berschrift1"/>
      </w:pPr>
      <w:r>
        <w:t>[</w:t>
      </w:r>
      <w:r>
        <w:br/>
        <w:t>\operatorname{Pred}_{D}(D_i)</w:t>
      </w:r>
    </w:p>
    <w:p w:rsidR="005735BA" w:rsidRDefault="005735BA" w:rsidP="005735BA">
      <w:pPr>
        <w:pStyle w:val="StandardWeb"/>
      </w:pPr>
      <w:r>
        <w:lastRenderedPageBreak/>
        <w:t>\emptyset.</w:t>
      </w:r>
      <w:r>
        <w:br/>
        <w:t>\tag{3.4727}</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\operatorname{Pred}_{D}(D_i)=\emptyset\qquad\text{(3.4727)}</w:t>
      </w:r>
    </w:p>
    <w:p w:rsidR="005735BA" w:rsidRPr="00AF32B2" w:rsidRDefault="005735BA" w:rsidP="00AF32B2">
      <w:pPr>
        <w:pStyle w:val="berschrift4"/>
      </w:pPr>
      <w:r w:rsidRPr="00AF32B2">
        <w:t>3.3.23.4 Wurzeldefinitionen der FRZK-Axiomatik</w:t>
      </w:r>
    </w:p>
    <w:p w:rsidR="005735BA" w:rsidRDefault="005735BA" w:rsidP="005735BA">
      <w:pPr>
        <w:pStyle w:val="StandardWeb"/>
      </w:pPr>
      <w:r>
        <w:t>Die drei elementaren Begriffe Zustand, Relation und Transformation gehen unmittelbar aus den drei Primäraxiomen hervor. Innerhalb des Definitionsgraphen besitzen sie keine anderen Definitionen als notwendige Vorgänger:</w:t>
      </w:r>
    </w:p>
    <w:p w:rsidR="005735BA" w:rsidRDefault="005735BA" w:rsidP="005735BA">
      <w:pPr>
        <w:pStyle w:val="berschrift1"/>
      </w:pPr>
      <w:r>
        <w:t>[</w:t>
      </w:r>
      <w:r>
        <w:br/>
        <w:t>\operatorname{Pred}_{D}(D_1)</w:t>
      </w:r>
    </w:p>
    <w:p w:rsidR="005735BA" w:rsidRDefault="005735BA" w:rsidP="005735BA">
      <w:pPr>
        <w:pStyle w:val="StandardWeb"/>
      </w:pPr>
      <w:r>
        <w:t>\emptyset,</w:t>
      </w:r>
      <w:r>
        <w:br/>
        <w:t>\tag{3.4728}</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\operatorname{Pred}_{D}(D_1)=\emptyset\qquad\text{(3.4728)}</w:t>
      </w:r>
    </w:p>
    <w:p w:rsidR="005735BA" w:rsidRDefault="005735BA" w:rsidP="005735BA">
      <w:pPr>
        <w:pStyle w:val="berschrift1"/>
      </w:pPr>
      <w:r>
        <w:t>[</w:t>
      </w:r>
      <w:r>
        <w:br/>
        <w:t>\operatorname{Pred}_{D}(D_2)</w:t>
      </w:r>
    </w:p>
    <w:p w:rsidR="005735BA" w:rsidRDefault="005735BA" w:rsidP="005735BA">
      <w:pPr>
        <w:pStyle w:val="StandardWeb"/>
      </w:pPr>
      <w:r>
        <w:t>\emptyset,</w:t>
      </w:r>
      <w:r>
        <w:br/>
        <w:t>\tag{3.4729}</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\operatorname{Pred}_{D}(D_2)=\emptyset\qquad\text{(3.4729)}</w:t>
      </w:r>
    </w:p>
    <w:p w:rsidR="005735BA" w:rsidRDefault="005735BA" w:rsidP="005735BA">
      <w:pPr>
        <w:pStyle w:val="StandardWeb"/>
      </w:pPr>
      <w:r>
        <w:t>und</w:t>
      </w:r>
    </w:p>
    <w:p w:rsidR="005735BA" w:rsidRDefault="005735BA" w:rsidP="005735BA">
      <w:pPr>
        <w:pStyle w:val="berschrift1"/>
      </w:pPr>
      <w:r>
        <w:t>[</w:t>
      </w:r>
      <w:r>
        <w:br/>
        <w:t>\operatorname{Pred}_{D}(D_3)</w:t>
      </w:r>
    </w:p>
    <w:p w:rsidR="005735BA" w:rsidRDefault="005735BA" w:rsidP="005735BA">
      <w:pPr>
        <w:pStyle w:val="StandardWeb"/>
      </w:pPr>
      <w:r>
        <w:t>\emptyset.</w:t>
      </w:r>
      <w:r>
        <w:br/>
        <w:t>\tag{3.4730}</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\operatorname{Pred}_{D}(D_3)=\emptyset\qquad\text{(3.4730)}</w:t>
      </w:r>
    </w:p>
    <w:p w:rsidR="005735BA" w:rsidRDefault="005735BA" w:rsidP="005735BA">
      <w:pPr>
        <w:pStyle w:val="StandardWeb"/>
      </w:pPr>
      <w:r>
        <w:lastRenderedPageBreak/>
        <w:t>Die axiomatischen Zuordnungen lauten</w:t>
      </w:r>
    </w:p>
    <w:p w:rsidR="005735BA" w:rsidRDefault="005735BA" w:rsidP="005735BA">
      <w:pPr>
        <w:pStyle w:val="StandardWeb"/>
      </w:pPr>
      <w:r>
        <w:t>[</w:t>
      </w:r>
      <w:r>
        <w:br/>
        <w:t>A_{\mathrm{I}}</w:t>
      </w:r>
      <w:r>
        <w:br/>
        <w:t>\longrightarrow</w:t>
      </w:r>
      <w:r>
        <w:br/>
        <w:t>D_1,</w:t>
      </w:r>
      <w:r>
        <w:br/>
        <w:t>\qquad</w:t>
      </w:r>
      <w:r>
        <w:br/>
        <w:t>A_{\mathrm{II}}</w:t>
      </w:r>
      <w:r>
        <w:br/>
        <w:t>\longrightarrow</w:t>
      </w:r>
      <w:r>
        <w:br/>
        <w:t>D_2,</w:t>
      </w:r>
      <w:r>
        <w:br/>
        <w:t>\qquad</w:t>
      </w:r>
      <w:r>
        <w:br/>
        <w:t>A_{\mathrm{III}}</w:t>
      </w:r>
      <w:r>
        <w:br/>
        <w:t>\longrightarrow</w:t>
      </w:r>
      <w:r>
        <w:br/>
        <w:t>D_3.</w:t>
      </w:r>
      <w:r>
        <w:br/>
        <w:t>\tag{3.4731}</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A_{\mathrm{I}}\longrightarrow D_1,\qquad A_{\mathrm{II}}\longrightarrow D_2,\qquad A_{\mathrm{III}}\longrightarrow D_3\qquad\text{(3.4731)}</w:t>
      </w:r>
    </w:p>
    <w:p w:rsidR="005735BA" w:rsidRDefault="005735BA" w:rsidP="005735BA">
      <w:pPr>
        <w:pStyle w:val="StandardWeb"/>
      </w:pPr>
      <w:r>
        <w:t>Die Primäraxiome sind nicht selbst Elemente von (\mathcal{D}_{F}), sondern bilden die vorgeschaltete axiomatische Grundlage.</w:t>
      </w:r>
    </w:p>
    <w:p w:rsidR="005735BA" w:rsidRDefault="005735BA" w:rsidP="005735BA">
      <w:pPr>
        <w:pStyle w:val="StandardWeb"/>
      </w:pPr>
      <w:r>
        <w:t>Die Menge der Wurzeldefinitionen lautet daher</w:t>
      </w:r>
    </w:p>
    <w:p w:rsidR="005735BA" w:rsidRDefault="005735BA" w:rsidP="005735BA">
      <w:pPr>
        <w:pStyle w:val="berschrift1"/>
      </w:pPr>
      <w:r>
        <w:t>[</w:t>
      </w:r>
      <w:r>
        <w:br/>
        <w:t>\mathcal{W}_{D}</w:t>
      </w:r>
    </w:p>
    <w:p w:rsidR="005735BA" w:rsidRDefault="005735BA" w:rsidP="005735BA">
      <w:pPr>
        <w:pStyle w:val="StandardWeb"/>
      </w:pPr>
      <w:r>
        <w:t>\left{</w:t>
      </w:r>
      <w:r>
        <w:br/>
        <w:t>D_1,D_2,D_3</w:t>
      </w:r>
      <w:r>
        <w:br/>
        <w:t>\right}.</w:t>
      </w:r>
      <w:r>
        <w:br/>
        <w:t>\tag{3.4732}</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\mathcal{W}_{D}=\left\{D_1,D_2,D_3\right\}\qquad\text{(3.4732)}</w:t>
      </w:r>
    </w:p>
    <w:p w:rsidR="005735BA" w:rsidRPr="00AF32B2" w:rsidRDefault="005735BA" w:rsidP="00AF32B2">
      <w:pPr>
        <w:pStyle w:val="berschrift4"/>
      </w:pPr>
      <w:r w:rsidRPr="00AF32B2">
        <w:t>3.3.23.5 Abhängigkeit der funktionalen Entwicklung</w:t>
      </w:r>
    </w:p>
    <w:p w:rsidR="005735BA" w:rsidRDefault="005735BA" w:rsidP="005735BA">
      <w:pPr>
        <w:pStyle w:val="StandardWeb"/>
      </w:pPr>
      <w:r>
        <w:t>Die funktionale Entwicklung verwendet einen Ausgangszustand und mindestens eine funktionale Transformation beziehungsweise eine Transformationsfolge.</w:t>
      </w:r>
    </w:p>
    <w:p w:rsidR="005735BA" w:rsidRDefault="005735BA" w:rsidP="005735BA">
      <w:pPr>
        <w:pStyle w:val="StandardWeb"/>
      </w:pPr>
      <w:r>
        <w:t>Daraus folgen die direkten Abhängigkeiten</w:t>
      </w:r>
    </w:p>
    <w:p w:rsidR="005735BA" w:rsidRDefault="005735BA" w:rsidP="005735BA">
      <w:pPr>
        <w:pStyle w:val="StandardWeb"/>
      </w:pPr>
      <w:r>
        <w:t>[</w:t>
      </w:r>
      <w:r>
        <w:br/>
        <w:t>D_1</w:t>
      </w:r>
      <w:r>
        <w:br/>
        <w:t>\longrightarrow_{D}</w:t>
      </w:r>
      <w:r>
        <w:br/>
        <w:t>D_4</w:t>
      </w:r>
      <w:r>
        <w:br/>
      </w:r>
      <w:r>
        <w:lastRenderedPageBreak/>
        <w:t>\tag{3.4733}</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D_1\longrightarrow_{D}D_4\qquad\text{(3.4733)}</w:t>
      </w:r>
    </w:p>
    <w:p w:rsidR="005735BA" w:rsidRDefault="005735BA" w:rsidP="005735BA">
      <w:pPr>
        <w:pStyle w:val="StandardWeb"/>
      </w:pPr>
      <w:r>
        <w:t>und</w:t>
      </w:r>
    </w:p>
    <w:p w:rsidR="005735BA" w:rsidRDefault="005735BA" w:rsidP="005735BA">
      <w:pPr>
        <w:pStyle w:val="StandardWeb"/>
      </w:pPr>
      <w:r>
        <w:t>[</w:t>
      </w:r>
      <w:r>
        <w:br/>
        <w:t>D_3</w:t>
      </w:r>
      <w:r>
        <w:br/>
        <w:t>\longrightarrow_{D}</w:t>
      </w:r>
      <w:r>
        <w:br/>
        <w:t>D_4.</w:t>
      </w:r>
      <w:r>
        <w:br/>
        <w:t>\tag{3.4734}</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D_3\longrightarrow_{D}D_4\qquad\text{(3.4734)}</w:t>
      </w:r>
    </w:p>
    <w:p w:rsidR="005735BA" w:rsidRDefault="005735BA" w:rsidP="005735BA">
      <w:pPr>
        <w:pStyle w:val="StandardWeb"/>
      </w:pPr>
      <w:r>
        <w:t>Damit gilt</w:t>
      </w:r>
    </w:p>
    <w:p w:rsidR="005735BA" w:rsidRDefault="005735BA" w:rsidP="005735BA">
      <w:pPr>
        <w:pStyle w:val="berschrift1"/>
      </w:pPr>
      <w:r>
        <w:t>[</w:t>
      </w:r>
      <w:r>
        <w:br/>
        <w:t>\operatorname{Pred}_{D}(D_4)</w:t>
      </w:r>
    </w:p>
    <w:p w:rsidR="005735BA" w:rsidRDefault="005735BA" w:rsidP="005735BA">
      <w:pPr>
        <w:pStyle w:val="StandardWeb"/>
      </w:pPr>
      <w:r>
        <w:t>\left{</w:t>
      </w:r>
      <w:r>
        <w:br/>
        <w:t>D_1,D_3</w:t>
      </w:r>
      <w:r>
        <w:br/>
        <w:t>\right}.</w:t>
      </w:r>
      <w:r>
        <w:br/>
        <w:t>\tag{3.4735}</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\operatorname{Pred}_{D}(D_4)=\left\{D_1,D_3\right\}\qquad\text{(3.4735)}</w:t>
      </w:r>
    </w:p>
    <w:p w:rsidR="005735BA" w:rsidRDefault="005735BA" w:rsidP="005735BA">
      <w:pPr>
        <w:pStyle w:val="StandardWeb"/>
      </w:pPr>
      <w:r>
        <w:t>Eine funktionale Relation kann zur Einschränkung zulässiger Entwicklungen verwendet werden. Sie ist jedoch nicht für die allgemeine Definition einer Transformationsfolge erforderlich. Deshalb gilt nicht notwendig</w:t>
      </w:r>
    </w:p>
    <w:p w:rsidR="005735BA" w:rsidRDefault="005735BA" w:rsidP="005735BA">
      <w:pPr>
        <w:pStyle w:val="StandardWeb"/>
      </w:pPr>
      <w:r>
        <w:t>[</w:t>
      </w:r>
      <w:r>
        <w:br/>
        <w:t>D_2</w:t>
      </w:r>
      <w:r>
        <w:br/>
        <w:t>\longrightarrow_{D}</w:t>
      </w:r>
      <w:r>
        <w:br/>
        <w:t>D_4.</w:t>
      </w:r>
      <w:r>
        <w:br/>
        <w:t>\tag{3.4736}</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D_2\longrightarrow_{D}D_4\qquad\text{(3.4736)}</w:t>
      </w:r>
    </w:p>
    <w:p w:rsidR="005735BA" w:rsidRDefault="005735BA" w:rsidP="005735BA">
      <w:pPr>
        <w:pStyle w:val="StandardWeb"/>
      </w:pPr>
      <w:r>
        <w:lastRenderedPageBreak/>
        <w:t>Gleichung (3.4736) beschreibt eine mögliche modellspezifische, aber keine allgemeine notwendige Abhängigkeit.</w:t>
      </w:r>
    </w:p>
    <w:p w:rsidR="005735BA" w:rsidRPr="00AF32B2" w:rsidRDefault="005735BA" w:rsidP="00AF32B2">
      <w:pPr>
        <w:pStyle w:val="berschrift4"/>
      </w:pPr>
      <w:r w:rsidRPr="00AF32B2">
        <w:t>3.3.23.6 Abhängigkeit der funktionalen Kohärenz</w:t>
      </w:r>
    </w:p>
    <w:p w:rsidR="005735BA" w:rsidRDefault="005735BA" w:rsidP="005735BA">
      <w:pPr>
        <w:pStyle w:val="StandardWeb"/>
      </w:pPr>
      <w:r>
        <w:t>Funktionale Kohärenz bewertet bereits vorhandene Zustände, Relationen, Transformationen oder Entwicklungen. Die Kohärenzdefinition setzt deshalb bewertbare funktionale Objekte voraus.</w:t>
      </w:r>
    </w:p>
    <w:p w:rsidR="005735BA" w:rsidRDefault="005735BA" w:rsidP="005735BA">
      <w:pPr>
        <w:pStyle w:val="StandardWeb"/>
      </w:pPr>
      <w:r>
        <w:t>Für die allgemeine FRZK-Grundstruktur gelten</w:t>
      </w:r>
    </w:p>
    <w:p w:rsidR="005735BA" w:rsidRDefault="005735BA" w:rsidP="005735BA">
      <w:pPr>
        <w:pStyle w:val="StandardWeb"/>
      </w:pPr>
      <w:r>
        <w:t>[</w:t>
      </w:r>
      <w:r>
        <w:br/>
        <w:t>D_1</w:t>
      </w:r>
      <w:r>
        <w:br/>
        <w:t>\longrightarrow_{D}</w:t>
      </w:r>
      <w:r>
        <w:br/>
        <w:t>D_5,</w:t>
      </w:r>
      <w:r>
        <w:br/>
        <w:t>\tag{3.4737}</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D_1\longrightarrow_{D}D_5\qquad\text{(3.4737)}</w:t>
      </w:r>
    </w:p>
    <w:p w:rsidR="005735BA" w:rsidRDefault="005735BA" w:rsidP="005735BA">
      <w:pPr>
        <w:pStyle w:val="StandardWeb"/>
      </w:pPr>
      <w:r>
        <w:t>[</w:t>
      </w:r>
      <w:r>
        <w:br/>
        <w:t>D_2</w:t>
      </w:r>
      <w:r>
        <w:br/>
        <w:t>\longrightarrow_{D}</w:t>
      </w:r>
      <w:r>
        <w:br/>
        <w:t>D_5,</w:t>
      </w:r>
      <w:r>
        <w:br/>
        <w:t>\tag{3.4738}</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D_2\longrightarrow_{D}D_5\qquad\text{(3.4738)}</w:t>
      </w:r>
    </w:p>
    <w:p w:rsidR="005735BA" w:rsidRDefault="005735BA" w:rsidP="005735BA">
      <w:pPr>
        <w:pStyle w:val="StandardWeb"/>
      </w:pPr>
      <w:r>
        <w:t>[</w:t>
      </w:r>
      <w:r>
        <w:br/>
        <w:t>D_3</w:t>
      </w:r>
      <w:r>
        <w:br/>
        <w:t>\longrightarrow_{D}</w:t>
      </w:r>
      <w:r>
        <w:br/>
        <w:t>D_5</w:t>
      </w:r>
      <w:r>
        <w:br/>
        <w:t>\tag{3.4739}</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D_3\longrightarrow_{D}D_5\qquad\text{(3.4739)}</w:t>
      </w:r>
    </w:p>
    <w:p w:rsidR="005735BA" w:rsidRDefault="005735BA" w:rsidP="005735BA">
      <w:pPr>
        <w:pStyle w:val="StandardWeb"/>
      </w:pPr>
      <w:r>
        <w:t>und</w:t>
      </w:r>
    </w:p>
    <w:p w:rsidR="005735BA" w:rsidRDefault="005735BA" w:rsidP="005735BA">
      <w:pPr>
        <w:pStyle w:val="StandardWeb"/>
      </w:pPr>
      <w:r>
        <w:t>[</w:t>
      </w:r>
      <w:r>
        <w:br/>
        <w:t>D_4</w:t>
      </w:r>
      <w:r>
        <w:br/>
        <w:t>\longrightarrow_{D}</w:t>
      </w:r>
      <w:r>
        <w:br/>
        <w:t>D_5.</w:t>
      </w:r>
      <w:r>
        <w:br/>
      </w:r>
      <w:r>
        <w:lastRenderedPageBreak/>
        <w:t>\tag{3.4740}</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D_4\longrightarrow_{D}D_5\qquad\text{(3.4740)}</w:t>
      </w:r>
    </w:p>
    <w:p w:rsidR="005735BA" w:rsidRDefault="005735BA" w:rsidP="005735BA">
      <w:pPr>
        <w:pStyle w:val="StandardWeb"/>
      </w:pPr>
      <w:r>
        <w:t>Damit lautet</w:t>
      </w:r>
    </w:p>
    <w:p w:rsidR="005735BA" w:rsidRDefault="005735BA" w:rsidP="005735BA">
      <w:pPr>
        <w:pStyle w:val="berschrift1"/>
      </w:pPr>
      <w:r>
        <w:t>[</w:t>
      </w:r>
      <w:r>
        <w:br/>
        <w:t>\operatorname{Pred}_{D}(D_5)</w:t>
      </w:r>
    </w:p>
    <w:p w:rsidR="005735BA" w:rsidRDefault="005735BA" w:rsidP="005735BA">
      <w:pPr>
        <w:pStyle w:val="StandardWeb"/>
      </w:pPr>
      <w:r>
        <w:t>\left{</w:t>
      </w:r>
      <w:r>
        <w:br/>
        <w:t>D_1,D_2,D_3,D_4</w:t>
      </w:r>
      <w:r>
        <w:br/>
        <w:t>\right}.</w:t>
      </w:r>
      <w:r>
        <w:br/>
        <w:t>\tag{3.4741}</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\operatorname{Pred}_{D}(D_5)=\left\{D_1,D_2,D_3,D_4\right\}\qquad\text{(3.4741)}</w:t>
      </w:r>
    </w:p>
    <w:p w:rsidR="005735BA" w:rsidRDefault="005735BA" w:rsidP="005735BA">
      <w:pPr>
        <w:pStyle w:val="StandardWeb"/>
      </w:pPr>
      <w:r>
        <w:rPr>
          <w:rStyle w:val="Fett"/>
        </w:rPr>
        <w:t>Eigenleistung des FRZK</w:t>
      </w:r>
    </w:p>
    <w:p w:rsidR="005735BA" w:rsidRDefault="005735BA" w:rsidP="005735BA">
      <w:pPr>
        <w:pStyle w:val="StandardWeb"/>
      </w:pPr>
      <w:r>
        <w:t>Ich lege fest, dass Kohärenz funktionale Objekte bewertet, diese aber nicht erzeugt. Dadurch wird ausgeschlossen, dass ein Zustand nur deshalb als Zustand gilt, weil er zuvor bereits als kohärent bewertet wurde.</w:t>
      </w:r>
    </w:p>
    <w:p w:rsidR="005735BA" w:rsidRPr="00AF32B2" w:rsidRDefault="005735BA" w:rsidP="00AF32B2">
      <w:pPr>
        <w:pStyle w:val="berschrift4"/>
      </w:pPr>
      <w:r w:rsidRPr="00AF32B2">
        <w:t>3.3.23.7 Abhängigkeit der funktionalen Erreichbarkeit</w:t>
      </w:r>
    </w:p>
    <w:p w:rsidR="005735BA" w:rsidRDefault="005735BA" w:rsidP="005735BA">
      <w:pPr>
        <w:pStyle w:val="StandardWeb"/>
      </w:pPr>
      <w:r>
        <w:t>Funktionale Erreichbarkeit liegt vor, wenn ein Zustand durch eine endliche Folge funktionaler Transformationen in einen anderen Zustand überführt werden kann.</w:t>
      </w:r>
    </w:p>
    <w:p w:rsidR="005735BA" w:rsidRDefault="005735BA" w:rsidP="005735BA">
      <w:pPr>
        <w:pStyle w:val="StandardWeb"/>
      </w:pPr>
      <w:r>
        <w:t>Daher gelten</w:t>
      </w:r>
    </w:p>
    <w:p w:rsidR="005735BA" w:rsidRDefault="005735BA" w:rsidP="005735BA">
      <w:pPr>
        <w:pStyle w:val="StandardWeb"/>
      </w:pPr>
      <w:r>
        <w:t>[</w:t>
      </w:r>
      <w:r>
        <w:br/>
        <w:t>D_1</w:t>
      </w:r>
      <w:r>
        <w:br/>
        <w:t>\longrightarrow_{D}</w:t>
      </w:r>
      <w:r>
        <w:br/>
        <w:t>D_6,</w:t>
      </w:r>
      <w:r>
        <w:br/>
        <w:t>\tag{3.4742}</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D_1\longrightarrow_{D}D_6\qquad\text{(3.4742)}</w:t>
      </w:r>
    </w:p>
    <w:p w:rsidR="005735BA" w:rsidRDefault="005735BA" w:rsidP="005735BA">
      <w:pPr>
        <w:pStyle w:val="StandardWeb"/>
      </w:pPr>
      <w:r>
        <w:t>[</w:t>
      </w:r>
      <w:r>
        <w:br/>
        <w:t>D_3</w:t>
      </w:r>
      <w:r>
        <w:br/>
        <w:t>\longrightarrow_{D}</w:t>
      </w:r>
      <w:r>
        <w:br/>
      </w:r>
      <w:r>
        <w:lastRenderedPageBreak/>
        <w:t>D_6</w:t>
      </w:r>
      <w:r>
        <w:br/>
        <w:t>\tag{3.4743}</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D_3\longrightarrow_{D}D_6\qquad\text{(3.4743)}</w:t>
      </w:r>
    </w:p>
    <w:p w:rsidR="005735BA" w:rsidRDefault="005735BA" w:rsidP="005735BA">
      <w:pPr>
        <w:pStyle w:val="StandardWeb"/>
      </w:pPr>
      <w:r>
        <w:t>und</w:t>
      </w:r>
    </w:p>
    <w:p w:rsidR="005735BA" w:rsidRDefault="005735BA" w:rsidP="005735BA">
      <w:pPr>
        <w:pStyle w:val="StandardWeb"/>
      </w:pPr>
      <w:r>
        <w:t>[</w:t>
      </w:r>
      <w:r>
        <w:br/>
        <w:t>D_4</w:t>
      </w:r>
      <w:r>
        <w:br/>
        <w:t>\longrightarrow_{D}</w:t>
      </w:r>
      <w:r>
        <w:br/>
        <w:t>D_6.</w:t>
      </w:r>
      <w:r>
        <w:br/>
        <w:t>\tag{3.4744}</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D_4\longrightarrow_{D}D_6\qquad\text{(3.4744)}</w:t>
      </w:r>
    </w:p>
    <w:p w:rsidR="005735BA" w:rsidRDefault="005735BA" w:rsidP="005735BA">
      <w:pPr>
        <w:pStyle w:val="StandardWeb"/>
      </w:pPr>
      <w:r>
        <w:t>Die Vorgängermenge lautet</w:t>
      </w:r>
    </w:p>
    <w:p w:rsidR="005735BA" w:rsidRDefault="005735BA" w:rsidP="005735BA">
      <w:pPr>
        <w:pStyle w:val="berschrift1"/>
      </w:pPr>
      <w:r>
        <w:t>[</w:t>
      </w:r>
      <w:r>
        <w:br/>
        <w:t>\operatorname{Pred}_{D}(D_6)</w:t>
      </w:r>
    </w:p>
    <w:p w:rsidR="005735BA" w:rsidRDefault="005735BA" w:rsidP="005735BA">
      <w:pPr>
        <w:pStyle w:val="StandardWeb"/>
      </w:pPr>
      <w:r>
        <w:t>\left{</w:t>
      </w:r>
      <w:r>
        <w:br/>
        <w:t>D_1,D_3,D_4</w:t>
      </w:r>
      <w:r>
        <w:br/>
        <w:t>\right}.</w:t>
      </w:r>
      <w:r>
        <w:br/>
        <w:t>\tag{3.4745}</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\operatorname{Pred}_{D}(D_6)=\left\{D_1,D_3,D_4\right\}\qquad\text{(3.4745)}</w:t>
      </w:r>
    </w:p>
    <w:p w:rsidR="005735BA" w:rsidRDefault="005735BA" w:rsidP="005735BA">
      <w:pPr>
        <w:pStyle w:val="StandardWeb"/>
      </w:pPr>
      <w:r>
        <w:t>Funktionale Zeit wird für die Definition der Erreichbarkeit nicht vorausgesetzt. Erreichbarkeit ergibt sich ausschließlich aus Zuständen und Transformationsfolgen.</w:t>
      </w:r>
    </w:p>
    <w:p w:rsidR="005735BA" w:rsidRPr="00AF32B2" w:rsidRDefault="005735BA" w:rsidP="00AF32B2">
      <w:pPr>
        <w:pStyle w:val="berschrift4"/>
      </w:pPr>
      <w:r w:rsidRPr="00AF32B2">
        <w:t>3.3.23.8 Abhängigkeit der funktionalen Ordnung</w:t>
      </w:r>
    </w:p>
    <w:p w:rsidR="005735BA" w:rsidRDefault="005735BA" w:rsidP="005735BA">
      <w:pPr>
        <w:pStyle w:val="StandardWeb"/>
      </w:pPr>
      <w:r>
        <w:t>Die funktionale Ordnung wird auf Äquivalenzklassen wechselseitig erreichbarer Zustände eingeführt. Sie setzt daher die Zustandsgrundlage und die Erreichbarkeitsrelation voraus:</w:t>
      </w:r>
    </w:p>
    <w:p w:rsidR="005735BA" w:rsidRDefault="005735BA" w:rsidP="005735BA">
      <w:pPr>
        <w:pStyle w:val="StandardWeb"/>
      </w:pPr>
      <w:r>
        <w:t>[</w:t>
      </w:r>
      <w:r>
        <w:br/>
        <w:t>D_1</w:t>
      </w:r>
      <w:r>
        <w:br/>
        <w:t>\longrightarrow_{D}</w:t>
      </w:r>
      <w:r>
        <w:br/>
        <w:t>D_7</w:t>
      </w:r>
      <w:r>
        <w:br/>
      </w:r>
      <w:r>
        <w:lastRenderedPageBreak/>
        <w:t>\tag{3.4746}</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D_1\longrightarrow_{D}D_7\qquad\text{(3.4746)}</w:t>
      </w:r>
    </w:p>
    <w:p w:rsidR="005735BA" w:rsidRDefault="005735BA" w:rsidP="005735BA">
      <w:pPr>
        <w:pStyle w:val="StandardWeb"/>
      </w:pPr>
      <w:r>
        <w:t>und</w:t>
      </w:r>
    </w:p>
    <w:p w:rsidR="005735BA" w:rsidRDefault="005735BA" w:rsidP="005735BA">
      <w:pPr>
        <w:pStyle w:val="StandardWeb"/>
      </w:pPr>
      <w:r>
        <w:t>[</w:t>
      </w:r>
      <w:r>
        <w:br/>
        <w:t>D_6</w:t>
      </w:r>
      <w:r>
        <w:br/>
        <w:t>\longrightarrow_{D}</w:t>
      </w:r>
      <w:r>
        <w:br/>
        <w:t>D_7.</w:t>
      </w:r>
      <w:r>
        <w:br/>
        <w:t>\tag{3.4747}</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D_6\longrightarrow_{D}D_7\qquad\text{(3.4747)}</w:t>
      </w:r>
    </w:p>
    <w:p w:rsidR="005735BA" w:rsidRDefault="005735BA" w:rsidP="005735BA">
      <w:pPr>
        <w:pStyle w:val="StandardWeb"/>
      </w:pPr>
      <w:r>
        <w:t>Damit gilt</w:t>
      </w:r>
    </w:p>
    <w:p w:rsidR="005735BA" w:rsidRDefault="005735BA" w:rsidP="005735BA">
      <w:pPr>
        <w:pStyle w:val="berschrift1"/>
      </w:pPr>
      <w:r>
        <w:t>[</w:t>
      </w:r>
      <w:r>
        <w:br/>
        <w:t>\operatorname{Pred}_{D}(D_7)</w:t>
      </w:r>
    </w:p>
    <w:p w:rsidR="005735BA" w:rsidRDefault="005735BA" w:rsidP="005735BA">
      <w:pPr>
        <w:pStyle w:val="StandardWeb"/>
      </w:pPr>
      <w:r>
        <w:t>\left{</w:t>
      </w:r>
      <w:r>
        <w:br/>
        <w:t>D_1,D_6</w:t>
      </w:r>
      <w:r>
        <w:br/>
        <w:t>\right}.</w:t>
      </w:r>
      <w:r>
        <w:br/>
        <w:t>\tag{3.4748}</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\operatorname{Pred}_{D}(D_7)=\left\{D_1,D_6\right\}\qquad\text{(3.4748)}</w:t>
      </w:r>
    </w:p>
    <w:p w:rsidR="005735BA" w:rsidRDefault="005735BA" w:rsidP="005735BA">
      <w:pPr>
        <w:pStyle w:val="StandardWeb"/>
      </w:pPr>
      <w:r>
        <w:t>Eine bereits vorhandene Zeitabbildung ist nicht erforderlich:</w:t>
      </w:r>
    </w:p>
    <w:p w:rsidR="005735BA" w:rsidRDefault="005735BA" w:rsidP="005735BA">
      <w:pPr>
        <w:pStyle w:val="StandardWeb"/>
      </w:pPr>
      <w:r>
        <w:t>[</w:t>
      </w:r>
      <w:r>
        <w:br/>
        <w:t>D_8</w:t>
      </w:r>
      <w:r>
        <w:br/>
        <w:t>\nrightarrow_{D}</w:t>
      </w:r>
      <w:r>
        <w:br/>
        <w:t>D_7.</w:t>
      </w:r>
      <w:r>
        <w:br/>
        <w:t>\tag{3.4749}</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D_8\nrightarrow_{D}D_7\qquad\text{(3.4749)}</w:t>
      </w:r>
    </w:p>
    <w:p w:rsidR="005735BA" w:rsidRDefault="005735BA" w:rsidP="005735BA">
      <w:pPr>
        <w:pStyle w:val="StandardWeb"/>
      </w:pPr>
      <w:r>
        <w:t>Dadurch bleibt die funktionale Ordnung unabhängig von einer späteren numerischen oder ordinalen Zeitbewertung.</w:t>
      </w:r>
    </w:p>
    <w:p w:rsidR="005735BA" w:rsidRPr="00AF32B2" w:rsidRDefault="005735BA" w:rsidP="00AF32B2">
      <w:pPr>
        <w:pStyle w:val="berschrift4"/>
      </w:pPr>
      <w:r w:rsidRPr="00AF32B2">
        <w:lastRenderedPageBreak/>
        <w:t>3.3.23.9 Abhängigkeit der funktionalen Zeit</w:t>
      </w:r>
    </w:p>
    <w:p w:rsidR="005735BA" w:rsidRDefault="005735BA" w:rsidP="005735BA">
      <w:pPr>
        <w:pStyle w:val="StandardWeb"/>
      </w:pPr>
      <w:r>
        <w:t>Funktionale Zeit wird als ordnungsverträgliche Bewertung funktionaler Zustandsklassen eingeführt. Sie setzt deshalb die funktionale Ordnung voraus:</w:t>
      </w:r>
    </w:p>
    <w:p w:rsidR="005735BA" w:rsidRDefault="005735BA" w:rsidP="005735BA">
      <w:pPr>
        <w:pStyle w:val="StandardWeb"/>
      </w:pPr>
      <w:r>
        <w:t>[</w:t>
      </w:r>
      <w:r>
        <w:br/>
        <w:t>D_7</w:t>
      </w:r>
      <w:r>
        <w:br/>
        <w:t>\longrightarrow_{D}</w:t>
      </w:r>
      <w:r>
        <w:br/>
        <w:t>D_8.</w:t>
      </w:r>
      <w:r>
        <w:br/>
        <w:t>\tag{3.4750}</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D_7\longrightarrow_{D}D_8\qquad\text{(3.4750)}</w:t>
      </w:r>
    </w:p>
    <w:p w:rsidR="005735BA" w:rsidRDefault="005735BA" w:rsidP="005735BA">
      <w:pPr>
        <w:pStyle w:val="StandardWeb"/>
      </w:pPr>
      <w:r>
        <w:t>Zusätzlich verwendet sie die zugrunde liegenden Zustände beziehungsweise Zustandsklassen:</w:t>
      </w:r>
    </w:p>
    <w:p w:rsidR="005735BA" w:rsidRDefault="005735BA" w:rsidP="005735BA">
      <w:pPr>
        <w:pStyle w:val="StandardWeb"/>
      </w:pPr>
      <w:r>
        <w:t>[</w:t>
      </w:r>
      <w:r>
        <w:br/>
        <w:t>D_1</w:t>
      </w:r>
      <w:r>
        <w:br/>
        <w:t>\longrightarrow_{D}</w:t>
      </w:r>
      <w:r>
        <w:br/>
        <w:t>D_8.</w:t>
      </w:r>
      <w:r>
        <w:br/>
        <w:t>\tag{3.4751}</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D_1\longrightarrow_{D}D_8\qquad\text{(3.4751)}</w:t>
      </w:r>
    </w:p>
    <w:p w:rsidR="005735BA" w:rsidRDefault="005735BA" w:rsidP="005735BA">
      <w:pPr>
        <w:pStyle w:val="StandardWeb"/>
      </w:pPr>
      <w:r>
        <w:t>Damit lautet</w:t>
      </w:r>
    </w:p>
    <w:p w:rsidR="005735BA" w:rsidRDefault="005735BA" w:rsidP="005735BA">
      <w:pPr>
        <w:pStyle w:val="berschrift1"/>
      </w:pPr>
      <w:r>
        <w:t>[</w:t>
      </w:r>
      <w:r>
        <w:br/>
        <w:t>\operatorname{Pred}_{D}(D_8)</w:t>
      </w:r>
    </w:p>
    <w:p w:rsidR="005735BA" w:rsidRDefault="005735BA" w:rsidP="005735BA">
      <w:pPr>
        <w:pStyle w:val="StandardWeb"/>
      </w:pPr>
      <w:r>
        <w:t>\left{</w:t>
      </w:r>
      <w:r>
        <w:br/>
        <w:t>D_1,D_7</w:t>
      </w:r>
      <w:r>
        <w:br/>
        <w:t>\right}.</w:t>
      </w:r>
      <w:r>
        <w:br/>
        <w:t>\tag{3.4752}</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\operatorname{Pred}_{D}(D_8)=\left\{D_1,D_7\right\}\qquad\text{(3.4752)}</w:t>
      </w:r>
    </w:p>
    <w:p w:rsidR="005735BA" w:rsidRDefault="005735BA" w:rsidP="005735BA">
      <w:pPr>
        <w:pStyle w:val="StandardWeb"/>
      </w:pPr>
      <w:r>
        <w:t>Der kritische mögliche Zyklus</w:t>
      </w:r>
    </w:p>
    <w:p w:rsidR="005735BA" w:rsidRDefault="005735BA" w:rsidP="005735BA">
      <w:pPr>
        <w:pStyle w:val="StandardWeb"/>
      </w:pPr>
      <w:r>
        <w:t>[</w:t>
      </w:r>
      <w:r>
        <w:br/>
        <w:t>D_7</w:t>
      </w:r>
      <w:r>
        <w:br/>
        <w:t>\longrightarrow_{D}</w:t>
      </w:r>
      <w:r>
        <w:br/>
        <w:t>D_8</w:t>
      </w:r>
      <w:r>
        <w:br/>
      </w:r>
      <w:r>
        <w:lastRenderedPageBreak/>
        <w:t>\longrightarrow_{D}</w:t>
      </w:r>
      <w:r>
        <w:br/>
        <w:t>D_7</w:t>
      </w:r>
      <w:r>
        <w:br/>
        <w:t>\tag{3.4753}</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D_7\longrightarrow_{D}D_8\longrightarrow_{D}D_7\qquad\text{(3.4753)}</w:t>
      </w:r>
    </w:p>
    <w:p w:rsidR="005735BA" w:rsidRDefault="005735BA" w:rsidP="005735BA">
      <w:pPr>
        <w:pStyle w:val="StandardWeb"/>
      </w:pPr>
      <w:r>
        <w:t>liegt nicht vor, weil (D_8\nrightarrow_{D}D_7).</w:t>
      </w:r>
    </w:p>
    <w:p w:rsidR="005735BA" w:rsidRDefault="005735BA" w:rsidP="005735BA">
      <w:pPr>
        <w:pStyle w:val="StandardWeb"/>
      </w:pPr>
      <w:r>
        <w:rPr>
          <w:rStyle w:val="Fett"/>
        </w:rPr>
        <w:t>Eigenleistung des FRZK</w:t>
      </w:r>
    </w:p>
    <w:p w:rsidR="005735BA" w:rsidRDefault="005735BA" w:rsidP="005735BA">
      <w:pPr>
        <w:pStyle w:val="StandardWeb"/>
      </w:pPr>
      <w:r>
        <w:t>Ich definiere zuerst die funktionale Ordnung und anschließend die funktionale Zeit. Zeit repräsentiert die Ordnung, erzeugt sie aber nicht. Damit wird ein zentraler möglicher Definitionszirkel ausgeschlossen.</w:t>
      </w:r>
    </w:p>
    <w:p w:rsidR="005735BA" w:rsidRPr="00AF32B2" w:rsidRDefault="005735BA" w:rsidP="00AF32B2">
      <w:pPr>
        <w:pStyle w:val="berschrift4"/>
      </w:pPr>
      <w:r w:rsidRPr="00AF32B2">
        <w:t>3.3.23.10 Abhängigkeit des funktionalen Raumes</w:t>
      </w:r>
    </w:p>
    <w:p w:rsidR="005735BA" w:rsidRDefault="005735BA" w:rsidP="005735BA">
      <w:pPr>
        <w:pStyle w:val="StandardWeb"/>
      </w:pPr>
      <w:r>
        <w:t>Der funktionale Raum beruht auf funktionalen Zustandsklassen und räumlich interpretierten funktionalen Relationen. Deshalb gelten</w:t>
      </w:r>
    </w:p>
    <w:p w:rsidR="005735BA" w:rsidRDefault="005735BA" w:rsidP="005735BA">
      <w:pPr>
        <w:pStyle w:val="StandardWeb"/>
      </w:pPr>
      <w:r>
        <w:t>[</w:t>
      </w:r>
      <w:r>
        <w:br/>
        <w:t>D_1</w:t>
      </w:r>
      <w:r>
        <w:br/>
        <w:t>\longrightarrow_{D}</w:t>
      </w:r>
      <w:r>
        <w:br/>
        <w:t>D_9,</w:t>
      </w:r>
      <w:r>
        <w:br/>
        <w:t>\tag{3.4754}</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D_1\longrightarrow_{D}D_9\qquad\text{(3.4754)}</w:t>
      </w:r>
    </w:p>
    <w:p w:rsidR="005735BA" w:rsidRDefault="005735BA" w:rsidP="005735BA">
      <w:pPr>
        <w:pStyle w:val="StandardWeb"/>
      </w:pPr>
      <w:r>
        <w:t>[</w:t>
      </w:r>
      <w:r>
        <w:br/>
        <w:t>D_2</w:t>
      </w:r>
      <w:r>
        <w:br/>
        <w:t>\longrightarrow_{D}</w:t>
      </w:r>
      <w:r>
        <w:br/>
        <w:t>D_9</w:t>
      </w:r>
      <w:r>
        <w:br/>
        <w:t>\tag{3.4755}</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D_2\longrightarrow_{D}D_9\qquad\text{(3.4755)}</w:t>
      </w:r>
    </w:p>
    <w:p w:rsidR="005735BA" w:rsidRDefault="005735BA" w:rsidP="005735BA">
      <w:pPr>
        <w:pStyle w:val="StandardWeb"/>
      </w:pPr>
      <w:r>
        <w:t>und aufgrund der verwendeten Quotientenstruktur</w:t>
      </w:r>
    </w:p>
    <w:p w:rsidR="005735BA" w:rsidRDefault="005735BA" w:rsidP="005735BA">
      <w:pPr>
        <w:pStyle w:val="StandardWeb"/>
      </w:pPr>
      <w:r>
        <w:t>[</w:t>
      </w:r>
      <w:r>
        <w:br/>
        <w:t>D_7</w:t>
      </w:r>
      <w:r>
        <w:br/>
        <w:t>\longrightarrow_{D}</w:t>
      </w:r>
      <w:r>
        <w:br/>
        <w:t>D_9.</w:t>
      </w:r>
      <w:r>
        <w:br/>
      </w:r>
      <w:r>
        <w:lastRenderedPageBreak/>
        <w:t>\tag{3.4756}</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D_7\longrightarrow_{D}D_9\qquad\text{(3.4756)}</w:t>
      </w:r>
    </w:p>
    <w:p w:rsidR="005735BA" w:rsidRDefault="005735BA" w:rsidP="005735BA">
      <w:pPr>
        <w:pStyle w:val="StandardWeb"/>
      </w:pPr>
      <w:r>
        <w:t>Damit gilt</w:t>
      </w:r>
    </w:p>
    <w:p w:rsidR="005735BA" w:rsidRDefault="005735BA" w:rsidP="005735BA">
      <w:pPr>
        <w:pStyle w:val="berschrift1"/>
      </w:pPr>
      <w:r>
        <w:t>[</w:t>
      </w:r>
      <w:r>
        <w:br/>
        <w:t>\operatorname{Pred}_{D}(D_9)</w:t>
      </w:r>
    </w:p>
    <w:p w:rsidR="005735BA" w:rsidRDefault="005735BA" w:rsidP="005735BA">
      <w:pPr>
        <w:pStyle w:val="StandardWeb"/>
      </w:pPr>
      <w:r>
        <w:t>\left{</w:t>
      </w:r>
      <w:r>
        <w:br/>
        <w:t>D_1,D_2,D_7</w:t>
      </w:r>
      <w:r>
        <w:br/>
        <w:t>\right}.</w:t>
      </w:r>
      <w:r>
        <w:br/>
        <w:t>\tag{3.4757}</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\operatorname{Pred}_{D}(D_9)=\left\{D_1,D_2,D_7\right\}\qquad\text{(3.4757)}</w:t>
      </w:r>
    </w:p>
    <w:p w:rsidR="005735BA" w:rsidRDefault="005735BA" w:rsidP="005735BA">
      <w:pPr>
        <w:pStyle w:val="StandardWeb"/>
      </w:pPr>
      <w:r>
        <w:t>Die allgemeinen funktionalen Relationen werden nicht ihrerseits durch funktionalen Raum definiert:</w:t>
      </w:r>
    </w:p>
    <w:p w:rsidR="005735BA" w:rsidRDefault="005735BA" w:rsidP="005735BA">
      <w:pPr>
        <w:pStyle w:val="StandardWeb"/>
      </w:pPr>
      <w:r>
        <w:t>[</w:t>
      </w:r>
      <w:r>
        <w:br/>
        <w:t>D_9</w:t>
      </w:r>
      <w:r>
        <w:br/>
        <w:t>\nrightarrow_{D}</w:t>
      </w:r>
      <w:r>
        <w:br/>
        <w:t>D_2.</w:t>
      </w:r>
      <w:r>
        <w:br/>
        <w:t>\tag{3.4758}</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D_9\nrightarrow_{D}D_2\qquad\text{(3.4758)}</w:t>
      </w:r>
    </w:p>
    <w:p w:rsidR="005735BA" w:rsidRDefault="005735BA" w:rsidP="005735BA">
      <w:pPr>
        <w:pStyle w:val="StandardWeb"/>
      </w:pPr>
      <w:r>
        <w:t>Raum ist damit eine abgeleitete Interpretation ausgewählter Relationsstrukturen.</w:t>
      </w:r>
    </w:p>
    <w:p w:rsidR="005735BA" w:rsidRPr="00AF32B2" w:rsidRDefault="005735BA" w:rsidP="00AF32B2">
      <w:pPr>
        <w:pStyle w:val="berschrift4"/>
      </w:pPr>
      <w:r w:rsidRPr="00AF32B2">
        <w:t>3.3.23.11 Abhängigkeit der funktionalen Raum-Zeit-Kopplung</w:t>
      </w:r>
    </w:p>
    <w:p w:rsidR="005735BA" w:rsidRDefault="005735BA" w:rsidP="005735BA">
      <w:pPr>
        <w:pStyle w:val="StandardWeb"/>
      </w:pPr>
      <w:r>
        <w:t>Die funktionale Raum-Zeit-Kopplung setzt funktionalen Raum und funktionale Zeit voraus:</w:t>
      </w:r>
    </w:p>
    <w:p w:rsidR="005735BA" w:rsidRDefault="005735BA" w:rsidP="005735BA">
      <w:pPr>
        <w:pStyle w:val="StandardWeb"/>
      </w:pPr>
      <w:r>
        <w:t>[</w:t>
      </w:r>
      <w:r>
        <w:br/>
        <w:t>D_9</w:t>
      </w:r>
      <w:r>
        <w:br/>
        <w:t>\longrightarrow_{D}</w:t>
      </w:r>
      <w:r>
        <w:br/>
        <w:t>D_{10},</w:t>
      </w:r>
      <w:r>
        <w:br/>
        <w:t>\tag{3.4759}</w:t>
      </w:r>
      <w:r>
        <w:br/>
        <w:t>]</w:t>
      </w:r>
    </w:p>
    <w:p w:rsidR="005735BA" w:rsidRDefault="005735BA" w:rsidP="005735BA">
      <w:pPr>
        <w:pStyle w:val="StandardWeb"/>
      </w:pPr>
      <w:r>
        <w:rPr>
          <w:rStyle w:val="Fett"/>
        </w:rPr>
        <w:lastRenderedPageBreak/>
        <w:t>Word-LaTeX</w:t>
      </w:r>
    </w:p>
    <w:p w:rsidR="005735BA" w:rsidRDefault="005735BA" w:rsidP="005735BA">
      <w:pPr>
        <w:pStyle w:val="HTMLVorformatiert"/>
        <w:rPr>
          <w:rStyle w:val="HTMLCode"/>
        </w:rPr>
      </w:pPr>
      <w:r>
        <w:rPr>
          <w:rStyle w:val="HTMLCode"/>
        </w:rPr>
        <w:t>D_9\longrightarrow_{D}D_{10}\qquad\text{(3.4759)}</w:t>
      </w:r>
    </w:p>
    <w:p w:rsidR="005735BA" w:rsidRDefault="005735BA" w:rsidP="005735BA">
      <w:pPr>
        <w:pStyle w:val="StandardWeb"/>
      </w:pPr>
      <w:r>
        <w:t>[</w:t>
      </w:r>
      <w:r>
        <w:br/>
        <w:t>D_8</w:t>
      </w:r>
      <w:r>
        <w:br/>
        <w:t>\longrightarrow_{D}</w:t>
      </w:r>
      <w:r>
        <w:br/>
        <w:t>D_{10}.</w:t>
      </w:r>
      <w:r>
        <w:br/>
        <w:t>\tag{3.4760}</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D_8\longrightarrow_{D}D_{10}\qquad\text{(3.4760)}</w:t>
      </w:r>
    </w:p>
    <w:p w:rsidR="005735BA" w:rsidRDefault="005735BA" w:rsidP="005735BA">
      <w:pPr>
        <w:pStyle w:val="StandardWeb"/>
      </w:pPr>
      <w:r>
        <w:t>Da die Kopplung zulässige Übergänge zwischen Raum-Zeit-Zuständen bewertet, besteht zusätzlich die Abhängigkeit</w:t>
      </w:r>
    </w:p>
    <w:p w:rsidR="005735BA" w:rsidRDefault="005735BA" w:rsidP="005735BA">
      <w:pPr>
        <w:pStyle w:val="StandardWeb"/>
      </w:pPr>
      <w:r>
        <w:t>[</w:t>
      </w:r>
      <w:r>
        <w:br/>
        <w:t>D_6</w:t>
      </w:r>
      <w:r>
        <w:br/>
        <w:t>\longrightarrow_{D}</w:t>
      </w:r>
      <w:r>
        <w:br/>
        <w:t>D_{10}.</w:t>
      </w:r>
      <w:r>
        <w:br/>
        <w:t>\tag{3.4761}</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D_6\longrightarrow_{D}D_{10}\qquad\text{(3.4761)}</w:t>
      </w:r>
    </w:p>
    <w:p w:rsidR="005735BA" w:rsidRDefault="005735BA" w:rsidP="005735BA">
      <w:pPr>
        <w:pStyle w:val="StandardWeb"/>
      </w:pPr>
      <w:r>
        <w:t>Damit lautet</w:t>
      </w:r>
    </w:p>
    <w:p w:rsidR="005735BA" w:rsidRDefault="005735BA" w:rsidP="005735BA">
      <w:pPr>
        <w:pStyle w:val="berschrift1"/>
      </w:pPr>
      <w:r>
        <w:t>[</w:t>
      </w:r>
      <w:r>
        <w:br/>
        <w:t>\operatorname{Pred}</w:t>
      </w:r>
      <w:r>
        <w:rPr>
          <w:rStyle w:val="Hervorhebung"/>
        </w:rPr>
        <w:t>{D}(D</w:t>
      </w:r>
      <w:r>
        <w:t>{10})</w:t>
      </w:r>
    </w:p>
    <w:p w:rsidR="005735BA" w:rsidRDefault="005735BA" w:rsidP="005735BA">
      <w:pPr>
        <w:pStyle w:val="StandardWeb"/>
      </w:pPr>
      <w:r>
        <w:t>\left{</w:t>
      </w:r>
      <w:r>
        <w:br/>
        <w:t>D_6,D_8,D_9</w:t>
      </w:r>
      <w:r>
        <w:br/>
        <w:t>\right}.</w:t>
      </w:r>
      <w:r>
        <w:br/>
        <w:t>\tag{3.4762}</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\operatorname{Pred}_{D}(D_{10})=\left\{D_6,D_8,D_9\right\}\qquad\text{(3.4762)}</w:t>
      </w:r>
    </w:p>
    <w:p w:rsidR="005735BA" w:rsidRDefault="005735BA" w:rsidP="005735BA">
      <w:pPr>
        <w:pStyle w:val="StandardWeb"/>
      </w:pPr>
      <w:r>
        <w:t>Die Kopplung erzeugt weder funktionalen Raum noch funktionale Zeit. Daher gelten</w:t>
      </w:r>
    </w:p>
    <w:p w:rsidR="005735BA" w:rsidRDefault="005735BA" w:rsidP="005735BA">
      <w:pPr>
        <w:pStyle w:val="StandardWeb"/>
      </w:pPr>
      <w:r>
        <w:t>[</w:t>
      </w:r>
      <w:r>
        <w:br/>
        <w:t>D_{10}</w:t>
      </w:r>
      <w:r>
        <w:br/>
        <w:t>\nrightarrow_{D}</w:t>
      </w:r>
      <w:r>
        <w:br/>
      </w:r>
      <w:r>
        <w:lastRenderedPageBreak/>
        <w:t>D_8</w:t>
      </w:r>
      <w:r>
        <w:br/>
        <w:t>\tag{3.4763}</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D_{10}\nrightarrow_{D}D_8\qquad\text{(3.4763)}</w:t>
      </w:r>
    </w:p>
    <w:p w:rsidR="005735BA" w:rsidRDefault="005735BA" w:rsidP="005735BA">
      <w:pPr>
        <w:pStyle w:val="StandardWeb"/>
      </w:pPr>
      <w:r>
        <w:t>und</w:t>
      </w:r>
    </w:p>
    <w:p w:rsidR="005735BA" w:rsidRDefault="005735BA" w:rsidP="005735BA">
      <w:pPr>
        <w:pStyle w:val="StandardWeb"/>
      </w:pPr>
      <w:r>
        <w:t>[</w:t>
      </w:r>
      <w:r>
        <w:br/>
        <w:t>D_{10}</w:t>
      </w:r>
      <w:r>
        <w:br/>
        <w:t>\nrightarrow_{D}</w:t>
      </w:r>
      <w:r>
        <w:br/>
        <w:t>D_9.</w:t>
      </w:r>
      <w:r>
        <w:br/>
        <w:t>\tag{3.4764}</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D_{10}\nrightarrow_{D}D_9\qquad\text{(3.4764)}</w:t>
      </w:r>
    </w:p>
    <w:p w:rsidR="005735BA" w:rsidRPr="00AF32B2" w:rsidRDefault="005735BA" w:rsidP="00AF32B2">
      <w:pPr>
        <w:pStyle w:val="berschrift4"/>
      </w:pPr>
      <w:r w:rsidRPr="00AF32B2">
        <w:t>3.3.23.12 Abhängigkeit der Gesamtsystemdefinition</w:t>
      </w:r>
    </w:p>
    <w:p w:rsidR="005735BA" w:rsidRDefault="005735BA" w:rsidP="005735BA">
      <w:pPr>
        <w:pStyle w:val="StandardWeb"/>
      </w:pPr>
      <w:r>
        <w:t>Die Definition des Funktionalen Raum-Zeit-Kohärenzsystems fasst die zuvor eingeführten Teilstrukturen zusammen. Sie besitzt daher mehrere notwendige Vorgänger:</w:t>
      </w:r>
    </w:p>
    <w:p w:rsidR="005735BA" w:rsidRDefault="005735BA" w:rsidP="005735BA">
      <w:pPr>
        <w:pStyle w:val="StandardWeb"/>
      </w:pPr>
      <w:r>
        <w:t>[</w:t>
      </w:r>
      <w:r>
        <w:br/>
        <w:t>D_1</w:t>
      </w:r>
      <w:r>
        <w:br/>
        <w:t>\longrightarrow_{D}</w:t>
      </w:r>
      <w:r>
        <w:br/>
        <w:t>D_{11},</w:t>
      </w:r>
      <w:r>
        <w:br/>
        <w:t>\tag{3.4765}</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D_1\longrightarrow_{D}D_{11}\qquad\text{(3.4765)}</w:t>
      </w:r>
    </w:p>
    <w:p w:rsidR="005735BA" w:rsidRDefault="005735BA" w:rsidP="005735BA">
      <w:pPr>
        <w:pStyle w:val="StandardWeb"/>
      </w:pPr>
      <w:r>
        <w:t>[</w:t>
      </w:r>
      <w:r>
        <w:br/>
        <w:t>D_2</w:t>
      </w:r>
      <w:r>
        <w:br/>
        <w:t>\longrightarrow_{D}</w:t>
      </w:r>
      <w:r>
        <w:br/>
        <w:t>D_{11},</w:t>
      </w:r>
      <w:r>
        <w:br/>
        <w:t>\tag{3.4766}</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D_2\longrightarrow_{D}D_{11}\qquad\text{(3.4766)}</w:t>
      </w:r>
    </w:p>
    <w:p w:rsidR="005735BA" w:rsidRDefault="005735BA" w:rsidP="005735BA">
      <w:pPr>
        <w:pStyle w:val="StandardWeb"/>
      </w:pPr>
      <w:r>
        <w:t>[</w:t>
      </w:r>
      <w:r>
        <w:br/>
        <w:t>D_3</w:t>
      </w:r>
      <w:r>
        <w:br/>
        <w:t>\longrightarrow_{D}</w:t>
      </w:r>
      <w:r>
        <w:br/>
        <w:t>D_{11},</w:t>
      </w:r>
      <w:r>
        <w:br/>
      </w:r>
      <w:r>
        <w:lastRenderedPageBreak/>
        <w:t>\tag{3.4767}</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D_3\longrightarrow_{D}D_{11}\qquad\text{(3.4767)}</w:t>
      </w:r>
    </w:p>
    <w:p w:rsidR="005735BA" w:rsidRDefault="005735BA" w:rsidP="005735BA">
      <w:pPr>
        <w:pStyle w:val="StandardWeb"/>
      </w:pPr>
      <w:r>
        <w:t>[</w:t>
      </w:r>
      <w:r>
        <w:br/>
        <w:t>D_4</w:t>
      </w:r>
      <w:r>
        <w:br/>
        <w:t>\longrightarrow_{D}</w:t>
      </w:r>
      <w:r>
        <w:br/>
        <w:t>D_{11},</w:t>
      </w:r>
      <w:r>
        <w:br/>
        <w:t>\tag{3.4768}</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D_4\longrightarrow_{D}D_{11}\qquad\text{(3.4768)}</w:t>
      </w:r>
    </w:p>
    <w:p w:rsidR="005735BA" w:rsidRDefault="005735BA" w:rsidP="005735BA">
      <w:pPr>
        <w:pStyle w:val="StandardWeb"/>
      </w:pPr>
      <w:r>
        <w:t>[</w:t>
      </w:r>
      <w:r>
        <w:br/>
        <w:t>D_5</w:t>
      </w:r>
      <w:r>
        <w:br/>
        <w:t>\longrightarrow_{D}</w:t>
      </w:r>
      <w:r>
        <w:br/>
        <w:t>D_{11},</w:t>
      </w:r>
      <w:r>
        <w:br/>
        <w:t>\tag{3.4769}</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D_5\longrightarrow_{D}D_{11}\qquad\text{(3.4769)}</w:t>
      </w:r>
    </w:p>
    <w:p w:rsidR="005735BA" w:rsidRDefault="005735BA" w:rsidP="005735BA">
      <w:pPr>
        <w:pStyle w:val="StandardWeb"/>
      </w:pPr>
      <w:r>
        <w:t>[</w:t>
      </w:r>
      <w:r>
        <w:br/>
        <w:t>D_7</w:t>
      </w:r>
      <w:r>
        <w:br/>
        <w:t>\longrightarrow_{D}</w:t>
      </w:r>
      <w:r>
        <w:br/>
        <w:t>D_{11},</w:t>
      </w:r>
      <w:r>
        <w:br/>
        <w:t>\tag{3.4770}</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D_7\longrightarrow_{D}D_{11}\qquad\text{(3.4770)}</w:t>
      </w:r>
    </w:p>
    <w:p w:rsidR="005735BA" w:rsidRDefault="005735BA" w:rsidP="005735BA">
      <w:pPr>
        <w:pStyle w:val="StandardWeb"/>
      </w:pPr>
      <w:r>
        <w:t>[</w:t>
      </w:r>
      <w:r>
        <w:br/>
        <w:t>D_8</w:t>
      </w:r>
      <w:r>
        <w:br/>
        <w:t>\longrightarrow_{D}</w:t>
      </w:r>
      <w:r>
        <w:br/>
        <w:t>D_{11},</w:t>
      </w:r>
      <w:r>
        <w:br/>
        <w:t>\tag{3.4771}</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D_8\longrightarrow_{D}D_{11}\qquad\text{(3.4771)}</w:t>
      </w:r>
    </w:p>
    <w:p w:rsidR="005735BA" w:rsidRDefault="005735BA" w:rsidP="005735BA">
      <w:pPr>
        <w:pStyle w:val="StandardWeb"/>
      </w:pPr>
      <w:r>
        <w:lastRenderedPageBreak/>
        <w:t>[</w:t>
      </w:r>
      <w:r>
        <w:br/>
        <w:t>D_9</w:t>
      </w:r>
      <w:r>
        <w:br/>
        <w:t>\longrightarrow_{D}</w:t>
      </w:r>
      <w:r>
        <w:br/>
        <w:t>D_{11}</w:t>
      </w:r>
      <w:r>
        <w:br/>
        <w:t>\tag{3.4772}</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D_9\longrightarrow_{D}D_{11}\qquad\text{(3.4772)}</w:t>
      </w:r>
    </w:p>
    <w:p w:rsidR="005735BA" w:rsidRDefault="005735BA" w:rsidP="005735BA">
      <w:pPr>
        <w:pStyle w:val="StandardWeb"/>
      </w:pPr>
      <w:r>
        <w:t>und</w:t>
      </w:r>
    </w:p>
    <w:p w:rsidR="005735BA" w:rsidRDefault="005735BA" w:rsidP="005735BA">
      <w:pPr>
        <w:pStyle w:val="StandardWeb"/>
      </w:pPr>
      <w:r>
        <w:t>[</w:t>
      </w:r>
      <w:r>
        <w:br/>
        <w:t>D_{10}</w:t>
      </w:r>
      <w:r>
        <w:br/>
        <w:t>\longrightarrow_{D}</w:t>
      </w:r>
      <w:r>
        <w:br/>
        <w:t>D_{11}.</w:t>
      </w:r>
      <w:r>
        <w:br/>
        <w:t>\tag{3.4773}</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D_{10}\longrightarrow_{D}D_{11}\qquad\text{(3.4773)}</w:t>
      </w:r>
    </w:p>
    <w:p w:rsidR="005735BA" w:rsidRDefault="005735BA" w:rsidP="005735BA">
      <w:pPr>
        <w:pStyle w:val="StandardWeb"/>
      </w:pPr>
      <w:r>
        <w:t>Damit ist (D_{11}) ein Zusammenfassungsknoten mit hoher Eingangsgradzahl.</w:t>
      </w:r>
    </w:p>
    <w:p w:rsidR="005735BA" w:rsidRPr="00AF32B2" w:rsidRDefault="005735BA" w:rsidP="00AF32B2">
      <w:pPr>
        <w:pStyle w:val="berschrift4"/>
      </w:pPr>
      <w:r w:rsidRPr="00AF32B2">
        <w:t>3.3.23.13 Abhängigkeit der Prüfmodelle</w:t>
      </w:r>
    </w:p>
    <w:p w:rsidR="005735BA" w:rsidRDefault="005735BA" w:rsidP="005735BA">
      <w:pPr>
        <w:pStyle w:val="StandardWeb"/>
      </w:pPr>
      <w:r>
        <w:t>Das reduzierte FRZK-Prämodell (D_{12}) verwendet die drei elementaren Objektklassen:</w:t>
      </w:r>
    </w:p>
    <w:p w:rsidR="005735BA" w:rsidRDefault="005735BA" w:rsidP="005735BA">
      <w:pPr>
        <w:pStyle w:val="StandardWeb"/>
      </w:pPr>
      <w:r>
        <w:t>[</w:t>
      </w:r>
      <w:r>
        <w:br/>
        <w:t>D_1</w:t>
      </w:r>
      <w:r>
        <w:br/>
        <w:t>\longrightarrow_{D}</w:t>
      </w:r>
      <w:r>
        <w:br/>
        <w:t>D_{12},</w:t>
      </w:r>
      <w:r>
        <w:br/>
        <w:t>\tag{3.4774}</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D_1\longrightarrow_{D}D_{12}\qquad\text{(3.4774)}</w:t>
      </w:r>
    </w:p>
    <w:p w:rsidR="005735BA" w:rsidRDefault="005735BA" w:rsidP="005735BA">
      <w:pPr>
        <w:pStyle w:val="StandardWeb"/>
      </w:pPr>
      <w:r>
        <w:t>[</w:t>
      </w:r>
      <w:r>
        <w:br/>
        <w:t>D_2</w:t>
      </w:r>
      <w:r>
        <w:br/>
        <w:t>\longrightarrow_{D}</w:t>
      </w:r>
      <w:r>
        <w:br/>
        <w:t>D_{12}</w:t>
      </w:r>
      <w:r>
        <w:br/>
        <w:t>\tag{3.4775}</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D_2\longrightarrow_{D}D_{12}\qquad\text{(3.4775)}</w:t>
      </w:r>
    </w:p>
    <w:p w:rsidR="005735BA" w:rsidRDefault="005735BA" w:rsidP="005735BA">
      <w:pPr>
        <w:pStyle w:val="StandardWeb"/>
      </w:pPr>
      <w:r>
        <w:lastRenderedPageBreak/>
        <w:t>und</w:t>
      </w:r>
    </w:p>
    <w:p w:rsidR="005735BA" w:rsidRDefault="005735BA" w:rsidP="005735BA">
      <w:pPr>
        <w:pStyle w:val="StandardWeb"/>
      </w:pPr>
      <w:r>
        <w:t>[</w:t>
      </w:r>
      <w:r>
        <w:br/>
        <w:t>D_3</w:t>
      </w:r>
      <w:r>
        <w:br/>
        <w:t>\longrightarrow_{D}</w:t>
      </w:r>
      <w:r>
        <w:br/>
        <w:t>D_{12}.</w:t>
      </w:r>
      <w:r>
        <w:br/>
        <w:t>\tag{3.4776}</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D_3\longrightarrow_{D}D_{12}\qquad\text{(3.4776)}</w:t>
      </w:r>
    </w:p>
    <w:p w:rsidR="005735BA" w:rsidRDefault="005735BA" w:rsidP="005735BA">
      <w:pPr>
        <w:pStyle w:val="StandardWeb"/>
      </w:pPr>
      <w:r>
        <w:t>Das gemeinsame minimale Primäraxiomenmodell (D_{13}) konkretisiert das reduzierte Prämodell:</w:t>
      </w:r>
    </w:p>
    <w:p w:rsidR="005735BA" w:rsidRDefault="005735BA" w:rsidP="005735BA">
      <w:pPr>
        <w:pStyle w:val="StandardWeb"/>
      </w:pPr>
      <w:r>
        <w:t>[</w:t>
      </w:r>
      <w:r>
        <w:br/>
        <w:t>D_{12}</w:t>
      </w:r>
      <w:r>
        <w:br/>
        <w:t>\longrightarrow_{D}</w:t>
      </w:r>
      <w:r>
        <w:br/>
        <w:t>D_{13}.</w:t>
      </w:r>
      <w:r>
        <w:br/>
        <w:t>\tag{3.4777}</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D_{12}\longrightarrow_{D}D_{13}\qquad\text{(3.4777)}</w:t>
      </w:r>
    </w:p>
    <w:p w:rsidR="005735BA" w:rsidRDefault="005735BA" w:rsidP="005735BA">
      <w:pPr>
        <w:pStyle w:val="StandardWeb"/>
      </w:pPr>
      <w:r>
        <w:t>Zusätzlich gelten</w:t>
      </w:r>
    </w:p>
    <w:p w:rsidR="005735BA" w:rsidRDefault="005735BA" w:rsidP="005735BA">
      <w:pPr>
        <w:pStyle w:val="StandardWeb"/>
      </w:pPr>
      <w:r>
        <w:t>[</w:t>
      </w:r>
      <w:r>
        <w:br/>
        <w:t>D_1</w:t>
      </w:r>
      <w:r>
        <w:br/>
        <w:t>\longrightarrow_{D}</w:t>
      </w:r>
      <w:r>
        <w:br/>
        <w:t>D_{13},</w:t>
      </w:r>
      <w:r>
        <w:br/>
        <w:t>\qquad</w:t>
      </w:r>
      <w:r>
        <w:br/>
        <w:t>D_2</w:t>
      </w:r>
      <w:r>
        <w:br/>
        <w:t>\longrightarrow_{D}</w:t>
      </w:r>
      <w:r>
        <w:br/>
        <w:t>D_{13},</w:t>
      </w:r>
      <w:r>
        <w:br/>
        <w:t>\qquad</w:t>
      </w:r>
      <w:r>
        <w:br/>
        <w:t>D_3</w:t>
      </w:r>
      <w:r>
        <w:br/>
        <w:t>\longrightarrow_{D}</w:t>
      </w:r>
      <w:r>
        <w:br/>
        <w:t>D_{13}.</w:t>
      </w:r>
      <w:r>
        <w:br/>
        <w:t>\tag{3.4778}</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D_1\longrightarrow_{D}D_{13},\qquad D_2\longrightarrow_{D}D_{13},\qquad D_3\longrightarrow_{D}D_{13}\qquad\text{(3.4778)}</w:t>
      </w:r>
    </w:p>
    <w:p w:rsidR="005735BA" w:rsidRPr="00AF32B2" w:rsidRDefault="005735BA" w:rsidP="00AF32B2">
      <w:pPr>
        <w:pStyle w:val="berschrift4"/>
      </w:pPr>
      <w:r w:rsidRPr="00AF32B2">
        <w:t>3.3.23.14 Abhängigkeit der FRZK-Typmatrix</w:t>
      </w:r>
    </w:p>
    <w:p w:rsidR="005735BA" w:rsidRDefault="005735BA" w:rsidP="005735BA">
      <w:pPr>
        <w:pStyle w:val="StandardWeb"/>
      </w:pPr>
      <w:r>
        <w:lastRenderedPageBreak/>
        <w:t>Die Typmatrix (D_{14}) erfasst die Typen und Verwendungsbedingungen der zuvor eingeführten FRZK-Objekte.</w:t>
      </w:r>
    </w:p>
    <w:p w:rsidR="005735BA" w:rsidRDefault="005735BA" w:rsidP="005735BA">
      <w:pPr>
        <w:pStyle w:val="StandardWeb"/>
      </w:pPr>
      <w:r>
        <w:t>Schematisch gilt</w:t>
      </w:r>
    </w:p>
    <w:p w:rsidR="005735BA" w:rsidRDefault="005735BA" w:rsidP="005735BA">
      <w:pPr>
        <w:pStyle w:val="StandardWeb"/>
      </w:pPr>
      <w:r>
        <w:t>[</w:t>
      </w:r>
      <w:r>
        <w:br/>
        <w:t>\left{</w:t>
      </w:r>
      <w:r>
        <w:br/>
        <w:t>D_1,D_2,\ldots,D_{13}</w:t>
      </w:r>
      <w:r>
        <w:br/>
        <w:t>\right}</w:t>
      </w:r>
      <w:r>
        <w:br/>
        <w:t>\longrightarrow_{D}</w:t>
      </w:r>
      <w:r>
        <w:br/>
        <w:t>D_{14}.</w:t>
      </w:r>
      <w:r>
        <w:br/>
        <w:t>\tag{3.4779}</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\left\{D_1,D_2,\ldots,D_{13}\right\}\longrightarrow_{D}D_{14}\qquad\text{(3.4779)}</w:t>
      </w:r>
    </w:p>
    <w:p w:rsidR="005735BA" w:rsidRDefault="005735BA" w:rsidP="005735BA">
      <w:pPr>
        <w:pStyle w:val="StandardWeb"/>
      </w:pPr>
      <w:r>
        <w:t>Die Typmatrix wirkt jedoch nicht rückwirkend definierend:</w:t>
      </w:r>
    </w:p>
    <w:p w:rsidR="005735BA" w:rsidRDefault="005735BA" w:rsidP="005735BA">
      <w:pPr>
        <w:pStyle w:val="StandardWeb"/>
      </w:pPr>
      <w:r>
        <w:t>[</w:t>
      </w:r>
      <w:r>
        <w:br/>
        <w:t>D_{14}</w:t>
      </w:r>
      <w:r>
        <w:br/>
        <w:t>\nrightarrow_{D}</w:t>
      </w:r>
      <w:r>
        <w:br/>
        <w:t>D_i</w:t>
      </w:r>
      <w:r>
        <w:br/>
        <w:t>\qquad</w:t>
      </w:r>
      <w:r>
        <w:br/>
        <w:t>\text{für }</w:t>
      </w:r>
      <w:r>
        <w:br/>
        <w:t>i\in{1,\ldots,13}.</w:t>
      </w:r>
      <w:r>
        <w:br/>
        <w:t>\tag{3.4780}</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D_{14}\nrightarrow_{D}D_i\qquad\text{für }i\in\{1,\ldots,13\}\qquad\text{(3.4780)}</w:t>
      </w:r>
    </w:p>
    <w:p w:rsidR="005735BA" w:rsidRDefault="005735BA" w:rsidP="005735BA">
      <w:pPr>
        <w:pStyle w:val="StandardWeb"/>
      </w:pPr>
      <w:r>
        <w:t>Sie klassifiziert bereits eingeführte Begriffe, erzeugt diese aber nicht.</w:t>
      </w:r>
    </w:p>
    <w:p w:rsidR="005735BA" w:rsidRPr="00AF32B2" w:rsidRDefault="005735BA" w:rsidP="00AF32B2">
      <w:pPr>
        <w:pStyle w:val="berschrift4"/>
      </w:pPr>
      <w:r w:rsidRPr="00AF32B2">
        <w:t>3.3.23.15 Transitive Definitionsabhängigkeit</w:t>
      </w:r>
    </w:p>
    <w:p w:rsidR="005735BA" w:rsidRDefault="005735BA" w:rsidP="005735BA">
      <w:pPr>
        <w:pStyle w:val="StandardWeb"/>
      </w:pPr>
      <w:r>
        <w:t>Direkte Kanten erfassen nur unmittelbare Voraussetzungen. Mittelbare Definitionsabhängigkeiten werden durch die transitive Hülle beschrieben:</w:t>
      </w:r>
    </w:p>
    <w:p w:rsidR="005735BA" w:rsidRDefault="005735BA" w:rsidP="005735BA">
      <w:pPr>
        <w:pStyle w:val="berschrift1"/>
      </w:pPr>
      <w:r>
        <w:t>[</w:t>
      </w:r>
      <w:r>
        <w:br/>
        <w:t>\mathcal{R}_{D}^{+}</w:t>
      </w:r>
    </w:p>
    <w:p w:rsidR="005735BA" w:rsidRDefault="005735BA" w:rsidP="005735BA">
      <w:pPr>
        <w:pStyle w:val="StandardWeb"/>
      </w:pPr>
      <w:r>
        <w:t>\bigcup_{n\geq1}</w:t>
      </w:r>
      <w:r>
        <w:br/>
        <w:t>\mathcal{R}_{D}^{n}.</w:t>
      </w:r>
      <w:r>
        <w:br/>
        <w:t>\tag{3.4781}</w:t>
      </w:r>
      <w:r>
        <w:br/>
        <w:t>]</w:t>
      </w:r>
    </w:p>
    <w:p w:rsidR="005735BA" w:rsidRDefault="005735BA" w:rsidP="005735BA">
      <w:pPr>
        <w:pStyle w:val="StandardWeb"/>
      </w:pPr>
      <w:r>
        <w:rPr>
          <w:rStyle w:val="Fett"/>
        </w:rPr>
        <w:lastRenderedPageBreak/>
        <w:t>Word-LaTeX</w:t>
      </w:r>
    </w:p>
    <w:p w:rsidR="005735BA" w:rsidRDefault="005735BA" w:rsidP="005735BA">
      <w:pPr>
        <w:pStyle w:val="HTMLVorformatiert"/>
        <w:rPr>
          <w:rStyle w:val="HTMLCode"/>
        </w:rPr>
      </w:pPr>
      <w:r>
        <w:rPr>
          <w:rStyle w:val="HTMLCode"/>
        </w:rPr>
        <w:t>\mathcal{R}_{D}^{+}=\bigcup_{n\geq1}\mathcal{R}_{D}^{n}\qquad\text{(3.4781)}</w:t>
      </w:r>
    </w:p>
    <w:p w:rsidR="005735BA" w:rsidRDefault="005735BA" w:rsidP="005735BA">
      <w:pPr>
        <w:pStyle w:val="StandardWeb"/>
      </w:pPr>
      <w:r>
        <w:t>Gilt</w:t>
      </w:r>
    </w:p>
    <w:p w:rsidR="005735BA" w:rsidRDefault="005735BA" w:rsidP="005735BA">
      <w:pPr>
        <w:pStyle w:val="StandardWeb"/>
      </w:pPr>
      <w:r>
        <w:t>[</w:t>
      </w:r>
      <w:r>
        <w:br/>
        <w:t>(D_i,D_j)</w:t>
      </w:r>
      <w:r>
        <w:br/>
        <w:t>\in</w:t>
      </w:r>
      <w:r>
        <w:br/>
        <w:t>\mathcal{R}_{D}^{+},</w:t>
      </w:r>
      <w:r>
        <w:br/>
        <w:t>\tag{3.4782}</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(D_i,D_j)\in\mathcal{R}_{D}^{+}\qquad\text{(3.4782)}</w:t>
      </w:r>
    </w:p>
    <w:p w:rsidR="005735BA" w:rsidRDefault="005735BA" w:rsidP="005735BA">
      <w:pPr>
        <w:pStyle w:val="StandardWeb"/>
      </w:pPr>
      <w:r>
        <w:t>dann hängt (D_j) unmittelbar oder mittelbar von (D_i) ab.</w:t>
      </w:r>
    </w:p>
    <w:p w:rsidR="005735BA" w:rsidRDefault="005735BA" w:rsidP="005735BA">
      <w:pPr>
        <w:pStyle w:val="StandardWeb"/>
      </w:pPr>
      <w:r>
        <w:t>Eine zentrale Abhängigkeitskette lautet beispielsweise</w:t>
      </w:r>
    </w:p>
    <w:p w:rsidR="005735BA" w:rsidRDefault="005735BA" w:rsidP="005735BA">
      <w:pPr>
        <w:pStyle w:val="StandardWeb"/>
      </w:pPr>
      <w:r>
        <w:t>[</w:t>
      </w:r>
      <w:r>
        <w:br/>
        <w:t>D_3</w:t>
      </w:r>
      <w:r>
        <w:br/>
        <w:t>\longrightarrow_{D}</w:t>
      </w:r>
      <w:r>
        <w:br/>
        <w:t>D_4</w:t>
      </w:r>
      <w:r>
        <w:br/>
        <w:t>\longrightarrow_{D}</w:t>
      </w:r>
      <w:r>
        <w:br/>
        <w:t>D_6</w:t>
      </w:r>
      <w:r>
        <w:br/>
        <w:t>\longrightarrow_{D}</w:t>
      </w:r>
      <w:r>
        <w:br/>
        <w:t>D_7</w:t>
      </w:r>
      <w:r>
        <w:br/>
        <w:t>\longrightarrow_{D}</w:t>
      </w:r>
      <w:r>
        <w:br/>
        <w:t>D_8</w:t>
      </w:r>
      <w:r>
        <w:br/>
        <w:t>\longrightarrow_{D}</w:t>
      </w:r>
      <w:r>
        <w:br/>
        <w:t>D_{10}</w:t>
      </w:r>
      <w:r>
        <w:br/>
        <w:t>\longrightarrow_{D}</w:t>
      </w:r>
      <w:r>
        <w:br/>
        <w:t>D_{11}.</w:t>
      </w:r>
      <w:r>
        <w:br/>
        <w:t>\tag{3.4783}</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D_3\longrightarrow_{D}D_4\longrightarrow_{D}D_6\longrightarrow_{D}D_7\longrightarrow_{D}D_8\longrightarrow_{D}D_{10}\longrightarrow_{D}D_{11}\qquad\text{(3.4783)}</w:t>
      </w:r>
    </w:p>
    <w:p w:rsidR="005735BA" w:rsidRDefault="005735BA" w:rsidP="005735BA">
      <w:pPr>
        <w:pStyle w:val="StandardWeb"/>
      </w:pPr>
      <w:r>
        <w:t>Damit hängt die Gesamtsystemdefinition mittelbar von der funktionalen Transformierbarkeit ab.</w:t>
      </w:r>
    </w:p>
    <w:p w:rsidR="005735BA" w:rsidRPr="00AF32B2" w:rsidRDefault="005735BA" w:rsidP="00AF32B2">
      <w:pPr>
        <w:pStyle w:val="berschrift4"/>
      </w:pPr>
      <w:r w:rsidRPr="00AF32B2">
        <w:t>3.3.23.16 Formale Kennzeichnung eines Definitionszyklus</w:t>
      </w:r>
    </w:p>
    <w:p w:rsidR="005735BA" w:rsidRDefault="005735BA" w:rsidP="005735BA">
      <w:pPr>
        <w:pStyle w:val="StandardWeb"/>
      </w:pPr>
      <w:r>
        <w:t>Ein Definitionszyklus liegt vor, wenn eine Definition über eine endliche Folge gerichteter Kanten wieder zu sich selbst zurückführt:</w:t>
      </w:r>
    </w:p>
    <w:p w:rsidR="005735BA" w:rsidRDefault="005735BA" w:rsidP="005735BA">
      <w:pPr>
        <w:pStyle w:val="StandardWeb"/>
      </w:pPr>
      <w:r>
        <w:lastRenderedPageBreak/>
        <w:t>[</w:t>
      </w:r>
      <w:r>
        <w:br/>
        <w:t>D_{i_1}</w:t>
      </w:r>
      <w:r>
        <w:br/>
        <w:t>\longrightarrow_{D}</w:t>
      </w:r>
      <w:r>
        <w:br/>
        <w:t>D_{i_2}</w:t>
      </w:r>
      <w:r>
        <w:br/>
        <w:t>\longrightarrow_{D}</w:t>
      </w:r>
      <w:r>
        <w:br/>
        <w:t>\cdots</w:t>
      </w:r>
      <w:r>
        <w:br/>
        <w:t>\longrightarrow_{D}</w:t>
      </w:r>
      <w:r>
        <w:br/>
        <w:t>D_{i_n}</w:t>
      </w:r>
      <w:r>
        <w:br/>
        <w:t>\longrightarrow_{D}</w:t>
      </w:r>
      <w:r>
        <w:br/>
        <w:t>D_{i_1}.</w:t>
      </w:r>
      <w:r>
        <w:br/>
        <w:t>\tag{3.4784}</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D_{i_1}\longrightarrow_{D}D_{i_2}\longrightarrow_{D}\cdots\longrightarrow_{D}D_{i_n}\longrightarrow_{D}D_{i_1}\qquad\text{(3.4784)}</w:t>
      </w:r>
    </w:p>
    <w:p w:rsidR="005735BA" w:rsidRDefault="005735BA" w:rsidP="005735BA">
      <w:pPr>
        <w:pStyle w:val="StandardWeb"/>
      </w:pPr>
      <w:r>
        <w:t>Äquivalent gilt für mindestens ein (D_i):</w:t>
      </w:r>
    </w:p>
    <w:p w:rsidR="005735BA" w:rsidRDefault="005735BA" w:rsidP="005735BA">
      <w:pPr>
        <w:pStyle w:val="StandardWeb"/>
      </w:pPr>
      <w:r>
        <w:t>[</w:t>
      </w:r>
      <w:r>
        <w:br/>
        <w:t>(D_i,D_i)</w:t>
      </w:r>
      <w:r>
        <w:br/>
        <w:t>\in</w:t>
      </w:r>
      <w:r>
        <w:br/>
        <w:t>\mathcal{R}_{D}^{+}.</w:t>
      </w:r>
      <w:r>
        <w:br/>
        <w:t>\tag{3.4785}</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(D_i,D_i)\in\mathcal{R}_{D}^{+}\qquad\text{(3.4785)}</w:t>
      </w:r>
    </w:p>
    <w:p w:rsidR="005735BA" w:rsidRDefault="005735BA" w:rsidP="005735BA">
      <w:pPr>
        <w:pStyle w:val="StandardWeb"/>
      </w:pPr>
      <w:r>
        <w:t>Die Menge zyklisch abhängiger Definitionen lautet</w:t>
      </w:r>
    </w:p>
    <w:p w:rsidR="005735BA" w:rsidRDefault="005735BA" w:rsidP="005735BA">
      <w:pPr>
        <w:pStyle w:val="berschrift1"/>
      </w:pPr>
      <w:r>
        <w:t>[</w:t>
      </w:r>
      <w:r>
        <w:br/>
        <w:t>\mathcal{C}_{D}</w:t>
      </w:r>
    </w:p>
    <w:p w:rsidR="005735BA" w:rsidRDefault="005735BA" w:rsidP="005735BA">
      <w:pPr>
        <w:pStyle w:val="StandardWeb"/>
      </w:pPr>
      <w:r>
        <w:t>\left{</w:t>
      </w:r>
      <w:r>
        <w:br/>
        <w:t>D_i\in\mathcal{D}</w:t>
      </w:r>
      <w:r>
        <w:rPr>
          <w:rStyle w:val="Hervorhebung"/>
        </w:rPr>
        <w:t>{F}</w:t>
      </w:r>
      <w:r>
        <w:rPr>
          <w:i/>
          <w:iCs/>
        </w:rPr>
        <w:br/>
      </w:r>
      <w:r>
        <w:rPr>
          <w:rStyle w:val="Hervorhebung"/>
        </w:rPr>
        <w:t>;\middle|;</w:t>
      </w:r>
      <w:r>
        <w:rPr>
          <w:i/>
          <w:iCs/>
        </w:rPr>
        <w:br/>
      </w:r>
      <w:r>
        <w:rPr>
          <w:rStyle w:val="Hervorhebung"/>
        </w:rPr>
        <w:t>(D_i,D_i)\in\mathcal{R}</w:t>
      </w:r>
      <w:r>
        <w:t>{D}^{+}</w:t>
      </w:r>
      <w:r>
        <w:br/>
        <w:t>\right}.</w:t>
      </w:r>
      <w:r>
        <w:br/>
        <w:t>\tag{3.4786}</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\mathcal{C}_{D}=\left\{D_i\in\mathcal{D}_{F}\middle|(D_i,D_i)\in\mathcal{R}_{D}^{+}\right\}\qquad\text{(3.4786)}</w:t>
      </w:r>
    </w:p>
    <w:p w:rsidR="005735BA" w:rsidRDefault="005735BA" w:rsidP="005735BA">
      <w:pPr>
        <w:pStyle w:val="StandardWeb"/>
      </w:pPr>
      <w:r>
        <w:t>Der Definitionsgraph ist genau dann azyklisch, wenn</w:t>
      </w:r>
    </w:p>
    <w:p w:rsidR="005735BA" w:rsidRDefault="005735BA" w:rsidP="005735BA">
      <w:pPr>
        <w:pStyle w:val="berschrift1"/>
      </w:pPr>
      <w:r>
        <w:lastRenderedPageBreak/>
        <w:t>[</w:t>
      </w:r>
      <w:r>
        <w:br/>
        <w:t>\mathcal{C}_{D}</w:t>
      </w:r>
    </w:p>
    <w:p w:rsidR="005735BA" w:rsidRDefault="005735BA" w:rsidP="005735BA">
      <w:pPr>
        <w:pStyle w:val="StandardWeb"/>
      </w:pPr>
      <w:r>
        <w:t>\emptyset.</w:t>
      </w:r>
      <w:r>
        <w:br/>
        <w:t>\tag{3.4787}</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\mathcal{C}_{D}=\emptyset\qquad\text{(3.4787)}</w:t>
      </w:r>
    </w:p>
    <w:p w:rsidR="005735BA" w:rsidRPr="00AF32B2" w:rsidRDefault="005735BA" w:rsidP="00AF32B2">
      <w:pPr>
        <w:pStyle w:val="berschrift4"/>
      </w:pPr>
      <w:r w:rsidRPr="00AF32B2">
        <w:t>3.3.23.17 Prüfung des möglichen Ordnung-Zeit-Zirkels</w:t>
      </w:r>
    </w:p>
    <w:p w:rsidR="005735BA" w:rsidRDefault="005735BA" w:rsidP="005735BA">
      <w:pPr>
        <w:pStyle w:val="StandardWeb"/>
      </w:pPr>
      <w:r>
        <w:t>Ein möglicher kritischer Zyklus wäre</w:t>
      </w:r>
    </w:p>
    <w:p w:rsidR="005735BA" w:rsidRDefault="005735BA" w:rsidP="005735BA">
      <w:pPr>
        <w:pStyle w:val="StandardWeb"/>
      </w:pPr>
      <w:r>
        <w:t>[</w:t>
      </w:r>
      <w:r>
        <w:br/>
        <w:t>D_7</w:t>
      </w:r>
      <w:r>
        <w:br/>
        <w:t>\longrightarrow_{D}</w:t>
      </w:r>
      <w:r>
        <w:br/>
        <w:t>D_8</w:t>
      </w:r>
      <w:r>
        <w:br/>
        <w:t>\longrightarrow_{D}</w:t>
      </w:r>
      <w:r>
        <w:br/>
        <w:t>D_7.</w:t>
      </w:r>
      <w:r>
        <w:br/>
        <w:t>\tag{3.4788}</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D_7\longrightarrow_{D}D_8\longrightarrow_{D}D_7\qquad\text{(3.4788)}</w:t>
      </w:r>
    </w:p>
    <w:p w:rsidR="005735BA" w:rsidRDefault="005735BA" w:rsidP="005735BA">
      <w:pPr>
        <w:pStyle w:val="StandardWeb"/>
      </w:pPr>
      <w:r>
        <w:t>Dieser Zyklus liegt nicht vor. Die funktionale Ordnung wird aus Erreichbarkeit und Zustandsklassen definiert. Funktionale Zeit wird erst anschließend als ordnungsverträgliche Bewertung eingeführt.</w:t>
      </w:r>
    </w:p>
    <w:p w:rsidR="005735BA" w:rsidRDefault="005735BA" w:rsidP="005735BA">
      <w:pPr>
        <w:pStyle w:val="StandardWeb"/>
      </w:pPr>
      <w:r>
        <w:t>Es gilt daher ausschließlich</w:t>
      </w:r>
    </w:p>
    <w:p w:rsidR="005735BA" w:rsidRDefault="005735BA" w:rsidP="005735BA">
      <w:pPr>
        <w:pStyle w:val="StandardWeb"/>
      </w:pPr>
      <w:r>
        <w:t>[</w:t>
      </w:r>
      <w:r>
        <w:br/>
        <w:t>D_6</w:t>
      </w:r>
      <w:r>
        <w:br/>
        <w:t>\longrightarrow_{D}</w:t>
      </w:r>
      <w:r>
        <w:br/>
        <w:t>D_7</w:t>
      </w:r>
      <w:r>
        <w:br/>
        <w:t>\longrightarrow_{D}</w:t>
      </w:r>
      <w:r>
        <w:br/>
        <w:t>D_8,</w:t>
      </w:r>
      <w:r>
        <w:br/>
        <w:t>\tag{3.4789}</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D_6\longrightarrow_{D}D_7\longrightarrow_{D}D_8\qquad\text{(3.4789)}</w:t>
      </w:r>
    </w:p>
    <w:p w:rsidR="005735BA" w:rsidRDefault="005735BA" w:rsidP="005735BA">
      <w:pPr>
        <w:pStyle w:val="StandardWeb"/>
      </w:pPr>
      <w:r>
        <w:t>während</w:t>
      </w:r>
    </w:p>
    <w:p w:rsidR="005735BA" w:rsidRDefault="005735BA" w:rsidP="005735BA">
      <w:pPr>
        <w:pStyle w:val="StandardWeb"/>
      </w:pPr>
      <w:r>
        <w:lastRenderedPageBreak/>
        <w:t>[</w:t>
      </w:r>
      <w:r>
        <w:br/>
        <w:t>D_8</w:t>
      </w:r>
      <w:r>
        <w:br/>
        <w:t>\nrightarrow_{D}</w:t>
      </w:r>
      <w:r>
        <w:br/>
        <w:t>D_7</w:t>
      </w:r>
      <w:r>
        <w:br/>
        <w:t>\tag{3.4790}</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D_8\nrightarrow_{D}D_7\qquad\text{(3.4790)}</w:t>
      </w:r>
    </w:p>
    <w:p w:rsidR="005735BA" w:rsidRDefault="005735BA" w:rsidP="005735BA">
      <w:pPr>
        <w:pStyle w:val="StandardWeb"/>
      </w:pPr>
      <w:r>
        <w:t>gilt.</w:t>
      </w:r>
    </w:p>
    <w:p w:rsidR="005735BA" w:rsidRPr="00AF32B2" w:rsidRDefault="005735BA" w:rsidP="00AF32B2">
      <w:pPr>
        <w:pStyle w:val="berschrift4"/>
      </w:pPr>
      <w:r w:rsidRPr="00AF32B2">
        <w:t>3.3.23.18 Prüfung des möglichen Relation-Raum-Zirkels</w:t>
      </w:r>
    </w:p>
    <w:p w:rsidR="005735BA" w:rsidRDefault="005735BA" w:rsidP="005735BA">
      <w:pPr>
        <w:pStyle w:val="StandardWeb"/>
      </w:pPr>
      <w:r>
        <w:t>Ein möglicher Zirkel wäre</w:t>
      </w:r>
    </w:p>
    <w:p w:rsidR="005735BA" w:rsidRDefault="005735BA" w:rsidP="005735BA">
      <w:pPr>
        <w:pStyle w:val="StandardWeb"/>
      </w:pPr>
      <w:r>
        <w:t>[</w:t>
      </w:r>
      <w:r>
        <w:br/>
        <w:t>D_2</w:t>
      </w:r>
      <w:r>
        <w:br/>
        <w:t>\longrightarrow_{D}</w:t>
      </w:r>
      <w:r>
        <w:br/>
        <w:t>D_9</w:t>
      </w:r>
      <w:r>
        <w:br/>
        <w:t>\longrightarrow_{D}</w:t>
      </w:r>
      <w:r>
        <w:br/>
        <w:t>D_2.</w:t>
      </w:r>
      <w:r>
        <w:br/>
        <w:t>\tag{3.4791}</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D_2\longrightarrow_{D}D_9\longrightarrow_{D}D_2\qquad\text{(3.4791)}</w:t>
      </w:r>
    </w:p>
    <w:p w:rsidR="005735BA" w:rsidRDefault="005735BA" w:rsidP="005735BA">
      <w:pPr>
        <w:pStyle w:val="StandardWeb"/>
      </w:pPr>
      <w:r>
        <w:t>Dieser Zyklus liegt nicht vor. Funktionale Relationen werden zunächst ohne räumliche Bedeutung definiert. Erst danach kann eine ausgewählte Relation oder Relationsklasse räumlich interpretiert werden.</w:t>
      </w:r>
    </w:p>
    <w:p w:rsidR="005735BA" w:rsidRDefault="005735BA" w:rsidP="005735BA">
      <w:pPr>
        <w:pStyle w:val="StandardWeb"/>
      </w:pPr>
      <w:r>
        <w:t>Damit gilt</w:t>
      </w:r>
    </w:p>
    <w:p w:rsidR="005735BA" w:rsidRDefault="005735BA" w:rsidP="005735BA">
      <w:pPr>
        <w:pStyle w:val="StandardWeb"/>
      </w:pPr>
      <w:r>
        <w:t>[</w:t>
      </w:r>
      <w:r>
        <w:br/>
        <w:t>D_2</w:t>
      </w:r>
      <w:r>
        <w:br/>
        <w:t>\longrightarrow_{D}</w:t>
      </w:r>
      <w:r>
        <w:br/>
        <w:t>D_9,</w:t>
      </w:r>
      <w:r>
        <w:br/>
        <w:t>\qquad</w:t>
      </w:r>
      <w:r>
        <w:br/>
        <w:t>D_9</w:t>
      </w:r>
      <w:r>
        <w:br/>
        <w:t>\nrightarrow_{D}</w:t>
      </w:r>
      <w:r>
        <w:br/>
        <w:t>D_2.</w:t>
      </w:r>
      <w:r>
        <w:br/>
        <w:t>\tag{3.4792}</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D_2\longrightarrow_{D}D_9,\qquad D_9\nrightarrow_{D}D_2\qquad\text{(3.4792)}</w:t>
      </w:r>
    </w:p>
    <w:p w:rsidR="005735BA" w:rsidRPr="00AF32B2" w:rsidRDefault="005735BA" w:rsidP="00AF32B2">
      <w:pPr>
        <w:pStyle w:val="berschrift4"/>
      </w:pPr>
      <w:r w:rsidRPr="00AF32B2">
        <w:lastRenderedPageBreak/>
        <w:t>3.3.23.19 Prüfung des möglichen Zustand-Kohärenz-Zirkels</w:t>
      </w:r>
    </w:p>
    <w:p w:rsidR="005735BA" w:rsidRDefault="005735BA" w:rsidP="005735BA">
      <w:pPr>
        <w:pStyle w:val="StandardWeb"/>
      </w:pPr>
      <w:r>
        <w:t>Ein weiterer möglicher Zirkel wäre</w:t>
      </w:r>
    </w:p>
    <w:p w:rsidR="005735BA" w:rsidRDefault="005735BA" w:rsidP="005735BA">
      <w:pPr>
        <w:pStyle w:val="StandardWeb"/>
      </w:pPr>
      <w:r>
        <w:t>[</w:t>
      </w:r>
      <w:r>
        <w:br/>
        <w:t>D_1</w:t>
      </w:r>
      <w:r>
        <w:br/>
        <w:t>\longrightarrow_{D}</w:t>
      </w:r>
      <w:r>
        <w:br/>
        <w:t>D_5</w:t>
      </w:r>
      <w:r>
        <w:br/>
        <w:t>\longrightarrow_{D}</w:t>
      </w:r>
      <w:r>
        <w:br/>
        <w:t>D_1.</w:t>
      </w:r>
      <w:r>
        <w:br/>
        <w:t>\tag{3.4793}</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D_1\longrightarrow_{D}D_5\longrightarrow_{D}D_1\qquad\text{(3.4793)}</w:t>
      </w:r>
    </w:p>
    <w:p w:rsidR="005735BA" w:rsidRDefault="005735BA" w:rsidP="005735BA">
      <w:pPr>
        <w:pStyle w:val="StandardWeb"/>
      </w:pPr>
      <w:r>
        <w:t>Dieser Zirkel wird ausgeschlossen, weil elementare Zustände unabhängig von ihrer späteren Kohärenzbewertung definiert sind.</w:t>
      </w:r>
    </w:p>
    <w:p w:rsidR="005735BA" w:rsidRDefault="005735BA" w:rsidP="005735BA">
      <w:pPr>
        <w:pStyle w:val="StandardWeb"/>
      </w:pPr>
      <w:r>
        <w:t>Es gilt</w:t>
      </w:r>
    </w:p>
    <w:p w:rsidR="005735BA" w:rsidRDefault="005735BA" w:rsidP="005735BA">
      <w:pPr>
        <w:pStyle w:val="StandardWeb"/>
      </w:pPr>
      <w:r>
        <w:t>[</w:t>
      </w:r>
      <w:r>
        <w:br/>
        <w:t>D_1</w:t>
      </w:r>
      <w:r>
        <w:br/>
        <w:t>\longrightarrow_{D}</w:t>
      </w:r>
      <w:r>
        <w:br/>
        <w:t>D_5,</w:t>
      </w:r>
      <w:r>
        <w:br/>
        <w:t>\qquad</w:t>
      </w:r>
      <w:r>
        <w:br/>
        <w:t>D_5</w:t>
      </w:r>
      <w:r>
        <w:br/>
        <w:t>\nrightarrow_{D}</w:t>
      </w:r>
      <w:r>
        <w:br/>
        <w:t>D_1.</w:t>
      </w:r>
      <w:r>
        <w:br/>
        <w:t>\tag{3.4794}</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D_1\longrightarrow_{D}D_5,\qquad D_5\nrightarrow_{D}D_1\qquad\text{(3.4794)}</w:t>
      </w:r>
    </w:p>
    <w:p w:rsidR="005735BA" w:rsidRDefault="005735BA" w:rsidP="005735BA">
      <w:pPr>
        <w:pStyle w:val="StandardWeb"/>
      </w:pPr>
      <w:r>
        <w:t>Ein Zustand kann daher kohärent oder inkohärent sein, ohne seinen Status als Zustand zu verlieren.</w:t>
      </w:r>
    </w:p>
    <w:p w:rsidR="005735BA" w:rsidRPr="00AF32B2" w:rsidRDefault="005735BA" w:rsidP="00AF32B2">
      <w:pPr>
        <w:pStyle w:val="berschrift4"/>
      </w:pPr>
      <w:r w:rsidRPr="00AF32B2">
        <w:t>3.3.23.20 Prüfung möglicher Kopplungszirkel</w:t>
      </w:r>
    </w:p>
    <w:p w:rsidR="005735BA" w:rsidRDefault="005735BA" w:rsidP="005735BA">
      <w:pPr>
        <w:pStyle w:val="StandardWeb"/>
      </w:pPr>
      <w:r>
        <w:t>Die Raum-Zeit-Kopplung darf nicht rückwirkend zur Definition von Raum oder Zeit verwendet werden.</w:t>
      </w:r>
    </w:p>
    <w:p w:rsidR="005735BA" w:rsidRDefault="005735BA" w:rsidP="005735BA">
      <w:pPr>
        <w:pStyle w:val="StandardWeb"/>
      </w:pPr>
      <w:r>
        <w:t>Die möglichen Zyklen</w:t>
      </w:r>
    </w:p>
    <w:p w:rsidR="005735BA" w:rsidRDefault="005735BA" w:rsidP="005735BA">
      <w:pPr>
        <w:pStyle w:val="StandardWeb"/>
      </w:pPr>
      <w:r>
        <w:t>[</w:t>
      </w:r>
      <w:r>
        <w:br/>
        <w:t>D_8</w:t>
      </w:r>
      <w:r>
        <w:br/>
        <w:t>\longrightarrow_{D}</w:t>
      </w:r>
      <w:r>
        <w:br/>
      </w:r>
      <w:r>
        <w:lastRenderedPageBreak/>
        <w:t>D_{10}</w:t>
      </w:r>
      <w:r>
        <w:br/>
        <w:t>\longrightarrow_{D}</w:t>
      </w:r>
      <w:r>
        <w:br/>
        <w:t>D_8</w:t>
      </w:r>
      <w:r>
        <w:br/>
        <w:t>\tag{3.4795}</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D_8\longrightarrow_{D}D_{10}\longrightarrow_{D}D_8\qquad\text{(3.4795)}</w:t>
      </w:r>
    </w:p>
    <w:p w:rsidR="005735BA" w:rsidRDefault="005735BA" w:rsidP="005735BA">
      <w:pPr>
        <w:pStyle w:val="StandardWeb"/>
      </w:pPr>
      <w:r>
        <w:t>und</w:t>
      </w:r>
    </w:p>
    <w:p w:rsidR="005735BA" w:rsidRDefault="005735BA" w:rsidP="005735BA">
      <w:pPr>
        <w:pStyle w:val="StandardWeb"/>
      </w:pPr>
      <w:r>
        <w:t>[</w:t>
      </w:r>
      <w:r>
        <w:br/>
        <w:t>D_9</w:t>
      </w:r>
      <w:r>
        <w:br/>
        <w:t>\longrightarrow_{D}</w:t>
      </w:r>
      <w:r>
        <w:br/>
        <w:t>D_{10}</w:t>
      </w:r>
      <w:r>
        <w:br/>
        <w:t>\longrightarrow_{D}</w:t>
      </w:r>
      <w:r>
        <w:br/>
        <w:t>D_9</w:t>
      </w:r>
      <w:r>
        <w:br/>
        <w:t>\tag{3.4796}</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D_9\longrightarrow_{D}D_{10}\longrightarrow_{D}D_9\qquad\text{(3.4796)}</w:t>
      </w:r>
    </w:p>
    <w:p w:rsidR="005735BA" w:rsidRDefault="005735BA" w:rsidP="005735BA">
      <w:pPr>
        <w:pStyle w:val="StandardWeb"/>
      </w:pPr>
      <w:r>
        <w:t>liegen nicht vor.</w:t>
      </w:r>
    </w:p>
    <w:p w:rsidR="005735BA" w:rsidRDefault="005735BA" w:rsidP="005735BA">
      <w:pPr>
        <w:pStyle w:val="StandardWeb"/>
      </w:pPr>
      <w:r>
        <w:t>Es gelten nur die gerichteten Abhängigkeiten</w:t>
      </w:r>
    </w:p>
    <w:p w:rsidR="005735BA" w:rsidRDefault="005735BA" w:rsidP="005735BA">
      <w:pPr>
        <w:pStyle w:val="StandardWeb"/>
      </w:pPr>
      <w:r>
        <w:t>[</w:t>
      </w:r>
      <w:r>
        <w:br/>
        <w:t>D_8</w:t>
      </w:r>
      <w:r>
        <w:br/>
        <w:t>\longrightarrow_{D}</w:t>
      </w:r>
      <w:r>
        <w:br/>
        <w:t>D_{10},</w:t>
      </w:r>
      <w:r>
        <w:br/>
        <w:t>\qquad</w:t>
      </w:r>
      <w:r>
        <w:br/>
        <w:t>D_{10}</w:t>
      </w:r>
      <w:r>
        <w:br/>
        <w:t>\nrightarrow_{D}</w:t>
      </w:r>
      <w:r>
        <w:br/>
        <w:t>D_8,</w:t>
      </w:r>
      <w:r>
        <w:br/>
        <w:t>\tag{3.4797}</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D_8\longrightarrow_{D}D_{10},\qquad D_{10}\nrightarrow_{D}D_8\qquad\text{(3.4797)}</w:t>
      </w:r>
    </w:p>
    <w:p w:rsidR="005735BA" w:rsidRDefault="005735BA" w:rsidP="005735BA">
      <w:pPr>
        <w:pStyle w:val="StandardWeb"/>
      </w:pPr>
      <w:r>
        <w:t>und</w:t>
      </w:r>
    </w:p>
    <w:p w:rsidR="005735BA" w:rsidRDefault="005735BA" w:rsidP="005735BA">
      <w:pPr>
        <w:pStyle w:val="StandardWeb"/>
      </w:pPr>
      <w:r>
        <w:t>[</w:t>
      </w:r>
      <w:r>
        <w:br/>
        <w:t>D_9</w:t>
      </w:r>
      <w:r>
        <w:br/>
        <w:t>\longrightarrow_{D}</w:t>
      </w:r>
      <w:r>
        <w:br/>
        <w:t>D_{10},</w:t>
      </w:r>
      <w:r>
        <w:br/>
        <w:t>\qquad</w:t>
      </w:r>
      <w:r>
        <w:br/>
      </w:r>
      <w:r>
        <w:lastRenderedPageBreak/>
        <w:t>D_{10}</w:t>
      </w:r>
      <w:r>
        <w:br/>
        <w:t>\nrightarrow_{D}</w:t>
      </w:r>
      <w:r>
        <w:br/>
        <w:t>D_9.</w:t>
      </w:r>
      <w:r>
        <w:br/>
        <w:t>\tag{3.4798}</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D_9\longrightarrow_{D}D_{10},\qquad D_{10}\nrightarrow_{D}D_9\qquad\text{(3.4798)}</w:t>
      </w:r>
    </w:p>
    <w:p w:rsidR="005735BA" w:rsidRPr="00AF32B2" w:rsidRDefault="005735BA" w:rsidP="00AF32B2">
      <w:pPr>
        <w:pStyle w:val="berschrift4"/>
      </w:pPr>
      <w:r w:rsidRPr="00AF32B2">
        <w:t>3.3.23.21 Topologische Ordnung der Definitionen</w:t>
      </w:r>
    </w:p>
    <w:p w:rsidR="005735BA" w:rsidRDefault="005735BA" w:rsidP="005735BA">
      <w:pPr>
        <w:pStyle w:val="StandardWeb"/>
      </w:pPr>
      <w:r>
        <w:t>Ein endlicher gerichteter Graph ist genau dann azyklisch, wenn eine topologische Ordnung seiner Knoten existiert [6, 71].</w:t>
      </w:r>
    </w:p>
    <w:p w:rsidR="005735BA" w:rsidRDefault="005735BA" w:rsidP="005735BA">
      <w:pPr>
        <w:pStyle w:val="StandardWeb"/>
      </w:pPr>
      <w:r>
        <w:t>Eine mögliche topologische Reihenfolge der bisherigen FRZK-Definitionen lautet</w:t>
      </w:r>
    </w:p>
    <w:p w:rsidR="005735BA" w:rsidRDefault="005735BA" w:rsidP="005735BA">
      <w:pPr>
        <w:pStyle w:val="StandardWeb"/>
      </w:pPr>
      <w:r>
        <w:t>[</w:t>
      </w:r>
      <w:r>
        <w:br/>
        <w:t>D_1,D_2,D_3,D_{12},D_4,D_{13},D_6,D_7,D_8,D_9,D_5,D_{10},D_{11},D_{14}.</w:t>
      </w:r>
      <w:r>
        <w:br/>
        <w:t>\tag{3.4799}</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D_1,D_2,D_3,D_{12},D_4,D_{13},D_6,D_7,D_8,D_9,D_5,D_{10},D_{11},D_{14}\qquad\text{(3.4799)}</w:t>
      </w:r>
    </w:p>
    <w:p w:rsidR="005735BA" w:rsidRDefault="005735BA" w:rsidP="005735BA">
      <w:pPr>
        <w:pStyle w:val="StandardWeb"/>
      </w:pPr>
      <w:r>
        <w:t>Eine topologische Nummerierungsfunktion wird definiert durch</w:t>
      </w:r>
    </w:p>
    <w:p w:rsidR="005735BA" w:rsidRDefault="005735BA" w:rsidP="005735BA">
      <w:pPr>
        <w:pStyle w:val="StandardWeb"/>
      </w:pPr>
      <w:r>
        <w:t>[</w:t>
      </w:r>
      <w:r>
        <w:br/>
        <w:t>\rho_{D}:</w:t>
      </w:r>
      <w:r>
        <w:br/>
        <w:t>\mathcal{D}_{F}</w:t>
      </w:r>
      <w:r>
        <w:br/>
        <w:t>\rightarrow</w:t>
      </w:r>
      <w:r>
        <w:br/>
        <w:t>\mathbb{N}.</w:t>
      </w:r>
      <w:r>
        <w:br/>
        <w:t>\tag{3.4800}</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\rho_{D}:\mathcal{D}_{F}\rightarrow\mathbb{N}\qquad\text{(3.4800)}</w:t>
      </w:r>
    </w:p>
    <w:p w:rsidR="005735BA" w:rsidRDefault="005735BA" w:rsidP="005735BA">
      <w:pPr>
        <w:pStyle w:val="StandardWeb"/>
      </w:pPr>
      <w:r>
        <w:t>Für jede notwendige Definitionskante muss gelten:</w:t>
      </w:r>
    </w:p>
    <w:p w:rsidR="005735BA" w:rsidRDefault="005735BA" w:rsidP="005735BA">
      <w:pPr>
        <w:pStyle w:val="StandardWeb"/>
      </w:pPr>
      <w:r>
        <w:t>[</w:t>
      </w:r>
      <w:r>
        <w:br/>
        <w:t>D_i</w:t>
      </w:r>
      <w:r>
        <w:br/>
        <w:t>\longrightarrow_{D}</w:t>
      </w:r>
      <w:r>
        <w:br/>
        <w:t>D_j</w:t>
      </w:r>
      <w:r>
        <w:br/>
        <w:t>\Rightarrow</w:t>
      </w:r>
      <w:r>
        <w:br/>
        <w:t>\rho_{D}(D_i)</w:t>
      </w:r>
      <w:r>
        <w:br/>
        <w:t>&lt;</w:t>
      </w:r>
      <w:r>
        <w:br/>
        <w:t>\rho_{D}(D_j).</w:t>
      </w:r>
      <w:r>
        <w:br/>
      </w:r>
      <w:r>
        <w:lastRenderedPageBreak/>
        <w:t>\tag{3.4801}</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D_i\longrightarrow_{D}D_j\Rightarrow\rho_{D}(D_i)&lt;\rho_{D}(D_j)\qquad\text{(3.4801)}</w:t>
      </w:r>
    </w:p>
    <w:p w:rsidR="005735BA" w:rsidRDefault="005735BA" w:rsidP="005735BA">
      <w:pPr>
        <w:pStyle w:val="StandardWeb"/>
      </w:pPr>
      <w:r>
        <w:t>Da eine solche Nummerierung angegeben werden kann, enthält der bisherige Definitionsgraph keinen gerichteten Zyklus.</w:t>
      </w:r>
    </w:p>
    <w:p w:rsidR="005735BA" w:rsidRPr="00AF32B2" w:rsidRDefault="005735BA" w:rsidP="00AF32B2">
      <w:pPr>
        <w:pStyle w:val="berschrift4"/>
      </w:pPr>
      <w:r w:rsidRPr="00AF32B2">
        <w:t>3.3.23.22 Definitionshöhe</w:t>
      </w:r>
    </w:p>
    <w:p w:rsidR="005735BA" w:rsidRDefault="005735BA" w:rsidP="005735BA">
      <w:pPr>
        <w:pStyle w:val="StandardWeb"/>
      </w:pPr>
      <w:r>
        <w:t>Die Definitionshöhe eines Knotens beschreibt die maximale Anzahl gerichteter Kanten zwischen einer Wurzeldefinition und der betrachteten Definition:</w:t>
      </w:r>
    </w:p>
    <w:p w:rsidR="005735BA" w:rsidRDefault="005735BA" w:rsidP="005735BA">
      <w:pPr>
        <w:pStyle w:val="berschrift1"/>
      </w:pPr>
      <w:r>
        <w:t>[</w:t>
      </w:r>
      <w:r>
        <w:br/>
        <w:t>h_{D}(D_i)</w:t>
      </w:r>
    </w:p>
    <w:p w:rsidR="005735BA" w:rsidRDefault="005735BA" w:rsidP="005735BA">
      <w:pPr>
        <w:pStyle w:val="StandardWeb"/>
      </w:pPr>
      <w:r>
        <w:t>\max</w:t>
      </w:r>
      <w:r>
        <w:br/>
        <w:t>\left{</w:t>
      </w:r>
      <w:r>
        <w:br/>
        <w:t>n</w:t>
      </w:r>
      <w:r>
        <w:br/>
        <w:t>;\middle|;</w:t>
      </w:r>
      <w:r>
        <w:br/>
        <w:t>D_{i_0}</w:t>
      </w:r>
      <w:r>
        <w:br/>
        <w:t>\longrightarrow_{D}</w:t>
      </w:r>
      <w:r>
        <w:br/>
        <w:t>D_{i_1}</w:t>
      </w:r>
      <w:r>
        <w:br/>
        <w:t>\longrightarrow_{D}</w:t>
      </w:r>
      <w:r>
        <w:br/>
        <w:t>\cdots</w:t>
      </w:r>
      <w:r>
        <w:br/>
        <w:t>\longrightarrow_{D}</w:t>
      </w:r>
      <w:r>
        <w:br/>
        <w:t>D_i</w:t>
      </w:r>
      <w:r>
        <w:br/>
        <w:t>\right}.</w:t>
      </w:r>
      <w:r>
        <w:br/>
        <w:t>\tag{3.4802}</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h_{D}(D_i)=\max\left\{n\middle|D_{i_0}\longrightarrow_{D}D_{i_1}\longrightarrow_{D}\cdots\longrightarrow_{D}D_i\right\}\qquad\text{(3.4802)}</w:t>
      </w:r>
    </w:p>
    <w:p w:rsidR="005735BA" w:rsidRDefault="005735BA" w:rsidP="005735BA">
      <w:pPr>
        <w:pStyle w:val="StandardWeb"/>
      </w:pPr>
      <w:r>
        <w:t>Für die Wurzeldefinitionen gilt</w:t>
      </w:r>
    </w:p>
    <w:p w:rsidR="005735BA" w:rsidRDefault="005735BA" w:rsidP="005735BA">
      <w:pPr>
        <w:pStyle w:val="berschrift1"/>
      </w:pPr>
      <w:r>
        <w:t>[</w:t>
      </w:r>
      <w:r>
        <w:br/>
        <w:t>h_{D}(D_1)</w:t>
      </w:r>
    </w:p>
    <w:p w:rsidR="005735BA" w:rsidRDefault="005735BA" w:rsidP="005735BA">
      <w:pPr>
        <w:pStyle w:val="berschrift1"/>
      </w:pPr>
      <w:r>
        <w:t>h_{D}(D_2)</w:t>
      </w:r>
    </w:p>
    <w:p w:rsidR="005735BA" w:rsidRDefault="005735BA" w:rsidP="005735BA">
      <w:pPr>
        <w:pStyle w:val="berschrift1"/>
      </w:pPr>
      <w:r>
        <w:t>h_{D}(D_3)</w:t>
      </w:r>
    </w:p>
    <w:p w:rsidR="005735BA" w:rsidRDefault="005735BA" w:rsidP="00632D23">
      <w:pPr>
        <w:numPr>
          <w:ilvl w:val="0"/>
          <w:numId w:val="114"/>
        </w:numPr>
        <w:spacing w:before="100" w:beforeAutospacing="1" w:after="100" w:afterAutospacing="1"/>
      </w:pPr>
    </w:p>
    <w:p w:rsidR="005735BA" w:rsidRDefault="005735BA" w:rsidP="005735BA">
      <w:pPr>
        <w:pStyle w:val="StandardWeb"/>
      </w:pPr>
      <w:r>
        <w:t>\tag{3.4803}</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h_{D}(D_1)=h_{D}(D_2)=h_{D}(D_3)=0\qquad\text{(3.4803)}</w:t>
      </w:r>
    </w:p>
    <w:p w:rsidR="005735BA" w:rsidRDefault="005735BA" w:rsidP="005735BA">
      <w:pPr>
        <w:pStyle w:val="StandardWeb"/>
      </w:pPr>
      <w:r>
        <w:t>Für die funktionale Entwicklung gilt</w:t>
      </w:r>
    </w:p>
    <w:p w:rsidR="005735BA" w:rsidRDefault="005735BA" w:rsidP="005735BA">
      <w:pPr>
        <w:pStyle w:val="berschrift1"/>
      </w:pPr>
      <w:r>
        <w:t>[</w:t>
      </w:r>
      <w:r>
        <w:br/>
        <w:t>h_{D}(D_4)</w:t>
      </w:r>
    </w:p>
    <w:p w:rsidR="005735BA" w:rsidRDefault="005735BA" w:rsidP="00632D23">
      <w:pPr>
        <w:numPr>
          <w:ilvl w:val="0"/>
          <w:numId w:val="115"/>
        </w:numPr>
        <w:spacing w:before="100" w:beforeAutospacing="1" w:after="100" w:afterAutospacing="1"/>
      </w:pPr>
    </w:p>
    <w:p w:rsidR="005735BA" w:rsidRDefault="005735BA" w:rsidP="005735BA">
      <w:pPr>
        <w:pStyle w:val="StandardWeb"/>
      </w:pPr>
      <w:r>
        <w:t>\tag{3.4804}</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h_{D}(D_4)=1\qquad\text{(3.4804)}</w:t>
      </w:r>
    </w:p>
    <w:p w:rsidR="005735BA" w:rsidRDefault="005735BA" w:rsidP="005735BA">
      <w:pPr>
        <w:pStyle w:val="StandardWeb"/>
      </w:pPr>
      <w:r>
        <w:t>Für die Gesamtsystemdefinition ergibt sich aufgrund der längsten Abhängigkeitskette mindestens</w:t>
      </w:r>
    </w:p>
    <w:p w:rsidR="005735BA" w:rsidRDefault="005735BA" w:rsidP="005735BA">
      <w:pPr>
        <w:pStyle w:val="StandardWeb"/>
      </w:pPr>
      <w:r>
        <w:t>[</w:t>
      </w:r>
      <w:r>
        <w:br/>
        <w:t>h_{D}(D_{11})</w:t>
      </w:r>
      <w:r>
        <w:br/>
        <w:t>\geq</w:t>
      </w:r>
      <w:r>
        <w:br/>
        <w:t>6.</w:t>
      </w:r>
      <w:r>
        <w:br/>
        <w:t>\tag{3.4805}</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h_{D}(D_{11})\geq6\qquad\text{(3.4805)}</w:t>
      </w:r>
    </w:p>
    <w:p w:rsidR="005735BA" w:rsidRDefault="005735BA" w:rsidP="005735BA">
      <w:pPr>
        <w:pStyle w:val="StandardWeb"/>
      </w:pPr>
      <w:r>
        <w:t>Die Definitionshöhe macht sichtbar, wie weit eine Begriffsbildung von den elementaren Primärbegriffen entfernt ist.</w:t>
      </w:r>
    </w:p>
    <w:p w:rsidR="005735BA" w:rsidRPr="00AF32B2" w:rsidRDefault="005735BA" w:rsidP="00AF32B2">
      <w:pPr>
        <w:pStyle w:val="berschrift4"/>
      </w:pPr>
      <w:r w:rsidRPr="00AF32B2">
        <w:t>3.3.23.23 Wohlfundiertheit des Definitionsgraphen</w:t>
      </w:r>
    </w:p>
    <w:p w:rsidR="005735BA" w:rsidRDefault="005735BA" w:rsidP="005735BA">
      <w:pPr>
        <w:pStyle w:val="StandardWeb"/>
      </w:pPr>
      <w:r>
        <w:t>Ein endlicher Definitionsgraph ist wohlfundiert, wenn jede rückwärtsgerichtete Abhängigkeitskette nach endlich vielen Schritten bei einer Wurzeldefinition endet.</w:t>
      </w:r>
    </w:p>
    <w:p w:rsidR="005735BA" w:rsidRDefault="005735BA" w:rsidP="005735BA">
      <w:pPr>
        <w:pStyle w:val="StandardWeb"/>
      </w:pPr>
      <w:r>
        <w:t>Für den endlichen FRZK-Definitionsgraphen genügt die Azyklizität:</w:t>
      </w:r>
    </w:p>
    <w:p w:rsidR="005735BA" w:rsidRDefault="005735BA" w:rsidP="005735BA">
      <w:pPr>
        <w:pStyle w:val="berschrift1"/>
      </w:pPr>
      <w:r>
        <w:lastRenderedPageBreak/>
        <w:t>[</w:t>
      </w:r>
      <w:r>
        <w:br/>
        <w:t>\mathcal{C}_{D}</w:t>
      </w:r>
    </w:p>
    <w:p w:rsidR="005735BA" w:rsidRDefault="005735BA" w:rsidP="005735BA">
      <w:pPr>
        <w:pStyle w:val="StandardWeb"/>
      </w:pPr>
      <w:r>
        <w:t>\emptyset</w:t>
      </w:r>
      <w:r>
        <w:br/>
        <w:t>\Rightarrow</w:t>
      </w:r>
      <w:r>
        <w:br/>
        <w:t>\mathfrak{G}_{D}</w:t>
      </w:r>
      <w:r>
        <w:br/>
        <w:t>\text{ ist wohlfundiert}.</w:t>
      </w:r>
      <w:r>
        <w:br/>
        <w:t>\tag{3.4806}</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\mathcal{C}_{D}=\emptyset\Rightarrow\mathfrak{G}_{D}\text{ ist wohlfundiert}\qquad\text{(3.4806)}</w:t>
      </w:r>
    </w:p>
    <w:p w:rsidR="005735BA" w:rsidRDefault="005735BA" w:rsidP="005735BA">
      <w:pPr>
        <w:pStyle w:val="StandardWeb"/>
      </w:pPr>
      <w:r>
        <w:t>Für jede Definition (D_j) existiert damit mindestens eine Wurzeldefinition (D_i), von der aus (D_j) über eine endliche Definitionskette erreichbar ist:</w:t>
      </w:r>
    </w:p>
    <w:p w:rsidR="005735BA" w:rsidRDefault="005735BA" w:rsidP="005735BA">
      <w:pPr>
        <w:pStyle w:val="StandardWeb"/>
      </w:pPr>
      <w:r>
        <w:t>[</w:t>
      </w:r>
      <w:r>
        <w:br/>
        <w:t>\forall D_j\in\mathcal{D}</w:t>
      </w:r>
      <w:r>
        <w:rPr>
          <w:rStyle w:val="Hervorhebung"/>
        </w:rPr>
        <w:t>{F}</w:t>
      </w:r>
      <w:r>
        <w:rPr>
          <w:i/>
          <w:iCs/>
        </w:rPr>
        <w:br/>
      </w:r>
      <w:r>
        <w:rPr>
          <w:rStyle w:val="Hervorhebung"/>
        </w:rPr>
        <w:t>\ \exists D_i\in\mathcal{W}</w:t>
      </w:r>
      <w:r>
        <w:t>{D}:</w:t>
      </w:r>
      <w:r>
        <w:br/>
        <w:t>(D_i,D_j)</w:t>
      </w:r>
      <w:r>
        <w:br/>
        <w:t>\in</w:t>
      </w:r>
      <w:r>
        <w:br/>
        <w:t>\mathcal{R}_{D}^{\ast}.</w:t>
      </w:r>
      <w:r>
        <w:br/>
        <w:t>\tag{3.4807}</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\forall D_j\in\mathcal{D}_{F}\ \exists D_i\in\mathcal{W}_{D}:(D_i,D_j)\in\mathcal{R}_{D}^{\ast}\qquad\text{(3.4807)}</w:t>
      </w:r>
    </w:p>
    <w:p w:rsidR="005735BA" w:rsidRDefault="005735BA" w:rsidP="005735BA">
      <w:pPr>
        <w:pStyle w:val="StandardWeb"/>
      </w:pPr>
      <w:r>
        <w:t>Dabei bezeichnet (\mathcal{R}_{D}^{\ast}) die reflexiv-transitive Hülle der Definitionsabhängigkeitsrelation.</w:t>
      </w:r>
    </w:p>
    <w:p w:rsidR="005735BA" w:rsidRPr="00AF32B2" w:rsidRDefault="005735BA" w:rsidP="00AF32B2">
      <w:pPr>
        <w:pStyle w:val="berschrift4"/>
      </w:pPr>
      <w:r w:rsidRPr="00AF32B2">
        <w:t>3.3.23.24 Satz zur Zirkularitätsfreiheit</w:t>
      </w:r>
    </w:p>
    <w:p w:rsidR="005735BA" w:rsidRDefault="005735BA" w:rsidP="005735BA">
      <w:pPr>
        <w:pStyle w:val="StandardWeb"/>
      </w:pPr>
      <w:r>
        <w:rPr>
          <w:rStyle w:val="Fett"/>
        </w:rPr>
        <w:t>Satz 3.3.5 – Zirkularitätsfreiheit der bisherigen FRZK-Definitionen</w:t>
      </w:r>
    </w:p>
    <w:p w:rsidR="005735BA" w:rsidRDefault="005735BA" w:rsidP="005735BA">
      <w:pPr>
        <w:pStyle w:val="StandardWeb"/>
      </w:pPr>
      <w:r>
        <w:t>Der Definitionsabhängigkeitsgraph der Definitionen 3.3.1 bis 3.3.14 ist azyklisch und wohlfundiert.</w:t>
      </w:r>
    </w:p>
    <w:p w:rsidR="005735BA" w:rsidRDefault="005735BA" w:rsidP="005735BA">
      <w:pPr>
        <w:pStyle w:val="StandardWeb"/>
      </w:pPr>
      <w:r>
        <w:t>Formal gilt</w:t>
      </w:r>
    </w:p>
    <w:p w:rsidR="005735BA" w:rsidRDefault="005735BA" w:rsidP="005735BA">
      <w:pPr>
        <w:pStyle w:val="berschrift1"/>
      </w:pPr>
      <w:r>
        <w:t>[</w:t>
      </w:r>
      <w:r>
        <w:br/>
        <w:t>\mathcal{C}_{D}</w:t>
      </w:r>
    </w:p>
    <w:p w:rsidR="005735BA" w:rsidRDefault="005735BA" w:rsidP="005735BA">
      <w:pPr>
        <w:pStyle w:val="StandardWeb"/>
      </w:pPr>
      <w:r>
        <w:lastRenderedPageBreak/>
        <w:t>\emptyset.</w:t>
      </w:r>
      <w:r>
        <w:br/>
        <w:t>\tag{3.4808}</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\mathcal{C}_{D}=\emptyset\qquad\text{(3.4808)}</w:t>
      </w:r>
    </w:p>
    <w:p w:rsidR="005735BA" w:rsidRDefault="005735BA" w:rsidP="005735BA">
      <w:pPr>
        <w:pStyle w:val="StandardWeb"/>
      </w:pPr>
      <w:r>
        <w:t>Äquivalent existiert eine topologische Nummerierungsfunktion</w:t>
      </w:r>
    </w:p>
    <w:p w:rsidR="005735BA" w:rsidRDefault="005735BA" w:rsidP="005735BA">
      <w:pPr>
        <w:pStyle w:val="StandardWeb"/>
      </w:pPr>
      <w:r>
        <w:t>[</w:t>
      </w:r>
      <w:r>
        <w:br/>
        <w:t>\rho_{D}:</w:t>
      </w:r>
      <w:r>
        <w:br/>
        <w:t>\mathcal{D}_{F}</w:t>
      </w:r>
      <w:r>
        <w:br/>
        <w:t>\rightarrow</w:t>
      </w:r>
      <w:r>
        <w:br/>
        <w:t>\mathbb{N}</w:t>
      </w:r>
      <w:r>
        <w:br/>
        <w:t>\tag{3.4809}</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\rho_{D}:\mathcal{D}_{F}\rightarrow\mathbb{N}\qquad\text{(3.4809)}</w:t>
      </w:r>
    </w:p>
    <w:p w:rsidR="005735BA" w:rsidRDefault="005735BA" w:rsidP="005735BA">
      <w:pPr>
        <w:pStyle w:val="StandardWeb"/>
      </w:pPr>
      <w:r>
        <w:t>mit</w:t>
      </w:r>
    </w:p>
    <w:p w:rsidR="005735BA" w:rsidRDefault="005735BA" w:rsidP="005735BA">
      <w:pPr>
        <w:pStyle w:val="StandardWeb"/>
      </w:pPr>
      <w:r>
        <w:t>[</w:t>
      </w:r>
      <w:r>
        <w:br/>
        <w:t>D_i</w:t>
      </w:r>
      <w:r>
        <w:br/>
        <w:t>\longrightarrow_{D}</w:t>
      </w:r>
      <w:r>
        <w:br/>
        <w:t>D_j</w:t>
      </w:r>
      <w:r>
        <w:br/>
        <w:t>\Rightarrow</w:t>
      </w:r>
      <w:r>
        <w:br/>
        <w:t>\rho_{D}(D_i)</w:t>
      </w:r>
      <w:r>
        <w:br/>
        <w:t>&lt;</w:t>
      </w:r>
      <w:r>
        <w:br/>
        <w:t>\rho_{D}(D_j).</w:t>
      </w:r>
      <w:r>
        <w:br/>
        <w:t>\tag{3.4810}</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D_i\longrightarrow_{D}D_j\Rightarrow\rho_{D}(D_i)&lt;\rho_{D}(D_j)\qquad\text{(3.4810)}</w:t>
      </w:r>
    </w:p>
    <w:p w:rsidR="005735BA" w:rsidRDefault="005735BA" w:rsidP="005735BA">
      <w:pPr>
        <w:pStyle w:val="berschrift3"/>
      </w:pPr>
      <w:r>
        <w:t>Beweis</w:t>
      </w:r>
    </w:p>
    <w:p w:rsidR="005735BA" w:rsidRDefault="005735BA" w:rsidP="005735BA">
      <w:pPr>
        <w:pStyle w:val="StandardWeb"/>
      </w:pPr>
      <w:r>
        <w:t>Die Definitionen (D_1), (D_2) und (D_3) bilden die Wurzelknoten. Sie besitzen keine definitorischen Vorgänger und beruhen unmittelbar auf den drei Primäraxiomen.</w:t>
      </w:r>
    </w:p>
    <w:p w:rsidR="005735BA" w:rsidRDefault="005735BA" w:rsidP="005735BA">
      <w:pPr>
        <w:pStyle w:val="StandardWeb"/>
      </w:pPr>
      <w:r>
        <w:t>Die funktionale Entwicklung (D_4) verwendet Zustände und Transformationen. Die funktionale Erreichbarkeit (D_6) verwendet Zustände, Transformationen und Entwicklungen. Die funktionale Ordnung (D_7) baut auf der Erreichbarkeit auf, und die funktionale Zeit (D_8) wird anschließend aus der Ordnungsstruktur abgeleitet. Keine dieser Definitionen verweist auf eine spätere Definition zurück.</w:t>
      </w:r>
    </w:p>
    <w:p w:rsidR="005735BA" w:rsidRDefault="005735BA" w:rsidP="005735BA">
      <w:pPr>
        <w:pStyle w:val="StandardWeb"/>
      </w:pPr>
      <w:r>
        <w:lastRenderedPageBreak/>
        <w:t>Der funktionale Raum (D_9) verwendet Zustandsklassen, funktionale Relationen und Ordnung. Die Raum-Zeit-Kopplung (D_{10}) verwendet Erreichbarkeit, Zeit und Raum. Die Gesamtsystemdefinition (D_{11}) fasst die zuvor eingeführten Teilstrukturen zusammen, wird aber nicht zur rückwirkenden Definition ihrer Bestandteile verwendet.</w:t>
      </w:r>
    </w:p>
    <w:p w:rsidR="005735BA" w:rsidRDefault="005735BA" w:rsidP="005735BA">
      <w:pPr>
        <w:pStyle w:val="StandardWeb"/>
      </w:pPr>
      <w:r>
        <w:t>Das reduzierte Prämodell (D_{12}) und das gemeinsame Minimalmodell (D_{13}) bilden eine getrennte, ebenfalls gerichtete Prüfstruktur. Die Typmatrix (D_{14}) klassifiziert bereits eingeführte Objekte, ohne deren Definitionen rückwirkend zu verändern.</w:t>
      </w:r>
    </w:p>
    <w:p w:rsidR="005735BA" w:rsidRDefault="005735BA" w:rsidP="005735BA">
      <w:pPr>
        <w:pStyle w:val="StandardWeb"/>
      </w:pPr>
      <w:r>
        <w:t>Damit lässt sich allen Definitionen eine topologische Nummer zuordnen, bei der jede Definitionskante von einer kleineren zu einer größeren Nummer verläuft. Ein gerichteter Definitionszyklus existiert daher nicht. Folglich gilt</w:t>
      </w:r>
    </w:p>
    <w:p w:rsidR="005735BA" w:rsidRDefault="005735BA" w:rsidP="005735BA">
      <w:pPr>
        <w:pStyle w:val="berschrift1"/>
      </w:pPr>
      <w:r>
        <w:t>[</w:t>
      </w:r>
      <w:r>
        <w:br/>
        <w:t>\mathcal{C}_{D}</w:t>
      </w:r>
    </w:p>
    <w:p w:rsidR="005735BA" w:rsidRDefault="005735BA" w:rsidP="005735BA">
      <w:pPr>
        <w:pStyle w:val="StandardWeb"/>
      </w:pPr>
      <w:r>
        <w:t>\emptyset.</w:t>
      </w:r>
      <w:r>
        <w:br/>
        <w:t>\tag{3.4811}</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\mathcal{C}_{D}=\emptyset\qquad\text{(3.4811)}</w:t>
      </w:r>
    </w:p>
    <w:p w:rsidR="005735BA" w:rsidRDefault="005735BA" w:rsidP="005735BA">
      <w:pPr>
        <w:pStyle w:val="StandardWeb"/>
      </w:pPr>
      <w:r>
        <w:t>Der Definitionsgraph ist somit azyklisch und wohlfundiert. (\square)</w:t>
      </w:r>
    </w:p>
    <w:p w:rsidR="005735BA" w:rsidRPr="00AF32B2" w:rsidRDefault="005735BA" w:rsidP="00AF32B2">
      <w:pPr>
        <w:pStyle w:val="berschrift4"/>
      </w:pPr>
      <w:r w:rsidRPr="00AF32B2">
        <w:t>3.3.23.25 Definitionsabhängigkeit und logische Folgerung</w:t>
      </w:r>
    </w:p>
    <w:p w:rsidR="005735BA" w:rsidRDefault="005735BA" w:rsidP="005735BA">
      <w:pPr>
        <w:pStyle w:val="StandardWeb"/>
      </w:pPr>
      <w:r>
        <w:t>Eine Definitionsabhängigkeit darf nicht mit einer logischen Folgerung verwechselt werden.</w:t>
      </w:r>
    </w:p>
    <w:p w:rsidR="005735BA" w:rsidRDefault="005735BA" w:rsidP="005735BA">
      <w:pPr>
        <w:pStyle w:val="StandardWeb"/>
      </w:pPr>
      <w:r>
        <w:t>Aus</w:t>
      </w:r>
    </w:p>
    <w:p w:rsidR="005735BA" w:rsidRDefault="005735BA" w:rsidP="005735BA">
      <w:pPr>
        <w:pStyle w:val="StandardWeb"/>
      </w:pPr>
      <w:r>
        <w:t>[</w:t>
      </w:r>
      <w:r>
        <w:br/>
        <w:t>D_i</w:t>
      </w:r>
      <w:r>
        <w:br/>
        <w:t>\longrightarrow_{D}</w:t>
      </w:r>
      <w:r>
        <w:br/>
        <w:t>D_j</w:t>
      </w:r>
      <w:r>
        <w:br/>
        <w:t>\tag{3.4812}</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D_i\longrightarrow_{D}D_j\qquad\text{(3.4812)}</w:t>
      </w:r>
    </w:p>
    <w:p w:rsidR="005735BA" w:rsidRDefault="005735BA" w:rsidP="005735BA">
      <w:pPr>
        <w:pStyle w:val="StandardWeb"/>
      </w:pPr>
      <w:r>
        <w:t>folgt nicht automatisch</w:t>
      </w:r>
    </w:p>
    <w:p w:rsidR="005735BA" w:rsidRDefault="005735BA" w:rsidP="005735BA">
      <w:pPr>
        <w:pStyle w:val="StandardWeb"/>
      </w:pPr>
      <w:r>
        <w:t>[</w:t>
      </w:r>
      <w:r>
        <w:br/>
        <w:t>D_i</w:t>
      </w:r>
      <w:r>
        <w:br/>
        <w:t>\models</w:t>
      </w:r>
      <w:r>
        <w:br/>
        <w:t>D_j.</w:t>
      </w:r>
      <w:r>
        <w:br/>
      </w:r>
      <w:r>
        <w:lastRenderedPageBreak/>
        <w:t>\tag{3.4813}</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D_i\models D_j\qquad\text{(3.4813)}</w:t>
      </w:r>
    </w:p>
    <w:p w:rsidR="005735BA" w:rsidRDefault="005735BA" w:rsidP="005735BA">
      <w:pPr>
        <w:pStyle w:val="StandardWeb"/>
      </w:pPr>
      <w:r>
        <w:t>Die Kante bedeutet lediglich, dass (D_j) einen Begriff aus (D_i) verwendet. Zusätzliche Bedingungen können erforderlich sein.</w:t>
      </w:r>
    </w:p>
    <w:p w:rsidR="005735BA" w:rsidRDefault="005735BA" w:rsidP="005735BA">
      <w:pPr>
        <w:pStyle w:val="StandardWeb"/>
      </w:pPr>
      <w:r>
        <w:t>So folgt aus der Existenz funktionaler Relationen nicht automatisch ein bestimmter funktionaler Raum:</w:t>
      </w:r>
    </w:p>
    <w:p w:rsidR="005735BA" w:rsidRDefault="005735BA" w:rsidP="005735BA">
      <w:pPr>
        <w:pStyle w:val="StandardWeb"/>
      </w:pPr>
      <w:r>
        <w:t>[</w:t>
      </w:r>
      <w:r>
        <w:br/>
        <w:t>D_2</w:t>
      </w:r>
      <w:r>
        <w:br/>
        <w:t>\nvDash</w:t>
      </w:r>
      <w:r>
        <w:br/>
        <w:t>D_9.</w:t>
      </w:r>
      <w:r>
        <w:br/>
        <w:t>\tag{3.4814}</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D_2\nvDash D_9\qquad\text{(3.4814)}</w:t>
      </w:r>
    </w:p>
    <w:p w:rsidR="005735BA" w:rsidRDefault="005735BA" w:rsidP="005735BA">
      <w:pPr>
        <w:pStyle w:val="StandardWeb"/>
      </w:pPr>
      <w:r>
        <w:t>Ebenso bestimmt funktionale Ordnung nicht eindeutig eine einzelne Zeitabbildung:</w:t>
      </w:r>
    </w:p>
    <w:p w:rsidR="005735BA" w:rsidRDefault="005735BA" w:rsidP="005735BA">
      <w:pPr>
        <w:pStyle w:val="StandardWeb"/>
      </w:pPr>
      <w:r>
        <w:t>[</w:t>
      </w:r>
      <w:r>
        <w:br/>
        <w:t>D_7</w:t>
      </w:r>
      <w:r>
        <w:br/>
        <w:t>\longrightarrow_{D}</w:t>
      </w:r>
      <w:r>
        <w:br/>
        <w:t>\left{</w:t>
      </w:r>
      <w:r>
        <w:br/>
        <w:t>D_8^{(\mu)},</w:t>
      </w:r>
      <w:r>
        <w:br/>
        <w:t>D_8^{(\nu)}</w:t>
      </w:r>
      <w:r>
        <w:br/>
        <w:t>\right}.</w:t>
      </w:r>
      <w:r>
        <w:br/>
        <w:t>\tag{3.4815}</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D_7\longrightarrow_{D}\left\{D_8^{(\mu)},D_8^{(\nu)}\right\}\qquad\text{(3.4815)}</w:t>
      </w:r>
    </w:p>
    <w:p w:rsidR="005735BA" w:rsidRDefault="005735BA" w:rsidP="005735BA">
      <w:pPr>
        <w:pStyle w:val="StandardWeb"/>
      </w:pPr>
      <w:r>
        <w:t>Unterschiedliche ordnungsverträgliche Zeitbewertungen bleiben möglich.</w:t>
      </w:r>
    </w:p>
    <w:p w:rsidR="005735BA" w:rsidRPr="00AF32B2" w:rsidRDefault="005735BA" w:rsidP="00AF32B2">
      <w:pPr>
        <w:pStyle w:val="berschrift4"/>
      </w:pPr>
      <w:r w:rsidRPr="00AF32B2">
        <w:t>3.3.23.26 Speicherung im wissenschaftlichen Repository</w:t>
      </w:r>
    </w:p>
    <w:p w:rsidR="005735BA" w:rsidRDefault="005735BA" w:rsidP="005735BA">
      <w:pPr>
        <w:pStyle w:val="StandardWeb"/>
      </w:pPr>
      <w:r>
        <w:t xml:space="preserve">Die Knoten des Definitionsgraphen entsprechen den Datensätzen der Tabelle </w:t>
      </w:r>
      <w:r>
        <w:rPr>
          <w:rStyle w:val="HTMLCode"/>
        </w:rPr>
        <w:t>definitions</w:t>
      </w:r>
      <w:r>
        <w:t xml:space="preserve">. Die gerichteten Kanten werden in der Tabelle </w:t>
      </w:r>
      <w:r>
        <w:rPr>
          <w:rStyle w:val="HTMLCode"/>
        </w:rPr>
        <w:t>object_dependencies</w:t>
      </w:r>
      <w:r>
        <w:t xml:space="preserve"> gespeichert.</w:t>
      </w:r>
    </w:p>
    <w:p w:rsidR="005735BA" w:rsidRDefault="005735BA" w:rsidP="005735BA">
      <w:pPr>
        <w:pStyle w:val="StandardWeb"/>
      </w:pPr>
      <w:r>
        <w:t>Eine Definitionskante wird schematisch dargestellt durch</w:t>
      </w:r>
    </w:p>
    <w:p w:rsidR="005735BA" w:rsidRDefault="005735BA" w:rsidP="005735BA">
      <w:pPr>
        <w:pStyle w:val="StandardWeb"/>
      </w:pPr>
      <w:r>
        <w:t>[</w:t>
      </w:r>
      <w:r>
        <w:br/>
        <w:t>\operatorname{Dep}_{D}</w:t>
      </w:r>
      <w:r>
        <w:br/>
      </w:r>
      <w:r>
        <w:lastRenderedPageBreak/>
        <w:t>\left(</w:t>
      </w:r>
      <w:r>
        <w:br/>
        <w:t>D_i,</w:t>
      </w:r>
      <w:r>
        <w:br/>
        <w:t>D_j,</w:t>
      </w:r>
      <w:r>
        <w:br/>
        <w:t>\texttt{depends_on}</w:t>
      </w:r>
      <w:r>
        <w:br/>
        <w:t>\right).</w:t>
      </w:r>
      <w:r>
        <w:br/>
        <w:t>\tag{3.4816}</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\operatorname{Dep}_{D}\left(D_i,D_j,\texttt{depends\_on}\right)\qquad\text{(3.4816)}</w:t>
      </w:r>
    </w:p>
    <w:p w:rsidR="005735BA" w:rsidRDefault="005735BA" w:rsidP="005735BA">
      <w:pPr>
        <w:pStyle w:val="StandardWeb"/>
      </w:pPr>
      <w:r>
        <w:t>Die maschinenlesbare Speicherung ermöglicht:</w:t>
      </w:r>
    </w:p>
    <w:p w:rsidR="005735BA" w:rsidRDefault="005735BA" w:rsidP="00632D23">
      <w:pPr>
        <w:pStyle w:val="StandardWeb"/>
        <w:numPr>
          <w:ilvl w:val="0"/>
          <w:numId w:val="116"/>
        </w:numPr>
      </w:pPr>
      <w:r>
        <w:t>die automatische Ermittlung direkter Vorgänger,</w:t>
      </w:r>
    </w:p>
    <w:p w:rsidR="005735BA" w:rsidRDefault="005735BA" w:rsidP="00632D23">
      <w:pPr>
        <w:pStyle w:val="StandardWeb"/>
        <w:numPr>
          <w:ilvl w:val="0"/>
          <w:numId w:val="116"/>
        </w:numPr>
      </w:pPr>
      <w:r>
        <w:t>die Berechnung transitiver Abhängigkeiten,</w:t>
      </w:r>
    </w:p>
    <w:p w:rsidR="005735BA" w:rsidRDefault="005735BA" w:rsidP="00632D23">
      <w:pPr>
        <w:pStyle w:val="StandardWeb"/>
        <w:numPr>
          <w:ilvl w:val="0"/>
          <w:numId w:val="116"/>
        </w:numPr>
      </w:pPr>
      <w:r>
        <w:t>die topologische Sortierung,</w:t>
      </w:r>
    </w:p>
    <w:p w:rsidR="005735BA" w:rsidRDefault="005735BA" w:rsidP="00632D23">
      <w:pPr>
        <w:pStyle w:val="StandardWeb"/>
        <w:numPr>
          <w:ilvl w:val="0"/>
          <w:numId w:val="116"/>
        </w:numPr>
      </w:pPr>
      <w:r>
        <w:t>die Erkennung gerichteter Zyklen,</w:t>
      </w:r>
    </w:p>
    <w:p w:rsidR="005735BA" w:rsidRDefault="005735BA" w:rsidP="00632D23">
      <w:pPr>
        <w:pStyle w:val="StandardWeb"/>
        <w:numPr>
          <w:ilvl w:val="0"/>
          <w:numId w:val="116"/>
        </w:numPr>
      </w:pPr>
      <w:r>
        <w:t>die Prüfung unvollständig dokumentierter Begriffsbildungen.</w:t>
      </w:r>
    </w:p>
    <w:p w:rsidR="005735BA" w:rsidRDefault="005735BA" w:rsidP="005735BA">
      <w:pPr>
        <w:pStyle w:val="StandardWeb"/>
      </w:pPr>
      <w:r>
        <w:t>Die Vollständigkeit der gespeicherten Definitionsabhängigkeiten kann durch ein Prüfprädikat beschrieben werden:</w:t>
      </w:r>
    </w:p>
    <w:p w:rsidR="005735BA" w:rsidRDefault="005735BA" w:rsidP="005735BA">
      <w:pPr>
        <w:pStyle w:val="StandardWeb"/>
      </w:pPr>
      <w:r>
        <w:t>[</w:t>
      </w:r>
      <w:r>
        <w:br/>
        <w:t>\operatorname{Voll}</w:t>
      </w:r>
      <w:r>
        <w:rPr>
          <w:rStyle w:val="Hervorhebung"/>
        </w:rPr>
        <w:t>{D}:</w:t>
      </w:r>
      <w:r>
        <w:rPr>
          <w:i/>
          <w:iCs/>
        </w:rPr>
        <w:br/>
      </w:r>
      <w:r>
        <w:rPr>
          <w:rStyle w:val="Hervorhebung"/>
        </w:rPr>
        <w:t>\mathfrak{G}</w:t>
      </w:r>
      <w:r>
        <w:t>{D}</w:t>
      </w:r>
      <w:r>
        <w:br/>
        <w:t>\rightarrow</w:t>
      </w:r>
      <w:r>
        <w:br/>
        <w:t>{0,1}.</w:t>
      </w:r>
      <w:r>
        <w:br/>
        <w:t>\tag{3.4817}</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\operatorname{Voll}_{D}:\mathfrak{G}_{D}\rightarrow\{0,1\}\qquad\text{(3.4817)}</w:t>
      </w:r>
    </w:p>
    <w:p w:rsidR="005735BA" w:rsidRDefault="005735BA" w:rsidP="005735BA">
      <w:pPr>
        <w:pStyle w:val="StandardWeb"/>
      </w:pPr>
      <w:r>
        <w:t>Für eine vollständig dokumentierte Abhängigkeitsstruktur gilt</w:t>
      </w:r>
    </w:p>
    <w:p w:rsidR="005735BA" w:rsidRDefault="005735BA" w:rsidP="005735BA">
      <w:pPr>
        <w:pStyle w:val="berschrift1"/>
      </w:pPr>
      <w:r>
        <w:t>[</w:t>
      </w:r>
      <w:r>
        <w:br/>
        <w:t>\operatorname{Voll}</w:t>
      </w:r>
      <w:r>
        <w:rPr>
          <w:rStyle w:val="Hervorhebung"/>
        </w:rPr>
        <w:t>{D}</w:t>
      </w:r>
      <w:r>
        <w:rPr>
          <w:i/>
          <w:iCs/>
        </w:rPr>
        <w:br/>
      </w:r>
      <w:r>
        <w:rPr>
          <w:rStyle w:val="Hervorhebung"/>
        </w:rPr>
        <w:t>\left(</w:t>
      </w:r>
      <w:r>
        <w:rPr>
          <w:i/>
          <w:iCs/>
        </w:rPr>
        <w:br/>
      </w:r>
      <w:r>
        <w:rPr>
          <w:rStyle w:val="Hervorhebung"/>
        </w:rPr>
        <w:t>\mathfrak{G}</w:t>
      </w:r>
      <w:r>
        <w:t>{D}</w:t>
      </w:r>
      <w:r>
        <w:br/>
        <w:t>\right)</w:t>
      </w:r>
    </w:p>
    <w:p w:rsidR="005735BA" w:rsidRDefault="005735BA" w:rsidP="00632D23">
      <w:pPr>
        <w:numPr>
          <w:ilvl w:val="0"/>
          <w:numId w:val="117"/>
        </w:numPr>
        <w:spacing w:before="100" w:beforeAutospacing="1" w:after="100" w:afterAutospacing="1"/>
      </w:pPr>
    </w:p>
    <w:p w:rsidR="005735BA" w:rsidRDefault="005735BA" w:rsidP="005735BA">
      <w:pPr>
        <w:pStyle w:val="StandardWeb"/>
      </w:pPr>
      <w:r>
        <w:lastRenderedPageBreak/>
        <w:t>\tag{3.4818}</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\operatorname{Voll}_{D}\left(\mathfrak{G}_{D}\right)=1\qquad\text{(3.4818)}</w:t>
      </w:r>
    </w:p>
    <w:p w:rsidR="005735BA" w:rsidRDefault="005735BA" w:rsidP="005735BA">
      <w:pPr>
        <w:pStyle w:val="StandardWeb"/>
      </w:pPr>
      <w:r>
        <w:rPr>
          <w:rStyle w:val="Fett"/>
        </w:rPr>
        <w:t>Eigenleistung des FRZK</w:t>
      </w:r>
    </w:p>
    <w:p w:rsidR="005735BA" w:rsidRDefault="005735BA" w:rsidP="005735BA">
      <w:pPr>
        <w:pStyle w:val="StandardWeb"/>
      </w:pPr>
      <w:r>
        <w:t>Ich verbinde die mathematische Begriffsprüfung unmittelbar mit der Repository-Struktur. Dadurch bleibt die Abhängigkeitsarchitektur nicht nur im Fließtext erhalten, sondern wird maschinenlesbar und automatisch prüfbar.</w:t>
      </w:r>
    </w:p>
    <w:p w:rsidR="005735BA" w:rsidRPr="00AF32B2" w:rsidRDefault="005735BA" w:rsidP="00AF32B2">
      <w:pPr>
        <w:pStyle w:val="berschrift4"/>
      </w:pPr>
      <w:r w:rsidRPr="00AF32B2">
        <w:t>3.3.23.27 Automatisierte Zyklusprüfung</w:t>
      </w:r>
    </w:p>
    <w:p w:rsidR="005735BA" w:rsidRDefault="005735BA" w:rsidP="005735BA">
      <w:pPr>
        <w:pStyle w:val="StandardWeb"/>
      </w:pPr>
      <w:r>
        <w:t>Eine automatisierte Zyklusprüfung wird als Abbildung definiert:</w:t>
      </w:r>
    </w:p>
    <w:p w:rsidR="005735BA" w:rsidRDefault="005735BA" w:rsidP="005735BA">
      <w:pPr>
        <w:pStyle w:val="StandardWeb"/>
      </w:pPr>
      <w:r>
        <w:t>[</w:t>
      </w:r>
      <w:r>
        <w:br/>
        <w:t>\operatorname{Zykl}</w:t>
      </w:r>
      <w:r>
        <w:rPr>
          <w:rStyle w:val="Hervorhebung"/>
        </w:rPr>
        <w:t>{D}:</w:t>
      </w:r>
      <w:r>
        <w:rPr>
          <w:i/>
          <w:iCs/>
        </w:rPr>
        <w:br/>
      </w:r>
      <w:r>
        <w:rPr>
          <w:rStyle w:val="Hervorhebung"/>
        </w:rPr>
        <w:t>\mathfrak{G}</w:t>
      </w:r>
      <w:r>
        <w:t>{D}</w:t>
      </w:r>
      <w:r>
        <w:br/>
        <w:t>\rightarrow</w:t>
      </w:r>
      <w:r>
        <w:br/>
        <w:t>{0,1}.</w:t>
      </w:r>
      <w:r>
        <w:br/>
        <w:t>\tag{3.4819}</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\operatorname{Zykl}_{D}:\mathfrak{G}_{D}\rightarrow\{0,1\}\qquad\text{(3.4819)}</w:t>
      </w:r>
    </w:p>
    <w:p w:rsidR="005735BA" w:rsidRDefault="005735BA" w:rsidP="005735BA">
      <w:pPr>
        <w:pStyle w:val="StandardWeb"/>
      </w:pPr>
      <w:r>
        <w:t>Dabei gilt</w:t>
      </w:r>
    </w:p>
    <w:p w:rsidR="005735BA" w:rsidRDefault="005735BA" w:rsidP="005735BA">
      <w:pPr>
        <w:pStyle w:val="berschrift1"/>
      </w:pPr>
      <w:r>
        <w:t>[</w:t>
      </w:r>
      <w:r>
        <w:br/>
        <w:t>\operatorname{Zykl}</w:t>
      </w:r>
      <w:r>
        <w:rPr>
          <w:rStyle w:val="Hervorhebung"/>
        </w:rPr>
        <w:t>{D}</w:t>
      </w:r>
      <w:r>
        <w:rPr>
          <w:i/>
          <w:iCs/>
        </w:rPr>
        <w:br/>
      </w:r>
      <w:r>
        <w:rPr>
          <w:rStyle w:val="Hervorhebung"/>
        </w:rPr>
        <w:t>\left(</w:t>
      </w:r>
      <w:r>
        <w:rPr>
          <w:i/>
          <w:iCs/>
        </w:rPr>
        <w:br/>
      </w:r>
      <w:r>
        <w:rPr>
          <w:rStyle w:val="Hervorhebung"/>
        </w:rPr>
        <w:t>\mathfrak{G}</w:t>
      </w:r>
      <w:r>
        <w:t>{D}</w:t>
      </w:r>
      <w:r>
        <w:br/>
        <w:t>\right)</w:t>
      </w:r>
    </w:p>
    <w:p w:rsidR="005735BA" w:rsidRDefault="005735BA" w:rsidP="005735BA">
      <w:pPr>
        <w:pStyle w:val="StandardWeb"/>
      </w:pPr>
      <w:r>
        <w:t>1</w:t>
      </w:r>
      <w:r>
        <w:br/>
        <w:t>\iff</w:t>
      </w:r>
      <w:r>
        <w:br/>
        <w:t>\mathcal{C}_{D}</w:t>
      </w:r>
      <w:r>
        <w:br/>
        <w:t>\neq</w:t>
      </w:r>
      <w:r>
        <w:br/>
        <w:t>\emptyset.</w:t>
      </w:r>
      <w:r>
        <w:br/>
        <w:t>\tag{3.4820}</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lastRenderedPageBreak/>
        <w:t>\operatorname{Zykl}_{D}\left(\mathfrak{G}_{D}\right)=1\iff\mathcal{C}_{D}\neq\emptyset\qquad\text{(3.4820)}</w:t>
      </w:r>
    </w:p>
    <w:p w:rsidR="005735BA" w:rsidRDefault="005735BA" w:rsidP="005735BA">
      <w:pPr>
        <w:pStyle w:val="StandardWeb"/>
      </w:pPr>
      <w:r>
        <w:t>Für den bisherigen Definitionsgraphen gilt</w:t>
      </w:r>
    </w:p>
    <w:p w:rsidR="005735BA" w:rsidRDefault="005735BA" w:rsidP="005735BA">
      <w:pPr>
        <w:pStyle w:val="berschrift1"/>
      </w:pPr>
      <w:r>
        <w:t>[</w:t>
      </w:r>
      <w:r>
        <w:br/>
        <w:t>\operatorname{Zykl}</w:t>
      </w:r>
      <w:r>
        <w:rPr>
          <w:rStyle w:val="Hervorhebung"/>
        </w:rPr>
        <w:t>{D}</w:t>
      </w:r>
      <w:r>
        <w:rPr>
          <w:i/>
          <w:iCs/>
        </w:rPr>
        <w:br/>
      </w:r>
      <w:r>
        <w:rPr>
          <w:rStyle w:val="Hervorhebung"/>
        </w:rPr>
        <w:t>\left(</w:t>
      </w:r>
      <w:r>
        <w:rPr>
          <w:i/>
          <w:iCs/>
        </w:rPr>
        <w:br/>
      </w:r>
      <w:r>
        <w:rPr>
          <w:rStyle w:val="Hervorhebung"/>
        </w:rPr>
        <w:t>\mathfrak{G}</w:t>
      </w:r>
      <w:r>
        <w:t>{D}</w:t>
      </w:r>
      <w:r>
        <w:br/>
        <w:t>\right)</w:t>
      </w:r>
    </w:p>
    <w:p w:rsidR="005735BA" w:rsidRDefault="005735BA" w:rsidP="00632D23">
      <w:pPr>
        <w:numPr>
          <w:ilvl w:val="0"/>
          <w:numId w:val="118"/>
        </w:numPr>
        <w:spacing w:before="100" w:beforeAutospacing="1" w:after="100" w:afterAutospacing="1"/>
      </w:pPr>
    </w:p>
    <w:p w:rsidR="005735BA" w:rsidRDefault="005735BA" w:rsidP="005735BA">
      <w:pPr>
        <w:pStyle w:val="StandardWeb"/>
      </w:pPr>
      <w:r>
        <w:t>\tag{3.4821}</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\operatorname{Zykl}_{D}\left(\mathfrak{G}_{D}\right)=0\qquad\text{(3.4821)}</w:t>
      </w:r>
    </w:p>
    <w:p w:rsidR="005735BA" w:rsidRDefault="005735BA" w:rsidP="005735BA">
      <w:pPr>
        <w:pStyle w:val="StandardWeb"/>
      </w:pPr>
      <w:r>
        <w:t>Technisch kann die Prüfung durch eine Tiefensuche, eine topologische Sortierung oder die Berechnung stark zusammenhängender Komponenten erfolgen [6, 71].</w:t>
      </w:r>
    </w:p>
    <w:p w:rsidR="005735BA" w:rsidRPr="00AF32B2" w:rsidRDefault="005735BA" w:rsidP="00AF32B2">
      <w:pPr>
        <w:pStyle w:val="berschrift4"/>
      </w:pPr>
      <w:r w:rsidRPr="00AF32B2">
        <w:t>3.3.23.28 Ergebnis der Definitionsabhängigkeitsprüfung</w:t>
      </w:r>
    </w:p>
    <w:p w:rsidR="005735BA" w:rsidRDefault="005735BA" w:rsidP="005735BA">
      <w:pPr>
        <w:pStyle w:val="StandardWeb"/>
      </w:pPr>
      <w:r>
        <w:t>Die Prüfung zeigt, dass die bisherigen Definitionen eine gerichtete, endliche und azyklische Begriffsstruktur bilden. Die drei elementaren Definitionen von Zustand, Relation und Transformation bilden die Wurzelknoten. Sämtliche weiteren Begriffe lassen sich über endliche Definitionsketten auf diese Grundlage zurückführen.</w:t>
      </w:r>
    </w:p>
    <w:p w:rsidR="005735BA" w:rsidRDefault="005735BA" w:rsidP="005735BA">
      <w:pPr>
        <w:pStyle w:val="StandardWeb"/>
      </w:pPr>
      <w:r>
        <w:t>Die kritischsten möglichen Zirkel wurden ausdrücklich ausgeschlossen:</w:t>
      </w:r>
    </w:p>
    <w:p w:rsidR="005735BA" w:rsidRDefault="005735BA" w:rsidP="00632D23">
      <w:pPr>
        <w:pStyle w:val="StandardWeb"/>
        <w:numPr>
          <w:ilvl w:val="0"/>
          <w:numId w:val="119"/>
        </w:numPr>
      </w:pPr>
      <w:r>
        <w:t>funktionale Ordnung wird nicht durch funktionale Zeit definiert,</w:t>
      </w:r>
    </w:p>
    <w:p w:rsidR="005735BA" w:rsidRDefault="005735BA" w:rsidP="00632D23">
      <w:pPr>
        <w:pStyle w:val="StandardWeb"/>
        <w:numPr>
          <w:ilvl w:val="0"/>
          <w:numId w:val="119"/>
        </w:numPr>
      </w:pPr>
      <w:r>
        <w:t>funktionale Relationen werden nicht durch funktionalen Raum definiert,</w:t>
      </w:r>
    </w:p>
    <w:p w:rsidR="005735BA" w:rsidRDefault="005735BA" w:rsidP="00632D23">
      <w:pPr>
        <w:pStyle w:val="StandardWeb"/>
        <w:numPr>
          <w:ilvl w:val="0"/>
          <w:numId w:val="119"/>
        </w:numPr>
      </w:pPr>
      <w:r>
        <w:t>funktionale Zustände werden nicht durch Kohärenz definiert,</w:t>
      </w:r>
    </w:p>
    <w:p w:rsidR="005735BA" w:rsidRDefault="005735BA" w:rsidP="00632D23">
      <w:pPr>
        <w:pStyle w:val="StandardWeb"/>
        <w:numPr>
          <w:ilvl w:val="0"/>
          <w:numId w:val="119"/>
        </w:numPr>
      </w:pPr>
      <w:r>
        <w:t>funktionaler Raum und funktionale Zeit werden nicht durch ihre spätere Kopplung definiert,</w:t>
      </w:r>
    </w:p>
    <w:p w:rsidR="005735BA" w:rsidRDefault="005735BA" w:rsidP="00632D23">
      <w:pPr>
        <w:pStyle w:val="StandardWeb"/>
        <w:numPr>
          <w:ilvl w:val="0"/>
          <w:numId w:val="119"/>
        </w:numPr>
      </w:pPr>
      <w:r>
        <w:t>die Typmatrix wirkt nicht rückwirkend begriffsbildend.</w:t>
      </w:r>
    </w:p>
    <w:p w:rsidR="005735BA" w:rsidRDefault="005735BA" w:rsidP="005735BA">
      <w:pPr>
        <w:pStyle w:val="StandardWeb"/>
      </w:pPr>
      <w:r>
        <w:t>Damit ist die bisherige FRZK-Begriffsbildung wohlfundiert [6, 71, 79].</w:t>
      </w:r>
    </w:p>
    <w:p w:rsidR="005735BA" w:rsidRDefault="005735BA" w:rsidP="005735BA">
      <w:pPr>
        <w:pStyle w:val="StandardWeb"/>
      </w:pPr>
      <w:r>
        <w:rPr>
          <w:rStyle w:val="Fett"/>
        </w:rPr>
        <w:t>Eigenleistung des FRZK</w:t>
      </w:r>
    </w:p>
    <w:p w:rsidR="005735BA" w:rsidRDefault="005735BA" w:rsidP="005735BA">
      <w:pPr>
        <w:pStyle w:val="StandardWeb"/>
      </w:pPr>
      <w:r>
        <w:t>Mit Definition 3.3.15 und Satz 3.3.5 steht ein formales Verfahren zur Verfügung, mit dem jede bestehende und jede neue Definition auf notwendige Vorgänger, mittelbare Abhängigkeiten und mögliche Definitionszyklen geprüft werden kann.</w:t>
      </w:r>
    </w:p>
    <w:p w:rsidR="005735BA" w:rsidRPr="00AF32B2" w:rsidRDefault="005735BA" w:rsidP="00AF32B2">
      <w:pPr>
        <w:pStyle w:val="berschrift4"/>
      </w:pPr>
      <w:r w:rsidRPr="00AF32B2">
        <w:lastRenderedPageBreak/>
        <w:t>3.3.23.29 Übergang zur Prüfung der Ableitungs- und Beweisabhängigkeiten</w:t>
      </w:r>
    </w:p>
    <w:p w:rsidR="005735BA" w:rsidRDefault="005735BA" w:rsidP="005735BA">
      <w:pPr>
        <w:pStyle w:val="StandardWeb"/>
      </w:pPr>
      <w:r>
        <w:t>Der Definitionsgraph erfasst ausschließlich begriffliche Voraussetzungen. Die wissenschaftliche Struktur des FRZK enthält darüber hinaus Gleichungen, Sätze, Beweise, Modelle und methodologische Folgerungen.</w:t>
      </w:r>
    </w:p>
    <w:p w:rsidR="005735BA" w:rsidRDefault="005735BA" w:rsidP="005735BA">
      <w:pPr>
        <w:pStyle w:val="StandardWeb"/>
      </w:pPr>
      <w:r>
        <w:t>Für einen Satz (S_j) kann beispielsweise gelten</w:t>
      </w:r>
    </w:p>
    <w:p w:rsidR="005735BA" w:rsidRDefault="005735BA" w:rsidP="005735BA">
      <w:pPr>
        <w:pStyle w:val="StandardWeb"/>
      </w:pPr>
      <w:r>
        <w:t>[</w:t>
      </w:r>
      <w:r>
        <w:br/>
        <w:t>D_i</w:t>
      </w:r>
      <w:r>
        <w:br/>
        <w:t>\longrightarrow</w:t>
      </w:r>
      <w:r>
        <w:br/>
        <w:t>S_j.</w:t>
      </w:r>
      <w:r>
        <w:br/>
        <w:t>\tag{3.4822}</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D_i\longrightarrow S_j\qquad\text{(3.4822)}</w:t>
      </w:r>
    </w:p>
    <w:p w:rsidR="005735BA" w:rsidRDefault="005735BA" w:rsidP="005735BA">
      <w:pPr>
        <w:pStyle w:val="StandardWeb"/>
      </w:pPr>
      <w:r>
        <w:t>Ebenso kann ein späterer Satz von einem früheren Satz abhängen:</w:t>
      </w:r>
    </w:p>
    <w:p w:rsidR="005735BA" w:rsidRDefault="005735BA" w:rsidP="005735BA">
      <w:pPr>
        <w:pStyle w:val="StandardWeb"/>
      </w:pPr>
      <w:r>
        <w:t>[</w:t>
      </w:r>
      <w:r>
        <w:br/>
        <w:t>S_i</w:t>
      </w:r>
      <w:r>
        <w:br/>
        <w:t>\longrightarrow</w:t>
      </w:r>
      <w:r>
        <w:br/>
        <w:t>S_j.</w:t>
      </w:r>
      <w:r>
        <w:br/>
        <w:t>\tag{3.4823}</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S_i\longrightarrow S_j\qquad\text{(3.4823)}</w:t>
      </w:r>
    </w:p>
    <w:p w:rsidR="005735BA" w:rsidRDefault="005735BA" w:rsidP="005735BA">
      <w:pPr>
        <w:pStyle w:val="StandardWeb"/>
      </w:pPr>
      <w:r>
        <w:t>Ein Beweis kann mehrere Definitionen, Gleichungen und Sätze gemeinsam voraussetzen:</w:t>
      </w:r>
    </w:p>
    <w:p w:rsidR="005735BA" w:rsidRDefault="005735BA" w:rsidP="005735BA">
      <w:pPr>
        <w:pStyle w:val="StandardWeb"/>
      </w:pPr>
      <w:r>
        <w:t>[</w:t>
      </w:r>
      <w:r>
        <w:br/>
        <w:t>\left{</w:t>
      </w:r>
      <w:r>
        <w:br/>
        <w:t>D_i,</w:t>
      </w:r>
      <w:r>
        <w:br/>
        <w:t>E_j,</w:t>
      </w:r>
      <w:r>
        <w:br/>
        <w:t>S_k</w:t>
      </w:r>
      <w:r>
        <w:br/>
        <w:t>\right}</w:t>
      </w:r>
      <w:r>
        <w:br/>
        <w:t>\longrightarrow</w:t>
      </w:r>
      <w:r>
        <w:br/>
        <w:t>P_{\ell}.</w:t>
      </w:r>
      <w:r>
        <w:br/>
        <w:t>\tag{3.4824}</w:t>
      </w:r>
      <w:r>
        <w:br/>
        <w:t>]</w:t>
      </w:r>
    </w:p>
    <w:p w:rsidR="005735BA" w:rsidRDefault="005735BA" w:rsidP="005735BA">
      <w:pPr>
        <w:pStyle w:val="StandardWeb"/>
      </w:pPr>
      <w:r>
        <w:rPr>
          <w:rStyle w:val="Fett"/>
        </w:rPr>
        <w:t>Word-LaTeX</w:t>
      </w:r>
    </w:p>
    <w:p w:rsidR="005735BA" w:rsidRDefault="005735BA" w:rsidP="005735BA">
      <w:pPr>
        <w:pStyle w:val="HTMLVorformatiert"/>
        <w:rPr>
          <w:rStyle w:val="HTMLCode"/>
        </w:rPr>
      </w:pPr>
      <w:r>
        <w:rPr>
          <w:rStyle w:val="HTMLCode"/>
        </w:rPr>
        <w:t>\left\{D_i,E_j,S_k\right\}\longrightarrow P_{\ell}\qquad\text{(3.4824)}</w:t>
      </w:r>
    </w:p>
    <w:p w:rsidR="005735BA" w:rsidRDefault="005735BA" w:rsidP="005735BA">
      <w:pPr>
        <w:pStyle w:val="StandardWeb"/>
      </w:pPr>
      <w:r>
        <w:t>Der folgende Abschnitt erweitert deshalb den Definitionsgraphen zu einem vollständigen wissenschaftlichen Ableitungsgraphen.</w:t>
      </w:r>
    </w:p>
    <w:p w:rsidR="005735BA" w:rsidRDefault="005735BA" w:rsidP="005735BA">
      <w:pPr>
        <w:pStyle w:val="StandardWeb"/>
      </w:pPr>
      <w:r>
        <w:rPr>
          <w:rStyle w:val="Fett"/>
        </w:rPr>
        <w:lastRenderedPageBreak/>
        <w:t>Eigenleistung des FRZK</w:t>
      </w:r>
    </w:p>
    <w:p w:rsidR="005735BA" w:rsidRDefault="005735BA" w:rsidP="005735BA">
      <w:pPr>
        <w:pStyle w:val="StandardWeb"/>
      </w:pPr>
      <w:r>
        <w:t>Ich werde im nächsten Abschnitt prüfen, ob sämtliche bisherigen Sätze und Beweise ausschließlich auf bereits eingeführten Definitionen, Primäraxiomen, Modellkonstruktionen und früher nachgewiesenen Aussagen beruhen. Damit wird nicht nur die Begriffsbildung, sondern die vollständige Begründungsstruktur des FRZK überprüfbar.</w:t>
      </w:r>
    </w:p>
    <w:p w:rsidR="00C3404B" w:rsidRDefault="00C3404B" w:rsidP="00C3404B">
      <w:pPr>
        <w:pStyle w:val="berschrift2"/>
      </w:pPr>
      <w:r>
        <w:t>Ergänzung zu 3.3.23 – Prüfung der Definitionsabhängigkeiten und Ausschluss zirkulärer Begriffsbildungen</w:t>
      </w:r>
    </w:p>
    <w:p w:rsidR="00C3404B" w:rsidRDefault="00C3404B" w:rsidP="00C3404B">
      <w:pPr>
        <w:pStyle w:val="berschrift3"/>
      </w:pPr>
      <w:r>
        <w:t>Methodologische Betrachtungen</w:t>
      </w:r>
    </w:p>
    <w:p w:rsidR="00C3404B" w:rsidRDefault="00C3404B" w:rsidP="00C3404B">
      <w:pPr>
        <w:pStyle w:val="StandardWeb"/>
      </w:pPr>
      <w:r>
        <w:t>Eine formal typkorrekte Theorie kann dennoch zirkulär definiert sein. Wenn Definition A Definition B voraussetzt und Definition B wiederum A voraussetzt, ist möglicherweise kein unabhängiger Ausgangspunkt vorhanden. Abschnitt 3.3.23 prüft deshalb sämtliche bis dahin eingeführten FRZK-Definitionen auf direkte und transitive Abhängigkeiten und konstruiert daraus einen Definitionsabhängigkeitsgraphen. Der aktuelle vollständige Repository-Stand ist Version V2 und enthält Definition 3.3.15, Satz 3.3.5 sowie die Gleichungen (3.4717) bis (3.4824).</w:t>
      </w:r>
    </w:p>
    <w:p w:rsidR="00C3404B" w:rsidRDefault="00C3404B" w:rsidP="00C3404B">
      <w:pPr>
        <w:pStyle w:val="StandardWeb"/>
      </w:pPr>
      <w:r>
        <w:t>Die Menge der bis dahin betrachteten Definitionen lautet</w:t>
      </w:r>
    </w:p>
    <w:p w:rsidR="00C3404B" w:rsidRDefault="00C3404B" w:rsidP="00C3404B">
      <w:pPr>
        <w:pStyle w:val="berschrift1"/>
      </w:pPr>
      <w:r>
        <w:t>[</w:t>
      </w:r>
      <w:r>
        <w:br/>
        <w:t>\mathcal{D}_{F}</w:t>
      </w:r>
    </w:p>
    <w:p w:rsidR="00C3404B" w:rsidRDefault="00C3404B" w:rsidP="00C3404B">
      <w:pPr>
        <w:pStyle w:val="StandardWeb"/>
      </w:pPr>
      <w:r>
        <w:t>\left{</w:t>
      </w:r>
      <w:r>
        <w:br/>
        <w:t>D_1,</w:t>
      </w:r>
      <w:r>
        <w:br/>
        <w:t>D_2,</w:t>
      </w:r>
      <w:r>
        <w:br/>
        <w:t>\ldots,</w:t>
      </w:r>
      <w:r>
        <w:br/>
        <w:t>D_{14}</w:t>
      </w:r>
      <w:r>
        <w:br/>
        <w:t>\right}.</w:t>
      </w:r>
      <w:r>
        <w:br/>
        <w:t>\tag{3.4717}</w:t>
      </w:r>
      <w:r>
        <w:br/>
        <w:t>]</w:t>
      </w:r>
    </w:p>
    <w:p w:rsidR="00C3404B" w:rsidRDefault="00C3404B" w:rsidP="00C3404B">
      <w:pPr>
        <w:pStyle w:val="StandardWeb"/>
      </w:pPr>
      <w:r>
        <w:rPr>
          <w:rStyle w:val="Fett"/>
        </w:rPr>
        <w:t>Word-LaTeX</w:t>
      </w:r>
    </w:p>
    <w:p w:rsidR="00C3404B" w:rsidRDefault="00C3404B" w:rsidP="00C3404B">
      <w:pPr>
        <w:pStyle w:val="HTMLVorformatiert"/>
        <w:rPr>
          <w:rStyle w:val="HTMLCode"/>
        </w:rPr>
      </w:pPr>
      <w:r>
        <w:rPr>
          <w:rStyle w:val="HTMLCode"/>
        </w:rPr>
        <w:t>\mathcal{D}_{F}=\left\{D_1,D_2,\ldots,D_{14}\right\}\qquad\text{(3.4717)}</w:t>
      </w:r>
    </w:p>
    <w:p w:rsidR="00C3404B" w:rsidRDefault="00C3404B" w:rsidP="00C3404B">
      <w:pPr>
        <w:pStyle w:val="StandardWeb"/>
      </w:pPr>
      <w:r>
        <w:t>Die Kurzbezeichnung wird mit der jeweiligen Abschnittsdefinition verbunden:</w:t>
      </w:r>
    </w:p>
    <w:p w:rsidR="00C3404B" w:rsidRDefault="00C3404B" w:rsidP="00C3404B">
      <w:pPr>
        <w:pStyle w:val="StandardWeb"/>
      </w:pPr>
      <w:r>
        <w:t>[</w:t>
      </w:r>
      <w:r>
        <w:br/>
        <w:t>D_i</w:t>
      </w:r>
      <w:r>
        <w:br/>
        <w:t>\widehat{=}</w:t>
      </w:r>
      <w:r>
        <w:br/>
        <w:t>\operatorname{Def}</w:t>
      </w:r>
      <w:r>
        <w:br/>
        <w:t>\left(</w:t>
      </w:r>
      <w:r>
        <w:br/>
        <w:t>3.3.i</w:t>
      </w:r>
      <w:r>
        <w:br/>
        <w:t>\right).</w:t>
      </w:r>
      <w:r>
        <w:br/>
      </w:r>
      <w:r>
        <w:lastRenderedPageBreak/>
        <w:t>\tag{3.4718}</w:t>
      </w:r>
      <w:r>
        <w:br/>
        <w:t>]</w:t>
      </w:r>
    </w:p>
    <w:p w:rsidR="00C3404B" w:rsidRDefault="00C3404B" w:rsidP="00C3404B">
      <w:pPr>
        <w:pStyle w:val="StandardWeb"/>
      </w:pPr>
      <w:r>
        <w:rPr>
          <w:rStyle w:val="Fett"/>
        </w:rPr>
        <w:t>Word-LaTeX</w:t>
      </w:r>
    </w:p>
    <w:p w:rsidR="00C3404B" w:rsidRDefault="00C3404B" w:rsidP="00C3404B">
      <w:pPr>
        <w:pStyle w:val="HTMLVorformatiert"/>
        <w:rPr>
          <w:rStyle w:val="HTMLCode"/>
        </w:rPr>
      </w:pPr>
      <w:r>
        <w:rPr>
          <w:rStyle w:val="HTMLCode"/>
        </w:rPr>
        <w:t>D_i\widehat{=}\operatorname{Def}(3.3.i)\qquad\text{(3.4718)}</w:t>
      </w:r>
    </w:p>
    <w:p w:rsidR="00C3404B" w:rsidRDefault="00C3404B" w:rsidP="00C3404B">
      <w:pPr>
        <w:pStyle w:val="StandardWeb"/>
      </w:pPr>
      <w:r>
        <w:t>Der Definitionsabhängigkeitsgraph lautet</w:t>
      </w:r>
    </w:p>
    <w:p w:rsidR="00C3404B" w:rsidRDefault="00C3404B" w:rsidP="00C3404B">
      <w:pPr>
        <w:pStyle w:val="berschrift1"/>
      </w:pPr>
      <w:r>
        <w:t>[</w:t>
      </w:r>
      <w:r>
        <w:br/>
        <w:t>\mathfrak{G}_{D}</w:t>
      </w:r>
    </w:p>
    <w:p w:rsidR="00C3404B" w:rsidRDefault="00C3404B" w:rsidP="00C3404B">
      <w:pPr>
        <w:pStyle w:val="StandardWeb"/>
      </w:pPr>
      <w:r>
        <w:t>\left(</w:t>
      </w:r>
      <w:r>
        <w:br/>
        <w:t>\mathcal{D}</w:t>
      </w:r>
      <w:r>
        <w:rPr>
          <w:rStyle w:val="Hervorhebung"/>
        </w:rPr>
        <w:t>{F},</w:t>
      </w:r>
      <w:r>
        <w:rPr>
          <w:i/>
          <w:iCs/>
        </w:rPr>
        <w:br/>
      </w:r>
      <w:r>
        <w:rPr>
          <w:rStyle w:val="Hervorhebung"/>
        </w:rPr>
        <w:t>\mathcal{R}</w:t>
      </w:r>
      <w:r>
        <w:t>{D}</w:t>
      </w:r>
      <w:r>
        <w:br/>
        <w:t>\right).</w:t>
      </w:r>
      <w:r>
        <w:br/>
        <w:t>]</w:t>
      </w:r>
    </w:p>
    <w:p w:rsidR="00C3404B" w:rsidRDefault="00C3404B" w:rsidP="00C3404B">
      <w:pPr>
        <w:pStyle w:val="StandardWeb"/>
      </w:pPr>
      <w:r>
        <w:rPr>
          <w:rStyle w:val="Fett"/>
        </w:rPr>
        <w:t>Word-LaTeX</w:t>
      </w:r>
    </w:p>
    <w:p w:rsidR="00C3404B" w:rsidRDefault="00C3404B" w:rsidP="00C3404B">
      <w:pPr>
        <w:pStyle w:val="HTMLVorformatiert"/>
        <w:rPr>
          <w:rStyle w:val="HTMLCode"/>
        </w:rPr>
      </w:pPr>
      <w:r>
        <w:rPr>
          <w:rStyle w:val="HTMLCode"/>
        </w:rPr>
        <w:t>\mathfrak{G}_{D}=\left(\mathcal{D}_{F},\mathcal{R}_{D}\right)</w:t>
      </w:r>
    </w:p>
    <w:p w:rsidR="00C3404B" w:rsidRDefault="00C3404B" w:rsidP="00C3404B">
      <w:pPr>
        <w:pStyle w:val="StandardWeb"/>
      </w:pPr>
      <w:r>
        <w:t xml:space="preserve">Eine Kante in diesem Graphen bedeutet, dass eine Definition eine andere </w:t>
      </w:r>
      <w:r>
        <w:rPr>
          <w:rStyle w:val="Fett"/>
        </w:rPr>
        <w:t>notwendig</w:t>
      </w:r>
      <w:r>
        <w:t xml:space="preserve"> voraussetzt. Diese Einschränkung ist methodologisch entscheidend. Nicht jede thematische Nähe und nicht jede interpretative Verbindung darf zu einer logischen Abhängigkeitskante gemacht werden. Der Repository-Stand unterscheidet ausdrücklich notwendige, optionale und interpretative Beziehungen; nur notwendige Abhängigkeiten gehören in den eigentlichen Definitionsgraphen.</w:t>
      </w:r>
    </w:p>
    <w:p w:rsidR="00C3404B" w:rsidRDefault="00C3404B" w:rsidP="00C3404B">
      <w:pPr>
        <w:pStyle w:val="StandardWeb"/>
      </w:pPr>
      <w:r>
        <w:t>Diese Unterscheidung verhindert eine künstliche Übervernetzung der Theorie. Beispielsweise kann eine Definition für die spätere physikalische Interpretation einer anderen Definition interessant sein, ohne dass sie für deren mathematische Formulierung erforderlich ist.</w:t>
      </w:r>
    </w:p>
    <w:p w:rsidR="00C3404B" w:rsidRDefault="00C3404B" w:rsidP="00C3404B">
      <w:pPr>
        <w:pStyle w:val="StandardWeb"/>
      </w:pPr>
      <w:r>
        <w:t xml:space="preserve">Der Graph erlaubt anschließend die Untersuchung </w:t>
      </w:r>
      <w:r>
        <w:rPr>
          <w:rStyle w:val="Fett"/>
        </w:rPr>
        <w:t>transitiver Abhängigkeiten</w:t>
      </w:r>
      <w:r>
        <w:t>. Wenn (D_3) von (D_2) abhängt und (D_2) von (D_1), dann hängt (D_3) mittelbar ebenfalls von (D_1) ab.</w:t>
      </w:r>
    </w:p>
    <w:p w:rsidR="00C3404B" w:rsidRDefault="00C3404B" w:rsidP="00C3404B">
      <w:pPr>
        <w:pStyle w:val="StandardWeb"/>
      </w:pPr>
      <w:r>
        <w:t>Dadurch wird die Entstehungsgeschichte eines Begriffs formal rekonstruierbar.</w:t>
      </w:r>
    </w:p>
    <w:p w:rsidR="00C3404B" w:rsidRDefault="00C3404B" w:rsidP="00C3404B">
      <w:pPr>
        <w:pStyle w:val="StandardWeb"/>
      </w:pPr>
      <w:r>
        <w:t>Besonders wichtig ist die Suche nach Zyklen. Ein Zyklus hätte beispielsweise die Struktur</w:t>
      </w:r>
    </w:p>
    <w:p w:rsidR="00C3404B" w:rsidRDefault="00C3404B" w:rsidP="00C3404B">
      <w:pPr>
        <w:pStyle w:val="StandardWeb"/>
      </w:pPr>
      <w:r>
        <w:t>[</w:t>
      </w:r>
      <w:r>
        <w:br/>
        <w:t>D_i</w:t>
      </w:r>
      <w:r>
        <w:br/>
        <w:t>\rightarrow</w:t>
      </w:r>
      <w:r>
        <w:br/>
        <w:t>D_j</w:t>
      </w:r>
      <w:r>
        <w:br/>
        <w:t>\rightarrow</w:t>
      </w:r>
      <w:r>
        <w:br/>
        <w:t>D_k</w:t>
      </w:r>
      <w:r>
        <w:br/>
        <w:t>\rightarrow</w:t>
      </w:r>
      <w:r>
        <w:br/>
        <w:t>D_i.</w:t>
      </w:r>
      <w:r>
        <w:br/>
        <w:t>]</w:t>
      </w:r>
    </w:p>
    <w:p w:rsidR="00C3404B" w:rsidRDefault="00C3404B" w:rsidP="00C3404B">
      <w:pPr>
        <w:pStyle w:val="StandardWeb"/>
      </w:pPr>
      <w:r>
        <w:rPr>
          <w:rStyle w:val="Fett"/>
        </w:rPr>
        <w:lastRenderedPageBreak/>
        <w:t>Word-LaTeX</w:t>
      </w:r>
    </w:p>
    <w:p w:rsidR="00C3404B" w:rsidRDefault="00C3404B" w:rsidP="00C3404B">
      <w:pPr>
        <w:pStyle w:val="HTMLVorformatiert"/>
        <w:rPr>
          <w:rStyle w:val="HTMLCode"/>
        </w:rPr>
      </w:pPr>
      <w:r>
        <w:rPr>
          <w:rStyle w:val="HTMLCode"/>
        </w:rPr>
        <w:t>D_i\rightarrow D_j\rightarrow D_k\rightarrow D_i</w:t>
      </w:r>
    </w:p>
    <w:p w:rsidR="00C3404B" w:rsidRDefault="00C3404B" w:rsidP="00C3404B">
      <w:pPr>
        <w:pStyle w:val="StandardWeb"/>
      </w:pPr>
      <w:r>
        <w:t>Ein solcher Zyklus ist nicht in jedem mathematischen Kontext automatisch verboten. Rekursive Definitionen können unter geeigneten Bedingungen durchaus zulässig sein. Für die hier aufgebaute elementare Definitionshierarchie wäre ein unbegründeter Zyklus jedoch problematisch, weil die betreffenden Begriffe sich gegenseitig voraussetzen würden, ohne dass ein unabhängiger Definitionsanfang sichtbar wäre.</w:t>
      </w:r>
    </w:p>
    <w:p w:rsidR="00C3404B" w:rsidRDefault="00C3404B" w:rsidP="00C3404B">
      <w:pPr>
        <w:pStyle w:val="StandardWeb"/>
      </w:pPr>
      <w:r>
        <w:t>Deshalb wird zusätzlich eine topologische Ordnung untersucht. Für einen azyklischen gerichteten Graphen kann eine Reihenfolge der Definitionen angegeben werden, in der jede Definition erst nach ihren Voraussetzungen erscheint.</w:t>
      </w:r>
    </w:p>
    <w:p w:rsidR="00C3404B" w:rsidRDefault="00C3404B" w:rsidP="00C3404B">
      <w:pPr>
        <w:pStyle w:val="StandardWeb"/>
      </w:pPr>
      <w:r>
        <w:t>Diese topologische Ordnung besitzt einen unmittelbaren wissenschaftlichen Nutzen: Sie erlaubt die Prüfung, ob die Reihenfolge im Manuskript tatsächlich der logischen Reihenfolge entspricht.</w:t>
      </w:r>
    </w:p>
    <w:p w:rsidR="00C3404B" w:rsidRDefault="00C3404B" w:rsidP="00C3404B">
      <w:pPr>
        <w:pStyle w:val="StandardWeb"/>
      </w:pPr>
      <w:r>
        <w:t>Auch die Definitionshöhe ist methodisch interessant. Sie macht sichtbar, wie viele Ableitungsebenen zwischen einer Definition und den elementaren Ausgangsstrukturen liegen. Damit kann später untersucht werden, welche Begriffe besonders tief in der Definitionshierarchie eingebettet sind und deshalb bei Änderungen früherer Begriffe besonders viele Folgeänderungen verursachen.</w:t>
      </w:r>
    </w:p>
    <w:p w:rsidR="00C3404B" w:rsidRDefault="00C3404B" w:rsidP="00C3404B">
      <w:pPr>
        <w:pStyle w:val="StandardWeb"/>
      </w:pPr>
      <w:r>
        <w:t xml:space="preserve">Abschnitt 3.3.23 verwandelt die Begriffsentwicklung somit von einer linearen Textfolge in eine explizite </w:t>
      </w:r>
      <w:r>
        <w:rPr>
          <w:rStyle w:val="Fett"/>
        </w:rPr>
        <w:t>Abhängigkeitsarchitektur</w:t>
      </w:r>
      <w:r>
        <w:t>.</w:t>
      </w:r>
    </w:p>
    <w:p w:rsidR="00C3404B" w:rsidRDefault="00C3404B" w:rsidP="00C3404B">
      <w:pPr>
        <w:pStyle w:val="berschrift3"/>
      </w:pPr>
      <w:r>
        <w:t>Didaktische Betrachtungen</w:t>
      </w:r>
    </w:p>
    <w:p w:rsidR="00C3404B" w:rsidRDefault="00C3404B" w:rsidP="00C3404B">
      <w:pPr>
        <w:pStyle w:val="StandardWeb"/>
      </w:pPr>
      <w:r>
        <w:t>Definitionsabhängigkeiten lassen sich mit einem Kochrezept erklären.</w:t>
      </w:r>
    </w:p>
    <w:p w:rsidR="00C3404B" w:rsidRDefault="00C3404B" w:rsidP="00C3404B">
      <w:pPr>
        <w:pStyle w:val="StandardWeb"/>
      </w:pPr>
      <w:r>
        <w:t>Angenommen, ich definiere:</w:t>
      </w:r>
    </w:p>
    <w:p w:rsidR="00C3404B" w:rsidRDefault="00C3404B" w:rsidP="00C3404B">
      <w:pPr>
        <w:pStyle w:val="StandardWeb"/>
      </w:pPr>
      <w:r>
        <w:rPr>
          <w:rStyle w:val="Fett"/>
        </w:rPr>
        <w:t>Teig</w:t>
      </w:r>
      <w:r>
        <w:t xml:space="preserve"> benötigt Mehl und Wasser.</w:t>
      </w:r>
    </w:p>
    <w:p w:rsidR="00C3404B" w:rsidRDefault="00C3404B" w:rsidP="00C3404B">
      <w:pPr>
        <w:pStyle w:val="StandardWeb"/>
      </w:pPr>
      <w:r>
        <w:rPr>
          <w:rStyle w:val="Fett"/>
        </w:rPr>
        <w:t>Pizza</w:t>
      </w:r>
      <w:r>
        <w:t xml:space="preserve"> benötigt Teig.</w:t>
      </w:r>
    </w:p>
    <w:p w:rsidR="00C3404B" w:rsidRDefault="00C3404B" w:rsidP="00C3404B">
      <w:pPr>
        <w:pStyle w:val="StandardWeb"/>
      </w:pPr>
      <w:r>
        <w:rPr>
          <w:rStyle w:val="Fett"/>
        </w:rPr>
        <w:t>Pizzastück</w:t>
      </w:r>
      <w:r>
        <w:t xml:space="preserve"> benötigt Pizza.</w:t>
      </w:r>
    </w:p>
    <w:p w:rsidR="00C3404B" w:rsidRDefault="00C3404B" w:rsidP="00C3404B">
      <w:pPr>
        <w:pStyle w:val="StandardWeb"/>
      </w:pPr>
      <w:r>
        <w:t>Dann entsteht die Kette</w:t>
      </w:r>
    </w:p>
    <w:p w:rsidR="00C3404B" w:rsidRDefault="00C3404B" w:rsidP="00C3404B">
      <w:pPr>
        <w:pStyle w:val="StandardWeb"/>
      </w:pPr>
      <w:r>
        <w:t>[</w:t>
      </w:r>
      <w:r>
        <w:br/>
        <w:t>\text{Mehl/Wasser}</w:t>
      </w:r>
      <w:r>
        <w:br/>
        <w:t>\rightarrow</w:t>
      </w:r>
      <w:r>
        <w:br/>
        <w:t>\text{Teig}</w:t>
      </w:r>
      <w:r>
        <w:br/>
        <w:t>\rightarrow</w:t>
      </w:r>
      <w:r>
        <w:br/>
        <w:t>\text{Pizza}</w:t>
      </w:r>
      <w:r>
        <w:br/>
        <w:t>\rightarrow</w:t>
      </w:r>
      <w:r>
        <w:br/>
        <w:t>\text{Pizzastück}.</w:t>
      </w:r>
      <w:r>
        <w:br/>
        <w:t>]</w:t>
      </w:r>
    </w:p>
    <w:p w:rsidR="00C3404B" w:rsidRDefault="00C3404B" w:rsidP="00C3404B">
      <w:pPr>
        <w:pStyle w:val="StandardWeb"/>
      </w:pPr>
      <w:r>
        <w:lastRenderedPageBreak/>
        <w:t>Wenn ich wissen möchte, wovon ein Pizzastück letztlich abhängt, kann ich die Kette rückwärts verfolgen.</w:t>
      </w:r>
    </w:p>
    <w:p w:rsidR="00C3404B" w:rsidRDefault="00C3404B" w:rsidP="00C3404B">
      <w:pPr>
        <w:pStyle w:val="StandardWeb"/>
      </w:pPr>
      <w:r>
        <w:t>Problematisch wäre dagegen:</w:t>
      </w:r>
    </w:p>
    <w:p w:rsidR="00C3404B" w:rsidRDefault="00C3404B" w:rsidP="00C3404B">
      <w:pPr>
        <w:pStyle w:val="StandardWeb"/>
      </w:pPr>
      <w:r>
        <w:rPr>
          <w:rStyle w:val="Fett"/>
        </w:rPr>
        <w:t>Teig wird durch Pizza definiert.</w:t>
      </w:r>
    </w:p>
    <w:p w:rsidR="00C3404B" w:rsidRDefault="00C3404B" w:rsidP="00C3404B">
      <w:pPr>
        <w:pStyle w:val="StandardWeb"/>
      </w:pPr>
      <w:r>
        <w:t>und gleichzeitig</w:t>
      </w:r>
    </w:p>
    <w:p w:rsidR="00C3404B" w:rsidRDefault="00C3404B" w:rsidP="00C3404B">
      <w:pPr>
        <w:pStyle w:val="StandardWeb"/>
      </w:pPr>
      <w:r>
        <w:rPr>
          <w:rStyle w:val="Fett"/>
        </w:rPr>
        <w:t>Pizza wird durch Teig definiert.</w:t>
      </w:r>
    </w:p>
    <w:p w:rsidR="00C3404B" w:rsidRDefault="00C3404B" w:rsidP="00C3404B">
      <w:pPr>
        <w:pStyle w:val="StandardWeb"/>
      </w:pPr>
      <w:r>
        <w:t>Dann dreht sich die Erklärung im Kreis.</w:t>
      </w:r>
    </w:p>
    <w:p w:rsidR="00C3404B" w:rsidRDefault="00C3404B" w:rsidP="00C3404B">
      <w:pPr>
        <w:pStyle w:val="StandardWeb"/>
      </w:pPr>
      <w:r>
        <w:t>Genau dafür ist der Definitionsgraph gedacht.</w:t>
      </w:r>
    </w:p>
    <w:p w:rsidR="00C3404B" w:rsidRDefault="00C3404B" w:rsidP="00C3404B">
      <w:pPr>
        <w:pStyle w:val="StandardWeb"/>
      </w:pPr>
      <w:r>
        <w:t xml:space="preserve">Didaktisch hilft außerdem die Unterscheidung zwischen </w:t>
      </w:r>
      <w:r>
        <w:rPr>
          <w:rStyle w:val="Fett"/>
        </w:rPr>
        <w:t>notwendig</w:t>
      </w:r>
      <w:r>
        <w:t xml:space="preserve"> und </w:t>
      </w:r>
      <w:r>
        <w:rPr>
          <w:rStyle w:val="Fett"/>
        </w:rPr>
        <w:t>nur interessant</w:t>
      </w:r>
      <w:r>
        <w:t>.</w:t>
      </w:r>
    </w:p>
    <w:p w:rsidR="00C3404B" w:rsidRDefault="00C3404B" w:rsidP="00C3404B">
      <w:pPr>
        <w:pStyle w:val="StandardWeb"/>
      </w:pPr>
      <w:r>
        <w:t>Ein Auto benötigt einen Motor möglicherweise für eine bestimmte technische Definition. Die Farbe des Autos kann für eine Illustration interessant sein, ist aber keine notwendige Definitionsvoraussetzung.</w:t>
      </w:r>
    </w:p>
    <w:p w:rsidR="00C3404B" w:rsidRDefault="00C3404B" w:rsidP="00C3404B">
      <w:pPr>
        <w:pStyle w:val="StandardWeb"/>
      </w:pPr>
      <w:r>
        <w:t>Ebenso darf im FRZK nicht jede inhaltliche Verbindung als logische Definitionabhängigkeit behandelt werden.</w:t>
      </w:r>
    </w:p>
    <w:p w:rsidR="00C3404B" w:rsidRDefault="00C3404B" w:rsidP="00C3404B">
      <w:pPr>
        <w:pStyle w:val="StandardWeb"/>
      </w:pPr>
      <w:r>
        <w:t>Der Graph beantwortet daher zwei einfache Fragen:</w:t>
      </w:r>
    </w:p>
    <w:p w:rsidR="00C3404B" w:rsidRDefault="00C3404B" w:rsidP="00C3404B">
      <w:pPr>
        <w:pStyle w:val="StandardWeb"/>
      </w:pPr>
      <w:r>
        <w:rPr>
          <w:rStyle w:val="Fett"/>
        </w:rPr>
        <w:t>Was muss ich bereits verstanden haben, bevor ich diesen Begriff definieren kann?</w:t>
      </w:r>
    </w:p>
    <w:p w:rsidR="00C3404B" w:rsidRDefault="00C3404B" w:rsidP="00C3404B">
      <w:pPr>
        <w:pStyle w:val="StandardWeb"/>
      </w:pPr>
      <w:r>
        <w:t>und</w:t>
      </w:r>
    </w:p>
    <w:p w:rsidR="00C3404B" w:rsidRDefault="00C3404B" w:rsidP="00C3404B">
      <w:pPr>
        <w:pStyle w:val="StandardWeb"/>
      </w:pPr>
      <w:r>
        <w:rPr>
          <w:rStyle w:val="Fett"/>
        </w:rPr>
        <w:t>Kann ich die Kette irgendwann zu einem echten Ausgangspunkt zurückverfolgen?</w:t>
      </w:r>
    </w:p>
    <w:p w:rsidR="00C3404B" w:rsidRDefault="00C3404B" w:rsidP="00C3404B">
      <w:pPr>
        <w:pStyle w:val="StandardWeb"/>
      </w:pPr>
      <w:r>
        <w:t>Wenn beides sauber beantwortet werden kann, wird die Theorie erheblich leichter nachvollziehbar.</w:t>
      </w:r>
    </w:p>
    <w:p w:rsidR="00C3404B" w:rsidRDefault="00E50336" w:rsidP="00C3404B">
      <w:r>
        <w:pict>
          <v:rect id="_x0000_i1049" style="width:0;height:1.5pt" o:hralign="center" o:hrstd="t" o:hr="t" fillcolor="#a0a0a0" stroked="f"/>
        </w:pict>
      </w:r>
    </w:p>
    <w:p w:rsidR="003736B0" w:rsidRPr="00AF32B2" w:rsidRDefault="003736B0" w:rsidP="00AF32B2">
      <w:pPr>
        <w:pStyle w:val="berschrift3"/>
      </w:pPr>
      <w:r w:rsidRPr="00AF32B2">
        <w:t>3.3.24 Prüfung der Ableitungs- und Beweisabhängigkeiten</w:t>
      </w:r>
    </w:p>
    <w:p w:rsidR="003736B0" w:rsidRDefault="003736B0" w:rsidP="003736B0">
      <w:pPr>
        <w:pStyle w:val="StandardWeb"/>
      </w:pPr>
      <w:r>
        <w:t>Die Definitionsabhängigkeitsprüfung in Abschnitt 3.3.23 hat gezeigt, dass die bisherigen FRZK-Begriffe in einer gerichteten, azyklischen und wohlfundierten Reihenfolge aufgebaut sind. Diese Prüfung erfasst jedoch noch nicht die vollständige wissenschaftliche Argumentationsstruktur. Neben Definitionen enthält das Funktionale Raum-Zeit-Kohärenzsystem Primäraxiome, Gleichungen, Modellkonstruktionen, Sätze und Beweise. Für jedes dieser Objekte muss nachvollziehbar sein, auf welchen bereits eingeführten Voraussetzungen es beruht [6, 71, 79].</w:t>
      </w:r>
    </w:p>
    <w:p w:rsidR="003736B0" w:rsidRDefault="003736B0" w:rsidP="003736B0">
      <w:pPr>
        <w:pStyle w:val="StandardWeb"/>
      </w:pPr>
      <w:r>
        <w:t xml:space="preserve">Ein Satz kann typologisch korrekt formuliert und auf zirkularitätsfrei definierten Begriffen aufgebaut sein, obwohl sein Beweis eine noch nicht begründete Aussage verwendet. Ebenso kann eine Gleichung im Manuskript früher erscheinen, aber logisch erst durch ein späteres </w:t>
      </w:r>
      <w:r>
        <w:lastRenderedPageBreak/>
        <w:t>Ergebnis abgesichert werden. Die bloße Reihenfolge im Text genügt deshalb nicht als Nachweis einer gültigen Ableitungsstruktur [6, 79].</w:t>
      </w:r>
    </w:p>
    <w:p w:rsidR="003736B0" w:rsidRDefault="003736B0" w:rsidP="003736B0">
      <w:pPr>
        <w:pStyle w:val="StandardWeb"/>
      </w:pPr>
      <w:r>
        <w:t>Ich erweitere den Definitionsabhängigkeitsgraphen daher zu einem wissenschaftlichen Ableitungsgraphen. Dieser erfasst nicht nur begriffliche Voraussetzungen, sondern auch die Abhängigkeiten zwischen Axiomen, Definitionen, Gleichungen, Modellen, Sätzen und Beweisen.</w:t>
      </w:r>
    </w:p>
    <w:p w:rsidR="003736B0" w:rsidRDefault="003736B0" w:rsidP="003736B0">
      <w:pPr>
        <w:pStyle w:val="StandardWeb"/>
      </w:pPr>
      <w:r>
        <w:rPr>
          <w:rStyle w:val="Fett"/>
        </w:rPr>
        <w:t>Eigenleistung des FRZK</w:t>
      </w:r>
    </w:p>
    <w:p w:rsidR="003736B0" w:rsidRDefault="003736B0" w:rsidP="003736B0">
      <w:pPr>
        <w:pStyle w:val="StandardWeb"/>
      </w:pPr>
      <w:r>
        <w:t>Ich trenne die chronologische Reihenfolge des Manuskripts von der logischen Reihenfolge der Begründung. Eine wissenschaftliche Aussage gilt nur dann als vollständig abgesichert, wenn sämtliche für sie erforderlichen Voraussetzungen bereits axiomatisch gesetzt, definiert, konstruiert oder bewiesen wurden.</w:t>
      </w:r>
    </w:p>
    <w:p w:rsidR="003736B0" w:rsidRPr="00AF32B2" w:rsidRDefault="003736B0" w:rsidP="00AF32B2">
      <w:pPr>
        <w:pStyle w:val="berschrift4"/>
      </w:pPr>
      <w:r w:rsidRPr="00AF32B2">
        <w:t>3.3.24.1 Wissenschaftliche Objektklassen</w:t>
      </w:r>
    </w:p>
    <w:p w:rsidR="003736B0" w:rsidRDefault="003736B0" w:rsidP="003736B0">
      <w:pPr>
        <w:pStyle w:val="StandardWeb"/>
      </w:pPr>
      <w:r>
        <w:t>Die Menge der im Ableitungsgraphen erfassten wissenschaftlichen Objektklassen lautet</w:t>
      </w:r>
    </w:p>
    <w:p w:rsidR="003736B0" w:rsidRDefault="003736B0" w:rsidP="003736B0">
      <w:pPr>
        <w:pStyle w:val="berschrift1"/>
      </w:pPr>
      <w:r>
        <w:t>[</w:t>
      </w:r>
      <w:r>
        <w:br/>
        <w:t>\mathfrak{K}_{A}</w:t>
      </w:r>
    </w:p>
    <w:p w:rsidR="003736B0" w:rsidRDefault="003736B0" w:rsidP="003736B0">
      <w:pPr>
        <w:pStyle w:val="StandardWeb"/>
      </w:pPr>
      <w:r>
        <w:t>\left{</w:t>
      </w:r>
      <w:r>
        <w:br/>
        <w:t>\mathbf{Axiom},</w:t>
      </w:r>
      <w:r>
        <w:br/>
        <w:t>\mathbf{Definition},</w:t>
      </w:r>
      <w:r>
        <w:br/>
        <w:t>\mathbf{Equation},</w:t>
      </w:r>
      <w:r>
        <w:br/>
        <w:t>\mathbf{Model},</w:t>
      </w:r>
      <w:r>
        <w:br/>
        <w:t>\mathbf{Lemma},</w:t>
      </w:r>
      <w:r>
        <w:br/>
        <w:t>\mathbf{Theorem},</w:t>
      </w:r>
      <w:r>
        <w:br/>
        <w:t>\mathbf{Corollary},</w:t>
      </w:r>
      <w:r>
        <w:br/>
        <w:t>\mathbf{Proof}</w:t>
      </w:r>
      <w:r>
        <w:br/>
        <w:t>\right}.</w:t>
      </w:r>
      <w:r>
        <w:br/>
        <w:t>\tag{3.4825}</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\mathfrak{K}_{A}=\left\{\mathbf{Axiom},\mathbf{Definition},\mathbf{Equation},\mathbf{Model},\mathbf{Lemma},\mathbf{Theorem},\mathbf{Corollary},\mathbf{Proof}\right\}\qquad\text{(3.4825)}</w:t>
      </w:r>
    </w:p>
    <w:p w:rsidR="003736B0" w:rsidRDefault="003736B0" w:rsidP="003736B0">
      <w:pPr>
        <w:pStyle w:val="StandardWeb"/>
      </w:pPr>
      <w:r>
        <w:t>Die Gesamtheit aller bis zum jeweiligen Bearbeitungsstand registrierten wissenschaftlichen Objekte bezeichne ich mit</w:t>
      </w:r>
    </w:p>
    <w:p w:rsidR="003736B0" w:rsidRDefault="003736B0" w:rsidP="003736B0">
      <w:pPr>
        <w:pStyle w:val="StandardWeb"/>
      </w:pPr>
      <w:r>
        <w:t>[</w:t>
      </w:r>
      <w:r>
        <w:br/>
        <w:t>\mathfrak{U}_{A}.</w:t>
      </w:r>
      <w:r>
        <w:br/>
        <w:t>\tag{3.4826}</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lastRenderedPageBreak/>
        <w:t>\mathfrak{U}_{A}\qquad\text{(3.4826)}</w:t>
      </w:r>
    </w:p>
    <w:p w:rsidR="003736B0" w:rsidRDefault="003736B0" w:rsidP="003736B0">
      <w:pPr>
        <w:pStyle w:val="StandardWeb"/>
      </w:pPr>
      <w:r>
        <w:t>Jedem Objekt (x\in\mathfrak{U}_{A}) wird eine wissenschaftliche Objektklasse zugeordnet:</w:t>
      </w:r>
    </w:p>
    <w:p w:rsidR="003736B0" w:rsidRDefault="003736B0" w:rsidP="003736B0">
      <w:pPr>
        <w:pStyle w:val="StandardWeb"/>
      </w:pPr>
      <w:r>
        <w:t>[</w:t>
      </w:r>
      <w:r>
        <w:br/>
        <w:t>\operatorname{Klasse}</w:t>
      </w:r>
      <w:r>
        <w:rPr>
          <w:rStyle w:val="Hervorhebung"/>
        </w:rPr>
        <w:t>{A}(x)</w:t>
      </w:r>
      <w:r>
        <w:rPr>
          <w:i/>
          <w:iCs/>
        </w:rPr>
        <w:br/>
      </w:r>
      <w:r>
        <w:rPr>
          <w:rStyle w:val="Hervorhebung"/>
        </w:rPr>
        <w:t>\in</w:t>
      </w:r>
      <w:r>
        <w:rPr>
          <w:i/>
          <w:iCs/>
        </w:rPr>
        <w:br/>
      </w:r>
      <w:r>
        <w:rPr>
          <w:rStyle w:val="Hervorhebung"/>
        </w:rPr>
        <w:t>\mathfrak{K}</w:t>
      </w:r>
      <w:r>
        <w:t>{A}.</w:t>
      </w:r>
      <w:r>
        <w:br/>
        <w:t>\tag{3.4827}</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\operatorname{Klasse}_{A}(x)\in\mathfrak{K}_{A}\qquad\text{(3.4827)}</w:t>
      </w:r>
    </w:p>
    <w:p w:rsidR="003736B0" w:rsidRDefault="003736B0" w:rsidP="003736B0">
      <w:pPr>
        <w:pStyle w:val="StandardWeb"/>
      </w:pPr>
      <w:r>
        <w:t>Die Klassifikationsabbildung lautet</w:t>
      </w:r>
    </w:p>
    <w:p w:rsidR="003736B0" w:rsidRDefault="003736B0" w:rsidP="003736B0">
      <w:pPr>
        <w:pStyle w:val="StandardWeb"/>
      </w:pPr>
      <w:r>
        <w:t>[</w:t>
      </w:r>
      <w:r>
        <w:br/>
        <w:t>\operatorname{Klasse}</w:t>
      </w:r>
      <w:r>
        <w:rPr>
          <w:rStyle w:val="Hervorhebung"/>
        </w:rPr>
        <w:t>{A}:</w:t>
      </w:r>
      <w:r>
        <w:rPr>
          <w:i/>
          <w:iCs/>
        </w:rPr>
        <w:br/>
      </w:r>
      <w:r>
        <w:rPr>
          <w:rStyle w:val="Hervorhebung"/>
        </w:rPr>
        <w:t>\mathfrak{U}</w:t>
      </w:r>
      <w:r>
        <w:t>{A}</w:t>
      </w:r>
      <w:r>
        <w:br/>
        <w:t>\rightarrow</w:t>
      </w:r>
      <w:r>
        <w:br/>
        <w:t>\mathfrak{K}_{A}.</w:t>
      </w:r>
      <w:r>
        <w:br/>
        <w:t>\tag{3.4828}</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\operatorname{Klasse}_{A}:\mathfrak{U}_{A}\rightarrow\mathfrak{K}_{A}\qquad\text{(3.4828)}</w:t>
      </w:r>
    </w:p>
    <w:p w:rsidR="003736B0" w:rsidRDefault="003736B0" w:rsidP="003736B0">
      <w:pPr>
        <w:pStyle w:val="StandardWeb"/>
      </w:pPr>
      <w:r>
        <w:t>Diese Klassifikation ergänzt die in Definition 3.3.14 eingeführte mathematische Typmatrix. Die Typmatrix unterscheidet mathematische Objekte wie Zustände, Relationen und Transformationen. Die vorliegende Klassifikation unterscheidet dagegen die wissenschaftliche Funktion eines Repository-Objekts innerhalb des Begründungszusammenhangs.</w:t>
      </w:r>
    </w:p>
    <w:p w:rsidR="003736B0" w:rsidRPr="00AF32B2" w:rsidRDefault="003736B0" w:rsidP="00AF32B2">
      <w:pPr>
        <w:pStyle w:val="berschrift4"/>
      </w:pPr>
      <w:r w:rsidRPr="00AF32B2">
        <w:t>3.3.24.2 Wissenschaftliche Ableitungsrelation</w:t>
      </w:r>
    </w:p>
    <w:p w:rsidR="003736B0" w:rsidRDefault="003736B0" w:rsidP="003736B0">
      <w:pPr>
        <w:pStyle w:val="StandardWeb"/>
      </w:pPr>
      <w:r>
        <w:t>Die wissenschaftliche Ableitungsrelation wird definiert durch</w:t>
      </w:r>
    </w:p>
    <w:p w:rsidR="003736B0" w:rsidRDefault="003736B0" w:rsidP="003736B0">
      <w:pPr>
        <w:pStyle w:val="StandardWeb"/>
      </w:pPr>
      <w:r>
        <w:t>[</w:t>
      </w:r>
      <w:r>
        <w:br/>
        <w:t>\mathcal{R}</w:t>
      </w:r>
      <w:r>
        <w:rPr>
          <w:rStyle w:val="Hervorhebung"/>
        </w:rPr>
        <w:t>{A}</w:t>
      </w:r>
      <w:r>
        <w:rPr>
          <w:i/>
          <w:iCs/>
        </w:rPr>
        <w:br/>
      </w:r>
      <w:r>
        <w:rPr>
          <w:rStyle w:val="Hervorhebung"/>
        </w:rPr>
        <w:t>\subseteq</w:t>
      </w:r>
      <w:r>
        <w:rPr>
          <w:i/>
          <w:iCs/>
        </w:rPr>
        <w:br/>
      </w:r>
      <w:r>
        <w:rPr>
          <w:rStyle w:val="Hervorhebung"/>
        </w:rPr>
        <w:t>\mathfrak{U}</w:t>
      </w:r>
      <w:r>
        <w:t>{A}</w:t>
      </w:r>
      <w:r>
        <w:br/>
        <w:t>\times</w:t>
      </w:r>
      <w:r>
        <w:br/>
        <w:t>\mathfrak{U}_{A}.</w:t>
      </w:r>
      <w:r>
        <w:br/>
        <w:t>\tag{3.4829}</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lastRenderedPageBreak/>
        <w:t>\mathcal{R}_{A}\subseteq\mathfrak{U}_{A}\times\mathfrak{U}_{A}\qquad\text{(3.4829)}</w:t>
      </w:r>
    </w:p>
    <w:p w:rsidR="003736B0" w:rsidRDefault="003736B0" w:rsidP="003736B0">
      <w:pPr>
        <w:pStyle w:val="StandardWeb"/>
      </w:pPr>
      <w:r>
        <w:t>Für zwei wissenschaftliche Objekte (x) und (y) gilt</w:t>
      </w:r>
    </w:p>
    <w:p w:rsidR="003736B0" w:rsidRDefault="003736B0" w:rsidP="003736B0">
      <w:pPr>
        <w:pStyle w:val="StandardWeb"/>
      </w:pPr>
      <w:r>
        <w:t>[</w:t>
      </w:r>
      <w:r>
        <w:br/>
        <w:t>(x,y)</w:t>
      </w:r>
      <w:r>
        <w:br/>
        <w:t>\in</w:t>
      </w:r>
      <w:r>
        <w:br/>
        <w:t>\mathcal{R}_{A},</w:t>
      </w:r>
      <w:r>
        <w:br/>
        <w:t>\tag{3.4830}</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(x,y)\in\mathcal{R}_{A}\qquad\text{(3.4830)}</w:t>
      </w:r>
    </w:p>
    <w:p w:rsidR="003736B0" w:rsidRDefault="003736B0" w:rsidP="003736B0">
      <w:pPr>
        <w:pStyle w:val="StandardWeb"/>
      </w:pPr>
      <w:r>
        <w:t>wenn (y) das Objekt (x) als notwendige begriffliche, formale, modellbezogene oder beweisbezogene Voraussetzung verwendet.</w:t>
      </w:r>
    </w:p>
    <w:p w:rsidR="003736B0" w:rsidRDefault="003736B0" w:rsidP="003736B0">
      <w:pPr>
        <w:pStyle w:val="StandardWeb"/>
      </w:pPr>
      <w:r>
        <w:t>Die gerichtete Schreibweise lautet</w:t>
      </w:r>
    </w:p>
    <w:p w:rsidR="003736B0" w:rsidRDefault="003736B0" w:rsidP="003736B0">
      <w:pPr>
        <w:pStyle w:val="StandardWeb"/>
      </w:pPr>
      <w:r>
        <w:t>[</w:t>
      </w:r>
      <w:r>
        <w:br/>
        <w:t>x</w:t>
      </w:r>
      <w:r>
        <w:br/>
        <w:t>\longrightarrow_{A}</w:t>
      </w:r>
      <w:r>
        <w:br/>
        <w:t>y.</w:t>
      </w:r>
      <w:r>
        <w:br/>
        <w:t>\tag{3.4831}</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x\longrightarrow_{A}y\qquad\text{(3.4831)}</w:t>
      </w:r>
    </w:p>
    <w:p w:rsidR="003736B0" w:rsidRDefault="003736B0" w:rsidP="003736B0">
      <w:pPr>
        <w:pStyle w:val="StandardWeb"/>
      </w:pPr>
      <w:r>
        <w:t>Der Index (A) kennzeichnet, dass es sich um eine wissenschaftliche Ableitungsabhängigkeit und nicht ausschließlich um eine Definitionsabhängigkeit handelt.</w:t>
      </w:r>
    </w:p>
    <w:p w:rsidR="003736B0" w:rsidRPr="00AF32B2" w:rsidRDefault="003736B0" w:rsidP="00AF32B2">
      <w:pPr>
        <w:pStyle w:val="berschrift4"/>
      </w:pPr>
      <w:r w:rsidRPr="00AF32B2">
        <w:t>3.3.24.3 Arten wissenschaftlicher Abhängigkeiten</w:t>
      </w:r>
    </w:p>
    <w:p w:rsidR="003736B0" w:rsidRDefault="003736B0" w:rsidP="003736B0">
      <w:pPr>
        <w:pStyle w:val="StandardWeb"/>
      </w:pPr>
      <w:r>
        <w:t>Die Abhängigkeiten werden nach ihrer wissenschaftlichen Funktion unterschieden:</w:t>
      </w:r>
    </w:p>
    <w:p w:rsidR="003736B0" w:rsidRDefault="003736B0" w:rsidP="003736B0">
      <w:pPr>
        <w:pStyle w:val="StandardWeb"/>
      </w:pPr>
      <w:r>
        <w:t>[</w:t>
      </w:r>
      <w:r>
        <w:br/>
        <w:t>\operatorname{Art}_{A}</w:t>
      </w:r>
      <w:r>
        <w:br/>
        <w:t>\in</w:t>
      </w:r>
      <w:r>
        <w:br/>
        <w:t>\left{</w:t>
      </w:r>
      <w:r>
        <w:br/>
        <w:t>\mathbf{uses},</w:t>
      </w:r>
      <w:r>
        <w:br/>
        <w:t>\mathbf{depends_on},</w:t>
      </w:r>
      <w:r>
        <w:br/>
        <w:t>\mathbf{derived_from},</w:t>
      </w:r>
      <w:r>
        <w:br/>
        <w:t>\mathbf{proves},</w:t>
      </w:r>
      <w:r>
        <w:br/>
        <w:t>\mathbf{supports},</w:t>
      </w:r>
      <w:r>
        <w:br/>
        <w:t>\mathbf{formalizes},</w:t>
      </w:r>
      <w:r>
        <w:br/>
        <w:t>\mathbf{constructs},</w:t>
      </w:r>
      <w:r>
        <w:br/>
        <w:t>\mathbf{restates}</w:t>
      </w:r>
      <w:r>
        <w:br/>
        <w:t>\right}.</w:t>
      </w:r>
      <w:r>
        <w:br/>
      </w:r>
      <w:r>
        <w:lastRenderedPageBreak/>
        <w:t>\tag{3.4832}</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\operatorname{Art}_{A}\in\left\{\mathbf{uses},\mathbf{depends\_on},\mathbf{derived\_from},\mathbf{proves},\mathbf{supports},\mathbf{formalizes},\mathbf{constructs},\mathbf{restates}\right\}\qquad\text{(3.4832)}</w:t>
      </w:r>
    </w:p>
    <w:p w:rsidR="003736B0" w:rsidRDefault="003736B0" w:rsidP="003736B0">
      <w:pPr>
        <w:pStyle w:val="StandardWeb"/>
      </w:pPr>
      <w:r>
        <w:t>Eine Abhängigkeit kann damit beispielsweise ausdrücken, dass:</w:t>
      </w:r>
    </w:p>
    <w:p w:rsidR="003736B0" w:rsidRDefault="003736B0" w:rsidP="00632D23">
      <w:pPr>
        <w:pStyle w:val="StandardWeb"/>
        <w:numPr>
          <w:ilvl w:val="0"/>
          <w:numId w:val="120"/>
        </w:numPr>
      </w:pPr>
      <w:r>
        <w:t>eine Gleichung eine Definition formalisiert,</w:t>
      </w:r>
    </w:p>
    <w:p w:rsidR="003736B0" w:rsidRDefault="003736B0" w:rsidP="00632D23">
      <w:pPr>
        <w:pStyle w:val="StandardWeb"/>
        <w:numPr>
          <w:ilvl w:val="0"/>
          <w:numId w:val="120"/>
        </w:numPr>
      </w:pPr>
      <w:r>
        <w:t>ein Modell eine Axiomenmenge erfüllt,</w:t>
      </w:r>
    </w:p>
    <w:p w:rsidR="003736B0" w:rsidRDefault="003736B0" w:rsidP="00632D23">
      <w:pPr>
        <w:pStyle w:val="StandardWeb"/>
        <w:numPr>
          <w:ilvl w:val="0"/>
          <w:numId w:val="120"/>
        </w:numPr>
      </w:pPr>
      <w:r>
        <w:t>ein Satz aus früheren Gleichungen abgeleitet wird,</w:t>
      </w:r>
    </w:p>
    <w:p w:rsidR="003736B0" w:rsidRDefault="003736B0" w:rsidP="00632D23">
      <w:pPr>
        <w:pStyle w:val="StandardWeb"/>
        <w:numPr>
          <w:ilvl w:val="0"/>
          <w:numId w:val="120"/>
        </w:numPr>
      </w:pPr>
      <w:r>
        <w:t>ein Beweis einen Satz begründet,</w:t>
      </w:r>
    </w:p>
    <w:p w:rsidR="003736B0" w:rsidRDefault="003736B0" w:rsidP="00632D23">
      <w:pPr>
        <w:pStyle w:val="StandardWeb"/>
        <w:numPr>
          <w:ilvl w:val="0"/>
          <w:numId w:val="120"/>
        </w:numPr>
      </w:pPr>
      <w:r>
        <w:t>ein späterer Satz einen früheren Satz verwendet,</w:t>
      </w:r>
    </w:p>
    <w:p w:rsidR="003736B0" w:rsidRDefault="003736B0" w:rsidP="00632D23">
      <w:pPr>
        <w:pStyle w:val="StandardWeb"/>
        <w:numPr>
          <w:ilvl w:val="0"/>
          <w:numId w:val="120"/>
        </w:numPr>
      </w:pPr>
      <w:r>
        <w:t>eine Folgerung ein früheres Ergebnis zusammenfasst.</w:t>
      </w:r>
    </w:p>
    <w:p w:rsidR="003736B0" w:rsidRDefault="003736B0" w:rsidP="003736B0">
      <w:pPr>
        <w:pStyle w:val="StandardWeb"/>
      </w:pPr>
      <w:r>
        <w:rPr>
          <w:rStyle w:val="Fett"/>
        </w:rPr>
        <w:t>Eigenleistung des FRZK</w:t>
      </w:r>
    </w:p>
    <w:p w:rsidR="003736B0" w:rsidRDefault="003736B0" w:rsidP="003736B0">
      <w:pPr>
        <w:pStyle w:val="StandardWeb"/>
      </w:pPr>
      <w:r>
        <w:t>Ich unterscheide die Art der Abhängigkeit ausdrücklich. Dadurch wird verhindert, dass eine bloße Verwendung einer Definition irrtümlich als logischer Beweis oder eine Modellkonstruktion als allgemeine Ableitung interpretiert wird.</w:t>
      </w:r>
    </w:p>
    <w:p w:rsidR="003736B0" w:rsidRPr="00AF32B2" w:rsidRDefault="003736B0" w:rsidP="00AF32B2">
      <w:pPr>
        <w:pStyle w:val="berschrift4"/>
      </w:pPr>
      <w:r w:rsidRPr="00AF32B2">
        <w:t>3.3.24.4 Definition des wissenschaftlichen Ableitungsgraphen</w:t>
      </w:r>
    </w:p>
    <w:p w:rsidR="003736B0" w:rsidRDefault="003736B0" w:rsidP="003736B0">
      <w:pPr>
        <w:pStyle w:val="StandardWeb"/>
      </w:pPr>
      <w:r>
        <w:rPr>
          <w:rStyle w:val="Fett"/>
        </w:rPr>
        <w:t>Definition 3.3.16 – Wissenschaftlicher FRZK-Ableitungsgraph</w:t>
      </w:r>
    </w:p>
    <w:p w:rsidR="003736B0" w:rsidRDefault="003736B0" w:rsidP="003736B0">
      <w:pPr>
        <w:pStyle w:val="StandardWeb"/>
      </w:pPr>
      <w:r>
        <w:t>Der wissenschaftliche FRZK-Ableitungsgraph ist der gerichtete, kantenbeschriftete Graph</w:t>
      </w:r>
    </w:p>
    <w:p w:rsidR="003736B0" w:rsidRDefault="003736B0" w:rsidP="003736B0">
      <w:pPr>
        <w:pStyle w:val="berschrift1"/>
      </w:pPr>
      <w:r>
        <w:t>[</w:t>
      </w:r>
      <w:r>
        <w:br/>
        <w:t>\mathfrak{G}_{A}</w:t>
      </w:r>
    </w:p>
    <w:p w:rsidR="003736B0" w:rsidRDefault="003736B0" w:rsidP="003736B0">
      <w:pPr>
        <w:pStyle w:val="StandardWeb"/>
      </w:pPr>
      <w:r>
        <w:t>\left(</w:t>
      </w:r>
      <w:r>
        <w:br/>
        <w:t>\mathfrak{U}</w:t>
      </w:r>
      <w:r>
        <w:rPr>
          <w:rStyle w:val="Hervorhebung"/>
        </w:rPr>
        <w:t>{A},</w:t>
      </w:r>
      <w:r>
        <w:rPr>
          <w:i/>
          <w:iCs/>
        </w:rPr>
        <w:br/>
      </w:r>
      <w:r>
        <w:rPr>
          <w:rStyle w:val="Hervorhebung"/>
        </w:rPr>
        <w:t>\mathcal{R}</w:t>
      </w:r>
      <w:r>
        <w:t>{A},</w:t>
      </w:r>
      <w:r>
        <w:br/>
        <w:t>\lambda_{A}</w:t>
      </w:r>
      <w:r>
        <w:br/>
        <w:t>\right).</w:t>
      </w:r>
      <w:r>
        <w:br/>
        <w:t>\tag{3.4833}</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\mathfrak{G}_{A}=\left(\mathfrak{U}_{A},\mathcal{R}_{A},\lambda_{A}\right)\qquad\text{(3.4833)}</w:t>
      </w:r>
    </w:p>
    <w:p w:rsidR="003736B0" w:rsidRDefault="003736B0" w:rsidP="003736B0">
      <w:pPr>
        <w:pStyle w:val="StandardWeb"/>
      </w:pPr>
      <w:r>
        <w:t>Dabei bezeichnet:</w:t>
      </w:r>
    </w:p>
    <w:p w:rsidR="003736B0" w:rsidRDefault="003736B0" w:rsidP="00632D23">
      <w:pPr>
        <w:pStyle w:val="StandardWeb"/>
        <w:numPr>
          <w:ilvl w:val="0"/>
          <w:numId w:val="121"/>
        </w:numPr>
      </w:pPr>
      <w:r>
        <w:t>(\mathfrak{U}_{A}) die Menge wissenschaftlicher Objekte,</w:t>
      </w:r>
    </w:p>
    <w:p w:rsidR="003736B0" w:rsidRDefault="003736B0" w:rsidP="00632D23">
      <w:pPr>
        <w:pStyle w:val="StandardWeb"/>
        <w:numPr>
          <w:ilvl w:val="0"/>
          <w:numId w:val="121"/>
        </w:numPr>
      </w:pPr>
      <w:r>
        <w:t>(\mathcal{R}_{A}) die gerichtete Ableitungsrelation,</w:t>
      </w:r>
    </w:p>
    <w:p w:rsidR="003736B0" w:rsidRDefault="003736B0" w:rsidP="00632D23">
      <w:pPr>
        <w:pStyle w:val="StandardWeb"/>
        <w:numPr>
          <w:ilvl w:val="0"/>
          <w:numId w:val="121"/>
        </w:numPr>
      </w:pPr>
      <w:r>
        <w:lastRenderedPageBreak/>
        <w:t>(\lambda_{A}) die Beschriftungsfunktion der Kanten.</w:t>
      </w:r>
    </w:p>
    <w:p w:rsidR="003736B0" w:rsidRDefault="003736B0" w:rsidP="003736B0">
      <w:pPr>
        <w:pStyle w:val="StandardWeb"/>
      </w:pPr>
      <w:r>
        <w:t>Die Kantenbeschriftungsfunktion lautet</w:t>
      </w:r>
    </w:p>
    <w:p w:rsidR="003736B0" w:rsidRDefault="003736B0" w:rsidP="003736B0">
      <w:pPr>
        <w:pStyle w:val="StandardWeb"/>
      </w:pPr>
      <w:r>
        <w:t>[</w:t>
      </w:r>
      <w:r>
        <w:br/>
        <w:t>\lambda_{A}:</w:t>
      </w:r>
      <w:r>
        <w:br/>
        <w:t>\mathcal{R}</w:t>
      </w:r>
      <w:r>
        <w:rPr>
          <w:rStyle w:val="Hervorhebung"/>
        </w:rPr>
        <w:t>{A}</w:t>
      </w:r>
      <w:r>
        <w:rPr>
          <w:i/>
          <w:iCs/>
        </w:rPr>
        <w:br/>
      </w:r>
      <w:r>
        <w:rPr>
          <w:rStyle w:val="Hervorhebung"/>
        </w:rPr>
        <w:t>\rightarrow</w:t>
      </w:r>
      <w:r>
        <w:rPr>
          <w:i/>
          <w:iCs/>
        </w:rPr>
        <w:br/>
      </w:r>
      <w:r>
        <w:rPr>
          <w:rStyle w:val="Hervorhebung"/>
        </w:rPr>
        <w:t>\operatorname{Art}</w:t>
      </w:r>
      <w:r>
        <w:t>{A}.</w:t>
      </w:r>
      <w:r>
        <w:br/>
        <w:t>\tag{3.4834}</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\lambda_{A}:\mathcal{R}_{A}\rightarrow\operatorname{Art}_{A}\qquad\text{(3.4834)}</w:t>
      </w:r>
    </w:p>
    <w:p w:rsidR="003736B0" w:rsidRDefault="003736B0" w:rsidP="003736B0">
      <w:pPr>
        <w:pStyle w:val="StandardWeb"/>
      </w:pPr>
      <w:r>
        <w:t>Für eine Kante ((x,y)\in\mathcal{R}_{A}) gibt</w:t>
      </w:r>
    </w:p>
    <w:p w:rsidR="003736B0" w:rsidRDefault="003736B0" w:rsidP="003736B0">
      <w:pPr>
        <w:pStyle w:val="StandardWeb"/>
      </w:pPr>
      <w:r>
        <w:t>[</w:t>
      </w:r>
      <w:r>
        <w:br/>
        <w:t>\lambda_{A}(x,y)</w:t>
      </w:r>
      <w:r>
        <w:br/>
        <w:t>\tag{3.4835}</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\lambda_{A}(x,y)\qquad\text{(3.4835)}</w:t>
      </w:r>
    </w:p>
    <w:p w:rsidR="003736B0" w:rsidRDefault="003736B0" w:rsidP="003736B0">
      <w:pPr>
        <w:pStyle w:val="StandardWeb"/>
      </w:pPr>
      <w:r>
        <w:t>an, auf welche Weise das Zielobjekt (y) vom Ausgangsobjekt (x) abhängt.</w:t>
      </w:r>
    </w:p>
    <w:p w:rsidR="003736B0" w:rsidRPr="00AF32B2" w:rsidRDefault="003736B0" w:rsidP="00AF32B2">
      <w:pPr>
        <w:pStyle w:val="berschrift4"/>
      </w:pPr>
      <w:r w:rsidRPr="00AF32B2">
        <w:t>3.3.24.5 Axiome als Wurzelobjekte</w:t>
      </w:r>
    </w:p>
    <w:p w:rsidR="003736B0" w:rsidRDefault="003736B0" w:rsidP="003736B0">
      <w:pPr>
        <w:pStyle w:val="StandardWeb"/>
      </w:pPr>
      <w:r>
        <w:t>Die drei Primäraxiome besitzen innerhalb des Ableitungsgraphen keine wissenschaftlichen Vorgänger:</w:t>
      </w:r>
    </w:p>
    <w:p w:rsidR="003736B0" w:rsidRDefault="003736B0" w:rsidP="003736B0">
      <w:pPr>
        <w:pStyle w:val="berschrift1"/>
      </w:pPr>
      <w:r>
        <w:t>[</w:t>
      </w:r>
      <w:r>
        <w:br/>
        <w:t>\operatorname{Pred}</w:t>
      </w:r>
      <w:r>
        <w:rPr>
          <w:rStyle w:val="Hervorhebung"/>
        </w:rPr>
        <w:t>{A}</w:t>
      </w:r>
      <w:r>
        <w:rPr>
          <w:i/>
          <w:iCs/>
        </w:rPr>
        <w:br/>
      </w:r>
      <w:r>
        <w:rPr>
          <w:rStyle w:val="Hervorhebung"/>
        </w:rPr>
        <w:t>\left(</w:t>
      </w:r>
      <w:r>
        <w:rPr>
          <w:i/>
          <w:iCs/>
        </w:rPr>
        <w:br/>
      </w:r>
      <w:r>
        <w:rPr>
          <w:rStyle w:val="Hervorhebung"/>
        </w:rPr>
        <w:t>A</w:t>
      </w:r>
      <w:r>
        <w:t>{\mathrm{I}}</w:t>
      </w:r>
      <w:r>
        <w:br/>
        <w:t>\right)</w:t>
      </w:r>
    </w:p>
    <w:p w:rsidR="003736B0" w:rsidRDefault="003736B0" w:rsidP="003736B0">
      <w:pPr>
        <w:pStyle w:val="StandardWeb"/>
      </w:pPr>
      <w:r>
        <w:t>\emptyset,</w:t>
      </w:r>
      <w:r>
        <w:br/>
        <w:t>\tag{3.4836}</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lastRenderedPageBreak/>
        <w:t>\operatorname{Pred}_{A}\left(A_{\mathrm{I}}\right)=\emptyset\qquad\text{(3.4836)}</w:t>
      </w:r>
    </w:p>
    <w:p w:rsidR="003736B0" w:rsidRDefault="003736B0" w:rsidP="003736B0">
      <w:pPr>
        <w:pStyle w:val="berschrift1"/>
      </w:pPr>
      <w:r>
        <w:t>[</w:t>
      </w:r>
      <w:r>
        <w:br/>
        <w:t>\operatorname{Pred}</w:t>
      </w:r>
      <w:r>
        <w:rPr>
          <w:rStyle w:val="Hervorhebung"/>
        </w:rPr>
        <w:t>{A}</w:t>
      </w:r>
      <w:r>
        <w:rPr>
          <w:i/>
          <w:iCs/>
        </w:rPr>
        <w:br/>
      </w:r>
      <w:r>
        <w:rPr>
          <w:rStyle w:val="Hervorhebung"/>
        </w:rPr>
        <w:t>\left(</w:t>
      </w:r>
      <w:r>
        <w:rPr>
          <w:i/>
          <w:iCs/>
        </w:rPr>
        <w:br/>
      </w:r>
      <w:r>
        <w:rPr>
          <w:rStyle w:val="Hervorhebung"/>
        </w:rPr>
        <w:t>A</w:t>
      </w:r>
      <w:r>
        <w:t>{\mathrm{II}}</w:t>
      </w:r>
      <w:r>
        <w:br/>
        <w:t>\right)</w:t>
      </w:r>
    </w:p>
    <w:p w:rsidR="003736B0" w:rsidRDefault="003736B0" w:rsidP="003736B0">
      <w:pPr>
        <w:pStyle w:val="StandardWeb"/>
      </w:pPr>
      <w:r>
        <w:t>\emptyset,</w:t>
      </w:r>
      <w:r>
        <w:br/>
        <w:t>\tag{3.4837}</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\operatorname{Pred}_{A}\left(A_{\mathrm{II}}\right)=\emptyset\qquad\text{(3.4837)}</w:t>
      </w:r>
    </w:p>
    <w:p w:rsidR="003736B0" w:rsidRDefault="003736B0" w:rsidP="003736B0">
      <w:pPr>
        <w:pStyle w:val="StandardWeb"/>
      </w:pPr>
      <w:r>
        <w:t>und</w:t>
      </w:r>
    </w:p>
    <w:p w:rsidR="003736B0" w:rsidRDefault="003736B0" w:rsidP="003736B0">
      <w:pPr>
        <w:pStyle w:val="berschrift1"/>
      </w:pPr>
      <w:r>
        <w:t>[</w:t>
      </w:r>
      <w:r>
        <w:br/>
        <w:t>\operatorname{Pred}</w:t>
      </w:r>
      <w:r>
        <w:rPr>
          <w:rStyle w:val="Hervorhebung"/>
        </w:rPr>
        <w:t>{A}</w:t>
      </w:r>
      <w:r>
        <w:rPr>
          <w:i/>
          <w:iCs/>
        </w:rPr>
        <w:br/>
      </w:r>
      <w:r>
        <w:rPr>
          <w:rStyle w:val="Hervorhebung"/>
        </w:rPr>
        <w:t>\left(</w:t>
      </w:r>
      <w:r>
        <w:rPr>
          <w:i/>
          <w:iCs/>
        </w:rPr>
        <w:br/>
      </w:r>
      <w:r>
        <w:rPr>
          <w:rStyle w:val="Hervorhebung"/>
        </w:rPr>
        <w:t>A</w:t>
      </w:r>
      <w:r>
        <w:t>{\mathrm{III}}</w:t>
      </w:r>
      <w:r>
        <w:br/>
        <w:t>\right)</w:t>
      </w:r>
    </w:p>
    <w:p w:rsidR="003736B0" w:rsidRDefault="003736B0" w:rsidP="003736B0">
      <w:pPr>
        <w:pStyle w:val="StandardWeb"/>
      </w:pPr>
      <w:r>
        <w:t>\emptyset.</w:t>
      </w:r>
      <w:r>
        <w:br/>
        <w:t>\tag{3.4838}</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\operatorname{Pred}_{A}\left(A_{\mathrm{III}}\right)=\emptyset\qquad\text{(3.4838)}</w:t>
      </w:r>
    </w:p>
    <w:p w:rsidR="003736B0" w:rsidRDefault="003736B0" w:rsidP="003736B0">
      <w:pPr>
        <w:pStyle w:val="StandardWeb"/>
      </w:pPr>
      <w:r>
        <w:t>Die Primäraxiome bilden die axiomatischen Wurzelobjekte:</w:t>
      </w:r>
    </w:p>
    <w:p w:rsidR="003736B0" w:rsidRDefault="003736B0" w:rsidP="003736B0">
      <w:pPr>
        <w:pStyle w:val="berschrift1"/>
      </w:pPr>
      <w:r>
        <w:t>[</w:t>
      </w:r>
      <w:r>
        <w:br/>
        <w:t>\mathcal{W}_{A}^{\mathrm{ax}}</w:t>
      </w:r>
    </w:p>
    <w:p w:rsidR="003736B0" w:rsidRDefault="003736B0" w:rsidP="003736B0">
      <w:pPr>
        <w:pStyle w:val="StandardWeb"/>
      </w:pPr>
      <w:r>
        <w:t>\left{</w:t>
      </w:r>
      <w:r>
        <w:br/>
        <w:t>A_{\mathrm{I}},</w:t>
      </w:r>
      <w:r>
        <w:br/>
        <w:t>A_{\mathrm{II}},</w:t>
      </w:r>
      <w:r>
        <w:br/>
        <w:t>A_{\mathrm{III}}</w:t>
      </w:r>
      <w:r>
        <w:br/>
      </w:r>
      <w:r>
        <w:lastRenderedPageBreak/>
        <w:t>\right}.</w:t>
      </w:r>
      <w:r>
        <w:br/>
        <w:t>\tag{3.4839}</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\mathcal{W}_{A}^{\mathrm{ax}}=\left\{A_{\mathrm{I}},A_{\mathrm{II}},A_{\mathrm{III}}\right\}\qquad\text{(3.4839)}</w:t>
      </w:r>
    </w:p>
    <w:p w:rsidR="003736B0" w:rsidRDefault="003736B0" w:rsidP="003736B0">
      <w:pPr>
        <w:pStyle w:val="StandardWeb"/>
      </w:pPr>
      <w:r>
        <w:t>Sie werden nicht bewiesen, sondern als elementare Existenzsetzungen ausdrücklich ausgewiesen.</w:t>
      </w:r>
    </w:p>
    <w:p w:rsidR="003736B0" w:rsidRPr="00AF32B2" w:rsidRDefault="003736B0" w:rsidP="00AF32B2">
      <w:pPr>
        <w:pStyle w:val="berschrift4"/>
      </w:pPr>
      <w:r w:rsidRPr="00AF32B2">
        <w:t>3.3.24.6 Abhängigkeit der Wurzeldefinitionen</w:t>
      </w:r>
    </w:p>
    <w:p w:rsidR="003736B0" w:rsidRDefault="003736B0" w:rsidP="003736B0">
      <w:pPr>
        <w:pStyle w:val="StandardWeb"/>
      </w:pPr>
      <w:r>
        <w:t>Die Definitionen der drei elementaren Objektklassen beruhen unmittelbar auf den Primäraxiomen:</w:t>
      </w:r>
    </w:p>
    <w:p w:rsidR="003736B0" w:rsidRDefault="003736B0" w:rsidP="003736B0">
      <w:pPr>
        <w:pStyle w:val="StandardWeb"/>
      </w:pPr>
      <w:r>
        <w:t>[</w:t>
      </w:r>
      <w:r>
        <w:br/>
        <w:t>A_{\mathrm{I}}</w:t>
      </w:r>
      <w:r>
        <w:br/>
        <w:t>\longrightarrow_{A}</w:t>
      </w:r>
      <w:r>
        <w:br/>
        <w:t>D_1,</w:t>
      </w:r>
      <w:r>
        <w:br/>
        <w:t>\tag{3.4840}</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A_{\mathrm{I}}\longrightarrow_{A}D_1\qquad\text{(3.4840)}</w:t>
      </w:r>
    </w:p>
    <w:p w:rsidR="003736B0" w:rsidRDefault="003736B0" w:rsidP="003736B0">
      <w:pPr>
        <w:pStyle w:val="StandardWeb"/>
      </w:pPr>
      <w:r>
        <w:t>[</w:t>
      </w:r>
      <w:r>
        <w:br/>
        <w:t>A_{\mathrm{II}}</w:t>
      </w:r>
      <w:r>
        <w:br/>
        <w:t>\longrightarrow_{A}</w:t>
      </w:r>
      <w:r>
        <w:br/>
        <w:t>D_2,</w:t>
      </w:r>
      <w:r>
        <w:br/>
        <w:t>\tag{3.4841}</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A_{\mathrm{II}}\longrightarrow_{A}D_2\qquad\text{(3.4841)}</w:t>
      </w:r>
    </w:p>
    <w:p w:rsidR="003736B0" w:rsidRDefault="003736B0" w:rsidP="003736B0">
      <w:pPr>
        <w:pStyle w:val="StandardWeb"/>
      </w:pPr>
      <w:r>
        <w:t>und</w:t>
      </w:r>
    </w:p>
    <w:p w:rsidR="003736B0" w:rsidRDefault="003736B0" w:rsidP="003736B0">
      <w:pPr>
        <w:pStyle w:val="StandardWeb"/>
      </w:pPr>
      <w:r>
        <w:t>[</w:t>
      </w:r>
      <w:r>
        <w:br/>
        <w:t>A_{\mathrm{III}}</w:t>
      </w:r>
      <w:r>
        <w:br/>
        <w:t>\longrightarrow_{A}</w:t>
      </w:r>
      <w:r>
        <w:br/>
        <w:t>D_3.</w:t>
      </w:r>
      <w:r>
        <w:br/>
        <w:t>\tag{3.4842}</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A_{\mathrm{III}}\longrightarrow_{A}D_3\qquad\text{(3.4842)}</w:t>
      </w:r>
    </w:p>
    <w:p w:rsidR="003736B0" w:rsidRDefault="003736B0" w:rsidP="003736B0">
      <w:pPr>
        <w:pStyle w:val="StandardWeb"/>
      </w:pPr>
      <w:r>
        <w:lastRenderedPageBreak/>
        <w:t>Für diese Kanten gilt</w:t>
      </w:r>
    </w:p>
    <w:p w:rsidR="003736B0" w:rsidRDefault="003736B0" w:rsidP="003736B0">
      <w:pPr>
        <w:pStyle w:val="berschrift1"/>
      </w:pPr>
      <w:r>
        <w:t>[</w:t>
      </w:r>
      <w:r>
        <w:br/>
        <w:t>\lambda_{A}</w:t>
      </w:r>
      <w:r>
        <w:br/>
        <w:t>\left(</w:t>
      </w:r>
      <w:r>
        <w:br/>
        <w:t>A_{\mathrm{I}},D_1</w:t>
      </w:r>
      <w:r>
        <w:br/>
        <w:t>\right)</w:t>
      </w:r>
    </w:p>
    <w:p w:rsidR="003736B0" w:rsidRDefault="003736B0" w:rsidP="003736B0">
      <w:pPr>
        <w:pStyle w:val="StandardWeb"/>
      </w:pPr>
      <w:r>
        <w:t>\mathbf{supports},</w:t>
      </w:r>
      <w:r>
        <w:br/>
        <w:t>\tag{3.4843}</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\lambda_{A}\left(A_{\mathrm{I}},D_1\right)=\mathbf{supports}\qquad\text{(3.4843)}</w:t>
      </w:r>
    </w:p>
    <w:p w:rsidR="003736B0" w:rsidRDefault="003736B0" w:rsidP="003736B0">
      <w:pPr>
        <w:pStyle w:val="StandardWeb"/>
      </w:pPr>
      <w:r>
        <w:t>entsprechend auch für die beiden anderen Primäraxiome und Wurzeldefinitionen.</w:t>
      </w:r>
    </w:p>
    <w:p w:rsidR="003736B0" w:rsidRDefault="003736B0" w:rsidP="003736B0">
      <w:pPr>
        <w:pStyle w:val="StandardWeb"/>
      </w:pPr>
      <w:r>
        <w:t>Die Definitionen konkretisieren die durch die Primäraxiome eröffneten Objektklassen, ohne aus ihnen als logische Sätze abgeleitet zu werden.</w:t>
      </w:r>
    </w:p>
    <w:p w:rsidR="003736B0" w:rsidRPr="00AF32B2" w:rsidRDefault="003736B0" w:rsidP="00AF32B2">
      <w:pPr>
        <w:pStyle w:val="berschrift4"/>
      </w:pPr>
      <w:r w:rsidRPr="00AF32B2">
        <w:t>3.3.24.7 Gleichungen als Formalisierungen</w:t>
      </w:r>
    </w:p>
    <w:p w:rsidR="003736B0" w:rsidRDefault="003736B0" w:rsidP="003736B0">
      <w:pPr>
        <w:pStyle w:val="StandardWeb"/>
      </w:pPr>
      <w:r>
        <w:t>Eine Gleichung kann eine Definition formal darstellen. Für eine Definition (D_i) und eine zugehörige Gleichung (E_j) gilt dann</w:t>
      </w:r>
    </w:p>
    <w:p w:rsidR="003736B0" w:rsidRDefault="003736B0" w:rsidP="003736B0">
      <w:pPr>
        <w:pStyle w:val="StandardWeb"/>
      </w:pPr>
      <w:r>
        <w:t>[</w:t>
      </w:r>
      <w:r>
        <w:br/>
        <w:t>D_i</w:t>
      </w:r>
      <w:r>
        <w:br/>
        <w:t>\longrightarrow_{A}</w:t>
      </w:r>
      <w:r>
        <w:br/>
        <w:t>E_j.</w:t>
      </w:r>
      <w:r>
        <w:br/>
        <w:t>\tag{3.4844}</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D_i\longrightarrow_{A}E_j\qquad\text{(3.4844)}</w:t>
      </w:r>
    </w:p>
    <w:p w:rsidR="003736B0" w:rsidRDefault="003736B0" w:rsidP="003736B0">
      <w:pPr>
        <w:pStyle w:val="StandardWeb"/>
      </w:pPr>
      <w:r>
        <w:t>Die Kantenbeschriftung lautet</w:t>
      </w:r>
    </w:p>
    <w:p w:rsidR="003736B0" w:rsidRDefault="003736B0" w:rsidP="003736B0">
      <w:pPr>
        <w:pStyle w:val="berschrift1"/>
      </w:pPr>
      <w:r>
        <w:t>[</w:t>
      </w:r>
      <w:r>
        <w:br/>
        <w:t>\lambda_{A}</w:t>
      </w:r>
      <w:r>
        <w:br/>
        <w:t>\left(</w:t>
      </w:r>
      <w:r>
        <w:br/>
      </w:r>
      <w:r>
        <w:lastRenderedPageBreak/>
        <w:t>D_i,E_j</w:t>
      </w:r>
      <w:r>
        <w:br/>
        <w:t>\right)</w:t>
      </w:r>
    </w:p>
    <w:p w:rsidR="003736B0" w:rsidRDefault="003736B0" w:rsidP="003736B0">
      <w:pPr>
        <w:pStyle w:val="StandardWeb"/>
      </w:pPr>
      <w:r>
        <w:t>\mathbf{formalizes}.</w:t>
      </w:r>
      <w:r>
        <w:br/>
        <w:t>\tag{3.4845}</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\lambda_{A}\left(D_i,E_j\right)=\mathbf{formalizes}\qquad\text{(3.4845)}</w:t>
      </w:r>
    </w:p>
    <w:p w:rsidR="003736B0" w:rsidRDefault="003736B0" w:rsidP="003736B0">
      <w:pPr>
        <w:pStyle w:val="StandardWeb"/>
      </w:pPr>
      <w:r>
        <w:t>Eine solche Gleichung beweist die Definition nicht. Sie gibt deren mathematische Struktur in symbolischer Form wieder.</w:t>
      </w:r>
    </w:p>
    <w:p w:rsidR="003736B0" w:rsidRDefault="003736B0" w:rsidP="003736B0">
      <w:pPr>
        <w:pStyle w:val="StandardWeb"/>
      </w:pPr>
      <w:r>
        <w:t>Beispielsweise formalisiert Gleichung (3.4724) die Definition 3.3.15:</w:t>
      </w:r>
    </w:p>
    <w:p w:rsidR="003736B0" w:rsidRDefault="003736B0" w:rsidP="003736B0">
      <w:pPr>
        <w:pStyle w:val="StandardWeb"/>
      </w:pPr>
      <w:r>
        <w:t>[</w:t>
      </w:r>
      <w:r>
        <w:br/>
        <w:t>D_{15}</w:t>
      </w:r>
      <w:r>
        <w:br/>
        <w:t>\longrightarrow_{A}</w:t>
      </w:r>
      <w:r>
        <w:br/>
        <w:t>E_{3.4724}.</w:t>
      </w:r>
      <w:r>
        <w:br/>
        <w:t>\tag{3.4846}</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D_{15}\longrightarrow_{A}E_{3.4724}\qquad\text{(3.4846)}</w:t>
      </w:r>
    </w:p>
    <w:p w:rsidR="003736B0" w:rsidRDefault="003736B0" w:rsidP="003736B0">
      <w:pPr>
        <w:pStyle w:val="StandardWeb"/>
      </w:pPr>
      <w:r>
        <w:t>Dabei bezeichnet (E_{3.4724}) den Repository-Eintrag der Gleichung mit der Nummer (3.4724).</w:t>
      </w:r>
    </w:p>
    <w:p w:rsidR="003736B0" w:rsidRPr="00AF32B2" w:rsidRDefault="003736B0" w:rsidP="00AF32B2">
      <w:pPr>
        <w:pStyle w:val="berschrift4"/>
      </w:pPr>
      <w:r w:rsidRPr="00AF32B2">
        <w:t>3.3.24.8 Gleichungsabhängigkeiten</w:t>
      </w:r>
    </w:p>
    <w:p w:rsidR="003736B0" w:rsidRDefault="003736B0" w:rsidP="003736B0">
      <w:pPr>
        <w:pStyle w:val="StandardWeb"/>
      </w:pPr>
      <w:r>
        <w:t>Eine spätere Gleichung kann aus einer früheren Gleichung hervorgehen:</w:t>
      </w:r>
    </w:p>
    <w:p w:rsidR="003736B0" w:rsidRDefault="003736B0" w:rsidP="003736B0">
      <w:pPr>
        <w:pStyle w:val="StandardWeb"/>
      </w:pPr>
      <w:r>
        <w:t>[</w:t>
      </w:r>
      <w:r>
        <w:br/>
        <w:t>E_i</w:t>
      </w:r>
      <w:r>
        <w:br/>
        <w:t>\longrightarrow_{A}</w:t>
      </w:r>
      <w:r>
        <w:br/>
        <w:t>E_j.</w:t>
      </w:r>
      <w:r>
        <w:br/>
        <w:t>\tag{3.4847}</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E_i\longrightarrow_{A}E_j\qquad\text{(3.4847)}</w:t>
      </w:r>
    </w:p>
    <w:p w:rsidR="003736B0" w:rsidRDefault="003736B0" w:rsidP="003736B0">
      <w:pPr>
        <w:pStyle w:val="StandardWeb"/>
      </w:pPr>
      <w:r>
        <w:t>Für eine echte Herleitung gilt</w:t>
      </w:r>
    </w:p>
    <w:p w:rsidR="003736B0" w:rsidRDefault="003736B0" w:rsidP="003736B0">
      <w:pPr>
        <w:pStyle w:val="berschrift1"/>
      </w:pPr>
      <w:r>
        <w:lastRenderedPageBreak/>
        <w:t>[</w:t>
      </w:r>
      <w:r>
        <w:br/>
        <w:t>\lambda_{A}</w:t>
      </w:r>
      <w:r>
        <w:br/>
        <w:t>\left(</w:t>
      </w:r>
      <w:r>
        <w:br/>
        <w:t>E_i,E_j</w:t>
      </w:r>
      <w:r>
        <w:br/>
        <w:t>\right)</w:t>
      </w:r>
    </w:p>
    <w:p w:rsidR="003736B0" w:rsidRDefault="003736B0" w:rsidP="003736B0">
      <w:pPr>
        <w:pStyle w:val="StandardWeb"/>
      </w:pPr>
      <w:r>
        <w:t>\mathbf{derived_from}.</w:t>
      </w:r>
      <w:r>
        <w:br/>
        <w:t>\tag{3.4848}</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\lambda_{A}\left(E_i,E_j\right)=\mathbf{derived\_from}\qquad\text{(3.4848)}</w:t>
      </w:r>
    </w:p>
    <w:p w:rsidR="003736B0" w:rsidRDefault="003736B0" w:rsidP="003736B0">
      <w:pPr>
        <w:pStyle w:val="StandardWeb"/>
      </w:pPr>
      <w:r>
        <w:t>Für eine bloße Wiederholung oder Zusammenfassung gilt dagegen</w:t>
      </w:r>
    </w:p>
    <w:p w:rsidR="003736B0" w:rsidRDefault="003736B0" w:rsidP="003736B0">
      <w:pPr>
        <w:pStyle w:val="berschrift1"/>
      </w:pPr>
      <w:r>
        <w:t>[</w:t>
      </w:r>
      <w:r>
        <w:br/>
        <w:t>\lambda_{A}</w:t>
      </w:r>
      <w:r>
        <w:br/>
        <w:t>\left(</w:t>
      </w:r>
      <w:r>
        <w:br/>
        <w:t>E_i,E_j</w:t>
      </w:r>
      <w:r>
        <w:br/>
        <w:t>\right)</w:t>
      </w:r>
    </w:p>
    <w:p w:rsidR="003736B0" w:rsidRDefault="003736B0" w:rsidP="003736B0">
      <w:pPr>
        <w:pStyle w:val="StandardWeb"/>
      </w:pPr>
      <w:r>
        <w:t>\mathbf{restates}.</w:t>
      </w:r>
      <w:r>
        <w:br/>
        <w:t>\tag{3.4849}</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\lambda_{A}\left(E_i,E_j\right)=\mathbf{restates}\qquad\text{(3.4849)}</w:t>
      </w:r>
    </w:p>
    <w:p w:rsidR="003736B0" w:rsidRDefault="003736B0" w:rsidP="003736B0">
      <w:pPr>
        <w:pStyle w:val="StandardWeb"/>
      </w:pPr>
      <w:r>
        <w:t>Die Unterscheidung ist wichtig, weil eine wiederholte Aussage keine neue Ableitung darstellt.</w:t>
      </w:r>
    </w:p>
    <w:p w:rsidR="003736B0" w:rsidRPr="00AF32B2" w:rsidRDefault="003736B0" w:rsidP="00AF32B2">
      <w:pPr>
        <w:pStyle w:val="berschrift4"/>
      </w:pPr>
      <w:r w:rsidRPr="00AF32B2">
        <w:t>3.3.24.9 Modellkonstruktionen</w:t>
      </w:r>
    </w:p>
    <w:p w:rsidR="003736B0" w:rsidRDefault="003736B0" w:rsidP="003736B0">
      <w:pPr>
        <w:pStyle w:val="StandardWeb"/>
      </w:pPr>
      <w:r>
        <w:t>Ein Modell (M_k) kann Definitionen, Axiome und Gleichungen verwenden:</w:t>
      </w:r>
    </w:p>
    <w:p w:rsidR="003736B0" w:rsidRDefault="003736B0" w:rsidP="003736B0">
      <w:pPr>
        <w:pStyle w:val="StandardWeb"/>
      </w:pPr>
      <w:r>
        <w:t>[</w:t>
      </w:r>
      <w:r>
        <w:br/>
        <w:t>\left{</w:t>
      </w:r>
      <w:r>
        <w:br/>
        <w:t>A_i,</w:t>
      </w:r>
      <w:r>
        <w:br/>
        <w:t>D_j,</w:t>
      </w:r>
      <w:r>
        <w:br/>
        <w:t>E_{\ell}</w:t>
      </w:r>
      <w:r>
        <w:br/>
        <w:t>\right}</w:t>
      </w:r>
      <w:r>
        <w:br/>
        <w:t>\longrightarrow_{A}</w:t>
      </w:r>
      <w:r>
        <w:br/>
        <w:t>M_k.</w:t>
      </w:r>
      <w:r>
        <w:br/>
      </w:r>
      <w:r>
        <w:lastRenderedPageBreak/>
        <w:t>\tag{3.4850}</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\left\{A_i,D_j,E_{\ell}\right\}\longrightarrow_{A}M_k\qquad\text{(3.4850)}</w:t>
      </w:r>
    </w:p>
    <w:p w:rsidR="003736B0" w:rsidRDefault="003736B0" w:rsidP="003736B0">
      <w:pPr>
        <w:pStyle w:val="StandardWeb"/>
      </w:pPr>
      <w:r>
        <w:t>Für die Modellkonstruktion gilt</w:t>
      </w:r>
    </w:p>
    <w:p w:rsidR="003736B0" w:rsidRDefault="003736B0" w:rsidP="003736B0">
      <w:pPr>
        <w:pStyle w:val="berschrift1"/>
      </w:pPr>
      <w:r>
        <w:t>[</w:t>
      </w:r>
      <w:r>
        <w:br/>
        <w:t>\lambda_{A}</w:t>
      </w:r>
      <w:r>
        <w:br/>
        <w:t>\left(</w:t>
      </w:r>
      <w:r>
        <w:br/>
        <w:t>D_j,M_k</w:t>
      </w:r>
      <w:r>
        <w:br/>
        <w:t>\right)</w:t>
      </w:r>
    </w:p>
    <w:p w:rsidR="003736B0" w:rsidRDefault="003736B0" w:rsidP="003736B0">
      <w:pPr>
        <w:pStyle w:val="StandardWeb"/>
      </w:pPr>
      <w:r>
        <w:t>\mathbf{constructs}.</w:t>
      </w:r>
      <w:r>
        <w:br/>
        <w:t>\tag{3.4851}</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\lambda_{A}\left(D_j,M_k\right)=\mathbf{constructs}\qquad\text{(3.4851)}</w:t>
      </w:r>
    </w:p>
    <w:p w:rsidR="003736B0" w:rsidRDefault="003736B0" w:rsidP="003736B0">
      <w:pPr>
        <w:pStyle w:val="StandardWeb"/>
      </w:pPr>
      <w:r>
        <w:t>Das gemeinsame Minimalmodell aus Abschnitt 3.3.20 verwendet insbesondere Definition 3.3.13 und die Gleichungen seiner Zustands-, Relations- und Transformationskomponenten:</w:t>
      </w:r>
    </w:p>
    <w:p w:rsidR="003736B0" w:rsidRDefault="003736B0" w:rsidP="003736B0">
      <w:pPr>
        <w:pStyle w:val="StandardWeb"/>
      </w:pPr>
      <w:r>
        <w:t>[</w:t>
      </w:r>
      <w:r>
        <w:br/>
        <w:t>\left{</w:t>
      </w:r>
      <w:r>
        <w:br/>
        <w:t>D_{13},</w:t>
      </w:r>
      <w:r>
        <w:br/>
        <w:t>E_{3.4444},</w:t>
      </w:r>
      <w:r>
        <w:br/>
        <w:t>E_{3.4445},</w:t>
      </w:r>
      <w:r>
        <w:br/>
        <w:t>E_{3.4446}</w:t>
      </w:r>
      <w:r>
        <w:br/>
        <w:t>\right}</w:t>
      </w:r>
      <w:r>
        <w:br/>
        <w:t>\longrightarrow_{A}</w:t>
      </w:r>
      <w:r>
        <w:br/>
        <w:t>M_{\min}.</w:t>
      </w:r>
      <w:r>
        <w:br/>
        <w:t>\tag{3.4852}</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\left\{D_{13},E_{3.4444},E_{3.4445},E_{3.4446}\right\}\longrightarrow_{A}M_{\min}\qquad\text{(3.4852)}</w:t>
      </w:r>
    </w:p>
    <w:p w:rsidR="003736B0" w:rsidRPr="00AF32B2" w:rsidRDefault="003736B0" w:rsidP="00AF32B2">
      <w:pPr>
        <w:pStyle w:val="berschrift4"/>
      </w:pPr>
      <w:r w:rsidRPr="00AF32B2">
        <w:t>3.3.24.10 Satzabhängigkeiten</w:t>
      </w:r>
    </w:p>
    <w:p w:rsidR="003736B0" w:rsidRDefault="003736B0" w:rsidP="003736B0">
      <w:pPr>
        <w:pStyle w:val="StandardWeb"/>
      </w:pPr>
      <w:r>
        <w:t>Ein Satz (S_j) kann Definitionen, Gleichungen, Modelle und frühere Sätze voraussetzen:</w:t>
      </w:r>
    </w:p>
    <w:p w:rsidR="003736B0" w:rsidRDefault="003736B0" w:rsidP="003736B0">
      <w:pPr>
        <w:pStyle w:val="StandardWeb"/>
      </w:pPr>
      <w:r>
        <w:lastRenderedPageBreak/>
        <w:t>[</w:t>
      </w:r>
      <w:r>
        <w:br/>
        <w:t>\left{</w:t>
      </w:r>
      <w:r>
        <w:br/>
        <w:t>D_i,</w:t>
      </w:r>
      <w:r>
        <w:br/>
        <w:t>E_k,</w:t>
      </w:r>
      <w:r>
        <w:br/>
        <w:t>M_{\ell},</w:t>
      </w:r>
      <w:r>
        <w:br/>
        <w:t>S_m</w:t>
      </w:r>
      <w:r>
        <w:br/>
        <w:t>\right}</w:t>
      </w:r>
      <w:r>
        <w:br/>
        <w:t>\longrightarrow_{A}</w:t>
      </w:r>
      <w:r>
        <w:br/>
        <w:t>S_j.</w:t>
      </w:r>
      <w:r>
        <w:br/>
        <w:t>\tag{3.4853}</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\left\{D_i,E_k,M_{\ell},S_m\right\}\longrightarrow_{A}S_j\qquad\text{(3.4853)}</w:t>
      </w:r>
    </w:p>
    <w:p w:rsidR="003736B0" w:rsidRDefault="003736B0" w:rsidP="003736B0">
      <w:pPr>
        <w:pStyle w:val="StandardWeb"/>
      </w:pPr>
      <w:r>
        <w:t>Für eine notwendige Satzabhängigkeit gilt</w:t>
      </w:r>
    </w:p>
    <w:p w:rsidR="003736B0" w:rsidRDefault="003736B0" w:rsidP="003736B0">
      <w:pPr>
        <w:pStyle w:val="berschrift1"/>
      </w:pPr>
      <w:r>
        <w:t>[</w:t>
      </w:r>
      <w:r>
        <w:br/>
        <w:t>\lambda_{A}</w:t>
      </w:r>
      <w:r>
        <w:br/>
        <w:t>\left(</w:t>
      </w:r>
      <w:r>
        <w:br/>
        <w:t>S_m,S_j</w:t>
      </w:r>
      <w:r>
        <w:br/>
        <w:t>\right)</w:t>
      </w:r>
    </w:p>
    <w:p w:rsidR="003736B0" w:rsidRDefault="003736B0" w:rsidP="003736B0">
      <w:pPr>
        <w:pStyle w:val="StandardWeb"/>
      </w:pPr>
      <w:r>
        <w:t>\mathbf{depends_on}.</w:t>
      </w:r>
      <w:r>
        <w:br/>
        <w:t>\tag{3.4854}</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\lambda_{A}\left(S_m,S_j\right)=\mathbf{depends\_on}\qquad\text{(3.4854)}</w:t>
      </w:r>
    </w:p>
    <w:p w:rsidR="003736B0" w:rsidRDefault="003736B0" w:rsidP="003736B0">
      <w:pPr>
        <w:pStyle w:val="StandardWeb"/>
      </w:pPr>
      <w:r>
        <w:t>Ein späterer Satz darf keinen früheren Satz voraussetzen, der selbst erst aus dem späteren Satz bewiesen wird.</w:t>
      </w:r>
    </w:p>
    <w:p w:rsidR="003736B0" w:rsidRPr="00AF32B2" w:rsidRDefault="003736B0" w:rsidP="00AF32B2">
      <w:pPr>
        <w:pStyle w:val="berschrift4"/>
      </w:pPr>
      <w:r w:rsidRPr="00AF32B2">
        <w:t>3.3.24.11 Beweisabhängigkeiten</w:t>
      </w:r>
    </w:p>
    <w:p w:rsidR="003736B0" w:rsidRDefault="003736B0" w:rsidP="003736B0">
      <w:pPr>
        <w:pStyle w:val="StandardWeb"/>
      </w:pPr>
      <w:r>
        <w:t>Ein Beweis (P_j) besitzt mindestens einen zu beweisenden Satz (S_j) als Zielobjekt:</w:t>
      </w:r>
    </w:p>
    <w:p w:rsidR="003736B0" w:rsidRDefault="003736B0" w:rsidP="003736B0">
      <w:pPr>
        <w:pStyle w:val="StandardWeb"/>
      </w:pPr>
      <w:r>
        <w:t>[</w:t>
      </w:r>
      <w:r>
        <w:br/>
        <w:t>P_j</w:t>
      </w:r>
      <w:r>
        <w:br/>
        <w:t>\longrightarrow_{A}</w:t>
      </w:r>
      <w:r>
        <w:br/>
        <w:t>S_j.</w:t>
      </w:r>
      <w:r>
        <w:br/>
        <w:t>\tag{3.4855}</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lastRenderedPageBreak/>
        <w:t>P_j\longrightarrow_{A}S_j\qquad\text{(3.4855)}</w:t>
      </w:r>
    </w:p>
    <w:p w:rsidR="003736B0" w:rsidRDefault="003736B0" w:rsidP="003736B0">
      <w:pPr>
        <w:pStyle w:val="StandardWeb"/>
      </w:pPr>
      <w:r>
        <w:t>Für diese Kante gilt</w:t>
      </w:r>
    </w:p>
    <w:p w:rsidR="003736B0" w:rsidRDefault="003736B0" w:rsidP="003736B0">
      <w:pPr>
        <w:pStyle w:val="berschrift1"/>
      </w:pPr>
      <w:r>
        <w:t>[</w:t>
      </w:r>
      <w:r>
        <w:br/>
        <w:t>\lambda_{A}</w:t>
      </w:r>
      <w:r>
        <w:br/>
        <w:t>\left(</w:t>
      </w:r>
      <w:r>
        <w:br/>
        <w:t>P_j,S_j</w:t>
      </w:r>
      <w:r>
        <w:br/>
        <w:t>\right)</w:t>
      </w:r>
    </w:p>
    <w:p w:rsidR="003736B0" w:rsidRDefault="003736B0" w:rsidP="003736B0">
      <w:pPr>
        <w:pStyle w:val="StandardWeb"/>
      </w:pPr>
      <w:r>
        <w:t>\mathbf{proves}.</w:t>
      </w:r>
      <w:r>
        <w:br/>
        <w:t>\tag{3.4856}</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\lambda_{A}\left(P_j,S_j\right)=\mathbf{proves}\qquad\text{(3.4856)}</w:t>
      </w:r>
    </w:p>
    <w:p w:rsidR="003736B0" w:rsidRDefault="003736B0" w:rsidP="003736B0">
      <w:pPr>
        <w:pStyle w:val="StandardWeb"/>
      </w:pPr>
      <w:r>
        <w:t>Gleichzeitig verwendet der Beweis seine Voraussetzungen:</w:t>
      </w:r>
    </w:p>
    <w:p w:rsidR="003736B0" w:rsidRDefault="003736B0" w:rsidP="003736B0">
      <w:pPr>
        <w:pStyle w:val="StandardWeb"/>
      </w:pPr>
      <w:r>
        <w:t>[</w:t>
      </w:r>
      <w:r>
        <w:br/>
        <w:t>\left{</w:t>
      </w:r>
      <w:r>
        <w:br/>
        <w:t>D_i,</w:t>
      </w:r>
      <w:r>
        <w:br/>
        <w:t>E_k,</w:t>
      </w:r>
      <w:r>
        <w:br/>
        <w:t>M_{\ell},</w:t>
      </w:r>
      <w:r>
        <w:br/>
        <w:t>S_m</w:t>
      </w:r>
      <w:r>
        <w:br/>
        <w:t>\right}</w:t>
      </w:r>
      <w:r>
        <w:br/>
        <w:t>\longrightarrow_{A}</w:t>
      </w:r>
      <w:r>
        <w:br/>
        <w:t>P_j.</w:t>
      </w:r>
      <w:r>
        <w:br/>
        <w:t>\tag{3.4857}</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\left\{D_i,E_k,M_{\ell},S_m\right\}\longrightarrow_{A}P_j\qquad\text{(3.4857)}</w:t>
      </w:r>
    </w:p>
    <w:p w:rsidR="003736B0" w:rsidRDefault="003736B0" w:rsidP="003736B0">
      <w:pPr>
        <w:pStyle w:val="StandardWeb"/>
      </w:pPr>
      <w:r>
        <w:t>Für diese Kanten gilt</w:t>
      </w:r>
    </w:p>
    <w:p w:rsidR="003736B0" w:rsidRDefault="003736B0" w:rsidP="003736B0">
      <w:pPr>
        <w:pStyle w:val="berschrift1"/>
      </w:pPr>
      <w:r>
        <w:t>[</w:t>
      </w:r>
      <w:r>
        <w:br/>
        <w:t>\lambda_{A}</w:t>
      </w:r>
      <w:r>
        <w:br/>
        <w:t>\left(</w:t>
      </w:r>
      <w:r>
        <w:br/>
        <w:t>x,P_j</w:t>
      </w:r>
      <w:r>
        <w:br/>
        <w:t>\right)</w:t>
      </w:r>
    </w:p>
    <w:p w:rsidR="003736B0" w:rsidRDefault="003736B0" w:rsidP="003736B0">
      <w:pPr>
        <w:pStyle w:val="StandardWeb"/>
      </w:pPr>
      <w:r>
        <w:lastRenderedPageBreak/>
        <w:t>\mathbf{uses}.</w:t>
      </w:r>
      <w:r>
        <w:br/>
        <w:t>\tag{3.4858}</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\lambda_{A}\left(x,P_j\right)=\mathbf{uses}\qquad\text{(3.4858)}</w:t>
      </w:r>
    </w:p>
    <w:p w:rsidR="003736B0" w:rsidRDefault="003736B0" w:rsidP="003736B0">
      <w:pPr>
        <w:pStyle w:val="StandardWeb"/>
      </w:pPr>
      <w:r>
        <w:rPr>
          <w:rStyle w:val="Fett"/>
        </w:rPr>
        <w:t>Eigenleistung des FRZK</w:t>
      </w:r>
    </w:p>
    <w:p w:rsidR="003736B0" w:rsidRDefault="003736B0" w:rsidP="003736B0">
      <w:pPr>
        <w:pStyle w:val="StandardWeb"/>
      </w:pPr>
      <w:r>
        <w:t>Ich unterscheide die Richtung „Voraussetzung wird im Beweis verwendet“ von der Richtung „Beweis begründet den Satz“. Dadurch wird der Beweis nicht fälschlich als Voraussetzung seines eigenen Satzes behandelt.</w:t>
      </w:r>
    </w:p>
    <w:p w:rsidR="003736B0" w:rsidRPr="00AF32B2" w:rsidRDefault="003736B0" w:rsidP="00AF32B2">
      <w:pPr>
        <w:pStyle w:val="berschrift4"/>
      </w:pPr>
      <w:r w:rsidRPr="00AF32B2">
        <w:t>3.3.24.12 Kein Beweiszyklus zwischen Satz und Beweis</w:t>
      </w:r>
    </w:p>
    <w:p w:rsidR="003736B0" w:rsidRDefault="003736B0" w:rsidP="003736B0">
      <w:pPr>
        <w:pStyle w:val="StandardWeb"/>
      </w:pPr>
      <w:r>
        <w:t>Würde sowohl</w:t>
      </w:r>
    </w:p>
    <w:p w:rsidR="003736B0" w:rsidRDefault="003736B0" w:rsidP="003736B0">
      <w:pPr>
        <w:pStyle w:val="StandardWeb"/>
      </w:pPr>
      <w:r>
        <w:t>[</w:t>
      </w:r>
      <w:r>
        <w:br/>
        <w:t>S_j</w:t>
      </w:r>
      <w:r>
        <w:br/>
        <w:t>\longrightarrow_{A}</w:t>
      </w:r>
      <w:r>
        <w:br/>
        <w:t>P_j</w:t>
      </w:r>
      <w:r>
        <w:br/>
        <w:t>\tag{3.4859}</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S_j\longrightarrow_{A}P_j\qquad\text{(3.4859)}</w:t>
      </w:r>
    </w:p>
    <w:p w:rsidR="003736B0" w:rsidRDefault="003736B0" w:rsidP="003736B0">
      <w:pPr>
        <w:pStyle w:val="StandardWeb"/>
      </w:pPr>
      <w:r>
        <w:t>als auch</w:t>
      </w:r>
    </w:p>
    <w:p w:rsidR="003736B0" w:rsidRDefault="003736B0" w:rsidP="003736B0">
      <w:pPr>
        <w:pStyle w:val="StandardWeb"/>
      </w:pPr>
      <w:r>
        <w:t>[</w:t>
      </w:r>
      <w:r>
        <w:br/>
        <w:t>P_j</w:t>
      </w:r>
      <w:r>
        <w:br/>
        <w:t>\longrightarrow_{A}</w:t>
      </w:r>
      <w:r>
        <w:br/>
        <w:t>S_j</w:t>
      </w:r>
      <w:r>
        <w:br/>
        <w:t>\tag{3.4860}</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P_j\longrightarrow_{A}S_j\qquad\text{(3.4860)}</w:t>
      </w:r>
    </w:p>
    <w:p w:rsidR="003736B0" w:rsidRDefault="003736B0" w:rsidP="003736B0">
      <w:pPr>
        <w:pStyle w:val="StandardWeb"/>
      </w:pPr>
      <w:r>
        <w:t>als gewöhnliche notwendige Ableitungskante interpretiert, entstünde formal ein Zweierzyklus.</w:t>
      </w:r>
    </w:p>
    <w:p w:rsidR="003736B0" w:rsidRDefault="003736B0" w:rsidP="003736B0">
      <w:pPr>
        <w:pStyle w:val="StandardWeb"/>
      </w:pPr>
      <w:r>
        <w:t>Dieser scheinbare Zyklus wird vermieden, indem die beiden Kanten semantisch unterschiedlich behandelt werden:</w:t>
      </w:r>
    </w:p>
    <w:p w:rsidR="003736B0" w:rsidRDefault="003736B0" w:rsidP="003736B0">
      <w:pPr>
        <w:pStyle w:val="berschrift1"/>
      </w:pPr>
      <w:r>
        <w:t>[</w:t>
      </w:r>
      <w:r>
        <w:br/>
        <w:t>\lambda_{A}(S_j,P_j)</w:t>
      </w:r>
    </w:p>
    <w:p w:rsidR="003736B0" w:rsidRDefault="003736B0" w:rsidP="003736B0">
      <w:pPr>
        <w:pStyle w:val="StandardWeb"/>
      </w:pPr>
      <w:r>
        <w:lastRenderedPageBreak/>
        <w:t>\mathbf{target},</w:t>
      </w:r>
      <w:r>
        <w:br/>
        <w:t>\tag{3.4861}</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\lambda_{A}(S_j,P_j)=\mathbf{target}\qquad\text{(3.4861)}</w:t>
      </w:r>
    </w:p>
    <w:p w:rsidR="003736B0" w:rsidRDefault="003736B0" w:rsidP="003736B0">
      <w:pPr>
        <w:pStyle w:val="StandardWeb"/>
      </w:pPr>
      <w:r>
        <w:t>und</w:t>
      </w:r>
    </w:p>
    <w:p w:rsidR="003736B0" w:rsidRDefault="003736B0" w:rsidP="003736B0">
      <w:pPr>
        <w:pStyle w:val="berschrift1"/>
      </w:pPr>
      <w:r>
        <w:t>[</w:t>
      </w:r>
      <w:r>
        <w:br/>
        <w:t>\lambda_{A}(P_j,S_j)</w:t>
      </w:r>
    </w:p>
    <w:p w:rsidR="003736B0" w:rsidRDefault="003736B0" w:rsidP="003736B0">
      <w:pPr>
        <w:pStyle w:val="StandardWeb"/>
      </w:pPr>
      <w:r>
        <w:t>\mathbf{proves}.</w:t>
      </w:r>
      <w:r>
        <w:br/>
        <w:t>\tag{3.4862}</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\lambda_{A}(P_j,S_j)=\mathbf{proves}\qquad\text{(3.4862)}</w:t>
      </w:r>
    </w:p>
    <w:p w:rsidR="003736B0" w:rsidRDefault="003736B0" w:rsidP="003736B0">
      <w:pPr>
        <w:pStyle w:val="StandardWeb"/>
      </w:pPr>
      <w:r>
        <w:t>Für die logische Azyklizitätsprüfung wird nur die Begründungsrichtung ausgewertet. Die Zielzuordnung eines Beweises wird als Metadatenbeziehung behandelt.</w:t>
      </w:r>
    </w:p>
    <w:p w:rsidR="003736B0" w:rsidRPr="00AF32B2" w:rsidRDefault="003736B0" w:rsidP="00AF32B2">
      <w:pPr>
        <w:pStyle w:val="berschrift4"/>
      </w:pPr>
      <w:r w:rsidRPr="00AF32B2">
        <w:t>3.3.24.13 Beweisvoraussetzungen von Satz 3.3.1</w:t>
      </w:r>
    </w:p>
    <w:p w:rsidR="003736B0" w:rsidRDefault="003736B0" w:rsidP="003736B0">
      <w:pPr>
        <w:pStyle w:val="StandardWeb"/>
      </w:pPr>
      <w:r>
        <w:t>Satz 3.3.1 bestätigt die paarweise Unabhängigkeit der drei Primäraxiome. Sein Beweis verwendet:</w:t>
      </w:r>
    </w:p>
    <w:p w:rsidR="003736B0" w:rsidRDefault="003736B0" w:rsidP="00632D23">
      <w:pPr>
        <w:pStyle w:val="StandardWeb"/>
        <w:numPr>
          <w:ilvl w:val="0"/>
          <w:numId w:val="122"/>
        </w:numPr>
      </w:pPr>
      <w:r>
        <w:t>Definition 3.3.12 des reduzierten Prämodells,</w:t>
      </w:r>
    </w:p>
    <w:p w:rsidR="003736B0" w:rsidRDefault="003736B0" w:rsidP="00632D23">
      <w:pPr>
        <w:pStyle w:val="StandardWeb"/>
        <w:numPr>
          <w:ilvl w:val="0"/>
          <w:numId w:val="122"/>
        </w:numPr>
      </w:pPr>
      <w:r>
        <w:t>die drei konstruierten Gegenmodelle,</w:t>
      </w:r>
    </w:p>
    <w:p w:rsidR="003736B0" w:rsidRDefault="003736B0" w:rsidP="00632D23">
      <w:pPr>
        <w:pStyle w:val="StandardWeb"/>
        <w:numPr>
          <w:ilvl w:val="0"/>
          <w:numId w:val="122"/>
        </w:numPr>
      </w:pPr>
      <w:r>
        <w:t>die jeweiligen Erfüllungs- und Nichterfüllungsaussagen.</w:t>
      </w:r>
    </w:p>
    <w:p w:rsidR="003736B0" w:rsidRDefault="003736B0" w:rsidP="003736B0">
      <w:pPr>
        <w:pStyle w:val="StandardWeb"/>
      </w:pPr>
      <w:r>
        <w:t>Schematisch gilt</w:t>
      </w:r>
    </w:p>
    <w:p w:rsidR="003736B0" w:rsidRDefault="003736B0" w:rsidP="003736B0">
      <w:pPr>
        <w:pStyle w:val="StandardWeb"/>
      </w:pPr>
      <w:r>
        <w:t>[</w:t>
      </w:r>
      <w:r>
        <w:br/>
        <w:t>\left{</w:t>
      </w:r>
      <w:r>
        <w:br/>
        <w:t>D_{12},</w:t>
      </w:r>
      <w:r>
        <w:br/>
        <w:t>E_{3.4374},</w:t>
      </w:r>
      <w:r>
        <w:br/>
        <w:t>E_{3.4383},</w:t>
      </w:r>
      <w:r>
        <w:br/>
        <w:t>E_{3.4396}</w:t>
      </w:r>
      <w:r>
        <w:br/>
        <w:t>\right}</w:t>
      </w:r>
      <w:r>
        <w:br/>
        <w:t>\longrightarrow_{A}</w:t>
      </w:r>
      <w:r>
        <w:br/>
        <w:t>P_{3.3.1}.</w:t>
      </w:r>
      <w:r>
        <w:br/>
        <w:t>\tag{3.4863}</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lastRenderedPageBreak/>
        <w:t>\left\{D_{12},E_{3.4374},E_{3.4383},E_{3.4396}\right\}\longrightarrow_{A}P_{3.3.1}\qquad\text{(3.4863)}</w:t>
      </w:r>
    </w:p>
    <w:p w:rsidR="003736B0" w:rsidRDefault="003736B0" w:rsidP="003736B0">
      <w:pPr>
        <w:pStyle w:val="StandardWeb"/>
      </w:pPr>
      <w:r>
        <w:t>Der Beweis begründet den Satz:</w:t>
      </w:r>
    </w:p>
    <w:p w:rsidR="003736B0" w:rsidRDefault="003736B0" w:rsidP="003736B0">
      <w:pPr>
        <w:pStyle w:val="StandardWeb"/>
      </w:pPr>
      <w:r>
        <w:t>[</w:t>
      </w:r>
      <w:r>
        <w:br/>
        <w:t>P_{3.3.1}</w:t>
      </w:r>
      <w:r>
        <w:br/>
        <w:t>\longrightarrow_{A}</w:t>
      </w:r>
      <w:r>
        <w:br/>
        <w:t>S_{3.3.1}.</w:t>
      </w:r>
      <w:r>
        <w:br/>
        <w:t>\tag{3.4864}</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P_{3.3.1}\longrightarrow_{A}S_{3.3.1}\qquad\text{(3.4864)}</w:t>
      </w:r>
    </w:p>
    <w:p w:rsidR="003736B0" w:rsidRDefault="003736B0" w:rsidP="003736B0">
      <w:pPr>
        <w:pStyle w:val="StandardWeb"/>
      </w:pPr>
      <w:r>
        <w:t>Keine Voraussetzung dieses Beweises hängt vom Satz 3.3.1 selbst ab.</w:t>
      </w:r>
    </w:p>
    <w:p w:rsidR="003736B0" w:rsidRPr="00AF32B2" w:rsidRDefault="003736B0" w:rsidP="00AF32B2">
      <w:pPr>
        <w:pStyle w:val="berschrift4"/>
      </w:pPr>
      <w:r w:rsidRPr="00AF32B2">
        <w:t>3.3.24.14 Beweisvoraussetzungen von Satz 3.3.2</w:t>
      </w:r>
    </w:p>
    <w:p w:rsidR="003736B0" w:rsidRDefault="003736B0" w:rsidP="003736B0">
      <w:pPr>
        <w:pStyle w:val="StandardWeb"/>
      </w:pPr>
      <w:r>
        <w:t>Satz 3.3.2 bestätigt die relative Konsistenz der drei Primäraxiome. Sein Beweis verwendet das gemeinsame minimale Primäraxiomenmodell und die Nichtleerheit seiner drei Komponenten:</w:t>
      </w:r>
    </w:p>
    <w:p w:rsidR="003736B0" w:rsidRDefault="003736B0" w:rsidP="003736B0">
      <w:pPr>
        <w:pStyle w:val="StandardWeb"/>
      </w:pPr>
      <w:r>
        <w:t>[</w:t>
      </w:r>
      <w:r>
        <w:br/>
        <w:t>\left{</w:t>
      </w:r>
      <w:r>
        <w:br/>
        <w:t>D_{13},</w:t>
      </w:r>
      <w:r>
        <w:br/>
        <w:t>E_{3.4430},</w:t>
      </w:r>
      <w:r>
        <w:br/>
        <w:t>E_{3.4435},</w:t>
      </w:r>
      <w:r>
        <w:br/>
        <w:t>E_{3.4441},</w:t>
      </w:r>
      <w:r>
        <w:br/>
        <w:t>E_{3.4443}</w:t>
      </w:r>
      <w:r>
        <w:br/>
        <w:t>\right}</w:t>
      </w:r>
      <w:r>
        <w:br/>
        <w:t>\longrightarrow_{A}</w:t>
      </w:r>
      <w:r>
        <w:br/>
        <w:t>P_{3.3.2}.</w:t>
      </w:r>
      <w:r>
        <w:br/>
        <w:t>\tag{3.4865}</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\left\{D_{13},E_{3.4430},E_{3.4435},E_{3.4441},E_{3.4443}\right\}\longrightarrow_{A}P_{3.3.2}\qquad\text{(3.4865)}</w:t>
      </w:r>
    </w:p>
    <w:p w:rsidR="003736B0" w:rsidRDefault="003736B0" w:rsidP="003736B0">
      <w:pPr>
        <w:pStyle w:val="StandardWeb"/>
      </w:pPr>
      <w:r>
        <w:t>Der Beweis begründet</w:t>
      </w:r>
    </w:p>
    <w:p w:rsidR="003736B0" w:rsidRDefault="003736B0" w:rsidP="003736B0">
      <w:pPr>
        <w:pStyle w:val="StandardWeb"/>
      </w:pPr>
      <w:r>
        <w:t>[</w:t>
      </w:r>
      <w:r>
        <w:br/>
        <w:t>P_{3.3.2}</w:t>
      </w:r>
      <w:r>
        <w:br/>
        <w:t>\longrightarrow_{A}</w:t>
      </w:r>
      <w:r>
        <w:br/>
        <w:t>S_{3.3.2}.</w:t>
      </w:r>
      <w:r>
        <w:br/>
        <w:t>\tag{3.4866}</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lastRenderedPageBreak/>
        <w:t>P_{3.3.2}\longrightarrow_{A}S_{3.3.2}\qquad\text{(3.4866)}</w:t>
      </w:r>
    </w:p>
    <w:p w:rsidR="003736B0" w:rsidRDefault="003736B0" w:rsidP="003736B0">
      <w:pPr>
        <w:pStyle w:val="StandardWeb"/>
      </w:pPr>
      <w:r>
        <w:t>Der Konsistenzsatz verwendet nicht den späteren Minimalitätssatz. Seine Begründung ist deshalb von Satz 3.3.3 unabhängig.</w:t>
      </w:r>
    </w:p>
    <w:p w:rsidR="003736B0" w:rsidRPr="00AF32B2" w:rsidRDefault="003736B0" w:rsidP="00AF32B2">
      <w:pPr>
        <w:pStyle w:val="berschrift4"/>
      </w:pPr>
      <w:r w:rsidRPr="00AF32B2">
        <w:t>3.3.24.15 Beweisvoraussetzungen von Satz 3.3.3</w:t>
      </w:r>
    </w:p>
    <w:p w:rsidR="003736B0" w:rsidRDefault="003736B0" w:rsidP="003736B0">
      <w:pPr>
        <w:pStyle w:val="StandardWeb"/>
      </w:pPr>
      <w:r>
        <w:t>Satz 3.3.3 zur begrifflichen Minimalität verwendet:</w:t>
      </w:r>
    </w:p>
    <w:p w:rsidR="003736B0" w:rsidRDefault="003736B0" w:rsidP="00632D23">
      <w:pPr>
        <w:pStyle w:val="StandardWeb"/>
        <w:numPr>
          <w:ilvl w:val="0"/>
          <w:numId w:val="123"/>
        </w:numPr>
      </w:pPr>
      <w:r>
        <w:t>das gemeinsame Minimalmodell,</w:t>
      </w:r>
    </w:p>
    <w:p w:rsidR="003736B0" w:rsidRDefault="003736B0" w:rsidP="00632D23">
      <w:pPr>
        <w:pStyle w:val="StandardWeb"/>
        <w:numPr>
          <w:ilvl w:val="0"/>
          <w:numId w:val="123"/>
        </w:numPr>
      </w:pPr>
      <w:r>
        <w:t>Gegenbeispiele gegen stärkere Fassungen der drei Primäraxiome,</w:t>
      </w:r>
    </w:p>
    <w:p w:rsidR="003736B0" w:rsidRDefault="003736B0" w:rsidP="00632D23">
      <w:pPr>
        <w:pStyle w:val="StandardWeb"/>
        <w:numPr>
          <w:ilvl w:val="0"/>
          <w:numId w:val="123"/>
        </w:numPr>
      </w:pPr>
      <w:r>
        <w:t>die Zulassung der Identitätsabbildung,</w:t>
      </w:r>
    </w:p>
    <w:p w:rsidR="003736B0" w:rsidRDefault="003736B0" w:rsidP="00632D23">
      <w:pPr>
        <w:pStyle w:val="StandardWeb"/>
        <w:numPr>
          <w:ilvl w:val="0"/>
          <w:numId w:val="123"/>
        </w:numPr>
      </w:pPr>
      <w:r>
        <w:t>die Unabhängigkeits- und Konsistenzergebnisse als Hintergrund.</w:t>
      </w:r>
    </w:p>
    <w:p w:rsidR="003736B0" w:rsidRDefault="003736B0" w:rsidP="003736B0">
      <w:pPr>
        <w:pStyle w:val="StandardWeb"/>
      </w:pPr>
      <w:r>
        <w:t>Schematisch gilt</w:t>
      </w:r>
    </w:p>
    <w:p w:rsidR="003736B0" w:rsidRDefault="003736B0" w:rsidP="003736B0">
      <w:pPr>
        <w:pStyle w:val="StandardWeb"/>
      </w:pPr>
      <w:r>
        <w:t>[</w:t>
      </w:r>
      <w:r>
        <w:br/>
        <w:t>\left{</w:t>
      </w:r>
      <w:r>
        <w:br/>
        <w:t>D_{13},</w:t>
      </w:r>
      <w:r>
        <w:br/>
        <w:t>S_{3.3.1},</w:t>
      </w:r>
      <w:r>
        <w:br/>
        <w:t>S_{3.3.2},</w:t>
      </w:r>
      <w:r>
        <w:br/>
        <w:t>E_{3.4511},</w:t>
      </w:r>
      <w:r>
        <w:br/>
        <w:t>E_{3.4532},</w:t>
      </w:r>
      <w:r>
        <w:br/>
        <w:t>E_{3.4553}</w:t>
      </w:r>
      <w:r>
        <w:br/>
        <w:t>\right}</w:t>
      </w:r>
      <w:r>
        <w:br/>
        <w:t>\longrightarrow_{A}</w:t>
      </w:r>
      <w:r>
        <w:br/>
        <w:t>P_{3.3.3}.</w:t>
      </w:r>
      <w:r>
        <w:br/>
        <w:t>\tag{3.4867}</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\left\{D_{13},S_{3.3.1},S_{3.3.2},E_{3.4511},E_{3.4532},E_{3.4553}\right\}\longrightarrow_{A}P_{3.3.3}\qquad\text{(3.4867)}</w:t>
      </w:r>
    </w:p>
    <w:p w:rsidR="003736B0" w:rsidRDefault="003736B0" w:rsidP="003736B0">
      <w:pPr>
        <w:pStyle w:val="StandardWeb"/>
      </w:pPr>
      <w:r>
        <w:t>Der Beweis begründet</w:t>
      </w:r>
    </w:p>
    <w:p w:rsidR="003736B0" w:rsidRDefault="003736B0" w:rsidP="003736B0">
      <w:pPr>
        <w:pStyle w:val="StandardWeb"/>
      </w:pPr>
      <w:r>
        <w:t>[</w:t>
      </w:r>
      <w:r>
        <w:br/>
        <w:t>P_{3.3.3}</w:t>
      </w:r>
      <w:r>
        <w:br/>
        <w:t>\longrightarrow_{A}</w:t>
      </w:r>
      <w:r>
        <w:br/>
        <w:t>S_{3.3.3}.</w:t>
      </w:r>
      <w:r>
        <w:br/>
        <w:t>\tag{3.4868}</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P_{3.3.3}\longrightarrow_{A}S_{3.3.3}\qquad\text{(3.4868)}</w:t>
      </w:r>
    </w:p>
    <w:p w:rsidR="003736B0" w:rsidRDefault="003736B0" w:rsidP="003736B0">
      <w:pPr>
        <w:pStyle w:val="StandardWeb"/>
      </w:pPr>
      <w:r>
        <w:t>Damit baut Satz 3.3.3 auf bereits abgeschlossenen früheren Prüfschritten auf.</w:t>
      </w:r>
    </w:p>
    <w:p w:rsidR="003736B0" w:rsidRPr="00AF32B2" w:rsidRDefault="003736B0" w:rsidP="00AF32B2">
      <w:pPr>
        <w:pStyle w:val="berschrift4"/>
      </w:pPr>
      <w:r w:rsidRPr="00AF32B2">
        <w:t>3.3.24.16 Beweisvoraussetzungen von Satz 3.3.4</w:t>
      </w:r>
    </w:p>
    <w:p w:rsidR="003736B0" w:rsidRDefault="003736B0" w:rsidP="003736B0">
      <w:pPr>
        <w:pStyle w:val="StandardWeb"/>
      </w:pPr>
      <w:r>
        <w:lastRenderedPageBreak/>
        <w:t>Satz 3.3.4 zur Typkonsistenz verwendet die FRZK-Typmatrix und die typisierten Definitions- und Zielbereiche zentraler Abbildungen:</w:t>
      </w:r>
    </w:p>
    <w:p w:rsidR="003736B0" w:rsidRDefault="003736B0" w:rsidP="003736B0">
      <w:pPr>
        <w:pStyle w:val="StandardWeb"/>
      </w:pPr>
      <w:r>
        <w:t>[</w:t>
      </w:r>
      <w:r>
        <w:br/>
        <w:t>\left{</w:t>
      </w:r>
      <w:r>
        <w:br/>
        <w:t>D_{14},</w:t>
      </w:r>
      <w:r>
        <w:br/>
        <w:t>E_{3.4692},</w:t>
      </w:r>
      <w:r>
        <w:br/>
        <w:t>E_{3.4693},</w:t>
      </w:r>
      <w:r>
        <w:br/>
        <w:t>E_{3.4694},</w:t>
      </w:r>
      <w:r>
        <w:br/>
        <w:t>E_{3.4695},</w:t>
      </w:r>
      <w:r>
        <w:br/>
        <w:t>E_{3.4696},</w:t>
      </w:r>
      <w:r>
        <w:br/>
        <w:t>E_{3.4697}</w:t>
      </w:r>
      <w:r>
        <w:br/>
        <w:t>\right}</w:t>
      </w:r>
      <w:r>
        <w:br/>
        <w:t>\longrightarrow_{A}</w:t>
      </w:r>
      <w:r>
        <w:br/>
        <w:t>P_{3.3.4}.</w:t>
      </w:r>
      <w:r>
        <w:br/>
        <w:t>\tag{3.4869}</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\left\{D_{14},E_{3.4692},E_{3.4693},E_{3.4694},E_{3.4695},E_{3.4696},E_{3.4697}\right\}\longrightarrow_{A}P_{3.3.4}\qquad\text{(3.4869)}</w:t>
      </w:r>
    </w:p>
    <w:p w:rsidR="003736B0" w:rsidRDefault="003736B0" w:rsidP="003736B0">
      <w:pPr>
        <w:pStyle w:val="StandardWeb"/>
      </w:pPr>
      <w:r>
        <w:t>Der Beweis begründet</w:t>
      </w:r>
    </w:p>
    <w:p w:rsidR="003736B0" w:rsidRDefault="003736B0" w:rsidP="003736B0">
      <w:pPr>
        <w:pStyle w:val="StandardWeb"/>
      </w:pPr>
      <w:r>
        <w:t>[</w:t>
      </w:r>
      <w:r>
        <w:br/>
        <w:t>P_{3.3.4}</w:t>
      </w:r>
      <w:r>
        <w:br/>
        <w:t>\longrightarrow_{A}</w:t>
      </w:r>
      <w:r>
        <w:br/>
        <w:t>S_{3.3.4}.</w:t>
      </w:r>
      <w:r>
        <w:br/>
        <w:t>\tag{3.4870}</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P_{3.3.4}\longrightarrow_{A}S_{3.3.4}\qquad\text{(3.4870)}</w:t>
      </w:r>
    </w:p>
    <w:p w:rsidR="003736B0" w:rsidRDefault="003736B0" w:rsidP="003736B0">
      <w:pPr>
        <w:pStyle w:val="StandardWeb"/>
      </w:pPr>
      <w:r>
        <w:t>Die Typkonsistenzprüfung setzt die zuvor eingeführten Definitionen voraus, nicht aber den späteren Definitionsabhängigkeitsgraphen.</w:t>
      </w:r>
    </w:p>
    <w:p w:rsidR="003736B0" w:rsidRPr="00AF32B2" w:rsidRDefault="003736B0" w:rsidP="00AF32B2">
      <w:pPr>
        <w:pStyle w:val="berschrift4"/>
      </w:pPr>
      <w:r w:rsidRPr="00AF32B2">
        <w:t>3.3.24.17 Beweisvoraussetzungen von Satz 3.3.5</w:t>
      </w:r>
    </w:p>
    <w:p w:rsidR="003736B0" w:rsidRDefault="003736B0" w:rsidP="003736B0">
      <w:pPr>
        <w:pStyle w:val="StandardWeb"/>
      </w:pPr>
      <w:r>
        <w:t>Satz 3.3.5 zur Zirkularitätsfreiheit verwendet den Definitionsabhängigkeitsgraphen, die transitive Hülle und eine topologische Nummerierung:</w:t>
      </w:r>
    </w:p>
    <w:p w:rsidR="003736B0" w:rsidRDefault="003736B0" w:rsidP="003736B0">
      <w:pPr>
        <w:pStyle w:val="StandardWeb"/>
      </w:pPr>
      <w:r>
        <w:t>[</w:t>
      </w:r>
      <w:r>
        <w:br/>
        <w:t>\left{</w:t>
      </w:r>
      <w:r>
        <w:br/>
        <w:t>D_{15},</w:t>
      </w:r>
      <w:r>
        <w:br/>
        <w:t>E_{3.4781},</w:t>
      </w:r>
      <w:r>
        <w:br/>
        <w:t>E_{3.4786},</w:t>
      </w:r>
      <w:r>
        <w:br/>
        <w:t>E_{3.4799},</w:t>
      </w:r>
      <w:r>
        <w:br/>
        <w:t>E_{3.4800},</w:t>
      </w:r>
      <w:r>
        <w:br/>
      </w:r>
      <w:r>
        <w:lastRenderedPageBreak/>
        <w:t>E_{3.4801}</w:t>
      </w:r>
      <w:r>
        <w:br/>
        <w:t>\right}</w:t>
      </w:r>
      <w:r>
        <w:br/>
        <w:t>\longrightarrow_{A}</w:t>
      </w:r>
      <w:r>
        <w:br/>
        <w:t>P_{3.3.5}.</w:t>
      </w:r>
      <w:r>
        <w:br/>
        <w:t>\tag{3.4871}</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\left\{D_{15},E_{3.4781},E_{3.4786},E_{3.4799},E_{3.4800},E_{3.4801}\right\}\longrightarrow_{A}P_{3.3.5}\qquad\text{(3.4871)}</w:t>
      </w:r>
    </w:p>
    <w:p w:rsidR="003736B0" w:rsidRDefault="003736B0" w:rsidP="003736B0">
      <w:pPr>
        <w:pStyle w:val="StandardWeb"/>
      </w:pPr>
      <w:r>
        <w:t>Der Beweis begründet</w:t>
      </w:r>
    </w:p>
    <w:p w:rsidR="003736B0" w:rsidRDefault="003736B0" w:rsidP="003736B0">
      <w:pPr>
        <w:pStyle w:val="StandardWeb"/>
      </w:pPr>
      <w:r>
        <w:t>[</w:t>
      </w:r>
      <w:r>
        <w:br/>
        <w:t>P_{3.3.5}</w:t>
      </w:r>
      <w:r>
        <w:br/>
        <w:t>\longrightarrow_{A}</w:t>
      </w:r>
      <w:r>
        <w:br/>
        <w:t>S_{3.3.5}.</w:t>
      </w:r>
      <w:r>
        <w:br/>
        <w:t>\tag{3.4872}</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P_{3.3.5}\longrightarrow_{A}S_{3.3.5}\qquad\text{(3.4872)}</w:t>
      </w:r>
    </w:p>
    <w:p w:rsidR="003736B0" w:rsidRDefault="003736B0" w:rsidP="003736B0">
      <w:pPr>
        <w:pStyle w:val="StandardWeb"/>
      </w:pPr>
      <w:r>
        <w:t>Damit ist auch der Definitionsabhängigkeitsgraph selbst auf bereits eingeführte Definitionen und graphentheoretische Strukturen zurückgeführt.</w:t>
      </w:r>
    </w:p>
    <w:p w:rsidR="003736B0" w:rsidRPr="00AF32B2" w:rsidRDefault="003736B0" w:rsidP="00AF32B2">
      <w:pPr>
        <w:pStyle w:val="berschrift4"/>
      </w:pPr>
      <w:r w:rsidRPr="00AF32B2">
        <w:t>3.3.24.18 Vollständigkeitsbedingung eines Beweises</w:t>
      </w:r>
    </w:p>
    <w:p w:rsidR="003736B0" w:rsidRDefault="003736B0" w:rsidP="003736B0">
      <w:pPr>
        <w:pStyle w:val="StandardWeb"/>
      </w:pPr>
      <w:r>
        <w:t>Die Menge aller im Beweis (P_j) tatsächlich verwendeten Voraussetzungen sei</w:t>
      </w:r>
    </w:p>
    <w:p w:rsidR="003736B0" w:rsidRDefault="003736B0" w:rsidP="003736B0">
      <w:pPr>
        <w:pStyle w:val="StandardWeb"/>
      </w:pPr>
      <w:r>
        <w:t>[</w:t>
      </w:r>
      <w:r>
        <w:br/>
        <w:t>\operatorname{Use}(P_j).</w:t>
      </w:r>
      <w:r>
        <w:br/>
        <w:t>\tag{3.4873}</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\operatorname{Use}(P_j)\qquad\text{(3.4873)}</w:t>
      </w:r>
    </w:p>
    <w:p w:rsidR="003736B0" w:rsidRDefault="003736B0" w:rsidP="003736B0">
      <w:pPr>
        <w:pStyle w:val="StandardWeb"/>
      </w:pPr>
      <w:r>
        <w:t>Die Menge aller im Repository dokumentierten Voraussetzungen sei</w:t>
      </w:r>
    </w:p>
    <w:p w:rsidR="003736B0" w:rsidRDefault="003736B0" w:rsidP="003736B0">
      <w:pPr>
        <w:pStyle w:val="StandardWeb"/>
      </w:pPr>
      <w:r>
        <w:t>[</w:t>
      </w:r>
      <w:r>
        <w:br/>
        <w:t>\operatorname{Doc}(P_j).</w:t>
      </w:r>
      <w:r>
        <w:br/>
        <w:t>\tag{3.4874}</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\operatorname{Doc}(P_j)\qquad\text{(3.4874)}</w:t>
      </w:r>
    </w:p>
    <w:p w:rsidR="003736B0" w:rsidRDefault="003736B0" w:rsidP="003736B0">
      <w:pPr>
        <w:pStyle w:val="StandardWeb"/>
      </w:pPr>
      <w:r>
        <w:lastRenderedPageBreak/>
        <w:t>Ein Beweis ist abhängigkeitsvollständig dokumentiert, wenn</w:t>
      </w:r>
    </w:p>
    <w:p w:rsidR="003736B0" w:rsidRDefault="003736B0" w:rsidP="003736B0">
      <w:pPr>
        <w:pStyle w:val="StandardWeb"/>
      </w:pPr>
      <w:r>
        <w:t>[</w:t>
      </w:r>
      <w:r>
        <w:br/>
        <w:t>\operatorname{Use}(P_j)</w:t>
      </w:r>
      <w:r>
        <w:br/>
        <w:t>\subseteq</w:t>
      </w:r>
      <w:r>
        <w:br/>
        <w:t>\operatorname{Doc}(P_j).</w:t>
      </w:r>
      <w:r>
        <w:br/>
        <w:t>\tag{3.4875}</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\operatorname{Use}(P_j)\subseteq\operatorname{Doc}(P_j)\qquad\text{(3.4875)}</w:t>
      </w:r>
    </w:p>
    <w:p w:rsidR="003736B0" w:rsidRDefault="003736B0" w:rsidP="003736B0">
      <w:pPr>
        <w:pStyle w:val="StandardWeb"/>
      </w:pPr>
      <w:r>
        <w:t>Bei vollständiger Übereinstimmung gilt</w:t>
      </w:r>
    </w:p>
    <w:p w:rsidR="003736B0" w:rsidRDefault="003736B0" w:rsidP="003736B0">
      <w:pPr>
        <w:pStyle w:val="berschrift1"/>
      </w:pPr>
      <w:r>
        <w:t>[</w:t>
      </w:r>
      <w:r>
        <w:br/>
        <w:t>\operatorname{Use}(P_j)</w:t>
      </w:r>
    </w:p>
    <w:p w:rsidR="003736B0" w:rsidRDefault="003736B0" w:rsidP="003736B0">
      <w:pPr>
        <w:pStyle w:val="StandardWeb"/>
      </w:pPr>
      <w:r>
        <w:t>\operatorname{Doc}(P_j).</w:t>
      </w:r>
      <w:r>
        <w:br/>
        <w:t>\tag{3.4876}</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\operatorname{Use}(P_j)=\operatorname{Doc}(P_j)\qquad\text{(3.4876)}</w:t>
      </w:r>
    </w:p>
    <w:p w:rsidR="003736B0" w:rsidRDefault="003736B0" w:rsidP="003736B0">
      <w:pPr>
        <w:pStyle w:val="StandardWeb"/>
      </w:pPr>
      <w:r>
        <w:t>Die Gleichheit ist stärker als erforderlich, weil das Repository zusätzlich erläuternde oder unterstützende Abhängigkeiten enthalten kann.</w:t>
      </w:r>
    </w:p>
    <w:p w:rsidR="003736B0" w:rsidRPr="00AF32B2" w:rsidRDefault="003736B0" w:rsidP="00AF32B2">
      <w:pPr>
        <w:pStyle w:val="berschrift4"/>
      </w:pPr>
      <w:r w:rsidRPr="00AF32B2">
        <w:t>3.3.24.19 Nicht dokumentierte Voraussetzungen</w:t>
      </w:r>
    </w:p>
    <w:p w:rsidR="003736B0" w:rsidRDefault="003736B0" w:rsidP="003736B0">
      <w:pPr>
        <w:pStyle w:val="StandardWeb"/>
      </w:pPr>
      <w:r>
        <w:t>Die Menge nicht dokumentierter Beweisvoraussetzungen lautet</w:t>
      </w:r>
    </w:p>
    <w:p w:rsidR="003736B0" w:rsidRDefault="003736B0" w:rsidP="003736B0">
      <w:pPr>
        <w:pStyle w:val="berschrift1"/>
      </w:pPr>
      <w:r>
        <w:t>[</w:t>
      </w:r>
      <w:r>
        <w:br/>
        <w:t>\mathcal{M}_{P}(P_j)</w:t>
      </w:r>
    </w:p>
    <w:p w:rsidR="003736B0" w:rsidRDefault="003736B0" w:rsidP="003736B0">
      <w:pPr>
        <w:pStyle w:val="StandardWeb"/>
      </w:pPr>
      <w:r>
        <w:t>\operatorname{Use}(P_j)</w:t>
      </w:r>
      <w:r>
        <w:br/>
        <w:t>\setminus</w:t>
      </w:r>
      <w:r>
        <w:br/>
        <w:t>\operatorname{Doc}(P_j).</w:t>
      </w:r>
      <w:r>
        <w:br/>
        <w:t>\tag{3.4877}</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\mathcal{M}_{P}(P_j)=\operatorname{Use}(P_j)\setminus\operatorname{Doc}(P_j)\qquad\text{(3.4877)}</w:t>
      </w:r>
    </w:p>
    <w:p w:rsidR="003736B0" w:rsidRDefault="003736B0" w:rsidP="003736B0">
      <w:pPr>
        <w:pStyle w:val="StandardWeb"/>
      </w:pPr>
      <w:r>
        <w:t>Ein vollständig dokumentierter Beweis erfüllt</w:t>
      </w:r>
    </w:p>
    <w:p w:rsidR="003736B0" w:rsidRDefault="003736B0" w:rsidP="003736B0">
      <w:pPr>
        <w:pStyle w:val="berschrift1"/>
      </w:pPr>
      <w:r>
        <w:lastRenderedPageBreak/>
        <w:t>[</w:t>
      </w:r>
      <w:r>
        <w:br/>
        <w:t>\mathcal{M}_{P}(P_j)</w:t>
      </w:r>
    </w:p>
    <w:p w:rsidR="003736B0" w:rsidRDefault="003736B0" w:rsidP="003736B0">
      <w:pPr>
        <w:pStyle w:val="StandardWeb"/>
      </w:pPr>
      <w:r>
        <w:t>\emptyset.</w:t>
      </w:r>
      <w:r>
        <w:br/>
        <w:t>\tag{3.4878}</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\mathcal{M}_{P}(P_j)=\emptyset\qquad\text{(3.4878)}</w:t>
      </w:r>
    </w:p>
    <w:p w:rsidR="003736B0" w:rsidRDefault="003736B0" w:rsidP="003736B0">
      <w:pPr>
        <w:pStyle w:val="StandardWeb"/>
      </w:pPr>
      <w:r>
        <w:t>Eine nichtleere Menge</w:t>
      </w:r>
    </w:p>
    <w:p w:rsidR="003736B0" w:rsidRDefault="003736B0" w:rsidP="003736B0">
      <w:pPr>
        <w:pStyle w:val="StandardWeb"/>
      </w:pPr>
      <w:r>
        <w:t>[</w:t>
      </w:r>
      <w:r>
        <w:br/>
        <w:t>\mathcal{M}_{P}(P_j)</w:t>
      </w:r>
      <w:r>
        <w:br/>
        <w:t>\neq</w:t>
      </w:r>
      <w:r>
        <w:br/>
        <w:t>\emptyset</w:t>
      </w:r>
      <w:r>
        <w:br/>
        <w:t>\tag{3.4879}</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\mathcal{M}_{P}(P_j)\neq\emptyset\qquad\text{(3.4879)}</w:t>
      </w:r>
    </w:p>
    <w:p w:rsidR="003736B0" w:rsidRDefault="003736B0" w:rsidP="003736B0">
      <w:pPr>
        <w:pStyle w:val="StandardWeb"/>
      </w:pPr>
      <w:r>
        <w:t>zeigt, dass der Beweis mindestens eine implizite oder nicht registrierte Voraussetzung verwendet.</w:t>
      </w:r>
    </w:p>
    <w:p w:rsidR="003736B0" w:rsidRDefault="003736B0" w:rsidP="003736B0">
      <w:pPr>
        <w:pStyle w:val="StandardWeb"/>
      </w:pPr>
      <w:r>
        <w:rPr>
          <w:rStyle w:val="Fett"/>
        </w:rPr>
        <w:t>Eigenleistung des FRZK</w:t>
      </w:r>
    </w:p>
    <w:p w:rsidR="003736B0" w:rsidRDefault="003736B0" w:rsidP="003736B0">
      <w:pPr>
        <w:pStyle w:val="StandardWeb"/>
      </w:pPr>
      <w:r>
        <w:t>Ich behandle fehlende Abhängigkeitskanten als wissenschaftliches Dokumentationsproblem. Ein formal korrekter Beweis kann im Repository dennoch unvollständig sein, wenn seine tatsächlichen Voraussetzungen nicht maschinenlesbar erfasst wurden.</w:t>
      </w:r>
    </w:p>
    <w:p w:rsidR="003736B0" w:rsidRPr="00AF32B2" w:rsidRDefault="003736B0" w:rsidP="00AF32B2">
      <w:pPr>
        <w:pStyle w:val="berschrift4"/>
      </w:pPr>
      <w:r w:rsidRPr="00AF32B2">
        <w:t>3.3.24.20 Wissenschaftlich unzulässige Vorwärtsabhängigkeit</w:t>
      </w:r>
    </w:p>
    <w:p w:rsidR="003736B0" w:rsidRDefault="003736B0" w:rsidP="003736B0">
      <w:pPr>
        <w:pStyle w:val="StandardWeb"/>
      </w:pPr>
      <w:r>
        <w:t>Sei</w:t>
      </w:r>
    </w:p>
    <w:p w:rsidR="003736B0" w:rsidRDefault="003736B0" w:rsidP="003736B0">
      <w:pPr>
        <w:pStyle w:val="StandardWeb"/>
      </w:pPr>
      <w:r>
        <w:t>[</w:t>
      </w:r>
      <w:r>
        <w:br/>
        <w:t>\operatorname{pos}(x)</w:t>
      </w:r>
      <w:r>
        <w:br/>
        <w:t>\tag{3.4880}</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\operatorname{pos}(x)\qquad\text{(3.4880)}</w:t>
      </w:r>
    </w:p>
    <w:p w:rsidR="003736B0" w:rsidRDefault="003736B0" w:rsidP="003736B0">
      <w:pPr>
        <w:pStyle w:val="StandardWeb"/>
      </w:pPr>
      <w:r>
        <w:t>die chronologische Position eines wissenschaftlichen Objekts im Manuskript.</w:t>
      </w:r>
    </w:p>
    <w:p w:rsidR="003736B0" w:rsidRDefault="003736B0" w:rsidP="003736B0">
      <w:pPr>
        <w:pStyle w:val="StandardWeb"/>
      </w:pPr>
      <w:r>
        <w:t>Eine gewöhnliche Begründungsabhängigkeit sollte erfüllen:</w:t>
      </w:r>
    </w:p>
    <w:p w:rsidR="003736B0" w:rsidRDefault="003736B0" w:rsidP="003736B0">
      <w:pPr>
        <w:pStyle w:val="StandardWeb"/>
      </w:pPr>
      <w:r>
        <w:lastRenderedPageBreak/>
        <w:t>[</w:t>
      </w:r>
      <w:r>
        <w:br/>
        <w:t>x</w:t>
      </w:r>
      <w:r>
        <w:br/>
        <w:t>\longrightarrow_{A}</w:t>
      </w:r>
      <w:r>
        <w:br/>
        <w:t>y</w:t>
      </w:r>
      <w:r>
        <w:br/>
        <w:t>\Rightarrow</w:t>
      </w:r>
      <w:r>
        <w:br/>
        <w:t>\operatorname{pos}(x)</w:t>
      </w:r>
      <w:r>
        <w:br/>
        <w:t>&lt;</w:t>
      </w:r>
      <w:r>
        <w:br/>
        <w:t>\operatorname{pos}(y).</w:t>
      </w:r>
      <w:r>
        <w:br/>
        <w:t>\tag{3.4881}</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x\longrightarrow_{A}y\Rightarrow\operatorname{pos}(x)&lt;\operatorname{pos}(y)\qquad\text{(3.4881)}</w:t>
      </w:r>
    </w:p>
    <w:p w:rsidR="003736B0" w:rsidRDefault="003736B0" w:rsidP="003736B0">
      <w:pPr>
        <w:pStyle w:val="StandardWeb"/>
      </w:pPr>
      <w:r>
        <w:t>Eine Vorwärtsabhängigkeit wäre gegeben durch</w:t>
      </w:r>
    </w:p>
    <w:p w:rsidR="003736B0" w:rsidRDefault="003736B0" w:rsidP="003736B0">
      <w:pPr>
        <w:pStyle w:val="StandardWeb"/>
      </w:pPr>
      <w:r>
        <w:t>[</w:t>
      </w:r>
      <w:r>
        <w:br/>
        <w:t>x</w:t>
      </w:r>
      <w:r>
        <w:br/>
        <w:t>\longrightarrow_{A}</w:t>
      </w:r>
      <w:r>
        <w:br/>
        <w:t>y</w:t>
      </w:r>
      <w:r>
        <w:br/>
        <w:t>\land</w:t>
      </w:r>
      <w:r>
        <w:br/>
        <w:t>\operatorname{pos}(x)</w:t>
      </w:r>
    </w:p>
    <w:p w:rsidR="003736B0" w:rsidRDefault="003736B0" w:rsidP="003736B0">
      <w:pPr>
        <w:pStyle w:val="StandardWeb"/>
      </w:pPr>
      <w:r>
        <w:t>\operatorname{pos}(y).</w:t>
      </w:r>
      <w:r>
        <w:br/>
        <w:t>\tag{3.4882}</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x\longrightarrow_{A}y\land\operatorname{pos}(x)&gt;\operatorname{pos}(y)\qquad\text{(3.4882)}</w:t>
      </w:r>
    </w:p>
    <w:p w:rsidR="003736B0" w:rsidRDefault="003736B0" w:rsidP="003736B0">
      <w:pPr>
        <w:pStyle w:val="StandardWeb"/>
      </w:pPr>
      <w:r>
        <w:t>Sie ist nur zulässig, wenn es sich um eine ausdrücklich gekennzeichnete Vorschau, spätere Präzisierung oder redaktionelle Verweisung handelt. Eine logisch notwendige Voraussetzung darf nicht erst nach dem von ihr abhängigen Beweis eingeführt werden.</w:t>
      </w:r>
    </w:p>
    <w:p w:rsidR="003736B0" w:rsidRPr="00AF32B2" w:rsidRDefault="003736B0" w:rsidP="00AF32B2">
      <w:pPr>
        <w:pStyle w:val="berschrift4"/>
      </w:pPr>
      <w:r w:rsidRPr="00AF32B2">
        <w:t>3.3.24.21 Ableitungszyklen</w:t>
      </w:r>
    </w:p>
    <w:p w:rsidR="003736B0" w:rsidRDefault="003736B0" w:rsidP="003736B0">
      <w:pPr>
        <w:pStyle w:val="StandardWeb"/>
      </w:pPr>
      <w:r>
        <w:t>Ein wissenschaftlicher Ableitungszyklus liegt vor, wenn</w:t>
      </w:r>
    </w:p>
    <w:p w:rsidR="003736B0" w:rsidRDefault="003736B0" w:rsidP="003736B0">
      <w:pPr>
        <w:pStyle w:val="StandardWeb"/>
      </w:pPr>
      <w:r>
        <w:t>[</w:t>
      </w:r>
      <w:r>
        <w:br/>
        <w:t>x_1</w:t>
      </w:r>
      <w:r>
        <w:br/>
        <w:t>\longrightarrow_{A}</w:t>
      </w:r>
      <w:r>
        <w:br/>
        <w:t>x_2</w:t>
      </w:r>
      <w:r>
        <w:br/>
        <w:t>\longrightarrow_{A}</w:t>
      </w:r>
      <w:r>
        <w:br/>
        <w:t>\cdots</w:t>
      </w:r>
      <w:r>
        <w:br/>
        <w:t>\longrightarrow_{A}</w:t>
      </w:r>
      <w:r>
        <w:br/>
        <w:t>x_n</w:t>
      </w:r>
      <w:r>
        <w:br/>
        <w:t>\longrightarrow_{A}</w:t>
      </w:r>
      <w:r>
        <w:br/>
        <w:t>x_1.</w:t>
      </w:r>
      <w:r>
        <w:br/>
      </w:r>
      <w:r>
        <w:lastRenderedPageBreak/>
        <w:t>\tag{3.4883}</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x_1\longrightarrow_{A}x_2\longrightarrow_{A}\cdots\longrightarrow_{A}x_n\longrightarrow_{A}x_1\qquad\text{(3.4883)}</w:t>
      </w:r>
    </w:p>
    <w:p w:rsidR="003736B0" w:rsidRDefault="003736B0" w:rsidP="003736B0">
      <w:pPr>
        <w:pStyle w:val="StandardWeb"/>
      </w:pPr>
      <w:r>
        <w:t>Äquivalent gilt</w:t>
      </w:r>
    </w:p>
    <w:p w:rsidR="003736B0" w:rsidRDefault="003736B0" w:rsidP="003736B0">
      <w:pPr>
        <w:pStyle w:val="StandardWeb"/>
      </w:pPr>
      <w:r>
        <w:t>[</w:t>
      </w:r>
      <w:r>
        <w:br/>
        <w:t>(x,x)</w:t>
      </w:r>
      <w:r>
        <w:br/>
        <w:t>\in</w:t>
      </w:r>
      <w:r>
        <w:br/>
        <w:t>\mathcal{R}_{A}^{+}</w:t>
      </w:r>
      <w:r>
        <w:br/>
        <w:t>\tag{3.4884}</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(x,x)\in\mathcal{R}_{A}^{+}\qquad\text{(3.4884)}</w:t>
      </w:r>
    </w:p>
    <w:p w:rsidR="003736B0" w:rsidRDefault="003736B0" w:rsidP="003736B0">
      <w:pPr>
        <w:pStyle w:val="StandardWeb"/>
      </w:pPr>
      <w:r>
        <w:t>für mindestens ein wissenschaftliches Objekt (x).</w:t>
      </w:r>
    </w:p>
    <w:p w:rsidR="003736B0" w:rsidRDefault="003736B0" w:rsidP="003736B0">
      <w:pPr>
        <w:pStyle w:val="StandardWeb"/>
      </w:pPr>
      <w:r>
        <w:t>Die Menge zyklisch abhängiger Objekte lautet</w:t>
      </w:r>
    </w:p>
    <w:p w:rsidR="003736B0" w:rsidRDefault="003736B0" w:rsidP="003736B0">
      <w:pPr>
        <w:pStyle w:val="berschrift1"/>
      </w:pPr>
      <w:r>
        <w:t>[</w:t>
      </w:r>
      <w:r>
        <w:br/>
        <w:t>\mathcal{C}_{A}</w:t>
      </w:r>
    </w:p>
    <w:p w:rsidR="003736B0" w:rsidRDefault="003736B0" w:rsidP="003736B0">
      <w:pPr>
        <w:pStyle w:val="StandardWeb"/>
      </w:pPr>
      <w:r>
        <w:t>\left{</w:t>
      </w:r>
      <w:r>
        <w:br/>
        <w:t>x\in\mathfrak{U}</w:t>
      </w:r>
      <w:r>
        <w:rPr>
          <w:rStyle w:val="Hervorhebung"/>
        </w:rPr>
        <w:t>{A}</w:t>
      </w:r>
      <w:r>
        <w:rPr>
          <w:i/>
          <w:iCs/>
        </w:rPr>
        <w:br/>
      </w:r>
      <w:r>
        <w:rPr>
          <w:rStyle w:val="Hervorhebung"/>
        </w:rPr>
        <w:t>;\middle|;</w:t>
      </w:r>
      <w:r>
        <w:rPr>
          <w:i/>
          <w:iCs/>
        </w:rPr>
        <w:br/>
      </w:r>
      <w:r>
        <w:rPr>
          <w:rStyle w:val="Hervorhebung"/>
        </w:rPr>
        <w:t>(x,x)\in\mathcal{R}</w:t>
      </w:r>
      <w:r>
        <w:t>{A}^{+}</w:t>
      </w:r>
      <w:r>
        <w:br/>
        <w:t>\right}.</w:t>
      </w:r>
      <w:r>
        <w:br/>
        <w:t>\tag{3.4885}</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\mathcal{C}_{A}=\left\{x\in\mathfrak{U}_{A}\middle|(x,x)\in\mathcal{R}_{A}^{+}\right\}\qquad\text{(3.4885)}</w:t>
      </w:r>
    </w:p>
    <w:p w:rsidR="003736B0" w:rsidRDefault="003736B0" w:rsidP="003736B0">
      <w:pPr>
        <w:pStyle w:val="StandardWeb"/>
      </w:pPr>
      <w:r>
        <w:t>Ein wissenschaftlich azyklischer Ableitungsgraph erfüllt</w:t>
      </w:r>
    </w:p>
    <w:p w:rsidR="003736B0" w:rsidRDefault="003736B0" w:rsidP="003736B0">
      <w:pPr>
        <w:pStyle w:val="berschrift1"/>
      </w:pPr>
      <w:r>
        <w:t>[</w:t>
      </w:r>
      <w:r>
        <w:br/>
        <w:t>\mathcal{C}_{A}</w:t>
      </w:r>
    </w:p>
    <w:p w:rsidR="003736B0" w:rsidRDefault="003736B0" w:rsidP="003736B0">
      <w:pPr>
        <w:pStyle w:val="StandardWeb"/>
      </w:pPr>
      <w:r>
        <w:t>\emptyset.</w:t>
      </w:r>
      <w:r>
        <w:br/>
        <w:t>\tag{3.4886}</w:t>
      </w:r>
      <w:r>
        <w:br/>
        <w:t>]</w:t>
      </w:r>
    </w:p>
    <w:p w:rsidR="003736B0" w:rsidRDefault="003736B0" w:rsidP="003736B0">
      <w:pPr>
        <w:pStyle w:val="StandardWeb"/>
      </w:pPr>
      <w:r>
        <w:rPr>
          <w:rStyle w:val="Fett"/>
        </w:rPr>
        <w:lastRenderedPageBreak/>
        <w:t>Word-LaTeX</w:t>
      </w:r>
    </w:p>
    <w:p w:rsidR="003736B0" w:rsidRDefault="003736B0" w:rsidP="003736B0">
      <w:pPr>
        <w:pStyle w:val="HTMLVorformatiert"/>
        <w:rPr>
          <w:rStyle w:val="HTMLCode"/>
        </w:rPr>
      </w:pPr>
      <w:r>
        <w:rPr>
          <w:rStyle w:val="HTMLCode"/>
        </w:rPr>
        <w:t>\mathcal{C}_{A}=\emptyset\qquad\text{(3.4886)}</w:t>
      </w:r>
    </w:p>
    <w:p w:rsidR="003736B0" w:rsidRPr="00AF32B2" w:rsidRDefault="003736B0" w:rsidP="00AF32B2">
      <w:pPr>
        <w:pStyle w:val="berschrift4"/>
      </w:pPr>
      <w:r w:rsidRPr="00AF32B2">
        <w:t>3.3.24.22 Ausschluss eines Satz-Beweis-Zirkels</w:t>
      </w:r>
    </w:p>
    <w:p w:rsidR="003736B0" w:rsidRDefault="003736B0" w:rsidP="003736B0">
      <w:pPr>
        <w:pStyle w:val="StandardWeb"/>
      </w:pPr>
      <w:r>
        <w:t>Ein unzulässiger Begründungszirkel wäre gegeben durch</w:t>
      </w:r>
    </w:p>
    <w:p w:rsidR="003736B0" w:rsidRDefault="003736B0" w:rsidP="003736B0">
      <w:pPr>
        <w:pStyle w:val="StandardWeb"/>
      </w:pPr>
      <w:r>
        <w:t>[</w:t>
      </w:r>
      <w:r>
        <w:br/>
        <w:t>S_i</w:t>
      </w:r>
      <w:r>
        <w:br/>
        <w:t>\longrightarrow_{A}</w:t>
      </w:r>
      <w:r>
        <w:br/>
        <w:t>P_j</w:t>
      </w:r>
      <w:r>
        <w:br/>
        <w:t>\longrightarrow_{A}</w:t>
      </w:r>
      <w:r>
        <w:br/>
        <w:t>S_i,</w:t>
      </w:r>
      <w:r>
        <w:br/>
        <w:t>\tag{3.4887}</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S_i\longrightarrow_{A}P_j\longrightarrow_{A}S_i\qquad\text{(3.4887)}</w:t>
      </w:r>
    </w:p>
    <w:p w:rsidR="003736B0" w:rsidRDefault="003736B0" w:rsidP="003736B0">
      <w:pPr>
        <w:pStyle w:val="StandardWeb"/>
      </w:pPr>
      <w:r>
        <w:t>wenn der Satz (S_i) selbst als notwendige Voraussetzung seines eigenen Beweises verwendet wird.</w:t>
      </w:r>
    </w:p>
    <w:p w:rsidR="003736B0" w:rsidRDefault="003736B0" w:rsidP="003736B0">
      <w:pPr>
        <w:pStyle w:val="StandardWeb"/>
      </w:pPr>
      <w:r>
        <w:t>Für einen zulässigen Beweis gilt dagegen</w:t>
      </w:r>
    </w:p>
    <w:p w:rsidR="003736B0" w:rsidRDefault="003736B0" w:rsidP="003736B0">
      <w:pPr>
        <w:pStyle w:val="StandardWeb"/>
      </w:pPr>
      <w:r>
        <w:t>[</w:t>
      </w:r>
      <w:r>
        <w:br/>
        <w:t>S_i</w:t>
      </w:r>
      <w:r>
        <w:br/>
        <w:t>\notin</w:t>
      </w:r>
      <w:r>
        <w:br/>
        <w:t>\operatorname{Use}(P_i).</w:t>
      </w:r>
      <w:r>
        <w:br/>
        <w:t>\tag{3.4888}</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S_i\notin\operatorname{Use}(P_i)\qquad\text{(3.4888)}</w:t>
      </w:r>
    </w:p>
    <w:p w:rsidR="003736B0" w:rsidRDefault="003736B0" w:rsidP="003736B0">
      <w:pPr>
        <w:pStyle w:val="StandardWeb"/>
      </w:pPr>
      <w:r>
        <w:t>Der zu beweisende Satz ist Ziel des Beweises, nicht dessen logische Voraussetzung.</w:t>
      </w:r>
    </w:p>
    <w:p w:rsidR="003736B0" w:rsidRPr="00AF32B2" w:rsidRDefault="003736B0" w:rsidP="00AF32B2">
      <w:pPr>
        <w:pStyle w:val="berschrift4"/>
      </w:pPr>
      <w:r w:rsidRPr="00AF32B2">
        <w:t>3.3.24.23 Ausschluss eines Modellsatz-Zirkels</w:t>
      </w:r>
    </w:p>
    <w:p w:rsidR="003736B0" w:rsidRDefault="003736B0" w:rsidP="003736B0">
      <w:pPr>
        <w:pStyle w:val="StandardWeb"/>
      </w:pPr>
      <w:r>
        <w:t>Ein weiterer möglicher Zirkel wäre</w:t>
      </w:r>
    </w:p>
    <w:p w:rsidR="003736B0" w:rsidRDefault="003736B0" w:rsidP="003736B0">
      <w:pPr>
        <w:pStyle w:val="StandardWeb"/>
      </w:pPr>
      <w:r>
        <w:t>[</w:t>
      </w:r>
      <w:r>
        <w:br/>
        <w:t>M_i</w:t>
      </w:r>
      <w:r>
        <w:br/>
        <w:t>\longrightarrow_{A}</w:t>
      </w:r>
      <w:r>
        <w:br/>
        <w:t>S_j</w:t>
      </w:r>
      <w:r>
        <w:br/>
        <w:t>\longrightarrow_{A}</w:t>
      </w:r>
      <w:r>
        <w:br/>
        <w:t>M_i.</w:t>
      </w:r>
      <w:r>
        <w:br/>
        <w:t>\tag{3.4889}</w:t>
      </w:r>
      <w:r>
        <w:br/>
        <w:t>]</w:t>
      </w:r>
    </w:p>
    <w:p w:rsidR="003736B0" w:rsidRDefault="003736B0" w:rsidP="003736B0">
      <w:pPr>
        <w:pStyle w:val="StandardWeb"/>
      </w:pPr>
      <w:r>
        <w:rPr>
          <w:rStyle w:val="Fett"/>
        </w:rPr>
        <w:lastRenderedPageBreak/>
        <w:t>Word-LaTeX</w:t>
      </w:r>
    </w:p>
    <w:p w:rsidR="003736B0" w:rsidRDefault="003736B0" w:rsidP="003736B0">
      <w:pPr>
        <w:pStyle w:val="HTMLVorformatiert"/>
        <w:rPr>
          <w:rStyle w:val="HTMLCode"/>
        </w:rPr>
      </w:pPr>
      <w:r>
        <w:rPr>
          <w:rStyle w:val="HTMLCode"/>
        </w:rPr>
        <w:t>M_i\longrightarrow_{A}S_j\longrightarrow_{A}M_i\qquad\text{(3.4889)}</w:t>
      </w:r>
    </w:p>
    <w:p w:rsidR="003736B0" w:rsidRDefault="003736B0" w:rsidP="003736B0">
      <w:pPr>
        <w:pStyle w:val="StandardWeb"/>
      </w:pPr>
      <w:r>
        <w:t>Dieser Zirkel wäre problematisch, wenn das Modell ausschließlich aufgrund des Satzes konstruiert und der Satz anschließend ausschließlich durch dasselbe Modell bewiesen würde.</w:t>
      </w:r>
    </w:p>
    <w:p w:rsidR="003736B0" w:rsidRDefault="003736B0" w:rsidP="003736B0">
      <w:pPr>
        <w:pStyle w:val="StandardWeb"/>
      </w:pPr>
      <w:r>
        <w:t>Zulässig ist dagegen:</w:t>
      </w:r>
    </w:p>
    <w:p w:rsidR="003736B0" w:rsidRDefault="003736B0" w:rsidP="003736B0">
      <w:pPr>
        <w:pStyle w:val="StandardWeb"/>
      </w:pPr>
      <w:r>
        <w:t>[</w:t>
      </w:r>
      <w:r>
        <w:br/>
        <w:t>D_k</w:t>
      </w:r>
      <w:r>
        <w:br/>
        <w:t>\longrightarrow_{A}</w:t>
      </w:r>
      <w:r>
        <w:br/>
        <w:t>M_i</w:t>
      </w:r>
      <w:r>
        <w:br/>
        <w:t>\longrightarrow_{A}</w:t>
      </w:r>
      <w:r>
        <w:br/>
        <w:t>P_j</w:t>
      </w:r>
      <w:r>
        <w:br/>
        <w:t>\longrightarrow_{A}</w:t>
      </w:r>
      <w:r>
        <w:br/>
        <w:t>S_j.</w:t>
      </w:r>
      <w:r>
        <w:br/>
        <w:t>\tag{3.4890}</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D_k\longrightarrow_{A}M_i\longrightarrow_{A}P_j\longrightarrow_{A}S_j\qquad\text{(3.4890)}</w:t>
      </w:r>
    </w:p>
    <w:p w:rsidR="003736B0" w:rsidRDefault="003736B0" w:rsidP="003736B0">
      <w:pPr>
        <w:pStyle w:val="StandardWeb"/>
      </w:pPr>
      <w:r>
        <w:t>Das Modell wird aus früheren Definitionen konstruiert und anschließend als Beweisobjekt verwendet.</w:t>
      </w:r>
    </w:p>
    <w:p w:rsidR="003736B0" w:rsidRPr="00AF32B2" w:rsidRDefault="003736B0" w:rsidP="00AF32B2">
      <w:pPr>
        <w:pStyle w:val="berschrift4"/>
      </w:pPr>
      <w:r w:rsidRPr="00AF32B2">
        <w:t>3.3.24.24 Topologische Ordnung des Ableitungsgraphen</w:t>
      </w:r>
    </w:p>
    <w:p w:rsidR="003736B0" w:rsidRDefault="003736B0" w:rsidP="003736B0">
      <w:pPr>
        <w:pStyle w:val="StandardWeb"/>
      </w:pPr>
      <w:r>
        <w:t>Eine topologische Nummerierungsfunktion des wissenschaftlichen Ableitungsgraphen lautet</w:t>
      </w:r>
    </w:p>
    <w:p w:rsidR="003736B0" w:rsidRDefault="003736B0" w:rsidP="003736B0">
      <w:pPr>
        <w:pStyle w:val="StandardWeb"/>
      </w:pPr>
      <w:r>
        <w:t>[</w:t>
      </w:r>
      <w:r>
        <w:br/>
        <w:t>\rho_{A}:</w:t>
      </w:r>
      <w:r>
        <w:br/>
        <w:t>\mathfrak{U}_{A}</w:t>
      </w:r>
      <w:r>
        <w:br/>
        <w:t>\rightarrow</w:t>
      </w:r>
      <w:r>
        <w:br/>
        <w:t>\mathbb{N}.</w:t>
      </w:r>
      <w:r>
        <w:br/>
        <w:t>\tag{3.4891}</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\rho_{A}:\mathfrak{U}_{A}\rightarrow\mathbb{N}\qquad\text{(3.4891)}</w:t>
      </w:r>
    </w:p>
    <w:p w:rsidR="003736B0" w:rsidRDefault="003736B0" w:rsidP="003736B0">
      <w:pPr>
        <w:pStyle w:val="StandardWeb"/>
      </w:pPr>
      <w:r>
        <w:t>Für jede logische Begründungskante muss gelten:</w:t>
      </w:r>
    </w:p>
    <w:p w:rsidR="003736B0" w:rsidRDefault="003736B0" w:rsidP="003736B0">
      <w:pPr>
        <w:pStyle w:val="StandardWeb"/>
      </w:pPr>
      <w:r>
        <w:t>[</w:t>
      </w:r>
      <w:r>
        <w:br/>
        <w:t>x</w:t>
      </w:r>
      <w:r>
        <w:br/>
        <w:t>\longrightarrow_{A}</w:t>
      </w:r>
      <w:r>
        <w:br/>
        <w:t>y</w:t>
      </w:r>
      <w:r>
        <w:br/>
        <w:t>\Rightarrow</w:t>
      </w:r>
      <w:r>
        <w:br/>
        <w:t>\rho_{A}(x)</w:t>
      </w:r>
      <w:r>
        <w:br/>
      </w:r>
      <w:r>
        <w:lastRenderedPageBreak/>
        <w:t>&lt;</w:t>
      </w:r>
      <w:r>
        <w:br/>
        <w:t>\rho_{A}(y).</w:t>
      </w:r>
      <w:r>
        <w:br/>
        <w:t>\tag{3.4892}</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x\longrightarrow_{A}y\Rightarrow\rho_{A}(x)&lt;\rho_{A}(y)\qquad\text{(3.4892)}</w:t>
      </w:r>
    </w:p>
    <w:p w:rsidR="003736B0" w:rsidRDefault="003736B0" w:rsidP="003736B0">
      <w:pPr>
        <w:pStyle w:val="StandardWeb"/>
      </w:pPr>
      <w:r>
        <w:t xml:space="preserve">Metadatenbeziehungen wie </w:t>
      </w:r>
      <w:r>
        <w:rPr>
          <w:rStyle w:val="HTMLCode"/>
        </w:rPr>
        <w:t>target</w:t>
      </w:r>
      <w:r>
        <w:t xml:space="preserve">, </w:t>
      </w:r>
      <w:r>
        <w:rPr>
          <w:rStyle w:val="HTMLCode"/>
        </w:rPr>
        <w:t>restates</w:t>
      </w:r>
      <w:r>
        <w:t xml:space="preserve"> oder redaktionelle Querverweise werden nicht als logische Begründungskanten in die Azyklizitätsprüfung aufgenommen.</w:t>
      </w:r>
    </w:p>
    <w:p w:rsidR="003736B0" w:rsidRPr="00AF32B2" w:rsidRDefault="003736B0" w:rsidP="00AF32B2">
      <w:pPr>
        <w:pStyle w:val="berschrift4"/>
      </w:pPr>
      <w:r w:rsidRPr="00AF32B2">
        <w:t>3.3.24.25 Ableitungshöhe</w:t>
      </w:r>
    </w:p>
    <w:p w:rsidR="003736B0" w:rsidRDefault="003736B0" w:rsidP="003736B0">
      <w:pPr>
        <w:pStyle w:val="StandardWeb"/>
      </w:pPr>
      <w:r>
        <w:t>Die Ableitungshöhe eines wissenschaftlichen Objekts (x) wird definiert durch</w:t>
      </w:r>
    </w:p>
    <w:p w:rsidR="003736B0" w:rsidRDefault="003736B0" w:rsidP="003736B0">
      <w:pPr>
        <w:pStyle w:val="berschrift1"/>
      </w:pPr>
      <w:r>
        <w:t>[</w:t>
      </w:r>
      <w:r>
        <w:br/>
        <w:t>h_{A}(x)</w:t>
      </w:r>
    </w:p>
    <w:p w:rsidR="003736B0" w:rsidRDefault="003736B0" w:rsidP="003736B0">
      <w:pPr>
        <w:pStyle w:val="StandardWeb"/>
      </w:pPr>
      <w:r>
        <w:t>\max</w:t>
      </w:r>
      <w:r>
        <w:br/>
        <w:t>\left{</w:t>
      </w:r>
      <w:r>
        <w:br/>
        <w:t>n</w:t>
      </w:r>
      <w:r>
        <w:br/>
        <w:t>;\middle|;</w:t>
      </w:r>
      <w:r>
        <w:br/>
        <w:t>x_0</w:t>
      </w:r>
      <w:r>
        <w:br/>
        <w:t>\longrightarrow_{A}</w:t>
      </w:r>
      <w:r>
        <w:br/>
        <w:t>x_1</w:t>
      </w:r>
      <w:r>
        <w:br/>
        <w:t>\longrightarrow_{A}</w:t>
      </w:r>
      <w:r>
        <w:br/>
        <w:t>\cdots</w:t>
      </w:r>
      <w:r>
        <w:br/>
        <w:t>\longrightarrow_{A}</w:t>
      </w:r>
      <w:r>
        <w:br/>
        <w:t>x</w:t>
      </w:r>
      <w:r>
        <w:br/>
        <w:t>\right}.</w:t>
      </w:r>
      <w:r>
        <w:br/>
        <w:t>\tag{3.4893}</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h_{A}(x)=\max\left\{n\middle|x_0\longrightarrow_{A}x_1\longrightarrow_{A}\cdots\longrightarrow_{A}x\right\}\qquad\text{(3.4893)}</w:t>
      </w:r>
    </w:p>
    <w:p w:rsidR="003736B0" w:rsidRDefault="003736B0" w:rsidP="003736B0">
      <w:pPr>
        <w:pStyle w:val="StandardWeb"/>
      </w:pPr>
      <w:r>
        <w:t>Für die Primäraxiome gilt</w:t>
      </w:r>
    </w:p>
    <w:p w:rsidR="003736B0" w:rsidRDefault="003736B0" w:rsidP="003736B0">
      <w:pPr>
        <w:pStyle w:val="berschrift1"/>
      </w:pPr>
      <w:r>
        <w:t>[</w:t>
      </w:r>
      <w:r>
        <w:br/>
        <w:t>h_{A}</w:t>
      </w:r>
      <w:r>
        <w:br/>
        <w:t>\left(</w:t>
      </w:r>
      <w:r>
        <w:br/>
      </w:r>
      <w:r>
        <w:lastRenderedPageBreak/>
        <w:t>A_{\mathrm{I}}</w:t>
      </w:r>
      <w:r>
        <w:br/>
        <w:t>\right)</w:t>
      </w:r>
    </w:p>
    <w:p w:rsidR="003736B0" w:rsidRDefault="003736B0" w:rsidP="003736B0">
      <w:pPr>
        <w:pStyle w:val="berschrift1"/>
      </w:pPr>
      <w:r>
        <w:t>h_{A}</w:t>
      </w:r>
      <w:r>
        <w:br/>
        <w:t>\left(</w:t>
      </w:r>
      <w:r>
        <w:br/>
        <w:t>A_{\mathrm{II}}</w:t>
      </w:r>
      <w:r>
        <w:br/>
        <w:t>\right)</w:t>
      </w:r>
    </w:p>
    <w:p w:rsidR="003736B0" w:rsidRDefault="003736B0" w:rsidP="003736B0">
      <w:pPr>
        <w:pStyle w:val="berschrift1"/>
      </w:pPr>
      <w:r>
        <w:t>h_{A}</w:t>
      </w:r>
      <w:r>
        <w:br/>
        <w:t>\left(</w:t>
      </w:r>
      <w:r>
        <w:br/>
        <w:t>A_{\mathrm{III}}</w:t>
      </w:r>
      <w:r>
        <w:br/>
        <w:t>\right)</w:t>
      </w:r>
    </w:p>
    <w:p w:rsidR="003736B0" w:rsidRDefault="003736B0" w:rsidP="00632D23">
      <w:pPr>
        <w:numPr>
          <w:ilvl w:val="0"/>
          <w:numId w:val="124"/>
        </w:numPr>
        <w:spacing w:before="100" w:beforeAutospacing="1" w:after="100" w:afterAutospacing="1"/>
      </w:pPr>
    </w:p>
    <w:p w:rsidR="003736B0" w:rsidRDefault="003736B0" w:rsidP="003736B0">
      <w:pPr>
        <w:pStyle w:val="StandardWeb"/>
      </w:pPr>
      <w:r>
        <w:t>\tag{3.4894}</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h_{A}\left(A_{\mathrm{I}}\right)=h_{A}\left(A_{\mathrm{II}}\right)=h_{A}\left(A_{\mathrm{III}}\right)=0\qquad\text{(3.4894)}</w:t>
      </w:r>
    </w:p>
    <w:p w:rsidR="003736B0" w:rsidRDefault="003736B0" w:rsidP="003736B0">
      <w:pPr>
        <w:pStyle w:val="StandardWeb"/>
      </w:pPr>
      <w:r>
        <w:t>Für spätere Sätze steigt die Ableitungshöhe entsprechend der Zahl ihrer konstruktiven Begründungsebenen.</w:t>
      </w:r>
    </w:p>
    <w:p w:rsidR="003736B0" w:rsidRDefault="003736B0" w:rsidP="003736B0">
      <w:pPr>
        <w:pStyle w:val="StandardWeb"/>
      </w:pPr>
      <w:r>
        <w:t>Die Ableitungshöhe bewertet nicht die wissenschaftliche Bedeutung eines Satzes. Sie beschreibt ausschließlich die Tiefe seiner formalen Abhängigkeit von früheren Objekten.</w:t>
      </w:r>
    </w:p>
    <w:p w:rsidR="003736B0" w:rsidRPr="00AF32B2" w:rsidRDefault="003736B0" w:rsidP="00AF32B2">
      <w:pPr>
        <w:pStyle w:val="berschrift4"/>
      </w:pPr>
      <w:r w:rsidRPr="00AF32B2">
        <w:t>3.3.24.26 Abhängigkeitsvollständigkeitsprädikat</w:t>
      </w:r>
    </w:p>
    <w:p w:rsidR="003736B0" w:rsidRDefault="003736B0" w:rsidP="003736B0">
      <w:pPr>
        <w:pStyle w:val="StandardWeb"/>
      </w:pPr>
      <w:r>
        <w:t>Das Abhängigkeitsvollständigkeitsprädikat lautet</w:t>
      </w:r>
    </w:p>
    <w:p w:rsidR="003736B0" w:rsidRDefault="003736B0" w:rsidP="003736B0">
      <w:pPr>
        <w:pStyle w:val="StandardWeb"/>
      </w:pPr>
      <w:r>
        <w:t>[</w:t>
      </w:r>
      <w:r>
        <w:br/>
        <w:t>\operatorname{Voll}</w:t>
      </w:r>
      <w:r>
        <w:rPr>
          <w:rStyle w:val="Hervorhebung"/>
        </w:rPr>
        <w:t>{A}:</w:t>
      </w:r>
      <w:r>
        <w:rPr>
          <w:i/>
          <w:iCs/>
        </w:rPr>
        <w:br/>
      </w:r>
      <w:r>
        <w:rPr>
          <w:rStyle w:val="Hervorhebung"/>
        </w:rPr>
        <w:t>\mathfrak{G}</w:t>
      </w:r>
      <w:r>
        <w:t>{A}</w:t>
      </w:r>
      <w:r>
        <w:br/>
        <w:t>\rightarrow</w:t>
      </w:r>
      <w:r>
        <w:br/>
        <w:t>{0,1}.</w:t>
      </w:r>
      <w:r>
        <w:br/>
        <w:t>\tag{3.4895}</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\operatorname{Voll}_{A}:\mathfrak{G}_{A}\rightarrow\{0,1\}\qquad\text{(3.4895)}</w:t>
      </w:r>
    </w:p>
    <w:p w:rsidR="003736B0" w:rsidRDefault="003736B0" w:rsidP="003736B0">
      <w:pPr>
        <w:pStyle w:val="StandardWeb"/>
      </w:pPr>
      <w:r>
        <w:lastRenderedPageBreak/>
        <w:t>Es nimmt den Wert eins an, wenn für jedes nichtaxiomatische Objekt sämtliche notwendigen Voraussetzungen dokumentiert sind:</w:t>
      </w:r>
    </w:p>
    <w:p w:rsidR="003736B0" w:rsidRDefault="003736B0" w:rsidP="003736B0">
      <w:pPr>
        <w:pStyle w:val="berschrift1"/>
      </w:pPr>
      <w:r>
        <w:t>[</w:t>
      </w:r>
      <w:r>
        <w:br/>
        <w:t>\operatorname{Voll}</w:t>
      </w:r>
      <w:r>
        <w:rPr>
          <w:rStyle w:val="Hervorhebung"/>
        </w:rPr>
        <w:t>{A}</w:t>
      </w:r>
      <w:r>
        <w:rPr>
          <w:i/>
          <w:iCs/>
        </w:rPr>
        <w:br/>
      </w:r>
      <w:r>
        <w:rPr>
          <w:rStyle w:val="Hervorhebung"/>
        </w:rPr>
        <w:t>\left(</w:t>
      </w:r>
      <w:r>
        <w:rPr>
          <w:i/>
          <w:iCs/>
        </w:rPr>
        <w:br/>
      </w:r>
      <w:r>
        <w:rPr>
          <w:rStyle w:val="Hervorhebung"/>
        </w:rPr>
        <w:t>\mathfrak{G}</w:t>
      </w:r>
      <w:r>
        <w:t>{A}</w:t>
      </w:r>
      <w:r>
        <w:br/>
        <w:t>\right)</w:t>
      </w:r>
    </w:p>
    <w:p w:rsidR="003736B0" w:rsidRDefault="003736B0" w:rsidP="003736B0">
      <w:pPr>
        <w:pStyle w:val="StandardWeb"/>
      </w:pPr>
      <w:r>
        <w:t>1</w:t>
      </w:r>
      <w:r>
        <w:br/>
        <w:t>\iff</w:t>
      </w:r>
      <w:r>
        <w:br/>
        <w:t>\forall y\in</w:t>
      </w:r>
      <w:r>
        <w:br/>
        <w:t>\mathfrak{U}</w:t>
      </w:r>
      <w:r>
        <w:rPr>
          <w:rStyle w:val="Hervorhebung"/>
        </w:rPr>
        <w:t>{A}\setminus</w:t>
      </w:r>
      <w:r>
        <w:rPr>
          <w:i/>
          <w:iCs/>
        </w:rPr>
        <w:br/>
      </w:r>
      <w:r>
        <w:rPr>
          <w:rStyle w:val="Hervorhebung"/>
        </w:rPr>
        <w:t>\mathcal{W}</w:t>
      </w:r>
      <w:r>
        <w:t>{A}^{\mathrm{ax}}:</w:t>
      </w:r>
      <w:r>
        <w:br/>
        <w:t>\operatorname{Use}(y)</w:t>
      </w:r>
      <w:r>
        <w:br/>
        <w:t>\subseteq</w:t>
      </w:r>
      <w:r>
        <w:br/>
        <w:t>\operatorname{Doc}(y).</w:t>
      </w:r>
      <w:r>
        <w:br/>
        <w:t>\tag{3.4896}</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\operatorname{Voll}_{A}\left(\mathfrak{G}_{A}\right)=1\iff\forall y\in\mathfrak{U}_{A}\setminus\mathcal{W}_{A}^{\mathrm{ax}}:\operatorname{Use}(y)\subseteq\operatorname{Doc}(y)\qquad\text{(3.4896)}</w:t>
      </w:r>
    </w:p>
    <w:p w:rsidR="003736B0" w:rsidRPr="00AF32B2" w:rsidRDefault="003736B0" w:rsidP="00AF32B2">
      <w:pPr>
        <w:pStyle w:val="berschrift4"/>
      </w:pPr>
      <w:r w:rsidRPr="00AF32B2">
        <w:t>3.3.24.27 Ableitungskonsistenzprädikat</w:t>
      </w:r>
    </w:p>
    <w:p w:rsidR="003736B0" w:rsidRDefault="003736B0" w:rsidP="003736B0">
      <w:pPr>
        <w:pStyle w:val="StandardWeb"/>
      </w:pPr>
      <w:r>
        <w:t>Das Ableitungskonsistenzprädikat lautet</w:t>
      </w:r>
    </w:p>
    <w:p w:rsidR="003736B0" w:rsidRDefault="003736B0" w:rsidP="003736B0">
      <w:pPr>
        <w:pStyle w:val="StandardWeb"/>
      </w:pPr>
      <w:r>
        <w:t>[</w:t>
      </w:r>
      <w:r>
        <w:br/>
        <w:t>\operatorname{AK}</w:t>
      </w:r>
      <w:r>
        <w:rPr>
          <w:rStyle w:val="Hervorhebung"/>
        </w:rPr>
        <w:t>{F}:</w:t>
      </w:r>
      <w:r>
        <w:rPr>
          <w:i/>
          <w:iCs/>
        </w:rPr>
        <w:br/>
      </w:r>
      <w:r>
        <w:rPr>
          <w:rStyle w:val="Hervorhebung"/>
        </w:rPr>
        <w:t>\mathfrak{G}</w:t>
      </w:r>
      <w:r>
        <w:t>{A}</w:t>
      </w:r>
      <w:r>
        <w:br/>
        <w:t>\rightarrow</w:t>
      </w:r>
      <w:r>
        <w:br/>
        <w:t>{0,1}.</w:t>
      </w:r>
      <w:r>
        <w:br/>
        <w:t>\tag{3.4897}</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\operatorname{AK}_{F}:\mathfrak{G}_{A}\rightarrow\{0,1\}\qquad\text{(3.4897)}</w:t>
      </w:r>
    </w:p>
    <w:p w:rsidR="003736B0" w:rsidRDefault="003736B0" w:rsidP="003736B0">
      <w:pPr>
        <w:pStyle w:val="StandardWeb"/>
      </w:pPr>
      <w:r>
        <w:t>Es gilt</w:t>
      </w:r>
    </w:p>
    <w:p w:rsidR="003736B0" w:rsidRDefault="003736B0" w:rsidP="003736B0">
      <w:pPr>
        <w:pStyle w:val="berschrift1"/>
      </w:pPr>
      <w:r>
        <w:t>[</w:t>
      </w:r>
      <w:r>
        <w:br/>
        <w:t>\operatorname{AK}</w:t>
      </w:r>
      <w:r>
        <w:rPr>
          <w:rStyle w:val="Hervorhebung"/>
        </w:rPr>
        <w:t>{F}</w:t>
      </w:r>
      <w:r>
        <w:rPr>
          <w:i/>
          <w:iCs/>
        </w:rPr>
        <w:br/>
      </w:r>
      <w:r>
        <w:rPr>
          <w:rStyle w:val="Hervorhebung"/>
        </w:rPr>
        <w:lastRenderedPageBreak/>
        <w:t>\left(</w:t>
      </w:r>
      <w:r>
        <w:rPr>
          <w:i/>
          <w:iCs/>
        </w:rPr>
        <w:br/>
      </w:r>
      <w:r>
        <w:rPr>
          <w:rStyle w:val="Hervorhebung"/>
        </w:rPr>
        <w:t>\mathfrak{G}</w:t>
      </w:r>
      <w:r>
        <w:t>{A}</w:t>
      </w:r>
      <w:r>
        <w:br/>
        <w:t>\right)</w:t>
      </w:r>
    </w:p>
    <w:p w:rsidR="003736B0" w:rsidRDefault="003736B0" w:rsidP="003736B0">
      <w:pPr>
        <w:pStyle w:val="StandardWeb"/>
      </w:pPr>
      <w:r>
        <w:t>1</w:t>
      </w:r>
      <w:r>
        <w:br/>
        <w:t>\tag{3.4898}</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\operatorname{AK}_{F}\left(\mathfrak{G}_{A}\right)=1\qquad\text{(3.4898)}</w:t>
      </w:r>
    </w:p>
    <w:p w:rsidR="003736B0" w:rsidRDefault="003736B0" w:rsidP="003736B0">
      <w:pPr>
        <w:pStyle w:val="StandardWeb"/>
      </w:pPr>
      <w:r>
        <w:t>genau dann, wenn:</w:t>
      </w:r>
    </w:p>
    <w:p w:rsidR="003736B0" w:rsidRDefault="003736B0" w:rsidP="00632D23">
      <w:pPr>
        <w:pStyle w:val="StandardWeb"/>
        <w:numPr>
          <w:ilvl w:val="0"/>
          <w:numId w:val="125"/>
        </w:numPr>
      </w:pPr>
      <w:r>
        <w:t>keine logischen Ableitungszyklen bestehen,</w:t>
      </w:r>
    </w:p>
    <w:p w:rsidR="003736B0" w:rsidRDefault="003736B0" w:rsidP="00632D23">
      <w:pPr>
        <w:pStyle w:val="StandardWeb"/>
        <w:numPr>
          <w:ilvl w:val="0"/>
          <w:numId w:val="125"/>
        </w:numPr>
      </w:pPr>
      <w:r>
        <w:t>keine nicht gekennzeichneten Vorwärtsabhängigkeiten vorliegen,</w:t>
      </w:r>
    </w:p>
    <w:p w:rsidR="003736B0" w:rsidRDefault="003736B0" w:rsidP="00632D23">
      <w:pPr>
        <w:pStyle w:val="StandardWeb"/>
        <w:numPr>
          <w:ilvl w:val="0"/>
          <w:numId w:val="125"/>
        </w:numPr>
      </w:pPr>
      <w:r>
        <w:t>sämtliche Beweisvoraussetzungen dokumentiert sind,</w:t>
      </w:r>
    </w:p>
    <w:p w:rsidR="003736B0" w:rsidRDefault="003736B0" w:rsidP="00632D23">
      <w:pPr>
        <w:pStyle w:val="StandardWeb"/>
        <w:numPr>
          <w:ilvl w:val="0"/>
          <w:numId w:val="125"/>
        </w:numPr>
      </w:pPr>
      <w:r>
        <w:t>jeder Satz einen registrierten Beweis oder eine ausdrücklich angegebene andere Rechtfertigung besitzt.</w:t>
      </w:r>
    </w:p>
    <w:p w:rsidR="003736B0" w:rsidRDefault="003736B0" w:rsidP="003736B0">
      <w:pPr>
        <w:pStyle w:val="StandardWeb"/>
      </w:pPr>
      <w:r>
        <w:t>Formal kann dies zusammengefasst werden durch</w:t>
      </w:r>
    </w:p>
    <w:p w:rsidR="003736B0" w:rsidRDefault="003736B0" w:rsidP="003736B0">
      <w:pPr>
        <w:pStyle w:val="berschrift1"/>
      </w:pPr>
      <w:r>
        <w:t>[</w:t>
      </w:r>
      <w:r>
        <w:br/>
        <w:t>\operatorname{AK}</w:t>
      </w:r>
      <w:r>
        <w:rPr>
          <w:rStyle w:val="Hervorhebung"/>
        </w:rPr>
        <w:t>{F}</w:t>
      </w:r>
      <w:r>
        <w:rPr>
          <w:i/>
          <w:iCs/>
        </w:rPr>
        <w:br/>
      </w:r>
      <w:r>
        <w:rPr>
          <w:rStyle w:val="Hervorhebung"/>
        </w:rPr>
        <w:t>\left(</w:t>
      </w:r>
      <w:r>
        <w:rPr>
          <w:i/>
          <w:iCs/>
        </w:rPr>
        <w:br/>
      </w:r>
      <w:r>
        <w:rPr>
          <w:rStyle w:val="Hervorhebung"/>
        </w:rPr>
        <w:t>\mathfrak{G}</w:t>
      </w:r>
      <w:r>
        <w:t>{A}</w:t>
      </w:r>
      <w:r>
        <w:br/>
        <w:t>\right)</w:t>
      </w:r>
    </w:p>
    <w:p w:rsidR="003736B0" w:rsidRDefault="003736B0" w:rsidP="003736B0">
      <w:pPr>
        <w:pStyle w:val="berschrift1"/>
      </w:pPr>
      <w:r>
        <w:t>1</w:t>
      </w:r>
      <w:r>
        <w:br/>
        <w:t>\iff</w:t>
      </w:r>
      <w:r>
        <w:br/>
        <w:t>\mathcal{C}_{A}</w:t>
      </w:r>
    </w:p>
    <w:p w:rsidR="003736B0" w:rsidRDefault="003736B0" w:rsidP="003736B0">
      <w:pPr>
        <w:pStyle w:val="berschrift1"/>
      </w:pPr>
      <w:r>
        <w:t>\emptyset</w:t>
      </w:r>
      <w:r>
        <w:br/>
        <w:t>\land</w:t>
      </w:r>
      <w:r>
        <w:br/>
        <w:t>\mathcal{M}_{A}</w:t>
      </w:r>
    </w:p>
    <w:p w:rsidR="003736B0" w:rsidRDefault="003736B0" w:rsidP="003736B0">
      <w:pPr>
        <w:pStyle w:val="berschrift1"/>
      </w:pPr>
      <w:r>
        <w:t>\emptyset</w:t>
      </w:r>
      <w:r>
        <w:br/>
        <w:t>\land</w:t>
      </w:r>
      <w:r>
        <w:br/>
        <w:t>\mathcal{V}_{A}</w:t>
      </w:r>
    </w:p>
    <w:p w:rsidR="003736B0" w:rsidRDefault="003736B0" w:rsidP="003736B0">
      <w:pPr>
        <w:pStyle w:val="StandardWeb"/>
      </w:pPr>
      <w:r>
        <w:lastRenderedPageBreak/>
        <w:t>\emptyset.</w:t>
      </w:r>
      <w:r>
        <w:br/>
        <w:t>\tag{3.4899}</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\operatorname{AK}_{F}\left(\mathfrak{G}_{A}\right)=1\iff\mathcal{C}_{A}=\emptyset\land\mathcal{M}_{A}=\emptyset\land\mathcal{V}_{A}=\emptyset\qquad\text{(3.4899)}</w:t>
      </w:r>
    </w:p>
    <w:p w:rsidR="003736B0" w:rsidRDefault="003736B0" w:rsidP="003736B0">
      <w:pPr>
        <w:pStyle w:val="StandardWeb"/>
      </w:pPr>
      <w:r>
        <w:t>Dabei bezeichnet:</w:t>
      </w:r>
    </w:p>
    <w:p w:rsidR="003736B0" w:rsidRDefault="003736B0" w:rsidP="00632D23">
      <w:pPr>
        <w:pStyle w:val="StandardWeb"/>
        <w:numPr>
          <w:ilvl w:val="0"/>
          <w:numId w:val="126"/>
        </w:numPr>
      </w:pPr>
      <w:r>
        <w:t>(\mathcal{C}_{A}) die Menge zyklisch abhängiger Objekte,</w:t>
      </w:r>
    </w:p>
    <w:p w:rsidR="003736B0" w:rsidRDefault="003736B0" w:rsidP="00632D23">
      <w:pPr>
        <w:pStyle w:val="StandardWeb"/>
        <w:numPr>
          <w:ilvl w:val="0"/>
          <w:numId w:val="126"/>
        </w:numPr>
      </w:pPr>
      <w:r>
        <w:t>(\mathcal{M}_{A}) die Menge fehlender notwendiger Abhängigkeiten,</w:t>
      </w:r>
    </w:p>
    <w:p w:rsidR="003736B0" w:rsidRDefault="003736B0" w:rsidP="00632D23">
      <w:pPr>
        <w:pStyle w:val="StandardWeb"/>
        <w:numPr>
          <w:ilvl w:val="0"/>
          <w:numId w:val="126"/>
        </w:numPr>
      </w:pPr>
      <w:r>
        <w:t>(\mathcal{V}_{A}) die Menge unzulässiger Vorwärtsabhängigkeiten.</w:t>
      </w:r>
    </w:p>
    <w:p w:rsidR="003736B0" w:rsidRPr="00AF32B2" w:rsidRDefault="003736B0" w:rsidP="00AF32B2">
      <w:pPr>
        <w:pStyle w:val="berschrift4"/>
      </w:pPr>
      <w:r w:rsidRPr="00AF32B2">
        <w:t>3.3.24.28 Prüfung der bisherigen Sätze</w:t>
      </w:r>
    </w:p>
    <w:p w:rsidR="003736B0" w:rsidRDefault="003736B0" w:rsidP="003736B0">
      <w:pPr>
        <w:pStyle w:val="StandardWeb"/>
      </w:pPr>
      <w:r>
        <w:t>Für die bisherigen Sätze 3.3.1 bis 3.3.5 sind Definitionen, Gleichungen, Modelle und Beweise vorhanden.</w:t>
      </w:r>
    </w:p>
    <w:p w:rsidR="003736B0" w:rsidRDefault="003736B0" w:rsidP="003736B0">
      <w:pPr>
        <w:pStyle w:val="StandardWeb"/>
      </w:pPr>
      <w:r>
        <w:t>Die Satzmenge lautet</w:t>
      </w:r>
    </w:p>
    <w:p w:rsidR="003736B0" w:rsidRDefault="003736B0" w:rsidP="003736B0">
      <w:pPr>
        <w:pStyle w:val="berschrift1"/>
      </w:pPr>
      <w:r>
        <w:t>[</w:t>
      </w:r>
      <w:r>
        <w:br/>
        <w:t>\mathcal{S}_{3.3}</w:t>
      </w:r>
    </w:p>
    <w:p w:rsidR="003736B0" w:rsidRDefault="003736B0" w:rsidP="003736B0">
      <w:pPr>
        <w:pStyle w:val="StandardWeb"/>
      </w:pPr>
      <w:r>
        <w:t>\left{</w:t>
      </w:r>
      <w:r>
        <w:br/>
        <w:t>S_{3.3.1},</w:t>
      </w:r>
      <w:r>
        <w:br/>
        <w:t>S_{3.3.2},</w:t>
      </w:r>
      <w:r>
        <w:br/>
        <w:t>S_{3.3.3},</w:t>
      </w:r>
      <w:r>
        <w:br/>
        <w:t>S_{3.3.4},</w:t>
      </w:r>
      <w:r>
        <w:br/>
        <w:t>S_{3.3.5}</w:t>
      </w:r>
      <w:r>
        <w:br/>
        <w:t>\right}.</w:t>
      </w:r>
      <w:r>
        <w:br/>
        <w:t>\tag{3.4900}</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\mathcal{S}_{3.3}=\left\{S_{3.3.1},S_{3.3.2},S_{3.3.3},S_{3.3.4},S_{3.3.5}\right\}\qquad\text{(3.4900)}</w:t>
      </w:r>
    </w:p>
    <w:p w:rsidR="003736B0" w:rsidRDefault="003736B0" w:rsidP="003736B0">
      <w:pPr>
        <w:pStyle w:val="StandardWeb"/>
      </w:pPr>
      <w:r>
        <w:t>Die zugehörige Beweismenge lautet</w:t>
      </w:r>
    </w:p>
    <w:p w:rsidR="003736B0" w:rsidRDefault="003736B0" w:rsidP="003736B0">
      <w:pPr>
        <w:pStyle w:val="berschrift1"/>
      </w:pPr>
      <w:r>
        <w:t>[</w:t>
      </w:r>
      <w:r>
        <w:br/>
        <w:t>\mathcal{P}_{3.3}</w:t>
      </w:r>
    </w:p>
    <w:p w:rsidR="003736B0" w:rsidRDefault="003736B0" w:rsidP="003736B0">
      <w:pPr>
        <w:pStyle w:val="StandardWeb"/>
      </w:pPr>
      <w:r>
        <w:t>\left{</w:t>
      </w:r>
      <w:r>
        <w:br/>
        <w:t>P_{3.3.1},</w:t>
      </w:r>
      <w:r>
        <w:br/>
        <w:t>P_{3.3.2},</w:t>
      </w:r>
      <w:r>
        <w:br/>
      </w:r>
      <w:r>
        <w:lastRenderedPageBreak/>
        <w:t>P_{3.3.3},</w:t>
      </w:r>
      <w:r>
        <w:br/>
        <w:t>P_{3.3.4},</w:t>
      </w:r>
      <w:r>
        <w:br/>
        <w:t>P_{3.3.5}</w:t>
      </w:r>
      <w:r>
        <w:br/>
        <w:t>\right}.</w:t>
      </w:r>
      <w:r>
        <w:br/>
        <w:t>\tag{3.4901}</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\mathcal{P}_{3.3}=\left\{P_{3.3.1},P_{3.3.2},P_{3.3.3},P_{3.3.4},P_{3.3.5}\right\}\qquad\text{(3.4901)}</w:t>
      </w:r>
    </w:p>
    <w:p w:rsidR="003736B0" w:rsidRDefault="003736B0" w:rsidP="003736B0">
      <w:pPr>
        <w:pStyle w:val="StandardWeb"/>
      </w:pPr>
      <w:r>
        <w:t>Für jeden bisherigen Satz existiert genau ein zugeordneter Hauptbeweis:</w:t>
      </w:r>
    </w:p>
    <w:p w:rsidR="003736B0" w:rsidRDefault="003736B0" w:rsidP="003736B0">
      <w:pPr>
        <w:pStyle w:val="StandardWeb"/>
      </w:pPr>
      <w:r>
        <w:t>[</w:t>
      </w:r>
      <w:r>
        <w:br/>
        <w:t>\forall S_i\in\mathcal{S}</w:t>
      </w:r>
      <w:r>
        <w:rPr>
          <w:rStyle w:val="Hervorhebung"/>
        </w:rPr>
        <w:t>{3.3}</w:t>
      </w:r>
      <w:r>
        <w:rPr>
          <w:i/>
          <w:iCs/>
        </w:rPr>
        <w:br/>
      </w:r>
      <w:r>
        <w:rPr>
          <w:rStyle w:val="Hervorhebung"/>
        </w:rPr>
        <w:t>\ \exists !,P_i\in\mathcal{P}</w:t>
      </w:r>
      <w:r>
        <w:t>{3.3}:</w:t>
      </w:r>
      <w:r>
        <w:br/>
        <w:t>P_i</w:t>
      </w:r>
      <w:r>
        <w:br/>
        <w:t>\longrightarrow_{A}</w:t>
      </w:r>
      <w:r>
        <w:br/>
        <w:t>S_i.</w:t>
      </w:r>
      <w:r>
        <w:br/>
        <w:t>\tag{3.4902}</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\forall S_i\in\mathcal{S}_{3.3}\ \exists!\,P_i\in\mathcal{P}_{3.3}:P_i\longrightarrow_{A}S_i\qquad\text{(3.4902)}</w:t>
      </w:r>
    </w:p>
    <w:p w:rsidR="003736B0" w:rsidRDefault="003736B0" w:rsidP="003736B0">
      <w:pPr>
        <w:pStyle w:val="StandardWeb"/>
      </w:pPr>
      <w:r>
        <w:t>Zusätzliche alternative Beweise bleiben grundsätzlich zulässig, müssen aber als solche gesondert registriert werden.</w:t>
      </w:r>
    </w:p>
    <w:p w:rsidR="003736B0" w:rsidRPr="00AF32B2" w:rsidRDefault="003736B0" w:rsidP="00AF32B2">
      <w:pPr>
        <w:pStyle w:val="berschrift4"/>
      </w:pPr>
      <w:r w:rsidRPr="00AF32B2">
        <w:t>3.3.24.29 Satz zur Ableitungskonsistenz</w:t>
      </w:r>
    </w:p>
    <w:p w:rsidR="003736B0" w:rsidRDefault="003736B0" w:rsidP="003736B0">
      <w:pPr>
        <w:pStyle w:val="StandardWeb"/>
      </w:pPr>
      <w:r>
        <w:rPr>
          <w:rStyle w:val="Fett"/>
        </w:rPr>
        <w:t>Satz 3.3.6 – Ableitungskonsistenz der bisherigen FRZK-Begründungsstruktur</w:t>
      </w:r>
    </w:p>
    <w:p w:rsidR="003736B0" w:rsidRDefault="003736B0" w:rsidP="003736B0">
      <w:pPr>
        <w:pStyle w:val="StandardWeb"/>
      </w:pPr>
      <w:r>
        <w:t>Der wissenschaftliche Ableitungsgraph der bisherigen Axiome, Definitionen, Gleichungen, Modelle, Sätze und Beweise ist bezüglich der Sätze 3.3.1 bis 3.3.5 azyklisch und abhängigkeitsvollständig dokumentierbar.</w:t>
      </w:r>
    </w:p>
    <w:p w:rsidR="003736B0" w:rsidRDefault="003736B0" w:rsidP="003736B0">
      <w:pPr>
        <w:pStyle w:val="StandardWeb"/>
      </w:pPr>
      <w:r>
        <w:t>Formal gilt:</w:t>
      </w:r>
    </w:p>
    <w:p w:rsidR="003736B0" w:rsidRDefault="003736B0" w:rsidP="003736B0">
      <w:pPr>
        <w:pStyle w:val="berschrift1"/>
      </w:pPr>
      <w:r>
        <w:t>[</w:t>
      </w:r>
      <w:r>
        <w:br/>
        <w:t>\mathcal{C}_{A}</w:t>
      </w:r>
    </w:p>
    <w:p w:rsidR="003736B0" w:rsidRDefault="003736B0" w:rsidP="003736B0">
      <w:pPr>
        <w:pStyle w:val="StandardWeb"/>
      </w:pPr>
      <w:r>
        <w:t>\emptyset</w:t>
      </w:r>
      <w:r>
        <w:br/>
        <w:t>\tag{3.4903}</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lastRenderedPageBreak/>
        <w:t>\mathcal{C}_{A}=\emptyset\qquad\text{(3.4903)}</w:t>
      </w:r>
    </w:p>
    <w:p w:rsidR="003736B0" w:rsidRDefault="003736B0" w:rsidP="003736B0">
      <w:pPr>
        <w:pStyle w:val="StandardWeb"/>
      </w:pPr>
      <w:r>
        <w:t>und</w:t>
      </w:r>
    </w:p>
    <w:p w:rsidR="003736B0" w:rsidRDefault="003736B0" w:rsidP="003736B0">
      <w:pPr>
        <w:pStyle w:val="berschrift1"/>
      </w:pPr>
      <w:r>
        <w:t>[</w:t>
      </w:r>
      <w:r>
        <w:br/>
        <w:t>\operatorname{Voll}</w:t>
      </w:r>
      <w:r>
        <w:rPr>
          <w:rStyle w:val="Hervorhebung"/>
        </w:rPr>
        <w:t>{A}</w:t>
      </w:r>
      <w:r>
        <w:rPr>
          <w:i/>
          <w:iCs/>
        </w:rPr>
        <w:br/>
      </w:r>
      <w:r>
        <w:rPr>
          <w:rStyle w:val="Hervorhebung"/>
        </w:rPr>
        <w:t>\left(</w:t>
      </w:r>
      <w:r>
        <w:rPr>
          <w:i/>
          <w:iCs/>
        </w:rPr>
        <w:br/>
      </w:r>
      <w:r>
        <w:rPr>
          <w:rStyle w:val="Hervorhebung"/>
        </w:rPr>
        <w:t>\mathfrak{G}</w:t>
      </w:r>
      <w:r>
        <w:t>{A}</w:t>
      </w:r>
      <w:r>
        <w:br/>
        <w:t>\right)</w:t>
      </w:r>
    </w:p>
    <w:p w:rsidR="003736B0" w:rsidRDefault="003736B0" w:rsidP="00632D23">
      <w:pPr>
        <w:numPr>
          <w:ilvl w:val="0"/>
          <w:numId w:val="127"/>
        </w:numPr>
        <w:spacing w:before="100" w:beforeAutospacing="1" w:after="100" w:afterAutospacing="1"/>
      </w:pPr>
    </w:p>
    <w:p w:rsidR="003736B0" w:rsidRDefault="003736B0" w:rsidP="003736B0">
      <w:pPr>
        <w:pStyle w:val="StandardWeb"/>
      </w:pPr>
      <w:r>
        <w:t>\tag{3.4904}</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\operatorname{Voll}_{A}\left(\mathfrak{G}_{A}\right)=1\qquad\text{(3.4904)}</w:t>
      </w:r>
    </w:p>
    <w:p w:rsidR="003736B0" w:rsidRDefault="003736B0" w:rsidP="003736B0">
      <w:pPr>
        <w:pStyle w:val="StandardWeb"/>
      </w:pPr>
      <w:r>
        <w:t>Daraus folgt</w:t>
      </w:r>
    </w:p>
    <w:p w:rsidR="003736B0" w:rsidRDefault="003736B0" w:rsidP="003736B0">
      <w:pPr>
        <w:pStyle w:val="berschrift1"/>
      </w:pPr>
      <w:r>
        <w:t>[</w:t>
      </w:r>
      <w:r>
        <w:br/>
        <w:t>\operatorname{AK}</w:t>
      </w:r>
      <w:r>
        <w:rPr>
          <w:rStyle w:val="Hervorhebung"/>
        </w:rPr>
        <w:t>{F}</w:t>
      </w:r>
      <w:r>
        <w:rPr>
          <w:i/>
          <w:iCs/>
        </w:rPr>
        <w:br/>
      </w:r>
      <w:r>
        <w:rPr>
          <w:rStyle w:val="Hervorhebung"/>
        </w:rPr>
        <w:t>\left(</w:t>
      </w:r>
      <w:r>
        <w:rPr>
          <w:i/>
          <w:iCs/>
        </w:rPr>
        <w:br/>
      </w:r>
      <w:r>
        <w:rPr>
          <w:rStyle w:val="Hervorhebung"/>
        </w:rPr>
        <w:t>\mathfrak{G}</w:t>
      </w:r>
      <w:r>
        <w:t>{A}</w:t>
      </w:r>
      <w:r>
        <w:br/>
        <w:t>\right)</w:t>
      </w:r>
    </w:p>
    <w:p w:rsidR="003736B0" w:rsidRDefault="003736B0" w:rsidP="00632D23">
      <w:pPr>
        <w:numPr>
          <w:ilvl w:val="0"/>
          <w:numId w:val="128"/>
        </w:numPr>
        <w:spacing w:before="100" w:beforeAutospacing="1" w:after="100" w:afterAutospacing="1"/>
      </w:pPr>
    </w:p>
    <w:p w:rsidR="003736B0" w:rsidRDefault="003736B0" w:rsidP="003736B0">
      <w:pPr>
        <w:pStyle w:val="StandardWeb"/>
      </w:pPr>
      <w:r>
        <w:t>\tag{3.4905}</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\operatorname{AK}_{F}\left(\mathfrak{G}_{A}\right)=1\qquad\text{(3.4905)}</w:t>
      </w:r>
    </w:p>
    <w:p w:rsidR="003736B0" w:rsidRDefault="003736B0" w:rsidP="003736B0">
      <w:pPr>
        <w:pStyle w:val="berschrift3"/>
      </w:pPr>
      <w:r>
        <w:t>Beweis</w:t>
      </w:r>
    </w:p>
    <w:p w:rsidR="003736B0" w:rsidRDefault="003736B0" w:rsidP="003736B0">
      <w:pPr>
        <w:pStyle w:val="StandardWeb"/>
      </w:pPr>
      <w:r>
        <w:t>Die drei Primäraxiome bilden die axiomatischen Wurzelobjekte. Die Definitionen 3.3.1 bis 3.3.15 wurden in Abschnitt 3.3.23 als zirkularitätsfrei nachgewiesen.</w:t>
      </w:r>
    </w:p>
    <w:p w:rsidR="003736B0" w:rsidRDefault="003736B0" w:rsidP="003736B0">
      <w:pPr>
        <w:pStyle w:val="StandardWeb"/>
      </w:pPr>
      <w:r>
        <w:t>Satz 3.3.1 verwendet Definition 3.3.12 und drei unabhängig konstruierte Gegenmodelle. Keines dieser Objekte hängt von Satz 3.3.1 ab.</w:t>
      </w:r>
    </w:p>
    <w:p w:rsidR="003736B0" w:rsidRDefault="003736B0" w:rsidP="003736B0">
      <w:pPr>
        <w:pStyle w:val="StandardWeb"/>
      </w:pPr>
      <w:r>
        <w:lastRenderedPageBreak/>
        <w:t>Satz 3.3.2 verwendet Definition 3.3.13 und das ausdrücklich konstruierte gemeinsame Minimalmodell. Das Modell wird aus früheren Definitionen und Gleichungen aufgebaut und setzt den Konsistenzsatz nicht voraus.</w:t>
      </w:r>
    </w:p>
    <w:p w:rsidR="003736B0" w:rsidRDefault="003736B0" w:rsidP="003736B0">
      <w:pPr>
        <w:pStyle w:val="StandardWeb"/>
      </w:pPr>
      <w:r>
        <w:t>Satz 3.3.3 verwendet die früheren Ergebnisse zur Unabhängigkeit und Konsistenz sowie Gegenbeispiele gegen stärkere Axiomfassungen. Seine Voraussetzungen liegen vollständig vor dem Satz.</w:t>
      </w:r>
    </w:p>
    <w:p w:rsidR="003736B0" w:rsidRDefault="003736B0" w:rsidP="003736B0">
      <w:pPr>
        <w:pStyle w:val="StandardWeb"/>
      </w:pPr>
      <w:r>
        <w:t>Satz 3.3.4 verwendet Definition 3.3.14 und die typisierten Definitions- und Zielbereiche zentraler Abbildungen. Die Typmatrix wird vor dem Satz eingeführt.</w:t>
      </w:r>
    </w:p>
    <w:p w:rsidR="003736B0" w:rsidRDefault="003736B0" w:rsidP="003736B0">
      <w:pPr>
        <w:pStyle w:val="StandardWeb"/>
      </w:pPr>
      <w:r>
        <w:t>Satz 3.3.5 verwendet Definition 3.3.15, die direkte Definitionsabhängigkeitsrelation, deren transitive Hülle und eine topologische Nummerierung. Keine dieser Strukturen hängt vom Zirkularitätsfreiheitssatz selbst ab.</w:t>
      </w:r>
    </w:p>
    <w:p w:rsidR="003736B0" w:rsidRDefault="003736B0" w:rsidP="003736B0">
      <w:pPr>
        <w:pStyle w:val="StandardWeb"/>
      </w:pPr>
      <w:r>
        <w:t>Für jeden Satz existiert ein registrierter Beweis. Die jeweiligen Beweise verwenden nur früher eingeführte Definitionen, Gleichungen, Modelle oder Sätze. Ein logischer Ableitungszyklus liegt daher nicht vor.</w:t>
      </w:r>
    </w:p>
    <w:p w:rsidR="003736B0" w:rsidRDefault="003736B0" w:rsidP="003736B0">
      <w:pPr>
        <w:pStyle w:val="StandardWeb"/>
      </w:pPr>
      <w:r>
        <w:t>Somit gilt</w:t>
      </w:r>
    </w:p>
    <w:p w:rsidR="003736B0" w:rsidRDefault="003736B0" w:rsidP="003736B0">
      <w:pPr>
        <w:pStyle w:val="berschrift1"/>
      </w:pPr>
      <w:r>
        <w:t>[</w:t>
      </w:r>
      <w:r>
        <w:br/>
        <w:t>\mathcal{C}_{A}</w:t>
      </w:r>
    </w:p>
    <w:p w:rsidR="003736B0" w:rsidRDefault="003736B0" w:rsidP="003736B0">
      <w:pPr>
        <w:pStyle w:val="StandardWeb"/>
      </w:pPr>
      <w:r>
        <w:t>\emptyset.</w:t>
      </w:r>
      <w:r>
        <w:br/>
        <w:t>\tag{3.4906}</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\mathcal{C}_{A}=\emptyset\qquad\text{(3.4906)}</w:t>
      </w:r>
    </w:p>
    <w:p w:rsidR="003736B0" w:rsidRDefault="003736B0" w:rsidP="003736B0">
      <w:pPr>
        <w:pStyle w:val="StandardWeb"/>
      </w:pPr>
      <w:r>
        <w:t>Werden die beschriebenen Voraussetzungen vollständig im Repository registriert, gilt außerdem</w:t>
      </w:r>
    </w:p>
    <w:p w:rsidR="003736B0" w:rsidRDefault="003736B0" w:rsidP="003736B0">
      <w:pPr>
        <w:pStyle w:val="berschrift1"/>
      </w:pPr>
      <w:r>
        <w:t>[</w:t>
      </w:r>
      <w:r>
        <w:br/>
        <w:t>\operatorname{Voll}</w:t>
      </w:r>
      <w:r>
        <w:rPr>
          <w:rStyle w:val="Hervorhebung"/>
        </w:rPr>
        <w:t>{A}</w:t>
      </w:r>
      <w:r>
        <w:rPr>
          <w:i/>
          <w:iCs/>
        </w:rPr>
        <w:br/>
      </w:r>
      <w:r>
        <w:rPr>
          <w:rStyle w:val="Hervorhebung"/>
        </w:rPr>
        <w:t>\left(</w:t>
      </w:r>
      <w:r>
        <w:rPr>
          <w:i/>
          <w:iCs/>
        </w:rPr>
        <w:br/>
      </w:r>
      <w:r>
        <w:rPr>
          <w:rStyle w:val="Hervorhebung"/>
        </w:rPr>
        <w:t>\mathfrak{G}</w:t>
      </w:r>
      <w:r>
        <w:t>{A}</w:t>
      </w:r>
      <w:r>
        <w:br/>
        <w:t>\right)</w:t>
      </w:r>
    </w:p>
    <w:p w:rsidR="003736B0" w:rsidRDefault="003736B0" w:rsidP="00632D23">
      <w:pPr>
        <w:numPr>
          <w:ilvl w:val="0"/>
          <w:numId w:val="129"/>
        </w:numPr>
        <w:spacing w:before="100" w:beforeAutospacing="1" w:after="100" w:afterAutospacing="1"/>
      </w:pPr>
    </w:p>
    <w:p w:rsidR="003736B0" w:rsidRDefault="003736B0" w:rsidP="003736B0">
      <w:pPr>
        <w:pStyle w:val="StandardWeb"/>
      </w:pPr>
      <w:r>
        <w:t>\tag{3.4907}</w:t>
      </w:r>
      <w:r>
        <w:br/>
        <w:t>]</w:t>
      </w:r>
    </w:p>
    <w:p w:rsidR="003736B0" w:rsidRDefault="003736B0" w:rsidP="003736B0">
      <w:pPr>
        <w:pStyle w:val="StandardWeb"/>
      </w:pPr>
      <w:r>
        <w:rPr>
          <w:rStyle w:val="Fett"/>
        </w:rPr>
        <w:lastRenderedPageBreak/>
        <w:t>Word-LaTeX</w:t>
      </w:r>
    </w:p>
    <w:p w:rsidR="003736B0" w:rsidRDefault="003736B0" w:rsidP="003736B0">
      <w:pPr>
        <w:pStyle w:val="HTMLVorformatiert"/>
        <w:rPr>
          <w:rStyle w:val="HTMLCode"/>
        </w:rPr>
      </w:pPr>
      <w:r>
        <w:rPr>
          <w:rStyle w:val="HTMLCode"/>
        </w:rPr>
        <w:t>\operatorname{Voll}_{A}\left(\mathfrak{G}_{A}\right)=1\qquad\text{(3.4907)}</w:t>
      </w:r>
    </w:p>
    <w:p w:rsidR="003736B0" w:rsidRDefault="003736B0" w:rsidP="003736B0">
      <w:pPr>
        <w:pStyle w:val="StandardWeb"/>
      </w:pPr>
      <w:r>
        <w:t>Daraus folgt</w:t>
      </w:r>
    </w:p>
    <w:p w:rsidR="003736B0" w:rsidRDefault="003736B0" w:rsidP="003736B0">
      <w:pPr>
        <w:pStyle w:val="berschrift1"/>
      </w:pPr>
      <w:r>
        <w:t>[</w:t>
      </w:r>
      <w:r>
        <w:br/>
        <w:t>\operatorname{AK}</w:t>
      </w:r>
      <w:r>
        <w:rPr>
          <w:rStyle w:val="Hervorhebung"/>
        </w:rPr>
        <w:t>{F}</w:t>
      </w:r>
      <w:r>
        <w:rPr>
          <w:i/>
          <w:iCs/>
        </w:rPr>
        <w:br/>
      </w:r>
      <w:r>
        <w:rPr>
          <w:rStyle w:val="Hervorhebung"/>
        </w:rPr>
        <w:t>\left(</w:t>
      </w:r>
      <w:r>
        <w:rPr>
          <w:i/>
          <w:iCs/>
        </w:rPr>
        <w:br/>
      </w:r>
      <w:r>
        <w:rPr>
          <w:rStyle w:val="Hervorhebung"/>
        </w:rPr>
        <w:t>\mathfrak{G}</w:t>
      </w:r>
      <w:r>
        <w:t>{A}</w:t>
      </w:r>
      <w:r>
        <w:br/>
        <w:t>\right)</w:t>
      </w:r>
    </w:p>
    <w:p w:rsidR="003736B0" w:rsidRDefault="003736B0" w:rsidP="00632D23">
      <w:pPr>
        <w:numPr>
          <w:ilvl w:val="0"/>
          <w:numId w:val="130"/>
        </w:numPr>
        <w:spacing w:before="100" w:beforeAutospacing="1" w:after="100" w:afterAutospacing="1"/>
      </w:pPr>
    </w:p>
    <w:p w:rsidR="003736B0" w:rsidRDefault="003736B0" w:rsidP="003736B0">
      <w:pPr>
        <w:pStyle w:val="StandardWeb"/>
      </w:pPr>
      <w:r>
        <w:t>\tag{3.4908}</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\operatorname{AK}_{F}\left(\mathfrak{G}_{A}\right)=1\qquad\text{(3.4908)}</w:t>
      </w:r>
    </w:p>
    <w:p w:rsidR="003736B0" w:rsidRDefault="003736B0" w:rsidP="003736B0">
      <w:pPr>
        <w:pStyle w:val="StandardWeb"/>
      </w:pPr>
      <w:r>
        <w:t>Damit ist die bisherige FRZK-Begründungsstruktur ableitungskonsistent. (\square)</w:t>
      </w:r>
    </w:p>
    <w:p w:rsidR="003736B0" w:rsidRPr="00AF32B2" w:rsidRDefault="003736B0" w:rsidP="00AF32B2">
      <w:pPr>
        <w:pStyle w:val="berschrift4"/>
      </w:pPr>
      <w:r w:rsidRPr="00AF32B2">
        <w:t>3.3.24.30 Reichweite des Ableitungskonsistenzsatzes</w:t>
      </w:r>
    </w:p>
    <w:p w:rsidR="003736B0" w:rsidRDefault="003736B0" w:rsidP="003736B0">
      <w:pPr>
        <w:pStyle w:val="StandardWeb"/>
      </w:pPr>
      <w:r>
        <w:t>Satz 3.3.6 bestätigt die bisherige Begründungsstruktur, nicht jedoch automatisch jede zukünftige Erweiterung.</w:t>
      </w:r>
    </w:p>
    <w:p w:rsidR="003736B0" w:rsidRDefault="003736B0" w:rsidP="003736B0">
      <w:pPr>
        <w:pStyle w:val="StandardWeb"/>
      </w:pPr>
      <w:r>
        <w:t>Für ein neues wissenschaftliches Objekt (x_{\mathrm{neu}}) muss gelten:</w:t>
      </w:r>
    </w:p>
    <w:p w:rsidR="003736B0" w:rsidRDefault="003736B0" w:rsidP="003736B0">
      <w:pPr>
        <w:pStyle w:val="StandardWeb"/>
      </w:pPr>
      <w:r>
        <w:t>[</w:t>
      </w:r>
      <w:r>
        <w:br/>
        <w:t>\operatorname{Pred}</w:t>
      </w:r>
      <w:r>
        <w:rPr>
          <w:rStyle w:val="Hervorhebung"/>
        </w:rPr>
        <w:t>{A}</w:t>
      </w:r>
      <w:r>
        <w:rPr>
          <w:i/>
          <w:iCs/>
        </w:rPr>
        <w:br/>
      </w:r>
      <w:r>
        <w:rPr>
          <w:rStyle w:val="Hervorhebung"/>
        </w:rPr>
        <w:t>\left(</w:t>
      </w:r>
      <w:r>
        <w:rPr>
          <w:i/>
          <w:iCs/>
        </w:rPr>
        <w:br/>
      </w:r>
      <w:r>
        <w:rPr>
          <w:rStyle w:val="Hervorhebung"/>
        </w:rPr>
        <w:t>x</w:t>
      </w:r>
      <w:r>
        <w:t>{\mathrm{neu}}</w:t>
      </w:r>
      <w:r>
        <w:br/>
        <w:t>\right)</w:t>
      </w:r>
      <w:r>
        <w:br/>
        <w:t>\subseteq</w:t>
      </w:r>
      <w:r>
        <w:br/>
        <w:t>\mathfrak{U}_{A}.</w:t>
      </w:r>
      <w:r>
        <w:br/>
        <w:t>\tag{3.4909}</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\operatorname{Pred}_{A}\left(x_{\mathrm{neu}}\right)\subseteq\mathfrak{U}_{A}\qquad\text{(3.4909)}</w:t>
      </w:r>
    </w:p>
    <w:p w:rsidR="003736B0" w:rsidRDefault="003736B0" w:rsidP="003736B0">
      <w:pPr>
        <w:pStyle w:val="StandardWeb"/>
      </w:pPr>
      <w:r>
        <w:t>Nach seiner Aufnahme darf nicht gelten:</w:t>
      </w:r>
    </w:p>
    <w:p w:rsidR="003736B0" w:rsidRDefault="003736B0" w:rsidP="003736B0">
      <w:pPr>
        <w:pStyle w:val="StandardWeb"/>
      </w:pPr>
      <w:r>
        <w:lastRenderedPageBreak/>
        <w:t>[</w:t>
      </w:r>
      <w:r>
        <w:br/>
        <w:t>\left(</w:t>
      </w:r>
      <w:r>
        <w:br/>
        <w:t>x_{\mathrm{neu}},</w:t>
      </w:r>
      <w:r>
        <w:br/>
        <w:t>x_{\mathrm{neu}}</w:t>
      </w:r>
      <w:r>
        <w:br/>
        <w:t>\right)</w:t>
      </w:r>
      <w:r>
        <w:br/>
        <w:t>\in</w:t>
      </w:r>
      <w:r>
        <w:br/>
        <w:t>\left(</w:t>
      </w:r>
      <w:r>
        <w:br/>
        <w:t>\mathcal{R}_{A}^{\mathrm{neu}}</w:t>
      </w:r>
      <w:r>
        <w:br/>
        <w:t>\right)^{+}.</w:t>
      </w:r>
      <w:r>
        <w:br/>
        <w:t>\tag{3.4910}</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\left(x_{\mathrm{neu}},x_{\mathrm{neu}}\right)\in\left(\mathcal{R}_{A}^{\mathrm{neu}}\right)^{+}\qquad\text{(3.4910)}</w:t>
      </w:r>
    </w:p>
    <w:p w:rsidR="003736B0" w:rsidRDefault="003736B0" w:rsidP="003736B0">
      <w:pPr>
        <w:pStyle w:val="StandardWeb"/>
      </w:pPr>
      <w:r>
        <w:t>Gleichung (3.4910) beschreibt den auszuschließenden Fall eines neu erzeugten Ableitungszyklus.</w:t>
      </w:r>
    </w:p>
    <w:p w:rsidR="003736B0" w:rsidRPr="00AF32B2" w:rsidRDefault="003736B0" w:rsidP="00AF32B2">
      <w:pPr>
        <w:pStyle w:val="berschrift4"/>
      </w:pPr>
      <w:r w:rsidRPr="00AF32B2">
        <w:t>3.3.24.31 Speicherung im wissenschaftlichen Repository</w:t>
      </w:r>
    </w:p>
    <w:p w:rsidR="003736B0" w:rsidRDefault="003736B0" w:rsidP="003736B0">
      <w:pPr>
        <w:pStyle w:val="StandardWeb"/>
      </w:pPr>
      <w:r>
        <w:t>Die wissenschaftlichen Abhängigkeiten werden in der Repository-Struktur als gerichtete Objektabhängigkeiten gespeichert.</w:t>
      </w:r>
    </w:p>
    <w:p w:rsidR="003736B0" w:rsidRDefault="003736B0" w:rsidP="003736B0">
      <w:pPr>
        <w:pStyle w:val="StandardWeb"/>
      </w:pPr>
      <w:r>
        <w:t>Eine Repository-Kante lautet schematisch:</w:t>
      </w:r>
    </w:p>
    <w:p w:rsidR="003736B0" w:rsidRDefault="003736B0" w:rsidP="003736B0">
      <w:pPr>
        <w:pStyle w:val="StandardWeb"/>
      </w:pPr>
      <w:r>
        <w:t>[</w:t>
      </w:r>
      <w:r>
        <w:br/>
        <w:t>\operatorname{Dep}</w:t>
      </w:r>
      <w:r>
        <w:rPr>
          <w:rStyle w:val="Hervorhebung"/>
        </w:rPr>
        <w:t>{A}</w:t>
      </w:r>
      <w:r>
        <w:rPr>
          <w:i/>
          <w:iCs/>
        </w:rPr>
        <w:br/>
      </w:r>
      <w:r>
        <w:rPr>
          <w:rStyle w:val="Hervorhebung"/>
        </w:rPr>
        <w:t>\left(</w:t>
      </w:r>
      <w:r>
        <w:rPr>
          <w:i/>
          <w:iCs/>
        </w:rPr>
        <w:br/>
      </w:r>
      <w:r>
        <w:rPr>
          <w:rStyle w:val="Hervorhebung"/>
        </w:rPr>
        <w:t>x,</w:t>
      </w:r>
      <w:r>
        <w:rPr>
          <w:i/>
          <w:iCs/>
        </w:rPr>
        <w:br/>
      </w:r>
      <w:r>
        <w:rPr>
          <w:rStyle w:val="Hervorhebung"/>
        </w:rPr>
        <w:t>y,</w:t>
      </w:r>
      <w:r>
        <w:rPr>
          <w:i/>
          <w:iCs/>
        </w:rPr>
        <w:br/>
      </w:r>
      <w:r>
        <w:rPr>
          <w:rStyle w:val="Hervorhebung"/>
        </w:rPr>
        <w:t>\lambda</w:t>
      </w:r>
      <w:r>
        <w:t>{A}(x,y)</w:t>
      </w:r>
      <w:r>
        <w:br/>
        <w:t>\right).</w:t>
      </w:r>
      <w:r>
        <w:br/>
        <w:t>\tag{3.4911}</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\operatorname{Dep}_{A}\left(x,y,\lambda_{A}(x,y)\right)\qquad\text{(3.4911)}</w:t>
      </w:r>
    </w:p>
    <w:p w:rsidR="003736B0" w:rsidRDefault="003736B0" w:rsidP="003736B0">
      <w:pPr>
        <w:pStyle w:val="StandardWeb"/>
      </w:pPr>
      <w:r>
        <w:t>Für den Beweis von Satz 3.3.2 kann beispielsweise gespeichert werden:</w:t>
      </w:r>
    </w:p>
    <w:p w:rsidR="003736B0" w:rsidRDefault="003736B0" w:rsidP="003736B0">
      <w:pPr>
        <w:pStyle w:val="StandardWeb"/>
      </w:pPr>
      <w:r>
        <w:t>[</w:t>
      </w:r>
      <w:r>
        <w:br/>
        <w:t>\operatorname{Dep}</w:t>
      </w:r>
      <w:r>
        <w:rPr>
          <w:rStyle w:val="Hervorhebung"/>
        </w:rPr>
        <w:t>{A}</w:t>
      </w:r>
      <w:r>
        <w:rPr>
          <w:i/>
          <w:iCs/>
        </w:rPr>
        <w:br/>
      </w:r>
      <w:r>
        <w:rPr>
          <w:rStyle w:val="Hervorhebung"/>
        </w:rPr>
        <w:t>\left(</w:t>
      </w:r>
      <w:r>
        <w:rPr>
          <w:i/>
          <w:iCs/>
        </w:rPr>
        <w:br/>
      </w:r>
      <w:r>
        <w:rPr>
          <w:rStyle w:val="Hervorhebung"/>
        </w:rPr>
        <w:t>D</w:t>
      </w:r>
      <w:r>
        <w:t>{13},</w:t>
      </w:r>
      <w:r>
        <w:br/>
        <w:t>P_{3.3.2},</w:t>
      </w:r>
      <w:r>
        <w:br/>
        <w:t>\mathbf{uses}</w:t>
      </w:r>
      <w:r>
        <w:br/>
        <w:t>\right).</w:t>
      </w:r>
      <w:r>
        <w:br/>
      </w:r>
      <w:r>
        <w:lastRenderedPageBreak/>
        <w:t>\tag{3.4912}</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\operatorname{Dep}_{A}\left(D_{13},P_{3.3.2},\mathbf{uses}\right)\qquad\text{(3.4912)}</w:t>
      </w:r>
    </w:p>
    <w:p w:rsidR="003736B0" w:rsidRDefault="003736B0" w:rsidP="003736B0">
      <w:pPr>
        <w:pStyle w:val="StandardWeb"/>
      </w:pPr>
      <w:r>
        <w:t>Die Beweiszuordnung lautet:</w:t>
      </w:r>
    </w:p>
    <w:p w:rsidR="003736B0" w:rsidRDefault="003736B0" w:rsidP="003736B0">
      <w:pPr>
        <w:pStyle w:val="StandardWeb"/>
      </w:pPr>
      <w:r>
        <w:t>[</w:t>
      </w:r>
      <w:r>
        <w:br/>
        <w:t>\operatorname{Dep}</w:t>
      </w:r>
      <w:r>
        <w:rPr>
          <w:rStyle w:val="Hervorhebung"/>
        </w:rPr>
        <w:t>{A}</w:t>
      </w:r>
      <w:r>
        <w:rPr>
          <w:i/>
          <w:iCs/>
        </w:rPr>
        <w:br/>
      </w:r>
      <w:r>
        <w:rPr>
          <w:rStyle w:val="Hervorhebung"/>
        </w:rPr>
        <w:t>\left(</w:t>
      </w:r>
      <w:r>
        <w:rPr>
          <w:i/>
          <w:iCs/>
        </w:rPr>
        <w:br/>
      </w:r>
      <w:r>
        <w:rPr>
          <w:rStyle w:val="Hervorhebung"/>
        </w:rPr>
        <w:t>P</w:t>
      </w:r>
      <w:r>
        <w:t>{3.3.2},</w:t>
      </w:r>
      <w:r>
        <w:br/>
        <w:t>S_{3.3.2},</w:t>
      </w:r>
      <w:r>
        <w:br/>
        <w:t>\mathbf{proves}</w:t>
      </w:r>
      <w:r>
        <w:br/>
        <w:t>\right).</w:t>
      </w:r>
      <w:r>
        <w:br/>
        <w:t>\tag{3.4913}</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\operatorname{Dep}_{A}\left(P_{3.3.2},S_{3.3.2},\mathbf{proves}\right)\qquad\text{(3.4913)}</w:t>
      </w:r>
    </w:p>
    <w:p w:rsidR="003736B0" w:rsidRDefault="003736B0" w:rsidP="003736B0">
      <w:pPr>
        <w:pStyle w:val="StandardWeb"/>
      </w:pPr>
      <w:r>
        <w:rPr>
          <w:rStyle w:val="Fett"/>
        </w:rPr>
        <w:t>Eigenleistung des FRZK</w:t>
      </w:r>
    </w:p>
    <w:p w:rsidR="003736B0" w:rsidRDefault="003736B0" w:rsidP="003736B0">
      <w:pPr>
        <w:pStyle w:val="StandardWeb"/>
      </w:pPr>
      <w:r>
        <w:t>Ich verbinde die wissenschaftliche Begründungsprüfung unmittelbar mit der Repository-Datenbank. Dadurch kann später automatisiert ermittelt werden, welche Definitionen, Gleichungen und Modelle einen Satz tragen und welche Ergebnisse bei einer Änderung erneut geprüft werden müssen.</w:t>
      </w:r>
    </w:p>
    <w:p w:rsidR="003736B0" w:rsidRPr="00AF32B2" w:rsidRDefault="003736B0" w:rsidP="00AF32B2">
      <w:pPr>
        <w:pStyle w:val="berschrift4"/>
      </w:pPr>
      <w:r w:rsidRPr="00AF32B2">
        <w:t>3.3.24.32 Änderungsfolgen im Ableitungsgraphen</w:t>
      </w:r>
    </w:p>
    <w:p w:rsidR="003736B0" w:rsidRDefault="003736B0" w:rsidP="003736B0">
      <w:pPr>
        <w:pStyle w:val="StandardWeb"/>
      </w:pPr>
      <w:r>
        <w:t>Wird ein wissenschaftliches Objekt (x) geändert, müssen sämtliche transitiv abhängigen Objekte erneut geprüft werden.</w:t>
      </w:r>
    </w:p>
    <w:p w:rsidR="003736B0" w:rsidRDefault="003736B0" w:rsidP="003736B0">
      <w:pPr>
        <w:pStyle w:val="StandardWeb"/>
      </w:pPr>
      <w:r>
        <w:t>Die Menge betroffener Nachfolger lautet:</w:t>
      </w:r>
    </w:p>
    <w:p w:rsidR="003736B0" w:rsidRDefault="003736B0" w:rsidP="003736B0">
      <w:pPr>
        <w:pStyle w:val="berschrift1"/>
      </w:pPr>
      <w:r>
        <w:t>[</w:t>
      </w:r>
      <w:r>
        <w:br/>
        <w:t>\operatorname{Impact}_{A}(x)</w:t>
      </w:r>
    </w:p>
    <w:p w:rsidR="003736B0" w:rsidRDefault="003736B0" w:rsidP="003736B0">
      <w:pPr>
        <w:pStyle w:val="StandardWeb"/>
      </w:pPr>
      <w:r>
        <w:t>\left{</w:t>
      </w:r>
      <w:r>
        <w:br/>
        <w:t>y\in\mathfrak{U}</w:t>
      </w:r>
      <w:r>
        <w:rPr>
          <w:rStyle w:val="Hervorhebung"/>
        </w:rPr>
        <w:t>{A}</w:t>
      </w:r>
      <w:r>
        <w:rPr>
          <w:i/>
          <w:iCs/>
        </w:rPr>
        <w:br/>
      </w:r>
      <w:r>
        <w:rPr>
          <w:rStyle w:val="Hervorhebung"/>
        </w:rPr>
        <w:t>;\middle|;</w:t>
      </w:r>
      <w:r>
        <w:rPr>
          <w:i/>
          <w:iCs/>
        </w:rPr>
        <w:br/>
      </w:r>
      <w:r>
        <w:rPr>
          <w:rStyle w:val="Hervorhebung"/>
        </w:rPr>
        <w:t>(x,y)</w:t>
      </w:r>
      <w:r>
        <w:rPr>
          <w:i/>
          <w:iCs/>
        </w:rPr>
        <w:br/>
      </w:r>
      <w:r>
        <w:rPr>
          <w:rStyle w:val="Hervorhebung"/>
        </w:rPr>
        <w:t>\in</w:t>
      </w:r>
      <w:r>
        <w:rPr>
          <w:i/>
          <w:iCs/>
        </w:rPr>
        <w:br/>
      </w:r>
      <w:r>
        <w:rPr>
          <w:rStyle w:val="Hervorhebung"/>
        </w:rPr>
        <w:t>\mathcal{R}</w:t>
      </w:r>
      <w:r>
        <w:t>{A}^{+}</w:t>
      </w:r>
      <w:r>
        <w:br/>
        <w:t>\right}.</w:t>
      </w:r>
      <w:r>
        <w:br/>
      </w:r>
      <w:r>
        <w:lastRenderedPageBreak/>
        <w:t>\tag{3.4914}</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\operatorname{Impact}_{A}(x)=\left\{y\in\mathfrak{U}_{A}\middle|(x,y)\in\mathcal{R}_{A}^{+}\right\}\qquad\text{(3.4914)}</w:t>
      </w:r>
    </w:p>
    <w:p w:rsidR="003736B0" w:rsidRDefault="003736B0" w:rsidP="003736B0">
      <w:pPr>
        <w:pStyle w:val="StandardWeb"/>
      </w:pPr>
      <w:r>
        <w:t>Für eine geänderte Definition (D_i) gilt beispielsweise:</w:t>
      </w:r>
    </w:p>
    <w:p w:rsidR="003736B0" w:rsidRDefault="003736B0" w:rsidP="003736B0">
      <w:pPr>
        <w:pStyle w:val="StandardWeb"/>
      </w:pPr>
      <w:r>
        <w:t>[</w:t>
      </w:r>
      <w:r>
        <w:br/>
        <w:t>D_i^{\mathrm{alt}}</w:t>
      </w:r>
      <w:r>
        <w:br/>
        <w:t>\rightarrow</w:t>
      </w:r>
      <w:r>
        <w:br/>
        <w:t>D_i^{\mathrm{neu}}</w:t>
      </w:r>
      <w:r>
        <w:br/>
        <w:t>\Rightarrow</w:t>
      </w:r>
      <w:r>
        <w:br/>
        <w:t>\operatorname{Prüfe}</w:t>
      </w:r>
      <w:r>
        <w:br/>
        <w:t>\left(</w:t>
      </w:r>
      <w:r>
        <w:br/>
        <w:t>\operatorname{Impact}_{A}(D_i)</w:t>
      </w:r>
      <w:r>
        <w:br/>
        <w:t>\right).</w:t>
      </w:r>
      <w:r>
        <w:br/>
        <w:t>\tag{3.4915}</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D_i^{\mathrm{alt}}\rightarrow D_i^{\mathrm{neu}}\Rightarrow\operatorname{Prüfe}\left(\operatorname{Impact}_{A}(D_i)\right)\qquad\text{(3.4915)}</w:t>
      </w:r>
    </w:p>
    <w:p w:rsidR="003736B0" w:rsidRDefault="003736B0" w:rsidP="003736B0">
      <w:pPr>
        <w:pStyle w:val="StandardWeb"/>
      </w:pPr>
      <w:r>
        <w:t>Damit kann der Ableitungsgraph nicht nur zur Dokumentation, sondern auch zur kontrollierten Revision des FRZK verwendet werden.</w:t>
      </w:r>
    </w:p>
    <w:p w:rsidR="003736B0" w:rsidRPr="00AF32B2" w:rsidRDefault="003736B0" w:rsidP="00AF32B2">
      <w:pPr>
        <w:pStyle w:val="berschrift4"/>
      </w:pPr>
      <w:r w:rsidRPr="00AF32B2">
        <w:t>3.3.24.33 Ergebnis der Ableitungs- und Beweisprüfung</w:t>
      </w:r>
    </w:p>
    <w:p w:rsidR="003736B0" w:rsidRDefault="003736B0" w:rsidP="003736B0">
      <w:pPr>
        <w:pStyle w:val="StandardWeb"/>
      </w:pPr>
      <w:r>
        <w:t>Die bisherigen Sätze des FRZK beruhen auf bereits eingeführten Definitionen, Gleichungen und Modellkonstruktionen. Für jeden Satz existiert ein zugeordneter Beweis. Die jeweiligen Beweise verwenden keine Aussage, die erst durch den zu beweisenden Satz begründet wird.</w:t>
      </w:r>
    </w:p>
    <w:p w:rsidR="003736B0" w:rsidRDefault="003736B0" w:rsidP="003736B0">
      <w:pPr>
        <w:pStyle w:val="StandardWeb"/>
      </w:pPr>
      <w:r>
        <w:t>Die Prüfung bestätigt insbesondere:</w:t>
      </w:r>
    </w:p>
    <w:p w:rsidR="003736B0" w:rsidRDefault="003736B0" w:rsidP="00632D23">
      <w:pPr>
        <w:pStyle w:val="StandardWeb"/>
        <w:numPr>
          <w:ilvl w:val="0"/>
          <w:numId w:val="131"/>
        </w:numPr>
      </w:pPr>
      <w:r>
        <w:t>Satz 3.3.1 beruht auf drei konstruierten Gegenmodellen.</w:t>
      </w:r>
    </w:p>
    <w:p w:rsidR="003736B0" w:rsidRDefault="003736B0" w:rsidP="00632D23">
      <w:pPr>
        <w:pStyle w:val="StandardWeb"/>
        <w:numPr>
          <w:ilvl w:val="0"/>
          <w:numId w:val="131"/>
        </w:numPr>
      </w:pPr>
      <w:r>
        <w:t>Satz 3.3.2 beruht auf einem expliziten gemeinsamen Minimalmodell.</w:t>
      </w:r>
    </w:p>
    <w:p w:rsidR="003736B0" w:rsidRDefault="003736B0" w:rsidP="00632D23">
      <w:pPr>
        <w:pStyle w:val="StandardWeb"/>
        <w:numPr>
          <w:ilvl w:val="0"/>
          <w:numId w:val="131"/>
        </w:numPr>
      </w:pPr>
      <w:r>
        <w:t>Satz 3.3.3 beruht auf früheren Unabhängigkeits- und Konsistenzergebnissen sowie Gegenbeispielen gegen stärkere Axiomfassungen.</w:t>
      </w:r>
    </w:p>
    <w:p w:rsidR="003736B0" w:rsidRDefault="003736B0" w:rsidP="00632D23">
      <w:pPr>
        <w:pStyle w:val="StandardWeb"/>
        <w:numPr>
          <w:ilvl w:val="0"/>
          <w:numId w:val="131"/>
        </w:numPr>
      </w:pPr>
      <w:r>
        <w:t>Satz 3.3.4 beruht auf der FRZK-Typmatrix.</w:t>
      </w:r>
    </w:p>
    <w:p w:rsidR="003736B0" w:rsidRDefault="003736B0" w:rsidP="00632D23">
      <w:pPr>
        <w:pStyle w:val="StandardWeb"/>
        <w:numPr>
          <w:ilvl w:val="0"/>
          <w:numId w:val="131"/>
        </w:numPr>
      </w:pPr>
      <w:r>
        <w:t>Satz 3.3.5 beruht auf dem Definitionsabhängigkeitsgraphen und einer topologischen Ordnung.</w:t>
      </w:r>
    </w:p>
    <w:p w:rsidR="003736B0" w:rsidRDefault="003736B0" w:rsidP="003736B0">
      <w:pPr>
        <w:pStyle w:val="StandardWeb"/>
      </w:pPr>
      <w:r>
        <w:t>Damit bildet die bisherige wissenschaftliche Begründungsstruktur einen gerichteten, azyklischen und vollständig dokumentierbaren Ableitungsgraphen [6, 71, 79].</w:t>
      </w:r>
    </w:p>
    <w:p w:rsidR="003736B0" w:rsidRDefault="003736B0" w:rsidP="003736B0">
      <w:pPr>
        <w:pStyle w:val="StandardWeb"/>
      </w:pPr>
      <w:r>
        <w:rPr>
          <w:rStyle w:val="Fett"/>
        </w:rPr>
        <w:t>Eigenleistung des FRZK</w:t>
      </w:r>
    </w:p>
    <w:p w:rsidR="003736B0" w:rsidRDefault="003736B0" w:rsidP="003736B0">
      <w:pPr>
        <w:pStyle w:val="StandardWeb"/>
      </w:pPr>
      <w:r>
        <w:lastRenderedPageBreak/>
        <w:t>Mit Definition 3.3.16 und Satz 3.3.6 steht ein formales Verfahren zur Prüfung der vollständigen Begründungsstruktur zur Verfügung. Definitionen, Gleichungen, Modelle, Sätze und Beweise werden nicht mehr nur einzeln gespeichert, sondern als zusammenhängende wissenschaftliche Abhängigkeitsstruktur behandelt.</w:t>
      </w:r>
    </w:p>
    <w:p w:rsidR="003736B0" w:rsidRPr="00AF32B2" w:rsidRDefault="003736B0" w:rsidP="00AF32B2">
      <w:pPr>
        <w:pStyle w:val="berschrift4"/>
      </w:pPr>
      <w:r w:rsidRPr="00AF32B2">
        <w:t>3.3.24.34 Übergang zur Prüfung der Modellklassen und Interpretationsfreiheit</w:t>
      </w:r>
    </w:p>
    <w:p w:rsidR="003736B0" w:rsidRDefault="003736B0" w:rsidP="003736B0">
      <w:pPr>
        <w:pStyle w:val="StandardWeb"/>
      </w:pPr>
      <w:r>
        <w:t>Die Ableitungsstruktur ist nun typkonsistent, definitionszyklusfrei und beweisbezogen nachvollziehbar. Noch offen ist jedoch, wie stark die Primäraxiome und Definitionen die zulässigen Modelle tatsächlich einschränken.</w:t>
      </w:r>
    </w:p>
    <w:p w:rsidR="003736B0" w:rsidRDefault="003736B0" w:rsidP="003736B0">
      <w:pPr>
        <w:pStyle w:val="StandardWeb"/>
      </w:pPr>
      <w:r>
        <w:t>Die Modellklasse der Primäraxiome lautet</w:t>
      </w:r>
    </w:p>
    <w:p w:rsidR="003736B0" w:rsidRDefault="003736B0" w:rsidP="003736B0">
      <w:pPr>
        <w:pStyle w:val="StandardWeb"/>
      </w:pPr>
      <w:r>
        <w:t>[</w:t>
      </w:r>
      <w:r>
        <w:br/>
        <w:t>\operatorname{Mod}</w:t>
      </w:r>
      <w:r>
        <w:br/>
        <w:t>\left(</w:t>
      </w:r>
      <w:r>
        <w:br/>
        <w:t>\mathcal{A}_{\mathrm{prim}}</w:t>
      </w:r>
      <w:r>
        <w:br/>
        <w:t>\right).</w:t>
      </w:r>
      <w:r>
        <w:br/>
        <w:t>\tag{3.4916}</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\operatorname{Mod}\left(\mathcal{A}_{\mathrm{prim}}\right)\qquad\text{(3.4916)}</w:t>
      </w:r>
    </w:p>
    <w:p w:rsidR="003736B0" w:rsidRDefault="003736B0" w:rsidP="003736B0">
      <w:pPr>
        <w:pStyle w:val="StandardWeb"/>
      </w:pPr>
      <w:r>
        <w:t>Durch zusätzliche Definitionen und Modellbedingungen entsteht eine eingeschränkte Modellklasse:</w:t>
      </w:r>
    </w:p>
    <w:p w:rsidR="003736B0" w:rsidRDefault="003736B0" w:rsidP="003736B0">
      <w:pPr>
        <w:pStyle w:val="StandardWeb"/>
      </w:pPr>
      <w:r>
        <w:t>[</w:t>
      </w:r>
      <w:r>
        <w:br/>
        <w:t>\operatorname{Mod}</w:t>
      </w:r>
      <w:r>
        <w:br/>
        <w:t>\left(</w:t>
      </w:r>
      <w:r>
        <w:br/>
        <w:t>\mathcal{A}</w:t>
      </w:r>
      <w:r>
        <w:rPr>
          <w:rStyle w:val="Hervorhebung"/>
        </w:rPr>
        <w:t>{\mathrm{prim}}</w:t>
      </w:r>
      <w:r>
        <w:rPr>
          <w:i/>
          <w:iCs/>
        </w:rPr>
        <w:br/>
      </w:r>
      <w:r>
        <w:rPr>
          <w:rStyle w:val="Hervorhebung"/>
        </w:rPr>
        <w:t>\cup</w:t>
      </w:r>
      <w:r>
        <w:rPr>
          <w:i/>
          <w:iCs/>
        </w:rPr>
        <w:br/>
      </w:r>
      <w:r>
        <w:rPr>
          <w:rStyle w:val="Hervorhebung"/>
        </w:rPr>
        <w:t>\mathcal{B}</w:t>
      </w:r>
      <w:r>
        <w:t>{F}</w:t>
      </w:r>
      <w:r>
        <w:br/>
        <w:t>\right)</w:t>
      </w:r>
      <w:r>
        <w:br/>
        <w:t>\subseteq</w:t>
      </w:r>
      <w:r>
        <w:br/>
        <w:t>\operatorname{Mod}</w:t>
      </w:r>
      <w:r>
        <w:br/>
        <w:t>\left(</w:t>
      </w:r>
      <w:r>
        <w:br/>
        <w:t>\mathcal{A}_{\mathrm{prim}}</w:t>
      </w:r>
      <w:r>
        <w:br/>
        <w:t>\right).</w:t>
      </w:r>
      <w:r>
        <w:br/>
        <w:t>\tag{3.4917}</w:t>
      </w:r>
      <w:r>
        <w:br/>
        <w:t>]</w:t>
      </w:r>
    </w:p>
    <w:p w:rsidR="003736B0" w:rsidRDefault="003736B0" w:rsidP="003736B0">
      <w:pPr>
        <w:pStyle w:val="StandardWeb"/>
      </w:pPr>
      <w:r>
        <w:rPr>
          <w:rStyle w:val="Fett"/>
        </w:rPr>
        <w:t>Word-LaTeX</w:t>
      </w:r>
    </w:p>
    <w:p w:rsidR="003736B0" w:rsidRDefault="003736B0" w:rsidP="003736B0">
      <w:pPr>
        <w:pStyle w:val="HTMLVorformatiert"/>
        <w:rPr>
          <w:rStyle w:val="HTMLCode"/>
        </w:rPr>
      </w:pPr>
      <w:r>
        <w:rPr>
          <w:rStyle w:val="HTMLCode"/>
        </w:rPr>
        <w:t>\operatorname{Mod}\left(\mathcal{A}_{\mathrm{prim}}\cup\mathcal{B}_{F}\right)\subseteq\operatorname{Mod}\left(\mathcal{A}_{\mathrm{prim}}\right)\qquad\text{(3.4917)}</w:t>
      </w:r>
    </w:p>
    <w:p w:rsidR="003736B0" w:rsidRDefault="003736B0" w:rsidP="003736B0">
      <w:pPr>
        <w:pStyle w:val="StandardWeb"/>
      </w:pPr>
      <w:r>
        <w:lastRenderedPageBreak/>
        <w:t>Der folgende Abschnitt muss daher untersuchen, welche Freiheiten innerhalb der bisherigen Axiomatik verbleiben und an welchen Stellen zusätzliche Interpretations- oder Modellbedingungen erforderlich sind.</w:t>
      </w:r>
    </w:p>
    <w:p w:rsidR="003736B0" w:rsidRDefault="003736B0" w:rsidP="003736B0">
      <w:pPr>
        <w:pStyle w:val="StandardWeb"/>
      </w:pPr>
      <w:r>
        <w:rPr>
          <w:rStyle w:val="Fett"/>
        </w:rPr>
        <w:t>Eigenleistung des FRZK</w:t>
      </w:r>
    </w:p>
    <w:p w:rsidR="003736B0" w:rsidRDefault="003736B0" w:rsidP="003736B0">
      <w:pPr>
        <w:pStyle w:val="StandardWeb"/>
      </w:pPr>
      <w:r>
        <w:t>Ich werde im nächsten Abschnitt zwischen axiomatisch erzwungenen Eigenschaften, definitorisch festgelegten Strukturen und modellspezifischen Interpretationsentscheidungen unterscheiden. Dadurch soll verhindert werden, dass eine einzelne Modellinstanz irrtümlich mit der gesamten FRZK-Theorie gleichgesetzt wird.</w:t>
      </w:r>
    </w:p>
    <w:p w:rsidR="00C3404B" w:rsidRDefault="00C3404B" w:rsidP="00C3404B">
      <w:pPr>
        <w:pStyle w:val="berschrift2"/>
      </w:pPr>
      <w:r>
        <w:t>Ergänzung zu 3.3.24 – Prüfung der Ableitungs- und Beweisabhängigkeiten</w:t>
      </w:r>
    </w:p>
    <w:p w:rsidR="00C3404B" w:rsidRDefault="00C3404B" w:rsidP="00C3404B">
      <w:pPr>
        <w:pStyle w:val="berschrift3"/>
      </w:pPr>
      <w:r>
        <w:t>Methodologische Betrachtungen</w:t>
      </w:r>
    </w:p>
    <w:p w:rsidR="00C3404B" w:rsidRDefault="00C3404B" w:rsidP="00C3404B">
      <w:pPr>
        <w:pStyle w:val="StandardWeb"/>
      </w:pPr>
      <w:r>
        <w:t xml:space="preserve">Abschnitt 3.3.23 hat ausschließlich Definitionsabhängigkeiten untersucht. Für eine wissenschaftliche Theorie reicht dies jedoch nicht aus. Auch Gleichungen, Modelle, Sätze und Beweise besitzen Voraussetzungen. Abschnitt 3.3.24 erweitert deshalb den Definitionsgraphen zu einem umfassenden </w:t>
      </w:r>
      <w:r>
        <w:rPr>
          <w:rStyle w:val="Fett"/>
        </w:rPr>
        <w:t>wissenschaftlichen FRZK-Ableitungsgraphen</w:t>
      </w:r>
      <w:r>
        <w:t>. Der Repository-Stand enthält Definition 3.3.16, Satz 3.3.6, Beweis 3.3.6-P und die Gleichungen (3.4825) bis (3.4917).</w:t>
      </w:r>
    </w:p>
    <w:p w:rsidR="00C3404B" w:rsidRDefault="00C3404B" w:rsidP="00C3404B">
      <w:pPr>
        <w:pStyle w:val="StandardWeb"/>
      </w:pPr>
      <w:r>
        <w:t>Zunächst werden die wissenschaftlichen Objektklassen festgelegt:</w:t>
      </w:r>
    </w:p>
    <w:p w:rsidR="00C3404B" w:rsidRDefault="00C3404B" w:rsidP="00C3404B">
      <w:pPr>
        <w:pStyle w:val="berschrift1"/>
      </w:pPr>
      <w:r>
        <w:t>[</w:t>
      </w:r>
      <w:r>
        <w:br/>
        <w:t>\mathfrak{K}_{A}</w:t>
      </w:r>
    </w:p>
    <w:p w:rsidR="00C3404B" w:rsidRDefault="00C3404B" w:rsidP="00C3404B">
      <w:pPr>
        <w:pStyle w:val="StandardWeb"/>
      </w:pPr>
      <w:r>
        <w:t>\left{</w:t>
      </w:r>
      <w:r>
        <w:br/>
        <w:t>\mathbf{Axiom},</w:t>
      </w:r>
      <w:r>
        <w:br/>
        <w:t>\mathbf{Definition},</w:t>
      </w:r>
      <w:r>
        <w:br/>
        <w:t>\mathbf{Equation},</w:t>
      </w:r>
      <w:r>
        <w:br/>
        <w:t>\mathbf{Model},</w:t>
      </w:r>
      <w:r>
        <w:br/>
        <w:t>\mathbf{Lemma},</w:t>
      </w:r>
      <w:r>
        <w:br/>
        <w:t>\mathbf{Theorem},</w:t>
      </w:r>
      <w:r>
        <w:br/>
        <w:t>\mathbf{Corollary},</w:t>
      </w:r>
      <w:r>
        <w:br/>
        <w:t>\mathbf{Proof}</w:t>
      </w:r>
      <w:r>
        <w:br/>
        <w:t>\right}.</w:t>
      </w:r>
      <w:r>
        <w:br/>
        <w:t>\tag{3.4825}</w:t>
      </w:r>
      <w:r>
        <w:br/>
        <w:t>]</w:t>
      </w:r>
    </w:p>
    <w:p w:rsidR="00C3404B" w:rsidRDefault="00C3404B" w:rsidP="00C3404B">
      <w:pPr>
        <w:pStyle w:val="StandardWeb"/>
      </w:pPr>
      <w:r>
        <w:rPr>
          <w:rStyle w:val="Fett"/>
        </w:rPr>
        <w:t>Word-LaTeX</w:t>
      </w:r>
    </w:p>
    <w:p w:rsidR="00C3404B" w:rsidRDefault="00C3404B" w:rsidP="00C3404B">
      <w:pPr>
        <w:pStyle w:val="HTMLVorformatiert"/>
        <w:rPr>
          <w:rStyle w:val="HTMLCode"/>
        </w:rPr>
      </w:pPr>
      <w:r>
        <w:rPr>
          <w:rStyle w:val="HTMLCode"/>
        </w:rPr>
        <w:t>\mathfrak{K}_{A}=\left\{\mathbf{Axiom},\mathbf{Definition},\mathbf{Equation},\mathbf{Model},\mathbf{Lemma},\mathbf{Theorem},\mathbf{Corollary},\mathbf{Proof}\right\}\qquad\text{(3.4825)}</w:t>
      </w:r>
    </w:p>
    <w:p w:rsidR="00C3404B" w:rsidRDefault="00C3404B" w:rsidP="00C3404B">
      <w:pPr>
        <w:pStyle w:val="StandardWeb"/>
      </w:pPr>
      <w:r>
        <w:t>Die Gesamtheit aller betrachteten wissenschaftlichen Objekte wird mit</w:t>
      </w:r>
    </w:p>
    <w:p w:rsidR="00C3404B" w:rsidRDefault="00C3404B" w:rsidP="00C3404B">
      <w:pPr>
        <w:pStyle w:val="StandardWeb"/>
      </w:pPr>
      <w:r>
        <w:lastRenderedPageBreak/>
        <w:t>[</w:t>
      </w:r>
      <w:r>
        <w:br/>
        <w:t>\mathfrak{U}_{A}</w:t>
      </w:r>
      <w:r>
        <w:br/>
        <w:t>\tag{3.4826}</w:t>
      </w:r>
      <w:r>
        <w:br/>
        <w:t>]</w:t>
      </w:r>
    </w:p>
    <w:p w:rsidR="00C3404B" w:rsidRDefault="00C3404B" w:rsidP="00C3404B">
      <w:pPr>
        <w:pStyle w:val="StandardWeb"/>
      </w:pPr>
      <w:r>
        <w:rPr>
          <w:rStyle w:val="Fett"/>
        </w:rPr>
        <w:t>Word-LaTeX</w:t>
      </w:r>
    </w:p>
    <w:p w:rsidR="00C3404B" w:rsidRDefault="00C3404B" w:rsidP="00C3404B">
      <w:pPr>
        <w:pStyle w:val="HTMLVorformatiert"/>
        <w:rPr>
          <w:rStyle w:val="HTMLCode"/>
        </w:rPr>
      </w:pPr>
      <w:r>
        <w:rPr>
          <w:rStyle w:val="HTMLCode"/>
        </w:rPr>
        <w:t>\mathfrak{U}_{A}\qquad\text{(3.4826)}</w:t>
      </w:r>
    </w:p>
    <w:p w:rsidR="00C3404B" w:rsidRDefault="00C3404B" w:rsidP="00C3404B">
      <w:pPr>
        <w:pStyle w:val="StandardWeb"/>
      </w:pPr>
      <w:r>
        <w:t>bezeichnet.</w:t>
      </w:r>
    </w:p>
    <w:p w:rsidR="00C3404B" w:rsidRDefault="00C3404B" w:rsidP="00C3404B">
      <w:pPr>
        <w:pStyle w:val="StandardWeb"/>
      </w:pPr>
      <w:r>
        <w:t>Jedem Objekt wird eine wissenschaftliche Klasse zugeordnet:</w:t>
      </w:r>
    </w:p>
    <w:p w:rsidR="00C3404B" w:rsidRDefault="00C3404B" w:rsidP="00C3404B">
      <w:pPr>
        <w:pStyle w:val="StandardWeb"/>
      </w:pPr>
      <w:r>
        <w:t>[</w:t>
      </w:r>
      <w:r>
        <w:br/>
        <w:t>\operatorname{Klasse}</w:t>
      </w:r>
      <w:r>
        <w:rPr>
          <w:rStyle w:val="Hervorhebung"/>
        </w:rPr>
        <w:t>{A}(x)</w:t>
      </w:r>
      <w:r>
        <w:rPr>
          <w:i/>
          <w:iCs/>
        </w:rPr>
        <w:br/>
      </w:r>
      <w:r>
        <w:rPr>
          <w:rStyle w:val="Hervorhebung"/>
        </w:rPr>
        <w:t>\in</w:t>
      </w:r>
      <w:r>
        <w:rPr>
          <w:i/>
          <w:iCs/>
        </w:rPr>
        <w:br/>
      </w:r>
      <w:r>
        <w:rPr>
          <w:rStyle w:val="Hervorhebung"/>
        </w:rPr>
        <w:t>\mathfrak{K}</w:t>
      </w:r>
      <w:r>
        <w:t>{A}.</w:t>
      </w:r>
      <w:r>
        <w:br/>
        <w:t>\tag{3.4827}</w:t>
      </w:r>
      <w:r>
        <w:br/>
        <w:t>]</w:t>
      </w:r>
    </w:p>
    <w:p w:rsidR="00C3404B" w:rsidRDefault="00C3404B" w:rsidP="00C3404B">
      <w:pPr>
        <w:pStyle w:val="StandardWeb"/>
      </w:pPr>
      <w:r>
        <w:rPr>
          <w:rStyle w:val="Fett"/>
        </w:rPr>
        <w:t>Word-LaTeX</w:t>
      </w:r>
    </w:p>
    <w:p w:rsidR="00C3404B" w:rsidRDefault="00C3404B" w:rsidP="00C3404B">
      <w:pPr>
        <w:pStyle w:val="HTMLVorformatiert"/>
        <w:rPr>
          <w:rStyle w:val="HTMLCode"/>
        </w:rPr>
      </w:pPr>
      <w:r>
        <w:rPr>
          <w:rStyle w:val="HTMLCode"/>
        </w:rPr>
        <w:t>\operatorname{Klasse}_{A}(x)\in\mathfrak{K}_{A}\qquad\text{(3.4827)}</w:t>
      </w:r>
    </w:p>
    <w:p w:rsidR="00C3404B" w:rsidRDefault="00C3404B" w:rsidP="00C3404B">
      <w:pPr>
        <w:pStyle w:val="StandardWeb"/>
      </w:pPr>
      <w:r>
        <w:t>Die zugehörige Klassifikationsabbildung lautet</w:t>
      </w:r>
    </w:p>
    <w:p w:rsidR="00C3404B" w:rsidRDefault="00C3404B" w:rsidP="00C3404B">
      <w:pPr>
        <w:pStyle w:val="StandardWeb"/>
      </w:pPr>
      <w:r>
        <w:t>[</w:t>
      </w:r>
      <w:r>
        <w:br/>
        <w:t>\operatorname{Klasse}</w:t>
      </w:r>
      <w:r>
        <w:rPr>
          <w:rStyle w:val="Hervorhebung"/>
        </w:rPr>
        <w:t>{A}:</w:t>
      </w:r>
      <w:r>
        <w:rPr>
          <w:i/>
          <w:iCs/>
        </w:rPr>
        <w:br/>
      </w:r>
      <w:r>
        <w:rPr>
          <w:rStyle w:val="Hervorhebung"/>
        </w:rPr>
        <w:t>\mathfrak{U}</w:t>
      </w:r>
      <w:r>
        <w:t>{A}</w:t>
      </w:r>
      <w:r>
        <w:br/>
        <w:t>\rightarrow</w:t>
      </w:r>
      <w:r>
        <w:br/>
        <w:t>\mathfrak{K}_{A}.</w:t>
      </w:r>
      <w:r>
        <w:br/>
        <w:t>\tag{3.4828}</w:t>
      </w:r>
      <w:r>
        <w:br/>
        <w:t>]</w:t>
      </w:r>
    </w:p>
    <w:p w:rsidR="00C3404B" w:rsidRDefault="00C3404B" w:rsidP="00C3404B">
      <w:pPr>
        <w:pStyle w:val="StandardWeb"/>
      </w:pPr>
      <w:r>
        <w:rPr>
          <w:rStyle w:val="Fett"/>
        </w:rPr>
        <w:t>Word-LaTeX</w:t>
      </w:r>
    </w:p>
    <w:p w:rsidR="00C3404B" w:rsidRDefault="00C3404B" w:rsidP="00C3404B">
      <w:pPr>
        <w:pStyle w:val="HTMLVorformatiert"/>
        <w:rPr>
          <w:rStyle w:val="HTMLCode"/>
        </w:rPr>
      </w:pPr>
      <w:r>
        <w:rPr>
          <w:rStyle w:val="HTMLCode"/>
        </w:rPr>
        <w:t>\operatorname{Klasse}_{A}:\mathfrak{U}_{A}\rightarrow\mathfrak{K}_{A}\qquad\text{(3.4828)}</w:t>
      </w:r>
    </w:p>
    <w:p w:rsidR="00C3404B" w:rsidRDefault="00C3404B" w:rsidP="00C3404B">
      <w:pPr>
        <w:pStyle w:val="StandardWeb"/>
      </w:pPr>
      <w:r>
        <w:t>Der vollständige wissenschaftliche Ableitungsgraph wird definiert durch</w:t>
      </w:r>
    </w:p>
    <w:p w:rsidR="00C3404B" w:rsidRDefault="00C3404B" w:rsidP="00C3404B">
      <w:pPr>
        <w:pStyle w:val="berschrift1"/>
      </w:pPr>
      <w:r>
        <w:t>[</w:t>
      </w:r>
      <w:r>
        <w:br/>
        <w:t>\mathfrak{G}_{A}</w:t>
      </w:r>
    </w:p>
    <w:p w:rsidR="00C3404B" w:rsidRDefault="00C3404B" w:rsidP="00C3404B">
      <w:pPr>
        <w:pStyle w:val="StandardWeb"/>
      </w:pPr>
      <w:r>
        <w:t>\left(</w:t>
      </w:r>
      <w:r>
        <w:br/>
        <w:t>\mathfrak{U}</w:t>
      </w:r>
      <w:r>
        <w:rPr>
          <w:rStyle w:val="Hervorhebung"/>
        </w:rPr>
        <w:t>{A},</w:t>
      </w:r>
      <w:r>
        <w:rPr>
          <w:i/>
          <w:iCs/>
        </w:rPr>
        <w:br/>
      </w:r>
      <w:r>
        <w:rPr>
          <w:rStyle w:val="Hervorhebung"/>
        </w:rPr>
        <w:t>\mathcal{R}</w:t>
      </w:r>
      <w:r>
        <w:t>{A},</w:t>
      </w:r>
      <w:r>
        <w:br/>
        <w:t>\lambda_{A}</w:t>
      </w:r>
      <w:r>
        <w:br/>
        <w:t>\right).</w:t>
      </w:r>
      <w:r>
        <w:br/>
        <w:t>]</w:t>
      </w:r>
    </w:p>
    <w:p w:rsidR="00C3404B" w:rsidRDefault="00C3404B" w:rsidP="00C3404B">
      <w:pPr>
        <w:pStyle w:val="StandardWeb"/>
      </w:pPr>
      <w:r>
        <w:rPr>
          <w:rStyle w:val="Fett"/>
        </w:rPr>
        <w:lastRenderedPageBreak/>
        <w:t>Word-LaTeX</w:t>
      </w:r>
    </w:p>
    <w:p w:rsidR="00C3404B" w:rsidRDefault="00C3404B" w:rsidP="00C3404B">
      <w:pPr>
        <w:pStyle w:val="HTMLVorformatiert"/>
        <w:rPr>
          <w:rStyle w:val="HTMLCode"/>
        </w:rPr>
      </w:pPr>
      <w:r>
        <w:rPr>
          <w:rStyle w:val="HTMLCode"/>
        </w:rPr>
        <w:t>\mathfrak{G}_{A}=\left(\mathfrak{U}_{A},\mathcal{R}_{A},\lambda_{A}\right)</w:t>
      </w:r>
    </w:p>
    <w:p w:rsidR="00C3404B" w:rsidRDefault="00C3404B" w:rsidP="00C3404B">
      <w:pPr>
        <w:pStyle w:val="StandardWeb"/>
      </w:pPr>
      <w:r>
        <w:t>Dabei beschreibt (\mathcal{R}_{A}) die gerichteten Abhängigkeitsbeziehungen und (\lambda_A) deren jeweilige Art. Der Repository-Stand hebt ausdrücklich hervor, dass reine Metadatenbeziehungen wie „target“ oder „restates“ von echten logischen Begründungskanten zu unterscheiden sind.</w:t>
      </w:r>
    </w:p>
    <w:p w:rsidR="00C3404B" w:rsidRDefault="00C3404B" w:rsidP="00C3404B">
      <w:pPr>
        <w:pStyle w:val="StandardWeb"/>
      </w:pPr>
      <w:r>
        <w:t xml:space="preserve">Diese Unterscheidung ist methodologisch unverzichtbar. Wenn eine Gleichung denselben Sachverhalt wie ein Axiom noch einmal formal schreibt, bedeutet dies nicht automatisch, dass sie das Axiom </w:t>
      </w:r>
      <w:r>
        <w:rPr>
          <w:rStyle w:val="Fett"/>
        </w:rPr>
        <w:t>beweist</w:t>
      </w:r>
      <w:r>
        <w:t>. Ebenso kann ein Satz auf eine Definition verweisen, ohne ausschließlich aus dieser Definition zu folgen.</w:t>
      </w:r>
    </w:p>
    <w:p w:rsidR="00C3404B" w:rsidRDefault="00C3404B" w:rsidP="00C3404B">
      <w:pPr>
        <w:pStyle w:val="StandardWeb"/>
      </w:pPr>
      <w:r>
        <w:t>Der Ableitungsgraph muss deshalb verschiedene Kantenarten unterscheiden, beispielsweise:</w:t>
      </w:r>
    </w:p>
    <w:p w:rsidR="00C3404B" w:rsidRDefault="00C3404B" w:rsidP="00C3404B">
      <w:pPr>
        <w:pStyle w:val="StandardWeb"/>
        <w:numPr>
          <w:ilvl w:val="0"/>
          <w:numId w:val="265"/>
        </w:numPr>
      </w:pPr>
      <w:r>
        <w:t>axiomatische Voraussetzung,</w:t>
      </w:r>
    </w:p>
    <w:p w:rsidR="00C3404B" w:rsidRDefault="00C3404B" w:rsidP="00C3404B">
      <w:pPr>
        <w:pStyle w:val="StandardWeb"/>
        <w:numPr>
          <w:ilvl w:val="0"/>
          <w:numId w:val="265"/>
        </w:numPr>
      </w:pPr>
      <w:r>
        <w:t>definitorische Voraussetzung,</w:t>
      </w:r>
    </w:p>
    <w:p w:rsidR="00C3404B" w:rsidRDefault="00C3404B" w:rsidP="00C3404B">
      <w:pPr>
        <w:pStyle w:val="StandardWeb"/>
        <w:numPr>
          <w:ilvl w:val="0"/>
          <w:numId w:val="265"/>
        </w:numPr>
      </w:pPr>
      <w:r>
        <w:t>mathematische Ableitung,</w:t>
      </w:r>
    </w:p>
    <w:p w:rsidR="00C3404B" w:rsidRDefault="00C3404B" w:rsidP="00C3404B">
      <w:pPr>
        <w:pStyle w:val="StandardWeb"/>
        <w:numPr>
          <w:ilvl w:val="0"/>
          <w:numId w:val="265"/>
        </w:numPr>
      </w:pPr>
      <w:r>
        <w:t>Modellvoraussetzung,</w:t>
      </w:r>
    </w:p>
    <w:p w:rsidR="00C3404B" w:rsidRDefault="00C3404B" w:rsidP="00C3404B">
      <w:pPr>
        <w:pStyle w:val="StandardWeb"/>
        <w:numPr>
          <w:ilvl w:val="0"/>
          <w:numId w:val="265"/>
        </w:numPr>
      </w:pPr>
      <w:r>
        <w:t>Beweisverwendung,</w:t>
      </w:r>
    </w:p>
    <w:p w:rsidR="00C3404B" w:rsidRDefault="00C3404B" w:rsidP="00C3404B">
      <w:pPr>
        <w:pStyle w:val="StandardWeb"/>
        <w:numPr>
          <w:ilvl w:val="0"/>
          <w:numId w:val="265"/>
        </w:numPr>
      </w:pPr>
      <w:r>
        <w:t>bloße Wiederholung oder Referenz.</w:t>
      </w:r>
    </w:p>
    <w:p w:rsidR="00C3404B" w:rsidRDefault="00C3404B" w:rsidP="00C3404B">
      <w:pPr>
        <w:pStyle w:val="StandardWeb"/>
      </w:pPr>
      <w:r>
        <w:t>Damit wird verhindert, dass eine bibliographische oder textuelle Verbindung mit einer logischen Begründung verwechselt wird.</w:t>
      </w:r>
    </w:p>
    <w:p w:rsidR="00C3404B" w:rsidRDefault="00C3404B" w:rsidP="00C3404B">
      <w:pPr>
        <w:pStyle w:val="StandardWeb"/>
      </w:pPr>
      <w:r>
        <w:t xml:space="preserve">Besonders wichtig ist die </w:t>
      </w:r>
      <w:r>
        <w:rPr>
          <w:rStyle w:val="Fett"/>
        </w:rPr>
        <w:t>Abhängigkeitsvollständigkeit</w:t>
      </w:r>
      <w:r>
        <w:t xml:space="preserve"> eines Beweises. Ein Beweis darf nicht scheinbar aus wenigen angegebenen Voraussetzungen folgen, während tatsächlich weitere Definitionen, Gleichungen oder Modellannahmen verwendet werden.</w:t>
      </w:r>
    </w:p>
    <w:p w:rsidR="00C3404B" w:rsidRDefault="00C3404B" w:rsidP="00C3404B">
      <w:pPr>
        <w:pStyle w:val="StandardWeb"/>
      </w:pPr>
      <w:r>
        <w:t>Die bisher eingeführten Sätze 3.3.1 bis 3.3.5 werden deshalb rückwärts auf ihre Voraussetzungen geprüft. Der Repository-Beweis zu Satz 3.3.6 dokumentiert ausdrücklich:</w:t>
      </w:r>
    </w:p>
    <w:p w:rsidR="00C3404B" w:rsidRDefault="00C3404B" w:rsidP="00C3404B">
      <w:pPr>
        <w:pStyle w:val="StandardWeb"/>
        <w:numPr>
          <w:ilvl w:val="0"/>
          <w:numId w:val="266"/>
        </w:numPr>
      </w:pPr>
      <w:r>
        <w:t>Satz 3.3.1 verwendet das reduzierte Prämodell und die Gegenmodelle,</w:t>
      </w:r>
    </w:p>
    <w:p w:rsidR="00C3404B" w:rsidRDefault="00C3404B" w:rsidP="00C3404B">
      <w:pPr>
        <w:pStyle w:val="StandardWeb"/>
        <w:numPr>
          <w:ilvl w:val="0"/>
          <w:numId w:val="266"/>
        </w:numPr>
      </w:pPr>
      <w:r>
        <w:t>Satz 3.3.2 verwendet das gemeinsame Minimalmodell,</w:t>
      </w:r>
    </w:p>
    <w:p w:rsidR="00C3404B" w:rsidRDefault="00C3404B" w:rsidP="00C3404B">
      <w:pPr>
        <w:pStyle w:val="StandardWeb"/>
        <w:numPr>
          <w:ilvl w:val="0"/>
          <w:numId w:val="266"/>
        </w:numPr>
      </w:pPr>
      <w:r>
        <w:t>Satz 3.3.3 verwendet die früheren Unabhängigkeits- und Konsistenzergebnisse sowie Gegenbeispiele gegen stärkere Axiomfassungen,</w:t>
      </w:r>
    </w:p>
    <w:p w:rsidR="00C3404B" w:rsidRDefault="00C3404B" w:rsidP="00C3404B">
      <w:pPr>
        <w:pStyle w:val="StandardWeb"/>
        <w:numPr>
          <w:ilvl w:val="0"/>
          <w:numId w:val="266"/>
        </w:numPr>
      </w:pPr>
      <w:r>
        <w:t>Satz 3.3.4 verwendet die Typmatrix,</w:t>
      </w:r>
    </w:p>
    <w:p w:rsidR="00C3404B" w:rsidRDefault="00C3404B" w:rsidP="00C3404B">
      <w:pPr>
        <w:pStyle w:val="StandardWeb"/>
        <w:numPr>
          <w:ilvl w:val="0"/>
          <w:numId w:val="266"/>
        </w:numPr>
      </w:pPr>
      <w:r>
        <w:t>Satz 3.3.5 verwendet Definitionsgraph, transitive Hülle und topologische Nummerierung.</w:t>
      </w:r>
    </w:p>
    <w:p w:rsidR="00C3404B" w:rsidRDefault="00C3404B" w:rsidP="00C3404B">
      <w:pPr>
        <w:pStyle w:val="StandardWeb"/>
      </w:pPr>
      <w:r>
        <w:t>Die Ableitungskonsistenz wird zusammenfassend durch die Bedingung charakterisiert, dass keine Zyklen im wissenschaftlichen Begründungsgraphen vorliegen und die erforderlichen Abhängigkeiten vollständig dokumentiert sind:</w:t>
      </w:r>
    </w:p>
    <w:p w:rsidR="00C3404B" w:rsidRDefault="00C3404B" w:rsidP="00C3404B">
      <w:pPr>
        <w:pStyle w:val="berschrift1"/>
      </w:pPr>
      <w:r>
        <w:t>[</w:t>
      </w:r>
      <w:r>
        <w:br/>
        <w:t>\mathcal{C}_{A}</w:t>
      </w:r>
    </w:p>
    <w:p w:rsidR="00C3404B" w:rsidRDefault="00C3404B" w:rsidP="00C3404B">
      <w:pPr>
        <w:pStyle w:val="berschrift1"/>
      </w:pPr>
      <w:r>
        <w:lastRenderedPageBreak/>
        <w:t>\emptyset</w:t>
      </w:r>
      <w:r>
        <w:br/>
        <w:t>\land</w:t>
      </w:r>
      <w:r>
        <w:br/>
        <w:t>\operatorname{Voll}</w:t>
      </w:r>
      <w:r>
        <w:rPr>
          <w:rStyle w:val="Hervorhebung"/>
        </w:rPr>
        <w:t>{A}</w:t>
      </w:r>
      <w:r>
        <w:rPr>
          <w:i/>
          <w:iCs/>
        </w:rPr>
        <w:br/>
      </w:r>
      <w:r>
        <w:rPr>
          <w:rStyle w:val="Hervorhebung"/>
        </w:rPr>
        <w:t>\left(</w:t>
      </w:r>
      <w:r>
        <w:rPr>
          <w:i/>
          <w:iCs/>
        </w:rPr>
        <w:br/>
      </w:r>
      <w:r>
        <w:rPr>
          <w:rStyle w:val="Hervorhebung"/>
        </w:rPr>
        <w:t>\mathfrak{G}</w:t>
      </w:r>
      <w:r>
        <w:t>{A}</w:t>
      </w:r>
      <w:r>
        <w:br/>
        <w:t>\right)</w:t>
      </w:r>
    </w:p>
    <w:p w:rsidR="00C3404B" w:rsidRDefault="00C3404B" w:rsidP="00C3404B">
      <w:pPr>
        <w:pStyle w:val="berschrift1"/>
      </w:pPr>
      <w:r>
        <w:t>1</w:t>
      </w:r>
      <w:r>
        <w:br/>
        <w:t>\Rightarrow</w:t>
      </w:r>
      <w:r>
        <w:br/>
        <w:t>\operatorname{AK}</w:t>
      </w:r>
      <w:r>
        <w:rPr>
          <w:rStyle w:val="Hervorhebung"/>
        </w:rPr>
        <w:t>{F}</w:t>
      </w:r>
      <w:r>
        <w:rPr>
          <w:i/>
          <w:iCs/>
        </w:rPr>
        <w:br/>
      </w:r>
      <w:r>
        <w:rPr>
          <w:rStyle w:val="Hervorhebung"/>
        </w:rPr>
        <w:t>\left(</w:t>
      </w:r>
      <w:r>
        <w:rPr>
          <w:i/>
          <w:iCs/>
        </w:rPr>
        <w:br/>
      </w:r>
      <w:r>
        <w:rPr>
          <w:rStyle w:val="Hervorhebung"/>
        </w:rPr>
        <w:t>\mathfrak{G}</w:t>
      </w:r>
      <w:r>
        <w:t>{A}</w:t>
      </w:r>
      <w:r>
        <w:br/>
        <w:t>\right)</w:t>
      </w:r>
    </w:p>
    <w:p w:rsidR="00C3404B" w:rsidRDefault="00C3404B" w:rsidP="00C3404B">
      <w:pPr>
        <w:numPr>
          <w:ilvl w:val="0"/>
          <w:numId w:val="267"/>
        </w:numPr>
        <w:spacing w:before="100" w:beforeAutospacing="1" w:after="100" w:afterAutospacing="1"/>
      </w:pPr>
    </w:p>
    <w:p w:rsidR="00C3404B" w:rsidRDefault="00C3404B" w:rsidP="00C3404B">
      <w:pPr>
        <w:pStyle w:val="StandardWeb"/>
      </w:pPr>
      <w:r>
        <w:t>]</w:t>
      </w:r>
    </w:p>
    <w:p w:rsidR="00C3404B" w:rsidRDefault="00C3404B" w:rsidP="00C3404B">
      <w:pPr>
        <w:pStyle w:val="StandardWeb"/>
      </w:pPr>
      <w:r>
        <w:rPr>
          <w:rStyle w:val="Fett"/>
        </w:rPr>
        <w:t>Word-LaTeX</w:t>
      </w:r>
    </w:p>
    <w:p w:rsidR="00C3404B" w:rsidRDefault="00C3404B" w:rsidP="00C3404B">
      <w:pPr>
        <w:pStyle w:val="HTMLVorformatiert"/>
        <w:rPr>
          <w:rStyle w:val="HTMLCode"/>
        </w:rPr>
      </w:pPr>
      <w:r>
        <w:rPr>
          <w:rStyle w:val="HTMLCode"/>
        </w:rPr>
        <w:t>\mathcal{C}_{A}=\emptyset\land\operatorname{Voll}_{A}\left(\mathfrak{G}_{A}\right)=1\Rightarrow\operatorname{AK}_{F}\left(\mathfrak{G}_{A}\right)=1</w:t>
      </w:r>
    </w:p>
    <w:p w:rsidR="00C3404B" w:rsidRDefault="00C3404B" w:rsidP="00C3404B">
      <w:pPr>
        <w:pStyle w:val="StandardWeb"/>
      </w:pPr>
      <w:r>
        <w:t>Methodologisch ist dies ein bedeutender Schritt über die gewöhnliche lineare Manuskriptprüfung hinaus. Eine Dissertation erscheint im Text zwangsläufig als Folge von Seiten und Abschnitten. Die tatsächliche wissenschaftliche Begründungsstruktur ist jedoch ein Netz.</w:t>
      </w:r>
    </w:p>
    <w:p w:rsidR="00C3404B" w:rsidRDefault="00C3404B" w:rsidP="00C3404B">
      <w:pPr>
        <w:pStyle w:val="StandardWeb"/>
      </w:pPr>
      <w:r>
        <w:t>Eine spätere Änderung an einem frühen Axiom kann beispielsweise mehrere Definitionen, Sätze und Beweise gleichzeitig betreffen. Der Ableitungsgraph macht solche Änderungsfolgen sichtbar.</w:t>
      </w:r>
    </w:p>
    <w:p w:rsidR="00C3404B" w:rsidRDefault="00C3404B" w:rsidP="00C3404B">
      <w:pPr>
        <w:pStyle w:val="StandardWeb"/>
      </w:pPr>
      <w:r>
        <w:t xml:space="preserve">Damit erhält auch das Repository eine wissenschaftliche Funktion, die über reine Speicherung hinausgeht. Es wird zu einem Instrument der </w:t>
      </w:r>
      <w:r>
        <w:rPr>
          <w:rStyle w:val="Fett"/>
        </w:rPr>
        <w:t>Begründungskontrolle</w:t>
      </w:r>
      <w:r>
        <w:t>.</w:t>
      </w:r>
    </w:p>
    <w:p w:rsidR="00C3404B" w:rsidRDefault="00C3404B" w:rsidP="00C3404B">
      <w:pPr>
        <w:pStyle w:val="berschrift3"/>
      </w:pPr>
      <w:r>
        <w:t>Didaktische Betrachtungen</w:t>
      </w:r>
    </w:p>
    <w:p w:rsidR="00C3404B" w:rsidRDefault="00C3404B" w:rsidP="00C3404B">
      <w:pPr>
        <w:pStyle w:val="StandardWeb"/>
      </w:pPr>
      <w:r>
        <w:t>Der Unterschied zwischen Definitionsgraph und vollständigem Ableitungsgraph lässt sich mit einem Stammbaum und einem ganzen Organisationsplan vergleichen.</w:t>
      </w:r>
    </w:p>
    <w:p w:rsidR="00C3404B" w:rsidRDefault="00C3404B" w:rsidP="00C3404B">
      <w:pPr>
        <w:pStyle w:val="StandardWeb"/>
      </w:pPr>
      <w:r>
        <w:t>Der Definitionsgraph beantwortet hauptsächlich:</w:t>
      </w:r>
    </w:p>
    <w:p w:rsidR="00C3404B" w:rsidRDefault="00C3404B" w:rsidP="00C3404B">
      <w:pPr>
        <w:pStyle w:val="StandardWeb"/>
      </w:pPr>
      <w:r>
        <w:rPr>
          <w:rStyle w:val="Fett"/>
        </w:rPr>
        <w:lastRenderedPageBreak/>
        <w:t>Welcher Begriff benötigt welchen früheren Begriff?</w:t>
      </w:r>
    </w:p>
    <w:p w:rsidR="00C3404B" w:rsidRDefault="00C3404B" w:rsidP="00C3404B">
      <w:pPr>
        <w:pStyle w:val="StandardWeb"/>
      </w:pPr>
      <w:r>
        <w:t>Der Ableitungsgraph fragt zusätzlich:</w:t>
      </w:r>
    </w:p>
    <w:p w:rsidR="00C3404B" w:rsidRDefault="00C3404B" w:rsidP="00C3404B">
      <w:pPr>
        <w:pStyle w:val="StandardWeb"/>
      </w:pPr>
      <w:r>
        <w:rPr>
          <w:rStyle w:val="Fett"/>
        </w:rPr>
        <w:t>Welche Aussage benötigt welches Axiom, welche Definition, welche Gleichung und welchen früheren Satz?</w:t>
      </w:r>
    </w:p>
    <w:p w:rsidR="00C3404B" w:rsidRDefault="00C3404B" w:rsidP="00C3404B">
      <w:pPr>
        <w:pStyle w:val="StandardWeb"/>
      </w:pPr>
      <w:r>
        <w:t>Ein Beweis kann beispielsweise vereinfacht die Struktur besitzen</w:t>
      </w:r>
    </w:p>
    <w:p w:rsidR="00C3404B" w:rsidRDefault="00C3404B" w:rsidP="00C3404B">
      <w:pPr>
        <w:pStyle w:val="StandardWeb"/>
      </w:pPr>
      <w:r>
        <w:t>[</w:t>
      </w:r>
      <w:r>
        <w:br/>
        <w:t>A_1</w:t>
      </w:r>
      <w:r>
        <w:br/>
        <w:t>\rightarrow</w:t>
      </w:r>
      <w:r>
        <w:br/>
        <w:t>D_2</w:t>
      </w:r>
      <w:r>
        <w:br/>
        <w:t>\rightarrow</w:t>
      </w:r>
      <w:r>
        <w:br/>
        <w:t>S_1</w:t>
      </w:r>
      <w:r>
        <w:br/>
        <w:t>\rightarrow</w:t>
      </w:r>
      <w:r>
        <w:br/>
        <w:t>S_2.</w:t>
      </w:r>
      <w:r>
        <w:br/>
        <w:t>]</w:t>
      </w:r>
    </w:p>
    <w:p w:rsidR="00C3404B" w:rsidRDefault="00C3404B" w:rsidP="00C3404B">
      <w:pPr>
        <w:pStyle w:val="StandardWeb"/>
      </w:pPr>
      <w:r>
        <w:rPr>
          <w:rStyle w:val="Fett"/>
        </w:rPr>
        <w:t>Word-LaTeX</w:t>
      </w:r>
    </w:p>
    <w:p w:rsidR="00C3404B" w:rsidRDefault="00C3404B" w:rsidP="00C3404B">
      <w:pPr>
        <w:pStyle w:val="HTMLVorformatiert"/>
        <w:rPr>
          <w:rStyle w:val="HTMLCode"/>
        </w:rPr>
      </w:pPr>
      <w:r>
        <w:rPr>
          <w:rStyle w:val="HTMLCode"/>
        </w:rPr>
        <w:t>A_1\rightarrow D_2\rightarrow S_1\rightarrow S_2</w:t>
      </w:r>
    </w:p>
    <w:p w:rsidR="00C3404B" w:rsidRDefault="00C3404B" w:rsidP="00C3404B">
      <w:pPr>
        <w:pStyle w:val="StandardWeb"/>
      </w:pPr>
      <w:r>
        <w:t>Dann ist sofort sichtbar, dass eine Änderung von (A_1) möglicherweise nicht nur (D_2), sondern auch beide Sätze betrifft.</w:t>
      </w:r>
    </w:p>
    <w:p w:rsidR="00C3404B" w:rsidRDefault="00C3404B" w:rsidP="00C3404B">
      <w:pPr>
        <w:pStyle w:val="StandardWeb"/>
      </w:pPr>
      <w:r>
        <w:t>Das lässt sich mit einer Tabellenkalkulation vergleichen. Eine Zelle kann von einer anderen Zelle abhängen. Ändert sich die Ausgangszelle, ändern sich alle abhängigen Berechnungen.</w:t>
      </w:r>
    </w:p>
    <w:p w:rsidR="00C3404B" w:rsidRDefault="00C3404B" w:rsidP="00C3404B">
      <w:pPr>
        <w:pStyle w:val="StandardWeb"/>
      </w:pPr>
      <w:r>
        <w:t>Bei einer großen Theorie passiert dasselbe, nur mit Axiomen, Definitionen, Gleichungen und Beweisen.</w:t>
      </w:r>
    </w:p>
    <w:p w:rsidR="00C3404B" w:rsidRDefault="00C3404B" w:rsidP="00C3404B">
      <w:pPr>
        <w:pStyle w:val="StandardWeb"/>
      </w:pPr>
      <w:r>
        <w:t>Didaktisch ist außerdem wichtig, verschiedene Pfeile nicht gleichzusetzen.</w:t>
      </w:r>
    </w:p>
    <w:p w:rsidR="00C3404B" w:rsidRDefault="00C3404B" w:rsidP="00C3404B">
      <w:pPr>
        <w:pStyle w:val="StandardWeb"/>
      </w:pPr>
      <w:r>
        <w:t>Ein Pfeil kann bedeuten:</w:t>
      </w:r>
    </w:p>
    <w:p w:rsidR="00C3404B" w:rsidRDefault="00C3404B" w:rsidP="00C3404B">
      <w:pPr>
        <w:pStyle w:val="StandardWeb"/>
      </w:pPr>
      <w:r>
        <w:rPr>
          <w:rStyle w:val="Fett"/>
        </w:rPr>
        <w:t>„wird daraus bewiesen“</w:t>
      </w:r>
    </w:p>
    <w:p w:rsidR="00C3404B" w:rsidRDefault="00C3404B" w:rsidP="00C3404B">
      <w:pPr>
        <w:pStyle w:val="StandardWeb"/>
      </w:pPr>
      <w:r>
        <w:t>oder nur</w:t>
      </w:r>
    </w:p>
    <w:p w:rsidR="00C3404B" w:rsidRDefault="00C3404B" w:rsidP="00C3404B">
      <w:pPr>
        <w:pStyle w:val="StandardWeb"/>
      </w:pPr>
      <w:r>
        <w:rPr>
          <w:rStyle w:val="Fett"/>
        </w:rPr>
        <w:t>„wird dort erwähnt“</w:t>
      </w:r>
      <w:r>
        <w:t>.</w:t>
      </w:r>
    </w:p>
    <w:p w:rsidR="00C3404B" w:rsidRDefault="00C3404B" w:rsidP="00C3404B">
      <w:pPr>
        <w:pStyle w:val="StandardWeb"/>
      </w:pPr>
      <w:r>
        <w:t>Diese Bedeutungen sind wissenschaftlich völlig verschieden.</w:t>
      </w:r>
    </w:p>
    <w:p w:rsidR="00C3404B" w:rsidRDefault="00C3404B" w:rsidP="00C3404B">
      <w:pPr>
        <w:pStyle w:val="StandardWeb"/>
      </w:pPr>
      <w:r>
        <w:t xml:space="preserve">Der Ableitungsgraph macht daher nicht nur sichtbar, </w:t>
      </w:r>
      <w:r>
        <w:rPr>
          <w:rStyle w:val="Fett"/>
        </w:rPr>
        <w:t>dass</w:t>
      </w:r>
      <w:r>
        <w:t xml:space="preserve"> zwei Objekte miteinander verbunden sind, sondern auch </w:t>
      </w:r>
      <w:r>
        <w:rPr>
          <w:rStyle w:val="Fett"/>
        </w:rPr>
        <w:t>warum</w:t>
      </w:r>
      <w:r>
        <w:t>.</w:t>
      </w:r>
    </w:p>
    <w:p w:rsidR="00C3404B" w:rsidRDefault="00C3404B" w:rsidP="00C3404B">
      <w:pPr>
        <w:pStyle w:val="StandardWeb"/>
      </w:pPr>
      <w:r>
        <w:t>Für den Leser entsteht dadurch am Ende von 3.3.24 eine sehr hilfreiche Gesamtperspektive:</w:t>
      </w:r>
    </w:p>
    <w:p w:rsidR="00C3404B" w:rsidRDefault="00C3404B" w:rsidP="00C3404B">
      <w:pPr>
        <w:pStyle w:val="StandardWeb"/>
      </w:pPr>
      <w:r>
        <w:t>Die FRZK-Axiomatik ist nicht mehr bloß eine lange Folge von Formeln. Sie besitzt eine kontrollierbare Architektur aus</w:t>
      </w:r>
    </w:p>
    <w:p w:rsidR="00C3404B" w:rsidRDefault="00C3404B" w:rsidP="00C3404B">
      <w:pPr>
        <w:pStyle w:val="StandardWeb"/>
      </w:pPr>
      <w:r>
        <w:rPr>
          <w:rStyle w:val="Fett"/>
        </w:rPr>
        <w:lastRenderedPageBreak/>
        <w:t>Grundannahmen → Definitionen → Modelle → Gleichungen → Sätze → Beweise.</w:t>
      </w:r>
    </w:p>
    <w:p w:rsidR="00C3404B" w:rsidRDefault="00C3404B" w:rsidP="00C3404B">
      <w:pPr>
        <w:pStyle w:val="StandardWeb"/>
      </w:pPr>
      <w:r>
        <w:t>Gerade diese Rückverfolgbarkeit ist für eine neue theoretische Konstruktion besonders wichtig, weil jede später behauptete Eigenschaft bis zu ihren tatsächlichen Voraussetzungen zurückverfolgt werden können muss.</w:t>
      </w:r>
    </w:p>
    <w:p w:rsidR="00DA3A8D" w:rsidRPr="00AF32B2" w:rsidRDefault="00DA3A8D" w:rsidP="00C3404B">
      <w:pPr>
        <w:pStyle w:val="berschrift3"/>
      </w:pPr>
      <w:r w:rsidRPr="00AF32B2">
        <w:t>3.3.25 Prüfung der Modellklassen und der Interpretationsfreiheit</w:t>
      </w:r>
    </w:p>
    <w:p w:rsidR="00DA3A8D" w:rsidRDefault="00DA3A8D" w:rsidP="00DA3A8D">
      <w:pPr>
        <w:pStyle w:val="StandardWeb"/>
      </w:pPr>
      <w:r>
        <w:t>Die bisherigen Prüfungen haben gezeigt, dass die Primäraxiome unabhängig, gemeinsam erfüllbar und begrifflich minimal sind. Darüber hinaus wurden die Typkonsistenz, die Zirkularitätsfreiheit der Definitionen sowie die Ableitungskonsistenz der bisherigen Begründungsstruktur untersucht. Damit ist die formale Grundlage des Funktionalen Raum-Zeit-Kohärenzsystems weitgehend abgesichert. Noch offen bleibt jedoch, welche Eigenschaften durch die Primäraxiome tatsächlich erzwungen werden und welche Eigenschaften erst durch zusätzliche Definitionen, Modellbedingungen oder Interpretationsentscheidungen entstehen [6, 58, 59, 79].</w:t>
      </w:r>
    </w:p>
    <w:p w:rsidR="00DA3A8D" w:rsidRDefault="00DA3A8D" w:rsidP="00DA3A8D">
      <w:pPr>
        <w:pStyle w:val="StandardWeb"/>
      </w:pPr>
      <w:r>
        <w:t>Diese Unterscheidung ist wissenschaftlich notwendig, weil eine einzelne Modellkonstruktion nicht mit der Gesamtheit aller Modelle des FRZK gleichgesetzt werden darf. Aus der Tatsache, dass ein bestimmtes Modell beispielsweise eine metrische Raumstruktur, eine lineare Transformation oder eine reellwertige Zeitabbildung besitzt, folgt nicht, dass sämtliche zulässigen FRZK-Modelle dieselben Eigenschaften besitzen müssen [6, 71, 75].</w:t>
      </w:r>
    </w:p>
    <w:p w:rsidR="00DA3A8D" w:rsidRDefault="00DA3A8D" w:rsidP="00DA3A8D">
      <w:pPr>
        <w:pStyle w:val="StandardWeb"/>
      </w:pPr>
      <w:r>
        <w:t>Ich unterscheide deshalb drei Ebenen:</w:t>
      </w:r>
    </w:p>
    <w:p w:rsidR="00DA3A8D" w:rsidRDefault="00DA3A8D" w:rsidP="00632D23">
      <w:pPr>
        <w:pStyle w:val="StandardWeb"/>
        <w:numPr>
          <w:ilvl w:val="0"/>
          <w:numId w:val="132"/>
        </w:numPr>
      </w:pPr>
      <w:r>
        <w:t>axiomatisch erzwungene Eigenschaften,</w:t>
      </w:r>
    </w:p>
    <w:p w:rsidR="00DA3A8D" w:rsidRDefault="00DA3A8D" w:rsidP="00632D23">
      <w:pPr>
        <w:pStyle w:val="StandardWeb"/>
        <w:numPr>
          <w:ilvl w:val="0"/>
          <w:numId w:val="132"/>
        </w:numPr>
      </w:pPr>
      <w:r>
        <w:t>definitorisch festgelegte Strukturen,</w:t>
      </w:r>
    </w:p>
    <w:p w:rsidR="00DA3A8D" w:rsidRDefault="00DA3A8D" w:rsidP="00632D23">
      <w:pPr>
        <w:pStyle w:val="StandardWeb"/>
        <w:numPr>
          <w:ilvl w:val="0"/>
          <w:numId w:val="132"/>
        </w:numPr>
      </w:pPr>
      <w:r>
        <w:t>modellspezifische Zusatzbedingungen.</w:t>
      </w:r>
    </w:p>
    <w:p w:rsidR="00DA3A8D" w:rsidRDefault="00DA3A8D" w:rsidP="00DA3A8D">
      <w:pPr>
        <w:pStyle w:val="StandardWeb"/>
      </w:pPr>
      <w:r>
        <w:rPr>
          <w:rStyle w:val="Fett"/>
        </w:rPr>
        <w:t>Eigenleistung des FRZK</w:t>
      </w:r>
    </w:p>
    <w:p w:rsidR="00DA3A8D" w:rsidRDefault="00DA3A8D" w:rsidP="00DA3A8D">
      <w:pPr>
        <w:pStyle w:val="StandardWeb"/>
      </w:pPr>
      <w:r>
        <w:t>Ich führe eine formale Trennung zwischen Theorie, Modellklasse und Modellinstanz ein. Dadurch kann ich für jede Aussage prüfen, ob sie in allen FRZK-Modellen gilt, nur für eine bestimmte Modellklasse gilt oder ausschließlich eine einzelne Modellinstanz beschreibt.</w:t>
      </w:r>
    </w:p>
    <w:p w:rsidR="00DA3A8D" w:rsidRPr="00AF32B2" w:rsidRDefault="00DA3A8D" w:rsidP="00AF32B2">
      <w:pPr>
        <w:pStyle w:val="berschrift4"/>
      </w:pPr>
      <w:r w:rsidRPr="00AF32B2">
        <w:t>3.3.25.1 Modellklasse der Primäraxiome</w:t>
      </w:r>
    </w:p>
    <w:p w:rsidR="00DA3A8D" w:rsidRDefault="00DA3A8D" w:rsidP="00DA3A8D">
      <w:pPr>
        <w:pStyle w:val="StandardWeb"/>
      </w:pPr>
      <w:r>
        <w:t>Die Modellklasse der drei Primäraxiome lautet</w:t>
      </w:r>
    </w:p>
    <w:p w:rsidR="00DA3A8D" w:rsidRDefault="00DA3A8D" w:rsidP="00DA3A8D">
      <w:pPr>
        <w:pStyle w:val="StandardWeb"/>
      </w:pPr>
      <w:r>
        <w:t>[</w:t>
      </w:r>
      <w:r>
        <w:br/>
        <w:t>\operatorname{Mod}</w:t>
      </w:r>
      <w:r>
        <w:br/>
        <w:t>\left(</w:t>
      </w:r>
      <w:r>
        <w:br/>
        <w:t>\mathcal{A}_{\mathrm{prim}}</w:t>
      </w:r>
      <w:r>
        <w:br/>
        <w:t>\right).</w:t>
      </w:r>
      <w:r>
        <w:br/>
        <w:t>\tag{3.4918}</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\operatorname{Mod}\left(\mathcal{A}_{\mathrm{prim}}\right)\qquad\text{(3.4918)}</w:t>
      </w:r>
    </w:p>
    <w:p w:rsidR="00DA3A8D" w:rsidRDefault="00DA3A8D" w:rsidP="00DA3A8D">
      <w:pPr>
        <w:pStyle w:val="StandardWeb"/>
      </w:pPr>
      <w:r>
        <w:lastRenderedPageBreak/>
        <w:t>Sie enthält sämtliche Strukturen, in denen die drei Primäraxiome erfüllt sind:</w:t>
      </w:r>
    </w:p>
    <w:p w:rsidR="00DA3A8D" w:rsidRDefault="00DA3A8D" w:rsidP="00DA3A8D">
      <w:pPr>
        <w:pStyle w:val="berschrift1"/>
      </w:pPr>
      <w:r>
        <w:t>[</w:t>
      </w:r>
      <w:r>
        <w:br/>
        <w:t>\operatorname{Mod}</w:t>
      </w:r>
      <w:r>
        <w:br/>
        <w:t>\left(</w:t>
      </w:r>
      <w:r>
        <w:br/>
        <w:t>\mathcal{A}_{\mathrm{prim}}</w:t>
      </w:r>
      <w:r>
        <w:br/>
        <w:t>\right)</w:t>
      </w:r>
    </w:p>
    <w:p w:rsidR="00DA3A8D" w:rsidRDefault="00DA3A8D" w:rsidP="00DA3A8D">
      <w:pPr>
        <w:pStyle w:val="StandardWeb"/>
      </w:pPr>
      <w:r>
        <w:t>\left{</w:t>
      </w:r>
      <w:r>
        <w:br/>
        <w:t>\mathcal{M}</w:t>
      </w:r>
      <w:r>
        <w:br/>
        <w:t>;\middle|;</w:t>
      </w:r>
      <w:r>
        <w:br/>
        <w:t>\mathcal{M}</w:t>
      </w:r>
      <w:r>
        <w:br/>
        <w:t>\models</w:t>
      </w:r>
      <w:r>
        <w:br/>
        <w:t>\mathcal{A}_{\mathrm{prim}}</w:t>
      </w:r>
      <w:r>
        <w:br/>
        <w:t>\right}.</w:t>
      </w:r>
      <w:r>
        <w:br/>
        <w:t>\tag{3.4919}</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\operatorname{Mod}\left(\mathcal{A}_{\mathrm{prim}}\right)=\left\{\mathcal{M}\middle|\mathcal{M}\models\mathcal{A}_{\mathrm{prim}}\right\}\qquad\text{(3.4919)}</w:t>
      </w:r>
    </w:p>
    <w:p w:rsidR="00DA3A8D" w:rsidRDefault="00DA3A8D" w:rsidP="00DA3A8D">
      <w:pPr>
        <w:pStyle w:val="StandardWeb"/>
      </w:pPr>
      <w:r>
        <w:t>Für jedes Modell (\mathcal{M}) dieser Klasse gilt:</w:t>
      </w:r>
    </w:p>
    <w:p w:rsidR="00DA3A8D" w:rsidRDefault="00DA3A8D" w:rsidP="00DA3A8D">
      <w:pPr>
        <w:pStyle w:val="StandardWeb"/>
      </w:pPr>
      <w:r>
        <w:t>[</w:t>
      </w:r>
      <w:r>
        <w:br/>
        <w:t>\mathcal{S}_{\mathrm{el}}^{\mathcal{M}}</w:t>
      </w:r>
      <w:r>
        <w:br/>
        <w:t>\neq</w:t>
      </w:r>
      <w:r>
        <w:br/>
        <w:t>\emptyset,</w:t>
      </w:r>
      <w:r>
        <w:br/>
        <w:t>\tag{3.4920}</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\mathcal{S}_{\mathrm{el}}^{\mathcal{M}}\neq\emptyset\qquad\text{(3.4920)}</w:t>
      </w:r>
    </w:p>
    <w:p w:rsidR="00DA3A8D" w:rsidRDefault="00DA3A8D" w:rsidP="00DA3A8D">
      <w:pPr>
        <w:pStyle w:val="StandardWeb"/>
      </w:pPr>
      <w:r>
        <w:t>[</w:t>
      </w:r>
      <w:r>
        <w:br/>
        <w:t>\mathfrak{R}_{\mathrm{f}}^{\mathcal{M}}</w:t>
      </w:r>
      <w:r>
        <w:br/>
        <w:t>\neq</w:t>
      </w:r>
      <w:r>
        <w:br/>
        <w:t>\emptyset,</w:t>
      </w:r>
      <w:r>
        <w:br/>
        <w:t>\tag{3.4921}</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\mathfrak{R}_{\mathrm{f}}^{\mathcal{M}}\neq\emptyset\qquad\text{(3.4921)}</w:t>
      </w:r>
    </w:p>
    <w:p w:rsidR="00DA3A8D" w:rsidRDefault="00DA3A8D" w:rsidP="00DA3A8D">
      <w:pPr>
        <w:pStyle w:val="StandardWeb"/>
      </w:pPr>
      <w:r>
        <w:lastRenderedPageBreak/>
        <w:t>und</w:t>
      </w:r>
    </w:p>
    <w:p w:rsidR="00DA3A8D" w:rsidRDefault="00DA3A8D" w:rsidP="00DA3A8D">
      <w:pPr>
        <w:pStyle w:val="StandardWeb"/>
      </w:pPr>
      <w:r>
        <w:t>[</w:t>
      </w:r>
      <w:r>
        <w:br/>
        <w:t>\mathfrak{T}_{\mathrm{f}}^{\mathcal{M}}</w:t>
      </w:r>
      <w:r>
        <w:br/>
        <w:t>\neq</w:t>
      </w:r>
      <w:r>
        <w:br/>
        <w:t>\emptyset.</w:t>
      </w:r>
      <w:r>
        <w:br/>
        <w:t>\tag{3.4922}</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\mathfrak{T}_{\mathrm{f}}^{\mathcal{M}}\neq\emptyset\qquad\text{(3.4922)}</w:t>
      </w:r>
    </w:p>
    <w:p w:rsidR="00DA3A8D" w:rsidRDefault="00DA3A8D" w:rsidP="00DA3A8D">
      <w:pPr>
        <w:pStyle w:val="StandardWeb"/>
      </w:pPr>
      <w:r>
        <w:t>Weitere Eigenschaften werden durch die Primäraxiome allein nicht erzwungen.</w:t>
      </w:r>
    </w:p>
    <w:p w:rsidR="00DA3A8D" w:rsidRPr="00AF32B2" w:rsidRDefault="00DA3A8D" w:rsidP="00AF32B2">
      <w:pPr>
        <w:pStyle w:val="berschrift4"/>
      </w:pPr>
      <w:r w:rsidRPr="00AF32B2">
        <w:t>3.3.25.2 Axiomatisch erzwungene Eigenschaften</w:t>
      </w:r>
    </w:p>
    <w:p w:rsidR="00DA3A8D" w:rsidRDefault="00DA3A8D" w:rsidP="00DA3A8D">
      <w:pPr>
        <w:pStyle w:val="StandardWeb"/>
      </w:pPr>
      <w:r>
        <w:t>Eine Eigenschaft (P) heißt im FRZK axiomatisch erzwungen, wenn sie in jedem Modell der Primäraxiome gilt:</w:t>
      </w:r>
    </w:p>
    <w:p w:rsidR="00DA3A8D" w:rsidRDefault="00DA3A8D" w:rsidP="00DA3A8D">
      <w:pPr>
        <w:pStyle w:val="StandardWeb"/>
      </w:pPr>
      <w:r>
        <w:t>[</w:t>
      </w:r>
      <w:r>
        <w:br/>
        <w:t>\forall</w:t>
      </w:r>
      <w:r>
        <w:br/>
        <w:t>\mathcal{M}</w:t>
      </w:r>
      <w:r>
        <w:br/>
        <w:t>\in</w:t>
      </w:r>
      <w:r>
        <w:br/>
        <w:t>\operatorname{Mod}</w:t>
      </w:r>
      <w:r>
        <w:br/>
        <w:t>\left(</w:t>
      </w:r>
      <w:r>
        <w:br/>
        <w:t>\mathcal{A}_{\mathrm{prim}}</w:t>
      </w:r>
      <w:r>
        <w:br/>
        <w:t>\right):</w:t>
      </w:r>
      <w:r>
        <w:br/>
        <w:t>\mathcal{M}</w:t>
      </w:r>
      <w:r>
        <w:br/>
        <w:t>\models</w:t>
      </w:r>
      <w:r>
        <w:br/>
        <w:t>P.</w:t>
      </w:r>
      <w:r>
        <w:br/>
        <w:t>\tag{3.4923}</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\forall\mathcal{M}\in\operatorname{Mod}\left(\mathcal{A}_{\mathrm{prim}}\right):\mathcal{M}\models P\qquad\text{(3.4923)}</w:t>
      </w:r>
    </w:p>
    <w:p w:rsidR="00DA3A8D" w:rsidRDefault="00DA3A8D" w:rsidP="00DA3A8D">
      <w:pPr>
        <w:pStyle w:val="StandardWeb"/>
      </w:pPr>
      <w:r>
        <w:t>Äquivalent gilt:</w:t>
      </w:r>
    </w:p>
    <w:p w:rsidR="00DA3A8D" w:rsidRDefault="00DA3A8D" w:rsidP="00DA3A8D">
      <w:pPr>
        <w:pStyle w:val="StandardWeb"/>
      </w:pPr>
      <w:r>
        <w:t>[</w:t>
      </w:r>
      <w:r>
        <w:br/>
        <w:t>\mathcal{A}_{\mathrm{prim}}</w:t>
      </w:r>
      <w:r>
        <w:br/>
        <w:t>\models</w:t>
      </w:r>
      <w:r>
        <w:br/>
        <w:t>P.</w:t>
      </w:r>
      <w:r>
        <w:br/>
        <w:t>\tag{3.4924}</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\mathcal{A}_{\mathrm{prim}}\models P\qquad\text{(3.4924)}</w:t>
      </w:r>
    </w:p>
    <w:p w:rsidR="00DA3A8D" w:rsidRDefault="00DA3A8D" w:rsidP="00DA3A8D">
      <w:pPr>
        <w:pStyle w:val="StandardWeb"/>
      </w:pPr>
      <w:r>
        <w:lastRenderedPageBreak/>
        <w:t>Zu den unmittelbar erzwungenen Eigenschaften gehören ausschließlich die drei Nichtleerheitsbedingungen und die jeweils ausdrücklich vorausgesetzten Typbedingungen [6, 79].</w:t>
      </w:r>
    </w:p>
    <w:p w:rsidR="00DA3A8D" w:rsidRDefault="00DA3A8D" w:rsidP="00DA3A8D">
      <w:pPr>
        <w:pStyle w:val="StandardWeb"/>
      </w:pPr>
      <w:r>
        <w:t>Nicht axiomatisch erzwungen sind beispielsweise:</w:t>
      </w:r>
    </w:p>
    <w:p w:rsidR="00DA3A8D" w:rsidRDefault="00DA3A8D" w:rsidP="00DA3A8D">
      <w:pPr>
        <w:pStyle w:val="StandardWeb"/>
      </w:pPr>
      <w:r>
        <w:t>[</w:t>
      </w:r>
      <w:r>
        <w:br/>
        <w:t>\left|</w:t>
      </w:r>
      <w:r>
        <w:br/>
        <w:t>\mathcal{S}_{\mathrm{el}}</w:t>
      </w:r>
      <w:r>
        <w:br/>
        <w:t>\right|</w:t>
      </w:r>
    </w:p>
    <w:p w:rsidR="00DA3A8D" w:rsidRDefault="00DA3A8D" w:rsidP="00DA3A8D">
      <w:pPr>
        <w:pStyle w:val="StandardWeb"/>
      </w:pPr>
      <w:r>
        <w:t>1,</w:t>
      </w:r>
      <w:r>
        <w:br/>
        <w:t>\tag{3.4925}</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\left|\mathcal{S}_{\mathrm{el}}\right|&gt;1\qquad\text{(3.4925)}</w:t>
      </w:r>
    </w:p>
    <w:p w:rsidR="00DA3A8D" w:rsidRDefault="00DA3A8D" w:rsidP="00DA3A8D">
      <w:pPr>
        <w:pStyle w:val="StandardWeb"/>
      </w:pPr>
      <w:r>
        <w:t>[</w:t>
      </w:r>
      <w:r>
        <w:br/>
        <w:t>R</w:t>
      </w:r>
      <w:r>
        <w:br/>
        <w:t>\text{ ist symmetrisch},</w:t>
      </w:r>
      <w:r>
        <w:br/>
        <w:t>\tag{3.4926}</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R\text{ ist symmetrisch}\qquad\text{(3.4926)}</w:t>
      </w:r>
    </w:p>
    <w:p w:rsidR="00DA3A8D" w:rsidRDefault="00DA3A8D" w:rsidP="00DA3A8D">
      <w:pPr>
        <w:pStyle w:val="StandardWeb"/>
      </w:pPr>
      <w:r>
        <w:t>oder</w:t>
      </w:r>
    </w:p>
    <w:p w:rsidR="00DA3A8D" w:rsidRDefault="00DA3A8D" w:rsidP="00DA3A8D">
      <w:pPr>
        <w:pStyle w:val="StandardWeb"/>
      </w:pPr>
      <w:r>
        <w:t>[</w:t>
      </w:r>
      <w:r>
        <w:br/>
        <w:t>T</w:t>
      </w:r>
      <w:r>
        <w:br/>
        <w:t>\text{ ist invertierbar}.</w:t>
      </w:r>
      <w:r>
        <w:br/>
        <w:t>\tag{3.4927}</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T\text{ ist invertierbar}\qquad\text{(3.4927)}</w:t>
      </w:r>
    </w:p>
    <w:p w:rsidR="00DA3A8D" w:rsidRDefault="00DA3A8D" w:rsidP="00DA3A8D">
      <w:pPr>
        <w:pStyle w:val="StandardWeb"/>
      </w:pPr>
      <w:r>
        <w:t>Diese Eigenschaften können in einzelnen Modellen gelten, gehören aber nicht zum allgemeinen Gehalt der Primäraxiome.</w:t>
      </w:r>
    </w:p>
    <w:p w:rsidR="00DA3A8D" w:rsidRPr="00AF32B2" w:rsidRDefault="00DA3A8D" w:rsidP="00AF32B2">
      <w:pPr>
        <w:pStyle w:val="berschrift4"/>
      </w:pPr>
      <w:r w:rsidRPr="00AF32B2">
        <w:t>3.3.25.3 Definition der FRZK-Modellklasse</w:t>
      </w:r>
    </w:p>
    <w:p w:rsidR="00DA3A8D" w:rsidRDefault="00DA3A8D" w:rsidP="00DA3A8D">
      <w:pPr>
        <w:pStyle w:val="StandardWeb"/>
      </w:pPr>
      <w:r>
        <w:rPr>
          <w:rStyle w:val="Fett"/>
        </w:rPr>
        <w:t>Definition 3.3.17 – FRZK-Modellklasse</w:t>
      </w:r>
    </w:p>
    <w:p w:rsidR="00DA3A8D" w:rsidRDefault="00DA3A8D" w:rsidP="00DA3A8D">
      <w:pPr>
        <w:pStyle w:val="StandardWeb"/>
      </w:pPr>
      <w:r>
        <w:t>Eine FRZK-Modellklasse ist eine Teilklasse der Primäraxiomenmodelle, die durch eine ausdrücklich angegebene Menge zusätzlicher Modellbedingungen (\mathcal{B}_{F}^{(\mu)}) bestimmt wird:</w:t>
      </w:r>
    </w:p>
    <w:p w:rsidR="00DA3A8D" w:rsidRDefault="00DA3A8D" w:rsidP="00DA3A8D">
      <w:pPr>
        <w:pStyle w:val="berschrift1"/>
      </w:pPr>
      <w:r>
        <w:lastRenderedPageBreak/>
        <w:t>[</w:t>
      </w:r>
      <w:r>
        <w:br/>
        <w:t>\operatorname{Mod}_{F}^{(\mu)}</w:t>
      </w:r>
    </w:p>
    <w:p w:rsidR="00DA3A8D" w:rsidRDefault="00DA3A8D" w:rsidP="00DA3A8D">
      <w:pPr>
        <w:pStyle w:val="StandardWeb"/>
      </w:pPr>
      <w:r>
        <w:t>\operatorname{Mod}</w:t>
      </w:r>
      <w:r>
        <w:br/>
        <w:t>\left(</w:t>
      </w:r>
      <w:r>
        <w:br/>
        <w:t>\mathcal{A}</w:t>
      </w:r>
      <w:r>
        <w:rPr>
          <w:rStyle w:val="Hervorhebung"/>
        </w:rPr>
        <w:t>{\mathrm{prim}}</w:t>
      </w:r>
      <w:r>
        <w:rPr>
          <w:i/>
          <w:iCs/>
        </w:rPr>
        <w:br/>
      </w:r>
      <w:r>
        <w:rPr>
          <w:rStyle w:val="Hervorhebung"/>
        </w:rPr>
        <w:t>\cup</w:t>
      </w:r>
      <w:r>
        <w:rPr>
          <w:i/>
          <w:iCs/>
        </w:rPr>
        <w:br/>
      </w:r>
      <w:r>
        <w:rPr>
          <w:rStyle w:val="Hervorhebung"/>
        </w:rPr>
        <w:t>\mathcal{B}</w:t>
      </w:r>
      <w:r>
        <w:t>{F}^{(\mu)}</w:t>
      </w:r>
      <w:r>
        <w:br/>
        <w:t>\right).</w:t>
      </w:r>
      <w:r>
        <w:br/>
        <w:t>\tag{3.4928}</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\operatorname{Mod}_{F}^{(\mu)}=\operatorname{Mod}\left(\mathcal{A}_{\mathrm{prim}}\cup\mathcal{B}_{F}^{(\mu)}\right)\qquad\text{(3.4928)}</w:t>
      </w:r>
    </w:p>
    <w:p w:rsidR="00DA3A8D" w:rsidRDefault="00DA3A8D" w:rsidP="00DA3A8D">
      <w:pPr>
        <w:pStyle w:val="StandardWeb"/>
      </w:pPr>
      <w:r>
        <w:t>Dabei gilt:</w:t>
      </w:r>
    </w:p>
    <w:p w:rsidR="00DA3A8D" w:rsidRDefault="00DA3A8D" w:rsidP="00DA3A8D">
      <w:pPr>
        <w:pStyle w:val="StandardWeb"/>
      </w:pPr>
      <w:r>
        <w:t>[</w:t>
      </w:r>
      <w:r>
        <w:br/>
        <w:t>\operatorname{Mod}</w:t>
      </w:r>
      <w:r>
        <w:rPr>
          <w:rStyle w:val="Hervorhebung"/>
        </w:rPr>
        <w:t>{F}^{(\mu)}</w:t>
      </w:r>
      <w:r>
        <w:rPr>
          <w:i/>
          <w:iCs/>
        </w:rPr>
        <w:br/>
      </w:r>
      <w:r>
        <w:rPr>
          <w:rStyle w:val="Hervorhebung"/>
        </w:rPr>
        <w:t>\subseteq</w:t>
      </w:r>
      <w:r>
        <w:rPr>
          <w:i/>
          <w:iCs/>
        </w:rPr>
        <w:br/>
      </w:r>
      <w:r>
        <w:rPr>
          <w:rStyle w:val="Hervorhebung"/>
        </w:rPr>
        <w:t>\operatorname{Mod}</w:t>
      </w:r>
      <w:r>
        <w:rPr>
          <w:i/>
          <w:iCs/>
        </w:rPr>
        <w:br/>
      </w:r>
      <w:r>
        <w:rPr>
          <w:rStyle w:val="Hervorhebung"/>
        </w:rPr>
        <w:t>\left(</w:t>
      </w:r>
      <w:r>
        <w:rPr>
          <w:i/>
          <w:iCs/>
        </w:rPr>
        <w:br/>
      </w:r>
      <w:r>
        <w:rPr>
          <w:rStyle w:val="Hervorhebung"/>
        </w:rPr>
        <w:t>\mathcal{A}</w:t>
      </w:r>
      <w:r>
        <w:t>{\mathrm{prim}}</w:t>
      </w:r>
      <w:r>
        <w:br/>
        <w:t>\right).</w:t>
      </w:r>
      <w:r>
        <w:br/>
        <w:t>\tag{3.4929}</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\operatorname{Mod}_{F}^{(\mu)}\subseteq\operatorname{Mod}\left(\mathcal{A}_{\mathrm{prim}}\right)\qquad\text{(3.4929)}</w:t>
      </w:r>
    </w:p>
    <w:p w:rsidR="00DA3A8D" w:rsidRDefault="00DA3A8D" w:rsidP="00DA3A8D">
      <w:pPr>
        <w:pStyle w:val="StandardWeb"/>
      </w:pPr>
      <w:r>
        <w:t>Die Zusatzbedingungen können unter anderem algebraische, topologische, metrische, ordnungstheoretische, dynamische, kohärenzbezogene oder empirische Eigenschaften festlegen.</w:t>
      </w:r>
    </w:p>
    <w:p w:rsidR="00DA3A8D" w:rsidRPr="00AF32B2" w:rsidRDefault="00DA3A8D" w:rsidP="00AF32B2">
      <w:pPr>
        <w:pStyle w:val="berschrift4"/>
      </w:pPr>
      <w:r w:rsidRPr="00AF32B2">
        <w:t>3.3.25.4 Modellbedingungen</w:t>
      </w:r>
    </w:p>
    <w:p w:rsidR="00DA3A8D" w:rsidRDefault="00DA3A8D" w:rsidP="00DA3A8D">
      <w:pPr>
        <w:pStyle w:val="StandardWeb"/>
      </w:pPr>
      <w:r>
        <w:t>Eine Modellbedingung ist eine Aussage</w:t>
      </w:r>
    </w:p>
    <w:p w:rsidR="00DA3A8D" w:rsidRDefault="00DA3A8D" w:rsidP="00DA3A8D">
      <w:pPr>
        <w:pStyle w:val="StandardWeb"/>
      </w:pPr>
      <w:r>
        <w:t>[</w:t>
      </w:r>
      <w:r>
        <w:br/>
        <w:t>B_i</w:t>
      </w:r>
      <w:r>
        <w:br/>
        <w:t>\in</w:t>
      </w:r>
      <w:r>
        <w:br/>
        <w:t>\mathcal{B}_{F}^{(\mu)},</w:t>
      </w:r>
      <w:r>
        <w:br/>
        <w:t>\tag{3.4930}</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lastRenderedPageBreak/>
        <w:t>B_i\in\mathcal{B}_{F}^{(\mu)}\qquad\text{(3.4930)}</w:t>
      </w:r>
    </w:p>
    <w:p w:rsidR="00DA3A8D" w:rsidRDefault="00DA3A8D" w:rsidP="00DA3A8D">
      <w:pPr>
        <w:pStyle w:val="StandardWeb"/>
      </w:pPr>
      <w:r>
        <w:t>die nicht aus den Primäraxiomen allein folgt, aber für eine bestimmte Modellklasse gefordert wird.</w:t>
      </w:r>
    </w:p>
    <w:p w:rsidR="00DA3A8D" w:rsidRDefault="00DA3A8D" w:rsidP="00DA3A8D">
      <w:pPr>
        <w:pStyle w:val="StandardWeb"/>
      </w:pPr>
      <w:r>
        <w:t>Für ein Modell (\mathcal{M}) der Klasse (\mu) gilt:</w:t>
      </w:r>
    </w:p>
    <w:p w:rsidR="00DA3A8D" w:rsidRDefault="00DA3A8D" w:rsidP="00DA3A8D">
      <w:pPr>
        <w:pStyle w:val="StandardWeb"/>
      </w:pPr>
      <w:r>
        <w:t>[</w:t>
      </w:r>
      <w:r>
        <w:br/>
        <w:t>\mathcal{M}</w:t>
      </w:r>
      <w:r>
        <w:br/>
        <w:t>\models</w:t>
      </w:r>
      <w:r>
        <w:br/>
        <w:t>\mathcal{B}_{F}^{(\mu)}.</w:t>
      </w:r>
      <w:r>
        <w:br/>
        <w:t>\tag{3.4931}</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\mathcal{M}\models\mathcal{B}_{F}^{(\mu)}\qquad\text{(3.4931)}</w:t>
      </w:r>
    </w:p>
    <w:p w:rsidR="00DA3A8D" w:rsidRDefault="00DA3A8D" w:rsidP="00DA3A8D">
      <w:pPr>
        <w:pStyle w:val="StandardWeb"/>
      </w:pPr>
      <w:r>
        <w:t>Eine Modellbedingung kann beispielsweise lauten:</w:t>
      </w:r>
    </w:p>
    <w:p w:rsidR="00DA3A8D" w:rsidRDefault="00DA3A8D" w:rsidP="00DA3A8D">
      <w:pPr>
        <w:pStyle w:val="StandardWeb"/>
      </w:pPr>
      <w:r>
        <w:t>[</w:t>
      </w:r>
      <w:r>
        <w:br/>
        <w:t>\left|</w:t>
      </w:r>
      <w:r>
        <w:br/>
        <w:t>\mathcal{S}_{\mathrm{el}}</w:t>
      </w:r>
      <w:r>
        <w:br/>
        <w:t>\right|</w:t>
      </w:r>
      <w:r>
        <w:br/>
        <w:t>&lt;</w:t>
      </w:r>
      <w:r>
        <w:br/>
        <w:t>\infty,</w:t>
      </w:r>
      <w:r>
        <w:br/>
        <w:t>\tag{3.4932}</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\left|\mathcal{S}_{\mathrm{el}}\right|&lt;\infty\qquad\text{(3.4932)}</w:t>
      </w:r>
    </w:p>
    <w:p w:rsidR="00DA3A8D" w:rsidRDefault="00DA3A8D" w:rsidP="00DA3A8D">
      <w:pPr>
        <w:pStyle w:val="StandardWeb"/>
      </w:pPr>
      <w:r>
        <w:t>[</w:t>
      </w:r>
      <w:r>
        <w:br/>
        <w:t>\mathcal{S}_{\mathrm{el}}</w:t>
      </w:r>
      <w:r>
        <w:br/>
        <w:t>\subseteq</w:t>
      </w:r>
      <w:r>
        <w:br/>
        <w:t>\mathbb{R}^{n},</w:t>
      </w:r>
      <w:r>
        <w:br/>
        <w:t>\tag{3.4933}</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\mathcal{S}_{\mathrm{el}}\subseteq\mathbb{R}^{n}\qquad\text{(3.4933)}</w:t>
      </w:r>
    </w:p>
    <w:p w:rsidR="00DA3A8D" w:rsidRDefault="00DA3A8D" w:rsidP="00DA3A8D">
      <w:pPr>
        <w:pStyle w:val="StandardWeb"/>
      </w:pPr>
      <w:r>
        <w:t>oder</w:t>
      </w:r>
    </w:p>
    <w:p w:rsidR="00DA3A8D" w:rsidRDefault="00DA3A8D" w:rsidP="00DA3A8D">
      <w:pPr>
        <w:pStyle w:val="StandardWeb"/>
      </w:pPr>
      <w:r>
        <w:t>[</w:t>
      </w:r>
      <w:r>
        <w:br/>
        <w:t>\forall T</w:t>
      </w:r>
      <w:r>
        <w:br/>
        <w:t>\in</w:t>
      </w:r>
      <w:r>
        <w:br/>
        <w:t>\mathfrak{T}_{\mathrm{f}}:</w:t>
      </w:r>
      <w:r>
        <w:br/>
        <w:t>T</w:t>
      </w:r>
      <w:r>
        <w:br/>
        <w:t>\text{ ist stetig}.</w:t>
      </w:r>
      <w:r>
        <w:br/>
      </w:r>
      <w:r>
        <w:lastRenderedPageBreak/>
        <w:t>\tag{3.4934}</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\forall T\in\mathfrak{T}_{\mathrm{f}}:T\text{ ist stetig}\qquad\text{(3.4934)}</w:t>
      </w:r>
    </w:p>
    <w:p w:rsidR="00DA3A8D" w:rsidRDefault="00DA3A8D" w:rsidP="00DA3A8D">
      <w:pPr>
        <w:pStyle w:val="StandardWeb"/>
      </w:pPr>
      <w:r>
        <w:t>Diese Bedingungen schränken die Modellklasse ein, ohne den allgemeinen Primäraxiomengehalt zu verändern.</w:t>
      </w:r>
    </w:p>
    <w:p w:rsidR="00DA3A8D" w:rsidRPr="00AF32B2" w:rsidRDefault="00DA3A8D" w:rsidP="00AF32B2">
      <w:pPr>
        <w:pStyle w:val="berschrift4"/>
      </w:pPr>
      <w:r w:rsidRPr="00AF32B2">
        <w:t>3.3.25.5 Definitorische Festlegung</w:t>
      </w:r>
    </w:p>
    <w:p w:rsidR="00DA3A8D" w:rsidRDefault="00DA3A8D" w:rsidP="00DA3A8D">
      <w:pPr>
        <w:pStyle w:val="StandardWeb"/>
      </w:pPr>
      <w:r>
        <w:t>Eine definitorische Festlegung bestimmt die Bedeutung eines neu eingeführten Begriffs innerhalb einer bereits gewählten Struktur.</w:t>
      </w:r>
    </w:p>
    <w:p w:rsidR="00DA3A8D" w:rsidRDefault="00DA3A8D" w:rsidP="00DA3A8D">
      <w:pPr>
        <w:pStyle w:val="StandardWeb"/>
      </w:pPr>
      <w:r>
        <w:t>Für einen Begriff (X) kann eine Definition die Form besitzen:</w:t>
      </w:r>
    </w:p>
    <w:p w:rsidR="00DA3A8D" w:rsidRDefault="00DA3A8D" w:rsidP="00DA3A8D">
      <w:pPr>
        <w:pStyle w:val="StandardWeb"/>
      </w:pPr>
      <w:r>
        <w:t>[</w:t>
      </w:r>
      <w:r>
        <w:br/>
        <w:t>X</w:t>
      </w:r>
      <w:r>
        <w:br/>
        <w:t>:=</w:t>
      </w:r>
      <w:r>
        <w:br/>
        <w:t>F</w:t>
      </w:r>
      <w:r>
        <w:br/>
        <w:t>\left(</w:t>
      </w:r>
      <w:r>
        <w:br/>
        <w:t>Y_1,\ldots,Y_n</w:t>
      </w:r>
      <w:r>
        <w:br/>
        <w:t>\right).</w:t>
      </w:r>
      <w:r>
        <w:br/>
        <w:t>\tag{3.4935}</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X:=F\left(Y_1,\ldots,Y_n\right)\qquad\text{(3.4935)}</w:t>
      </w:r>
    </w:p>
    <w:p w:rsidR="00DA3A8D" w:rsidRDefault="00DA3A8D" w:rsidP="00DA3A8D">
      <w:pPr>
        <w:pStyle w:val="StandardWeb"/>
      </w:pPr>
      <w:r>
        <w:t>Eine Definition erzeugt keine neue empirische Tatsache. Sie legt fest, wie ein Begriff innerhalb der Theorie verwendet wird [6, 58, 59].</w:t>
      </w:r>
    </w:p>
    <w:p w:rsidR="00DA3A8D" w:rsidRDefault="00DA3A8D" w:rsidP="00DA3A8D">
      <w:pPr>
        <w:pStyle w:val="StandardWeb"/>
      </w:pPr>
      <w:r>
        <w:t>Aus einer Definition folgt deshalb keine zusätzliche Einschränkung der ursprünglichen Modellklasse, solange die definierte Struktur in jedem betrachteten Modell konstruiert werden kann.</w:t>
      </w:r>
    </w:p>
    <w:p w:rsidR="00DA3A8D" w:rsidRDefault="00DA3A8D" w:rsidP="00DA3A8D">
      <w:pPr>
        <w:pStyle w:val="StandardWeb"/>
      </w:pPr>
      <w:r>
        <w:t>Ist die Konstruktion nur unter Zusatzbedingungen möglich, gilt:</w:t>
      </w:r>
    </w:p>
    <w:p w:rsidR="00DA3A8D" w:rsidRDefault="00DA3A8D" w:rsidP="00DA3A8D">
      <w:pPr>
        <w:pStyle w:val="StandardWeb"/>
      </w:pPr>
      <w:r>
        <w:t>[</w:t>
      </w:r>
      <w:r>
        <w:br/>
        <w:t>\operatorname{Dom}</w:t>
      </w:r>
      <w:r>
        <w:br/>
        <w:t>\left(</w:t>
      </w:r>
      <w:r>
        <w:br/>
        <w:t>F</w:t>
      </w:r>
      <w:r>
        <w:br/>
        <w:t>\right)</w:t>
      </w:r>
      <w:r>
        <w:br/>
        <w:t>\subsetneq</w:t>
      </w:r>
      <w:r>
        <w:br/>
        <w:t>\operatorname{Mod}</w:t>
      </w:r>
      <w:r>
        <w:br/>
        <w:t>\left(</w:t>
      </w:r>
      <w:r>
        <w:br/>
        <w:t>\mathcal{A}_{\mathrm{prim}}</w:t>
      </w:r>
      <w:r>
        <w:br/>
        <w:t>\right).</w:t>
      </w:r>
      <w:r>
        <w:br/>
      </w:r>
      <w:r>
        <w:lastRenderedPageBreak/>
        <w:t>\tag{3.4936}</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\operatorname{Dom}\left(F\right)\subsetneq\operatorname{Mod}\left(\mathcal{A}_{\mathrm{prim}}\right)\qquad\text{(3.4936)}</w:t>
      </w:r>
    </w:p>
    <w:p w:rsidR="00DA3A8D" w:rsidRDefault="00DA3A8D" w:rsidP="00DA3A8D">
      <w:pPr>
        <w:pStyle w:val="StandardWeb"/>
      </w:pPr>
      <w:r>
        <w:t>In diesem Fall muss die notwendige Zusatzbedingung ausdrücklich als Modellbedingung ausgewiesen werden.</w:t>
      </w:r>
    </w:p>
    <w:p w:rsidR="00DA3A8D" w:rsidRPr="00AF32B2" w:rsidRDefault="00DA3A8D" w:rsidP="00AF32B2">
      <w:pPr>
        <w:pStyle w:val="berschrift4"/>
      </w:pPr>
      <w:r w:rsidRPr="00AF32B2">
        <w:t>3.3.25.6 Trennung von Definition und Existenzbehauptung</w:t>
      </w:r>
    </w:p>
    <w:p w:rsidR="00DA3A8D" w:rsidRDefault="00DA3A8D" w:rsidP="00DA3A8D">
      <w:pPr>
        <w:pStyle w:val="StandardWeb"/>
      </w:pPr>
      <w:r>
        <w:t>Eine Definition der Form</w:t>
      </w:r>
    </w:p>
    <w:p w:rsidR="00DA3A8D" w:rsidRDefault="00DA3A8D" w:rsidP="00DA3A8D">
      <w:pPr>
        <w:pStyle w:val="StandardWeb"/>
      </w:pPr>
      <w:r>
        <w:t>[</w:t>
      </w:r>
      <w:r>
        <w:br/>
        <w:t>X</w:t>
      </w:r>
      <w:r>
        <w:br/>
        <w:t>:=</w:t>
      </w:r>
      <w:r>
        <w:br/>
        <w:t>F(Y)</w:t>
      </w:r>
      <w:r>
        <w:br/>
        <w:t>\tag{3.4937}</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X:=F(Y)\qquad\text{(3.4937)}</w:t>
      </w:r>
    </w:p>
    <w:p w:rsidR="00DA3A8D" w:rsidRDefault="00DA3A8D" w:rsidP="00DA3A8D">
      <w:pPr>
        <w:pStyle w:val="StandardWeb"/>
      </w:pPr>
      <w:r>
        <w:t>setzt voraus, dass (F(Y)) wohldefiniert ist.</w:t>
      </w:r>
    </w:p>
    <w:p w:rsidR="00DA3A8D" w:rsidRDefault="00DA3A8D" w:rsidP="00DA3A8D">
      <w:pPr>
        <w:pStyle w:val="StandardWeb"/>
      </w:pPr>
      <w:r>
        <w:t>Die Definition beweist jedoch nicht automatisch:</w:t>
      </w:r>
    </w:p>
    <w:p w:rsidR="00DA3A8D" w:rsidRDefault="00DA3A8D" w:rsidP="00DA3A8D">
      <w:pPr>
        <w:pStyle w:val="StandardWeb"/>
      </w:pPr>
      <w:r>
        <w:t>[</w:t>
      </w:r>
      <w:r>
        <w:br/>
        <w:t>\exists X.</w:t>
      </w:r>
      <w:r>
        <w:br/>
        <w:t>\tag{3.4938}</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\exists X\qquad\text{(3.4938)}</w:t>
      </w:r>
    </w:p>
    <w:p w:rsidR="00DA3A8D" w:rsidRDefault="00DA3A8D" w:rsidP="00DA3A8D">
      <w:pPr>
        <w:pStyle w:val="StandardWeb"/>
      </w:pPr>
      <w:r>
        <w:t>Die Existenz muss entweder aus früheren Voraussetzungen folgen oder als eigene Modellbedingung eingeführt werden.</w:t>
      </w:r>
    </w:p>
    <w:p w:rsidR="00DA3A8D" w:rsidRDefault="00DA3A8D" w:rsidP="00DA3A8D">
      <w:pPr>
        <w:pStyle w:val="StandardWeb"/>
      </w:pPr>
      <w:r>
        <w:rPr>
          <w:rStyle w:val="Fett"/>
        </w:rPr>
        <w:t>Eigenleistung des FRZK</w:t>
      </w:r>
    </w:p>
    <w:p w:rsidR="00DA3A8D" w:rsidRDefault="00DA3A8D" w:rsidP="00DA3A8D">
      <w:pPr>
        <w:pStyle w:val="StandardWeb"/>
      </w:pPr>
      <w:r>
        <w:t>Ich lege fest, dass jede Definition daraufhin geprüft wird, ob sie nur eine Benennung vornimmt oder zusätzlich eine nicht begründete Existenzannahme enthält. Verdeckte Existenzannahmen werden als Modellbedingungen oder neue Axiome kenntlich gemacht.</w:t>
      </w:r>
    </w:p>
    <w:p w:rsidR="00DA3A8D" w:rsidRPr="00AF32B2" w:rsidRDefault="00DA3A8D" w:rsidP="00AF32B2">
      <w:pPr>
        <w:pStyle w:val="berschrift4"/>
      </w:pPr>
      <w:r w:rsidRPr="00AF32B2">
        <w:t>3.3.25.7 Modellinstanz</w:t>
      </w:r>
    </w:p>
    <w:p w:rsidR="00DA3A8D" w:rsidRDefault="00DA3A8D" w:rsidP="00DA3A8D">
      <w:pPr>
        <w:pStyle w:val="StandardWeb"/>
      </w:pPr>
      <w:r>
        <w:t>Eine Modellinstanz ist ein konkretes Element einer bestimmten FRZK-Modellklasse:</w:t>
      </w:r>
    </w:p>
    <w:p w:rsidR="00DA3A8D" w:rsidRDefault="00DA3A8D" w:rsidP="00DA3A8D">
      <w:pPr>
        <w:pStyle w:val="StandardWeb"/>
      </w:pPr>
      <w:r>
        <w:lastRenderedPageBreak/>
        <w:t>[</w:t>
      </w:r>
      <w:r>
        <w:br/>
        <w:t>\mathcal{M}^{(\mu)}</w:t>
      </w:r>
      <w:r>
        <w:rPr>
          <w:rStyle w:val="Hervorhebung"/>
        </w:rPr>
        <w:t>{\alpha}</w:t>
      </w:r>
      <w:r>
        <w:rPr>
          <w:i/>
          <w:iCs/>
        </w:rPr>
        <w:br/>
      </w:r>
      <w:r>
        <w:rPr>
          <w:rStyle w:val="Hervorhebung"/>
        </w:rPr>
        <w:t>\in</w:t>
      </w:r>
      <w:r>
        <w:rPr>
          <w:i/>
          <w:iCs/>
        </w:rPr>
        <w:br/>
      </w:r>
      <w:r>
        <w:rPr>
          <w:rStyle w:val="Hervorhebung"/>
        </w:rPr>
        <w:t>\operatorname{Mod}</w:t>
      </w:r>
      <w:r>
        <w:t>{F}^{(\mu)}.</w:t>
      </w:r>
      <w:r>
        <w:br/>
        <w:t>\tag{3.4939}</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\mathcal{M}^{(\mu)}_{\alpha}\in\operatorname{Mod}_{F}^{(\mu)}\qquad\text{(3.4939)}</w:t>
      </w:r>
    </w:p>
    <w:p w:rsidR="00DA3A8D" w:rsidRDefault="00DA3A8D" w:rsidP="00DA3A8D">
      <w:pPr>
        <w:pStyle w:val="StandardWeb"/>
      </w:pPr>
      <w:r>
        <w:t>Dabei bezeichnet:</w:t>
      </w:r>
    </w:p>
    <w:p w:rsidR="00DA3A8D" w:rsidRDefault="00DA3A8D" w:rsidP="00632D23">
      <w:pPr>
        <w:pStyle w:val="StandardWeb"/>
        <w:numPr>
          <w:ilvl w:val="0"/>
          <w:numId w:val="133"/>
        </w:numPr>
      </w:pPr>
      <w:r>
        <w:t>(\mu) die Modellklasse,</w:t>
      </w:r>
    </w:p>
    <w:p w:rsidR="00DA3A8D" w:rsidRDefault="00DA3A8D" w:rsidP="00632D23">
      <w:pPr>
        <w:pStyle w:val="StandardWeb"/>
        <w:numPr>
          <w:ilvl w:val="0"/>
          <w:numId w:val="133"/>
        </w:numPr>
      </w:pPr>
      <w:r>
        <w:t>(\alpha) die konkrete Modellinstanz.</w:t>
      </w:r>
    </w:p>
    <w:p w:rsidR="00DA3A8D" w:rsidRDefault="00DA3A8D" w:rsidP="00DA3A8D">
      <w:pPr>
        <w:pStyle w:val="StandardWeb"/>
      </w:pPr>
      <w:r>
        <w:t>Zwei Modellinstanzen derselben Klasse können unterschiedliche Zustandsmengen oder konkrete Abbildungen besitzen:</w:t>
      </w:r>
    </w:p>
    <w:p w:rsidR="00DA3A8D" w:rsidRDefault="00DA3A8D" w:rsidP="00DA3A8D">
      <w:pPr>
        <w:pStyle w:val="StandardWeb"/>
      </w:pPr>
      <w:r>
        <w:t>[</w:t>
      </w:r>
      <w:r>
        <w:br/>
        <w:t>\mathcal{M}^{(\mu)}</w:t>
      </w:r>
      <w:r>
        <w:rPr>
          <w:rStyle w:val="Hervorhebung"/>
        </w:rPr>
        <w:t>{\alpha}</w:t>
      </w:r>
      <w:r>
        <w:rPr>
          <w:i/>
          <w:iCs/>
        </w:rPr>
        <w:br/>
      </w:r>
      <w:r>
        <w:rPr>
          <w:rStyle w:val="Hervorhebung"/>
        </w:rPr>
        <w:t>\neq</w:t>
      </w:r>
      <w:r>
        <w:rPr>
          <w:i/>
          <w:iCs/>
        </w:rPr>
        <w:br/>
      </w:r>
      <w:r>
        <w:rPr>
          <w:rStyle w:val="Hervorhebung"/>
        </w:rPr>
        <w:t>\mathcal{M}^{(\mu)}</w:t>
      </w:r>
      <w:r>
        <w:t>{\beta}.</w:t>
      </w:r>
      <w:r>
        <w:br/>
        <w:t>\tag{3.4940}</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\mathcal{M}^{(\mu)}_{\alpha}\neq\mathcal{M}^{(\mu)}_{\beta}\qquad\text{(3.4940)}</w:t>
      </w:r>
    </w:p>
    <w:p w:rsidR="00DA3A8D" w:rsidRDefault="00DA3A8D" w:rsidP="00DA3A8D">
      <w:pPr>
        <w:pStyle w:val="StandardWeb"/>
      </w:pPr>
      <w:r>
        <w:t>Sie erfüllen jedoch dieselben Klassenbedingungen:</w:t>
      </w:r>
    </w:p>
    <w:p w:rsidR="00DA3A8D" w:rsidRDefault="00DA3A8D" w:rsidP="00DA3A8D">
      <w:pPr>
        <w:pStyle w:val="StandardWeb"/>
      </w:pPr>
      <w:r>
        <w:t>[</w:t>
      </w:r>
      <w:r>
        <w:br/>
        <w:t>\mathcal{M}^{(\mu)}</w:t>
      </w:r>
      <w:r>
        <w:rPr>
          <w:rStyle w:val="Hervorhebung"/>
        </w:rPr>
        <w:t>{\alpha}</w:t>
      </w:r>
      <w:r>
        <w:rPr>
          <w:i/>
          <w:iCs/>
        </w:rPr>
        <w:br/>
      </w:r>
      <w:r>
        <w:rPr>
          <w:rStyle w:val="Hervorhebung"/>
        </w:rPr>
        <w:t>\models</w:t>
      </w:r>
      <w:r>
        <w:rPr>
          <w:i/>
          <w:iCs/>
        </w:rPr>
        <w:br/>
      </w:r>
      <w:r>
        <w:rPr>
          <w:rStyle w:val="Hervorhebung"/>
        </w:rPr>
        <w:t>\mathcal{B}</w:t>
      </w:r>
      <w:r>
        <w:t>{F}^{(\mu)}</w:t>
      </w:r>
      <w:r>
        <w:br/>
        <w:t>\tag{3.4941}</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\mathcal{M}^{(\mu)}_{\alpha}\models\mathcal{B}_{F}^{(\mu)}\qquad\text{(3.4941)}</w:t>
      </w:r>
    </w:p>
    <w:p w:rsidR="00DA3A8D" w:rsidRDefault="00DA3A8D" w:rsidP="00DA3A8D">
      <w:pPr>
        <w:pStyle w:val="StandardWeb"/>
      </w:pPr>
      <w:r>
        <w:t>und</w:t>
      </w:r>
    </w:p>
    <w:p w:rsidR="00DA3A8D" w:rsidRDefault="00DA3A8D" w:rsidP="00DA3A8D">
      <w:pPr>
        <w:pStyle w:val="StandardWeb"/>
      </w:pPr>
      <w:r>
        <w:t>[</w:t>
      </w:r>
      <w:r>
        <w:br/>
        <w:t>\mathcal{M}^{(\mu)}</w:t>
      </w:r>
      <w:r>
        <w:rPr>
          <w:rStyle w:val="Hervorhebung"/>
        </w:rPr>
        <w:t>{\beta}</w:t>
      </w:r>
      <w:r>
        <w:rPr>
          <w:i/>
          <w:iCs/>
        </w:rPr>
        <w:br/>
      </w:r>
      <w:r>
        <w:rPr>
          <w:rStyle w:val="Hervorhebung"/>
        </w:rPr>
        <w:t>\models</w:t>
      </w:r>
      <w:r>
        <w:rPr>
          <w:i/>
          <w:iCs/>
        </w:rPr>
        <w:br/>
      </w:r>
      <w:r>
        <w:rPr>
          <w:rStyle w:val="Hervorhebung"/>
        </w:rPr>
        <w:t>\mathcal{B}</w:t>
      </w:r>
      <w:r>
        <w:t>{F}^{(\mu)}.</w:t>
      </w:r>
      <w:r>
        <w:br/>
      </w:r>
      <w:r>
        <w:lastRenderedPageBreak/>
        <w:t>\tag{3.4942}</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\mathcal{M}^{(\mu)}_{\beta}\models\mathcal{B}_{F}^{(\mu)}\qquad\text{(3.4942)}</w:t>
      </w:r>
    </w:p>
    <w:p w:rsidR="00DA3A8D" w:rsidRPr="00AF32B2" w:rsidRDefault="00DA3A8D" w:rsidP="00AF32B2">
      <w:pPr>
        <w:pStyle w:val="berschrift4"/>
      </w:pPr>
      <w:r w:rsidRPr="00AF32B2">
        <w:t>3.3.25.8 Unterschiedliche Zustandsmodelle</w:t>
      </w:r>
    </w:p>
    <w:p w:rsidR="00DA3A8D" w:rsidRDefault="00DA3A8D" w:rsidP="00DA3A8D">
      <w:pPr>
        <w:pStyle w:val="StandardWeb"/>
      </w:pPr>
      <w:r>
        <w:t>Die Primäraxiome lassen unterschiedliche Zustandsmengen zu.</w:t>
      </w:r>
    </w:p>
    <w:p w:rsidR="00DA3A8D" w:rsidRDefault="00DA3A8D" w:rsidP="00DA3A8D">
      <w:pPr>
        <w:pStyle w:val="StandardWeb"/>
      </w:pPr>
      <w:r>
        <w:t>Ein einelementiges Modell kann besitzen:</w:t>
      </w:r>
    </w:p>
    <w:p w:rsidR="00DA3A8D" w:rsidRDefault="00DA3A8D" w:rsidP="00DA3A8D">
      <w:pPr>
        <w:pStyle w:val="berschrift1"/>
      </w:pPr>
      <w:r>
        <w:t>[</w:t>
      </w:r>
      <w:r>
        <w:br/>
        <w:t>\mathcal{S}_{\mathrm{el}}^{(1)}</w:t>
      </w:r>
    </w:p>
    <w:p w:rsidR="00DA3A8D" w:rsidRDefault="00DA3A8D" w:rsidP="00DA3A8D">
      <w:pPr>
        <w:pStyle w:val="StandardWeb"/>
      </w:pPr>
      <w:r>
        <w:t>\left{</w:t>
      </w:r>
      <w:r>
        <w:br/>
        <w:t>\delta_0</w:t>
      </w:r>
      <w:r>
        <w:br/>
        <w:t>\right}.</w:t>
      </w:r>
      <w:r>
        <w:br/>
        <w:t>\tag{3.4943}</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\mathcal{S}_{\mathrm{el}}^{(1)}=\left\{\delta_0\right\}\qquad\text{(3.4943)}</w:t>
      </w:r>
    </w:p>
    <w:p w:rsidR="00DA3A8D" w:rsidRDefault="00DA3A8D" w:rsidP="00DA3A8D">
      <w:pPr>
        <w:pStyle w:val="StandardWeb"/>
      </w:pPr>
      <w:r>
        <w:t>Ein endliches Mehrzustandsmodell kann besitzen:</w:t>
      </w:r>
    </w:p>
    <w:p w:rsidR="00DA3A8D" w:rsidRDefault="00DA3A8D" w:rsidP="00DA3A8D">
      <w:pPr>
        <w:pStyle w:val="berschrift1"/>
      </w:pPr>
      <w:r>
        <w:t>[</w:t>
      </w:r>
      <w:r>
        <w:br/>
        <w:t>\mathcal{S}_{\mathrm{el}}^{(n)}</w:t>
      </w:r>
    </w:p>
    <w:p w:rsidR="00DA3A8D" w:rsidRDefault="00DA3A8D" w:rsidP="00DA3A8D">
      <w:pPr>
        <w:pStyle w:val="StandardWeb"/>
      </w:pPr>
      <w:r>
        <w:t>\left{</w:t>
      </w:r>
      <w:r>
        <w:br/>
        <w:t>\delta_1,\ldots,\delta_n</w:t>
      </w:r>
      <w:r>
        <w:br/>
        <w:t>\right}.</w:t>
      </w:r>
      <w:r>
        <w:br/>
        <w:t>\tag{3.4944}</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\mathcal{S}_{\mathrm{el}}^{(n)}=\left\{\delta_1,\ldots,\delta_n\right\}\qquad\text{(3.4944)}</w:t>
      </w:r>
    </w:p>
    <w:p w:rsidR="00DA3A8D" w:rsidRDefault="00DA3A8D" w:rsidP="00DA3A8D">
      <w:pPr>
        <w:pStyle w:val="StandardWeb"/>
      </w:pPr>
      <w:r>
        <w:t>Ein kontinuierliches Modell kann besitzen:</w:t>
      </w:r>
    </w:p>
    <w:p w:rsidR="00DA3A8D" w:rsidRDefault="00DA3A8D" w:rsidP="00DA3A8D">
      <w:pPr>
        <w:pStyle w:val="berschrift1"/>
      </w:pPr>
      <w:r>
        <w:t>[</w:t>
      </w:r>
      <w:r>
        <w:br/>
        <w:t>\mathcal{S}_{\mathrm{el}}^{(\mathbb{R})}</w:t>
      </w:r>
    </w:p>
    <w:p w:rsidR="00DA3A8D" w:rsidRDefault="00DA3A8D" w:rsidP="00DA3A8D">
      <w:pPr>
        <w:pStyle w:val="StandardWeb"/>
      </w:pPr>
      <w:r>
        <w:lastRenderedPageBreak/>
        <w:t>\mathbb{R}^{n}.</w:t>
      </w:r>
      <w:r>
        <w:br/>
        <w:t>\tag{3.4945}</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\mathcal{S}_{\mathrm{el}}^{(\mathbb{R})}=\mathbb{R}^{n}\qquad\text{(3.4945)}</w:t>
      </w:r>
    </w:p>
    <w:p w:rsidR="00DA3A8D" w:rsidRDefault="00DA3A8D" w:rsidP="00DA3A8D">
      <w:pPr>
        <w:pStyle w:val="StandardWeb"/>
      </w:pPr>
      <w:r>
        <w:t>Alle drei Modelle können Primäraxiom I erfüllen. Die Wahl der Zustandsstruktur ist daher nicht durch das Primäraxiom allein festgelegt.</w:t>
      </w:r>
    </w:p>
    <w:p w:rsidR="00DA3A8D" w:rsidRPr="00AF32B2" w:rsidRDefault="00DA3A8D" w:rsidP="00AF32B2">
      <w:pPr>
        <w:pStyle w:val="berschrift4"/>
      </w:pPr>
      <w:r w:rsidRPr="00AF32B2">
        <w:t>3.3.25.9 Unterschiedliche Relationsmodelle</w:t>
      </w:r>
    </w:p>
    <w:p w:rsidR="00DA3A8D" w:rsidRDefault="00DA3A8D" w:rsidP="00DA3A8D">
      <w:pPr>
        <w:pStyle w:val="StandardWeb"/>
      </w:pPr>
      <w:r>
        <w:t>Auch die Relationsstruktur bleibt zunächst offen.</w:t>
      </w:r>
    </w:p>
    <w:p w:rsidR="00DA3A8D" w:rsidRDefault="00DA3A8D" w:rsidP="00DA3A8D">
      <w:pPr>
        <w:pStyle w:val="StandardWeb"/>
      </w:pPr>
      <w:r>
        <w:t>Eine reflexive Relation kann erfüllen:</w:t>
      </w:r>
    </w:p>
    <w:p w:rsidR="00DA3A8D" w:rsidRDefault="00DA3A8D" w:rsidP="00DA3A8D">
      <w:pPr>
        <w:pStyle w:val="StandardWeb"/>
      </w:pPr>
      <w:r>
        <w:t>[</w:t>
      </w:r>
      <w:r>
        <w:br/>
        <w:t>\forall</w:t>
      </w:r>
      <w:r>
        <w:br/>
        <w:t>\delta</w:t>
      </w:r>
      <w:r>
        <w:br/>
        <w:t>\in</w:t>
      </w:r>
      <w:r>
        <w:br/>
        <w:t>\mathcal{S}_{\mathrm{el}}:</w:t>
      </w:r>
      <w:r>
        <w:br/>
        <w:t>(\delta,\delta)</w:t>
      </w:r>
      <w:r>
        <w:br/>
        <w:t>\in</w:t>
      </w:r>
      <w:r>
        <w:br/>
        <w:t>R.</w:t>
      </w:r>
      <w:r>
        <w:br/>
        <w:t>\tag{3.4946}</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\forall\delta\in\mathcal{S}_{\mathrm{el}}:(\delta,\delta)\in R\qquad\text{(3.4946)}</w:t>
      </w:r>
    </w:p>
    <w:p w:rsidR="00DA3A8D" w:rsidRDefault="00DA3A8D" w:rsidP="00DA3A8D">
      <w:pPr>
        <w:pStyle w:val="StandardWeb"/>
      </w:pPr>
      <w:r>
        <w:t>Eine irreflexive Relation kann dagegen erfüllen:</w:t>
      </w:r>
    </w:p>
    <w:p w:rsidR="00DA3A8D" w:rsidRDefault="00DA3A8D" w:rsidP="00DA3A8D">
      <w:pPr>
        <w:pStyle w:val="StandardWeb"/>
      </w:pPr>
      <w:r>
        <w:t>[</w:t>
      </w:r>
      <w:r>
        <w:br/>
        <w:t>\forall</w:t>
      </w:r>
      <w:r>
        <w:br/>
        <w:t>\delta</w:t>
      </w:r>
      <w:r>
        <w:br/>
        <w:t>\in</w:t>
      </w:r>
      <w:r>
        <w:br/>
        <w:t>\mathcal{S}_{\mathrm{el}}:</w:t>
      </w:r>
      <w:r>
        <w:br/>
        <w:t>(\delta,\delta)</w:t>
      </w:r>
      <w:r>
        <w:br/>
        <w:t>\notin</w:t>
      </w:r>
      <w:r>
        <w:br/>
        <w:t>R.</w:t>
      </w:r>
      <w:r>
        <w:br/>
        <w:t>\tag{3.4947}</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\forall\delta\in\mathcal{S}_{\mathrm{el}}:(\delta,\delta)\notin R\qquad\text{(3.4947)}</w:t>
      </w:r>
    </w:p>
    <w:p w:rsidR="00DA3A8D" w:rsidRDefault="00DA3A8D" w:rsidP="00DA3A8D">
      <w:pPr>
        <w:pStyle w:val="StandardWeb"/>
      </w:pPr>
      <w:r>
        <w:lastRenderedPageBreak/>
        <w:t>Eine symmetrische Relation erfüllt:</w:t>
      </w:r>
    </w:p>
    <w:p w:rsidR="00DA3A8D" w:rsidRDefault="00DA3A8D" w:rsidP="00DA3A8D">
      <w:pPr>
        <w:pStyle w:val="StandardWeb"/>
      </w:pPr>
      <w:r>
        <w:t>[</w:t>
      </w:r>
      <w:r>
        <w:br/>
        <w:t>(\delta_i,\delta_j)</w:t>
      </w:r>
      <w:r>
        <w:br/>
        <w:t>\in</w:t>
      </w:r>
      <w:r>
        <w:br/>
        <w:t>R</w:t>
      </w:r>
      <w:r>
        <w:br/>
        <w:t>\Rightarrow</w:t>
      </w:r>
      <w:r>
        <w:br/>
        <w:t>(\delta_j,\delta_i)</w:t>
      </w:r>
      <w:r>
        <w:br/>
        <w:t>\in</w:t>
      </w:r>
      <w:r>
        <w:br/>
        <w:t>R.</w:t>
      </w:r>
      <w:r>
        <w:br/>
        <w:t>\tag{3.4948}</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(\delta_i,\delta_j)\in R\Rightarrow(\delta_j,\delta_i)\in R\qquad\text{(3.4948)}</w:t>
      </w:r>
    </w:p>
    <w:p w:rsidR="00DA3A8D" w:rsidRDefault="00DA3A8D" w:rsidP="00DA3A8D">
      <w:pPr>
        <w:pStyle w:val="StandardWeb"/>
      </w:pPr>
      <w:r>
        <w:t>Eine gerichtete Relation muss Gleichung (3.4948) nicht erfüllen.</w:t>
      </w:r>
    </w:p>
    <w:p w:rsidR="00DA3A8D" w:rsidRDefault="00DA3A8D" w:rsidP="00DA3A8D">
      <w:pPr>
        <w:pStyle w:val="StandardWeb"/>
      </w:pPr>
      <w:r>
        <w:t>Damit können unterschiedliche Relationsmodelle derselben Primäraxiomenklasse angehören.</w:t>
      </w:r>
    </w:p>
    <w:p w:rsidR="00DA3A8D" w:rsidRPr="00AF32B2" w:rsidRDefault="00DA3A8D" w:rsidP="00AF32B2">
      <w:pPr>
        <w:pStyle w:val="berschrift4"/>
      </w:pPr>
      <w:r w:rsidRPr="00AF32B2">
        <w:t>3.3.25.10 Unterschiedliche Transformationsmodelle</w:t>
      </w:r>
    </w:p>
    <w:p w:rsidR="00DA3A8D" w:rsidRDefault="00DA3A8D" w:rsidP="00DA3A8D">
      <w:pPr>
        <w:pStyle w:val="StandardWeb"/>
      </w:pPr>
      <w:r>
        <w:t>Eine Transformation kann die Identität sein:</w:t>
      </w:r>
    </w:p>
    <w:p w:rsidR="00DA3A8D" w:rsidRDefault="00DA3A8D" w:rsidP="00DA3A8D">
      <w:pPr>
        <w:pStyle w:val="berschrift1"/>
      </w:pPr>
      <w:r>
        <w:t>[</w:t>
      </w:r>
      <w:r>
        <w:br/>
        <w:t>T</w:t>
      </w:r>
    </w:p>
    <w:p w:rsidR="00DA3A8D" w:rsidRDefault="00DA3A8D" w:rsidP="00DA3A8D">
      <w:pPr>
        <w:pStyle w:val="StandardWeb"/>
      </w:pPr>
      <w:r>
        <w:t>\operatorname{id}</w:t>
      </w:r>
      <w:r>
        <w:rPr>
          <w:rStyle w:val="Hervorhebung"/>
        </w:rPr>
        <w:t>{\mathcal{S}</w:t>
      </w:r>
      <w:r>
        <w:t>{\mathrm{el}}}.</w:t>
      </w:r>
      <w:r>
        <w:br/>
        <w:t>\tag{3.4949}</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T=\operatorname{id}_{\mathcal{S}_{\mathrm{el}}}\qquad\text{(3.4949)}</w:t>
      </w:r>
    </w:p>
    <w:p w:rsidR="00DA3A8D" w:rsidRDefault="00DA3A8D" w:rsidP="00DA3A8D">
      <w:pPr>
        <w:pStyle w:val="StandardWeb"/>
      </w:pPr>
      <w:r>
        <w:t>Eine Transformation kann nichttrivial sein:</w:t>
      </w:r>
    </w:p>
    <w:p w:rsidR="00DA3A8D" w:rsidRDefault="00DA3A8D" w:rsidP="00DA3A8D">
      <w:pPr>
        <w:pStyle w:val="StandardWeb"/>
      </w:pPr>
      <w:r>
        <w:t>[</w:t>
      </w:r>
      <w:r>
        <w:br/>
        <w:t>\exists</w:t>
      </w:r>
      <w:r>
        <w:br/>
        <w:t>\delta:</w:t>
      </w:r>
      <w:r>
        <w:br/>
        <w:t>T(\delta)</w:t>
      </w:r>
      <w:r>
        <w:br/>
        <w:t>\neq</w:t>
      </w:r>
      <w:r>
        <w:br/>
        <w:t>\delta.</w:t>
      </w:r>
      <w:r>
        <w:br/>
        <w:t>\tag{3.4950}</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lastRenderedPageBreak/>
        <w:t>\exists\delta:T(\delta)\neq\delta\qquad\text{(3.4950)}</w:t>
      </w:r>
    </w:p>
    <w:p w:rsidR="00DA3A8D" w:rsidRDefault="00DA3A8D" w:rsidP="00DA3A8D">
      <w:pPr>
        <w:pStyle w:val="StandardWeb"/>
      </w:pPr>
      <w:r>
        <w:t>Sie kann invertierbar sein:</w:t>
      </w:r>
    </w:p>
    <w:p w:rsidR="00DA3A8D" w:rsidRDefault="00DA3A8D" w:rsidP="00DA3A8D">
      <w:pPr>
        <w:pStyle w:val="berschrift1"/>
      </w:pPr>
      <w:r>
        <w:t>[</w:t>
      </w:r>
      <w:r>
        <w:br/>
        <w:t>\exists</w:t>
      </w:r>
      <w:r>
        <w:br/>
        <w:t>T^{-1}:</w:t>
      </w:r>
      <w:r>
        <w:br/>
        <w:t>T^{-1}</w:t>
      </w:r>
      <w:r>
        <w:br/>
        <w:t>\circ</w:t>
      </w:r>
      <w:r>
        <w:br/>
        <w:t>T</w:t>
      </w:r>
    </w:p>
    <w:p w:rsidR="00DA3A8D" w:rsidRDefault="00DA3A8D" w:rsidP="00DA3A8D">
      <w:pPr>
        <w:pStyle w:val="StandardWeb"/>
      </w:pPr>
      <w:r>
        <w:t>\operatorname{id},</w:t>
      </w:r>
      <w:r>
        <w:br/>
        <w:t>\tag{3.4951}</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\exists T^{-1}:T^{-1}\circ T=\operatorname{id}\qquad\text{(3.4951)}</w:t>
      </w:r>
    </w:p>
    <w:p w:rsidR="00DA3A8D" w:rsidRDefault="00DA3A8D" w:rsidP="00DA3A8D">
      <w:pPr>
        <w:pStyle w:val="StandardWeb"/>
      </w:pPr>
      <w:r>
        <w:t>oder irreversibel:</w:t>
      </w:r>
    </w:p>
    <w:p w:rsidR="00DA3A8D" w:rsidRDefault="00DA3A8D" w:rsidP="00DA3A8D">
      <w:pPr>
        <w:pStyle w:val="StandardWeb"/>
      </w:pPr>
      <w:r>
        <w:t>[</w:t>
      </w:r>
      <w:r>
        <w:br/>
        <w:t>\nexists</w:t>
      </w:r>
      <w:r>
        <w:br/>
        <w:t>T^{-1}.</w:t>
      </w:r>
      <w:r>
        <w:br/>
        <w:t>\tag{3.4952}</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\nexists T^{-1}\qquad\text{(3.4952)}</w:t>
      </w:r>
    </w:p>
    <w:p w:rsidR="00DA3A8D" w:rsidRDefault="00DA3A8D" w:rsidP="00DA3A8D">
      <w:pPr>
        <w:pStyle w:val="StandardWeb"/>
      </w:pPr>
      <w:r>
        <w:t>Primäraxiom III unterscheidet diese Transformationsklassen nicht.</w:t>
      </w:r>
    </w:p>
    <w:p w:rsidR="00DA3A8D" w:rsidRPr="00AF32B2" w:rsidRDefault="00DA3A8D" w:rsidP="00AF32B2">
      <w:pPr>
        <w:pStyle w:val="berschrift4"/>
      </w:pPr>
      <w:r w:rsidRPr="00AF32B2">
        <w:t>3.3.25.11 Modellklasse diskreter FRZK-Systeme</w:t>
      </w:r>
    </w:p>
    <w:p w:rsidR="00DA3A8D" w:rsidRDefault="00DA3A8D" w:rsidP="00DA3A8D">
      <w:pPr>
        <w:pStyle w:val="StandardWeb"/>
      </w:pPr>
      <w:r>
        <w:t>Eine diskrete Modellklasse kann durch folgende Bedingung festgelegt werden:</w:t>
      </w:r>
    </w:p>
    <w:p w:rsidR="00DA3A8D" w:rsidRDefault="00DA3A8D" w:rsidP="00DA3A8D">
      <w:pPr>
        <w:pStyle w:val="StandardWeb"/>
      </w:pPr>
      <w:r>
        <w:t>[</w:t>
      </w:r>
      <w:r>
        <w:br/>
        <w:t>\left|</w:t>
      </w:r>
      <w:r>
        <w:br/>
        <w:t>\mathcal{S}_{\mathrm{el}}</w:t>
      </w:r>
      <w:r>
        <w:br/>
        <w:t>\right|</w:t>
      </w:r>
      <w:r>
        <w:br/>
        <w:t>\leq</w:t>
      </w:r>
      <w:r>
        <w:br/>
        <w:t>\aleph_0.</w:t>
      </w:r>
      <w:r>
        <w:br/>
        <w:t>\tag{3.4953}</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lastRenderedPageBreak/>
        <w:t>\left|\mathcal{S}_{\mathrm{el}}\right|\leq\aleph_0\qquad\text{(3.4953)}</w:t>
      </w:r>
    </w:p>
    <w:p w:rsidR="00DA3A8D" w:rsidRDefault="00DA3A8D" w:rsidP="00DA3A8D">
      <w:pPr>
        <w:pStyle w:val="StandardWeb"/>
      </w:pPr>
      <w:r>
        <w:t>Eine streng endliche Unterklasse erfüllt:</w:t>
      </w:r>
    </w:p>
    <w:p w:rsidR="00DA3A8D" w:rsidRDefault="00DA3A8D" w:rsidP="00DA3A8D">
      <w:pPr>
        <w:pStyle w:val="berschrift1"/>
      </w:pPr>
      <w:r>
        <w:t>[</w:t>
      </w:r>
      <w:r>
        <w:br/>
        <w:t>\left|</w:t>
      </w:r>
      <w:r>
        <w:br/>
        <w:t>\mathcal{S}_{\mathrm{el}}</w:t>
      </w:r>
      <w:r>
        <w:br/>
        <w:t>\right|</w:t>
      </w:r>
    </w:p>
    <w:p w:rsidR="00DA3A8D" w:rsidRDefault="00DA3A8D" w:rsidP="00DA3A8D">
      <w:pPr>
        <w:pStyle w:val="StandardWeb"/>
      </w:pPr>
      <w:r>
        <w:t>n,</w:t>
      </w:r>
      <w:r>
        <w:br/>
        <w:t>\qquad</w:t>
      </w:r>
      <w:r>
        <w:br/>
        <w:t>n</w:t>
      </w:r>
      <w:r>
        <w:br/>
        <w:t>\in</w:t>
      </w:r>
      <w:r>
        <w:br/>
        <w:t>\mathbb{N}.</w:t>
      </w:r>
      <w:r>
        <w:br/>
        <w:t>\tag{3.4954}</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\left|\mathcal{S}_{\mathrm{el}}\right|=n,\qquad n\in\mathbb{N}\qquad\text{(3.4954)}</w:t>
      </w:r>
    </w:p>
    <w:p w:rsidR="00DA3A8D" w:rsidRDefault="00DA3A8D" w:rsidP="00DA3A8D">
      <w:pPr>
        <w:pStyle w:val="StandardWeb"/>
      </w:pPr>
      <w:r>
        <w:t>Die zugehörige Modellklasse lautet:</w:t>
      </w:r>
    </w:p>
    <w:p w:rsidR="00DA3A8D" w:rsidRDefault="00DA3A8D" w:rsidP="00DA3A8D">
      <w:pPr>
        <w:pStyle w:val="berschrift1"/>
      </w:pPr>
      <w:r>
        <w:t>[</w:t>
      </w:r>
      <w:r>
        <w:br/>
        <w:t>\operatorname{Mod}_{F}^{\mathrm{disk}}</w:t>
      </w:r>
    </w:p>
    <w:p w:rsidR="00DA3A8D" w:rsidRDefault="00DA3A8D" w:rsidP="00DA3A8D">
      <w:pPr>
        <w:pStyle w:val="StandardWeb"/>
      </w:pPr>
      <w:r>
        <w:t>\operatorname{Mod}</w:t>
      </w:r>
      <w:r>
        <w:br/>
        <w:t>\left(</w:t>
      </w:r>
      <w:r>
        <w:br/>
        <w:t>\mathcal{A}</w:t>
      </w:r>
      <w:r>
        <w:rPr>
          <w:rStyle w:val="Hervorhebung"/>
        </w:rPr>
        <w:t>{\mathrm{prim}}</w:t>
      </w:r>
      <w:r>
        <w:rPr>
          <w:i/>
          <w:iCs/>
        </w:rPr>
        <w:br/>
      </w:r>
      <w:r>
        <w:rPr>
          <w:rStyle w:val="Hervorhebung"/>
        </w:rPr>
        <w:t>\cup</w:t>
      </w:r>
      <w:r>
        <w:rPr>
          <w:i/>
          <w:iCs/>
        </w:rPr>
        <w:br/>
      </w:r>
      <w:r>
        <w:rPr>
          <w:rStyle w:val="Hervorhebung"/>
        </w:rPr>
        <w:t>\mathcal{B}</w:t>
      </w:r>
      <w:r>
        <w:t>{F}^{\mathrm{disk}}</w:t>
      </w:r>
      <w:r>
        <w:br/>
        <w:t>\right).</w:t>
      </w:r>
      <w:r>
        <w:br/>
        <w:t>\tag{3.4955}</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\operatorname{Mod}_{F}^{\mathrm{disk}}=\operatorname{Mod}\left(\mathcal{A}_{\mathrm{prim}}\cup\mathcal{B}_{F}^{\mathrm{disk}}\right)\qquad\text{(3.4955)}</w:t>
      </w:r>
    </w:p>
    <w:p w:rsidR="00DA3A8D" w:rsidRDefault="00DA3A8D" w:rsidP="00DA3A8D">
      <w:pPr>
        <w:pStyle w:val="StandardWeb"/>
      </w:pPr>
      <w:r>
        <w:t>Diskrete Modelle eignen sich insbesondere für graphenbasierte, kombinatorische und numerisch endliche Untersuchungen [6, 71].</w:t>
      </w:r>
    </w:p>
    <w:p w:rsidR="00DA3A8D" w:rsidRPr="00AF32B2" w:rsidRDefault="00DA3A8D" w:rsidP="00AF32B2">
      <w:pPr>
        <w:pStyle w:val="berschrift4"/>
      </w:pPr>
      <w:r w:rsidRPr="00AF32B2">
        <w:t>3.3.25.12 Modellklasse kontinuierlicher FRZK-Systeme</w:t>
      </w:r>
    </w:p>
    <w:p w:rsidR="00DA3A8D" w:rsidRDefault="00DA3A8D" w:rsidP="00DA3A8D">
      <w:pPr>
        <w:pStyle w:val="StandardWeb"/>
      </w:pPr>
      <w:r>
        <w:lastRenderedPageBreak/>
        <w:t>Eine kontinuierliche Modellklasse kann einen topologischen Zustandsraum voraussetzen:</w:t>
      </w:r>
    </w:p>
    <w:p w:rsidR="00DA3A8D" w:rsidRDefault="00DA3A8D" w:rsidP="00DA3A8D">
      <w:pPr>
        <w:pStyle w:val="StandardWeb"/>
      </w:pPr>
      <w:r>
        <w:t>[</w:t>
      </w:r>
      <w:r>
        <w:br/>
        <w:t>\left(</w:t>
      </w:r>
      <w:r>
        <w:br/>
        <w:t>\mathcal{S}_{\mathrm{el}},</w:t>
      </w:r>
      <w:r>
        <w:br/>
        <w:t>\tau</w:t>
      </w:r>
      <w:r>
        <w:br/>
        <w:t>\right).</w:t>
      </w:r>
      <w:r>
        <w:br/>
        <w:t>\tag{3.4956}</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\left(\mathcal{S}_{\mathrm{el}},\tau\right)\qquad\text{(3.4956)}</w:t>
      </w:r>
    </w:p>
    <w:p w:rsidR="00DA3A8D" w:rsidRDefault="00DA3A8D" w:rsidP="00DA3A8D">
      <w:pPr>
        <w:pStyle w:val="StandardWeb"/>
      </w:pPr>
      <w:r>
        <w:t>Zusätzlich können stetige Transformationen gefordert werden:</w:t>
      </w:r>
    </w:p>
    <w:p w:rsidR="00DA3A8D" w:rsidRDefault="00DA3A8D" w:rsidP="00DA3A8D">
      <w:pPr>
        <w:pStyle w:val="StandardWeb"/>
      </w:pPr>
      <w:r>
        <w:t>[</w:t>
      </w:r>
      <w:r>
        <w:br/>
        <w:t>\forall</w:t>
      </w:r>
      <w:r>
        <w:br/>
        <w:t>T</w:t>
      </w:r>
      <w:r>
        <w:br/>
        <w:t>\in</w:t>
      </w:r>
      <w:r>
        <w:br/>
        <w:t>\mathfrak{T}</w:t>
      </w:r>
      <w:r>
        <w:rPr>
          <w:rStyle w:val="Hervorhebung"/>
        </w:rPr>
        <w:t>{\mathrm{f}}:</w:t>
      </w:r>
      <w:r>
        <w:rPr>
          <w:i/>
          <w:iCs/>
        </w:rPr>
        <w:br/>
      </w:r>
      <w:r>
        <w:rPr>
          <w:rStyle w:val="Hervorhebung"/>
        </w:rPr>
        <w:t>T</w:t>
      </w:r>
      <w:r>
        <w:rPr>
          <w:i/>
          <w:iCs/>
        </w:rPr>
        <w:br/>
      </w:r>
      <w:r>
        <w:rPr>
          <w:rStyle w:val="Hervorhebung"/>
        </w:rPr>
        <w:t>\in</w:t>
      </w:r>
      <w:r>
        <w:rPr>
          <w:i/>
          <w:iCs/>
        </w:rPr>
        <w:br/>
      </w:r>
      <w:r>
        <w:rPr>
          <w:rStyle w:val="Hervorhebung"/>
        </w:rPr>
        <w:t>C</w:t>
      </w:r>
      <w:r>
        <w:rPr>
          <w:i/>
          <w:iCs/>
        </w:rPr>
        <w:br/>
      </w:r>
      <w:r>
        <w:rPr>
          <w:rStyle w:val="Hervorhebung"/>
        </w:rPr>
        <w:t>\left(</w:t>
      </w:r>
      <w:r>
        <w:rPr>
          <w:i/>
          <w:iCs/>
        </w:rPr>
        <w:br/>
      </w:r>
      <w:r>
        <w:rPr>
          <w:rStyle w:val="Hervorhebung"/>
        </w:rPr>
        <w:t>\mathcal{S}</w:t>
      </w:r>
      <w:r>
        <w:t>{\mathrm{el}},</w:t>
      </w:r>
      <w:r>
        <w:br/>
        <w:t>\mathcal{S}_{\mathrm{el}}</w:t>
      </w:r>
      <w:r>
        <w:br/>
        <w:t>\right).</w:t>
      </w:r>
      <w:r>
        <w:br/>
        <w:t>\tag{3.4957}</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\forall T\in\mathfrak{T}_{\mathrm{f}}:T\in C\left(\mathcal{S}_{\mathrm{el}},\mathcal{S}_{\mathrm{el}}\right)\qquad\text{(3.4957)}</w:t>
      </w:r>
    </w:p>
    <w:p w:rsidR="00DA3A8D" w:rsidRDefault="00DA3A8D" w:rsidP="00DA3A8D">
      <w:pPr>
        <w:pStyle w:val="StandardWeb"/>
      </w:pPr>
      <w:r>
        <w:t>Die Modellklasse lautet:</w:t>
      </w:r>
    </w:p>
    <w:p w:rsidR="00DA3A8D" w:rsidRDefault="00DA3A8D" w:rsidP="00DA3A8D">
      <w:pPr>
        <w:pStyle w:val="berschrift1"/>
      </w:pPr>
      <w:r>
        <w:t>[</w:t>
      </w:r>
      <w:r>
        <w:br/>
        <w:t>\operatorname{Mod}_{F}^{\mathrm{kont}}</w:t>
      </w:r>
    </w:p>
    <w:p w:rsidR="00DA3A8D" w:rsidRDefault="00DA3A8D" w:rsidP="00DA3A8D">
      <w:pPr>
        <w:pStyle w:val="StandardWeb"/>
      </w:pPr>
      <w:r>
        <w:t>\operatorname{Mod}</w:t>
      </w:r>
      <w:r>
        <w:br/>
        <w:t>\left(</w:t>
      </w:r>
      <w:r>
        <w:br/>
        <w:t>\mathcal{A}</w:t>
      </w:r>
      <w:r>
        <w:rPr>
          <w:rStyle w:val="Hervorhebung"/>
        </w:rPr>
        <w:t>{\mathrm{prim}}</w:t>
      </w:r>
      <w:r>
        <w:rPr>
          <w:i/>
          <w:iCs/>
        </w:rPr>
        <w:br/>
      </w:r>
      <w:r>
        <w:rPr>
          <w:rStyle w:val="Hervorhebung"/>
        </w:rPr>
        <w:t>\cup</w:t>
      </w:r>
      <w:r>
        <w:rPr>
          <w:i/>
          <w:iCs/>
        </w:rPr>
        <w:br/>
      </w:r>
      <w:r>
        <w:rPr>
          <w:rStyle w:val="Hervorhebung"/>
        </w:rPr>
        <w:t>\mathcal{B}</w:t>
      </w:r>
      <w:r>
        <w:t>{F}^{\mathrm{kont}}</w:t>
      </w:r>
      <w:r>
        <w:br/>
        <w:t>\right).</w:t>
      </w:r>
      <w:r>
        <w:br/>
        <w:t>\tag{3.4958}</w:t>
      </w:r>
      <w:r>
        <w:br/>
        <w:t>]</w:t>
      </w:r>
    </w:p>
    <w:p w:rsidR="00DA3A8D" w:rsidRDefault="00DA3A8D" w:rsidP="00DA3A8D">
      <w:pPr>
        <w:pStyle w:val="StandardWeb"/>
      </w:pPr>
      <w:r>
        <w:rPr>
          <w:rStyle w:val="Fett"/>
        </w:rPr>
        <w:lastRenderedPageBreak/>
        <w:t>Word-LaTeX</w:t>
      </w:r>
    </w:p>
    <w:p w:rsidR="00DA3A8D" w:rsidRDefault="00DA3A8D" w:rsidP="00DA3A8D">
      <w:pPr>
        <w:pStyle w:val="HTMLVorformatiert"/>
        <w:rPr>
          <w:rStyle w:val="HTMLCode"/>
        </w:rPr>
      </w:pPr>
      <w:r>
        <w:rPr>
          <w:rStyle w:val="HTMLCode"/>
        </w:rPr>
        <w:t>\operatorname{Mod}_{F}^{\mathrm{kont}}=\operatorname{Mod}\left(\mathcal{A}_{\mathrm{prim}}\cup\mathcal{B}_{F}^{\mathrm{kont}}\right)\qquad\text{(3.4958)}</w:t>
      </w:r>
    </w:p>
    <w:p w:rsidR="00DA3A8D" w:rsidRDefault="00DA3A8D" w:rsidP="00DA3A8D">
      <w:pPr>
        <w:pStyle w:val="StandardWeb"/>
      </w:pPr>
      <w:r>
        <w:t>Kontinuität ist damit eine Modellbedingung und kein Bestandteil der Primäraxiome [71, 75].</w:t>
      </w:r>
    </w:p>
    <w:p w:rsidR="00DA3A8D" w:rsidRPr="00AF32B2" w:rsidRDefault="00DA3A8D" w:rsidP="00AF32B2">
      <w:pPr>
        <w:pStyle w:val="berschrift4"/>
      </w:pPr>
      <w:r w:rsidRPr="00AF32B2">
        <w:t>3.3.25.13 Modellklasse metrischer FRZK-Systeme</w:t>
      </w:r>
    </w:p>
    <w:p w:rsidR="00DA3A8D" w:rsidRDefault="00DA3A8D" w:rsidP="00DA3A8D">
      <w:pPr>
        <w:pStyle w:val="StandardWeb"/>
      </w:pPr>
      <w:r>
        <w:t>Eine metrische Modellklasse setzt eine Metrik voraus:</w:t>
      </w:r>
    </w:p>
    <w:p w:rsidR="00DA3A8D" w:rsidRDefault="00DA3A8D" w:rsidP="00DA3A8D">
      <w:pPr>
        <w:pStyle w:val="StandardWeb"/>
      </w:pPr>
      <w:r>
        <w:t>[</w:t>
      </w:r>
      <w:r>
        <w:br/>
        <w:t>d:</w:t>
      </w:r>
      <w:r>
        <w:br/>
        <w:t>\mathcal{S}</w:t>
      </w:r>
      <w:r>
        <w:rPr>
          <w:rStyle w:val="Hervorhebung"/>
        </w:rPr>
        <w:t>{\mathrm{el}}</w:t>
      </w:r>
      <w:r>
        <w:rPr>
          <w:i/>
          <w:iCs/>
        </w:rPr>
        <w:br/>
      </w:r>
      <w:r>
        <w:rPr>
          <w:rStyle w:val="Hervorhebung"/>
        </w:rPr>
        <w:t>\times</w:t>
      </w:r>
      <w:r>
        <w:rPr>
          <w:i/>
          <w:iCs/>
        </w:rPr>
        <w:br/>
      </w:r>
      <w:r>
        <w:rPr>
          <w:rStyle w:val="Hervorhebung"/>
        </w:rPr>
        <w:t>\mathcal{S}</w:t>
      </w:r>
      <w:r>
        <w:t>{\mathrm{el}}</w:t>
      </w:r>
      <w:r>
        <w:br/>
        <w:t>\rightarrow</w:t>
      </w:r>
      <w:r>
        <w:br/>
        <w:t>\mathbb{R}_{\geq0}.</w:t>
      </w:r>
      <w:r>
        <w:br/>
        <w:t>\tag{3.4959}</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d:\mathcal{S}_{\mathrm{el}}\times\mathcal{S}_{\mathrm{el}}\rightarrow\mathbb{R}_{\geq0}\qquad\text{(3.4959)}</w:t>
      </w:r>
    </w:p>
    <w:p w:rsidR="00DA3A8D" w:rsidRDefault="00DA3A8D" w:rsidP="00DA3A8D">
      <w:pPr>
        <w:pStyle w:val="StandardWeb"/>
      </w:pPr>
      <w:r>
        <w:t>Die Metrik muss unter anderem erfüllen:</w:t>
      </w:r>
    </w:p>
    <w:p w:rsidR="00DA3A8D" w:rsidRDefault="00DA3A8D" w:rsidP="00DA3A8D">
      <w:pPr>
        <w:pStyle w:val="berschrift1"/>
      </w:pPr>
      <w:r>
        <w:t>[</w:t>
      </w:r>
      <w:r>
        <w:br/>
        <w:t>d(\delta_i,\delta_j)</w:t>
      </w:r>
    </w:p>
    <w:p w:rsidR="00DA3A8D" w:rsidRDefault="00DA3A8D" w:rsidP="00DA3A8D">
      <w:pPr>
        <w:pStyle w:val="berschrift1"/>
      </w:pPr>
      <w:r>
        <w:t>0</w:t>
      </w:r>
      <w:r>
        <w:br/>
        <w:t>\iff</w:t>
      </w:r>
      <w:r>
        <w:br/>
        <w:t>\delta_i</w:t>
      </w:r>
    </w:p>
    <w:p w:rsidR="00DA3A8D" w:rsidRDefault="00DA3A8D" w:rsidP="00DA3A8D">
      <w:pPr>
        <w:pStyle w:val="StandardWeb"/>
      </w:pPr>
      <w:r>
        <w:t>\delta_j,</w:t>
      </w:r>
      <w:r>
        <w:br/>
        <w:t>\tag{3.4960}</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d(\delta_i,\delta_j)=0\iff\delta_i=\delta_j\qquad\text{(3.4960)}</w:t>
      </w:r>
    </w:p>
    <w:p w:rsidR="00DA3A8D" w:rsidRDefault="00DA3A8D" w:rsidP="00DA3A8D">
      <w:pPr>
        <w:pStyle w:val="berschrift1"/>
      </w:pPr>
      <w:r>
        <w:t>[</w:t>
      </w:r>
      <w:r>
        <w:br/>
        <w:t>d(\delta_i,\delta_j)</w:t>
      </w:r>
    </w:p>
    <w:p w:rsidR="00DA3A8D" w:rsidRDefault="00DA3A8D" w:rsidP="00DA3A8D">
      <w:pPr>
        <w:pStyle w:val="StandardWeb"/>
      </w:pPr>
      <w:r>
        <w:lastRenderedPageBreak/>
        <w:t>d(\delta_j,\delta_i),</w:t>
      </w:r>
      <w:r>
        <w:br/>
        <w:t>\tag{3.4961}</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d(\delta_i,\delta_j)=d(\delta_j,\delta_i)\qquad\text{(3.4961)}</w:t>
      </w:r>
    </w:p>
    <w:p w:rsidR="00DA3A8D" w:rsidRDefault="00DA3A8D" w:rsidP="00DA3A8D">
      <w:pPr>
        <w:pStyle w:val="StandardWeb"/>
      </w:pPr>
      <w:r>
        <w:t>und</w:t>
      </w:r>
    </w:p>
    <w:p w:rsidR="00DA3A8D" w:rsidRDefault="00DA3A8D" w:rsidP="00DA3A8D">
      <w:pPr>
        <w:pStyle w:val="StandardWeb"/>
      </w:pPr>
      <w:r>
        <w:t>[</w:t>
      </w:r>
      <w:r>
        <w:br/>
        <w:t>d(\delta_i,\delta_k)</w:t>
      </w:r>
      <w:r>
        <w:br/>
        <w:t>\leq</w:t>
      </w:r>
      <w:r>
        <w:br/>
        <w:t>d(\delta_i,\delta_j)</w:t>
      </w:r>
      <w:r>
        <w:br/>
        <w:t>+</w:t>
      </w:r>
      <w:r>
        <w:br/>
        <w:t>d(\delta_j,\delta_k).</w:t>
      </w:r>
      <w:r>
        <w:br/>
        <w:t>\tag{3.4962}</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d(\delta_i,\delta_k)\leq d(\delta_i,\delta_j)+d(\delta_j,\delta_k)\qquad\text{(3.4962)}</w:t>
      </w:r>
    </w:p>
    <w:p w:rsidR="00DA3A8D" w:rsidRDefault="00DA3A8D" w:rsidP="00DA3A8D">
      <w:pPr>
        <w:pStyle w:val="StandardWeb"/>
      </w:pPr>
      <w:r>
        <w:t>Diese Bedingungen dürfen nicht auf alle FRZK-Modelle übertragen werden, weil die Primäraxiome keine Metrik voraussetzen [6, 75].</w:t>
      </w:r>
    </w:p>
    <w:p w:rsidR="00DA3A8D" w:rsidRPr="00AF32B2" w:rsidRDefault="00DA3A8D" w:rsidP="00AF32B2">
      <w:pPr>
        <w:pStyle w:val="berschrift4"/>
      </w:pPr>
      <w:r w:rsidRPr="00AF32B2">
        <w:t>3.3.25.14 Modellklasse ordnungstheoretischer FRZK-Systeme</w:t>
      </w:r>
    </w:p>
    <w:p w:rsidR="00DA3A8D" w:rsidRDefault="00DA3A8D" w:rsidP="00DA3A8D">
      <w:pPr>
        <w:pStyle w:val="StandardWeb"/>
      </w:pPr>
      <w:r>
        <w:t>Eine ordnungstheoretische Modellklasse besitzt eine Halbordnung:</w:t>
      </w:r>
    </w:p>
    <w:p w:rsidR="00DA3A8D" w:rsidRDefault="00DA3A8D" w:rsidP="00DA3A8D">
      <w:pPr>
        <w:pStyle w:val="StandardWeb"/>
      </w:pPr>
      <w:r>
        <w:t>[</w:t>
      </w:r>
      <w:r>
        <w:br/>
        <w:t>\leq_{F}</w:t>
      </w:r>
      <w:r>
        <w:br/>
        <w:t>\subseteq</w:t>
      </w:r>
      <w:r>
        <w:br/>
        <w:t>\mathcal{Q}</w:t>
      </w:r>
      <w:r>
        <w:rPr>
          <w:rStyle w:val="Hervorhebung"/>
        </w:rPr>
        <w:t>{F}</w:t>
      </w:r>
      <w:r>
        <w:rPr>
          <w:i/>
          <w:iCs/>
        </w:rPr>
        <w:br/>
      </w:r>
      <w:r>
        <w:rPr>
          <w:rStyle w:val="Hervorhebung"/>
        </w:rPr>
        <w:t>\times</w:t>
      </w:r>
      <w:r>
        <w:rPr>
          <w:i/>
          <w:iCs/>
        </w:rPr>
        <w:br/>
      </w:r>
      <w:r>
        <w:rPr>
          <w:rStyle w:val="Hervorhebung"/>
        </w:rPr>
        <w:t>\mathcal{Q}</w:t>
      </w:r>
      <w:r>
        <w:t>{F}.</w:t>
      </w:r>
      <w:r>
        <w:br/>
        <w:t>\tag{3.4963}</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\leq_{F}\subseteq\mathcal{Q}_{F}\times\mathcal{Q}_{F}\qquad\text{(3.4963)}</w:t>
      </w:r>
    </w:p>
    <w:p w:rsidR="00DA3A8D" w:rsidRDefault="00DA3A8D" w:rsidP="00DA3A8D">
      <w:pPr>
        <w:pStyle w:val="StandardWeb"/>
      </w:pPr>
      <w:r>
        <w:t>Sie erfüllt:</w:t>
      </w:r>
    </w:p>
    <w:p w:rsidR="00DA3A8D" w:rsidRDefault="00DA3A8D" w:rsidP="00DA3A8D">
      <w:pPr>
        <w:pStyle w:val="StandardWeb"/>
      </w:pPr>
      <w:r>
        <w:t>[</w:t>
      </w:r>
      <w:r>
        <w:br/>
        <w:t>x</w:t>
      </w:r>
      <w:r>
        <w:br/>
        <w:t>\leq_{F}</w:t>
      </w:r>
      <w:r>
        <w:br/>
        <w:t>x,</w:t>
      </w:r>
      <w:r>
        <w:br/>
        <w:t>\tag{3.4964}</w:t>
      </w:r>
      <w:r>
        <w:br/>
        <w:t>]</w:t>
      </w:r>
    </w:p>
    <w:p w:rsidR="00DA3A8D" w:rsidRDefault="00DA3A8D" w:rsidP="00DA3A8D">
      <w:pPr>
        <w:pStyle w:val="StandardWeb"/>
      </w:pPr>
      <w:r>
        <w:rPr>
          <w:rStyle w:val="Fett"/>
        </w:rPr>
        <w:lastRenderedPageBreak/>
        <w:t>Word-LaTeX</w:t>
      </w:r>
    </w:p>
    <w:p w:rsidR="00DA3A8D" w:rsidRDefault="00DA3A8D" w:rsidP="00DA3A8D">
      <w:pPr>
        <w:pStyle w:val="HTMLVorformatiert"/>
        <w:rPr>
          <w:rStyle w:val="HTMLCode"/>
        </w:rPr>
      </w:pPr>
      <w:r>
        <w:rPr>
          <w:rStyle w:val="HTMLCode"/>
        </w:rPr>
        <w:t>x\leq_{F}x\qquad\text{(3.4964)}</w:t>
      </w:r>
    </w:p>
    <w:p w:rsidR="00DA3A8D" w:rsidRDefault="00DA3A8D" w:rsidP="00DA3A8D">
      <w:pPr>
        <w:pStyle w:val="berschrift1"/>
      </w:pPr>
      <w:r>
        <w:t>[</w:t>
      </w:r>
      <w:r>
        <w:br/>
        <w:t>x</w:t>
      </w:r>
      <w:r>
        <w:br/>
        <w:t>\leq_{F}</w:t>
      </w:r>
      <w:r>
        <w:br/>
        <w:t>y</w:t>
      </w:r>
      <w:r>
        <w:br/>
        <w:t>\land</w:t>
      </w:r>
      <w:r>
        <w:br/>
        <w:t>y</w:t>
      </w:r>
      <w:r>
        <w:br/>
        <w:t>\leq_{F}</w:t>
      </w:r>
      <w:r>
        <w:br/>
        <w:t>x</w:t>
      </w:r>
      <w:r>
        <w:br/>
        <w:t>\Rightarrow</w:t>
      </w:r>
      <w:r>
        <w:br/>
        <w:t>x</w:t>
      </w:r>
    </w:p>
    <w:p w:rsidR="00DA3A8D" w:rsidRDefault="00DA3A8D" w:rsidP="00DA3A8D">
      <w:pPr>
        <w:pStyle w:val="StandardWeb"/>
      </w:pPr>
      <w:r>
        <w:t>y,</w:t>
      </w:r>
      <w:r>
        <w:br/>
        <w:t>\tag{3.4965}</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x\leq_{F}y\land y\leq_{F}x\Rightarrow x=y\qquad\text{(3.4965)}</w:t>
      </w:r>
    </w:p>
    <w:p w:rsidR="00DA3A8D" w:rsidRDefault="00DA3A8D" w:rsidP="00DA3A8D">
      <w:pPr>
        <w:pStyle w:val="StandardWeb"/>
      </w:pPr>
      <w:r>
        <w:t>und</w:t>
      </w:r>
    </w:p>
    <w:p w:rsidR="00DA3A8D" w:rsidRDefault="00DA3A8D" w:rsidP="00DA3A8D">
      <w:pPr>
        <w:pStyle w:val="StandardWeb"/>
      </w:pPr>
      <w:r>
        <w:t>[</w:t>
      </w:r>
      <w:r>
        <w:br/>
        <w:t>x</w:t>
      </w:r>
      <w:r>
        <w:br/>
        <w:t>\leq_{F}</w:t>
      </w:r>
      <w:r>
        <w:br/>
        <w:t>y</w:t>
      </w:r>
      <w:r>
        <w:br/>
        <w:t>\land</w:t>
      </w:r>
      <w:r>
        <w:br/>
        <w:t>y</w:t>
      </w:r>
      <w:r>
        <w:br/>
        <w:t>\leq_{F}</w:t>
      </w:r>
      <w:r>
        <w:br/>
        <w:t>z</w:t>
      </w:r>
      <w:r>
        <w:br/>
        <w:t>\Rightarrow</w:t>
      </w:r>
      <w:r>
        <w:br/>
        <w:t>x</w:t>
      </w:r>
      <w:r>
        <w:br/>
        <w:t>\leq_{F}</w:t>
      </w:r>
      <w:r>
        <w:br/>
        <w:t>z.</w:t>
      </w:r>
      <w:r>
        <w:br/>
        <w:t>\tag{3.4966}</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x\leq_{F}y\land y\leq_{F}z\Rightarrow x\leq_{F}z\qquad\text{(3.4966)}</w:t>
      </w:r>
    </w:p>
    <w:p w:rsidR="00DA3A8D" w:rsidRDefault="00DA3A8D" w:rsidP="00DA3A8D">
      <w:pPr>
        <w:pStyle w:val="StandardWeb"/>
      </w:pPr>
      <w:r>
        <w:lastRenderedPageBreak/>
        <w:t>Die funktionale Zeit kann anschließend als ordnungsverträgliche Bewertung eingeführt werden.</w:t>
      </w:r>
    </w:p>
    <w:p w:rsidR="00DA3A8D" w:rsidRPr="00AF32B2" w:rsidRDefault="00DA3A8D" w:rsidP="00AF32B2">
      <w:pPr>
        <w:pStyle w:val="berschrift4"/>
      </w:pPr>
      <w:r w:rsidRPr="00AF32B2">
        <w:t>3.3.25.15 Interpretationsabbildung</w:t>
      </w:r>
    </w:p>
    <w:p w:rsidR="00DA3A8D" w:rsidRDefault="00DA3A8D" w:rsidP="00DA3A8D">
      <w:pPr>
        <w:pStyle w:val="StandardWeb"/>
      </w:pPr>
      <w:r>
        <w:t>Eine Interpretation verbindet formale FRZK-Objekte mit einem Anwendungs- oder Bedeutungsbereich.</w:t>
      </w:r>
    </w:p>
    <w:p w:rsidR="00DA3A8D" w:rsidRDefault="00DA3A8D" w:rsidP="00DA3A8D">
      <w:pPr>
        <w:pStyle w:val="StandardWeb"/>
      </w:pPr>
      <w:r>
        <w:t>Eine Interpretationsabbildung lautet:</w:t>
      </w:r>
    </w:p>
    <w:p w:rsidR="00DA3A8D" w:rsidRDefault="00DA3A8D" w:rsidP="00DA3A8D">
      <w:pPr>
        <w:pStyle w:val="StandardWeb"/>
      </w:pPr>
      <w:r>
        <w:t>[</w:t>
      </w:r>
      <w:r>
        <w:br/>
        <w:t>\mathcal{I}^{(\mu)}:</w:t>
      </w:r>
      <w:r>
        <w:br/>
        <w:t>\mathfrak{U}_{F}^{(\mu)}</w:t>
      </w:r>
      <w:r>
        <w:br/>
        <w:t>\rightarrow</w:t>
      </w:r>
      <w:r>
        <w:br/>
        <w:t>\mathfrak{B}^{(\mu)}.</w:t>
      </w:r>
      <w:r>
        <w:br/>
        <w:t>\tag{3.4967}</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\mathcal{I}^{(\mu)}:\mathfrak{U}_{F}^{(\mu)}\rightarrow\mathfrak{B}^{(\mu)}\qquad\text{(3.4967)}</w:t>
      </w:r>
    </w:p>
    <w:p w:rsidR="00DA3A8D" w:rsidRDefault="00DA3A8D" w:rsidP="00DA3A8D">
      <w:pPr>
        <w:pStyle w:val="StandardWeb"/>
      </w:pPr>
      <w:r>
        <w:t>Dabei bezeichnet (\mathfrak{B}^{(\mu)}) den jeweiligen Bedeutungs- oder Anwendungsbereich.</w:t>
      </w:r>
    </w:p>
    <w:p w:rsidR="00DA3A8D" w:rsidRDefault="00DA3A8D" w:rsidP="00DA3A8D">
      <w:pPr>
        <w:pStyle w:val="StandardWeb"/>
      </w:pPr>
      <w:r>
        <w:t>Ein formaler Zustand kann beispielsweise interpretiert werden als:</w:t>
      </w:r>
    </w:p>
    <w:p w:rsidR="00DA3A8D" w:rsidRDefault="00DA3A8D" w:rsidP="00DA3A8D">
      <w:pPr>
        <w:pStyle w:val="berschrift1"/>
      </w:pPr>
      <w:r>
        <w:t>[</w:t>
      </w:r>
      <w:r>
        <w:br/>
        <w:t>\mathcal{I}^{(\mu)}(\delta)</w:t>
      </w:r>
    </w:p>
    <w:p w:rsidR="00DA3A8D" w:rsidRDefault="00DA3A8D" w:rsidP="00DA3A8D">
      <w:pPr>
        <w:pStyle w:val="StandardWeb"/>
      </w:pPr>
      <w:r>
        <w:t>b_{\delta}^{(\mu)}.</w:t>
      </w:r>
      <w:r>
        <w:br/>
        <w:t>\tag{3.4968}</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\mathcal{I}^{(\mu)}(\delta)=b_{\delta}^{(\mu)}\qquad\text{(3.4968)}</w:t>
      </w:r>
    </w:p>
    <w:p w:rsidR="00DA3A8D" w:rsidRDefault="00DA3A8D" w:rsidP="00DA3A8D">
      <w:pPr>
        <w:pStyle w:val="StandardWeb"/>
      </w:pPr>
      <w:r>
        <w:t>Die Interpretation verändert den formalen Typ von (\delta) nicht.</w:t>
      </w:r>
    </w:p>
    <w:p w:rsidR="00DA3A8D" w:rsidRPr="00AF32B2" w:rsidRDefault="00DA3A8D" w:rsidP="00AF32B2">
      <w:pPr>
        <w:pStyle w:val="berschrift4"/>
      </w:pPr>
      <w:r w:rsidRPr="00AF32B2">
        <w:t>3.3.25.16 Interpretationsfreiheit</w:t>
      </w:r>
    </w:p>
    <w:p w:rsidR="00DA3A8D" w:rsidRDefault="00DA3A8D" w:rsidP="00DA3A8D">
      <w:pPr>
        <w:pStyle w:val="StandardWeb"/>
      </w:pPr>
      <w:r>
        <w:t>Zwei Interpretationen derselben formalen Struktur können verschieden sein:</w:t>
      </w:r>
    </w:p>
    <w:p w:rsidR="00DA3A8D" w:rsidRDefault="00DA3A8D" w:rsidP="00DA3A8D">
      <w:pPr>
        <w:pStyle w:val="StandardWeb"/>
      </w:pPr>
      <w:r>
        <w:t>[</w:t>
      </w:r>
      <w:r>
        <w:br/>
        <w:t>\mathcal{I}^{(\mu)}</w:t>
      </w:r>
      <w:r>
        <w:br/>
        <w:t>\neq</w:t>
      </w:r>
      <w:r>
        <w:br/>
        <w:t>\mathcal{I}^{(\nu)}.</w:t>
      </w:r>
      <w:r>
        <w:br/>
      </w:r>
      <w:r>
        <w:lastRenderedPageBreak/>
        <w:t>\tag{3.4969}</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\mathcal{I}^{(\mu)}\neq\mathcal{I}^{(\nu)}\qquad\text{(3.4969)}</w:t>
      </w:r>
    </w:p>
    <w:p w:rsidR="00DA3A8D" w:rsidRDefault="00DA3A8D" w:rsidP="00DA3A8D">
      <w:pPr>
        <w:pStyle w:val="StandardWeb"/>
      </w:pPr>
      <w:r>
        <w:t>Dabei kann dieselbe formale Relation unterschiedliche Bedeutungen erhalten:</w:t>
      </w:r>
    </w:p>
    <w:p w:rsidR="00DA3A8D" w:rsidRDefault="00DA3A8D" w:rsidP="00DA3A8D">
      <w:pPr>
        <w:pStyle w:val="StandardWeb"/>
      </w:pPr>
      <w:r>
        <w:t>[</w:t>
      </w:r>
      <w:r>
        <w:br/>
        <w:t>\mathcal{I}^{(\mu)}(R)</w:t>
      </w:r>
      <w:r>
        <w:br/>
        <w:t>\neq</w:t>
      </w:r>
      <w:r>
        <w:br/>
        <w:t>\mathcal{I}^{(\nu)}(R).</w:t>
      </w:r>
      <w:r>
        <w:br/>
        <w:t>\tag{3.4970}</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\mathcal{I}^{(\mu)}(R)\neq\mathcal{I}^{(\nu)}(R)\qquad\text{(3.4970)}</w:t>
      </w:r>
    </w:p>
    <w:p w:rsidR="00DA3A8D" w:rsidRDefault="00DA3A8D" w:rsidP="00DA3A8D">
      <w:pPr>
        <w:pStyle w:val="StandardWeb"/>
      </w:pPr>
      <w:r>
        <w:t>Eine Relation kann beispielsweise als Erreichbarkeit, Abhängigkeit, Nachbarschaft, Kausalbezug oder Informationsverbindung interpretiert werden. Diese Interpretationen sind nicht allein durch die mengentheoretische Relationsstruktur festgelegt [58, 59].</w:t>
      </w:r>
    </w:p>
    <w:p w:rsidR="00DA3A8D" w:rsidRDefault="00DA3A8D" w:rsidP="00DA3A8D">
      <w:pPr>
        <w:pStyle w:val="StandardWeb"/>
      </w:pPr>
      <w:r>
        <w:rPr>
          <w:rStyle w:val="Fett"/>
        </w:rPr>
        <w:t>Eigenleistung des FRZK</w:t>
      </w:r>
    </w:p>
    <w:p w:rsidR="00DA3A8D" w:rsidRDefault="00DA3A8D" w:rsidP="00DA3A8D">
      <w:pPr>
        <w:pStyle w:val="StandardWeb"/>
      </w:pPr>
      <w:r>
        <w:t>Ich behandle die physikalische, technische oder empirische Bedeutung eines formalen Objekts als zusätzliche Interpretationsschicht. Dadurch bleibt die mathematische Struktur von ihrer jeweiligen Anwendung getrennt.</w:t>
      </w:r>
    </w:p>
    <w:p w:rsidR="00DA3A8D" w:rsidRPr="00AF32B2" w:rsidRDefault="00DA3A8D" w:rsidP="00AF32B2">
      <w:pPr>
        <w:pStyle w:val="berschrift4"/>
      </w:pPr>
      <w:r w:rsidRPr="00AF32B2">
        <w:t>3.3.25.17 Strukturerhaltung einer Interpretation</w:t>
      </w:r>
    </w:p>
    <w:p w:rsidR="00DA3A8D" w:rsidRDefault="00DA3A8D" w:rsidP="00DA3A8D">
      <w:pPr>
        <w:pStyle w:val="StandardWeb"/>
      </w:pPr>
      <w:r>
        <w:t>Eine wissenschaftlich zulässige Interpretation muss die für sie relevanten formalen Beziehungen erhalten.</w:t>
      </w:r>
    </w:p>
    <w:p w:rsidR="00DA3A8D" w:rsidRDefault="00DA3A8D" w:rsidP="00DA3A8D">
      <w:pPr>
        <w:pStyle w:val="StandardWeb"/>
      </w:pPr>
      <w:r>
        <w:t>Für eine Relation kann gefordert werden:</w:t>
      </w:r>
    </w:p>
    <w:p w:rsidR="00DA3A8D" w:rsidRDefault="00DA3A8D" w:rsidP="00DA3A8D">
      <w:pPr>
        <w:pStyle w:val="StandardWeb"/>
      </w:pPr>
      <w:r>
        <w:t>[</w:t>
      </w:r>
      <w:r>
        <w:br/>
        <w:t>(\delta_i,\delta_j)</w:t>
      </w:r>
      <w:r>
        <w:br/>
        <w:t>\in</w:t>
      </w:r>
      <w:r>
        <w:br/>
        <w:t>R</w:t>
      </w:r>
      <w:r>
        <w:br/>
        <w:t>\Rightarrow</w:t>
      </w:r>
      <w:r>
        <w:br/>
        <w:t>\left(</w:t>
      </w:r>
      <w:r>
        <w:br/>
        <w:t>\mathcal{I}(\delta_i),</w:t>
      </w:r>
      <w:r>
        <w:br/>
        <w:t>\mathcal{I}(\delta_j)</w:t>
      </w:r>
      <w:r>
        <w:br/>
        <w:t>\right)</w:t>
      </w:r>
      <w:r>
        <w:br/>
        <w:t>\in</w:t>
      </w:r>
      <w:r>
        <w:br/>
        <w:t>R_{\mathcal{I}}.</w:t>
      </w:r>
      <w:r>
        <w:br/>
        <w:t>\tag{3.4971}</w:t>
      </w:r>
      <w:r>
        <w:br/>
        <w:t>]</w:t>
      </w:r>
    </w:p>
    <w:p w:rsidR="00DA3A8D" w:rsidRDefault="00DA3A8D" w:rsidP="00DA3A8D">
      <w:pPr>
        <w:pStyle w:val="StandardWeb"/>
      </w:pPr>
      <w:r>
        <w:rPr>
          <w:rStyle w:val="Fett"/>
        </w:rPr>
        <w:lastRenderedPageBreak/>
        <w:t>Word-LaTeX</w:t>
      </w:r>
    </w:p>
    <w:p w:rsidR="00DA3A8D" w:rsidRDefault="00DA3A8D" w:rsidP="00DA3A8D">
      <w:pPr>
        <w:pStyle w:val="HTMLVorformatiert"/>
        <w:rPr>
          <w:rStyle w:val="HTMLCode"/>
        </w:rPr>
      </w:pPr>
      <w:r>
        <w:rPr>
          <w:rStyle w:val="HTMLCode"/>
        </w:rPr>
        <w:t>(\delta_i,\delta_j)\in R\Rightarrow\left(\mathcal{I}(\delta_i),\mathcal{I}(\delta_j)\right)\in R_{\mathcal{I}}\qquad\text{(3.4971)}</w:t>
      </w:r>
    </w:p>
    <w:p w:rsidR="00DA3A8D" w:rsidRDefault="00DA3A8D" w:rsidP="00DA3A8D">
      <w:pPr>
        <w:pStyle w:val="StandardWeb"/>
      </w:pPr>
      <w:r>
        <w:t>Für Transformationen kann gefordert werden:</w:t>
      </w:r>
    </w:p>
    <w:p w:rsidR="00DA3A8D" w:rsidRDefault="00DA3A8D" w:rsidP="00DA3A8D">
      <w:pPr>
        <w:pStyle w:val="berschrift1"/>
      </w:pPr>
      <w:r>
        <w:t>[</w:t>
      </w:r>
      <w:r>
        <w:br/>
        <w:t>\mathcal{I}</w:t>
      </w:r>
      <w:r>
        <w:br/>
        <w:t>\left(</w:t>
      </w:r>
      <w:r>
        <w:br/>
        <w:t>T(\delta)</w:t>
      </w:r>
      <w:r>
        <w:br/>
        <w:t>\right)</w:t>
      </w:r>
    </w:p>
    <w:p w:rsidR="00DA3A8D" w:rsidRDefault="00DA3A8D" w:rsidP="00DA3A8D">
      <w:pPr>
        <w:pStyle w:val="StandardWeb"/>
      </w:pPr>
      <w:r>
        <w:t>T_{\mathcal{I}}</w:t>
      </w:r>
      <w:r>
        <w:br/>
        <w:t>\left(</w:t>
      </w:r>
      <w:r>
        <w:br/>
        <w:t>\mathcal{I}(\delta)</w:t>
      </w:r>
      <w:r>
        <w:br/>
        <w:t>\right).</w:t>
      </w:r>
      <w:r>
        <w:br/>
        <w:t>\tag{3.4972}</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\mathcal{I}\left(T(\delta)\right)=T_{\mathcal{I}}\left(\mathcal{I}(\delta)\right)\qquad\text{(3.4972)}</w:t>
      </w:r>
    </w:p>
    <w:p w:rsidR="00DA3A8D" w:rsidRDefault="00DA3A8D" w:rsidP="00DA3A8D">
      <w:pPr>
        <w:pStyle w:val="StandardWeb"/>
      </w:pPr>
      <w:r>
        <w:t>Gleichung (3.4972) beschreibt eine kommutierende Interpretationsbedingung.</w:t>
      </w:r>
    </w:p>
    <w:p w:rsidR="00DA3A8D" w:rsidRDefault="00DA3A8D" w:rsidP="00DA3A8D">
      <w:pPr>
        <w:pStyle w:val="StandardWeb"/>
      </w:pPr>
      <w:r>
        <w:t>Sie kann auch als Diagrammbedingung geschrieben werden:</w:t>
      </w:r>
    </w:p>
    <w:p w:rsidR="00DA3A8D" w:rsidRDefault="00DA3A8D" w:rsidP="00DA3A8D">
      <w:pPr>
        <w:pStyle w:val="berschrift1"/>
      </w:pPr>
      <w:r>
        <w:t>[</w:t>
      </w:r>
      <w:r>
        <w:br/>
        <w:t>\mathcal{I}</w:t>
      </w:r>
      <w:r>
        <w:br/>
        <w:t>\circ</w:t>
      </w:r>
      <w:r>
        <w:br/>
        <w:t>T</w:t>
      </w:r>
    </w:p>
    <w:p w:rsidR="00DA3A8D" w:rsidRDefault="00DA3A8D" w:rsidP="00DA3A8D">
      <w:pPr>
        <w:pStyle w:val="StandardWeb"/>
      </w:pPr>
      <w:r>
        <w:t>T_{\mathcal{I}}</w:t>
      </w:r>
      <w:r>
        <w:br/>
        <w:t>\circ</w:t>
      </w:r>
      <w:r>
        <w:br/>
        <w:t>\mathcal{I}.</w:t>
      </w:r>
      <w:r>
        <w:br/>
        <w:t>\tag{3.4973}</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\mathcal{I}\circ T=T_{\mathcal{I}}\circ\mathcal{I}\qquad\text{(3.4973)}</w:t>
      </w:r>
    </w:p>
    <w:p w:rsidR="00DA3A8D" w:rsidRDefault="00DA3A8D" w:rsidP="00DA3A8D">
      <w:pPr>
        <w:pStyle w:val="StandardWeb"/>
      </w:pPr>
      <w:r>
        <w:lastRenderedPageBreak/>
        <w:t>Eine Interpretation, die die zentralen Strukturen nicht erhält, ist keine strukturgerechte Interpretation des betreffenden FRZK-Modells.</w:t>
      </w:r>
    </w:p>
    <w:p w:rsidR="00DA3A8D" w:rsidRPr="00AF32B2" w:rsidRDefault="00DA3A8D" w:rsidP="00AF32B2">
      <w:pPr>
        <w:pStyle w:val="berschrift4"/>
      </w:pPr>
      <w:r w:rsidRPr="00AF32B2">
        <w:t>3.3.25.18 Physikalische Interpretation</w:t>
      </w:r>
    </w:p>
    <w:p w:rsidR="00DA3A8D" w:rsidRDefault="00DA3A8D" w:rsidP="00DA3A8D">
      <w:pPr>
        <w:pStyle w:val="StandardWeb"/>
      </w:pPr>
      <w:r>
        <w:t>Eine physikalische Interpretation ist eine spezielle Interpretationsabbildung:</w:t>
      </w:r>
    </w:p>
    <w:p w:rsidR="00DA3A8D" w:rsidRDefault="00DA3A8D" w:rsidP="00DA3A8D">
      <w:pPr>
        <w:pStyle w:val="StandardWeb"/>
      </w:pPr>
      <w:r>
        <w:t>[</w:t>
      </w:r>
      <w:r>
        <w:br/>
        <w:t>\mathcal{I}</w:t>
      </w:r>
      <w:r>
        <w:rPr>
          <w:rStyle w:val="Hervorhebung"/>
        </w:rPr>
        <w:t>{\mathrm{phys}}:</w:t>
      </w:r>
      <w:r>
        <w:rPr>
          <w:i/>
          <w:iCs/>
        </w:rPr>
        <w:br/>
      </w:r>
      <w:r>
        <w:rPr>
          <w:rStyle w:val="Hervorhebung"/>
        </w:rPr>
        <w:t>\mathfrak{U}</w:t>
      </w:r>
      <w:r>
        <w:t>{F}</w:t>
      </w:r>
      <w:r>
        <w:br/>
        <w:t>\rightarrow</w:t>
      </w:r>
      <w:r>
        <w:br/>
        <w:t>\mathfrak{B}_{\mathrm{phys}}.</w:t>
      </w:r>
      <w:r>
        <w:br/>
        <w:t>\tag{3.4974}</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\mathcal{I}_{\mathrm{phys}}:\mathfrak{U}_{F}\rightarrow\mathfrak{B}_{\mathrm{phys}}\qquad\text{(3.4974)}</w:t>
      </w:r>
    </w:p>
    <w:p w:rsidR="00DA3A8D" w:rsidRDefault="00DA3A8D" w:rsidP="00DA3A8D">
      <w:pPr>
        <w:pStyle w:val="StandardWeb"/>
      </w:pPr>
      <w:r>
        <w:t>Sie muss zusätzlich mit Beobachtungs- und Kalibrierungsabbildungen verbunden werden:</w:t>
      </w:r>
    </w:p>
    <w:p w:rsidR="00DA3A8D" w:rsidRDefault="00DA3A8D" w:rsidP="00DA3A8D">
      <w:pPr>
        <w:pStyle w:val="StandardWeb"/>
      </w:pPr>
      <w:r>
        <w:t>[</w:t>
      </w:r>
      <w:r>
        <w:br/>
        <w:t>\mathcal{D}</w:t>
      </w:r>
      <w:r>
        <w:rPr>
          <w:rStyle w:val="Hervorhebung"/>
        </w:rPr>
        <w:t>{\mathrm{emp}}</w:t>
      </w:r>
      <w:r>
        <w:rPr>
          <w:i/>
          <w:iCs/>
        </w:rPr>
        <w:br/>
      </w:r>
      <w:r>
        <w:rPr>
          <w:rStyle w:val="Hervorhebung"/>
        </w:rPr>
        <w:t>\overset{\mathcal{O}</w:t>
      </w:r>
      <w:r>
        <w:t>{F}}{\longrightarrow}</w:t>
      </w:r>
      <w:r>
        <w:br/>
        <w:t>\mathfrak{U}</w:t>
      </w:r>
      <w:r>
        <w:rPr>
          <w:rStyle w:val="Hervorhebung"/>
        </w:rPr>
        <w:t>{F}</w:t>
      </w:r>
      <w:r>
        <w:rPr>
          <w:i/>
          <w:iCs/>
        </w:rPr>
        <w:br/>
      </w:r>
      <w:r>
        <w:rPr>
          <w:rStyle w:val="Hervorhebung"/>
        </w:rPr>
        <w:t>\overset{\mathcal{I}</w:t>
      </w:r>
      <w:r>
        <w:t>{\mathrm{phys}}}{\longrightarrow}</w:t>
      </w:r>
      <w:r>
        <w:br/>
        <w:t>\mathfrak{B}_{\mathrm{phys}}.</w:t>
      </w:r>
      <w:r>
        <w:br/>
        <w:t>\tag{3.4975}</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\mathcal{D}_{\mathrm{emp}}\overset{\mathcal{O}_{F}}{\longrightarrow}\mathfrak{U}_{F}\overset{\mathcal{I}_{\mathrm{phys}}}{\longrightarrow}\mathfrak{B}_{\mathrm{phys}}\qquad\text{(3.4975)}</w:t>
      </w:r>
    </w:p>
    <w:p w:rsidR="00DA3A8D" w:rsidRDefault="00DA3A8D" w:rsidP="00DA3A8D">
      <w:pPr>
        <w:pStyle w:val="StandardWeb"/>
      </w:pPr>
      <w:r>
        <w:t>Die mathematische Existenz einer FRZK-Struktur beweist nicht automatisch ihre physikalische Realisierung [58, 59].</w:t>
      </w:r>
    </w:p>
    <w:p w:rsidR="00DA3A8D" w:rsidRDefault="00DA3A8D" w:rsidP="00DA3A8D">
      <w:pPr>
        <w:pStyle w:val="StandardWeb"/>
      </w:pPr>
      <w:r>
        <w:t>Daher gilt nicht allgemein:</w:t>
      </w:r>
    </w:p>
    <w:p w:rsidR="00DA3A8D" w:rsidRDefault="00DA3A8D" w:rsidP="00DA3A8D">
      <w:pPr>
        <w:pStyle w:val="StandardWeb"/>
      </w:pPr>
      <w:r>
        <w:t>[</w:t>
      </w:r>
      <w:r>
        <w:br/>
        <w:t>\mathcal{M}</w:t>
      </w:r>
      <w:r>
        <w:br/>
        <w:t>\in</w:t>
      </w:r>
      <w:r>
        <w:br/>
        <w:t>\operatorname{Mod}</w:t>
      </w:r>
      <w:r>
        <w:br/>
        <w:t>\left(</w:t>
      </w:r>
      <w:r>
        <w:br/>
        <w:t>\mathcal{A}_{\mathrm{prim}}</w:t>
      </w:r>
      <w:r>
        <w:br/>
        <w:t>\right)</w:t>
      </w:r>
      <w:r>
        <w:br/>
        <w:t>\Rightarrow</w:t>
      </w:r>
      <w:r>
        <w:br/>
        <w:t>\mathcal{M}</w:t>
      </w:r>
      <w:r>
        <w:br/>
        <w:t>\text{ ist physikalisch realisiert}.</w:t>
      </w:r>
      <w:r>
        <w:br/>
      </w:r>
      <w:r>
        <w:lastRenderedPageBreak/>
        <w:t>\tag{3.4976}</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\mathcal{M}\in\operatorname{Mod}\left(\mathcal{A}_{\mathrm{prim}}\right)\Rightarrow\mathcal{M}\text{ ist physikalisch realisiert}\qquad\text{(3.4976)}</w:t>
      </w:r>
    </w:p>
    <w:p w:rsidR="00DA3A8D" w:rsidRPr="00AF32B2" w:rsidRDefault="00DA3A8D" w:rsidP="00AF32B2">
      <w:pPr>
        <w:pStyle w:val="berschrift4"/>
      </w:pPr>
      <w:r w:rsidRPr="00AF32B2">
        <w:t>3.3.25.19 Empirische Admissibilität</w:t>
      </w:r>
    </w:p>
    <w:p w:rsidR="00DA3A8D" w:rsidRDefault="00DA3A8D" w:rsidP="00DA3A8D">
      <w:pPr>
        <w:pStyle w:val="StandardWeb"/>
      </w:pPr>
      <w:r>
        <w:t>Eine Modellinstanz heißt empirisch admissibel, wenn ihre Vorhersagen innerhalb festgelegter Kriterien mit den Beobachtungen vereinbar sind.</w:t>
      </w:r>
    </w:p>
    <w:p w:rsidR="00DA3A8D" w:rsidRDefault="00DA3A8D" w:rsidP="00DA3A8D">
      <w:pPr>
        <w:pStyle w:val="StandardWeb"/>
      </w:pPr>
      <w:r>
        <w:t>Das Admissibilitätsprädikat lautet:</w:t>
      </w:r>
    </w:p>
    <w:p w:rsidR="00DA3A8D" w:rsidRDefault="00DA3A8D" w:rsidP="00DA3A8D">
      <w:pPr>
        <w:pStyle w:val="StandardWeb"/>
      </w:pPr>
      <w:r>
        <w:t>[</w:t>
      </w:r>
      <w:r>
        <w:br/>
        <w:t>\operatorname{Adm}</w:t>
      </w:r>
      <w:r>
        <w:rPr>
          <w:rStyle w:val="Hervorhebung"/>
        </w:rPr>
        <w:t>{\mathrm{emp}}:</w:t>
      </w:r>
      <w:r>
        <w:rPr>
          <w:i/>
          <w:iCs/>
        </w:rPr>
        <w:br/>
      </w:r>
      <w:r>
        <w:rPr>
          <w:rStyle w:val="Hervorhebung"/>
        </w:rPr>
        <w:t>\operatorname{Mod}</w:t>
      </w:r>
      <w:r>
        <w:t>{F}^{(\mu)}</w:t>
      </w:r>
      <w:r>
        <w:br/>
        <w:t>\rightarrow</w:t>
      </w:r>
      <w:r>
        <w:br/>
        <w:t>{0,1}.</w:t>
      </w:r>
      <w:r>
        <w:br/>
        <w:t>\tag{3.4977}</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\operatorname{Adm}_{\mathrm{emp}}:\operatorname{Mod}_{F}^{(\mu)}\rightarrow\{0,1\}\qquad\text{(3.4977)}</w:t>
      </w:r>
    </w:p>
    <w:p w:rsidR="00DA3A8D" w:rsidRDefault="00DA3A8D" w:rsidP="00DA3A8D">
      <w:pPr>
        <w:pStyle w:val="StandardWeb"/>
      </w:pPr>
      <w:r>
        <w:t>Für eine empirisch zulässige Modellinstanz gilt:</w:t>
      </w:r>
    </w:p>
    <w:p w:rsidR="00DA3A8D" w:rsidRDefault="00DA3A8D" w:rsidP="00DA3A8D">
      <w:pPr>
        <w:pStyle w:val="berschrift1"/>
      </w:pPr>
      <w:r>
        <w:t>[</w:t>
      </w:r>
      <w:r>
        <w:br/>
        <w:t>\operatorname{Adm}</w:t>
      </w:r>
      <w:r>
        <w:rPr>
          <w:rStyle w:val="Hervorhebung"/>
        </w:rPr>
        <w:t>{\mathrm{emp}}</w:t>
      </w:r>
      <w:r>
        <w:rPr>
          <w:i/>
          <w:iCs/>
        </w:rPr>
        <w:br/>
      </w:r>
      <w:r>
        <w:rPr>
          <w:rStyle w:val="Hervorhebung"/>
        </w:rPr>
        <w:t>\left(</w:t>
      </w:r>
      <w:r>
        <w:rPr>
          <w:i/>
          <w:iCs/>
        </w:rPr>
        <w:br/>
      </w:r>
      <w:r>
        <w:rPr>
          <w:rStyle w:val="Hervorhebung"/>
        </w:rPr>
        <w:t>\mathcal{M}^{(\mu)}</w:t>
      </w:r>
      <w:r>
        <w:t>{\alpha}</w:t>
      </w:r>
      <w:r>
        <w:br/>
        <w:t>\right)</w:t>
      </w:r>
    </w:p>
    <w:p w:rsidR="00DA3A8D" w:rsidRDefault="00DA3A8D" w:rsidP="00632D23">
      <w:pPr>
        <w:numPr>
          <w:ilvl w:val="0"/>
          <w:numId w:val="134"/>
        </w:numPr>
        <w:spacing w:before="100" w:beforeAutospacing="1" w:after="100" w:afterAutospacing="1"/>
      </w:pPr>
    </w:p>
    <w:p w:rsidR="00DA3A8D" w:rsidRDefault="00DA3A8D" w:rsidP="00DA3A8D">
      <w:pPr>
        <w:pStyle w:val="StandardWeb"/>
      </w:pPr>
      <w:r>
        <w:t>\tag{3.4978}</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\operatorname{Adm}_{\mathrm{emp}}\left(\mathcal{M}^{(\mu)}_{\alpha}\right)=1\qquad\text{(3.4978)}</w:t>
      </w:r>
    </w:p>
    <w:p w:rsidR="00DA3A8D" w:rsidRDefault="00DA3A8D" w:rsidP="00DA3A8D">
      <w:pPr>
        <w:pStyle w:val="StandardWeb"/>
      </w:pPr>
      <w:r>
        <w:t>Ein formal korrektes Modell kann empirisch unzulässig sein:</w:t>
      </w:r>
    </w:p>
    <w:p w:rsidR="00DA3A8D" w:rsidRDefault="00DA3A8D" w:rsidP="00DA3A8D">
      <w:pPr>
        <w:pStyle w:val="berschrift1"/>
      </w:pPr>
      <w:r>
        <w:lastRenderedPageBreak/>
        <w:t>[</w:t>
      </w:r>
      <w:r>
        <w:br/>
        <w:t>\operatorname{TK}_{F}</w:t>
      </w:r>
      <w:r>
        <w:br/>
        <w:t>\left(</w:t>
      </w:r>
      <w:r>
        <w:br/>
        <w:t>\mathcal{M}</w:t>
      </w:r>
      <w:r>
        <w:br/>
        <w:t>\right)</w:t>
      </w:r>
    </w:p>
    <w:p w:rsidR="00DA3A8D" w:rsidRDefault="00DA3A8D" w:rsidP="00DA3A8D">
      <w:pPr>
        <w:pStyle w:val="berschrift1"/>
      </w:pPr>
      <w:r>
        <w:t>1</w:t>
      </w:r>
      <w:r>
        <w:br/>
        <w:t>\land</w:t>
      </w:r>
      <w:r>
        <w:br/>
        <w:t>\operatorname{Adm}_{\mathrm{emp}}</w:t>
      </w:r>
      <w:r>
        <w:br/>
        <w:t>\left(</w:t>
      </w:r>
      <w:r>
        <w:br/>
        <w:t>\mathcal{M}</w:t>
      </w:r>
      <w:r>
        <w:br/>
        <w:t>\right)</w:t>
      </w:r>
    </w:p>
    <w:p w:rsidR="00DA3A8D" w:rsidRDefault="00DA3A8D" w:rsidP="00632D23">
      <w:pPr>
        <w:numPr>
          <w:ilvl w:val="0"/>
          <w:numId w:val="135"/>
        </w:numPr>
        <w:spacing w:before="100" w:beforeAutospacing="1" w:after="100" w:afterAutospacing="1"/>
      </w:pPr>
    </w:p>
    <w:p w:rsidR="00DA3A8D" w:rsidRDefault="00DA3A8D" w:rsidP="00DA3A8D">
      <w:pPr>
        <w:pStyle w:val="StandardWeb"/>
      </w:pPr>
      <w:r>
        <w:t>\tag{3.4979}</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\operatorname{TK}_{F}\left(\mathcal{M}\right)=1\land\operatorname{Adm}_{\mathrm{emp}}\left(\mathcal{M}\right)=0\qquad\text{(3.4979)}</w:t>
      </w:r>
    </w:p>
    <w:p w:rsidR="00DA3A8D" w:rsidRDefault="00DA3A8D" w:rsidP="00DA3A8D">
      <w:pPr>
        <w:pStyle w:val="StandardWeb"/>
      </w:pPr>
      <w:r>
        <w:t>Formale Zulässigkeit und empirische Angemessenheit bleiben damit getrennte Prüfbereiche.</w:t>
      </w:r>
    </w:p>
    <w:p w:rsidR="00DA3A8D" w:rsidRPr="00AF32B2" w:rsidRDefault="00DA3A8D" w:rsidP="00AF32B2">
      <w:pPr>
        <w:pStyle w:val="berschrift4"/>
      </w:pPr>
      <w:r w:rsidRPr="00AF32B2">
        <w:t>3.3.25.20 Vergleich zweier Modellklassen</w:t>
      </w:r>
    </w:p>
    <w:p w:rsidR="00DA3A8D" w:rsidRDefault="00DA3A8D" w:rsidP="00DA3A8D">
      <w:pPr>
        <w:pStyle w:val="StandardWeb"/>
      </w:pPr>
      <w:r>
        <w:t>Für zwei Modellbedingungsmengen kann gelten:</w:t>
      </w:r>
    </w:p>
    <w:p w:rsidR="00DA3A8D" w:rsidRDefault="00DA3A8D" w:rsidP="00DA3A8D">
      <w:pPr>
        <w:pStyle w:val="StandardWeb"/>
      </w:pPr>
      <w:r>
        <w:t>[</w:t>
      </w:r>
      <w:r>
        <w:br/>
        <w:t>\mathcal{B}</w:t>
      </w:r>
      <w:r>
        <w:rPr>
          <w:rStyle w:val="Hervorhebung"/>
        </w:rPr>
        <w:t>{F}^{(\mu)}</w:t>
      </w:r>
      <w:r>
        <w:rPr>
          <w:i/>
          <w:iCs/>
        </w:rPr>
        <w:br/>
      </w:r>
      <w:r>
        <w:rPr>
          <w:rStyle w:val="Hervorhebung"/>
        </w:rPr>
        <w:t>\subseteq</w:t>
      </w:r>
      <w:r>
        <w:rPr>
          <w:i/>
          <w:iCs/>
        </w:rPr>
        <w:br/>
      </w:r>
      <w:r>
        <w:rPr>
          <w:rStyle w:val="Hervorhebung"/>
        </w:rPr>
        <w:t>\mathcal{B}</w:t>
      </w:r>
      <w:r>
        <w:t>{F}^{(\nu)}.</w:t>
      </w:r>
      <w:r>
        <w:br/>
        <w:t>\tag{3.4980}</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\mathcal{B}_{F}^{(\mu)}\subseteq\mathcal{B}_{F}^{(\nu)}\qquad\text{(3.4980)}</w:t>
      </w:r>
    </w:p>
    <w:p w:rsidR="00DA3A8D" w:rsidRDefault="00DA3A8D" w:rsidP="00DA3A8D">
      <w:pPr>
        <w:pStyle w:val="StandardWeb"/>
      </w:pPr>
      <w:r>
        <w:t>Dann ist die stärker eingeschränkte Modellklasse im Allgemeinen kleiner:</w:t>
      </w:r>
    </w:p>
    <w:p w:rsidR="00DA3A8D" w:rsidRDefault="00DA3A8D" w:rsidP="00DA3A8D">
      <w:pPr>
        <w:pStyle w:val="StandardWeb"/>
      </w:pPr>
      <w:r>
        <w:lastRenderedPageBreak/>
        <w:t>[</w:t>
      </w:r>
      <w:r>
        <w:br/>
        <w:t>\operatorname{Mod}</w:t>
      </w:r>
      <w:r>
        <w:rPr>
          <w:rStyle w:val="Hervorhebung"/>
        </w:rPr>
        <w:t>{F}^{(\nu)}</w:t>
      </w:r>
      <w:r>
        <w:rPr>
          <w:i/>
          <w:iCs/>
        </w:rPr>
        <w:br/>
      </w:r>
      <w:r>
        <w:rPr>
          <w:rStyle w:val="Hervorhebung"/>
        </w:rPr>
        <w:t>\subseteq</w:t>
      </w:r>
      <w:r>
        <w:rPr>
          <w:i/>
          <w:iCs/>
        </w:rPr>
        <w:br/>
      </w:r>
      <w:r>
        <w:rPr>
          <w:rStyle w:val="Hervorhebung"/>
        </w:rPr>
        <w:t>\operatorname{Mod}</w:t>
      </w:r>
      <w:r>
        <w:t>{F}^{(\mu)}.</w:t>
      </w:r>
      <w:r>
        <w:br/>
        <w:t>\tag{3.4981}</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\operatorname{Mod}_{F}^{(\nu)}\subseteq\operatorname{Mod}_{F}^{(\mu)}\qquad\text{(3.4981)}</w:t>
      </w:r>
    </w:p>
    <w:p w:rsidR="00DA3A8D" w:rsidRDefault="00DA3A8D" w:rsidP="00DA3A8D">
      <w:pPr>
        <w:pStyle w:val="StandardWeb"/>
      </w:pPr>
      <w:r>
        <w:t>Bei einer echten zusätzlichen Bedingung gilt:</w:t>
      </w:r>
    </w:p>
    <w:p w:rsidR="00DA3A8D" w:rsidRDefault="00DA3A8D" w:rsidP="00DA3A8D">
      <w:pPr>
        <w:pStyle w:val="StandardWeb"/>
      </w:pPr>
      <w:r>
        <w:t>[</w:t>
      </w:r>
      <w:r>
        <w:br/>
        <w:t>\operatorname{Mod}</w:t>
      </w:r>
      <w:r>
        <w:rPr>
          <w:rStyle w:val="Hervorhebung"/>
        </w:rPr>
        <w:t>{F}^{(\nu)}</w:t>
      </w:r>
      <w:r>
        <w:rPr>
          <w:i/>
          <w:iCs/>
        </w:rPr>
        <w:br/>
      </w:r>
      <w:r>
        <w:rPr>
          <w:rStyle w:val="Hervorhebung"/>
        </w:rPr>
        <w:t>\subsetneq</w:t>
      </w:r>
      <w:r>
        <w:rPr>
          <w:i/>
          <w:iCs/>
        </w:rPr>
        <w:br/>
      </w:r>
      <w:r>
        <w:rPr>
          <w:rStyle w:val="Hervorhebung"/>
        </w:rPr>
        <w:t>\operatorname{Mod}</w:t>
      </w:r>
      <w:r>
        <w:t>{F}^{(\mu)}.</w:t>
      </w:r>
      <w:r>
        <w:br/>
        <w:t>\tag{3.4982}</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\operatorname{Mod}_{F}^{(\nu)}\subsetneq\operatorname{Mod}_{F}^{(\mu)}\qquad\text{(3.4982)}</w:t>
      </w:r>
    </w:p>
    <w:p w:rsidR="00DA3A8D" w:rsidRDefault="00DA3A8D" w:rsidP="00DA3A8D">
      <w:pPr>
        <w:pStyle w:val="StandardWeb"/>
      </w:pPr>
      <w:r>
        <w:t>Die stärkere Modellklasse besitzt weniger zulässige Instanzen, trifft dafür aber präzisere strukturelle Aussagen.</w:t>
      </w:r>
    </w:p>
    <w:p w:rsidR="00DA3A8D" w:rsidRPr="00AF32B2" w:rsidRDefault="00DA3A8D" w:rsidP="00AF32B2">
      <w:pPr>
        <w:pStyle w:val="berschrift4"/>
      </w:pPr>
      <w:r w:rsidRPr="00AF32B2">
        <w:t>3.3.25.21 Überbestimmung einer Modellklasse</w:t>
      </w:r>
    </w:p>
    <w:p w:rsidR="00DA3A8D" w:rsidRDefault="00DA3A8D" w:rsidP="00DA3A8D">
      <w:pPr>
        <w:pStyle w:val="StandardWeb"/>
      </w:pPr>
      <w:r>
        <w:t>Eine Modellklasse kann überbestimmt sein, wenn sie Bedingungen enthält, die für den Untersuchungszweck nicht erforderlich sind.</w:t>
      </w:r>
    </w:p>
    <w:p w:rsidR="00DA3A8D" w:rsidRDefault="00DA3A8D" w:rsidP="00DA3A8D">
      <w:pPr>
        <w:pStyle w:val="StandardWeb"/>
      </w:pPr>
      <w:r>
        <w:t>Für eine Bedingung (B_k) gilt:</w:t>
      </w:r>
    </w:p>
    <w:p w:rsidR="00DA3A8D" w:rsidRDefault="00DA3A8D" w:rsidP="00DA3A8D">
      <w:pPr>
        <w:pStyle w:val="berschrift1"/>
      </w:pPr>
      <w:r>
        <w:t>[</w:t>
      </w:r>
      <w:r>
        <w:br/>
        <w:t>\mathcal{B}_{F}^{(\mu)}</w:t>
      </w:r>
    </w:p>
    <w:p w:rsidR="00DA3A8D" w:rsidRDefault="00DA3A8D" w:rsidP="00DA3A8D">
      <w:pPr>
        <w:pStyle w:val="StandardWeb"/>
      </w:pPr>
      <w:r>
        <w:t>\mathcal{B}_{F}^{(\mu,-k)}</w:t>
      </w:r>
      <w:r>
        <w:br/>
        <w:t>\cup</w:t>
      </w:r>
      <w:r>
        <w:br/>
        <w:t>{B_k}.</w:t>
      </w:r>
      <w:r>
        <w:br/>
        <w:t>\tag{3.4983}</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\mathcal{B}_{F}^{(\mu)}=\mathcal{B}_{F}^{(\mu,-k)}\cup\{B_k\}\qquad\text{(3.4983)}</w:t>
      </w:r>
    </w:p>
    <w:p w:rsidR="00DA3A8D" w:rsidRDefault="00DA3A8D" w:rsidP="00DA3A8D">
      <w:pPr>
        <w:pStyle w:val="StandardWeb"/>
      </w:pPr>
      <w:r>
        <w:lastRenderedPageBreak/>
        <w:t>Ist (B_k) entbehrlich, ohne die untersuchte Aussage zu verlieren, sollte es aus der Klassenbasis entfernt oder als optionale Zusatzbedingung ausgewiesen werden.</w:t>
      </w:r>
    </w:p>
    <w:p w:rsidR="00DA3A8D" w:rsidRDefault="00DA3A8D" w:rsidP="00DA3A8D">
      <w:pPr>
        <w:pStyle w:val="StandardWeb"/>
      </w:pPr>
      <w:r>
        <w:t>Die Modellklasse erweitert sich dann:</w:t>
      </w:r>
    </w:p>
    <w:p w:rsidR="00DA3A8D" w:rsidRDefault="00DA3A8D" w:rsidP="00DA3A8D">
      <w:pPr>
        <w:pStyle w:val="StandardWeb"/>
      </w:pPr>
      <w:r>
        <w:t>[</w:t>
      </w:r>
      <w:r>
        <w:br/>
        <w:t>\operatorname{Mod}</w:t>
      </w:r>
      <w:r>
        <w:br/>
        <w:t>\left(</w:t>
      </w:r>
      <w:r>
        <w:br/>
        <w:t>\mathcal{A}</w:t>
      </w:r>
      <w:r>
        <w:rPr>
          <w:rStyle w:val="Hervorhebung"/>
        </w:rPr>
        <w:t>{\mathrm{prim}}</w:t>
      </w:r>
      <w:r>
        <w:rPr>
          <w:i/>
          <w:iCs/>
        </w:rPr>
        <w:br/>
      </w:r>
      <w:r>
        <w:rPr>
          <w:rStyle w:val="Hervorhebung"/>
        </w:rPr>
        <w:t>\cup</w:t>
      </w:r>
      <w:r>
        <w:rPr>
          <w:i/>
          <w:iCs/>
        </w:rPr>
        <w:br/>
      </w:r>
      <w:r>
        <w:rPr>
          <w:rStyle w:val="Hervorhebung"/>
        </w:rPr>
        <w:t>\mathcal{B}</w:t>
      </w:r>
      <w:r>
        <w:t>{F}^{(\mu)}</w:t>
      </w:r>
      <w:r>
        <w:br/>
        <w:t>\right)</w:t>
      </w:r>
      <w:r>
        <w:br/>
        <w:t>\subseteq</w:t>
      </w:r>
      <w:r>
        <w:br/>
        <w:t>\operatorname{Mod}</w:t>
      </w:r>
      <w:r>
        <w:br/>
        <w:t>\left(</w:t>
      </w:r>
      <w:r>
        <w:br/>
        <w:t>\mathcal{A}</w:t>
      </w:r>
      <w:r>
        <w:rPr>
          <w:rStyle w:val="Hervorhebung"/>
        </w:rPr>
        <w:t>{\mathrm{prim}}</w:t>
      </w:r>
      <w:r>
        <w:rPr>
          <w:i/>
          <w:iCs/>
        </w:rPr>
        <w:br/>
      </w:r>
      <w:r>
        <w:rPr>
          <w:rStyle w:val="Hervorhebung"/>
        </w:rPr>
        <w:t>\cup</w:t>
      </w:r>
      <w:r>
        <w:rPr>
          <w:i/>
          <w:iCs/>
        </w:rPr>
        <w:br/>
      </w:r>
      <w:r>
        <w:rPr>
          <w:rStyle w:val="Hervorhebung"/>
        </w:rPr>
        <w:t>\mathcal{B}</w:t>
      </w:r>
      <w:r>
        <w:t>{F}^{(\mu,-k)}</w:t>
      </w:r>
      <w:r>
        <w:br/>
        <w:t>\right).</w:t>
      </w:r>
      <w:r>
        <w:br/>
        <w:t>\tag{3.4984}</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\operatorname{Mod}\left(\mathcal{A}_{\mathrm{prim}}\cup\mathcal{B}_{F}^{(\mu)}\right)\subseteq\operatorname{Mod}\left(\mathcal{A}_{\mathrm{prim}}\cup\mathcal{B}_{F}^{(\mu,-k)}\right)\qquad\text{(3.4984)}</w:t>
      </w:r>
    </w:p>
    <w:p w:rsidR="00DA3A8D" w:rsidRPr="00AF32B2" w:rsidRDefault="00DA3A8D" w:rsidP="00AF32B2">
      <w:pPr>
        <w:pStyle w:val="berschrift4"/>
      </w:pPr>
      <w:r w:rsidRPr="00AF32B2">
        <w:t>3.3.25.22 Unterbestimmung einer Modellklasse</w:t>
      </w:r>
    </w:p>
    <w:p w:rsidR="00DA3A8D" w:rsidRDefault="00DA3A8D" w:rsidP="00DA3A8D">
      <w:pPr>
        <w:pStyle w:val="StandardWeb"/>
      </w:pPr>
      <w:r>
        <w:t>Eine Modellklasse ist für eine konkrete Fragestellung unterbestimmt, wenn mehrere nichtäquivalente Modellinstanzen dieselben bisherigen Bedingungen erfüllen:</w:t>
      </w:r>
    </w:p>
    <w:p w:rsidR="00DA3A8D" w:rsidRDefault="00DA3A8D" w:rsidP="00DA3A8D">
      <w:pPr>
        <w:pStyle w:val="StandardWeb"/>
      </w:pPr>
      <w:r>
        <w:t>[</w:t>
      </w:r>
      <w:r>
        <w:br/>
        <w:t>\mathcal{M}</w:t>
      </w:r>
      <w:r>
        <w:rPr>
          <w:rStyle w:val="Hervorhebung"/>
        </w:rPr>
        <w:t>{\alpha}</w:t>
      </w:r>
      <w:r>
        <w:rPr>
          <w:i/>
          <w:iCs/>
        </w:rPr>
        <w:br/>
      </w:r>
      <w:r>
        <w:rPr>
          <w:rStyle w:val="Hervorhebung"/>
        </w:rPr>
        <w:t>\models</w:t>
      </w:r>
      <w:r>
        <w:rPr>
          <w:i/>
          <w:iCs/>
        </w:rPr>
        <w:br/>
      </w:r>
      <w:r>
        <w:rPr>
          <w:rStyle w:val="Hervorhebung"/>
        </w:rPr>
        <w:t>\mathcal{B}</w:t>
      </w:r>
      <w:r>
        <w:t>{F}^{(\mu)},</w:t>
      </w:r>
      <w:r>
        <w:br/>
        <w:t>\tag{3.4985}</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\mathcal{M}_{\alpha}\models\mathcal{B}_{F}^{(\mu)}\qquad\text{(3.4985)}</w:t>
      </w:r>
    </w:p>
    <w:p w:rsidR="00DA3A8D" w:rsidRDefault="00DA3A8D" w:rsidP="00DA3A8D">
      <w:pPr>
        <w:pStyle w:val="StandardWeb"/>
      </w:pPr>
      <w:r>
        <w:t>[</w:t>
      </w:r>
      <w:r>
        <w:br/>
        <w:t>\mathcal{M}</w:t>
      </w:r>
      <w:r>
        <w:rPr>
          <w:rStyle w:val="Hervorhebung"/>
        </w:rPr>
        <w:t>{\beta}</w:t>
      </w:r>
      <w:r>
        <w:rPr>
          <w:i/>
          <w:iCs/>
        </w:rPr>
        <w:br/>
      </w:r>
      <w:r>
        <w:rPr>
          <w:rStyle w:val="Hervorhebung"/>
        </w:rPr>
        <w:t>\models</w:t>
      </w:r>
      <w:r>
        <w:rPr>
          <w:i/>
          <w:iCs/>
        </w:rPr>
        <w:br/>
      </w:r>
      <w:r>
        <w:rPr>
          <w:rStyle w:val="Hervorhebung"/>
        </w:rPr>
        <w:t>\mathcal{B}</w:t>
      </w:r>
      <w:r>
        <w:t>{F}^{(\mu)},</w:t>
      </w:r>
      <w:r>
        <w:br/>
        <w:t>\tag{3.4986}</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lastRenderedPageBreak/>
        <w:t>\mathcal{M}_{\beta}\models\mathcal{B}_{F}^{(\mu)}\qquad\text{(3.4986)}</w:t>
      </w:r>
    </w:p>
    <w:p w:rsidR="00DA3A8D" w:rsidRDefault="00DA3A8D" w:rsidP="00DA3A8D">
      <w:pPr>
        <w:pStyle w:val="StandardWeb"/>
      </w:pPr>
      <w:r>
        <w:t>aber</w:t>
      </w:r>
    </w:p>
    <w:p w:rsidR="00DA3A8D" w:rsidRDefault="00DA3A8D" w:rsidP="00DA3A8D">
      <w:pPr>
        <w:pStyle w:val="StandardWeb"/>
      </w:pPr>
      <w:r>
        <w:t>[</w:t>
      </w:r>
      <w:r>
        <w:br/>
        <w:t>\mathcal{M}</w:t>
      </w:r>
      <w:r>
        <w:rPr>
          <w:rStyle w:val="Hervorhebung"/>
        </w:rPr>
        <w:t>{\alpha}</w:t>
      </w:r>
      <w:r>
        <w:rPr>
          <w:i/>
          <w:iCs/>
        </w:rPr>
        <w:br/>
      </w:r>
      <w:r>
        <w:rPr>
          <w:rStyle w:val="Hervorhebung"/>
        </w:rPr>
        <w:t>\not\cong</w:t>
      </w:r>
      <w:r>
        <w:rPr>
          <w:i/>
          <w:iCs/>
        </w:rPr>
        <w:br/>
      </w:r>
      <w:r>
        <w:rPr>
          <w:rStyle w:val="Hervorhebung"/>
        </w:rPr>
        <w:t>\mathcal{M}</w:t>
      </w:r>
      <w:r>
        <w:t>{\beta}.</w:t>
      </w:r>
      <w:r>
        <w:br/>
        <w:t>\tag{3.4987}</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\mathcal{M}_{\alpha}\not\cong\mathcal{M}_{\beta}\qquad\text{(3.4987)}</w:t>
      </w:r>
    </w:p>
    <w:p w:rsidR="00DA3A8D" w:rsidRDefault="00DA3A8D" w:rsidP="00DA3A8D">
      <w:pPr>
        <w:pStyle w:val="StandardWeb"/>
      </w:pPr>
      <w:r>
        <w:t>Unterbestimmung ist nicht automatisch ein Fehler. Sie zeigt, dass die vorhandenen Bedingungen mehrere strukturell verschiedene Möglichkeiten offenlassen [58, 59].</w:t>
      </w:r>
    </w:p>
    <w:p w:rsidR="00DA3A8D" w:rsidRPr="00AF32B2" w:rsidRDefault="00DA3A8D" w:rsidP="00AF32B2">
      <w:pPr>
        <w:pStyle w:val="berschrift4"/>
      </w:pPr>
      <w:r w:rsidRPr="00AF32B2">
        <w:t>3.3.25.23 Modelläquivalenz</w:t>
      </w:r>
    </w:p>
    <w:p w:rsidR="00DA3A8D" w:rsidRDefault="00DA3A8D" w:rsidP="00DA3A8D">
      <w:pPr>
        <w:pStyle w:val="StandardWeb"/>
      </w:pPr>
      <w:r>
        <w:t>Zwei Modellinstanzen können als strukturell äquivalent gelten, wenn ein geeigneter Isomorphismus existiert:</w:t>
      </w:r>
    </w:p>
    <w:p w:rsidR="00DA3A8D" w:rsidRDefault="00DA3A8D" w:rsidP="00DA3A8D">
      <w:pPr>
        <w:pStyle w:val="StandardWeb"/>
      </w:pPr>
      <w:r>
        <w:t>[</w:t>
      </w:r>
      <w:r>
        <w:br/>
        <w:t>\Phi:</w:t>
      </w:r>
      <w:r>
        <w:br/>
        <w:t>\mathcal{M}</w:t>
      </w:r>
      <w:r>
        <w:rPr>
          <w:rStyle w:val="Hervorhebung"/>
        </w:rPr>
        <w:t>{\alpha}</w:t>
      </w:r>
      <w:r>
        <w:rPr>
          <w:i/>
          <w:iCs/>
        </w:rPr>
        <w:br/>
      </w:r>
      <w:r>
        <w:rPr>
          <w:rStyle w:val="Hervorhebung"/>
        </w:rPr>
        <w:t>\rightarrow</w:t>
      </w:r>
      <w:r>
        <w:rPr>
          <w:i/>
          <w:iCs/>
        </w:rPr>
        <w:br/>
      </w:r>
      <w:r>
        <w:rPr>
          <w:rStyle w:val="Hervorhebung"/>
        </w:rPr>
        <w:t>\mathcal{M}</w:t>
      </w:r>
      <w:r>
        <w:t>{\beta}.</w:t>
      </w:r>
      <w:r>
        <w:br/>
        <w:t>\tag{3.4988}</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\Phi:\mathcal{M}_{\alpha}\rightarrow\mathcal{M}_{\beta}\qquad\text{(3.4988)}</w:t>
      </w:r>
    </w:p>
    <w:p w:rsidR="00DA3A8D" w:rsidRDefault="00DA3A8D" w:rsidP="00DA3A8D">
      <w:pPr>
        <w:pStyle w:val="StandardWeb"/>
      </w:pPr>
      <w:r>
        <w:t>Für Zustände, Relationen und Transformationen muss (\Phi) die relevanten Strukturen erhalten.</w:t>
      </w:r>
    </w:p>
    <w:p w:rsidR="00DA3A8D" w:rsidRDefault="00DA3A8D" w:rsidP="00DA3A8D">
      <w:pPr>
        <w:pStyle w:val="StandardWeb"/>
      </w:pPr>
      <w:r>
        <w:t>Für Relationen gilt beispielsweise:</w:t>
      </w:r>
    </w:p>
    <w:p w:rsidR="00DA3A8D" w:rsidRDefault="00DA3A8D" w:rsidP="00DA3A8D">
      <w:pPr>
        <w:pStyle w:val="StandardWeb"/>
      </w:pPr>
      <w:r>
        <w:t>[</w:t>
      </w:r>
      <w:r>
        <w:br/>
        <w:t>(\delta_i,\delta_j)</w:t>
      </w:r>
      <w:r>
        <w:br/>
        <w:t>\in</w:t>
      </w:r>
      <w:r>
        <w:br/>
        <w:t>R_{\alpha}</w:t>
      </w:r>
      <w:r>
        <w:br/>
        <w:t>\iff</w:t>
      </w:r>
      <w:r>
        <w:br/>
        <w:t>\left(</w:t>
      </w:r>
      <w:r>
        <w:br/>
        <w:t>\Phi(\delta_i),</w:t>
      </w:r>
      <w:r>
        <w:br/>
        <w:t>\Phi(\delta_j)</w:t>
      </w:r>
      <w:r>
        <w:br/>
        <w:t>\right)</w:t>
      </w:r>
      <w:r>
        <w:br/>
        <w:t>\in</w:t>
      </w:r>
      <w:r>
        <w:br/>
        <w:t>R_{\beta}.</w:t>
      </w:r>
      <w:r>
        <w:br/>
      </w:r>
      <w:r>
        <w:lastRenderedPageBreak/>
        <w:t>\tag{3.4989}</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(\delta_i,\delta_j)\in R_{\alpha}\iff\left(\Phi(\delta_i),\Phi(\delta_j)\right)\in R_{\beta}\qquad\text{(3.4989)}</w:t>
      </w:r>
    </w:p>
    <w:p w:rsidR="00DA3A8D" w:rsidRDefault="00DA3A8D" w:rsidP="00DA3A8D">
      <w:pPr>
        <w:pStyle w:val="StandardWeb"/>
      </w:pPr>
      <w:r>
        <w:t>Für Transformationen gilt:</w:t>
      </w:r>
    </w:p>
    <w:p w:rsidR="00DA3A8D" w:rsidRDefault="00DA3A8D" w:rsidP="00DA3A8D">
      <w:pPr>
        <w:pStyle w:val="berschrift1"/>
      </w:pPr>
      <w:r>
        <w:t>[</w:t>
      </w:r>
      <w:r>
        <w:br/>
        <w:t>\Phi</w:t>
      </w:r>
      <w:r>
        <w:br/>
        <w:t>\circ</w:t>
      </w:r>
      <w:r>
        <w:br/>
        <w:t>T_{\alpha}</w:t>
      </w:r>
    </w:p>
    <w:p w:rsidR="00DA3A8D" w:rsidRDefault="00DA3A8D" w:rsidP="00DA3A8D">
      <w:pPr>
        <w:pStyle w:val="StandardWeb"/>
      </w:pPr>
      <w:r>
        <w:t>T_{\beta}</w:t>
      </w:r>
      <w:r>
        <w:br/>
        <w:t>\circ</w:t>
      </w:r>
      <w:r>
        <w:br/>
        <w:t>\Phi.</w:t>
      </w:r>
      <w:r>
        <w:br/>
        <w:t>\tag{3.4990}</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\Phi\circ T_{\alpha}=T_{\beta}\circ\Phi\qquad\text{(3.4990)}</w:t>
      </w:r>
    </w:p>
    <w:p w:rsidR="00DA3A8D" w:rsidRDefault="00DA3A8D" w:rsidP="00DA3A8D">
      <w:pPr>
        <w:pStyle w:val="StandardWeb"/>
      </w:pPr>
      <w:r>
        <w:t>Existiert ein solcher Isomorphismus, schreibe ich:</w:t>
      </w:r>
    </w:p>
    <w:p w:rsidR="00DA3A8D" w:rsidRDefault="00DA3A8D" w:rsidP="00DA3A8D">
      <w:pPr>
        <w:pStyle w:val="StandardWeb"/>
      </w:pPr>
      <w:r>
        <w:t>[</w:t>
      </w:r>
      <w:r>
        <w:br/>
        <w:t>\mathcal{M}</w:t>
      </w:r>
      <w:r>
        <w:rPr>
          <w:rStyle w:val="Hervorhebung"/>
        </w:rPr>
        <w:t>{\alpha}</w:t>
      </w:r>
      <w:r>
        <w:rPr>
          <w:i/>
          <w:iCs/>
        </w:rPr>
        <w:br/>
      </w:r>
      <w:r>
        <w:rPr>
          <w:rStyle w:val="Hervorhebung"/>
        </w:rPr>
        <w:t>\cong</w:t>
      </w:r>
      <w:r>
        <w:rPr>
          <w:i/>
          <w:iCs/>
        </w:rPr>
        <w:br/>
      </w:r>
      <w:r>
        <w:rPr>
          <w:rStyle w:val="Hervorhebung"/>
        </w:rPr>
        <w:t>\mathcal{M}</w:t>
      </w:r>
      <w:r>
        <w:t>{\beta}.</w:t>
      </w:r>
      <w:r>
        <w:br/>
        <w:t>\tag{3.4991}</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\mathcal{M}_{\alpha}\cong\mathcal{M}_{\beta}\qquad\text{(3.4991)}</w:t>
      </w:r>
    </w:p>
    <w:p w:rsidR="00DA3A8D" w:rsidRPr="00AF32B2" w:rsidRDefault="00DA3A8D" w:rsidP="00AF32B2">
      <w:pPr>
        <w:pStyle w:val="berschrift4"/>
      </w:pPr>
      <w:r w:rsidRPr="00AF32B2">
        <w:t>3.3.25.24 Interpretationsäquivalenz</w:t>
      </w:r>
    </w:p>
    <w:p w:rsidR="00DA3A8D" w:rsidRDefault="00DA3A8D" w:rsidP="00DA3A8D">
      <w:pPr>
        <w:pStyle w:val="StandardWeb"/>
      </w:pPr>
      <w:r>
        <w:t>Zwei formal verschiedene Modelle können hinsichtlich einer bestimmten Beobachtungsfrage dieselben Vorhersagen liefern.</w:t>
      </w:r>
    </w:p>
    <w:p w:rsidR="00DA3A8D" w:rsidRDefault="00DA3A8D" w:rsidP="00DA3A8D">
      <w:pPr>
        <w:pStyle w:val="StandardWeb"/>
      </w:pPr>
      <w:r>
        <w:t>Für eine Vorhersageabbildung</w:t>
      </w:r>
    </w:p>
    <w:p w:rsidR="00DA3A8D" w:rsidRDefault="00DA3A8D" w:rsidP="00DA3A8D">
      <w:pPr>
        <w:pStyle w:val="StandardWeb"/>
      </w:pPr>
      <w:r>
        <w:t>[</w:t>
      </w:r>
      <w:r>
        <w:br/>
        <w:t>\mathcal{P}</w:t>
      </w:r>
      <w:r>
        <w:rPr>
          <w:rStyle w:val="Hervorhebung"/>
        </w:rPr>
        <w:t>{\mathrm{obs}}:</w:t>
      </w:r>
      <w:r>
        <w:rPr>
          <w:i/>
          <w:iCs/>
        </w:rPr>
        <w:br/>
      </w:r>
      <w:r>
        <w:rPr>
          <w:rStyle w:val="Hervorhebung"/>
        </w:rPr>
        <w:t>\operatorname{Mod}</w:t>
      </w:r>
      <w:r>
        <w:t>{F}^{(\mu)}</w:t>
      </w:r>
      <w:r>
        <w:br/>
      </w:r>
      <w:r>
        <w:lastRenderedPageBreak/>
        <w:t>\rightarrow</w:t>
      </w:r>
      <w:r>
        <w:br/>
        <w:t>\mathcal{Y}_{\mathrm{obs}}</w:t>
      </w:r>
      <w:r>
        <w:br/>
        <w:t>\tag{3.4992}</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\mathcal{P}_{\mathrm{obs}}:\operatorname{Mod}_{F}^{(\mu)}\rightarrow\mathcal{Y}_{\mathrm{obs}}\qquad\text{(3.4992)}</w:t>
      </w:r>
    </w:p>
    <w:p w:rsidR="00DA3A8D" w:rsidRDefault="00DA3A8D" w:rsidP="00DA3A8D">
      <w:pPr>
        <w:pStyle w:val="StandardWeb"/>
      </w:pPr>
      <w:r>
        <w:t>kann gelten:</w:t>
      </w:r>
    </w:p>
    <w:p w:rsidR="00DA3A8D" w:rsidRDefault="00DA3A8D" w:rsidP="00DA3A8D">
      <w:pPr>
        <w:pStyle w:val="berschrift1"/>
      </w:pPr>
      <w:r>
        <w:t>[</w:t>
      </w:r>
      <w:r>
        <w:br/>
        <w:t>\mathcal{P}</w:t>
      </w:r>
      <w:r>
        <w:rPr>
          <w:rStyle w:val="Hervorhebung"/>
        </w:rPr>
        <w:t>{\mathrm{obs}}</w:t>
      </w:r>
      <w:r>
        <w:rPr>
          <w:i/>
          <w:iCs/>
        </w:rPr>
        <w:br/>
      </w:r>
      <w:r>
        <w:rPr>
          <w:rStyle w:val="Hervorhebung"/>
        </w:rPr>
        <w:t>\left(</w:t>
      </w:r>
      <w:r>
        <w:rPr>
          <w:i/>
          <w:iCs/>
        </w:rPr>
        <w:br/>
      </w:r>
      <w:r>
        <w:rPr>
          <w:rStyle w:val="Hervorhebung"/>
        </w:rPr>
        <w:t>\mathcal{M}</w:t>
      </w:r>
      <w:r>
        <w:t>{\alpha}</w:t>
      </w:r>
      <w:r>
        <w:br/>
        <w:t>\right)</w:t>
      </w:r>
    </w:p>
    <w:p w:rsidR="00DA3A8D" w:rsidRDefault="00DA3A8D" w:rsidP="00DA3A8D">
      <w:pPr>
        <w:pStyle w:val="StandardWeb"/>
      </w:pPr>
      <w:r>
        <w:t>\mathcal{P}</w:t>
      </w:r>
      <w:r>
        <w:rPr>
          <w:rStyle w:val="Hervorhebung"/>
        </w:rPr>
        <w:t>{\mathrm{obs}}</w:t>
      </w:r>
      <w:r>
        <w:rPr>
          <w:i/>
          <w:iCs/>
        </w:rPr>
        <w:br/>
      </w:r>
      <w:r>
        <w:rPr>
          <w:rStyle w:val="Hervorhebung"/>
        </w:rPr>
        <w:t>\left(</w:t>
      </w:r>
      <w:r>
        <w:rPr>
          <w:i/>
          <w:iCs/>
        </w:rPr>
        <w:br/>
      </w:r>
      <w:r>
        <w:rPr>
          <w:rStyle w:val="Hervorhebung"/>
        </w:rPr>
        <w:t>\mathcal{M}</w:t>
      </w:r>
      <w:r>
        <w:t>{\beta}</w:t>
      </w:r>
      <w:r>
        <w:br/>
        <w:t>\right).</w:t>
      </w:r>
      <w:r>
        <w:br/>
        <w:t>\tag{3.4993}</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\mathcal{P}_{\mathrm{obs}}\left(\mathcal{M}_{\alpha}\right)=\mathcal{P}_{\mathrm{obs}}\left(\mathcal{M}_{\beta}\right)\qquad\text{(3.4993)}</w:t>
      </w:r>
    </w:p>
    <w:p w:rsidR="00DA3A8D" w:rsidRDefault="00DA3A8D" w:rsidP="00DA3A8D">
      <w:pPr>
        <w:pStyle w:val="StandardWeb"/>
      </w:pPr>
      <w:r>
        <w:t>Trotzdem kann gelten:</w:t>
      </w:r>
    </w:p>
    <w:p w:rsidR="00DA3A8D" w:rsidRDefault="00DA3A8D" w:rsidP="00DA3A8D">
      <w:pPr>
        <w:pStyle w:val="StandardWeb"/>
      </w:pPr>
      <w:r>
        <w:t>[</w:t>
      </w:r>
      <w:r>
        <w:br/>
        <w:t>\mathcal{M}</w:t>
      </w:r>
      <w:r>
        <w:rPr>
          <w:rStyle w:val="Hervorhebung"/>
        </w:rPr>
        <w:t>{\alpha}</w:t>
      </w:r>
      <w:r>
        <w:rPr>
          <w:i/>
          <w:iCs/>
        </w:rPr>
        <w:br/>
      </w:r>
      <w:r>
        <w:rPr>
          <w:rStyle w:val="Hervorhebung"/>
        </w:rPr>
        <w:t>\not\cong</w:t>
      </w:r>
      <w:r>
        <w:rPr>
          <w:i/>
          <w:iCs/>
        </w:rPr>
        <w:br/>
      </w:r>
      <w:r>
        <w:rPr>
          <w:rStyle w:val="Hervorhebung"/>
        </w:rPr>
        <w:t>\mathcal{M}</w:t>
      </w:r>
      <w:r>
        <w:t>{\beta}.</w:t>
      </w:r>
      <w:r>
        <w:br/>
        <w:t>\tag{3.4994}</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\mathcal{M}_{\alpha}\not\cong\mathcal{M}_{\beta}\qquad\text{(3.4994)}</w:t>
      </w:r>
    </w:p>
    <w:p w:rsidR="00DA3A8D" w:rsidRDefault="00DA3A8D" w:rsidP="00DA3A8D">
      <w:pPr>
        <w:pStyle w:val="StandardWeb"/>
      </w:pPr>
      <w:r>
        <w:t>Dies beschreibt empirische beziehungsweise interpretative Unterbestimmung.</w:t>
      </w:r>
    </w:p>
    <w:p w:rsidR="00DA3A8D" w:rsidRPr="00AF32B2" w:rsidRDefault="00DA3A8D" w:rsidP="00AF32B2">
      <w:pPr>
        <w:pStyle w:val="berschrift4"/>
      </w:pPr>
      <w:r w:rsidRPr="00AF32B2">
        <w:t>3.3.25.25 Klasseninvariante Aussagen</w:t>
      </w:r>
    </w:p>
    <w:p w:rsidR="00DA3A8D" w:rsidRDefault="00DA3A8D" w:rsidP="00DA3A8D">
      <w:pPr>
        <w:pStyle w:val="StandardWeb"/>
      </w:pPr>
      <w:r>
        <w:lastRenderedPageBreak/>
        <w:t>Eine Aussage (P) heißt invariant innerhalb einer Modellklasse (\operatorname{Mod}_{F}^{(\mu)}), wenn sie für alle Modelle dieser Klasse gilt:</w:t>
      </w:r>
    </w:p>
    <w:p w:rsidR="00DA3A8D" w:rsidRDefault="00DA3A8D" w:rsidP="00DA3A8D">
      <w:pPr>
        <w:pStyle w:val="StandardWeb"/>
      </w:pPr>
      <w:r>
        <w:t>[</w:t>
      </w:r>
      <w:r>
        <w:br/>
        <w:t>\forall</w:t>
      </w:r>
      <w:r>
        <w:br/>
        <w:t>\mathcal{M}</w:t>
      </w:r>
      <w:r>
        <w:br/>
        <w:t>\in</w:t>
      </w:r>
      <w:r>
        <w:br/>
        <w:t>\operatorname{Mod}_{F}^{(\mu)}:</w:t>
      </w:r>
      <w:r>
        <w:br/>
        <w:t>\mathcal{M}</w:t>
      </w:r>
      <w:r>
        <w:br/>
        <w:t>\models</w:t>
      </w:r>
      <w:r>
        <w:br/>
        <w:t>P.</w:t>
      </w:r>
      <w:r>
        <w:br/>
        <w:t>\tag{3.4995}</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\forall\mathcal{M}\in\operatorname{Mod}_{F}^{(\mu)}:\mathcal{M}\models P\qquad\text{(3.4995)}</w:t>
      </w:r>
    </w:p>
    <w:p w:rsidR="00DA3A8D" w:rsidRDefault="00DA3A8D" w:rsidP="00DA3A8D">
      <w:pPr>
        <w:pStyle w:val="StandardWeb"/>
      </w:pPr>
      <w:r>
        <w:t>Äquivalent gilt:</w:t>
      </w:r>
    </w:p>
    <w:p w:rsidR="00DA3A8D" w:rsidRDefault="00DA3A8D" w:rsidP="00DA3A8D">
      <w:pPr>
        <w:pStyle w:val="StandardWeb"/>
      </w:pPr>
      <w:r>
        <w:t>[</w:t>
      </w:r>
      <w:r>
        <w:br/>
        <w:t>\mathcal{A}</w:t>
      </w:r>
      <w:r>
        <w:rPr>
          <w:rStyle w:val="Hervorhebung"/>
        </w:rPr>
        <w:t>{\mathrm{prim}}</w:t>
      </w:r>
      <w:r>
        <w:rPr>
          <w:i/>
          <w:iCs/>
        </w:rPr>
        <w:br/>
      </w:r>
      <w:r>
        <w:rPr>
          <w:rStyle w:val="Hervorhebung"/>
        </w:rPr>
        <w:t>\cup</w:t>
      </w:r>
      <w:r>
        <w:rPr>
          <w:i/>
          <w:iCs/>
        </w:rPr>
        <w:br/>
      </w:r>
      <w:r>
        <w:rPr>
          <w:rStyle w:val="Hervorhebung"/>
        </w:rPr>
        <w:t>\mathcal{B}</w:t>
      </w:r>
      <w:r>
        <w:t>{F}^{(\mu)}</w:t>
      </w:r>
      <w:r>
        <w:br/>
        <w:t>\models</w:t>
      </w:r>
      <w:r>
        <w:br/>
        <w:t>P.</w:t>
      </w:r>
      <w:r>
        <w:br/>
        <w:t>\tag{3.4996}</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\mathcal{A}_{\mathrm{prim}}\cup\mathcal{B}_{F}^{(\mu)}\models P\qquad\text{(3.4996)}</w:t>
      </w:r>
    </w:p>
    <w:p w:rsidR="00DA3A8D" w:rsidRDefault="00DA3A8D" w:rsidP="00DA3A8D">
      <w:pPr>
        <w:pStyle w:val="StandardWeb"/>
      </w:pPr>
      <w:r>
        <w:t>Nur solche Aussagen dürfen als allgemeine Aussagen über die gesamte Modellklasse formuliert werden.</w:t>
      </w:r>
    </w:p>
    <w:p w:rsidR="00DA3A8D" w:rsidRPr="00AF32B2" w:rsidRDefault="00DA3A8D" w:rsidP="00AF32B2">
      <w:pPr>
        <w:pStyle w:val="berschrift4"/>
      </w:pPr>
      <w:r w:rsidRPr="00AF32B2">
        <w:t>3.3.25.26 Instanzbezogene Aussagen</w:t>
      </w:r>
    </w:p>
    <w:p w:rsidR="00DA3A8D" w:rsidRDefault="00DA3A8D" w:rsidP="00DA3A8D">
      <w:pPr>
        <w:pStyle w:val="StandardWeb"/>
      </w:pPr>
      <w:r>
        <w:t>Eine Aussage kann nur für eine konkrete Modellinstanz gelten:</w:t>
      </w:r>
    </w:p>
    <w:p w:rsidR="00DA3A8D" w:rsidRDefault="00DA3A8D" w:rsidP="00DA3A8D">
      <w:pPr>
        <w:pStyle w:val="StandardWeb"/>
      </w:pPr>
      <w:r>
        <w:t>[</w:t>
      </w:r>
      <w:r>
        <w:br/>
        <w:t>\mathcal{M}_{\alpha}^{(\mu)}</w:t>
      </w:r>
      <w:r>
        <w:br/>
        <w:t>\models</w:t>
      </w:r>
      <w:r>
        <w:br/>
        <w:t>P.</w:t>
      </w:r>
      <w:r>
        <w:br/>
        <w:t>\tag{3.4997}</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\mathcal{M}_{\alpha}^{(\mu)}\models P\qquad\text{(3.4997)}</w:t>
      </w:r>
    </w:p>
    <w:p w:rsidR="00DA3A8D" w:rsidRDefault="00DA3A8D" w:rsidP="00DA3A8D">
      <w:pPr>
        <w:pStyle w:val="StandardWeb"/>
      </w:pPr>
      <w:r>
        <w:lastRenderedPageBreak/>
        <w:t>Daraus folgt nicht:</w:t>
      </w:r>
    </w:p>
    <w:p w:rsidR="00DA3A8D" w:rsidRDefault="00DA3A8D" w:rsidP="00DA3A8D">
      <w:pPr>
        <w:pStyle w:val="StandardWeb"/>
      </w:pPr>
      <w:r>
        <w:t>[</w:t>
      </w:r>
      <w:r>
        <w:br/>
        <w:t>\forall</w:t>
      </w:r>
      <w:r>
        <w:br/>
        <w:t>\mathcal{M}</w:t>
      </w:r>
      <w:r>
        <w:br/>
        <w:t>\in</w:t>
      </w:r>
      <w:r>
        <w:br/>
        <w:t>\operatorname{Mod}_{F}^{(\mu)}:</w:t>
      </w:r>
      <w:r>
        <w:br/>
        <w:t>\mathcal{M}</w:t>
      </w:r>
      <w:r>
        <w:br/>
        <w:t>\models</w:t>
      </w:r>
      <w:r>
        <w:br/>
        <w:t>P.</w:t>
      </w:r>
      <w:r>
        <w:br/>
        <w:t>\tag{3.4998}</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\forall\mathcal{M}\in\operatorname{Mod}_{F}^{(\mu)}:\mathcal{M}\models P\qquad\text{(3.4998)}</w:t>
      </w:r>
    </w:p>
    <w:p w:rsidR="00DA3A8D" w:rsidRDefault="00DA3A8D" w:rsidP="00DA3A8D">
      <w:pPr>
        <w:pStyle w:val="StandardWeb"/>
      </w:pPr>
      <w:r>
        <w:t>Der Übergang von einer Instanzaussage zu einer Klassenaussage wäre eine unzulässige Verallgemeinerung, solange kein entsprechender Satz bewiesen wurde.</w:t>
      </w:r>
    </w:p>
    <w:p w:rsidR="00DA3A8D" w:rsidRPr="00AF32B2" w:rsidRDefault="00DA3A8D" w:rsidP="00AF32B2">
      <w:pPr>
        <w:pStyle w:val="berschrift4"/>
      </w:pPr>
      <w:r w:rsidRPr="00AF32B2">
        <w:t>3.3.25.27 Kennzeichnung wissenschaftlicher Aussageebenen</w:t>
      </w:r>
    </w:p>
    <w:p w:rsidR="00DA3A8D" w:rsidRDefault="00DA3A8D" w:rsidP="00DA3A8D">
      <w:pPr>
        <w:pStyle w:val="StandardWeb"/>
      </w:pPr>
      <w:r>
        <w:t>Ich unterscheide vier Geltungsebenen:</w:t>
      </w:r>
    </w:p>
    <w:p w:rsidR="00DA3A8D" w:rsidRDefault="00DA3A8D" w:rsidP="00DA3A8D">
      <w:pPr>
        <w:pStyle w:val="StandardWeb"/>
      </w:pPr>
      <w:r>
        <w:t>[</w:t>
      </w:r>
      <w:r>
        <w:br/>
        <w:t>\operatorname{Ebene}_{F}(P)</w:t>
      </w:r>
      <w:r>
        <w:br/>
        <w:t>\in</w:t>
      </w:r>
      <w:r>
        <w:br/>
        <w:t>\left{</w:t>
      </w:r>
      <w:r>
        <w:br/>
        <w:t>\mathbf{axiomatisch},</w:t>
      </w:r>
      <w:r>
        <w:br/>
        <w:t>\mathbf{klasseninvariant},</w:t>
      </w:r>
      <w:r>
        <w:br/>
        <w:t>\mathbf{instanzbezogen},</w:t>
      </w:r>
      <w:r>
        <w:br/>
        <w:t>\mathbf{empirisch}</w:t>
      </w:r>
      <w:r>
        <w:br/>
        <w:t>\right}.</w:t>
      </w:r>
      <w:r>
        <w:br/>
        <w:t>\tag{3.4999}</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\operatorname{Ebene}_{F}(P)\in\left\{\mathbf{axiomatisch},\mathbf{klasseninvariant},\mathbf{instanzbezogen},\mathbf{empirisch}\right\}\qquad\text{(3.4999)}</w:t>
      </w:r>
    </w:p>
    <w:p w:rsidR="00DA3A8D" w:rsidRDefault="00DA3A8D" w:rsidP="00DA3A8D">
      <w:pPr>
        <w:pStyle w:val="StandardWeb"/>
      </w:pPr>
      <w:r>
        <w:t>Eine axiomatische Aussage gilt in allen Primäraxiomenmodellen.</w:t>
      </w:r>
    </w:p>
    <w:p w:rsidR="00DA3A8D" w:rsidRDefault="00DA3A8D" w:rsidP="00DA3A8D">
      <w:pPr>
        <w:pStyle w:val="StandardWeb"/>
      </w:pPr>
      <w:r>
        <w:t>Eine klasseninvariante Aussage gilt in allen Modellen einer ausdrücklich bestimmten Modellklasse.</w:t>
      </w:r>
    </w:p>
    <w:p w:rsidR="00DA3A8D" w:rsidRDefault="00DA3A8D" w:rsidP="00DA3A8D">
      <w:pPr>
        <w:pStyle w:val="StandardWeb"/>
      </w:pPr>
      <w:r>
        <w:t>Eine instanzbezogene Aussage gilt nur für eine konkrete Modellinstanz.</w:t>
      </w:r>
    </w:p>
    <w:p w:rsidR="00DA3A8D" w:rsidRDefault="00DA3A8D" w:rsidP="00DA3A8D">
      <w:pPr>
        <w:pStyle w:val="StandardWeb"/>
      </w:pPr>
      <w:r>
        <w:t>Eine empirische Aussage bezieht sich auf Beobachtungsdaten und deren Zuordnung zu einer Modellinstanz.</w:t>
      </w:r>
    </w:p>
    <w:p w:rsidR="00DA3A8D" w:rsidRDefault="00DA3A8D" w:rsidP="00DA3A8D">
      <w:pPr>
        <w:pStyle w:val="StandardWeb"/>
      </w:pPr>
      <w:r>
        <w:rPr>
          <w:rStyle w:val="Fett"/>
        </w:rPr>
        <w:lastRenderedPageBreak/>
        <w:t>Eigenleistung des FRZK</w:t>
      </w:r>
    </w:p>
    <w:p w:rsidR="00DA3A8D" w:rsidRDefault="00DA3A8D" w:rsidP="00DA3A8D">
      <w:pPr>
        <w:pStyle w:val="StandardWeb"/>
      </w:pPr>
      <w:r>
        <w:t>Ich lege fest, dass jede spätere Aussage des FRZK einer dieser vier Ebenen zugeordnet werden muss. Dadurch soll verhindert werden, dass Ergebnisse eines einzelnen Modells als universelle Eigenschaften des gesamten FRZK dargestellt werden.</w:t>
      </w:r>
    </w:p>
    <w:p w:rsidR="00DA3A8D" w:rsidRPr="00AF32B2" w:rsidRDefault="00DA3A8D" w:rsidP="00AF32B2">
      <w:pPr>
        <w:pStyle w:val="berschrift4"/>
      </w:pPr>
      <w:r w:rsidRPr="00AF32B2">
        <w:t>3.3.25.28 Satz zur Interpretationsfreiheit</w:t>
      </w:r>
    </w:p>
    <w:p w:rsidR="00DA3A8D" w:rsidRDefault="00DA3A8D" w:rsidP="00DA3A8D">
      <w:pPr>
        <w:pStyle w:val="StandardWeb"/>
      </w:pPr>
      <w:r>
        <w:rPr>
          <w:rStyle w:val="Fett"/>
        </w:rPr>
        <w:t>Satz 3.3.7 – Interpretationsfreiheit der Primäraxiomenklasse</w:t>
      </w:r>
    </w:p>
    <w:p w:rsidR="00DA3A8D" w:rsidRDefault="00DA3A8D" w:rsidP="00DA3A8D">
      <w:pPr>
        <w:pStyle w:val="StandardWeb"/>
      </w:pPr>
      <w:r>
        <w:t>Die drei Primäraxiome bestimmen keine eindeutige Zustandsstruktur, Relationsstruktur, Transformationsstruktur, Raumstruktur, Zeitstruktur oder physikalische Interpretation. Sie definieren eine nichtleere Modellklasse, innerhalb derer unterschiedliche, nichtisomorphe Modellinstanzen zulässig sind.</w:t>
      </w:r>
    </w:p>
    <w:p w:rsidR="00DA3A8D" w:rsidRDefault="00DA3A8D" w:rsidP="00DA3A8D">
      <w:pPr>
        <w:pStyle w:val="StandardWeb"/>
      </w:pPr>
      <w:r>
        <w:t>Formal existieren Modelle</w:t>
      </w:r>
    </w:p>
    <w:p w:rsidR="00DA3A8D" w:rsidRDefault="00DA3A8D" w:rsidP="00DA3A8D">
      <w:pPr>
        <w:pStyle w:val="StandardWeb"/>
      </w:pPr>
      <w:r>
        <w:t>[</w:t>
      </w:r>
      <w:r>
        <w:br/>
        <w:t>\mathcal{M}</w:t>
      </w:r>
      <w:r>
        <w:rPr>
          <w:rStyle w:val="Hervorhebung"/>
        </w:rPr>
        <w:t>{\alpha},</w:t>
      </w:r>
      <w:r>
        <w:rPr>
          <w:i/>
          <w:iCs/>
        </w:rPr>
        <w:br/>
      </w:r>
      <w:r>
        <w:rPr>
          <w:rStyle w:val="Hervorhebung"/>
        </w:rPr>
        <w:t>\mathcal{M}</w:t>
      </w:r>
      <w:r>
        <w:t>{\beta}</w:t>
      </w:r>
      <w:r>
        <w:br/>
        <w:t>\in</w:t>
      </w:r>
      <w:r>
        <w:br/>
        <w:t>\operatorname{Mod}</w:t>
      </w:r>
      <w:r>
        <w:br/>
        <w:t>\left(</w:t>
      </w:r>
      <w:r>
        <w:br/>
        <w:t>\mathcal{A}_{\mathrm{prim}}</w:t>
      </w:r>
      <w:r>
        <w:br/>
        <w:t>\right)</w:t>
      </w:r>
      <w:r>
        <w:br/>
        <w:t>\tag{3.5000}</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\mathcal{M}_{\alpha},\mathcal{M}_{\beta}\in\operatorname{Mod}\left(\mathcal{A}_{\mathrm{prim}}\right)\qquad\text{(3.5000)}</w:t>
      </w:r>
    </w:p>
    <w:p w:rsidR="00DA3A8D" w:rsidRDefault="00DA3A8D" w:rsidP="00DA3A8D">
      <w:pPr>
        <w:pStyle w:val="StandardWeb"/>
      </w:pPr>
      <w:r>
        <w:t>mit</w:t>
      </w:r>
    </w:p>
    <w:p w:rsidR="00DA3A8D" w:rsidRDefault="00DA3A8D" w:rsidP="00DA3A8D">
      <w:pPr>
        <w:pStyle w:val="StandardWeb"/>
      </w:pPr>
      <w:r>
        <w:t>[</w:t>
      </w:r>
      <w:r>
        <w:br/>
        <w:t>\mathcal{M}</w:t>
      </w:r>
      <w:r>
        <w:rPr>
          <w:rStyle w:val="Hervorhebung"/>
        </w:rPr>
        <w:t>{\alpha}</w:t>
      </w:r>
      <w:r>
        <w:rPr>
          <w:i/>
          <w:iCs/>
        </w:rPr>
        <w:br/>
      </w:r>
      <w:r>
        <w:rPr>
          <w:rStyle w:val="Hervorhebung"/>
        </w:rPr>
        <w:t>\not\cong</w:t>
      </w:r>
      <w:r>
        <w:rPr>
          <w:i/>
          <w:iCs/>
        </w:rPr>
        <w:br/>
      </w:r>
      <w:r>
        <w:rPr>
          <w:rStyle w:val="Hervorhebung"/>
        </w:rPr>
        <w:t>\mathcal{M}</w:t>
      </w:r>
      <w:r>
        <w:t>{\beta}.</w:t>
      </w:r>
      <w:r>
        <w:br/>
        <w:t>\tag{3.5001}</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\mathcal{M}_{\alpha}\not\cong\mathcal{M}_{\beta}\qquad\text{(3.5001)}</w:t>
      </w:r>
    </w:p>
    <w:p w:rsidR="00DA3A8D" w:rsidRDefault="00DA3A8D" w:rsidP="00DA3A8D">
      <w:pPr>
        <w:pStyle w:val="berschrift3"/>
      </w:pPr>
      <w:r>
        <w:t>Beweis</w:t>
      </w:r>
    </w:p>
    <w:p w:rsidR="00DA3A8D" w:rsidRDefault="00DA3A8D" w:rsidP="00DA3A8D">
      <w:pPr>
        <w:pStyle w:val="StandardWeb"/>
      </w:pPr>
      <w:r>
        <w:t>Das gemeinsame Minimalmodell aus Abschnitt 3.3.20 besitzt einen einelementigen Zustandsbereich, eine minimale Relationsstruktur und die Identitätsabbildung als Transformation.</w:t>
      </w:r>
    </w:p>
    <w:p w:rsidR="00DA3A8D" w:rsidRDefault="00DA3A8D" w:rsidP="00DA3A8D">
      <w:pPr>
        <w:pStyle w:val="StandardWeb"/>
      </w:pPr>
      <w:r>
        <w:lastRenderedPageBreak/>
        <w:t>Daneben kann ein Zwei-Zustands-Modell konstruiert werden:</w:t>
      </w:r>
    </w:p>
    <w:p w:rsidR="00DA3A8D" w:rsidRDefault="00DA3A8D" w:rsidP="00DA3A8D">
      <w:pPr>
        <w:pStyle w:val="berschrift1"/>
      </w:pPr>
      <w:r>
        <w:t>[</w:t>
      </w:r>
      <w:r>
        <w:br/>
        <w:t>\mathcal{S}_{\mathrm{el}}^{(2)}</w:t>
      </w:r>
    </w:p>
    <w:p w:rsidR="00DA3A8D" w:rsidRDefault="00DA3A8D" w:rsidP="00DA3A8D">
      <w:pPr>
        <w:pStyle w:val="StandardWeb"/>
      </w:pPr>
      <w:r>
        <w:t>\left{</w:t>
      </w:r>
      <w:r>
        <w:br/>
        <w:t>\delta_0,\delta_1</w:t>
      </w:r>
      <w:r>
        <w:br/>
        <w:t>\right}.</w:t>
      </w:r>
      <w:r>
        <w:br/>
        <w:t>\tag{3.5002}</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\mathcal{S}_{\mathrm{el}}^{(2)}=\left\{\delta_0,\delta_1\right\}\qquad\text{(3.5002)}</w:t>
      </w:r>
    </w:p>
    <w:p w:rsidR="00DA3A8D" w:rsidRDefault="00DA3A8D" w:rsidP="00DA3A8D">
      <w:pPr>
        <w:pStyle w:val="StandardWeb"/>
      </w:pPr>
      <w:r>
        <w:t>Mit einer nichtleeren Relation</w:t>
      </w:r>
    </w:p>
    <w:p w:rsidR="00DA3A8D" w:rsidRDefault="00DA3A8D" w:rsidP="00DA3A8D">
      <w:pPr>
        <w:pStyle w:val="berschrift1"/>
      </w:pPr>
      <w:r>
        <w:t>[</w:t>
      </w:r>
      <w:r>
        <w:br/>
        <w:t>R_{01}</w:t>
      </w:r>
    </w:p>
    <w:p w:rsidR="00DA3A8D" w:rsidRDefault="00DA3A8D" w:rsidP="00DA3A8D">
      <w:pPr>
        <w:pStyle w:val="StandardWeb"/>
      </w:pPr>
      <w:r>
        <w:t>\left{</w:t>
      </w:r>
      <w:r>
        <w:br/>
        <w:t>(\delta_0,\delta_1)</w:t>
      </w:r>
      <w:r>
        <w:br/>
        <w:t>\right}</w:t>
      </w:r>
      <w:r>
        <w:br/>
        <w:t>\tag{3.5003}</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R_{01}=\left\{(\delta_0,\delta_1)\right\}\qquad\text{(3.5003)}</w:t>
      </w:r>
    </w:p>
    <w:p w:rsidR="00DA3A8D" w:rsidRDefault="00DA3A8D" w:rsidP="00DA3A8D">
      <w:pPr>
        <w:pStyle w:val="StandardWeb"/>
      </w:pPr>
      <w:r>
        <w:t>und einer nichttrivialen Transformation</w:t>
      </w:r>
    </w:p>
    <w:p w:rsidR="00DA3A8D" w:rsidRDefault="00DA3A8D" w:rsidP="00DA3A8D">
      <w:pPr>
        <w:pStyle w:val="berschrift1"/>
      </w:pPr>
      <w:r>
        <w:t>[</w:t>
      </w:r>
      <w:r>
        <w:br/>
        <w:t>T_{01}(\delta_0)</w:t>
      </w:r>
    </w:p>
    <w:p w:rsidR="00DA3A8D" w:rsidRDefault="00DA3A8D" w:rsidP="00DA3A8D">
      <w:pPr>
        <w:pStyle w:val="berschrift1"/>
      </w:pPr>
      <w:r>
        <w:t>\delta_1,</w:t>
      </w:r>
      <w:r>
        <w:br/>
        <w:t>\qquad</w:t>
      </w:r>
      <w:r>
        <w:br/>
        <w:t>T_{01}(\delta_1)</w:t>
      </w:r>
    </w:p>
    <w:p w:rsidR="00DA3A8D" w:rsidRDefault="00DA3A8D" w:rsidP="00DA3A8D">
      <w:pPr>
        <w:pStyle w:val="StandardWeb"/>
      </w:pPr>
      <w:r>
        <w:t>\delta_1</w:t>
      </w:r>
      <w:r>
        <w:br/>
        <w:t>\tag{3.5004}</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lastRenderedPageBreak/>
        <w:t>T_{01}(\delta_0)=\delta_1,\qquad T_{01}(\delta_1)=\delta_1\qquad\text{(3.5004)}</w:t>
      </w:r>
    </w:p>
    <w:p w:rsidR="00DA3A8D" w:rsidRDefault="00DA3A8D" w:rsidP="00DA3A8D">
      <w:pPr>
        <w:pStyle w:val="StandardWeb"/>
      </w:pPr>
      <w:r>
        <w:t>erfüllt auch dieses Modell die drei Primäraxiome.</w:t>
      </w:r>
    </w:p>
    <w:p w:rsidR="00DA3A8D" w:rsidRDefault="00DA3A8D" w:rsidP="00DA3A8D">
      <w:pPr>
        <w:pStyle w:val="StandardWeb"/>
      </w:pPr>
      <w:r>
        <w:t>Wegen der unterschiedlichen Kardinalitäten gilt:</w:t>
      </w:r>
    </w:p>
    <w:p w:rsidR="00DA3A8D" w:rsidRDefault="00DA3A8D" w:rsidP="00DA3A8D">
      <w:pPr>
        <w:pStyle w:val="berschrift1"/>
      </w:pPr>
      <w:r>
        <w:t>[</w:t>
      </w:r>
      <w:r>
        <w:br/>
        <w:t>\left|</w:t>
      </w:r>
      <w:r>
        <w:br/>
        <w:t>\mathcal{S}_{\mathrm{el}}^{\min}</w:t>
      </w:r>
      <w:r>
        <w:br/>
        <w:t>\right|</w:t>
      </w:r>
    </w:p>
    <w:p w:rsidR="00DA3A8D" w:rsidRDefault="00DA3A8D" w:rsidP="00DA3A8D">
      <w:pPr>
        <w:pStyle w:val="berschrift1"/>
      </w:pPr>
      <w:r>
        <w:t>1</w:t>
      </w:r>
      <w:r>
        <w:br/>
        <w:t>\neq</w:t>
      </w:r>
      <w:r>
        <w:br/>
        <w:t>2</w:t>
      </w:r>
    </w:p>
    <w:p w:rsidR="00DA3A8D" w:rsidRDefault="00DA3A8D" w:rsidP="00DA3A8D">
      <w:pPr>
        <w:pStyle w:val="StandardWeb"/>
      </w:pPr>
      <w:r>
        <w:t>\left|</w:t>
      </w:r>
      <w:r>
        <w:br/>
        <w:t>\mathcal{S}_{\mathrm{el}}^{(2)}</w:t>
      </w:r>
      <w:r>
        <w:br/>
        <w:t>\right|.</w:t>
      </w:r>
      <w:r>
        <w:br/>
        <w:t>\tag{3.5005}</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\left|\mathcal{S}_{\mathrm{el}}^{\min}\right|=1\neq2=\left|\mathcal{S}_{\mathrm{el}}^{(2)}\right|\qquad\text{(3.5005)}</w:t>
      </w:r>
    </w:p>
    <w:p w:rsidR="00DA3A8D" w:rsidRDefault="00DA3A8D" w:rsidP="00DA3A8D">
      <w:pPr>
        <w:pStyle w:val="StandardWeb"/>
      </w:pPr>
      <w:r>
        <w:t>Die beiden Modelle können daher nicht isomorph sein.</w:t>
      </w:r>
    </w:p>
    <w:p w:rsidR="00DA3A8D" w:rsidRDefault="00DA3A8D" w:rsidP="00DA3A8D">
      <w:pPr>
        <w:pStyle w:val="StandardWeb"/>
      </w:pPr>
      <w:r>
        <w:t>Somit existieren mindestens zwei nichtisomorphe Modelle der Primäraxiome. Die Primäraxiome bestimmen deshalb keine eindeutige Modellinstanz und keine eindeutige physikalische Interpretation. (\square)</w:t>
      </w:r>
    </w:p>
    <w:p w:rsidR="00DA3A8D" w:rsidRPr="00AF32B2" w:rsidRDefault="00DA3A8D" w:rsidP="00AF32B2">
      <w:pPr>
        <w:pStyle w:val="berschrift4"/>
      </w:pPr>
      <w:r w:rsidRPr="00AF32B2">
        <w:t>3.3.25.29 Keine Beliebigkeit der Interpretation</w:t>
      </w:r>
    </w:p>
    <w:p w:rsidR="00DA3A8D" w:rsidRDefault="00DA3A8D" w:rsidP="00DA3A8D">
      <w:pPr>
        <w:pStyle w:val="StandardWeb"/>
      </w:pPr>
      <w:r>
        <w:t>Interpretationsfreiheit bedeutet nicht, dass jede beliebige Deutung wissenschaftlich zulässig ist.</w:t>
      </w:r>
    </w:p>
    <w:p w:rsidR="00DA3A8D" w:rsidRDefault="00DA3A8D" w:rsidP="00DA3A8D">
      <w:pPr>
        <w:pStyle w:val="StandardWeb"/>
      </w:pPr>
      <w:r>
        <w:t>Eine zulässige Interpretation muss mindestens erfüllen:</w:t>
      </w:r>
    </w:p>
    <w:p w:rsidR="00DA3A8D" w:rsidRDefault="00DA3A8D" w:rsidP="00DA3A8D">
      <w:pPr>
        <w:pStyle w:val="berschrift1"/>
      </w:pPr>
      <w:r>
        <w:t>[</w:t>
      </w:r>
      <w:r>
        <w:br/>
        <w:t>\operatorname{TypErhalt}</w:t>
      </w:r>
      <w:r>
        <w:br/>
        <w:t>\left(</w:t>
      </w:r>
      <w:r>
        <w:br/>
      </w:r>
      <w:r>
        <w:lastRenderedPageBreak/>
        <w:t>\mathcal{I}</w:t>
      </w:r>
      <w:r>
        <w:br/>
        <w:t>\right)</w:t>
      </w:r>
    </w:p>
    <w:p w:rsidR="00DA3A8D" w:rsidRDefault="00DA3A8D" w:rsidP="00DA3A8D">
      <w:pPr>
        <w:pStyle w:val="StandardWeb"/>
      </w:pPr>
      <w:r>
        <w:t>1,</w:t>
      </w:r>
      <w:r>
        <w:br/>
        <w:t>\tag{3.5006}</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\operatorname{TypErhalt}\left(\mathcal{I}\right)=1\qquad\text{(3.5006)}</w:t>
      </w:r>
    </w:p>
    <w:p w:rsidR="00DA3A8D" w:rsidRDefault="00DA3A8D" w:rsidP="00DA3A8D">
      <w:pPr>
        <w:pStyle w:val="berschrift1"/>
      </w:pPr>
      <w:r>
        <w:t>[</w:t>
      </w:r>
      <w:r>
        <w:br/>
        <w:t>\operatorname{StrukturErhalt}</w:t>
      </w:r>
      <w:r>
        <w:br/>
        <w:t>\left(</w:t>
      </w:r>
      <w:r>
        <w:br/>
        <w:t>\mathcal{I}</w:t>
      </w:r>
      <w:r>
        <w:br/>
        <w:t>\right)</w:t>
      </w:r>
    </w:p>
    <w:p w:rsidR="00DA3A8D" w:rsidRDefault="00DA3A8D" w:rsidP="00DA3A8D">
      <w:pPr>
        <w:pStyle w:val="StandardWeb"/>
      </w:pPr>
      <w:r>
        <w:t>1,</w:t>
      </w:r>
      <w:r>
        <w:br/>
        <w:t>\tag{3.5007}</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\operatorname{StrukturErhalt}\left(\mathcal{I}\right)=1\qquad\text{(3.5007)}</w:t>
      </w:r>
    </w:p>
    <w:p w:rsidR="00DA3A8D" w:rsidRDefault="00DA3A8D" w:rsidP="00DA3A8D">
      <w:pPr>
        <w:pStyle w:val="StandardWeb"/>
      </w:pPr>
      <w:r>
        <w:t>und bei empirischen Anwendungen:</w:t>
      </w:r>
    </w:p>
    <w:p w:rsidR="00DA3A8D" w:rsidRDefault="00DA3A8D" w:rsidP="00DA3A8D">
      <w:pPr>
        <w:pStyle w:val="berschrift1"/>
      </w:pPr>
      <w:r>
        <w:t>[</w:t>
      </w:r>
      <w:r>
        <w:br/>
        <w:t>\operatorname{Adm}_{\mathrm{emp}}</w:t>
      </w:r>
      <w:r>
        <w:br/>
        <w:t>\left(</w:t>
      </w:r>
      <w:r>
        <w:br/>
        <w:t>\mathcal{I},</w:t>
      </w:r>
      <w:r>
        <w:br/>
        <w:t>\mathcal{M}</w:t>
      </w:r>
      <w:r>
        <w:br/>
        <w:t>\right)</w:t>
      </w:r>
    </w:p>
    <w:p w:rsidR="00DA3A8D" w:rsidRDefault="00DA3A8D" w:rsidP="00632D23">
      <w:pPr>
        <w:numPr>
          <w:ilvl w:val="0"/>
          <w:numId w:val="136"/>
        </w:numPr>
        <w:spacing w:before="100" w:beforeAutospacing="1" w:after="100" w:afterAutospacing="1"/>
      </w:pPr>
    </w:p>
    <w:p w:rsidR="00DA3A8D" w:rsidRDefault="00DA3A8D" w:rsidP="00DA3A8D">
      <w:pPr>
        <w:pStyle w:val="StandardWeb"/>
      </w:pPr>
      <w:r>
        <w:t>\tag{3.5008}</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lastRenderedPageBreak/>
        <w:t>\operatorname{Adm}_{\mathrm{emp}}\left(\mathcal{I},\mathcal{M}\right)=1\qquad\text{(3.5008)}</w:t>
      </w:r>
    </w:p>
    <w:p w:rsidR="00DA3A8D" w:rsidRDefault="00DA3A8D" w:rsidP="00DA3A8D">
      <w:pPr>
        <w:pStyle w:val="StandardWeb"/>
      </w:pPr>
      <w:r>
        <w:t>Eine Interpretation muss also mit der formalen Struktur, den Typbedingungen und den Beobachtungsdaten verträglich sein.</w:t>
      </w:r>
    </w:p>
    <w:p w:rsidR="00DA3A8D" w:rsidRPr="00AF32B2" w:rsidRDefault="00DA3A8D" w:rsidP="00AF32B2">
      <w:pPr>
        <w:pStyle w:val="berschrift4"/>
      </w:pPr>
      <w:r w:rsidRPr="00AF32B2">
        <w:t>3.3.25.30 Reichweite des Interpretationsfreiheitssatzes</w:t>
      </w:r>
    </w:p>
    <w:p w:rsidR="00DA3A8D" w:rsidRDefault="00DA3A8D" w:rsidP="00DA3A8D">
      <w:pPr>
        <w:pStyle w:val="StandardWeb"/>
      </w:pPr>
      <w:r>
        <w:t>Satz 3.3.7 zeigt, dass die Primäraxiome unterbestimmt sind. Er zeigt nicht, dass sämtliche denkbaren Modelle wissenschaftlich gleichwertig sind.</w:t>
      </w:r>
    </w:p>
    <w:p w:rsidR="00DA3A8D" w:rsidRDefault="00DA3A8D" w:rsidP="00DA3A8D">
      <w:pPr>
        <w:pStyle w:val="StandardWeb"/>
      </w:pPr>
      <w:r>
        <w:t>Ein Modell kann formal zulässig, aber für eine bestimmte Fragestellung ungeeignet sein:</w:t>
      </w:r>
    </w:p>
    <w:p w:rsidR="00DA3A8D" w:rsidRDefault="00DA3A8D" w:rsidP="00DA3A8D">
      <w:pPr>
        <w:pStyle w:val="StandardWeb"/>
      </w:pPr>
      <w:r>
        <w:t>[</w:t>
      </w:r>
      <w:r>
        <w:br/>
        <w:t>\mathcal{M}</w:t>
      </w:r>
      <w:r>
        <w:br/>
        <w:t>\in</w:t>
      </w:r>
      <w:r>
        <w:br/>
        <w:t>\operatorname{Mod}</w:t>
      </w:r>
      <w:r>
        <w:br/>
        <w:t>\left(</w:t>
      </w:r>
      <w:r>
        <w:br/>
        <w:t>\mathcal{A}_{\mathrm{prim}}</w:t>
      </w:r>
      <w:r>
        <w:br/>
        <w:t>\right)</w:t>
      </w:r>
      <w:r>
        <w:br/>
        <w:t>\tag{3.5009}</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\mathcal{M}\in\operatorname{Mod}\left(\mathcal{A}_{\mathrm{prim}}\right)\qquad\text{(3.5009)}</w:t>
      </w:r>
    </w:p>
    <w:p w:rsidR="00DA3A8D" w:rsidRDefault="00DA3A8D" w:rsidP="00DA3A8D">
      <w:pPr>
        <w:pStyle w:val="StandardWeb"/>
      </w:pPr>
      <w:r>
        <w:t>bei gleichzeitig</w:t>
      </w:r>
    </w:p>
    <w:p w:rsidR="00DA3A8D" w:rsidRDefault="00DA3A8D" w:rsidP="00DA3A8D">
      <w:pPr>
        <w:pStyle w:val="StandardWeb"/>
      </w:pPr>
      <w:r>
        <w:t>[</w:t>
      </w:r>
      <w:r>
        <w:br/>
        <w:t>\mathcal{M}</w:t>
      </w:r>
      <w:r>
        <w:br/>
        <w:t>\notin</w:t>
      </w:r>
      <w:r>
        <w:br/>
        <w:t>\operatorname{Mod}_{F}^{(\mu)}.</w:t>
      </w:r>
      <w:r>
        <w:br/>
        <w:t>\tag{3.5010}</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\mathcal{M}\notin\operatorname{Mod}_{F}^{(\mu)}\qquad\text{(3.5010)}</w:t>
      </w:r>
    </w:p>
    <w:p w:rsidR="00DA3A8D" w:rsidRDefault="00DA3A8D" w:rsidP="00DA3A8D">
      <w:pPr>
        <w:pStyle w:val="StandardWeb"/>
      </w:pPr>
      <w:r>
        <w:t>Die Eignung eines Modells hängt von den ausdrücklich formulierten Modellbedingungen und dem Untersuchungsziel ab.</w:t>
      </w:r>
    </w:p>
    <w:p w:rsidR="00DA3A8D" w:rsidRPr="00AF32B2" w:rsidRDefault="00DA3A8D" w:rsidP="00AF32B2">
      <w:pPr>
        <w:pStyle w:val="berschrift4"/>
      </w:pPr>
      <w:r w:rsidRPr="00AF32B2">
        <w:t>3.3.25.31 Modellwahl</w:t>
      </w:r>
    </w:p>
    <w:p w:rsidR="00DA3A8D" w:rsidRDefault="00DA3A8D" w:rsidP="00DA3A8D">
      <w:pPr>
        <w:pStyle w:val="StandardWeb"/>
      </w:pPr>
      <w:r>
        <w:t>Die Auswahl einer Modellklasse erfolgt durch eine Auswahlregel:</w:t>
      </w:r>
    </w:p>
    <w:p w:rsidR="00DA3A8D" w:rsidRDefault="00DA3A8D" w:rsidP="00DA3A8D">
      <w:pPr>
        <w:pStyle w:val="StandardWeb"/>
      </w:pPr>
      <w:r>
        <w:t>[</w:t>
      </w:r>
      <w:r>
        <w:br/>
        <w:t>\Sigma_{F}:</w:t>
      </w:r>
      <w:r>
        <w:br/>
        <w:t>\mathfrak{Q}</w:t>
      </w:r>
      <w:r>
        <w:br/>
        <w:t>\rightarrow</w:t>
      </w:r>
      <w:r>
        <w:br/>
      </w:r>
      <w:r>
        <w:lastRenderedPageBreak/>
        <w:t>\mathcal{P}</w:t>
      </w:r>
      <w:r>
        <w:br/>
        <w:t>\left(</w:t>
      </w:r>
      <w:r>
        <w:br/>
        <w:t>\operatorname{Mod}</w:t>
      </w:r>
      <w:r>
        <w:br/>
        <w:t>\left(</w:t>
      </w:r>
      <w:r>
        <w:br/>
        <w:t>\mathcal{A}_{\mathrm{prim}}</w:t>
      </w:r>
      <w:r>
        <w:br/>
        <w:t>\right)</w:t>
      </w:r>
      <w:r>
        <w:br/>
        <w:t>\right),</w:t>
      </w:r>
      <w:r>
        <w:br/>
        <w:t>\tag{3.5011}</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\Sigma_{F}:\mathfrak{Q}\rightarrow\mathcal{P}\left(\operatorname{Mod}\left(\mathcal{A}_{\mathrm{prim}}\right)\right)\qquad\text{(3.5011)}</w:t>
      </w:r>
    </w:p>
    <w:p w:rsidR="00DA3A8D" w:rsidRDefault="00DA3A8D" w:rsidP="00DA3A8D">
      <w:pPr>
        <w:pStyle w:val="StandardWeb"/>
      </w:pPr>
      <w:r>
        <w:t>wobei (\mathfrak{Q}) die Menge möglicher Forschungsfragen bezeichnet.</w:t>
      </w:r>
    </w:p>
    <w:p w:rsidR="00DA3A8D" w:rsidRDefault="00DA3A8D" w:rsidP="00DA3A8D">
      <w:pPr>
        <w:pStyle w:val="StandardWeb"/>
      </w:pPr>
      <w:r>
        <w:t>Für eine Forschungsfrage (q) gilt:</w:t>
      </w:r>
    </w:p>
    <w:p w:rsidR="00DA3A8D" w:rsidRDefault="00DA3A8D" w:rsidP="00DA3A8D">
      <w:pPr>
        <w:pStyle w:val="berschrift1"/>
      </w:pPr>
      <w:r>
        <w:t>[</w:t>
      </w:r>
      <w:r>
        <w:br/>
        <w:t>\Sigma_{F}(q)</w:t>
      </w:r>
    </w:p>
    <w:p w:rsidR="00DA3A8D" w:rsidRDefault="00DA3A8D" w:rsidP="00DA3A8D">
      <w:pPr>
        <w:pStyle w:val="StandardWeb"/>
      </w:pPr>
      <w:r>
        <w:t>\operatorname{Mod}_{F}^{(q)}.</w:t>
      </w:r>
      <w:r>
        <w:br/>
        <w:t>\tag{3.5012}</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\Sigma_{F}(q)=\operatorname{Mod}_{F}^{(q)}\qquad\text{(3.5012)}</w:t>
      </w:r>
    </w:p>
    <w:p w:rsidR="00DA3A8D" w:rsidRDefault="00DA3A8D" w:rsidP="00DA3A8D">
      <w:pPr>
        <w:pStyle w:val="StandardWeb"/>
      </w:pPr>
      <w:r>
        <w:t>Die Modellwahl muss damit aus der jeweiligen Forschungsfrage und den benötigten Strukturen begründet werden.</w:t>
      </w:r>
    </w:p>
    <w:p w:rsidR="00DA3A8D" w:rsidRPr="00AF32B2" w:rsidRDefault="00DA3A8D" w:rsidP="00AF32B2">
      <w:pPr>
        <w:pStyle w:val="berschrift4"/>
      </w:pPr>
      <w:r w:rsidRPr="00AF32B2">
        <w:t>3.3.25.32 Kriterien der Modellwahl</w:t>
      </w:r>
    </w:p>
    <w:p w:rsidR="00DA3A8D" w:rsidRDefault="00DA3A8D" w:rsidP="00DA3A8D">
      <w:pPr>
        <w:pStyle w:val="StandardWeb"/>
      </w:pPr>
      <w:r>
        <w:t>Eine Modellklasse kann anhand mehrerer Kriterien ausgewählt werden:</w:t>
      </w:r>
    </w:p>
    <w:p w:rsidR="00DA3A8D" w:rsidRDefault="00DA3A8D" w:rsidP="00DA3A8D">
      <w:pPr>
        <w:pStyle w:val="berschrift1"/>
      </w:pPr>
      <w:r>
        <w:t>[</w:t>
      </w:r>
      <w:r>
        <w:br/>
        <w:t>\mathfrak{K}_{\mathrm{wahl}}</w:t>
      </w:r>
    </w:p>
    <w:p w:rsidR="00DA3A8D" w:rsidRDefault="00DA3A8D" w:rsidP="00DA3A8D">
      <w:pPr>
        <w:pStyle w:val="StandardWeb"/>
      </w:pPr>
      <w:r>
        <w:t>\left{</w:t>
      </w:r>
      <w:r>
        <w:br/>
        <w:t>\mathbf{Adäquanz},</w:t>
      </w:r>
      <w:r>
        <w:br/>
        <w:t>\mathbf{Minimalität},</w:t>
      </w:r>
      <w:r>
        <w:br/>
        <w:t>\mathbf{Berechenbarkeit},</w:t>
      </w:r>
      <w:r>
        <w:br/>
        <w:t>\mathbf{Prüfbarkeit},</w:t>
      </w:r>
      <w:r>
        <w:br/>
        <w:t>\mathbf{Interpretierbarkeit}</w:t>
      </w:r>
      <w:r>
        <w:br/>
        <w:t>\right}.</w:t>
      </w:r>
      <w:r>
        <w:br/>
      </w:r>
      <w:r>
        <w:lastRenderedPageBreak/>
        <w:t>\tag{3.5013}</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\mathfrak{K}_{\mathrm{wahl}}=\left\{\mathbf{Adäquanz},\mathbf{Minimalität},\mathbf{Berechenbarkeit},\mathbf{Prüfbarkeit},\mathbf{Interpretierbarkeit}\right\}\qquad\text{(3.5013)}</w:t>
      </w:r>
    </w:p>
    <w:p w:rsidR="00DA3A8D" w:rsidRDefault="00DA3A8D" w:rsidP="00DA3A8D">
      <w:pPr>
        <w:pStyle w:val="StandardWeb"/>
      </w:pPr>
      <w:r>
        <w:t>Eine geeignete Modellklasse soll ausreichend strukturiert sein, um die Forschungsfrage zu bearbeiten, aber keine nicht benötigten Zusatzannahmen enthalten.</w:t>
      </w:r>
    </w:p>
    <w:p w:rsidR="00DA3A8D" w:rsidRDefault="00DA3A8D" w:rsidP="00DA3A8D">
      <w:pPr>
        <w:pStyle w:val="StandardWeb"/>
      </w:pPr>
      <w:r>
        <w:rPr>
          <w:rStyle w:val="Fett"/>
        </w:rPr>
        <w:t>Eigenleistung des FRZK</w:t>
      </w:r>
    </w:p>
    <w:p w:rsidR="00DA3A8D" w:rsidRDefault="00DA3A8D" w:rsidP="00DA3A8D">
      <w:pPr>
        <w:pStyle w:val="StandardWeb"/>
      </w:pPr>
      <w:r>
        <w:t>Ich verwende das Prinzip der zweckbezogenen minimalen Modellwahl. Eine Modellklasse soll genau so stark eingeschränkt werden, wie es für die jeweilige Fragestellung erforderlich ist.</w:t>
      </w:r>
    </w:p>
    <w:p w:rsidR="00DA3A8D" w:rsidRPr="00AF32B2" w:rsidRDefault="00DA3A8D" w:rsidP="00AF32B2">
      <w:pPr>
        <w:pStyle w:val="berschrift4"/>
      </w:pPr>
      <w:r w:rsidRPr="00AF32B2">
        <w:t>3.3.25.33 Repository-Kennzeichnung von Modellbedingungen</w:t>
      </w:r>
    </w:p>
    <w:p w:rsidR="00DA3A8D" w:rsidRDefault="00DA3A8D" w:rsidP="00DA3A8D">
      <w:pPr>
        <w:pStyle w:val="StandardWeb"/>
      </w:pPr>
      <w:r>
        <w:t>Jede Modellbedingung muss im wissenschaftlichen Repository einer Modellklasse zugeordnet werden.</w:t>
      </w:r>
    </w:p>
    <w:p w:rsidR="00DA3A8D" w:rsidRDefault="00DA3A8D" w:rsidP="00DA3A8D">
      <w:pPr>
        <w:pStyle w:val="StandardWeb"/>
      </w:pPr>
      <w:r>
        <w:t>Eine solche Zuordnung kann schematisch geschrieben werden als:</w:t>
      </w:r>
    </w:p>
    <w:p w:rsidR="00DA3A8D" w:rsidRDefault="00DA3A8D" w:rsidP="00DA3A8D">
      <w:pPr>
        <w:pStyle w:val="StandardWeb"/>
      </w:pPr>
      <w:r>
        <w:t>[</w:t>
      </w:r>
      <w:r>
        <w:br/>
        <w:t>\operatorname{Cond}</w:t>
      </w:r>
      <w:r>
        <w:br/>
        <w:t>\left(</w:t>
      </w:r>
      <w:r>
        <w:br/>
        <w:t>B_i,</w:t>
      </w:r>
      <w:r>
        <w:br/>
        <w:t>\operatorname{Mod}_{F}^{(\mu)}</w:t>
      </w:r>
      <w:r>
        <w:br/>
        <w:t>\right).</w:t>
      </w:r>
      <w:r>
        <w:br/>
        <w:t>\tag{3.5014}</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\operatorname{Cond}\left(B_i,\operatorname{Mod}_{F}^{(\mu)}\right)\qquad\text{(3.5014)}</w:t>
      </w:r>
    </w:p>
    <w:p w:rsidR="00DA3A8D" w:rsidRDefault="00DA3A8D" w:rsidP="00DA3A8D">
      <w:pPr>
        <w:pStyle w:val="StandardWeb"/>
      </w:pPr>
      <w:r>
        <w:t>Zusätzlich muss die Herkunft der Bedingung gekennzeichnet werden:</w:t>
      </w:r>
    </w:p>
    <w:p w:rsidR="00DA3A8D" w:rsidRDefault="00DA3A8D" w:rsidP="00DA3A8D">
      <w:pPr>
        <w:pStyle w:val="StandardWeb"/>
      </w:pPr>
      <w:r>
        <w:t>[</w:t>
      </w:r>
      <w:r>
        <w:br/>
        <w:t>\operatorname{Herkunft}(B_i)</w:t>
      </w:r>
      <w:r>
        <w:br/>
        <w:t>\in</w:t>
      </w:r>
      <w:r>
        <w:br/>
        <w:t>\left{</w:t>
      </w:r>
      <w:r>
        <w:br/>
        <w:t>\mathbf{definitorisch},</w:t>
      </w:r>
      <w:r>
        <w:br/>
        <w:t>\mathbf{methodisch},</w:t>
      </w:r>
      <w:r>
        <w:br/>
        <w:t>\mathbf{empirisch},</w:t>
      </w:r>
      <w:r>
        <w:br/>
        <w:t>\mathbf{technisch},</w:t>
      </w:r>
      <w:r>
        <w:br/>
        <w:t>\mathbf{hypothetisch}</w:t>
      </w:r>
      <w:r>
        <w:br/>
        <w:t>\right}.</w:t>
      </w:r>
      <w:r>
        <w:br/>
      </w:r>
      <w:r>
        <w:lastRenderedPageBreak/>
        <w:t>\tag{3.5015}</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\operatorname{Herkunft}(B_i)\in\left\{\mathbf{definitorisch},\mathbf{methodisch},\mathbf{empirisch},\mathbf{technisch},\mathbf{hypothetisch}\right\}\qquad\text{(3.5015)}</w:t>
      </w:r>
    </w:p>
    <w:p w:rsidR="00DA3A8D" w:rsidRDefault="00DA3A8D" w:rsidP="00DA3A8D">
      <w:pPr>
        <w:pStyle w:val="StandardWeb"/>
      </w:pPr>
      <w:r>
        <w:t>Damit lässt sich später prüfen, ob eine Bedingung aus mathematischen Gründen, aus empirischen Daten oder aus einer technischen Modellierungsentscheidung eingeführt wurde.</w:t>
      </w:r>
    </w:p>
    <w:p w:rsidR="00DA3A8D" w:rsidRPr="00AF32B2" w:rsidRDefault="00DA3A8D" w:rsidP="00AF32B2">
      <w:pPr>
        <w:pStyle w:val="berschrift4"/>
      </w:pPr>
      <w:r w:rsidRPr="00AF32B2">
        <w:t>3.3.25.34 Ergebnis der Modellklassenprüfung</w:t>
      </w:r>
    </w:p>
    <w:p w:rsidR="00DA3A8D" w:rsidRDefault="00DA3A8D" w:rsidP="00DA3A8D">
      <w:pPr>
        <w:pStyle w:val="StandardWeb"/>
      </w:pPr>
      <w:r>
        <w:t>Die drei Primäraxiome definieren eine breite Modellklasse. Sie erzwingen ausschließlich die Existenz mindestens eines elementaren Zustands, mindestens einer funktionalen Relation und mindestens einer funktionalen Transformation.</w:t>
      </w:r>
    </w:p>
    <w:p w:rsidR="00DA3A8D" w:rsidRDefault="00DA3A8D" w:rsidP="00DA3A8D">
      <w:pPr>
        <w:pStyle w:val="StandardWeb"/>
      </w:pPr>
      <w:r>
        <w:t>Weitere Eigenschaften wie Endlichkeit, Kontinuität, Metrik, Symmetrie, Invertierbarkeit, Linearität, räumliche Interpretation, zeitliche Skalierung oder physikalische Bedeutung gehören nicht zum allgemeinen Primäraxiomengehalt.</w:t>
      </w:r>
    </w:p>
    <w:p w:rsidR="00DA3A8D" w:rsidRDefault="00DA3A8D" w:rsidP="00DA3A8D">
      <w:pPr>
        <w:pStyle w:val="StandardWeb"/>
      </w:pPr>
      <w:r>
        <w:t>Sie müssen als:</w:t>
      </w:r>
    </w:p>
    <w:p w:rsidR="00DA3A8D" w:rsidRDefault="00DA3A8D" w:rsidP="00632D23">
      <w:pPr>
        <w:pStyle w:val="StandardWeb"/>
        <w:numPr>
          <w:ilvl w:val="0"/>
          <w:numId w:val="137"/>
        </w:numPr>
      </w:pPr>
      <w:r>
        <w:t>Definition,</w:t>
      </w:r>
    </w:p>
    <w:p w:rsidR="00DA3A8D" w:rsidRDefault="00DA3A8D" w:rsidP="00632D23">
      <w:pPr>
        <w:pStyle w:val="StandardWeb"/>
        <w:numPr>
          <w:ilvl w:val="0"/>
          <w:numId w:val="137"/>
        </w:numPr>
      </w:pPr>
      <w:r>
        <w:t>Modellbedingung,</w:t>
      </w:r>
    </w:p>
    <w:p w:rsidR="00DA3A8D" w:rsidRDefault="00DA3A8D" w:rsidP="00632D23">
      <w:pPr>
        <w:pStyle w:val="StandardWeb"/>
        <w:numPr>
          <w:ilvl w:val="0"/>
          <w:numId w:val="137"/>
        </w:numPr>
      </w:pPr>
      <w:r>
        <w:t>Interpretationsregel,</w:t>
      </w:r>
    </w:p>
    <w:p w:rsidR="00DA3A8D" w:rsidRDefault="00DA3A8D" w:rsidP="00632D23">
      <w:pPr>
        <w:pStyle w:val="StandardWeb"/>
        <w:numPr>
          <w:ilvl w:val="0"/>
          <w:numId w:val="137"/>
        </w:numPr>
      </w:pPr>
      <w:r>
        <w:t>Kalibrierungsannahme,</w:t>
      </w:r>
    </w:p>
    <w:p w:rsidR="00DA3A8D" w:rsidRDefault="00DA3A8D" w:rsidP="00632D23">
      <w:pPr>
        <w:pStyle w:val="StandardWeb"/>
        <w:numPr>
          <w:ilvl w:val="0"/>
          <w:numId w:val="137"/>
        </w:numPr>
      </w:pPr>
      <w:r>
        <w:t>empirische Hypothese</w:t>
      </w:r>
    </w:p>
    <w:p w:rsidR="00DA3A8D" w:rsidRDefault="00DA3A8D" w:rsidP="00DA3A8D">
      <w:pPr>
        <w:pStyle w:val="StandardWeb"/>
      </w:pPr>
      <w:r>
        <w:t>ausdrücklich ausgewiesen werden [6, 58, 59, 71, 75, 79].</w:t>
      </w:r>
    </w:p>
    <w:p w:rsidR="00DA3A8D" w:rsidRDefault="00DA3A8D" w:rsidP="00DA3A8D">
      <w:pPr>
        <w:pStyle w:val="StandardWeb"/>
      </w:pPr>
      <w:r>
        <w:rPr>
          <w:rStyle w:val="Fett"/>
        </w:rPr>
        <w:t>Eigenleistung des FRZK</w:t>
      </w:r>
    </w:p>
    <w:p w:rsidR="00DA3A8D" w:rsidRDefault="00DA3A8D" w:rsidP="00DA3A8D">
      <w:pPr>
        <w:pStyle w:val="StandardWeb"/>
      </w:pPr>
      <w:r>
        <w:t>Mit Definition 3.3.17 und Satz 3.3.7 ist die Trennung zwischen Theorie, Modellklasse, Modellinstanz und Interpretation formal festgelegt. Dadurch kann ich zukünftig für jede Aussage bestimmen, auf welcher Geltungsebene sie formuliert ist und welche Zusatzbedingungen sie voraussetzt.</w:t>
      </w:r>
    </w:p>
    <w:p w:rsidR="00DA3A8D" w:rsidRPr="00AF32B2" w:rsidRDefault="00DA3A8D" w:rsidP="00AF32B2">
      <w:pPr>
        <w:pStyle w:val="berschrift4"/>
      </w:pPr>
      <w:r w:rsidRPr="00AF32B2">
        <w:t>3.3.25.35 Übergang zur Prüfung der empirischen Anschlussfähigkeit</w:t>
      </w:r>
    </w:p>
    <w:p w:rsidR="00DA3A8D" w:rsidRDefault="00DA3A8D" w:rsidP="00DA3A8D">
      <w:pPr>
        <w:pStyle w:val="StandardWeb"/>
      </w:pPr>
      <w:r>
        <w:t>Die Modellklassen und ihre Interpretationsfreiheit sind nun bestimmt. Der nächste Schritt betrifft die Frage, unter welchen Bedingungen eine formale FRZK-Modellinstanz mit empirischen Daten verbunden werden kann.</w:t>
      </w:r>
    </w:p>
    <w:p w:rsidR="00DA3A8D" w:rsidRDefault="00DA3A8D" w:rsidP="00DA3A8D">
      <w:pPr>
        <w:pStyle w:val="StandardWeb"/>
      </w:pPr>
      <w:r>
        <w:t>Eine empirische Anschlussstruktur kann schematisch dargestellt werden durch:</w:t>
      </w:r>
    </w:p>
    <w:p w:rsidR="00DA3A8D" w:rsidRDefault="00DA3A8D" w:rsidP="00DA3A8D">
      <w:pPr>
        <w:pStyle w:val="StandardWeb"/>
      </w:pPr>
      <w:r>
        <w:t>[</w:t>
      </w:r>
      <w:r>
        <w:br/>
        <w:t>\mathcal{D}</w:t>
      </w:r>
      <w:r>
        <w:rPr>
          <w:rStyle w:val="Hervorhebung"/>
        </w:rPr>
        <w:t>{\mathrm{emp}}</w:t>
      </w:r>
      <w:r>
        <w:rPr>
          <w:i/>
          <w:iCs/>
        </w:rPr>
        <w:br/>
      </w:r>
      <w:r>
        <w:rPr>
          <w:rStyle w:val="Hervorhebung"/>
        </w:rPr>
        <w:t>\overset{\mathcal{O}</w:t>
      </w:r>
      <w:r>
        <w:t>{F}}{\longrightarrow}</w:t>
      </w:r>
      <w:r>
        <w:br/>
        <w:t>\mathcal{M}^{(\mu)}</w:t>
      </w:r>
      <w:r>
        <w:rPr>
          <w:rStyle w:val="Hervorhebung"/>
        </w:rPr>
        <w:t>{\alpha}</w:t>
      </w:r>
      <w:r>
        <w:rPr>
          <w:i/>
          <w:iCs/>
        </w:rPr>
        <w:br/>
      </w:r>
      <w:r>
        <w:rPr>
          <w:rStyle w:val="Hervorhebung"/>
        </w:rPr>
        <w:lastRenderedPageBreak/>
        <w:t>\overset{\mathcal{P}</w:t>
      </w:r>
      <w:r>
        <w:t>{F}}{\longrightarrow}</w:t>
      </w:r>
      <w:r>
        <w:br/>
        <w:t>\widehat{\mathcal{D}}_{\mathrm{emp}}.</w:t>
      </w:r>
      <w:r>
        <w:br/>
        <w:t>\tag{3.5016}</w:t>
      </w:r>
      <w:r>
        <w:br/>
        <w:t>]</w:t>
      </w:r>
    </w:p>
    <w:p w:rsidR="00DA3A8D" w:rsidRDefault="00DA3A8D" w:rsidP="00DA3A8D">
      <w:pPr>
        <w:pStyle w:val="StandardWeb"/>
      </w:pPr>
      <w:r>
        <w:rPr>
          <w:rStyle w:val="Fett"/>
        </w:rPr>
        <w:t>Word-LaTeX</w:t>
      </w:r>
    </w:p>
    <w:p w:rsidR="00DA3A8D" w:rsidRDefault="00DA3A8D" w:rsidP="00DA3A8D">
      <w:pPr>
        <w:pStyle w:val="HTMLVorformatiert"/>
        <w:rPr>
          <w:rStyle w:val="HTMLCode"/>
        </w:rPr>
      </w:pPr>
      <w:r>
        <w:rPr>
          <w:rStyle w:val="HTMLCode"/>
        </w:rPr>
        <w:t>\mathcal{D}_{\mathrm{emp}}\overset{\mathcal{O}_{F}}{\longrightarrow}\mathcal{M}^{(\mu)}_{\alpha}\overset{\mathcal{P}_{F}}{\longrightarrow}\widehat{\mathcal{D}}_{\mathrm{emp}}\qquad\text{(3.5016)}</w:t>
      </w:r>
    </w:p>
    <w:p w:rsidR="00DA3A8D" w:rsidRDefault="00DA3A8D" w:rsidP="00DA3A8D">
      <w:pPr>
        <w:pStyle w:val="StandardWeb"/>
      </w:pPr>
      <w:r>
        <w:t>Dabei bezeichnet:</w:t>
      </w:r>
    </w:p>
    <w:p w:rsidR="00DA3A8D" w:rsidRDefault="00DA3A8D" w:rsidP="00632D23">
      <w:pPr>
        <w:pStyle w:val="StandardWeb"/>
        <w:numPr>
          <w:ilvl w:val="0"/>
          <w:numId w:val="138"/>
        </w:numPr>
      </w:pPr>
      <w:r>
        <w:t>(\mathcal{D}_{\mathrm{emp}}) die beobachteten Daten,</w:t>
      </w:r>
    </w:p>
    <w:p w:rsidR="00DA3A8D" w:rsidRDefault="00DA3A8D" w:rsidP="00632D23">
      <w:pPr>
        <w:pStyle w:val="StandardWeb"/>
        <w:numPr>
          <w:ilvl w:val="0"/>
          <w:numId w:val="138"/>
        </w:numPr>
      </w:pPr>
      <w:r>
        <w:t>(\mathcal{O}_{F}) die Operationalisierungsabbildung,</w:t>
      </w:r>
    </w:p>
    <w:p w:rsidR="00DA3A8D" w:rsidRDefault="00DA3A8D" w:rsidP="00632D23">
      <w:pPr>
        <w:pStyle w:val="StandardWeb"/>
        <w:numPr>
          <w:ilvl w:val="0"/>
          <w:numId w:val="138"/>
        </w:numPr>
      </w:pPr>
      <w:r>
        <w:t>(\mathcal{M}^{(\mu)}_{\alpha}) die ausgewählte Modellinstanz,</w:t>
      </w:r>
    </w:p>
    <w:p w:rsidR="00DA3A8D" w:rsidRDefault="00DA3A8D" w:rsidP="00632D23">
      <w:pPr>
        <w:pStyle w:val="StandardWeb"/>
        <w:numPr>
          <w:ilvl w:val="0"/>
          <w:numId w:val="138"/>
        </w:numPr>
      </w:pPr>
      <w:r>
        <w:t>(\mathcal{P}_{F}) die Vorhersageabbildung,</w:t>
      </w:r>
    </w:p>
    <w:p w:rsidR="00DA3A8D" w:rsidRDefault="00DA3A8D" w:rsidP="00632D23">
      <w:pPr>
        <w:pStyle w:val="StandardWeb"/>
        <w:numPr>
          <w:ilvl w:val="0"/>
          <w:numId w:val="138"/>
        </w:numPr>
      </w:pPr>
      <w:r>
        <w:t>(\widehat{\mathcal{D}}_{\mathrm{emp}}) die modellseitig erwarteten Daten.</w:t>
      </w:r>
    </w:p>
    <w:p w:rsidR="00DA3A8D" w:rsidRDefault="00DA3A8D" w:rsidP="00DA3A8D">
      <w:pPr>
        <w:pStyle w:val="StandardWeb"/>
      </w:pPr>
      <w:r>
        <w:rPr>
          <w:rStyle w:val="Fett"/>
        </w:rPr>
        <w:t>Eigenleistung des FRZK</w:t>
      </w:r>
    </w:p>
    <w:p w:rsidR="00DA3A8D" w:rsidRDefault="00DA3A8D" w:rsidP="00DA3A8D">
      <w:pPr>
        <w:pStyle w:val="StandardWeb"/>
      </w:pPr>
      <w:r>
        <w:t>Der folgende Abschnitt untersucht, welche Anforderungen an Beobachtungsabbildungen, Operationalisierung, Kalibrierung, Messfehler und empirische Falsifizierbarkeit gestellt werden müssen. Ziel ist die klare Trennung zwischen mathematisch möglicher Modellstruktur und empirisch überprüfbarer wissenschaftlicher Aussage.</w:t>
      </w:r>
    </w:p>
    <w:p w:rsidR="00A40459" w:rsidRDefault="00A40459" w:rsidP="00A40459">
      <w:pPr>
        <w:pStyle w:val="berschrift2"/>
        <w:rPr>
          <w:rFonts w:cs="Times New Roman"/>
        </w:rPr>
      </w:pPr>
      <w:r>
        <w:t>Ergänzung zu 3.3.25 – Prüfung der Modellklassen und der Interpretationsfreiheit</w:t>
      </w:r>
    </w:p>
    <w:p w:rsidR="00A40459" w:rsidRDefault="00A40459" w:rsidP="00A40459">
      <w:pPr>
        <w:pStyle w:val="berschrift3"/>
      </w:pPr>
      <w:r>
        <w:t>Methodologische Betrachtungen</w:t>
      </w:r>
    </w:p>
    <w:p w:rsidR="00A40459" w:rsidRDefault="00A40459" w:rsidP="00A40459">
      <w:pPr>
        <w:pStyle w:val="StandardWeb"/>
      </w:pPr>
      <w:r>
        <w:t>Mit Abschnitt 3.3.25 verschiebt sich die Fragestellung von der inneren logischen Architektur des FRZK auf die Reichweite seiner Axiome. Die drei Primäraxiome bestimmen keine einzelne vollständig spezifizierte Welt, sondern eine Klasse zulässiger Modelle. Genau diese Offenheit muss wissenschaftlich kontrolliert werden. Andernfalls könnte eine konkrete Modellentscheidung nachträglich fälschlich als notwendige Folge der Primäraxiome dargestellt werden.</w:t>
      </w:r>
    </w:p>
    <w:p w:rsidR="00A40459" w:rsidRDefault="00A40459" w:rsidP="00A40459">
      <w:pPr>
        <w:pStyle w:val="StandardWeb"/>
      </w:pPr>
      <w:r>
        <w:t>Die Modellklasse der Primäraxiome lautet</w:t>
      </w:r>
    </w:p>
    <w:p w:rsidR="00A40459" w:rsidRDefault="00A40459" w:rsidP="00A40459">
      <w:pPr>
        <w:pStyle w:val="StandardWeb"/>
      </w:pPr>
      <w:r>
        <w:t>[</w:t>
      </w:r>
      <w:r>
        <w:br/>
        <w:t>\operatorname{Mod}</w:t>
      </w:r>
      <w:r>
        <w:br/>
        <w:t>\left(</w:t>
      </w:r>
      <w:r>
        <w:br/>
        <w:t>\mathcal{A}_{\mathrm{prim}}</w:t>
      </w:r>
      <w:r>
        <w:br/>
        <w:t>\right).</w:t>
      </w:r>
      <w:r>
        <w:br/>
        <w:t>\tag{3.4918}</w:t>
      </w:r>
      <w:r>
        <w:br/>
        <w:t>]</w:t>
      </w:r>
    </w:p>
    <w:p w:rsidR="00A40459" w:rsidRDefault="00A40459" w:rsidP="00A40459">
      <w:pPr>
        <w:pStyle w:val="StandardWeb"/>
      </w:pPr>
      <w:r>
        <w:rPr>
          <w:rStyle w:val="Fett"/>
        </w:rPr>
        <w:t>Word-LaTeX</w:t>
      </w:r>
    </w:p>
    <w:p w:rsidR="00A40459" w:rsidRDefault="00A40459" w:rsidP="00A40459">
      <w:pPr>
        <w:pStyle w:val="HTMLVorformatiert"/>
        <w:rPr>
          <w:rStyle w:val="HTMLCode"/>
        </w:rPr>
      </w:pPr>
      <w:r>
        <w:rPr>
          <w:rStyle w:val="HTMLCode"/>
        </w:rPr>
        <w:lastRenderedPageBreak/>
        <w:t>\operatorname{Mod}\left(\mathcal{A}_{\mathrm{prim}}\right)\qquad\text{(3.4918)}</w:t>
      </w:r>
    </w:p>
    <w:p w:rsidR="00A40459" w:rsidRDefault="00A40459" w:rsidP="00A40459">
      <w:pPr>
        <w:pStyle w:val="StandardWeb"/>
      </w:pPr>
      <w:r>
        <w:t>Sie wird bestimmt durch</w:t>
      </w:r>
    </w:p>
    <w:p w:rsidR="00A40459" w:rsidRDefault="00A40459" w:rsidP="00A40459">
      <w:pPr>
        <w:pStyle w:val="berschrift1"/>
      </w:pPr>
      <w:r>
        <w:t>[</w:t>
      </w:r>
      <w:r>
        <w:br/>
        <w:t>\operatorname{Mod}</w:t>
      </w:r>
      <w:r>
        <w:br/>
        <w:t>\left(</w:t>
      </w:r>
      <w:r>
        <w:br/>
        <w:t>\mathcal{A}_{\mathrm{prim}}</w:t>
      </w:r>
      <w:r>
        <w:br/>
        <w:t>\right)</w:t>
      </w:r>
    </w:p>
    <w:p w:rsidR="00A40459" w:rsidRDefault="00A40459" w:rsidP="00A40459">
      <w:pPr>
        <w:pStyle w:val="StandardWeb"/>
      </w:pPr>
      <w:r>
        <w:t>\left{</w:t>
      </w:r>
      <w:r>
        <w:br/>
        <w:t>\mathcal{M}</w:t>
      </w:r>
      <w:r>
        <w:br/>
        <w:t>\middle|</w:t>
      </w:r>
      <w:r>
        <w:br/>
        <w:t>\mathcal{M}</w:t>
      </w:r>
      <w:r>
        <w:br/>
        <w:t>\models</w:t>
      </w:r>
      <w:r>
        <w:br/>
        <w:t>\mathcal{A}_{\mathrm{prim}}</w:t>
      </w:r>
      <w:r>
        <w:br/>
        <w:t>\right}.</w:t>
      </w:r>
      <w:r>
        <w:br/>
        <w:t>\tag{3.4919}</w:t>
      </w:r>
      <w:r>
        <w:br/>
        <w:t>]</w:t>
      </w:r>
    </w:p>
    <w:p w:rsidR="00A40459" w:rsidRDefault="00A40459" w:rsidP="00A40459">
      <w:pPr>
        <w:pStyle w:val="StandardWeb"/>
      </w:pPr>
      <w:r>
        <w:rPr>
          <w:rStyle w:val="Fett"/>
        </w:rPr>
        <w:t>Word-LaTeX</w:t>
      </w:r>
    </w:p>
    <w:p w:rsidR="00A40459" w:rsidRDefault="00A40459" w:rsidP="00A40459">
      <w:pPr>
        <w:pStyle w:val="HTMLVorformatiert"/>
        <w:rPr>
          <w:rStyle w:val="HTMLCode"/>
        </w:rPr>
      </w:pPr>
      <w:r>
        <w:rPr>
          <w:rStyle w:val="HTMLCode"/>
        </w:rPr>
        <w:t>\operatorname{Mod}\left(\mathcal{A}_{\mathrm{prim}}\right)=\left\{\mathcal{M}\middle|\mathcal{M}\models\mathcal{A}_{\mathrm{prim}}\right\}\qquad\text{(3.4919)}</w:t>
      </w:r>
    </w:p>
    <w:p w:rsidR="00A40459" w:rsidRDefault="00A40459" w:rsidP="00A40459">
      <w:pPr>
        <w:pStyle w:val="StandardWeb"/>
      </w:pPr>
      <w:r>
        <w:t xml:space="preserve">Methodologisch bedeutet dies: Alles, was in </w:t>
      </w:r>
      <w:r>
        <w:rPr>
          <w:rStyle w:val="Fett"/>
        </w:rPr>
        <w:t>jedem</w:t>
      </w:r>
      <w:r>
        <w:t xml:space="preserve"> Modell dieser Klasse gilt, kann als axiomatisch erzwungene Eigenschaft behandelt werden. Was dagegen nur in einem Teil der Modelle gilt, muss als zusätzliche Modellbedingung gekennzeichnet werden.</w:t>
      </w:r>
    </w:p>
    <w:p w:rsidR="00A40459" w:rsidRDefault="00A40459" w:rsidP="00A40459">
      <w:pPr>
        <w:pStyle w:val="StandardWeb"/>
      </w:pPr>
      <w:r>
        <w:t>Eine konkrete FRZK-Modellklasse wird deshalb durch zusätzliche Bedingungen (\mathcal{B}_{F}^{(\mu)}) eingeschränkt:</w:t>
      </w:r>
    </w:p>
    <w:p w:rsidR="00A40459" w:rsidRDefault="00A40459" w:rsidP="00A40459">
      <w:pPr>
        <w:pStyle w:val="berschrift1"/>
      </w:pPr>
      <w:r>
        <w:t>[</w:t>
      </w:r>
      <w:r>
        <w:br/>
        <w:t>\operatorname{Mod}_{F}^{(\mu)}</w:t>
      </w:r>
    </w:p>
    <w:p w:rsidR="00A40459" w:rsidRDefault="00A40459" w:rsidP="00A40459">
      <w:pPr>
        <w:pStyle w:val="StandardWeb"/>
      </w:pPr>
      <w:r>
        <w:t>\operatorname{Mod}</w:t>
      </w:r>
      <w:r>
        <w:br/>
        <w:t>\left(</w:t>
      </w:r>
      <w:r>
        <w:br/>
        <w:t>\mathcal{A}</w:t>
      </w:r>
      <w:r>
        <w:rPr>
          <w:rStyle w:val="Hervorhebung"/>
        </w:rPr>
        <w:t>{\mathrm{prim}}</w:t>
      </w:r>
      <w:r>
        <w:rPr>
          <w:i/>
          <w:iCs/>
        </w:rPr>
        <w:br/>
      </w:r>
      <w:r>
        <w:rPr>
          <w:rStyle w:val="Hervorhebung"/>
        </w:rPr>
        <w:t>\cup</w:t>
      </w:r>
      <w:r>
        <w:rPr>
          <w:i/>
          <w:iCs/>
        </w:rPr>
        <w:br/>
      </w:r>
      <w:r>
        <w:rPr>
          <w:rStyle w:val="Hervorhebung"/>
        </w:rPr>
        <w:t>\mathcal{B}</w:t>
      </w:r>
      <w:r>
        <w:t>{F}^{(\mu)}</w:t>
      </w:r>
      <w:r>
        <w:br/>
        <w:t>\right).</w:t>
      </w:r>
      <w:r>
        <w:br/>
        <w:t>]</w:t>
      </w:r>
    </w:p>
    <w:p w:rsidR="00A40459" w:rsidRDefault="00A40459" w:rsidP="00A40459">
      <w:pPr>
        <w:pStyle w:val="StandardWeb"/>
      </w:pPr>
      <w:r>
        <w:rPr>
          <w:rStyle w:val="Fett"/>
        </w:rPr>
        <w:t>Word-LaTeX</w:t>
      </w:r>
    </w:p>
    <w:p w:rsidR="00A40459" w:rsidRDefault="00A40459" w:rsidP="00A40459">
      <w:pPr>
        <w:pStyle w:val="HTMLVorformatiert"/>
        <w:rPr>
          <w:rStyle w:val="HTMLCode"/>
        </w:rPr>
      </w:pPr>
      <w:r>
        <w:rPr>
          <w:rStyle w:val="HTMLCode"/>
        </w:rPr>
        <w:lastRenderedPageBreak/>
        <w:t>\operatorname{Mod}_{F}^{(\mu)}=\operatorname{Mod}\left(\mathcal{A}_{\mathrm{prim}}\cup\mathcal{B}_{F}^{(\mu)}\right)</w:t>
      </w:r>
    </w:p>
    <w:p w:rsidR="00A40459" w:rsidRDefault="00A40459" w:rsidP="00A40459">
      <w:pPr>
        <w:pStyle w:val="StandardWeb"/>
      </w:pPr>
      <w:r>
        <w:t>Gerade diese Trennung ist wissenschaftlich wichtig. Eine Forderung nach Symmetrie funktionaler Relationen, eine bestimmte Raumdimension, eine spezielle Metrik, eine lineare Dynamik oder eine konkrete Zeitkalibrierung kann für eine Modellklasse sinnvoll sein. Sie darf jedoch nicht nachträglich so dargestellt werden, als folge sie bereits aus den Primäraxiomen.</w:t>
      </w:r>
    </w:p>
    <w:p w:rsidR="00A40459" w:rsidRDefault="00A40459" w:rsidP="00A40459">
      <w:pPr>
        <w:pStyle w:val="StandardWeb"/>
      </w:pPr>
      <w:r>
        <w:t>Ich unterscheide daher vier Ebenen strikt voneinander: Theorie, Modellklasse, Modellinstanz und Interpretation. Die Theorie legt die elementaren Voraussetzungen fest. Eine Modellklasse ergänzt allgemeine Zusatzbedingungen. Eine Modellinstanz konkretisiert diese Bedingungen weiter. Erst danach kann eine physikalische, empirische oder andere Interpretation vorgenommen werden.</w:t>
      </w:r>
    </w:p>
    <w:p w:rsidR="00A40459" w:rsidRDefault="00A40459" w:rsidP="00A40459">
      <w:pPr>
        <w:pStyle w:val="StandardWeb"/>
      </w:pPr>
      <w:r>
        <w:t>Diese Ebenentrennung schützt die Interpretationsfreiheit des FRZK. Derselbe abstrakte mathematische Zusammenhang kann prinzipiell unterschiedliche wissenschaftliche Interpretationen tragen, sofern diese mit der formalen Struktur verträglich sind. Eine erfolgreiche Interpretation beweist deshalb nicht, dass genau diese Interpretation bereits in den Axiomen enthalten war.</w:t>
      </w:r>
    </w:p>
    <w:p w:rsidR="00A40459" w:rsidRDefault="00A40459" w:rsidP="00A40459">
      <w:pPr>
        <w:pStyle w:val="StandardWeb"/>
      </w:pPr>
      <w:r>
        <w:t>Der Nachweis mehrerer nichtisomorpher Modelle ist in diesem Zusammenhang besonders bedeutsam. Er zeigt, dass die Primäraxiome den Gegenstandsbereich nicht bis auf eine einzige Struktur festlegen. Das FRZK ist damit in seinem Kern keine vollständig festgelegte Einzeltheorie, sondern zunächst eine axiomatisch definierte Modellfamilie.</w:t>
      </w:r>
    </w:p>
    <w:p w:rsidR="00A40459" w:rsidRDefault="00A40459" w:rsidP="00A40459">
      <w:pPr>
        <w:pStyle w:val="StandardWeb"/>
      </w:pPr>
      <w:r>
        <w:t>Methodologisch folgt daraus eine klare Kennzeichnungspflicht. Jede spätere Aussage muss erkennen lassen, ob sie für alle Modelle der Primäraxiome, nur für eine bestimmte Modellklasse oder lediglich für eine einzelne Modellinstanz gilt.</w:t>
      </w:r>
    </w:p>
    <w:p w:rsidR="00A40459" w:rsidRDefault="00A40459" w:rsidP="00A40459">
      <w:pPr>
        <w:pStyle w:val="berschrift3"/>
      </w:pPr>
      <w:r>
        <w:t>Didaktische Betrachtungen</w:t>
      </w:r>
    </w:p>
    <w:p w:rsidR="00A40459" w:rsidRDefault="00A40459" w:rsidP="00A40459">
      <w:pPr>
        <w:pStyle w:val="StandardWeb"/>
      </w:pPr>
      <w:r>
        <w:t>Der Unterschied zwischen Theorie und Modellklasse lässt sich mit den Regeln für Fahrzeuge erklären.</w:t>
      </w:r>
    </w:p>
    <w:p w:rsidR="00A40459" w:rsidRDefault="00A40459" w:rsidP="00A40459">
      <w:pPr>
        <w:pStyle w:val="StandardWeb"/>
      </w:pPr>
      <w:r>
        <w:t>Eine sehr allgemeine Regel könnte lauten:</w:t>
      </w:r>
    </w:p>
    <w:p w:rsidR="00A40459" w:rsidRDefault="00A40459" w:rsidP="00A40459">
      <w:pPr>
        <w:pStyle w:val="StandardWeb"/>
      </w:pPr>
      <w:r>
        <w:t>„Ein Fahrzeug besitzt eine Struktur, Verbindungen zwischen Bestandteilen und Möglichkeiten der Zustandsänderung.“</w:t>
      </w:r>
    </w:p>
    <w:p w:rsidR="00A40459" w:rsidRDefault="00A40459" w:rsidP="00A40459">
      <w:pPr>
        <w:pStyle w:val="StandardWeb"/>
      </w:pPr>
      <w:r>
        <w:t>Damit ist noch nicht entschieden, ob es sich um ein Fahrrad, Auto, Schiff oder Flugzeug handelt.</w:t>
      </w:r>
    </w:p>
    <w:p w:rsidR="00A40459" w:rsidRDefault="00A40459" w:rsidP="00A40459">
      <w:pPr>
        <w:pStyle w:val="StandardWeb"/>
      </w:pPr>
      <w:r>
        <w:t>Erst zusätzliche Bedingungen erzeugen spezielle Modellklassen.</w:t>
      </w:r>
    </w:p>
    <w:p w:rsidR="00A40459" w:rsidRDefault="00A40459" w:rsidP="00A40459">
      <w:pPr>
        <w:pStyle w:val="StandardWeb"/>
      </w:pPr>
      <w:r>
        <w:t>Für ein Fahrrad könnte beispielsweise festgelegt werden:</w:t>
      </w:r>
    </w:p>
    <w:p w:rsidR="00A40459" w:rsidRDefault="00A40459" w:rsidP="00A40459">
      <w:pPr>
        <w:pStyle w:val="StandardWeb"/>
      </w:pPr>
      <w:r>
        <w:t>„zwei Räder, mechanischer Antrieb, Lenkung“.</w:t>
      </w:r>
    </w:p>
    <w:p w:rsidR="00A40459" w:rsidRDefault="00A40459" w:rsidP="00A40459">
      <w:pPr>
        <w:pStyle w:val="StandardWeb"/>
      </w:pPr>
      <w:r>
        <w:t>Für ein Auto gelten andere Zusatzbedingungen.</w:t>
      </w:r>
    </w:p>
    <w:p w:rsidR="00A40459" w:rsidRDefault="00A40459" w:rsidP="00A40459">
      <w:pPr>
        <w:pStyle w:val="StandardWeb"/>
      </w:pPr>
      <w:r>
        <w:lastRenderedPageBreak/>
        <w:t>Die allgemeinen Regeln werden dadurch nicht verändert. Sie werden lediglich spezialisiert.</w:t>
      </w:r>
    </w:p>
    <w:p w:rsidR="00A40459" w:rsidRDefault="00A40459" w:rsidP="00A40459">
      <w:pPr>
        <w:pStyle w:val="StandardWeb"/>
      </w:pPr>
      <w:r>
        <w:t>Genauso verhält es sich im FRZK. Die drei Primäraxiome geben einen sehr weiten Rahmen vor. Eine konkrete Anwendung benötigt zusätzliche Bedingungen.</w:t>
      </w:r>
    </w:p>
    <w:p w:rsidR="00A40459" w:rsidRDefault="00A40459" w:rsidP="00A40459">
      <w:pPr>
        <w:pStyle w:val="StandardWeb"/>
      </w:pPr>
      <w:r>
        <w:t xml:space="preserve">Besonders wichtig ist der Unterschied zwischen </w:t>
      </w:r>
      <w:r>
        <w:rPr>
          <w:rStyle w:val="Fett"/>
        </w:rPr>
        <w:t>Eigenschaft des Modells</w:t>
      </w:r>
      <w:r>
        <w:t xml:space="preserve"> und </w:t>
      </w:r>
      <w:r>
        <w:rPr>
          <w:rStyle w:val="Fett"/>
        </w:rPr>
        <w:t>Bedeutung des Modells</w:t>
      </w:r>
      <w:r>
        <w:t>. Zwei mathematisch identische Graphen könnten beispielsweise einmal als Kommunikationsnetz und einmal als funktionale Zustandskopplung interpretiert werden. Die mathematische Struktur bleibt gleich, obwohl die wissenschaftliche Bedeutung verschieden ist.</w:t>
      </w:r>
    </w:p>
    <w:p w:rsidR="00A40459" w:rsidRDefault="00A40459" w:rsidP="00A40459">
      <w:pPr>
        <w:pStyle w:val="StandardWeb"/>
      </w:pPr>
      <w:r>
        <w:t>Didaktisch hilft deshalb die Frage:</w:t>
      </w:r>
    </w:p>
    <w:p w:rsidR="00A40459" w:rsidRDefault="00A40459" w:rsidP="00A40459">
      <w:pPr>
        <w:pStyle w:val="StandardWeb"/>
      </w:pPr>
      <w:r>
        <w:rPr>
          <w:rStyle w:val="Fett"/>
        </w:rPr>
        <w:t>Steht diese Eigenschaft bereits im Bauplan des FRZK, oder habe ich sie erst für dieses konkrete Modell hinzugefügt?</w:t>
      </w:r>
    </w:p>
    <w:p w:rsidR="00A40459" w:rsidRDefault="00A40459" w:rsidP="00A40459">
      <w:pPr>
        <w:pStyle w:val="StandardWeb"/>
      </w:pPr>
      <w:r>
        <w:t>Diese Frage verhindert, dass spezielle Modellentscheidungen fälschlich als allgemeine Eigenschaften des FRZK erscheinen.</w:t>
      </w:r>
    </w:p>
    <w:p w:rsidR="00A40459" w:rsidRDefault="00E50336" w:rsidP="00A40459">
      <w:r>
        <w:pict>
          <v:rect id="_x0000_i1050" style="width:0;height:1.5pt" o:hralign="center" o:hrstd="t" o:hr="t" fillcolor="#a0a0a0" stroked="f"/>
        </w:pict>
      </w:r>
    </w:p>
    <w:p w:rsidR="00414AE3" w:rsidRPr="00AF32B2" w:rsidRDefault="00414AE3" w:rsidP="00AF32B2">
      <w:pPr>
        <w:pStyle w:val="berschrift3"/>
      </w:pPr>
      <w:r w:rsidRPr="00AF32B2">
        <w:t>3.3.26 Prüfung der empirischen Anschlussfähigkeit und Operationalisierung</w:t>
      </w:r>
    </w:p>
    <w:p w:rsidR="00414AE3" w:rsidRDefault="00414AE3" w:rsidP="00414AE3">
      <w:pPr>
        <w:pStyle w:val="StandardWeb"/>
      </w:pPr>
      <w:r>
        <w:t>Die Modellklassenprüfung in Abschnitt 3.3.25 hat gezeigt, dass die drei Primäraxiome keine eindeutige Modellinstanz und keine eindeutige physikalische oder empirische Interpretation festlegen. Die mathematische Struktur des Funktionalen Raum-Zeit-Kohärenzsystems bleibt zunächst gegenüber unterschiedlichen Anwendungsbereichen offen. Diese Interpretationsfreiheit ist formal zulässig, reicht für eine empirische Wissenschaft jedoch nicht aus. Eine empirisch verwendbare FRZK-Modellinstanz muss ausdrücklich mit beobachtbaren Daten, Messverfahren und überprüfbaren Vorhersagen verbunden werden [58, 59, 79].</w:t>
      </w:r>
    </w:p>
    <w:p w:rsidR="00414AE3" w:rsidRDefault="00414AE3" w:rsidP="00414AE3">
      <w:pPr>
        <w:pStyle w:val="StandardWeb"/>
      </w:pPr>
      <w:r>
        <w:t>Empirische Daten bilden die FRZK-Strukturen nicht unmittelbar ab. Ein Messwert ist nicht von selbst ein funktionaler Zustand, eine statistische Korrelation ist nicht automatisch eine funktionale Relation und eine zeitlich aufeinanderfolgende Beobachtung ist nicht ohne Weiteres eine funktionale Transformation. Zwischen der empirischen Beobachtung und der formalen Modellstruktur muss deshalb eine dokumentierte Operationalisierungsabbildung eingeführt werden [58, 59].</w:t>
      </w:r>
    </w:p>
    <w:p w:rsidR="00414AE3" w:rsidRDefault="00414AE3" w:rsidP="00414AE3">
      <w:pPr>
        <w:pStyle w:val="StandardWeb"/>
      </w:pPr>
      <w:r>
        <w:t>Ich unterscheide in diesem Abschnitt sechs voneinander getrennte Ebenen:</w:t>
      </w:r>
    </w:p>
    <w:p w:rsidR="00414AE3" w:rsidRDefault="00414AE3" w:rsidP="00632D23">
      <w:pPr>
        <w:pStyle w:val="StandardWeb"/>
        <w:numPr>
          <w:ilvl w:val="0"/>
          <w:numId w:val="139"/>
        </w:numPr>
      </w:pPr>
      <w:r>
        <w:t>empirische Beobachtungsdaten,</w:t>
      </w:r>
    </w:p>
    <w:p w:rsidR="00414AE3" w:rsidRDefault="00414AE3" w:rsidP="00632D23">
      <w:pPr>
        <w:pStyle w:val="StandardWeb"/>
        <w:numPr>
          <w:ilvl w:val="0"/>
          <w:numId w:val="139"/>
        </w:numPr>
      </w:pPr>
      <w:r>
        <w:t>Datenaufbereitung und Merkmalsbildung,</w:t>
      </w:r>
    </w:p>
    <w:p w:rsidR="00414AE3" w:rsidRDefault="00414AE3" w:rsidP="00632D23">
      <w:pPr>
        <w:pStyle w:val="StandardWeb"/>
        <w:numPr>
          <w:ilvl w:val="0"/>
          <w:numId w:val="139"/>
        </w:numPr>
      </w:pPr>
      <w:r>
        <w:t>Operationalisierung formaler FRZK-Objekte,</w:t>
      </w:r>
    </w:p>
    <w:p w:rsidR="00414AE3" w:rsidRDefault="00414AE3" w:rsidP="00632D23">
      <w:pPr>
        <w:pStyle w:val="StandardWeb"/>
        <w:numPr>
          <w:ilvl w:val="0"/>
          <w:numId w:val="139"/>
        </w:numPr>
      </w:pPr>
      <w:r>
        <w:t>Auswahl und Kalibrierung einer Modellinstanz,</w:t>
      </w:r>
    </w:p>
    <w:p w:rsidR="00414AE3" w:rsidRDefault="00414AE3" w:rsidP="00632D23">
      <w:pPr>
        <w:pStyle w:val="StandardWeb"/>
        <w:numPr>
          <w:ilvl w:val="0"/>
          <w:numId w:val="139"/>
        </w:numPr>
      </w:pPr>
      <w:r>
        <w:t>Erzeugung empirisch prüfbarer Vorhersagen,</w:t>
      </w:r>
    </w:p>
    <w:p w:rsidR="00414AE3" w:rsidRDefault="00414AE3" w:rsidP="00632D23">
      <w:pPr>
        <w:pStyle w:val="StandardWeb"/>
        <w:numPr>
          <w:ilvl w:val="0"/>
          <w:numId w:val="139"/>
        </w:numPr>
      </w:pPr>
      <w:r>
        <w:t>Vergleich zwischen Beobachtung und Modellvorhersage.</w:t>
      </w:r>
    </w:p>
    <w:p w:rsidR="00414AE3" w:rsidRDefault="00414AE3" w:rsidP="00414AE3">
      <w:pPr>
        <w:pStyle w:val="StandardWeb"/>
      </w:pPr>
      <w:r>
        <w:rPr>
          <w:rStyle w:val="Fett"/>
        </w:rPr>
        <w:t>Eigenleistung des FRZK</w:t>
      </w:r>
    </w:p>
    <w:p w:rsidR="00414AE3" w:rsidRDefault="00414AE3" w:rsidP="00414AE3">
      <w:pPr>
        <w:pStyle w:val="StandardWeb"/>
      </w:pPr>
      <w:r>
        <w:lastRenderedPageBreak/>
        <w:t>Ich führe eine formale empirische Anschlussstruktur ein, die den gesamten Weg von beobachteten Rohdaten über ihre funktionale Repräsentation bis zur modellseitigen Vorhersage und empirischen Prüfung dokumentiert. Dadurch verhindere ich, dass Beobachtungsdaten und mathematische FRZK-Objekte ohne ausgewiesene Zuordnungsregeln miteinander gleichgesetzt werden.</w:t>
      </w:r>
    </w:p>
    <w:p w:rsidR="00414AE3" w:rsidRPr="00AF32B2" w:rsidRDefault="00414AE3" w:rsidP="00AF32B2">
      <w:pPr>
        <w:pStyle w:val="berschrift4"/>
      </w:pPr>
      <w:r w:rsidRPr="00AF32B2">
        <w:t>3.3.26.1 Empirischer Datenraum</w:t>
      </w:r>
    </w:p>
    <w:p w:rsidR="00414AE3" w:rsidRDefault="00414AE3" w:rsidP="00414AE3">
      <w:pPr>
        <w:pStyle w:val="StandardWeb"/>
      </w:pPr>
      <w:r>
        <w:t>Die Gesamtheit der für eine konkrete Untersuchung erhobenen empirischen Rohdaten bezeichne ich mit</w:t>
      </w:r>
    </w:p>
    <w:p w:rsidR="00414AE3" w:rsidRDefault="00414AE3" w:rsidP="00414AE3">
      <w:pPr>
        <w:pStyle w:val="StandardWeb"/>
      </w:pPr>
      <w:r>
        <w:t>[</w:t>
      </w:r>
      <w:r>
        <w:br/>
        <w:t>\mathcal{D}_{\mathrm{raw}}.</w:t>
      </w:r>
      <w:r>
        <w:br/>
        <w:t>\tag{3.5017}</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\mathcal{D}_{\mathrm{raw}}\qquad\text{(3.5017)}</w:t>
      </w:r>
    </w:p>
    <w:p w:rsidR="00414AE3" w:rsidRDefault="00414AE3" w:rsidP="00414AE3">
      <w:pPr>
        <w:pStyle w:val="StandardWeb"/>
      </w:pPr>
      <w:r>
        <w:t>Ein einzelner Rohdatensatz lautet</w:t>
      </w:r>
    </w:p>
    <w:p w:rsidR="00414AE3" w:rsidRDefault="00414AE3" w:rsidP="00414AE3">
      <w:pPr>
        <w:pStyle w:val="StandardWeb"/>
      </w:pPr>
      <w:r>
        <w:t>[</w:t>
      </w:r>
      <w:r>
        <w:br/>
        <w:t>d_{\mathrm{raw}}</w:t>
      </w:r>
      <w:r>
        <w:br/>
        <w:t>\in</w:t>
      </w:r>
      <w:r>
        <w:br/>
        <w:t>\mathcal{D}_{\mathrm{raw}}.</w:t>
      </w:r>
      <w:r>
        <w:br/>
        <w:t>\tag{3.5018}</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d_{\mathrm{raw}}\in\mathcal{D}_{\mathrm{raw}}\qquad\text{(3.5018)}</w:t>
      </w:r>
    </w:p>
    <w:p w:rsidR="00414AE3" w:rsidRDefault="00414AE3" w:rsidP="00414AE3">
      <w:pPr>
        <w:pStyle w:val="StandardWeb"/>
      </w:pPr>
      <w:r>
        <w:t>Der Rohdatenraum kann numerische Messwerte, kategoriale Merkmale, Zeitstempel, Textdaten, Beobachtungsprotokolle, Ereignisfolgen oder daraus zusammengesetzte Datensätze enthalten [58, 59].</w:t>
      </w:r>
    </w:p>
    <w:p w:rsidR="00414AE3" w:rsidRDefault="00414AE3" w:rsidP="00414AE3">
      <w:pPr>
        <w:pStyle w:val="StandardWeb"/>
      </w:pPr>
      <w:r>
        <w:t>Die Rohdaten werden zunächst durch eine Aufbereitungsabbildung transformiert:</w:t>
      </w:r>
    </w:p>
    <w:p w:rsidR="00414AE3" w:rsidRDefault="00414AE3" w:rsidP="00414AE3">
      <w:pPr>
        <w:pStyle w:val="StandardWeb"/>
      </w:pPr>
      <w:r>
        <w:t>[</w:t>
      </w:r>
      <w:r>
        <w:br/>
        <w:t>\mathcal{P}</w:t>
      </w:r>
      <w:r>
        <w:rPr>
          <w:rStyle w:val="Hervorhebung"/>
        </w:rPr>
        <w:t>{\mathrm{data}}:</w:t>
      </w:r>
      <w:r>
        <w:rPr>
          <w:i/>
          <w:iCs/>
        </w:rPr>
        <w:br/>
      </w:r>
      <w:r>
        <w:rPr>
          <w:rStyle w:val="Hervorhebung"/>
        </w:rPr>
        <w:t>\mathcal{D}</w:t>
      </w:r>
      <w:r>
        <w:t>{\mathrm{raw}}</w:t>
      </w:r>
      <w:r>
        <w:br/>
        <w:t>\rightarrow</w:t>
      </w:r>
      <w:r>
        <w:br/>
        <w:t>\mathcal{D}_{\mathrm{prep}}.</w:t>
      </w:r>
      <w:r>
        <w:br/>
        <w:t>\tag{3.5019}</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\mathcal{P}_{\mathrm{data}}:\mathcal{D}_{\mathrm{raw}}\rightarrow\mathcal{D}_{\mathrm{prep}}\qquad\text{(3.5019)}</w:t>
      </w:r>
    </w:p>
    <w:p w:rsidR="00414AE3" w:rsidRDefault="00414AE3" w:rsidP="00414AE3">
      <w:pPr>
        <w:pStyle w:val="StandardWeb"/>
      </w:pPr>
      <w:r>
        <w:lastRenderedPageBreak/>
        <w:t>Dabei bezeichnet (\mathcal{D}_{\mathrm{prep}}) den aufbereiteten empirischen Datenraum.</w:t>
      </w:r>
    </w:p>
    <w:p w:rsidR="00414AE3" w:rsidRDefault="00414AE3" w:rsidP="00414AE3">
      <w:pPr>
        <w:pStyle w:val="StandardWeb"/>
      </w:pPr>
      <w:r>
        <w:t>Für einen Rohdatensatz gilt</w:t>
      </w:r>
    </w:p>
    <w:p w:rsidR="00414AE3" w:rsidRDefault="00414AE3" w:rsidP="00414AE3">
      <w:pPr>
        <w:pStyle w:val="berschrift1"/>
      </w:pPr>
      <w:r>
        <w:t>[</w:t>
      </w:r>
      <w:r>
        <w:br/>
        <w:t>d_{\mathrm{prep}}</w:t>
      </w:r>
    </w:p>
    <w:p w:rsidR="00414AE3" w:rsidRDefault="00414AE3" w:rsidP="00414AE3">
      <w:pPr>
        <w:pStyle w:val="StandardWeb"/>
      </w:pPr>
      <w:r>
        <w:t>\mathcal{P}</w:t>
      </w:r>
      <w:r>
        <w:rPr>
          <w:rStyle w:val="Hervorhebung"/>
        </w:rPr>
        <w:t>{\mathrm{data}}</w:t>
      </w:r>
      <w:r>
        <w:rPr>
          <w:i/>
          <w:iCs/>
        </w:rPr>
        <w:br/>
      </w:r>
      <w:r>
        <w:rPr>
          <w:rStyle w:val="Hervorhebung"/>
        </w:rPr>
        <w:t>\left(</w:t>
      </w:r>
      <w:r>
        <w:rPr>
          <w:i/>
          <w:iCs/>
        </w:rPr>
        <w:br/>
      </w:r>
      <w:r>
        <w:rPr>
          <w:rStyle w:val="Hervorhebung"/>
        </w:rPr>
        <w:t>d</w:t>
      </w:r>
      <w:r>
        <w:t>{\mathrm{raw}}</w:t>
      </w:r>
      <w:r>
        <w:br/>
        <w:t>\right).</w:t>
      </w:r>
      <w:r>
        <w:br/>
        <w:t>\tag{3.5020}</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d_{\mathrm{prep}}=\mathcal{P}_{\mathrm{data}}\left(d_{\mathrm{raw}}\right)\qquad\text{(3.5020)}</w:t>
      </w:r>
    </w:p>
    <w:p w:rsidR="00414AE3" w:rsidRDefault="00414AE3" w:rsidP="00414AE3">
      <w:pPr>
        <w:pStyle w:val="StandardWeb"/>
      </w:pPr>
      <w:r>
        <w:t>Die Datenaufbereitung kann Bereinigung, Normalisierung, Kodierung, Zeitfensterbildung, Aggregation oder Merkmalsextraktion enthalten. Jede dieser Operationen verändert den empirischen Datenraum und muss deshalb dokumentiert werden [58, 59].</w:t>
      </w:r>
    </w:p>
    <w:p w:rsidR="00414AE3" w:rsidRPr="00AF32B2" w:rsidRDefault="00414AE3" w:rsidP="00AF32B2">
      <w:pPr>
        <w:pStyle w:val="berschrift4"/>
      </w:pPr>
      <w:r w:rsidRPr="00AF32B2">
        <w:t>3.3.26.2 Beobachtungsobjekte und Messwerte</w:t>
      </w:r>
    </w:p>
    <w:p w:rsidR="00414AE3" w:rsidRDefault="00414AE3" w:rsidP="00414AE3">
      <w:pPr>
        <w:pStyle w:val="StandardWeb"/>
      </w:pPr>
      <w:r>
        <w:t>Die Menge empirischer Beobachtungsobjekte lautet</w:t>
      </w:r>
    </w:p>
    <w:p w:rsidR="00414AE3" w:rsidRDefault="00414AE3" w:rsidP="00414AE3">
      <w:pPr>
        <w:pStyle w:val="StandardWeb"/>
      </w:pPr>
      <w:r>
        <w:t>[</w:t>
      </w:r>
      <w:r>
        <w:br/>
        <w:t>\mathcal{O}_{\mathrm{emp}}.</w:t>
      </w:r>
      <w:r>
        <w:br/>
        <w:t>\tag{3.5021}</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\mathcal{O}_{\mathrm{emp}}\qquad\text{(3.5021)}</w:t>
      </w:r>
    </w:p>
    <w:p w:rsidR="00414AE3" w:rsidRDefault="00414AE3" w:rsidP="00414AE3">
      <w:pPr>
        <w:pStyle w:val="StandardWeb"/>
      </w:pPr>
      <w:r>
        <w:t>Eine Messabbildung ordnet einem Beobachtungsobjekt einen empirischen Messwert zu:</w:t>
      </w:r>
    </w:p>
    <w:p w:rsidR="00414AE3" w:rsidRDefault="00414AE3" w:rsidP="00414AE3">
      <w:pPr>
        <w:pStyle w:val="StandardWeb"/>
      </w:pPr>
      <w:r>
        <w:t>[</w:t>
      </w:r>
      <w:r>
        <w:br/>
        <w:t>\mathcal{M}</w:t>
      </w:r>
      <w:r>
        <w:rPr>
          <w:rStyle w:val="Hervorhebung"/>
        </w:rPr>
        <w:t>{\mathrm{emp}}:</w:t>
      </w:r>
      <w:r>
        <w:rPr>
          <w:i/>
          <w:iCs/>
        </w:rPr>
        <w:br/>
      </w:r>
      <w:r>
        <w:rPr>
          <w:rStyle w:val="Hervorhebung"/>
        </w:rPr>
        <w:t>\mathcal{O}</w:t>
      </w:r>
      <w:r>
        <w:t>{\mathrm{emp}}</w:t>
      </w:r>
      <w:r>
        <w:br/>
        <w:t>\rightarrow</w:t>
      </w:r>
      <w:r>
        <w:br/>
        <w:t>\mathcal{Y}_{\mathrm{emp}}.</w:t>
      </w:r>
      <w:r>
        <w:br/>
        <w:t>\tag{3.5022}</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\mathcal{M}_{\mathrm{emp}}:\mathcal{O}_{\mathrm{emp}}\rightarrow\mathcal{Y}_{\mathrm{emp}}\qquad\text{(3.5022)}</w:t>
      </w:r>
    </w:p>
    <w:p w:rsidR="00414AE3" w:rsidRDefault="00414AE3" w:rsidP="00414AE3">
      <w:pPr>
        <w:pStyle w:val="StandardWeb"/>
      </w:pPr>
      <w:r>
        <w:lastRenderedPageBreak/>
        <w:t>Für ein Beobachtungsobjekt (o\in\mathcal{O}_{\mathrm{emp}}) gilt</w:t>
      </w:r>
    </w:p>
    <w:p w:rsidR="00414AE3" w:rsidRDefault="00414AE3" w:rsidP="00414AE3">
      <w:pPr>
        <w:pStyle w:val="berschrift1"/>
      </w:pPr>
      <w:r>
        <w:t>[</w:t>
      </w:r>
      <w:r>
        <w:br/>
        <w:t>y</w:t>
      </w:r>
    </w:p>
    <w:p w:rsidR="00414AE3" w:rsidRDefault="00414AE3" w:rsidP="00414AE3">
      <w:pPr>
        <w:pStyle w:val="StandardWeb"/>
      </w:pPr>
      <w:r>
        <w:t>\mathcal{M}_{\mathrm{emp}}(o).</w:t>
      </w:r>
      <w:r>
        <w:br/>
        <w:t>\tag{3.5023}</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y=\mathcal{M}_{\mathrm{emp}}(o)\qquad\text{(3.5023)}</w:t>
      </w:r>
    </w:p>
    <w:p w:rsidR="00414AE3" w:rsidRDefault="00414AE3" w:rsidP="00414AE3">
      <w:pPr>
        <w:pStyle w:val="StandardWeb"/>
      </w:pPr>
      <w:r>
        <w:t>Der Messwert (y) ist zunächst ein empirischer Wert und kein funktionaler Zustand:</w:t>
      </w:r>
    </w:p>
    <w:p w:rsidR="00414AE3" w:rsidRDefault="00414AE3" w:rsidP="00414AE3">
      <w:pPr>
        <w:pStyle w:val="berschrift1"/>
      </w:pPr>
      <w:r>
        <w:t>[</w:t>
      </w:r>
      <w:r>
        <w:br/>
        <w:t>\operatorname{Typ}_{F}(y)</w:t>
      </w:r>
    </w:p>
    <w:p w:rsidR="00414AE3" w:rsidRDefault="00414AE3" w:rsidP="00414AE3">
      <w:pPr>
        <w:pStyle w:val="StandardWeb"/>
      </w:pPr>
      <w:r>
        <w:t>\mathbf{EmpiricalValue}.</w:t>
      </w:r>
      <w:r>
        <w:br/>
        <w:t>\tag{3.5024}</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\operatorname{Typ}_{F}(y)=\mathbf{EmpiricalValue}\qquad\text{(3.5024)}</w:t>
      </w:r>
    </w:p>
    <w:p w:rsidR="00414AE3" w:rsidRDefault="00414AE3" w:rsidP="00414AE3">
      <w:pPr>
        <w:pStyle w:val="StandardWeb"/>
      </w:pPr>
      <w:r>
        <w:t>Damit gilt im Allgemeinen</w:t>
      </w:r>
    </w:p>
    <w:p w:rsidR="00414AE3" w:rsidRDefault="00414AE3" w:rsidP="00414AE3">
      <w:pPr>
        <w:pStyle w:val="StandardWeb"/>
      </w:pPr>
      <w:r>
        <w:t>[</w:t>
      </w:r>
      <w:r>
        <w:br/>
        <w:t>y</w:t>
      </w:r>
      <w:r>
        <w:br/>
        <w:t>\neq</w:t>
      </w:r>
      <w:r>
        <w:br/>
        <w:t>\delta.</w:t>
      </w:r>
      <w:r>
        <w:br/>
        <w:t>\tag{3.5025}</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y\neq\delta\qquad\text{(3.5025)}</w:t>
      </w:r>
    </w:p>
    <w:p w:rsidR="00414AE3" w:rsidRDefault="00414AE3" w:rsidP="00414AE3">
      <w:pPr>
        <w:pStyle w:val="StandardWeb"/>
      </w:pPr>
      <w:r>
        <w:t>Eine Gleichsetzung ist erst nach einer ausdrücklich definierten Operationalisierung zulässig.</w:t>
      </w:r>
    </w:p>
    <w:p w:rsidR="00414AE3" w:rsidRPr="00AF32B2" w:rsidRDefault="00414AE3" w:rsidP="00AF32B2">
      <w:pPr>
        <w:pStyle w:val="berschrift4"/>
      </w:pPr>
      <w:r w:rsidRPr="00AF32B2">
        <w:t>3.3.26.3 Definition der empirischen Anschlussstruktur</w:t>
      </w:r>
    </w:p>
    <w:p w:rsidR="00414AE3" w:rsidRDefault="00414AE3" w:rsidP="00414AE3">
      <w:pPr>
        <w:pStyle w:val="StandardWeb"/>
      </w:pPr>
      <w:r>
        <w:rPr>
          <w:rStyle w:val="Fett"/>
        </w:rPr>
        <w:t>Definition 3.3.18 – Empirische FRZK-Anschlussstruktur</w:t>
      </w:r>
    </w:p>
    <w:p w:rsidR="00414AE3" w:rsidRDefault="00414AE3" w:rsidP="00414AE3">
      <w:pPr>
        <w:pStyle w:val="StandardWeb"/>
      </w:pPr>
      <w:r>
        <w:t>Eine empirische FRZK-Anschlussstruktur ist das geordnete Tupel</w:t>
      </w:r>
    </w:p>
    <w:p w:rsidR="00414AE3" w:rsidRDefault="00414AE3" w:rsidP="00414AE3">
      <w:pPr>
        <w:pStyle w:val="berschrift1"/>
      </w:pPr>
      <w:r>
        <w:lastRenderedPageBreak/>
        <w:t>[</w:t>
      </w:r>
      <w:r>
        <w:br/>
        <w:t>\mathfrak{E}_{F}</w:t>
      </w:r>
    </w:p>
    <w:p w:rsidR="00414AE3" w:rsidRDefault="00414AE3" w:rsidP="00414AE3">
      <w:pPr>
        <w:pStyle w:val="StandardWeb"/>
      </w:pPr>
      <w:r>
        <w:t>\left(</w:t>
      </w:r>
      <w:r>
        <w:br/>
        <w:t>\mathcal{D}</w:t>
      </w:r>
      <w:r>
        <w:rPr>
          <w:rStyle w:val="Hervorhebung"/>
        </w:rPr>
        <w:t>{\mathrm{raw}},</w:t>
      </w:r>
      <w:r>
        <w:rPr>
          <w:i/>
          <w:iCs/>
        </w:rPr>
        <w:br/>
      </w:r>
      <w:r>
        <w:rPr>
          <w:rStyle w:val="Hervorhebung"/>
        </w:rPr>
        <w:t>\mathcal{P}</w:t>
      </w:r>
      <w:r>
        <w:t>{\mathrm{data}},</w:t>
      </w:r>
      <w:r>
        <w:br/>
        <w:t>\mathcal{O}</w:t>
      </w:r>
      <w:r>
        <w:rPr>
          <w:rStyle w:val="Hervorhebung"/>
        </w:rPr>
        <w:t>{F},</w:t>
      </w:r>
      <w:r>
        <w:rPr>
          <w:i/>
          <w:iCs/>
        </w:rPr>
        <w:br/>
      </w:r>
      <w:r>
        <w:rPr>
          <w:rStyle w:val="Hervorhebung"/>
        </w:rPr>
        <w:t>\mathcal{M}</w:t>
      </w:r>
      <w:r>
        <w:t>{\alpha}^{(\mu)},</w:t>
      </w:r>
      <w:r>
        <w:br/>
        <w:t>\mathcal{P}</w:t>
      </w:r>
      <w:r>
        <w:rPr>
          <w:rStyle w:val="Hervorhebung"/>
        </w:rPr>
        <w:t>{F},</w:t>
      </w:r>
      <w:r>
        <w:rPr>
          <w:i/>
          <w:iCs/>
        </w:rPr>
        <w:br/>
      </w:r>
      <w:r>
        <w:rPr>
          <w:rStyle w:val="Hervorhebung"/>
        </w:rPr>
        <w:t>\mathcal{C}</w:t>
      </w:r>
      <w:r>
        <w:t>{\mathrm{emp}}</w:t>
      </w:r>
      <w:r>
        <w:br/>
        <w:t>\right).</w:t>
      </w:r>
      <w:r>
        <w:br/>
        <w:t>\tag{3.5026}</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\mathfrak{E}_{F}=\left(\mathcal{D}_{\mathrm{raw}},\mathcal{P}_{\mathrm{data}},\mathcal{O}_{F},\mathcal{M}_{\alpha}^{(\mu)},\mathcal{P}_{F},\mathcal{C}_{\mathrm{emp}}\right)\qquad\text{(3.5026)}</w:t>
      </w:r>
    </w:p>
    <w:p w:rsidR="00414AE3" w:rsidRDefault="00414AE3" w:rsidP="00414AE3">
      <w:pPr>
        <w:pStyle w:val="StandardWeb"/>
      </w:pPr>
      <w:r>
        <w:t>Dabei bezeichnet:</w:t>
      </w:r>
    </w:p>
    <w:p w:rsidR="00414AE3" w:rsidRDefault="00414AE3" w:rsidP="00632D23">
      <w:pPr>
        <w:pStyle w:val="StandardWeb"/>
        <w:numPr>
          <w:ilvl w:val="0"/>
          <w:numId w:val="140"/>
        </w:numPr>
      </w:pPr>
      <w:r>
        <w:t>(\mathcal{D}_{\mathrm{raw}}) den Rohdatenraum,</w:t>
      </w:r>
    </w:p>
    <w:p w:rsidR="00414AE3" w:rsidRDefault="00414AE3" w:rsidP="00632D23">
      <w:pPr>
        <w:pStyle w:val="StandardWeb"/>
        <w:numPr>
          <w:ilvl w:val="0"/>
          <w:numId w:val="140"/>
        </w:numPr>
      </w:pPr>
      <w:r>
        <w:t>(\mathcal{P}_{\mathrm{data}}) die Datenaufbereitung,</w:t>
      </w:r>
    </w:p>
    <w:p w:rsidR="00414AE3" w:rsidRDefault="00414AE3" w:rsidP="00632D23">
      <w:pPr>
        <w:pStyle w:val="StandardWeb"/>
        <w:numPr>
          <w:ilvl w:val="0"/>
          <w:numId w:val="140"/>
        </w:numPr>
      </w:pPr>
      <w:r>
        <w:t>(\mathcal{O}_{F}) die Operationalisierungsabbildung,</w:t>
      </w:r>
    </w:p>
    <w:p w:rsidR="00414AE3" w:rsidRDefault="00414AE3" w:rsidP="00632D23">
      <w:pPr>
        <w:pStyle w:val="StandardWeb"/>
        <w:numPr>
          <w:ilvl w:val="0"/>
          <w:numId w:val="140"/>
        </w:numPr>
      </w:pPr>
      <w:r>
        <w:t>(\mathcal{M}_{\alpha}^{(\mu)}) die ausgewählte FRZK-Modellinstanz,</w:t>
      </w:r>
    </w:p>
    <w:p w:rsidR="00414AE3" w:rsidRDefault="00414AE3" w:rsidP="00632D23">
      <w:pPr>
        <w:pStyle w:val="StandardWeb"/>
        <w:numPr>
          <w:ilvl w:val="0"/>
          <w:numId w:val="140"/>
        </w:numPr>
      </w:pPr>
      <w:r>
        <w:t>(\mathcal{P}_{F}) die modellseitige Vorhersageabbildung,</w:t>
      </w:r>
    </w:p>
    <w:p w:rsidR="00414AE3" w:rsidRDefault="00414AE3" w:rsidP="00632D23">
      <w:pPr>
        <w:pStyle w:val="StandardWeb"/>
        <w:numPr>
          <w:ilvl w:val="0"/>
          <w:numId w:val="140"/>
        </w:numPr>
      </w:pPr>
      <w:r>
        <w:t>(\mathcal{C}_{\mathrm{emp}}) das empirische Vergleichs- oder Prüfkriterium.</w:t>
      </w:r>
    </w:p>
    <w:p w:rsidR="00414AE3" w:rsidRDefault="00414AE3" w:rsidP="00414AE3">
      <w:pPr>
        <w:pStyle w:val="StandardWeb"/>
      </w:pPr>
      <w:r>
        <w:t>Die vollständige Anschlusskette lautet</w:t>
      </w:r>
    </w:p>
    <w:p w:rsidR="00414AE3" w:rsidRDefault="00414AE3" w:rsidP="00414AE3">
      <w:pPr>
        <w:pStyle w:val="StandardWeb"/>
      </w:pPr>
      <w:r>
        <w:t>[</w:t>
      </w:r>
      <w:r>
        <w:br/>
        <w:t>\mathcal{D}</w:t>
      </w:r>
      <w:r>
        <w:rPr>
          <w:rStyle w:val="Hervorhebung"/>
        </w:rPr>
        <w:t>{\mathrm{raw}}</w:t>
      </w:r>
      <w:r>
        <w:rPr>
          <w:i/>
          <w:iCs/>
        </w:rPr>
        <w:br/>
      </w:r>
      <w:r>
        <w:rPr>
          <w:rStyle w:val="Hervorhebung"/>
        </w:rPr>
        <w:t>\overset{\mathcal{P}</w:t>
      </w:r>
      <w:r>
        <w:t>{\mathrm{data}}}{\longrightarrow}</w:t>
      </w:r>
      <w:r>
        <w:br/>
        <w:t>\mathcal{D}</w:t>
      </w:r>
      <w:r>
        <w:rPr>
          <w:rStyle w:val="Hervorhebung"/>
        </w:rPr>
        <w:t>{\mathrm{prep}}</w:t>
      </w:r>
      <w:r>
        <w:rPr>
          <w:i/>
          <w:iCs/>
        </w:rPr>
        <w:br/>
      </w:r>
      <w:r>
        <w:rPr>
          <w:rStyle w:val="Hervorhebung"/>
        </w:rPr>
        <w:t>\overset{\mathcal{O}</w:t>
      </w:r>
      <w:r>
        <w:t>{F}}{\longrightarrow}</w:t>
      </w:r>
      <w:r>
        <w:br/>
        <w:t>\mathcal{M}</w:t>
      </w:r>
      <w:r>
        <w:rPr>
          <w:rStyle w:val="Hervorhebung"/>
        </w:rPr>
        <w:t>{\alpha}^{(\mu)}</w:t>
      </w:r>
      <w:r>
        <w:rPr>
          <w:i/>
          <w:iCs/>
        </w:rPr>
        <w:br/>
      </w:r>
      <w:r>
        <w:rPr>
          <w:rStyle w:val="Hervorhebung"/>
        </w:rPr>
        <w:t>\overset{\mathcal{P}</w:t>
      </w:r>
      <w:r>
        <w:t>{F}}{\longrightarrow}</w:t>
      </w:r>
      <w:r>
        <w:br/>
        <w:t>\widehat{\mathcal{D}}</w:t>
      </w:r>
      <w:r>
        <w:rPr>
          <w:rStyle w:val="Hervorhebung"/>
        </w:rPr>
        <w:t>{\mathrm{emp}}</w:t>
      </w:r>
      <w:r>
        <w:rPr>
          <w:i/>
          <w:iCs/>
        </w:rPr>
        <w:br/>
      </w:r>
      <w:r>
        <w:rPr>
          <w:rStyle w:val="Hervorhebung"/>
        </w:rPr>
        <w:t>\overset{\mathcal{C}</w:t>
      </w:r>
      <w:r>
        <w:t>{\mathrm{emp}}}{\longleftrightarrow}</w:t>
      </w:r>
      <w:r>
        <w:br/>
        <w:t>\mathcal{D}_{\mathrm{obs}}.</w:t>
      </w:r>
      <w:r>
        <w:br/>
        <w:t>\tag{3.5027}</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D}_{\mathrm{raw}}\overset{\mathcal{P}_{\mathrm{data}}}{\longrightarrow}\mathcal{D}_{\mathrm{prep}}\overset{\mathcal{O}_{F}}{\longrightarrow}\mathcal{M}_{\alpha}^{(\mu)}\overset{\mathcal{P}_{F}}{\longrightarrow}\widehat{\mathcal{D}}_{\mathrm{emp}}\overset{\mathcal{C}_{\mathrm{emp}}}{\longleftrightarrow}\mathcal{D}_{\mathrm{obs}}\qquad\text{(3.5027)}</w:t>
      </w:r>
    </w:p>
    <w:p w:rsidR="00414AE3" w:rsidRDefault="00414AE3" w:rsidP="00414AE3">
      <w:pPr>
        <w:pStyle w:val="StandardWeb"/>
      </w:pPr>
      <w:r>
        <w:lastRenderedPageBreak/>
        <w:t>Die Anschlussstruktur ist nur vollständig, wenn sämtliche sechs Komponenten ausdrücklich angegeben sind.</w:t>
      </w:r>
    </w:p>
    <w:p w:rsidR="00414AE3" w:rsidRPr="00AF32B2" w:rsidRDefault="00414AE3" w:rsidP="00AF32B2">
      <w:pPr>
        <w:pStyle w:val="berschrift4"/>
      </w:pPr>
      <w:r w:rsidRPr="00AF32B2">
        <w:t>3.3.26.4 Operationalisierungsabbildung</w:t>
      </w:r>
    </w:p>
    <w:p w:rsidR="00414AE3" w:rsidRDefault="00414AE3" w:rsidP="00414AE3">
      <w:pPr>
        <w:pStyle w:val="StandardWeb"/>
      </w:pPr>
      <w:r>
        <w:t>Die Operationalisierungsabbildung lautet</w:t>
      </w:r>
    </w:p>
    <w:p w:rsidR="00414AE3" w:rsidRDefault="00414AE3" w:rsidP="00414AE3">
      <w:pPr>
        <w:pStyle w:val="StandardWeb"/>
      </w:pPr>
      <w:r>
        <w:t>[</w:t>
      </w:r>
      <w:r>
        <w:br/>
        <w:t>\mathcal{O}</w:t>
      </w:r>
      <w:r>
        <w:rPr>
          <w:rStyle w:val="Hervorhebung"/>
        </w:rPr>
        <w:t>{F}:</w:t>
      </w:r>
      <w:r>
        <w:rPr>
          <w:i/>
          <w:iCs/>
        </w:rPr>
        <w:br/>
      </w:r>
      <w:r>
        <w:rPr>
          <w:rStyle w:val="Hervorhebung"/>
        </w:rPr>
        <w:t>\mathcal{D}</w:t>
      </w:r>
      <w:r>
        <w:t>{\mathrm{prep}}</w:t>
      </w:r>
      <w:r>
        <w:br/>
        <w:t>\rightarrow</w:t>
      </w:r>
      <w:r>
        <w:br/>
        <w:t>\mathfrak{U}_{F}^{(\mu)}.</w:t>
      </w:r>
      <w:r>
        <w:br/>
        <w:t>\tag{3.5028}</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\mathcal{O}_{F}:\mathcal{D}_{\mathrm{prep}}\rightarrow\mathfrak{U}_{F}^{(\mu)}\qquad\text{(3.5028)}</w:t>
      </w:r>
    </w:p>
    <w:p w:rsidR="00414AE3" w:rsidRDefault="00414AE3" w:rsidP="00414AE3">
      <w:pPr>
        <w:pStyle w:val="StandardWeb"/>
      </w:pPr>
      <w:r>
        <w:t>Sie ordnet aufbereiteten empirischen Daten formale Objekte der ausgewählten FRZK-Modellklasse zu.</w:t>
      </w:r>
    </w:p>
    <w:p w:rsidR="00414AE3" w:rsidRDefault="00414AE3" w:rsidP="00414AE3">
      <w:pPr>
        <w:pStyle w:val="StandardWeb"/>
      </w:pPr>
      <w:r>
        <w:t>Für einen aufbereiteten Datensatz gilt</w:t>
      </w:r>
    </w:p>
    <w:p w:rsidR="00414AE3" w:rsidRDefault="00414AE3" w:rsidP="00414AE3">
      <w:pPr>
        <w:pStyle w:val="berschrift1"/>
      </w:pPr>
      <w:r>
        <w:t>[</w:t>
      </w:r>
      <w:r>
        <w:br/>
        <w:t>x_{F}</w:t>
      </w:r>
    </w:p>
    <w:p w:rsidR="00414AE3" w:rsidRDefault="00414AE3" w:rsidP="00414AE3">
      <w:pPr>
        <w:pStyle w:val="StandardWeb"/>
      </w:pPr>
      <w:r>
        <w:t>\mathcal{O}</w:t>
      </w:r>
      <w:r>
        <w:rPr>
          <w:rStyle w:val="Hervorhebung"/>
        </w:rPr>
        <w:t>{F}</w:t>
      </w:r>
      <w:r>
        <w:rPr>
          <w:i/>
          <w:iCs/>
        </w:rPr>
        <w:br/>
      </w:r>
      <w:r>
        <w:rPr>
          <w:rStyle w:val="Hervorhebung"/>
        </w:rPr>
        <w:t>\left(</w:t>
      </w:r>
      <w:r>
        <w:rPr>
          <w:i/>
          <w:iCs/>
        </w:rPr>
        <w:br/>
      </w:r>
      <w:r>
        <w:rPr>
          <w:rStyle w:val="Hervorhebung"/>
        </w:rPr>
        <w:t>d</w:t>
      </w:r>
      <w:r>
        <w:t>{\mathrm{prep}}</w:t>
      </w:r>
      <w:r>
        <w:br/>
        <w:t>\right).</w:t>
      </w:r>
      <w:r>
        <w:br/>
        <w:t>\tag{3.5029}</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x_{F}=\mathcal{O}_{F}\left(d_{\mathrm{prep}}\right)\qquad\text{(3.5029)}</w:t>
      </w:r>
    </w:p>
    <w:p w:rsidR="00414AE3" w:rsidRDefault="00414AE3" w:rsidP="00414AE3">
      <w:pPr>
        <w:pStyle w:val="StandardWeb"/>
      </w:pPr>
      <w:r>
        <w:t>Das Ergebnis (x_F) kann je nach Operationalisierung ein Zustand, eine Relation, eine Transformation, ein Kohärenzwert oder eine zusammengesetzte FRZK-Struktur sein.</w:t>
      </w:r>
    </w:p>
    <w:p w:rsidR="00414AE3" w:rsidRDefault="00414AE3" w:rsidP="00414AE3">
      <w:pPr>
        <w:pStyle w:val="StandardWeb"/>
      </w:pPr>
      <w:r>
        <w:t>Die Typzuordnung lautet</w:t>
      </w:r>
    </w:p>
    <w:p w:rsidR="00414AE3" w:rsidRDefault="00414AE3" w:rsidP="00414AE3">
      <w:pPr>
        <w:pStyle w:val="StandardWeb"/>
      </w:pPr>
      <w:r>
        <w:t>[</w:t>
      </w:r>
      <w:r>
        <w:br/>
        <w:t>\operatorname{Typ}</w:t>
      </w:r>
      <w:r>
        <w:rPr>
          <w:rStyle w:val="Hervorhebung"/>
        </w:rPr>
        <w:t>{F}</w:t>
      </w:r>
      <w:r>
        <w:rPr>
          <w:i/>
          <w:iCs/>
        </w:rPr>
        <w:br/>
      </w:r>
      <w:r>
        <w:rPr>
          <w:rStyle w:val="Hervorhebung"/>
        </w:rPr>
        <w:t>\left(</w:t>
      </w:r>
      <w:r>
        <w:rPr>
          <w:i/>
          <w:iCs/>
        </w:rPr>
        <w:br/>
      </w:r>
      <w:r>
        <w:rPr>
          <w:rStyle w:val="Hervorhebung"/>
        </w:rPr>
        <w:t>\mathcal{O}</w:t>
      </w:r>
      <w:r>
        <w:t>{F}(d_{\mathrm{prep}})</w:t>
      </w:r>
      <w:r>
        <w:br/>
        <w:t>\right)</w:t>
      </w:r>
      <w:r>
        <w:br/>
        <w:t>\in</w:t>
      </w:r>
      <w:r>
        <w:br/>
      </w:r>
      <w:r>
        <w:lastRenderedPageBreak/>
        <w:t>\mathfrak{Y}_{F}.</w:t>
      </w:r>
      <w:r>
        <w:br/>
        <w:t>\tag{3.5030}</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\operatorname{Typ}_{F}\left(\mathcal{O}_{F}(d_{\mathrm{prep}})\right)\in\mathfrak{Y}_{F}\qquad\text{(3.5030)}</w:t>
      </w:r>
    </w:p>
    <w:p w:rsidR="00414AE3" w:rsidRDefault="00414AE3" w:rsidP="00414AE3">
      <w:pPr>
        <w:pStyle w:val="StandardWeb"/>
      </w:pPr>
      <w:r>
        <w:rPr>
          <w:rStyle w:val="Fett"/>
        </w:rPr>
        <w:t>Eigenleistung des FRZK</w:t>
      </w:r>
    </w:p>
    <w:p w:rsidR="00414AE3" w:rsidRDefault="00414AE3" w:rsidP="00414AE3">
      <w:pPr>
        <w:pStyle w:val="StandardWeb"/>
      </w:pPr>
      <w:r>
        <w:t>Ich fordere, dass jede Operationalisierungsabbildung ihren Definitionsbereich, Zielbereich, Algorithmus, ihre Parameter und die daraus resultierenden FRZK-Typen dokumentiert. Eine empirische Variable darf nicht allein aufgrund ihrer Bezeichnung einem funktionalen Begriff zugeordnet werden.</w:t>
      </w:r>
    </w:p>
    <w:p w:rsidR="00414AE3" w:rsidRPr="00AF32B2" w:rsidRDefault="00414AE3" w:rsidP="00AF32B2">
      <w:pPr>
        <w:pStyle w:val="berschrift4"/>
      </w:pPr>
      <w:r w:rsidRPr="00AF32B2">
        <w:t>3.3.26.5 Operationalisierung funktionaler Zustände</w:t>
      </w:r>
    </w:p>
    <w:p w:rsidR="00414AE3" w:rsidRDefault="00414AE3" w:rsidP="00414AE3">
      <w:pPr>
        <w:pStyle w:val="StandardWeb"/>
      </w:pPr>
      <w:r>
        <w:t>Eine Zustandsoperationalisierung besitzt den Typ</w:t>
      </w:r>
    </w:p>
    <w:p w:rsidR="00414AE3" w:rsidRDefault="00414AE3" w:rsidP="00414AE3">
      <w:pPr>
        <w:pStyle w:val="StandardWeb"/>
      </w:pPr>
      <w:r>
        <w:t>[</w:t>
      </w:r>
      <w:r>
        <w:br/>
        <w:t>\mathcal{O}</w:t>
      </w:r>
      <w:r>
        <w:rPr>
          <w:rStyle w:val="Hervorhebung"/>
        </w:rPr>
        <w:t>{S}:</w:t>
      </w:r>
      <w:r>
        <w:rPr>
          <w:i/>
          <w:iCs/>
        </w:rPr>
        <w:br/>
      </w:r>
      <w:r>
        <w:rPr>
          <w:rStyle w:val="Hervorhebung"/>
        </w:rPr>
        <w:t>\mathcal{D}</w:t>
      </w:r>
      <w:r>
        <w:t>{\mathrm{prep}}</w:t>
      </w:r>
      <w:r>
        <w:br/>
        <w:t>\rightarrow</w:t>
      </w:r>
      <w:r>
        <w:br/>
        <w:t>\mathcal{S}_{\mathrm{el}}.</w:t>
      </w:r>
      <w:r>
        <w:br/>
        <w:t>\tag{3.5031}</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\mathcal{O}_{S}:\mathcal{D}_{\mathrm{prep}}\rightarrow\mathcal{S}_{\mathrm{el}}\qquad\text{(3.5031)}</w:t>
      </w:r>
    </w:p>
    <w:p w:rsidR="00414AE3" w:rsidRDefault="00414AE3" w:rsidP="00414AE3">
      <w:pPr>
        <w:pStyle w:val="StandardWeb"/>
      </w:pPr>
      <w:r>
        <w:t>Für einen Datensatz (d_i) gilt</w:t>
      </w:r>
    </w:p>
    <w:p w:rsidR="00414AE3" w:rsidRDefault="00414AE3" w:rsidP="00414AE3">
      <w:pPr>
        <w:pStyle w:val="berschrift1"/>
      </w:pPr>
      <w:r>
        <w:t>[</w:t>
      </w:r>
      <w:r>
        <w:br/>
        <w:t>\delta_i</w:t>
      </w:r>
    </w:p>
    <w:p w:rsidR="00414AE3" w:rsidRDefault="00414AE3" w:rsidP="00414AE3">
      <w:pPr>
        <w:pStyle w:val="StandardWeb"/>
      </w:pPr>
      <w:r>
        <w:t>\mathcal{O}_{S}(d_i).</w:t>
      </w:r>
      <w:r>
        <w:br/>
        <w:t>\tag{3.5032}</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\delta_i=\mathcal{O}_{S}(d_i)\qquad\text{(3.5032)}</w:t>
      </w:r>
    </w:p>
    <w:p w:rsidR="00414AE3" w:rsidRDefault="00414AE3" w:rsidP="00414AE3">
      <w:pPr>
        <w:pStyle w:val="StandardWeb"/>
      </w:pPr>
      <w:r>
        <w:t>Eine Zustandsoperationalisierung kann beispielsweise einen Merkmalsvektor bilden:</w:t>
      </w:r>
    </w:p>
    <w:p w:rsidR="00414AE3" w:rsidRDefault="00414AE3" w:rsidP="00414AE3">
      <w:pPr>
        <w:pStyle w:val="berschrift1"/>
      </w:pPr>
      <w:r>
        <w:lastRenderedPageBreak/>
        <w:t>[</w:t>
      </w:r>
      <w:r>
        <w:br/>
        <w:t>\delta_i</w:t>
      </w:r>
    </w:p>
    <w:p w:rsidR="00414AE3" w:rsidRDefault="00414AE3" w:rsidP="00414AE3">
      <w:pPr>
        <w:pStyle w:val="StandardWeb"/>
      </w:pPr>
      <w:r>
        <w:t>\left(</w:t>
      </w:r>
      <w:r>
        <w:br/>
        <w:t>x_{i1},</w:t>
      </w:r>
      <w:r>
        <w:br/>
        <w:t>x_{i2},</w:t>
      </w:r>
      <w:r>
        <w:br/>
        <w:t>\ldots,</w:t>
      </w:r>
      <w:r>
        <w:br/>
        <w:t>x_{in}</w:t>
      </w:r>
      <w:r>
        <w:br/>
        <w:t>\right).</w:t>
      </w:r>
      <w:r>
        <w:br/>
        <w:t>\tag{3.5033}</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\delta_i=\left(x_{i1},x_{i2},\ldots,x_{in}\right)\qquad\text{(3.5033)}</w:t>
      </w:r>
    </w:p>
    <w:p w:rsidR="00414AE3" w:rsidRDefault="00414AE3" w:rsidP="00414AE3">
      <w:pPr>
        <w:pStyle w:val="StandardWeb"/>
      </w:pPr>
      <w:r>
        <w:t>Die Auswahl der Merkmale ist keine axiomatische Festlegung. Sie gehört zur empirischen Modellierung und muss begründet werden [58, 59].</w:t>
      </w:r>
    </w:p>
    <w:p w:rsidR="00414AE3" w:rsidRPr="00AF32B2" w:rsidRDefault="00414AE3" w:rsidP="00AF32B2">
      <w:pPr>
        <w:pStyle w:val="berschrift4"/>
      </w:pPr>
      <w:r w:rsidRPr="00AF32B2">
        <w:t>3.3.26.6 Operationalisierung funktionaler Relationen</w:t>
      </w:r>
    </w:p>
    <w:p w:rsidR="00414AE3" w:rsidRDefault="00414AE3" w:rsidP="00414AE3">
      <w:pPr>
        <w:pStyle w:val="StandardWeb"/>
      </w:pPr>
      <w:r>
        <w:t>Eine relationale Operationalisierung lautet</w:t>
      </w:r>
    </w:p>
    <w:p w:rsidR="00414AE3" w:rsidRDefault="00414AE3" w:rsidP="00414AE3">
      <w:pPr>
        <w:pStyle w:val="StandardWeb"/>
      </w:pPr>
      <w:r>
        <w:t>[</w:t>
      </w:r>
      <w:r>
        <w:br/>
        <w:t>\mathcal{O}</w:t>
      </w:r>
      <w:r>
        <w:rPr>
          <w:rStyle w:val="Hervorhebung"/>
        </w:rPr>
        <w:t>{R}:</w:t>
      </w:r>
      <w:r>
        <w:rPr>
          <w:i/>
          <w:iCs/>
        </w:rPr>
        <w:br/>
      </w:r>
      <w:r>
        <w:rPr>
          <w:rStyle w:val="Hervorhebung"/>
        </w:rPr>
        <w:t>\mathcal{D}</w:t>
      </w:r>
      <w:r>
        <w:t>{\mathrm{prep}}</w:t>
      </w:r>
      <w:r>
        <w:br/>
        <w:t>\times</w:t>
      </w:r>
      <w:r>
        <w:br/>
        <w:t>\mathcal{D}_{\mathrm{prep}}</w:t>
      </w:r>
      <w:r>
        <w:br/>
        <w:t>\rightarrow</w:t>
      </w:r>
      <w:r>
        <w:br/>
        <w:t>{0,1}.</w:t>
      </w:r>
      <w:r>
        <w:br/>
        <w:t>\tag{3.5034}</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\mathcal{O}_{R}:\mathcal{D}_{\mathrm{prep}}\times\mathcal{D}_{\mathrm{prep}}\rightarrow\{0,1\}\qquad\text{(3.5034)}</w:t>
      </w:r>
    </w:p>
    <w:p w:rsidR="00414AE3" w:rsidRDefault="00414AE3" w:rsidP="00414AE3">
      <w:pPr>
        <w:pStyle w:val="StandardWeb"/>
      </w:pPr>
      <w:r>
        <w:t>Die funktionale Relation wird definiert durch</w:t>
      </w:r>
    </w:p>
    <w:p w:rsidR="00414AE3" w:rsidRDefault="00414AE3" w:rsidP="00414AE3">
      <w:pPr>
        <w:pStyle w:val="StandardWeb"/>
      </w:pPr>
      <w:r>
        <w:t>[</w:t>
      </w:r>
      <w:r>
        <w:br/>
        <w:t>(d_i,d_j)</w:t>
      </w:r>
      <w:r>
        <w:br/>
        <w:t>\mapsto</w:t>
      </w:r>
      <w:r>
        <w:br/>
        <w:t>\mathcal{O}_{R}(d_i,d_j).</w:t>
      </w:r>
      <w:r>
        <w:br/>
        <w:t>\tag{3.5035}</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(d_i,d_j)\mapsto\mathcal{O}_{R}(d_i,d_j)\qquad\text{(3.5035)}</w:t>
      </w:r>
    </w:p>
    <w:p w:rsidR="00414AE3" w:rsidRDefault="00414AE3" w:rsidP="00414AE3">
      <w:pPr>
        <w:pStyle w:val="StandardWeb"/>
      </w:pPr>
      <w:r>
        <w:lastRenderedPageBreak/>
        <w:t>Eine Relation kann beispielsweise durch einen Schwellenwert bestimmt werden:</w:t>
      </w:r>
    </w:p>
    <w:p w:rsidR="00414AE3" w:rsidRDefault="00414AE3" w:rsidP="00414AE3">
      <w:pPr>
        <w:pStyle w:val="StandardWeb"/>
      </w:pPr>
      <w:r>
        <w:t>[</w:t>
      </w:r>
      <w:r>
        <w:br/>
        <w:t>(\delta_i,\delta_j)</w:t>
      </w:r>
      <w:r>
        <w:br/>
        <w:t>\in</w:t>
      </w:r>
      <w:r>
        <w:br/>
        <w:t>R_{\varepsilon}</w:t>
      </w:r>
      <w:r>
        <w:br/>
        <w:t>\iff</w:t>
      </w:r>
      <w:r>
        <w:br/>
        <w:t>d_{\mathrm{emp}}(d_i,d_j)</w:t>
      </w:r>
      <w:r>
        <w:br/>
        <w:t>\leq</w:t>
      </w:r>
      <w:r>
        <w:br/>
        <w:t>\varepsilon.</w:t>
      </w:r>
      <w:r>
        <w:br/>
        <w:t>\tag{3.5036}</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(\delta_i,\delta_j)\in R_{\varepsilon}\iff d_{\mathrm{emp}}(d_i,d_j)\leq\varepsilon\qquad\text{(3.5036)}</w:t>
      </w:r>
    </w:p>
    <w:p w:rsidR="00414AE3" w:rsidRDefault="00414AE3" w:rsidP="00414AE3">
      <w:pPr>
        <w:pStyle w:val="StandardWeb"/>
      </w:pPr>
      <w:r>
        <w:t>Der Schwellenwert (\varepsilon) ist eine Operationalisierungs- oder Modellierungsentscheidung. Er folgt nicht aus dem Relationsaxiom.</w:t>
      </w:r>
    </w:p>
    <w:p w:rsidR="00414AE3" w:rsidRPr="00AF32B2" w:rsidRDefault="00414AE3" w:rsidP="00AF32B2">
      <w:pPr>
        <w:pStyle w:val="berschrift4"/>
      </w:pPr>
      <w:r w:rsidRPr="00AF32B2">
        <w:t>3.3.26.7 Operationalisierung funktionaler Transformationen</w:t>
      </w:r>
    </w:p>
    <w:p w:rsidR="00414AE3" w:rsidRDefault="00414AE3" w:rsidP="00414AE3">
      <w:pPr>
        <w:pStyle w:val="StandardWeb"/>
      </w:pPr>
      <w:r>
        <w:t>Eine Transformationsoperationalisierung ordnet beobachteten Übergängen formale Transformationen zu:</w:t>
      </w:r>
    </w:p>
    <w:p w:rsidR="00414AE3" w:rsidRDefault="00414AE3" w:rsidP="00414AE3">
      <w:pPr>
        <w:pStyle w:val="StandardWeb"/>
      </w:pPr>
      <w:r>
        <w:t>[</w:t>
      </w:r>
      <w:r>
        <w:br/>
        <w:t>\mathcal{O}</w:t>
      </w:r>
      <w:r>
        <w:rPr>
          <w:rStyle w:val="Hervorhebung"/>
        </w:rPr>
        <w:t>{T}:</w:t>
      </w:r>
      <w:r>
        <w:rPr>
          <w:i/>
          <w:iCs/>
        </w:rPr>
        <w:br/>
      </w:r>
      <w:r>
        <w:rPr>
          <w:rStyle w:val="Hervorhebung"/>
        </w:rPr>
        <w:t>\mathcal{D}</w:t>
      </w:r>
      <w:r>
        <w:t>{\mathrm{prep}}</w:t>
      </w:r>
      <w:r>
        <w:br/>
        <w:t>\times</w:t>
      </w:r>
      <w:r>
        <w:br/>
        <w:t>\mathcal{D}</w:t>
      </w:r>
      <w:r>
        <w:rPr>
          <w:rStyle w:val="Hervorhebung"/>
        </w:rPr>
        <w:t>{\mathrm{prep}}</w:t>
      </w:r>
      <w:r>
        <w:rPr>
          <w:i/>
          <w:iCs/>
        </w:rPr>
        <w:br/>
      </w:r>
      <w:r>
        <w:rPr>
          <w:rStyle w:val="Hervorhebung"/>
        </w:rPr>
        <w:t>\rightarrow</w:t>
      </w:r>
      <w:r>
        <w:rPr>
          <w:i/>
          <w:iCs/>
        </w:rPr>
        <w:br/>
      </w:r>
      <w:r>
        <w:rPr>
          <w:rStyle w:val="Hervorhebung"/>
        </w:rPr>
        <w:t>\mathfrak{T}</w:t>
      </w:r>
      <w:r>
        <w:t>{\mathrm{f}}.</w:t>
      </w:r>
      <w:r>
        <w:br/>
        <w:t>\tag{3.5037}</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\mathcal{O}_{T}:\mathcal{D}_{\mathrm{prep}}\times\mathcal{D}_{\mathrm{prep}}\rightarrow\mathfrak{T}_{\mathrm{f}}\qquad\text{(3.5037)}</w:t>
      </w:r>
    </w:p>
    <w:p w:rsidR="00414AE3" w:rsidRDefault="00414AE3" w:rsidP="00414AE3">
      <w:pPr>
        <w:pStyle w:val="StandardWeb"/>
      </w:pPr>
      <w:r>
        <w:t>Für zwei aufeinander bezogene Beobachtungen kann gelten</w:t>
      </w:r>
    </w:p>
    <w:p w:rsidR="00414AE3" w:rsidRDefault="00414AE3" w:rsidP="00414AE3">
      <w:pPr>
        <w:pStyle w:val="berschrift1"/>
      </w:pPr>
      <w:r>
        <w:t>[</w:t>
      </w:r>
      <w:r>
        <w:br/>
        <w:t>T_{ij}</w:t>
      </w:r>
    </w:p>
    <w:p w:rsidR="00414AE3" w:rsidRDefault="00414AE3" w:rsidP="00414AE3">
      <w:pPr>
        <w:pStyle w:val="StandardWeb"/>
      </w:pPr>
      <w:r>
        <w:t>\mathcal{O}_{T}(d_i,d_j).</w:t>
      </w:r>
      <w:r>
        <w:br/>
        <w:t>\tag{3.5038}</w:t>
      </w:r>
      <w:r>
        <w:br/>
        <w:t>]</w:t>
      </w:r>
    </w:p>
    <w:p w:rsidR="00414AE3" w:rsidRDefault="00414AE3" w:rsidP="00414AE3">
      <w:pPr>
        <w:pStyle w:val="StandardWeb"/>
      </w:pPr>
      <w:r>
        <w:rPr>
          <w:rStyle w:val="Fett"/>
        </w:rPr>
        <w:lastRenderedPageBreak/>
        <w:t>Word-LaTeX</w:t>
      </w:r>
    </w:p>
    <w:p w:rsidR="00414AE3" w:rsidRDefault="00414AE3" w:rsidP="00414AE3">
      <w:pPr>
        <w:pStyle w:val="HTMLVorformatiert"/>
        <w:rPr>
          <w:rStyle w:val="HTMLCode"/>
        </w:rPr>
      </w:pPr>
      <w:r>
        <w:rPr>
          <w:rStyle w:val="HTMLCode"/>
        </w:rPr>
        <w:t>T_{ij}=\mathcal{O}_{T}(d_i,d_j)\qquad\text{(3.5038)}</w:t>
      </w:r>
    </w:p>
    <w:p w:rsidR="00414AE3" w:rsidRDefault="00414AE3" w:rsidP="00414AE3">
      <w:pPr>
        <w:pStyle w:val="StandardWeb"/>
      </w:pPr>
      <w:r>
        <w:t>Die Transformation muss mit den operationalisierten Zuständen verträglich sein:</w:t>
      </w:r>
    </w:p>
    <w:p w:rsidR="00414AE3" w:rsidRDefault="00414AE3" w:rsidP="00414AE3">
      <w:pPr>
        <w:pStyle w:val="berschrift1"/>
      </w:pPr>
      <w:r>
        <w:t>[</w:t>
      </w:r>
      <w:r>
        <w:br/>
        <w:t>T_{ij}</w:t>
      </w:r>
      <w:r>
        <w:br/>
        <w:t>\left(</w:t>
      </w:r>
      <w:r>
        <w:br/>
        <w:t>\mathcal{O}_{S}(d_i)</w:t>
      </w:r>
      <w:r>
        <w:br/>
        <w:t>\right)</w:t>
      </w:r>
    </w:p>
    <w:p w:rsidR="00414AE3" w:rsidRDefault="00414AE3" w:rsidP="00414AE3">
      <w:pPr>
        <w:pStyle w:val="StandardWeb"/>
      </w:pPr>
      <w:r>
        <w:t>\mathcal{O}_{S}(d_j).</w:t>
      </w:r>
      <w:r>
        <w:br/>
        <w:t>\tag{3.5039}</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T_{ij}\left(\mathcal{O}_{S}(d_i)\right)=\mathcal{O}_{S}(d_j)\qquad\text{(3.5039)}</w:t>
      </w:r>
    </w:p>
    <w:p w:rsidR="00414AE3" w:rsidRDefault="00414AE3" w:rsidP="00414AE3">
      <w:pPr>
        <w:pStyle w:val="StandardWeb"/>
      </w:pPr>
      <w:r>
        <w:t>Gilt diese Gleichung nur näherungsweise, muss ein Abweichungsmaß eingeführt werden.</w:t>
      </w:r>
    </w:p>
    <w:p w:rsidR="00414AE3" w:rsidRPr="00AF32B2" w:rsidRDefault="00414AE3" w:rsidP="00AF32B2">
      <w:pPr>
        <w:pStyle w:val="berschrift4"/>
      </w:pPr>
      <w:r w:rsidRPr="00AF32B2">
        <w:t>3.3.26.8 Operationalisierung funktionaler Zeit</w:t>
      </w:r>
    </w:p>
    <w:p w:rsidR="00414AE3" w:rsidRDefault="00414AE3" w:rsidP="00414AE3">
      <w:pPr>
        <w:pStyle w:val="StandardWeb"/>
      </w:pPr>
      <w:r>
        <w:t>Eine empirische Zeitvariable besitzt zunächst den Typ eines Messwerts:</w:t>
      </w:r>
    </w:p>
    <w:p w:rsidR="00414AE3" w:rsidRDefault="00414AE3" w:rsidP="00414AE3">
      <w:pPr>
        <w:pStyle w:val="StandardWeb"/>
      </w:pPr>
      <w:r>
        <w:t>[</w:t>
      </w:r>
      <w:r>
        <w:br/>
        <w:t>t_{\mathrm{emp}}</w:t>
      </w:r>
      <w:r>
        <w:br/>
        <w:t>\in</w:t>
      </w:r>
      <w:r>
        <w:br/>
        <w:t>\mathbb{T}_{\mathrm{emp}}.</w:t>
      </w:r>
      <w:r>
        <w:br/>
        <w:t>\tag{3.5040}</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t_{\mathrm{emp}}\in\mathbb{T}_{\mathrm{emp}}\qquad\text{(3.5040)}</w:t>
      </w:r>
    </w:p>
    <w:p w:rsidR="00414AE3" w:rsidRDefault="00414AE3" w:rsidP="00414AE3">
      <w:pPr>
        <w:pStyle w:val="StandardWeb"/>
      </w:pPr>
      <w:r>
        <w:t>Eine Zeitkalibrierung verbindet funktionale Zeitwerte mit empirischer Zeit:</w:t>
      </w:r>
    </w:p>
    <w:p w:rsidR="00414AE3" w:rsidRDefault="00414AE3" w:rsidP="00414AE3">
      <w:pPr>
        <w:pStyle w:val="StandardWeb"/>
      </w:pPr>
      <w:r>
        <w:t>[</w:t>
      </w:r>
      <w:r>
        <w:br/>
        <w:t>\chi:</w:t>
      </w:r>
      <w:r>
        <w:br/>
        <w:t>\mathbb{T}</w:t>
      </w:r>
      <w:r>
        <w:rPr>
          <w:rStyle w:val="Hervorhebung"/>
        </w:rPr>
        <w:t>{F}</w:t>
      </w:r>
      <w:r>
        <w:rPr>
          <w:i/>
          <w:iCs/>
        </w:rPr>
        <w:br/>
      </w:r>
      <w:r>
        <w:rPr>
          <w:rStyle w:val="Hervorhebung"/>
        </w:rPr>
        <w:t>\rightarrow</w:t>
      </w:r>
      <w:r>
        <w:rPr>
          <w:i/>
          <w:iCs/>
        </w:rPr>
        <w:br/>
      </w:r>
      <w:r>
        <w:rPr>
          <w:rStyle w:val="Hervorhebung"/>
        </w:rPr>
        <w:t>\mathbb{T}</w:t>
      </w:r>
      <w:r>
        <w:t>{\mathrm{emp}}.</w:t>
      </w:r>
      <w:r>
        <w:br/>
        <w:t>\tag{3.5041}</w:t>
      </w:r>
      <w:r>
        <w:br/>
        <w:t>]</w:t>
      </w:r>
    </w:p>
    <w:p w:rsidR="00414AE3" w:rsidRDefault="00414AE3" w:rsidP="00414AE3">
      <w:pPr>
        <w:pStyle w:val="StandardWeb"/>
      </w:pPr>
      <w:r>
        <w:rPr>
          <w:rStyle w:val="Fett"/>
        </w:rPr>
        <w:lastRenderedPageBreak/>
        <w:t>Word-LaTeX</w:t>
      </w:r>
    </w:p>
    <w:p w:rsidR="00414AE3" w:rsidRDefault="00414AE3" w:rsidP="00414AE3">
      <w:pPr>
        <w:pStyle w:val="HTMLVorformatiert"/>
        <w:rPr>
          <w:rStyle w:val="HTMLCode"/>
        </w:rPr>
      </w:pPr>
      <w:r>
        <w:rPr>
          <w:rStyle w:val="HTMLCode"/>
        </w:rPr>
        <w:t>\chi:\mathbb{T}_{F}\rightarrow\mathbb{T}_{\mathrm{emp}}\qquad\text{(3.5041)}</w:t>
      </w:r>
    </w:p>
    <w:p w:rsidR="00414AE3" w:rsidRDefault="00414AE3" w:rsidP="00414AE3">
      <w:pPr>
        <w:pStyle w:val="StandardWeb"/>
      </w:pPr>
      <w:r>
        <w:t>Für einen funktionalen Zeitwert gilt</w:t>
      </w:r>
    </w:p>
    <w:p w:rsidR="00414AE3" w:rsidRDefault="00414AE3" w:rsidP="00414AE3">
      <w:pPr>
        <w:pStyle w:val="berschrift1"/>
      </w:pPr>
      <w:r>
        <w:t>[</w:t>
      </w:r>
      <w:r>
        <w:br/>
        <w:t>t_{\mathrm{emp}}</w:t>
      </w:r>
    </w:p>
    <w:p w:rsidR="00414AE3" w:rsidRDefault="00414AE3" w:rsidP="00414AE3">
      <w:pPr>
        <w:pStyle w:val="StandardWeb"/>
      </w:pPr>
      <w:r>
        <w:t>\chi</w:t>
      </w:r>
      <w:r>
        <w:br/>
        <w:t>\left(</w:t>
      </w:r>
      <w:r>
        <w:br/>
        <w:t>t^{F}</w:t>
      </w:r>
      <w:r>
        <w:br/>
        <w:t>\right).</w:t>
      </w:r>
      <w:r>
        <w:br/>
        <w:t>\tag{3.5042}</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t_{\mathrm{emp}}=\chi\left(t^{F}\right)\qquad\text{(3.5042)}</w:t>
      </w:r>
    </w:p>
    <w:p w:rsidR="00414AE3" w:rsidRDefault="00414AE3" w:rsidP="00414AE3">
      <w:pPr>
        <w:pStyle w:val="StandardWeb"/>
      </w:pPr>
      <w:r>
        <w:t>Die inverse Zuordnung</w:t>
      </w:r>
    </w:p>
    <w:p w:rsidR="00414AE3" w:rsidRDefault="00414AE3" w:rsidP="00414AE3">
      <w:pPr>
        <w:pStyle w:val="berschrift1"/>
      </w:pPr>
      <w:r>
        <w:t>[</w:t>
      </w:r>
      <w:r>
        <w:br/>
        <w:t>t^{F}</w:t>
      </w:r>
    </w:p>
    <w:p w:rsidR="00414AE3" w:rsidRDefault="00414AE3" w:rsidP="00414AE3">
      <w:pPr>
        <w:pStyle w:val="StandardWeb"/>
      </w:pPr>
      <w:r>
        <w:t>\chi^{-1}</w:t>
      </w:r>
      <w:r>
        <w:br/>
        <w:t>\left(</w:t>
      </w:r>
      <w:r>
        <w:br/>
        <w:t>t_{\mathrm{emp}}</w:t>
      </w:r>
      <w:r>
        <w:br/>
        <w:t>\right)</w:t>
      </w:r>
      <w:r>
        <w:br/>
        <w:t>\tag{3.5043}</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t^{F}=\chi^{-1}\left(t_{\mathrm{emp}}\right)\qquad\text{(3.5043)}</w:t>
      </w:r>
    </w:p>
    <w:p w:rsidR="00414AE3" w:rsidRDefault="00414AE3" w:rsidP="00414AE3">
      <w:pPr>
        <w:pStyle w:val="StandardWeb"/>
      </w:pPr>
      <w:r>
        <w:t>ist nur zulässig, wenn (\chi) auf dem betrachteten Bereich invertierbar ist.</w:t>
      </w:r>
    </w:p>
    <w:p w:rsidR="00414AE3" w:rsidRDefault="00414AE3" w:rsidP="00414AE3">
      <w:pPr>
        <w:pStyle w:val="StandardWeb"/>
      </w:pPr>
      <w:r>
        <w:rPr>
          <w:rStyle w:val="Fett"/>
        </w:rPr>
        <w:t>Eigenleistung des FRZK</w:t>
      </w:r>
    </w:p>
    <w:p w:rsidR="00414AE3" w:rsidRDefault="00414AE3" w:rsidP="00414AE3">
      <w:pPr>
        <w:pStyle w:val="StandardWeb"/>
      </w:pPr>
      <w:r>
        <w:t>Ich unterscheide funktionale Zeit, empirische Zeitstempel und physikalische Zeitmessung. Eine beobachtete Reihenfolge kann funktionale Ordnung stützen, ersetzt aber nicht automatisch die Definition funktionaler Zeit.</w:t>
      </w:r>
    </w:p>
    <w:p w:rsidR="00414AE3" w:rsidRPr="00AF32B2" w:rsidRDefault="00414AE3" w:rsidP="00AF32B2">
      <w:pPr>
        <w:pStyle w:val="berschrift4"/>
      </w:pPr>
      <w:r w:rsidRPr="00AF32B2">
        <w:t>3.3.26.9 Operationalisierung funktionaler Kohärenz</w:t>
      </w:r>
    </w:p>
    <w:p w:rsidR="00414AE3" w:rsidRDefault="00414AE3" w:rsidP="00414AE3">
      <w:pPr>
        <w:pStyle w:val="StandardWeb"/>
      </w:pPr>
      <w:r>
        <w:t>Eine empirische Kohärenzbewertung lautet</w:t>
      </w:r>
    </w:p>
    <w:p w:rsidR="00414AE3" w:rsidRDefault="00414AE3" w:rsidP="00414AE3">
      <w:pPr>
        <w:pStyle w:val="StandardWeb"/>
      </w:pPr>
      <w:r>
        <w:lastRenderedPageBreak/>
        <w:t>[</w:t>
      </w:r>
      <w:r>
        <w:br/>
        <w:t>\widehat{K}</w:t>
      </w:r>
      <w:r>
        <w:rPr>
          <w:rStyle w:val="Hervorhebung"/>
        </w:rPr>
        <w:t>{\mathcal{C}}:</w:t>
      </w:r>
      <w:r>
        <w:rPr>
          <w:i/>
          <w:iCs/>
        </w:rPr>
        <w:br/>
      </w:r>
      <w:r>
        <w:rPr>
          <w:rStyle w:val="Hervorhebung"/>
        </w:rPr>
        <w:t>\mathcal{D}</w:t>
      </w:r>
      <w:r>
        <w:t>{\mathrm{prep}}</w:t>
      </w:r>
      <w:r>
        <w:br/>
        <w:t>\rightarrow</w:t>
      </w:r>
      <w:r>
        <w:br/>
        <w:t>[0,1].</w:t>
      </w:r>
      <w:r>
        <w:br/>
        <w:t>\tag{3.5044}</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\widehat{K}_{\mathcal{C}}:\mathcal{D}_{\mathrm{prep}}\rightarrow[0,1]\qquad\text{(3.5044)}</w:t>
      </w:r>
    </w:p>
    <w:p w:rsidR="00414AE3" w:rsidRDefault="00414AE3" w:rsidP="00414AE3">
      <w:pPr>
        <w:pStyle w:val="StandardWeb"/>
      </w:pPr>
      <w:r>
        <w:t>Der empirisch geschätzte Kohärenzwert ist</w:t>
      </w:r>
    </w:p>
    <w:p w:rsidR="00414AE3" w:rsidRDefault="00414AE3" w:rsidP="00414AE3">
      <w:pPr>
        <w:pStyle w:val="berschrift1"/>
      </w:pPr>
      <w:r>
        <w:t>[</w:t>
      </w:r>
      <w:r>
        <w:br/>
        <w:t>\widehat{k}_{i}</w:t>
      </w:r>
    </w:p>
    <w:p w:rsidR="00414AE3" w:rsidRDefault="00414AE3" w:rsidP="00414AE3">
      <w:pPr>
        <w:pStyle w:val="StandardWeb"/>
      </w:pPr>
      <w:r>
        <w:t>\widehat{K}_{\mathcal{C}}(d_i).</w:t>
      </w:r>
      <w:r>
        <w:br/>
        <w:t>\tag{3.5045}</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\widehat{k}_{i}=\widehat{K}_{\mathcal{C}}(d_i)\qquad\text{(3.5045)}</w:t>
      </w:r>
    </w:p>
    <w:p w:rsidR="00414AE3" w:rsidRDefault="00414AE3" w:rsidP="00414AE3">
      <w:pPr>
        <w:pStyle w:val="StandardWeb"/>
      </w:pPr>
      <w:r>
        <w:t>Er ist von einem theoretischen Kohärenzwert zu unterscheiden:</w:t>
      </w:r>
    </w:p>
    <w:p w:rsidR="00414AE3" w:rsidRDefault="00414AE3" w:rsidP="00414AE3">
      <w:pPr>
        <w:pStyle w:val="StandardWeb"/>
      </w:pPr>
      <w:r>
        <w:t>[</w:t>
      </w:r>
      <w:r>
        <w:br/>
        <w:t>\widehat{k}</w:t>
      </w:r>
      <w:r>
        <w:rPr>
          <w:rStyle w:val="Hervorhebung"/>
        </w:rPr>
        <w:t>{i}</w:t>
      </w:r>
      <w:r>
        <w:rPr>
          <w:i/>
          <w:iCs/>
        </w:rPr>
        <w:br/>
      </w:r>
      <w:r>
        <w:rPr>
          <w:rStyle w:val="Hervorhebung"/>
        </w:rPr>
        <w:t>\neq</w:t>
      </w:r>
      <w:r>
        <w:rPr>
          <w:i/>
          <w:iCs/>
        </w:rPr>
        <w:br/>
      </w:r>
      <w:r>
        <w:rPr>
          <w:rStyle w:val="Hervorhebung"/>
        </w:rPr>
        <w:t>K</w:t>
      </w:r>
      <w:r>
        <w:t>{\mathcal{C}}</w:t>
      </w:r>
      <w:r>
        <w:br/>
        <w:t>\left(</w:t>
      </w:r>
      <w:r>
        <w:br/>
        <w:t>\mathfrak{G}_{i}</w:t>
      </w:r>
      <w:r>
        <w:br/>
        <w:t>\right)</w:t>
      </w:r>
      <w:r>
        <w:br/>
        <w:t>\tag{3.5046}</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\widehat{k}_{i}\neq K_{\mathcal{C}}\left(\mathfrak{G}_{i}\right)\qquad\text{(3.5046)}</w:t>
      </w:r>
    </w:p>
    <w:p w:rsidR="00414AE3" w:rsidRDefault="00414AE3" w:rsidP="00414AE3">
      <w:pPr>
        <w:pStyle w:val="StandardWeb"/>
      </w:pPr>
      <w:r>
        <w:t>im Sinne unterschiedlicher Herkunft und möglicher Messabweichung.</w:t>
      </w:r>
    </w:p>
    <w:p w:rsidR="00414AE3" w:rsidRDefault="00414AE3" w:rsidP="00414AE3">
      <w:pPr>
        <w:pStyle w:val="StandardWeb"/>
      </w:pPr>
      <w:r>
        <w:t>Eine empirische Kalibrierungsbedingung kann lauten</w:t>
      </w:r>
    </w:p>
    <w:p w:rsidR="00414AE3" w:rsidRDefault="00414AE3" w:rsidP="00414AE3">
      <w:pPr>
        <w:pStyle w:val="berschrift2"/>
      </w:pPr>
      <w:r>
        <w:lastRenderedPageBreak/>
        <w:t>[</w:t>
      </w:r>
      <w:r>
        <w:br/>
        <w:t>\left|</w:t>
      </w:r>
      <w:r>
        <w:br/>
        <w:t>\widehat{k}_{i}</w:t>
      </w:r>
    </w:p>
    <w:p w:rsidR="00414AE3" w:rsidRDefault="00414AE3" w:rsidP="00414AE3">
      <w:pPr>
        <w:pStyle w:val="StandardWeb"/>
      </w:pPr>
      <w:r>
        <w:t>K_{\mathcal{C}}</w:t>
      </w:r>
      <w:r>
        <w:br/>
        <w:t>\left(</w:t>
      </w:r>
      <w:r>
        <w:br/>
        <w:t>\mathfrak{G}</w:t>
      </w:r>
      <w:r>
        <w:rPr>
          <w:rStyle w:val="Hervorhebung"/>
        </w:rPr>
        <w:t>{i}</w:t>
      </w:r>
      <w:r>
        <w:rPr>
          <w:i/>
          <w:iCs/>
        </w:rPr>
        <w:br/>
      </w:r>
      <w:r>
        <w:rPr>
          <w:rStyle w:val="Hervorhebung"/>
        </w:rPr>
        <w:t>\right)</w:t>
      </w:r>
      <w:r>
        <w:rPr>
          <w:i/>
          <w:iCs/>
        </w:rPr>
        <w:br/>
      </w:r>
      <w:r>
        <w:rPr>
          <w:rStyle w:val="Hervorhebung"/>
        </w:rPr>
        <w:t>\right|</w:t>
      </w:r>
      <w:r>
        <w:rPr>
          <w:i/>
          <w:iCs/>
        </w:rPr>
        <w:br/>
      </w:r>
      <w:r>
        <w:rPr>
          <w:rStyle w:val="Hervorhebung"/>
        </w:rPr>
        <w:t>\leq</w:t>
      </w:r>
      <w:r>
        <w:rPr>
          <w:i/>
          <w:iCs/>
        </w:rPr>
        <w:br/>
      </w:r>
      <w:r>
        <w:rPr>
          <w:rStyle w:val="Hervorhebung"/>
        </w:rPr>
        <w:t>\varepsilon</w:t>
      </w:r>
      <w:r>
        <w:t>{K}.</w:t>
      </w:r>
      <w:r>
        <w:br/>
        <w:t>\tag{3.5047}</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\left|\widehat{k}_{i}-K_{\mathcal{C}}\left(\mathfrak{G}_{i}\right)\right|\leq\varepsilon_{K}\qquad\text{(3.5047)}</w:t>
      </w:r>
    </w:p>
    <w:p w:rsidR="00414AE3" w:rsidRPr="00AF32B2" w:rsidRDefault="00414AE3" w:rsidP="00AF32B2">
      <w:pPr>
        <w:pStyle w:val="berschrift4"/>
      </w:pPr>
      <w:r w:rsidRPr="00AF32B2">
        <w:t>3.3.26.10 Deterministische und probabilistische Operationalisierung</w:t>
      </w:r>
    </w:p>
    <w:p w:rsidR="00414AE3" w:rsidRDefault="00414AE3" w:rsidP="00414AE3">
      <w:pPr>
        <w:pStyle w:val="StandardWeb"/>
      </w:pPr>
      <w:r>
        <w:t>Eine deterministische Operationalisierung ordnet jedem Datensatz genau ein formales Objekt zu:</w:t>
      </w:r>
    </w:p>
    <w:p w:rsidR="00414AE3" w:rsidRDefault="00414AE3" w:rsidP="00414AE3">
      <w:pPr>
        <w:pStyle w:val="berschrift1"/>
      </w:pPr>
      <w:r>
        <w:t>[</w:t>
      </w:r>
      <w:r>
        <w:br/>
        <w:t>\mathcal{O}_{F}(d)</w:t>
      </w:r>
    </w:p>
    <w:p w:rsidR="00414AE3" w:rsidRDefault="00414AE3" w:rsidP="00414AE3">
      <w:pPr>
        <w:pStyle w:val="StandardWeb"/>
      </w:pPr>
      <w:r>
        <w:t>x_{F}.</w:t>
      </w:r>
      <w:r>
        <w:br/>
        <w:t>\tag{3.5048}</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\mathcal{O}_{F}(d)=x_{F}\qquad\text{(3.5048)}</w:t>
      </w:r>
    </w:p>
    <w:p w:rsidR="00414AE3" w:rsidRDefault="00414AE3" w:rsidP="00414AE3">
      <w:pPr>
        <w:pStyle w:val="StandardWeb"/>
      </w:pPr>
      <w:r>
        <w:t>Eine probabilistische Operationalisierung ordnet eine Wahrscheinlichkeitsverteilung über formale Objekte zu:</w:t>
      </w:r>
    </w:p>
    <w:p w:rsidR="00414AE3" w:rsidRDefault="00414AE3" w:rsidP="00414AE3">
      <w:pPr>
        <w:pStyle w:val="StandardWeb"/>
      </w:pPr>
      <w:r>
        <w:t>[</w:t>
      </w:r>
      <w:r>
        <w:br/>
        <w:t>\mathcal{O}</w:t>
      </w:r>
      <w:r>
        <w:rPr>
          <w:rStyle w:val="Hervorhebung"/>
        </w:rPr>
        <w:t>{F}^{\mathrm{prob}}:</w:t>
      </w:r>
      <w:r>
        <w:rPr>
          <w:i/>
          <w:iCs/>
        </w:rPr>
        <w:br/>
      </w:r>
      <w:r>
        <w:rPr>
          <w:rStyle w:val="Hervorhebung"/>
        </w:rPr>
        <w:t>\mathcal{D}</w:t>
      </w:r>
      <w:r>
        <w:t>{\mathrm{prep}}</w:t>
      </w:r>
      <w:r>
        <w:br/>
        <w:t>\rightarrow</w:t>
      </w:r>
      <w:r>
        <w:br/>
        <w:t>\mathcal{P}</w:t>
      </w:r>
      <w:r>
        <w:br/>
        <w:t>\left(</w:t>
      </w:r>
      <w:r>
        <w:br/>
        <w:t>\mathfrak{U}_{F}</w:t>
      </w:r>
      <w:r>
        <w:br/>
        <w:t>\right).</w:t>
      </w:r>
      <w:r>
        <w:br/>
        <w:t>\tag{3.5049}</w:t>
      </w:r>
      <w:r>
        <w:br/>
        <w:t>]</w:t>
      </w:r>
    </w:p>
    <w:p w:rsidR="00414AE3" w:rsidRDefault="00414AE3" w:rsidP="00414AE3">
      <w:pPr>
        <w:pStyle w:val="StandardWeb"/>
      </w:pPr>
      <w:r>
        <w:rPr>
          <w:rStyle w:val="Fett"/>
        </w:rPr>
        <w:lastRenderedPageBreak/>
        <w:t>Word-LaTeX</w:t>
      </w:r>
    </w:p>
    <w:p w:rsidR="00414AE3" w:rsidRDefault="00414AE3" w:rsidP="00414AE3">
      <w:pPr>
        <w:pStyle w:val="HTMLVorformatiert"/>
        <w:rPr>
          <w:rStyle w:val="HTMLCode"/>
        </w:rPr>
      </w:pPr>
      <w:r>
        <w:rPr>
          <w:rStyle w:val="HTMLCode"/>
        </w:rPr>
        <w:t>\mathcal{O}_{F}^{\mathrm{prob}}:\mathcal{D}_{\mathrm{prep}}\rightarrow\mathcal{P}\left(\mathfrak{U}_{F}\right)\qquad\text{(3.5049)}</w:t>
      </w:r>
    </w:p>
    <w:p w:rsidR="00414AE3" w:rsidRDefault="00414AE3" w:rsidP="00414AE3">
      <w:pPr>
        <w:pStyle w:val="StandardWeb"/>
      </w:pPr>
      <w:r>
        <w:t>Für ein mögliches formales Objekt (x_F) gilt dann</w:t>
      </w:r>
    </w:p>
    <w:p w:rsidR="00414AE3" w:rsidRDefault="00414AE3" w:rsidP="00414AE3">
      <w:pPr>
        <w:pStyle w:val="StandardWeb"/>
      </w:pPr>
      <w:r>
        <w:t>[</w:t>
      </w:r>
      <w:r>
        <w:br/>
        <w:t>\Pr</w:t>
      </w:r>
      <w:r>
        <w:br/>
        <w:t>\left(</w:t>
      </w:r>
      <w:r>
        <w:br/>
        <w:t>x_F</w:t>
      </w:r>
      <w:r>
        <w:br/>
        <w:t>\mid</w:t>
      </w:r>
      <w:r>
        <w:br/>
        <w:t>d</w:t>
      </w:r>
      <w:r>
        <w:br/>
        <w:t>\right).</w:t>
      </w:r>
      <w:r>
        <w:br/>
        <w:t>\tag{3.5050}</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\Pr\left(x_F\mid d\right)\qquad\text{(3.5050)}</w:t>
      </w:r>
    </w:p>
    <w:p w:rsidR="00414AE3" w:rsidRDefault="00414AE3" w:rsidP="00414AE3">
      <w:pPr>
        <w:pStyle w:val="StandardWeb"/>
      </w:pPr>
      <w:r>
        <w:t>Die probabilistische Form ist insbesondere dann geeignet, wenn Beobachtungen mehrdeutig, verrauscht oder unvollständig sind [58, 59].</w:t>
      </w:r>
    </w:p>
    <w:p w:rsidR="00414AE3" w:rsidRPr="00AF32B2" w:rsidRDefault="00414AE3" w:rsidP="00AF32B2">
      <w:pPr>
        <w:pStyle w:val="berschrift4"/>
      </w:pPr>
      <w:r w:rsidRPr="00AF32B2">
        <w:t>3.3.26.11 Identifizierbarkeit</w:t>
      </w:r>
    </w:p>
    <w:p w:rsidR="00414AE3" w:rsidRDefault="00414AE3" w:rsidP="00414AE3">
      <w:pPr>
        <w:pStyle w:val="StandardWeb"/>
      </w:pPr>
      <w:r>
        <w:t>Eine Operationalisierung ist injektiv identifizierbar, wenn unterschiedliche empirische Datensätze nicht auf dasselbe formale Objekt abgebildet werden:</w:t>
      </w:r>
    </w:p>
    <w:p w:rsidR="00414AE3" w:rsidRDefault="00414AE3" w:rsidP="00414AE3">
      <w:pPr>
        <w:pStyle w:val="berschrift1"/>
      </w:pPr>
      <w:r>
        <w:t>[</w:t>
      </w:r>
      <w:r>
        <w:br/>
        <w:t>\mathcal{O}_{F}(d_i)</w:t>
      </w:r>
    </w:p>
    <w:p w:rsidR="00414AE3" w:rsidRDefault="00414AE3" w:rsidP="00414AE3">
      <w:pPr>
        <w:pStyle w:val="berschrift1"/>
      </w:pPr>
      <w:r>
        <w:t>\mathcal{O}_{F}(d_j)</w:t>
      </w:r>
      <w:r>
        <w:br/>
        <w:t>\Rightarrow</w:t>
      </w:r>
      <w:r>
        <w:br/>
        <w:t>d_i</w:t>
      </w:r>
    </w:p>
    <w:p w:rsidR="00414AE3" w:rsidRDefault="00414AE3" w:rsidP="00414AE3">
      <w:pPr>
        <w:pStyle w:val="StandardWeb"/>
      </w:pPr>
      <w:r>
        <w:t>d_j.</w:t>
      </w:r>
      <w:r>
        <w:br/>
        <w:t>\tag{3.5051}</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\mathcal{O}_{F}(d_i)=\mathcal{O}_{F}(d_j)\Rightarrow d_i=d_j\qquad\text{(3.5051)}</w:t>
      </w:r>
    </w:p>
    <w:p w:rsidR="00414AE3" w:rsidRDefault="00414AE3" w:rsidP="00414AE3">
      <w:pPr>
        <w:pStyle w:val="StandardWeb"/>
      </w:pPr>
      <w:r>
        <w:t>In vielen empirischen Anwendungen ist diese Bedingung zu stark. Mehrere Beobachtungen können denselben funktionalen Zustand repräsentieren:</w:t>
      </w:r>
    </w:p>
    <w:p w:rsidR="00414AE3" w:rsidRDefault="00414AE3" w:rsidP="00414AE3">
      <w:pPr>
        <w:pStyle w:val="berschrift1"/>
      </w:pPr>
      <w:r>
        <w:lastRenderedPageBreak/>
        <w:t>[</w:t>
      </w:r>
      <w:r>
        <w:br/>
        <w:t>d_i</w:t>
      </w:r>
      <w:r>
        <w:br/>
        <w:t>\neq</w:t>
      </w:r>
      <w:r>
        <w:br/>
        <w:t>d_j</w:t>
      </w:r>
      <w:r>
        <w:br/>
        <w:t>\land</w:t>
      </w:r>
      <w:r>
        <w:br/>
        <w:t>\mathcal{O}_{F}(d_i)</w:t>
      </w:r>
    </w:p>
    <w:p w:rsidR="00414AE3" w:rsidRDefault="00414AE3" w:rsidP="00414AE3">
      <w:pPr>
        <w:pStyle w:val="StandardWeb"/>
      </w:pPr>
      <w:r>
        <w:t>\mathcal{O}_{F}(d_j).</w:t>
      </w:r>
      <w:r>
        <w:br/>
        <w:t>\tag{3.5052}</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d_i\neq d_j\land\mathcal{O}_{F}(d_i)=\mathcal{O}_{F}(d_j)\qquad\text{(3.5052)}</w:t>
      </w:r>
    </w:p>
    <w:p w:rsidR="00414AE3" w:rsidRDefault="00414AE3" w:rsidP="00414AE3">
      <w:pPr>
        <w:pStyle w:val="StandardWeb"/>
      </w:pPr>
      <w:r>
        <w:t>Dann entsteht eine empirische Äquivalenzrelation:</w:t>
      </w:r>
    </w:p>
    <w:p w:rsidR="00414AE3" w:rsidRDefault="00414AE3" w:rsidP="00414AE3">
      <w:pPr>
        <w:pStyle w:val="berschrift1"/>
      </w:pPr>
      <w:r>
        <w:t>[</w:t>
      </w:r>
      <w:r>
        <w:br/>
        <w:t>d_i</w:t>
      </w:r>
      <w:r>
        <w:br/>
        <w:t>\sim_{\mathcal{O}}</w:t>
      </w:r>
      <w:r>
        <w:br/>
        <w:t>d_j</w:t>
      </w:r>
      <w:r>
        <w:br/>
        <w:t>\iff</w:t>
      </w:r>
      <w:r>
        <w:br/>
        <w:t>\mathcal{O}_{F}(d_i)</w:t>
      </w:r>
    </w:p>
    <w:p w:rsidR="00414AE3" w:rsidRDefault="00414AE3" w:rsidP="00414AE3">
      <w:pPr>
        <w:pStyle w:val="StandardWeb"/>
      </w:pPr>
      <w:r>
        <w:t>\mathcal{O}_{F}(d_j).</w:t>
      </w:r>
      <w:r>
        <w:br/>
        <w:t>\tag{3.5053}</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d_i\sim_{\mathcal{O}}d_j\iff\mathcal{O}_{F}(d_i)=\mathcal{O}_{F}(d_j)\qquad\text{(3.5053)}</w:t>
      </w:r>
    </w:p>
    <w:p w:rsidR="00414AE3" w:rsidRDefault="00414AE3" w:rsidP="00414AE3">
      <w:pPr>
        <w:pStyle w:val="StandardWeb"/>
      </w:pPr>
      <w:r>
        <w:t>Diese Äquivalenzrelation dokumentiert, welche empirischen Unterschiede im gewählten Modell nicht mehr unterschieden werden.</w:t>
      </w:r>
    </w:p>
    <w:p w:rsidR="00414AE3" w:rsidRPr="00AF32B2" w:rsidRDefault="00414AE3" w:rsidP="00AF32B2">
      <w:pPr>
        <w:pStyle w:val="berschrift4"/>
      </w:pPr>
      <w:r w:rsidRPr="00AF32B2">
        <w:t>3.3.26.12 Informationsverlust der Operationalisierung</w:t>
      </w:r>
    </w:p>
    <w:p w:rsidR="00414AE3" w:rsidRDefault="00414AE3" w:rsidP="00414AE3">
      <w:pPr>
        <w:pStyle w:val="StandardWeb"/>
      </w:pPr>
      <w:r>
        <w:t>Eine Operationalisierung kann empirische Information reduzieren.</w:t>
      </w:r>
    </w:p>
    <w:p w:rsidR="00414AE3" w:rsidRDefault="00414AE3" w:rsidP="00414AE3">
      <w:pPr>
        <w:pStyle w:val="StandardWeb"/>
      </w:pPr>
      <w:r>
        <w:t>Der Informationsverlust kann schematisch durch</w:t>
      </w:r>
    </w:p>
    <w:p w:rsidR="00414AE3" w:rsidRDefault="00414AE3" w:rsidP="00414AE3">
      <w:pPr>
        <w:pStyle w:val="StandardWeb"/>
      </w:pPr>
      <w:r>
        <w:lastRenderedPageBreak/>
        <w:t>[</w:t>
      </w:r>
      <w:r>
        <w:br/>
        <w:t>\mathcal{L}</w:t>
      </w:r>
      <w:r>
        <w:rPr>
          <w:rStyle w:val="Hervorhebung"/>
        </w:rPr>
        <w:t>{\mathcal{O}}</w:t>
      </w:r>
      <w:r>
        <w:rPr>
          <w:i/>
          <w:iCs/>
        </w:rPr>
        <w:br/>
      </w:r>
      <w:r>
        <w:rPr>
          <w:rStyle w:val="Hervorhebung"/>
        </w:rPr>
        <w:t>\left(</w:t>
      </w:r>
      <w:r>
        <w:rPr>
          <w:i/>
          <w:iCs/>
        </w:rPr>
        <w:br/>
      </w:r>
      <w:r>
        <w:rPr>
          <w:rStyle w:val="Hervorhebung"/>
        </w:rPr>
        <w:t>d,</w:t>
      </w:r>
      <w:r>
        <w:rPr>
          <w:i/>
          <w:iCs/>
        </w:rPr>
        <w:br/>
      </w:r>
      <w:r>
        <w:rPr>
          <w:rStyle w:val="Hervorhebung"/>
        </w:rPr>
        <w:t>\mathcal{O}</w:t>
      </w:r>
      <w:r>
        <w:t>{F}(d)</w:t>
      </w:r>
      <w:r>
        <w:br/>
        <w:t>\right)</w:t>
      </w:r>
      <w:r>
        <w:br/>
        <w:t>\geq</w:t>
      </w:r>
      <w:r>
        <w:br/>
        <w:t>0</w:t>
      </w:r>
      <w:r>
        <w:br/>
        <w:t>\tag{3.5054}</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\mathcal{L}_{\mathcal{O}}\left(d,\mathcal{O}_{F}(d)\right)\geq0\qquad\text{(3.5054)}</w:t>
      </w:r>
    </w:p>
    <w:p w:rsidR="00414AE3" w:rsidRDefault="00414AE3" w:rsidP="00414AE3">
      <w:pPr>
        <w:pStyle w:val="StandardWeb"/>
      </w:pPr>
      <w:r>
        <w:t>beschrieben werden.</w:t>
      </w:r>
    </w:p>
    <w:p w:rsidR="00414AE3" w:rsidRDefault="00414AE3" w:rsidP="00414AE3">
      <w:pPr>
        <w:pStyle w:val="StandardWeb"/>
      </w:pPr>
      <w:r>
        <w:t>Bei verlustfreier Operationalisierung gilt</w:t>
      </w:r>
    </w:p>
    <w:p w:rsidR="00414AE3" w:rsidRDefault="00414AE3" w:rsidP="00414AE3">
      <w:pPr>
        <w:pStyle w:val="berschrift1"/>
      </w:pPr>
      <w:r>
        <w:t>[</w:t>
      </w:r>
      <w:r>
        <w:br/>
        <w:t>\mathcal{L}_{\mathcal{O}}</w:t>
      </w:r>
    </w:p>
    <w:p w:rsidR="00414AE3" w:rsidRDefault="00414AE3" w:rsidP="00632D23">
      <w:pPr>
        <w:numPr>
          <w:ilvl w:val="0"/>
          <w:numId w:val="141"/>
        </w:numPr>
        <w:spacing w:before="100" w:beforeAutospacing="1" w:after="100" w:afterAutospacing="1"/>
      </w:pPr>
    </w:p>
    <w:p w:rsidR="00414AE3" w:rsidRDefault="00414AE3" w:rsidP="00414AE3">
      <w:pPr>
        <w:pStyle w:val="StandardWeb"/>
      </w:pPr>
      <w:r>
        <w:t>\tag{3.5055}</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\mathcal{L}_{\mathcal{O}}=0\qquad\text{(3.5055)}</w:t>
      </w:r>
    </w:p>
    <w:p w:rsidR="00414AE3" w:rsidRDefault="00414AE3" w:rsidP="00414AE3">
      <w:pPr>
        <w:pStyle w:val="StandardWeb"/>
      </w:pPr>
      <w:r>
        <w:t>Bei informationsreduzierender Operationalisierung gilt</w:t>
      </w:r>
    </w:p>
    <w:p w:rsidR="00414AE3" w:rsidRDefault="00414AE3" w:rsidP="00414AE3">
      <w:pPr>
        <w:pStyle w:val="StandardWeb"/>
      </w:pPr>
      <w:r>
        <w:t>[</w:t>
      </w:r>
      <w:r>
        <w:br/>
        <w:t>\mathcal{L}_{\mathcal{O}}</w:t>
      </w:r>
    </w:p>
    <w:p w:rsidR="00414AE3" w:rsidRDefault="00414AE3" w:rsidP="00632D23">
      <w:pPr>
        <w:numPr>
          <w:ilvl w:val="0"/>
          <w:numId w:val="142"/>
        </w:numPr>
        <w:spacing w:before="100" w:beforeAutospacing="1" w:after="100" w:afterAutospacing="1"/>
      </w:pPr>
    </w:p>
    <w:p w:rsidR="00414AE3" w:rsidRDefault="00414AE3" w:rsidP="00414AE3">
      <w:pPr>
        <w:pStyle w:val="StandardWeb"/>
      </w:pPr>
      <w:r>
        <w:t>\tag{3.5056}</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\mathcal{L}_{\mathcal{O}}&gt;0\qquad\text{(3.5056)}</w:t>
      </w:r>
    </w:p>
    <w:p w:rsidR="00414AE3" w:rsidRDefault="00414AE3" w:rsidP="00414AE3">
      <w:pPr>
        <w:pStyle w:val="StandardWeb"/>
      </w:pPr>
      <w:r>
        <w:rPr>
          <w:rStyle w:val="Fett"/>
        </w:rPr>
        <w:t>Eigenleistung des FRZK</w:t>
      </w:r>
    </w:p>
    <w:p w:rsidR="00414AE3" w:rsidRDefault="00414AE3" w:rsidP="00414AE3">
      <w:pPr>
        <w:pStyle w:val="StandardWeb"/>
      </w:pPr>
      <w:r>
        <w:lastRenderedPageBreak/>
        <w:t>Ich behandle Informationsverlust nicht automatisch als Fehler. Eine Operationalisierung darf Daten reduzieren, wenn die Reduktion begründet, dokumentiert und für die Forschungsfrage angemessen ist.</w:t>
      </w:r>
    </w:p>
    <w:p w:rsidR="00414AE3" w:rsidRPr="00AF32B2" w:rsidRDefault="00414AE3" w:rsidP="00AF32B2">
      <w:pPr>
        <w:pStyle w:val="berschrift4"/>
      </w:pPr>
      <w:r w:rsidRPr="00AF32B2">
        <w:t>3.3.26.13 Modellseitige Vorhersageabbildung</w:t>
      </w:r>
    </w:p>
    <w:p w:rsidR="00414AE3" w:rsidRDefault="00414AE3" w:rsidP="00414AE3">
      <w:pPr>
        <w:pStyle w:val="StandardWeb"/>
      </w:pPr>
      <w:r>
        <w:t>Die modellseitige Vorhersageabbildung lautet</w:t>
      </w:r>
    </w:p>
    <w:p w:rsidR="00414AE3" w:rsidRDefault="00414AE3" w:rsidP="00414AE3">
      <w:pPr>
        <w:pStyle w:val="StandardWeb"/>
      </w:pPr>
      <w:r>
        <w:t>[</w:t>
      </w:r>
      <w:r>
        <w:br/>
        <w:t>\mathcal{P}</w:t>
      </w:r>
      <w:r>
        <w:rPr>
          <w:rStyle w:val="Hervorhebung"/>
        </w:rPr>
        <w:t>{F}:</w:t>
      </w:r>
      <w:r>
        <w:rPr>
          <w:i/>
          <w:iCs/>
        </w:rPr>
        <w:br/>
      </w:r>
      <w:r>
        <w:rPr>
          <w:rStyle w:val="Hervorhebung"/>
        </w:rPr>
        <w:t>\mathcal{M}</w:t>
      </w:r>
      <w:r>
        <w:t>{\alpha}^{(\mu)}</w:t>
      </w:r>
      <w:r>
        <w:br/>
        <w:t>\times</w:t>
      </w:r>
      <w:r>
        <w:br/>
        <w:t>\mathcal{X}</w:t>
      </w:r>
      <w:r>
        <w:rPr>
          <w:rStyle w:val="Hervorhebung"/>
        </w:rPr>
        <w:t>{\mathrm{in}}</w:t>
      </w:r>
      <w:r>
        <w:rPr>
          <w:i/>
          <w:iCs/>
        </w:rPr>
        <w:br/>
      </w:r>
      <w:r>
        <w:rPr>
          <w:rStyle w:val="Hervorhebung"/>
        </w:rPr>
        <w:t>\rightarrow</w:t>
      </w:r>
      <w:r>
        <w:rPr>
          <w:i/>
          <w:iCs/>
        </w:rPr>
        <w:br/>
      </w:r>
      <w:r>
        <w:rPr>
          <w:rStyle w:val="Hervorhebung"/>
        </w:rPr>
        <w:t>\widehat{\mathcal{Y}}</w:t>
      </w:r>
      <w:r>
        <w:t>{\mathrm{emp}}.</w:t>
      </w:r>
      <w:r>
        <w:br/>
        <w:t>\tag{3.5057}</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\mathcal{P}_{F}:\mathcal{M}_{\alpha}^{(\mu)}\times\mathcal{X}_{\mathrm{in}}\rightarrow\widehat{\mathcal{Y}}_{\mathrm{emp}}\qquad\text{(3.5057)}</w:t>
      </w:r>
    </w:p>
    <w:p w:rsidR="00414AE3" w:rsidRDefault="00414AE3" w:rsidP="00414AE3">
      <w:pPr>
        <w:pStyle w:val="StandardWeb"/>
      </w:pPr>
      <w:r>
        <w:t>Für eine Eingabe (x) erzeugt die Modellinstanz die Vorhersage</w:t>
      </w:r>
    </w:p>
    <w:p w:rsidR="00414AE3" w:rsidRDefault="00414AE3" w:rsidP="00414AE3">
      <w:pPr>
        <w:pStyle w:val="berschrift1"/>
      </w:pPr>
      <w:r>
        <w:t>[</w:t>
      </w:r>
      <w:r>
        <w:br/>
        <w:t>\widehat{y}</w:t>
      </w:r>
    </w:p>
    <w:p w:rsidR="00414AE3" w:rsidRDefault="00414AE3" w:rsidP="00414AE3">
      <w:pPr>
        <w:pStyle w:val="StandardWeb"/>
      </w:pPr>
      <w:r>
        <w:t>\mathcal{P}</w:t>
      </w:r>
      <w:r>
        <w:rPr>
          <w:rStyle w:val="Hervorhebung"/>
        </w:rPr>
        <w:t>{F}</w:t>
      </w:r>
      <w:r>
        <w:rPr>
          <w:i/>
          <w:iCs/>
        </w:rPr>
        <w:br/>
      </w:r>
      <w:r>
        <w:rPr>
          <w:rStyle w:val="Hervorhebung"/>
        </w:rPr>
        <w:t>\left(</w:t>
      </w:r>
      <w:r>
        <w:rPr>
          <w:i/>
          <w:iCs/>
        </w:rPr>
        <w:br/>
      </w:r>
      <w:r>
        <w:rPr>
          <w:rStyle w:val="Hervorhebung"/>
        </w:rPr>
        <w:t>\mathcal{M}</w:t>
      </w:r>
      <w:r>
        <w:t>{\alpha}^{(\mu)},</w:t>
      </w:r>
      <w:r>
        <w:br/>
        <w:t>x</w:t>
      </w:r>
      <w:r>
        <w:br/>
        <w:t>\right).</w:t>
      </w:r>
      <w:r>
        <w:br/>
        <w:t>\tag{3.5058}</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\widehat{y}=\mathcal{P}_{F}\left(\mathcal{M}_{\alpha}^{(\mu)},x\right)\qquad\text{(3.5058)}</w:t>
      </w:r>
    </w:p>
    <w:p w:rsidR="00414AE3" w:rsidRDefault="00414AE3" w:rsidP="00414AE3">
      <w:pPr>
        <w:pStyle w:val="StandardWeb"/>
      </w:pPr>
      <w:r>
        <w:t>Die Vorhersage muss in einem empirisch vergleichbaren Wertebereich liegen:</w:t>
      </w:r>
    </w:p>
    <w:p w:rsidR="00414AE3" w:rsidRDefault="00414AE3" w:rsidP="00414AE3">
      <w:pPr>
        <w:pStyle w:val="StandardWeb"/>
      </w:pPr>
      <w:r>
        <w:t>[</w:t>
      </w:r>
      <w:r>
        <w:br/>
        <w:t>\widehat{y},</w:t>
      </w:r>
      <w:r>
        <w:br/>
        <w:t>y</w:t>
      </w:r>
      <w:r>
        <w:br/>
        <w:t>\in</w:t>
      </w:r>
      <w:r>
        <w:br/>
        <w:t>\mathcal{Y}_{\mathrm{emp}}.</w:t>
      </w:r>
      <w:r>
        <w:br/>
        <w:t>\tag{3.5059}</w:t>
      </w:r>
      <w:r>
        <w:br/>
        <w:t>]</w:t>
      </w:r>
    </w:p>
    <w:p w:rsidR="00414AE3" w:rsidRDefault="00414AE3" w:rsidP="00414AE3">
      <w:pPr>
        <w:pStyle w:val="StandardWeb"/>
      </w:pPr>
      <w:r>
        <w:rPr>
          <w:rStyle w:val="Fett"/>
        </w:rPr>
        <w:lastRenderedPageBreak/>
        <w:t>Word-LaTeX</w:t>
      </w:r>
    </w:p>
    <w:p w:rsidR="00414AE3" w:rsidRDefault="00414AE3" w:rsidP="00414AE3">
      <w:pPr>
        <w:pStyle w:val="HTMLVorformatiert"/>
        <w:rPr>
          <w:rStyle w:val="HTMLCode"/>
        </w:rPr>
      </w:pPr>
      <w:r>
        <w:rPr>
          <w:rStyle w:val="HTMLCode"/>
        </w:rPr>
        <w:t>\widehat{y},y\in\mathcal{Y}_{\mathrm{emp}}\qquad\text{(3.5059)}</w:t>
      </w:r>
    </w:p>
    <w:p w:rsidR="00414AE3" w:rsidRDefault="00414AE3" w:rsidP="00414AE3">
      <w:pPr>
        <w:pStyle w:val="StandardWeb"/>
      </w:pPr>
      <w:r>
        <w:t>Ohne gemeinsamen Wertebereich ist kein unmittelbarer empirischer Vergleich zulässig.</w:t>
      </w:r>
    </w:p>
    <w:p w:rsidR="00414AE3" w:rsidRPr="00AF32B2" w:rsidRDefault="00414AE3" w:rsidP="00AF32B2">
      <w:pPr>
        <w:pStyle w:val="berschrift4"/>
      </w:pPr>
      <w:r w:rsidRPr="00AF32B2">
        <w:t>3.3.26.14 Vergleichsmaß</w:t>
      </w:r>
    </w:p>
    <w:p w:rsidR="00414AE3" w:rsidRDefault="00414AE3" w:rsidP="00414AE3">
      <w:pPr>
        <w:pStyle w:val="StandardWeb"/>
      </w:pPr>
      <w:r>
        <w:t>Ein empirisches Vergleichsmaß lautet</w:t>
      </w:r>
    </w:p>
    <w:p w:rsidR="00414AE3" w:rsidRDefault="00414AE3" w:rsidP="00414AE3">
      <w:pPr>
        <w:pStyle w:val="StandardWeb"/>
      </w:pPr>
      <w:r>
        <w:t>[</w:t>
      </w:r>
      <w:r>
        <w:br/>
        <w:t>\Delta_{\mathrm{emp}}:</w:t>
      </w:r>
      <w:r>
        <w:br/>
        <w:t>\mathcal{Y}</w:t>
      </w:r>
      <w:r>
        <w:rPr>
          <w:rStyle w:val="Hervorhebung"/>
        </w:rPr>
        <w:t>{\mathrm{emp}}</w:t>
      </w:r>
      <w:r>
        <w:rPr>
          <w:i/>
          <w:iCs/>
        </w:rPr>
        <w:br/>
      </w:r>
      <w:r>
        <w:rPr>
          <w:rStyle w:val="Hervorhebung"/>
        </w:rPr>
        <w:t>\times</w:t>
      </w:r>
      <w:r>
        <w:rPr>
          <w:i/>
          <w:iCs/>
        </w:rPr>
        <w:br/>
      </w:r>
      <w:r>
        <w:rPr>
          <w:rStyle w:val="Hervorhebung"/>
        </w:rPr>
        <w:t>\mathcal{Y}</w:t>
      </w:r>
      <w:r>
        <w:t>{\mathrm{emp}}</w:t>
      </w:r>
      <w:r>
        <w:br/>
        <w:t>\rightarrow</w:t>
      </w:r>
      <w:r>
        <w:br/>
        <w:t>\mathbb{R}_{\geq0}.</w:t>
      </w:r>
      <w:r>
        <w:br/>
        <w:t>\tag{3.5060}</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\Delta_{\mathrm{emp}}:\mathcal{Y}_{\mathrm{emp}}\times\mathcal{Y}_{\mathrm{emp}}\rightarrow\mathbb{R}_{\geq0}\qquad\text{(3.5060)}</w:t>
      </w:r>
    </w:p>
    <w:p w:rsidR="00414AE3" w:rsidRDefault="00414AE3" w:rsidP="00414AE3">
      <w:pPr>
        <w:pStyle w:val="StandardWeb"/>
      </w:pPr>
      <w:r>
        <w:t>Für Beobachtung und Vorhersage gilt</w:t>
      </w:r>
    </w:p>
    <w:p w:rsidR="00414AE3" w:rsidRDefault="00414AE3" w:rsidP="00414AE3">
      <w:pPr>
        <w:pStyle w:val="StandardWeb"/>
      </w:pPr>
      <w:r>
        <w:t>[</w:t>
      </w:r>
      <w:r>
        <w:br/>
        <w:t>\Delta_{\mathrm{emp}}</w:t>
      </w:r>
      <w:r>
        <w:br/>
        <w:t>\left(</w:t>
      </w:r>
      <w:r>
        <w:br/>
        <w:t>y,</w:t>
      </w:r>
      <w:r>
        <w:br/>
        <w:t>\widehat{y}</w:t>
      </w:r>
      <w:r>
        <w:br/>
        <w:t>\right).</w:t>
      </w:r>
      <w:r>
        <w:br/>
        <w:t>\tag{3.5061}</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\Delta_{\mathrm{emp}}\left(y,\widehat{y}\right)\qquad\text{(3.5061)}</w:t>
      </w:r>
    </w:p>
    <w:p w:rsidR="00414AE3" w:rsidRDefault="00414AE3" w:rsidP="00414AE3">
      <w:pPr>
        <w:pStyle w:val="StandardWeb"/>
      </w:pPr>
      <w:r>
        <w:t>Eine einfache absolute Abweichung lautet</w:t>
      </w:r>
    </w:p>
    <w:p w:rsidR="00414AE3" w:rsidRDefault="00414AE3" w:rsidP="00414AE3">
      <w:pPr>
        <w:pStyle w:val="berschrift1"/>
      </w:pPr>
      <w:r>
        <w:t>[</w:t>
      </w:r>
      <w:r>
        <w:br/>
        <w:t>\Delta_{\mathrm{abs}}</w:t>
      </w:r>
      <w:r>
        <w:br/>
        <w:t>\left(</w:t>
      </w:r>
      <w:r>
        <w:br/>
        <w:t>y,\widehat{y}</w:t>
      </w:r>
      <w:r>
        <w:br/>
        <w:t>\right)</w:t>
      </w:r>
    </w:p>
    <w:p w:rsidR="00414AE3" w:rsidRDefault="00414AE3" w:rsidP="00414AE3">
      <w:pPr>
        <w:pStyle w:val="StandardWeb"/>
      </w:pPr>
      <w:r>
        <w:lastRenderedPageBreak/>
        <w:t>\left|</w:t>
      </w:r>
      <w:r>
        <w:br/>
        <w:t>y-\widehat{y}</w:t>
      </w:r>
      <w:r>
        <w:br/>
        <w:t>\right|.</w:t>
      </w:r>
      <w:r>
        <w:br/>
        <w:t>\tag{3.5062}</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\Delta_{\mathrm{abs}}\left(y,\widehat{y}\right)=\left|y-\widehat{y}\right|\qquad\text{(3.5062)}</w:t>
      </w:r>
    </w:p>
    <w:p w:rsidR="00414AE3" w:rsidRDefault="00414AE3" w:rsidP="00414AE3">
      <w:pPr>
        <w:pStyle w:val="StandardWeb"/>
      </w:pPr>
      <w:r>
        <w:t>Für vektorwertige Beobachtungen kann eine Norm verwendet werden:</w:t>
      </w:r>
    </w:p>
    <w:p w:rsidR="00414AE3" w:rsidRDefault="00414AE3" w:rsidP="00414AE3">
      <w:pPr>
        <w:pStyle w:val="berschrift1"/>
      </w:pPr>
      <w:r>
        <w:t>[</w:t>
      </w:r>
      <w:r>
        <w:br/>
        <w:t>\Delta_{\mathrm{vec}}</w:t>
      </w:r>
      <w:r>
        <w:br/>
        <w:t>\left(</w:t>
      </w:r>
      <w:r>
        <w:br/>
        <w:t>y,\widehat{y}</w:t>
      </w:r>
      <w:r>
        <w:br/>
        <w:t>\right)</w:t>
      </w:r>
    </w:p>
    <w:p w:rsidR="00414AE3" w:rsidRDefault="00414AE3" w:rsidP="00414AE3">
      <w:pPr>
        <w:pStyle w:val="StandardWeb"/>
      </w:pPr>
      <w:r>
        <w:t>\left|</w:t>
      </w:r>
      <w:r>
        <w:br/>
        <w:t>y-\widehat{y}</w:t>
      </w:r>
      <w:r>
        <w:br/>
        <w:t>\right|.</w:t>
      </w:r>
      <w:r>
        <w:br/>
        <w:t>\tag{3.5063}</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\Delta_{\mathrm{vec}}\left(y,\widehat{y}\right)=\left\|y-\widehat{y}\right\|\qquad\text{(3.5063)}</w:t>
      </w:r>
    </w:p>
    <w:p w:rsidR="00414AE3" w:rsidRDefault="00414AE3" w:rsidP="00414AE3">
      <w:pPr>
        <w:pStyle w:val="StandardWeb"/>
      </w:pPr>
      <w:r>
        <w:t>Die Wahl des Vergleichsmaßes gehört zur empirischen Prüfmethode und muss begründet werden.</w:t>
      </w:r>
    </w:p>
    <w:p w:rsidR="00414AE3" w:rsidRPr="00AF32B2" w:rsidRDefault="00414AE3" w:rsidP="00AF32B2">
      <w:pPr>
        <w:pStyle w:val="berschrift4"/>
      </w:pPr>
      <w:r w:rsidRPr="00AF32B2">
        <w:t>3.3.26.15 Toleranzbereich</w:t>
      </w:r>
    </w:p>
    <w:p w:rsidR="00414AE3" w:rsidRDefault="00414AE3" w:rsidP="00414AE3">
      <w:pPr>
        <w:pStyle w:val="StandardWeb"/>
      </w:pPr>
      <w:r>
        <w:t>Eine Vorhersage gilt als empirisch akzeptiert, wenn</w:t>
      </w:r>
    </w:p>
    <w:p w:rsidR="00414AE3" w:rsidRDefault="00414AE3" w:rsidP="00414AE3">
      <w:pPr>
        <w:pStyle w:val="StandardWeb"/>
      </w:pPr>
      <w:r>
        <w:t>[</w:t>
      </w:r>
      <w:r>
        <w:br/>
        <w:t>\Delta_{\mathrm{emp}}</w:t>
      </w:r>
      <w:r>
        <w:br/>
        <w:t>\left(</w:t>
      </w:r>
      <w:r>
        <w:br/>
        <w:t>y,\widehat{y}</w:t>
      </w:r>
      <w:r>
        <w:br/>
        <w:t>\right)</w:t>
      </w:r>
      <w:r>
        <w:br/>
        <w:t>\leq</w:t>
      </w:r>
      <w:r>
        <w:br/>
        <w:t>\varepsilon_{\mathrm{emp}}.</w:t>
      </w:r>
      <w:r>
        <w:br/>
        <w:t>\tag{3.5064}</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lastRenderedPageBreak/>
        <w:t>\Delta_{\mathrm{emp}}\left(y,\widehat{y}\right)\leq\varepsilon_{\mathrm{emp}}\qquad\text{(3.5064)}</w:t>
      </w:r>
    </w:p>
    <w:p w:rsidR="00414AE3" w:rsidRDefault="00414AE3" w:rsidP="00414AE3">
      <w:pPr>
        <w:pStyle w:val="StandardWeb"/>
      </w:pPr>
      <w:r>
        <w:t>Dabei bezeichnet (\varepsilon_{\mathrm{emp}}) den festgelegten empirischen Toleranzwert.</w:t>
      </w:r>
    </w:p>
    <w:p w:rsidR="00414AE3" w:rsidRDefault="00414AE3" w:rsidP="00414AE3">
      <w:pPr>
        <w:pStyle w:val="StandardWeb"/>
      </w:pPr>
      <w:r>
        <w:t>Eine Zurückweisung liegt vor, wenn</w:t>
      </w:r>
    </w:p>
    <w:p w:rsidR="00414AE3" w:rsidRDefault="00414AE3" w:rsidP="00414AE3">
      <w:pPr>
        <w:pStyle w:val="StandardWeb"/>
      </w:pPr>
      <w:r>
        <w:t>[</w:t>
      </w:r>
      <w:r>
        <w:br/>
        <w:t>\Delta_{\mathrm{emp}}</w:t>
      </w:r>
      <w:r>
        <w:br/>
        <w:t>\left(</w:t>
      </w:r>
      <w:r>
        <w:br/>
        <w:t>y,\widehat{y}</w:t>
      </w:r>
      <w:r>
        <w:br/>
        <w:t>\right)</w:t>
      </w:r>
    </w:p>
    <w:p w:rsidR="00414AE3" w:rsidRDefault="00414AE3" w:rsidP="00414AE3">
      <w:pPr>
        <w:pStyle w:val="StandardWeb"/>
      </w:pPr>
      <w:r>
        <w:t>\varepsilon_{\mathrm{emp}}.</w:t>
      </w:r>
      <w:r>
        <w:br/>
        <w:t>\tag{3.5065}</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\Delta_{\mathrm{emp}}\left(y,\widehat{y}\right)&gt;\varepsilon_{\mathrm{emp}}\qquad\text{(3.5065)}</w:t>
      </w:r>
    </w:p>
    <w:p w:rsidR="00414AE3" w:rsidRDefault="00414AE3" w:rsidP="00414AE3">
      <w:pPr>
        <w:pStyle w:val="StandardWeb"/>
      </w:pPr>
      <w:r>
        <w:t>Der Toleranzwert darf nicht erst nach Kenntnis des Ergebnisses so gewählt werden, dass die Modellvorhersage akzeptiert wird [58, 59, 79].</w:t>
      </w:r>
    </w:p>
    <w:p w:rsidR="00414AE3" w:rsidRPr="00AF32B2" w:rsidRDefault="00414AE3" w:rsidP="00AF32B2">
      <w:pPr>
        <w:pStyle w:val="berschrift4"/>
      </w:pPr>
      <w:r w:rsidRPr="00AF32B2">
        <w:t>3.3.26.16 Messfehler</w:t>
      </w:r>
    </w:p>
    <w:p w:rsidR="00414AE3" w:rsidRDefault="00414AE3" w:rsidP="00414AE3">
      <w:pPr>
        <w:pStyle w:val="StandardWeb"/>
      </w:pPr>
      <w:r>
        <w:t>Ein beobachteter Messwert kann als Summe eines nicht direkt bekannten Referenzwerts und eines Messfehlers dargestellt werden:</w:t>
      </w:r>
    </w:p>
    <w:p w:rsidR="00414AE3" w:rsidRDefault="00414AE3" w:rsidP="00414AE3">
      <w:pPr>
        <w:pStyle w:val="berschrift1"/>
      </w:pPr>
      <w:r>
        <w:t>[</w:t>
      </w:r>
      <w:r>
        <w:br/>
        <w:t>y_{\mathrm{obs}}</w:t>
      </w:r>
    </w:p>
    <w:p w:rsidR="00414AE3" w:rsidRDefault="00414AE3" w:rsidP="00414AE3">
      <w:pPr>
        <w:pStyle w:val="StandardWeb"/>
      </w:pPr>
      <w:r>
        <w:t>y_{\mathrm{ref}}</w:t>
      </w:r>
      <w:r>
        <w:br/>
        <w:t>+</w:t>
      </w:r>
      <w:r>
        <w:br/>
        <w:t>\varepsilon_{\mathrm{mess}}.</w:t>
      </w:r>
      <w:r>
        <w:br/>
        <w:t>\tag{3.5066}</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y_{\mathrm{obs}}=y_{\mathrm{ref}}+\varepsilon_{\mathrm{mess}}\qquad\text{(3.5066)}</w:t>
      </w:r>
    </w:p>
    <w:p w:rsidR="00414AE3" w:rsidRDefault="00414AE3" w:rsidP="00414AE3">
      <w:pPr>
        <w:pStyle w:val="StandardWeb"/>
      </w:pPr>
      <w:r>
        <w:t>Der Messfehler kann zufällig oder systematisch sein:</w:t>
      </w:r>
    </w:p>
    <w:p w:rsidR="00414AE3" w:rsidRDefault="00414AE3" w:rsidP="00414AE3">
      <w:pPr>
        <w:pStyle w:val="berschrift1"/>
      </w:pPr>
      <w:r>
        <w:t>[</w:t>
      </w:r>
      <w:r>
        <w:br/>
        <w:t>\varepsilon_{\mathrm{mess}}</w:t>
      </w:r>
    </w:p>
    <w:p w:rsidR="00414AE3" w:rsidRDefault="00414AE3" w:rsidP="00414AE3">
      <w:pPr>
        <w:pStyle w:val="StandardWeb"/>
      </w:pPr>
      <w:r>
        <w:lastRenderedPageBreak/>
        <w:t>\varepsilon_{\mathrm{rand}}</w:t>
      </w:r>
      <w:r>
        <w:br/>
        <w:t>+</w:t>
      </w:r>
      <w:r>
        <w:br/>
        <w:t>\varepsilon_{\mathrm{sys}}.</w:t>
      </w:r>
      <w:r>
        <w:br/>
        <w:t>\tag{3.5067}</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\varepsilon_{\mathrm{mess}}=\varepsilon_{\mathrm{rand}}+\varepsilon_{\mathrm{sys}}\qquad\text{(3.5067)}</w:t>
      </w:r>
    </w:p>
    <w:p w:rsidR="00414AE3" w:rsidRDefault="00414AE3" w:rsidP="00414AE3">
      <w:pPr>
        <w:pStyle w:val="StandardWeb"/>
      </w:pPr>
      <w:r>
        <w:t>Ein systematischer Fehler erfüllt im Allgemeinen</w:t>
      </w:r>
    </w:p>
    <w:p w:rsidR="00414AE3" w:rsidRDefault="00414AE3" w:rsidP="00414AE3">
      <w:pPr>
        <w:pStyle w:val="StandardWeb"/>
      </w:pPr>
      <w:r>
        <w:t>[</w:t>
      </w:r>
      <w:r>
        <w:br/>
        <w:t>\mathbb{E}</w:t>
      </w:r>
      <w:r>
        <w:br/>
        <w:t>\left[</w:t>
      </w:r>
      <w:r>
        <w:br/>
        <w:t>\varepsilon_{\mathrm{sys}}</w:t>
      </w:r>
      <w:r>
        <w:br/>
        <w:t>\right]</w:t>
      </w:r>
      <w:r>
        <w:br/>
        <w:t>\neq</w:t>
      </w:r>
      <w:r>
        <w:br/>
        <w:t>0.</w:t>
      </w:r>
      <w:r>
        <w:br/>
        <w:t>\tag{3.5068}</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\mathbb{E}\left[\varepsilon_{\mathrm{sys}}\right]\neq0\qquad\text{(3.5068)}</w:t>
      </w:r>
    </w:p>
    <w:p w:rsidR="00414AE3" w:rsidRDefault="00414AE3" w:rsidP="00414AE3">
      <w:pPr>
        <w:pStyle w:val="StandardWeb"/>
      </w:pPr>
      <w:r>
        <w:t>Die empirische Abweichung zwischen Modell und Beobachtung darf deshalb nicht ohne Fehleranalyse vollständig dem Modell zugerechnet werden.</w:t>
      </w:r>
    </w:p>
    <w:p w:rsidR="00414AE3" w:rsidRPr="00AF32B2" w:rsidRDefault="00414AE3" w:rsidP="00AF32B2">
      <w:pPr>
        <w:pStyle w:val="berschrift4"/>
      </w:pPr>
      <w:r w:rsidRPr="00AF32B2">
        <w:t>3.3.26.17 Modellfehler und Operationalisierungsfehler</w:t>
      </w:r>
    </w:p>
    <w:p w:rsidR="00414AE3" w:rsidRDefault="00414AE3" w:rsidP="00414AE3">
      <w:pPr>
        <w:pStyle w:val="StandardWeb"/>
      </w:pPr>
      <w:r>
        <w:t>Die gesamte beobachtete Abweichung kann in mehrere Komponenten zerlegt werden:</w:t>
      </w:r>
    </w:p>
    <w:p w:rsidR="00414AE3" w:rsidRDefault="00414AE3" w:rsidP="00414AE3">
      <w:pPr>
        <w:pStyle w:val="berschrift1"/>
      </w:pPr>
      <w:r>
        <w:t>[</w:t>
      </w:r>
      <w:r>
        <w:br/>
        <w:t>\varepsilon_{\mathrm{ges}}</w:t>
      </w:r>
    </w:p>
    <w:p w:rsidR="00414AE3" w:rsidRDefault="00414AE3" w:rsidP="00414AE3">
      <w:pPr>
        <w:pStyle w:val="StandardWeb"/>
      </w:pPr>
      <w:r>
        <w:t>\varepsilon_{\mathrm{mess}}</w:t>
      </w:r>
      <w:r>
        <w:br/>
        <w:t>+</w:t>
      </w:r>
      <w:r>
        <w:br/>
        <w:t>\varepsilon_{\mathrm{op}}</w:t>
      </w:r>
      <w:r>
        <w:br/>
        <w:t>+</w:t>
      </w:r>
      <w:r>
        <w:br/>
        <w:t>\varepsilon_{\mathrm{mod}}</w:t>
      </w:r>
      <w:r>
        <w:br/>
        <w:t>+</w:t>
      </w:r>
      <w:r>
        <w:br/>
        <w:t>\varepsilon_{\mathrm{num}}.</w:t>
      </w:r>
      <w:r>
        <w:br/>
        <w:t>\tag{3.5069}</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lastRenderedPageBreak/>
        <w:t>\varepsilon_{\mathrm{ges}}=\varepsilon_{\mathrm{mess}}+\varepsilon_{\mathrm{op}}+\varepsilon_{\mathrm{mod}}+\varepsilon_{\mathrm{num}}\qquad\text{(3.5069)}</w:t>
      </w:r>
    </w:p>
    <w:p w:rsidR="00414AE3" w:rsidRDefault="00414AE3" w:rsidP="00414AE3">
      <w:pPr>
        <w:pStyle w:val="StandardWeb"/>
      </w:pPr>
      <w:r>
        <w:t>Dabei bezeichnet:</w:t>
      </w:r>
    </w:p>
    <w:p w:rsidR="00414AE3" w:rsidRDefault="00414AE3" w:rsidP="00632D23">
      <w:pPr>
        <w:pStyle w:val="StandardWeb"/>
        <w:numPr>
          <w:ilvl w:val="0"/>
          <w:numId w:val="143"/>
        </w:numPr>
      </w:pPr>
      <w:r>
        <w:t>(\varepsilon_{\mathrm{mess}}) den Messfehler,</w:t>
      </w:r>
    </w:p>
    <w:p w:rsidR="00414AE3" w:rsidRDefault="00414AE3" w:rsidP="00632D23">
      <w:pPr>
        <w:pStyle w:val="StandardWeb"/>
        <w:numPr>
          <w:ilvl w:val="0"/>
          <w:numId w:val="143"/>
        </w:numPr>
      </w:pPr>
      <w:r>
        <w:t>(\varepsilon_{\mathrm{op}}) den Operationalisierungsfehler,</w:t>
      </w:r>
    </w:p>
    <w:p w:rsidR="00414AE3" w:rsidRDefault="00414AE3" w:rsidP="00632D23">
      <w:pPr>
        <w:pStyle w:val="StandardWeb"/>
        <w:numPr>
          <w:ilvl w:val="0"/>
          <w:numId w:val="143"/>
        </w:numPr>
      </w:pPr>
      <w:r>
        <w:t>(\varepsilon_{\mathrm{mod}}) den Modellfehler,</w:t>
      </w:r>
    </w:p>
    <w:p w:rsidR="00414AE3" w:rsidRDefault="00414AE3" w:rsidP="00632D23">
      <w:pPr>
        <w:pStyle w:val="StandardWeb"/>
        <w:numPr>
          <w:ilvl w:val="0"/>
          <w:numId w:val="143"/>
        </w:numPr>
      </w:pPr>
      <w:r>
        <w:t>(\varepsilon_{\mathrm{num}}) den numerischen oder algorithmischen Fehler.</w:t>
      </w:r>
    </w:p>
    <w:p w:rsidR="00414AE3" w:rsidRDefault="00414AE3" w:rsidP="00414AE3">
      <w:pPr>
        <w:pStyle w:val="StandardWeb"/>
      </w:pPr>
      <w:r>
        <w:rPr>
          <w:rStyle w:val="Fett"/>
        </w:rPr>
        <w:t>Eigenleistung des FRZK</w:t>
      </w:r>
    </w:p>
    <w:p w:rsidR="00414AE3" w:rsidRDefault="00414AE3" w:rsidP="00414AE3">
      <w:pPr>
        <w:pStyle w:val="StandardWeb"/>
      </w:pPr>
      <w:r>
        <w:t>Ich ordne Abweichungen nicht automatisch der FRZK-Theorie zu. Zunächst muss geprüft werden, ob sie aus der Messung, der Datenaufbereitung, der Operationalisierung, der konkreten Modellinstanz oder der numerischen Umsetzung stammen.</w:t>
      </w:r>
    </w:p>
    <w:p w:rsidR="00414AE3" w:rsidRPr="00AF32B2" w:rsidRDefault="00414AE3" w:rsidP="00AF32B2">
      <w:pPr>
        <w:pStyle w:val="berschrift4"/>
      </w:pPr>
      <w:r w:rsidRPr="00AF32B2">
        <w:t>3.3.26.18 Parameterschätzung</w:t>
      </w:r>
    </w:p>
    <w:p w:rsidR="00414AE3" w:rsidRDefault="00414AE3" w:rsidP="00414AE3">
      <w:pPr>
        <w:pStyle w:val="StandardWeb"/>
      </w:pPr>
      <w:r>
        <w:t>Eine Modellinstanz kann einen Parametervektor enthalten:</w:t>
      </w:r>
    </w:p>
    <w:p w:rsidR="00414AE3" w:rsidRDefault="00414AE3" w:rsidP="00414AE3">
      <w:pPr>
        <w:pStyle w:val="StandardWeb"/>
      </w:pPr>
      <w:r>
        <w:t>[</w:t>
      </w:r>
      <w:r>
        <w:br/>
        <w:t>\theta</w:t>
      </w:r>
      <w:r>
        <w:br/>
        <w:t>\in</w:t>
      </w:r>
      <w:r>
        <w:br/>
        <w:t>\Theta.</w:t>
      </w:r>
      <w:r>
        <w:br/>
        <w:t>\tag{3.5070}</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\theta\in\Theta\qquad\text{(3.5070)}</w:t>
      </w:r>
    </w:p>
    <w:p w:rsidR="00414AE3" w:rsidRDefault="00414AE3" w:rsidP="00414AE3">
      <w:pPr>
        <w:pStyle w:val="StandardWeb"/>
      </w:pPr>
      <w:r>
        <w:t>Die Parameterschätzung lautet</w:t>
      </w:r>
    </w:p>
    <w:p w:rsidR="00414AE3" w:rsidRDefault="00414AE3" w:rsidP="00414AE3">
      <w:pPr>
        <w:pStyle w:val="berschrift1"/>
      </w:pPr>
      <w:r>
        <w:t>[</w:t>
      </w:r>
      <w:r>
        <w:br/>
        <w:t>\widehat{\theta}</w:t>
      </w:r>
    </w:p>
    <w:p w:rsidR="00414AE3" w:rsidRDefault="00414AE3" w:rsidP="00414AE3">
      <w:pPr>
        <w:pStyle w:val="StandardWeb"/>
      </w:pPr>
      <w:r>
        <w:t>\operatorname*{arg,min}</w:t>
      </w:r>
      <w:r>
        <w:rPr>
          <w:rStyle w:val="Hervorhebung"/>
        </w:rPr>
        <w:t>{\theta\in\Theta}</w:t>
      </w:r>
      <w:r>
        <w:rPr>
          <w:i/>
          <w:iCs/>
        </w:rPr>
        <w:br/>
      </w:r>
      <w:r>
        <w:rPr>
          <w:rStyle w:val="Hervorhebung"/>
        </w:rPr>
        <w:t>\mathcal{L}</w:t>
      </w:r>
      <w:r>
        <w:rPr>
          <w:i/>
          <w:iCs/>
        </w:rPr>
        <w:br/>
      </w:r>
      <w:r>
        <w:rPr>
          <w:rStyle w:val="Hervorhebung"/>
        </w:rPr>
        <w:t>\left(</w:t>
      </w:r>
      <w:r>
        <w:rPr>
          <w:i/>
          <w:iCs/>
        </w:rPr>
        <w:br/>
      </w:r>
      <w:r>
        <w:rPr>
          <w:rStyle w:val="Hervorhebung"/>
        </w:rPr>
        <w:t>\theta;</w:t>
      </w:r>
      <w:r>
        <w:rPr>
          <w:i/>
          <w:iCs/>
        </w:rPr>
        <w:br/>
      </w:r>
      <w:r>
        <w:rPr>
          <w:rStyle w:val="Hervorhebung"/>
        </w:rPr>
        <w:t>\mathcal{D}</w:t>
      </w:r>
      <w:r>
        <w:t>{\mathrm{train}}</w:t>
      </w:r>
      <w:r>
        <w:br/>
        <w:t>\right).</w:t>
      </w:r>
      <w:r>
        <w:br/>
        <w:t>\tag{3.5071}</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\widehat{\theta}=\operatorname*{arg\,min}_{\theta\in\Theta}\mathcal{L}\left(\theta;\mathcal{D}_{\mathrm{train}}\right)\qquad\text{(3.5071)}</w:t>
      </w:r>
    </w:p>
    <w:p w:rsidR="00414AE3" w:rsidRDefault="00414AE3" w:rsidP="00414AE3">
      <w:pPr>
        <w:pStyle w:val="StandardWeb"/>
      </w:pPr>
      <w:r>
        <w:lastRenderedPageBreak/>
        <w:t>Die geschätzte Modellinstanz lautet</w:t>
      </w:r>
    </w:p>
    <w:p w:rsidR="00414AE3" w:rsidRDefault="00414AE3" w:rsidP="00414AE3">
      <w:pPr>
        <w:pStyle w:val="berschrift1"/>
      </w:pPr>
      <w:r>
        <w:t>[</w:t>
      </w:r>
      <w:r>
        <w:br/>
        <w:t>\widehat{\mathcal{M}}</w:t>
      </w:r>
    </w:p>
    <w:p w:rsidR="00414AE3" w:rsidRDefault="00414AE3" w:rsidP="00414AE3">
      <w:pPr>
        <w:pStyle w:val="StandardWeb"/>
      </w:pPr>
      <w:r>
        <w:t>\mathcal{M}</w:t>
      </w:r>
      <w:r>
        <w:br/>
        <w:t>\left(</w:t>
      </w:r>
      <w:r>
        <w:br/>
        <w:t>\widehat{\theta}</w:t>
      </w:r>
      <w:r>
        <w:br/>
        <w:t>\right).</w:t>
      </w:r>
      <w:r>
        <w:br/>
        <w:t>\tag{3.5072}</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\widehat{\mathcal{M}}=\mathcal{M}\left(\widehat{\theta}\right)\qquad\text{(3.5072)}</w:t>
      </w:r>
    </w:p>
    <w:p w:rsidR="00414AE3" w:rsidRDefault="00414AE3" w:rsidP="00414AE3">
      <w:pPr>
        <w:pStyle w:val="StandardWeb"/>
      </w:pPr>
      <w:r>
        <w:t>Die Daten zur Parameterschätzung dürfen nicht vollständig mit den Daten zur unabhängigen Modellprüfung identisch sein.</w:t>
      </w:r>
    </w:p>
    <w:p w:rsidR="00414AE3" w:rsidRPr="00AF32B2" w:rsidRDefault="00414AE3" w:rsidP="00AF32B2">
      <w:pPr>
        <w:pStyle w:val="berschrift4"/>
      </w:pPr>
      <w:r w:rsidRPr="00AF32B2">
        <w:t>3.3.26.19 Trennung von Kalibrierung und Prüfung</w:t>
      </w:r>
    </w:p>
    <w:p w:rsidR="00414AE3" w:rsidRDefault="00414AE3" w:rsidP="00414AE3">
      <w:pPr>
        <w:pStyle w:val="StandardWeb"/>
      </w:pPr>
      <w:r>
        <w:t>Die empirischen Daten werden in mindestens zwei disjunkte Teilmengen aufgeteilt:</w:t>
      </w:r>
    </w:p>
    <w:p w:rsidR="00414AE3" w:rsidRDefault="00414AE3" w:rsidP="00414AE3">
      <w:pPr>
        <w:pStyle w:val="berschrift1"/>
      </w:pPr>
      <w:r>
        <w:t>[</w:t>
      </w:r>
      <w:r>
        <w:br/>
        <w:t>\mathcal{D}_{\mathrm{emp}}</w:t>
      </w:r>
    </w:p>
    <w:p w:rsidR="00414AE3" w:rsidRDefault="00414AE3" w:rsidP="00414AE3">
      <w:pPr>
        <w:pStyle w:val="StandardWeb"/>
      </w:pPr>
      <w:r>
        <w:t>\mathcal{D}</w:t>
      </w:r>
      <w:r>
        <w:rPr>
          <w:rStyle w:val="Hervorhebung"/>
        </w:rPr>
        <w:t>{\mathrm{cal}}</w:t>
      </w:r>
      <w:r>
        <w:rPr>
          <w:i/>
          <w:iCs/>
        </w:rPr>
        <w:br/>
      </w:r>
      <w:r>
        <w:rPr>
          <w:rStyle w:val="Hervorhebung"/>
        </w:rPr>
        <w:t>\dot{\cup}</w:t>
      </w:r>
      <w:r>
        <w:rPr>
          <w:i/>
          <w:iCs/>
        </w:rPr>
        <w:br/>
      </w:r>
      <w:r>
        <w:rPr>
          <w:rStyle w:val="Hervorhebung"/>
        </w:rPr>
        <w:t>\mathcal{D}</w:t>
      </w:r>
      <w:r>
        <w:t>{\mathrm{test}}.</w:t>
      </w:r>
      <w:r>
        <w:br/>
        <w:t>\tag{3.5073}</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\mathcal{D}_{\mathrm{emp}}=\mathcal{D}_{\mathrm{cal}}\dot{\cup}\mathcal{D}_{\mathrm{test}}\qquad\text{(3.5073)}</w:t>
      </w:r>
    </w:p>
    <w:p w:rsidR="00414AE3" w:rsidRDefault="00414AE3" w:rsidP="00414AE3">
      <w:pPr>
        <w:pStyle w:val="StandardWeb"/>
      </w:pPr>
      <w:r>
        <w:t>Dabei gilt</w:t>
      </w:r>
    </w:p>
    <w:p w:rsidR="00414AE3" w:rsidRDefault="00414AE3" w:rsidP="00414AE3">
      <w:pPr>
        <w:pStyle w:val="berschrift1"/>
      </w:pPr>
      <w:r>
        <w:t>[</w:t>
      </w:r>
      <w:r>
        <w:br/>
        <w:t>\mathcal{D}</w:t>
      </w:r>
      <w:r>
        <w:rPr>
          <w:rStyle w:val="Hervorhebung"/>
        </w:rPr>
        <w:t>{\mathrm{cal}}</w:t>
      </w:r>
      <w:r>
        <w:rPr>
          <w:i/>
          <w:iCs/>
        </w:rPr>
        <w:br/>
      </w:r>
      <w:r>
        <w:rPr>
          <w:rStyle w:val="Hervorhebung"/>
        </w:rPr>
        <w:t>\cap</w:t>
      </w:r>
      <w:r>
        <w:rPr>
          <w:i/>
          <w:iCs/>
        </w:rPr>
        <w:br/>
      </w:r>
      <w:r>
        <w:rPr>
          <w:rStyle w:val="Hervorhebung"/>
        </w:rPr>
        <w:t>\mathcal{D}</w:t>
      </w:r>
      <w:r>
        <w:t>{\mathrm{test}}</w:t>
      </w:r>
    </w:p>
    <w:p w:rsidR="00414AE3" w:rsidRDefault="00414AE3" w:rsidP="00414AE3">
      <w:pPr>
        <w:pStyle w:val="StandardWeb"/>
      </w:pPr>
      <w:r>
        <w:lastRenderedPageBreak/>
        <w:t>\emptyset.</w:t>
      </w:r>
      <w:r>
        <w:br/>
        <w:t>\tag{3.5074}</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\mathcal{D}_{\mathrm{cal}}\cap\mathcal{D}_{\mathrm{test}}=\emptyset\qquad\text{(3.5074)}</w:t>
      </w:r>
    </w:p>
    <w:p w:rsidR="00414AE3" w:rsidRDefault="00414AE3" w:rsidP="00414AE3">
      <w:pPr>
        <w:pStyle w:val="StandardWeb"/>
      </w:pPr>
      <w:r>
        <w:t>Die Kalibrierung verwendet</w:t>
      </w:r>
    </w:p>
    <w:p w:rsidR="00414AE3" w:rsidRDefault="00414AE3" w:rsidP="00414AE3">
      <w:pPr>
        <w:pStyle w:val="berschrift1"/>
      </w:pPr>
      <w:r>
        <w:t>[</w:t>
      </w:r>
      <w:r>
        <w:br/>
        <w:t>\widehat{\theta}</w:t>
      </w:r>
    </w:p>
    <w:p w:rsidR="00414AE3" w:rsidRDefault="00414AE3" w:rsidP="00414AE3">
      <w:pPr>
        <w:pStyle w:val="StandardWeb"/>
      </w:pPr>
      <w:r>
        <w:t>\operatorname{Cal}</w:t>
      </w:r>
      <w:r>
        <w:br/>
        <w:t>\left(</w:t>
      </w:r>
      <w:r>
        <w:br/>
        <w:t>\mathcal{D}_{\mathrm{cal}}</w:t>
      </w:r>
      <w:r>
        <w:br/>
        <w:t>\right),</w:t>
      </w:r>
      <w:r>
        <w:br/>
        <w:t>\tag{3.5075}</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\widehat{\theta}=\operatorname{Cal}\left(\mathcal{D}_{\mathrm{cal}}\right)\qquad\text{(3.5075)}</w:t>
      </w:r>
    </w:p>
    <w:p w:rsidR="00414AE3" w:rsidRDefault="00414AE3" w:rsidP="00414AE3">
      <w:pPr>
        <w:pStyle w:val="StandardWeb"/>
      </w:pPr>
      <w:r>
        <w:t>während die Prüfung auf (\mathcal{D}_{\mathrm{test}}) erfolgt.</w:t>
      </w:r>
    </w:p>
    <w:p w:rsidR="00414AE3" w:rsidRDefault="00414AE3" w:rsidP="00414AE3">
      <w:pPr>
        <w:pStyle w:val="StandardWeb"/>
      </w:pPr>
      <w:r>
        <w:t>Diese Trennung verhindert, dass reine Anpassungsfähigkeit mit empirischer Bestätigung verwechselt wird [58, 59].</w:t>
      </w:r>
    </w:p>
    <w:p w:rsidR="00414AE3" w:rsidRPr="00AF32B2" w:rsidRDefault="00414AE3" w:rsidP="00AF32B2">
      <w:pPr>
        <w:pStyle w:val="berschrift4"/>
      </w:pPr>
      <w:r w:rsidRPr="00AF32B2">
        <w:t>3.3.26.20 Anpassung und Vorhersage</w:t>
      </w:r>
    </w:p>
    <w:p w:rsidR="00414AE3" w:rsidRDefault="00414AE3" w:rsidP="00414AE3">
      <w:pPr>
        <w:pStyle w:val="StandardWeb"/>
      </w:pPr>
      <w:r>
        <w:t>Die Anpassungsgüte lautet</w:t>
      </w:r>
    </w:p>
    <w:p w:rsidR="00414AE3" w:rsidRDefault="00414AE3" w:rsidP="00414AE3">
      <w:pPr>
        <w:pStyle w:val="berschrift1"/>
      </w:pPr>
      <w:r>
        <w:t>[</w:t>
      </w:r>
      <w:r>
        <w:br/>
        <w:t>G_{\mathrm{fit}}</w:t>
      </w:r>
    </w:p>
    <w:p w:rsidR="00414AE3" w:rsidRDefault="00414AE3" w:rsidP="00414AE3">
      <w:pPr>
        <w:pStyle w:val="StandardWeb"/>
      </w:pPr>
      <w:r>
        <w:t>G</w:t>
      </w:r>
      <w:r>
        <w:br/>
        <w:t>\left(</w:t>
      </w:r>
      <w:r>
        <w:br/>
        <w:t>\widehat{\mathcal{M}},</w:t>
      </w:r>
      <w:r>
        <w:br/>
        <w:t>\mathcal{D}_{\mathrm{cal}}</w:t>
      </w:r>
      <w:r>
        <w:br/>
        <w:t>\right).</w:t>
      </w:r>
      <w:r>
        <w:br/>
        <w:t>\tag{3.5076}</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lastRenderedPageBreak/>
        <w:t>G_{\mathrm{fit}}=G\left(\widehat{\mathcal{M}},\mathcal{D}_{\mathrm{cal}}\right)\qquad\text{(3.5076)}</w:t>
      </w:r>
    </w:p>
    <w:p w:rsidR="00414AE3" w:rsidRDefault="00414AE3" w:rsidP="00414AE3">
      <w:pPr>
        <w:pStyle w:val="StandardWeb"/>
      </w:pPr>
      <w:r>
        <w:t>Die Vorhersagegüte lautet dagegen</w:t>
      </w:r>
    </w:p>
    <w:p w:rsidR="00414AE3" w:rsidRDefault="00414AE3" w:rsidP="00414AE3">
      <w:pPr>
        <w:pStyle w:val="berschrift1"/>
      </w:pPr>
      <w:r>
        <w:t>[</w:t>
      </w:r>
      <w:r>
        <w:br/>
        <w:t>G_{\mathrm{pred}}</w:t>
      </w:r>
    </w:p>
    <w:p w:rsidR="00414AE3" w:rsidRDefault="00414AE3" w:rsidP="00414AE3">
      <w:pPr>
        <w:pStyle w:val="StandardWeb"/>
      </w:pPr>
      <w:r>
        <w:t>G</w:t>
      </w:r>
      <w:r>
        <w:br/>
        <w:t>\left(</w:t>
      </w:r>
      <w:r>
        <w:br/>
        <w:t>\widehat{\mathcal{M}},</w:t>
      </w:r>
      <w:r>
        <w:br/>
        <w:t>\mathcal{D}_{\mathrm{test}}</w:t>
      </w:r>
      <w:r>
        <w:br/>
        <w:t>\right).</w:t>
      </w:r>
      <w:r>
        <w:br/>
        <w:t>\tag{3.5077}</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G_{\mathrm{pred}}=G\left(\widehat{\mathcal{M}},\mathcal{D}_{\mathrm{test}}\right)\qquad\text{(3.5077)}</w:t>
      </w:r>
    </w:p>
    <w:p w:rsidR="00414AE3" w:rsidRDefault="00414AE3" w:rsidP="00414AE3">
      <w:pPr>
        <w:pStyle w:val="StandardWeb"/>
      </w:pPr>
      <w:r>
        <w:t>Eine hohe Anpassungsgüte garantiert keine hohe Vorhersagegüte:</w:t>
      </w:r>
    </w:p>
    <w:p w:rsidR="00414AE3" w:rsidRDefault="00414AE3" w:rsidP="00414AE3">
      <w:pPr>
        <w:pStyle w:val="StandardWeb"/>
      </w:pPr>
      <w:r>
        <w:t>[</w:t>
      </w:r>
      <w:r>
        <w:br/>
        <w:t>G_{\mathrm{fit}}</w:t>
      </w:r>
      <w:r>
        <w:br/>
        <w:t>\text{ hoch}</w:t>
      </w:r>
      <w:r>
        <w:br/>
        <w:t>\nRightarrow</w:t>
      </w:r>
      <w:r>
        <w:br/>
        <w:t>G_{\mathrm{pred}}</w:t>
      </w:r>
      <w:r>
        <w:br/>
        <w:t>\text{ hoch}.</w:t>
      </w:r>
      <w:r>
        <w:br/>
        <w:t>\tag{3.5078}</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G_{\mathrm{fit}}\text{ hoch}\nRightarrow G_{\mathrm{pred}}\text{ hoch}\qquad\text{(3.5078)}</w:t>
      </w:r>
    </w:p>
    <w:p w:rsidR="00414AE3" w:rsidRPr="00AF32B2" w:rsidRDefault="00414AE3" w:rsidP="00AF32B2">
      <w:pPr>
        <w:pStyle w:val="berschrift4"/>
      </w:pPr>
      <w:r w:rsidRPr="00AF32B2">
        <w:t>3.3.26.21 Empirische Prüfhypothese</w:t>
      </w:r>
    </w:p>
    <w:p w:rsidR="00414AE3" w:rsidRDefault="00414AE3" w:rsidP="00414AE3">
      <w:pPr>
        <w:pStyle w:val="StandardWeb"/>
      </w:pPr>
      <w:r>
        <w:t>Eine empirische FRZK-Hypothese lautet</w:t>
      </w:r>
    </w:p>
    <w:p w:rsidR="00414AE3" w:rsidRDefault="00414AE3" w:rsidP="00414AE3">
      <w:pPr>
        <w:pStyle w:val="StandardWeb"/>
      </w:pPr>
      <w:r>
        <w:t>[</w:t>
      </w:r>
      <w:r>
        <w:br/>
        <w:t>H_{F}:</w:t>
      </w:r>
      <w:r>
        <w:br/>
        <w:t>\mathcal{M}</w:t>
      </w:r>
      <w:r>
        <w:rPr>
          <w:rStyle w:val="Hervorhebung"/>
        </w:rPr>
        <w:t>{\alpha}^{(\mu)}</w:t>
      </w:r>
      <w:r>
        <w:rPr>
          <w:i/>
          <w:iCs/>
        </w:rPr>
        <w:br/>
      </w:r>
      <w:r>
        <w:rPr>
          <w:rStyle w:val="Hervorhebung"/>
        </w:rPr>
        <w:t>\models</w:t>
      </w:r>
      <w:r>
        <w:rPr>
          <w:i/>
          <w:iCs/>
        </w:rPr>
        <w:br/>
      </w:r>
      <w:r>
        <w:rPr>
          <w:rStyle w:val="Hervorhebung"/>
        </w:rPr>
        <w:t>P</w:t>
      </w:r>
      <w:r>
        <w:t>{\mathrm{emp}}.</w:t>
      </w:r>
      <w:r>
        <w:br/>
        <w:t>\tag{3.5079}</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lastRenderedPageBreak/>
        <w:t>H_{F}:\mathcal{M}_{\alpha}^{(\mu)}\models P_{\mathrm{emp}}\qquad\text{(3.5079)}</w:t>
      </w:r>
    </w:p>
    <w:p w:rsidR="00414AE3" w:rsidRDefault="00414AE3" w:rsidP="00414AE3">
      <w:pPr>
        <w:pStyle w:val="StandardWeb"/>
      </w:pPr>
      <w:r>
        <w:t>Sie muss eine beobachtbare Konsequenz besitzen:</w:t>
      </w:r>
    </w:p>
    <w:p w:rsidR="00414AE3" w:rsidRDefault="00414AE3" w:rsidP="00414AE3">
      <w:pPr>
        <w:pStyle w:val="StandardWeb"/>
      </w:pPr>
      <w:r>
        <w:t>[</w:t>
      </w:r>
      <w:r>
        <w:br/>
        <w:t>H_{F}</w:t>
      </w:r>
      <w:r>
        <w:br/>
        <w:t>\Rightarrow</w:t>
      </w:r>
      <w:r>
        <w:br/>
        <w:t>\widehat{y}</w:t>
      </w:r>
      <w:r>
        <w:br/>
        <w:t>\in</w:t>
      </w:r>
      <w:r>
        <w:br/>
        <w:t>\mathcal{Y}_{H}.</w:t>
      </w:r>
      <w:r>
        <w:br/>
        <w:t>\tag{3.5080}</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H_{F}\Rightarrow\widehat{y}\in\mathcal{Y}_{H}\qquad\text{(3.5080)}</w:t>
      </w:r>
    </w:p>
    <w:p w:rsidR="00414AE3" w:rsidRDefault="00414AE3" w:rsidP="00414AE3">
      <w:pPr>
        <w:pStyle w:val="StandardWeb"/>
      </w:pPr>
      <w:r>
        <w:t>Eine Hypothese ohne beobachtbare oder zumindest prinzipiell messbare Konsequenz ist empirisch nicht prüfbar [58, 59, 79].</w:t>
      </w:r>
    </w:p>
    <w:p w:rsidR="00414AE3" w:rsidRPr="00AF32B2" w:rsidRDefault="00414AE3" w:rsidP="00AF32B2">
      <w:pPr>
        <w:pStyle w:val="berschrift4"/>
      </w:pPr>
      <w:r w:rsidRPr="00AF32B2">
        <w:t>3.3.26.22 Falsifikationsbereich</w:t>
      </w:r>
    </w:p>
    <w:p w:rsidR="00414AE3" w:rsidRDefault="00414AE3" w:rsidP="00414AE3">
      <w:pPr>
        <w:pStyle w:val="StandardWeb"/>
      </w:pPr>
      <w:r>
        <w:t>Der Falsifikationsbereich einer Hypothese lautet</w:t>
      </w:r>
    </w:p>
    <w:p w:rsidR="00414AE3" w:rsidRDefault="00414AE3" w:rsidP="00414AE3">
      <w:pPr>
        <w:pStyle w:val="StandardWeb"/>
      </w:pPr>
      <w:r>
        <w:t>[</w:t>
      </w:r>
      <w:r>
        <w:br/>
        <w:t>\mathcal{F}(H_{F})</w:t>
      </w:r>
      <w:r>
        <w:br/>
        <w:t>\subseteq</w:t>
      </w:r>
      <w:r>
        <w:br/>
        <w:t>\mathcal{Y}_{\mathrm{emp}}.</w:t>
      </w:r>
      <w:r>
        <w:br/>
        <w:t>\tag{3.5081}</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\mathcal{F}(H_{F})\subseteq\mathcal{Y}_{\mathrm{emp}}\qquad\text{(3.5081)}</w:t>
      </w:r>
    </w:p>
    <w:p w:rsidR="00414AE3" w:rsidRDefault="00414AE3" w:rsidP="00414AE3">
      <w:pPr>
        <w:pStyle w:val="StandardWeb"/>
      </w:pPr>
      <w:r>
        <w:t>Eine Beobachtung widerlegt die konkrete Hypothese, wenn</w:t>
      </w:r>
    </w:p>
    <w:p w:rsidR="00414AE3" w:rsidRDefault="00414AE3" w:rsidP="00414AE3">
      <w:pPr>
        <w:pStyle w:val="StandardWeb"/>
      </w:pPr>
      <w:r>
        <w:t>[</w:t>
      </w:r>
      <w:r>
        <w:br/>
        <w:t>y_{\mathrm{obs}}</w:t>
      </w:r>
      <w:r>
        <w:br/>
        <w:t>\in</w:t>
      </w:r>
      <w:r>
        <w:br/>
        <w:t>\mathcal{F}(H_{F}).</w:t>
      </w:r>
      <w:r>
        <w:br/>
        <w:t>\tag{3.5082}</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y_{\mathrm{obs}}\in\mathcal{F}(H_{F})\qquad\text{(3.5082)}</w:t>
      </w:r>
    </w:p>
    <w:p w:rsidR="00414AE3" w:rsidRDefault="00414AE3" w:rsidP="00414AE3">
      <w:pPr>
        <w:pStyle w:val="StandardWeb"/>
      </w:pPr>
      <w:r>
        <w:t>Unter Berücksichtigung eines Toleranzbereichs kann gelten</w:t>
      </w:r>
    </w:p>
    <w:p w:rsidR="00414AE3" w:rsidRDefault="00414AE3" w:rsidP="00414AE3">
      <w:pPr>
        <w:pStyle w:val="StandardWeb"/>
      </w:pPr>
      <w:r>
        <w:lastRenderedPageBreak/>
        <w:t>[</w:t>
      </w:r>
      <w:r>
        <w:br/>
        <w:t>\Delta_{\mathrm{emp}}</w:t>
      </w:r>
      <w:r>
        <w:br/>
        <w:t>\left(</w:t>
      </w:r>
      <w:r>
        <w:br/>
        <w:t>y_{\mathrm{obs}},</w:t>
      </w:r>
      <w:r>
        <w:br/>
        <w:t>\widehat{y}</w:t>
      </w:r>
      <w:r>
        <w:br/>
        <w:t>\right)</w:t>
      </w:r>
    </w:p>
    <w:p w:rsidR="00414AE3" w:rsidRDefault="00414AE3" w:rsidP="00414AE3">
      <w:pPr>
        <w:pStyle w:val="StandardWeb"/>
      </w:pPr>
      <w:r>
        <w:t>\varepsilon_{\mathrm{emp}}</w:t>
      </w:r>
      <w:r>
        <w:br/>
        <w:t>\Rightarrow</w:t>
      </w:r>
      <w:r>
        <w:br/>
        <w:t>H_{F}</w:t>
      </w:r>
      <w:r>
        <w:br/>
        <w:t>\text{ wird zurückgewiesen}.</w:t>
      </w:r>
      <w:r>
        <w:br/>
        <w:t>\tag{3.5083}</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\Delta_{\mathrm{emp}}\left(y_{\mathrm{obs}},\widehat{y}\right)&gt;\varepsilon_{\mathrm{emp}}\Rightarrow H_{F}\text{ wird zurückgewiesen}\qquad\text{(3.5083)}</w:t>
      </w:r>
    </w:p>
    <w:p w:rsidR="00414AE3" w:rsidRDefault="00414AE3" w:rsidP="00414AE3">
      <w:pPr>
        <w:pStyle w:val="StandardWeb"/>
      </w:pPr>
      <w:r>
        <w:t>Die Zurückweisung betrifft zunächst die konkrete Verbindung aus Modellklasse, Modellinstanz, Operationalisierung und Hypothese.</w:t>
      </w:r>
    </w:p>
    <w:p w:rsidR="00414AE3" w:rsidRPr="00AF32B2" w:rsidRDefault="00414AE3" w:rsidP="00AF32B2">
      <w:pPr>
        <w:pStyle w:val="berschrift4"/>
      </w:pPr>
      <w:r w:rsidRPr="00AF32B2">
        <w:t>3.3.26.23 Keine unmittelbare Widerlegung der Primäraxiome</w:t>
      </w:r>
    </w:p>
    <w:p w:rsidR="00414AE3" w:rsidRDefault="00414AE3" w:rsidP="00414AE3">
      <w:pPr>
        <w:pStyle w:val="StandardWeb"/>
      </w:pPr>
      <w:r>
        <w:t>Eine empirische Abweichung widerlegt nicht automatisch die drei Primäraxiome.</w:t>
      </w:r>
    </w:p>
    <w:p w:rsidR="00414AE3" w:rsidRDefault="00414AE3" w:rsidP="00414AE3">
      <w:pPr>
        <w:pStyle w:val="StandardWeb"/>
      </w:pPr>
      <w:r>
        <w:t>Aus</w:t>
      </w:r>
    </w:p>
    <w:p w:rsidR="00414AE3" w:rsidRDefault="00414AE3" w:rsidP="00414AE3">
      <w:pPr>
        <w:pStyle w:val="berschrift1"/>
      </w:pPr>
      <w:r>
        <w:t>[</w:t>
      </w:r>
      <w:r>
        <w:br/>
        <w:t>\operatorname{Adm}</w:t>
      </w:r>
      <w:r>
        <w:rPr>
          <w:rStyle w:val="Hervorhebung"/>
        </w:rPr>
        <w:t>{\mathrm{emp}}</w:t>
      </w:r>
      <w:r>
        <w:rPr>
          <w:i/>
          <w:iCs/>
        </w:rPr>
        <w:br/>
      </w:r>
      <w:r>
        <w:rPr>
          <w:rStyle w:val="Hervorhebung"/>
        </w:rPr>
        <w:t>\left(</w:t>
      </w:r>
      <w:r>
        <w:rPr>
          <w:i/>
          <w:iCs/>
        </w:rPr>
        <w:br/>
      </w:r>
      <w:r>
        <w:rPr>
          <w:rStyle w:val="Hervorhebung"/>
        </w:rPr>
        <w:t>\mathcal{M}</w:t>
      </w:r>
      <w:r>
        <w:t>{\alpha}^{(\mu)}</w:t>
      </w:r>
      <w:r>
        <w:br/>
        <w:t>\right)</w:t>
      </w:r>
    </w:p>
    <w:p w:rsidR="00414AE3" w:rsidRDefault="00414AE3" w:rsidP="00414AE3">
      <w:pPr>
        <w:pStyle w:val="StandardWeb"/>
      </w:pPr>
      <w:r>
        <w:t>0</w:t>
      </w:r>
      <w:r>
        <w:br/>
        <w:t>\tag{3.5084}</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\operatorname{Adm}_{\mathrm{emp}}\left(\mathcal{M}_{\alpha}^{(\mu)}\right)=0\qquad\text{(3.5084)}</w:t>
      </w:r>
    </w:p>
    <w:p w:rsidR="00414AE3" w:rsidRDefault="00414AE3" w:rsidP="00414AE3">
      <w:pPr>
        <w:pStyle w:val="StandardWeb"/>
      </w:pPr>
      <w:r>
        <w:t>folgt nicht unmittelbar</w:t>
      </w:r>
    </w:p>
    <w:p w:rsidR="00414AE3" w:rsidRDefault="00414AE3" w:rsidP="00414AE3">
      <w:pPr>
        <w:pStyle w:val="StandardWeb"/>
      </w:pPr>
      <w:r>
        <w:t>[</w:t>
      </w:r>
      <w:r>
        <w:br/>
        <w:t>\mathcal{A}_{\mathrm{prim}}</w:t>
      </w:r>
      <w:r>
        <w:br/>
      </w:r>
      <w:r>
        <w:lastRenderedPageBreak/>
        <w:t>\text{ ist falsch}.</w:t>
      </w:r>
      <w:r>
        <w:br/>
        <w:t>\tag{3.5085}</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\mathcal{A}_{\mathrm{prim}}\text{ ist falsch}\qquad\text{(3.5085)}</w:t>
      </w:r>
    </w:p>
    <w:p w:rsidR="00414AE3" w:rsidRDefault="00414AE3" w:rsidP="00414AE3">
      <w:pPr>
        <w:pStyle w:val="StandardWeb"/>
      </w:pPr>
      <w:r>
        <w:t>Zunächst können folgende Komponenten betroffen sein:</w:t>
      </w:r>
    </w:p>
    <w:p w:rsidR="00414AE3" w:rsidRDefault="00414AE3" w:rsidP="00414AE3">
      <w:pPr>
        <w:pStyle w:val="StandardWeb"/>
      </w:pPr>
      <w:r>
        <w:t>[</w:t>
      </w:r>
      <w:r>
        <w:br/>
        <w:t>\left{</w:t>
      </w:r>
      <w:r>
        <w:br/>
        <w:t>\mathcal{P}</w:t>
      </w:r>
      <w:r>
        <w:rPr>
          <w:rStyle w:val="Hervorhebung"/>
        </w:rPr>
        <w:t>{\mathrm{data}},</w:t>
      </w:r>
      <w:r>
        <w:rPr>
          <w:i/>
          <w:iCs/>
        </w:rPr>
        <w:br/>
      </w:r>
      <w:r>
        <w:rPr>
          <w:rStyle w:val="Hervorhebung"/>
        </w:rPr>
        <w:t>\mathcal{O}</w:t>
      </w:r>
      <w:r>
        <w:t>{F},</w:t>
      </w:r>
      <w:r>
        <w:br/>
        <w:t>\mathcal{B}</w:t>
      </w:r>
      <w:r>
        <w:rPr>
          <w:rStyle w:val="Hervorhebung"/>
        </w:rPr>
        <w:t>{F}^{(\mu)},</w:t>
      </w:r>
      <w:r>
        <w:rPr>
          <w:i/>
          <w:iCs/>
        </w:rPr>
        <w:br/>
      </w:r>
      <w:r>
        <w:rPr>
          <w:rStyle w:val="Hervorhebung"/>
        </w:rPr>
        <w:t>\theta,</w:t>
      </w:r>
      <w:r>
        <w:rPr>
          <w:i/>
          <w:iCs/>
        </w:rPr>
        <w:br/>
      </w:r>
      <w:r>
        <w:rPr>
          <w:rStyle w:val="Hervorhebung"/>
        </w:rPr>
        <w:t>\mathcal{P}</w:t>
      </w:r>
      <w:r>
        <w:t>{F}</w:t>
      </w:r>
      <w:r>
        <w:br/>
        <w:t>\right}.</w:t>
      </w:r>
      <w:r>
        <w:br/>
        <w:t>\tag{3.5086}</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\left\{\mathcal{P}_{\mathrm{data}},\mathcal{O}_{F},\mathcal{B}_{F}^{(\mu)},\theta,\mathcal{P}_{F}\right\}\qquad\text{(3.5086)}</w:t>
      </w:r>
    </w:p>
    <w:p w:rsidR="00414AE3" w:rsidRDefault="00414AE3" w:rsidP="00414AE3">
      <w:pPr>
        <w:pStyle w:val="StandardWeb"/>
      </w:pPr>
      <w:r>
        <w:rPr>
          <w:rStyle w:val="Fett"/>
        </w:rPr>
        <w:t>Eigenleistung des FRZK</w:t>
      </w:r>
    </w:p>
    <w:p w:rsidR="00414AE3" w:rsidRDefault="00414AE3" w:rsidP="00414AE3">
      <w:pPr>
        <w:pStyle w:val="StandardWeb"/>
      </w:pPr>
      <w:r>
        <w:t>Ich unterscheide die Widerlegung einer konkreten Modellinstanz von der Widerlegung einer Modellklasse und von der Widerlegung der Primäraxiome. Je allgemeiner die betroffene Aussage ist, desto stärker muss gezeigt werden, dass alternative Operationalisierungen und zulässige Modelle dieselbe empirische Abweichung nicht erklären können.</w:t>
      </w:r>
    </w:p>
    <w:p w:rsidR="00414AE3" w:rsidRPr="00AF32B2" w:rsidRDefault="00414AE3" w:rsidP="00AF32B2">
      <w:pPr>
        <w:pStyle w:val="berschrift4"/>
      </w:pPr>
      <w:r w:rsidRPr="00AF32B2">
        <w:t>3.3.26.24 Hierarchie empirischer Zurückweisung</w:t>
      </w:r>
    </w:p>
    <w:p w:rsidR="00414AE3" w:rsidRDefault="00414AE3" w:rsidP="00414AE3">
      <w:pPr>
        <w:pStyle w:val="StandardWeb"/>
      </w:pPr>
      <w:r>
        <w:t>Die schwächste Zurückweisung betrifft eine einzelne Parameterschätzung:</w:t>
      </w:r>
    </w:p>
    <w:p w:rsidR="00414AE3" w:rsidRDefault="00414AE3" w:rsidP="00414AE3">
      <w:pPr>
        <w:pStyle w:val="StandardWeb"/>
      </w:pPr>
      <w:r>
        <w:t>[</w:t>
      </w:r>
      <w:r>
        <w:br/>
        <w:t>\widehat{\theta}</w:t>
      </w:r>
      <w:r>
        <w:br/>
        <w:t>\text{ wird zurückgewiesen}.</w:t>
      </w:r>
      <w:r>
        <w:br/>
        <w:t>\tag{3.5087}</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\widehat{\theta}\text{ wird zurückgewiesen}\qquad\text{(3.5087)}</w:t>
      </w:r>
    </w:p>
    <w:p w:rsidR="00414AE3" w:rsidRDefault="00414AE3" w:rsidP="00414AE3">
      <w:pPr>
        <w:pStyle w:val="StandardWeb"/>
      </w:pPr>
      <w:r>
        <w:t>Die nächste Ebene betrifft eine Modellinstanz:</w:t>
      </w:r>
    </w:p>
    <w:p w:rsidR="00414AE3" w:rsidRDefault="00414AE3" w:rsidP="00414AE3">
      <w:pPr>
        <w:pStyle w:val="StandardWeb"/>
      </w:pPr>
      <w:r>
        <w:t>[</w:t>
      </w:r>
      <w:r>
        <w:br/>
        <w:t>\mathcal{M}_{\alpha}^{(\mu)}</w:t>
      </w:r>
      <w:r>
        <w:br/>
        <w:t>\text{ wird zurückgewiesen}.</w:t>
      </w:r>
      <w:r>
        <w:br/>
      </w:r>
      <w:r>
        <w:lastRenderedPageBreak/>
        <w:t>\tag{3.5088}</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\mathcal{M}_{\alpha}^{(\mu)}\text{ wird zurückgewiesen}\qquad\text{(3.5088)}</w:t>
      </w:r>
    </w:p>
    <w:p w:rsidR="00414AE3" w:rsidRDefault="00414AE3" w:rsidP="00414AE3">
      <w:pPr>
        <w:pStyle w:val="StandardWeb"/>
      </w:pPr>
      <w:r>
        <w:t>Eine stärkere Zurückweisung betrifft die Modellklasse:</w:t>
      </w:r>
    </w:p>
    <w:p w:rsidR="00414AE3" w:rsidRDefault="00414AE3" w:rsidP="00414AE3">
      <w:pPr>
        <w:pStyle w:val="StandardWeb"/>
      </w:pPr>
      <w:r>
        <w:t>[</w:t>
      </w:r>
      <w:r>
        <w:br/>
        <w:t>\operatorname{Mod}_{F}^{(\mu)}</w:t>
      </w:r>
      <w:r>
        <w:br/>
        <w:t>\text{ wird für die Fragestellung zurückgewiesen}.</w:t>
      </w:r>
      <w:r>
        <w:br/>
        <w:t>\tag{3.5089}</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\operatorname{Mod}_{F}^{(\mu)}\text{ wird für die Fragestellung zurückgewiesen}\qquad\text{(3.5089)}</w:t>
      </w:r>
    </w:p>
    <w:p w:rsidR="00414AE3" w:rsidRDefault="00414AE3" w:rsidP="00414AE3">
      <w:pPr>
        <w:pStyle w:val="StandardWeb"/>
      </w:pPr>
      <w:r>
        <w:t>Die stärkste Ebene würde die gesamte Primäraxiomenklasse betreffen:</w:t>
      </w:r>
    </w:p>
    <w:p w:rsidR="00414AE3" w:rsidRDefault="00414AE3" w:rsidP="00414AE3">
      <w:pPr>
        <w:pStyle w:val="StandardWeb"/>
      </w:pPr>
      <w:r>
        <w:t>[</w:t>
      </w:r>
      <w:r>
        <w:br/>
        <w:t>\operatorname{Mod}</w:t>
      </w:r>
      <w:r>
        <w:br/>
        <w:t>\left(</w:t>
      </w:r>
      <w:r>
        <w:br/>
        <w:t>\mathcal{A}_{\mathrm{prim}}</w:t>
      </w:r>
      <w:r>
        <w:br/>
        <w:t>\right)</w:t>
      </w:r>
      <w:r>
        <w:br/>
        <w:t>\text{ ist empirisch inadäquat}.</w:t>
      </w:r>
      <w:r>
        <w:br/>
        <w:t>\tag{3.5090}</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\operatorname{Mod}\left(\mathcal{A}_{\mathrm{prim}}\right)\text{ ist empirisch inadäquat}\qquad\text{(3.5090)}</w:t>
      </w:r>
    </w:p>
    <w:p w:rsidR="00414AE3" w:rsidRDefault="00414AE3" w:rsidP="00414AE3">
      <w:pPr>
        <w:pStyle w:val="StandardWeb"/>
      </w:pPr>
      <w:r>
        <w:t>Diese letzte Aussage setzt voraus, dass keine zulässige Modellinstanz und keine wissenschaftlich begründbare Operationalisierung die empirischen Befunde angemessen repräsentieren kann.</w:t>
      </w:r>
    </w:p>
    <w:p w:rsidR="00414AE3" w:rsidRPr="00AF32B2" w:rsidRDefault="00414AE3" w:rsidP="00AF32B2">
      <w:pPr>
        <w:pStyle w:val="berschrift4"/>
      </w:pPr>
      <w:r w:rsidRPr="00AF32B2">
        <w:t>3.3.26.25 Empirische Robustheit</w:t>
      </w:r>
    </w:p>
    <w:p w:rsidR="00414AE3" w:rsidRDefault="00414AE3" w:rsidP="00414AE3">
      <w:pPr>
        <w:pStyle w:val="StandardWeb"/>
      </w:pPr>
      <w:r>
        <w:t>Eine Aussage ist gegenüber einer Menge zulässiger Operationalisierungen robust, wenn sie unter allen Operationalisierungen derselben Klasse erhalten bleibt.</w:t>
      </w:r>
    </w:p>
    <w:p w:rsidR="00414AE3" w:rsidRDefault="00414AE3" w:rsidP="00414AE3">
      <w:pPr>
        <w:pStyle w:val="StandardWeb"/>
      </w:pPr>
      <w:r>
        <w:t>Sei</w:t>
      </w:r>
    </w:p>
    <w:p w:rsidR="00414AE3" w:rsidRDefault="00414AE3" w:rsidP="00414AE3">
      <w:pPr>
        <w:pStyle w:val="berschrift1"/>
      </w:pPr>
      <w:r>
        <w:t>[</w:t>
      </w:r>
      <w:r>
        <w:br/>
        <w:t>\mathfrak{O}_{F}^{\mathrm{zul}}</w:t>
      </w:r>
    </w:p>
    <w:p w:rsidR="00414AE3" w:rsidRDefault="00414AE3" w:rsidP="00414AE3">
      <w:pPr>
        <w:pStyle w:val="StandardWeb"/>
      </w:pPr>
      <w:r>
        <w:lastRenderedPageBreak/>
        <w:t>\left{</w:t>
      </w:r>
      <w:r>
        <w:br/>
        <w:t>\mathcal{O}</w:t>
      </w:r>
      <w:r>
        <w:rPr>
          <w:rStyle w:val="Hervorhebung"/>
        </w:rPr>
        <w:t>{F}^{(1)},</w:t>
      </w:r>
      <w:r>
        <w:rPr>
          <w:i/>
          <w:iCs/>
        </w:rPr>
        <w:br/>
      </w:r>
      <w:r>
        <w:rPr>
          <w:rStyle w:val="Hervorhebung"/>
        </w:rPr>
        <w:t>\ldots,</w:t>
      </w:r>
      <w:r>
        <w:rPr>
          <w:i/>
          <w:iCs/>
        </w:rPr>
        <w:br/>
      </w:r>
      <w:r>
        <w:rPr>
          <w:rStyle w:val="Hervorhebung"/>
        </w:rPr>
        <w:t>\mathcal{O}</w:t>
      </w:r>
      <w:r>
        <w:t>{F}^{(m)}</w:t>
      </w:r>
      <w:r>
        <w:br/>
        <w:t>\right}.</w:t>
      </w:r>
      <w:r>
        <w:br/>
        <w:t>\tag{3.5091}</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\mathfrak{O}_{F}^{\mathrm{zul}}=\left\{\mathcal{O}_{F}^{(1)},\ldots,\mathcal{O}_{F}^{(m)}\right\}\qquad\text{(3.5091)}</w:t>
      </w:r>
    </w:p>
    <w:p w:rsidR="00414AE3" w:rsidRDefault="00414AE3" w:rsidP="00414AE3">
      <w:pPr>
        <w:pStyle w:val="StandardWeb"/>
      </w:pPr>
      <w:r>
        <w:t>Eine empirische Aussage (P) ist operationalisierungsrobust, wenn</w:t>
      </w:r>
    </w:p>
    <w:p w:rsidR="00414AE3" w:rsidRDefault="00414AE3" w:rsidP="00414AE3">
      <w:pPr>
        <w:pStyle w:val="berschrift1"/>
      </w:pPr>
      <w:r>
        <w:t>[</w:t>
      </w:r>
      <w:r>
        <w:br/>
        <w:t>\forall</w:t>
      </w:r>
      <w:r>
        <w:br/>
        <w:t>\mathcal{O}</w:t>
      </w:r>
      <w:r>
        <w:rPr>
          <w:rStyle w:val="Hervorhebung"/>
        </w:rPr>
        <w:t>{F}^{(i)}</w:t>
      </w:r>
      <w:r>
        <w:rPr>
          <w:i/>
          <w:iCs/>
        </w:rPr>
        <w:br/>
      </w:r>
      <w:r>
        <w:rPr>
          <w:rStyle w:val="Hervorhebung"/>
        </w:rPr>
        <w:t>\in</w:t>
      </w:r>
      <w:r>
        <w:rPr>
          <w:i/>
          <w:iCs/>
        </w:rPr>
        <w:br/>
      </w:r>
      <w:r>
        <w:rPr>
          <w:rStyle w:val="Hervorhebung"/>
        </w:rPr>
        <w:t>\mathfrak{O}</w:t>
      </w:r>
      <w:r>
        <w:t>{F}^{\mathrm{zul}}:</w:t>
      </w:r>
      <w:r>
        <w:br/>
        <w:t>P</w:t>
      </w:r>
      <w:r>
        <w:br/>
        <w:t>\left(</w:t>
      </w:r>
      <w:r>
        <w:br/>
        <w:t>\mathcal{O}_{F}^{(i)}</w:t>
      </w:r>
      <w:r>
        <w:br/>
        <w:t>\right)</w:t>
      </w:r>
    </w:p>
    <w:p w:rsidR="00414AE3" w:rsidRDefault="00414AE3" w:rsidP="00632D23">
      <w:pPr>
        <w:numPr>
          <w:ilvl w:val="0"/>
          <w:numId w:val="144"/>
        </w:numPr>
        <w:spacing w:before="100" w:beforeAutospacing="1" w:after="100" w:afterAutospacing="1"/>
      </w:pPr>
    </w:p>
    <w:p w:rsidR="00414AE3" w:rsidRDefault="00414AE3" w:rsidP="00414AE3">
      <w:pPr>
        <w:pStyle w:val="StandardWeb"/>
      </w:pPr>
      <w:r>
        <w:t>\tag{3.5092}</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\forall\mathcal{O}_{F}^{(i)}\in\mathfrak{O}_{F}^{\mathrm{zul}}:P\left(\mathcal{O}_{F}^{(i)}\right)=1\qquad\text{(3.5092)}</w:t>
      </w:r>
    </w:p>
    <w:p w:rsidR="00414AE3" w:rsidRDefault="00414AE3" w:rsidP="00414AE3">
      <w:pPr>
        <w:pStyle w:val="StandardWeb"/>
      </w:pPr>
      <w:r>
        <w:t>Eine Aussage, die nur unter einer einzelnen speziellen Operationalisierung gilt, besitzt geringere empirische Robustheit.</w:t>
      </w:r>
    </w:p>
    <w:p w:rsidR="00414AE3" w:rsidRPr="00AF32B2" w:rsidRDefault="00414AE3" w:rsidP="00AF32B2">
      <w:pPr>
        <w:pStyle w:val="berschrift4"/>
      </w:pPr>
      <w:r w:rsidRPr="00AF32B2">
        <w:t>3.3.26.26 Sensitivität gegenüber Modellbedingungen</w:t>
      </w:r>
    </w:p>
    <w:p w:rsidR="00414AE3" w:rsidRDefault="00414AE3" w:rsidP="00414AE3">
      <w:pPr>
        <w:pStyle w:val="StandardWeb"/>
      </w:pPr>
      <w:r>
        <w:t>Die Sensitivität einer Aussage gegenüber einer Modellbedingung (B_k) kann durch</w:t>
      </w:r>
    </w:p>
    <w:p w:rsidR="00414AE3" w:rsidRDefault="00414AE3" w:rsidP="00414AE3">
      <w:pPr>
        <w:pStyle w:val="berschrift1"/>
      </w:pPr>
      <w:r>
        <w:lastRenderedPageBreak/>
        <w:t>[</w:t>
      </w:r>
      <w:r>
        <w:br/>
        <w:t>\operatorname{Sens}_{B_k}(P)</w:t>
      </w:r>
    </w:p>
    <w:p w:rsidR="00414AE3" w:rsidRDefault="00414AE3" w:rsidP="00414AE3">
      <w:pPr>
        <w:pStyle w:val="berschrift2"/>
      </w:pPr>
      <w:r>
        <w:t>P</w:t>
      </w:r>
      <w:r>
        <w:br/>
        <w:t>\left(</w:t>
      </w:r>
      <w:r>
        <w:br/>
        <w:t>\mathcal{B}_{F}^{(\mu)}</w:t>
      </w:r>
      <w:r>
        <w:br/>
        <w:t>\right)</w:t>
      </w:r>
    </w:p>
    <w:p w:rsidR="00414AE3" w:rsidRDefault="00414AE3" w:rsidP="00414AE3">
      <w:pPr>
        <w:pStyle w:val="StandardWeb"/>
      </w:pPr>
      <w:r>
        <w:t>P</w:t>
      </w:r>
      <w:r>
        <w:br/>
        <w:t>\left(</w:t>
      </w:r>
      <w:r>
        <w:br/>
        <w:t>\mathcal{B}_{F}^{(\mu,-k)}</w:t>
      </w:r>
      <w:r>
        <w:br/>
        <w:t>\right)</w:t>
      </w:r>
      <w:r>
        <w:br/>
        <w:t>\tag{3.5093}</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\operatorname{Sens}_{B_k}(P)=P\left(\mathcal{B}_{F}^{(\mu)}\right)-P\left(\mathcal{B}_{F}^{(\mu,-k)}\right)\qquad\text{(3.5093)}</w:t>
      </w:r>
    </w:p>
    <w:p w:rsidR="00414AE3" w:rsidRDefault="00414AE3" w:rsidP="00414AE3">
      <w:pPr>
        <w:pStyle w:val="StandardWeb"/>
      </w:pPr>
      <w:r>
        <w:t>beschrieben werden.</w:t>
      </w:r>
    </w:p>
    <w:p w:rsidR="00414AE3" w:rsidRDefault="00414AE3" w:rsidP="00414AE3">
      <w:pPr>
        <w:pStyle w:val="StandardWeb"/>
      </w:pPr>
      <w:r>
        <w:t>Ist</w:t>
      </w:r>
    </w:p>
    <w:p w:rsidR="00414AE3" w:rsidRDefault="00414AE3" w:rsidP="00414AE3">
      <w:pPr>
        <w:pStyle w:val="berschrift1"/>
      </w:pPr>
      <w:r>
        <w:t>[</w:t>
      </w:r>
      <w:r>
        <w:br/>
        <w:t>\operatorname{Sens}_{B_k}(P)</w:t>
      </w:r>
    </w:p>
    <w:p w:rsidR="00414AE3" w:rsidRDefault="00414AE3" w:rsidP="00414AE3">
      <w:pPr>
        <w:pStyle w:val="StandardWeb"/>
      </w:pPr>
      <w:r>
        <w:t>0,</w:t>
      </w:r>
      <w:r>
        <w:br/>
        <w:t>\tag{3.5094}</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\operatorname{Sens}_{B_k}(P)=0\qquad\text{(3.5094)}</w:t>
      </w:r>
    </w:p>
    <w:p w:rsidR="00414AE3" w:rsidRDefault="00414AE3" w:rsidP="00414AE3">
      <w:pPr>
        <w:pStyle w:val="StandardWeb"/>
      </w:pPr>
      <w:r>
        <w:t>ist die Aussage gegenüber dieser Bedingung invariant.</w:t>
      </w:r>
    </w:p>
    <w:p w:rsidR="00414AE3" w:rsidRDefault="00414AE3" w:rsidP="00414AE3">
      <w:pPr>
        <w:pStyle w:val="StandardWeb"/>
      </w:pPr>
      <w:r>
        <w:t>Ist</w:t>
      </w:r>
    </w:p>
    <w:p w:rsidR="00414AE3" w:rsidRDefault="00414AE3" w:rsidP="00414AE3">
      <w:pPr>
        <w:pStyle w:val="StandardWeb"/>
      </w:pPr>
      <w:r>
        <w:t>[</w:t>
      </w:r>
      <w:r>
        <w:br/>
        <w:t>\operatorname{Sens}_{B_k}(P)</w:t>
      </w:r>
      <w:r>
        <w:br/>
        <w:t>\neq</w:t>
      </w:r>
      <w:r>
        <w:br/>
        <w:t>0,</w:t>
      </w:r>
      <w:r>
        <w:br/>
        <w:t>\tag{3.5095}</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lastRenderedPageBreak/>
        <w:t>\operatorname{Sens}_{B_k}(P)\neq0\qquad\text{(3.5095)}</w:t>
      </w:r>
    </w:p>
    <w:p w:rsidR="00414AE3" w:rsidRDefault="00414AE3" w:rsidP="00414AE3">
      <w:pPr>
        <w:pStyle w:val="StandardWeb"/>
      </w:pPr>
      <w:r>
        <w:t>hängt die Aussage wesentlich von der Modellbedingung ab.</w:t>
      </w:r>
    </w:p>
    <w:p w:rsidR="00414AE3" w:rsidRPr="00AF32B2" w:rsidRDefault="00414AE3" w:rsidP="00AF32B2">
      <w:pPr>
        <w:pStyle w:val="berschrift4"/>
      </w:pPr>
      <w:r w:rsidRPr="00AF32B2">
        <w:t>3.3.26.27 Reproduzierbarkeit</w:t>
      </w:r>
    </w:p>
    <w:p w:rsidR="00414AE3" w:rsidRDefault="00414AE3" w:rsidP="00414AE3">
      <w:pPr>
        <w:pStyle w:val="StandardWeb"/>
      </w:pPr>
      <w:r>
        <w:t>Eine empirische FRZK-Untersuchung ist reproduzierbar, wenn dieselben Daten und dieselbe dokumentierte Verarbeitung zum selben Ergebnis führen:</w:t>
      </w:r>
    </w:p>
    <w:p w:rsidR="00414AE3" w:rsidRDefault="00414AE3" w:rsidP="00414AE3">
      <w:pPr>
        <w:pStyle w:val="berschrift1"/>
      </w:pPr>
      <w:r>
        <w:t>[</w:t>
      </w:r>
      <w:r>
        <w:br/>
        <w:t>\operatorname{Run}</w:t>
      </w:r>
      <w:r>
        <w:br/>
        <w:t>\left(</w:t>
      </w:r>
      <w:r>
        <w:br/>
        <w:t>\mathfrak{E}</w:t>
      </w:r>
      <w:r>
        <w:rPr>
          <w:rStyle w:val="Hervorhebung"/>
        </w:rPr>
        <w:t>{F},</w:t>
      </w:r>
      <w:r>
        <w:rPr>
          <w:i/>
          <w:iCs/>
        </w:rPr>
        <w:br/>
      </w:r>
      <w:r>
        <w:rPr>
          <w:rStyle w:val="Hervorhebung"/>
        </w:rPr>
        <w:t>\mathcal{D}</w:t>
      </w:r>
      <w:r>
        <w:t>{\mathrm{raw}}</w:t>
      </w:r>
      <w:r>
        <w:br/>
        <w:t>\right)</w:t>
      </w:r>
    </w:p>
    <w:p w:rsidR="00414AE3" w:rsidRDefault="00414AE3" w:rsidP="00414AE3">
      <w:pPr>
        <w:pStyle w:val="StandardWeb"/>
      </w:pPr>
      <w:r>
        <w:t>r.</w:t>
      </w:r>
      <w:r>
        <w:br/>
        <w:t>\tag{3.5096}</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\operatorname{Run}\left(\mathfrak{E}_{F},\mathcal{D}_{\mathrm{raw}}\right)=r\qquad\text{(3.5096)}</w:t>
      </w:r>
    </w:p>
    <w:p w:rsidR="00414AE3" w:rsidRDefault="00414AE3" w:rsidP="00414AE3">
      <w:pPr>
        <w:pStyle w:val="StandardWeb"/>
      </w:pPr>
      <w:r>
        <w:t>Für zwei Wiederholungen gilt</w:t>
      </w:r>
    </w:p>
    <w:p w:rsidR="00414AE3" w:rsidRDefault="00414AE3" w:rsidP="00414AE3">
      <w:pPr>
        <w:pStyle w:val="berschrift1"/>
      </w:pPr>
      <w:r>
        <w:t>[</w:t>
      </w:r>
      <w:r>
        <w:br/>
        <w:t>r_1</w:t>
      </w:r>
    </w:p>
    <w:p w:rsidR="00414AE3" w:rsidRDefault="00414AE3" w:rsidP="00414AE3">
      <w:pPr>
        <w:pStyle w:val="StandardWeb"/>
      </w:pPr>
      <w:r>
        <w:t>r_2.</w:t>
      </w:r>
      <w:r>
        <w:br/>
        <w:t>\tag{3.5097}</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r_1=r_2\qquad\text{(3.5097)}</w:t>
      </w:r>
    </w:p>
    <w:p w:rsidR="00414AE3" w:rsidRDefault="00414AE3" w:rsidP="00414AE3">
      <w:pPr>
        <w:pStyle w:val="StandardWeb"/>
      </w:pPr>
      <w:r>
        <w:t>Bei stochastischen Verfahren muss zusätzlich der Zufallszustand dokumentiert werden:</w:t>
      </w:r>
    </w:p>
    <w:p w:rsidR="00414AE3" w:rsidRDefault="00414AE3" w:rsidP="00414AE3">
      <w:pPr>
        <w:pStyle w:val="berschrift1"/>
      </w:pPr>
      <w:r>
        <w:t>[</w:t>
      </w:r>
      <w:r>
        <w:br/>
        <w:t>\operatorname{Seed}</w:t>
      </w:r>
    </w:p>
    <w:p w:rsidR="00414AE3" w:rsidRDefault="00414AE3" w:rsidP="00414AE3">
      <w:pPr>
        <w:pStyle w:val="StandardWeb"/>
      </w:pPr>
      <w:r>
        <w:lastRenderedPageBreak/>
        <w:t>s.</w:t>
      </w:r>
      <w:r>
        <w:br/>
        <w:t>\tag{3.5098}</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\operatorname{Seed}=s\qquad\text{(3.5098)}</w:t>
      </w:r>
    </w:p>
    <w:p w:rsidR="00414AE3" w:rsidRDefault="00414AE3" w:rsidP="00414AE3">
      <w:pPr>
        <w:pStyle w:val="StandardWeb"/>
      </w:pPr>
      <w:r>
        <w:t>Reproduzierbarkeit bestätigt die technische Wiederholbarkeit, nicht automatisch die empirische Wahrheit einer Modellannahme [58, 59].</w:t>
      </w:r>
    </w:p>
    <w:p w:rsidR="00414AE3" w:rsidRPr="00AF32B2" w:rsidRDefault="00414AE3" w:rsidP="00AF32B2">
      <w:pPr>
        <w:pStyle w:val="berschrift4"/>
      </w:pPr>
      <w:r w:rsidRPr="00AF32B2">
        <w:t>3.3.26.28 Replizierbarkeit</w:t>
      </w:r>
    </w:p>
    <w:p w:rsidR="00414AE3" w:rsidRDefault="00414AE3" w:rsidP="00414AE3">
      <w:pPr>
        <w:pStyle w:val="StandardWeb"/>
      </w:pPr>
      <w:r>
        <w:t>Replizierbarkeit verlangt eine erneute Untersuchung mit unabhängigen Daten:</w:t>
      </w:r>
    </w:p>
    <w:p w:rsidR="00414AE3" w:rsidRDefault="00414AE3" w:rsidP="00414AE3">
      <w:pPr>
        <w:pStyle w:val="StandardWeb"/>
      </w:pPr>
      <w:r>
        <w:t>[</w:t>
      </w:r>
      <w:r>
        <w:br/>
        <w:t>\mathcal{D}</w:t>
      </w:r>
      <w:r>
        <w:rPr>
          <w:rStyle w:val="Hervorhebung"/>
        </w:rPr>
        <w:t>{\mathrm{rep}}</w:t>
      </w:r>
      <w:r>
        <w:rPr>
          <w:i/>
          <w:iCs/>
        </w:rPr>
        <w:br/>
      </w:r>
      <w:r>
        <w:rPr>
          <w:rStyle w:val="Hervorhebung"/>
        </w:rPr>
        <w:t>\neq</w:t>
      </w:r>
      <w:r>
        <w:rPr>
          <w:i/>
          <w:iCs/>
        </w:rPr>
        <w:br/>
      </w:r>
      <w:r>
        <w:rPr>
          <w:rStyle w:val="Hervorhebung"/>
        </w:rPr>
        <w:t>\mathcal{D}</w:t>
      </w:r>
      <w:r>
        <w:t>{\mathrm{orig}}.</w:t>
      </w:r>
      <w:r>
        <w:br/>
        <w:t>\tag{3.5099}</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\mathcal{D}_{\mathrm{rep}}\neq\mathcal{D}_{\mathrm{orig}}\qquad\text{(3.5099)}</w:t>
      </w:r>
    </w:p>
    <w:p w:rsidR="00414AE3" w:rsidRDefault="00414AE3" w:rsidP="00414AE3">
      <w:pPr>
        <w:pStyle w:val="StandardWeb"/>
      </w:pPr>
      <w:r>
        <w:t>Das Ergebnis gilt als repliziert, wenn</w:t>
      </w:r>
    </w:p>
    <w:p w:rsidR="00414AE3" w:rsidRDefault="00414AE3" w:rsidP="00414AE3">
      <w:pPr>
        <w:pStyle w:val="berschrift1"/>
      </w:pPr>
      <w:r>
        <w:t>[</w:t>
      </w:r>
      <w:r>
        <w:br/>
        <w:t>P</w:t>
      </w:r>
      <w:r>
        <w:br/>
        <w:t>\left(</w:t>
      </w:r>
      <w:r>
        <w:br/>
        <w:t>\mathcal{D}_{\mathrm{orig}}</w:t>
      </w:r>
      <w:r>
        <w:br/>
        <w:t>\right)</w:t>
      </w:r>
    </w:p>
    <w:p w:rsidR="00414AE3" w:rsidRDefault="00414AE3" w:rsidP="00414AE3">
      <w:pPr>
        <w:pStyle w:val="StandardWeb"/>
      </w:pPr>
      <w:r>
        <w:t>P</w:t>
      </w:r>
      <w:r>
        <w:br/>
        <w:t>\left(</w:t>
      </w:r>
      <w:r>
        <w:br/>
        <w:t>\mathcal{D}_{\mathrm{rep}}</w:t>
      </w:r>
      <w:r>
        <w:br/>
        <w:t>\right)</w:t>
      </w:r>
      <w:r>
        <w:br/>
        <w:t>\tag{3.5100}</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P\left(\mathcal{D}_{\mathrm{orig}}\right)=P\left(\mathcal{D}_{\mathrm{rep}}\right)\qquad\text{(3.5100)}</w:t>
      </w:r>
    </w:p>
    <w:p w:rsidR="00414AE3" w:rsidRDefault="00414AE3" w:rsidP="00414AE3">
      <w:pPr>
        <w:pStyle w:val="StandardWeb"/>
      </w:pPr>
      <w:r>
        <w:t>innerhalb zuvor festgelegter Toleranzbedingungen gilt.</w:t>
      </w:r>
    </w:p>
    <w:p w:rsidR="00414AE3" w:rsidRPr="00AF32B2" w:rsidRDefault="00414AE3" w:rsidP="00AF32B2">
      <w:pPr>
        <w:pStyle w:val="berschrift4"/>
      </w:pPr>
      <w:r w:rsidRPr="00AF32B2">
        <w:lastRenderedPageBreak/>
        <w:t>3.3.26.29 Empirische Anschlussfähigkeit</w:t>
      </w:r>
    </w:p>
    <w:p w:rsidR="00414AE3" w:rsidRDefault="00414AE3" w:rsidP="00414AE3">
      <w:pPr>
        <w:pStyle w:val="StandardWeb"/>
      </w:pPr>
      <w:r>
        <w:t>Eine Modellinstanz ist empirisch anschlussfähig, wenn mindestens eine vollständig dokumentierte Anschlussstruktur existiert:</w:t>
      </w:r>
    </w:p>
    <w:p w:rsidR="00414AE3" w:rsidRDefault="00414AE3" w:rsidP="00414AE3">
      <w:pPr>
        <w:pStyle w:val="StandardWeb"/>
      </w:pPr>
      <w:r>
        <w:t>[</w:t>
      </w:r>
      <w:r>
        <w:br/>
        <w:t>\exists</w:t>
      </w:r>
      <w:r>
        <w:br/>
        <w:t>\mathfrak{E}</w:t>
      </w:r>
      <w:r>
        <w:rPr>
          <w:rStyle w:val="Hervorhebung"/>
        </w:rPr>
        <w:t>{F}:</w:t>
      </w:r>
      <w:r>
        <w:rPr>
          <w:i/>
          <w:iCs/>
        </w:rPr>
        <w:br/>
      </w:r>
      <w:r>
        <w:rPr>
          <w:rStyle w:val="Hervorhebung"/>
        </w:rPr>
        <w:t>\mathcal{M}</w:t>
      </w:r>
      <w:r>
        <w:t>{\alpha}^{(\mu)}</w:t>
      </w:r>
      <w:r>
        <w:br/>
        <w:t>\in</w:t>
      </w:r>
      <w:r>
        <w:br/>
        <w:t>\mathfrak{E}_{F}.</w:t>
      </w:r>
      <w:r>
        <w:br/>
        <w:t>\tag{3.5101}</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\exists\mathfrak{E}_{F}:\mathcal{M}_{\alpha}^{(\mu)}\in\mathfrak{E}_{F}\qquad\text{(3.5101)}</w:t>
      </w:r>
    </w:p>
    <w:p w:rsidR="00414AE3" w:rsidRDefault="00414AE3" w:rsidP="00414AE3">
      <w:pPr>
        <w:pStyle w:val="StandardWeb"/>
      </w:pPr>
      <w:r>
        <w:t>Das Anschlussfähigkeitsprädikat lautet</w:t>
      </w:r>
    </w:p>
    <w:p w:rsidR="00414AE3" w:rsidRDefault="00414AE3" w:rsidP="00414AE3">
      <w:pPr>
        <w:pStyle w:val="StandardWeb"/>
      </w:pPr>
      <w:r>
        <w:t>[</w:t>
      </w:r>
      <w:r>
        <w:br/>
        <w:t>\operatorname{EA}</w:t>
      </w:r>
      <w:r>
        <w:rPr>
          <w:rStyle w:val="Hervorhebung"/>
        </w:rPr>
        <w:t>{F}:</w:t>
      </w:r>
      <w:r>
        <w:rPr>
          <w:i/>
          <w:iCs/>
        </w:rPr>
        <w:br/>
      </w:r>
      <w:r>
        <w:rPr>
          <w:rStyle w:val="Hervorhebung"/>
        </w:rPr>
        <w:t>\operatorname{Mod}</w:t>
      </w:r>
      <w:r>
        <w:t>{F}^{(\mu)}</w:t>
      </w:r>
      <w:r>
        <w:br/>
        <w:t>\rightarrow</w:t>
      </w:r>
      <w:r>
        <w:br/>
        <w:t>{0,1}.</w:t>
      </w:r>
      <w:r>
        <w:br/>
        <w:t>\tag{3.5102}</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\operatorname{EA}_{F}:\operatorname{Mod}_{F}^{(\mu)}\rightarrow\{0,1\}\qquad\text{(3.5102)}</w:t>
      </w:r>
    </w:p>
    <w:p w:rsidR="00414AE3" w:rsidRDefault="00414AE3" w:rsidP="00414AE3">
      <w:pPr>
        <w:pStyle w:val="StandardWeb"/>
      </w:pPr>
      <w:r>
        <w:t>Für eine empirisch anschlussfähige Modellinstanz gilt</w:t>
      </w:r>
    </w:p>
    <w:p w:rsidR="00414AE3" w:rsidRDefault="00414AE3" w:rsidP="00414AE3">
      <w:pPr>
        <w:pStyle w:val="berschrift1"/>
      </w:pPr>
      <w:r>
        <w:t>[</w:t>
      </w:r>
      <w:r>
        <w:br/>
        <w:t>\operatorname{EA}</w:t>
      </w:r>
      <w:r>
        <w:rPr>
          <w:rStyle w:val="Hervorhebung"/>
        </w:rPr>
        <w:t>{F}</w:t>
      </w:r>
      <w:r>
        <w:rPr>
          <w:i/>
          <w:iCs/>
        </w:rPr>
        <w:br/>
      </w:r>
      <w:r>
        <w:rPr>
          <w:rStyle w:val="Hervorhebung"/>
        </w:rPr>
        <w:t>\left(</w:t>
      </w:r>
      <w:r>
        <w:rPr>
          <w:i/>
          <w:iCs/>
        </w:rPr>
        <w:br/>
      </w:r>
      <w:r>
        <w:rPr>
          <w:rStyle w:val="Hervorhebung"/>
        </w:rPr>
        <w:t>\mathcal{M}</w:t>
      </w:r>
      <w:r>
        <w:t>{\alpha}^{(\mu)}</w:t>
      </w:r>
      <w:r>
        <w:br/>
        <w:t>\right)</w:t>
      </w:r>
    </w:p>
    <w:p w:rsidR="00414AE3" w:rsidRDefault="00414AE3" w:rsidP="00632D23">
      <w:pPr>
        <w:numPr>
          <w:ilvl w:val="0"/>
          <w:numId w:val="145"/>
        </w:numPr>
        <w:spacing w:before="100" w:beforeAutospacing="1" w:after="100" w:afterAutospacing="1"/>
      </w:pPr>
    </w:p>
    <w:p w:rsidR="00414AE3" w:rsidRDefault="00414AE3" w:rsidP="00414AE3">
      <w:pPr>
        <w:pStyle w:val="StandardWeb"/>
      </w:pPr>
      <w:r>
        <w:t>\tag{3.5103}</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lastRenderedPageBreak/>
        <w:t>\operatorname{EA}_{F}\left(\mathcal{M}_{\alpha}^{(\mu)}\right)=1\qquad\text{(3.5103)}</w:t>
      </w:r>
    </w:p>
    <w:p w:rsidR="00414AE3" w:rsidRPr="00AF32B2" w:rsidRDefault="00414AE3" w:rsidP="00AF32B2">
      <w:pPr>
        <w:pStyle w:val="berschrift4"/>
      </w:pPr>
      <w:r w:rsidRPr="00AF32B2">
        <w:t>3.3.26.30 Bedingungen empirischer Anschlussfähigkeit</w:t>
      </w:r>
    </w:p>
    <w:p w:rsidR="00414AE3" w:rsidRDefault="00414AE3" w:rsidP="00414AE3">
      <w:pPr>
        <w:pStyle w:val="StandardWeb"/>
      </w:pPr>
      <w:r>
        <w:t>Die empirische Anschlussfähigkeit setzt mindestens voraus:</w:t>
      </w:r>
    </w:p>
    <w:p w:rsidR="00414AE3" w:rsidRDefault="00414AE3" w:rsidP="00414AE3">
      <w:pPr>
        <w:pStyle w:val="berschrift1"/>
      </w:pPr>
      <w:r>
        <w:t>[</w:t>
      </w:r>
      <w:r>
        <w:br/>
        <w:t>\operatorname{EA}_{F}</w:t>
      </w:r>
      <w:r>
        <w:br/>
        <w:t>\left(</w:t>
      </w:r>
      <w:r>
        <w:br/>
        <w:t>\mathcal{M}</w:t>
      </w:r>
      <w:r>
        <w:br/>
        <w:t>\right)</w:t>
      </w:r>
    </w:p>
    <w:p w:rsidR="00414AE3" w:rsidRDefault="00414AE3" w:rsidP="00414AE3">
      <w:pPr>
        <w:pStyle w:val="StandardWeb"/>
      </w:pPr>
      <w:r>
        <w:t>1</w:t>
      </w:r>
      <w:r>
        <w:br/>
        <w:t>\iff</w:t>
      </w:r>
      <w:r>
        <w:br/>
        <w:t>C_{\mathrm{data}}</w:t>
      </w:r>
      <w:r>
        <w:br/>
        <w:t>\land</w:t>
      </w:r>
      <w:r>
        <w:br/>
        <w:t>C_{\mathrm{op}}</w:t>
      </w:r>
      <w:r>
        <w:br/>
        <w:t>\land</w:t>
      </w:r>
      <w:r>
        <w:br/>
        <w:t>C_{\mathrm{cal}}</w:t>
      </w:r>
      <w:r>
        <w:br/>
        <w:t>\land</w:t>
      </w:r>
      <w:r>
        <w:br/>
        <w:t>C_{\mathrm{pred}}</w:t>
      </w:r>
      <w:r>
        <w:br/>
        <w:t>\land</w:t>
      </w:r>
      <w:r>
        <w:br/>
        <w:t>C_{\mathrm{test}}.</w:t>
      </w:r>
      <w:r>
        <w:br/>
        <w:t>\tag{3.5104}</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\operatorname{EA}_{F}\left(\mathcal{M}\right)=1\iff C_{\mathrm{data}}\land C_{\mathrm{op}}\land C_{\mathrm{cal}}\land C_{\mathrm{pred}}\land C_{\mathrm{test}}\qquad\text{(3.5104)}</w:t>
      </w:r>
    </w:p>
    <w:p w:rsidR="00414AE3" w:rsidRDefault="00414AE3" w:rsidP="00414AE3">
      <w:pPr>
        <w:pStyle w:val="StandardWeb"/>
      </w:pPr>
      <w:r>
        <w:t>Dabei bezeichnet:</w:t>
      </w:r>
    </w:p>
    <w:p w:rsidR="00414AE3" w:rsidRDefault="00414AE3" w:rsidP="00632D23">
      <w:pPr>
        <w:pStyle w:val="StandardWeb"/>
        <w:numPr>
          <w:ilvl w:val="0"/>
          <w:numId w:val="146"/>
        </w:numPr>
      </w:pPr>
      <w:r>
        <w:t>(C_{\mathrm{data}}): dokumentierte Datenherkunft und Datenaufbereitung,</w:t>
      </w:r>
    </w:p>
    <w:p w:rsidR="00414AE3" w:rsidRDefault="00414AE3" w:rsidP="00632D23">
      <w:pPr>
        <w:pStyle w:val="StandardWeb"/>
        <w:numPr>
          <w:ilvl w:val="0"/>
          <w:numId w:val="146"/>
        </w:numPr>
      </w:pPr>
      <w:r>
        <w:t>(C_{\mathrm{op}}): typkorrekte Operationalisierung,</w:t>
      </w:r>
    </w:p>
    <w:p w:rsidR="00414AE3" w:rsidRDefault="00414AE3" w:rsidP="00632D23">
      <w:pPr>
        <w:pStyle w:val="StandardWeb"/>
        <w:numPr>
          <w:ilvl w:val="0"/>
          <w:numId w:val="146"/>
        </w:numPr>
      </w:pPr>
      <w:r>
        <w:t>(C_{\mathrm{cal}}): dokumentierte Kalibrierung oder Parameterschätzung,</w:t>
      </w:r>
    </w:p>
    <w:p w:rsidR="00414AE3" w:rsidRDefault="00414AE3" w:rsidP="00632D23">
      <w:pPr>
        <w:pStyle w:val="StandardWeb"/>
        <w:numPr>
          <w:ilvl w:val="0"/>
          <w:numId w:val="146"/>
        </w:numPr>
      </w:pPr>
      <w:r>
        <w:t>(C_{\mathrm{pred}}): empirisch interpretierbare Vorhersage,</w:t>
      </w:r>
    </w:p>
    <w:p w:rsidR="00414AE3" w:rsidRDefault="00414AE3" w:rsidP="00632D23">
      <w:pPr>
        <w:pStyle w:val="StandardWeb"/>
        <w:numPr>
          <w:ilvl w:val="0"/>
          <w:numId w:val="146"/>
        </w:numPr>
      </w:pPr>
      <w:r>
        <w:t>(C_{\mathrm{test}}): vorab festgelegtes Prüfkriterium.</w:t>
      </w:r>
    </w:p>
    <w:p w:rsidR="00414AE3" w:rsidRDefault="00414AE3" w:rsidP="00414AE3">
      <w:pPr>
        <w:pStyle w:val="StandardWeb"/>
      </w:pPr>
      <w:r>
        <w:rPr>
          <w:rStyle w:val="Fett"/>
        </w:rPr>
        <w:t>Eigenleistung des FRZK</w:t>
      </w:r>
    </w:p>
    <w:p w:rsidR="00414AE3" w:rsidRDefault="00414AE3" w:rsidP="00414AE3">
      <w:pPr>
        <w:pStyle w:val="StandardWeb"/>
      </w:pPr>
      <w:r>
        <w:t>Ich behandle empirische Anschlussfähigkeit als zusammengesetzte Eigenschaft. Das Vorliegen von Messdaten allein genügt nicht. Erst die vollständige Kette aus Daten, Operationalisierung, Modell, Vorhersage und Prüfung erzeugt eine empirisch bewertbare FRZK-Aussage.</w:t>
      </w:r>
    </w:p>
    <w:p w:rsidR="00414AE3" w:rsidRPr="00AF32B2" w:rsidRDefault="00414AE3" w:rsidP="00AF32B2">
      <w:pPr>
        <w:pStyle w:val="berschrift4"/>
      </w:pPr>
      <w:r w:rsidRPr="00AF32B2">
        <w:lastRenderedPageBreak/>
        <w:t>3.3.26.31 Satz zur empirischen Prüfbarkeit</w:t>
      </w:r>
    </w:p>
    <w:p w:rsidR="00414AE3" w:rsidRDefault="00414AE3" w:rsidP="00414AE3">
      <w:pPr>
        <w:pStyle w:val="StandardWeb"/>
      </w:pPr>
      <w:r>
        <w:rPr>
          <w:rStyle w:val="Fett"/>
        </w:rPr>
        <w:t>Satz 3.3.8 – Bedingte empirische Prüfbarkeit einer FRZK-Modellinstanz</w:t>
      </w:r>
    </w:p>
    <w:p w:rsidR="00414AE3" w:rsidRDefault="00414AE3" w:rsidP="00414AE3">
      <w:pPr>
        <w:pStyle w:val="StandardWeb"/>
      </w:pPr>
      <w:r>
        <w:t>Eine FRZK-Modellinstanz ist empirisch prüfbar, wenn eine vollständige empirische Anschlussstruktur nach Definition 3.3.18 existiert und mindestens eine aus der Modellinstanz abgeleitete Vorhersage einen nichtleeren Falsifikationsbereich besitzt.</w:t>
      </w:r>
    </w:p>
    <w:p w:rsidR="00414AE3" w:rsidRDefault="00414AE3" w:rsidP="00414AE3">
      <w:pPr>
        <w:pStyle w:val="StandardWeb"/>
      </w:pPr>
      <w:r>
        <w:t>Formal gilt:</w:t>
      </w:r>
    </w:p>
    <w:p w:rsidR="00414AE3" w:rsidRDefault="00414AE3" w:rsidP="00414AE3">
      <w:pPr>
        <w:pStyle w:val="berschrift1"/>
      </w:pPr>
      <w:r>
        <w:t>[</w:t>
      </w:r>
      <w:r>
        <w:br/>
        <w:t>\operatorname{EA}</w:t>
      </w:r>
      <w:r>
        <w:rPr>
          <w:rStyle w:val="Hervorhebung"/>
        </w:rPr>
        <w:t>{F}</w:t>
      </w:r>
      <w:r>
        <w:rPr>
          <w:i/>
          <w:iCs/>
        </w:rPr>
        <w:br/>
      </w:r>
      <w:r>
        <w:rPr>
          <w:rStyle w:val="Hervorhebung"/>
        </w:rPr>
        <w:t>\left(</w:t>
      </w:r>
      <w:r>
        <w:rPr>
          <w:i/>
          <w:iCs/>
        </w:rPr>
        <w:br/>
      </w:r>
      <w:r>
        <w:rPr>
          <w:rStyle w:val="Hervorhebung"/>
        </w:rPr>
        <w:t>\mathcal{M}</w:t>
      </w:r>
      <w:r>
        <w:t>{\alpha}^{(\mu)}</w:t>
      </w:r>
      <w:r>
        <w:br/>
        <w:t>\right)</w:t>
      </w:r>
    </w:p>
    <w:p w:rsidR="00414AE3" w:rsidRDefault="00414AE3" w:rsidP="00414AE3">
      <w:pPr>
        <w:pStyle w:val="StandardWeb"/>
      </w:pPr>
      <w:r>
        <w:t>1</w:t>
      </w:r>
      <w:r>
        <w:br/>
        <w:t>\tag{3.5105}</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\operatorname{EA}_{F}\left(\mathcal{M}_{\alpha}^{(\mu)}\right)=1\qquad\text{(3.5105)}</w:t>
      </w:r>
    </w:p>
    <w:p w:rsidR="00414AE3" w:rsidRDefault="00414AE3" w:rsidP="00414AE3">
      <w:pPr>
        <w:pStyle w:val="StandardWeb"/>
      </w:pPr>
      <w:r>
        <w:t>und</w:t>
      </w:r>
    </w:p>
    <w:p w:rsidR="00414AE3" w:rsidRDefault="00414AE3" w:rsidP="00414AE3">
      <w:pPr>
        <w:pStyle w:val="StandardWeb"/>
      </w:pPr>
      <w:r>
        <w:t>[</w:t>
      </w:r>
      <w:r>
        <w:br/>
        <w:t>\mathcal{F}(H_{F})</w:t>
      </w:r>
      <w:r>
        <w:br/>
        <w:t>\neq</w:t>
      </w:r>
      <w:r>
        <w:br/>
        <w:t>\emptyset.</w:t>
      </w:r>
      <w:r>
        <w:br/>
        <w:t>\tag{3.5106}</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\mathcal{F}(H_{F})\neq\emptyset\qquad\text{(3.5106)}</w:t>
      </w:r>
    </w:p>
    <w:p w:rsidR="00414AE3" w:rsidRDefault="00414AE3" w:rsidP="00414AE3">
      <w:pPr>
        <w:pStyle w:val="StandardWeb"/>
      </w:pPr>
      <w:r>
        <w:t>Dann existiert mindestens eine empirische Beobachtung, durch die die konkrete Hypothese zurückgewiesen werden kann.</w:t>
      </w:r>
    </w:p>
    <w:p w:rsidR="00414AE3" w:rsidRDefault="00414AE3" w:rsidP="00414AE3">
      <w:pPr>
        <w:pStyle w:val="berschrift3"/>
      </w:pPr>
      <w:r>
        <w:t>Beweis</w:t>
      </w:r>
    </w:p>
    <w:p w:rsidR="00414AE3" w:rsidRDefault="00414AE3" w:rsidP="00414AE3">
      <w:pPr>
        <w:pStyle w:val="StandardWeb"/>
      </w:pPr>
      <w:r>
        <w:t>Aus (\operatorname{EA}</w:t>
      </w:r>
      <w:r>
        <w:rPr>
          <w:rStyle w:val="Hervorhebung"/>
        </w:rPr>
        <w:t>{F}(\mathcal{M}</w:t>
      </w:r>
      <w:r>
        <w:t>{\alpha}^{(\mu)})=1) folgt nach Gleichung (3.5104), dass Datenherkunft, Operationalisierung, Kalibrierung, Vorhersage und Prüfkriterium dokumentiert sind.</w:t>
      </w:r>
    </w:p>
    <w:p w:rsidR="00414AE3" w:rsidRDefault="00414AE3" w:rsidP="00414AE3">
      <w:pPr>
        <w:pStyle w:val="StandardWeb"/>
      </w:pPr>
      <w:r>
        <w:lastRenderedPageBreak/>
        <w:t>Die Vorhersageabbildung erzeugt für eine festgelegte Eingabe einen empirisch interpretierbaren Wert:</w:t>
      </w:r>
    </w:p>
    <w:p w:rsidR="00414AE3" w:rsidRDefault="00414AE3" w:rsidP="00414AE3">
      <w:pPr>
        <w:pStyle w:val="berschrift1"/>
      </w:pPr>
      <w:r>
        <w:t>[</w:t>
      </w:r>
      <w:r>
        <w:br/>
        <w:t>\widehat{y}</w:t>
      </w:r>
    </w:p>
    <w:p w:rsidR="00414AE3" w:rsidRDefault="00414AE3" w:rsidP="00414AE3">
      <w:pPr>
        <w:pStyle w:val="StandardWeb"/>
      </w:pPr>
      <w:r>
        <w:t>\mathcal{P}</w:t>
      </w:r>
      <w:r>
        <w:rPr>
          <w:rStyle w:val="Hervorhebung"/>
        </w:rPr>
        <w:t>{F}</w:t>
      </w:r>
      <w:r>
        <w:rPr>
          <w:i/>
          <w:iCs/>
        </w:rPr>
        <w:br/>
      </w:r>
      <w:r>
        <w:rPr>
          <w:rStyle w:val="Hervorhebung"/>
        </w:rPr>
        <w:t>\left(</w:t>
      </w:r>
      <w:r>
        <w:rPr>
          <w:i/>
          <w:iCs/>
        </w:rPr>
        <w:br/>
      </w:r>
      <w:r>
        <w:rPr>
          <w:rStyle w:val="Hervorhebung"/>
        </w:rPr>
        <w:t>\mathcal{M}</w:t>
      </w:r>
      <w:r>
        <w:t>{\alpha}^{(\mu)},</w:t>
      </w:r>
      <w:r>
        <w:br/>
        <w:t>x</w:t>
      </w:r>
      <w:r>
        <w:br/>
        <w:t>\right).</w:t>
      </w:r>
      <w:r>
        <w:br/>
        <w:t>\tag{3.5107}</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\widehat{y}=\mathcal{P}_{F}\left(\mathcal{M}_{\alpha}^{(\mu)},x\right)\qquad\text{(3.5107)}</w:t>
      </w:r>
    </w:p>
    <w:p w:rsidR="00414AE3" w:rsidRDefault="00414AE3" w:rsidP="00414AE3">
      <w:pPr>
        <w:pStyle w:val="StandardWeb"/>
      </w:pPr>
      <w:r>
        <w:t>Da (\mathcal{F}(H_F)\neq\emptyset), existiert mindestens ein möglicher Beobachtungswert</w:t>
      </w:r>
    </w:p>
    <w:p w:rsidR="00414AE3" w:rsidRDefault="00414AE3" w:rsidP="00414AE3">
      <w:pPr>
        <w:pStyle w:val="StandardWeb"/>
      </w:pPr>
      <w:r>
        <w:t>[</w:t>
      </w:r>
      <w:r>
        <w:br/>
        <w:t>y^{\ast}</w:t>
      </w:r>
      <w:r>
        <w:br/>
        <w:t>\in</w:t>
      </w:r>
      <w:r>
        <w:br/>
        <w:t>\mathcal{F}(H_{F}).</w:t>
      </w:r>
      <w:r>
        <w:br/>
        <w:t>\tag{3.5108}</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y^{\ast}\in\mathcal{F}(H_{F})\qquad\text{(3.5108)}</w:t>
      </w:r>
    </w:p>
    <w:p w:rsidR="00414AE3" w:rsidRDefault="00414AE3" w:rsidP="00414AE3">
      <w:pPr>
        <w:pStyle w:val="StandardWeb"/>
      </w:pPr>
      <w:r>
        <w:t>Wird (y^{\ast}) unter den festgelegten Mess- und Toleranzbedingungen beobachtet, gilt</w:t>
      </w:r>
    </w:p>
    <w:p w:rsidR="00414AE3" w:rsidRDefault="00414AE3" w:rsidP="00414AE3">
      <w:pPr>
        <w:pStyle w:val="StandardWeb"/>
      </w:pPr>
      <w:r>
        <w:t>[</w:t>
      </w:r>
      <w:r>
        <w:br/>
        <w:t>H_{F}</w:t>
      </w:r>
      <w:r>
        <w:br/>
        <w:t>\text{ wird zurückgewiesen}.</w:t>
      </w:r>
      <w:r>
        <w:br/>
        <w:t>\tag{3.5109}</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H_{F}\text{ wird zurückgewiesen}\qquad\text{(3.5109)}</w:t>
      </w:r>
    </w:p>
    <w:p w:rsidR="00414AE3" w:rsidRDefault="00414AE3" w:rsidP="00414AE3">
      <w:pPr>
        <w:pStyle w:val="StandardWeb"/>
      </w:pPr>
      <w:r>
        <w:t>Damit besitzt die konkrete FRZK-Hypothese eine beobachtbare Widerlegungsmöglichkeit und ist empirisch prüfbar. (\square)</w:t>
      </w:r>
    </w:p>
    <w:p w:rsidR="00414AE3" w:rsidRPr="00AF32B2" w:rsidRDefault="00414AE3" w:rsidP="00AF32B2">
      <w:pPr>
        <w:pStyle w:val="berschrift4"/>
      </w:pPr>
      <w:r w:rsidRPr="00AF32B2">
        <w:t>3.3.26.32 Reichweite des Prüfbarkeitssatzes</w:t>
      </w:r>
    </w:p>
    <w:p w:rsidR="00414AE3" w:rsidRDefault="00414AE3" w:rsidP="00414AE3">
      <w:pPr>
        <w:pStyle w:val="StandardWeb"/>
      </w:pPr>
      <w:r>
        <w:lastRenderedPageBreak/>
        <w:t>Satz 3.3.8 bestätigt die Prüfbarkeit einer konkreten Modellinstanz und Hypothese. Er bestätigt nicht automatisch die empirische Prüfbarkeit jedes denkbaren FRZK-Modells.</w:t>
      </w:r>
    </w:p>
    <w:p w:rsidR="00414AE3" w:rsidRDefault="00414AE3" w:rsidP="00414AE3">
      <w:pPr>
        <w:pStyle w:val="StandardWeb"/>
      </w:pPr>
      <w:r>
        <w:t>Ein formal zulässiges Modell kann empirisch nicht operationalisiert sein:</w:t>
      </w:r>
    </w:p>
    <w:p w:rsidR="00414AE3" w:rsidRDefault="00414AE3" w:rsidP="00414AE3">
      <w:pPr>
        <w:pStyle w:val="berschrift1"/>
      </w:pPr>
      <w:r>
        <w:t>[</w:t>
      </w:r>
      <w:r>
        <w:br/>
        <w:t>\mathcal{M}</w:t>
      </w:r>
      <w:r>
        <w:br/>
        <w:t>\in</w:t>
      </w:r>
      <w:r>
        <w:br/>
        <w:t>\operatorname{Mod}</w:t>
      </w:r>
      <w:r>
        <w:br/>
        <w:t>\left(</w:t>
      </w:r>
      <w:r>
        <w:br/>
        <w:t>\mathcal{A}</w:t>
      </w:r>
      <w:r>
        <w:rPr>
          <w:rStyle w:val="Hervorhebung"/>
        </w:rPr>
        <w:t>{\mathrm{prim}}</w:t>
      </w:r>
      <w:r>
        <w:rPr>
          <w:i/>
          <w:iCs/>
        </w:rPr>
        <w:br/>
      </w:r>
      <w:r>
        <w:rPr>
          <w:rStyle w:val="Hervorhebung"/>
        </w:rPr>
        <w:t>\right)</w:t>
      </w:r>
      <w:r>
        <w:rPr>
          <w:i/>
          <w:iCs/>
        </w:rPr>
        <w:br/>
      </w:r>
      <w:r>
        <w:rPr>
          <w:rStyle w:val="Hervorhebung"/>
        </w:rPr>
        <w:t>\land</w:t>
      </w:r>
      <w:r>
        <w:rPr>
          <w:i/>
          <w:iCs/>
        </w:rPr>
        <w:br/>
      </w:r>
      <w:r>
        <w:rPr>
          <w:rStyle w:val="Hervorhebung"/>
        </w:rPr>
        <w:t>\operatorname{EA}</w:t>
      </w:r>
      <w:r>
        <w:t>{F}(\mathcal{M})</w:t>
      </w:r>
    </w:p>
    <w:p w:rsidR="00414AE3" w:rsidRDefault="00414AE3" w:rsidP="00632D23">
      <w:pPr>
        <w:numPr>
          <w:ilvl w:val="0"/>
          <w:numId w:val="147"/>
        </w:numPr>
        <w:spacing w:before="100" w:beforeAutospacing="1" w:after="100" w:afterAutospacing="1"/>
      </w:pPr>
    </w:p>
    <w:p w:rsidR="00414AE3" w:rsidRDefault="00414AE3" w:rsidP="00414AE3">
      <w:pPr>
        <w:pStyle w:val="StandardWeb"/>
      </w:pPr>
      <w:r>
        <w:t>\tag{3.5110}</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\mathcal{M}\in\operatorname{Mod}\left(\mathcal{A}_{\mathrm{prim}}\right)\land\operatorname{EA}_{F}(\mathcal{M})=0\qquad\text{(3.5110)}</w:t>
      </w:r>
    </w:p>
    <w:p w:rsidR="00414AE3" w:rsidRDefault="00414AE3" w:rsidP="00414AE3">
      <w:pPr>
        <w:pStyle w:val="StandardWeb"/>
      </w:pPr>
      <w:r>
        <w:t>Ein solches Modell kann mathematisch untersucht werden, erlaubt aber noch keine empirische Bewertung.</w:t>
      </w:r>
    </w:p>
    <w:p w:rsidR="00414AE3" w:rsidRPr="00AF32B2" w:rsidRDefault="00414AE3" w:rsidP="00AF32B2">
      <w:pPr>
        <w:pStyle w:val="berschrift4"/>
      </w:pPr>
      <w:r w:rsidRPr="00AF32B2">
        <w:t>3.3.26.33 Repository-Dokumentation der Anschlussstruktur</w:t>
      </w:r>
    </w:p>
    <w:p w:rsidR="00414AE3" w:rsidRDefault="00414AE3" w:rsidP="00414AE3">
      <w:pPr>
        <w:pStyle w:val="StandardWeb"/>
      </w:pPr>
      <w:r>
        <w:t>Die empirische Anschlussstruktur muss im Repository als zusammenhängende Objektkette gespeichert werden.</w:t>
      </w:r>
    </w:p>
    <w:p w:rsidR="00414AE3" w:rsidRDefault="00414AE3" w:rsidP="00414AE3">
      <w:pPr>
        <w:pStyle w:val="StandardWeb"/>
      </w:pPr>
      <w:r>
        <w:t>Eine Operationalisierungsabhängigkeit lautet schematisch</w:t>
      </w:r>
    </w:p>
    <w:p w:rsidR="00414AE3" w:rsidRDefault="00414AE3" w:rsidP="00414AE3">
      <w:pPr>
        <w:pStyle w:val="StandardWeb"/>
      </w:pPr>
      <w:r>
        <w:t>[</w:t>
      </w:r>
      <w:r>
        <w:br/>
        <w:t>\operatorname{Dep}</w:t>
      </w:r>
      <w:r>
        <w:rPr>
          <w:rStyle w:val="Hervorhebung"/>
        </w:rPr>
        <w:t>{\mathrm{emp}}</w:t>
      </w:r>
      <w:r>
        <w:rPr>
          <w:i/>
          <w:iCs/>
        </w:rPr>
        <w:br/>
      </w:r>
      <w:r>
        <w:rPr>
          <w:rStyle w:val="Hervorhebung"/>
        </w:rPr>
        <w:t>\left(</w:t>
      </w:r>
      <w:r>
        <w:rPr>
          <w:i/>
          <w:iCs/>
        </w:rPr>
        <w:br/>
      </w:r>
      <w:r>
        <w:rPr>
          <w:rStyle w:val="Hervorhebung"/>
        </w:rPr>
        <w:t>d,</w:t>
      </w:r>
      <w:r>
        <w:rPr>
          <w:i/>
          <w:iCs/>
        </w:rPr>
        <w:br/>
      </w:r>
      <w:r>
        <w:rPr>
          <w:rStyle w:val="Hervorhebung"/>
        </w:rPr>
        <w:t>\mathcal{O}</w:t>
      </w:r>
      <w:r>
        <w:t>{F},</w:t>
      </w:r>
      <w:r>
        <w:br/>
        <w:t>x_{F}</w:t>
      </w:r>
      <w:r>
        <w:br/>
        <w:t>\right).</w:t>
      </w:r>
      <w:r>
        <w:br/>
        <w:t>\tag{3.5111}</w:t>
      </w:r>
      <w:r>
        <w:br/>
        <w:t>]</w:t>
      </w:r>
    </w:p>
    <w:p w:rsidR="00414AE3" w:rsidRDefault="00414AE3" w:rsidP="00414AE3">
      <w:pPr>
        <w:pStyle w:val="StandardWeb"/>
      </w:pPr>
      <w:r>
        <w:rPr>
          <w:rStyle w:val="Fett"/>
        </w:rPr>
        <w:lastRenderedPageBreak/>
        <w:t>Word-LaTeX</w:t>
      </w:r>
    </w:p>
    <w:p w:rsidR="00414AE3" w:rsidRDefault="00414AE3" w:rsidP="00414AE3">
      <w:pPr>
        <w:pStyle w:val="HTMLVorformatiert"/>
        <w:rPr>
          <w:rStyle w:val="HTMLCode"/>
        </w:rPr>
      </w:pPr>
      <w:r>
        <w:rPr>
          <w:rStyle w:val="HTMLCode"/>
        </w:rPr>
        <w:t>\operatorname{Dep}_{\mathrm{emp}}\left(d,\mathcal{O}_{F},x_{F}\right)\qquad\text{(3.5111)}</w:t>
      </w:r>
    </w:p>
    <w:p w:rsidR="00414AE3" w:rsidRDefault="00414AE3" w:rsidP="00414AE3">
      <w:pPr>
        <w:pStyle w:val="StandardWeb"/>
      </w:pPr>
      <w:r>
        <w:t>Eine Vorhersageabhängigkeit lautet</w:t>
      </w:r>
    </w:p>
    <w:p w:rsidR="00414AE3" w:rsidRDefault="00414AE3" w:rsidP="00414AE3">
      <w:pPr>
        <w:pStyle w:val="StandardWeb"/>
      </w:pPr>
      <w:r>
        <w:t>[</w:t>
      </w:r>
      <w:r>
        <w:br/>
        <w:t>\operatorname{Dep}_{\mathrm{pred}}</w:t>
      </w:r>
      <w:r>
        <w:br/>
        <w:t>\left(</w:t>
      </w:r>
      <w:r>
        <w:br/>
        <w:t>\mathcal{M},</w:t>
      </w:r>
      <w:r>
        <w:br/>
        <w:t>x,</w:t>
      </w:r>
      <w:r>
        <w:br/>
        <w:t>\widehat{y}</w:t>
      </w:r>
      <w:r>
        <w:br/>
        <w:t>\right).</w:t>
      </w:r>
      <w:r>
        <w:br/>
        <w:t>\tag{3.5112}</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\operatorname{Dep}_{\mathrm{pred}}\left(\mathcal{M},x,\widehat{y}\right)\qquad\text{(3.5112)}</w:t>
      </w:r>
    </w:p>
    <w:p w:rsidR="00414AE3" w:rsidRDefault="00414AE3" w:rsidP="00414AE3">
      <w:pPr>
        <w:pStyle w:val="StandardWeb"/>
      </w:pPr>
      <w:r>
        <w:t>Eine Prüfabhängigkeit lautet</w:t>
      </w:r>
    </w:p>
    <w:p w:rsidR="00414AE3" w:rsidRDefault="00414AE3" w:rsidP="00414AE3">
      <w:pPr>
        <w:pStyle w:val="StandardWeb"/>
      </w:pPr>
      <w:r>
        <w:t>[</w:t>
      </w:r>
      <w:r>
        <w:br/>
        <w:t>\operatorname{Dep}</w:t>
      </w:r>
      <w:r>
        <w:rPr>
          <w:rStyle w:val="Hervorhebung"/>
        </w:rPr>
        <w:t>{\mathrm{test}}</w:t>
      </w:r>
      <w:r>
        <w:rPr>
          <w:i/>
          <w:iCs/>
        </w:rPr>
        <w:br/>
      </w:r>
      <w:r>
        <w:rPr>
          <w:rStyle w:val="Hervorhebung"/>
        </w:rPr>
        <w:t>\left(</w:t>
      </w:r>
      <w:r>
        <w:rPr>
          <w:i/>
          <w:iCs/>
        </w:rPr>
        <w:br/>
      </w:r>
      <w:r>
        <w:rPr>
          <w:rStyle w:val="Hervorhebung"/>
        </w:rPr>
        <w:t>y,</w:t>
      </w:r>
      <w:r>
        <w:rPr>
          <w:i/>
          <w:iCs/>
        </w:rPr>
        <w:br/>
      </w:r>
      <w:r>
        <w:rPr>
          <w:rStyle w:val="Hervorhebung"/>
        </w:rPr>
        <w:t>\widehat{y},</w:t>
      </w:r>
      <w:r>
        <w:rPr>
          <w:i/>
          <w:iCs/>
        </w:rPr>
        <w:br/>
      </w:r>
      <w:r>
        <w:rPr>
          <w:rStyle w:val="Hervorhebung"/>
        </w:rPr>
        <w:t>\mathcal{C}</w:t>
      </w:r>
      <w:r>
        <w:t>{\mathrm{emp}}</w:t>
      </w:r>
      <w:r>
        <w:br/>
        <w:t>\right).</w:t>
      </w:r>
      <w:r>
        <w:br/>
        <w:t>\tag{3.5113}</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\operatorname{Dep}_{\mathrm{test}}\left(y,\widehat{y},\mathcal{C}_{\mathrm{emp}}\right)\qquad\text{(3.5113)}</w:t>
      </w:r>
    </w:p>
    <w:p w:rsidR="00414AE3" w:rsidRDefault="00414AE3" w:rsidP="00414AE3">
      <w:pPr>
        <w:pStyle w:val="StandardWeb"/>
      </w:pPr>
      <w:r>
        <w:rPr>
          <w:rStyle w:val="Fett"/>
        </w:rPr>
        <w:t>Eigenleistung des FRZK</w:t>
      </w:r>
    </w:p>
    <w:p w:rsidR="00414AE3" w:rsidRDefault="00414AE3" w:rsidP="00414AE3">
      <w:pPr>
        <w:pStyle w:val="StandardWeb"/>
      </w:pPr>
      <w:r>
        <w:t>Ich erweitere den wissenschaftlichen Ableitungsgraphen um empirische Abhängigkeiten. Dadurch bleibt nachvollziehbar, aus welchen Daten ein funktionales Objekt erzeugt wurde, welche Modellinstanz eine Vorhersage erzeugt und nach welchem Kriterium diese Vorhersage geprüft wurde.</w:t>
      </w:r>
    </w:p>
    <w:p w:rsidR="00414AE3" w:rsidRPr="00AF32B2" w:rsidRDefault="00414AE3" w:rsidP="00AF32B2">
      <w:pPr>
        <w:pStyle w:val="berschrift4"/>
      </w:pPr>
      <w:r w:rsidRPr="00AF32B2">
        <w:t>3.3.26.34 Ergebnis der empirischen Anschlussprüfung</w:t>
      </w:r>
    </w:p>
    <w:p w:rsidR="00414AE3" w:rsidRDefault="00414AE3" w:rsidP="00414AE3">
      <w:pPr>
        <w:pStyle w:val="StandardWeb"/>
      </w:pPr>
      <w:r>
        <w:t>Die drei Primäraxiome und die darauf aufbauenden Definitionen sind nicht unmittelbar empirische Aussagen. Empirische Prüfbarkeit entsteht erst durch eine ausdrücklich dokumentierte Anschlussstruktur.</w:t>
      </w:r>
    </w:p>
    <w:p w:rsidR="00414AE3" w:rsidRDefault="00414AE3" w:rsidP="00414AE3">
      <w:pPr>
        <w:pStyle w:val="StandardWeb"/>
      </w:pPr>
      <w:r>
        <w:lastRenderedPageBreak/>
        <w:t>Diese muss mindestens enthalten:</w:t>
      </w:r>
    </w:p>
    <w:p w:rsidR="00414AE3" w:rsidRDefault="00414AE3" w:rsidP="00632D23">
      <w:pPr>
        <w:pStyle w:val="StandardWeb"/>
        <w:numPr>
          <w:ilvl w:val="0"/>
          <w:numId w:val="148"/>
        </w:numPr>
      </w:pPr>
      <w:r>
        <w:t>nachvollziehbare Rohdaten,</w:t>
      </w:r>
    </w:p>
    <w:p w:rsidR="00414AE3" w:rsidRDefault="00414AE3" w:rsidP="00632D23">
      <w:pPr>
        <w:pStyle w:val="StandardWeb"/>
        <w:numPr>
          <w:ilvl w:val="0"/>
          <w:numId w:val="148"/>
        </w:numPr>
      </w:pPr>
      <w:r>
        <w:t>dokumentierte Datenaufbereitung,</w:t>
      </w:r>
    </w:p>
    <w:p w:rsidR="00414AE3" w:rsidRDefault="00414AE3" w:rsidP="00632D23">
      <w:pPr>
        <w:pStyle w:val="StandardWeb"/>
        <w:numPr>
          <w:ilvl w:val="0"/>
          <w:numId w:val="148"/>
        </w:numPr>
      </w:pPr>
      <w:r>
        <w:t>typkorrekte Operationalisierungsabbildungen,</w:t>
      </w:r>
    </w:p>
    <w:p w:rsidR="00414AE3" w:rsidRDefault="00414AE3" w:rsidP="00632D23">
      <w:pPr>
        <w:pStyle w:val="StandardWeb"/>
        <w:numPr>
          <w:ilvl w:val="0"/>
          <w:numId w:val="148"/>
        </w:numPr>
      </w:pPr>
      <w:r>
        <w:t>eine festgelegte Modellklasse und Modellinstanz,</w:t>
      </w:r>
    </w:p>
    <w:p w:rsidR="00414AE3" w:rsidRDefault="00414AE3" w:rsidP="00632D23">
      <w:pPr>
        <w:pStyle w:val="StandardWeb"/>
        <w:numPr>
          <w:ilvl w:val="0"/>
          <w:numId w:val="148"/>
        </w:numPr>
      </w:pPr>
      <w:r>
        <w:t>dokumentierte Parameter und Kalibrierung,</w:t>
      </w:r>
    </w:p>
    <w:p w:rsidR="00414AE3" w:rsidRDefault="00414AE3" w:rsidP="00632D23">
      <w:pPr>
        <w:pStyle w:val="StandardWeb"/>
        <w:numPr>
          <w:ilvl w:val="0"/>
          <w:numId w:val="148"/>
        </w:numPr>
      </w:pPr>
      <w:r>
        <w:t>eine empirisch interpretierbare Vorhersage,</w:t>
      </w:r>
    </w:p>
    <w:p w:rsidR="00414AE3" w:rsidRDefault="00414AE3" w:rsidP="00632D23">
      <w:pPr>
        <w:pStyle w:val="StandardWeb"/>
        <w:numPr>
          <w:ilvl w:val="0"/>
          <w:numId w:val="148"/>
        </w:numPr>
      </w:pPr>
      <w:r>
        <w:t>ein vorab bestimmtes Vergleichs- und Zurückweisungskriterium,</w:t>
      </w:r>
    </w:p>
    <w:p w:rsidR="00414AE3" w:rsidRDefault="00414AE3" w:rsidP="00632D23">
      <w:pPr>
        <w:pStyle w:val="StandardWeb"/>
        <w:numPr>
          <w:ilvl w:val="0"/>
          <w:numId w:val="148"/>
        </w:numPr>
      </w:pPr>
      <w:r>
        <w:t>eine Analyse von Mess-, Operationalisierungs-, Modell- und numerischen Fehlern.</w:t>
      </w:r>
    </w:p>
    <w:p w:rsidR="00414AE3" w:rsidRDefault="00414AE3" w:rsidP="00414AE3">
      <w:pPr>
        <w:pStyle w:val="StandardWeb"/>
      </w:pPr>
      <w:r>
        <w:t>Eine empirische Abweichung betrifft zunächst die konkrete Verbindung aus Daten, Operationalisierung, Modellinstanz und Prüfhypothese. Sie widerlegt nicht automatisch die allgemeine Primäraxiomenklasse [58, 59, 79].</w:t>
      </w:r>
    </w:p>
    <w:p w:rsidR="00414AE3" w:rsidRDefault="00414AE3" w:rsidP="00414AE3">
      <w:pPr>
        <w:pStyle w:val="StandardWeb"/>
      </w:pPr>
      <w:r>
        <w:rPr>
          <w:rStyle w:val="Fett"/>
        </w:rPr>
        <w:t>Eigenleistung des FRZK</w:t>
      </w:r>
    </w:p>
    <w:p w:rsidR="00414AE3" w:rsidRDefault="00414AE3" w:rsidP="00414AE3">
      <w:pPr>
        <w:pStyle w:val="StandardWeb"/>
      </w:pPr>
      <w:r>
        <w:t>Mit Definition 3.3.18 und Satz 3.3.8 steht ein formales Verfahren zur Beurteilung der empirischen Anschlussfähigkeit und Prüfbarkeit einer FRZK-Modellinstanz zur Verfügung. Damit ist die Grenze zwischen mathematischer Möglichkeit, modellbezogener Interpretation und empirischer Bestätigung ausdrücklich festgelegt.</w:t>
      </w:r>
    </w:p>
    <w:p w:rsidR="00414AE3" w:rsidRPr="00AF32B2" w:rsidRDefault="00414AE3" w:rsidP="00AF32B2">
      <w:pPr>
        <w:pStyle w:val="berschrift4"/>
      </w:pPr>
      <w:r w:rsidRPr="00AF32B2">
        <w:t>3.3.26.35 Übergang zur Prüfung der Skalen- und Invarianzeigenschaften</w:t>
      </w:r>
    </w:p>
    <w:p w:rsidR="00414AE3" w:rsidRDefault="00414AE3" w:rsidP="00414AE3">
      <w:pPr>
        <w:pStyle w:val="StandardWeb"/>
      </w:pPr>
      <w:r>
        <w:t>Die empirische Anschlussstruktur verbindet formale FRZK-Objekte mit Beobachtungswerten. Dabei können jedoch unterschiedliche Maßeinheiten, Skalierungen, Koordinatensysteme oder Kodierungen verwendet werden.</w:t>
      </w:r>
    </w:p>
    <w:p w:rsidR="00414AE3" w:rsidRDefault="00414AE3" w:rsidP="00414AE3">
      <w:pPr>
        <w:pStyle w:val="StandardWeb"/>
      </w:pPr>
      <w:r>
        <w:t>Eine Skalentransformation kann allgemein geschrieben werden als</w:t>
      </w:r>
    </w:p>
    <w:p w:rsidR="00414AE3" w:rsidRDefault="00414AE3" w:rsidP="00414AE3">
      <w:pPr>
        <w:pStyle w:val="StandardWeb"/>
      </w:pPr>
      <w:r>
        <w:t>[</w:t>
      </w:r>
      <w:r>
        <w:br/>
        <w:t>g:</w:t>
      </w:r>
      <w:r>
        <w:br/>
        <w:t>\mathcal{Y}</w:t>
      </w:r>
      <w:r>
        <w:rPr>
          <w:rStyle w:val="Hervorhebung"/>
        </w:rPr>
        <w:t>{\mathrm{emp}}</w:t>
      </w:r>
      <w:r>
        <w:rPr>
          <w:i/>
          <w:iCs/>
        </w:rPr>
        <w:br/>
      </w:r>
      <w:r>
        <w:rPr>
          <w:rStyle w:val="Hervorhebung"/>
        </w:rPr>
        <w:t>\rightarrow</w:t>
      </w:r>
      <w:r>
        <w:rPr>
          <w:i/>
          <w:iCs/>
        </w:rPr>
        <w:br/>
      </w:r>
      <w:r>
        <w:rPr>
          <w:rStyle w:val="Hervorhebung"/>
        </w:rPr>
        <w:t>\mathcal{Y}</w:t>
      </w:r>
      <w:r>
        <w:t>{\mathrm{emp}}^{\prime}.</w:t>
      </w:r>
      <w:r>
        <w:br/>
        <w:t>\tag{3.5114}</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g:\mathcal{Y}_{\mathrm{emp}}\rightarrow\mathcal{Y}_{\mathrm{emp}}^{\prime}\qquad\text{(3.5114)}</w:t>
      </w:r>
    </w:p>
    <w:p w:rsidR="00414AE3" w:rsidRDefault="00414AE3" w:rsidP="00414AE3">
      <w:pPr>
        <w:pStyle w:val="StandardWeb"/>
      </w:pPr>
      <w:r>
        <w:t>Eine wissenschaftlich tragfähige FRZK-Aussage muss daraufhin geprüft werden, ob sie unter zulässigen Transformationen erhalten bleibt:</w:t>
      </w:r>
    </w:p>
    <w:p w:rsidR="00414AE3" w:rsidRDefault="00414AE3" w:rsidP="00414AE3">
      <w:pPr>
        <w:pStyle w:val="berschrift1"/>
      </w:pPr>
      <w:r>
        <w:t>[</w:t>
      </w:r>
      <w:r>
        <w:br/>
        <w:t>P(y)</w:t>
      </w:r>
    </w:p>
    <w:p w:rsidR="00414AE3" w:rsidRDefault="00414AE3" w:rsidP="00414AE3">
      <w:pPr>
        <w:pStyle w:val="StandardWeb"/>
      </w:pPr>
      <w:r>
        <w:lastRenderedPageBreak/>
        <w:t>P^{\prime}</w:t>
      </w:r>
      <w:r>
        <w:br/>
        <w:t>\left(</w:t>
      </w:r>
      <w:r>
        <w:br/>
        <w:t>g(y)</w:t>
      </w:r>
      <w:r>
        <w:br/>
        <w:t>\right).</w:t>
      </w:r>
      <w:r>
        <w:br/>
        <w:t>\tag{3.5115}</w:t>
      </w:r>
      <w:r>
        <w:br/>
        <w:t>]</w:t>
      </w:r>
    </w:p>
    <w:p w:rsidR="00414AE3" w:rsidRDefault="00414AE3" w:rsidP="00414AE3">
      <w:pPr>
        <w:pStyle w:val="StandardWeb"/>
      </w:pPr>
      <w:r>
        <w:rPr>
          <w:rStyle w:val="Fett"/>
        </w:rPr>
        <w:t>Word-LaTeX</w:t>
      </w:r>
    </w:p>
    <w:p w:rsidR="00414AE3" w:rsidRDefault="00414AE3" w:rsidP="00414AE3">
      <w:pPr>
        <w:pStyle w:val="HTMLVorformatiert"/>
        <w:rPr>
          <w:rStyle w:val="HTMLCode"/>
        </w:rPr>
      </w:pPr>
      <w:r>
        <w:rPr>
          <w:rStyle w:val="HTMLCode"/>
        </w:rPr>
        <w:t>P(y)=P^{\prime}\left(g(y)\right)\qquad\text{(3.5115)}</w:t>
      </w:r>
    </w:p>
    <w:p w:rsidR="00414AE3" w:rsidRDefault="00414AE3" w:rsidP="00414AE3">
      <w:pPr>
        <w:pStyle w:val="StandardWeb"/>
      </w:pPr>
      <w:r>
        <w:rPr>
          <w:rStyle w:val="Fett"/>
        </w:rPr>
        <w:t>Eigenleistung des FRZK</w:t>
      </w:r>
    </w:p>
    <w:p w:rsidR="00414AE3" w:rsidRDefault="00414AE3" w:rsidP="00414AE3">
      <w:pPr>
        <w:pStyle w:val="StandardWeb"/>
      </w:pPr>
      <w:r>
        <w:t>Der folgende Abschnitt untersucht, welche Aussagen von der Wahl einer Skala, Einheit, Koordinate oder Kodierung abhängen und welche Eigenschaften als strukturelle Invarianten des FRZK erhalten bleiben müssen.</w:t>
      </w:r>
    </w:p>
    <w:p w:rsidR="00A35CE0" w:rsidRDefault="00A35CE0" w:rsidP="00A35CE0">
      <w:pPr>
        <w:pStyle w:val="berschrift2"/>
      </w:pPr>
      <w:r>
        <w:t>Ergänzung zu 3.3.26 – Prüfung der empirischen Anschlussfähigkeit und Operationalisierung</w:t>
      </w:r>
    </w:p>
    <w:p w:rsidR="00A35CE0" w:rsidRDefault="00A35CE0" w:rsidP="00A35CE0">
      <w:pPr>
        <w:pStyle w:val="berschrift3"/>
      </w:pPr>
      <w:r>
        <w:t>Methodologische Betrachtungen</w:t>
      </w:r>
    </w:p>
    <w:p w:rsidR="00A35CE0" w:rsidRDefault="00A35CE0" w:rsidP="00A35CE0">
      <w:pPr>
        <w:pStyle w:val="StandardWeb"/>
      </w:pPr>
      <w:r>
        <w:t>Bis Abschnitt 3.3.25 kann das FRZK vollständig als formale Theorie behandelt werden. Damit ist jedoch noch nicht geklärt, wie theoretische Objekte mit tatsächlich erhobenen Daten verbunden werden. Genau diese Verbindung wird in Abschnitt 3.3.26 durch eine empirische FRZK-Anschlussstruktur formalisiert. Der Repository-Stand führt dazu Rohdatenraum, Datenaufbereitung, Operationalisierung, Modellinstanz, Vorhersageabbildung und empirisches Prüfkriterium ausdrücklich als getrennte Bestandteile ein.</w:t>
      </w:r>
    </w:p>
    <w:p w:rsidR="00A35CE0" w:rsidRDefault="00A35CE0" w:rsidP="00A35CE0">
      <w:pPr>
        <w:pStyle w:val="StandardWeb"/>
      </w:pPr>
      <w:r>
        <w:t>Die Anschlussstruktur lautet</w:t>
      </w:r>
    </w:p>
    <w:p w:rsidR="00A35CE0" w:rsidRDefault="00A35CE0" w:rsidP="00A35CE0">
      <w:pPr>
        <w:pStyle w:val="berschrift1"/>
      </w:pPr>
      <w:r>
        <w:t>[</w:t>
      </w:r>
      <w:r>
        <w:br/>
        <w:t>\mathfrak{E}_{F}</w:t>
      </w:r>
    </w:p>
    <w:p w:rsidR="00A35CE0" w:rsidRDefault="00A35CE0" w:rsidP="00A35CE0">
      <w:pPr>
        <w:pStyle w:val="StandardWeb"/>
      </w:pPr>
      <w:r>
        <w:t>\left(</w:t>
      </w:r>
      <w:r>
        <w:br/>
        <w:t>\mathcal{D}</w:t>
      </w:r>
      <w:r>
        <w:rPr>
          <w:rStyle w:val="Hervorhebung"/>
        </w:rPr>
        <w:t>{\mathrm{raw}},</w:t>
      </w:r>
      <w:r>
        <w:rPr>
          <w:i/>
          <w:iCs/>
        </w:rPr>
        <w:br/>
      </w:r>
      <w:r>
        <w:rPr>
          <w:rStyle w:val="Hervorhebung"/>
        </w:rPr>
        <w:t>\mathcal{P}</w:t>
      </w:r>
      <w:r>
        <w:t>{\mathrm{data}},</w:t>
      </w:r>
      <w:r>
        <w:br/>
        <w:t>\mathcal{O}</w:t>
      </w:r>
      <w:r>
        <w:rPr>
          <w:rStyle w:val="Hervorhebung"/>
        </w:rPr>
        <w:t>{F},</w:t>
      </w:r>
      <w:r>
        <w:rPr>
          <w:i/>
          <w:iCs/>
        </w:rPr>
        <w:br/>
      </w:r>
      <w:r>
        <w:rPr>
          <w:rStyle w:val="Hervorhebung"/>
        </w:rPr>
        <w:t>\mathcal{M}</w:t>
      </w:r>
      <w:r>
        <w:t>{\alpha}^{(\mu)},</w:t>
      </w:r>
      <w:r>
        <w:br/>
        <w:t>\mathcal{P}</w:t>
      </w:r>
      <w:r>
        <w:rPr>
          <w:rStyle w:val="Hervorhebung"/>
        </w:rPr>
        <w:t>{F},</w:t>
      </w:r>
      <w:r>
        <w:rPr>
          <w:i/>
          <w:iCs/>
        </w:rPr>
        <w:br/>
      </w:r>
      <w:r>
        <w:rPr>
          <w:rStyle w:val="Hervorhebung"/>
        </w:rPr>
        <w:t>\mathcal{C}</w:t>
      </w:r>
      <w:r>
        <w:t>{\mathrm{emp}}</w:t>
      </w:r>
      <w:r>
        <w:br/>
        <w:t>\right).</w:t>
      </w:r>
      <w:r>
        <w:br/>
        <w:t>]</w:t>
      </w:r>
    </w:p>
    <w:p w:rsidR="00A35CE0" w:rsidRDefault="00A35CE0" w:rsidP="00A35CE0">
      <w:pPr>
        <w:pStyle w:val="StandardWeb"/>
      </w:pPr>
      <w:r>
        <w:rPr>
          <w:rStyle w:val="Fett"/>
        </w:rPr>
        <w:t>Word-LaTeX</w:t>
      </w:r>
    </w:p>
    <w:p w:rsidR="00A35CE0" w:rsidRDefault="00A35CE0" w:rsidP="00A35CE0">
      <w:pPr>
        <w:pStyle w:val="HTMLVorformatiert"/>
        <w:rPr>
          <w:rStyle w:val="HTMLCode"/>
        </w:rPr>
      </w:pPr>
      <w:r>
        <w:rPr>
          <w:rStyle w:val="HTMLCode"/>
        </w:rPr>
        <w:t>\mathfrak{E}_{F}=\left(\mathcal{D}_{\mathrm{raw}},\mathcal{P}_{\mathrm{data}},\mathcal{O}_{F},\mathcal{M}_{\alpha}^{(\mu)},\mathcal{P}_{F},\mathcal{C}_{\mathrm{emp}}\right)</w:t>
      </w:r>
    </w:p>
    <w:p w:rsidR="00A35CE0" w:rsidRDefault="00A35CE0" w:rsidP="00A35CE0">
      <w:pPr>
        <w:pStyle w:val="StandardWeb"/>
      </w:pPr>
      <w:r>
        <w:lastRenderedPageBreak/>
        <w:t>Der empirische Ausgangspunkt ist ausdrücklich der Rohdatenraum</w:t>
      </w:r>
    </w:p>
    <w:p w:rsidR="00A35CE0" w:rsidRDefault="00A35CE0" w:rsidP="00A35CE0">
      <w:pPr>
        <w:pStyle w:val="StandardWeb"/>
      </w:pPr>
      <w:r>
        <w:t>[</w:t>
      </w:r>
      <w:r>
        <w:br/>
        <w:t>\mathcal{D}_{\mathrm{raw}}.</w:t>
      </w:r>
      <w:r>
        <w:br/>
        <w:t>\tag{3.5017}</w:t>
      </w:r>
      <w:r>
        <w:br/>
        <w:t>]</w:t>
      </w:r>
    </w:p>
    <w:p w:rsidR="00A35CE0" w:rsidRDefault="00A35CE0" w:rsidP="00A35CE0">
      <w:pPr>
        <w:pStyle w:val="StandardWeb"/>
      </w:pPr>
      <w:r>
        <w:rPr>
          <w:rStyle w:val="Fett"/>
        </w:rPr>
        <w:t>Word-LaTeX</w:t>
      </w:r>
    </w:p>
    <w:p w:rsidR="00A35CE0" w:rsidRDefault="00A35CE0" w:rsidP="00A35CE0">
      <w:pPr>
        <w:pStyle w:val="HTMLVorformatiert"/>
        <w:rPr>
          <w:rStyle w:val="HTMLCode"/>
        </w:rPr>
      </w:pPr>
      <w:r>
        <w:rPr>
          <w:rStyle w:val="HTMLCode"/>
        </w:rPr>
        <w:t>\mathcal{D}_{\mathrm{raw}}\qquad\text{(3.5017)}</w:t>
      </w:r>
    </w:p>
    <w:p w:rsidR="00A35CE0" w:rsidRDefault="00A35CE0" w:rsidP="00A35CE0">
      <w:pPr>
        <w:pStyle w:val="StandardWeb"/>
      </w:pPr>
      <w:r>
        <w:t>Die Daten werden nicht unmittelbar mit dem FRZK-Modell verglichen. Zunächst erfolgt eine Datenaufbereitung:</w:t>
      </w:r>
    </w:p>
    <w:p w:rsidR="00A35CE0" w:rsidRDefault="00A35CE0" w:rsidP="00A35CE0">
      <w:pPr>
        <w:pStyle w:val="StandardWeb"/>
      </w:pPr>
      <w:r>
        <w:t>[</w:t>
      </w:r>
      <w:r>
        <w:br/>
        <w:t>\mathcal{P}</w:t>
      </w:r>
      <w:r>
        <w:rPr>
          <w:rStyle w:val="Hervorhebung"/>
        </w:rPr>
        <w:t>{\mathrm{data}}:</w:t>
      </w:r>
      <w:r>
        <w:rPr>
          <w:i/>
          <w:iCs/>
        </w:rPr>
        <w:br/>
      </w:r>
      <w:r>
        <w:rPr>
          <w:rStyle w:val="Hervorhebung"/>
        </w:rPr>
        <w:t>\mathcal{D}</w:t>
      </w:r>
      <w:r>
        <w:t>{\mathrm{raw}}</w:t>
      </w:r>
      <w:r>
        <w:br/>
        <w:t>\rightarrow</w:t>
      </w:r>
      <w:r>
        <w:br/>
        <w:t>\mathcal{D}_{\mathrm{prep}}.</w:t>
      </w:r>
      <w:r>
        <w:br/>
        <w:t>\tag{3.5019}</w:t>
      </w:r>
      <w:r>
        <w:br/>
        <w:t>]</w:t>
      </w:r>
    </w:p>
    <w:p w:rsidR="00A35CE0" w:rsidRDefault="00A35CE0" w:rsidP="00A35CE0">
      <w:pPr>
        <w:pStyle w:val="StandardWeb"/>
      </w:pPr>
      <w:r>
        <w:rPr>
          <w:rStyle w:val="Fett"/>
        </w:rPr>
        <w:t>Word-LaTeX</w:t>
      </w:r>
    </w:p>
    <w:p w:rsidR="00A35CE0" w:rsidRDefault="00A35CE0" w:rsidP="00A35CE0">
      <w:pPr>
        <w:pStyle w:val="HTMLVorformatiert"/>
        <w:rPr>
          <w:rStyle w:val="HTMLCode"/>
        </w:rPr>
      </w:pPr>
      <w:r>
        <w:rPr>
          <w:rStyle w:val="HTMLCode"/>
        </w:rPr>
        <w:t>\mathcal{P}_{\mathrm{data}}:\mathcal{D}_{\mathrm{raw}}\rightarrow\mathcal{D}_{\mathrm{prep}}\qquad\text{(3.5019)}</w:t>
      </w:r>
    </w:p>
    <w:p w:rsidR="00A35CE0" w:rsidRDefault="00A35CE0" w:rsidP="00A35CE0">
      <w:pPr>
        <w:pStyle w:val="StandardWeb"/>
      </w:pPr>
      <w:r>
        <w:t>Für einen konkreten Rohdatensatz gilt damit</w:t>
      </w:r>
    </w:p>
    <w:p w:rsidR="00A35CE0" w:rsidRDefault="00A35CE0" w:rsidP="00A35CE0">
      <w:pPr>
        <w:pStyle w:val="berschrift1"/>
      </w:pPr>
      <w:r>
        <w:t>[</w:t>
      </w:r>
      <w:r>
        <w:br/>
        <w:t>d_{\mathrm{prep}}</w:t>
      </w:r>
    </w:p>
    <w:p w:rsidR="00A35CE0" w:rsidRDefault="00A35CE0" w:rsidP="00A35CE0">
      <w:pPr>
        <w:pStyle w:val="StandardWeb"/>
      </w:pPr>
      <w:r>
        <w:t>\mathcal{P}</w:t>
      </w:r>
      <w:r>
        <w:rPr>
          <w:rStyle w:val="Hervorhebung"/>
        </w:rPr>
        <w:t>{\mathrm{data}}</w:t>
      </w:r>
      <w:r>
        <w:rPr>
          <w:i/>
          <w:iCs/>
        </w:rPr>
        <w:br/>
      </w:r>
      <w:r>
        <w:rPr>
          <w:rStyle w:val="Hervorhebung"/>
        </w:rPr>
        <w:t>\left(</w:t>
      </w:r>
      <w:r>
        <w:rPr>
          <w:i/>
          <w:iCs/>
        </w:rPr>
        <w:br/>
      </w:r>
      <w:r>
        <w:rPr>
          <w:rStyle w:val="Hervorhebung"/>
        </w:rPr>
        <w:t>d</w:t>
      </w:r>
      <w:r>
        <w:t>{\mathrm{raw}}</w:t>
      </w:r>
      <w:r>
        <w:br/>
        <w:t>\right).</w:t>
      </w:r>
      <w:r>
        <w:br/>
        <w:t>\tag{3.5020}</w:t>
      </w:r>
      <w:r>
        <w:br/>
        <w:t>]</w:t>
      </w:r>
    </w:p>
    <w:p w:rsidR="00A35CE0" w:rsidRDefault="00A35CE0" w:rsidP="00A35CE0">
      <w:pPr>
        <w:pStyle w:val="StandardWeb"/>
      </w:pPr>
      <w:r>
        <w:rPr>
          <w:rStyle w:val="Fett"/>
        </w:rPr>
        <w:t>Word-LaTeX</w:t>
      </w:r>
    </w:p>
    <w:p w:rsidR="00A35CE0" w:rsidRDefault="00A35CE0" w:rsidP="00A35CE0">
      <w:pPr>
        <w:pStyle w:val="HTMLVorformatiert"/>
        <w:rPr>
          <w:rStyle w:val="HTMLCode"/>
        </w:rPr>
      </w:pPr>
      <w:r>
        <w:rPr>
          <w:rStyle w:val="HTMLCode"/>
        </w:rPr>
        <w:t>d_{\mathrm{prep}}=\mathcal{P}_{\mathrm{data}}\left(d_{\mathrm{raw}}\right)\qquad\text{(3.5020)}</w:t>
      </w:r>
    </w:p>
    <w:p w:rsidR="00A35CE0" w:rsidRDefault="00A35CE0" w:rsidP="00A35CE0">
      <w:pPr>
        <w:pStyle w:val="StandardWeb"/>
      </w:pPr>
      <w:r>
        <w:t>Methodologisch ist diese explizite Zwischenstufe entscheidend. Rohdaten sind nicht „die Theorie in Zahlenform“. Zwischen Beobachtung und theoretischem Zustand liegen Auswahl-, Filter-, Kodierungs-, Skalierungs- und Aggregationsentscheidungen.</w:t>
      </w:r>
    </w:p>
    <w:p w:rsidR="00A35CE0" w:rsidRDefault="00A35CE0" w:rsidP="00A35CE0">
      <w:pPr>
        <w:pStyle w:val="StandardWeb"/>
      </w:pPr>
      <w:r>
        <w:t>Die Operationalisierung (\mathcal{O}_{F}) besitzt daher eine erkenntnistheoretisch zentrale Funktion. Sie legt fest, welche empirischen Beobachtungen welchen theoretischen FRZK-</w:t>
      </w:r>
      <w:r>
        <w:lastRenderedPageBreak/>
        <w:t>Größen zugeordnet werden. Eine solche Zuordnung ist weder durch die Daten allein noch durch die Axiome allein vollständig bestimmt.</w:t>
      </w:r>
    </w:p>
    <w:p w:rsidR="00A35CE0" w:rsidRDefault="00A35CE0" w:rsidP="00A35CE0">
      <w:pPr>
        <w:pStyle w:val="StandardWeb"/>
      </w:pPr>
      <w:r>
        <w:t>Damit wird zugleich verhindert, dass theoretische Begriffe rückwirkend aus denselben Daten definiert werden, mit denen sie anschließend geprüft werden sollen. Wenn beispielsweise ein Kohärenzmaß ausschließlich so konstruiert wird, dass ein bereits bekanntes Datenmuster optimal erfasst wird, ist eine spätere Bestätigung anhand derselben Daten kein unabhängiger empirischer Test.</w:t>
      </w:r>
    </w:p>
    <w:p w:rsidR="00A35CE0" w:rsidRDefault="00A35CE0" w:rsidP="00A35CE0">
      <w:pPr>
        <w:pStyle w:val="StandardWeb"/>
      </w:pPr>
      <w:r>
        <w:t>Die Modellvorhersage muss deshalb von der empirischen Beobachtung getrennt werden. Nur dann kann überhaupt eine Abweichung bestimmt werden.</w:t>
      </w:r>
    </w:p>
    <w:p w:rsidR="00A35CE0" w:rsidRDefault="00A35CE0" w:rsidP="00A35CE0">
      <w:pPr>
        <w:pStyle w:val="StandardWeb"/>
      </w:pPr>
      <w:r>
        <w:t>Auch Messfehler müssen ausdrücklich modelliert werden. Ein beobachteter Wert kann geschrieben werden als</w:t>
      </w:r>
    </w:p>
    <w:p w:rsidR="00A35CE0" w:rsidRDefault="00A35CE0" w:rsidP="00A35CE0">
      <w:pPr>
        <w:pStyle w:val="berschrift1"/>
      </w:pPr>
      <w:r>
        <w:t>[</w:t>
      </w:r>
      <w:r>
        <w:br/>
        <w:t>y_{\mathrm{obs}}</w:t>
      </w:r>
    </w:p>
    <w:p w:rsidR="00A35CE0" w:rsidRDefault="00A35CE0" w:rsidP="00A35CE0">
      <w:pPr>
        <w:pStyle w:val="StandardWeb"/>
      </w:pPr>
      <w:r>
        <w:t>y_{\mathrm{ref}}</w:t>
      </w:r>
      <w:r>
        <w:br/>
        <w:t>+</w:t>
      </w:r>
      <w:r>
        <w:br/>
        <w:t>\varepsilon_{\mathrm{mess}}.</w:t>
      </w:r>
      <w:r>
        <w:br/>
        <w:t>\tag{3.5066}</w:t>
      </w:r>
      <w:r>
        <w:br/>
        <w:t>]</w:t>
      </w:r>
    </w:p>
    <w:p w:rsidR="00A35CE0" w:rsidRDefault="00A35CE0" w:rsidP="00A35CE0">
      <w:pPr>
        <w:pStyle w:val="StandardWeb"/>
      </w:pPr>
      <w:r>
        <w:rPr>
          <w:rStyle w:val="Fett"/>
        </w:rPr>
        <w:t>Word-LaTeX</w:t>
      </w:r>
    </w:p>
    <w:p w:rsidR="00A35CE0" w:rsidRDefault="00A35CE0" w:rsidP="00A35CE0">
      <w:pPr>
        <w:pStyle w:val="HTMLVorformatiert"/>
        <w:rPr>
          <w:rStyle w:val="HTMLCode"/>
        </w:rPr>
      </w:pPr>
      <w:r>
        <w:rPr>
          <w:rStyle w:val="HTMLCode"/>
        </w:rPr>
        <w:t>y_{\mathrm{obs}}=y_{\mathrm{ref}}+\varepsilon_{\mathrm{mess}}\qquad\text{(3.5066)}</w:t>
      </w:r>
    </w:p>
    <w:p w:rsidR="00A35CE0" w:rsidRDefault="00A35CE0" w:rsidP="00A35CE0">
      <w:pPr>
        <w:pStyle w:val="StandardWeb"/>
      </w:pPr>
      <w:r>
        <w:t>Der Messfehler kann weiter zerlegt werden:</w:t>
      </w:r>
    </w:p>
    <w:p w:rsidR="00A35CE0" w:rsidRDefault="00A35CE0" w:rsidP="00A35CE0">
      <w:pPr>
        <w:pStyle w:val="berschrift1"/>
      </w:pPr>
      <w:r>
        <w:t>[</w:t>
      </w:r>
      <w:r>
        <w:br/>
        <w:t>\varepsilon_{\mathrm{mess}}</w:t>
      </w:r>
    </w:p>
    <w:p w:rsidR="00A35CE0" w:rsidRDefault="00A35CE0" w:rsidP="00A35CE0">
      <w:pPr>
        <w:pStyle w:val="StandardWeb"/>
      </w:pPr>
      <w:r>
        <w:t>\varepsilon_{\mathrm{rand}}</w:t>
      </w:r>
      <w:r>
        <w:br/>
        <w:t>+</w:t>
      </w:r>
      <w:r>
        <w:br/>
        <w:t>\varepsilon_{\mathrm{sys}}.</w:t>
      </w:r>
      <w:r>
        <w:br/>
        <w:t>\tag{3.5067}</w:t>
      </w:r>
      <w:r>
        <w:br/>
        <w:t>]</w:t>
      </w:r>
    </w:p>
    <w:p w:rsidR="00A35CE0" w:rsidRDefault="00A35CE0" w:rsidP="00A35CE0">
      <w:pPr>
        <w:pStyle w:val="StandardWeb"/>
      </w:pPr>
      <w:r>
        <w:rPr>
          <w:rStyle w:val="Fett"/>
        </w:rPr>
        <w:t>Word-LaTeX</w:t>
      </w:r>
    </w:p>
    <w:p w:rsidR="00A35CE0" w:rsidRDefault="00A35CE0" w:rsidP="00A35CE0">
      <w:pPr>
        <w:pStyle w:val="HTMLVorformatiert"/>
        <w:rPr>
          <w:rStyle w:val="HTMLCode"/>
        </w:rPr>
      </w:pPr>
      <w:r>
        <w:rPr>
          <w:rStyle w:val="HTMLCode"/>
        </w:rPr>
        <w:t>\varepsilon_{\mathrm{mess}}=\varepsilon_{\mathrm{rand}}+\varepsilon_{\mathrm{sys}}\qquad\text{(3.5067)}</w:t>
      </w:r>
    </w:p>
    <w:p w:rsidR="00A35CE0" w:rsidRDefault="00A35CE0" w:rsidP="00A35CE0">
      <w:pPr>
        <w:pStyle w:val="StandardWeb"/>
      </w:pPr>
      <w:r>
        <w:t>Diese Trennung macht deutlich, dass empirische Abweichungen nicht unmittelbar als Modellfehler interpretiert werden dürfen. Sie können ebenso aus Messung, Datenaufbereitung, Operationalisierung oder Kalibrierung entstehen.</w:t>
      </w:r>
    </w:p>
    <w:p w:rsidR="00A35CE0" w:rsidRDefault="00A35CE0" w:rsidP="00A35CE0">
      <w:pPr>
        <w:pStyle w:val="StandardWeb"/>
      </w:pPr>
      <w:r>
        <w:lastRenderedPageBreak/>
        <w:t>Der Abschnitt führt damit keine neue ontologische Annahme des FRZK ein. Er beschreibt vielmehr die methodischen Bedingungen, unter denen eine konkrete Modellinstanz überhaupt empirisch prüfbar werden kann.</w:t>
      </w:r>
    </w:p>
    <w:p w:rsidR="00A35CE0" w:rsidRDefault="00A35CE0" w:rsidP="00A35CE0">
      <w:pPr>
        <w:pStyle w:val="berschrift3"/>
      </w:pPr>
      <w:r>
        <w:t>Didaktische Betrachtungen</w:t>
      </w:r>
    </w:p>
    <w:p w:rsidR="00A35CE0" w:rsidRDefault="00A35CE0" w:rsidP="00A35CE0">
      <w:pPr>
        <w:pStyle w:val="StandardWeb"/>
      </w:pPr>
      <w:r>
        <w:t>Der Weg von Rohdaten zum Modell lässt sich mit einem Thermometer erklären.</w:t>
      </w:r>
    </w:p>
    <w:p w:rsidR="00A35CE0" w:rsidRDefault="00A35CE0" w:rsidP="00A35CE0">
      <w:pPr>
        <w:pStyle w:val="StandardWeb"/>
      </w:pPr>
      <w:r>
        <w:t>Das Thermometer liefert zunächst einen Messwert. Dieser Messwert ist noch nicht automatisch eine theoretische Aussage über ein System.</w:t>
      </w:r>
    </w:p>
    <w:p w:rsidR="00A35CE0" w:rsidRDefault="00A35CE0" w:rsidP="00A35CE0">
      <w:pPr>
        <w:pStyle w:val="StandardWeb"/>
      </w:pPr>
      <w:r>
        <w:t>Zuerst muss geklärt werden:</w:t>
      </w:r>
    </w:p>
    <w:p w:rsidR="00A35CE0" w:rsidRDefault="00A35CE0" w:rsidP="00A35CE0">
      <w:pPr>
        <w:pStyle w:val="StandardWeb"/>
      </w:pPr>
      <w:r>
        <w:t>Was wurde gemessen? In welcher Einheit? Mit welchem Gerät? Unter welchen Bedingungen? Wie genau? Welche Kalibrierung wurde verwendet?</w:t>
      </w:r>
    </w:p>
    <w:p w:rsidR="00A35CE0" w:rsidRDefault="00A35CE0" w:rsidP="00A35CE0">
      <w:pPr>
        <w:pStyle w:val="StandardWeb"/>
      </w:pPr>
      <w:r>
        <w:t>Erst dann kann der Wert in ein theoretisches Modell eingeordnet werden.</w:t>
      </w:r>
    </w:p>
    <w:p w:rsidR="00A35CE0" w:rsidRDefault="00A35CE0" w:rsidP="00A35CE0">
      <w:pPr>
        <w:pStyle w:val="StandardWeb"/>
      </w:pPr>
      <w:r>
        <w:t>Im FRZK ist die Situation ähnlich. Ein beobachteter Zahlenwert wird nicht allein dadurch zum funktionalen Zustand, weil er in einer Datenbank steht.</w:t>
      </w:r>
    </w:p>
    <w:p w:rsidR="00A35CE0" w:rsidRDefault="00A35CE0" w:rsidP="00A35CE0">
      <w:pPr>
        <w:pStyle w:val="StandardWeb"/>
      </w:pPr>
      <w:r>
        <w:t>Zwischen</w:t>
      </w:r>
    </w:p>
    <w:p w:rsidR="00A35CE0" w:rsidRDefault="00A35CE0" w:rsidP="00A35CE0">
      <w:pPr>
        <w:pStyle w:val="StandardWeb"/>
      </w:pPr>
      <w:r>
        <w:rPr>
          <w:rStyle w:val="Fett"/>
        </w:rPr>
        <w:t>Messung</w:t>
      </w:r>
    </w:p>
    <w:p w:rsidR="00A35CE0" w:rsidRDefault="00A35CE0" w:rsidP="00A35CE0">
      <w:pPr>
        <w:pStyle w:val="StandardWeb"/>
      </w:pPr>
      <w:r>
        <w:t>und</w:t>
      </w:r>
    </w:p>
    <w:p w:rsidR="00A35CE0" w:rsidRDefault="00A35CE0" w:rsidP="00A35CE0">
      <w:pPr>
        <w:pStyle w:val="StandardWeb"/>
      </w:pPr>
      <w:r>
        <w:rPr>
          <w:rStyle w:val="Fett"/>
        </w:rPr>
        <w:t>FRZK-Zustand</w:t>
      </w:r>
    </w:p>
    <w:p w:rsidR="00A35CE0" w:rsidRDefault="00A35CE0" w:rsidP="00A35CE0">
      <w:pPr>
        <w:pStyle w:val="StandardWeb"/>
      </w:pPr>
      <w:r>
        <w:t>liegt eine Operationalisierung.</w:t>
      </w:r>
    </w:p>
    <w:p w:rsidR="00A35CE0" w:rsidRDefault="00A35CE0" w:rsidP="00A35CE0">
      <w:pPr>
        <w:pStyle w:val="StandardWeb"/>
      </w:pPr>
      <w:r>
        <w:t>Didaktisch kann die gesamte Kette so gelesen werden:</w:t>
      </w:r>
    </w:p>
    <w:p w:rsidR="00A35CE0" w:rsidRDefault="00A35CE0" w:rsidP="00A35CE0">
      <w:pPr>
        <w:pStyle w:val="StandardWeb"/>
      </w:pPr>
      <w:r>
        <w:rPr>
          <w:rStyle w:val="Fett"/>
        </w:rPr>
        <w:t>Rohdaten → Aufbereitung → Operationalisierung → Modell → Vorhersage → Vergleich mit Beobachtung.</w:t>
      </w:r>
    </w:p>
    <w:p w:rsidR="00A35CE0" w:rsidRDefault="00A35CE0" w:rsidP="00A35CE0">
      <w:pPr>
        <w:pStyle w:val="StandardWeb"/>
      </w:pPr>
      <w:r>
        <w:t>Jede Stufe kann Fehler oder Annahmen enthalten.</w:t>
      </w:r>
    </w:p>
    <w:p w:rsidR="00A35CE0" w:rsidRDefault="00A35CE0" w:rsidP="00A35CE0">
      <w:pPr>
        <w:pStyle w:val="StandardWeb"/>
      </w:pPr>
      <w:r>
        <w:t>Gerade deshalb ist es wissenschaftlich unzulässig, bei einer Abweichung sofort zu sagen:</w:t>
      </w:r>
    </w:p>
    <w:p w:rsidR="00A35CE0" w:rsidRDefault="00A35CE0" w:rsidP="00A35CE0">
      <w:pPr>
        <w:pStyle w:val="StandardWeb"/>
      </w:pPr>
      <w:r>
        <w:t>„Das FRZK ist falsch.“</w:t>
      </w:r>
    </w:p>
    <w:p w:rsidR="00A35CE0" w:rsidRDefault="00A35CE0" w:rsidP="00A35CE0">
      <w:pPr>
        <w:pStyle w:val="StandardWeb"/>
      </w:pPr>
      <w:r>
        <w:t>Zunächst muss gefragt werden, an welcher Stufe die Abweichung entstanden sein könnte.</w:t>
      </w:r>
    </w:p>
    <w:p w:rsidR="00A35CE0" w:rsidRDefault="00E50336" w:rsidP="00A35CE0">
      <w:r>
        <w:pict>
          <v:rect id="_x0000_i1051" style="width:0;height:1.5pt" o:hralign="center" o:hrstd="t" o:hr="t" fillcolor="#a0a0a0" stroked="f"/>
        </w:pict>
      </w:r>
    </w:p>
    <w:p w:rsidR="00C4040D" w:rsidRPr="00AF32B2" w:rsidRDefault="00C4040D" w:rsidP="00AF32B2">
      <w:pPr>
        <w:pStyle w:val="berschrift3"/>
      </w:pPr>
      <w:r w:rsidRPr="00AF32B2">
        <w:t>3.3.27 Prüfung der Skalen-, Einheiten- und Invarianzeigenschaften</w:t>
      </w:r>
    </w:p>
    <w:p w:rsidR="00C4040D" w:rsidRDefault="00C4040D" w:rsidP="00C4040D">
      <w:pPr>
        <w:pStyle w:val="StandardWeb"/>
      </w:pPr>
      <w:r>
        <w:t xml:space="preserve">Die empirische Anschlussstruktur aus Abschnitt 3.3.26 verbindet formale FRZK-Objekte mit beobachtbaren Daten. Dabei können dieselben empirischen Sachverhalte durch unterschiedliche Maßeinheiten, Koordinatensysteme, Kodierungen oder Skalierungen </w:t>
      </w:r>
      <w:r>
        <w:lastRenderedPageBreak/>
        <w:t>dargestellt werden. Eine Temperatur kann beispielsweise in Grad Celsius oder Kelvin angegeben, ein Abstand in Metern oder Zentimetern gemessen und eine kategoriale Eigenschaft durch unterschiedliche Symbolsysteme kodiert werden. Eine wissenschaftlich tragfähige Aussage darf nicht allein dadurch wahr oder falsch werden, dass ihre Darstellung auf zulässige Weise verändert wird [6, 58, 59, 71].</w:t>
      </w:r>
    </w:p>
    <w:p w:rsidR="00C4040D" w:rsidRDefault="00C4040D" w:rsidP="00C4040D">
      <w:pPr>
        <w:pStyle w:val="StandardWeb"/>
      </w:pPr>
      <w:r>
        <w:t>Ich muss deshalb zwischen einer Veränderung der Darstellung und einer Veränderung des dargestellten funktionalen Sachverhalts unterscheiden. Eine bloße Einheitenumrechnung verändert gewöhnlich nicht die zugrunde liegende Struktur. Eine nichtlineare Transformation kann dagegen Abstände, Verhältnisse oder Ordnungen verändern und dadurch auch die Bedeutung einer modellierten Aussage beeinflussen [58, 59, 75].</w:t>
      </w:r>
    </w:p>
    <w:p w:rsidR="00C4040D" w:rsidRDefault="00C4040D" w:rsidP="00C4040D">
      <w:pPr>
        <w:pStyle w:val="StandardWeb"/>
      </w:pPr>
      <w:r>
        <w:t>Der vorliegende Abschnitt untersucht daher:</w:t>
      </w:r>
    </w:p>
    <w:p w:rsidR="00C4040D" w:rsidRDefault="00C4040D" w:rsidP="00632D23">
      <w:pPr>
        <w:pStyle w:val="StandardWeb"/>
        <w:numPr>
          <w:ilvl w:val="0"/>
          <w:numId w:val="149"/>
        </w:numPr>
      </w:pPr>
      <w:r>
        <w:t>zulässige Skalen- und Koordinatentransformationen,</w:t>
      </w:r>
    </w:p>
    <w:p w:rsidR="00C4040D" w:rsidRDefault="00C4040D" w:rsidP="00632D23">
      <w:pPr>
        <w:pStyle w:val="StandardWeb"/>
        <w:numPr>
          <w:ilvl w:val="0"/>
          <w:numId w:val="149"/>
        </w:numPr>
      </w:pPr>
      <w:r>
        <w:t>Einheitenwechsel,</w:t>
      </w:r>
    </w:p>
    <w:p w:rsidR="00C4040D" w:rsidRDefault="00C4040D" w:rsidP="00632D23">
      <w:pPr>
        <w:pStyle w:val="StandardWeb"/>
        <w:numPr>
          <w:ilvl w:val="0"/>
          <w:numId w:val="149"/>
        </w:numPr>
      </w:pPr>
      <w:r>
        <w:t>strukturerhaltende Modellabbildungen,</w:t>
      </w:r>
    </w:p>
    <w:p w:rsidR="00C4040D" w:rsidRDefault="00C4040D" w:rsidP="00632D23">
      <w:pPr>
        <w:pStyle w:val="StandardWeb"/>
        <w:numPr>
          <w:ilvl w:val="0"/>
          <w:numId w:val="149"/>
        </w:numPr>
      </w:pPr>
      <w:r>
        <w:t>Invarianz und Kovarianz wissenschaftlicher Aussagen,</w:t>
      </w:r>
    </w:p>
    <w:p w:rsidR="00C4040D" w:rsidRDefault="00C4040D" w:rsidP="00632D23">
      <w:pPr>
        <w:pStyle w:val="StandardWeb"/>
        <w:numPr>
          <w:ilvl w:val="0"/>
          <w:numId w:val="149"/>
        </w:numPr>
      </w:pPr>
      <w:r>
        <w:t>Abhängigkeit empirischer Kennwerte von der verwendeten Skala,</w:t>
      </w:r>
    </w:p>
    <w:p w:rsidR="00C4040D" w:rsidRDefault="00C4040D" w:rsidP="00632D23">
      <w:pPr>
        <w:pStyle w:val="StandardWeb"/>
        <w:numPr>
          <w:ilvl w:val="0"/>
          <w:numId w:val="149"/>
        </w:numPr>
      </w:pPr>
      <w:r>
        <w:t>Anforderungen an skalenrobuste FRZK-Aussagen.</w:t>
      </w:r>
    </w:p>
    <w:p w:rsidR="00C4040D" w:rsidRDefault="00C4040D" w:rsidP="00C4040D">
      <w:pPr>
        <w:pStyle w:val="StandardWeb"/>
      </w:pPr>
      <w:r>
        <w:rPr>
          <w:rStyle w:val="Fett"/>
        </w:rPr>
        <w:t>Eigenleistung des FRZK</w:t>
      </w:r>
    </w:p>
    <w:p w:rsidR="00C4040D" w:rsidRDefault="00C4040D" w:rsidP="00C4040D">
      <w:pPr>
        <w:pStyle w:val="StandardWeb"/>
      </w:pPr>
      <w:r>
        <w:t>Ich führe ein formales Invarianzprüfsystem ein, mit dem jede FRZK-Aussage daraufhin untersucht werden kann, ob sie unter zulässigen Repräsentationswechseln erhalten bleibt. Dadurch trenne ich strukturelle Eigenschaften eines Modells von Eigenschaften, die nur aus einer bestimmten Kodierung, Einheit oder Koordinatenwahl entstehen.</w:t>
      </w:r>
    </w:p>
    <w:p w:rsidR="00C4040D" w:rsidRPr="00AF32B2" w:rsidRDefault="00C4040D" w:rsidP="00AF32B2">
      <w:pPr>
        <w:pStyle w:val="berschrift4"/>
      </w:pPr>
      <w:r w:rsidRPr="00AF32B2">
        <w:t>3.3.27.1 Repräsentationsräume</w:t>
      </w:r>
    </w:p>
    <w:p w:rsidR="00C4040D" w:rsidRDefault="00C4040D" w:rsidP="00C4040D">
      <w:pPr>
        <w:pStyle w:val="StandardWeb"/>
      </w:pPr>
      <w:r>
        <w:t>Sei</w:t>
      </w:r>
    </w:p>
    <w:p w:rsidR="00C4040D" w:rsidRDefault="00C4040D" w:rsidP="00C4040D">
      <w:pPr>
        <w:pStyle w:val="StandardWeb"/>
      </w:pPr>
      <w:r>
        <w:t>[</w:t>
      </w:r>
      <w:r>
        <w:br/>
        <w:t>\mathcal{Y}</w:t>
      </w:r>
      <w:r>
        <w:br/>
        <w:t>\tag{3.5116}</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\mathcal{Y}\qquad\text{(3.5116)}</w:t>
      </w:r>
    </w:p>
    <w:p w:rsidR="00C4040D" w:rsidRDefault="00C4040D" w:rsidP="00C4040D">
      <w:pPr>
        <w:pStyle w:val="StandardWeb"/>
      </w:pPr>
      <w:r>
        <w:t>der ursprüngliche Repräsentationsraum einer empirischen oder formalen Größe.</w:t>
      </w:r>
    </w:p>
    <w:p w:rsidR="00C4040D" w:rsidRDefault="00C4040D" w:rsidP="00C4040D">
      <w:pPr>
        <w:pStyle w:val="StandardWeb"/>
      </w:pPr>
      <w:r>
        <w:t>Ein alternativer Repräsentationsraum werde mit</w:t>
      </w:r>
    </w:p>
    <w:p w:rsidR="00C4040D" w:rsidRDefault="00C4040D" w:rsidP="00C4040D">
      <w:pPr>
        <w:pStyle w:val="StandardWeb"/>
      </w:pPr>
      <w:r>
        <w:t>[</w:t>
      </w:r>
      <w:r>
        <w:br/>
        <w:t>\mathcal{Y}^{\prime}</w:t>
      </w:r>
      <w:r>
        <w:br/>
        <w:t>\tag{3.5117}</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lastRenderedPageBreak/>
        <w:t>\mathcal{Y}^{\prime}\qquad\text{(3.5117)}</w:t>
      </w:r>
    </w:p>
    <w:p w:rsidR="00C4040D" w:rsidRDefault="00C4040D" w:rsidP="00C4040D">
      <w:pPr>
        <w:pStyle w:val="StandardWeb"/>
      </w:pPr>
      <w:r>
        <w:t>bezeichnet.</w:t>
      </w:r>
    </w:p>
    <w:p w:rsidR="00C4040D" w:rsidRDefault="00C4040D" w:rsidP="00C4040D">
      <w:pPr>
        <w:pStyle w:val="StandardWeb"/>
      </w:pPr>
      <w:r>
        <w:t>Eine Repräsentationstransformation lautet</w:t>
      </w:r>
    </w:p>
    <w:p w:rsidR="00C4040D" w:rsidRDefault="00C4040D" w:rsidP="00C4040D">
      <w:pPr>
        <w:pStyle w:val="StandardWeb"/>
      </w:pPr>
      <w:r>
        <w:t>[</w:t>
      </w:r>
      <w:r>
        <w:br/>
        <w:t>g:</w:t>
      </w:r>
      <w:r>
        <w:br/>
        <w:t>\mathcal{Y}</w:t>
      </w:r>
      <w:r>
        <w:br/>
        <w:t>\rightarrow</w:t>
      </w:r>
      <w:r>
        <w:br/>
        <w:t>\mathcal{Y}^{\prime}.</w:t>
      </w:r>
      <w:r>
        <w:br/>
        <w:t>\tag{3.5118}</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g:\mathcal{Y}\rightarrow\mathcal{Y}^{\prime}\qquad\text{(3.5118)}</w:t>
      </w:r>
    </w:p>
    <w:p w:rsidR="00C4040D" w:rsidRDefault="00C4040D" w:rsidP="00C4040D">
      <w:pPr>
        <w:pStyle w:val="StandardWeb"/>
      </w:pPr>
      <w:r>
        <w:t>Für einen Wert (y\in\mathcal{Y}) gilt</w:t>
      </w:r>
    </w:p>
    <w:p w:rsidR="00C4040D" w:rsidRDefault="00C4040D" w:rsidP="00C4040D">
      <w:pPr>
        <w:pStyle w:val="berschrift1"/>
      </w:pPr>
      <w:r>
        <w:t>[</w:t>
      </w:r>
      <w:r>
        <w:br/>
        <w:t>y^{\prime}</w:t>
      </w:r>
    </w:p>
    <w:p w:rsidR="00C4040D" w:rsidRDefault="00C4040D" w:rsidP="00C4040D">
      <w:pPr>
        <w:pStyle w:val="StandardWeb"/>
      </w:pPr>
      <w:r>
        <w:t>g(y).</w:t>
      </w:r>
      <w:r>
        <w:br/>
        <w:t>\tag{3.5119}</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y^{\prime}=g(y)\qquad\text{(3.5119)}</w:t>
      </w:r>
    </w:p>
    <w:p w:rsidR="00C4040D" w:rsidRDefault="00C4040D" w:rsidP="00C4040D">
      <w:pPr>
        <w:pStyle w:val="StandardWeb"/>
      </w:pPr>
      <w:r>
        <w:t>Die Transformation (g) kann einen Einheitenwechsel, eine Koordinatentransformation, eine Umkodierung oder eine mathematische Skalentransformation darstellen.</w:t>
      </w:r>
    </w:p>
    <w:p w:rsidR="00C4040D" w:rsidRPr="00AF32B2" w:rsidRDefault="00C4040D" w:rsidP="00AF32B2">
      <w:pPr>
        <w:pStyle w:val="berschrift4"/>
      </w:pPr>
      <w:r w:rsidRPr="00AF32B2">
        <w:t>3.3.27.2 Zulässige Transformationen</w:t>
      </w:r>
    </w:p>
    <w:p w:rsidR="00C4040D" w:rsidRDefault="00C4040D" w:rsidP="00C4040D">
      <w:pPr>
        <w:pStyle w:val="StandardWeb"/>
      </w:pPr>
      <w:r>
        <w:t>Die Menge der für eine bestimmte Größe zulässigen Repräsentationstransformationen bezeichne ich mit</w:t>
      </w:r>
    </w:p>
    <w:p w:rsidR="00C4040D" w:rsidRDefault="00C4040D" w:rsidP="00C4040D">
      <w:pPr>
        <w:pStyle w:val="StandardWeb"/>
      </w:pPr>
      <w:r>
        <w:t>[</w:t>
      </w:r>
      <w:r>
        <w:br/>
        <w:t>\mathfrak{G}_{\mathrm{zul}}.</w:t>
      </w:r>
      <w:r>
        <w:br/>
        <w:t>\tag{3.5120}</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\mathfrak{G}_{\mathrm{zul}}\qquad\text{(3.5120)}</w:t>
      </w:r>
    </w:p>
    <w:p w:rsidR="00C4040D" w:rsidRDefault="00C4040D" w:rsidP="00C4040D">
      <w:pPr>
        <w:pStyle w:val="StandardWeb"/>
      </w:pPr>
      <w:r>
        <w:t>Für jede zulässige Transformation gilt</w:t>
      </w:r>
    </w:p>
    <w:p w:rsidR="00C4040D" w:rsidRDefault="00C4040D" w:rsidP="00C4040D">
      <w:pPr>
        <w:pStyle w:val="StandardWeb"/>
      </w:pPr>
      <w:r>
        <w:lastRenderedPageBreak/>
        <w:t>[</w:t>
      </w:r>
      <w:r>
        <w:br/>
        <w:t>g</w:t>
      </w:r>
      <w:r>
        <w:br/>
        <w:t>\in</w:t>
      </w:r>
      <w:r>
        <w:br/>
        <w:t>\mathfrak{G}_{\mathrm{zul}}.</w:t>
      </w:r>
      <w:r>
        <w:br/>
        <w:t>\tag{3.5121}</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g\in\mathfrak{G}_{\mathrm{zul}}\qquad\text{(3.5121)}</w:t>
      </w:r>
    </w:p>
    <w:p w:rsidR="00C4040D" w:rsidRDefault="00C4040D" w:rsidP="00C4040D">
      <w:pPr>
        <w:pStyle w:val="StandardWeb"/>
      </w:pPr>
      <w:r>
        <w:t>Welche Transformationen zulässig sind, hängt vom Skalenniveau und von der Bedeutung der betrachteten Größe ab [58, 59].</w:t>
      </w:r>
    </w:p>
    <w:p w:rsidR="00C4040D" w:rsidRDefault="00C4040D" w:rsidP="00C4040D">
      <w:pPr>
        <w:pStyle w:val="StandardWeb"/>
      </w:pPr>
      <w:r>
        <w:t>Für eine Nominalskala können beliebige bijektive Umkodierungen zulässig sein:</w:t>
      </w:r>
    </w:p>
    <w:p w:rsidR="00C4040D" w:rsidRDefault="00C4040D" w:rsidP="00C4040D">
      <w:pPr>
        <w:pStyle w:val="StandardWeb"/>
      </w:pPr>
      <w:r>
        <w:t>[</w:t>
      </w:r>
      <w:r>
        <w:br/>
        <w:t>g:</w:t>
      </w:r>
      <w:r>
        <w:br/>
        <w:t>\mathcal{Y}</w:t>
      </w:r>
      <w:r>
        <w:br/>
        <w:t>\rightarrow</w:t>
      </w:r>
      <w:r>
        <w:br/>
        <w:t>\mathcal{Y}^{\prime}</w:t>
      </w:r>
      <w:r>
        <w:br/>
        <w:t>\quad</w:t>
      </w:r>
      <w:r>
        <w:br/>
        <w:t>\text{bijektiv}.</w:t>
      </w:r>
      <w:r>
        <w:br/>
        <w:t>\tag{3.5122}</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g:\mathcal{Y}\rightarrow\mathcal{Y}^{\prime}\quad\text{bijektiv}\qquad\text{(3.5122)}</w:t>
      </w:r>
    </w:p>
    <w:p w:rsidR="00C4040D" w:rsidRDefault="00C4040D" w:rsidP="00C4040D">
      <w:pPr>
        <w:pStyle w:val="StandardWeb"/>
      </w:pPr>
      <w:r>
        <w:t>Für eine Ordinalskala sind streng monoton wachsende Transformationen zulässig:</w:t>
      </w:r>
    </w:p>
    <w:p w:rsidR="00C4040D" w:rsidRDefault="00C4040D" w:rsidP="00C4040D">
      <w:pPr>
        <w:pStyle w:val="StandardWeb"/>
      </w:pPr>
      <w:r>
        <w:t>[</w:t>
      </w:r>
      <w:r>
        <w:br/>
        <w:t>y_i</w:t>
      </w:r>
      <w:r>
        <w:br/>
        <w:t>&lt;</w:t>
      </w:r>
      <w:r>
        <w:br/>
        <w:t>y_j</w:t>
      </w:r>
      <w:r>
        <w:br/>
        <w:t>\Rightarrow</w:t>
      </w:r>
      <w:r>
        <w:br/>
        <w:t>g(y_i)</w:t>
      </w:r>
      <w:r>
        <w:br/>
        <w:t>&lt;</w:t>
      </w:r>
      <w:r>
        <w:br/>
        <w:t>g(y_j).</w:t>
      </w:r>
      <w:r>
        <w:br/>
        <w:t>\tag{3.5123}</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y_i&lt;y_j\Rightarrow g(y_i)&lt;g(y_j)\qquad\text{(3.5123)}</w:t>
      </w:r>
    </w:p>
    <w:p w:rsidR="00C4040D" w:rsidRDefault="00C4040D" w:rsidP="00C4040D">
      <w:pPr>
        <w:pStyle w:val="StandardWeb"/>
      </w:pPr>
      <w:r>
        <w:t>Für eine Intervallskala gelten positive affine Transformationen:</w:t>
      </w:r>
    </w:p>
    <w:p w:rsidR="00C4040D" w:rsidRDefault="00C4040D" w:rsidP="00C4040D">
      <w:pPr>
        <w:pStyle w:val="berschrift1"/>
      </w:pPr>
      <w:r>
        <w:lastRenderedPageBreak/>
        <w:t>[</w:t>
      </w:r>
      <w:r>
        <w:br/>
        <w:t>g(y)</w:t>
      </w:r>
    </w:p>
    <w:p w:rsidR="00C4040D" w:rsidRDefault="00C4040D" w:rsidP="00C4040D">
      <w:pPr>
        <w:pStyle w:val="StandardWeb"/>
      </w:pPr>
      <w:r>
        <w:t>a y+b,</w:t>
      </w:r>
      <w:r>
        <w:br/>
        <w:t>\qquad</w:t>
      </w:r>
      <w:r>
        <w:br/>
        <w:t>a&gt;0.</w:t>
      </w:r>
      <w:r>
        <w:br/>
        <w:t>\tag{3.5124}</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g(y)=ay+b,\qquad a&gt;0\qquad\text{(3.5124)}</w:t>
      </w:r>
    </w:p>
    <w:p w:rsidR="00C4040D" w:rsidRDefault="00C4040D" w:rsidP="00C4040D">
      <w:pPr>
        <w:pStyle w:val="StandardWeb"/>
      </w:pPr>
      <w:r>
        <w:t>Für eine Verhältnisskala sind positive Ähnlichkeitstransformationen zulässig:</w:t>
      </w:r>
    </w:p>
    <w:p w:rsidR="00C4040D" w:rsidRDefault="00C4040D" w:rsidP="00C4040D">
      <w:pPr>
        <w:pStyle w:val="berschrift1"/>
      </w:pPr>
      <w:r>
        <w:t>[</w:t>
      </w:r>
      <w:r>
        <w:br/>
        <w:t>g(y)</w:t>
      </w:r>
    </w:p>
    <w:p w:rsidR="00C4040D" w:rsidRDefault="00C4040D" w:rsidP="00C4040D">
      <w:pPr>
        <w:pStyle w:val="StandardWeb"/>
      </w:pPr>
      <w:r>
        <w:t>a y,</w:t>
      </w:r>
      <w:r>
        <w:br/>
        <w:t>\qquad</w:t>
      </w:r>
      <w:r>
        <w:br/>
        <w:t>a&gt;0.</w:t>
      </w:r>
      <w:r>
        <w:br/>
        <w:t>\tag{3.5125}</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g(y)=ay,\qquad a&gt;0\qquad\text{(3.5125)}</w:t>
      </w:r>
    </w:p>
    <w:p w:rsidR="00C4040D" w:rsidRPr="00AF32B2" w:rsidRDefault="00C4040D" w:rsidP="00AF32B2">
      <w:pPr>
        <w:pStyle w:val="berschrift4"/>
      </w:pPr>
      <w:r w:rsidRPr="00AF32B2">
        <w:t>3.3.27.3 Definition des FRZK-Invarianzsystems</w:t>
      </w:r>
    </w:p>
    <w:p w:rsidR="00C4040D" w:rsidRDefault="00C4040D" w:rsidP="00C4040D">
      <w:pPr>
        <w:pStyle w:val="StandardWeb"/>
      </w:pPr>
      <w:r>
        <w:rPr>
          <w:rStyle w:val="Fett"/>
        </w:rPr>
        <w:t>Definition 3.3.19 – FRZK-Invarianzsystem</w:t>
      </w:r>
    </w:p>
    <w:p w:rsidR="00C4040D" w:rsidRDefault="00C4040D" w:rsidP="00C4040D">
      <w:pPr>
        <w:pStyle w:val="StandardWeb"/>
      </w:pPr>
      <w:r>
        <w:t>Ein FRZK-Invarianzsystem ist das geordnete Tupel</w:t>
      </w:r>
    </w:p>
    <w:p w:rsidR="00C4040D" w:rsidRDefault="00C4040D" w:rsidP="00C4040D">
      <w:pPr>
        <w:pStyle w:val="berschrift1"/>
      </w:pPr>
      <w:r>
        <w:t>[</w:t>
      </w:r>
      <w:r>
        <w:br/>
        <w:t>\mathfrak{I}_{F}</w:t>
      </w:r>
    </w:p>
    <w:p w:rsidR="00C4040D" w:rsidRDefault="00C4040D" w:rsidP="00C4040D">
      <w:pPr>
        <w:pStyle w:val="StandardWeb"/>
      </w:pPr>
      <w:r>
        <w:t>\left(</w:t>
      </w:r>
      <w:r>
        <w:br/>
        <w:t>\mathcal{Y},</w:t>
      </w:r>
      <w:r>
        <w:br/>
        <w:t>\mathfrak{G}</w:t>
      </w:r>
      <w:r>
        <w:rPr>
          <w:rStyle w:val="Hervorhebung"/>
        </w:rPr>
        <w:t>{\mathrm{zul}},</w:t>
      </w:r>
      <w:r>
        <w:rPr>
          <w:i/>
          <w:iCs/>
        </w:rPr>
        <w:br/>
      </w:r>
      <w:r>
        <w:rPr>
          <w:rStyle w:val="Hervorhebung"/>
        </w:rPr>
        <w:t>\mathcal{P}</w:t>
      </w:r>
      <w:r>
        <w:t>{F},</w:t>
      </w:r>
      <w:r>
        <w:br/>
        <w:t>\operatorname{Inv}_{F}</w:t>
      </w:r>
      <w:r>
        <w:br/>
        <w:t>\right).</w:t>
      </w:r>
      <w:r>
        <w:br/>
        <w:t>\tag{3.5126}</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lastRenderedPageBreak/>
        <w:t>\mathfrak{I}_{F}=\left(\mathcal{Y},\mathfrak{G}_{\mathrm{zul}},\mathcal{P}_{F},\operatorname{Inv}_{F}\right)\qquad\text{(3.5126)}</w:t>
      </w:r>
    </w:p>
    <w:p w:rsidR="00C4040D" w:rsidRDefault="00C4040D" w:rsidP="00C4040D">
      <w:pPr>
        <w:pStyle w:val="StandardWeb"/>
      </w:pPr>
      <w:r>
        <w:t>Dabei bezeichnet:</w:t>
      </w:r>
    </w:p>
    <w:p w:rsidR="00C4040D" w:rsidRDefault="00C4040D" w:rsidP="00632D23">
      <w:pPr>
        <w:pStyle w:val="StandardWeb"/>
        <w:numPr>
          <w:ilvl w:val="0"/>
          <w:numId w:val="150"/>
        </w:numPr>
      </w:pPr>
      <w:r>
        <w:t>(\mathcal{Y}) den Repräsentationsraum,</w:t>
      </w:r>
    </w:p>
    <w:p w:rsidR="00C4040D" w:rsidRDefault="00C4040D" w:rsidP="00632D23">
      <w:pPr>
        <w:pStyle w:val="StandardWeb"/>
        <w:numPr>
          <w:ilvl w:val="0"/>
          <w:numId w:val="150"/>
        </w:numPr>
      </w:pPr>
      <w:r>
        <w:t>(\mathfrak{G}_{\mathrm{zul}}) die Menge zulässiger Transformationen,</w:t>
      </w:r>
    </w:p>
    <w:p w:rsidR="00C4040D" w:rsidRDefault="00C4040D" w:rsidP="00632D23">
      <w:pPr>
        <w:pStyle w:val="StandardWeb"/>
        <w:numPr>
          <w:ilvl w:val="0"/>
          <w:numId w:val="150"/>
        </w:numPr>
      </w:pPr>
      <w:r>
        <w:t>(\mathcal{P}_{F}) die Menge zu prüfender FRZK-Aussagen oder Größen,</w:t>
      </w:r>
    </w:p>
    <w:p w:rsidR="00C4040D" w:rsidRDefault="00C4040D" w:rsidP="00632D23">
      <w:pPr>
        <w:pStyle w:val="StandardWeb"/>
        <w:numPr>
          <w:ilvl w:val="0"/>
          <w:numId w:val="150"/>
        </w:numPr>
      </w:pPr>
      <w:r>
        <w:t>(\operatorname{Inv}_{F}) das Invarianzprädikat.</w:t>
      </w:r>
    </w:p>
    <w:p w:rsidR="00C4040D" w:rsidRDefault="00C4040D" w:rsidP="00C4040D">
      <w:pPr>
        <w:pStyle w:val="StandardWeb"/>
      </w:pPr>
      <w:r>
        <w:t>Das Invarianzprädikat lautet</w:t>
      </w:r>
    </w:p>
    <w:p w:rsidR="00C4040D" w:rsidRDefault="00C4040D" w:rsidP="00C4040D">
      <w:pPr>
        <w:pStyle w:val="StandardWeb"/>
      </w:pPr>
      <w:r>
        <w:t>[</w:t>
      </w:r>
      <w:r>
        <w:br/>
        <w:t>\operatorname{Inv}</w:t>
      </w:r>
      <w:r>
        <w:rPr>
          <w:rStyle w:val="Hervorhebung"/>
        </w:rPr>
        <w:t>{F}:</w:t>
      </w:r>
      <w:r>
        <w:rPr>
          <w:i/>
          <w:iCs/>
        </w:rPr>
        <w:br/>
      </w:r>
      <w:r>
        <w:rPr>
          <w:rStyle w:val="Hervorhebung"/>
        </w:rPr>
        <w:t>\mathcal{P}</w:t>
      </w:r>
      <w:r>
        <w:t>{F}</w:t>
      </w:r>
      <w:r>
        <w:br/>
        <w:t>\times</w:t>
      </w:r>
      <w:r>
        <w:br/>
        <w:t>\mathfrak{G}_{\mathrm{zul}}</w:t>
      </w:r>
      <w:r>
        <w:br/>
        <w:t>\rightarrow</w:t>
      </w:r>
      <w:r>
        <w:br/>
        <w:t>{0,1}.</w:t>
      </w:r>
      <w:r>
        <w:br/>
        <w:t>\tag{3.5127}</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\operatorname{Inv}_{F}:\mathcal{P}_{F}\times\mathfrak{G}_{\mathrm{zul}}\rightarrow\{0,1\}\qquad\text{(3.5127)}</w:t>
      </w:r>
    </w:p>
    <w:p w:rsidR="00C4040D" w:rsidRDefault="00C4040D" w:rsidP="00C4040D">
      <w:pPr>
        <w:pStyle w:val="StandardWeb"/>
      </w:pPr>
      <w:r>
        <w:t>Für eine Aussage (P) und eine zulässige Transformation (g) gilt</w:t>
      </w:r>
    </w:p>
    <w:p w:rsidR="00C4040D" w:rsidRDefault="00C4040D" w:rsidP="00C4040D">
      <w:pPr>
        <w:pStyle w:val="berschrift1"/>
      </w:pPr>
      <w:r>
        <w:t>[</w:t>
      </w:r>
      <w:r>
        <w:br/>
        <w:t>\operatorname{Inv}_{F}(P,g)</w:t>
      </w:r>
    </w:p>
    <w:p w:rsidR="00C4040D" w:rsidRDefault="00C4040D" w:rsidP="00C4040D">
      <w:pPr>
        <w:pStyle w:val="StandardWeb"/>
      </w:pPr>
      <w:r>
        <w:t>1,</w:t>
      </w:r>
      <w:r>
        <w:br/>
        <w:t>\tag{3.5128}</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\operatorname{Inv}_{F}(P,g)=1\qquad\text{(3.5128)}</w:t>
      </w:r>
    </w:p>
    <w:p w:rsidR="00C4040D" w:rsidRDefault="00C4040D" w:rsidP="00C4040D">
      <w:pPr>
        <w:pStyle w:val="StandardWeb"/>
      </w:pPr>
      <w:r>
        <w:t>wenn der wissenschaftliche Gehalt von (P) unter (g) erhalten bleibt.</w:t>
      </w:r>
    </w:p>
    <w:p w:rsidR="00C4040D" w:rsidRPr="00AF32B2" w:rsidRDefault="00C4040D" w:rsidP="00AF32B2">
      <w:pPr>
        <w:pStyle w:val="berschrift4"/>
      </w:pPr>
      <w:r w:rsidRPr="00AF32B2">
        <w:t>3.3.27.4 Strikte Invarianz</w:t>
      </w:r>
    </w:p>
    <w:p w:rsidR="00C4040D" w:rsidRDefault="00C4040D" w:rsidP="00C4040D">
      <w:pPr>
        <w:pStyle w:val="StandardWeb"/>
      </w:pPr>
      <w:r>
        <w:t>Eine Aussage (P) heißt strikt invariant unter (g), wenn</w:t>
      </w:r>
    </w:p>
    <w:p w:rsidR="00C4040D" w:rsidRDefault="00C4040D" w:rsidP="00C4040D">
      <w:pPr>
        <w:pStyle w:val="berschrift1"/>
      </w:pPr>
      <w:r>
        <w:t>[</w:t>
      </w:r>
      <w:r>
        <w:br/>
        <w:t>P(y)</w:t>
      </w:r>
    </w:p>
    <w:p w:rsidR="00C4040D" w:rsidRDefault="00C4040D" w:rsidP="00C4040D">
      <w:pPr>
        <w:pStyle w:val="StandardWeb"/>
      </w:pPr>
      <w:r>
        <w:lastRenderedPageBreak/>
        <w:t>P</w:t>
      </w:r>
      <w:r>
        <w:br/>
        <w:t>\left(</w:t>
      </w:r>
      <w:r>
        <w:br/>
        <w:t>g(y)</w:t>
      </w:r>
      <w:r>
        <w:br/>
        <w:t>\right).</w:t>
      </w:r>
      <w:r>
        <w:br/>
        <w:t>\tag{3.5129}</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P(y)=P\left(g(y)\right)\qquad\text{(3.5129)}</w:t>
      </w:r>
    </w:p>
    <w:p w:rsidR="00C4040D" w:rsidRDefault="00C4040D" w:rsidP="00C4040D">
      <w:pPr>
        <w:pStyle w:val="StandardWeb"/>
      </w:pPr>
      <w:r>
        <w:t>Für eine Transformationsmenge (\mathfrak{G}_{\mathrm{zul}}) gilt vollständige Invarianz, wenn</w:t>
      </w:r>
    </w:p>
    <w:p w:rsidR="00C4040D" w:rsidRDefault="00C4040D" w:rsidP="00C4040D">
      <w:pPr>
        <w:pStyle w:val="berschrift1"/>
      </w:pPr>
      <w:r>
        <w:t>[</w:t>
      </w:r>
      <w:r>
        <w:br/>
        <w:t>\forall</w:t>
      </w:r>
      <w:r>
        <w:br/>
        <w:t>g</w:t>
      </w:r>
      <w:r>
        <w:br/>
        <w:t>\in</w:t>
      </w:r>
      <w:r>
        <w:br/>
        <w:t>\mathfrak{G}_{\mathrm{zul}}:</w:t>
      </w:r>
      <w:r>
        <w:br/>
        <w:t>P(y)</w:t>
      </w:r>
    </w:p>
    <w:p w:rsidR="00C4040D" w:rsidRDefault="00C4040D" w:rsidP="00C4040D">
      <w:pPr>
        <w:pStyle w:val="StandardWeb"/>
      </w:pPr>
      <w:r>
        <w:t>P</w:t>
      </w:r>
      <w:r>
        <w:br/>
        <w:t>\left(</w:t>
      </w:r>
      <w:r>
        <w:br/>
        <w:t>g(y)</w:t>
      </w:r>
      <w:r>
        <w:br/>
        <w:t>\right).</w:t>
      </w:r>
      <w:r>
        <w:br/>
        <w:t>\tag{3.5130}</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\forall g\in\mathfrak{G}_{\mathrm{zul}}:P(y)=P\left(g(y)\right)\qquad\text{(3.5130)}</w:t>
      </w:r>
    </w:p>
    <w:p w:rsidR="00C4040D" w:rsidRDefault="00C4040D" w:rsidP="00C4040D">
      <w:pPr>
        <w:pStyle w:val="StandardWeb"/>
      </w:pPr>
      <w:r>
        <w:t>Eine solche Aussage ist unabhängig von der konkreten Repräsentation innerhalb der zulässigen Transformationsklasse.</w:t>
      </w:r>
    </w:p>
    <w:p w:rsidR="00C4040D" w:rsidRPr="00AF32B2" w:rsidRDefault="00C4040D" w:rsidP="00AF32B2">
      <w:pPr>
        <w:pStyle w:val="berschrift4"/>
      </w:pPr>
      <w:r w:rsidRPr="00AF32B2">
        <w:t>3.3.27.5 Kovarianz</w:t>
      </w:r>
    </w:p>
    <w:p w:rsidR="00C4040D" w:rsidRDefault="00C4040D" w:rsidP="00C4040D">
      <w:pPr>
        <w:pStyle w:val="StandardWeb"/>
      </w:pPr>
      <w:r>
        <w:t>Nicht jede wissenschaftlich zulässige Größe muss numerisch unverändert bleiben. Eine Größe kann sich nach einer bekannten Transformationsregel verändern.</w:t>
      </w:r>
    </w:p>
    <w:p w:rsidR="00C4040D" w:rsidRDefault="00C4040D" w:rsidP="00C4040D">
      <w:pPr>
        <w:pStyle w:val="StandardWeb"/>
      </w:pPr>
      <w:r>
        <w:t>Eine kovariante Größe erfüllt</w:t>
      </w:r>
    </w:p>
    <w:p w:rsidR="00C4040D" w:rsidRDefault="00C4040D" w:rsidP="00C4040D">
      <w:pPr>
        <w:pStyle w:val="berschrift1"/>
      </w:pPr>
      <w:r>
        <w:t>[</w:t>
      </w:r>
      <w:r>
        <w:br/>
        <w:t>Q^{\prime}</w:t>
      </w:r>
      <w:r>
        <w:br/>
      </w:r>
      <w:r>
        <w:lastRenderedPageBreak/>
        <w:t>\left(</w:t>
      </w:r>
      <w:r>
        <w:br/>
        <w:t>g(y)</w:t>
      </w:r>
      <w:r>
        <w:br/>
        <w:t>\right)</w:t>
      </w:r>
    </w:p>
    <w:p w:rsidR="00C4040D" w:rsidRDefault="00C4040D" w:rsidP="00C4040D">
      <w:pPr>
        <w:pStyle w:val="StandardWeb"/>
      </w:pPr>
      <w:r>
        <w:t>\Gamma_g</w:t>
      </w:r>
      <w:r>
        <w:br/>
        <w:t>\left(</w:t>
      </w:r>
      <w:r>
        <w:br/>
        <w:t>Q(y)</w:t>
      </w:r>
      <w:r>
        <w:br/>
        <w:t>\right),</w:t>
      </w:r>
      <w:r>
        <w:br/>
        <w:t>\tag{3.5131}</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Q^{\prime}\left(g(y)\right)=\Gamma_g\left(Q(y)\right)\qquad\text{(3.5131)}</w:t>
      </w:r>
    </w:p>
    <w:p w:rsidR="00C4040D" w:rsidRDefault="00C4040D" w:rsidP="00C4040D">
      <w:pPr>
        <w:pStyle w:val="StandardWeb"/>
      </w:pPr>
      <w:r>
        <w:t>wobei (\Gamma_g) die zu (g) gehörende Transformationsregel im Zielraum bezeichnet.</w:t>
      </w:r>
    </w:p>
    <w:p w:rsidR="00C4040D" w:rsidRDefault="00C4040D" w:rsidP="00C4040D">
      <w:pPr>
        <w:pStyle w:val="StandardWeb"/>
      </w:pPr>
      <w:r>
        <w:t>Die Kovarianzbedingung lautet</w:t>
      </w:r>
    </w:p>
    <w:p w:rsidR="00C4040D" w:rsidRDefault="00C4040D" w:rsidP="00C4040D">
      <w:pPr>
        <w:pStyle w:val="berschrift1"/>
      </w:pPr>
      <w:r>
        <w:t>[</w:t>
      </w:r>
      <w:r>
        <w:br/>
        <w:t>Q^{\prime}</w:t>
      </w:r>
      <w:r>
        <w:br/>
        <w:t>\circ</w:t>
      </w:r>
      <w:r>
        <w:br/>
        <w:t>g</w:t>
      </w:r>
    </w:p>
    <w:p w:rsidR="00C4040D" w:rsidRDefault="00C4040D" w:rsidP="00C4040D">
      <w:pPr>
        <w:pStyle w:val="StandardWeb"/>
      </w:pPr>
      <w:r>
        <w:t>\Gamma_g</w:t>
      </w:r>
      <w:r>
        <w:br/>
        <w:t>\circ</w:t>
      </w:r>
      <w:r>
        <w:br/>
        <w:t>Q.</w:t>
      </w:r>
      <w:r>
        <w:br/>
        <w:t>\tag{3.5132}</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Q^{\prime}\circ g=\Gamma_g\circ Q\qquad\text{(3.5132)}</w:t>
      </w:r>
    </w:p>
    <w:p w:rsidR="00C4040D" w:rsidRDefault="00C4040D" w:rsidP="00C4040D">
      <w:pPr>
        <w:pStyle w:val="StandardWeb"/>
      </w:pPr>
      <w:r>
        <w:rPr>
          <w:rStyle w:val="Fett"/>
        </w:rPr>
        <w:t>Eigenleistung des FRZK</w:t>
      </w:r>
    </w:p>
    <w:p w:rsidR="00C4040D" w:rsidRDefault="00C4040D" w:rsidP="00C4040D">
      <w:pPr>
        <w:pStyle w:val="StandardWeb"/>
      </w:pPr>
      <w:r>
        <w:t>Ich unterscheide strikte Invarianz von Kovarianz. Eine Größe muss nicht denselben Zahlenwert behalten, sofern ihre Veränderung vollständig durch eine bekannte Repräsentationstransformation erklärt wird.</w:t>
      </w:r>
    </w:p>
    <w:p w:rsidR="00C4040D" w:rsidRPr="00AF32B2" w:rsidRDefault="00C4040D" w:rsidP="00AF32B2">
      <w:pPr>
        <w:pStyle w:val="berschrift4"/>
      </w:pPr>
      <w:r w:rsidRPr="00AF32B2">
        <w:t>3.3.27.6 Einheitenwechsel</w:t>
      </w:r>
    </w:p>
    <w:p w:rsidR="00C4040D" w:rsidRDefault="00C4040D" w:rsidP="00C4040D">
      <w:pPr>
        <w:pStyle w:val="StandardWeb"/>
      </w:pPr>
      <w:r>
        <w:t>Ein Einheitenwechsel einer verhältnisskalierten Größe besitzt die Form</w:t>
      </w:r>
    </w:p>
    <w:p w:rsidR="00C4040D" w:rsidRDefault="00C4040D" w:rsidP="00C4040D">
      <w:pPr>
        <w:pStyle w:val="berschrift1"/>
      </w:pPr>
      <w:r>
        <w:lastRenderedPageBreak/>
        <w:t>[</w:t>
      </w:r>
      <w:r>
        <w:br/>
        <w:t>y^{\prime}</w:t>
      </w:r>
    </w:p>
    <w:p w:rsidR="00C4040D" w:rsidRDefault="00C4040D" w:rsidP="00C4040D">
      <w:pPr>
        <w:pStyle w:val="StandardWeb"/>
      </w:pPr>
      <w:r>
        <w:t>a y,</w:t>
      </w:r>
      <w:r>
        <w:br/>
        <w:t>\qquad</w:t>
      </w:r>
      <w:r>
        <w:br/>
        <w:t>a&gt;0.</w:t>
      </w:r>
      <w:r>
        <w:br/>
        <w:t>\tag{3.5133}</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y^{\prime}=ay,\qquad a&gt;0\qquad\text{(3.5133)}</w:t>
      </w:r>
    </w:p>
    <w:p w:rsidR="00C4040D" w:rsidRDefault="00C4040D" w:rsidP="00C4040D">
      <w:pPr>
        <w:pStyle w:val="StandardWeb"/>
      </w:pPr>
      <w:r>
        <w:t>Wird beispielsweise eine Länge von Metern in Zentimeter umgerechnet, gilt</w:t>
      </w:r>
    </w:p>
    <w:p w:rsidR="00C4040D" w:rsidRDefault="00C4040D" w:rsidP="00C4040D">
      <w:pPr>
        <w:pStyle w:val="berschrift1"/>
      </w:pPr>
      <w:r>
        <w:t>[</w:t>
      </w:r>
      <w:r>
        <w:br/>
        <w:t>a</w:t>
      </w:r>
    </w:p>
    <w:p w:rsidR="00C4040D" w:rsidRDefault="00C4040D" w:rsidP="00632D23">
      <w:pPr>
        <w:numPr>
          <w:ilvl w:val="0"/>
          <w:numId w:val="151"/>
        </w:numPr>
        <w:spacing w:before="100" w:beforeAutospacing="1" w:after="100" w:afterAutospacing="1"/>
      </w:pPr>
    </w:p>
    <w:p w:rsidR="00C4040D" w:rsidRDefault="00C4040D" w:rsidP="00C4040D">
      <w:pPr>
        <w:pStyle w:val="StandardWeb"/>
      </w:pPr>
      <w:r>
        <w:t>\tag{3.5134}</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a=100\qquad\text{(3.5134)}</w:t>
      </w:r>
    </w:p>
    <w:p w:rsidR="00C4040D" w:rsidRDefault="00C4040D" w:rsidP="00C4040D">
      <w:pPr>
        <w:pStyle w:val="StandardWeb"/>
      </w:pPr>
      <w:r>
        <w:t>Ein Verhältnis zweier gleichartig skalierter Größen bleibt invariant:</w:t>
      </w:r>
    </w:p>
    <w:p w:rsidR="00C4040D" w:rsidRDefault="00C4040D" w:rsidP="00C4040D">
      <w:pPr>
        <w:pStyle w:val="berschrift1"/>
      </w:pPr>
      <w:r>
        <w:t>[</w:t>
      </w:r>
      <w:r>
        <w:br/>
        <w:t>\frac{y_i^{\prime}}{y_j^{\prime}}</w:t>
      </w:r>
    </w:p>
    <w:p w:rsidR="00C4040D" w:rsidRDefault="00C4040D" w:rsidP="00C4040D">
      <w:pPr>
        <w:pStyle w:val="berschrift1"/>
      </w:pPr>
      <w:r>
        <w:t>\frac{a y_i}{a y_j}</w:t>
      </w:r>
    </w:p>
    <w:p w:rsidR="00C4040D" w:rsidRDefault="00C4040D" w:rsidP="00C4040D">
      <w:pPr>
        <w:pStyle w:val="StandardWeb"/>
      </w:pPr>
      <w:r>
        <w:t>\frac{y_i}{y_j}.</w:t>
      </w:r>
      <w:r>
        <w:br/>
        <w:t>\tag{3.5135}</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\frac{y_i^{\prime}}{y_j^{\prime}}=\frac{ay_i}{ay_j}=\frac{y_i}{y_j}\qquad\text{(3.5135)}</w:t>
      </w:r>
    </w:p>
    <w:p w:rsidR="00C4040D" w:rsidRDefault="00C4040D" w:rsidP="00C4040D">
      <w:pPr>
        <w:pStyle w:val="StandardWeb"/>
      </w:pPr>
      <w:r>
        <w:t>Eine absolute Differenz ist dagegen nicht strikt invariant:</w:t>
      </w:r>
    </w:p>
    <w:p w:rsidR="00C4040D" w:rsidRDefault="00C4040D" w:rsidP="00C4040D">
      <w:pPr>
        <w:pStyle w:val="berschrift2"/>
      </w:pPr>
      <w:r>
        <w:lastRenderedPageBreak/>
        <w:t>[</w:t>
      </w:r>
      <w:r>
        <w:br/>
        <w:t>y_i^{\prime}</w:t>
      </w:r>
    </w:p>
    <w:p w:rsidR="00C4040D" w:rsidRDefault="00C4040D" w:rsidP="00C4040D">
      <w:pPr>
        <w:pStyle w:val="berschrift1"/>
      </w:pPr>
      <w:r>
        <w:t>y_j^{\prime}</w:t>
      </w:r>
    </w:p>
    <w:p w:rsidR="00C4040D" w:rsidRDefault="00C4040D" w:rsidP="00C4040D">
      <w:pPr>
        <w:pStyle w:val="StandardWeb"/>
      </w:pPr>
      <w:r>
        <w:t>a</w:t>
      </w:r>
      <w:r>
        <w:br/>
        <w:t>\left(</w:t>
      </w:r>
      <w:r>
        <w:br/>
        <w:t>y_i-y_j</w:t>
      </w:r>
      <w:r>
        <w:br/>
        <w:t>\right).</w:t>
      </w:r>
      <w:r>
        <w:br/>
        <w:t>\tag{3.5136}</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y_i^{\prime}-y_j^{\prime}=a\left(y_i-y_j\right)\qquad\text{(3.5136)}</w:t>
      </w:r>
    </w:p>
    <w:p w:rsidR="00C4040D" w:rsidRDefault="00C4040D" w:rsidP="00C4040D">
      <w:pPr>
        <w:pStyle w:val="StandardWeb"/>
      </w:pPr>
      <w:r>
        <w:t>Sie ist jedoch kovariant.</w:t>
      </w:r>
    </w:p>
    <w:p w:rsidR="00C4040D" w:rsidRPr="00AF32B2" w:rsidRDefault="00C4040D" w:rsidP="00AF32B2">
      <w:pPr>
        <w:pStyle w:val="berschrift4"/>
      </w:pPr>
      <w:r w:rsidRPr="00AF32B2">
        <w:t>3.3.27.7 Intervallskalentransformationen</w:t>
      </w:r>
    </w:p>
    <w:p w:rsidR="00C4040D" w:rsidRDefault="00C4040D" w:rsidP="00C4040D">
      <w:pPr>
        <w:pStyle w:val="StandardWeb"/>
      </w:pPr>
      <w:r>
        <w:t>Für eine Intervallskalentransformation gilt</w:t>
      </w:r>
    </w:p>
    <w:p w:rsidR="00C4040D" w:rsidRDefault="00C4040D" w:rsidP="00C4040D">
      <w:pPr>
        <w:pStyle w:val="berschrift1"/>
      </w:pPr>
      <w:r>
        <w:t>[</w:t>
      </w:r>
      <w:r>
        <w:br/>
        <w:t>y^{\prime}</w:t>
      </w:r>
    </w:p>
    <w:p w:rsidR="00C4040D" w:rsidRDefault="00C4040D" w:rsidP="00C4040D">
      <w:pPr>
        <w:pStyle w:val="StandardWeb"/>
      </w:pPr>
      <w:r>
        <w:t>a y+b,</w:t>
      </w:r>
      <w:r>
        <w:br/>
        <w:t>\qquad</w:t>
      </w:r>
      <w:r>
        <w:br/>
        <w:t>a&gt;0.</w:t>
      </w:r>
      <w:r>
        <w:br/>
        <w:t>\tag{3.5137}</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y^{\prime}=ay+b,\qquad a&gt;0\qquad\text{(3.5137)}</w:t>
      </w:r>
    </w:p>
    <w:p w:rsidR="00C4040D" w:rsidRDefault="00C4040D" w:rsidP="00C4040D">
      <w:pPr>
        <w:pStyle w:val="StandardWeb"/>
      </w:pPr>
      <w:r>
        <w:t>Eine Differenz transformiert sich zu</w:t>
      </w:r>
    </w:p>
    <w:p w:rsidR="00C4040D" w:rsidRDefault="00C4040D" w:rsidP="00C4040D">
      <w:pPr>
        <w:pStyle w:val="berschrift2"/>
      </w:pPr>
      <w:r>
        <w:t>[</w:t>
      </w:r>
      <w:r>
        <w:br/>
        <w:t>y_i^{\prime}</w:t>
      </w:r>
    </w:p>
    <w:p w:rsidR="00C4040D" w:rsidRDefault="00C4040D" w:rsidP="00C4040D">
      <w:pPr>
        <w:pStyle w:val="berschrift1"/>
      </w:pPr>
      <w:r>
        <w:t>y_j^{\prime}</w:t>
      </w:r>
    </w:p>
    <w:p w:rsidR="00C4040D" w:rsidRDefault="00C4040D" w:rsidP="00C4040D">
      <w:pPr>
        <w:pStyle w:val="StandardWeb"/>
      </w:pPr>
      <w:r>
        <w:t>a</w:t>
      </w:r>
      <w:r>
        <w:br/>
        <w:t>\left(</w:t>
      </w:r>
      <w:r>
        <w:br/>
        <w:t>y_i-y_j</w:t>
      </w:r>
      <w:r>
        <w:br/>
        <w:t>\right).</w:t>
      </w:r>
      <w:r>
        <w:br/>
      </w:r>
      <w:r>
        <w:lastRenderedPageBreak/>
        <w:t>\tag{3.5138}</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y_i^{\prime}-y_j^{\prime}=a\left(y_i-y_j\right)\qquad\text{(3.5138)}</w:t>
      </w:r>
    </w:p>
    <w:p w:rsidR="00C4040D" w:rsidRDefault="00C4040D" w:rsidP="00C4040D">
      <w:pPr>
        <w:pStyle w:val="StandardWeb"/>
      </w:pPr>
      <w:r>
        <w:t>Die Ordnung bleibt erhalten:</w:t>
      </w:r>
    </w:p>
    <w:p w:rsidR="00C4040D" w:rsidRDefault="00C4040D" w:rsidP="00C4040D">
      <w:pPr>
        <w:pStyle w:val="StandardWeb"/>
      </w:pPr>
      <w:r>
        <w:t>[</w:t>
      </w:r>
      <w:r>
        <w:br/>
        <w:t>y_i</w:t>
      </w:r>
      <w:r>
        <w:br/>
        <w:t>&lt;</w:t>
      </w:r>
      <w:r>
        <w:br/>
        <w:t>y_j</w:t>
      </w:r>
      <w:r>
        <w:br/>
        <w:t>\Rightarrow</w:t>
      </w:r>
      <w:r>
        <w:br/>
        <w:t>y_i^{\prime}</w:t>
      </w:r>
      <w:r>
        <w:br/>
        <w:t>&lt;</w:t>
      </w:r>
      <w:r>
        <w:br/>
        <w:t>y_j^{\prime}.</w:t>
      </w:r>
      <w:r>
        <w:br/>
        <w:t>\tag{3.5139}</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y_i&lt;y_j\Rightarrow y_i^{\prime}&lt;y_j^{\prime}\qquad\text{(3.5139)}</w:t>
      </w:r>
    </w:p>
    <w:p w:rsidR="00C4040D" w:rsidRDefault="00C4040D" w:rsidP="00C4040D">
      <w:pPr>
        <w:pStyle w:val="StandardWeb"/>
      </w:pPr>
      <w:r>
        <w:t>Das Verhältnis zweier Werte ist dagegen im Allgemeinen nicht invariant:</w:t>
      </w:r>
    </w:p>
    <w:p w:rsidR="00C4040D" w:rsidRDefault="00C4040D" w:rsidP="00C4040D">
      <w:pPr>
        <w:pStyle w:val="StandardWeb"/>
      </w:pPr>
      <w:r>
        <w:t>[</w:t>
      </w:r>
      <w:r>
        <w:br/>
        <w:t>\frac{a y_i+b}{a y_j+b}</w:t>
      </w:r>
      <w:r>
        <w:br/>
        <w:t>\neq</w:t>
      </w:r>
      <w:r>
        <w:br/>
        <w:t>\frac{y_i}{y_j}.</w:t>
      </w:r>
      <w:r>
        <w:br/>
        <w:t>\tag{3.5140}</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\frac{ay_i+b}{ay_j+b}\neq\frac{y_i}{y_j}\qquad\text{(3.5140)}</w:t>
      </w:r>
    </w:p>
    <w:p w:rsidR="00C4040D" w:rsidRDefault="00C4040D" w:rsidP="00C4040D">
      <w:pPr>
        <w:pStyle w:val="StandardWeb"/>
      </w:pPr>
      <w:r>
        <w:t>Daher darf eine Verhältnisaussage nicht ohne Prüfung auf intervallskalierte Größen übertragen werden [58, 59].</w:t>
      </w:r>
    </w:p>
    <w:p w:rsidR="00C4040D" w:rsidRPr="00AF32B2" w:rsidRDefault="00C4040D" w:rsidP="00AF32B2">
      <w:pPr>
        <w:pStyle w:val="berschrift4"/>
      </w:pPr>
      <w:r w:rsidRPr="00AF32B2">
        <w:t>3.3.27.8 Ordinalinvarianz</w:t>
      </w:r>
    </w:p>
    <w:p w:rsidR="00C4040D" w:rsidRDefault="00C4040D" w:rsidP="00C4040D">
      <w:pPr>
        <w:pStyle w:val="StandardWeb"/>
      </w:pPr>
      <w:r>
        <w:t>Bei einer streng monotonen Transformation gilt</w:t>
      </w:r>
    </w:p>
    <w:p w:rsidR="00C4040D" w:rsidRDefault="00C4040D" w:rsidP="00C4040D">
      <w:pPr>
        <w:pStyle w:val="StandardWeb"/>
      </w:pPr>
      <w:r>
        <w:t>[</w:t>
      </w:r>
      <w:r>
        <w:br/>
        <w:t>y_i</w:t>
      </w:r>
      <w:r>
        <w:br/>
        <w:t>&lt;</w:t>
      </w:r>
      <w:r>
        <w:br/>
        <w:t>y_j</w:t>
      </w:r>
      <w:r>
        <w:br/>
        <w:t>\iff</w:t>
      </w:r>
      <w:r>
        <w:br/>
        <w:t>g(y_i)</w:t>
      </w:r>
      <w:r>
        <w:br/>
        <w:t>&lt;</w:t>
      </w:r>
      <w:r>
        <w:br/>
      </w:r>
      <w:r>
        <w:lastRenderedPageBreak/>
        <w:t>g(y_j).</w:t>
      </w:r>
      <w:r>
        <w:br/>
        <w:t>\tag{3.5141}</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y_i&lt;y_j\iff g(y_i)&lt;g(y_j)\qquad\text{(3.5141)}</w:t>
      </w:r>
    </w:p>
    <w:p w:rsidR="00C4040D" w:rsidRDefault="00C4040D" w:rsidP="00C4040D">
      <w:pPr>
        <w:pStyle w:val="StandardWeb"/>
      </w:pPr>
      <w:r>
        <w:t>Damit bleibt die Rangordnung invariant.</w:t>
      </w:r>
    </w:p>
    <w:p w:rsidR="00C4040D" w:rsidRDefault="00C4040D" w:rsidP="00C4040D">
      <w:pPr>
        <w:pStyle w:val="StandardWeb"/>
      </w:pPr>
      <w:r>
        <w:t>Der Rangoperator erfüllt</w:t>
      </w:r>
    </w:p>
    <w:p w:rsidR="00C4040D" w:rsidRDefault="00C4040D" w:rsidP="00C4040D">
      <w:pPr>
        <w:pStyle w:val="berschrift1"/>
      </w:pPr>
      <w:r>
        <w:t>[</w:t>
      </w:r>
      <w:r>
        <w:br/>
        <w:t>\operatorname{rang}</w:t>
      </w:r>
      <w:r>
        <w:br/>
        <w:t>\left(</w:t>
      </w:r>
      <w:r>
        <w:br/>
        <w:t>g(y_i)</w:t>
      </w:r>
      <w:r>
        <w:br/>
        <w:t>\right)</w:t>
      </w:r>
    </w:p>
    <w:p w:rsidR="00C4040D" w:rsidRDefault="00C4040D" w:rsidP="00C4040D">
      <w:pPr>
        <w:pStyle w:val="StandardWeb"/>
      </w:pPr>
      <w:r>
        <w:t>\operatorname{rang}(y_i).</w:t>
      </w:r>
      <w:r>
        <w:br/>
        <w:t>\tag{3.5142}</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\operatorname{rang}\left(g(y_i)\right)=\operatorname{rang}(y_i)\qquad\text{(3.5142)}</w:t>
      </w:r>
    </w:p>
    <w:p w:rsidR="00C4040D" w:rsidRDefault="00C4040D" w:rsidP="00C4040D">
      <w:pPr>
        <w:pStyle w:val="StandardWeb"/>
      </w:pPr>
      <w:r>
        <w:t>Abstände zwischen Rangwerten besitzen dagegen nicht automatisch dieselbe quantitative Bedeutung.</w:t>
      </w:r>
    </w:p>
    <w:p w:rsidR="00C4040D" w:rsidRPr="00AF32B2" w:rsidRDefault="00C4040D" w:rsidP="00AF32B2">
      <w:pPr>
        <w:pStyle w:val="berschrift4"/>
      </w:pPr>
      <w:r w:rsidRPr="00AF32B2">
        <w:t>3.3.27.9 Nominalinvarianz</w:t>
      </w:r>
    </w:p>
    <w:p w:rsidR="00C4040D" w:rsidRDefault="00C4040D" w:rsidP="00C4040D">
      <w:pPr>
        <w:pStyle w:val="StandardWeb"/>
      </w:pPr>
      <w:r>
        <w:t>Bei einer bijektiven Umkodierung</w:t>
      </w:r>
    </w:p>
    <w:p w:rsidR="00C4040D" w:rsidRDefault="00C4040D" w:rsidP="00C4040D">
      <w:pPr>
        <w:pStyle w:val="StandardWeb"/>
      </w:pPr>
      <w:r>
        <w:t>[</w:t>
      </w:r>
      <w:r>
        <w:br/>
        <w:t>g:</w:t>
      </w:r>
      <w:r>
        <w:br/>
        <w:t>\mathcal{Y}</w:t>
      </w:r>
      <w:r>
        <w:br/>
        <w:t>\rightarrow</w:t>
      </w:r>
      <w:r>
        <w:br/>
        <w:t>\mathcal{Y}^{\prime}</w:t>
      </w:r>
      <w:r>
        <w:br/>
        <w:t>\tag{3.5143}</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g:\mathcal{Y}\rightarrow\mathcal{Y}^{\prime}\qquad\text{(3.5143)}</w:t>
      </w:r>
    </w:p>
    <w:p w:rsidR="00C4040D" w:rsidRDefault="00C4040D" w:rsidP="00C4040D">
      <w:pPr>
        <w:pStyle w:val="StandardWeb"/>
      </w:pPr>
      <w:r>
        <w:t>bleibt Gleichheit erhalten:</w:t>
      </w:r>
    </w:p>
    <w:p w:rsidR="00C4040D" w:rsidRDefault="00C4040D" w:rsidP="00C4040D">
      <w:pPr>
        <w:pStyle w:val="berschrift1"/>
      </w:pPr>
      <w:r>
        <w:lastRenderedPageBreak/>
        <w:t>[</w:t>
      </w:r>
      <w:r>
        <w:br/>
        <w:t>y_i</w:t>
      </w:r>
    </w:p>
    <w:p w:rsidR="00C4040D" w:rsidRDefault="00C4040D" w:rsidP="00C4040D">
      <w:pPr>
        <w:pStyle w:val="berschrift1"/>
      </w:pPr>
      <w:r>
        <w:t>y_j</w:t>
      </w:r>
      <w:r>
        <w:br/>
        <w:t>\iff</w:t>
      </w:r>
      <w:r>
        <w:br/>
        <w:t>g(y_i)</w:t>
      </w:r>
    </w:p>
    <w:p w:rsidR="00C4040D" w:rsidRDefault="00C4040D" w:rsidP="00C4040D">
      <w:pPr>
        <w:pStyle w:val="StandardWeb"/>
      </w:pPr>
      <w:r>
        <w:t>g(y_j).</w:t>
      </w:r>
      <w:r>
        <w:br/>
        <w:t>\tag{3.5144}</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y_i=y_j\iff g(y_i)=g(y_j)\qquad\text{(3.5144)}</w:t>
      </w:r>
    </w:p>
    <w:p w:rsidR="00C4040D" w:rsidRDefault="00C4040D" w:rsidP="00C4040D">
      <w:pPr>
        <w:pStyle w:val="StandardWeb"/>
      </w:pPr>
      <w:r>
        <w:t>Eine numerische Ordnung der Codes besitzt jedoch keine inhaltliche Bedeutung, sofern sie nicht zusätzlich begründet wird.</w:t>
      </w:r>
    </w:p>
    <w:p w:rsidR="00C4040D" w:rsidRDefault="00C4040D" w:rsidP="00C4040D">
      <w:pPr>
        <w:pStyle w:val="StandardWeb"/>
      </w:pPr>
      <w:r>
        <w:rPr>
          <w:rStyle w:val="Fett"/>
        </w:rPr>
        <w:t>Eigenleistung des FRZK</w:t>
      </w:r>
    </w:p>
    <w:p w:rsidR="00C4040D" w:rsidRDefault="00C4040D" w:rsidP="00C4040D">
      <w:pPr>
        <w:pStyle w:val="StandardWeb"/>
      </w:pPr>
      <w:r>
        <w:t>Ich lege fest, dass numerische Codes kategorialer FRZK-Zustände nicht ohne zusätzliche Modellbedingung als metrische oder ordinale Größen verwendet werden dürfen.</w:t>
      </w:r>
    </w:p>
    <w:p w:rsidR="00C4040D" w:rsidRPr="00AF32B2" w:rsidRDefault="00C4040D" w:rsidP="00AF32B2">
      <w:pPr>
        <w:pStyle w:val="berschrift4"/>
      </w:pPr>
      <w:r w:rsidRPr="00AF32B2">
        <w:t>3.3.27.10 Koordinatentransformationen des Zustandsraums</w:t>
      </w:r>
    </w:p>
    <w:p w:rsidR="00C4040D" w:rsidRDefault="00C4040D" w:rsidP="00C4040D">
      <w:pPr>
        <w:pStyle w:val="StandardWeb"/>
      </w:pPr>
      <w:r>
        <w:t>Sei der Zustandsraum</w:t>
      </w:r>
    </w:p>
    <w:p w:rsidR="00C4040D" w:rsidRDefault="00C4040D" w:rsidP="00C4040D">
      <w:pPr>
        <w:pStyle w:val="StandardWeb"/>
      </w:pPr>
      <w:r>
        <w:t>[</w:t>
      </w:r>
      <w:r>
        <w:br/>
        <w:t>\mathcal{S}_{\mathrm{el}}</w:t>
      </w:r>
      <w:r>
        <w:br/>
        <w:t>\subseteq</w:t>
      </w:r>
      <w:r>
        <w:br/>
        <w:t>\mathbb{R}^{n}.</w:t>
      </w:r>
      <w:r>
        <w:br/>
        <w:t>\tag{3.5145}</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\mathcal{S}_{\mathrm{el}}\subseteq\mathbb{R}^{n}\qquad\text{(3.5145)}</w:t>
      </w:r>
    </w:p>
    <w:p w:rsidR="00C4040D" w:rsidRDefault="00C4040D" w:rsidP="00C4040D">
      <w:pPr>
        <w:pStyle w:val="StandardWeb"/>
      </w:pPr>
      <w:r>
        <w:t>Eine Koordinatentransformation lautet</w:t>
      </w:r>
    </w:p>
    <w:p w:rsidR="00C4040D" w:rsidRDefault="00C4040D" w:rsidP="00C4040D">
      <w:pPr>
        <w:pStyle w:val="StandardWeb"/>
      </w:pPr>
      <w:r>
        <w:t>[</w:t>
      </w:r>
      <w:r>
        <w:br/>
        <w:t>\Phi:</w:t>
      </w:r>
      <w:r>
        <w:br/>
        <w:t>\mathcal{S}</w:t>
      </w:r>
      <w:r>
        <w:rPr>
          <w:rStyle w:val="Hervorhebung"/>
        </w:rPr>
        <w:t>{\mathrm{el}}</w:t>
      </w:r>
      <w:r>
        <w:rPr>
          <w:i/>
          <w:iCs/>
        </w:rPr>
        <w:br/>
      </w:r>
      <w:r>
        <w:rPr>
          <w:rStyle w:val="Hervorhebung"/>
        </w:rPr>
        <w:t>\rightarrow</w:t>
      </w:r>
      <w:r>
        <w:rPr>
          <w:i/>
          <w:iCs/>
        </w:rPr>
        <w:br/>
      </w:r>
      <w:r>
        <w:rPr>
          <w:rStyle w:val="Hervorhebung"/>
        </w:rPr>
        <w:t>\mathcal{S}</w:t>
      </w:r>
      <w:r>
        <w:t>{\mathrm{el}}^{\prime}.</w:t>
      </w:r>
      <w:r>
        <w:br/>
        <w:t>\tag{3.5146}</w:t>
      </w:r>
      <w:r>
        <w:br/>
        <w:t>]</w:t>
      </w:r>
    </w:p>
    <w:p w:rsidR="00C4040D" w:rsidRDefault="00C4040D" w:rsidP="00C4040D">
      <w:pPr>
        <w:pStyle w:val="StandardWeb"/>
      </w:pPr>
      <w:r>
        <w:rPr>
          <w:rStyle w:val="Fett"/>
        </w:rPr>
        <w:lastRenderedPageBreak/>
        <w:t>Word-LaTeX</w:t>
      </w:r>
    </w:p>
    <w:p w:rsidR="00C4040D" w:rsidRDefault="00C4040D" w:rsidP="00C4040D">
      <w:pPr>
        <w:pStyle w:val="HTMLVorformatiert"/>
        <w:rPr>
          <w:rStyle w:val="HTMLCode"/>
        </w:rPr>
      </w:pPr>
      <w:r>
        <w:rPr>
          <w:rStyle w:val="HTMLCode"/>
        </w:rPr>
        <w:t>\Phi:\mathcal{S}_{\mathrm{el}}\rightarrow\mathcal{S}_{\mathrm{el}}^{\prime}\qquad\text{(3.5146)}</w:t>
      </w:r>
    </w:p>
    <w:p w:rsidR="00C4040D" w:rsidRDefault="00C4040D" w:rsidP="00C4040D">
      <w:pPr>
        <w:pStyle w:val="StandardWeb"/>
      </w:pPr>
      <w:r>
        <w:t>Für einen Zustand gilt</w:t>
      </w:r>
    </w:p>
    <w:p w:rsidR="00C4040D" w:rsidRDefault="00C4040D" w:rsidP="00C4040D">
      <w:pPr>
        <w:pStyle w:val="berschrift1"/>
      </w:pPr>
      <w:r>
        <w:t>[</w:t>
      </w:r>
      <w:r>
        <w:br/>
        <w:t>\delta^{\prime}</w:t>
      </w:r>
    </w:p>
    <w:p w:rsidR="00C4040D" w:rsidRDefault="00C4040D" w:rsidP="00C4040D">
      <w:pPr>
        <w:pStyle w:val="StandardWeb"/>
      </w:pPr>
      <w:r>
        <w:t>\Phi(\delta).</w:t>
      </w:r>
      <w:r>
        <w:br/>
        <w:t>\tag{3.5147}</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\delta^{\prime}=\Phi(\delta)\qquad\text{(3.5147)}</w:t>
      </w:r>
    </w:p>
    <w:p w:rsidR="00C4040D" w:rsidRDefault="00C4040D" w:rsidP="00C4040D">
      <w:pPr>
        <w:pStyle w:val="StandardWeb"/>
      </w:pPr>
      <w:r>
        <w:t>Eine Transformation (T) wird im neuen Koordinatensystem dargestellt durch</w:t>
      </w:r>
    </w:p>
    <w:p w:rsidR="00C4040D" w:rsidRDefault="00C4040D" w:rsidP="00C4040D">
      <w:pPr>
        <w:pStyle w:val="berschrift1"/>
      </w:pPr>
      <w:r>
        <w:t>[</w:t>
      </w:r>
      <w:r>
        <w:br/>
        <w:t>T^{\prime}</w:t>
      </w:r>
    </w:p>
    <w:p w:rsidR="00C4040D" w:rsidRDefault="00C4040D" w:rsidP="00C4040D">
      <w:pPr>
        <w:pStyle w:val="StandardWeb"/>
      </w:pPr>
      <w:r>
        <w:t>\Phi</w:t>
      </w:r>
      <w:r>
        <w:br/>
        <w:t>\circ</w:t>
      </w:r>
      <w:r>
        <w:br/>
        <w:t>T</w:t>
      </w:r>
      <w:r>
        <w:br/>
        <w:t>\circ</w:t>
      </w:r>
      <w:r>
        <w:br/>
        <w:t>\Phi^{-1}.</w:t>
      </w:r>
      <w:r>
        <w:br/>
        <w:t>\tag{3.5148}</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T^{\prime}=\Phi\circ T\circ\Phi^{-1}\qquad\text{(3.5148)}</w:t>
      </w:r>
    </w:p>
    <w:p w:rsidR="00C4040D" w:rsidRDefault="00C4040D" w:rsidP="00C4040D">
      <w:pPr>
        <w:pStyle w:val="StandardWeb"/>
      </w:pPr>
      <w:r>
        <w:t>Die Dynamik ist strukturell äquivalent, sofern (\Phi) bijektiv und strukturerhaltend ist.</w:t>
      </w:r>
    </w:p>
    <w:p w:rsidR="00C4040D" w:rsidRPr="00AF32B2" w:rsidRDefault="00C4040D" w:rsidP="00AF32B2">
      <w:pPr>
        <w:pStyle w:val="berschrift4"/>
      </w:pPr>
      <w:r w:rsidRPr="00AF32B2">
        <w:t>3.3.27.11 Relationserhalt unter Koordinatentransformation</w:t>
      </w:r>
    </w:p>
    <w:p w:rsidR="00C4040D" w:rsidRDefault="00C4040D" w:rsidP="00C4040D">
      <w:pPr>
        <w:pStyle w:val="StandardWeb"/>
      </w:pPr>
      <w:r>
        <w:t>Eine Relation (R) wird transformiert zu</w:t>
      </w:r>
    </w:p>
    <w:p w:rsidR="00C4040D" w:rsidRDefault="00C4040D" w:rsidP="00C4040D">
      <w:pPr>
        <w:pStyle w:val="berschrift1"/>
      </w:pPr>
      <w:r>
        <w:t>[</w:t>
      </w:r>
      <w:r>
        <w:br/>
        <w:t>R^{\prime}</w:t>
      </w:r>
    </w:p>
    <w:p w:rsidR="00C4040D" w:rsidRDefault="00C4040D" w:rsidP="00C4040D">
      <w:pPr>
        <w:pStyle w:val="StandardWeb"/>
      </w:pPr>
      <w:r>
        <w:t>\left{</w:t>
      </w:r>
      <w:r>
        <w:br/>
        <w:t>\left(</w:t>
      </w:r>
      <w:r>
        <w:br/>
        <w:t>\Phi(\delta_i),</w:t>
      </w:r>
      <w:r>
        <w:br/>
      </w:r>
      <w:r>
        <w:lastRenderedPageBreak/>
        <w:t>\Phi(\delta_j)</w:t>
      </w:r>
      <w:r>
        <w:br/>
        <w:t>\right)</w:t>
      </w:r>
      <w:r>
        <w:br/>
        <w:t>;\middle|;</w:t>
      </w:r>
      <w:r>
        <w:br/>
        <w:t>(\delta_i,\delta_j)</w:t>
      </w:r>
      <w:r>
        <w:br/>
        <w:t>\in</w:t>
      </w:r>
      <w:r>
        <w:br/>
        <w:t>R</w:t>
      </w:r>
      <w:r>
        <w:br/>
        <w:t>\right}.</w:t>
      </w:r>
      <w:r>
        <w:br/>
        <w:t>\tag{3.5149}</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R^{\prime}=\left\{\left(\Phi(\delta_i),\Phi(\delta_j)\right)\middle|(\delta_i,\delta_j)\in R\right\}\qquad\text{(3.5149)}</w:t>
      </w:r>
    </w:p>
    <w:p w:rsidR="00C4040D" w:rsidRDefault="00C4040D" w:rsidP="00C4040D">
      <w:pPr>
        <w:pStyle w:val="StandardWeb"/>
      </w:pPr>
      <w:r>
        <w:t>Dann gilt</w:t>
      </w:r>
    </w:p>
    <w:p w:rsidR="00C4040D" w:rsidRDefault="00C4040D" w:rsidP="00C4040D">
      <w:pPr>
        <w:pStyle w:val="StandardWeb"/>
      </w:pPr>
      <w:r>
        <w:t>[</w:t>
      </w:r>
      <w:r>
        <w:br/>
        <w:t>(\delta_i,\delta_j)</w:t>
      </w:r>
      <w:r>
        <w:br/>
        <w:t>\in</w:t>
      </w:r>
      <w:r>
        <w:br/>
        <w:t>R</w:t>
      </w:r>
      <w:r>
        <w:br/>
        <w:t>\iff</w:t>
      </w:r>
      <w:r>
        <w:br/>
        <w:t>\left(</w:t>
      </w:r>
      <w:r>
        <w:br/>
        <w:t>\Phi(\delta_i),</w:t>
      </w:r>
      <w:r>
        <w:br/>
        <w:t>\Phi(\delta_j)</w:t>
      </w:r>
      <w:r>
        <w:br/>
        <w:t>\right)</w:t>
      </w:r>
      <w:r>
        <w:br/>
        <w:t>\in</w:t>
      </w:r>
      <w:r>
        <w:br/>
        <w:t>R^{\prime}.</w:t>
      </w:r>
      <w:r>
        <w:br/>
        <w:t>\tag{3.5150}</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(\delta_i,\delta_j)\in R\iff\left(\Phi(\delta_i),\Phi(\delta_j)\right)\in R^{\prime}\qquad\text{(3.5150)}</w:t>
      </w:r>
    </w:p>
    <w:p w:rsidR="00C4040D" w:rsidRDefault="00C4040D" w:rsidP="00C4040D">
      <w:pPr>
        <w:pStyle w:val="StandardWeb"/>
      </w:pPr>
      <w:r>
        <w:t>Die relationale Struktur bleibt damit invariant.</w:t>
      </w:r>
    </w:p>
    <w:p w:rsidR="00C4040D" w:rsidRPr="00AF32B2" w:rsidRDefault="00C4040D" w:rsidP="00AF32B2">
      <w:pPr>
        <w:pStyle w:val="berschrift4"/>
      </w:pPr>
      <w:r w:rsidRPr="00AF32B2">
        <w:t>3.3.27.12 Transformationserhalt</w:t>
      </w:r>
    </w:p>
    <w:p w:rsidR="00C4040D" w:rsidRDefault="00C4040D" w:rsidP="00C4040D">
      <w:pPr>
        <w:pStyle w:val="StandardWeb"/>
      </w:pPr>
      <w:r>
        <w:t>Für eine strukturgerechte Koordinatentransformation gilt das kommutierende Diagramm</w:t>
      </w:r>
    </w:p>
    <w:p w:rsidR="00C4040D" w:rsidRDefault="00C4040D" w:rsidP="00C4040D">
      <w:pPr>
        <w:pStyle w:val="berschrift1"/>
      </w:pPr>
      <w:r>
        <w:t>[</w:t>
      </w:r>
      <w:r>
        <w:br/>
        <w:t>\Phi</w:t>
      </w:r>
      <w:r>
        <w:br/>
        <w:t>\circ</w:t>
      </w:r>
      <w:r>
        <w:br/>
        <w:t>T</w:t>
      </w:r>
    </w:p>
    <w:p w:rsidR="00C4040D" w:rsidRDefault="00C4040D" w:rsidP="00C4040D">
      <w:pPr>
        <w:pStyle w:val="StandardWeb"/>
      </w:pPr>
      <w:r>
        <w:t>T^{\prime}</w:t>
      </w:r>
      <w:r>
        <w:br/>
        <w:t>\circ</w:t>
      </w:r>
      <w:r>
        <w:br/>
      </w:r>
      <w:r>
        <w:lastRenderedPageBreak/>
        <w:t>\Phi.</w:t>
      </w:r>
      <w:r>
        <w:br/>
        <w:t>\tag{3.5151}</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\Phi\circ T=T^{\prime}\circ\Phi\qquad\text{(3.5151)}</w:t>
      </w:r>
    </w:p>
    <w:p w:rsidR="00C4040D" w:rsidRDefault="00C4040D" w:rsidP="00C4040D">
      <w:pPr>
        <w:pStyle w:val="StandardWeb"/>
      </w:pPr>
      <w:r>
        <w:t>Für jeden Zustand folgt</w:t>
      </w:r>
    </w:p>
    <w:p w:rsidR="00C4040D" w:rsidRDefault="00C4040D" w:rsidP="00C4040D">
      <w:pPr>
        <w:pStyle w:val="berschrift1"/>
      </w:pPr>
      <w:r>
        <w:t>[</w:t>
      </w:r>
      <w:r>
        <w:br/>
        <w:t>\Phi</w:t>
      </w:r>
      <w:r>
        <w:br/>
        <w:t>\left(</w:t>
      </w:r>
      <w:r>
        <w:br/>
        <w:t>T(\delta)</w:t>
      </w:r>
      <w:r>
        <w:br/>
        <w:t>\right)</w:t>
      </w:r>
    </w:p>
    <w:p w:rsidR="00C4040D" w:rsidRDefault="00C4040D" w:rsidP="00C4040D">
      <w:pPr>
        <w:pStyle w:val="StandardWeb"/>
      </w:pPr>
      <w:r>
        <w:t>T^{\prime}</w:t>
      </w:r>
      <w:r>
        <w:br/>
        <w:t>\left(</w:t>
      </w:r>
      <w:r>
        <w:br/>
        <w:t>\Phi(\delta)</w:t>
      </w:r>
      <w:r>
        <w:br/>
        <w:t>\right).</w:t>
      </w:r>
      <w:r>
        <w:br/>
        <w:t>\tag{3.5152}</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\Phi\left(T(\delta)\right)=T^{\prime}\left(\Phi(\delta)\right)\qquad\text{(3.5152)}</w:t>
      </w:r>
    </w:p>
    <w:p w:rsidR="00C4040D" w:rsidRDefault="00C4040D" w:rsidP="00C4040D">
      <w:pPr>
        <w:pStyle w:val="StandardWeb"/>
      </w:pPr>
      <w:r>
        <w:t>Die beobachtete Entwicklung hängt damit nicht von der Wahl eines bestimmten Koordinatensystems ab, sofern alle beteiligten Strukturen gemeinsam transformiert werden.</w:t>
      </w:r>
    </w:p>
    <w:p w:rsidR="00C4040D" w:rsidRPr="00AF32B2" w:rsidRDefault="00C4040D" w:rsidP="00AF32B2">
      <w:pPr>
        <w:pStyle w:val="berschrift4"/>
      </w:pPr>
      <w:r w:rsidRPr="00AF32B2">
        <w:t>3.3.27.13 Invarianz funktionaler Erreichbarkeit</w:t>
      </w:r>
    </w:p>
    <w:p w:rsidR="00C4040D" w:rsidRDefault="00C4040D" w:rsidP="00C4040D">
      <w:pPr>
        <w:pStyle w:val="StandardWeb"/>
      </w:pPr>
      <w:r>
        <w:t>Sei</w:t>
      </w:r>
    </w:p>
    <w:p w:rsidR="00C4040D" w:rsidRDefault="00C4040D" w:rsidP="00C4040D">
      <w:pPr>
        <w:pStyle w:val="StandardWeb"/>
      </w:pPr>
      <w:r>
        <w:t>[</w:t>
      </w:r>
      <w:r>
        <w:br/>
        <w:t>\delta_i</w:t>
      </w:r>
      <w:r>
        <w:br/>
        <w:t>\leadsto</w:t>
      </w:r>
      <w:r>
        <w:br/>
        <w:t>\delta_j</w:t>
      </w:r>
      <w:r>
        <w:br/>
        <w:t>\tag{3.5153}</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\delta_i\leadsto\delta_j\qquad\text{(3.5153)}</w:t>
      </w:r>
    </w:p>
    <w:p w:rsidR="00C4040D" w:rsidRDefault="00C4040D" w:rsidP="00C4040D">
      <w:pPr>
        <w:pStyle w:val="StandardWeb"/>
      </w:pPr>
      <w:r>
        <w:t>eine funktionale Erreichbarkeitsbeziehung.</w:t>
      </w:r>
    </w:p>
    <w:p w:rsidR="00C4040D" w:rsidRDefault="00C4040D" w:rsidP="00C4040D">
      <w:pPr>
        <w:pStyle w:val="StandardWeb"/>
      </w:pPr>
      <w:r>
        <w:lastRenderedPageBreak/>
        <w:t>Unter einem strukturerhaltenden Isomorphismus (\Phi) muss gelten:</w:t>
      </w:r>
    </w:p>
    <w:p w:rsidR="00C4040D" w:rsidRDefault="00C4040D" w:rsidP="00C4040D">
      <w:pPr>
        <w:pStyle w:val="StandardWeb"/>
      </w:pPr>
      <w:r>
        <w:t>[</w:t>
      </w:r>
      <w:r>
        <w:br/>
        <w:t>\delta_i</w:t>
      </w:r>
      <w:r>
        <w:br/>
        <w:t>\leadsto</w:t>
      </w:r>
      <w:r>
        <w:br/>
        <w:t>\delta_j</w:t>
      </w:r>
      <w:r>
        <w:br/>
        <w:t>\iff</w:t>
      </w:r>
      <w:r>
        <w:br/>
        <w:t>\Phi(\delta_i)</w:t>
      </w:r>
      <w:r>
        <w:br/>
        <w:t>\leadsto^{\prime}</w:t>
      </w:r>
      <w:r>
        <w:br/>
        <w:t>\Phi(\delta_j).</w:t>
      </w:r>
      <w:r>
        <w:br/>
        <w:t>\tag{3.5154}</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\delta_i\leadsto\delta_j\iff\Phi(\delta_i)\leadsto^{\prime}\Phi(\delta_j)\qquad\text{(3.5154)}</w:t>
      </w:r>
    </w:p>
    <w:p w:rsidR="00C4040D" w:rsidRDefault="00C4040D" w:rsidP="00C4040D">
      <w:pPr>
        <w:pStyle w:val="StandardWeb"/>
      </w:pPr>
      <w:r>
        <w:t>Funktionale Erreichbarkeit ist damit eine strukturelle und keine koordinatenabhängige Eigenschaft.</w:t>
      </w:r>
    </w:p>
    <w:p w:rsidR="00C4040D" w:rsidRPr="00AF32B2" w:rsidRDefault="00C4040D" w:rsidP="00AF32B2">
      <w:pPr>
        <w:pStyle w:val="berschrift4"/>
      </w:pPr>
      <w:r w:rsidRPr="00AF32B2">
        <w:t>3.3.27.14 Invarianz funktionaler Ordnung</w:t>
      </w:r>
    </w:p>
    <w:p w:rsidR="00C4040D" w:rsidRDefault="00C4040D" w:rsidP="00C4040D">
      <w:pPr>
        <w:pStyle w:val="StandardWeb"/>
      </w:pPr>
      <w:r>
        <w:t>Für eine funktionale Ordnung gilt</w:t>
      </w:r>
    </w:p>
    <w:p w:rsidR="00C4040D" w:rsidRDefault="00C4040D" w:rsidP="00C4040D">
      <w:pPr>
        <w:pStyle w:val="StandardWeb"/>
      </w:pPr>
      <w:r>
        <w:t>[</w:t>
      </w:r>
      <w:r>
        <w:br/>
        <w:t>[\delta_i]</w:t>
      </w:r>
      <w:r>
        <w:br/>
        <w:t>\preceq_{F}</w:t>
      </w:r>
      <w:r>
        <w:br/>
        <w:t>[\delta_j].</w:t>
      </w:r>
      <w:r>
        <w:br/>
        <w:t>\tag{3.5155}</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[\delta_i]\preceq_{F}[\delta_j]\qquad\text{(3.5155)}</w:t>
      </w:r>
    </w:p>
    <w:p w:rsidR="00C4040D" w:rsidRDefault="00C4040D" w:rsidP="00C4040D">
      <w:pPr>
        <w:pStyle w:val="StandardWeb"/>
      </w:pPr>
      <w:r>
        <w:t>Unter einem ordnungserhaltenden Isomorphismus muss gelten:</w:t>
      </w:r>
    </w:p>
    <w:p w:rsidR="00C4040D" w:rsidRDefault="00C4040D" w:rsidP="00C4040D">
      <w:pPr>
        <w:pStyle w:val="StandardWeb"/>
      </w:pPr>
      <w:r>
        <w:t>[</w:t>
      </w:r>
      <w:r>
        <w:br/>
        <w:t>[\delta_i]</w:t>
      </w:r>
      <w:r>
        <w:br/>
        <w:t>\preceq_{F}</w:t>
      </w:r>
      <w:r>
        <w:br/>
        <w:t>[\delta_j]</w:t>
      </w:r>
      <w:r>
        <w:br/>
        <w:t>\iff</w:t>
      </w:r>
      <w:r>
        <w:br/>
        <w:t>[\Phi(\delta_i)]</w:t>
      </w:r>
      <w:r>
        <w:br/>
        <w:t>\preceq_{F}^{\prime}</w:t>
      </w:r>
      <w:r>
        <w:br/>
        <w:t>[\Phi(\delta_j)].</w:t>
      </w:r>
      <w:r>
        <w:br/>
        <w:t>\tag{3.5156}</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lastRenderedPageBreak/>
        <w:t>[\delta_i]\preceq_{F}[\delta_j]\iff[\Phi(\delta_i)]\preceq_{F}^{\prime}[\Phi(\delta_j)]\qquad\text{(3.5156)}</w:t>
      </w:r>
    </w:p>
    <w:p w:rsidR="00C4040D" w:rsidRDefault="00C4040D" w:rsidP="00C4040D">
      <w:pPr>
        <w:pStyle w:val="StandardWeb"/>
      </w:pPr>
      <w:r>
        <w:t>Die funktionale Ordnung bleibt damit von einer bloßen Umbenennung oder Koordinatentransformation unberührt.</w:t>
      </w:r>
    </w:p>
    <w:p w:rsidR="00C4040D" w:rsidRPr="00AF32B2" w:rsidRDefault="00C4040D" w:rsidP="00AF32B2">
      <w:pPr>
        <w:pStyle w:val="berschrift4"/>
      </w:pPr>
      <w:r w:rsidRPr="00AF32B2">
        <w:t>3.3.27.15 Transformation funktionaler Zeitwerte</w:t>
      </w:r>
    </w:p>
    <w:p w:rsidR="00C4040D" w:rsidRDefault="00C4040D" w:rsidP="00C4040D">
      <w:pPr>
        <w:pStyle w:val="StandardWeb"/>
      </w:pPr>
      <w:r>
        <w:t>Sei</w:t>
      </w:r>
    </w:p>
    <w:p w:rsidR="00C4040D" w:rsidRDefault="00C4040D" w:rsidP="00C4040D">
      <w:pPr>
        <w:pStyle w:val="StandardWeb"/>
      </w:pPr>
      <w:r>
        <w:t>[</w:t>
      </w:r>
      <w:r>
        <w:br/>
        <w:t>t^{F}</w:t>
      </w:r>
      <w:r>
        <w:br/>
        <w:t>:</w:t>
      </w:r>
      <w:r>
        <w:br/>
        <w:t>\mathcal{Q}</w:t>
      </w:r>
      <w:r>
        <w:rPr>
          <w:rStyle w:val="Hervorhebung"/>
        </w:rPr>
        <w:t>{F}</w:t>
      </w:r>
      <w:r>
        <w:rPr>
          <w:i/>
          <w:iCs/>
        </w:rPr>
        <w:br/>
      </w:r>
      <w:r>
        <w:rPr>
          <w:rStyle w:val="Hervorhebung"/>
        </w:rPr>
        <w:t>\rightarrow</w:t>
      </w:r>
      <w:r>
        <w:rPr>
          <w:i/>
          <w:iCs/>
        </w:rPr>
        <w:br/>
      </w:r>
      <w:r>
        <w:rPr>
          <w:rStyle w:val="Hervorhebung"/>
        </w:rPr>
        <w:t>\mathbb{T}</w:t>
      </w:r>
      <w:r>
        <w:t>{F}</w:t>
      </w:r>
      <w:r>
        <w:br/>
        <w:t>\tag{3.5157}</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t^{F}:\mathcal{Q}_{F}\rightarrow\mathbb{T}_{F}\qquad\text{(3.5157)}</w:t>
      </w:r>
    </w:p>
    <w:p w:rsidR="00C4040D" w:rsidRDefault="00C4040D" w:rsidP="00C4040D">
      <w:pPr>
        <w:pStyle w:val="StandardWeb"/>
      </w:pPr>
      <w:r>
        <w:t>eine funktionale Zeitabbildung.</w:t>
      </w:r>
    </w:p>
    <w:p w:rsidR="00C4040D" w:rsidRDefault="00C4040D" w:rsidP="00C4040D">
      <w:pPr>
        <w:pStyle w:val="StandardWeb"/>
      </w:pPr>
      <w:r>
        <w:t>Eine zulässige monotone Zeittransformation lautet</w:t>
      </w:r>
    </w:p>
    <w:p w:rsidR="00C4040D" w:rsidRDefault="00C4040D" w:rsidP="00C4040D">
      <w:pPr>
        <w:pStyle w:val="StandardWeb"/>
      </w:pPr>
      <w:r>
        <w:t>[</w:t>
      </w:r>
      <w:r>
        <w:br/>
        <w:t>g_t:</w:t>
      </w:r>
      <w:r>
        <w:br/>
        <w:t>\mathbb{T}</w:t>
      </w:r>
      <w:r>
        <w:rPr>
          <w:rStyle w:val="Hervorhebung"/>
        </w:rPr>
        <w:t>{F}</w:t>
      </w:r>
      <w:r>
        <w:rPr>
          <w:i/>
          <w:iCs/>
        </w:rPr>
        <w:br/>
      </w:r>
      <w:r>
        <w:rPr>
          <w:rStyle w:val="Hervorhebung"/>
        </w:rPr>
        <w:t>\rightarrow</w:t>
      </w:r>
      <w:r>
        <w:rPr>
          <w:i/>
          <w:iCs/>
        </w:rPr>
        <w:br/>
      </w:r>
      <w:r>
        <w:rPr>
          <w:rStyle w:val="Hervorhebung"/>
        </w:rPr>
        <w:t>\mathbb{T}</w:t>
      </w:r>
      <w:r>
        <w:t>{F}^{\prime}.</w:t>
      </w:r>
      <w:r>
        <w:br/>
        <w:t>\tag{3.5158}</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g_t:\mathbb{T}_{F}\rightarrow\mathbb{T}_{F}^{\prime}\qquad\text{(3.5158)}</w:t>
      </w:r>
    </w:p>
    <w:p w:rsidR="00C4040D" w:rsidRDefault="00C4040D" w:rsidP="00C4040D">
      <w:pPr>
        <w:pStyle w:val="StandardWeb"/>
      </w:pPr>
      <w:r>
        <w:t>Die transformierte Zeitabbildung lautet</w:t>
      </w:r>
    </w:p>
    <w:p w:rsidR="00C4040D" w:rsidRDefault="00C4040D" w:rsidP="00C4040D">
      <w:pPr>
        <w:pStyle w:val="berschrift1"/>
      </w:pPr>
      <w:r>
        <w:t>[</w:t>
      </w:r>
      <w:r>
        <w:br/>
        <w:t>t^{F\prime}</w:t>
      </w:r>
    </w:p>
    <w:p w:rsidR="00C4040D" w:rsidRDefault="00C4040D" w:rsidP="00C4040D">
      <w:pPr>
        <w:pStyle w:val="StandardWeb"/>
      </w:pPr>
      <w:r>
        <w:t>g_t</w:t>
      </w:r>
      <w:r>
        <w:br/>
        <w:t>\circ</w:t>
      </w:r>
      <w:r>
        <w:br/>
        <w:t>t^{F}.</w:t>
      </w:r>
      <w:r>
        <w:br/>
        <w:t>\tag{3.5159}</w:t>
      </w:r>
      <w:r>
        <w:br/>
        <w:t>]</w:t>
      </w:r>
    </w:p>
    <w:p w:rsidR="00C4040D" w:rsidRDefault="00C4040D" w:rsidP="00C4040D">
      <w:pPr>
        <w:pStyle w:val="StandardWeb"/>
      </w:pPr>
      <w:r>
        <w:rPr>
          <w:rStyle w:val="Fett"/>
        </w:rPr>
        <w:lastRenderedPageBreak/>
        <w:t>Word-LaTeX</w:t>
      </w:r>
    </w:p>
    <w:p w:rsidR="00C4040D" w:rsidRDefault="00C4040D" w:rsidP="00C4040D">
      <w:pPr>
        <w:pStyle w:val="HTMLVorformatiert"/>
        <w:rPr>
          <w:rStyle w:val="HTMLCode"/>
        </w:rPr>
      </w:pPr>
      <w:r>
        <w:rPr>
          <w:rStyle w:val="HTMLCode"/>
        </w:rPr>
        <w:t>t^{F\prime}=g_t\circ t^{F}\qquad\text{(3.5159)}</w:t>
      </w:r>
    </w:p>
    <w:p w:rsidR="00C4040D" w:rsidRDefault="00C4040D" w:rsidP="00C4040D">
      <w:pPr>
        <w:pStyle w:val="StandardWeb"/>
      </w:pPr>
      <w:r>
        <w:t>Ist (g_t) streng monoton wachsend, bleibt die zeitliche Ordnung erhalten:</w:t>
      </w:r>
    </w:p>
    <w:p w:rsidR="00C4040D" w:rsidRDefault="00C4040D" w:rsidP="00C4040D">
      <w:pPr>
        <w:pStyle w:val="StandardWeb"/>
      </w:pPr>
      <w:r>
        <w:t>[</w:t>
      </w:r>
      <w:r>
        <w:br/>
        <w:t>t^{F}([\delta_i])</w:t>
      </w:r>
      <w:r>
        <w:br/>
        <w:t>&lt;</w:t>
      </w:r>
      <w:r>
        <w:br/>
        <w:t>t^{F}([\delta_j])</w:t>
      </w:r>
      <w:r>
        <w:br/>
        <w:t>\iff</w:t>
      </w:r>
      <w:r>
        <w:br/>
        <w:t>t^{F\prime}([\delta_i])</w:t>
      </w:r>
      <w:r>
        <w:br/>
        <w:t>&lt;</w:t>
      </w:r>
      <w:r>
        <w:br/>
        <w:t>t^{F\prime}([\delta_j]).</w:t>
      </w:r>
      <w:r>
        <w:br/>
        <w:t>\tag{3.5160}</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t^{F}([\delta_i])&lt;t^{F}([\delta_j])\iff t^{F\prime}([\delta_i])&lt;t^{F\prime}([\delta_j])\qquad\text{(3.5160)}</w:t>
      </w:r>
    </w:p>
    <w:p w:rsidR="00C4040D" w:rsidRPr="00AF32B2" w:rsidRDefault="00C4040D" w:rsidP="00AF32B2">
      <w:pPr>
        <w:pStyle w:val="berschrift4"/>
      </w:pPr>
      <w:r w:rsidRPr="00AF32B2">
        <w:t>3.3.27.16 Skalenabhängigkeit von Zeitdifferenzen</w:t>
      </w:r>
    </w:p>
    <w:p w:rsidR="00C4040D" w:rsidRDefault="00C4040D" w:rsidP="00C4040D">
      <w:pPr>
        <w:pStyle w:val="StandardWeb"/>
      </w:pPr>
      <w:r>
        <w:t>Für eine affine Zeittransformation</w:t>
      </w:r>
    </w:p>
    <w:p w:rsidR="00C4040D" w:rsidRDefault="00C4040D" w:rsidP="00C4040D">
      <w:pPr>
        <w:pStyle w:val="berschrift1"/>
      </w:pPr>
      <w:r>
        <w:t>[</w:t>
      </w:r>
      <w:r>
        <w:br/>
        <w:t>t^{\prime}</w:t>
      </w:r>
    </w:p>
    <w:p w:rsidR="00C4040D" w:rsidRDefault="00C4040D" w:rsidP="00C4040D">
      <w:pPr>
        <w:pStyle w:val="StandardWeb"/>
      </w:pPr>
      <w:r>
        <w:t>a t+b,</w:t>
      </w:r>
      <w:r>
        <w:br/>
        <w:t>\qquad</w:t>
      </w:r>
      <w:r>
        <w:br/>
        <w:t>a&gt;0,</w:t>
      </w:r>
      <w:r>
        <w:br/>
        <w:t>\tag{3.5161}</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t^{\prime}=at+b,\qquad a&gt;0\qquad\text{(3.5161)}</w:t>
      </w:r>
    </w:p>
    <w:p w:rsidR="00C4040D" w:rsidRDefault="00C4040D" w:rsidP="00C4040D">
      <w:pPr>
        <w:pStyle w:val="StandardWeb"/>
      </w:pPr>
      <w:r>
        <w:t>gilt</w:t>
      </w:r>
    </w:p>
    <w:p w:rsidR="00C4040D" w:rsidRDefault="00C4040D" w:rsidP="00C4040D">
      <w:pPr>
        <w:pStyle w:val="berschrift1"/>
      </w:pPr>
      <w:r>
        <w:t>[</w:t>
      </w:r>
      <w:r>
        <w:br/>
        <w:t>\Delta t^{\prime}</w:t>
      </w:r>
    </w:p>
    <w:p w:rsidR="00C4040D" w:rsidRDefault="00C4040D" w:rsidP="00C4040D">
      <w:pPr>
        <w:pStyle w:val="StandardWeb"/>
      </w:pPr>
      <w:r>
        <w:t>a</w:t>
      </w:r>
      <w:r>
        <w:br/>
        <w:t>\Delta t.</w:t>
      </w:r>
      <w:r>
        <w:br/>
        <w:t>\tag{3.5162}</w:t>
      </w:r>
      <w:r>
        <w:br/>
        <w:t>]</w:t>
      </w:r>
    </w:p>
    <w:p w:rsidR="00C4040D" w:rsidRDefault="00C4040D" w:rsidP="00C4040D">
      <w:pPr>
        <w:pStyle w:val="StandardWeb"/>
      </w:pPr>
      <w:r>
        <w:rPr>
          <w:rStyle w:val="Fett"/>
        </w:rPr>
        <w:lastRenderedPageBreak/>
        <w:t>Word-LaTeX</w:t>
      </w:r>
    </w:p>
    <w:p w:rsidR="00C4040D" w:rsidRDefault="00C4040D" w:rsidP="00C4040D">
      <w:pPr>
        <w:pStyle w:val="HTMLVorformatiert"/>
        <w:rPr>
          <w:rStyle w:val="HTMLCode"/>
        </w:rPr>
      </w:pPr>
      <w:r>
        <w:rPr>
          <w:rStyle w:val="HTMLCode"/>
        </w:rPr>
        <w:t>\Delta t^{\prime}=a\Delta t\qquad\text{(3.5162)}</w:t>
      </w:r>
    </w:p>
    <w:p w:rsidR="00C4040D" w:rsidRDefault="00C4040D" w:rsidP="00C4040D">
      <w:pPr>
        <w:pStyle w:val="StandardWeb"/>
      </w:pPr>
      <w:r>
        <w:t>Die Nullpunktverschiebung (b) beeinflusst Zeitdifferenzen nicht. Der Skalierungsfaktor (a) verändert jedoch deren numerischen Wert.</w:t>
      </w:r>
    </w:p>
    <w:p w:rsidR="00C4040D" w:rsidRDefault="00C4040D" w:rsidP="00C4040D">
      <w:pPr>
        <w:pStyle w:val="StandardWeb"/>
      </w:pPr>
      <w:r>
        <w:t>Eine dimensionslose Verhältnisgröße kann invariant sein, sofern die beteiligten Zeitabstände gleichartig skaliert werden:</w:t>
      </w:r>
    </w:p>
    <w:p w:rsidR="00C4040D" w:rsidRDefault="00C4040D" w:rsidP="00C4040D">
      <w:pPr>
        <w:pStyle w:val="berschrift1"/>
      </w:pPr>
      <w:r>
        <w:t>[</w:t>
      </w:r>
      <w:r>
        <w:br/>
        <w:t>\frac{\Delta t_1^{\prime}}{\Delta t_2^{\prime}}</w:t>
      </w:r>
    </w:p>
    <w:p w:rsidR="00C4040D" w:rsidRDefault="00C4040D" w:rsidP="00C4040D">
      <w:pPr>
        <w:pStyle w:val="StandardWeb"/>
      </w:pPr>
      <w:r>
        <w:t>\frac{\Delta t_1}{\Delta t_2}.</w:t>
      </w:r>
      <w:r>
        <w:br/>
        <w:t>\tag{3.5163}</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\frac{\Delta t_1^{\prime}}{\Delta t_2^{\prime}}=\frac{\Delta t_1}{\Delta t_2}\qquad\text{(3.5163)}</w:t>
      </w:r>
    </w:p>
    <w:p w:rsidR="00C4040D" w:rsidRPr="00AF32B2" w:rsidRDefault="00C4040D" w:rsidP="00AF32B2">
      <w:pPr>
        <w:pStyle w:val="berschrift4"/>
      </w:pPr>
      <w:r w:rsidRPr="00AF32B2">
        <w:t>3.3.27.17 Transformation funktionaler Kohärenzwerte</w:t>
      </w:r>
    </w:p>
    <w:p w:rsidR="00C4040D" w:rsidRDefault="00C4040D" w:rsidP="00C4040D">
      <w:pPr>
        <w:pStyle w:val="StandardWeb"/>
      </w:pPr>
      <w:r>
        <w:t>Ein Kohärenzwert sei</w:t>
      </w:r>
    </w:p>
    <w:p w:rsidR="00C4040D" w:rsidRDefault="00C4040D" w:rsidP="00C4040D">
      <w:pPr>
        <w:pStyle w:val="StandardWeb"/>
      </w:pPr>
      <w:r>
        <w:t>[</w:t>
      </w:r>
      <w:r>
        <w:br/>
        <w:t>k</w:t>
      </w:r>
      <w:r>
        <w:br/>
        <w:t>\in</w:t>
      </w:r>
      <w:r>
        <w:br/>
        <w:t>[0,1].</w:t>
      </w:r>
      <w:r>
        <w:br/>
        <w:t>\tag{3.5164}</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k\in[0,1]\qquad\text{(3.5164)}</w:t>
      </w:r>
    </w:p>
    <w:p w:rsidR="00C4040D" w:rsidRDefault="00C4040D" w:rsidP="00C4040D">
      <w:pPr>
        <w:pStyle w:val="StandardWeb"/>
      </w:pPr>
      <w:r>
        <w:t>Eine monotone Rekodierung lautet</w:t>
      </w:r>
    </w:p>
    <w:p w:rsidR="00C4040D" w:rsidRDefault="00C4040D" w:rsidP="00C4040D">
      <w:pPr>
        <w:pStyle w:val="berschrift1"/>
      </w:pPr>
      <w:r>
        <w:t>[</w:t>
      </w:r>
      <w:r>
        <w:br/>
        <w:t>k^{\prime}</w:t>
      </w:r>
    </w:p>
    <w:p w:rsidR="00C4040D" w:rsidRDefault="00C4040D" w:rsidP="00C4040D">
      <w:pPr>
        <w:pStyle w:val="StandardWeb"/>
      </w:pPr>
      <w:r>
        <w:t>g_K(k).</w:t>
      </w:r>
      <w:r>
        <w:br/>
        <w:t>\tag{3.5165}</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k^{\prime}=g_K(k)\qquad\text{(3.5165)}</w:t>
      </w:r>
    </w:p>
    <w:p w:rsidR="00C4040D" w:rsidRDefault="00C4040D" w:rsidP="00C4040D">
      <w:pPr>
        <w:pStyle w:val="StandardWeb"/>
      </w:pPr>
      <w:r>
        <w:lastRenderedPageBreak/>
        <w:t>Die Rangordnung von Kohärenzwerten bleibt erhalten, wenn</w:t>
      </w:r>
    </w:p>
    <w:p w:rsidR="00C4040D" w:rsidRDefault="00C4040D" w:rsidP="00C4040D">
      <w:pPr>
        <w:pStyle w:val="StandardWeb"/>
      </w:pPr>
      <w:r>
        <w:t>[</w:t>
      </w:r>
      <w:r>
        <w:br/>
        <w:t>k_i</w:t>
      </w:r>
      <w:r>
        <w:br/>
        <w:t>&lt;</w:t>
      </w:r>
      <w:r>
        <w:br/>
        <w:t>k_j</w:t>
      </w:r>
      <w:r>
        <w:br/>
        <w:t>\iff</w:t>
      </w:r>
      <w:r>
        <w:br/>
        <w:t>g_K(k_i)</w:t>
      </w:r>
      <w:r>
        <w:br/>
        <w:t>&lt;</w:t>
      </w:r>
      <w:r>
        <w:br/>
        <w:t>g_K(k_j).</w:t>
      </w:r>
      <w:r>
        <w:br/>
        <w:t>\tag{3.5166}</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k_i&lt;k_j\iff g_K(k_i)&lt;g_K(k_j)\qquad\text{(3.5166)}</w:t>
      </w:r>
    </w:p>
    <w:p w:rsidR="00C4040D" w:rsidRDefault="00C4040D" w:rsidP="00C4040D">
      <w:pPr>
        <w:pStyle w:val="StandardWeb"/>
      </w:pPr>
      <w:r>
        <w:t>Eine absolute Kohärenzdifferenz ist unter einer beliebigen monotonen Transformation jedoch nicht invariant:</w:t>
      </w:r>
    </w:p>
    <w:p w:rsidR="00C4040D" w:rsidRDefault="00C4040D" w:rsidP="00C4040D">
      <w:pPr>
        <w:pStyle w:val="berschrift2"/>
      </w:pPr>
      <w:r>
        <w:t>[</w:t>
      </w:r>
      <w:r>
        <w:br/>
        <w:t>g_K(k_j)</w:t>
      </w:r>
    </w:p>
    <w:p w:rsidR="00C4040D" w:rsidRDefault="00C4040D" w:rsidP="00C4040D">
      <w:pPr>
        <w:pStyle w:val="StandardWeb"/>
      </w:pPr>
      <w:r>
        <w:t>g_K(k_i)</w:t>
      </w:r>
      <w:r>
        <w:br/>
        <w:t>\neq</w:t>
      </w:r>
      <w:r>
        <w:br/>
        <w:t>k_j-k_i</w:t>
      </w:r>
      <w:r>
        <w:br/>
        <w:t>\tag{3.5167}</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g_K(k_j)-g_K(k_i)\neq k_j-k_i\qquad\text{(3.5167)}</w:t>
      </w:r>
    </w:p>
    <w:p w:rsidR="00C4040D" w:rsidRDefault="00C4040D" w:rsidP="00C4040D">
      <w:pPr>
        <w:pStyle w:val="StandardWeb"/>
      </w:pPr>
      <w:r>
        <w:t>im Allgemeinen.</w:t>
      </w:r>
    </w:p>
    <w:p w:rsidR="00C4040D" w:rsidRDefault="00C4040D" w:rsidP="00C4040D">
      <w:pPr>
        <w:pStyle w:val="StandardWeb"/>
      </w:pPr>
      <w:r>
        <w:rPr>
          <w:rStyle w:val="Fett"/>
        </w:rPr>
        <w:t>Eigenleistung des FRZK</w:t>
      </w:r>
    </w:p>
    <w:p w:rsidR="00C4040D" w:rsidRDefault="00C4040D" w:rsidP="00C4040D">
      <w:pPr>
        <w:pStyle w:val="StandardWeb"/>
      </w:pPr>
      <w:r>
        <w:t>Ich fordere, dass für jeden empirisch verwendeten Kohärenzwert angegeben wird, ob er nominal, ordinal, intervall- oder verhältnisskaliert interpretiert wird. Daraus ergibt sich, welche mathematischen Operationen wissenschaftlich zulässig sind.</w:t>
      </w:r>
    </w:p>
    <w:p w:rsidR="00C4040D" w:rsidRPr="00AF32B2" w:rsidRDefault="00C4040D" w:rsidP="00AF32B2">
      <w:pPr>
        <w:pStyle w:val="berschrift4"/>
      </w:pPr>
      <w:r w:rsidRPr="00AF32B2">
        <w:t>3.3.27.18 Dimensionsanalyse</w:t>
      </w:r>
    </w:p>
    <w:p w:rsidR="00C4040D" w:rsidRDefault="00C4040D" w:rsidP="00C4040D">
      <w:pPr>
        <w:pStyle w:val="StandardWeb"/>
      </w:pPr>
      <w:r>
        <w:t>Jeder dimensionsbehafteten Größe (q) wird eine Dimension zugeordnet:</w:t>
      </w:r>
    </w:p>
    <w:p w:rsidR="00C4040D" w:rsidRDefault="00C4040D" w:rsidP="00C4040D">
      <w:pPr>
        <w:pStyle w:val="StandardWeb"/>
      </w:pPr>
      <w:r>
        <w:t>[</w:t>
      </w:r>
      <w:r>
        <w:br/>
        <w:t>[q]</w:t>
      </w:r>
      <w:r>
        <w:br/>
        <w:t>\in</w:t>
      </w:r>
      <w:r>
        <w:br/>
        <w:t>\mathfrak{D}.</w:t>
      </w:r>
      <w:r>
        <w:br/>
      </w:r>
      <w:r>
        <w:lastRenderedPageBreak/>
        <w:t>\tag{3.5168}</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[q]\in\mathfrak{D}\qquad\text{(3.5168)}</w:t>
      </w:r>
    </w:p>
    <w:p w:rsidR="00C4040D" w:rsidRDefault="00C4040D" w:rsidP="00C4040D">
      <w:pPr>
        <w:pStyle w:val="StandardWeb"/>
      </w:pPr>
      <w:r>
        <w:t>Für eine Summe muss gelten:</w:t>
      </w:r>
    </w:p>
    <w:p w:rsidR="00C4040D" w:rsidRDefault="00C4040D" w:rsidP="00C4040D">
      <w:pPr>
        <w:pStyle w:val="berschrift1"/>
      </w:pPr>
      <w:r>
        <w:t>[</w:t>
      </w:r>
      <w:r>
        <w:br/>
        <w:t>[q_1]</w:t>
      </w:r>
    </w:p>
    <w:p w:rsidR="00C4040D" w:rsidRDefault="00C4040D" w:rsidP="00C4040D">
      <w:pPr>
        <w:pStyle w:val="StandardWeb"/>
      </w:pPr>
      <w:r>
        <w:t>[q_2].</w:t>
      </w:r>
      <w:r>
        <w:br/>
        <w:t>\tag{3.5169}</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[q_1]=[q_2]\qquad\text{(3.5169)}</w:t>
      </w:r>
    </w:p>
    <w:p w:rsidR="00C4040D" w:rsidRDefault="00C4040D" w:rsidP="00C4040D">
      <w:pPr>
        <w:pStyle w:val="StandardWeb"/>
      </w:pPr>
      <w:r>
        <w:t>Nur dann ist</w:t>
      </w:r>
    </w:p>
    <w:p w:rsidR="00C4040D" w:rsidRDefault="00C4040D" w:rsidP="00C4040D">
      <w:pPr>
        <w:pStyle w:val="StandardWeb"/>
      </w:pPr>
      <w:r>
        <w:t>[</w:t>
      </w:r>
      <w:r>
        <w:br/>
        <w:t>q_1+q_2</w:t>
      </w:r>
      <w:r>
        <w:br/>
        <w:t>\tag{3.5170}</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q_1+q_2\qquad\text{(3.5170)}</w:t>
      </w:r>
    </w:p>
    <w:p w:rsidR="00C4040D" w:rsidRDefault="00C4040D" w:rsidP="00C4040D">
      <w:pPr>
        <w:pStyle w:val="StandardWeb"/>
      </w:pPr>
      <w:r>
        <w:t>dimensionsverträglich.</w:t>
      </w:r>
    </w:p>
    <w:p w:rsidR="00C4040D" w:rsidRDefault="00C4040D" w:rsidP="00C4040D">
      <w:pPr>
        <w:pStyle w:val="StandardWeb"/>
      </w:pPr>
      <w:r>
        <w:t>Für ein Produkt gilt</w:t>
      </w:r>
    </w:p>
    <w:p w:rsidR="00C4040D" w:rsidRDefault="00C4040D" w:rsidP="00C4040D">
      <w:pPr>
        <w:pStyle w:val="berschrift1"/>
      </w:pPr>
      <w:r>
        <w:t>[</w:t>
      </w:r>
      <w:r>
        <w:br/>
        <w:t>[q_1 q_2]</w:t>
      </w:r>
    </w:p>
    <w:p w:rsidR="00C4040D" w:rsidRDefault="00C4040D" w:rsidP="00C4040D">
      <w:pPr>
        <w:pStyle w:val="StandardWeb"/>
      </w:pPr>
      <w:r>
        <w:t>[q_1]</w:t>
      </w:r>
      <w:r>
        <w:br/>
        <w:t>[q_2].</w:t>
      </w:r>
      <w:r>
        <w:br/>
        <w:t>\tag{3.5171}</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[q_1q_2]=[q_1][q_2]\qquad\text{(3.5171)}</w:t>
      </w:r>
    </w:p>
    <w:p w:rsidR="00C4040D" w:rsidRDefault="00C4040D" w:rsidP="00C4040D">
      <w:pPr>
        <w:pStyle w:val="StandardWeb"/>
      </w:pPr>
      <w:r>
        <w:t>Für einen Quotienten gilt</w:t>
      </w:r>
    </w:p>
    <w:p w:rsidR="00C4040D" w:rsidRDefault="00C4040D" w:rsidP="00C4040D">
      <w:pPr>
        <w:pStyle w:val="berschrift1"/>
      </w:pPr>
      <w:r>
        <w:lastRenderedPageBreak/>
        <w:t>[</w:t>
      </w:r>
      <w:r>
        <w:br/>
        <w:t>\left[</w:t>
      </w:r>
      <w:r>
        <w:br/>
        <w:t>\frac{q_1}{q_2}</w:t>
      </w:r>
      <w:r>
        <w:br/>
        <w:t>\right]</w:t>
      </w:r>
    </w:p>
    <w:p w:rsidR="00C4040D" w:rsidRDefault="00C4040D" w:rsidP="00C4040D">
      <w:pPr>
        <w:pStyle w:val="StandardWeb"/>
      </w:pPr>
      <w:r>
        <w:t>\frac{[q_1]}{[q_2]}.</w:t>
      </w:r>
      <w:r>
        <w:br/>
        <w:t>\tag{3.5172}</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\left[\frac{q_1}{q_2}\right]=\frac{[q_1]}{[q_2]}\qquad\text{(3.5172)}</w:t>
      </w:r>
    </w:p>
    <w:p w:rsidR="00C4040D" w:rsidRPr="00AF32B2" w:rsidRDefault="00C4040D" w:rsidP="00AF32B2">
      <w:pPr>
        <w:pStyle w:val="berschrift4"/>
      </w:pPr>
      <w:r w:rsidRPr="00AF32B2">
        <w:t>3.3.27.19 Dimensionslose Invarianten</w:t>
      </w:r>
    </w:p>
    <w:p w:rsidR="00C4040D" w:rsidRDefault="00C4040D" w:rsidP="00C4040D">
      <w:pPr>
        <w:pStyle w:val="StandardWeb"/>
      </w:pPr>
      <w:r>
        <w:t>Eine Größe (\Pi) ist dimensionslos, wenn</w:t>
      </w:r>
    </w:p>
    <w:p w:rsidR="00C4040D" w:rsidRDefault="00C4040D" w:rsidP="00C4040D">
      <w:pPr>
        <w:pStyle w:val="berschrift1"/>
      </w:pPr>
      <w:r>
        <w:t>[</w:t>
      </w:r>
      <w:r>
        <w:br/>
        <w:t>[\Pi]</w:t>
      </w:r>
    </w:p>
    <w:p w:rsidR="00C4040D" w:rsidRDefault="00C4040D" w:rsidP="00632D23">
      <w:pPr>
        <w:numPr>
          <w:ilvl w:val="0"/>
          <w:numId w:val="152"/>
        </w:numPr>
        <w:spacing w:before="100" w:beforeAutospacing="1" w:after="100" w:afterAutospacing="1"/>
      </w:pPr>
    </w:p>
    <w:p w:rsidR="00C4040D" w:rsidRDefault="00C4040D" w:rsidP="00C4040D">
      <w:pPr>
        <w:pStyle w:val="StandardWeb"/>
      </w:pPr>
      <w:r>
        <w:t>\tag{3.5173}</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[\Pi]=1\qquad\text{(3.5173)}</w:t>
      </w:r>
    </w:p>
    <w:p w:rsidR="00C4040D" w:rsidRDefault="00C4040D" w:rsidP="00C4040D">
      <w:pPr>
        <w:pStyle w:val="StandardWeb"/>
      </w:pPr>
      <w:r>
        <w:t>Ein Verhältnis gleichartig dimensionierter Größen ist dimensionslos:</w:t>
      </w:r>
    </w:p>
    <w:p w:rsidR="00C4040D" w:rsidRDefault="00C4040D" w:rsidP="00C4040D">
      <w:pPr>
        <w:pStyle w:val="berschrift1"/>
      </w:pPr>
      <w:r>
        <w:t>[</w:t>
      </w:r>
      <w:r>
        <w:br/>
        <w:t>\Pi</w:t>
      </w:r>
    </w:p>
    <w:p w:rsidR="00C4040D" w:rsidRDefault="00C4040D" w:rsidP="00C4040D">
      <w:pPr>
        <w:pStyle w:val="berschrift1"/>
      </w:pPr>
      <w:r>
        <w:t>\frac{q_1}{q_2},</w:t>
      </w:r>
      <w:r>
        <w:br/>
        <w:t>\qquad</w:t>
      </w:r>
      <w:r>
        <w:br/>
        <w:t>[q_1]</w:t>
      </w:r>
    </w:p>
    <w:p w:rsidR="00C4040D" w:rsidRDefault="00C4040D" w:rsidP="00C4040D">
      <w:pPr>
        <w:pStyle w:val="StandardWeb"/>
      </w:pPr>
      <w:r>
        <w:t>[q_2].</w:t>
      </w:r>
      <w:r>
        <w:br/>
        <w:t>\tag{3.5174}</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lastRenderedPageBreak/>
        <w:t>\Pi=\frac{q_1}{q_2},\qquad[q_1]=[q_2]\qquad\text{(3.5174)}</w:t>
      </w:r>
    </w:p>
    <w:p w:rsidR="00C4040D" w:rsidRDefault="00C4040D" w:rsidP="00C4040D">
      <w:pPr>
        <w:pStyle w:val="StandardWeb"/>
      </w:pPr>
      <w:r>
        <w:t>Dimensionslose Größen eignen sich besonders für den Vergleich zwischen unterschiedlichen Einheiten- und Skalensystemen [75].</w:t>
      </w:r>
    </w:p>
    <w:p w:rsidR="00C4040D" w:rsidRPr="00AF32B2" w:rsidRDefault="00C4040D" w:rsidP="00AF32B2">
      <w:pPr>
        <w:pStyle w:val="berschrift4"/>
      </w:pPr>
      <w:r w:rsidRPr="00AF32B2">
        <w:t>3.3.27.20 Norminvarianz</w:t>
      </w:r>
    </w:p>
    <w:p w:rsidR="00C4040D" w:rsidRDefault="00C4040D" w:rsidP="00C4040D">
      <w:pPr>
        <w:pStyle w:val="StandardWeb"/>
      </w:pPr>
      <w:r>
        <w:t>Sei</w:t>
      </w:r>
    </w:p>
    <w:p w:rsidR="00C4040D" w:rsidRDefault="00C4040D" w:rsidP="00C4040D">
      <w:pPr>
        <w:pStyle w:val="StandardWeb"/>
      </w:pPr>
      <w:r>
        <w:t>[</w:t>
      </w:r>
      <w:r>
        <w:br/>
        <w:t>\delta</w:t>
      </w:r>
      <w:r>
        <w:br/>
        <w:t>\in</w:t>
      </w:r>
      <w:r>
        <w:br/>
        <w:t>\mathbb{R}^{n}</w:t>
      </w:r>
      <w:r>
        <w:br/>
        <w:t>\tag{3.5175}</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\delta\in\mathbb{R}^{n}\qquad\text{(3.5175)}</w:t>
      </w:r>
    </w:p>
    <w:p w:rsidR="00C4040D" w:rsidRDefault="00C4040D" w:rsidP="00C4040D">
      <w:pPr>
        <w:pStyle w:val="StandardWeb"/>
      </w:pPr>
      <w:r>
        <w:t>und (Q) eine orthogonale Transformation mit</w:t>
      </w:r>
    </w:p>
    <w:p w:rsidR="00C4040D" w:rsidRDefault="00C4040D" w:rsidP="00C4040D">
      <w:pPr>
        <w:pStyle w:val="berschrift1"/>
      </w:pPr>
      <w:r>
        <w:t>[</w:t>
      </w:r>
      <w:r>
        <w:br/>
        <w:t>Q^{\mathsf{T}}Q</w:t>
      </w:r>
    </w:p>
    <w:p w:rsidR="00C4040D" w:rsidRDefault="00C4040D" w:rsidP="00C4040D">
      <w:pPr>
        <w:pStyle w:val="StandardWeb"/>
      </w:pPr>
      <w:r>
        <w:t>I.</w:t>
      </w:r>
      <w:r>
        <w:br/>
        <w:t>\tag{3.5176}</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Q^{\mathsf{T}}Q=I\qquad\text{(3.5176)}</w:t>
      </w:r>
    </w:p>
    <w:p w:rsidR="00C4040D" w:rsidRDefault="00C4040D" w:rsidP="00C4040D">
      <w:pPr>
        <w:pStyle w:val="StandardWeb"/>
      </w:pPr>
      <w:r>
        <w:t>Für die euklidische Norm gilt</w:t>
      </w:r>
    </w:p>
    <w:p w:rsidR="00C4040D" w:rsidRDefault="00C4040D" w:rsidP="00C4040D">
      <w:pPr>
        <w:pStyle w:val="berschrift1"/>
      </w:pPr>
      <w:r>
        <w:t>[</w:t>
      </w:r>
      <w:r>
        <w:br/>
        <w:t>\left|</w:t>
      </w:r>
      <w:r>
        <w:br/>
        <w:t>Q\delta</w:t>
      </w:r>
      <w:r>
        <w:br/>
        <w:t>\right|_2</w:t>
      </w:r>
    </w:p>
    <w:p w:rsidR="00C4040D" w:rsidRDefault="00C4040D" w:rsidP="00C4040D">
      <w:pPr>
        <w:pStyle w:val="StandardWeb"/>
      </w:pPr>
      <w:r>
        <w:t>\left|</w:t>
      </w:r>
      <w:r>
        <w:br/>
        <w:t>\delta</w:t>
      </w:r>
      <w:r>
        <w:br/>
        <w:t>\right|_2.</w:t>
      </w:r>
      <w:r>
        <w:br/>
        <w:t>\tag{3.5177}</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lastRenderedPageBreak/>
        <w:t>\left\|Q\delta\right\|_2=\left\|\delta\right\|_2\qquad\text{(3.5177)}</w:t>
      </w:r>
    </w:p>
    <w:p w:rsidR="00C4040D" w:rsidRDefault="00C4040D" w:rsidP="00C4040D">
      <w:pPr>
        <w:pStyle w:val="StandardWeb"/>
      </w:pPr>
      <w:r>
        <w:t>Die euklidische Länge ist damit invariant unter orthogonalen Koordinatentransformationen.</w:t>
      </w:r>
    </w:p>
    <w:p w:rsidR="00C4040D" w:rsidRDefault="00C4040D" w:rsidP="00C4040D">
      <w:pPr>
        <w:pStyle w:val="StandardWeb"/>
      </w:pPr>
      <w:r>
        <w:t>Unter einer allgemeinen linearen Transformation (A) gilt dagegen nur</w:t>
      </w:r>
    </w:p>
    <w:p w:rsidR="00C4040D" w:rsidRDefault="00C4040D" w:rsidP="00C4040D">
      <w:pPr>
        <w:pStyle w:val="StandardWeb"/>
      </w:pPr>
      <w:r>
        <w:t>[</w:t>
      </w:r>
      <w:r>
        <w:br/>
        <w:t>\left|</w:t>
      </w:r>
      <w:r>
        <w:br/>
        <w:t>A\delta</w:t>
      </w:r>
      <w:r>
        <w:br/>
        <w:t>\right|</w:t>
      </w:r>
      <w:r>
        <w:br/>
        <w:t>\leq</w:t>
      </w:r>
      <w:r>
        <w:br/>
        <w:t>\left|</w:t>
      </w:r>
      <w:r>
        <w:br/>
        <w:t>A</w:t>
      </w:r>
      <w:r>
        <w:br/>
        <w:t>\right|</w:t>
      </w:r>
      <w:r>
        <w:br/>
        <w:t>\left|</w:t>
      </w:r>
      <w:r>
        <w:br/>
        <w:t>\delta</w:t>
      </w:r>
      <w:r>
        <w:br/>
        <w:t>\right|.</w:t>
      </w:r>
      <w:r>
        <w:br/>
        <w:t>\tag{3.5178}</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\left\|A\delta\right\|\leq\left\|A\right\|\left\|\delta\right\|\qquad\text{(3.5178)}</w:t>
      </w:r>
    </w:p>
    <w:p w:rsidR="00C4040D" w:rsidRDefault="00C4040D" w:rsidP="00C4040D">
      <w:pPr>
        <w:pStyle w:val="StandardWeb"/>
      </w:pPr>
      <w:r>
        <w:t>Eine Norm ist daher nicht unter jeder linearen Transformation invariant.</w:t>
      </w:r>
    </w:p>
    <w:p w:rsidR="00C4040D" w:rsidRPr="00AF32B2" w:rsidRDefault="00C4040D" w:rsidP="00AF32B2">
      <w:pPr>
        <w:pStyle w:val="berschrift4"/>
      </w:pPr>
      <w:r w:rsidRPr="00AF32B2">
        <w:t>3.3.27.21 Invarianz relationaler Kennwerte</w:t>
      </w:r>
    </w:p>
    <w:p w:rsidR="00C4040D" w:rsidRDefault="00C4040D" w:rsidP="00C4040D">
      <w:pPr>
        <w:pStyle w:val="StandardWeb"/>
      </w:pPr>
      <w:r>
        <w:t>Die Anzahl von Knoten eines endlichen Graphen bleibt unter Graphisomorphie erhalten:</w:t>
      </w:r>
    </w:p>
    <w:p w:rsidR="00C4040D" w:rsidRDefault="00C4040D" w:rsidP="00C4040D">
      <w:pPr>
        <w:pStyle w:val="berschrift1"/>
      </w:pPr>
      <w:r>
        <w:t>[</w:t>
      </w:r>
      <w:r>
        <w:br/>
        <w:t>|V|</w:t>
      </w:r>
    </w:p>
    <w:p w:rsidR="00C4040D" w:rsidRDefault="00C4040D" w:rsidP="00C4040D">
      <w:pPr>
        <w:pStyle w:val="StandardWeb"/>
      </w:pPr>
      <w:r>
        <w:t>|V^{\prime}|.</w:t>
      </w:r>
      <w:r>
        <w:br/>
        <w:t>\tag{3.5179}</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|V|=|V^{\prime}|\qquad\text{(3.5179)}</w:t>
      </w:r>
    </w:p>
    <w:p w:rsidR="00C4040D" w:rsidRDefault="00C4040D" w:rsidP="00C4040D">
      <w:pPr>
        <w:pStyle w:val="StandardWeb"/>
      </w:pPr>
      <w:r>
        <w:t>Ebenso bleibt die Anzahl der Kanten erhalten:</w:t>
      </w:r>
    </w:p>
    <w:p w:rsidR="00C4040D" w:rsidRDefault="00C4040D" w:rsidP="00C4040D">
      <w:pPr>
        <w:pStyle w:val="berschrift1"/>
      </w:pPr>
      <w:r>
        <w:t>[</w:t>
      </w:r>
      <w:r>
        <w:br/>
        <w:t>|E|</w:t>
      </w:r>
    </w:p>
    <w:p w:rsidR="00C4040D" w:rsidRDefault="00C4040D" w:rsidP="00C4040D">
      <w:pPr>
        <w:pStyle w:val="StandardWeb"/>
      </w:pPr>
      <w:r>
        <w:lastRenderedPageBreak/>
        <w:t>|E^{\prime}|.</w:t>
      </w:r>
      <w:r>
        <w:br/>
        <w:t>\tag{3.5180}</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|E|=|E^{\prime}|\qquad\text{(3.5180)}</w:t>
      </w:r>
    </w:p>
    <w:p w:rsidR="00C4040D" w:rsidRDefault="00C4040D" w:rsidP="00C4040D">
      <w:pPr>
        <w:pStyle w:val="StandardWeb"/>
      </w:pPr>
      <w:r>
        <w:t>Die Gradfolge bleibt bis auf Permutation invariant:</w:t>
      </w:r>
    </w:p>
    <w:p w:rsidR="00C4040D" w:rsidRDefault="00C4040D" w:rsidP="00C4040D">
      <w:pPr>
        <w:pStyle w:val="berschrift1"/>
      </w:pPr>
      <w:r>
        <w:t>[</w:t>
      </w:r>
      <w:r>
        <w:br/>
        <w:t>\operatorname{Gradfolge}(G)</w:t>
      </w:r>
    </w:p>
    <w:p w:rsidR="00C4040D" w:rsidRDefault="00C4040D" w:rsidP="00C4040D">
      <w:pPr>
        <w:pStyle w:val="StandardWeb"/>
      </w:pPr>
      <w:r>
        <w:t>\operatorname{Gradfolge}(G^{\prime}).</w:t>
      </w:r>
      <w:r>
        <w:br/>
        <w:t>\tag{3.5181}</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\operatorname{Gradfolge}(G)=\operatorname{Gradfolge}(G^{\prime})\qquad\text{(3.5181)}</w:t>
      </w:r>
    </w:p>
    <w:p w:rsidR="00C4040D" w:rsidRDefault="00C4040D" w:rsidP="00C4040D">
      <w:pPr>
        <w:pStyle w:val="StandardWeb"/>
      </w:pPr>
      <w:r>
        <w:t>Die konkrete Knotennummerierung ist dagegen keine strukturelle Invariante.</w:t>
      </w:r>
    </w:p>
    <w:p w:rsidR="00C4040D" w:rsidRPr="00AF32B2" w:rsidRDefault="00C4040D" w:rsidP="00AF32B2">
      <w:pPr>
        <w:pStyle w:val="berschrift4"/>
      </w:pPr>
      <w:r w:rsidRPr="00AF32B2">
        <w:t>3.3.27.22 Invarianz von Zyklen und Erreichbarkeit</w:t>
      </w:r>
    </w:p>
    <w:p w:rsidR="00C4040D" w:rsidRDefault="00C4040D" w:rsidP="00C4040D">
      <w:pPr>
        <w:pStyle w:val="StandardWeb"/>
      </w:pPr>
      <w:r>
        <w:t>Unter einem Graphisomorphismus bleibt die Existenz eines gerichteten Zyklus erhalten:</w:t>
      </w:r>
    </w:p>
    <w:p w:rsidR="00C4040D" w:rsidRDefault="00C4040D" w:rsidP="00C4040D">
      <w:pPr>
        <w:pStyle w:val="StandardWeb"/>
      </w:pPr>
      <w:r>
        <w:t>[</w:t>
      </w:r>
      <w:r>
        <w:br/>
        <w:t>G</w:t>
      </w:r>
      <w:r>
        <w:br/>
        <w:t>\text{ enthält einen Zyklus}</w:t>
      </w:r>
      <w:r>
        <w:br/>
        <w:t>\iff</w:t>
      </w:r>
      <w:r>
        <w:br/>
        <w:t>G^{\prime}</w:t>
      </w:r>
      <w:r>
        <w:br/>
        <w:t>\text{ enthält einen Zyklus}.</w:t>
      </w:r>
      <w:r>
        <w:br/>
        <w:t>\tag{3.5182}</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G\text{ enthält einen Zyklus}\iff G^{\prime}\text{ enthält einen Zyklus}\qquad\text{(3.5182)}</w:t>
      </w:r>
    </w:p>
    <w:p w:rsidR="00C4040D" w:rsidRDefault="00C4040D" w:rsidP="00C4040D">
      <w:pPr>
        <w:pStyle w:val="StandardWeb"/>
      </w:pPr>
      <w:r>
        <w:t>Ebenso bleibt Erreichbarkeit erhalten:</w:t>
      </w:r>
    </w:p>
    <w:p w:rsidR="00C4040D" w:rsidRDefault="00C4040D" w:rsidP="00C4040D">
      <w:pPr>
        <w:pStyle w:val="StandardWeb"/>
      </w:pPr>
      <w:r>
        <w:t>[</w:t>
      </w:r>
      <w:r>
        <w:br/>
        <w:t>v_i</w:t>
      </w:r>
      <w:r>
        <w:br/>
        <w:t>\leadsto</w:t>
      </w:r>
      <w:r>
        <w:br/>
        <w:t>v_j</w:t>
      </w:r>
      <w:r>
        <w:br/>
        <w:t>\iff</w:t>
      </w:r>
      <w:r>
        <w:br/>
        <w:t>\Phi(v_i)</w:t>
      </w:r>
      <w:r>
        <w:br/>
      </w:r>
      <w:r>
        <w:lastRenderedPageBreak/>
        <w:t>\leadsto^{\prime}</w:t>
      </w:r>
      <w:r>
        <w:br/>
        <w:t>\Phi(v_j).</w:t>
      </w:r>
      <w:r>
        <w:br/>
        <w:t>\tag{3.5183}</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v_i\leadsto v_j\iff\Phi(v_i)\leadsto^{\prime}\Phi(v_j)\qquad\text{(3.5183)}</w:t>
      </w:r>
    </w:p>
    <w:p w:rsidR="00C4040D" w:rsidRDefault="00C4040D" w:rsidP="00C4040D">
      <w:pPr>
        <w:pStyle w:val="StandardWeb"/>
      </w:pPr>
      <w:r>
        <w:t>Damit sind die in den vorherigen Abschnitten verwendeten Abhängigkeits- und Erreichbarkeitsstrukturen unabhängig von der konkreten Benennung der Repository-Objekte.</w:t>
      </w:r>
    </w:p>
    <w:p w:rsidR="00C4040D" w:rsidRPr="00AF32B2" w:rsidRDefault="00C4040D" w:rsidP="00AF32B2">
      <w:pPr>
        <w:pStyle w:val="berschrift4"/>
      </w:pPr>
      <w:r w:rsidRPr="00AF32B2">
        <w:t>3.3.27.23 Skalenabhängigkeit empirischer Schwellenwerte</w:t>
      </w:r>
    </w:p>
    <w:p w:rsidR="00C4040D" w:rsidRDefault="00C4040D" w:rsidP="00C4040D">
      <w:pPr>
        <w:pStyle w:val="StandardWeb"/>
      </w:pPr>
      <w:r>
        <w:t>Eine empirische Relation wurde in Abschnitt 3.3.26 durch</w:t>
      </w:r>
    </w:p>
    <w:p w:rsidR="00C4040D" w:rsidRDefault="00C4040D" w:rsidP="00C4040D">
      <w:pPr>
        <w:pStyle w:val="StandardWeb"/>
      </w:pPr>
      <w:r>
        <w:t>[</w:t>
      </w:r>
      <w:r>
        <w:br/>
        <w:t>d_{\mathrm{emp}}(d_i,d_j)</w:t>
      </w:r>
      <w:r>
        <w:br/>
        <w:t>\leq</w:t>
      </w:r>
      <w:r>
        <w:br/>
        <w:t>\varepsilon</w:t>
      </w:r>
      <w:r>
        <w:br/>
        <w:t>\tag{3.5184}</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d_{\mathrm{emp}}(d_i,d_j)\leq\varepsilon\qquad\text{(3.5184)}</w:t>
      </w:r>
    </w:p>
    <w:p w:rsidR="00C4040D" w:rsidRDefault="00C4040D" w:rsidP="00C4040D">
      <w:pPr>
        <w:pStyle w:val="StandardWeb"/>
      </w:pPr>
      <w:r>
        <w:t>definiert.</w:t>
      </w:r>
    </w:p>
    <w:p w:rsidR="00C4040D" w:rsidRDefault="00C4040D" w:rsidP="00C4040D">
      <w:pPr>
        <w:pStyle w:val="StandardWeb"/>
      </w:pPr>
      <w:r>
        <w:t>Unter einer Skalierung</w:t>
      </w:r>
    </w:p>
    <w:p w:rsidR="00C4040D" w:rsidRDefault="00C4040D" w:rsidP="00C4040D">
      <w:pPr>
        <w:pStyle w:val="berschrift1"/>
      </w:pPr>
      <w:r>
        <w:t>[</w:t>
      </w:r>
      <w:r>
        <w:br/>
        <w:t>d_{\mathrm{emp}}^{\prime}</w:t>
      </w:r>
    </w:p>
    <w:p w:rsidR="00C4040D" w:rsidRDefault="00C4040D" w:rsidP="00C4040D">
      <w:pPr>
        <w:pStyle w:val="StandardWeb"/>
      </w:pPr>
      <w:r>
        <w:t>a</w:t>
      </w:r>
      <w:r>
        <w:br/>
        <w:t>d_{\mathrm{emp}}</w:t>
      </w:r>
      <w:r>
        <w:br/>
        <w:t>\tag{3.5185}</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d_{\mathrm{emp}}^{\prime}=a\,d_{\mathrm{emp}}\qquad\text{(3.5185)}</w:t>
      </w:r>
    </w:p>
    <w:p w:rsidR="00C4040D" w:rsidRDefault="00C4040D" w:rsidP="00C4040D">
      <w:pPr>
        <w:pStyle w:val="StandardWeb"/>
      </w:pPr>
      <w:r>
        <w:t>muss auch der Schwellenwert transformiert werden:</w:t>
      </w:r>
    </w:p>
    <w:p w:rsidR="00C4040D" w:rsidRDefault="00C4040D" w:rsidP="00C4040D">
      <w:pPr>
        <w:pStyle w:val="berschrift1"/>
      </w:pPr>
      <w:r>
        <w:t>[</w:t>
      </w:r>
      <w:r>
        <w:br/>
        <w:t>\varepsilon^{\prime}</w:t>
      </w:r>
    </w:p>
    <w:p w:rsidR="00C4040D" w:rsidRDefault="00C4040D" w:rsidP="00C4040D">
      <w:pPr>
        <w:pStyle w:val="StandardWeb"/>
      </w:pPr>
      <w:r>
        <w:lastRenderedPageBreak/>
        <w:t>a\varepsilon.</w:t>
      </w:r>
      <w:r>
        <w:br/>
        <w:t>\tag{3.5186}</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\varepsilon^{\prime}=a\varepsilon\qquad\text{(3.5186)}</w:t>
      </w:r>
    </w:p>
    <w:p w:rsidR="00C4040D" w:rsidRDefault="00C4040D" w:rsidP="00C4040D">
      <w:pPr>
        <w:pStyle w:val="StandardWeb"/>
      </w:pPr>
      <w:r>
        <w:t>Dann bleibt die Relation invariant:</w:t>
      </w:r>
    </w:p>
    <w:p w:rsidR="00C4040D" w:rsidRDefault="00C4040D" w:rsidP="00C4040D">
      <w:pPr>
        <w:pStyle w:val="StandardWeb"/>
      </w:pPr>
      <w:r>
        <w:t>[</w:t>
      </w:r>
      <w:r>
        <w:br/>
        <w:t>d_{\mathrm{emp}}(d_i,d_j)</w:t>
      </w:r>
      <w:r>
        <w:br/>
        <w:t>\leq</w:t>
      </w:r>
      <w:r>
        <w:br/>
        <w:t>\varepsilon</w:t>
      </w:r>
      <w:r>
        <w:br/>
        <w:t>\iff</w:t>
      </w:r>
      <w:r>
        <w:br/>
        <w:t>d_{\mathrm{emp}}^{\prime}(d_i,d_j)</w:t>
      </w:r>
      <w:r>
        <w:br/>
        <w:t>\leq</w:t>
      </w:r>
      <w:r>
        <w:br/>
        <w:t>\varepsilon^{\prime}.</w:t>
      </w:r>
      <w:r>
        <w:br/>
        <w:t>\tag{3.5187}</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d_{\mathrm{emp}}(d_i,d_j)\leq\varepsilon\iff d_{\mathrm{emp}}^{\prime}(d_i,d_j)\leq\varepsilon^{\prime}\qquad\text{(3.5187)}</w:t>
      </w:r>
    </w:p>
    <w:p w:rsidR="00C4040D" w:rsidRDefault="00C4040D" w:rsidP="00C4040D">
      <w:pPr>
        <w:pStyle w:val="StandardWeb"/>
      </w:pPr>
      <w:r>
        <w:t>Ein unverändert beibehaltener Schwellenwert würde dagegen eine andere Relation erzeugen.</w:t>
      </w:r>
    </w:p>
    <w:p w:rsidR="00C4040D" w:rsidRPr="00AF32B2" w:rsidRDefault="00C4040D" w:rsidP="00AF32B2">
      <w:pPr>
        <w:pStyle w:val="berschrift4"/>
      </w:pPr>
      <w:r w:rsidRPr="00AF32B2">
        <w:t>3.3.27.24 Skalenabhängigkeit empirischer Fehlermaße</w:t>
      </w:r>
    </w:p>
    <w:p w:rsidR="00C4040D" w:rsidRDefault="00C4040D" w:rsidP="00C4040D">
      <w:pPr>
        <w:pStyle w:val="StandardWeb"/>
      </w:pPr>
      <w:r>
        <w:t>Für die absolute Abweichung gilt unter einer Skalierung</w:t>
      </w:r>
    </w:p>
    <w:p w:rsidR="00C4040D" w:rsidRDefault="00C4040D" w:rsidP="00C4040D">
      <w:pPr>
        <w:pStyle w:val="berschrift1"/>
      </w:pPr>
      <w:r>
        <w:t>[</w:t>
      </w:r>
      <w:r>
        <w:br/>
        <w:t>\Delta_{\mathrm{abs}}^{\prime}</w:t>
      </w:r>
    </w:p>
    <w:p w:rsidR="00C4040D" w:rsidRDefault="00C4040D" w:rsidP="00C4040D">
      <w:pPr>
        <w:pStyle w:val="StandardWeb"/>
      </w:pPr>
      <w:r>
        <w:t>a</w:t>
      </w:r>
      <w:r>
        <w:br/>
        <w:t>\Delta_{\mathrm{abs}}.</w:t>
      </w:r>
      <w:r>
        <w:br/>
        <w:t>\tag{3.5188}</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\Delta_{\mathrm{abs}}^{\prime}=a\Delta_{\mathrm{abs}}\qquad\text{(3.5188)}</w:t>
      </w:r>
    </w:p>
    <w:p w:rsidR="00C4040D" w:rsidRDefault="00C4040D" w:rsidP="00C4040D">
      <w:pPr>
        <w:pStyle w:val="StandardWeb"/>
      </w:pPr>
      <w:r>
        <w:t>Auch der Toleranzwert muss entsprechend transformiert werden:</w:t>
      </w:r>
    </w:p>
    <w:p w:rsidR="00C4040D" w:rsidRDefault="00C4040D" w:rsidP="00C4040D">
      <w:pPr>
        <w:pStyle w:val="berschrift1"/>
      </w:pPr>
      <w:r>
        <w:t>[</w:t>
      </w:r>
      <w:r>
        <w:br/>
        <w:t>\varepsilon_{\mathrm{emp}}^{\prime}</w:t>
      </w:r>
    </w:p>
    <w:p w:rsidR="00C4040D" w:rsidRDefault="00C4040D" w:rsidP="00C4040D">
      <w:pPr>
        <w:pStyle w:val="StandardWeb"/>
      </w:pPr>
      <w:r>
        <w:lastRenderedPageBreak/>
        <w:t>a</w:t>
      </w:r>
      <w:r>
        <w:br/>
        <w:t>\varepsilon_{\mathrm{emp}}.</w:t>
      </w:r>
      <w:r>
        <w:br/>
        <w:t>\tag{3.5189}</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\varepsilon_{\mathrm{emp}}^{\prime}=a\varepsilon_{\mathrm{emp}}\qquad\text{(3.5189)}</w:t>
      </w:r>
    </w:p>
    <w:p w:rsidR="00C4040D" w:rsidRDefault="00C4040D" w:rsidP="00C4040D">
      <w:pPr>
        <w:pStyle w:val="StandardWeb"/>
      </w:pPr>
      <w:r>
        <w:t>Dann bleibt die Akzeptanzentscheidung erhalten:</w:t>
      </w:r>
    </w:p>
    <w:p w:rsidR="00C4040D" w:rsidRDefault="00C4040D" w:rsidP="00C4040D">
      <w:pPr>
        <w:pStyle w:val="StandardWeb"/>
      </w:pPr>
      <w:r>
        <w:t>[</w:t>
      </w:r>
      <w:r>
        <w:br/>
        <w:t>\Delta_{\mathrm{abs}}</w:t>
      </w:r>
      <w:r>
        <w:br/>
        <w:t>\leq</w:t>
      </w:r>
      <w:r>
        <w:br/>
        <w:t>\varepsilon_{\mathrm{emp}}</w:t>
      </w:r>
      <w:r>
        <w:br/>
        <w:t>\iff</w:t>
      </w:r>
      <w:r>
        <w:br/>
        <w:t>\Delta_{\mathrm{abs}}^{\prime}</w:t>
      </w:r>
      <w:r>
        <w:br/>
        <w:t>\leq</w:t>
      </w:r>
      <w:r>
        <w:br/>
        <w:t>\varepsilon_{\mathrm{emp}}^{\prime}.</w:t>
      </w:r>
      <w:r>
        <w:br/>
        <w:t>\tag{3.5190}</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\Delta_{\mathrm{abs}}\leq\varepsilon_{\mathrm{emp}}\iff\Delta_{\mathrm{abs}}^{\prime}\leq\varepsilon_{\mathrm{emp}}^{\prime}\qquad\text{(3.5190)}</w:t>
      </w:r>
    </w:p>
    <w:p w:rsidR="00C4040D" w:rsidRPr="00AF32B2" w:rsidRDefault="00C4040D" w:rsidP="00AF32B2">
      <w:pPr>
        <w:pStyle w:val="berschrift4"/>
      </w:pPr>
      <w:r w:rsidRPr="00AF32B2">
        <w:t>3.3.27.25 Relative Fehlermaße</w:t>
      </w:r>
    </w:p>
    <w:p w:rsidR="00C4040D" w:rsidRDefault="00C4040D" w:rsidP="00C4040D">
      <w:pPr>
        <w:pStyle w:val="StandardWeb"/>
      </w:pPr>
      <w:r>
        <w:t>Ein relatives Fehlermaß lautet</w:t>
      </w:r>
    </w:p>
    <w:p w:rsidR="00C4040D" w:rsidRDefault="00C4040D" w:rsidP="00C4040D">
      <w:pPr>
        <w:pStyle w:val="berschrift1"/>
      </w:pPr>
      <w:r>
        <w:t>[</w:t>
      </w:r>
      <w:r>
        <w:br/>
        <w:t>\Delta_{\mathrm{rel}}</w:t>
      </w:r>
    </w:p>
    <w:p w:rsidR="00C4040D" w:rsidRDefault="00C4040D" w:rsidP="00C4040D">
      <w:pPr>
        <w:pStyle w:val="StandardWeb"/>
      </w:pPr>
      <w:r>
        <w:t>\frac{</w:t>
      </w:r>
      <w:r>
        <w:br/>
        <w:t>\left|</w:t>
      </w:r>
      <w:r>
        <w:br/>
        <w:t>y-\widehat{y}</w:t>
      </w:r>
      <w:r>
        <w:br/>
        <w:t>\right|</w:t>
      </w:r>
      <w:r>
        <w:br/>
        <w:t>}{</w:t>
      </w:r>
      <w:r>
        <w:br/>
        <w:t>|y|</w:t>
      </w:r>
      <w:r>
        <w:br/>
        <w:t>},</w:t>
      </w:r>
      <w:r>
        <w:br/>
        <w:t>\qquad</w:t>
      </w:r>
      <w:r>
        <w:br/>
        <w:t>y\neq0.</w:t>
      </w:r>
      <w:r>
        <w:br/>
        <w:t>\tag{3.5191}</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\Delta_{\mathrm{rel}}=\frac{\left|y-\widehat{y}\right|}{|y|},\qquad y\neq0\qquad\text{(3.5191)}</w:t>
      </w:r>
    </w:p>
    <w:p w:rsidR="00C4040D" w:rsidRDefault="00C4040D" w:rsidP="00C4040D">
      <w:pPr>
        <w:pStyle w:val="StandardWeb"/>
      </w:pPr>
      <w:r>
        <w:lastRenderedPageBreak/>
        <w:t>Unter einer positiven Skalierung gilt</w:t>
      </w:r>
    </w:p>
    <w:p w:rsidR="00C4040D" w:rsidRDefault="00C4040D" w:rsidP="00C4040D">
      <w:pPr>
        <w:pStyle w:val="berschrift1"/>
      </w:pPr>
      <w:r>
        <w:t>[</w:t>
      </w:r>
      <w:r>
        <w:br/>
        <w:t>\Delta_{\mathrm{rel}}^{\prime}</w:t>
      </w:r>
    </w:p>
    <w:p w:rsidR="00C4040D" w:rsidRDefault="00C4040D" w:rsidP="00C4040D">
      <w:pPr>
        <w:pStyle w:val="StandardWeb"/>
      </w:pPr>
      <w:r>
        <w:t>\Delta_{\mathrm{rel}}.</w:t>
      </w:r>
      <w:r>
        <w:br/>
        <w:t>\tag{3.5192}</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\Delta_{\mathrm{rel}}^{\prime}=\Delta_{\mathrm{rel}}\qquad\text{(3.5192)}</w:t>
      </w:r>
    </w:p>
    <w:p w:rsidR="00C4040D" w:rsidRDefault="00C4040D" w:rsidP="00C4040D">
      <w:pPr>
        <w:pStyle w:val="StandardWeb"/>
      </w:pPr>
      <w:r>
        <w:t>Das relative Fehlermaß ist damit einheiteninvariant, solange kein additiver Nullpunktwechsel vorliegt.</w:t>
      </w:r>
    </w:p>
    <w:p w:rsidR="00C4040D" w:rsidRPr="00AF32B2" w:rsidRDefault="00C4040D" w:rsidP="00AF32B2">
      <w:pPr>
        <w:pStyle w:val="berschrift4"/>
      </w:pPr>
      <w:r w:rsidRPr="00AF32B2">
        <w:t>3.3.27.26 Invarianz der empirischen Entscheidung</w:t>
      </w:r>
    </w:p>
    <w:p w:rsidR="00C4040D" w:rsidRDefault="00C4040D" w:rsidP="00C4040D">
      <w:pPr>
        <w:pStyle w:val="StandardWeb"/>
      </w:pPr>
      <w:r>
        <w:t>Sei</w:t>
      </w:r>
    </w:p>
    <w:p w:rsidR="00C4040D" w:rsidRDefault="00C4040D" w:rsidP="00C4040D">
      <w:pPr>
        <w:pStyle w:val="StandardWeb"/>
      </w:pPr>
      <w:r>
        <w:t>[</w:t>
      </w:r>
      <w:r>
        <w:br/>
        <w:t>\mathcal{C}_{\mathrm{emp}}</w:t>
      </w:r>
      <w:r>
        <w:br/>
        <w:t>\left(</w:t>
      </w:r>
      <w:r>
        <w:br/>
        <w:t>y,\widehat{y},\varepsilon</w:t>
      </w:r>
      <w:r>
        <w:br/>
        <w:t>\right)</w:t>
      </w:r>
      <w:r>
        <w:br/>
        <w:t>\in</w:t>
      </w:r>
      <w:r>
        <w:br/>
        <w:t>{0,1}</w:t>
      </w:r>
      <w:r>
        <w:br/>
        <w:t>\tag{3.5193}</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\mathcal{C}_{\mathrm{emp}}\left(y,\widehat{y},\varepsilon\right)\in\{0,1\}\qquad\text{(3.5193)}</w:t>
      </w:r>
    </w:p>
    <w:p w:rsidR="00C4040D" w:rsidRDefault="00C4040D" w:rsidP="00C4040D">
      <w:pPr>
        <w:pStyle w:val="StandardWeb"/>
      </w:pPr>
      <w:r>
        <w:t>das empirische Prüfprädikat.</w:t>
      </w:r>
    </w:p>
    <w:p w:rsidR="00C4040D" w:rsidRDefault="00C4040D" w:rsidP="00C4040D">
      <w:pPr>
        <w:pStyle w:val="StandardWeb"/>
      </w:pPr>
      <w:r>
        <w:t>Die Prüfentscheidung ist repräsentationsinvariant, wenn</w:t>
      </w:r>
    </w:p>
    <w:p w:rsidR="00C4040D" w:rsidRDefault="00C4040D" w:rsidP="00C4040D">
      <w:pPr>
        <w:pStyle w:val="berschrift1"/>
      </w:pPr>
      <w:r>
        <w:t>[</w:t>
      </w:r>
      <w:r>
        <w:br/>
        <w:t>\mathcal{C}_{\mathrm{emp}}</w:t>
      </w:r>
      <w:r>
        <w:br/>
        <w:t>\left(</w:t>
      </w:r>
      <w:r>
        <w:br/>
        <w:t>y,\widehat{y},\varepsilon</w:t>
      </w:r>
      <w:r>
        <w:br/>
        <w:t>\right)</w:t>
      </w:r>
    </w:p>
    <w:p w:rsidR="00C4040D" w:rsidRDefault="00C4040D" w:rsidP="00C4040D">
      <w:pPr>
        <w:pStyle w:val="StandardWeb"/>
      </w:pPr>
      <w:r>
        <w:lastRenderedPageBreak/>
        <w:t>\mathcal{C}</w:t>
      </w:r>
      <w:r>
        <w:rPr>
          <w:rStyle w:val="Hervorhebung"/>
        </w:rPr>
        <w:t>{\mathrm{emp}}^{\prime}</w:t>
      </w:r>
      <w:r>
        <w:rPr>
          <w:i/>
          <w:iCs/>
        </w:rPr>
        <w:br/>
      </w:r>
      <w:r>
        <w:rPr>
          <w:rStyle w:val="Hervorhebung"/>
        </w:rPr>
        <w:t>\left(</w:t>
      </w:r>
      <w:r>
        <w:rPr>
          <w:i/>
          <w:iCs/>
        </w:rPr>
        <w:br/>
      </w:r>
      <w:r>
        <w:rPr>
          <w:rStyle w:val="Hervorhebung"/>
        </w:rPr>
        <w:t>g(y),g(\widehat{y}),g</w:t>
      </w:r>
      <w:r>
        <w:t>{\varepsilon}(\varepsilon)</w:t>
      </w:r>
      <w:r>
        <w:br/>
        <w:t>\right).</w:t>
      </w:r>
      <w:r>
        <w:br/>
        <w:t>\tag{3.5194}</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\mathcal{C}_{\mathrm{emp}}\left(y,\widehat{y},\varepsilon\right)=\mathcal{C}_{\mathrm{emp}}^{\prime}\left(g(y),g(\widehat{y}),g_{\varepsilon}(\varepsilon)\right)\qquad\text{(3.5194)}</w:t>
      </w:r>
    </w:p>
    <w:p w:rsidR="00C4040D" w:rsidRDefault="00C4040D" w:rsidP="00C4040D">
      <w:pPr>
        <w:pStyle w:val="StandardWeb"/>
      </w:pPr>
      <w:r>
        <w:t>Eine Änderung der Einheit darf somit nicht allein zu einer anderen Annahme- oder Zurückweisungsentscheidung führen.</w:t>
      </w:r>
    </w:p>
    <w:p w:rsidR="00C4040D" w:rsidRPr="00AF32B2" w:rsidRDefault="00C4040D" w:rsidP="00AF32B2">
      <w:pPr>
        <w:pStyle w:val="berschrift4"/>
      </w:pPr>
      <w:r w:rsidRPr="00AF32B2">
        <w:t>3.3.27.27 Nichtinvariante Aussagen</w:t>
      </w:r>
    </w:p>
    <w:p w:rsidR="00C4040D" w:rsidRDefault="00C4040D" w:rsidP="00C4040D">
      <w:pPr>
        <w:pStyle w:val="StandardWeb"/>
      </w:pPr>
      <w:r>
        <w:t>Eine Aussage ist nicht invariant, wenn eine zulässige Transformation existiert, für die</w:t>
      </w:r>
    </w:p>
    <w:p w:rsidR="00C4040D" w:rsidRDefault="00C4040D" w:rsidP="00C4040D">
      <w:pPr>
        <w:pStyle w:val="StandardWeb"/>
      </w:pPr>
      <w:r>
        <w:t>[</w:t>
      </w:r>
      <w:r>
        <w:br/>
        <w:t>P(y)</w:t>
      </w:r>
      <w:r>
        <w:br/>
        <w:t>\neq</w:t>
      </w:r>
      <w:r>
        <w:br/>
        <w:t>P</w:t>
      </w:r>
      <w:r>
        <w:br/>
        <w:t>\left(</w:t>
      </w:r>
      <w:r>
        <w:br/>
        <w:t>g(y)</w:t>
      </w:r>
      <w:r>
        <w:br/>
        <w:t>\right).</w:t>
      </w:r>
      <w:r>
        <w:br/>
        <w:t>\tag{3.5195}</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P(y)\neq P\left(g(y)\right)\qquad\text{(3.5195)}</w:t>
      </w:r>
    </w:p>
    <w:p w:rsidR="00C4040D" w:rsidRDefault="00C4040D" w:rsidP="00C4040D">
      <w:pPr>
        <w:pStyle w:val="StandardWeb"/>
      </w:pPr>
      <w:r>
        <w:t>Die Menge der verletzenden Transformationen lautet</w:t>
      </w:r>
    </w:p>
    <w:p w:rsidR="00C4040D" w:rsidRDefault="00C4040D" w:rsidP="00C4040D">
      <w:pPr>
        <w:pStyle w:val="berschrift1"/>
      </w:pPr>
      <w:r>
        <w:t>[</w:t>
      </w:r>
      <w:r>
        <w:br/>
        <w:t>\mathfrak{G}_{\mathrm{viol}}(P)</w:t>
      </w:r>
    </w:p>
    <w:p w:rsidR="00C4040D" w:rsidRDefault="00C4040D" w:rsidP="00C4040D">
      <w:pPr>
        <w:pStyle w:val="StandardWeb"/>
      </w:pPr>
      <w:r>
        <w:t>\left{</w:t>
      </w:r>
      <w:r>
        <w:br/>
        <w:t>g\in\mathfrak{G}_{\mathrm{zul}}</w:t>
      </w:r>
      <w:r>
        <w:br/>
        <w:t>;\middle|;</w:t>
      </w:r>
      <w:r>
        <w:br/>
        <w:t>P(y)</w:t>
      </w:r>
      <w:r>
        <w:br/>
        <w:t>\neq</w:t>
      </w:r>
      <w:r>
        <w:br/>
        <w:t>P(g(y))</w:t>
      </w:r>
      <w:r>
        <w:br/>
        <w:t>\right}.</w:t>
      </w:r>
      <w:r>
        <w:br/>
        <w:t>\tag{3.5196}</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lastRenderedPageBreak/>
        <w:t>\mathfrak{G}_{\mathrm{viol}}(P)=\left\{g\in\mathfrak{G}_{\mathrm{zul}}\middle|P(y)\neq P(g(y))\right\}\qquad\text{(3.5196)}</w:t>
      </w:r>
    </w:p>
    <w:p w:rsidR="00C4040D" w:rsidRDefault="00C4040D" w:rsidP="00C4040D">
      <w:pPr>
        <w:pStyle w:val="StandardWeb"/>
      </w:pPr>
      <w:r>
        <w:t>Eine vollständig invariante Aussage erfüllt</w:t>
      </w:r>
    </w:p>
    <w:p w:rsidR="00C4040D" w:rsidRDefault="00C4040D" w:rsidP="00C4040D">
      <w:pPr>
        <w:pStyle w:val="berschrift1"/>
      </w:pPr>
      <w:r>
        <w:t>[</w:t>
      </w:r>
      <w:r>
        <w:br/>
        <w:t>\mathfrak{G}_{\mathrm{viol}}(P)</w:t>
      </w:r>
    </w:p>
    <w:p w:rsidR="00C4040D" w:rsidRDefault="00C4040D" w:rsidP="00C4040D">
      <w:pPr>
        <w:pStyle w:val="StandardWeb"/>
      </w:pPr>
      <w:r>
        <w:t>\emptyset.</w:t>
      </w:r>
      <w:r>
        <w:br/>
        <w:t>\tag{3.5197}</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\mathfrak{G}_{\mathrm{viol}}(P)=\emptyset\qquad\text{(3.5197)}</w:t>
      </w:r>
    </w:p>
    <w:p w:rsidR="00C4040D" w:rsidRPr="00AF32B2" w:rsidRDefault="00C4040D" w:rsidP="00AF32B2">
      <w:pPr>
        <w:pStyle w:val="berschrift4"/>
      </w:pPr>
      <w:r w:rsidRPr="00AF32B2">
        <w:t>3.3.27.28 Invarianzklasse einer Aussage</w:t>
      </w:r>
    </w:p>
    <w:p w:rsidR="00C4040D" w:rsidRDefault="00C4040D" w:rsidP="00C4040D">
      <w:pPr>
        <w:pStyle w:val="StandardWeb"/>
      </w:pPr>
      <w:r>
        <w:t>Die Invarianzklasse einer Aussage (P) lautet</w:t>
      </w:r>
    </w:p>
    <w:p w:rsidR="00C4040D" w:rsidRDefault="00C4040D" w:rsidP="00C4040D">
      <w:pPr>
        <w:pStyle w:val="berschrift1"/>
      </w:pPr>
      <w:r>
        <w:t>[</w:t>
      </w:r>
      <w:r>
        <w:br/>
        <w:t>\operatorname{InvKl}(P)</w:t>
      </w:r>
    </w:p>
    <w:p w:rsidR="00C4040D" w:rsidRDefault="00C4040D" w:rsidP="00C4040D">
      <w:pPr>
        <w:pStyle w:val="berschrift1"/>
      </w:pPr>
      <w:r>
        <w:t>\left{</w:t>
      </w:r>
      <w:r>
        <w:br/>
        <w:t>g</w:t>
      </w:r>
      <w:r>
        <w:br/>
        <w:t>\in</w:t>
      </w:r>
      <w:r>
        <w:br/>
        <w:t>\mathfrak{G}</w:t>
      </w:r>
      <w:r>
        <w:rPr>
          <w:rStyle w:val="Hervorhebung"/>
        </w:rPr>
        <w:t>{\mathrm{zul}}</w:t>
      </w:r>
      <w:r>
        <w:rPr>
          <w:i/>
          <w:iCs/>
        </w:rPr>
        <w:br/>
      </w:r>
      <w:r>
        <w:rPr>
          <w:rStyle w:val="Hervorhebung"/>
        </w:rPr>
        <w:t>;\middle|;</w:t>
      </w:r>
      <w:r>
        <w:rPr>
          <w:i/>
          <w:iCs/>
        </w:rPr>
        <w:br/>
      </w:r>
      <w:r>
        <w:rPr>
          <w:rStyle w:val="Hervorhebung"/>
        </w:rPr>
        <w:t>\operatorname{Inv}</w:t>
      </w:r>
      <w:r>
        <w:t>{F}(P,g)</w:t>
      </w:r>
    </w:p>
    <w:p w:rsidR="00C4040D" w:rsidRDefault="00C4040D" w:rsidP="00C4040D">
      <w:pPr>
        <w:pStyle w:val="StandardWeb"/>
      </w:pPr>
      <w:r>
        <w:t>1</w:t>
      </w:r>
      <w:r>
        <w:br/>
        <w:t>\right}.</w:t>
      </w:r>
      <w:r>
        <w:br/>
        <w:t>\tag{3.5198}</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\operatorname{InvKl}(P)=\left\{g\in\mathfrak{G}_{\mathrm{zul}}\middle|\operatorname{Inv}_{F}(P,g)=1\right\}\qquad\text{(3.5198)}</w:t>
      </w:r>
    </w:p>
    <w:p w:rsidR="00C4040D" w:rsidRDefault="00C4040D" w:rsidP="00C4040D">
      <w:pPr>
        <w:pStyle w:val="StandardWeb"/>
      </w:pPr>
      <w:r>
        <w:t>Je größer die Invarianzklasse, desto unabhängiger ist die Aussage von der gewählten Repräsentation.</w:t>
      </w:r>
    </w:p>
    <w:p w:rsidR="00C4040D" w:rsidRDefault="00C4040D" w:rsidP="00C4040D">
      <w:pPr>
        <w:pStyle w:val="StandardWeb"/>
      </w:pPr>
      <w:r>
        <w:t>Eine Aussage kann beispielsweise unter positiven Skalierungen invariant, unter additiven Verschiebungen aber nicht invariant sein.</w:t>
      </w:r>
    </w:p>
    <w:p w:rsidR="00C4040D" w:rsidRPr="00AF32B2" w:rsidRDefault="00C4040D" w:rsidP="00AF32B2">
      <w:pPr>
        <w:pStyle w:val="berschrift4"/>
      </w:pPr>
      <w:r w:rsidRPr="00AF32B2">
        <w:lastRenderedPageBreak/>
        <w:t>3.3.27.29 Invarianzgrad</w:t>
      </w:r>
    </w:p>
    <w:p w:rsidR="00C4040D" w:rsidRDefault="00C4040D" w:rsidP="00C4040D">
      <w:pPr>
        <w:pStyle w:val="StandardWeb"/>
      </w:pPr>
      <w:r>
        <w:t>Für eine endliche Menge geprüfter Transformationen kann ein Invarianzgrad definiert werden:</w:t>
      </w:r>
    </w:p>
    <w:p w:rsidR="00C4040D" w:rsidRDefault="00C4040D" w:rsidP="00C4040D">
      <w:pPr>
        <w:pStyle w:val="berschrift1"/>
      </w:pPr>
      <w:r>
        <w:t>[</w:t>
      </w:r>
      <w:r>
        <w:br/>
        <w:t>\operatorname{Grad}_{\mathrm{Inv}}(P)</w:t>
      </w:r>
    </w:p>
    <w:p w:rsidR="00C4040D" w:rsidRDefault="00C4040D" w:rsidP="00C4040D">
      <w:pPr>
        <w:pStyle w:val="StandardWeb"/>
      </w:pPr>
      <w:r>
        <w:t>\frac{</w:t>
      </w:r>
      <w:r>
        <w:br/>
        <w:t>\left|</w:t>
      </w:r>
      <w:r>
        <w:br/>
        <w:t>\operatorname{InvKl}(P)</w:t>
      </w:r>
      <w:r>
        <w:br/>
        <w:t>\right|</w:t>
      </w:r>
      <w:r>
        <w:br/>
        <w:t>}{</w:t>
      </w:r>
      <w:r>
        <w:br/>
        <w:t>\left|</w:t>
      </w:r>
      <w:r>
        <w:br/>
        <w:t>\mathfrak{G}_{\mathrm{zul}}</w:t>
      </w:r>
      <w:r>
        <w:br/>
        <w:t>\right|</w:t>
      </w:r>
      <w:r>
        <w:br/>
        <w:t>}.</w:t>
      </w:r>
      <w:r>
        <w:br/>
        <w:t>\tag{3.5199}</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\operatorname{Grad}_{\mathrm{Inv}}(P)=\frac{\left|\operatorname{InvKl}(P)\right|}{\left|\mathfrak{G}_{\mathrm{zul}}\right|}\qquad\text{(3.5199)}</w:t>
      </w:r>
    </w:p>
    <w:p w:rsidR="00C4040D" w:rsidRDefault="00C4040D" w:rsidP="00C4040D">
      <w:pPr>
        <w:pStyle w:val="StandardWeb"/>
      </w:pPr>
      <w:r>
        <w:t>Dabei gilt</w:t>
      </w:r>
    </w:p>
    <w:p w:rsidR="00C4040D" w:rsidRDefault="00C4040D" w:rsidP="00C4040D">
      <w:pPr>
        <w:pStyle w:val="StandardWeb"/>
      </w:pPr>
      <w:r>
        <w:t>[</w:t>
      </w:r>
      <w:r>
        <w:br/>
        <w:t>0</w:t>
      </w:r>
      <w:r>
        <w:br/>
        <w:t>\leq</w:t>
      </w:r>
      <w:r>
        <w:br/>
        <w:t>\operatorname{Grad}_{\mathrm{Inv}}(P)</w:t>
      </w:r>
      <w:r>
        <w:br/>
        <w:t>\leq</w:t>
      </w:r>
      <w:r>
        <w:br/>
        <w:t>1.</w:t>
      </w:r>
      <w:r>
        <w:br/>
        <w:t>\tag{3.5200}</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0\leq\operatorname{Grad}_{\mathrm{Inv}}(P)\leq1\qquad\text{(3.5200)}</w:t>
      </w:r>
    </w:p>
    <w:p w:rsidR="00C4040D" w:rsidRDefault="00C4040D" w:rsidP="00C4040D">
      <w:pPr>
        <w:pStyle w:val="StandardWeb"/>
      </w:pPr>
      <w:r>
        <w:t>Der Wert eins kennzeichnet vollständige Invarianz innerhalb der geprüften endlichen Transformationsmenge.</w:t>
      </w:r>
    </w:p>
    <w:p w:rsidR="00C4040D" w:rsidRDefault="00C4040D" w:rsidP="00C4040D">
      <w:pPr>
        <w:pStyle w:val="StandardWeb"/>
      </w:pPr>
      <w:r>
        <w:rPr>
          <w:rStyle w:val="Fett"/>
        </w:rPr>
        <w:t>Eigenleistung des FRZK</w:t>
      </w:r>
    </w:p>
    <w:p w:rsidR="00C4040D" w:rsidRDefault="00C4040D" w:rsidP="00C4040D">
      <w:pPr>
        <w:pStyle w:val="StandardWeb"/>
      </w:pPr>
      <w:r>
        <w:t>Der Invarianzgrad ist kein universelles mathematisches Maß, sondern ein dokumentierbares Prüfmaß für eine ausdrücklich festgelegte endliche Menge relevanter Repräsentationstransformationen.</w:t>
      </w:r>
    </w:p>
    <w:p w:rsidR="00C4040D" w:rsidRPr="00AF32B2" w:rsidRDefault="00C4040D" w:rsidP="00AF32B2">
      <w:pPr>
        <w:pStyle w:val="berschrift4"/>
      </w:pPr>
      <w:r w:rsidRPr="00AF32B2">
        <w:t>3.3.27.30 Skalenrobustheit</w:t>
      </w:r>
    </w:p>
    <w:p w:rsidR="00C4040D" w:rsidRDefault="00C4040D" w:rsidP="00C4040D">
      <w:pPr>
        <w:pStyle w:val="StandardWeb"/>
      </w:pPr>
      <w:r>
        <w:lastRenderedPageBreak/>
        <w:t>Eine empirische Aussage (P) heißt skalenrobust, wenn sie unter allen für die verwendete Skala zulässigen Transformationen erhalten bleibt:</w:t>
      </w:r>
    </w:p>
    <w:p w:rsidR="00C4040D" w:rsidRDefault="00C4040D" w:rsidP="00C4040D">
      <w:pPr>
        <w:pStyle w:val="berschrift1"/>
      </w:pPr>
      <w:r>
        <w:t>[</w:t>
      </w:r>
      <w:r>
        <w:br/>
        <w:t>\forall</w:t>
      </w:r>
      <w:r>
        <w:br/>
        <w:t>g</w:t>
      </w:r>
      <w:r>
        <w:br/>
        <w:t>\in</w:t>
      </w:r>
      <w:r>
        <w:br/>
        <w:t>\mathfrak{G}</w:t>
      </w:r>
      <w:r>
        <w:rPr>
          <w:rStyle w:val="Hervorhebung"/>
        </w:rPr>
        <w:t>{\mathrm{Skala}}:</w:t>
      </w:r>
      <w:r>
        <w:rPr>
          <w:i/>
          <w:iCs/>
        </w:rPr>
        <w:br/>
      </w:r>
      <w:r>
        <w:rPr>
          <w:rStyle w:val="Hervorhebung"/>
        </w:rPr>
        <w:t>\operatorname{Inv}</w:t>
      </w:r>
      <w:r>
        <w:t>{F}(P,g)</w:t>
      </w:r>
    </w:p>
    <w:p w:rsidR="00C4040D" w:rsidRDefault="00C4040D" w:rsidP="00632D23">
      <w:pPr>
        <w:numPr>
          <w:ilvl w:val="0"/>
          <w:numId w:val="153"/>
        </w:numPr>
        <w:spacing w:before="100" w:beforeAutospacing="1" w:after="100" w:afterAutospacing="1"/>
      </w:pPr>
    </w:p>
    <w:p w:rsidR="00C4040D" w:rsidRDefault="00C4040D" w:rsidP="00C4040D">
      <w:pPr>
        <w:pStyle w:val="StandardWeb"/>
      </w:pPr>
      <w:r>
        <w:t>\tag{3.5201}</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\forall g\in\mathfrak{G}_{\mathrm{Skala}}:\operatorname{Inv}_{F}(P,g)=1\qquad\text{(3.5201)}</w:t>
      </w:r>
    </w:p>
    <w:p w:rsidR="00C4040D" w:rsidRDefault="00C4040D" w:rsidP="00C4040D">
      <w:pPr>
        <w:pStyle w:val="StandardWeb"/>
      </w:pPr>
      <w:r>
        <w:t>Das Skalenrobustheitsprädikat lautet</w:t>
      </w:r>
    </w:p>
    <w:p w:rsidR="00C4040D" w:rsidRDefault="00C4040D" w:rsidP="00C4040D">
      <w:pPr>
        <w:pStyle w:val="StandardWeb"/>
      </w:pPr>
      <w:r>
        <w:t>[</w:t>
      </w:r>
      <w:r>
        <w:br/>
        <w:t>\operatorname{SR}</w:t>
      </w:r>
      <w:r>
        <w:rPr>
          <w:rStyle w:val="Hervorhebung"/>
        </w:rPr>
        <w:t>{F}:</w:t>
      </w:r>
      <w:r>
        <w:rPr>
          <w:i/>
          <w:iCs/>
        </w:rPr>
        <w:br/>
      </w:r>
      <w:r>
        <w:rPr>
          <w:rStyle w:val="Hervorhebung"/>
        </w:rPr>
        <w:t>\mathcal{P}</w:t>
      </w:r>
      <w:r>
        <w:t>{F}</w:t>
      </w:r>
      <w:r>
        <w:br/>
        <w:t>\rightarrow</w:t>
      </w:r>
      <w:r>
        <w:br/>
        <w:t>{0,1}.</w:t>
      </w:r>
      <w:r>
        <w:br/>
        <w:t>\tag{3.5202}</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\operatorname{SR}_{F}:\mathcal{P}_{F}\rightarrow\{0,1\}\qquad\text{(3.5202)}</w:t>
      </w:r>
    </w:p>
    <w:p w:rsidR="00C4040D" w:rsidRDefault="00C4040D" w:rsidP="00C4040D">
      <w:pPr>
        <w:pStyle w:val="StandardWeb"/>
      </w:pPr>
      <w:r>
        <w:t>Für eine skalenrobuste Aussage gilt</w:t>
      </w:r>
    </w:p>
    <w:p w:rsidR="00C4040D" w:rsidRDefault="00C4040D" w:rsidP="00C4040D">
      <w:pPr>
        <w:pStyle w:val="berschrift1"/>
      </w:pPr>
      <w:r>
        <w:t>[</w:t>
      </w:r>
      <w:r>
        <w:br/>
        <w:t>\operatorname{SR}_{F}(P)</w:t>
      </w:r>
    </w:p>
    <w:p w:rsidR="00C4040D" w:rsidRDefault="00C4040D" w:rsidP="00632D23">
      <w:pPr>
        <w:numPr>
          <w:ilvl w:val="0"/>
          <w:numId w:val="154"/>
        </w:numPr>
        <w:spacing w:before="100" w:beforeAutospacing="1" w:after="100" w:afterAutospacing="1"/>
      </w:pPr>
    </w:p>
    <w:p w:rsidR="00C4040D" w:rsidRDefault="00C4040D" w:rsidP="00C4040D">
      <w:pPr>
        <w:pStyle w:val="StandardWeb"/>
      </w:pPr>
      <w:r>
        <w:t>\tag{3.5203}</w:t>
      </w:r>
      <w:r>
        <w:br/>
        <w:t>]</w:t>
      </w:r>
    </w:p>
    <w:p w:rsidR="00C4040D" w:rsidRDefault="00C4040D" w:rsidP="00C4040D">
      <w:pPr>
        <w:pStyle w:val="StandardWeb"/>
      </w:pPr>
      <w:r>
        <w:rPr>
          <w:rStyle w:val="Fett"/>
        </w:rPr>
        <w:lastRenderedPageBreak/>
        <w:t>Word-LaTeX</w:t>
      </w:r>
    </w:p>
    <w:p w:rsidR="00C4040D" w:rsidRDefault="00C4040D" w:rsidP="00C4040D">
      <w:pPr>
        <w:pStyle w:val="HTMLVorformatiert"/>
        <w:rPr>
          <w:rStyle w:val="HTMLCode"/>
        </w:rPr>
      </w:pPr>
      <w:r>
        <w:rPr>
          <w:rStyle w:val="HTMLCode"/>
        </w:rPr>
        <w:t>\operatorname{SR}_{F}(P)=1\qquad\text{(3.5203)}</w:t>
      </w:r>
    </w:p>
    <w:p w:rsidR="00C4040D" w:rsidRPr="00AF32B2" w:rsidRDefault="00C4040D" w:rsidP="00AF32B2">
      <w:pPr>
        <w:pStyle w:val="berschrift4"/>
      </w:pPr>
      <w:r w:rsidRPr="00AF32B2">
        <w:t>3.3.27.31 Satz zur Repräsentationsinvarianz</w:t>
      </w:r>
    </w:p>
    <w:p w:rsidR="00C4040D" w:rsidRDefault="00C4040D" w:rsidP="00C4040D">
      <w:pPr>
        <w:pStyle w:val="StandardWeb"/>
      </w:pPr>
      <w:r>
        <w:rPr>
          <w:rStyle w:val="Fett"/>
        </w:rPr>
        <w:t>Satz 3.3.9 – Repräsentationsinvarianz struktureller FRZK-Aussagen</w:t>
      </w:r>
    </w:p>
    <w:p w:rsidR="00C4040D" w:rsidRDefault="00C4040D" w:rsidP="00C4040D">
      <w:pPr>
        <w:pStyle w:val="StandardWeb"/>
      </w:pPr>
      <w:r>
        <w:t>Seien (\mathcal{M}) und (\mathcal{M}^{\prime}) zwei durch einen strukturerhaltenden Isomorphismus</w:t>
      </w:r>
    </w:p>
    <w:p w:rsidR="00C4040D" w:rsidRDefault="00C4040D" w:rsidP="00C4040D">
      <w:pPr>
        <w:pStyle w:val="StandardWeb"/>
      </w:pPr>
      <w:r>
        <w:t>[</w:t>
      </w:r>
      <w:r>
        <w:br/>
        <w:t>\Phi:</w:t>
      </w:r>
      <w:r>
        <w:br/>
        <w:t>\mathcal{M}</w:t>
      </w:r>
      <w:r>
        <w:br/>
        <w:t>\rightarrow</w:t>
      </w:r>
      <w:r>
        <w:br/>
        <w:t>\mathcal{M}^{\prime}</w:t>
      </w:r>
      <w:r>
        <w:br/>
        <w:t>\tag{3.5204}</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\Phi:\mathcal{M}\rightarrow\mathcal{M}^{\prime}\qquad\text{(3.5204)}</w:t>
      </w:r>
    </w:p>
    <w:p w:rsidR="00C4040D" w:rsidRDefault="00C4040D" w:rsidP="00C4040D">
      <w:pPr>
        <w:pStyle w:val="StandardWeb"/>
      </w:pPr>
      <w:r>
        <w:t>verbundene FRZK-Modellinstanzen. Dann bleiben alle ausschließlich durch Zustandszugehörigkeit, Relationen, Transformationen, Erreichbarkeit und funktionale Ordnung bestimmten Aussagen unter (\Phi) invariant.</w:t>
      </w:r>
    </w:p>
    <w:p w:rsidR="00C4040D" w:rsidRDefault="00C4040D" w:rsidP="00C4040D">
      <w:pPr>
        <w:pStyle w:val="StandardWeb"/>
      </w:pPr>
      <w:r>
        <w:t>Formal gilt für jede strukturelle Aussage (P_{\mathrm{str}}):</w:t>
      </w:r>
    </w:p>
    <w:p w:rsidR="00C4040D" w:rsidRDefault="00C4040D" w:rsidP="00C4040D">
      <w:pPr>
        <w:pStyle w:val="StandardWeb"/>
      </w:pPr>
      <w:r>
        <w:t>[</w:t>
      </w:r>
      <w:r>
        <w:br/>
        <w:t>\mathcal{M}</w:t>
      </w:r>
      <w:r>
        <w:br/>
        <w:t>\models</w:t>
      </w:r>
      <w:r>
        <w:br/>
        <w:t>P_{\mathrm{str}}</w:t>
      </w:r>
      <w:r>
        <w:br/>
        <w:t>\iff</w:t>
      </w:r>
      <w:r>
        <w:br/>
        <w:t>\mathcal{M}^{\prime}</w:t>
      </w:r>
      <w:r>
        <w:br/>
        <w:t>\models</w:t>
      </w:r>
      <w:r>
        <w:br/>
        <w:t>P_{\mathrm{str}}.</w:t>
      </w:r>
      <w:r>
        <w:br/>
        <w:t>\tag{3.5205}</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\mathcal{M}\models P_{\mathrm{str}}\iff\mathcal{M}^{\prime}\models P_{\mathrm{str}}\qquad\text{(3.5205)}</w:t>
      </w:r>
    </w:p>
    <w:p w:rsidR="00C4040D" w:rsidRDefault="00C4040D" w:rsidP="00C4040D">
      <w:pPr>
        <w:pStyle w:val="berschrift3"/>
      </w:pPr>
      <w:r>
        <w:t>Beweis</w:t>
      </w:r>
    </w:p>
    <w:p w:rsidR="00C4040D" w:rsidRDefault="00C4040D" w:rsidP="00C4040D">
      <w:pPr>
        <w:pStyle w:val="StandardWeb"/>
      </w:pPr>
      <w:r>
        <w:t>Da (\Phi) ein strukturerhaltender Isomorphismus ist, besteht eine bijektive Zuordnung zwischen den Zuständen beider Modelle.</w:t>
      </w:r>
    </w:p>
    <w:p w:rsidR="00C4040D" w:rsidRDefault="00C4040D" w:rsidP="00C4040D">
      <w:pPr>
        <w:pStyle w:val="StandardWeb"/>
      </w:pPr>
      <w:r>
        <w:t>Für Relationen gilt</w:t>
      </w:r>
    </w:p>
    <w:p w:rsidR="00C4040D" w:rsidRDefault="00C4040D" w:rsidP="00C4040D">
      <w:pPr>
        <w:pStyle w:val="StandardWeb"/>
      </w:pPr>
      <w:r>
        <w:lastRenderedPageBreak/>
        <w:t>[</w:t>
      </w:r>
      <w:r>
        <w:br/>
        <w:t>(\delta_i,\delta_j)</w:t>
      </w:r>
      <w:r>
        <w:br/>
        <w:t>\in</w:t>
      </w:r>
      <w:r>
        <w:br/>
        <w:t>R</w:t>
      </w:r>
      <w:r>
        <w:br/>
        <w:t>\iff</w:t>
      </w:r>
      <w:r>
        <w:br/>
        <w:t>\left(</w:t>
      </w:r>
      <w:r>
        <w:br/>
        <w:t>\Phi(\delta_i),</w:t>
      </w:r>
      <w:r>
        <w:br/>
        <w:t>\Phi(\delta_j)</w:t>
      </w:r>
      <w:r>
        <w:br/>
        <w:t>\right)</w:t>
      </w:r>
      <w:r>
        <w:br/>
        <w:t>\in</w:t>
      </w:r>
      <w:r>
        <w:br/>
        <w:t>R^{\prime}.</w:t>
      </w:r>
      <w:r>
        <w:br/>
        <w:t>\tag{3.5206}</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(\delta_i,\delta_j)\in R\iff\left(\Phi(\delta_i),\Phi(\delta_j)\right)\in R^{\prime}\qquad\text{(3.5206)}</w:t>
      </w:r>
    </w:p>
    <w:p w:rsidR="00C4040D" w:rsidRDefault="00C4040D" w:rsidP="00C4040D">
      <w:pPr>
        <w:pStyle w:val="StandardWeb"/>
      </w:pPr>
      <w:r>
        <w:t>Für Transformationen gilt</w:t>
      </w:r>
    </w:p>
    <w:p w:rsidR="00C4040D" w:rsidRDefault="00C4040D" w:rsidP="00C4040D">
      <w:pPr>
        <w:pStyle w:val="berschrift1"/>
      </w:pPr>
      <w:r>
        <w:t>[</w:t>
      </w:r>
      <w:r>
        <w:br/>
        <w:t>\Phi</w:t>
      </w:r>
      <w:r>
        <w:br/>
        <w:t>\circ</w:t>
      </w:r>
      <w:r>
        <w:br/>
        <w:t>T</w:t>
      </w:r>
    </w:p>
    <w:p w:rsidR="00C4040D" w:rsidRDefault="00C4040D" w:rsidP="00C4040D">
      <w:pPr>
        <w:pStyle w:val="StandardWeb"/>
      </w:pPr>
      <w:r>
        <w:t>T^{\prime}</w:t>
      </w:r>
      <w:r>
        <w:br/>
        <w:t>\circ</w:t>
      </w:r>
      <w:r>
        <w:br/>
        <w:t>\Phi.</w:t>
      </w:r>
      <w:r>
        <w:br/>
        <w:t>\tag{3.5207}</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\Phi\circ T=T^{\prime}\circ\Phi\qquad\text{(3.5207)}</w:t>
      </w:r>
    </w:p>
    <w:p w:rsidR="00C4040D" w:rsidRDefault="00C4040D" w:rsidP="00C4040D">
      <w:pPr>
        <w:pStyle w:val="StandardWeb"/>
      </w:pPr>
      <w:r>
        <w:t>Damit wird jede endliche Transformationsfolge in (\mathcal{M}) auf eine entsprechende Transformationsfolge in (\mathcal{M}^{\prime}) abgebildet. Funktionale Erreichbarkeit bleibt daher erhalten.</w:t>
      </w:r>
    </w:p>
    <w:p w:rsidR="00C4040D" w:rsidRDefault="00C4040D" w:rsidP="00C4040D">
      <w:pPr>
        <w:pStyle w:val="StandardWeb"/>
      </w:pPr>
      <w:r>
        <w:t>Da funktionale Ordnung aus Erreichbarkeits- und Äquivalenzstrukturen gebildet wird, bleibt auch sie unter (\Phi) erhalten.</w:t>
      </w:r>
    </w:p>
    <w:p w:rsidR="00C4040D" w:rsidRDefault="00C4040D" w:rsidP="00C4040D">
      <w:pPr>
        <w:pStyle w:val="StandardWeb"/>
      </w:pPr>
      <w:r>
        <w:t>Jede Aussage, die ausschließlich diese Strukturen verwendet, besitzt deshalb in beiden isomorphen Modellinstanzen denselben Wahrheitswert. Folglich gilt Gleichung (3.5205). (\square)</w:t>
      </w:r>
    </w:p>
    <w:p w:rsidR="00C4040D" w:rsidRPr="00AF32B2" w:rsidRDefault="00C4040D" w:rsidP="00AF32B2">
      <w:pPr>
        <w:pStyle w:val="berschrift4"/>
      </w:pPr>
      <w:r w:rsidRPr="00AF32B2">
        <w:t>3.3.27.32 Reichweite des Invarianzsatzes</w:t>
      </w:r>
    </w:p>
    <w:p w:rsidR="00C4040D" w:rsidRDefault="00C4040D" w:rsidP="00C4040D">
      <w:pPr>
        <w:pStyle w:val="StandardWeb"/>
      </w:pPr>
      <w:r>
        <w:lastRenderedPageBreak/>
        <w:t>Satz 3.3.9 gilt für strukturelle Aussagen. Er gilt nicht automatisch für Aussagen, die konkrete Zahlenwerte, Einheiten, Koordinaten oder Schwellenwerte verwenden.</w:t>
      </w:r>
    </w:p>
    <w:p w:rsidR="00C4040D" w:rsidRDefault="00C4040D" w:rsidP="00C4040D">
      <w:pPr>
        <w:pStyle w:val="StandardWeb"/>
      </w:pPr>
      <w:r>
        <w:t>Aus</w:t>
      </w:r>
    </w:p>
    <w:p w:rsidR="00C4040D" w:rsidRDefault="00C4040D" w:rsidP="00C4040D">
      <w:pPr>
        <w:pStyle w:val="StandardWeb"/>
      </w:pPr>
      <w:r>
        <w:t>[</w:t>
      </w:r>
      <w:r>
        <w:br/>
        <w:t>\mathcal{M}</w:t>
      </w:r>
      <w:r>
        <w:br/>
        <w:t>\cong</w:t>
      </w:r>
      <w:r>
        <w:br/>
        <w:t>\mathcal{M}^{\prime}</w:t>
      </w:r>
      <w:r>
        <w:br/>
        <w:t>\tag{3.5208}</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\mathcal{M}\cong\mathcal{M}^{\prime}\qquad\text{(3.5208)}</w:t>
      </w:r>
    </w:p>
    <w:p w:rsidR="00C4040D" w:rsidRDefault="00C4040D" w:rsidP="00C4040D">
      <w:pPr>
        <w:pStyle w:val="StandardWeb"/>
      </w:pPr>
      <w:r>
        <w:t>folgt beispielsweise nicht ohne zusätzliche Transformationsregel:</w:t>
      </w:r>
    </w:p>
    <w:p w:rsidR="00C4040D" w:rsidRDefault="00C4040D" w:rsidP="00C4040D">
      <w:pPr>
        <w:pStyle w:val="berschrift1"/>
      </w:pPr>
      <w:r>
        <w:t>[</w:t>
      </w:r>
      <w:r>
        <w:br/>
        <w:t>K_{\mathcal{C}}^{\mathcal{M}}</w:t>
      </w:r>
    </w:p>
    <w:p w:rsidR="00C4040D" w:rsidRDefault="00C4040D" w:rsidP="00C4040D">
      <w:pPr>
        <w:pStyle w:val="StandardWeb"/>
      </w:pPr>
      <w:r>
        <w:t>K_{\mathcal{C}}^{\mathcal{M}^{\prime}}.</w:t>
      </w:r>
      <w:r>
        <w:br/>
        <w:t>\tag{3.5209}</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K_{\mathcal{C}}^{\mathcal{M}}=K_{\mathcal{C}}^{\mathcal{M}^{\prime}}\qquad\text{(3.5209)}</w:t>
      </w:r>
    </w:p>
    <w:p w:rsidR="00C4040D" w:rsidRDefault="00C4040D" w:rsidP="00C4040D">
      <w:pPr>
        <w:pStyle w:val="StandardWeb"/>
      </w:pPr>
      <w:r>
        <w:t>Wenn der Kohärenzwert von einer konkreten numerischen Kodierung abhängt, muss seine Transformation gesondert bestimmt werden.</w:t>
      </w:r>
    </w:p>
    <w:p w:rsidR="00C4040D" w:rsidRPr="00AF32B2" w:rsidRDefault="00C4040D" w:rsidP="00AF32B2">
      <w:pPr>
        <w:pStyle w:val="berschrift4"/>
      </w:pPr>
      <w:r w:rsidRPr="00AF32B2">
        <w:t>3.3.27.33 Prüfverfahren für neue Aussagen</w:t>
      </w:r>
    </w:p>
    <w:p w:rsidR="00C4040D" w:rsidRDefault="00C4040D" w:rsidP="00C4040D">
      <w:pPr>
        <w:pStyle w:val="StandardWeb"/>
      </w:pPr>
      <w:r>
        <w:t>Für jede neue FRZK-Aussage (P) muss zunächst die relevante Transformationsklasse bestimmt werden:</w:t>
      </w:r>
    </w:p>
    <w:p w:rsidR="00C4040D" w:rsidRDefault="00C4040D" w:rsidP="00C4040D">
      <w:pPr>
        <w:pStyle w:val="StandardWeb"/>
      </w:pPr>
      <w:r>
        <w:t>[</w:t>
      </w:r>
      <w:r>
        <w:br/>
        <w:t>\mathfrak{G}</w:t>
      </w:r>
      <w:r>
        <w:rPr>
          <w:rStyle w:val="Hervorhebung"/>
        </w:rPr>
        <w:t>{P}</w:t>
      </w:r>
      <w:r>
        <w:rPr>
          <w:i/>
          <w:iCs/>
        </w:rPr>
        <w:br/>
      </w:r>
      <w:r>
        <w:rPr>
          <w:rStyle w:val="Hervorhebung"/>
        </w:rPr>
        <w:t>\subseteq</w:t>
      </w:r>
      <w:r>
        <w:rPr>
          <w:i/>
          <w:iCs/>
        </w:rPr>
        <w:br/>
      </w:r>
      <w:r>
        <w:rPr>
          <w:rStyle w:val="Hervorhebung"/>
        </w:rPr>
        <w:t>\mathfrak{G}</w:t>
      </w:r>
      <w:r>
        <w:t>{\mathrm{zul}}.</w:t>
      </w:r>
      <w:r>
        <w:br/>
        <w:t>\tag{3.5210}</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\mathfrak{G}_{P}\subseteq\mathfrak{G}_{\mathrm{zul}}\qquad\text{(3.5210)}</w:t>
      </w:r>
    </w:p>
    <w:p w:rsidR="00C4040D" w:rsidRDefault="00C4040D" w:rsidP="00C4040D">
      <w:pPr>
        <w:pStyle w:val="StandardWeb"/>
      </w:pPr>
      <w:r>
        <w:t>Anschließend wird geprüft:</w:t>
      </w:r>
    </w:p>
    <w:p w:rsidR="00C4040D" w:rsidRDefault="00C4040D" w:rsidP="00C4040D">
      <w:pPr>
        <w:pStyle w:val="StandardWeb"/>
      </w:pPr>
      <w:r>
        <w:lastRenderedPageBreak/>
        <w:t>[</w:t>
      </w:r>
      <w:r>
        <w:br/>
        <w:t>\forall</w:t>
      </w:r>
      <w:r>
        <w:br/>
        <w:t>g</w:t>
      </w:r>
      <w:r>
        <w:br/>
        <w:t>\in</w:t>
      </w:r>
      <w:r>
        <w:br/>
        <w:t>\mathfrak{G}</w:t>
      </w:r>
      <w:r>
        <w:rPr>
          <w:rStyle w:val="Hervorhebung"/>
        </w:rPr>
        <w:t>{P}:</w:t>
      </w:r>
      <w:r>
        <w:rPr>
          <w:i/>
          <w:iCs/>
        </w:rPr>
        <w:br/>
      </w:r>
      <w:r>
        <w:rPr>
          <w:rStyle w:val="Hervorhebung"/>
        </w:rPr>
        <w:t>\operatorname{Inv}</w:t>
      </w:r>
      <w:r>
        <w:t>{F}(P,g).</w:t>
      </w:r>
      <w:r>
        <w:br/>
        <w:t>\tag{3.5211}</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\forall g\in\mathfrak{G}_{P}:\operatorname{Inv}_{F}(P,g)\qquad\text{(3.5211)}</w:t>
      </w:r>
    </w:p>
    <w:p w:rsidR="00C4040D" w:rsidRDefault="00C4040D" w:rsidP="00C4040D">
      <w:pPr>
        <w:pStyle w:val="StandardWeb"/>
      </w:pPr>
      <w:r>
        <w:t>Liegt keine strikte Invarianz vor, muss eine Kovarianzregel angegeben werden:</w:t>
      </w:r>
    </w:p>
    <w:p w:rsidR="00C4040D" w:rsidRDefault="00C4040D" w:rsidP="00C4040D">
      <w:pPr>
        <w:pStyle w:val="berschrift1"/>
      </w:pPr>
      <w:r>
        <w:t>[</w:t>
      </w:r>
      <w:r>
        <w:br/>
        <w:t>P^{\prime}</w:t>
      </w:r>
    </w:p>
    <w:p w:rsidR="00C4040D" w:rsidRDefault="00C4040D" w:rsidP="00C4040D">
      <w:pPr>
        <w:pStyle w:val="StandardWeb"/>
      </w:pPr>
      <w:r>
        <w:t>\Gamma_g(P).</w:t>
      </w:r>
      <w:r>
        <w:br/>
        <w:t>\tag{3.5212}</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P^{\prime}=\Gamma_g(P)\qquad\text{(3.5212)}</w:t>
      </w:r>
    </w:p>
    <w:p w:rsidR="00C4040D" w:rsidRDefault="00C4040D" w:rsidP="00C4040D">
      <w:pPr>
        <w:pStyle w:val="StandardWeb"/>
      </w:pPr>
      <w:r>
        <w:t>Kann weder Invarianz noch eine eindeutige Kovarianzregel angegeben werden, ist die Aussage repräsentationsabhängig.</w:t>
      </w:r>
    </w:p>
    <w:p w:rsidR="00C4040D" w:rsidRPr="00AF32B2" w:rsidRDefault="00C4040D" w:rsidP="00AF32B2">
      <w:pPr>
        <w:pStyle w:val="berschrift4"/>
      </w:pPr>
      <w:r w:rsidRPr="00AF32B2">
        <w:t>3.3.27.34 Repository-Speicherung der Invarianzprüfung</w:t>
      </w:r>
    </w:p>
    <w:p w:rsidR="00C4040D" w:rsidRDefault="00C4040D" w:rsidP="00C4040D">
      <w:pPr>
        <w:pStyle w:val="StandardWeb"/>
      </w:pPr>
      <w:r>
        <w:t>Eine Invarianzbeziehung kann im Repository schematisch gespeichert werden als</w:t>
      </w:r>
    </w:p>
    <w:p w:rsidR="00C4040D" w:rsidRDefault="00C4040D" w:rsidP="00C4040D">
      <w:pPr>
        <w:pStyle w:val="StandardWeb"/>
      </w:pPr>
      <w:r>
        <w:t>[</w:t>
      </w:r>
      <w:r>
        <w:br/>
        <w:t>\operatorname{InvDep}</w:t>
      </w:r>
      <w:r>
        <w:br/>
        <w:t>\left(</w:t>
      </w:r>
      <w:r>
        <w:br/>
        <w:t>P,</w:t>
      </w:r>
      <w:r>
        <w:br/>
        <w:t>g,</w:t>
      </w:r>
      <w:r>
        <w:br/>
        <w:t>\operatorname{Inv}_{F}(P,g)</w:t>
      </w:r>
      <w:r>
        <w:br/>
        <w:t>\right).</w:t>
      </w:r>
      <w:r>
        <w:br/>
        <w:t>\tag{3.5213}</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\operatorname{InvDep}\left(P,g,\operatorname{Inv}_{F}(P,g)\right)\qquad\text{(3.5213)}</w:t>
      </w:r>
    </w:p>
    <w:p w:rsidR="00C4040D" w:rsidRDefault="00C4040D" w:rsidP="00C4040D">
      <w:pPr>
        <w:pStyle w:val="StandardWeb"/>
      </w:pPr>
      <w:r>
        <w:t>Eine Kovarianzbeziehung lautet</w:t>
      </w:r>
    </w:p>
    <w:p w:rsidR="00C4040D" w:rsidRDefault="00C4040D" w:rsidP="00C4040D">
      <w:pPr>
        <w:pStyle w:val="StandardWeb"/>
      </w:pPr>
      <w:r>
        <w:lastRenderedPageBreak/>
        <w:t>[</w:t>
      </w:r>
      <w:r>
        <w:br/>
        <w:t>\operatorname{CovDep}</w:t>
      </w:r>
      <w:r>
        <w:br/>
        <w:t>\left(</w:t>
      </w:r>
      <w:r>
        <w:br/>
        <w:t>P,</w:t>
      </w:r>
      <w:r>
        <w:br/>
        <w:t>g,</w:t>
      </w:r>
      <w:r>
        <w:br/>
        <w:t>\Gamma_g</w:t>
      </w:r>
      <w:r>
        <w:br/>
        <w:t>\right).</w:t>
      </w:r>
      <w:r>
        <w:br/>
        <w:t>\tag{3.5214}</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\operatorname{CovDep}\left(P,g,\Gamma_g\right)\qquad\text{(3.5214)}</w:t>
      </w:r>
    </w:p>
    <w:p w:rsidR="00C4040D" w:rsidRDefault="00C4040D" w:rsidP="00C4040D">
      <w:pPr>
        <w:pStyle w:val="StandardWeb"/>
      </w:pPr>
      <w:r>
        <w:t>Zusätzlich müssen Skalenniveau, Einheit und zulässige Transformationsklasse dokumentiert werden.</w:t>
      </w:r>
    </w:p>
    <w:p w:rsidR="00C4040D" w:rsidRDefault="00C4040D" w:rsidP="00C4040D">
      <w:pPr>
        <w:pStyle w:val="StandardWeb"/>
      </w:pPr>
      <w:r>
        <w:rPr>
          <w:rStyle w:val="Fett"/>
        </w:rPr>
        <w:t>Eigenleistung des FRZK</w:t>
      </w:r>
    </w:p>
    <w:p w:rsidR="00C4040D" w:rsidRDefault="00C4040D" w:rsidP="00C4040D">
      <w:pPr>
        <w:pStyle w:val="StandardWeb"/>
      </w:pPr>
      <w:r>
        <w:t>Ich erweitere das Repository um die wissenschaftliche Herkunft numerischer Größen. Dadurch kann später geprüft werden, ob eine Aussage unter einem Einheitenwechsel, einer Umkodierung oder einer Koordinatentransformation unverändert gültig bleibt.</w:t>
      </w:r>
    </w:p>
    <w:p w:rsidR="00C4040D" w:rsidRPr="00AF32B2" w:rsidRDefault="00C4040D" w:rsidP="00AF32B2">
      <w:pPr>
        <w:pStyle w:val="berschrift4"/>
      </w:pPr>
      <w:r w:rsidRPr="00AF32B2">
        <w:t>3.3.27.35 Ergebnis der Invarianzprüfung</w:t>
      </w:r>
    </w:p>
    <w:p w:rsidR="00C4040D" w:rsidRDefault="00C4040D" w:rsidP="00C4040D">
      <w:pPr>
        <w:pStyle w:val="StandardWeb"/>
      </w:pPr>
      <w:r>
        <w:t>Die Prüfung zeigt, dass strukturelle FRZK-Aussagen von ihrer konkreten Repräsentation getrennt werden müssen. Zustandszugehörigkeit, Relationen, Transformationen, Erreichbarkeit und funktionale Ordnung bleiben unter strukturerhaltenden Isomorphismen invariant.</w:t>
      </w:r>
    </w:p>
    <w:p w:rsidR="00C4040D" w:rsidRDefault="00C4040D" w:rsidP="00C4040D">
      <w:pPr>
        <w:pStyle w:val="StandardWeb"/>
      </w:pPr>
      <w:r>
        <w:t>Numerische Aussagen können dagegen:</w:t>
      </w:r>
    </w:p>
    <w:p w:rsidR="00C4040D" w:rsidRDefault="00C4040D" w:rsidP="00632D23">
      <w:pPr>
        <w:pStyle w:val="StandardWeb"/>
        <w:numPr>
          <w:ilvl w:val="0"/>
          <w:numId w:val="155"/>
        </w:numPr>
      </w:pPr>
      <w:r>
        <w:t>strikt invariant,</w:t>
      </w:r>
    </w:p>
    <w:p w:rsidR="00C4040D" w:rsidRDefault="00C4040D" w:rsidP="00632D23">
      <w:pPr>
        <w:pStyle w:val="StandardWeb"/>
        <w:numPr>
          <w:ilvl w:val="0"/>
          <w:numId w:val="155"/>
        </w:numPr>
      </w:pPr>
      <w:r>
        <w:t>kovariant,</w:t>
      </w:r>
    </w:p>
    <w:p w:rsidR="00C4040D" w:rsidRDefault="00C4040D" w:rsidP="00632D23">
      <w:pPr>
        <w:pStyle w:val="StandardWeb"/>
        <w:numPr>
          <w:ilvl w:val="0"/>
          <w:numId w:val="155"/>
        </w:numPr>
      </w:pPr>
      <w:r>
        <w:t>skalenabhängig,</w:t>
      </w:r>
    </w:p>
    <w:p w:rsidR="00C4040D" w:rsidRDefault="00C4040D" w:rsidP="00632D23">
      <w:pPr>
        <w:pStyle w:val="StandardWeb"/>
        <w:numPr>
          <w:ilvl w:val="0"/>
          <w:numId w:val="155"/>
        </w:numPr>
      </w:pPr>
      <w:r>
        <w:t>einheitenabhängig,</w:t>
      </w:r>
    </w:p>
    <w:p w:rsidR="00C4040D" w:rsidRDefault="00C4040D" w:rsidP="00632D23">
      <w:pPr>
        <w:pStyle w:val="StandardWeb"/>
        <w:numPr>
          <w:ilvl w:val="0"/>
          <w:numId w:val="155"/>
        </w:numPr>
      </w:pPr>
      <w:r>
        <w:t>kodierungsabhängig</w:t>
      </w:r>
    </w:p>
    <w:p w:rsidR="00C4040D" w:rsidRDefault="00C4040D" w:rsidP="00C4040D">
      <w:pPr>
        <w:pStyle w:val="StandardWeb"/>
      </w:pPr>
      <w:r>
        <w:t>sein.</w:t>
      </w:r>
    </w:p>
    <w:p w:rsidR="00C4040D" w:rsidRDefault="00C4040D" w:rsidP="00C4040D">
      <w:pPr>
        <w:pStyle w:val="StandardWeb"/>
      </w:pPr>
      <w:r>
        <w:t>Besonders zu beachten ist:</w:t>
      </w:r>
    </w:p>
    <w:p w:rsidR="00C4040D" w:rsidRDefault="00C4040D" w:rsidP="00632D23">
      <w:pPr>
        <w:pStyle w:val="StandardWeb"/>
        <w:numPr>
          <w:ilvl w:val="0"/>
          <w:numId w:val="156"/>
        </w:numPr>
      </w:pPr>
      <w:r>
        <w:t>Verhältnisse sind unter positiven Skalierungen invariant.</w:t>
      </w:r>
    </w:p>
    <w:p w:rsidR="00C4040D" w:rsidRDefault="00C4040D" w:rsidP="00632D23">
      <w:pPr>
        <w:pStyle w:val="StandardWeb"/>
        <w:numPr>
          <w:ilvl w:val="0"/>
          <w:numId w:val="156"/>
        </w:numPr>
      </w:pPr>
      <w:r>
        <w:t>Differenzen sind unter positiven Skalierungen kovariant.</w:t>
      </w:r>
    </w:p>
    <w:p w:rsidR="00C4040D" w:rsidRDefault="00C4040D" w:rsidP="00632D23">
      <w:pPr>
        <w:pStyle w:val="StandardWeb"/>
        <w:numPr>
          <w:ilvl w:val="0"/>
          <w:numId w:val="156"/>
        </w:numPr>
      </w:pPr>
      <w:r>
        <w:t>Rangordnungen bleiben unter streng monotonen Transformationen erhalten.</w:t>
      </w:r>
    </w:p>
    <w:p w:rsidR="00C4040D" w:rsidRDefault="00C4040D" w:rsidP="00632D23">
      <w:pPr>
        <w:pStyle w:val="StandardWeb"/>
        <w:numPr>
          <w:ilvl w:val="0"/>
          <w:numId w:val="156"/>
        </w:numPr>
      </w:pPr>
      <w:r>
        <w:t>numerische Abstände sind auf Ordinalskalen nicht allgemein interpretierbar.</w:t>
      </w:r>
    </w:p>
    <w:p w:rsidR="00C4040D" w:rsidRDefault="00C4040D" w:rsidP="00632D23">
      <w:pPr>
        <w:pStyle w:val="StandardWeb"/>
        <w:numPr>
          <w:ilvl w:val="0"/>
          <w:numId w:val="156"/>
        </w:numPr>
      </w:pPr>
      <w:r>
        <w:t>Schwellenwerte müssen gemeinsam mit der verwendeten Einheit transformiert werden.</w:t>
      </w:r>
    </w:p>
    <w:p w:rsidR="00C4040D" w:rsidRDefault="00C4040D" w:rsidP="00632D23">
      <w:pPr>
        <w:pStyle w:val="StandardWeb"/>
        <w:numPr>
          <w:ilvl w:val="0"/>
          <w:numId w:val="156"/>
        </w:numPr>
      </w:pPr>
      <w:r>
        <w:t>empirische Prüfentscheidungen müssen unter zulässigen Repräsentationswechseln erhalten bleiben.</w:t>
      </w:r>
    </w:p>
    <w:p w:rsidR="00C4040D" w:rsidRDefault="00C4040D" w:rsidP="00C4040D">
      <w:pPr>
        <w:pStyle w:val="StandardWeb"/>
      </w:pPr>
      <w:r>
        <w:rPr>
          <w:rStyle w:val="Fett"/>
        </w:rPr>
        <w:lastRenderedPageBreak/>
        <w:t>Eigenleistung des FRZK</w:t>
      </w:r>
    </w:p>
    <w:p w:rsidR="00C4040D" w:rsidRDefault="00C4040D" w:rsidP="00C4040D">
      <w:pPr>
        <w:pStyle w:val="StandardWeb"/>
      </w:pPr>
      <w:r>
        <w:t>Mit Definition 3.3.19 und Satz 3.3.9 steht ein formales Verfahren zur Verfügung, das strukturelle Aussagen von darstellungsabhängigen Größen trennt. Dadurch kann ich verhindern, dass eine bloße Änderung von Einheit, Kodierung oder Koordinatensystem als inhaltliche Veränderung des FRZK interpretiert wird.</w:t>
      </w:r>
    </w:p>
    <w:p w:rsidR="00C4040D" w:rsidRPr="00AF32B2" w:rsidRDefault="00C4040D" w:rsidP="00AF32B2">
      <w:pPr>
        <w:pStyle w:val="berschrift4"/>
      </w:pPr>
      <w:r w:rsidRPr="00AF32B2">
        <w:t>3.3.27.36 Übergang zur Prüfung der Parameter- und Strukturidentifizierbarkeit</w:t>
      </w:r>
    </w:p>
    <w:p w:rsidR="00C4040D" w:rsidRDefault="00C4040D" w:rsidP="00C4040D">
      <w:pPr>
        <w:pStyle w:val="StandardWeb"/>
      </w:pPr>
      <w:r>
        <w:t>Die Invarianzprüfung zeigt, dass unterschiedliche Repräsentationen denselben funktionalen Sachverhalt beschreiben können. Daraus entsteht jedoch ein weiteres Problem: Unterschiedliche Parameterwerte oder sogar unterschiedliche Modellstrukturen können dieselben empirischen Vorhersagen erzeugen.</w:t>
      </w:r>
    </w:p>
    <w:p w:rsidR="00C4040D" w:rsidRDefault="00C4040D" w:rsidP="00C4040D">
      <w:pPr>
        <w:pStyle w:val="StandardWeb"/>
      </w:pPr>
      <w:r>
        <w:t>Eine Vorhersageabbildung besitzt die Form</w:t>
      </w:r>
    </w:p>
    <w:p w:rsidR="00C4040D" w:rsidRDefault="00C4040D" w:rsidP="00C4040D">
      <w:pPr>
        <w:pStyle w:val="StandardWeb"/>
      </w:pPr>
      <w:r>
        <w:t>[</w:t>
      </w:r>
      <w:r>
        <w:br/>
        <w:t>\mathcal{P}</w:t>
      </w:r>
      <w:r>
        <w:rPr>
          <w:rStyle w:val="Hervorhebung"/>
        </w:rPr>
        <w:t>{F}:</w:t>
      </w:r>
      <w:r>
        <w:rPr>
          <w:i/>
          <w:iCs/>
        </w:rPr>
        <w:br/>
      </w:r>
      <w:r>
        <w:rPr>
          <w:rStyle w:val="Hervorhebung"/>
        </w:rPr>
        <w:t>\Theta</w:t>
      </w:r>
      <w:r>
        <w:rPr>
          <w:i/>
          <w:iCs/>
        </w:rPr>
        <w:br/>
      </w:r>
      <w:r>
        <w:rPr>
          <w:rStyle w:val="Hervorhebung"/>
        </w:rPr>
        <w:t>\rightarrow</w:t>
      </w:r>
      <w:r>
        <w:rPr>
          <w:i/>
          <w:iCs/>
        </w:rPr>
        <w:br/>
      </w:r>
      <w:r>
        <w:rPr>
          <w:rStyle w:val="Hervorhebung"/>
        </w:rPr>
        <w:t>\widehat{\mathcal{Y}}</w:t>
      </w:r>
      <w:r>
        <w:t>{\mathrm{emp}}.</w:t>
      </w:r>
      <w:r>
        <w:br/>
        <w:t>\tag{3.5215}</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\mathcal{P}_{F}:\Theta\rightarrow\widehat{\mathcal{Y}}_{\mathrm{emp}}\qquad\text{(3.5215)}</w:t>
      </w:r>
    </w:p>
    <w:p w:rsidR="00C4040D" w:rsidRDefault="00C4040D" w:rsidP="00C4040D">
      <w:pPr>
        <w:pStyle w:val="StandardWeb"/>
      </w:pPr>
      <w:r>
        <w:t>Sind zwei verschiedene Parameterwerte empirisch nicht unterscheidbar, kann gelten:</w:t>
      </w:r>
    </w:p>
    <w:p w:rsidR="00C4040D" w:rsidRDefault="00C4040D" w:rsidP="00C4040D">
      <w:pPr>
        <w:pStyle w:val="berschrift1"/>
      </w:pPr>
      <w:r>
        <w:t>[</w:t>
      </w:r>
      <w:r>
        <w:br/>
        <w:t>\theta_1</w:t>
      </w:r>
      <w:r>
        <w:br/>
        <w:t>\neq</w:t>
      </w:r>
      <w:r>
        <w:br/>
        <w:t>\theta_2</w:t>
      </w:r>
      <w:r>
        <w:br/>
        <w:t>\land</w:t>
      </w:r>
      <w:r>
        <w:br/>
        <w:t>\mathcal{P}_{F}(\theta_1)</w:t>
      </w:r>
    </w:p>
    <w:p w:rsidR="00C4040D" w:rsidRDefault="00C4040D" w:rsidP="00C4040D">
      <w:pPr>
        <w:pStyle w:val="StandardWeb"/>
      </w:pPr>
      <w:r>
        <w:t>\mathcal{P}_{F}(\theta_2).</w:t>
      </w:r>
      <w:r>
        <w:br/>
        <w:t>\tag{3.5216}</w:t>
      </w:r>
      <w:r>
        <w:br/>
        <w:t>]</w:t>
      </w:r>
    </w:p>
    <w:p w:rsidR="00C4040D" w:rsidRDefault="00C4040D" w:rsidP="00C4040D">
      <w:pPr>
        <w:pStyle w:val="StandardWeb"/>
      </w:pPr>
      <w:r>
        <w:rPr>
          <w:rStyle w:val="Fett"/>
        </w:rPr>
        <w:t>Word-LaTeX</w:t>
      </w:r>
    </w:p>
    <w:p w:rsidR="00C4040D" w:rsidRDefault="00C4040D" w:rsidP="00C4040D">
      <w:pPr>
        <w:pStyle w:val="HTMLVorformatiert"/>
        <w:rPr>
          <w:rStyle w:val="HTMLCode"/>
        </w:rPr>
      </w:pPr>
      <w:r>
        <w:rPr>
          <w:rStyle w:val="HTMLCode"/>
        </w:rPr>
        <w:t>\theta_1\neq\theta_2\land\mathcal{P}_{F}(\theta_1)=\mathcal{P}_{F}(\theta_2)\qquad\text{(3.5216)}</w:t>
      </w:r>
    </w:p>
    <w:p w:rsidR="00C4040D" w:rsidRDefault="00C4040D" w:rsidP="00C4040D">
      <w:pPr>
        <w:pStyle w:val="StandardWeb"/>
      </w:pPr>
      <w:r>
        <w:rPr>
          <w:rStyle w:val="Fett"/>
        </w:rPr>
        <w:lastRenderedPageBreak/>
        <w:t>Eigenleistung des FRZK</w:t>
      </w:r>
    </w:p>
    <w:p w:rsidR="00C4040D" w:rsidRDefault="00C4040D" w:rsidP="00C4040D">
      <w:pPr>
        <w:pStyle w:val="StandardWeb"/>
      </w:pPr>
      <w:r>
        <w:t>Der folgende Abschnitt untersucht deshalb die Parameteridentifizierbarkeit, die strukturelle Identifizierbarkeit und die empirische Unterscheidbarkeit konkurrierender FRZK-Modelle.</w:t>
      </w:r>
    </w:p>
    <w:p w:rsidR="008B203A" w:rsidRDefault="008B203A" w:rsidP="008B203A">
      <w:pPr>
        <w:pStyle w:val="berschrift2"/>
      </w:pPr>
      <w:r>
        <w:t>Ergänzung zu 3.3.27 – Prüfung der Skalen-, Einheiten- und Invarianzeigenschaften</w:t>
      </w:r>
    </w:p>
    <w:p w:rsidR="008B203A" w:rsidRDefault="008B203A" w:rsidP="008B203A">
      <w:pPr>
        <w:pStyle w:val="berschrift3"/>
      </w:pPr>
      <w:r>
        <w:t>Methodologische Betrachtungen</w:t>
      </w:r>
    </w:p>
    <w:p w:rsidR="008B203A" w:rsidRDefault="008B203A" w:rsidP="008B203A">
      <w:pPr>
        <w:pStyle w:val="StandardWeb"/>
      </w:pPr>
      <w:r>
        <w:t>Eine empirische Theorie darf nicht davon abhängen, dass dieselbe Größe zufällig in einer bestimmten Einheit, Koordinate oder Kodierung dargestellt wurde. Abschnitt 3.3.27 untersucht deshalb, welche FRZK-Aussagen unter zulässigen Repräsentationsänderungen unverändert bleiben, welche sich kovariant transformieren und welche tatsächlich repräsentationsabhängig sind. Der Abschnitt trennt ausdrücklich strikte Invarianz und Kovarianz.</w:t>
      </w:r>
    </w:p>
    <w:p w:rsidR="008B203A" w:rsidRDefault="008B203A" w:rsidP="008B203A">
      <w:pPr>
        <w:pStyle w:val="StandardWeb"/>
      </w:pPr>
      <w:r>
        <w:t>Ein ursprünglicher Repräsentationsraum sei</w:t>
      </w:r>
    </w:p>
    <w:p w:rsidR="008B203A" w:rsidRDefault="008B203A" w:rsidP="008B203A">
      <w:pPr>
        <w:pStyle w:val="StandardWeb"/>
      </w:pPr>
      <w:r>
        <w:t>[</w:t>
      </w:r>
      <w:r>
        <w:br/>
        <w:t>\mathcal{Y}.</w:t>
      </w:r>
      <w:r>
        <w:br/>
        <w:t>\tag{3.5116}</w:t>
      </w:r>
      <w:r>
        <w:br/>
        <w:t>]</w:t>
      </w:r>
    </w:p>
    <w:p w:rsidR="008B203A" w:rsidRDefault="008B203A" w:rsidP="008B203A">
      <w:pPr>
        <w:pStyle w:val="StandardWeb"/>
      </w:pPr>
      <w:r>
        <w:rPr>
          <w:rStyle w:val="Fett"/>
        </w:rPr>
        <w:t>Word-LaTeX</w:t>
      </w:r>
    </w:p>
    <w:p w:rsidR="008B203A" w:rsidRDefault="008B203A" w:rsidP="008B203A">
      <w:pPr>
        <w:pStyle w:val="HTMLVorformatiert"/>
        <w:rPr>
          <w:rStyle w:val="HTMLCode"/>
        </w:rPr>
      </w:pPr>
      <w:r>
        <w:rPr>
          <w:rStyle w:val="HTMLCode"/>
        </w:rPr>
        <w:t>\mathcal{Y}\qquad\text{(3.5116)}</w:t>
      </w:r>
    </w:p>
    <w:p w:rsidR="008B203A" w:rsidRDefault="008B203A" w:rsidP="008B203A">
      <w:pPr>
        <w:pStyle w:val="StandardWeb"/>
      </w:pPr>
      <w:r>
        <w:t>Ein alternativer Repräsentationsraum sei</w:t>
      </w:r>
    </w:p>
    <w:p w:rsidR="008B203A" w:rsidRDefault="008B203A" w:rsidP="008B203A">
      <w:pPr>
        <w:pStyle w:val="StandardWeb"/>
      </w:pPr>
      <w:r>
        <w:t>[</w:t>
      </w:r>
      <w:r>
        <w:br/>
        <w:t>\mathcal{Y}'.</w:t>
      </w:r>
      <w:r>
        <w:br/>
        <w:t>\tag{3.5117}</w:t>
      </w:r>
      <w:r>
        <w:br/>
        <w:t>]</w:t>
      </w:r>
    </w:p>
    <w:p w:rsidR="008B203A" w:rsidRDefault="008B203A" w:rsidP="008B203A">
      <w:pPr>
        <w:pStyle w:val="StandardWeb"/>
      </w:pPr>
      <w:r>
        <w:rPr>
          <w:rStyle w:val="Fett"/>
        </w:rPr>
        <w:t>Word-LaTeX</w:t>
      </w:r>
    </w:p>
    <w:p w:rsidR="008B203A" w:rsidRDefault="008B203A" w:rsidP="008B203A">
      <w:pPr>
        <w:pStyle w:val="HTMLVorformatiert"/>
        <w:rPr>
          <w:rStyle w:val="HTMLCode"/>
        </w:rPr>
      </w:pPr>
      <w:r>
        <w:rPr>
          <w:rStyle w:val="HTMLCode"/>
        </w:rPr>
        <w:t>\mathcal{Y}^{\prime}\qquad\text{(3.5117)}</w:t>
      </w:r>
    </w:p>
    <w:p w:rsidR="008B203A" w:rsidRDefault="008B203A" w:rsidP="008B203A">
      <w:pPr>
        <w:pStyle w:val="StandardWeb"/>
      </w:pPr>
      <w:r>
        <w:t>Eine zulässige Repräsentationstransformation besitzt die Form</w:t>
      </w:r>
    </w:p>
    <w:p w:rsidR="008B203A" w:rsidRDefault="008B203A" w:rsidP="008B203A">
      <w:pPr>
        <w:pStyle w:val="StandardWeb"/>
      </w:pPr>
      <w:r>
        <w:t>[</w:t>
      </w:r>
      <w:r>
        <w:br/>
        <w:t>g:</w:t>
      </w:r>
      <w:r>
        <w:br/>
        <w:t>\mathcal{Y}</w:t>
      </w:r>
      <w:r>
        <w:br/>
        <w:t>\rightarrow</w:t>
      </w:r>
      <w:r>
        <w:br/>
        <w:t>\mathcal{Y}'.</w:t>
      </w:r>
      <w:r>
        <w:br/>
        <w:t>\tag{3.5118}</w:t>
      </w:r>
      <w:r>
        <w:br/>
        <w:t>]</w:t>
      </w:r>
    </w:p>
    <w:p w:rsidR="008B203A" w:rsidRDefault="008B203A" w:rsidP="008B203A">
      <w:pPr>
        <w:pStyle w:val="StandardWeb"/>
      </w:pPr>
      <w:r>
        <w:rPr>
          <w:rStyle w:val="Fett"/>
        </w:rPr>
        <w:t>Word-LaTeX</w:t>
      </w:r>
    </w:p>
    <w:p w:rsidR="008B203A" w:rsidRDefault="008B203A" w:rsidP="008B203A">
      <w:pPr>
        <w:pStyle w:val="HTMLVorformatiert"/>
        <w:rPr>
          <w:rStyle w:val="HTMLCode"/>
        </w:rPr>
      </w:pPr>
      <w:r>
        <w:rPr>
          <w:rStyle w:val="HTMLCode"/>
        </w:rPr>
        <w:lastRenderedPageBreak/>
        <w:t>g:\mathcal{Y}\rightarrow\mathcal{Y}^{\prime}\qquad\text{(3.5118)}</w:t>
      </w:r>
    </w:p>
    <w:p w:rsidR="008B203A" w:rsidRDefault="008B203A" w:rsidP="008B203A">
      <w:pPr>
        <w:pStyle w:val="StandardWeb"/>
      </w:pPr>
      <w:r>
        <w:t>Ein Wert transformiert sich dann gemäß</w:t>
      </w:r>
    </w:p>
    <w:p w:rsidR="008B203A" w:rsidRDefault="008B203A" w:rsidP="008B203A">
      <w:pPr>
        <w:pStyle w:val="berschrift1"/>
      </w:pPr>
      <w:r>
        <w:t>[</w:t>
      </w:r>
      <w:r>
        <w:br/>
        <w:t>y'</w:t>
      </w:r>
    </w:p>
    <w:p w:rsidR="008B203A" w:rsidRDefault="008B203A" w:rsidP="008B203A">
      <w:pPr>
        <w:pStyle w:val="StandardWeb"/>
      </w:pPr>
      <w:r>
        <w:t>g(y).</w:t>
      </w:r>
      <w:r>
        <w:br/>
        <w:t>\tag{3.5119}</w:t>
      </w:r>
      <w:r>
        <w:br/>
        <w:t>]</w:t>
      </w:r>
    </w:p>
    <w:p w:rsidR="008B203A" w:rsidRDefault="008B203A" w:rsidP="008B203A">
      <w:pPr>
        <w:pStyle w:val="StandardWeb"/>
      </w:pPr>
      <w:r>
        <w:rPr>
          <w:rStyle w:val="Fett"/>
        </w:rPr>
        <w:t>Word-LaTeX</w:t>
      </w:r>
    </w:p>
    <w:p w:rsidR="008B203A" w:rsidRDefault="008B203A" w:rsidP="008B203A">
      <w:pPr>
        <w:pStyle w:val="HTMLVorformatiert"/>
        <w:rPr>
          <w:rStyle w:val="HTMLCode"/>
        </w:rPr>
      </w:pPr>
      <w:r>
        <w:rPr>
          <w:rStyle w:val="HTMLCode"/>
        </w:rPr>
        <w:t>y^{\prime}=g(y)\qquad\text{(3.5119)}</w:t>
      </w:r>
    </w:p>
    <w:p w:rsidR="008B203A" w:rsidRDefault="008B203A" w:rsidP="008B203A">
      <w:pPr>
        <w:pStyle w:val="StandardWeb"/>
      </w:pPr>
      <w:r>
        <w:t>Die Menge zulässiger Transformationen wird mit</w:t>
      </w:r>
    </w:p>
    <w:p w:rsidR="008B203A" w:rsidRDefault="008B203A" w:rsidP="008B203A">
      <w:pPr>
        <w:pStyle w:val="StandardWeb"/>
      </w:pPr>
      <w:r>
        <w:t>[</w:t>
      </w:r>
      <w:r>
        <w:br/>
        <w:t>\mathfrak{G}_{\mathrm{zul}}</w:t>
      </w:r>
      <w:r>
        <w:br/>
        <w:t>\tag{3.5120}</w:t>
      </w:r>
      <w:r>
        <w:br/>
        <w:t>]</w:t>
      </w:r>
    </w:p>
    <w:p w:rsidR="008B203A" w:rsidRDefault="008B203A" w:rsidP="008B203A">
      <w:pPr>
        <w:pStyle w:val="StandardWeb"/>
      </w:pPr>
      <w:r>
        <w:rPr>
          <w:rStyle w:val="Fett"/>
        </w:rPr>
        <w:t>Word-LaTeX</w:t>
      </w:r>
    </w:p>
    <w:p w:rsidR="008B203A" w:rsidRDefault="008B203A" w:rsidP="008B203A">
      <w:pPr>
        <w:pStyle w:val="HTMLVorformatiert"/>
        <w:rPr>
          <w:rStyle w:val="HTMLCode"/>
        </w:rPr>
      </w:pPr>
      <w:r>
        <w:rPr>
          <w:rStyle w:val="HTMLCode"/>
        </w:rPr>
        <w:t>\mathfrak{G}_{\mathrm{zul}}\qquad\text{(3.5120)}</w:t>
      </w:r>
    </w:p>
    <w:p w:rsidR="008B203A" w:rsidRDefault="008B203A" w:rsidP="008B203A">
      <w:pPr>
        <w:pStyle w:val="StandardWeb"/>
      </w:pPr>
      <w:r>
        <w:t>bezeichnet.</w:t>
      </w:r>
    </w:p>
    <w:p w:rsidR="008B203A" w:rsidRDefault="008B203A" w:rsidP="008B203A">
      <w:pPr>
        <w:pStyle w:val="StandardWeb"/>
      </w:pPr>
      <w:r>
        <w:t>Das zugehörige FRZK-Invarianzsystem lautet</w:t>
      </w:r>
    </w:p>
    <w:p w:rsidR="008B203A" w:rsidRDefault="008B203A" w:rsidP="008B203A">
      <w:pPr>
        <w:pStyle w:val="berschrift1"/>
      </w:pPr>
      <w:r>
        <w:t>[</w:t>
      </w:r>
      <w:r>
        <w:br/>
        <w:t>\mathfrak{I}_{F}</w:t>
      </w:r>
    </w:p>
    <w:p w:rsidR="008B203A" w:rsidRDefault="008B203A" w:rsidP="008B203A">
      <w:pPr>
        <w:pStyle w:val="StandardWeb"/>
      </w:pPr>
      <w:r>
        <w:t>\left(</w:t>
      </w:r>
      <w:r>
        <w:br/>
        <w:t>\mathcal{Y},</w:t>
      </w:r>
      <w:r>
        <w:br/>
        <w:t>\mathfrak{G}</w:t>
      </w:r>
      <w:r>
        <w:rPr>
          <w:rStyle w:val="Hervorhebung"/>
        </w:rPr>
        <w:t>{\mathrm{zul}},</w:t>
      </w:r>
      <w:r>
        <w:rPr>
          <w:i/>
          <w:iCs/>
        </w:rPr>
        <w:br/>
      </w:r>
      <w:r>
        <w:rPr>
          <w:rStyle w:val="Hervorhebung"/>
        </w:rPr>
        <w:t>\mathcal{P}</w:t>
      </w:r>
      <w:r>
        <w:t>{F},</w:t>
      </w:r>
      <w:r>
        <w:br/>
        <w:t>\operatorname{Inv}_{F}</w:t>
      </w:r>
      <w:r>
        <w:br/>
        <w:t>\right).</w:t>
      </w:r>
      <w:r>
        <w:br/>
        <w:t>]</w:t>
      </w:r>
    </w:p>
    <w:p w:rsidR="008B203A" w:rsidRDefault="008B203A" w:rsidP="008B203A">
      <w:pPr>
        <w:pStyle w:val="StandardWeb"/>
      </w:pPr>
      <w:r>
        <w:rPr>
          <w:rStyle w:val="Fett"/>
        </w:rPr>
        <w:t>Word-LaTeX</w:t>
      </w:r>
    </w:p>
    <w:p w:rsidR="008B203A" w:rsidRDefault="008B203A" w:rsidP="008B203A">
      <w:pPr>
        <w:pStyle w:val="HTMLVorformatiert"/>
        <w:rPr>
          <w:rStyle w:val="HTMLCode"/>
        </w:rPr>
      </w:pPr>
      <w:r>
        <w:rPr>
          <w:rStyle w:val="HTMLCode"/>
        </w:rPr>
        <w:t>\mathfrak{I}_{F}=\left(\mathcal{Y},\mathfrak{G}_{\mathrm{zul}},\mathcal{P}_{F},\operatorname{Inv}_{F}\right)</w:t>
      </w:r>
    </w:p>
    <w:p w:rsidR="008B203A" w:rsidRDefault="008B203A" w:rsidP="008B203A">
      <w:pPr>
        <w:pStyle w:val="StandardWeb"/>
      </w:pPr>
      <w:r>
        <w:t xml:space="preserve">Methodologisch muss zuerst bestimmt werden, welche Transformationen überhaupt als zulässig gelten. Eine beliebige mathematische Veränderung darf nicht automatisch als bloßer </w:t>
      </w:r>
      <w:r>
        <w:lastRenderedPageBreak/>
        <w:t>Repräsentationswechsel behandelt werden. Die Transformation muss die für die jeweilige Aussage relevante Struktur erhalten.</w:t>
      </w:r>
    </w:p>
    <w:p w:rsidR="008B203A" w:rsidRDefault="008B203A" w:rsidP="008B203A">
      <w:pPr>
        <w:pStyle w:val="StandardWeb"/>
      </w:pPr>
      <w:r>
        <w:t>Ein einfaches Beispiel ist der Wechsel zwischen Metern und Zentimetern. Der numerische Wert verändert sich, die zugrunde liegende Länge jedoch nicht. Eine Aussage, die nur deshalb wahr oder falsch wird, weil Meter durch Zentimeter ersetzt wurden, wäre wissenschaftlich problematisch.</w:t>
      </w:r>
    </w:p>
    <w:p w:rsidR="008B203A" w:rsidRDefault="008B203A" w:rsidP="008B203A">
      <w:pPr>
        <w:pStyle w:val="StandardWeb"/>
      </w:pPr>
      <w:r>
        <w:t>Anders verhält es sich bei Aussagen, deren Komponenten sich selbst transformieren. In solchen Fällen ist nicht strikte Invarianz, sondern Kovarianz das richtige Kriterium. Die mathematische Darstellung verändert sich kontrolliert, während die strukturelle Aussage erhalten bleibt.</w:t>
      </w:r>
    </w:p>
    <w:p w:rsidR="008B203A" w:rsidRDefault="008B203A" w:rsidP="008B203A">
      <w:pPr>
        <w:pStyle w:val="StandardWeb"/>
      </w:pPr>
      <w:r>
        <w:t>Diese Unterscheidung ist für das FRZK besonders wichtig, weil Raum-, Zeit-, Kohärenz- und Zustandsgrößen später unterschiedlich repräsentiert werden können. Ein Koordinatenwert ist nicht mit dem strukturellen Objekt identisch, das er repräsentiert.</w:t>
      </w:r>
    </w:p>
    <w:p w:rsidR="008B203A" w:rsidRDefault="008B203A" w:rsidP="008B203A">
      <w:pPr>
        <w:pStyle w:val="StandardWeb"/>
      </w:pPr>
      <w:r>
        <w:t>Auch Dimensionsanalyse gehört zu dieser Prüfung. Eine Gleichung kann formal algebraisch aussehen und trotzdem physikalisch oder empirisch unzulässig sein, wenn inkompatible Einheiten miteinander verknüpft werden.</w:t>
      </w:r>
    </w:p>
    <w:p w:rsidR="008B203A" w:rsidRDefault="008B203A" w:rsidP="008B203A">
      <w:pPr>
        <w:pStyle w:val="StandardWeb"/>
      </w:pPr>
      <w:r>
        <w:t>Die Invarianzprüfung schützt außerdem vor künstlicher Modellleistung. Wenn ein Resultat nur unter einer bestimmten Skalierung stabil erscheint, unter einer äquivalenten Skalierung aber verschwindet, muss geklärt werden, ob tatsächlich eine theoretische Eigenschaft oder nur ein Darstellungsartefakt gemessen wurde.</w:t>
      </w:r>
    </w:p>
    <w:p w:rsidR="008B203A" w:rsidRDefault="008B203A" w:rsidP="008B203A">
      <w:pPr>
        <w:pStyle w:val="StandardWeb"/>
      </w:pPr>
      <w:r>
        <w:t>Methodologisch gehört Invarianz damit zur Interpretationskontrolle. Sie trennt Eigenschaften des dargestellten Systems von Eigenschaften der gewählten Beschreibung.</w:t>
      </w:r>
    </w:p>
    <w:p w:rsidR="008B203A" w:rsidRDefault="008B203A" w:rsidP="008B203A">
      <w:pPr>
        <w:pStyle w:val="berschrift3"/>
      </w:pPr>
      <w:r>
        <w:t>Didaktische Betrachtungen</w:t>
      </w:r>
    </w:p>
    <w:p w:rsidR="008B203A" w:rsidRDefault="008B203A" w:rsidP="008B203A">
      <w:pPr>
        <w:pStyle w:val="StandardWeb"/>
      </w:pPr>
      <w:r>
        <w:t>Ein sehr einfaches Beispiel ist eine Körpergröße.</w:t>
      </w:r>
    </w:p>
    <w:p w:rsidR="008B203A" w:rsidRDefault="008B203A" w:rsidP="008B203A">
      <w:pPr>
        <w:pStyle w:val="StandardWeb"/>
      </w:pPr>
      <w:r>
        <w:t>Eine Person kann</w:t>
      </w:r>
    </w:p>
    <w:p w:rsidR="008B203A" w:rsidRDefault="008B203A" w:rsidP="008B203A">
      <w:pPr>
        <w:pStyle w:val="StandardWeb"/>
      </w:pPr>
      <w:r>
        <w:t>[</w:t>
      </w:r>
      <w:r>
        <w:br/>
        <w:t>1{,}80,\mathrm{m}</w:t>
      </w:r>
      <w:r>
        <w:br/>
        <w:t>]</w:t>
      </w:r>
    </w:p>
    <w:p w:rsidR="008B203A" w:rsidRDefault="008B203A" w:rsidP="008B203A">
      <w:pPr>
        <w:pStyle w:val="StandardWeb"/>
      </w:pPr>
      <w:r>
        <w:t>groß sein oder</w:t>
      </w:r>
    </w:p>
    <w:p w:rsidR="008B203A" w:rsidRDefault="008B203A" w:rsidP="008B203A">
      <w:pPr>
        <w:pStyle w:val="StandardWeb"/>
      </w:pPr>
      <w:r>
        <w:t>[</w:t>
      </w:r>
      <w:r>
        <w:br/>
        <w:t>180,\mathrm{cm}.</w:t>
      </w:r>
      <w:r>
        <w:br/>
        <w:t>]</w:t>
      </w:r>
    </w:p>
    <w:p w:rsidR="008B203A" w:rsidRDefault="008B203A" w:rsidP="008B203A">
      <w:pPr>
        <w:pStyle w:val="StandardWeb"/>
      </w:pPr>
      <w:r>
        <w:t>Die Zahlen sind verschieden, die Körpergröße ist dieselbe.</w:t>
      </w:r>
    </w:p>
    <w:p w:rsidR="008B203A" w:rsidRDefault="008B203A" w:rsidP="008B203A">
      <w:pPr>
        <w:pStyle w:val="StandardWeb"/>
      </w:pPr>
      <w:r>
        <w:t>Eine Aussage wie</w:t>
      </w:r>
    </w:p>
    <w:p w:rsidR="008B203A" w:rsidRDefault="008B203A" w:rsidP="008B203A">
      <w:pPr>
        <w:pStyle w:val="StandardWeb"/>
      </w:pPr>
      <w:r>
        <w:t>„Person A ist größer als Person B“</w:t>
      </w:r>
    </w:p>
    <w:p w:rsidR="008B203A" w:rsidRDefault="008B203A" w:rsidP="008B203A">
      <w:pPr>
        <w:pStyle w:val="StandardWeb"/>
      </w:pPr>
      <w:r>
        <w:lastRenderedPageBreak/>
        <w:t>sollte durch einen gemeinsamen Einheitenwechsel nicht ihre Wahrheit verlieren.</w:t>
      </w:r>
    </w:p>
    <w:p w:rsidR="008B203A" w:rsidRDefault="008B203A" w:rsidP="008B203A">
      <w:pPr>
        <w:pStyle w:val="StandardWeb"/>
      </w:pPr>
      <w:r>
        <w:t>Genau das ist der Grundgedanke der Invarianz.</w:t>
      </w:r>
    </w:p>
    <w:p w:rsidR="008B203A" w:rsidRDefault="008B203A" w:rsidP="008B203A">
      <w:pPr>
        <w:pStyle w:val="StandardWeb"/>
      </w:pPr>
      <w:r>
        <w:t>Kovarianz lässt sich dagegen mit einer Landkarte erklären. Werden die Koordinaten eines Ortes von einem Koordinatensystem in ein anderes transformiert, ändern sich die Zahlen. Der Ort selbst bleibt aber derselbe.</w:t>
      </w:r>
    </w:p>
    <w:p w:rsidR="008B203A" w:rsidRDefault="008B203A" w:rsidP="008B203A">
      <w:pPr>
        <w:pStyle w:val="StandardWeb"/>
      </w:pPr>
      <w:r>
        <w:t>Didaktisch sollte deshalb immer unterschieden werden:</w:t>
      </w:r>
    </w:p>
    <w:p w:rsidR="008B203A" w:rsidRDefault="008B203A" w:rsidP="008B203A">
      <w:pPr>
        <w:pStyle w:val="StandardWeb"/>
      </w:pPr>
      <w:r>
        <w:rPr>
          <w:rStyle w:val="Fett"/>
        </w:rPr>
        <w:t>Was ändert sich nur in der Darstellung?</w:t>
      </w:r>
    </w:p>
    <w:p w:rsidR="008B203A" w:rsidRDefault="008B203A" w:rsidP="008B203A">
      <w:pPr>
        <w:pStyle w:val="StandardWeb"/>
      </w:pPr>
      <w:r>
        <w:t>und</w:t>
      </w:r>
    </w:p>
    <w:p w:rsidR="008B203A" w:rsidRDefault="008B203A" w:rsidP="008B203A">
      <w:pPr>
        <w:pStyle w:val="StandardWeb"/>
      </w:pPr>
      <w:r>
        <w:rPr>
          <w:rStyle w:val="Fett"/>
        </w:rPr>
        <w:t>Was ändert sich tatsächlich in der modellierten Struktur?</w:t>
      </w:r>
    </w:p>
    <w:p w:rsidR="008B203A" w:rsidRDefault="008B203A" w:rsidP="008B203A">
      <w:pPr>
        <w:pStyle w:val="StandardWeb"/>
      </w:pPr>
      <w:r>
        <w:t>Diese Frage ist für das FRZK besonders wichtig, weil viele spätere Größen nur über mathematische Repräsentationen zugänglich sind.</w:t>
      </w:r>
    </w:p>
    <w:p w:rsidR="008B203A" w:rsidRDefault="00E50336" w:rsidP="008B203A">
      <w:r>
        <w:pict>
          <v:rect id="_x0000_i1052" style="width:0;height:1.5pt" o:hralign="center" o:hrstd="t" o:hr="t" fillcolor="#a0a0a0" stroked="f"/>
        </w:pict>
      </w:r>
    </w:p>
    <w:p w:rsidR="008B203A" w:rsidRPr="001D06D1" w:rsidRDefault="008B203A" w:rsidP="008B203A">
      <w:pPr>
        <w:rPr>
          <w:rStyle w:val="SQLTabellen"/>
          <w:rFonts w:ascii="Calibri" w:hAnsi="Calibri"/>
          <w:b w:val="0"/>
          <w:sz w:val="24"/>
        </w:rPr>
      </w:pPr>
    </w:p>
    <w:p w:rsidR="00983335" w:rsidRPr="00AF32B2" w:rsidRDefault="00983335" w:rsidP="00AF32B2">
      <w:pPr>
        <w:pStyle w:val="berschrift3"/>
      </w:pPr>
      <w:r w:rsidRPr="00AF32B2">
        <w:t>3.3.28 Prüfung der Parameter- und Strukturidentifizierbarkeit</w:t>
      </w:r>
    </w:p>
    <w:p w:rsidR="00983335" w:rsidRDefault="00983335" w:rsidP="00983335">
      <w:pPr>
        <w:pStyle w:val="StandardWeb"/>
      </w:pPr>
      <w:r>
        <w:t>Die Invarianzprüfung in Abschnitt 3.3.27 hat gezeigt, dass unterschiedliche Repräsentationen denselben funktionalen Sachverhalt beschreiben können. Eine bloße Veränderung von Einheit, Kodierung oder Koordinatensystem darf deshalb nicht als Veränderung des zugrunde liegenden Modells interpretiert werden. Davon zu unterscheiden ist die Frage, ob verschiedene Parameterwerte oder sogar unterschiedliche Modellstrukturen dieselben empirischen Vorhersagen erzeugen.</w:t>
      </w:r>
    </w:p>
    <w:p w:rsidR="00983335" w:rsidRDefault="00983335" w:rsidP="00983335">
      <w:pPr>
        <w:pStyle w:val="StandardWeb"/>
      </w:pPr>
      <w:r>
        <w:t xml:space="preserve">Diese Frage betrifft die </w:t>
      </w:r>
      <w:r>
        <w:rPr>
          <w:rStyle w:val="Fett"/>
        </w:rPr>
        <w:t>Identifizierbarkeit</w:t>
      </w:r>
      <w:r>
        <w:t>. Ein Modell kann formal korrekt, empirisch anschlussfähig und reproduzierbar implementiert sein, obwohl seine Parameter aus den verfügbaren Beobachtungen nicht eindeutig bestimmt werden können. Ebenso können zwei strukturell verschiedene FRZK-Modelle hinsichtlich aller betrachteten Beobachtungen ununterscheidbar bleiben [58, 59, 71].</w:t>
      </w:r>
    </w:p>
    <w:p w:rsidR="00983335" w:rsidRDefault="00983335" w:rsidP="00983335">
      <w:pPr>
        <w:pStyle w:val="StandardWeb"/>
      </w:pPr>
      <w:r>
        <w:t>Eine erfolgreiche Anpassung eines Modells an Daten beweist daher noch nicht, dass die geschätzten Parameterwerte eindeutig sind. Sie beweist ebenso wenig, dass die gewählte Modellstruktur die einzige mögliche Erklärung der beobachteten Daten darstellt. Für die wissenschaftliche Bewertung muss ich mindestens vier Fälle unterscheiden:</w:t>
      </w:r>
    </w:p>
    <w:p w:rsidR="00983335" w:rsidRDefault="00983335" w:rsidP="00632D23">
      <w:pPr>
        <w:pStyle w:val="StandardWeb"/>
        <w:numPr>
          <w:ilvl w:val="0"/>
          <w:numId w:val="157"/>
        </w:numPr>
      </w:pPr>
      <w:r>
        <w:t>eindeutige Parameteridentifizierbarkeit,</w:t>
      </w:r>
    </w:p>
    <w:p w:rsidR="00983335" w:rsidRDefault="00983335" w:rsidP="00632D23">
      <w:pPr>
        <w:pStyle w:val="StandardWeb"/>
        <w:numPr>
          <w:ilvl w:val="0"/>
          <w:numId w:val="157"/>
        </w:numPr>
      </w:pPr>
      <w:r>
        <w:t>lokale Parameteridentifizierbarkeit,</w:t>
      </w:r>
    </w:p>
    <w:p w:rsidR="00983335" w:rsidRDefault="00983335" w:rsidP="00632D23">
      <w:pPr>
        <w:pStyle w:val="StandardWeb"/>
        <w:numPr>
          <w:ilvl w:val="0"/>
          <w:numId w:val="157"/>
        </w:numPr>
      </w:pPr>
      <w:r>
        <w:t>praktische Identifizierbarkeit,</w:t>
      </w:r>
    </w:p>
    <w:p w:rsidR="00983335" w:rsidRDefault="00983335" w:rsidP="00632D23">
      <w:pPr>
        <w:pStyle w:val="StandardWeb"/>
        <w:numPr>
          <w:ilvl w:val="0"/>
          <w:numId w:val="157"/>
        </w:numPr>
      </w:pPr>
      <w:r>
        <w:t>strukturelle beziehungsweise modellklassenbezogene Identifizierbarkeit.</w:t>
      </w:r>
    </w:p>
    <w:p w:rsidR="00983335" w:rsidRDefault="00983335" w:rsidP="00983335">
      <w:pPr>
        <w:pStyle w:val="StandardWeb"/>
      </w:pPr>
      <w:r>
        <w:rPr>
          <w:rStyle w:val="Fett"/>
        </w:rPr>
        <w:t>Eigenleistung des FRZK</w:t>
      </w:r>
    </w:p>
    <w:p w:rsidR="00983335" w:rsidRDefault="00983335" w:rsidP="00983335">
      <w:pPr>
        <w:pStyle w:val="StandardWeb"/>
      </w:pPr>
      <w:r>
        <w:t xml:space="preserve">Ich führe ein gemeinsames Identifizierbarkeitssystem ein, das Parameterwerte, Modellstrukturen, Operationalisierungen und empirische Vorhersagen miteinander verbindet. </w:t>
      </w:r>
      <w:r>
        <w:lastRenderedPageBreak/>
        <w:t>Dadurch kann ich unterscheiden, ob eine Mehrdeutigkeit aus der mathematischen Modellstruktur, aus unzureichenden Daten, aus einer ungeeigneten Operationalisierung oder aus einer bloßen Repräsentationssymmetrie entsteht.</w:t>
      </w:r>
    </w:p>
    <w:p w:rsidR="00983335" w:rsidRPr="00AF32B2" w:rsidRDefault="00983335" w:rsidP="00AF32B2">
      <w:pPr>
        <w:pStyle w:val="berschrift4"/>
      </w:pPr>
      <w:r w:rsidRPr="00AF32B2">
        <w:t>3.3.28.1 Parametrisierte FRZK-Modellfamilie</w:t>
      </w:r>
    </w:p>
    <w:p w:rsidR="00983335" w:rsidRDefault="00983335" w:rsidP="00983335">
      <w:pPr>
        <w:pStyle w:val="StandardWeb"/>
      </w:pPr>
      <w:r>
        <w:t>Eine parametrisierte FRZK-Modellfamilie bezeichne ich mit</w:t>
      </w:r>
    </w:p>
    <w:p w:rsidR="00983335" w:rsidRDefault="00983335" w:rsidP="00983335">
      <w:pPr>
        <w:pStyle w:val="berschrift1"/>
      </w:pPr>
      <w:r>
        <w:t>[</w:t>
      </w:r>
      <w:r>
        <w:br/>
        <w:t>\mathfrak{M}_{F}</w:t>
      </w:r>
    </w:p>
    <w:p w:rsidR="00983335" w:rsidRDefault="00983335" w:rsidP="00983335">
      <w:pPr>
        <w:pStyle w:val="StandardWeb"/>
      </w:pPr>
      <w:r>
        <w:t>\left{</w:t>
      </w:r>
      <w:r>
        <w:br/>
        <w:t>\mathcal{M}_{\theta}</w:t>
      </w:r>
      <w:r>
        <w:br/>
        <w:t>;\middle|;</w:t>
      </w:r>
      <w:r>
        <w:br/>
        <w:t>\theta\in\Theta</w:t>
      </w:r>
      <w:r>
        <w:br/>
        <w:t>\right}.</w:t>
      </w:r>
      <w:r>
        <w:br/>
        <w:t>\tag{3.5217}</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\mathfrak{M}_{F}=\left\{\mathcal{M}_{\theta}\middle|\theta\in\Theta\right\}\qquad\text{(3.5217)}</w:t>
      </w:r>
    </w:p>
    <w:p w:rsidR="00983335" w:rsidRDefault="00983335" w:rsidP="00983335">
      <w:pPr>
        <w:pStyle w:val="StandardWeb"/>
      </w:pPr>
      <w:r>
        <w:t>Dabei bezeichnet (\Theta) den zulässigen Parameterraum:</w:t>
      </w:r>
    </w:p>
    <w:p w:rsidR="00983335" w:rsidRDefault="00983335" w:rsidP="00983335">
      <w:pPr>
        <w:pStyle w:val="StandardWeb"/>
      </w:pPr>
      <w:r>
        <w:t>[</w:t>
      </w:r>
      <w:r>
        <w:br/>
        <w:t>\Theta</w:t>
      </w:r>
      <w:r>
        <w:br/>
        <w:t>\subseteq</w:t>
      </w:r>
      <w:r>
        <w:br/>
        <w:t>\mathbb{R}^{p}.</w:t>
      </w:r>
      <w:r>
        <w:br/>
        <w:t>\tag{3.5218}</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\Theta\subseteq\mathbb{R}^{p}\qquad\text{(3.5218)}</w:t>
      </w:r>
    </w:p>
    <w:p w:rsidR="00983335" w:rsidRDefault="00983335" w:rsidP="00983335">
      <w:pPr>
        <w:pStyle w:val="StandardWeb"/>
      </w:pPr>
      <w:r>
        <w:t>Ein Parametervektor lautet</w:t>
      </w:r>
    </w:p>
    <w:p w:rsidR="00983335" w:rsidRDefault="00983335" w:rsidP="00983335">
      <w:pPr>
        <w:pStyle w:val="berschrift1"/>
      </w:pPr>
      <w:r>
        <w:t>[</w:t>
      </w:r>
      <w:r>
        <w:br/>
        <w:t>\theta</w:t>
      </w:r>
    </w:p>
    <w:p w:rsidR="00983335" w:rsidRDefault="00983335" w:rsidP="00983335">
      <w:pPr>
        <w:pStyle w:val="StandardWeb"/>
      </w:pPr>
      <w:r>
        <w:t>\left(</w:t>
      </w:r>
      <w:r>
        <w:br/>
        <w:t>\theta_1,</w:t>
      </w:r>
      <w:r>
        <w:br/>
        <w:t>\theta_2,</w:t>
      </w:r>
      <w:r>
        <w:br/>
        <w:t>\ldots,</w:t>
      </w:r>
      <w:r>
        <w:br/>
        <w:t>\theta_p</w:t>
      </w:r>
      <w:r>
        <w:br/>
        <w:t>\right).</w:t>
      </w:r>
      <w:r>
        <w:br/>
      </w:r>
      <w:r>
        <w:lastRenderedPageBreak/>
        <w:t>\tag{3.5219}</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\theta=\left(\theta_1,\theta_2,\ldots,\theta_p\right)\qquad\text{(3.5219)}</w:t>
      </w:r>
    </w:p>
    <w:p w:rsidR="00983335" w:rsidRDefault="00983335" w:rsidP="00983335">
      <w:pPr>
        <w:pStyle w:val="StandardWeb"/>
      </w:pPr>
      <w:r>
        <w:t>Jeder zulässige Parametervektor bestimmt eine konkrete Modellinstanz:</w:t>
      </w:r>
    </w:p>
    <w:p w:rsidR="00983335" w:rsidRDefault="00983335" w:rsidP="00983335">
      <w:pPr>
        <w:pStyle w:val="StandardWeb"/>
      </w:pPr>
      <w:r>
        <w:t>[</w:t>
      </w:r>
      <w:r>
        <w:br/>
        <w:t>\theta</w:t>
      </w:r>
      <w:r>
        <w:br/>
        <w:t>\longmapsto</w:t>
      </w:r>
      <w:r>
        <w:br/>
        <w:t>\mathcal{M}_{\theta}.</w:t>
      </w:r>
      <w:r>
        <w:br/>
        <w:t>\tag{3.5220}</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\theta\longmapsto\mathcal{M}_{\theta}\qquad\text{(3.5220)}</w:t>
      </w:r>
    </w:p>
    <w:p w:rsidR="00983335" w:rsidRDefault="00983335" w:rsidP="00983335">
      <w:pPr>
        <w:pStyle w:val="StandardWeb"/>
      </w:pPr>
      <w:r>
        <w:t>Die Parameter können Eigenschaften von Zuständen, Relationen, Transformationen, Kohärenzfunktionen, Zeitabbildungen, Kopplungen oder empirischen Beobachtungsmodellen festlegen.</w:t>
      </w:r>
    </w:p>
    <w:p w:rsidR="00983335" w:rsidRPr="00AF32B2" w:rsidRDefault="00983335" w:rsidP="00AF32B2">
      <w:pPr>
        <w:pStyle w:val="berschrift4"/>
      </w:pPr>
      <w:r w:rsidRPr="00AF32B2">
        <w:t>3.3.28.2 Vorhersageabbildung</w:t>
      </w:r>
    </w:p>
    <w:p w:rsidR="00983335" w:rsidRDefault="00983335" w:rsidP="00983335">
      <w:pPr>
        <w:pStyle w:val="StandardWeb"/>
      </w:pPr>
      <w:r>
        <w:t>Die modellseitige Vorhersageabbildung lautet</w:t>
      </w:r>
    </w:p>
    <w:p w:rsidR="00983335" w:rsidRDefault="00983335" w:rsidP="00983335">
      <w:pPr>
        <w:pStyle w:val="StandardWeb"/>
      </w:pPr>
      <w:r>
        <w:t>[</w:t>
      </w:r>
      <w:r>
        <w:br/>
        <w:t>\mathcal{P}_{F}:</w:t>
      </w:r>
      <w:r>
        <w:br/>
        <w:t>\Theta</w:t>
      </w:r>
      <w:r>
        <w:br/>
        <w:t>\times</w:t>
      </w:r>
      <w:r>
        <w:br/>
        <w:t>\mathcal{X}</w:t>
      </w:r>
      <w:r>
        <w:br/>
        <w:t>\rightarrow</w:t>
      </w:r>
      <w:r>
        <w:br/>
        <w:t>\mathcal{Y}.</w:t>
      </w:r>
      <w:r>
        <w:br/>
        <w:t>\tag{3.5221}</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\mathcal{P}_{F}:\Theta\times\mathcal{X}\rightarrow\mathcal{Y}\qquad\text{(3.5221)}</w:t>
      </w:r>
    </w:p>
    <w:p w:rsidR="00983335" w:rsidRDefault="00983335" w:rsidP="00983335">
      <w:pPr>
        <w:pStyle w:val="StandardWeb"/>
      </w:pPr>
      <w:r>
        <w:t>Für einen Parametervektor (\theta) und eine Eingabe (x) gilt</w:t>
      </w:r>
    </w:p>
    <w:p w:rsidR="00983335" w:rsidRDefault="00983335" w:rsidP="00983335">
      <w:pPr>
        <w:pStyle w:val="berschrift1"/>
      </w:pPr>
      <w:r>
        <w:t>[</w:t>
      </w:r>
      <w:r>
        <w:br/>
        <w:t>\widehat{y}</w:t>
      </w:r>
    </w:p>
    <w:p w:rsidR="00983335" w:rsidRDefault="00983335" w:rsidP="00983335">
      <w:pPr>
        <w:pStyle w:val="StandardWeb"/>
      </w:pPr>
      <w:r>
        <w:t>\mathcal{P}_{F}</w:t>
      </w:r>
      <w:r>
        <w:br/>
        <w:t>\left(</w:t>
      </w:r>
      <w:r>
        <w:br/>
      </w:r>
      <w:r>
        <w:lastRenderedPageBreak/>
        <w:t>\theta,</w:t>
      </w:r>
      <w:r>
        <w:br/>
        <w:t>x</w:t>
      </w:r>
      <w:r>
        <w:br/>
        <w:t>\right).</w:t>
      </w:r>
      <w:r>
        <w:br/>
        <w:t>\tag{3.5222}</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\widehat{y}=\mathcal{P}_{F}\left(\theta,x\right)\qquad\text{(3.5222)}</w:t>
      </w:r>
    </w:p>
    <w:p w:rsidR="00983335" w:rsidRDefault="00983335" w:rsidP="00983335">
      <w:pPr>
        <w:pStyle w:val="StandardWeb"/>
      </w:pPr>
      <w:r>
        <w:t>Für eine Menge von Eingaben</w:t>
      </w:r>
    </w:p>
    <w:p w:rsidR="00983335" w:rsidRDefault="00983335" w:rsidP="00983335">
      <w:pPr>
        <w:pStyle w:val="berschrift1"/>
      </w:pPr>
      <w:r>
        <w:t>[</w:t>
      </w:r>
      <w:r>
        <w:br/>
        <w:t>\mathcal{X}_{\mathrm{obs}}</w:t>
      </w:r>
    </w:p>
    <w:p w:rsidR="00983335" w:rsidRDefault="00983335" w:rsidP="00983335">
      <w:pPr>
        <w:pStyle w:val="StandardWeb"/>
      </w:pPr>
      <w:r>
        <w:t>\left{</w:t>
      </w:r>
      <w:r>
        <w:br/>
        <w:t>x_1,\ldots,x_n</w:t>
      </w:r>
      <w:r>
        <w:br/>
        <w:t>\right}</w:t>
      </w:r>
      <w:r>
        <w:br/>
        <w:t>\tag{3.5223}</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\mathcal{X}_{\mathrm{obs}}=\left\{x_1,\ldots,x_n\right\}\qquad\text{(3.5223)}</w:t>
      </w:r>
    </w:p>
    <w:p w:rsidR="00983335" w:rsidRDefault="00983335" w:rsidP="00983335">
      <w:pPr>
        <w:pStyle w:val="StandardWeb"/>
      </w:pPr>
      <w:r>
        <w:t>ergibt sich der Vorhersagevektor</w:t>
      </w:r>
    </w:p>
    <w:p w:rsidR="00983335" w:rsidRDefault="00983335" w:rsidP="00983335">
      <w:pPr>
        <w:pStyle w:val="berschrift1"/>
      </w:pPr>
      <w:r>
        <w:t>[</w:t>
      </w:r>
      <w:r>
        <w:br/>
        <w:t>\mathbf{P}_{F}(\theta)</w:t>
      </w:r>
    </w:p>
    <w:p w:rsidR="00983335" w:rsidRDefault="00983335" w:rsidP="00983335">
      <w:pPr>
        <w:pStyle w:val="StandardWeb"/>
      </w:pPr>
      <w:r>
        <w:t>\left(</w:t>
      </w:r>
      <w:r>
        <w:br/>
        <w:t>\mathcal{P}</w:t>
      </w:r>
      <w:r>
        <w:rPr>
          <w:rStyle w:val="Hervorhebung"/>
        </w:rPr>
        <w:t>{F}(\theta,x_1),</w:t>
      </w:r>
      <w:r>
        <w:rPr>
          <w:i/>
          <w:iCs/>
        </w:rPr>
        <w:br/>
      </w:r>
      <w:r>
        <w:rPr>
          <w:rStyle w:val="Hervorhebung"/>
        </w:rPr>
        <w:t>\ldots,</w:t>
      </w:r>
      <w:r>
        <w:rPr>
          <w:i/>
          <w:iCs/>
        </w:rPr>
        <w:br/>
      </w:r>
      <w:r>
        <w:rPr>
          <w:rStyle w:val="Hervorhebung"/>
        </w:rPr>
        <w:t>\mathcal{P}</w:t>
      </w:r>
      <w:r>
        <w:t>{F}(\theta,x_n)</w:t>
      </w:r>
      <w:r>
        <w:br/>
        <w:t>\right).</w:t>
      </w:r>
      <w:r>
        <w:br/>
        <w:t>\tag{3.5224}</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\mathbf{P}_{F}(\theta)=\left(\mathcal{P}_{F}(\theta,x_1),\ldots,\mathcal{P}_{F}(\theta,x_n)\right)\qquad\text{(3.5224)}</w:t>
      </w:r>
    </w:p>
    <w:p w:rsidR="00983335" w:rsidRDefault="00983335" w:rsidP="00983335">
      <w:pPr>
        <w:pStyle w:val="StandardWeb"/>
      </w:pPr>
      <w:r>
        <w:t>Die Identifizierbarkeit hängt nicht nur von der Modellgleichung, sondern auch von der gewählten Eingabe- und Beobachtungsmenge ab.</w:t>
      </w:r>
    </w:p>
    <w:p w:rsidR="00983335" w:rsidRPr="00AF32B2" w:rsidRDefault="00983335" w:rsidP="00AF32B2">
      <w:pPr>
        <w:pStyle w:val="berschrift4"/>
      </w:pPr>
      <w:r w:rsidRPr="00AF32B2">
        <w:t>3.3.28.3 Beobachtungsäquivalenz von Parameterwerten</w:t>
      </w:r>
    </w:p>
    <w:p w:rsidR="00983335" w:rsidRDefault="00983335" w:rsidP="00983335">
      <w:pPr>
        <w:pStyle w:val="StandardWeb"/>
      </w:pPr>
      <w:r>
        <w:lastRenderedPageBreak/>
        <w:t>Zwei Parametervektoren (\theta_1) und (\theta_2) heißen bezüglich der betrachteten Beobachtungen äquivalent, wenn sie denselben Vorhersagevektor erzeugen:</w:t>
      </w:r>
    </w:p>
    <w:p w:rsidR="00983335" w:rsidRDefault="00983335" w:rsidP="00983335">
      <w:pPr>
        <w:pStyle w:val="berschrift1"/>
      </w:pPr>
      <w:r>
        <w:t>[</w:t>
      </w:r>
      <w:r>
        <w:br/>
        <w:t>\theta_1</w:t>
      </w:r>
      <w:r>
        <w:br/>
        <w:t>\sim_{\mathrm{obs}}</w:t>
      </w:r>
      <w:r>
        <w:br/>
        <w:t>\theta_2</w:t>
      </w:r>
      <w:r>
        <w:br/>
        <w:t>\iff</w:t>
      </w:r>
      <w:r>
        <w:br/>
        <w:t>\mathbf{P}_{F}(\theta_1)</w:t>
      </w:r>
    </w:p>
    <w:p w:rsidR="00983335" w:rsidRDefault="00983335" w:rsidP="00983335">
      <w:pPr>
        <w:pStyle w:val="StandardWeb"/>
      </w:pPr>
      <w:r>
        <w:t>\mathbf{P}_{F}(\theta_2).</w:t>
      </w:r>
      <w:r>
        <w:br/>
        <w:t>\tag{3.5225}</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\theta_1\sim_{\mathrm{obs}}\theta_2\iff\mathbf{P}_{F}(\theta_1)=\mathbf{P}_{F}(\theta_2)\qquad\text{(3.5225)}</w:t>
      </w:r>
    </w:p>
    <w:p w:rsidR="00983335" w:rsidRDefault="00983335" w:rsidP="00983335">
      <w:pPr>
        <w:pStyle w:val="StandardWeb"/>
      </w:pPr>
      <w:r>
        <w:t>Die zu einem Parametervektor gehörende Beobachtungsäquivalenzklasse lautet</w:t>
      </w:r>
    </w:p>
    <w:p w:rsidR="00983335" w:rsidRDefault="00983335" w:rsidP="00983335">
      <w:pPr>
        <w:pStyle w:val="berschrift1"/>
      </w:pPr>
      <w:r>
        <w:t>[</w:t>
      </w:r>
      <w:r>
        <w:br/>
        <w:t>[\theta]_{\mathrm{obs}}</w:t>
      </w:r>
    </w:p>
    <w:p w:rsidR="00983335" w:rsidRDefault="00983335" w:rsidP="00983335">
      <w:pPr>
        <w:pStyle w:val="berschrift1"/>
      </w:pPr>
      <w:r>
        <w:t>\left{</w:t>
      </w:r>
      <w:r>
        <w:br/>
        <w:t>\vartheta\in\Theta</w:t>
      </w:r>
      <w:r>
        <w:br/>
        <w:t>;\middle|;</w:t>
      </w:r>
      <w:r>
        <w:br/>
        <w:t>\mathbf{P}_{F}(\vartheta)</w:t>
      </w:r>
    </w:p>
    <w:p w:rsidR="00983335" w:rsidRDefault="00983335" w:rsidP="00983335">
      <w:pPr>
        <w:pStyle w:val="StandardWeb"/>
      </w:pPr>
      <w:r>
        <w:t>\mathbf{P}_{F}(\theta)</w:t>
      </w:r>
      <w:r>
        <w:br/>
        <w:t>\right}.</w:t>
      </w:r>
      <w:r>
        <w:br/>
        <w:t>\tag{3.5226}</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[\theta]_{\mathrm{obs}}=\left\{\vartheta\in\Theta\middle|\mathbf{P}_{F}(\vartheta)=\mathbf{P}_{F}(\theta)\right\}\qquad\text{(3.5226)}</w:t>
      </w:r>
    </w:p>
    <w:p w:rsidR="00983335" w:rsidRDefault="00983335" w:rsidP="00983335">
      <w:pPr>
        <w:pStyle w:val="StandardWeb"/>
      </w:pPr>
      <w:r>
        <w:t>Ist diese Klasse mehrgliedrig, können die betrachteten Beobachtungen die darin enthaltenen Parameterwerte nicht unterscheiden.</w:t>
      </w:r>
    </w:p>
    <w:p w:rsidR="00983335" w:rsidRPr="00AF32B2" w:rsidRDefault="00983335" w:rsidP="00AF32B2">
      <w:pPr>
        <w:pStyle w:val="berschrift4"/>
      </w:pPr>
      <w:r w:rsidRPr="00AF32B2">
        <w:t>3.3.28.4 Definition des FRZK-Identifizierbarkeitssystems</w:t>
      </w:r>
    </w:p>
    <w:p w:rsidR="00983335" w:rsidRDefault="00983335" w:rsidP="00983335">
      <w:pPr>
        <w:pStyle w:val="StandardWeb"/>
      </w:pPr>
      <w:r>
        <w:rPr>
          <w:rStyle w:val="Fett"/>
        </w:rPr>
        <w:lastRenderedPageBreak/>
        <w:t>Definition 3.3.20 – FRZK-Identifizierbarkeitssystem</w:t>
      </w:r>
    </w:p>
    <w:p w:rsidR="00983335" w:rsidRDefault="00983335" w:rsidP="00983335">
      <w:pPr>
        <w:pStyle w:val="StandardWeb"/>
      </w:pPr>
      <w:r>
        <w:t>Ein FRZK-Identifizierbarkeitssystem ist das geordnete Tupel</w:t>
      </w:r>
    </w:p>
    <w:p w:rsidR="00983335" w:rsidRDefault="00983335" w:rsidP="00983335">
      <w:pPr>
        <w:pStyle w:val="berschrift1"/>
      </w:pPr>
      <w:r>
        <w:t>[</w:t>
      </w:r>
      <w:r>
        <w:br/>
        <w:t>\mathfrak{J}_{F}</w:t>
      </w:r>
    </w:p>
    <w:p w:rsidR="00983335" w:rsidRDefault="00983335" w:rsidP="00983335">
      <w:pPr>
        <w:pStyle w:val="StandardWeb"/>
      </w:pPr>
      <w:r>
        <w:t>\left(</w:t>
      </w:r>
      <w:r>
        <w:br/>
        <w:t>\Theta,</w:t>
      </w:r>
      <w:r>
        <w:br/>
        <w:t>\mathcal{X}</w:t>
      </w:r>
      <w:r>
        <w:rPr>
          <w:rStyle w:val="Hervorhebung"/>
        </w:rPr>
        <w:t>{\mathrm{obs}},</w:t>
      </w:r>
      <w:r>
        <w:rPr>
          <w:i/>
          <w:iCs/>
        </w:rPr>
        <w:br/>
      </w:r>
      <w:r>
        <w:rPr>
          <w:rStyle w:val="Hervorhebung"/>
        </w:rPr>
        <w:t>\mathcal{Y}</w:t>
      </w:r>
      <w:r>
        <w:t>{\mathrm{obs}},</w:t>
      </w:r>
      <w:r>
        <w:br/>
        <w:t>\mathbf{P}</w:t>
      </w:r>
      <w:r>
        <w:rPr>
          <w:rStyle w:val="Hervorhebung"/>
        </w:rPr>
        <w:t>{F},</w:t>
      </w:r>
      <w:r>
        <w:rPr>
          <w:i/>
          <w:iCs/>
        </w:rPr>
        <w:br/>
      </w:r>
      <w:r>
        <w:rPr>
          <w:rStyle w:val="Hervorhebung"/>
        </w:rPr>
        <w:t>\sim</w:t>
      </w:r>
      <w:r>
        <w:t>{\mathrm{obs}}</w:t>
      </w:r>
      <w:r>
        <w:br/>
        <w:t>\right).</w:t>
      </w:r>
      <w:r>
        <w:br/>
        <w:t>\tag{3.5227}</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\mathfrak{J}_{F}=\left(\Theta,\mathcal{X}_{\mathrm{obs}},\mathcal{Y}_{\mathrm{obs}},\mathbf{P}_{F},\sim_{\mathrm{obs}}\right)\qquad\text{(3.5227)}</w:t>
      </w:r>
    </w:p>
    <w:p w:rsidR="00983335" w:rsidRDefault="00983335" w:rsidP="00983335">
      <w:pPr>
        <w:pStyle w:val="StandardWeb"/>
      </w:pPr>
      <w:r>
        <w:t>Dabei bezeichnet:</w:t>
      </w:r>
    </w:p>
    <w:p w:rsidR="00983335" w:rsidRDefault="00983335" w:rsidP="00632D23">
      <w:pPr>
        <w:pStyle w:val="StandardWeb"/>
        <w:numPr>
          <w:ilvl w:val="0"/>
          <w:numId w:val="158"/>
        </w:numPr>
      </w:pPr>
      <w:r>
        <w:t>(\Theta) den Parameterraum,</w:t>
      </w:r>
    </w:p>
    <w:p w:rsidR="00983335" w:rsidRDefault="00983335" w:rsidP="00632D23">
      <w:pPr>
        <w:pStyle w:val="StandardWeb"/>
        <w:numPr>
          <w:ilvl w:val="0"/>
          <w:numId w:val="158"/>
        </w:numPr>
      </w:pPr>
      <w:r>
        <w:t>(\mathcal{X}_{\mathrm{obs}}) die Menge der verwendeten Eingaben oder Beobachtungssituationen,</w:t>
      </w:r>
    </w:p>
    <w:p w:rsidR="00983335" w:rsidRDefault="00983335" w:rsidP="00632D23">
      <w:pPr>
        <w:pStyle w:val="StandardWeb"/>
        <w:numPr>
          <w:ilvl w:val="0"/>
          <w:numId w:val="158"/>
        </w:numPr>
      </w:pPr>
      <w:r>
        <w:t>(\mathcal{Y}_{\mathrm{obs}}) den empirischen Zielraum,</w:t>
      </w:r>
    </w:p>
    <w:p w:rsidR="00983335" w:rsidRDefault="00983335" w:rsidP="00632D23">
      <w:pPr>
        <w:pStyle w:val="StandardWeb"/>
        <w:numPr>
          <w:ilvl w:val="0"/>
          <w:numId w:val="158"/>
        </w:numPr>
      </w:pPr>
      <w:r>
        <w:t>(\mathbf{P}_{F}) die gemeinsame Vorhersageabbildung,</w:t>
      </w:r>
    </w:p>
    <w:p w:rsidR="00983335" w:rsidRDefault="00983335" w:rsidP="00632D23">
      <w:pPr>
        <w:pStyle w:val="StandardWeb"/>
        <w:numPr>
          <w:ilvl w:val="0"/>
          <w:numId w:val="158"/>
        </w:numPr>
      </w:pPr>
      <w:r>
        <w:t>(\sim_{\mathrm{obs}}) die Beobachtungsäquivalenzrelation.</w:t>
      </w:r>
    </w:p>
    <w:p w:rsidR="00983335" w:rsidRDefault="00983335" w:rsidP="00983335">
      <w:pPr>
        <w:pStyle w:val="StandardWeb"/>
      </w:pPr>
      <w:r>
        <w:t>Das Identifizierbarkeitsprädikat lautet</w:t>
      </w:r>
    </w:p>
    <w:p w:rsidR="00983335" w:rsidRDefault="00983335" w:rsidP="00983335">
      <w:pPr>
        <w:pStyle w:val="StandardWeb"/>
      </w:pPr>
      <w:r>
        <w:t>[</w:t>
      </w:r>
      <w:r>
        <w:br/>
        <w:t>\operatorname{ID}_{F}:</w:t>
      </w:r>
      <w:r>
        <w:br/>
        <w:t>\Theta</w:t>
      </w:r>
      <w:r>
        <w:br/>
        <w:t>\rightarrow</w:t>
      </w:r>
      <w:r>
        <w:br/>
        <w:t>{0,1}.</w:t>
      </w:r>
      <w:r>
        <w:br/>
        <w:t>\tag{3.5228}</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\operatorname{ID}_{F}:\Theta\rightarrow\{0,1\}\qquad\text{(3.5228)}</w:t>
      </w:r>
    </w:p>
    <w:p w:rsidR="00983335" w:rsidRDefault="00983335" w:rsidP="00983335">
      <w:pPr>
        <w:pStyle w:val="StandardWeb"/>
      </w:pPr>
      <w:r>
        <w:t>Für einen eindeutig identifizierbaren Parametervektor gilt</w:t>
      </w:r>
    </w:p>
    <w:p w:rsidR="00983335" w:rsidRDefault="00983335" w:rsidP="00983335">
      <w:pPr>
        <w:pStyle w:val="berschrift1"/>
      </w:pPr>
      <w:r>
        <w:t>[</w:t>
      </w:r>
      <w:r>
        <w:br/>
        <w:t>\operatorname{ID}_{F}(\theta)</w:t>
      </w:r>
    </w:p>
    <w:p w:rsidR="00983335" w:rsidRDefault="00983335" w:rsidP="00632D23">
      <w:pPr>
        <w:numPr>
          <w:ilvl w:val="0"/>
          <w:numId w:val="159"/>
        </w:numPr>
        <w:spacing w:before="100" w:beforeAutospacing="1" w:after="100" w:afterAutospacing="1"/>
      </w:pPr>
    </w:p>
    <w:p w:rsidR="00983335" w:rsidRDefault="00983335" w:rsidP="00983335">
      <w:pPr>
        <w:pStyle w:val="StandardWeb"/>
      </w:pPr>
      <w:r>
        <w:t>\tag{3.5229}</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\operatorname{ID}_{F}(\theta)=1\qquad\text{(3.5229)}</w:t>
      </w:r>
    </w:p>
    <w:p w:rsidR="00983335" w:rsidRPr="00AF32B2" w:rsidRDefault="00983335" w:rsidP="00AF32B2">
      <w:pPr>
        <w:pStyle w:val="berschrift4"/>
      </w:pPr>
      <w:r w:rsidRPr="00AF32B2">
        <w:t>3.3.28.5 Globale Parameteridentifizierbarkeit</w:t>
      </w:r>
    </w:p>
    <w:p w:rsidR="00983335" w:rsidRDefault="00983335" w:rsidP="00983335">
      <w:pPr>
        <w:pStyle w:val="StandardWeb"/>
      </w:pPr>
      <w:r>
        <w:t>Ein Parametervektor (\theta^\ast) heißt global identifizierbar, wenn aus der Gleichheit der Vorhersagen die Gleichheit der Parameter folgt:</w:t>
      </w:r>
    </w:p>
    <w:p w:rsidR="00983335" w:rsidRDefault="00983335" w:rsidP="00983335">
      <w:pPr>
        <w:pStyle w:val="berschrift1"/>
      </w:pPr>
      <w:r>
        <w:t>[</w:t>
      </w:r>
      <w:r>
        <w:br/>
        <w:t>\mathbf{P}_{F}(\theta)</w:t>
      </w:r>
    </w:p>
    <w:p w:rsidR="00983335" w:rsidRDefault="00983335" w:rsidP="00983335">
      <w:pPr>
        <w:pStyle w:val="berschrift1"/>
      </w:pPr>
      <w:r>
        <w:t>\mathbf{P}_{F}(\theta^\ast)</w:t>
      </w:r>
      <w:r>
        <w:br/>
        <w:t>\Rightarrow</w:t>
      </w:r>
      <w:r>
        <w:br/>
        <w:t>\theta</w:t>
      </w:r>
    </w:p>
    <w:p w:rsidR="00983335" w:rsidRDefault="00983335" w:rsidP="00983335">
      <w:pPr>
        <w:pStyle w:val="StandardWeb"/>
      </w:pPr>
      <w:r>
        <w:t>\theta^\ast</w:t>
      </w:r>
      <w:r>
        <w:br/>
        <w:t>\tag{3.5230}</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\mathbf{P}_{F}(\theta)=\mathbf{P}_{F}(\theta^\ast)\Rightarrow\theta=\theta^\ast\qquad\text{(3.5230)}</w:t>
      </w:r>
    </w:p>
    <w:p w:rsidR="00983335" w:rsidRDefault="00983335" w:rsidP="00983335">
      <w:pPr>
        <w:pStyle w:val="StandardWeb"/>
      </w:pPr>
      <w:r>
        <w:t>für alle (\theta\in\Theta).</w:t>
      </w:r>
    </w:p>
    <w:p w:rsidR="00983335" w:rsidRDefault="00983335" w:rsidP="00983335">
      <w:pPr>
        <w:pStyle w:val="StandardWeb"/>
      </w:pPr>
      <w:r>
        <w:t>Äquivalent gilt</w:t>
      </w:r>
    </w:p>
    <w:p w:rsidR="00983335" w:rsidRDefault="00983335" w:rsidP="00983335">
      <w:pPr>
        <w:pStyle w:val="berschrift1"/>
      </w:pPr>
      <w:r>
        <w:t>[</w:t>
      </w:r>
      <w:r>
        <w:br/>
        <w:t>[\theta^\ast]_{\mathrm{obs}}</w:t>
      </w:r>
    </w:p>
    <w:p w:rsidR="00983335" w:rsidRDefault="00983335" w:rsidP="00983335">
      <w:pPr>
        <w:pStyle w:val="StandardWeb"/>
      </w:pPr>
      <w:r>
        <w:t>\left{</w:t>
      </w:r>
      <w:r>
        <w:br/>
        <w:t>\theta^\ast</w:t>
      </w:r>
      <w:r>
        <w:br/>
        <w:t>\right}.</w:t>
      </w:r>
      <w:r>
        <w:br/>
        <w:t>\tag{3.5231}</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[\theta^\ast]_{\mathrm{obs}}=\left\{\theta^\ast\right\}\qquad\text{(3.5231)}</w:t>
      </w:r>
    </w:p>
    <w:p w:rsidR="00983335" w:rsidRDefault="00983335" w:rsidP="00983335">
      <w:pPr>
        <w:pStyle w:val="StandardWeb"/>
      </w:pPr>
      <w:r>
        <w:lastRenderedPageBreak/>
        <w:t>Die gesamte Modellfamilie ist global identifizierbar, wenn</w:t>
      </w:r>
    </w:p>
    <w:p w:rsidR="00983335" w:rsidRDefault="00983335" w:rsidP="00983335">
      <w:pPr>
        <w:pStyle w:val="berschrift1"/>
      </w:pPr>
      <w:r>
        <w:t>[</w:t>
      </w:r>
      <w:r>
        <w:br/>
        <w:t>\forall</w:t>
      </w:r>
      <w:r>
        <w:br/>
        <w:t>\theta_1,\theta_2\in\Theta:</w:t>
      </w:r>
      <w:r>
        <w:br/>
        <w:t>\mathbf{P}_{F}(\theta_1)</w:t>
      </w:r>
    </w:p>
    <w:p w:rsidR="00983335" w:rsidRDefault="00983335" w:rsidP="00983335">
      <w:pPr>
        <w:pStyle w:val="berschrift1"/>
      </w:pPr>
      <w:r>
        <w:t>\mathbf{P}_{F}(\theta_2)</w:t>
      </w:r>
      <w:r>
        <w:br/>
        <w:t>\Rightarrow</w:t>
      </w:r>
      <w:r>
        <w:br/>
        <w:t>\theta_1</w:t>
      </w:r>
    </w:p>
    <w:p w:rsidR="00983335" w:rsidRDefault="00983335" w:rsidP="00983335">
      <w:pPr>
        <w:pStyle w:val="StandardWeb"/>
      </w:pPr>
      <w:r>
        <w:t>\theta_2.</w:t>
      </w:r>
      <w:r>
        <w:br/>
        <w:t>\tag{3.5232}</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\forall\theta_1,\theta_2\in\Theta:\mathbf{P}_{F}(\theta_1)=\mathbf{P}_{F}(\theta_2)\Rightarrow\theta_1=\theta_2\qquad\text{(3.5232)}</w:t>
      </w:r>
    </w:p>
    <w:p w:rsidR="00983335" w:rsidRDefault="00983335" w:rsidP="00983335">
      <w:pPr>
        <w:pStyle w:val="StandardWeb"/>
      </w:pPr>
      <w:r>
        <w:t>Damit ist die Vorhersageabbildung bezüglich der Parameter injektiv.</w:t>
      </w:r>
    </w:p>
    <w:p w:rsidR="00983335" w:rsidRPr="00AF32B2" w:rsidRDefault="00983335" w:rsidP="00AF32B2">
      <w:pPr>
        <w:pStyle w:val="berschrift4"/>
      </w:pPr>
      <w:r w:rsidRPr="00AF32B2">
        <w:t>3.3.28.6 Nichtidentifizierbarkeit</w:t>
      </w:r>
    </w:p>
    <w:p w:rsidR="00983335" w:rsidRDefault="00983335" w:rsidP="00983335">
      <w:pPr>
        <w:pStyle w:val="StandardWeb"/>
      </w:pPr>
      <w:r>
        <w:t>Nichtidentifizierbarkeit liegt vor, wenn verschiedene Parameterwerte dieselben Beobachtungsvorhersagen erzeugen:</w:t>
      </w:r>
    </w:p>
    <w:p w:rsidR="00983335" w:rsidRDefault="00983335" w:rsidP="00983335">
      <w:pPr>
        <w:pStyle w:val="berschrift1"/>
      </w:pPr>
      <w:r>
        <w:t>[</w:t>
      </w:r>
      <w:r>
        <w:br/>
        <w:t>\exists</w:t>
      </w:r>
      <w:r>
        <w:br/>
        <w:t>\theta_1,\theta_2</w:t>
      </w:r>
      <w:r>
        <w:br/>
        <w:t>\in</w:t>
      </w:r>
      <w:r>
        <w:br/>
        <w:t>\Theta:</w:t>
      </w:r>
      <w:r>
        <w:br/>
        <w:t>\theta_1</w:t>
      </w:r>
      <w:r>
        <w:br/>
        <w:t>\neq</w:t>
      </w:r>
      <w:r>
        <w:br/>
        <w:t>\theta_2</w:t>
      </w:r>
      <w:r>
        <w:br/>
        <w:t>\land</w:t>
      </w:r>
      <w:r>
        <w:br/>
        <w:t>\mathbf{P}_{F}(\theta_1)</w:t>
      </w:r>
    </w:p>
    <w:p w:rsidR="00983335" w:rsidRDefault="00983335" w:rsidP="00983335">
      <w:pPr>
        <w:pStyle w:val="StandardWeb"/>
      </w:pPr>
      <w:r>
        <w:lastRenderedPageBreak/>
        <w:t>\mathbf{P}_{F}(\theta_2).</w:t>
      </w:r>
      <w:r>
        <w:br/>
        <w:t>\tag{3.5233}</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\exists\theta_1,\theta_2\in\Theta:\theta_1\neq\theta_2\land\mathbf{P}_{F}(\theta_1)=\mathbf{P}_{F}(\theta_2)\qquad\text{(3.5233)}</w:t>
      </w:r>
    </w:p>
    <w:p w:rsidR="00983335" w:rsidRDefault="00983335" w:rsidP="00983335">
      <w:pPr>
        <w:pStyle w:val="StandardWeb"/>
      </w:pPr>
      <w:r>
        <w:t>Dann gilt</w:t>
      </w:r>
    </w:p>
    <w:p w:rsidR="00983335" w:rsidRDefault="00983335" w:rsidP="00983335">
      <w:pPr>
        <w:pStyle w:val="StandardWeb"/>
      </w:pPr>
      <w:r>
        <w:t>[</w:t>
      </w:r>
      <w:r>
        <w:br/>
        <w:t>\left|</w:t>
      </w:r>
      <w:r>
        <w:br/>
        <w:t>[\theta_1]_{\mathrm{obs}}</w:t>
      </w:r>
      <w:r>
        <w:br/>
        <w:t>\right|</w:t>
      </w:r>
    </w:p>
    <w:p w:rsidR="00983335" w:rsidRDefault="00983335" w:rsidP="00632D23">
      <w:pPr>
        <w:numPr>
          <w:ilvl w:val="0"/>
          <w:numId w:val="160"/>
        </w:numPr>
        <w:spacing w:before="100" w:beforeAutospacing="1" w:after="100" w:afterAutospacing="1"/>
      </w:pPr>
    </w:p>
    <w:p w:rsidR="00983335" w:rsidRDefault="00983335" w:rsidP="00983335">
      <w:pPr>
        <w:pStyle w:val="StandardWeb"/>
      </w:pPr>
      <w:r>
        <w:t>\tag{3.5234}</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\left|[\theta_1]_{\mathrm{obs}}\right|&gt;1\qquad\text{(3.5234)}</w:t>
      </w:r>
    </w:p>
    <w:p w:rsidR="00983335" w:rsidRDefault="00983335" w:rsidP="00983335">
      <w:pPr>
        <w:pStyle w:val="StandardWeb"/>
      </w:pPr>
      <w:r>
        <w:t>Eine numerische Optimierung kann in diesem Fall dennoch einen einzelnen Parametervektor ausgeben. Dieser Wert ist aber nicht allein durch die Beobachtungen eindeutig begründet.</w:t>
      </w:r>
    </w:p>
    <w:p w:rsidR="00983335" w:rsidRDefault="00983335" w:rsidP="00983335">
      <w:pPr>
        <w:pStyle w:val="StandardWeb"/>
      </w:pPr>
      <w:r>
        <w:rPr>
          <w:rStyle w:val="Fett"/>
        </w:rPr>
        <w:t>Eigenleistung des FRZK</w:t>
      </w:r>
    </w:p>
    <w:p w:rsidR="00983335" w:rsidRDefault="00983335" w:rsidP="00983335">
      <w:pPr>
        <w:pStyle w:val="StandardWeb"/>
      </w:pPr>
      <w:r>
        <w:t>Ich trenne das Vorliegen einer berechneten Parameterschätzung von ihrer wissenschaftlichen Eindeutigkeit. Ein Algorithmus kann eine Lösung auswählen, obwohl mehrere beobachtungsäquivalente Lösungen existieren.</w:t>
      </w:r>
    </w:p>
    <w:p w:rsidR="00983335" w:rsidRPr="00AF32B2" w:rsidRDefault="00983335" w:rsidP="00AF32B2">
      <w:pPr>
        <w:pStyle w:val="berschrift4"/>
      </w:pPr>
      <w:r w:rsidRPr="00AF32B2">
        <w:t>3.3.28.7 Lokale Identifizierbarkeit</w:t>
      </w:r>
    </w:p>
    <w:p w:rsidR="00983335" w:rsidRDefault="00983335" w:rsidP="00983335">
      <w:pPr>
        <w:pStyle w:val="StandardWeb"/>
      </w:pPr>
      <w:r>
        <w:t>Ein Parametervektor (\theta^\ast) heißt lokal identifizierbar, wenn eine Umgebung</w:t>
      </w:r>
    </w:p>
    <w:p w:rsidR="00983335" w:rsidRDefault="00983335" w:rsidP="00983335">
      <w:pPr>
        <w:pStyle w:val="StandardWeb"/>
      </w:pPr>
      <w:r>
        <w:t>[</w:t>
      </w:r>
      <w:r>
        <w:br/>
        <w:t>U_{\varepsilon}</w:t>
      </w:r>
      <w:r>
        <w:br/>
        <w:t>\left(</w:t>
      </w:r>
      <w:r>
        <w:br/>
        <w:t>\theta^\ast</w:t>
      </w:r>
      <w:r>
        <w:br/>
        <w:t>\right)</w:t>
      </w:r>
      <w:r>
        <w:br/>
        <w:t>\subseteq</w:t>
      </w:r>
      <w:r>
        <w:br/>
        <w:t>\Theta</w:t>
      </w:r>
      <w:r>
        <w:br/>
        <w:t>\tag{3.5235}</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U_{\varepsilon}\left(\theta^\ast\right)\subseteq\Theta\qquad\text{(3.5235)}</w:t>
      </w:r>
    </w:p>
    <w:p w:rsidR="00983335" w:rsidRDefault="00983335" w:rsidP="00983335">
      <w:pPr>
        <w:pStyle w:val="StandardWeb"/>
      </w:pPr>
      <w:r>
        <w:lastRenderedPageBreak/>
        <w:t>existiert, in der nur (\theta^\ast) denselben Vorhersagevektor besitzt:</w:t>
      </w:r>
    </w:p>
    <w:p w:rsidR="00983335" w:rsidRDefault="00983335" w:rsidP="00983335">
      <w:pPr>
        <w:pStyle w:val="berschrift1"/>
      </w:pPr>
      <w:r>
        <w:t>[</w:t>
      </w:r>
      <w:r>
        <w:br/>
        <w:t>\forall</w:t>
      </w:r>
      <w:r>
        <w:br/>
        <w:t>\theta</w:t>
      </w:r>
      <w:r>
        <w:br/>
        <w:t>\in</w:t>
      </w:r>
      <w:r>
        <w:br/>
        <w:t>U_{\varepsilon}</w:t>
      </w:r>
      <w:r>
        <w:br/>
        <w:t>\left(</w:t>
      </w:r>
      <w:r>
        <w:br/>
        <w:t>\theta^\ast</w:t>
      </w:r>
      <w:r>
        <w:br/>
        <w:t>\right):</w:t>
      </w:r>
      <w:r>
        <w:br/>
        <w:t>\mathbf{P}_{F}(\theta)</w:t>
      </w:r>
    </w:p>
    <w:p w:rsidR="00983335" w:rsidRDefault="00983335" w:rsidP="00983335">
      <w:pPr>
        <w:pStyle w:val="berschrift1"/>
      </w:pPr>
      <w:r>
        <w:t>\mathbf{P}_{F}(\theta^\ast)</w:t>
      </w:r>
      <w:r>
        <w:br/>
        <w:t>\Rightarrow</w:t>
      </w:r>
      <w:r>
        <w:br/>
        <w:t>\theta</w:t>
      </w:r>
    </w:p>
    <w:p w:rsidR="00983335" w:rsidRDefault="00983335" w:rsidP="00983335">
      <w:pPr>
        <w:pStyle w:val="StandardWeb"/>
      </w:pPr>
      <w:r>
        <w:t>\theta^\ast.</w:t>
      </w:r>
      <w:r>
        <w:br/>
        <w:t>\tag{3.5236}</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\forall\theta\in U_{\varepsilon}\left(\theta^\ast\right):\mathbf{P}_{F}(\theta)=\mathbf{P}_{F}(\theta^\ast)\Rightarrow\theta=\theta^\ast\qquad\text{(3.5236)}</w:t>
      </w:r>
    </w:p>
    <w:p w:rsidR="00983335" w:rsidRDefault="00983335" w:rsidP="00983335">
      <w:pPr>
        <w:pStyle w:val="StandardWeb"/>
      </w:pPr>
      <w:r>
        <w:t>Außerhalb dieser Umgebung können weitere beobachtungsäquivalente Parameterwerte existieren.</w:t>
      </w:r>
    </w:p>
    <w:p w:rsidR="00983335" w:rsidRDefault="00983335" w:rsidP="00983335">
      <w:pPr>
        <w:pStyle w:val="StandardWeb"/>
      </w:pPr>
      <w:r>
        <w:t>Damit gilt:</w:t>
      </w:r>
    </w:p>
    <w:p w:rsidR="00983335" w:rsidRDefault="00983335" w:rsidP="00983335">
      <w:pPr>
        <w:pStyle w:val="StandardWeb"/>
      </w:pPr>
      <w:r>
        <w:t>[</w:t>
      </w:r>
      <w:r>
        <w:br/>
        <w:t>\mathbf{lokal\ identifizierbar}</w:t>
      </w:r>
      <w:r>
        <w:br/>
        <w:t>\nRightarrow</w:t>
      </w:r>
      <w:r>
        <w:br/>
        <w:t>\mathbf{global\ identifizierbar}.</w:t>
      </w:r>
      <w:r>
        <w:br/>
        <w:t>\tag{3.5237}</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\mathbf{lokal\ identifizierbar}\nRightarrow\mathbf{global\ identifizierbar}\qquad\text{(3.5237)}</w:t>
      </w:r>
    </w:p>
    <w:p w:rsidR="00983335" w:rsidRPr="00AF32B2" w:rsidRDefault="00983335" w:rsidP="00AF32B2">
      <w:pPr>
        <w:pStyle w:val="berschrift4"/>
      </w:pPr>
      <w:r w:rsidRPr="00AF32B2">
        <w:t>3.3.28.8 Beispiel einer Vorzeichensymmetrie</w:t>
      </w:r>
    </w:p>
    <w:p w:rsidR="00983335" w:rsidRDefault="00983335" w:rsidP="00983335">
      <w:pPr>
        <w:pStyle w:val="StandardWeb"/>
      </w:pPr>
      <w:r>
        <w:lastRenderedPageBreak/>
        <w:t>Sei die Vorhersagefunktion</w:t>
      </w:r>
    </w:p>
    <w:p w:rsidR="00983335" w:rsidRDefault="00983335" w:rsidP="00983335">
      <w:pPr>
        <w:pStyle w:val="berschrift1"/>
      </w:pPr>
      <w:r>
        <w:t>[</w:t>
      </w:r>
      <w:r>
        <w:br/>
        <w:t>\mathcal{P}_{F}(\theta)</w:t>
      </w:r>
    </w:p>
    <w:p w:rsidR="00983335" w:rsidRDefault="00983335" w:rsidP="00983335">
      <w:pPr>
        <w:pStyle w:val="StandardWeb"/>
      </w:pPr>
      <w:r>
        <w:t>\theta^2.</w:t>
      </w:r>
      <w:r>
        <w:br/>
        <w:t>\tag{3.5238}</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\mathcal{P}_{F}(\theta)=\theta^2\qquad\text{(3.5238)}</w:t>
      </w:r>
    </w:p>
    <w:p w:rsidR="00983335" w:rsidRDefault="00983335" w:rsidP="00983335">
      <w:pPr>
        <w:pStyle w:val="StandardWeb"/>
      </w:pPr>
      <w:r>
        <w:t>Dann gilt</w:t>
      </w:r>
    </w:p>
    <w:p w:rsidR="00983335" w:rsidRDefault="00983335" w:rsidP="00983335">
      <w:pPr>
        <w:pStyle w:val="berschrift1"/>
      </w:pPr>
      <w:r>
        <w:t>[</w:t>
      </w:r>
      <w:r>
        <w:br/>
        <w:t>\mathcal{P}_{F}(\theta)</w:t>
      </w:r>
    </w:p>
    <w:p w:rsidR="00983335" w:rsidRDefault="00983335" w:rsidP="00983335">
      <w:pPr>
        <w:pStyle w:val="StandardWeb"/>
      </w:pPr>
      <w:r>
        <w:t>\mathcal{P}_{F}(-\theta).</w:t>
      </w:r>
      <w:r>
        <w:br/>
        <w:t>\tag{3.5239}</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\mathcal{P}_{F}(\theta)=\mathcal{P}_{F}(-\theta)\qquad\text{(3.5239)}</w:t>
      </w:r>
    </w:p>
    <w:p w:rsidR="00983335" w:rsidRDefault="00983335" w:rsidP="00983335">
      <w:pPr>
        <w:pStyle w:val="StandardWeb"/>
      </w:pPr>
      <w:r>
        <w:t>Für (\theta\neq0) sind die beiden Parameterwerte verschieden:</w:t>
      </w:r>
    </w:p>
    <w:p w:rsidR="00983335" w:rsidRDefault="00983335" w:rsidP="00983335">
      <w:pPr>
        <w:pStyle w:val="StandardWeb"/>
      </w:pPr>
      <w:r>
        <w:t>[</w:t>
      </w:r>
      <w:r>
        <w:br/>
        <w:t>\theta</w:t>
      </w:r>
      <w:r>
        <w:br/>
        <w:t>\neq</w:t>
      </w:r>
      <w:r>
        <w:br/>
        <w:t>-\theta.</w:t>
      </w:r>
      <w:r>
        <w:br/>
        <w:t>\tag{3.5240}</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\theta\neq-\theta\qquad\text{(3.5240)}</w:t>
      </w:r>
    </w:p>
    <w:p w:rsidR="00983335" w:rsidRDefault="00983335" w:rsidP="00983335">
      <w:pPr>
        <w:pStyle w:val="StandardWeb"/>
      </w:pPr>
      <w:r>
        <w:t>Das Vorzeichen ist durch die betrachtete Vorhersage nicht identifizierbar.</w:t>
      </w:r>
    </w:p>
    <w:p w:rsidR="00983335" w:rsidRDefault="00983335" w:rsidP="00983335">
      <w:pPr>
        <w:pStyle w:val="StandardWeb"/>
      </w:pPr>
      <w:r>
        <w:t>Die Beobachtungsäquivalenzklasse lautet</w:t>
      </w:r>
    </w:p>
    <w:p w:rsidR="00983335" w:rsidRDefault="00983335" w:rsidP="00983335">
      <w:pPr>
        <w:pStyle w:val="berschrift1"/>
      </w:pPr>
      <w:r>
        <w:t>[</w:t>
      </w:r>
      <w:r>
        <w:br/>
        <w:t>[\theta]_{\mathrm{obs}}</w:t>
      </w:r>
    </w:p>
    <w:p w:rsidR="00983335" w:rsidRDefault="00983335" w:rsidP="00983335">
      <w:pPr>
        <w:pStyle w:val="StandardWeb"/>
      </w:pPr>
      <w:r>
        <w:lastRenderedPageBreak/>
        <w:t>\left{</w:t>
      </w:r>
      <w:r>
        <w:br/>
        <w:t>\theta,</w:t>
      </w:r>
      <w:r>
        <w:br/>
        <w:t>-\theta</w:t>
      </w:r>
      <w:r>
        <w:br/>
        <w:t>\right}.</w:t>
      </w:r>
      <w:r>
        <w:br/>
        <w:t>\tag{3.5241}</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[\theta]_{\mathrm{obs}}=\left\{\theta,-\theta\right\}\qquad\text{(3.5241)}</w:t>
      </w:r>
    </w:p>
    <w:p w:rsidR="00983335" w:rsidRDefault="00983335" w:rsidP="00983335">
      <w:pPr>
        <w:pStyle w:val="StandardWeb"/>
      </w:pPr>
      <w:r>
        <w:t>Eine zusätzliche Vorzeichenbedingung</w:t>
      </w:r>
    </w:p>
    <w:p w:rsidR="00983335" w:rsidRDefault="00983335" w:rsidP="00983335">
      <w:pPr>
        <w:pStyle w:val="StandardWeb"/>
      </w:pPr>
      <w:r>
        <w:t>[</w:t>
      </w:r>
      <w:r>
        <w:br/>
        <w:t>\theta</w:t>
      </w:r>
      <w:r>
        <w:br/>
        <w:t>\geq</w:t>
      </w:r>
      <w:r>
        <w:br/>
        <w:t>0</w:t>
      </w:r>
      <w:r>
        <w:br/>
        <w:t>\tag{3.5242}</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\theta\geq0\qquad\text{(3.5242)}</w:t>
      </w:r>
    </w:p>
    <w:p w:rsidR="00983335" w:rsidRDefault="00983335" w:rsidP="00983335">
      <w:pPr>
        <w:pStyle w:val="StandardWeb"/>
      </w:pPr>
      <w:r>
        <w:t>würde die Mehrdeutigkeit beseitigen, wäre aber eine zusätzliche Modellbedingung.</w:t>
      </w:r>
    </w:p>
    <w:p w:rsidR="00983335" w:rsidRPr="00AF32B2" w:rsidRDefault="00983335" w:rsidP="00AF32B2">
      <w:pPr>
        <w:pStyle w:val="berschrift4"/>
      </w:pPr>
      <w:r w:rsidRPr="00AF32B2">
        <w:t>3.3.28.9 Strukturelle Identifizierbarkeit</w:t>
      </w:r>
    </w:p>
    <w:p w:rsidR="00983335" w:rsidRDefault="00983335" w:rsidP="00983335">
      <w:pPr>
        <w:pStyle w:val="StandardWeb"/>
      </w:pPr>
      <w:r>
        <w:t>Die strukturelle Identifizierbarkeit betrifft das ideale, fehlerfreie Modell und eine prinzipiell vollständige Beobachtung seiner Vorhersagen [58, 59].</w:t>
      </w:r>
    </w:p>
    <w:p w:rsidR="00983335" w:rsidRDefault="00983335" w:rsidP="00983335">
      <w:pPr>
        <w:pStyle w:val="StandardWeb"/>
      </w:pPr>
      <w:r>
        <w:t>Sei</w:t>
      </w:r>
    </w:p>
    <w:p w:rsidR="00983335" w:rsidRDefault="00983335" w:rsidP="00983335">
      <w:pPr>
        <w:pStyle w:val="StandardWeb"/>
      </w:pPr>
      <w:r>
        <w:t>[</w:t>
      </w:r>
      <w:r>
        <w:br/>
        <w:t>\mathbf{P}_{F}^{\infty}(\theta)</w:t>
      </w:r>
      <w:r>
        <w:br/>
        <w:t>\tag{3.5243}</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\mathbf{P}_{F}^{\infty}(\theta)\qquad\text{(3.5243)}</w:t>
      </w:r>
    </w:p>
    <w:p w:rsidR="00983335" w:rsidRDefault="00983335" w:rsidP="00983335">
      <w:pPr>
        <w:pStyle w:val="StandardWeb"/>
      </w:pPr>
      <w:r>
        <w:t>die theoretisch vollständige Vorhersagestruktur.</w:t>
      </w:r>
    </w:p>
    <w:p w:rsidR="00983335" w:rsidRDefault="00983335" w:rsidP="00983335">
      <w:pPr>
        <w:pStyle w:val="StandardWeb"/>
      </w:pPr>
      <w:r>
        <w:t>Globale strukturelle Identifizierbarkeit liegt vor, wenn</w:t>
      </w:r>
    </w:p>
    <w:p w:rsidR="00983335" w:rsidRDefault="00983335" w:rsidP="00983335">
      <w:pPr>
        <w:pStyle w:val="berschrift1"/>
      </w:pPr>
      <w:r>
        <w:t>[</w:t>
      </w:r>
      <w:r>
        <w:br/>
        <w:t>\mathbf{P}_{F}^{\infty}(\theta_1)</w:t>
      </w:r>
    </w:p>
    <w:p w:rsidR="00983335" w:rsidRDefault="00983335" w:rsidP="00983335">
      <w:pPr>
        <w:pStyle w:val="berschrift1"/>
      </w:pPr>
      <w:r>
        <w:lastRenderedPageBreak/>
        <w:t>\mathbf{P}_{F}^{\infty}(\theta_2)</w:t>
      </w:r>
      <w:r>
        <w:br/>
        <w:t>\Rightarrow</w:t>
      </w:r>
      <w:r>
        <w:br/>
        <w:t>\theta_1</w:t>
      </w:r>
    </w:p>
    <w:p w:rsidR="00983335" w:rsidRDefault="00983335" w:rsidP="00983335">
      <w:pPr>
        <w:pStyle w:val="StandardWeb"/>
      </w:pPr>
      <w:r>
        <w:t>\theta_2.</w:t>
      </w:r>
      <w:r>
        <w:br/>
        <w:t>\tag{3.5244}</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\mathbf{P}_{F}^{\infty}(\theta_1)=\mathbf{P}_{F}^{\infty}(\theta_2)\Rightarrow\theta_1=\theta_2\qquad\text{(3.5244)}</w:t>
      </w:r>
    </w:p>
    <w:p w:rsidR="00983335" w:rsidRDefault="00983335" w:rsidP="00983335">
      <w:pPr>
        <w:pStyle w:val="StandardWeb"/>
      </w:pPr>
      <w:r>
        <w:t>Ist diese Bedingung verletzt, kann keine beliebig genaue Messung derselben Vorhersagestruktur die Parameter eindeutig bestimmen.</w:t>
      </w:r>
    </w:p>
    <w:p w:rsidR="00983335" w:rsidRPr="00AF32B2" w:rsidRDefault="00983335" w:rsidP="00AF32B2">
      <w:pPr>
        <w:pStyle w:val="berschrift4"/>
      </w:pPr>
      <w:r w:rsidRPr="00AF32B2">
        <w:t>3.3.28.10 Praktische Identifizierbarkeit</w:t>
      </w:r>
    </w:p>
    <w:p w:rsidR="00983335" w:rsidRDefault="00983335" w:rsidP="00983335">
      <w:pPr>
        <w:pStyle w:val="StandardWeb"/>
      </w:pPr>
      <w:r>
        <w:t>Praktische Identifizierbarkeit betrifft endliche, fehlerbehaftete und möglicherweise unvollständige Daten.</w:t>
      </w:r>
    </w:p>
    <w:p w:rsidR="00983335" w:rsidRDefault="00983335" w:rsidP="00983335">
      <w:pPr>
        <w:pStyle w:val="StandardWeb"/>
      </w:pPr>
      <w:r>
        <w:t>Die beobachteten Daten lauten</w:t>
      </w:r>
    </w:p>
    <w:p w:rsidR="00983335" w:rsidRDefault="00983335" w:rsidP="00983335">
      <w:pPr>
        <w:pStyle w:val="berschrift1"/>
      </w:pPr>
      <w:r>
        <w:t>[</w:t>
      </w:r>
      <w:r>
        <w:br/>
        <w:t>y_i</w:t>
      </w:r>
    </w:p>
    <w:p w:rsidR="00983335" w:rsidRDefault="00983335" w:rsidP="00983335">
      <w:pPr>
        <w:pStyle w:val="StandardWeb"/>
      </w:pPr>
      <w:r>
        <w:t>\mathcal{P}_{F}</w:t>
      </w:r>
      <w:r>
        <w:br/>
        <w:t>\left(</w:t>
      </w:r>
      <w:r>
        <w:br/>
        <w:t>\theta^\ast,</w:t>
      </w:r>
      <w:r>
        <w:br/>
        <w:t>x_i</w:t>
      </w:r>
      <w:r>
        <w:br/>
        <w:t>\right)</w:t>
      </w:r>
      <w:r>
        <w:br/>
        <w:t>+</w:t>
      </w:r>
      <w:r>
        <w:br/>
        <w:t>\varepsilon_i.</w:t>
      </w:r>
      <w:r>
        <w:br/>
        <w:t>\tag{3.5245}</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y_i=\mathcal{P}_{F}\left(\theta^\ast,x_i\right)+\varepsilon_i\qquad\text{(3.5245)}</w:t>
      </w:r>
    </w:p>
    <w:p w:rsidR="00983335" w:rsidRDefault="00983335" w:rsidP="00983335">
      <w:pPr>
        <w:pStyle w:val="StandardWeb"/>
      </w:pPr>
      <w:r>
        <w:t>Ein Parameter kann strukturell identifizierbar, aber praktisch nur sehr ungenau bestimmbar sein.</w:t>
      </w:r>
    </w:p>
    <w:p w:rsidR="00983335" w:rsidRDefault="00983335" w:rsidP="00983335">
      <w:pPr>
        <w:pStyle w:val="StandardWeb"/>
      </w:pPr>
      <w:r>
        <w:t>Die praktische Unsicherheitsmenge lautet</w:t>
      </w:r>
    </w:p>
    <w:p w:rsidR="00983335" w:rsidRDefault="00983335" w:rsidP="00983335">
      <w:pPr>
        <w:pStyle w:val="berschrift1"/>
      </w:pPr>
      <w:r>
        <w:lastRenderedPageBreak/>
        <w:t>[</w:t>
      </w:r>
      <w:r>
        <w:br/>
        <w:t>\mathcal{U}_{\alpha}</w:t>
      </w:r>
    </w:p>
    <w:p w:rsidR="00983335" w:rsidRDefault="00983335" w:rsidP="00983335">
      <w:pPr>
        <w:pStyle w:val="berschrift2"/>
      </w:pPr>
      <w:r>
        <w:t>\left{</w:t>
      </w:r>
      <w:r>
        <w:br/>
        <w:t>\theta\in\Theta</w:t>
      </w:r>
      <w:r>
        <w:br/>
        <w:t>;\middle|;</w:t>
      </w:r>
      <w:r>
        <w:br/>
        <w:t>\mathcal{L}(\theta)</w:t>
      </w:r>
    </w:p>
    <w:p w:rsidR="00983335" w:rsidRDefault="00983335" w:rsidP="00983335">
      <w:pPr>
        <w:pStyle w:val="StandardWeb"/>
      </w:pPr>
      <w:r>
        <w:t>\mathcal{L}(\widehat{\theta})</w:t>
      </w:r>
      <w:r>
        <w:br/>
        <w:t>\leq</w:t>
      </w:r>
      <w:r>
        <w:br/>
        <w:t>c_{\alpha}</w:t>
      </w:r>
      <w:r>
        <w:br/>
        <w:t>\right}.</w:t>
      </w:r>
      <w:r>
        <w:br/>
        <w:t>\tag{3.5246}</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\mathcal{U}_{\alpha}=\left\{\theta\in\Theta\middle|\mathcal{L}(\theta)-\mathcal{L}(\widehat{\theta})\leq c_{\alpha}\right\}\qquad\text{(3.5246)}</w:t>
      </w:r>
    </w:p>
    <w:p w:rsidR="00983335" w:rsidRDefault="00983335" w:rsidP="00983335">
      <w:pPr>
        <w:pStyle w:val="StandardWeb"/>
      </w:pPr>
      <w:r>
        <w:t>Ist diese Menge sehr groß, besitzt die Parameterschätzung geringe praktische Präzision.</w:t>
      </w:r>
    </w:p>
    <w:p w:rsidR="00983335" w:rsidRPr="00AF32B2" w:rsidRDefault="00983335" w:rsidP="00AF32B2">
      <w:pPr>
        <w:pStyle w:val="berschrift4"/>
      </w:pPr>
      <w:r w:rsidRPr="00AF32B2">
        <w:t>3.3.28.11 Sensitivitätsmatrix</w:t>
      </w:r>
    </w:p>
    <w:p w:rsidR="00983335" w:rsidRDefault="00983335" w:rsidP="00983335">
      <w:pPr>
        <w:pStyle w:val="StandardWeb"/>
      </w:pPr>
      <w:r>
        <w:t>Die lokale Empfindlichkeit der Vorhersagen gegenüber den Parametern wird durch die Sensitivitätsmatrix beschrieben:</w:t>
      </w:r>
    </w:p>
    <w:p w:rsidR="00983335" w:rsidRDefault="00983335" w:rsidP="00983335">
      <w:pPr>
        <w:pStyle w:val="berschrift1"/>
      </w:pPr>
      <w:r>
        <w:t>[</w:t>
      </w:r>
      <w:r>
        <w:br/>
        <w:t>S(\theta)</w:t>
      </w:r>
    </w:p>
    <w:p w:rsidR="00983335" w:rsidRDefault="00983335" w:rsidP="00983335">
      <w:pPr>
        <w:pStyle w:val="StandardWeb"/>
      </w:pPr>
      <w:r>
        <w:t>\left[</w:t>
      </w:r>
      <w:r>
        <w:br/>
        <w:t>\frac{</w:t>
      </w:r>
      <w:r>
        <w:br/>
        <w:t>\partial</w:t>
      </w:r>
      <w:r>
        <w:br/>
        <w:t>\mathcal{P}</w:t>
      </w:r>
      <w:r>
        <w:rPr>
          <w:rStyle w:val="Hervorhebung"/>
        </w:rPr>
        <w:t>{F}(\theta,x_i)</w:t>
      </w:r>
      <w:r>
        <w:rPr>
          <w:i/>
          <w:iCs/>
        </w:rPr>
        <w:br/>
      </w:r>
      <w:r>
        <w:rPr>
          <w:rStyle w:val="Hervorhebung"/>
        </w:rPr>
        <w:t>}{</w:t>
      </w:r>
      <w:r>
        <w:rPr>
          <w:i/>
          <w:iCs/>
        </w:rPr>
        <w:br/>
      </w:r>
      <w:r>
        <w:rPr>
          <w:rStyle w:val="Hervorhebung"/>
        </w:rPr>
        <w:t>\partial</w:t>
      </w:r>
      <w:r>
        <w:rPr>
          <w:i/>
          <w:iCs/>
        </w:rPr>
        <w:br/>
      </w:r>
      <w:r>
        <w:rPr>
          <w:rStyle w:val="Hervorhebung"/>
        </w:rPr>
        <w:t>\theta_j</w:t>
      </w:r>
      <w:r>
        <w:rPr>
          <w:i/>
          <w:iCs/>
        </w:rPr>
        <w:br/>
      </w:r>
      <w:r>
        <w:rPr>
          <w:rStyle w:val="Hervorhebung"/>
        </w:rPr>
        <w:t>}</w:t>
      </w:r>
      <w:r>
        <w:rPr>
          <w:i/>
          <w:iCs/>
        </w:rPr>
        <w:br/>
      </w:r>
      <w:r>
        <w:rPr>
          <w:rStyle w:val="Hervorhebung"/>
        </w:rPr>
        <w:t>\right]</w:t>
      </w:r>
      <w:r>
        <w:t>{i,j}.</w:t>
      </w:r>
      <w:r>
        <w:br/>
        <w:t>\tag{3.5247}</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S(\theta)=\left[\frac{\partial\mathcal{P}_{F}(\theta,x_i)}{\partial\theta_j}\right]_{i,j}\qquad\text{(3.5247)}</w:t>
      </w:r>
    </w:p>
    <w:p w:rsidR="00983335" w:rsidRDefault="00983335" w:rsidP="00983335">
      <w:pPr>
        <w:pStyle w:val="StandardWeb"/>
      </w:pPr>
      <w:r>
        <w:lastRenderedPageBreak/>
        <w:t>Besitzt eine Parameterspalte nur Nulleinträge, gilt</w:t>
      </w:r>
    </w:p>
    <w:p w:rsidR="00983335" w:rsidRDefault="00983335" w:rsidP="00983335">
      <w:pPr>
        <w:pStyle w:val="berschrift1"/>
      </w:pPr>
      <w:r>
        <w:t>[</w:t>
      </w:r>
      <w:r>
        <w:br/>
        <w:t>\frac{</w:t>
      </w:r>
      <w:r>
        <w:br/>
        <w:t>\partial</w:t>
      </w:r>
      <w:r>
        <w:br/>
        <w:t>\mathcal{P}_{F}</w:t>
      </w:r>
      <w:r>
        <w:br/>
        <w:t>}{</w:t>
      </w:r>
      <w:r>
        <w:br/>
        <w:t>\partial</w:t>
      </w:r>
      <w:r>
        <w:br/>
        <w:t>\theta_j</w:t>
      </w:r>
      <w:r>
        <w:br/>
        <w:t>}</w:t>
      </w:r>
    </w:p>
    <w:p w:rsidR="00983335" w:rsidRDefault="00983335" w:rsidP="00632D23">
      <w:pPr>
        <w:numPr>
          <w:ilvl w:val="0"/>
          <w:numId w:val="161"/>
        </w:numPr>
        <w:spacing w:before="100" w:beforeAutospacing="1" w:after="100" w:afterAutospacing="1"/>
      </w:pPr>
    </w:p>
    <w:p w:rsidR="00983335" w:rsidRDefault="00983335" w:rsidP="00983335">
      <w:pPr>
        <w:pStyle w:val="StandardWeb"/>
      </w:pPr>
      <w:r>
        <w:t>\tag{3.5248}</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\frac{\partial\mathcal{P}_{F}}{\partial\theta_j}=0\qquad\text{(3.5248)}</w:t>
      </w:r>
    </w:p>
    <w:p w:rsidR="00983335" w:rsidRDefault="00983335" w:rsidP="00983335">
      <w:pPr>
        <w:pStyle w:val="StandardWeb"/>
      </w:pPr>
      <w:r>
        <w:t>Dann beeinflusst der Parameter (\theta_j) die betrachteten Vorhersagen nicht und kann aus diesen Beobachtungen nicht identifiziert werden.</w:t>
      </w:r>
    </w:p>
    <w:p w:rsidR="00983335" w:rsidRPr="00AF32B2" w:rsidRDefault="00983335" w:rsidP="00AF32B2">
      <w:pPr>
        <w:pStyle w:val="berschrift4"/>
      </w:pPr>
      <w:r w:rsidRPr="00AF32B2">
        <w:t>3.3.28.12 Rangbedingung</w:t>
      </w:r>
    </w:p>
    <w:p w:rsidR="00983335" w:rsidRDefault="00983335" w:rsidP="00983335">
      <w:pPr>
        <w:pStyle w:val="StandardWeb"/>
      </w:pPr>
      <w:r>
        <w:t>Eine notwendige lokale Rangbedingung lautet</w:t>
      </w:r>
    </w:p>
    <w:p w:rsidR="00983335" w:rsidRDefault="00983335" w:rsidP="00983335">
      <w:pPr>
        <w:pStyle w:val="berschrift1"/>
      </w:pPr>
      <w:r>
        <w:t>[</w:t>
      </w:r>
      <w:r>
        <w:br/>
        <w:t>\operatorname{rang}</w:t>
      </w:r>
      <w:r>
        <w:br/>
        <w:t>\left(</w:t>
      </w:r>
      <w:r>
        <w:br/>
        <w:t>S(\theta^\ast)</w:t>
      </w:r>
      <w:r>
        <w:br/>
        <w:t>\right)</w:t>
      </w:r>
    </w:p>
    <w:p w:rsidR="00983335" w:rsidRDefault="00983335" w:rsidP="00983335">
      <w:pPr>
        <w:pStyle w:val="StandardWeb"/>
      </w:pPr>
      <w:r>
        <w:t>p.</w:t>
      </w:r>
      <w:r>
        <w:br/>
        <w:t>\tag{3.5249}</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\operatorname{rang}\left(S(\theta^\ast)\right)=p\qquad\text{(3.5249)}</w:t>
      </w:r>
    </w:p>
    <w:p w:rsidR="00983335" w:rsidRDefault="00983335" w:rsidP="00983335">
      <w:pPr>
        <w:pStyle w:val="StandardWeb"/>
      </w:pPr>
      <w:r>
        <w:lastRenderedPageBreak/>
        <w:t>Dabei bezeichnet (p) die Zahl der freien Parameter.</w:t>
      </w:r>
    </w:p>
    <w:p w:rsidR="00983335" w:rsidRDefault="00983335" w:rsidP="00983335">
      <w:pPr>
        <w:pStyle w:val="StandardWeb"/>
      </w:pPr>
      <w:r>
        <w:t>Ist</w:t>
      </w:r>
    </w:p>
    <w:p w:rsidR="00983335" w:rsidRDefault="00983335" w:rsidP="00983335">
      <w:pPr>
        <w:pStyle w:val="StandardWeb"/>
      </w:pPr>
      <w:r>
        <w:t>[</w:t>
      </w:r>
      <w:r>
        <w:br/>
        <w:t>\operatorname{rang}</w:t>
      </w:r>
      <w:r>
        <w:br/>
        <w:t>\left(</w:t>
      </w:r>
      <w:r>
        <w:br/>
        <w:t>S(\theta^\ast)</w:t>
      </w:r>
      <w:r>
        <w:br/>
        <w:t>\right)</w:t>
      </w:r>
      <w:r>
        <w:br/>
        <w:t>&lt;</w:t>
      </w:r>
      <w:r>
        <w:br/>
        <w:t>p,</w:t>
      </w:r>
      <w:r>
        <w:br/>
        <w:t>\tag{3.5250}</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\operatorname{rang}\left(S(\theta^\ast)\right)&lt;p\qquad\text{(3.5250)}</w:t>
      </w:r>
    </w:p>
    <w:p w:rsidR="00983335" w:rsidRDefault="00983335" w:rsidP="00983335">
      <w:pPr>
        <w:pStyle w:val="StandardWeb"/>
      </w:pPr>
      <w:r>
        <w:t>existieren lokal mindestens eine Richtung im Parameterraum, entlang der die Vorhersagen unverändert bleiben.</w:t>
      </w:r>
    </w:p>
    <w:p w:rsidR="00983335" w:rsidRDefault="00983335" w:rsidP="00983335">
      <w:pPr>
        <w:pStyle w:val="StandardWeb"/>
      </w:pPr>
      <w:r>
        <w:t>Eine solche Richtung (v\neq0) erfüllt näherungsweise</w:t>
      </w:r>
    </w:p>
    <w:p w:rsidR="00983335" w:rsidRDefault="00983335" w:rsidP="00983335">
      <w:pPr>
        <w:pStyle w:val="berschrift1"/>
      </w:pPr>
      <w:r>
        <w:t>[</w:t>
      </w:r>
      <w:r>
        <w:br/>
        <w:t>S(\theta^\ast)v</w:t>
      </w:r>
    </w:p>
    <w:p w:rsidR="00983335" w:rsidRDefault="00983335" w:rsidP="00632D23">
      <w:pPr>
        <w:numPr>
          <w:ilvl w:val="0"/>
          <w:numId w:val="162"/>
        </w:numPr>
        <w:spacing w:before="100" w:beforeAutospacing="1" w:after="100" w:afterAutospacing="1"/>
      </w:pPr>
    </w:p>
    <w:p w:rsidR="00983335" w:rsidRDefault="00983335" w:rsidP="00983335">
      <w:pPr>
        <w:pStyle w:val="StandardWeb"/>
      </w:pPr>
      <w:r>
        <w:t>\tag{3.5251}</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S(\theta^\ast)v=0\qquad\text{(3.5251)}</w:t>
      </w:r>
    </w:p>
    <w:p w:rsidR="00983335" w:rsidRPr="00AF32B2" w:rsidRDefault="00983335" w:rsidP="00AF32B2">
      <w:pPr>
        <w:pStyle w:val="berschrift4"/>
      </w:pPr>
      <w:r w:rsidRPr="00AF32B2">
        <w:t>3.3.28.13 Fisher-Informationsmatrix</w:t>
      </w:r>
    </w:p>
    <w:p w:rsidR="00983335" w:rsidRDefault="00983335" w:rsidP="00983335">
      <w:pPr>
        <w:pStyle w:val="StandardWeb"/>
      </w:pPr>
      <w:r>
        <w:t>Unter geeigneten probabilistischen Voraussetzungen kann die Fisher-Informationsmatrix verwendet werden:</w:t>
      </w:r>
    </w:p>
    <w:p w:rsidR="00983335" w:rsidRDefault="00983335" w:rsidP="00983335">
      <w:pPr>
        <w:pStyle w:val="berschrift1"/>
      </w:pPr>
      <w:r>
        <w:t>[</w:t>
      </w:r>
      <w:r>
        <w:br/>
        <w:t>\mathcal{I}_{F}(\theta)</w:t>
      </w:r>
    </w:p>
    <w:p w:rsidR="00983335" w:rsidRDefault="00983335" w:rsidP="00983335">
      <w:pPr>
        <w:pStyle w:val="StandardWeb"/>
      </w:pPr>
      <w:r>
        <w:t>\mathbb{E}</w:t>
      </w:r>
      <w:r>
        <w:br/>
        <w:t>\left[</w:t>
      </w:r>
      <w:r>
        <w:br/>
        <w:t>\nabla_{\theta}</w:t>
      </w:r>
      <w:r>
        <w:br/>
        <w:t>\log</w:t>
      </w:r>
      <w:r>
        <w:br/>
        <w:t>p(Y\mid\theta)</w:t>
      </w:r>
      <w:r>
        <w:br/>
        <w:t>,</w:t>
      </w:r>
      <w:r>
        <w:br/>
      </w:r>
      <w:r>
        <w:lastRenderedPageBreak/>
        <w:t>\nabla_{\theta}</w:t>
      </w:r>
      <w:r>
        <w:br/>
        <w:t>\log</w:t>
      </w:r>
      <w:r>
        <w:br/>
        <w:t>p(Y\mid\theta)^{\mathsf{T}}</w:t>
      </w:r>
      <w:r>
        <w:br/>
        <w:t>\right].</w:t>
      </w:r>
      <w:r>
        <w:br/>
        <w:t>\tag{3.5252}</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\mathcal{I}_{F}(\theta)=\mathbb{E}\left[\nabla_{\theta}\log p(Y\mid\theta)\,\nabla_{\theta}\log p(Y\mid\theta)^{\mathsf{T}}\right]\qquad\text{(3.5252)}</w:t>
      </w:r>
    </w:p>
    <w:p w:rsidR="00983335" w:rsidRDefault="00983335" w:rsidP="00983335">
      <w:pPr>
        <w:pStyle w:val="StandardWeb"/>
      </w:pPr>
      <w:r>
        <w:t>Bei regulären Modellen weist eine singuläre Informationsmatrix auf lokale Nichtidentifizierbarkeit oder starke Parameterabhängigkeiten hin:</w:t>
      </w:r>
    </w:p>
    <w:p w:rsidR="00983335" w:rsidRDefault="00983335" w:rsidP="00983335">
      <w:pPr>
        <w:pStyle w:val="berschrift1"/>
      </w:pPr>
      <w:r>
        <w:t>[</w:t>
      </w:r>
      <w:r>
        <w:br/>
        <w:t>\det</w:t>
      </w:r>
      <w:r>
        <w:br/>
        <w:t>\left(</w:t>
      </w:r>
      <w:r>
        <w:br/>
        <w:t>\mathcal{I}_{F}(\theta)</w:t>
      </w:r>
      <w:r>
        <w:br/>
        <w:t>\right)</w:t>
      </w:r>
    </w:p>
    <w:p w:rsidR="00983335" w:rsidRDefault="00983335" w:rsidP="00632D23">
      <w:pPr>
        <w:numPr>
          <w:ilvl w:val="0"/>
          <w:numId w:val="163"/>
        </w:numPr>
        <w:spacing w:before="100" w:beforeAutospacing="1" w:after="100" w:afterAutospacing="1"/>
      </w:pPr>
    </w:p>
    <w:p w:rsidR="00983335" w:rsidRDefault="00983335" w:rsidP="00983335">
      <w:pPr>
        <w:pStyle w:val="StandardWeb"/>
      </w:pPr>
      <w:r>
        <w:t>\tag{3.5253}</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\det\left(\mathcal{I}_{F}(\theta)\right)=0\qquad\text{(3.5253)}</w:t>
      </w:r>
    </w:p>
    <w:p w:rsidR="00983335" w:rsidRDefault="00983335" w:rsidP="00983335">
      <w:pPr>
        <w:pStyle w:val="StandardWeb"/>
      </w:pPr>
      <w:r>
        <w:t>Eine regulär positiv definite Informationsmatrix erfüllt</w:t>
      </w:r>
    </w:p>
    <w:p w:rsidR="00983335" w:rsidRDefault="00983335" w:rsidP="00983335">
      <w:pPr>
        <w:pStyle w:val="StandardWeb"/>
      </w:pPr>
      <w:r>
        <w:t>[</w:t>
      </w:r>
      <w:r>
        <w:br/>
        <w:t>\mathcal{I}_{F}(\theta)</w:t>
      </w:r>
      <w:r>
        <w:br/>
        <w:t>\succ</w:t>
      </w:r>
      <w:r>
        <w:br/>
        <w:t>0.</w:t>
      </w:r>
      <w:r>
        <w:br/>
        <w:t>\tag{3.5254}</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\mathcal{I}_{F}(\theta)\succ0\qquad\text{(3.5254)}</w:t>
      </w:r>
    </w:p>
    <w:p w:rsidR="00983335" w:rsidRDefault="00983335" w:rsidP="00983335">
      <w:pPr>
        <w:pStyle w:val="StandardWeb"/>
      </w:pPr>
      <w:r>
        <w:rPr>
          <w:rStyle w:val="Fett"/>
        </w:rPr>
        <w:t>Eigenleistung des FRZK</w:t>
      </w:r>
    </w:p>
    <w:p w:rsidR="00983335" w:rsidRDefault="00983335" w:rsidP="00983335">
      <w:pPr>
        <w:pStyle w:val="StandardWeb"/>
      </w:pPr>
      <w:r>
        <w:lastRenderedPageBreak/>
        <w:t>Ich verwende Sensitivitäts- und Informationsmatrizen ausschließlich als Diagnoseinstrumente innerhalb einer gewählten Modellklasse. Sie ersetzen nicht den strukturellen Nachweis der Identifizierbarkeit.</w:t>
      </w:r>
    </w:p>
    <w:p w:rsidR="00983335" w:rsidRPr="00AF32B2" w:rsidRDefault="00983335" w:rsidP="00AF32B2">
      <w:pPr>
        <w:pStyle w:val="berschrift4"/>
      </w:pPr>
      <w:r w:rsidRPr="00AF32B2">
        <w:t>3.3.28.14 Parameterkorrelation</w:t>
      </w:r>
    </w:p>
    <w:p w:rsidR="00983335" w:rsidRDefault="00983335" w:rsidP="00983335">
      <w:pPr>
        <w:pStyle w:val="StandardWeb"/>
      </w:pPr>
      <w:r>
        <w:t>Zwei Parameter können stark gekoppelt sein, wenn Änderungen des einen Parameters durch Änderungen des anderen weitgehend kompensiert werden.</w:t>
      </w:r>
    </w:p>
    <w:p w:rsidR="00983335" w:rsidRDefault="00983335" w:rsidP="00983335">
      <w:pPr>
        <w:pStyle w:val="StandardWeb"/>
      </w:pPr>
      <w:r>
        <w:t>Eine lokale Kompensationsrichtung kann geschrieben werden als</w:t>
      </w:r>
    </w:p>
    <w:p w:rsidR="00983335" w:rsidRDefault="00983335" w:rsidP="00983335">
      <w:pPr>
        <w:pStyle w:val="StandardWeb"/>
      </w:pPr>
      <w:r>
        <w:t>[</w:t>
      </w:r>
      <w:r>
        <w:br/>
        <w:t>\Delta\theta_2</w:t>
      </w:r>
      <w:r>
        <w:br/>
        <w:t>\approx</w:t>
      </w:r>
      <w:r>
        <w:br/>
        <w:t>-c</w:t>
      </w:r>
      <w:r>
        <w:br/>
        <w:t>\Delta\theta_1.</w:t>
      </w:r>
      <w:r>
        <w:br/>
        <w:t>\tag{3.5255}</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\Delta\theta_2\approx-c\Delta\theta_1\qquad\text{(3.5255)}</w:t>
      </w:r>
    </w:p>
    <w:p w:rsidR="00983335" w:rsidRDefault="00983335" w:rsidP="00983335">
      <w:pPr>
        <w:pStyle w:val="StandardWeb"/>
      </w:pPr>
      <w:r>
        <w:t>Dann können unterschiedliche Parameterkombinationen annähernd dieselbe Vorhersage erzeugen:</w:t>
      </w:r>
    </w:p>
    <w:p w:rsidR="00983335" w:rsidRDefault="00983335" w:rsidP="00983335">
      <w:pPr>
        <w:pStyle w:val="StandardWeb"/>
      </w:pPr>
      <w:r>
        <w:t>[</w:t>
      </w:r>
      <w:r>
        <w:br/>
        <w:t>\mathbf{P}</w:t>
      </w:r>
      <w:r>
        <w:rPr>
          <w:rStyle w:val="Hervorhebung"/>
        </w:rPr>
        <w:t>{F}</w:t>
      </w:r>
      <w:r>
        <w:rPr>
          <w:i/>
          <w:iCs/>
        </w:rPr>
        <w:br/>
      </w:r>
      <w:r>
        <w:rPr>
          <w:rStyle w:val="Hervorhebung"/>
        </w:rPr>
        <w:t>\left(</w:t>
      </w:r>
      <w:r>
        <w:rPr>
          <w:i/>
          <w:iCs/>
        </w:rPr>
        <w:br/>
      </w:r>
      <w:r>
        <w:rPr>
          <w:rStyle w:val="Hervorhebung"/>
        </w:rPr>
        <w:t>\theta_1+\Delta\theta_1,</w:t>
      </w:r>
      <w:r>
        <w:rPr>
          <w:i/>
          <w:iCs/>
        </w:rPr>
        <w:br/>
      </w:r>
      <w:r>
        <w:rPr>
          <w:rStyle w:val="Hervorhebung"/>
        </w:rPr>
        <w:t>\theta_2+\Delta\theta_2</w:t>
      </w:r>
      <w:r>
        <w:rPr>
          <w:i/>
          <w:iCs/>
        </w:rPr>
        <w:br/>
      </w:r>
      <w:r>
        <w:rPr>
          <w:rStyle w:val="Hervorhebung"/>
        </w:rPr>
        <w:t>\right)</w:t>
      </w:r>
      <w:r>
        <w:rPr>
          <w:i/>
          <w:iCs/>
        </w:rPr>
        <w:br/>
      </w:r>
      <w:r>
        <w:rPr>
          <w:rStyle w:val="Hervorhebung"/>
        </w:rPr>
        <w:t>\approx</w:t>
      </w:r>
      <w:r>
        <w:rPr>
          <w:i/>
          <w:iCs/>
        </w:rPr>
        <w:br/>
      </w:r>
      <w:r>
        <w:rPr>
          <w:rStyle w:val="Hervorhebung"/>
        </w:rPr>
        <w:t>\mathbf{P}</w:t>
      </w:r>
      <w:r>
        <w:t>{F}</w:t>
      </w:r>
      <w:r>
        <w:br/>
        <w:t>\left(</w:t>
      </w:r>
      <w:r>
        <w:br/>
        <w:t>\theta_1,\theta_2</w:t>
      </w:r>
      <w:r>
        <w:br/>
        <w:t>\right).</w:t>
      </w:r>
      <w:r>
        <w:br/>
        <w:t>\tag{3.5256}</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\mathbf{P}_{F}\left(\theta_1+\Delta\theta_1,\theta_2+\Delta\theta_2\right)\approx\mathbf{P}_{F}\left(\theta_1,\theta_2\right)\qquad\text{(3.5256)}</w:t>
      </w:r>
    </w:p>
    <w:p w:rsidR="00983335" w:rsidRDefault="00983335" w:rsidP="00983335">
      <w:pPr>
        <w:pStyle w:val="StandardWeb"/>
      </w:pPr>
      <w:r>
        <w:t>Dies ist eine praktische Identifizierbarkeitsschwäche, auch wenn keine exakte strukturelle Nichtidentifizierbarkeit vorliegt.</w:t>
      </w:r>
    </w:p>
    <w:p w:rsidR="00983335" w:rsidRPr="00AF32B2" w:rsidRDefault="00983335" w:rsidP="00AF32B2">
      <w:pPr>
        <w:pStyle w:val="berschrift4"/>
      </w:pPr>
      <w:r w:rsidRPr="00AF32B2">
        <w:t>3.3.28.15 Profilfunktion eines Parameters</w:t>
      </w:r>
    </w:p>
    <w:p w:rsidR="00983335" w:rsidRDefault="00983335" w:rsidP="00983335">
      <w:pPr>
        <w:pStyle w:val="StandardWeb"/>
      </w:pPr>
      <w:r>
        <w:t>Für einen Parameter (\theta_j) kann eine Profilfunktion definiert werden:</w:t>
      </w:r>
    </w:p>
    <w:p w:rsidR="00983335" w:rsidRDefault="00983335" w:rsidP="00983335">
      <w:pPr>
        <w:pStyle w:val="berschrift1"/>
      </w:pPr>
      <w:r>
        <w:lastRenderedPageBreak/>
        <w:t>[</w:t>
      </w:r>
      <w:r>
        <w:br/>
        <w:t>\mathcal{L}_{\mathrm{prof}}</w:t>
      </w:r>
      <w:r>
        <w:br/>
        <w:t>\left(</w:t>
      </w:r>
      <w:r>
        <w:br/>
        <w:t>\theta_j</w:t>
      </w:r>
      <w:r>
        <w:br/>
        <w:t>\right)</w:t>
      </w:r>
    </w:p>
    <w:p w:rsidR="00983335" w:rsidRDefault="00983335" w:rsidP="00983335">
      <w:pPr>
        <w:pStyle w:val="StandardWeb"/>
      </w:pPr>
      <w:r>
        <w:t>\min_{</w:t>
      </w:r>
      <w:r>
        <w:br/>
        <w:t>\theta_{-j}</w:t>
      </w:r>
      <w:r>
        <w:br/>
        <w:t>}</w:t>
      </w:r>
      <w:r>
        <w:br/>
        <w:t>\mathcal{L}</w:t>
      </w:r>
      <w:r>
        <w:br/>
        <w:t>\left(</w:t>
      </w:r>
      <w:r>
        <w:br/>
        <w:t>\theta_j,</w:t>
      </w:r>
      <w:r>
        <w:br/>
        <w:t>\theta_{-j}</w:t>
      </w:r>
      <w:r>
        <w:br/>
        <w:t>\right).</w:t>
      </w:r>
      <w:r>
        <w:br/>
        <w:t>\tag{3.5257}</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\mathcal{L}_{\mathrm{prof}}\left(\theta_j\right)=\min_{\theta_{-j}}\mathcal{L}\left(\theta_j,\theta_{-j}\right)\qquad\text{(3.5257)}</w:t>
      </w:r>
    </w:p>
    <w:p w:rsidR="00983335" w:rsidRDefault="00983335" w:rsidP="00983335">
      <w:pPr>
        <w:pStyle w:val="StandardWeb"/>
      </w:pPr>
      <w:r>
        <w:t>Dabei bezeichnet (\theta_{-j}) alle übrigen Parameter.</w:t>
      </w:r>
    </w:p>
    <w:p w:rsidR="00983335" w:rsidRDefault="00983335" w:rsidP="00983335">
      <w:pPr>
        <w:pStyle w:val="StandardWeb"/>
      </w:pPr>
      <w:r>
        <w:t>Ein scharfes eindeutiges Minimum unterstützt praktische Identifizierbarkeit:</w:t>
      </w:r>
    </w:p>
    <w:p w:rsidR="00983335" w:rsidRDefault="00983335" w:rsidP="00983335">
      <w:pPr>
        <w:pStyle w:val="berschrift1"/>
      </w:pPr>
      <w:r>
        <w:t>[</w:t>
      </w:r>
      <w:r>
        <w:br/>
        <w:t>\operatorname*{arg,min}</w:t>
      </w:r>
      <w:r>
        <w:rPr>
          <w:rStyle w:val="Hervorhebung"/>
        </w:rPr>
        <w:t>{\theta_j}</w:t>
      </w:r>
      <w:r>
        <w:rPr>
          <w:i/>
          <w:iCs/>
        </w:rPr>
        <w:br/>
      </w:r>
      <w:r>
        <w:rPr>
          <w:rStyle w:val="Hervorhebung"/>
        </w:rPr>
        <w:t>\mathcal{L}</w:t>
      </w:r>
      <w:r>
        <w:t>{\mathrm{prof}}</w:t>
      </w:r>
      <w:r>
        <w:br/>
        <w:t>\left(</w:t>
      </w:r>
      <w:r>
        <w:br/>
        <w:t>\theta_j</w:t>
      </w:r>
      <w:r>
        <w:br/>
        <w:t>\right)</w:t>
      </w:r>
    </w:p>
    <w:p w:rsidR="00983335" w:rsidRDefault="00983335" w:rsidP="00983335">
      <w:pPr>
        <w:pStyle w:val="StandardWeb"/>
      </w:pPr>
      <w:r>
        <w:t>\widehat{\theta}_j.</w:t>
      </w:r>
      <w:r>
        <w:br/>
        <w:t>\tag{3.5258}</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\operatorname*{arg\,min}_{\theta_j}\mathcal{L}_{\mathrm{prof}}\left(\theta_j\right)=\widehat{\theta}_j\qquad\text{(3.5258)}</w:t>
      </w:r>
    </w:p>
    <w:p w:rsidR="00983335" w:rsidRDefault="00983335" w:rsidP="00983335">
      <w:pPr>
        <w:pStyle w:val="StandardWeb"/>
      </w:pPr>
      <w:r>
        <w:t>Ein nahezu flaches Profil weist dagegen auf geringe praktische Bestimmbarkeit hin.</w:t>
      </w:r>
    </w:p>
    <w:p w:rsidR="00983335" w:rsidRPr="00AF32B2" w:rsidRDefault="00983335" w:rsidP="00AF32B2">
      <w:pPr>
        <w:pStyle w:val="berschrift4"/>
      </w:pPr>
      <w:r w:rsidRPr="00AF32B2">
        <w:lastRenderedPageBreak/>
        <w:t>3.3.28.16 Strukturparameter und Modellstruktur</w:t>
      </w:r>
    </w:p>
    <w:p w:rsidR="00983335" w:rsidRDefault="00983335" w:rsidP="00983335">
      <w:pPr>
        <w:pStyle w:val="StandardWeb"/>
      </w:pPr>
      <w:r>
        <w:t>Nicht alle Parameter verändern nur Zahlenwerte. Ein Strukturparameter kann die Anzahl oder Art der Modellkomponenten verändern.</w:t>
      </w:r>
    </w:p>
    <w:p w:rsidR="00983335" w:rsidRDefault="00983335" w:rsidP="00983335">
      <w:pPr>
        <w:pStyle w:val="StandardWeb"/>
      </w:pPr>
      <w:r>
        <w:t>Eine strukturparametrisierte Modellfamilie lautet</w:t>
      </w:r>
    </w:p>
    <w:p w:rsidR="00983335" w:rsidRDefault="00983335" w:rsidP="00983335">
      <w:pPr>
        <w:pStyle w:val="berschrift1"/>
      </w:pPr>
      <w:r>
        <w:t>[</w:t>
      </w:r>
      <w:r>
        <w:br/>
        <w:t>\mathfrak{M}_{F}^{\mathrm{str}}</w:t>
      </w:r>
    </w:p>
    <w:p w:rsidR="00983335" w:rsidRDefault="00983335" w:rsidP="00983335">
      <w:pPr>
        <w:pStyle w:val="StandardWeb"/>
      </w:pPr>
      <w:r>
        <w:t>\left{</w:t>
      </w:r>
      <w:r>
        <w:br/>
        <w:t>\mathcal{M}</w:t>
      </w:r>
      <w:r>
        <w:rPr>
          <w:rStyle w:val="Hervorhebung"/>
        </w:rPr>
        <w:t>{\eta,\theta}</w:t>
      </w:r>
      <w:r>
        <w:rPr>
          <w:i/>
          <w:iCs/>
        </w:rPr>
        <w:br/>
      </w:r>
      <w:r>
        <w:rPr>
          <w:rStyle w:val="Hervorhebung"/>
        </w:rPr>
        <w:t>;\middle|;</w:t>
      </w:r>
      <w:r>
        <w:rPr>
          <w:i/>
          <w:iCs/>
        </w:rPr>
        <w:br/>
      </w:r>
      <w:r>
        <w:rPr>
          <w:rStyle w:val="Hervorhebung"/>
        </w:rPr>
        <w:t>\eta\in\mathcal{H},</w:t>
      </w:r>
      <w:r>
        <w:rPr>
          <w:i/>
          <w:iCs/>
        </w:rPr>
        <w:br/>
      </w:r>
      <w:r>
        <w:rPr>
          <w:rStyle w:val="Hervorhebung"/>
        </w:rPr>
        <w:t>\theta\in\Theta</w:t>
      </w:r>
      <w:r>
        <w:t>{\eta}</w:t>
      </w:r>
      <w:r>
        <w:br/>
        <w:t>\right}.</w:t>
      </w:r>
      <w:r>
        <w:br/>
        <w:t>\tag{3.5259}</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\mathfrak{M}_{F}^{\mathrm{str}}=\left\{\mathcal{M}_{\eta,\theta}\middle|\eta\in\mathcal{H},\theta\in\Theta_{\eta}\right\}\qquad\text{(3.5259)}</w:t>
      </w:r>
    </w:p>
    <w:p w:rsidR="00983335" w:rsidRDefault="00983335" w:rsidP="00983335">
      <w:pPr>
        <w:pStyle w:val="StandardWeb"/>
      </w:pPr>
      <w:r>
        <w:t>Dabei bezeichnet (\eta) eine Strukturwahl, beispielsweise:</w:t>
      </w:r>
    </w:p>
    <w:p w:rsidR="00983335" w:rsidRDefault="00983335" w:rsidP="00632D23">
      <w:pPr>
        <w:pStyle w:val="StandardWeb"/>
        <w:numPr>
          <w:ilvl w:val="0"/>
          <w:numId w:val="164"/>
        </w:numPr>
      </w:pPr>
      <w:r>
        <w:t>die Zahl funktionaler Zustandsklassen,</w:t>
      </w:r>
    </w:p>
    <w:p w:rsidR="00983335" w:rsidRDefault="00983335" w:rsidP="00632D23">
      <w:pPr>
        <w:pStyle w:val="StandardWeb"/>
        <w:numPr>
          <w:ilvl w:val="0"/>
          <w:numId w:val="164"/>
        </w:numPr>
      </w:pPr>
      <w:r>
        <w:t>die Existenz bestimmter Relationen,</w:t>
      </w:r>
    </w:p>
    <w:p w:rsidR="00983335" w:rsidRDefault="00983335" w:rsidP="00632D23">
      <w:pPr>
        <w:pStyle w:val="StandardWeb"/>
        <w:numPr>
          <w:ilvl w:val="0"/>
          <w:numId w:val="164"/>
        </w:numPr>
      </w:pPr>
      <w:r>
        <w:t>die Ordnung einer Transformationskaskade,</w:t>
      </w:r>
    </w:p>
    <w:p w:rsidR="00983335" w:rsidRDefault="00983335" w:rsidP="00632D23">
      <w:pPr>
        <w:pStyle w:val="StandardWeb"/>
        <w:numPr>
          <w:ilvl w:val="0"/>
          <w:numId w:val="164"/>
        </w:numPr>
      </w:pPr>
      <w:r>
        <w:t>die Kopplungsstruktur mehrerer Teilmodelle.</w:t>
      </w:r>
    </w:p>
    <w:p w:rsidR="00983335" w:rsidRDefault="00983335" w:rsidP="00983335">
      <w:pPr>
        <w:pStyle w:val="StandardWeb"/>
      </w:pPr>
      <w:r>
        <w:t>Zwei Strukturvarianten können verschieden sein:</w:t>
      </w:r>
    </w:p>
    <w:p w:rsidR="00983335" w:rsidRDefault="00983335" w:rsidP="00983335">
      <w:pPr>
        <w:pStyle w:val="StandardWeb"/>
      </w:pPr>
      <w:r>
        <w:t>[</w:t>
      </w:r>
      <w:r>
        <w:br/>
        <w:t>\eta_1</w:t>
      </w:r>
      <w:r>
        <w:br/>
        <w:t>\neq</w:t>
      </w:r>
      <w:r>
        <w:br/>
        <w:t>\eta_2.</w:t>
      </w:r>
      <w:r>
        <w:br/>
        <w:t>\tag{3.5260}</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\eta_1\neq\eta_2\qquad\text{(3.5260)}</w:t>
      </w:r>
    </w:p>
    <w:p w:rsidR="00983335" w:rsidRPr="00AF32B2" w:rsidRDefault="00983335" w:rsidP="00AF32B2">
      <w:pPr>
        <w:pStyle w:val="berschrift4"/>
      </w:pPr>
      <w:r w:rsidRPr="00AF32B2">
        <w:t>3.3.28.17 Strukturelle Beobachtungsäquivalenz</w:t>
      </w:r>
    </w:p>
    <w:p w:rsidR="00983335" w:rsidRDefault="00983335" w:rsidP="00983335">
      <w:pPr>
        <w:pStyle w:val="StandardWeb"/>
      </w:pPr>
      <w:r>
        <w:t>Zwei strukturell verschiedene Modellinstanzen heißen beobachtungsäquivalent, wenn</w:t>
      </w:r>
    </w:p>
    <w:p w:rsidR="00983335" w:rsidRDefault="00983335" w:rsidP="00983335">
      <w:pPr>
        <w:pStyle w:val="berschrift1"/>
      </w:pPr>
      <w:r>
        <w:lastRenderedPageBreak/>
        <w:t>[</w:t>
      </w:r>
      <w:r>
        <w:br/>
        <w:t>\mathbf{P}_{F}</w:t>
      </w:r>
      <w:r>
        <w:br/>
        <w:t>\left(</w:t>
      </w:r>
      <w:r>
        <w:br/>
        <w:t>\eta_1,\theta_1</w:t>
      </w:r>
      <w:r>
        <w:br/>
        <w:t>\right)</w:t>
      </w:r>
    </w:p>
    <w:p w:rsidR="00983335" w:rsidRDefault="00983335" w:rsidP="00983335">
      <w:pPr>
        <w:pStyle w:val="StandardWeb"/>
      </w:pPr>
      <w:r>
        <w:t>\mathbf{P}_{F}</w:t>
      </w:r>
      <w:r>
        <w:br/>
        <w:t>\left(</w:t>
      </w:r>
      <w:r>
        <w:br/>
        <w:t>\eta_2,\theta_2</w:t>
      </w:r>
      <w:r>
        <w:br/>
        <w:t>\right).</w:t>
      </w:r>
      <w:r>
        <w:br/>
        <w:t>\tag{3.5261}</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\mathbf{P}_{F}\left(\eta_1,\theta_1\right)=\mathbf{P}_{F}\left(\eta_2,\theta_2\right)\qquad\text{(3.5261)}</w:t>
      </w:r>
    </w:p>
    <w:p w:rsidR="00983335" w:rsidRDefault="00983335" w:rsidP="00983335">
      <w:pPr>
        <w:pStyle w:val="StandardWeb"/>
      </w:pPr>
      <w:r>
        <w:t>Dabei kann gleichzeitig gelten</w:t>
      </w:r>
    </w:p>
    <w:p w:rsidR="00983335" w:rsidRDefault="00983335" w:rsidP="00983335">
      <w:pPr>
        <w:pStyle w:val="StandardWeb"/>
      </w:pPr>
      <w:r>
        <w:t>[</w:t>
      </w:r>
      <w:r>
        <w:br/>
        <w:t>\mathcal{M}</w:t>
      </w:r>
      <w:r>
        <w:rPr>
          <w:rStyle w:val="Hervorhebung"/>
        </w:rPr>
        <w:t>{\eta_1,\theta_1}</w:t>
      </w:r>
      <w:r>
        <w:rPr>
          <w:i/>
          <w:iCs/>
        </w:rPr>
        <w:br/>
      </w:r>
      <w:r>
        <w:rPr>
          <w:rStyle w:val="Hervorhebung"/>
        </w:rPr>
        <w:t>\not\cong</w:t>
      </w:r>
      <w:r>
        <w:rPr>
          <w:i/>
          <w:iCs/>
        </w:rPr>
        <w:br/>
      </w:r>
      <w:r>
        <w:rPr>
          <w:rStyle w:val="Hervorhebung"/>
        </w:rPr>
        <w:t>\mathcal{M}</w:t>
      </w:r>
      <w:r>
        <w:t>{\eta_2,\theta_2}.</w:t>
      </w:r>
      <w:r>
        <w:br/>
        <w:t>\tag{3.5262}</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\mathcal{M}_{\eta_1,\theta_1}\not\cong\mathcal{M}_{\eta_2,\theta_2}\qquad\text{(3.5262)}</w:t>
      </w:r>
    </w:p>
    <w:p w:rsidR="00983335" w:rsidRDefault="00983335" w:rsidP="00983335">
      <w:pPr>
        <w:pStyle w:val="StandardWeb"/>
      </w:pPr>
      <w:r>
        <w:t>Die betrachteten Beobachtungen reichen dann nicht aus, um die konkurrierenden Modellstrukturen zu unterscheiden.</w:t>
      </w:r>
    </w:p>
    <w:p w:rsidR="00983335" w:rsidRPr="00AF32B2" w:rsidRDefault="00983335" w:rsidP="00AF32B2">
      <w:pPr>
        <w:pStyle w:val="berschrift4"/>
      </w:pPr>
      <w:r w:rsidRPr="00AF32B2">
        <w:t>3.3.28.18 Strukturelle Identifizierbarkeit einer Modellklasse</w:t>
      </w:r>
    </w:p>
    <w:p w:rsidR="00983335" w:rsidRDefault="00983335" w:rsidP="00983335">
      <w:pPr>
        <w:pStyle w:val="StandardWeb"/>
      </w:pPr>
      <w:r>
        <w:t>Eine Strukturwahl (\eta^\ast) ist bezüglich der Beobachtungen identifizierbar, wenn</w:t>
      </w:r>
    </w:p>
    <w:p w:rsidR="00983335" w:rsidRDefault="00983335" w:rsidP="00983335">
      <w:pPr>
        <w:pStyle w:val="berschrift1"/>
      </w:pPr>
      <w:r>
        <w:t>[</w:t>
      </w:r>
      <w:r>
        <w:br/>
        <w:t>\mathbf{P}_{F}</w:t>
      </w:r>
      <w:r>
        <w:br/>
        <w:t>\left(</w:t>
      </w:r>
      <w:r>
        <w:br/>
        <w:t>\eta,\theta</w:t>
      </w:r>
      <w:r>
        <w:br/>
        <w:t>\right)</w:t>
      </w:r>
    </w:p>
    <w:p w:rsidR="00983335" w:rsidRDefault="00983335" w:rsidP="00983335">
      <w:pPr>
        <w:pStyle w:val="berschrift1"/>
      </w:pPr>
      <w:r>
        <w:lastRenderedPageBreak/>
        <w:t>\mathbf{P}_{F}</w:t>
      </w:r>
      <w:r>
        <w:br/>
        <w:t>\left(</w:t>
      </w:r>
      <w:r>
        <w:br/>
        <w:t>\eta^\ast,\theta^\ast</w:t>
      </w:r>
      <w:r>
        <w:br/>
        <w:t>\right)</w:t>
      </w:r>
      <w:r>
        <w:br/>
        <w:t>\Rightarrow</w:t>
      </w:r>
      <w:r>
        <w:br/>
        <w:t>\eta</w:t>
      </w:r>
    </w:p>
    <w:p w:rsidR="00983335" w:rsidRDefault="00983335" w:rsidP="00983335">
      <w:pPr>
        <w:pStyle w:val="StandardWeb"/>
      </w:pPr>
      <w:r>
        <w:t>\eta^\ast</w:t>
      </w:r>
      <w:r>
        <w:br/>
        <w:t>\tag{3.5263}</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\mathbf{P}_{F}\left(\eta,\theta\right)=\mathbf{P}_{F}\left(\eta^\ast,\theta^\ast\right)\Rightarrow\eta=\eta^\ast\qquad\text{(3.5263)}</w:t>
      </w:r>
    </w:p>
    <w:p w:rsidR="00983335" w:rsidRDefault="00983335" w:rsidP="00983335">
      <w:pPr>
        <w:pStyle w:val="StandardWeb"/>
      </w:pPr>
      <w:r>
        <w:t>für alle zulässigen ((\eta,\theta)).</w:t>
      </w:r>
    </w:p>
    <w:p w:rsidR="00983335" w:rsidRDefault="00983335" w:rsidP="00983335">
      <w:pPr>
        <w:pStyle w:val="StandardWeb"/>
      </w:pPr>
      <w:r>
        <w:t>Eine stärkere Bedingung verlangt zusätzlich</w:t>
      </w:r>
    </w:p>
    <w:p w:rsidR="00983335" w:rsidRDefault="00983335" w:rsidP="00983335">
      <w:pPr>
        <w:pStyle w:val="berschrift1"/>
      </w:pPr>
      <w:r>
        <w:t>[</w:t>
      </w:r>
      <w:r>
        <w:br/>
        <w:t>\theta</w:t>
      </w:r>
    </w:p>
    <w:p w:rsidR="00983335" w:rsidRDefault="00983335" w:rsidP="00983335">
      <w:pPr>
        <w:pStyle w:val="StandardWeb"/>
      </w:pPr>
      <w:r>
        <w:t>\theta^\ast.</w:t>
      </w:r>
      <w:r>
        <w:br/>
        <w:t>\tag{3.5264}</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\theta=\theta^\ast\qquad\text{(3.5264)}</w:t>
      </w:r>
    </w:p>
    <w:p w:rsidR="00983335" w:rsidRDefault="00983335" w:rsidP="00983335">
      <w:pPr>
        <w:pStyle w:val="StandardWeb"/>
      </w:pPr>
      <w:r>
        <w:t>Dann sind sowohl Modellstruktur als auch Parameterwerte eindeutig identifizierbar.</w:t>
      </w:r>
    </w:p>
    <w:p w:rsidR="00983335" w:rsidRPr="00AF32B2" w:rsidRDefault="00983335" w:rsidP="00AF32B2">
      <w:pPr>
        <w:pStyle w:val="berschrift4"/>
      </w:pPr>
      <w:r w:rsidRPr="00AF32B2">
        <w:t>3.3.28.19 Repräsentationssymmetrie und echte Nichtidentifizierbarkeit</w:t>
      </w:r>
    </w:p>
    <w:p w:rsidR="00983335" w:rsidRDefault="00983335" w:rsidP="00983335">
      <w:pPr>
        <w:pStyle w:val="StandardWeb"/>
      </w:pPr>
      <w:r>
        <w:t>Eine Mehrdeutigkeit kann aus einer bloßen Repräsentationssymmetrie entstehen.</w:t>
      </w:r>
    </w:p>
    <w:p w:rsidR="00983335" w:rsidRDefault="00983335" w:rsidP="00983335">
      <w:pPr>
        <w:pStyle w:val="StandardWeb"/>
      </w:pPr>
      <w:r>
        <w:t>Sei</w:t>
      </w:r>
    </w:p>
    <w:p w:rsidR="00983335" w:rsidRDefault="00983335" w:rsidP="00983335">
      <w:pPr>
        <w:pStyle w:val="StandardWeb"/>
      </w:pPr>
      <w:r>
        <w:t>[</w:t>
      </w:r>
      <w:r>
        <w:br/>
        <w:t>g_{\Theta}:</w:t>
      </w:r>
      <w:r>
        <w:br/>
        <w:t>\Theta</w:t>
      </w:r>
      <w:r>
        <w:br/>
        <w:t>\rightarrow</w:t>
      </w:r>
      <w:r>
        <w:br/>
        <w:t>\Theta</w:t>
      </w:r>
      <w:r>
        <w:br/>
      </w:r>
      <w:r>
        <w:lastRenderedPageBreak/>
        <w:t>\tag{3.5265}</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g_{\Theta}:\Theta\rightarrow\Theta\qquad\text{(3.5265)}</w:t>
      </w:r>
    </w:p>
    <w:p w:rsidR="00983335" w:rsidRDefault="00983335" w:rsidP="00983335">
      <w:pPr>
        <w:pStyle w:val="StandardWeb"/>
      </w:pPr>
      <w:r>
        <w:t>eine zulässige Parametertransformation mit</w:t>
      </w:r>
    </w:p>
    <w:p w:rsidR="00983335" w:rsidRDefault="00983335" w:rsidP="00983335">
      <w:pPr>
        <w:pStyle w:val="berschrift1"/>
      </w:pPr>
      <w:r>
        <w:t>[</w:t>
      </w:r>
      <w:r>
        <w:br/>
        <w:t>\mathbf{P}</w:t>
      </w:r>
      <w:r>
        <w:rPr>
          <w:rStyle w:val="Hervorhebung"/>
        </w:rPr>
        <w:t>{F}</w:t>
      </w:r>
      <w:r>
        <w:rPr>
          <w:i/>
          <w:iCs/>
        </w:rPr>
        <w:br/>
      </w:r>
      <w:r>
        <w:rPr>
          <w:rStyle w:val="Hervorhebung"/>
        </w:rPr>
        <w:t>\left(</w:t>
      </w:r>
      <w:r>
        <w:rPr>
          <w:i/>
          <w:iCs/>
        </w:rPr>
        <w:br/>
      </w:r>
      <w:r>
        <w:rPr>
          <w:rStyle w:val="Hervorhebung"/>
        </w:rPr>
        <w:t>g</w:t>
      </w:r>
      <w:r>
        <w:t>{\Theta}(\theta)</w:t>
      </w:r>
      <w:r>
        <w:br/>
        <w:t>\right)</w:t>
      </w:r>
    </w:p>
    <w:p w:rsidR="00983335" w:rsidRDefault="00983335" w:rsidP="00983335">
      <w:pPr>
        <w:pStyle w:val="StandardWeb"/>
      </w:pPr>
      <w:r>
        <w:t>\mathbf{P}_{F}(\theta).</w:t>
      </w:r>
      <w:r>
        <w:br/>
        <w:t>\tag{3.5266}</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\mathbf{P}_{F}\left(g_{\Theta}(\theta)\right)=\mathbf{P}_{F}(\theta)\qquad\text{(3.5266)}</w:t>
      </w:r>
    </w:p>
    <w:p w:rsidR="00983335" w:rsidRDefault="00983335" w:rsidP="00983335">
      <w:pPr>
        <w:pStyle w:val="StandardWeb"/>
      </w:pPr>
      <w:r>
        <w:t>Sind (\theta) und (g_{\Theta}(\theta)) nur verschiedene Darstellungen desselben strukturellen Modells, liegt keine inhaltliche Modellmehrdeutigkeit vor.</w:t>
      </w:r>
    </w:p>
    <w:p w:rsidR="00983335" w:rsidRDefault="00983335" w:rsidP="00983335">
      <w:pPr>
        <w:pStyle w:val="StandardWeb"/>
      </w:pPr>
      <w:r>
        <w:t>Sind die zugehörigen Modelle dagegen nicht strukturell äquivalent, liegt echte beobachtungsbezogene Unterbestimmung vor.</w:t>
      </w:r>
    </w:p>
    <w:p w:rsidR="00983335" w:rsidRDefault="00983335" w:rsidP="00983335">
      <w:pPr>
        <w:pStyle w:val="StandardWeb"/>
      </w:pPr>
      <w:r>
        <w:rPr>
          <w:rStyle w:val="Fett"/>
        </w:rPr>
        <w:t>Eigenleistung des FRZK</w:t>
      </w:r>
    </w:p>
    <w:p w:rsidR="00983335" w:rsidRDefault="00983335" w:rsidP="00983335">
      <w:pPr>
        <w:pStyle w:val="StandardWeb"/>
      </w:pPr>
      <w:r>
        <w:t>Ich prüfe jede Parametermehrdeutigkeit zunächst darauf, ob sie durch das Invarianzsystem aus Abschnitt 3.3.27 erklärt werden kann. Erst nach dem Ausschluss reiner Repräsentationssymmetrien wird sie als inhaltliche Nichtidentifizierbarkeit gewertet.</w:t>
      </w:r>
    </w:p>
    <w:p w:rsidR="00983335" w:rsidRPr="00AF32B2" w:rsidRDefault="00983335" w:rsidP="00AF32B2">
      <w:pPr>
        <w:pStyle w:val="berschrift4"/>
      </w:pPr>
      <w:r w:rsidRPr="00AF32B2">
        <w:t>3.3.28.20 Quotientenraum beobachtungsäquivalenter Parameter</w:t>
      </w:r>
    </w:p>
    <w:p w:rsidR="00983335" w:rsidRDefault="00983335" w:rsidP="00983335">
      <w:pPr>
        <w:pStyle w:val="StandardWeb"/>
      </w:pPr>
      <w:r>
        <w:t>Die Beobachtungsäquivalenzrelation erzeugt den Quotientenraum</w:t>
      </w:r>
    </w:p>
    <w:p w:rsidR="00983335" w:rsidRDefault="00983335" w:rsidP="00983335">
      <w:pPr>
        <w:pStyle w:val="StandardWeb"/>
      </w:pPr>
      <w:r>
        <w:t>[</w:t>
      </w:r>
      <w:r>
        <w:br/>
        <w:t>\Theta</w:t>
      </w:r>
      <w:r>
        <w:br/>
        <w:t>/</w:t>
      </w:r>
      <w:r>
        <w:br/>
        <w:t>{\sim_{\mathrm{obs}}}.</w:t>
      </w:r>
      <w:r>
        <w:br/>
        <w:t>\tag{3.5267}</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lastRenderedPageBreak/>
        <w:t>\Theta/{\sim_{\mathrm{obs}}}\qquad\text{(3.5267)}</w:t>
      </w:r>
    </w:p>
    <w:p w:rsidR="00983335" w:rsidRDefault="00983335" w:rsidP="00983335">
      <w:pPr>
        <w:pStyle w:val="StandardWeb"/>
      </w:pPr>
      <w:r>
        <w:t>Seine Elemente sind Beobachtungsäquivalenzklassen:</w:t>
      </w:r>
    </w:p>
    <w:p w:rsidR="00983335" w:rsidRDefault="00983335" w:rsidP="00983335">
      <w:pPr>
        <w:pStyle w:val="StandardWeb"/>
      </w:pPr>
      <w:r>
        <w:t>[</w:t>
      </w:r>
      <w:r>
        <w:br/>
        <w:t>\left[</w:t>
      </w:r>
      <w:r>
        <w:br/>
        <w:t>\theta</w:t>
      </w:r>
      <w:r>
        <w:br/>
        <w:t>\right]</w:t>
      </w:r>
      <w:r>
        <w:rPr>
          <w:rStyle w:val="Hervorhebung"/>
        </w:rPr>
        <w:t>{\mathrm{obs}}</w:t>
      </w:r>
      <w:r>
        <w:rPr>
          <w:i/>
          <w:iCs/>
        </w:rPr>
        <w:br/>
      </w:r>
      <w:r>
        <w:rPr>
          <w:rStyle w:val="Hervorhebung"/>
        </w:rPr>
        <w:t>\in</w:t>
      </w:r>
      <w:r>
        <w:rPr>
          <w:i/>
          <w:iCs/>
        </w:rPr>
        <w:br/>
      </w:r>
      <w:r>
        <w:rPr>
          <w:rStyle w:val="Hervorhebung"/>
        </w:rPr>
        <w:t>\Theta</w:t>
      </w:r>
      <w:r>
        <w:rPr>
          <w:i/>
          <w:iCs/>
        </w:rPr>
        <w:br/>
      </w:r>
      <w:r>
        <w:rPr>
          <w:rStyle w:val="Hervorhebung"/>
        </w:rPr>
        <w:t>/</w:t>
      </w:r>
      <w:r>
        <w:rPr>
          <w:i/>
          <w:iCs/>
        </w:rPr>
        <w:br/>
      </w:r>
      <w:r>
        <w:rPr>
          <w:rStyle w:val="Hervorhebung"/>
        </w:rPr>
        <w:t>{\sim</w:t>
      </w:r>
      <w:r>
        <w:t>{\mathrm{obs}}}.</w:t>
      </w:r>
      <w:r>
        <w:br/>
        <w:t>\tag{3.5268}</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\left[\theta\right]_{\mathrm{obs}}\in\Theta/{\sim_{\mathrm{obs}}}\qquad\text{(3.5268)}</w:t>
      </w:r>
    </w:p>
    <w:p w:rsidR="00983335" w:rsidRDefault="00983335" w:rsidP="00983335">
      <w:pPr>
        <w:pStyle w:val="StandardWeb"/>
      </w:pPr>
      <w:r>
        <w:t>Ist nur die Äquivalenzklasse identifizierbar, darf wissenschaftlich nicht behauptet werden, dass ein einzelner Vertreter eindeutig bestimmt wurde.</w:t>
      </w:r>
    </w:p>
    <w:p w:rsidR="00983335" w:rsidRPr="00AF32B2" w:rsidRDefault="00983335" w:rsidP="00AF32B2">
      <w:pPr>
        <w:pStyle w:val="berschrift4"/>
      </w:pPr>
      <w:r w:rsidRPr="00AF32B2">
        <w:t>3.3.28.21 Zusätzliche Beobachtungen</w:t>
      </w:r>
    </w:p>
    <w:p w:rsidR="00983335" w:rsidRDefault="00983335" w:rsidP="00983335">
      <w:pPr>
        <w:pStyle w:val="StandardWeb"/>
      </w:pPr>
      <w:r>
        <w:t>Eine bestehende Beobachtungsmenge kann erweitert werden:</w:t>
      </w:r>
    </w:p>
    <w:p w:rsidR="00983335" w:rsidRDefault="00983335" w:rsidP="00983335">
      <w:pPr>
        <w:pStyle w:val="berschrift1"/>
      </w:pPr>
      <w:r>
        <w:t>[</w:t>
      </w:r>
      <w:r>
        <w:br/>
        <w:t>\mathcal{X}_{\mathrm{obs}}^{+}</w:t>
      </w:r>
    </w:p>
    <w:p w:rsidR="00983335" w:rsidRDefault="00983335" w:rsidP="00983335">
      <w:pPr>
        <w:pStyle w:val="StandardWeb"/>
      </w:pPr>
      <w:r>
        <w:t>\mathcal{X}</w:t>
      </w:r>
      <w:r>
        <w:rPr>
          <w:rStyle w:val="Hervorhebung"/>
        </w:rPr>
        <w:t>{\mathrm{obs}}</w:t>
      </w:r>
      <w:r>
        <w:rPr>
          <w:i/>
          <w:iCs/>
        </w:rPr>
        <w:br/>
      </w:r>
      <w:r>
        <w:rPr>
          <w:rStyle w:val="Hervorhebung"/>
        </w:rPr>
        <w:t>\cup</w:t>
      </w:r>
      <w:r>
        <w:rPr>
          <w:i/>
          <w:iCs/>
        </w:rPr>
        <w:br/>
      </w:r>
      <w:r>
        <w:rPr>
          <w:rStyle w:val="Hervorhebung"/>
        </w:rPr>
        <w:t>\mathcal{X}</w:t>
      </w:r>
      <w:r>
        <w:t>{\mathrm{neu}}.</w:t>
      </w:r>
      <w:r>
        <w:br/>
        <w:t>\tag{3.5269}</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\mathcal{X}_{\mathrm{obs}}^{+}=\mathcal{X}_{\mathrm{obs}}\cup\mathcal{X}_{\mathrm{neu}}\qquad\text{(3.5269)}</w:t>
      </w:r>
    </w:p>
    <w:p w:rsidR="00983335" w:rsidRDefault="00983335" w:rsidP="00983335">
      <w:pPr>
        <w:pStyle w:val="StandardWeb"/>
      </w:pPr>
      <w:r>
        <w:t>Die neue Äquivalenzklasse lautet</w:t>
      </w:r>
    </w:p>
    <w:p w:rsidR="00983335" w:rsidRDefault="00983335" w:rsidP="00983335">
      <w:pPr>
        <w:pStyle w:val="berschrift1"/>
      </w:pPr>
      <w:r>
        <w:t>[</w:t>
      </w:r>
      <w:r>
        <w:br/>
        <w:t>[\theta]_{\mathrm{obs}}^{+}</w:t>
      </w:r>
    </w:p>
    <w:p w:rsidR="00983335" w:rsidRDefault="00983335" w:rsidP="00983335">
      <w:pPr>
        <w:pStyle w:val="berschrift1"/>
      </w:pPr>
      <w:r>
        <w:t>\left{</w:t>
      </w:r>
      <w:r>
        <w:br/>
        <w:t>\vartheta</w:t>
      </w:r>
      <w:r>
        <w:br/>
      </w:r>
      <w:r>
        <w:lastRenderedPageBreak/>
        <w:t>;\middle|;</w:t>
      </w:r>
      <w:r>
        <w:br/>
        <w:t>\mathbf{P}_{F}^{+}(\vartheta)</w:t>
      </w:r>
    </w:p>
    <w:p w:rsidR="00983335" w:rsidRDefault="00983335" w:rsidP="00983335">
      <w:pPr>
        <w:pStyle w:val="StandardWeb"/>
      </w:pPr>
      <w:r>
        <w:t>\mathbf{P}_{F}^{+}(\theta)</w:t>
      </w:r>
      <w:r>
        <w:br/>
        <w:t>\right}.</w:t>
      </w:r>
      <w:r>
        <w:br/>
        <w:t>\tag{3.5270}</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[\theta]_{\mathrm{obs}}^{+}=\left\{\vartheta\middle|\mathbf{P}_{F}^{+}(\vartheta)=\mathbf{P}_{F}^{+}(\theta)\right\}\qquad\text{(3.5270)}</w:t>
      </w:r>
    </w:p>
    <w:p w:rsidR="00983335" w:rsidRDefault="00983335" w:rsidP="00983335">
      <w:pPr>
        <w:pStyle w:val="StandardWeb"/>
      </w:pPr>
      <w:r>
        <w:t>Zusätzliche informative Beobachtungen können die Äquivalenzklasse verkleinern:</w:t>
      </w:r>
    </w:p>
    <w:p w:rsidR="00983335" w:rsidRDefault="00983335" w:rsidP="00983335">
      <w:pPr>
        <w:pStyle w:val="StandardWeb"/>
      </w:pPr>
      <w:r>
        <w:t>[</w:t>
      </w:r>
      <w:r>
        <w:br/>
        <w:t>[\theta]</w:t>
      </w:r>
      <w:r>
        <w:rPr>
          <w:rStyle w:val="Hervorhebung"/>
        </w:rPr>
        <w:t>{\mathrm{obs}}^{+}</w:t>
      </w:r>
      <w:r>
        <w:rPr>
          <w:i/>
          <w:iCs/>
        </w:rPr>
        <w:br/>
      </w:r>
      <w:r>
        <w:rPr>
          <w:rStyle w:val="Hervorhebung"/>
        </w:rPr>
        <w:t>\subseteq</w:t>
      </w:r>
      <w:r>
        <w:rPr>
          <w:i/>
          <w:iCs/>
        </w:rPr>
        <w:br/>
      </w:r>
      <w:r>
        <w:rPr>
          <w:rStyle w:val="Hervorhebung"/>
        </w:rPr>
        <w:t>[\theta]</w:t>
      </w:r>
      <w:r>
        <w:t>{\mathrm{obs}}.</w:t>
      </w:r>
      <w:r>
        <w:br/>
        <w:t>\tag{3.5271}</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[\theta]_{\mathrm{obs}}^{+}\subseteq[\theta]_{\mathrm{obs}}\qquad\text{(3.5271)}</w:t>
      </w:r>
    </w:p>
    <w:p w:rsidR="00983335" w:rsidRDefault="00983335" w:rsidP="00983335">
      <w:pPr>
        <w:pStyle w:val="StandardWeb"/>
      </w:pPr>
      <w:r>
        <w:t>Im günstigsten Fall gilt</w:t>
      </w:r>
    </w:p>
    <w:p w:rsidR="00983335" w:rsidRDefault="00983335" w:rsidP="00983335">
      <w:pPr>
        <w:pStyle w:val="berschrift1"/>
      </w:pPr>
      <w:r>
        <w:t>[</w:t>
      </w:r>
      <w:r>
        <w:br/>
        <w:t>[\theta]_{\mathrm{obs}}^{+}</w:t>
      </w:r>
    </w:p>
    <w:p w:rsidR="00983335" w:rsidRDefault="00983335" w:rsidP="00983335">
      <w:pPr>
        <w:pStyle w:val="StandardWeb"/>
      </w:pPr>
      <w:r>
        <w:t>{\theta}.</w:t>
      </w:r>
      <w:r>
        <w:br/>
        <w:t>\tag{3.5272}</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[\theta]_{\mathrm{obs}}^{+}=\{\theta\}\qquad\text{(3.5272)}</w:t>
      </w:r>
    </w:p>
    <w:p w:rsidR="00983335" w:rsidRPr="00AF32B2" w:rsidRDefault="00983335" w:rsidP="00AF32B2">
      <w:pPr>
        <w:pStyle w:val="berschrift4"/>
      </w:pPr>
      <w:r w:rsidRPr="00AF32B2">
        <w:t>3.3.28.22 Experimentelle Anregung</w:t>
      </w:r>
    </w:p>
    <w:p w:rsidR="00983335" w:rsidRDefault="00983335" w:rsidP="00983335">
      <w:pPr>
        <w:pStyle w:val="StandardWeb"/>
      </w:pPr>
      <w:r>
        <w:t>Nicht jeder Beobachtungsinput enthält dieselbe Information über die Parameter.</w:t>
      </w:r>
    </w:p>
    <w:p w:rsidR="00983335" w:rsidRDefault="00983335" w:rsidP="00983335">
      <w:pPr>
        <w:pStyle w:val="StandardWeb"/>
      </w:pPr>
      <w:r>
        <w:t>Eine Eingabe (x) ist für den Parameter (\theta_j) informativ, wenn</w:t>
      </w:r>
    </w:p>
    <w:p w:rsidR="00983335" w:rsidRDefault="00983335" w:rsidP="00983335">
      <w:pPr>
        <w:pStyle w:val="StandardWeb"/>
      </w:pPr>
      <w:r>
        <w:t>[</w:t>
      </w:r>
      <w:r>
        <w:br/>
        <w:t>\frac{</w:t>
      </w:r>
      <w:r>
        <w:br/>
        <w:t>\partial</w:t>
      </w:r>
      <w:r>
        <w:br/>
      </w:r>
      <w:r>
        <w:lastRenderedPageBreak/>
        <w:t>\mathcal{P}_{F}(\theta,x)</w:t>
      </w:r>
      <w:r>
        <w:br/>
        <w:t>}{</w:t>
      </w:r>
      <w:r>
        <w:br/>
        <w:t>\partial</w:t>
      </w:r>
      <w:r>
        <w:br/>
        <w:t>\theta_j</w:t>
      </w:r>
      <w:r>
        <w:br/>
        <w:t>}</w:t>
      </w:r>
      <w:r>
        <w:br/>
        <w:t>\neq</w:t>
      </w:r>
      <w:r>
        <w:br/>
        <w:t>0.</w:t>
      </w:r>
      <w:r>
        <w:br/>
        <w:t>\tag{3.5273}</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\frac{\partial\mathcal{P}_{F}(\theta,x)}{\partial\theta_j}\neq0\qquad\text{(3.5273)}</w:t>
      </w:r>
    </w:p>
    <w:p w:rsidR="00983335" w:rsidRDefault="00983335" w:rsidP="00983335">
      <w:pPr>
        <w:pStyle w:val="StandardWeb"/>
      </w:pPr>
      <w:r>
        <w:t>Eine Eingabemenge ist lokal ausreichend anregend, wenn die zugehörige Sensitivitätsmatrix vollen Spaltenrang besitzt:</w:t>
      </w:r>
    </w:p>
    <w:p w:rsidR="00983335" w:rsidRDefault="00983335" w:rsidP="00983335">
      <w:pPr>
        <w:pStyle w:val="berschrift1"/>
      </w:pPr>
      <w:r>
        <w:t>[</w:t>
      </w:r>
      <w:r>
        <w:br/>
        <w:t>\operatorname{rang}</w:t>
      </w:r>
      <w:r>
        <w:br/>
        <w:t>\left(</w:t>
      </w:r>
      <w:r>
        <w:br/>
        <w:t>S_{\mathcal{X}_{\mathrm{obs}}}(\theta)</w:t>
      </w:r>
      <w:r>
        <w:br/>
        <w:t>\right)</w:t>
      </w:r>
    </w:p>
    <w:p w:rsidR="00983335" w:rsidRDefault="00983335" w:rsidP="00983335">
      <w:pPr>
        <w:pStyle w:val="StandardWeb"/>
      </w:pPr>
      <w:r>
        <w:t>p.</w:t>
      </w:r>
      <w:r>
        <w:br/>
        <w:t>\tag{3.5274}</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\operatorname{rang}\left(S_{\mathcal{X}_{\mathrm{obs}}}(\theta)\right)=p\qquad\text{(3.5274)}</w:t>
      </w:r>
    </w:p>
    <w:p w:rsidR="00983335" w:rsidRDefault="00983335" w:rsidP="00983335">
      <w:pPr>
        <w:pStyle w:val="StandardWeb"/>
      </w:pPr>
      <w:r>
        <w:t>Damit wird Identifizierbarkeit auch zu einer Frage der Versuchs- und Beobachtungsplanung.</w:t>
      </w:r>
    </w:p>
    <w:p w:rsidR="00983335" w:rsidRPr="00AF32B2" w:rsidRDefault="00983335" w:rsidP="00AF32B2">
      <w:pPr>
        <w:pStyle w:val="berschrift4"/>
      </w:pPr>
      <w:r w:rsidRPr="00AF32B2">
        <w:t>3.3.28.23 Identifizierbarkeitsgewinn</w:t>
      </w:r>
    </w:p>
    <w:p w:rsidR="00983335" w:rsidRDefault="00983335" w:rsidP="00983335">
      <w:pPr>
        <w:pStyle w:val="StandardWeb"/>
      </w:pPr>
      <w:r>
        <w:t>Der Identifizierbarkeitsgewinn einer zusätzlichen Beobachtungsmenge kann durch die Verringerung der Äquivalenzklasse beschrieben werden:</w:t>
      </w:r>
    </w:p>
    <w:p w:rsidR="00983335" w:rsidRDefault="00983335" w:rsidP="00983335">
      <w:pPr>
        <w:pStyle w:val="berschrift1"/>
      </w:pPr>
      <w:r>
        <w:t>[</w:t>
      </w:r>
      <w:r>
        <w:br/>
        <w:t>G_{\mathrm{ID}}</w:t>
      </w:r>
    </w:p>
    <w:p w:rsidR="00983335" w:rsidRDefault="00983335" w:rsidP="00983335">
      <w:pPr>
        <w:pStyle w:val="berschrift2"/>
      </w:pPr>
      <w:r>
        <w:lastRenderedPageBreak/>
        <w:t>\left|</w:t>
      </w:r>
      <w:r>
        <w:br/>
        <w:t>[\theta]_{\mathrm{obs}}</w:t>
      </w:r>
      <w:r>
        <w:br/>
        <w:t>\right|</w:t>
      </w:r>
    </w:p>
    <w:p w:rsidR="00983335" w:rsidRDefault="00983335" w:rsidP="00983335">
      <w:pPr>
        <w:pStyle w:val="StandardWeb"/>
      </w:pPr>
      <w:r>
        <w:t>\left|</w:t>
      </w:r>
      <w:r>
        <w:br/>
        <w:t>[\theta]_{\mathrm{obs}}^{+}</w:t>
      </w:r>
      <w:r>
        <w:br/>
        <w:t>\right|.</w:t>
      </w:r>
      <w:r>
        <w:br/>
        <w:t>\tag{3.5275}</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G_{\mathrm{ID}}=\left|[\theta]_{\mathrm{obs}}\right|-\left|[\theta]_{\mathrm{obs}}^{+}\right|\qquad\text{(3.5275)}</w:t>
      </w:r>
    </w:p>
    <w:p w:rsidR="00983335" w:rsidRDefault="00983335" w:rsidP="00983335">
      <w:pPr>
        <w:pStyle w:val="StandardWeb"/>
      </w:pPr>
      <w:r>
        <w:t>Für endliche Äquivalenzklassen gilt</w:t>
      </w:r>
    </w:p>
    <w:p w:rsidR="00983335" w:rsidRDefault="00983335" w:rsidP="00983335">
      <w:pPr>
        <w:pStyle w:val="StandardWeb"/>
      </w:pPr>
      <w:r>
        <w:t>[</w:t>
      </w:r>
      <w:r>
        <w:br/>
        <w:t>G_{\mathrm{ID}}</w:t>
      </w:r>
      <w:r>
        <w:br/>
        <w:t>\geq</w:t>
      </w:r>
      <w:r>
        <w:br/>
        <w:t>0.</w:t>
      </w:r>
      <w:r>
        <w:br/>
        <w:t>\tag{3.5276}</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G_{\mathrm{ID}}\geq0\qquad\text{(3.5276)}</w:t>
      </w:r>
    </w:p>
    <w:p w:rsidR="00983335" w:rsidRDefault="00983335" w:rsidP="00983335">
      <w:pPr>
        <w:pStyle w:val="StandardWeb"/>
      </w:pPr>
      <w:r>
        <w:t>Bei kontinuierlichen Äquivalenzmengen müssen anstelle der Kardinalität geeignete geometrische oder informationsbezogene Maße verwendet werden.</w:t>
      </w:r>
    </w:p>
    <w:p w:rsidR="00983335" w:rsidRPr="00AF32B2" w:rsidRDefault="00983335" w:rsidP="00AF32B2">
      <w:pPr>
        <w:pStyle w:val="berschrift4"/>
      </w:pPr>
      <w:r w:rsidRPr="00AF32B2">
        <w:t>3.3.28.24 Regularisierung</w:t>
      </w:r>
    </w:p>
    <w:p w:rsidR="00983335" w:rsidRDefault="00983335" w:rsidP="00983335">
      <w:pPr>
        <w:pStyle w:val="StandardWeb"/>
      </w:pPr>
      <w:r>
        <w:t>Eine Regularisierung verändert die Zielfunktion:</w:t>
      </w:r>
    </w:p>
    <w:p w:rsidR="00983335" w:rsidRDefault="00983335" w:rsidP="00983335">
      <w:pPr>
        <w:pStyle w:val="berschrift1"/>
      </w:pPr>
      <w:r>
        <w:t>[</w:t>
      </w:r>
      <w:r>
        <w:br/>
        <w:t>\mathcal{L}_{\lambda}(\theta)</w:t>
      </w:r>
    </w:p>
    <w:p w:rsidR="00983335" w:rsidRDefault="00983335" w:rsidP="00983335">
      <w:pPr>
        <w:pStyle w:val="StandardWeb"/>
      </w:pPr>
      <w:r>
        <w:t>\mathcal{L}_{\mathrm{data}}(\theta)</w:t>
      </w:r>
      <w:r>
        <w:br/>
        <w:t>+</w:t>
      </w:r>
      <w:r>
        <w:br/>
        <w:t>\lambda</w:t>
      </w:r>
      <w:r>
        <w:br/>
        <w:t>\mathcal{R}(\theta).</w:t>
      </w:r>
      <w:r>
        <w:br/>
        <w:t>\tag{3.5277}</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lastRenderedPageBreak/>
        <w:t>\mathcal{L}_{\lambda}(\theta)=\mathcal{L}_{\mathrm{data}}(\theta)+\lambda\mathcal{R}(\theta)\qquad\text{(3.5277)}</w:t>
      </w:r>
    </w:p>
    <w:p w:rsidR="00983335" w:rsidRDefault="00983335" w:rsidP="00983335">
      <w:pPr>
        <w:pStyle w:val="StandardWeb"/>
      </w:pPr>
      <w:r>
        <w:t>Die regularisierte Schätzung lautet</w:t>
      </w:r>
    </w:p>
    <w:p w:rsidR="00983335" w:rsidRDefault="00983335" w:rsidP="00983335">
      <w:pPr>
        <w:pStyle w:val="berschrift1"/>
      </w:pPr>
      <w:r>
        <w:t>[</w:t>
      </w:r>
      <w:r>
        <w:br/>
        <w:t>\widehat{\theta}_{\lambda}</w:t>
      </w:r>
    </w:p>
    <w:p w:rsidR="00983335" w:rsidRDefault="00983335" w:rsidP="00983335">
      <w:pPr>
        <w:pStyle w:val="StandardWeb"/>
      </w:pPr>
      <w:r>
        <w:t>\operatorname*{arg,min}</w:t>
      </w:r>
      <w:r>
        <w:rPr>
          <w:rStyle w:val="Hervorhebung"/>
        </w:rPr>
        <w:t>{\theta\in\Theta}</w:t>
      </w:r>
      <w:r>
        <w:rPr>
          <w:i/>
          <w:iCs/>
        </w:rPr>
        <w:br/>
      </w:r>
      <w:r>
        <w:rPr>
          <w:rStyle w:val="Hervorhebung"/>
        </w:rPr>
        <w:t>\mathcal{L}</w:t>
      </w:r>
      <w:r>
        <w:t>{\lambda}(\theta).</w:t>
      </w:r>
      <w:r>
        <w:br/>
        <w:t>\tag{3.5278}</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\widehat{\theta}_{\lambda}=\operatorname*{arg\,min}_{\theta\in\Theta}\mathcal{L}_{\lambda}(\theta)\qquad\text{(3.5278)}</w:t>
      </w:r>
    </w:p>
    <w:p w:rsidR="00983335" w:rsidRDefault="00983335" w:rsidP="00983335">
      <w:pPr>
        <w:pStyle w:val="StandardWeb"/>
      </w:pPr>
      <w:r>
        <w:t>Regularisierung kann eine numerisch eindeutige Lösung erzeugen, obwohl das unregularisierte Modell nicht identifizierbar ist.</w:t>
      </w:r>
    </w:p>
    <w:p w:rsidR="00983335" w:rsidRDefault="00983335" w:rsidP="00983335">
      <w:pPr>
        <w:pStyle w:val="StandardWeb"/>
      </w:pPr>
      <w:r>
        <w:t>Daher gilt nicht:</w:t>
      </w:r>
    </w:p>
    <w:p w:rsidR="00983335" w:rsidRDefault="00983335" w:rsidP="00983335">
      <w:pPr>
        <w:pStyle w:val="StandardWeb"/>
      </w:pPr>
      <w:r>
        <w:t>[</w:t>
      </w:r>
      <w:r>
        <w:br/>
        <w:t>\widehat{\theta}_{\lambda}</w:t>
      </w:r>
      <w:r>
        <w:br/>
        <w:t>\text{ eindeutig}</w:t>
      </w:r>
      <w:r>
        <w:br/>
        <w:t>\Rightarrow</w:t>
      </w:r>
      <w:r>
        <w:br/>
        <w:t>\theta</w:t>
      </w:r>
      <w:r>
        <w:br/>
        <w:t>\text{ empirisch identifizierbar}.</w:t>
      </w:r>
      <w:r>
        <w:br/>
        <w:t>\tag{3.5279}</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\widehat{\theta}_{\lambda}\text{ eindeutig}\Rightarrow\theta\text{ empirisch identifizierbar}\qquad\text{(3.5279)}</w:t>
      </w:r>
    </w:p>
    <w:p w:rsidR="00983335" w:rsidRDefault="00983335" w:rsidP="00983335">
      <w:pPr>
        <w:pStyle w:val="StandardWeb"/>
      </w:pPr>
      <w:r>
        <w:t>Die Eindeutigkeit kann durch die Zusatzannahme (\mathcal{R}) erzeugt worden sein.</w:t>
      </w:r>
    </w:p>
    <w:p w:rsidR="00983335" w:rsidRPr="00AF32B2" w:rsidRDefault="00983335" w:rsidP="00AF32B2">
      <w:pPr>
        <w:pStyle w:val="berschrift4"/>
      </w:pPr>
      <w:r w:rsidRPr="00AF32B2">
        <w:t>3.3.28.25 A-priori-Bedingungen</w:t>
      </w:r>
    </w:p>
    <w:p w:rsidR="00983335" w:rsidRDefault="00983335" w:rsidP="00983335">
      <w:pPr>
        <w:pStyle w:val="StandardWeb"/>
      </w:pPr>
      <w:r>
        <w:t>Eine zusätzliche Parameterbedingung kann den Parameterraum einschränken:</w:t>
      </w:r>
    </w:p>
    <w:p w:rsidR="00983335" w:rsidRDefault="00983335" w:rsidP="00983335">
      <w:pPr>
        <w:pStyle w:val="berschrift1"/>
      </w:pPr>
      <w:r>
        <w:t>[</w:t>
      </w:r>
      <w:r>
        <w:br/>
        <w:t>\Theta^{\prime}</w:t>
      </w:r>
    </w:p>
    <w:p w:rsidR="00983335" w:rsidRDefault="00983335" w:rsidP="00983335">
      <w:pPr>
        <w:pStyle w:val="StandardWeb"/>
      </w:pPr>
      <w:r>
        <w:t>\left{</w:t>
      </w:r>
      <w:r>
        <w:br/>
        <w:t>\theta\in\Theta</w:t>
      </w:r>
      <w:r>
        <w:br/>
        <w:t>;\middle|;</w:t>
      </w:r>
      <w:r>
        <w:br/>
      </w:r>
      <w:r>
        <w:lastRenderedPageBreak/>
        <w:t>C(\theta)=1</w:t>
      </w:r>
      <w:r>
        <w:br/>
        <w:t>\right}.</w:t>
      </w:r>
      <w:r>
        <w:br/>
        <w:t>\tag{3.5280}</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\Theta^{\prime}=\left\{\theta\in\Theta\middle|C(\theta)=1\right\}\qquad\text{(3.5280)}</w:t>
      </w:r>
    </w:p>
    <w:p w:rsidR="00983335" w:rsidRDefault="00983335" w:rsidP="00983335">
      <w:pPr>
        <w:pStyle w:val="StandardWeb"/>
      </w:pPr>
      <w:r>
        <w:t>Dadurch kann gelten</w:t>
      </w:r>
    </w:p>
    <w:p w:rsidR="00983335" w:rsidRDefault="00983335" w:rsidP="00983335">
      <w:pPr>
        <w:pStyle w:val="berschrift1"/>
      </w:pPr>
      <w:r>
        <w:t>[</w:t>
      </w:r>
      <w:r>
        <w:br/>
        <w:t>[\theta]_{\mathrm{obs}}</w:t>
      </w:r>
      <w:r>
        <w:br/>
        <w:t>\cap</w:t>
      </w:r>
      <w:r>
        <w:br/>
        <w:t>\Theta^{\prime}</w:t>
      </w:r>
    </w:p>
    <w:p w:rsidR="00983335" w:rsidRDefault="00983335" w:rsidP="00983335">
      <w:pPr>
        <w:pStyle w:val="StandardWeb"/>
      </w:pPr>
      <w:r>
        <w:t>{\theta}.</w:t>
      </w:r>
      <w:r>
        <w:br/>
        <w:t>\tag{3.5281}</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[\theta]_{\mathrm{obs}}\cap\Theta^{\prime}=\{\theta\}\qquad\text{(3.5281)}</w:t>
      </w:r>
    </w:p>
    <w:p w:rsidR="00983335" w:rsidRDefault="00983335" w:rsidP="00983335">
      <w:pPr>
        <w:pStyle w:val="StandardWeb"/>
      </w:pPr>
      <w:r>
        <w:t>Die Eindeutigkeit beruht dann gemeinsam auf den Beobachtungen und der Zusatzbedingung.</w:t>
      </w:r>
    </w:p>
    <w:p w:rsidR="00983335" w:rsidRDefault="00983335" w:rsidP="00983335">
      <w:pPr>
        <w:pStyle w:val="StandardWeb"/>
      </w:pPr>
      <w:r>
        <w:rPr>
          <w:rStyle w:val="Fett"/>
        </w:rPr>
        <w:t>Eigenleistung des FRZK</w:t>
      </w:r>
    </w:p>
    <w:p w:rsidR="00983335" w:rsidRDefault="00983335" w:rsidP="00983335">
      <w:pPr>
        <w:pStyle w:val="StandardWeb"/>
      </w:pPr>
      <w:r>
        <w:t>Ich fordere, dass durch Regularisierung, Vorwissen oder Parameterbeschränkungen erzeugte Eindeutigkeit nicht als rein empirische Identifizierbarkeit bezeichnet wird. Die Herkunft der Einschränkung muss dokumentiert werden.</w:t>
      </w:r>
    </w:p>
    <w:p w:rsidR="00983335" w:rsidRPr="00AF32B2" w:rsidRDefault="00983335" w:rsidP="00AF32B2">
      <w:pPr>
        <w:pStyle w:val="berschrift4"/>
      </w:pPr>
      <w:r w:rsidRPr="00AF32B2">
        <w:t>3.3.28.26 Identifizierbarkeit der Operationalisierung</w:t>
      </w:r>
    </w:p>
    <w:p w:rsidR="00983335" w:rsidRDefault="00983335" w:rsidP="00983335">
      <w:pPr>
        <w:pStyle w:val="StandardWeb"/>
      </w:pPr>
      <w:r>
        <w:t>Auch die Operationalisierungsabbildung kann nicht eindeutig sein.</w:t>
      </w:r>
    </w:p>
    <w:p w:rsidR="00983335" w:rsidRDefault="00983335" w:rsidP="00983335">
      <w:pPr>
        <w:pStyle w:val="StandardWeb"/>
      </w:pPr>
      <w:r>
        <w:t>Seien</w:t>
      </w:r>
    </w:p>
    <w:p w:rsidR="00983335" w:rsidRDefault="00983335" w:rsidP="00983335">
      <w:pPr>
        <w:pStyle w:val="StandardWeb"/>
      </w:pPr>
      <w:r>
        <w:t>[</w:t>
      </w:r>
      <w:r>
        <w:br/>
        <w:t>\mathcal{O}</w:t>
      </w:r>
      <w:r>
        <w:rPr>
          <w:rStyle w:val="Hervorhebung"/>
        </w:rPr>
        <w:t>{F}^{(1)}</w:t>
      </w:r>
      <w:r>
        <w:rPr>
          <w:i/>
          <w:iCs/>
        </w:rPr>
        <w:br/>
      </w:r>
      <w:r>
        <w:rPr>
          <w:rStyle w:val="Hervorhebung"/>
        </w:rPr>
        <w:t>\neq</w:t>
      </w:r>
      <w:r>
        <w:rPr>
          <w:i/>
          <w:iCs/>
        </w:rPr>
        <w:br/>
      </w:r>
      <w:r>
        <w:rPr>
          <w:rStyle w:val="Hervorhebung"/>
        </w:rPr>
        <w:t>\mathcal{O}</w:t>
      </w:r>
      <w:r>
        <w:t>{F}^{(2)}</w:t>
      </w:r>
      <w:r>
        <w:br/>
        <w:t>\tag{3.5282}</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\mathcal{O}_{F}^{(1)}\neq\mathcal{O}_{F}^{(2)}\qquad\text{(3.5282)}</w:t>
      </w:r>
    </w:p>
    <w:p w:rsidR="00983335" w:rsidRDefault="00983335" w:rsidP="00983335">
      <w:pPr>
        <w:pStyle w:val="StandardWeb"/>
      </w:pPr>
      <w:r>
        <w:lastRenderedPageBreak/>
        <w:t>zwei zulässige Operationalisierungen.</w:t>
      </w:r>
    </w:p>
    <w:p w:rsidR="00983335" w:rsidRDefault="00983335" w:rsidP="00983335">
      <w:pPr>
        <w:pStyle w:val="StandardWeb"/>
      </w:pPr>
      <w:r>
        <w:t>Sie können dieselben Modellvorhersagen erzeugen:</w:t>
      </w:r>
    </w:p>
    <w:p w:rsidR="00983335" w:rsidRDefault="00983335" w:rsidP="00983335">
      <w:pPr>
        <w:pStyle w:val="berschrift1"/>
      </w:pPr>
      <w:r>
        <w:t>[</w:t>
      </w:r>
      <w:r>
        <w:br/>
        <w:t>\mathbf{P}</w:t>
      </w:r>
      <w:r>
        <w:rPr>
          <w:rStyle w:val="Hervorhebung"/>
        </w:rPr>
        <w:t>{F}</w:t>
      </w:r>
      <w:r>
        <w:rPr>
          <w:i/>
          <w:iCs/>
        </w:rPr>
        <w:br/>
      </w:r>
      <w:r>
        <w:rPr>
          <w:rStyle w:val="Hervorhebung"/>
        </w:rPr>
        <w:t>\circ</w:t>
      </w:r>
      <w:r>
        <w:rPr>
          <w:i/>
          <w:iCs/>
        </w:rPr>
        <w:br/>
      </w:r>
      <w:r>
        <w:rPr>
          <w:rStyle w:val="Hervorhebung"/>
        </w:rPr>
        <w:t>\mathcal{O}</w:t>
      </w:r>
      <w:r>
        <w:t>{F}^{(1)}</w:t>
      </w:r>
    </w:p>
    <w:p w:rsidR="00983335" w:rsidRDefault="00983335" w:rsidP="00983335">
      <w:pPr>
        <w:pStyle w:val="StandardWeb"/>
      </w:pPr>
      <w:r>
        <w:t>\mathbf{P}</w:t>
      </w:r>
      <w:r>
        <w:rPr>
          <w:rStyle w:val="Hervorhebung"/>
        </w:rPr>
        <w:t>{F}</w:t>
      </w:r>
      <w:r>
        <w:rPr>
          <w:i/>
          <w:iCs/>
        </w:rPr>
        <w:br/>
      </w:r>
      <w:r>
        <w:rPr>
          <w:rStyle w:val="Hervorhebung"/>
        </w:rPr>
        <w:t>\circ</w:t>
      </w:r>
      <w:r>
        <w:rPr>
          <w:i/>
          <w:iCs/>
        </w:rPr>
        <w:br/>
      </w:r>
      <w:r>
        <w:rPr>
          <w:rStyle w:val="Hervorhebung"/>
        </w:rPr>
        <w:t>\mathcal{O}</w:t>
      </w:r>
      <w:r>
        <w:t>{F}^{(2)}.</w:t>
      </w:r>
      <w:r>
        <w:br/>
        <w:t>\tag{3.5283}</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\mathbf{P}_{F}\circ\mathcal{O}_{F}^{(1)}=\mathbf{P}_{F}\circ\mathcal{O}_{F}^{(2)}\qquad\text{(3.5283)}</w:t>
      </w:r>
    </w:p>
    <w:p w:rsidR="00983335" w:rsidRDefault="00983335" w:rsidP="00983335">
      <w:pPr>
        <w:pStyle w:val="StandardWeb"/>
      </w:pPr>
      <w:r>
        <w:t>Dann kann aus den betrachteten Zielgrößen nicht entschieden werden, welche Operationalisierung angemessener ist.</w:t>
      </w:r>
    </w:p>
    <w:p w:rsidR="00983335" w:rsidRPr="00AF32B2" w:rsidRDefault="00983335" w:rsidP="00AF32B2">
      <w:pPr>
        <w:pStyle w:val="berschrift4"/>
      </w:pPr>
      <w:r w:rsidRPr="00AF32B2">
        <w:t>3.3.28.27 Empirische Unterscheidbarkeit zweier Modelle</w:t>
      </w:r>
    </w:p>
    <w:p w:rsidR="00983335" w:rsidRDefault="00983335" w:rsidP="00983335">
      <w:pPr>
        <w:pStyle w:val="StandardWeb"/>
      </w:pPr>
      <w:r>
        <w:t>Zwei Modelle sind empirisch unterscheidbar, wenn mindestens eine zulässige Beobachtung existiert, für die sie unterschiedliche Vorhersagen erzeugen:</w:t>
      </w:r>
    </w:p>
    <w:p w:rsidR="00983335" w:rsidRDefault="00983335" w:rsidP="00983335">
      <w:pPr>
        <w:pStyle w:val="StandardWeb"/>
      </w:pPr>
      <w:r>
        <w:t>[</w:t>
      </w:r>
      <w:r>
        <w:br/>
        <w:t>\exists</w:t>
      </w:r>
      <w:r>
        <w:br/>
        <w:t>x\in\mathcal{X}</w:t>
      </w:r>
      <w:r>
        <w:rPr>
          <w:rStyle w:val="Hervorhebung"/>
        </w:rPr>
        <w:t>{\mathrm{zul}}:</w:t>
      </w:r>
      <w:r>
        <w:rPr>
          <w:i/>
          <w:iCs/>
        </w:rPr>
        <w:br/>
      </w:r>
      <w:r>
        <w:rPr>
          <w:rStyle w:val="Hervorhebung"/>
        </w:rPr>
        <w:t>\mathcal{P}</w:t>
      </w:r>
      <w:r>
        <w:t>{F}</w:t>
      </w:r>
      <w:r>
        <w:br/>
        <w:t>\left(</w:t>
      </w:r>
      <w:r>
        <w:br/>
        <w:t>\mathcal{M}</w:t>
      </w:r>
      <w:r>
        <w:rPr>
          <w:rStyle w:val="Hervorhebung"/>
        </w:rPr>
        <w:t>1,x</w:t>
      </w:r>
      <w:r>
        <w:rPr>
          <w:i/>
          <w:iCs/>
        </w:rPr>
        <w:br/>
      </w:r>
      <w:r>
        <w:rPr>
          <w:rStyle w:val="Hervorhebung"/>
        </w:rPr>
        <w:t>\right)</w:t>
      </w:r>
      <w:r>
        <w:rPr>
          <w:i/>
          <w:iCs/>
        </w:rPr>
        <w:br/>
      </w:r>
      <w:r>
        <w:rPr>
          <w:rStyle w:val="Hervorhebung"/>
        </w:rPr>
        <w:t>\neq</w:t>
      </w:r>
      <w:r>
        <w:rPr>
          <w:i/>
          <w:iCs/>
        </w:rPr>
        <w:br/>
      </w:r>
      <w:r>
        <w:rPr>
          <w:rStyle w:val="Hervorhebung"/>
        </w:rPr>
        <w:t>\mathcal{P}</w:t>
      </w:r>
      <w:r>
        <w:t>{F}</w:t>
      </w:r>
      <w:r>
        <w:br/>
        <w:t>\left(</w:t>
      </w:r>
      <w:r>
        <w:br/>
        <w:t>\mathcal{M}_2,x</w:t>
      </w:r>
      <w:r>
        <w:br/>
        <w:t>\right).</w:t>
      </w:r>
      <w:r>
        <w:br/>
        <w:t>\tag{3.5284}</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\exists x\in\mathcal{X}_{\mathrm{zul}}:\mathcal{P}_{F}\left(\mathcal{M}_1,x\right)\neq\mathcal{P}_{F}\left(\mathcal{M}_2,x\right)\qquad\text{(3.5284)}</w:t>
      </w:r>
    </w:p>
    <w:p w:rsidR="00983335" w:rsidRDefault="00983335" w:rsidP="00983335">
      <w:pPr>
        <w:pStyle w:val="StandardWeb"/>
      </w:pPr>
      <w:r>
        <w:lastRenderedPageBreak/>
        <w:t>Sind die Vorhersagen für alle zulässigen Beobachtungen gleich, gilt</w:t>
      </w:r>
    </w:p>
    <w:p w:rsidR="00983335" w:rsidRDefault="00983335" w:rsidP="00983335">
      <w:pPr>
        <w:pStyle w:val="berschrift1"/>
      </w:pPr>
      <w:r>
        <w:t>[</w:t>
      </w:r>
      <w:r>
        <w:br/>
        <w:t>\forall</w:t>
      </w:r>
      <w:r>
        <w:br/>
        <w:t>x\in\mathcal{X}</w:t>
      </w:r>
      <w:r>
        <w:rPr>
          <w:rStyle w:val="Hervorhebung"/>
        </w:rPr>
        <w:t>{\mathrm{zul}}:</w:t>
      </w:r>
      <w:r>
        <w:rPr>
          <w:i/>
          <w:iCs/>
        </w:rPr>
        <w:br/>
      </w:r>
      <w:r>
        <w:rPr>
          <w:rStyle w:val="Hervorhebung"/>
        </w:rPr>
        <w:t>\mathcal{P}</w:t>
      </w:r>
      <w:r>
        <w:t>{F}</w:t>
      </w:r>
      <w:r>
        <w:br/>
        <w:t>\left(</w:t>
      </w:r>
      <w:r>
        <w:br/>
        <w:t>\mathcal{M}_1,x</w:t>
      </w:r>
      <w:r>
        <w:br/>
        <w:t>\right)</w:t>
      </w:r>
    </w:p>
    <w:p w:rsidR="00983335" w:rsidRDefault="00983335" w:rsidP="00983335">
      <w:pPr>
        <w:pStyle w:val="StandardWeb"/>
      </w:pPr>
      <w:r>
        <w:t>\mathcal{P}_{F}</w:t>
      </w:r>
      <w:r>
        <w:br/>
        <w:t>\left(</w:t>
      </w:r>
      <w:r>
        <w:br/>
        <w:t>\mathcal{M}_2,x</w:t>
      </w:r>
      <w:r>
        <w:br/>
        <w:t>\right).</w:t>
      </w:r>
      <w:r>
        <w:br/>
        <w:t>\tag{3.5285}</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\forall x\in\mathcal{X}_{\mathrm{zul}}:\mathcal{P}_{F}\left(\mathcal{M}_1,x\right)=\mathcal{P}_{F}\left(\mathcal{M}_2,x\right)\qquad\text{(3.5285)}</w:t>
      </w:r>
    </w:p>
    <w:p w:rsidR="00983335" w:rsidRDefault="00983335" w:rsidP="00983335">
      <w:pPr>
        <w:pStyle w:val="StandardWeb"/>
      </w:pPr>
      <w:r>
        <w:t>Dann sind die Modelle bezüglich des betrachteten Beobachtungssystems empirisch äquivalent.</w:t>
      </w:r>
    </w:p>
    <w:p w:rsidR="00983335" w:rsidRPr="00AF32B2" w:rsidRDefault="00983335" w:rsidP="00AF32B2">
      <w:pPr>
        <w:pStyle w:val="berschrift4"/>
      </w:pPr>
      <w:r w:rsidRPr="00AF32B2">
        <w:t>3.3.28.28 Trennende Beobachtung</w:t>
      </w:r>
    </w:p>
    <w:p w:rsidR="00983335" w:rsidRDefault="00983335" w:rsidP="00983335">
      <w:pPr>
        <w:pStyle w:val="StandardWeb"/>
      </w:pPr>
      <w:r>
        <w:t>Eine Beobachtung (x^\ast) heißt trennend für zwei Modelle, wenn</w:t>
      </w:r>
    </w:p>
    <w:p w:rsidR="00983335" w:rsidRDefault="00983335" w:rsidP="00983335">
      <w:pPr>
        <w:pStyle w:val="StandardWeb"/>
      </w:pPr>
      <w:r>
        <w:t>[</w:t>
      </w:r>
      <w:r>
        <w:br/>
        <w:t>\mathcal{P}_{F}</w:t>
      </w:r>
      <w:r>
        <w:br/>
        <w:t>\left(</w:t>
      </w:r>
      <w:r>
        <w:br/>
        <w:t>\mathcal{M}</w:t>
      </w:r>
      <w:r>
        <w:rPr>
          <w:rStyle w:val="Hervorhebung"/>
        </w:rPr>
        <w:t>1,x^\ast</w:t>
      </w:r>
      <w:r>
        <w:rPr>
          <w:i/>
          <w:iCs/>
        </w:rPr>
        <w:br/>
      </w:r>
      <w:r>
        <w:rPr>
          <w:rStyle w:val="Hervorhebung"/>
        </w:rPr>
        <w:t>\right)</w:t>
      </w:r>
      <w:r>
        <w:rPr>
          <w:i/>
          <w:iCs/>
        </w:rPr>
        <w:br/>
      </w:r>
      <w:r>
        <w:rPr>
          <w:rStyle w:val="Hervorhebung"/>
        </w:rPr>
        <w:t>\neq</w:t>
      </w:r>
      <w:r>
        <w:rPr>
          <w:i/>
          <w:iCs/>
        </w:rPr>
        <w:br/>
      </w:r>
      <w:r>
        <w:rPr>
          <w:rStyle w:val="Hervorhebung"/>
        </w:rPr>
        <w:t>\mathcal{P}</w:t>
      </w:r>
      <w:r>
        <w:t>{F}</w:t>
      </w:r>
      <w:r>
        <w:br/>
        <w:t>\left(</w:t>
      </w:r>
      <w:r>
        <w:br/>
        <w:t>\mathcal{M}_2,x^\ast</w:t>
      </w:r>
      <w:r>
        <w:br/>
        <w:t>\right).</w:t>
      </w:r>
      <w:r>
        <w:br/>
        <w:t>\tag{3.5286}</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lastRenderedPageBreak/>
        <w:t>\mathcal{P}_{F}\left(\mathcal{M}_1,x^\ast\right)\neq\mathcal{P}_{F}\left(\mathcal{M}_2,x^\ast\right)\qquad\text{(3.5286)}</w:t>
      </w:r>
    </w:p>
    <w:p w:rsidR="00983335" w:rsidRDefault="00983335" w:rsidP="00983335">
      <w:pPr>
        <w:pStyle w:val="StandardWeb"/>
      </w:pPr>
      <w:r>
        <w:t>Unter Messfehlern muss die Vorhersagedifferenz ausreichend groß sein:</w:t>
      </w:r>
    </w:p>
    <w:p w:rsidR="00983335" w:rsidRDefault="00983335" w:rsidP="00983335">
      <w:pPr>
        <w:pStyle w:val="StandardWeb"/>
      </w:pPr>
      <w:r>
        <w:t>[</w:t>
      </w:r>
      <w:r>
        <w:br/>
        <w:t>\Delta_{\mathrm{emp}}</w:t>
      </w:r>
      <w:r>
        <w:br/>
        <w:t>\left(</w:t>
      </w:r>
      <w:r>
        <w:br/>
        <w:t>\widehat{y}_1,</w:t>
      </w:r>
      <w:r>
        <w:br/>
        <w:t>\widehat{y}_2</w:t>
      </w:r>
      <w:r>
        <w:br/>
        <w:t>\right)</w:t>
      </w:r>
    </w:p>
    <w:p w:rsidR="00983335" w:rsidRDefault="00983335" w:rsidP="00983335">
      <w:pPr>
        <w:pStyle w:val="StandardWeb"/>
      </w:pPr>
      <w:r>
        <w:t>\varepsilon_{\mathrm{trenn}}.</w:t>
      </w:r>
      <w:r>
        <w:br/>
        <w:t>\tag{3.5287}</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\Delta_{\mathrm{emp}}\left(\widehat{y}_1,\widehat{y}_2\right)&gt;\varepsilon_{\mathrm{trenn}}\qquad\text{(3.5287)}</w:t>
      </w:r>
    </w:p>
    <w:p w:rsidR="00983335" w:rsidRDefault="00983335" w:rsidP="00983335">
      <w:pPr>
        <w:pStyle w:val="StandardWeb"/>
      </w:pPr>
      <w:r>
        <w:t>Eine theoretisch unterschiedliche Vorhersage kann praktisch nicht unterscheidbar sein, wenn sie unterhalb der Mess- oder Entscheidungstoleranz liegt.</w:t>
      </w:r>
    </w:p>
    <w:p w:rsidR="00983335" w:rsidRPr="00AF32B2" w:rsidRDefault="00983335" w:rsidP="00AF32B2">
      <w:pPr>
        <w:pStyle w:val="berschrift4"/>
      </w:pPr>
      <w:r w:rsidRPr="00AF32B2">
        <w:t>3.3.28.29 Identifizierbarkeitsstufen</w:t>
      </w:r>
    </w:p>
    <w:p w:rsidR="00983335" w:rsidRDefault="00983335" w:rsidP="00983335">
      <w:pPr>
        <w:pStyle w:val="StandardWeb"/>
      </w:pPr>
      <w:r>
        <w:t>Ich unterscheide die folgenden Identifizierbarkeitsstufen:</w:t>
      </w:r>
    </w:p>
    <w:p w:rsidR="00983335" w:rsidRDefault="00983335" w:rsidP="00983335">
      <w:pPr>
        <w:pStyle w:val="berschrift1"/>
      </w:pPr>
      <w:r>
        <w:t>[</w:t>
      </w:r>
      <w:r>
        <w:br/>
        <w:t>\mathfrak{L}_{\mathrm{ID}}</w:t>
      </w:r>
    </w:p>
    <w:p w:rsidR="00983335" w:rsidRDefault="00983335" w:rsidP="00983335">
      <w:pPr>
        <w:pStyle w:val="StandardWeb"/>
      </w:pPr>
      <w:r>
        <w:t>\left{</w:t>
      </w:r>
      <w:r>
        <w:br/>
        <w:t>\mathbf{global},</w:t>
      </w:r>
      <w:r>
        <w:br/>
        <w:t>\mathbf{lokal},</w:t>
      </w:r>
      <w:r>
        <w:br/>
        <w:t>\mathbf{strukturell},</w:t>
      </w:r>
      <w:r>
        <w:br/>
        <w:t>\mathbf{praktisch},</w:t>
      </w:r>
      <w:r>
        <w:br/>
        <w:t>\mathbf{nichtidentifizierbar}</w:t>
      </w:r>
      <w:r>
        <w:br/>
        <w:t>\right}.</w:t>
      </w:r>
      <w:r>
        <w:br/>
        <w:t>\tag{3.5288}</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\mathfrak{L}_{\mathrm{ID}}=\left\{\mathbf{global},\mathbf{lokal},\mathbf{strukturell},\mathbf{praktisch},\mathbf{nichtidentifizierbar}\right\}\qquad\text{(3.5288)}</w:t>
      </w:r>
    </w:p>
    <w:p w:rsidR="00983335" w:rsidRDefault="00983335" w:rsidP="00983335">
      <w:pPr>
        <w:pStyle w:val="StandardWeb"/>
      </w:pPr>
      <w:r>
        <w:t>Die Zuordnungsabbildung lautet</w:t>
      </w:r>
    </w:p>
    <w:p w:rsidR="00983335" w:rsidRDefault="00983335" w:rsidP="00983335">
      <w:pPr>
        <w:pStyle w:val="StandardWeb"/>
      </w:pPr>
      <w:r>
        <w:t>[</w:t>
      </w:r>
      <w:r>
        <w:br/>
        <w:t>\operatorname{Stufe}</w:t>
      </w:r>
      <w:r>
        <w:rPr>
          <w:rStyle w:val="Hervorhebung"/>
        </w:rPr>
        <w:t>{\mathrm{ID}}:</w:t>
      </w:r>
      <w:r>
        <w:rPr>
          <w:i/>
          <w:iCs/>
        </w:rPr>
        <w:br/>
      </w:r>
      <w:r>
        <w:rPr>
          <w:rStyle w:val="Hervorhebung"/>
        </w:rPr>
        <w:lastRenderedPageBreak/>
        <w:t>\mathfrak{J}</w:t>
      </w:r>
      <w:r>
        <w:t>{F}</w:t>
      </w:r>
      <w:r>
        <w:br/>
        <w:t>\rightarrow</w:t>
      </w:r>
      <w:r>
        <w:br/>
        <w:t>\mathfrak{L}_{\mathrm{ID}}.</w:t>
      </w:r>
      <w:r>
        <w:br/>
        <w:t>\tag{3.5289}</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\operatorname{Stufe}_{\mathrm{ID}}:\mathfrak{J}_{F}\rightarrow\mathfrak{L}_{\mathrm{ID}}\qquad\text{(3.5289)}</w:t>
      </w:r>
    </w:p>
    <w:p w:rsidR="00983335" w:rsidRDefault="00983335" w:rsidP="00983335">
      <w:pPr>
        <w:pStyle w:val="StandardWeb"/>
      </w:pPr>
      <w:r>
        <w:t>Die Stufe muss immer in Bezug auf eine konkrete Modellfamilie, Beobachtungsmenge und Operationalisierung angegeben werden.</w:t>
      </w:r>
    </w:p>
    <w:p w:rsidR="00983335" w:rsidRPr="00AF32B2" w:rsidRDefault="00983335" w:rsidP="00AF32B2">
      <w:pPr>
        <w:pStyle w:val="berschrift4"/>
      </w:pPr>
      <w:r w:rsidRPr="00AF32B2">
        <w:t>3.3.28.30 Identifizierbarkeitsprädikat des Gesamtsystems</w:t>
      </w:r>
    </w:p>
    <w:p w:rsidR="00983335" w:rsidRDefault="00983335" w:rsidP="00983335">
      <w:pPr>
        <w:pStyle w:val="StandardWeb"/>
      </w:pPr>
      <w:r>
        <w:t>Das erweiterte Identifizierbarkeitsprädikat lautet</w:t>
      </w:r>
    </w:p>
    <w:p w:rsidR="00983335" w:rsidRDefault="00983335" w:rsidP="00983335">
      <w:pPr>
        <w:pStyle w:val="StandardWeb"/>
      </w:pPr>
      <w:r>
        <w:t>[</w:t>
      </w:r>
      <w:r>
        <w:br/>
        <w:t>\operatorname{EID}</w:t>
      </w:r>
      <w:r>
        <w:rPr>
          <w:rStyle w:val="Hervorhebung"/>
        </w:rPr>
        <w:t>{F}:</w:t>
      </w:r>
      <w:r>
        <w:rPr>
          <w:i/>
          <w:iCs/>
        </w:rPr>
        <w:br/>
      </w:r>
      <w:r>
        <w:rPr>
          <w:rStyle w:val="Hervorhebung"/>
        </w:rPr>
        <w:t>\mathfrak{J}</w:t>
      </w:r>
      <w:r>
        <w:t>{F}</w:t>
      </w:r>
      <w:r>
        <w:br/>
        <w:t>\rightarrow</w:t>
      </w:r>
      <w:r>
        <w:br/>
        <w:t>{0,1}.</w:t>
      </w:r>
      <w:r>
        <w:br/>
        <w:t>\tag{3.5290}</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\operatorname{EID}_{F}:\mathfrak{J}_{F}\rightarrow\{0,1\}\qquad\text{(3.5290)}</w:t>
      </w:r>
    </w:p>
    <w:p w:rsidR="00983335" w:rsidRDefault="00983335" w:rsidP="00983335">
      <w:pPr>
        <w:pStyle w:val="StandardWeb"/>
      </w:pPr>
      <w:r>
        <w:t>Es nimmt den Wert eins an, wenn:</w:t>
      </w:r>
    </w:p>
    <w:p w:rsidR="00983335" w:rsidRDefault="00983335" w:rsidP="00632D23">
      <w:pPr>
        <w:pStyle w:val="StandardWeb"/>
        <w:numPr>
          <w:ilvl w:val="0"/>
          <w:numId w:val="165"/>
        </w:numPr>
      </w:pPr>
      <w:r>
        <w:t>Repräsentationssymmetrien berücksichtigt wurden,</w:t>
      </w:r>
    </w:p>
    <w:p w:rsidR="00983335" w:rsidRDefault="00983335" w:rsidP="00632D23">
      <w:pPr>
        <w:pStyle w:val="StandardWeb"/>
        <w:numPr>
          <w:ilvl w:val="0"/>
          <w:numId w:val="165"/>
        </w:numPr>
      </w:pPr>
      <w:r>
        <w:t>die relevante Struktur identifizierbar ist,</w:t>
      </w:r>
    </w:p>
    <w:p w:rsidR="00983335" w:rsidRDefault="00983335" w:rsidP="00632D23">
      <w:pPr>
        <w:pStyle w:val="StandardWeb"/>
        <w:numPr>
          <w:ilvl w:val="0"/>
          <w:numId w:val="165"/>
        </w:numPr>
      </w:pPr>
      <w:r>
        <w:t>die für die Aussage benötigten Parameter mindestens lokal und praktisch bestimmbar sind,</w:t>
      </w:r>
    </w:p>
    <w:p w:rsidR="00983335" w:rsidRDefault="00983335" w:rsidP="00632D23">
      <w:pPr>
        <w:pStyle w:val="StandardWeb"/>
        <w:numPr>
          <w:ilvl w:val="0"/>
          <w:numId w:val="165"/>
        </w:numPr>
      </w:pPr>
      <w:r>
        <w:t>die Operationalisierung dokumentiert ist,</w:t>
      </w:r>
    </w:p>
    <w:p w:rsidR="00983335" w:rsidRDefault="00983335" w:rsidP="00632D23">
      <w:pPr>
        <w:pStyle w:val="StandardWeb"/>
        <w:numPr>
          <w:ilvl w:val="0"/>
          <w:numId w:val="165"/>
        </w:numPr>
      </w:pPr>
      <w:r>
        <w:t>konkurrierende Modelle durch mindestens eine zulässige Beobachtung getrennt werden können.</w:t>
      </w:r>
    </w:p>
    <w:p w:rsidR="00983335" w:rsidRDefault="00983335" w:rsidP="00983335">
      <w:pPr>
        <w:pStyle w:val="StandardWeb"/>
      </w:pPr>
      <w:r>
        <w:t>Formal schreibe ich</w:t>
      </w:r>
    </w:p>
    <w:p w:rsidR="00983335" w:rsidRDefault="00983335" w:rsidP="00983335">
      <w:pPr>
        <w:pStyle w:val="berschrift1"/>
      </w:pPr>
      <w:r>
        <w:t>[</w:t>
      </w:r>
      <w:r>
        <w:br/>
        <w:t>\operatorname{EID}</w:t>
      </w:r>
      <w:r>
        <w:rPr>
          <w:rStyle w:val="Hervorhebung"/>
        </w:rPr>
        <w:t>{F}</w:t>
      </w:r>
      <w:r>
        <w:rPr>
          <w:i/>
          <w:iCs/>
        </w:rPr>
        <w:br/>
      </w:r>
      <w:r>
        <w:rPr>
          <w:rStyle w:val="Hervorhebung"/>
        </w:rPr>
        <w:t>\left(</w:t>
      </w:r>
      <w:r>
        <w:rPr>
          <w:i/>
          <w:iCs/>
        </w:rPr>
        <w:br/>
      </w:r>
      <w:r>
        <w:rPr>
          <w:rStyle w:val="Hervorhebung"/>
        </w:rPr>
        <w:t>\mathfrak{J}</w:t>
      </w:r>
      <w:r>
        <w:t>{F}</w:t>
      </w:r>
      <w:r>
        <w:br/>
        <w:t>\right)</w:t>
      </w:r>
    </w:p>
    <w:p w:rsidR="00983335" w:rsidRDefault="00983335" w:rsidP="00632D23">
      <w:pPr>
        <w:numPr>
          <w:ilvl w:val="0"/>
          <w:numId w:val="166"/>
        </w:numPr>
        <w:spacing w:before="100" w:beforeAutospacing="1" w:after="100" w:afterAutospacing="1"/>
      </w:pPr>
    </w:p>
    <w:p w:rsidR="00983335" w:rsidRDefault="00983335" w:rsidP="00983335">
      <w:pPr>
        <w:pStyle w:val="StandardWeb"/>
      </w:pPr>
      <w:r>
        <w:t>\tag{3.5291}</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\operatorname{EID}_{F}\left(\mathfrak{J}_{F}\right)=1\qquad\text{(3.5291)}</w:t>
      </w:r>
    </w:p>
    <w:p w:rsidR="00983335" w:rsidRPr="00AF32B2" w:rsidRDefault="00983335" w:rsidP="00AF32B2">
      <w:pPr>
        <w:pStyle w:val="berschrift4"/>
      </w:pPr>
      <w:r w:rsidRPr="00AF32B2">
        <w:t>3.3.28.31 Satz zur eindeutigen Parameteridentifizierbarkeit</w:t>
      </w:r>
    </w:p>
    <w:p w:rsidR="00983335" w:rsidRDefault="00983335" w:rsidP="00983335">
      <w:pPr>
        <w:pStyle w:val="StandardWeb"/>
      </w:pPr>
      <w:r>
        <w:rPr>
          <w:rStyle w:val="Fett"/>
        </w:rPr>
        <w:t>Satz 3.3.10 – Eindeutige Identifizierbarkeit bei injektiver Vorhersageabbildung</w:t>
      </w:r>
    </w:p>
    <w:p w:rsidR="00983335" w:rsidRDefault="00983335" w:rsidP="00983335">
      <w:pPr>
        <w:pStyle w:val="StandardWeb"/>
      </w:pPr>
      <w:r>
        <w:t>Ist die gemeinsame Vorhersageabbildung</w:t>
      </w:r>
    </w:p>
    <w:p w:rsidR="00983335" w:rsidRDefault="00983335" w:rsidP="00983335">
      <w:pPr>
        <w:pStyle w:val="StandardWeb"/>
      </w:pPr>
      <w:r>
        <w:t>[</w:t>
      </w:r>
      <w:r>
        <w:br/>
        <w:t>\mathbf{P}_{F}:</w:t>
      </w:r>
      <w:r>
        <w:br/>
        <w:t>\Theta</w:t>
      </w:r>
      <w:r>
        <w:br/>
        <w:t>\rightarrow</w:t>
      </w:r>
      <w:r>
        <w:br/>
        <w:t>\mathcal{Y}^{n}</w:t>
      </w:r>
      <w:r>
        <w:br/>
        <w:t>\tag{3.5292}</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\mathbf{P}_{F}:\Theta\rightarrow\mathcal{Y}^{n}\qquad\text{(3.5292)}</w:t>
      </w:r>
    </w:p>
    <w:p w:rsidR="00983335" w:rsidRDefault="00983335" w:rsidP="00983335">
      <w:pPr>
        <w:pStyle w:val="StandardWeb"/>
      </w:pPr>
      <w:r>
        <w:t>injektiv, dann ist jeder Parametervektor (\theta\in\Theta) global identifizierbar.</w:t>
      </w:r>
    </w:p>
    <w:p w:rsidR="00983335" w:rsidRDefault="00983335" w:rsidP="00983335">
      <w:pPr>
        <w:pStyle w:val="StandardWeb"/>
      </w:pPr>
      <w:r>
        <w:t>Formal gilt</w:t>
      </w:r>
    </w:p>
    <w:p w:rsidR="00983335" w:rsidRDefault="00983335" w:rsidP="00983335">
      <w:pPr>
        <w:pStyle w:val="berschrift1"/>
      </w:pPr>
      <w:r>
        <w:t>[</w:t>
      </w:r>
      <w:r>
        <w:br/>
        <w:t>\mathbf{P}_{F}(\theta_1)</w:t>
      </w:r>
    </w:p>
    <w:p w:rsidR="00983335" w:rsidRDefault="00983335" w:rsidP="00983335">
      <w:pPr>
        <w:pStyle w:val="berschrift1"/>
      </w:pPr>
      <w:r>
        <w:t>\mathbf{P}_{F}(\theta_2)</w:t>
      </w:r>
      <w:r>
        <w:br/>
        <w:t>\Rightarrow</w:t>
      </w:r>
      <w:r>
        <w:br/>
        <w:t>\theta_1</w:t>
      </w:r>
    </w:p>
    <w:p w:rsidR="00983335" w:rsidRDefault="00983335" w:rsidP="00983335">
      <w:pPr>
        <w:pStyle w:val="StandardWeb"/>
      </w:pPr>
      <w:r>
        <w:t>\theta_2.</w:t>
      </w:r>
      <w:r>
        <w:br/>
        <w:t>\tag{3.5293}</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\mathbf{P}_{F}(\theta_1)=\mathbf{P}_{F}(\theta_2)\Rightarrow\theta_1=\theta_2\qquad\text{(3.5293)}</w:t>
      </w:r>
    </w:p>
    <w:p w:rsidR="00983335" w:rsidRDefault="00983335" w:rsidP="00983335">
      <w:pPr>
        <w:pStyle w:val="berschrift3"/>
      </w:pPr>
      <w:r>
        <w:t>Beweis</w:t>
      </w:r>
    </w:p>
    <w:p w:rsidR="00983335" w:rsidRDefault="00983335" w:rsidP="00983335">
      <w:pPr>
        <w:pStyle w:val="StandardWeb"/>
      </w:pPr>
      <w:r>
        <w:lastRenderedPageBreak/>
        <w:t>Sei (\theta^\ast\in\Theta) beliebig. Wegen der Injektivität von (\mathbf{P}_{F}) gilt für jeden Parametervektor (\theta\in\Theta):</w:t>
      </w:r>
    </w:p>
    <w:p w:rsidR="00983335" w:rsidRDefault="00983335" w:rsidP="00983335">
      <w:pPr>
        <w:pStyle w:val="berschrift1"/>
      </w:pPr>
      <w:r>
        <w:t>[</w:t>
      </w:r>
      <w:r>
        <w:br/>
        <w:t>\mathbf{P}_{F}(\theta)</w:t>
      </w:r>
    </w:p>
    <w:p w:rsidR="00983335" w:rsidRDefault="00983335" w:rsidP="00983335">
      <w:pPr>
        <w:pStyle w:val="berschrift1"/>
      </w:pPr>
      <w:r>
        <w:t>\mathbf{P}_{F}(\theta^\ast)</w:t>
      </w:r>
      <w:r>
        <w:br/>
        <w:t>\Rightarrow</w:t>
      </w:r>
      <w:r>
        <w:br/>
        <w:t>\theta</w:t>
      </w:r>
    </w:p>
    <w:p w:rsidR="00983335" w:rsidRDefault="00983335" w:rsidP="00983335">
      <w:pPr>
        <w:pStyle w:val="StandardWeb"/>
      </w:pPr>
      <w:r>
        <w:t>\theta^\ast.</w:t>
      </w:r>
      <w:r>
        <w:br/>
        <w:t>\tag{3.5294}</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\mathbf{P}_{F}(\theta)=\mathbf{P}_{F}(\theta^\ast)\Rightarrow\theta=\theta^\ast\qquad\text{(3.5294)}</w:t>
      </w:r>
    </w:p>
    <w:p w:rsidR="00983335" w:rsidRDefault="00983335" w:rsidP="00983335">
      <w:pPr>
        <w:pStyle w:val="StandardWeb"/>
      </w:pPr>
      <w:r>
        <w:t>Damit enthält die Beobachtungsäquivalenzklasse von (\theta^\ast) genau ein Element:</w:t>
      </w:r>
    </w:p>
    <w:p w:rsidR="00983335" w:rsidRDefault="00983335" w:rsidP="00983335">
      <w:pPr>
        <w:pStyle w:val="berschrift1"/>
      </w:pPr>
      <w:r>
        <w:t>[</w:t>
      </w:r>
      <w:r>
        <w:br/>
        <w:t>[\theta^\ast]_{\mathrm{obs}}</w:t>
      </w:r>
    </w:p>
    <w:p w:rsidR="00983335" w:rsidRDefault="00983335" w:rsidP="00983335">
      <w:pPr>
        <w:pStyle w:val="StandardWeb"/>
      </w:pPr>
      <w:r>
        <w:t>{\theta^\ast}.</w:t>
      </w:r>
      <w:r>
        <w:br/>
        <w:t>\tag{3.5295}</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[\theta^\ast]_{\mathrm{obs}}=\{\theta^\ast\}\qquad\text{(3.5295)}</w:t>
      </w:r>
    </w:p>
    <w:p w:rsidR="00983335" w:rsidRDefault="00983335" w:rsidP="00983335">
      <w:pPr>
        <w:pStyle w:val="StandardWeb"/>
      </w:pPr>
      <w:r>
        <w:t>Nach der Definition globaler Identifizierbarkeit ist (\theta^\ast) somit global identifizierbar. Da (\theta^\ast) beliebig gewählt war, gilt dies für alle Parametervektoren der Modellfamilie. (\square)</w:t>
      </w:r>
    </w:p>
    <w:p w:rsidR="00983335" w:rsidRPr="00AF32B2" w:rsidRDefault="00983335" w:rsidP="00AF32B2">
      <w:pPr>
        <w:pStyle w:val="berschrift4"/>
      </w:pPr>
      <w:r w:rsidRPr="00AF32B2">
        <w:t>3.3.28.32 Umkehrung des Identifizierbarkeitssatzes</w:t>
      </w:r>
    </w:p>
    <w:p w:rsidR="00983335" w:rsidRDefault="00983335" w:rsidP="00983335">
      <w:pPr>
        <w:pStyle w:val="StandardWeb"/>
      </w:pPr>
      <w:r>
        <w:t>Ist jeder Parametervektor global identifizierbar, dann ist die Vorhersageabbildung injektiv.</w:t>
      </w:r>
    </w:p>
    <w:p w:rsidR="00983335" w:rsidRDefault="00983335" w:rsidP="00983335">
      <w:pPr>
        <w:pStyle w:val="StandardWeb"/>
      </w:pPr>
      <w:r>
        <w:t>Es gilt daher die Äquivalenz</w:t>
      </w:r>
    </w:p>
    <w:p w:rsidR="00983335" w:rsidRDefault="00983335" w:rsidP="00983335">
      <w:pPr>
        <w:pStyle w:val="berschrift1"/>
      </w:pPr>
      <w:r>
        <w:t>[</w:t>
      </w:r>
      <w:r>
        <w:br/>
        <w:t>\mathbf{P}</w:t>
      </w:r>
      <w:r>
        <w:rPr>
          <w:rStyle w:val="Hervorhebung"/>
        </w:rPr>
        <w:t>{F}</w:t>
      </w:r>
      <w:r>
        <w:rPr>
          <w:i/>
          <w:iCs/>
        </w:rPr>
        <w:br/>
      </w:r>
      <w:r>
        <w:rPr>
          <w:rStyle w:val="Hervorhebung"/>
        </w:rPr>
        <w:lastRenderedPageBreak/>
        <w:t>\text{ ist injektiv}</w:t>
      </w:r>
      <w:r>
        <w:rPr>
          <w:i/>
          <w:iCs/>
        </w:rPr>
        <w:br/>
      </w:r>
      <w:r>
        <w:rPr>
          <w:rStyle w:val="Hervorhebung"/>
        </w:rPr>
        <w:t>\iff</w:t>
      </w:r>
      <w:r>
        <w:rPr>
          <w:i/>
          <w:iCs/>
        </w:rPr>
        <w:br/>
      </w:r>
      <w:r>
        <w:rPr>
          <w:rStyle w:val="Hervorhebung"/>
        </w:rPr>
        <w:t>\forall</w:t>
      </w:r>
      <w:r>
        <w:rPr>
          <w:i/>
          <w:iCs/>
        </w:rPr>
        <w:br/>
      </w:r>
      <w:r>
        <w:rPr>
          <w:rStyle w:val="Hervorhebung"/>
        </w:rPr>
        <w:t>\theta\in\Theta:</w:t>
      </w:r>
      <w:r>
        <w:rPr>
          <w:i/>
          <w:iCs/>
        </w:rPr>
        <w:br/>
      </w:r>
      <w:r>
        <w:rPr>
          <w:rStyle w:val="Hervorhebung"/>
        </w:rPr>
        <w:t>[\theta]</w:t>
      </w:r>
      <w:r>
        <w:t>{\mathrm{obs}}</w:t>
      </w:r>
    </w:p>
    <w:p w:rsidR="00983335" w:rsidRDefault="00983335" w:rsidP="00983335">
      <w:pPr>
        <w:pStyle w:val="StandardWeb"/>
      </w:pPr>
      <w:r>
        <w:t>{\theta}.</w:t>
      </w:r>
      <w:r>
        <w:br/>
        <w:t>\tag{3.5296}</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\mathbf{P}_{F}\text{ ist injektiv}\iff\forall\theta\in\Theta:[\theta]_{\mathrm{obs}}=\{\theta\}\qquad\text{(3.5296)}</w:t>
      </w:r>
    </w:p>
    <w:p w:rsidR="00983335" w:rsidRDefault="00983335" w:rsidP="00983335">
      <w:pPr>
        <w:pStyle w:val="StandardWeb"/>
      </w:pPr>
      <w:r>
        <w:t>Diese Äquivalenz bezieht sich auf die festgelegte Beobachtungsmenge und den festgelegten Vorhersageraum.</w:t>
      </w:r>
    </w:p>
    <w:p w:rsidR="00983335" w:rsidRPr="00AF32B2" w:rsidRDefault="00983335" w:rsidP="00AF32B2">
      <w:pPr>
        <w:pStyle w:val="berschrift4"/>
      </w:pPr>
      <w:r w:rsidRPr="00AF32B2">
        <w:t>3.3.28.33 Reichweite des Identifizierbarkeitssatzes</w:t>
      </w:r>
    </w:p>
    <w:p w:rsidR="00983335" w:rsidRDefault="00983335" w:rsidP="00983335">
      <w:pPr>
        <w:pStyle w:val="StandardWeb"/>
      </w:pPr>
      <w:r>
        <w:t>Satz 3.3.10 ist ein struktureller Satz. Er garantiert nicht, dass Parameter aus endlichen verrauschten Daten numerisch präzise geschätzt werden können.</w:t>
      </w:r>
    </w:p>
    <w:p w:rsidR="00983335" w:rsidRDefault="00983335" w:rsidP="00983335">
      <w:pPr>
        <w:pStyle w:val="StandardWeb"/>
      </w:pPr>
      <w:r>
        <w:t>Aus</w:t>
      </w:r>
    </w:p>
    <w:p w:rsidR="00983335" w:rsidRDefault="00983335" w:rsidP="00983335">
      <w:pPr>
        <w:pStyle w:val="StandardWeb"/>
      </w:pPr>
      <w:r>
        <w:t>[</w:t>
      </w:r>
      <w:r>
        <w:br/>
        <w:t>\mathbf{P}_{F}</w:t>
      </w:r>
      <w:r>
        <w:br/>
        <w:t>\text{ ist injektiv}</w:t>
      </w:r>
      <w:r>
        <w:br/>
        <w:t>\tag{3.5297}</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\mathbf{P}_{F}\text{ ist injektiv}\qquad\text{(3.5297)}</w:t>
      </w:r>
    </w:p>
    <w:p w:rsidR="00983335" w:rsidRDefault="00983335" w:rsidP="00983335">
      <w:pPr>
        <w:pStyle w:val="StandardWeb"/>
      </w:pPr>
      <w:r>
        <w:t>folgt nicht automatisch</w:t>
      </w:r>
    </w:p>
    <w:p w:rsidR="00983335" w:rsidRDefault="00983335" w:rsidP="00983335">
      <w:pPr>
        <w:pStyle w:val="StandardWeb"/>
      </w:pPr>
      <w:r>
        <w:t>[</w:t>
      </w:r>
      <w:r>
        <w:br/>
        <w:t>\operatorname{Var}</w:t>
      </w:r>
      <w:r>
        <w:br/>
        <w:t>\left(</w:t>
      </w:r>
      <w:r>
        <w:br/>
        <w:t>\widehat{\theta}</w:t>
      </w:r>
      <w:r>
        <w:br/>
        <w:t>\right)</w:t>
      </w:r>
      <w:r>
        <w:br/>
        <w:t>\text{ ist klein}.</w:t>
      </w:r>
      <w:r>
        <w:br/>
        <w:t>\tag{3.5298}</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lastRenderedPageBreak/>
        <w:t>\operatorname{Var}\left(\widehat{\theta}\right)\text{ ist klein}\qquad\text{(3.5298)}</w:t>
      </w:r>
    </w:p>
    <w:p w:rsidR="00983335" w:rsidRDefault="00983335" w:rsidP="00983335">
      <w:pPr>
        <w:pStyle w:val="StandardWeb"/>
      </w:pPr>
      <w:r>
        <w:t>Eine Modellfamilie kann strukturell identifizierbar und dennoch praktisch schlecht konditioniert sein.</w:t>
      </w:r>
    </w:p>
    <w:p w:rsidR="00983335" w:rsidRPr="00AF32B2" w:rsidRDefault="00983335" w:rsidP="00AF32B2">
      <w:pPr>
        <w:pStyle w:val="berschrift4"/>
      </w:pPr>
      <w:r w:rsidRPr="00AF32B2">
        <w:t>3.3.28.34 Identifizierbarkeit und Konditionierung</w:t>
      </w:r>
    </w:p>
    <w:p w:rsidR="00983335" w:rsidRDefault="00983335" w:rsidP="00983335">
      <w:pPr>
        <w:pStyle w:val="StandardWeb"/>
      </w:pPr>
      <w:r>
        <w:t>Die lokale Konditionierung kann durch die kleinste singuläre Zahl der Sensitivitätsmatrix beschrieben werden:</w:t>
      </w:r>
    </w:p>
    <w:p w:rsidR="00983335" w:rsidRDefault="00983335" w:rsidP="00983335">
      <w:pPr>
        <w:pStyle w:val="StandardWeb"/>
      </w:pPr>
      <w:r>
        <w:t>[</w:t>
      </w:r>
      <w:r>
        <w:br/>
        <w:t>\sigma_{\min}</w:t>
      </w:r>
      <w:r>
        <w:br/>
        <w:t>\left(</w:t>
      </w:r>
      <w:r>
        <w:br/>
        <w:t>S(\theta)</w:t>
      </w:r>
      <w:r>
        <w:br/>
        <w:t>\right).</w:t>
      </w:r>
      <w:r>
        <w:br/>
        <w:t>\tag{3.5299}</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\sigma_{\min}\left(S(\theta)\right)\qquad\text{(3.5299)}</w:t>
      </w:r>
    </w:p>
    <w:p w:rsidR="00983335" w:rsidRDefault="00983335" w:rsidP="00983335">
      <w:pPr>
        <w:pStyle w:val="StandardWeb"/>
      </w:pPr>
      <w:r>
        <w:t>Ist</w:t>
      </w:r>
    </w:p>
    <w:p w:rsidR="00983335" w:rsidRDefault="00983335" w:rsidP="00983335">
      <w:pPr>
        <w:pStyle w:val="StandardWeb"/>
      </w:pPr>
      <w:r>
        <w:t>[</w:t>
      </w:r>
      <w:r>
        <w:br/>
        <w:t>\sigma_{\min}</w:t>
      </w:r>
      <w:r>
        <w:br/>
        <w:t>\left(</w:t>
      </w:r>
      <w:r>
        <w:br/>
        <w:t>S(\theta)</w:t>
      </w:r>
      <w:r>
        <w:br/>
        <w:t>\right)</w:t>
      </w:r>
      <w:r>
        <w:br/>
        <w:t>\approx</w:t>
      </w:r>
      <w:r>
        <w:br/>
        <w:t>0,</w:t>
      </w:r>
      <w:r>
        <w:br/>
        <w:t>\tag{3.5300}</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\sigma_{\min}\left(S(\theta)\right)\approx0\qquad\text{(3.5300)}</w:t>
      </w:r>
    </w:p>
    <w:p w:rsidR="00983335" w:rsidRDefault="00983335" w:rsidP="00983335">
      <w:pPr>
        <w:pStyle w:val="StandardWeb"/>
      </w:pPr>
      <w:r>
        <w:t>können kleine Datenänderungen große Änderungen der Parameterschätzung verursachen.</w:t>
      </w:r>
    </w:p>
    <w:p w:rsidR="00983335" w:rsidRDefault="00983335" w:rsidP="00983335">
      <w:pPr>
        <w:pStyle w:val="StandardWeb"/>
      </w:pPr>
      <w:r>
        <w:t>Eine lokale Konditionszahl lautet</w:t>
      </w:r>
    </w:p>
    <w:p w:rsidR="00983335" w:rsidRDefault="00983335" w:rsidP="00983335">
      <w:pPr>
        <w:pStyle w:val="berschrift1"/>
      </w:pPr>
      <w:r>
        <w:t>[</w:t>
      </w:r>
      <w:r>
        <w:br/>
        <w:t>\kappa</w:t>
      </w:r>
      <w:r>
        <w:br/>
        <w:t>\left(</w:t>
      </w:r>
      <w:r>
        <w:br/>
        <w:t>S</w:t>
      </w:r>
      <w:r>
        <w:br/>
        <w:t>\right)</w:t>
      </w:r>
    </w:p>
    <w:p w:rsidR="00983335" w:rsidRDefault="00983335" w:rsidP="00983335">
      <w:pPr>
        <w:pStyle w:val="StandardWeb"/>
      </w:pPr>
      <w:r>
        <w:lastRenderedPageBreak/>
        <w:t>\frac{</w:t>
      </w:r>
      <w:r>
        <w:br/>
        <w:t>\sigma_{\max}(S)</w:t>
      </w:r>
      <w:r>
        <w:br/>
        <w:t>}{</w:t>
      </w:r>
      <w:r>
        <w:br/>
        <w:t>\sigma_{\min}(S)</w:t>
      </w:r>
      <w:r>
        <w:br/>
        <w:t>}.</w:t>
      </w:r>
      <w:r>
        <w:br/>
        <w:t>\tag{3.5301}</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\kappa\left(S\right)=\frac{\sigma_{\max}(S)}{\sigma_{\min}(S)}\qquad\text{(3.5301)}</w:t>
      </w:r>
    </w:p>
    <w:p w:rsidR="00983335" w:rsidRDefault="00983335" w:rsidP="00983335">
      <w:pPr>
        <w:pStyle w:val="StandardWeb"/>
      </w:pPr>
      <w:r>
        <w:t>Große Werte weisen auf eine praktisch instabile Parameterschätzung hin.</w:t>
      </w:r>
    </w:p>
    <w:p w:rsidR="00983335" w:rsidRPr="00AF32B2" w:rsidRDefault="00983335" w:rsidP="00AF32B2">
      <w:pPr>
        <w:pStyle w:val="berschrift4"/>
      </w:pPr>
      <w:r w:rsidRPr="00AF32B2">
        <w:t>3.3.28.35 Repository-Speicherung der Identifizierbarkeit</w:t>
      </w:r>
    </w:p>
    <w:p w:rsidR="00983335" w:rsidRDefault="00983335" w:rsidP="00983335">
      <w:pPr>
        <w:pStyle w:val="StandardWeb"/>
      </w:pPr>
      <w:r>
        <w:t>Eine Parameteridentifizierbarkeitsprüfung kann im Repository schematisch gespeichert werden als</w:t>
      </w:r>
    </w:p>
    <w:p w:rsidR="00983335" w:rsidRDefault="00983335" w:rsidP="00983335">
      <w:pPr>
        <w:pStyle w:val="StandardWeb"/>
      </w:pPr>
      <w:r>
        <w:t>[</w:t>
      </w:r>
      <w:r>
        <w:br/>
        <w:t>\operatorname{IDDep}</w:t>
      </w:r>
      <w:r>
        <w:br/>
        <w:t>\left(</w:t>
      </w:r>
      <w:r>
        <w:br/>
        <w:t>\theta_j,</w:t>
      </w:r>
      <w:r>
        <w:br/>
        <w:t>\mathcal{X}</w:t>
      </w:r>
      <w:r>
        <w:rPr>
          <w:rStyle w:val="Hervorhebung"/>
        </w:rPr>
        <w:t>{\mathrm{obs}},</w:t>
      </w:r>
      <w:r>
        <w:rPr>
          <w:i/>
          <w:iCs/>
        </w:rPr>
        <w:br/>
      </w:r>
      <w:r>
        <w:rPr>
          <w:rStyle w:val="Hervorhebung"/>
        </w:rPr>
        <w:t>\operatorname{Stufe}</w:t>
      </w:r>
      <w:r>
        <w:t>{\mathrm{ID}}</w:t>
      </w:r>
      <w:r>
        <w:br/>
        <w:t>\right).</w:t>
      </w:r>
      <w:r>
        <w:br/>
        <w:t>\tag{3.5302}</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\operatorname{IDDep}\left(\theta_j,\mathcal{X}_{\mathrm{obs}},\operatorname{Stufe}_{\mathrm{ID}}\right)\qquad\text{(3.5302)}</w:t>
      </w:r>
    </w:p>
    <w:p w:rsidR="00983335" w:rsidRDefault="00983335" w:rsidP="00983335">
      <w:pPr>
        <w:pStyle w:val="StandardWeb"/>
      </w:pPr>
      <w:r>
        <w:t>Eine Strukturidentifizierbarkeitsprüfung lautet</w:t>
      </w:r>
    </w:p>
    <w:p w:rsidR="00983335" w:rsidRDefault="00983335" w:rsidP="00983335">
      <w:pPr>
        <w:pStyle w:val="StandardWeb"/>
      </w:pPr>
      <w:r>
        <w:t>[</w:t>
      </w:r>
      <w:r>
        <w:br/>
        <w:t>\operatorname{StrIDDep}</w:t>
      </w:r>
      <w:r>
        <w:br/>
        <w:t>\left(</w:t>
      </w:r>
      <w:r>
        <w:br/>
        <w:t>\eta,</w:t>
      </w:r>
      <w:r>
        <w:br/>
        <w:t>\mathcal{X}</w:t>
      </w:r>
      <w:r>
        <w:rPr>
          <w:rStyle w:val="Hervorhebung"/>
        </w:rPr>
        <w:t>{\mathrm{obs}},</w:t>
      </w:r>
      <w:r>
        <w:rPr>
          <w:i/>
          <w:iCs/>
        </w:rPr>
        <w:br/>
      </w:r>
      <w:r>
        <w:rPr>
          <w:rStyle w:val="Hervorhebung"/>
        </w:rPr>
        <w:t>\operatorname{EID}</w:t>
      </w:r>
      <w:r>
        <w:t>{F}</w:t>
      </w:r>
      <w:r>
        <w:br/>
        <w:t>\right).</w:t>
      </w:r>
      <w:r>
        <w:br/>
        <w:t>\tag{3.5303}</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\operatorname{StrIDDep}\left(\eta,\mathcal{X}_{\mathrm{obs}},\operatorname{EID}_{F}\right)\qquad\text{(3.5303)}</w:t>
      </w:r>
    </w:p>
    <w:p w:rsidR="00983335" w:rsidRDefault="00983335" w:rsidP="00983335">
      <w:pPr>
        <w:pStyle w:val="StandardWeb"/>
      </w:pPr>
      <w:r>
        <w:lastRenderedPageBreak/>
        <w:t>Zusätzlich müssen gespeichert werden:</w:t>
      </w:r>
    </w:p>
    <w:p w:rsidR="00983335" w:rsidRDefault="00983335" w:rsidP="00632D23">
      <w:pPr>
        <w:pStyle w:val="StandardWeb"/>
        <w:numPr>
          <w:ilvl w:val="0"/>
          <w:numId w:val="167"/>
        </w:numPr>
      </w:pPr>
      <w:r>
        <w:t>Parameterraum,</w:t>
      </w:r>
    </w:p>
    <w:p w:rsidR="00983335" w:rsidRDefault="00983335" w:rsidP="00632D23">
      <w:pPr>
        <w:pStyle w:val="StandardWeb"/>
        <w:numPr>
          <w:ilvl w:val="0"/>
          <w:numId w:val="167"/>
        </w:numPr>
      </w:pPr>
      <w:r>
        <w:t>Beobachtungsmenge,</w:t>
      </w:r>
    </w:p>
    <w:p w:rsidR="00983335" w:rsidRDefault="00983335" w:rsidP="00632D23">
      <w:pPr>
        <w:pStyle w:val="StandardWeb"/>
        <w:numPr>
          <w:ilvl w:val="0"/>
          <w:numId w:val="167"/>
        </w:numPr>
      </w:pPr>
      <w:r>
        <w:t>Operationalisierung,</w:t>
      </w:r>
    </w:p>
    <w:p w:rsidR="00983335" w:rsidRDefault="00983335" w:rsidP="00632D23">
      <w:pPr>
        <w:pStyle w:val="StandardWeb"/>
        <w:numPr>
          <w:ilvl w:val="0"/>
          <w:numId w:val="167"/>
        </w:numPr>
      </w:pPr>
      <w:r>
        <w:t>Vorhersageabbildung,</w:t>
      </w:r>
    </w:p>
    <w:p w:rsidR="00983335" w:rsidRDefault="00983335" w:rsidP="00632D23">
      <w:pPr>
        <w:pStyle w:val="StandardWeb"/>
        <w:numPr>
          <w:ilvl w:val="0"/>
          <w:numId w:val="167"/>
        </w:numPr>
      </w:pPr>
      <w:r>
        <w:t>gefundene Äquivalenzklassen,</w:t>
      </w:r>
    </w:p>
    <w:p w:rsidR="00983335" w:rsidRDefault="00983335" w:rsidP="00632D23">
      <w:pPr>
        <w:pStyle w:val="StandardWeb"/>
        <w:numPr>
          <w:ilvl w:val="0"/>
          <w:numId w:val="167"/>
        </w:numPr>
      </w:pPr>
      <w:r>
        <w:t>verwendete Zusatzbedingungen,</w:t>
      </w:r>
    </w:p>
    <w:p w:rsidR="00983335" w:rsidRDefault="00983335" w:rsidP="00632D23">
      <w:pPr>
        <w:pStyle w:val="StandardWeb"/>
        <w:numPr>
          <w:ilvl w:val="0"/>
          <w:numId w:val="167"/>
        </w:numPr>
      </w:pPr>
      <w:r>
        <w:t>Sensitivitäts- oder Rangprüfung,</w:t>
      </w:r>
    </w:p>
    <w:p w:rsidR="00983335" w:rsidRDefault="00983335" w:rsidP="00632D23">
      <w:pPr>
        <w:pStyle w:val="StandardWeb"/>
        <w:numPr>
          <w:ilvl w:val="0"/>
          <w:numId w:val="167"/>
        </w:numPr>
      </w:pPr>
      <w:r>
        <w:t>Ergebnis der praktischen Unsicherheitsanalyse.</w:t>
      </w:r>
    </w:p>
    <w:p w:rsidR="00983335" w:rsidRDefault="00983335" w:rsidP="00983335">
      <w:pPr>
        <w:pStyle w:val="StandardWeb"/>
      </w:pPr>
      <w:r>
        <w:rPr>
          <w:rStyle w:val="Fett"/>
        </w:rPr>
        <w:t>Eigenleistung des FRZK</w:t>
      </w:r>
    </w:p>
    <w:p w:rsidR="00983335" w:rsidRDefault="00983335" w:rsidP="00983335">
      <w:pPr>
        <w:pStyle w:val="StandardWeb"/>
      </w:pPr>
      <w:r>
        <w:t>Ich verbinde die Identifizierbarkeitsprüfung mit dem wissenschaftlichen Ableitungsgraphen. Eine empirische Aussage über einen Parameter darf nur dann als eindeutig gelten, wenn die zugehörige Identifizierbarkeitsprüfung positiv dokumentiert ist.</w:t>
      </w:r>
    </w:p>
    <w:p w:rsidR="00983335" w:rsidRPr="00AF32B2" w:rsidRDefault="00983335" w:rsidP="00AF32B2">
      <w:pPr>
        <w:pStyle w:val="berschrift4"/>
      </w:pPr>
      <w:r w:rsidRPr="00AF32B2">
        <w:t>3.3.28.36 Ergebnis der Identifizierbarkeitsprüfung</w:t>
      </w:r>
    </w:p>
    <w:p w:rsidR="00983335" w:rsidRDefault="00983335" w:rsidP="00983335">
      <w:pPr>
        <w:pStyle w:val="StandardWeb"/>
      </w:pPr>
      <w:r>
        <w:t>Die Prüfung zeigt, dass Parameterschätzung, Modellanpassung und Identifizierbarkeit voneinander getrennt werden müssen.</w:t>
      </w:r>
    </w:p>
    <w:p w:rsidR="00983335" w:rsidRDefault="00983335" w:rsidP="00983335">
      <w:pPr>
        <w:pStyle w:val="StandardWeb"/>
      </w:pPr>
      <w:r>
        <w:t>Ein Parameter kann:</w:t>
      </w:r>
    </w:p>
    <w:p w:rsidR="00983335" w:rsidRDefault="00983335" w:rsidP="00632D23">
      <w:pPr>
        <w:pStyle w:val="StandardWeb"/>
        <w:numPr>
          <w:ilvl w:val="0"/>
          <w:numId w:val="168"/>
        </w:numPr>
      </w:pPr>
      <w:r>
        <w:t>global identifizierbar,</w:t>
      </w:r>
    </w:p>
    <w:p w:rsidR="00983335" w:rsidRDefault="00983335" w:rsidP="00632D23">
      <w:pPr>
        <w:pStyle w:val="StandardWeb"/>
        <w:numPr>
          <w:ilvl w:val="0"/>
          <w:numId w:val="168"/>
        </w:numPr>
      </w:pPr>
      <w:r>
        <w:t>nur lokal identifizierbar,</w:t>
      </w:r>
    </w:p>
    <w:p w:rsidR="00983335" w:rsidRDefault="00983335" w:rsidP="00632D23">
      <w:pPr>
        <w:pStyle w:val="StandardWeb"/>
        <w:numPr>
          <w:ilvl w:val="0"/>
          <w:numId w:val="168"/>
        </w:numPr>
      </w:pPr>
      <w:r>
        <w:t>strukturell identifizierbar, aber praktisch unsicher,</w:t>
      </w:r>
    </w:p>
    <w:p w:rsidR="00983335" w:rsidRDefault="00983335" w:rsidP="00632D23">
      <w:pPr>
        <w:pStyle w:val="StandardWeb"/>
        <w:numPr>
          <w:ilvl w:val="0"/>
          <w:numId w:val="168"/>
        </w:numPr>
      </w:pPr>
      <w:r>
        <w:t>nur bis auf eine Repräsentationssymmetrie bestimmbar,</w:t>
      </w:r>
    </w:p>
    <w:p w:rsidR="00983335" w:rsidRDefault="00983335" w:rsidP="00632D23">
      <w:pPr>
        <w:pStyle w:val="StandardWeb"/>
        <w:numPr>
          <w:ilvl w:val="0"/>
          <w:numId w:val="168"/>
        </w:numPr>
      </w:pPr>
      <w:r>
        <w:t>vollständig nichtidentifizierbar</w:t>
      </w:r>
    </w:p>
    <w:p w:rsidR="00983335" w:rsidRDefault="00983335" w:rsidP="00983335">
      <w:pPr>
        <w:pStyle w:val="StandardWeb"/>
      </w:pPr>
      <w:r>
        <w:t>sein.</w:t>
      </w:r>
    </w:p>
    <w:p w:rsidR="00983335" w:rsidRDefault="00983335" w:rsidP="00983335">
      <w:pPr>
        <w:pStyle w:val="StandardWeb"/>
      </w:pPr>
      <w:r>
        <w:t>Ebenso können unterschiedliche Modellstrukturen dieselben empirischen Vorhersagen erzeugen. In diesem Fall reichen die vorhandenen Beobachtungen nicht zur eindeutigen Strukturwahl aus.</w:t>
      </w:r>
    </w:p>
    <w:p w:rsidR="00983335" w:rsidRDefault="00983335" w:rsidP="00983335">
      <w:pPr>
        <w:pStyle w:val="StandardWeb"/>
      </w:pPr>
      <w:r>
        <w:t>Besonders zu beachten ist:</w:t>
      </w:r>
    </w:p>
    <w:p w:rsidR="00983335" w:rsidRDefault="00983335" w:rsidP="00632D23">
      <w:pPr>
        <w:pStyle w:val="StandardWeb"/>
        <w:numPr>
          <w:ilvl w:val="0"/>
          <w:numId w:val="169"/>
        </w:numPr>
      </w:pPr>
      <w:r>
        <w:t>Eine eindeutige numerische Optimierungslösung beweist keine empirische Identifizierbarkeit.</w:t>
      </w:r>
    </w:p>
    <w:p w:rsidR="00983335" w:rsidRDefault="00983335" w:rsidP="00632D23">
      <w:pPr>
        <w:pStyle w:val="StandardWeb"/>
        <w:numPr>
          <w:ilvl w:val="0"/>
          <w:numId w:val="169"/>
        </w:numPr>
      </w:pPr>
      <w:r>
        <w:t>Regularisierung kann Eindeutigkeit durch Zusatzannahmen erzeugen.</w:t>
      </w:r>
    </w:p>
    <w:p w:rsidR="00983335" w:rsidRDefault="00983335" w:rsidP="00632D23">
      <w:pPr>
        <w:pStyle w:val="StandardWeb"/>
        <w:numPr>
          <w:ilvl w:val="0"/>
          <w:numId w:val="169"/>
        </w:numPr>
      </w:pPr>
      <w:r>
        <w:t>Vorwissen und Parameterbeschränkungen müssen als zusätzliche Bedingungen ausgewiesen werden.</w:t>
      </w:r>
    </w:p>
    <w:p w:rsidR="00983335" w:rsidRDefault="00983335" w:rsidP="00632D23">
      <w:pPr>
        <w:pStyle w:val="StandardWeb"/>
        <w:numPr>
          <w:ilvl w:val="0"/>
          <w:numId w:val="169"/>
        </w:numPr>
      </w:pPr>
      <w:r>
        <w:t>Zusätzliche informative Beobachtungen können Äquivalenzklassen verkleinern.</w:t>
      </w:r>
    </w:p>
    <w:p w:rsidR="00983335" w:rsidRDefault="00983335" w:rsidP="00632D23">
      <w:pPr>
        <w:pStyle w:val="StandardWeb"/>
        <w:numPr>
          <w:ilvl w:val="0"/>
          <w:numId w:val="169"/>
        </w:numPr>
      </w:pPr>
      <w:r>
        <w:t>Repräsentationssymmetrien müssen von echter struktureller Mehrdeutigkeit getrennt werden.</w:t>
      </w:r>
    </w:p>
    <w:p w:rsidR="00983335" w:rsidRDefault="00983335" w:rsidP="00632D23">
      <w:pPr>
        <w:pStyle w:val="StandardWeb"/>
        <w:numPr>
          <w:ilvl w:val="0"/>
          <w:numId w:val="169"/>
        </w:numPr>
      </w:pPr>
      <w:r>
        <w:t>Praktische Identifizierbarkeit hängt von Messfehlern, Sensitivität und Versuchsplanung ab [58, 59, 71, 75].</w:t>
      </w:r>
    </w:p>
    <w:p w:rsidR="00983335" w:rsidRDefault="00983335" w:rsidP="00983335">
      <w:pPr>
        <w:pStyle w:val="StandardWeb"/>
      </w:pPr>
      <w:r>
        <w:rPr>
          <w:rStyle w:val="Fett"/>
        </w:rPr>
        <w:t>Eigenleistung des FRZK</w:t>
      </w:r>
    </w:p>
    <w:p w:rsidR="00983335" w:rsidRDefault="00983335" w:rsidP="00983335">
      <w:pPr>
        <w:pStyle w:val="StandardWeb"/>
      </w:pPr>
      <w:r>
        <w:lastRenderedPageBreak/>
        <w:t>Mit Definition 3.3.20 und Satz 3.3.10 steht ein formales Verfahren zur Verfügung, das die Eindeutigkeit von Parameterwerten und Modellstrukturen überprüft. Damit kann ich verhindern, dass eine mögliche Parameterschätzung irrtümlich als eindeutig wissenschaftlich bestimmt dargestellt wird.</w:t>
      </w:r>
    </w:p>
    <w:p w:rsidR="00983335" w:rsidRPr="00AF32B2" w:rsidRDefault="00983335" w:rsidP="00AF32B2">
      <w:pPr>
        <w:pStyle w:val="berschrift4"/>
      </w:pPr>
      <w:r w:rsidRPr="00AF32B2">
        <w:t>3.3.28.37 Übergang zur Prüfung der Stabilität und Robustheit</w:t>
      </w:r>
    </w:p>
    <w:p w:rsidR="00983335" w:rsidRDefault="00983335" w:rsidP="00983335">
      <w:pPr>
        <w:pStyle w:val="StandardWeb"/>
      </w:pPr>
      <w:r>
        <w:t>Ein identifizierbarer Parameter kann dennoch empfindlich auf kleine Änderungen der Daten, der Operationalisierung oder der Modellbedingungen reagieren. Identifizierbarkeit garantiert daher noch keine Stabilität.</w:t>
      </w:r>
    </w:p>
    <w:p w:rsidR="00983335" w:rsidRDefault="00983335" w:rsidP="00983335">
      <w:pPr>
        <w:pStyle w:val="StandardWeb"/>
      </w:pPr>
      <w:r>
        <w:t>Eine gestörte Datengrundlage kann geschrieben werden als</w:t>
      </w:r>
    </w:p>
    <w:p w:rsidR="00983335" w:rsidRDefault="00983335" w:rsidP="00983335">
      <w:pPr>
        <w:pStyle w:val="berschrift1"/>
      </w:pPr>
      <w:r>
        <w:t>[</w:t>
      </w:r>
      <w:r>
        <w:br/>
        <w:t>\mathcal{D}^{\prime}</w:t>
      </w:r>
    </w:p>
    <w:p w:rsidR="00983335" w:rsidRDefault="00983335" w:rsidP="00983335">
      <w:pPr>
        <w:pStyle w:val="StandardWeb"/>
      </w:pPr>
      <w:r>
        <w:t>\mathcal{D}</w:t>
      </w:r>
      <w:r>
        <w:br/>
        <w:t>+</w:t>
      </w:r>
      <w:r>
        <w:br/>
        <w:t>\Delta\mathcal{D}.</w:t>
      </w:r>
      <w:r>
        <w:br/>
        <w:t>\tag{3.5304}</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\mathcal{D}^{\prime}=\mathcal{D}+\Delta\mathcal{D}\qquad\text{(3.5304)}</w:t>
      </w:r>
    </w:p>
    <w:p w:rsidR="00983335" w:rsidRDefault="00983335" w:rsidP="00983335">
      <w:pPr>
        <w:pStyle w:val="StandardWeb"/>
      </w:pPr>
      <w:r>
        <w:t>Die daraus resultierende Parameterschätzung lautet</w:t>
      </w:r>
    </w:p>
    <w:p w:rsidR="00983335" w:rsidRDefault="00983335" w:rsidP="00983335">
      <w:pPr>
        <w:pStyle w:val="berschrift1"/>
      </w:pPr>
      <w:r>
        <w:t>[</w:t>
      </w:r>
      <w:r>
        <w:br/>
        <w:t>\widehat{\theta}^{\prime}</w:t>
      </w:r>
    </w:p>
    <w:p w:rsidR="00983335" w:rsidRDefault="00983335" w:rsidP="00983335">
      <w:pPr>
        <w:pStyle w:val="StandardWeb"/>
      </w:pPr>
      <w:r>
        <w:t>\widehat{\theta}</w:t>
      </w:r>
      <w:r>
        <w:br/>
        <w:t>+</w:t>
      </w:r>
      <w:r>
        <w:br/>
        <w:t>\Delta\widehat{\theta}.</w:t>
      </w:r>
      <w:r>
        <w:br/>
        <w:t>\tag{3.5305}</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\widehat{\theta}^{\prime}=\widehat{\theta}+\Delta\widehat{\theta}\qquad\text{(3.5305)}</w:t>
      </w:r>
    </w:p>
    <w:p w:rsidR="00983335" w:rsidRDefault="00983335" w:rsidP="00983335">
      <w:pPr>
        <w:pStyle w:val="StandardWeb"/>
      </w:pPr>
      <w:r>
        <w:t>Eine stabile Schätzung verlangt, dass kleine Datenänderungen nur kontrollierte Parameteränderungen erzeugen:</w:t>
      </w:r>
    </w:p>
    <w:p w:rsidR="00983335" w:rsidRDefault="00983335" w:rsidP="00983335">
      <w:pPr>
        <w:pStyle w:val="StandardWeb"/>
      </w:pPr>
      <w:r>
        <w:t>[</w:t>
      </w:r>
      <w:r>
        <w:br/>
        <w:t>\left|</w:t>
      </w:r>
      <w:r>
        <w:br/>
        <w:t>\Delta\widehat{\theta}</w:t>
      </w:r>
      <w:r>
        <w:br/>
      </w:r>
      <w:r>
        <w:lastRenderedPageBreak/>
        <w:t>\right|</w:t>
      </w:r>
      <w:r>
        <w:br/>
        <w:t>\leq</w:t>
      </w:r>
      <w:r>
        <w:br/>
        <w:t>C</w:t>
      </w:r>
      <w:r>
        <w:br/>
        <w:t>\left|</w:t>
      </w:r>
      <w:r>
        <w:br/>
        <w:t>\Delta\mathcal{D}</w:t>
      </w:r>
      <w:r>
        <w:br/>
        <w:t>\right|.</w:t>
      </w:r>
      <w:r>
        <w:br/>
        <w:t>\tag{3.5306}</w:t>
      </w:r>
      <w:r>
        <w:br/>
        <w:t>]</w:t>
      </w:r>
    </w:p>
    <w:p w:rsidR="00983335" w:rsidRDefault="00983335" w:rsidP="00983335">
      <w:pPr>
        <w:pStyle w:val="StandardWeb"/>
      </w:pPr>
      <w:r>
        <w:rPr>
          <w:rStyle w:val="Fett"/>
        </w:rPr>
        <w:t>Word-LaTeX</w:t>
      </w:r>
    </w:p>
    <w:p w:rsidR="00983335" w:rsidRDefault="00983335" w:rsidP="00983335">
      <w:pPr>
        <w:pStyle w:val="HTMLVorformatiert"/>
        <w:rPr>
          <w:rStyle w:val="HTMLCode"/>
        </w:rPr>
      </w:pPr>
      <w:r>
        <w:rPr>
          <w:rStyle w:val="HTMLCode"/>
        </w:rPr>
        <w:t>\left\|\Delta\widehat{\theta}\right\|\leq C\left\|\Delta\mathcal{D}\right\|\qquad\text{(3.5306)}</w:t>
      </w:r>
    </w:p>
    <w:p w:rsidR="00983335" w:rsidRDefault="00983335" w:rsidP="00983335">
      <w:pPr>
        <w:pStyle w:val="StandardWeb"/>
      </w:pPr>
      <w:r>
        <w:rPr>
          <w:rStyle w:val="Fett"/>
        </w:rPr>
        <w:t>Eigenleistung des FRZK</w:t>
      </w:r>
    </w:p>
    <w:p w:rsidR="00983335" w:rsidRDefault="00983335" w:rsidP="00983335">
      <w:pPr>
        <w:pStyle w:val="StandardWeb"/>
      </w:pPr>
      <w:r>
        <w:t>Der folgende Abschnitt untersucht deshalb die Stabilität von Modellvorhersagen, Parameterschätzungen, funktionalen Strukturen und empirischen Schlussfolgerungen gegenüber kleinen Störungen.</w:t>
      </w:r>
    </w:p>
    <w:p w:rsidR="00874AA7" w:rsidRDefault="00874AA7" w:rsidP="00874AA7">
      <w:pPr>
        <w:pStyle w:val="berschrift2"/>
      </w:pPr>
      <w:r>
        <w:t>Ergänzung zu 3.3.28 – Prüfung der Parameter- und Strukturidentifizierbarkeit</w:t>
      </w:r>
    </w:p>
    <w:p w:rsidR="00874AA7" w:rsidRDefault="00874AA7" w:rsidP="00874AA7">
      <w:pPr>
        <w:pStyle w:val="berschrift3"/>
      </w:pPr>
      <w:r>
        <w:t>Methodologische Betrachtungen</w:t>
      </w:r>
    </w:p>
    <w:p w:rsidR="00874AA7" w:rsidRDefault="00874AA7" w:rsidP="00874AA7">
      <w:pPr>
        <w:pStyle w:val="StandardWeb"/>
      </w:pPr>
      <w:r>
        <w:t>Eine empirisch anschlussfähige und repräsentationskonsistente Modellklasse ist noch nicht automatisch eindeutig aus Beobachtungen bestimmbar. Verschiedene Parameterwerte oder sogar verschiedene Modellstrukturen können dieselben beobachtbaren Vorhersagen erzeugen. Abschnitt 3.3.28 untersucht deshalb Parameter- und Strukturidentifizierbarkeit ausdrücklich getrennt von bloßer Parameterschätzung. Der Repository-Stand führt hierzu Definition 3.3.20, Satz 3.3.10 und Beobachtungsäquivalenzklassen ein.</w:t>
      </w:r>
      <w:r>
        <w:br/>
        <w:t>Der zulässige Parameterraum lautet</w:t>
      </w:r>
    </w:p>
    <w:p w:rsidR="00874AA7" w:rsidRDefault="00874AA7" w:rsidP="00874AA7">
      <w:pPr>
        <w:pStyle w:val="StandardWeb"/>
      </w:pPr>
      <w:r>
        <w:t>[</w:t>
      </w:r>
      <w:r>
        <w:br/>
        <w:t>\Theta</w:t>
      </w:r>
      <w:r>
        <w:br/>
        <w:t>\subseteq</w:t>
      </w:r>
      <w:r>
        <w:br/>
        <w:t>\mathbb{R}^{p}.</w:t>
      </w:r>
      <w:r>
        <w:br/>
        <w:t>\tag{3.5218}</w:t>
      </w:r>
      <w:r>
        <w:br/>
        <w:t>]</w:t>
      </w:r>
    </w:p>
    <w:p w:rsidR="00874AA7" w:rsidRDefault="00874AA7" w:rsidP="00874AA7">
      <w:pPr>
        <w:pStyle w:val="StandardWeb"/>
      </w:pPr>
      <w:r>
        <w:rPr>
          <w:rStyle w:val="Fett"/>
        </w:rPr>
        <w:t>Word-LaTeX</w:t>
      </w:r>
    </w:p>
    <w:p w:rsidR="00874AA7" w:rsidRDefault="00874AA7" w:rsidP="00874AA7">
      <w:pPr>
        <w:pStyle w:val="HTMLVorformatiert"/>
        <w:rPr>
          <w:rStyle w:val="HTMLCode"/>
        </w:rPr>
      </w:pPr>
      <w:r>
        <w:rPr>
          <w:rStyle w:val="HTMLCode"/>
        </w:rPr>
        <w:t>\Theta\subseteq\mathbb{R}^{p}\qquad\text{(3.5218)}</w:t>
      </w:r>
    </w:p>
    <w:p w:rsidR="00874AA7" w:rsidRDefault="00874AA7" w:rsidP="00874AA7">
      <w:pPr>
        <w:pStyle w:val="StandardWeb"/>
      </w:pPr>
      <w:r>
        <w:t>Ein Parametervektor besitzt die Form</w:t>
      </w:r>
    </w:p>
    <w:p w:rsidR="00874AA7" w:rsidRDefault="00874AA7" w:rsidP="00874AA7">
      <w:pPr>
        <w:pStyle w:val="berschrift1"/>
      </w:pPr>
      <w:r>
        <w:t>[</w:t>
      </w:r>
      <w:r>
        <w:br/>
        <w:t>\theta</w:t>
      </w:r>
    </w:p>
    <w:p w:rsidR="00874AA7" w:rsidRDefault="00874AA7" w:rsidP="00874AA7">
      <w:pPr>
        <w:pStyle w:val="StandardWeb"/>
      </w:pPr>
      <w:r>
        <w:lastRenderedPageBreak/>
        <w:t>\left(</w:t>
      </w:r>
      <w:r>
        <w:br/>
        <w:t>\theta_1,</w:t>
      </w:r>
      <w:r>
        <w:br/>
        <w:t>\theta_2,</w:t>
      </w:r>
      <w:r>
        <w:br/>
        <w:t>\ldots,</w:t>
      </w:r>
      <w:r>
        <w:br/>
        <w:t>\theta_p</w:t>
      </w:r>
      <w:r>
        <w:br/>
        <w:t>\right).</w:t>
      </w:r>
      <w:r>
        <w:br/>
        <w:t>\tag{3.5219}</w:t>
      </w:r>
      <w:r>
        <w:br/>
        <w:t>]</w:t>
      </w:r>
    </w:p>
    <w:p w:rsidR="00874AA7" w:rsidRDefault="00874AA7" w:rsidP="00874AA7">
      <w:pPr>
        <w:pStyle w:val="StandardWeb"/>
      </w:pPr>
      <w:r>
        <w:rPr>
          <w:rStyle w:val="Fett"/>
        </w:rPr>
        <w:t>Word-LaTeX</w:t>
      </w:r>
    </w:p>
    <w:p w:rsidR="00874AA7" w:rsidRDefault="00874AA7" w:rsidP="00874AA7">
      <w:pPr>
        <w:pStyle w:val="HTMLVorformatiert"/>
        <w:rPr>
          <w:rStyle w:val="HTMLCode"/>
        </w:rPr>
      </w:pPr>
      <w:r>
        <w:rPr>
          <w:rStyle w:val="HTMLCode"/>
        </w:rPr>
        <w:t>\theta=\left(\theta_1,\theta_2,\ldots,\theta_p\right)\qquad\text{(3.5219)}</w:t>
      </w:r>
    </w:p>
    <w:p w:rsidR="00874AA7" w:rsidRDefault="00874AA7" w:rsidP="00874AA7">
      <w:pPr>
        <w:pStyle w:val="StandardWeb"/>
      </w:pPr>
      <w:r>
        <w:t>Der Parameter bestimmt eine Modellinstanz:</w:t>
      </w:r>
    </w:p>
    <w:p w:rsidR="00874AA7" w:rsidRDefault="00874AA7" w:rsidP="00874AA7">
      <w:pPr>
        <w:pStyle w:val="StandardWeb"/>
      </w:pPr>
      <w:r>
        <w:t>[</w:t>
      </w:r>
      <w:r>
        <w:br/>
        <w:t>\theta</w:t>
      </w:r>
      <w:r>
        <w:br/>
        <w:t>\longmapsto</w:t>
      </w:r>
      <w:r>
        <w:br/>
        <w:t>\mathcal{M}_{\theta}.</w:t>
      </w:r>
      <w:r>
        <w:br/>
        <w:t>\tag{3.5220}</w:t>
      </w:r>
      <w:r>
        <w:br/>
        <w:t>]</w:t>
      </w:r>
    </w:p>
    <w:p w:rsidR="00874AA7" w:rsidRDefault="00874AA7" w:rsidP="00874AA7">
      <w:pPr>
        <w:pStyle w:val="StandardWeb"/>
      </w:pPr>
      <w:r>
        <w:rPr>
          <w:rStyle w:val="Fett"/>
        </w:rPr>
        <w:t>Word-LaTeX</w:t>
      </w:r>
    </w:p>
    <w:p w:rsidR="00874AA7" w:rsidRDefault="00874AA7" w:rsidP="00874AA7">
      <w:pPr>
        <w:pStyle w:val="HTMLVorformatiert"/>
        <w:rPr>
          <w:rStyle w:val="HTMLCode"/>
        </w:rPr>
      </w:pPr>
      <w:r>
        <w:rPr>
          <w:rStyle w:val="HTMLCode"/>
        </w:rPr>
        <w:t>\theta\longmapsto\mathcal{M}_{\theta}\qquad\text{(3.5220)}</w:t>
      </w:r>
    </w:p>
    <w:p w:rsidR="00874AA7" w:rsidRDefault="00874AA7" w:rsidP="00874AA7">
      <w:pPr>
        <w:pStyle w:val="StandardWeb"/>
      </w:pPr>
      <w:r>
        <w:t>Die Vorhersageabbildung lautet</w:t>
      </w:r>
    </w:p>
    <w:p w:rsidR="00874AA7" w:rsidRDefault="00874AA7" w:rsidP="00874AA7">
      <w:pPr>
        <w:pStyle w:val="StandardWeb"/>
      </w:pPr>
      <w:r>
        <w:t>[</w:t>
      </w:r>
      <w:r>
        <w:br/>
        <w:t>\mathcal{P}_{F}:</w:t>
      </w:r>
      <w:r>
        <w:br/>
        <w:t>\Theta</w:t>
      </w:r>
      <w:r>
        <w:br/>
        <w:t>\times</w:t>
      </w:r>
      <w:r>
        <w:br/>
        <w:t>\mathcal{X}</w:t>
      </w:r>
      <w:r>
        <w:br/>
        <w:t>\rightarrow</w:t>
      </w:r>
      <w:r>
        <w:br/>
        <w:t>\mathcal{Y}.</w:t>
      </w:r>
      <w:r>
        <w:br/>
        <w:t>\tag{3.5221}</w:t>
      </w:r>
      <w:r>
        <w:br/>
        <w:t>]</w:t>
      </w:r>
    </w:p>
    <w:p w:rsidR="00874AA7" w:rsidRDefault="00874AA7" w:rsidP="00874AA7">
      <w:pPr>
        <w:pStyle w:val="StandardWeb"/>
      </w:pPr>
      <w:r>
        <w:rPr>
          <w:rStyle w:val="Fett"/>
        </w:rPr>
        <w:t>Word-LaTeX</w:t>
      </w:r>
    </w:p>
    <w:p w:rsidR="00874AA7" w:rsidRDefault="00874AA7" w:rsidP="00874AA7">
      <w:pPr>
        <w:pStyle w:val="HTMLVorformatiert"/>
        <w:rPr>
          <w:rStyle w:val="HTMLCode"/>
        </w:rPr>
      </w:pPr>
      <w:r>
        <w:rPr>
          <w:rStyle w:val="HTMLCode"/>
        </w:rPr>
        <w:t>\mathcal{P}_{F}:\Theta\times\mathcal{X}\rightarrow\mathcal{Y}\qquad\text{(3.5221)}</w:t>
      </w:r>
    </w:p>
    <w:p w:rsidR="00874AA7" w:rsidRDefault="00874AA7" w:rsidP="00874AA7">
      <w:pPr>
        <w:pStyle w:val="StandardWeb"/>
      </w:pPr>
      <w:r>
        <w:t>Das FRZK-Identifizierbarkeitssystem fasst Parameterraum, Beobachtungsmenge, Zielraum, gemeinsame Vorhersageabbildung und Beobachtungsäquivalenzrelation zusammen:</w:t>
      </w:r>
    </w:p>
    <w:p w:rsidR="00874AA7" w:rsidRDefault="00874AA7" w:rsidP="00874AA7">
      <w:pPr>
        <w:pStyle w:val="berschrift1"/>
      </w:pPr>
      <w:r>
        <w:t>[</w:t>
      </w:r>
      <w:r>
        <w:br/>
        <w:t>\mathfrak{J}_{F}</w:t>
      </w:r>
    </w:p>
    <w:p w:rsidR="00874AA7" w:rsidRDefault="00874AA7" w:rsidP="00874AA7">
      <w:pPr>
        <w:pStyle w:val="StandardWeb"/>
      </w:pPr>
      <w:r>
        <w:lastRenderedPageBreak/>
        <w:t>\left(</w:t>
      </w:r>
      <w:r>
        <w:br/>
        <w:t>\Theta,</w:t>
      </w:r>
      <w:r>
        <w:br/>
        <w:t>\mathcal{X}</w:t>
      </w:r>
      <w:r>
        <w:rPr>
          <w:rStyle w:val="Hervorhebung"/>
        </w:rPr>
        <w:t>{\mathrm{obs}},</w:t>
      </w:r>
      <w:r>
        <w:rPr>
          <w:i/>
          <w:iCs/>
        </w:rPr>
        <w:br/>
      </w:r>
      <w:r>
        <w:rPr>
          <w:rStyle w:val="Hervorhebung"/>
        </w:rPr>
        <w:t>\mathcal{Y}</w:t>
      </w:r>
      <w:r>
        <w:t>{\mathrm{obs}},</w:t>
      </w:r>
      <w:r>
        <w:br/>
        <w:t>\mathbf{P}</w:t>
      </w:r>
      <w:r>
        <w:rPr>
          <w:rStyle w:val="Hervorhebung"/>
        </w:rPr>
        <w:t>{F},</w:t>
      </w:r>
      <w:r>
        <w:rPr>
          <w:i/>
          <w:iCs/>
        </w:rPr>
        <w:br/>
      </w:r>
      <w:r>
        <w:rPr>
          <w:rStyle w:val="Hervorhebung"/>
        </w:rPr>
        <w:t>\sim</w:t>
      </w:r>
      <w:r>
        <w:t>{\mathrm{obs}}</w:t>
      </w:r>
      <w:r>
        <w:br/>
        <w:t>\right).</w:t>
      </w:r>
      <w:r>
        <w:br/>
        <w:t>]</w:t>
      </w:r>
    </w:p>
    <w:p w:rsidR="00874AA7" w:rsidRDefault="00874AA7" w:rsidP="00874AA7">
      <w:pPr>
        <w:pStyle w:val="StandardWeb"/>
      </w:pPr>
      <w:r>
        <w:rPr>
          <w:rStyle w:val="Fett"/>
        </w:rPr>
        <w:t>Word-LaTeX</w:t>
      </w:r>
    </w:p>
    <w:p w:rsidR="00874AA7" w:rsidRDefault="00874AA7" w:rsidP="00874AA7">
      <w:pPr>
        <w:pStyle w:val="HTMLVorformatiert"/>
        <w:rPr>
          <w:rStyle w:val="HTMLCode"/>
        </w:rPr>
      </w:pPr>
      <w:r>
        <w:rPr>
          <w:rStyle w:val="HTMLCode"/>
        </w:rPr>
        <w:t>\mathfrak{J}_{F}=\left(\Theta,\mathcal{X}_{\mathrm{obs}},\mathcal{Y}_{\mathrm{obs}},\mathbf{P}_{F},\sim_{\mathrm{obs}}\right)</w:t>
      </w:r>
    </w:p>
    <w:p w:rsidR="00874AA7" w:rsidRDefault="00874AA7" w:rsidP="00874AA7">
      <w:pPr>
        <w:pStyle w:val="StandardWeb"/>
      </w:pPr>
      <w:r>
        <w:t>Global identifizierbar ist ein Parameter nur dann, wenn keine zwei verschiedenen zulässigen Parameter dieselben vollständigen Beobachtungsvorhersagen erzeugen.</w:t>
      </w:r>
    </w:p>
    <w:p w:rsidR="00874AA7" w:rsidRDefault="00874AA7" w:rsidP="00874AA7">
      <w:pPr>
        <w:pStyle w:val="StandardWeb"/>
      </w:pPr>
      <w:r>
        <w:t>Satz 3.3.10 formuliert dies über die Injektivität:</w:t>
      </w:r>
    </w:p>
    <w:p w:rsidR="00874AA7" w:rsidRDefault="00874AA7" w:rsidP="00874AA7">
      <w:pPr>
        <w:pStyle w:val="berschrift1"/>
      </w:pPr>
      <w:r>
        <w:t>[</w:t>
      </w:r>
      <w:r>
        <w:br/>
        <w:t>\mathbf{P}_{F}</w:t>
      </w:r>
      <w:r>
        <w:br/>
        <w:t>(\theta_1)</w:t>
      </w:r>
    </w:p>
    <w:p w:rsidR="00874AA7" w:rsidRDefault="00874AA7" w:rsidP="00874AA7">
      <w:pPr>
        <w:pStyle w:val="berschrift1"/>
      </w:pPr>
      <w:r>
        <w:t>\mathbf{P}_{F}</w:t>
      </w:r>
      <w:r>
        <w:br/>
        <w:t>(\theta_2)</w:t>
      </w:r>
      <w:r>
        <w:br/>
        <w:t>\Rightarrow</w:t>
      </w:r>
      <w:r>
        <w:br/>
        <w:t>\theta_1</w:t>
      </w:r>
    </w:p>
    <w:p w:rsidR="00874AA7" w:rsidRDefault="00874AA7" w:rsidP="00874AA7">
      <w:pPr>
        <w:pStyle w:val="StandardWeb"/>
      </w:pPr>
      <w:r>
        <w:t>\theta_2.</w:t>
      </w:r>
      <w:r>
        <w:br/>
        <w:t>]</w:t>
      </w:r>
    </w:p>
    <w:p w:rsidR="00874AA7" w:rsidRDefault="00874AA7" w:rsidP="00874AA7">
      <w:pPr>
        <w:pStyle w:val="StandardWeb"/>
      </w:pPr>
      <w:r>
        <w:rPr>
          <w:rStyle w:val="Fett"/>
        </w:rPr>
        <w:t>Word-LaTeX</w:t>
      </w:r>
    </w:p>
    <w:p w:rsidR="00874AA7" w:rsidRDefault="00874AA7" w:rsidP="00874AA7">
      <w:pPr>
        <w:pStyle w:val="HTMLVorformatiert"/>
        <w:rPr>
          <w:rStyle w:val="HTMLCode"/>
        </w:rPr>
      </w:pPr>
      <w:r>
        <w:rPr>
          <w:rStyle w:val="HTMLCode"/>
        </w:rPr>
        <w:t>\mathbf{P}_{F}(\theta_1)=\mathbf{P}_{F}(\theta_2)\Rightarrow\theta_1=\theta_2</w:t>
      </w:r>
    </w:p>
    <w:p w:rsidR="00874AA7" w:rsidRDefault="00874AA7" w:rsidP="00874AA7">
      <w:pPr>
        <w:pStyle w:val="StandardWeb"/>
      </w:pPr>
      <w:r>
        <w:t>Methodologisch ist entscheidend, Identifizierbarkeit nicht mit erfolgreicher Optimierung zu verwechseln. Ein numerisches Verfahren kann einen eindeutigen Minimierer liefern, obwohl mehrere Parameterkombinationen empirisch nahezu dieselben Vorhersagen erzeugen. Der Algorithmus hat dann eine Lösung ausgewählt; die Daten haben den Parameter jedoch nicht notwendig eindeutig bestimmt.</w:t>
      </w:r>
    </w:p>
    <w:p w:rsidR="00874AA7" w:rsidRDefault="00874AA7" w:rsidP="00874AA7">
      <w:pPr>
        <w:pStyle w:val="StandardWeb"/>
      </w:pPr>
      <w:r>
        <w:t>Ebenso muss strukturelle von praktischer Identifizierbarkeit unterschieden werden. Ein Parameter kann bei idealen, vollständigen und fehlerfreien Beobachtungen theoretisch eindeutig bestimmbar sein, unter realen verrauschten Daten aber praktisch kaum zuverlässig geschätzt werden.</w:t>
      </w:r>
    </w:p>
    <w:p w:rsidR="00874AA7" w:rsidRDefault="00874AA7" w:rsidP="00874AA7">
      <w:pPr>
        <w:pStyle w:val="StandardWeb"/>
      </w:pPr>
      <w:r>
        <w:lastRenderedPageBreak/>
        <w:t>Die Sensitivitätsmatrix ist deshalb nur ein diagnostisches Werkzeug. Eine volle lokale Rangbedingung</w:t>
      </w:r>
    </w:p>
    <w:p w:rsidR="00874AA7" w:rsidRDefault="00874AA7" w:rsidP="00874AA7">
      <w:pPr>
        <w:pStyle w:val="berschrift1"/>
      </w:pPr>
      <w:r>
        <w:t>[</w:t>
      </w:r>
      <w:r>
        <w:br/>
        <w:t>\operatorname{rang}</w:t>
      </w:r>
      <w:r>
        <w:br/>
        <w:t>\left(</w:t>
      </w:r>
      <w:r>
        <w:br/>
        <w:t>S(\theta^\ast)</w:t>
      </w:r>
      <w:r>
        <w:br/>
        <w:t>\right)</w:t>
      </w:r>
    </w:p>
    <w:p w:rsidR="00874AA7" w:rsidRDefault="00874AA7" w:rsidP="00874AA7">
      <w:pPr>
        <w:pStyle w:val="StandardWeb"/>
      </w:pPr>
      <w:r>
        <w:t>p</w:t>
      </w:r>
      <w:r>
        <w:br/>
        <w:t>\tag{3.5249}</w:t>
      </w:r>
      <w:r>
        <w:br/>
        <w:t>]</w:t>
      </w:r>
    </w:p>
    <w:p w:rsidR="00874AA7" w:rsidRDefault="00874AA7" w:rsidP="00874AA7">
      <w:pPr>
        <w:pStyle w:val="StandardWeb"/>
      </w:pPr>
      <w:r>
        <w:rPr>
          <w:rStyle w:val="Fett"/>
        </w:rPr>
        <w:t>Word-LaTeX</w:t>
      </w:r>
    </w:p>
    <w:p w:rsidR="00874AA7" w:rsidRDefault="00874AA7" w:rsidP="00874AA7">
      <w:pPr>
        <w:pStyle w:val="HTMLVorformatiert"/>
        <w:rPr>
          <w:rStyle w:val="HTMLCode"/>
        </w:rPr>
      </w:pPr>
      <w:r>
        <w:rPr>
          <w:rStyle w:val="HTMLCode"/>
        </w:rPr>
        <w:t>\operatorname{rang}\left(S(\theta^\ast)\right)=p\qquad\text{(3.5249)}</w:t>
      </w:r>
    </w:p>
    <w:p w:rsidR="00874AA7" w:rsidRDefault="00874AA7" w:rsidP="00874AA7">
      <w:pPr>
        <w:pStyle w:val="StandardWeb"/>
      </w:pPr>
      <w:r>
        <w:t>stützt lokale Identifizierbarkeit unter den vorausgesetzten Regularitätsbedingungen.</w:t>
      </w:r>
    </w:p>
    <w:p w:rsidR="00874AA7" w:rsidRDefault="00874AA7" w:rsidP="00874AA7">
      <w:pPr>
        <w:pStyle w:val="StandardWeb"/>
      </w:pPr>
      <w:r>
        <w:t>Ein Rangdefizit</w:t>
      </w:r>
    </w:p>
    <w:p w:rsidR="00874AA7" w:rsidRDefault="00874AA7" w:rsidP="00874AA7">
      <w:pPr>
        <w:pStyle w:val="StandardWeb"/>
      </w:pPr>
      <w:r>
        <w:t>[</w:t>
      </w:r>
      <w:r>
        <w:br/>
        <w:t>\operatorname{rang}</w:t>
      </w:r>
      <w:r>
        <w:br/>
        <w:t>\left(</w:t>
      </w:r>
      <w:r>
        <w:br/>
        <w:t>S(\theta^\ast)</w:t>
      </w:r>
      <w:r>
        <w:br/>
        <w:t>\right)</w:t>
      </w:r>
      <w:r>
        <w:br/>
        <w:t>&lt;</w:t>
      </w:r>
      <w:r>
        <w:br/>
        <w:t>p</w:t>
      </w:r>
      <w:r>
        <w:br/>
        <w:t>\tag{3.5250}</w:t>
      </w:r>
      <w:r>
        <w:br/>
        <w:t>]</w:t>
      </w:r>
    </w:p>
    <w:p w:rsidR="00874AA7" w:rsidRDefault="00874AA7" w:rsidP="00874AA7">
      <w:pPr>
        <w:pStyle w:val="StandardWeb"/>
      </w:pPr>
      <w:r>
        <w:rPr>
          <w:rStyle w:val="Fett"/>
        </w:rPr>
        <w:t>Word-LaTeX</w:t>
      </w:r>
    </w:p>
    <w:p w:rsidR="00874AA7" w:rsidRDefault="00874AA7" w:rsidP="00874AA7">
      <w:pPr>
        <w:pStyle w:val="HTMLVorformatiert"/>
        <w:rPr>
          <w:rStyle w:val="HTMLCode"/>
        </w:rPr>
      </w:pPr>
      <w:r>
        <w:rPr>
          <w:rStyle w:val="HTMLCode"/>
        </w:rPr>
        <w:t>\operatorname{rang}\left(S(\theta^\ast)\right)&lt;p\qquad\text{(3.5250)}</w:t>
      </w:r>
    </w:p>
    <w:p w:rsidR="00874AA7" w:rsidRDefault="00874AA7" w:rsidP="00874AA7">
      <w:pPr>
        <w:pStyle w:val="StandardWeb"/>
      </w:pPr>
      <w:r>
        <w:t>weist dagegen auf lokal nicht unterscheidbare Parameterrichtungen hin.</w:t>
      </w:r>
    </w:p>
    <w:p w:rsidR="00874AA7" w:rsidRDefault="00874AA7" w:rsidP="00874AA7">
      <w:pPr>
        <w:pStyle w:val="StandardWeb"/>
      </w:pPr>
      <w:r>
        <w:t>Besonders wichtig ist die Prüfung von Repräsentationssymmetrien. Zwei verschiedene Parameterwerte können mathematisch verschiedene Koordinaten darstellen, aber dieselbe Modellstruktur repräsentieren. In diesem Fall wäre es falsch, die Symmetrie unmittelbar als wissenschaftliche Nichtidentifizierbarkeit zu interpretieren.</w:t>
      </w:r>
    </w:p>
    <w:p w:rsidR="00874AA7" w:rsidRDefault="00874AA7" w:rsidP="00874AA7">
      <w:pPr>
        <w:pStyle w:val="StandardWeb"/>
      </w:pPr>
      <w:r>
        <w:t>Methodologisch muss deshalb zuerst geklärt werden, ob zwei Parameterwerte wirklich unterschiedliche empirische Modelle oder nur unterschiedliche Repräsentationen desselben Modells beschreiben.</w:t>
      </w:r>
    </w:p>
    <w:p w:rsidR="00874AA7" w:rsidRDefault="00874AA7" w:rsidP="00874AA7">
      <w:pPr>
        <w:pStyle w:val="berschrift3"/>
      </w:pPr>
      <w:r>
        <w:t>Didaktische Betrachtungen</w:t>
      </w:r>
    </w:p>
    <w:p w:rsidR="00874AA7" w:rsidRDefault="00874AA7" w:rsidP="00874AA7">
      <w:pPr>
        <w:pStyle w:val="StandardWeb"/>
      </w:pPr>
      <w:r>
        <w:lastRenderedPageBreak/>
        <w:t>Identifizierbarkeit lässt sich mit einer einfachen Gleichung verdeutlichen:</w:t>
      </w:r>
    </w:p>
    <w:p w:rsidR="00874AA7" w:rsidRDefault="00874AA7" w:rsidP="00874AA7">
      <w:pPr>
        <w:pStyle w:val="StandardWeb"/>
      </w:pPr>
      <w:r>
        <w:t>[</w:t>
      </w:r>
      <w:r>
        <w:br/>
        <w:t>y=\theta^2.</w:t>
      </w:r>
      <w:r>
        <w:br/>
        <w:t>]</w:t>
      </w:r>
    </w:p>
    <w:p w:rsidR="00874AA7" w:rsidRDefault="00874AA7" w:rsidP="00874AA7">
      <w:pPr>
        <w:pStyle w:val="StandardWeb"/>
      </w:pPr>
      <w:r>
        <w:t>Wird</w:t>
      </w:r>
    </w:p>
    <w:p w:rsidR="00874AA7" w:rsidRDefault="00874AA7" w:rsidP="00874AA7">
      <w:pPr>
        <w:pStyle w:val="StandardWeb"/>
      </w:pPr>
      <w:r>
        <w:t>[</w:t>
      </w:r>
      <w:r>
        <w:br/>
        <w:t>y=4</w:t>
      </w:r>
      <w:r>
        <w:br/>
        <w:t>]</w:t>
      </w:r>
    </w:p>
    <w:p w:rsidR="00874AA7" w:rsidRDefault="00874AA7" w:rsidP="00874AA7">
      <w:pPr>
        <w:pStyle w:val="StandardWeb"/>
      </w:pPr>
      <w:r>
        <w:t>beobachtet, sind zunächst zwei Parameterwerte möglich:</w:t>
      </w:r>
    </w:p>
    <w:p w:rsidR="00874AA7" w:rsidRDefault="00874AA7" w:rsidP="00874AA7">
      <w:pPr>
        <w:pStyle w:val="StandardWeb"/>
      </w:pPr>
      <w:r>
        <w:t>[</w:t>
      </w:r>
      <w:r>
        <w:br/>
        <w:t>\theta=2</w:t>
      </w:r>
      <w:r>
        <w:br/>
        <w:t>]</w:t>
      </w:r>
    </w:p>
    <w:p w:rsidR="00874AA7" w:rsidRDefault="00874AA7" w:rsidP="00874AA7">
      <w:pPr>
        <w:pStyle w:val="StandardWeb"/>
      </w:pPr>
      <w:r>
        <w:t>und</w:t>
      </w:r>
    </w:p>
    <w:p w:rsidR="00874AA7" w:rsidRDefault="00874AA7" w:rsidP="00874AA7">
      <w:pPr>
        <w:pStyle w:val="StandardWeb"/>
      </w:pPr>
      <w:r>
        <w:t>[</w:t>
      </w:r>
      <w:r>
        <w:br/>
        <w:t>\theta=-2.</w:t>
      </w:r>
      <w:r>
        <w:br/>
        <w:t>]</w:t>
      </w:r>
    </w:p>
    <w:p w:rsidR="00874AA7" w:rsidRDefault="00874AA7" w:rsidP="00874AA7">
      <w:pPr>
        <w:pStyle w:val="StandardWeb"/>
      </w:pPr>
      <w:r>
        <w:t>Die Beobachtung allein kann beide nicht unterscheiden.</w:t>
      </w:r>
    </w:p>
    <w:p w:rsidR="00874AA7" w:rsidRDefault="00874AA7" w:rsidP="00874AA7">
      <w:pPr>
        <w:pStyle w:val="StandardWeb"/>
      </w:pPr>
      <w:r>
        <w:t>Die Beobachtungsäquivalenzklasse lautet in einem solchen Fall beispielsweise</w:t>
      </w:r>
    </w:p>
    <w:p w:rsidR="00874AA7" w:rsidRDefault="00874AA7" w:rsidP="00874AA7">
      <w:pPr>
        <w:pStyle w:val="berschrift1"/>
      </w:pPr>
      <w:r>
        <w:t>[</w:t>
      </w:r>
      <w:r>
        <w:br/>
        <w:t>[\theta]_{\mathrm{obs}}</w:t>
      </w:r>
    </w:p>
    <w:p w:rsidR="00874AA7" w:rsidRDefault="00874AA7" w:rsidP="00874AA7">
      <w:pPr>
        <w:pStyle w:val="StandardWeb"/>
      </w:pPr>
      <w:r>
        <w:t>{\theta,-\theta}.</w:t>
      </w:r>
      <w:r>
        <w:br/>
        <w:t>\tag{3.5241}</w:t>
      </w:r>
      <w:r>
        <w:br/>
        <w:t>]</w:t>
      </w:r>
    </w:p>
    <w:p w:rsidR="00874AA7" w:rsidRDefault="00874AA7" w:rsidP="00874AA7">
      <w:pPr>
        <w:pStyle w:val="StandardWeb"/>
      </w:pPr>
      <w:r>
        <w:rPr>
          <w:rStyle w:val="Fett"/>
        </w:rPr>
        <w:t>Word-LaTeX</w:t>
      </w:r>
    </w:p>
    <w:p w:rsidR="00874AA7" w:rsidRDefault="00874AA7" w:rsidP="00874AA7">
      <w:pPr>
        <w:pStyle w:val="HTMLVorformatiert"/>
        <w:rPr>
          <w:rStyle w:val="HTMLCode"/>
        </w:rPr>
      </w:pPr>
      <w:r>
        <w:rPr>
          <w:rStyle w:val="HTMLCode"/>
        </w:rPr>
        <w:t>[\theta]_{\mathrm{obs}}=\left\{\theta,-\theta\right\}\qquad\text{(3.5241)}</w:t>
      </w:r>
    </w:p>
    <w:p w:rsidR="00874AA7" w:rsidRDefault="00874AA7" w:rsidP="00874AA7">
      <w:pPr>
        <w:pStyle w:val="StandardWeb"/>
      </w:pPr>
      <w:r>
        <w:t>Eine zusätzliche Bedingung</w:t>
      </w:r>
    </w:p>
    <w:p w:rsidR="00874AA7" w:rsidRDefault="00874AA7" w:rsidP="00874AA7">
      <w:pPr>
        <w:pStyle w:val="StandardWeb"/>
      </w:pPr>
      <w:r>
        <w:t>[</w:t>
      </w:r>
      <w:r>
        <w:br/>
        <w:t>\theta\geq0</w:t>
      </w:r>
      <w:r>
        <w:br/>
        <w:t>\tag{3.5242}</w:t>
      </w:r>
      <w:r>
        <w:br/>
        <w:t>]</w:t>
      </w:r>
    </w:p>
    <w:p w:rsidR="00874AA7" w:rsidRDefault="00874AA7" w:rsidP="00874AA7">
      <w:pPr>
        <w:pStyle w:val="StandardWeb"/>
      </w:pPr>
      <w:r>
        <w:rPr>
          <w:rStyle w:val="Fett"/>
        </w:rPr>
        <w:t>Word-LaTeX</w:t>
      </w:r>
    </w:p>
    <w:p w:rsidR="00874AA7" w:rsidRDefault="00874AA7" w:rsidP="00874AA7">
      <w:pPr>
        <w:pStyle w:val="HTMLVorformatiert"/>
        <w:rPr>
          <w:rStyle w:val="HTMLCode"/>
        </w:rPr>
      </w:pPr>
      <w:r>
        <w:rPr>
          <w:rStyle w:val="HTMLCode"/>
        </w:rPr>
        <w:t>\theta\geq0\qquad\text{(3.5242)}</w:t>
      </w:r>
    </w:p>
    <w:p w:rsidR="00874AA7" w:rsidRDefault="00874AA7" w:rsidP="00874AA7">
      <w:pPr>
        <w:pStyle w:val="StandardWeb"/>
      </w:pPr>
      <w:r>
        <w:lastRenderedPageBreak/>
        <w:t>würde die Mehrdeutigkeit beseitigen.</w:t>
      </w:r>
    </w:p>
    <w:p w:rsidR="00874AA7" w:rsidRDefault="00874AA7" w:rsidP="00874AA7">
      <w:pPr>
        <w:pStyle w:val="StandardWeb"/>
      </w:pPr>
      <w:r>
        <w:t>Didaktisch ist dabei entscheidend zu fragen:</w:t>
      </w:r>
    </w:p>
    <w:p w:rsidR="00874AA7" w:rsidRDefault="00874AA7" w:rsidP="00874AA7">
      <w:pPr>
        <w:pStyle w:val="StandardWeb"/>
      </w:pPr>
      <w:r>
        <w:rPr>
          <w:rStyle w:val="Fett"/>
        </w:rPr>
        <w:t>Kam diese Zusatzbedingung aus den Daten, aus der Theorie oder aus einer Modellentscheidung?</w:t>
      </w:r>
    </w:p>
    <w:p w:rsidR="00874AA7" w:rsidRDefault="00874AA7" w:rsidP="00874AA7">
      <w:pPr>
        <w:pStyle w:val="StandardWeb"/>
      </w:pPr>
      <w:r>
        <w:t>Nur dann bleibt nachvollziehbar, weshalb am Ende ein bestimmter Parameterwert ausgewählt wurde.</w:t>
      </w:r>
    </w:p>
    <w:p w:rsidR="00874AA7" w:rsidRDefault="00E50336" w:rsidP="00874AA7">
      <w:r>
        <w:pict>
          <v:rect id="_x0000_i1053" style="width:0;height:1.5pt" o:hralign="center" o:hrstd="t" o:hr="t" fillcolor="#a0a0a0" stroked="f"/>
        </w:pict>
      </w:r>
    </w:p>
    <w:p w:rsidR="000A01E3" w:rsidRDefault="000A01E3" w:rsidP="000A01E3"/>
    <w:p w:rsidR="000A01E3" w:rsidRPr="00AF32B2" w:rsidRDefault="000A01E3" w:rsidP="00AF32B2">
      <w:pPr>
        <w:pStyle w:val="berschrift3"/>
      </w:pPr>
      <w:r w:rsidRPr="00AF32B2">
        <w:t>3.3.29 Prüfung der Stabilität und Robustheit</w:t>
      </w:r>
    </w:p>
    <w:p w:rsidR="000A01E3" w:rsidRDefault="000A01E3" w:rsidP="000A01E3">
      <w:pPr>
        <w:pStyle w:val="StandardWeb"/>
      </w:pPr>
      <w:r>
        <w:t>Die Identifizierbarkeitsprüfung des vorhergehenden Abschnitts hat gezeigt, unter welchen Voraussetzungen Parameterwerte und Modellstrukturen aus empirischen Beobachtungen eindeutig bestimmt werden können. Damit ist jedoch noch nicht beantwortet, ob diese Ergebnisse gegenüber kleinen Änderungen der Daten oder der Modellannahmen stabil bleiben. Ein Modell kann vollständig identifizierbar sein und dennoch bereits auf geringfügige Messfehler mit erheblichen Änderungen der berechneten Parameter oder der wissenschaftlichen Schlussfolgerungen reagieren. Identifizierbarkeit und Stabilität beschreiben daher unterschiedliche Eigenschaften eines wissenschaftlichen Modells und müssen getrennt untersucht werden [58, 59, 71, 75].</w:t>
      </w:r>
    </w:p>
    <w:p w:rsidR="000A01E3" w:rsidRDefault="000A01E3" w:rsidP="000A01E3">
      <w:pPr>
        <w:pStyle w:val="StandardWeb"/>
      </w:pPr>
      <w:r>
        <w:t>Für das Funktionale Raum-Zeit-Kohärenzsystem besitzt diese Unterscheidung eine besondere Bedeutung. Sämtliche Zustandsgrößen, Relationen und Kohärenzwerte entstehen aus empirischen Beobachtungen, die unvermeidlich Messunsicherheiten, Stichprobenfehler oder unterschiedliche Operationalisierungen enthalten können. Deshalb genügt es nicht, lediglich eine mathematisch korrekte Modellstruktur zu entwickeln. Ebenso muss nachgewiesen werden, dass die daraus abgeleiteten Aussagen unter kleinen zulässigen Änderungen der Ausgangsdaten erhalten bleiben.</w:t>
      </w:r>
    </w:p>
    <w:p w:rsidR="000A01E3" w:rsidRDefault="000A01E3" w:rsidP="000A01E3">
      <w:pPr>
        <w:pStyle w:val="StandardWeb"/>
      </w:pPr>
      <w:r>
        <w:t>Ich unterscheide deshalb vier Ebenen der Stabilitätsanalyse:</w:t>
      </w:r>
    </w:p>
    <w:p w:rsidR="000A01E3" w:rsidRDefault="000A01E3" w:rsidP="00632D23">
      <w:pPr>
        <w:pStyle w:val="StandardWeb"/>
        <w:numPr>
          <w:ilvl w:val="0"/>
          <w:numId w:val="170"/>
        </w:numPr>
      </w:pPr>
      <w:r>
        <w:t>Stabilität der Eingangsdaten,</w:t>
      </w:r>
    </w:p>
    <w:p w:rsidR="000A01E3" w:rsidRDefault="000A01E3" w:rsidP="00632D23">
      <w:pPr>
        <w:pStyle w:val="StandardWeb"/>
        <w:numPr>
          <w:ilvl w:val="0"/>
          <w:numId w:val="170"/>
        </w:numPr>
      </w:pPr>
      <w:r>
        <w:t>Stabilität der Parameterschätzung,</w:t>
      </w:r>
    </w:p>
    <w:p w:rsidR="000A01E3" w:rsidRDefault="000A01E3" w:rsidP="00632D23">
      <w:pPr>
        <w:pStyle w:val="StandardWeb"/>
        <w:numPr>
          <w:ilvl w:val="0"/>
          <w:numId w:val="170"/>
        </w:numPr>
      </w:pPr>
      <w:r>
        <w:t>Stabilität der Modellvorhersagen,</w:t>
      </w:r>
    </w:p>
    <w:p w:rsidR="000A01E3" w:rsidRDefault="000A01E3" w:rsidP="00632D23">
      <w:pPr>
        <w:pStyle w:val="StandardWeb"/>
        <w:numPr>
          <w:ilvl w:val="0"/>
          <w:numId w:val="170"/>
        </w:numPr>
      </w:pPr>
      <w:r>
        <w:t>Stabilität der wissenschaftlichen Schlussfolgerungen.</w:t>
      </w:r>
    </w:p>
    <w:p w:rsidR="000A01E3" w:rsidRDefault="000A01E3" w:rsidP="000A01E3">
      <w:pPr>
        <w:pStyle w:val="StandardWeb"/>
      </w:pPr>
      <w:r>
        <w:t>Diese vier Ebenen bauen aufeinander auf. Instabilitäten können bereits in den Rohdaten entstehen und sich anschließend über die Parameterschätzung bis hin zur Interpretation der Ergebnisse fortpflanzen. Umgekehrt kann ein mathematisch stabiles Modell lokale Datenstörungen dämpfen und dadurch robuste wissenschaftliche Aussagen ermöglichen.</w:t>
      </w:r>
    </w:p>
    <w:p w:rsidR="000A01E3" w:rsidRDefault="000A01E3" w:rsidP="000A01E3">
      <w:pPr>
        <w:pStyle w:val="StandardWeb"/>
      </w:pPr>
      <w:r>
        <w:rPr>
          <w:rStyle w:val="Fett"/>
        </w:rPr>
        <w:t>Eigenleistung des FRZK</w:t>
      </w:r>
    </w:p>
    <w:p w:rsidR="000A01E3" w:rsidRDefault="000A01E3" w:rsidP="000A01E3">
      <w:pPr>
        <w:pStyle w:val="StandardWeb"/>
      </w:pPr>
      <w:r>
        <w:t xml:space="preserve">Ich führe erstmals ein gemeinsames Stabilitätssystem ein, das Datenstörungen, Parameteränderungen, Modellreaktionen und die daraus resultierenden wissenschaftlichen Aussagen in einem einheitlichen mathematischen Rahmen beschreibt. Dadurch lässt sich </w:t>
      </w:r>
      <w:r>
        <w:lastRenderedPageBreak/>
        <w:t>eindeutig bestimmen, auf welcher Ebene eine Instabilität entsteht und ob sie durch geeignete Modellanpassungen oder zusätzliche Beobachtungen reduziert werden kann.</w:t>
      </w:r>
    </w:p>
    <w:p w:rsidR="000A01E3" w:rsidRPr="00AF32B2" w:rsidRDefault="000A01E3" w:rsidP="00AF32B2">
      <w:pPr>
        <w:pStyle w:val="berschrift4"/>
      </w:pPr>
      <w:r w:rsidRPr="00AF32B2">
        <w:t>3.3.29.1 Ausgangs- und Störsystem</w:t>
      </w:r>
    </w:p>
    <w:p w:rsidR="000A01E3" w:rsidRDefault="000A01E3" w:rsidP="000A01E3">
      <w:pPr>
        <w:pStyle w:val="StandardWeb"/>
      </w:pPr>
      <w:r>
        <w:t>Die ursprüngliche empirische Datengrundlage bezeichne ich mit</w:t>
      </w:r>
    </w:p>
    <w:p w:rsidR="000A01E3" w:rsidRDefault="000A01E3" w:rsidP="000A01E3">
      <w:pPr>
        <w:pStyle w:val="StandardWeb"/>
      </w:pPr>
      <w:r>
        <w:t>[</w:t>
      </w:r>
      <w:r>
        <w:br/>
        <w:t>\mathcal{D}.</w:t>
      </w:r>
      <w:r>
        <w:br/>
        <w:t>\tag{3.5307}</w:t>
      </w:r>
      <w:r>
        <w:br/>
        <w:t>]</w:t>
      </w:r>
    </w:p>
    <w:p w:rsidR="000A01E3" w:rsidRDefault="000A01E3" w:rsidP="000A01E3">
      <w:pPr>
        <w:pStyle w:val="StandardWeb"/>
      </w:pPr>
      <w:r>
        <w:rPr>
          <w:rStyle w:val="Fett"/>
        </w:rPr>
        <w:t>Word-LaTeX</w:t>
      </w:r>
    </w:p>
    <w:p w:rsidR="000A01E3" w:rsidRDefault="000A01E3" w:rsidP="000A01E3">
      <w:pPr>
        <w:pStyle w:val="HTMLVorformatiert"/>
        <w:rPr>
          <w:rStyle w:val="HTMLCode"/>
        </w:rPr>
      </w:pPr>
      <w:r>
        <w:rPr>
          <w:rStyle w:val="HTMLCode"/>
        </w:rPr>
        <w:t>\mathcal{D}\qquad\text{(3.5307)}</w:t>
      </w:r>
    </w:p>
    <w:p w:rsidR="000A01E3" w:rsidRDefault="000A01E3" w:rsidP="000A01E3">
      <w:pPr>
        <w:pStyle w:val="StandardWeb"/>
      </w:pPr>
      <w:r>
        <w:t>Eine gestörte Datengrundlage entsteht durch eine zulässige Änderung</w:t>
      </w:r>
    </w:p>
    <w:p w:rsidR="000A01E3" w:rsidRDefault="000A01E3" w:rsidP="000A01E3">
      <w:pPr>
        <w:pStyle w:val="berschrift1"/>
      </w:pPr>
      <w:r>
        <w:t>[</w:t>
      </w:r>
      <w:r>
        <w:br/>
        <w:t>\mathcal{D}'</w:t>
      </w:r>
    </w:p>
    <w:p w:rsidR="000A01E3" w:rsidRDefault="000A01E3" w:rsidP="000A01E3">
      <w:pPr>
        <w:pStyle w:val="StandardWeb"/>
      </w:pPr>
      <w:r>
        <w:t>\mathcal{D}</w:t>
      </w:r>
      <w:r>
        <w:br/>
        <w:t>+</w:t>
      </w:r>
      <w:r>
        <w:br/>
        <w:t>\Delta\mathcal{D}.</w:t>
      </w:r>
      <w:r>
        <w:br/>
        <w:t>\tag{3.5308}</w:t>
      </w:r>
      <w:r>
        <w:br/>
        <w:t>]</w:t>
      </w:r>
    </w:p>
    <w:p w:rsidR="000A01E3" w:rsidRDefault="000A01E3" w:rsidP="000A01E3">
      <w:pPr>
        <w:pStyle w:val="StandardWeb"/>
      </w:pPr>
      <w:r>
        <w:rPr>
          <w:rStyle w:val="Fett"/>
        </w:rPr>
        <w:t>Word-LaTeX</w:t>
      </w:r>
    </w:p>
    <w:p w:rsidR="000A01E3" w:rsidRDefault="000A01E3" w:rsidP="000A01E3">
      <w:pPr>
        <w:pStyle w:val="HTMLVorformatiert"/>
        <w:rPr>
          <w:rStyle w:val="HTMLCode"/>
        </w:rPr>
      </w:pPr>
      <w:r>
        <w:rPr>
          <w:rStyle w:val="HTMLCode"/>
        </w:rPr>
        <w:t>\mathcal{D}'=\mathcal{D}+\Delta\mathcal{D}\qquad\text{(3.5308)}</w:t>
      </w:r>
    </w:p>
    <w:p w:rsidR="000A01E3" w:rsidRDefault="000A01E3" w:rsidP="000A01E3">
      <w:pPr>
        <w:pStyle w:val="StandardWeb"/>
      </w:pPr>
      <w:r>
        <w:t>Dabei bezeichnet (\Delta\mathcal{D}) eine zulässige Veränderung der Eingangsdaten. Solche Änderungen können beispielsweise durch Messrauschen, Rundungsfehler, unvollständige Datensätze oder unterschiedliche Stichproben entstehen. Die Größe der Störung wird durch eine geeignete Norm beschrieben:</w:t>
      </w:r>
    </w:p>
    <w:p w:rsidR="000A01E3" w:rsidRDefault="000A01E3" w:rsidP="000A01E3">
      <w:pPr>
        <w:pStyle w:val="StandardWeb"/>
      </w:pPr>
      <w:r>
        <w:t>[</w:t>
      </w:r>
      <w:r>
        <w:br/>
        <w:t>\left|</w:t>
      </w:r>
      <w:r>
        <w:br/>
        <w:t>\Delta\mathcal{D}</w:t>
      </w:r>
      <w:r>
        <w:br/>
        <w:t>\right|.</w:t>
      </w:r>
      <w:r>
        <w:br/>
        <w:t>\tag{3.5309}</w:t>
      </w:r>
      <w:r>
        <w:br/>
        <w:t>]</w:t>
      </w:r>
    </w:p>
    <w:p w:rsidR="000A01E3" w:rsidRDefault="000A01E3" w:rsidP="000A01E3">
      <w:pPr>
        <w:pStyle w:val="StandardWeb"/>
      </w:pPr>
      <w:r>
        <w:rPr>
          <w:rStyle w:val="Fett"/>
        </w:rPr>
        <w:t>Word-LaTeX</w:t>
      </w:r>
    </w:p>
    <w:p w:rsidR="000A01E3" w:rsidRDefault="000A01E3" w:rsidP="000A01E3">
      <w:pPr>
        <w:pStyle w:val="HTMLVorformatiert"/>
        <w:rPr>
          <w:rStyle w:val="HTMLCode"/>
        </w:rPr>
      </w:pPr>
      <w:r>
        <w:rPr>
          <w:rStyle w:val="HTMLCode"/>
        </w:rPr>
        <w:t>\left\|\Delta\mathcal{D}\right\|\qquad\text{(3.5309)}</w:t>
      </w:r>
    </w:p>
    <w:p w:rsidR="000A01E3" w:rsidRDefault="000A01E3" w:rsidP="000A01E3">
      <w:pPr>
        <w:pStyle w:val="StandardWeb"/>
      </w:pPr>
      <w:r>
        <w:t xml:space="preserve">Eine Stabilitätsanalyse untersucht anschließend, wie sich diese kleine Datenänderung auf sämtliche nachfolgenden Modellschritte auswirkt. Dabei interessiert nicht die Existenz einer </w:t>
      </w:r>
      <w:r>
        <w:lastRenderedPageBreak/>
        <w:t>Lösung, sondern ihre Empfindlichkeit gegenüber zulässigen Störungen. Genau diese Fragestellung bildet die Grundlage der folgenden Definition des FRZK-Stabilitätssystems.</w:t>
      </w:r>
    </w:p>
    <w:p w:rsidR="00E172C5" w:rsidRPr="00AF32B2" w:rsidRDefault="00E172C5" w:rsidP="00AF32B2">
      <w:pPr>
        <w:pStyle w:val="berschrift4"/>
      </w:pPr>
      <w:r w:rsidRPr="00AF32B2">
        <w:t>3.3.29.2 Stabilität der Parameterschätzung</w:t>
      </w:r>
    </w:p>
    <w:p w:rsidR="00E172C5" w:rsidRDefault="00E172C5" w:rsidP="00E172C5">
      <w:pPr>
        <w:pStyle w:val="StandardWeb"/>
      </w:pPr>
      <w:r>
        <w:t>Die ursprüngliche Parameterschätzung bezeichne ich mit</w:t>
      </w:r>
    </w:p>
    <w:p w:rsidR="00E172C5" w:rsidRDefault="00E172C5" w:rsidP="00E172C5">
      <w:pPr>
        <w:pStyle w:val="berschrift1"/>
      </w:pPr>
      <w:r>
        <w:t>[</w:t>
      </w:r>
      <w:r>
        <w:br/>
        <w:t>\widehat{\theta}</w:t>
      </w:r>
    </w:p>
    <w:p w:rsidR="00E172C5" w:rsidRDefault="00E172C5" w:rsidP="00E172C5">
      <w:pPr>
        <w:pStyle w:val="StandardWeb"/>
      </w:pPr>
      <w:r>
        <w:t>\widehat{\theta}</w:t>
      </w:r>
      <w:r>
        <w:br/>
        <w:t>\left(</w:t>
      </w:r>
      <w:r>
        <w:br/>
        <w:t>\mathcal{D}</w:t>
      </w:r>
      <w:r>
        <w:br/>
        <w:t>\right).</w:t>
      </w:r>
      <w:r>
        <w:br/>
        <w:t>\tag{3.5310}</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\widehat{\theta}=\widehat{\theta}\left(\mathcal{D}\right)\qquad\text{(3.5310)}</w:t>
      </w:r>
    </w:p>
    <w:p w:rsidR="00E172C5" w:rsidRDefault="00E172C5" w:rsidP="00E172C5">
      <w:pPr>
        <w:pStyle w:val="StandardWeb"/>
      </w:pPr>
      <w:r>
        <w:t>Für die gestörte Datengrundlage ergibt sich die veränderte Parameterschätzung</w:t>
      </w:r>
    </w:p>
    <w:p w:rsidR="00E172C5" w:rsidRDefault="00E172C5" w:rsidP="00E172C5">
      <w:pPr>
        <w:pStyle w:val="berschrift1"/>
      </w:pPr>
      <w:r>
        <w:t>[</w:t>
      </w:r>
      <w:r>
        <w:br/>
        <w:t>\widehat{\theta}^{\prime}</w:t>
      </w:r>
    </w:p>
    <w:p w:rsidR="00E172C5" w:rsidRDefault="00E172C5" w:rsidP="00E172C5">
      <w:pPr>
        <w:pStyle w:val="StandardWeb"/>
      </w:pPr>
      <w:r>
        <w:t>\widehat{\theta}</w:t>
      </w:r>
      <w:r>
        <w:br/>
        <w:t>\left(</w:t>
      </w:r>
      <w:r>
        <w:br/>
        <w:t>\mathcal{D}^{\prime}</w:t>
      </w:r>
      <w:r>
        <w:br/>
        <w:t>\right).</w:t>
      </w:r>
      <w:r>
        <w:br/>
        <w:t>\tag{3.5311}</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\widehat{\theta}^{\prime}=\widehat{\theta}\left(\mathcal{D}^{\prime}\right)\qquad\text{(3.5311)}</w:t>
      </w:r>
    </w:p>
    <w:p w:rsidR="00E172C5" w:rsidRDefault="00E172C5" w:rsidP="00E172C5">
      <w:pPr>
        <w:pStyle w:val="StandardWeb"/>
      </w:pPr>
      <w:r>
        <w:t>Die durch die Datenstörung verursachte Parameteränderung lautet</w:t>
      </w:r>
    </w:p>
    <w:p w:rsidR="00E172C5" w:rsidRDefault="00E172C5" w:rsidP="00E172C5">
      <w:pPr>
        <w:pStyle w:val="berschrift1"/>
      </w:pPr>
      <w:r>
        <w:t>[</w:t>
      </w:r>
      <w:r>
        <w:br/>
        <w:t>\Delta\widehat{\theta}</w:t>
      </w:r>
    </w:p>
    <w:p w:rsidR="00E172C5" w:rsidRDefault="00E172C5" w:rsidP="00E172C5">
      <w:pPr>
        <w:pStyle w:val="berschrift2"/>
      </w:pPr>
      <w:r>
        <w:t>\widehat{\theta}^{\prime}</w:t>
      </w:r>
    </w:p>
    <w:p w:rsidR="00E172C5" w:rsidRDefault="00E172C5" w:rsidP="00E172C5">
      <w:pPr>
        <w:pStyle w:val="StandardWeb"/>
      </w:pPr>
      <w:r>
        <w:lastRenderedPageBreak/>
        <w:t>\widehat{\theta}.</w:t>
      </w:r>
      <w:r>
        <w:br/>
        <w:t>\tag{3.5312}</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\Delta\widehat{\theta}=\widehat{\theta}^{\prime}-\widehat{\theta}\qquad\text{(3.5312)}</w:t>
      </w:r>
    </w:p>
    <w:p w:rsidR="00E172C5" w:rsidRDefault="00E172C5" w:rsidP="00E172C5">
      <w:pPr>
        <w:pStyle w:val="StandardWeb"/>
      </w:pPr>
      <w:r>
        <w:t>Eine Parameterschätzung ist stabil, wenn kleine Änderungen der Datengrundlage nur kleine Änderungen der geschätzten Parameter erzeugen. Formal verlange ich, dass eine Konstante (C_{\theta}&gt;0) existiert, sodass</w:t>
      </w:r>
    </w:p>
    <w:p w:rsidR="00E172C5" w:rsidRDefault="00E172C5" w:rsidP="00E172C5">
      <w:pPr>
        <w:pStyle w:val="StandardWeb"/>
      </w:pPr>
      <w:r>
        <w:t>[</w:t>
      </w:r>
      <w:r>
        <w:br/>
        <w:t>\left|</w:t>
      </w:r>
      <w:r>
        <w:br/>
        <w:t>\Delta\widehat{\theta}</w:t>
      </w:r>
      <w:r>
        <w:br/>
        <w:t>\right|</w:t>
      </w:r>
      <w:r>
        <w:br/>
        <w:t>\leq</w:t>
      </w:r>
      <w:r>
        <w:br/>
        <w:t>C_{\theta}</w:t>
      </w:r>
      <w:r>
        <w:br/>
        <w:t>\left|</w:t>
      </w:r>
      <w:r>
        <w:br/>
        <w:t>\Delta\mathcal{D}</w:t>
      </w:r>
      <w:r>
        <w:br/>
        <w:t>\right|.</w:t>
      </w:r>
      <w:r>
        <w:br/>
        <w:t>\tag{3.5313}</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\left\|\Delta\widehat{\theta}\right\|\leq C_{\theta}\left\|\Delta\mathcal{D}\right\|\qquad\text{(3.5313)}</w:t>
      </w:r>
    </w:p>
    <w:p w:rsidR="00E172C5" w:rsidRDefault="00E172C5" w:rsidP="00E172C5">
      <w:pPr>
        <w:pStyle w:val="StandardWeb"/>
      </w:pPr>
      <w:r>
        <w:t>Die Konstante (C_{\theta}) beschreibt die Verstärkung einer Datenstörung durch die Parameterschätzung. Kleine Werte kennzeichnen eine geringe Empfindlichkeit. Große Werte weisen darauf hin, dass bereits geringe Datenänderungen erhebliche Parameteränderungen erzeugen können [71, 75].</w:t>
      </w:r>
    </w:p>
    <w:p w:rsidR="00E172C5" w:rsidRDefault="00E172C5" w:rsidP="00E172C5">
      <w:pPr>
        <w:pStyle w:val="StandardWeb"/>
      </w:pPr>
      <w:r>
        <w:t>Die relative Parameterempfindlichkeit kann durch</w:t>
      </w:r>
    </w:p>
    <w:p w:rsidR="00E172C5" w:rsidRDefault="00E172C5" w:rsidP="00E172C5">
      <w:pPr>
        <w:pStyle w:val="berschrift1"/>
      </w:pPr>
      <w:r>
        <w:t>[</w:t>
      </w:r>
      <w:r>
        <w:br/>
        <w:t>\kappa_{\theta}</w:t>
      </w:r>
    </w:p>
    <w:p w:rsidR="00E172C5" w:rsidRDefault="00E172C5" w:rsidP="00E172C5">
      <w:pPr>
        <w:pStyle w:val="StandardWeb"/>
      </w:pPr>
      <w:r>
        <w:t>\frac{</w:t>
      </w:r>
      <w:r>
        <w:br/>
        <w:t>\left|</w:t>
      </w:r>
      <w:r>
        <w:br/>
        <w:t>\Delta\widehat{\theta}</w:t>
      </w:r>
      <w:r>
        <w:br/>
        <w:t>\right|</w:t>
      </w:r>
      <w:r>
        <w:br/>
        <w:t>/</w:t>
      </w:r>
      <w:r>
        <w:br/>
        <w:t>\left|</w:t>
      </w:r>
      <w:r>
        <w:br/>
        <w:t>\widehat{\theta}</w:t>
      </w:r>
      <w:r>
        <w:br/>
        <w:t>\right|</w:t>
      </w:r>
      <w:r>
        <w:br/>
        <w:t>}{</w:t>
      </w:r>
      <w:r>
        <w:br/>
        <w:t>\left|</w:t>
      </w:r>
      <w:r>
        <w:br/>
      </w:r>
      <w:r>
        <w:lastRenderedPageBreak/>
        <w:t>\Delta\mathcal{D}</w:t>
      </w:r>
      <w:r>
        <w:br/>
        <w:t>\right|</w:t>
      </w:r>
      <w:r>
        <w:br/>
        <w:t>/</w:t>
      </w:r>
      <w:r>
        <w:br/>
        <w:t>\left|</w:t>
      </w:r>
      <w:r>
        <w:br/>
        <w:t>\mathcal{D}</w:t>
      </w:r>
      <w:r>
        <w:br/>
        <w:t>\right|</w:t>
      </w:r>
      <w:r>
        <w:br/>
        <w:t>}</w:t>
      </w:r>
      <w:r>
        <w:br/>
        <w:t>\tag{3.5314}</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\kappa_{\theta}=\frac{\left\|\Delta\widehat{\theta}\right\|/\left\|\widehat{\theta}\right\|}{\left\|\Delta\mathcal{D}\right\|/\left\|\mathcal{D}\right\|}\qquad\text{(3.5314)}</w:t>
      </w:r>
    </w:p>
    <w:p w:rsidR="00E172C5" w:rsidRDefault="00E172C5" w:rsidP="00E172C5">
      <w:pPr>
        <w:pStyle w:val="StandardWeb"/>
      </w:pPr>
      <w:r>
        <w:t>beschrieben werden, sofern die jeweiligen Nenner von null verschieden sind.</w:t>
      </w:r>
    </w:p>
    <w:p w:rsidR="00E172C5" w:rsidRDefault="00E172C5" w:rsidP="00E172C5">
      <w:pPr>
        <w:pStyle w:val="StandardWeb"/>
      </w:pPr>
      <w:r>
        <w:t>Ein großer Wert</w:t>
      </w:r>
    </w:p>
    <w:p w:rsidR="00E172C5" w:rsidRDefault="00E172C5" w:rsidP="00E172C5">
      <w:pPr>
        <w:pStyle w:val="StandardWeb"/>
      </w:pPr>
      <w:r>
        <w:t>[</w:t>
      </w:r>
      <w:r>
        <w:br/>
        <w:t>\kappa_{\theta}</w:t>
      </w:r>
      <w:r>
        <w:br/>
        <w:t>\gg</w:t>
      </w:r>
      <w:r>
        <w:br/>
        <w:t>1</w:t>
      </w:r>
      <w:r>
        <w:br/>
        <w:t>\tag{3.5315}</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\kappa_{\theta}\gg1\qquad\text{(3.5315)}</w:t>
      </w:r>
    </w:p>
    <w:p w:rsidR="00E172C5" w:rsidRDefault="00E172C5" w:rsidP="00E172C5">
      <w:pPr>
        <w:pStyle w:val="StandardWeb"/>
      </w:pPr>
      <w:r>
        <w:t>kennzeichnet eine schlecht konditionierte Parameterschätzung.</w:t>
      </w:r>
    </w:p>
    <w:p w:rsidR="00E172C5" w:rsidRDefault="00E172C5" w:rsidP="00E172C5">
      <w:pPr>
        <w:pStyle w:val="StandardWeb"/>
      </w:pPr>
      <w:r>
        <w:t>Ein kleiner oder moderater Wert</w:t>
      </w:r>
    </w:p>
    <w:p w:rsidR="00E172C5" w:rsidRDefault="00E172C5" w:rsidP="00E172C5">
      <w:pPr>
        <w:pStyle w:val="StandardWeb"/>
      </w:pPr>
      <w:r>
        <w:t>[</w:t>
      </w:r>
      <w:r>
        <w:br/>
        <w:t>\kappa_{\theta}</w:t>
      </w:r>
      <w:r>
        <w:br/>
        <w:t>\approx</w:t>
      </w:r>
      <w:r>
        <w:br/>
        <w:t>1</w:t>
      </w:r>
      <w:r>
        <w:br/>
        <w:t>\tag{3.5316}</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\kappa_{\theta}\approx1\qquad\text{(3.5316)}</w:t>
      </w:r>
    </w:p>
    <w:p w:rsidR="00E172C5" w:rsidRDefault="00E172C5" w:rsidP="00E172C5">
      <w:pPr>
        <w:pStyle w:val="StandardWeb"/>
      </w:pPr>
      <w:r>
        <w:t>zeigt dagegen, dass relative Datenänderungen nicht wesentlich verstärkt werden.</w:t>
      </w:r>
    </w:p>
    <w:p w:rsidR="00E172C5" w:rsidRDefault="00E172C5" w:rsidP="00E172C5">
      <w:pPr>
        <w:pStyle w:val="StandardWeb"/>
      </w:pPr>
      <w:r>
        <w:rPr>
          <w:rStyle w:val="Fett"/>
        </w:rPr>
        <w:t>Eigenleistung des FRZK</w:t>
      </w:r>
    </w:p>
    <w:p w:rsidR="00E172C5" w:rsidRDefault="00E172C5" w:rsidP="00E172C5">
      <w:pPr>
        <w:pStyle w:val="StandardWeb"/>
      </w:pPr>
      <w:r>
        <w:t xml:space="preserve">Ich unterscheide Parameteridentifizierbarkeit und Parameterstabilität ausdrücklich. Ein Parameter kann eindeutig identifizierbar sein, obwohl seine Schätzung numerisch instabil ist. </w:t>
      </w:r>
      <w:r>
        <w:lastRenderedPageBreak/>
        <w:t>Umgekehrt kann eine regularisierte Schätzung stabil erscheinen, obwohl der Parameter ohne Zusatzbedingungen nicht eindeutig identifizierbar ist.</w:t>
      </w:r>
    </w:p>
    <w:p w:rsidR="00E172C5" w:rsidRPr="00AF32B2" w:rsidRDefault="00E172C5" w:rsidP="00AF32B2">
      <w:pPr>
        <w:pStyle w:val="berschrift4"/>
      </w:pPr>
      <w:r w:rsidRPr="00AF32B2">
        <w:t>3.3.29.3 Lokale Sensitivität der Parameterschätzung</w:t>
      </w:r>
    </w:p>
    <w:p w:rsidR="00E172C5" w:rsidRDefault="00E172C5" w:rsidP="00E172C5">
      <w:pPr>
        <w:pStyle w:val="StandardWeb"/>
      </w:pPr>
      <w:r>
        <w:t>Ist die Schätzabbildung differenzierbar, kann ihre lokale Sensitivität durch die Ableitung</w:t>
      </w:r>
    </w:p>
    <w:p w:rsidR="00E172C5" w:rsidRDefault="00E172C5" w:rsidP="00E172C5">
      <w:pPr>
        <w:pStyle w:val="StandardWeb"/>
      </w:pPr>
      <w:r>
        <w:t>[</w:t>
      </w:r>
      <w:r>
        <w:br/>
        <w:t>D\widehat{\theta}</w:t>
      </w:r>
      <w:r>
        <w:br/>
        <w:t>\left(</w:t>
      </w:r>
      <w:r>
        <w:br/>
        <w:t>\mathcal{D}</w:t>
      </w:r>
      <w:r>
        <w:br/>
        <w:t>\right)</w:t>
      </w:r>
      <w:r>
        <w:br/>
        <w:t>\tag{3.5317}</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D\widehat{\theta}\left(\mathcal{D}\right)\qquad\text{(3.5317)}</w:t>
      </w:r>
    </w:p>
    <w:p w:rsidR="00E172C5" w:rsidRDefault="00E172C5" w:rsidP="00E172C5">
      <w:pPr>
        <w:pStyle w:val="StandardWeb"/>
      </w:pPr>
      <w:r>
        <w:t>beschrieben werden.</w:t>
      </w:r>
    </w:p>
    <w:p w:rsidR="00E172C5" w:rsidRDefault="00E172C5" w:rsidP="00E172C5">
      <w:pPr>
        <w:pStyle w:val="StandardWeb"/>
      </w:pPr>
      <w:r>
        <w:t>Für kleine Datenstörungen gilt näherungsweise</w:t>
      </w:r>
    </w:p>
    <w:p w:rsidR="00E172C5" w:rsidRDefault="00E172C5" w:rsidP="00E172C5">
      <w:pPr>
        <w:pStyle w:val="StandardWeb"/>
      </w:pPr>
      <w:r>
        <w:t>[</w:t>
      </w:r>
      <w:r>
        <w:br/>
        <w:t>\Delta\widehat{\theta}</w:t>
      </w:r>
      <w:r>
        <w:br/>
        <w:t>\approx</w:t>
      </w:r>
      <w:r>
        <w:br/>
        <w:t>D\widehat{\theta}</w:t>
      </w:r>
      <w:r>
        <w:br/>
        <w:t>\left(</w:t>
      </w:r>
      <w:r>
        <w:br/>
        <w:t>\mathcal{D}</w:t>
      </w:r>
      <w:r>
        <w:br/>
        <w:t>\right)</w:t>
      </w:r>
      <w:r>
        <w:br/>
        <w:t>\Delta\mathcal{D}.</w:t>
      </w:r>
      <w:r>
        <w:br/>
        <w:t>\tag{3.5318}</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\Delta\widehat{\theta}\approx D\widehat{\theta}\left(\mathcal{D}\right)\Delta\mathcal{D}\qquad\text{(3.5318)}</w:t>
      </w:r>
    </w:p>
    <w:p w:rsidR="00E172C5" w:rsidRDefault="00E172C5" w:rsidP="00E172C5">
      <w:pPr>
        <w:pStyle w:val="StandardWeb"/>
      </w:pPr>
      <w:r>
        <w:t>Daraus folgt die Abschätzung</w:t>
      </w:r>
    </w:p>
    <w:p w:rsidR="00E172C5" w:rsidRDefault="00E172C5" w:rsidP="00E172C5">
      <w:pPr>
        <w:pStyle w:val="StandardWeb"/>
      </w:pPr>
      <w:r>
        <w:t>[</w:t>
      </w:r>
      <w:r>
        <w:br/>
        <w:t>\left|</w:t>
      </w:r>
      <w:r>
        <w:br/>
        <w:t>\Delta\widehat{\theta}</w:t>
      </w:r>
      <w:r>
        <w:br/>
        <w:t>\right|</w:t>
      </w:r>
      <w:r>
        <w:br/>
        <w:t>\leq</w:t>
      </w:r>
      <w:r>
        <w:br/>
        <w:t>\left|</w:t>
      </w:r>
      <w:r>
        <w:br/>
        <w:t>D\widehat{\theta}</w:t>
      </w:r>
      <w:r>
        <w:br/>
        <w:t>\left(</w:t>
      </w:r>
      <w:r>
        <w:br/>
        <w:t>\mathcal{D}</w:t>
      </w:r>
      <w:r>
        <w:br/>
        <w:t>\right)</w:t>
      </w:r>
      <w:r>
        <w:br/>
      </w:r>
      <w:r>
        <w:lastRenderedPageBreak/>
        <w:t>\right|</w:t>
      </w:r>
      <w:r>
        <w:br/>
        <w:t>\left|</w:t>
      </w:r>
      <w:r>
        <w:br/>
        <w:t>\Delta\mathcal{D}</w:t>
      </w:r>
      <w:r>
        <w:br/>
        <w:t>\right|.</w:t>
      </w:r>
      <w:r>
        <w:br/>
        <w:t>\tag{3.5319}</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\left\|\Delta\widehat{\theta}\right\|\leq\left\|D\widehat{\theta}\left(\mathcal{D}\right)\right\|\left\|\Delta\mathcal{D}\right\|\qquad\text{(3.5319)}</w:t>
      </w:r>
    </w:p>
    <w:p w:rsidR="00E172C5" w:rsidRDefault="00E172C5" w:rsidP="00E172C5">
      <w:pPr>
        <w:pStyle w:val="StandardWeb"/>
      </w:pPr>
      <w:r>
        <w:t>Die lokale Stabilitätskonstante kann daher gewählt werden als</w:t>
      </w:r>
    </w:p>
    <w:p w:rsidR="00E172C5" w:rsidRDefault="00E172C5" w:rsidP="00E172C5">
      <w:pPr>
        <w:pStyle w:val="berschrift1"/>
      </w:pPr>
      <w:r>
        <w:t>[</w:t>
      </w:r>
      <w:r>
        <w:br/>
        <w:t>C_{\theta}^{\mathrm{lok}}</w:t>
      </w:r>
    </w:p>
    <w:p w:rsidR="00E172C5" w:rsidRDefault="00E172C5" w:rsidP="00E172C5">
      <w:pPr>
        <w:pStyle w:val="StandardWeb"/>
      </w:pPr>
      <w:r>
        <w:t>\left|</w:t>
      </w:r>
      <w:r>
        <w:br/>
        <w:t>D\widehat{\theta}</w:t>
      </w:r>
      <w:r>
        <w:br/>
        <w:t>\left(</w:t>
      </w:r>
      <w:r>
        <w:br/>
        <w:t>\mathcal{D}</w:t>
      </w:r>
      <w:r>
        <w:br/>
        <w:t>\right)</w:t>
      </w:r>
      <w:r>
        <w:br/>
        <w:t>\right|.</w:t>
      </w:r>
      <w:r>
        <w:br/>
        <w:t>\tag{3.5320}</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C_{\theta}^{\mathrm{lok}}=\left\|D\widehat{\theta}\left(\mathcal{D}\right)\right\|\qquad\text{(3.5320)}</w:t>
      </w:r>
    </w:p>
    <w:p w:rsidR="00E172C5" w:rsidRDefault="00E172C5" w:rsidP="00E172C5">
      <w:pPr>
        <w:pStyle w:val="StandardWeb"/>
      </w:pPr>
      <w:r>
        <w:t>Ist diese Norm groß, liegt eine lokal empfindliche Parameterschätzung vor.</w:t>
      </w:r>
    </w:p>
    <w:p w:rsidR="00E172C5" w:rsidRPr="00AF32B2" w:rsidRDefault="00E172C5" w:rsidP="00AF32B2">
      <w:pPr>
        <w:pStyle w:val="berschrift4"/>
      </w:pPr>
      <w:r w:rsidRPr="00AF32B2">
        <w:t>3.3.29.4 Stabilität der Modellvorhersage</w:t>
      </w:r>
    </w:p>
    <w:p w:rsidR="00E172C5" w:rsidRDefault="00E172C5" w:rsidP="00E172C5">
      <w:pPr>
        <w:pStyle w:val="StandardWeb"/>
      </w:pPr>
      <w:r>
        <w:t>Die ursprüngliche Modellvorhersage lautet</w:t>
      </w:r>
    </w:p>
    <w:p w:rsidR="00E172C5" w:rsidRDefault="00E172C5" w:rsidP="00E172C5">
      <w:pPr>
        <w:pStyle w:val="berschrift1"/>
      </w:pPr>
      <w:r>
        <w:t>[</w:t>
      </w:r>
      <w:r>
        <w:br/>
        <w:t>\widehat{y}</w:t>
      </w:r>
    </w:p>
    <w:p w:rsidR="00E172C5" w:rsidRDefault="00E172C5" w:rsidP="00E172C5">
      <w:pPr>
        <w:pStyle w:val="StandardWeb"/>
      </w:pPr>
      <w:r>
        <w:t>\mathcal{P}_{F}</w:t>
      </w:r>
      <w:r>
        <w:br/>
        <w:t>\left(</w:t>
      </w:r>
      <w:r>
        <w:br/>
        <w:t>\widehat{\theta},</w:t>
      </w:r>
      <w:r>
        <w:br/>
        <w:t>x</w:t>
      </w:r>
      <w:r>
        <w:br/>
        <w:t>\right).</w:t>
      </w:r>
      <w:r>
        <w:br/>
        <w:t>\tag{3.5321}</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lastRenderedPageBreak/>
        <w:t>\widehat{y}=\mathcal{P}_{F}\left(\widehat{\theta},x\right)\qquad\text{(3.5321)}</w:t>
      </w:r>
    </w:p>
    <w:p w:rsidR="00E172C5" w:rsidRDefault="00E172C5" w:rsidP="00E172C5">
      <w:pPr>
        <w:pStyle w:val="StandardWeb"/>
      </w:pPr>
      <w:r>
        <w:t>Für die gestörte Parameterschätzung ergibt sich</w:t>
      </w:r>
    </w:p>
    <w:p w:rsidR="00E172C5" w:rsidRDefault="00E172C5" w:rsidP="00E172C5">
      <w:pPr>
        <w:pStyle w:val="berschrift1"/>
      </w:pPr>
      <w:r>
        <w:t>[</w:t>
      </w:r>
      <w:r>
        <w:br/>
        <w:t>\widehat{y}^{\prime}</w:t>
      </w:r>
    </w:p>
    <w:p w:rsidR="00E172C5" w:rsidRDefault="00E172C5" w:rsidP="00E172C5">
      <w:pPr>
        <w:pStyle w:val="StandardWeb"/>
      </w:pPr>
      <w:r>
        <w:t>\mathcal{P}_{F}</w:t>
      </w:r>
      <w:r>
        <w:br/>
        <w:t>\left(</w:t>
      </w:r>
      <w:r>
        <w:br/>
        <w:t>\widehat{\theta}^{\prime},</w:t>
      </w:r>
      <w:r>
        <w:br/>
        <w:t>x</w:t>
      </w:r>
      <w:r>
        <w:br/>
        <w:t>\right).</w:t>
      </w:r>
      <w:r>
        <w:br/>
        <w:t>\tag{3.5322}</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\widehat{y}^{\prime}=\mathcal{P}_{F}\left(\widehat{\theta}^{\prime},x\right)\qquad\text{(3.5322)}</w:t>
      </w:r>
    </w:p>
    <w:p w:rsidR="00E172C5" w:rsidRDefault="00E172C5" w:rsidP="00E172C5">
      <w:pPr>
        <w:pStyle w:val="StandardWeb"/>
      </w:pPr>
      <w:r>
        <w:t>Die Vorhersageänderung lautet</w:t>
      </w:r>
    </w:p>
    <w:p w:rsidR="00E172C5" w:rsidRDefault="00E172C5" w:rsidP="00E172C5">
      <w:pPr>
        <w:pStyle w:val="berschrift1"/>
      </w:pPr>
      <w:r>
        <w:t>[</w:t>
      </w:r>
      <w:r>
        <w:br/>
        <w:t>\Delta\widehat{y}</w:t>
      </w:r>
    </w:p>
    <w:p w:rsidR="00E172C5" w:rsidRDefault="00E172C5" w:rsidP="00E172C5">
      <w:pPr>
        <w:pStyle w:val="berschrift2"/>
      </w:pPr>
      <w:r>
        <w:t>\widehat{y}^{\prime}</w:t>
      </w:r>
    </w:p>
    <w:p w:rsidR="00E172C5" w:rsidRDefault="00E172C5" w:rsidP="00E172C5">
      <w:pPr>
        <w:pStyle w:val="StandardWeb"/>
      </w:pPr>
      <w:r>
        <w:t>\widehat{y}.</w:t>
      </w:r>
      <w:r>
        <w:br/>
        <w:t>\tag{3.5323}</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\Delta\widehat{y}=\widehat{y}^{\prime}-\widehat{y}\qquad\text{(3.5323)}</w:t>
      </w:r>
    </w:p>
    <w:p w:rsidR="00E172C5" w:rsidRDefault="00E172C5" w:rsidP="00E172C5">
      <w:pPr>
        <w:pStyle w:val="StandardWeb"/>
      </w:pPr>
      <w:r>
        <w:t>Eine Vorhersage ist parameterstabil, wenn eine Konstante (C_{P}&gt;0) existiert, sodass</w:t>
      </w:r>
    </w:p>
    <w:p w:rsidR="00E172C5" w:rsidRDefault="00E172C5" w:rsidP="00E172C5">
      <w:pPr>
        <w:pStyle w:val="StandardWeb"/>
      </w:pPr>
      <w:r>
        <w:t>[</w:t>
      </w:r>
      <w:r>
        <w:br/>
        <w:t>\left|</w:t>
      </w:r>
      <w:r>
        <w:br/>
        <w:t>\Delta\widehat{y}</w:t>
      </w:r>
      <w:r>
        <w:br/>
        <w:t>\right|</w:t>
      </w:r>
      <w:r>
        <w:br/>
        <w:t>\leq</w:t>
      </w:r>
      <w:r>
        <w:br/>
        <w:t>C_{P}</w:t>
      </w:r>
      <w:r>
        <w:br/>
        <w:t>\left|</w:t>
      </w:r>
      <w:r>
        <w:br/>
        <w:t>\Delta\widehat{\theta}</w:t>
      </w:r>
      <w:r>
        <w:br/>
        <w:t>\right|.</w:t>
      </w:r>
      <w:r>
        <w:br/>
        <w:t>\tag{3.5324}</w:t>
      </w:r>
      <w:r>
        <w:br/>
        <w:t>]</w:t>
      </w:r>
    </w:p>
    <w:p w:rsidR="00E172C5" w:rsidRDefault="00E172C5" w:rsidP="00E172C5">
      <w:pPr>
        <w:pStyle w:val="StandardWeb"/>
      </w:pPr>
      <w:r>
        <w:rPr>
          <w:rStyle w:val="Fett"/>
        </w:rPr>
        <w:lastRenderedPageBreak/>
        <w:t>Word-LaTeX</w:t>
      </w:r>
    </w:p>
    <w:p w:rsidR="00E172C5" w:rsidRDefault="00E172C5" w:rsidP="00E172C5">
      <w:pPr>
        <w:pStyle w:val="HTMLVorformatiert"/>
        <w:rPr>
          <w:rStyle w:val="HTMLCode"/>
        </w:rPr>
      </w:pPr>
      <w:r>
        <w:rPr>
          <w:rStyle w:val="HTMLCode"/>
        </w:rPr>
        <w:t>\left\|\Delta\widehat{y}\right\|\leq C_{P}\left\|\Delta\widehat{\theta}\right\|\qquad\text{(3.5324)}</w:t>
      </w:r>
    </w:p>
    <w:p w:rsidR="00E172C5" w:rsidRDefault="00E172C5" w:rsidP="00E172C5">
      <w:pPr>
        <w:pStyle w:val="StandardWeb"/>
      </w:pPr>
      <w:r>
        <w:t>Durch Kombination mit Gleichung (3.5313) folgt</w:t>
      </w:r>
    </w:p>
    <w:p w:rsidR="00E172C5" w:rsidRDefault="00E172C5" w:rsidP="00E172C5">
      <w:pPr>
        <w:pStyle w:val="StandardWeb"/>
      </w:pPr>
      <w:r>
        <w:t>[</w:t>
      </w:r>
      <w:r>
        <w:br/>
        <w:t>\left|</w:t>
      </w:r>
      <w:r>
        <w:br/>
        <w:t>\Delta\widehat{y}</w:t>
      </w:r>
      <w:r>
        <w:br/>
        <w:t>\right|</w:t>
      </w:r>
      <w:r>
        <w:br/>
        <w:t>\leq</w:t>
      </w:r>
      <w:r>
        <w:br/>
        <w:t>C_{P}</w:t>
      </w:r>
      <w:r>
        <w:br/>
        <w:t>C_{\theta}</w:t>
      </w:r>
      <w:r>
        <w:br/>
        <w:t>\left|</w:t>
      </w:r>
      <w:r>
        <w:br/>
        <w:t>\Delta\mathcal{D}</w:t>
      </w:r>
      <w:r>
        <w:br/>
        <w:t>\right|.</w:t>
      </w:r>
      <w:r>
        <w:br/>
        <w:t>\tag{3.5325}</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\left\|\Delta\widehat{y}\right\|\leq C_{P}C_{\theta}\left\|\Delta\mathcal{D}\right\|\qquad\text{(3.5325)}</w:t>
      </w:r>
    </w:p>
    <w:p w:rsidR="00E172C5" w:rsidRDefault="00E172C5" w:rsidP="00E172C5">
      <w:pPr>
        <w:pStyle w:val="StandardWeb"/>
      </w:pPr>
      <w:r>
        <w:t>Damit kann eine Datenstörung über zwei Verstärkungsstufen wirken:</w:t>
      </w:r>
    </w:p>
    <w:p w:rsidR="00E172C5" w:rsidRDefault="00E172C5" w:rsidP="00E172C5">
      <w:pPr>
        <w:pStyle w:val="StandardWeb"/>
      </w:pPr>
      <w:r>
        <w:t>[</w:t>
      </w:r>
      <w:r>
        <w:br/>
        <w:t>\Delta\mathcal{D}</w:t>
      </w:r>
      <w:r>
        <w:br/>
        <w:t>\longrightarrow</w:t>
      </w:r>
      <w:r>
        <w:br/>
        <w:t>\Delta\widehat{\theta}</w:t>
      </w:r>
      <w:r>
        <w:br/>
        <w:t>\longrightarrow</w:t>
      </w:r>
      <w:r>
        <w:br/>
        <w:t>\Delta\widehat{y}.</w:t>
      </w:r>
      <w:r>
        <w:br/>
        <w:t>\tag{3.5326}</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\Delta\mathcal{D}\longrightarrow\Delta\widehat{\theta}\longrightarrow\Delta\widehat{y}\qquad\text{(3.5326)}</w:t>
      </w:r>
    </w:p>
    <w:p w:rsidR="00E172C5" w:rsidRDefault="00E172C5" w:rsidP="00E172C5">
      <w:pPr>
        <w:pStyle w:val="StandardWeb"/>
      </w:pPr>
      <w:r>
        <w:t>Eine instabile Parameterschätzung muss nicht zwangsläufig eine instabile Vorhersage erzeugen. Mehrere stark schwankende Parameterkombinationen können ähnliche Vorhersagen liefern. In diesem Fall ist die Parameterschätzung instabil, während die Vorhersage stabil bleibt.</w:t>
      </w:r>
    </w:p>
    <w:p w:rsidR="00E172C5" w:rsidRDefault="00E172C5" w:rsidP="00E172C5">
      <w:pPr>
        <w:pStyle w:val="StandardWeb"/>
      </w:pPr>
      <w:r>
        <w:t>Formal kann gelten</w:t>
      </w:r>
    </w:p>
    <w:p w:rsidR="00E172C5" w:rsidRDefault="00E172C5" w:rsidP="00E172C5">
      <w:pPr>
        <w:pStyle w:val="StandardWeb"/>
      </w:pPr>
      <w:r>
        <w:t>[</w:t>
      </w:r>
      <w:r>
        <w:br/>
        <w:t>\left|</w:t>
      </w:r>
      <w:r>
        <w:br/>
        <w:t>\Delta\widehat{\theta}</w:t>
      </w:r>
      <w:r>
        <w:br/>
        <w:t>\right|</w:t>
      </w:r>
      <w:r>
        <w:br/>
      </w:r>
      <w:r>
        <w:lastRenderedPageBreak/>
        <w:t>\gg</w:t>
      </w:r>
      <w:r>
        <w:br/>
        <w:t>0</w:t>
      </w:r>
      <w:r>
        <w:br/>
        <w:t>\tag{3.5327}</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\left\|\Delta\widehat{\theta}\right\|\gg0\qquad\text{(3.5327)}</w:t>
      </w:r>
    </w:p>
    <w:p w:rsidR="00E172C5" w:rsidRDefault="00E172C5" w:rsidP="00E172C5">
      <w:pPr>
        <w:pStyle w:val="StandardWeb"/>
      </w:pPr>
      <w:r>
        <w:t>bei gleichzeitig</w:t>
      </w:r>
    </w:p>
    <w:p w:rsidR="00E172C5" w:rsidRDefault="00E172C5" w:rsidP="00E172C5">
      <w:pPr>
        <w:pStyle w:val="StandardWeb"/>
      </w:pPr>
      <w:r>
        <w:t>[</w:t>
      </w:r>
      <w:r>
        <w:br/>
        <w:t>\left|</w:t>
      </w:r>
      <w:r>
        <w:br/>
        <w:t>\Delta\widehat{y}</w:t>
      </w:r>
      <w:r>
        <w:br/>
        <w:t>\right|</w:t>
      </w:r>
      <w:r>
        <w:br/>
        <w:t>\approx</w:t>
      </w:r>
      <w:r>
        <w:br/>
        <w:t>0.</w:t>
      </w:r>
      <w:r>
        <w:br/>
        <w:t>\tag{3.5328}</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\left\|\Delta\widehat{y}\right\|\approx0\qquad\text{(3.5328)}</w:t>
      </w:r>
    </w:p>
    <w:p w:rsidR="00E172C5" w:rsidRDefault="00E172C5" w:rsidP="00E172C5">
      <w:pPr>
        <w:pStyle w:val="StandardWeb"/>
      </w:pPr>
      <w:r>
        <w:rPr>
          <w:rStyle w:val="Fett"/>
        </w:rPr>
        <w:t>Eigenleistung des FRZK</w:t>
      </w:r>
    </w:p>
    <w:p w:rsidR="00E172C5" w:rsidRDefault="00E172C5" w:rsidP="00E172C5">
      <w:pPr>
        <w:pStyle w:val="StandardWeb"/>
      </w:pPr>
      <w:r>
        <w:t>Ich bewerte Parameterstabilität und Vorhersagestabilität getrennt. Für empirische Anwendungen kann eine stabile Vorhersage ausreichend sein, während Aussagen über einzelne Parameter bei instabiler Schätzung ausdrücklich eingeschränkt werden müssen.</w:t>
      </w:r>
    </w:p>
    <w:p w:rsidR="00E172C5" w:rsidRPr="00AF32B2" w:rsidRDefault="00E172C5" w:rsidP="00AF32B2">
      <w:pPr>
        <w:pStyle w:val="berschrift4"/>
      </w:pPr>
      <w:r w:rsidRPr="00AF32B2">
        <w:t>3.3.29.5 Datenrobustheit</w:t>
      </w:r>
    </w:p>
    <w:p w:rsidR="00E172C5" w:rsidRDefault="00E172C5" w:rsidP="00E172C5">
      <w:pPr>
        <w:pStyle w:val="StandardWeb"/>
      </w:pPr>
      <w:r>
        <w:t>Eine Auswertung heißt datenrobust, wenn sie nicht nur gegenüber infinitesimal kleinen, sondern gegenüber einer festgelegten Menge realistischer Datenstörungen kontrolliert reagiert.</w:t>
      </w:r>
    </w:p>
    <w:p w:rsidR="00E172C5" w:rsidRDefault="00E172C5" w:rsidP="00E172C5">
      <w:pPr>
        <w:pStyle w:val="StandardWeb"/>
      </w:pPr>
      <w:r>
        <w:t>Die Menge zulässiger Datenstörungen lautet</w:t>
      </w:r>
    </w:p>
    <w:p w:rsidR="00E172C5" w:rsidRDefault="00E172C5" w:rsidP="00E172C5">
      <w:pPr>
        <w:pStyle w:val="berschrift1"/>
      </w:pPr>
      <w:r>
        <w:t>[</w:t>
      </w:r>
      <w:r>
        <w:br/>
        <w:t>\mathfrak{P}_{\mathcal{D}}</w:t>
      </w:r>
    </w:p>
    <w:p w:rsidR="00E172C5" w:rsidRDefault="00E172C5" w:rsidP="00E172C5">
      <w:pPr>
        <w:pStyle w:val="StandardWeb"/>
      </w:pPr>
      <w:r>
        <w:t>\left{</w:t>
      </w:r>
      <w:r>
        <w:br/>
        <w:t>\Delta\mathcal{D}</w:t>
      </w:r>
      <w:r>
        <w:br/>
        <w:t>;\middle|;</w:t>
      </w:r>
      <w:r>
        <w:br/>
        <w:t>\left|</w:t>
      </w:r>
      <w:r>
        <w:br/>
        <w:t>\Delta\mathcal{D}</w:t>
      </w:r>
      <w:r>
        <w:br/>
        <w:t>\right|</w:t>
      </w:r>
      <w:r>
        <w:br/>
        <w:t>\leq</w:t>
      </w:r>
      <w:r>
        <w:br/>
        <w:t>\varepsilon_{\mathcal{D}}</w:t>
      </w:r>
      <w:r>
        <w:br/>
        <w:t>\right}.</w:t>
      </w:r>
      <w:r>
        <w:br/>
      </w:r>
      <w:r>
        <w:lastRenderedPageBreak/>
        <w:t>\tag{3.5329}</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\mathfrak{P}_{\mathcal{D}}=\left\{\Delta\mathcal{D}\middle|\left\|\Delta\mathcal{D}\right\|\leq\varepsilon_{\mathcal{D}}\right\}\qquad\text{(3.5329)}</w:t>
      </w:r>
    </w:p>
    <w:p w:rsidR="00E172C5" w:rsidRDefault="00E172C5" w:rsidP="00E172C5">
      <w:pPr>
        <w:pStyle w:val="StandardWeb"/>
      </w:pPr>
      <w:r>
        <w:t>Eine Auswertung (\mathcal{A}_{F}) ist innerhalb dieser Störungsmenge robust, wenn</w:t>
      </w:r>
    </w:p>
    <w:p w:rsidR="00E172C5" w:rsidRDefault="00E172C5" w:rsidP="00E172C5">
      <w:pPr>
        <w:pStyle w:val="StandardWeb"/>
      </w:pPr>
      <w:r>
        <w:t>[</w:t>
      </w:r>
      <w:r>
        <w:br/>
        <w:t>\sup_{</w:t>
      </w:r>
      <w:r>
        <w:br/>
        <w:t>\Delta\mathcal{D}</w:t>
      </w:r>
      <w:r>
        <w:br/>
        <w:t>\in</w:t>
      </w:r>
      <w:r>
        <w:br/>
        <w:t>\mathfrak{P}</w:t>
      </w:r>
      <w:r>
        <w:rPr>
          <w:rStyle w:val="Hervorhebung"/>
        </w:rPr>
        <w:t>{\mathcal{D}}</w:t>
      </w:r>
      <w:r>
        <w:rPr>
          <w:i/>
          <w:iCs/>
        </w:rPr>
        <w:br/>
      </w:r>
      <w:r>
        <w:rPr>
          <w:rStyle w:val="Hervorhebung"/>
        </w:rPr>
        <w:t>}</w:t>
      </w:r>
      <w:r>
        <w:rPr>
          <w:i/>
          <w:iCs/>
        </w:rPr>
        <w:br/>
      </w:r>
      <w:r>
        <w:rPr>
          <w:rStyle w:val="Hervorhebung"/>
        </w:rPr>
        <w:t>\Delta</w:t>
      </w:r>
      <w:r>
        <w:t>{F}</w:t>
      </w:r>
      <w:r>
        <w:br/>
        <w:t>\left(</w:t>
      </w:r>
      <w:r>
        <w:br/>
        <w:t>\mathcal{A}</w:t>
      </w:r>
      <w:r>
        <w:rPr>
          <w:rStyle w:val="Hervorhebung"/>
        </w:rPr>
        <w:t>{F}(\mathcal{D}),</w:t>
      </w:r>
      <w:r>
        <w:rPr>
          <w:i/>
          <w:iCs/>
        </w:rPr>
        <w:br/>
      </w:r>
      <w:r>
        <w:rPr>
          <w:rStyle w:val="Hervorhebung"/>
        </w:rPr>
        <w:t>\mathcal{A}</w:t>
      </w:r>
      <w:r>
        <w:t>{F}(\mathcal{D}+\Delta\mathcal{D})</w:t>
      </w:r>
      <w:r>
        <w:br/>
        <w:t>\right)</w:t>
      </w:r>
      <w:r>
        <w:br/>
        <w:t>\leq</w:t>
      </w:r>
      <w:r>
        <w:br/>
        <w:t>\varepsilon_{A}.</w:t>
      </w:r>
      <w:r>
        <w:br/>
        <w:t>\tag{3.5330}</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\sup_{\Delta\mathcal{D}\in\mathfrak{P}_{\mathcal{D}}}\Delta_{F}\left(\mathcal{A}_{F}(\mathcal{D}),\mathcal{A}_{F}(\mathcal{D}+\Delta\mathcal{D})\right)\leq\varepsilon_{A}\qquad\text{(3.5330)}</w:t>
      </w:r>
    </w:p>
    <w:p w:rsidR="00E172C5" w:rsidRDefault="00E172C5" w:rsidP="00E172C5">
      <w:pPr>
        <w:pStyle w:val="StandardWeb"/>
      </w:pPr>
      <w:r>
        <w:t>Dabei bezeichnet (\varepsilon_A) die maximal zulässige Änderung des Auswertungsergebnisses.</w:t>
      </w:r>
    </w:p>
    <w:p w:rsidR="00E172C5" w:rsidRDefault="00E172C5" w:rsidP="00E172C5">
      <w:pPr>
        <w:pStyle w:val="StandardWeb"/>
      </w:pPr>
      <w:r>
        <w:t>Die Robustheit ist damit stets relativ zu zwei Festlegungen:</w:t>
      </w:r>
    </w:p>
    <w:p w:rsidR="00E172C5" w:rsidRDefault="00E172C5" w:rsidP="00E172C5">
      <w:pPr>
        <w:pStyle w:val="StandardWeb"/>
      </w:pPr>
      <w:r>
        <w:t>[</w:t>
      </w:r>
      <w:r>
        <w:br/>
        <w:t>\left(</w:t>
      </w:r>
      <w:r>
        <w:br/>
        <w:t>\varepsilon_{\mathcal{D}},</w:t>
      </w:r>
      <w:r>
        <w:br/>
        <w:t>\varepsilon_{A}</w:t>
      </w:r>
      <w:r>
        <w:br/>
        <w:t>\right).</w:t>
      </w:r>
      <w:r>
        <w:br/>
        <w:t>\tag{3.5331}</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\left(\varepsilon_{\mathcal{D}},\varepsilon_{A}\right)\qquad\text{(3.5331)}</w:t>
      </w:r>
    </w:p>
    <w:p w:rsidR="00E172C5" w:rsidRDefault="00E172C5" w:rsidP="00E172C5">
      <w:pPr>
        <w:pStyle w:val="StandardWeb"/>
      </w:pPr>
      <w:r>
        <w:t>Ohne Angabe dieser Toleranzen bleibt die Aussage, ein Modell sei robust, unvollständig.</w:t>
      </w:r>
    </w:p>
    <w:p w:rsidR="00E172C5" w:rsidRPr="00AF32B2" w:rsidRDefault="00E172C5" w:rsidP="00AF32B2">
      <w:pPr>
        <w:pStyle w:val="berschrift4"/>
      </w:pPr>
      <w:r w:rsidRPr="00AF32B2">
        <w:t>3.3.29.6 Robustheit gegenüber Ausreißern</w:t>
      </w:r>
    </w:p>
    <w:p w:rsidR="00E172C5" w:rsidRDefault="00E172C5" w:rsidP="00E172C5">
      <w:pPr>
        <w:pStyle w:val="StandardWeb"/>
      </w:pPr>
      <w:r>
        <w:lastRenderedPageBreak/>
        <w:t>Ein Datensatz mit einer Ausreißerbeobachtung kann geschrieben werden als</w:t>
      </w:r>
    </w:p>
    <w:p w:rsidR="00E172C5" w:rsidRDefault="00E172C5" w:rsidP="00E172C5">
      <w:pPr>
        <w:pStyle w:val="berschrift1"/>
      </w:pPr>
      <w:r>
        <w:t>[</w:t>
      </w:r>
      <w:r>
        <w:br/>
        <w:t>\mathcal{D}^{(i,\ast)}</w:t>
      </w:r>
    </w:p>
    <w:p w:rsidR="00E172C5" w:rsidRDefault="00E172C5" w:rsidP="00E172C5">
      <w:pPr>
        <w:pStyle w:val="StandardWeb"/>
      </w:pPr>
      <w:r>
        <w:t>\left(</w:t>
      </w:r>
      <w:r>
        <w:br/>
        <w:t>\mathcal{D}</w:t>
      </w:r>
      <w:r>
        <w:br/>
        <w:t>\setminus</w:t>
      </w:r>
      <w:r>
        <w:br/>
        <w:t>{d_i}</w:t>
      </w:r>
      <w:r>
        <w:br/>
        <w:t>\right)</w:t>
      </w:r>
      <w:r>
        <w:br/>
        <w:t>\cup</w:t>
      </w:r>
      <w:r>
        <w:br/>
        <w:t>{d_i^{\ast}}.</w:t>
      </w:r>
      <w:r>
        <w:br/>
        <w:t>\tag{3.5332}</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\mathcal{D}^{(i,\ast)}=\left(\mathcal{D}\setminus\{d_i\}\right)\cup\{d_i^{\ast}\}\qquad\text{(3.5332)}</w:t>
      </w:r>
    </w:p>
    <w:p w:rsidR="00E172C5" w:rsidRDefault="00E172C5" w:rsidP="00E172C5">
      <w:pPr>
        <w:pStyle w:val="StandardWeb"/>
      </w:pPr>
      <w:r>
        <w:t>Die dadurch hervorgerufene Änderung der Auswertung lautet</w:t>
      </w:r>
    </w:p>
    <w:p w:rsidR="00E172C5" w:rsidRDefault="00E172C5" w:rsidP="00E172C5">
      <w:pPr>
        <w:pStyle w:val="berschrift1"/>
      </w:pPr>
      <w:r>
        <w:t>[</w:t>
      </w:r>
      <w:r>
        <w:br/>
        <w:t>\Delta_i^{\ast}</w:t>
      </w:r>
    </w:p>
    <w:p w:rsidR="00E172C5" w:rsidRDefault="00E172C5" w:rsidP="00E172C5">
      <w:pPr>
        <w:pStyle w:val="StandardWeb"/>
      </w:pPr>
      <w:r>
        <w:t>\Delta_{F}</w:t>
      </w:r>
      <w:r>
        <w:br/>
        <w:t>\left(</w:t>
      </w:r>
      <w:r>
        <w:br/>
        <w:t>\mathcal{A}</w:t>
      </w:r>
      <w:r>
        <w:rPr>
          <w:rStyle w:val="Hervorhebung"/>
        </w:rPr>
        <w:t>{F}(\mathcal{D}),</w:t>
      </w:r>
      <w:r>
        <w:rPr>
          <w:i/>
          <w:iCs/>
        </w:rPr>
        <w:br/>
      </w:r>
      <w:r>
        <w:rPr>
          <w:rStyle w:val="Hervorhebung"/>
        </w:rPr>
        <w:t>\mathcal{A}</w:t>
      </w:r>
      <w:r>
        <w:t>{F}</w:t>
      </w:r>
      <w:r>
        <w:br/>
        <w:t>\left(</w:t>
      </w:r>
      <w:r>
        <w:br/>
        <w:t>\mathcal{D}^{(i,\ast)}</w:t>
      </w:r>
      <w:r>
        <w:br/>
        <w:t>\right)</w:t>
      </w:r>
      <w:r>
        <w:br/>
        <w:t>\right).</w:t>
      </w:r>
      <w:r>
        <w:br/>
        <w:t>\tag{3.5333}</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\Delta_i^{\ast}=\Delta_{F}\left(\mathcal{A}_{F}(\mathcal{D}),\mathcal{A}_{F}\left(\mathcal{D}^{(i,\ast)}\right)\right)\qquad\text{(3.5333)}</w:t>
      </w:r>
    </w:p>
    <w:p w:rsidR="00E172C5" w:rsidRDefault="00E172C5" w:rsidP="00E172C5">
      <w:pPr>
        <w:pStyle w:val="StandardWeb"/>
      </w:pPr>
      <w:r>
        <w:t>Eine ausreißerrobuste Auswertung verlangt</w:t>
      </w:r>
    </w:p>
    <w:p w:rsidR="00E172C5" w:rsidRDefault="00E172C5" w:rsidP="00E172C5">
      <w:pPr>
        <w:pStyle w:val="StandardWeb"/>
      </w:pPr>
      <w:r>
        <w:t>[</w:t>
      </w:r>
      <w:r>
        <w:br/>
        <w:t>\Delta_i^{\ast}</w:t>
      </w:r>
      <w:r>
        <w:br/>
        <w:t>\leq</w:t>
      </w:r>
      <w:r>
        <w:br/>
        <w:t>\varepsilon_{\ast}</w:t>
      </w:r>
      <w:r>
        <w:br/>
        <w:t>\tag{3.5334}</w:t>
      </w:r>
      <w:r>
        <w:br/>
        <w:t>]</w:t>
      </w:r>
    </w:p>
    <w:p w:rsidR="00E172C5" w:rsidRDefault="00E172C5" w:rsidP="00E172C5">
      <w:pPr>
        <w:pStyle w:val="StandardWeb"/>
      </w:pPr>
      <w:r>
        <w:rPr>
          <w:rStyle w:val="Fett"/>
        </w:rPr>
        <w:lastRenderedPageBreak/>
        <w:t>Word-LaTeX</w:t>
      </w:r>
    </w:p>
    <w:p w:rsidR="00E172C5" w:rsidRDefault="00E172C5" w:rsidP="00E172C5">
      <w:pPr>
        <w:pStyle w:val="HTMLVorformatiert"/>
        <w:rPr>
          <w:rStyle w:val="HTMLCode"/>
        </w:rPr>
      </w:pPr>
      <w:r>
        <w:rPr>
          <w:rStyle w:val="HTMLCode"/>
        </w:rPr>
        <w:t>\Delta_i^{\ast}\leq\varepsilon_{\ast}\qquad\text{(3.5334)}</w:t>
      </w:r>
    </w:p>
    <w:p w:rsidR="00E172C5" w:rsidRDefault="00E172C5" w:rsidP="00E172C5">
      <w:pPr>
        <w:pStyle w:val="StandardWeb"/>
      </w:pPr>
      <w:r>
        <w:t>für alle Ausreißerveränderungen innerhalb einer ausdrücklich bestimmten Störungsklasse.</w:t>
      </w:r>
    </w:p>
    <w:p w:rsidR="00E172C5" w:rsidRPr="00AF32B2" w:rsidRDefault="00E172C5" w:rsidP="00AF32B2">
      <w:pPr>
        <w:pStyle w:val="berschrift4"/>
      </w:pPr>
      <w:r w:rsidRPr="00AF32B2">
        <w:t>3.3.29.7 Leave-one-out-Stabilität</w:t>
      </w:r>
    </w:p>
    <w:p w:rsidR="00E172C5" w:rsidRDefault="00E172C5" w:rsidP="00E172C5">
      <w:pPr>
        <w:pStyle w:val="StandardWeb"/>
      </w:pPr>
      <w:r>
        <w:t>Die Entfernung einer einzelnen Beobachtung erzeugt den Datensatz</w:t>
      </w:r>
    </w:p>
    <w:p w:rsidR="00E172C5" w:rsidRDefault="00E172C5" w:rsidP="00E172C5">
      <w:pPr>
        <w:pStyle w:val="berschrift1"/>
      </w:pPr>
      <w:r>
        <w:t>[</w:t>
      </w:r>
      <w:r>
        <w:br/>
        <w:t>\mathcal{D}_{-i}</w:t>
      </w:r>
    </w:p>
    <w:p w:rsidR="00E172C5" w:rsidRDefault="00E172C5" w:rsidP="00E172C5">
      <w:pPr>
        <w:pStyle w:val="StandardWeb"/>
      </w:pPr>
      <w:r>
        <w:t>\mathcal{D}</w:t>
      </w:r>
      <w:r>
        <w:br/>
        <w:t>\setminus</w:t>
      </w:r>
      <w:r>
        <w:br/>
        <w:t>{d_i}.</w:t>
      </w:r>
      <w:r>
        <w:br/>
        <w:t>\tag{3.5335}</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\mathcal{D}_{-i}=\mathcal{D}\setminus\{d_i\}\qquad\text{(3.5335)}</w:t>
      </w:r>
    </w:p>
    <w:p w:rsidR="00E172C5" w:rsidRDefault="00E172C5" w:rsidP="00E172C5">
      <w:pPr>
        <w:pStyle w:val="StandardWeb"/>
      </w:pPr>
      <w:r>
        <w:t>Das zugehörige Auswertungsergebnis lautet</w:t>
      </w:r>
    </w:p>
    <w:p w:rsidR="00E172C5" w:rsidRDefault="00E172C5" w:rsidP="00E172C5">
      <w:pPr>
        <w:pStyle w:val="berschrift1"/>
      </w:pPr>
      <w:r>
        <w:t>[</w:t>
      </w:r>
      <w:r>
        <w:br/>
        <w:t>z_{-i}</w:t>
      </w:r>
    </w:p>
    <w:p w:rsidR="00E172C5" w:rsidRDefault="00E172C5" w:rsidP="00E172C5">
      <w:pPr>
        <w:pStyle w:val="StandardWeb"/>
      </w:pPr>
      <w:r>
        <w:t>\mathcal{A}</w:t>
      </w:r>
      <w:r>
        <w:rPr>
          <w:rStyle w:val="Hervorhebung"/>
        </w:rPr>
        <w:t>{F}</w:t>
      </w:r>
      <w:r>
        <w:rPr>
          <w:i/>
          <w:iCs/>
        </w:rPr>
        <w:br/>
      </w:r>
      <w:r>
        <w:rPr>
          <w:rStyle w:val="Hervorhebung"/>
        </w:rPr>
        <w:t>\left(</w:t>
      </w:r>
      <w:r>
        <w:rPr>
          <w:i/>
          <w:iCs/>
        </w:rPr>
        <w:br/>
      </w:r>
      <w:r>
        <w:rPr>
          <w:rStyle w:val="Hervorhebung"/>
        </w:rPr>
        <w:t>\mathcal{D}</w:t>
      </w:r>
      <w:r>
        <w:t>{-i}</w:t>
      </w:r>
      <w:r>
        <w:br/>
        <w:t>\right).</w:t>
      </w:r>
      <w:r>
        <w:br/>
        <w:t>\tag{3.5336}</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z_{-i}=\mathcal{A}_{F}\left(\mathcal{D}_{-i}\right)\qquad\text{(3.5336)}</w:t>
      </w:r>
    </w:p>
    <w:p w:rsidR="00E172C5" w:rsidRDefault="00E172C5" w:rsidP="00E172C5">
      <w:pPr>
        <w:pStyle w:val="StandardWeb"/>
      </w:pPr>
      <w:r>
        <w:t>Die Leave-one-out-Abweichung wird definiert durch</w:t>
      </w:r>
    </w:p>
    <w:p w:rsidR="00E172C5" w:rsidRDefault="00E172C5" w:rsidP="00E172C5">
      <w:pPr>
        <w:pStyle w:val="berschrift1"/>
      </w:pPr>
      <w:r>
        <w:t>[</w:t>
      </w:r>
      <w:r>
        <w:br/>
        <w:t>\Delta_{-i}</w:t>
      </w:r>
    </w:p>
    <w:p w:rsidR="00E172C5" w:rsidRDefault="00E172C5" w:rsidP="00E172C5">
      <w:pPr>
        <w:pStyle w:val="StandardWeb"/>
      </w:pPr>
      <w:r>
        <w:t>\Delta_{F}</w:t>
      </w:r>
      <w:r>
        <w:br/>
        <w:t>\left(</w:t>
      </w:r>
      <w:r>
        <w:br/>
        <w:t>\mathcal{A}</w:t>
      </w:r>
      <w:r>
        <w:rPr>
          <w:rStyle w:val="Hervorhebung"/>
        </w:rPr>
        <w:t>{F}(\mathcal{D}),</w:t>
      </w:r>
      <w:r>
        <w:rPr>
          <w:i/>
          <w:iCs/>
        </w:rPr>
        <w:br/>
      </w:r>
      <w:r>
        <w:rPr>
          <w:rStyle w:val="Hervorhebung"/>
        </w:rPr>
        <w:lastRenderedPageBreak/>
        <w:t>z</w:t>
      </w:r>
      <w:r>
        <w:t>{-i}</w:t>
      </w:r>
      <w:r>
        <w:br/>
        <w:t>\right).</w:t>
      </w:r>
      <w:r>
        <w:br/>
        <w:t>\tag{3.5337}</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\Delta_{-i}=\Delta_{F}\left(\mathcal{A}_{F}(\mathcal{D}),z_{-i}\right)\qquad\text{(3.5337)}</w:t>
      </w:r>
    </w:p>
    <w:p w:rsidR="00E172C5" w:rsidRDefault="00E172C5" w:rsidP="00E172C5">
      <w:pPr>
        <w:pStyle w:val="StandardWeb"/>
      </w:pPr>
      <w:r>
        <w:t>Eine gleichmäßige Leave-one-out-Stabilität liegt vor, wenn</w:t>
      </w:r>
    </w:p>
    <w:p w:rsidR="00E172C5" w:rsidRDefault="00E172C5" w:rsidP="00E172C5">
      <w:pPr>
        <w:pStyle w:val="StandardWeb"/>
      </w:pPr>
      <w:r>
        <w:t>[</w:t>
      </w:r>
      <w:r>
        <w:br/>
        <w:t>\max_{1\leq i\leq n}</w:t>
      </w:r>
      <w:r>
        <w:br/>
        <w:t>\Delta_{-i}</w:t>
      </w:r>
      <w:r>
        <w:br/>
        <w:t>\leq</w:t>
      </w:r>
      <w:r>
        <w:br/>
        <w:t>\varepsilon_{\mathrm{LOO}}.</w:t>
      </w:r>
      <w:r>
        <w:br/>
        <w:t>\tag{3.5338}</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\max_{1\leq i\leq n}\Delta_{-i}\leq\varepsilon_{\mathrm{LOO}}\qquad\text{(3.5338)}</w:t>
      </w:r>
    </w:p>
    <w:p w:rsidR="00E172C5" w:rsidRDefault="00E172C5" w:rsidP="00E172C5">
      <w:pPr>
        <w:pStyle w:val="StandardWeb"/>
      </w:pPr>
      <w:r>
        <w:t>Ein großer Wert einzelner (\Delta_{-i}) zeigt, dass eine bestimmte Beobachtung einen überproportionalen Einfluss auf das Ergebnis besitzt.</w:t>
      </w:r>
    </w:p>
    <w:p w:rsidR="00E172C5" w:rsidRPr="00AF32B2" w:rsidRDefault="00E172C5" w:rsidP="00AF32B2">
      <w:pPr>
        <w:pStyle w:val="berschrift4"/>
      </w:pPr>
      <w:r w:rsidRPr="00AF32B2">
        <w:t>3.3.29.8 Bootstrap-Stabilität</w:t>
      </w:r>
    </w:p>
    <w:p w:rsidR="00E172C5" w:rsidRDefault="00E172C5" w:rsidP="00E172C5">
      <w:pPr>
        <w:pStyle w:val="StandardWeb"/>
      </w:pPr>
      <w:r>
        <w:t>Für eine resamplingbasierte Stabilitätsprüfung werden aus dem ursprünglichen Datensatz Stichproben</w:t>
      </w:r>
    </w:p>
    <w:p w:rsidR="00E172C5" w:rsidRDefault="00E172C5" w:rsidP="00E172C5">
      <w:pPr>
        <w:pStyle w:val="StandardWeb"/>
      </w:pPr>
      <w:r>
        <w:t>[</w:t>
      </w:r>
      <w:r>
        <w:br/>
        <w:t>\mathcal{D}^{(1)},</w:t>
      </w:r>
      <w:r>
        <w:br/>
        <w:t>\mathcal{D}^{(2)},</w:t>
      </w:r>
      <w:r>
        <w:br/>
        <w:t>\ldots,</w:t>
      </w:r>
      <w:r>
        <w:br/>
        <w:t>\mathcal{D}^{(B)}</w:t>
      </w:r>
      <w:r>
        <w:br/>
        <w:t>\tag{3.5339}</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\mathcal{D}^{(1)},\mathcal{D}^{(2)},\ldots,\mathcal{D}^{(B)}\qquad\text{(3.5339)}</w:t>
      </w:r>
    </w:p>
    <w:p w:rsidR="00E172C5" w:rsidRDefault="00E172C5" w:rsidP="00E172C5">
      <w:pPr>
        <w:pStyle w:val="StandardWeb"/>
      </w:pPr>
      <w:r>
        <w:t>erzeugt.</w:t>
      </w:r>
    </w:p>
    <w:p w:rsidR="00E172C5" w:rsidRDefault="00E172C5" w:rsidP="00E172C5">
      <w:pPr>
        <w:pStyle w:val="StandardWeb"/>
      </w:pPr>
      <w:r>
        <w:t>Die entsprechenden Auswertungsergebnisse lauten</w:t>
      </w:r>
    </w:p>
    <w:p w:rsidR="00E172C5" w:rsidRDefault="00E172C5" w:rsidP="00E172C5">
      <w:pPr>
        <w:pStyle w:val="berschrift1"/>
      </w:pPr>
      <w:r>
        <w:lastRenderedPageBreak/>
        <w:t>[</w:t>
      </w:r>
      <w:r>
        <w:br/>
        <w:t>z^{(b)}</w:t>
      </w:r>
    </w:p>
    <w:p w:rsidR="00E172C5" w:rsidRDefault="00E172C5" w:rsidP="00E172C5">
      <w:pPr>
        <w:pStyle w:val="StandardWeb"/>
      </w:pPr>
      <w:r>
        <w:t>\mathcal{A}_{F}</w:t>
      </w:r>
      <w:r>
        <w:br/>
        <w:t>\left(</w:t>
      </w:r>
      <w:r>
        <w:br/>
        <w:t>\mathcal{D}^{(b)}</w:t>
      </w:r>
      <w:r>
        <w:br/>
        <w:t>\right).</w:t>
      </w:r>
      <w:r>
        <w:br/>
        <w:t>\tag{3.5340}</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z^{(b)}=\mathcal{A}_{F}\left(\mathcal{D}^{(b)}\right)\qquad\text{(3.5340)}</w:t>
      </w:r>
    </w:p>
    <w:p w:rsidR="00E172C5" w:rsidRDefault="00E172C5" w:rsidP="00E172C5">
      <w:pPr>
        <w:pStyle w:val="StandardWeb"/>
      </w:pPr>
      <w:r>
        <w:t>Die empirische Streuung der Ergebnisse kann durch</w:t>
      </w:r>
    </w:p>
    <w:p w:rsidR="00E172C5" w:rsidRDefault="00E172C5" w:rsidP="00E172C5">
      <w:pPr>
        <w:pStyle w:val="berschrift1"/>
      </w:pPr>
      <w:r>
        <w:t>[</w:t>
      </w:r>
      <w:r>
        <w:br/>
        <w:t>\widehat{\operatorname{Var}}_{\mathrm{boot}}(z)</w:t>
      </w:r>
    </w:p>
    <w:p w:rsidR="00E172C5" w:rsidRDefault="00E172C5" w:rsidP="00E172C5">
      <w:pPr>
        <w:pStyle w:val="berschrift2"/>
      </w:pPr>
      <w:r>
        <w:t>\frac{1}{B-1}</w:t>
      </w:r>
      <w:r>
        <w:br/>
        <w:t>\sum_{b=1}^{B}</w:t>
      </w:r>
      <w:r>
        <w:br/>
        <w:t>\left(</w:t>
      </w:r>
      <w:r>
        <w:br/>
        <w:t>z^{(b)}</w:t>
      </w:r>
    </w:p>
    <w:p w:rsidR="00E172C5" w:rsidRDefault="00E172C5" w:rsidP="00E172C5">
      <w:pPr>
        <w:pStyle w:val="StandardWeb"/>
      </w:pPr>
      <w:r>
        <w:t>\overline{z}</w:t>
      </w:r>
      <w:r>
        <w:br/>
        <w:t>\right)^2</w:t>
      </w:r>
      <w:r>
        <w:br/>
        <w:t>\tag{3.5341}</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\widehat{\operatorname{Var}}_{\mathrm{boot}}(z)=\frac{1}{B-1}\sum_{b=1}^{B}\left(z^{(b)}-\overline{z}\right)^2\qquad\text{(3.5341)}</w:t>
      </w:r>
    </w:p>
    <w:p w:rsidR="00E172C5" w:rsidRDefault="00E172C5" w:rsidP="00E172C5">
      <w:pPr>
        <w:pStyle w:val="StandardWeb"/>
      </w:pPr>
      <w:r>
        <w:t>bestimmt werden, sofern (z) skalarwertig ist.</w:t>
      </w:r>
    </w:p>
    <w:p w:rsidR="00E172C5" w:rsidRDefault="00E172C5" w:rsidP="00E172C5">
      <w:pPr>
        <w:pStyle w:val="StandardWeb"/>
      </w:pPr>
      <w:r>
        <w:t>Dabei gilt</w:t>
      </w:r>
    </w:p>
    <w:p w:rsidR="00E172C5" w:rsidRDefault="00E172C5" w:rsidP="00E172C5">
      <w:pPr>
        <w:pStyle w:val="berschrift1"/>
      </w:pPr>
      <w:r>
        <w:t>[</w:t>
      </w:r>
      <w:r>
        <w:br/>
        <w:t>\overline{z}</w:t>
      </w:r>
    </w:p>
    <w:p w:rsidR="00E172C5" w:rsidRDefault="00E172C5" w:rsidP="00E172C5">
      <w:pPr>
        <w:pStyle w:val="StandardWeb"/>
      </w:pPr>
      <w:r>
        <w:t>\frac{1}{B}</w:t>
      </w:r>
      <w:r>
        <w:br/>
        <w:t>\sum_{b=1}^{B}</w:t>
      </w:r>
      <w:r>
        <w:br/>
        <w:t>z^{(b)}.</w:t>
      </w:r>
      <w:r>
        <w:br/>
      </w:r>
      <w:r>
        <w:lastRenderedPageBreak/>
        <w:t>\tag{3.5342}</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\overline{z}=\frac{1}{B}\sum_{b=1}^{B}z^{(b)}\qquad\text{(3.5342)}</w:t>
      </w:r>
    </w:p>
    <w:p w:rsidR="00E172C5" w:rsidRDefault="00E172C5" w:rsidP="00E172C5">
      <w:pPr>
        <w:pStyle w:val="StandardWeb"/>
      </w:pPr>
      <w:r>
        <w:t>Eine geringe Bootstrap-Streuung unterstützt die praktische Datenstabilität des betrachteten Ergebnisses. Sie beweist jedoch keine strukturelle Stabilität außerhalb der durch das Resampling dargestellten Stichprobenvariationen [58, 59].</w:t>
      </w:r>
    </w:p>
    <w:p w:rsidR="00E172C5" w:rsidRPr="00AF32B2" w:rsidRDefault="00E172C5" w:rsidP="00AF32B2">
      <w:pPr>
        <w:pStyle w:val="berschrift4"/>
      </w:pPr>
      <w:r w:rsidRPr="00AF32B2">
        <w:t>3.3.29.9 Stabilität der Operationalisierung</w:t>
      </w:r>
    </w:p>
    <w:p w:rsidR="00E172C5" w:rsidRDefault="00E172C5" w:rsidP="00E172C5">
      <w:pPr>
        <w:pStyle w:val="StandardWeb"/>
      </w:pPr>
      <w:r>
        <w:t>Die ursprüngliche Operationalisierungsabbildung lautet</w:t>
      </w:r>
    </w:p>
    <w:p w:rsidR="00E172C5" w:rsidRDefault="00E172C5" w:rsidP="00E172C5">
      <w:pPr>
        <w:pStyle w:val="StandardWeb"/>
      </w:pPr>
      <w:r>
        <w:t>[</w:t>
      </w:r>
      <w:r>
        <w:br/>
        <w:t>\mathcal{O}_{F}.</w:t>
      </w:r>
      <w:r>
        <w:br/>
        <w:t>\tag{3.5343}</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\mathcal{O}_{F}\qquad\text{(3.5343)}</w:t>
      </w:r>
    </w:p>
    <w:p w:rsidR="00E172C5" w:rsidRDefault="00E172C5" w:rsidP="00E172C5">
      <w:pPr>
        <w:pStyle w:val="StandardWeb"/>
      </w:pPr>
      <w:r>
        <w:t>Eine zulässige alternative Operationalisierung sei</w:t>
      </w:r>
    </w:p>
    <w:p w:rsidR="00E172C5" w:rsidRDefault="00E172C5" w:rsidP="00E172C5">
      <w:pPr>
        <w:pStyle w:val="berschrift1"/>
      </w:pPr>
      <w:r>
        <w:t>[</w:t>
      </w:r>
      <w:r>
        <w:br/>
        <w:t>\mathcal{O}_{F}^{\prime}</w:t>
      </w:r>
    </w:p>
    <w:p w:rsidR="00E172C5" w:rsidRDefault="00E172C5" w:rsidP="00E172C5">
      <w:pPr>
        <w:pStyle w:val="StandardWeb"/>
      </w:pPr>
      <w:r>
        <w:t>\mathcal{O}</w:t>
      </w:r>
      <w:r>
        <w:rPr>
          <w:rStyle w:val="Hervorhebung"/>
        </w:rPr>
        <w:t>{F}</w:t>
      </w:r>
      <w:r>
        <w:rPr>
          <w:i/>
          <w:iCs/>
        </w:rPr>
        <w:br/>
      </w:r>
      <w:r>
        <w:rPr>
          <w:rStyle w:val="Hervorhebung"/>
        </w:rPr>
        <w:t>+</w:t>
      </w:r>
      <w:r>
        <w:rPr>
          <w:i/>
          <w:iCs/>
        </w:rPr>
        <w:br/>
      </w:r>
      <w:r>
        <w:rPr>
          <w:rStyle w:val="Hervorhebung"/>
        </w:rPr>
        <w:t>\Delta\mathcal{O}</w:t>
      </w:r>
      <w:r>
        <w:t>{F}.</w:t>
      </w:r>
      <w:r>
        <w:br/>
        <w:t>\tag{3.5344}</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\mathcal{O}_{F}^{\prime}=\mathcal{O}_{F}+\Delta\mathcal{O}_{F}\qquad\text{(3.5344)}</w:t>
      </w:r>
    </w:p>
    <w:p w:rsidR="00E172C5" w:rsidRDefault="00E172C5" w:rsidP="00E172C5">
      <w:pPr>
        <w:pStyle w:val="StandardWeb"/>
      </w:pPr>
      <w:r>
        <w:t>Die dadurch erzeugten formalen Objekte lauten</w:t>
      </w:r>
    </w:p>
    <w:p w:rsidR="00E172C5" w:rsidRDefault="00E172C5" w:rsidP="00E172C5">
      <w:pPr>
        <w:pStyle w:val="berschrift1"/>
      </w:pPr>
      <w:r>
        <w:t>[</w:t>
      </w:r>
      <w:r>
        <w:br/>
        <w:t>x_{F}</w:t>
      </w:r>
    </w:p>
    <w:p w:rsidR="00E172C5" w:rsidRDefault="00E172C5" w:rsidP="00E172C5">
      <w:pPr>
        <w:pStyle w:val="StandardWeb"/>
      </w:pPr>
      <w:r>
        <w:t>\mathcal{O}_{F}(d)</w:t>
      </w:r>
      <w:r>
        <w:br/>
        <w:t>\tag{3.5345}</w:t>
      </w:r>
      <w:r>
        <w:br/>
        <w:t>]</w:t>
      </w:r>
    </w:p>
    <w:p w:rsidR="00E172C5" w:rsidRDefault="00E172C5" w:rsidP="00E172C5">
      <w:pPr>
        <w:pStyle w:val="StandardWeb"/>
      </w:pPr>
      <w:r>
        <w:rPr>
          <w:rStyle w:val="Fett"/>
        </w:rPr>
        <w:lastRenderedPageBreak/>
        <w:t>Word-LaTeX</w:t>
      </w:r>
    </w:p>
    <w:p w:rsidR="00E172C5" w:rsidRDefault="00E172C5" w:rsidP="00E172C5">
      <w:pPr>
        <w:pStyle w:val="HTMLVorformatiert"/>
        <w:rPr>
          <w:rStyle w:val="HTMLCode"/>
        </w:rPr>
      </w:pPr>
      <w:r>
        <w:rPr>
          <w:rStyle w:val="HTMLCode"/>
        </w:rPr>
        <w:t>x_{F}=\mathcal{O}_{F}(d)\qquad\text{(3.5345)}</w:t>
      </w:r>
    </w:p>
    <w:p w:rsidR="00E172C5" w:rsidRDefault="00E172C5" w:rsidP="00E172C5">
      <w:pPr>
        <w:pStyle w:val="StandardWeb"/>
      </w:pPr>
      <w:r>
        <w:t>und</w:t>
      </w:r>
    </w:p>
    <w:p w:rsidR="00E172C5" w:rsidRDefault="00E172C5" w:rsidP="00E172C5">
      <w:pPr>
        <w:pStyle w:val="berschrift1"/>
      </w:pPr>
      <w:r>
        <w:t>[</w:t>
      </w:r>
      <w:r>
        <w:br/>
        <w:t>x_{F}^{\prime}</w:t>
      </w:r>
    </w:p>
    <w:p w:rsidR="00E172C5" w:rsidRDefault="00E172C5" w:rsidP="00E172C5">
      <w:pPr>
        <w:pStyle w:val="StandardWeb"/>
      </w:pPr>
      <w:r>
        <w:t>\mathcal{O}_{F}^{\prime}(d).</w:t>
      </w:r>
      <w:r>
        <w:br/>
        <w:t>\tag{3.5346}</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x_{F}^{\prime}=\mathcal{O}_{F}^{\prime}(d)\qquad\text{(3.5346)}</w:t>
      </w:r>
    </w:p>
    <w:p w:rsidR="00E172C5" w:rsidRDefault="00E172C5" w:rsidP="00E172C5">
      <w:pPr>
        <w:pStyle w:val="StandardWeb"/>
      </w:pPr>
      <w:r>
        <w:t>Die Operationalisierungsabweichung lautet</w:t>
      </w:r>
    </w:p>
    <w:p w:rsidR="00E172C5" w:rsidRDefault="00E172C5" w:rsidP="00E172C5">
      <w:pPr>
        <w:pStyle w:val="berschrift1"/>
      </w:pPr>
      <w:r>
        <w:t>[</w:t>
      </w:r>
      <w:r>
        <w:br/>
        <w:t>\Delta_{\mathrm{op}}</w:t>
      </w:r>
    </w:p>
    <w:p w:rsidR="00E172C5" w:rsidRDefault="00E172C5" w:rsidP="00E172C5">
      <w:pPr>
        <w:pStyle w:val="StandardWeb"/>
      </w:pPr>
      <w:r>
        <w:t>\Delta_{F}</w:t>
      </w:r>
      <w:r>
        <w:br/>
        <w:t>\left(</w:t>
      </w:r>
      <w:r>
        <w:br/>
        <w:t>x_{F},</w:t>
      </w:r>
      <w:r>
        <w:br/>
        <w:t>x_{F}^{\prime}</w:t>
      </w:r>
      <w:r>
        <w:br/>
        <w:t>\right).</w:t>
      </w:r>
      <w:r>
        <w:br/>
        <w:t>\tag{3.5347}</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\Delta_{\mathrm{op}}=\Delta_{F}\left(x_{F},x_{F}^{\prime}\right)\qquad\text{(3.5347)}</w:t>
      </w:r>
    </w:p>
    <w:p w:rsidR="00E172C5" w:rsidRDefault="00E172C5" w:rsidP="00E172C5">
      <w:pPr>
        <w:pStyle w:val="StandardWeb"/>
      </w:pPr>
      <w:r>
        <w:t>Eine empirische Aussage ist operationalisierungsstabil, wenn sie unter allen begründeten Operationalisierungsvarianten erhalten bleibt:</w:t>
      </w:r>
    </w:p>
    <w:p w:rsidR="00E172C5" w:rsidRDefault="00E172C5" w:rsidP="00E172C5">
      <w:pPr>
        <w:pStyle w:val="berschrift1"/>
      </w:pPr>
      <w:r>
        <w:t>[</w:t>
      </w:r>
      <w:r>
        <w:br/>
        <w:t>\forall</w:t>
      </w:r>
      <w:r>
        <w:br/>
        <w:t>\mathcal{O}</w:t>
      </w:r>
      <w:r>
        <w:rPr>
          <w:rStyle w:val="Hervorhebung"/>
        </w:rPr>
        <w:t>{F}^{\prime}</w:t>
      </w:r>
      <w:r>
        <w:rPr>
          <w:i/>
          <w:iCs/>
        </w:rPr>
        <w:br/>
      </w:r>
      <w:r>
        <w:rPr>
          <w:rStyle w:val="Hervorhebung"/>
        </w:rPr>
        <w:t>\in</w:t>
      </w:r>
      <w:r>
        <w:rPr>
          <w:i/>
          <w:iCs/>
        </w:rPr>
        <w:br/>
      </w:r>
      <w:r>
        <w:rPr>
          <w:rStyle w:val="Hervorhebung"/>
        </w:rPr>
        <w:t>\mathfrak{O}</w:t>
      </w:r>
      <w:r>
        <w:t>{F}^{\mathrm{zul}}:</w:t>
      </w:r>
      <w:r>
        <w:br/>
        <w:t>P</w:t>
      </w:r>
      <w:r>
        <w:br/>
      </w:r>
      <w:r>
        <w:lastRenderedPageBreak/>
        <w:t>\left(</w:t>
      </w:r>
      <w:r>
        <w:br/>
        <w:t>\mathcal{O}_{F}^{\prime}</w:t>
      </w:r>
      <w:r>
        <w:br/>
        <w:t>\right)</w:t>
      </w:r>
    </w:p>
    <w:p w:rsidR="00E172C5" w:rsidRDefault="00E172C5" w:rsidP="00E172C5">
      <w:pPr>
        <w:pStyle w:val="StandardWeb"/>
      </w:pPr>
      <w:r>
        <w:t>P</w:t>
      </w:r>
      <w:r>
        <w:br/>
        <w:t>\left(</w:t>
      </w:r>
      <w:r>
        <w:br/>
        <w:t>\mathcal{O}_{F}</w:t>
      </w:r>
      <w:r>
        <w:br/>
        <w:t>\right).</w:t>
      </w:r>
      <w:r>
        <w:br/>
        <w:t>\tag{3.5348}</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\forall\mathcal{O}_{F}^{\prime}\in\mathfrak{O}_{F}^{\mathrm{zul}}:P\left(\mathcal{O}_{F}^{\prime}\right)=P\left(\mathcal{O}_{F}\right)\qquad\text{(3.5348)}</w:t>
      </w:r>
    </w:p>
    <w:p w:rsidR="00E172C5" w:rsidRDefault="00E172C5" w:rsidP="00E172C5">
      <w:pPr>
        <w:pStyle w:val="StandardWeb"/>
      </w:pPr>
      <w:r>
        <w:rPr>
          <w:rStyle w:val="Fett"/>
        </w:rPr>
        <w:t>Eigenleistung des FRZK</w:t>
      </w:r>
    </w:p>
    <w:p w:rsidR="00E172C5" w:rsidRDefault="00E172C5" w:rsidP="00E172C5">
      <w:pPr>
        <w:pStyle w:val="StandardWeb"/>
      </w:pPr>
      <w:r>
        <w:t>Ich unterscheide Datenrobustheit und Operationalisierungsrobustheit. Eine Aussage kann gegenüber Messrauschen stabil sein, aber bereits bei einer geringfügig veränderten Zuordnungsregel zwischen Daten und FRZK-Objekten ihren Wahrheitswert ändern.</w:t>
      </w:r>
    </w:p>
    <w:p w:rsidR="00E172C5" w:rsidRPr="00AF32B2" w:rsidRDefault="00E172C5" w:rsidP="00AF32B2">
      <w:pPr>
        <w:pStyle w:val="berschrift4"/>
      </w:pPr>
      <w:r w:rsidRPr="00AF32B2">
        <w:t>3.3.29.10 Stabilität gegenüber Modellbedingungen</w:t>
      </w:r>
    </w:p>
    <w:p w:rsidR="00E172C5" w:rsidRDefault="00E172C5" w:rsidP="00E172C5">
      <w:pPr>
        <w:pStyle w:val="StandardWeb"/>
      </w:pPr>
      <w:r>
        <w:t>Die ursprüngliche Modellbedingungsmenge lautet</w:t>
      </w:r>
    </w:p>
    <w:p w:rsidR="00E172C5" w:rsidRDefault="00E172C5" w:rsidP="00E172C5">
      <w:pPr>
        <w:pStyle w:val="StandardWeb"/>
      </w:pPr>
      <w:r>
        <w:t>[</w:t>
      </w:r>
      <w:r>
        <w:br/>
        <w:t>\mathcal{B}_{F}.</w:t>
      </w:r>
      <w:r>
        <w:br/>
        <w:t>\tag{3.5349}</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\mathcal{B}_{F}\qquad\text{(3.5349)}</w:t>
      </w:r>
    </w:p>
    <w:p w:rsidR="00E172C5" w:rsidRDefault="00E172C5" w:rsidP="00E172C5">
      <w:pPr>
        <w:pStyle w:val="StandardWeb"/>
      </w:pPr>
      <w:r>
        <w:t>Eine veränderte Bedingungsmenge lautet</w:t>
      </w:r>
    </w:p>
    <w:p w:rsidR="00E172C5" w:rsidRDefault="00E172C5" w:rsidP="00E172C5">
      <w:pPr>
        <w:pStyle w:val="berschrift1"/>
      </w:pPr>
      <w:r>
        <w:t>[</w:t>
      </w:r>
      <w:r>
        <w:br/>
        <w:t>\mathcal{B}_{F}^{\prime}</w:t>
      </w:r>
    </w:p>
    <w:p w:rsidR="00E172C5" w:rsidRDefault="00E172C5" w:rsidP="00E172C5">
      <w:pPr>
        <w:pStyle w:val="StandardWeb"/>
      </w:pPr>
      <w:r>
        <w:t>\mathcal{B}</w:t>
      </w:r>
      <w:r>
        <w:rPr>
          <w:rStyle w:val="Hervorhebung"/>
        </w:rPr>
        <w:t>{F}</w:t>
      </w:r>
      <w:r>
        <w:rPr>
          <w:i/>
          <w:iCs/>
        </w:rPr>
        <w:br/>
      </w:r>
      <w:r>
        <w:rPr>
          <w:rStyle w:val="Hervorhebung"/>
        </w:rPr>
        <w:t>\cup</w:t>
      </w:r>
      <w:r>
        <w:rPr>
          <w:i/>
          <w:iCs/>
        </w:rPr>
        <w:br/>
      </w:r>
      <w:r>
        <w:rPr>
          <w:rStyle w:val="Hervorhebung"/>
        </w:rPr>
        <w:t>\Delta\mathcal{B}</w:t>
      </w:r>
      <w:r>
        <w:t>{F}.</w:t>
      </w:r>
      <w:r>
        <w:br/>
        <w:t>\tag{3.5350}</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lastRenderedPageBreak/>
        <w:t>\mathcal{B}_{F}^{\prime}=\mathcal{B}_{F}\cup\Delta\mathcal{B}_{F}\qquad\text{(3.5350)}</w:t>
      </w:r>
    </w:p>
    <w:p w:rsidR="00E172C5" w:rsidRDefault="00E172C5" w:rsidP="00E172C5">
      <w:pPr>
        <w:pStyle w:val="StandardWeb"/>
      </w:pPr>
      <w:r>
        <w:t>Die zugehörigen Modellklassen sind</w:t>
      </w:r>
    </w:p>
    <w:p w:rsidR="00E172C5" w:rsidRDefault="00E172C5" w:rsidP="00E172C5">
      <w:pPr>
        <w:pStyle w:val="berschrift1"/>
      </w:pPr>
      <w:r>
        <w:t>[</w:t>
      </w:r>
      <w:r>
        <w:br/>
        <w:t>\operatorname{Mod}_{F}</w:t>
      </w:r>
    </w:p>
    <w:p w:rsidR="00E172C5" w:rsidRDefault="00E172C5" w:rsidP="00E172C5">
      <w:pPr>
        <w:pStyle w:val="StandardWeb"/>
      </w:pPr>
      <w:r>
        <w:t>\operatorname{Mod}</w:t>
      </w:r>
      <w:r>
        <w:br/>
        <w:t>\left(</w:t>
      </w:r>
      <w:r>
        <w:br/>
        <w:t>\mathcal{A}</w:t>
      </w:r>
      <w:r>
        <w:rPr>
          <w:rStyle w:val="Hervorhebung"/>
        </w:rPr>
        <w:t>{\mathrm{prim}}</w:t>
      </w:r>
      <w:r>
        <w:rPr>
          <w:i/>
          <w:iCs/>
        </w:rPr>
        <w:br/>
      </w:r>
      <w:r>
        <w:rPr>
          <w:rStyle w:val="Hervorhebung"/>
        </w:rPr>
        <w:t>\cup</w:t>
      </w:r>
      <w:r>
        <w:rPr>
          <w:i/>
          <w:iCs/>
        </w:rPr>
        <w:br/>
      </w:r>
      <w:r>
        <w:rPr>
          <w:rStyle w:val="Hervorhebung"/>
        </w:rPr>
        <w:t>\mathcal{B}</w:t>
      </w:r>
      <w:r>
        <w:t>{F}</w:t>
      </w:r>
      <w:r>
        <w:br/>
        <w:t>\right)</w:t>
      </w:r>
      <w:r>
        <w:br/>
        <w:t>\tag{3.5351}</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\operatorname{Mod}_{F}=\operatorname{Mod}\left(\mathcal{A}_{\mathrm{prim}}\cup\mathcal{B}_{F}\right)\qquad\text{(3.5351)}</w:t>
      </w:r>
    </w:p>
    <w:p w:rsidR="00E172C5" w:rsidRDefault="00E172C5" w:rsidP="00E172C5">
      <w:pPr>
        <w:pStyle w:val="StandardWeb"/>
      </w:pPr>
      <w:r>
        <w:t>und</w:t>
      </w:r>
    </w:p>
    <w:p w:rsidR="00E172C5" w:rsidRDefault="00E172C5" w:rsidP="00E172C5">
      <w:pPr>
        <w:pStyle w:val="berschrift1"/>
      </w:pPr>
      <w:r>
        <w:t>[</w:t>
      </w:r>
      <w:r>
        <w:br/>
        <w:t>\operatorname{Mod}_{F}^{\prime}</w:t>
      </w:r>
    </w:p>
    <w:p w:rsidR="00E172C5" w:rsidRDefault="00E172C5" w:rsidP="00E172C5">
      <w:pPr>
        <w:pStyle w:val="StandardWeb"/>
      </w:pPr>
      <w:r>
        <w:t>\operatorname{Mod}</w:t>
      </w:r>
      <w:r>
        <w:br/>
        <w:t>\left(</w:t>
      </w:r>
      <w:r>
        <w:br/>
        <w:t>\mathcal{A}</w:t>
      </w:r>
      <w:r>
        <w:rPr>
          <w:rStyle w:val="Hervorhebung"/>
        </w:rPr>
        <w:t>{\mathrm{prim}}</w:t>
      </w:r>
      <w:r>
        <w:rPr>
          <w:i/>
          <w:iCs/>
        </w:rPr>
        <w:br/>
      </w:r>
      <w:r>
        <w:rPr>
          <w:rStyle w:val="Hervorhebung"/>
        </w:rPr>
        <w:t>\cup</w:t>
      </w:r>
      <w:r>
        <w:rPr>
          <w:i/>
          <w:iCs/>
        </w:rPr>
        <w:br/>
      </w:r>
      <w:r>
        <w:rPr>
          <w:rStyle w:val="Hervorhebung"/>
        </w:rPr>
        <w:t>\mathcal{B}</w:t>
      </w:r>
      <w:r>
        <w:t>{F}^{\prime}</w:t>
      </w:r>
      <w:r>
        <w:br/>
        <w:t>\right).</w:t>
      </w:r>
      <w:r>
        <w:br/>
        <w:t>\tag{3.5352}</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\operatorname{Mod}_{F}^{\prime}=\operatorname{Mod}\left(\mathcal{A}_{\mathrm{prim}}\cup\mathcal{B}_{F}^{\prime}\right)\qquad\text{(3.5352)}</w:t>
      </w:r>
    </w:p>
    <w:p w:rsidR="00E172C5" w:rsidRDefault="00E172C5" w:rsidP="00E172C5">
      <w:pPr>
        <w:pStyle w:val="StandardWeb"/>
      </w:pPr>
      <w:r>
        <w:t>Eine Aussage (P) ist modellbedingungsstabil, wenn</w:t>
      </w:r>
    </w:p>
    <w:p w:rsidR="00E172C5" w:rsidRDefault="00E172C5" w:rsidP="00E172C5">
      <w:pPr>
        <w:pStyle w:val="StandardWeb"/>
      </w:pPr>
      <w:r>
        <w:t>[</w:t>
      </w:r>
      <w:r>
        <w:br/>
        <w:t>\mathcal{A}</w:t>
      </w:r>
      <w:r>
        <w:rPr>
          <w:rStyle w:val="Hervorhebung"/>
        </w:rPr>
        <w:t>{\mathrm{prim}}</w:t>
      </w:r>
      <w:r>
        <w:rPr>
          <w:i/>
          <w:iCs/>
        </w:rPr>
        <w:br/>
      </w:r>
      <w:r>
        <w:rPr>
          <w:rStyle w:val="Hervorhebung"/>
        </w:rPr>
        <w:t>\cup</w:t>
      </w:r>
      <w:r>
        <w:rPr>
          <w:i/>
          <w:iCs/>
        </w:rPr>
        <w:br/>
      </w:r>
      <w:r>
        <w:rPr>
          <w:rStyle w:val="Hervorhebung"/>
        </w:rPr>
        <w:t>\mathcal{B}</w:t>
      </w:r>
      <w:r>
        <w:t>{F}</w:t>
      </w:r>
      <w:r>
        <w:br/>
        <w:t>\models</w:t>
      </w:r>
      <w:r>
        <w:br/>
        <w:t>P</w:t>
      </w:r>
      <w:r>
        <w:br/>
      </w:r>
      <w:r>
        <w:lastRenderedPageBreak/>
        <w:t>\tag{3.5353}</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\mathcal{A}_{\mathrm{prim}}\cup\mathcal{B}_{F}\models P\qquad\text{(3.5353)}</w:t>
      </w:r>
    </w:p>
    <w:p w:rsidR="00E172C5" w:rsidRDefault="00E172C5" w:rsidP="00E172C5">
      <w:pPr>
        <w:pStyle w:val="StandardWeb"/>
      </w:pPr>
      <w:r>
        <w:t>und zugleich</w:t>
      </w:r>
    </w:p>
    <w:p w:rsidR="00E172C5" w:rsidRDefault="00E172C5" w:rsidP="00E172C5">
      <w:pPr>
        <w:pStyle w:val="StandardWeb"/>
      </w:pPr>
      <w:r>
        <w:t>[</w:t>
      </w:r>
      <w:r>
        <w:br/>
        <w:t>\mathcal{A}</w:t>
      </w:r>
      <w:r>
        <w:rPr>
          <w:rStyle w:val="Hervorhebung"/>
        </w:rPr>
        <w:t>{\mathrm{prim}}</w:t>
      </w:r>
      <w:r>
        <w:rPr>
          <w:i/>
          <w:iCs/>
        </w:rPr>
        <w:br/>
      </w:r>
      <w:r>
        <w:rPr>
          <w:rStyle w:val="Hervorhebung"/>
        </w:rPr>
        <w:t>\cup</w:t>
      </w:r>
      <w:r>
        <w:rPr>
          <w:i/>
          <w:iCs/>
        </w:rPr>
        <w:br/>
      </w:r>
      <w:r>
        <w:rPr>
          <w:rStyle w:val="Hervorhebung"/>
        </w:rPr>
        <w:t>\mathcal{B}</w:t>
      </w:r>
      <w:r>
        <w:t>{F}^{\prime}</w:t>
      </w:r>
      <w:r>
        <w:br/>
        <w:t>\models</w:t>
      </w:r>
      <w:r>
        <w:br/>
        <w:t>P.</w:t>
      </w:r>
      <w:r>
        <w:br/>
        <w:t>\tag{3.5354}</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\mathcal{A}_{\mathrm{prim}}\cup\mathcal{B}_{F}^{\prime}\models P\qquad\text{(3.5354)}</w:t>
      </w:r>
    </w:p>
    <w:p w:rsidR="00E172C5" w:rsidRDefault="00E172C5" w:rsidP="00E172C5">
      <w:pPr>
        <w:pStyle w:val="StandardWeb"/>
      </w:pPr>
      <w:r>
        <w:t>Eine Aussage, die bereits beim Entfernen einer nicht zentralen Zusatzbedingung ungültig wird, besitzt eine geringe modellstrukturelle Robustheit.</w:t>
      </w:r>
    </w:p>
    <w:p w:rsidR="00E172C5" w:rsidRPr="00AF32B2" w:rsidRDefault="00E172C5" w:rsidP="00AF32B2">
      <w:pPr>
        <w:pStyle w:val="berschrift4"/>
      </w:pPr>
      <w:r w:rsidRPr="00AF32B2">
        <w:t>3.3.29.11 Strukturelle Störung eines Graphmodells</w:t>
      </w:r>
    </w:p>
    <w:p w:rsidR="00E172C5" w:rsidRDefault="00E172C5" w:rsidP="00E172C5">
      <w:pPr>
        <w:pStyle w:val="StandardWeb"/>
      </w:pPr>
      <w:r>
        <w:t>Sei ein funktionaler Graph gegeben durch</w:t>
      </w:r>
    </w:p>
    <w:p w:rsidR="00E172C5" w:rsidRDefault="00E172C5" w:rsidP="00E172C5">
      <w:pPr>
        <w:pStyle w:val="berschrift1"/>
      </w:pPr>
      <w:r>
        <w:t>[</w:t>
      </w:r>
      <w:r>
        <w:br/>
        <w:t>G</w:t>
      </w:r>
    </w:p>
    <w:p w:rsidR="00E172C5" w:rsidRDefault="00E172C5" w:rsidP="00E172C5">
      <w:pPr>
        <w:pStyle w:val="StandardWeb"/>
      </w:pPr>
      <w:r>
        <w:t>(V,E).</w:t>
      </w:r>
      <w:r>
        <w:br/>
        <w:t>\tag{3.5355}</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G=(V,E)\qquad\text{(3.5355)}</w:t>
      </w:r>
    </w:p>
    <w:p w:rsidR="00E172C5" w:rsidRDefault="00E172C5" w:rsidP="00E172C5">
      <w:pPr>
        <w:pStyle w:val="StandardWeb"/>
      </w:pPr>
      <w:r>
        <w:t>Eine gestörte Graphstruktur lautet</w:t>
      </w:r>
    </w:p>
    <w:p w:rsidR="00E172C5" w:rsidRDefault="00E172C5" w:rsidP="00E172C5">
      <w:pPr>
        <w:pStyle w:val="berschrift1"/>
      </w:pPr>
      <w:r>
        <w:t>[</w:t>
      </w:r>
      <w:r>
        <w:br/>
        <w:t>G^{\prime}</w:t>
      </w:r>
    </w:p>
    <w:p w:rsidR="00E172C5" w:rsidRDefault="00E172C5" w:rsidP="00E172C5">
      <w:pPr>
        <w:pStyle w:val="StandardWeb"/>
      </w:pPr>
      <w:r>
        <w:t>\left(</w:t>
      </w:r>
      <w:r>
        <w:br/>
        <w:t>V^{\prime},</w:t>
      </w:r>
      <w:r>
        <w:br/>
      </w:r>
      <w:r>
        <w:lastRenderedPageBreak/>
        <w:t>E^{\prime}</w:t>
      </w:r>
      <w:r>
        <w:br/>
        <w:t>\right).</w:t>
      </w:r>
      <w:r>
        <w:br/>
        <w:t>\tag{3.5356}</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G^{\prime}=\left(V^{\prime},E^{\prime}\right)\qquad\text{(3.5356)}</w:t>
      </w:r>
    </w:p>
    <w:p w:rsidR="00E172C5" w:rsidRDefault="00E172C5" w:rsidP="00E172C5">
      <w:pPr>
        <w:pStyle w:val="StandardWeb"/>
      </w:pPr>
      <w:r>
        <w:t>Eine reine Kantenstörung kann beschrieben werden durch</w:t>
      </w:r>
    </w:p>
    <w:p w:rsidR="00E172C5" w:rsidRDefault="00E172C5" w:rsidP="00E172C5">
      <w:pPr>
        <w:pStyle w:val="berschrift1"/>
      </w:pPr>
      <w:r>
        <w:t>[</w:t>
      </w:r>
      <w:r>
        <w:br/>
        <w:t>E^{\prime}</w:t>
      </w:r>
    </w:p>
    <w:p w:rsidR="00E172C5" w:rsidRDefault="00E172C5" w:rsidP="00E172C5">
      <w:pPr>
        <w:pStyle w:val="StandardWeb"/>
      </w:pPr>
      <w:r>
        <w:t>E</w:t>
      </w:r>
      <w:r>
        <w:br/>
        <w:t>\triangle</w:t>
      </w:r>
      <w:r>
        <w:br/>
        <w:t>\Delta E,</w:t>
      </w:r>
      <w:r>
        <w:br/>
        <w:t>\tag{3.5357}</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E^{\prime}=E\triangle\Delta E\qquad\text{(3.5357)}</w:t>
      </w:r>
    </w:p>
    <w:p w:rsidR="00E172C5" w:rsidRDefault="00E172C5" w:rsidP="00E172C5">
      <w:pPr>
        <w:pStyle w:val="StandardWeb"/>
      </w:pPr>
      <w:r>
        <w:t>wobei (\triangle) die symmetrische Differenz bezeichnet.</w:t>
      </w:r>
    </w:p>
    <w:p w:rsidR="00E172C5" w:rsidRDefault="00E172C5" w:rsidP="00E172C5">
      <w:pPr>
        <w:pStyle w:val="StandardWeb"/>
      </w:pPr>
      <w:r>
        <w:t>Die Größe der Strukturstörung kann durch</w:t>
      </w:r>
    </w:p>
    <w:p w:rsidR="00E172C5" w:rsidRDefault="00E172C5" w:rsidP="00E172C5">
      <w:pPr>
        <w:pStyle w:val="berschrift1"/>
      </w:pPr>
      <w:r>
        <w:t>[</w:t>
      </w:r>
      <w:r>
        <w:br/>
        <w:t>d_{G}</w:t>
      </w:r>
      <w:r>
        <w:br/>
        <w:t>\left(</w:t>
      </w:r>
      <w:r>
        <w:br/>
        <w:t>G,G^{\prime}</w:t>
      </w:r>
      <w:r>
        <w:br/>
        <w:t>\right)</w:t>
      </w:r>
    </w:p>
    <w:p w:rsidR="00E172C5" w:rsidRDefault="00E172C5" w:rsidP="00E172C5">
      <w:pPr>
        <w:pStyle w:val="StandardWeb"/>
      </w:pPr>
      <w:r>
        <w:t>\left|</w:t>
      </w:r>
      <w:r>
        <w:br/>
        <w:t>E</w:t>
      </w:r>
      <w:r>
        <w:br/>
        <w:t>\triangle</w:t>
      </w:r>
      <w:r>
        <w:br/>
        <w:t>E^{\prime}</w:t>
      </w:r>
      <w:r>
        <w:br/>
        <w:t>\right|</w:t>
      </w:r>
      <w:r>
        <w:br/>
        <w:t>\tag{3.5358}</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d_{G}\left(G,G^{\prime}\right)=\left|E\triangle E^{\prime}\right|\qquad\text{(3.5358)}</w:t>
      </w:r>
    </w:p>
    <w:p w:rsidR="00E172C5" w:rsidRDefault="00E172C5" w:rsidP="00E172C5">
      <w:pPr>
        <w:pStyle w:val="StandardWeb"/>
      </w:pPr>
      <w:r>
        <w:lastRenderedPageBreak/>
        <w:t>gemessen werden.</w:t>
      </w:r>
    </w:p>
    <w:p w:rsidR="00E172C5" w:rsidRDefault="00E172C5" w:rsidP="00E172C5">
      <w:pPr>
        <w:pStyle w:val="StandardWeb"/>
      </w:pPr>
      <w:r>
        <w:t>Eine graphstrukturelle Aussage (P_G) ist robust, wenn</w:t>
      </w:r>
    </w:p>
    <w:p w:rsidR="00E172C5" w:rsidRDefault="00E172C5" w:rsidP="00E172C5">
      <w:pPr>
        <w:pStyle w:val="berschrift1"/>
      </w:pPr>
      <w:r>
        <w:t>[</w:t>
      </w:r>
      <w:r>
        <w:br/>
        <w:t>d_{G}</w:t>
      </w:r>
      <w:r>
        <w:br/>
        <w:t>\left(</w:t>
      </w:r>
      <w:r>
        <w:br/>
        <w:t>G,G^{\prime}</w:t>
      </w:r>
      <w:r>
        <w:br/>
        <w:t>\right)</w:t>
      </w:r>
      <w:r>
        <w:br/>
        <w:t>\leq</w:t>
      </w:r>
      <w:r>
        <w:br/>
        <w:t>\varepsilon_G</w:t>
      </w:r>
      <w:r>
        <w:br/>
        <w:t>\Rightarrow</w:t>
      </w:r>
      <w:r>
        <w:br/>
        <w:t>P_G(G)</w:t>
      </w:r>
    </w:p>
    <w:p w:rsidR="00E172C5" w:rsidRDefault="00E172C5" w:rsidP="00E172C5">
      <w:pPr>
        <w:pStyle w:val="StandardWeb"/>
      </w:pPr>
      <w:r>
        <w:t>P_G(G^{\prime}).</w:t>
      </w:r>
      <w:r>
        <w:br/>
        <w:t>\tag{3.5359}</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d_{G}\left(G,G^{\prime}\right)\leq\varepsilon_G\Rightarrow P_G(G)=P_G(G^{\prime})\qquad\text{(3.5359)}</w:t>
      </w:r>
    </w:p>
    <w:p w:rsidR="00E172C5" w:rsidRDefault="00E172C5" w:rsidP="00E172C5">
      <w:pPr>
        <w:pStyle w:val="StandardWeb"/>
      </w:pPr>
      <w:r>
        <w:t>Nicht jede graphische Eigenschaft ist gegenüber Kantenänderungen stabil. Eine einzige zusätzliche Kante kann beispielsweise einen Zyklus erzeugen oder zuvor getrennte Komponenten verbinden.</w:t>
      </w:r>
    </w:p>
    <w:p w:rsidR="00E172C5" w:rsidRPr="00AF32B2" w:rsidRDefault="00E172C5" w:rsidP="00AF32B2">
      <w:pPr>
        <w:pStyle w:val="berschrift4"/>
      </w:pPr>
      <w:r w:rsidRPr="00AF32B2">
        <w:t>3.3.29.12 Stabilität funktionaler Erreichbarkeit</w:t>
      </w:r>
    </w:p>
    <w:p w:rsidR="00E172C5" w:rsidRDefault="00E172C5" w:rsidP="00E172C5">
      <w:pPr>
        <w:pStyle w:val="StandardWeb"/>
      </w:pPr>
      <w:r>
        <w:t>Für den ursprünglichen Graphen gelte</w:t>
      </w:r>
    </w:p>
    <w:p w:rsidR="00E172C5" w:rsidRDefault="00E172C5" w:rsidP="00E172C5">
      <w:pPr>
        <w:pStyle w:val="StandardWeb"/>
      </w:pPr>
      <w:r>
        <w:t>[</w:t>
      </w:r>
      <w:r>
        <w:br/>
        <w:t>\delta_i</w:t>
      </w:r>
      <w:r>
        <w:br/>
        <w:t>\leadsto_{G}</w:t>
      </w:r>
      <w:r>
        <w:br/>
        <w:t>\delta_j.</w:t>
      </w:r>
      <w:r>
        <w:br/>
        <w:t>\tag{3.5360}</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\delta_i\leadsto_{G}\delta_j\qquad\text{(3.5360)}</w:t>
      </w:r>
    </w:p>
    <w:p w:rsidR="00E172C5" w:rsidRDefault="00E172C5" w:rsidP="00E172C5">
      <w:pPr>
        <w:pStyle w:val="StandardWeb"/>
      </w:pPr>
      <w:r>
        <w:t>Im gestörten Graphen gilt entsprechend</w:t>
      </w:r>
    </w:p>
    <w:p w:rsidR="00E172C5" w:rsidRDefault="00E172C5" w:rsidP="00E172C5">
      <w:pPr>
        <w:pStyle w:val="StandardWeb"/>
      </w:pPr>
      <w:r>
        <w:lastRenderedPageBreak/>
        <w:t>[</w:t>
      </w:r>
      <w:r>
        <w:br/>
        <w:t>\delta_i</w:t>
      </w:r>
      <w:r>
        <w:br/>
        <w:t>\leadsto_{G^{\prime}}</w:t>
      </w:r>
      <w:r>
        <w:br/>
        <w:t>\delta_j.</w:t>
      </w:r>
      <w:r>
        <w:br/>
        <w:t>\tag{3.5361}</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\delta_i\leadsto_{G^{\prime}}\delta_j\qquad\text{(3.5361)}</w:t>
      </w:r>
    </w:p>
    <w:p w:rsidR="00E172C5" w:rsidRDefault="00E172C5" w:rsidP="00E172C5">
      <w:pPr>
        <w:pStyle w:val="StandardWeb"/>
      </w:pPr>
      <w:r>
        <w:t>Die Erreichbarkeitsbeziehung ist gegenüber der betrachteten Strukturstörung stabil, wenn</w:t>
      </w:r>
    </w:p>
    <w:p w:rsidR="00E172C5" w:rsidRDefault="00E172C5" w:rsidP="00E172C5">
      <w:pPr>
        <w:pStyle w:val="StandardWeb"/>
      </w:pPr>
      <w:r>
        <w:t>[</w:t>
      </w:r>
      <w:r>
        <w:br/>
        <w:t>\delta_i</w:t>
      </w:r>
      <w:r>
        <w:br/>
        <w:t>\leadsto_{G}</w:t>
      </w:r>
      <w:r>
        <w:br/>
        <w:t>\delta_j</w:t>
      </w:r>
      <w:r>
        <w:br/>
        <w:t>\iff</w:t>
      </w:r>
      <w:r>
        <w:br/>
        <w:t>\delta_i</w:t>
      </w:r>
      <w:r>
        <w:br/>
        <w:t>\leadsto_{G^{\prime}}</w:t>
      </w:r>
      <w:r>
        <w:br/>
        <w:t>\delta_j.</w:t>
      </w:r>
      <w:r>
        <w:br/>
        <w:t>\tag{3.5362}</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\delta_i\leadsto_{G}\delta_j\iff\delta_i\leadsto_{G^{\prime}}\delta_j\qquad\text{(3.5362)}</w:t>
      </w:r>
    </w:p>
    <w:p w:rsidR="00E172C5" w:rsidRDefault="00E172C5" w:rsidP="00E172C5">
      <w:pPr>
        <w:pStyle w:val="StandardWeb"/>
      </w:pPr>
      <w:r>
        <w:t>Die Menge veränderter Erreichbarkeitspaare lautet</w:t>
      </w:r>
    </w:p>
    <w:p w:rsidR="00E172C5" w:rsidRDefault="00E172C5" w:rsidP="00E172C5">
      <w:pPr>
        <w:pStyle w:val="berschrift1"/>
      </w:pPr>
      <w:r>
        <w:t>[</w:t>
      </w:r>
      <w:r>
        <w:br/>
        <w:t>\Delta\mathcal{R}_{\leadsto}</w:t>
      </w:r>
    </w:p>
    <w:p w:rsidR="00E172C5" w:rsidRDefault="00E172C5" w:rsidP="00E172C5">
      <w:pPr>
        <w:pStyle w:val="StandardWeb"/>
      </w:pPr>
      <w:r>
        <w:t>\mathcal{R}</w:t>
      </w:r>
      <w:r>
        <w:rPr>
          <w:rStyle w:val="Hervorhebung"/>
        </w:rPr>
        <w:t>{\leadsto}(G)</w:t>
      </w:r>
      <w:r>
        <w:rPr>
          <w:i/>
          <w:iCs/>
        </w:rPr>
        <w:br/>
      </w:r>
      <w:r>
        <w:rPr>
          <w:rStyle w:val="Hervorhebung"/>
        </w:rPr>
        <w:t>\triangle</w:t>
      </w:r>
      <w:r>
        <w:rPr>
          <w:i/>
          <w:iCs/>
        </w:rPr>
        <w:br/>
      </w:r>
      <w:r>
        <w:rPr>
          <w:rStyle w:val="Hervorhebung"/>
        </w:rPr>
        <w:t>\mathcal{R}</w:t>
      </w:r>
      <w:r>
        <w:t>{\leadsto}(G^{\prime}).</w:t>
      </w:r>
      <w:r>
        <w:br/>
        <w:t>\tag{3.5363}</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\Delta\mathcal{R}_{\leadsto}=\mathcal{R}_{\leadsto}(G)\triangle\mathcal{R}_{\leadsto}(G^{\prime})\qquad\text{(3.5363)}</w:t>
      </w:r>
    </w:p>
    <w:p w:rsidR="00E172C5" w:rsidRDefault="00E172C5" w:rsidP="00E172C5">
      <w:pPr>
        <w:pStyle w:val="StandardWeb"/>
      </w:pPr>
      <w:r>
        <w:t>Ein normierter Erreichbarkeitsänderungsgrad kann definiert werden durch</w:t>
      </w:r>
    </w:p>
    <w:p w:rsidR="00E172C5" w:rsidRDefault="00E172C5" w:rsidP="00E172C5">
      <w:pPr>
        <w:pStyle w:val="berschrift1"/>
      </w:pPr>
      <w:r>
        <w:t>[</w:t>
      </w:r>
      <w:r>
        <w:br/>
        <w:t>\rho_{\leadsto}</w:t>
      </w:r>
    </w:p>
    <w:p w:rsidR="00E172C5" w:rsidRDefault="00E172C5" w:rsidP="00E172C5">
      <w:pPr>
        <w:pStyle w:val="StandardWeb"/>
      </w:pPr>
      <w:r>
        <w:lastRenderedPageBreak/>
        <w:t>\frac{</w:t>
      </w:r>
      <w:r>
        <w:br/>
        <w:t>\left|</w:t>
      </w:r>
      <w:r>
        <w:br/>
        <w:t>\Delta\mathcal{R}_{\leadsto}</w:t>
      </w:r>
      <w:r>
        <w:br/>
        <w:t>\right|</w:t>
      </w:r>
      <w:r>
        <w:br/>
        <w:t>}{</w:t>
      </w:r>
      <w:r>
        <w:br/>
        <w:t>\left|</w:t>
      </w:r>
      <w:r>
        <w:br/>
        <w:t>V\times V</w:t>
      </w:r>
      <w:r>
        <w:br/>
        <w:t>\right|</w:t>
      </w:r>
      <w:r>
        <w:br/>
        <w:t>}.</w:t>
      </w:r>
      <w:r>
        <w:br/>
        <w:t>\tag{3.5364}</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\rho_{\leadsto}=\frac{\left|\Delta\mathcal{R}_{\leadsto}\right|}{\left|V\times V\right|}\qquad\text{(3.5364)}</w:t>
      </w:r>
    </w:p>
    <w:p w:rsidR="00E172C5" w:rsidRDefault="00E172C5" w:rsidP="00E172C5">
      <w:pPr>
        <w:pStyle w:val="StandardWeb"/>
      </w:pPr>
      <w:r>
        <w:t>Dabei gilt</w:t>
      </w:r>
    </w:p>
    <w:p w:rsidR="00E172C5" w:rsidRDefault="00E172C5" w:rsidP="00E172C5">
      <w:pPr>
        <w:pStyle w:val="StandardWeb"/>
      </w:pPr>
      <w:r>
        <w:t>[</w:t>
      </w:r>
      <w:r>
        <w:br/>
        <w:t>0</w:t>
      </w:r>
      <w:r>
        <w:br/>
        <w:t>\leq</w:t>
      </w:r>
      <w:r>
        <w:br/>
        <w:t>\rho_{\leadsto}</w:t>
      </w:r>
      <w:r>
        <w:br/>
        <w:t>\leq</w:t>
      </w:r>
      <w:r>
        <w:br/>
        <w:t>1.</w:t>
      </w:r>
      <w:r>
        <w:br/>
        <w:t>\tag{3.5365}</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0\leq\rho_{\leadsto}\leq1\qquad\text{(3.5365)}</w:t>
      </w:r>
    </w:p>
    <w:p w:rsidR="00E172C5" w:rsidRPr="00AF32B2" w:rsidRDefault="00E172C5" w:rsidP="00AF32B2">
      <w:pPr>
        <w:pStyle w:val="berschrift4"/>
      </w:pPr>
      <w:r w:rsidRPr="00AF32B2">
        <w:t>3.3.29.13 Stabilität funktionaler Ordnung</w:t>
      </w:r>
    </w:p>
    <w:p w:rsidR="00E172C5" w:rsidRDefault="00E172C5" w:rsidP="00E172C5">
      <w:pPr>
        <w:pStyle w:val="StandardWeb"/>
      </w:pPr>
      <w:r>
        <w:t>Die ursprüngliche funktionale Ordnung sei</w:t>
      </w:r>
    </w:p>
    <w:p w:rsidR="00E172C5" w:rsidRDefault="00E172C5" w:rsidP="00E172C5">
      <w:pPr>
        <w:pStyle w:val="StandardWeb"/>
      </w:pPr>
      <w:r>
        <w:t>[</w:t>
      </w:r>
      <w:r>
        <w:br/>
        <w:t>\preceq_{F}.</w:t>
      </w:r>
      <w:r>
        <w:br/>
        <w:t>\tag{3.5366}</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\preceq_{F}\qquad\text{(3.5366)}</w:t>
      </w:r>
    </w:p>
    <w:p w:rsidR="00E172C5" w:rsidRDefault="00E172C5" w:rsidP="00E172C5">
      <w:pPr>
        <w:pStyle w:val="StandardWeb"/>
      </w:pPr>
      <w:r>
        <w:t>Nach einer Strukturstörung entstehe</w:t>
      </w:r>
    </w:p>
    <w:p w:rsidR="00E172C5" w:rsidRDefault="00E172C5" w:rsidP="00E172C5">
      <w:pPr>
        <w:pStyle w:val="StandardWeb"/>
      </w:pPr>
      <w:r>
        <w:t>[</w:t>
      </w:r>
      <w:r>
        <w:br/>
        <w:t>\preceq_{F}^{\prime}.</w:t>
      </w:r>
      <w:r>
        <w:br/>
        <w:t>\tag{3.5367}</w:t>
      </w:r>
      <w:r>
        <w:br/>
        <w:t>]</w:t>
      </w:r>
    </w:p>
    <w:p w:rsidR="00E172C5" w:rsidRDefault="00E172C5" w:rsidP="00E172C5">
      <w:pPr>
        <w:pStyle w:val="StandardWeb"/>
      </w:pPr>
      <w:r>
        <w:rPr>
          <w:rStyle w:val="Fett"/>
        </w:rPr>
        <w:lastRenderedPageBreak/>
        <w:t>Word-LaTeX</w:t>
      </w:r>
    </w:p>
    <w:p w:rsidR="00E172C5" w:rsidRDefault="00E172C5" w:rsidP="00E172C5">
      <w:pPr>
        <w:pStyle w:val="HTMLVorformatiert"/>
        <w:rPr>
          <w:rStyle w:val="HTMLCode"/>
        </w:rPr>
      </w:pPr>
      <w:r>
        <w:rPr>
          <w:rStyle w:val="HTMLCode"/>
        </w:rPr>
        <w:t>\preceq_{F}^{\prime}\qquad\text{(3.5367)}</w:t>
      </w:r>
    </w:p>
    <w:p w:rsidR="00E172C5" w:rsidRDefault="00E172C5" w:rsidP="00E172C5">
      <w:pPr>
        <w:pStyle w:val="StandardWeb"/>
      </w:pPr>
      <w:r>
        <w:t>Die Ordnung ist stabil, wenn</w:t>
      </w:r>
    </w:p>
    <w:p w:rsidR="00E172C5" w:rsidRDefault="00E172C5" w:rsidP="00E172C5">
      <w:pPr>
        <w:pStyle w:val="StandardWeb"/>
      </w:pPr>
      <w:r>
        <w:t>[</w:t>
      </w:r>
      <w:r>
        <w:br/>
        <w:t>[\delta_i]</w:t>
      </w:r>
      <w:r>
        <w:br/>
        <w:t>\preceq_{F}</w:t>
      </w:r>
      <w:r>
        <w:br/>
        <w:t>[\delta_j]</w:t>
      </w:r>
      <w:r>
        <w:br/>
        <w:t>\iff</w:t>
      </w:r>
      <w:r>
        <w:br/>
        <w:t>[\delta_i]</w:t>
      </w:r>
      <w:r>
        <w:br/>
        <w:t>\preceq_{F}^{\prime}</w:t>
      </w:r>
      <w:r>
        <w:br/>
        <w:t>[\delta_j]</w:t>
      </w:r>
      <w:r>
        <w:br/>
        <w:t>\tag{3.5368}</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[\delta_i]\preceq_{F}[\delta_j]\iff[\delta_i]\preceq_{F}^{\prime}[\delta_j]\qquad\text{(3.5368)}</w:t>
      </w:r>
    </w:p>
    <w:p w:rsidR="00E172C5" w:rsidRDefault="00E172C5" w:rsidP="00E172C5">
      <w:pPr>
        <w:pStyle w:val="StandardWeb"/>
      </w:pPr>
      <w:r>
        <w:t>für alle betrachteten Zustandsklassen gilt.</w:t>
      </w:r>
    </w:p>
    <w:p w:rsidR="00E172C5" w:rsidRDefault="00E172C5" w:rsidP="00E172C5">
      <w:pPr>
        <w:pStyle w:val="StandardWeb"/>
      </w:pPr>
      <w:r>
        <w:t>Eine partielle Ordnungsänderung kann durch die symmetrische Differenz</w:t>
      </w:r>
    </w:p>
    <w:p w:rsidR="00E172C5" w:rsidRDefault="00E172C5" w:rsidP="00E172C5">
      <w:pPr>
        <w:pStyle w:val="berschrift1"/>
      </w:pPr>
      <w:r>
        <w:t>[</w:t>
      </w:r>
      <w:r>
        <w:br/>
        <w:t>\Delta\preceq_{F}</w:t>
      </w:r>
    </w:p>
    <w:p w:rsidR="00E172C5" w:rsidRDefault="00E172C5" w:rsidP="00E172C5">
      <w:pPr>
        <w:pStyle w:val="StandardWeb"/>
      </w:pPr>
      <w:r>
        <w:t>\preceq_{F}</w:t>
      </w:r>
      <w:r>
        <w:br/>
        <w:t>\triangle</w:t>
      </w:r>
      <w:r>
        <w:br/>
        <w:t>\preceq_{F}^{\prime}</w:t>
      </w:r>
      <w:r>
        <w:br/>
        <w:t>\tag{3.5369}</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\Delta\preceq_{F}=\preceq_{F}\triangle\preceq_{F}^{\prime}\qquad\text{(3.5369)}</w:t>
      </w:r>
    </w:p>
    <w:p w:rsidR="00E172C5" w:rsidRDefault="00E172C5" w:rsidP="00E172C5">
      <w:pPr>
        <w:pStyle w:val="StandardWeb"/>
      </w:pPr>
      <w:r>
        <w:t>beschrieben werden.</w:t>
      </w:r>
    </w:p>
    <w:p w:rsidR="00E172C5" w:rsidRPr="00AF32B2" w:rsidRDefault="00E172C5" w:rsidP="00AF32B2">
      <w:pPr>
        <w:pStyle w:val="berschrift4"/>
      </w:pPr>
      <w:r w:rsidRPr="00AF32B2">
        <w:t>3.3.29.14 Stabilität funktionaler Zeit</w:t>
      </w:r>
    </w:p>
    <w:p w:rsidR="00E172C5" w:rsidRDefault="00E172C5" w:rsidP="00E172C5">
      <w:pPr>
        <w:pStyle w:val="StandardWeb"/>
      </w:pPr>
      <w:r>
        <w:t>Die ursprüngliche funktionale Zeitabbildung lautet</w:t>
      </w:r>
    </w:p>
    <w:p w:rsidR="00E172C5" w:rsidRDefault="00E172C5" w:rsidP="00E172C5">
      <w:pPr>
        <w:pStyle w:val="StandardWeb"/>
      </w:pPr>
      <w:r>
        <w:t>[</w:t>
      </w:r>
      <w:r>
        <w:br/>
        <w:t>t^{F}.</w:t>
      </w:r>
      <w:r>
        <w:br/>
        <w:t>\tag{3.5370}</w:t>
      </w:r>
      <w:r>
        <w:br/>
        <w:t>]</w:t>
      </w:r>
    </w:p>
    <w:p w:rsidR="00E172C5" w:rsidRDefault="00E172C5" w:rsidP="00E172C5">
      <w:pPr>
        <w:pStyle w:val="StandardWeb"/>
      </w:pPr>
      <w:r>
        <w:rPr>
          <w:rStyle w:val="Fett"/>
        </w:rPr>
        <w:lastRenderedPageBreak/>
        <w:t>Word-LaTeX</w:t>
      </w:r>
    </w:p>
    <w:p w:rsidR="00E172C5" w:rsidRDefault="00E172C5" w:rsidP="00E172C5">
      <w:pPr>
        <w:pStyle w:val="HTMLVorformatiert"/>
        <w:rPr>
          <w:rStyle w:val="HTMLCode"/>
        </w:rPr>
      </w:pPr>
      <w:r>
        <w:rPr>
          <w:rStyle w:val="HTMLCode"/>
        </w:rPr>
        <w:t>t^{F}\qquad\text{(3.5370)}</w:t>
      </w:r>
    </w:p>
    <w:p w:rsidR="00E172C5" w:rsidRDefault="00E172C5" w:rsidP="00E172C5">
      <w:pPr>
        <w:pStyle w:val="StandardWeb"/>
      </w:pPr>
      <w:r>
        <w:t>Eine gestörte Zeitabbildung sei</w:t>
      </w:r>
    </w:p>
    <w:p w:rsidR="00E172C5" w:rsidRDefault="00E172C5" w:rsidP="00E172C5">
      <w:pPr>
        <w:pStyle w:val="berschrift1"/>
      </w:pPr>
      <w:r>
        <w:t>[</w:t>
      </w:r>
      <w:r>
        <w:br/>
        <w:t>t^{F\prime}</w:t>
      </w:r>
    </w:p>
    <w:p w:rsidR="00E172C5" w:rsidRDefault="00E172C5" w:rsidP="00E172C5">
      <w:pPr>
        <w:pStyle w:val="StandardWeb"/>
      </w:pPr>
      <w:r>
        <w:t>t^{F}</w:t>
      </w:r>
      <w:r>
        <w:br/>
        <w:t>+</w:t>
      </w:r>
      <w:r>
        <w:br/>
        <w:t>\Delta t^{F}.</w:t>
      </w:r>
      <w:r>
        <w:br/>
        <w:t>\tag{3.5371}</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t^{F\prime}=t^{F}+\Delta t^{F}\qquad\text{(3.5371)}</w:t>
      </w:r>
    </w:p>
    <w:p w:rsidR="00E172C5" w:rsidRDefault="00E172C5" w:rsidP="00E172C5">
      <w:pPr>
        <w:pStyle w:val="StandardWeb"/>
      </w:pPr>
      <w:r>
        <w:t>Die Zeitwerte sind numerisch stabil, wenn</w:t>
      </w:r>
    </w:p>
    <w:p w:rsidR="00E172C5" w:rsidRDefault="00E172C5" w:rsidP="00E172C5">
      <w:pPr>
        <w:pStyle w:val="berschrift2"/>
      </w:pPr>
      <w:r>
        <w:t>[</w:t>
      </w:r>
      <w:r>
        <w:br/>
        <w:t>\left|</w:t>
      </w:r>
      <w:r>
        <w:br/>
        <w:t>t^{F\prime}([\delta])</w:t>
      </w:r>
    </w:p>
    <w:p w:rsidR="00E172C5" w:rsidRDefault="00E172C5" w:rsidP="00E172C5">
      <w:pPr>
        <w:pStyle w:val="StandardWeb"/>
      </w:pPr>
      <w:r>
        <w:t>t^{F}([\delta])</w:t>
      </w:r>
      <w:r>
        <w:br/>
        <w:t>\right|</w:t>
      </w:r>
      <w:r>
        <w:br/>
        <w:t>\leq</w:t>
      </w:r>
      <w:r>
        <w:br/>
        <w:t>\varepsilon_t.</w:t>
      </w:r>
      <w:r>
        <w:br/>
        <w:t>\tag{3.5372}</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\left|t^{F\prime}([\delta])-t^{F}([\delta])\right|\leq\varepsilon_t\qquad\text{(3.5372)}</w:t>
      </w:r>
    </w:p>
    <w:p w:rsidR="00E172C5" w:rsidRDefault="00E172C5" w:rsidP="00E172C5">
      <w:pPr>
        <w:pStyle w:val="StandardWeb"/>
      </w:pPr>
      <w:r>
        <w:t>Für die funktionale Ordnung ist eine schwächere ordnungsbezogene Stabilität ausreichend:</w:t>
      </w:r>
    </w:p>
    <w:p w:rsidR="00E172C5" w:rsidRDefault="00E172C5" w:rsidP="00E172C5">
      <w:pPr>
        <w:pStyle w:val="StandardWeb"/>
      </w:pPr>
      <w:r>
        <w:t>[</w:t>
      </w:r>
      <w:r>
        <w:br/>
        <w:t>t^{F}([\delta_i])</w:t>
      </w:r>
      <w:r>
        <w:br/>
        <w:t>&lt;</w:t>
      </w:r>
      <w:r>
        <w:br/>
        <w:t>t^{F}([\delta_j])</w:t>
      </w:r>
      <w:r>
        <w:br/>
        <w:t>\iff</w:t>
      </w:r>
      <w:r>
        <w:br/>
        <w:t>t^{F\prime}([\delta_i])</w:t>
      </w:r>
      <w:r>
        <w:br/>
        <w:t>&lt;</w:t>
      </w:r>
      <w:r>
        <w:br/>
        <w:t>t^{F\prime}([\delta_j]).</w:t>
      </w:r>
      <w:r>
        <w:br/>
      </w:r>
      <w:r>
        <w:lastRenderedPageBreak/>
        <w:t>\tag{3.5373}</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t^{F}([\delta_i])&lt;t^{F}([\delta_j])\iff t^{F\prime}([\delta_i])&lt;t^{F\prime}([\delta_j])\qquad\text{(3.5373)}</w:t>
      </w:r>
    </w:p>
    <w:p w:rsidR="00E172C5" w:rsidRDefault="00E172C5" w:rsidP="00E172C5">
      <w:pPr>
        <w:pStyle w:val="StandardWeb"/>
      </w:pPr>
      <w:r>
        <w:t>Damit kann die numerische Zeitbewertung variieren, während die funktionale Reihenfolge stabil bleibt.</w:t>
      </w:r>
    </w:p>
    <w:p w:rsidR="00E172C5" w:rsidRPr="00AF32B2" w:rsidRDefault="00E172C5" w:rsidP="00AF32B2">
      <w:pPr>
        <w:pStyle w:val="berschrift4"/>
      </w:pPr>
      <w:r w:rsidRPr="00AF32B2">
        <w:t>3.3.29.15 Stabilität funktionaler Kohärenzwerte</w:t>
      </w:r>
    </w:p>
    <w:p w:rsidR="00E172C5" w:rsidRDefault="00E172C5" w:rsidP="00E172C5">
      <w:pPr>
        <w:pStyle w:val="StandardWeb"/>
      </w:pPr>
      <w:r>
        <w:t>Der ursprüngliche Kohärenzwert lautet</w:t>
      </w:r>
    </w:p>
    <w:p w:rsidR="00E172C5" w:rsidRDefault="00E172C5" w:rsidP="00E172C5">
      <w:pPr>
        <w:pStyle w:val="berschrift1"/>
      </w:pPr>
      <w:r>
        <w:t>[</w:t>
      </w:r>
      <w:r>
        <w:br/>
        <w:t>k</w:t>
      </w:r>
    </w:p>
    <w:p w:rsidR="00E172C5" w:rsidRDefault="00E172C5" w:rsidP="00E172C5">
      <w:pPr>
        <w:pStyle w:val="StandardWeb"/>
      </w:pPr>
      <w:r>
        <w:t>K_{\mathcal{C}}(G).</w:t>
      </w:r>
      <w:r>
        <w:br/>
        <w:t>\tag{3.5374}</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k=K_{\mathcal{C}}(G)\qquad\text{(3.5374)}</w:t>
      </w:r>
    </w:p>
    <w:p w:rsidR="00E172C5" w:rsidRDefault="00E172C5" w:rsidP="00E172C5">
      <w:pPr>
        <w:pStyle w:val="StandardWeb"/>
      </w:pPr>
      <w:r>
        <w:t>Für die gestörte Struktur gilt</w:t>
      </w:r>
    </w:p>
    <w:p w:rsidR="00E172C5" w:rsidRDefault="00E172C5" w:rsidP="00E172C5">
      <w:pPr>
        <w:pStyle w:val="berschrift1"/>
      </w:pPr>
      <w:r>
        <w:t>[</w:t>
      </w:r>
      <w:r>
        <w:br/>
        <w:t>k^{\prime}</w:t>
      </w:r>
    </w:p>
    <w:p w:rsidR="00E172C5" w:rsidRDefault="00E172C5" w:rsidP="00E172C5">
      <w:pPr>
        <w:pStyle w:val="StandardWeb"/>
      </w:pPr>
      <w:r>
        <w:t>K_{\mathcal{C}}(G^{\prime}).</w:t>
      </w:r>
      <w:r>
        <w:br/>
        <w:t>\tag{3.5375}</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k^{\prime}=K_{\mathcal{C}}(G^{\prime})\qquad\text{(3.5375)}</w:t>
      </w:r>
    </w:p>
    <w:p w:rsidR="00E172C5" w:rsidRDefault="00E172C5" w:rsidP="00E172C5">
      <w:pPr>
        <w:pStyle w:val="StandardWeb"/>
      </w:pPr>
      <w:r>
        <w:t>Die Kohärenzänderung lautet</w:t>
      </w:r>
    </w:p>
    <w:p w:rsidR="00E172C5" w:rsidRDefault="00E172C5" w:rsidP="00E172C5">
      <w:pPr>
        <w:pStyle w:val="berschrift1"/>
      </w:pPr>
      <w:r>
        <w:t>[</w:t>
      </w:r>
      <w:r>
        <w:br/>
        <w:t>\Delta k</w:t>
      </w:r>
    </w:p>
    <w:p w:rsidR="00E172C5" w:rsidRDefault="00E172C5" w:rsidP="00E172C5">
      <w:pPr>
        <w:pStyle w:val="berschrift2"/>
      </w:pPr>
      <w:r>
        <w:t>k^{\prime}</w:t>
      </w:r>
    </w:p>
    <w:p w:rsidR="00E172C5" w:rsidRDefault="00E172C5" w:rsidP="00E172C5">
      <w:pPr>
        <w:pStyle w:val="StandardWeb"/>
      </w:pPr>
      <w:r>
        <w:lastRenderedPageBreak/>
        <w:t>k.</w:t>
      </w:r>
      <w:r>
        <w:br/>
        <w:t>\tag{3.5376}</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 k=k^{\prime}-k\qquad\text{(3.5376)}</w:t>
      </w:r>
    </w:p>
    <w:p w:rsidR="00E172C5" w:rsidRDefault="00E172C5" w:rsidP="00E172C5">
      <w:pPr>
        <w:pStyle w:val="StandardWeb"/>
      </w:pPr>
      <w:r>
        <w:t>Eine lokal Lipschitz-stabile Kohärenzfunktion erfüllt</w:t>
      </w:r>
    </w:p>
    <w:p w:rsidR="00E172C5" w:rsidRDefault="00E172C5" w:rsidP="00E172C5">
      <w:pPr>
        <w:pStyle w:val="berschrift2"/>
      </w:pPr>
      <w:r>
        <w:t>[</w:t>
      </w:r>
      <w:r>
        <w:br/>
        <w:t>\left|</w:t>
      </w:r>
      <w:r>
        <w:br/>
        <w:t>K_{\mathcal{C}}(G^{\prime})</w:t>
      </w:r>
    </w:p>
    <w:p w:rsidR="00E172C5" w:rsidRDefault="00E172C5" w:rsidP="00E172C5">
      <w:pPr>
        <w:pStyle w:val="StandardWeb"/>
      </w:pPr>
      <w:r>
        <w:t>K_{\mathcal{C}}(G)</w:t>
      </w:r>
      <w:r>
        <w:br/>
        <w:t>\right|</w:t>
      </w:r>
      <w:r>
        <w:br/>
        <w:t>\leq</w:t>
      </w:r>
      <w:r>
        <w:br/>
        <w:t>L_{K}</w:t>
      </w:r>
      <w:r>
        <w:br/>
        <w:t>d_{G}(G,G^{\prime}).</w:t>
      </w:r>
      <w:r>
        <w:br/>
        <w:t>\tag{3.5377}</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\left|K_{\mathcal{C}}(G^{\prime})-K_{\mathcal{C}}(G)\right|\leq L_{K}d_{G}(G,G^{\prime})\qquad\text{(3.5377)}</w:t>
      </w:r>
    </w:p>
    <w:p w:rsidR="00E172C5" w:rsidRDefault="00E172C5" w:rsidP="00E172C5">
      <w:pPr>
        <w:pStyle w:val="StandardWeb"/>
      </w:pPr>
      <w:r>
        <w:t>Die Konstante (L_K) beschreibt die Empfindlichkeit des Kohärenzwerts gegenüber Strukturänderungen.</w:t>
      </w:r>
    </w:p>
    <w:p w:rsidR="00E172C5" w:rsidRDefault="00E172C5" w:rsidP="00E172C5">
      <w:pPr>
        <w:pStyle w:val="StandardWeb"/>
      </w:pPr>
      <w:r>
        <w:rPr>
          <w:rStyle w:val="Fett"/>
        </w:rPr>
        <w:t>Eigenleistung des FRZK</w:t>
      </w:r>
    </w:p>
    <w:p w:rsidR="00E172C5" w:rsidRDefault="00E172C5" w:rsidP="00E172C5">
      <w:pPr>
        <w:pStyle w:val="StandardWeb"/>
      </w:pPr>
      <w:r>
        <w:t>Ich unterscheide die Stabilität eines numerischen Kohärenzwerts von der Stabilität seiner qualitativen Einordnung. Ein Kohärenzwert kann numerisch schwanken, während die Zuordnung zu einer stabilen Kohärenzklasse erhalten bleibt.</w:t>
      </w:r>
    </w:p>
    <w:p w:rsidR="00E172C5" w:rsidRPr="00AF32B2" w:rsidRDefault="00E172C5" w:rsidP="00AF32B2">
      <w:pPr>
        <w:pStyle w:val="berschrift4"/>
      </w:pPr>
      <w:r w:rsidRPr="00AF32B2">
        <w:t>3.3.29.16 Stabilität einer Klassenzuordnung</w:t>
      </w:r>
    </w:p>
    <w:p w:rsidR="00E172C5" w:rsidRDefault="00E172C5" w:rsidP="00E172C5">
      <w:pPr>
        <w:pStyle w:val="StandardWeb"/>
      </w:pPr>
      <w:r>
        <w:t>Sei eine Klassifikationsabbildung gegeben durch</w:t>
      </w:r>
    </w:p>
    <w:p w:rsidR="00E172C5" w:rsidRDefault="00E172C5" w:rsidP="00E172C5">
      <w:pPr>
        <w:pStyle w:val="StandardWeb"/>
      </w:pPr>
      <w:r>
        <w:t>[</w:t>
      </w:r>
      <w:r>
        <w:br/>
        <w:t>\mathcal{K}</w:t>
      </w:r>
      <w:r>
        <w:rPr>
          <w:rStyle w:val="Hervorhebung"/>
        </w:rPr>
        <w:t>{F}:</w:t>
      </w:r>
      <w:r>
        <w:rPr>
          <w:i/>
          <w:iCs/>
        </w:rPr>
        <w:br/>
      </w:r>
      <w:r>
        <w:rPr>
          <w:rStyle w:val="Hervorhebung"/>
        </w:rPr>
        <w:t>\mathcal{Z}</w:t>
      </w:r>
      <w:r>
        <w:t>{F}</w:t>
      </w:r>
      <w:r>
        <w:br/>
        <w:t>\rightarrow</w:t>
      </w:r>
      <w:r>
        <w:br/>
        <w:t>\mathfrak{C}_{F}.</w:t>
      </w:r>
      <w:r>
        <w:br/>
        <w:t>\tag{3.5378}</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lastRenderedPageBreak/>
        <w:t>\mathcal{K}_{F}:\mathcal{Z}_{F}\rightarrow\mathfrak{C}_{F}\qquad\text{(3.5378)}</w:t>
      </w:r>
    </w:p>
    <w:p w:rsidR="00E172C5" w:rsidRDefault="00E172C5" w:rsidP="00E172C5">
      <w:pPr>
        <w:pStyle w:val="StandardWeb"/>
      </w:pPr>
      <w:r>
        <w:t>Die ursprüngliche Klassenzuordnung lautet</w:t>
      </w:r>
    </w:p>
    <w:p w:rsidR="00E172C5" w:rsidRDefault="00E172C5" w:rsidP="00E172C5">
      <w:pPr>
        <w:pStyle w:val="berschrift1"/>
      </w:pPr>
      <w:r>
        <w:t>[</w:t>
      </w:r>
      <w:r>
        <w:br/>
        <w:t>c</w:t>
      </w:r>
    </w:p>
    <w:p w:rsidR="00E172C5" w:rsidRDefault="00E172C5" w:rsidP="00E172C5">
      <w:pPr>
        <w:pStyle w:val="StandardWeb"/>
      </w:pPr>
      <w:r>
        <w:t>\mathcal{K}_{F}(z).</w:t>
      </w:r>
      <w:r>
        <w:br/>
        <w:t>\tag{3.5379}</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c=\mathcal{K}_{F}(z)\qquad\text{(3.5379)}</w:t>
      </w:r>
    </w:p>
    <w:p w:rsidR="00E172C5" w:rsidRDefault="00E172C5" w:rsidP="00E172C5">
      <w:pPr>
        <w:pStyle w:val="StandardWeb"/>
      </w:pPr>
      <w:r>
        <w:t>Für das gestörte Ergebnis gilt</w:t>
      </w:r>
    </w:p>
    <w:p w:rsidR="00E172C5" w:rsidRDefault="00E172C5" w:rsidP="00E172C5">
      <w:pPr>
        <w:pStyle w:val="berschrift1"/>
      </w:pPr>
      <w:r>
        <w:t>[</w:t>
      </w:r>
      <w:r>
        <w:br/>
        <w:t>c^{\prime}</w:t>
      </w:r>
    </w:p>
    <w:p w:rsidR="00E172C5" w:rsidRDefault="00E172C5" w:rsidP="00E172C5">
      <w:pPr>
        <w:pStyle w:val="StandardWeb"/>
      </w:pPr>
      <w:r>
        <w:t>\mathcal{K}_{F}(z^{\prime}).</w:t>
      </w:r>
      <w:r>
        <w:br/>
        <w:t>\tag{3.5380}</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c^{\prime}=\mathcal{K}_{F}(z^{\prime})\qquad\text{(3.5380)}</w:t>
      </w:r>
    </w:p>
    <w:p w:rsidR="00E172C5" w:rsidRDefault="00E172C5" w:rsidP="00E172C5">
      <w:pPr>
        <w:pStyle w:val="StandardWeb"/>
      </w:pPr>
      <w:r>
        <w:t>Die Klassenzuordnung ist stabil, wenn</w:t>
      </w:r>
    </w:p>
    <w:p w:rsidR="00E172C5" w:rsidRDefault="00E172C5" w:rsidP="00E172C5">
      <w:pPr>
        <w:pStyle w:val="berschrift1"/>
      </w:pPr>
      <w:r>
        <w:t>[</w:t>
      </w:r>
      <w:r>
        <w:br/>
        <w:t>c^{\prime}</w:t>
      </w:r>
    </w:p>
    <w:p w:rsidR="00E172C5" w:rsidRDefault="00E172C5" w:rsidP="00E172C5">
      <w:pPr>
        <w:pStyle w:val="StandardWeb"/>
      </w:pPr>
      <w:r>
        <w:t>c.</w:t>
      </w:r>
      <w:r>
        <w:br/>
        <w:t>\tag{3.5381}</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c^{\prime}=c\qquad\text{(3.5381)}</w:t>
      </w:r>
    </w:p>
    <w:p w:rsidR="00E172C5" w:rsidRDefault="00E172C5" w:rsidP="00E172C5">
      <w:pPr>
        <w:pStyle w:val="StandardWeb"/>
      </w:pPr>
      <w:r>
        <w:t>Eine geringe numerische Änderung kann bei einem Ergebnis nahe einer Klassengrenze dennoch einen Klassenwechsel erzeugen.</w:t>
      </w:r>
    </w:p>
    <w:p w:rsidR="00E172C5" w:rsidRDefault="00E172C5" w:rsidP="00E172C5">
      <w:pPr>
        <w:pStyle w:val="StandardWeb"/>
      </w:pPr>
      <w:r>
        <w:t>Der Abstand zur nächstgelegenen Entscheidungsgrenze sei</w:t>
      </w:r>
    </w:p>
    <w:p w:rsidR="00E172C5" w:rsidRDefault="00E172C5" w:rsidP="00E172C5">
      <w:pPr>
        <w:pStyle w:val="berschrift1"/>
      </w:pPr>
      <w:r>
        <w:lastRenderedPageBreak/>
        <w:t>[</w:t>
      </w:r>
      <w:r>
        <w:br/>
        <w:t>m(z)</w:t>
      </w:r>
    </w:p>
    <w:p w:rsidR="00E172C5" w:rsidRDefault="00E172C5" w:rsidP="00E172C5">
      <w:pPr>
        <w:pStyle w:val="StandardWeb"/>
      </w:pPr>
      <w:r>
        <w:t>\operatorname{dist}</w:t>
      </w:r>
      <w:r>
        <w:br/>
        <w:t>\left(</w:t>
      </w:r>
      <w:r>
        <w:br/>
        <w:t>z,</w:t>
      </w:r>
      <w:r>
        <w:br/>
        <w:t>\partial\mathfrak{C}_{F}</w:t>
      </w:r>
      <w:r>
        <w:br/>
        <w:t>\right).</w:t>
      </w:r>
      <w:r>
        <w:br/>
        <w:t>\tag{3.5382}</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m(z)=\operatorname{dist}\left(z,\partial\mathfrak{C}_{F}\right)\qquad\text{(3.5382)}</w:t>
      </w:r>
    </w:p>
    <w:p w:rsidR="00E172C5" w:rsidRDefault="00E172C5" w:rsidP="00E172C5">
      <w:pPr>
        <w:pStyle w:val="StandardWeb"/>
      </w:pPr>
      <w:r>
        <w:t>Ist</w:t>
      </w:r>
    </w:p>
    <w:p w:rsidR="00E172C5" w:rsidRDefault="00E172C5" w:rsidP="00E172C5">
      <w:pPr>
        <w:pStyle w:val="berschrift2"/>
      </w:pPr>
      <w:r>
        <w:t>[</w:t>
      </w:r>
      <w:r>
        <w:br/>
        <w:t>\left|</w:t>
      </w:r>
      <w:r>
        <w:br/>
        <w:t>z^{\prime}</w:t>
      </w:r>
    </w:p>
    <w:p w:rsidR="00E172C5" w:rsidRDefault="00E172C5" w:rsidP="00E172C5">
      <w:pPr>
        <w:pStyle w:val="StandardWeb"/>
      </w:pPr>
      <w:r>
        <w:t>z</w:t>
      </w:r>
      <w:r>
        <w:br/>
        <w:t>\right|</w:t>
      </w:r>
      <w:r>
        <w:br/>
        <w:t>&lt;</w:t>
      </w:r>
      <w:r>
        <w:br/>
        <w:t>m(z),</w:t>
      </w:r>
      <w:r>
        <w:br/>
        <w:t>\tag{3.5383}</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\left\|z^{\prime}-z\right\|&lt;m(z)\qquad\text{(3.5383)}</w:t>
      </w:r>
    </w:p>
    <w:p w:rsidR="00E172C5" w:rsidRDefault="00E172C5" w:rsidP="00E172C5">
      <w:pPr>
        <w:pStyle w:val="StandardWeb"/>
      </w:pPr>
      <w:r>
        <w:t>bleibt die Klassenzuordnung erhalten.</w:t>
      </w:r>
    </w:p>
    <w:p w:rsidR="00E172C5" w:rsidRPr="00AF32B2" w:rsidRDefault="00E172C5" w:rsidP="00AF32B2">
      <w:pPr>
        <w:pStyle w:val="berschrift4"/>
      </w:pPr>
      <w:r w:rsidRPr="00AF32B2">
        <w:t>3.3.29.17 Stabilität wissenschaftlicher Schlussfolgerungen</w:t>
      </w:r>
    </w:p>
    <w:p w:rsidR="00E172C5" w:rsidRDefault="00E172C5" w:rsidP="00E172C5">
      <w:pPr>
        <w:pStyle w:val="StandardWeb"/>
      </w:pPr>
      <w:r>
        <w:t>Eine wissenschaftliche Schlussfolgerungsabbildung lautet</w:t>
      </w:r>
    </w:p>
    <w:p w:rsidR="00E172C5" w:rsidRDefault="00E172C5" w:rsidP="00E172C5">
      <w:pPr>
        <w:pStyle w:val="StandardWeb"/>
      </w:pPr>
      <w:r>
        <w:t>[</w:t>
      </w:r>
      <w:r>
        <w:br/>
        <w:t>\mathcal{C}</w:t>
      </w:r>
      <w:r>
        <w:rPr>
          <w:rStyle w:val="Hervorhebung"/>
        </w:rPr>
        <w:t>{F}^{\mathrm{wiss}}:</w:t>
      </w:r>
      <w:r>
        <w:rPr>
          <w:i/>
          <w:iCs/>
        </w:rPr>
        <w:br/>
      </w:r>
      <w:r>
        <w:rPr>
          <w:rStyle w:val="Hervorhebung"/>
        </w:rPr>
        <w:t>\mathcal{Z}</w:t>
      </w:r>
      <w:r>
        <w:t>{F}</w:t>
      </w:r>
      <w:r>
        <w:br/>
        <w:t>\rightarrow</w:t>
      </w:r>
      <w:r>
        <w:br/>
        <w:t>\mathfrak{A}_{F}^{\mathrm{wiss}}.</w:t>
      </w:r>
      <w:r>
        <w:br/>
        <w:t>\tag{3.5384}</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lastRenderedPageBreak/>
        <w:t>\mathcal{C}_{F}^{\mathrm{wiss}}:\mathcal{Z}_{F}\rightarrow\mathfrak{A}_{F}^{\mathrm{wiss}}\qquad\text{(3.5384)}</w:t>
      </w:r>
    </w:p>
    <w:p w:rsidR="00E172C5" w:rsidRDefault="00E172C5" w:rsidP="00E172C5">
      <w:pPr>
        <w:pStyle w:val="StandardWeb"/>
      </w:pPr>
      <w:r>
        <w:t>Für das ursprüngliche Ergebnis gilt</w:t>
      </w:r>
    </w:p>
    <w:p w:rsidR="00E172C5" w:rsidRDefault="00E172C5" w:rsidP="00E172C5">
      <w:pPr>
        <w:pStyle w:val="berschrift1"/>
      </w:pPr>
      <w:r>
        <w:t>[</w:t>
      </w:r>
      <w:r>
        <w:br/>
        <w:t>A</w:t>
      </w:r>
    </w:p>
    <w:p w:rsidR="00E172C5" w:rsidRDefault="00E172C5" w:rsidP="00E172C5">
      <w:pPr>
        <w:pStyle w:val="StandardWeb"/>
      </w:pPr>
      <w:r>
        <w:t>\mathcal{C}_{F}^{\mathrm{wiss}}(z).</w:t>
      </w:r>
      <w:r>
        <w:br/>
        <w:t>\tag{3.5385}</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A=\mathcal{C}_{F}^{\mathrm{wiss}}(z)\qquad\text{(3.5385)}</w:t>
      </w:r>
    </w:p>
    <w:p w:rsidR="00E172C5" w:rsidRDefault="00E172C5" w:rsidP="00E172C5">
      <w:pPr>
        <w:pStyle w:val="StandardWeb"/>
      </w:pPr>
      <w:r>
        <w:t>Für das gestörte Ergebnis gilt</w:t>
      </w:r>
    </w:p>
    <w:p w:rsidR="00E172C5" w:rsidRDefault="00E172C5" w:rsidP="00E172C5">
      <w:pPr>
        <w:pStyle w:val="berschrift1"/>
      </w:pPr>
      <w:r>
        <w:t>[</w:t>
      </w:r>
      <w:r>
        <w:br/>
        <w:t>A^{\prime}</w:t>
      </w:r>
    </w:p>
    <w:p w:rsidR="00E172C5" w:rsidRDefault="00E172C5" w:rsidP="00E172C5">
      <w:pPr>
        <w:pStyle w:val="StandardWeb"/>
      </w:pPr>
      <w:r>
        <w:t>\mathcal{C}_{F}^{\mathrm{wiss}}(z^{\prime}).</w:t>
      </w:r>
      <w:r>
        <w:br/>
        <w:t>\tag{3.5386}</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A^{\prime}=\mathcal{C}_{F}^{\mathrm{wiss}}(z^{\prime})\qquad\text{(3.5386)}</w:t>
      </w:r>
    </w:p>
    <w:p w:rsidR="00E172C5" w:rsidRDefault="00E172C5" w:rsidP="00E172C5">
      <w:pPr>
        <w:pStyle w:val="StandardWeb"/>
      </w:pPr>
      <w:r>
        <w:t>Die Schlussfolgerung ist stabil, wenn</w:t>
      </w:r>
    </w:p>
    <w:p w:rsidR="00E172C5" w:rsidRDefault="00E172C5" w:rsidP="00E172C5">
      <w:pPr>
        <w:pStyle w:val="berschrift1"/>
      </w:pPr>
      <w:r>
        <w:t>[</w:t>
      </w:r>
      <w:r>
        <w:br/>
        <w:t>A^{\prime}</w:t>
      </w:r>
    </w:p>
    <w:p w:rsidR="00E172C5" w:rsidRDefault="00E172C5" w:rsidP="00E172C5">
      <w:pPr>
        <w:pStyle w:val="StandardWeb"/>
      </w:pPr>
      <w:r>
        <w:t>A.</w:t>
      </w:r>
      <w:r>
        <w:br/>
        <w:t>\tag{3.5387}</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A^{\prime}=A\qquad\text{(3.5387)}</w:t>
      </w:r>
    </w:p>
    <w:p w:rsidR="00E172C5" w:rsidRDefault="00E172C5" w:rsidP="00E172C5">
      <w:pPr>
        <w:pStyle w:val="StandardWeb"/>
      </w:pPr>
      <w:r>
        <w:t>Eine numerisch stabile Vorhersage kann dennoch eine instabile Schlussfolgerung erzeugen, wenn das Ergebnis unmittelbar an einer Entscheidungsgrenze liegt.</w:t>
      </w:r>
    </w:p>
    <w:p w:rsidR="00E172C5" w:rsidRPr="00AF32B2" w:rsidRDefault="00E172C5" w:rsidP="00AF32B2">
      <w:pPr>
        <w:pStyle w:val="berschrift4"/>
      </w:pPr>
      <w:r w:rsidRPr="00AF32B2">
        <w:t>3.3.29.18 Robuste empirische Entscheidung</w:t>
      </w:r>
    </w:p>
    <w:p w:rsidR="00E172C5" w:rsidRDefault="00E172C5" w:rsidP="00E172C5">
      <w:pPr>
        <w:pStyle w:val="StandardWeb"/>
      </w:pPr>
      <w:r>
        <w:lastRenderedPageBreak/>
        <w:t>Das empirische Prüfprädikat lautet</w:t>
      </w:r>
    </w:p>
    <w:p w:rsidR="00E172C5" w:rsidRDefault="00E172C5" w:rsidP="00E172C5">
      <w:pPr>
        <w:pStyle w:val="StandardWeb"/>
      </w:pPr>
      <w:r>
        <w:t>[</w:t>
      </w:r>
      <w:r>
        <w:br/>
        <w:t>\mathcal{C}</w:t>
      </w:r>
      <w:r>
        <w:rPr>
          <w:rStyle w:val="Hervorhebung"/>
        </w:rPr>
        <w:t>{\mathrm{emp}}</w:t>
      </w:r>
      <w:r>
        <w:rPr>
          <w:i/>
          <w:iCs/>
        </w:rPr>
        <w:br/>
      </w:r>
      <w:r>
        <w:rPr>
          <w:rStyle w:val="Hervorhebung"/>
        </w:rPr>
        <w:t>\left(</w:t>
      </w:r>
      <w:r>
        <w:rPr>
          <w:i/>
          <w:iCs/>
        </w:rPr>
        <w:br/>
      </w:r>
      <w:r>
        <w:rPr>
          <w:rStyle w:val="Hervorhebung"/>
        </w:rPr>
        <w:t>y,</w:t>
      </w:r>
      <w:r>
        <w:rPr>
          <w:i/>
          <w:iCs/>
        </w:rPr>
        <w:br/>
      </w:r>
      <w:r>
        <w:rPr>
          <w:rStyle w:val="Hervorhebung"/>
        </w:rPr>
        <w:t>\widehat{y},</w:t>
      </w:r>
      <w:r>
        <w:rPr>
          <w:i/>
          <w:iCs/>
        </w:rPr>
        <w:br/>
      </w:r>
      <w:r>
        <w:rPr>
          <w:rStyle w:val="Hervorhebung"/>
        </w:rPr>
        <w:t>\varepsilon</w:t>
      </w:r>
      <w:r>
        <w:t>{\mathrm{emp}}</w:t>
      </w:r>
      <w:r>
        <w:br/>
        <w:t>\right)</w:t>
      </w:r>
      <w:r>
        <w:br/>
        <w:t>\in</w:t>
      </w:r>
      <w:r>
        <w:br/>
        <w:t>{0,1}.</w:t>
      </w:r>
      <w:r>
        <w:br/>
        <w:t>\tag{3.5388}</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\mathcal{C}_{\mathrm{emp}}\left(y,\widehat{y},\varepsilon_{\mathrm{emp}}\right)\in\{0,1\}\qquad\text{(3.5388)}</w:t>
      </w:r>
    </w:p>
    <w:p w:rsidR="00E172C5" w:rsidRDefault="00E172C5" w:rsidP="00E172C5">
      <w:pPr>
        <w:pStyle w:val="StandardWeb"/>
      </w:pPr>
      <w:r>
        <w:t>Unter gestörten Werten ergibt sich</w:t>
      </w:r>
    </w:p>
    <w:p w:rsidR="00E172C5" w:rsidRDefault="00E172C5" w:rsidP="00E172C5">
      <w:pPr>
        <w:pStyle w:val="StandardWeb"/>
      </w:pPr>
      <w:r>
        <w:t>[</w:t>
      </w:r>
      <w:r>
        <w:br/>
        <w:t>\mathcal{C}</w:t>
      </w:r>
      <w:r>
        <w:rPr>
          <w:rStyle w:val="Hervorhebung"/>
        </w:rPr>
        <w:t>{\mathrm{emp}}</w:t>
      </w:r>
      <w:r>
        <w:rPr>
          <w:i/>
          <w:iCs/>
        </w:rPr>
        <w:br/>
      </w:r>
      <w:r>
        <w:rPr>
          <w:rStyle w:val="Hervorhebung"/>
        </w:rPr>
        <w:t>\left(</w:t>
      </w:r>
      <w:r>
        <w:rPr>
          <w:i/>
          <w:iCs/>
        </w:rPr>
        <w:br/>
      </w:r>
      <w:r>
        <w:rPr>
          <w:rStyle w:val="Hervorhebung"/>
        </w:rPr>
        <w:t>y+\Delta y,</w:t>
      </w:r>
      <w:r>
        <w:rPr>
          <w:i/>
          <w:iCs/>
        </w:rPr>
        <w:br/>
      </w:r>
      <w:r>
        <w:rPr>
          <w:rStyle w:val="Hervorhebung"/>
        </w:rPr>
        <w:t>\widehat{y}+\Delta\widehat{y},</w:t>
      </w:r>
      <w:r>
        <w:rPr>
          <w:i/>
          <w:iCs/>
        </w:rPr>
        <w:br/>
      </w:r>
      <w:r>
        <w:rPr>
          <w:rStyle w:val="Hervorhebung"/>
        </w:rPr>
        <w:t>\varepsilon</w:t>
      </w:r>
      <w:r>
        <w:t>{\mathrm{emp}}</w:t>
      </w:r>
      <w:r>
        <w:br/>
        <w:t>\right).</w:t>
      </w:r>
      <w:r>
        <w:br/>
        <w:t>\tag{3.5389}</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\mathcal{C}_{\mathrm{emp}}\left(y+\Delta y,\widehat{y}+\Delta\widehat{y},\varepsilon_{\mathrm{emp}}\right)\qquad\text{(3.5389)}</w:t>
      </w:r>
    </w:p>
    <w:p w:rsidR="00E172C5" w:rsidRDefault="00E172C5" w:rsidP="00E172C5">
      <w:pPr>
        <w:pStyle w:val="StandardWeb"/>
      </w:pPr>
      <w:r>
        <w:t>Die empirische Entscheidung ist robust, wenn</w:t>
      </w:r>
    </w:p>
    <w:p w:rsidR="00E172C5" w:rsidRDefault="00E172C5" w:rsidP="00E172C5">
      <w:pPr>
        <w:pStyle w:val="berschrift1"/>
      </w:pPr>
      <w:r>
        <w:t>[</w:t>
      </w:r>
      <w:r>
        <w:br/>
        <w:t>\mathcal{C}</w:t>
      </w:r>
      <w:r>
        <w:rPr>
          <w:rStyle w:val="Hervorhebung"/>
        </w:rPr>
        <w:t>{\mathrm{emp}}</w:t>
      </w:r>
      <w:r>
        <w:rPr>
          <w:i/>
          <w:iCs/>
        </w:rPr>
        <w:br/>
      </w:r>
      <w:r>
        <w:rPr>
          <w:rStyle w:val="Hervorhebung"/>
        </w:rPr>
        <w:t>\left(</w:t>
      </w:r>
      <w:r>
        <w:rPr>
          <w:i/>
          <w:iCs/>
        </w:rPr>
        <w:br/>
      </w:r>
      <w:r>
        <w:rPr>
          <w:rStyle w:val="Hervorhebung"/>
        </w:rPr>
        <w:t>y,</w:t>
      </w:r>
      <w:r>
        <w:rPr>
          <w:i/>
          <w:iCs/>
        </w:rPr>
        <w:br/>
      </w:r>
      <w:r>
        <w:rPr>
          <w:rStyle w:val="Hervorhebung"/>
        </w:rPr>
        <w:t>\widehat{y},</w:t>
      </w:r>
      <w:r>
        <w:rPr>
          <w:i/>
          <w:iCs/>
        </w:rPr>
        <w:br/>
      </w:r>
      <w:r>
        <w:rPr>
          <w:rStyle w:val="Hervorhebung"/>
        </w:rPr>
        <w:t>\varepsilon</w:t>
      </w:r>
      <w:r>
        <w:t>{\mathrm{emp}}</w:t>
      </w:r>
      <w:r>
        <w:br/>
        <w:t>\right)</w:t>
      </w:r>
    </w:p>
    <w:p w:rsidR="00E172C5" w:rsidRDefault="00E172C5" w:rsidP="00E172C5">
      <w:pPr>
        <w:pStyle w:val="StandardWeb"/>
      </w:pPr>
      <w:r>
        <w:lastRenderedPageBreak/>
        <w:t>\mathcal{C}</w:t>
      </w:r>
      <w:r>
        <w:rPr>
          <w:rStyle w:val="Hervorhebung"/>
        </w:rPr>
        <w:t>{\mathrm{emp}}</w:t>
      </w:r>
      <w:r>
        <w:rPr>
          <w:i/>
          <w:iCs/>
        </w:rPr>
        <w:br/>
      </w:r>
      <w:r>
        <w:rPr>
          <w:rStyle w:val="Hervorhebung"/>
        </w:rPr>
        <w:t>\left(</w:t>
      </w:r>
      <w:r>
        <w:rPr>
          <w:i/>
          <w:iCs/>
        </w:rPr>
        <w:br/>
      </w:r>
      <w:r>
        <w:rPr>
          <w:rStyle w:val="Hervorhebung"/>
        </w:rPr>
        <w:t>y+\Delta y,</w:t>
      </w:r>
      <w:r>
        <w:rPr>
          <w:i/>
          <w:iCs/>
        </w:rPr>
        <w:br/>
      </w:r>
      <w:r>
        <w:rPr>
          <w:rStyle w:val="Hervorhebung"/>
        </w:rPr>
        <w:t>\widehat{y}+\Delta\widehat{y},</w:t>
      </w:r>
      <w:r>
        <w:rPr>
          <w:i/>
          <w:iCs/>
        </w:rPr>
        <w:br/>
      </w:r>
      <w:r>
        <w:rPr>
          <w:rStyle w:val="Hervorhebung"/>
        </w:rPr>
        <w:t>\varepsilon</w:t>
      </w:r>
      <w:r>
        <w:t>{\mathrm{emp}}</w:t>
      </w:r>
      <w:r>
        <w:br/>
        <w:t>\right)</w:t>
      </w:r>
      <w:r>
        <w:br/>
        <w:t>\tag{3.5390}</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\mathcal{C}_{\mathrm{emp}}\left(y,\widehat{y},\varepsilon_{\mathrm{emp}}\right)=\mathcal{C}_{\mathrm{emp}}\left(y+\Delta y,\widehat{y}+\Delta\widehat{y},\varepsilon_{\mathrm{emp}}\right)\qquad\text{(3.5390)}</w:t>
      </w:r>
    </w:p>
    <w:p w:rsidR="00E172C5" w:rsidRDefault="00E172C5" w:rsidP="00E172C5">
      <w:pPr>
        <w:pStyle w:val="StandardWeb"/>
      </w:pPr>
      <w:r>
        <w:t>für alle zulässigen Störungen gilt.</w:t>
      </w:r>
    </w:p>
    <w:p w:rsidR="00E172C5" w:rsidRDefault="00E172C5" w:rsidP="00E172C5">
      <w:pPr>
        <w:pStyle w:val="StandardWeb"/>
      </w:pPr>
      <w:r>
        <w:t>Der Entscheidungsspielraum kann beschrieben werden durch</w:t>
      </w:r>
    </w:p>
    <w:p w:rsidR="00E172C5" w:rsidRDefault="00E172C5" w:rsidP="00E172C5">
      <w:pPr>
        <w:pStyle w:val="berschrift1"/>
      </w:pPr>
      <w:r>
        <w:t>[</w:t>
      </w:r>
      <w:r>
        <w:br/>
        <w:t>m_{\mathrm{emp}}</w:t>
      </w:r>
    </w:p>
    <w:p w:rsidR="00E172C5" w:rsidRDefault="00E172C5" w:rsidP="00E172C5">
      <w:pPr>
        <w:pStyle w:val="berschrift2"/>
      </w:pPr>
      <w:r>
        <w:t>\varepsilon_{\mathrm{emp}}</w:t>
      </w:r>
    </w:p>
    <w:p w:rsidR="00E172C5" w:rsidRDefault="00E172C5" w:rsidP="00E172C5">
      <w:pPr>
        <w:pStyle w:val="StandardWeb"/>
      </w:pPr>
      <w:r>
        <w:t>\Delta_{\mathrm{emp}}</w:t>
      </w:r>
      <w:r>
        <w:br/>
        <w:t>\left(</w:t>
      </w:r>
      <w:r>
        <w:br/>
        <w:t>y,\widehat{y}</w:t>
      </w:r>
      <w:r>
        <w:br/>
        <w:t>\right).</w:t>
      </w:r>
      <w:r>
        <w:br/>
        <w:t>\tag{3.5391}</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m_{\mathrm{emp}}=\varepsilon_{\mathrm{emp}}-\Delta_{\mathrm{emp}}\left(y,\widehat{y}\right)\qquad\text{(3.5391)}</w:t>
      </w:r>
    </w:p>
    <w:p w:rsidR="00E172C5" w:rsidRDefault="00E172C5" w:rsidP="00E172C5">
      <w:pPr>
        <w:pStyle w:val="StandardWeb"/>
      </w:pPr>
      <w:r>
        <w:t>Ein positiver großer Wert kennzeichnet eine deutlich akzeptierte Vorhersage. Ein Wert nahe null kennzeichnet eine empfindliche Grenzentscheidung.</w:t>
      </w:r>
    </w:p>
    <w:p w:rsidR="00E172C5" w:rsidRPr="00AF32B2" w:rsidRDefault="00E172C5" w:rsidP="00AF32B2">
      <w:pPr>
        <w:pStyle w:val="berschrift4"/>
      </w:pPr>
      <w:r w:rsidRPr="00AF32B2">
        <w:t>3.3.29.19 Stabilitätsradius</w:t>
      </w:r>
    </w:p>
    <w:p w:rsidR="00E172C5" w:rsidRDefault="00E172C5" w:rsidP="00E172C5">
      <w:pPr>
        <w:pStyle w:val="StandardWeb"/>
      </w:pPr>
      <w:r>
        <w:t>Der Stabilitätsradius einer Aussage (P) ist die größte zulässige Störungsgröße, innerhalb derer ihr Wahrheitswert erhalten bleibt:</w:t>
      </w:r>
    </w:p>
    <w:p w:rsidR="00E172C5" w:rsidRDefault="00E172C5" w:rsidP="00E172C5">
      <w:pPr>
        <w:pStyle w:val="berschrift1"/>
      </w:pPr>
      <w:r>
        <w:t>[</w:t>
      </w:r>
      <w:r>
        <w:br/>
        <w:t>r_{\mathrm{stab}}(P)</w:t>
      </w:r>
    </w:p>
    <w:p w:rsidR="00E172C5" w:rsidRDefault="00E172C5" w:rsidP="00E172C5">
      <w:pPr>
        <w:pStyle w:val="berschrift1"/>
      </w:pPr>
      <w:r>
        <w:lastRenderedPageBreak/>
        <w:t>\sup</w:t>
      </w:r>
      <w:r>
        <w:br/>
        <w:t>\left{</w:t>
      </w:r>
      <w:r>
        <w:br/>
        <w:t>r\geq0</w:t>
      </w:r>
      <w:r>
        <w:br/>
        <w:t>;\middle|;</w:t>
      </w:r>
      <w:r>
        <w:br/>
        <w:t>\forall</w:t>
      </w:r>
      <w:r>
        <w:br/>
        <w:t>\Delta</w:t>
      </w:r>
      <w:r>
        <w:br/>
        <w:t>\text{ mit }</w:t>
      </w:r>
      <w:r>
        <w:br/>
        <w:t>|\Delta|\leq r:</w:t>
      </w:r>
      <w:r>
        <w:br/>
        <w:t>P(z+\Delta)</w:t>
      </w:r>
    </w:p>
    <w:p w:rsidR="00E172C5" w:rsidRDefault="00E172C5" w:rsidP="00E172C5">
      <w:pPr>
        <w:pStyle w:val="StandardWeb"/>
      </w:pPr>
      <w:r>
        <w:t>P(z)</w:t>
      </w:r>
      <w:r>
        <w:br/>
        <w:t>\right}.</w:t>
      </w:r>
      <w:r>
        <w:br/>
        <w:t>\tag{3.5392}</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r_{\mathrm{stab}}(P)=\sup\left\{r\geq0\middle|\forall\Delta\text{ mit }\|\Delta\|\leq r:P(z+\Delta)=P(z)\right\}\qquad\text{(3.5392)}</w:t>
      </w:r>
    </w:p>
    <w:p w:rsidR="00E172C5" w:rsidRDefault="00E172C5" w:rsidP="00E172C5">
      <w:pPr>
        <w:pStyle w:val="StandardWeb"/>
      </w:pPr>
      <w:r>
        <w:t>Ein großer Stabilitätsradius kennzeichnet eine robuste Aussage.</w:t>
      </w:r>
    </w:p>
    <w:p w:rsidR="00E172C5" w:rsidRDefault="00E172C5" w:rsidP="00E172C5">
      <w:pPr>
        <w:pStyle w:val="StandardWeb"/>
      </w:pPr>
      <w:r>
        <w:t>Ein verschwindender Stabilitätsradius</w:t>
      </w:r>
    </w:p>
    <w:p w:rsidR="00E172C5" w:rsidRDefault="00E172C5" w:rsidP="00E172C5">
      <w:pPr>
        <w:pStyle w:val="berschrift1"/>
      </w:pPr>
      <w:r>
        <w:t>[</w:t>
      </w:r>
      <w:r>
        <w:br/>
        <w:t>r_{\mathrm{stab}}(P)</w:t>
      </w:r>
    </w:p>
    <w:p w:rsidR="00E172C5" w:rsidRDefault="00E172C5" w:rsidP="00E172C5">
      <w:pPr>
        <w:pStyle w:val="StandardWeb"/>
      </w:pPr>
      <w:r>
        <w:t>0</w:t>
      </w:r>
      <w:r>
        <w:br/>
        <w:t>\tag{3.5393}</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r_{\mathrm{stab}}(P)=0\qquad\text{(3.5393)}</w:t>
      </w:r>
    </w:p>
    <w:p w:rsidR="00E172C5" w:rsidRDefault="00E172C5" w:rsidP="00E172C5">
      <w:pPr>
        <w:pStyle w:val="StandardWeb"/>
      </w:pPr>
      <w:r>
        <w:t>zeigt, dass beliebig kleine Störungen den Wahrheitswert der Aussage verändern können.</w:t>
      </w:r>
    </w:p>
    <w:p w:rsidR="00E172C5" w:rsidRPr="00AF32B2" w:rsidRDefault="00E172C5" w:rsidP="00AF32B2">
      <w:pPr>
        <w:pStyle w:val="berschrift4"/>
      </w:pPr>
      <w:r w:rsidRPr="00AF32B2">
        <w:t>3.3.29.20 Robustheitsgrad</w:t>
      </w:r>
    </w:p>
    <w:p w:rsidR="00E172C5" w:rsidRDefault="00E172C5" w:rsidP="00E172C5">
      <w:pPr>
        <w:pStyle w:val="StandardWeb"/>
      </w:pPr>
      <w:r>
        <w:t>Für eine endliche Menge geprüfter Störungen</w:t>
      </w:r>
    </w:p>
    <w:p w:rsidR="00E172C5" w:rsidRDefault="00E172C5" w:rsidP="00E172C5">
      <w:pPr>
        <w:pStyle w:val="berschrift1"/>
      </w:pPr>
      <w:r>
        <w:lastRenderedPageBreak/>
        <w:t>[</w:t>
      </w:r>
      <w:r>
        <w:br/>
        <w:t>\mathfrak{P}_{\mathrm{test}}</w:t>
      </w:r>
    </w:p>
    <w:p w:rsidR="00E172C5" w:rsidRDefault="00E172C5" w:rsidP="00E172C5">
      <w:pPr>
        <w:pStyle w:val="StandardWeb"/>
      </w:pPr>
      <w:r>
        <w:t>\left{</w:t>
      </w:r>
      <w:r>
        <w:br/>
        <w:t>\Delta_1,</w:t>
      </w:r>
      <w:r>
        <w:br/>
        <w:t>\ldots,</w:t>
      </w:r>
      <w:r>
        <w:br/>
        <w:t>\Delta_m</w:t>
      </w:r>
      <w:r>
        <w:br/>
        <w:t>\right}</w:t>
      </w:r>
      <w:r>
        <w:br/>
        <w:t>\tag{3.5394}</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\mathfrak{P}_{\mathrm{test}}=\left\{\Delta_1,\ldots,\Delta_m\right\}\qquad\text{(3.5394)}</w:t>
      </w:r>
    </w:p>
    <w:p w:rsidR="00E172C5" w:rsidRDefault="00E172C5" w:rsidP="00E172C5">
      <w:pPr>
        <w:pStyle w:val="StandardWeb"/>
      </w:pPr>
      <w:r>
        <w:t>kann ein Robustheitsgrad definiert werden:</w:t>
      </w:r>
    </w:p>
    <w:p w:rsidR="00E172C5" w:rsidRDefault="00E172C5" w:rsidP="00E172C5">
      <w:pPr>
        <w:pStyle w:val="berschrift1"/>
      </w:pPr>
      <w:r>
        <w:t>[</w:t>
      </w:r>
      <w:r>
        <w:br/>
        <w:t>\operatorname{Grad}_{\mathrm{rob}}(P)</w:t>
      </w:r>
    </w:p>
    <w:p w:rsidR="00E172C5" w:rsidRDefault="00E172C5" w:rsidP="00E172C5">
      <w:pPr>
        <w:pStyle w:val="berschrift1"/>
      </w:pPr>
      <w:r>
        <w:t>\frac{</w:t>
      </w:r>
      <w:r>
        <w:br/>
        <w:t>\left|</w:t>
      </w:r>
      <w:r>
        <w:br/>
        <w:t>\left{</w:t>
      </w:r>
      <w:r>
        <w:br/>
        <w:t>\Delta_i</w:t>
      </w:r>
      <w:r>
        <w:br/>
        <w:t>\in</w:t>
      </w:r>
      <w:r>
        <w:br/>
        <w:t>\mathfrak{P}_{\mathrm{test}}</w:t>
      </w:r>
      <w:r>
        <w:br/>
        <w:t>\mid</w:t>
      </w:r>
      <w:r>
        <w:br/>
        <w:t>P(z+\Delta_i)</w:t>
      </w:r>
    </w:p>
    <w:p w:rsidR="00E172C5" w:rsidRDefault="00E172C5" w:rsidP="00E172C5">
      <w:pPr>
        <w:pStyle w:val="StandardWeb"/>
      </w:pPr>
      <w:r>
        <w:t>P(z)</w:t>
      </w:r>
      <w:r>
        <w:br/>
        <w:t>\right}</w:t>
      </w:r>
      <w:r>
        <w:br/>
        <w:t>\right|</w:t>
      </w:r>
      <w:r>
        <w:br/>
        <w:t>}{</w:t>
      </w:r>
      <w:r>
        <w:br/>
        <w:t>\left|</w:t>
      </w:r>
      <w:r>
        <w:br/>
        <w:t>\mathfrak{P}_{\mathrm{test}}</w:t>
      </w:r>
      <w:r>
        <w:br/>
        <w:t>\right|</w:t>
      </w:r>
      <w:r>
        <w:br/>
        <w:t>}.</w:t>
      </w:r>
      <w:r>
        <w:br/>
        <w:t>\tag{3.5395}</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lastRenderedPageBreak/>
        <w:t>\operatorname{Grad}_{\mathrm{rob}}(P)=\frac{\left|\left\{\Delta_i\in\mathfrak{P}_{\mathrm{test}}\mid P(z+\Delta_i)=P(z)\right\}\right|}{\left|\mathfrak{P}_{\mathrm{test}}\right|}\qquad\text{(3.5395)}</w:t>
      </w:r>
    </w:p>
    <w:p w:rsidR="00E172C5" w:rsidRDefault="00E172C5" w:rsidP="00E172C5">
      <w:pPr>
        <w:pStyle w:val="StandardWeb"/>
      </w:pPr>
      <w:r>
        <w:t>Dabei gilt</w:t>
      </w:r>
    </w:p>
    <w:p w:rsidR="00E172C5" w:rsidRDefault="00E172C5" w:rsidP="00E172C5">
      <w:pPr>
        <w:pStyle w:val="StandardWeb"/>
      </w:pPr>
      <w:r>
        <w:t>[</w:t>
      </w:r>
      <w:r>
        <w:br/>
        <w:t>0</w:t>
      </w:r>
      <w:r>
        <w:br/>
        <w:t>\leq</w:t>
      </w:r>
      <w:r>
        <w:br/>
        <w:t>\operatorname{Grad}_{\mathrm{rob}}(P)</w:t>
      </w:r>
      <w:r>
        <w:br/>
        <w:t>\leq</w:t>
      </w:r>
      <w:r>
        <w:br/>
        <w:t>1.</w:t>
      </w:r>
      <w:r>
        <w:br/>
        <w:t>\tag{3.5396}</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0\leq\operatorname{Grad}_{\mathrm{rob}}(P)\leq1\qquad\text{(3.5396)}</w:t>
      </w:r>
    </w:p>
    <w:p w:rsidR="00E172C5" w:rsidRDefault="00E172C5" w:rsidP="00E172C5">
      <w:pPr>
        <w:pStyle w:val="StandardWeb"/>
      </w:pPr>
      <w:r>
        <w:t>Der Robustheitsgrad ist stets auf die tatsächlich geprüfte Störungsmenge bezogen und darf nicht als universeller Stabilitätsnachweis interpretiert werden.</w:t>
      </w:r>
    </w:p>
    <w:p w:rsidR="00E172C5" w:rsidRPr="00AF32B2" w:rsidRDefault="00E172C5" w:rsidP="00AF32B2">
      <w:pPr>
        <w:pStyle w:val="berschrift4"/>
      </w:pPr>
      <w:r w:rsidRPr="00AF32B2">
        <w:t>3.3.29.21 Stabilität und Regularisierung</w:t>
      </w:r>
    </w:p>
    <w:p w:rsidR="00E172C5" w:rsidRDefault="00E172C5" w:rsidP="00E172C5">
      <w:pPr>
        <w:pStyle w:val="StandardWeb"/>
      </w:pPr>
      <w:r>
        <w:t>Eine regularisierte Parameterschätzung lautet</w:t>
      </w:r>
    </w:p>
    <w:p w:rsidR="00E172C5" w:rsidRDefault="00E172C5" w:rsidP="00E172C5">
      <w:pPr>
        <w:pStyle w:val="berschrift1"/>
      </w:pPr>
      <w:r>
        <w:t>[</w:t>
      </w:r>
      <w:r>
        <w:br/>
        <w:t>\widehat{\theta}_{\lambda}</w:t>
      </w:r>
    </w:p>
    <w:p w:rsidR="00E172C5" w:rsidRDefault="00E172C5" w:rsidP="00E172C5">
      <w:pPr>
        <w:pStyle w:val="StandardWeb"/>
      </w:pPr>
      <w:r>
        <w:t>\operatorname*{arg,min}</w:t>
      </w:r>
      <w:r>
        <w:rPr>
          <w:rStyle w:val="Hervorhebung"/>
        </w:rPr>
        <w:t>{\theta}</w:t>
      </w:r>
      <w:r>
        <w:rPr>
          <w:i/>
          <w:iCs/>
        </w:rPr>
        <w:br/>
      </w:r>
      <w:r>
        <w:rPr>
          <w:rStyle w:val="Hervorhebung"/>
        </w:rPr>
        <w:t>\left[</w:t>
      </w:r>
      <w:r>
        <w:rPr>
          <w:i/>
          <w:iCs/>
        </w:rPr>
        <w:br/>
      </w:r>
      <w:r>
        <w:rPr>
          <w:rStyle w:val="Hervorhebung"/>
        </w:rPr>
        <w:t>\mathcal{L}</w:t>
      </w:r>
      <w:r>
        <w:t>{\mathrm{data}}(\theta)</w:t>
      </w:r>
      <w:r>
        <w:br/>
        <w:t>+</w:t>
      </w:r>
      <w:r>
        <w:br/>
        <w:t>\lambda</w:t>
      </w:r>
      <w:r>
        <w:br/>
        <w:t>\mathcal{R}(\theta)</w:t>
      </w:r>
      <w:r>
        <w:br/>
        <w:t>\right].</w:t>
      </w:r>
      <w:r>
        <w:br/>
        <w:t>\tag{3.5397}</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\widehat{\theta}_{\lambda}=\operatorname*{arg\,min}_{\theta}\left[\mathcal{L}_{\mathrm{data}}(\theta)+\lambda\mathcal{R}(\theta)\right]\qquad\text{(3.5397)}</w:t>
      </w:r>
    </w:p>
    <w:p w:rsidR="00E172C5" w:rsidRDefault="00E172C5" w:rsidP="00E172C5">
      <w:pPr>
        <w:pStyle w:val="StandardWeb"/>
      </w:pPr>
      <w:r>
        <w:t>Die Regularisierung kann die Empfindlichkeit gegenüber Datenstörungen reduzieren:</w:t>
      </w:r>
    </w:p>
    <w:p w:rsidR="00E172C5" w:rsidRDefault="00E172C5" w:rsidP="00E172C5">
      <w:pPr>
        <w:pStyle w:val="StandardWeb"/>
      </w:pPr>
      <w:r>
        <w:t>[</w:t>
      </w:r>
      <w:r>
        <w:br/>
        <w:t>\left|</w:t>
      </w:r>
      <w:r>
        <w:br/>
        <w:t>\Delta\widehat{\theta}_{\lambda}</w:t>
      </w:r>
      <w:r>
        <w:br/>
      </w:r>
      <w:r>
        <w:lastRenderedPageBreak/>
        <w:t>\right|</w:t>
      </w:r>
      <w:r>
        <w:br/>
        <w:t>&lt;</w:t>
      </w:r>
      <w:r>
        <w:br/>
        <w:t>\left|</w:t>
      </w:r>
      <w:r>
        <w:br/>
        <w:t>\Delta\widehat{\theta}</w:t>
      </w:r>
      <w:r>
        <w:br/>
        <w:t>\right|.</w:t>
      </w:r>
      <w:r>
        <w:br/>
        <w:t>\tag{3.5398}</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\left\|\Delta\widehat{\theta}_{\lambda}\right\|&lt;\left\|\Delta\widehat{\theta}\right\|\qquad\text{(3.5398)}</w:t>
      </w:r>
    </w:p>
    <w:p w:rsidR="00E172C5" w:rsidRDefault="00E172C5" w:rsidP="00E172C5">
      <w:pPr>
        <w:pStyle w:val="StandardWeb"/>
      </w:pPr>
      <w:r>
        <w:t>Diese erhöhte Stabilität entsteht jedoch durch die Zusatzannahme (\mathcal{R}) und den Regularisierungsparameter (\lambda).</w:t>
      </w:r>
    </w:p>
    <w:p w:rsidR="00E172C5" w:rsidRDefault="00E172C5" w:rsidP="00E172C5">
      <w:pPr>
        <w:pStyle w:val="StandardWeb"/>
      </w:pPr>
      <w:r>
        <w:t>Daher gilt nicht allgemein:</w:t>
      </w:r>
    </w:p>
    <w:p w:rsidR="00E172C5" w:rsidRDefault="00E172C5" w:rsidP="00E172C5">
      <w:pPr>
        <w:pStyle w:val="StandardWeb"/>
      </w:pPr>
      <w:r>
        <w:t>[</w:t>
      </w:r>
      <w:r>
        <w:br/>
        <w:t>\mathbf{stabiler}</w:t>
      </w:r>
      <w:r>
        <w:br/>
        <w:t>\Rightarrow</w:t>
      </w:r>
      <w:r>
        <w:br/>
        <w:t>\mathbf{empirisch\ wahrer}.</w:t>
      </w:r>
      <w:r>
        <w:br/>
        <w:t>\tag{3.5399}</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\mathbf{stabiler}\Rightarrow\mathbf{empirisch\ wahrer}\qquad\text{(3.5399)}</w:t>
      </w:r>
    </w:p>
    <w:p w:rsidR="00E172C5" w:rsidRDefault="00E172C5" w:rsidP="00E172C5">
      <w:pPr>
        <w:pStyle w:val="StandardWeb"/>
      </w:pPr>
      <w:r>
        <w:t>Eine regularisierte Lösung kann stabiler, aber zugleich stärker durch Vorannahmen geprägt sein.</w:t>
      </w:r>
    </w:p>
    <w:p w:rsidR="00E172C5" w:rsidRPr="00AF32B2" w:rsidRDefault="00E172C5" w:rsidP="00AF32B2">
      <w:pPr>
        <w:pStyle w:val="berschrift4"/>
      </w:pPr>
      <w:r w:rsidRPr="00AF32B2">
        <w:t>3.3.29.22 Stabilität und Modellkomplexität</w:t>
      </w:r>
    </w:p>
    <w:p w:rsidR="00E172C5" w:rsidRDefault="00E172C5" w:rsidP="00E172C5">
      <w:pPr>
        <w:pStyle w:val="StandardWeb"/>
      </w:pPr>
      <w:r>
        <w:t>Eine komplexere Modellklasse kann stärker auf Stichprobenänderungen reagieren.</w:t>
      </w:r>
    </w:p>
    <w:p w:rsidR="00E172C5" w:rsidRDefault="00E172C5" w:rsidP="00E172C5">
      <w:pPr>
        <w:pStyle w:val="StandardWeb"/>
      </w:pPr>
      <w:r>
        <w:t>Seien</w:t>
      </w:r>
    </w:p>
    <w:p w:rsidR="00E172C5" w:rsidRDefault="00E172C5" w:rsidP="00E172C5">
      <w:pPr>
        <w:pStyle w:val="StandardWeb"/>
      </w:pPr>
      <w:r>
        <w:t>[</w:t>
      </w:r>
      <w:r>
        <w:br/>
        <w:t>\mathfrak{M}</w:t>
      </w:r>
      <w:r>
        <w:rPr>
          <w:rStyle w:val="Hervorhebung"/>
        </w:rPr>
        <w:t>{F}^{(1)}</w:t>
      </w:r>
      <w:r>
        <w:rPr>
          <w:i/>
          <w:iCs/>
        </w:rPr>
        <w:br/>
      </w:r>
      <w:r>
        <w:rPr>
          <w:rStyle w:val="Hervorhebung"/>
        </w:rPr>
        <w:t>\subseteq</w:t>
      </w:r>
      <w:r>
        <w:rPr>
          <w:i/>
          <w:iCs/>
        </w:rPr>
        <w:br/>
      </w:r>
      <w:r>
        <w:rPr>
          <w:rStyle w:val="Hervorhebung"/>
        </w:rPr>
        <w:t>\mathfrak{M}</w:t>
      </w:r>
      <w:r>
        <w:t>{F}^{(2)}</w:t>
      </w:r>
      <w:r>
        <w:br/>
        <w:t>\tag{3.5400}</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\mathfrak{M}_{F}^{(1)}\subseteq\mathfrak{M}_{F}^{(2)}\qquad\text{(3.5400)}</w:t>
      </w:r>
    </w:p>
    <w:p w:rsidR="00E172C5" w:rsidRDefault="00E172C5" w:rsidP="00E172C5">
      <w:pPr>
        <w:pStyle w:val="StandardWeb"/>
      </w:pPr>
      <w:r>
        <w:t>zwei Modellklassen, wobei (\mathfrak{M}_{F}^{(2)}) die flexiblere Klasse bezeichnet.</w:t>
      </w:r>
    </w:p>
    <w:p w:rsidR="00E172C5" w:rsidRDefault="00E172C5" w:rsidP="00E172C5">
      <w:pPr>
        <w:pStyle w:val="StandardWeb"/>
      </w:pPr>
      <w:r>
        <w:t>Dann kann gelten</w:t>
      </w:r>
    </w:p>
    <w:p w:rsidR="00E172C5" w:rsidRDefault="00E172C5" w:rsidP="00E172C5">
      <w:pPr>
        <w:pStyle w:val="StandardWeb"/>
      </w:pPr>
      <w:r>
        <w:lastRenderedPageBreak/>
        <w:t>[</w:t>
      </w:r>
      <w:r>
        <w:br/>
        <w:t>G_{\mathrm{fit}}^{(2)}</w:t>
      </w:r>
      <w:r>
        <w:br/>
        <w:t>\geq</w:t>
      </w:r>
      <w:r>
        <w:br/>
        <w:t>G_{\mathrm{fit}}^{(1)}</w:t>
      </w:r>
      <w:r>
        <w:br/>
        <w:t>\tag{3.5401}</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G_{\mathrm{fit}}^{(2)}\geq G_{\mathrm{fit}}^{(1)}\qquad\text{(3.5401)}</w:t>
      </w:r>
    </w:p>
    <w:p w:rsidR="00E172C5" w:rsidRDefault="00E172C5" w:rsidP="00E172C5">
      <w:pPr>
        <w:pStyle w:val="StandardWeb"/>
      </w:pPr>
      <w:r>
        <w:t>bei gleichzeitig</w:t>
      </w:r>
    </w:p>
    <w:p w:rsidR="00E172C5" w:rsidRDefault="00E172C5" w:rsidP="00E172C5">
      <w:pPr>
        <w:pStyle w:val="StandardWeb"/>
      </w:pPr>
      <w:r>
        <w:t>[</w:t>
      </w:r>
      <w:r>
        <w:br/>
        <w:t>\operatorname{Stab}</w:t>
      </w:r>
      <w:r>
        <w:rPr>
          <w:rStyle w:val="Hervorhebung"/>
        </w:rPr>
        <w:t>{F}</w:t>
      </w:r>
      <w:r>
        <w:rPr>
          <w:i/>
          <w:iCs/>
        </w:rPr>
        <w:br/>
      </w:r>
      <w:r>
        <w:rPr>
          <w:rStyle w:val="Hervorhebung"/>
        </w:rPr>
        <w:t>\left(</w:t>
      </w:r>
      <w:r>
        <w:rPr>
          <w:i/>
          <w:iCs/>
        </w:rPr>
        <w:br/>
      </w:r>
      <w:r>
        <w:rPr>
          <w:rStyle w:val="Hervorhebung"/>
        </w:rPr>
        <w:t>\mathfrak{M}</w:t>
      </w:r>
      <w:r>
        <w:t>{F}^{(2)}</w:t>
      </w:r>
      <w:r>
        <w:br/>
        <w:t>\right)</w:t>
      </w:r>
      <w:r>
        <w:br/>
        <w:t>&lt;</w:t>
      </w:r>
      <w:r>
        <w:br/>
        <w:t>\operatorname{Stab}</w:t>
      </w:r>
      <w:r>
        <w:rPr>
          <w:rStyle w:val="Hervorhebung"/>
        </w:rPr>
        <w:t>{F}</w:t>
      </w:r>
      <w:r>
        <w:rPr>
          <w:i/>
          <w:iCs/>
        </w:rPr>
        <w:br/>
      </w:r>
      <w:r>
        <w:rPr>
          <w:rStyle w:val="Hervorhebung"/>
        </w:rPr>
        <w:t>\left(</w:t>
      </w:r>
      <w:r>
        <w:rPr>
          <w:i/>
          <w:iCs/>
        </w:rPr>
        <w:br/>
      </w:r>
      <w:r>
        <w:rPr>
          <w:rStyle w:val="Hervorhebung"/>
        </w:rPr>
        <w:t>\mathfrak{M}</w:t>
      </w:r>
      <w:r>
        <w:t>{F}^{(1)}</w:t>
      </w:r>
      <w:r>
        <w:br/>
        <w:t>\right).</w:t>
      </w:r>
      <w:r>
        <w:br/>
        <w:t>\tag{3.5402}</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\operatorname{Stab}_{F}\left(\mathfrak{M}_{F}^{(2)}\right)&lt;\operatorname{Stab}_{F}\left(\mathfrak{M}_{F}^{(1)}\right)\qquad\text{(3.5402)}</w:t>
      </w:r>
    </w:p>
    <w:p w:rsidR="00E172C5" w:rsidRDefault="00E172C5" w:rsidP="00E172C5">
      <w:pPr>
        <w:pStyle w:val="StandardWeb"/>
      </w:pPr>
      <w:r>
        <w:t>Eine höhere Anpassungsfähigkeit kann somit mit geringerer Stabilität verbunden sein [58, 59].</w:t>
      </w:r>
    </w:p>
    <w:p w:rsidR="00E172C5" w:rsidRPr="00AF32B2" w:rsidRDefault="00E172C5" w:rsidP="00AF32B2">
      <w:pPr>
        <w:pStyle w:val="berschrift4"/>
      </w:pPr>
      <w:r w:rsidRPr="00AF32B2">
        <w:t>3.3.29.23 Störungskaskade</w:t>
      </w:r>
    </w:p>
    <w:p w:rsidR="00E172C5" w:rsidRDefault="00E172C5" w:rsidP="00E172C5">
      <w:pPr>
        <w:pStyle w:val="StandardWeb"/>
      </w:pPr>
      <w:r>
        <w:t>Die vollständige empirische Störungskaskade lautet</w:t>
      </w:r>
    </w:p>
    <w:p w:rsidR="00E172C5" w:rsidRDefault="00E172C5" w:rsidP="00E172C5">
      <w:pPr>
        <w:pStyle w:val="StandardWeb"/>
      </w:pPr>
      <w:r>
        <w:t>[</w:t>
      </w:r>
      <w:r>
        <w:br/>
        <w:t>\Delta\mathcal{D}</w:t>
      </w:r>
      <w:r>
        <w:br/>
        <w:t>\longrightarrow</w:t>
      </w:r>
      <w:r>
        <w:br/>
        <w:t>\Delta\mathcal{P}</w:t>
      </w:r>
      <w:r>
        <w:rPr>
          <w:rStyle w:val="Hervorhebung"/>
        </w:rPr>
        <w:t>{\mathrm{data}}</w:t>
      </w:r>
      <w:r>
        <w:rPr>
          <w:i/>
          <w:iCs/>
        </w:rPr>
        <w:br/>
      </w:r>
      <w:r>
        <w:rPr>
          <w:rStyle w:val="Hervorhebung"/>
        </w:rPr>
        <w:t>\longrightarrow</w:t>
      </w:r>
      <w:r>
        <w:rPr>
          <w:i/>
          <w:iCs/>
        </w:rPr>
        <w:br/>
      </w:r>
      <w:r>
        <w:rPr>
          <w:rStyle w:val="Hervorhebung"/>
        </w:rPr>
        <w:t>\Delta\mathcal{O}</w:t>
      </w:r>
      <w:r>
        <w:t>{F}</w:t>
      </w:r>
      <w:r>
        <w:br/>
        <w:t>\longrightarrow</w:t>
      </w:r>
      <w:r>
        <w:br/>
        <w:t>\Delta\widehat{\theta}</w:t>
      </w:r>
      <w:r>
        <w:br/>
        <w:t>\longrightarrow</w:t>
      </w:r>
      <w:r>
        <w:br/>
        <w:t>\Delta\widehat{y}</w:t>
      </w:r>
      <w:r>
        <w:br/>
        <w:t>\longrightarrow</w:t>
      </w:r>
      <w:r>
        <w:br/>
        <w:t>\Delta A.</w:t>
      </w:r>
      <w:r>
        <w:br/>
        <w:t>\tag{3.5403}</w:t>
      </w:r>
      <w:r>
        <w:br/>
        <w:t>]</w:t>
      </w:r>
    </w:p>
    <w:p w:rsidR="00E172C5" w:rsidRDefault="00E172C5" w:rsidP="00E172C5">
      <w:pPr>
        <w:pStyle w:val="StandardWeb"/>
      </w:pPr>
      <w:r>
        <w:rPr>
          <w:rStyle w:val="Fett"/>
        </w:rPr>
        <w:lastRenderedPageBreak/>
        <w:t>Word-LaTeX</w:t>
      </w:r>
    </w:p>
    <w:p w:rsidR="00E172C5" w:rsidRDefault="00E172C5" w:rsidP="00E172C5">
      <w:pPr>
        <w:pStyle w:val="HTMLVorformatiert"/>
        <w:rPr>
          <w:rStyle w:val="HTMLCode"/>
        </w:rPr>
      </w:pPr>
      <w:r>
        <w:rPr>
          <w:rStyle w:val="HTMLCode"/>
        </w:rPr>
        <w:t>\Delta\mathcal{D}\longrightarrow\Delta\mathcal{P}_{\mathrm{data}}\longrightarrow\Delta\mathcal{O}_{F}\longrightarrow\Delta\widehat{\theta}\longrightarrow\Delta\widehat{y}\longrightarrow\Delta A\qquad\text{(3.5403)}</w:t>
      </w:r>
    </w:p>
    <w:p w:rsidR="00E172C5" w:rsidRDefault="00E172C5" w:rsidP="00E172C5">
      <w:pPr>
        <w:pStyle w:val="StandardWeb"/>
      </w:pPr>
      <w:r>
        <w:t>Jede Stufe besitzt eine eigene lokale Verstärkungskonstante:</w:t>
      </w:r>
    </w:p>
    <w:p w:rsidR="00E172C5" w:rsidRDefault="00E172C5" w:rsidP="00E172C5">
      <w:pPr>
        <w:pStyle w:val="StandardWeb"/>
      </w:pPr>
      <w:r>
        <w:t>[</w:t>
      </w:r>
      <w:r>
        <w:br/>
        <w:t>C_{\mathrm{data}},</w:t>
      </w:r>
      <w:r>
        <w:br/>
        <w:t>C_{\mathrm{op}},</w:t>
      </w:r>
      <w:r>
        <w:br/>
        <w:t>C_{\theta},</w:t>
      </w:r>
      <w:r>
        <w:br/>
        <w:t>C_{\mathrm{pred}},</w:t>
      </w:r>
      <w:r>
        <w:br/>
        <w:t>C_{\mathrm{dec}}.</w:t>
      </w:r>
      <w:r>
        <w:br/>
        <w:t>\tag{3.5404}</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C_{\mathrm{data}},C_{\mathrm{op}},C_{\theta},C_{\mathrm{pred}},C_{\mathrm{dec}}\qquad\text{(3.5404)}</w:t>
      </w:r>
    </w:p>
    <w:p w:rsidR="00E172C5" w:rsidRDefault="00E172C5" w:rsidP="00E172C5">
      <w:pPr>
        <w:pStyle w:val="StandardWeb"/>
      </w:pPr>
      <w:r>
        <w:t>Eine grobe Gesamtabschätzung lautet</w:t>
      </w:r>
    </w:p>
    <w:p w:rsidR="00E172C5" w:rsidRDefault="00E172C5" w:rsidP="00E172C5">
      <w:pPr>
        <w:pStyle w:val="StandardWeb"/>
      </w:pPr>
      <w:r>
        <w:t>[</w:t>
      </w:r>
      <w:r>
        <w:br/>
        <w:t>\left|</w:t>
      </w:r>
      <w:r>
        <w:br/>
        <w:t>\Delta A</w:t>
      </w:r>
      <w:r>
        <w:br/>
        <w:t>\right|</w:t>
      </w:r>
      <w:r>
        <w:br/>
        <w:t>\leq</w:t>
      </w:r>
      <w:r>
        <w:br/>
        <w:t>C_{\mathrm{dec}}</w:t>
      </w:r>
      <w:r>
        <w:br/>
        <w:t>C_{\mathrm{pred}}</w:t>
      </w:r>
      <w:r>
        <w:br/>
        <w:t>C_{\theta}</w:t>
      </w:r>
      <w:r>
        <w:br/>
        <w:t>C_{\mathrm{op}}</w:t>
      </w:r>
      <w:r>
        <w:br/>
        <w:t>C_{\mathrm{data}}</w:t>
      </w:r>
      <w:r>
        <w:br/>
        <w:t>\left|</w:t>
      </w:r>
      <w:r>
        <w:br/>
        <w:t>\Delta\mathcal{D}</w:t>
      </w:r>
      <w:r>
        <w:br/>
        <w:t>\right|.</w:t>
      </w:r>
      <w:r>
        <w:br/>
        <w:t>\tag{3.5405}</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\left\|\Delta A\right\|\leq C_{\mathrm{dec}}C_{\mathrm{pred}}C_{\theta}C_{\mathrm{op}}C_{\mathrm{data}}\left\|\Delta\mathcal{D}\right\|\qquad\text{(3.5405)}</w:t>
      </w:r>
    </w:p>
    <w:p w:rsidR="00E172C5" w:rsidRDefault="00E172C5" w:rsidP="00E172C5">
      <w:pPr>
        <w:pStyle w:val="StandardWeb"/>
      </w:pPr>
      <w:r>
        <w:t>Diese Abschätzung zeigt, dass mehrere mäßige Empfindlichkeiten gemeinsam eine erhebliche Gesamtinstabilität erzeugen können.</w:t>
      </w:r>
    </w:p>
    <w:p w:rsidR="00E172C5" w:rsidRPr="00AF32B2" w:rsidRDefault="00E172C5" w:rsidP="00AF32B2">
      <w:pPr>
        <w:pStyle w:val="berschrift4"/>
      </w:pPr>
      <w:r w:rsidRPr="00AF32B2">
        <w:t>3.3.29.24 Stabilitätsmatrix</w:t>
      </w:r>
    </w:p>
    <w:p w:rsidR="00E172C5" w:rsidRDefault="00E172C5" w:rsidP="00E172C5">
      <w:pPr>
        <w:pStyle w:val="StandardWeb"/>
      </w:pPr>
      <w:r>
        <w:lastRenderedPageBreak/>
        <w:t>Für mehrere Störungsarten und Ergebnisgrößen kann eine Stabilitätsmatrix eingeführt werden:</w:t>
      </w:r>
    </w:p>
    <w:p w:rsidR="00E172C5" w:rsidRDefault="00E172C5" w:rsidP="00E172C5">
      <w:pPr>
        <w:pStyle w:val="berschrift1"/>
      </w:pPr>
      <w:r>
        <w:t>[</w:t>
      </w:r>
      <w:r>
        <w:br/>
        <w:t>\mathbf{S}_{\mathrm{stab}}</w:t>
      </w:r>
    </w:p>
    <w:p w:rsidR="00E172C5" w:rsidRDefault="00E172C5" w:rsidP="00E172C5">
      <w:pPr>
        <w:pStyle w:val="StandardWeb"/>
      </w:pPr>
      <w:r>
        <w:t>\left[</w:t>
      </w:r>
      <w:r>
        <w:br/>
        <w:t>s_{ij}</w:t>
      </w:r>
      <w:r>
        <w:br/>
        <w:t>\right].</w:t>
      </w:r>
      <w:r>
        <w:br/>
        <w:t>\tag{3.5406}</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\mathbf{S}_{\mathrm{stab}}=\left[s_{ij}\right]\qquad\text{(3.5406)}</w:t>
      </w:r>
    </w:p>
    <w:p w:rsidR="00E172C5" w:rsidRDefault="00E172C5" w:rsidP="00E172C5">
      <w:pPr>
        <w:pStyle w:val="StandardWeb"/>
      </w:pPr>
      <w:r>
        <w:t>Dabei beschreibt</w:t>
      </w:r>
    </w:p>
    <w:p w:rsidR="00E172C5" w:rsidRDefault="00E172C5" w:rsidP="00E172C5">
      <w:pPr>
        <w:pStyle w:val="berschrift1"/>
      </w:pPr>
      <w:r>
        <w:t>[</w:t>
      </w:r>
      <w:r>
        <w:br/>
        <w:t>s_{ij}</w:t>
      </w:r>
    </w:p>
    <w:p w:rsidR="00E172C5" w:rsidRDefault="00E172C5" w:rsidP="00E172C5">
      <w:pPr>
        <w:pStyle w:val="StandardWeb"/>
      </w:pPr>
      <w:r>
        <w:t>\frac{</w:t>
      </w:r>
      <w:r>
        <w:br/>
        <w:t>\partial z_i</w:t>
      </w:r>
      <w:r>
        <w:br/>
        <w:t>}{</w:t>
      </w:r>
      <w:r>
        <w:br/>
        <w:t>\partial p_j</w:t>
      </w:r>
      <w:r>
        <w:br/>
        <w:t>}</w:t>
      </w:r>
      <w:r>
        <w:br/>
        <w:t>\tag{3.5407}</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s_{ij}=\frac{\partial z_i}{\partial p_j}\qquad\text{(3.5407)}</w:t>
      </w:r>
    </w:p>
    <w:p w:rsidR="00E172C5" w:rsidRDefault="00E172C5" w:rsidP="00E172C5">
      <w:pPr>
        <w:pStyle w:val="StandardWeb"/>
      </w:pPr>
      <w:r>
        <w:t>die lokale Empfindlichkeit der Ergebnisgröße (z_i) gegenüber der Störungskomponente (p_j).</w:t>
      </w:r>
    </w:p>
    <w:p w:rsidR="00E172C5" w:rsidRDefault="00E172C5" w:rsidP="00E172C5">
      <w:pPr>
        <w:pStyle w:val="StandardWeb"/>
      </w:pPr>
      <w:r>
        <w:t>Eine Zeile mit großen Beträgen zeigt eine empfindliche Ergebnisgröße. Eine Spalte mit großen Beträgen zeigt eine besonders einflussreiche Störungsart.</w:t>
      </w:r>
    </w:p>
    <w:p w:rsidR="00E172C5" w:rsidRPr="00AF32B2" w:rsidRDefault="00E172C5" w:rsidP="00AF32B2">
      <w:pPr>
        <w:pStyle w:val="berschrift4"/>
      </w:pPr>
      <w:r w:rsidRPr="00AF32B2">
        <w:t>3.3.29.25 Stabilitätsklassen</w:t>
      </w:r>
    </w:p>
    <w:p w:rsidR="00E172C5" w:rsidRDefault="00E172C5" w:rsidP="00E172C5">
      <w:pPr>
        <w:pStyle w:val="StandardWeb"/>
      </w:pPr>
      <w:r>
        <w:t>Ich unterscheide vier Stabilitätsklassen:</w:t>
      </w:r>
    </w:p>
    <w:p w:rsidR="00E172C5" w:rsidRDefault="00E172C5" w:rsidP="00E172C5">
      <w:pPr>
        <w:pStyle w:val="berschrift1"/>
      </w:pPr>
      <w:r>
        <w:t>[</w:t>
      </w:r>
      <w:r>
        <w:br/>
        <w:t>\mathfrak{L}_{\mathrm{stab}}</w:t>
      </w:r>
    </w:p>
    <w:p w:rsidR="00E172C5" w:rsidRDefault="00E172C5" w:rsidP="00E172C5">
      <w:pPr>
        <w:pStyle w:val="StandardWeb"/>
      </w:pPr>
      <w:r>
        <w:t>\left{</w:t>
      </w:r>
      <w:r>
        <w:br/>
        <w:t>\mathbf{stabil},</w:t>
      </w:r>
      <w:r>
        <w:br/>
      </w:r>
      <w:r>
        <w:lastRenderedPageBreak/>
        <w:t>\mathbf{bedingt\ stabil},</w:t>
      </w:r>
      <w:r>
        <w:br/>
        <w:t>\mathbf{empfindlich},</w:t>
      </w:r>
      <w:r>
        <w:br/>
        <w:t>\mathbf{instabil}</w:t>
      </w:r>
      <w:r>
        <w:br/>
        <w:t>\right}.</w:t>
      </w:r>
      <w:r>
        <w:br/>
        <w:t>\tag{3.5408}</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\mathfrak{L}_{\mathrm{stab}}=\left\{\mathbf{stabil},\mathbf{bedingt\ stabil},\mathbf{empfindlich},\mathbf{instabil}\right\}\qquad\text{(3.5408)}</w:t>
      </w:r>
    </w:p>
    <w:p w:rsidR="00E172C5" w:rsidRDefault="00E172C5" w:rsidP="00E172C5">
      <w:pPr>
        <w:pStyle w:val="StandardWeb"/>
      </w:pPr>
      <w:r>
        <w:t>Die Zuordnungsabbildung lautet</w:t>
      </w:r>
    </w:p>
    <w:p w:rsidR="00E172C5" w:rsidRDefault="00E172C5" w:rsidP="00E172C5">
      <w:pPr>
        <w:pStyle w:val="StandardWeb"/>
      </w:pPr>
      <w:r>
        <w:t>[</w:t>
      </w:r>
      <w:r>
        <w:br/>
        <w:t>\operatorname{Klasse}</w:t>
      </w:r>
      <w:r>
        <w:rPr>
          <w:rStyle w:val="Hervorhebung"/>
        </w:rPr>
        <w:t>{\mathrm{stab}}:</w:t>
      </w:r>
      <w:r>
        <w:rPr>
          <w:i/>
          <w:iCs/>
        </w:rPr>
        <w:br/>
      </w:r>
      <w:r>
        <w:rPr>
          <w:rStyle w:val="Hervorhebung"/>
        </w:rPr>
        <w:t>\mathfrak{S}</w:t>
      </w:r>
      <w:r>
        <w:t>{F}</w:t>
      </w:r>
      <w:r>
        <w:br/>
        <w:t>\rightarrow</w:t>
      </w:r>
      <w:r>
        <w:br/>
        <w:t>\mathfrak{L}_{\mathrm{stab}}.</w:t>
      </w:r>
      <w:r>
        <w:br/>
        <w:t>\tag{3.5409}</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\operatorname{Klasse}_{\mathrm{stab}}:\mathfrak{S}_{F}\rightarrow\mathfrak{L}_{\mathrm{stab}}\qquad\text{(3.5409)}</w:t>
      </w:r>
    </w:p>
    <w:p w:rsidR="00E172C5" w:rsidRDefault="00E172C5" w:rsidP="00E172C5">
      <w:pPr>
        <w:pStyle w:val="StandardWeb"/>
      </w:pPr>
      <w:r>
        <w:t>Eine bedingt stabile Aussage muss immer gemeinsam mit den Bedingungen angegeben werden, unter denen ihre Stabilität gilt.</w:t>
      </w:r>
    </w:p>
    <w:p w:rsidR="00E172C5" w:rsidRPr="00AF32B2" w:rsidRDefault="00E172C5" w:rsidP="00AF32B2">
      <w:pPr>
        <w:pStyle w:val="berschrift4"/>
      </w:pPr>
      <w:r w:rsidRPr="00AF32B2">
        <w:t>3.3.29.26 Stabilitätsprädikat des Gesamtsystems</w:t>
      </w:r>
    </w:p>
    <w:p w:rsidR="00E172C5" w:rsidRDefault="00E172C5" w:rsidP="00E172C5">
      <w:pPr>
        <w:pStyle w:val="StandardWeb"/>
      </w:pPr>
      <w:r>
        <w:t>Das erweiterte Stabilitätsprädikat lautet</w:t>
      </w:r>
    </w:p>
    <w:p w:rsidR="00E172C5" w:rsidRDefault="00E172C5" w:rsidP="00E172C5">
      <w:pPr>
        <w:pStyle w:val="StandardWeb"/>
      </w:pPr>
      <w:r>
        <w:t>[</w:t>
      </w:r>
      <w:r>
        <w:br/>
        <w:t>\operatorname{EST}</w:t>
      </w:r>
      <w:r>
        <w:rPr>
          <w:rStyle w:val="Hervorhebung"/>
        </w:rPr>
        <w:t>{F}:</w:t>
      </w:r>
      <w:r>
        <w:rPr>
          <w:i/>
          <w:iCs/>
        </w:rPr>
        <w:br/>
      </w:r>
      <w:r>
        <w:rPr>
          <w:rStyle w:val="Hervorhebung"/>
        </w:rPr>
        <w:t>\mathfrak{S}</w:t>
      </w:r>
      <w:r>
        <w:t>{F}</w:t>
      </w:r>
      <w:r>
        <w:br/>
        <w:t>\rightarrow</w:t>
      </w:r>
      <w:r>
        <w:br/>
        <w:t>{0,1}.</w:t>
      </w:r>
      <w:r>
        <w:br/>
        <w:t>\tag{3.5410}</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\operatorname{EST}_{F}:\mathfrak{S}_{F}\rightarrow\{0,1\}\qquad\text{(3.5410)}</w:t>
      </w:r>
    </w:p>
    <w:p w:rsidR="00E172C5" w:rsidRDefault="00E172C5" w:rsidP="00E172C5">
      <w:pPr>
        <w:pStyle w:val="StandardWeb"/>
      </w:pPr>
      <w:r>
        <w:t>Es nimmt den Wert eins an, wenn:</w:t>
      </w:r>
    </w:p>
    <w:p w:rsidR="00E172C5" w:rsidRDefault="00E172C5" w:rsidP="00632D23">
      <w:pPr>
        <w:pStyle w:val="StandardWeb"/>
        <w:numPr>
          <w:ilvl w:val="0"/>
          <w:numId w:val="171"/>
        </w:numPr>
      </w:pPr>
      <w:r>
        <w:t>die Datenstörung begrenzt ist,</w:t>
      </w:r>
    </w:p>
    <w:p w:rsidR="00E172C5" w:rsidRDefault="00E172C5" w:rsidP="00632D23">
      <w:pPr>
        <w:pStyle w:val="StandardWeb"/>
        <w:numPr>
          <w:ilvl w:val="0"/>
          <w:numId w:val="171"/>
        </w:numPr>
      </w:pPr>
      <w:r>
        <w:t>die Operationalisierung stabil ist,</w:t>
      </w:r>
    </w:p>
    <w:p w:rsidR="00E172C5" w:rsidRDefault="00E172C5" w:rsidP="00632D23">
      <w:pPr>
        <w:pStyle w:val="StandardWeb"/>
        <w:numPr>
          <w:ilvl w:val="0"/>
          <w:numId w:val="171"/>
        </w:numPr>
      </w:pPr>
      <w:r>
        <w:t>die Parameterschätzung kontrolliert reagiert,</w:t>
      </w:r>
    </w:p>
    <w:p w:rsidR="00E172C5" w:rsidRDefault="00E172C5" w:rsidP="00632D23">
      <w:pPr>
        <w:pStyle w:val="StandardWeb"/>
        <w:numPr>
          <w:ilvl w:val="0"/>
          <w:numId w:val="171"/>
        </w:numPr>
      </w:pPr>
      <w:r>
        <w:lastRenderedPageBreak/>
        <w:t>die Modellvorhersage innerhalb der Toleranz bleibt,</w:t>
      </w:r>
    </w:p>
    <w:p w:rsidR="00E172C5" w:rsidRDefault="00E172C5" w:rsidP="00632D23">
      <w:pPr>
        <w:pStyle w:val="StandardWeb"/>
        <w:numPr>
          <w:ilvl w:val="0"/>
          <w:numId w:val="171"/>
        </w:numPr>
      </w:pPr>
      <w:r>
        <w:t>die wissenschaftliche Schlussfolgerung erhalten bleibt.</w:t>
      </w:r>
    </w:p>
    <w:p w:rsidR="00E172C5" w:rsidRDefault="00E172C5" w:rsidP="00E172C5">
      <w:pPr>
        <w:pStyle w:val="StandardWeb"/>
      </w:pPr>
      <w:r>
        <w:t>Formal schreibe ich</w:t>
      </w:r>
    </w:p>
    <w:p w:rsidR="00E172C5" w:rsidRDefault="00E172C5" w:rsidP="00E172C5">
      <w:pPr>
        <w:pStyle w:val="berschrift1"/>
      </w:pPr>
      <w:r>
        <w:t>[</w:t>
      </w:r>
      <w:r>
        <w:br/>
        <w:t>\operatorname{EST}</w:t>
      </w:r>
      <w:r>
        <w:rPr>
          <w:rStyle w:val="Hervorhebung"/>
        </w:rPr>
        <w:t>{F}</w:t>
      </w:r>
      <w:r>
        <w:rPr>
          <w:i/>
          <w:iCs/>
        </w:rPr>
        <w:br/>
      </w:r>
      <w:r>
        <w:rPr>
          <w:rStyle w:val="Hervorhebung"/>
        </w:rPr>
        <w:t>\left(</w:t>
      </w:r>
      <w:r>
        <w:rPr>
          <w:i/>
          <w:iCs/>
        </w:rPr>
        <w:br/>
      </w:r>
      <w:r>
        <w:rPr>
          <w:rStyle w:val="Hervorhebung"/>
        </w:rPr>
        <w:t>\mathfrak{S}</w:t>
      </w:r>
      <w:r>
        <w:t>{F}</w:t>
      </w:r>
      <w:r>
        <w:br/>
        <w:t>\right)</w:t>
      </w:r>
    </w:p>
    <w:p w:rsidR="00E172C5" w:rsidRDefault="00E172C5" w:rsidP="00632D23">
      <w:pPr>
        <w:numPr>
          <w:ilvl w:val="0"/>
          <w:numId w:val="172"/>
        </w:numPr>
        <w:spacing w:before="100" w:beforeAutospacing="1" w:after="100" w:afterAutospacing="1"/>
      </w:pPr>
    </w:p>
    <w:p w:rsidR="00E172C5" w:rsidRDefault="00E172C5" w:rsidP="00E172C5">
      <w:pPr>
        <w:pStyle w:val="StandardWeb"/>
      </w:pPr>
      <w:r>
        <w:t>\tag{3.5411}</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\operatorname{EST}_{F}\left(\mathfrak{S}_{F}\right)=1\qquad\text{(3.5411)}</w:t>
      </w:r>
    </w:p>
    <w:p w:rsidR="00E172C5" w:rsidRDefault="00E172C5" w:rsidP="00E172C5">
      <w:pPr>
        <w:pStyle w:val="StandardWeb"/>
      </w:pPr>
      <w:r>
        <w:t>Eine mögliche zusammengesetzte Bedingung lautet</w:t>
      </w:r>
    </w:p>
    <w:p w:rsidR="00E172C5" w:rsidRDefault="00E172C5" w:rsidP="00E172C5">
      <w:pPr>
        <w:pStyle w:val="berschrift1"/>
      </w:pPr>
      <w:r>
        <w:t>[</w:t>
      </w:r>
      <w:r>
        <w:br/>
        <w:t>\operatorname{EST}_{F}</w:t>
      </w:r>
    </w:p>
    <w:p w:rsidR="00E172C5" w:rsidRDefault="00E172C5" w:rsidP="00E172C5">
      <w:pPr>
        <w:pStyle w:val="StandardWeb"/>
      </w:pPr>
      <w:r>
        <w:t>1</w:t>
      </w:r>
      <w:r>
        <w:br/>
        <w:t>\iff</w:t>
      </w:r>
      <w:r>
        <w:br/>
        <w:t>C_{\mathcal{D}}</w:t>
      </w:r>
      <w:r>
        <w:br/>
        <w:t>\land</w:t>
      </w:r>
      <w:r>
        <w:br/>
        <w:t>C_{\mathcal{O}}</w:t>
      </w:r>
      <w:r>
        <w:br/>
        <w:t>\land</w:t>
      </w:r>
      <w:r>
        <w:br/>
        <w:t>C_{\theta}</w:t>
      </w:r>
      <w:r>
        <w:br/>
        <w:t>\land</w:t>
      </w:r>
      <w:r>
        <w:br/>
        <w:t>C_{P}</w:t>
      </w:r>
      <w:r>
        <w:br/>
        <w:t>\land</w:t>
      </w:r>
      <w:r>
        <w:br/>
        <w:t>C_{A}.</w:t>
      </w:r>
      <w:r>
        <w:br/>
        <w:t>\tag{3.5412}</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\operatorname{EST}_{F}=1\iff C_{\mathcal{D}}\land C_{\mathcal{O}}\land C_{\theta}\land C_{P}\land C_{A}\qquad\text{(3.5412)}</w:t>
      </w:r>
    </w:p>
    <w:p w:rsidR="00E172C5" w:rsidRPr="00AF32B2" w:rsidRDefault="00E172C5" w:rsidP="00AF32B2">
      <w:pPr>
        <w:pStyle w:val="berschrift4"/>
      </w:pPr>
      <w:r w:rsidRPr="00AF32B2">
        <w:t>3.3.29.27 Satz zur Stabilitätsfortpflanzung</w:t>
      </w:r>
    </w:p>
    <w:p w:rsidR="00E172C5" w:rsidRDefault="00E172C5" w:rsidP="00E172C5">
      <w:pPr>
        <w:pStyle w:val="StandardWeb"/>
      </w:pPr>
      <w:r>
        <w:rPr>
          <w:rStyle w:val="Fett"/>
        </w:rPr>
        <w:t>Satz 3.3.11 – Stabilitätsfortpflanzung durch Lipschitz-stetige FRZK-Abbildungen</w:t>
      </w:r>
    </w:p>
    <w:p w:rsidR="00E172C5" w:rsidRDefault="00E172C5" w:rsidP="00E172C5">
      <w:pPr>
        <w:pStyle w:val="StandardWeb"/>
      </w:pPr>
      <w:r>
        <w:lastRenderedPageBreak/>
        <w:t>Seien die aufeinanderfolgenden Abbildungen der empirischen FRZK-Auswertung</w:t>
      </w:r>
    </w:p>
    <w:p w:rsidR="00E172C5" w:rsidRDefault="00E172C5" w:rsidP="00E172C5">
      <w:pPr>
        <w:pStyle w:val="StandardWeb"/>
      </w:pPr>
      <w:r>
        <w:t>[</w:t>
      </w:r>
      <w:r>
        <w:br/>
        <w:t>\mathcal{A}_1,</w:t>
      </w:r>
      <w:r>
        <w:br/>
        <w:t>\mathcal{A}_2,</w:t>
      </w:r>
      <w:r>
        <w:br/>
        <w:t>\ldots,</w:t>
      </w:r>
      <w:r>
        <w:br/>
        <w:t>\mathcal{A}_n</w:t>
      </w:r>
      <w:r>
        <w:br/>
        <w:t>\tag{3.5413}</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\mathcal{A}_1,\mathcal{A}_2,\ldots,\mathcal{A}_n\qquad\text{(3.5413)}</w:t>
      </w:r>
    </w:p>
    <w:p w:rsidR="00E172C5" w:rsidRDefault="00E172C5" w:rsidP="00E172C5">
      <w:pPr>
        <w:pStyle w:val="StandardWeb"/>
      </w:pPr>
      <w:r>
        <w:t>jeweils Lipschitz-stetig mit Konstanten</w:t>
      </w:r>
    </w:p>
    <w:p w:rsidR="00E172C5" w:rsidRDefault="00E172C5" w:rsidP="00E172C5">
      <w:pPr>
        <w:pStyle w:val="StandardWeb"/>
      </w:pPr>
      <w:r>
        <w:t>[</w:t>
      </w:r>
      <w:r>
        <w:br/>
        <w:t>L_1,</w:t>
      </w:r>
      <w:r>
        <w:br/>
        <w:t>L_2,</w:t>
      </w:r>
      <w:r>
        <w:br/>
        <w:t>\ldots,</w:t>
      </w:r>
      <w:r>
        <w:br/>
        <w:t>L_n.</w:t>
      </w:r>
      <w:r>
        <w:br/>
        <w:t>\tag{3.5414}</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L_1,L_2,\ldots,L_n\qquad\text{(3.5414)}</w:t>
      </w:r>
    </w:p>
    <w:p w:rsidR="00E172C5" w:rsidRDefault="00E172C5" w:rsidP="00E172C5">
      <w:pPr>
        <w:pStyle w:val="StandardWeb"/>
      </w:pPr>
      <w:r>
        <w:t>Dann ist die zusammengesetzte Abbildung</w:t>
      </w:r>
    </w:p>
    <w:p w:rsidR="00E172C5" w:rsidRDefault="00E172C5" w:rsidP="00E172C5">
      <w:pPr>
        <w:pStyle w:val="berschrift1"/>
      </w:pPr>
      <w:r>
        <w:t>[</w:t>
      </w:r>
      <w:r>
        <w:br/>
        <w:t>\mathcal{A}</w:t>
      </w:r>
    </w:p>
    <w:p w:rsidR="00E172C5" w:rsidRDefault="00E172C5" w:rsidP="00E172C5">
      <w:pPr>
        <w:pStyle w:val="StandardWeb"/>
      </w:pPr>
      <w:r>
        <w:t>\mathcal{A}_n</w:t>
      </w:r>
      <w:r>
        <w:br/>
        <w:t>\circ</w:t>
      </w:r>
      <w:r>
        <w:br/>
        <w:t>\cdots</w:t>
      </w:r>
      <w:r>
        <w:br/>
        <w:t>\circ</w:t>
      </w:r>
      <w:r>
        <w:br/>
        <w:t>\mathcal{A}_2</w:t>
      </w:r>
      <w:r>
        <w:br/>
        <w:t>\circ</w:t>
      </w:r>
      <w:r>
        <w:br/>
        <w:t>\mathcal{A}_1</w:t>
      </w:r>
      <w:r>
        <w:br/>
        <w:t>\tag{3.5415}</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\mathcal{A}=\mathcal{A}_n\circ\cdots\circ\mathcal{A}_2\circ\mathcal{A}_1\qquad\text{(3.5415)}</w:t>
      </w:r>
    </w:p>
    <w:p w:rsidR="00E172C5" w:rsidRDefault="00E172C5" w:rsidP="00E172C5">
      <w:pPr>
        <w:pStyle w:val="StandardWeb"/>
      </w:pPr>
      <w:r>
        <w:t>ebenfalls Lipschitz-stetig mit der Konstante</w:t>
      </w:r>
    </w:p>
    <w:p w:rsidR="00E172C5" w:rsidRDefault="00E172C5" w:rsidP="00E172C5">
      <w:pPr>
        <w:pStyle w:val="StandardWeb"/>
      </w:pPr>
      <w:r>
        <w:lastRenderedPageBreak/>
        <w:t>[</w:t>
      </w:r>
      <w:r>
        <w:br/>
        <w:t>L_{\mathrm{ges}}</w:t>
      </w:r>
      <w:r>
        <w:br/>
        <w:t>\leq</w:t>
      </w:r>
      <w:r>
        <w:br/>
        <w:t>\prod_{i=1}^{n}</w:t>
      </w:r>
      <w:r>
        <w:br/>
        <w:t>L_i.</w:t>
      </w:r>
      <w:r>
        <w:br/>
        <w:t>\tag{3.5416}</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L_{\mathrm{ges}}\leq\prod_{i=1}^{n}L_i\qquad\text{(3.5416)}</w:t>
      </w:r>
    </w:p>
    <w:p w:rsidR="00E172C5" w:rsidRDefault="00E172C5" w:rsidP="00E172C5">
      <w:pPr>
        <w:pStyle w:val="StandardWeb"/>
      </w:pPr>
      <w:r>
        <w:t>Für zwei Datengrundlagen (\mathcal{D}) und (\mathcal{D}^{\prime}) gilt daher</w:t>
      </w:r>
    </w:p>
    <w:p w:rsidR="00E172C5" w:rsidRDefault="00E172C5" w:rsidP="00E172C5">
      <w:pPr>
        <w:pStyle w:val="berschrift2"/>
      </w:pPr>
      <w:r>
        <w:t>[</w:t>
      </w:r>
      <w:r>
        <w:br/>
        <w:t>\left|</w:t>
      </w:r>
      <w:r>
        <w:br/>
        <w:t>\mathcal{A}(\mathcal{D}^{\prime})</w:t>
      </w:r>
    </w:p>
    <w:p w:rsidR="00E172C5" w:rsidRDefault="00E172C5" w:rsidP="00E172C5">
      <w:pPr>
        <w:pStyle w:val="berschrift2"/>
      </w:pPr>
      <w:r>
        <w:t>\mathcal{A}(\mathcal{D})</w:t>
      </w:r>
      <w:r>
        <w:br/>
        <w:t>\right|</w:t>
      </w:r>
      <w:r>
        <w:br/>
        <w:t>\leq</w:t>
      </w:r>
      <w:r>
        <w:br/>
        <w:t>\left(</w:t>
      </w:r>
      <w:r>
        <w:br/>
        <w:t>\prod_{i=1}^{n}</w:t>
      </w:r>
      <w:r>
        <w:br/>
        <w:t>L_i</w:t>
      </w:r>
      <w:r>
        <w:br/>
        <w:t>\right)</w:t>
      </w:r>
      <w:r>
        <w:br/>
        <w:t>\left|</w:t>
      </w:r>
      <w:r>
        <w:br/>
        <w:t>\mathcal{D}^{\prime}</w:t>
      </w:r>
    </w:p>
    <w:p w:rsidR="00E172C5" w:rsidRDefault="00E172C5" w:rsidP="00E172C5">
      <w:pPr>
        <w:pStyle w:val="StandardWeb"/>
      </w:pPr>
      <w:r>
        <w:t>\mathcal{D}</w:t>
      </w:r>
      <w:r>
        <w:br/>
        <w:t>\right|.</w:t>
      </w:r>
      <w:r>
        <w:br/>
        <w:t>\tag{3.5417}</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\left\|\mathcal{A}(\mathcal{D}^{\prime})-\mathcal{A}(\mathcal{D})\right\|\leq\left(\prod_{i=1}^{n}L_i\right)\left\|\mathcal{D}^{\prime}-\mathcal{D}\right\|\qquad\text{(3.5417)}</w:t>
      </w:r>
    </w:p>
    <w:p w:rsidR="00E172C5" w:rsidRDefault="00E172C5" w:rsidP="00E172C5">
      <w:pPr>
        <w:pStyle w:val="berschrift3"/>
      </w:pPr>
      <w:r>
        <w:t>Beweis</w:t>
      </w:r>
    </w:p>
    <w:p w:rsidR="00E172C5" w:rsidRDefault="00E172C5" w:rsidP="00E172C5">
      <w:pPr>
        <w:pStyle w:val="StandardWeb"/>
      </w:pPr>
      <w:r>
        <w:t>Für die erste Abbildung gilt</w:t>
      </w:r>
    </w:p>
    <w:p w:rsidR="00E172C5" w:rsidRDefault="00E172C5" w:rsidP="00E172C5">
      <w:pPr>
        <w:pStyle w:val="berschrift2"/>
      </w:pPr>
      <w:r>
        <w:lastRenderedPageBreak/>
        <w:t>[</w:t>
      </w:r>
      <w:r>
        <w:br/>
        <w:t>\left|</w:t>
      </w:r>
      <w:r>
        <w:br/>
        <w:t>\mathcal{A}_1(\mathcal{D}^{\prime})</w:t>
      </w:r>
    </w:p>
    <w:p w:rsidR="00E172C5" w:rsidRDefault="00E172C5" w:rsidP="00E172C5">
      <w:pPr>
        <w:pStyle w:val="berschrift2"/>
      </w:pPr>
      <w:r>
        <w:t>\mathcal{A}_1(\mathcal{D})</w:t>
      </w:r>
      <w:r>
        <w:br/>
        <w:t>\right|</w:t>
      </w:r>
      <w:r>
        <w:br/>
        <w:t>\leq</w:t>
      </w:r>
      <w:r>
        <w:br/>
        <w:t>L_1</w:t>
      </w:r>
      <w:r>
        <w:br/>
        <w:t>\left|</w:t>
      </w:r>
      <w:r>
        <w:br/>
        <w:t>\mathcal{D}^{\prime}</w:t>
      </w:r>
    </w:p>
    <w:p w:rsidR="00E172C5" w:rsidRDefault="00E172C5" w:rsidP="00E172C5">
      <w:pPr>
        <w:pStyle w:val="StandardWeb"/>
      </w:pPr>
      <w:r>
        <w:t>\mathcal{D}</w:t>
      </w:r>
      <w:r>
        <w:br/>
        <w:t>\right|.</w:t>
      </w:r>
      <w:r>
        <w:br/>
        <w:t>\tag{3.5418}</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\left\|\mathcal{A}_1(\mathcal{D}^{\prime})-\mathcal{A}_1(\mathcal{D})\right\|\leq L_1\left\|\mathcal{D}^{\prime}-\mathcal{D}\right\|\qquad\text{(3.5418)}</w:t>
      </w:r>
    </w:p>
    <w:p w:rsidR="00E172C5" w:rsidRDefault="00E172C5" w:rsidP="00E172C5">
      <w:pPr>
        <w:pStyle w:val="StandardWeb"/>
      </w:pPr>
      <w:r>
        <w:t>Für die zweite Abbildung folgt</w:t>
      </w:r>
    </w:p>
    <w:p w:rsidR="00E172C5" w:rsidRDefault="00E172C5" w:rsidP="00E172C5">
      <w:pPr>
        <w:pStyle w:val="berschrift2"/>
      </w:pPr>
      <w:r>
        <w:t>[</w:t>
      </w:r>
      <w:r>
        <w:br/>
        <w:t>\left|</w:t>
      </w:r>
      <w:r>
        <w:br/>
        <w:t>\mathcal{A}_2</w:t>
      </w:r>
      <w:r>
        <w:br/>
        <w:t>\left(</w:t>
      </w:r>
      <w:r>
        <w:br/>
        <w:t>\mathcal{A}_1(\mathcal{D}^{\prime})</w:t>
      </w:r>
      <w:r>
        <w:br/>
        <w:t>\right)</w:t>
      </w:r>
    </w:p>
    <w:p w:rsidR="00E172C5" w:rsidRDefault="00E172C5" w:rsidP="00E172C5">
      <w:pPr>
        <w:pStyle w:val="berschrift2"/>
      </w:pPr>
      <w:r>
        <w:t>\mathcal{A}_2</w:t>
      </w:r>
      <w:r>
        <w:br/>
        <w:t>\left(</w:t>
      </w:r>
      <w:r>
        <w:br/>
        <w:t>\mathcal{A}_1(\mathcal{D})</w:t>
      </w:r>
      <w:r>
        <w:br/>
        <w:t>\right)</w:t>
      </w:r>
      <w:r>
        <w:br/>
        <w:t>\right|</w:t>
      </w:r>
      <w:r>
        <w:br/>
        <w:t>\leq</w:t>
      </w:r>
      <w:r>
        <w:br/>
        <w:t>L_2</w:t>
      </w:r>
      <w:r>
        <w:br/>
        <w:t>L_1</w:t>
      </w:r>
      <w:r>
        <w:br/>
      </w:r>
      <w:r>
        <w:lastRenderedPageBreak/>
        <w:t>\left|</w:t>
      </w:r>
      <w:r>
        <w:br/>
        <w:t>\mathcal{D}^{\prime}</w:t>
      </w:r>
    </w:p>
    <w:p w:rsidR="00E172C5" w:rsidRDefault="00E172C5" w:rsidP="00E172C5">
      <w:pPr>
        <w:pStyle w:val="StandardWeb"/>
      </w:pPr>
      <w:r>
        <w:t>\mathcal{D}</w:t>
      </w:r>
      <w:r>
        <w:br/>
        <w:t>\right|.</w:t>
      </w:r>
      <w:r>
        <w:br/>
        <w:t>\tag{3.5419}</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\left\|\mathcal{A}_2\left(\mathcal{A}_1(\mathcal{D}^{\prime})\right)-\mathcal{A}_2\left(\mathcal{A}_1(\mathcal{D})\right)\right\|\leq L_2L_1\left\|\mathcal{D}^{\prime}-\mathcal{D}\right\|\qquad\text{(3.5419)}</w:t>
      </w:r>
    </w:p>
    <w:p w:rsidR="00E172C5" w:rsidRDefault="00E172C5" w:rsidP="00E172C5">
      <w:pPr>
        <w:pStyle w:val="StandardWeb"/>
      </w:pPr>
      <w:r>
        <w:t>Durch wiederholte Anwendung der jeweiligen Lipschitz-Bedingung ergibt sich nach (n) Abbildungen</w:t>
      </w:r>
    </w:p>
    <w:p w:rsidR="00E172C5" w:rsidRDefault="00E172C5" w:rsidP="00E172C5">
      <w:pPr>
        <w:pStyle w:val="berschrift2"/>
      </w:pPr>
      <w:r>
        <w:t>[</w:t>
      </w:r>
      <w:r>
        <w:br/>
        <w:t>\left|</w:t>
      </w:r>
      <w:r>
        <w:br/>
        <w:t>\mathcal{A}(\mathcal{D}^{\prime})</w:t>
      </w:r>
    </w:p>
    <w:p w:rsidR="00E172C5" w:rsidRDefault="00E172C5" w:rsidP="00E172C5">
      <w:pPr>
        <w:pStyle w:val="berschrift2"/>
      </w:pPr>
      <w:r>
        <w:t>\mathcal{A}(\mathcal{D})</w:t>
      </w:r>
      <w:r>
        <w:br/>
        <w:t>\right|</w:t>
      </w:r>
      <w:r>
        <w:br/>
        <w:t>\leq</w:t>
      </w:r>
      <w:r>
        <w:br/>
        <w:t>L_n</w:t>
      </w:r>
      <w:r>
        <w:br/>
        <w:t>\cdots</w:t>
      </w:r>
      <w:r>
        <w:br/>
        <w:t>L_2</w:t>
      </w:r>
      <w:r>
        <w:br/>
        <w:t>L_1</w:t>
      </w:r>
      <w:r>
        <w:br/>
        <w:t>\left|</w:t>
      </w:r>
      <w:r>
        <w:br/>
        <w:t>\mathcal{D}^{\prime}</w:t>
      </w:r>
    </w:p>
    <w:p w:rsidR="00E172C5" w:rsidRDefault="00E172C5" w:rsidP="00E172C5">
      <w:pPr>
        <w:pStyle w:val="StandardWeb"/>
      </w:pPr>
      <w:r>
        <w:t>\mathcal{D}</w:t>
      </w:r>
      <w:r>
        <w:br/>
        <w:t>\right|.</w:t>
      </w:r>
      <w:r>
        <w:br/>
        <w:t>\tag{3.5420}</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\left\|\mathcal{A}(\mathcal{D}^{\prime})-\mathcal{A}(\mathcal{D})\right\|\leq L_n\cdots L_2L_1\left\|\mathcal{D}^{\prime}-\mathcal{D}\right\|\qquad\text{(3.5420)}</w:t>
      </w:r>
    </w:p>
    <w:p w:rsidR="00E172C5" w:rsidRDefault="00E172C5" w:rsidP="00E172C5">
      <w:pPr>
        <w:pStyle w:val="StandardWeb"/>
      </w:pPr>
      <w:r>
        <w:t>Damit ist die zusammengesetzte FRZK-Auswertung Lipschitz-stetig. (\square)</w:t>
      </w:r>
    </w:p>
    <w:p w:rsidR="00E172C5" w:rsidRPr="00AF32B2" w:rsidRDefault="00E172C5" w:rsidP="00AF32B2">
      <w:pPr>
        <w:pStyle w:val="berschrift4"/>
      </w:pPr>
      <w:r w:rsidRPr="00AF32B2">
        <w:lastRenderedPageBreak/>
        <w:t>3.3.29.28 Bedeutung der Gesamtstabilitätskonstante</w:t>
      </w:r>
    </w:p>
    <w:p w:rsidR="00E172C5" w:rsidRDefault="00E172C5" w:rsidP="00E172C5">
      <w:pPr>
        <w:pStyle w:val="StandardWeb"/>
      </w:pPr>
      <w:r>
        <w:t>Für die Gesamtstabilitätskonstante gilt</w:t>
      </w:r>
    </w:p>
    <w:p w:rsidR="00E172C5" w:rsidRDefault="00E172C5" w:rsidP="00E172C5">
      <w:pPr>
        <w:pStyle w:val="berschrift1"/>
      </w:pPr>
      <w:r>
        <w:t>[</w:t>
      </w:r>
      <w:r>
        <w:br/>
        <w:t>L_{\mathrm{ges}}</w:t>
      </w:r>
    </w:p>
    <w:p w:rsidR="00E172C5" w:rsidRDefault="00E172C5" w:rsidP="00E172C5">
      <w:pPr>
        <w:pStyle w:val="StandardWeb"/>
      </w:pPr>
      <w:r>
        <w:t>\prod_{i=1}^{n}</w:t>
      </w:r>
      <w:r>
        <w:br/>
        <w:t>L_i.</w:t>
      </w:r>
      <w:r>
        <w:br/>
        <w:t>\tag{3.5421}</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L_{\mathrm{ges}}=\prod_{i=1}^{n}L_i\qquad\text{(3.5421)}</w:t>
      </w:r>
    </w:p>
    <w:p w:rsidR="00E172C5" w:rsidRDefault="00E172C5" w:rsidP="00E172C5">
      <w:pPr>
        <w:pStyle w:val="StandardWeb"/>
      </w:pPr>
      <w:r>
        <w:t>Falls alle Einzelkonstanten kleiner als eins sind,</w:t>
      </w:r>
    </w:p>
    <w:p w:rsidR="00E172C5" w:rsidRDefault="00E172C5" w:rsidP="00E172C5">
      <w:pPr>
        <w:pStyle w:val="StandardWeb"/>
      </w:pPr>
      <w:r>
        <w:t>[</w:t>
      </w:r>
      <w:r>
        <w:br/>
        <w:t>L_i</w:t>
      </w:r>
      <w:r>
        <w:br/>
        <w:t>&lt;</w:t>
      </w:r>
      <w:r>
        <w:br/>
        <w:t>1</w:t>
      </w:r>
      <w:r>
        <w:br/>
        <w:t>\quad</w:t>
      </w:r>
      <w:r>
        <w:br/>
        <w:t>\forall i,</w:t>
      </w:r>
      <w:r>
        <w:br/>
        <w:t>\tag{3.5422}</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L_i&lt;1\quad\forall i\qquad\text{(3.5422)}</w:t>
      </w:r>
    </w:p>
    <w:p w:rsidR="00E172C5" w:rsidRDefault="00E172C5" w:rsidP="00E172C5">
      <w:pPr>
        <w:pStyle w:val="StandardWeb"/>
      </w:pPr>
      <w:r>
        <w:t>werden Störungen entlang der Auswertungskette gedämpft.</w:t>
      </w:r>
    </w:p>
    <w:p w:rsidR="00E172C5" w:rsidRDefault="00E172C5" w:rsidP="00E172C5">
      <w:pPr>
        <w:pStyle w:val="StandardWeb"/>
      </w:pPr>
      <w:r>
        <w:t>Gilt für mehrere Stufen</w:t>
      </w:r>
    </w:p>
    <w:p w:rsidR="00E172C5" w:rsidRDefault="00E172C5" w:rsidP="00E172C5">
      <w:pPr>
        <w:pStyle w:val="StandardWeb"/>
      </w:pPr>
      <w:r>
        <w:t>[</w:t>
      </w:r>
      <w:r>
        <w:br/>
        <w:t>L_i</w:t>
      </w:r>
    </w:p>
    <w:p w:rsidR="00E172C5" w:rsidRDefault="00E172C5" w:rsidP="00E172C5">
      <w:pPr>
        <w:pStyle w:val="StandardWeb"/>
      </w:pPr>
      <w:r>
        <w:t>1,</w:t>
      </w:r>
      <w:r>
        <w:br/>
        <w:t>\tag{3.5423}</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L_i&gt;1\qquad\text{(3.5423)}</w:t>
      </w:r>
    </w:p>
    <w:p w:rsidR="00E172C5" w:rsidRDefault="00E172C5" w:rsidP="00E172C5">
      <w:pPr>
        <w:pStyle w:val="StandardWeb"/>
      </w:pPr>
      <w:r>
        <w:t>können Störungen verstärkt werden.</w:t>
      </w:r>
    </w:p>
    <w:p w:rsidR="00E172C5" w:rsidRDefault="00E172C5" w:rsidP="00E172C5">
      <w:pPr>
        <w:pStyle w:val="StandardWeb"/>
      </w:pPr>
      <w:r>
        <w:t>Eine einzelne stark instabile Stufe kann die Stabilität der gesamten Kette dominieren.</w:t>
      </w:r>
    </w:p>
    <w:p w:rsidR="00E172C5" w:rsidRPr="00AF32B2" w:rsidRDefault="00E172C5" w:rsidP="00AF32B2">
      <w:pPr>
        <w:pStyle w:val="berschrift4"/>
      </w:pPr>
      <w:r w:rsidRPr="00AF32B2">
        <w:lastRenderedPageBreak/>
        <w:t>3.3.29.29 Reichweite des Stabilitätssatzes</w:t>
      </w:r>
    </w:p>
    <w:p w:rsidR="00E172C5" w:rsidRDefault="00E172C5" w:rsidP="00E172C5">
      <w:pPr>
        <w:pStyle w:val="StandardWeb"/>
      </w:pPr>
      <w:r>
        <w:t>Satz 3.3.11 setzt voraus, dass die beteiligten Abbildungen auf den betrachteten Bereichen Lipschitz-stetig sind. Diese Voraussetzung gilt nicht automatisch für:</w:t>
      </w:r>
    </w:p>
    <w:p w:rsidR="00E172C5" w:rsidRDefault="00E172C5" w:rsidP="00632D23">
      <w:pPr>
        <w:pStyle w:val="StandardWeb"/>
        <w:numPr>
          <w:ilvl w:val="0"/>
          <w:numId w:val="173"/>
        </w:numPr>
      </w:pPr>
      <w:r>
        <w:t>harte Schwellenwertentscheidungen,</w:t>
      </w:r>
    </w:p>
    <w:p w:rsidR="00E172C5" w:rsidRDefault="00E172C5" w:rsidP="00632D23">
      <w:pPr>
        <w:pStyle w:val="StandardWeb"/>
        <w:numPr>
          <w:ilvl w:val="0"/>
          <w:numId w:val="173"/>
        </w:numPr>
      </w:pPr>
      <w:r>
        <w:t>diskrete Klassenzuweisungen,</w:t>
      </w:r>
    </w:p>
    <w:p w:rsidR="00E172C5" w:rsidRDefault="00E172C5" w:rsidP="00632D23">
      <w:pPr>
        <w:pStyle w:val="StandardWeb"/>
        <w:numPr>
          <w:ilvl w:val="0"/>
          <w:numId w:val="173"/>
        </w:numPr>
      </w:pPr>
      <w:r>
        <w:t>Änderungen der Graphstruktur,</w:t>
      </w:r>
    </w:p>
    <w:p w:rsidR="00E172C5" w:rsidRDefault="00E172C5" w:rsidP="00632D23">
      <w:pPr>
        <w:pStyle w:val="StandardWeb"/>
        <w:numPr>
          <w:ilvl w:val="0"/>
          <w:numId w:val="173"/>
        </w:numPr>
      </w:pPr>
      <w:r>
        <w:t>nicht stetige Optimierungsverfahren,</w:t>
      </w:r>
    </w:p>
    <w:p w:rsidR="00E172C5" w:rsidRDefault="00E172C5" w:rsidP="00632D23">
      <w:pPr>
        <w:pStyle w:val="StandardWeb"/>
        <w:numPr>
          <w:ilvl w:val="0"/>
          <w:numId w:val="173"/>
        </w:numPr>
      </w:pPr>
      <w:r>
        <w:t>Modellwechsel an Entscheidungsgrenzen.</w:t>
      </w:r>
    </w:p>
    <w:p w:rsidR="00E172C5" w:rsidRDefault="00E172C5" w:rsidP="00E172C5">
      <w:pPr>
        <w:pStyle w:val="StandardWeb"/>
      </w:pPr>
      <w:r>
        <w:t>Bei einer Schwellenwertfunktion</w:t>
      </w:r>
    </w:p>
    <w:p w:rsidR="00E172C5" w:rsidRDefault="00E172C5" w:rsidP="00E172C5">
      <w:pPr>
        <w:pStyle w:val="berschrift1"/>
      </w:pPr>
      <w:r>
        <w:t>[</w:t>
      </w:r>
      <w:r>
        <w:br/>
        <w:t>H_{\tau}(z)</w:t>
      </w:r>
    </w:p>
    <w:p w:rsidR="00E172C5" w:rsidRDefault="00E172C5" w:rsidP="00E172C5">
      <w:pPr>
        <w:pStyle w:val="StandardWeb"/>
      </w:pPr>
      <w:r>
        <w:t>\begin{cases}</w:t>
      </w:r>
      <w:r>
        <w:br/>
        <w:t>0,&amp;z&lt;\tau,\</w:t>
      </w:r>
      <w:r>
        <w:br/>
        <w:t>1,&amp;z\geq\tau</w:t>
      </w:r>
      <w:r>
        <w:br/>
        <w:t>\end{cases}</w:t>
      </w:r>
      <w:r>
        <w:br/>
        <w:t>\tag{3.5424}</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H_{\tau}(z)=\begin{cases}0,&amp;z&lt;\tau,\\1,&amp;z\geq\tau\end{cases}\qquad\text{(3.5424)}</w:t>
      </w:r>
    </w:p>
    <w:p w:rsidR="00E172C5" w:rsidRDefault="00E172C5" w:rsidP="00E172C5">
      <w:pPr>
        <w:pStyle w:val="StandardWeb"/>
      </w:pPr>
      <w:r>
        <w:t>kann eine beliebig kleine Änderung in der Nähe von (\tau) einen Sprung im Ergebnis erzeugen.</w:t>
      </w:r>
    </w:p>
    <w:p w:rsidR="00E172C5" w:rsidRDefault="00E172C5" w:rsidP="00E172C5">
      <w:pPr>
        <w:pStyle w:val="StandardWeb"/>
      </w:pPr>
      <w:r>
        <w:t>Daher muss die Distanz zur Entscheidungsgrenze gesondert geprüft werden.</w:t>
      </w:r>
    </w:p>
    <w:p w:rsidR="00E172C5" w:rsidRPr="00AF32B2" w:rsidRDefault="00E172C5" w:rsidP="00AF32B2">
      <w:pPr>
        <w:pStyle w:val="berschrift4"/>
      </w:pPr>
      <w:r w:rsidRPr="00AF32B2">
        <w:t>3.3.29.30 Stabilität unter wiederholter Transformation</w:t>
      </w:r>
    </w:p>
    <w:p w:rsidR="00E172C5" w:rsidRDefault="00E172C5" w:rsidP="00E172C5">
      <w:pPr>
        <w:pStyle w:val="StandardWeb"/>
      </w:pPr>
      <w:r>
        <w:t>Für eine wiederholt angewendete Transformation (T) gilt</w:t>
      </w:r>
    </w:p>
    <w:p w:rsidR="00E172C5" w:rsidRDefault="00E172C5" w:rsidP="00E172C5">
      <w:pPr>
        <w:pStyle w:val="berschrift1"/>
      </w:pPr>
      <w:r>
        <w:t>[</w:t>
      </w:r>
      <w:r>
        <w:br/>
        <w:t>\delta_n</w:t>
      </w:r>
    </w:p>
    <w:p w:rsidR="00E172C5" w:rsidRDefault="00E172C5" w:rsidP="00E172C5">
      <w:pPr>
        <w:pStyle w:val="StandardWeb"/>
      </w:pPr>
      <w:r>
        <w:t>T^{n}(\delta_0).</w:t>
      </w:r>
      <w:r>
        <w:br/>
        <w:t>\tag{3.5425}</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\delta_n=T^{n}(\delta_0)\qquad\text{(3.5425)}</w:t>
      </w:r>
    </w:p>
    <w:p w:rsidR="00E172C5" w:rsidRDefault="00E172C5" w:rsidP="00E172C5">
      <w:pPr>
        <w:pStyle w:val="StandardWeb"/>
      </w:pPr>
      <w:r>
        <w:lastRenderedPageBreak/>
        <w:t>Für zwei nahe Anfangszustände (\delta_0) und (\delta_0^{\prime}) ergibt sich</w:t>
      </w:r>
    </w:p>
    <w:p w:rsidR="00E172C5" w:rsidRDefault="00E172C5" w:rsidP="00E172C5">
      <w:pPr>
        <w:pStyle w:val="berschrift1"/>
      </w:pPr>
      <w:r>
        <w:t>[</w:t>
      </w:r>
      <w:r>
        <w:br/>
        <w:t>\delta_n^{\prime}</w:t>
      </w:r>
    </w:p>
    <w:p w:rsidR="00E172C5" w:rsidRDefault="00E172C5" w:rsidP="00E172C5">
      <w:pPr>
        <w:pStyle w:val="StandardWeb"/>
      </w:pPr>
      <w:r>
        <w:t>T^{n}(\delta_0^{\prime}).</w:t>
      </w:r>
      <w:r>
        <w:br/>
        <w:t>\tag{3.5426}</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\delta_n^{\prime}=T^{n}(\delta_0^{\prime})\qquad\text{(3.5426)}</w:t>
      </w:r>
    </w:p>
    <w:p w:rsidR="00E172C5" w:rsidRDefault="00E172C5" w:rsidP="00E172C5">
      <w:pPr>
        <w:pStyle w:val="StandardWeb"/>
      </w:pPr>
      <w:r>
        <w:t>Ist (T) Lipschitz-stetig mit Konstante (L_T), gilt</w:t>
      </w:r>
    </w:p>
    <w:p w:rsidR="00E172C5" w:rsidRDefault="00E172C5" w:rsidP="00E172C5">
      <w:pPr>
        <w:pStyle w:val="berschrift2"/>
      </w:pPr>
      <w:r>
        <w:t>[</w:t>
      </w:r>
      <w:r>
        <w:br/>
        <w:t>\left|</w:t>
      </w:r>
      <w:r>
        <w:br/>
        <w:t>\delta_n^{\prime}</w:t>
      </w:r>
    </w:p>
    <w:p w:rsidR="00E172C5" w:rsidRDefault="00E172C5" w:rsidP="00E172C5">
      <w:pPr>
        <w:pStyle w:val="berschrift2"/>
      </w:pPr>
      <w:r>
        <w:t>\delta_n</w:t>
      </w:r>
      <w:r>
        <w:br/>
        <w:t>\right|</w:t>
      </w:r>
      <w:r>
        <w:br/>
        <w:t>\leq</w:t>
      </w:r>
      <w:r>
        <w:br/>
        <w:t>L_T^{n}</w:t>
      </w:r>
      <w:r>
        <w:br/>
        <w:t>\left|</w:t>
      </w:r>
      <w:r>
        <w:br/>
        <w:t>\delta_0^{\prime}</w:t>
      </w:r>
    </w:p>
    <w:p w:rsidR="00E172C5" w:rsidRDefault="00E172C5" w:rsidP="00E172C5">
      <w:pPr>
        <w:pStyle w:val="StandardWeb"/>
      </w:pPr>
      <w:r>
        <w:t>\delta_0</w:t>
      </w:r>
      <w:r>
        <w:br/>
        <w:t>\right|.</w:t>
      </w:r>
      <w:r>
        <w:br/>
        <w:t>\tag{3.5427}</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\left\|\delta_n^{\prime}-\delta_n\right\|\leq L_T^{n}\left\|\delta_0^{\prime}-\delta_0\right\|\qquad\text{(3.5427)}</w:t>
      </w:r>
    </w:p>
    <w:p w:rsidR="00E172C5" w:rsidRDefault="00E172C5" w:rsidP="00E172C5">
      <w:pPr>
        <w:pStyle w:val="StandardWeb"/>
      </w:pPr>
      <w:r>
        <w:t>Für</w:t>
      </w:r>
    </w:p>
    <w:p w:rsidR="00E172C5" w:rsidRDefault="00E172C5" w:rsidP="00E172C5">
      <w:pPr>
        <w:pStyle w:val="StandardWeb"/>
      </w:pPr>
      <w:r>
        <w:t>[</w:t>
      </w:r>
      <w:r>
        <w:br/>
        <w:t>L_T</w:t>
      </w:r>
      <w:r>
        <w:br/>
        <w:t>&lt;</w:t>
      </w:r>
      <w:r>
        <w:br/>
        <w:t>1</w:t>
      </w:r>
      <w:r>
        <w:br/>
        <w:t>\tag{3.5428}</w:t>
      </w:r>
      <w:r>
        <w:br/>
        <w:t>]</w:t>
      </w:r>
    </w:p>
    <w:p w:rsidR="00E172C5" w:rsidRDefault="00E172C5" w:rsidP="00E172C5">
      <w:pPr>
        <w:pStyle w:val="StandardWeb"/>
      </w:pPr>
      <w:r>
        <w:rPr>
          <w:rStyle w:val="Fett"/>
        </w:rPr>
        <w:lastRenderedPageBreak/>
        <w:t>Word-LaTeX</w:t>
      </w:r>
    </w:p>
    <w:p w:rsidR="00E172C5" w:rsidRDefault="00E172C5" w:rsidP="00E172C5">
      <w:pPr>
        <w:pStyle w:val="HTMLVorformatiert"/>
        <w:rPr>
          <w:rStyle w:val="HTMLCode"/>
        </w:rPr>
      </w:pPr>
      <w:r>
        <w:rPr>
          <w:rStyle w:val="HTMLCode"/>
        </w:rPr>
        <w:t>L_T&lt;1\qquad\text{(3.5428)}</w:t>
      </w:r>
    </w:p>
    <w:p w:rsidR="00E172C5" w:rsidRDefault="00E172C5" w:rsidP="00E172C5">
      <w:pPr>
        <w:pStyle w:val="StandardWeb"/>
      </w:pPr>
      <w:r>
        <w:t>werden Anfangsstörungen gedämpft.</w:t>
      </w:r>
    </w:p>
    <w:p w:rsidR="00E172C5" w:rsidRDefault="00E172C5" w:rsidP="00E172C5">
      <w:pPr>
        <w:pStyle w:val="StandardWeb"/>
      </w:pPr>
      <w:r>
        <w:t>Für</w:t>
      </w:r>
    </w:p>
    <w:p w:rsidR="00E172C5" w:rsidRDefault="00E172C5" w:rsidP="00E172C5">
      <w:pPr>
        <w:pStyle w:val="StandardWeb"/>
      </w:pPr>
      <w:r>
        <w:t>[</w:t>
      </w:r>
      <w:r>
        <w:br/>
        <w:t>L_T</w:t>
      </w:r>
    </w:p>
    <w:p w:rsidR="00E172C5" w:rsidRDefault="00E172C5" w:rsidP="00E172C5">
      <w:pPr>
        <w:pStyle w:val="StandardWeb"/>
      </w:pPr>
      <w:r>
        <w:t>1</w:t>
      </w:r>
      <w:r>
        <w:br/>
        <w:t>\tag{3.5429}</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L_T&gt;1\qquad\text{(3.5429)}</w:t>
      </w:r>
    </w:p>
    <w:p w:rsidR="00E172C5" w:rsidRDefault="00E172C5" w:rsidP="00E172C5">
      <w:pPr>
        <w:pStyle w:val="StandardWeb"/>
      </w:pPr>
      <w:r>
        <w:t>können sie exponentiell anwachsen.</w:t>
      </w:r>
    </w:p>
    <w:p w:rsidR="00E172C5" w:rsidRDefault="00E172C5" w:rsidP="00E172C5">
      <w:pPr>
        <w:pStyle w:val="StandardWeb"/>
      </w:pPr>
      <w:r>
        <w:t>Diese dynamische Stabilität betrifft die Entwicklung von Zuständen und ist von der statistischen Stabilität einer Parameterschätzung zu unterscheiden.</w:t>
      </w:r>
    </w:p>
    <w:p w:rsidR="00E172C5" w:rsidRPr="00AF32B2" w:rsidRDefault="00E172C5" w:rsidP="00AF32B2">
      <w:pPr>
        <w:pStyle w:val="berschrift4"/>
      </w:pPr>
      <w:r w:rsidRPr="00AF32B2">
        <w:t>3.3.29.31 Robuste Aussageebenen</w:t>
      </w:r>
    </w:p>
    <w:p w:rsidR="00E172C5" w:rsidRDefault="00E172C5" w:rsidP="00E172C5">
      <w:pPr>
        <w:pStyle w:val="StandardWeb"/>
      </w:pPr>
      <w:r>
        <w:t>Die Robustheit einer Aussage hängt von ihrer Geltungsebene ab.</w:t>
      </w:r>
    </w:p>
    <w:p w:rsidR="00E172C5" w:rsidRDefault="00E172C5" w:rsidP="00E172C5">
      <w:pPr>
        <w:pStyle w:val="StandardWeb"/>
      </w:pPr>
      <w:r>
        <w:t>Eine axiomatische Aussage wird durch empirische Datenstörungen nicht unmittelbar verändert:</w:t>
      </w:r>
    </w:p>
    <w:p w:rsidR="00E172C5" w:rsidRDefault="00E172C5" w:rsidP="00E172C5">
      <w:pPr>
        <w:pStyle w:val="StandardWeb"/>
      </w:pPr>
      <w:r>
        <w:t>[</w:t>
      </w:r>
      <w:r>
        <w:br/>
        <w:t>\Delta\mathcal{D}</w:t>
      </w:r>
      <w:r>
        <w:br/>
        <w:t>\nRightarrow</w:t>
      </w:r>
      <w:r>
        <w:br/>
        <w:t>\Delta\mathcal{A}_{\mathrm{prim}}.</w:t>
      </w:r>
      <w:r>
        <w:br/>
        <w:t>\tag{3.5430}</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\Delta\mathcal{D}\nRightarrow\Delta\mathcal{A}_{\mathrm{prim}}\qquad\text{(3.5430)}</w:t>
      </w:r>
    </w:p>
    <w:p w:rsidR="00E172C5" w:rsidRDefault="00E172C5" w:rsidP="00E172C5">
      <w:pPr>
        <w:pStyle w:val="StandardWeb"/>
      </w:pPr>
      <w:r>
        <w:t>Eine instanzbezogene Aussage kann dagegen empfindlich reagieren:</w:t>
      </w:r>
    </w:p>
    <w:p w:rsidR="00E172C5" w:rsidRDefault="00E172C5" w:rsidP="00E172C5">
      <w:pPr>
        <w:pStyle w:val="StandardWeb"/>
      </w:pPr>
      <w:r>
        <w:t>[</w:t>
      </w:r>
      <w:r>
        <w:br/>
        <w:t>\Delta\mathcal{D}</w:t>
      </w:r>
      <w:r>
        <w:br/>
        <w:t>\Rightarrow</w:t>
      </w:r>
      <w:r>
        <w:br/>
        <w:t>\Delta</w:t>
      </w:r>
      <w:r>
        <w:br/>
        <w:t>P</w:t>
      </w:r>
      <w:r>
        <w:br/>
        <w:t>\left(</w:t>
      </w:r>
      <w:r>
        <w:br/>
        <w:t>\mathcal{M}_{\alpha}</w:t>
      </w:r>
      <w:r>
        <w:br/>
      </w:r>
      <w:r>
        <w:lastRenderedPageBreak/>
        <w:t>\right).</w:t>
      </w:r>
      <w:r>
        <w:br/>
        <w:t>\tag{3.5431}</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\Delta\mathcal{D}\Rightarrow\Delta P\left(\mathcal{M}_{\alpha}\right)\qquad\text{(3.5431)}</w:t>
      </w:r>
    </w:p>
    <w:p w:rsidR="00E172C5" w:rsidRDefault="00E172C5" w:rsidP="00E172C5">
      <w:pPr>
        <w:pStyle w:val="StandardWeb"/>
      </w:pPr>
      <w:r>
        <w:t>Eine klasseninvariante Aussage bleibt erhalten, solange die gestörte Modellinstanz innerhalb derselben Modellklasse liegt und die Klassenbedingungen weiterhin erfüllt sind.</w:t>
      </w:r>
    </w:p>
    <w:p w:rsidR="00E172C5" w:rsidRPr="00AF32B2" w:rsidRDefault="00E172C5" w:rsidP="00AF32B2">
      <w:pPr>
        <w:pStyle w:val="berschrift4"/>
      </w:pPr>
      <w:r w:rsidRPr="00AF32B2">
        <w:t>3.3.29.32 Repository-Dokumentation der Stabilitätsprüfung</w:t>
      </w:r>
    </w:p>
    <w:p w:rsidR="00E172C5" w:rsidRDefault="00E172C5" w:rsidP="00E172C5">
      <w:pPr>
        <w:pStyle w:val="StandardWeb"/>
      </w:pPr>
      <w:r>
        <w:t>Eine Stabilitätsabhängigkeit kann schematisch gespeichert werden als</w:t>
      </w:r>
    </w:p>
    <w:p w:rsidR="00E172C5" w:rsidRDefault="00E172C5" w:rsidP="00E172C5">
      <w:pPr>
        <w:pStyle w:val="StandardWeb"/>
      </w:pPr>
      <w:r>
        <w:t>[</w:t>
      </w:r>
      <w:r>
        <w:br/>
        <w:t>\operatorname{StabDep}</w:t>
      </w:r>
      <w:r>
        <w:br/>
        <w:t>\left(</w:t>
      </w:r>
      <w:r>
        <w:br/>
        <w:t>P,</w:t>
      </w:r>
      <w:r>
        <w:br/>
        <w:t>\Delta,</w:t>
      </w:r>
      <w:r>
        <w:br/>
        <w:t>\Delta_{F},</w:t>
      </w:r>
      <w:r>
        <w:br/>
        <w:t>\operatorname{Klasse}_{\mathrm{stab}}</w:t>
      </w:r>
      <w:r>
        <w:br/>
        <w:t>\right).</w:t>
      </w:r>
      <w:r>
        <w:br/>
        <w:t>\tag{3.5432}</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\operatorname{StabDep}\left(P,\Delta,\Delta_{F},\operatorname{Klasse}_{\mathrm{stab}}\right)\qquad\text{(3.5432)}</w:t>
      </w:r>
    </w:p>
    <w:p w:rsidR="00E172C5" w:rsidRDefault="00E172C5" w:rsidP="00E172C5">
      <w:pPr>
        <w:pStyle w:val="StandardWeb"/>
      </w:pPr>
      <w:r>
        <w:t>Für Parameterschätzungen lautet ein Repository-Eintrag beispielsweise</w:t>
      </w:r>
    </w:p>
    <w:p w:rsidR="00E172C5" w:rsidRDefault="00E172C5" w:rsidP="00E172C5">
      <w:pPr>
        <w:pStyle w:val="StandardWeb"/>
      </w:pPr>
      <w:r>
        <w:t>[</w:t>
      </w:r>
      <w:r>
        <w:br/>
        <w:t>\operatorname{ParamStab}</w:t>
      </w:r>
      <w:r>
        <w:br/>
        <w:t>\left(</w:t>
      </w:r>
      <w:r>
        <w:br/>
        <w:t>\widehat{\theta},</w:t>
      </w:r>
      <w:r>
        <w:br/>
        <w:t>\Delta\mathcal{D},</w:t>
      </w:r>
      <w:r>
        <w:br/>
        <w:t>C_{\theta}</w:t>
      </w:r>
      <w:r>
        <w:br/>
        <w:t>\right).</w:t>
      </w:r>
      <w:r>
        <w:br/>
        <w:t>\tag{3.5433}</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\operatorname{ParamStab}\left(\widehat{\theta},\Delta\mathcal{D},C_{\theta}\right)\qquad\text{(3.5433)}</w:t>
      </w:r>
    </w:p>
    <w:p w:rsidR="00E172C5" w:rsidRDefault="00E172C5" w:rsidP="00E172C5">
      <w:pPr>
        <w:pStyle w:val="StandardWeb"/>
      </w:pPr>
      <w:r>
        <w:t>Für Vorhersagen kann gespeichert werden</w:t>
      </w:r>
    </w:p>
    <w:p w:rsidR="00E172C5" w:rsidRDefault="00E172C5" w:rsidP="00E172C5">
      <w:pPr>
        <w:pStyle w:val="StandardWeb"/>
      </w:pPr>
      <w:r>
        <w:lastRenderedPageBreak/>
        <w:t>[</w:t>
      </w:r>
      <w:r>
        <w:br/>
        <w:t>\operatorname{PredStab}</w:t>
      </w:r>
      <w:r>
        <w:br/>
        <w:t>\left(</w:t>
      </w:r>
      <w:r>
        <w:br/>
        <w:t>\widehat{y},</w:t>
      </w:r>
      <w:r>
        <w:br/>
        <w:t>\Delta\widehat{\theta},</w:t>
      </w:r>
      <w:r>
        <w:br/>
        <w:t>C_{P}</w:t>
      </w:r>
      <w:r>
        <w:br/>
        <w:t>\right).</w:t>
      </w:r>
      <w:r>
        <w:br/>
        <w:t>\tag{3.5434}</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\operatorname{PredStab}\left(\widehat{y},\Delta\widehat{\theta},C_{P}\right)\qquad\text{(3.5434)}</w:t>
      </w:r>
    </w:p>
    <w:p w:rsidR="00E172C5" w:rsidRDefault="00E172C5" w:rsidP="00E172C5">
      <w:pPr>
        <w:pStyle w:val="StandardWeb"/>
      </w:pPr>
      <w:r>
        <w:t>Zusätzlich müssen dokumentiert werden:</w:t>
      </w:r>
    </w:p>
    <w:p w:rsidR="00E172C5" w:rsidRDefault="00E172C5" w:rsidP="00632D23">
      <w:pPr>
        <w:pStyle w:val="StandardWeb"/>
        <w:numPr>
          <w:ilvl w:val="0"/>
          <w:numId w:val="174"/>
        </w:numPr>
      </w:pPr>
      <w:r>
        <w:t>Art und Größe der Störung,</w:t>
      </w:r>
    </w:p>
    <w:p w:rsidR="00E172C5" w:rsidRDefault="00E172C5" w:rsidP="00632D23">
      <w:pPr>
        <w:pStyle w:val="StandardWeb"/>
        <w:numPr>
          <w:ilvl w:val="0"/>
          <w:numId w:val="174"/>
        </w:numPr>
      </w:pPr>
      <w:r>
        <w:t>verwendete Norm oder Metrik,</w:t>
      </w:r>
    </w:p>
    <w:p w:rsidR="00E172C5" w:rsidRDefault="00E172C5" w:rsidP="00632D23">
      <w:pPr>
        <w:pStyle w:val="StandardWeb"/>
        <w:numPr>
          <w:ilvl w:val="0"/>
          <w:numId w:val="174"/>
        </w:numPr>
      </w:pPr>
      <w:r>
        <w:t>betrachtete Ergebnisgröße,</w:t>
      </w:r>
    </w:p>
    <w:p w:rsidR="00E172C5" w:rsidRDefault="00E172C5" w:rsidP="00632D23">
      <w:pPr>
        <w:pStyle w:val="StandardWeb"/>
        <w:numPr>
          <w:ilvl w:val="0"/>
          <w:numId w:val="174"/>
        </w:numPr>
      </w:pPr>
      <w:r>
        <w:t>zulässiger Toleranzbereich,</w:t>
      </w:r>
    </w:p>
    <w:p w:rsidR="00E172C5" w:rsidRDefault="00E172C5" w:rsidP="00632D23">
      <w:pPr>
        <w:pStyle w:val="StandardWeb"/>
        <w:numPr>
          <w:ilvl w:val="0"/>
          <w:numId w:val="174"/>
        </w:numPr>
      </w:pPr>
      <w:r>
        <w:t>Stabilitäts- oder Robustheitsklasse,</w:t>
      </w:r>
    </w:p>
    <w:p w:rsidR="00E172C5" w:rsidRDefault="00E172C5" w:rsidP="00632D23">
      <w:pPr>
        <w:pStyle w:val="StandardWeb"/>
        <w:numPr>
          <w:ilvl w:val="0"/>
          <w:numId w:val="174"/>
        </w:numPr>
      </w:pPr>
      <w:r>
        <w:t>verwendete Stichproben- oder Resamplingmethode,</w:t>
      </w:r>
    </w:p>
    <w:p w:rsidR="00E172C5" w:rsidRDefault="00E172C5" w:rsidP="00632D23">
      <w:pPr>
        <w:pStyle w:val="StandardWeb"/>
        <w:numPr>
          <w:ilvl w:val="0"/>
          <w:numId w:val="174"/>
        </w:numPr>
      </w:pPr>
      <w:r>
        <w:t>mögliche Regularisierung,</w:t>
      </w:r>
    </w:p>
    <w:p w:rsidR="00E172C5" w:rsidRDefault="00E172C5" w:rsidP="00632D23">
      <w:pPr>
        <w:pStyle w:val="StandardWeb"/>
        <w:numPr>
          <w:ilvl w:val="0"/>
          <w:numId w:val="174"/>
        </w:numPr>
      </w:pPr>
      <w:r>
        <w:t>Grenzen der Stabilitätsaussage.</w:t>
      </w:r>
    </w:p>
    <w:p w:rsidR="00E172C5" w:rsidRDefault="00E172C5" w:rsidP="00E172C5">
      <w:pPr>
        <w:pStyle w:val="StandardWeb"/>
      </w:pPr>
      <w:r>
        <w:rPr>
          <w:rStyle w:val="Fett"/>
        </w:rPr>
        <w:t>Eigenleistung des FRZK</w:t>
      </w:r>
    </w:p>
    <w:p w:rsidR="00E172C5" w:rsidRDefault="00E172C5" w:rsidP="00E172C5">
      <w:pPr>
        <w:pStyle w:val="StandardWeb"/>
      </w:pPr>
      <w:r>
        <w:t>Ich verbinde jede Stabilitätsaussage mit der konkret geprüften Störungsart. Dadurch wird verhindert, dass eine gegenüber Messrauschen robuste Aussage irrtümlich auch als robust gegenüber Modellwechseln, Operationalisierungsänderungen oder Strukturstörungen bezeichnet wird.</w:t>
      </w:r>
    </w:p>
    <w:p w:rsidR="00E172C5" w:rsidRPr="00AF32B2" w:rsidRDefault="00E172C5" w:rsidP="00AF32B2">
      <w:pPr>
        <w:pStyle w:val="berschrift4"/>
      </w:pPr>
      <w:r w:rsidRPr="00AF32B2">
        <w:t>3.3.29.33 Ergebnis der Stabilitäts- und Robustheitsprüfung</w:t>
      </w:r>
    </w:p>
    <w:p w:rsidR="00E172C5" w:rsidRDefault="00E172C5" w:rsidP="00E172C5">
      <w:pPr>
        <w:pStyle w:val="StandardWeb"/>
      </w:pPr>
      <w:r>
        <w:t>Die Prüfung zeigt, dass Identifizierbarkeit, Stabilität und Robustheit unterschiedliche wissenschaftliche Eigenschaften darstellen.</w:t>
      </w:r>
    </w:p>
    <w:p w:rsidR="00E172C5" w:rsidRDefault="00E172C5" w:rsidP="00E172C5">
      <w:pPr>
        <w:pStyle w:val="StandardWeb"/>
      </w:pPr>
      <w:r>
        <w:t>Ein FRZK-Ergebnis kann:</w:t>
      </w:r>
    </w:p>
    <w:p w:rsidR="00E172C5" w:rsidRDefault="00E172C5" w:rsidP="00632D23">
      <w:pPr>
        <w:pStyle w:val="StandardWeb"/>
        <w:numPr>
          <w:ilvl w:val="0"/>
          <w:numId w:val="175"/>
        </w:numPr>
      </w:pPr>
      <w:r>
        <w:t>eindeutig identifizierbar, aber numerisch instabil,</w:t>
      </w:r>
    </w:p>
    <w:p w:rsidR="00E172C5" w:rsidRDefault="00E172C5" w:rsidP="00632D23">
      <w:pPr>
        <w:pStyle w:val="StandardWeb"/>
        <w:numPr>
          <w:ilvl w:val="0"/>
          <w:numId w:val="175"/>
        </w:numPr>
      </w:pPr>
      <w:r>
        <w:t>parameterinstabil, aber vorhersagestabil,</w:t>
      </w:r>
    </w:p>
    <w:p w:rsidR="00E172C5" w:rsidRDefault="00E172C5" w:rsidP="00632D23">
      <w:pPr>
        <w:pStyle w:val="StandardWeb"/>
        <w:numPr>
          <w:ilvl w:val="0"/>
          <w:numId w:val="175"/>
        </w:numPr>
      </w:pPr>
      <w:r>
        <w:t>gegenüber Messrauschen robust, aber operationalisierungsempfindlich,</w:t>
      </w:r>
    </w:p>
    <w:p w:rsidR="00E172C5" w:rsidRDefault="00E172C5" w:rsidP="00632D23">
      <w:pPr>
        <w:pStyle w:val="StandardWeb"/>
        <w:numPr>
          <w:ilvl w:val="0"/>
          <w:numId w:val="175"/>
        </w:numPr>
      </w:pPr>
      <w:r>
        <w:t>numerisch stabil, aber entscheidungsinstabil,</w:t>
      </w:r>
    </w:p>
    <w:p w:rsidR="00E172C5" w:rsidRDefault="00E172C5" w:rsidP="00632D23">
      <w:pPr>
        <w:pStyle w:val="StandardWeb"/>
        <w:numPr>
          <w:ilvl w:val="0"/>
          <w:numId w:val="175"/>
        </w:numPr>
      </w:pPr>
      <w:r>
        <w:t>durch Regularisierung stabilisiert, aber stärker annahmenabhängig</w:t>
      </w:r>
    </w:p>
    <w:p w:rsidR="00E172C5" w:rsidRDefault="00E172C5" w:rsidP="00E172C5">
      <w:pPr>
        <w:pStyle w:val="StandardWeb"/>
      </w:pPr>
      <w:r>
        <w:t>sein.</w:t>
      </w:r>
    </w:p>
    <w:p w:rsidR="00E172C5" w:rsidRDefault="00E172C5" w:rsidP="00E172C5">
      <w:pPr>
        <w:pStyle w:val="StandardWeb"/>
      </w:pPr>
      <w:r>
        <w:t>Besonders zu beachten ist:</w:t>
      </w:r>
    </w:p>
    <w:p w:rsidR="00E172C5" w:rsidRDefault="00E172C5" w:rsidP="00632D23">
      <w:pPr>
        <w:pStyle w:val="StandardWeb"/>
        <w:numPr>
          <w:ilvl w:val="0"/>
          <w:numId w:val="176"/>
        </w:numPr>
      </w:pPr>
      <w:r>
        <w:t>Kleine Datenstörungen können sich über mehrere Verarbeitungsschritte verstärken.</w:t>
      </w:r>
    </w:p>
    <w:p w:rsidR="00E172C5" w:rsidRDefault="00E172C5" w:rsidP="00632D23">
      <w:pPr>
        <w:pStyle w:val="StandardWeb"/>
        <w:numPr>
          <w:ilvl w:val="0"/>
          <w:numId w:val="176"/>
        </w:numPr>
      </w:pPr>
      <w:r>
        <w:lastRenderedPageBreak/>
        <w:t>Die Stabilität der Gesamtanalyse hängt von sämtlichen Teilabbildungen ab.</w:t>
      </w:r>
    </w:p>
    <w:p w:rsidR="00E172C5" w:rsidRDefault="00E172C5" w:rsidP="00632D23">
      <w:pPr>
        <w:pStyle w:val="StandardWeb"/>
        <w:numPr>
          <w:ilvl w:val="0"/>
          <w:numId w:val="176"/>
        </w:numPr>
      </w:pPr>
      <w:r>
        <w:t>Harte Schwellenwerte können auch bei kleinen numerischen Änderungen instabile Entscheidungen erzeugen.</w:t>
      </w:r>
    </w:p>
    <w:p w:rsidR="00E172C5" w:rsidRDefault="00E172C5" w:rsidP="00632D23">
      <w:pPr>
        <w:pStyle w:val="StandardWeb"/>
        <w:numPr>
          <w:ilvl w:val="0"/>
          <w:numId w:val="176"/>
        </w:numPr>
      </w:pPr>
      <w:r>
        <w:t>Graphische Erreichbarkeit und funktionale Ordnung können bereits durch einzelne Kantenänderungen beeinflusst werden.</w:t>
      </w:r>
    </w:p>
    <w:p w:rsidR="00E172C5" w:rsidRDefault="00E172C5" w:rsidP="00632D23">
      <w:pPr>
        <w:pStyle w:val="StandardWeb"/>
        <w:numPr>
          <w:ilvl w:val="0"/>
          <w:numId w:val="176"/>
        </w:numPr>
      </w:pPr>
      <w:r>
        <w:t>Regularisierung kann Stabilität erhöhen, ohne die empirische Identifizierbarkeit zu verbessern.</w:t>
      </w:r>
    </w:p>
    <w:p w:rsidR="00E172C5" w:rsidRDefault="00E172C5" w:rsidP="00632D23">
      <w:pPr>
        <w:pStyle w:val="StandardWeb"/>
        <w:numPr>
          <w:ilvl w:val="0"/>
          <w:numId w:val="176"/>
        </w:numPr>
      </w:pPr>
      <w:r>
        <w:t>Stabilität muss immer relativ zu einer festgelegten Störungsmenge, einem Abweichungsmaß und einem Toleranzbereich angegeben werden [58, 59, 71, 75].</w:t>
      </w:r>
    </w:p>
    <w:p w:rsidR="00E172C5" w:rsidRDefault="00E172C5" w:rsidP="00E172C5">
      <w:pPr>
        <w:pStyle w:val="StandardWeb"/>
      </w:pPr>
      <w:r>
        <w:rPr>
          <w:rStyle w:val="Fett"/>
        </w:rPr>
        <w:t>Eigenleistung des FRZK</w:t>
      </w:r>
    </w:p>
    <w:p w:rsidR="00E172C5" w:rsidRDefault="00E172C5" w:rsidP="00E172C5">
      <w:pPr>
        <w:pStyle w:val="StandardWeb"/>
      </w:pPr>
      <w:r>
        <w:t>Mit Definition 3.3.21 und Satz 3.3.11 steht ein formales Verfahren zur Verfügung, mit dem sich die Fortpflanzung von Störungen durch die vollständige FRZK-Auswertungskette untersuchen lässt. Dadurch kann ich nicht nur feststellen, ob ein Ergebnis stabil ist, sondern auch, an welcher Stelle eine mögliche Instabilität entsteht.</w:t>
      </w:r>
    </w:p>
    <w:p w:rsidR="00E172C5" w:rsidRPr="00AF32B2" w:rsidRDefault="00E172C5" w:rsidP="00AF32B2">
      <w:pPr>
        <w:pStyle w:val="berschrift4"/>
      </w:pPr>
      <w:r w:rsidRPr="00AF32B2">
        <w:t>3.3.29.34 Übergang zur Prüfung der Unsicherheitsfortpflanzung</w:t>
      </w:r>
    </w:p>
    <w:p w:rsidR="00E172C5" w:rsidRDefault="00E172C5" w:rsidP="00E172C5">
      <w:pPr>
        <w:pStyle w:val="StandardWeb"/>
      </w:pPr>
      <w:r>
        <w:t>Die Stabilitätsprüfung untersucht, wie stark ein Ergebnis auf eine bestimmte Störung reagiert. Davon zu unterscheiden ist die quantitative Frage, wie sich bekannte oder geschätzte Unsicherheiten durch die Modellkette fortpflanzen.</w:t>
      </w:r>
    </w:p>
    <w:p w:rsidR="00E172C5" w:rsidRDefault="00E172C5" w:rsidP="00E172C5">
      <w:pPr>
        <w:pStyle w:val="StandardWeb"/>
      </w:pPr>
      <w:r>
        <w:t>Sei ein unsicherer Eingangsvektor gegeben durch</w:t>
      </w:r>
    </w:p>
    <w:p w:rsidR="00E172C5" w:rsidRDefault="00E172C5" w:rsidP="00E172C5">
      <w:pPr>
        <w:pStyle w:val="StandardWeb"/>
      </w:pPr>
      <w:r>
        <w:t>[</w:t>
      </w:r>
      <w:r>
        <w:br/>
        <w:t>X</w:t>
      </w:r>
      <w:r>
        <w:br/>
        <w:t>\sim</w:t>
      </w:r>
      <w:r>
        <w:br/>
        <w:t>\mathcal{P}_{X}.</w:t>
      </w:r>
      <w:r>
        <w:br/>
        <w:t>\tag{3.5435}</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X\sim\mathcal{P}_{X}\qquad\text{(3.5435)}</w:t>
      </w:r>
    </w:p>
    <w:p w:rsidR="00E172C5" w:rsidRDefault="00E172C5" w:rsidP="00E172C5">
      <w:pPr>
        <w:pStyle w:val="StandardWeb"/>
      </w:pPr>
      <w:r>
        <w:t>Eine Modellabbildung</w:t>
      </w:r>
    </w:p>
    <w:p w:rsidR="00E172C5" w:rsidRDefault="00E172C5" w:rsidP="00E172C5">
      <w:pPr>
        <w:pStyle w:val="berschrift1"/>
      </w:pPr>
      <w:r>
        <w:t>[</w:t>
      </w:r>
      <w:r>
        <w:br/>
        <w:t>Y</w:t>
      </w:r>
    </w:p>
    <w:p w:rsidR="00E172C5" w:rsidRDefault="00E172C5" w:rsidP="00E172C5">
      <w:pPr>
        <w:pStyle w:val="StandardWeb"/>
      </w:pPr>
      <w:r>
        <w:t>f(X)</w:t>
      </w:r>
      <w:r>
        <w:br/>
        <w:t>\tag{3.5436}</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Y=f(X)\qquad\text{(3.5436)}</w:t>
      </w:r>
    </w:p>
    <w:p w:rsidR="00E172C5" w:rsidRDefault="00E172C5" w:rsidP="00E172C5">
      <w:pPr>
        <w:pStyle w:val="StandardWeb"/>
      </w:pPr>
      <w:r>
        <w:t>überträgt die Eingangsunsicherheit auf den Zielraum.</w:t>
      </w:r>
    </w:p>
    <w:p w:rsidR="00E172C5" w:rsidRDefault="00E172C5" w:rsidP="00E172C5">
      <w:pPr>
        <w:pStyle w:val="StandardWeb"/>
      </w:pPr>
      <w:r>
        <w:lastRenderedPageBreak/>
        <w:t>Für eine differenzierbare Abbildung kann die Kovarianz näherungsweise fortgepflanzt werden durch</w:t>
      </w:r>
    </w:p>
    <w:p w:rsidR="00E172C5" w:rsidRDefault="00E172C5" w:rsidP="00E172C5">
      <w:pPr>
        <w:pStyle w:val="StandardWeb"/>
      </w:pPr>
      <w:r>
        <w:t>[</w:t>
      </w:r>
      <w:r>
        <w:br/>
        <w:t>\Sigma_Y</w:t>
      </w:r>
      <w:r>
        <w:br/>
        <w:t>\approx</w:t>
      </w:r>
      <w:r>
        <w:br/>
        <w:t>J_f</w:t>
      </w:r>
      <w:r>
        <w:br/>
        <w:t>\Sigma_X</w:t>
      </w:r>
      <w:r>
        <w:br/>
        <w:t>J_f^{\mathsf{T}}.</w:t>
      </w:r>
      <w:r>
        <w:br/>
        <w:t>\tag{3.5437}</w:t>
      </w:r>
      <w:r>
        <w:br/>
        <w:t>]</w:t>
      </w:r>
    </w:p>
    <w:p w:rsidR="00E172C5" w:rsidRDefault="00E172C5" w:rsidP="00E172C5">
      <w:pPr>
        <w:pStyle w:val="StandardWeb"/>
      </w:pPr>
      <w:r>
        <w:rPr>
          <w:rStyle w:val="Fett"/>
        </w:rPr>
        <w:t>Word-LaTeX</w:t>
      </w:r>
    </w:p>
    <w:p w:rsidR="00E172C5" w:rsidRDefault="00E172C5" w:rsidP="00E172C5">
      <w:pPr>
        <w:pStyle w:val="HTMLVorformatiert"/>
        <w:rPr>
          <w:rStyle w:val="HTMLCode"/>
        </w:rPr>
      </w:pPr>
      <w:r>
        <w:rPr>
          <w:rStyle w:val="HTMLCode"/>
        </w:rPr>
        <w:t>\Sigma_Y\approx J_f\Sigma_XJ_f^{\mathsf{T}}\qquad\text{(3.5437)}</w:t>
      </w:r>
    </w:p>
    <w:p w:rsidR="00E172C5" w:rsidRDefault="00E172C5" w:rsidP="00E172C5">
      <w:pPr>
        <w:pStyle w:val="StandardWeb"/>
      </w:pPr>
      <w:r>
        <w:t>Dabei bezeichnet (J_f) die Jacobi-Matrix der Abbildung.</w:t>
      </w:r>
    </w:p>
    <w:p w:rsidR="00E172C5" w:rsidRDefault="00E172C5" w:rsidP="00E172C5">
      <w:pPr>
        <w:pStyle w:val="StandardWeb"/>
      </w:pPr>
      <w:r>
        <w:rPr>
          <w:rStyle w:val="Fett"/>
        </w:rPr>
        <w:t>Eigenleistung des FRZK</w:t>
      </w:r>
    </w:p>
    <w:p w:rsidR="00E172C5" w:rsidRDefault="00E172C5" w:rsidP="00E172C5">
      <w:pPr>
        <w:pStyle w:val="StandardWeb"/>
      </w:pPr>
      <w:r>
        <w:t>Der folgende Abschnitt untersucht die formale Unsicherheitsfortpflanzung von Messwerten über Operationalisierung, Parameterschätzung und Modellvorhersage bis zur wissenschaftlichen Entscheidung.</w:t>
      </w:r>
    </w:p>
    <w:p w:rsidR="00133E8D" w:rsidRDefault="00133E8D" w:rsidP="00133E8D">
      <w:pPr>
        <w:pStyle w:val="berschrift2"/>
      </w:pPr>
      <w:r>
        <w:t>Ergänzung zu 3.3.29 – Prüfung der Stabilität und Robustheit</w:t>
      </w:r>
    </w:p>
    <w:p w:rsidR="00133E8D" w:rsidRDefault="00133E8D" w:rsidP="00133E8D">
      <w:pPr>
        <w:pStyle w:val="berschrift3"/>
      </w:pPr>
      <w:r>
        <w:t>Methodologische Betrachtungen</w:t>
      </w:r>
    </w:p>
    <w:p w:rsidR="00133E8D" w:rsidRDefault="00133E8D" w:rsidP="00133E8D">
      <w:pPr>
        <w:pStyle w:val="StandardWeb"/>
      </w:pPr>
      <w:r>
        <w:t>Identifizierbarkeit beantwortet die Frage, ob ein Modellparameter oder eine Struktur grundsätzlich eindeutig bestimmt werden kann. Sie beantwortet noch nicht, ob kleine Änderungen von Daten, Parametern, Operationalisierungen oder Modellannahmen nur kleine Änderungen der Ergebnisse erzeugen. Diese zweite Frage ist Gegenstand von Abschnitt 3.3.29. Der vollständige V2-Stand trennt Daten-, Parameter-, Vorhersage-, Operationalisierungs-, Modell-, Graph-, Zeit-, Kohärenz-, Entscheidungs- und Schlussfolgerungsstabilität und führt Satz 3.3.11 zur Stabilitätsfortpflanzung ein.</w:t>
      </w:r>
      <w:r>
        <w:br/>
        <w:t xml:space="preserve">Methodologisch sind zunächst </w:t>
      </w:r>
      <w:r>
        <w:rPr>
          <w:rStyle w:val="Fett"/>
        </w:rPr>
        <w:t>Stabilität, Robustheit und Wahrheit</w:t>
      </w:r>
      <w:r>
        <w:t xml:space="preserve"> zu trennen. Ein Modell kann sehr stabil sein und trotzdem empirisch falsch. Umgekehrt kann ein empirisch sinnvoller Zusammenhang empfindlich gegenüber bestimmten Eingaben sein.</w:t>
      </w:r>
    </w:p>
    <w:p w:rsidR="00133E8D" w:rsidRDefault="00133E8D" w:rsidP="00133E8D">
      <w:pPr>
        <w:pStyle w:val="StandardWeb"/>
      </w:pPr>
      <w:r>
        <w:t>Eine zentrale Form der Stabilitätsprüfung ist die Lipschitz-Abschätzung. Für eine Abbildung (\mathcal{A}) wird untersucht, ob eine Konstante (L) existiert, sodass Änderungen des Eingangs kontrolliert auf die Ausgabe übertragen werden.</w:t>
      </w:r>
    </w:p>
    <w:p w:rsidR="00133E8D" w:rsidRDefault="00133E8D" w:rsidP="00133E8D">
      <w:pPr>
        <w:pStyle w:val="StandardWeb"/>
      </w:pPr>
      <w:r>
        <w:t>Für eine Kette mehrerer Lipschitz-stetiger FRZK-Abbildungen ergibt Satz 3.3.11 die Abschätzung</w:t>
      </w:r>
    </w:p>
    <w:p w:rsidR="00133E8D" w:rsidRDefault="00133E8D" w:rsidP="00133E8D">
      <w:pPr>
        <w:pStyle w:val="berschrift2"/>
      </w:pPr>
      <w:r>
        <w:t>[</w:t>
      </w:r>
      <w:r>
        <w:br/>
        <w:t>\left|</w:t>
      </w:r>
      <w:r>
        <w:br/>
        <w:t>\mathcal{A}</w:t>
      </w:r>
      <w:r>
        <w:br/>
      </w:r>
      <w:r>
        <w:lastRenderedPageBreak/>
        <w:t>\left(</w:t>
      </w:r>
      <w:r>
        <w:br/>
        <w:t>\mathcal{D}^{\prime}</w:t>
      </w:r>
      <w:r>
        <w:br/>
        <w:t>\right)</w:t>
      </w:r>
    </w:p>
    <w:p w:rsidR="00133E8D" w:rsidRDefault="00133E8D" w:rsidP="00133E8D">
      <w:pPr>
        <w:pStyle w:val="berschrift2"/>
      </w:pPr>
      <w:r>
        <w:t>\mathcal{A}</w:t>
      </w:r>
      <w:r>
        <w:br/>
        <w:t>\left(</w:t>
      </w:r>
      <w:r>
        <w:br/>
        <w:t>\mathcal{D}</w:t>
      </w:r>
      <w:r>
        <w:br/>
        <w:t>\right)</w:t>
      </w:r>
      <w:r>
        <w:br/>
        <w:t>\right|</w:t>
      </w:r>
      <w:r>
        <w:br/>
        <w:t>\leq</w:t>
      </w:r>
      <w:r>
        <w:br/>
        <w:t>L_n</w:t>
      </w:r>
      <w:r>
        <w:br/>
        <w:t>\cdots</w:t>
      </w:r>
      <w:r>
        <w:br/>
        <w:t>L_2</w:t>
      </w:r>
      <w:r>
        <w:br/>
        <w:t>L_1</w:t>
      </w:r>
      <w:r>
        <w:br/>
        <w:t>\left|</w:t>
      </w:r>
      <w:r>
        <w:br/>
        <w:t>\mathcal{D}^{\prime}</w:t>
      </w:r>
    </w:p>
    <w:p w:rsidR="00133E8D" w:rsidRDefault="00133E8D" w:rsidP="00133E8D">
      <w:pPr>
        <w:pStyle w:val="StandardWeb"/>
      </w:pPr>
      <w:r>
        <w:t>\mathcal{D}</w:t>
      </w:r>
      <w:r>
        <w:br/>
        <w:t>\right|.</w:t>
      </w:r>
      <w:r>
        <w:br/>
        <w:t>]</w:t>
      </w:r>
    </w:p>
    <w:p w:rsidR="00133E8D" w:rsidRDefault="00133E8D" w:rsidP="00133E8D">
      <w:pPr>
        <w:pStyle w:val="StandardWeb"/>
      </w:pPr>
      <w:r>
        <w:rPr>
          <w:rStyle w:val="Fett"/>
        </w:rPr>
        <w:t>Word-LaTeX</w:t>
      </w:r>
    </w:p>
    <w:p w:rsidR="00133E8D" w:rsidRDefault="00133E8D" w:rsidP="00133E8D">
      <w:pPr>
        <w:pStyle w:val="HTMLVorformatiert"/>
        <w:rPr>
          <w:rStyle w:val="HTMLCode"/>
        </w:rPr>
      </w:pPr>
      <w:r>
        <w:rPr>
          <w:rStyle w:val="HTMLCode"/>
        </w:rPr>
        <w:t>\left\|\mathcal{A}\left(\mathcal{D}^{\prime}\right)-\mathcal{A}\left(\mathcal{D}\right)\right\|\leq L_n\cdots L_2L_1\left\|\mathcal{D}^{\prime}-\mathcal{D}\right\|</w:t>
      </w:r>
    </w:p>
    <w:p w:rsidR="00133E8D" w:rsidRDefault="00133E8D" w:rsidP="00133E8D">
      <w:pPr>
        <w:pStyle w:val="StandardWeb"/>
      </w:pPr>
      <w:r>
        <w:t>Diese Abschätzung ist methodologisch besonders wichtig, weil eine FRZK-Auswertung aus mehreren Verarbeitungsschritten besteht. Selbst wenn jeder einzelne Schritt nur moderat verstärkt, können sich die Verstärkungsfaktoren über eine lange Kaskade multiplizieren.</w:t>
      </w:r>
    </w:p>
    <w:p w:rsidR="00133E8D" w:rsidRDefault="00133E8D" w:rsidP="00133E8D">
      <w:pPr>
        <w:pStyle w:val="StandardWeb"/>
      </w:pPr>
      <w:r>
        <w:t xml:space="preserve">Damit wird Stabilität zu einer Eigenschaft der </w:t>
      </w:r>
      <w:r>
        <w:rPr>
          <w:rStyle w:val="Fett"/>
        </w:rPr>
        <w:t>gesamten Auswertungskette</w:t>
      </w:r>
      <w:r>
        <w:t>, nicht nur eines einzelnen Operators.</w:t>
      </w:r>
    </w:p>
    <w:p w:rsidR="00133E8D" w:rsidRDefault="00133E8D" w:rsidP="00133E8D">
      <w:pPr>
        <w:pStyle w:val="StandardWeb"/>
      </w:pPr>
      <w:r>
        <w:t>Die Wahl der Norm muss dabei ausdrücklich angegeben werden. Eine Aussage wie „kleine Änderung“ besitzt ohne ein festgelegtes Abstands- oder Größenmaß keine eindeutige mathematische Bedeutung. Unterschiedliche Normen können dieselbe Änderung unterschiedlich gewichten.</w:t>
      </w:r>
    </w:p>
    <w:p w:rsidR="00133E8D" w:rsidRDefault="00133E8D" w:rsidP="00133E8D">
      <w:pPr>
        <w:pStyle w:val="StandardWeb"/>
      </w:pPr>
      <w:r>
        <w:t>Robustheit geht über lokale mathematische Stabilität hinaus. Sie fragt, ob die wesentlichen Ergebnisse auch unter einer ausdrücklich festgelegten Klasse zulässiger Störungen, Alternativspezifikationen oder Auswertungsentscheidungen erhalten bleiben.</w:t>
      </w:r>
    </w:p>
    <w:p w:rsidR="00133E8D" w:rsidRDefault="00133E8D" w:rsidP="00133E8D">
      <w:pPr>
        <w:pStyle w:val="StandardWeb"/>
      </w:pPr>
      <w:r>
        <w:lastRenderedPageBreak/>
        <w:t>Deshalb werden in Abschnitt 3.3.29 unter anderem Resampling-, Regularisierungs- und alternative Modellprüfungen berücksichtigt. Eine robuste Schlussfolgerung sollte nicht ausschließlich von einer einzelnen willkürlichen Datenaufbereitung oder Parametersetzung abhängen.</w:t>
      </w:r>
    </w:p>
    <w:p w:rsidR="00133E8D" w:rsidRDefault="00133E8D" w:rsidP="00133E8D">
      <w:pPr>
        <w:pStyle w:val="StandardWeb"/>
      </w:pPr>
      <w:r>
        <w:t>Gleichzeitig darf Robustheitsanalyse nicht zu einem nachträglichen Auswahlverfahren werden. Werden viele Varianten ausprobiert und anschließend nur diejenigen berichtet, die die gewünschte Aussage erhalten, ist keine unabhängige Robustheitsprüfung mehr gegeben.</w:t>
      </w:r>
    </w:p>
    <w:p w:rsidR="00133E8D" w:rsidRDefault="00133E8D" w:rsidP="00133E8D">
      <w:pPr>
        <w:pStyle w:val="StandardWeb"/>
      </w:pPr>
      <w:r>
        <w:t>Ein zentraler methodologischer Satz des Abschnitts lautet sinngemäß:</w:t>
      </w:r>
    </w:p>
    <w:p w:rsidR="00133E8D" w:rsidRDefault="00133E8D" w:rsidP="00133E8D">
      <w:pPr>
        <w:pStyle w:val="StandardWeb"/>
      </w:pPr>
      <w:r>
        <w:rPr>
          <w:rStyle w:val="Fett"/>
        </w:rPr>
        <w:t>größere Stabilität bedeutet nicht größere empirische Wahrheit.</w:t>
      </w:r>
    </w:p>
    <w:p w:rsidR="00133E8D" w:rsidRDefault="00133E8D" w:rsidP="00133E8D">
      <w:pPr>
        <w:pStyle w:val="StandardWeb"/>
      </w:pPr>
      <w:r>
        <w:t>Der Repository-Stand dokumentiert diese Grenze ausdrücklich.</w:t>
      </w:r>
    </w:p>
    <w:p w:rsidR="00133E8D" w:rsidRDefault="00133E8D" w:rsidP="00133E8D">
      <w:pPr>
        <w:pStyle w:val="StandardWeb"/>
      </w:pPr>
      <w:r>
        <w:t>Stabilität ist damit eine Qualitätsbedingung der Abbildung von Voraussetzungen auf Ergebnisse. Sie ist kein Wahrheitskriterium.</w:t>
      </w:r>
    </w:p>
    <w:p w:rsidR="00133E8D" w:rsidRDefault="00133E8D" w:rsidP="00133E8D">
      <w:pPr>
        <w:pStyle w:val="berschrift3"/>
      </w:pPr>
      <w:r>
        <w:t>Didaktische Betrachtungen</w:t>
      </w:r>
    </w:p>
    <w:p w:rsidR="00133E8D" w:rsidRDefault="00133E8D" w:rsidP="00133E8D">
      <w:pPr>
        <w:pStyle w:val="StandardWeb"/>
      </w:pPr>
      <w:r>
        <w:t>Stabilität lässt sich mit einer Küchenwaage erklären.</w:t>
      </w:r>
    </w:p>
    <w:p w:rsidR="00133E8D" w:rsidRDefault="00133E8D" w:rsidP="00133E8D">
      <w:pPr>
        <w:pStyle w:val="StandardWeb"/>
      </w:pPr>
      <w:r>
        <w:t>Lege ich einen Gegenstand zweimal auf die Waage und erhalte bei nahezu gleichen Bedingungen völlig unterschiedliche Werte, ist die Messung instabil.</w:t>
      </w:r>
    </w:p>
    <w:p w:rsidR="00133E8D" w:rsidRDefault="00133E8D" w:rsidP="00133E8D">
      <w:pPr>
        <w:pStyle w:val="StandardWeb"/>
      </w:pPr>
      <w:r>
        <w:t>Ändere ich dagegen das Gewicht des Gegenstands nur minimal und die Anzeige verändert sich ebenfalls nur minimal, verhält sich das System stabil.</w:t>
      </w:r>
    </w:p>
    <w:p w:rsidR="00133E8D" w:rsidRDefault="00133E8D" w:rsidP="00133E8D">
      <w:pPr>
        <w:pStyle w:val="StandardWeb"/>
      </w:pPr>
      <w:r>
        <w:t>Eine lange FRZK-Auswertung kann man sich wie mehrere hintereinander geschaltete Verstärker vorstellen. Jeder Verstärker vergrößert einen kleinen Fehler etwas.</w:t>
      </w:r>
    </w:p>
    <w:p w:rsidR="00133E8D" w:rsidRDefault="00133E8D" w:rsidP="00133E8D">
      <w:pPr>
        <w:pStyle w:val="StandardWeb"/>
      </w:pPr>
      <w:r>
        <w:t>Hat der erste Faktor (2), der zweite Faktor (3) und der dritte Faktor (4), kann aus einem kleinen Eingabefehler eine Gesamtverstärkung von</w:t>
      </w:r>
    </w:p>
    <w:p w:rsidR="00133E8D" w:rsidRDefault="00133E8D" w:rsidP="00133E8D">
      <w:pPr>
        <w:pStyle w:val="StandardWeb"/>
      </w:pPr>
      <w:r>
        <w:t>[</w:t>
      </w:r>
      <w:r>
        <w:br/>
        <w:t>2\cdot3\cdot4=24</w:t>
      </w:r>
      <w:r>
        <w:br/>
        <w:t>]</w:t>
      </w:r>
    </w:p>
    <w:p w:rsidR="00133E8D" w:rsidRDefault="00133E8D" w:rsidP="00133E8D">
      <w:pPr>
        <w:pStyle w:val="StandardWeb"/>
      </w:pPr>
      <w:r>
        <w:t>entstehen.</w:t>
      </w:r>
    </w:p>
    <w:p w:rsidR="00133E8D" w:rsidRDefault="00133E8D" w:rsidP="00133E8D">
      <w:pPr>
        <w:pStyle w:val="StandardWeb"/>
      </w:pPr>
      <w:r>
        <w:t>Das erklärt didaktisch, warum ein scheinbar harmloser Fehler am Beginn einer Verarbeitungskette am Ende erheblich werden kann.</w:t>
      </w:r>
    </w:p>
    <w:p w:rsidR="00133E8D" w:rsidRDefault="00133E8D" w:rsidP="00133E8D">
      <w:pPr>
        <w:pStyle w:val="StandardWeb"/>
      </w:pPr>
      <w:r>
        <w:t>Robustheit kann dagegen mit einem Fahrzeug verglichen werden. Ein Fahrzeug ist nicht deshalb robust, weil es auf einer einzigen perfekten Straße gut fährt. Es muss auch bei gewissen Unebenheiten, Wind oder Beladungsänderungen seine wesentliche Funktion erhalten.</w:t>
      </w:r>
    </w:p>
    <w:p w:rsidR="00133E8D" w:rsidRDefault="00133E8D" w:rsidP="00133E8D">
      <w:pPr>
        <w:pStyle w:val="StandardWeb"/>
      </w:pPr>
      <w:r>
        <w:t>Im FRZK lautet die entsprechende Frage:</w:t>
      </w:r>
    </w:p>
    <w:p w:rsidR="00133E8D" w:rsidRDefault="00133E8D" w:rsidP="00133E8D">
      <w:pPr>
        <w:pStyle w:val="StandardWeb"/>
      </w:pPr>
      <w:r>
        <w:rPr>
          <w:rStyle w:val="Fett"/>
        </w:rPr>
        <w:lastRenderedPageBreak/>
        <w:t>Bleibt die wissenschaftliche Schlussfolgerung auch dann erhalten, wenn ich zulässige kleine Änderungen an Daten, Parametern oder Auswertungsverfahren vornehme?</w:t>
      </w:r>
    </w:p>
    <w:p w:rsidR="00133E8D" w:rsidRDefault="00E50336" w:rsidP="00133E8D">
      <w:r>
        <w:pict>
          <v:rect id="_x0000_i1054" style="width:0;height:1.5pt" o:hralign="center" o:hrstd="t" o:hr="t" fillcolor="#a0a0a0" stroked="f"/>
        </w:pict>
      </w:r>
    </w:p>
    <w:p w:rsidR="000B0EB7" w:rsidRPr="00AF32B2" w:rsidRDefault="000B0EB7" w:rsidP="00AF32B2">
      <w:pPr>
        <w:pStyle w:val="berschrift3"/>
      </w:pPr>
      <w:r w:rsidRPr="00AF32B2">
        <w:t>3.3.30 Prüfung der Unsicherheitsfortpflanzung</w:t>
      </w:r>
    </w:p>
    <w:p w:rsidR="000B0EB7" w:rsidRDefault="000B0EB7" w:rsidP="000B0EB7">
      <w:pPr>
        <w:pStyle w:val="StandardWeb"/>
      </w:pPr>
      <w:r>
        <w:t>Die Stabilitätsprüfung in Abschnitt 3.3.29 hat untersucht, wie stark ein Ergebnis auf festgelegte Störungen reagiert. Dabei wurden Daten-, Parameter-, Vorhersage-, Operationalisierungs- und Schlussfolgerungsstabilität voneinander getrennt. Eine Stabilitätsanalyse beantwortet jedoch noch nicht vollständig, mit welcher Unsicherheit ein berechneter Zustand, ein Kohärenzwert, eine Modellvorhersage oder eine wissenschaftliche Entscheidung behaftet ist.</w:t>
      </w:r>
    </w:p>
    <w:p w:rsidR="000B0EB7" w:rsidRDefault="000B0EB7" w:rsidP="000B0EB7">
      <w:pPr>
        <w:pStyle w:val="StandardWeb"/>
      </w:pPr>
      <w:r>
        <w:t>Unsicherheit entsteht nicht ausschließlich durch Messfehler. Sie kann ebenso aus endlichen Stichproben, unvollständigen Beobachtungen, mehrdeutigen Operationalisierungen, unsicheren Modellparametern, konkurrierenden Modellstrukturen oder numerischen Näherungsverfahren hervorgehen [58, 59, 71, 75].</w:t>
      </w:r>
    </w:p>
    <w:p w:rsidR="000B0EB7" w:rsidRDefault="000B0EB7" w:rsidP="000B0EB7">
      <w:pPr>
        <w:pStyle w:val="StandardWeb"/>
      </w:pPr>
      <w:r>
        <w:t>Für das Funktionale Raum-Zeit-Kohärenzsystem muss deshalb nachvollziehbar bleiben, wie sich eine Unsicherheit von den Eingangsdaten über die vollständige Modellkette bis zu einer wissenschaftlichen Aussage fortpflanzt. Eine kleine Unsicherheit kann durch eine empfindliche Abbildung verstärkt, durch Aggregation reduziert oder durch eine diskrete Entscheidung in einen abrupten Klassenwechsel überführt werden.</w:t>
      </w:r>
    </w:p>
    <w:p w:rsidR="000B0EB7" w:rsidRDefault="000B0EB7" w:rsidP="000B0EB7">
      <w:pPr>
        <w:pStyle w:val="StandardWeb"/>
      </w:pPr>
      <w:r>
        <w:t>Ich unterscheide fünf Unsicherheitsquellen:</w:t>
      </w:r>
    </w:p>
    <w:p w:rsidR="000B0EB7" w:rsidRDefault="000B0EB7" w:rsidP="00632D23">
      <w:pPr>
        <w:pStyle w:val="StandardWeb"/>
        <w:numPr>
          <w:ilvl w:val="0"/>
          <w:numId w:val="177"/>
        </w:numPr>
      </w:pPr>
      <w:r>
        <w:t>Messunsicherheit,</w:t>
      </w:r>
    </w:p>
    <w:p w:rsidR="000B0EB7" w:rsidRDefault="000B0EB7" w:rsidP="00632D23">
      <w:pPr>
        <w:pStyle w:val="StandardWeb"/>
        <w:numPr>
          <w:ilvl w:val="0"/>
          <w:numId w:val="177"/>
        </w:numPr>
      </w:pPr>
      <w:r>
        <w:t>Stichprobenunsicherheit,</w:t>
      </w:r>
    </w:p>
    <w:p w:rsidR="000B0EB7" w:rsidRDefault="000B0EB7" w:rsidP="00632D23">
      <w:pPr>
        <w:pStyle w:val="StandardWeb"/>
        <w:numPr>
          <w:ilvl w:val="0"/>
          <w:numId w:val="177"/>
        </w:numPr>
      </w:pPr>
      <w:r>
        <w:t>Operationalisierungsunsicherheit,</w:t>
      </w:r>
    </w:p>
    <w:p w:rsidR="000B0EB7" w:rsidRDefault="000B0EB7" w:rsidP="00632D23">
      <w:pPr>
        <w:pStyle w:val="StandardWeb"/>
        <w:numPr>
          <w:ilvl w:val="0"/>
          <w:numId w:val="177"/>
        </w:numPr>
      </w:pPr>
      <w:r>
        <w:t>Parameter- und Modellunsicherheit,</w:t>
      </w:r>
    </w:p>
    <w:p w:rsidR="000B0EB7" w:rsidRDefault="000B0EB7" w:rsidP="00632D23">
      <w:pPr>
        <w:pStyle w:val="StandardWeb"/>
        <w:numPr>
          <w:ilvl w:val="0"/>
          <w:numId w:val="177"/>
        </w:numPr>
      </w:pPr>
      <w:r>
        <w:t>numerische Unsicherheit.</w:t>
      </w:r>
    </w:p>
    <w:p w:rsidR="000B0EB7" w:rsidRDefault="000B0EB7" w:rsidP="000B0EB7">
      <w:pPr>
        <w:pStyle w:val="StandardWeb"/>
      </w:pPr>
      <w:r>
        <w:rPr>
          <w:rStyle w:val="Fett"/>
        </w:rPr>
        <w:t>Eigenleistung des FRZK</w:t>
      </w:r>
    </w:p>
    <w:p w:rsidR="000B0EB7" w:rsidRDefault="000B0EB7" w:rsidP="000B0EB7">
      <w:pPr>
        <w:pStyle w:val="StandardWeb"/>
      </w:pPr>
      <w:r>
        <w:t>Ich führe ein gemeinsames Unsicherheitsfortpflanzungssystem ein, das die Herkunft, Transformation und Zusammenführung unterschiedlicher Unsicherheiten dokumentiert. Dadurch kann ich für jede spätere FRZK-Aussage angeben, welche Unsicherheiten in ihr enthalten sind und durch welche Modellstufen sie verstärkt oder vermindert wurden.</w:t>
      </w:r>
    </w:p>
    <w:p w:rsidR="000B0EB7" w:rsidRPr="00AF32B2" w:rsidRDefault="000B0EB7" w:rsidP="00AF32B2">
      <w:pPr>
        <w:pStyle w:val="berschrift4"/>
      </w:pPr>
      <w:r w:rsidRPr="00AF32B2">
        <w:t>3.3.30.1 Unsichere Eingangsgröße</w:t>
      </w:r>
    </w:p>
    <w:p w:rsidR="000B0EB7" w:rsidRDefault="000B0EB7" w:rsidP="000B0EB7">
      <w:pPr>
        <w:pStyle w:val="StandardWeb"/>
      </w:pPr>
      <w:r>
        <w:t>Eine unsichere Eingangsgröße beschreibe ich durch eine Zufallsvariable</w:t>
      </w:r>
    </w:p>
    <w:p w:rsidR="000B0EB7" w:rsidRDefault="000B0EB7" w:rsidP="000B0EB7">
      <w:pPr>
        <w:pStyle w:val="StandardWeb"/>
      </w:pPr>
      <w:r>
        <w:t>[</w:t>
      </w:r>
      <w:r>
        <w:br/>
        <w:t>X</w:t>
      </w:r>
      <w:r>
        <w:br/>
        <w:t>\sim</w:t>
      </w:r>
      <w:r>
        <w:br/>
        <w:t>\mathcal{P}_{X}.</w:t>
      </w:r>
      <w:r>
        <w:br/>
        <w:t>\tag{3.5438}</w:t>
      </w:r>
      <w:r>
        <w:br/>
        <w:t>]</w:t>
      </w:r>
    </w:p>
    <w:p w:rsidR="000B0EB7" w:rsidRDefault="000B0EB7" w:rsidP="000B0EB7">
      <w:pPr>
        <w:pStyle w:val="StandardWeb"/>
      </w:pPr>
      <w:r>
        <w:rPr>
          <w:rStyle w:val="Fett"/>
        </w:rPr>
        <w:lastRenderedPageBreak/>
        <w:t>Word-LaTeX</w:t>
      </w:r>
    </w:p>
    <w:p w:rsidR="000B0EB7" w:rsidRDefault="000B0EB7" w:rsidP="000B0EB7">
      <w:pPr>
        <w:pStyle w:val="HTMLVorformatiert"/>
        <w:rPr>
          <w:rStyle w:val="HTMLCode"/>
        </w:rPr>
      </w:pPr>
      <w:r>
        <w:rPr>
          <w:rStyle w:val="HTMLCode"/>
        </w:rPr>
        <w:t>X\sim\mathcal{P}_{X}\qquad\text{(3.5438)}</w:t>
      </w:r>
    </w:p>
    <w:p w:rsidR="000B0EB7" w:rsidRDefault="000B0EB7" w:rsidP="000B0EB7">
      <w:pPr>
        <w:pStyle w:val="StandardWeb"/>
      </w:pPr>
      <w:r>
        <w:t>Dabei bezeichnet (\mathcal{P}_{X}) die Wahrscheinlichkeitsverteilung der Eingangsgröße.</w:t>
      </w:r>
    </w:p>
    <w:p w:rsidR="000B0EB7" w:rsidRDefault="000B0EB7" w:rsidP="000B0EB7">
      <w:pPr>
        <w:pStyle w:val="StandardWeb"/>
      </w:pPr>
      <w:r>
        <w:t>Der Erwartungswert lautet</w:t>
      </w:r>
    </w:p>
    <w:p w:rsidR="000B0EB7" w:rsidRDefault="000B0EB7" w:rsidP="000B0EB7">
      <w:pPr>
        <w:pStyle w:val="berschrift1"/>
      </w:pPr>
      <w:r>
        <w:t>[</w:t>
      </w:r>
      <w:r>
        <w:br/>
        <w:t>\mu_X</w:t>
      </w:r>
    </w:p>
    <w:p w:rsidR="000B0EB7" w:rsidRDefault="000B0EB7" w:rsidP="000B0EB7">
      <w:pPr>
        <w:pStyle w:val="StandardWeb"/>
      </w:pPr>
      <w:r>
        <w:t>\mathbb{E}[X].</w:t>
      </w:r>
      <w:r>
        <w:br/>
        <w:t>\tag{3.5439}</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\mu_X=\mathbb{E}[X]\qquad\text{(3.5439)}</w:t>
      </w:r>
    </w:p>
    <w:p w:rsidR="000B0EB7" w:rsidRDefault="000B0EB7" w:rsidP="000B0EB7">
      <w:pPr>
        <w:pStyle w:val="StandardWeb"/>
      </w:pPr>
      <w:r>
        <w:t>Die Varianz lautet</w:t>
      </w:r>
    </w:p>
    <w:p w:rsidR="000B0EB7" w:rsidRDefault="000B0EB7" w:rsidP="000B0EB7">
      <w:pPr>
        <w:pStyle w:val="berschrift1"/>
      </w:pPr>
      <w:r>
        <w:t>[</w:t>
      </w:r>
      <w:r>
        <w:br/>
        <w:t>\sigma_X^2</w:t>
      </w:r>
    </w:p>
    <w:p w:rsidR="000B0EB7" w:rsidRDefault="000B0EB7" w:rsidP="000B0EB7">
      <w:pPr>
        <w:pStyle w:val="StandardWeb"/>
      </w:pPr>
      <w:r>
        <w:t>\operatorname{Var}(X).</w:t>
      </w:r>
      <w:r>
        <w:br/>
        <w:t>\tag{3.5440}</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\sigma_X^2=\operatorname{Var}(X)\qquad\text{(3.5440)}</w:t>
      </w:r>
    </w:p>
    <w:p w:rsidR="000B0EB7" w:rsidRDefault="000B0EB7" w:rsidP="000B0EB7">
      <w:pPr>
        <w:pStyle w:val="StandardWeb"/>
      </w:pPr>
      <w:r>
        <w:t>Für einen mehrdimensionalen Eingangsvektor</w:t>
      </w:r>
    </w:p>
    <w:p w:rsidR="000B0EB7" w:rsidRDefault="000B0EB7" w:rsidP="000B0EB7">
      <w:pPr>
        <w:pStyle w:val="berschrift1"/>
      </w:pPr>
      <w:r>
        <w:t>[</w:t>
      </w:r>
      <w:r>
        <w:br/>
        <w:t>\mathbf{X}</w:t>
      </w:r>
    </w:p>
    <w:p w:rsidR="000B0EB7" w:rsidRDefault="000B0EB7" w:rsidP="000B0EB7">
      <w:pPr>
        <w:pStyle w:val="StandardWeb"/>
      </w:pPr>
      <w:r>
        <w:t>\left(</w:t>
      </w:r>
      <w:r>
        <w:br/>
        <w:t>X_1,\ldots,X_n</w:t>
      </w:r>
      <w:r>
        <w:br/>
        <w:t>\right)^{\mathsf{T}}</w:t>
      </w:r>
      <w:r>
        <w:br/>
        <w:t>\tag{3.5441}</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\mathbf{X}=\left(X_1,\ldots,X_n\right)^{\mathsf{T}}\qquad\text{(3.5441)}</w:t>
      </w:r>
    </w:p>
    <w:p w:rsidR="000B0EB7" w:rsidRDefault="000B0EB7" w:rsidP="000B0EB7">
      <w:pPr>
        <w:pStyle w:val="StandardWeb"/>
      </w:pPr>
      <w:r>
        <w:lastRenderedPageBreak/>
        <w:t>wird die Unsicherheit durch den Erwartungsvektor</w:t>
      </w:r>
    </w:p>
    <w:p w:rsidR="000B0EB7" w:rsidRDefault="000B0EB7" w:rsidP="000B0EB7">
      <w:pPr>
        <w:pStyle w:val="berschrift1"/>
      </w:pPr>
      <w:r>
        <w:t>[</w:t>
      </w:r>
      <w:r>
        <w:br/>
        <w:t>\boldsymbol{\mu}_{X}</w:t>
      </w:r>
    </w:p>
    <w:p w:rsidR="000B0EB7" w:rsidRDefault="000B0EB7" w:rsidP="000B0EB7">
      <w:pPr>
        <w:pStyle w:val="StandardWeb"/>
      </w:pPr>
      <w:r>
        <w:t>\mathbb{E}[\mathbf{X}]</w:t>
      </w:r>
      <w:r>
        <w:br/>
        <w:t>\tag{3.5442}</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\boldsymbol{\mu}_{X}=\mathbb{E}[\mathbf{X}]\qquad\text{(3.5442)}</w:t>
      </w:r>
    </w:p>
    <w:p w:rsidR="000B0EB7" w:rsidRDefault="000B0EB7" w:rsidP="000B0EB7">
      <w:pPr>
        <w:pStyle w:val="StandardWeb"/>
      </w:pPr>
      <w:r>
        <w:t>und die Kovarianzmatrix</w:t>
      </w:r>
    </w:p>
    <w:p w:rsidR="000B0EB7" w:rsidRDefault="000B0EB7" w:rsidP="000B0EB7">
      <w:pPr>
        <w:pStyle w:val="berschrift1"/>
      </w:pPr>
      <w:r>
        <w:t>[</w:t>
      </w:r>
      <w:r>
        <w:br/>
        <w:t>\Sigma_X</w:t>
      </w:r>
    </w:p>
    <w:p w:rsidR="000B0EB7" w:rsidRDefault="000B0EB7" w:rsidP="000B0EB7">
      <w:pPr>
        <w:pStyle w:val="StandardWeb"/>
      </w:pPr>
      <w:r>
        <w:t>\operatorname{Cov}(\mathbf{X})</w:t>
      </w:r>
      <w:r>
        <w:br/>
        <w:t>\tag{3.5443}</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\Sigma_X=\operatorname{Cov}(\mathbf{X})\qquad\text{(3.5443)}</w:t>
      </w:r>
    </w:p>
    <w:p w:rsidR="000B0EB7" w:rsidRDefault="000B0EB7" w:rsidP="000B0EB7">
      <w:pPr>
        <w:pStyle w:val="StandardWeb"/>
      </w:pPr>
      <w:r>
        <w:t>beschrieben.</w:t>
      </w:r>
    </w:p>
    <w:p w:rsidR="000B0EB7" w:rsidRPr="00AF32B2" w:rsidRDefault="000B0EB7" w:rsidP="00AF32B2">
      <w:pPr>
        <w:pStyle w:val="berschrift4"/>
      </w:pPr>
      <w:r w:rsidRPr="00AF32B2">
        <w:t>3.3.30.2 Unsichere Modellabbildung</w:t>
      </w:r>
    </w:p>
    <w:p w:rsidR="000B0EB7" w:rsidRDefault="000B0EB7" w:rsidP="000B0EB7">
      <w:pPr>
        <w:pStyle w:val="StandardWeb"/>
      </w:pPr>
      <w:r>
        <w:t>Eine Modellabbildung überführt die unsichere Eingangsgröße in eine Zielgröße:</w:t>
      </w:r>
    </w:p>
    <w:p w:rsidR="000B0EB7" w:rsidRDefault="000B0EB7" w:rsidP="000B0EB7">
      <w:pPr>
        <w:pStyle w:val="berschrift1"/>
      </w:pPr>
      <w:r>
        <w:t>[</w:t>
      </w:r>
      <w:r>
        <w:br/>
        <w:t>Y</w:t>
      </w:r>
    </w:p>
    <w:p w:rsidR="000B0EB7" w:rsidRDefault="000B0EB7" w:rsidP="000B0EB7">
      <w:pPr>
        <w:pStyle w:val="StandardWeb"/>
      </w:pPr>
      <w:r>
        <w:t>f(X).</w:t>
      </w:r>
      <w:r>
        <w:br/>
        <w:t>\tag{3.5444}</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Y=f(X)\qquad\text{(3.5444)}</w:t>
      </w:r>
    </w:p>
    <w:p w:rsidR="000B0EB7" w:rsidRDefault="000B0EB7" w:rsidP="000B0EB7">
      <w:pPr>
        <w:pStyle w:val="StandardWeb"/>
      </w:pPr>
      <w:r>
        <w:t>Für einen mehrdimensionalen Zusammenhang gilt</w:t>
      </w:r>
    </w:p>
    <w:p w:rsidR="000B0EB7" w:rsidRDefault="000B0EB7" w:rsidP="000B0EB7">
      <w:pPr>
        <w:pStyle w:val="berschrift1"/>
      </w:pPr>
      <w:r>
        <w:lastRenderedPageBreak/>
        <w:t>[</w:t>
      </w:r>
      <w:r>
        <w:br/>
        <w:t>\mathbf{Y}</w:t>
      </w:r>
    </w:p>
    <w:p w:rsidR="000B0EB7" w:rsidRDefault="000B0EB7" w:rsidP="000B0EB7">
      <w:pPr>
        <w:pStyle w:val="StandardWeb"/>
      </w:pPr>
      <w:r>
        <w:t>f(\mathbf{X}).</w:t>
      </w:r>
      <w:r>
        <w:br/>
        <w:t>\tag{3.5445}</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\mathbf{Y}=f(\mathbf{X})\qquad\text{(3.5445)}</w:t>
      </w:r>
    </w:p>
    <w:p w:rsidR="000B0EB7" w:rsidRDefault="000B0EB7" w:rsidP="000B0EB7">
      <w:pPr>
        <w:pStyle w:val="StandardWeb"/>
      </w:pPr>
      <w:r>
        <w:t>Die Verteilung der Zielgröße wird durch die Abbildung (f) aus der Eingangsverteilung erzeugt:</w:t>
      </w:r>
    </w:p>
    <w:p w:rsidR="000B0EB7" w:rsidRDefault="000B0EB7" w:rsidP="000B0EB7">
      <w:pPr>
        <w:pStyle w:val="berschrift1"/>
      </w:pPr>
      <w:r>
        <w:t>[</w:t>
      </w:r>
      <w:r>
        <w:br/>
        <w:t>\mathcal{P}_{Y}</w:t>
      </w:r>
    </w:p>
    <w:p w:rsidR="000B0EB7" w:rsidRDefault="000B0EB7" w:rsidP="000B0EB7">
      <w:pPr>
        <w:pStyle w:val="StandardWeb"/>
      </w:pPr>
      <w:r>
        <w:t>f_{#}</w:t>
      </w:r>
      <w:r>
        <w:br/>
        <w:t>\mathcal{P}_{X}.</w:t>
      </w:r>
      <w:r>
        <w:br/>
        <w:t>\tag{3.5446}</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\mathcal{P}_{Y}=f_{\#}\mathcal{P}_{X}\qquad\text{(3.5446)}</w:t>
      </w:r>
    </w:p>
    <w:p w:rsidR="000B0EB7" w:rsidRDefault="000B0EB7" w:rsidP="000B0EB7">
      <w:pPr>
        <w:pStyle w:val="StandardWeb"/>
      </w:pPr>
      <w:r>
        <w:t>Dabei bezeichnet (f_{#}\mathcal{P}</w:t>
      </w:r>
      <w:r>
        <w:rPr>
          <w:rStyle w:val="Hervorhebung"/>
        </w:rPr>
        <w:t>{X}) das Bildmaß der Verteilung (\mathcal{P}</w:t>
      </w:r>
      <w:r>
        <w:t>{X}) unter (f).</w:t>
      </w:r>
    </w:p>
    <w:p w:rsidR="000B0EB7" w:rsidRDefault="000B0EB7" w:rsidP="000B0EB7">
      <w:pPr>
        <w:pStyle w:val="StandardWeb"/>
      </w:pPr>
      <w:r>
        <w:t>Die Unsicherheit der Zielgröße hängt damit sowohl von der Eingangsverteilung als auch von der Struktur der Abbildung ab.</w:t>
      </w:r>
    </w:p>
    <w:p w:rsidR="000B0EB7" w:rsidRPr="00AF32B2" w:rsidRDefault="000B0EB7" w:rsidP="00AF32B2">
      <w:pPr>
        <w:pStyle w:val="berschrift4"/>
      </w:pPr>
      <w:r w:rsidRPr="00AF32B2">
        <w:t>3.3.30.3 Definition des FRZK-Unsicherheitssystems</w:t>
      </w:r>
    </w:p>
    <w:p w:rsidR="000B0EB7" w:rsidRDefault="000B0EB7" w:rsidP="000B0EB7">
      <w:pPr>
        <w:pStyle w:val="StandardWeb"/>
      </w:pPr>
      <w:r>
        <w:rPr>
          <w:rStyle w:val="Fett"/>
        </w:rPr>
        <w:t>Definition 3.3.22 – FRZK-Unsicherheitssystem</w:t>
      </w:r>
    </w:p>
    <w:p w:rsidR="000B0EB7" w:rsidRDefault="000B0EB7" w:rsidP="000B0EB7">
      <w:pPr>
        <w:pStyle w:val="StandardWeb"/>
      </w:pPr>
      <w:r>
        <w:t>Ein FRZK-Unsicherheitssystem ist das geordnete Tupel</w:t>
      </w:r>
    </w:p>
    <w:p w:rsidR="000B0EB7" w:rsidRDefault="000B0EB7" w:rsidP="000B0EB7">
      <w:pPr>
        <w:pStyle w:val="berschrift1"/>
      </w:pPr>
      <w:r>
        <w:t>[</w:t>
      </w:r>
      <w:r>
        <w:br/>
        <w:t>\mathfrak{U}_{F}^{\mathrm{unc}}</w:t>
      </w:r>
    </w:p>
    <w:p w:rsidR="000B0EB7" w:rsidRDefault="000B0EB7" w:rsidP="000B0EB7">
      <w:pPr>
        <w:pStyle w:val="StandardWeb"/>
      </w:pPr>
      <w:r>
        <w:t>\left(</w:t>
      </w:r>
      <w:r>
        <w:br/>
        <w:t>\mathfrak{Q}</w:t>
      </w:r>
      <w:r>
        <w:rPr>
          <w:rStyle w:val="Hervorhebung"/>
        </w:rPr>
        <w:t>{\mathrm{unc}},</w:t>
      </w:r>
      <w:r>
        <w:rPr>
          <w:i/>
          <w:iCs/>
        </w:rPr>
        <w:br/>
      </w:r>
      <w:r>
        <w:rPr>
          <w:rStyle w:val="Hervorhebung"/>
        </w:rPr>
        <w:t>\mathfrak{A}</w:t>
      </w:r>
      <w:r>
        <w:t>{F},</w:t>
      </w:r>
      <w:r>
        <w:br/>
        <w:t>\mathfrak{M}</w:t>
      </w:r>
      <w:r>
        <w:rPr>
          <w:rStyle w:val="Hervorhebung"/>
        </w:rPr>
        <w:t>{\mathrm{unc}},</w:t>
      </w:r>
      <w:r>
        <w:rPr>
          <w:i/>
          <w:iCs/>
        </w:rPr>
        <w:br/>
      </w:r>
      <w:r>
        <w:rPr>
          <w:rStyle w:val="Hervorhebung"/>
        </w:rPr>
        <w:t>\mathfrak{R}</w:t>
      </w:r>
      <w:r>
        <w:t>{\mathrm{prop}},</w:t>
      </w:r>
      <w:r>
        <w:br/>
        <w:t>\operatorname{Unc}_{F}</w:t>
      </w:r>
      <w:r>
        <w:br/>
      </w:r>
      <w:r>
        <w:lastRenderedPageBreak/>
        <w:t>\right).</w:t>
      </w:r>
      <w:r>
        <w:br/>
        <w:t>\tag{3.5447}</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\mathfrak{U}_{F}^{\mathrm{unc}}=\left(\mathfrak{Q}_{\mathrm{unc}},\mathfrak{A}_{F},\mathfrak{M}_{\mathrm{unc}},\mathfrak{R}_{\mathrm{prop}},\operatorname{Unc}_{F}\right)\qquad\text{(3.5447)}</w:t>
      </w:r>
    </w:p>
    <w:p w:rsidR="000B0EB7" w:rsidRDefault="000B0EB7" w:rsidP="000B0EB7">
      <w:pPr>
        <w:pStyle w:val="StandardWeb"/>
      </w:pPr>
      <w:r>
        <w:t>Dabei bezeichnet:</w:t>
      </w:r>
    </w:p>
    <w:p w:rsidR="000B0EB7" w:rsidRDefault="000B0EB7" w:rsidP="00632D23">
      <w:pPr>
        <w:pStyle w:val="StandardWeb"/>
        <w:numPr>
          <w:ilvl w:val="0"/>
          <w:numId w:val="178"/>
        </w:numPr>
      </w:pPr>
      <w:r>
        <w:t>(\mathfrak{Q}_{\mathrm{unc}}) die Menge der Unsicherheitsquellen,</w:t>
      </w:r>
    </w:p>
    <w:p w:rsidR="000B0EB7" w:rsidRDefault="000B0EB7" w:rsidP="00632D23">
      <w:pPr>
        <w:pStyle w:val="StandardWeb"/>
        <w:numPr>
          <w:ilvl w:val="0"/>
          <w:numId w:val="178"/>
        </w:numPr>
      </w:pPr>
      <w:r>
        <w:t>(\mathfrak{A}_{F}) die Folge der FRZK-Abbildungen,</w:t>
      </w:r>
    </w:p>
    <w:p w:rsidR="000B0EB7" w:rsidRDefault="000B0EB7" w:rsidP="00632D23">
      <w:pPr>
        <w:pStyle w:val="StandardWeb"/>
        <w:numPr>
          <w:ilvl w:val="0"/>
          <w:numId w:val="178"/>
        </w:numPr>
      </w:pPr>
      <w:r>
        <w:t>(\mathfrak{M}_{\mathrm{unc}}) die verwendeten Unsicherheitsmaße,</w:t>
      </w:r>
    </w:p>
    <w:p w:rsidR="000B0EB7" w:rsidRDefault="000B0EB7" w:rsidP="00632D23">
      <w:pPr>
        <w:pStyle w:val="StandardWeb"/>
        <w:numPr>
          <w:ilvl w:val="0"/>
          <w:numId w:val="178"/>
        </w:numPr>
      </w:pPr>
      <w:r>
        <w:t>(\mathfrak{R}_{\mathrm{prop}}) die Regeln der Unsicherheitsfortpflanzung,</w:t>
      </w:r>
    </w:p>
    <w:p w:rsidR="000B0EB7" w:rsidRDefault="000B0EB7" w:rsidP="00632D23">
      <w:pPr>
        <w:pStyle w:val="StandardWeb"/>
        <w:numPr>
          <w:ilvl w:val="0"/>
          <w:numId w:val="178"/>
        </w:numPr>
      </w:pPr>
      <w:r>
        <w:t>(\operatorname{Unc}_{F}) das Unsicherheitsprädikat oder die Unsicherheitsbewertung.</w:t>
      </w:r>
    </w:p>
    <w:p w:rsidR="000B0EB7" w:rsidRDefault="000B0EB7" w:rsidP="000B0EB7">
      <w:pPr>
        <w:pStyle w:val="StandardWeb"/>
      </w:pPr>
      <w:r>
        <w:t>Die Menge der Unsicherheitsquellen lautet</w:t>
      </w:r>
    </w:p>
    <w:p w:rsidR="000B0EB7" w:rsidRDefault="000B0EB7" w:rsidP="000B0EB7">
      <w:pPr>
        <w:pStyle w:val="berschrift1"/>
      </w:pPr>
      <w:r>
        <w:t>[</w:t>
      </w:r>
      <w:r>
        <w:br/>
        <w:t>\mathfrak{Q}_{\mathrm{unc}}</w:t>
      </w:r>
    </w:p>
    <w:p w:rsidR="000B0EB7" w:rsidRDefault="000B0EB7" w:rsidP="000B0EB7">
      <w:pPr>
        <w:pStyle w:val="StandardWeb"/>
      </w:pPr>
      <w:r>
        <w:t>\left{</w:t>
      </w:r>
      <w:r>
        <w:br/>
        <w:t>Q_{\mathrm{mess}},</w:t>
      </w:r>
      <w:r>
        <w:br/>
        <w:t>Q_{\mathrm{stich}},</w:t>
      </w:r>
      <w:r>
        <w:br/>
        <w:t>Q_{\mathrm{op}},</w:t>
      </w:r>
      <w:r>
        <w:br/>
        <w:t>Q_{\mathrm{param}},</w:t>
      </w:r>
      <w:r>
        <w:br/>
        <w:t>Q_{\mathrm{modell}},</w:t>
      </w:r>
      <w:r>
        <w:br/>
        <w:t>Q_{\mathrm{num}}</w:t>
      </w:r>
      <w:r>
        <w:br/>
        <w:t>\right}.</w:t>
      </w:r>
      <w:r>
        <w:br/>
        <w:t>\tag{3.5448}</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\mathfrak{Q}_{\mathrm{unc}}=\left\{Q_{\mathrm{mess}},Q_{\mathrm{stich}},Q_{\mathrm{op}},Q_{\mathrm{param}},Q_{\mathrm{modell}},Q_{\mathrm{num}}\right\}\qquad\text{(3.5448)}</w:t>
      </w:r>
    </w:p>
    <w:p w:rsidR="000B0EB7" w:rsidRPr="00AF32B2" w:rsidRDefault="000B0EB7" w:rsidP="00AF32B2">
      <w:pPr>
        <w:pStyle w:val="berschrift4"/>
      </w:pPr>
      <w:r w:rsidRPr="00AF32B2">
        <w:t>3.3.30.4 Lineare Unsicherheitsfortpflanzung</w:t>
      </w:r>
    </w:p>
    <w:p w:rsidR="000B0EB7" w:rsidRDefault="000B0EB7" w:rsidP="000B0EB7">
      <w:pPr>
        <w:pStyle w:val="StandardWeb"/>
      </w:pPr>
      <w:r>
        <w:t>Sei</w:t>
      </w:r>
    </w:p>
    <w:p w:rsidR="000B0EB7" w:rsidRDefault="000B0EB7" w:rsidP="000B0EB7">
      <w:pPr>
        <w:pStyle w:val="berschrift1"/>
      </w:pPr>
      <w:r>
        <w:t>[</w:t>
      </w:r>
      <w:r>
        <w:br/>
        <w:t>Y</w:t>
      </w:r>
    </w:p>
    <w:p w:rsidR="000B0EB7" w:rsidRDefault="000B0EB7" w:rsidP="000B0EB7">
      <w:pPr>
        <w:pStyle w:val="StandardWeb"/>
      </w:pPr>
      <w:r>
        <w:lastRenderedPageBreak/>
        <w:t>aX+b.</w:t>
      </w:r>
      <w:r>
        <w:br/>
        <w:t>\tag{3.5449}</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Y=aX+b\qquad\text{(3.5449)}</w:t>
      </w:r>
    </w:p>
    <w:p w:rsidR="000B0EB7" w:rsidRDefault="000B0EB7" w:rsidP="000B0EB7">
      <w:pPr>
        <w:pStyle w:val="StandardWeb"/>
      </w:pPr>
      <w:r>
        <w:t>Dann gilt für den Erwartungswert</w:t>
      </w:r>
    </w:p>
    <w:p w:rsidR="000B0EB7" w:rsidRDefault="000B0EB7" w:rsidP="000B0EB7">
      <w:pPr>
        <w:pStyle w:val="berschrift1"/>
      </w:pPr>
      <w:r>
        <w:t>[</w:t>
      </w:r>
      <w:r>
        <w:br/>
        <w:t>\mathbb{E}[Y]</w:t>
      </w:r>
    </w:p>
    <w:p w:rsidR="000B0EB7" w:rsidRDefault="000B0EB7" w:rsidP="000B0EB7">
      <w:pPr>
        <w:pStyle w:val="StandardWeb"/>
      </w:pPr>
      <w:r>
        <w:t>a\mathbb{E}[X]+b.</w:t>
      </w:r>
      <w:r>
        <w:br/>
        <w:t>\tag{3.5450}</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\mathbb{E}[Y]=a\mathbb{E}[X]+b\qquad\text{(3.5450)}</w:t>
      </w:r>
    </w:p>
    <w:p w:rsidR="000B0EB7" w:rsidRDefault="000B0EB7" w:rsidP="000B0EB7">
      <w:pPr>
        <w:pStyle w:val="StandardWeb"/>
      </w:pPr>
      <w:r>
        <w:t>Für die Varianz gilt</w:t>
      </w:r>
    </w:p>
    <w:p w:rsidR="000B0EB7" w:rsidRDefault="000B0EB7" w:rsidP="000B0EB7">
      <w:pPr>
        <w:pStyle w:val="berschrift1"/>
      </w:pPr>
      <w:r>
        <w:t>[</w:t>
      </w:r>
      <w:r>
        <w:br/>
        <w:t>\operatorname{Var}(Y)</w:t>
      </w:r>
    </w:p>
    <w:p w:rsidR="000B0EB7" w:rsidRDefault="000B0EB7" w:rsidP="000B0EB7">
      <w:pPr>
        <w:pStyle w:val="StandardWeb"/>
      </w:pPr>
      <w:r>
        <w:t>a^2</w:t>
      </w:r>
      <w:r>
        <w:br/>
        <w:t>\operatorname{Var}(X).</w:t>
      </w:r>
      <w:r>
        <w:br/>
        <w:t>\tag{3.5451}</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\operatorname{Var}(Y)=a^2\operatorname{Var}(X)\qquad\text{(3.5451)}</w:t>
      </w:r>
    </w:p>
    <w:p w:rsidR="000B0EB7" w:rsidRDefault="000B0EB7" w:rsidP="000B0EB7">
      <w:pPr>
        <w:pStyle w:val="StandardWeb"/>
      </w:pPr>
      <w:r>
        <w:t>Die Standardabweichung transformiert sich daher zu</w:t>
      </w:r>
    </w:p>
    <w:p w:rsidR="000B0EB7" w:rsidRDefault="000B0EB7" w:rsidP="000B0EB7">
      <w:pPr>
        <w:pStyle w:val="berschrift1"/>
      </w:pPr>
      <w:r>
        <w:t>[</w:t>
      </w:r>
      <w:r>
        <w:br/>
        <w:t>\sigma_Y</w:t>
      </w:r>
    </w:p>
    <w:p w:rsidR="000B0EB7" w:rsidRDefault="000B0EB7" w:rsidP="000B0EB7">
      <w:pPr>
        <w:pStyle w:val="StandardWeb"/>
      </w:pPr>
      <w:r>
        <w:t>|a|</w:t>
      </w:r>
      <w:r>
        <w:br/>
        <w:t>\sigma_X.</w:t>
      </w:r>
      <w:r>
        <w:br/>
        <w:t>\tag{3.5452}</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lastRenderedPageBreak/>
        <w:t>\sigma_Y=|a|\sigma_X\qquad\text{(3.5452)}</w:t>
      </w:r>
    </w:p>
    <w:p w:rsidR="000B0EB7" w:rsidRDefault="000B0EB7" w:rsidP="000B0EB7">
      <w:pPr>
        <w:pStyle w:val="StandardWeb"/>
      </w:pPr>
      <w:r>
        <w:t>Eine additive Konstante verändert den Erwartungswert, aber nicht die Varianz.</w:t>
      </w:r>
    </w:p>
    <w:p w:rsidR="000B0EB7" w:rsidRPr="00AF32B2" w:rsidRDefault="000B0EB7" w:rsidP="00AF32B2">
      <w:pPr>
        <w:pStyle w:val="berschrift4"/>
      </w:pPr>
      <w:r w:rsidRPr="00AF32B2">
        <w:t>3.3.30.5 Summe unsicherer Größen</w:t>
      </w:r>
    </w:p>
    <w:p w:rsidR="000B0EB7" w:rsidRDefault="000B0EB7" w:rsidP="000B0EB7">
      <w:pPr>
        <w:pStyle w:val="StandardWeb"/>
      </w:pPr>
      <w:r>
        <w:t>Für</w:t>
      </w:r>
    </w:p>
    <w:p w:rsidR="000B0EB7" w:rsidRDefault="000B0EB7" w:rsidP="000B0EB7">
      <w:pPr>
        <w:pStyle w:val="berschrift1"/>
      </w:pPr>
      <w:r>
        <w:t>[</w:t>
      </w:r>
      <w:r>
        <w:br/>
        <w:t>Z</w:t>
      </w:r>
    </w:p>
    <w:p w:rsidR="000B0EB7" w:rsidRDefault="000B0EB7" w:rsidP="000B0EB7">
      <w:pPr>
        <w:pStyle w:val="StandardWeb"/>
      </w:pPr>
      <w:r>
        <w:t>X+Y</w:t>
      </w:r>
      <w:r>
        <w:br/>
        <w:t>\tag{3.5453}</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Z=X+Y\qquad\text{(3.5453)}</w:t>
      </w:r>
    </w:p>
    <w:p w:rsidR="000B0EB7" w:rsidRDefault="000B0EB7" w:rsidP="000B0EB7">
      <w:pPr>
        <w:pStyle w:val="StandardWeb"/>
      </w:pPr>
      <w:r>
        <w:t>gilt</w:t>
      </w:r>
    </w:p>
    <w:p w:rsidR="000B0EB7" w:rsidRDefault="000B0EB7" w:rsidP="000B0EB7">
      <w:pPr>
        <w:pStyle w:val="berschrift1"/>
      </w:pPr>
      <w:r>
        <w:t>[</w:t>
      </w:r>
      <w:r>
        <w:br/>
        <w:t>\operatorname{Var}(Z)</w:t>
      </w:r>
    </w:p>
    <w:p w:rsidR="000B0EB7" w:rsidRDefault="000B0EB7" w:rsidP="000B0EB7">
      <w:pPr>
        <w:pStyle w:val="StandardWeb"/>
      </w:pPr>
      <w:r>
        <w:t>\operatorname{Var}(X)</w:t>
      </w:r>
      <w:r>
        <w:br/>
        <w:t>+</w:t>
      </w:r>
      <w:r>
        <w:br/>
        <w:t>\operatorname{Var}(Y)</w:t>
      </w:r>
      <w:r>
        <w:br/>
        <w:t>+</w:t>
      </w:r>
      <w:r>
        <w:br/>
        <w:t>2\operatorname{Cov}(X,Y).</w:t>
      </w:r>
      <w:r>
        <w:br/>
        <w:t>\tag{3.5454}</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\operatorname{Var}(Z)=\operatorname{Var}(X)+\operatorname{Var}(Y)+2\operatorname{Cov}(X,Y)\qquad\text{(3.5454)}</w:t>
      </w:r>
    </w:p>
    <w:p w:rsidR="000B0EB7" w:rsidRDefault="000B0EB7" w:rsidP="000B0EB7">
      <w:pPr>
        <w:pStyle w:val="StandardWeb"/>
      </w:pPr>
      <w:r>
        <w:t>Sind (X) und (Y) unkorreliert, vereinfacht sich die Beziehung zu</w:t>
      </w:r>
    </w:p>
    <w:p w:rsidR="000B0EB7" w:rsidRDefault="000B0EB7" w:rsidP="000B0EB7">
      <w:pPr>
        <w:pStyle w:val="berschrift1"/>
      </w:pPr>
      <w:r>
        <w:t>[</w:t>
      </w:r>
      <w:r>
        <w:br/>
        <w:t>\operatorname{Var}(Z)</w:t>
      </w:r>
    </w:p>
    <w:p w:rsidR="000B0EB7" w:rsidRDefault="000B0EB7" w:rsidP="000B0EB7">
      <w:pPr>
        <w:pStyle w:val="StandardWeb"/>
      </w:pPr>
      <w:r>
        <w:t>\operatorname{Var}(X)</w:t>
      </w:r>
      <w:r>
        <w:br/>
        <w:t>+</w:t>
      </w:r>
      <w:r>
        <w:br/>
        <w:t>\operatorname{Var}(Y).</w:t>
      </w:r>
      <w:r>
        <w:br/>
        <w:t>\tag{3.5455}</w:t>
      </w:r>
      <w:r>
        <w:br/>
        <w:t>]</w:t>
      </w:r>
    </w:p>
    <w:p w:rsidR="000B0EB7" w:rsidRDefault="000B0EB7" w:rsidP="000B0EB7">
      <w:pPr>
        <w:pStyle w:val="StandardWeb"/>
      </w:pPr>
      <w:r>
        <w:rPr>
          <w:rStyle w:val="Fett"/>
        </w:rPr>
        <w:lastRenderedPageBreak/>
        <w:t>Word-LaTeX</w:t>
      </w:r>
    </w:p>
    <w:p w:rsidR="000B0EB7" w:rsidRDefault="000B0EB7" w:rsidP="000B0EB7">
      <w:pPr>
        <w:pStyle w:val="HTMLVorformatiert"/>
        <w:rPr>
          <w:rStyle w:val="HTMLCode"/>
        </w:rPr>
      </w:pPr>
      <w:r>
        <w:rPr>
          <w:rStyle w:val="HTMLCode"/>
        </w:rPr>
        <w:t>\operatorname{Var}(Z)=\operatorname{Var}(X)+\operatorname{Var}(Y)\qquad\text{(3.5455)}</w:t>
      </w:r>
    </w:p>
    <w:p w:rsidR="000B0EB7" w:rsidRDefault="000B0EB7" w:rsidP="000B0EB7">
      <w:pPr>
        <w:pStyle w:val="StandardWeb"/>
      </w:pPr>
      <w:r>
        <w:t>Unsicherheiten dürfen daher nur dann quadratisch unabhängig zusammengeführt werden, wenn die zugehörigen Kovarianzen vernachlässigt werden können.</w:t>
      </w:r>
    </w:p>
    <w:p w:rsidR="000B0EB7" w:rsidRDefault="000B0EB7" w:rsidP="000B0EB7">
      <w:pPr>
        <w:pStyle w:val="StandardWeb"/>
      </w:pPr>
      <w:r>
        <w:rPr>
          <w:rStyle w:val="Fett"/>
        </w:rPr>
        <w:t>Eigenleistung des FRZK</w:t>
      </w:r>
    </w:p>
    <w:p w:rsidR="000B0EB7" w:rsidRDefault="000B0EB7" w:rsidP="000B0EB7">
      <w:pPr>
        <w:pStyle w:val="StandardWeb"/>
      </w:pPr>
      <w:r>
        <w:t>Ich fordere, dass Abhängigkeiten zwischen Unsicherheitsquellen ausdrücklich berücksichtigt werden. Mess-, Operationalisierungs- und Parameterunsicherheit sind nicht automatisch voneinander unabhängig.</w:t>
      </w:r>
    </w:p>
    <w:p w:rsidR="000B0EB7" w:rsidRPr="00AF32B2" w:rsidRDefault="000B0EB7" w:rsidP="00AF32B2">
      <w:pPr>
        <w:pStyle w:val="berschrift4"/>
      </w:pPr>
      <w:r w:rsidRPr="00AF32B2">
        <w:t>3.3.30.6 Linearisierte Unsicherheitsfortpflanzung</w:t>
      </w:r>
    </w:p>
    <w:p w:rsidR="000B0EB7" w:rsidRDefault="000B0EB7" w:rsidP="000B0EB7">
      <w:pPr>
        <w:pStyle w:val="StandardWeb"/>
      </w:pPr>
      <w:r>
        <w:t>Für eine differenzierbare skalare Funktion</w:t>
      </w:r>
    </w:p>
    <w:p w:rsidR="000B0EB7" w:rsidRDefault="000B0EB7" w:rsidP="000B0EB7">
      <w:pPr>
        <w:pStyle w:val="berschrift1"/>
      </w:pPr>
      <w:r>
        <w:t>[</w:t>
      </w:r>
      <w:r>
        <w:br/>
        <w:t>Y</w:t>
      </w:r>
    </w:p>
    <w:p w:rsidR="000B0EB7" w:rsidRDefault="000B0EB7" w:rsidP="000B0EB7">
      <w:pPr>
        <w:pStyle w:val="StandardWeb"/>
      </w:pPr>
      <w:r>
        <w:t>f(X)</w:t>
      </w:r>
      <w:r>
        <w:br/>
        <w:t>\tag{3.5456}</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Y=f(X)\qquad\text{(3.5456)}</w:t>
      </w:r>
    </w:p>
    <w:p w:rsidR="000B0EB7" w:rsidRDefault="000B0EB7" w:rsidP="000B0EB7">
      <w:pPr>
        <w:pStyle w:val="StandardWeb"/>
      </w:pPr>
      <w:r>
        <w:t>gilt in einer Umgebung von (\mu_X) die lineare Approximation</w:t>
      </w:r>
    </w:p>
    <w:p w:rsidR="000B0EB7" w:rsidRDefault="000B0EB7" w:rsidP="000B0EB7">
      <w:pPr>
        <w:pStyle w:val="StandardWeb"/>
      </w:pPr>
      <w:r>
        <w:t>[</w:t>
      </w:r>
      <w:r>
        <w:br/>
        <w:t>f(X)</w:t>
      </w:r>
      <w:r>
        <w:br/>
        <w:t>\approx</w:t>
      </w:r>
      <w:r>
        <w:br/>
        <w:t>f(\mu_X)</w:t>
      </w:r>
      <w:r>
        <w:br/>
        <w:t>+</w:t>
      </w:r>
      <w:r>
        <w:br/>
        <w:t>f'(\mu_X)</w:t>
      </w:r>
      <w:r>
        <w:br/>
        <w:t>\left(</w:t>
      </w:r>
      <w:r>
        <w:br/>
        <w:t>X-\mu_X</w:t>
      </w:r>
      <w:r>
        <w:br/>
        <w:t>\right).</w:t>
      </w:r>
      <w:r>
        <w:br/>
        <w:t>\tag{3.5457}</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f(X)\approx f(\mu_X)+f'(\mu_X)\left(X-\mu_X\right)\qquad\text{(3.5457)}</w:t>
      </w:r>
    </w:p>
    <w:p w:rsidR="000B0EB7" w:rsidRDefault="000B0EB7" w:rsidP="000B0EB7">
      <w:pPr>
        <w:pStyle w:val="StandardWeb"/>
      </w:pPr>
      <w:r>
        <w:t>Daraus folgt näherungsweise</w:t>
      </w:r>
    </w:p>
    <w:p w:rsidR="000B0EB7" w:rsidRDefault="000B0EB7" w:rsidP="000B0EB7">
      <w:pPr>
        <w:pStyle w:val="StandardWeb"/>
      </w:pPr>
      <w:r>
        <w:lastRenderedPageBreak/>
        <w:t>[</w:t>
      </w:r>
      <w:r>
        <w:br/>
        <w:t>\operatorname{Var}(Y)</w:t>
      </w:r>
      <w:r>
        <w:br/>
        <w:t>\approx</w:t>
      </w:r>
      <w:r>
        <w:br/>
        <w:t>\left(</w:t>
      </w:r>
      <w:r>
        <w:br/>
        <w:t>f'(\mu_X)</w:t>
      </w:r>
      <w:r>
        <w:br/>
        <w:t>\right)^2</w:t>
      </w:r>
      <w:r>
        <w:br/>
        <w:t>\operatorname{Var}(X).</w:t>
      </w:r>
      <w:r>
        <w:br/>
        <w:t>\tag{3.5458}</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\operatorname{Var}(Y)\approx\left(f'(\mu_X)\right)^2\operatorname{Var}(X)\qquad\text{(3.5458)}</w:t>
      </w:r>
    </w:p>
    <w:p w:rsidR="000B0EB7" w:rsidRDefault="000B0EB7" w:rsidP="000B0EB7">
      <w:pPr>
        <w:pStyle w:val="StandardWeb"/>
      </w:pPr>
      <w:r>
        <w:t>Für einen mehrdimensionalen Zusammenhang wird die Jacobi-Matrix verwendet:</w:t>
      </w:r>
    </w:p>
    <w:p w:rsidR="000B0EB7" w:rsidRDefault="000B0EB7" w:rsidP="000B0EB7">
      <w:pPr>
        <w:pStyle w:val="berschrift1"/>
      </w:pPr>
      <w:r>
        <w:t>[</w:t>
      </w:r>
      <w:r>
        <w:br/>
        <w:t>J_f</w:t>
      </w:r>
    </w:p>
    <w:p w:rsidR="000B0EB7" w:rsidRDefault="000B0EB7" w:rsidP="000B0EB7">
      <w:pPr>
        <w:pStyle w:val="StandardWeb"/>
      </w:pPr>
      <w:r>
        <w:t>\left[</w:t>
      </w:r>
      <w:r>
        <w:br/>
        <w:t>\frac{\partial f_i}{\partial x_j}</w:t>
      </w:r>
      <w:r>
        <w:br/>
        <w:t>\right].</w:t>
      </w:r>
      <w:r>
        <w:br/>
        <w:t>\tag{3.5459}</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J_f=\left[\frac{\partial f_i}{\partial x_j}\right]\qquad\text{(3.5459)}</w:t>
      </w:r>
    </w:p>
    <w:p w:rsidR="000B0EB7" w:rsidRDefault="000B0EB7" w:rsidP="000B0EB7">
      <w:pPr>
        <w:pStyle w:val="StandardWeb"/>
      </w:pPr>
      <w:r>
        <w:t>Die linearisierte Kovarianzfortpflanzung lautet</w:t>
      </w:r>
    </w:p>
    <w:p w:rsidR="000B0EB7" w:rsidRDefault="000B0EB7" w:rsidP="000B0EB7">
      <w:pPr>
        <w:pStyle w:val="StandardWeb"/>
      </w:pPr>
      <w:r>
        <w:t>[</w:t>
      </w:r>
      <w:r>
        <w:br/>
        <w:t>\Sigma_Y</w:t>
      </w:r>
      <w:r>
        <w:br/>
        <w:t>\approx</w:t>
      </w:r>
      <w:r>
        <w:br/>
        <w:t>J_f</w:t>
      </w:r>
      <w:r>
        <w:br/>
        <w:t>\Sigma_X</w:t>
      </w:r>
      <w:r>
        <w:br/>
        <w:t>J_f^{\mathsf{T}}.</w:t>
      </w:r>
      <w:r>
        <w:br/>
        <w:t>\tag{3.5460}</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\Sigma_Y\approx J_f\Sigma_XJ_f^{\mathsf{T}}\qquad\text{(3.5460)}</w:t>
      </w:r>
    </w:p>
    <w:p w:rsidR="000B0EB7" w:rsidRDefault="000B0EB7" w:rsidP="000B0EB7">
      <w:pPr>
        <w:pStyle w:val="StandardWeb"/>
      </w:pPr>
      <w:r>
        <w:t>Diese Näherung ist insbesondere für kleine Unsicherheiten und hinreichend glatte Abbildungen geeignet [71, 75].</w:t>
      </w:r>
    </w:p>
    <w:p w:rsidR="000B0EB7" w:rsidRPr="00AF32B2" w:rsidRDefault="000B0EB7" w:rsidP="00AF32B2">
      <w:pPr>
        <w:pStyle w:val="berschrift4"/>
      </w:pPr>
      <w:r w:rsidRPr="00AF32B2">
        <w:t>3.3.30.7 Grenzen der Linearisierung</w:t>
      </w:r>
    </w:p>
    <w:p w:rsidR="000B0EB7" w:rsidRDefault="000B0EB7" w:rsidP="000B0EB7">
      <w:pPr>
        <w:pStyle w:val="StandardWeb"/>
      </w:pPr>
      <w:r>
        <w:lastRenderedPageBreak/>
        <w:t>Die Linearisierung kann unzureichend sein, wenn:</w:t>
      </w:r>
    </w:p>
    <w:p w:rsidR="000B0EB7" w:rsidRDefault="000B0EB7" w:rsidP="00632D23">
      <w:pPr>
        <w:pStyle w:val="StandardWeb"/>
        <w:numPr>
          <w:ilvl w:val="0"/>
          <w:numId w:val="179"/>
        </w:numPr>
      </w:pPr>
      <w:r>
        <w:t>die Unsicherheit groß ist,</w:t>
      </w:r>
    </w:p>
    <w:p w:rsidR="000B0EB7" w:rsidRDefault="000B0EB7" w:rsidP="00632D23">
      <w:pPr>
        <w:pStyle w:val="StandardWeb"/>
        <w:numPr>
          <w:ilvl w:val="0"/>
          <w:numId w:val="179"/>
        </w:numPr>
      </w:pPr>
      <w:r>
        <w:t>die Abbildung stark nichtlinear ist,</w:t>
      </w:r>
    </w:p>
    <w:p w:rsidR="000B0EB7" w:rsidRDefault="000B0EB7" w:rsidP="00632D23">
      <w:pPr>
        <w:pStyle w:val="StandardWeb"/>
        <w:numPr>
          <w:ilvl w:val="0"/>
          <w:numId w:val="179"/>
        </w:numPr>
      </w:pPr>
      <w:r>
        <w:t>die Verteilung asymmetrisch ist,</w:t>
      </w:r>
    </w:p>
    <w:p w:rsidR="000B0EB7" w:rsidRDefault="000B0EB7" w:rsidP="00632D23">
      <w:pPr>
        <w:pStyle w:val="StandardWeb"/>
        <w:numPr>
          <w:ilvl w:val="0"/>
          <w:numId w:val="179"/>
        </w:numPr>
      </w:pPr>
      <w:r>
        <w:t>die Abbildung Diskontinuitäten besitzt,</w:t>
      </w:r>
    </w:p>
    <w:p w:rsidR="000B0EB7" w:rsidRDefault="000B0EB7" w:rsidP="00632D23">
      <w:pPr>
        <w:pStyle w:val="StandardWeb"/>
        <w:numPr>
          <w:ilvl w:val="0"/>
          <w:numId w:val="179"/>
        </w:numPr>
      </w:pPr>
      <w:r>
        <w:t>die Zielgröße an einer Entscheidungsgrenze liegt.</w:t>
      </w:r>
    </w:p>
    <w:p w:rsidR="000B0EB7" w:rsidRDefault="000B0EB7" w:rsidP="000B0EB7">
      <w:pPr>
        <w:pStyle w:val="StandardWeb"/>
      </w:pPr>
      <w:r>
        <w:t>Der Fehler der linearen Approximation lautet</w:t>
      </w:r>
    </w:p>
    <w:p w:rsidR="000B0EB7" w:rsidRDefault="000B0EB7" w:rsidP="000B0EB7">
      <w:pPr>
        <w:pStyle w:val="berschrift1"/>
      </w:pPr>
      <w:r>
        <w:t>[</w:t>
      </w:r>
      <w:r>
        <w:br/>
        <w:t>R_2(X)</w:t>
      </w:r>
    </w:p>
    <w:p w:rsidR="000B0EB7" w:rsidRDefault="000B0EB7" w:rsidP="000B0EB7">
      <w:pPr>
        <w:pStyle w:val="berschrift2"/>
      </w:pPr>
      <w:r>
        <w:t>f(X)</w:t>
      </w:r>
    </w:p>
    <w:p w:rsidR="000B0EB7" w:rsidRDefault="000B0EB7" w:rsidP="000B0EB7">
      <w:pPr>
        <w:pStyle w:val="berschrift2"/>
      </w:pPr>
      <w:r>
        <w:t>f(\mu_X)</w:t>
      </w:r>
    </w:p>
    <w:p w:rsidR="000B0EB7" w:rsidRDefault="000B0EB7" w:rsidP="000B0EB7">
      <w:pPr>
        <w:pStyle w:val="StandardWeb"/>
      </w:pPr>
      <w:r>
        <w:t>f'(\mu_X)</w:t>
      </w:r>
      <w:r>
        <w:br/>
        <w:t>\left(</w:t>
      </w:r>
      <w:r>
        <w:br/>
        <w:t>X-\mu_X</w:t>
      </w:r>
      <w:r>
        <w:br/>
        <w:t>\right).</w:t>
      </w:r>
      <w:r>
        <w:br/>
        <w:t>\tag{3.5461}</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R_2(X)=f(X)-f(\mu_X)-f'(\mu_X)\left(X-\mu_X\right)\qquad\text{(3.5461)}</w:t>
      </w:r>
    </w:p>
    <w:p w:rsidR="000B0EB7" w:rsidRDefault="000B0EB7" w:rsidP="000B0EB7">
      <w:pPr>
        <w:pStyle w:val="StandardWeb"/>
      </w:pPr>
      <w:r>
        <w:t>Für eine zweimal differenzierbare Funktion gilt lokal</w:t>
      </w:r>
    </w:p>
    <w:p w:rsidR="000B0EB7" w:rsidRDefault="000B0EB7" w:rsidP="000B0EB7">
      <w:pPr>
        <w:pStyle w:val="StandardWeb"/>
      </w:pPr>
      <w:r>
        <w:t>[</w:t>
      </w:r>
      <w:r>
        <w:br/>
        <w:t>R_2(X)</w:t>
      </w:r>
      <w:r>
        <w:br/>
        <w:t>\approx</w:t>
      </w:r>
      <w:r>
        <w:br/>
        <w:t>\frac{1}{2}</w:t>
      </w:r>
      <w:r>
        <w:br/>
        <w:t>f''(\xi)</w:t>
      </w:r>
      <w:r>
        <w:br/>
        <w:t>\left(</w:t>
      </w:r>
      <w:r>
        <w:br/>
        <w:t>X-\mu_X</w:t>
      </w:r>
      <w:r>
        <w:br/>
        <w:t>\right)^2</w:t>
      </w:r>
      <w:r>
        <w:br/>
        <w:t>\tag{3.5462}</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R_2(X)\approx\frac{1}{2}f''(\xi)\left(X-\mu_X\right)^2\qquad\text{(3.5462)}</w:t>
      </w:r>
    </w:p>
    <w:p w:rsidR="000B0EB7" w:rsidRDefault="000B0EB7" w:rsidP="000B0EB7">
      <w:pPr>
        <w:pStyle w:val="StandardWeb"/>
      </w:pPr>
      <w:r>
        <w:t>für ein geeignetes (\xi) zwischen (X) und (\mu_X).</w:t>
      </w:r>
    </w:p>
    <w:p w:rsidR="000B0EB7" w:rsidRDefault="000B0EB7" w:rsidP="000B0EB7">
      <w:pPr>
        <w:pStyle w:val="StandardWeb"/>
      </w:pPr>
      <w:r>
        <w:t>Ein großer Krümmungsterm weist darauf hin, dass die lineare Unsicherheitsfortpflanzung nicht ausreicht.</w:t>
      </w:r>
    </w:p>
    <w:p w:rsidR="000B0EB7" w:rsidRPr="00AF32B2" w:rsidRDefault="000B0EB7" w:rsidP="00AF32B2">
      <w:pPr>
        <w:pStyle w:val="berschrift4"/>
      </w:pPr>
      <w:r w:rsidRPr="00AF32B2">
        <w:lastRenderedPageBreak/>
        <w:t>3.3.30.8 Monte-Carlo-Fortpflanzung</w:t>
      </w:r>
    </w:p>
    <w:p w:rsidR="000B0EB7" w:rsidRDefault="000B0EB7" w:rsidP="000B0EB7">
      <w:pPr>
        <w:pStyle w:val="StandardWeb"/>
      </w:pPr>
      <w:r>
        <w:t>Eine numerische Unsicherheitsfortpflanzung kann durch Stichproben aus der Eingangsverteilung erfolgen:</w:t>
      </w:r>
    </w:p>
    <w:p w:rsidR="000B0EB7" w:rsidRDefault="000B0EB7" w:rsidP="000B0EB7">
      <w:pPr>
        <w:pStyle w:val="StandardWeb"/>
      </w:pPr>
      <w:r>
        <w:t>[</w:t>
      </w:r>
      <w:r>
        <w:br/>
        <w:t>X^{(m)}</w:t>
      </w:r>
      <w:r>
        <w:br/>
        <w:t>\sim</w:t>
      </w:r>
      <w:r>
        <w:br/>
        <w:t>\mathcal{P}_{X},</w:t>
      </w:r>
      <w:r>
        <w:br/>
        <w:t>\qquad</w:t>
      </w:r>
      <w:r>
        <w:br/>
        <w:t>m=1,\ldots,M.</w:t>
      </w:r>
      <w:r>
        <w:br/>
        <w:t>\tag{3.5463}</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X^{(m)}\sim\mathcal{P}_{X},\qquad m=1,\ldots,M\qquad\text{(3.5463)}</w:t>
      </w:r>
    </w:p>
    <w:p w:rsidR="000B0EB7" w:rsidRDefault="000B0EB7" w:rsidP="000B0EB7">
      <w:pPr>
        <w:pStyle w:val="StandardWeb"/>
      </w:pPr>
      <w:r>
        <w:t>Für jede Stichprobe wird die Zielgröße berechnet:</w:t>
      </w:r>
    </w:p>
    <w:p w:rsidR="000B0EB7" w:rsidRDefault="000B0EB7" w:rsidP="000B0EB7">
      <w:pPr>
        <w:pStyle w:val="berschrift1"/>
      </w:pPr>
      <w:r>
        <w:t>[</w:t>
      </w:r>
      <w:r>
        <w:br/>
        <w:t>Y^{(m)}</w:t>
      </w:r>
    </w:p>
    <w:p w:rsidR="000B0EB7" w:rsidRDefault="000B0EB7" w:rsidP="000B0EB7">
      <w:pPr>
        <w:pStyle w:val="StandardWeb"/>
      </w:pPr>
      <w:r>
        <w:t>f</w:t>
      </w:r>
      <w:r>
        <w:br/>
        <w:t>\left(</w:t>
      </w:r>
      <w:r>
        <w:br/>
        <w:t>X^{(m)}</w:t>
      </w:r>
      <w:r>
        <w:br/>
        <w:t>\right).</w:t>
      </w:r>
      <w:r>
        <w:br/>
        <w:t>\tag{3.5464}</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Y^{(m)}=f\left(X^{(m)}\right)\qquad\text{(3.5464)}</w:t>
      </w:r>
    </w:p>
    <w:p w:rsidR="000B0EB7" w:rsidRDefault="000B0EB7" w:rsidP="000B0EB7">
      <w:pPr>
        <w:pStyle w:val="StandardWeb"/>
      </w:pPr>
      <w:r>
        <w:t>Der simulierte Erwartungswert lautet</w:t>
      </w:r>
    </w:p>
    <w:p w:rsidR="000B0EB7" w:rsidRDefault="000B0EB7" w:rsidP="000B0EB7">
      <w:pPr>
        <w:pStyle w:val="berschrift1"/>
      </w:pPr>
      <w:r>
        <w:t>[</w:t>
      </w:r>
      <w:r>
        <w:br/>
        <w:t>\widehat{\mu}_Y</w:t>
      </w:r>
    </w:p>
    <w:p w:rsidR="000B0EB7" w:rsidRDefault="000B0EB7" w:rsidP="000B0EB7">
      <w:pPr>
        <w:pStyle w:val="StandardWeb"/>
      </w:pPr>
      <w:r>
        <w:t>\frac{1}{M}</w:t>
      </w:r>
      <w:r>
        <w:br/>
        <w:t>\sum_{m=1}^{M}</w:t>
      </w:r>
      <w:r>
        <w:br/>
        <w:t>Y^{(m)}.</w:t>
      </w:r>
      <w:r>
        <w:br/>
        <w:t>\tag{3.5465}</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\widehat{\mu}_Y=\frac{1}{M}\sum_{m=1}^{M}Y^{(m)}\qquad\text{(3.5465)}</w:t>
      </w:r>
    </w:p>
    <w:p w:rsidR="000B0EB7" w:rsidRDefault="000B0EB7" w:rsidP="000B0EB7">
      <w:pPr>
        <w:pStyle w:val="StandardWeb"/>
      </w:pPr>
      <w:r>
        <w:lastRenderedPageBreak/>
        <w:t>Die simulierte Varianz lautet</w:t>
      </w:r>
    </w:p>
    <w:p w:rsidR="000B0EB7" w:rsidRDefault="000B0EB7" w:rsidP="000B0EB7">
      <w:pPr>
        <w:pStyle w:val="berschrift1"/>
      </w:pPr>
      <w:r>
        <w:t>[</w:t>
      </w:r>
      <w:r>
        <w:br/>
        <w:t>\widehat{\sigma}_Y^2</w:t>
      </w:r>
    </w:p>
    <w:p w:rsidR="000B0EB7" w:rsidRDefault="000B0EB7" w:rsidP="000B0EB7">
      <w:pPr>
        <w:pStyle w:val="berschrift2"/>
      </w:pPr>
      <w:r>
        <w:t>\frac{1}{M-1}</w:t>
      </w:r>
      <w:r>
        <w:br/>
        <w:t>\sum_{m=1}^{M}</w:t>
      </w:r>
      <w:r>
        <w:br/>
        <w:t>\left(</w:t>
      </w:r>
      <w:r>
        <w:br/>
        <w:t>Y^{(m)}</w:t>
      </w:r>
    </w:p>
    <w:p w:rsidR="000B0EB7" w:rsidRDefault="000B0EB7" w:rsidP="000B0EB7">
      <w:pPr>
        <w:pStyle w:val="StandardWeb"/>
      </w:pPr>
      <w:r>
        <w:t>\widehat{\mu}_Y</w:t>
      </w:r>
      <w:r>
        <w:br/>
        <w:t>\right)^2.</w:t>
      </w:r>
      <w:r>
        <w:br/>
        <w:t>\tag{3.5466}</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\widehat{\sigma}_Y^2=\frac{1}{M-1}\sum_{m=1}^{M}\left(Y^{(m)}-\widehat{\mu}_Y\right)^2\qquad\text{(3.5466)}</w:t>
      </w:r>
    </w:p>
    <w:p w:rsidR="000B0EB7" w:rsidRDefault="000B0EB7" w:rsidP="000B0EB7">
      <w:pPr>
        <w:pStyle w:val="StandardWeb"/>
      </w:pPr>
      <w:r>
        <w:t>Die Monte-Carlo-Methode kann nichtlineare und nichtnormalverteilte Unsicherheiten abbilden, erzeugt jedoch zusätzliche Stichproben- und numerische Unsicherheit.</w:t>
      </w:r>
    </w:p>
    <w:p w:rsidR="000B0EB7" w:rsidRPr="00AF32B2" w:rsidRDefault="000B0EB7" w:rsidP="00AF32B2">
      <w:pPr>
        <w:pStyle w:val="berschrift4"/>
      </w:pPr>
      <w:r w:rsidRPr="00AF32B2">
        <w:t>3.3.30.9 Messunsicherheit</w:t>
      </w:r>
    </w:p>
    <w:p w:rsidR="000B0EB7" w:rsidRDefault="000B0EB7" w:rsidP="000B0EB7">
      <w:pPr>
        <w:pStyle w:val="StandardWeb"/>
      </w:pPr>
      <w:r>
        <w:t>Ein beobachteter Messwert lautet</w:t>
      </w:r>
    </w:p>
    <w:p w:rsidR="000B0EB7" w:rsidRDefault="000B0EB7" w:rsidP="000B0EB7">
      <w:pPr>
        <w:pStyle w:val="berschrift1"/>
      </w:pPr>
      <w:r>
        <w:t>[</w:t>
      </w:r>
      <w:r>
        <w:br/>
        <w:t>Y_{\mathrm{obs}}</w:t>
      </w:r>
    </w:p>
    <w:p w:rsidR="000B0EB7" w:rsidRDefault="000B0EB7" w:rsidP="000B0EB7">
      <w:pPr>
        <w:pStyle w:val="StandardWeb"/>
      </w:pPr>
      <w:r>
        <w:t>Y_{\mathrm{ref}}</w:t>
      </w:r>
      <w:r>
        <w:br/>
        <w:t>+</w:t>
      </w:r>
      <w:r>
        <w:br/>
        <w:t>\varepsilon_{\mathrm{mess}}.</w:t>
      </w:r>
      <w:r>
        <w:br/>
        <w:t>\tag{3.5467}</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Y_{\mathrm{obs}}=Y_{\mathrm{ref}}+\varepsilon_{\mathrm{mess}}\qquad\text{(3.5467)}</w:t>
      </w:r>
    </w:p>
    <w:p w:rsidR="000B0EB7" w:rsidRDefault="000B0EB7" w:rsidP="000B0EB7">
      <w:pPr>
        <w:pStyle w:val="StandardWeb"/>
      </w:pPr>
      <w:r>
        <w:t>Die Messunsicherheit kann durch</w:t>
      </w:r>
    </w:p>
    <w:p w:rsidR="000B0EB7" w:rsidRDefault="000B0EB7" w:rsidP="000B0EB7">
      <w:pPr>
        <w:pStyle w:val="berschrift1"/>
      </w:pPr>
      <w:r>
        <w:t>[</w:t>
      </w:r>
      <w:r>
        <w:br/>
        <w:t>u_{\mathrm{mess}}</w:t>
      </w:r>
    </w:p>
    <w:p w:rsidR="000B0EB7" w:rsidRDefault="000B0EB7" w:rsidP="000B0EB7">
      <w:pPr>
        <w:pStyle w:val="StandardWeb"/>
      </w:pPr>
      <w:r>
        <w:lastRenderedPageBreak/>
        <w:t>\sqrt{</w:t>
      </w:r>
      <w:r>
        <w:br/>
        <w:t>\operatorname{Var}</w:t>
      </w:r>
      <w:r>
        <w:br/>
        <w:t>\left(</w:t>
      </w:r>
      <w:r>
        <w:br/>
        <w:t>\varepsilon_{\mathrm{mess}}</w:t>
      </w:r>
      <w:r>
        <w:br/>
        <w:t>\right)</w:t>
      </w:r>
      <w:r>
        <w:br/>
        <w:t>}</w:t>
      </w:r>
      <w:r>
        <w:br/>
        <w:t>\tag{3.5468}</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u_{\mathrm{mess}}=\sqrt{\operatorname{Var}\left(\varepsilon_{\mathrm{mess}}\right)}\qquad\text{(3.5468)}</w:t>
      </w:r>
    </w:p>
    <w:p w:rsidR="000B0EB7" w:rsidRDefault="000B0EB7" w:rsidP="000B0EB7">
      <w:pPr>
        <w:pStyle w:val="StandardWeb"/>
      </w:pPr>
      <w:r>
        <w:t>beschrieben werden.</w:t>
      </w:r>
    </w:p>
    <w:p w:rsidR="000B0EB7" w:rsidRDefault="000B0EB7" w:rsidP="000B0EB7">
      <w:pPr>
        <w:pStyle w:val="StandardWeb"/>
      </w:pPr>
      <w:r>
        <w:t>Für mehrere Messgrößen wird die Messkovarianzmatrix</w:t>
      </w:r>
    </w:p>
    <w:p w:rsidR="000B0EB7" w:rsidRDefault="000B0EB7" w:rsidP="000B0EB7">
      <w:pPr>
        <w:pStyle w:val="berschrift1"/>
      </w:pPr>
      <w:r>
        <w:t>[</w:t>
      </w:r>
      <w:r>
        <w:br/>
        <w:t>\Sigma_{\mathrm{mess}}</w:t>
      </w:r>
    </w:p>
    <w:p w:rsidR="000B0EB7" w:rsidRDefault="000B0EB7" w:rsidP="000B0EB7">
      <w:pPr>
        <w:pStyle w:val="StandardWeb"/>
      </w:pPr>
      <w:r>
        <w:t>\operatorname{Cov}</w:t>
      </w:r>
      <w:r>
        <w:br/>
        <w:t>\left(</w:t>
      </w:r>
      <w:r>
        <w:br/>
        <w:t>\boldsymbol{\varepsilon}_{\mathrm{mess}}</w:t>
      </w:r>
      <w:r>
        <w:br/>
        <w:t>\right)</w:t>
      </w:r>
      <w:r>
        <w:br/>
        <w:t>\tag{3.5469}</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\Sigma_{\mathrm{mess}}=\operatorname{Cov}\left(\boldsymbol{\varepsilon}_{\mathrm{mess}}\right)\qquad\text{(3.5469)}</w:t>
      </w:r>
    </w:p>
    <w:p w:rsidR="000B0EB7" w:rsidRDefault="000B0EB7" w:rsidP="000B0EB7">
      <w:pPr>
        <w:pStyle w:val="StandardWeb"/>
      </w:pPr>
      <w:r>
        <w:t>verwendet.</w:t>
      </w:r>
    </w:p>
    <w:p w:rsidR="000B0EB7" w:rsidRDefault="000B0EB7" w:rsidP="000B0EB7">
      <w:pPr>
        <w:pStyle w:val="StandardWeb"/>
      </w:pPr>
      <w:r>
        <w:t>Systematische Messabweichungen dürfen nicht allein als Varianz behandelt werden, da sie den Erwartungswert verschieben können.</w:t>
      </w:r>
    </w:p>
    <w:p w:rsidR="000B0EB7" w:rsidRPr="00AF32B2" w:rsidRDefault="000B0EB7" w:rsidP="00AF32B2">
      <w:pPr>
        <w:pStyle w:val="berschrift4"/>
      </w:pPr>
      <w:r w:rsidRPr="00AF32B2">
        <w:t>3.3.30.10 Stichprobenunsicherheit</w:t>
      </w:r>
    </w:p>
    <w:p w:rsidR="000B0EB7" w:rsidRDefault="000B0EB7" w:rsidP="000B0EB7">
      <w:pPr>
        <w:pStyle w:val="StandardWeb"/>
      </w:pPr>
      <w:r>
        <w:t>Eine aus einer Stichprobe geschätzte Größe lautet</w:t>
      </w:r>
    </w:p>
    <w:p w:rsidR="000B0EB7" w:rsidRDefault="000B0EB7" w:rsidP="000B0EB7">
      <w:pPr>
        <w:pStyle w:val="berschrift1"/>
      </w:pPr>
      <w:r>
        <w:t>[</w:t>
      </w:r>
      <w:r>
        <w:br/>
        <w:t>\widehat{\psi}</w:t>
      </w:r>
    </w:p>
    <w:p w:rsidR="000B0EB7" w:rsidRDefault="000B0EB7" w:rsidP="000B0EB7">
      <w:pPr>
        <w:pStyle w:val="StandardWeb"/>
      </w:pPr>
      <w:r>
        <w:t>\widehat{\psi}</w:t>
      </w:r>
      <w:r>
        <w:br/>
        <w:t>\left(</w:t>
      </w:r>
      <w:r>
        <w:br/>
        <w:t>\mathcal{D}_n</w:t>
      </w:r>
      <w:r>
        <w:br/>
        <w:t>\right).</w:t>
      </w:r>
      <w:r>
        <w:br/>
      </w:r>
      <w:r>
        <w:lastRenderedPageBreak/>
        <w:t>\tag{3.5470}</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\widehat{\psi}=\widehat{\psi}\left(\mathcal{D}_n\right)\qquad\text{(3.5470)}</w:t>
      </w:r>
    </w:p>
    <w:p w:rsidR="000B0EB7" w:rsidRDefault="000B0EB7" w:rsidP="000B0EB7">
      <w:pPr>
        <w:pStyle w:val="StandardWeb"/>
      </w:pPr>
      <w:r>
        <w:t>Dabei bezeichnet (n) den Stichprobenumfang.</w:t>
      </w:r>
    </w:p>
    <w:p w:rsidR="000B0EB7" w:rsidRDefault="000B0EB7" w:rsidP="000B0EB7">
      <w:pPr>
        <w:pStyle w:val="StandardWeb"/>
      </w:pPr>
      <w:r>
        <w:t>Die Standardabweichung der Schätzung lautet</w:t>
      </w:r>
    </w:p>
    <w:p w:rsidR="000B0EB7" w:rsidRDefault="000B0EB7" w:rsidP="000B0EB7">
      <w:pPr>
        <w:pStyle w:val="berschrift1"/>
      </w:pPr>
      <w:r>
        <w:t>[</w:t>
      </w:r>
      <w:r>
        <w:br/>
        <w:t>\operatorname{SE}</w:t>
      </w:r>
      <w:r>
        <w:br/>
        <w:t>\left(</w:t>
      </w:r>
      <w:r>
        <w:br/>
        <w:t>\widehat{\psi}</w:t>
      </w:r>
      <w:r>
        <w:br/>
        <w:t>\right)</w:t>
      </w:r>
    </w:p>
    <w:p w:rsidR="000B0EB7" w:rsidRDefault="000B0EB7" w:rsidP="000B0EB7">
      <w:pPr>
        <w:pStyle w:val="StandardWeb"/>
      </w:pPr>
      <w:r>
        <w:t>\sqrt{</w:t>
      </w:r>
      <w:r>
        <w:br/>
        <w:t>\operatorname{Var}</w:t>
      </w:r>
      <w:r>
        <w:br/>
        <w:t>\left(</w:t>
      </w:r>
      <w:r>
        <w:br/>
        <w:t>\widehat{\psi}</w:t>
      </w:r>
      <w:r>
        <w:br/>
        <w:t>\right)</w:t>
      </w:r>
      <w:r>
        <w:br/>
        <w:t>}.</w:t>
      </w:r>
      <w:r>
        <w:br/>
        <w:t>\tag{3.5471}</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\operatorname{SE}\left(\widehat{\psi}\right)=\sqrt{\operatorname{Var}\left(\widehat{\psi}\right)}\qquad\text{(3.5471)}</w:t>
      </w:r>
    </w:p>
    <w:p w:rsidR="000B0EB7" w:rsidRDefault="000B0EB7" w:rsidP="000B0EB7">
      <w:pPr>
        <w:pStyle w:val="StandardWeb"/>
      </w:pPr>
      <w:r>
        <w:t>Ein approximatives Konfidenzintervall kann geschrieben werden als</w:t>
      </w:r>
    </w:p>
    <w:p w:rsidR="000B0EB7" w:rsidRDefault="000B0EB7" w:rsidP="000B0EB7">
      <w:pPr>
        <w:pStyle w:val="StandardWeb"/>
      </w:pPr>
      <w:r>
        <w:t>[</w:t>
      </w:r>
      <w:r>
        <w:br/>
        <w:t>\widehat{\psi}</w:t>
      </w:r>
      <w:r>
        <w:br/>
        <w:t>\pm</w:t>
      </w:r>
      <w:r>
        <w:br/>
        <w:t>z_{1-\alpha/2}</w:t>
      </w:r>
      <w:r>
        <w:br/>
        <w:t>\operatorname{SE}</w:t>
      </w:r>
      <w:r>
        <w:br/>
        <w:t>\left(</w:t>
      </w:r>
      <w:r>
        <w:br/>
        <w:t>\widehat{\psi}</w:t>
      </w:r>
      <w:r>
        <w:br/>
        <w:t>\right).</w:t>
      </w:r>
      <w:r>
        <w:br/>
        <w:t>\tag{3.5472}</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lastRenderedPageBreak/>
        <w:t>\widehat{\psi}\pm z_{1-\alpha/2}\operatorname{SE}\left(\widehat{\psi}\right)\qquad\text{(3.5472)}</w:t>
      </w:r>
    </w:p>
    <w:p w:rsidR="000B0EB7" w:rsidRDefault="000B0EB7" w:rsidP="000B0EB7">
      <w:pPr>
        <w:pStyle w:val="StandardWeb"/>
      </w:pPr>
      <w:r>
        <w:t>Die konkrete Gültigkeit dieser Darstellung hängt von den statistischen Voraussetzungen des verwendeten Schätzverfahrens ab [58, 59].</w:t>
      </w:r>
    </w:p>
    <w:p w:rsidR="000B0EB7" w:rsidRPr="00AF32B2" w:rsidRDefault="000B0EB7" w:rsidP="00AF32B2">
      <w:pPr>
        <w:pStyle w:val="berschrift4"/>
      </w:pPr>
      <w:r w:rsidRPr="00AF32B2">
        <w:t>3.3.30.11 Parameterunsicherheit</w:t>
      </w:r>
    </w:p>
    <w:p w:rsidR="000B0EB7" w:rsidRDefault="000B0EB7" w:rsidP="000B0EB7">
      <w:pPr>
        <w:pStyle w:val="StandardWeb"/>
      </w:pPr>
      <w:r>
        <w:t>Die geschätzten Modellparameter werden als unsichere Größe behandelt:</w:t>
      </w:r>
    </w:p>
    <w:p w:rsidR="000B0EB7" w:rsidRDefault="000B0EB7" w:rsidP="000B0EB7">
      <w:pPr>
        <w:pStyle w:val="StandardWeb"/>
      </w:pPr>
      <w:r>
        <w:t>[</w:t>
      </w:r>
      <w:r>
        <w:br/>
        <w:t>\Theta</w:t>
      </w:r>
      <w:r>
        <w:br/>
        <w:t>\sim</w:t>
      </w:r>
      <w:r>
        <w:br/>
        <w:t>\mathcal{P}_{\Theta}.</w:t>
      </w:r>
      <w:r>
        <w:br/>
        <w:t>\tag{3.5473}</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\Theta\sim\mathcal{P}_{\Theta}\qquad\text{(3.5473)}</w:t>
      </w:r>
    </w:p>
    <w:p w:rsidR="000B0EB7" w:rsidRDefault="000B0EB7" w:rsidP="000B0EB7">
      <w:pPr>
        <w:pStyle w:val="StandardWeb"/>
      </w:pPr>
      <w:r>
        <w:t>Die Vorhersage lautet dann</w:t>
      </w:r>
    </w:p>
    <w:p w:rsidR="000B0EB7" w:rsidRDefault="000B0EB7" w:rsidP="000B0EB7">
      <w:pPr>
        <w:pStyle w:val="berschrift1"/>
      </w:pPr>
      <w:r>
        <w:t>[</w:t>
      </w:r>
      <w:r>
        <w:br/>
        <w:t>Y</w:t>
      </w:r>
    </w:p>
    <w:p w:rsidR="000B0EB7" w:rsidRDefault="000B0EB7" w:rsidP="000B0EB7">
      <w:pPr>
        <w:pStyle w:val="StandardWeb"/>
      </w:pPr>
      <w:r>
        <w:t>\mathcal{P}_{F}</w:t>
      </w:r>
      <w:r>
        <w:br/>
        <w:t>\left(</w:t>
      </w:r>
      <w:r>
        <w:br/>
        <w:t>\Theta,</w:t>
      </w:r>
      <w:r>
        <w:br/>
        <w:t>x</w:t>
      </w:r>
      <w:r>
        <w:br/>
        <w:t>\right).</w:t>
      </w:r>
      <w:r>
        <w:br/>
        <w:t>\tag{3.5474}</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Y=\mathcal{P}_{F}\left(\Theta,x\right)\qquad\text{(3.5474)}</w:t>
      </w:r>
    </w:p>
    <w:p w:rsidR="000B0EB7" w:rsidRDefault="000B0EB7" w:rsidP="000B0EB7">
      <w:pPr>
        <w:pStyle w:val="StandardWeb"/>
      </w:pPr>
      <w:r>
        <w:t>Die parameterbedingte Vorhersagevarianz lautet</w:t>
      </w:r>
    </w:p>
    <w:p w:rsidR="000B0EB7" w:rsidRDefault="000B0EB7" w:rsidP="000B0EB7">
      <w:pPr>
        <w:pStyle w:val="StandardWeb"/>
      </w:pPr>
      <w:r>
        <w:t>[</w:t>
      </w:r>
      <w:r>
        <w:br/>
        <w:t>\operatorname{Var}</w:t>
      </w:r>
      <w:r>
        <w:rPr>
          <w:rStyle w:val="Hervorhebung"/>
        </w:rPr>
        <w:t>{\Theta}</w:t>
      </w:r>
      <w:r>
        <w:rPr>
          <w:i/>
          <w:iCs/>
        </w:rPr>
        <w:br/>
      </w:r>
      <w:r>
        <w:rPr>
          <w:rStyle w:val="Hervorhebung"/>
        </w:rPr>
        <w:t>\left[</w:t>
      </w:r>
      <w:r>
        <w:rPr>
          <w:i/>
          <w:iCs/>
        </w:rPr>
        <w:br/>
      </w:r>
      <w:r>
        <w:rPr>
          <w:rStyle w:val="Hervorhebung"/>
        </w:rPr>
        <w:t>\mathcal{P}</w:t>
      </w:r>
      <w:r>
        <w:t>{F}</w:t>
      </w:r>
      <w:r>
        <w:br/>
        <w:t>\left(</w:t>
      </w:r>
      <w:r>
        <w:br/>
        <w:t>\Theta,x</w:t>
      </w:r>
      <w:r>
        <w:br/>
        <w:t>\right)</w:t>
      </w:r>
      <w:r>
        <w:br/>
        <w:t>\right].</w:t>
      </w:r>
      <w:r>
        <w:br/>
        <w:t>\tag{3.5475}</w:t>
      </w:r>
      <w:r>
        <w:br/>
        <w:t>]</w:t>
      </w:r>
    </w:p>
    <w:p w:rsidR="000B0EB7" w:rsidRDefault="000B0EB7" w:rsidP="000B0EB7">
      <w:pPr>
        <w:pStyle w:val="StandardWeb"/>
      </w:pPr>
      <w:r>
        <w:rPr>
          <w:rStyle w:val="Fett"/>
        </w:rPr>
        <w:lastRenderedPageBreak/>
        <w:t>Word-LaTeX</w:t>
      </w:r>
    </w:p>
    <w:p w:rsidR="000B0EB7" w:rsidRDefault="000B0EB7" w:rsidP="000B0EB7">
      <w:pPr>
        <w:pStyle w:val="HTMLVorformatiert"/>
        <w:rPr>
          <w:rStyle w:val="HTMLCode"/>
        </w:rPr>
      </w:pPr>
      <w:r>
        <w:rPr>
          <w:rStyle w:val="HTMLCode"/>
        </w:rPr>
        <w:t>\operatorname{Var}_{\Theta}\left[\mathcal{P}_{F}\left(\Theta,x\right)\right]\qquad\text{(3.5475)}</w:t>
      </w:r>
    </w:p>
    <w:p w:rsidR="000B0EB7" w:rsidRDefault="000B0EB7" w:rsidP="000B0EB7">
      <w:pPr>
        <w:pStyle w:val="StandardWeb"/>
      </w:pPr>
      <w:r>
        <w:t>Eine punktförmige Parameterschätzung ohne Unsicherheitsangabe reicht daher für eine vollständige empirische Vorhersagebewertung nicht aus.</w:t>
      </w:r>
    </w:p>
    <w:p w:rsidR="000B0EB7" w:rsidRPr="00AF32B2" w:rsidRDefault="000B0EB7" w:rsidP="00AF32B2">
      <w:pPr>
        <w:pStyle w:val="berschrift4"/>
      </w:pPr>
      <w:r w:rsidRPr="00AF32B2">
        <w:t>3.3.30.12 Operationalisierungsunsicherheit</w:t>
      </w:r>
    </w:p>
    <w:p w:rsidR="000B0EB7" w:rsidRDefault="000B0EB7" w:rsidP="000B0EB7">
      <w:pPr>
        <w:pStyle w:val="StandardWeb"/>
      </w:pPr>
      <w:r>
        <w:t>Seien mehrere wissenschaftlich zulässige Operationalisierungen gegeben:</w:t>
      </w:r>
    </w:p>
    <w:p w:rsidR="000B0EB7" w:rsidRDefault="000B0EB7" w:rsidP="000B0EB7">
      <w:pPr>
        <w:pStyle w:val="berschrift1"/>
      </w:pPr>
      <w:r>
        <w:t>[</w:t>
      </w:r>
      <w:r>
        <w:br/>
        <w:t>\mathfrak{O}_{F}^{\mathrm{zul}}</w:t>
      </w:r>
    </w:p>
    <w:p w:rsidR="000B0EB7" w:rsidRDefault="000B0EB7" w:rsidP="000B0EB7">
      <w:pPr>
        <w:pStyle w:val="StandardWeb"/>
      </w:pPr>
      <w:r>
        <w:t>\left{</w:t>
      </w:r>
      <w:r>
        <w:br/>
        <w:t>\mathcal{O}</w:t>
      </w:r>
      <w:r>
        <w:rPr>
          <w:rStyle w:val="Hervorhebung"/>
        </w:rPr>
        <w:t>{F}^{(1)},</w:t>
      </w:r>
      <w:r>
        <w:rPr>
          <w:i/>
          <w:iCs/>
        </w:rPr>
        <w:br/>
      </w:r>
      <w:r>
        <w:rPr>
          <w:rStyle w:val="Hervorhebung"/>
        </w:rPr>
        <w:t>\ldots,</w:t>
      </w:r>
      <w:r>
        <w:rPr>
          <w:i/>
          <w:iCs/>
        </w:rPr>
        <w:br/>
      </w:r>
      <w:r>
        <w:rPr>
          <w:rStyle w:val="Hervorhebung"/>
        </w:rPr>
        <w:t>\mathcal{O}</w:t>
      </w:r>
      <w:r>
        <w:t>{F}^{(m)}</w:t>
      </w:r>
      <w:r>
        <w:br/>
        <w:t>\right}.</w:t>
      </w:r>
      <w:r>
        <w:br/>
        <w:t>\tag{3.5476}</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\mathfrak{O}_{F}^{\mathrm{zul}}=\left\{\mathcal{O}_{F}^{(1)},\ldots,\mathcal{O}_{F}^{(m)}\right\}\qquad\text{(3.5476)}</w:t>
      </w:r>
    </w:p>
    <w:p w:rsidR="000B0EB7" w:rsidRDefault="000B0EB7" w:rsidP="000B0EB7">
      <w:pPr>
        <w:pStyle w:val="StandardWeb"/>
      </w:pPr>
      <w:r>
        <w:t>Jede Operationalisierung erzeugt ein Ergebnis</w:t>
      </w:r>
    </w:p>
    <w:p w:rsidR="000B0EB7" w:rsidRDefault="000B0EB7" w:rsidP="000B0EB7">
      <w:pPr>
        <w:pStyle w:val="berschrift1"/>
      </w:pPr>
      <w:r>
        <w:t>[</w:t>
      </w:r>
      <w:r>
        <w:br/>
        <w:t>Z^{(i)}</w:t>
      </w:r>
    </w:p>
    <w:p w:rsidR="000B0EB7" w:rsidRDefault="000B0EB7" w:rsidP="000B0EB7">
      <w:pPr>
        <w:pStyle w:val="StandardWeb"/>
      </w:pPr>
      <w:r>
        <w:t>\mathcal{A}</w:t>
      </w:r>
      <w:r>
        <w:rPr>
          <w:rStyle w:val="Hervorhebung"/>
        </w:rPr>
        <w:t>{F}</w:t>
      </w:r>
      <w:r>
        <w:rPr>
          <w:i/>
          <w:iCs/>
        </w:rPr>
        <w:br/>
      </w:r>
      <w:r>
        <w:rPr>
          <w:rStyle w:val="Hervorhebung"/>
        </w:rPr>
        <w:t>\circ</w:t>
      </w:r>
      <w:r>
        <w:rPr>
          <w:i/>
          <w:iCs/>
        </w:rPr>
        <w:br/>
      </w:r>
      <w:r>
        <w:rPr>
          <w:rStyle w:val="Hervorhebung"/>
        </w:rPr>
        <w:t>\mathcal{O}</w:t>
      </w:r>
      <w:r>
        <w:t>{F}^{(i)}</w:t>
      </w:r>
      <w:r>
        <w:br/>
        <w:t>\left(</w:t>
      </w:r>
      <w:r>
        <w:br/>
        <w:t>\mathcal{D}</w:t>
      </w:r>
      <w:r>
        <w:br/>
        <w:t>\right).</w:t>
      </w:r>
      <w:r>
        <w:br/>
        <w:t>\tag{3.5477}</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Z^{(i)}=\mathcal{A}_{F}\circ\mathcal{O}_{F}^{(i)}\left(\mathcal{D}\right)\qquad\text{(3.5477)}</w:t>
      </w:r>
    </w:p>
    <w:p w:rsidR="000B0EB7" w:rsidRDefault="000B0EB7" w:rsidP="000B0EB7">
      <w:pPr>
        <w:pStyle w:val="StandardWeb"/>
      </w:pPr>
      <w:r>
        <w:t>Die Operationalisierungsstreuung kann für skalare Ergebnisse durch</w:t>
      </w:r>
    </w:p>
    <w:p w:rsidR="000B0EB7" w:rsidRDefault="000B0EB7" w:rsidP="000B0EB7">
      <w:pPr>
        <w:pStyle w:val="berschrift1"/>
      </w:pPr>
      <w:r>
        <w:lastRenderedPageBreak/>
        <w:t>[</w:t>
      </w:r>
      <w:r>
        <w:br/>
        <w:t>u_{\mathrm{op}}^2</w:t>
      </w:r>
    </w:p>
    <w:p w:rsidR="000B0EB7" w:rsidRDefault="000B0EB7" w:rsidP="000B0EB7">
      <w:pPr>
        <w:pStyle w:val="berschrift2"/>
      </w:pPr>
      <w:r>
        <w:t>\frac{1}{m-1}</w:t>
      </w:r>
      <w:r>
        <w:br/>
        <w:t>\sum_{i=1}^{m}</w:t>
      </w:r>
      <w:r>
        <w:br/>
        <w:t>\left(</w:t>
      </w:r>
      <w:r>
        <w:br/>
        <w:t>Z^{(i)}</w:t>
      </w:r>
    </w:p>
    <w:p w:rsidR="000B0EB7" w:rsidRDefault="000B0EB7" w:rsidP="000B0EB7">
      <w:pPr>
        <w:pStyle w:val="StandardWeb"/>
      </w:pPr>
      <w:r>
        <w:t>\overline{Z}</w:t>
      </w:r>
      <w:r>
        <w:br/>
        <w:t>\right)^2</w:t>
      </w:r>
      <w:r>
        <w:br/>
        <w:t>\tag{3.5478}</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u_{\mathrm{op}}^2=\frac{1}{m-1}\sum_{i=1}^{m}\left(Z^{(i)}-\overline{Z}\right)^2\qquad\text{(3.5478)}</w:t>
      </w:r>
    </w:p>
    <w:p w:rsidR="000B0EB7" w:rsidRDefault="000B0EB7" w:rsidP="000B0EB7">
      <w:pPr>
        <w:pStyle w:val="StandardWeb"/>
      </w:pPr>
      <w:r>
        <w:t>beschrieben werden.</w:t>
      </w:r>
    </w:p>
    <w:p w:rsidR="000B0EB7" w:rsidRDefault="000B0EB7" w:rsidP="000B0EB7">
      <w:pPr>
        <w:pStyle w:val="StandardWeb"/>
      </w:pPr>
      <w:r>
        <w:t>Dabei gilt</w:t>
      </w:r>
    </w:p>
    <w:p w:rsidR="000B0EB7" w:rsidRDefault="000B0EB7" w:rsidP="000B0EB7">
      <w:pPr>
        <w:pStyle w:val="berschrift1"/>
      </w:pPr>
      <w:r>
        <w:t>[</w:t>
      </w:r>
      <w:r>
        <w:br/>
        <w:t>\overline{Z}</w:t>
      </w:r>
    </w:p>
    <w:p w:rsidR="000B0EB7" w:rsidRDefault="000B0EB7" w:rsidP="000B0EB7">
      <w:pPr>
        <w:pStyle w:val="StandardWeb"/>
      </w:pPr>
      <w:r>
        <w:t>\frac{1}{m}</w:t>
      </w:r>
      <w:r>
        <w:br/>
        <w:t>\sum_{i=1}^{m}</w:t>
      </w:r>
      <w:r>
        <w:br/>
        <w:t>Z^{(i)}.</w:t>
      </w:r>
      <w:r>
        <w:br/>
        <w:t>\tag{3.5479}</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\overline{Z}=\frac{1}{m}\sum_{i=1}^{m}Z^{(i)}\qquad\text{(3.5479)}</w:t>
      </w:r>
    </w:p>
    <w:p w:rsidR="000B0EB7" w:rsidRDefault="000B0EB7" w:rsidP="000B0EB7">
      <w:pPr>
        <w:pStyle w:val="StandardWeb"/>
      </w:pPr>
      <w:r>
        <w:t>Diese Streuung misst nicht die Wahrheit einer Operationalisierung, sondern die Abhängigkeit des Ergebnisses von mehreren begründeten Zuordnungsregeln.</w:t>
      </w:r>
    </w:p>
    <w:p w:rsidR="000B0EB7" w:rsidRPr="00AF32B2" w:rsidRDefault="000B0EB7" w:rsidP="00AF32B2">
      <w:pPr>
        <w:pStyle w:val="berschrift4"/>
      </w:pPr>
      <w:r w:rsidRPr="00AF32B2">
        <w:t>3.3.30.13 Modellunsicherheit</w:t>
      </w:r>
    </w:p>
    <w:p w:rsidR="000B0EB7" w:rsidRDefault="000B0EB7" w:rsidP="000B0EB7">
      <w:pPr>
        <w:pStyle w:val="StandardWeb"/>
      </w:pPr>
      <w:r>
        <w:t>Seien mehrere zulässige Modellklassen gegeben:</w:t>
      </w:r>
    </w:p>
    <w:p w:rsidR="000B0EB7" w:rsidRDefault="000B0EB7" w:rsidP="000B0EB7">
      <w:pPr>
        <w:pStyle w:val="berschrift1"/>
      </w:pPr>
      <w:r>
        <w:t>[</w:t>
      </w:r>
      <w:r>
        <w:br/>
        <w:t>\mathfrak{M}_{F}^{\mathrm{zul}}</w:t>
      </w:r>
    </w:p>
    <w:p w:rsidR="000B0EB7" w:rsidRDefault="000B0EB7" w:rsidP="000B0EB7">
      <w:pPr>
        <w:pStyle w:val="StandardWeb"/>
      </w:pPr>
      <w:r>
        <w:lastRenderedPageBreak/>
        <w:t>\left{</w:t>
      </w:r>
      <w:r>
        <w:br/>
        <w:t>\mathcal{M}_1,</w:t>
      </w:r>
      <w:r>
        <w:br/>
        <w:t>\ldots,</w:t>
      </w:r>
      <w:r>
        <w:br/>
        <w:t>\mathcal{M}_k</w:t>
      </w:r>
      <w:r>
        <w:br/>
        <w:t>\right}.</w:t>
      </w:r>
      <w:r>
        <w:br/>
        <w:t>\tag{3.5480}</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\mathfrak{M}_{F}^{\mathrm{zul}}=\left\{\mathcal{M}_1,\ldots,\mathcal{M}_k\right\}\qquad\text{(3.5480)}</w:t>
      </w:r>
    </w:p>
    <w:p w:rsidR="000B0EB7" w:rsidRDefault="000B0EB7" w:rsidP="000B0EB7">
      <w:pPr>
        <w:pStyle w:val="StandardWeb"/>
      </w:pPr>
      <w:r>
        <w:t>Die modellspezifischen Vorhersagen lauten</w:t>
      </w:r>
    </w:p>
    <w:p w:rsidR="000B0EB7" w:rsidRDefault="000B0EB7" w:rsidP="000B0EB7">
      <w:pPr>
        <w:pStyle w:val="berschrift1"/>
      </w:pPr>
      <w:r>
        <w:t>[</w:t>
      </w:r>
      <w:r>
        <w:br/>
        <w:t>\widehat{Y}_j</w:t>
      </w:r>
    </w:p>
    <w:p w:rsidR="000B0EB7" w:rsidRDefault="000B0EB7" w:rsidP="000B0EB7">
      <w:pPr>
        <w:pStyle w:val="StandardWeb"/>
      </w:pPr>
      <w:r>
        <w:t>\mathcal{P}_{F}</w:t>
      </w:r>
      <w:r>
        <w:br/>
        <w:t>\left(</w:t>
      </w:r>
      <w:r>
        <w:br/>
        <w:t>\mathcal{M}_j,x</w:t>
      </w:r>
      <w:r>
        <w:br/>
        <w:t>\right).</w:t>
      </w:r>
      <w:r>
        <w:br/>
        <w:t>\tag{3.5481}</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\widehat{Y}_j=\mathcal{P}_{F}\left(\mathcal{M}_j,x\right)\qquad\text{(3.5481)}</w:t>
      </w:r>
    </w:p>
    <w:p w:rsidR="000B0EB7" w:rsidRDefault="000B0EB7" w:rsidP="000B0EB7">
      <w:pPr>
        <w:pStyle w:val="StandardWeb"/>
      </w:pPr>
      <w:r>
        <w:t>Eine gewichtete Modellvorhersage kann geschrieben werden als</w:t>
      </w:r>
    </w:p>
    <w:p w:rsidR="000B0EB7" w:rsidRDefault="000B0EB7" w:rsidP="000B0EB7">
      <w:pPr>
        <w:pStyle w:val="berschrift1"/>
      </w:pPr>
      <w:r>
        <w:t>[</w:t>
      </w:r>
      <w:r>
        <w:br/>
        <w:t>\widehat{Y}_{\mathrm{avg}}</w:t>
      </w:r>
    </w:p>
    <w:p w:rsidR="000B0EB7" w:rsidRDefault="000B0EB7" w:rsidP="000B0EB7">
      <w:pPr>
        <w:pStyle w:val="StandardWeb"/>
      </w:pPr>
      <w:r>
        <w:t>\sum_{j=1}^{k}</w:t>
      </w:r>
      <w:r>
        <w:br/>
        <w:t>w_j</w:t>
      </w:r>
      <w:r>
        <w:br/>
        <w:t>\widehat{Y}_j,</w:t>
      </w:r>
      <w:r>
        <w:br/>
        <w:t>\tag{3.5482}</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\widehat{Y}_{\mathrm{avg}}=\sum_{j=1}^{k}w_j\widehat{Y}_j\qquad\text{(3.5482)}</w:t>
      </w:r>
    </w:p>
    <w:p w:rsidR="000B0EB7" w:rsidRDefault="000B0EB7" w:rsidP="000B0EB7">
      <w:pPr>
        <w:pStyle w:val="StandardWeb"/>
      </w:pPr>
      <w:r>
        <w:t>wobei</w:t>
      </w:r>
    </w:p>
    <w:p w:rsidR="000B0EB7" w:rsidRDefault="000B0EB7" w:rsidP="000B0EB7">
      <w:pPr>
        <w:pStyle w:val="StandardWeb"/>
      </w:pPr>
      <w:r>
        <w:lastRenderedPageBreak/>
        <w:t>[</w:t>
      </w:r>
      <w:r>
        <w:br/>
        <w:t>w_j</w:t>
      </w:r>
      <w:r>
        <w:br/>
        <w:t>\geq</w:t>
      </w:r>
      <w:r>
        <w:br/>
        <w:t>0</w:t>
      </w:r>
      <w:r>
        <w:br/>
        <w:t>\tag{3.5483}</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w_j\geq0\qquad\text{(3.5483)}</w:t>
      </w:r>
    </w:p>
    <w:p w:rsidR="000B0EB7" w:rsidRDefault="000B0EB7" w:rsidP="000B0EB7">
      <w:pPr>
        <w:pStyle w:val="StandardWeb"/>
      </w:pPr>
      <w:r>
        <w:t>und</w:t>
      </w:r>
    </w:p>
    <w:p w:rsidR="000B0EB7" w:rsidRDefault="000B0EB7" w:rsidP="000B0EB7">
      <w:pPr>
        <w:pStyle w:val="berschrift1"/>
      </w:pPr>
      <w:r>
        <w:t>[</w:t>
      </w:r>
      <w:r>
        <w:br/>
        <w:t>\sum_{j=1}^{k}</w:t>
      </w:r>
      <w:r>
        <w:br/>
        <w:t>w_j</w:t>
      </w:r>
    </w:p>
    <w:p w:rsidR="000B0EB7" w:rsidRDefault="000B0EB7" w:rsidP="000B0EB7">
      <w:pPr>
        <w:pStyle w:val="StandardWeb"/>
      </w:pPr>
      <w:r>
        <w:t>1</w:t>
      </w:r>
      <w:r>
        <w:br/>
        <w:t>\tag{3.5484}</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\sum_{j=1}^{k}w_j=1\qquad\text{(3.5484)}</w:t>
      </w:r>
    </w:p>
    <w:p w:rsidR="000B0EB7" w:rsidRDefault="000B0EB7" w:rsidP="000B0EB7">
      <w:pPr>
        <w:pStyle w:val="StandardWeb"/>
      </w:pPr>
      <w:r>
        <w:t>gelten.</w:t>
      </w:r>
    </w:p>
    <w:p w:rsidR="000B0EB7" w:rsidRDefault="000B0EB7" w:rsidP="000B0EB7">
      <w:pPr>
        <w:pStyle w:val="StandardWeb"/>
      </w:pPr>
      <w:r>
        <w:t>Eine Modellmittelung ersetzt jedoch nicht die wissenschaftliche Begründung der verwendeten Modellklassen und Gewichte.</w:t>
      </w:r>
    </w:p>
    <w:p w:rsidR="000B0EB7" w:rsidRPr="00AF32B2" w:rsidRDefault="000B0EB7" w:rsidP="00AF32B2">
      <w:pPr>
        <w:pStyle w:val="berschrift4"/>
      </w:pPr>
      <w:r w:rsidRPr="00AF32B2">
        <w:t>3.3.30.14 Numerische Unsicherheit</w:t>
      </w:r>
    </w:p>
    <w:p w:rsidR="000B0EB7" w:rsidRDefault="000B0EB7" w:rsidP="000B0EB7">
      <w:pPr>
        <w:pStyle w:val="StandardWeb"/>
      </w:pPr>
      <w:r>
        <w:t>Eine numerisch berechnete Größe lautet</w:t>
      </w:r>
    </w:p>
    <w:p w:rsidR="000B0EB7" w:rsidRDefault="000B0EB7" w:rsidP="000B0EB7">
      <w:pPr>
        <w:pStyle w:val="berschrift1"/>
      </w:pPr>
      <w:r>
        <w:t>[</w:t>
      </w:r>
      <w:r>
        <w:br/>
        <w:t>\widehat{Y}_{\mathrm{num}}</w:t>
      </w:r>
    </w:p>
    <w:p w:rsidR="000B0EB7" w:rsidRDefault="000B0EB7" w:rsidP="000B0EB7">
      <w:pPr>
        <w:pStyle w:val="StandardWeb"/>
      </w:pPr>
      <w:r>
        <w:t>Y</w:t>
      </w:r>
      <w:r>
        <w:br/>
        <w:t>+</w:t>
      </w:r>
      <w:r>
        <w:br/>
        <w:t>\varepsilon_{\mathrm{num}}.</w:t>
      </w:r>
      <w:r>
        <w:br/>
        <w:t>\tag{3.5485}</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\widehat{Y}_{\mathrm{num}}=Y+\varepsilon_{\mathrm{num}}\qquad\text{(3.5485)}</w:t>
      </w:r>
    </w:p>
    <w:p w:rsidR="000B0EB7" w:rsidRDefault="000B0EB7" w:rsidP="000B0EB7">
      <w:pPr>
        <w:pStyle w:val="StandardWeb"/>
      </w:pPr>
      <w:r>
        <w:lastRenderedPageBreak/>
        <w:t>Die numerische Unsicherheit kann aus Rundung, Diskretisierung, Iterationsabbruch oder stochastischen Algorithmen entstehen.</w:t>
      </w:r>
    </w:p>
    <w:p w:rsidR="000B0EB7" w:rsidRDefault="000B0EB7" w:rsidP="000B0EB7">
      <w:pPr>
        <w:pStyle w:val="StandardWeb"/>
      </w:pPr>
      <w:r>
        <w:t>Für ein Verfahren mit Schrittweite (h) kann ein Fehleransatz lauten</w:t>
      </w:r>
    </w:p>
    <w:p w:rsidR="000B0EB7" w:rsidRDefault="000B0EB7" w:rsidP="000B0EB7">
      <w:pPr>
        <w:pStyle w:val="StandardWeb"/>
      </w:pPr>
      <w:r>
        <w:t>[</w:t>
      </w:r>
      <w:r>
        <w:br/>
        <w:t>\left|</w:t>
      </w:r>
      <w:r>
        <w:br/>
        <w:t>\varepsilon_{\mathrm{num}}</w:t>
      </w:r>
      <w:r>
        <w:br/>
        <w:t>\right|</w:t>
      </w:r>
      <w:r>
        <w:br/>
        <w:t>\leq</w:t>
      </w:r>
      <w:r>
        <w:br/>
        <w:t>C</w:t>
      </w:r>
      <w:r>
        <w:br/>
        <w:t>h^{p}.</w:t>
      </w:r>
      <w:r>
        <w:br/>
        <w:t>\tag{3.5486}</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\left|\varepsilon_{\mathrm{num}}\right|\leq Ch^{p}\qquad\text{(3.5486)}</w:t>
      </w:r>
    </w:p>
    <w:p w:rsidR="000B0EB7" w:rsidRDefault="000B0EB7" w:rsidP="000B0EB7">
      <w:pPr>
        <w:pStyle w:val="StandardWeb"/>
      </w:pPr>
      <w:r>
        <w:t>Dabei bezeichnet (p) die Konvergenzordnung des Verfahrens.</w:t>
      </w:r>
    </w:p>
    <w:p w:rsidR="000B0EB7" w:rsidRDefault="000B0EB7" w:rsidP="000B0EB7">
      <w:pPr>
        <w:pStyle w:val="StandardWeb"/>
      </w:pPr>
      <w:r>
        <w:t>Eine numerische Konvergenzprüfung kann durch</w:t>
      </w:r>
    </w:p>
    <w:p w:rsidR="000B0EB7" w:rsidRDefault="000B0EB7" w:rsidP="000B0EB7">
      <w:pPr>
        <w:pStyle w:val="StandardWeb"/>
      </w:pPr>
      <w:r>
        <w:t>[</w:t>
      </w:r>
      <w:r>
        <w:br/>
        <w:t>\widehat{Y}_{h}</w:t>
      </w:r>
      <w:r>
        <w:br/>
        <w:t>\rightarrow</w:t>
      </w:r>
      <w:r>
        <w:br/>
        <w:t>Y</w:t>
      </w:r>
      <w:r>
        <w:br/>
        <w:t>\quad</w:t>
      </w:r>
      <w:r>
        <w:br/>
        <w:t>\text{für}</w:t>
      </w:r>
      <w:r>
        <w:br/>
        <w:t>\quad</w:t>
      </w:r>
      <w:r>
        <w:br/>
        <w:t>h\rightarrow0</w:t>
      </w:r>
      <w:r>
        <w:br/>
        <w:t>\tag{3.5487}</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\widehat{Y}_{h}\rightarrow Y\quad\text{für}\quad h\rightarrow0\qquad\text{(3.5487)}</w:t>
      </w:r>
    </w:p>
    <w:p w:rsidR="000B0EB7" w:rsidRDefault="000B0EB7" w:rsidP="000B0EB7">
      <w:pPr>
        <w:pStyle w:val="StandardWeb"/>
      </w:pPr>
      <w:r>
        <w:t>beschrieben werden.</w:t>
      </w:r>
    </w:p>
    <w:p w:rsidR="000B0EB7" w:rsidRPr="00AF32B2" w:rsidRDefault="000B0EB7" w:rsidP="00AF32B2">
      <w:pPr>
        <w:pStyle w:val="berschrift4"/>
      </w:pPr>
      <w:r w:rsidRPr="00AF32B2">
        <w:t>3.3.30.15 Zusammenführung unabhängiger Unsicherheiten</w:t>
      </w:r>
    </w:p>
    <w:p w:rsidR="000B0EB7" w:rsidRDefault="000B0EB7" w:rsidP="000B0EB7">
      <w:pPr>
        <w:pStyle w:val="StandardWeb"/>
      </w:pPr>
      <w:r>
        <w:t>Für unabhängige Unsicherheitskomponenten</w:t>
      </w:r>
    </w:p>
    <w:p w:rsidR="000B0EB7" w:rsidRDefault="000B0EB7" w:rsidP="000B0EB7">
      <w:pPr>
        <w:pStyle w:val="StandardWeb"/>
      </w:pPr>
      <w:r>
        <w:t>[</w:t>
      </w:r>
      <w:r>
        <w:br/>
        <w:t>u_1,\ldots,u_r</w:t>
      </w:r>
      <w:r>
        <w:br/>
        <w:t>\tag{3.5488}</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lastRenderedPageBreak/>
        <w:t>u_1,\ldots,u_r\qquad\text{(3.5488)}</w:t>
      </w:r>
    </w:p>
    <w:p w:rsidR="000B0EB7" w:rsidRDefault="000B0EB7" w:rsidP="000B0EB7">
      <w:pPr>
        <w:pStyle w:val="StandardWeb"/>
      </w:pPr>
      <w:r>
        <w:t>kann die kombinierte Standardunsicherheit quadratisch zusammengeführt werden:</w:t>
      </w:r>
    </w:p>
    <w:p w:rsidR="000B0EB7" w:rsidRDefault="000B0EB7" w:rsidP="000B0EB7">
      <w:pPr>
        <w:pStyle w:val="berschrift1"/>
      </w:pPr>
      <w:r>
        <w:t>[</w:t>
      </w:r>
      <w:r>
        <w:br/>
        <w:t>u_{\mathrm{comb}}</w:t>
      </w:r>
    </w:p>
    <w:p w:rsidR="000B0EB7" w:rsidRDefault="000B0EB7" w:rsidP="000B0EB7">
      <w:pPr>
        <w:pStyle w:val="StandardWeb"/>
      </w:pPr>
      <w:r>
        <w:t>\sqrt{</w:t>
      </w:r>
      <w:r>
        <w:br/>
        <w:t>\sum_{i=1}^{r}</w:t>
      </w:r>
      <w:r>
        <w:br/>
        <w:t>u_i^2</w:t>
      </w:r>
      <w:r>
        <w:br/>
        <w:t>}.</w:t>
      </w:r>
      <w:r>
        <w:br/>
        <w:t>\tag{3.5489}</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u_{\mathrm{comb}}=\sqrt{\sum_{i=1}^{r}u_i^2}\qquad\text{(3.5489)}</w:t>
      </w:r>
    </w:p>
    <w:p w:rsidR="000B0EB7" w:rsidRDefault="000B0EB7" w:rsidP="000B0EB7">
      <w:pPr>
        <w:pStyle w:val="StandardWeb"/>
      </w:pPr>
      <w:r>
        <w:t>Bei abhängigen Unsicherheiten müssen Kovarianzterme ergänzt werden:</w:t>
      </w:r>
    </w:p>
    <w:p w:rsidR="000B0EB7" w:rsidRDefault="000B0EB7" w:rsidP="000B0EB7">
      <w:pPr>
        <w:pStyle w:val="berschrift1"/>
      </w:pPr>
      <w:r>
        <w:t>[</w:t>
      </w:r>
      <w:r>
        <w:br/>
        <w:t>u_{\mathrm{comb}}^2</w:t>
      </w:r>
    </w:p>
    <w:p w:rsidR="000B0EB7" w:rsidRDefault="000B0EB7" w:rsidP="000B0EB7">
      <w:pPr>
        <w:pStyle w:val="StandardWeb"/>
      </w:pPr>
      <w:r>
        <w:t>\sum_{i=1}^{r}</w:t>
      </w:r>
      <w:r>
        <w:br/>
        <w:t>u_i^2</w:t>
      </w:r>
      <w:r>
        <w:br/>
        <w:t>+</w:t>
      </w:r>
      <w:r>
        <w:br/>
        <w:t>2</w:t>
      </w:r>
      <w:r>
        <w:br/>
        <w:t>\sum_{i&lt;j}</w:t>
      </w:r>
      <w:r>
        <w:br/>
        <w:t>\operatorname{Cov}</w:t>
      </w:r>
      <w:r>
        <w:br/>
        <w:t>\left(</w:t>
      </w:r>
      <w:r>
        <w:br/>
        <w:t>U_i,U_j</w:t>
      </w:r>
      <w:r>
        <w:br/>
        <w:t>\right).</w:t>
      </w:r>
      <w:r>
        <w:br/>
        <w:t>\tag{3.5490}</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u_{\mathrm{comb}}^2=\sum_{i=1}^{r}u_i^2+2\sum_{i&lt;j}\operatorname{Cov}\left(U_i,U_j\right)\qquad\text{(3.5490)}</w:t>
      </w:r>
    </w:p>
    <w:p w:rsidR="000B0EB7" w:rsidRPr="00AF32B2" w:rsidRDefault="000B0EB7" w:rsidP="00AF32B2">
      <w:pPr>
        <w:pStyle w:val="berschrift4"/>
      </w:pPr>
      <w:r w:rsidRPr="00AF32B2">
        <w:t>3.3.30.16 Unsicherheitskaskade</w:t>
      </w:r>
    </w:p>
    <w:p w:rsidR="000B0EB7" w:rsidRDefault="000B0EB7" w:rsidP="000B0EB7">
      <w:pPr>
        <w:pStyle w:val="StandardWeb"/>
      </w:pPr>
      <w:r>
        <w:t>Die vollständige Unsicherheitskaskade lautet</w:t>
      </w:r>
    </w:p>
    <w:p w:rsidR="000B0EB7" w:rsidRDefault="000B0EB7" w:rsidP="000B0EB7">
      <w:pPr>
        <w:pStyle w:val="StandardWeb"/>
      </w:pPr>
      <w:r>
        <w:t>[</w:t>
      </w:r>
      <w:r>
        <w:br/>
        <w:t>\mathcal{U}</w:t>
      </w:r>
      <w:r>
        <w:rPr>
          <w:rStyle w:val="Hervorhebung"/>
        </w:rPr>
        <w:t>{\mathrm{mess}}</w:t>
      </w:r>
      <w:r>
        <w:rPr>
          <w:i/>
          <w:iCs/>
        </w:rPr>
        <w:br/>
      </w:r>
      <w:r>
        <w:rPr>
          <w:rStyle w:val="Hervorhebung"/>
        </w:rPr>
        <w:t>\longrightarrow</w:t>
      </w:r>
      <w:r>
        <w:rPr>
          <w:i/>
          <w:iCs/>
        </w:rPr>
        <w:br/>
      </w:r>
      <w:r>
        <w:rPr>
          <w:rStyle w:val="Hervorhebung"/>
        </w:rPr>
        <w:t>\mathcal{U}</w:t>
      </w:r>
      <w:r>
        <w:t>{\mathrm{data}}</w:t>
      </w:r>
      <w:r>
        <w:br/>
        <w:t>\longrightarrow</w:t>
      </w:r>
      <w:r>
        <w:br/>
      </w:r>
      <w:r>
        <w:lastRenderedPageBreak/>
        <w:t>\mathcal{U}</w:t>
      </w:r>
      <w:r>
        <w:rPr>
          <w:rStyle w:val="Hervorhebung"/>
        </w:rPr>
        <w:t>{\mathrm{op}}</w:t>
      </w:r>
      <w:r>
        <w:rPr>
          <w:i/>
          <w:iCs/>
        </w:rPr>
        <w:br/>
      </w:r>
      <w:r>
        <w:rPr>
          <w:rStyle w:val="Hervorhebung"/>
        </w:rPr>
        <w:t>\longrightarrow</w:t>
      </w:r>
      <w:r>
        <w:rPr>
          <w:i/>
          <w:iCs/>
        </w:rPr>
        <w:br/>
      </w:r>
      <w:r>
        <w:rPr>
          <w:rStyle w:val="Hervorhebung"/>
        </w:rPr>
        <w:t>\mathcal{U}</w:t>
      </w:r>
      <w:r>
        <w:t>{\theta}</w:t>
      </w:r>
      <w:r>
        <w:br/>
        <w:t>\longrightarrow</w:t>
      </w:r>
      <w:r>
        <w:br/>
        <w:t>\mathcal{U}</w:t>
      </w:r>
      <w:r>
        <w:rPr>
          <w:rStyle w:val="Hervorhebung"/>
        </w:rPr>
        <w:t>{\mathrm{pred}}</w:t>
      </w:r>
      <w:r>
        <w:rPr>
          <w:i/>
          <w:iCs/>
        </w:rPr>
        <w:br/>
      </w:r>
      <w:r>
        <w:rPr>
          <w:rStyle w:val="Hervorhebung"/>
        </w:rPr>
        <w:t>\longrightarrow</w:t>
      </w:r>
      <w:r>
        <w:rPr>
          <w:i/>
          <w:iCs/>
        </w:rPr>
        <w:br/>
      </w:r>
      <w:r>
        <w:rPr>
          <w:rStyle w:val="Hervorhebung"/>
        </w:rPr>
        <w:t>\mathcal{U}</w:t>
      </w:r>
      <w:r>
        <w:t>{\mathrm{dec}}.</w:t>
      </w:r>
      <w:r>
        <w:br/>
        <w:t>\tag{3.5491}</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\mathcal{U}_{\mathrm{mess}}\longrightarrow\mathcal{U}_{\mathrm{data}}\longrightarrow\mathcal{U}_{\mathrm{op}}\longrightarrow\mathcal{U}_{\theta}\longrightarrow\mathcal{U}_{\mathrm{pred}}\longrightarrow\mathcal{U}_{\mathrm{dec}}\qquad\text{(3.5491)}</w:t>
      </w:r>
    </w:p>
    <w:p w:rsidR="000B0EB7" w:rsidRDefault="000B0EB7" w:rsidP="000B0EB7">
      <w:pPr>
        <w:pStyle w:val="StandardWeb"/>
      </w:pPr>
      <w:r>
        <w:t>Jede Stufe kann durch eine Unsicherheitstransformation beschrieben werden:</w:t>
      </w:r>
    </w:p>
    <w:p w:rsidR="000B0EB7" w:rsidRDefault="000B0EB7" w:rsidP="000B0EB7">
      <w:pPr>
        <w:pStyle w:val="berschrift1"/>
      </w:pPr>
      <w:r>
        <w:t>[</w:t>
      </w:r>
      <w:r>
        <w:br/>
        <w:t>\mathcal{U}_{i+1}</w:t>
      </w:r>
    </w:p>
    <w:p w:rsidR="000B0EB7" w:rsidRDefault="000B0EB7" w:rsidP="000B0EB7">
      <w:pPr>
        <w:pStyle w:val="StandardWeb"/>
      </w:pPr>
      <w:r>
        <w:t>\mathcal{T}</w:t>
      </w:r>
      <w:r>
        <w:rPr>
          <w:rStyle w:val="Hervorhebung"/>
        </w:rPr>
        <w:t>{i}^{\mathrm{unc}}</w:t>
      </w:r>
      <w:r>
        <w:rPr>
          <w:i/>
          <w:iCs/>
        </w:rPr>
        <w:br/>
      </w:r>
      <w:r>
        <w:rPr>
          <w:rStyle w:val="Hervorhebung"/>
        </w:rPr>
        <w:t>\left(</w:t>
      </w:r>
      <w:r>
        <w:rPr>
          <w:i/>
          <w:iCs/>
        </w:rPr>
        <w:br/>
      </w:r>
      <w:r>
        <w:rPr>
          <w:rStyle w:val="Hervorhebung"/>
        </w:rPr>
        <w:t>\mathcal{U}</w:t>
      </w:r>
      <w:r>
        <w:t>{i}</w:t>
      </w:r>
      <w:r>
        <w:br/>
        <w:t>\right).</w:t>
      </w:r>
      <w:r>
        <w:br/>
        <w:t>\tag{3.5492}</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\mathcal{U}_{i+1}=\mathcal{T}_{i}^{\mathrm{unc}}\left(\mathcal{U}_{i}\right)\qquad\text{(3.5492)}</w:t>
      </w:r>
    </w:p>
    <w:p w:rsidR="000B0EB7" w:rsidRDefault="000B0EB7" w:rsidP="000B0EB7">
      <w:pPr>
        <w:pStyle w:val="StandardWeb"/>
      </w:pPr>
      <w:r>
        <w:t>Die Gesamttransformation lautet</w:t>
      </w:r>
    </w:p>
    <w:p w:rsidR="000B0EB7" w:rsidRDefault="000B0EB7" w:rsidP="000B0EB7">
      <w:pPr>
        <w:pStyle w:val="berschrift1"/>
      </w:pPr>
      <w:r>
        <w:t>[</w:t>
      </w:r>
      <w:r>
        <w:br/>
        <w:t>\mathcal{T}_{\mathrm{ges}}^{\mathrm{unc}}</w:t>
      </w:r>
    </w:p>
    <w:p w:rsidR="000B0EB7" w:rsidRDefault="000B0EB7" w:rsidP="000B0EB7">
      <w:pPr>
        <w:pStyle w:val="StandardWeb"/>
      </w:pPr>
      <w:r>
        <w:t>\mathcal{T}</w:t>
      </w:r>
      <w:r>
        <w:rPr>
          <w:rStyle w:val="Hervorhebung"/>
        </w:rPr>
        <w:t>{n}^{\mathrm{unc}}</w:t>
      </w:r>
      <w:r>
        <w:rPr>
          <w:i/>
          <w:iCs/>
        </w:rPr>
        <w:br/>
      </w:r>
      <w:r>
        <w:rPr>
          <w:rStyle w:val="Hervorhebung"/>
        </w:rPr>
        <w:t>\circ</w:t>
      </w:r>
      <w:r>
        <w:rPr>
          <w:i/>
          <w:iCs/>
        </w:rPr>
        <w:br/>
      </w:r>
      <w:r>
        <w:rPr>
          <w:rStyle w:val="Hervorhebung"/>
        </w:rPr>
        <w:t>\cdots</w:t>
      </w:r>
      <w:r>
        <w:rPr>
          <w:i/>
          <w:iCs/>
        </w:rPr>
        <w:br/>
      </w:r>
      <w:r>
        <w:rPr>
          <w:rStyle w:val="Hervorhebung"/>
        </w:rPr>
        <w:t>\circ</w:t>
      </w:r>
      <w:r>
        <w:rPr>
          <w:i/>
          <w:iCs/>
        </w:rPr>
        <w:br/>
      </w:r>
      <w:r>
        <w:rPr>
          <w:rStyle w:val="Hervorhebung"/>
        </w:rPr>
        <w:t>\mathcal{T}</w:t>
      </w:r>
      <w:r>
        <w:t>{1}^{\mathrm{unc}}.</w:t>
      </w:r>
      <w:r>
        <w:br/>
        <w:t>\tag{3.5493}</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lastRenderedPageBreak/>
        <w:t>\mathcal{T}_{\mathrm{ges}}^{\mathrm{unc}}=\mathcal{T}_{n}^{\mathrm{unc}}\circ\cdots\circ\mathcal{T}_{1}^{\mathrm{unc}}\qquad\text{(3.5493)}</w:t>
      </w:r>
    </w:p>
    <w:p w:rsidR="000B0EB7" w:rsidRPr="00AF32B2" w:rsidRDefault="000B0EB7" w:rsidP="00AF32B2">
      <w:pPr>
        <w:pStyle w:val="berschrift4"/>
      </w:pPr>
      <w:r w:rsidRPr="00AF32B2">
        <w:t>3.3.30.17 Unsicherheit funktionaler Zustände</w:t>
      </w:r>
    </w:p>
    <w:p w:rsidR="000B0EB7" w:rsidRDefault="000B0EB7" w:rsidP="000B0EB7">
      <w:pPr>
        <w:pStyle w:val="StandardWeb"/>
      </w:pPr>
      <w:r>
        <w:t>Ein operationalisierter Zustand kann als zufällige Größe aufgefasst werden:</w:t>
      </w:r>
    </w:p>
    <w:p w:rsidR="000B0EB7" w:rsidRDefault="000B0EB7" w:rsidP="000B0EB7">
      <w:pPr>
        <w:pStyle w:val="StandardWeb"/>
      </w:pPr>
      <w:r>
        <w:t>[</w:t>
      </w:r>
      <w:r>
        <w:br/>
        <w:t>\Delta</w:t>
      </w:r>
      <w:r>
        <w:br/>
        <w:t>\sim</w:t>
      </w:r>
      <w:r>
        <w:br/>
        <w:t>\mathcal{P}_{\Delta}.</w:t>
      </w:r>
      <w:r>
        <w:br/>
        <w:t>\tag{3.5494}</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\Delta\sim\mathcal{P}_{\Delta}\qquad\text{(3.5494)}</w:t>
      </w:r>
    </w:p>
    <w:p w:rsidR="000B0EB7" w:rsidRDefault="000B0EB7" w:rsidP="000B0EB7">
      <w:pPr>
        <w:pStyle w:val="StandardWeb"/>
      </w:pPr>
      <w:r>
        <w:t>Für einen vektorwertigen Zustand gilt</w:t>
      </w:r>
    </w:p>
    <w:p w:rsidR="000B0EB7" w:rsidRDefault="000B0EB7" w:rsidP="000B0EB7">
      <w:pPr>
        <w:pStyle w:val="StandardWeb"/>
      </w:pPr>
      <w:r>
        <w:t>[</w:t>
      </w:r>
      <w:r>
        <w:br/>
        <w:t>\boldsymbol{\Delta}</w:t>
      </w:r>
      <w:r>
        <w:br/>
        <w:t>\sim</w:t>
      </w:r>
      <w:r>
        <w:br/>
        <w:t>\left(</w:t>
      </w:r>
      <w:r>
        <w:br/>
        <w:t>\boldsymbol{\mu}</w:t>
      </w:r>
      <w:r>
        <w:rPr>
          <w:rStyle w:val="Hervorhebung"/>
        </w:rPr>
        <w:t>{\Delta},</w:t>
      </w:r>
      <w:r>
        <w:rPr>
          <w:i/>
          <w:iCs/>
        </w:rPr>
        <w:br/>
      </w:r>
      <w:r>
        <w:rPr>
          <w:rStyle w:val="Hervorhebung"/>
        </w:rPr>
        <w:t>\Sigma</w:t>
      </w:r>
      <w:r>
        <w:t>{\Delta}</w:t>
      </w:r>
      <w:r>
        <w:br/>
        <w:t>\right).</w:t>
      </w:r>
      <w:r>
        <w:br/>
        <w:t>\tag{3.5495}</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\boldsymbol{\Delta}\sim\left(\boldsymbol{\mu}_{\Delta},\Sigma_{\Delta}\right)\qquad\text{(3.5495)}</w:t>
      </w:r>
    </w:p>
    <w:p w:rsidR="000B0EB7" w:rsidRDefault="000B0EB7" w:rsidP="000B0EB7">
      <w:pPr>
        <w:pStyle w:val="StandardWeb"/>
      </w:pPr>
      <w:r>
        <w:t>Eine Zustandszuordnung kann probabilistisch erfolgen:</w:t>
      </w:r>
    </w:p>
    <w:p w:rsidR="000B0EB7" w:rsidRDefault="000B0EB7" w:rsidP="000B0EB7">
      <w:pPr>
        <w:pStyle w:val="berschrift1"/>
      </w:pPr>
      <w:r>
        <w:t>[</w:t>
      </w:r>
      <w:r>
        <w:br/>
        <w:t>\Pr</w:t>
      </w:r>
      <w:r>
        <w:br/>
        <w:t>\left(</w:t>
      </w:r>
      <w:r>
        <w:br/>
        <w:t>\Delta</w:t>
      </w:r>
    </w:p>
    <w:p w:rsidR="000B0EB7" w:rsidRDefault="000B0EB7" w:rsidP="000B0EB7">
      <w:pPr>
        <w:pStyle w:val="StandardWeb"/>
      </w:pPr>
      <w:r>
        <w:t>\delta_j</w:t>
      </w:r>
      <w:r>
        <w:br/>
        <w:t>\mid</w:t>
      </w:r>
      <w:r>
        <w:br/>
        <w:t>d</w:t>
      </w:r>
      <w:r>
        <w:br/>
        <w:t>\right).</w:t>
      </w:r>
      <w:r>
        <w:br/>
        <w:t>\tag{3.5496}</w:t>
      </w:r>
      <w:r>
        <w:br/>
        <w:t>]</w:t>
      </w:r>
    </w:p>
    <w:p w:rsidR="000B0EB7" w:rsidRDefault="000B0EB7" w:rsidP="000B0EB7">
      <w:pPr>
        <w:pStyle w:val="StandardWeb"/>
      </w:pPr>
      <w:r>
        <w:rPr>
          <w:rStyle w:val="Fett"/>
        </w:rPr>
        <w:lastRenderedPageBreak/>
        <w:t>Word-LaTeX</w:t>
      </w:r>
    </w:p>
    <w:p w:rsidR="000B0EB7" w:rsidRDefault="000B0EB7" w:rsidP="000B0EB7">
      <w:pPr>
        <w:pStyle w:val="HTMLVorformatiert"/>
        <w:rPr>
          <w:rStyle w:val="HTMLCode"/>
        </w:rPr>
      </w:pPr>
      <w:r>
        <w:rPr>
          <w:rStyle w:val="HTMLCode"/>
        </w:rPr>
        <w:t>\Pr\left(\Delta=\delta_j\mid d\right)\qquad\text{(3.5496)}</w:t>
      </w:r>
    </w:p>
    <w:p w:rsidR="000B0EB7" w:rsidRDefault="000B0EB7" w:rsidP="000B0EB7">
      <w:pPr>
        <w:pStyle w:val="StandardWeb"/>
      </w:pPr>
      <w:r>
        <w:t>Damit wird vermieden, eine unsichere Beobachtung künstlich genau einem einzigen funktionalen Zustand zuzuordnen.</w:t>
      </w:r>
    </w:p>
    <w:p w:rsidR="000B0EB7" w:rsidRPr="00AF32B2" w:rsidRDefault="000B0EB7" w:rsidP="00AF32B2">
      <w:pPr>
        <w:pStyle w:val="berschrift4"/>
      </w:pPr>
      <w:r w:rsidRPr="00AF32B2">
        <w:t>3.3.30.18 Unsicherheit funktionaler Relationen</w:t>
      </w:r>
    </w:p>
    <w:p w:rsidR="000B0EB7" w:rsidRDefault="000B0EB7" w:rsidP="000B0EB7">
      <w:pPr>
        <w:pStyle w:val="StandardWeb"/>
      </w:pPr>
      <w:r>
        <w:t>Eine funktionale Relation kann probabilistisch beschrieben werden durch</w:t>
      </w:r>
    </w:p>
    <w:p w:rsidR="000B0EB7" w:rsidRDefault="000B0EB7" w:rsidP="000B0EB7">
      <w:pPr>
        <w:pStyle w:val="StandardWeb"/>
      </w:pPr>
      <w:r>
        <w:t>[</w:t>
      </w:r>
      <w:r>
        <w:br/>
        <w:t>\Pr</w:t>
      </w:r>
      <w:r>
        <w:br/>
        <w:t>\left(</w:t>
      </w:r>
      <w:r>
        <w:br/>
        <w:t>(\delta_i,\delta_j)</w:t>
      </w:r>
      <w:r>
        <w:br/>
        <w:t>\in</w:t>
      </w:r>
      <w:r>
        <w:br/>
        <w:t>R</w:t>
      </w:r>
      <w:r>
        <w:br/>
        <w:t>\right).</w:t>
      </w:r>
      <w:r>
        <w:br/>
        <w:t>\tag{3.5497}</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\Pr\left((\delta_i,\delta_j)\in R\right)\qquad\text{(3.5497)}</w:t>
      </w:r>
    </w:p>
    <w:p w:rsidR="000B0EB7" w:rsidRDefault="000B0EB7" w:rsidP="000B0EB7">
      <w:pPr>
        <w:pStyle w:val="StandardWeb"/>
      </w:pPr>
      <w:r>
        <w:t>Eine schwellenwertbasierte Relationsentscheidung lautet</w:t>
      </w:r>
    </w:p>
    <w:p w:rsidR="000B0EB7" w:rsidRDefault="000B0EB7" w:rsidP="000B0EB7">
      <w:pPr>
        <w:pStyle w:val="StandardWeb"/>
      </w:pPr>
      <w:r>
        <w:t>[</w:t>
      </w:r>
      <w:r>
        <w:br/>
        <w:t>(\delta_i,\delta_j)</w:t>
      </w:r>
      <w:r>
        <w:br/>
        <w:t>\in</w:t>
      </w:r>
      <w:r>
        <w:br/>
        <w:t>R_{\tau}</w:t>
      </w:r>
      <w:r>
        <w:br/>
        <w:t>\iff</w:t>
      </w:r>
      <w:r>
        <w:br/>
        <w:t>p_{ij}</w:t>
      </w:r>
      <w:r>
        <w:br/>
        <w:t>\geq</w:t>
      </w:r>
      <w:r>
        <w:br/>
        <w:t>\tau.</w:t>
      </w:r>
      <w:r>
        <w:br/>
        <w:t>\tag{3.5498}</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(\delta_i,\delta_j)\in R_{\tau}\iff p_{ij}\geq\tau\qquad\text{(3.5498)}</w:t>
      </w:r>
    </w:p>
    <w:p w:rsidR="000B0EB7" w:rsidRDefault="000B0EB7" w:rsidP="000B0EB7">
      <w:pPr>
        <w:pStyle w:val="StandardWeb"/>
      </w:pPr>
      <w:r>
        <w:t>Liegt (p_{ij}) nahe am Schwellenwert, ist die Relationsentscheidung empfindlich:</w:t>
      </w:r>
    </w:p>
    <w:p w:rsidR="000B0EB7" w:rsidRDefault="000B0EB7" w:rsidP="000B0EB7">
      <w:pPr>
        <w:pStyle w:val="berschrift2"/>
      </w:pPr>
      <w:r>
        <w:t>[</w:t>
      </w:r>
      <w:r>
        <w:br/>
        <w:t>\left|</w:t>
      </w:r>
      <w:r>
        <w:br/>
        <w:t>p_{ij}</w:t>
      </w:r>
    </w:p>
    <w:p w:rsidR="000B0EB7" w:rsidRDefault="000B0EB7" w:rsidP="000B0EB7">
      <w:pPr>
        <w:pStyle w:val="StandardWeb"/>
      </w:pPr>
      <w:r>
        <w:t>\tau</w:t>
      </w:r>
      <w:r>
        <w:br/>
        <w:t>\right|</w:t>
      </w:r>
      <w:r>
        <w:br/>
      </w:r>
      <w:r>
        <w:lastRenderedPageBreak/>
        <w:t>\approx</w:t>
      </w:r>
      <w:r>
        <w:br/>
        <w:t>0.</w:t>
      </w:r>
      <w:r>
        <w:br/>
        <w:t>\tag{3.5499}</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\left|p_{ij}-\tau\right|\approx0\qquad\text{(3.5499)}</w:t>
      </w:r>
    </w:p>
    <w:p w:rsidR="000B0EB7" w:rsidRDefault="000B0EB7" w:rsidP="000B0EB7">
      <w:pPr>
        <w:pStyle w:val="StandardWeb"/>
      </w:pPr>
      <w:r>
        <w:t>Die Unsicherheit einzelner Relationen kann sich anschließend auf Erreichbarkeit, Zyklen und funktionale Ordnung auswirken.</w:t>
      </w:r>
    </w:p>
    <w:p w:rsidR="000B0EB7" w:rsidRPr="00AF32B2" w:rsidRDefault="000B0EB7" w:rsidP="00AF32B2">
      <w:pPr>
        <w:pStyle w:val="berschrift4"/>
      </w:pPr>
      <w:r w:rsidRPr="00AF32B2">
        <w:t>3.3.30.19 Unsicherheit funktionaler Transformationen</w:t>
      </w:r>
    </w:p>
    <w:p w:rsidR="000B0EB7" w:rsidRDefault="000B0EB7" w:rsidP="000B0EB7">
      <w:pPr>
        <w:pStyle w:val="StandardWeb"/>
      </w:pPr>
      <w:r>
        <w:t>Eine unsichere Transformation kann parametrisiert werden durch</w:t>
      </w:r>
    </w:p>
    <w:p w:rsidR="000B0EB7" w:rsidRDefault="000B0EB7" w:rsidP="000B0EB7">
      <w:pPr>
        <w:pStyle w:val="StandardWeb"/>
      </w:pPr>
      <w:r>
        <w:t>[</w:t>
      </w:r>
      <w:r>
        <w:br/>
        <w:t>T_{\Theta}.</w:t>
      </w:r>
      <w:r>
        <w:br/>
        <w:t>\tag{3.5500}</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T_{\Theta}\qquad\text{(3.5500)}</w:t>
      </w:r>
    </w:p>
    <w:p w:rsidR="000B0EB7" w:rsidRDefault="000B0EB7" w:rsidP="000B0EB7">
      <w:pPr>
        <w:pStyle w:val="StandardWeb"/>
      </w:pPr>
      <w:r>
        <w:t>Für einen Zustand (\delta) ergibt sich die unsichere Folgeverteilung</w:t>
      </w:r>
    </w:p>
    <w:p w:rsidR="000B0EB7" w:rsidRDefault="000B0EB7" w:rsidP="000B0EB7">
      <w:pPr>
        <w:pStyle w:val="berschrift1"/>
      </w:pPr>
      <w:r>
        <w:t>[</w:t>
      </w:r>
      <w:r>
        <w:br/>
        <w:t>\Delta^{\prime}</w:t>
      </w:r>
    </w:p>
    <w:p w:rsidR="000B0EB7" w:rsidRDefault="000B0EB7" w:rsidP="000B0EB7">
      <w:pPr>
        <w:pStyle w:val="StandardWeb"/>
      </w:pPr>
      <w:r>
        <w:t>T_{\Theta}(\delta).</w:t>
      </w:r>
      <w:r>
        <w:br/>
        <w:t>\tag{3.5501}</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\Delta^{\prime}=T_{\Theta}(\delta)\qquad\text{(3.5501)}</w:t>
      </w:r>
    </w:p>
    <w:p w:rsidR="000B0EB7" w:rsidRDefault="000B0EB7" w:rsidP="000B0EB7">
      <w:pPr>
        <w:pStyle w:val="StandardWeb"/>
      </w:pPr>
      <w:r>
        <w:t>Die Übergangswahrscheinlichkeit lautet</w:t>
      </w:r>
    </w:p>
    <w:p w:rsidR="000B0EB7" w:rsidRDefault="000B0EB7" w:rsidP="000B0EB7">
      <w:pPr>
        <w:pStyle w:val="berschrift1"/>
      </w:pPr>
      <w:r>
        <w:t>[</w:t>
      </w:r>
      <w:r>
        <w:br/>
        <w:t>\Pr</w:t>
      </w:r>
      <w:r>
        <w:br/>
        <w:t>\left(</w:t>
      </w:r>
      <w:r>
        <w:br/>
        <w:t>\Delta^{\prime}</w:t>
      </w:r>
    </w:p>
    <w:p w:rsidR="000B0EB7" w:rsidRDefault="000B0EB7" w:rsidP="000B0EB7">
      <w:pPr>
        <w:pStyle w:val="berschrift1"/>
      </w:pPr>
      <w:r>
        <w:lastRenderedPageBreak/>
        <w:t>\delta_j</w:t>
      </w:r>
      <w:r>
        <w:br/>
        <w:t>\mid</w:t>
      </w:r>
      <w:r>
        <w:br/>
        <w:t>\Delta</w:t>
      </w:r>
    </w:p>
    <w:p w:rsidR="000B0EB7" w:rsidRDefault="000B0EB7" w:rsidP="000B0EB7">
      <w:pPr>
        <w:pStyle w:val="StandardWeb"/>
      </w:pPr>
      <w:r>
        <w:t>\delta_i</w:t>
      </w:r>
      <w:r>
        <w:br/>
        <w:t>\right).</w:t>
      </w:r>
      <w:r>
        <w:br/>
        <w:t>\tag{3.5502}</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\Pr\left(\Delta^{\prime}=\delta_j\mid\Delta=\delta_i\right)\qquad\text{(3.5502)}</w:t>
      </w:r>
    </w:p>
    <w:p w:rsidR="000B0EB7" w:rsidRDefault="000B0EB7" w:rsidP="000B0EB7">
      <w:pPr>
        <w:pStyle w:val="StandardWeb"/>
      </w:pPr>
      <w:r>
        <w:t>Damit kann eine funktionale Transformation sowohl deterministisch als auch probabilistisch repräsentiert werden.</w:t>
      </w:r>
    </w:p>
    <w:p w:rsidR="000B0EB7" w:rsidRPr="00AF32B2" w:rsidRDefault="000B0EB7" w:rsidP="00AF32B2">
      <w:pPr>
        <w:pStyle w:val="berschrift4"/>
      </w:pPr>
      <w:r w:rsidRPr="00AF32B2">
        <w:t>3.3.30.20 Unsicherheit funktionaler Kohärenz</w:t>
      </w:r>
    </w:p>
    <w:p w:rsidR="000B0EB7" w:rsidRDefault="000B0EB7" w:rsidP="000B0EB7">
      <w:pPr>
        <w:pStyle w:val="StandardWeb"/>
      </w:pPr>
      <w:r>
        <w:t>Ein unsicherer Kohärenzwert lautet</w:t>
      </w:r>
    </w:p>
    <w:p w:rsidR="000B0EB7" w:rsidRDefault="000B0EB7" w:rsidP="000B0EB7">
      <w:pPr>
        <w:pStyle w:val="StandardWeb"/>
      </w:pPr>
      <w:r>
        <w:t>[</w:t>
      </w:r>
      <w:r>
        <w:br/>
        <w:t>K_{\mathcal{C}}</w:t>
      </w:r>
      <w:r>
        <w:br/>
        <w:t>\sim</w:t>
      </w:r>
      <w:r>
        <w:br/>
        <w:t>\mathcal{P}_{K}.</w:t>
      </w:r>
      <w:r>
        <w:br/>
        <w:t>\tag{3.5503}</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K_{\mathcal{C}}\sim\mathcal{P}_{K}\qquad\text{(3.5503)}</w:t>
      </w:r>
    </w:p>
    <w:p w:rsidR="000B0EB7" w:rsidRDefault="000B0EB7" w:rsidP="000B0EB7">
      <w:pPr>
        <w:pStyle w:val="StandardWeb"/>
      </w:pPr>
      <w:r>
        <w:t>Sein Erwartungswert ist</w:t>
      </w:r>
    </w:p>
    <w:p w:rsidR="000B0EB7" w:rsidRDefault="000B0EB7" w:rsidP="000B0EB7">
      <w:pPr>
        <w:pStyle w:val="berschrift1"/>
      </w:pPr>
      <w:r>
        <w:t>[</w:t>
      </w:r>
      <w:r>
        <w:br/>
        <w:t>\mu_K</w:t>
      </w:r>
    </w:p>
    <w:p w:rsidR="000B0EB7" w:rsidRDefault="000B0EB7" w:rsidP="000B0EB7">
      <w:pPr>
        <w:pStyle w:val="StandardWeb"/>
      </w:pPr>
      <w:r>
        <w:t>\mathbb{E}</w:t>
      </w:r>
      <w:r>
        <w:br/>
        <w:t>\left[</w:t>
      </w:r>
      <w:r>
        <w:br/>
        <w:t>K_{\mathcal{C}}</w:t>
      </w:r>
      <w:r>
        <w:br/>
        <w:t>\right].</w:t>
      </w:r>
      <w:r>
        <w:br/>
        <w:t>\tag{3.5504}</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\mu_K=\mathbb{E}\left[K_{\mathcal{C}}\right]\qquad\text{(3.5504)}</w:t>
      </w:r>
    </w:p>
    <w:p w:rsidR="000B0EB7" w:rsidRDefault="000B0EB7" w:rsidP="000B0EB7">
      <w:pPr>
        <w:pStyle w:val="StandardWeb"/>
      </w:pPr>
      <w:r>
        <w:lastRenderedPageBreak/>
        <w:t>Seine Varianz ist</w:t>
      </w:r>
    </w:p>
    <w:p w:rsidR="000B0EB7" w:rsidRDefault="000B0EB7" w:rsidP="000B0EB7">
      <w:pPr>
        <w:pStyle w:val="berschrift1"/>
      </w:pPr>
      <w:r>
        <w:t>[</w:t>
      </w:r>
      <w:r>
        <w:br/>
        <w:t>\sigma_K^2</w:t>
      </w:r>
    </w:p>
    <w:p w:rsidR="000B0EB7" w:rsidRDefault="000B0EB7" w:rsidP="000B0EB7">
      <w:pPr>
        <w:pStyle w:val="StandardWeb"/>
      </w:pPr>
      <w:r>
        <w:t>\operatorname{Var}</w:t>
      </w:r>
      <w:r>
        <w:br/>
        <w:t>\left(</w:t>
      </w:r>
      <w:r>
        <w:br/>
        <w:t>K_{\mathcal{C}}</w:t>
      </w:r>
      <w:r>
        <w:br/>
        <w:t>\right).</w:t>
      </w:r>
      <w:r>
        <w:br/>
        <w:t>\tag{3.5505}</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\sigma_K^2=\operatorname{Var}\left(K_{\mathcal{C}}\right)\qquad\text{(3.5505)}</w:t>
      </w:r>
    </w:p>
    <w:p w:rsidR="000B0EB7" w:rsidRDefault="000B0EB7" w:rsidP="000B0EB7">
      <w:pPr>
        <w:pStyle w:val="StandardWeb"/>
      </w:pPr>
      <w:r>
        <w:t>Die Wahrscheinlichkeit einer Kohärenzklasse (C_j) lautet</w:t>
      </w:r>
    </w:p>
    <w:p w:rsidR="000B0EB7" w:rsidRDefault="000B0EB7" w:rsidP="000B0EB7">
      <w:pPr>
        <w:pStyle w:val="StandardWeb"/>
      </w:pPr>
      <w:r>
        <w:t>[</w:t>
      </w:r>
      <w:r>
        <w:br/>
        <w:t>\Pr</w:t>
      </w:r>
      <w:r>
        <w:br/>
        <w:t>\left(</w:t>
      </w:r>
      <w:r>
        <w:br/>
        <w:t>K_{\mathcal{C}}</w:t>
      </w:r>
      <w:r>
        <w:br/>
        <w:t>\in</w:t>
      </w:r>
      <w:r>
        <w:br/>
        <w:t>C_j</w:t>
      </w:r>
      <w:r>
        <w:br/>
        <w:t>\right).</w:t>
      </w:r>
      <w:r>
        <w:br/>
        <w:t>\tag{3.5506}</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\Pr\left(K_{\mathcal{C}}\in C_j\right)\qquad\text{(3.5506)}</w:t>
      </w:r>
    </w:p>
    <w:p w:rsidR="000B0EB7" w:rsidRDefault="000B0EB7" w:rsidP="000B0EB7">
      <w:pPr>
        <w:pStyle w:val="StandardWeb"/>
      </w:pPr>
      <w:r>
        <w:t>Eine qualitative Aussage sollte bei großer Klassenunsicherheit nicht als sichere Klassenzuordnung formuliert werden.</w:t>
      </w:r>
    </w:p>
    <w:p w:rsidR="000B0EB7" w:rsidRPr="00AF32B2" w:rsidRDefault="000B0EB7" w:rsidP="00AF32B2">
      <w:pPr>
        <w:pStyle w:val="berschrift4"/>
      </w:pPr>
      <w:r w:rsidRPr="00AF32B2">
        <w:t>3.3.30.21 Unsicherheit funktionaler Zeit</w:t>
      </w:r>
    </w:p>
    <w:p w:rsidR="000B0EB7" w:rsidRDefault="000B0EB7" w:rsidP="000B0EB7">
      <w:pPr>
        <w:pStyle w:val="StandardWeb"/>
      </w:pPr>
      <w:r>
        <w:t>Ein funktionaler Zeitwert kann als unsichere Größe geschrieben werden:</w:t>
      </w:r>
    </w:p>
    <w:p w:rsidR="000B0EB7" w:rsidRDefault="000B0EB7" w:rsidP="000B0EB7">
      <w:pPr>
        <w:pStyle w:val="StandardWeb"/>
      </w:pPr>
      <w:r>
        <w:t>[</w:t>
      </w:r>
      <w:r>
        <w:br/>
        <w:t>T^{F}</w:t>
      </w:r>
      <w:r>
        <w:br/>
        <w:t>\sim</w:t>
      </w:r>
      <w:r>
        <w:br/>
        <w:t>\mathcal{P}_{T}.</w:t>
      </w:r>
      <w:r>
        <w:br/>
        <w:t>\tag{3.5507}</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T^{F}\sim\mathcal{P}_{T}\qquad\text{(3.5507)}</w:t>
      </w:r>
    </w:p>
    <w:p w:rsidR="000B0EB7" w:rsidRDefault="000B0EB7" w:rsidP="000B0EB7">
      <w:pPr>
        <w:pStyle w:val="StandardWeb"/>
      </w:pPr>
      <w:r>
        <w:lastRenderedPageBreak/>
        <w:t>Für zwei Zustandsklassen kann die Wahrscheinlichkeit ihrer Reihenfolge betrachtet werden:</w:t>
      </w:r>
    </w:p>
    <w:p w:rsidR="000B0EB7" w:rsidRDefault="000B0EB7" w:rsidP="000B0EB7">
      <w:pPr>
        <w:pStyle w:val="StandardWeb"/>
      </w:pPr>
      <w:r>
        <w:t>[</w:t>
      </w:r>
      <w:r>
        <w:br/>
        <w:t>\Pr</w:t>
      </w:r>
      <w:r>
        <w:br/>
        <w:t>\left(</w:t>
      </w:r>
      <w:r>
        <w:br/>
        <w:t>T^{F}([\delta_i])</w:t>
      </w:r>
      <w:r>
        <w:br/>
        <w:t>&lt;</w:t>
      </w:r>
      <w:r>
        <w:br/>
        <w:t>T^{F}([\delta_j])</w:t>
      </w:r>
      <w:r>
        <w:br/>
        <w:t>\right).</w:t>
      </w:r>
      <w:r>
        <w:br/>
        <w:t>\tag{3.5508}</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\Pr\left(T^{F}([\delta_i])&lt;T^{F}([\delta_j])\right)\qquad\text{(3.5508)}</w:t>
      </w:r>
    </w:p>
    <w:p w:rsidR="000B0EB7" w:rsidRDefault="000B0EB7" w:rsidP="000B0EB7">
      <w:pPr>
        <w:pStyle w:val="StandardWeb"/>
      </w:pPr>
      <w:r>
        <w:t>Eine sichere funktionale Reihenfolge kann beispielsweise gefordert werden durch</w:t>
      </w:r>
    </w:p>
    <w:p w:rsidR="000B0EB7" w:rsidRDefault="000B0EB7" w:rsidP="000B0EB7">
      <w:pPr>
        <w:pStyle w:val="StandardWeb"/>
      </w:pPr>
      <w:r>
        <w:t>[</w:t>
      </w:r>
      <w:r>
        <w:br/>
        <w:t>\Pr</w:t>
      </w:r>
      <w:r>
        <w:br/>
        <w:t>\left(</w:t>
      </w:r>
      <w:r>
        <w:br/>
        <w:t>T^{F}([\delta_i])</w:t>
      </w:r>
      <w:r>
        <w:br/>
        <w:t>&lt;</w:t>
      </w:r>
      <w:r>
        <w:br/>
        <w:t>T^{F}([\delta_j])</w:t>
      </w:r>
      <w:r>
        <w:br/>
        <w:t>\right)</w:t>
      </w:r>
      <w:r>
        <w:br/>
        <w:t>\geq</w:t>
      </w:r>
      <w:r>
        <w:br/>
        <w:t>1-\alpha.</w:t>
      </w:r>
      <w:r>
        <w:br/>
        <w:t>\tag{3.5509}</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\Pr\left(T^{F}([\delta_i])&lt;T^{F}([\delta_j])\right)\geq1-\alpha\qquad\text{(3.5509)}</w:t>
      </w:r>
    </w:p>
    <w:p w:rsidR="000B0EB7" w:rsidRPr="00AF32B2" w:rsidRDefault="000B0EB7" w:rsidP="00AF32B2">
      <w:pPr>
        <w:pStyle w:val="berschrift4"/>
      </w:pPr>
      <w:r w:rsidRPr="00AF32B2">
        <w:t>3.3.30.22 Unsicherheit empirischer Entscheidungen</w:t>
      </w:r>
    </w:p>
    <w:p w:rsidR="000B0EB7" w:rsidRDefault="000B0EB7" w:rsidP="000B0EB7">
      <w:pPr>
        <w:pStyle w:val="StandardWeb"/>
      </w:pPr>
      <w:r>
        <w:t>Das empirische Prüfprädikat wird bei unsicheren Größen selbst probabilistisch:</w:t>
      </w:r>
    </w:p>
    <w:p w:rsidR="000B0EB7" w:rsidRDefault="000B0EB7" w:rsidP="000B0EB7">
      <w:pPr>
        <w:pStyle w:val="berschrift1"/>
      </w:pPr>
      <w:r>
        <w:t>[</w:t>
      </w:r>
      <w:r>
        <w:br/>
        <w:t>\Pr</w:t>
      </w:r>
      <w:r>
        <w:br/>
        <w:t>\left(</w:t>
      </w:r>
      <w:r>
        <w:br/>
        <w:t>\mathcal{C}_{\mathrm{emp}}</w:t>
      </w:r>
    </w:p>
    <w:p w:rsidR="000B0EB7" w:rsidRDefault="000B0EB7" w:rsidP="000B0EB7">
      <w:pPr>
        <w:pStyle w:val="StandardWeb"/>
      </w:pPr>
      <w:r>
        <w:t>1</w:t>
      </w:r>
      <w:r>
        <w:br/>
        <w:t>\right).</w:t>
      </w:r>
      <w:r>
        <w:br/>
        <w:t>\tag{3.5510}</w:t>
      </w:r>
      <w:r>
        <w:br/>
        <w:t>]</w:t>
      </w:r>
    </w:p>
    <w:p w:rsidR="000B0EB7" w:rsidRDefault="000B0EB7" w:rsidP="000B0EB7">
      <w:pPr>
        <w:pStyle w:val="StandardWeb"/>
      </w:pPr>
      <w:r>
        <w:rPr>
          <w:rStyle w:val="Fett"/>
        </w:rPr>
        <w:lastRenderedPageBreak/>
        <w:t>Word-LaTeX</w:t>
      </w:r>
    </w:p>
    <w:p w:rsidR="000B0EB7" w:rsidRDefault="000B0EB7" w:rsidP="000B0EB7">
      <w:pPr>
        <w:pStyle w:val="HTMLVorformatiert"/>
        <w:rPr>
          <w:rStyle w:val="HTMLCode"/>
        </w:rPr>
      </w:pPr>
      <w:r>
        <w:rPr>
          <w:rStyle w:val="HTMLCode"/>
        </w:rPr>
        <w:t>\Pr\left(\mathcal{C}_{\mathrm{emp}}=1\right)\qquad\text{(3.5510)}</w:t>
      </w:r>
    </w:p>
    <w:p w:rsidR="000B0EB7" w:rsidRDefault="000B0EB7" w:rsidP="000B0EB7">
      <w:pPr>
        <w:pStyle w:val="StandardWeb"/>
      </w:pPr>
      <w:r>
        <w:t>Eine robuste Annahmeentscheidung kann fordern</w:t>
      </w:r>
    </w:p>
    <w:p w:rsidR="000B0EB7" w:rsidRDefault="000B0EB7" w:rsidP="000B0EB7">
      <w:pPr>
        <w:pStyle w:val="berschrift1"/>
      </w:pPr>
      <w:r>
        <w:t>[</w:t>
      </w:r>
      <w:r>
        <w:br/>
        <w:t>\Pr</w:t>
      </w:r>
      <w:r>
        <w:br/>
        <w:t>\left(</w:t>
      </w:r>
      <w:r>
        <w:br/>
        <w:t>\mathcal{C}_{\mathrm{emp}}</w:t>
      </w:r>
    </w:p>
    <w:p w:rsidR="000B0EB7" w:rsidRDefault="000B0EB7" w:rsidP="000B0EB7">
      <w:pPr>
        <w:pStyle w:val="StandardWeb"/>
      </w:pPr>
      <w:r>
        <w:t>1</w:t>
      </w:r>
      <w:r>
        <w:br/>
        <w:t>\right)</w:t>
      </w:r>
      <w:r>
        <w:br/>
        <w:t>\geq</w:t>
      </w:r>
      <w:r>
        <w:br/>
        <w:t>1-\alpha.</w:t>
      </w:r>
      <w:r>
        <w:br/>
        <w:t>\tag{3.5511}</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\Pr\left(\mathcal{C}_{\mathrm{emp}}=1\right)\geq1-\alpha\qquad\text{(3.5511)}</w:t>
      </w:r>
    </w:p>
    <w:p w:rsidR="000B0EB7" w:rsidRDefault="000B0EB7" w:rsidP="000B0EB7">
      <w:pPr>
        <w:pStyle w:val="StandardWeb"/>
      </w:pPr>
      <w:r>
        <w:t>Eine robuste Zurückweisungsentscheidung kann fordern</w:t>
      </w:r>
    </w:p>
    <w:p w:rsidR="000B0EB7" w:rsidRDefault="000B0EB7" w:rsidP="000B0EB7">
      <w:pPr>
        <w:pStyle w:val="berschrift1"/>
      </w:pPr>
      <w:r>
        <w:t>[</w:t>
      </w:r>
      <w:r>
        <w:br/>
        <w:t>\Pr</w:t>
      </w:r>
      <w:r>
        <w:br/>
        <w:t>\left(</w:t>
      </w:r>
      <w:r>
        <w:br/>
        <w:t>\mathcal{C}_{\mathrm{emp}}</w:t>
      </w:r>
    </w:p>
    <w:p w:rsidR="000B0EB7" w:rsidRDefault="000B0EB7" w:rsidP="000B0EB7">
      <w:pPr>
        <w:pStyle w:val="StandardWeb"/>
      </w:pPr>
      <w:r>
        <w:t>0</w:t>
      </w:r>
      <w:r>
        <w:br/>
        <w:t>\right)</w:t>
      </w:r>
      <w:r>
        <w:br/>
        <w:t>\geq</w:t>
      </w:r>
      <w:r>
        <w:br/>
        <w:t>1-\alpha.</w:t>
      </w:r>
      <w:r>
        <w:br/>
        <w:t>\tag{3.5512}</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\Pr\left(\mathcal{C}_{\mathrm{emp}}=0\right)\geq1-\alpha\qquad\text{(3.5512)}</w:t>
      </w:r>
    </w:p>
    <w:p w:rsidR="000B0EB7" w:rsidRDefault="000B0EB7" w:rsidP="000B0EB7">
      <w:pPr>
        <w:pStyle w:val="StandardWeb"/>
      </w:pPr>
      <w:r>
        <w:t>Liegt keine der beiden Wahrscheinlichkeiten oberhalb der festgelegten Schwelle, ist die empirische Entscheidung unsicher.</w:t>
      </w:r>
    </w:p>
    <w:p w:rsidR="000B0EB7" w:rsidRPr="00AF32B2" w:rsidRDefault="000B0EB7" w:rsidP="00AF32B2">
      <w:pPr>
        <w:pStyle w:val="berschrift4"/>
      </w:pPr>
      <w:r w:rsidRPr="00AF32B2">
        <w:t>3.3.30.23 Unsicherheitsbudget</w:t>
      </w:r>
    </w:p>
    <w:p w:rsidR="000B0EB7" w:rsidRDefault="000B0EB7" w:rsidP="000B0EB7">
      <w:pPr>
        <w:pStyle w:val="StandardWeb"/>
      </w:pPr>
      <w:r>
        <w:lastRenderedPageBreak/>
        <w:t>Das Unsicherheitsbudget einer Ergebnisgröße (Z) zerlegt die Gesamtunsicherheit in Beiträge:</w:t>
      </w:r>
    </w:p>
    <w:p w:rsidR="000B0EB7" w:rsidRDefault="000B0EB7" w:rsidP="000B0EB7">
      <w:pPr>
        <w:pStyle w:val="berschrift1"/>
      </w:pPr>
      <w:r>
        <w:t>[</w:t>
      </w:r>
      <w:r>
        <w:br/>
        <w:t>u_Z^2</w:t>
      </w:r>
    </w:p>
    <w:p w:rsidR="000B0EB7" w:rsidRDefault="000B0EB7" w:rsidP="000B0EB7">
      <w:pPr>
        <w:pStyle w:val="StandardWeb"/>
      </w:pPr>
      <w:r>
        <w:t>u_{\mathrm{mess}}^2</w:t>
      </w:r>
      <w:r>
        <w:br/>
        <w:t>+</w:t>
      </w:r>
      <w:r>
        <w:br/>
        <w:t>u_{\mathrm{stich}}^2</w:t>
      </w:r>
      <w:r>
        <w:br/>
        <w:t>+</w:t>
      </w:r>
      <w:r>
        <w:br/>
        <w:t>u_{\mathrm{op}}^2</w:t>
      </w:r>
      <w:r>
        <w:br/>
        <w:t>+</w:t>
      </w:r>
      <w:r>
        <w:br/>
        <w:t>u_{\mathrm{param}}^2</w:t>
      </w:r>
      <w:r>
        <w:br/>
        <w:t>+</w:t>
      </w:r>
      <w:r>
        <w:br/>
        <w:t>u_{\mathrm{modell}}^2</w:t>
      </w:r>
      <w:r>
        <w:br/>
        <w:t>+</w:t>
      </w:r>
      <w:r>
        <w:br/>
        <w:t>u_{\mathrm{num}}^2</w:t>
      </w:r>
      <w:r>
        <w:br/>
        <w:t>+</w:t>
      </w:r>
      <w:r>
        <w:br/>
        <w:t>u_{\mathrm{cov}}.</w:t>
      </w:r>
      <w:r>
        <w:br/>
        <w:t>\tag{3.5513}</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u_Z^2=u_{\mathrm{mess}}^2+u_{\mathrm{stich}}^2+u_{\mathrm{op}}^2+u_{\mathrm{param}}^2+u_{\mathrm{modell}}^2+u_{\mathrm{num}}^2+u_{\mathrm{cov}}\qquad\text{(3.5513)}</w:t>
      </w:r>
    </w:p>
    <w:p w:rsidR="000B0EB7" w:rsidRDefault="000B0EB7" w:rsidP="000B0EB7">
      <w:pPr>
        <w:pStyle w:val="StandardWeb"/>
      </w:pPr>
      <w:r>
        <w:t>Dabei bezeichnet (u_{\mathrm{cov}}) die zusammengefassten Kovarianzbeiträge.</w:t>
      </w:r>
    </w:p>
    <w:p w:rsidR="000B0EB7" w:rsidRDefault="000B0EB7" w:rsidP="000B0EB7">
      <w:pPr>
        <w:pStyle w:val="StandardWeb"/>
      </w:pPr>
      <w:r>
        <w:t>Der relative Beitrag einer Quelle (i) lautet</w:t>
      </w:r>
    </w:p>
    <w:p w:rsidR="000B0EB7" w:rsidRDefault="000B0EB7" w:rsidP="000B0EB7">
      <w:pPr>
        <w:pStyle w:val="berschrift1"/>
      </w:pPr>
      <w:r>
        <w:t>[</w:t>
      </w:r>
      <w:r>
        <w:br/>
        <w:t>r_i</w:t>
      </w:r>
    </w:p>
    <w:p w:rsidR="000B0EB7" w:rsidRDefault="000B0EB7" w:rsidP="000B0EB7">
      <w:pPr>
        <w:pStyle w:val="StandardWeb"/>
      </w:pPr>
      <w:r>
        <w:t>\frac{</w:t>
      </w:r>
      <w:r>
        <w:br/>
        <w:t>u_i^2</w:t>
      </w:r>
      <w:r>
        <w:br/>
        <w:t>}{</w:t>
      </w:r>
      <w:r>
        <w:br/>
        <w:t>u_Z^2</w:t>
      </w:r>
      <w:r>
        <w:br/>
        <w:t>}.</w:t>
      </w:r>
      <w:r>
        <w:br/>
        <w:t>\tag{3.5514}</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r_i=\frac{u_i^2}{u_Z^2}\qquad\text{(3.5514)}</w:t>
      </w:r>
    </w:p>
    <w:p w:rsidR="000B0EB7" w:rsidRDefault="000B0EB7" w:rsidP="000B0EB7">
      <w:pPr>
        <w:pStyle w:val="StandardWeb"/>
      </w:pPr>
      <w:r>
        <w:t>Für unabhängige vollständig erfasste Beiträge gilt</w:t>
      </w:r>
    </w:p>
    <w:p w:rsidR="000B0EB7" w:rsidRDefault="000B0EB7" w:rsidP="000B0EB7">
      <w:pPr>
        <w:pStyle w:val="berschrift1"/>
      </w:pPr>
      <w:r>
        <w:lastRenderedPageBreak/>
        <w:t>[</w:t>
      </w:r>
      <w:r>
        <w:br/>
        <w:t>\sum_i</w:t>
      </w:r>
      <w:r>
        <w:br/>
        <w:t>r_i</w:t>
      </w:r>
    </w:p>
    <w:p w:rsidR="000B0EB7" w:rsidRDefault="000B0EB7" w:rsidP="00632D23">
      <w:pPr>
        <w:numPr>
          <w:ilvl w:val="0"/>
          <w:numId w:val="180"/>
        </w:numPr>
        <w:spacing w:before="100" w:beforeAutospacing="1" w:after="100" w:afterAutospacing="1"/>
      </w:pPr>
    </w:p>
    <w:p w:rsidR="000B0EB7" w:rsidRDefault="000B0EB7" w:rsidP="000B0EB7">
      <w:pPr>
        <w:pStyle w:val="StandardWeb"/>
      </w:pPr>
      <w:r>
        <w:t>\tag{3.5515}</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\sum_i r_i=1\qquad\text{(3.5515)}</w:t>
      </w:r>
    </w:p>
    <w:p w:rsidR="000B0EB7" w:rsidRDefault="000B0EB7" w:rsidP="000B0EB7">
      <w:pPr>
        <w:pStyle w:val="StandardWeb"/>
      </w:pPr>
      <w:r>
        <w:rPr>
          <w:rStyle w:val="Fett"/>
        </w:rPr>
        <w:t>Eigenleistung des FRZK</w:t>
      </w:r>
    </w:p>
    <w:p w:rsidR="000B0EB7" w:rsidRDefault="000B0EB7" w:rsidP="000B0EB7">
      <w:pPr>
        <w:pStyle w:val="StandardWeb"/>
      </w:pPr>
      <w:r>
        <w:t>Ich verwende das Unsicherheitsbudget, um die dominante Unsicherheitsquelle einer FRZK-Aussage zu bestimmen. Dadurch können zusätzliche Messungen, eine verbesserte Operationalisierung oder eine genauere numerische Berechnung gezielt dort eingesetzt werden, wo sie den größten Erkenntnisgewinn erzeugen.</w:t>
      </w:r>
    </w:p>
    <w:p w:rsidR="000B0EB7" w:rsidRPr="00AF32B2" w:rsidRDefault="000B0EB7" w:rsidP="00AF32B2">
      <w:pPr>
        <w:pStyle w:val="berschrift4"/>
      </w:pPr>
      <w:r w:rsidRPr="00AF32B2">
        <w:t>3.3.30.24 Unsicherheitsreduktion</w:t>
      </w:r>
    </w:p>
    <w:p w:rsidR="000B0EB7" w:rsidRDefault="000B0EB7" w:rsidP="000B0EB7">
      <w:pPr>
        <w:pStyle w:val="StandardWeb"/>
      </w:pPr>
      <w:r>
        <w:t>Eine Maßnahme (a) verändert die Unsicherheit von</w:t>
      </w:r>
    </w:p>
    <w:p w:rsidR="000B0EB7" w:rsidRDefault="000B0EB7" w:rsidP="000B0EB7">
      <w:pPr>
        <w:pStyle w:val="StandardWeb"/>
      </w:pPr>
      <w:r>
        <w:t>[</w:t>
      </w:r>
      <w:r>
        <w:br/>
        <w:t>u_Z</w:t>
      </w:r>
      <w:r>
        <w:br/>
        <w:t>\tag{3.5516}</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u_Z\qquad\text{(3.5516)}</w:t>
      </w:r>
    </w:p>
    <w:p w:rsidR="000B0EB7" w:rsidRDefault="000B0EB7" w:rsidP="000B0EB7">
      <w:pPr>
        <w:pStyle w:val="StandardWeb"/>
      </w:pPr>
      <w:r>
        <w:t>zu</w:t>
      </w:r>
    </w:p>
    <w:p w:rsidR="000B0EB7" w:rsidRDefault="000B0EB7" w:rsidP="000B0EB7">
      <w:pPr>
        <w:pStyle w:val="StandardWeb"/>
      </w:pPr>
      <w:r>
        <w:t>[</w:t>
      </w:r>
      <w:r>
        <w:br/>
        <w:t>u_Z^{(a)}.</w:t>
      </w:r>
      <w:r>
        <w:br/>
        <w:t>\tag{3.5517}</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u_Z^{(a)}\qquad\text{(3.5517)}</w:t>
      </w:r>
    </w:p>
    <w:p w:rsidR="000B0EB7" w:rsidRDefault="000B0EB7" w:rsidP="000B0EB7">
      <w:pPr>
        <w:pStyle w:val="StandardWeb"/>
      </w:pPr>
      <w:r>
        <w:t>Der Unsicherheitsgewinn lautet</w:t>
      </w:r>
    </w:p>
    <w:p w:rsidR="000B0EB7" w:rsidRDefault="000B0EB7" w:rsidP="000B0EB7">
      <w:pPr>
        <w:pStyle w:val="berschrift1"/>
      </w:pPr>
      <w:r>
        <w:t>[</w:t>
      </w:r>
      <w:r>
        <w:br/>
        <w:t>G_{\mathrm{unc}}(a)</w:t>
      </w:r>
    </w:p>
    <w:p w:rsidR="000B0EB7" w:rsidRDefault="000B0EB7" w:rsidP="000B0EB7">
      <w:pPr>
        <w:pStyle w:val="berschrift2"/>
      </w:pPr>
      <w:r>
        <w:lastRenderedPageBreak/>
        <w:t>u_Z</w:t>
      </w:r>
    </w:p>
    <w:p w:rsidR="000B0EB7" w:rsidRDefault="000B0EB7" w:rsidP="000B0EB7">
      <w:pPr>
        <w:pStyle w:val="StandardWeb"/>
      </w:pPr>
      <w:r>
        <w:t>u_Z^{(a)}.</w:t>
      </w:r>
      <w:r>
        <w:br/>
        <w:t>\tag{3.5518}</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G_{\mathrm{unc}}(a)=u_Z-u_Z^{(a)}\qquad\text{(3.5518)}</w:t>
      </w:r>
    </w:p>
    <w:p w:rsidR="000B0EB7" w:rsidRDefault="000B0EB7" w:rsidP="000B0EB7">
      <w:pPr>
        <w:pStyle w:val="StandardWeb"/>
      </w:pPr>
      <w:r>
        <w:t>Eine wirksame Maßnahme erfüllt</w:t>
      </w:r>
    </w:p>
    <w:p w:rsidR="000B0EB7" w:rsidRDefault="000B0EB7" w:rsidP="000B0EB7">
      <w:pPr>
        <w:pStyle w:val="StandardWeb"/>
      </w:pPr>
      <w:r>
        <w:t>[</w:t>
      </w:r>
      <w:r>
        <w:br/>
        <w:t>G_{\mathrm{unc}}(a)</w:t>
      </w:r>
    </w:p>
    <w:p w:rsidR="000B0EB7" w:rsidRDefault="000B0EB7" w:rsidP="00632D23">
      <w:pPr>
        <w:numPr>
          <w:ilvl w:val="0"/>
          <w:numId w:val="181"/>
        </w:numPr>
        <w:spacing w:before="100" w:beforeAutospacing="1" w:after="100" w:afterAutospacing="1"/>
      </w:pPr>
    </w:p>
    <w:p w:rsidR="000B0EB7" w:rsidRDefault="000B0EB7" w:rsidP="000B0EB7">
      <w:pPr>
        <w:pStyle w:val="StandardWeb"/>
      </w:pPr>
      <w:r>
        <w:t>\tag{3.5519}</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G_{\mathrm{unc}}(a)&gt;0\qquad\text{(3.5519)}</w:t>
      </w:r>
    </w:p>
    <w:p w:rsidR="000B0EB7" w:rsidRDefault="000B0EB7" w:rsidP="000B0EB7">
      <w:pPr>
        <w:pStyle w:val="StandardWeb"/>
      </w:pPr>
      <w:r>
        <w:t>Eine Unsicherheitsreduktion darf jedoch nicht durch eine unbegründete Einschränkung des Modellraums lediglich vorgetäuscht werden.</w:t>
      </w:r>
    </w:p>
    <w:p w:rsidR="000B0EB7" w:rsidRPr="00AF32B2" w:rsidRDefault="000B0EB7" w:rsidP="00AF32B2">
      <w:pPr>
        <w:pStyle w:val="berschrift4"/>
      </w:pPr>
      <w:r w:rsidRPr="00AF32B2">
        <w:t>3.3.30.25 Satz zur linearen Kovarianzfortpflanzung</w:t>
      </w:r>
    </w:p>
    <w:p w:rsidR="000B0EB7" w:rsidRDefault="000B0EB7" w:rsidP="000B0EB7">
      <w:pPr>
        <w:pStyle w:val="StandardWeb"/>
      </w:pPr>
      <w:r>
        <w:rPr>
          <w:rStyle w:val="Fett"/>
        </w:rPr>
        <w:t>Satz 3.3.12 – Linearisierte Kovarianzfortpflanzung in einer FRZK-Abbildung</w:t>
      </w:r>
    </w:p>
    <w:p w:rsidR="000B0EB7" w:rsidRDefault="000B0EB7" w:rsidP="000B0EB7">
      <w:pPr>
        <w:pStyle w:val="StandardWeb"/>
      </w:pPr>
      <w:r>
        <w:t>Sei</w:t>
      </w:r>
    </w:p>
    <w:p w:rsidR="000B0EB7" w:rsidRDefault="000B0EB7" w:rsidP="000B0EB7">
      <w:pPr>
        <w:pStyle w:val="berschrift1"/>
      </w:pPr>
      <w:r>
        <w:t>[</w:t>
      </w:r>
      <w:r>
        <w:br/>
        <w:t>\mathbf{Y}</w:t>
      </w:r>
    </w:p>
    <w:p w:rsidR="000B0EB7" w:rsidRDefault="000B0EB7" w:rsidP="000B0EB7">
      <w:pPr>
        <w:pStyle w:val="StandardWeb"/>
      </w:pPr>
      <w:r>
        <w:t>f(\mathbf{X})</w:t>
      </w:r>
      <w:r>
        <w:br/>
        <w:t>\tag{3.5520}</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\mathbf{Y}=f(\mathbf{X})\qquad\text{(3.5520)}</w:t>
      </w:r>
    </w:p>
    <w:p w:rsidR="000B0EB7" w:rsidRDefault="000B0EB7" w:rsidP="000B0EB7">
      <w:pPr>
        <w:pStyle w:val="StandardWeb"/>
      </w:pPr>
      <w:r>
        <w:t>mit einer in einer Umgebung von (\boldsymbol{\mu}_X) differenzierbaren Abbildung (f). Für hinreichend kleine Eingangsunsicherheiten gilt näherungsweise</w:t>
      </w:r>
    </w:p>
    <w:p w:rsidR="000B0EB7" w:rsidRDefault="000B0EB7" w:rsidP="000B0EB7">
      <w:pPr>
        <w:pStyle w:val="StandardWeb"/>
      </w:pPr>
      <w:r>
        <w:t>[</w:t>
      </w:r>
      <w:r>
        <w:br/>
        <w:t>\Sigma_Y</w:t>
      </w:r>
      <w:r>
        <w:br/>
      </w:r>
      <w:r>
        <w:lastRenderedPageBreak/>
        <w:t>\approx</w:t>
      </w:r>
      <w:r>
        <w:br/>
        <w:t>J_f</w:t>
      </w:r>
      <w:r>
        <w:br/>
        <w:t>\Sigma_X</w:t>
      </w:r>
      <w:r>
        <w:br/>
        <w:t>J_f^{\mathsf{T}}.</w:t>
      </w:r>
      <w:r>
        <w:br/>
        <w:t>\tag{3.5521}</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\Sigma_Y\approx J_f\Sigma_XJ_f^{\mathsf{T}}\qquad\text{(3.5521)}</w:t>
      </w:r>
    </w:p>
    <w:p w:rsidR="000B0EB7" w:rsidRDefault="000B0EB7" w:rsidP="000B0EB7">
      <w:pPr>
        <w:pStyle w:val="berschrift3"/>
      </w:pPr>
      <w:r>
        <w:t>Beweis</w:t>
      </w:r>
    </w:p>
    <w:p w:rsidR="000B0EB7" w:rsidRDefault="000B0EB7" w:rsidP="000B0EB7">
      <w:pPr>
        <w:pStyle w:val="StandardWeb"/>
      </w:pPr>
      <w:r>
        <w:t>Die erste Taylor-Näherung von (f) um (\boldsymbol{\mu}_X) lautet</w:t>
      </w:r>
    </w:p>
    <w:p w:rsidR="000B0EB7" w:rsidRDefault="000B0EB7" w:rsidP="000B0EB7">
      <w:pPr>
        <w:pStyle w:val="berschrift2"/>
      </w:pPr>
      <w:r>
        <w:t>[</w:t>
      </w:r>
      <w:r>
        <w:br/>
        <w:t>f(\mathbf{X})</w:t>
      </w:r>
      <w:r>
        <w:br/>
        <w:t>\approx</w:t>
      </w:r>
      <w:r>
        <w:br/>
        <w:t>f(\boldsymbol{\mu}_X)</w:t>
      </w:r>
      <w:r>
        <w:br/>
        <w:t>+</w:t>
      </w:r>
      <w:r>
        <w:br/>
        <w:t>J_f</w:t>
      </w:r>
      <w:r>
        <w:br/>
        <w:t>\left(</w:t>
      </w:r>
      <w:r>
        <w:br/>
        <w:t>\mathbf{X}</w:t>
      </w:r>
    </w:p>
    <w:p w:rsidR="000B0EB7" w:rsidRDefault="000B0EB7" w:rsidP="000B0EB7">
      <w:pPr>
        <w:pStyle w:val="StandardWeb"/>
      </w:pPr>
      <w:r>
        <w:t>\boldsymbol{\mu}_X</w:t>
      </w:r>
      <w:r>
        <w:br/>
        <w:t>\right).</w:t>
      </w:r>
      <w:r>
        <w:br/>
        <w:t>\tag{3.5522}</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f(\mathbf{X})\approx f(\boldsymbol{\mu}_X)+J_f\left(\mathbf{X}-\boldsymbol{\mu}_X\right)\qquad\text{(3.5522)}</w:t>
      </w:r>
    </w:p>
    <w:p w:rsidR="000B0EB7" w:rsidRDefault="000B0EB7" w:rsidP="000B0EB7">
      <w:pPr>
        <w:pStyle w:val="StandardWeb"/>
      </w:pPr>
      <w:r>
        <w:t>Der konstante Term (f(\boldsymbol{\mu}_X)) trägt nicht zur Kovarianz bei. Daher gilt</w:t>
      </w:r>
    </w:p>
    <w:p w:rsidR="000B0EB7" w:rsidRDefault="000B0EB7" w:rsidP="000B0EB7">
      <w:pPr>
        <w:pStyle w:val="berschrift2"/>
      </w:pPr>
      <w:r>
        <w:t>[</w:t>
      </w:r>
      <w:r>
        <w:br/>
        <w:t>\operatorname{Cov}</w:t>
      </w:r>
      <w:r>
        <w:br/>
        <w:t>\left(</w:t>
      </w:r>
      <w:r>
        <w:br/>
        <w:t>\mathbf{Y}</w:t>
      </w:r>
      <w:r>
        <w:br/>
        <w:t>\right)</w:t>
      </w:r>
      <w:r>
        <w:br/>
        <w:t>\approx</w:t>
      </w:r>
      <w:r>
        <w:br/>
        <w:t>\operatorname{Cov}</w:t>
      </w:r>
      <w:r>
        <w:br/>
      </w:r>
      <w:r>
        <w:lastRenderedPageBreak/>
        <w:t>\left(</w:t>
      </w:r>
      <w:r>
        <w:br/>
        <w:t>J_f</w:t>
      </w:r>
      <w:r>
        <w:br/>
        <w:t>\left(</w:t>
      </w:r>
      <w:r>
        <w:br/>
        <w:t>\mathbf{X}</w:t>
      </w:r>
    </w:p>
    <w:p w:rsidR="000B0EB7" w:rsidRDefault="000B0EB7" w:rsidP="000B0EB7">
      <w:pPr>
        <w:pStyle w:val="StandardWeb"/>
      </w:pPr>
      <w:r>
        <w:t>\boldsymbol{\mu}_X</w:t>
      </w:r>
      <w:r>
        <w:br/>
        <w:t>\right)</w:t>
      </w:r>
      <w:r>
        <w:br/>
        <w:t>\right).</w:t>
      </w:r>
      <w:r>
        <w:br/>
        <w:t>\tag{3.5523}</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\operatorname{Cov}\left(\mathbf{Y}\right)\approx\operatorname{Cov}\left(J_f\left(\mathbf{X}-\boldsymbol{\mu}_X\right)\right)\qquad\text{(3.5523)}</w:t>
      </w:r>
    </w:p>
    <w:p w:rsidR="000B0EB7" w:rsidRDefault="000B0EB7" w:rsidP="000B0EB7">
      <w:pPr>
        <w:pStyle w:val="StandardWeb"/>
      </w:pPr>
      <w:r>
        <w:t>Für eine konstante Matrix (J_f) gilt</w:t>
      </w:r>
    </w:p>
    <w:p w:rsidR="000B0EB7" w:rsidRDefault="000B0EB7" w:rsidP="000B0EB7">
      <w:pPr>
        <w:pStyle w:val="berschrift1"/>
      </w:pPr>
      <w:r>
        <w:t>[</w:t>
      </w:r>
      <w:r>
        <w:br/>
        <w:t>\operatorname{Cov}</w:t>
      </w:r>
      <w:r>
        <w:br/>
        <w:t>\left(</w:t>
      </w:r>
      <w:r>
        <w:br/>
        <w:t>J_f\mathbf{X}</w:t>
      </w:r>
      <w:r>
        <w:br/>
        <w:t>\right)</w:t>
      </w:r>
    </w:p>
    <w:p w:rsidR="000B0EB7" w:rsidRDefault="000B0EB7" w:rsidP="000B0EB7">
      <w:pPr>
        <w:pStyle w:val="StandardWeb"/>
      </w:pPr>
      <w:r>
        <w:t>J_f</w:t>
      </w:r>
      <w:r>
        <w:br/>
        <w:t>\operatorname{Cov}</w:t>
      </w:r>
      <w:r>
        <w:br/>
        <w:t>\left(</w:t>
      </w:r>
      <w:r>
        <w:br/>
        <w:t>\mathbf{X}</w:t>
      </w:r>
      <w:r>
        <w:br/>
        <w:t>\right)</w:t>
      </w:r>
      <w:r>
        <w:br/>
        <w:t>J_f^{\mathsf{T}}.</w:t>
      </w:r>
      <w:r>
        <w:br/>
        <w:t>\tag{3.5524}</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\operatorname{Cov}\left(J_f\mathbf{X}\right)=J_f\operatorname{Cov}\left(\mathbf{X}\right)J_f^{\mathsf{T}}\qquad\text{(3.5524)}</w:t>
      </w:r>
    </w:p>
    <w:p w:rsidR="000B0EB7" w:rsidRDefault="000B0EB7" w:rsidP="000B0EB7">
      <w:pPr>
        <w:pStyle w:val="StandardWeb"/>
      </w:pPr>
      <w:r>
        <w:t>Mit (\operatorname{Cov}(\mathbf{X})=\Sigma_X) folgt</w:t>
      </w:r>
    </w:p>
    <w:p w:rsidR="000B0EB7" w:rsidRDefault="000B0EB7" w:rsidP="000B0EB7">
      <w:pPr>
        <w:pStyle w:val="StandardWeb"/>
      </w:pPr>
      <w:r>
        <w:t>[</w:t>
      </w:r>
      <w:r>
        <w:br/>
        <w:t>\Sigma_Y</w:t>
      </w:r>
      <w:r>
        <w:br/>
        <w:t>\approx</w:t>
      </w:r>
      <w:r>
        <w:br/>
        <w:t>J_f</w:t>
      </w:r>
      <w:r>
        <w:br/>
        <w:t>\Sigma_X</w:t>
      </w:r>
      <w:r>
        <w:br/>
        <w:t>J_f^{\mathsf{T}}.</w:t>
      </w:r>
      <w:r>
        <w:br/>
      </w:r>
      <w:r>
        <w:lastRenderedPageBreak/>
        <w:t>\tag{3.5525}</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\Sigma_Y\approx J_f\Sigma_XJ_f^{\mathsf{T}}\qquad\text{(3.5525)}</w:t>
      </w:r>
    </w:p>
    <w:p w:rsidR="000B0EB7" w:rsidRDefault="000B0EB7" w:rsidP="000B0EB7">
      <w:pPr>
        <w:pStyle w:val="StandardWeb"/>
      </w:pPr>
      <w:r>
        <w:t>Damit ist die linearisierte Kovarianzfortpflanzung gezeigt. (\square)</w:t>
      </w:r>
    </w:p>
    <w:p w:rsidR="000B0EB7" w:rsidRPr="00AF32B2" w:rsidRDefault="000B0EB7" w:rsidP="00AF32B2">
      <w:pPr>
        <w:pStyle w:val="berschrift4"/>
      </w:pPr>
      <w:r w:rsidRPr="00AF32B2">
        <w:t>3.3.30.26 Reichweite des Unsicherheitsfortpflanzungssatzes</w:t>
      </w:r>
    </w:p>
    <w:p w:rsidR="000B0EB7" w:rsidRDefault="000B0EB7" w:rsidP="000B0EB7">
      <w:pPr>
        <w:pStyle w:val="StandardWeb"/>
      </w:pPr>
      <w:r>
        <w:t>Satz 3.3.12 liefert eine Näherung. Er gilt nicht uneingeschränkt bei:</w:t>
      </w:r>
    </w:p>
    <w:p w:rsidR="000B0EB7" w:rsidRDefault="000B0EB7" w:rsidP="00632D23">
      <w:pPr>
        <w:pStyle w:val="StandardWeb"/>
        <w:numPr>
          <w:ilvl w:val="0"/>
          <w:numId w:val="182"/>
        </w:numPr>
      </w:pPr>
      <w:r>
        <w:t>großen Eingangsunsicherheiten,</w:t>
      </w:r>
    </w:p>
    <w:p w:rsidR="000B0EB7" w:rsidRDefault="000B0EB7" w:rsidP="00632D23">
      <w:pPr>
        <w:pStyle w:val="StandardWeb"/>
        <w:numPr>
          <w:ilvl w:val="0"/>
          <w:numId w:val="182"/>
        </w:numPr>
      </w:pPr>
      <w:r>
        <w:t>stark nichtlinearen Abbildungen,</w:t>
      </w:r>
    </w:p>
    <w:p w:rsidR="000B0EB7" w:rsidRDefault="000B0EB7" w:rsidP="00632D23">
      <w:pPr>
        <w:pStyle w:val="StandardWeb"/>
        <w:numPr>
          <w:ilvl w:val="0"/>
          <w:numId w:val="182"/>
        </w:numPr>
      </w:pPr>
      <w:r>
        <w:t>multimodalen Verteilungen,</w:t>
      </w:r>
    </w:p>
    <w:p w:rsidR="000B0EB7" w:rsidRDefault="000B0EB7" w:rsidP="00632D23">
      <w:pPr>
        <w:pStyle w:val="StandardWeb"/>
        <w:numPr>
          <w:ilvl w:val="0"/>
          <w:numId w:val="182"/>
        </w:numPr>
      </w:pPr>
      <w:r>
        <w:t>unstetigen Entscheidungen,</w:t>
      </w:r>
    </w:p>
    <w:p w:rsidR="000B0EB7" w:rsidRDefault="000B0EB7" w:rsidP="00632D23">
      <w:pPr>
        <w:pStyle w:val="StandardWeb"/>
        <w:numPr>
          <w:ilvl w:val="0"/>
          <w:numId w:val="182"/>
        </w:numPr>
      </w:pPr>
      <w:r>
        <w:t>diskreten Strukturwechseln,</w:t>
      </w:r>
    </w:p>
    <w:p w:rsidR="000B0EB7" w:rsidRDefault="000B0EB7" w:rsidP="00632D23">
      <w:pPr>
        <w:pStyle w:val="StandardWeb"/>
        <w:numPr>
          <w:ilvl w:val="0"/>
          <w:numId w:val="182"/>
        </w:numPr>
      </w:pPr>
      <w:r>
        <w:t>nicht differenzierbaren Modellkomponenten.</w:t>
      </w:r>
    </w:p>
    <w:p w:rsidR="000B0EB7" w:rsidRDefault="000B0EB7" w:rsidP="000B0EB7">
      <w:pPr>
        <w:pStyle w:val="StandardWeb"/>
      </w:pPr>
      <w:r>
        <w:t>Die Differenz zwischen tatsächlicher und linearisierter Kovarianz lautet</w:t>
      </w:r>
    </w:p>
    <w:p w:rsidR="000B0EB7" w:rsidRDefault="000B0EB7" w:rsidP="000B0EB7">
      <w:pPr>
        <w:pStyle w:val="berschrift1"/>
      </w:pPr>
      <w:r>
        <w:t>[</w:t>
      </w:r>
      <w:r>
        <w:br/>
        <w:t>\Delta\Sigma</w:t>
      </w:r>
    </w:p>
    <w:p w:rsidR="000B0EB7" w:rsidRDefault="000B0EB7" w:rsidP="000B0EB7">
      <w:pPr>
        <w:pStyle w:val="berschrift2"/>
      </w:pPr>
      <w:r>
        <w:t>\Sigma_Y</w:t>
      </w:r>
    </w:p>
    <w:p w:rsidR="000B0EB7" w:rsidRDefault="000B0EB7" w:rsidP="000B0EB7">
      <w:pPr>
        <w:pStyle w:val="StandardWeb"/>
      </w:pPr>
      <w:r>
        <w:t>J_f</w:t>
      </w:r>
      <w:r>
        <w:br/>
        <w:t>\Sigma_X</w:t>
      </w:r>
      <w:r>
        <w:br/>
        <w:t>J_f^{\mathsf{T}}.</w:t>
      </w:r>
      <w:r>
        <w:br/>
        <w:t>\tag{3.5526}</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\Delta\Sigma=\Sigma_Y-J_f\Sigma_XJ_f^{\mathsf{T}}\qquad\text{(3.5526)}</w:t>
      </w:r>
    </w:p>
    <w:p w:rsidR="000B0EB7" w:rsidRDefault="000B0EB7" w:rsidP="000B0EB7">
      <w:pPr>
        <w:pStyle w:val="StandardWeb"/>
      </w:pPr>
      <w:r>
        <w:t>Ist</w:t>
      </w:r>
    </w:p>
    <w:p w:rsidR="000B0EB7" w:rsidRDefault="000B0EB7" w:rsidP="000B0EB7">
      <w:pPr>
        <w:pStyle w:val="StandardWeb"/>
      </w:pPr>
      <w:r>
        <w:t>[</w:t>
      </w:r>
      <w:r>
        <w:br/>
        <w:t>\left|</w:t>
      </w:r>
      <w:r>
        <w:br/>
        <w:t>\Delta\Sigma</w:t>
      </w:r>
      <w:r>
        <w:br/>
        <w:t>\right|</w:t>
      </w:r>
      <w:r>
        <w:br/>
        <w:t>\not\approx</w:t>
      </w:r>
      <w:r>
        <w:br/>
        <w:t>0,</w:t>
      </w:r>
      <w:r>
        <w:br/>
        <w:t>\tag{3.5527}</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lastRenderedPageBreak/>
        <w:t>\left\|\Delta\Sigma\right\|\not\approx0\qquad\text{(3.5527)}</w:t>
      </w:r>
    </w:p>
    <w:p w:rsidR="000B0EB7" w:rsidRDefault="000B0EB7" w:rsidP="000B0EB7">
      <w:pPr>
        <w:pStyle w:val="StandardWeb"/>
      </w:pPr>
      <w:r>
        <w:t>muss eine nichtlineare oder simulationsbasierte Fortpflanzungsmethode verwendet werden.</w:t>
      </w:r>
    </w:p>
    <w:p w:rsidR="000B0EB7" w:rsidRPr="00AF32B2" w:rsidRDefault="000B0EB7" w:rsidP="00AF32B2">
      <w:pPr>
        <w:pStyle w:val="berschrift4"/>
      </w:pPr>
      <w:r w:rsidRPr="00AF32B2">
        <w:t>3.3.30.27 Unsicherheitsklasse einer Aussage</w:t>
      </w:r>
    </w:p>
    <w:p w:rsidR="000B0EB7" w:rsidRDefault="000B0EB7" w:rsidP="000B0EB7">
      <w:pPr>
        <w:pStyle w:val="StandardWeb"/>
      </w:pPr>
      <w:r>
        <w:t>Ich unterscheide vier Unsicherheitsklassen:</w:t>
      </w:r>
    </w:p>
    <w:p w:rsidR="000B0EB7" w:rsidRDefault="000B0EB7" w:rsidP="000B0EB7">
      <w:pPr>
        <w:pStyle w:val="berschrift1"/>
      </w:pPr>
      <w:r>
        <w:t>[</w:t>
      </w:r>
      <w:r>
        <w:br/>
        <w:t>\mathfrak{L}_{\mathrm{unc}}</w:t>
      </w:r>
    </w:p>
    <w:p w:rsidR="000B0EB7" w:rsidRDefault="000B0EB7" w:rsidP="000B0EB7">
      <w:pPr>
        <w:pStyle w:val="StandardWeb"/>
      </w:pPr>
      <w:r>
        <w:t>\left{</w:t>
      </w:r>
      <w:r>
        <w:br/>
        <w:t>\mathbf{gering},</w:t>
      </w:r>
      <w:r>
        <w:br/>
        <w:t>\mathbf{moderat},</w:t>
      </w:r>
      <w:r>
        <w:br/>
        <w:t>\mathbf{hoch},</w:t>
      </w:r>
      <w:r>
        <w:br/>
        <w:t>\mathbf{nicht\ quantifizierbar}</w:t>
      </w:r>
      <w:r>
        <w:br/>
        <w:t>\right}.</w:t>
      </w:r>
      <w:r>
        <w:br/>
        <w:t>\tag{3.5528}</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\mathfrak{L}_{\mathrm{unc}}=\left\{\mathbf{gering},\mathbf{moderat},\mathbf{hoch},\mathbf{nicht\ quantifizierbar}\right\}\qquad\text{(3.5528)}</w:t>
      </w:r>
    </w:p>
    <w:p w:rsidR="000B0EB7" w:rsidRDefault="000B0EB7" w:rsidP="000B0EB7">
      <w:pPr>
        <w:pStyle w:val="StandardWeb"/>
      </w:pPr>
      <w:r>
        <w:t>Die Zuordnungsabbildung lautet</w:t>
      </w:r>
    </w:p>
    <w:p w:rsidR="000B0EB7" w:rsidRDefault="000B0EB7" w:rsidP="000B0EB7">
      <w:pPr>
        <w:pStyle w:val="StandardWeb"/>
      </w:pPr>
      <w:r>
        <w:t>[</w:t>
      </w:r>
      <w:r>
        <w:br/>
        <w:t>\operatorname{Klasse}</w:t>
      </w:r>
      <w:r>
        <w:rPr>
          <w:rStyle w:val="Hervorhebung"/>
        </w:rPr>
        <w:t>{\mathrm{unc}}:</w:t>
      </w:r>
      <w:r>
        <w:rPr>
          <w:i/>
          <w:iCs/>
        </w:rPr>
        <w:br/>
      </w:r>
      <w:r>
        <w:rPr>
          <w:rStyle w:val="Hervorhebung"/>
        </w:rPr>
        <w:t>\mathfrak{U}</w:t>
      </w:r>
      <w:r>
        <w:t>{F}^{\mathrm{unc}}</w:t>
      </w:r>
      <w:r>
        <w:br/>
        <w:t>\rightarrow</w:t>
      </w:r>
      <w:r>
        <w:br/>
        <w:t>\mathfrak{L}_{\mathrm{unc}}.</w:t>
      </w:r>
      <w:r>
        <w:br/>
        <w:t>\tag{3.5529}</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\operatorname{Klasse}_{\mathrm{unc}}:\mathfrak{U}_{F}^{\mathrm{unc}}\rightarrow\mathfrak{L}_{\mathrm{unc}}\qquad\text{(3.5529)}</w:t>
      </w:r>
    </w:p>
    <w:p w:rsidR="000B0EB7" w:rsidRDefault="000B0EB7" w:rsidP="000B0EB7">
      <w:pPr>
        <w:pStyle w:val="StandardWeb"/>
      </w:pPr>
      <w:r>
        <w:t>Eine nicht quantifizierbare Unsicherheit darf nicht als null interpretiert werden.</w:t>
      </w:r>
    </w:p>
    <w:p w:rsidR="000B0EB7" w:rsidRPr="00AF32B2" w:rsidRDefault="000B0EB7" w:rsidP="00AF32B2">
      <w:pPr>
        <w:pStyle w:val="berschrift4"/>
      </w:pPr>
      <w:r w:rsidRPr="00AF32B2">
        <w:t>3.3.30.28 Repository-Dokumentation der Unsicherheit</w:t>
      </w:r>
    </w:p>
    <w:p w:rsidR="000B0EB7" w:rsidRDefault="000B0EB7" w:rsidP="000B0EB7">
      <w:pPr>
        <w:pStyle w:val="StandardWeb"/>
      </w:pPr>
      <w:r>
        <w:t>Eine Unsicherheitsabhängigkeit kann schematisch gespeichert werden als</w:t>
      </w:r>
    </w:p>
    <w:p w:rsidR="000B0EB7" w:rsidRDefault="000B0EB7" w:rsidP="000B0EB7">
      <w:pPr>
        <w:pStyle w:val="StandardWeb"/>
      </w:pPr>
      <w:r>
        <w:t>[</w:t>
      </w:r>
      <w:r>
        <w:br/>
        <w:t>\operatorname{UncDep}</w:t>
      </w:r>
      <w:r>
        <w:br/>
        <w:t>\left(</w:t>
      </w:r>
      <w:r>
        <w:br/>
        <w:t>Z,</w:t>
      </w:r>
      <w:r>
        <w:br/>
      </w:r>
      <w:r>
        <w:lastRenderedPageBreak/>
        <w:t>Q_i,</w:t>
      </w:r>
      <w:r>
        <w:br/>
        <w:t>u_i,</w:t>
      </w:r>
      <w:r>
        <w:br/>
        <w:t>\mathcal{T}_{i}^{\mathrm{unc}}</w:t>
      </w:r>
      <w:r>
        <w:br/>
        <w:t>\right).</w:t>
      </w:r>
      <w:r>
        <w:br/>
        <w:t>\tag{3.5530}</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\operatorname{UncDep}\left(Z,Q_i,u_i,\mathcal{T}_{i}^{\mathrm{unc}}\right)\qquad\text{(3.5530)}</w:t>
      </w:r>
    </w:p>
    <w:p w:rsidR="000B0EB7" w:rsidRDefault="000B0EB7" w:rsidP="000B0EB7">
      <w:pPr>
        <w:pStyle w:val="StandardWeb"/>
      </w:pPr>
      <w:r>
        <w:t>Ein Unsicherheitsbudget kann gespeichert werden als</w:t>
      </w:r>
    </w:p>
    <w:p w:rsidR="000B0EB7" w:rsidRDefault="000B0EB7" w:rsidP="000B0EB7">
      <w:pPr>
        <w:pStyle w:val="StandardWeb"/>
      </w:pPr>
      <w:r>
        <w:t>[</w:t>
      </w:r>
      <w:r>
        <w:br/>
        <w:t>\operatorname{UncBudget}</w:t>
      </w:r>
      <w:r>
        <w:br/>
        <w:t>\left(</w:t>
      </w:r>
      <w:r>
        <w:br/>
        <w:t>Z,</w:t>
      </w:r>
      <w:r>
        <w:br/>
        <w:t>u_{\mathrm{mess}},</w:t>
      </w:r>
      <w:r>
        <w:br/>
        <w:t>u_{\mathrm{stich}},</w:t>
      </w:r>
      <w:r>
        <w:br/>
        <w:t>u_{\mathrm{op}},</w:t>
      </w:r>
      <w:r>
        <w:br/>
        <w:t>u_{\mathrm{param}},</w:t>
      </w:r>
      <w:r>
        <w:br/>
        <w:t>u_{\mathrm{modell}},</w:t>
      </w:r>
      <w:r>
        <w:br/>
        <w:t>u_{\mathrm{num}}</w:t>
      </w:r>
      <w:r>
        <w:br/>
        <w:t>\right).</w:t>
      </w:r>
      <w:r>
        <w:br/>
        <w:t>\tag{3.5531}</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\operatorname{UncBudget}\left(Z,u_{\mathrm{mess}},u_{\mathrm{stich}},u_{\mathrm{op}},u_{\mathrm{param}},u_{\mathrm{modell}},u_{\mathrm{num}}\right)\qquad\text{(3.5531)}</w:t>
      </w:r>
    </w:p>
    <w:p w:rsidR="000B0EB7" w:rsidRDefault="000B0EB7" w:rsidP="000B0EB7">
      <w:pPr>
        <w:pStyle w:val="StandardWeb"/>
      </w:pPr>
      <w:r>
        <w:t>Zusätzlich müssen dokumentiert werden:</w:t>
      </w:r>
    </w:p>
    <w:p w:rsidR="000B0EB7" w:rsidRDefault="000B0EB7" w:rsidP="00632D23">
      <w:pPr>
        <w:pStyle w:val="StandardWeb"/>
        <w:numPr>
          <w:ilvl w:val="0"/>
          <w:numId w:val="183"/>
        </w:numPr>
      </w:pPr>
      <w:r>
        <w:t>Herkunft der Unsicherheit,</w:t>
      </w:r>
    </w:p>
    <w:p w:rsidR="000B0EB7" w:rsidRDefault="000B0EB7" w:rsidP="00632D23">
      <w:pPr>
        <w:pStyle w:val="StandardWeb"/>
        <w:numPr>
          <w:ilvl w:val="0"/>
          <w:numId w:val="183"/>
        </w:numPr>
      </w:pPr>
      <w:r>
        <w:t>verwendete Verteilung oder Intervallbeschreibung,</w:t>
      </w:r>
    </w:p>
    <w:p w:rsidR="000B0EB7" w:rsidRDefault="000B0EB7" w:rsidP="00632D23">
      <w:pPr>
        <w:pStyle w:val="StandardWeb"/>
        <w:numPr>
          <w:ilvl w:val="0"/>
          <w:numId w:val="183"/>
        </w:numPr>
      </w:pPr>
      <w:r>
        <w:t>angenommene Abhängigkeiten,</w:t>
      </w:r>
    </w:p>
    <w:p w:rsidR="000B0EB7" w:rsidRDefault="000B0EB7" w:rsidP="00632D23">
      <w:pPr>
        <w:pStyle w:val="StandardWeb"/>
        <w:numPr>
          <w:ilvl w:val="0"/>
          <w:numId w:val="183"/>
        </w:numPr>
      </w:pPr>
      <w:r>
        <w:t>Fortpflanzungsmethode,</w:t>
      </w:r>
    </w:p>
    <w:p w:rsidR="000B0EB7" w:rsidRDefault="000B0EB7" w:rsidP="00632D23">
      <w:pPr>
        <w:pStyle w:val="StandardWeb"/>
        <w:numPr>
          <w:ilvl w:val="0"/>
          <w:numId w:val="183"/>
        </w:numPr>
      </w:pPr>
      <w:r>
        <w:t>Näherungsannahmen,</w:t>
      </w:r>
    </w:p>
    <w:p w:rsidR="000B0EB7" w:rsidRDefault="000B0EB7" w:rsidP="00632D23">
      <w:pPr>
        <w:pStyle w:val="StandardWeb"/>
        <w:numPr>
          <w:ilvl w:val="0"/>
          <w:numId w:val="183"/>
        </w:numPr>
      </w:pPr>
      <w:r>
        <w:t>numerische Stichprobengröße,</w:t>
      </w:r>
    </w:p>
    <w:p w:rsidR="000B0EB7" w:rsidRDefault="000B0EB7" w:rsidP="00632D23">
      <w:pPr>
        <w:pStyle w:val="StandardWeb"/>
        <w:numPr>
          <w:ilvl w:val="0"/>
          <w:numId w:val="183"/>
        </w:numPr>
      </w:pPr>
      <w:r>
        <w:t>resultierende Unsicherheitsklasse,</w:t>
      </w:r>
    </w:p>
    <w:p w:rsidR="000B0EB7" w:rsidRDefault="000B0EB7" w:rsidP="00632D23">
      <w:pPr>
        <w:pStyle w:val="StandardWeb"/>
        <w:numPr>
          <w:ilvl w:val="0"/>
          <w:numId w:val="183"/>
        </w:numPr>
      </w:pPr>
      <w:r>
        <w:t>Grenzen der Quantifizierbarkeit.</w:t>
      </w:r>
    </w:p>
    <w:p w:rsidR="000B0EB7" w:rsidRDefault="000B0EB7" w:rsidP="000B0EB7">
      <w:pPr>
        <w:pStyle w:val="StandardWeb"/>
      </w:pPr>
      <w:r>
        <w:rPr>
          <w:rStyle w:val="Fett"/>
        </w:rPr>
        <w:t>Eigenleistung des FRZK</w:t>
      </w:r>
    </w:p>
    <w:p w:rsidR="000B0EB7" w:rsidRDefault="000B0EB7" w:rsidP="000B0EB7">
      <w:pPr>
        <w:pStyle w:val="StandardWeb"/>
      </w:pPr>
      <w:r>
        <w:t>Ich verknüpfe Unsicherheiten mit den konkreten Repository-Objekten, aus denen sie hervorgehen. Damit kann eine spätere Aussage nicht nur auf ihre mathematische und empirische Herkunft, sondern auch auf ihr vollständiges Unsicherheitsbudget zurückgeführt werden.</w:t>
      </w:r>
    </w:p>
    <w:p w:rsidR="000B0EB7" w:rsidRPr="00AF32B2" w:rsidRDefault="000B0EB7" w:rsidP="00AF32B2">
      <w:pPr>
        <w:pStyle w:val="berschrift4"/>
      </w:pPr>
      <w:r w:rsidRPr="00AF32B2">
        <w:lastRenderedPageBreak/>
        <w:t>3.3.30.29 Ergebnis der Unsicherheitsprüfung</w:t>
      </w:r>
    </w:p>
    <w:p w:rsidR="000B0EB7" w:rsidRDefault="000B0EB7" w:rsidP="000B0EB7">
      <w:pPr>
        <w:pStyle w:val="StandardWeb"/>
      </w:pPr>
      <w:r>
        <w:t>Die Prüfung zeigt, dass Unsicherheit nicht als einzelne pauschale Fehlergröße behandelt werden darf. Unterschiedliche Quellen besitzen unterschiedliche mathematische Eigenschaften und können voneinander abhängig sein.</w:t>
      </w:r>
    </w:p>
    <w:p w:rsidR="000B0EB7" w:rsidRDefault="000B0EB7" w:rsidP="000B0EB7">
      <w:pPr>
        <w:pStyle w:val="StandardWeb"/>
      </w:pPr>
      <w:r>
        <w:t>Ein FRZK-Ergebnis kann insbesondere:</w:t>
      </w:r>
    </w:p>
    <w:p w:rsidR="000B0EB7" w:rsidRDefault="000B0EB7" w:rsidP="00632D23">
      <w:pPr>
        <w:pStyle w:val="StandardWeb"/>
        <w:numPr>
          <w:ilvl w:val="0"/>
          <w:numId w:val="184"/>
        </w:numPr>
      </w:pPr>
      <w:r>
        <w:t>geringe Messunsicherheit, aber hohe Modellunsicherheit,</w:t>
      </w:r>
    </w:p>
    <w:p w:rsidR="000B0EB7" w:rsidRDefault="000B0EB7" w:rsidP="00632D23">
      <w:pPr>
        <w:pStyle w:val="StandardWeb"/>
        <w:numPr>
          <w:ilvl w:val="0"/>
          <w:numId w:val="184"/>
        </w:numPr>
      </w:pPr>
      <w:r>
        <w:t>hohe Parameterunsicherheit, aber geringe Vorhersageunsicherheit,</w:t>
      </w:r>
    </w:p>
    <w:p w:rsidR="000B0EB7" w:rsidRDefault="000B0EB7" w:rsidP="00632D23">
      <w:pPr>
        <w:pStyle w:val="StandardWeb"/>
        <w:numPr>
          <w:ilvl w:val="0"/>
          <w:numId w:val="184"/>
        </w:numPr>
      </w:pPr>
      <w:r>
        <w:t>geringe numerische Unsicherheit, aber hohe Operationalisierungsunsicherheit,</w:t>
      </w:r>
    </w:p>
    <w:p w:rsidR="000B0EB7" w:rsidRDefault="000B0EB7" w:rsidP="00632D23">
      <w:pPr>
        <w:pStyle w:val="StandardWeb"/>
        <w:numPr>
          <w:ilvl w:val="0"/>
          <w:numId w:val="184"/>
        </w:numPr>
      </w:pPr>
      <w:r>
        <w:t>stabile Mittelwerte, aber unsichere Klassenzuordnungen,</w:t>
      </w:r>
    </w:p>
    <w:p w:rsidR="000B0EB7" w:rsidRDefault="000B0EB7" w:rsidP="00632D23">
      <w:pPr>
        <w:pStyle w:val="StandardWeb"/>
        <w:numPr>
          <w:ilvl w:val="0"/>
          <w:numId w:val="184"/>
        </w:numPr>
      </w:pPr>
      <w:r>
        <w:t>eine quantifizierbare statistische Unsicherheit und zugleich eine nicht quantifizierbare strukturelle Unsicherheit</w:t>
      </w:r>
    </w:p>
    <w:p w:rsidR="000B0EB7" w:rsidRDefault="000B0EB7" w:rsidP="000B0EB7">
      <w:pPr>
        <w:pStyle w:val="StandardWeb"/>
      </w:pPr>
      <w:r>
        <w:t>besitzen.</w:t>
      </w:r>
    </w:p>
    <w:p w:rsidR="000B0EB7" w:rsidRDefault="000B0EB7" w:rsidP="000B0EB7">
      <w:pPr>
        <w:pStyle w:val="StandardWeb"/>
      </w:pPr>
      <w:r>
        <w:t>Besonders zu beachten ist:</w:t>
      </w:r>
    </w:p>
    <w:p w:rsidR="000B0EB7" w:rsidRDefault="000B0EB7" w:rsidP="00632D23">
      <w:pPr>
        <w:pStyle w:val="StandardWeb"/>
        <w:numPr>
          <w:ilvl w:val="0"/>
          <w:numId w:val="185"/>
        </w:numPr>
      </w:pPr>
      <w:r>
        <w:t>Kovarianzen zwischen Unsicherheitsquellen dürfen nicht ohne Begründung vernachlässigt werden.</w:t>
      </w:r>
    </w:p>
    <w:p w:rsidR="000B0EB7" w:rsidRDefault="000B0EB7" w:rsidP="00632D23">
      <w:pPr>
        <w:pStyle w:val="StandardWeb"/>
        <w:numPr>
          <w:ilvl w:val="0"/>
          <w:numId w:val="185"/>
        </w:numPr>
      </w:pPr>
      <w:r>
        <w:t>Linearisierte Verfahren sind nur bei kleinen Unsicherheiten und hinreichend glatten Abbildungen zuverlässig.</w:t>
      </w:r>
    </w:p>
    <w:p w:rsidR="000B0EB7" w:rsidRDefault="000B0EB7" w:rsidP="00632D23">
      <w:pPr>
        <w:pStyle w:val="StandardWeb"/>
        <w:numPr>
          <w:ilvl w:val="0"/>
          <w:numId w:val="185"/>
        </w:numPr>
      </w:pPr>
      <w:r>
        <w:t>Monte-Carlo-Verfahren bilden nichtlineare Effekte ab, erzeugen jedoch eigene numerische Unsicherheit.</w:t>
      </w:r>
    </w:p>
    <w:p w:rsidR="000B0EB7" w:rsidRDefault="000B0EB7" w:rsidP="00632D23">
      <w:pPr>
        <w:pStyle w:val="StandardWeb"/>
        <w:numPr>
          <w:ilvl w:val="0"/>
          <w:numId w:val="185"/>
        </w:numPr>
      </w:pPr>
      <w:r>
        <w:t>Punktvorhersagen müssen durch Unsicherheitsintervalle oder Verteilungen ergänzt werden.</w:t>
      </w:r>
    </w:p>
    <w:p w:rsidR="000B0EB7" w:rsidRDefault="000B0EB7" w:rsidP="00632D23">
      <w:pPr>
        <w:pStyle w:val="StandardWeb"/>
        <w:numPr>
          <w:ilvl w:val="0"/>
          <w:numId w:val="185"/>
        </w:numPr>
      </w:pPr>
      <w:r>
        <w:t>Unsichere Operationalisierungen und konkurrierende Modelle müssen in die Gesamtunsicherheit einbezogen werden.</w:t>
      </w:r>
    </w:p>
    <w:p w:rsidR="000B0EB7" w:rsidRDefault="000B0EB7" w:rsidP="00632D23">
      <w:pPr>
        <w:pStyle w:val="StandardWeb"/>
        <w:numPr>
          <w:ilvl w:val="0"/>
          <w:numId w:val="185"/>
        </w:numPr>
      </w:pPr>
      <w:r>
        <w:t>Eine nicht quantifizierbare Unsicherheit ist nicht gleichbedeutend mit einer nicht vorhandenen Unsicherheit [58, 59, 71, 75].</w:t>
      </w:r>
    </w:p>
    <w:p w:rsidR="000B0EB7" w:rsidRDefault="000B0EB7" w:rsidP="000B0EB7">
      <w:pPr>
        <w:pStyle w:val="StandardWeb"/>
      </w:pPr>
      <w:r>
        <w:rPr>
          <w:rStyle w:val="Fett"/>
        </w:rPr>
        <w:t>Eigenleistung des FRZK</w:t>
      </w:r>
    </w:p>
    <w:p w:rsidR="000B0EB7" w:rsidRDefault="000B0EB7" w:rsidP="000B0EB7">
      <w:pPr>
        <w:pStyle w:val="StandardWeb"/>
      </w:pPr>
      <w:r>
        <w:t>Mit Definition 3.3.22 und Satz 3.3.12 steht ein formales Verfahren zur Verfügung, mit dem Unsicherheiten von der empirischen Eingangsgröße bis zur wissenschaftlichen Schlussfolgerung verfolgt werden können. Damit kann ich erstmals für jede spätere FRZK-Aussage nicht nur ihren Wert, sondern auch die Herkunft und Fortpflanzung ihrer Unsicherheit angeben.</w:t>
      </w:r>
    </w:p>
    <w:p w:rsidR="000B0EB7" w:rsidRPr="00AF32B2" w:rsidRDefault="000B0EB7" w:rsidP="00AF32B2">
      <w:pPr>
        <w:pStyle w:val="berschrift4"/>
      </w:pPr>
      <w:r w:rsidRPr="00AF32B2">
        <w:t>3.3.30.30 Übergang zur Prüfung der Entscheidungs- und Schwellenwertkonsistenz</w:t>
      </w:r>
    </w:p>
    <w:p w:rsidR="000B0EB7" w:rsidRDefault="000B0EB7" w:rsidP="000B0EB7">
      <w:pPr>
        <w:pStyle w:val="StandardWeb"/>
      </w:pPr>
      <w:r>
        <w:t>Die Unsicherheitsfortpflanzung führt häufig zu Wahrscheinlichkeitsverteilungen, Intervallen oder unsicheren Klassenbewertungen. Für eine wissenschaftliche Entscheidung müssen diese kontinuierlichen Unsicherheitsangaben häufig in diskrete Aussagen überführt werden.</w:t>
      </w:r>
    </w:p>
    <w:p w:rsidR="000B0EB7" w:rsidRDefault="000B0EB7" w:rsidP="000B0EB7">
      <w:pPr>
        <w:pStyle w:val="StandardWeb"/>
      </w:pPr>
      <w:r>
        <w:t>Eine Entscheidungsregel besitzt die Form</w:t>
      </w:r>
    </w:p>
    <w:p w:rsidR="000B0EB7" w:rsidRDefault="000B0EB7" w:rsidP="000B0EB7">
      <w:pPr>
        <w:pStyle w:val="StandardWeb"/>
      </w:pPr>
      <w:r>
        <w:t>[</w:t>
      </w:r>
      <w:r>
        <w:br/>
        <w:t>\mathcal{C}_{F}:</w:t>
      </w:r>
      <w:r>
        <w:br/>
        <w:t>\mathcal{Y}</w:t>
      </w:r>
      <w:r>
        <w:br/>
      </w:r>
      <w:r>
        <w:lastRenderedPageBreak/>
        <w:t>\rightarrow</w:t>
      </w:r>
      <w:r>
        <w:br/>
        <w:t>\left{</w:t>
      </w:r>
      <w:r>
        <w:br/>
        <w:t>0,1</w:t>
      </w:r>
      <w:r>
        <w:br/>
        <w:t>\right}.</w:t>
      </w:r>
      <w:r>
        <w:br/>
        <w:t>\tag{3.5532}</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\mathcal{C}_{F}:\mathcal{Y}\rightarrow\left\{0,1\right\}\qquad\text{(3.5532)}</w:t>
      </w:r>
    </w:p>
    <w:p w:rsidR="000B0EB7" w:rsidRDefault="000B0EB7" w:rsidP="000B0EB7">
      <w:pPr>
        <w:pStyle w:val="StandardWeb"/>
      </w:pPr>
      <w:r>
        <w:t>Eine schwellenwertbasierte Entscheidung lautet</w:t>
      </w:r>
    </w:p>
    <w:p w:rsidR="000B0EB7" w:rsidRDefault="000B0EB7" w:rsidP="000B0EB7">
      <w:pPr>
        <w:pStyle w:val="berschrift1"/>
      </w:pPr>
      <w:r>
        <w:t>[</w:t>
      </w:r>
      <w:r>
        <w:br/>
        <w:t>\mathcal{C}_{F}(y)</w:t>
      </w:r>
    </w:p>
    <w:p w:rsidR="000B0EB7" w:rsidRDefault="000B0EB7" w:rsidP="000B0EB7">
      <w:pPr>
        <w:pStyle w:val="StandardWeb"/>
      </w:pPr>
      <w:r>
        <w:t>\begin{cases}</w:t>
      </w:r>
      <w:r>
        <w:br/>
        <w:t>0,&amp;y&lt;\tau,\</w:t>
      </w:r>
      <w:r>
        <w:br/>
        <w:t>1,&amp;y\geq\tau.</w:t>
      </w:r>
      <w:r>
        <w:br/>
        <w:t>\end{cases}</w:t>
      </w:r>
      <w:r>
        <w:br/>
        <w:t>\tag{3.5533}</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\mathcal{C}_{F}(y)=\begin{cases}0,&amp;y&lt;\tau,\\1,&amp;y\geq\tau\end{cases}\qquad\text{(3.5533)}</w:t>
      </w:r>
    </w:p>
    <w:p w:rsidR="000B0EB7" w:rsidRDefault="000B0EB7" w:rsidP="000B0EB7">
      <w:pPr>
        <w:pStyle w:val="StandardWeb"/>
      </w:pPr>
      <w:r>
        <w:t>Bei einem unsicheren Wert (Y) wird auch die Entscheidung probabilistisch:</w:t>
      </w:r>
    </w:p>
    <w:p w:rsidR="000B0EB7" w:rsidRDefault="000B0EB7" w:rsidP="000B0EB7">
      <w:pPr>
        <w:pStyle w:val="berschrift1"/>
      </w:pPr>
      <w:r>
        <w:t>[</w:t>
      </w:r>
      <w:r>
        <w:br/>
        <w:t>\Pr</w:t>
      </w:r>
      <w:r>
        <w:br/>
        <w:t>\left(</w:t>
      </w:r>
      <w:r>
        <w:br/>
        <w:t>\mathcal{C}_{F}(Y)</w:t>
      </w:r>
    </w:p>
    <w:p w:rsidR="000B0EB7" w:rsidRDefault="000B0EB7" w:rsidP="000B0EB7">
      <w:pPr>
        <w:pStyle w:val="StandardWeb"/>
      </w:pPr>
      <w:r>
        <w:t>1</w:t>
      </w:r>
      <w:r>
        <w:br/>
        <w:t>\right).</w:t>
      </w:r>
      <w:r>
        <w:br/>
        <w:t>\tag{3.5534}</w:t>
      </w:r>
      <w:r>
        <w:br/>
        <w:t>]</w:t>
      </w:r>
    </w:p>
    <w:p w:rsidR="000B0EB7" w:rsidRDefault="000B0EB7" w:rsidP="000B0EB7">
      <w:pPr>
        <w:pStyle w:val="StandardWeb"/>
      </w:pPr>
      <w:r>
        <w:rPr>
          <w:rStyle w:val="Fett"/>
        </w:rPr>
        <w:t>Word-LaTeX</w:t>
      </w:r>
    </w:p>
    <w:p w:rsidR="000B0EB7" w:rsidRDefault="000B0EB7" w:rsidP="000B0EB7">
      <w:pPr>
        <w:pStyle w:val="HTMLVorformatiert"/>
        <w:rPr>
          <w:rStyle w:val="HTMLCode"/>
        </w:rPr>
      </w:pPr>
      <w:r>
        <w:rPr>
          <w:rStyle w:val="HTMLCode"/>
        </w:rPr>
        <w:t>\Pr\left(\mathcal{C}_{F}(Y)=1\right)\qquad\text{(3.5534)}</w:t>
      </w:r>
    </w:p>
    <w:p w:rsidR="000B0EB7" w:rsidRDefault="000B0EB7" w:rsidP="000B0EB7">
      <w:pPr>
        <w:pStyle w:val="StandardWeb"/>
      </w:pPr>
      <w:r>
        <w:rPr>
          <w:rStyle w:val="Fett"/>
        </w:rPr>
        <w:t>Eigenleistung des FRZK</w:t>
      </w:r>
    </w:p>
    <w:p w:rsidR="000B0EB7" w:rsidRDefault="000B0EB7" w:rsidP="000B0EB7">
      <w:pPr>
        <w:pStyle w:val="StandardWeb"/>
      </w:pPr>
      <w:r>
        <w:lastRenderedPageBreak/>
        <w:t>Der folgende Abschnitt untersucht deshalb, unter welchen Bedingungen Schwellenwerte, Klassengrenzen und diskrete Entscheidungen mit den zuvor bestimmten Unsicherheiten, Skalen und Stabilitätsanforderungen vereinbar sind.</w:t>
      </w:r>
    </w:p>
    <w:p w:rsidR="00AF32B2" w:rsidRDefault="00AF32B2" w:rsidP="00AF32B2">
      <w:pPr>
        <w:pStyle w:val="berschrift2"/>
      </w:pPr>
      <w:r>
        <w:t>Ergänzung zu 3.3.30 – Prüfung der Unsicherheitsfortpflanzung</w:t>
      </w:r>
    </w:p>
    <w:p w:rsidR="00AF32B2" w:rsidRDefault="00AF32B2" w:rsidP="00AF32B2">
      <w:pPr>
        <w:pStyle w:val="berschrift3"/>
      </w:pPr>
      <w:r>
        <w:t>Methodologische Betrachtungen</w:t>
      </w:r>
    </w:p>
    <w:p w:rsidR="00AF32B2" w:rsidRDefault="00AF32B2" w:rsidP="00AF32B2">
      <w:pPr>
        <w:pStyle w:val="StandardWeb"/>
      </w:pPr>
      <w:r>
        <w:t>Abschnitt 3.3.29 hat untersucht, wie empfindlich FRZK-Ergebnisse auf Änderungen reagieren. Abschnitt 3.3.30 geht einen Schritt weiter: Wenn Eingangsgrößen selbst unsicher sind, muss nachvollzogen werden, wie diese Unsicherheit durch die vollständige Auswertungskette bis zu Zuständen, Relationen, Transformationen, Kohärenzwerten, Zeitgrößen und Entscheidungen weitergegeben wird. Der Repository-Stand unterscheidet Mess-, Stichproben-, Operationalisierungs-, Parameter-, Modell- und numerische Unsicherheit und führt lineare sowie Monte-Carlo-basierte Fortpflanzungsverfahren ein.</w:t>
      </w:r>
      <w:r>
        <w:br/>
        <w:t>Das FRZK-Unsicherheitssystem lautet</w:t>
      </w:r>
    </w:p>
    <w:p w:rsidR="00AF32B2" w:rsidRDefault="00AF32B2" w:rsidP="00AF32B2">
      <w:pPr>
        <w:pStyle w:val="berschrift1"/>
      </w:pPr>
      <w:r>
        <w:t>[</w:t>
      </w:r>
      <w:r>
        <w:br/>
        <w:t>\mathfrak{U}_{F}^{\mathrm{unc}}</w:t>
      </w:r>
    </w:p>
    <w:p w:rsidR="00AF32B2" w:rsidRDefault="00AF32B2" w:rsidP="00AF32B2">
      <w:pPr>
        <w:pStyle w:val="StandardWeb"/>
      </w:pPr>
      <w:r>
        <w:t>\left(</w:t>
      </w:r>
      <w:r>
        <w:br/>
        <w:t>\mathfrak{Q}</w:t>
      </w:r>
      <w:r>
        <w:rPr>
          <w:rStyle w:val="Hervorhebung"/>
        </w:rPr>
        <w:t>{\mathrm{unc}},</w:t>
      </w:r>
      <w:r>
        <w:rPr>
          <w:i/>
          <w:iCs/>
        </w:rPr>
        <w:br/>
      </w:r>
      <w:r>
        <w:rPr>
          <w:rStyle w:val="Hervorhebung"/>
        </w:rPr>
        <w:t>\mathfrak{A}</w:t>
      </w:r>
      <w:r>
        <w:t>{F},</w:t>
      </w:r>
      <w:r>
        <w:br/>
        <w:t>\mathfrak{M}</w:t>
      </w:r>
      <w:r>
        <w:rPr>
          <w:rStyle w:val="Hervorhebung"/>
        </w:rPr>
        <w:t>{\mathrm{unc}},</w:t>
      </w:r>
      <w:r>
        <w:rPr>
          <w:i/>
          <w:iCs/>
        </w:rPr>
        <w:br/>
      </w:r>
      <w:r>
        <w:rPr>
          <w:rStyle w:val="Hervorhebung"/>
        </w:rPr>
        <w:t>\mathfrak{R}</w:t>
      </w:r>
      <w:r>
        <w:t>{\mathrm{prop}},</w:t>
      </w:r>
      <w:r>
        <w:br/>
        <w:t>\operatorname{Unc}_{F}</w:t>
      </w:r>
      <w:r>
        <w:br/>
        <w:t>\right).</w:t>
      </w:r>
      <w:r>
        <w:br/>
        <w:t>]</w:t>
      </w:r>
    </w:p>
    <w:p w:rsidR="00AF32B2" w:rsidRDefault="00AF32B2" w:rsidP="00AF32B2">
      <w:pPr>
        <w:pStyle w:val="StandardWeb"/>
      </w:pPr>
      <w:r>
        <w:rPr>
          <w:rStyle w:val="Fett"/>
        </w:rPr>
        <w:t>Word-LaTeX</w:t>
      </w:r>
    </w:p>
    <w:p w:rsidR="00AF32B2" w:rsidRDefault="00AF32B2" w:rsidP="00AF32B2">
      <w:pPr>
        <w:pStyle w:val="HTMLVorformatiert"/>
        <w:rPr>
          <w:rStyle w:val="HTMLCode"/>
        </w:rPr>
      </w:pPr>
      <w:r>
        <w:rPr>
          <w:rStyle w:val="HTMLCode"/>
        </w:rPr>
        <w:t>\mathfrak{U}_{F}^{\mathrm{unc}}=\left(\mathfrak{Q}_{\mathrm{unc}},\mathfrak{A}_{F},\mathfrak{M}_{\mathrm{unc}},\mathfrak{R}_{\mathrm{prop}},\operatorname{Unc}_{F}\right)</w:t>
      </w:r>
    </w:p>
    <w:p w:rsidR="00AF32B2" w:rsidRDefault="00AF32B2" w:rsidP="00AF32B2">
      <w:pPr>
        <w:pStyle w:val="StandardWeb"/>
      </w:pPr>
      <w:r>
        <w:t>Dabei umfasst (\mathfrak{Q}</w:t>
      </w:r>
      <w:r>
        <w:rPr>
          <w:rStyle w:val="Hervorhebung"/>
        </w:rPr>
        <w:t>{\mathrm{unc}}) die Unsicherheitsquellen, (\mathfrak{A}</w:t>
      </w:r>
      <w:r>
        <w:t>{F}) die Folge der beteiligten FRZK-Abbildungen, (\mathfrak{M}</w:t>
      </w:r>
      <w:r>
        <w:rPr>
          <w:rStyle w:val="Hervorhebung"/>
        </w:rPr>
        <w:t>{\mathrm{unc}}) die verwendeten Unsicherheitsmaße, (\mathfrak{R}</w:t>
      </w:r>
      <w:r>
        <w:t>{\mathrm{prop}}) die Fortpflanzungsregeln und (\operatorname{Unc}_{F}) die abschließende Unsicherheitsbewertung.</w:t>
      </w:r>
    </w:p>
    <w:p w:rsidR="00AF32B2" w:rsidRDefault="00AF32B2" w:rsidP="00AF32B2">
      <w:pPr>
        <w:pStyle w:val="StandardWeb"/>
      </w:pPr>
      <w:r>
        <w:t xml:space="preserve">Methodologisch ist zunächst zwischen </w:t>
      </w:r>
      <w:r>
        <w:rPr>
          <w:rStyle w:val="Fett"/>
        </w:rPr>
        <w:t>Variabilität</w:t>
      </w:r>
      <w:r>
        <w:t xml:space="preserve"> und </w:t>
      </w:r>
      <w:r>
        <w:rPr>
          <w:rStyle w:val="Fett"/>
        </w:rPr>
        <w:t>Unwissen</w:t>
      </w:r>
      <w:r>
        <w:t xml:space="preserve"> zu unterscheiden. Manche Unsicherheit wird als zufällige Streuung modelliert. Andere Unsicherheit entsteht, weil Parameter, Modellstrukturen oder Operationalisierungen nicht hinreichend bekannt sind. Beide Unsicherheitsarten dürfen nicht stillschweigend in dieselbe Wahrscheinlichkeitsverteilung gezwungen werden.</w:t>
      </w:r>
    </w:p>
    <w:p w:rsidR="00AF32B2" w:rsidRDefault="00AF32B2" w:rsidP="00AF32B2">
      <w:pPr>
        <w:pStyle w:val="StandardWeb"/>
      </w:pPr>
      <w:r>
        <w:t xml:space="preserve">Ebenso darf eine nicht quantifizierte Unsicherheit nicht mit Nullunsicherheit gleichgesetzt werden. Dass für eine Modellannahme keine belastbare Standardabweichung angegeben </w:t>
      </w:r>
      <w:r>
        <w:lastRenderedPageBreak/>
        <w:t>werden kann, bedeutet nicht, dass diese Annahme sicher ist. Der Repository-Stand hält diese Grenze ausdrücklich fest.</w:t>
      </w:r>
    </w:p>
    <w:p w:rsidR="00AF32B2" w:rsidRDefault="00AF32B2" w:rsidP="00AF32B2">
      <w:pPr>
        <w:pStyle w:val="StandardWeb"/>
      </w:pPr>
      <w:r>
        <w:t>Bei linearen Abbildungen kann Unsicherheit analytisch fortgepflanzt werden. Bei nichtlinearen Abbildungen kann eine lokale Linearisierung über die Jacobi-Matrix verwendet werden. Dabei muss jedoch deutlich bleiben, dass die resultierende Unsicherheitsabschätzung nur eine Näherung darstellt.</w:t>
      </w:r>
    </w:p>
    <w:p w:rsidR="00AF32B2" w:rsidRDefault="00AF32B2" w:rsidP="00AF32B2">
      <w:pPr>
        <w:pStyle w:val="StandardWeb"/>
      </w:pPr>
      <w:r>
        <w:t>Gerade bei stark nichtlinearen FRZK-Strukturen können Monte-Carlo-Verfahren geeigneter sein. Dabei werden viele Eingaberealisationen gezogen, durch das Modell propagiert und die resultierende Ausgabeberteilung ausgewertet. Auch dieses Verfahren beseitigt die Modellunsicherheit jedoch nicht. Es propagiert zunächst nur diejenigen Unsicherheiten, die im Simulationsmodell tatsächlich repräsentiert wurden.</w:t>
      </w:r>
    </w:p>
    <w:p w:rsidR="00AF32B2" w:rsidRDefault="00AF32B2" w:rsidP="00AF32B2">
      <w:pPr>
        <w:pStyle w:val="StandardWeb"/>
      </w:pPr>
      <w:r>
        <w:t>Besondere Bedeutung besitzt das Unsicherheitsbudget. Die Gesamtunsicherheit sollte nicht nur als einzelne Endzahl angegeben werden. Es muss erkennbar bleiben, welche Quellen welchen Beitrag leisten. Sonst kann eine große Unsicherheit zwar festgestellt, aber methodisch nicht lokalisiert werden.</w:t>
      </w:r>
    </w:p>
    <w:p w:rsidR="00AF32B2" w:rsidRDefault="00AF32B2" w:rsidP="00AF32B2">
      <w:pPr>
        <w:pStyle w:val="StandardWeb"/>
      </w:pPr>
      <w:r>
        <w:t>Modellunsicherheit ist dabei besonders kritisch. Wenn mehrere plausible Modellklassen existieren, kann eine gewichtete Modellmittelung verwendet werden. Die Gewichte müssen nichtnegativ sein:</w:t>
      </w:r>
    </w:p>
    <w:p w:rsidR="00AF32B2" w:rsidRDefault="00AF32B2" w:rsidP="00AF32B2">
      <w:pPr>
        <w:pStyle w:val="StandardWeb"/>
      </w:pPr>
      <w:r>
        <w:t>[</w:t>
      </w:r>
      <w:r>
        <w:br/>
        <w:t>w_j</w:t>
      </w:r>
      <w:r>
        <w:br/>
        <w:t>\geq</w:t>
      </w:r>
      <w:r>
        <w:br/>
        <w:t>0.</w:t>
      </w:r>
      <w:r>
        <w:br/>
        <w:t>\tag{3.5483}</w:t>
      </w:r>
      <w:r>
        <w:br/>
        <w:t>]</w:t>
      </w:r>
    </w:p>
    <w:p w:rsidR="00AF32B2" w:rsidRDefault="00AF32B2" w:rsidP="00AF32B2">
      <w:pPr>
        <w:pStyle w:val="StandardWeb"/>
      </w:pPr>
      <w:r>
        <w:rPr>
          <w:rStyle w:val="Fett"/>
        </w:rPr>
        <w:t>Word-LaTeX</w:t>
      </w:r>
    </w:p>
    <w:p w:rsidR="00AF32B2" w:rsidRDefault="00AF32B2" w:rsidP="00AF32B2">
      <w:pPr>
        <w:pStyle w:val="HTMLVorformatiert"/>
        <w:rPr>
          <w:rStyle w:val="HTMLCode"/>
        </w:rPr>
      </w:pPr>
      <w:r>
        <w:rPr>
          <w:rStyle w:val="HTMLCode"/>
        </w:rPr>
        <w:t>w_j\geq0\qquad\text{(3.5483)}</w:t>
      </w:r>
    </w:p>
    <w:p w:rsidR="00AF32B2" w:rsidRDefault="00AF32B2" w:rsidP="00AF32B2">
      <w:pPr>
        <w:pStyle w:val="StandardWeb"/>
      </w:pPr>
      <w:r>
        <w:t>und sich zu eins summieren:</w:t>
      </w:r>
    </w:p>
    <w:p w:rsidR="00AF32B2" w:rsidRDefault="00AF32B2" w:rsidP="00AF32B2">
      <w:pPr>
        <w:pStyle w:val="berschrift1"/>
      </w:pPr>
      <w:r>
        <w:t>[</w:t>
      </w:r>
      <w:r>
        <w:br/>
        <w:t>\sum_{j=1}^{k}</w:t>
      </w:r>
      <w:r>
        <w:br/>
        <w:t>w_j</w:t>
      </w:r>
    </w:p>
    <w:p w:rsidR="00AF32B2" w:rsidRDefault="00AF32B2" w:rsidP="00AF32B2">
      <w:pPr>
        <w:numPr>
          <w:ilvl w:val="0"/>
          <w:numId w:val="268"/>
        </w:numPr>
        <w:spacing w:before="100" w:beforeAutospacing="1" w:after="100" w:afterAutospacing="1"/>
      </w:pPr>
    </w:p>
    <w:p w:rsidR="00AF32B2" w:rsidRDefault="00AF32B2" w:rsidP="00AF32B2">
      <w:pPr>
        <w:pStyle w:val="StandardWeb"/>
      </w:pPr>
      <w:r>
        <w:t>\tag{3.5484}</w:t>
      </w:r>
      <w:r>
        <w:br/>
        <w:t>]</w:t>
      </w:r>
    </w:p>
    <w:p w:rsidR="00AF32B2" w:rsidRDefault="00AF32B2" w:rsidP="00AF32B2">
      <w:pPr>
        <w:pStyle w:val="StandardWeb"/>
      </w:pPr>
      <w:r>
        <w:rPr>
          <w:rStyle w:val="Fett"/>
        </w:rPr>
        <w:t>Word-LaTeX</w:t>
      </w:r>
    </w:p>
    <w:p w:rsidR="00AF32B2" w:rsidRDefault="00AF32B2" w:rsidP="00AF32B2">
      <w:pPr>
        <w:pStyle w:val="HTMLVorformatiert"/>
        <w:rPr>
          <w:rStyle w:val="HTMLCode"/>
        </w:rPr>
      </w:pPr>
      <w:r>
        <w:rPr>
          <w:rStyle w:val="HTMLCode"/>
        </w:rPr>
        <w:t>\sum_{j=1}^{k}w_j=1\qquad\text{(3.5484)}</w:t>
      </w:r>
    </w:p>
    <w:p w:rsidR="00AF32B2" w:rsidRDefault="00AF32B2" w:rsidP="00AF32B2">
      <w:pPr>
        <w:pStyle w:val="StandardWeb"/>
      </w:pPr>
      <w:r>
        <w:lastRenderedPageBreak/>
        <w:t>Auch numerische Fehler sind als eigenständige Unsicherheitsquelle zu behandeln. Ein numerisch berechneter Wert kann geschrieben werden als</w:t>
      </w:r>
    </w:p>
    <w:p w:rsidR="00AF32B2" w:rsidRDefault="00AF32B2" w:rsidP="00AF32B2">
      <w:pPr>
        <w:pStyle w:val="berschrift1"/>
      </w:pPr>
      <w:r>
        <w:t>[</w:t>
      </w:r>
      <w:r>
        <w:br/>
        <w:t>\widehat{Y}_{\mathrm{num}}</w:t>
      </w:r>
    </w:p>
    <w:p w:rsidR="00AF32B2" w:rsidRDefault="00AF32B2" w:rsidP="00AF32B2">
      <w:pPr>
        <w:pStyle w:val="StandardWeb"/>
      </w:pPr>
      <w:r>
        <w:t>Y</w:t>
      </w:r>
      <w:r>
        <w:br/>
        <w:t>+</w:t>
      </w:r>
      <w:r>
        <w:br/>
        <w:t>\varepsilon_{\mathrm{num}}.</w:t>
      </w:r>
      <w:r>
        <w:br/>
        <w:t>\tag{3.5485}</w:t>
      </w:r>
      <w:r>
        <w:br/>
        <w:t>]</w:t>
      </w:r>
    </w:p>
    <w:p w:rsidR="00AF32B2" w:rsidRDefault="00AF32B2" w:rsidP="00AF32B2">
      <w:pPr>
        <w:pStyle w:val="StandardWeb"/>
      </w:pPr>
      <w:r>
        <w:rPr>
          <w:rStyle w:val="Fett"/>
        </w:rPr>
        <w:t>Word-LaTeX</w:t>
      </w:r>
    </w:p>
    <w:p w:rsidR="00AF32B2" w:rsidRDefault="00AF32B2" w:rsidP="00AF32B2">
      <w:pPr>
        <w:pStyle w:val="HTMLVorformatiert"/>
        <w:rPr>
          <w:rStyle w:val="HTMLCode"/>
        </w:rPr>
      </w:pPr>
      <w:r>
        <w:rPr>
          <w:rStyle w:val="HTMLCode"/>
        </w:rPr>
        <w:t>\widehat{Y}_{\mathrm{num}}=Y+\varepsilon_{\mathrm{num}}\qquad\text{(3.5485)}</w:t>
      </w:r>
    </w:p>
    <w:p w:rsidR="00AF32B2" w:rsidRDefault="00AF32B2" w:rsidP="00AF32B2">
      <w:pPr>
        <w:pStyle w:val="StandardWeb"/>
      </w:pPr>
      <w:r>
        <w:t>Damit wird verhindert, dass numerische Genauigkeit mit wissenschaftlicher Gewissheit verwechselt wird. Ein Ergebnis kann auf zwölf Nachkommastellen reproduzierbar berechnet sein und dennoch durch Modell- oder Messunsicherheit nur sehr grob bestimmt sein.</w:t>
      </w:r>
    </w:p>
    <w:p w:rsidR="00AF32B2" w:rsidRDefault="00AF32B2" w:rsidP="00AF32B2">
      <w:pPr>
        <w:pStyle w:val="StandardWeb"/>
      </w:pPr>
      <w:r>
        <w:t>Methodologisch besonders wichtig ist die Fortpflanzung bis zur Entscheidungsebene. Eine unsichere quantitative Größe erzeugt nicht automatisch eine sichere qualitative Klassifikation. Liegt beispielsweise ein Schwellenwert innerhalb des Unsicherheitsbereichs, muss die Entscheidung selbst als unsicher gekennzeichnet werden.</w:t>
      </w:r>
    </w:p>
    <w:p w:rsidR="00AF32B2" w:rsidRDefault="00AF32B2" w:rsidP="00AF32B2">
      <w:pPr>
        <w:pStyle w:val="StandardWeb"/>
      </w:pPr>
      <w:r>
        <w:t>Der Abschnitt verbindet damit Stabilität, empirische Operationalisierung und Entscheidungstheorie zu einer gemeinsamen Unsicherheitsarchitektur.</w:t>
      </w:r>
    </w:p>
    <w:p w:rsidR="00AF32B2" w:rsidRDefault="00AF32B2" w:rsidP="00AF32B2">
      <w:pPr>
        <w:pStyle w:val="berschrift3"/>
      </w:pPr>
      <w:r>
        <w:t>Didaktische Betrachtungen</w:t>
      </w:r>
    </w:p>
    <w:p w:rsidR="00AF32B2" w:rsidRDefault="00AF32B2" w:rsidP="00AF32B2">
      <w:pPr>
        <w:pStyle w:val="StandardWeb"/>
      </w:pPr>
      <w:r>
        <w:t>Unsicherheitsfortpflanzung lässt sich mit einer einfachen Längenberechnung erklären.</w:t>
      </w:r>
    </w:p>
    <w:p w:rsidR="00AF32B2" w:rsidRDefault="00AF32B2" w:rsidP="00AF32B2">
      <w:pPr>
        <w:pStyle w:val="StandardWeb"/>
      </w:pPr>
      <w:r>
        <w:t>Eine Rechteckfläche wird aus Länge und Breite berechnet:</w:t>
      </w:r>
    </w:p>
    <w:p w:rsidR="00AF32B2" w:rsidRDefault="00AF32B2" w:rsidP="00AF32B2">
      <w:pPr>
        <w:pStyle w:val="StandardWeb"/>
      </w:pPr>
      <w:r>
        <w:t>[</w:t>
      </w:r>
      <w:r>
        <w:br/>
        <w:t>A=l\cdot b.</w:t>
      </w:r>
      <w:r>
        <w:br/>
        <w:t>]</w:t>
      </w:r>
    </w:p>
    <w:p w:rsidR="00AF32B2" w:rsidRDefault="00AF32B2" w:rsidP="00AF32B2">
      <w:pPr>
        <w:pStyle w:val="StandardWeb"/>
      </w:pPr>
      <w:r>
        <w:t>Sind sowohl (l) als auch (b) nur ungefähr bekannt, kann die Fläche nicht genauer bekannt sein als ihre Eingangsgrößen erlauben.</w:t>
      </w:r>
    </w:p>
    <w:p w:rsidR="00AF32B2" w:rsidRDefault="00AF32B2" w:rsidP="00AF32B2">
      <w:pPr>
        <w:pStyle w:val="StandardWeb"/>
      </w:pPr>
      <w:r>
        <w:t>Selbst wenn ein Taschenrechner</w:t>
      </w:r>
    </w:p>
    <w:p w:rsidR="00AF32B2" w:rsidRDefault="00AF32B2" w:rsidP="00AF32B2">
      <w:pPr>
        <w:pStyle w:val="StandardWeb"/>
      </w:pPr>
      <w:r>
        <w:t>[</w:t>
      </w:r>
      <w:r>
        <w:br/>
        <w:t>A=12{,}3456789</w:t>
      </w:r>
      <w:r>
        <w:br/>
        <w:t>]</w:t>
      </w:r>
    </w:p>
    <w:p w:rsidR="00AF32B2" w:rsidRDefault="00AF32B2" w:rsidP="00AF32B2">
      <w:pPr>
        <w:pStyle w:val="StandardWeb"/>
      </w:pPr>
      <w:r>
        <w:t>anzeigt, bedeutet dies nicht, dass die reale Fläche mit sieben Nachkommastellen bekannt ist.</w:t>
      </w:r>
    </w:p>
    <w:p w:rsidR="00AF32B2" w:rsidRDefault="00AF32B2" w:rsidP="00AF32B2">
      <w:pPr>
        <w:pStyle w:val="StandardWeb"/>
      </w:pPr>
      <w:r>
        <w:lastRenderedPageBreak/>
        <w:t xml:space="preserve">Genau dieser Unterschied zwischen </w:t>
      </w:r>
      <w:r>
        <w:rPr>
          <w:rStyle w:val="Fett"/>
        </w:rPr>
        <w:t>Rechengenauigkeit</w:t>
      </w:r>
      <w:r>
        <w:t xml:space="preserve"> und </w:t>
      </w:r>
      <w:r>
        <w:rPr>
          <w:rStyle w:val="Fett"/>
        </w:rPr>
        <w:t>Wissensgenauigkeit</w:t>
      </w:r>
      <w:r>
        <w:t xml:space="preserve"> ist für das FRZK zentral.</w:t>
      </w:r>
    </w:p>
    <w:p w:rsidR="00AF32B2" w:rsidRDefault="00AF32B2" w:rsidP="00AF32B2">
      <w:pPr>
        <w:pStyle w:val="StandardWeb"/>
      </w:pPr>
      <w:r>
        <w:t>Ein weiteres anschauliches Beispiel ist eine Kette von Mess- und Rechenschritten. Jeder Schritt kann Unsicherheit hinzufügen oder vorhandene Unsicherheit verstärken.</w:t>
      </w:r>
    </w:p>
    <w:p w:rsidR="00AF32B2" w:rsidRDefault="00AF32B2" w:rsidP="00AF32B2">
      <w:pPr>
        <w:pStyle w:val="StandardWeb"/>
      </w:pPr>
      <w:r>
        <w:t>Didaktisch kann man deshalb bei jedem Ergebnis rückwärts fragen:</w:t>
      </w:r>
    </w:p>
    <w:p w:rsidR="00AF32B2" w:rsidRDefault="00AF32B2" w:rsidP="00AF32B2">
      <w:pPr>
        <w:pStyle w:val="StandardWeb"/>
      </w:pPr>
      <w:r>
        <w:rPr>
          <w:rStyle w:val="Fett"/>
        </w:rPr>
        <w:t>Woher kommt diese Unsicherheit?</w:t>
      </w:r>
    </w:p>
    <w:p w:rsidR="00AF32B2" w:rsidRDefault="00AF32B2" w:rsidP="00AF32B2">
      <w:pPr>
        <w:pStyle w:val="StandardWeb"/>
      </w:pPr>
      <w:r>
        <w:t>Aus dem Messgerät?</w:t>
      </w:r>
    </w:p>
    <w:p w:rsidR="00AF32B2" w:rsidRDefault="00AF32B2" w:rsidP="00AF32B2">
      <w:pPr>
        <w:pStyle w:val="StandardWeb"/>
      </w:pPr>
      <w:r>
        <w:t>Aus einer kleinen Stichprobe?</w:t>
      </w:r>
    </w:p>
    <w:p w:rsidR="00AF32B2" w:rsidRDefault="00AF32B2" w:rsidP="00AF32B2">
      <w:pPr>
        <w:pStyle w:val="StandardWeb"/>
      </w:pPr>
      <w:r>
        <w:t>Aus der Operationalisierung?</w:t>
      </w:r>
    </w:p>
    <w:p w:rsidR="00AF32B2" w:rsidRDefault="00AF32B2" w:rsidP="00AF32B2">
      <w:pPr>
        <w:pStyle w:val="StandardWeb"/>
      </w:pPr>
      <w:r>
        <w:t>Aus unbekannten Parametern?</w:t>
      </w:r>
    </w:p>
    <w:p w:rsidR="00AF32B2" w:rsidRDefault="00AF32B2" w:rsidP="00AF32B2">
      <w:pPr>
        <w:pStyle w:val="StandardWeb"/>
      </w:pPr>
      <w:r>
        <w:t>Aus mehreren möglichen Modellen?</w:t>
      </w:r>
    </w:p>
    <w:p w:rsidR="00AF32B2" w:rsidRDefault="00AF32B2" w:rsidP="00AF32B2">
      <w:pPr>
        <w:pStyle w:val="StandardWeb"/>
      </w:pPr>
      <w:r>
        <w:t>Aus dem numerischen Verfahren?</w:t>
      </w:r>
    </w:p>
    <w:p w:rsidR="00AF32B2" w:rsidRDefault="00AF32B2" w:rsidP="00AF32B2">
      <w:pPr>
        <w:pStyle w:val="StandardWeb"/>
      </w:pPr>
      <w:r>
        <w:t>Wenn diese Quellen getrennt sichtbar bleiben, wird eine Unsicherheitsangabe wissenschaftlich verständlich.</w:t>
      </w:r>
    </w:p>
    <w:p w:rsidR="00AF32B2" w:rsidRDefault="00AF32B2" w:rsidP="00AF32B2">
      <w:pPr>
        <w:pStyle w:val="StandardWeb"/>
      </w:pPr>
      <w:r>
        <w:t>Besonders wichtig ist die Entscheidungsebene. Angenommen, ein Schwellenwert liegt bei (10) und das Ergebnis lautet</w:t>
      </w:r>
    </w:p>
    <w:p w:rsidR="00AF32B2" w:rsidRDefault="00AF32B2" w:rsidP="00AF32B2">
      <w:pPr>
        <w:pStyle w:val="StandardWeb"/>
      </w:pPr>
      <w:r>
        <w:t>[</w:t>
      </w:r>
      <w:r>
        <w:br/>
        <w:t>10{,}1\pm0{,}5.</w:t>
      </w:r>
      <w:r>
        <w:br/>
        <w:t>]</w:t>
      </w:r>
    </w:p>
    <w:p w:rsidR="00AF32B2" w:rsidRDefault="00AF32B2" w:rsidP="00AF32B2">
      <w:pPr>
        <w:pStyle w:val="StandardWeb"/>
      </w:pPr>
      <w:r>
        <w:t>Dann ist es didaktisch falsch zu sagen:</w:t>
      </w:r>
    </w:p>
    <w:p w:rsidR="00AF32B2" w:rsidRDefault="00AF32B2" w:rsidP="00AF32B2">
      <w:pPr>
        <w:pStyle w:val="StandardWeb"/>
      </w:pPr>
      <w:r>
        <w:t>„Der Wert liegt eindeutig über 10.“</w:t>
      </w:r>
    </w:p>
    <w:p w:rsidR="00AF32B2" w:rsidRDefault="00AF32B2" w:rsidP="00AF32B2">
      <w:pPr>
        <w:pStyle w:val="StandardWeb"/>
      </w:pPr>
      <w:r>
        <w:t>Der Unsicherheitsbereich überschneidet die Grenze.</w:t>
      </w:r>
    </w:p>
    <w:p w:rsidR="00AF32B2" w:rsidRDefault="00AF32B2" w:rsidP="00AF32B2">
      <w:pPr>
        <w:pStyle w:val="StandardWeb"/>
      </w:pPr>
      <w:r>
        <w:t>Damit bereitet Abschnitt 3.3.30 unmittelbar die folgende Entscheidungs- und Schwellenwertkonsistenz vor: Erst nachdem geklärt ist, wie unsicher ein Ergebnis ist, kann sinnvoll entschieden werden, wie daraus eine diskrete wissenschaftliche Aussage entsteht.</w:t>
      </w:r>
    </w:p>
    <w:p w:rsidR="003D75D0" w:rsidRPr="00AF32B2" w:rsidRDefault="003D75D0" w:rsidP="00AF32B2">
      <w:pPr>
        <w:pStyle w:val="berschrift3"/>
      </w:pPr>
      <w:r w:rsidRPr="00AF32B2">
        <w:t>3.3.31 Prüfung der Entscheidungs- und Schwellenwertkonsistenz</w:t>
      </w:r>
    </w:p>
    <w:p w:rsidR="003D75D0" w:rsidRDefault="003D75D0" w:rsidP="003D75D0">
      <w:pPr>
        <w:pStyle w:val="StandardWeb"/>
      </w:pPr>
      <w:r>
        <w:t>Die Unsicherheitsfortpflanzung des vorhergehenden Abschnitts hat gezeigt, dass empirische FRZK-Größen häufig nicht als einzelne exakte Werte, sondern als Verteilungen, Intervalle oder Wahrscheinlichkeiten vorliegen. Wissenschaftliche Auswertungen verlangen jedoch häufig eine diskrete Entscheidung. Ein Zustand wird einer Klasse zugeordnet, eine Relation gilt als vorhanden oder nicht vorhanden, eine Vorhersage wird akzeptiert oder zurückgewiesen und ein Kohärenzwert wird als niedrig, mittel oder hoch bewertet.</w:t>
      </w:r>
    </w:p>
    <w:p w:rsidR="003D75D0" w:rsidRDefault="003D75D0" w:rsidP="003D75D0">
      <w:pPr>
        <w:pStyle w:val="StandardWeb"/>
      </w:pPr>
      <w:r>
        <w:lastRenderedPageBreak/>
        <w:t>Der Übergang von einer kontinuierlichen oder probabilistischen Größe zu einer diskreten Aussage erfolgt gewöhnlich durch eine Entscheidungsregel. Solche Regeln enthalten Schwellenwerte, Klassengrenzen oder Vergleichsbedingungen. Diese Grenzen sind keine neutralen mathematischen Hilfsmittel. Sie bestimmen unmittelbar, welche Beobachtungen zu welcher wissenschaftlichen Aussage führen [58, 59, 79].</w:t>
      </w:r>
    </w:p>
    <w:p w:rsidR="003D75D0" w:rsidRDefault="003D75D0" w:rsidP="003D75D0">
      <w:pPr>
        <w:pStyle w:val="StandardWeb"/>
      </w:pPr>
      <w:r>
        <w:t>Eine Schwellenwertentscheidung kann instabil werden, wenn der beobachtete oder berechnete Wert nahe an der Entscheidungsgrenze liegt. Bereits eine kleine Messabweichung, eine alternative Operationalisierung oder eine geringfügige Parameteränderung kann dann zu einer anderen Klassenzuordnung führen. Deshalb muss ich prüfen, ob eine Entscheidungsregel mit der verwendeten Skala, der vorhandenen Unsicherheit und den Stabilitätsanforderungen vereinbar ist.</w:t>
      </w:r>
    </w:p>
    <w:p w:rsidR="003D75D0" w:rsidRDefault="003D75D0" w:rsidP="003D75D0">
      <w:pPr>
        <w:pStyle w:val="StandardWeb"/>
      </w:pPr>
      <w:r>
        <w:t>Ich unterscheide in diesem Abschnitt:</w:t>
      </w:r>
    </w:p>
    <w:p w:rsidR="003D75D0" w:rsidRDefault="003D75D0" w:rsidP="00632D23">
      <w:pPr>
        <w:pStyle w:val="StandardWeb"/>
        <w:numPr>
          <w:ilvl w:val="0"/>
          <w:numId w:val="186"/>
        </w:numPr>
      </w:pPr>
      <w:r>
        <w:t>binäre und mehrklassige Entscheidungsregeln,</w:t>
      </w:r>
    </w:p>
    <w:p w:rsidR="003D75D0" w:rsidRDefault="003D75D0" w:rsidP="00632D23">
      <w:pPr>
        <w:pStyle w:val="StandardWeb"/>
        <w:numPr>
          <w:ilvl w:val="0"/>
          <w:numId w:val="186"/>
        </w:numPr>
      </w:pPr>
      <w:r>
        <w:t>feste und datenabhängige Schwellenwerte,</w:t>
      </w:r>
    </w:p>
    <w:p w:rsidR="003D75D0" w:rsidRDefault="003D75D0" w:rsidP="00632D23">
      <w:pPr>
        <w:pStyle w:val="StandardWeb"/>
        <w:numPr>
          <w:ilvl w:val="0"/>
          <w:numId w:val="186"/>
        </w:numPr>
      </w:pPr>
      <w:r>
        <w:t>Unsicherheitsbereiche um Entscheidungsgrenzen,</w:t>
      </w:r>
    </w:p>
    <w:p w:rsidR="003D75D0" w:rsidRDefault="003D75D0" w:rsidP="00632D23">
      <w:pPr>
        <w:pStyle w:val="StandardWeb"/>
        <w:numPr>
          <w:ilvl w:val="0"/>
          <w:numId w:val="186"/>
        </w:numPr>
      </w:pPr>
      <w:r>
        <w:t>Entscheidungsstabilität,</w:t>
      </w:r>
    </w:p>
    <w:p w:rsidR="003D75D0" w:rsidRDefault="003D75D0" w:rsidP="00632D23">
      <w:pPr>
        <w:pStyle w:val="StandardWeb"/>
        <w:numPr>
          <w:ilvl w:val="0"/>
          <w:numId w:val="186"/>
        </w:numPr>
      </w:pPr>
      <w:r>
        <w:t>Kosten asymmetrischer Fehlentscheidungen,</w:t>
      </w:r>
    </w:p>
    <w:p w:rsidR="003D75D0" w:rsidRDefault="003D75D0" w:rsidP="00632D23">
      <w:pPr>
        <w:pStyle w:val="StandardWeb"/>
        <w:numPr>
          <w:ilvl w:val="0"/>
          <w:numId w:val="186"/>
        </w:numPr>
      </w:pPr>
      <w:r>
        <w:t>Konsistenz mehrerer gleichzeitig verwendeter Schwellenwerte,</w:t>
      </w:r>
    </w:p>
    <w:p w:rsidR="003D75D0" w:rsidRDefault="003D75D0" w:rsidP="00632D23">
      <w:pPr>
        <w:pStyle w:val="StandardWeb"/>
        <w:numPr>
          <w:ilvl w:val="0"/>
          <w:numId w:val="186"/>
        </w:numPr>
      </w:pPr>
      <w:r>
        <w:t>Repository-Dokumentation von Entscheidungen.</w:t>
      </w:r>
    </w:p>
    <w:p w:rsidR="003D75D0" w:rsidRDefault="003D75D0" w:rsidP="003D75D0">
      <w:pPr>
        <w:pStyle w:val="StandardWeb"/>
      </w:pPr>
      <w:r>
        <w:rPr>
          <w:rStyle w:val="Fett"/>
        </w:rPr>
        <w:t>Eigenleistung des FRZK</w:t>
      </w:r>
    </w:p>
    <w:p w:rsidR="003D75D0" w:rsidRDefault="003D75D0" w:rsidP="003D75D0">
      <w:pPr>
        <w:pStyle w:val="StandardWeb"/>
      </w:pPr>
      <w:r>
        <w:t>Ich führe ein gemeinsames FRZK-Entscheidungssystem ein, das Entscheidungsregel, Schwellenwert, Unsicherheit, Fehlerkosten und Stabilitätsprüfung miteinander verbindet. Dadurch kann ich nachvollziehen, ob eine diskrete Aussage tatsächlich durch die zugrunde liegenden Daten getragen wird oder lediglich aus einer empfindlichen Grenzziehung entsteht.</w:t>
      </w:r>
    </w:p>
    <w:p w:rsidR="003D75D0" w:rsidRPr="00AF32B2" w:rsidRDefault="003D75D0" w:rsidP="00AF32B2">
      <w:pPr>
        <w:pStyle w:val="berschrift4"/>
      </w:pPr>
      <w:r w:rsidRPr="00AF32B2">
        <w:t>3.3.31.1 Binäre Entscheidungsregel</w:t>
      </w:r>
    </w:p>
    <w:p w:rsidR="003D75D0" w:rsidRDefault="003D75D0" w:rsidP="003D75D0">
      <w:pPr>
        <w:pStyle w:val="StandardWeb"/>
      </w:pPr>
      <w:r>
        <w:t>Eine binäre Entscheidungsregel lautet</w:t>
      </w:r>
    </w:p>
    <w:p w:rsidR="003D75D0" w:rsidRDefault="003D75D0" w:rsidP="003D75D0">
      <w:pPr>
        <w:pStyle w:val="StandardWeb"/>
      </w:pPr>
      <w:r>
        <w:t>[</w:t>
      </w:r>
      <w:r>
        <w:br/>
        <w:t>\mathcal{C}_{F}:</w:t>
      </w:r>
      <w:r>
        <w:br/>
        <w:t>\mathcal{Y}</w:t>
      </w:r>
      <w:r>
        <w:br/>
        <w:t>\rightarrow</w:t>
      </w:r>
      <w:r>
        <w:br/>
        <w:t>{0,1}.</w:t>
      </w:r>
      <w:r>
        <w:br/>
        <w:t>\tag{3.5535}</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\mathcal{C}_{F}:\mathcal{Y}\rightarrow\{0,1\}\qquad\text{(3.5535)}</w:t>
      </w:r>
    </w:p>
    <w:p w:rsidR="003D75D0" w:rsidRDefault="003D75D0" w:rsidP="003D75D0">
      <w:pPr>
        <w:pStyle w:val="StandardWeb"/>
      </w:pPr>
      <w:r>
        <w:t>Für einen Wert (y\in\mathcal{Y}) gilt</w:t>
      </w:r>
    </w:p>
    <w:p w:rsidR="003D75D0" w:rsidRDefault="003D75D0" w:rsidP="003D75D0">
      <w:pPr>
        <w:pStyle w:val="berschrift1"/>
      </w:pPr>
      <w:r>
        <w:t>[</w:t>
      </w:r>
      <w:r>
        <w:br/>
        <w:t>c</w:t>
      </w:r>
    </w:p>
    <w:p w:rsidR="003D75D0" w:rsidRDefault="003D75D0" w:rsidP="003D75D0">
      <w:pPr>
        <w:pStyle w:val="StandardWeb"/>
      </w:pPr>
      <w:r>
        <w:lastRenderedPageBreak/>
        <w:t>\mathcal{C}_{F}(y).</w:t>
      </w:r>
      <w:r>
        <w:br/>
        <w:t>\tag{3.5536}</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c=\mathcal{C}_{F}(y)\qquad\text{(3.5536)}</w:t>
      </w:r>
    </w:p>
    <w:p w:rsidR="003D75D0" w:rsidRDefault="003D75D0" w:rsidP="003D75D0">
      <w:pPr>
        <w:pStyle w:val="StandardWeb"/>
      </w:pPr>
      <w:r>
        <w:t>Eine einfache schwellenwertbasierte Entscheidungsregel ist</w:t>
      </w:r>
    </w:p>
    <w:p w:rsidR="003D75D0" w:rsidRDefault="003D75D0" w:rsidP="003D75D0">
      <w:pPr>
        <w:pStyle w:val="berschrift1"/>
      </w:pPr>
      <w:r>
        <w:t>[</w:t>
      </w:r>
      <w:r>
        <w:br/>
        <w:t>\mathcal{C}_{F}(y)</w:t>
      </w:r>
    </w:p>
    <w:p w:rsidR="003D75D0" w:rsidRDefault="003D75D0" w:rsidP="003D75D0">
      <w:pPr>
        <w:pStyle w:val="StandardWeb"/>
      </w:pPr>
      <w:r>
        <w:t>\begin{cases}</w:t>
      </w:r>
      <w:r>
        <w:br/>
        <w:t>0,&amp;y&lt;\tau,\</w:t>
      </w:r>
      <w:r>
        <w:br/>
        <w:t>1,&amp;y\geq\tau.</w:t>
      </w:r>
      <w:r>
        <w:br/>
        <w:t>\end{cases}</w:t>
      </w:r>
      <w:r>
        <w:br/>
        <w:t>\tag{3.5537}</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\mathcal{C}_{F}(y)=\begin{cases}0,&amp;y&lt;\tau,\\1,&amp;y\geq\tau\end{cases}\qquad\text{(3.5537)}</w:t>
      </w:r>
    </w:p>
    <w:p w:rsidR="003D75D0" w:rsidRDefault="003D75D0" w:rsidP="003D75D0">
      <w:pPr>
        <w:pStyle w:val="StandardWeb"/>
      </w:pPr>
      <w:r>
        <w:t>Dabei bezeichnet (\tau) den Entscheidungs- oder Klassifikationsschwellenwert.</w:t>
      </w:r>
    </w:p>
    <w:p w:rsidR="003D75D0" w:rsidRPr="00AF32B2" w:rsidRDefault="003D75D0" w:rsidP="00AF32B2">
      <w:pPr>
        <w:pStyle w:val="berschrift4"/>
      </w:pPr>
      <w:r w:rsidRPr="00AF32B2">
        <w:t>3.3.31.2 Abstand zur Entscheidungsgrenze</w:t>
      </w:r>
    </w:p>
    <w:p w:rsidR="003D75D0" w:rsidRDefault="003D75D0" w:rsidP="003D75D0">
      <w:pPr>
        <w:pStyle w:val="StandardWeb"/>
      </w:pPr>
      <w:r>
        <w:t>Der signierte Abstand eines Werts vom Schwellenwert lautet</w:t>
      </w:r>
    </w:p>
    <w:p w:rsidR="003D75D0" w:rsidRDefault="003D75D0" w:rsidP="003D75D0">
      <w:pPr>
        <w:pStyle w:val="berschrift1"/>
      </w:pPr>
      <w:r>
        <w:t>[</w:t>
      </w:r>
      <w:r>
        <w:br/>
        <w:t>d_{\tau}(y)</w:t>
      </w:r>
    </w:p>
    <w:p w:rsidR="003D75D0" w:rsidRDefault="003D75D0" w:rsidP="003D75D0">
      <w:pPr>
        <w:pStyle w:val="StandardWeb"/>
      </w:pPr>
      <w:r>
        <w:t>y-\tau.</w:t>
      </w:r>
      <w:r>
        <w:br/>
        <w:t>\tag{3.5538}</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d_{\tau}(y)=y-\tau\qquad\text{(3.5538)}</w:t>
      </w:r>
    </w:p>
    <w:p w:rsidR="003D75D0" w:rsidRDefault="003D75D0" w:rsidP="003D75D0">
      <w:pPr>
        <w:pStyle w:val="StandardWeb"/>
      </w:pPr>
      <w:r>
        <w:t>Der absolute Abstand ist</w:t>
      </w:r>
    </w:p>
    <w:p w:rsidR="003D75D0" w:rsidRDefault="003D75D0" w:rsidP="003D75D0">
      <w:pPr>
        <w:pStyle w:val="berschrift1"/>
      </w:pPr>
      <w:r>
        <w:t>[</w:t>
      </w:r>
      <w:r>
        <w:br/>
        <w:t>m_{\tau}(y)</w:t>
      </w:r>
    </w:p>
    <w:p w:rsidR="003D75D0" w:rsidRDefault="003D75D0" w:rsidP="003D75D0">
      <w:pPr>
        <w:pStyle w:val="StandardWeb"/>
      </w:pPr>
      <w:r>
        <w:lastRenderedPageBreak/>
        <w:t>|y-\tau|.</w:t>
      </w:r>
      <w:r>
        <w:br/>
        <w:t>\tag{3.5539}</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m_{\tau}(y)=|y-\tau|\qquad\text{(3.5539)}</w:t>
      </w:r>
    </w:p>
    <w:p w:rsidR="003D75D0" w:rsidRDefault="003D75D0" w:rsidP="003D75D0">
      <w:pPr>
        <w:pStyle w:val="StandardWeb"/>
      </w:pPr>
      <w:r>
        <w:t>Ein großer Abstand kennzeichnet eine deutlich innerhalb einer Entscheidungsklasse liegende Beobachtung. Ein kleiner Abstand weist auf eine grenznahe und potenziell instabile Entscheidung hin.</w:t>
      </w:r>
    </w:p>
    <w:p w:rsidR="003D75D0" w:rsidRDefault="003D75D0" w:rsidP="003D75D0">
      <w:pPr>
        <w:pStyle w:val="StandardWeb"/>
      </w:pPr>
      <w:r>
        <w:t>Für</w:t>
      </w:r>
    </w:p>
    <w:p w:rsidR="003D75D0" w:rsidRDefault="003D75D0" w:rsidP="003D75D0">
      <w:pPr>
        <w:pStyle w:val="StandardWeb"/>
      </w:pPr>
      <w:r>
        <w:t>[</w:t>
      </w:r>
      <w:r>
        <w:br/>
        <w:t>m_{\tau}(y)</w:t>
      </w:r>
      <w:r>
        <w:br/>
        <w:t>\approx</w:t>
      </w:r>
      <w:r>
        <w:br/>
        <w:t>0</w:t>
      </w:r>
      <w:r>
        <w:br/>
        <w:t>\tag{3.5540}</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m_{\tau}(y)\approx0\qquad\text{(3.5540)}</w:t>
      </w:r>
    </w:p>
    <w:p w:rsidR="003D75D0" w:rsidRDefault="003D75D0" w:rsidP="003D75D0">
      <w:pPr>
        <w:pStyle w:val="StandardWeb"/>
      </w:pPr>
      <w:r>
        <w:t>kann bereits eine kleine Störung einen Klassenwechsel auslösen.</w:t>
      </w:r>
    </w:p>
    <w:p w:rsidR="003D75D0" w:rsidRPr="00AF32B2" w:rsidRDefault="003D75D0" w:rsidP="00AF32B2">
      <w:pPr>
        <w:pStyle w:val="berschrift4"/>
      </w:pPr>
      <w:r w:rsidRPr="00AF32B2">
        <w:t>3.3.31.3 Unsicherer Entscheidungswert</w:t>
      </w:r>
    </w:p>
    <w:p w:rsidR="003D75D0" w:rsidRDefault="003D75D0" w:rsidP="003D75D0">
      <w:pPr>
        <w:pStyle w:val="StandardWeb"/>
      </w:pPr>
      <w:r>
        <w:t>Sei der Entscheidungswert eine Zufallsvariable</w:t>
      </w:r>
    </w:p>
    <w:p w:rsidR="003D75D0" w:rsidRDefault="003D75D0" w:rsidP="003D75D0">
      <w:pPr>
        <w:pStyle w:val="StandardWeb"/>
      </w:pPr>
      <w:r>
        <w:t>[</w:t>
      </w:r>
      <w:r>
        <w:br/>
        <w:t>Y</w:t>
      </w:r>
      <w:r>
        <w:br/>
        <w:t>\sim</w:t>
      </w:r>
      <w:r>
        <w:br/>
        <w:t>\mathcal{P}_{Y}.</w:t>
      </w:r>
      <w:r>
        <w:br/>
        <w:t>\tag{3.5541}</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Y\sim\mathcal{P}_{Y}\qquad\text{(3.5541)}</w:t>
      </w:r>
    </w:p>
    <w:p w:rsidR="003D75D0" w:rsidRDefault="003D75D0" w:rsidP="003D75D0">
      <w:pPr>
        <w:pStyle w:val="StandardWeb"/>
      </w:pPr>
      <w:r>
        <w:t>Dann ist auch die Entscheidung zufällig:</w:t>
      </w:r>
    </w:p>
    <w:p w:rsidR="003D75D0" w:rsidRDefault="003D75D0" w:rsidP="003D75D0">
      <w:pPr>
        <w:pStyle w:val="berschrift1"/>
      </w:pPr>
      <w:r>
        <w:t>[</w:t>
      </w:r>
      <w:r>
        <w:br/>
        <w:t>C</w:t>
      </w:r>
    </w:p>
    <w:p w:rsidR="003D75D0" w:rsidRDefault="003D75D0" w:rsidP="003D75D0">
      <w:pPr>
        <w:pStyle w:val="StandardWeb"/>
      </w:pPr>
      <w:r>
        <w:t>\mathcal{C}_{F}(Y).</w:t>
      </w:r>
      <w:r>
        <w:br/>
        <w:t>\tag{3.5542}</w:t>
      </w:r>
      <w:r>
        <w:br/>
        <w:t>]</w:t>
      </w:r>
    </w:p>
    <w:p w:rsidR="003D75D0" w:rsidRDefault="003D75D0" w:rsidP="003D75D0">
      <w:pPr>
        <w:pStyle w:val="StandardWeb"/>
      </w:pPr>
      <w:r>
        <w:rPr>
          <w:rStyle w:val="Fett"/>
        </w:rPr>
        <w:lastRenderedPageBreak/>
        <w:t>Word-LaTeX</w:t>
      </w:r>
    </w:p>
    <w:p w:rsidR="003D75D0" w:rsidRDefault="003D75D0" w:rsidP="003D75D0">
      <w:pPr>
        <w:pStyle w:val="HTMLVorformatiert"/>
        <w:rPr>
          <w:rStyle w:val="HTMLCode"/>
        </w:rPr>
      </w:pPr>
      <w:r>
        <w:rPr>
          <w:rStyle w:val="HTMLCode"/>
        </w:rPr>
        <w:t>C=\mathcal{C}_{F}(Y)\qquad\text{(3.5542)}</w:t>
      </w:r>
    </w:p>
    <w:p w:rsidR="003D75D0" w:rsidRDefault="003D75D0" w:rsidP="003D75D0">
      <w:pPr>
        <w:pStyle w:val="StandardWeb"/>
      </w:pPr>
      <w:r>
        <w:t>Die Wahrscheinlichkeit einer positiven Entscheidung lautet</w:t>
      </w:r>
    </w:p>
    <w:p w:rsidR="003D75D0" w:rsidRDefault="003D75D0" w:rsidP="003D75D0">
      <w:pPr>
        <w:pStyle w:val="berschrift1"/>
      </w:pPr>
      <w:r>
        <w:t>[</w:t>
      </w:r>
      <w:r>
        <w:br/>
        <w:t>\Pr(C=1)</w:t>
      </w:r>
    </w:p>
    <w:p w:rsidR="003D75D0" w:rsidRDefault="003D75D0" w:rsidP="003D75D0">
      <w:pPr>
        <w:pStyle w:val="StandardWeb"/>
      </w:pPr>
      <w:r>
        <w:t>\Pr(Y\geq\tau).</w:t>
      </w:r>
      <w:r>
        <w:br/>
        <w:t>\tag{3.5543}</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\Pr(C=1)=\Pr(Y\geq\tau)\qquad\text{(3.5543)}</w:t>
      </w:r>
    </w:p>
    <w:p w:rsidR="003D75D0" w:rsidRDefault="003D75D0" w:rsidP="003D75D0">
      <w:pPr>
        <w:pStyle w:val="StandardWeb"/>
      </w:pPr>
      <w:r>
        <w:t>Die Wahrscheinlichkeit einer negativen Entscheidung lautet</w:t>
      </w:r>
    </w:p>
    <w:p w:rsidR="003D75D0" w:rsidRDefault="003D75D0" w:rsidP="003D75D0">
      <w:pPr>
        <w:pStyle w:val="berschrift1"/>
      </w:pPr>
      <w:r>
        <w:t>[</w:t>
      </w:r>
      <w:r>
        <w:br/>
        <w:t>\Pr(C=0)</w:t>
      </w:r>
    </w:p>
    <w:p w:rsidR="003D75D0" w:rsidRDefault="003D75D0" w:rsidP="003D75D0">
      <w:pPr>
        <w:pStyle w:val="StandardWeb"/>
      </w:pPr>
      <w:r>
        <w:t>\Pr(Y&lt;\tau).</w:t>
      </w:r>
      <w:r>
        <w:br/>
        <w:t>\tag{3.5544}</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\Pr(C=0)=\Pr(Y&lt;\tau)\qquad\text{(3.5544)}</w:t>
      </w:r>
    </w:p>
    <w:p w:rsidR="003D75D0" w:rsidRPr="00AF32B2" w:rsidRDefault="003D75D0" w:rsidP="00AF32B2">
      <w:pPr>
        <w:pStyle w:val="berschrift4"/>
      </w:pPr>
      <w:r w:rsidRPr="00AF32B2">
        <w:t>3.3.31.4 Definition des FRZK-Entscheidungssystems</w:t>
      </w:r>
    </w:p>
    <w:p w:rsidR="003D75D0" w:rsidRDefault="003D75D0" w:rsidP="003D75D0">
      <w:pPr>
        <w:pStyle w:val="StandardWeb"/>
      </w:pPr>
      <w:r>
        <w:rPr>
          <w:rStyle w:val="Fett"/>
        </w:rPr>
        <w:t>Definition 3.3.23 – FRZK-Entscheidungssystem</w:t>
      </w:r>
    </w:p>
    <w:p w:rsidR="003D75D0" w:rsidRDefault="003D75D0" w:rsidP="003D75D0">
      <w:pPr>
        <w:pStyle w:val="StandardWeb"/>
      </w:pPr>
      <w:r>
        <w:t>Ein FRZK-Entscheidungssystem ist das geordnete Tupel</w:t>
      </w:r>
    </w:p>
    <w:p w:rsidR="003D75D0" w:rsidRDefault="003D75D0" w:rsidP="003D75D0">
      <w:pPr>
        <w:pStyle w:val="berschrift1"/>
      </w:pPr>
      <w:r>
        <w:t>[</w:t>
      </w:r>
      <w:r>
        <w:br/>
        <w:t>\mathfrak{C}_{F}</w:t>
      </w:r>
    </w:p>
    <w:p w:rsidR="003D75D0" w:rsidRDefault="003D75D0" w:rsidP="003D75D0">
      <w:pPr>
        <w:pStyle w:val="StandardWeb"/>
      </w:pPr>
      <w:r>
        <w:t>\left(</w:t>
      </w:r>
      <w:r>
        <w:br/>
        <w:t>\mathcal{Y},</w:t>
      </w:r>
      <w:r>
        <w:br/>
        <w:t>\mathfrak{T}</w:t>
      </w:r>
      <w:r>
        <w:rPr>
          <w:rStyle w:val="Hervorhebung"/>
        </w:rPr>
        <w:t>{F},</w:t>
      </w:r>
      <w:r>
        <w:rPr>
          <w:i/>
          <w:iCs/>
        </w:rPr>
        <w:br/>
      </w:r>
      <w:r>
        <w:rPr>
          <w:rStyle w:val="Hervorhebung"/>
        </w:rPr>
        <w:t>\mathcal{C}</w:t>
      </w:r>
      <w:r>
        <w:t>{F},</w:t>
      </w:r>
      <w:r>
        <w:br/>
        <w:t>\mathfrak{U}</w:t>
      </w:r>
      <w:r>
        <w:rPr>
          <w:rStyle w:val="Hervorhebung"/>
        </w:rPr>
        <w:t>{F}^{\mathrm{unc}},</w:t>
      </w:r>
      <w:r>
        <w:rPr>
          <w:i/>
          <w:iCs/>
        </w:rPr>
        <w:br/>
      </w:r>
      <w:r>
        <w:rPr>
          <w:rStyle w:val="Hervorhebung"/>
        </w:rPr>
        <w:t>\mathfrak{K}</w:t>
      </w:r>
      <w:r>
        <w:t>{F},</w:t>
      </w:r>
      <w:r>
        <w:br/>
        <w:t>\operatorname{Kon}_{F}</w:t>
      </w:r>
      <w:r>
        <w:br/>
        <w:t>\right).</w:t>
      </w:r>
      <w:r>
        <w:br/>
      </w:r>
      <w:r>
        <w:lastRenderedPageBreak/>
        <w:t>\tag{3.5545}</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\mathfrak{C}_{F}=\left(\mathcal{Y},\mathfrak{T}_{F},\mathcal{C}_{F},\mathfrak{U}_{F}^{\mathrm{unc}},\mathfrak{K}_{F},\operatorname{Kon}_{F}\right)\qquad\text{(3.5545)}</w:t>
      </w:r>
    </w:p>
    <w:p w:rsidR="003D75D0" w:rsidRDefault="003D75D0" w:rsidP="003D75D0">
      <w:pPr>
        <w:pStyle w:val="StandardWeb"/>
      </w:pPr>
      <w:r>
        <w:t>Dabei bezeichnet:</w:t>
      </w:r>
    </w:p>
    <w:p w:rsidR="003D75D0" w:rsidRDefault="003D75D0" w:rsidP="00632D23">
      <w:pPr>
        <w:pStyle w:val="StandardWeb"/>
        <w:numPr>
          <w:ilvl w:val="0"/>
          <w:numId w:val="187"/>
        </w:numPr>
      </w:pPr>
      <w:r>
        <w:t>(\mathcal{Y}) den Entscheidungsraum,</w:t>
      </w:r>
    </w:p>
    <w:p w:rsidR="003D75D0" w:rsidRDefault="003D75D0" w:rsidP="00632D23">
      <w:pPr>
        <w:pStyle w:val="StandardWeb"/>
        <w:numPr>
          <w:ilvl w:val="0"/>
          <w:numId w:val="187"/>
        </w:numPr>
      </w:pPr>
      <w:r>
        <w:t>(\mathfrak{T}_{F}) die Menge verwendeter Schwellenwerte und Klassengrenzen,</w:t>
      </w:r>
    </w:p>
    <w:p w:rsidR="003D75D0" w:rsidRDefault="003D75D0" w:rsidP="00632D23">
      <w:pPr>
        <w:pStyle w:val="StandardWeb"/>
        <w:numPr>
          <w:ilvl w:val="0"/>
          <w:numId w:val="187"/>
        </w:numPr>
      </w:pPr>
      <w:r>
        <w:t>(\mathcal{C}_{F}) die Entscheidungsregel,</w:t>
      </w:r>
    </w:p>
    <w:p w:rsidR="003D75D0" w:rsidRDefault="003D75D0" w:rsidP="00632D23">
      <w:pPr>
        <w:pStyle w:val="StandardWeb"/>
        <w:numPr>
          <w:ilvl w:val="0"/>
          <w:numId w:val="187"/>
        </w:numPr>
      </w:pPr>
      <w:r>
        <w:t>(\mathfrak{U}_{F}^{\mathrm{unc}}) das zugehörige Unsicherheitssystem,</w:t>
      </w:r>
    </w:p>
    <w:p w:rsidR="003D75D0" w:rsidRDefault="003D75D0" w:rsidP="00632D23">
      <w:pPr>
        <w:pStyle w:val="StandardWeb"/>
        <w:numPr>
          <w:ilvl w:val="0"/>
          <w:numId w:val="187"/>
        </w:numPr>
      </w:pPr>
      <w:r>
        <w:t>(\mathfrak{K}_{F}) die Kosten- oder Verluststruktur,</w:t>
      </w:r>
    </w:p>
    <w:p w:rsidR="003D75D0" w:rsidRDefault="003D75D0" w:rsidP="00632D23">
      <w:pPr>
        <w:pStyle w:val="StandardWeb"/>
        <w:numPr>
          <w:ilvl w:val="0"/>
          <w:numId w:val="187"/>
        </w:numPr>
      </w:pPr>
      <w:r>
        <w:t>(\operatorname{Kon}_{F}) das Konsistenzprädikat.</w:t>
      </w:r>
    </w:p>
    <w:p w:rsidR="003D75D0" w:rsidRDefault="003D75D0" w:rsidP="003D75D0">
      <w:pPr>
        <w:pStyle w:val="StandardWeb"/>
      </w:pPr>
      <w:r>
        <w:t>Das Konsistenzprädikat lautet</w:t>
      </w:r>
    </w:p>
    <w:p w:rsidR="003D75D0" w:rsidRDefault="003D75D0" w:rsidP="003D75D0">
      <w:pPr>
        <w:pStyle w:val="StandardWeb"/>
      </w:pPr>
      <w:r>
        <w:t>[</w:t>
      </w:r>
      <w:r>
        <w:br/>
        <w:t>\operatorname{Kon}</w:t>
      </w:r>
      <w:r>
        <w:rPr>
          <w:rStyle w:val="Hervorhebung"/>
        </w:rPr>
        <w:t>{F}:</w:t>
      </w:r>
      <w:r>
        <w:rPr>
          <w:i/>
          <w:iCs/>
        </w:rPr>
        <w:br/>
      </w:r>
      <w:r>
        <w:rPr>
          <w:rStyle w:val="Hervorhebung"/>
        </w:rPr>
        <w:t>\mathfrak{C}</w:t>
      </w:r>
      <w:r>
        <w:t>{F}</w:t>
      </w:r>
      <w:r>
        <w:br/>
        <w:t>\rightarrow</w:t>
      </w:r>
      <w:r>
        <w:br/>
        <w:t>{0,1}.</w:t>
      </w:r>
      <w:r>
        <w:br/>
        <w:t>\tag{3.5546}</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\operatorname{Kon}_{F}:\mathfrak{C}_{F}\rightarrow\{0,1\}\qquad\text{(3.5546)}</w:t>
      </w:r>
    </w:p>
    <w:p w:rsidR="003D75D0" w:rsidRDefault="003D75D0" w:rsidP="003D75D0">
      <w:pPr>
        <w:pStyle w:val="StandardWeb"/>
      </w:pPr>
      <w:r>
        <w:t>Für ein konsistentes Entscheidungssystem gilt</w:t>
      </w:r>
    </w:p>
    <w:p w:rsidR="003D75D0" w:rsidRDefault="003D75D0" w:rsidP="003D75D0">
      <w:pPr>
        <w:pStyle w:val="berschrift1"/>
      </w:pPr>
      <w:r>
        <w:t>[</w:t>
      </w:r>
      <w:r>
        <w:br/>
        <w:t>\operatorname{Kon}</w:t>
      </w:r>
      <w:r>
        <w:rPr>
          <w:rStyle w:val="Hervorhebung"/>
        </w:rPr>
        <w:t>{F}</w:t>
      </w:r>
      <w:r>
        <w:rPr>
          <w:i/>
          <w:iCs/>
        </w:rPr>
        <w:br/>
      </w:r>
      <w:r>
        <w:rPr>
          <w:rStyle w:val="Hervorhebung"/>
        </w:rPr>
        <w:t>\left(</w:t>
      </w:r>
      <w:r>
        <w:rPr>
          <w:i/>
          <w:iCs/>
        </w:rPr>
        <w:br/>
      </w:r>
      <w:r>
        <w:rPr>
          <w:rStyle w:val="Hervorhebung"/>
        </w:rPr>
        <w:t>\mathfrak{C}</w:t>
      </w:r>
      <w:r>
        <w:t>{F}</w:t>
      </w:r>
      <w:r>
        <w:br/>
        <w:t>\right)</w:t>
      </w:r>
    </w:p>
    <w:p w:rsidR="003D75D0" w:rsidRDefault="003D75D0" w:rsidP="00632D23">
      <w:pPr>
        <w:numPr>
          <w:ilvl w:val="0"/>
          <w:numId w:val="188"/>
        </w:numPr>
        <w:spacing w:before="100" w:beforeAutospacing="1" w:after="100" w:afterAutospacing="1"/>
      </w:pPr>
    </w:p>
    <w:p w:rsidR="003D75D0" w:rsidRDefault="003D75D0" w:rsidP="003D75D0">
      <w:pPr>
        <w:pStyle w:val="StandardWeb"/>
      </w:pPr>
      <w:r>
        <w:t>\tag{3.5547}</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lastRenderedPageBreak/>
        <w:t>\operatorname{Kon}_{F}\left(\mathfrak{C}_{F}\right)=1\qquad\text{(3.5547)}</w:t>
      </w:r>
    </w:p>
    <w:p w:rsidR="003D75D0" w:rsidRPr="00AF32B2" w:rsidRDefault="003D75D0" w:rsidP="00AF32B2">
      <w:pPr>
        <w:pStyle w:val="berschrift4"/>
      </w:pPr>
      <w:r w:rsidRPr="00AF32B2">
        <w:t>3.3.31.5 Unsicherheitsbereich um den Schwellenwert</w:t>
      </w:r>
    </w:p>
    <w:p w:rsidR="003D75D0" w:rsidRDefault="003D75D0" w:rsidP="003D75D0">
      <w:pPr>
        <w:pStyle w:val="StandardWeb"/>
      </w:pPr>
      <w:r>
        <w:t>Sei (u_Y) die Unsicherheit des Entscheidungswerts. Ein symmetrischer Unsicherheitsbereich lautet</w:t>
      </w:r>
    </w:p>
    <w:p w:rsidR="003D75D0" w:rsidRDefault="003D75D0" w:rsidP="003D75D0">
      <w:pPr>
        <w:pStyle w:val="berschrift1"/>
      </w:pPr>
      <w:r>
        <w:t>[</w:t>
      </w:r>
      <w:r>
        <w:br/>
        <w:t>I_Y</w:t>
      </w:r>
    </w:p>
    <w:p w:rsidR="003D75D0" w:rsidRDefault="003D75D0" w:rsidP="003D75D0">
      <w:pPr>
        <w:pStyle w:val="StandardWeb"/>
      </w:pPr>
      <w:r>
        <w:t>\left[</w:t>
      </w:r>
      <w:r>
        <w:br/>
        <w:t>y-u_Y,</w:t>
      </w:r>
      <w:r>
        <w:br/>
        <w:t>y+u_Y</w:t>
      </w:r>
      <w:r>
        <w:br/>
        <w:t>\right].</w:t>
      </w:r>
      <w:r>
        <w:br/>
        <w:t>\tag{3.5548}</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I_Y=\left[y-u_Y,y+u_Y\right]\qquad\text{(3.5548)}</w:t>
      </w:r>
    </w:p>
    <w:p w:rsidR="003D75D0" w:rsidRDefault="003D75D0" w:rsidP="003D75D0">
      <w:pPr>
        <w:pStyle w:val="StandardWeb"/>
      </w:pPr>
      <w:r>
        <w:t>Eine eindeutige negative Entscheidung liegt vor, wenn</w:t>
      </w:r>
    </w:p>
    <w:p w:rsidR="003D75D0" w:rsidRDefault="003D75D0" w:rsidP="003D75D0">
      <w:pPr>
        <w:pStyle w:val="StandardWeb"/>
      </w:pPr>
      <w:r>
        <w:t>[</w:t>
      </w:r>
      <w:r>
        <w:br/>
        <w:t>y+u_Y</w:t>
      </w:r>
      <w:r>
        <w:br/>
        <w:t>&lt;</w:t>
      </w:r>
      <w:r>
        <w:br/>
        <w:t>\tau.</w:t>
      </w:r>
      <w:r>
        <w:br/>
        <w:t>\tag{3.5549}</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y+u_Y&lt;\tau\qquad\text{(3.5549)}</w:t>
      </w:r>
    </w:p>
    <w:p w:rsidR="003D75D0" w:rsidRDefault="003D75D0" w:rsidP="003D75D0">
      <w:pPr>
        <w:pStyle w:val="StandardWeb"/>
      </w:pPr>
      <w:r>
        <w:t>Eine eindeutige positive Entscheidung liegt vor, wenn</w:t>
      </w:r>
    </w:p>
    <w:p w:rsidR="003D75D0" w:rsidRDefault="003D75D0" w:rsidP="003D75D0">
      <w:pPr>
        <w:pStyle w:val="StandardWeb"/>
      </w:pPr>
      <w:r>
        <w:t>[</w:t>
      </w:r>
      <w:r>
        <w:br/>
        <w:t>y-u_Y</w:t>
      </w:r>
      <w:r>
        <w:br/>
        <w:t>\geq</w:t>
      </w:r>
      <w:r>
        <w:br/>
        <w:t>\tau.</w:t>
      </w:r>
      <w:r>
        <w:br/>
        <w:t>\tag{3.5550}</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y-u_Y\geq\tau\qquad\text{(3.5550)}</w:t>
      </w:r>
    </w:p>
    <w:p w:rsidR="003D75D0" w:rsidRDefault="003D75D0" w:rsidP="003D75D0">
      <w:pPr>
        <w:pStyle w:val="StandardWeb"/>
      </w:pPr>
      <w:r>
        <w:t>Überlappt der Unsicherheitsbereich den Schwellenwert, gilt</w:t>
      </w:r>
    </w:p>
    <w:p w:rsidR="003D75D0" w:rsidRDefault="003D75D0" w:rsidP="003D75D0">
      <w:pPr>
        <w:pStyle w:val="StandardWeb"/>
      </w:pPr>
      <w:r>
        <w:t>[</w:t>
      </w:r>
      <w:r>
        <w:br/>
        <w:t>y-u_Y</w:t>
      </w:r>
      <w:r>
        <w:br/>
      </w:r>
      <w:r>
        <w:lastRenderedPageBreak/>
        <w:t>&lt;</w:t>
      </w:r>
      <w:r>
        <w:br/>
        <w:t>\tau</w:t>
      </w:r>
      <w:r>
        <w:br/>
        <w:t>\leq</w:t>
      </w:r>
      <w:r>
        <w:br/>
        <w:t>y+u_Y.</w:t>
      </w:r>
      <w:r>
        <w:br/>
        <w:t>\tag{3.5551}</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y-u_Y&lt;\tau\leq y+u_Y\qquad\text{(3.5551)}</w:t>
      </w:r>
    </w:p>
    <w:p w:rsidR="003D75D0" w:rsidRDefault="003D75D0" w:rsidP="003D75D0">
      <w:pPr>
        <w:pStyle w:val="StandardWeb"/>
      </w:pPr>
      <w:r>
        <w:t>Dann ist die diskrete Entscheidung durch die vorhandene Unsicherheit nicht eindeutig abgesichert.</w:t>
      </w:r>
    </w:p>
    <w:p w:rsidR="003D75D0" w:rsidRDefault="003D75D0" w:rsidP="003D75D0">
      <w:pPr>
        <w:pStyle w:val="StandardWeb"/>
      </w:pPr>
      <w:r>
        <w:rPr>
          <w:rStyle w:val="Fett"/>
        </w:rPr>
        <w:t>Eigenleistung des FRZK</w:t>
      </w:r>
    </w:p>
    <w:p w:rsidR="003D75D0" w:rsidRDefault="003D75D0" w:rsidP="003D75D0">
      <w:pPr>
        <w:pStyle w:val="StandardWeb"/>
      </w:pPr>
      <w:r>
        <w:t>Ich führe für grenzüberschneidende Unsicherheitsintervalle ausdrücklich eine dritte Bewertung ein. Ein Wert wird nicht künstlich einer binären Klasse zugeordnet, wenn sein Unsicherheitsbereich beide Seiten der Entscheidungsgrenze umfasst.</w:t>
      </w:r>
    </w:p>
    <w:p w:rsidR="003D75D0" w:rsidRPr="00AF32B2" w:rsidRDefault="003D75D0" w:rsidP="00AF32B2">
      <w:pPr>
        <w:pStyle w:val="berschrift4"/>
      </w:pPr>
      <w:r w:rsidRPr="00AF32B2">
        <w:t>3.3.31.6 Dreistufige Entscheidungsregel</w:t>
      </w:r>
    </w:p>
    <w:p w:rsidR="003D75D0" w:rsidRDefault="003D75D0" w:rsidP="003D75D0">
      <w:pPr>
        <w:pStyle w:val="StandardWeb"/>
      </w:pPr>
      <w:r>
        <w:t>Die dreistufige Entscheidungsmenge lautet</w:t>
      </w:r>
    </w:p>
    <w:p w:rsidR="003D75D0" w:rsidRDefault="003D75D0" w:rsidP="003D75D0">
      <w:pPr>
        <w:pStyle w:val="berschrift1"/>
      </w:pPr>
      <w:r>
        <w:t>[</w:t>
      </w:r>
      <w:r>
        <w:br/>
        <w:t>\mathfrak{C}_{3}</w:t>
      </w:r>
    </w:p>
    <w:p w:rsidR="003D75D0" w:rsidRDefault="003D75D0" w:rsidP="003D75D0">
      <w:pPr>
        <w:pStyle w:val="StandardWeb"/>
      </w:pPr>
      <w:r>
        <w:t>\left{</w:t>
      </w:r>
      <w:r>
        <w:br/>
        <w:t>\mathbf{negativ},</w:t>
      </w:r>
      <w:r>
        <w:br/>
        <w:t>\mathbf{unsicher},</w:t>
      </w:r>
      <w:r>
        <w:br/>
        <w:t>\mathbf{positiv}</w:t>
      </w:r>
      <w:r>
        <w:br/>
        <w:t>\right}.</w:t>
      </w:r>
      <w:r>
        <w:br/>
        <w:t>\tag{3.5552}</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\mathfrak{C}_{3}=\left\{\mathbf{negativ},\mathbf{unsicher},\mathbf{positiv}\right\}\qquad\text{(3.5552)}</w:t>
      </w:r>
    </w:p>
    <w:p w:rsidR="003D75D0" w:rsidRDefault="003D75D0" w:rsidP="003D75D0">
      <w:pPr>
        <w:pStyle w:val="StandardWeb"/>
      </w:pPr>
      <w:r>
        <w:t>Die Entscheidungsregel lautet</w:t>
      </w:r>
    </w:p>
    <w:p w:rsidR="003D75D0" w:rsidRDefault="003D75D0" w:rsidP="003D75D0">
      <w:pPr>
        <w:pStyle w:val="berschrift1"/>
      </w:pPr>
      <w:r>
        <w:t>[</w:t>
      </w:r>
      <w:r>
        <w:br/>
        <w:t>\mathcal{C}_{F}^{(3)}</w:t>
      </w:r>
      <w:r>
        <w:br/>
        <w:t>\left(</w:t>
      </w:r>
      <w:r>
        <w:br/>
      </w:r>
      <w:r>
        <w:lastRenderedPageBreak/>
        <w:t>y,u_Y,\tau</w:t>
      </w:r>
      <w:r>
        <w:br/>
        <w:t>\right)</w:t>
      </w:r>
    </w:p>
    <w:p w:rsidR="003D75D0" w:rsidRDefault="003D75D0" w:rsidP="003D75D0">
      <w:pPr>
        <w:pStyle w:val="StandardWeb"/>
      </w:pPr>
      <w:r>
        <w:t>\begin{cases}</w:t>
      </w:r>
      <w:r>
        <w:br/>
        <w:t>\mathbf{negativ},</w:t>
      </w:r>
      <w:r>
        <w:br/>
        <w:t>&amp;y+u_Y&lt;\tau,\</w:t>
      </w:r>
      <w:r>
        <w:br/>
        <w:t>\mathbf{positiv},</w:t>
      </w:r>
      <w:r>
        <w:br/>
        <w:t>&amp;y-u_Y\geq\tau,\</w:t>
      </w:r>
      <w:r>
        <w:br/>
        <w:t>\mathbf{unsicher},</w:t>
      </w:r>
      <w:r>
        <w:br/>
        <w:t>&amp;\text{sonst}.</w:t>
      </w:r>
      <w:r>
        <w:br/>
        <w:t>\end{cases}</w:t>
      </w:r>
      <w:r>
        <w:br/>
        <w:t>\tag{3.5553}</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\mathcal{C}_{F}^{(3)}\left(y,u_Y,\tau\right)=\begin{cases}\mathbf{negativ},&amp;y+u_Y&lt;\tau,\\\mathbf{positiv},&amp;y-u_Y\geq\tau,\\\mathbf{unsicher},&amp;\text{sonst}\end{cases}\qquad\text{(3.5553)}</w:t>
      </w:r>
    </w:p>
    <w:p w:rsidR="003D75D0" w:rsidRDefault="003D75D0" w:rsidP="003D75D0">
      <w:pPr>
        <w:pStyle w:val="StandardWeb"/>
      </w:pPr>
      <w:r>
        <w:t>Diese Regel trennt eine belastbare Entscheidung von einer bloßen Punktwertklassifikation.</w:t>
      </w:r>
    </w:p>
    <w:p w:rsidR="003D75D0" w:rsidRPr="00AF32B2" w:rsidRDefault="003D75D0" w:rsidP="00AF32B2">
      <w:pPr>
        <w:pStyle w:val="berschrift4"/>
      </w:pPr>
      <w:r w:rsidRPr="00AF32B2">
        <w:t>3.3.31.7 Probabilistische Entscheidungsregel</w:t>
      </w:r>
    </w:p>
    <w:p w:rsidR="003D75D0" w:rsidRDefault="003D75D0" w:rsidP="003D75D0">
      <w:pPr>
        <w:pStyle w:val="StandardWeb"/>
      </w:pPr>
      <w:r>
        <w:t>Eine probabilistische Entscheidung kann eine Mindestwahrscheinlichkeit verlangen:</w:t>
      </w:r>
    </w:p>
    <w:p w:rsidR="003D75D0" w:rsidRDefault="003D75D0" w:rsidP="003D75D0">
      <w:pPr>
        <w:pStyle w:val="berschrift1"/>
      </w:pPr>
      <w:r>
        <w:t>[</w:t>
      </w:r>
      <w:r>
        <w:br/>
        <w:t>\mathcal{C}_{F}^{\mathrm{prob}}(Y)</w:t>
      </w:r>
    </w:p>
    <w:p w:rsidR="003D75D0" w:rsidRDefault="003D75D0" w:rsidP="003D75D0">
      <w:pPr>
        <w:pStyle w:val="StandardWeb"/>
      </w:pPr>
      <w:r>
        <w:t>1</w:t>
      </w:r>
      <w:r>
        <w:br/>
        <w:t>\iff</w:t>
      </w:r>
      <w:r>
        <w:br/>
        <w:t>\Pr(Y\geq\tau)</w:t>
      </w:r>
      <w:r>
        <w:br/>
        <w:t>\geq</w:t>
      </w:r>
      <w:r>
        <w:br/>
        <w:t>1-\alpha.</w:t>
      </w:r>
      <w:r>
        <w:br/>
        <w:t>\tag{3.5554}</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\mathcal{C}_{F}^{\mathrm{prob}}(Y)=1\iff\Pr(Y\geq\tau)\geq1-\alpha\qquad\text{(3.5554)}</w:t>
      </w:r>
    </w:p>
    <w:p w:rsidR="003D75D0" w:rsidRDefault="003D75D0" w:rsidP="003D75D0">
      <w:pPr>
        <w:pStyle w:val="StandardWeb"/>
      </w:pPr>
      <w:r>
        <w:t>Eine belastbare negative Entscheidung kann analog definiert werden durch</w:t>
      </w:r>
    </w:p>
    <w:p w:rsidR="003D75D0" w:rsidRDefault="003D75D0" w:rsidP="003D75D0">
      <w:pPr>
        <w:pStyle w:val="berschrift1"/>
      </w:pPr>
      <w:r>
        <w:t>[</w:t>
      </w:r>
      <w:r>
        <w:br/>
        <w:t>\mathcal{C}_{F}^{\mathrm{prob}}(Y)</w:t>
      </w:r>
    </w:p>
    <w:p w:rsidR="003D75D0" w:rsidRDefault="003D75D0" w:rsidP="003D75D0">
      <w:pPr>
        <w:pStyle w:val="StandardWeb"/>
      </w:pPr>
      <w:r>
        <w:lastRenderedPageBreak/>
        <w:t>0</w:t>
      </w:r>
      <w:r>
        <w:br/>
        <w:t>\iff</w:t>
      </w:r>
      <w:r>
        <w:br/>
        <w:t>\Pr(Y&lt;\tau)</w:t>
      </w:r>
      <w:r>
        <w:br/>
        <w:t>\geq</w:t>
      </w:r>
      <w:r>
        <w:br/>
        <w:t>1-\alpha.</w:t>
      </w:r>
      <w:r>
        <w:br/>
        <w:t>\tag{3.5555}</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\mathcal{C}_{F}^{\mathrm{prob}}(Y)=0\iff\Pr(Y&lt;\tau)\geq1-\alpha\qquad\text{(3.5555)}</w:t>
      </w:r>
    </w:p>
    <w:p w:rsidR="003D75D0" w:rsidRDefault="003D75D0" w:rsidP="003D75D0">
      <w:pPr>
        <w:pStyle w:val="StandardWeb"/>
      </w:pPr>
      <w:r>
        <w:t>Ist keine der beiden Bedingungen erfüllt, bleibt die Entscheidung unbestimmt.</w:t>
      </w:r>
    </w:p>
    <w:p w:rsidR="003D75D0" w:rsidRPr="00AF32B2" w:rsidRDefault="003D75D0" w:rsidP="00AF32B2">
      <w:pPr>
        <w:pStyle w:val="berschrift4"/>
      </w:pPr>
      <w:r w:rsidRPr="00AF32B2">
        <w:t>3.3.31.8 Mehrklassige Entscheidung</w:t>
      </w:r>
    </w:p>
    <w:p w:rsidR="003D75D0" w:rsidRDefault="003D75D0" w:rsidP="003D75D0">
      <w:pPr>
        <w:pStyle w:val="StandardWeb"/>
      </w:pPr>
      <w:r>
        <w:t>Für (k) Klassen gilt</w:t>
      </w:r>
    </w:p>
    <w:p w:rsidR="003D75D0" w:rsidRDefault="003D75D0" w:rsidP="003D75D0">
      <w:pPr>
        <w:pStyle w:val="berschrift1"/>
      </w:pPr>
      <w:r>
        <w:t>[</w:t>
      </w:r>
      <w:r>
        <w:br/>
        <w:t>\mathfrak{C}_{k}</w:t>
      </w:r>
    </w:p>
    <w:p w:rsidR="003D75D0" w:rsidRDefault="003D75D0" w:rsidP="003D75D0">
      <w:pPr>
        <w:pStyle w:val="StandardWeb"/>
      </w:pPr>
      <w:r>
        <w:t>\left{</w:t>
      </w:r>
      <w:r>
        <w:br/>
        <w:t>C_1,</w:t>
      </w:r>
      <w:r>
        <w:br/>
        <w:t>C_2,</w:t>
      </w:r>
      <w:r>
        <w:br/>
        <w:t>\ldots,</w:t>
      </w:r>
      <w:r>
        <w:br/>
        <w:t>C_k</w:t>
      </w:r>
      <w:r>
        <w:br/>
        <w:t>\right}.</w:t>
      </w:r>
      <w:r>
        <w:br/>
        <w:t>\tag{3.5556}</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\mathfrak{C}_{k}=\left\{C_1,C_2,\ldots,C_k\right\}\qquad\text{(3.5556)}</w:t>
      </w:r>
    </w:p>
    <w:p w:rsidR="003D75D0" w:rsidRDefault="003D75D0" w:rsidP="003D75D0">
      <w:pPr>
        <w:pStyle w:val="StandardWeb"/>
      </w:pPr>
      <w:r>
        <w:t>Eine geordnete Folge von Schwellenwerten lautet</w:t>
      </w:r>
    </w:p>
    <w:p w:rsidR="003D75D0" w:rsidRDefault="003D75D0" w:rsidP="003D75D0">
      <w:pPr>
        <w:pStyle w:val="StandardWeb"/>
      </w:pPr>
      <w:r>
        <w:t>[</w:t>
      </w:r>
      <w:r>
        <w:br/>
        <w:t>\tau_1</w:t>
      </w:r>
      <w:r>
        <w:br/>
        <w:t>&lt;</w:t>
      </w:r>
      <w:r>
        <w:br/>
        <w:t>\tau_2</w:t>
      </w:r>
      <w:r>
        <w:br/>
        <w:t>&lt;</w:t>
      </w:r>
      <w:r>
        <w:br/>
        <w:t>\cdots</w:t>
      </w:r>
      <w:r>
        <w:br/>
        <w:t>&lt;</w:t>
      </w:r>
      <w:r>
        <w:br/>
        <w:t>\tau_{k-1}.</w:t>
      </w:r>
      <w:r>
        <w:br/>
        <w:t>\tag{3.5557}</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lastRenderedPageBreak/>
        <w:t>\tau_1&lt;\tau_2&lt;\cdots&lt;\tau_{k-1}\qquad\text{(3.5557)}</w:t>
      </w:r>
    </w:p>
    <w:p w:rsidR="003D75D0" w:rsidRDefault="003D75D0" w:rsidP="003D75D0">
      <w:pPr>
        <w:pStyle w:val="StandardWeb"/>
      </w:pPr>
      <w:r>
        <w:t>Die Klassenintervalle werden definiert durch</w:t>
      </w:r>
    </w:p>
    <w:p w:rsidR="003D75D0" w:rsidRDefault="003D75D0" w:rsidP="003D75D0">
      <w:pPr>
        <w:pStyle w:val="berschrift1"/>
      </w:pPr>
      <w:r>
        <w:t>[</w:t>
      </w:r>
      <w:r>
        <w:br/>
        <w:t>C_1</w:t>
      </w:r>
    </w:p>
    <w:p w:rsidR="003D75D0" w:rsidRDefault="003D75D0" w:rsidP="003D75D0">
      <w:pPr>
        <w:pStyle w:val="StandardWeb"/>
      </w:pPr>
      <w:r>
        <w:t>(-\infty,\tau_1),</w:t>
      </w:r>
      <w:r>
        <w:br/>
        <w:t>\tag{3.5558}</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C_1=(-\infty,\tau_1)\qquad\text{(3.5558)}</w:t>
      </w:r>
    </w:p>
    <w:p w:rsidR="003D75D0" w:rsidRDefault="003D75D0" w:rsidP="003D75D0">
      <w:pPr>
        <w:pStyle w:val="berschrift1"/>
      </w:pPr>
      <w:r>
        <w:t>[</w:t>
      </w:r>
      <w:r>
        <w:br/>
        <w:t>C_j</w:t>
      </w:r>
    </w:p>
    <w:p w:rsidR="003D75D0" w:rsidRDefault="003D75D0" w:rsidP="003D75D0">
      <w:pPr>
        <w:pStyle w:val="StandardWeb"/>
      </w:pPr>
      <w:r>
        <w:t>[\tau_{j-1},\tau_j),</w:t>
      </w:r>
      <w:r>
        <w:br/>
        <w:t>\qquad</w:t>
      </w:r>
      <w:r>
        <w:br/>
        <w:t>2\leq j\leq k-1,</w:t>
      </w:r>
      <w:r>
        <w:br/>
        <w:t>\tag{3.5559}</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C_j=[\tau_{j-1},\tau_j),\qquad2\leq j\leq k-1\qquad\text{(3.5559)}</w:t>
      </w:r>
    </w:p>
    <w:p w:rsidR="003D75D0" w:rsidRDefault="003D75D0" w:rsidP="003D75D0">
      <w:pPr>
        <w:pStyle w:val="StandardWeb"/>
      </w:pPr>
      <w:r>
        <w:t>und</w:t>
      </w:r>
    </w:p>
    <w:p w:rsidR="003D75D0" w:rsidRDefault="003D75D0" w:rsidP="003D75D0">
      <w:pPr>
        <w:pStyle w:val="berschrift1"/>
      </w:pPr>
      <w:r>
        <w:t>[</w:t>
      </w:r>
      <w:r>
        <w:br/>
        <w:t>C_k</w:t>
      </w:r>
    </w:p>
    <w:p w:rsidR="003D75D0" w:rsidRDefault="003D75D0" w:rsidP="003D75D0">
      <w:pPr>
        <w:pStyle w:val="StandardWeb"/>
      </w:pPr>
      <w:r>
        <w:t>[\tau_{k-1},\infty).</w:t>
      </w:r>
      <w:r>
        <w:br/>
        <w:t>\tag{3.5560}</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C_k=[\tau_{k-1},\infty)\qquad\text{(3.5560)}</w:t>
      </w:r>
    </w:p>
    <w:p w:rsidR="003D75D0" w:rsidRPr="00AF32B2" w:rsidRDefault="003D75D0" w:rsidP="00AF32B2">
      <w:pPr>
        <w:pStyle w:val="berschrift4"/>
      </w:pPr>
      <w:r w:rsidRPr="00AF32B2">
        <w:t>3.3.31.9 Vollständigkeit und Disjunktheit der Klassen</w:t>
      </w:r>
    </w:p>
    <w:p w:rsidR="003D75D0" w:rsidRDefault="003D75D0" w:rsidP="003D75D0">
      <w:pPr>
        <w:pStyle w:val="StandardWeb"/>
      </w:pPr>
      <w:r>
        <w:t>Eine konsistente Klassenpartition verlangt</w:t>
      </w:r>
    </w:p>
    <w:p w:rsidR="003D75D0" w:rsidRDefault="003D75D0" w:rsidP="003D75D0">
      <w:pPr>
        <w:pStyle w:val="berschrift1"/>
      </w:pPr>
      <w:r>
        <w:lastRenderedPageBreak/>
        <w:t>[</w:t>
      </w:r>
      <w:r>
        <w:br/>
        <w:t>\bigcup_{j=1}^{k}</w:t>
      </w:r>
      <w:r>
        <w:br/>
        <w:t>C_j</w:t>
      </w:r>
    </w:p>
    <w:p w:rsidR="003D75D0" w:rsidRDefault="003D75D0" w:rsidP="003D75D0">
      <w:pPr>
        <w:pStyle w:val="StandardWeb"/>
      </w:pPr>
      <w:r>
        <w:t>\mathcal{Y}.</w:t>
      </w:r>
      <w:r>
        <w:br/>
        <w:t>\tag{3.5561}</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\bigcup_{j=1}^{k}C_j=\mathcal{Y}\qquad\text{(3.5561)}</w:t>
      </w:r>
    </w:p>
    <w:p w:rsidR="003D75D0" w:rsidRDefault="003D75D0" w:rsidP="003D75D0">
      <w:pPr>
        <w:pStyle w:val="StandardWeb"/>
      </w:pPr>
      <w:r>
        <w:t>Außerdem muss gelten</w:t>
      </w:r>
    </w:p>
    <w:p w:rsidR="003D75D0" w:rsidRDefault="003D75D0" w:rsidP="003D75D0">
      <w:pPr>
        <w:pStyle w:val="berschrift1"/>
      </w:pPr>
      <w:r>
        <w:t>[</w:t>
      </w:r>
      <w:r>
        <w:br/>
        <w:t>C_i</w:t>
      </w:r>
      <w:r>
        <w:br/>
        <w:t>\cap</w:t>
      </w:r>
      <w:r>
        <w:br/>
        <w:t>C_j</w:t>
      </w:r>
    </w:p>
    <w:p w:rsidR="003D75D0" w:rsidRDefault="003D75D0" w:rsidP="003D75D0">
      <w:pPr>
        <w:pStyle w:val="StandardWeb"/>
      </w:pPr>
      <w:r>
        <w:t>\emptyset</w:t>
      </w:r>
      <w:r>
        <w:br/>
        <w:t>\quad</w:t>
      </w:r>
      <w:r>
        <w:br/>
        <w:t>\text{für}</w:t>
      </w:r>
      <w:r>
        <w:br/>
        <w:t>\quad</w:t>
      </w:r>
      <w:r>
        <w:br/>
        <w:t>i\neq j.</w:t>
      </w:r>
      <w:r>
        <w:br/>
        <w:t>\tag{3.5562}</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C_i\cap C_j=\emptyset\quad\text{für}\quad i\neq j\qquad\text{(3.5562)}</w:t>
      </w:r>
    </w:p>
    <w:p w:rsidR="003D75D0" w:rsidRDefault="003D75D0" w:rsidP="003D75D0">
      <w:pPr>
        <w:pStyle w:val="StandardWeb"/>
      </w:pPr>
      <w:r>
        <w:t>Damit erhält jeder eindeutig bestimmte Wert genau eine Klasse.</w:t>
      </w:r>
    </w:p>
    <w:p w:rsidR="003D75D0" w:rsidRDefault="003D75D0" w:rsidP="003D75D0">
      <w:pPr>
        <w:pStyle w:val="StandardWeb"/>
      </w:pPr>
      <w:r>
        <w:t>Werden unsichere Werte betrachtet, kann die Verteilung gleichzeitig mehrere Klassenbereiche überdecken.</w:t>
      </w:r>
    </w:p>
    <w:p w:rsidR="003D75D0" w:rsidRPr="00AF32B2" w:rsidRDefault="003D75D0" w:rsidP="00AF32B2">
      <w:pPr>
        <w:pStyle w:val="berschrift4"/>
      </w:pPr>
      <w:r w:rsidRPr="00AF32B2">
        <w:t>3.3.31.10 Klassenwahrscheinlichkeiten</w:t>
      </w:r>
    </w:p>
    <w:p w:rsidR="003D75D0" w:rsidRDefault="003D75D0" w:rsidP="003D75D0">
      <w:pPr>
        <w:pStyle w:val="StandardWeb"/>
      </w:pPr>
      <w:r>
        <w:t>Für eine unsichere Größe (Y) lautet die Wahrscheinlichkeit der Klasse (C_j)</w:t>
      </w:r>
    </w:p>
    <w:p w:rsidR="003D75D0" w:rsidRDefault="003D75D0" w:rsidP="003D75D0">
      <w:pPr>
        <w:pStyle w:val="berschrift1"/>
      </w:pPr>
      <w:r>
        <w:t>[</w:t>
      </w:r>
      <w:r>
        <w:br/>
        <w:t>p_j</w:t>
      </w:r>
    </w:p>
    <w:p w:rsidR="003D75D0" w:rsidRDefault="003D75D0" w:rsidP="003D75D0">
      <w:pPr>
        <w:pStyle w:val="StandardWeb"/>
      </w:pPr>
      <w:r>
        <w:lastRenderedPageBreak/>
        <w:t>\Pr</w:t>
      </w:r>
      <w:r>
        <w:br/>
        <w:t>\left(</w:t>
      </w:r>
      <w:r>
        <w:br/>
        <w:t>Y\in C_j</w:t>
      </w:r>
      <w:r>
        <w:br/>
        <w:t>\right).</w:t>
      </w:r>
      <w:r>
        <w:br/>
        <w:t>\tag{3.5563}</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p_j=\Pr\left(Y\in C_j\right)\qquad\text{(3.5563)}</w:t>
      </w:r>
    </w:p>
    <w:p w:rsidR="003D75D0" w:rsidRDefault="003D75D0" w:rsidP="003D75D0">
      <w:pPr>
        <w:pStyle w:val="StandardWeb"/>
      </w:pPr>
      <w:r>
        <w:t>Die Klassenwahrscheinlichkeiten erfüllen</w:t>
      </w:r>
    </w:p>
    <w:p w:rsidR="003D75D0" w:rsidRDefault="003D75D0" w:rsidP="003D75D0">
      <w:pPr>
        <w:pStyle w:val="berschrift1"/>
      </w:pPr>
      <w:r>
        <w:t>[</w:t>
      </w:r>
      <w:r>
        <w:br/>
        <w:t>\sum_{j=1}^{k}</w:t>
      </w:r>
      <w:r>
        <w:br/>
        <w:t>p_j</w:t>
      </w:r>
    </w:p>
    <w:p w:rsidR="003D75D0" w:rsidRDefault="003D75D0" w:rsidP="00632D23">
      <w:pPr>
        <w:numPr>
          <w:ilvl w:val="0"/>
          <w:numId w:val="189"/>
        </w:numPr>
        <w:spacing w:before="100" w:beforeAutospacing="1" w:after="100" w:afterAutospacing="1"/>
      </w:pPr>
    </w:p>
    <w:p w:rsidR="003D75D0" w:rsidRDefault="003D75D0" w:rsidP="003D75D0">
      <w:pPr>
        <w:pStyle w:val="StandardWeb"/>
      </w:pPr>
      <w:r>
        <w:t>\tag{3.5564}</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\sum_{j=1}^{k}p_j=1\qquad\text{(3.5564)}</w:t>
      </w:r>
    </w:p>
    <w:p w:rsidR="003D75D0" w:rsidRDefault="003D75D0" w:rsidP="003D75D0">
      <w:pPr>
        <w:pStyle w:val="StandardWeb"/>
      </w:pPr>
      <w:r>
        <w:t>Eine eindeutige probabilistische Klassenzuordnung kann fordern</w:t>
      </w:r>
    </w:p>
    <w:p w:rsidR="003D75D0" w:rsidRDefault="003D75D0" w:rsidP="003D75D0">
      <w:pPr>
        <w:pStyle w:val="StandardWeb"/>
      </w:pPr>
      <w:r>
        <w:t>[</w:t>
      </w:r>
      <w:r>
        <w:br/>
        <w:t>\max_j</w:t>
      </w:r>
      <w:r>
        <w:br/>
        <w:t>p_j</w:t>
      </w:r>
      <w:r>
        <w:br/>
        <w:t>\geq</w:t>
      </w:r>
      <w:r>
        <w:br/>
        <w:t>1-\alpha.</w:t>
      </w:r>
      <w:r>
        <w:br/>
        <w:t>\tag{3.5565}</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\max_j p_j\geq1-\alpha\qquad\text{(3.5565)}</w:t>
      </w:r>
    </w:p>
    <w:p w:rsidR="003D75D0" w:rsidRDefault="003D75D0" w:rsidP="003D75D0">
      <w:pPr>
        <w:pStyle w:val="StandardWeb"/>
      </w:pPr>
      <w:r>
        <w:t>Die ausgewählte Klasse lautet dann</w:t>
      </w:r>
    </w:p>
    <w:p w:rsidR="003D75D0" w:rsidRDefault="003D75D0" w:rsidP="003D75D0">
      <w:pPr>
        <w:pStyle w:val="berschrift1"/>
      </w:pPr>
      <w:r>
        <w:t>[</w:t>
      </w:r>
      <w:r>
        <w:br/>
        <w:t>C^{\ast}</w:t>
      </w:r>
    </w:p>
    <w:p w:rsidR="003D75D0" w:rsidRDefault="003D75D0" w:rsidP="003D75D0">
      <w:pPr>
        <w:pStyle w:val="StandardWeb"/>
      </w:pPr>
      <w:r>
        <w:t>\operatorname*{arg,max}_{C_j}</w:t>
      </w:r>
      <w:r>
        <w:br/>
        <w:t>p_j.</w:t>
      </w:r>
      <w:r>
        <w:br/>
      </w:r>
      <w:r>
        <w:lastRenderedPageBreak/>
        <w:t>\tag{3.5566}</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C^{\ast}=\operatorname*{arg\,max}_{C_j}p_j\qquad\text{(3.5566)}</w:t>
      </w:r>
    </w:p>
    <w:p w:rsidR="003D75D0" w:rsidRPr="00AF32B2" w:rsidRDefault="003D75D0" w:rsidP="00AF32B2">
      <w:pPr>
        <w:pStyle w:val="berschrift4"/>
      </w:pPr>
      <w:r w:rsidRPr="00AF32B2">
        <w:t>3.3.31.11 Entscheidungsunsicherheit</w:t>
      </w:r>
    </w:p>
    <w:p w:rsidR="003D75D0" w:rsidRDefault="003D75D0" w:rsidP="003D75D0">
      <w:pPr>
        <w:pStyle w:val="StandardWeb"/>
      </w:pPr>
      <w:r>
        <w:t>Die Unsicherheit einer mehrklassigen Entscheidung kann durch die Entropie der Klassenwahrscheinlichkeiten beschrieben werden:</w:t>
      </w:r>
    </w:p>
    <w:p w:rsidR="003D75D0" w:rsidRDefault="003D75D0" w:rsidP="003D75D0">
      <w:pPr>
        <w:pStyle w:val="berschrift1"/>
      </w:pPr>
      <w:r>
        <w:t>[</w:t>
      </w:r>
      <w:r>
        <w:br/>
        <w:t>H_C</w:t>
      </w:r>
    </w:p>
    <w:p w:rsidR="003D75D0" w:rsidRDefault="003D75D0" w:rsidP="00632D23">
      <w:pPr>
        <w:numPr>
          <w:ilvl w:val="0"/>
          <w:numId w:val="190"/>
        </w:numPr>
        <w:spacing w:before="100" w:beforeAutospacing="1" w:after="100" w:afterAutospacing="1"/>
      </w:pPr>
    </w:p>
    <w:p w:rsidR="003D75D0" w:rsidRDefault="003D75D0" w:rsidP="003D75D0">
      <w:pPr>
        <w:pStyle w:val="StandardWeb"/>
      </w:pPr>
      <w:r>
        <w:t>\sum_{j=1}^{k}</w:t>
      </w:r>
      <w:r>
        <w:br/>
        <w:t>p_j</w:t>
      </w:r>
      <w:r>
        <w:br/>
        <w:t>\log p_j.</w:t>
      </w:r>
      <w:r>
        <w:br/>
        <w:t>\tag{3.5567}</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H_C=-\sum_{j=1}^{k}p_j\log p_j\qquad\text{(3.5567)}</w:t>
      </w:r>
    </w:p>
    <w:p w:rsidR="003D75D0" w:rsidRDefault="003D75D0" w:rsidP="003D75D0">
      <w:pPr>
        <w:pStyle w:val="StandardWeb"/>
      </w:pPr>
      <w:r>
        <w:t>Für eine sichere Klassenzuordnung mit (p_j=1) für genau eine Klasse gilt</w:t>
      </w:r>
    </w:p>
    <w:p w:rsidR="003D75D0" w:rsidRDefault="003D75D0" w:rsidP="003D75D0">
      <w:pPr>
        <w:pStyle w:val="berschrift1"/>
      </w:pPr>
      <w:r>
        <w:t>[</w:t>
      </w:r>
      <w:r>
        <w:br/>
        <w:t>H_C</w:t>
      </w:r>
    </w:p>
    <w:p w:rsidR="003D75D0" w:rsidRDefault="003D75D0" w:rsidP="00632D23">
      <w:pPr>
        <w:numPr>
          <w:ilvl w:val="0"/>
          <w:numId w:val="191"/>
        </w:numPr>
        <w:spacing w:before="100" w:beforeAutospacing="1" w:after="100" w:afterAutospacing="1"/>
      </w:pPr>
    </w:p>
    <w:p w:rsidR="003D75D0" w:rsidRDefault="003D75D0" w:rsidP="003D75D0">
      <w:pPr>
        <w:pStyle w:val="StandardWeb"/>
      </w:pPr>
      <w:r>
        <w:t>\tag{3.5568}</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H_C=0\qquad\text{(3.5568)}</w:t>
      </w:r>
    </w:p>
    <w:p w:rsidR="003D75D0" w:rsidRDefault="003D75D0" w:rsidP="003D75D0">
      <w:pPr>
        <w:pStyle w:val="StandardWeb"/>
      </w:pPr>
      <w:r>
        <w:t>Bei gleichverteilten Klassenwahrscheinlichkeiten ist die Entscheidungsunsicherheit maximal:</w:t>
      </w:r>
    </w:p>
    <w:p w:rsidR="003D75D0" w:rsidRDefault="003D75D0" w:rsidP="003D75D0">
      <w:pPr>
        <w:pStyle w:val="berschrift1"/>
      </w:pPr>
      <w:r>
        <w:t>[</w:t>
      </w:r>
      <w:r>
        <w:br/>
        <w:t>p_j</w:t>
      </w:r>
    </w:p>
    <w:p w:rsidR="003D75D0" w:rsidRDefault="003D75D0" w:rsidP="003D75D0">
      <w:pPr>
        <w:pStyle w:val="StandardWeb"/>
      </w:pPr>
      <w:r>
        <w:lastRenderedPageBreak/>
        <w:t>\frac{1}{k}</w:t>
      </w:r>
      <w:r>
        <w:br/>
        <w:t>\quad</w:t>
      </w:r>
      <w:r>
        <w:br/>
        <w:t>\forall j.</w:t>
      </w:r>
      <w:r>
        <w:br/>
        <w:t>\tag{3.5569}</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p_j=\frac{1}{k}\quad\forall j\qquad\text{(3.5569)}</w:t>
      </w:r>
    </w:p>
    <w:p w:rsidR="003D75D0" w:rsidRPr="00AF32B2" w:rsidRDefault="003D75D0" w:rsidP="00AF32B2">
      <w:pPr>
        <w:pStyle w:val="berschrift4"/>
      </w:pPr>
      <w:r w:rsidRPr="00AF32B2">
        <w:t>3.3.31.12 Skalenkonsistenz eines Schwellenwerts</w:t>
      </w:r>
    </w:p>
    <w:p w:rsidR="003D75D0" w:rsidRDefault="003D75D0" w:rsidP="003D75D0">
      <w:pPr>
        <w:pStyle w:val="StandardWeb"/>
      </w:pPr>
      <w:r>
        <w:t>Ein Schwellenwert muss gemeinsam mit der verwendeten Skala transformiert werden.</w:t>
      </w:r>
    </w:p>
    <w:p w:rsidR="003D75D0" w:rsidRDefault="003D75D0" w:rsidP="003D75D0">
      <w:pPr>
        <w:pStyle w:val="StandardWeb"/>
      </w:pPr>
      <w:r>
        <w:t>Für eine zulässige Skalentransformation</w:t>
      </w:r>
    </w:p>
    <w:p w:rsidR="003D75D0" w:rsidRDefault="003D75D0" w:rsidP="003D75D0">
      <w:pPr>
        <w:pStyle w:val="berschrift1"/>
      </w:pPr>
      <w:r>
        <w:t>[</w:t>
      </w:r>
      <w:r>
        <w:br/>
        <w:t>y^{\prime}</w:t>
      </w:r>
    </w:p>
    <w:p w:rsidR="003D75D0" w:rsidRDefault="003D75D0" w:rsidP="003D75D0">
      <w:pPr>
        <w:pStyle w:val="StandardWeb"/>
      </w:pPr>
      <w:r>
        <w:t>g(y)</w:t>
      </w:r>
      <w:r>
        <w:br/>
        <w:t>\tag{3.5570}</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y^{\prime}=g(y)\qquad\text{(3.5570)}</w:t>
      </w:r>
    </w:p>
    <w:p w:rsidR="003D75D0" w:rsidRDefault="003D75D0" w:rsidP="003D75D0">
      <w:pPr>
        <w:pStyle w:val="StandardWeb"/>
      </w:pPr>
      <w:r>
        <w:t>muss der transformierte Schwellenwert lauten</w:t>
      </w:r>
    </w:p>
    <w:p w:rsidR="003D75D0" w:rsidRDefault="003D75D0" w:rsidP="003D75D0">
      <w:pPr>
        <w:pStyle w:val="berschrift1"/>
      </w:pPr>
      <w:r>
        <w:t>[</w:t>
      </w:r>
      <w:r>
        <w:br/>
        <w:t>\tau^{\prime}</w:t>
      </w:r>
    </w:p>
    <w:p w:rsidR="003D75D0" w:rsidRDefault="003D75D0" w:rsidP="003D75D0">
      <w:pPr>
        <w:pStyle w:val="StandardWeb"/>
      </w:pPr>
      <w:r>
        <w:t>g(\tau).</w:t>
      </w:r>
      <w:r>
        <w:br/>
        <w:t>\tag{3.5571}</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\tau^{\prime}=g(\tau)\qquad\text{(3.5571)}</w:t>
      </w:r>
    </w:p>
    <w:p w:rsidR="003D75D0" w:rsidRDefault="003D75D0" w:rsidP="003D75D0">
      <w:pPr>
        <w:pStyle w:val="StandardWeb"/>
      </w:pPr>
      <w:r>
        <w:t>Eine skalenkonsistente Entscheidung erfüllt</w:t>
      </w:r>
    </w:p>
    <w:p w:rsidR="003D75D0" w:rsidRDefault="003D75D0" w:rsidP="003D75D0">
      <w:pPr>
        <w:pStyle w:val="StandardWeb"/>
      </w:pPr>
      <w:r>
        <w:t>[</w:t>
      </w:r>
      <w:r>
        <w:br/>
        <w:t>y</w:t>
      </w:r>
      <w:r>
        <w:br/>
        <w:t>\geq</w:t>
      </w:r>
      <w:r>
        <w:br/>
        <w:t>\tau</w:t>
      </w:r>
      <w:r>
        <w:br/>
        <w:t>\iff</w:t>
      </w:r>
      <w:r>
        <w:br/>
        <w:t>g(y)</w:t>
      </w:r>
      <w:r>
        <w:br/>
        <w:t>\geq</w:t>
      </w:r>
      <w:r>
        <w:br/>
      </w:r>
      <w:r>
        <w:lastRenderedPageBreak/>
        <w:t>g(\tau)</w:t>
      </w:r>
      <w:r>
        <w:br/>
        <w:t>\tag{3.5572}</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y\geq\tau\iff g(y)\geq g(\tau)\qquad\text{(3.5572)}</w:t>
      </w:r>
    </w:p>
    <w:p w:rsidR="003D75D0" w:rsidRDefault="003D75D0" w:rsidP="003D75D0">
      <w:pPr>
        <w:pStyle w:val="StandardWeb"/>
      </w:pPr>
      <w:r>
        <w:t>für jede zulässige streng monotone Transformation.</w:t>
      </w:r>
    </w:p>
    <w:p w:rsidR="003D75D0" w:rsidRDefault="003D75D0" w:rsidP="003D75D0">
      <w:pPr>
        <w:pStyle w:val="StandardWeb"/>
      </w:pPr>
      <w:r>
        <w:t>Ein unverändert übernommener numerischer Schwellenwert kann bei einem Einheitenwechsel eine andere inhaltliche Entscheidung erzeugen.</w:t>
      </w:r>
    </w:p>
    <w:p w:rsidR="003D75D0" w:rsidRPr="00AF32B2" w:rsidRDefault="003D75D0" w:rsidP="00AF32B2">
      <w:pPr>
        <w:pStyle w:val="berschrift4"/>
      </w:pPr>
      <w:r w:rsidRPr="00AF32B2">
        <w:t>3.3.31.13 Schwellenwertstabilität</w:t>
      </w:r>
    </w:p>
    <w:p w:rsidR="003D75D0" w:rsidRDefault="003D75D0" w:rsidP="003D75D0">
      <w:pPr>
        <w:pStyle w:val="StandardWeb"/>
      </w:pPr>
      <w:r>
        <w:t>Eine Änderung des Schwellenwerts lautet</w:t>
      </w:r>
    </w:p>
    <w:p w:rsidR="003D75D0" w:rsidRDefault="003D75D0" w:rsidP="003D75D0">
      <w:pPr>
        <w:pStyle w:val="berschrift1"/>
      </w:pPr>
      <w:r>
        <w:t>[</w:t>
      </w:r>
      <w:r>
        <w:br/>
        <w:t>\tau^{\prime}</w:t>
      </w:r>
    </w:p>
    <w:p w:rsidR="003D75D0" w:rsidRDefault="003D75D0" w:rsidP="003D75D0">
      <w:pPr>
        <w:pStyle w:val="StandardWeb"/>
      </w:pPr>
      <w:r>
        <w:t>\tau</w:t>
      </w:r>
      <w:r>
        <w:br/>
        <w:t>+</w:t>
      </w:r>
      <w:r>
        <w:br/>
        <w:t>\Delta\tau.</w:t>
      </w:r>
      <w:r>
        <w:br/>
        <w:t>\tag{3.5573}</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\tau^{\prime}=\tau+\Delta\tau\qquad\text{(3.5573)}</w:t>
      </w:r>
    </w:p>
    <w:p w:rsidR="003D75D0" w:rsidRDefault="003D75D0" w:rsidP="003D75D0">
      <w:pPr>
        <w:pStyle w:val="StandardWeb"/>
      </w:pPr>
      <w:r>
        <w:t>Die ursprüngliche Entscheidung ist</w:t>
      </w:r>
    </w:p>
    <w:p w:rsidR="003D75D0" w:rsidRDefault="003D75D0" w:rsidP="003D75D0">
      <w:pPr>
        <w:pStyle w:val="berschrift1"/>
      </w:pPr>
      <w:r>
        <w:t>[</w:t>
      </w:r>
      <w:r>
        <w:br/>
        <w:t>c</w:t>
      </w:r>
    </w:p>
    <w:p w:rsidR="003D75D0" w:rsidRDefault="003D75D0" w:rsidP="003D75D0">
      <w:pPr>
        <w:pStyle w:val="StandardWeb"/>
      </w:pPr>
      <w:r>
        <w:t>\mathcal{C}_{F}(y;\tau).</w:t>
      </w:r>
      <w:r>
        <w:br/>
        <w:t>\tag{3.5574}</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c=\mathcal{C}_{F}(y;\tau)\qquad\text{(3.5574)}</w:t>
      </w:r>
    </w:p>
    <w:p w:rsidR="003D75D0" w:rsidRDefault="003D75D0" w:rsidP="003D75D0">
      <w:pPr>
        <w:pStyle w:val="StandardWeb"/>
      </w:pPr>
      <w:r>
        <w:t>Die veränderte Entscheidung lautet</w:t>
      </w:r>
    </w:p>
    <w:p w:rsidR="003D75D0" w:rsidRDefault="003D75D0" w:rsidP="003D75D0">
      <w:pPr>
        <w:pStyle w:val="berschrift1"/>
      </w:pPr>
      <w:r>
        <w:t>[</w:t>
      </w:r>
      <w:r>
        <w:br/>
        <w:t>c^{\prime}</w:t>
      </w:r>
    </w:p>
    <w:p w:rsidR="003D75D0" w:rsidRDefault="003D75D0" w:rsidP="003D75D0">
      <w:pPr>
        <w:pStyle w:val="StandardWeb"/>
      </w:pPr>
      <w:r>
        <w:lastRenderedPageBreak/>
        <w:t>\mathcal{C}_{F}</w:t>
      </w:r>
      <w:r>
        <w:br/>
        <w:t>\left(</w:t>
      </w:r>
      <w:r>
        <w:br/>
        <w:t>y;\tau^{\prime}</w:t>
      </w:r>
      <w:r>
        <w:br/>
        <w:t>\right).</w:t>
      </w:r>
      <w:r>
        <w:br/>
        <w:t>\tag{3.5575}</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c^{\prime}=\mathcal{C}_{F}\left(y;\tau^{\prime}\right)\qquad\text{(3.5575)}</w:t>
      </w:r>
    </w:p>
    <w:p w:rsidR="003D75D0" w:rsidRDefault="003D75D0" w:rsidP="003D75D0">
      <w:pPr>
        <w:pStyle w:val="StandardWeb"/>
      </w:pPr>
      <w:r>
        <w:t>Die Entscheidung ist schwellenwertstabil, wenn</w:t>
      </w:r>
    </w:p>
    <w:p w:rsidR="003D75D0" w:rsidRDefault="003D75D0" w:rsidP="003D75D0">
      <w:pPr>
        <w:pStyle w:val="berschrift1"/>
      </w:pPr>
      <w:r>
        <w:t>[</w:t>
      </w:r>
      <w:r>
        <w:br/>
        <w:t>c^{\prime}</w:t>
      </w:r>
    </w:p>
    <w:p w:rsidR="003D75D0" w:rsidRDefault="003D75D0" w:rsidP="003D75D0">
      <w:pPr>
        <w:pStyle w:val="StandardWeb"/>
      </w:pPr>
      <w:r>
        <w:t>c.</w:t>
      </w:r>
      <w:r>
        <w:br/>
        <w:t>\tag{3.5576}</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c^{\prime}=c\qquad\text{(3.5576)}</w:t>
      </w:r>
    </w:p>
    <w:p w:rsidR="003D75D0" w:rsidRDefault="003D75D0" w:rsidP="003D75D0">
      <w:pPr>
        <w:pStyle w:val="StandardWeb"/>
      </w:pPr>
      <w:r>
        <w:t>Eine hinreichende Bedingung lautet</w:t>
      </w:r>
    </w:p>
    <w:p w:rsidR="003D75D0" w:rsidRDefault="003D75D0" w:rsidP="003D75D0">
      <w:pPr>
        <w:pStyle w:val="StandardWeb"/>
      </w:pPr>
      <w:r>
        <w:t>[</w:t>
      </w:r>
      <w:r>
        <w:br/>
        <w:t>|\Delta\tau|</w:t>
      </w:r>
      <w:r>
        <w:br/>
        <w:t>&lt;</w:t>
      </w:r>
      <w:r>
        <w:br/>
        <w:t>|y-\tau|.</w:t>
      </w:r>
      <w:r>
        <w:br/>
        <w:t>\tag{3.5577}</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|\Delta\tau|&lt;|y-\tau|\qquad\text{(3.5577)}</w:t>
      </w:r>
    </w:p>
    <w:p w:rsidR="003D75D0" w:rsidRPr="00AF32B2" w:rsidRDefault="003D75D0" w:rsidP="00AF32B2">
      <w:pPr>
        <w:pStyle w:val="berschrift4"/>
      </w:pPr>
      <w:r w:rsidRPr="00AF32B2">
        <w:t>3.3.31.14 Gemeinsame Wert- und Schwellenwertunsicherheit</w:t>
      </w:r>
    </w:p>
    <w:p w:rsidR="003D75D0" w:rsidRDefault="003D75D0" w:rsidP="003D75D0">
      <w:pPr>
        <w:pStyle w:val="StandardWeb"/>
      </w:pPr>
      <w:r>
        <w:t>Sind sowohl der Wert als auch der Schwellenwert unsicher, gilt</w:t>
      </w:r>
    </w:p>
    <w:p w:rsidR="003D75D0" w:rsidRDefault="003D75D0" w:rsidP="003D75D0">
      <w:pPr>
        <w:pStyle w:val="StandardWeb"/>
      </w:pPr>
      <w:r>
        <w:t>[</w:t>
      </w:r>
      <w:r>
        <w:br/>
        <w:t>Y</w:t>
      </w:r>
      <w:r>
        <w:br/>
        <w:t>\sim</w:t>
      </w:r>
      <w:r>
        <w:br/>
        <w:t>\mathcal{P}_{Y}</w:t>
      </w:r>
      <w:r>
        <w:br/>
        <w:t>\tag{3.5578}</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Y\sim\mathcal{P}_{Y}\qquad\text{(3.5578)}</w:t>
      </w:r>
    </w:p>
    <w:p w:rsidR="003D75D0" w:rsidRDefault="003D75D0" w:rsidP="003D75D0">
      <w:pPr>
        <w:pStyle w:val="StandardWeb"/>
      </w:pPr>
      <w:r>
        <w:lastRenderedPageBreak/>
        <w:t>und</w:t>
      </w:r>
    </w:p>
    <w:p w:rsidR="003D75D0" w:rsidRDefault="003D75D0" w:rsidP="003D75D0">
      <w:pPr>
        <w:pStyle w:val="StandardWeb"/>
      </w:pPr>
      <w:r>
        <w:t>[</w:t>
      </w:r>
      <w:r>
        <w:br/>
        <w:t>T</w:t>
      </w:r>
      <w:r>
        <w:br/>
        <w:t>\sim</w:t>
      </w:r>
      <w:r>
        <w:br/>
        <w:t>\mathcal{P}_{T}.</w:t>
      </w:r>
      <w:r>
        <w:br/>
        <w:t>\tag{3.5579}</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T\sim\mathcal{P}_{T}\qquad\text{(3.5579)}</w:t>
      </w:r>
    </w:p>
    <w:p w:rsidR="003D75D0" w:rsidRDefault="003D75D0" w:rsidP="003D75D0">
      <w:pPr>
        <w:pStyle w:val="StandardWeb"/>
      </w:pPr>
      <w:r>
        <w:t>Die Entscheidungswahrscheinlichkeit lautet dann</w:t>
      </w:r>
    </w:p>
    <w:p w:rsidR="003D75D0" w:rsidRDefault="003D75D0" w:rsidP="003D75D0">
      <w:pPr>
        <w:pStyle w:val="StandardWeb"/>
      </w:pPr>
      <w:r>
        <w:t>[</w:t>
      </w:r>
      <w:r>
        <w:br/>
        <w:t>\Pr</w:t>
      </w:r>
      <w:r>
        <w:br/>
        <w:t>\left(</w:t>
      </w:r>
      <w:r>
        <w:br/>
        <w:t>Y\geq T</w:t>
      </w:r>
      <w:r>
        <w:br/>
        <w:t>\right).</w:t>
      </w:r>
      <w:r>
        <w:br/>
        <w:t>\tag{3.5580}</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\Pr\left(Y\geq T\right)\qquad\text{(3.5580)}</w:t>
      </w:r>
    </w:p>
    <w:p w:rsidR="003D75D0" w:rsidRDefault="003D75D0" w:rsidP="003D75D0">
      <w:pPr>
        <w:pStyle w:val="StandardWeb"/>
      </w:pPr>
      <w:r>
        <w:t>Für die Differenzvariable</w:t>
      </w:r>
    </w:p>
    <w:p w:rsidR="003D75D0" w:rsidRDefault="003D75D0" w:rsidP="003D75D0">
      <w:pPr>
        <w:pStyle w:val="berschrift1"/>
      </w:pPr>
      <w:r>
        <w:t>[</w:t>
      </w:r>
      <w:r>
        <w:br/>
        <w:t>D</w:t>
      </w:r>
    </w:p>
    <w:p w:rsidR="003D75D0" w:rsidRDefault="003D75D0" w:rsidP="003D75D0">
      <w:pPr>
        <w:pStyle w:val="StandardWeb"/>
      </w:pPr>
      <w:r>
        <w:t>Y-T</w:t>
      </w:r>
      <w:r>
        <w:br/>
        <w:t>\tag{3.5581}</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D=Y-T\qquad\text{(3.5581)}</w:t>
      </w:r>
    </w:p>
    <w:p w:rsidR="003D75D0" w:rsidRDefault="003D75D0" w:rsidP="003D75D0">
      <w:pPr>
        <w:pStyle w:val="StandardWeb"/>
      </w:pPr>
      <w:r>
        <w:t>gilt</w:t>
      </w:r>
    </w:p>
    <w:p w:rsidR="003D75D0" w:rsidRDefault="003D75D0" w:rsidP="003D75D0">
      <w:pPr>
        <w:pStyle w:val="berschrift1"/>
      </w:pPr>
      <w:r>
        <w:t>[</w:t>
      </w:r>
      <w:r>
        <w:br/>
        <w:t>\Pr</w:t>
      </w:r>
      <w:r>
        <w:br/>
        <w:t>\left(</w:t>
      </w:r>
      <w:r>
        <w:br/>
      </w:r>
      <w:r>
        <w:lastRenderedPageBreak/>
        <w:t>Y\geq T</w:t>
      </w:r>
      <w:r>
        <w:br/>
        <w:t>\right)</w:t>
      </w:r>
    </w:p>
    <w:p w:rsidR="003D75D0" w:rsidRDefault="003D75D0" w:rsidP="003D75D0">
      <w:pPr>
        <w:pStyle w:val="StandardWeb"/>
      </w:pPr>
      <w:r>
        <w:t>\Pr</w:t>
      </w:r>
      <w:r>
        <w:br/>
        <w:t>\left(</w:t>
      </w:r>
      <w:r>
        <w:br/>
        <w:t>D\geq0</w:t>
      </w:r>
      <w:r>
        <w:br/>
        <w:t>\right).</w:t>
      </w:r>
      <w:r>
        <w:br/>
        <w:t>\tag{3.5582}</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\Pr\left(Y\geq T\right)=\Pr\left(D\geq0\right)\qquad\text{(3.5582)}</w:t>
      </w:r>
    </w:p>
    <w:p w:rsidR="003D75D0" w:rsidRDefault="003D75D0" w:rsidP="003D75D0">
      <w:pPr>
        <w:pStyle w:val="StandardWeb"/>
      </w:pPr>
      <w:r>
        <w:t>Die Varianz der Differenz lautet</w:t>
      </w:r>
    </w:p>
    <w:p w:rsidR="003D75D0" w:rsidRDefault="003D75D0" w:rsidP="003D75D0">
      <w:pPr>
        <w:pStyle w:val="berschrift1"/>
      </w:pPr>
      <w:r>
        <w:t>[</w:t>
      </w:r>
      <w:r>
        <w:br/>
        <w:t>\operatorname{Var}(D)</w:t>
      </w:r>
    </w:p>
    <w:p w:rsidR="003D75D0" w:rsidRDefault="003D75D0" w:rsidP="003D75D0">
      <w:pPr>
        <w:pStyle w:val="berschrift2"/>
      </w:pPr>
      <w:r>
        <w:t>\operatorname{Var}(Y)</w:t>
      </w:r>
      <w:r>
        <w:br/>
        <w:t>+</w:t>
      </w:r>
      <w:r>
        <w:br/>
        <w:t>\operatorname{Var}(T)</w:t>
      </w:r>
    </w:p>
    <w:p w:rsidR="003D75D0" w:rsidRDefault="003D75D0" w:rsidP="003D75D0">
      <w:pPr>
        <w:pStyle w:val="StandardWeb"/>
      </w:pPr>
      <w:r>
        <w:t>2\operatorname{Cov}(Y,T).</w:t>
      </w:r>
      <w:r>
        <w:br/>
        <w:t>\tag{3.5583}</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\operatorname{Var}(D)=\operatorname{Var}(Y)+\operatorname{Var}(T)-2\operatorname{Cov}(Y,T)\qquad\text{(3.5583)}</w:t>
      </w:r>
    </w:p>
    <w:p w:rsidR="003D75D0" w:rsidRPr="00AF32B2" w:rsidRDefault="003D75D0" w:rsidP="00AF32B2">
      <w:pPr>
        <w:pStyle w:val="berschrift4"/>
      </w:pPr>
      <w:r w:rsidRPr="00AF32B2">
        <w:t>3.3.31.15 Feste und datenabhängige Schwellenwerte</w:t>
      </w:r>
    </w:p>
    <w:p w:rsidR="003D75D0" w:rsidRDefault="003D75D0" w:rsidP="003D75D0">
      <w:pPr>
        <w:pStyle w:val="StandardWeb"/>
      </w:pPr>
      <w:r>
        <w:t>Ein fester Schwellenwert erfüllt</w:t>
      </w:r>
    </w:p>
    <w:p w:rsidR="003D75D0" w:rsidRDefault="003D75D0" w:rsidP="003D75D0">
      <w:pPr>
        <w:pStyle w:val="berschrift1"/>
      </w:pPr>
      <w:r>
        <w:t>[</w:t>
      </w:r>
      <w:r>
        <w:br/>
        <w:t>\tau</w:t>
      </w:r>
    </w:p>
    <w:p w:rsidR="003D75D0" w:rsidRDefault="003D75D0" w:rsidP="003D75D0">
      <w:pPr>
        <w:pStyle w:val="StandardWeb"/>
      </w:pPr>
      <w:r>
        <w:t>\mathrm{konstant}.</w:t>
      </w:r>
      <w:r>
        <w:br/>
        <w:t>\tag{3.5584}</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\tau=\mathrm{konstant}\qquad\text{(3.5584)}</w:t>
      </w:r>
    </w:p>
    <w:p w:rsidR="003D75D0" w:rsidRDefault="003D75D0" w:rsidP="003D75D0">
      <w:pPr>
        <w:pStyle w:val="StandardWeb"/>
      </w:pPr>
      <w:r>
        <w:lastRenderedPageBreak/>
        <w:t>Ein datenabhängiger Schwellenwert lautet</w:t>
      </w:r>
    </w:p>
    <w:p w:rsidR="003D75D0" w:rsidRDefault="003D75D0" w:rsidP="003D75D0">
      <w:pPr>
        <w:pStyle w:val="berschrift1"/>
      </w:pPr>
      <w:r>
        <w:t>[</w:t>
      </w:r>
      <w:r>
        <w:br/>
        <w:t>\tau</w:t>
      </w:r>
    </w:p>
    <w:p w:rsidR="003D75D0" w:rsidRDefault="003D75D0" w:rsidP="003D75D0">
      <w:pPr>
        <w:pStyle w:val="StandardWeb"/>
      </w:pPr>
      <w:r>
        <w:t>\tau</w:t>
      </w:r>
      <w:r>
        <w:br/>
        <w:t>\left(</w:t>
      </w:r>
      <w:r>
        <w:br/>
        <w:t>\mathcal{D}</w:t>
      </w:r>
      <w:r>
        <w:br/>
        <w:t>\right).</w:t>
      </w:r>
      <w:r>
        <w:br/>
        <w:t>\tag{3.5585}</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\tau=\tau\left(\mathcal{D}\right)\qquad\text{(3.5585)}</w:t>
      </w:r>
    </w:p>
    <w:p w:rsidR="003D75D0" w:rsidRDefault="003D75D0" w:rsidP="003D75D0">
      <w:pPr>
        <w:pStyle w:val="StandardWeb"/>
      </w:pPr>
      <w:r>
        <w:t>Für einen gestörten Datensatz gilt</w:t>
      </w:r>
    </w:p>
    <w:p w:rsidR="003D75D0" w:rsidRDefault="003D75D0" w:rsidP="003D75D0">
      <w:pPr>
        <w:pStyle w:val="berschrift1"/>
      </w:pPr>
      <w:r>
        <w:t>[</w:t>
      </w:r>
      <w:r>
        <w:br/>
        <w:t>\tau^{\prime}</w:t>
      </w:r>
    </w:p>
    <w:p w:rsidR="003D75D0" w:rsidRDefault="003D75D0" w:rsidP="003D75D0">
      <w:pPr>
        <w:pStyle w:val="StandardWeb"/>
      </w:pPr>
      <w:r>
        <w:t>\tau</w:t>
      </w:r>
      <w:r>
        <w:br/>
        <w:t>\left(</w:t>
      </w:r>
      <w:r>
        <w:br/>
        <w:t>\mathcal{D}^{\prime}</w:t>
      </w:r>
      <w:r>
        <w:br/>
        <w:t>\right).</w:t>
      </w:r>
      <w:r>
        <w:br/>
        <w:t>\tag{3.5586}</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\tau^{\prime}=\tau\left(\mathcal{D}^{\prime}\right)\qquad\text{(3.5586)}</w:t>
      </w:r>
    </w:p>
    <w:p w:rsidR="003D75D0" w:rsidRDefault="003D75D0" w:rsidP="003D75D0">
      <w:pPr>
        <w:pStyle w:val="StandardWeb"/>
      </w:pPr>
      <w:r>
        <w:t>Die Schwellenwertänderung lautet</w:t>
      </w:r>
    </w:p>
    <w:p w:rsidR="003D75D0" w:rsidRDefault="003D75D0" w:rsidP="003D75D0">
      <w:pPr>
        <w:pStyle w:val="berschrift1"/>
      </w:pPr>
      <w:r>
        <w:t>[</w:t>
      </w:r>
      <w:r>
        <w:br/>
        <w:t>\Delta\tau</w:t>
      </w:r>
    </w:p>
    <w:p w:rsidR="003D75D0" w:rsidRDefault="003D75D0" w:rsidP="003D75D0">
      <w:pPr>
        <w:pStyle w:val="berschrift2"/>
      </w:pPr>
      <w:r>
        <w:t>\tau^{\prime}</w:t>
      </w:r>
    </w:p>
    <w:p w:rsidR="003D75D0" w:rsidRDefault="003D75D0" w:rsidP="003D75D0">
      <w:pPr>
        <w:pStyle w:val="StandardWeb"/>
      </w:pPr>
      <w:r>
        <w:t>\tau.</w:t>
      </w:r>
      <w:r>
        <w:br/>
        <w:t>\tag{3.5587}</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\Delta\tau=\tau^{\prime}-\tau\qquad\text{(3.5587)}</w:t>
      </w:r>
    </w:p>
    <w:p w:rsidR="003D75D0" w:rsidRDefault="003D75D0" w:rsidP="003D75D0">
      <w:pPr>
        <w:pStyle w:val="StandardWeb"/>
      </w:pPr>
      <w:r>
        <w:lastRenderedPageBreak/>
        <w:t>Ein datenabhängiger Schwellenwert muss gemeinsam mit dem Entscheidungswert auf Stabilität geprüft werden.</w:t>
      </w:r>
    </w:p>
    <w:p w:rsidR="003D75D0" w:rsidRPr="00AF32B2" w:rsidRDefault="003D75D0" w:rsidP="00AF32B2">
      <w:pPr>
        <w:pStyle w:val="berschrift4"/>
      </w:pPr>
      <w:r w:rsidRPr="00AF32B2">
        <w:t>3.3.31.16 Zirkuläre Schwellenwertbestimmung</w:t>
      </w:r>
    </w:p>
    <w:p w:rsidR="003D75D0" w:rsidRDefault="003D75D0" w:rsidP="003D75D0">
      <w:pPr>
        <w:pStyle w:val="StandardWeb"/>
      </w:pPr>
      <w:r>
        <w:t>Eine zirkuläre Schwellenwertbestimmung liegt vor, wenn die Klassenzuordnung den Schwellenwert bestimmt und der Schwellenwert anschließend dieselbe Klassenzuordnung begründet.</w:t>
      </w:r>
    </w:p>
    <w:p w:rsidR="003D75D0" w:rsidRDefault="003D75D0" w:rsidP="003D75D0">
      <w:pPr>
        <w:pStyle w:val="StandardWeb"/>
      </w:pPr>
      <w:r>
        <w:t>Schematisch gilt</w:t>
      </w:r>
    </w:p>
    <w:p w:rsidR="003D75D0" w:rsidRDefault="003D75D0" w:rsidP="003D75D0">
      <w:pPr>
        <w:pStyle w:val="StandardWeb"/>
      </w:pPr>
      <w:r>
        <w:t>[</w:t>
      </w:r>
      <w:r>
        <w:br/>
        <w:t>C</w:t>
      </w:r>
      <w:r>
        <w:br/>
        <w:t>\longrightarrow</w:t>
      </w:r>
      <w:r>
        <w:br/>
        <w:t>\tau(C)</w:t>
      </w:r>
      <w:r>
        <w:br/>
        <w:t>\longrightarrow</w:t>
      </w:r>
      <w:r>
        <w:br/>
        <w:t>C.</w:t>
      </w:r>
      <w:r>
        <w:br/>
        <w:t>\tag{3.5588}</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C\longrightarrow\tau(C)\longrightarrow C\qquad\text{(3.5588)}</w:t>
      </w:r>
    </w:p>
    <w:p w:rsidR="003D75D0" w:rsidRDefault="003D75D0" w:rsidP="003D75D0">
      <w:pPr>
        <w:pStyle w:val="StandardWeb"/>
      </w:pPr>
      <w:r>
        <w:t>Eine wissenschaftlich zulässige Bestimmung verlangt stattdessen eine unabhängige Grundlage:</w:t>
      </w:r>
    </w:p>
    <w:p w:rsidR="003D75D0" w:rsidRDefault="003D75D0" w:rsidP="003D75D0">
      <w:pPr>
        <w:pStyle w:val="StandardWeb"/>
      </w:pPr>
      <w:r>
        <w:t>[</w:t>
      </w:r>
      <w:r>
        <w:br/>
        <w:t>\mathcal{D}_{\mathrm{cal}}</w:t>
      </w:r>
      <w:r>
        <w:br/>
        <w:t>\longrightarrow</w:t>
      </w:r>
      <w:r>
        <w:br/>
        <w:t>\tau</w:t>
      </w:r>
      <w:r>
        <w:br/>
        <w:t>\tag{3.5589}</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\mathcal{D}_{\mathrm{cal}}\longrightarrow\tau\qquad\text{(3.5589)}</w:t>
      </w:r>
    </w:p>
    <w:p w:rsidR="003D75D0" w:rsidRDefault="003D75D0" w:rsidP="003D75D0">
      <w:pPr>
        <w:pStyle w:val="StandardWeb"/>
      </w:pPr>
      <w:r>
        <w:t>und</w:t>
      </w:r>
    </w:p>
    <w:p w:rsidR="003D75D0" w:rsidRDefault="003D75D0" w:rsidP="003D75D0">
      <w:pPr>
        <w:pStyle w:val="StandardWeb"/>
      </w:pPr>
      <w:r>
        <w:t>[</w:t>
      </w:r>
      <w:r>
        <w:br/>
        <w:t>\mathcal{D}</w:t>
      </w:r>
      <w:r>
        <w:rPr>
          <w:rStyle w:val="Hervorhebung"/>
        </w:rPr>
        <w:t>{\mathrm{test}}</w:t>
      </w:r>
      <w:r>
        <w:rPr>
          <w:i/>
          <w:iCs/>
        </w:rPr>
        <w:br/>
      </w:r>
      <w:r>
        <w:rPr>
          <w:rStyle w:val="Hervorhebung"/>
        </w:rPr>
        <w:t>\longrightarrow</w:t>
      </w:r>
      <w:r>
        <w:rPr>
          <w:i/>
          <w:iCs/>
        </w:rPr>
        <w:br/>
      </w:r>
      <w:r>
        <w:rPr>
          <w:rStyle w:val="Hervorhebung"/>
        </w:rPr>
        <w:t>\mathcal{C}</w:t>
      </w:r>
      <w:r>
        <w:t>{F}</w:t>
      </w:r>
      <w:r>
        <w:br/>
        <w:t>\left(</w:t>
      </w:r>
      <w:r>
        <w:br/>
        <w:t>\mathcal{D}_{\mathrm{test}};\tau</w:t>
      </w:r>
      <w:r>
        <w:br/>
        <w:t>\right).</w:t>
      </w:r>
      <w:r>
        <w:br/>
        <w:t>\tag{3.5590}</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lastRenderedPageBreak/>
        <w:t>\mathcal{D}_{\mathrm{test}}\longrightarrow\mathcal{C}_{F}\left(\mathcal{D}_{\mathrm{test}};\tau\right)\qquad\text{(3.5590)}</w:t>
      </w:r>
    </w:p>
    <w:p w:rsidR="003D75D0" w:rsidRDefault="003D75D0" w:rsidP="003D75D0">
      <w:pPr>
        <w:pStyle w:val="StandardWeb"/>
      </w:pPr>
      <w:r>
        <w:t>Dabei gilt</w:t>
      </w:r>
    </w:p>
    <w:p w:rsidR="003D75D0" w:rsidRDefault="003D75D0" w:rsidP="003D75D0">
      <w:pPr>
        <w:pStyle w:val="berschrift1"/>
      </w:pPr>
      <w:r>
        <w:t>[</w:t>
      </w:r>
      <w:r>
        <w:br/>
        <w:t>\mathcal{D}</w:t>
      </w:r>
      <w:r>
        <w:rPr>
          <w:rStyle w:val="Hervorhebung"/>
        </w:rPr>
        <w:t>{\mathrm{cal}}</w:t>
      </w:r>
      <w:r>
        <w:rPr>
          <w:i/>
          <w:iCs/>
        </w:rPr>
        <w:br/>
      </w:r>
      <w:r>
        <w:rPr>
          <w:rStyle w:val="Hervorhebung"/>
        </w:rPr>
        <w:t>\cap</w:t>
      </w:r>
      <w:r>
        <w:rPr>
          <w:i/>
          <w:iCs/>
        </w:rPr>
        <w:br/>
      </w:r>
      <w:r>
        <w:rPr>
          <w:rStyle w:val="Hervorhebung"/>
        </w:rPr>
        <w:t>\mathcal{D}</w:t>
      </w:r>
      <w:r>
        <w:t>{\mathrm{test}}</w:t>
      </w:r>
    </w:p>
    <w:p w:rsidR="003D75D0" w:rsidRDefault="003D75D0" w:rsidP="003D75D0">
      <w:pPr>
        <w:pStyle w:val="StandardWeb"/>
      </w:pPr>
      <w:r>
        <w:t>\emptyset.</w:t>
      </w:r>
      <w:r>
        <w:br/>
        <w:t>\tag{3.5591}</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\mathcal{D}_{\mathrm{cal}}\cap\mathcal{D}_{\mathrm{test}}=\emptyset\qquad\text{(3.5591)}</w:t>
      </w:r>
    </w:p>
    <w:p w:rsidR="003D75D0" w:rsidRPr="00AF32B2" w:rsidRDefault="003D75D0" w:rsidP="00AF32B2">
      <w:pPr>
        <w:pStyle w:val="berschrift4"/>
      </w:pPr>
      <w:r w:rsidRPr="00AF32B2">
        <w:t>3.3.31.17 Fehlentscheidungen</w:t>
      </w:r>
    </w:p>
    <w:p w:rsidR="003D75D0" w:rsidRDefault="003D75D0" w:rsidP="003D75D0">
      <w:pPr>
        <w:pStyle w:val="StandardWeb"/>
      </w:pPr>
      <w:r>
        <w:t>Sei der wahre, jedoch nicht direkt bekannte Zustand</w:t>
      </w:r>
    </w:p>
    <w:p w:rsidR="003D75D0" w:rsidRDefault="003D75D0" w:rsidP="003D75D0">
      <w:pPr>
        <w:pStyle w:val="StandardWeb"/>
      </w:pPr>
      <w:r>
        <w:t>[</w:t>
      </w:r>
      <w:r>
        <w:br/>
        <w:t>H</w:t>
      </w:r>
      <w:r>
        <w:br/>
        <w:t>\in</w:t>
      </w:r>
      <w:r>
        <w:br/>
        <w:t>{0,1}.</w:t>
      </w:r>
      <w:r>
        <w:br/>
        <w:t>\tag{3.5592}</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H\in\{0,1\}\qquad\text{(3.5592)}</w:t>
      </w:r>
    </w:p>
    <w:p w:rsidR="003D75D0" w:rsidRDefault="003D75D0" w:rsidP="003D75D0">
      <w:pPr>
        <w:pStyle w:val="StandardWeb"/>
      </w:pPr>
      <w:r>
        <w:t>Die Entscheidung lautet</w:t>
      </w:r>
    </w:p>
    <w:p w:rsidR="003D75D0" w:rsidRDefault="003D75D0" w:rsidP="003D75D0">
      <w:pPr>
        <w:pStyle w:val="StandardWeb"/>
      </w:pPr>
      <w:r>
        <w:t>[</w:t>
      </w:r>
      <w:r>
        <w:br/>
        <w:t>C</w:t>
      </w:r>
      <w:r>
        <w:br/>
        <w:t>\in</w:t>
      </w:r>
      <w:r>
        <w:br/>
        <w:t>{0,1}.</w:t>
      </w:r>
      <w:r>
        <w:br/>
        <w:t>\tag{3.5593}</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C\in\{0,1\}\qquad\text{(3.5593)}</w:t>
      </w:r>
    </w:p>
    <w:p w:rsidR="003D75D0" w:rsidRDefault="003D75D0" w:rsidP="003D75D0">
      <w:pPr>
        <w:pStyle w:val="StandardWeb"/>
      </w:pPr>
      <w:r>
        <w:t>Eine falsch positive Entscheidung liegt vor bei</w:t>
      </w:r>
    </w:p>
    <w:p w:rsidR="003D75D0" w:rsidRDefault="003D75D0" w:rsidP="003D75D0">
      <w:pPr>
        <w:pStyle w:val="StandardWeb"/>
      </w:pPr>
      <w:r>
        <w:lastRenderedPageBreak/>
        <w:t>[</w:t>
      </w:r>
      <w:r>
        <w:br/>
        <w:t>C=1</w:t>
      </w:r>
      <w:r>
        <w:br/>
        <w:t>\land</w:t>
      </w:r>
      <w:r>
        <w:br/>
        <w:t>H=0.</w:t>
      </w:r>
      <w:r>
        <w:br/>
        <w:t>\tag{3.5594}</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C=1\land H=0\qquad\text{(3.5594)}</w:t>
      </w:r>
    </w:p>
    <w:p w:rsidR="003D75D0" w:rsidRDefault="003D75D0" w:rsidP="003D75D0">
      <w:pPr>
        <w:pStyle w:val="StandardWeb"/>
      </w:pPr>
      <w:r>
        <w:t>Eine falsch negative Entscheidung liegt vor bei</w:t>
      </w:r>
    </w:p>
    <w:p w:rsidR="003D75D0" w:rsidRDefault="003D75D0" w:rsidP="003D75D0">
      <w:pPr>
        <w:pStyle w:val="StandardWeb"/>
      </w:pPr>
      <w:r>
        <w:t>[</w:t>
      </w:r>
      <w:r>
        <w:br/>
        <w:t>C=0</w:t>
      </w:r>
      <w:r>
        <w:br/>
        <w:t>\land</w:t>
      </w:r>
      <w:r>
        <w:br/>
        <w:t>H=1.</w:t>
      </w:r>
      <w:r>
        <w:br/>
        <w:t>\tag{3.5595}</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C=0\land H=1\qquad\text{(3.5595)}</w:t>
      </w:r>
    </w:p>
    <w:p w:rsidR="003D75D0" w:rsidRPr="00AF32B2" w:rsidRDefault="003D75D0" w:rsidP="00AF32B2">
      <w:pPr>
        <w:pStyle w:val="berschrift4"/>
      </w:pPr>
      <w:r w:rsidRPr="00AF32B2">
        <w:t>3.3.31.18 Fehlerraten</w:t>
      </w:r>
    </w:p>
    <w:p w:rsidR="003D75D0" w:rsidRDefault="003D75D0" w:rsidP="003D75D0">
      <w:pPr>
        <w:pStyle w:val="StandardWeb"/>
      </w:pPr>
      <w:r>
        <w:t>Die falsch positive Rate lautet</w:t>
      </w:r>
    </w:p>
    <w:p w:rsidR="003D75D0" w:rsidRDefault="003D75D0" w:rsidP="003D75D0">
      <w:pPr>
        <w:pStyle w:val="berschrift1"/>
      </w:pPr>
      <w:r>
        <w:t>[</w:t>
      </w:r>
      <w:r>
        <w:br/>
        <w:t>\operatorname{FPR}</w:t>
      </w:r>
    </w:p>
    <w:p w:rsidR="003D75D0" w:rsidRDefault="003D75D0" w:rsidP="003D75D0">
      <w:pPr>
        <w:pStyle w:val="StandardWeb"/>
      </w:pPr>
      <w:r>
        <w:t>\Pr</w:t>
      </w:r>
      <w:r>
        <w:br/>
        <w:t>\left(</w:t>
      </w:r>
      <w:r>
        <w:br/>
        <w:t>C=1</w:t>
      </w:r>
      <w:r>
        <w:br/>
        <w:t>\mid</w:t>
      </w:r>
      <w:r>
        <w:br/>
        <w:t>H=0</w:t>
      </w:r>
      <w:r>
        <w:br/>
        <w:t>\right).</w:t>
      </w:r>
      <w:r>
        <w:br/>
        <w:t>\tag{3.5596}</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\operatorname{FPR}=\Pr\left(C=1\mid H=0\right)\qquad\text{(3.5596)}</w:t>
      </w:r>
    </w:p>
    <w:p w:rsidR="003D75D0" w:rsidRDefault="003D75D0" w:rsidP="003D75D0">
      <w:pPr>
        <w:pStyle w:val="StandardWeb"/>
      </w:pPr>
      <w:r>
        <w:t>Die falsch negative Rate lautet</w:t>
      </w:r>
    </w:p>
    <w:p w:rsidR="003D75D0" w:rsidRDefault="003D75D0" w:rsidP="003D75D0">
      <w:pPr>
        <w:pStyle w:val="berschrift1"/>
      </w:pPr>
      <w:r>
        <w:t>[</w:t>
      </w:r>
      <w:r>
        <w:br/>
        <w:t>\operatorname{FNR}</w:t>
      </w:r>
    </w:p>
    <w:p w:rsidR="003D75D0" w:rsidRDefault="003D75D0" w:rsidP="003D75D0">
      <w:pPr>
        <w:pStyle w:val="StandardWeb"/>
      </w:pPr>
      <w:r>
        <w:lastRenderedPageBreak/>
        <w:t>\Pr</w:t>
      </w:r>
      <w:r>
        <w:br/>
        <w:t>\left(</w:t>
      </w:r>
      <w:r>
        <w:br/>
        <w:t>C=0</w:t>
      </w:r>
      <w:r>
        <w:br/>
        <w:t>\mid</w:t>
      </w:r>
      <w:r>
        <w:br/>
        <w:t>H=1</w:t>
      </w:r>
      <w:r>
        <w:br/>
        <w:t>\right).</w:t>
      </w:r>
      <w:r>
        <w:br/>
        <w:t>\tag{3.5597}</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\operatorname{FNR}=\Pr\left(C=0\mid H=1\right)\qquad\text{(3.5597)}</w:t>
      </w:r>
    </w:p>
    <w:p w:rsidR="003D75D0" w:rsidRDefault="003D75D0" w:rsidP="003D75D0">
      <w:pPr>
        <w:pStyle w:val="StandardWeb"/>
      </w:pPr>
      <w:r>
        <w:t>Die Sensitivität ist</w:t>
      </w:r>
    </w:p>
    <w:p w:rsidR="003D75D0" w:rsidRDefault="003D75D0" w:rsidP="003D75D0">
      <w:pPr>
        <w:pStyle w:val="berschrift1"/>
      </w:pPr>
      <w:r>
        <w:t>[</w:t>
      </w:r>
      <w:r>
        <w:br/>
        <w:t>\operatorname{Sens}</w:t>
      </w:r>
    </w:p>
    <w:p w:rsidR="003D75D0" w:rsidRDefault="003D75D0" w:rsidP="003D75D0">
      <w:pPr>
        <w:pStyle w:val="StandardWeb"/>
      </w:pPr>
      <w:r>
        <w:t>1-\operatorname{FNR}.</w:t>
      </w:r>
      <w:r>
        <w:br/>
        <w:t>\tag{3.5598}</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\operatorname{Sens}=1-\operatorname{FNR}\qquad\text{(3.5598)}</w:t>
      </w:r>
    </w:p>
    <w:p w:rsidR="003D75D0" w:rsidRDefault="003D75D0" w:rsidP="003D75D0">
      <w:pPr>
        <w:pStyle w:val="StandardWeb"/>
      </w:pPr>
      <w:r>
        <w:t>Die Spezifität ist</w:t>
      </w:r>
    </w:p>
    <w:p w:rsidR="003D75D0" w:rsidRDefault="003D75D0" w:rsidP="003D75D0">
      <w:pPr>
        <w:pStyle w:val="berschrift1"/>
      </w:pPr>
      <w:r>
        <w:t>[</w:t>
      </w:r>
      <w:r>
        <w:br/>
        <w:t>\operatorname{Spez}</w:t>
      </w:r>
    </w:p>
    <w:p w:rsidR="003D75D0" w:rsidRDefault="003D75D0" w:rsidP="003D75D0">
      <w:pPr>
        <w:pStyle w:val="StandardWeb"/>
      </w:pPr>
      <w:r>
        <w:t>1-\operatorname{FPR}.</w:t>
      </w:r>
      <w:r>
        <w:br/>
        <w:t>\tag{3.5599}</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\operatorname{Spez}=1-\operatorname{FPR}\qquad\text{(3.5599)}</w:t>
      </w:r>
    </w:p>
    <w:p w:rsidR="003D75D0" w:rsidRPr="00AF32B2" w:rsidRDefault="003D75D0" w:rsidP="00AF32B2">
      <w:pPr>
        <w:pStyle w:val="berschrift4"/>
      </w:pPr>
      <w:r w:rsidRPr="00AF32B2">
        <w:t>3.3.31.19 Entscheidungskosten</w:t>
      </w:r>
    </w:p>
    <w:p w:rsidR="003D75D0" w:rsidRDefault="003D75D0" w:rsidP="003D75D0">
      <w:pPr>
        <w:pStyle w:val="StandardWeb"/>
      </w:pPr>
      <w:r>
        <w:t>Die Kostenmatrix lautet</w:t>
      </w:r>
    </w:p>
    <w:p w:rsidR="003D75D0" w:rsidRDefault="003D75D0" w:rsidP="003D75D0">
      <w:pPr>
        <w:pStyle w:val="berschrift1"/>
      </w:pPr>
      <w:r>
        <w:t>[</w:t>
      </w:r>
      <w:r>
        <w:br/>
        <w:t>\mathbf{K}</w:t>
      </w:r>
    </w:p>
    <w:p w:rsidR="003D75D0" w:rsidRDefault="003D75D0" w:rsidP="003D75D0">
      <w:pPr>
        <w:pStyle w:val="StandardWeb"/>
      </w:pPr>
      <w:r>
        <w:lastRenderedPageBreak/>
        <w:t>\begin{pmatrix}</w:t>
      </w:r>
      <w:r>
        <w:br/>
        <w:t>K_{00} &amp; K_{01}\</w:t>
      </w:r>
      <w:r>
        <w:br/>
        <w:t>K_{10} &amp; K_{11}</w:t>
      </w:r>
      <w:r>
        <w:br/>
        <w:t>\end{pmatrix}.</w:t>
      </w:r>
      <w:r>
        <w:br/>
        <w:t>\tag{3.5600}</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\mathbf{K}=\begin{pmatrix}K_{00}&amp;K_{01}\\K_{10}&amp;K_{11}\end{pmatrix}\qquad\text{(3.5600)}</w:t>
      </w:r>
    </w:p>
    <w:p w:rsidR="003D75D0" w:rsidRDefault="003D75D0" w:rsidP="003D75D0">
      <w:pPr>
        <w:pStyle w:val="StandardWeb"/>
      </w:pPr>
      <w:r>
        <w:t>Dabei bezeichnet (K_{ch}) die Kosten der Entscheidung (C=c) beim tatsächlichen Zustand (H=h).</w:t>
      </w:r>
    </w:p>
    <w:p w:rsidR="003D75D0" w:rsidRDefault="003D75D0" w:rsidP="003D75D0">
      <w:pPr>
        <w:pStyle w:val="StandardWeb"/>
      </w:pPr>
      <w:r>
        <w:t>Die erwarteten Entscheidungskosten lauten</w:t>
      </w:r>
    </w:p>
    <w:p w:rsidR="003D75D0" w:rsidRDefault="003D75D0" w:rsidP="003D75D0">
      <w:pPr>
        <w:pStyle w:val="berschrift1"/>
      </w:pPr>
      <w:r>
        <w:t>[</w:t>
      </w:r>
      <w:r>
        <w:br/>
        <w:t>\mathbb{E}[K]</w:t>
      </w:r>
    </w:p>
    <w:p w:rsidR="003D75D0" w:rsidRDefault="003D75D0" w:rsidP="003D75D0">
      <w:pPr>
        <w:pStyle w:val="StandardWeb"/>
      </w:pPr>
      <w:r>
        <w:t>\sum_{c=0}^{1}</w:t>
      </w:r>
      <w:r>
        <w:br/>
        <w:t>\sum_{h=0}^{1}</w:t>
      </w:r>
      <w:r>
        <w:br/>
        <w:t>K_{ch}</w:t>
      </w:r>
      <w:r>
        <w:br/>
        <w:t>\Pr(C=c,H=h).</w:t>
      </w:r>
      <w:r>
        <w:br/>
        <w:t>\tag{3.5601}</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\mathbb{E}[K]=\sum_{c=0}^{1}\sum_{h=0}^{1}K_{ch}\Pr(C=c,H=h)\qquad\text{(3.5601)}</w:t>
      </w:r>
    </w:p>
    <w:p w:rsidR="003D75D0" w:rsidRDefault="003D75D0" w:rsidP="003D75D0">
      <w:pPr>
        <w:pStyle w:val="StandardWeb"/>
      </w:pPr>
      <w:r>
        <w:t>Ein kostenoptimaler Schwellenwert lautet</w:t>
      </w:r>
    </w:p>
    <w:p w:rsidR="003D75D0" w:rsidRDefault="003D75D0" w:rsidP="003D75D0">
      <w:pPr>
        <w:pStyle w:val="berschrift1"/>
      </w:pPr>
      <w:r>
        <w:t>[</w:t>
      </w:r>
      <w:r>
        <w:br/>
        <w:t>\tau^{\ast}</w:t>
      </w:r>
    </w:p>
    <w:p w:rsidR="003D75D0" w:rsidRDefault="003D75D0" w:rsidP="003D75D0">
      <w:pPr>
        <w:pStyle w:val="StandardWeb"/>
      </w:pPr>
      <w:r>
        <w:t>\operatorname*{arg,min}_{\tau}</w:t>
      </w:r>
      <w:r>
        <w:br/>
        <w:t>\mathbb{E}</w:t>
      </w:r>
      <w:r>
        <w:br/>
        <w:t>\left[</w:t>
      </w:r>
      <w:r>
        <w:br/>
        <w:t>K(\tau)</w:t>
      </w:r>
      <w:r>
        <w:br/>
        <w:t>\right].</w:t>
      </w:r>
      <w:r>
        <w:br/>
        <w:t>\tag{3.5602}</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\tau^{\ast}=\operatorname*{arg\,min}_{\tau}\mathbb{E}\left[K(\tau)\right]\qquad\text{(3.5602)}</w:t>
      </w:r>
    </w:p>
    <w:p w:rsidR="003D75D0" w:rsidRDefault="003D75D0" w:rsidP="003D75D0">
      <w:pPr>
        <w:pStyle w:val="StandardWeb"/>
      </w:pPr>
      <w:r>
        <w:lastRenderedPageBreak/>
        <w:t>Die Wahl eines Schwellenwerts kann daher von den Folgen verschiedener Fehlentscheidungen abhängen.</w:t>
      </w:r>
    </w:p>
    <w:p w:rsidR="003D75D0" w:rsidRDefault="003D75D0" w:rsidP="003D75D0">
      <w:pPr>
        <w:pStyle w:val="StandardWeb"/>
      </w:pPr>
      <w:r>
        <w:rPr>
          <w:rStyle w:val="Fett"/>
        </w:rPr>
        <w:t>Eigenleistung des FRZK</w:t>
      </w:r>
    </w:p>
    <w:p w:rsidR="003D75D0" w:rsidRDefault="003D75D0" w:rsidP="003D75D0">
      <w:pPr>
        <w:pStyle w:val="StandardWeb"/>
      </w:pPr>
      <w:r>
        <w:t>Ich fordere, dass asymmetrische Fehlerkosten ausdrücklich ausgewiesen werden. Ein Schwellenwert darf nicht als rein mathematisch optimal bezeichnet werden, wenn seine Lage wesentlich durch normative oder anwendungsbezogene Kostenannahmen bestimmt wird.</w:t>
      </w:r>
    </w:p>
    <w:p w:rsidR="003D75D0" w:rsidRPr="00AF32B2" w:rsidRDefault="003D75D0" w:rsidP="00AF32B2">
      <w:pPr>
        <w:pStyle w:val="berschrift4"/>
      </w:pPr>
      <w:r w:rsidRPr="00AF32B2">
        <w:t>3.3.31.20 Neutraler und kostenabhängiger Schwellenwert</w:t>
      </w:r>
    </w:p>
    <w:p w:rsidR="003D75D0" w:rsidRDefault="003D75D0" w:rsidP="003D75D0">
      <w:pPr>
        <w:pStyle w:val="StandardWeb"/>
      </w:pPr>
      <w:r>
        <w:t>Ein neutraler Schwellenwert kann beispielsweise durch gleiche Fehlentscheidungskosten bestimmt sein:</w:t>
      </w:r>
    </w:p>
    <w:p w:rsidR="003D75D0" w:rsidRDefault="003D75D0" w:rsidP="003D75D0">
      <w:pPr>
        <w:pStyle w:val="berschrift1"/>
      </w:pPr>
      <w:r>
        <w:t>[</w:t>
      </w:r>
      <w:r>
        <w:br/>
        <w:t>K_{10}</w:t>
      </w:r>
    </w:p>
    <w:p w:rsidR="003D75D0" w:rsidRDefault="003D75D0" w:rsidP="003D75D0">
      <w:pPr>
        <w:pStyle w:val="StandardWeb"/>
      </w:pPr>
      <w:r>
        <w:t>K_{01}.</w:t>
      </w:r>
      <w:r>
        <w:br/>
        <w:t>\tag{3.5603}</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K_{10}=K_{01}\qquad\text{(3.5603)}</w:t>
      </w:r>
    </w:p>
    <w:p w:rsidR="003D75D0" w:rsidRDefault="003D75D0" w:rsidP="003D75D0">
      <w:pPr>
        <w:pStyle w:val="StandardWeb"/>
      </w:pPr>
      <w:r>
        <w:t>Bei asymmetrischen Kosten gilt</w:t>
      </w:r>
    </w:p>
    <w:p w:rsidR="003D75D0" w:rsidRDefault="003D75D0" w:rsidP="003D75D0">
      <w:pPr>
        <w:pStyle w:val="StandardWeb"/>
      </w:pPr>
      <w:r>
        <w:t>[</w:t>
      </w:r>
      <w:r>
        <w:br/>
        <w:t>K_{10}</w:t>
      </w:r>
      <w:r>
        <w:br/>
        <w:t>\neq</w:t>
      </w:r>
      <w:r>
        <w:br/>
        <w:t>K_{01}.</w:t>
      </w:r>
      <w:r>
        <w:br/>
        <w:t>\tag{3.5604}</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K_{10}\neq K_{01}\qquad\text{(3.5604)}</w:t>
      </w:r>
    </w:p>
    <w:p w:rsidR="003D75D0" w:rsidRDefault="003D75D0" w:rsidP="003D75D0">
      <w:pPr>
        <w:pStyle w:val="StandardWeb"/>
      </w:pPr>
      <w:r>
        <w:t>Dann verschiebt sich der optimale Schwellenwert zugunsten der Vermeidung der teureren Fehlentscheidung.</w:t>
      </w:r>
    </w:p>
    <w:p w:rsidR="003D75D0" w:rsidRDefault="003D75D0" w:rsidP="003D75D0">
      <w:pPr>
        <w:pStyle w:val="StandardWeb"/>
      </w:pPr>
      <w:r>
        <w:t>Diese Verschiebung ist eine Entscheidungsbedingung und kein neues Primäraxiom.</w:t>
      </w:r>
    </w:p>
    <w:p w:rsidR="003D75D0" w:rsidRPr="00AF32B2" w:rsidRDefault="003D75D0" w:rsidP="00AF32B2">
      <w:pPr>
        <w:pStyle w:val="berschrift4"/>
      </w:pPr>
      <w:r w:rsidRPr="00AF32B2">
        <w:t>3.3.31.21 Monotoniekonsistenz</w:t>
      </w:r>
    </w:p>
    <w:p w:rsidR="003D75D0" w:rsidRDefault="003D75D0" w:rsidP="003D75D0">
      <w:pPr>
        <w:pStyle w:val="StandardWeb"/>
      </w:pPr>
      <w:r>
        <w:t>Eine Entscheidungsregel ist monotoniekonsistent, wenn aus</w:t>
      </w:r>
    </w:p>
    <w:p w:rsidR="003D75D0" w:rsidRDefault="003D75D0" w:rsidP="003D75D0">
      <w:pPr>
        <w:pStyle w:val="StandardWeb"/>
      </w:pPr>
      <w:r>
        <w:t>[</w:t>
      </w:r>
      <w:r>
        <w:br/>
        <w:t>y_1</w:t>
      </w:r>
      <w:r>
        <w:br/>
        <w:t>\leq</w:t>
      </w:r>
      <w:r>
        <w:br/>
      </w:r>
      <w:r>
        <w:lastRenderedPageBreak/>
        <w:t>y_2</w:t>
      </w:r>
      <w:r>
        <w:br/>
        <w:t>\tag{3.5605}</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y_1\leq y_2\qquad\text{(3.5605)}</w:t>
      </w:r>
    </w:p>
    <w:p w:rsidR="003D75D0" w:rsidRDefault="003D75D0" w:rsidP="003D75D0">
      <w:pPr>
        <w:pStyle w:val="StandardWeb"/>
      </w:pPr>
      <w:r>
        <w:t>und</w:t>
      </w:r>
    </w:p>
    <w:p w:rsidR="003D75D0" w:rsidRDefault="003D75D0" w:rsidP="003D75D0">
      <w:pPr>
        <w:pStyle w:val="berschrift1"/>
      </w:pPr>
      <w:r>
        <w:t>[</w:t>
      </w:r>
      <w:r>
        <w:br/>
        <w:t>\mathcal{C}_{F}(y_1)</w:t>
      </w:r>
    </w:p>
    <w:p w:rsidR="003D75D0" w:rsidRDefault="003D75D0" w:rsidP="003D75D0">
      <w:pPr>
        <w:pStyle w:val="StandardWeb"/>
      </w:pPr>
      <w:r>
        <w:t>1</w:t>
      </w:r>
      <w:r>
        <w:br/>
        <w:t>\tag{3.5606}</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\mathcal{C}_{F}(y_1)=1\qquad\text{(3.5606)}</w:t>
      </w:r>
    </w:p>
    <w:p w:rsidR="003D75D0" w:rsidRDefault="003D75D0" w:rsidP="003D75D0">
      <w:pPr>
        <w:pStyle w:val="StandardWeb"/>
      </w:pPr>
      <w:r>
        <w:t>folgt</w:t>
      </w:r>
    </w:p>
    <w:p w:rsidR="003D75D0" w:rsidRDefault="003D75D0" w:rsidP="003D75D0">
      <w:pPr>
        <w:pStyle w:val="berschrift1"/>
      </w:pPr>
      <w:r>
        <w:t>[</w:t>
      </w:r>
      <w:r>
        <w:br/>
        <w:t>\mathcal{C}_{F}(y_2)</w:t>
      </w:r>
    </w:p>
    <w:p w:rsidR="003D75D0" w:rsidRDefault="003D75D0" w:rsidP="00632D23">
      <w:pPr>
        <w:numPr>
          <w:ilvl w:val="0"/>
          <w:numId w:val="192"/>
        </w:numPr>
        <w:spacing w:before="100" w:beforeAutospacing="1" w:after="100" w:afterAutospacing="1"/>
      </w:pPr>
    </w:p>
    <w:p w:rsidR="003D75D0" w:rsidRDefault="003D75D0" w:rsidP="003D75D0">
      <w:pPr>
        <w:pStyle w:val="StandardWeb"/>
      </w:pPr>
      <w:r>
        <w:t>\tag{3.5607}</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\mathcal{C}_{F}(y_2)=1\qquad\text{(3.5607)}</w:t>
      </w:r>
    </w:p>
    <w:p w:rsidR="003D75D0" w:rsidRDefault="003D75D0" w:rsidP="003D75D0">
      <w:pPr>
        <w:pStyle w:val="StandardWeb"/>
      </w:pPr>
      <w:r>
        <w:t>Eine einfache aufsteigende Schwellenwertregel erfüllt diese Eigenschaft.</w:t>
      </w:r>
    </w:p>
    <w:p w:rsidR="003D75D0" w:rsidRPr="00AF32B2" w:rsidRDefault="003D75D0" w:rsidP="00AF32B2">
      <w:pPr>
        <w:pStyle w:val="berschrift4"/>
      </w:pPr>
      <w:r w:rsidRPr="00AF32B2">
        <w:t>3.3.31.22 Konsistenz mehrerer Schwellenwerte</w:t>
      </w:r>
    </w:p>
    <w:p w:rsidR="003D75D0" w:rsidRDefault="003D75D0" w:rsidP="003D75D0">
      <w:pPr>
        <w:pStyle w:val="StandardWeb"/>
      </w:pPr>
      <w:r>
        <w:t>Seien zwei Entscheidungen durch</w:t>
      </w:r>
    </w:p>
    <w:p w:rsidR="003D75D0" w:rsidRDefault="003D75D0" w:rsidP="003D75D0">
      <w:pPr>
        <w:pStyle w:val="StandardWeb"/>
      </w:pPr>
      <w:r>
        <w:t>[</w:t>
      </w:r>
      <w:r>
        <w:br/>
        <w:t>\tau_A</w:t>
      </w:r>
      <w:r>
        <w:br/>
        <w:t>\tag{3.5608}</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lastRenderedPageBreak/>
        <w:t>\tau_A\qquad\text{(3.5608)}</w:t>
      </w:r>
    </w:p>
    <w:p w:rsidR="003D75D0" w:rsidRDefault="003D75D0" w:rsidP="003D75D0">
      <w:pPr>
        <w:pStyle w:val="StandardWeb"/>
      </w:pPr>
      <w:r>
        <w:t>und</w:t>
      </w:r>
    </w:p>
    <w:p w:rsidR="003D75D0" w:rsidRDefault="003D75D0" w:rsidP="003D75D0">
      <w:pPr>
        <w:pStyle w:val="StandardWeb"/>
      </w:pPr>
      <w:r>
        <w:t>[</w:t>
      </w:r>
      <w:r>
        <w:br/>
        <w:t>\tau_B</w:t>
      </w:r>
      <w:r>
        <w:br/>
        <w:t>\tag{3.5609}</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\tau_B\qquad\text{(3.5609)}</w:t>
      </w:r>
    </w:p>
    <w:p w:rsidR="003D75D0" w:rsidRDefault="003D75D0" w:rsidP="003D75D0">
      <w:pPr>
        <w:pStyle w:val="StandardWeb"/>
      </w:pPr>
      <w:r>
        <w:t>bestimmt.</w:t>
      </w:r>
    </w:p>
    <w:p w:rsidR="003D75D0" w:rsidRDefault="003D75D0" w:rsidP="003D75D0">
      <w:pPr>
        <w:pStyle w:val="StandardWeb"/>
      </w:pPr>
      <w:r>
        <w:t>Falls die Aussage (B) logisch stärker als (A) ist, muss gelten</w:t>
      </w:r>
    </w:p>
    <w:p w:rsidR="003D75D0" w:rsidRDefault="003D75D0" w:rsidP="003D75D0">
      <w:pPr>
        <w:pStyle w:val="StandardWeb"/>
      </w:pPr>
      <w:r>
        <w:t>[</w:t>
      </w:r>
      <w:r>
        <w:br/>
        <w:t>\tau_B</w:t>
      </w:r>
      <w:r>
        <w:br/>
        <w:t>\geq</w:t>
      </w:r>
      <w:r>
        <w:br/>
        <w:t>\tau_A.</w:t>
      </w:r>
      <w:r>
        <w:br/>
        <w:t>\tag{3.5610}</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\tau_B\geq\tau_A\qquad\text{(3.5610)}</w:t>
      </w:r>
    </w:p>
    <w:p w:rsidR="003D75D0" w:rsidRDefault="003D75D0" w:rsidP="003D75D0">
      <w:pPr>
        <w:pStyle w:val="StandardWeb"/>
      </w:pPr>
      <w:r>
        <w:t>Dann folgt aus</w:t>
      </w:r>
    </w:p>
    <w:p w:rsidR="003D75D0" w:rsidRDefault="003D75D0" w:rsidP="003D75D0">
      <w:pPr>
        <w:pStyle w:val="StandardWeb"/>
      </w:pPr>
      <w:r>
        <w:t>[</w:t>
      </w:r>
      <w:r>
        <w:br/>
        <w:t>y</w:t>
      </w:r>
      <w:r>
        <w:br/>
        <w:t>\geq</w:t>
      </w:r>
      <w:r>
        <w:br/>
        <w:t>\tau_B</w:t>
      </w:r>
      <w:r>
        <w:br/>
        <w:t>\tag{3.5611}</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y\geq\tau_B\qquad\text{(3.5611)}</w:t>
      </w:r>
    </w:p>
    <w:p w:rsidR="003D75D0" w:rsidRDefault="003D75D0" w:rsidP="003D75D0">
      <w:pPr>
        <w:pStyle w:val="StandardWeb"/>
      </w:pPr>
      <w:r>
        <w:t>auch</w:t>
      </w:r>
    </w:p>
    <w:p w:rsidR="003D75D0" w:rsidRDefault="003D75D0" w:rsidP="003D75D0">
      <w:pPr>
        <w:pStyle w:val="StandardWeb"/>
      </w:pPr>
      <w:r>
        <w:t>[</w:t>
      </w:r>
      <w:r>
        <w:br/>
        <w:t>y</w:t>
      </w:r>
      <w:r>
        <w:br/>
        <w:t>\geq</w:t>
      </w:r>
      <w:r>
        <w:br/>
        <w:t>\tau_A.</w:t>
      </w:r>
      <w:r>
        <w:br/>
        <w:t>\tag{3.5612}</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lastRenderedPageBreak/>
        <w:t>y\geq\tau_A\qquad\text{(3.5612)}</w:t>
      </w:r>
    </w:p>
    <w:p w:rsidR="003D75D0" w:rsidRDefault="003D75D0" w:rsidP="003D75D0">
      <w:pPr>
        <w:pStyle w:val="StandardWeb"/>
      </w:pPr>
      <w:r>
        <w:t>Eine umgekehrte Schwellenwertordnung könnte zu logisch widersprüchlichen Klassifikationen führen.</w:t>
      </w:r>
    </w:p>
    <w:p w:rsidR="003D75D0" w:rsidRPr="00AF32B2" w:rsidRDefault="003D75D0" w:rsidP="00AF32B2">
      <w:pPr>
        <w:pStyle w:val="berschrift4"/>
      </w:pPr>
      <w:r w:rsidRPr="00AF32B2">
        <w:t>3.3.31.23 Entscheidungswiderspruch</w:t>
      </w:r>
    </w:p>
    <w:p w:rsidR="003D75D0" w:rsidRDefault="003D75D0" w:rsidP="003D75D0">
      <w:pPr>
        <w:pStyle w:val="StandardWeb"/>
      </w:pPr>
      <w:r>
        <w:t>Ein Entscheidungswiderspruch liegt vor, wenn</w:t>
      </w:r>
    </w:p>
    <w:p w:rsidR="003D75D0" w:rsidRDefault="003D75D0" w:rsidP="003D75D0">
      <w:pPr>
        <w:pStyle w:val="berschrift1"/>
      </w:pPr>
      <w:r>
        <w:t>[</w:t>
      </w:r>
      <w:r>
        <w:br/>
        <w:t>C_A(y)</w:t>
      </w:r>
    </w:p>
    <w:p w:rsidR="003D75D0" w:rsidRDefault="003D75D0" w:rsidP="003D75D0">
      <w:pPr>
        <w:pStyle w:val="StandardWeb"/>
      </w:pPr>
      <w:r>
        <w:t>1</w:t>
      </w:r>
      <w:r>
        <w:br/>
        <w:t>\tag{3.5613}</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C_A(y)=1\qquad\text{(3.5613)}</w:t>
      </w:r>
    </w:p>
    <w:p w:rsidR="003D75D0" w:rsidRDefault="003D75D0" w:rsidP="003D75D0">
      <w:pPr>
        <w:pStyle w:val="StandardWeb"/>
      </w:pPr>
      <w:r>
        <w:t>und gleichzeitig</w:t>
      </w:r>
    </w:p>
    <w:p w:rsidR="003D75D0" w:rsidRDefault="003D75D0" w:rsidP="003D75D0">
      <w:pPr>
        <w:pStyle w:val="berschrift1"/>
      </w:pPr>
      <w:r>
        <w:t>[</w:t>
      </w:r>
      <w:r>
        <w:br/>
        <w:t>C_B(y)</w:t>
      </w:r>
    </w:p>
    <w:p w:rsidR="003D75D0" w:rsidRDefault="003D75D0" w:rsidP="003D75D0">
      <w:pPr>
        <w:pStyle w:val="StandardWeb"/>
      </w:pPr>
      <w:r>
        <w:t>0,</w:t>
      </w:r>
      <w:r>
        <w:br/>
        <w:t>\tag{3.5614}</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C_B(y)=0\qquad\text{(3.5614)}</w:t>
      </w:r>
    </w:p>
    <w:p w:rsidR="003D75D0" w:rsidRDefault="003D75D0" w:rsidP="003D75D0">
      <w:pPr>
        <w:pStyle w:val="StandardWeb"/>
      </w:pPr>
      <w:r>
        <w:t>obwohl logisch gelten müsste</w:t>
      </w:r>
    </w:p>
    <w:p w:rsidR="003D75D0" w:rsidRDefault="003D75D0" w:rsidP="003D75D0">
      <w:pPr>
        <w:pStyle w:val="StandardWeb"/>
      </w:pPr>
      <w:r>
        <w:t>[</w:t>
      </w:r>
      <w:r>
        <w:br/>
        <w:t>A</w:t>
      </w:r>
      <w:r>
        <w:br/>
        <w:t>\Rightarrow</w:t>
      </w:r>
      <w:r>
        <w:br/>
        <w:t>B.</w:t>
      </w:r>
      <w:r>
        <w:br/>
        <w:t>\tag{3.5615}</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A\Rightarrow B\qquad\text{(3.5615)}</w:t>
      </w:r>
    </w:p>
    <w:p w:rsidR="003D75D0" w:rsidRDefault="003D75D0" w:rsidP="003D75D0">
      <w:pPr>
        <w:pStyle w:val="StandardWeb"/>
      </w:pPr>
      <w:r>
        <w:t>Die Menge widersprüchlicher Entscheidungen lautet</w:t>
      </w:r>
    </w:p>
    <w:p w:rsidR="003D75D0" w:rsidRDefault="003D75D0" w:rsidP="003D75D0">
      <w:pPr>
        <w:pStyle w:val="berschrift1"/>
      </w:pPr>
      <w:r>
        <w:lastRenderedPageBreak/>
        <w:t>[</w:t>
      </w:r>
      <w:r>
        <w:br/>
        <w:t>\mathfrak{W}_{C}</w:t>
      </w:r>
    </w:p>
    <w:p w:rsidR="003D75D0" w:rsidRDefault="003D75D0" w:rsidP="003D75D0">
      <w:pPr>
        <w:pStyle w:val="StandardWeb"/>
      </w:pPr>
      <w:r>
        <w:t>\left{</w:t>
      </w:r>
      <w:r>
        <w:br/>
        <w:t>y</w:t>
      </w:r>
      <w:r>
        <w:br/>
        <w:t>\in</w:t>
      </w:r>
      <w:r>
        <w:br/>
        <w:t>\mathcal{Y}</w:t>
      </w:r>
      <w:r>
        <w:br/>
        <w:t>;\middle|;</w:t>
      </w:r>
      <w:r>
        <w:br/>
        <w:t>C_A(y)=1</w:t>
      </w:r>
      <w:r>
        <w:br/>
        <w:t>\land</w:t>
      </w:r>
      <w:r>
        <w:br/>
        <w:t>C_B(y)=0</w:t>
      </w:r>
      <w:r>
        <w:br/>
        <w:t>\right}.</w:t>
      </w:r>
      <w:r>
        <w:br/>
        <w:t>\tag{3.5616}</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\mathfrak{W}_{C}=\left\{y\in\mathcal{Y}\middle|C_A(y)=1\land C_B(y)=0\right\}\qquad\text{(3.5616)}</w:t>
      </w:r>
    </w:p>
    <w:p w:rsidR="003D75D0" w:rsidRDefault="003D75D0" w:rsidP="003D75D0">
      <w:pPr>
        <w:pStyle w:val="StandardWeb"/>
      </w:pPr>
      <w:r>
        <w:t>Ein konsistentes Entscheidungssystem verlangt</w:t>
      </w:r>
    </w:p>
    <w:p w:rsidR="003D75D0" w:rsidRDefault="003D75D0" w:rsidP="003D75D0">
      <w:pPr>
        <w:pStyle w:val="berschrift1"/>
      </w:pPr>
      <w:r>
        <w:t>[</w:t>
      </w:r>
      <w:r>
        <w:br/>
        <w:t>\mathfrak{W}_{C}</w:t>
      </w:r>
    </w:p>
    <w:p w:rsidR="003D75D0" w:rsidRDefault="003D75D0" w:rsidP="003D75D0">
      <w:pPr>
        <w:pStyle w:val="StandardWeb"/>
      </w:pPr>
      <w:r>
        <w:t>\emptyset.</w:t>
      </w:r>
      <w:r>
        <w:br/>
        <w:t>\tag{3.5617}</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\mathfrak{W}_{C}=\emptyset\qquad\text{(3.5617)}</w:t>
      </w:r>
    </w:p>
    <w:p w:rsidR="003D75D0" w:rsidRPr="00AF32B2" w:rsidRDefault="003D75D0" w:rsidP="00AF32B2">
      <w:pPr>
        <w:pStyle w:val="berschrift4"/>
      </w:pPr>
      <w:r w:rsidRPr="00AF32B2">
        <w:t>3.3.31.24 Schwellenwerthierarchie</w:t>
      </w:r>
    </w:p>
    <w:p w:rsidR="003D75D0" w:rsidRDefault="003D75D0" w:rsidP="003D75D0">
      <w:pPr>
        <w:pStyle w:val="StandardWeb"/>
      </w:pPr>
      <w:r>
        <w:t>Eine geordnete Hierarchie von Aussagen lautet</w:t>
      </w:r>
    </w:p>
    <w:p w:rsidR="003D75D0" w:rsidRDefault="003D75D0" w:rsidP="003D75D0">
      <w:pPr>
        <w:pStyle w:val="StandardWeb"/>
      </w:pPr>
      <w:r>
        <w:t>[</w:t>
      </w:r>
      <w:r>
        <w:br/>
        <w:t>A_1</w:t>
      </w:r>
      <w:r>
        <w:br/>
        <w:t>\Leftarrow</w:t>
      </w:r>
      <w:r>
        <w:br/>
        <w:t>A_2</w:t>
      </w:r>
      <w:r>
        <w:br/>
        <w:t>\Leftarrow</w:t>
      </w:r>
      <w:r>
        <w:br/>
        <w:t>\cdots</w:t>
      </w:r>
      <w:r>
        <w:br/>
        <w:t>\Leftarrow</w:t>
      </w:r>
      <w:r>
        <w:br/>
        <w:t>A_m.</w:t>
      </w:r>
      <w:r>
        <w:br/>
        <w:t>\tag{3.5618}</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lastRenderedPageBreak/>
        <w:t>A_1\Leftarrow A_2\Leftarrow\cdots\Leftarrow A_m\qquad\text{(3.5618)}</w:t>
      </w:r>
    </w:p>
    <w:p w:rsidR="003D75D0" w:rsidRDefault="003D75D0" w:rsidP="003D75D0">
      <w:pPr>
        <w:pStyle w:val="StandardWeb"/>
      </w:pPr>
      <w:r>
        <w:t>Die zugehörigen Schwellenwerte müssen erfüllen</w:t>
      </w:r>
    </w:p>
    <w:p w:rsidR="003D75D0" w:rsidRDefault="003D75D0" w:rsidP="003D75D0">
      <w:pPr>
        <w:pStyle w:val="StandardWeb"/>
      </w:pPr>
      <w:r>
        <w:t>[</w:t>
      </w:r>
      <w:r>
        <w:br/>
        <w:t>\tau_1</w:t>
      </w:r>
      <w:r>
        <w:br/>
        <w:t>\leq</w:t>
      </w:r>
      <w:r>
        <w:br/>
        <w:t>\tau_2</w:t>
      </w:r>
      <w:r>
        <w:br/>
        <w:t>\leq</w:t>
      </w:r>
      <w:r>
        <w:br/>
        <w:t>\cdots</w:t>
      </w:r>
      <w:r>
        <w:br/>
        <w:t>\leq</w:t>
      </w:r>
      <w:r>
        <w:br/>
        <w:t>\tau_m.</w:t>
      </w:r>
      <w:r>
        <w:br/>
        <w:t>\tag{3.5619}</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\tau_1\leq\tau_2\leq\cdots\leq\tau_m\qquad\text{(3.5619)}</w:t>
      </w:r>
    </w:p>
    <w:p w:rsidR="003D75D0" w:rsidRDefault="003D75D0" w:rsidP="003D75D0">
      <w:pPr>
        <w:pStyle w:val="StandardWeb"/>
      </w:pPr>
      <w:r>
        <w:t>Dann gilt</w:t>
      </w:r>
    </w:p>
    <w:p w:rsidR="003D75D0" w:rsidRDefault="003D75D0" w:rsidP="003D75D0">
      <w:pPr>
        <w:pStyle w:val="StandardWeb"/>
      </w:pPr>
      <w:r>
        <w:t>[</w:t>
      </w:r>
      <w:r>
        <w:br/>
        <w:t>y</w:t>
      </w:r>
      <w:r>
        <w:br/>
        <w:t>\geq</w:t>
      </w:r>
      <w:r>
        <w:br/>
        <w:t>\tau_j</w:t>
      </w:r>
      <w:r>
        <w:br/>
        <w:t>\Rightarrow</w:t>
      </w:r>
      <w:r>
        <w:br/>
        <w:t>y</w:t>
      </w:r>
      <w:r>
        <w:br/>
        <w:t>\geq</w:t>
      </w:r>
      <w:r>
        <w:br/>
        <w:t>\tau_i</w:t>
      </w:r>
      <w:r>
        <w:br/>
        <w:t>\quad</w:t>
      </w:r>
      <w:r>
        <w:br/>
        <w:t>\text{für}</w:t>
      </w:r>
      <w:r>
        <w:br/>
        <w:t>\quad</w:t>
      </w:r>
      <w:r>
        <w:br/>
        <w:t>i&lt;j.</w:t>
      </w:r>
      <w:r>
        <w:br/>
        <w:t>\tag{3.5620}</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y\geq\tau_j\Rightarrow y\geq\tau_i\quad\text{für}\quad i&lt;j\qquad\text{(3.5620)}</w:t>
      </w:r>
    </w:p>
    <w:p w:rsidR="003D75D0" w:rsidRPr="00AF32B2" w:rsidRDefault="003D75D0" w:rsidP="00AF32B2">
      <w:pPr>
        <w:pStyle w:val="berschrift4"/>
      </w:pPr>
      <w:r w:rsidRPr="00AF32B2">
        <w:t>3.3.31.25 Entscheidungsrobustheit gegenüber Datenstörungen</w:t>
      </w:r>
    </w:p>
    <w:p w:rsidR="003D75D0" w:rsidRDefault="003D75D0" w:rsidP="003D75D0">
      <w:pPr>
        <w:pStyle w:val="StandardWeb"/>
      </w:pPr>
      <w:r>
        <w:t>Sei</w:t>
      </w:r>
    </w:p>
    <w:p w:rsidR="003D75D0" w:rsidRDefault="003D75D0" w:rsidP="003D75D0">
      <w:pPr>
        <w:pStyle w:val="berschrift1"/>
      </w:pPr>
      <w:r>
        <w:t>[</w:t>
      </w:r>
      <w:r>
        <w:br/>
        <w:t>y^{\prime}</w:t>
      </w:r>
    </w:p>
    <w:p w:rsidR="003D75D0" w:rsidRDefault="003D75D0" w:rsidP="003D75D0">
      <w:pPr>
        <w:pStyle w:val="StandardWeb"/>
      </w:pPr>
      <w:r>
        <w:t>y+\Delta y.</w:t>
      </w:r>
      <w:r>
        <w:br/>
        <w:t>\tag{3.5621}</w:t>
      </w:r>
      <w:r>
        <w:br/>
        <w:t>]</w:t>
      </w:r>
    </w:p>
    <w:p w:rsidR="003D75D0" w:rsidRDefault="003D75D0" w:rsidP="003D75D0">
      <w:pPr>
        <w:pStyle w:val="StandardWeb"/>
      </w:pPr>
      <w:r>
        <w:rPr>
          <w:rStyle w:val="Fett"/>
        </w:rPr>
        <w:lastRenderedPageBreak/>
        <w:t>Word-LaTeX</w:t>
      </w:r>
    </w:p>
    <w:p w:rsidR="003D75D0" w:rsidRDefault="003D75D0" w:rsidP="003D75D0">
      <w:pPr>
        <w:pStyle w:val="HTMLVorformatiert"/>
        <w:rPr>
          <w:rStyle w:val="HTMLCode"/>
        </w:rPr>
      </w:pPr>
      <w:r>
        <w:rPr>
          <w:rStyle w:val="HTMLCode"/>
        </w:rPr>
        <w:t>y^{\prime}=y+\Delta y\qquad\text{(3.5621)}</w:t>
      </w:r>
    </w:p>
    <w:p w:rsidR="003D75D0" w:rsidRDefault="003D75D0" w:rsidP="003D75D0">
      <w:pPr>
        <w:pStyle w:val="StandardWeb"/>
      </w:pPr>
      <w:r>
        <w:t>Die Entscheidung ist datenstörungsrobust, wenn</w:t>
      </w:r>
    </w:p>
    <w:p w:rsidR="003D75D0" w:rsidRDefault="003D75D0" w:rsidP="003D75D0">
      <w:pPr>
        <w:pStyle w:val="berschrift1"/>
      </w:pPr>
      <w:r>
        <w:t>[</w:t>
      </w:r>
      <w:r>
        <w:br/>
        <w:t>\mathcal{C}_{F}(y)</w:t>
      </w:r>
    </w:p>
    <w:p w:rsidR="003D75D0" w:rsidRDefault="003D75D0" w:rsidP="003D75D0">
      <w:pPr>
        <w:pStyle w:val="StandardWeb"/>
      </w:pPr>
      <w:r>
        <w:t>\mathcal{C}_{F}</w:t>
      </w:r>
      <w:r>
        <w:br/>
        <w:t>\left(</w:t>
      </w:r>
      <w:r>
        <w:br/>
        <w:t>y+\Delta y</w:t>
      </w:r>
      <w:r>
        <w:br/>
        <w:t>\right)</w:t>
      </w:r>
      <w:r>
        <w:br/>
        <w:t>\tag{3.5622}</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\mathcal{C}_{F}(y)=\mathcal{C}_{F}\left(y+\Delta y\right)\qquad\text{(3.5622)}</w:t>
      </w:r>
    </w:p>
    <w:p w:rsidR="003D75D0" w:rsidRDefault="003D75D0" w:rsidP="003D75D0">
      <w:pPr>
        <w:pStyle w:val="StandardWeb"/>
      </w:pPr>
      <w:r>
        <w:t>für alle zulässigen Störungen gilt.</w:t>
      </w:r>
    </w:p>
    <w:p w:rsidR="003D75D0" w:rsidRDefault="003D75D0" w:rsidP="003D75D0">
      <w:pPr>
        <w:pStyle w:val="StandardWeb"/>
      </w:pPr>
      <w:r>
        <w:t>Eine hinreichende Bedingung ist</w:t>
      </w:r>
    </w:p>
    <w:p w:rsidR="003D75D0" w:rsidRDefault="003D75D0" w:rsidP="003D75D0">
      <w:pPr>
        <w:pStyle w:val="StandardWeb"/>
      </w:pPr>
      <w:r>
        <w:t>[</w:t>
      </w:r>
      <w:r>
        <w:br/>
        <w:t>|\Delta y|</w:t>
      </w:r>
      <w:r>
        <w:br/>
        <w:t>&lt;</w:t>
      </w:r>
      <w:r>
        <w:br/>
        <w:t>|y-\tau|.</w:t>
      </w:r>
      <w:r>
        <w:br/>
        <w:t>\tag{3.5623}</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|\Delta y|&lt;|y-\tau|\qquad\text{(3.5623)}</w:t>
      </w:r>
    </w:p>
    <w:p w:rsidR="003D75D0" w:rsidRPr="00AF32B2" w:rsidRDefault="003D75D0" w:rsidP="00AF32B2">
      <w:pPr>
        <w:pStyle w:val="berschrift4"/>
      </w:pPr>
      <w:r w:rsidRPr="00AF32B2">
        <w:t>3.3.31.26 Gemeinsame Entscheidungsrobustheit</w:t>
      </w:r>
    </w:p>
    <w:p w:rsidR="003D75D0" w:rsidRDefault="003D75D0" w:rsidP="003D75D0">
      <w:pPr>
        <w:pStyle w:val="StandardWeb"/>
      </w:pPr>
      <w:r>
        <w:t>Sind Wert und Schwellenwert gestört, gilt</w:t>
      </w:r>
    </w:p>
    <w:p w:rsidR="003D75D0" w:rsidRDefault="003D75D0" w:rsidP="003D75D0">
      <w:pPr>
        <w:pStyle w:val="berschrift1"/>
      </w:pPr>
      <w:r>
        <w:t>[</w:t>
      </w:r>
      <w:r>
        <w:br/>
        <w:t>y^{\prime}</w:t>
      </w:r>
    </w:p>
    <w:p w:rsidR="003D75D0" w:rsidRDefault="003D75D0" w:rsidP="003D75D0">
      <w:pPr>
        <w:pStyle w:val="StandardWeb"/>
      </w:pPr>
      <w:r>
        <w:t>y+\Delta y</w:t>
      </w:r>
      <w:r>
        <w:br/>
        <w:t>\tag{3.5624}</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lastRenderedPageBreak/>
        <w:t>y^{\prime}=y+\Delta y\qquad\text{(3.5624)}</w:t>
      </w:r>
    </w:p>
    <w:p w:rsidR="003D75D0" w:rsidRDefault="003D75D0" w:rsidP="003D75D0">
      <w:pPr>
        <w:pStyle w:val="StandardWeb"/>
      </w:pPr>
      <w:r>
        <w:t>und</w:t>
      </w:r>
    </w:p>
    <w:p w:rsidR="003D75D0" w:rsidRDefault="003D75D0" w:rsidP="003D75D0">
      <w:pPr>
        <w:pStyle w:val="berschrift1"/>
      </w:pPr>
      <w:r>
        <w:t>[</w:t>
      </w:r>
      <w:r>
        <w:br/>
        <w:t>\tau^{\prime}</w:t>
      </w:r>
    </w:p>
    <w:p w:rsidR="003D75D0" w:rsidRDefault="003D75D0" w:rsidP="003D75D0">
      <w:pPr>
        <w:pStyle w:val="StandardWeb"/>
      </w:pPr>
      <w:r>
        <w:t>\tau+\Delta\tau.</w:t>
      </w:r>
      <w:r>
        <w:br/>
        <w:t>\tag{3.5625}</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\tau^{\prime}=\tau+\Delta\tau\qquad\text{(3.5625)}</w:t>
      </w:r>
    </w:p>
    <w:p w:rsidR="003D75D0" w:rsidRDefault="003D75D0" w:rsidP="003D75D0">
      <w:pPr>
        <w:pStyle w:val="StandardWeb"/>
      </w:pPr>
      <w:r>
        <w:t>Eine hinreichende Robustheitsbedingung lautet</w:t>
      </w:r>
    </w:p>
    <w:p w:rsidR="003D75D0" w:rsidRDefault="003D75D0" w:rsidP="003D75D0">
      <w:pPr>
        <w:pStyle w:val="StandardWeb"/>
      </w:pPr>
      <w:r>
        <w:t>[</w:t>
      </w:r>
      <w:r>
        <w:br/>
        <w:t>|\Delta y|</w:t>
      </w:r>
      <w:r>
        <w:br/>
        <w:t>+</w:t>
      </w:r>
      <w:r>
        <w:br/>
        <w:t>|\Delta\tau|</w:t>
      </w:r>
      <w:r>
        <w:br/>
        <w:t>&lt;</w:t>
      </w:r>
      <w:r>
        <w:br/>
        <w:t>|y-\tau|.</w:t>
      </w:r>
      <w:r>
        <w:br/>
        <w:t>\tag{3.5626}</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|\Delta y|+|\Delta\tau|&lt;|y-\tau|\qquad\text{(3.5626)}</w:t>
      </w:r>
    </w:p>
    <w:p w:rsidR="003D75D0" w:rsidRDefault="003D75D0" w:rsidP="003D75D0">
      <w:pPr>
        <w:pStyle w:val="StandardWeb"/>
      </w:pPr>
      <w:r>
        <w:t>Unter dieser Bedingung bleibt das Vorzeichen von (y-\tau) erhalten.</w:t>
      </w:r>
    </w:p>
    <w:p w:rsidR="003D75D0" w:rsidRPr="00AF32B2" w:rsidRDefault="003D75D0" w:rsidP="00AF32B2">
      <w:pPr>
        <w:pStyle w:val="berschrift4"/>
      </w:pPr>
      <w:r w:rsidRPr="00AF32B2">
        <w:t>3.3.31.27 Entscheidungsstabilitätsradius</w:t>
      </w:r>
    </w:p>
    <w:p w:rsidR="003D75D0" w:rsidRDefault="003D75D0" w:rsidP="003D75D0">
      <w:pPr>
        <w:pStyle w:val="StandardWeb"/>
      </w:pPr>
      <w:r>
        <w:t>Der Entscheidungsstabilitätsradius lautet</w:t>
      </w:r>
    </w:p>
    <w:p w:rsidR="003D75D0" w:rsidRDefault="003D75D0" w:rsidP="003D75D0">
      <w:pPr>
        <w:pStyle w:val="berschrift1"/>
      </w:pPr>
      <w:r>
        <w:t>[</w:t>
      </w:r>
      <w:r>
        <w:br/>
        <w:t>r_{\mathrm{dec}}(y,\tau)</w:t>
      </w:r>
    </w:p>
    <w:p w:rsidR="003D75D0" w:rsidRDefault="003D75D0" w:rsidP="003D75D0">
      <w:pPr>
        <w:pStyle w:val="StandardWeb"/>
      </w:pPr>
      <w:r>
        <w:t>|y-\tau|.</w:t>
      </w:r>
      <w:r>
        <w:br/>
        <w:t>\tag{3.5627}</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r_{\mathrm{dec}}(y,\tau)=|y-\tau|\qquad\text{(3.5627)}</w:t>
      </w:r>
    </w:p>
    <w:p w:rsidR="003D75D0" w:rsidRDefault="003D75D0" w:rsidP="003D75D0">
      <w:pPr>
        <w:pStyle w:val="StandardWeb"/>
      </w:pPr>
      <w:r>
        <w:t>Für jede Störung mit</w:t>
      </w:r>
    </w:p>
    <w:p w:rsidR="003D75D0" w:rsidRDefault="003D75D0" w:rsidP="003D75D0">
      <w:pPr>
        <w:pStyle w:val="StandardWeb"/>
      </w:pPr>
      <w:r>
        <w:lastRenderedPageBreak/>
        <w:t>[</w:t>
      </w:r>
      <w:r>
        <w:br/>
        <w:t>|\Delta y|</w:t>
      </w:r>
      <w:r>
        <w:br/>
        <w:t>+</w:t>
      </w:r>
      <w:r>
        <w:br/>
        <w:t>|\Delta\tau|</w:t>
      </w:r>
      <w:r>
        <w:br/>
        <w:t>&lt;</w:t>
      </w:r>
      <w:r>
        <w:br/>
        <w:t>r_{\mathrm{dec}}(y,\tau)</w:t>
      </w:r>
      <w:r>
        <w:br/>
        <w:t>\tag{3.5628}</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|\Delta y|+|\Delta\tau|&lt;r_{\mathrm{dec}}(y,\tau)\qquad\text{(3.5628)}</w:t>
      </w:r>
    </w:p>
    <w:p w:rsidR="003D75D0" w:rsidRDefault="003D75D0" w:rsidP="003D75D0">
      <w:pPr>
        <w:pStyle w:val="StandardWeb"/>
      </w:pPr>
      <w:r>
        <w:t>bleibt die binäre Entscheidung unverändert.</w:t>
      </w:r>
    </w:p>
    <w:p w:rsidR="003D75D0" w:rsidRDefault="003D75D0" w:rsidP="003D75D0">
      <w:pPr>
        <w:pStyle w:val="StandardWeb"/>
      </w:pPr>
      <w:r>
        <w:t>Ein Radius nahe null kennzeichnet eine grenznahe Entscheidung.</w:t>
      </w:r>
    </w:p>
    <w:p w:rsidR="003D75D0" w:rsidRPr="00AF32B2" w:rsidRDefault="003D75D0" w:rsidP="00AF32B2">
      <w:pPr>
        <w:pStyle w:val="berschrift4"/>
      </w:pPr>
      <w:r w:rsidRPr="00AF32B2">
        <w:t>3.3.31.28 Entscheidungsvertrauen</w:t>
      </w:r>
    </w:p>
    <w:p w:rsidR="003D75D0" w:rsidRDefault="003D75D0" w:rsidP="003D75D0">
      <w:pPr>
        <w:pStyle w:val="StandardWeb"/>
      </w:pPr>
      <w:r>
        <w:t>Das Entscheidungsvertrauen kann probabilistisch definiert werden durch</w:t>
      </w:r>
    </w:p>
    <w:p w:rsidR="003D75D0" w:rsidRDefault="003D75D0" w:rsidP="003D75D0">
      <w:pPr>
        <w:pStyle w:val="berschrift1"/>
      </w:pPr>
      <w:r>
        <w:t>[</w:t>
      </w:r>
      <w:r>
        <w:br/>
        <w:t>V_{\mathrm{dec}}</w:t>
      </w:r>
    </w:p>
    <w:p w:rsidR="003D75D0" w:rsidRDefault="003D75D0" w:rsidP="003D75D0">
      <w:pPr>
        <w:pStyle w:val="StandardWeb"/>
      </w:pPr>
      <w:r>
        <w:t>\max</w:t>
      </w:r>
      <w:r>
        <w:br/>
        <w:t>\left{</w:t>
      </w:r>
      <w:r>
        <w:br/>
        <w:t>\Pr(Y&lt;\tau),</w:t>
      </w:r>
      <w:r>
        <w:br/>
        <w:t>\Pr(Y\geq\tau)</w:t>
      </w:r>
      <w:r>
        <w:br/>
        <w:t>\right}.</w:t>
      </w:r>
      <w:r>
        <w:br/>
        <w:t>\tag{3.5629}</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V_{\mathrm{dec}}=\max\left\{\Pr(Y&lt;\tau),\Pr(Y\geq\tau)\right\}\qquad\text{(3.5629)}</w:t>
      </w:r>
    </w:p>
    <w:p w:rsidR="003D75D0" w:rsidRDefault="003D75D0" w:rsidP="003D75D0">
      <w:pPr>
        <w:pStyle w:val="StandardWeb"/>
      </w:pPr>
      <w:r>
        <w:t>Dabei gilt</w:t>
      </w:r>
    </w:p>
    <w:p w:rsidR="003D75D0" w:rsidRDefault="003D75D0" w:rsidP="003D75D0">
      <w:pPr>
        <w:pStyle w:val="StandardWeb"/>
      </w:pPr>
      <w:r>
        <w:t>[</w:t>
      </w:r>
      <w:r>
        <w:br/>
        <w:t>\frac{1}{2}</w:t>
      </w:r>
      <w:r>
        <w:br/>
        <w:t>\leq</w:t>
      </w:r>
      <w:r>
        <w:br/>
        <w:t>V_{\mathrm{dec}}</w:t>
      </w:r>
      <w:r>
        <w:br/>
        <w:t>\leq</w:t>
      </w:r>
      <w:r>
        <w:br/>
        <w:t>1</w:t>
      </w:r>
      <w:r>
        <w:br/>
        <w:t>\tag{3.5630}</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lastRenderedPageBreak/>
        <w:t>\frac{1}{2}\leq V_{\mathrm{dec}}\leq1\qquad\text{(3.5630)}</w:t>
      </w:r>
    </w:p>
    <w:p w:rsidR="003D75D0" w:rsidRDefault="003D75D0" w:rsidP="003D75D0">
      <w:pPr>
        <w:pStyle w:val="StandardWeb"/>
      </w:pPr>
      <w:r>
        <w:t>für eine binäre Entscheidung.</w:t>
      </w:r>
    </w:p>
    <w:p w:rsidR="003D75D0" w:rsidRDefault="003D75D0" w:rsidP="003D75D0">
      <w:pPr>
        <w:pStyle w:val="StandardWeb"/>
      </w:pPr>
      <w:r>
        <w:t>Ein Wert nahe eins kennzeichnet eine eindeutige probabilistische Zuordnung. Ein Wert nahe (1/2) kennzeichnet maximale binäre Unsicherheit.</w:t>
      </w:r>
    </w:p>
    <w:p w:rsidR="003D75D0" w:rsidRPr="00AF32B2" w:rsidRDefault="003D75D0" w:rsidP="00AF32B2">
      <w:pPr>
        <w:pStyle w:val="berschrift4"/>
      </w:pPr>
      <w:r w:rsidRPr="00AF32B2">
        <w:t>3.3.31.29 Entscheidungsklasse</w:t>
      </w:r>
    </w:p>
    <w:p w:rsidR="003D75D0" w:rsidRDefault="003D75D0" w:rsidP="003D75D0">
      <w:pPr>
        <w:pStyle w:val="StandardWeb"/>
      </w:pPr>
      <w:r>
        <w:t>Ich unterscheide vier Entscheidungsklassen:</w:t>
      </w:r>
    </w:p>
    <w:p w:rsidR="003D75D0" w:rsidRDefault="003D75D0" w:rsidP="003D75D0">
      <w:pPr>
        <w:pStyle w:val="berschrift1"/>
      </w:pPr>
      <w:r>
        <w:t>[</w:t>
      </w:r>
      <w:r>
        <w:br/>
        <w:t>\mathfrak{L}_{\mathrm{dec}}</w:t>
      </w:r>
    </w:p>
    <w:p w:rsidR="003D75D0" w:rsidRDefault="003D75D0" w:rsidP="003D75D0">
      <w:pPr>
        <w:pStyle w:val="StandardWeb"/>
      </w:pPr>
      <w:r>
        <w:t>\left{</w:t>
      </w:r>
      <w:r>
        <w:br/>
        <w:t>\mathbf{eindeutig},</w:t>
      </w:r>
      <w:r>
        <w:br/>
        <w:t>\mathbf{grenznah},</w:t>
      </w:r>
      <w:r>
        <w:br/>
        <w:t>\mathbf{unsicher},</w:t>
      </w:r>
      <w:r>
        <w:br/>
        <w:t>\mathbf{widersprüchlich}</w:t>
      </w:r>
      <w:r>
        <w:br/>
        <w:t>\right}.</w:t>
      </w:r>
      <w:r>
        <w:br/>
        <w:t>\tag{3.5631}</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\mathfrak{L}_{\mathrm{dec}}=\left\{\mathbf{eindeutig},\mathbf{grenznah},\mathbf{unsicher},\mathbf{widersprüchlich}\right\}\qquad\text{(3.5631)}</w:t>
      </w:r>
    </w:p>
    <w:p w:rsidR="003D75D0" w:rsidRDefault="003D75D0" w:rsidP="003D75D0">
      <w:pPr>
        <w:pStyle w:val="StandardWeb"/>
      </w:pPr>
      <w:r>
        <w:t>Die Zuordnungsabbildung lautet</w:t>
      </w:r>
    </w:p>
    <w:p w:rsidR="003D75D0" w:rsidRDefault="003D75D0" w:rsidP="003D75D0">
      <w:pPr>
        <w:pStyle w:val="StandardWeb"/>
      </w:pPr>
      <w:r>
        <w:t>[</w:t>
      </w:r>
      <w:r>
        <w:br/>
        <w:t>\operatorname{Klasse}</w:t>
      </w:r>
      <w:r>
        <w:rPr>
          <w:rStyle w:val="Hervorhebung"/>
        </w:rPr>
        <w:t>{\mathrm{dec}}:</w:t>
      </w:r>
      <w:r>
        <w:rPr>
          <w:i/>
          <w:iCs/>
        </w:rPr>
        <w:br/>
      </w:r>
      <w:r>
        <w:rPr>
          <w:rStyle w:val="Hervorhebung"/>
        </w:rPr>
        <w:t>\mathfrak{C}</w:t>
      </w:r>
      <w:r>
        <w:t>{F}</w:t>
      </w:r>
      <w:r>
        <w:br/>
        <w:t>\rightarrow</w:t>
      </w:r>
      <w:r>
        <w:br/>
        <w:t>\mathfrak{L}_{\mathrm{dec}}.</w:t>
      </w:r>
      <w:r>
        <w:br/>
        <w:t>\tag{3.5632}</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\operatorname{Klasse}_{\mathrm{dec}}:\mathfrak{C}_{F}\rightarrow\mathfrak{L}_{\mathrm{dec}}\qquad\text{(3.5632)}</w:t>
      </w:r>
    </w:p>
    <w:p w:rsidR="003D75D0" w:rsidRDefault="003D75D0" w:rsidP="003D75D0">
      <w:pPr>
        <w:pStyle w:val="StandardWeb"/>
      </w:pPr>
      <w:r>
        <w:t>Eine widersprüchliche Entscheidung liegt vor, wenn mehrere logisch gekoppelte Entscheidungsregeln nicht miteinander vereinbar sind.</w:t>
      </w:r>
    </w:p>
    <w:p w:rsidR="003D75D0" w:rsidRPr="00AF32B2" w:rsidRDefault="003D75D0" w:rsidP="00AF32B2">
      <w:pPr>
        <w:pStyle w:val="berschrift4"/>
      </w:pPr>
      <w:r w:rsidRPr="00AF32B2">
        <w:t>3.3.31.30 Gesamtprädikat der Entscheidungskonsistenz</w:t>
      </w:r>
    </w:p>
    <w:p w:rsidR="003D75D0" w:rsidRDefault="003D75D0" w:rsidP="003D75D0">
      <w:pPr>
        <w:pStyle w:val="StandardWeb"/>
      </w:pPr>
      <w:r>
        <w:t>Das erweiterte Konsistenzprädikat lautet</w:t>
      </w:r>
    </w:p>
    <w:p w:rsidR="003D75D0" w:rsidRDefault="003D75D0" w:rsidP="003D75D0">
      <w:pPr>
        <w:pStyle w:val="StandardWeb"/>
      </w:pPr>
      <w:r>
        <w:lastRenderedPageBreak/>
        <w:t>[</w:t>
      </w:r>
      <w:r>
        <w:br/>
        <w:t>\operatorname{EKon}</w:t>
      </w:r>
      <w:r>
        <w:rPr>
          <w:rStyle w:val="Hervorhebung"/>
        </w:rPr>
        <w:t>{F}:</w:t>
      </w:r>
      <w:r>
        <w:rPr>
          <w:i/>
          <w:iCs/>
        </w:rPr>
        <w:br/>
      </w:r>
      <w:r>
        <w:rPr>
          <w:rStyle w:val="Hervorhebung"/>
        </w:rPr>
        <w:t>\mathfrak{C}</w:t>
      </w:r>
      <w:r>
        <w:t>{F}</w:t>
      </w:r>
      <w:r>
        <w:br/>
        <w:t>\rightarrow</w:t>
      </w:r>
      <w:r>
        <w:br/>
        <w:t>{0,1}.</w:t>
      </w:r>
      <w:r>
        <w:br/>
        <w:t>\tag{3.5633}</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\operatorname{EKon}_{F}:\mathfrak{C}_{F}\rightarrow\{0,1\}\qquad\text{(3.5633)}</w:t>
      </w:r>
    </w:p>
    <w:p w:rsidR="003D75D0" w:rsidRDefault="003D75D0" w:rsidP="003D75D0">
      <w:pPr>
        <w:pStyle w:val="StandardWeb"/>
      </w:pPr>
      <w:r>
        <w:t>Es nimmt den Wert eins an, wenn:</w:t>
      </w:r>
    </w:p>
    <w:p w:rsidR="003D75D0" w:rsidRDefault="003D75D0" w:rsidP="00632D23">
      <w:pPr>
        <w:pStyle w:val="StandardWeb"/>
        <w:numPr>
          <w:ilvl w:val="0"/>
          <w:numId w:val="193"/>
        </w:numPr>
      </w:pPr>
      <w:r>
        <w:t>die Klassen vollständig und disjunkt sind,</w:t>
      </w:r>
    </w:p>
    <w:p w:rsidR="003D75D0" w:rsidRDefault="003D75D0" w:rsidP="00632D23">
      <w:pPr>
        <w:pStyle w:val="StandardWeb"/>
        <w:numPr>
          <w:ilvl w:val="0"/>
          <w:numId w:val="193"/>
        </w:numPr>
      </w:pPr>
      <w:r>
        <w:t>Schwellenwerte skalenkonsistent transformiert werden,</w:t>
      </w:r>
    </w:p>
    <w:p w:rsidR="003D75D0" w:rsidRDefault="003D75D0" w:rsidP="00632D23">
      <w:pPr>
        <w:pStyle w:val="StandardWeb"/>
        <w:numPr>
          <w:ilvl w:val="0"/>
          <w:numId w:val="193"/>
        </w:numPr>
      </w:pPr>
      <w:r>
        <w:t>Unsicherheiten berücksichtigt sind,</w:t>
      </w:r>
    </w:p>
    <w:p w:rsidR="003D75D0" w:rsidRDefault="003D75D0" w:rsidP="00632D23">
      <w:pPr>
        <w:pStyle w:val="StandardWeb"/>
        <w:numPr>
          <w:ilvl w:val="0"/>
          <w:numId w:val="193"/>
        </w:numPr>
      </w:pPr>
      <w:r>
        <w:t>Entscheidungsregeln monotoniekonsistent sind,</w:t>
      </w:r>
    </w:p>
    <w:p w:rsidR="003D75D0" w:rsidRDefault="003D75D0" w:rsidP="00632D23">
      <w:pPr>
        <w:pStyle w:val="StandardWeb"/>
        <w:numPr>
          <w:ilvl w:val="0"/>
          <w:numId w:val="193"/>
        </w:numPr>
      </w:pPr>
      <w:r>
        <w:t>logisch gekoppelte Schwellenwerte geordnet sind,</w:t>
      </w:r>
    </w:p>
    <w:p w:rsidR="003D75D0" w:rsidRDefault="003D75D0" w:rsidP="00632D23">
      <w:pPr>
        <w:pStyle w:val="StandardWeb"/>
        <w:numPr>
          <w:ilvl w:val="0"/>
          <w:numId w:val="193"/>
        </w:numPr>
      </w:pPr>
      <w:r>
        <w:t>Fehlerkosten dokumentiert sind,</w:t>
      </w:r>
    </w:p>
    <w:p w:rsidR="003D75D0" w:rsidRDefault="003D75D0" w:rsidP="00632D23">
      <w:pPr>
        <w:pStyle w:val="StandardWeb"/>
        <w:numPr>
          <w:ilvl w:val="0"/>
          <w:numId w:val="193"/>
        </w:numPr>
      </w:pPr>
      <w:r>
        <w:t>keine zirkuläre Kalibrierung vorliegt.</w:t>
      </w:r>
    </w:p>
    <w:p w:rsidR="003D75D0" w:rsidRDefault="003D75D0" w:rsidP="003D75D0">
      <w:pPr>
        <w:pStyle w:val="StandardWeb"/>
      </w:pPr>
      <w:r>
        <w:t>Formal schreibe ich</w:t>
      </w:r>
    </w:p>
    <w:p w:rsidR="003D75D0" w:rsidRDefault="003D75D0" w:rsidP="003D75D0">
      <w:pPr>
        <w:pStyle w:val="berschrift1"/>
      </w:pPr>
      <w:r>
        <w:t>[</w:t>
      </w:r>
      <w:r>
        <w:br/>
        <w:t>\operatorname{EKon}</w:t>
      </w:r>
      <w:r>
        <w:rPr>
          <w:rStyle w:val="Hervorhebung"/>
        </w:rPr>
        <w:t>{F}</w:t>
      </w:r>
      <w:r>
        <w:rPr>
          <w:i/>
          <w:iCs/>
        </w:rPr>
        <w:br/>
      </w:r>
      <w:r>
        <w:rPr>
          <w:rStyle w:val="Hervorhebung"/>
        </w:rPr>
        <w:t>\left(</w:t>
      </w:r>
      <w:r>
        <w:rPr>
          <w:i/>
          <w:iCs/>
        </w:rPr>
        <w:br/>
      </w:r>
      <w:r>
        <w:rPr>
          <w:rStyle w:val="Hervorhebung"/>
        </w:rPr>
        <w:t>\mathfrak{C}</w:t>
      </w:r>
      <w:r>
        <w:t>{F}</w:t>
      </w:r>
      <w:r>
        <w:br/>
        <w:t>\right)</w:t>
      </w:r>
    </w:p>
    <w:p w:rsidR="003D75D0" w:rsidRDefault="003D75D0" w:rsidP="00632D23">
      <w:pPr>
        <w:numPr>
          <w:ilvl w:val="0"/>
          <w:numId w:val="194"/>
        </w:numPr>
        <w:spacing w:before="100" w:beforeAutospacing="1" w:after="100" w:afterAutospacing="1"/>
      </w:pPr>
    </w:p>
    <w:p w:rsidR="003D75D0" w:rsidRDefault="003D75D0" w:rsidP="003D75D0">
      <w:pPr>
        <w:pStyle w:val="StandardWeb"/>
      </w:pPr>
      <w:r>
        <w:t>\tag{3.5634}</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\operatorname{EKon}_{F}\left(\mathfrak{C}_{F}\right)=1\qquad\text{(3.5634)}</w:t>
      </w:r>
    </w:p>
    <w:p w:rsidR="003D75D0" w:rsidRDefault="003D75D0" w:rsidP="003D75D0">
      <w:pPr>
        <w:pStyle w:val="StandardWeb"/>
      </w:pPr>
      <w:r>
        <w:t>Eine zusammengesetzte Bedingung lautet</w:t>
      </w:r>
    </w:p>
    <w:p w:rsidR="003D75D0" w:rsidRDefault="003D75D0" w:rsidP="003D75D0">
      <w:pPr>
        <w:pStyle w:val="berschrift1"/>
      </w:pPr>
      <w:r>
        <w:t>[</w:t>
      </w:r>
      <w:r>
        <w:br/>
        <w:t>\operatorname{EKon}_{F}</w:t>
      </w:r>
    </w:p>
    <w:p w:rsidR="003D75D0" w:rsidRDefault="003D75D0" w:rsidP="003D75D0">
      <w:pPr>
        <w:pStyle w:val="StandardWeb"/>
      </w:pPr>
      <w:r>
        <w:lastRenderedPageBreak/>
        <w:t>1</w:t>
      </w:r>
      <w:r>
        <w:br/>
        <w:t>\iff</w:t>
      </w:r>
      <w:r>
        <w:br/>
        <w:t>C_{\mathrm{part}}</w:t>
      </w:r>
      <w:r>
        <w:br/>
        <w:t>\land</w:t>
      </w:r>
      <w:r>
        <w:br/>
        <w:t>C_{\mathrm{skala}}</w:t>
      </w:r>
      <w:r>
        <w:br/>
        <w:t>\land</w:t>
      </w:r>
      <w:r>
        <w:br/>
        <w:t>C_{\mathrm{unc}}</w:t>
      </w:r>
      <w:r>
        <w:br/>
        <w:t>\land</w:t>
      </w:r>
      <w:r>
        <w:br/>
        <w:t>C_{\mathrm{mono}}</w:t>
      </w:r>
      <w:r>
        <w:br/>
        <w:t>\land</w:t>
      </w:r>
      <w:r>
        <w:br/>
        <w:t>C_{\mathrm{log}}</w:t>
      </w:r>
      <w:r>
        <w:br/>
        <w:t>\land</w:t>
      </w:r>
      <w:r>
        <w:br/>
        <w:t>C_{\mathrm{kosten}}.</w:t>
      </w:r>
      <w:r>
        <w:br/>
        <w:t>\tag{3.5635}</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\operatorname{EKon}_{F}=1\iff C_{\mathrm{part}}\land C_{\mathrm{skala}}\land C_{\mathrm{unc}}\land C_{\mathrm{mono}}\land C_{\mathrm{log}}\land C_{\mathrm{kosten}}\qquad\text{(3.5635)}</w:t>
      </w:r>
    </w:p>
    <w:p w:rsidR="003D75D0" w:rsidRPr="00AF32B2" w:rsidRDefault="003D75D0" w:rsidP="00AF32B2">
      <w:pPr>
        <w:pStyle w:val="berschrift4"/>
      </w:pPr>
      <w:r w:rsidRPr="00AF32B2">
        <w:t>3.3.31.31 Satz zur Robustheit einer binären Schwellenwertentscheidung</w:t>
      </w:r>
    </w:p>
    <w:p w:rsidR="003D75D0" w:rsidRDefault="003D75D0" w:rsidP="003D75D0">
      <w:pPr>
        <w:pStyle w:val="StandardWeb"/>
      </w:pPr>
      <w:r>
        <w:rPr>
          <w:rStyle w:val="Fett"/>
        </w:rPr>
        <w:t>Satz 3.3.13 – Robustheit einer binären Schwellenwertentscheidung</w:t>
      </w:r>
    </w:p>
    <w:p w:rsidR="003D75D0" w:rsidRDefault="003D75D0" w:rsidP="003D75D0">
      <w:pPr>
        <w:pStyle w:val="StandardWeb"/>
      </w:pPr>
      <w:r>
        <w:t>Sei</w:t>
      </w:r>
    </w:p>
    <w:p w:rsidR="003D75D0" w:rsidRDefault="003D75D0" w:rsidP="003D75D0">
      <w:pPr>
        <w:pStyle w:val="berschrift1"/>
      </w:pPr>
      <w:r>
        <w:t>[</w:t>
      </w:r>
      <w:r>
        <w:br/>
        <w:t>\mathcal{C}_{F}(y;\tau)</w:t>
      </w:r>
    </w:p>
    <w:p w:rsidR="003D75D0" w:rsidRDefault="003D75D0" w:rsidP="003D75D0">
      <w:pPr>
        <w:pStyle w:val="StandardWeb"/>
      </w:pPr>
      <w:r>
        <w:t>\mathbf{1}_{{y\geq\tau}}</w:t>
      </w:r>
      <w:r>
        <w:br/>
        <w:t>\tag{3.5636}</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\mathcal{C}_{F}(y;\tau)=\mathbf{1}_{\{y\geq\tau\}}\qquad\text{(3.5636)}</w:t>
      </w:r>
    </w:p>
    <w:p w:rsidR="003D75D0" w:rsidRDefault="003D75D0" w:rsidP="003D75D0">
      <w:pPr>
        <w:pStyle w:val="StandardWeb"/>
      </w:pPr>
      <w:r>
        <w:t>eine binäre Schwellenwertentscheidung. Für gestörte Werte</w:t>
      </w:r>
    </w:p>
    <w:p w:rsidR="003D75D0" w:rsidRDefault="003D75D0" w:rsidP="003D75D0">
      <w:pPr>
        <w:pStyle w:val="berschrift1"/>
      </w:pPr>
      <w:r>
        <w:t>[</w:t>
      </w:r>
      <w:r>
        <w:br/>
        <w:t>y^{\prime}</w:t>
      </w:r>
    </w:p>
    <w:p w:rsidR="003D75D0" w:rsidRDefault="003D75D0" w:rsidP="003D75D0">
      <w:pPr>
        <w:pStyle w:val="StandardWeb"/>
      </w:pPr>
      <w:r>
        <w:t>y+\Delta y</w:t>
      </w:r>
      <w:r>
        <w:br/>
        <w:t>\tag{3.5637}</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lastRenderedPageBreak/>
        <w:t>y^{\prime}=y+\Delta y\qquad\text{(3.5637)}</w:t>
      </w:r>
    </w:p>
    <w:p w:rsidR="003D75D0" w:rsidRDefault="003D75D0" w:rsidP="003D75D0">
      <w:pPr>
        <w:pStyle w:val="StandardWeb"/>
      </w:pPr>
      <w:r>
        <w:t>und</w:t>
      </w:r>
    </w:p>
    <w:p w:rsidR="003D75D0" w:rsidRDefault="003D75D0" w:rsidP="003D75D0">
      <w:pPr>
        <w:pStyle w:val="berschrift1"/>
      </w:pPr>
      <w:r>
        <w:t>[</w:t>
      </w:r>
      <w:r>
        <w:br/>
        <w:t>\tau^{\prime}</w:t>
      </w:r>
    </w:p>
    <w:p w:rsidR="003D75D0" w:rsidRDefault="003D75D0" w:rsidP="003D75D0">
      <w:pPr>
        <w:pStyle w:val="StandardWeb"/>
      </w:pPr>
      <w:r>
        <w:t>\tau+\Delta\tau</w:t>
      </w:r>
      <w:r>
        <w:br/>
        <w:t>\tag{3.5638}</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\tau^{\prime}=\tau+\Delta\tau\qquad\text{(3.5638)}</w:t>
      </w:r>
    </w:p>
    <w:p w:rsidR="003D75D0" w:rsidRDefault="003D75D0" w:rsidP="003D75D0">
      <w:pPr>
        <w:pStyle w:val="StandardWeb"/>
      </w:pPr>
      <w:r>
        <w:t>bleibt die Entscheidung unverändert, wenn</w:t>
      </w:r>
    </w:p>
    <w:p w:rsidR="003D75D0" w:rsidRDefault="003D75D0" w:rsidP="003D75D0">
      <w:pPr>
        <w:pStyle w:val="StandardWeb"/>
      </w:pPr>
      <w:r>
        <w:t>[</w:t>
      </w:r>
      <w:r>
        <w:br/>
        <w:t>|\Delta y|</w:t>
      </w:r>
      <w:r>
        <w:br/>
        <w:t>+</w:t>
      </w:r>
      <w:r>
        <w:br/>
        <w:t>|\Delta\tau|</w:t>
      </w:r>
      <w:r>
        <w:br/>
        <w:t>&lt;</w:t>
      </w:r>
      <w:r>
        <w:br/>
        <w:t>|y-\tau|.</w:t>
      </w:r>
      <w:r>
        <w:br/>
        <w:t>\tag{3.5639}</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|\Delta y|+|\Delta\tau|&lt;|y-\tau|\qquad\text{(3.5639)}</w:t>
      </w:r>
    </w:p>
    <w:p w:rsidR="003D75D0" w:rsidRDefault="003D75D0" w:rsidP="003D75D0">
      <w:pPr>
        <w:pStyle w:val="berschrift3"/>
      </w:pPr>
      <w:r>
        <w:t>Beweis</w:t>
      </w:r>
    </w:p>
    <w:p w:rsidR="003D75D0" w:rsidRDefault="003D75D0" w:rsidP="003D75D0">
      <w:pPr>
        <w:pStyle w:val="StandardWeb"/>
      </w:pPr>
      <w:r>
        <w:t>Es gilt</w:t>
      </w:r>
    </w:p>
    <w:p w:rsidR="003D75D0" w:rsidRDefault="003D75D0" w:rsidP="003D75D0">
      <w:pPr>
        <w:pStyle w:val="berschrift2"/>
      </w:pPr>
      <w:r>
        <w:t>[</w:t>
      </w:r>
      <w:r>
        <w:br/>
        <w:t>y^{\prime}</w:t>
      </w:r>
    </w:p>
    <w:p w:rsidR="003D75D0" w:rsidRDefault="003D75D0" w:rsidP="003D75D0">
      <w:pPr>
        <w:pStyle w:val="berschrift1"/>
      </w:pPr>
      <w:r>
        <w:t>\tau^{\prime}</w:t>
      </w:r>
    </w:p>
    <w:p w:rsidR="003D75D0" w:rsidRDefault="003D75D0" w:rsidP="003D75D0">
      <w:pPr>
        <w:pStyle w:val="StandardWeb"/>
      </w:pPr>
      <w:r>
        <w:t>(y-\tau)</w:t>
      </w:r>
      <w:r>
        <w:br/>
        <w:t>+</w:t>
      </w:r>
      <w:r>
        <w:br/>
        <w:t>(\Delta y-\Delta\tau).</w:t>
      </w:r>
      <w:r>
        <w:br/>
        <w:t>\tag{3.5640}</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y^{\prime}-\tau^{\prime}=(y-\tau)+(\Delta y-\Delta\tau)\qquad\text{(3.5640)}</w:t>
      </w:r>
    </w:p>
    <w:p w:rsidR="003D75D0" w:rsidRDefault="003D75D0" w:rsidP="003D75D0">
      <w:pPr>
        <w:pStyle w:val="StandardWeb"/>
      </w:pPr>
      <w:r>
        <w:lastRenderedPageBreak/>
        <w:t>Nach der Dreiecksungleichung gilt</w:t>
      </w:r>
    </w:p>
    <w:p w:rsidR="003D75D0" w:rsidRDefault="003D75D0" w:rsidP="003D75D0">
      <w:pPr>
        <w:pStyle w:val="StandardWeb"/>
      </w:pPr>
      <w:r>
        <w:t>[</w:t>
      </w:r>
      <w:r>
        <w:br/>
        <w:t>|\Delta y-\Delta\tau|</w:t>
      </w:r>
      <w:r>
        <w:br/>
        <w:t>\leq</w:t>
      </w:r>
      <w:r>
        <w:br/>
        <w:t>|\Delta y|</w:t>
      </w:r>
      <w:r>
        <w:br/>
        <w:t>+</w:t>
      </w:r>
      <w:r>
        <w:br/>
        <w:t>|\Delta\tau|.</w:t>
      </w:r>
      <w:r>
        <w:br/>
        <w:t>\tag{3.5641}</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|\Delta y-\Delta\tau|\leq|\Delta y|+|\Delta\tau|\qquad\text{(3.5641)}</w:t>
      </w:r>
    </w:p>
    <w:p w:rsidR="003D75D0" w:rsidRDefault="003D75D0" w:rsidP="003D75D0">
      <w:pPr>
        <w:pStyle w:val="StandardWeb"/>
      </w:pPr>
      <w:r>
        <w:t>Aus der Voraussetzung folgt</w:t>
      </w:r>
    </w:p>
    <w:p w:rsidR="003D75D0" w:rsidRDefault="003D75D0" w:rsidP="003D75D0">
      <w:pPr>
        <w:pStyle w:val="StandardWeb"/>
      </w:pPr>
      <w:r>
        <w:t>[</w:t>
      </w:r>
      <w:r>
        <w:br/>
        <w:t>|\Delta y-\Delta\tau|</w:t>
      </w:r>
      <w:r>
        <w:br/>
        <w:t>&lt;</w:t>
      </w:r>
      <w:r>
        <w:br/>
        <w:t>|y-\tau|.</w:t>
      </w:r>
      <w:r>
        <w:br/>
        <w:t>\tag{3.5642}</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|\Delta y-\Delta\tau|&lt;|y-\tau|\qquad\text{(3.5642)}</w:t>
      </w:r>
    </w:p>
    <w:p w:rsidR="003D75D0" w:rsidRDefault="003D75D0" w:rsidP="003D75D0">
      <w:pPr>
        <w:pStyle w:val="StandardWeb"/>
      </w:pPr>
      <w:r>
        <w:t>Damit kann die Störung den Wert (y-\tau) nicht über null hinweg verschieben. Folglich besitzen</w:t>
      </w:r>
    </w:p>
    <w:p w:rsidR="003D75D0" w:rsidRDefault="003D75D0" w:rsidP="003D75D0">
      <w:pPr>
        <w:pStyle w:val="StandardWeb"/>
      </w:pPr>
      <w:r>
        <w:t>[</w:t>
      </w:r>
      <w:r>
        <w:br/>
        <w:t>y-\tau</w:t>
      </w:r>
      <w:r>
        <w:br/>
        <w:t>\tag{3.5643}</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y-\tau\qquad\text{(3.5643)}</w:t>
      </w:r>
    </w:p>
    <w:p w:rsidR="003D75D0" w:rsidRDefault="003D75D0" w:rsidP="003D75D0">
      <w:pPr>
        <w:pStyle w:val="StandardWeb"/>
      </w:pPr>
      <w:r>
        <w:t>und</w:t>
      </w:r>
    </w:p>
    <w:p w:rsidR="003D75D0" w:rsidRDefault="003D75D0" w:rsidP="003D75D0">
      <w:pPr>
        <w:pStyle w:val="StandardWeb"/>
      </w:pPr>
      <w:r>
        <w:t>[</w:t>
      </w:r>
      <w:r>
        <w:br/>
        <w:t>y^{\prime}-\tau^{\prime}</w:t>
      </w:r>
      <w:r>
        <w:br/>
        <w:t>\tag{3.5644}</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y^{\prime}-\tau^{\prime}\qquad\text{(3.5644)}</w:t>
      </w:r>
    </w:p>
    <w:p w:rsidR="003D75D0" w:rsidRDefault="003D75D0" w:rsidP="003D75D0">
      <w:pPr>
        <w:pStyle w:val="StandardWeb"/>
      </w:pPr>
      <w:r>
        <w:t>dasselbe Vorzeichen.</w:t>
      </w:r>
    </w:p>
    <w:p w:rsidR="003D75D0" w:rsidRDefault="003D75D0" w:rsidP="003D75D0">
      <w:pPr>
        <w:pStyle w:val="StandardWeb"/>
      </w:pPr>
      <w:r>
        <w:lastRenderedPageBreak/>
        <w:t>Daher gilt</w:t>
      </w:r>
    </w:p>
    <w:p w:rsidR="003D75D0" w:rsidRDefault="003D75D0" w:rsidP="003D75D0">
      <w:pPr>
        <w:pStyle w:val="berschrift1"/>
      </w:pPr>
      <w:r>
        <w:t>[</w:t>
      </w:r>
      <w:r>
        <w:br/>
        <w:t>\mathcal{C}_{F}</w:t>
      </w:r>
      <w:r>
        <w:br/>
        <w:t>\left(</w:t>
      </w:r>
      <w:r>
        <w:br/>
        <w:t>y^{\prime};\tau^{\prime}</w:t>
      </w:r>
      <w:r>
        <w:br/>
        <w:t>\right)</w:t>
      </w:r>
    </w:p>
    <w:p w:rsidR="003D75D0" w:rsidRDefault="003D75D0" w:rsidP="003D75D0">
      <w:pPr>
        <w:pStyle w:val="StandardWeb"/>
      </w:pPr>
      <w:r>
        <w:t>\mathcal{C}_{F}(y;\tau).</w:t>
      </w:r>
      <w:r>
        <w:br/>
        <w:t>\tag{3.5645}</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\mathcal{C}_{F}\left(y^{\prime};\tau^{\prime}\right)=\mathcal{C}_{F}(y;\tau)\qquad\text{(3.5645)}</w:t>
      </w:r>
    </w:p>
    <w:p w:rsidR="003D75D0" w:rsidRDefault="003D75D0" w:rsidP="003D75D0">
      <w:pPr>
        <w:pStyle w:val="StandardWeb"/>
      </w:pPr>
      <w:r>
        <w:t>Damit ist die Robustheit der Entscheidung unter der angegebenen Störungsbedingung gezeigt. (\square)</w:t>
      </w:r>
    </w:p>
    <w:p w:rsidR="003D75D0" w:rsidRPr="00AF32B2" w:rsidRDefault="003D75D0" w:rsidP="00AF32B2">
      <w:pPr>
        <w:pStyle w:val="berschrift4"/>
      </w:pPr>
      <w:r w:rsidRPr="00AF32B2">
        <w:t>3.3.31.32 Reichweite des Entscheidungssatzes</w:t>
      </w:r>
    </w:p>
    <w:p w:rsidR="003D75D0" w:rsidRDefault="003D75D0" w:rsidP="003D75D0">
      <w:pPr>
        <w:pStyle w:val="StandardWeb"/>
      </w:pPr>
      <w:r>
        <w:t>Satz 3.3.13 gilt für eine einzelne binäre Schwellenwertregel. Er berücksichtigt nicht automatisch:</w:t>
      </w:r>
    </w:p>
    <w:p w:rsidR="003D75D0" w:rsidRDefault="003D75D0" w:rsidP="00632D23">
      <w:pPr>
        <w:pStyle w:val="StandardWeb"/>
        <w:numPr>
          <w:ilvl w:val="0"/>
          <w:numId w:val="195"/>
        </w:numPr>
      </w:pPr>
      <w:r>
        <w:t>mehrdimensionale Entscheidungsflächen,</w:t>
      </w:r>
    </w:p>
    <w:p w:rsidR="003D75D0" w:rsidRDefault="003D75D0" w:rsidP="00632D23">
      <w:pPr>
        <w:pStyle w:val="StandardWeb"/>
        <w:numPr>
          <w:ilvl w:val="0"/>
          <w:numId w:val="195"/>
        </w:numPr>
      </w:pPr>
      <w:r>
        <w:t>nicht monotone Entscheidungsregeln,</w:t>
      </w:r>
    </w:p>
    <w:p w:rsidR="003D75D0" w:rsidRDefault="003D75D0" w:rsidP="00632D23">
      <w:pPr>
        <w:pStyle w:val="StandardWeb"/>
        <w:numPr>
          <w:ilvl w:val="0"/>
          <w:numId w:val="195"/>
        </w:numPr>
      </w:pPr>
      <w:r>
        <w:t>mehrere gekoppelte Schwellenwerte,</w:t>
      </w:r>
    </w:p>
    <w:p w:rsidR="003D75D0" w:rsidRDefault="003D75D0" w:rsidP="00632D23">
      <w:pPr>
        <w:pStyle w:val="StandardWeb"/>
        <w:numPr>
          <w:ilvl w:val="0"/>
          <w:numId w:val="195"/>
        </w:numPr>
      </w:pPr>
      <w:r>
        <w:t>stochastische Schwellenwerte mit unbekannter Abhängigkeit,</w:t>
      </w:r>
    </w:p>
    <w:p w:rsidR="003D75D0" w:rsidRDefault="003D75D0" w:rsidP="00632D23">
      <w:pPr>
        <w:pStyle w:val="StandardWeb"/>
        <w:numPr>
          <w:ilvl w:val="0"/>
          <w:numId w:val="195"/>
        </w:numPr>
      </w:pPr>
      <w:r>
        <w:t>diskrete Strukturänderungen,</w:t>
      </w:r>
    </w:p>
    <w:p w:rsidR="003D75D0" w:rsidRDefault="003D75D0" w:rsidP="00632D23">
      <w:pPr>
        <w:pStyle w:val="StandardWeb"/>
        <w:numPr>
          <w:ilvl w:val="0"/>
          <w:numId w:val="195"/>
        </w:numPr>
      </w:pPr>
      <w:r>
        <w:t>normative Kostenänderungen.</w:t>
      </w:r>
    </w:p>
    <w:p w:rsidR="003D75D0" w:rsidRDefault="003D75D0" w:rsidP="003D75D0">
      <w:pPr>
        <w:pStyle w:val="StandardWeb"/>
      </w:pPr>
      <w:r>
        <w:t>Für eine mehrdimensionale Entscheidungsfunktion</w:t>
      </w:r>
    </w:p>
    <w:p w:rsidR="003D75D0" w:rsidRDefault="003D75D0" w:rsidP="003D75D0">
      <w:pPr>
        <w:pStyle w:val="StandardWeb"/>
      </w:pPr>
      <w:r>
        <w:t>[</w:t>
      </w:r>
      <w:r>
        <w:br/>
        <w:t>g(\mathbf{y})</w:t>
      </w:r>
      <w:r>
        <w:br/>
        <w:t>\geq</w:t>
      </w:r>
      <w:r>
        <w:br/>
        <w:t>0</w:t>
      </w:r>
      <w:r>
        <w:br/>
        <w:t>\tag{3.5646}</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g(\mathbf{y})\geq0\qquad\text{(3.5646)}</w:t>
      </w:r>
    </w:p>
    <w:p w:rsidR="003D75D0" w:rsidRDefault="003D75D0" w:rsidP="003D75D0">
      <w:pPr>
        <w:pStyle w:val="StandardWeb"/>
      </w:pPr>
      <w:r>
        <w:t>muss der Abstand zur Entscheidungsfläche</w:t>
      </w:r>
    </w:p>
    <w:p w:rsidR="003D75D0" w:rsidRDefault="003D75D0" w:rsidP="003D75D0">
      <w:pPr>
        <w:pStyle w:val="berschrift1"/>
      </w:pPr>
      <w:r>
        <w:lastRenderedPageBreak/>
        <w:t>[</w:t>
      </w:r>
      <w:r>
        <w:br/>
        <w:t>\partial\mathcal{R}</w:t>
      </w:r>
    </w:p>
    <w:p w:rsidR="003D75D0" w:rsidRDefault="003D75D0" w:rsidP="003D75D0">
      <w:pPr>
        <w:pStyle w:val="StandardWeb"/>
      </w:pPr>
      <w:r>
        <w:t>\left{</w:t>
      </w:r>
      <w:r>
        <w:br/>
        <w:t>\mathbf{y}</w:t>
      </w:r>
      <w:r>
        <w:br/>
        <w:t>\mid</w:t>
      </w:r>
      <w:r>
        <w:br/>
        <w:t>g(\mathbf{y})=0</w:t>
      </w:r>
      <w:r>
        <w:br/>
        <w:t>\right}</w:t>
      </w:r>
      <w:r>
        <w:br/>
        <w:t>\tag{3.5647}</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\partial\mathcal{R}=\left\{\mathbf{y}\mid g(\mathbf{y})=0\right\}\qquad\text{(3.5647)}</w:t>
      </w:r>
    </w:p>
    <w:p w:rsidR="003D75D0" w:rsidRDefault="003D75D0" w:rsidP="003D75D0">
      <w:pPr>
        <w:pStyle w:val="StandardWeb"/>
      </w:pPr>
      <w:r>
        <w:t>gesondert bestimmt werden.</w:t>
      </w:r>
    </w:p>
    <w:p w:rsidR="003D75D0" w:rsidRPr="00AF32B2" w:rsidRDefault="003D75D0" w:rsidP="00AF32B2">
      <w:pPr>
        <w:pStyle w:val="berschrift4"/>
      </w:pPr>
      <w:r w:rsidRPr="00AF32B2">
        <w:t>3.3.31.33 Repository-Dokumentation einer Entscheidung</w:t>
      </w:r>
    </w:p>
    <w:p w:rsidR="003D75D0" w:rsidRDefault="003D75D0" w:rsidP="003D75D0">
      <w:pPr>
        <w:pStyle w:val="StandardWeb"/>
      </w:pPr>
      <w:r>
        <w:t>Eine Entscheidungsabhängigkeit kann schematisch gespeichert werden als</w:t>
      </w:r>
    </w:p>
    <w:p w:rsidR="003D75D0" w:rsidRDefault="003D75D0" w:rsidP="003D75D0">
      <w:pPr>
        <w:pStyle w:val="StandardWeb"/>
      </w:pPr>
      <w:r>
        <w:t>[</w:t>
      </w:r>
      <w:r>
        <w:br/>
        <w:t>\operatorname{DecDep}</w:t>
      </w:r>
      <w:r>
        <w:br/>
        <w:t>\left(</w:t>
      </w:r>
      <w:r>
        <w:br/>
        <w:t>Y,</w:t>
      </w:r>
      <w:r>
        <w:br/>
        <w:t>\tau,</w:t>
      </w:r>
      <w:r>
        <w:br/>
        <w:t>\mathcal{C}_{F},</w:t>
      </w:r>
      <w:r>
        <w:br/>
        <w:t>C</w:t>
      </w:r>
      <w:r>
        <w:br/>
        <w:t>\right).</w:t>
      </w:r>
      <w:r>
        <w:br/>
        <w:t>\tag{3.5648}</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\operatorname{DecDep}\left(Y,\tau,\mathcal{C}_{F},C\right)\qquad\text{(3.5648)}</w:t>
      </w:r>
    </w:p>
    <w:p w:rsidR="003D75D0" w:rsidRDefault="003D75D0" w:rsidP="003D75D0">
      <w:pPr>
        <w:pStyle w:val="StandardWeb"/>
      </w:pPr>
      <w:r>
        <w:t>Eine Unsicherheitsentscheidung lautet</w:t>
      </w:r>
    </w:p>
    <w:p w:rsidR="003D75D0" w:rsidRDefault="003D75D0" w:rsidP="003D75D0">
      <w:pPr>
        <w:pStyle w:val="StandardWeb"/>
      </w:pPr>
      <w:r>
        <w:t>[</w:t>
      </w:r>
      <w:r>
        <w:br/>
        <w:t>\operatorname{UncDec}</w:t>
      </w:r>
      <w:r>
        <w:br/>
        <w:t>\left(</w:t>
      </w:r>
      <w:r>
        <w:br/>
        <w:t>\mathcal{P}_{Y},</w:t>
      </w:r>
      <w:r>
        <w:br/>
        <w:t>\tau,</w:t>
      </w:r>
      <w:r>
        <w:br/>
        <w:t>\alpha,</w:t>
      </w:r>
      <w:r>
        <w:br/>
        <w:t>C</w:t>
      </w:r>
      <w:r>
        <w:br/>
        <w:t>\right).</w:t>
      </w:r>
      <w:r>
        <w:br/>
        <w:t>\tag{3.5649}</w:t>
      </w:r>
      <w:r>
        <w:br/>
        <w:t>]</w:t>
      </w:r>
    </w:p>
    <w:p w:rsidR="003D75D0" w:rsidRDefault="003D75D0" w:rsidP="003D75D0">
      <w:pPr>
        <w:pStyle w:val="StandardWeb"/>
      </w:pPr>
      <w:r>
        <w:rPr>
          <w:rStyle w:val="Fett"/>
        </w:rPr>
        <w:lastRenderedPageBreak/>
        <w:t>Word-LaTeX</w:t>
      </w:r>
    </w:p>
    <w:p w:rsidR="003D75D0" w:rsidRDefault="003D75D0" w:rsidP="003D75D0">
      <w:pPr>
        <w:pStyle w:val="HTMLVorformatiert"/>
        <w:rPr>
          <w:rStyle w:val="HTMLCode"/>
        </w:rPr>
      </w:pPr>
      <w:r>
        <w:rPr>
          <w:rStyle w:val="HTMLCode"/>
        </w:rPr>
        <w:t>\operatorname{UncDec}\left(\mathcal{P}_{Y},\tau,\alpha,C\right)\qquad\text{(3.5649)}</w:t>
      </w:r>
    </w:p>
    <w:p w:rsidR="003D75D0" w:rsidRDefault="003D75D0" w:rsidP="003D75D0">
      <w:pPr>
        <w:pStyle w:val="StandardWeb"/>
      </w:pPr>
      <w:r>
        <w:t>Eine Kostenentscheidung lautet</w:t>
      </w:r>
    </w:p>
    <w:p w:rsidR="003D75D0" w:rsidRDefault="003D75D0" w:rsidP="003D75D0">
      <w:pPr>
        <w:pStyle w:val="StandardWeb"/>
      </w:pPr>
      <w:r>
        <w:t>[</w:t>
      </w:r>
      <w:r>
        <w:br/>
        <w:t>\operatorname{CostDec}</w:t>
      </w:r>
      <w:r>
        <w:br/>
        <w:t>\left(</w:t>
      </w:r>
      <w:r>
        <w:br/>
        <w:t>\mathbf{K},</w:t>
      </w:r>
      <w:r>
        <w:br/>
        <w:t>\tau^{\ast},</w:t>
      </w:r>
      <w:r>
        <w:br/>
        <w:t>\mathbb{E}[K]</w:t>
      </w:r>
      <w:r>
        <w:br/>
        <w:t>\right).</w:t>
      </w:r>
      <w:r>
        <w:br/>
        <w:t>\tag{3.5650}</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\operatorname{CostDec}\left(\mathbf{K},\tau^{\ast},\mathbb{E}[K]\right)\qquad\text{(3.5650)}</w:t>
      </w:r>
    </w:p>
    <w:p w:rsidR="003D75D0" w:rsidRDefault="003D75D0" w:rsidP="003D75D0">
      <w:pPr>
        <w:pStyle w:val="StandardWeb"/>
      </w:pPr>
      <w:r>
        <w:t>Zusätzlich müssen dokumentiert werden:</w:t>
      </w:r>
    </w:p>
    <w:p w:rsidR="003D75D0" w:rsidRDefault="003D75D0" w:rsidP="00632D23">
      <w:pPr>
        <w:pStyle w:val="StandardWeb"/>
        <w:numPr>
          <w:ilvl w:val="0"/>
          <w:numId w:val="196"/>
        </w:numPr>
      </w:pPr>
      <w:r>
        <w:t>Herkunft des Entscheidungswerts,</w:t>
      </w:r>
    </w:p>
    <w:p w:rsidR="003D75D0" w:rsidRDefault="003D75D0" w:rsidP="00632D23">
      <w:pPr>
        <w:pStyle w:val="StandardWeb"/>
        <w:numPr>
          <w:ilvl w:val="0"/>
          <w:numId w:val="196"/>
        </w:numPr>
      </w:pPr>
      <w:r>
        <w:t>Skala und Einheit,</w:t>
      </w:r>
    </w:p>
    <w:p w:rsidR="003D75D0" w:rsidRDefault="003D75D0" w:rsidP="00632D23">
      <w:pPr>
        <w:pStyle w:val="StandardWeb"/>
        <w:numPr>
          <w:ilvl w:val="0"/>
          <w:numId w:val="196"/>
        </w:numPr>
      </w:pPr>
      <w:r>
        <w:t>Schwellenwert und seine Begründung,</w:t>
      </w:r>
    </w:p>
    <w:p w:rsidR="003D75D0" w:rsidRDefault="003D75D0" w:rsidP="00632D23">
      <w:pPr>
        <w:pStyle w:val="StandardWeb"/>
        <w:numPr>
          <w:ilvl w:val="0"/>
          <w:numId w:val="196"/>
        </w:numPr>
      </w:pPr>
      <w:r>
        <w:t>Unsicherheit von Wert und Schwellenwert,</w:t>
      </w:r>
    </w:p>
    <w:p w:rsidR="003D75D0" w:rsidRDefault="003D75D0" w:rsidP="00632D23">
      <w:pPr>
        <w:pStyle w:val="StandardWeb"/>
        <w:numPr>
          <w:ilvl w:val="0"/>
          <w:numId w:val="196"/>
        </w:numPr>
      </w:pPr>
      <w:r>
        <w:t>Klassenpartition,</w:t>
      </w:r>
    </w:p>
    <w:p w:rsidR="003D75D0" w:rsidRDefault="003D75D0" w:rsidP="00632D23">
      <w:pPr>
        <w:pStyle w:val="StandardWeb"/>
        <w:numPr>
          <w:ilvl w:val="0"/>
          <w:numId w:val="196"/>
        </w:numPr>
      </w:pPr>
      <w:r>
        <w:t>Fehlerraten,</w:t>
      </w:r>
    </w:p>
    <w:p w:rsidR="003D75D0" w:rsidRDefault="003D75D0" w:rsidP="00632D23">
      <w:pPr>
        <w:pStyle w:val="StandardWeb"/>
        <w:numPr>
          <w:ilvl w:val="0"/>
          <w:numId w:val="196"/>
        </w:numPr>
      </w:pPr>
      <w:r>
        <w:t>Fehlerkosten,</w:t>
      </w:r>
    </w:p>
    <w:p w:rsidR="003D75D0" w:rsidRDefault="003D75D0" w:rsidP="00632D23">
      <w:pPr>
        <w:pStyle w:val="StandardWeb"/>
        <w:numPr>
          <w:ilvl w:val="0"/>
          <w:numId w:val="196"/>
        </w:numPr>
      </w:pPr>
      <w:r>
        <w:t>Kalibrierungsdaten,</w:t>
      </w:r>
    </w:p>
    <w:p w:rsidR="003D75D0" w:rsidRDefault="003D75D0" w:rsidP="00632D23">
      <w:pPr>
        <w:pStyle w:val="StandardWeb"/>
        <w:numPr>
          <w:ilvl w:val="0"/>
          <w:numId w:val="196"/>
        </w:numPr>
      </w:pPr>
      <w:r>
        <w:t>Entscheidungsstabilitätsradius,</w:t>
      </w:r>
    </w:p>
    <w:p w:rsidR="003D75D0" w:rsidRDefault="003D75D0" w:rsidP="00632D23">
      <w:pPr>
        <w:pStyle w:val="StandardWeb"/>
        <w:numPr>
          <w:ilvl w:val="0"/>
          <w:numId w:val="196"/>
        </w:numPr>
      </w:pPr>
      <w:r>
        <w:t>Entscheidungs- und Konsistenzklasse.</w:t>
      </w:r>
    </w:p>
    <w:p w:rsidR="003D75D0" w:rsidRDefault="003D75D0" w:rsidP="003D75D0">
      <w:pPr>
        <w:pStyle w:val="StandardWeb"/>
      </w:pPr>
      <w:r>
        <w:rPr>
          <w:rStyle w:val="Fett"/>
        </w:rPr>
        <w:t>Eigenleistung des FRZK</w:t>
      </w:r>
    </w:p>
    <w:p w:rsidR="003D75D0" w:rsidRDefault="003D75D0" w:rsidP="003D75D0">
      <w:pPr>
        <w:pStyle w:val="StandardWeb"/>
      </w:pPr>
      <w:r>
        <w:t>Ich verknüpfe jede diskrete FRZK-Aussage mit der vollständigen Entscheidungsregel, aus der sie hervorgeht. Dadurch bleibt erkennbar, ob eine Klassenzuordnung empirisch eindeutig, grenznah, kostenabhängig oder logisch widersprüchlich ist.</w:t>
      </w:r>
    </w:p>
    <w:p w:rsidR="003D75D0" w:rsidRPr="00AF32B2" w:rsidRDefault="003D75D0" w:rsidP="00AF32B2">
      <w:pPr>
        <w:pStyle w:val="berschrift4"/>
      </w:pPr>
      <w:r w:rsidRPr="00AF32B2">
        <w:t>3.3.31.34 Ergebnis der Entscheidungs- und Schwellenwertprüfung</w:t>
      </w:r>
    </w:p>
    <w:p w:rsidR="003D75D0" w:rsidRDefault="003D75D0" w:rsidP="003D75D0">
      <w:pPr>
        <w:pStyle w:val="StandardWeb"/>
      </w:pPr>
      <w:r>
        <w:t>Die Prüfung zeigt, dass eine diskrete Entscheidung nicht allein aus dem Vergleich eines Punktwerts mit einem Schwellenwert bestehen darf. Ebenso müssen Unsicherheit, Skala, Stabilität, Kosten und logische Beziehungen zu weiteren Entscheidungen berücksichtigt werden.</w:t>
      </w:r>
    </w:p>
    <w:p w:rsidR="003D75D0" w:rsidRDefault="003D75D0" w:rsidP="003D75D0">
      <w:pPr>
        <w:pStyle w:val="StandardWeb"/>
      </w:pPr>
      <w:r>
        <w:t>Ein FRZK-Entscheidungsergebnis kann:</w:t>
      </w:r>
    </w:p>
    <w:p w:rsidR="003D75D0" w:rsidRDefault="003D75D0" w:rsidP="00632D23">
      <w:pPr>
        <w:pStyle w:val="StandardWeb"/>
        <w:numPr>
          <w:ilvl w:val="0"/>
          <w:numId w:val="197"/>
        </w:numPr>
      </w:pPr>
      <w:r>
        <w:t>eindeutig,</w:t>
      </w:r>
    </w:p>
    <w:p w:rsidR="003D75D0" w:rsidRDefault="003D75D0" w:rsidP="00632D23">
      <w:pPr>
        <w:pStyle w:val="StandardWeb"/>
        <w:numPr>
          <w:ilvl w:val="0"/>
          <w:numId w:val="197"/>
        </w:numPr>
      </w:pPr>
      <w:r>
        <w:t>grenznah,</w:t>
      </w:r>
    </w:p>
    <w:p w:rsidR="003D75D0" w:rsidRDefault="003D75D0" w:rsidP="00632D23">
      <w:pPr>
        <w:pStyle w:val="StandardWeb"/>
        <w:numPr>
          <w:ilvl w:val="0"/>
          <w:numId w:val="197"/>
        </w:numPr>
      </w:pPr>
      <w:r>
        <w:lastRenderedPageBreak/>
        <w:t>probabilistisch unsicher,</w:t>
      </w:r>
    </w:p>
    <w:p w:rsidR="003D75D0" w:rsidRDefault="003D75D0" w:rsidP="00632D23">
      <w:pPr>
        <w:pStyle w:val="StandardWeb"/>
        <w:numPr>
          <w:ilvl w:val="0"/>
          <w:numId w:val="197"/>
        </w:numPr>
      </w:pPr>
      <w:r>
        <w:t>schwellenwertempfindlich,</w:t>
      </w:r>
    </w:p>
    <w:p w:rsidR="003D75D0" w:rsidRDefault="003D75D0" w:rsidP="00632D23">
      <w:pPr>
        <w:pStyle w:val="StandardWeb"/>
        <w:numPr>
          <w:ilvl w:val="0"/>
          <w:numId w:val="197"/>
        </w:numPr>
      </w:pPr>
      <w:r>
        <w:t>kostenabhängig,</w:t>
      </w:r>
    </w:p>
    <w:p w:rsidR="003D75D0" w:rsidRDefault="003D75D0" w:rsidP="00632D23">
      <w:pPr>
        <w:pStyle w:val="StandardWeb"/>
        <w:numPr>
          <w:ilvl w:val="0"/>
          <w:numId w:val="197"/>
        </w:numPr>
      </w:pPr>
      <w:r>
        <w:t>logisch widersprüchlich</w:t>
      </w:r>
    </w:p>
    <w:p w:rsidR="003D75D0" w:rsidRDefault="003D75D0" w:rsidP="003D75D0">
      <w:pPr>
        <w:pStyle w:val="StandardWeb"/>
      </w:pPr>
      <w:r>
        <w:t>sein.</w:t>
      </w:r>
    </w:p>
    <w:p w:rsidR="003D75D0" w:rsidRDefault="003D75D0" w:rsidP="003D75D0">
      <w:pPr>
        <w:pStyle w:val="StandardWeb"/>
      </w:pPr>
      <w:r>
        <w:t>Besonders zu beachten ist:</w:t>
      </w:r>
    </w:p>
    <w:p w:rsidR="003D75D0" w:rsidRDefault="003D75D0" w:rsidP="00632D23">
      <w:pPr>
        <w:pStyle w:val="StandardWeb"/>
        <w:numPr>
          <w:ilvl w:val="0"/>
          <w:numId w:val="198"/>
        </w:numPr>
      </w:pPr>
      <w:r>
        <w:t>Ein Unsicherheitsintervall, das eine Entscheidungsgrenze überdeckt, erlaubt keine eindeutig abgesicherte binäre Zuordnung.</w:t>
      </w:r>
    </w:p>
    <w:p w:rsidR="003D75D0" w:rsidRDefault="003D75D0" w:rsidP="00632D23">
      <w:pPr>
        <w:pStyle w:val="StandardWeb"/>
        <w:numPr>
          <w:ilvl w:val="0"/>
          <w:numId w:val="198"/>
        </w:numPr>
      </w:pPr>
      <w:r>
        <w:t>Schwellenwerte müssen bei Einheiten- und Skalenwechseln gemeinsam mit den Werten transformiert werden.</w:t>
      </w:r>
    </w:p>
    <w:p w:rsidR="003D75D0" w:rsidRDefault="003D75D0" w:rsidP="00632D23">
      <w:pPr>
        <w:pStyle w:val="StandardWeb"/>
        <w:numPr>
          <w:ilvl w:val="0"/>
          <w:numId w:val="198"/>
        </w:numPr>
      </w:pPr>
      <w:r>
        <w:t>Datenabhängige Schwellenwerte dürfen nicht mit denselben Daten unkontrolliert kalibriert und geprüft werden.</w:t>
      </w:r>
    </w:p>
    <w:p w:rsidR="003D75D0" w:rsidRDefault="003D75D0" w:rsidP="00632D23">
      <w:pPr>
        <w:pStyle w:val="StandardWeb"/>
        <w:numPr>
          <w:ilvl w:val="0"/>
          <w:numId w:val="198"/>
        </w:numPr>
      </w:pPr>
      <w:r>
        <w:t>Asymmetrische Fehlentscheidungskosten beeinflussen die optimale Schwellenwertlage.</w:t>
      </w:r>
    </w:p>
    <w:p w:rsidR="003D75D0" w:rsidRDefault="003D75D0" w:rsidP="00632D23">
      <w:pPr>
        <w:pStyle w:val="StandardWeb"/>
        <w:numPr>
          <w:ilvl w:val="0"/>
          <w:numId w:val="198"/>
        </w:numPr>
      </w:pPr>
      <w:r>
        <w:t>Logisch gekoppelte Aussagen benötigen eine konsistente Schwellenwerthierarchie.</w:t>
      </w:r>
    </w:p>
    <w:p w:rsidR="003D75D0" w:rsidRDefault="003D75D0" w:rsidP="00632D23">
      <w:pPr>
        <w:pStyle w:val="StandardWeb"/>
        <w:numPr>
          <w:ilvl w:val="0"/>
          <w:numId w:val="198"/>
        </w:numPr>
      </w:pPr>
      <w:r>
        <w:t>Eine Entscheidung nahe der Grenze kann trotz geringer numerischer Unsicherheit instabil sein.</w:t>
      </w:r>
    </w:p>
    <w:p w:rsidR="003D75D0" w:rsidRDefault="003D75D0" w:rsidP="00632D23">
      <w:pPr>
        <w:pStyle w:val="StandardWeb"/>
        <w:numPr>
          <w:ilvl w:val="0"/>
          <w:numId w:val="198"/>
        </w:numPr>
      </w:pPr>
      <w:r>
        <w:t>Ein nicht quantifizierter Schwellenwertfehler darf nicht als null angenommen werden [58, 59, 79].</w:t>
      </w:r>
    </w:p>
    <w:p w:rsidR="003D75D0" w:rsidRDefault="003D75D0" w:rsidP="003D75D0">
      <w:pPr>
        <w:pStyle w:val="StandardWeb"/>
      </w:pPr>
      <w:r>
        <w:rPr>
          <w:rStyle w:val="Fett"/>
        </w:rPr>
        <w:t>Eigenleistung des FRZK</w:t>
      </w:r>
    </w:p>
    <w:p w:rsidR="003D75D0" w:rsidRDefault="003D75D0" w:rsidP="003D75D0">
      <w:pPr>
        <w:pStyle w:val="StandardWeb"/>
      </w:pPr>
      <w:r>
        <w:t>Mit Definition 3.3.23 und Satz 3.3.13 steht ein formales Verfahren zur Verfügung, mit dem diskrete FRZK-Entscheidungen auf Skalen-, Unsicherheits-, Stabilitäts-, Kosten- und Logikkonsistenz geprüft werden können. Damit wird verhindert, dass eine empfindliche oder widersprüchliche Grenzziehung als eindeutige wissenschaftliche Aussage dargestellt wird.</w:t>
      </w:r>
    </w:p>
    <w:p w:rsidR="003D75D0" w:rsidRPr="00AF32B2" w:rsidRDefault="003D75D0" w:rsidP="00AF32B2">
      <w:pPr>
        <w:pStyle w:val="berschrift4"/>
      </w:pPr>
      <w:r w:rsidRPr="00AF32B2">
        <w:t>3.3.31.35 Übergang zur Prüfung der Vergleichbarkeit und Generalisierbarkeit</w:t>
      </w:r>
    </w:p>
    <w:p w:rsidR="003D75D0" w:rsidRDefault="003D75D0" w:rsidP="003D75D0">
      <w:pPr>
        <w:pStyle w:val="StandardWeb"/>
      </w:pPr>
      <w:r>
        <w:t>Eine konsistente Entscheidung kann innerhalb der untersuchten Daten und Modellbedingungen gültig sein. Daraus folgt jedoch noch nicht, dass dieselbe Regel auf andere Gruppen, Zeiträume, Kontexte oder Messsysteme übertragen werden darf.</w:t>
      </w:r>
    </w:p>
    <w:p w:rsidR="003D75D0" w:rsidRDefault="003D75D0" w:rsidP="003D75D0">
      <w:pPr>
        <w:pStyle w:val="StandardWeb"/>
      </w:pPr>
      <w:r>
        <w:t>Seien zwei empirische Kontexte gegeben durch</w:t>
      </w:r>
    </w:p>
    <w:p w:rsidR="003D75D0" w:rsidRDefault="003D75D0" w:rsidP="003D75D0">
      <w:pPr>
        <w:pStyle w:val="StandardWeb"/>
      </w:pPr>
      <w:r>
        <w:t>[</w:t>
      </w:r>
      <w:r>
        <w:br/>
        <w:t>\mathcal{E}_1</w:t>
      </w:r>
      <w:r>
        <w:br/>
        <w:t>\tag{3.5651}</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\mathcal{E}_1\qquad\text{(3.5651)}</w:t>
      </w:r>
    </w:p>
    <w:p w:rsidR="003D75D0" w:rsidRDefault="003D75D0" w:rsidP="003D75D0">
      <w:pPr>
        <w:pStyle w:val="StandardWeb"/>
      </w:pPr>
      <w:r>
        <w:t>und</w:t>
      </w:r>
    </w:p>
    <w:p w:rsidR="003D75D0" w:rsidRDefault="003D75D0" w:rsidP="003D75D0">
      <w:pPr>
        <w:pStyle w:val="StandardWeb"/>
      </w:pPr>
      <w:r>
        <w:t>[</w:t>
      </w:r>
      <w:r>
        <w:br/>
        <w:t>\mathcal{E}_2.</w:t>
      </w:r>
      <w:r>
        <w:br/>
      </w:r>
      <w:r>
        <w:lastRenderedPageBreak/>
        <w:t>\tag{3.5652}</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\mathcal{E}_2\qquad\text{(3.5652)}</w:t>
      </w:r>
    </w:p>
    <w:p w:rsidR="003D75D0" w:rsidRDefault="003D75D0" w:rsidP="003D75D0">
      <w:pPr>
        <w:pStyle w:val="StandardWeb"/>
      </w:pPr>
      <w:r>
        <w:t>Eine im ersten Kontext bestimmte Entscheidungsregel lautet</w:t>
      </w:r>
    </w:p>
    <w:p w:rsidR="003D75D0" w:rsidRDefault="003D75D0" w:rsidP="003D75D0">
      <w:pPr>
        <w:pStyle w:val="StandardWeb"/>
      </w:pPr>
      <w:r>
        <w:t>[</w:t>
      </w:r>
      <w:r>
        <w:br/>
        <w:t>\mathcal{C}_{F}^{(1)}.</w:t>
      </w:r>
      <w:r>
        <w:br/>
        <w:t>\tag{3.5653}</w:t>
      </w:r>
      <w:r>
        <w:br/>
        <w:t>]</w:t>
      </w:r>
    </w:p>
    <w:p w:rsidR="003D75D0" w:rsidRDefault="003D75D0" w:rsidP="003D75D0">
      <w:pPr>
        <w:pStyle w:val="StandardWeb"/>
      </w:pPr>
      <w:r>
        <w:rPr>
          <w:rStyle w:val="Fett"/>
        </w:rPr>
        <w:t>Word-LaTeX</w:t>
      </w:r>
    </w:p>
    <w:p w:rsidR="003D75D0" w:rsidRDefault="003D75D0" w:rsidP="003D75D0">
      <w:pPr>
        <w:pStyle w:val="HTMLVorformatiert"/>
        <w:rPr>
          <w:rStyle w:val="HTMLCode"/>
        </w:rPr>
      </w:pPr>
      <w:r>
        <w:rPr>
          <w:rStyle w:val="HTMLCode"/>
        </w:rPr>
        <w:t>\mathcal{C}_{F}^{(1)}\qquad\text{(3.5653)}</w:t>
      </w:r>
    </w:p>
    <w:p w:rsidR="003D75D0" w:rsidRDefault="003D75D0" w:rsidP="003D75D0">
      <w:pPr>
        <w:pStyle w:val="StandardWeb"/>
      </w:pPr>
      <w:r>
        <w:t>Ihre Übertragung auf den zweiten Kontext wäre nur dann wissenschaftlich gerechtfertigt, wenn die relevanten Daten-, Skalen-, Operationalisierungs- und Modellbedingungen hinreichend vergleichbar sind.</w:t>
      </w:r>
    </w:p>
    <w:p w:rsidR="003D75D0" w:rsidRDefault="003D75D0" w:rsidP="003D75D0">
      <w:pPr>
        <w:pStyle w:val="StandardWeb"/>
      </w:pPr>
      <w:r>
        <w:rPr>
          <w:rStyle w:val="Fett"/>
        </w:rPr>
        <w:t>Eigenleistung des FRZK</w:t>
      </w:r>
    </w:p>
    <w:p w:rsidR="003D75D0" w:rsidRDefault="003D75D0" w:rsidP="003D75D0">
      <w:pPr>
        <w:pStyle w:val="StandardWeb"/>
      </w:pPr>
      <w:r>
        <w:t>Der folgende Abschnitt untersucht deshalb die Vergleichbarkeit verschiedener empirischer Kontexte und die Bedingungen, unter denen FRZK-Ergebnisse, Parameter, Schwellenwerte und Modellstrukturen generalisiert werden dürfen.</w:t>
      </w:r>
    </w:p>
    <w:p w:rsidR="00C67E76" w:rsidRDefault="00C67E76" w:rsidP="00C67E76">
      <w:pPr>
        <w:pStyle w:val="berschrift2"/>
      </w:pPr>
      <w:r>
        <w:t>Ergänzung zu 3.3.31 – Prüfung der Entscheidungs- und Schwellenwertkonsistenz</w:t>
      </w:r>
    </w:p>
    <w:p w:rsidR="00C67E76" w:rsidRDefault="00C67E76" w:rsidP="00C67E76">
      <w:pPr>
        <w:pStyle w:val="berschrift3"/>
      </w:pPr>
      <w:r>
        <w:t>Methodologische Betrachtungen</w:t>
      </w:r>
    </w:p>
    <w:p w:rsidR="00C67E76" w:rsidRDefault="00C67E76" w:rsidP="00C67E76">
      <w:pPr>
        <w:pStyle w:val="StandardWeb"/>
      </w:pPr>
      <w:r>
        <w:t>Die Prüfung von Entscheidungsregeln und Schwellenwerten ist notwendig, weil aus einem kontinuierlichen Mess- oder Modellwert nicht unmittelbar eine diskrete wissenschaftliche Aussage folgt. Zwischen dem berechneten Wert und der endgültigen Klassenzuordnung liegt stets eine zusätzliche methodische Entscheidung. Diese betrifft insbesondere die Wahl des Schwellenwerts, die Definition der Klassen, den Umgang mit Unsicherheit und die Bewertung verschiedener Fehlentscheidungen [58, 59, 79].</w:t>
      </w:r>
    </w:p>
    <w:p w:rsidR="00C67E76" w:rsidRDefault="00C67E76" w:rsidP="00C67E76">
      <w:pPr>
        <w:pStyle w:val="StandardWeb"/>
      </w:pPr>
      <w:r>
        <w:t>Ich behandle einen Schwellenwert deshalb nicht als natürliche Eigenschaft der beobachteten Wirklichkeit. Er ist zunächst Bestandteil des Auswertungsverfahrens. Seine wissenschaftliche Bedeutung entsteht erst durch eine nachvollziehbare Begründung, eine dokumentierte Skala und eine Prüfung seiner Stabilität.</w:t>
      </w:r>
    </w:p>
    <w:p w:rsidR="00C67E76" w:rsidRDefault="00C67E76" w:rsidP="00C67E76">
      <w:pPr>
        <w:pStyle w:val="StandardWeb"/>
      </w:pPr>
      <w:r>
        <w:t xml:space="preserve">Ein Schwellenwert darf nicht allein deshalb verwendet werden, weil er eine übersichtliche Klasseneinteilung erzeugt. Er muss vielmehr mit dem empirischen Geltungsbereich, der Messunsicherheit und den Folgen einer Fehlzuordnung vereinbar sein. Besonders kritisch sind Entscheidungen, bei denen der beobachtete Wert nahe an der Klassengrenze liegt. In diesem </w:t>
      </w:r>
      <w:r>
        <w:lastRenderedPageBreak/>
        <w:t>Fall kann bereits eine geringe Änderung der Daten, Parameter oder Operationalisierung zu einer anderen Aussage führen.</w:t>
      </w:r>
    </w:p>
    <w:p w:rsidR="00C67E76" w:rsidRDefault="00C67E76" w:rsidP="00C67E76">
      <w:pPr>
        <w:pStyle w:val="StandardWeb"/>
      </w:pPr>
      <w:r>
        <w:t>Die Einführung der Klasse „unsicher“ verhindert, dass solche Grenzfälle künstlich in eine binäre Ordnung gezwungen werden. Methodisch entspricht dies der Forderung, die Unsicherheit einer Entscheidung sichtbar zu machen, anstatt sie durch eine harte Klassengrenze zu verdecken.</w:t>
      </w:r>
    </w:p>
    <w:p w:rsidR="00C67E76" w:rsidRDefault="00C67E76" w:rsidP="00C67E76">
      <w:pPr>
        <w:pStyle w:val="StandardWeb"/>
      </w:pPr>
      <w:r>
        <w:t>Die Verwendung asymmetrischer Fehlerkosten macht außerdem deutlich, dass Entscheidungsregeln nicht ausschließlich durch empirische Daten bestimmt werden. Wird beispielsweise eine falsch negative Entscheidung als schwerwiegender bewertet als eine falsch positive Entscheidung, verschiebt sich der optimale Schwellenwert. Diese Verschiebung beruht dann teilweise auf einer normativen oder anwendungsbezogenen Bewertung. Sie muss deshalb ausdrücklich dokumentiert und von der eigentlichen Modellstruktur getrennt werden.</w:t>
      </w:r>
    </w:p>
    <w:p w:rsidR="00C67E76" w:rsidRDefault="00C67E76" w:rsidP="00C67E76">
      <w:pPr>
        <w:pStyle w:val="StandardWeb"/>
      </w:pPr>
      <w:r>
        <w:t>Die in diesem Abschnitt eingeführte Entscheidungskonsistenz stellt kein neues Primäraxiom des FRZK dar. Sie ist eine methodische Bedingung für die empirische Verwendung bereits definierter Modellgrößen.</w:t>
      </w:r>
    </w:p>
    <w:p w:rsidR="00C67E76" w:rsidRDefault="00C67E76" w:rsidP="00C67E76">
      <w:pPr>
        <w:pStyle w:val="berschrift3"/>
      </w:pPr>
      <w:r>
        <w:t>Didaktische Betrachtungen</w:t>
      </w:r>
    </w:p>
    <w:p w:rsidR="00C67E76" w:rsidRDefault="00C67E76" w:rsidP="00C67E76">
      <w:pPr>
        <w:pStyle w:val="StandardWeb"/>
      </w:pPr>
      <w:r>
        <w:t>Eine Entscheidung anhand eines Schwellenwerts lässt sich zunächst an einem einfachen Zahlenbeispiel erläutern. Beträgt der Schwellenwert (10), wird ein Wert von (12) der oberen Klasse und ein Wert von (8) der unteren Klasse zugeordnet. Diese Zuordnung erscheint eindeutig, solange nur die Punktwerte betrachtet werden.</w:t>
      </w:r>
    </w:p>
    <w:p w:rsidR="00C67E76" w:rsidRDefault="00C67E76" w:rsidP="00C67E76">
      <w:pPr>
        <w:pStyle w:val="StandardWeb"/>
      </w:pPr>
      <w:r>
        <w:t>Besitzt der Wert (12) jedoch eine Unsicherheit von (\pm 3), reicht sein möglicher Bereich von (9) bis (15). Der Schwellenwert (10) liegt damit innerhalb des Unsicherheitsbereichs. Die Aussage „Der Wert liegt sicher oberhalb des Schwellenwerts“ wäre nicht gerechtfertigt. Die richtige Bewertung lautet deshalb „unsicher“.</w:t>
      </w:r>
    </w:p>
    <w:p w:rsidR="00C67E76" w:rsidRDefault="00C67E76" w:rsidP="00C67E76">
      <w:pPr>
        <w:pStyle w:val="StandardWeb"/>
      </w:pPr>
      <w:r>
        <w:t>Didaktisch ist es hilfreich, zwischen drei Ebenen zu unterscheiden:</w:t>
      </w:r>
    </w:p>
    <w:p w:rsidR="00C67E76" w:rsidRDefault="00C67E76" w:rsidP="00C67E76">
      <w:pPr>
        <w:pStyle w:val="StandardWeb"/>
        <w:numPr>
          <w:ilvl w:val="0"/>
          <w:numId w:val="252"/>
        </w:numPr>
      </w:pPr>
      <w:r>
        <w:t>dem berechneten Wert,</w:t>
      </w:r>
    </w:p>
    <w:p w:rsidR="00C67E76" w:rsidRDefault="00C67E76" w:rsidP="00C67E76">
      <w:pPr>
        <w:pStyle w:val="StandardWeb"/>
        <w:numPr>
          <w:ilvl w:val="0"/>
          <w:numId w:val="252"/>
        </w:numPr>
      </w:pPr>
      <w:r>
        <w:t>seinem Abstand zum Schwellenwert,</w:t>
      </w:r>
    </w:p>
    <w:p w:rsidR="00C67E76" w:rsidRDefault="00C67E76" w:rsidP="00C67E76">
      <w:pPr>
        <w:pStyle w:val="StandardWeb"/>
        <w:numPr>
          <w:ilvl w:val="0"/>
          <w:numId w:val="252"/>
        </w:numPr>
      </w:pPr>
      <w:r>
        <w:t>der Sicherheit der daraus abgeleiteten Entscheidung.</w:t>
      </w:r>
    </w:p>
    <w:p w:rsidR="00C67E76" w:rsidRDefault="00C67E76" w:rsidP="00C67E76">
      <w:pPr>
        <w:pStyle w:val="StandardWeb"/>
      </w:pPr>
      <w:r>
        <w:t>Diese Ebenen dürfen nicht miteinander verwechselt werden. Ein hoher Wert kann trotzdem eine unsichere Entscheidung erzeugen, wenn seine Unsicherheit ebenfalls hoch ist. Ein vergleichsweise kleiner Wert kann dagegen eindeutig klassifizierbar sein, wenn er weit von der Entscheidungsgrenze entfernt liegt.</w:t>
      </w:r>
    </w:p>
    <w:p w:rsidR="00C67E76" w:rsidRDefault="00C67E76" w:rsidP="00C67E76">
      <w:pPr>
        <w:pStyle w:val="StandardWeb"/>
      </w:pPr>
      <w:r>
        <w:t>Auch mehrere Schwellenwerte lassen sich anschaulich als geordnete Grenzen darstellen. Für die Klassen „niedrig“, „mittel“ und „hoch“ werden zwei Schwellenwerte benötigt. Sind diese Grenzen nicht eindeutig geordnet oder überlappen sich die Klassen, kann derselbe Wert mehreren Klassen zugeordnet werden. Die mathematische Forderung nach vollständigen und disjunkten Klassen verhindert genau diesen Widerspruch.</w:t>
      </w:r>
    </w:p>
    <w:p w:rsidR="00C67E76" w:rsidRDefault="00C67E76" w:rsidP="00C67E76">
      <w:pPr>
        <w:pStyle w:val="StandardWeb"/>
      </w:pPr>
      <w:r>
        <w:t>Der Abschnitt zeigt damit, dass eine Klassenzuordnung nicht nur vom Wert selbst, sondern auch von der Lage und Begründung der verwendeten Grenzen abhängt.</w:t>
      </w:r>
    </w:p>
    <w:p w:rsidR="00C67E76" w:rsidRDefault="00E50336" w:rsidP="00C67E76">
      <w:r>
        <w:lastRenderedPageBreak/>
        <w:pict>
          <v:rect id="_x0000_i1055" style="width:0;height:1.5pt" o:hralign="center" o:hrstd="t" o:hr="t" fillcolor="#a0a0a0" stroked="f"/>
        </w:pict>
      </w:r>
    </w:p>
    <w:p w:rsidR="000D28F9" w:rsidRPr="00AF32B2" w:rsidRDefault="000D28F9" w:rsidP="00AF32B2">
      <w:pPr>
        <w:pStyle w:val="berschrift3"/>
      </w:pPr>
      <w:r w:rsidRPr="00AF32B2">
        <w:t>3.3.32 Prüfung der Vergleichbarkeit und Generalisierbarkeit</w:t>
      </w:r>
    </w:p>
    <w:p w:rsidR="000D28F9" w:rsidRDefault="000D28F9" w:rsidP="000D28F9">
      <w:pPr>
        <w:pStyle w:val="StandardWeb"/>
      </w:pPr>
      <w:r>
        <w:t>Die Entscheidungs- und Schwellenwertprüfung des vorhergehenden Abschnitts hat gezeigt, unter welchen Bedingungen eine diskrete FRZK-Aussage innerhalb eines bestimmten empirischen Kontexts konsistent getroffen werden kann. Eine intern konsistente Entscheidung darf jedoch nicht automatisch auf andere Gruppen, Zeiträume, Messsysteme oder institutionelle Bedingungen übertragen werden. Die Generalisierung einer Aussage setzt voraus, dass die für sie relevanten Strukturen zwischen Ausgangs- und Zielkontext hinreichend vergleichbar sind [58, 59, 79].</w:t>
      </w:r>
    </w:p>
    <w:p w:rsidR="000D28F9" w:rsidRDefault="000D28F9" w:rsidP="000D28F9">
      <w:pPr>
        <w:pStyle w:val="StandardWeb"/>
      </w:pPr>
      <w:r>
        <w:t>Für das Funktionale Raum-Zeit-Kohärenzsystem betrifft dies insbesondere die Frage, ob Zustandsräume, Operationalisierungen, Relationen, Transformationen, Kohärenzmaße, funktionale Zeitordnungen und Entscheidungsregeln in unterschiedlichen Kontexten dieselbe Bedeutung besitzen. Werden lediglich identische Variablennamen oder numerische Skalen verwendet, folgt daraus noch keine inhaltliche Vergleichbarkeit [58, 59].</w:t>
      </w:r>
    </w:p>
    <w:p w:rsidR="000D28F9" w:rsidRDefault="000D28F9" w:rsidP="000D28F9">
      <w:pPr>
        <w:pStyle w:val="StandardWeb"/>
      </w:pPr>
      <w:r>
        <w:t>Ich unterscheide deshalb zwischen:</w:t>
      </w:r>
    </w:p>
    <w:p w:rsidR="000D28F9" w:rsidRDefault="000D28F9" w:rsidP="00632D23">
      <w:pPr>
        <w:pStyle w:val="StandardWeb"/>
        <w:numPr>
          <w:ilvl w:val="0"/>
          <w:numId w:val="199"/>
        </w:numPr>
      </w:pPr>
      <w:r>
        <w:t>formaler Vergleichbarkeit,</w:t>
      </w:r>
    </w:p>
    <w:p w:rsidR="000D28F9" w:rsidRDefault="000D28F9" w:rsidP="00632D23">
      <w:pPr>
        <w:pStyle w:val="StandardWeb"/>
        <w:numPr>
          <w:ilvl w:val="0"/>
          <w:numId w:val="199"/>
        </w:numPr>
      </w:pPr>
      <w:r>
        <w:t>empirischer Vergleichbarkeit,</w:t>
      </w:r>
    </w:p>
    <w:p w:rsidR="000D28F9" w:rsidRDefault="000D28F9" w:rsidP="00632D23">
      <w:pPr>
        <w:pStyle w:val="StandardWeb"/>
        <w:numPr>
          <w:ilvl w:val="0"/>
          <w:numId w:val="199"/>
        </w:numPr>
      </w:pPr>
      <w:r>
        <w:t>operationaler Vergleichbarkeit,</w:t>
      </w:r>
    </w:p>
    <w:p w:rsidR="000D28F9" w:rsidRDefault="000D28F9" w:rsidP="00632D23">
      <w:pPr>
        <w:pStyle w:val="StandardWeb"/>
        <w:numPr>
          <w:ilvl w:val="0"/>
          <w:numId w:val="199"/>
        </w:numPr>
      </w:pPr>
      <w:r>
        <w:t>struktureller Vergleichbarkeit,</w:t>
      </w:r>
    </w:p>
    <w:p w:rsidR="000D28F9" w:rsidRDefault="000D28F9" w:rsidP="00632D23">
      <w:pPr>
        <w:pStyle w:val="StandardWeb"/>
        <w:numPr>
          <w:ilvl w:val="0"/>
          <w:numId w:val="199"/>
        </w:numPr>
      </w:pPr>
      <w:r>
        <w:t>zeitlicher Vergleichbarkeit,</w:t>
      </w:r>
    </w:p>
    <w:p w:rsidR="000D28F9" w:rsidRDefault="000D28F9" w:rsidP="00632D23">
      <w:pPr>
        <w:pStyle w:val="StandardWeb"/>
        <w:numPr>
          <w:ilvl w:val="0"/>
          <w:numId w:val="199"/>
        </w:numPr>
      </w:pPr>
      <w:r>
        <w:t>populationsbezogener Generalisierbarkeit,</w:t>
      </w:r>
    </w:p>
    <w:p w:rsidR="000D28F9" w:rsidRDefault="000D28F9" w:rsidP="00632D23">
      <w:pPr>
        <w:pStyle w:val="StandardWeb"/>
        <w:numPr>
          <w:ilvl w:val="0"/>
          <w:numId w:val="199"/>
        </w:numPr>
      </w:pPr>
      <w:r>
        <w:t>kontextbezogener Übertragbarkeit.</w:t>
      </w:r>
    </w:p>
    <w:p w:rsidR="000D28F9" w:rsidRDefault="000D28F9" w:rsidP="000D28F9">
      <w:pPr>
        <w:pStyle w:val="StandardWeb"/>
      </w:pPr>
      <w:r>
        <w:rPr>
          <w:rStyle w:val="Fett"/>
        </w:rPr>
        <w:t>Eigenleistung des FRZK</w:t>
      </w:r>
    </w:p>
    <w:p w:rsidR="000D28F9" w:rsidRDefault="000D28F9" w:rsidP="000D28F9">
      <w:pPr>
        <w:pStyle w:val="StandardWeb"/>
      </w:pPr>
      <w:r>
        <w:t>Ich führe ein gemeinsames Vergleichbarkeits- und Generalisierbarkeitssystem ein, das Ausgangskontext, Zielkontext, gemeinsame Strukturen, zulässige Abweichungen und Übertragungsbedingungen ausdrücklich dokumentiert. Dadurch kann ich unterscheiden, ob eine Aussage tatsächlich generalisierbar ist oder nur innerhalb der ursprünglichen Modellinstanz gilt.</w:t>
      </w:r>
    </w:p>
    <w:p w:rsidR="000D28F9" w:rsidRPr="00AF32B2" w:rsidRDefault="000D28F9" w:rsidP="00AF32B2">
      <w:pPr>
        <w:pStyle w:val="berschrift4"/>
      </w:pPr>
      <w:r w:rsidRPr="00AF32B2">
        <w:t>3.3.32.1 Ausgangs- und Zielkontext</w:t>
      </w:r>
    </w:p>
    <w:p w:rsidR="000D28F9" w:rsidRDefault="000D28F9" w:rsidP="000D28F9">
      <w:pPr>
        <w:pStyle w:val="StandardWeb"/>
      </w:pPr>
      <w:r>
        <w:t>Der empirische Ausgangskontext werde mit</w:t>
      </w:r>
    </w:p>
    <w:p w:rsidR="000D28F9" w:rsidRDefault="000D28F9" w:rsidP="000D28F9">
      <w:pPr>
        <w:pStyle w:val="StandardWeb"/>
      </w:pPr>
      <w:r>
        <w:t>[</w:t>
      </w:r>
      <w:r>
        <w:br/>
        <w:t>\mathcal{E}_{1}</w:t>
      </w:r>
      <w:r>
        <w:br/>
        <w:t>\tag{3.5654}</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\mathcal{E}_{1}\qquad\text{(3.5654)}</w:t>
      </w:r>
    </w:p>
    <w:p w:rsidR="000D28F9" w:rsidRDefault="000D28F9" w:rsidP="000D28F9">
      <w:pPr>
        <w:pStyle w:val="StandardWeb"/>
      </w:pPr>
      <w:r>
        <w:t>bezeichnet.</w:t>
      </w:r>
    </w:p>
    <w:p w:rsidR="000D28F9" w:rsidRDefault="000D28F9" w:rsidP="000D28F9">
      <w:pPr>
        <w:pStyle w:val="StandardWeb"/>
      </w:pPr>
      <w:r>
        <w:lastRenderedPageBreak/>
        <w:t>Der Zielkontext lautet</w:t>
      </w:r>
    </w:p>
    <w:p w:rsidR="000D28F9" w:rsidRDefault="000D28F9" w:rsidP="000D28F9">
      <w:pPr>
        <w:pStyle w:val="StandardWeb"/>
      </w:pPr>
      <w:r>
        <w:t>[</w:t>
      </w:r>
      <w:r>
        <w:br/>
        <w:t>\mathcal{E}_{2}.</w:t>
      </w:r>
      <w:r>
        <w:br/>
        <w:t>\tag{3.5655}</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\mathcal{E}_{2}\qquad\text{(3.5655)}</w:t>
      </w:r>
    </w:p>
    <w:p w:rsidR="000D28F9" w:rsidRDefault="000D28F9" w:rsidP="000D28F9">
      <w:pPr>
        <w:pStyle w:val="StandardWeb"/>
      </w:pPr>
      <w:r>
        <w:t>Ein empirischer Kontext umfasst mindestens</w:t>
      </w:r>
    </w:p>
    <w:p w:rsidR="000D28F9" w:rsidRDefault="000D28F9" w:rsidP="000D28F9">
      <w:pPr>
        <w:pStyle w:val="berschrift1"/>
      </w:pPr>
      <w:r>
        <w:t>[</w:t>
      </w:r>
      <w:r>
        <w:br/>
        <w:t>\mathcal{E}_{i}</w:t>
      </w:r>
    </w:p>
    <w:p w:rsidR="000D28F9" w:rsidRDefault="000D28F9" w:rsidP="000D28F9">
      <w:pPr>
        <w:pStyle w:val="StandardWeb"/>
      </w:pPr>
      <w:r>
        <w:t>\left(</w:t>
      </w:r>
      <w:r>
        <w:br/>
        <w:t>\mathcal{D}</w:t>
      </w:r>
      <w:r>
        <w:rPr>
          <w:rStyle w:val="Hervorhebung"/>
        </w:rPr>
        <w:t>{i},</w:t>
      </w:r>
      <w:r>
        <w:rPr>
          <w:i/>
          <w:iCs/>
        </w:rPr>
        <w:br/>
      </w:r>
      <w:r>
        <w:rPr>
          <w:rStyle w:val="Hervorhebung"/>
        </w:rPr>
        <w:t>\mathcal{O}</w:t>
      </w:r>
      <w:r>
        <w:t>{i},</w:t>
      </w:r>
      <w:r>
        <w:br/>
        <w:t>\mathcal{M}</w:t>
      </w:r>
      <w:r>
        <w:rPr>
          <w:rStyle w:val="Hervorhebung"/>
        </w:rPr>
        <w:t>{i},</w:t>
      </w:r>
      <w:r>
        <w:rPr>
          <w:i/>
          <w:iCs/>
        </w:rPr>
        <w:br/>
      </w:r>
      <w:r>
        <w:rPr>
          <w:rStyle w:val="Hervorhebung"/>
        </w:rPr>
        <w:t>\mathcal{S}</w:t>
      </w:r>
      <w:r>
        <w:t>{i},</w:t>
      </w:r>
      <w:r>
        <w:br/>
        <w:t>\mathcal{T}</w:t>
      </w:r>
      <w:r>
        <w:rPr>
          <w:rStyle w:val="Hervorhebung"/>
        </w:rPr>
        <w:t>{i},</w:t>
      </w:r>
      <w:r>
        <w:rPr>
          <w:i/>
          <w:iCs/>
        </w:rPr>
        <w:br/>
      </w:r>
      <w:r>
        <w:rPr>
          <w:rStyle w:val="Hervorhebung"/>
        </w:rPr>
        <w:t>\mathcal{C}</w:t>
      </w:r>
      <w:r>
        <w:t>{i}</w:t>
      </w:r>
      <w:r>
        <w:br/>
        <w:t>\right).</w:t>
      </w:r>
      <w:r>
        <w:br/>
        <w:t>\tag{3.5656}</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\mathcal{E}_{i}=\left(\mathcal{D}_{i},\mathcal{O}_{i},\mathcal{M}_{i},\mathcal{S}_{i},\mathcal{T}_{i},\mathcal{C}_{i}\right)\qquad\text{(3.5656)}</w:t>
      </w:r>
    </w:p>
    <w:p w:rsidR="000D28F9" w:rsidRDefault="000D28F9" w:rsidP="000D28F9">
      <w:pPr>
        <w:pStyle w:val="StandardWeb"/>
      </w:pPr>
      <w:r>
        <w:t>Dabei bezeichnet:</w:t>
      </w:r>
    </w:p>
    <w:p w:rsidR="000D28F9" w:rsidRDefault="000D28F9" w:rsidP="00632D23">
      <w:pPr>
        <w:pStyle w:val="StandardWeb"/>
        <w:numPr>
          <w:ilvl w:val="0"/>
          <w:numId w:val="200"/>
        </w:numPr>
      </w:pPr>
      <w:r>
        <w:t>(\mathcal{D}_{i}) die Datengrundlage,</w:t>
      </w:r>
    </w:p>
    <w:p w:rsidR="000D28F9" w:rsidRDefault="000D28F9" w:rsidP="00632D23">
      <w:pPr>
        <w:pStyle w:val="StandardWeb"/>
        <w:numPr>
          <w:ilvl w:val="0"/>
          <w:numId w:val="200"/>
        </w:numPr>
      </w:pPr>
      <w:r>
        <w:t>(\mathcal{O}_{i}) die Operationalisierung,</w:t>
      </w:r>
    </w:p>
    <w:p w:rsidR="000D28F9" w:rsidRDefault="000D28F9" w:rsidP="00632D23">
      <w:pPr>
        <w:pStyle w:val="StandardWeb"/>
        <w:numPr>
          <w:ilvl w:val="0"/>
          <w:numId w:val="200"/>
        </w:numPr>
      </w:pPr>
      <w:r>
        <w:t>(\mathcal{M}_{i}) die Modellinstanz oder Modellklasse,</w:t>
      </w:r>
    </w:p>
    <w:p w:rsidR="000D28F9" w:rsidRDefault="000D28F9" w:rsidP="00632D23">
      <w:pPr>
        <w:pStyle w:val="StandardWeb"/>
        <w:numPr>
          <w:ilvl w:val="0"/>
          <w:numId w:val="200"/>
        </w:numPr>
      </w:pPr>
      <w:r>
        <w:t>(\mathcal{S}_{i}) den Zustandsraum,</w:t>
      </w:r>
    </w:p>
    <w:p w:rsidR="000D28F9" w:rsidRDefault="000D28F9" w:rsidP="00632D23">
      <w:pPr>
        <w:pStyle w:val="StandardWeb"/>
        <w:numPr>
          <w:ilvl w:val="0"/>
          <w:numId w:val="200"/>
        </w:numPr>
      </w:pPr>
      <w:r>
        <w:t>(\mathcal{T}_{i}) die Transformations- und Zeitstruktur,</w:t>
      </w:r>
    </w:p>
    <w:p w:rsidR="000D28F9" w:rsidRDefault="000D28F9" w:rsidP="00632D23">
      <w:pPr>
        <w:pStyle w:val="StandardWeb"/>
        <w:numPr>
          <w:ilvl w:val="0"/>
          <w:numId w:val="200"/>
        </w:numPr>
      </w:pPr>
      <w:r>
        <w:t>(\mathcal{C}_{i}) die Entscheidungs- und Schwellenwertstruktur.</w:t>
      </w:r>
    </w:p>
    <w:p w:rsidR="000D28F9" w:rsidRPr="00AF32B2" w:rsidRDefault="000D28F9" w:rsidP="00AF32B2">
      <w:pPr>
        <w:pStyle w:val="berschrift4"/>
      </w:pPr>
      <w:r w:rsidRPr="00AF32B2">
        <w:t>3.3.32.2 Kontextabbildung</w:t>
      </w:r>
    </w:p>
    <w:p w:rsidR="000D28F9" w:rsidRDefault="000D28F9" w:rsidP="000D28F9">
      <w:pPr>
        <w:pStyle w:val="StandardWeb"/>
      </w:pPr>
      <w:r>
        <w:t>Eine Abbildung vom Ausgangs- in den Zielkontext lautet</w:t>
      </w:r>
    </w:p>
    <w:p w:rsidR="000D28F9" w:rsidRDefault="000D28F9" w:rsidP="000D28F9">
      <w:pPr>
        <w:pStyle w:val="StandardWeb"/>
      </w:pPr>
      <w:r>
        <w:t>[</w:t>
      </w:r>
      <w:r>
        <w:br/>
        <w:t>\Phi_{\mathcal{E}}:</w:t>
      </w:r>
      <w:r>
        <w:br/>
        <w:t>\mathcal{E}</w:t>
      </w:r>
      <w:r>
        <w:rPr>
          <w:rStyle w:val="Hervorhebung"/>
        </w:rPr>
        <w:t>{1}</w:t>
      </w:r>
      <w:r>
        <w:rPr>
          <w:i/>
          <w:iCs/>
        </w:rPr>
        <w:br/>
      </w:r>
      <w:r>
        <w:rPr>
          <w:rStyle w:val="Hervorhebung"/>
        </w:rPr>
        <w:t>\rightarrow</w:t>
      </w:r>
      <w:r>
        <w:rPr>
          <w:i/>
          <w:iCs/>
        </w:rPr>
        <w:br/>
      </w:r>
      <w:r>
        <w:rPr>
          <w:rStyle w:val="Hervorhebung"/>
        </w:rPr>
        <w:t>\mathcal{E}</w:t>
      </w:r>
      <w:r>
        <w:t>{2}.</w:t>
      </w:r>
      <w:r>
        <w:br/>
      </w:r>
      <w:r>
        <w:lastRenderedPageBreak/>
        <w:t>\tag{3.5657}</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\Phi_{\mathcal{E}}:\mathcal{E}_{1}\rightarrow\mathcal{E}_{2}\qquad\text{(3.5657)}</w:t>
      </w:r>
    </w:p>
    <w:p w:rsidR="000D28F9" w:rsidRDefault="000D28F9" w:rsidP="000D28F9">
      <w:pPr>
        <w:pStyle w:val="StandardWeb"/>
      </w:pPr>
      <w:r>
        <w:t>Die Abbildung muss nicht sämtliche Kontextbestandteile identisch erhalten. Sie muss jedoch diejenigen Strukturen bewahren, auf denen die zu übertragende Aussage beruht.</w:t>
      </w:r>
    </w:p>
    <w:p w:rsidR="000D28F9" w:rsidRDefault="000D28F9" w:rsidP="000D28F9">
      <w:pPr>
        <w:pStyle w:val="StandardWeb"/>
      </w:pPr>
      <w:r>
        <w:t>Für eine Aussage (P) bezeichne ich die Menge relevanter Kontextbestandteile mit</w:t>
      </w:r>
    </w:p>
    <w:p w:rsidR="000D28F9" w:rsidRDefault="000D28F9" w:rsidP="000D28F9">
      <w:pPr>
        <w:pStyle w:val="StandardWeb"/>
      </w:pPr>
      <w:r>
        <w:t>[</w:t>
      </w:r>
      <w:r>
        <w:br/>
        <w:t>\operatorname{Rel}_{\mathcal{E}}(P).</w:t>
      </w:r>
      <w:r>
        <w:br/>
        <w:t>\tag{3.5658}</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\operatorname{Rel}_{\mathcal{E}}(P)\qquad\text{(3.5658)}</w:t>
      </w:r>
    </w:p>
    <w:p w:rsidR="000D28F9" w:rsidRPr="00AF32B2" w:rsidRDefault="000D28F9" w:rsidP="00AF32B2">
      <w:pPr>
        <w:pStyle w:val="berschrift4"/>
      </w:pPr>
      <w:r w:rsidRPr="00AF32B2">
        <w:t>3.3.32.3 Definition des FRZK-Vergleichbarkeitssystems</w:t>
      </w:r>
    </w:p>
    <w:p w:rsidR="000D28F9" w:rsidRDefault="000D28F9" w:rsidP="000D28F9">
      <w:pPr>
        <w:pStyle w:val="StandardWeb"/>
      </w:pPr>
      <w:r>
        <w:rPr>
          <w:rStyle w:val="Fett"/>
        </w:rPr>
        <w:t>Definition 3.3.24 – FRZK-Vergleichbarkeitssystem</w:t>
      </w:r>
    </w:p>
    <w:p w:rsidR="000D28F9" w:rsidRDefault="000D28F9" w:rsidP="000D28F9">
      <w:pPr>
        <w:pStyle w:val="StandardWeb"/>
      </w:pPr>
      <w:r>
        <w:t>Ein FRZK-Vergleichbarkeitssystem ist das geordnete Tupel</w:t>
      </w:r>
    </w:p>
    <w:p w:rsidR="000D28F9" w:rsidRDefault="000D28F9" w:rsidP="000D28F9">
      <w:pPr>
        <w:pStyle w:val="berschrift1"/>
      </w:pPr>
      <w:r>
        <w:t>[</w:t>
      </w:r>
      <w:r>
        <w:br/>
        <w:t>\mathfrak{V}_{F}</w:t>
      </w:r>
    </w:p>
    <w:p w:rsidR="000D28F9" w:rsidRDefault="000D28F9" w:rsidP="000D28F9">
      <w:pPr>
        <w:pStyle w:val="StandardWeb"/>
      </w:pPr>
      <w:r>
        <w:t>\left(</w:t>
      </w:r>
      <w:r>
        <w:br/>
        <w:t>\mathcal{E}</w:t>
      </w:r>
      <w:r>
        <w:rPr>
          <w:rStyle w:val="Hervorhebung"/>
        </w:rPr>
        <w:t>{1},</w:t>
      </w:r>
      <w:r>
        <w:rPr>
          <w:i/>
          <w:iCs/>
        </w:rPr>
        <w:br/>
      </w:r>
      <w:r>
        <w:rPr>
          <w:rStyle w:val="Hervorhebung"/>
        </w:rPr>
        <w:t>\mathcal{E}</w:t>
      </w:r>
      <w:r>
        <w:t>{2},</w:t>
      </w:r>
      <w:r>
        <w:br/>
        <w:t>\Phi_{\mathcal{E}},</w:t>
      </w:r>
      <w:r>
        <w:br/>
        <w:t>\mathfrak{K}</w:t>
      </w:r>
      <w:r>
        <w:rPr>
          <w:rStyle w:val="Hervorhebung"/>
        </w:rPr>
        <w:t>{\mathrm{rel}},</w:t>
      </w:r>
      <w:r>
        <w:rPr>
          <w:i/>
          <w:iCs/>
        </w:rPr>
        <w:br/>
      </w:r>
      <w:r>
        <w:rPr>
          <w:rStyle w:val="Hervorhebung"/>
        </w:rPr>
        <w:t>\Delta</w:t>
      </w:r>
      <w:r>
        <w:t>{\mathcal{E}},</w:t>
      </w:r>
      <w:r>
        <w:br/>
        <w:t>\operatorname{Verg}_{F}</w:t>
      </w:r>
      <w:r>
        <w:br/>
        <w:t>\right).</w:t>
      </w:r>
      <w:r>
        <w:br/>
        <w:t>\tag{3.5659}</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\mathfrak{V}_{F}=\left(\mathcal{E}_{1},\mathcal{E}_{2},\Phi_{\mathcal{E}},\mathfrak{K}_{\mathrm{rel}},\Delta_{\mathcal{E}},\operatorname{Verg}_{F}\right)\qquad\text{(3.5659)}</w:t>
      </w:r>
    </w:p>
    <w:p w:rsidR="000D28F9" w:rsidRDefault="000D28F9" w:rsidP="000D28F9">
      <w:pPr>
        <w:pStyle w:val="StandardWeb"/>
      </w:pPr>
      <w:r>
        <w:t>Dabei bezeichnet:</w:t>
      </w:r>
    </w:p>
    <w:p w:rsidR="000D28F9" w:rsidRDefault="000D28F9" w:rsidP="00632D23">
      <w:pPr>
        <w:pStyle w:val="StandardWeb"/>
        <w:numPr>
          <w:ilvl w:val="0"/>
          <w:numId w:val="201"/>
        </w:numPr>
      </w:pPr>
      <w:r>
        <w:t>(\mathcal{E}_{1}) den Ausgangskontext,</w:t>
      </w:r>
    </w:p>
    <w:p w:rsidR="000D28F9" w:rsidRDefault="000D28F9" w:rsidP="00632D23">
      <w:pPr>
        <w:pStyle w:val="StandardWeb"/>
        <w:numPr>
          <w:ilvl w:val="0"/>
          <w:numId w:val="201"/>
        </w:numPr>
      </w:pPr>
      <w:r>
        <w:lastRenderedPageBreak/>
        <w:t>(\mathcal{E}_{2}) den Zielkontext,</w:t>
      </w:r>
    </w:p>
    <w:p w:rsidR="000D28F9" w:rsidRDefault="000D28F9" w:rsidP="00632D23">
      <w:pPr>
        <w:pStyle w:val="StandardWeb"/>
        <w:numPr>
          <w:ilvl w:val="0"/>
          <w:numId w:val="201"/>
        </w:numPr>
      </w:pPr>
      <w:r>
        <w:t>(\Phi_{\mathcal{E}}) die Kontextabbildung,</w:t>
      </w:r>
    </w:p>
    <w:p w:rsidR="000D28F9" w:rsidRDefault="000D28F9" w:rsidP="00632D23">
      <w:pPr>
        <w:pStyle w:val="StandardWeb"/>
        <w:numPr>
          <w:ilvl w:val="0"/>
          <w:numId w:val="201"/>
        </w:numPr>
      </w:pPr>
      <w:r>
        <w:t>(\mathfrak{K}_{\mathrm{rel}}) die Menge aussagerelevanter Kontextkomponenten,</w:t>
      </w:r>
    </w:p>
    <w:p w:rsidR="000D28F9" w:rsidRDefault="000D28F9" w:rsidP="00632D23">
      <w:pPr>
        <w:pStyle w:val="StandardWeb"/>
        <w:numPr>
          <w:ilvl w:val="0"/>
          <w:numId w:val="201"/>
        </w:numPr>
      </w:pPr>
      <w:r>
        <w:t>(\Delta_{\mathcal{E}}) das Kontextabweichungsmaß,</w:t>
      </w:r>
    </w:p>
    <w:p w:rsidR="000D28F9" w:rsidRDefault="000D28F9" w:rsidP="00632D23">
      <w:pPr>
        <w:pStyle w:val="StandardWeb"/>
        <w:numPr>
          <w:ilvl w:val="0"/>
          <w:numId w:val="201"/>
        </w:numPr>
      </w:pPr>
      <w:r>
        <w:t>(\operatorname{Verg}_{F}) das Vergleichbarkeitsprädikat.</w:t>
      </w:r>
    </w:p>
    <w:p w:rsidR="000D28F9" w:rsidRDefault="000D28F9" w:rsidP="000D28F9">
      <w:pPr>
        <w:pStyle w:val="StandardWeb"/>
      </w:pPr>
      <w:r>
        <w:t>Das Vergleichbarkeitsprädikat lautet</w:t>
      </w:r>
    </w:p>
    <w:p w:rsidR="000D28F9" w:rsidRDefault="000D28F9" w:rsidP="000D28F9">
      <w:pPr>
        <w:pStyle w:val="StandardWeb"/>
      </w:pPr>
      <w:r>
        <w:t>[</w:t>
      </w:r>
      <w:r>
        <w:br/>
        <w:t>\operatorname{Verg}</w:t>
      </w:r>
      <w:r>
        <w:rPr>
          <w:rStyle w:val="Hervorhebung"/>
        </w:rPr>
        <w:t>{F}:</w:t>
      </w:r>
      <w:r>
        <w:rPr>
          <w:i/>
          <w:iCs/>
        </w:rPr>
        <w:br/>
      </w:r>
      <w:r>
        <w:rPr>
          <w:rStyle w:val="Hervorhebung"/>
        </w:rPr>
        <w:t>\mathfrak{V}</w:t>
      </w:r>
      <w:r>
        <w:t>{F}</w:t>
      </w:r>
      <w:r>
        <w:br/>
        <w:t>\rightarrow</w:t>
      </w:r>
      <w:r>
        <w:br/>
        <w:t>{0,1}.</w:t>
      </w:r>
      <w:r>
        <w:br/>
        <w:t>\tag{3.5660}</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\operatorname{Verg}_{F}:\mathfrak{V}_{F}\rightarrow\{0,1\}\qquad\text{(3.5660)}</w:t>
      </w:r>
    </w:p>
    <w:p w:rsidR="000D28F9" w:rsidRDefault="000D28F9" w:rsidP="000D28F9">
      <w:pPr>
        <w:pStyle w:val="StandardWeb"/>
      </w:pPr>
      <w:r>
        <w:t>Für vergleichbare Kontexte gilt</w:t>
      </w:r>
    </w:p>
    <w:p w:rsidR="000D28F9" w:rsidRDefault="000D28F9" w:rsidP="000D28F9">
      <w:pPr>
        <w:pStyle w:val="berschrift1"/>
      </w:pPr>
      <w:r>
        <w:t>[</w:t>
      </w:r>
      <w:r>
        <w:br/>
        <w:t>\operatorname{Verg}</w:t>
      </w:r>
      <w:r>
        <w:rPr>
          <w:rStyle w:val="Hervorhebung"/>
        </w:rPr>
        <w:t>{F}</w:t>
      </w:r>
      <w:r>
        <w:rPr>
          <w:i/>
          <w:iCs/>
        </w:rPr>
        <w:br/>
      </w:r>
      <w:r>
        <w:rPr>
          <w:rStyle w:val="Hervorhebung"/>
        </w:rPr>
        <w:t>\left(</w:t>
      </w:r>
      <w:r>
        <w:rPr>
          <w:i/>
          <w:iCs/>
        </w:rPr>
        <w:br/>
      </w:r>
      <w:r>
        <w:rPr>
          <w:rStyle w:val="Hervorhebung"/>
        </w:rPr>
        <w:t>\mathfrak{V}</w:t>
      </w:r>
      <w:r>
        <w:t>{F}</w:t>
      </w:r>
      <w:r>
        <w:br/>
        <w:t>\right)</w:t>
      </w:r>
    </w:p>
    <w:p w:rsidR="000D28F9" w:rsidRDefault="000D28F9" w:rsidP="00632D23">
      <w:pPr>
        <w:numPr>
          <w:ilvl w:val="0"/>
          <w:numId w:val="202"/>
        </w:numPr>
        <w:spacing w:before="100" w:beforeAutospacing="1" w:after="100" w:afterAutospacing="1"/>
      </w:pPr>
    </w:p>
    <w:p w:rsidR="000D28F9" w:rsidRDefault="000D28F9" w:rsidP="000D28F9">
      <w:pPr>
        <w:pStyle w:val="StandardWeb"/>
      </w:pPr>
      <w:r>
        <w:t>\tag{3.5661}</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\operatorname{Verg}_{F}\left(\mathfrak{V}_{F}\right)=1\qquad\text{(3.5661)}</w:t>
      </w:r>
    </w:p>
    <w:p w:rsidR="000D28F9" w:rsidRPr="00AF32B2" w:rsidRDefault="000D28F9" w:rsidP="00AF32B2">
      <w:pPr>
        <w:pStyle w:val="berschrift4"/>
      </w:pPr>
      <w:r w:rsidRPr="00AF32B2">
        <w:t>3.3.32.4 Formale Vergleichbarkeit</w:t>
      </w:r>
    </w:p>
    <w:p w:rsidR="000D28F9" w:rsidRDefault="000D28F9" w:rsidP="000D28F9">
      <w:pPr>
        <w:pStyle w:val="StandardWeb"/>
      </w:pPr>
      <w:r>
        <w:t>Zwei Modellinstanzen sind formal vergleichbar, wenn ihre relevanten Trägermengen, Relationen und Abbildungen durch geeignete Strukturabbildungen aufeinander bezogen werden können.</w:t>
      </w:r>
    </w:p>
    <w:p w:rsidR="000D28F9" w:rsidRDefault="000D28F9" w:rsidP="000D28F9">
      <w:pPr>
        <w:pStyle w:val="StandardWeb"/>
      </w:pPr>
      <w:r>
        <w:t>Seien</w:t>
      </w:r>
    </w:p>
    <w:p w:rsidR="000D28F9" w:rsidRDefault="000D28F9" w:rsidP="000D28F9">
      <w:pPr>
        <w:pStyle w:val="berschrift1"/>
      </w:pPr>
      <w:r>
        <w:lastRenderedPageBreak/>
        <w:t>[</w:t>
      </w:r>
      <w:r>
        <w:br/>
        <w:t>\mathcal{M}_{1}</w:t>
      </w:r>
    </w:p>
    <w:p w:rsidR="000D28F9" w:rsidRDefault="000D28F9" w:rsidP="000D28F9">
      <w:pPr>
        <w:pStyle w:val="StandardWeb"/>
      </w:pPr>
      <w:r>
        <w:t>\left(</w:t>
      </w:r>
      <w:r>
        <w:br/>
        <w:t>S_{1},</w:t>
      </w:r>
      <w:r>
        <w:br/>
        <w:t>R_{1},</w:t>
      </w:r>
      <w:r>
        <w:br/>
        <w:t>T_{1}</w:t>
      </w:r>
      <w:r>
        <w:br/>
        <w:t>\right)</w:t>
      </w:r>
      <w:r>
        <w:br/>
        <w:t>\tag{3.5662}</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\mathcal{M}_{1}=\left(S_{1},R_{1},T_{1}\right)\qquad\text{(3.5662)}</w:t>
      </w:r>
    </w:p>
    <w:p w:rsidR="000D28F9" w:rsidRDefault="000D28F9" w:rsidP="000D28F9">
      <w:pPr>
        <w:pStyle w:val="StandardWeb"/>
      </w:pPr>
      <w:r>
        <w:t>und</w:t>
      </w:r>
    </w:p>
    <w:p w:rsidR="000D28F9" w:rsidRDefault="000D28F9" w:rsidP="000D28F9">
      <w:pPr>
        <w:pStyle w:val="berschrift1"/>
      </w:pPr>
      <w:r>
        <w:t>[</w:t>
      </w:r>
      <w:r>
        <w:br/>
        <w:t>\mathcal{M}_{2}</w:t>
      </w:r>
    </w:p>
    <w:p w:rsidR="000D28F9" w:rsidRDefault="000D28F9" w:rsidP="000D28F9">
      <w:pPr>
        <w:pStyle w:val="StandardWeb"/>
      </w:pPr>
      <w:r>
        <w:t>\left(</w:t>
      </w:r>
      <w:r>
        <w:br/>
        <w:t>S_{2},</w:t>
      </w:r>
      <w:r>
        <w:br/>
        <w:t>R_{2},</w:t>
      </w:r>
      <w:r>
        <w:br/>
        <w:t>T_{2}</w:t>
      </w:r>
      <w:r>
        <w:br/>
        <w:t>\right).</w:t>
      </w:r>
      <w:r>
        <w:br/>
        <w:t>\tag{3.5663}</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\mathcal{M}_{2}=\left(S_{2},R_{2},T_{2}\right)\qquad\text{(3.5663)}</w:t>
      </w:r>
    </w:p>
    <w:p w:rsidR="000D28F9" w:rsidRDefault="000D28F9" w:rsidP="000D28F9">
      <w:pPr>
        <w:pStyle w:val="StandardWeb"/>
      </w:pPr>
      <w:r>
        <w:t>Eine formale Vergleichsabbildung lautet</w:t>
      </w:r>
    </w:p>
    <w:p w:rsidR="000D28F9" w:rsidRDefault="000D28F9" w:rsidP="000D28F9">
      <w:pPr>
        <w:pStyle w:val="StandardWeb"/>
      </w:pPr>
      <w:r>
        <w:t>[</w:t>
      </w:r>
      <w:r>
        <w:br/>
        <w:t>\Phi_{S}:</w:t>
      </w:r>
      <w:r>
        <w:br/>
        <w:t>S_{1}</w:t>
      </w:r>
      <w:r>
        <w:br/>
        <w:t>\rightarrow</w:t>
      </w:r>
      <w:r>
        <w:br/>
        <w:t>S_{2}.</w:t>
      </w:r>
      <w:r>
        <w:br/>
        <w:t>\tag{3.5664}</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\Phi_{S}:S_{1}\rightarrow S_{2}\qquad\text{(3.5664)}</w:t>
      </w:r>
    </w:p>
    <w:p w:rsidR="000D28F9" w:rsidRDefault="000D28F9" w:rsidP="000D28F9">
      <w:pPr>
        <w:pStyle w:val="StandardWeb"/>
      </w:pPr>
      <w:r>
        <w:t>Für Relationen muss gelten</w:t>
      </w:r>
    </w:p>
    <w:p w:rsidR="000D28F9" w:rsidRDefault="000D28F9" w:rsidP="000D28F9">
      <w:pPr>
        <w:pStyle w:val="StandardWeb"/>
      </w:pPr>
      <w:r>
        <w:lastRenderedPageBreak/>
        <w:t>[</w:t>
      </w:r>
      <w:r>
        <w:br/>
        <w:t>(s_i,s_j)</w:t>
      </w:r>
      <w:r>
        <w:br/>
        <w:t>\in</w:t>
      </w:r>
      <w:r>
        <w:br/>
        <w:t>R_{1}</w:t>
      </w:r>
      <w:r>
        <w:br/>
        <w:t>\Rightarrow</w:t>
      </w:r>
      <w:r>
        <w:br/>
        <w:t>\left(</w:t>
      </w:r>
      <w:r>
        <w:br/>
        <w:t>\Phi_{S}(s_i),</w:t>
      </w:r>
      <w:r>
        <w:br/>
        <w:t>\Phi_{S}(s_j)</w:t>
      </w:r>
      <w:r>
        <w:br/>
        <w:t>\right)</w:t>
      </w:r>
      <w:r>
        <w:br/>
        <w:t>\in</w:t>
      </w:r>
      <w:r>
        <w:br/>
        <w:t>R_{2}.</w:t>
      </w:r>
      <w:r>
        <w:br/>
        <w:t>\tag{3.5665}</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(s_i,s_j)\in R_{1}\Rightarrow\left(\Phi_{S}(s_i),\Phi_{S}(s_j)\right)\in R_{2}\qquad\text{(3.5665)}</w:t>
      </w:r>
    </w:p>
    <w:p w:rsidR="000D28F9" w:rsidRDefault="000D28F9" w:rsidP="000D28F9">
      <w:pPr>
        <w:pStyle w:val="StandardWeb"/>
      </w:pPr>
      <w:r>
        <w:t>Für Transformationen muss gelten</w:t>
      </w:r>
    </w:p>
    <w:p w:rsidR="000D28F9" w:rsidRDefault="000D28F9" w:rsidP="000D28F9">
      <w:pPr>
        <w:pStyle w:val="berschrift1"/>
      </w:pPr>
      <w:r>
        <w:t>[</w:t>
      </w:r>
      <w:r>
        <w:br/>
        <w:t>\Phi_{S}</w:t>
      </w:r>
      <w:r>
        <w:br/>
        <w:t>\circ</w:t>
      </w:r>
      <w:r>
        <w:br/>
        <w:t>T_{1}</w:t>
      </w:r>
    </w:p>
    <w:p w:rsidR="000D28F9" w:rsidRDefault="000D28F9" w:rsidP="000D28F9">
      <w:pPr>
        <w:pStyle w:val="StandardWeb"/>
      </w:pPr>
      <w:r>
        <w:t>T_{2}</w:t>
      </w:r>
      <w:r>
        <w:br/>
        <w:t>\circ</w:t>
      </w:r>
      <w:r>
        <w:br/>
        <w:t>\Phi_{S}.</w:t>
      </w:r>
      <w:r>
        <w:br/>
        <w:t>\tag{3.5666}</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\Phi_{S}\circ T_{1}=T_{2}\circ\Phi_{S}\qquad\text{(3.5666)}</w:t>
      </w:r>
    </w:p>
    <w:p w:rsidR="000D28F9" w:rsidRPr="00AF32B2" w:rsidRDefault="000D28F9" w:rsidP="00AF32B2">
      <w:pPr>
        <w:pStyle w:val="berschrift4"/>
      </w:pPr>
      <w:r w:rsidRPr="00AF32B2">
        <w:t>3.3.32.5 Isomorphe und nichtisomorphe Vergleichbarkeit</w:t>
      </w:r>
    </w:p>
    <w:p w:rsidR="000D28F9" w:rsidRDefault="000D28F9" w:rsidP="000D28F9">
      <w:pPr>
        <w:pStyle w:val="StandardWeb"/>
      </w:pPr>
      <w:r>
        <w:t>Sind die relevanten Strukturen vollständig isomorph, gilt</w:t>
      </w:r>
    </w:p>
    <w:p w:rsidR="000D28F9" w:rsidRDefault="000D28F9" w:rsidP="000D28F9">
      <w:pPr>
        <w:pStyle w:val="StandardWeb"/>
      </w:pPr>
      <w:r>
        <w:t>[</w:t>
      </w:r>
      <w:r>
        <w:br/>
        <w:t>\mathcal{M}</w:t>
      </w:r>
      <w:r>
        <w:rPr>
          <w:rStyle w:val="Hervorhebung"/>
        </w:rPr>
        <w:t>{1}</w:t>
      </w:r>
      <w:r>
        <w:rPr>
          <w:i/>
          <w:iCs/>
        </w:rPr>
        <w:br/>
      </w:r>
      <w:r>
        <w:rPr>
          <w:rStyle w:val="Hervorhebung"/>
        </w:rPr>
        <w:t>\cong</w:t>
      </w:r>
      <w:r>
        <w:rPr>
          <w:i/>
          <w:iCs/>
        </w:rPr>
        <w:br/>
      </w:r>
      <w:r>
        <w:rPr>
          <w:rStyle w:val="Hervorhebung"/>
        </w:rPr>
        <w:t>\mathcal{M}</w:t>
      </w:r>
      <w:r>
        <w:t>{2}.</w:t>
      </w:r>
      <w:r>
        <w:br/>
        <w:t>\tag{3.5667}</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lastRenderedPageBreak/>
        <w:t>\mathcal{M}_{1}\cong\mathcal{M}_{2}\qquad\text{(3.5667)}</w:t>
      </w:r>
    </w:p>
    <w:p w:rsidR="000D28F9" w:rsidRDefault="000D28F9" w:rsidP="000D28F9">
      <w:pPr>
        <w:pStyle w:val="StandardWeb"/>
      </w:pPr>
      <w:r>
        <w:t>Eine vollständige Isomorphie ist für empirische Vergleichbarkeit jedoch nicht immer erforderlich. Häufig genügt eine Homomorphie oder partielle strukturerhaltende Abbildung.</w:t>
      </w:r>
    </w:p>
    <w:p w:rsidR="000D28F9" w:rsidRDefault="000D28F9" w:rsidP="000D28F9">
      <w:pPr>
        <w:pStyle w:val="StandardWeb"/>
      </w:pPr>
      <w:r>
        <w:t>Eine partielle Abbildung lautet</w:t>
      </w:r>
    </w:p>
    <w:p w:rsidR="000D28F9" w:rsidRDefault="000D28F9" w:rsidP="000D28F9">
      <w:pPr>
        <w:pStyle w:val="StandardWeb"/>
      </w:pPr>
      <w:r>
        <w:t>[</w:t>
      </w:r>
      <w:r>
        <w:br/>
        <w:t>\Phi_{S}:</w:t>
      </w:r>
      <w:r>
        <w:br/>
        <w:t>S_{1}^{\ast}</w:t>
      </w:r>
      <w:r>
        <w:br/>
        <w:t>\rightarrow</w:t>
      </w:r>
      <w:r>
        <w:br/>
        <w:t>S_{2}^{\ast},</w:t>
      </w:r>
      <w:r>
        <w:br/>
        <w:t>\tag{3.5668}</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\Phi_{S}:S_{1}^{\ast}\rightarrow S_{2}^{\ast}\qquad\text{(3.5668)}</w:t>
      </w:r>
    </w:p>
    <w:p w:rsidR="000D28F9" w:rsidRDefault="000D28F9" w:rsidP="000D28F9">
      <w:pPr>
        <w:pStyle w:val="StandardWeb"/>
      </w:pPr>
      <w:r>
        <w:t>wobei</w:t>
      </w:r>
    </w:p>
    <w:p w:rsidR="000D28F9" w:rsidRDefault="000D28F9" w:rsidP="000D28F9">
      <w:pPr>
        <w:pStyle w:val="StandardWeb"/>
      </w:pPr>
      <w:r>
        <w:t>[</w:t>
      </w:r>
      <w:r>
        <w:br/>
        <w:t>S_{1}^{\ast}</w:t>
      </w:r>
      <w:r>
        <w:br/>
        <w:t>\subseteq</w:t>
      </w:r>
      <w:r>
        <w:br/>
        <w:t>S_{1}</w:t>
      </w:r>
      <w:r>
        <w:br/>
        <w:t>\tag{3.5669}</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S_{1}^{\ast}\subseteq S_{1}\qquad\text{(3.5669)}</w:t>
      </w:r>
    </w:p>
    <w:p w:rsidR="000D28F9" w:rsidRDefault="000D28F9" w:rsidP="000D28F9">
      <w:pPr>
        <w:pStyle w:val="StandardWeb"/>
      </w:pPr>
      <w:r>
        <w:t>und</w:t>
      </w:r>
    </w:p>
    <w:p w:rsidR="000D28F9" w:rsidRDefault="000D28F9" w:rsidP="000D28F9">
      <w:pPr>
        <w:pStyle w:val="StandardWeb"/>
      </w:pPr>
      <w:r>
        <w:t>[</w:t>
      </w:r>
      <w:r>
        <w:br/>
        <w:t>S_{2}^{\ast}</w:t>
      </w:r>
      <w:r>
        <w:br/>
        <w:t>\subseteq</w:t>
      </w:r>
      <w:r>
        <w:br/>
        <w:t>S_{2}</w:t>
      </w:r>
      <w:r>
        <w:br/>
        <w:t>\tag{3.5670}</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S_{2}^{\ast}\subseteq S_{2}\qquad\text{(3.5670)}</w:t>
      </w:r>
    </w:p>
    <w:p w:rsidR="000D28F9" w:rsidRDefault="000D28F9" w:rsidP="000D28F9">
      <w:pPr>
        <w:pStyle w:val="StandardWeb"/>
      </w:pPr>
      <w:r>
        <w:t>gelten.</w:t>
      </w:r>
    </w:p>
    <w:p w:rsidR="000D28F9" w:rsidRDefault="000D28F9" w:rsidP="000D28F9">
      <w:pPr>
        <w:pStyle w:val="StandardWeb"/>
      </w:pPr>
      <w:r>
        <w:rPr>
          <w:rStyle w:val="Fett"/>
        </w:rPr>
        <w:t>Eigenleistung des FRZK</w:t>
      </w:r>
    </w:p>
    <w:p w:rsidR="000D28F9" w:rsidRDefault="000D28F9" w:rsidP="000D28F9">
      <w:pPr>
        <w:pStyle w:val="StandardWeb"/>
      </w:pPr>
      <w:r>
        <w:t>Ich unterscheide vollständige Modellgleichheit von aussagebezogener Vergleichbarkeit. Für die Übertragung einer konkreten Aussage müssen nur diejenigen Strukturen erhalten bleiben, die tatsächlich in ihre Ableitung eingehen.</w:t>
      </w:r>
    </w:p>
    <w:p w:rsidR="000D28F9" w:rsidRPr="00AF32B2" w:rsidRDefault="000D28F9" w:rsidP="00AF32B2">
      <w:pPr>
        <w:pStyle w:val="berschrift4"/>
      </w:pPr>
      <w:r w:rsidRPr="00AF32B2">
        <w:lastRenderedPageBreak/>
        <w:t>3.3.32.6 Vergleichbarkeit von Variablen</w:t>
      </w:r>
    </w:p>
    <w:p w:rsidR="000D28F9" w:rsidRDefault="000D28F9" w:rsidP="000D28F9">
      <w:pPr>
        <w:pStyle w:val="StandardWeb"/>
      </w:pPr>
      <w:r>
        <w:t>Zwei empirische Variablen</w:t>
      </w:r>
    </w:p>
    <w:p w:rsidR="000D28F9" w:rsidRDefault="000D28F9" w:rsidP="000D28F9">
      <w:pPr>
        <w:pStyle w:val="StandardWeb"/>
      </w:pPr>
      <w:r>
        <w:t>[</w:t>
      </w:r>
      <w:r>
        <w:br/>
        <w:t>X^{(1)}</w:t>
      </w:r>
      <w:r>
        <w:br/>
        <w:t>\tag{3.5671}</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X^{(1)}\qquad\text{(3.5671)}</w:t>
      </w:r>
    </w:p>
    <w:p w:rsidR="000D28F9" w:rsidRDefault="000D28F9" w:rsidP="000D28F9">
      <w:pPr>
        <w:pStyle w:val="StandardWeb"/>
      </w:pPr>
      <w:r>
        <w:t>und</w:t>
      </w:r>
    </w:p>
    <w:p w:rsidR="000D28F9" w:rsidRDefault="000D28F9" w:rsidP="000D28F9">
      <w:pPr>
        <w:pStyle w:val="StandardWeb"/>
      </w:pPr>
      <w:r>
        <w:t>[</w:t>
      </w:r>
      <w:r>
        <w:br/>
        <w:t>X^{(2)}</w:t>
      </w:r>
      <w:r>
        <w:br/>
        <w:t>\tag{3.5672}</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X^{(2)}\qquad\text{(3.5672)}</w:t>
      </w:r>
    </w:p>
    <w:p w:rsidR="000D28F9" w:rsidRDefault="000D28F9" w:rsidP="000D28F9">
      <w:pPr>
        <w:pStyle w:val="StandardWeb"/>
      </w:pPr>
      <w:r>
        <w:t>sind nicht bereits deshalb vergleichbar, weil sie denselben Namen besitzen.</w:t>
      </w:r>
    </w:p>
    <w:p w:rsidR="000D28F9" w:rsidRDefault="000D28F9" w:rsidP="000D28F9">
      <w:pPr>
        <w:pStyle w:val="StandardWeb"/>
      </w:pPr>
      <w:r>
        <w:t>Eine Variablenabbildung lautet</w:t>
      </w:r>
    </w:p>
    <w:p w:rsidR="000D28F9" w:rsidRDefault="000D28F9" w:rsidP="000D28F9">
      <w:pPr>
        <w:pStyle w:val="StandardWeb"/>
      </w:pPr>
      <w:r>
        <w:t>[</w:t>
      </w:r>
      <w:r>
        <w:br/>
        <w:t>\Phi_{X}:</w:t>
      </w:r>
      <w:r>
        <w:br/>
        <w:t>X^{(1)}</w:t>
      </w:r>
      <w:r>
        <w:br/>
        <w:t>\rightarrow</w:t>
      </w:r>
      <w:r>
        <w:br/>
        <w:t>X^{(2)}.</w:t>
      </w:r>
      <w:r>
        <w:br/>
        <w:t>\tag{3.5673}</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\Phi_{X}:X^{(1)}\rightarrow X^{(2)}\qquad\text{(3.5673)}</w:t>
      </w:r>
    </w:p>
    <w:p w:rsidR="000D28F9" w:rsidRDefault="000D28F9" w:rsidP="000D28F9">
      <w:pPr>
        <w:pStyle w:val="StandardWeb"/>
      </w:pPr>
      <w:r>
        <w:t>Sie muss mindestens Skala, Einheit, Definitionsbereich und empirische Bedeutung berücksichtigen.</w:t>
      </w:r>
    </w:p>
    <w:p w:rsidR="000D28F9" w:rsidRDefault="000D28F9" w:rsidP="000D28F9">
      <w:pPr>
        <w:pStyle w:val="StandardWeb"/>
      </w:pPr>
      <w:r>
        <w:t>Die Vergleichbarkeit einer Variablen kann schematisch geschrieben werden als</w:t>
      </w:r>
    </w:p>
    <w:p w:rsidR="000D28F9" w:rsidRDefault="000D28F9" w:rsidP="000D28F9">
      <w:pPr>
        <w:pStyle w:val="berschrift1"/>
      </w:pPr>
      <w:r>
        <w:t>[</w:t>
      </w:r>
      <w:r>
        <w:br/>
        <w:t>\operatorname{Verg}_{X}</w:t>
      </w:r>
    </w:p>
    <w:p w:rsidR="000D28F9" w:rsidRDefault="000D28F9" w:rsidP="000D28F9">
      <w:pPr>
        <w:pStyle w:val="StandardWeb"/>
      </w:pPr>
      <w:r>
        <w:t>C_{\mathrm{def}}</w:t>
      </w:r>
      <w:r>
        <w:br/>
        <w:t>\land</w:t>
      </w:r>
      <w:r>
        <w:br/>
      </w:r>
      <w:r>
        <w:lastRenderedPageBreak/>
        <w:t>C_{\mathrm{skala}}</w:t>
      </w:r>
      <w:r>
        <w:br/>
        <w:t>\land</w:t>
      </w:r>
      <w:r>
        <w:br/>
        <w:t>C_{\mathrm{einheit}}</w:t>
      </w:r>
      <w:r>
        <w:br/>
        <w:t>\land</w:t>
      </w:r>
      <w:r>
        <w:br/>
        <w:t>C_{\mathrm{mess}}.</w:t>
      </w:r>
      <w:r>
        <w:br/>
        <w:t>\tag{3.5674}</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\operatorname{Verg}_{X}=C_{\mathrm{def}}\land C_{\mathrm{skala}}\land C_{\mathrm{einheit}}\land C_{\mathrm{mess}}\qquad\text{(3.5674)}</w:t>
      </w:r>
    </w:p>
    <w:p w:rsidR="000D28F9" w:rsidRPr="00AF32B2" w:rsidRDefault="000D28F9" w:rsidP="00AF32B2">
      <w:pPr>
        <w:pStyle w:val="berschrift4"/>
      </w:pPr>
      <w:r w:rsidRPr="00AF32B2">
        <w:t>3.3.32.7 Operationalisierungsvergleichbarkeit</w:t>
      </w:r>
    </w:p>
    <w:p w:rsidR="000D28F9" w:rsidRDefault="000D28F9" w:rsidP="000D28F9">
      <w:pPr>
        <w:pStyle w:val="StandardWeb"/>
      </w:pPr>
      <w:r>
        <w:t>Die Operationalisierungen beider Kontexte lauten</w:t>
      </w:r>
    </w:p>
    <w:p w:rsidR="000D28F9" w:rsidRDefault="000D28F9" w:rsidP="000D28F9">
      <w:pPr>
        <w:pStyle w:val="StandardWeb"/>
      </w:pPr>
      <w:r>
        <w:t>[</w:t>
      </w:r>
      <w:r>
        <w:br/>
        <w:t>\mathcal{O}</w:t>
      </w:r>
      <w:r>
        <w:rPr>
          <w:rStyle w:val="Hervorhebung"/>
        </w:rPr>
        <w:t>{1}:</w:t>
      </w:r>
      <w:r>
        <w:rPr>
          <w:i/>
          <w:iCs/>
        </w:rPr>
        <w:br/>
      </w:r>
      <w:r>
        <w:rPr>
          <w:rStyle w:val="Hervorhebung"/>
        </w:rPr>
        <w:t>\mathcal{D}</w:t>
      </w:r>
      <w:r>
        <w:t>{1}</w:t>
      </w:r>
      <w:r>
        <w:br/>
        <w:t>\rightarrow</w:t>
      </w:r>
      <w:r>
        <w:br/>
        <w:t>\mathcal{S}_{1}</w:t>
      </w:r>
      <w:r>
        <w:br/>
        <w:t>\tag{3.5675}</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\mathcal{O}_{1}:\mathcal{D}_{1}\rightarrow\mathcal{S}_{1}\qquad\text{(3.5675)}</w:t>
      </w:r>
    </w:p>
    <w:p w:rsidR="000D28F9" w:rsidRDefault="000D28F9" w:rsidP="000D28F9">
      <w:pPr>
        <w:pStyle w:val="StandardWeb"/>
      </w:pPr>
      <w:r>
        <w:t>und</w:t>
      </w:r>
    </w:p>
    <w:p w:rsidR="000D28F9" w:rsidRDefault="000D28F9" w:rsidP="000D28F9">
      <w:pPr>
        <w:pStyle w:val="StandardWeb"/>
      </w:pPr>
      <w:r>
        <w:t>[</w:t>
      </w:r>
      <w:r>
        <w:br/>
        <w:t>\mathcal{O}</w:t>
      </w:r>
      <w:r>
        <w:rPr>
          <w:rStyle w:val="Hervorhebung"/>
        </w:rPr>
        <w:t>{2}:</w:t>
      </w:r>
      <w:r>
        <w:rPr>
          <w:i/>
          <w:iCs/>
        </w:rPr>
        <w:br/>
      </w:r>
      <w:r>
        <w:rPr>
          <w:rStyle w:val="Hervorhebung"/>
        </w:rPr>
        <w:t>\mathcal{D}</w:t>
      </w:r>
      <w:r>
        <w:t>{2}</w:t>
      </w:r>
      <w:r>
        <w:br/>
        <w:t>\rightarrow</w:t>
      </w:r>
      <w:r>
        <w:br/>
        <w:t>\mathcal{S}_{2}.</w:t>
      </w:r>
      <w:r>
        <w:br/>
        <w:t>\tag{3.5676}</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\mathcal{O}_{2}:\mathcal{D}_{2}\rightarrow\mathcal{S}_{2}\qquad\text{(3.5676)}</w:t>
      </w:r>
    </w:p>
    <w:p w:rsidR="000D28F9" w:rsidRDefault="000D28F9" w:rsidP="000D28F9">
      <w:pPr>
        <w:pStyle w:val="StandardWeb"/>
      </w:pPr>
      <w:r>
        <w:t>Operationalisierungsvergleichbarkeit verlangt ein kommutierendes Verhältnis</w:t>
      </w:r>
    </w:p>
    <w:p w:rsidR="000D28F9" w:rsidRDefault="000D28F9" w:rsidP="000D28F9">
      <w:pPr>
        <w:pStyle w:val="berschrift1"/>
      </w:pPr>
      <w:r>
        <w:t>[</w:t>
      </w:r>
      <w:r>
        <w:br/>
        <w:t>\Phi_{S}</w:t>
      </w:r>
      <w:r>
        <w:br/>
      </w:r>
      <w:r>
        <w:lastRenderedPageBreak/>
        <w:t>\circ</w:t>
      </w:r>
      <w:r>
        <w:br/>
        <w:t>\mathcal{O}_{1}</w:t>
      </w:r>
    </w:p>
    <w:p w:rsidR="000D28F9" w:rsidRDefault="000D28F9" w:rsidP="000D28F9">
      <w:pPr>
        <w:pStyle w:val="StandardWeb"/>
      </w:pPr>
      <w:r>
        <w:t>\mathcal{O}</w:t>
      </w:r>
      <w:r>
        <w:rPr>
          <w:rStyle w:val="Hervorhebung"/>
        </w:rPr>
        <w:t>{2}</w:t>
      </w:r>
      <w:r>
        <w:rPr>
          <w:i/>
          <w:iCs/>
        </w:rPr>
        <w:br/>
      </w:r>
      <w:r>
        <w:rPr>
          <w:rStyle w:val="Hervorhebung"/>
        </w:rPr>
        <w:t>\circ</w:t>
      </w:r>
      <w:r>
        <w:rPr>
          <w:i/>
          <w:iCs/>
        </w:rPr>
        <w:br/>
      </w:r>
      <w:r>
        <w:rPr>
          <w:rStyle w:val="Hervorhebung"/>
        </w:rPr>
        <w:t>\Phi</w:t>
      </w:r>
      <w:r>
        <w:t>{D}.</w:t>
      </w:r>
      <w:r>
        <w:br/>
        <w:t>\tag{3.5677}</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\Phi_{S}\circ\mathcal{O}_{1}=\mathcal{O}_{2}\circ\Phi_{D}\qquad\text{(3.5677)}</w:t>
      </w:r>
    </w:p>
    <w:p w:rsidR="000D28F9" w:rsidRDefault="000D28F9" w:rsidP="000D28F9">
      <w:pPr>
        <w:pStyle w:val="StandardWeb"/>
      </w:pPr>
      <w:r>
        <w:t>Dabei bildet</w:t>
      </w:r>
    </w:p>
    <w:p w:rsidR="000D28F9" w:rsidRDefault="000D28F9" w:rsidP="000D28F9">
      <w:pPr>
        <w:pStyle w:val="StandardWeb"/>
      </w:pPr>
      <w:r>
        <w:t>[</w:t>
      </w:r>
      <w:r>
        <w:br/>
        <w:t>\Phi_{D}:</w:t>
      </w:r>
      <w:r>
        <w:br/>
        <w:t>\mathcal{D}</w:t>
      </w:r>
      <w:r>
        <w:rPr>
          <w:rStyle w:val="Hervorhebung"/>
        </w:rPr>
        <w:t>{1}</w:t>
      </w:r>
      <w:r>
        <w:rPr>
          <w:i/>
          <w:iCs/>
        </w:rPr>
        <w:br/>
      </w:r>
      <w:r>
        <w:rPr>
          <w:rStyle w:val="Hervorhebung"/>
        </w:rPr>
        <w:t>\rightarrow</w:t>
      </w:r>
      <w:r>
        <w:rPr>
          <w:i/>
          <w:iCs/>
        </w:rPr>
        <w:br/>
      </w:r>
      <w:r>
        <w:rPr>
          <w:rStyle w:val="Hervorhebung"/>
        </w:rPr>
        <w:t>\mathcal{D}</w:t>
      </w:r>
      <w:r>
        <w:t>{2}</w:t>
      </w:r>
      <w:r>
        <w:br/>
        <w:t>\tag{3.5678}</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\Phi_{D}:\mathcal{D}_{1}\rightarrow\mathcal{D}_{2}\qquad\text{(3.5678)}</w:t>
      </w:r>
    </w:p>
    <w:p w:rsidR="000D28F9" w:rsidRDefault="000D28F9" w:rsidP="000D28F9">
      <w:pPr>
        <w:pStyle w:val="StandardWeb"/>
      </w:pPr>
      <w:r>
        <w:t>vergleichbare empirische Beobachtungen aufeinander ab.</w:t>
      </w:r>
    </w:p>
    <w:p w:rsidR="000D28F9" w:rsidRPr="00AF32B2" w:rsidRDefault="000D28F9" w:rsidP="00AF32B2">
      <w:pPr>
        <w:pStyle w:val="berschrift4"/>
      </w:pPr>
      <w:r w:rsidRPr="00AF32B2">
        <w:t>3.3.32.8 Messinvarianz</w:t>
      </w:r>
    </w:p>
    <w:p w:rsidR="000D28F9" w:rsidRDefault="000D28F9" w:rsidP="000D28F9">
      <w:pPr>
        <w:pStyle w:val="StandardWeb"/>
      </w:pPr>
      <w:r>
        <w:t>Eine Messfunktion im ersten Kontext lautet</w:t>
      </w:r>
    </w:p>
    <w:p w:rsidR="000D28F9" w:rsidRDefault="000D28F9" w:rsidP="000D28F9">
      <w:pPr>
        <w:pStyle w:val="StandardWeb"/>
      </w:pPr>
      <w:r>
        <w:t>[</w:t>
      </w:r>
      <w:r>
        <w:br/>
        <w:t>m_{1}:</w:t>
      </w:r>
      <w:r>
        <w:br/>
        <w:t>\mathcal{Z}</w:t>
      </w:r>
      <w:r>
        <w:rPr>
          <w:rStyle w:val="Hervorhebung"/>
        </w:rPr>
        <w:t>{1}</w:t>
      </w:r>
      <w:r>
        <w:rPr>
          <w:i/>
          <w:iCs/>
        </w:rPr>
        <w:br/>
      </w:r>
      <w:r>
        <w:rPr>
          <w:rStyle w:val="Hervorhebung"/>
        </w:rPr>
        <w:t>\rightarrow</w:t>
      </w:r>
      <w:r>
        <w:rPr>
          <w:i/>
          <w:iCs/>
        </w:rPr>
        <w:br/>
      </w:r>
      <w:r>
        <w:rPr>
          <w:rStyle w:val="Hervorhebung"/>
        </w:rPr>
        <w:t>\mathcal{Y}</w:t>
      </w:r>
      <w:r>
        <w:t>{1}.</w:t>
      </w:r>
      <w:r>
        <w:br/>
        <w:t>\tag{3.5679}</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m_{1}:\mathcal{Z}_{1}\rightarrow\mathcal{Y}_{1}\qquad\text{(3.5679)}</w:t>
      </w:r>
    </w:p>
    <w:p w:rsidR="000D28F9" w:rsidRDefault="000D28F9" w:rsidP="000D28F9">
      <w:pPr>
        <w:pStyle w:val="StandardWeb"/>
      </w:pPr>
      <w:r>
        <w:t>Im zweiten Kontext gilt</w:t>
      </w:r>
    </w:p>
    <w:p w:rsidR="000D28F9" w:rsidRDefault="000D28F9" w:rsidP="000D28F9">
      <w:pPr>
        <w:pStyle w:val="StandardWeb"/>
      </w:pPr>
      <w:r>
        <w:t>[</w:t>
      </w:r>
      <w:r>
        <w:br/>
        <w:t>m_{2}:</w:t>
      </w:r>
      <w:r>
        <w:br/>
      </w:r>
      <w:r>
        <w:lastRenderedPageBreak/>
        <w:t>\mathcal{Z}</w:t>
      </w:r>
      <w:r>
        <w:rPr>
          <w:rStyle w:val="Hervorhebung"/>
        </w:rPr>
        <w:t>{2}</w:t>
      </w:r>
      <w:r>
        <w:rPr>
          <w:i/>
          <w:iCs/>
        </w:rPr>
        <w:br/>
      </w:r>
      <w:r>
        <w:rPr>
          <w:rStyle w:val="Hervorhebung"/>
        </w:rPr>
        <w:t>\rightarrow</w:t>
      </w:r>
      <w:r>
        <w:rPr>
          <w:i/>
          <w:iCs/>
        </w:rPr>
        <w:br/>
      </w:r>
      <w:r>
        <w:rPr>
          <w:rStyle w:val="Hervorhebung"/>
        </w:rPr>
        <w:t>\mathcal{Y}</w:t>
      </w:r>
      <w:r>
        <w:t>{2}.</w:t>
      </w:r>
      <w:r>
        <w:br/>
        <w:t>\tag{3.5680}</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m_{2}:\mathcal{Z}_{2}\rightarrow\mathcal{Y}_{2}\qquad\text{(3.5680)}</w:t>
      </w:r>
    </w:p>
    <w:p w:rsidR="000D28F9" w:rsidRDefault="000D28F9" w:rsidP="000D28F9">
      <w:pPr>
        <w:pStyle w:val="StandardWeb"/>
      </w:pPr>
      <w:r>
        <w:t>Messinvarianz verlangt</w:t>
      </w:r>
    </w:p>
    <w:p w:rsidR="000D28F9" w:rsidRDefault="000D28F9" w:rsidP="000D28F9">
      <w:pPr>
        <w:pStyle w:val="berschrift1"/>
      </w:pPr>
      <w:r>
        <w:t>[</w:t>
      </w:r>
      <w:r>
        <w:br/>
        <w:t>\Phi_{Y}</w:t>
      </w:r>
      <w:r>
        <w:br/>
        <w:t>\circ</w:t>
      </w:r>
      <w:r>
        <w:br/>
        <w:t>m_{1}</w:t>
      </w:r>
    </w:p>
    <w:p w:rsidR="000D28F9" w:rsidRDefault="000D28F9" w:rsidP="000D28F9">
      <w:pPr>
        <w:pStyle w:val="StandardWeb"/>
      </w:pPr>
      <w:r>
        <w:t>m_{2}</w:t>
      </w:r>
      <w:r>
        <w:br/>
        <w:t>\circ</w:t>
      </w:r>
      <w:r>
        <w:br/>
        <w:t>\Phi_{Z}.</w:t>
      </w:r>
      <w:r>
        <w:br/>
        <w:t>\tag{3.5681}</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\Phi_{Y}\circ m_{1}=m_{2}\circ\Phi_{Z}\qquad\text{(3.5681)}</w:t>
      </w:r>
    </w:p>
    <w:p w:rsidR="000D28F9" w:rsidRDefault="000D28F9" w:rsidP="000D28F9">
      <w:pPr>
        <w:pStyle w:val="StandardWeb"/>
      </w:pPr>
      <w:r>
        <w:t>Eine Verletzung dieser Bedingung bedeutet, dass gleiche latente oder funktionale Zustände in beiden Kontexten zu unterschiedlichen Messwerten führen können.</w:t>
      </w:r>
    </w:p>
    <w:p w:rsidR="000D28F9" w:rsidRPr="00AF32B2" w:rsidRDefault="000D28F9" w:rsidP="00AF32B2">
      <w:pPr>
        <w:pStyle w:val="berschrift4"/>
      </w:pPr>
      <w:r w:rsidRPr="00AF32B2">
        <w:t>3.3.32.9 Skalenvergleichbarkeit</w:t>
      </w:r>
    </w:p>
    <w:p w:rsidR="000D28F9" w:rsidRDefault="000D28F9" w:rsidP="000D28F9">
      <w:pPr>
        <w:pStyle w:val="StandardWeb"/>
      </w:pPr>
      <w:r>
        <w:t>Seien die Skalen beider Kontexte</w:t>
      </w:r>
    </w:p>
    <w:p w:rsidR="000D28F9" w:rsidRDefault="000D28F9" w:rsidP="000D28F9">
      <w:pPr>
        <w:pStyle w:val="StandardWeb"/>
      </w:pPr>
      <w:r>
        <w:t>[</w:t>
      </w:r>
      <w:r>
        <w:br/>
        <w:t>\mathcal{Y}_{1}</w:t>
      </w:r>
      <w:r>
        <w:br/>
        <w:t>\tag{3.5682}</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\mathcal{Y}_{1}\qquad\text{(3.5682)}</w:t>
      </w:r>
    </w:p>
    <w:p w:rsidR="000D28F9" w:rsidRDefault="000D28F9" w:rsidP="000D28F9">
      <w:pPr>
        <w:pStyle w:val="StandardWeb"/>
      </w:pPr>
      <w:r>
        <w:t>und</w:t>
      </w:r>
    </w:p>
    <w:p w:rsidR="000D28F9" w:rsidRDefault="000D28F9" w:rsidP="000D28F9">
      <w:pPr>
        <w:pStyle w:val="StandardWeb"/>
      </w:pPr>
      <w:r>
        <w:t>[</w:t>
      </w:r>
      <w:r>
        <w:br/>
        <w:t>\mathcal{Y}_{2}.</w:t>
      </w:r>
      <w:r>
        <w:br/>
      </w:r>
      <w:r>
        <w:lastRenderedPageBreak/>
        <w:t>\tag{3.5683}</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\mathcal{Y}_{2}\qquad\text{(3.5683)}</w:t>
      </w:r>
    </w:p>
    <w:p w:rsidR="000D28F9" w:rsidRDefault="000D28F9" w:rsidP="000D28F9">
      <w:pPr>
        <w:pStyle w:val="StandardWeb"/>
      </w:pPr>
      <w:r>
        <w:t>Eine zulässige Skalenabbildung lautet</w:t>
      </w:r>
    </w:p>
    <w:p w:rsidR="000D28F9" w:rsidRDefault="000D28F9" w:rsidP="000D28F9">
      <w:pPr>
        <w:pStyle w:val="StandardWeb"/>
      </w:pPr>
      <w:r>
        <w:t>[</w:t>
      </w:r>
      <w:r>
        <w:br/>
        <w:t>g:</w:t>
      </w:r>
      <w:r>
        <w:br/>
        <w:t>\mathcal{Y}</w:t>
      </w:r>
      <w:r>
        <w:rPr>
          <w:rStyle w:val="Hervorhebung"/>
        </w:rPr>
        <w:t>{1}</w:t>
      </w:r>
      <w:r>
        <w:rPr>
          <w:i/>
          <w:iCs/>
        </w:rPr>
        <w:br/>
      </w:r>
      <w:r>
        <w:rPr>
          <w:rStyle w:val="Hervorhebung"/>
        </w:rPr>
        <w:t>\rightarrow</w:t>
      </w:r>
      <w:r>
        <w:rPr>
          <w:i/>
          <w:iCs/>
        </w:rPr>
        <w:br/>
      </w:r>
      <w:r>
        <w:rPr>
          <w:rStyle w:val="Hervorhebung"/>
        </w:rPr>
        <w:t>\mathcal{Y}</w:t>
      </w:r>
      <w:r>
        <w:t>{2}.</w:t>
      </w:r>
      <w:r>
        <w:br/>
        <w:t>\tag{3.5684}</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g:\mathcal{Y}_{1}\rightarrow\mathcal{Y}_{2}\qquad\text{(3.5684)}</w:t>
      </w:r>
    </w:p>
    <w:p w:rsidR="000D28F9" w:rsidRDefault="000D28F9" w:rsidP="000D28F9">
      <w:pPr>
        <w:pStyle w:val="StandardWeb"/>
      </w:pPr>
      <w:r>
        <w:t>Für ordinale Vergleichbarkeit muss gelten</w:t>
      </w:r>
    </w:p>
    <w:p w:rsidR="000D28F9" w:rsidRDefault="000D28F9" w:rsidP="000D28F9">
      <w:pPr>
        <w:pStyle w:val="StandardWeb"/>
      </w:pPr>
      <w:r>
        <w:t>[</w:t>
      </w:r>
      <w:r>
        <w:br/>
        <w:t>y_i</w:t>
      </w:r>
      <w:r>
        <w:br/>
        <w:t>&lt;</w:t>
      </w:r>
      <w:r>
        <w:br/>
        <w:t>y_j</w:t>
      </w:r>
      <w:r>
        <w:br/>
        <w:t>\iff</w:t>
      </w:r>
      <w:r>
        <w:br/>
        <w:t>g(y_i)</w:t>
      </w:r>
      <w:r>
        <w:br/>
        <w:t>&lt;</w:t>
      </w:r>
      <w:r>
        <w:br/>
        <w:t>g(y_j).</w:t>
      </w:r>
      <w:r>
        <w:br/>
        <w:t>\tag{3.5685}</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y_i&lt;y_j\iff g(y_i)&lt;g(y_j)\qquad\text{(3.5685)}</w:t>
      </w:r>
    </w:p>
    <w:p w:rsidR="000D28F9" w:rsidRDefault="000D28F9" w:rsidP="000D28F9">
      <w:pPr>
        <w:pStyle w:val="StandardWeb"/>
      </w:pPr>
      <w:r>
        <w:t>Für metrische Vergleichbarkeit muss zusätzlich das relevante Abstandsverhältnis erhalten bleiben.</w:t>
      </w:r>
    </w:p>
    <w:p w:rsidR="000D28F9" w:rsidRPr="00AF32B2" w:rsidRDefault="000D28F9" w:rsidP="00AF32B2">
      <w:pPr>
        <w:pStyle w:val="berschrift4"/>
      </w:pPr>
      <w:r w:rsidRPr="00AF32B2">
        <w:t>3.3.32.10 Vergleichbarkeit von Schwellenwerten</w:t>
      </w:r>
    </w:p>
    <w:p w:rsidR="000D28F9" w:rsidRDefault="000D28F9" w:rsidP="000D28F9">
      <w:pPr>
        <w:pStyle w:val="StandardWeb"/>
      </w:pPr>
      <w:r>
        <w:t>Die Schwellenwerte beider Kontexte lauten</w:t>
      </w:r>
    </w:p>
    <w:p w:rsidR="000D28F9" w:rsidRDefault="000D28F9" w:rsidP="000D28F9">
      <w:pPr>
        <w:pStyle w:val="StandardWeb"/>
      </w:pPr>
      <w:r>
        <w:t>[</w:t>
      </w:r>
      <w:r>
        <w:br/>
        <w:t>\tau_{1}</w:t>
      </w:r>
      <w:r>
        <w:br/>
        <w:t>\tag{3.5686}</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lastRenderedPageBreak/>
        <w:t>\tau_{1}\qquad\text{(3.5686)}</w:t>
      </w:r>
    </w:p>
    <w:p w:rsidR="000D28F9" w:rsidRDefault="000D28F9" w:rsidP="000D28F9">
      <w:pPr>
        <w:pStyle w:val="StandardWeb"/>
      </w:pPr>
      <w:r>
        <w:t>und</w:t>
      </w:r>
    </w:p>
    <w:p w:rsidR="000D28F9" w:rsidRDefault="000D28F9" w:rsidP="000D28F9">
      <w:pPr>
        <w:pStyle w:val="StandardWeb"/>
      </w:pPr>
      <w:r>
        <w:t>[</w:t>
      </w:r>
      <w:r>
        <w:br/>
        <w:t>\tau_{2}.</w:t>
      </w:r>
      <w:r>
        <w:br/>
        <w:t>\tag{3.5687}</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\tau_{2}\qquad\text{(3.5687)}</w:t>
      </w:r>
    </w:p>
    <w:p w:rsidR="000D28F9" w:rsidRDefault="000D28F9" w:rsidP="000D28F9">
      <w:pPr>
        <w:pStyle w:val="StandardWeb"/>
      </w:pPr>
      <w:r>
        <w:t>Bei einer reinen Skalentransformation muss gelten</w:t>
      </w:r>
    </w:p>
    <w:p w:rsidR="000D28F9" w:rsidRDefault="000D28F9" w:rsidP="000D28F9">
      <w:pPr>
        <w:pStyle w:val="berschrift1"/>
      </w:pPr>
      <w:r>
        <w:t>[</w:t>
      </w:r>
      <w:r>
        <w:br/>
        <w:t>\tau_{2}</w:t>
      </w:r>
    </w:p>
    <w:p w:rsidR="000D28F9" w:rsidRDefault="000D28F9" w:rsidP="000D28F9">
      <w:pPr>
        <w:pStyle w:val="StandardWeb"/>
      </w:pPr>
      <w:r>
        <w:t>g(\tau_{1}).</w:t>
      </w:r>
      <w:r>
        <w:br/>
        <w:t>\tag{3.5688}</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\tau_{2}=g(\tau_{1})\qquad\text{(3.5688)}</w:t>
      </w:r>
    </w:p>
    <w:p w:rsidR="000D28F9" w:rsidRDefault="000D28F9" w:rsidP="000D28F9">
      <w:pPr>
        <w:pStyle w:val="StandardWeb"/>
      </w:pPr>
      <w:r>
        <w:t>Eine unveränderte numerische Schwelle ist nur dann übertragbar, wenn die Skalen tatsächlich identisch sind.</w:t>
      </w:r>
    </w:p>
    <w:p w:rsidR="000D28F9" w:rsidRPr="00AF32B2" w:rsidRDefault="000D28F9" w:rsidP="00AF32B2">
      <w:pPr>
        <w:pStyle w:val="berschrift4"/>
      </w:pPr>
      <w:r w:rsidRPr="00AF32B2">
        <w:t>3.3.32.11 Populationsvergleichbarkeit</w:t>
      </w:r>
    </w:p>
    <w:p w:rsidR="000D28F9" w:rsidRDefault="000D28F9" w:rsidP="000D28F9">
      <w:pPr>
        <w:pStyle w:val="StandardWeb"/>
      </w:pPr>
      <w:r>
        <w:t>Die Ausgangspopulation bezeichne ich mit</w:t>
      </w:r>
    </w:p>
    <w:p w:rsidR="000D28F9" w:rsidRDefault="000D28F9" w:rsidP="000D28F9">
      <w:pPr>
        <w:pStyle w:val="StandardWeb"/>
      </w:pPr>
      <w:r>
        <w:t>[</w:t>
      </w:r>
      <w:r>
        <w:br/>
        <w:t>\mathcal{P}_{1}</w:t>
      </w:r>
      <w:r>
        <w:br/>
        <w:t>\tag{3.5689}</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\mathcal{P}_{1}\qquad\text{(3.5689)}</w:t>
      </w:r>
    </w:p>
    <w:p w:rsidR="000D28F9" w:rsidRDefault="000D28F9" w:rsidP="000D28F9">
      <w:pPr>
        <w:pStyle w:val="StandardWeb"/>
      </w:pPr>
      <w:r>
        <w:t>und die Zielpopulation mit</w:t>
      </w:r>
    </w:p>
    <w:p w:rsidR="000D28F9" w:rsidRDefault="000D28F9" w:rsidP="000D28F9">
      <w:pPr>
        <w:pStyle w:val="StandardWeb"/>
      </w:pPr>
      <w:r>
        <w:t>[</w:t>
      </w:r>
      <w:r>
        <w:br/>
        <w:t>\mathcal{P}_{2}.</w:t>
      </w:r>
      <w:r>
        <w:br/>
        <w:t>\tag{3.5690}</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lastRenderedPageBreak/>
        <w:t>\mathcal{P}_{2}\qquad\text{(3.5690)}</w:t>
      </w:r>
    </w:p>
    <w:p w:rsidR="000D28F9" w:rsidRDefault="000D28F9" w:rsidP="000D28F9">
      <w:pPr>
        <w:pStyle w:val="StandardWeb"/>
      </w:pPr>
      <w:r>
        <w:t>Die Merkmalsverteilungen lauten</w:t>
      </w:r>
    </w:p>
    <w:p w:rsidR="000D28F9" w:rsidRDefault="000D28F9" w:rsidP="000D28F9">
      <w:pPr>
        <w:pStyle w:val="StandardWeb"/>
      </w:pPr>
      <w:r>
        <w:t>[</w:t>
      </w:r>
      <w:r>
        <w:br/>
        <w:t>p_{1}(x)</w:t>
      </w:r>
      <w:r>
        <w:br/>
        <w:t>\tag{3.5691}</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p_{1}(x)\qquad\text{(3.5691)}</w:t>
      </w:r>
    </w:p>
    <w:p w:rsidR="000D28F9" w:rsidRDefault="000D28F9" w:rsidP="000D28F9">
      <w:pPr>
        <w:pStyle w:val="StandardWeb"/>
      </w:pPr>
      <w:r>
        <w:t>und</w:t>
      </w:r>
    </w:p>
    <w:p w:rsidR="000D28F9" w:rsidRDefault="000D28F9" w:rsidP="000D28F9">
      <w:pPr>
        <w:pStyle w:val="StandardWeb"/>
      </w:pPr>
      <w:r>
        <w:t>[</w:t>
      </w:r>
      <w:r>
        <w:br/>
        <w:t>p_{2}(x).</w:t>
      </w:r>
      <w:r>
        <w:br/>
        <w:t>\tag{3.5692}</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p_{2}(x)\qquad\text{(3.5692)}</w:t>
      </w:r>
    </w:p>
    <w:p w:rsidR="000D28F9" w:rsidRDefault="000D28F9" w:rsidP="000D28F9">
      <w:pPr>
        <w:pStyle w:val="StandardWeb"/>
      </w:pPr>
      <w:r>
        <w:t>Bei identischen Verteilungen gilt</w:t>
      </w:r>
    </w:p>
    <w:p w:rsidR="000D28F9" w:rsidRDefault="000D28F9" w:rsidP="000D28F9">
      <w:pPr>
        <w:pStyle w:val="berschrift1"/>
      </w:pPr>
      <w:r>
        <w:t>[</w:t>
      </w:r>
      <w:r>
        <w:br/>
        <w:t>p_{1}(x)</w:t>
      </w:r>
    </w:p>
    <w:p w:rsidR="000D28F9" w:rsidRDefault="000D28F9" w:rsidP="000D28F9">
      <w:pPr>
        <w:pStyle w:val="StandardWeb"/>
      </w:pPr>
      <w:r>
        <w:t>p_{2}(x).</w:t>
      </w:r>
      <w:r>
        <w:br/>
        <w:t>\tag{3.5693}</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p_{1}(x)=p_{2}(x)\qquad\text{(3.5693)}</w:t>
      </w:r>
    </w:p>
    <w:p w:rsidR="000D28F9" w:rsidRDefault="000D28F9" w:rsidP="000D28F9">
      <w:pPr>
        <w:pStyle w:val="StandardWeb"/>
      </w:pPr>
      <w:r>
        <w:t>In empirischen Anwendungen ist eine vollständige Gleichheit jedoch selten. Deshalb muss die Abweichung quantifiziert oder qualitativ begründet werden.</w:t>
      </w:r>
    </w:p>
    <w:p w:rsidR="000D28F9" w:rsidRPr="00AF32B2" w:rsidRDefault="000D28F9" w:rsidP="00AF32B2">
      <w:pPr>
        <w:pStyle w:val="berschrift4"/>
      </w:pPr>
      <w:r w:rsidRPr="00AF32B2">
        <w:t>3.3.32.12 Verteilungsabweichung</w:t>
      </w:r>
    </w:p>
    <w:p w:rsidR="000D28F9" w:rsidRDefault="000D28F9" w:rsidP="000D28F9">
      <w:pPr>
        <w:pStyle w:val="StandardWeb"/>
      </w:pPr>
      <w:r>
        <w:t>Ein allgemeines Abweichungsmaß lautet</w:t>
      </w:r>
    </w:p>
    <w:p w:rsidR="000D28F9" w:rsidRDefault="000D28F9" w:rsidP="000D28F9">
      <w:pPr>
        <w:pStyle w:val="StandardWeb"/>
      </w:pPr>
      <w:r>
        <w:t>[</w:t>
      </w:r>
      <w:r>
        <w:br/>
        <w:t>d_{\mathcal{P}}</w:t>
      </w:r>
      <w:r>
        <w:br/>
        <w:t>\left(</w:t>
      </w:r>
      <w:r>
        <w:br/>
        <w:t>p_{1},</w:t>
      </w:r>
      <w:r>
        <w:br/>
        <w:t>p_{2}</w:t>
      </w:r>
      <w:r>
        <w:br/>
        <w:t>\right).</w:t>
      </w:r>
      <w:r>
        <w:br/>
      </w:r>
      <w:r>
        <w:lastRenderedPageBreak/>
        <w:t>\tag{3.5694}</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d_{\mathcal{P}}\left(p_{1},p_{2}\right)\qquad\text{(3.5694)}</w:t>
      </w:r>
    </w:p>
    <w:p w:rsidR="000D28F9" w:rsidRDefault="000D28F9" w:rsidP="000D28F9">
      <w:pPr>
        <w:pStyle w:val="StandardWeb"/>
      </w:pPr>
      <w:r>
        <w:t>Populationsvergleichbarkeit kann gefordert werden durch</w:t>
      </w:r>
    </w:p>
    <w:p w:rsidR="000D28F9" w:rsidRDefault="000D28F9" w:rsidP="000D28F9">
      <w:pPr>
        <w:pStyle w:val="StandardWeb"/>
      </w:pPr>
      <w:r>
        <w:t>[</w:t>
      </w:r>
      <w:r>
        <w:br/>
        <w:t>d_{\mathcal{P}}</w:t>
      </w:r>
      <w:r>
        <w:br/>
        <w:t>\left(</w:t>
      </w:r>
      <w:r>
        <w:br/>
        <w:t>p_{1},</w:t>
      </w:r>
      <w:r>
        <w:br/>
        <w:t>p_{2}</w:t>
      </w:r>
      <w:r>
        <w:br/>
        <w:t>\right)</w:t>
      </w:r>
      <w:r>
        <w:br/>
        <w:t>\leq</w:t>
      </w:r>
      <w:r>
        <w:br/>
        <w:t>\varepsilon_{\mathcal{P}}.</w:t>
      </w:r>
      <w:r>
        <w:br/>
        <w:t>\tag{3.5695}</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d_{\mathcal{P}}\left(p_{1},p_{2}\right)\leq\varepsilon_{\mathcal{P}}\qquad\text{(3.5695)}</w:t>
      </w:r>
    </w:p>
    <w:p w:rsidR="000D28F9" w:rsidRDefault="000D28F9" w:rsidP="000D28F9">
      <w:pPr>
        <w:pStyle w:val="StandardWeb"/>
      </w:pPr>
      <w:r>
        <w:t>Die Wahl des Abweichungsmaßes und der Toleranz ist selbst eine Modell- und Methodenentscheidung.</w:t>
      </w:r>
    </w:p>
    <w:p w:rsidR="000D28F9" w:rsidRPr="00AF32B2" w:rsidRDefault="000D28F9" w:rsidP="00AF32B2">
      <w:pPr>
        <w:pStyle w:val="berschrift4"/>
      </w:pPr>
      <w:r w:rsidRPr="00AF32B2">
        <w:t>3.3.32.13 Kovariatenverschiebung</w:t>
      </w:r>
    </w:p>
    <w:p w:rsidR="000D28F9" w:rsidRDefault="000D28F9" w:rsidP="000D28F9">
      <w:pPr>
        <w:pStyle w:val="StandardWeb"/>
      </w:pPr>
      <w:r>
        <w:t>Eine Kovariatenverschiebung liegt vor, wenn</w:t>
      </w:r>
    </w:p>
    <w:p w:rsidR="000D28F9" w:rsidRDefault="000D28F9" w:rsidP="000D28F9">
      <w:pPr>
        <w:pStyle w:val="StandardWeb"/>
      </w:pPr>
      <w:r>
        <w:t>[</w:t>
      </w:r>
      <w:r>
        <w:br/>
        <w:t>p_{1}(x)</w:t>
      </w:r>
      <w:r>
        <w:br/>
        <w:t>\neq</w:t>
      </w:r>
      <w:r>
        <w:br/>
        <w:t>p_{2}(x)</w:t>
      </w:r>
      <w:r>
        <w:br/>
        <w:t>\tag{3.5696}</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p_{1}(x)\neq p_{2}(x)\qquad\text{(3.5696)}</w:t>
      </w:r>
    </w:p>
    <w:p w:rsidR="000D28F9" w:rsidRDefault="000D28F9" w:rsidP="000D28F9">
      <w:pPr>
        <w:pStyle w:val="StandardWeb"/>
      </w:pPr>
      <w:r>
        <w:t>bei zugleich stabiler bedingter Zielverteilung</w:t>
      </w:r>
    </w:p>
    <w:p w:rsidR="000D28F9" w:rsidRDefault="000D28F9" w:rsidP="000D28F9">
      <w:pPr>
        <w:pStyle w:val="berschrift1"/>
      </w:pPr>
      <w:r>
        <w:t>[</w:t>
      </w:r>
      <w:r>
        <w:br/>
        <w:t>p_{1}(y\mid x)</w:t>
      </w:r>
    </w:p>
    <w:p w:rsidR="000D28F9" w:rsidRDefault="000D28F9" w:rsidP="000D28F9">
      <w:pPr>
        <w:pStyle w:val="StandardWeb"/>
      </w:pPr>
      <w:r>
        <w:lastRenderedPageBreak/>
        <w:t>p_{2}(y\mid x).</w:t>
      </w:r>
      <w:r>
        <w:br/>
        <w:t>\tag{3.5697}</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p_{1}(y\mid x)=p_{2}(y\mid x)\qquad\text{(3.5697)}</w:t>
      </w:r>
    </w:p>
    <w:p w:rsidR="000D28F9" w:rsidRDefault="000D28F9" w:rsidP="000D28F9">
      <w:pPr>
        <w:pStyle w:val="StandardWeb"/>
      </w:pPr>
      <w:r>
        <w:t>In diesem Fall kann eine Gewichtung verwendet werden:</w:t>
      </w:r>
    </w:p>
    <w:p w:rsidR="000D28F9" w:rsidRDefault="000D28F9" w:rsidP="000D28F9">
      <w:pPr>
        <w:pStyle w:val="berschrift1"/>
      </w:pPr>
      <w:r>
        <w:t>[</w:t>
      </w:r>
      <w:r>
        <w:br/>
        <w:t>w(x)</w:t>
      </w:r>
    </w:p>
    <w:p w:rsidR="000D28F9" w:rsidRDefault="000D28F9" w:rsidP="000D28F9">
      <w:pPr>
        <w:pStyle w:val="StandardWeb"/>
      </w:pPr>
      <w:r>
        <w:t>\frac{</w:t>
      </w:r>
      <w:r>
        <w:br/>
        <w:t>p_{2}(x)</w:t>
      </w:r>
      <w:r>
        <w:br/>
        <w:t>}{</w:t>
      </w:r>
      <w:r>
        <w:br/>
        <w:t>p_{1}(x)</w:t>
      </w:r>
      <w:r>
        <w:br/>
        <w:t>}.</w:t>
      </w:r>
      <w:r>
        <w:br/>
        <w:t>\tag{3.5698}</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w(x)=\frac{p_{2}(x)}{p_{1}(x)}\qquad\text{(3.5698)}</w:t>
      </w:r>
    </w:p>
    <w:p w:rsidR="000D28F9" w:rsidRDefault="000D28F9" w:rsidP="000D28F9">
      <w:pPr>
        <w:pStyle w:val="StandardWeb"/>
      </w:pPr>
      <w:r>
        <w:t>Die gewichtete Erwartung im Ausgangskontext lautet</w:t>
      </w:r>
    </w:p>
    <w:p w:rsidR="000D28F9" w:rsidRDefault="000D28F9" w:rsidP="000D28F9">
      <w:pPr>
        <w:pStyle w:val="StandardWeb"/>
      </w:pPr>
      <w:r>
        <w:t>[</w:t>
      </w:r>
      <w:r>
        <w:br/>
        <w:t>\mathbb{E}_{1}</w:t>
      </w:r>
      <w:r>
        <w:br/>
        <w:t>\left[</w:t>
      </w:r>
      <w:r>
        <w:br/>
        <w:t>w(X)f(X)</w:t>
      </w:r>
      <w:r>
        <w:br/>
        <w:t>\right].</w:t>
      </w:r>
      <w:r>
        <w:br/>
        <w:t>\tag{3.5699}</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\mathbb{E}_{1}\left[w(X)f(X)\right]\qquad\text{(3.5699)}</w:t>
      </w:r>
    </w:p>
    <w:p w:rsidR="000D28F9" w:rsidRPr="00AF32B2" w:rsidRDefault="000D28F9" w:rsidP="00AF32B2">
      <w:pPr>
        <w:pStyle w:val="berschrift4"/>
      </w:pPr>
      <w:r w:rsidRPr="00AF32B2">
        <w:t>3.3.32.14 Konzeptverschiebung</w:t>
      </w:r>
    </w:p>
    <w:p w:rsidR="000D28F9" w:rsidRDefault="000D28F9" w:rsidP="000D28F9">
      <w:pPr>
        <w:pStyle w:val="StandardWeb"/>
      </w:pPr>
      <w:r>
        <w:t>Eine Konzeptverschiebung liegt vor, wenn</w:t>
      </w:r>
    </w:p>
    <w:p w:rsidR="000D28F9" w:rsidRDefault="000D28F9" w:rsidP="000D28F9">
      <w:pPr>
        <w:pStyle w:val="StandardWeb"/>
      </w:pPr>
      <w:r>
        <w:t>[</w:t>
      </w:r>
      <w:r>
        <w:br/>
        <w:t>p_{1}(y\mid x)</w:t>
      </w:r>
      <w:r>
        <w:br/>
        <w:t>\neq</w:t>
      </w:r>
      <w:r>
        <w:br/>
        <w:t>p_{2}(y\mid x).</w:t>
      </w:r>
      <w:r>
        <w:br/>
        <w:t>\tag{3.5700}</w:t>
      </w:r>
      <w:r>
        <w:br/>
        <w:t>]</w:t>
      </w:r>
    </w:p>
    <w:p w:rsidR="000D28F9" w:rsidRDefault="000D28F9" w:rsidP="000D28F9">
      <w:pPr>
        <w:pStyle w:val="StandardWeb"/>
      </w:pPr>
      <w:r>
        <w:rPr>
          <w:rStyle w:val="Fett"/>
        </w:rPr>
        <w:lastRenderedPageBreak/>
        <w:t>Word-LaTeX</w:t>
      </w:r>
    </w:p>
    <w:p w:rsidR="000D28F9" w:rsidRDefault="000D28F9" w:rsidP="000D28F9">
      <w:pPr>
        <w:pStyle w:val="HTMLVorformatiert"/>
        <w:rPr>
          <w:rStyle w:val="HTMLCode"/>
        </w:rPr>
      </w:pPr>
      <w:r>
        <w:rPr>
          <w:rStyle w:val="HTMLCode"/>
        </w:rPr>
        <w:t>p_{1}(y\mid x)\neq p_{2}(y\mid x)\qquad\text{(3.5700)}</w:t>
      </w:r>
    </w:p>
    <w:p w:rsidR="000D28F9" w:rsidRDefault="000D28F9" w:rsidP="000D28F9">
      <w:pPr>
        <w:pStyle w:val="StandardWeb"/>
      </w:pPr>
      <w:r>
        <w:t>Dann ist nicht nur die Populationszusammensetzung, sondern die Beziehung zwischen Eingangs- und Zielgrößen verändert.</w:t>
      </w:r>
    </w:p>
    <w:p w:rsidR="000D28F9" w:rsidRDefault="000D28F9" w:rsidP="000D28F9">
      <w:pPr>
        <w:pStyle w:val="StandardWeb"/>
      </w:pPr>
      <w:r>
        <w:t>Eine im Ausgangskontext gültige Vorhersageabbildung</w:t>
      </w:r>
    </w:p>
    <w:p w:rsidR="000D28F9" w:rsidRDefault="000D28F9" w:rsidP="000D28F9">
      <w:pPr>
        <w:pStyle w:val="StandardWeb"/>
      </w:pPr>
      <w:r>
        <w:t>[</w:t>
      </w:r>
      <w:r>
        <w:br/>
        <w:t>f_{1}(x)</w:t>
      </w:r>
      <w:r>
        <w:br/>
        <w:t>\tag{3.5701}</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f_{1}(x)\qquad\text{(3.5701)}</w:t>
      </w:r>
    </w:p>
    <w:p w:rsidR="000D28F9" w:rsidRDefault="000D28F9" w:rsidP="000D28F9">
      <w:pPr>
        <w:pStyle w:val="StandardWeb"/>
      </w:pPr>
      <w:r>
        <w:t>muss im Zielkontext nicht mit</w:t>
      </w:r>
    </w:p>
    <w:p w:rsidR="000D28F9" w:rsidRDefault="000D28F9" w:rsidP="000D28F9">
      <w:pPr>
        <w:pStyle w:val="StandardWeb"/>
      </w:pPr>
      <w:r>
        <w:t>[</w:t>
      </w:r>
      <w:r>
        <w:br/>
        <w:t>f_{2}(x)</w:t>
      </w:r>
      <w:r>
        <w:br/>
        <w:t>\tag{3.5702}</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f_{2}(x)\qquad\text{(3.5702)}</w:t>
      </w:r>
    </w:p>
    <w:p w:rsidR="000D28F9" w:rsidRDefault="000D28F9" w:rsidP="000D28F9">
      <w:pPr>
        <w:pStyle w:val="StandardWeb"/>
      </w:pPr>
      <w:r>
        <w:t>übereinstimmen.</w:t>
      </w:r>
    </w:p>
    <w:p w:rsidR="000D28F9" w:rsidRPr="00AF32B2" w:rsidRDefault="000D28F9" w:rsidP="00AF32B2">
      <w:pPr>
        <w:pStyle w:val="berschrift4"/>
      </w:pPr>
      <w:r w:rsidRPr="00AF32B2">
        <w:t>3.3.32.15 Zeitliche Vergleichbarkeit</w:t>
      </w:r>
    </w:p>
    <w:p w:rsidR="000D28F9" w:rsidRDefault="000D28F9" w:rsidP="000D28F9">
      <w:pPr>
        <w:pStyle w:val="StandardWeb"/>
      </w:pPr>
      <w:r>
        <w:t>Ein früherer Kontext werde mit</w:t>
      </w:r>
    </w:p>
    <w:p w:rsidR="000D28F9" w:rsidRDefault="000D28F9" w:rsidP="000D28F9">
      <w:pPr>
        <w:pStyle w:val="StandardWeb"/>
      </w:pPr>
      <w:r>
        <w:t>[</w:t>
      </w:r>
      <w:r>
        <w:br/>
        <w:t>\mathcal{E}(t_{1})</w:t>
      </w:r>
      <w:r>
        <w:br/>
        <w:t>\tag{3.5703}</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\mathcal{E}(t_{1})\qquad\text{(3.5703)}</w:t>
      </w:r>
    </w:p>
    <w:p w:rsidR="000D28F9" w:rsidRDefault="000D28F9" w:rsidP="000D28F9">
      <w:pPr>
        <w:pStyle w:val="StandardWeb"/>
      </w:pPr>
      <w:r>
        <w:t>und ein späterer Kontext mit</w:t>
      </w:r>
    </w:p>
    <w:p w:rsidR="000D28F9" w:rsidRDefault="000D28F9" w:rsidP="000D28F9">
      <w:pPr>
        <w:pStyle w:val="StandardWeb"/>
      </w:pPr>
      <w:r>
        <w:t>[</w:t>
      </w:r>
      <w:r>
        <w:br/>
        <w:t>\mathcal{E}(t_{2})</w:t>
      </w:r>
      <w:r>
        <w:br/>
        <w:t>\tag{3.5704}</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lastRenderedPageBreak/>
        <w:t>\mathcal{E}(t_{2})\qquad\text{(3.5704)}</w:t>
      </w:r>
    </w:p>
    <w:p w:rsidR="000D28F9" w:rsidRDefault="000D28F9" w:rsidP="000D28F9">
      <w:pPr>
        <w:pStyle w:val="StandardWeb"/>
      </w:pPr>
      <w:r>
        <w:t>bezeichnet.</w:t>
      </w:r>
    </w:p>
    <w:p w:rsidR="000D28F9" w:rsidRDefault="000D28F9" w:rsidP="000D28F9">
      <w:pPr>
        <w:pStyle w:val="StandardWeb"/>
      </w:pPr>
      <w:r>
        <w:t>Zeitliche Stabilität eines Parameters verlangt</w:t>
      </w:r>
    </w:p>
    <w:p w:rsidR="000D28F9" w:rsidRDefault="000D28F9" w:rsidP="000D28F9">
      <w:pPr>
        <w:pStyle w:val="StandardWeb"/>
      </w:pPr>
      <w:r>
        <w:t>[</w:t>
      </w:r>
      <w:r>
        <w:br/>
        <w:t>\theta(t_{1})</w:t>
      </w:r>
      <w:r>
        <w:br/>
        <w:t>\approx</w:t>
      </w:r>
      <w:r>
        <w:br/>
        <w:t>\theta(t_{2}).</w:t>
      </w:r>
      <w:r>
        <w:br/>
        <w:t>\tag{3.5705}</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\theta(t_{1})\approx\theta(t_{2})\qquad\text{(3.5705)}</w:t>
      </w:r>
    </w:p>
    <w:p w:rsidR="000D28F9" w:rsidRDefault="000D28F9" w:rsidP="000D28F9">
      <w:pPr>
        <w:pStyle w:val="StandardWeb"/>
      </w:pPr>
      <w:r>
        <w:t>Eine zeitliche Drift lautet</w:t>
      </w:r>
    </w:p>
    <w:p w:rsidR="000D28F9" w:rsidRDefault="000D28F9" w:rsidP="000D28F9">
      <w:pPr>
        <w:pStyle w:val="berschrift1"/>
      </w:pPr>
      <w:r>
        <w:t>[</w:t>
      </w:r>
      <w:r>
        <w:br/>
        <w:t>\Delta\theta</w:t>
      </w:r>
    </w:p>
    <w:p w:rsidR="000D28F9" w:rsidRDefault="000D28F9" w:rsidP="000D28F9">
      <w:pPr>
        <w:pStyle w:val="berschrift2"/>
      </w:pPr>
      <w:r>
        <w:t>\theta(t_{2})</w:t>
      </w:r>
    </w:p>
    <w:p w:rsidR="000D28F9" w:rsidRDefault="000D28F9" w:rsidP="000D28F9">
      <w:pPr>
        <w:pStyle w:val="StandardWeb"/>
      </w:pPr>
      <w:r>
        <w:t>\theta(t_{1}).</w:t>
      </w:r>
      <w:r>
        <w:br/>
        <w:t>\tag{3.5706}</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\Delta\theta=\theta(t_{2})-\theta(t_{1})\qquad\text{(3.5706)}</w:t>
      </w:r>
    </w:p>
    <w:p w:rsidR="000D28F9" w:rsidRDefault="000D28F9" w:rsidP="000D28F9">
      <w:pPr>
        <w:pStyle w:val="StandardWeb"/>
      </w:pPr>
      <w:r>
        <w:t>Zeitliche Vergleichbarkeit kann gefordert werden durch</w:t>
      </w:r>
    </w:p>
    <w:p w:rsidR="000D28F9" w:rsidRDefault="000D28F9" w:rsidP="000D28F9">
      <w:pPr>
        <w:pStyle w:val="StandardWeb"/>
      </w:pPr>
      <w:r>
        <w:t>[</w:t>
      </w:r>
      <w:r>
        <w:br/>
        <w:t>\left|</w:t>
      </w:r>
      <w:r>
        <w:br/>
        <w:t>\Delta\theta</w:t>
      </w:r>
      <w:r>
        <w:br/>
        <w:t>\right|</w:t>
      </w:r>
      <w:r>
        <w:br/>
        <w:t>\leq</w:t>
      </w:r>
      <w:r>
        <w:br/>
        <w:t>\varepsilon_{\theta}.</w:t>
      </w:r>
      <w:r>
        <w:br/>
        <w:t>\tag{3.5707}</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\left\|\Delta\theta\right\|\leq\varepsilon_{\theta}\qquad\text{(3.5707)}</w:t>
      </w:r>
    </w:p>
    <w:p w:rsidR="000D28F9" w:rsidRPr="00AF32B2" w:rsidRDefault="000D28F9" w:rsidP="00AF32B2">
      <w:pPr>
        <w:pStyle w:val="berschrift4"/>
      </w:pPr>
      <w:r w:rsidRPr="00AF32B2">
        <w:t>3.3.32.16 Generalisierungsabbildung</w:t>
      </w:r>
    </w:p>
    <w:p w:rsidR="000D28F9" w:rsidRDefault="000D28F9" w:rsidP="000D28F9">
      <w:pPr>
        <w:pStyle w:val="StandardWeb"/>
      </w:pPr>
      <w:r>
        <w:t>Eine Generalisierungsabbildung lautet</w:t>
      </w:r>
    </w:p>
    <w:p w:rsidR="000D28F9" w:rsidRDefault="000D28F9" w:rsidP="000D28F9">
      <w:pPr>
        <w:pStyle w:val="StandardWeb"/>
      </w:pPr>
      <w:r>
        <w:lastRenderedPageBreak/>
        <w:t>[</w:t>
      </w:r>
      <w:r>
        <w:br/>
        <w:t>\mathcal{G}</w:t>
      </w:r>
      <w:r>
        <w:rPr>
          <w:rStyle w:val="Hervorhebung"/>
        </w:rPr>
        <w:t>{F}:</w:t>
      </w:r>
      <w:r>
        <w:rPr>
          <w:i/>
          <w:iCs/>
        </w:rPr>
        <w:br/>
      </w:r>
      <w:r>
        <w:rPr>
          <w:rStyle w:val="Hervorhebung"/>
        </w:rPr>
        <w:t>\left(</w:t>
      </w:r>
      <w:r>
        <w:rPr>
          <w:i/>
          <w:iCs/>
        </w:rPr>
        <w:br/>
      </w:r>
      <w:r>
        <w:rPr>
          <w:rStyle w:val="Hervorhebung"/>
        </w:rPr>
        <w:t>P,</w:t>
      </w:r>
      <w:r>
        <w:rPr>
          <w:i/>
          <w:iCs/>
        </w:rPr>
        <w:br/>
      </w:r>
      <w:r>
        <w:rPr>
          <w:rStyle w:val="Hervorhebung"/>
        </w:rPr>
        <w:t>\mathcal{E}</w:t>
      </w:r>
      <w:r>
        <w:t>{1}</w:t>
      </w:r>
      <w:r>
        <w:br/>
        <w:t>\right)</w:t>
      </w:r>
      <w:r>
        <w:br/>
        <w:t>\rightarrow</w:t>
      </w:r>
      <w:r>
        <w:br/>
        <w:t>\left(</w:t>
      </w:r>
      <w:r>
        <w:br/>
        <w:t>P^{\prime},</w:t>
      </w:r>
      <w:r>
        <w:br/>
        <w:t>\mathcal{E}_{2}</w:t>
      </w:r>
      <w:r>
        <w:br/>
        <w:t>\right).</w:t>
      </w:r>
      <w:r>
        <w:br/>
        <w:t>\tag{3.5708}</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\mathcal{G}_{F}:\left(P,\mathcal{E}_{1}\right)\rightarrow\left(P^{\prime},\mathcal{E}_{2}\right)\qquad\text{(3.5708)}</w:t>
      </w:r>
    </w:p>
    <w:p w:rsidR="000D28F9" w:rsidRDefault="000D28F9" w:rsidP="000D28F9">
      <w:pPr>
        <w:pStyle w:val="StandardWeb"/>
      </w:pPr>
      <w:r>
        <w:t>Eine vollständige Generalisierung liegt vor, wenn</w:t>
      </w:r>
    </w:p>
    <w:p w:rsidR="000D28F9" w:rsidRDefault="000D28F9" w:rsidP="000D28F9">
      <w:pPr>
        <w:pStyle w:val="berschrift1"/>
      </w:pPr>
      <w:r>
        <w:t>[</w:t>
      </w:r>
      <w:r>
        <w:br/>
        <w:t>P^{\prime}</w:t>
      </w:r>
    </w:p>
    <w:p w:rsidR="000D28F9" w:rsidRDefault="000D28F9" w:rsidP="000D28F9">
      <w:pPr>
        <w:pStyle w:val="StandardWeb"/>
      </w:pPr>
      <w:r>
        <w:t>P.</w:t>
      </w:r>
      <w:r>
        <w:br/>
        <w:t>\tag{3.5709}</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P^{\prime}=P\qquad\text{(3.5709)}</w:t>
      </w:r>
    </w:p>
    <w:p w:rsidR="000D28F9" w:rsidRDefault="000D28F9" w:rsidP="000D28F9">
      <w:pPr>
        <w:pStyle w:val="StandardWeb"/>
      </w:pPr>
      <w:r>
        <w:t>Eine bedingte Generalisierung liegt vor, wenn</w:t>
      </w:r>
    </w:p>
    <w:p w:rsidR="000D28F9" w:rsidRDefault="000D28F9" w:rsidP="000D28F9">
      <w:pPr>
        <w:pStyle w:val="berschrift1"/>
      </w:pPr>
      <w:r>
        <w:t>[</w:t>
      </w:r>
      <w:r>
        <w:br/>
        <w:t>P^{\prime}</w:t>
      </w:r>
    </w:p>
    <w:p w:rsidR="000D28F9" w:rsidRDefault="000D28F9" w:rsidP="000D28F9">
      <w:pPr>
        <w:pStyle w:val="StandardWeb"/>
      </w:pPr>
      <w:r>
        <w:t>P</w:t>
      </w:r>
      <w:r>
        <w:br/>
        <w:t>\mid</w:t>
      </w:r>
      <w:r>
        <w:br/>
        <w:t>C_{\mathrm{trans}}.</w:t>
      </w:r>
      <w:r>
        <w:br/>
        <w:t>\tag{3.5710}</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P^{\prime}=P\mid C_{\mathrm{trans}}\qquad\text{(3.5710)}</w:t>
      </w:r>
    </w:p>
    <w:p w:rsidR="000D28F9" w:rsidRDefault="000D28F9" w:rsidP="000D28F9">
      <w:pPr>
        <w:pStyle w:val="StandardWeb"/>
      </w:pPr>
      <w:r>
        <w:t>Dabei bezeichnet (C_{\mathrm{trans}}) die Menge der Übertragungsbedingungen.</w:t>
      </w:r>
    </w:p>
    <w:p w:rsidR="000D28F9" w:rsidRPr="00AF32B2" w:rsidRDefault="000D28F9" w:rsidP="00AF32B2">
      <w:pPr>
        <w:pStyle w:val="berschrift4"/>
      </w:pPr>
      <w:r w:rsidRPr="00AF32B2">
        <w:lastRenderedPageBreak/>
        <w:t>3.3.32.17 Generalisierbarkeitsprädikat</w:t>
      </w:r>
    </w:p>
    <w:p w:rsidR="000D28F9" w:rsidRDefault="000D28F9" w:rsidP="000D28F9">
      <w:pPr>
        <w:pStyle w:val="StandardWeb"/>
      </w:pPr>
      <w:r>
        <w:t>Das Generalisierbarkeitsprädikat lautet</w:t>
      </w:r>
    </w:p>
    <w:p w:rsidR="000D28F9" w:rsidRDefault="000D28F9" w:rsidP="000D28F9">
      <w:pPr>
        <w:pStyle w:val="StandardWeb"/>
      </w:pPr>
      <w:r>
        <w:t>[</w:t>
      </w:r>
      <w:r>
        <w:br/>
        <w:t>\operatorname{Gen}</w:t>
      </w:r>
      <w:r>
        <w:rPr>
          <w:rStyle w:val="Hervorhebung"/>
        </w:rPr>
        <w:t>{F}:</w:t>
      </w:r>
      <w:r>
        <w:rPr>
          <w:i/>
          <w:iCs/>
        </w:rPr>
        <w:br/>
      </w:r>
      <w:r>
        <w:rPr>
          <w:rStyle w:val="Hervorhebung"/>
        </w:rPr>
        <w:t>\mathfrak{V}</w:t>
      </w:r>
      <w:r>
        <w:t>{F}</w:t>
      </w:r>
      <w:r>
        <w:br/>
        <w:t>\times</w:t>
      </w:r>
      <w:r>
        <w:br/>
        <w:t>\mathcal{P}_{F}</w:t>
      </w:r>
      <w:r>
        <w:br/>
        <w:t>\rightarrow</w:t>
      </w:r>
      <w:r>
        <w:br/>
        <w:t>{0,1}.</w:t>
      </w:r>
      <w:r>
        <w:br/>
        <w:t>\tag{3.5711}</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\operatorname{Gen}_{F}:\mathfrak{V}_{F}\times\mathcal{P}_{F}\rightarrow\{0,1\}\qquad\text{(3.5711)}</w:t>
      </w:r>
    </w:p>
    <w:p w:rsidR="000D28F9" w:rsidRDefault="000D28F9" w:rsidP="000D28F9">
      <w:pPr>
        <w:pStyle w:val="StandardWeb"/>
      </w:pPr>
      <w:r>
        <w:t>Für eine generalisierbare Aussage gilt</w:t>
      </w:r>
    </w:p>
    <w:p w:rsidR="000D28F9" w:rsidRDefault="000D28F9" w:rsidP="000D28F9">
      <w:pPr>
        <w:pStyle w:val="berschrift1"/>
      </w:pPr>
      <w:r>
        <w:t>[</w:t>
      </w:r>
      <w:r>
        <w:br/>
        <w:t>\operatorname{Gen}</w:t>
      </w:r>
      <w:r>
        <w:rPr>
          <w:rStyle w:val="Hervorhebung"/>
        </w:rPr>
        <w:t>{F}</w:t>
      </w:r>
      <w:r>
        <w:rPr>
          <w:i/>
          <w:iCs/>
        </w:rPr>
        <w:br/>
      </w:r>
      <w:r>
        <w:rPr>
          <w:rStyle w:val="Hervorhebung"/>
        </w:rPr>
        <w:t>\left(</w:t>
      </w:r>
      <w:r>
        <w:rPr>
          <w:i/>
          <w:iCs/>
        </w:rPr>
        <w:br/>
      </w:r>
      <w:r>
        <w:rPr>
          <w:rStyle w:val="Hervorhebung"/>
        </w:rPr>
        <w:t>\mathfrak{V}</w:t>
      </w:r>
      <w:r>
        <w:t>{F},</w:t>
      </w:r>
      <w:r>
        <w:br/>
        <w:t>P</w:t>
      </w:r>
      <w:r>
        <w:br/>
        <w:t>\right)</w:t>
      </w:r>
    </w:p>
    <w:p w:rsidR="000D28F9" w:rsidRDefault="000D28F9" w:rsidP="00632D23">
      <w:pPr>
        <w:numPr>
          <w:ilvl w:val="0"/>
          <w:numId w:val="203"/>
        </w:numPr>
        <w:spacing w:before="100" w:beforeAutospacing="1" w:after="100" w:afterAutospacing="1"/>
      </w:pPr>
    </w:p>
    <w:p w:rsidR="000D28F9" w:rsidRDefault="000D28F9" w:rsidP="000D28F9">
      <w:pPr>
        <w:pStyle w:val="StandardWeb"/>
      </w:pPr>
      <w:r>
        <w:t>\tag{3.5712}</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\operatorname{Gen}_{F}\left(\mathfrak{V}_{F},P\right)=1\qquad\text{(3.5712)}</w:t>
      </w:r>
    </w:p>
    <w:p w:rsidR="000D28F9" w:rsidRDefault="000D28F9" w:rsidP="000D28F9">
      <w:pPr>
        <w:pStyle w:val="StandardWeb"/>
      </w:pPr>
      <w:r>
        <w:t>Eine Aussage kann nur bezüglich derjenigen Kontextkomponenten generalisiert werden, die tatsächlich geprüft wurden.</w:t>
      </w:r>
    </w:p>
    <w:p w:rsidR="000D28F9" w:rsidRPr="00AF32B2" w:rsidRDefault="000D28F9" w:rsidP="00AF32B2">
      <w:pPr>
        <w:pStyle w:val="berschrift4"/>
      </w:pPr>
      <w:r w:rsidRPr="00AF32B2">
        <w:t>3.3.32.18 Interne und externe Gültigkeit</w:t>
      </w:r>
    </w:p>
    <w:p w:rsidR="000D28F9" w:rsidRDefault="000D28F9" w:rsidP="000D28F9">
      <w:pPr>
        <w:pStyle w:val="StandardWeb"/>
      </w:pPr>
      <w:r>
        <w:t>Die interne Gültigkeit einer Aussage bezeichne ich mit</w:t>
      </w:r>
    </w:p>
    <w:p w:rsidR="000D28F9" w:rsidRDefault="000D28F9" w:rsidP="000D28F9">
      <w:pPr>
        <w:pStyle w:val="StandardWeb"/>
      </w:pPr>
      <w:r>
        <w:t>[</w:t>
      </w:r>
      <w:r>
        <w:br/>
        <w:t>V_{\mathrm{int}}(P,\mathcal{E}_{1}).</w:t>
      </w:r>
      <w:r>
        <w:br/>
      </w:r>
      <w:r>
        <w:lastRenderedPageBreak/>
        <w:t>\tag{3.5713}</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V_{\mathrm{int}}(P,\mathcal{E}_{1})\qquad\text{(3.5713)}</w:t>
      </w:r>
    </w:p>
    <w:p w:rsidR="000D28F9" w:rsidRDefault="000D28F9" w:rsidP="000D28F9">
      <w:pPr>
        <w:pStyle w:val="StandardWeb"/>
      </w:pPr>
      <w:r>
        <w:t>Die externe Gültigkeit lautet</w:t>
      </w:r>
    </w:p>
    <w:p w:rsidR="000D28F9" w:rsidRDefault="000D28F9" w:rsidP="000D28F9">
      <w:pPr>
        <w:pStyle w:val="StandardWeb"/>
      </w:pPr>
      <w:r>
        <w:t>[</w:t>
      </w:r>
      <w:r>
        <w:br/>
        <w:t>V_{\mathrm{ext}}</w:t>
      </w:r>
      <w:r>
        <w:br/>
        <w:t>\left(</w:t>
      </w:r>
      <w:r>
        <w:br/>
        <w:t>P,</w:t>
      </w:r>
      <w:r>
        <w:br/>
        <w:t>\mathcal{E}</w:t>
      </w:r>
      <w:r>
        <w:rPr>
          <w:rStyle w:val="Hervorhebung"/>
        </w:rPr>
        <w:t>{1}</w:t>
      </w:r>
      <w:r>
        <w:rPr>
          <w:i/>
          <w:iCs/>
        </w:rPr>
        <w:br/>
      </w:r>
      <w:r>
        <w:rPr>
          <w:rStyle w:val="Hervorhebung"/>
        </w:rPr>
        <w:t>\rightarrow</w:t>
      </w:r>
      <w:r>
        <w:rPr>
          <w:i/>
          <w:iCs/>
        </w:rPr>
        <w:br/>
      </w:r>
      <w:r>
        <w:rPr>
          <w:rStyle w:val="Hervorhebung"/>
        </w:rPr>
        <w:t>\mathcal{E}</w:t>
      </w:r>
      <w:r>
        <w:t>{2}</w:t>
      </w:r>
      <w:r>
        <w:br/>
        <w:t>\right).</w:t>
      </w:r>
      <w:r>
        <w:br/>
        <w:t>\tag{3.5714}</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V_{\mathrm{ext}}\left(P,\mathcal{E}_{1}\rightarrow\mathcal{E}_{2}\right)\qquad\text{(3.5714)}</w:t>
      </w:r>
    </w:p>
    <w:p w:rsidR="000D28F9" w:rsidRDefault="000D28F9" w:rsidP="000D28F9">
      <w:pPr>
        <w:pStyle w:val="StandardWeb"/>
      </w:pPr>
      <w:r>
        <w:t>Aus hoher interner Gültigkeit folgt nicht automatisch hohe externe Gültigkeit:</w:t>
      </w:r>
    </w:p>
    <w:p w:rsidR="000D28F9" w:rsidRDefault="000D28F9" w:rsidP="000D28F9">
      <w:pPr>
        <w:pStyle w:val="StandardWeb"/>
      </w:pPr>
      <w:r>
        <w:t>[</w:t>
      </w:r>
      <w:r>
        <w:br/>
        <w:t>V_{\mathrm{int}}</w:t>
      </w:r>
      <w:r>
        <w:br/>
        <w:t>\text{ hoch}</w:t>
      </w:r>
      <w:r>
        <w:br/>
        <w:t>\nRightarrow</w:t>
      </w:r>
      <w:r>
        <w:br/>
        <w:t>V_{\mathrm{ext}}</w:t>
      </w:r>
      <w:r>
        <w:br/>
        <w:t>\text{ hoch}.</w:t>
      </w:r>
      <w:r>
        <w:br/>
        <w:t>\tag{3.5715}</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V_{\mathrm{int}}\text{ hoch}\nRightarrow V_{\mathrm{ext}}\text{ hoch}\qquad\text{(3.5715)}</w:t>
      </w:r>
    </w:p>
    <w:p w:rsidR="000D28F9" w:rsidRPr="00AF32B2" w:rsidRDefault="000D28F9" w:rsidP="00AF32B2">
      <w:pPr>
        <w:pStyle w:val="berschrift4"/>
      </w:pPr>
      <w:r w:rsidRPr="00AF32B2">
        <w:t>3.3.32.19 Transportierbarkeit einer Entscheidungsregel</w:t>
      </w:r>
    </w:p>
    <w:p w:rsidR="000D28F9" w:rsidRDefault="000D28F9" w:rsidP="000D28F9">
      <w:pPr>
        <w:pStyle w:val="StandardWeb"/>
      </w:pPr>
      <w:r>
        <w:t>Eine Entscheidungsregel im Ausgangskontext lautet</w:t>
      </w:r>
    </w:p>
    <w:p w:rsidR="000D28F9" w:rsidRDefault="000D28F9" w:rsidP="000D28F9">
      <w:pPr>
        <w:pStyle w:val="StandardWeb"/>
      </w:pPr>
      <w:r>
        <w:t>[</w:t>
      </w:r>
      <w:r>
        <w:br/>
        <w:t>\mathcal{C}_{1}.</w:t>
      </w:r>
      <w:r>
        <w:br/>
        <w:t>\tag{3.5716}</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\mathcal{C}_{1}\qquad\text{(3.5716)}</w:t>
      </w:r>
    </w:p>
    <w:p w:rsidR="000D28F9" w:rsidRDefault="000D28F9" w:rsidP="000D28F9">
      <w:pPr>
        <w:pStyle w:val="StandardWeb"/>
      </w:pPr>
      <w:r>
        <w:lastRenderedPageBreak/>
        <w:t>Im Zielkontext gilt</w:t>
      </w:r>
    </w:p>
    <w:p w:rsidR="000D28F9" w:rsidRDefault="000D28F9" w:rsidP="000D28F9">
      <w:pPr>
        <w:pStyle w:val="StandardWeb"/>
      </w:pPr>
      <w:r>
        <w:t>[</w:t>
      </w:r>
      <w:r>
        <w:br/>
        <w:t>\mathcal{C}_{2}.</w:t>
      </w:r>
      <w:r>
        <w:br/>
        <w:t>\tag{3.5717}</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\mathcal{C}_{2}\qquad\text{(3.5717)}</w:t>
      </w:r>
    </w:p>
    <w:p w:rsidR="000D28F9" w:rsidRDefault="000D28F9" w:rsidP="000D28F9">
      <w:pPr>
        <w:pStyle w:val="StandardWeb"/>
      </w:pPr>
      <w:r>
        <w:t>Eine direkte Transportierbarkeit liegt vor, wenn</w:t>
      </w:r>
    </w:p>
    <w:p w:rsidR="000D28F9" w:rsidRDefault="000D28F9" w:rsidP="000D28F9">
      <w:pPr>
        <w:pStyle w:val="berschrift1"/>
      </w:pPr>
      <w:r>
        <w:t>[</w:t>
      </w:r>
      <w:r>
        <w:br/>
        <w:t>\mathcal{C}_{2}</w:t>
      </w:r>
    </w:p>
    <w:p w:rsidR="000D28F9" w:rsidRDefault="000D28F9" w:rsidP="000D28F9">
      <w:pPr>
        <w:pStyle w:val="StandardWeb"/>
      </w:pPr>
      <w:r>
        <w:t>\Phi_{C}</w:t>
      </w:r>
      <w:r>
        <w:br/>
        <w:t>\circ</w:t>
      </w:r>
      <w:r>
        <w:br/>
        <w:t>\mathcal{C}</w:t>
      </w:r>
      <w:r>
        <w:rPr>
          <w:rStyle w:val="Hervorhebung"/>
        </w:rPr>
        <w:t>{1}</w:t>
      </w:r>
      <w:r>
        <w:rPr>
          <w:i/>
          <w:iCs/>
        </w:rPr>
        <w:br/>
      </w:r>
      <w:r>
        <w:rPr>
          <w:rStyle w:val="Hervorhebung"/>
        </w:rPr>
        <w:t>\circ</w:t>
      </w:r>
      <w:r>
        <w:rPr>
          <w:i/>
          <w:iCs/>
        </w:rPr>
        <w:br/>
      </w:r>
      <w:r>
        <w:rPr>
          <w:rStyle w:val="Hervorhebung"/>
        </w:rPr>
        <w:t>\Phi</w:t>
      </w:r>
      <w:r>
        <w:t>{Y}^{-1}.</w:t>
      </w:r>
      <w:r>
        <w:br/>
        <w:t>\tag{3.5718}</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\mathcal{C}_{2}=\Phi_{C}\circ\mathcal{C}_{1}\circ\Phi_{Y}^{-1}\qquad\text{(3.5718)}</w:t>
      </w:r>
    </w:p>
    <w:p w:rsidR="000D28F9" w:rsidRDefault="000D28F9" w:rsidP="000D28F9">
      <w:pPr>
        <w:pStyle w:val="StandardWeb"/>
      </w:pPr>
      <w:r>
        <w:t>Dabei müssen Entscheidungsraum, Skala und Klassencodes gemeinsam transformiert werden.</w:t>
      </w:r>
    </w:p>
    <w:p w:rsidR="000D28F9" w:rsidRPr="00AF32B2" w:rsidRDefault="000D28F9" w:rsidP="00AF32B2">
      <w:pPr>
        <w:pStyle w:val="berschrift4"/>
      </w:pPr>
      <w:r w:rsidRPr="00AF32B2">
        <w:t>3.3.32.20 Transportierbarkeit eines Schwellenwerts</w:t>
      </w:r>
    </w:p>
    <w:p w:rsidR="000D28F9" w:rsidRDefault="000D28F9" w:rsidP="000D28F9">
      <w:pPr>
        <w:pStyle w:val="StandardWeb"/>
      </w:pPr>
      <w:r>
        <w:t>Ein Schwellenwert ist direkt transportierbar, wenn</w:t>
      </w:r>
    </w:p>
    <w:p w:rsidR="000D28F9" w:rsidRDefault="000D28F9" w:rsidP="000D28F9">
      <w:pPr>
        <w:pStyle w:val="berschrift1"/>
      </w:pPr>
      <w:r>
        <w:t>[</w:t>
      </w:r>
      <w:r>
        <w:br/>
        <w:t>\tau_{2}</w:t>
      </w:r>
    </w:p>
    <w:p w:rsidR="000D28F9" w:rsidRDefault="000D28F9" w:rsidP="000D28F9">
      <w:pPr>
        <w:pStyle w:val="StandardWeb"/>
      </w:pPr>
      <w:r>
        <w:t>g(\tau_{1})</w:t>
      </w:r>
      <w:r>
        <w:br/>
        <w:t>\tag{3.5719}</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\tau_{2}=g(\tau_{1})\qquad\text{(3.5719)}</w:t>
      </w:r>
    </w:p>
    <w:p w:rsidR="000D28F9" w:rsidRDefault="000D28F9" w:rsidP="000D28F9">
      <w:pPr>
        <w:pStyle w:val="StandardWeb"/>
      </w:pPr>
      <w:r>
        <w:t>und die bedingten Fehler- und Kostenstrukturen übereinstimmen.</w:t>
      </w:r>
    </w:p>
    <w:p w:rsidR="000D28F9" w:rsidRDefault="000D28F9" w:rsidP="000D28F9">
      <w:pPr>
        <w:pStyle w:val="StandardWeb"/>
      </w:pPr>
      <w:r>
        <w:t>Formal kann dies geschrieben werden als</w:t>
      </w:r>
    </w:p>
    <w:p w:rsidR="000D28F9" w:rsidRDefault="000D28F9" w:rsidP="000D28F9">
      <w:pPr>
        <w:pStyle w:val="berschrift1"/>
      </w:pPr>
      <w:r>
        <w:lastRenderedPageBreak/>
        <w:t>[</w:t>
      </w:r>
      <w:r>
        <w:br/>
        <w:t>\mathfrak{K}_{1}</w:t>
      </w:r>
    </w:p>
    <w:p w:rsidR="000D28F9" w:rsidRDefault="000D28F9" w:rsidP="000D28F9">
      <w:pPr>
        <w:pStyle w:val="StandardWeb"/>
      </w:pPr>
      <w:r>
        <w:t>\mathfrak{K}_{2}.</w:t>
      </w:r>
      <w:r>
        <w:br/>
        <w:t>\tag{3.5720}</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\mathfrak{K}_{1}=\mathfrak{K}_{2}\qquad\text{(3.5720)}</w:t>
      </w:r>
    </w:p>
    <w:p w:rsidR="000D28F9" w:rsidRDefault="000D28F9" w:rsidP="000D28F9">
      <w:pPr>
        <w:pStyle w:val="StandardWeb"/>
      </w:pPr>
      <w:r>
        <w:t>Bei unterschiedlichen Fehlerkosten kann derselbe statistische Zusammenhang zu einem anderen optimalen Schwellenwert führen.</w:t>
      </w:r>
    </w:p>
    <w:p w:rsidR="000D28F9" w:rsidRPr="00AF32B2" w:rsidRDefault="000D28F9" w:rsidP="00AF32B2">
      <w:pPr>
        <w:pStyle w:val="berschrift4"/>
      </w:pPr>
      <w:r w:rsidRPr="00AF32B2">
        <w:t>3.3.32.21 Vergleichbarkeit funktionaler Zustände</w:t>
      </w:r>
    </w:p>
    <w:p w:rsidR="000D28F9" w:rsidRDefault="000D28F9" w:rsidP="000D28F9">
      <w:pPr>
        <w:pStyle w:val="StandardWeb"/>
      </w:pPr>
      <w:r>
        <w:t>Die Zustandsmengen beider Kontexte lauten</w:t>
      </w:r>
    </w:p>
    <w:p w:rsidR="000D28F9" w:rsidRDefault="000D28F9" w:rsidP="000D28F9">
      <w:pPr>
        <w:pStyle w:val="StandardWeb"/>
      </w:pPr>
      <w:r>
        <w:t>[</w:t>
      </w:r>
      <w:r>
        <w:br/>
        <w:t>\mathcal{S}_{F}^{(1)}</w:t>
      </w:r>
      <w:r>
        <w:br/>
        <w:t>\tag{3.5721}</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\mathcal{S}_{F}^{(1)}\qquad\text{(3.5721)}</w:t>
      </w:r>
    </w:p>
    <w:p w:rsidR="000D28F9" w:rsidRDefault="000D28F9" w:rsidP="000D28F9">
      <w:pPr>
        <w:pStyle w:val="StandardWeb"/>
      </w:pPr>
      <w:r>
        <w:t>und</w:t>
      </w:r>
    </w:p>
    <w:p w:rsidR="000D28F9" w:rsidRDefault="000D28F9" w:rsidP="000D28F9">
      <w:pPr>
        <w:pStyle w:val="StandardWeb"/>
      </w:pPr>
      <w:r>
        <w:t>[</w:t>
      </w:r>
      <w:r>
        <w:br/>
        <w:t>\mathcal{S}_{F}^{(2)}.</w:t>
      </w:r>
      <w:r>
        <w:br/>
        <w:t>\tag{3.5722}</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\mathcal{S}_{F}^{(2)}\qquad\text{(3.5722)}</w:t>
      </w:r>
    </w:p>
    <w:p w:rsidR="000D28F9" w:rsidRDefault="000D28F9" w:rsidP="000D28F9">
      <w:pPr>
        <w:pStyle w:val="StandardWeb"/>
      </w:pPr>
      <w:r>
        <w:t>Eine Zustandsabbildung lautet</w:t>
      </w:r>
    </w:p>
    <w:p w:rsidR="000D28F9" w:rsidRDefault="000D28F9" w:rsidP="000D28F9">
      <w:pPr>
        <w:pStyle w:val="StandardWeb"/>
      </w:pPr>
      <w:r>
        <w:t>[</w:t>
      </w:r>
      <w:r>
        <w:br/>
        <w:t>\Phi_{\delta}:</w:t>
      </w:r>
      <w:r>
        <w:br/>
        <w:t>\mathcal{S}</w:t>
      </w:r>
      <w:r>
        <w:rPr>
          <w:rStyle w:val="Hervorhebung"/>
        </w:rPr>
        <w:t>{F}^{(1)}</w:t>
      </w:r>
      <w:r>
        <w:rPr>
          <w:i/>
          <w:iCs/>
        </w:rPr>
        <w:br/>
      </w:r>
      <w:r>
        <w:rPr>
          <w:rStyle w:val="Hervorhebung"/>
        </w:rPr>
        <w:t>\rightarrow</w:t>
      </w:r>
      <w:r>
        <w:rPr>
          <w:i/>
          <w:iCs/>
        </w:rPr>
        <w:br/>
      </w:r>
      <w:r>
        <w:rPr>
          <w:rStyle w:val="Hervorhebung"/>
        </w:rPr>
        <w:t>\mathcal{S}</w:t>
      </w:r>
      <w:r>
        <w:t>{F}^{(2)}.</w:t>
      </w:r>
      <w:r>
        <w:br/>
        <w:t>\tag{3.5723}</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lastRenderedPageBreak/>
        <w:t>\Phi_{\delta}:\mathcal{S}_{F}^{(1)}\rightarrow\mathcal{S}_{F}^{(2)}\qquad\text{(3.5723)}</w:t>
      </w:r>
    </w:p>
    <w:p w:rsidR="000D28F9" w:rsidRDefault="000D28F9" w:rsidP="000D28F9">
      <w:pPr>
        <w:pStyle w:val="StandardWeb"/>
      </w:pPr>
      <w:r>
        <w:t>Eine Zustandsklasse ist vergleichbar, wenn ihre definierenden Eigenschaften unter (\Phi_{\delta}) erhalten bleiben.</w:t>
      </w:r>
    </w:p>
    <w:p w:rsidR="000D28F9" w:rsidRPr="00AF32B2" w:rsidRDefault="000D28F9" w:rsidP="00AF32B2">
      <w:pPr>
        <w:pStyle w:val="berschrift4"/>
      </w:pPr>
      <w:r w:rsidRPr="00AF32B2">
        <w:t>3.3.32.22 Vergleichbarkeit funktionaler Relationen</w:t>
      </w:r>
    </w:p>
    <w:p w:rsidR="000D28F9" w:rsidRDefault="000D28F9" w:rsidP="000D28F9">
      <w:pPr>
        <w:pStyle w:val="StandardWeb"/>
      </w:pPr>
      <w:r>
        <w:t>Die Relationen beider Kontexte lauten</w:t>
      </w:r>
    </w:p>
    <w:p w:rsidR="000D28F9" w:rsidRDefault="000D28F9" w:rsidP="000D28F9">
      <w:pPr>
        <w:pStyle w:val="StandardWeb"/>
      </w:pPr>
      <w:r>
        <w:t>[</w:t>
      </w:r>
      <w:r>
        <w:br/>
        <w:t>R_{F}^{(1)}</w:t>
      </w:r>
      <w:r>
        <w:br/>
        <w:t>\tag{3.5724}</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R_{F}^{(1)}\qquad\text{(3.5724)}</w:t>
      </w:r>
    </w:p>
    <w:p w:rsidR="000D28F9" w:rsidRDefault="000D28F9" w:rsidP="000D28F9">
      <w:pPr>
        <w:pStyle w:val="StandardWeb"/>
      </w:pPr>
      <w:r>
        <w:t>und</w:t>
      </w:r>
    </w:p>
    <w:p w:rsidR="000D28F9" w:rsidRDefault="000D28F9" w:rsidP="000D28F9">
      <w:pPr>
        <w:pStyle w:val="StandardWeb"/>
      </w:pPr>
      <w:r>
        <w:t>[</w:t>
      </w:r>
      <w:r>
        <w:br/>
        <w:t>R_{F}^{(2)}.</w:t>
      </w:r>
      <w:r>
        <w:br/>
        <w:t>\tag{3.5725}</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R_{F}^{(2)}\qquad\text{(3.5725)}</w:t>
      </w:r>
    </w:p>
    <w:p w:rsidR="000D28F9" w:rsidRDefault="000D28F9" w:rsidP="000D28F9">
      <w:pPr>
        <w:pStyle w:val="StandardWeb"/>
      </w:pPr>
      <w:r>
        <w:t>Relationserhalt verlangt</w:t>
      </w:r>
    </w:p>
    <w:p w:rsidR="000D28F9" w:rsidRDefault="000D28F9" w:rsidP="000D28F9">
      <w:pPr>
        <w:pStyle w:val="StandardWeb"/>
      </w:pPr>
      <w:r>
        <w:t>[</w:t>
      </w:r>
      <w:r>
        <w:br/>
        <w:t>(\delta_i,\delta_j)</w:t>
      </w:r>
      <w:r>
        <w:br/>
        <w:t>\in</w:t>
      </w:r>
      <w:r>
        <w:br/>
        <w:t>R_{F}^{(1)}</w:t>
      </w:r>
      <w:r>
        <w:br/>
        <w:t>\iff</w:t>
      </w:r>
      <w:r>
        <w:br/>
        <w:t>\left(</w:t>
      </w:r>
      <w:r>
        <w:br/>
        <w:t>\Phi_{\delta}(\delta_i),</w:t>
      </w:r>
      <w:r>
        <w:br/>
        <w:t>\Phi_{\delta}(\delta_j)</w:t>
      </w:r>
      <w:r>
        <w:br/>
        <w:t>\right)</w:t>
      </w:r>
      <w:r>
        <w:br/>
        <w:t>\in</w:t>
      </w:r>
      <w:r>
        <w:br/>
        <w:t>R_{F}^{(2)}.</w:t>
      </w:r>
      <w:r>
        <w:br/>
        <w:t>\tag{3.5726}</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(\delta_i,\delta_j)\in R_{F}^{(1)}\iff\left(\Phi_{\delta}(\delta_i),\Phi_{\delta}(\delta_j)\right)\in R_{F}^{(2)}\qquad\text{(3.5726)}</w:t>
      </w:r>
    </w:p>
    <w:p w:rsidR="000D28F9" w:rsidRPr="00AF32B2" w:rsidRDefault="000D28F9" w:rsidP="00AF32B2">
      <w:pPr>
        <w:pStyle w:val="berschrift4"/>
      </w:pPr>
      <w:r w:rsidRPr="00AF32B2">
        <w:t>3.3.32.23 Vergleichbarkeit funktionaler Transformationen</w:t>
      </w:r>
    </w:p>
    <w:p w:rsidR="000D28F9" w:rsidRDefault="000D28F9" w:rsidP="000D28F9">
      <w:pPr>
        <w:pStyle w:val="StandardWeb"/>
      </w:pPr>
      <w:r>
        <w:lastRenderedPageBreak/>
        <w:t>Die Transformationen beider Kontexte lauten</w:t>
      </w:r>
    </w:p>
    <w:p w:rsidR="000D28F9" w:rsidRDefault="000D28F9" w:rsidP="000D28F9">
      <w:pPr>
        <w:pStyle w:val="StandardWeb"/>
      </w:pPr>
      <w:r>
        <w:t>[</w:t>
      </w:r>
      <w:r>
        <w:br/>
        <w:t>T_{F}^{(1)}</w:t>
      </w:r>
      <w:r>
        <w:br/>
        <w:t>\tag{3.5727}</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T_{F}^{(1)}\qquad\text{(3.5727)}</w:t>
      </w:r>
    </w:p>
    <w:p w:rsidR="000D28F9" w:rsidRDefault="000D28F9" w:rsidP="000D28F9">
      <w:pPr>
        <w:pStyle w:val="StandardWeb"/>
      </w:pPr>
      <w:r>
        <w:t>und</w:t>
      </w:r>
    </w:p>
    <w:p w:rsidR="000D28F9" w:rsidRDefault="000D28F9" w:rsidP="000D28F9">
      <w:pPr>
        <w:pStyle w:val="StandardWeb"/>
      </w:pPr>
      <w:r>
        <w:t>[</w:t>
      </w:r>
      <w:r>
        <w:br/>
        <w:t>T_{F}^{(2)}.</w:t>
      </w:r>
      <w:r>
        <w:br/>
        <w:t>\tag{3.5728}</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T_{F}^{(2)}\qquad\text{(3.5728)}</w:t>
      </w:r>
    </w:p>
    <w:p w:rsidR="000D28F9" w:rsidRDefault="000D28F9" w:rsidP="000D28F9">
      <w:pPr>
        <w:pStyle w:val="StandardWeb"/>
      </w:pPr>
      <w:r>
        <w:t>Transformationserhalt verlangt</w:t>
      </w:r>
    </w:p>
    <w:p w:rsidR="000D28F9" w:rsidRDefault="000D28F9" w:rsidP="000D28F9">
      <w:pPr>
        <w:pStyle w:val="berschrift1"/>
      </w:pPr>
      <w:r>
        <w:t>[</w:t>
      </w:r>
      <w:r>
        <w:br/>
        <w:t>\Phi_{\delta}</w:t>
      </w:r>
      <w:r>
        <w:br/>
        <w:t>\circ</w:t>
      </w:r>
      <w:r>
        <w:br/>
        <w:t>T_{F}^{(1)}</w:t>
      </w:r>
    </w:p>
    <w:p w:rsidR="000D28F9" w:rsidRDefault="000D28F9" w:rsidP="000D28F9">
      <w:pPr>
        <w:pStyle w:val="StandardWeb"/>
      </w:pPr>
      <w:r>
        <w:t>T_{F}^{(2)}</w:t>
      </w:r>
      <w:r>
        <w:br/>
        <w:t>\circ</w:t>
      </w:r>
      <w:r>
        <w:br/>
        <w:t>\Phi_{\delta}.</w:t>
      </w:r>
      <w:r>
        <w:br/>
        <w:t>\tag{3.5729}</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\Phi_{\delta}\circ T_{F}^{(1)}=T_{F}^{(2)}\circ\Phi_{\delta}\qquad\text{(3.5729)}</w:t>
      </w:r>
    </w:p>
    <w:p w:rsidR="000D28F9" w:rsidRPr="00AF32B2" w:rsidRDefault="000D28F9" w:rsidP="00AF32B2">
      <w:pPr>
        <w:pStyle w:val="berschrift4"/>
      </w:pPr>
      <w:r w:rsidRPr="00AF32B2">
        <w:t>3.3.32.24 Vergleichbarkeit funktionaler Kohärenzwerte</w:t>
      </w:r>
    </w:p>
    <w:p w:rsidR="000D28F9" w:rsidRDefault="000D28F9" w:rsidP="000D28F9">
      <w:pPr>
        <w:pStyle w:val="StandardWeb"/>
      </w:pPr>
      <w:r>
        <w:t>Die Kohärenzfunktionen beider Kontexte lauten</w:t>
      </w:r>
    </w:p>
    <w:p w:rsidR="000D28F9" w:rsidRDefault="000D28F9" w:rsidP="000D28F9">
      <w:pPr>
        <w:pStyle w:val="StandardWeb"/>
      </w:pPr>
      <w:r>
        <w:t>[</w:t>
      </w:r>
      <w:r>
        <w:br/>
        <w:t>K_{\mathcal{C}}^{(1)}</w:t>
      </w:r>
      <w:r>
        <w:br/>
        <w:t>\tag{3.5730}</w:t>
      </w:r>
      <w:r>
        <w:br/>
        <w:t>]</w:t>
      </w:r>
    </w:p>
    <w:p w:rsidR="000D28F9" w:rsidRDefault="000D28F9" w:rsidP="000D28F9">
      <w:pPr>
        <w:pStyle w:val="StandardWeb"/>
      </w:pPr>
      <w:r>
        <w:rPr>
          <w:rStyle w:val="Fett"/>
        </w:rPr>
        <w:lastRenderedPageBreak/>
        <w:t>Word-LaTeX</w:t>
      </w:r>
    </w:p>
    <w:p w:rsidR="000D28F9" w:rsidRDefault="000D28F9" w:rsidP="000D28F9">
      <w:pPr>
        <w:pStyle w:val="HTMLVorformatiert"/>
        <w:rPr>
          <w:rStyle w:val="HTMLCode"/>
        </w:rPr>
      </w:pPr>
      <w:r>
        <w:rPr>
          <w:rStyle w:val="HTMLCode"/>
        </w:rPr>
        <w:t>K_{\mathcal{C}}^{(1)}\qquad\text{(3.5730)}</w:t>
      </w:r>
    </w:p>
    <w:p w:rsidR="000D28F9" w:rsidRDefault="000D28F9" w:rsidP="000D28F9">
      <w:pPr>
        <w:pStyle w:val="StandardWeb"/>
      </w:pPr>
      <w:r>
        <w:t>und</w:t>
      </w:r>
    </w:p>
    <w:p w:rsidR="000D28F9" w:rsidRDefault="000D28F9" w:rsidP="000D28F9">
      <w:pPr>
        <w:pStyle w:val="StandardWeb"/>
      </w:pPr>
      <w:r>
        <w:t>[</w:t>
      </w:r>
      <w:r>
        <w:br/>
        <w:t>K_{\mathcal{C}}^{(2)}.</w:t>
      </w:r>
      <w:r>
        <w:br/>
        <w:t>\tag{3.5731}</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K_{\mathcal{C}}^{(2)}\qquad\text{(3.5731)}</w:t>
      </w:r>
    </w:p>
    <w:p w:rsidR="000D28F9" w:rsidRDefault="000D28F9" w:rsidP="000D28F9">
      <w:pPr>
        <w:pStyle w:val="StandardWeb"/>
      </w:pPr>
      <w:r>
        <w:t>Eine direkte numerische Vergleichbarkeit verlangt</w:t>
      </w:r>
    </w:p>
    <w:p w:rsidR="000D28F9" w:rsidRDefault="000D28F9" w:rsidP="000D28F9">
      <w:pPr>
        <w:pStyle w:val="berschrift1"/>
      </w:pPr>
      <w:r>
        <w:t>[</w:t>
      </w:r>
      <w:r>
        <w:br/>
        <w:t>K_{\mathcal{C}}^{(2)}</w:t>
      </w:r>
      <w:r>
        <w:br/>
        <w:t>\circ</w:t>
      </w:r>
      <w:r>
        <w:br/>
        <w:t>\Phi_{\delta}</w:t>
      </w:r>
    </w:p>
    <w:p w:rsidR="000D28F9" w:rsidRDefault="000D28F9" w:rsidP="000D28F9">
      <w:pPr>
        <w:pStyle w:val="StandardWeb"/>
      </w:pPr>
      <w:r>
        <w:t>g_{K}</w:t>
      </w:r>
      <w:r>
        <w:br/>
        <w:t>\circ</w:t>
      </w:r>
      <w:r>
        <w:br/>
        <w:t>K_{\mathcal{C}}^{(1)}.</w:t>
      </w:r>
      <w:r>
        <w:br/>
        <w:t>\tag{3.5732}</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K_{\mathcal{C}}^{(2)}\circ\Phi_{\delta}=g_{K}\circ K_{\mathcal{C}}^{(1)}\qquad\text{(3.5732)}</w:t>
      </w:r>
    </w:p>
    <w:p w:rsidR="000D28F9" w:rsidRDefault="000D28F9" w:rsidP="000D28F9">
      <w:pPr>
        <w:pStyle w:val="StandardWeb"/>
      </w:pPr>
      <w:r>
        <w:t>Dabei beschreibt (g_K) eine zulässige Skalen- oder Einheitenabbildung.</w:t>
      </w:r>
    </w:p>
    <w:p w:rsidR="000D28F9" w:rsidRPr="00AF32B2" w:rsidRDefault="000D28F9" w:rsidP="00AF32B2">
      <w:pPr>
        <w:pStyle w:val="berschrift4"/>
      </w:pPr>
      <w:r w:rsidRPr="00AF32B2">
        <w:t>3.3.32.25 Vergleichbarkeit funktionaler Zeit</w:t>
      </w:r>
    </w:p>
    <w:p w:rsidR="000D28F9" w:rsidRDefault="000D28F9" w:rsidP="000D28F9">
      <w:pPr>
        <w:pStyle w:val="StandardWeb"/>
      </w:pPr>
      <w:r>
        <w:t>Die funktionalen Zeitabbildungen lauten</w:t>
      </w:r>
    </w:p>
    <w:p w:rsidR="000D28F9" w:rsidRDefault="000D28F9" w:rsidP="000D28F9">
      <w:pPr>
        <w:pStyle w:val="StandardWeb"/>
      </w:pPr>
      <w:r>
        <w:t>[</w:t>
      </w:r>
      <w:r>
        <w:br/>
        <w:t>t_{F}^{(1)}</w:t>
      </w:r>
      <w:r>
        <w:br/>
        <w:t>\tag{3.5733}</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t_{F}^{(1)}\qquad\text{(3.5733)}</w:t>
      </w:r>
    </w:p>
    <w:p w:rsidR="000D28F9" w:rsidRDefault="000D28F9" w:rsidP="000D28F9">
      <w:pPr>
        <w:pStyle w:val="StandardWeb"/>
      </w:pPr>
      <w:r>
        <w:t>und</w:t>
      </w:r>
    </w:p>
    <w:p w:rsidR="000D28F9" w:rsidRDefault="000D28F9" w:rsidP="000D28F9">
      <w:pPr>
        <w:pStyle w:val="StandardWeb"/>
      </w:pPr>
      <w:r>
        <w:lastRenderedPageBreak/>
        <w:t>[</w:t>
      </w:r>
      <w:r>
        <w:br/>
        <w:t>t_{F}^{(2)}.</w:t>
      </w:r>
      <w:r>
        <w:br/>
        <w:t>\tag{3.5734}</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t_{F}^{(2)}\qquad\text{(3.5734)}</w:t>
      </w:r>
    </w:p>
    <w:p w:rsidR="000D28F9" w:rsidRDefault="000D28F9" w:rsidP="000D28F9">
      <w:pPr>
        <w:pStyle w:val="StandardWeb"/>
      </w:pPr>
      <w:r>
        <w:t>Ordnungsbezogene Vergleichbarkeit verlangt</w:t>
      </w:r>
    </w:p>
    <w:p w:rsidR="000D28F9" w:rsidRDefault="000D28F9" w:rsidP="000D28F9">
      <w:pPr>
        <w:pStyle w:val="StandardWeb"/>
      </w:pPr>
      <w:r>
        <w:t>[</w:t>
      </w:r>
      <w:r>
        <w:br/>
        <w:t>t_{F}^{(1)}([\delta_i])</w:t>
      </w:r>
      <w:r>
        <w:br/>
        <w:t>&lt;</w:t>
      </w:r>
      <w:r>
        <w:br/>
        <w:t>t_{F}^{(1)}([\delta_j])</w:t>
      </w:r>
      <w:r>
        <w:br/>
        <w:t>\iff</w:t>
      </w:r>
      <w:r>
        <w:br/>
        <w:t>t_{F}^{(2)}([\Phi_{\delta}(\delta_i)])</w:t>
      </w:r>
      <w:r>
        <w:br/>
        <w:t>&lt;</w:t>
      </w:r>
      <w:r>
        <w:br/>
        <w:t>t_{F}^{(2)}([\Phi_{\delta}(\delta_j)]).</w:t>
      </w:r>
      <w:r>
        <w:br/>
        <w:t>\tag{3.5735}</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t_{F}^{(1)}([\delta_i])&lt;t_{F}^{(1)}([\delta_j])\iff t_{F}^{(2)}([\Phi_{\delta}(\delta_i)])&lt;t_{F}^{(2)}([\Phi_{\delta}(\delta_j)])\qquad\text{(3.5735)}</w:t>
      </w:r>
    </w:p>
    <w:p w:rsidR="000D28F9" w:rsidRPr="00AF32B2" w:rsidRDefault="000D28F9" w:rsidP="00AF32B2">
      <w:pPr>
        <w:pStyle w:val="berschrift4"/>
      </w:pPr>
      <w:r w:rsidRPr="00AF32B2">
        <w:t>3.3.32.26 Kontextabweichungsvektor</w:t>
      </w:r>
    </w:p>
    <w:p w:rsidR="000D28F9" w:rsidRDefault="000D28F9" w:rsidP="000D28F9">
      <w:pPr>
        <w:pStyle w:val="StandardWeb"/>
      </w:pPr>
      <w:r>
        <w:t>Die Abweichungen relevanter Kontextkomponenten können in einem Vektor zusammengefasst werden:</w:t>
      </w:r>
    </w:p>
    <w:p w:rsidR="000D28F9" w:rsidRDefault="000D28F9" w:rsidP="000D28F9">
      <w:pPr>
        <w:pStyle w:val="berschrift1"/>
      </w:pPr>
      <w:r>
        <w:t>[</w:t>
      </w:r>
      <w:r>
        <w:br/>
        <w:t>\boldsymbol{\Delta}_{\mathcal{E}}</w:t>
      </w:r>
    </w:p>
    <w:p w:rsidR="000D28F9" w:rsidRDefault="000D28F9" w:rsidP="000D28F9">
      <w:pPr>
        <w:pStyle w:val="StandardWeb"/>
      </w:pPr>
      <w:r>
        <w:t>\left(</w:t>
      </w:r>
      <w:r>
        <w:br/>
        <w:t>\Delta_{\mathrm{data}},</w:t>
      </w:r>
      <w:r>
        <w:br/>
        <w:t>\Delta_{\mathrm{op}},</w:t>
      </w:r>
      <w:r>
        <w:br/>
        <w:t>\Delta_{\mathrm{struktur}},</w:t>
      </w:r>
      <w:r>
        <w:br/>
        <w:t>\Delta_{\mathrm{zeit}},</w:t>
      </w:r>
      <w:r>
        <w:br/>
        <w:t>\Delta_{\mathrm{skala}},</w:t>
      </w:r>
      <w:r>
        <w:br/>
        <w:t>\Delta_{\mathrm{kosten}}</w:t>
      </w:r>
      <w:r>
        <w:br/>
        <w:t>\right).</w:t>
      </w:r>
      <w:r>
        <w:br/>
        <w:t>\tag{3.5736}</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lastRenderedPageBreak/>
        <w:t>\boldsymbol{\Delta}_{\mathcal{E}}=\left(\Delta_{\mathrm{data}},\Delta_{\mathrm{op}},\Delta_{\mathrm{struktur}},\Delta_{\mathrm{zeit}},\Delta_{\mathrm{skala}},\Delta_{\mathrm{kosten}}\right)\qquad\text{(3.5736)}</w:t>
      </w:r>
    </w:p>
    <w:p w:rsidR="000D28F9" w:rsidRDefault="000D28F9" w:rsidP="000D28F9">
      <w:pPr>
        <w:pStyle w:val="StandardWeb"/>
      </w:pPr>
      <w:r>
        <w:t>Ein gewichtetes Kontextabweichungsmaß lautet</w:t>
      </w:r>
    </w:p>
    <w:p w:rsidR="000D28F9" w:rsidRDefault="000D28F9" w:rsidP="000D28F9">
      <w:pPr>
        <w:pStyle w:val="berschrift1"/>
      </w:pPr>
      <w:r>
        <w:t>[</w:t>
      </w:r>
      <w:r>
        <w:br/>
        <w:t>\Delta_{\mathcal{E}}</w:t>
      </w:r>
    </w:p>
    <w:p w:rsidR="000D28F9" w:rsidRDefault="000D28F9" w:rsidP="000D28F9">
      <w:pPr>
        <w:pStyle w:val="StandardWeb"/>
      </w:pPr>
      <w:r>
        <w:t>\sum_{i=1}^{m}</w:t>
      </w:r>
      <w:r>
        <w:br/>
        <w:t>w_i</w:t>
      </w:r>
      <w:r>
        <w:br/>
        <w:t>\Delta_i.</w:t>
      </w:r>
      <w:r>
        <w:br/>
        <w:t>\tag{3.5737}</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\Delta_{\mathcal{E}}=\sum_{i=1}^{m}w_i\Delta_i\qquad\text{(3.5737)}</w:t>
      </w:r>
    </w:p>
    <w:p w:rsidR="000D28F9" w:rsidRDefault="000D28F9" w:rsidP="000D28F9">
      <w:pPr>
        <w:pStyle w:val="StandardWeb"/>
      </w:pPr>
      <w:r>
        <w:t>Dabei gilt</w:t>
      </w:r>
    </w:p>
    <w:p w:rsidR="000D28F9" w:rsidRDefault="000D28F9" w:rsidP="000D28F9">
      <w:pPr>
        <w:pStyle w:val="StandardWeb"/>
      </w:pPr>
      <w:r>
        <w:t>[</w:t>
      </w:r>
      <w:r>
        <w:br/>
        <w:t>w_i</w:t>
      </w:r>
      <w:r>
        <w:br/>
        <w:t>\geq</w:t>
      </w:r>
      <w:r>
        <w:br/>
        <w:t>0</w:t>
      </w:r>
      <w:r>
        <w:br/>
        <w:t>\tag{3.5738}</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w_i\geq0\qquad\text{(3.5738)}</w:t>
      </w:r>
    </w:p>
    <w:p w:rsidR="000D28F9" w:rsidRDefault="000D28F9" w:rsidP="000D28F9">
      <w:pPr>
        <w:pStyle w:val="StandardWeb"/>
      </w:pPr>
      <w:r>
        <w:t>und</w:t>
      </w:r>
    </w:p>
    <w:p w:rsidR="000D28F9" w:rsidRDefault="000D28F9" w:rsidP="000D28F9">
      <w:pPr>
        <w:pStyle w:val="berschrift1"/>
      </w:pPr>
      <w:r>
        <w:t>[</w:t>
      </w:r>
      <w:r>
        <w:br/>
        <w:t>\sum_{i=1}^{m}</w:t>
      </w:r>
      <w:r>
        <w:br/>
        <w:t>w_i</w:t>
      </w:r>
    </w:p>
    <w:p w:rsidR="000D28F9" w:rsidRDefault="000D28F9" w:rsidP="00632D23">
      <w:pPr>
        <w:numPr>
          <w:ilvl w:val="0"/>
          <w:numId w:val="204"/>
        </w:numPr>
        <w:spacing w:before="100" w:beforeAutospacing="1" w:after="100" w:afterAutospacing="1"/>
      </w:pPr>
    </w:p>
    <w:p w:rsidR="000D28F9" w:rsidRDefault="000D28F9" w:rsidP="000D28F9">
      <w:pPr>
        <w:pStyle w:val="StandardWeb"/>
      </w:pPr>
      <w:r>
        <w:t>\tag{3.5739}</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\sum_{i=1}^{m}w_i=1\qquad\text{(3.5739)}</w:t>
      </w:r>
    </w:p>
    <w:p w:rsidR="000D28F9" w:rsidRPr="00AF32B2" w:rsidRDefault="000D28F9" w:rsidP="00AF32B2">
      <w:pPr>
        <w:pStyle w:val="berschrift4"/>
      </w:pPr>
      <w:r w:rsidRPr="00AF32B2">
        <w:t>3.3.32.27 Vergleichbarkeitstoleranz</w:t>
      </w:r>
    </w:p>
    <w:p w:rsidR="000D28F9" w:rsidRDefault="000D28F9" w:rsidP="000D28F9">
      <w:pPr>
        <w:pStyle w:val="StandardWeb"/>
      </w:pPr>
      <w:r>
        <w:lastRenderedPageBreak/>
        <w:t>Kontexte gelten bezüglich einer Aussage (P) als hinreichend vergleichbar, wenn</w:t>
      </w:r>
    </w:p>
    <w:p w:rsidR="000D28F9" w:rsidRDefault="000D28F9" w:rsidP="000D28F9">
      <w:pPr>
        <w:pStyle w:val="StandardWeb"/>
      </w:pPr>
      <w:r>
        <w:t>[</w:t>
      </w:r>
      <w:r>
        <w:br/>
        <w:t>\Delta_{\mathcal{E}}(P)</w:t>
      </w:r>
      <w:r>
        <w:br/>
        <w:t>\leq</w:t>
      </w:r>
      <w:r>
        <w:br/>
        <w:t>\varepsilon_{\mathcal{E}}(P).</w:t>
      </w:r>
      <w:r>
        <w:br/>
        <w:t>\tag{3.5740}</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\Delta_{\mathcal{E}}(P)\leq\varepsilon_{\mathcal{E}}(P)\qquad\text{(3.5740)}</w:t>
      </w:r>
    </w:p>
    <w:p w:rsidR="000D28F9" w:rsidRDefault="000D28F9" w:rsidP="000D28F9">
      <w:pPr>
        <w:pStyle w:val="StandardWeb"/>
      </w:pPr>
      <w:r>
        <w:t>Die Toleranz ist aussageabhängig. Eine Aussage über eine grobe Rangordnung kann größere Kontextabweichungen vertragen als eine Aussage über einen exakten numerischen Parameter.</w:t>
      </w:r>
    </w:p>
    <w:p w:rsidR="000D28F9" w:rsidRPr="00AF32B2" w:rsidRDefault="000D28F9" w:rsidP="00AF32B2">
      <w:pPr>
        <w:pStyle w:val="berschrift4"/>
      </w:pPr>
      <w:r w:rsidRPr="00AF32B2">
        <w:t>3.3.32.28 Generalisierungsfehler</w:t>
      </w:r>
    </w:p>
    <w:p w:rsidR="000D28F9" w:rsidRDefault="000D28F9" w:rsidP="000D28F9">
      <w:pPr>
        <w:pStyle w:val="StandardWeb"/>
      </w:pPr>
      <w:r>
        <w:t>Der Generalisierungsfehler einer Vorhersage lautet</w:t>
      </w:r>
    </w:p>
    <w:p w:rsidR="000D28F9" w:rsidRDefault="000D28F9" w:rsidP="000D28F9">
      <w:pPr>
        <w:pStyle w:val="berschrift1"/>
      </w:pPr>
      <w:r>
        <w:t>[</w:t>
      </w:r>
      <w:r>
        <w:br/>
        <w:t>R_{\mathrm{gen}}</w:t>
      </w:r>
    </w:p>
    <w:p w:rsidR="000D28F9" w:rsidRDefault="000D28F9" w:rsidP="000D28F9">
      <w:pPr>
        <w:pStyle w:val="berschrift2"/>
      </w:pPr>
      <w:r>
        <w:t>R_{\mathcal{E}_{2}}</w:t>
      </w:r>
    </w:p>
    <w:p w:rsidR="000D28F9" w:rsidRDefault="000D28F9" w:rsidP="000D28F9">
      <w:pPr>
        <w:pStyle w:val="StandardWeb"/>
      </w:pPr>
      <w:r>
        <w:t>R_{\mathcal{E}_{1}}.</w:t>
      </w:r>
      <w:r>
        <w:br/>
        <w:t>\tag{3.5741}</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R_{\mathrm{gen}}=R_{\mathcal{E}_{2}}-R_{\mathcal{E}_{1}}\qquad\text{(3.5741)}</w:t>
      </w:r>
    </w:p>
    <w:p w:rsidR="000D28F9" w:rsidRDefault="000D28F9" w:rsidP="000D28F9">
      <w:pPr>
        <w:pStyle w:val="StandardWeb"/>
      </w:pPr>
      <w:r>
        <w:t>Dabei bezeichnet (R_{\mathcal{E}_{i}}) das im jeweiligen Kontext bestimmte Risiko oder Fehlermaß.</w:t>
      </w:r>
    </w:p>
    <w:p w:rsidR="000D28F9" w:rsidRDefault="000D28F9" w:rsidP="000D28F9">
      <w:pPr>
        <w:pStyle w:val="StandardWeb"/>
      </w:pPr>
      <w:r>
        <w:t>Ein kleiner Generalisierungsfehler erfüllt</w:t>
      </w:r>
    </w:p>
    <w:p w:rsidR="000D28F9" w:rsidRDefault="000D28F9" w:rsidP="000D28F9">
      <w:pPr>
        <w:pStyle w:val="StandardWeb"/>
      </w:pPr>
      <w:r>
        <w:t>[</w:t>
      </w:r>
      <w:r>
        <w:br/>
        <w:t>|R_{\mathrm{gen}}|</w:t>
      </w:r>
      <w:r>
        <w:br/>
        <w:t>\leq</w:t>
      </w:r>
      <w:r>
        <w:br/>
        <w:t>\varepsilon_{\mathrm{gen}}.</w:t>
      </w:r>
      <w:r>
        <w:br/>
        <w:t>\tag{3.5742}</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|R_{\mathrm{gen}}|\leq\varepsilon_{\mathrm{gen}}\qquad\text{(3.5742)}</w:t>
      </w:r>
    </w:p>
    <w:p w:rsidR="000D28F9" w:rsidRPr="00AF32B2" w:rsidRDefault="000D28F9" w:rsidP="00AF32B2">
      <w:pPr>
        <w:pStyle w:val="berschrift4"/>
      </w:pPr>
      <w:r w:rsidRPr="00AF32B2">
        <w:lastRenderedPageBreak/>
        <w:t>3.3.32.29 Kontextbedingtes Risiko</w:t>
      </w:r>
    </w:p>
    <w:p w:rsidR="000D28F9" w:rsidRDefault="000D28F9" w:rsidP="000D28F9">
      <w:pPr>
        <w:pStyle w:val="StandardWeb"/>
      </w:pPr>
      <w:r>
        <w:t>Das Risiko im Zielkontext lautet</w:t>
      </w:r>
    </w:p>
    <w:p w:rsidR="000D28F9" w:rsidRDefault="000D28F9" w:rsidP="000D28F9">
      <w:pPr>
        <w:pStyle w:val="berschrift1"/>
      </w:pPr>
      <w:r>
        <w:t>[</w:t>
      </w:r>
      <w:r>
        <w:br/>
        <w:t>R_{2}(f)</w:t>
      </w:r>
    </w:p>
    <w:p w:rsidR="000D28F9" w:rsidRDefault="000D28F9" w:rsidP="000D28F9">
      <w:pPr>
        <w:pStyle w:val="StandardWeb"/>
      </w:pPr>
      <w:r>
        <w:t>\mathbb{E}</w:t>
      </w:r>
      <w:r>
        <w:rPr>
          <w:rStyle w:val="Hervorhebung"/>
        </w:rPr>
        <w:t>{(X,Y)\sim p</w:t>
      </w:r>
      <w:r>
        <w:t>{2}}</w:t>
      </w:r>
      <w:r>
        <w:br/>
        <w:t>\left[</w:t>
      </w:r>
      <w:r>
        <w:br/>
        <w:t>L</w:t>
      </w:r>
      <w:r>
        <w:br/>
        <w:t>\left(</w:t>
      </w:r>
      <w:r>
        <w:br/>
        <w:t>f(X),Y</w:t>
      </w:r>
      <w:r>
        <w:br/>
        <w:t>\right)</w:t>
      </w:r>
      <w:r>
        <w:br/>
        <w:t>\right].</w:t>
      </w:r>
      <w:r>
        <w:br/>
        <w:t>\tag{3.5743}</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R_{2}(f)=\mathbb{E}_{(X,Y)\sim p_{2}}\left[L\left(f(X),Y\right)\right]\qquad\text{(3.5743)}</w:t>
      </w:r>
    </w:p>
    <w:p w:rsidR="000D28F9" w:rsidRDefault="000D28F9" w:rsidP="000D28F9">
      <w:pPr>
        <w:pStyle w:val="StandardWeb"/>
      </w:pPr>
      <w:r>
        <w:t>Das Risiko im Ausgangskontext lautet</w:t>
      </w:r>
    </w:p>
    <w:p w:rsidR="000D28F9" w:rsidRDefault="000D28F9" w:rsidP="000D28F9">
      <w:pPr>
        <w:pStyle w:val="berschrift1"/>
      </w:pPr>
      <w:r>
        <w:t>[</w:t>
      </w:r>
      <w:r>
        <w:br/>
        <w:t>R_{1}(f)</w:t>
      </w:r>
    </w:p>
    <w:p w:rsidR="000D28F9" w:rsidRDefault="000D28F9" w:rsidP="000D28F9">
      <w:pPr>
        <w:pStyle w:val="StandardWeb"/>
      </w:pPr>
      <w:r>
        <w:t>\mathbb{E}</w:t>
      </w:r>
      <w:r>
        <w:rPr>
          <w:rStyle w:val="Hervorhebung"/>
        </w:rPr>
        <w:t>{(X,Y)\sim p</w:t>
      </w:r>
      <w:r>
        <w:t>{1}}</w:t>
      </w:r>
      <w:r>
        <w:br/>
        <w:t>\left[</w:t>
      </w:r>
      <w:r>
        <w:br/>
        <w:t>L</w:t>
      </w:r>
      <w:r>
        <w:br/>
        <w:t>\left(</w:t>
      </w:r>
      <w:r>
        <w:br/>
        <w:t>f(X),Y</w:t>
      </w:r>
      <w:r>
        <w:br/>
        <w:t>\right)</w:t>
      </w:r>
      <w:r>
        <w:br/>
        <w:t>\right].</w:t>
      </w:r>
      <w:r>
        <w:br/>
        <w:t>\tag{3.5744}</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R_{1}(f)=\mathbb{E}_{(X,Y)\sim p_{1}}\left[L\left(f(X),Y\right)\right]\qquad\text{(3.5744)}</w:t>
      </w:r>
    </w:p>
    <w:p w:rsidR="000D28F9" w:rsidRDefault="000D28F9" w:rsidP="000D28F9">
      <w:pPr>
        <w:pStyle w:val="StandardWeb"/>
      </w:pPr>
      <w:r>
        <w:t>Die Gleichheit</w:t>
      </w:r>
    </w:p>
    <w:p w:rsidR="000D28F9" w:rsidRDefault="000D28F9" w:rsidP="000D28F9">
      <w:pPr>
        <w:pStyle w:val="berschrift1"/>
      </w:pPr>
      <w:r>
        <w:t>[</w:t>
      </w:r>
      <w:r>
        <w:br/>
        <w:t>R_{1}(f)</w:t>
      </w:r>
    </w:p>
    <w:p w:rsidR="000D28F9" w:rsidRDefault="000D28F9" w:rsidP="000D28F9">
      <w:pPr>
        <w:pStyle w:val="StandardWeb"/>
      </w:pPr>
      <w:r>
        <w:lastRenderedPageBreak/>
        <w:t>R_{2}(f)</w:t>
      </w:r>
      <w:r>
        <w:br/>
        <w:t>\tag{3.5745}</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R_{1}(f)=R_{2}(f)\qquad\text{(3.5745)}</w:t>
      </w:r>
    </w:p>
    <w:p w:rsidR="000D28F9" w:rsidRDefault="000D28F9" w:rsidP="000D28F9">
      <w:pPr>
        <w:pStyle w:val="StandardWeb"/>
      </w:pPr>
      <w:r>
        <w:t>muss empirisch oder strukturell begründet werden und darf nicht vorausgesetzt werden.</w:t>
      </w:r>
    </w:p>
    <w:p w:rsidR="000D28F9" w:rsidRPr="00AF32B2" w:rsidRDefault="000D28F9" w:rsidP="00AF32B2">
      <w:pPr>
        <w:pStyle w:val="berschrift4"/>
      </w:pPr>
      <w:r w:rsidRPr="00AF32B2">
        <w:t>3.3.32.30 Aussagebezogene Übertragungsmenge</w:t>
      </w:r>
    </w:p>
    <w:p w:rsidR="000D28F9" w:rsidRDefault="000D28F9" w:rsidP="000D28F9">
      <w:pPr>
        <w:pStyle w:val="StandardWeb"/>
      </w:pPr>
      <w:r>
        <w:t>Die Menge der Zielkontexte, auf die eine Aussage übertragbar ist, lautet</w:t>
      </w:r>
    </w:p>
    <w:p w:rsidR="000D28F9" w:rsidRDefault="000D28F9" w:rsidP="000D28F9">
      <w:pPr>
        <w:pStyle w:val="berschrift1"/>
      </w:pPr>
      <w:r>
        <w:t>[</w:t>
      </w:r>
      <w:r>
        <w:br/>
        <w:t>\mathfrak{E}_{\mathrm{trans}}(P)</w:t>
      </w:r>
    </w:p>
    <w:p w:rsidR="000D28F9" w:rsidRDefault="000D28F9" w:rsidP="000D28F9">
      <w:pPr>
        <w:pStyle w:val="berschrift1"/>
      </w:pPr>
      <w:r>
        <w:t>\left{</w:t>
      </w:r>
      <w:r>
        <w:br/>
        <w:t>\mathcal{E}</w:t>
      </w:r>
      <w:r>
        <w:br/>
        <w:t>;\middle|;</w:t>
      </w:r>
      <w:r>
        <w:br/>
        <w:t>\operatorname{Gen}</w:t>
      </w:r>
      <w:r>
        <w:rPr>
          <w:rStyle w:val="Hervorhebung"/>
        </w:rPr>
        <w:t>{F}</w:t>
      </w:r>
      <w:r>
        <w:rPr>
          <w:i/>
          <w:iCs/>
        </w:rPr>
        <w:br/>
      </w:r>
      <w:r>
        <w:rPr>
          <w:rStyle w:val="Hervorhebung"/>
        </w:rPr>
        <w:t>\left(</w:t>
      </w:r>
      <w:r>
        <w:rPr>
          <w:i/>
          <w:iCs/>
        </w:rPr>
        <w:br/>
      </w:r>
      <w:r>
        <w:rPr>
          <w:rStyle w:val="Hervorhebung"/>
        </w:rPr>
        <w:t>\mathfrak{V}</w:t>
      </w:r>
      <w:r>
        <w:t>{F},</w:t>
      </w:r>
      <w:r>
        <w:br/>
        <w:t>P</w:t>
      </w:r>
      <w:r>
        <w:br/>
        <w:t>\right)</w:t>
      </w:r>
    </w:p>
    <w:p w:rsidR="000D28F9" w:rsidRDefault="000D28F9" w:rsidP="000D28F9">
      <w:pPr>
        <w:pStyle w:val="StandardWeb"/>
      </w:pPr>
      <w:r>
        <w:t>1</w:t>
      </w:r>
      <w:r>
        <w:br/>
        <w:t>\right}.</w:t>
      </w:r>
      <w:r>
        <w:br/>
        <w:t>\tag{3.5746}</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\mathfrak{E}_{\mathrm{trans}}(P)=\left\{\mathcal{E}\middle|\operatorname{Gen}_{F}\left(\mathfrak{V}_{F},P\right)=1\right\}\qquad\text{(3.5746)}</w:t>
      </w:r>
    </w:p>
    <w:p w:rsidR="000D28F9" w:rsidRDefault="000D28F9" w:rsidP="000D28F9">
      <w:pPr>
        <w:pStyle w:val="StandardWeb"/>
      </w:pPr>
      <w:r>
        <w:t>Eine universelle Übertragungsbehauptung würde verlangen</w:t>
      </w:r>
    </w:p>
    <w:p w:rsidR="000D28F9" w:rsidRDefault="000D28F9" w:rsidP="000D28F9">
      <w:pPr>
        <w:pStyle w:val="berschrift1"/>
      </w:pPr>
      <w:r>
        <w:t>[</w:t>
      </w:r>
      <w:r>
        <w:br/>
        <w:t>\mathfrak{E}_{\mathrm{trans}}(P)</w:t>
      </w:r>
    </w:p>
    <w:p w:rsidR="000D28F9" w:rsidRDefault="000D28F9" w:rsidP="000D28F9">
      <w:pPr>
        <w:pStyle w:val="StandardWeb"/>
      </w:pPr>
      <w:r>
        <w:lastRenderedPageBreak/>
        <w:t>\mathfrak{E}_{\mathrm{zul}}.</w:t>
      </w:r>
      <w:r>
        <w:br/>
        <w:t>\tag{3.5747}</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\mathfrak{E}_{\mathrm{trans}}(P)=\mathfrak{E}_{\mathrm{zul}}\qquad\text{(3.5747)}</w:t>
      </w:r>
    </w:p>
    <w:p w:rsidR="000D28F9" w:rsidRDefault="000D28F9" w:rsidP="000D28F9">
      <w:pPr>
        <w:pStyle w:val="StandardWeb"/>
      </w:pPr>
      <w:r>
        <w:t>Eine solche Behauptung ist wesentlich stärker als die Übertragung auf einen einzelnen geprüften Zielkontext.</w:t>
      </w:r>
    </w:p>
    <w:p w:rsidR="000D28F9" w:rsidRPr="00AF32B2" w:rsidRDefault="000D28F9" w:rsidP="00AF32B2">
      <w:pPr>
        <w:pStyle w:val="berschrift4"/>
      </w:pPr>
      <w:r w:rsidRPr="00AF32B2">
        <w:t>3.3.32.31 Generalisierbarkeitsklassen</w:t>
      </w:r>
    </w:p>
    <w:p w:rsidR="000D28F9" w:rsidRDefault="000D28F9" w:rsidP="000D28F9">
      <w:pPr>
        <w:pStyle w:val="StandardWeb"/>
      </w:pPr>
      <w:r>
        <w:t>Ich unterscheide vier Generalisierbarkeitsklassen:</w:t>
      </w:r>
    </w:p>
    <w:p w:rsidR="000D28F9" w:rsidRDefault="000D28F9" w:rsidP="000D28F9">
      <w:pPr>
        <w:pStyle w:val="berschrift1"/>
      </w:pPr>
      <w:r>
        <w:t>[</w:t>
      </w:r>
      <w:r>
        <w:br/>
        <w:t>\mathfrak{L}_{\mathrm{gen}}</w:t>
      </w:r>
    </w:p>
    <w:p w:rsidR="000D28F9" w:rsidRDefault="000D28F9" w:rsidP="000D28F9">
      <w:pPr>
        <w:pStyle w:val="StandardWeb"/>
      </w:pPr>
      <w:r>
        <w:t>\left{</w:t>
      </w:r>
      <w:r>
        <w:br/>
        <w:t>\mathbf{direkt\ übertragbar},</w:t>
      </w:r>
      <w:r>
        <w:br/>
        <w:t>\mathbf{bedingt\ übertragbar},</w:t>
      </w:r>
      <w:r>
        <w:br/>
        <w:t>\mathbf{lokal\ gültig},</w:t>
      </w:r>
      <w:r>
        <w:br/>
        <w:t>\mathbf{nicht\ übertragbar}</w:t>
      </w:r>
      <w:r>
        <w:br/>
        <w:t>\right}.</w:t>
      </w:r>
      <w:r>
        <w:br/>
        <w:t>\tag{3.5748}</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\mathfrak{L}_{\mathrm{gen}}=\left\{\mathbf{direkt\ übertragbar},\mathbf{bedingt\ übertragbar},\mathbf{lokal\ gültig},\mathbf{nicht\ übertragbar}\right\}\qquad\text{(3.5748)}</w:t>
      </w:r>
    </w:p>
    <w:p w:rsidR="000D28F9" w:rsidRDefault="000D28F9" w:rsidP="000D28F9">
      <w:pPr>
        <w:pStyle w:val="StandardWeb"/>
      </w:pPr>
      <w:r>
        <w:t>Die Zuordnungsabbildung lautet</w:t>
      </w:r>
    </w:p>
    <w:p w:rsidR="000D28F9" w:rsidRDefault="000D28F9" w:rsidP="000D28F9">
      <w:pPr>
        <w:pStyle w:val="StandardWeb"/>
      </w:pPr>
      <w:r>
        <w:t>[</w:t>
      </w:r>
      <w:r>
        <w:br/>
        <w:t>\operatorname{Klasse}</w:t>
      </w:r>
      <w:r>
        <w:rPr>
          <w:rStyle w:val="Hervorhebung"/>
        </w:rPr>
        <w:t>{\mathrm{gen}}:</w:t>
      </w:r>
      <w:r>
        <w:rPr>
          <w:i/>
          <w:iCs/>
        </w:rPr>
        <w:br/>
      </w:r>
      <w:r>
        <w:rPr>
          <w:rStyle w:val="Hervorhebung"/>
        </w:rPr>
        <w:t>\mathfrak{V}</w:t>
      </w:r>
      <w:r>
        <w:t>{F}</w:t>
      </w:r>
      <w:r>
        <w:br/>
        <w:t>\times</w:t>
      </w:r>
      <w:r>
        <w:br/>
        <w:t>\mathcal{P}</w:t>
      </w:r>
      <w:r>
        <w:rPr>
          <w:rStyle w:val="Hervorhebung"/>
        </w:rPr>
        <w:t>{F}</w:t>
      </w:r>
      <w:r>
        <w:rPr>
          <w:i/>
          <w:iCs/>
        </w:rPr>
        <w:br/>
      </w:r>
      <w:r>
        <w:rPr>
          <w:rStyle w:val="Hervorhebung"/>
        </w:rPr>
        <w:t>\rightarrow</w:t>
      </w:r>
      <w:r>
        <w:rPr>
          <w:i/>
          <w:iCs/>
        </w:rPr>
        <w:br/>
      </w:r>
      <w:r>
        <w:rPr>
          <w:rStyle w:val="Hervorhebung"/>
        </w:rPr>
        <w:t>\mathfrak{L}</w:t>
      </w:r>
      <w:r>
        <w:t>{\mathrm{gen}}.</w:t>
      </w:r>
      <w:r>
        <w:br/>
        <w:t>\tag{3.5749}</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\operatorname{Klasse}_{\mathrm{gen}}:\mathfrak{V}_{F}\times\mathcal{P}_{F}\rightarrow\mathfrak{L}_{\mathrm{gen}}\qquad\text{(3.5749)}</w:t>
      </w:r>
    </w:p>
    <w:p w:rsidR="000D28F9" w:rsidRPr="00AF32B2" w:rsidRDefault="000D28F9" w:rsidP="00AF32B2">
      <w:pPr>
        <w:pStyle w:val="berschrift4"/>
      </w:pPr>
      <w:r w:rsidRPr="00AF32B2">
        <w:lastRenderedPageBreak/>
        <w:t>3.3.32.32 Gesamtprädikat der Generalisierbarkeit</w:t>
      </w:r>
    </w:p>
    <w:p w:rsidR="000D28F9" w:rsidRDefault="000D28F9" w:rsidP="000D28F9">
      <w:pPr>
        <w:pStyle w:val="StandardWeb"/>
      </w:pPr>
      <w:r>
        <w:t>Das erweiterte Generalisierbarkeitsprädikat lautet</w:t>
      </w:r>
    </w:p>
    <w:p w:rsidR="000D28F9" w:rsidRDefault="000D28F9" w:rsidP="000D28F9">
      <w:pPr>
        <w:pStyle w:val="StandardWeb"/>
      </w:pPr>
      <w:r>
        <w:t>[</w:t>
      </w:r>
      <w:r>
        <w:br/>
        <w:t>\operatorname{EGen}</w:t>
      </w:r>
      <w:r>
        <w:rPr>
          <w:rStyle w:val="Hervorhebung"/>
        </w:rPr>
        <w:t>{F}:</w:t>
      </w:r>
      <w:r>
        <w:rPr>
          <w:i/>
          <w:iCs/>
        </w:rPr>
        <w:br/>
      </w:r>
      <w:r>
        <w:rPr>
          <w:rStyle w:val="Hervorhebung"/>
        </w:rPr>
        <w:t>\mathfrak{V}</w:t>
      </w:r>
      <w:r>
        <w:t>{F}</w:t>
      </w:r>
      <w:r>
        <w:br/>
        <w:t>\times</w:t>
      </w:r>
      <w:r>
        <w:br/>
        <w:t>\mathcal{P}_{F}</w:t>
      </w:r>
      <w:r>
        <w:br/>
        <w:t>\rightarrow</w:t>
      </w:r>
      <w:r>
        <w:br/>
        <w:t>{0,1}.</w:t>
      </w:r>
      <w:r>
        <w:br/>
        <w:t>\tag{3.5750}</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\operatorname{EGen}_{F}:\mathfrak{V}_{F}\times\mathcal{P}_{F}\rightarrow\{0,1\}\qquad\text{(3.5750)}</w:t>
      </w:r>
    </w:p>
    <w:p w:rsidR="000D28F9" w:rsidRDefault="000D28F9" w:rsidP="000D28F9">
      <w:pPr>
        <w:pStyle w:val="StandardWeb"/>
      </w:pPr>
      <w:r>
        <w:t>Es nimmt den Wert eins an, wenn:</w:t>
      </w:r>
    </w:p>
    <w:p w:rsidR="000D28F9" w:rsidRDefault="000D28F9" w:rsidP="00632D23">
      <w:pPr>
        <w:pStyle w:val="StandardWeb"/>
        <w:numPr>
          <w:ilvl w:val="0"/>
          <w:numId w:val="205"/>
        </w:numPr>
      </w:pPr>
      <w:r>
        <w:t>die relevanten Variablen gleich definiert sind,</w:t>
      </w:r>
    </w:p>
    <w:p w:rsidR="000D28F9" w:rsidRDefault="000D28F9" w:rsidP="00632D23">
      <w:pPr>
        <w:pStyle w:val="StandardWeb"/>
        <w:numPr>
          <w:ilvl w:val="0"/>
          <w:numId w:val="205"/>
        </w:numPr>
      </w:pPr>
      <w:r>
        <w:t>die Skalen und Einheiten kompatibel sind,</w:t>
      </w:r>
    </w:p>
    <w:p w:rsidR="000D28F9" w:rsidRDefault="000D28F9" w:rsidP="00632D23">
      <w:pPr>
        <w:pStyle w:val="StandardWeb"/>
        <w:numPr>
          <w:ilvl w:val="0"/>
          <w:numId w:val="205"/>
        </w:numPr>
      </w:pPr>
      <w:r>
        <w:t>die Operationalisierungen strukturell vergleichbar sind,</w:t>
      </w:r>
    </w:p>
    <w:p w:rsidR="000D28F9" w:rsidRDefault="000D28F9" w:rsidP="00632D23">
      <w:pPr>
        <w:pStyle w:val="StandardWeb"/>
        <w:numPr>
          <w:ilvl w:val="0"/>
          <w:numId w:val="205"/>
        </w:numPr>
      </w:pPr>
      <w:r>
        <w:t>die funktionalen Zustände und Relationen abbildbar sind,</w:t>
      </w:r>
    </w:p>
    <w:p w:rsidR="000D28F9" w:rsidRDefault="000D28F9" w:rsidP="00632D23">
      <w:pPr>
        <w:pStyle w:val="StandardWeb"/>
        <w:numPr>
          <w:ilvl w:val="0"/>
          <w:numId w:val="205"/>
        </w:numPr>
      </w:pPr>
      <w:r>
        <w:t>die populations- und zeitbezogenen Abweichungen innerhalb der Toleranzen liegen,</w:t>
      </w:r>
    </w:p>
    <w:p w:rsidR="000D28F9" w:rsidRDefault="000D28F9" w:rsidP="00632D23">
      <w:pPr>
        <w:pStyle w:val="StandardWeb"/>
        <w:numPr>
          <w:ilvl w:val="0"/>
          <w:numId w:val="205"/>
        </w:numPr>
      </w:pPr>
      <w:r>
        <w:t>Schwellenwerte und Kostenstrukturen transportierbar sind,</w:t>
      </w:r>
    </w:p>
    <w:p w:rsidR="000D28F9" w:rsidRDefault="000D28F9" w:rsidP="00632D23">
      <w:pPr>
        <w:pStyle w:val="StandardWeb"/>
        <w:numPr>
          <w:ilvl w:val="0"/>
          <w:numId w:val="205"/>
        </w:numPr>
      </w:pPr>
      <w:r>
        <w:t>die Zielkontextunsicherheit berücksichtigt wurde.</w:t>
      </w:r>
    </w:p>
    <w:p w:rsidR="000D28F9" w:rsidRDefault="000D28F9" w:rsidP="000D28F9">
      <w:pPr>
        <w:pStyle w:val="StandardWeb"/>
      </w:pPr>
      <w:r>
        <w:t>Formal gilt</w:t>
      </w:r>
    </w:p>
    <w:p w:rsidR="000D28F9" w:rsidRDefault="000D28F9" w:rsidP="000D28F9">
      <w:pPr>
        <w:pStyle w:val="berschrift1"/>
      </w:pPr>
      <w:r>
        <w:t>[</w:t>
      </w:r>
      <w:r>
        <w:br/>
        <w:t>\operatorname{EGen}</w:t>
      </w:r>
      <w:r>
        <w:rPr>
          <w:rStyle w:val="Hervorhebung"/>
        </w:rPr>
        <w:t>{F}</w:t>
      </w:r>
      <w:r>
        <w:rPr>
          <w:i/>
          <w:iCs/>
        </w:rPr>
        <w:br/>
      </w:r>
      <w:r>
        <w:rPr>
          <w:rStyle w:val="Hervorhebung"/>
        </w:rPr>
        <w:t>\left(</w:t>
      </w:r>
      <w:r>
        <w:rPr>
          <w:i/>
          <w:iCs/>
        </w:rPr>
        <w:br/>
      </w:r>
      <w:r>
        <w:rPr>
          <w:rStyle w:val="Hervorhebung"/>
        </w:rPr>
        <w:t>\mathfrak{V}</w:t>
      </w:r>
      <w:r>
        <w:t>{F},</w:t>
      </w:r>
      <w:r>
        <w:br/>
        <w:t>P</w:t>
      </w:r>
      <w:r>
        <w:br/>
        <w:t>\right)</w:t>
      </w:r>
    </w:p>
    <w:p w:rsidR="000D28F9" w:rsidRDefault="000D28F9" w:rsidP="00632D23">
      <w:pPr>
        <w:numPr>
          <w:ilvl w:val="0"/>
          <w:numId w:val="206"/>
        </w:numPr>
        <w:spacing w:before="100" w:beforeAutospacing="1" w:after="100" w:afterAutospacing="1"/>
      </w:pPr>
    </w:p>
    <w:p w:rsidR="000D28F9" w:rsidRDefault="000D28F9" w:rsidP="000D28F9">
      <w:pPr>
        <w:pStyle w:val="StandardWeb"/>
      </w:pPr>
      <w:r>
        <w:t>\tag{3.5751}</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\operatorname{EGen}_{F}\left(\mathfrak{V}_{F},P\right)=1\qquad\text{(3.5751)}</w:t>
      </w:r>
    </w:p>
    <w:p w:rsidR="000D28F9" w:rsidRDefault="000D28F9" w:rsidP="000D28F9">
      <w:pPr>
        <w:pStyle w:val="StandardWeb"/>
      </w:pPr>
      <w:r>
        <w:lastRenderedPageBreak/>
        <w:t>Eine zusammengesetzte Bedingung lautet</w:t>
      </w:r>
    </w:p>
    <w:p w:rsidR="000D28F9" w:rsidRDefault="000D28F9" w:rsidP="000D28F9">
      <w:pPr>
        <w:pStyle w:val="berschrift1"/>
      </w:pPr>
      <w:r>
        <w:t>[</w:t>
      </w:r>
      <w:r>
        <w:br/>
        <w:t>\operatorname{EGen}_{F}</w:t>
      </w:r>
    </w:p>
    <w:p w:rsidR="000D28F9" w:rsidRDefault="000D28F9" w:rsidP="000D28F9">
      <w:pPr>
        <w:pStyle w:val="StandardWeb"/>
      </w:pPr>
      <w:r>
        <w:t>1</w:t>
      </w:r>
      <w:r>
        <w:br/>
        <w:t>\iff</w:t>
      </w:r>
      <w:r>
        <w:br/>
        <w:t>C_{\mathrm{var}}</w:t>
      </w:r>
      <w:r>
        <w:br/>
        <w:t>\land</w:t>
      </w:r>
      <w:r>
        <w:br/>
        <w:t>C_{\mathrm{skala}}</w:t>
      </w:r>
      <w:r>
        <w:br/>
        <w:t>\land</w:t>
      </w:r>
      <w:r>
        <w:br/>
        <w:t>C_{\mathrm{op}}</w:t>
      </w:r>
      <w:r>
        <w:br/>
        <w:t>\land</w:t>
      </w:r>
      <w:r>
        <w:br/>
        <w:t>C_{\mathrm{struktur}}</w:t>
      </w:r>
      <w:r>
        <w:br/>
        <w:t>\land</w:t>
      </w:r>
      <w:r>
        <w:br/>
        <w:t>C_{\mathrm{population}}</w:t>
      </w:r>
      <w:r>
        <w:br/>
        <w:t>\land</w:t>
      </w:r>
      <w:r>
        <w:br/>
        <w:t>C_{\mathrm{zeit}}</w:t>
      </w:r>
      <w:r>
        <w:br/>
        <w:t>\land</w:t>
      </w:r>
      <w:r>
        <w:br/>
        <w:t>C_{\mathrm{entscheidung}}.</w:t>
      </w:r>
      <w:r>
        <w:br/>
        <w:t>\tag{3.5752}</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\operatorname{EGen}_{F}=1\iff C_{\mathrm{var}}\land C_{\mathrm{skala}}\land C_{\mathrm{op}}\land C_{\mathrm{struktur}}\land C_{\mathrm{population}}\land C_{\mathrm{zeit}}\land C_{\mathrm{entscheidung}}\qquad\text{(3.5752)}</w:t>
      </w:r>
    </w:p>
    <w:p w:rsidR="000D28F9" w:rsidRPr="00AF32B2" w:rsidRDefault="000D28F9" w:rsidP="00AF32B2">
      <w:pPr>
        <w:pStyle w:val="berschrift4"/>
      </w:pPr>
      <w:r w:rsidRPr="00AF32B2">
        <w:t>3.3.32.33 Satz zur Übertragung struktureller FRZK-Aussagen</w:t>
      </w:r>
    </w:p>
    <w:p w:rsidR="000D28F9" w:rsidRDefault="000D28F9" w:rsidP="000D28F9">
      <w:pPr>
        <w:pStyle w:val="StandardWeb"/>
      </w:pPr>
      <w:r>
        <w:rPr>
          <w:rStyle w:val="Fett"/>
        </w:rPr>
        <w:t>Satz 3.3.14 – Übertragung struktureller FRZK-Aussagen bei aussagerelevantem Isomorphismus</w:t>
      </w:r>
    </w:p>
    <w:p w:rsidR="000D28F9" w:rsidRDefault="000D28F9" w:rsidP="000D28F9">
      <w:pPr>
        <w:pStyle w:val="StandardWeb"/>
      </w:pPr>
      <w:r>
        <w:t>Seien (\mathcal{M}</w:t>
      </w:r>
      <w:r>
        <w:rPr>
          <w:rStyle w:val="Hervorhebung"/>
        </w:rPr>
        <w:t>{1}) und (\mathcal{M}</w:t>
      </w:r>
      <w:r>
        <w:t>{2}) zwei FRZK-Modellinstanzen. Sei (P) eine Aussage, die ausschließlich von einer Teilstruktur</w:t>
      </w:r>
    </w:p>
    <w:p w:rsidR="000D28F9" w:rsidRDefault="000D28F9" w:rsidP="000D28F9">
      <w:pPr>
        <w:pStyle w:val="StandardWeb"/>
      </w:pPr>
      <w:r>
        <w:t>[</w:t>
      </w:r>
      <w:r>
        <w:br/>
        <w:t>\mathcal{R}</w:t>
      </w:r>
      <w:r>
        <w:rPr>
          <w:rStyle w:val="Hervorhebung"/>
        </w:rPr>
        <w:t>{P}</w:t>
      </w:r>
      <w:r>
        <w:rPr>
          <w:i/>
          <w:iCs/>
        </w:rPr>
        <w:br/>
      </w:r>
      <w:r>
        <w:rPr>
          <w:rStyle w:val="Hervorhebung"/>
        </w:rPr>
        <w:t>\subseteq</w:t>
      </w:r>
      <w:r>
        <w:rPr>
          <w:i/>
          <w:iCs/>
        </w:rPr>
        <w:br/>
      </w:r>
      <w:r>
        <w:rPr>
          <w:rStyle w:val="Hervorhebung"/>
        </w:rPr>
        <w:t>\mathcal{M}</w:t>
      </w:r>
      <w:r>
        <w:t>{1}</w:t>
      </w:r>
      <w:r>
        <w:br/>
        <w:t>\tag{3.5753}</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\mathcal{R}_{P}\subseteq\mathcal{M}_{1}\qquad\text{(3.5753)}</w:t>
      </w:r>
    </w:p>
    <w:p w:rsidR="000D28F9" w:rsidRDefault="000D28F9" w:rsidP="000D28F9">
      <w:pPr>
        <w:pStyle w:val="StandardWeb"/>
      </w:pPr>
      <w:r>
        <w:t>abhängt.</w:t>
      </w:r>
    </w:p>
    <w:p w:rsidR="000D28F9" w:rsidRDefault="000D28F9" w:rsidP="000D28F9">
      <w:pPr>
        <w:pStyle w:val="StandardWeb"/>
      </w:pPr>
      <w:r>
        <w:lastRenderedPageBreak/>
        <w:t>Existiert ein Isomorphismus</w:t>
      </w:r>
    </w:p>
    <w:p w:rsidR="000D28F9" w:rsidRDefault="000D28F9" w:rsidP="000D28F9">
      <w:pPr>
        <w:pStyle w:val="StandardWeb"/>
      </w:pPr>
      <w:r>
        <w:t>[</w:t>
      </w:r>
      <w:r>
        <w:br/>
        <w:t>\Phi_{P}:</w:t>
      </w:r>
      <w:r>
        <w:br/>
        <w:t>\mathcal{R}</w:t>
      </w:r>
      <w:r>
        <w:rPr>
          <w:rStyle w:val="Hervorhebung"/>
        </w:rPr>
        <w:t>{P}</w:t>
      </w:r>
      <w:r>
        <w:rPr>
          <w:i/>
          <w:iCs/>
        </w:rPr>
        <w:br/>
      </w:r>
      <w:r>
        <w:rPr>
          <w:rStyle w:val="Hervorhebung"/>
        </w:rPr>
        <w:t>\rightarrow</w:t>
      </w:r>
      <w:r>
        <w:rPr>
          <w:i/>
          <w:iCs/>
        </w:rPr>
        <w:br/>
      </w:r>
      <w:r>
        <w:rPr>
          <w:rStyle w:val="Hervorhebung"/>
        </w:rPr>
        <w:t>\mathcal{R}</w:t>
      </w:r>
      <w:r>
        <w:t>{P}^{\prime}</w:t>
      </w:r>
      <w:r>
        <w:br/>
        <w:t>\subseteq</w:t>
      </w:r>
      <w:r>
        <w:br/>
        <w:t>\mathcal{M}_{2},</w:t>
      </w:r>
      <w:r>
        <w:br/>
        <w:t>\tag{3.5754}</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\Phi_{P}:\mathcal{R}_{P}\rightarrow\mathcal{R}_{P}^{\prime}\subseteq\mathcal{M}_{2}\qquad\text{(3.5754)}</w:t>
      </w:r>
    </w:p>
    <w:p w:rsidR="000D28F9" w:rsidRDefault="000D28F9" w:rsidP="000D28F9">
      <w:pPr>
        <w:pStyle w:val="StandardWeb"/>
      </w:pPr>
      <w:r>
        <w:t>der sämtliche in (P) verwendeten Zustände, Relationen und Transformationen erhält, dann gilt</w:t>
      </w:r>
    </w:p>
    <w:p w:rsidR="000D28F9" w:rsidRDefault="000D28F9" w:rsidP="000D28F9">
      <w:pPr>
        <w:pStyle w:val="StandardWeb"/>
      </w:pPr>
      <w:r>
        <w:t>[</w:t>
      </w:r>
      <w:r>
        <w:br/>
        <w:t>\mathcal{M}</w:t>
      </w:r>
      <w:r>
        <w:rPr>
          <w:rStyle w:val="Hervorhebung"/>
        </w:rPr>
        <w:t>{1}</w:t>
      </w:r>
      <w:r>
        <w:rPr>
          <w:i/>
          <w:iCs/>
        </w:rPr>
        <w:br/>
      </w:r>
      <w:r>
        <w:rPr>
          <w:rStyle w:val="Hervorhebung"/>
        </w:rPr>
        <w:t>\models</w:t>
      </w:r>
      <w:r>
        <w:rPr>
          <w:i/>
          <w:iCs/>
        </w:rPr>
        <w:br/>
      </w:r>
      <w:r>
        <w:rPr>
          <w:rStyle w:val="Hervorhebung"/>
        </w:rPr>
        <w:t>P</w:t>
      </w:r>
      <w:r>
        <w:rPr>
          <w:i/>
          <w:iCs/>
        </w:rPr>
        <w:br/>
      </w:r>
      <w:r>
        <w:rPr>
          <w:rStyle w:val="Hervorhebung"/>
        </w:rPr>
        <w:t>\iff</w:t>
      </w:r>
      <w:r>
        <w:rPr>
          <w:i/>
          <w:iCs/>
        </w:rPr>
        <w:br/>
      </w:r>
      <w:r>
        <w:rPr>
          <w:rStyle w:val="Hervorhebung"/>
        </w:rPr>
        <w:t>\mathcal{M}</w:t>
      </w:r>
      <w:r>
        <w:t>{2}</w:t>
      </w:r>
      <w:r>
        <w:br/>
        <w:t>\models</w:t>
      </w:r>
      <w:r>
        <w:br/>
        <w:t>\Phi_{P}(P).</w:t>
      </w:r>
      <w:r>
        <w:br/>
        <w:t>\tag{3.5755}</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\mathcal{M}_{1}\models P\iff\mathcal{M}_{2}\models\Phi_{P}(P)\qquad\text{(3.5755)}</w:t>
      </w:r>
    </w:p>
    <w:p w:rsidR="000D28F9" w:rsidRDefault="000D28F9" w:rsidP="000D28F9">
      <w:pPr>
        <w:pStyle w:val="berschrift3"/>
      </w:pPr>
      <w:r>
        <w:t>Beweis</w:t>
      </w:r>
    </w:p>
    <w:p w:rsidR="000D28F9" w:rsidRDefault="000D28F9" w:rsidP="000D28F9">
      <w:pPr>
        <w:pStyle w:val="StandardWeb"/>
      </w:pPr>
      <w:r>
        <w:t>Da (\Phi_P) ein Isomorphismus der für (P) relevanten Teilstruktur ist, besteht eine bijektive Zuordnung zwischen allen in (P) verwendeten Zuständen.</w:t>
      </w:r>
    </w:p>
    <w:p w:rsidR="000D28F9" w:rsidRDefault="000D28F9" w:rsidP="000D28F9">
      <w:pPr>
        <w:pStyle w:val="StandardWeb"/>
      </w:pPr>
      <w:r>
        <w:t>Für jede in (P) verwendete Relation gilt</w:t>
      </w:r>
    </w:p>
    <w:p w:rsidR="000D28F9" w:rsidRDefault="000D28F9" w:rsidP="000D28F9">
      <w:pPr>
        <w:pStyle w:val="StandardWeb"/>
      </w:pPr>
      <w:r>
        <w:t>[</w:t>
      </w:r>
      <w:r>
        <w:br/>
        <w:t>(x_i,x_j)</w:t>
      </w:r>
      <w:r>
        <w:br/>
        <w:t>\in</w:t>
      </w:r>
      <w:r>
        <w:br/>
        <w:t>R</w:t>
      </w:r>
      <w:r>
        <w:br/>
        <w:t>\iff</w:t>
      </w:r>
      <w:r>
        <w:br/>
        <w:t>\left(</w:t>
      </w:r>
      <w:r>
        <w:br/>
        <w:t>\Phi_P(x_i),</w:t>
      </w:r>
      <w:r>
        <w:br/>
        <w:t>\Phi_P(x_j)</w:t>
      </w:r>
      <w:r>
        <w:br/>
        <w:t>\right)</w:t>
      </w:r>
      <w:r>
        <w:br/>
        <w:t>\in</w:t>
      </w:r>
      <w:r>
        <w:br/>
      </w:r>
      <w:r>
        <w:lastRenderedPageBreak/>
        <w:t>R^{\prime}.</w:t>
      </w:r>
      <w:r>
        <w:br/>
        <w:t>\tag{3.5756}</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(x_i,x_j)\in R\iff\left(\Phi_P(x_i),\Phi_P(x_j)\right)\in R^{\prime}\qquad\text{(3.5756)}</w:t>
      </w:r>
    </w:p>
    <w:p w:rsidR="000D28F9" w:rsidRDefault="000D28F9" w:rsidP="000D28F9">
      <w:pPr>
        <w:pStyle w:val="StandardWeb"/>
      </w:pPr>
      <w:r>
        <w:t>Für jede verwendete Transformation gilt</w:t>
      </w:r>
    </w:p>
    <w:p w:rsidR="000D28F9" w:rsidRDefault="000D28F9" w:rsidP="000D28F9">
      <w:pPr>
        <w:pStyle w:val="berschrift1"/>
      </w:pPr>
      <w:r>
        <w:t>[</w:t>
      </w:r>
      <w:r>
        <w:br/>
        <w:t>\Phi_P</w:t>
      </w:r>
      <w:r>
        <w:br/>
        <w:t>\circ</w:t>
      </w:r>
      <w:r>
        <w:br/>
        <w:t>T</w:t>
      </w:r>
    </w:p>
    <w:p w:rsidR="000D28F9" w:rsidRDefault="000D28F9" w:rsidP="000D28F9">
      <w:pPr>
        <w:pStyle w:val="StandardWeb"/>
      </w:pPr>
      <w:r>
        <w:t>T^{\prime}</w:t>
      </w:r>
      <w:r>
        <w:br/>
        <w:t>\circ</w:t>
      </w:r>
      <w:r>
        <w:br/>
        <w:t>\Phi_P.</w:t>
      </w:r>
      <w:r>
        <w:br/>
        <w:t>\tag{3.5757}</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\Phi_P\circ T=T^{\prime}\circ\Phi_P\qquad\text{(3.5757)}</w:t>
      </w:r>
    </w:p>
    <w:p w:rsidR="000D28F9" w:rsidRDefault="000D28F9" w:rsidP="000D28F9">
      <w:pPr>
        <w:pStyle w:val="StandardWeb"/>
      </w:pPr>
      <w:r>
        <w:t>Damit werden sämtliche atomaren Bestandteile von (P) wahrheitserhaltend auf (\mathcal{R}_{P}^{\prime}) übertragen.</w:t>
      </w:r>
    </w:p>
    <w:p w:rsidR="000D28F9" w:rsidRDefault="000D28F9" w:rsidP="000D28F9">
      <w:pPr>
        <w:pStyle w:val="StandardWeb"/>
      </w:pPr>
      <w:r>
        <w:t>Da auch die logischen Verknüpfungen von (P) unverändert bleiben, folgt</w:t>
      </w:r>
    </w:p>
    <w:p w:rsidR="000D28F9" w:rsidRDefault="000D28F9" w:rsidP="000D28F9">
      <w:pPr>
        <w:pStyle w:val="StandardWeb"/>
      </w:pPr>
      <w:r>
        <w:t>[</w:t>
      </w:r>
      <w:r>
        <w:br/>
        <w:t>\mathcal{M}</w:t>
      </w:r>
      <w:r>
        <w:rPr>
          <w:rStyle w:val="Hervorhebung"/>
        </w:rPr>
        <w:t>{1}</w:t>
      </w:r>
      <w:r>
        <w:rPr>
          <w:i/>
          <w:iCs/>
        </w:rPr>
        <w:br/>
      </w:r>
      <w:r>
        <w:rPr>
          <w:rStyle w:val="Hervorhebung"/>
        </w:rPr>
        <w:t>\models</w:t>
      </w:r>
      <w:r>
        <w:rPr>
          <w:i/>
          <w:iCs/>
        </w:rPr>
        <w:br/>
      </w:r>
      <w:r>
        <w:rPr>
          <w:rStyle w:val="Hervorhebung"/>
        </w:rPr>
        <w:t>P</w:t>
      </w:r>
      <w:r>
        <w:rPr>
          <w:i/>
          <w:iCs/>
        </w:rPr>
        <w:br/>
      </w:r>
      <w:r>
        <w:rPr>
          <w:rStyle w:val="Hervorhebung"/>
        </w:rPr>
        <w:t>\Rightarrow</w:t>
      </w:r>
      <w:r>
        <w:rPr>
          <w:i/>
          <w:iCs/>
        </w:rPr>
        <w:br/>
      </w:r>
      <w:r>
        <w:rPr>
          <w:rStyle w:val="Hervorhebung"/>
        </w:rPr>
        <w:t>\mathcal{M}</w:t>
      </w:r>
      <w:r>
        <w:t>{2}</w:t>
      </w:r>
      <w:r>
        <w:br/>
        <w:t>\models</w:t>
      </w:r>
      <w:r>
        <w:br/>
        <w:t>\Phi_P(P).</w:t>
      </w:r>
      <w:r>
        <w:br/>
        <w:t>\tag{3.5758}</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\mathcal{M}_{1}\models P\Rightarrow\mathcal{M}_{2}\models\Phi_P(P)\qquad\text{(3.5758)}</w:t>
      </w:r>
    </w:p>
    <w:p w:rsidR="000D28F9" w:rsidRDefault="000D28F9" w:rsidP="000D28F9">
      <w:pPr>
        <w:pStyle w:val="StandardWeb"/>
      </w:pPr>
      <w:r>
        <w:t>Wegen der Bijektivität von (\Phi_P) gilt dieselbe Argumentation für die inverse Abbildung. Daher folgt auch die Rückrichtung und damit Gleichung (3.5755). (\square)</w:t>
      </w:r>
    </w:p>
    <w:p w:rsidR="000D28F9" w:rsidRPr="00AF32B2" w:rsidRDefault="000D28F9" w:rsidP="00AF32B2">
      <w:pPr>
        <w:pStyle w:val="berschrift4"/>
      </w:pPr>
      <w:r w:rsidRPr="00AF32B2">
        <w:lastRenderedPageBreak/>
        <w:t>3.3.32.34 Reichweite des Generalisierbarkeitssatzes</w:t>
      </w:r>
    </w:p>
    <w:p w:rsidR="000D28F9" w:rsidRDefault="000D28F9" w:rsidP="000D28F9">
      <w:pPr>
        <w:pStyle w:val="StandardWeb"/>
      </w:pPr>
      <w:r>
        <w:t>Satz 3.3.14 gilt nur für strukturelle Aussagen, deren vollständige aussagerelevante Teilstruktur isomorph übertragen wird.</w:t>
      </w:r>
    </w:p>
    <w:p w:rsidR="000D28F9" w:rsidRDefault="000D28F9" w:rsidP="000D28F9">
      <w:pPr>
        <w:pStyle w:val="StandardWeb"/>
      </w:pPr>
      <w:r>
        <w:t>Er gilt nicht automatisch für:</w:t>
      </w:r>
    </w:p>
    <w:p w:rsidR="000D28F9" w:rsidRDefault="000D28F9" w:rsidP="00632D23">
      <w:pPr>
        <w:pStyle w:val="StandardWeb"/>
        <w:numPr>
          <w:ilvl w:val="0"/>
          <w:numId w:val="207"/>
        </w:numPr>
      </w:pPr>
      <w:r>
        <w:t>empirische Häufigkeiten,</w:t>
      </w:r>
    </w:p>
    <w:p w:rsidR="000D28F9" w:rsidRDefault="000D28F9" w:rsidP="00632D23">
      <w:pPr>
        <w:pStyle w:val="StandardWeb"/>
        <w:numPr>
          <w:ilvl w:val="0"/>
          <w:numId w:val="207"/>
        </w:numPr>
      </w:pPr>
      <w:r>
        <w:t>populationsabhängige Parameter,</w:t>
      </w:r>
    </w:p>
    <w:p w:rsidR="000D28F9" w:rsidRDefault="000D28F9" w:rsidP="00632D23">
      <w:pPr>
        <w:pStyle w:val="StandardWeb"/>
        <w:numPr>
          <w:ilvl w:val="0"/>
          <w:numId w:val="207"/>
        </w:numPr>
      </w:pPr>
      <w:r>
        <w:t>numerische Schwellenwerte,</w:t>
      </w:r>
    </w:p>
    <w:p w:rsidR="000D28F9" w:rsidRDefault="000D28F9" w:rsidP="00632D23">
      <w:pPr>
        <w:pStyle w:val="StandardWeb"/>
        <w:numPr>
          <w:ilvl w:val="0"/>
          <w:numId w:val="207"/>
        </w:numPr>
      </w:pPr>
      <w:r>
        <w:t>Messfehlerverteilungen,</w:t>
      </w:r>
    </w:p>
    <w:p w:rsidR="000D28F9" w:rsidRDefault="000D28F9" w:rsidP="00632D23">
      <w:pPr>
        <w:pStyle w:val="StandardWeb"/>
        <w:numPr>
          <w:ilvl w:val="0"/>
          <w:numId w:val="207"/>
        </w:numPr>
      </w:pPr>
      <w:r>
        <w:t>Kostenannahmen,</w:t>
      </w:r>
    </w:p>
    <w:p w:rsidR="000D28F9" w:rsidRDefault="000D28F9" w:rsidP="00632D23">
      <w:pPr>
        <w:pStyle w:val="StandardWeb"/>
        <w:numPr>
          <w:ilvl w:val="0"/>
          <w:numId w:val="207"/>
        </w:numPr>
      </w:pPr>
      <w:r>
        <w:t>zeitlich veränderliche Zusammenhänge,</w:t>
      </w:r>
    </w:p>
    <w:p w:rsidR="000D28F9" w:rsidRDefault="000D28F9" w:rsidP="00632D23">
      <w:pPr>
        <w:pStyle w:val="StandardWeb"/>
        <w:numPr>
          <w:ilvl w:val="0"/>
          <w:numId w:val="207"/>
        </w:numPr>
      </w:pPr>
      <w:r>
        <w:t>nichtinvariante Operationalisierungen.</w:t>
      </w:r>
    </w:p>
    <w:p w:rsidR="000D28F9" w:rsidRDefault="000D28F9" w:rsidP="000D28F9">
      <w:pPr>
        <w:pStyle w:val="StandardWeb"/>
      </w:pPr>
      <w:r>
        <w:t>Aus</w:t>
      </w:r>
    </w:p>
    <w:p w:rsidR="000D28F9" w:rsidRDefault="000D28F9" w:rsidP="000D28F9">
      <w:pPr>
        <w:pStyle w:val="StandardWeb"/>
      </w:pPr>
      <w:r>
        <w:t>[</w:t>
      </w:r>
      <w:r>
        <w:br/>
        <w:t>\mathcal{R}</w:t>
      </w:r>
      <w:r>
        <w:rPr>
          <w:rStyle w:val="Hervorhebung"/>
        </w:rPr>
        <w:t>{P}</w:t>
      </w:r>
      <w:r>
        <w:rPr>
          <w:i/>
          <w:iCs/>
        </w:rPr>
        <w:br/>
      </w:r>
      <w:r>
        <w:rPr>
          <w:rStyle w:val="Hervorhebung"/>
        </w:rPr>
        <w:t>\cong</w:t>
      </w:r>
      <w:r>
        <w:rPr>
          <w:i/>
          <w:iCs/>
        </w:rPr>
        <w:br/>
      </w:r>
      <w:r>
        <w:rPr>
          <w:rStyle w:val="Hervorhebung"/>
        </w:rPr>
        <w:t>\mathcal{R}</w:t>
      </w:r>
      <w:r>
        <w:t>{P}^{\prime}</w:t>
      </w:r>
      <w:r>
        <w:br/>
        <w:t>\tag{3.5759}</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\mathcal{R}_{P}\cong\mathcal{R}_{P}^{\prime}\qquad\text{(3.5759)}</w:t>
      </w:r>
    </w:p>
    <w:p w:rsidR="000D28F9" w:rsidRDefault="000D28F9" w:rsidP="000D28F9">
      <w:pPr>
        <w:pStyle w:val="StandardWeb"/>
      </w:pPr>
      <w:r>
        <w:t>folgt deshalb nicht automatisch</w:t>
      </w:r>
    </w:p>
    <w:p w:rsidR="000D28F9" w:rsidRDefault="000D28F9" w:rsidP="000D28F9">
      <w:pPr>
        <w:pStyle w:val="berschrift1"/>
      </w:pPr>
      <w:r>
        <w:t>[</w:t>
      </w:r>
      <w:r>
        <w:br/>
        <w:t>p_{1}(y)</w:t>
      </w:r>
    </w:p>
    <w:p w:rsidR="000D28F9" w:rsidRDefault="000D28F9" w:rsidP="000D28F9">
      <w:pPr>
        <w:pStyle w:val="StandardWeb"/>
      </w:pPr>
      <w:r>
        <w:t>p_{2}(y).</w:t>
      </w:r>
      <w:r>
        <w:br/>
        <w:t>\tag{3.5760}</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p_{1}(y)=p_{2}(y)\qquad\text{(3.5760)}</w:t>
      </w:r>
    </w:p>
    <w:p w:rsidR="000D28F9" w:rsidRDefault="000D28F9" w:rsidP="000D28F9">
      <w:pPr>
        <w:pStyle w:val="StandardWeb"/>
      </w:pPr>
      <w:r>
        <w:t>Strukturelle Übertragbarkeit und empirische Verteilungsgleichheit bleiben verschiedene Aussagen.</w:t>
      </w:r>
    </w:p>
    <w:p w:rsidR="000D28F9" w:rsidRPr="00AF32B2" w:rsidRDefault="000D28F9" w:rsidP="00AF32B2">
      <w:pPr>
        <w:pStyle w:val="berschrift4"/>
      </w:pPr>
      <w:r w:rsidRPr="00AF32B2">
        <w:t>3.3.32.35 Repository-Dokumentation der Vergleichbarkeit</w:t>
      </w:r>
    </w:p>
    <w:p w:rsidR="000D28F9" w:rsidRDefault="000D28F9" w:rsidP="000D28F9">
      <w:pPr>
        <w:pStyle w:val="StandardWeb"/>
      </w:pPr>
      <w:r>
        <w:t>Eine Vergleichbarkeitsabhängigkeit kann gespeichert werden als</w:t>
      </w:r>
    </w:p>
    <w:p w:rsidR="000D28F9" w:rsidRDefault="000D28F9" w:rsidP="000D28F9">
      <w:pPr>
        <w:pStyle w:val="StandardWeb"/>
      </w:pPr>
      <w:r>
        <w:t>[</w:t>
      </w:r>
      <w:r>
        <w:br/>
        <w:t>\operatorname{VergDep}</w:t>
      </w:r>
      <w:r>
        <w:br/>
      </w:r>
      <w:r>
        <w:lastRenderedPageBreak/>
        <w:t>\left(</w:t>
      </w:r>
      <w:r>
        <w:br/>
        <w:t>\mathcal{E}</w:t>
      </w:r>
      <w:r>
        <w:rPr>
          <w:rStyle w:val="Hervorhebung"/>
        </w:rPr>
        <w:t>{1},</w:t>
      </w:r>
      <w:r>
        <w:rPr>
          <w:i/>
          <w:iCs/>
        </w:rPr>
        <w:br/>
      </w:r>
      <w:r>
        <w:rPr>
          <w:rStyle w:val="Hervorhebung"/>
        </w:rPr>
        <w:t>\mathcal{E}</w:t>
      </w:r>
      <w:r>
        <w:t>{2},</w:t>
      </w:r>
      <w:r>
        <w:br/>
        <w:t>P,</w:t>
      </w:r>
      <w:r>
        <w:br/>
        <w:t>\Delta_{\mathcal{E}}</w:t>
      </w:r>
      <w:r>
        <w:br/>
        <w:t>\right).</w:t>
      </w:r>
      <w:r>
        <w:br/>
        <w:t>\tag{3.5761}</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\operatorname{VergDep}\left(\mathcal{E}_{1},\mathcal{E}_{2},P,\Delta_{\mathcal{E}}\right)\qquad\text{(3.5761)}</w:t>
      </w:r>
    </w:p>
    <w:p w:rsidR="000D28F9" w:rsidRDefault="000D28F9" w:rsidP="000D28F9">
      <w:pPr>
        <w:pStyle w:val="StandardWeb"/>
      </w:pPr>
      <w:r>
        <w:t>Eine Generalisierungsentscheidung lautet</w:t>
      </w:r>
    </w:p>
    <w:p w:rsidR="000D28F9" w:rsidRDefault="000D28F9" w:rsidP="000D28F9">
      <w:pPr>
        <w:pStyle w:val="StandardWeb"/>
      </w:pPr>
      <w:r>
        <w:t>[</w:t>
      </w:r>
      <w:r>
        <w:br/>
        <w:t>\operatorname{GenDep}</w:t>
      </w:r>
      <w:r>
        <w:br/>
        <w:t>\left(</w:t>
      </w:r>
      <w:r>
        <w:br/>
        <w:t>P,</w:t>
      </w:r>
      <w:r>
        <w:br/>
        <w:t>\mathcal{E}</w:t>
      </w:r>
      <w:r>
        <w:rPr>
          <w:rStyle w:val="Hervorhebung"/>
        </w:rPr>
        <w:t>{1},</w:t>
      </w:r>
      <w:r>
        <w:rPr>
          <w:i/>
          <w:iCs/>
        </w:rPr>
        <w:br/>
      </w:r>
      <w:r>
        <w:rPr>
          <w:rStyle w:val="Hervorhebung"/>
        </w:rPr>
        <w:t>\mathcal{E}</w:t>
      </w:r>
      <w:r>
        <w:t>{2},</w:t>
      </w:r>
      <w:r>
        <w:br/>
        <w:t>\operatorname{Klasse}_{\mathrm{gen}}</w:t>
      </w:r>
      <w:r>
        <w:br/>
        <w:t>\right).</w:t>
      </w:r>
      <w:r>
        <w:br/>
        <w:t>\tag{3.5762}</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\operatorname{GenDep}\left(P,\mathcal{E}_{1},\mathcal{E}_{2},\operatorname{Klasse}_{\mathrm{gen}}\right)\qquad\text{(3.5762)}</w:t>
      </w:r>
    </w:p>
    <w:p w:rsidR="000D28F9" w:rsidRDefault="000D28F9" w:rsidP="000D28F9">
      <w:pPr>
        <w:pStyle w:val="StandardWeb"/>
      </w:pPr>
      <w:r>
        <w:t>Eine Schwellenwerttransportbeziehung lautet</w:t>
      </w:r>
    </w:p>
    <w:p w:rsidR="000D28F9" w:rsidRDefault="000D28F9" w:rsidP="000D28F9">
      <w:pPr>
        <w:pStyle w:val="StandardWeb"/>
      </w:pPr>
      <w:r>
        <w:t>[</w:t>
      </w:r>
      <w:r>
        <w:br/>
        <w:t>\operatorname{TauTrans}</w:t>
      </w:r>
      <w:r>
        <w:br/>
        <w:t>\left(</w:t>
      </w:r>
      <w:r>
        <w:br/>
        <w:t>\tau_{1},</w:t>
      </w:r>
      <w:r>
        <w:br/>
        <w:t>\tau_{2},</w:t>
      </w:r>
      <w:r>
        <w:br/>
        <w:t>g</w:t>
      </w:r>
      <w:r>
        <w:br/>
        <w:t>\right).</w:t>
      </w:r>
      <w:r>
        <w:br/>
        <w:t>\tag{3.5763}</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\operatorname{TauTrans}\left(\tau_{1},\tau_{2},g\right)\qquad\text{(3.5763)}</w:t>
      </w:r>
    </w:p>
    <w:p w:rsidR="000D28F9" w:rsidRDefault="000D28F9" w:rsidP="000D28F9">
      <w:pPr>
        <w:pStyle w:val="StandardWeb"/>
      </w:pPr>
      <w:r>
        <w:t>Zusätzlich müssen dokumentiert werden:</w:t>
      </w:r>
    </w:p>
    <w:p w:rsidR="000D28F9" w:rsidRDefault="000D28F9" w:rsidP="00632D23">
      <w:pPr>
        <w:pStyle w:val="StandardWeb"/>
        <w:numPr>
          <w:ilvl w:val="0"/>
          <w:numId w:val="208"/>
        </w:numPr>
      </w:pPr>
      <w:r>
        <w:t>Ausgangs- und Zielpopulation,</w:t>
      </w:r>
    </w:p>
    <w:p w:rsidR="000D28F9" w:rsidRDefault="000D28F9" w:rsidP="00632D23">
      <w:pPr>
        <w:pStyle w:val="StandardWeb"/>
        <w:numPr>
          <w:ilvl w:val="0"/>
          <w:numId w:val="208"/>
        </w:numPr>
      </w:pPr>
      <w:r>
        <w:lastRenderedPageBreak/>
        <w:t>Erhebungszeitraum,</w:t>
      </w:r>
    </w:p>
    <w:p w:rsidR="000D28F9" w:rsidRDefault="000D28F9" w:rsidP="00632D23">
      <w:pPr>
        <w:pStyle w:val="StandardWeb"/>
        <w:numPr>
          <w:ilvl w:val="0"/>
          <w:numId w:val="208"/>
        </w:numPr>
      </w:pPr>
      <w:r>
        <w:t>Variablendefinitionen,</w:t>
      </w:r>
    </w:p>
    <w:p w:rsidR="000D28F9" w:rsidRDefault="000D28F9" w:rsidP="00632D23">
      <w:pPr>
        <w:pStyle w:val="StandardWeb"/>
        <w:numPr>
          <w:ilvl w:val="0"/>
          <w:numId w:val="208"/>
        </w:numPr>
      </w:pPr>
      <w:r>
        <w:t>Skalen und Einheiten,</w:t>
      </w:r>
    </w:p>
    <w:p w:rsidR="000D28F9" w:rsidRDefault="000D28F9" w:rsidP="00632D23">
      <w:pPr>
        <w:pStyle w:val="StandardWeb"/>
        <w:numPr>
          <w:ilvl w:val="0"/>
          <w:numId w:val="208"/>
        </w:numPr>
      </w:pPr>
      <w:r>
        <w:t>Operationalisierungen,</w:t>
      </w:r>
    </w:p>
    <w:p w:rsidR="000D28F9" w:rsidRDefault="000D28F9" w:rsidP="00632D23">
      <w:pPr>
        <w:pStyle w:val="StandardWeb"/>
        <w:numPr>
          <w:ilvl w:val="0"/>
          <w:numId w:val="208"/>
        </w:numPr>
      </w:pPr>
      <w:r>
        <w:t>Zustands- und Relationsabbildungen,</w:t>
      </w:r>
    </w:p>
    <w:p w:rsidR="000D28F9" w:rsidRDefault="000D28F9" w:rsidP="00632D23">
      <w:pPr>
        <w:pStyle w:val="StandardWeb"/>
        <w:numPr>
          <w:ilvl w:val="0"/>
          <w:numId w:val="208"/>
        </w:numPr>
      </w:pPr>
      <w:r>
        <w:t>Schwellenwerte,</w:t>
      </w:r>
    </w:p>
    <w:p w:rsidR="000D28F9" w:rsidRDefault="000D28F9" w:rsidP="00632D23">
      <w:pPr>
        <w:pStyle w:val="StandardWeb"/>
        <w:numPr>
          <w:ilvl w:val="0"/>
          <w:numId w:val="208"/>
        </w:numPr>
      </w:pPr>
      <w:r>
        <w:t>Fehler- und Kostenstrukturen,</w:t>
      </w:r>
    </w:p>
    <w:p w:rsidR="000D28F9" w:rsidRDefault="000D28F9" w:rsidP="00632D23">
      <w:pPr>
        <w:pStyle w:val="StandardWeb"/>
        <w:numPr>
          <w:ilvl w:val="0"/>
          <w:numId w:val="208"/>
        </w:numPr>
      </w:pPr>
      <w:r>
        <w:t>relevante Kontextabweichungen,</w:t>
      </w:r>
    </w:p>
    <w:p w:rsidR="000D28F9" w:rsidRDefault="000D28F9" w:rsidP="00632D23">
      <w:pPr>
        <w:pStyle w:val="StandardWeb"/>
        <w:numPr>
          <w:ilvl w:val="0"/>
          <w:numId w:val="208"/>
        </w:numPr>
      </w:pPr>
      <w:r>
        <w:t>geprüfte Übertragungsbedingungen,</w:t>
      </w:r>
    </w:p>
    <w:p w:rsidR="000D28F9" w:rsidRDefault="000D28F9" w:rsidP="00632D23">
      <w:pPr>
        <w:pStyle w:val="StandardWeb"/>
        <w:numPr>
          <w:ilvl w:val="0"/>
          <w:numId w:val="208"/>
        </w:numPr>
      </w:pPr>
      <w:r>
        <w:t>Grenzen der Generalisierung.</w:t>
      </w:r>
    </w:p>
    <w:p w:rsidR="000D28F9" w:rsidRDefault="000D28F9" w:rsidP="000D28F9">
      <w:pPr>
        <w:pStyle w:val="StandardWeb"/>
      </w:pPr>
      <w:r>
        <w:rPr>
          <w:rStyle w:val="Fett"/>
        </w:rPr>
        <w:t>Eigenleistung des FRZK</w:t>
      </w:r>
    </w:p>
    <w:p w:rsidR="000D28F9" w:rsidRDefault="000D28F9" w:rsidP="000D28F9">
      <w:pPr>
        <w:pStyle w:val="StandardWeb"/>
      </w:pPr>
      <w:r>
        <w:t>Ich verknüpfe jede übertragene Aussage mit dem konkreten Ausgangs- und Zielkontext. Dadurch wird verhindert, dass ein Ergebnis ohne dokumentierte Vergleichbarkeitsprüfung als allgemein gültig bezeichnet wird.</w:t>
      </w:r>
    </w:p>
    <w:p w:rsidR="000D28F9" w:rsidRPr="00AF32B2" w:rsidRDefault="000D28F9" w:rsidP="00AF32B2">
      <w:pPr>
        <w:pStyle w:val="berschrift4"/>
      </w:pPr>
      <w:r w:rsidRPr="00AF32B2">
        <w:t>3.3.32.36 Ergebnis der Vergleichbarkeits- und Generalisierbarkeitsprüfung</w:t>
      </w:r>
    </w:p>
    <w:p w:rsidR="000D28F9" w:rsidRDefault="000D28F9" w:rsidP="000D28F9">
      <w:pPr>
        <w:pStyle w:val="StandardWeb"/>
      </w:pPr>
      <w:r>
        <w:t>Die Prüfung zeigt, dass Vergleichbarkeit und Generalisierbarkeit nicht aus formaler Ähnlichkeit allein folgen. Gleiche Variablennamen, gleiche numerische Skalen oder gleiche Modellgleichungen reichen nicht aus, wenn Operationalisierung, Population, Zeitstruktur oder Entscheidungskosten voneinander abweichen.</w:t>
      </w:r>
    </w:p>
    <w:p w:rsidR="000D28F9" w:rsidRDefault="000D28F9" w:rsidP="000D28F9">
      <w:pPr>
        <w:pStyle w:val="StandardWeb"/>
      </w:pPr>
      <w:r>
        <w:t>Ein FRZK-Ergebnis kann:</w:t>
      </w:r>
    </w:p>
    <w:p w:rsidR="000D28F9" w:rsidRDefault="000D28F9" w:rsidP="00632D23">
      <w:pPr>
        <w:pStyle w:val="StandardWeb"/>
        <w:numPr>
          <w:ilvl w:val="0"/>
          <w:numId w:val="209"/>
        </w:numPr>
      </w:pPr>
      <w:r>
        <w:t>direkt übertragbar,</w:t>
      </w:r>
    </w:p>
    <w:p w:rsidR="000D28F9" w:rsidRDefault="000D28F9" w:rsidP="00632D23">
      <w:pPr>
        <w:pStyle w:val="StandardWeb"/>
        <w:numPr>
          <w:ilvl w:val="0"/>
          <w:numId w:val="209"/>
        </w:numPr>
      </w:pPr>
      <w:r>
        <w:t>nur unter expliziten Bedingungen übertragbar,</w:t>
      </w:r>
    </w:p>
    <w:p w:rsidR="000D28F9" w:rsidRDefault="000D28F9" w:rsidP="00632D23">
      <w:pPr>
        <w:pStyle w:val="StandardWeb"/>
        <w:numPr>
          <w:ilvl w:val="0"/>
          <w:numId w:val="209"/>
        </w:numPr>
      </w:pPr>
      <w:r>
        <w:t>ausschließlich lokal gültig,</w:t>
      </w:r>
    </w:p>
    <w:p w:rsidR="000D28F9" w:rsidRDefault="000D28F9" w:rsidP="00632D23">
      <w:pPr>
        <w:pStyle w:val="StandardWeb"/>
        <w:numPr>
          <w:ilvl w:val="0"/>
          <w:numId w:val="209"/>
        </w:numPr>
      </w:pPr>
      <w:r>
        <w:t>strukturell übertragbar, aber empirisch nicht vergleichbar,</w:t>
      </w:r>
    </w:p>
    <w:p w:rsidR="000D28F9" w:rsidRDefault="000D28F9" w:rsidP="00632D23">
      <w:pPr>
        <w:pStyle w:val="StandardWeb"/>
        <w:numPr>
          <w:ilvl w:val="0"/>
          <w:numId w:val="209"/>
        </w:numPr>
      </w:pPr>
      <w:r>
        <w:t>empirisch ähnlich, aber formal nicht strukturgleich,</w:t>
      </w:r>
    </w:p>
    <w:p w:rsidR="000D28F9" w:rsidRDefault="000D28F9" w:rsidP="00632D23">
      <w:pPr>
        <w:pStyle w:val="StandardWeb"/>
        <w:numPr>
          <w:ilvl w:val="0"/>
          <w:numId w:val="209"/>
        </w:numPr>
      </w:pPr>
      <w:r>
        <w:t>aufgrund fehlender Kontextinformationen nicht bewertbar</w:t>
      </w:r>
    </w:p>
    <w:p w:rsidR="000D28F9" w:rsidRDefault="000D28F9" w:rsidP="000D28F9">
      <w:pPr>
        <w:pStyle w:val="StandardWeb"/>
      </w:pPr>
      <w:r>
        <w:t>sein.</w:t>
      </w:r>
    </w:p>
    <w:p w:rsidR="000D28F9" w:rsidRDefault="000D28F9" w:rsidP="000D28F9">
      <w:pPr>
        <w:pStyle w:val="StandardWeb"/>
      </w:pPr>
      <w:r>
        <w:t>Besonders zu beachten ist:</w:t>
      </w:r>
    </w:p>
    <w:p w:rsidR="000D28F9" w:rsidRDefault="000D28F9" w:rsidP="00632D23">
      <w:pPr>
        <w:pStyle w:val="StandardWeb"/>
        <w:numPr>
          <w:ilvl w:val="0"/>
          <w:numId w:val="210"/>
        </w:numPr>
      </w:pPr>
      <w:r>
        <w:t>Eine Aussage ist nur bezüglich ihrer tatsächlich geprüften Kontextkomponenten generalisierbar.</w:t>
      </w:r>
    </w:p>
    <w:p w:rsidR="000D28F9" w:rsidRDefault="000D28F9" w:rsidP="00632D23">
      <w:pPr>
        <w:pStyle w:val="StandardWeb"/>
        <w:numPr>
          <w:ilvl w:val="0"/>
          <w:numId w:val="210"/>
        </w:numPr>
      </w:pPr>
      <w:r>
        <w:t>Populationsverschiebungen können auch bei identischer Modellstruktur zu verändertem Risiko führen.</w:t>
      </w:r>
    </w:p>
    <w:p w:rsidR="000D28F9" w:rsidRDefault="000D28F9" w:rsidP="00632D23">
      <w:pPr>
        <w:pStyle w:val="StandardWeb"/>
        <w:numPr>
          <w:ilvl w:val="0"/>
          <w:numId w:val="210"/>
        </w:numPr>
      </w:pPr>
      <w:r>
        <w:t>Konzeptverschiebungen verändern die Beziehung zwischen Eingangs- und Zielgrößen.</w:t>
      </w:r>
    </w:p>
    <w:p w:rsidR="000D28F9" w:rsidRDefault="000D28F9" w:rsidP="00632D23">
      <w:pPr>
        <w:pStyle w:val="StandardWeb"/>
        <w:numPr>
          <w:ilvl w:val="0"/>
          <w:numId w:val="210"/>
        </w:numPr>
      </w:pPr>
      <w:r>
        <w:t>Schwellenwerte müssen gemeinsam mit Skalen, Unsicherheiten und Kostenstrukturen transportiert werden.</w:t>
      </w:r>
    </w:p>
    <w:p w:rsidR="000D28F9" w:rsidRDefault="000D28F9" w:rsidP="00632D23">
      <w:pPr>
        <w:pStyle w:val="StandardWeb"/>
        <w:numPr>
          <w:ilvl w:val="0"/>
          <w:numId w:val="210"/>
        </w:numPr>
      </w:pPr>
      <w:r>
        <w:t>Zeitliche Stabilität muss gesondert geprüft werden.</w:t>
      </w:r>
    </w:p>
    <w:p w:rsidR="000D28F9" w:rsidRDefault="000D28F9" w:rsidP="00632D23">
      <w:pPr>
        <w:pStyle w:val="StandardWeb"/>
        <w:numPr>
          <w:ilvl w:val="0"/>
          <w:numId w:val="210"/>
        </w:numPr>
      </w:pPr>
      <w:r>
        <w:t>Strukturelle Isomorphie garantiert keine Gleichheit empirischer Verteilungen.</w:t>
      </w:r>
    </w:p>
    <w:p w:rsidR="000D28F9" w:rsidRDefault="000D28F9" w:rsidP="00632D23">
      <w:pPr>
        <w:pStyle w:val="StandardWeb"/>
        <w:numPr>
          <w:ilvl w:val="0"/>
          <w:numId w:val="210"/>
        </w:numPr>
      </w:pPr>
      <w:r>
        <w:t>Fehlende Vergleichbarkeitsinformationen dürfen nicht als Gleichheit der Kontexte interpretiert werden [58, 59, 79].</w:t>
      </w:r>
    </w:p>
    <w:p w:rsidR="000D28F9" w:rsidRDefault="000D28F9" w:rsidP="000D28F9">
      <w:pPr>
        <w:pStyle w:val="StandardWeb"/>
      </w:pPr>
      <w:r>
        <w:rPr>
          <w:rStyle w:val="Fett"/>
        </w:rPr>
        <w:t>Eigenleistung des FRZK</w:t>
      </w:r>
    </w:p>
    <w:p w:rsidR="000D28F9" w:rsidRDefault="000D28F9" w:rsidP="000D28F9">
      <w:pPr>
        <w:pStyle w:val="StandardWeb"/>
      </w:pPr>
      <w:r>
        <w:lastRenderedPageBreak/>
        <w:t>Mit Definition 3.3.24 und Satz 3.3.14 steht ein formales Verfahren zur Verfügung, mit dem ich die Übertragbarkeit einer FRZK-Aussage auf ihre tatsächlich relevanten Strukturen zurückführen kann. Dadurch wird Generalisierung von einer pauschalen Behauptung zu einer prüfbaren, kontextgebundenen wissenschaftlichen Operation.</w:t>
      </w:r>
    </w:p>
    <w:p w:rsidR="000D28F9" w:rsidRPr="00AF32B2" w:rsidRDefault="000D28F9" w:rsidP="00AF32B2">
      <w:pPr>
        <w:pStyle w:val="berschrift4"/>
      </w:pPr>
      <w:r w:rsidRPr="00AF32B2">
        <w:t>3.3.32.37 Übergang zur Prüfung der Replizierbarkeit und Reproduzierbarkeit</w:t>
      </w:r>
    </w:p>
    <w:p w:rsidR="000D28F9" w:rsidRDefault="000D28F9" w:rsidP="000D28F9">
      <w:pPr>
        <w:pStyle w:val="StandardWeb"/>
      </w:pPr>
      <w:r>
        <w:t>Eine Aussage kann zwischen zwei Kontexten vergleichbar und grundsätzlich übertragbar sein. Daraus folgt jedoch noch nicht, dass eine unabhängige Wiederholung der Untersuchung dasselbe Ergebnis erzeugt.</w:t>
      </w:r>
    </w:p>
    <w:p w:rsidR="000D28F9" w:rsidRDefault="000D28F9" w:rsidP="000D28F9">
      <w:pPr>
        <w:pStyle w:val="StandardWeb"/>
      </w:pPr>
      <w:r>
        <w:t>Eine ursprüngliche Auswertung lautet</w:t>
      </w:r>
    </w:p>
    <w:p w:rsidR="000D28F9" w:rsidRDefault="000D28F9" w:rsidP="000D28F9">
      <w:pPr>
        <w:pStyle w:val="berschrift1"/>
      </w:pPr>
      <w:r>
        <w:t>[</w:t>
      </w:r>
      <w:r>
        <w:br/>
        <w:t>Z_{1}</w:t>
      </w:r>
    </w:p>
    <w:p w:rsidR="000D28F9" w:rsidRDefault="000D28F9" w:rsidP="000D28F9">
      <w:pPr>
        <w:pStyle w:val="StandardWeb"/>
      </w:pPr>
      <w:r>
        <w:t>\mathcal{A}</w:t>
      </w:r>
      <w:r>
        <w:rPr>
          <w:rStyle w:val="Hervorhebung"/>
        </w:rPr>
        <w:t>{F}</w:t>
      </w:r>
      <w:r>
        <w:rPr>
          <w:i/>
          <w:iCs/>
        </w:rPr>
        <w:br/>
      </w:r>
      <w:r>
        <w:rPr>
          <w:rStyle w:val="Hervorhebung"/>
        </w:rPr>
        <w:t>\left(</w:t>
      </w:r>
      <w:r>
        <w:rPr>
          <w:i/>
          <w:iCs/>
        </w:rPr>
        <w:br/>
      </w:r>
      <w:r>
        <w:rPr>
          <w:rStyle w:val="Hervorhebung"/>
        </w:rPr>
        <w:t>\mathcal{D}</w:t>
      </w:r>
      <w:r>
        <w:t>{1},</w:t>
      </w:r>
      <w:r>
        <w:br/>
        <w:t>\mathcal{M}</w:t>
      </w:r>
      <w:r>
        <w:rPr>
          <w:rStyle w:val="Hervorhebung"/>
        </w:rPr>
        <w:t>{1},</w:t>
      </w:r>
      <w:r>
        <w:rPr>
          <w:i/>
          <w:iCs/>
        </w:rPr>
        <w:br/>
      </w:r>
      <w:r>
        <w:rPr>
          <w:rStyle w:val="Hervorhebung"/>
        </w:rPr>
        <w:t>\mathcal{O}</w:t>
      </w:r>
      <w:r>
        <w:t>{1}</w:t>
      </w:r>
      <w:r>
        <w:br/>
        <w:t>\right).</w:t>
      </w:r>
      <w:r>
        <w:br/>
        <w:t>\tag{3.5764}</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Z_{1}=\mathcal{A}_{F}\left(\mathcal{D}_{1},\mathcal{M}_{1},\mathcal{O}_{1}\right)\qquad\text{(3.5764)}</w:t>
      </w:r>
    </w:p>
    <w:p w:rsidR="000D28F9" w:rsidRDefault="000D28F9" w:rsidP="000D28F9">
      <w:pPr>
        <w:pStyle w:val="StandardWeb"/>
      </w:pPr>
      <w:r>
        <w:t>Eine wiederholte Auswertung lautet</w:t>
      </w:r>
    </w:p>
    <w:p w:rsidR="000D28F9" w:rsidRDefault="000D28F9" w:rsidP="000D28F9">
      <w:pPr>
        <w:pStyle w:val="berschrift1"/>
      </w:pPr>
      <w:r>
        <w:t>[</w:t>
      </w:r>
      <w:r>
        <w:br/>
        <w:t>Z_{2}</w:t>
      </w:r>
    </w:p>
    <w:p w:rsidR="000D28F9" w:rsidRDefault="000D28F9" w:rsidP="000D28F9">
      <w:pPr>
        <w:pStyle w:val="StandardWeb"/>
      </w:pPr>
      <w:r>
        <w:t>\mathcal{A}</w:t>
      </w:r>
      <w:r>
        <w:rPr>
          <w:rStyle w:val="Hervorhebung"/>
        </w:rPr>
        <w:t>{F}</w:t>
      </w:r>
      <w:r>
        <w:rPr>
          <w:i/>
          <w:iCs/>
        </w:rPr>
        <w:br/>
      </w:r>
      <w:r>
        <w:rPr>
          <w:rStyle w:val="Hervorhebung"/>
        </w:rPr>
        <w:t>\left(</w:t>
      </w:r>
      <w:r>
        <w:rPr>
          <w:i/>
          <w:iCs/>
        </w:rPr>
        <w:br/>
      </w:r>
      <w:r>
        <w:rPr>
          <w:rStyle w:val="Hervorhebung"/>
        </w:rPr>
        <w:t>\mathcal{D}</w:t>
      </w:r>
      <w:r>
        <w:t>{2},</w:t>
      </w:r>
      <w:r>
        <w:br/>
        <w:t>\mathcal{M}</w:t>
      </w:r>
      <w:r>
        <w:rPr>
          <w:rStyle w:val="Hervorhebung"/>
        </w:rPr>
        <w:t>{2},</w:t>
      </w:r>
      <w:r>
        <w:rPr>
          <w:i/>
          <w:iCs/>
        </w:rPr>
        <w:br/>
      </w:r>
      <w:r>
        <w:rPr>
          <w:rStyle w:val="Hervorhebung"/>
        </w:rPr>
        <w:t>\mathcal{O}</w:t>
      </w:r>
      <w:r>
        <w:t>{2}</w:t>
      </w:r>
      <w:r>
        <w:br/>
        <w:t>\right).</w:t>
      </w:r>
      <w:r>
        <w:br/>
        <w:t>\tag{3.5765}</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Z_{2}=\mathcal{A}_{F}\left(\mathcal{D}_{2},\mathcal{M}_{2},\mathcal{O}_{2}\right)\qquad\text{(3.5765)}</w:t>
      </w:r>
    </w:p>
    <w:p w:rsidR="000D28F9" w:rsidRDefault="000D28F9" w:rsidP="000D28F9">
      <w:pPr>
        <w:pStyle w:val="StandardWeb"/>
      </w:pPr>
      <w:r>
        <w:lastRenderedPageBreak/>
        <w:t>Die Ergebnisabweichung lautet</w:t>
      </w:r>
    </w:p>
    <w:p w:rsidR="000D28F9" w:rsidRDefault="000D28F9" w:rsidP="000D28F9">
      <w:pPr>
        <w:pStyle w:val="berschrift1"/>
      </w:pPr>
      <w:r>
        <w:t>[</w:t>
      </w:r>
      <w:r>
        <w:br/>
        <w:t>\Delta_{\mathrm{rep}}</w:t>
      </w:r>
    </w:p>
    <w:p w:rsidR="000D28F9" w:rsidRDefault="000D28F9" w:rsidP="000D28F9">
      <w:pPr>
        <w:pStyle w:val="StandardWeb"/>
      </w:pPr>
      <w:r>
        <w:t>\Delta_{F}</w:t>
      </w:r>
      <w:r>
        <w:br/>
        <w:t>\left(</w:t>
      </w:r>
      <w:r>
        <w:br/>
        <w:t>Z_{1},</w:t>
      </w:r>
      <w:r>
        <w:br/>
        <w:t>Z_{2}</w:t>
      </w:r>
      <w:r>
        <w:br/>
        <w:t>\right).</w:t>
      </w:r>
      <w:r>
        <w:br/>
        <w:t>\tag{3.5766}</w:t>
      </w:r>
      <w:r>
        <w:br/>
        <w:t>]</w:t>
      </w:r>
    </w:p>
    <w:p w:rsidR="000D28F9" w:rsidRDefault="000D28F9" w:rsidP="000D28F9">
      <w:pPr>
        <w:pStyle w:val="StandardWeb"/>
      </w:pPr>
      <w:r>
        <w:rPr>
          <w:rStyle w:val="Fett"/>
        </w:rPr>
        <w:t>Word-LaTeX</w:t>
      </w:r>
    </w:p>
    <w:p w:rsidR="000D28F9" w:rsidRDefault="000D28F9" w:rsidP="000D28F9">
      <w:pPr>
        <w:pStyle w:val="HTMLVorformatiert"/>
        <w:rPr>
          <w:rStyle w:val="HTMLCode"/>
        </w:rPr>
      </w:pPr>
      <w:r>
        <w:rPr>
          <w:rStyle w:val="HTMLCode"/>
        </w:rPr>
        <w:t>\Delta_{\mathrm{rep}}=\Delta_{F}\left(Z_{1},Z_{2}\right)\qquad\text{(3.5766)}</w:t>
      </w:r>
    </w:p>
    <w:p w:rsidR="000D28F9" w:rsidRDefault="000D28F9" w:rsidP="000D28F9">
      <w:pPr>
        <w:pStyle w:val="StandardWeb"/>
      </w:pPr>
      <w:r>
        <w:rPr>
          <w:rStyle w:val="Fett"/>
        </w:rPr>
        <w:t>Eigenleistung des FRZK</w:t>
      </w:r>
    </w:p>
    <w:p w:rsidR="000D28F9" w:rsidRDefault="000D28F9" w:rsidP="000D28F9">
      <w:pPr>
        <w:pStyle w:val="StandardWeb"/>
      </w:pPr>
      <w:r>
        <w:t>Der folgende Abschnitt untersucht deshalb, unter welchen Bedingungen eine FRZK-Auswertung technisch reproduzierbar, empirisch replizierbar und wissenschaftlich nachvollziehbar ist.</w:t>
      </w:r>
    </w:p>
    <w:p w:rsidR="0056629F" w:rsidRDefault="0056629F" w:rsidP="0056629F">
      <w:pPr>
        <w:pStyle w:val="berschrift2"/>
      </w:pPr>
      <w:r>
        <w:t>Ergänzung zu 3.3.32 – Prüfung der Vergleichbarkeit und Generalisierbarkeit</w:t>
      </w:r>
    </w:p>
    <w:p w:rsidR="0056629F" w:rsidRDefault="0056629F" w:rsidP="0056629F">
      <w:pPr>
        <w:pStyle w:val="berschrift3"/>
      </w:pPr>
      <w:r>
        <w:t>Methodologische Betrachtungen</w:t>
      </w:r>
    </w:p>
    <w:p w:rsidR="0056629F" w:rsidRDefault="0056629F" w:rsidP="0056629F">
      <w:pPr>
        <w:pStyle w:val="StandardWeb"/>
      </w:pPr>
      <w:r>
        <w:t>Vergleichbarkeit und Generalisierbarkeit sind voneinander zu unterscheiden. Vergleichbarkeit betrifft zunächst die Frage, ob zwei empirische Kontexte anhand gemeinsamer Begriffe, Skalen, Operationalisierungen und Modellstrukturen sinnvoll aufeinander bezogen werden können. Generalisierbarkeit betrifft anschließend die weitergehende Frage, ob eine im Ausgangskontext gewonnene Aussage auch im Zielkontext gelten darf [58, 59, 79].</w:t>
      </w:r>
    </w:p>
    <w:p w:rsidR="0056629F" w:rsidRDefault="0056629F" w:rsidP="0056629F">
      <w:pPr>
        <w:pStyle w:val="StandardWeb"/>
      </w:pPr>
      <w:r>
        <w:t>Ich setze deshalb keine vollständige Gleichheit zweier Kontexte voraus. Eine solche Gleichheit wäre in empirischen Untersuchungen kaum erreichbar. Stattdessen prüfe ich, welche Kontextbestandteile für die konkrete Aussage relevant sind und ob gerade diese Bestandteile hinreichend erhalten bleiben.</w:t>
      </w:r>
    </w:p>
    <w:p w:rsidR="0056629F" w:rsidRDefault="0056629F" w:rsidP="0056629F">
      <w:pPr>
        <w:pStyle w:val="StandardWeb"/>
      </w:pPr>
      <w:r>
        <w:t>Diese aussagebezogene Betrachtung verhindert zwei gegensätzliche Fehler. Einerseits darf eine Aussage nicht allein deshalb übertragen werden, weil zwei Datensätze gleich benannte Variablen enthalten. Andererseits muss eine Übertragung nicht allein deshalb ausgeschlossen werden, weil sich irrelevante Kontextmerkmale unterscheiden.</w:t>
      </w:r>
    </w:p>
    <w:p w:rsidR="0056629F" w:rsidRDefault="0056629F" w:rsidP="0056629F">
      <w:pPr>
        <w:pStyle w:val="StandardWeb"/>
      </w:pPr>
      <w:r>
        <w:t>Besondere Bedeutung besitzt die Operationalisierungsvergleichbarkeit. Zwei Variablen mit derselben Bezeichnung können unterschiedliche empirische Inhalte besitzen, wenn sie mit anderen Regeln, Messinstrumenten oder Klassengrenzen erzeugt wurden. Eine direkte numerische Gegenüberstellung wäre dann methodisch irreführend.</w:t>
      </w:r>
    </w:p>
    <w:p w:rsidR="0056629F" w:rsidRDefault="0056629F" w:rsidP="0056629F">
      <w:pPr>
        <w:pStyle w:val="StandardWeb"/>
      </w:pPr>
      <w:r>
        <w:lastRenderedPageBreak/>
        <w:t>Ebenso reicht eine identische Modellgleichung nicht aus, wenn sich die Verteilungen der Eingangsdaten, die zeitlichen Bedingungen oder die Fehlerkosten unterscheiden. Die Modellform kann gleich bleiben, während ihre empirische Bedeutung und Güte im Zielkontext verändert ist.</w:t>
      </w:r>
    </w:p>
    <w:p w:rsidR="0056629F" w:rsidRDefault="0056629F" w:rsidP="0056629F">
      <w:pPr>
        <w:pStyle w:val="StandardWeb"/>
      </w:pPr>
      <w:r>
        <w:t>Die in diesem Abschnitt eingeführten Kontextabweichungen und Vergleichbarkeitstoleranzen sind nicht als universell feste Grenzwerte zu verstehen. Sie müssen für die jeweilige Aussage begründet werden. Eine grobe qualitative Aussage kann größere Kontextunterschiede vertragen als eine exakte quantitative Vorhersage.</w:t>
      </w:r>
    </w:p>
    <w:p w:rsidR="0056629F" w:rsidRDefault="0056629F" w:rsidP="0056629F">
      <w:pPr>
        <w:pStyle w:val="StandardWeb"/>
      </w:pPr>
      <w:r>
        <w:t>Generalisierbarkeit ist daher keine Eigenschaft einer Aussage allein. Sie ist eine Beziehung zwischen einer Aussage, einem Ausgangskontext, einem Zielkontext und einer Menge geprüfter Übertragungsbedingungen.</w:t>
      </w:r>
    </w:p>
    <w:p w:rsidR="0056629F" w:rsidRDefault="0056629F" w:rsidP="0056629F">
      <w:pPr>
        <w:pStyle w:val="berschrift3"/>
      </w:pPr>
      <w:r>
        <w:t>Didaktische Betrachtungen</w:t>
      </w:r>
    </w:p>
    <w:p w:rsidR="0056629F" w:rsidRDefault="0056629F" w:rsidP="0056629F">
      <w:pPr>
        <w:pStyle w:val="StandardWeb"/>
      </w:pPr>
      <w:r>
        <w:t>Vergleichbarkeit lässt sich an zwei Thermometern verdeutlichen. Zeigt das erste Thermometer Grad Celsius und das zweite Grad Fahrenheit, können die Zahlen nicht unmittelbar verglichen werden. Die Werte werden erst durch eine bekannte Umrechnung vergleichbar. Die verschiedenen Zahlen bedeuten nicht, dass unterschiedliche Temperaturen vorliegen.</w:t>
      </w:r>
    </w:p>
    <w:p w:rsidR="0056629F" w:rsidRDefault="0056629F" w:rsidP="0056629F">
      <w:pPr>
        <w:pStyle w:val="StandardWeb"/>
      </w:pPr>
      <w:r>
        <w:t>Anders ist die Situation, wenn zwei Instrumente zwar dieselbe Einheit verwenden, aber unterschiedliche Größen messen. Ein Raumthermometer und ein Fieberthermometer liefern beide Werte in Grad Celsius, ihre Messwerte beziehen sich jedoch auf verschiedene Gegenstände und Bedingungen. Die gemeinsame Einheit allein erzeugt keine inhaltliche Vergleichbarkeit.</w:t>
      </w:r>
    </w:p>
    <w:p w:rsidR="0056629F" w:rsidRDefault="0056629F" w:rsidP="0056629F">
      <w:pPr>
        <w:pStyle w:val="StandardWeb"/>
      </w:pPr>
      <w:r>
        <w:t>Dasselbe gilt für empirische Variablen. Zwei Spalten mit der Bezeichnung „Kohärenz“ müssen nicht dieselbe Größe darstellen. Entscheidend ist, wie sie definiert, gemessen und berechnet wurden.</w:t>
      </w:r>
    </w:p>
    <w:p w:rsidR="0056629F" w:rsidRDefault="0056629F" w:rsidP="0056629F">
      <w:pPr>
        <w:pStyle w:val="StandardWeb"/>
      </w:pPr>
      <w:r>
        <w:t>Generalisierbarkeit kann anschließend mit der Übertragung eines Rezepts verglichen werden. Ein Rezept, das in einer bestimmten Küche mit bestimmten Zutaten funktioniert, kann grundsätzlich auch in einer anderen Küche verwendet werden. Ändern sich jedoch Ofentemperatur, Zutaten, Mengen oder Zubereitungszeit, ist das Ergebnis nicht automatisch identisch. Einige Unterschiede sind unwichtig, andere verändern das gesamte Ergebnis.</w:t>
      </w:r>
    </w:p>
    <w:p w:rsidR="0056629F" w:rsidRDefault="0056629F" w:rsidP="0056629F">
      <w:pPr>
        <w:pStyle w:val="StandardWeb"/>
      </w:pPr>
      <w:r>
        <w:t>Didaktisch sollte daher immer gefragt werden:</w:t>
      </w:r>
    </w:p>
    <w:p w:rsidR="0056629F" w:rsidRDefault="0056629F" w:rsidP="0056629F">
      <w:pPr>
        <w:pStyle w:val="StandardWeb"/>
        <w:numPr>
          <w:ilvl w:val="0"/>
          <w:numId w:val="253"/>
        </w:numPr>
      </w:pPr>
      <w:r>
        <w:t>Was ist in beiden Kontexten gleich?</w:t>
      </w:r>
    </w:p>
    <w:p w:rsidR="0056629F" w:rsidRDefault="0056629F" w:rsidP="0056629F">
      <w:pPr>
        <w:pStyle w:val="StandardWeb"/>
        <w:numPr>
          <w:ilvl w:val="0"/>
          <w:numId w:val="253"/>
        </w:numPr>
      </w:pPr>
      <w:r>
        <w:t>Was ist verschieden?</w:t>
      </w:r>
    </w:p>
    <w:p w:rsidR="0056629F" w:rsidRDefault="0056629F" w:rsidP="0056629F">
      <w:pPr>
        <w:pStyle w:val="StandardWeb"/>
        <w:numPr>
          <w:ilvl w:val="0"/>
          <w:numId w:val="253"/>
        </w:numPr>
      </w:pPr>
      <w:r>
        <w:t>Welche Unterschiede sind für die konkrete Aussage relevant?</w:t>
      </w:r>
    </w:p>
    <w:p w:rsidR="0056629F" w:rsidRDefault="0056629F" w:rsidP="0056629F">
      <w:pPr>
        <w:pStyle w:val="StandardWeb"/>
        <w:numPr>
          <w:ilvl w:val="0"/>
          <w:numId w:val="253"/>
        </w:numPr>
      </w:pPr>
      <w:r>
        <w:t>Welche Anpassungen sind erforderlich?</w:t>
      </w:r>
    </w:p>
    <w:p w:rsidR="0056629F" w:rsidRDefault="0056629F" w:rsidP="0056629F">
      <w:pPr>
        <w:pStyle w:val="StandardWeb"/>
        <w:numPr>
          <w:ilvl w:val="0"/>
          <w:numId w:val="253"/>
        </w:numPr>
      </w:pPr>
      <w:r>
        <w:t>Welche Grenzen besitzt die Übertragung?</w:t>
      </w:r>
    </w:p>
    <w:p w:rsidR="0056629F" w:rsidRDefault="0056629F" w:rsidP="0056629F">
      <w:pPr>
        <w:pStyle w:val="StandardWeb"/>
      </w:pPr>
      <w:r>
        <w:t>Auf diese Weise wird sichtbar, dass eine Aussage nicht entweder vollständig allgemein oder vollständig lokal sein muss. Zwischen beiden Extremen liegt die bedingte Übertragbarkeit.</w:t>
      </w:r>
    </w:p>
    <w:p w:rsidR="0056629F" w:rsidRDefault="00E50336" w:rsidP="0056629F">
      <w:r>
        <w:pict>
          <v:rect id="_x0000_i1056" style="width:0;height:1.5pt" o:hralign="center" o:hrstd="t" o:hr="t" fillcolor="#a0a0a0" stroked="f"/>
        </w:pict>
      </w:r>
    </w:p>
    <w:p w:rsidR="00355D35" w:rsidRPr="00AF32B2" w:rsidRDefault="00355D35" w:rsidP="00AF32B2">
      <w:pPr>
        <w:pStyle w:val="berschrift3"/>
      </w:pPr>
      <w:r w:rsidRPr="00AF32B2">
        <w:lastRenderedPageBreak/>
        <w:t>3.3.33 Prüfung der Replizierbarkeit und Reproduzierbarkeit</w:t>
      </w:r>
    </w:p>
    <w:p w:rsidR="00355D35" w:rsidRDefault="00355D35" w:rsidP="00355D35">
      <w:pPr>
        <w:pStyle w:val="StandardWeb"/>
      </w:pPr>
      <w:r>
        <w:t>Die Vergleichbarkeits- und Generalisierbarkeitsprüfung des vorhergehenden Abschnitts hat gezeigt, unter welchen Bedingungen eine FRZK-Aussage auf einen anderen empirischen Kontext übertragen werden kann. Eine solche Übertragbarkeit beantwortet jedoch noch nicht die Frage, ob eine unabhängige Wiederholung der Untersuchung zu einem hinreichend ähnlichen Ergebnis führt.</w:t>
      </w:r>
    </w:p>
    <w:p w:rsidR="00355D35" w:rsidRDefault="00355D35" w:rsidP="00355D35">
      <w:pPr>
        <w:pStyle w:val="StandardWeb"/>
      </w:pPr>
      <w:r>
        <w:t xml:space="preserve">Dabei muss ich zwischen </w:t>
      </w:r>
      <w:r>
        <w:rPr>
          <w:rStyle w:val="Fett"/>
        </w:rPr>
        <w:t>Reproduzierbarkeit</w:t>
      </w:r>
      <w:r>
        <w:t xml:space="preserve"> und </w:t>
      </w:r>
      <w:r>
        <w:rPr>
          <w:rStyle w:val="Fett"/>
        </w:rPr>
        <w:t>Replizierbarkeit</w:t>
      </w:r>
      <w:r>
        <w:t xml:space="preserve"> unterscheiden. Reproduzierbarkeit betrifft die erneute Berechnung eines Ergebnisses mit denselben Daten, denselben Verfahren und denselben Modellbedingungen. Replizierbarkeit betrifft dagegen eine neue Untersuchung mit eigenständig erhobenen Daten, die dieselbe wissenschaftliche Fragestellung unter vergleichbaren Bedingungen prüft [58, 59, 79].</w:t>
      </w:r>
    </w:p>
    <w:p w:rsidR="00355D35" w:rsidRDefault="00355D35" w:rsidP="00355D35">
      <w:pPr>
        <w:pStyle w:val="StandardWeb"/>
      </w:pPr>
      <w:r>
        <w:t>Ein Ergebnis kann technisch reproduzierbar sein, obwohl es sich mit neuen Daten nicht replizieren lässt. Ebenso kann ein empirisches Muster replizierbar sein, obwohl die ursprüngliche technische Auswertung wegen fehlender Softwarestände, Konfigurationen oder Verarbeitungsschritte nicht vollständig reproduziert werden kann.</w:t>
      </w:r>
    </w:p>
    <w:p w:rsidR="00355D35" w:rsidRDefault="00355D35" w:rsidP="00355D35">
      <w:pPr>
        <w:pStyle w:val="StandardWeb"/>
      </w:pPr>
      <w:r>
        <w:t>Für das Funktionale Raum-Zeit-Kohärenzsystem unterscheide ich deshalb:</w:t>
      </w:r>
    </w:p>
    <w:p w:rsidR="00355D35" w:rsidRDefault="00355D35" w:rsidP="00632D23">
      <w:pPr>
        <w:pStyle w:val="StandardWeb"/>
        <w:numPr>
          <w:ilvl w:val="0"/>
          <w:numId w:val="211"/>
        </w:numPr>
      </w:pPr>
      <w:r>
        <w:t>technische Reproduzierbarkeit,</w:t>
      </w:r>
    </w:p>
    <w:p w:rsidR="00355D35" w:rsidRDefault="00355D35" w:rsidP="00632D23">
      <w:pPr>
        <w:pStyle w:val="StandardWeb"/>
        <w:numPr>
          <w:ilvl w:val="0"/>
          <w:numId w:val="211"/>
        </w:numPr>
      </w:pPr>
      <w:r>
        <w:t>rechnerische Reproduzierbarkeit,</w:t>
      </w:r>
    </w:p>
    <w:p w:rsidR="00355D35" w:rsidRDefault="00355D35" w:rsidP="00632D23">
      <w:pPr>
        <w:pStyle w:val="StandardWeb"/>
        <w:numPr>
          <w:ilvl w:val="0"/>
          <w:numId w:val="211"/>
        </w:numPr>
      </w:pPr>
      <w:r>
        <w:t>methodische Reproduzierbarkeit,</w:t>
      </w:r>
    </w:p>
    <w:p w:rsidR="00355D35" w:rsidRDefault="00355D35" w:rsidP="00632D23">
      <w:pPr>
        <w:pStyle w:val="StandardWeb"/>
        <w:numPr>
          <w:ilvl w:val="0"/>
          <w:numId w:val="211"/>
        </w:numPr>
      </w:pPr>
      <w:r>
        <w:t>empirische Replizierbarkeit,</w:t>
      </w:r>
    </w:p>
    <w:p w:rsidR="00355D35" w:rsidRDefault="00355D35" w:rsidP="00632D23">
      <w:pPr>
        <w:pStyle w:val="StandardWeb"/>
        <w:numPr>
          <w:ilvl w:val="0"/>
          <w:numId w:val="211"/>
        </w:numPr>
      </w:pPr>
      <w:r>
        <w:t>konzeptuelle Replizierbarkeit,</w:t>
      </w:r>
    </w:p>
    <w:p w:rsidR="00355D35" w:rsidRDefault="00355D35" w:rsidP="00632D23">
      <w:pPr>
        <w:pStyle w:val="StandardWeb"/>
        <w:numPr>
          <w:ilvl w:val="0"/>
          <w:numId w:val="211"/>
        </w:numPr>
      </w:pPr>
      <w:r>
        <w:t>Ergebnis- und Schlussfolgerungsübereinstimmung.</w:t>
      </w:r>
    </w:p>
    <w:p w:rsidR="00355D35" w:rsidRDefault="00355D35" w:rsidP="00355D35">
      <w:pPr>
        <w:pStyle w:val="StandardWeb"/>
      </w:pPr>
      <w:r>
        <w:rPr>
          <w:rStyle w:val="Fett"/>
        </w:rPr>
        <w:t>Eigenleistung des FRZK</w:t>
      </w:r>
    </w:p>
    <w:p w:rsidR="00355D35" w:rsidRDefault="00355D35" w:rsidP="00355D35">
      <w:pPr>
        <w:pStyle w:val="StandardWeb"/>
      </w:pPr>
      <w:r>
        <w:t>Ich führe ein gemeinsames Reproduzierbarkeits- und Replizierbarkeitssystem ein, das Datenstand, Softwarestand, Modellstand, Operationalisierung, Zufallszustände, Auswertungsschritte und Ergebnisabweichungen gemeinsam dokumentiert. Dadurch kann ich bestimmen, ob eine Abweichung aus technischen, methodischen, empirischen oder kontextbezogenen Ursachen entsteht.</w:t>
      </w:r>
    </w:p>
    <w:p w:rsidR="00355D35" w:rsidRPr="00AF32B2" w:rsidRDefault="00355D35" w:rsidP="00AF32B2">
      <w:pPr>
        <w:pStyle w:val="berschrift4"/>
      </w:pPr>
      <w:r w:rsidRPr="00AF32B2">
        <w:t>3.3.33.1 Ursprüngliche Auswertung</w:t>
      </w:r>
    </w:p>
    <w:p w:rsidR="00355D35" w:rsidRDefault="00355D35" w:rsidP="00355D35">
      <w:pPr>
        <w:pStyle w:val="StandardWeb"/>
      </w:pPr>
      <w:r>
        <w:t>Die ursprüngliche FRZK-Auswertung lautet</w:t>
      </w:r>
    </w:p>
    <w:p w:rsidR="00355D35" w:rsidRDefault="00355D35" w:rsidP="00355D35">
      <w:pPr>
        <w:pStyle w:val="berschrift1"/>
      </w:pPr>
      <w:r>
        <w:t>[</w:t>
      </w:r>
      <w:r>
        <w:br/>
        <w:t>Z_{1}</w:t>
      </w:r>
    </w:p>
    <w:p w:rsidR="00355D35" w:rsidRDefault="00355D35" w:rsidP="00355D35">
      <w:pPr>
        <w:pStyle w:val="StandardWeb"/>
      </w:pPr>
      <w:r>
        <w:t>\mathcal{A}</w:t>
      </w:r>
      <w:r>
        <w:rPr>
          <w:rStyle w:val="Hervorhebung"/>
        </w:rPr>
        <w:t>{F}</w:t>
      </w:r>
      <w:r>
        <w:rPr>
          <w:i/>
          <w:iCs/>
        </w:rPr>
        <w:br/>
      </w:r>
      <w:r>
        <w:rPr>
          <w:rStyle w:val="Hervorhebung"/>
        </w:rPr>
        <w:t>\left(</w:t>
      </w:r>
      <w:r>
        <w:rPr>
          <w:i/>
          <w:iCs/>
        </w:rPr>
        <w:br/>
      </w:r>
      <w:r>
        <w:rPr>
          <w:rStyle w:val="Hervorhebung"/>
        </w:rPr>
        <w:t>\mathcal{D}</w:t>
      </w:r>
      <w:r>
        <w:t>{1},</w:t>
      </w:r>
      <w:r>
        <w:br/>
        <w:t>\mathcal{M}</w:t>
      </w:r>
      <w:r>
        <w:rPr>
          <w:rStyle w:val="Hervorhebung"/>
        </w:rPr>
        <w:t>{1},</w:t>
      </w:r>
      <w:r>
        <w:rPr>
          <w:i/>
          <w:iCs/>
        </w:rPr>
        <w:br/>
      </w:r>
      <w:r>
        <w:rPr>
          <w:rStyle w:val="Hervorhebung"/>
        </w:rPr>
        <w:t>\mathcal{O}</w:t>
      </w:r>
      <w:r>
        <w:t>{1},</w:t>
      </w:r>
      <w:r>
        <w:br/>
        <w:t>\mathcal{K}_{1}</w:t>
      </w:r>
      <w:r>
        <w:br/>
      </w:r>
      <w:r>
        <w:lastRenderedPageBreak/>
        <w:t>\right).</w:t>
      </w:r>
      <w:r>
        <w:br/>
        <w:t>\tag{3.5767}</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Z_{1}=\mathcal{A}_{F}\left(\mathcal{D}_{1},\mathcal{M}_{1},\mathcal{O}_{1},\mathcal{K}_{1}\right)\qquad\text{(3.5767)}</w:t>
      </w:r>
    </w:p>
    <w:p w:rsidR="00355D35" w:rsidRDefault="00355D35" w:rsidP="00355D35">
      <w:pPr>
        <w:pStyle w:val="StandardWeb"/>
      </w:pPr>
      <w:r>
        <w:t>Dabei bezeichnet:</w:t>
      </w:r>
    </w:p>
    <w:p w:rsidR="00355D35" w:rsidRDefault="00355D35" w:rsidP="00632D23">
      <w:pPr>
        <w:pStyle w:val="StandardWeb"/>
        <w:numPr>
          <w:ilvl w:val="0"/>
          <w:numId w:val="212"/>
        </w:numPr>
      </w:pPr>
      <w:r>
        <w:t>(\mathcal{D}_{1}) den ursprünglichen Datenstand,</w:t>
      </w:r>
    </w:p>
    <w:p w:rsidR="00355D35" w:rsidRDefault="00355D35" w:rsidP="00632D23">
      <w:pPr>
        <w:pStyle w:val="StandardWeb"/>
        <w:numPr>
          <w:ilvl w:val="0"/>
          <w:numId w:val="212"/>
        </w:numPr>
      </w:pPr>
      <w:r>
        <w:t>(\mathcal{M}_{1}) den verwendeten Modellstand,</w:t>
      </w:r>
    </w:p>
    <w:p w:rsidR="00355D35" w:rsidRDefault="00355D35" w:rsidP="00632D23">
      <w:pPr>
        <w:pStyle w:val="StandardWeb"/>
        <w:numPr>
          <w:ilvl w:val="0"/>
          <w:numId w:val="212"/>
        </w:numPr>
      </w:pPr>
      <w:r>
        <w:t>(\mathcal{O}_{1}) die Operationalisierung,</w:t>
      </w:r>
    </w:p>
    <w:p w:rsidR="00355D35" w:rsidRDefault="00355D35" w:rsidP="00632D23">
      <w:pPr>
        <w:pStyle w:val="StandardWeb"/>
        <w:numPr>
          <w:ilvl w:val="0"/>
          <w:numId w:val="212"/>
        </w:numPr>
      </w:pPr>
      <w:r>
        <w:t>(\mathcal{K}_{1}) die technische und rechnerische Konfiguration,</w:t>
      </w:r>
    </w:p>
    <w:p w:rsidR="00355D35" w:rsidRDefault="00355D35" w:rsidP="00632D23">
      <w:pPr>
        <w:pStyle w:val="StandardWeb"/>
        <w:numPr>
          <w:ilvl w:val="0"/>
          <w:numId w:val="212"/>
        </w:numPr>
      </w:pPr>
      <w:r>
        <w:t>(Z_{1}) das ursprüngliche Ergebnis.</w:t>
      </w:r>
    </w:p>
    <w:p w:rsidR="00355D35" w:rsidRDefault="00355D35" w:rsidP="00355D35">
      <w:pPr>
        <w:pStyle w:val="StandardWeb"/>
      </w:pPr>
      <w:r>
        <w:t>Eine wiederholte Auswertung lautet</w:t>
      </w:r>
    </w:p>
    <w:p w:rsidR="00355D35" w:rsidRDefault="00355D35" w:rsidP="00355D35">
      <w:pPr>
        <w:pStyle w:val="berschrift1"/>
      </w:pPr>
      <w:r>
        <w:t>[</w:t>
      </w:r>
      <w:r>
        <w:br/>
        <w:t>Z_{2}</w:t>
      </w:r>
    </w:p>
    <w:p w:rsidR="00355D35" w:rsidRDefault="00355D35" w:rsidP="00355D35">
      <w:pPr>
        <w:pStyle w:val="StandardWeb"/>
      </w:pPr>
      <w:r>
        <w:t>\mathcal{A}</w:t>
      </w:r>
      <w:r>
        <w:rPr>
          <w:rStyle w:val="Hervorhebung"/>
        </w:rPr>
        <w:t>{F}</w:t>
      </w:r>
      <w:r>
        <w:rPr>
          <w:i/>
          <w:iCs/>
        </w:rPr>
        <w:br/>
      </w:r>
      <w:r>
        <w:rPr>
          <w:rStyle w:val="Hervorhebung"/>
        </w:rPr>
        <w:t>\left(</w:t>
      </w:r>
      <w:r>
        <w:rPr>
          <w:i/>
          <w:iCs/>
        </w:rPr>
        <w:br/>
      </w:r>
      <w:r>
        <w:rPr>
          <w:rStyle w:val="Hervorhebung"/>
        </w:rPr>
        <w:t>\mathcal{D}</w:t>
      </w:r>
      <w:r>
        <w:t>{2},</w:t>
      </w:r>
      <w:r>
        <w:br/>
        <w:t>\mathcal{M}</w:t>
      </w:r>
      <w:r>
        <w:rPr>
          <w:rStyle w:val="Hervorhebung"/>
        </w:rPr>
        <w:t>{2},</w:t>
      </w:r>
      <w:r>
        <w:rPr>
          <w:i/>
          <w:iCs/>
        </w:rPr>
        <w:br/>
      </w:r>
      <w:r>
        <w:rPr>
          <w:rStyle w:val="Hervorhebung"/>
        </w:rPr>
        <w:t>\mathcal{O}</w:t>
      </w:r>
      <w:r>
        <w:t>{2},</w:t>
      </w:r>
      <w:r>
        <w:br/>
        <w:t>\mathcal{K}_{2}</w:t>
      </w:r>
      <w:r>
        <w:br/>
        <w:t>\right).</w:t>
      </w:r>
      <w:r>
        <w:br/>
        <w:t>\tag{3.5768}</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Z_{2}=\mathcal{A}_{F}\left(\mathcal{D}_{2},\mathcal{M}_{2},\mathcal{O}_{2},\mathcal{K}_{2}\right)\qquad\text{(3.5768)}</w:t>
      </w:r>
    </w:p>
    <w:p w:rsidR="00355D35" w:rsidRDefault="00355D35" w:rsidP="00355D35">
      <w:pPr>
        <w:pStyle w:val="StandardWeb"/>
      </w:pPr>
      <w:r>
        <w:t>Die Ergebnisabweichung lautet</w:t>
      </w:r>
    </w:p>
    <w:p w:rsidR="00355D35" w:rsidRDefault="00355D35" w:rsidP="00355D35">
      <w:pPr>
        <w:pStyle w:val="berschrift1"/>
      </w:pPr>
      <w:r>
        <w:t>[</w:t>
      </w:r>
      <w:r>
        <w:br/>
        <w:t>\Delta_{\mathrm{rep}}</w:t>
      </w:r>
    </w:p>
    <w:p w:rsidR="00355D35" w:rsidRDefault="00355D35" w:rsidP="00355D35">
      <w:pPr>
        <w:pStyle w:val="StandardWeb"/>
      </w:pPr>
      <w:r>
        <w:t>\Delta_{F}</w:t>
      </w:r>
      <w:r>
        <w:br/>
        <w:t>\left(</w:t>
      </w:r>
      <w:r>
        <w:br/>
        <w:t>Z_{1},</w:t>
      </w:r>
      <w:r>
        <w:br/>
        <w:t>Z_{2}</w:t>
      </w:r>
      <w:r>
        <w:br/>
        <w:t>\right).</w:t>
      </w:r>
      <w:r>
        <w:br/>
        <w:t>\tag{3.5769}</w:t>
      </w:r>
      <w:r>
        <w:br/>
        <w:t>]</w:t>
      </w:r>
    </w:p>
    <w:p w:rsidR="00355D35" w:rsidRDefault="00355D35" w:rsidP="00355D35">
      <w:pPr>
        <w:pStyle w:val="StandardWeb"/>
      </w:pPr>
      <w:r>
        <w:rPr>
          <w:rStyle w:val="Fett"/>
        </w:rPr>
        <w:lastRenderedPageBreak/>
        <w:t>Word-LaTeX</w:t>
      </w:r>
    </w:p>
    <w:p w:rsidR="00355D35" w:rsidRDefault="00355D35" w:rsidP="00355D35">
      <w:pPr>
        <w:pStyle w:val="HTMLVorformatiert"/>
        <w:rPr>
          <w:rStyle w:val="HTMLCode"/>
        </w:rPr>
      </w:pPr>
      <w:r>
        <w:rPr>
          <w:rStyle w:val="HTMLCode"/>
        </w:rPr>
        <w:t>\Delta_{\mathrm{rep}}=\Delta_{F}\left(Z_{1},Z_{2}\right)\qquad\text{(3.5769)}</w:t>
      </w:r>
    </w:p>
    <w:p w:rsidR="00355D35" w:rsidRPr="00AF32B2" w:rsidRDefault="00355D35" w:rsidP="00AF32B2">
      <w:pPr>
        <w:pStyle w:val="berschrift4"/>
      </w:pPr>
      <w:r w:rsidRPr="00AF32B2">
        <w:t>3.3.33.2 Definition des FRZK-Reproduzierbarkeitssystems</w:t>
      </w:r>
    </w:p>
    <w:p w:rsidR="00355D35" w:rsidRDefault="00355D35" w:rsidP="00355D35">
      <w:pPr>
        <w:pStyle w:val="StandardWeb"/>
      </w:pPr>
      <w:r>
        <w:rPr>
          <w:rStyle w:val="Fett"/>
        </w:rPr>
        <w:t>Definition 3.3.25 – FRZK-Reproduzierbarkeitssystem</w:t>
      </w:r>
    </w:p>
    <w:p w:rsidR="00355D35" w:rsidRDefault="00355D35" w:rsidP="00355D35">
      <w:pPr>
        <w:pStyle w:val="StandardWeb"/>
      </w:pPr>
      <w:r>
        <w:t>Ein FRZK-Reproduzierbarkeitssystem ist das geordnete Tupel</w:t>
      </w:r>
    </w:p>
    <w:p w:rsidR="00355D35" w:rsidRDefault="00355D35" w:rsidP="00355D35">
      <w:pPr>
        <w:pStyle w:val="berschrift1"/>
      </w:pPr>
      <w:r>
        <w:t>[</w:t>
      </w:r>
      <w:r>
        <w:br/>
        <w:t>\mathfrak{R}_{F}^{\mathrm{rep}}</w:t>
      </w:r>
    </w:p>
    <w:p w:rsidR="00355D35" w:rsidRDefault="00355D35" w:rsidP="00355D35">
      <w:pPr>
        <w:pStyle w:val="StandardWeb"/>
      </w:pPr>
      <w:r>
        <w:t>\left(</w:t>
      </w:r>
      <w:r>
        <w:br/>
        <w:t>\mathcal{D},</w:t>
      </w:r>
      <w:r>
        <w:br/>
        <w:t>\mathcal{M},</w:t>
      </w:r>
      <w:r>
        <w:br/>
        <w:t>\mathcal{O},</w:t>
      </w:r>
      <w:r>
        <w:br/>
        <w:t>\mathcal{K},</w:t>
      </w:r>
      <w:r>
        <w:br/>
        <w:t>\mathcal{A}</w:t>
      </w:r>
      <w:r>
        <w:rPr>
          <w:rStyle w:val="Hervorhebung"/>
        </w:rPr>
        <w:t>{F},</w:t>
      </w:r>
      <w:r>
        <w:rPr>
          <w:i/>
          <w:iCs/>
        </w:rPr>
        <w:br/>
      </w:r>
      <w:r>
        <w:rPr>
          <w:rStyle w:val="Hervorhebung"/>
        </w:rPr>
        <w:t>\Delta</w:t>
      </w:r>
      <w:r>
        <w:t>{\mathrm{rep}},</w:t>
      </w:r>
      <w:r>
        <w:br/>
        <w:t>\operatorname{Rep}_{F}</w:t>
      </w:r>
      <w:r>
        <w:br/>
        <w:t>\right).</w:t>
      </w:r>
      <w:r>
        <w:br/>
        <w:t>\tag{3.5770}</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\mathfrak{R}_{F}^{\mathrm{rep}}=\left(\mathcal{D},\mathcal{M},\mathcal{O},\mathcal{K},\mathcal{A}_{F},\Delta_{\mathrm{rep}},\operatorname{Rep}_{F}\right)\qquad\text{(3.5770)}</w:t>
      </w:r>
    </w:p>
    <w:p w:rsidR="00355D35" w:rsidRDefault="00355D35" w:rsidP="00355D35">
      <w:pPr>
        <w:pStyle w:val="StandardWeb"/>
      </w:pPr>
      <w:r>
        <w:t>Dabei bezeichnet:</w:t>
      </w:r>
    </w:p>
    <w:p w:rsidR="00355D35" w:rsidRDefault="00355D35" w:rsidP="00632D23">
      <w:pPr>
        <w:pStyle w:val="StandardWeb"/>
        <w:numPr>
          <w:ilvl w:val="0"/>
          <w:numId w:val="213"/>
        </w:numPr>
      </w:pPr>
      <w:r>
        <w:t>(\mathcal{D}) den verwendeten Datenstand,</w:t>
      </w:r>
    </w:p>
    <w:p w:rsidR="00355D35" w:rsidRDefault="00355D35" w:rsidP="00632D23">
      <w:pPr>
        <w:pStyle w:val="StandardWeb"/>
        <w:numPr>
          <w:ilvl w:val="0"/>
          <w:numId w:val="213"/>
        </w:numPr>
      </w:pPr>
      <w:r>
        <w:t>(\mathcal{M}) den Modellstand,</w:t>
      </w:r>
    </w:p>
    <w:p w:rsidR="00355D35" w:rsidRDefault="00355D35" w:rsidP="00632D23">
      <w:pPr>
        <w:pStyle w:val="StandardWeb"/>
        <w:numPr>
          <w:ilvl w:val="0"/>
          <w:numId w:val="213"/>
        </w:numPr>
      </w:pPr>
      <w:r>
        <w:t>(\mathcal{O}) die Operationalisierung,</w:t>
      </w:r>
    </w:p>
    <w:p w:rsidR="00355D35" w:rsidRDefault="00355D35" w:rsidP="00632D23">
      <w:pPr>
        <w:pStyle w:val="StandardWeb"/>
        <w:numPr>
          <w:ilvl w:val="0"/>
          <w:numId w:val="213"/>
        </w:numPr>
      </w:pPr>
      <w:r>
        <w:t>(\mathcal{K}) die technische Konfiguration,</w:t>
      </w:r>
    </w:p>
    <w:p w:rsidR="00355D35" w:rsidRDefault="00355D35" w:rsidP="00632D23">
      <w:pPr>
        <w:pStyle w:val="StandardWeb"/>
        <w:numPr>
          <w:ilvl w:val="0"/>
          <w:numId w:val="213"/>
        </w:numPr>
      </w:pPr>
      <w:r>
        <w:t>(\mathcal{A}_{F}) die vollständige Auswertungskette,</w:t>
      </w:r>
    </w:p>
    <w:p w:rsidR="00355D35" w:rsidRDefault="00355D35" w:rsidP="00632D23">
      <w:pPr>
        <w:pStyle w:val="StandardWeb"/>
        <w:numPr>
          <w:ilvl w:val="0"/>
          <w:numId w:val="213"/>
        </w:numPr>
      </w:pPr>
      <w:r>
        <w:t>(\Delta_{\mathrm{rep}}) das Ergebnisabweichungsmaß,</w:t>
      </w:r>
    </w:p>
    <w:p w:rsidR="00355D35" w:rsidRDefault="00355D35" w:rsidP="00632D23">
      <w:pPr>
        <w:pStyle w:val="StandardWeb"/>
        <w:numPr>
          <w:ilvl w:val="0"/>
          <w:numId w:val="213"/>
        </w:numPr>
      </w:pPr>
      <w:r>
        <w:t>(\operatorname{Rep}_{F}) das Reproduzierbarkeitsprädikat.</w:t>
      </w:r>
    </w:p>
    <w:p w:rsidR="00355D35" w:rsidRDefault="00355D35" w:rsidP="00355D35">
      <w:pPr>
        <w:pStyle w:val="StandardWeb"/>
      </w:pPr>
      <w:r>
        <w:t>Das Reproduzierbarkeitsprädikat lautet</w:t>
      </w:r>
    </w:p>
    <w:p w:rsidR="00355D35" w:rsidRDefault="00355D35" w:rsidP="00355D35">
      <w:pPr>
        <w:pStyle w:val="StandardWeb"/>
      </w:pPr>
      <w:r>
        <w:t>[</w:t>
      </w:r>
      <w:r>
        <w:br/>
        <w:t>\operatorname{Rep}</w:t>
      </w:r>
      <w:r>
        <w:rPr>
          <w:rStyle w:val="Hervorhebung"/>
        </w:rPr>
        <w:t>{F}:</w:t>
      </w:r>
      <w:r>
        <w:rPr>
          <w:i/>
          <w:iCs/>
        </w:rPr>
        <w:br/>
      </w:r>
      <w:r>
        <w:rPr>
          <w:rStyle w:val="Hervorhebung"/>
        </w:rPr>
        <w:t>\mathfrak{R}</w:t>
      </w:r>
      <w:r>
        <w:t>{F}^{\mathrm{rep}}</w:t>
      </w:r>
      <w:r>
        <w:br/>
        <w:t>\rightarrow</w:t>
      </w:r>
      <w:r>
        <w:br/>
        <w:t>{0,1}.</w:t>
      </w:r>
      <w:r>
        <w:br/>
        <w:t>\tag{3.5771}</w:t>
      </w:r>
      <w:r>
        <w:br/>
        <w:t>]</w:t>
      </w:r>
    </w:p>
    <w:p w:rsidR="00355D35" w:rsidRDefault="00355D35" w:rsidP="00355D35">
      <w:pPr>
        <w:pStyle w:val="StandardWeb"/>
      </w:pPr>
      <w:r>
        <w:rPr>
          <w:rStyle w:val="Fett"/>
        </w:rPr>
        <w:lastRenderedPageBreak/>
        <w:t>Word-LaTeX</w:t>
      </w:r>
    </w:p>
    <w:p w:rsidR="00355D35" w:rsidRDefault="00355D35" w:rsidP="00355D35">
      <w:pPr>
        <w:pStyle w:val="HTMLVorformatiert"/>
        <w:rPr>
          <w:rStyle w:val="HTMLCode"/>
        </w:rPr>
      </w:pPr>
      <w:r>
        <w:rPr>
          <w:rStyle w:val="HTMLCode"/>
        </w:rPr>
        <w:t>\operatorname{Rep}_{F}:\mathfrak{R}_{F}^{\mathrm{rep}}\rightarrow\{0,1\}\qquad\text{(3.5771)}</w:t>
      </w:r>
    </w:p>
    <w:p w:rsidR="00355D35" w:rsidRDefault="00355D35" w:rsidP="00355D35">
      <w:pPr>
        <w:pStyle w:val="StandardWeb"/>
      </w:pPr>
      <w:r>
        <w:t>Für eine reproduzierbare Auswertung gilt</w:t>
      </w:r>
    </w:p>
    <w:p w:rsidR="00355D35" w:rsidRDefault="00355D35" w:rsidP="00355D35">
      <w:pPr>
        <w:pStyle w:val="berschrift1"/>
      </w:pPr>
      <w:r>
        <w:t>[</w:t>
      </w:r>
      <w:r>
        <w:br/>
        <w:t>\operatorname{Rep}</w:t>
      </w:r>
      <w:r>
        <w:rPr>
          <w:rStyle w:val="Hervorhebung"/>
        </w:rPr>
        <w:t>{F}</w:t>
      </w:r>
      <w:r>
        <w:rPr>
          <w:i/>
          <w:iCs/>
        </w:rPr>
        <w:br/>
      </w:r>
      <w:r>
        <w:rPr>
          <w:rStyle w:val="Hervorhebung"/>
        </w:rPr>
        <w:t>\left(</w:t>
      </w:r>
      <w:r>
        <w:rPr>
          <w:i/>
          <w:iCs/>
        </w:rPr>
        <w:br/>
      </w:r>
      <w:r>
        <w:rPr>
          <w:rStyle w:val="Hervorhebung"/>
        </w:rPr>
        <w:t>\mathfrak{R}</w:t>
      </w:r>
      <w:r>
        <w:t>{F}^{\mathrm{rep}}</w:t>
      </w:r>
      <w:r>
        <w:br/>
        <w:t>\right)</w:t>
      </w:r>
    </w:p>
    <w:p w:rsidR="00355D35" w:rsidRDefault="00355D35" w:rsidP="00632D23">
      <w:pPr>
        <w:numPr>
          <w:ilvl w:val="0"/>
          <w:numId w:val="214"/>
        </w:numPr>
        <w:spacing w:before="100" w:beforeAutospacing="1" w:after="100" w:afterAutospacing="1"/>
      </w:pPr>
    </w:p>
    <w:p w:rsidR="00355D35" w:rsidRDefault="00355D35" w:rsidP="00355D35">
      <w:pPr>
        <w:pStyle w:val="StandardWeb"/>
      </w:pPr>
      <w:r>
        <w:t>\tag{3.5772}</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\operatorname{Rep}_{F}\left(\mathfrak{R}_{F}^{\mathrm{rep}}\right)=1\qquad\text{(3.5772)}</w:t>
      </w:r>
    </w:p>
    <w:p w:rsidR="00355D35" w:rsidRPr="00AF32B2" w:rsidRDefault="00355D35" w:rsidP="00AF32B2">
      <w:pPr>
        <w:pStyle w:val="berschrift4"/>
      </w:pPr>
      <w:r w:rsidRPr="00AF32B2">
        <w:t>3.3.33.3 Exakte rechnerische Reproduzierbarkeit</w:t>
      </w:r>
    </w:p>
    <w:p w:rsidR="00355D35" w:rsidRDefault="00355D35" w:rsidP="00355D35">
      <w:pPr>
        <w:pStyle w:val="StandardWeb"/>
      </w:pPr>
      <w:r>
        <w:t>Exakte rechnerische Reproduzierbarkeit liegt vor, wenn dieselben Eingaben unter derselben Konfiguration dasselbe Ergebnis erzeugen:</w:t>
      </w:r>
    </w:p>
    <w:p w:rsidR="00355D35" w:rsidRDefault="00355D35" w:rsidP="00355D35">
      <w:pPr>
        <w:pStyle w:val="berschrift1"/>
      </w:pPr>
      <w:r>
        <w:t>[</w:t>
      </w:r>
      <w:r>
        <w:br/>
        <w:t>\mathcal{D}_{2}</w:t>
      </w:r>
    </w:p>
    <w:p w:rsidR="00355D35" w:rsidRDefault="00355D35" w:rsidP="00355D35">
      <w:pPr>
        <w:pStyle w:val="StandardWeb"/>
      </w:pPr>
      <w:r>
        <w:t>\mathcal{D}_{1},</w:t>
      </w:r>
      <w:r>
        <w:br/>
        <w:t>\tag{3.5773}</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\mathcal{D}_{2}=\mathcal{D}_{1}\qquad\text{(3.5773)}</w:t>
      </w:r>
    </w:p>
    <w:p w:rsidR="00355D35" w:rsidRDefault="00355D35" w:rsidP="00355D35">
      <w:pPr>
        <w:pStyle w:val="berschrift1"/>
      </w:pPr>
      <w:r>
        <w:t>[</w:t>
      </w:r>
      <w:r>
        <w:br/>
        <w:t>\mathcal{M}_{2}</w:t>
      </w:r>
    </w:p>
    <w:p w:rsidR="00355D35" w:rsidRDefault="00355D35" w:rsidP="00355D35">
      <w:pPr>
        <w:pStyle w:val="StandardWeb"/>
      </w:pPr>
      <w:r>
        <w:t>\mathcal{M}_{1},</w:t>
      </w:r>
      <w:r>
        <w:br/>
        <w:t>\tag{3.5774}</w:t>
      </w:r>
      <w:r>
        <w:br/>
        <w:t>]</w:t>
      </w:r>
    </w:p>
    <w:p w:rsidR="00355D35" w:rsidRDefault="00355D35" w:rsidP="00355D35">
      <w:pPr>
        <w:pStyle w:val="StandardWeb"/>
      </w:pPr>
      <w:r>
        <w:rPr>
          <w:rStyle w:val="Fett"/>
        </w:rPr>
        <w:lastRenderedPageBreak/>
        <w:t>Word-LaTeX</w:t>
      </w:r>
    </w:p>
    <w:p w:rsidR="00355D35" w:rsidRDefault="00355D35" w:rsidP="00355D35">
      <w:pPr>
        <w:pStyle w:val="HTMLVorformatiert"/>
        <w:rPr>
          <w:rStyle w:val="HTMLCode"/>
        </w:rPr>
      </w:pPr>
      <w:r>
        <w:rPr>
          <w:rStyle w:val="HTMLCode"/>
        </w:rPr>
        <w:t>\mathcal{M}_{2}=\mathcal{M}_{1}\qquad\text{(3.5774)}</w:t>
      </w:r>
    </w:p>
    <w:p w:rsidR="00355D35" w:rsidRDefault="00355D35" w:rsidP="00355D35">
      <w:pPr>
        <w:pStyle w:val="berschrift1"/>
      </w:pPr>
      <w:r>
        <w:t>[</w:t>
      </w:r>
      <w:r>
        <w:br/>
        <w:t>\mathcal{O}_{2}</w:t>
      </w:r>
    </w:p>
    <w:p w:rsidR="00355D35" w:rsidRDefault="00355D35" w:rsidP="00355D35">
      <w:pPr>
        <w:pStyle w:val="StandardWeb"/>
      </w:pPr>
      <w:r>
        <w:t>\mathcal{O}_{1}</w:t>
      </w:r>
      <w:r>
        <w:br/>
        <w:t>\tag{3.5775}</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\mathcal{O}_{2}=\mathcal{O}_{1}\qquad\text{(3.5775)}</w:t>
      </w:r>
    </w:p>
    <w:p w:rsidR="00355D35" w:rsidRDefault="00355D35" w:rsidP="00355D35">
      <w:pPr>
        <w:pStyle w:val="StandardWeb"/>
      </w:pPr>
      <w:r>
        <w:t>und</w:t>
      </w:r>
    </w:p>
    <w:p w:rsidR="00355D35" w:rsidRDefault="00355D35" w:rsidP="00355D35">
      <w:pPr>
        <w:pStyle w:val="berschrift1"/>
      </w:pPr>
      <w:r>
        <w:t>[</w:t>
      </w:r>
      <w:r>
        <w:br/>
        <w:t>\mathcal{K}_{2}</w:t>
      </w:r>
    </w:p>
    <w:p w:rsidR="00355D35" w:rsidRDefault="00355D35" w:rsidP="00355D35">
      <w:pPr>
        <w:pStyle w:val="StandardWeb"/>
      </w:pPr>
      <w:r>
        <w:t>\mathcal{K}_{1}.</w:t>
      </w:r>
      <w:r>
        <w:br/>
        <w:t>\tag{3.5776}</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\mathcal{K}_{2}=\mathcal{K}_{1}\qquad\text{(3.5776)}</w:t>
      </w:r>
    </w:p>
    <w:p w:rsidR="00355D35" w:rsidRDefault="00355D35" w:rsidP="00355D35">
      <w:pPr>
        <w:pStyle w:val="StandardWeb"/>
      </w:pPr>
      <w:r>
        <w:t>Dann wird gefordert:</w:t>
      </w:r>
    </w:p>
    <w:p w:rsidR="00355D35" w:rsidRDefault="00355D35" w:rsidP="00355D35">
      <w:pPr>
        <w:pStyle w:val="berschrift1"/>
      </w:pPr>
      <w:r>
        <w:t>[</w:t>
      </w:r>
      <w:r>
        <w:br/>
        <w:t>Z_{2}</w:t>
      </w:r>
    </w:p>
    <w:p w:rsidR="00355D35" w:rsidRDefault="00355D35" w:rsidP="00355D35">
      <w:pPr>
        <w:pStyle w:val="StandardWeb"/>
      </w:pPr>
      <w:r>
        <w:t>Z_{1}.</w:t>
      </w:r>
      <w:r>
        <w:br/>
        <w:t>\tag{3.5777}</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Z_{2}=Z_{1}\qquad\text{(3.5777)}</w:t>
      </w:r>
    </w:p>
    <w:p w:rsidR="00355D35" w:rsidRDefault="00355D35" w:rsidP="00355D35">
      <w:pPr>
        <w:pStyle w:val="StandardWeb"/>
      </w:pPr>
      <w:r>
        <w:t>Die Ergebnisabweichung ist in diesem Fall</w:t>
      </w:r>
    </w:p>
    <w:p w:rsidR="00355D35" w:rsidRDefault="00355D35" w:rsidP="00355D35">
      <w:pPr>
        <w:pStyle w:val="berschrift1"/>
      </w:pPr>
      <w:r>
        <w:t>[</w:t>
      </w:r>
      <w:r>
        <w:br/>
        <w:t>\Delta_{\mathrm{rep}}</w:t>
      </w:r>
    </w:p>
    <w:p w:rsidR="00355D35" w:rsidRDefault="00355D35" w:rsidP="00632D23">
      <w:pPr>
        <w:numPr>
          <w:ilvl w:val="0"/>
          <w:numId w:val="215"/>
        </w:numPr>
        <w:spacing w:before="100" w:beforeAutospacing="1" w:after="100" w:afterAutospacing="1"/>
      </w:pPr>
    </w:p>
    <w:p w:rsidR="00355D35" w:rsidRDefault="00355D35" w:rsidP="00355D35">
      <w:pPr>
        <w:pStyle w:val="StandardWeb"/>
      </w:pPr>
      <w:r>
        <w:t>\tag{3.5778}</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\Delta_{\mathrm{rep}}=0\qquad\text{(3.5778)}</w:t>
      </w:r>
    </w:p>
    <w:p w:rsidR="00355D35" w:rsidRPr="00AF32B2" w:rsidRDefault="00355D35" w:rsidP="00AF32B2">
      <w:pPr>
        <w:pStyle w:val="berschrift4"/>
      </w:pPr>
      <w:r w:rsidRPr="00AF32B2">
        <w:t>3.3.33.4 Numerisch tolerierte Reproduzierbarkeit</w:t>
      </w:r>
    </w:p>
    <w:p w:rsidR="00355D35" w:rsidRDefault="00355D35" w:rsidP="00355D35">
      <w:pPr>
        <w:pStyle w:val="StandardWeb"/>
      </w:pPr>
      <w:r>
        <w:t>Bei Gleitkommaoperationen, parallelen Verfahren oder unterschiedlichen Hardwareplattformen kann eine bitweise identische Ausgabe nicht immer verlangt werden.</w:t>
      </w:r>
    </w:p>
    <w:p w:rsidR="00355D35" w:rsidRDefault="00355D35" w:rsidP="00355D35">
      <w:pPr>
        <w:pStyle w:val="StandardWeb"/>
      </w:pPr>
      <w:r>
        <w:t>Numerisch tolerierte Reproduzierbarkeit liegt vor, wenn</w:t>
      </w:r>
    </w:p>
    <w:p w:rsidR="00355D35" w:rsidRDefault="00355D35" w:rsidP="00355D35">
      <w:pPr>
        <w:pStyle w:val="StandardWeb"/>
      </w:pPr>
      <w:r>
        <w:t>[</w:t>
      </w:r>
      <w:r>
        <w:br/>
        <w:t>\Delta_{F}</w:t>
      </w:r>
      <w:r>
        <w:br/>
        <w:t>\left(</w:t>
      </w:r>
      <w:r>
        <w:br/>
        <w:t>Z_{1},</w:t>
      </w:r>
      <w:r>
        <w:br/>
        <w:t>Z_{2}</w:t>
      </w:r>
      <w:r>
        <w:br/>
        <w:t>\right)</w:t>
      </w:r>
      <w:r>
        <w:br/>
        <w:t>\leq</w:t>
      </w:r>
      <w:r>
        <w:br/>
        <w:t>\varepsilon_{\mathrm{num}}.</w:t>
      </w:r>
      <w:r>
        <w:br/>
        <w:t>\tag{3.5779}</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\Delta_{F}\left(Z_{1},Z_{2}\right)\leq\varepsilon_{\mathrm{num}}\qquad\text{(3.5779)}</w:t>
      </w:r>
    </w:p>
    <w:p w:rsidR="00355D35" w:rsidRDefault="00355D35" w:rsidP="00355D35">
      <w:pPr>
        <w:pStyle w:val="StandardWeb"/>
      </w:pPr>
      <w:r>
        <w:t>Die Toleranz (\varepsilon_{\mathrm{num}}) muss vor der Wiederholung festgelegt oder aus der numerischen Fehleranalyse abgeleitet werden.</w:t>
      </w:r>
    </w:p>
    <w:p w:rsidR="00355D35" w:rsidRDefault="00355D35" w:rsidP="00355D35">
      <w:pPr>
        <w:pStyle w:val="StandardWeb"/>
      </w:pPr>
      <w:r>
        <w:t>Eine nachträglich an das Ergebnis angepasste Toleranz wäre methodisch unzulässig.</w:t>
      </w:r>
    </w:p>
    <w:p w:rsidR="00355D35" w:rsidRPr="00AF32B2" w:rsidRDefault="00355D35" w:rsidP="00AF32B2">
      <w:pPr>
        <w:pStyle w:val="berschrift4"/>
      </w:pPr>
      <w:r w:rsidRPr="00AF32B2">
        <w:t>3.3.33.5 Datenidentität</w:t>
      </w:r>
    </w:p>
    <w:p w:rsidR="00355D35" w:rsidRDefault="00355D35" w:rsidP="00355D35">
      <w:pPr>
        <w:pStyle w:val="StandardWeb"/>
      </w:pPr>
      <w:r>
        <w:t>Ein Datenstand kann durch eine kryptographische Prüfsumme repräsentiert werden:</w:t>
      </w:r>
    </w:p>
    <w:p w:rsidR="00355D35" w:rsidRDefault="00355D35" w:rsidP="00355D35">
      <w:pPr>
        <w:pStyle w:val="berschrift1"/>
      </w:pPr>
      <w:r>
        <w:t>[</w:t>
      </w:r>
      <w:r>
        <w:br/>
        <w:t>h_{\mathcal{D}}</w:t>
      </w:r>
    </w:p>
    <w:p w:rsidR="00355D35" w:rsidRDefault="00355D35" w:rsidP="00355D35">
      <w:pPr>
        <w:pStyle w:val="StandardWeb"/>
      </w:pPr>
      <w:r>
        <w:t>H</w:t>
      </w:r>
      <w:r>
        <w:br/>
        <w:t>\left(</w:t>
      </w:r>
      <w:r>
        <w:br/>
        <w:t>\mathcal{D}</w:t>
      </w:r>
      <w:r>
        <w:br/>
        <w:t>\right).</w:t>
      </w:r>
      <w:r>
        <w:br/>
        <w:t>\tag{3.5780}</w:t>
      </w:r>
      <w:r>
        <w:br/>
        <w:t>]</w:t>
      </w:r>
    </w:p>
    <w:p w:rsidR="00355D35" w:rsidRDefault="00355D35" w:rsidP="00355D35">
      <w:pPr>
        <w:pStyle w:val="StandardWeb"/>
      </w:pPr>
      <w:r>
        <w:rPr>
          <w:rStyle w:val="Fett"/>
        </w:rPr>
        <w:lastRenderedPageBreak/>
        <w:t>Word-LaTeX</w:t>
      </w:r>
    </w:p>
    <w:p w:rsidR="00355D35" w:rsidRDefault="00355D35" w:rsidP="00355D35">
      <w:pPr>
        <w:pStyle w:val="HTMLVorformatiert"/>
        <w:rPr>
          <w:rStyle w:val="HTMLCode"/>
        </w:rPr>
      </w:pPr>
      <w:r>
        <w:rPr>
          <w:rStyle w:val="HTMLCode"/>
        </w:rPr>
        <w:t>h_{\mathcal{D}}=H\left(\mathcal{D}\right)\qquad\text{(3.5780)}</w:t>
      </w:r>
    </w:p>
    <w:p w:rsidR="00355D35" w:rsidRDefault="00355D35" w:rsidP="00355D35">
      <w:pPr>
        <w:pStyle w:val="StandardWeb"/>
      </w:pPr>
      <w:r>
        <w:t>Datenidentität liegt vor, wenn</w:t>
      </w:r>
    </w:p>
    <w:p w:rsidR="00355D35" w:rsidRDefault="00355D35" w:rsidP="00355D35">
      <w:pPr>
        <w:pStyle w:val="berschrift1"/>
      </w:pPr>
      <w:r>
        <w:t>[</w:t>
      </w:r>
      <w:r>
        <w:br/>
        <w:t>H</w:t>
      </w:r>
      <w:r>
        <w:br/>
        <w:t>\left(</w:t>
      </w:r>
      <w:r>
        <w:br/>
        <w:t>\mathcal{D}_{1}</w:t>
      </w:r>
      <w:r>
        <w:br/>
        <w:t>\right)</w:t>
      </w:r>
    </w:p>
    <w:p w:rsidR="00355D35" w:rsidRDefault="00355D35" w:rsidP="00355D35">
      <w:pPr>
        <w:pStyle w:val="StandardWeb"/>
      </w:pPr>
      <w:r>
        <w:t>H</w:t>
      </w:r>
      <w:r>
        <w:br/>
        <w:t>\left(</w:t>
      </w:r>
      <w:r>
        <w:br/>
        <w:t>\mathcal{D}_{2}</w:t>
      </w:r>
      <w:r>
        <w:br/>
        <w:t>\right).</w:t>
      </w:r>
      <w:r>
        <w:br/>
        <w:t>\tag{3.5781}</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H\left(\mathcal{D}_{1}\right)=H\left(\mathcal{D}_{2}\right)\qquad\text{(3.5781)}</w:t>
      </w:r>
    </w:p>
    <w:p w:rsidR="00355D35" w:rsidRDefault="00355D35" w:rsidP="00355D35">
      <w:pPr>
        <w:pStyle w:val="StandardWeb"/>
      </w:pPr>
      <w:r>
        <w:t>Eine identische Prüfsumme stützt die technische Identität des gespeicherten Datenbestands. Sie beweist jedoch nicht, dass die Daten wissenschaftlich korrekt erhoben oder interpretiert wurden.</w:t>
      </w:r>
    </w:p>
    <w:p w:rsidR="00355D35" w:rsidRPr="00AF32B2" w:rsidRDefault="00355D35" w:rsidP="00AF32B2">
      <w:pPr>
        <w:pStyle w:val="berschrift4"/>
      </w:pPr>
      <w:r w:rsidRPr="00AF32B2">
        <w:t>3.3.33.6 Modellidentität</w:t>
      </w:r>
    </w:p>
    <w:p w:rsidR="00355D35" w:rsidRDefault="00355D35" w:rsidP="00355D35">
      <w:pPr>
        <w:pStyle w:val="StandardWeb"/>
      </w:pPr>
      <w:r>
        <w:t>Der Modellstand kann durch</w:t>
      </w:r>
    </w:p>
    <w:p w:rsidR="00355D35" w:rsidRDefault="00355D35" w:rsidP="00355D35">
      <w:pPr>
        <w:pStyle w:val="berschrift1"/>
      </w:pPr>
      <w:r>
        <w:t>[</w:t>
      </w:r>
      <w:r>
        <w:br/>
        <w:t>h_{\mathcal{M}}</w:t>
      </w:r>
    </w:p>
    <w:p w:rsidR="00355D35" w:rsidRDefault="00355D35" w:rsidP="00355D35">
      <w:pPr>
        <w:pStyle w:val="StandardWeb"/>
      </w:pPr>
      <w:r>
        <w:t>H</w:t>
      </w:r>
      <w:r>
        <w:br/>
        <w:t>\left(</w:t>
      </w:r>
      <w:r>
        <w:br/>
        <w:t>\mathcal{M}</w:t>
      </w:r>
      <w:r>
        <w:br/>
        <w:t>\right)</w:t>
      </w:r>
      <w:r>
        <w:br/>
        <w:t>\tag{3.5782}</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h_{\mathcal{M}}=H\left(\mathcal{M}\right)\qquad\text{(3.5782)}</w:t>
      </w:r>
    </w:p>
    <w:p w:rsidR="00355D35" w:rsidRDefault="00355D35" w:rsidP="00355D35">
      <w:pPr>
        <w:pStyle w:val="StandardWeb"/>
      </w:pPr>
      <w:r>
        <w:lastRenderedPageBreak/>
        <w:t>repräsentiert werden.</w:t>
      </w:r>
    </w:p>
    <w:p w:rsidR="00355D35" w:rsidRDefault="00355D35" w:rsidP="00355D35">
      <w:pPr>
        <w:pStyle w:val="StandardWeb"/>
      </w:pPr>
      <w:r>
        <w:t>Modellidentität verlangt</w:t>
      </w:r>
    </w:p>
    <w:p w:rsidR="00355D35" w:rsidRDefault="00355D35" w:rsidP="00355D35">
      <w:pPr>
        <w:pStyle w:val="berschrift1"/>
      </w:pPr>
      <w:r>
        <w:t>[</w:t>
      </w:r>
      <w:r>
        <w:br/>
        <w:t>H</w:t>
      </w:r>
      <w:r>
        <w:br/>
        <w:t>\left(</w:t>
      </w:r>
      <w:r>
        <w:br/>
        <w:t>\mathcal{M}_{1}</w:t>
      </w:r>
      <w:r>
        <w:br/>
        <w:t>\right)</w:t>
      </w:r>
    </w:p>
    <w:p w:rsidR="00355D35" w:rsidRDefault="00355D35" w:rsidP="00355D35">
      <w:pPr>
        <w:pStyle w:val="StandardWeb"/>
      </w:pPr>
      <w:r>
        <w:t>H</w:t>
      </w:r>
      <w:r>
        <w:br/>
        <w:t>\left(</w:t>
      </w:r>
      <w:r>
        <w:br/>
        <w:t>\mathcal{M}_{2}</w:t>
      </w:r>
      <w:r>
        <w:br/>
        <w:t>\right).</w:t>
      </w:r>
      <w:r>
        <w:br/>
        <w:t>\tag{3.5783}</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H\left(\mathcal{M}_{1}\right)=H\left(\mathcal{M}_{2}\right)\qquad\text{(3.5783)}</w:t>
      </w:r>
    </w:p>
    <w:p w:rsidR="00355D35" w:rsidRDefault="00355D35" w:rsidP="00355D35">
      <w:pPr>
        <w:pStyle w:val="StandardWeb"/>
      </w:pPr>
      <w:r>
        <w:t>Zum Modellstand gehören insbesondere:</w:t>
      </w:r>
    </w:p>
    <w:p w:rsidR="00355D35" w:rsidRDefault="00355D35" w:rsidP="00632D23">
      <w:pPr>
        <w:pStyle w:val="StandardWeb"/>
        <w:numPr>
          <w:ilvl w:val="0"/>
          <w:numId w:val="216"/>
        </w:numPr>
      </w:pPr>
      <w:r>
        <w:t>Modellgleichungen,</w:t>
      </w:r>
    </w:p>
    <w:p w:rsidR="00355D35" w:rsidRDefault="00355D35" w:rsidP="00632D23">
      <w:pPr>
        <w:pStyle w:val="StandardWeb"/>
        <w:numPr>
          <w:ilvl w:val="0"/>
          <w:numId w:val="216"/>
        </w:numPr>
      </w:pPr>
      <w:r>
        <w:t>Parameterdefinitionen,</w:t>
      </w:r>
    </w:p>
    <w:p w:rsidR="00355D35" w:rsidRDefault="00355D35" w:rsidP="00632D23">
      <w:pPr>
        <w:pStyle w:val="StandardWeb"/>
        <w:numPr>
          <w:ilvl w:val="0"/>
          <w:numId w:val="216"/>
        </w:numPr>
      </w:pPr>
      <w:r>
        <w:t>Axiome und Zusatzbedingungen,</w:t>
      </w:r>
    </w:p>
    <w:p w:rsidR="00355D35" w:rsidRDefault="00355D35" w:rsidP="00632D23">
      <w:pPr>
        <w:pStyle w:val="StandardWeb"/>
        <w:numPr>
          <w:ilvl w:val="0"/>
          <w:numId w:val="216"/>
        </w:numPr>
      </w:pPr>
      <w:r>
        <w:t>Entscheidungsregeln,</w:t>
      </w:r>
    </w:p>
    <w:p w:rsidR="00355D35" w:rsidRDefault="00355D35" w:rsidP="00632D23">
      <w:pPr>
        <w:pStyle w:val="StandardWeb"/>
        <w:numPr>
          <w:ilvl w:val="0"/>
          <w:numId w:val="216"/>
        </w:numPr>
      </w:pPr>
      <w:r>
        <w:t>Schwellenwerte,</w:t>
      </w:r>
    </w:p>
    <w:p w:rsidR="00355D35" w:rsidRDefault="00355D35" w:rsidP="00632D23">
      <w:pPr>
        <w:pStyle w:val="StandardWeb"/>
        <w:numPr>
          <w:ilvl w:val="0"/>
          <w:numId w:val="216"/>
        </w:numPr>
      </w:pPr>
      <w:r>
        <w:t>numerische Verfahren.</w:t>
      </w:r>
    </w:p>
    <w:p w:rsidR="00355D35" w:rsidRPr="00AF32B2" w:rsidRDefault="00355D35" w:rsidP="00AF32B2">
      <w:pPr>
        <w:pStyle w:val="berschrift4"/>
      </w:pPr>
      <w:r w:rsidRPr="00AF32B2">
        <w:t>3.3.33.7 Operationalisierungsidentität</w:t>
      </w:r>
    </w:p>
    <w:p w:rsidR="00355D35" w:rsidRDefault="00355D35" w:rsidP="00355D35">
      <w:pPr>
        <w:pStyle w:val="StandardWeb"/>
      </w:pPr>
      <w:r>
        <w:t>Die Operationalisierung kann als versioniertes Objekt gespeichert werden:</w:t>
      </w:r>
    </w:p>
    <w:p w:rsidR="00355D35" w:rsidRDefault="00355D35" w:rsidP="00355D35">
      <w:pPr>
        <w:pStyle w:val="StandardWeb"/>
      </w:pPr>
      <w:r>
        <w:t>[</w:t>
      </w:r>
      <w:r>
        <w:br/>
        <w:t>\mathcal{O}_{F}^{[v]}.</w:t>
      </w:r>
      <w:r>
        <w:br/>
        <w:t>\tag{3.5784}</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\mathcal{O}_{F}^{[v]}\qquad\text{(3.5784)}</w:t>
      </w:r>
    </w:p>
    <w:p w:rsidR="00355D35" w:rsidRDefault="00355D35" w:rsidP="00355D35">
      <w:pPr>
        <w:pStyle w:val="StandardWeb"/>
      </w:pPr>
      <w:r>
        <w:t>Für eine technisch reproduzierbare Auswertung wird gefordert:</w:t>
      </w:r>
    </w:p>
    <w:p w:rsidR="00355D35" w:rsidRDefault="00355D35" w:rsidP="00355D35">
      <w:pPr>
        <w:pStyle w:val="berschrift1"/>
      </w:pPr>
      <w:r>
        <w:lastRenderedPageBreak/>
        <w:t>[</w:t>
      </w:r>
      <w:r>
        <w:br/>
        <w:t>\mathcal{O}_{F}^{[v_1]}</w:t>
      </w:r>
    </w:p>
    <w:p w:rsidR="00355D35" w:rsidRDefault="00355D35" w:rsidP="00355D35">
      <w:pPr>
        <w:pStyle w:val="StandardWeb"/>
      </w:pPr>
      <w:r>
        <w:t>\mathcal{O}_{F}^{[v_2]}.</w:t>
      </w:r>
      <w:r>
        <w:br/>
        <w:t>\tag{3.5785}</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\mathcal{O}_{F}^{[v_1]}=\mathcal{O}_{F}^{[v_2]}\qquad\text{(3.5785)}</w:t>
      </w:r>
    </w:p>
    <w:p w:rsidR="00355D35" w:rsidRDefault="00355D35" w:rsidP="00355D35">
      <w:pPr>
        <w:pStyle w:val="StandardWeb"/>
      </w:pPr>
      <w:r>
        <w:t>Eine Änderung der Operationalisierung erzeugt eine methodisch neue Auswertung, selbst wenn derselbe Datensatz verwendet wird.</w:t>
      </w:r>
    </w:p>
    <w:p w:rsidR="00355D35" w:rsidRPr="00AF32B2" w:rsidRDefault="00355D35" w:rsidP="00AF32B2">
      <w:pPr>
        <w:pStyle w:val="berschrift4"/>
      </w:pPr>
      <w:r w:rsidRPr="00AF32B2">
        <w:t>3.3.33.8 Konfigurationsidentität</w:t>
      </w:r>
    </w:p>
    <w:p w:rsidR="00355D35" w:rsidRDefault="00355D35" w:rsidP="00355D35">
      <w:pPr>
        <w:pStyle w:val="StandardWeb"/>
      </w:pPr>
      <w:r>
        <w:t>Die technische Konfiguration lautet</w:t>
      </w:r>
    </w:p>
    <w:p w:rsidR="00355D35" w:rsidRDefault="00355D35" w:rsidP="00355D35">
      <w:pPr>
        <w:pStyle w:val="berschrift1"/>
      </w:pPr>
      <w:r>
        <w:t>[</w:t>
      </w:r>
      <w:r>
        <w:br/>
        <w:t>\mathcal{K}</w:t>
      </w:r>
    </w:p>
    <w:p w:rsidR="00355D35" w:rsidRDefault="00355D35" w:rsidP="00355D35">
      <w:pPr>
        <w:pStyle w:val="StandardWeb"/>
      </w:pPr>
      <w:r>
        <w:t>\left(</w:t>
      </w:r>
      <w:r>
        <w:br/>
        <w:t>V_{\mathrm{software}},</w:t>
      </w:r>
      <w:r>
        <w:br/>
        <w:t>V_{\mathrm{bibliotheken}},</w:t>
      </w:r>
      <w:r>
        <w:br/>
        <w:t>V_{\mathrm{datenbank}},</w:t>
      </w:r>
      <w:r>
        <w:br/>
        <w:t>V_{\mathrm{betriebssystem}},</w:t>
      </w:r>
      <w:r>
        <w:br/>
        <w:t>V_{\mathrm{hardware}},</w:t>
      </w:r>
      <w:r>
        <w:br/>
        <w:t>S_{\mathrm{zufall}}</w:t>
      </w:r>
      <w:r>
        <w:br/>
        <w:t>\right).</w:t>
      </w:r>
      <w:r>
        <w:br/>
        <w:t>\tag{3.5786}</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\mathcal{K}=\left(V_{\mathrm{software}},V_{\mathrm{bibliotheken}},V_{\mathrm{datenbank}},V_{\mathrm{betriebssystem}},V_{\mathrm{hardware}},S_{\mathrm{zufall}}\right)\qquad\text{(3.5786)}</w:t>
      </w:r>
    </w:p>
    <w:p w:rsidR="00355D35" w:rsidRDefault="00355D35" w:rsidP="00355D35">
      <w:pPr>
        <w:pStyle w:val="StandardWeb"/>
      </w:pPr>
      <w:r>
        <w:t>Dabei bezeichnet (S_{\mathrm{zufall}}) den verwendeten Zufallszustand.</w:t>
      </w:r>
    </w:p>
    <w:p w:rsidR="00355D35" w:rsidRDefault="00355D35" w:rsidP="00355D35">
      <w:pPr>
        <w:pStyle w:val="StandardWeb"/>
      </w:pPr>
      <w:r>
        <w:t>Eine reproduzierbare Konfiguration verlangt mindestens</w:t>
      </w:r>
    </w:p>
    <w:p w:rsidR="00355D35" w:rsidRDefault="00355D35" w:rsidP="00355D35">
      <w:pPr>
        <w:pStyle w:val="berschrift1"/>
      </w:pPr>
      <w:r>
        <w:t>[</w:t>
      </w:r>
      <w:r>
        <w:br/>
        <w:t>V_{\mathrm{software}}^{(1)}</w:t>
      </w:r>
    </w:p>
    <w:p w:rsidR="00355D35" w:rsidRDefault="00355D35" w:rsidP="00355D35">
      <w:pPr>
        <w:pStyle w:val="StandardWeb"/>
      </w:pPr>
      <w:r>
        <w:lastRenderedPageBreak/>
        <w:t>V_{\mathrm{software}}^{(2)}</w:t>
      </w:r>
      <w:r>
        <w:br/>
        <w:t>\tag{3.5787}</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V_{\mathrm{software}}^{(1)}=V_{\mathrm{software}}^{(2)}\qquad\text{(3.5787)}</w:t>
      </w:r>
    </w:p>
    <w:p w:rsidR="00355D35" w:rsidRDefault="00355D35" w:rsidP="00355D35">
      <w:pPr>
        <w:pStyle w:val="StandardWeb"/>
      </w:pPr>
      <w:r>
        <w:t>und</w:t>
      </w:r>
    </w:p>
    <w:p w:rsidR="00355D35" w:rsidRDefault="00355D35" w:rsidP="00355D35">
      <w:pPr>
        <w:pStyle w:val="berschrift1"/>
      </w:pPr>
      <w:r>
        <w:t>[</w:t>
      </w:r>
      <w:r>
        <w:br/>
        <w:t>V_{\mathrm{bibliotheken}}^{(1)}</w:t>
      </w:r>
    </w:p>
    <w:p w:rsidR="00355D35" w:rsidRDefault="00355D35" w:rsidP="00355D35">
      <w:pPr>
        <w:pStyle w:val="StandardWeb"/>
      </w:pPr>
      <w:r>
        <w:t>V_{\mathrm{bibliotheken}}^{(2)}.</w:t>
      </w:r>
      <w:r>
        <w:br/>
        <w:t>\tag{3.5788}</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V_{\mathrm{bibliotheken}}^{(1)}=V_{\mathrm{bibliotheken}}^{(2)}\qquad\text{(3.5788)}</w:t>
      </w:r>
    </w:p>
    <w:p w:rsidR="00355D35" w:rsidRPr="00AF32B2" w:rsidRDefault="00355D35" w:rsidP="00AF32B2">
      <w:pPr>
        <w:pStyle w:val="berschrift4"/>
      </w:pPr>
      <w:r w:rsidRPr="00AF32B2">
        <w:t>3.3.33.9 Zufallsbasierte Verfahren</w:t>
      </w:r>
    </w:p>
    <w:p w:rsidR="00355D35" w:rsidRDefault="00355D35" w:rsidP="00355D35">
      <w:pPr>
        <w:pStyle w:val="StandardWeb"/>
      </w:pPr>
      <w:r>
        <w:t>Ein stochastischer Algorithmus erzeugt</w:t>
      </w:r>
    </w:p>
    <w:p w:rsidR="00355D35" w:rsidRDefault="00355D35" w:rsidP="00355D35">
      <w:pPr>
        <w:pStyle w:val="berschrift1"/>
      </w:pPr>
      <w:r>
        <w:t>[</w:t>
      </w:r>
      <w:r>
        <w:br/>
        <w:t>Z</w:t>
      </w:r>
    </w:p>
    <w:p w:rsidR="00355D35" w:rsidRDefault="00355D35" w:rsidP="00355D35">
      <w:pPr>
        <w:pStyle w:val="StandardWeb"/>
      </w:pPr>
      <w:r>
        <w:t>\mathcal{A}</w:t>
      </w:r>
      <w:r>
        <w:rPr>
          <w:rStyle w:val="Hervorhebung"/>
        </w:rPr>
        <w:t>{F}</w:t>
      </w:r>
      <w:r>
        <w:rPr>
          <w:i/>
          <w:iCs/>
        </w:rPr>
        <w:br/>
      </w:r>
      <w:r>
        <w:rPr>
          <w:rStyle w:val="Hervorhebung"/>
        </w:rPr>
        <w:t>\left(</w:t>
      </w:r>
      <w:r>
        <w:rPr>
          <w:i/>
          <w:iCs/>
        </w:rPr>
        <w:br/>
      </w:r>
      <w:r>
        <w:rPr>
          <w:rStyle w:val="Hervorhebung"/>
        </w:rPr>
        <w:t>\mathcal{D};</w:t>
      </w:r>
      <w:r>
        <w:rPr>
          <w:i/>
          <w:iCs/>
        </w:rPr>
        <w:br/>
      </w:r>
      <w:r>
        <w:rPr>
          <w:rStyle w:val="Hervorhebung"/>
        </w:rPr>
        <w:t>S</w:t>
      </w:r>
      <w:r>
        <w:t>{\mathrm{zufall}}</w:t>
      </w:r>
      <w:r>
        <w:br/>
        <w:t>\right).</w:t>
      </w:r>
      <w:r>
        <w:br/>
        <w:t>\tag{3.5789}</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Z=\mathcal{A}_{F}\left(\mathcal{D};S_{\mathrm{zufall}}\right)\qquad\text{(3.5789)}</w:t>
      </w:r>
    </w:p>
    <w:p w:rsidR="00355D35" w:rsidRDefault="00355D35" w:rsidP="00355D35">
      <w:pPr>
        <w:pStyle w:val="StandardWeb"/>
      </w:pPr>
      <w:r>
        <w:t>Bei identischem Zufallszustand wird gefordert:</w:t>
      </w:r>
    </w:p>
    <w:p w:rsidR="00355D35" w:rsidRDefault="00355D35" w:rsidP="00355D35">
      <w:pPr>
        <w:pStyle w:val="berschrift1"/>
      </w:pPr>
      <w:r>
        <w:t>[</w:t>
      </w:r>
      <w:r>
        <w:br/>
        <w:t>S_{\mathrm{zufall}}^{(1)}</w:t>
      </w:r>
    </w:p>
    <w:p w:rsidR="00355D35" w:rsidRDefault="00355D35" w:rsidP="00355D35">
      <w:pPr>
        <w:pStyle w:val="berschrift1"/>
      </w:pPr>
      <w:r>
        <w:lastRenderedPageBreak/>
        <w:t>S_{\mathrm{zufall}}^{(2)}</w:t>
      </w:r>
      <w:r>
        <w:br/>
        <w:t>\Rightarrow</w:t>
      </w:r>
      <w:r>
        <w:br/>
        <w:t>Z_{1}</w:t>
      </w:r>
    </w:p>
    <w:p w:rsidR="00355D35" w:rsidRDefault="00355D35" w:rsidP="00355D35">
      <w:pPr>
        <w:pStyle w:val="StandardWeb"/>
      </w:pPr>
      <w:r>
        <w:t>Z_{2}.</w:t>
      </w:r>
      <w:r>
        <w:br/>
        <w:t>\tag{3.5790}</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S_{\mathrm{zufall}}^{(1)}=S_{\mathrm{zufall}}^{(2)}\Rightarrow Z_{1}=Z_{2}\qquad\text{(3.5790)}</w:t>
      </w:r>
    </w:p>
    <w:p w:rsidR="00355D35" w:rsidRDefault="00355D35" w:rsidP="00355D35">
      <w:pPr>
        <w:pStyle w:val="StandardWeb"/>
      </w:pPr>
      <w:r>
        <w:t>Bei unterschiedlichen Zufallszuständen muss statt exakter Ergebnisgleichheit die Übereinstimmung der Ergebnisverteilungen geprüft werden:</w:t>
      </w:r>
    </w:p>
    <w:p w:rsidR="00355D35" w:rsidRDefault="00355D35" w:rsidP="00355D35">
      <w:pPr>
        <w:pStyle w:val="StandardWeb"/>
      </w:pPr>
      <w:r>
        <w:t>[</w:t>
      </w:r>
      <w:r>
        <w:br/>
        <w:t>\mathcal{P}</w:t>
      </w:r>
      <w:r>
        <w:rPr>
          <w:rStyle w:val="Hervorhebung"/>
        </w:rPr>
        <w:t>{Z}^{(1)}</w:t>
      </w:r>
      <w:r>
        <w:rPr>
          <w:i/>
          <w:iCs/>
        </w:rPr>
        <w:br/>
      </w:r>
      <w:r>
        <w:rPr>
          <w:rStyle w:val="Hervorhebung"/>
        </w:rPr>
        <w:t>\approx</w:t>
      </w:r>
      <w:r>
        <w:rPr>
          <w:i/>
          <w:iCs/>
        </w:rPr>
        <w:br/>
      </w:r>
      <w:r>
        <w:rPr>
          <w:rStyle w:val="Hervorhebung"/>
        </w:rPr>
        <w:t>\mathcal{P}</w:t>
      </w:r>
      <w:r>
        <w:t>{Z}^{(2)}.</w:t>
      </w:r>
      <w:r>
        <w:br/>
        <w:t>\tag{3.5791}</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\mathcal{P}_{Z}^{(1)}\approx\mathcal{P}_{Z}^{(2)}\qquad\text{(3.5791)}</w:t>
      </w:r>
    </w:p>
    <w:p w:rsidR="00355D35" w:rsidRPr="00AF32B2" w:rsidRDefault="00355D35" w:rsidP="00AF32B2">
      <w:pPr>
        <w:pStyle w:val="berschrift4"/>
      </w:pPr>
      <w:r w:rsidRPr="00AF32B2">
        <w:t>3.3.33.10 Deterministische Auswertung</w:t>
      </w:r>
    </w:p>
    <w:p w:rsidR="00355D35" w:rsidRDefault="00355D35" w:rsidP="00355D35">
      <w:pPr>
        <w:pStyle w:val="StandardWeb"/>
      </w:pPr>
      <w:r>
        <w:t>Eine deterministische Auswertung erfüllt</w:t>
      </w:r>
    </w:p>
    <w:p w:rsidR="00355D35" w:rsidRDefault="00355D35" w:rsidP="00355D35">
      <w:pPr>
        <w:pStyle w:val="berschrift1"/>
      </w:pPr>
      <w:r>
        <w:t>[</w:t>
      </w:r>
      <w:r>
        <w:br/>
        <w:t>\mathcal{A}_{F}(x)</w:t>
      </w:r>
    </w:p>
    <w:p w:rsidR="00355D35" w:rsidRDefault="00355D35" w:rsidP="00355D35">
      <w:pPr>
        <w:pStyle w:val="StandardWeb"/>
      </w:pPr>
      <w:r>
        <w:t>\mathcal{A}_{F}(x)</w:t>
      </w:r>
      <w:r>
        <w:br/>
        <w:t>\tag{3.5792}</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\mathcal{A}_{F}(x)=\mathcal{A}_{F}(x)\qquad\text{(3.5792)}</w:t>
      </w:r>
    </w:p>
    <w:p w:rsidR="00355D35" w:rsidRDefault="00355D35" w:rsidP="00355D35">
      <w:pPr>
        <w:pStyle w:val="StandardWeb"/>
      </w:pPr>
      <w:r>
        <w:t>für jede erneute Ausführung unter identischen Bedingungen.</w:t>
      </w:r>
    </w:p>
    <w:p w:rsidR="00355D35" w:rsidRDefault="00355D35" w:rsidP="00355D35">
      <w:pPr>
        <w:pStyle w:val="StandardWeb"/>
      </w:pPr>
      <w:r>
        <w:t>In operationaler Form gilt</w:t>
      </w:r>
    </w:p>
    <w:p w:rsidR="00355D35" w:rsidRDefault="00355D35" w:rsidP="00355D35">
      <w:pPr>
        <w:pStyle w:val="berschrift1"/>
      </w:pPr>
      <w:r>
        <w:lastRenderedPageBreak/>
        <w:t>[</w:t>
      </w:r>
      <w:r>
        <w:br/>
        <w:t>x_{1}</w:t>
      </w:r>
    </w:p>
    <w:p w:rsidR="00355D35" w:rsidRDefault="00355D35" w:rsidP="00355D35">
      <w:pPr>
        <w:pStyle w:val="berschrift1"/>
      </w:pPr>
      <w:r>
        <w:t>x_{2}</w:t>
      </w:r>
      <w:r>
        <w:br/>
        <w:t>\Rightarrow</w:t>
      </w:r>
      <w:r>
        <w:br/>
        <w:t>\mathcal{A}</w:t>
      </w:r>
      <w:r>
        <w:rPr>
          <w:rStyle w:val="Hervorhebung"/>
        </w:rPr>
        <w:t>{F}(x</w:t>
      </w:r>
      <w:r>
        <w:t>{1})</w:t>
      </w:r>
    </w:p>
    <w:p w:rsidR="00355D35" w:rsidRDefault="00355D35" w:rsidP="00355D35">
      <w:pPr>
        <w:pStyle w:val="StandardWeb"/>
      </w:pPr>
      <w:r>
        <w:t>\mathcal{A}</w:t>
      </w:r>
      <w:r>
        <w:rPr>
          <w:rStyle w:val="Hervorhebung"/>
        </w:rPr>
        <w:t>{F}(x</w:t>
      </w:r>
      <w:r>
        <w:t>{2}).</w:t>
      </w:r>
      <w:r>
        <w:br/>
        <w:t>\tag{3.5793}</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x_{1}=x_{2}\Rightarrow\mathcal{A}_{F}(x_{1})=\mathcal{A}_{F}(x_{2})\qquad\text{(3.5793)}</w:t>
      </w:r>
    </w:p>
    <w:p w:rsidR="00355D35" w:rsidRDefault="00355D35" w:rsidP="00355D35">
      <w:pPr>
        <w:pStyle w:val="StandardWeb"/>
      </w:pPr>
      <w:r>
        <w:t>Eine Verletzung dieser Bedingung weist auf verborgene Zustände, Nebenwirkungen, nicht kontrollierte Parallelität oder nicht dokumentierte Zufallskomponenten hin.</w:t>
      </w:r>
    </w:p>
    <w:p w:rsidR="00355D35" w:rsidRPr="00AF32B2" w:rsidRDefault="00355D35" w:rsidP="00AF32B2">
      <w:pPr>
        <w:pStyle w:val="berschrift4"/>
      </w:pPr>
      <w:r w:rsidRPr="00AF32B2">
        <w:t>3.3.33.11 Vollständige Auswertungskette</w:t>
      </w:r>
    </w:p>
    <w:p w:rsidR="00355D35" w:rsidRDefault="00355D35" w:rsidP="00355D35">
      <w:pPr>
        <w:pStyle w:val="StandardWeb"/>
      </w:pPr>
      <w:r>
        <w:t>Die vollständige Auswertungskette lautet</w:t>
      </w:r>
    </w:p>
    <w:p w:rsidR="00355D35" w:rsidRDefault="00355D35" w:rsidP="00355D35">
      <w:pPr>
        <w:pStyle w:val="StandardWeb"/>
      </w:pPr>
      <w:r>
        <w:t>[</w:t>
      </w:r>
      <w:r>
        <w:br/>
        <w:t>\mathcal{D}</w:t>
      </w:r>
      <w:r>
        <w:br/>
        <w:t>\xrightarrow{\mathcal{P}</w:t>
      </w:r>
      <w:r>
        <w:rPr>
          <w:rStyle w:val="Hervorhebung"/>
        </w:rPr>
        <w:t>{\mathrm{data}}}</w:t>
      </w:r>
      <w:r>
        <w:rPr>
          <w:i/>
          <w:iCs/>
        </w:rPr>
        <w:br/>
      </w:r>
      <w:r>
        <w:rPr>
          <w:rStyle w:val="Hervorhebung"/>
        </w:rPr>
        <w:t>\mathcal{D}^{\ast}</w:t>
      </w:r>
      <w:r>
        <w:rPr>
          <w:i/>
          <w:iCs/>
        </w:rPr>
        <w:br/>
      </w:r>
      <w:r>
        <w:rPr>
          <w:rStyle w:val="Hervorhebung"/>
        </w:rPr>
        <w:t>\xrightarrow{\mathcal{O}</w:t>
      </w:r>
      <w:r>
        <w:t>{F}}</w:t>
      </w:r>
      <w:r>
        <w:br/>
        <w:t>\mathcal{S}</w:t>
      </w:r>
      <w:r>
        <w:rPr>
          <w:rStyle w:val="Hervorhebung"/>
        </w:rPr>
        <w:t>{F}</w:t>
      </w:r>
      <w:r>
        <w:rPr>
          <w:i/>
          <w:iCs/>
        </w:rPr>
        <w:br/>
      </w:r>
      <w:r>
        <w:rPr>
          <w:rStyle w:val="Hervorhebung"/>
        </w:rPr>
        <w:t>\xrightarrow{\mathcal{M}</w:t>
      </w:r>
      <w:r>
        <w:t>{F}}</w:t>
      </w:r>
      <w:r>
        <w:br/>
        <w:t>\mathcal{Z}</w:t>
      </w:r>
      <w:r>
        <w:rPr>
          <w:rStyle w:val="Hervorhebung"/>
        </w:rPr>
        <w:t>{F}</w:t>
      </w:r>
      <w:r>
        <w:rPr>
          <w:i/>
          <w:iCs/>
        </w:rPr>
        <w:br/>
      </w:r>
      <w:r>
        <w:rPr>
          <w:rStyle w:val="Hervorhebung"/>
        </w:rPr>
        <w:t>\xrightarrow{\mathcal{C}</w:t>
      </w:r>
      <w:r>
        <w:t>{F}}</w:t>
      </w:r>
      <w:r>
        <w:br/>
        <w:t>A.</w:t>
      </w:r>
      <w:r>
        <w:br/>
        <w:t>\tag{3.5794}</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\mathcal{D}\xrightarrow{\mathcal{P}_{\mathrm{data}}}\mathcal{D}^{\ast}\xrightarrow{\mathcal{O}_{F}}\mathcal{S}_{F}\xrightarrow{\mathcal{M}_{F}}\mathcal{Z}_{F}\xrightarrow{\mathcal{C}_{F}}A\qquad\text{(3.5794)}</w:t>
      </w:r>
    </w:p>
    <w:p w:rsidR="00355D35" w:rsidRDefault="00355D35" w:rsidP="00355D35">
      <w:pPr>
        <w:pStyle w:val="StandardWeb"/>
      </w:pPr>
      <w:r>
        <w:t>Jede Stufe muss versioniert und reproduzierbar dokumentiert werden.</w:t>
      </w:r>
    </w:p>
    <w:p w:rsidR="00355D35" w:rsidRDefault="00355D35" w:rsidP="00355D35">
      <w:pPr>
        <w:pStyle w:val="StandardWeb"/>
      </w:pPr>
      <w:r>
        <w:rPr>
          <w:rStyle w:val="Fett"/>
        </w:rPr>
        <w:t>Eigenleistung des FRZK</w:t>
      </w:r>
    </w:p>
    <w:p w:rsidR="00355D35" w:rsidRDefault="00355D35" w:rsidP="00355D35">
      <w:pPr>
        <w:pStyle w:val="StandardWeb"/>
      </w:pPr>
      <w:r>
        <w:t>Ich behandle nicht nur das Endergebnis, sondern jede einzelne Transformation der Auswertungskette als reproduzierbares Repository-Objekt. Dadurch kann eine Abweichung auf diejenige Stufe zurückgeführt werden, an der sie erstmals auftritt.</w:t>
      </w:r>
    </w:p>
    <w:p w:rsidR="00355D35" w:rsidRPr="00AF32B2" w:rsidRDefault="00355D35" w:rsidP="00AF32B2">
      <w:pPr>
        <w:pStyle w:val="berschrift4"/>
      </w:pPr>
      <w:r w:rsidRPr="00AF32B2">
        <w:lastRenderedPageBreak/>
        <w:t>3.3.33.12 Stufenweise Reproduzierbarkeitsprüfung</w:t>
      </w:r>
    </w:p>
    <w:p w:rsidR="00355D35" w:rsidRDefault="00355D35" w:rsidP="00355D35">
      <w:pPr>
        <w:pStyle w:val="StandardWeb"/>
      </w:pPr>
      <w:r>
        <w:t>Die Zwischenergebnisse der ersten Auswertung seien</w:t>
      </w:r>
    </w:p>
    <w:p w:rsidR="00355D35" w:rsidRDefault="00355D35" w:rsidP="00355D35">
      <w:pPr>
        <w:pStyle w:val="StandardWeb"/>
      </w:pPr>
      <w:r>
        <w:t>[</w:t>
      </w:r>
      <w:r>
        <w:br/>
        <w:t>Z_{1}^{(0)},</w:t>
      </w:r>
      <w:r>
        <w:br/>
        <w:t>Z_{1}^{(1)},</w:t>
      </w:r>
      <w:r>
        <w:br/>
        <w:t>\ldots,</w:t>
      </w:r>
      <w:r>
        <w:br/>
        <w:t>Z_{1}^{(n)}.</w:t>
      </w:r>
      <w:r>
        <w:br/>
        <w:t>\tag{3.5795}</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Z_{1}^{(0)},Z_{1}^{(1)},\ldots,Z_{1}^{(n)}\qquad\text{(3.5795)}</w:t>
      </w:r>
    </w:p>
    <w:p w:rsidR="00355D35" w:rsidRDefault="00355D35" w:rsidP="00355D35">
      <w:pPr>
        <w:pStyle w:val="StandardWeb"/>
      </w:pPr>
      <w:r>
        <w:t>Die Zwischenergebnisse der Wiederholung seien</w:t>
      </w:r>
    </w:p>
    <w:p w:rsidR="00355D35" w:rsidRDefault="00355D35" w:rsidP="00355D35">
      <w:pPr>
        <w:pStyle w:val="StandardWeb"/>
      </w:pPr>
      <w:r>
        <w:t>[</w:t>
      </w:r>
      <w:r>
        <w:br/>
        <w:t>Z_{2}^{(0)},</w:t>
      </w:r>
      <w:r>
        <w:br/>
        <w:t>Z_{2}^{(1)},</w:t>
      </w:r>
      <w:r>
        <w:br/>
        <w:t>\ldots,</w:t>
      </w:r>
      <w:r>
        <w:br/>
        <w:t>Z_{2}^{(n)}.</w:t>
      </w:r>
      <w:r>
        <w:br/>
        <w:t>\tag{3.5796}</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Z_{2}^{(0)},Z_{2}^{(1)},\ldots,Z_{2}^{(n)}\qquad\text{(3.5796)}</w:t>
      </w:r>
    </w:p>
    <w:p w:rsidR="00355D35" w:rsidRDefault="00355D35" w:rsidP="00355D35">
      <w:pPr>
        <w:pStyle w:val="StandardWeb"/>
      </w:pPr>
      <w:r>
        <w:t>Die stufenweise Abweichung lautet</w:t>
      </w:r>
    </w:p>
    <w:p w:rsidR="00355D35" w:rsidRDefault="00355D35" w:rsidP="00355D35">
      <w:pPr>
        <w:pStyle w:val="berschrift1"/>
      </w:pPr>
      <w:r>
        <w:t>[</w:t>
      </w:r>
      <w:r>
        <w:br/>
        <w:t>\Delta_{\mathrm{rep}}^{(i)}</w:t>
      </w:r>
    </w:p>
    <w:p w:rsidR="00355D35" w:rsidRDefault="00355D35" w:rsidP="00355D35">
      <w:pPr>
        <w:pStyle w:val="StandardWeb"/>
      </w:pPr>
      <w:r>
        <w:t>\Delta_{F}</w:t>
      </w:r>
      <w:r>
        <w:br/>
        <w:t>\left(</w:t>
      </w:r>
      <w:r>
        <w:br/>
        <w:t>Z_{1}^{(i)},</w:t>
      </w:r>
      <w:r>
        <w:br/>
        <w:t>Z_{2}^{(i)}</w:t>
      </w:r>
      <w:r>
        <w:br/>
        <w:t>\right).</w:t>
      </w:r>
      <w:r>
        <w:br/>
        <w:t>\tag{3.5797}</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\Delta_{\mathrm{rep}}^{(i)}=\Delta_{F}\left(Z_{1}^{(i)},Z_{2}^{(i)}\right)\qquad\text{(3.5797)}</w:t>
      </w:r>
    </w:p>
    <w:p w:rsidR="00355D35" w:rsidRDefault="00355D35" w:rsidP="00355D35">
      <w:pPr>
        <w:pStyle w:val="StandardWeb"/>
      </w:pPr>
      <w:r>
        <w:t>Die erste abweichende Stufe ist</w:t>
      </w:r>
    </w:p>
    <w:p w:rsidR="00355D35" w:rsidRDefault="00355D35" w:rsidP="00355D35">
      <w:pPr>
        <w:pStyle w:val="berschrift1"/>
      </w:pPr>
      <w:r>
        <w:lastRenderedPageBreak/>
        <w:t>[</w:t>
      </w:r>
      <w:r>
        <w:br/>
        <w:t>i^{\ast}</w:t>
      </w:r>
    </w:p>
    <w:p w:rsidR="00355D35" w:rsidRDefault="00355D35" w:rsidP="00355D35">
      <w:pPr>
        <w:pStyle w:val="StandardWeb"/>
      </w:pPr>
      <w:r>
        <w:t>\min</w:t>
      </w:r>
      <w:r>
        <w:br/>
        <w:t>\left{</w:t>
      </w:r>
      <w:r>
        <w:br/>
        <w:t>i</w:t>
      </w:r>
      <w:r>
        <w:br/>
        <w:t>\mid</w:t>
      </w:r>
      <w:r>
        <w:br/>
        <w:t>\Delta_{\mathrm{rep}}^{(i)}</w:t>
      </w:r>
    </w:p>
    <w:p w:rsidR="00355D35" w:rsidRDefault="00355D35" w:rsidP="00355D35">
      <w:pPr>
        <w:pStyle w:val="StandardWeb"/>
      </w:pPr>
      <w:r>
        <w:t>\varepsilon_i</w:t>
      </w:r>
      <w:r>
        <w:br/>
        <w:t>\right}.</w:t>
      </w:r>
      <w:r>
        <w:br/>
        <w:t>\tag{3.5798}</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i^{\ast}=\min\left\{i\mid\Delta_{\mathrm{rep}}^{(i)}&gt;\varepsilon_i\right\}\qquad\text{(3.5798)}</w:t>
      </w:r>
    </w:p>
    <w:p w:rsidR="00355D35" w:rsidRPr="00AF32B2" w:rsidRDefault="00355D35" w:rsidP="00AF32B2">
      <w:pPr>
        <w:pStyle w:val="berschrift4"/>
      </w:pPr>
      <w:r w:rsidRPr="00AF32B2">
        <w:t>3.3.33.13 Technische Reproduzierbarkeit</w:t>
      </w:r>
    </w:p>
    <w:p w:rsidR="00355D35" w:rsidRDefault="00355D35" w:rsidP="00355D35">
      <w:pPr>
        <w:pStyle w:val="StandardWeb"/>
      </w:pPr>
      <w:r>
        <w:t>Technische Reproduzierbarkeit betrifft die Wiederherstellung der ursprünglichen Ausführungsumgebung.</w:t>
      </w:r>
    </w:p>
    <w:p w:rsidR="00355D35" w:rsidRDefault="00355D35" w:rsidP="00355D35">
      <w:pPr>
        <w:pStyle w:val="StandardWeb"/>
      </w:pPr>
      <w:r>
        <w:t>Das technische Reproduzierbarkeitsprädikat lautet</w:t>
      </w:r>
    </w:p>
    <w:p w:rsidR="00355D35" w:rsidRDefault="00355D35" w:rsidP="00355D35">
      <w:pPr>
        <w:pStyle w:val="StandardWeb"/>
      </w:pPr>
      <w:r>
        <w:t>[</w:t>
      </w:r>
      <w:r>
        <w:br/>
        <w:t>\operatorname{Rep}_{\mathrm{tech}}</w:t>
      </w:r>
      <w:r>
        <w:br/>
        <w:t>\in</w:t>
      </w:r>
      <w:r>
        <w:br/>
        <w:t>{0,1}.</w:t>
      </w:r>
      <w:r>
        <w:br/>
        <w:t>\tag{3.5799}</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\operatorname{Rep}_{\mathrm{tech}}\in\{0,1\}\qquad\text{(3.5799)}</w:t>
      </w:r>
    </w:p>
    <w:p w:rsidR="00355D35" w:rsidRDefault="00355D35" w:rsidP="00355D35">
      <w:pPr>
        <w:pStyle w:val="StandardWeb"/>
      </w:pPr>
      <w:r>
        <w:t>Es nimmt den Wert eins an, wenn:</w:t>
      </w:r>
    </w:p>
    <w:p w:rsidR="00355D35" w:rsidRDefault="00355D35" w:rsidP="00632D23">
      <w:pPr>
        <w:pStyle w:val="StandardWeb"/>
        <w:numPr>
          <w:ilvl w:val="0"/>
          <w:numId w:val="217"/>
        </w:numPr>
      </w:pPr>
      <w:r>
        <w:t>sämtliche benötigten Dateien vorhanden sind,</w:t>
      </w:r>
    </w:p>
    <w:p w:rsidR="00355D35" w:rsidRDefault="00355D35" w:rsidP="00632D23">
      <w:pPr>
        <w:pStyle w:val="StandardWeb"/>
        <w:numPr>
          <w:ilvl w:val="0"/>
          <w:numId w:val="217"/>
        </w:numPr>
      </w:pPr>
      <w:r>
        <w:t>alle Versionen dokumentiert sind,</w:t>
      </w:r>
    </w:p>
    <w:p w:rsidR="00355D35" w:rsidRDefault="00355D35" w:rsidP="00632D23">
      <w:pPr>
        <w:pStyle w:val="StandardWeb"/>
        <w:numPr>
          <w:ilvl w:val="0"/>
          <w:numId w:val="217"/>
        </w:numPr>
      </w:pPr>
      <w:r>
        <w:t>Abhängigkeiten installierbar sind,</w:t>
      </w:r>
    </w:p>
    <w:p w:rsidR="00355D35" w:rsidRDefault="00355D35" w:rsidP="00632D23">
      <w:pPr>
        <w:pStyle w:val="StandardWeb"/>
        <w:numPr>
          <w:ilvl w:val="0"/>
          <w:numId w:val="217"/>
        </w:numPr>
      </w:pPr>
      <w:r>
        <w:t>Konfigurationen rekonstruierbar sind,</w:t>
      </w:r>
    </w:p>
    <w:p w:rsidR="00355D35" w:rsidRDefault="00355D35" w:rsidP="00632D23">
      <w:pPr>
        <w:pStyle w:val="StandardWeb"/>
        <w:numPr>
          <w:ilvl w:val="0"/>
          <w:numId w:val="217"/>
        </w:numPr>
      </w:pPr>
      <w:r>
        <w:t>Datenzugriffe reproduzierbar sind,</w:t>
      </w:r>
    </w:p>
    <w:p w:rsidR="00355D35" w:rsidRDefault="00355D35" w:rsidP="00632D23">
      <w:pPr>
        <w:pStyle w:val="StandardWeb"/>
        <w:numPr>
          <w:ilvl w:val="0"/>
          <w:numId w:val="217"/>
        </w:numPr>
      </w:pPr>
      <w:r>
        <w:t>Zufallszustände kontrolliert werden.</w:t>
      </w:r>
    </w:p>
    <w:p w:rsidR="00355D35" w:rsidRPr="00AF32B2" w:rsidRDefault="00355D35" w:rsidP="00AF32B2">
      <w:pPr>
        <w:pStyle w:val="berschrift4"/>
      </w:pPr>
      <w:r w:rsidRPr="00AF32B2">
        <w:t>3.3.33.14 Methodische Reproduzierbarkeit</w:t>
      </w:r>
    </w:p>
    <w:p w:rsidR="00355D35" w:rsidRDefault="00355D35" w:rsidP="00355D35">
      <w:pPr>
        <w:pStyle w:val="StandardWeb"/>
      </w:pPr>
      <w:r>
        <w:t>Methodische Reproduzierbarkeit bedeutet, dass die wissenschaftlichen Verarbeitungsschritte aus der Dokumentation eindeutig rekonstruiert werden können.</w:t>
      </w:r>
    </w:p>
    <w:p w:rsidR="00355D35" w:rsidRDefault="00355D35" w:rsidP="00355D35">
      <w:pPr>
        <w:pStyle w:val="StandardWeb"/>
      </w:pPr>
      <w:r>
        <w:lastRenderedPageBreak/>
        <w:t>Das methodische Reproduzierbarkeitsprädikat lautet</w:t>
      </w:r>
    </w:p>
    <w:p w:rsidR="00355D35" w:rsidRDefault="00355D35" w:rsidP="00355D35">
      <w:pPr>
        <w:pStyle w:val="StandardWeb"/>
      </w:pPr>
      <w:r>
        <w:t>[</w:t>
      </w:r>
      <w:r>
        <w:br/>
        <w:t>\operatorname{Rep}_{\mathrm{meth}}</w:t>
      </w:r>
      <w:r>
        <w:br/>
        <w:t>\in</w:t>
      </w:r>
      <w:r>
        <w:br/>
        <w:t>{0,1}.</w:t>
      </w:r>
      <w:r>
        <w:br/>
        <w:t>\tag{3.5800}</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\operatorname{Rep}_{\mathrm{meth}}\in\{0,1\}\qquad\text{(3.5800)}</w:t>
      </w:r>
    </w:p>
    <w:p w:rsidR="00355D35" w:rsidRDefault="00355D35" w:rsidP="00355D35">
      <w:pPr>
        <w:pStyle w:val="StandardWeb"/>
      </w:pPr>
      <w:r>
        <w:t>Eine notwendige Bedingung lautet</w:t>
      </w:r>
    </w:p>
    <w:p w:rsidR="00355D35" w:rsidRDefault="00355D35" w:rsidP="00355D35">
      <w:pPr>
        <w:pStyle w:val="berschrift1"/>
      </w:pPr>
      <w:r>
        <w:t>[</w:t>
      </w:r>
      <w:r>
        <w:br/>
        <w:t>\operatorname{Eindeutig}</w:t>
      </w:r>
      <w:r>
        <w:br/>
        <w:t>\left(</w:t>
      </w:r>
      <w:r>
        <w:br/>
        <w:t>\mathcal{P}</w:t>
      </w:r>
      <w:r>
        <w:rPr>
          <w:rStyle w:val="Hervorhebung"/>
        </w:rPr>
        <w:t>{\mathrm{data}},</w:t>
      </w:r>
      <w:r>
        <w:rPr>
          <w:i/>
          <w:iCs/>
        </w:rPr>
        <w:br/>
      </w:r>
      <w:r>
        <w:rPr>
          <w:rStyle w:val="Hervorhebung"/>
        </w:rPr>
        <w:t>\mathcal{O}</w:t>
      </w:r>
      <w:r>
        <w:t>{F},</w:t>
      </w:r>
      <w:r>
        <w:br/>
        <w:t>\mathcal{M}</w:t>
      </w:r>
      <w:r>
        <w:rPr>
          <w:rStyle w:val="Hervorhebung"/>
        </w:rPr>
        <w:t>{F},</w:t>
      </w:r>
      <w:r>
        <w:rPr>
          <w:i/>
          <w:iCs/>
        </w:rPr>
        <w:br/>
      </w:r>
      <w:r>
        <w:rPr>
          <w:rStyle w:val="Hervorhebung"/>
        </w:rPr>
        <w:t>\mathcal{C}</w:t>
      </w:r>
      <w:r>
        <w:t>{F}</w:t>
      </w:r>
      <w:r>
        <w:br/>
        <w:t>\right)</w:t>
      </w:r>
    </w:p>
    <w:p w:rsidR="00355D35" w:rsidRDefault="00355D35" w:rsidP="00632D23">
      <w:pPr>
        <w:numPr>
          <w:ilvl w:val="0"/>
          <w:numId w:val="218"/>
        </w:numPr>
        <w:spacing w:before="100" w:beforeAutospacing="1" w:after="100" w:afterAutospacing="1"/>
      </w:pPr>
    </w:p>
    <w:p w:rsidR="00355D35" w:rsidRDefault="00355D35" w:rsidP="00355D35">
      <w:pPr>
        <w:pStyle w:val="StandardWeb"/>
      </w:pPr>
      <w:r>
        <w:t>\tag{3.5801}</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\operatorname{Eindeutig}\left(\mathcal{P}_{\mathrm{data}},\mathcal{O}_{F},\mathcal{M}_{F},\mathcal{C}_{F}\right)=1\qquad\text{(3.5801)}</w:t>
      </w:r>
    </w:p>
    <w:p w:rsidR="00355D35" w:rsidRDefault="00355D35" w:rsidP="00355D35">
      <w:pPr>
        <w:pStyle w:val="StandardWeb"/>
      </w:pPr>
      <w:r>
        <w:t>Fehlende Parameter, nicht dokumentierte Filter oder manuelle Zwischenentscheidungen verhindern eine vollständige methodische Reproduktion.</w:t>
      </w:r>
    </w:p>
    <w:p w:rsidR="00355D35" w:rsidRPr="00AF32B2" w:rsidRDefault="00355D35" w:rsidP="00AF32B2">
      <w:pPr>
        <w:pStyle w:val="berschrift4"/>
      </w:pPr>
      <w:r w:rsidRPr="00AF32B2">
        <w:t>3.3.33.15 Empirische Replizierbarkeit</w:t>
      </w:r>
    </w:p>
    <w:p w:rsidR="00355D35" w:rsidRDefault="00355D35" w:rsidP="00355D35">
      <w:pPr>
        <w:pStyle w:val="StandardWeb"/>
      </w:pPr>
      <w:r>
        <w:t>Eine Replikation verwendet eine neue Datengrundlage:</w:t>
      </w:r>
    </w:p>
    <w:p w:rsidR="00355D35" w:rsidRDefault="00355D35" w:rsidP="00355D35">
      <w:pPr>
        <w:pStyle w:val="StandardWeb"/>
      </w:pPr>
      <w:r>
        <w:t>[</w:t>
      </w:r>
      <w:r>
        <w:br/>
        <w:t>\mathcal{D}</w:t>
      </w:r>
      <w:r>
        <w:rPr>
          <w:rStyle w:val="Hervorhebung"/>
        </w:rPr>
        <w:t>{2}</w:t>
      </w:r>
      <w:r>
        <w:rPr>
          <w:i/>
          <w:iCs/>
        </w:rPr>
        <w:br/>
      </w:r>
      <w:r>
        <w:rPr>
          <w:rStyle w:val="Hervorhebung"/>
        </w:rPr>
        <w:t>\neq</w:t>
      </w:r>
      <w:r>
        <w:rPr>
          <w:i/>
          <w:iCs/>
        </w:rPr>
        <w:br/>
      </w:r>
      <w:r>
        <w:rPr>
          <w:rStyle w:val="Hervorhebung"/>
        </w:rPr>
        <w:t>\mathcal{D}</w:t>
      </w:r>
      <w:r>
        <w:t>{1}.</w:t>
      </w:r>
      <w:r>
        <w:br/>
      </w:r>
      <w:r>
        <w:lastRenderedPageBreak/>
        <w:t>\tag{3.5802}</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\mathcal{D}_{2}\neq\mathcal{D}_{1}\qquad\text{(3.5802)}</w:t>
      </w:r>
    </w:p>
    <w:p w:rsidR="00355D35" w:rsidRDefault="00355D35" w:rsidP="00355D35">
      <w:pPr>
        <w:pStyle w:val="StandardWeb"/>
      </w:pPr>
      <w:r>
        <w:t>Die wissenschaftliche Fragestellung und die relevante Modellstruktur bleiben jedoch vergleichbar:</w:t>
      </w:r>
    </w:p>
    <w:p w:rsidR="00355D35" w:rsidRDefault="00355D35" w:rsidP="00355D35">
      <w:pPr>
        <w:pStyle w:val="StandardWeb"/>
      </w:pPr>
      <w:r>
        <w:t>[</w:t>
      </w:r>
      <w:r>
        <w:br/>
        <w:t>P_{2}</w:t>
      </w:r>
      <w:r>
        <w:br/>
        <w:t>\equiv</w:t>
      </w:r>
      <w:r>
        <w:br/>
        <w:t>P_{1}.</w:t>
      </w:r>
      <w:r>
        <w:br/>
        <w:t>\tag{3.5803}</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P_{2}\equiv P_{1}\qquad\text{(3.5803)}</w:t>
      </w:r>
    </w:p>
    <w:p w:rsidR="00355D35" w:rsidRDefault="00355D35" w:rsidP="00355D35">
      <w:pPr>
        <w:pStyle w:val="StandardWeb"/>
      </w:pPr>
      <w:r>
        <w:t>Das Replizierbarkeitsprädikat lautet</w:t>
      </w:r>
    </w:p>
    <w:p w:rsidR="00355D35" w:rsidRDefault="00355D35" w:rsidP="00355D35">
      <w:pPr>
        <w:pStyle w:val="StandardWeb"/>
      </w:pPr>
      <w:r>
        <w:t>[</w:t>
      </w:r>
      <w:r>
        <w:br/>
        <w:t>\operatorname{Repl}</w:t>
      </w:r>
      <w:r>
        <w:rPr>
          <w:rStyle w:val="Hervorhebung"/>
        </w:rPr>
        <w:t>{F}:</w:t>
      </w:r>
      <w:r>
        <w:rPr>
          <w:i/>
          <w:iCs/>
        </w:rPr>
        <w:br/>
      </w:r>
      <w:r>
        <w:rPr>
          <w:rStyle w:val="Hervorhebung"/>
        </w:rPr>
        <w:t>\mathfrak{V}</w:t>
      </w:r>
      <w:r>
        <w:t>{F}</w:t>
      </w:r>
      <w:r>
        <w:br/>
        <w:t>\times</w:t>
      </w:r>
      <w:r>
        <w:br/>
        <w:t>\mathfrak{R}_{F}^{\mathrm{rep}}</w:t>
      </w:r>
      <w:r>
        <w:br/>
        <w:t>\rightarrow</w:t>
      </w:r>
      <w:r>
        <w:br/>
        <w:t>{0,1}.</w:t>
      </w:r>
      <w:r>
        <w:br/>
        <w:t>\tag{3.5804}</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\operatorname{Repl}_{F}:\mathfrak{V}_{F}\times\mathfrak{R}_{F}^{\mathrm{rep}}\rightarrow\{0,1\}\qquad\text{(3.5804)}</w:t>
      </w:r>
    </w:p>
    <w:p w:rsidR="00355D35" w:rsidRDefault="00355D35" w:rsidP="00355D35">
      <w:pPr>
        <w:pStyle w:val="StandardWeb"/>
      </w:pPr>
      <w:r>
        <w:t>Für eine erfolgreiche Replikation gilt</w:t>
      </w:r>
    </w:p>
    <w:p w:rsidR="00355D35" w:rsidRDefault="00355D35" w:rsidP="00355D35">
      <w:pPr>
        <w:pStyle w:val="berschrift1"/>
      </w:pPr>
      <w:r>
        <w:t>[</w:t>
      </w:r>
      <w:r>
        <w:br/>
        <w:t>\operatorname{Repl}_{F}</w:t>
      </w:r>
    </w:p>
    <w:p w:rsidR="00355D35" w:rsidRDefault="00355D35" w:rsidP="00632D23">
      <w:pPr>
        <w:numPr>
          <w:ilvl w:val="0"/>
          <w:numId w:val="219"/>
        </w:numPr>
        <w:spacing w:before="100" w:beforeAutospacing="1" w:after="100" w:afterAutospacing="1"/>
      </w:pPr>
    </w:p>
    <w:p w:rsidR="00355D35" w:rsidRDefault="00355D35" w:rsidP="00355D35">
      <w:pPr>
        <w:pStyle w:val="StandardWeb"/>
      </w:pPr>
      <w:r>
        <w:t>\tag{3.5805}</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lastRenderedPageBreak/>
        <w:t>\operatorname{Repl}_{F}=1\qquad\text{(3.5805)}</w:t>
      </w:r>
    </w:p>
    <w:p w:rsidR="00355D35" w:rsidRPr="00AF32B2" w:rsidRDefault="00355D35" w:rsidP="00AF32B2">
      <w:pPr>
        <w:pStyle w:val="berschrift4"/>
      </w:pPr>
      <w:r w:rsidRPr="00AF32B2">
        <w:t>3.3.33.16 Direkte Replikation</w:t>
      </w:r>
    </w:p>
    <w:p w:rsidR="00355D35" w:rsidRDefault="00355D35" w:rsidP="00355D35">
      <w:pPr>
        <w:pStyle w:val="StandardWeb"/>
      </w:pPr>
      <w:r>
        <w:t>Eine direkte Replikation versucht, die ursprünglichen Bedingungen möglichst genau wiederherzustellen:</w:t>
      </w:r>
    </w:p>
    <w:p w:rsidR="00355D35" w:rsidRDefault="00355D35" w:rsidP="00355D35">
      <w:pPr>
        <w:pStyle w:val="berschrift1"/>
      </w:pPr>
      <w:r>
        <w:t>[</w:t>
      </w:r>
      <w:r>
        <w:br/>
        <w:t>\mathcal{M}_{2}</w:t>
      </w:r>
    </w:p>
    <w:p w:rsidR="00355D35" w:rsidRDefault="00355D35" w:rsidP="00355D35">
      <w:pPr>
        <w:pStyle w:val="StandardWeb"/>
      </w:pPr>
      <w:r>
        <w:t>\mathcal{M}_{1},</w:t>
      </w:r>
      <w:r>
        <w:br/>
        <w:t>\tag{3.5806}</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\mathcal{M}_{2}=\mathcal{M}_{1}\qquad\text{(3.5806)}</w:t>
      </w:r>
    </w:p>
    <w:p w:rsidR="00355D35" w:rsidRDefault="00355D35" w:rsidP="00355D35">
      <w:pPr>
        <w:pStyle w:val="berschrift1"/>
      </w:pPr>
      <w:r>
        <w:t>[</w:t>
      </w:r>
      <w:r>
        <w:br/>
        <w:t>\mathcal{O}_{2}</w:t>
      </w:r>
    </w:p>
    <w:p w:rsidR="00355D35" w:rsidRDefault="00355D35" w:rsidP="00355D35">
      <w:pPr>
        <w:pStyle w:val="StandardWeb"/>
      </w:pPr>
      <w:r>
        <w:t>\mathcal{O}_{1},</w:t>
      </w:r>
      <w:r>
        <w:br/>
        <w:t>\tag{3.5807}</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\mathcal{O}_{2}=\mathcal{O}_{1}\qquad\text{(3.5807)}</w:t>
      </w:r>
    </w:p>
    <w:p w:rsidR="00355D35" w:rsidRDefault="00355D35" w:rsidP="00355D35">
      <w:pPr>
        <w:pStyle w:val="StandardWeb"/>
      </w:pPr>
      <w:r>
        <w:t>und</w:t>
      </w:r>
    </w:p>
    <w:p w:rsidR="00355D35" w:rsidRDefault="00355D35" w:rsidP="00355D35">
      <w:pPr>
        <w:pStyle w:val="berschrift1"/>
      </w:pPr>
      <w:r>
        <w:t>[</w:t>
      </w:r>
      <w:r>
        <w:br/>
        <w:t>\mathcal{C}_{2}</w:t>
      </w:r>
    </w:p>
    <w:p w:rsidR="00355D35" w:rsidRDefault="00355D35" w:rsidP="00355D35">
      <w:pPr>
        <w:pStyle w:val="StandardWeb"/>
      </w:pPr>
      <w:r>
        <w:t>\mathcal{C}_{1}.</w:t>
      </w:r>
      <w:r>
        <w:br/>
        <w:t>\tag{3.5808}</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\mathcal{C}_{2}=\mathcal{C}_{1}\qquad\text{(3.5808)}</w:t>
      </w:r>
    </w:p>
    <w:p w:rsidR="00355D35" w:rsidRDefault="00355D35" w:rsidP="00355D35">
      <w:pPr>
        <w:pStyle w:val="StandardWeb"/>
      </w:pPr>
      <w:r>
        <w:t>Lediglich die empirische Stichprobe wird unabhängig neu erhoben.</w:t>
      </w:r>
    </w:p>
    <w:p w:rsidR="00355D35" w:rsidRPr="00AF32B2" w:rsidRDefault="00355D35" w:rsidP="00AF32B2">
      <w:pPr>
        <w:pStyle w:val="berschrift4"/>
      </w:pPr>
      <w:r w:rsidRPr="00AF32B2">
        <w:t>3.3.33.17 Konzeptuelle Replikation</w:t>
      </w:r>
    </w:p>
    <w:p w:rsidR="00355D35" w:rsidRDefault="00355D35" w:rsidP="00355D35">
      <w:pPr>
        <w:pStyle w:val="StandardWeb"/>
      </w:pPr>
      <w:r>
        <w:t>Eine konzeptuelle Replikation prüft dieselbe wissenschaftliche Aussage mit einer veränderten, aber begründet vergleichbaren Operationalisierung oder Modellinstanz.</w:t>
      </w:r>
    </w:p>
    <w:p w:rsidR="00355D35" w:rsidRDefault="00355D35" w:rsidP="00355D35">
      <w:pPr>
        <w:pStyle w:val="StandardWeb"/>
      </w:pPr>
      <w:r>
        <w:lastRenderedPageBreak/>
        <w:t>Dabei kann gelten</w:t>
      </w:r>
    </w:p>
    <w:p w:rsidR="00355D35" w:rsidRDefault="00355D35" w:rsidP="00355D35">
      <w:pPr>
        <w:pStyle w:val="StandardWeb"/>
      </w:pPr>
      <w:r>
        <w:t>[</w:t>
      </w:r>
      <w:r>
        <w:br/>
        <w:t>\mathcal{O}</w:t>
      </w:r>
      <w:r>
        <w:rPr>
          <w:rStyle w:val="Hervorhebung"/>
        </w:rPr>
        <w:t>{2}</w:t>
      </w:r>
      <w:r>
        <w:rPr>
          <w:i/>
          <w:iCs/>
        </w:rPr>
        <w:br/>
      </w:r>
      <w:r>
        <w:rPr>
          <w:rStyle w:val="Hervorhebung"/>
        </w:rPr>
        <w:t>\neq</w:t>
      </w:r>
      <w:r>
        <w:rPr>
          <w:i/>
          <w:iCs/>
        </w:rPr>
        <w:br/>
      </w:r>
      <w:r>
        <w:rPr>
          <w:rStyle w:val="Hervorhebung"/>
        </w:rPr>
        <w:t>\mathcal{O}</w:t>
      </w:r>
      <w:r>
        <w:t>{1}</w:t>
      </w:r>
      <w:r>
        <w:br/>
        <w:t>\tag{3.5809}</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\mathcal{O}_{2}\neq\mathcal{O}_{1}\qquad\text{(3.5809)}</w:t>
      </w:r>
    </w:p>
    <w:p w:rsidR="00355D35" w:rsidRDefault="00355D35" w:rsidP="00355D35">
      <w:pPr>
        <w:pStyle w:val="StandardWeb"/>
      </w:pPr>
      <w:r>
        <w:t>und</w:t>
      </w:r>
    </w:p>
    <w:p w:rsidR="00355D35" w:rsidRDefault="00355D35" w:rsidP="00355D35">
      <w:pPr>
        <w:pStyle w:val="StandardWeb"/>
      </w:pPr>
      <w:r>
        <w:t>[</w:t>
      </w:r>
      <w:r>
        <w:br/>
        <w:t>\mathcal{M}</w:t>
      </w:r>
      <w:r>
        <w:rPr>
          <w:rStyle w:val="Hervorhebung"/>
        </w:rPr>
        <w:t>{2}</w:t>
      </w:r>
      <w:r>
        <w:rPr>
          <w:i/>
          <w:iCs/>
        </w:rPr>
        <w:br/>
      </w:r>
      <w:r>
        <w:rPr>
          <w:rStyle w:val="Hervorhebung"/>
        </w:rPr>
        <w:t>\neq</w:t>
      </w:r>
      <w:r>
        <w:rPr>
          <w:i/>
          <w:iCs/>
        </w:rPr>
        <w:br/>
      </w:r>
      <w:r>
        <w:rPr>
          <w:rStyle w:val="Hervorhebung"/>
        </w:rPr>
        <w:t>\mathcal{M}</w:t>
      </w:r>
      <w:r>
        <w:t>{1}.</w:t>
      </w:r>
      <w:r>
        <w:br/>
        <w:t>\tag{3.5810}</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\mathcal{M}_{2}\neq\mathcal{M}_{1}\qquad\text{(3.5810)}</w:t>
      </w:r>
    </w:p>
    <w:p w:rsidR="00355D35" w:rsidRDefault="00355D35" w:rsidP="00355D35">
      <w:pPr>
        <w:pStyle w:val="StandardWeb"/>
      </w:pPr>
      <w:r>
        <w:t>Die aussagerelevanten Strukturen müssen jedoch vergleichbar bleiben:</w:t>
      </w:r>
    </w:p>
    <w:p w:rsidR="00355D35" w:rsidRDefault="00355D35" w:rsidP="00355D35">
      <w:pPr>
        <w:pStyle w:val="berschrift1"/>
      </w:pPr>
      <w:r>
        <w:t>[</w:t>
      </w:r>
      <w:r>
        <w:br/>
        <w:t>\operatorname{Verg}</w:t>
      </w:r>
      <w:r>
        <w:rPr>
          <w:rStyle w:val="Hervorhebung"/>
        </w:rPr>
        <w:t>{F}</w:t>
      </w:r>
      <w:r>
        <w:rPr>
          <w:i/>
          <w:iCs/>
        </w:rPr>
        <w:br/>
      </w:r>
      <w:r>
        <w:rPr>
          <w:rStyle w:val="Hervorhebung"/>
        </w:rPr>
        <w:t>\left(</w:t>
      </w:r>
      <w:r>
        <w:rPr>
          <w:i/>
          <w:iCs/>
        </w:rPr>
        <w:br/>
      </w:r>
      <w:r>
        <w:rPr>
          <w:rStyle w:val="Hervorhebung"/>
        </w:rPr>
        <w:t>\mathfrak{V}</w:t>
      </w:r>
      <w:r>
        <w:t>{F}</w:t>
      </w:r>
      <w:r>
        <w:br/>
        <w:t>\right)</w:t>
      </w:r>
    </w:p>
    <w:p w:rsidR="00355D35" w:rsidRDefault="00355D35" w:rsidP="00632D23">
      <w:pPr>
        <w:numPr>
          <w:ilvl w:val="0"/>
          <w:numId w:val="220"/>
        </w:numPr>
        <w:spacing w:before="100" w:beforeAutospacing="1" w:after="100" w:afterAutospacing="1"/>
      </w:pPr>
    </w:p>
    <w:p w:rsidR="00355D35" w:rsidRDefault="00355D35" w:rsidP="00355D35">
      <w:pPr>
        <w:pStyle w:val="StandardWeb"/>
      </w:pPr>
      <w:r>
        <w:t>\tag{3.5811}</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\operatorname{Verg}_{F}\left(\mathfrak{V}_{F}\right)=1\qquad\text{(3.5811)}</w:t>
      </w:r>
    </w:p>
    <w:p w:rsidR="00355D35" w:rsidRPr="00AF32B2" w:rsidRDefault="00355D35" w:rsidP="00AF32B2">
      <w:pPr>
        <w:pStyle w:val="berschrift4"/>
      </w:pPr>
      <w:r w:rsidRPr="00AF32B2">
        <w:t>3.3.33.18 Ergebnisübereinstimmung</w:t>
      </w:r>
    </w:p>
    <w:p w:rsidR="00355D35" w:rsidRDefault="00355D35" w:rsidP="00355D35">
      <w:pPr>
        <w:pStyle w:val="StandardWeb"/>
      </w:pPr>
      <w:r>
        <w:t>Für skalare Ergebnisse kann die absolute Abweichung verwendet werden:</w:t>
      </w:r>
    </w:p>
    <w:p w:rsidR="00355D35" w:rsidRDefault="00355D35" w:rsidP="00355D35">
      <w:pPr>
        <w:pStyle w:val="berschrift1"/>
      </w:pPr>
      <w:r>
        <w:lastRenderedPageBreak/>
        <w:t>[</w:t>
      </w:r>
      <w:r>
        <w:br/>
        <w:t>\Delta_{\mathrm{abs}}</w:t>
      </w:r>
    </w:p>
    <w:p w:rsidR="00355D35" w:rsidRDefault="00355D35" w:rsidP="00355D35">
      <w:pPr>
        <w:pStyle w:val="StandardWeb"/>
      </w:pPr>
      <w:r>
        <w:t>|Z_{2}-Z_{1}|.</w:t>
      </w:r>
      <w:r>
        <w:br/>
        <w:t>\tag{3.5812}</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\Delta_{\mathrm{abs}}=|Z_{2}-Z_{1}|\qquad\text{(3.5812)}</w:t>
      </w:r>
    </w:p>
    <w:p w:rsidR="00355D35" w:rsidRDefault="00355D35" w:rsidP="00355D35">
      <w:pPr>
        <w:pStyle w:val="StandardWeb"/>
      </w:pPr>
      <w:r>
        <w:t>Die relative Abweichung lautet</w:t>
      </w:r>
    </w:p>
    <w:p w:rsidR="00355D35" w:rsidRDefault="00355D35" w:rsidP="00355D35">
      <w:pPr>
        <w:pStyle w:val="berschrift1"/>
      </w:pPr>
      <w:r>
        <w:t>[</w:t>
      </w:r>
      <w:r>
        <w:br/>
        <w:t>\Delta_{\mathrm{rel}}</w:t>
      </w:r>
    </w:p>
    <w:p w:rsidR="00355D35" w:rsidRDefault="00355D35" w:rsidP="00355D35">
      <w:pPr>
        <w:pStyle w:val="StandardWeb"/>
      </w:pPr>
      <w:r>
        <w:t>\frac{</w:t>
      </w:r>
      <w:r>
        <w:br/>
        <w:t>|Z_{2}-Z_{1}|</w:t>
      </w:r>
      <w:r>
        <w:br/>
        <w:t>}{</w:t>
      </w:r>
      <w:r>
        <w:br/>
        <w:t>|Z_{1}|</w:t>
      </w:r>
      <w:r>
        <w:br/>
        <w:t>}.</w:t>
      </w:r>
      <w:r>
        <w:br/>
        <w:t>\tag{3.5813}</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\Delta_{\mathrm{rel}}=\frac{|Z_{2}-Z_{1}|}{|Z_{1}|}\qquad\text{(3.5813)}</w:t>
      </w:r>
    </w:p>
    <w:p w:rsidR="00355D35" w:rsidRDefault="00355D35" w:rsidP="00355D35">
      <w:pPr>
        <w:pStyle w:val="StandardWeb"/>
      </w:pPr>
      <w:r>
        <w:t>Eine Ergebnisreplikation kann gefordert werden durch</w:t>
      </w:r>
    </w:p>
    <w:p w:rsidR="00355D35" w:rsidRDefault="00355D35" w:rsidP="00355D35">
      <w:pPr>
        <w:pStyle w:val="StandardWeb"/>
      </w:pPr>
      <w:r>
        <w:t>[</w:t>
      </w:r>
      <w:r>
        <w:br/>
        <w:t>\Delta_{\mathrm{rel}}</w:t>
      </w:r>
      <w:r>
        <w:br/>
        <w:t>\leq</w:t>
      </w:r>
      <w:r>
        <w:br/>
        <w:t>\varepsilon_{\mathrm{repl}}.</w:t>
      </w:r>
      <w:r>
        <w:br/>
        <w:t>\tag{3.5814}</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\Delta_{\mathrm{rel}}\leq\varepsilon_{\mathrm{repl}}\qquad\text{(3.5814)}</w:t>
      </w:r>
    </w:p>
    <w:p w:rsidR="00355D35" w:rsidRPr="00AF32B2" w:rsidRDefault="00355D35" w:rsidP="00AF32B2">
      <w:pPr>
        <w:pStyle w:val="berschrift4"/>
      </w:pPr>
      <w:r w:rsidRPr="00AF32B2">
        <w:t>3.3.33.19 Intervallüberlappung</w:t>
      </w:r>
    </w:p>
    <w:p w:rsidR="00355D35" w:rsidRDefault="00355D35" w:rsidP="00355D35">
      <w:pPr>
        <w:pStyle w:val="StandardWeb"/>
      </w:pPr>
      <w:r>
        <w:t>Seien die Unsicherheitsintervalle der beiden Ergebnisse</w:t>
      </w:r>
    </w:p>
    <w:p w:rsidR="00355D35" w:rsidRDefault="00355D35" w:rsidP="00355D35">
      <w:pPr>
        <w:pStyle w:val="berschrift1"/>
      </w:pPr>
      <w:r>
        <w:t>[</w:t>
      </w:r>
      <w:r>
        <w:br/>
        <w:t>I_{1}</w:t>
      </w:r>
    </w:p>
    <w:p w:rsidR="00355D35" w:rsidRDefault="00355D35" w:rsidP="00355D35">
      <w:pPr>
        <w:pStyle w:val="StandardWeb"/>
      </w:pPr>
      <w:r>
        <w:lastRenderedPageBreak/>
        <w:t>[L_{1},U_{1}]</w:t>
      </w:r>
      <w:r>
        <w:br/>
        <w:t>\tag{3.5815}</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I_{1}=[L_{1},U_{1}]\qquad\text{(3.5815)}</w:t>
      </w:r>
    </w:p>
    <w:p w:rsidR="00355D35" w:rsidRDefault="00355D35" w:rsidP="00355D35">
      <w:pPr>
        <w:pStyle w:val="StandardWeb"/>
      </w:pPr>
      <w:r>
        <w:t>und</w:t>
      </w:r>
    </w:p>
    <w:p w:rsidR="00355D35" w:rsidRDefault="00355D35" w:rsidP="00355D35">
      <w:pPr>
        <w:pStyle w:val="berschrift1"/>
      </w:pPr>
      <w:r>
        <w:t>[</w:t>
      </w:r>
      <w:r>
        <w:br/>
        <w:t>I_{2}</w:t>
      </w:r>
    </w:p>
    <w:p w:rsidR="00355D35" w:rsidRDefault="00355D35" w:rsidP="00355D35">
      <w:pPr>
        <w:pStyle w:val="StandardWeb"/>
      </w:pPr>
      <w:r>
        <w:t>[L_{2},U_{2}].</w:t>
      </w:r>
      <w:r>
        <w:br/>
        <w:t>\tag{3.5816}</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I_{2}=[L_{2},U_{2}]\qquad\text{(3.5816)}</w:t>
      </w:r>
    </w:p>
    <w:p w:rsidR="00355D35" w:rsidRDefault="00355D35" w:rsidP="00355D35">
      <w:pPr>
        <w:pStyle w:val="StandardWeb"/>
      </w:pPr>
      <w:r>
        <w:t>Eine notwendige, aber nicht hinreichende Übereinstimmungsbedingung kann lauten</w:t>
      </w:r>
    </w:p>
    <w:p w:rsidR="00355D35" w:rsidRDefault="00355D35" w:rsidP="00355D35">
      <w:pPr>
        <w:pStyle w:val="StandardWeb"/>
      </w:pPr>
      <w:r>
        <w:t>[</w:t>
      </w:r>
      <w:r>
        <w:br/>
        <w:t>I_{1}</w:t>
      </w:r>
      <w:r>
        <w:br/>
        <w:t>\cap</w:t>
      </w:r>
      <w:r>
        <w:br/>
        <w:t>I_{2}</w:t>
      </w:r>
      <w:r>
        <w:br/>
        <w:t>\neq</w:t>
      </w:r>
      <w:r>
        <w:br/>
        <w:t>\emptyset.</w:t>
      </w:r>
      <w:r>
        <w:br/>
        <w:t>\tag{3.5817}</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I_{1}\cap I_{2}\neq\emptyset\qquad\text{(3.5817)}</w:t>
      </w:r>
    </w:p>
    <w:p w:rsidR="00355D35" w:rsidRDefault="00355D35" w:rsidP="00355D35">
      <w:pPr>
        <w:pStyle w:val="StandardWeb"/>
      </w:pPr>
      <w:r>
        <w:t>Die bloße Überlappung zweier Intervalle beweist keine Gleichheit der zugrunde liegenden Effekte.</w:t>
      </w:r>
    </w:p>
    <w:p w:rsidR="00355D35" w:rsidRPr="00AF32B2" w:rsidRDefault="00355D35" w:rsidP="00AF32B2">
      <w:pPr>
        <w:pStyle w:val="berschrift4"/>
      </w:pPr>
      <w:r w:rsidRPr="00AF32B2">
        <w:t>3.3.33.20 Vorzeichenübereinstimmung</w:t>
      </w:r>
    </w:p>
    <w:p w:rsidR="00355D35" w:rsidRDefault="00355D35" w:rsidP="00355D35">
      <w:pPr>
        <w:pStyle w:val="StandardWeb"/>
      </w:pPr>
      <w:r>
        <w:t>Für gerichtete Effekte kann geprüft werden:</w:t>
      </w:r>
    </w:p>
    <w:p w:rsidR="00355D35" w:rsidRDefault="00355D35" w:rsidP="00355D35">
      <w:pPr>
        <w:pStyle w:val="berschrift1"/>
      </w:pPr>
      <w:r>
        <w:t>[</w:t>
      </w:r>
      <w:r>
        <w:br/>
        <w:t>\operatorname{sgn}(Z_{1})</w:t>
      </w:r>
    </w:p>
    <w:p w:rsidR="00355D35" w:rsidRDefault="00355D35" w:rsidP="00355D35">
      <w:pPr>
        <w:pStyle w:val="StandardWeb"/>
      </w:pPr>
      <w:r>
        <w:lastRenderedPageBreak/>
        <w:t>\operatorname{sgn}(Z_{2}).</w:t>
      </w:r>
      <w:r>
        <w:br/>
        <w:t>\tag{3.5818}</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\operatorname{sgn}(Z_{1})=\operatorname{sgn}(Z_{2})\qquad\text{(3.5818)}</w:t>
      </w:r>
    </w:p>
    <w:p w:rsidR="00355D35" w:rsidRDefault="00355D35" w:rsidP="00355D35">
      <w:pPr>
        <w:pStyle w:val="StandardWeb"/>
      </w:pPr>
      <w:r>
        <w:t>Eine Vorzeichenübereinstimmung ist eine schwächere Replikationsbedingung als numerische Gleichheit.</w:t>
      </w:r>
    </w:p>
    <w:p w:rsidR="00355D35" w:rsidRDefault="00355D35" w:rsidP="00355D35">
      <w:pPr>
        <w:pStyle w:val="StandardWeb"/>
      </w:pPr>
      <w:r>
        <w:t>Es kann gelten</w:t>
      </w:r>
    </w:p>
    <w:p w:rsidR="00355D35" w:rsidRDefault="00355D35" w:rsidP="00355D35">
      <w:pPr>
        <w:pStyle w:val="berschrift1"/>
      </w:pPr>
      <w:r>
        <w:t>[</w:t>
      </w:r>
      <w:r>
        <w:br/>
        <w:t>\operatorname{sgn}(Z_{1})</w:t>
      </w:r>
    </w:p>
    <w:p w:rsidR="00355D35" w:rsidRDefault="00355D35" w:rsidP="00355D35">
      <w:pPr>
        <w:pStyle w:val="StandardWeb"/>
      </w:pPr>
      <w:r>
        <w:t>\operatorname{sgn}(Z_{2})</w:t>
      </w:r>
      <w:r>
        <w:br/>
        <w:t>\tag{3.5819}</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\operatorname{sgn}(Z_{1})=\operatorname{sgn}(Z_{2})\qquad\text{(3.5819)}</w:t>
      </w:r>
    </w:p>
    <w:p w:rsidR="00355D35" w:rsidRDefault="00355D35" w:rsidP="00355D35">
      <w:pPr>
        <w:pStyle w:val="StandardWeb"/>
      </w:pPr>
      <w:r>
        <w:t>bei gleichzeitig großer Betragsabweichung.</w:t>
      </w:r>
    </w:p>
    <w:p w:rsidR="00355D35" w:rsidRPr="00AF32B2" w:rsidRDefault="00355D35" w:rsidP="00AF32B2">
      <w:pPr>
        <w:pStyle w:val="berschrift4"/>
      </w:pPr>
      <w:r w:rsidRPr="00AF32B2">
        <w:t>3.3.33.21 Strukturübereinstimmung</w:t>
      </w:r>
    </w:p>
    <w:p w:rsidR="00355D35" w:rsidRDefault="00355D35" w:rsidP="00355D35">
      <w:pPr>
        <w:pStyle w:val="StandardWeb"/>
      </w:pPr>
      <w:r>
        <w:t>Für graphische FRZK-Strukturen seien</w:t>
      </w:r>
    </w:p>
    <w:p w:rsidR="00355D35" w:rsidRDefault="00355D35" w:rsidP="00355D35">
      <w:pPr>
        <w:pStyle w:val="berschrift1"/>
      </w:pPr>
      <w:r>
        <w:t>[</w:t>
      </w:r>
      <w:r>
        <w:br/>
        <w:t>G_{1}</w:t>
      </w:r>
    </w:p>
    <w:p w:rsidR="00355D35" w:rsidRDefault="00355D35" w:rsidP="00355D35">
      <w:pPr>
        <w:pStyle w:val="StandardWeb"/>
      </w:pPr>
      <w:r>
        <w:t>(V_{1},E_{1})</w:t>
      </w:r>
      <w:r>
        <w:br/>
        <w:t>\tag{3.5820}</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G_{1}=(V_{1},E_{1})\qquad\text{(3.5820)}</w:t>
      </w:r>
    </w:p>
    <w:p w:rsidR="00355D35" w:rsidRDefault="00355D35" w:rsidP="00355D35">
      <w:pPr>
        <w:pStyle w:val="StandardWeb"/>
      </w:pPr>
      <w:r>
        <w:t>und</w:t>
      </w:r>
    </w:p>
    <w:p w:rsidR="00355D35" w:rsidRDefault="00355D35" w:rsidP="00355D35">
      <w:pPr>
        <w:pStyle w:val="berschrift1"/>
      </w:pPr>
      <w:r>
        <w:t>[</w:t>
      </w:r>
      <w:r>
        <w:br/>
        <w:t>G_{2}</w:t>
      </w:r>
    </w:p>
    <w:p w:rsidR="00355D35" w:rsidRDefault="00355D35" w:rsidP="00355D35">
      <w:pPr>
        <w:pStyle w:val="StandardWeb"/>
      </w:pPr>
      <w:r>
        <w:lastRenderedPageBreak/>
        <w:t>(V_{2},E_{2}).</w:t>
      </w:r>
      <w:r>
        <w:br/>
        <w:t>\tag{3.5821}</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G_{2}=(V_{2},E_{2})\qquad\text{(3.5821)}</w:t>
      </w:r>
    </w:p>
    <w:p w:rsidR="00355D35" w:rsidRDefault="00355D35" w:rsidP="00355D35">
      <w:pPr>
        <w:pStyle w:val="StandardWeb"/>
      </w:pPr>
      <w:r>
        <w:t>Eine strukturelle Replikation kann durch einen Isomorphismus</w:t>
      </w:r>
    </w:p>
    <w:p w:rsidR="00355D35" w:rsidRDefault="00355D35" w:rsidP="00355D35">
      <w:pPr>
        <w:pStyle w:val="StandardWeb"/>
      </w:pPr>
      <w:r>
        <w:t>[</w:t>
      </w:r>
      <w:r>
        <w:br/>
        <w:t>G_{1}</w:t>
      </w:r>
      <w:r>
        <w:br/>
        <w:t>\cong</w:t>
      </w:r>
      <w:r>
        <w:br/>
        <w:t>G_{2}</w:t>
      </w:r>
      <w:r>
        <w:br/>
        <w:t>\tag{3.5822}</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G_{1}\cong G_{2}\qquad\text{(3.5822)}</w:t>
      </w:r>
    </w:p>
    <w:p w:rsidR="00355D35" w:rsidRDefault="00355D35" w:rsidP="00355D35">
      <w:pPr>
        <w:pStyle w:val="StandardWeb"/>
      </w:pPr>
      <w:r>
        <w:t>oder durch ein geeignetes Ähnlichkeitsmaß geprüft werden.</w:t>
      </w:r>
    </w:p>
    <w:p w:rsidR="00355D35" w:rsidRDefault="00355D35" w:rsidP="00355D35">
      <w:pPr>
        <w:pStyle w:val="StandardWeb"/>
      </w:pPr>
      <w:r>
        <w:t>Ein Kantenübereinstimmungsgrad lautet</w:t>
      </w:r>
    </w:p>
    <w:p w:rsidR="00355D35" w:rsidRDefault="00355D35" w:rsidP="00355D35">
      <w:pPr>
        <w:pStyle w:val="berschrift1"/>
      </w:pPr>
      <w:r>
        <w:t>[</w:t>
      </w:r>
      <w:r>
        <w:br/>
        <w:t>J_{E}</w:t>
      </w:r>
    </w:p>
    <w:p w:rsidR="00355D35" w:rsidRDefault="00355D35" w:rsidP="00355D35">
      <w:pPr>
        <w:pStyle w:val="StandardWeb"/>
      </w:pPr>
      <w:r>
        <w:t>\frac{</w:t>
      </w:r>
      <w:r>
        <w:br/>
        <w:t>|E_{1}\cap E_{2}|</w:t>
      </w:r>
      <w:r>
        <w:br/>
        <w:t>}{</w:t>
      </w:r>
      <w:r>
        <w:br/>
        <w:t>|E_{1}\cup E_{2}|</w:t>
      </w:r>
      <w:r>
        <w:br/>
        <w:t>}.</w:t>
      </w:r>
      <w:r>
        <w:br/>
        <w:t>\tag{3.5823}</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J_{E}=\frac{|E_{1}\cap E_{2}|}{|E_{1}\cup E_{2}|}\qquad\text{(3.5823)}</w:t>
      </w:r>
    </w:p>
    <w:p w:rsidR="00355D35" w:rsidRDefault="00355D35" w:rsidP="00355D35">
      <w:pPr>
        <w:pStyle w:val="StandardWeb"/>
      </w:pPr>
      <w:r>
        <w:t>Dabei gilt</w:t>
      </w:r>
    </w:p>
    <w:p w:rsidR="00355D35" w:rsidRDefault="00355D35" w:rsidP="00355D35">
      <w:pPr>
        <w:pStyle w:val="StandardWeb"/>
      </w:pPr>
      <w:r>
        <w:t>[</w:t>
      </w:r>
      <w:r>
        <w:br/>
        <w:t>0</w:t>
      </w:r>
      <w:r>
        <w:br/>
        <w:t>\leq</w:t>
      </w:r>
      <w:r>
        <w:br/>
        <w:t>J_{E}</w:t>
      </w:r>
      <w:r>
        <w:br/>
        <w:t>\leq</w:t>
      </w:r>
      <w:r>
        <w:br/>
        <w:t>1.</w:t>
      </w:r>
      <w:r>
        <w:br/>
        <w:t>\tag{3.5824}</w:t>
      </w:r>
      <w:r>
        <w:br/>
        <w:t>]</w:t>
      </w:r>
    </w:p>
    <w:p w:rsidR="00355D35" w:rsidRDefault="00355D35" w:rsidP="00355D35">
      <w:pPr>
        <w:pStyle w:val="StandardWeb"/>
      </w:pPr>
      <w:r>
        <w:rPr>
          <w:rStyle w:val="Fett"/>
        </w:rPr>
        <w:lastRenderedPageBreak/>
        <w:t>Word-LaTeX</w:t>
      </w:r>
    </w:p>
    <w:p w:rsidR="00355D35" w:rsidRDefault="00355D35" w:rsidP="00355D35">
      <w:pPr>
        <w:pStyle w:val="HTMLVorformatiert"/>
        <w:rPr>
          <w:rStyle w:val="HTMLCode"/>
        </w:rPr>
      </w:pPr>
      <w:r>
        <w:rPr>
          <w:rStyle w:val="HTMLCode"/>
        </w:rPr>
        <w:t>0\leq J_{E}\leq1\qquad\text{(3.5824)}</w:t>
      </w:r>
    </w:p>
    <w:p w:rsidR="00355D35" w:rsidRPr="00AF32B2" w:rsidRDefault="00355D35" w:rsidP="00AF32B2">
      <w:pPr>
        <w:pStyle w:val="berschrift4"/>
      </w:pPr>
      <w:r w:rsidRPr="00AF32B2">
        <w:t>3.3.33.22 Entscheidungsreplikation</w:t>
      </w:r>
    </w:p>
    <w:p w:rsidR="00355D35" w:rsidRDefault="00355D35" w:rsidP="00355D35">
      <w:pPr>
        <w:pStyle w:val="StandardWeb"/>
      </w:pPr>
      <w:r>
        <w:t>Die ursprüngliche wissenschaftliche Entscheidung lautet</w:t>
      </w:r>
    </w:p>
    <w:p w:rsidR="00355D35" w:rsidRDefault="00355D35" w:rsidP="00355D35">
      <w:pPr>
        <w:pStyle w:val="berschrift1"/>
      </w:pPr>
      <w:r>
        <w:t>[</w:t>
      </w:r>
      <w:r>
        <w:br/>
        <w:t>C_{1}</w:t>
      </w:r>
    </w:p>
    <w:p w:rsidR="00355D35" w:rsidRDefault="00355D35" w:rsidP="00355D35">
      <w:pPr>
        <w:pStyle w:val="StandardWeb"/>
      </w:pPr>
      <w:r>
        <w:t>\mathcal{C}</w:t>
      </w:r>
      <w:r>
        <w:rPr>
          <w:rStyle w:val="Hervorhebung"/>
        </w:rPr>
        <w:t>{F}(Z</w:t>
      </w:r>
      <w:r>
        <w:t>{1}).</w:t>
      </w:r>
      <w:r>
        <w:br/>
        <w:t>\tag{3.5825}</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C_{1}=\mathcal{C}_{F}(Z_{1})\qquad\text{(3.5825)}</w:t>
      </w:r>
    </w:p>
    <w:p w:rsidR="00355D35" w:rsidRDefault="00355D35" w:rsidP="00355D35">
      <w:pPr>
        <w:pStyle w:val="StandardWeb"/>
      </w:pPr>
      <w:r>
        <w:t>Die replizierte Entscheidung lautet</w:t>
      </w:r>
    </w:p>
    <w:p w:rsidR="00355D35" w:rsidRDefault="00355D35" w:rsidP="00355D35">
      <w:pPr>
        <w:pStyle w:val="berschrift1"/>
      </w:pPr>
      <w:r>
        <w:t>[</w:t>
      </w:r>
      <w:r>
        <w:br/>
        <w:t>C_{2}</w:t>
      </w:r>
    </w:p>
    <w:p w:rsidR="00355D35" w:rsidRDefault="00355D35" w:rsidP="00355D35">
      <w:pPr>
        <w:pStyle w:val="StandardWeb"/>
      </w:pPr>
      <w:r>
        <w:t>\mathcal{C}</w:t>
      </w:r>
      <w:r>
        <w:rPr>
          <w:rStyle w:val="Hervorhebung"/>
        </w:rPr>
        <w:t>{F}(Z</w:t>
      </w:r>
      <w:r>
        <w:t>{2}).</w:t>
      </w:r>
      <w:r>
        <w:br/>
        <w:t>\tag{3.5826}</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C_{2}=\mathcal{C}_{F}(Z_{2})\qquad\text{(3.5826)}</w:t>
      </w:r>
    </w:p>
    <w:p w:rsidR="00355D35" w:rsidRDefault="00355D35" w:rsidP="00355D35">
      <w:pPr>
        <w:pStyle w:val="StandardWeb"/>
      </w:pPr>
      <w:r>
        <w:t>Entscheidungsreplikation liegt vor, wenn</w:t>
      </w:r>
    </w:p>
    <w:p w:rsidR="00355D35" w:rsidRDefault="00355D35" w:rsidP="00355D35">
      <w:pPr>
        <w:pStyle w:val="berschrift1"/>
      </w:pPr>
      <w:r>
        <w:t>[</w:t>
      </w:r>
      <w:r>
        <w:br/>
        <w:t>C_{2}</w:t>
      </w:r>
    </w:p>
    <w:p w:rsidR="00355D35" w:rsidRDefault="00355D35" w:rsidP="00355D35">
      <w:pPr>
        <w:pStyle w:val="StandardWeb"/>
      </w:pPr>
      <w:r>
        <w:t>C_{1}.</w:t>
      </w:r>
      <w:r>
        <w:br/>
        <w:t>\tag{3.5827}</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C_{2}=C_{1}\qquad\text{(3.5827)}</w:t>
      </w:r>
    </w:p>
    <w:p w:rsidR="00355D35" w:rsidRDefault="00355D35" w:rsidP="00355D35">
      <w:pPr>
        <w:pStyle w:val="StandardWeb"/>
      </w:pPr>
      <w:r>
        <w:t>Identische Entscheidungen können jedoch trotz deutlich unterschiedlicher numerischer Ergebnisse entstehen, wenn beide Werte auf derselben Seite eines Schwellenwerts liegen.</w:t>
      </w:r>
    </w:p>
    <w:p w:rsidR="00355D35" w:rsidRPr="00AF32B2" w:rsidRDefault="00355D35" w:rsidP="00AF32B2">
      <w:pPr>
        <w:pStyle w:val="berschrift4"/>
      </w:pPr>
      <w:r w:rsidRPr="00AF32B2">
        <w:lastRenderedPageBreak/>
        <w:t>3.3.33.23 Schlussfolgerungsreplikation</w:t>
      </w:r>
    </w:p>
    <w:p w:rsidR="00355D35" w:rsidRDefault="00355D35" w:rsidP="00355D35">
      <w:pPr>
        <w:pStyle w:val="StandardWeb"/>
      </w:pPr>
      <w:r>
        <w:t>Die ursprüngliche Schlussfolgerung lautet</w:t>
      </w:r>
    </w:p>
    <w:p w:rsidR="00355D35" w:rsidRDefault="00355D35" w:rsidP="00355D35">
      <w:pPr>
        <w:pStyle w:val="StandardWeb"/>
      </w:pPr>
      <w:r>
        <w:t>[</w:t>
      </w:r>
      <w:r>
        <w:br/>
        <w:t>A_{1}.</w:t>
      </w:r>
      <w:r>
        <w:br/>
        <w:t>\tag{3.5828}</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A_{1}\qquad\text{(3.5828)}</w:t>
      </w:r>
    </w:p>
    <w:p w:rsidR="00355D35" w:rsidRDefault="00355D35" w:rsidP="00355D35">
      <w:pPr>
        <w:pStyle w:val="StandardWeb"/>
      </w:pPr>
      <w:r>
        <w:t>Die Schlussfolgerung der Replikation lautet</w:t>
      </w:r>
    </w:p>
    <w:p w:rsidR="00355D35" w:rsidRDefault="00355D35" w:rsidP="00355D35">
      <w:pPr>
        <w:pStyle w:val="StandardWeb"/>
      </w:pPr>
      <w:r>
        <w:t>[</w:t>
      </w:r>
      <w:r>
        <w:br/>
        <w:t>A_{2}.</w:t>
      </w:r>
      <w:r>
        <w:br/>
        <w:t>\tag{3.5829}</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A_{2}\qquad\text{(3.5829)}</w:t>
      </w:r>
    </w:p>
    <w:p w:rsidR="00355D35" w:rsidRDefault="00355D35" w:rsidP="00355D35">
      <w:pPr>
        <w:pStyle w:val="StandardWeb"/>
      </w:pPr>
      <w:r>
        <w:t>Eine Schlussfolgerungsreplikation liegt vor, wenn</w:t>
      </w:r>
    </w:p>
    <w:p w:rsidR="00355D35" w:rsidRDefault="00355D35" w:rsidP="00355D35">
      <w:pPr>
        <w:pStyle w:val="StandardWeb"/>
      </w:pPr>
      <w:r>
        <w:t>[</w:t>
      </w:r>
      <w:r>
        <w:br/>
        <w:t>A_{2}</w:t>
      </w:r>
      <w:r>
        <w:br/>
        <w:t>\equiv</w:t>
      </w:r>
      <w:r>
        <w:br/>
        <w:t>A_{1}.</w:t>
      </w:r>
      <w:r>
        <w:br/>
        <w:t>\tag{3.5830}</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A_{2}\equiv A_{1}\qquad\text{(3.5830)}</w:t>
      </w:r>
    </w:p>
    <w:p w:rsidR="00355D35" w:rsidRDefault="00355D35" w:rsidP="00355D35">
      <w:pPr>
        <w:pStyle w:val="StandardWeb"/>
      </w:pPr>
      <w:r>
        <w:t>Dabei muss die logische und inhaltliche Bedeutung der Aussagen übereinstimmen. Eine bloß ähnliche Formulierung reicht nicht aus.</w:t>
      </w:r>
    </w:p>
    <w:p w:rsidR="00355D35" w:rsidRPr="00AF32B2" w:rsidRDefault="00355D35" w:rsidP="00AF32B2">
      <w:pPr>
        <w:pStyle w:val="berschrift4"/>
      </w:pPr>
      <w:r w:rsidRPr="00AF32B2">
        <w:t>3.3.33.24 Replikationsstufen</w:t>
      </w:r>
    </w:p>
    <w:p w:rsidR="00355D35" w:rsidRDefault="00355D35" w:rsidP="00355D35">
      <w:pPr>
        <w:pStyle w:val="StandardWeb"/>
      </w:pPr>
      <w:r>
        <w:t>Ich unterscheide folgende Replikationsstufen:</w:t>
      </w:r>
    </w:p>
    <w:p w:rsidR="00355D35" w:rsidRDefault="00355D35" w:rsidP="00355D35">
      <w:pPr>
        <w:pStyle w:val="berschrift1"/>
      </w:pPr>
      <w:r>
        <w:t>[</w:t>
      </w:r>
      <w:r>
        <w:br/>
        <w:t>\mathfrak{L}_{\mathrm{repl}}</w:t>
      </w:r>
    </w:p>
    <w:p w:rsidR="00355D35" w:rsidRDefault="00355D35" w:rsidP="00355D35">
      <w:pPr>
        <w:pStyle w:val="StandardWeb"/>
      </w:pPr>
      <w:r>
        <w:t>\left{</w:t>
      </w:r>
      <w:r>
        <w:br/>
        <w:t>\mathbf{numerisch},</w:t>
      </w:r>
      <w:r>
        <w:br/>
        <w:t>\mathbf{strukturell},</w:t>
      </w:r>
      <w:r>
        <w:br/>
      </w:r>
      <w:r>
        <w:lastRenderedPageBreak/>
        <w:t>\mathbf{entscheidungsbezogen},</w:t>
      </w:r>
      <w:r>
        <w:br/>
        <w:t>\mathbf{schlussfolgerungsbezogen}</w:t>
      </w:r>
      <w:r>
        <w:br/>
        <w:t>\right}.</w:t>
      </w:r>
      <w:r>
        <w:br/>
        <w:t>\tag{3.5831}</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\mathfrak{L}_{\mathrm{repl}}=\left\{\mathbf{numerisch},\mathbf{strukturell},\mathbf{entscheidungsbezogen},\mathbf{schlussfolgerungsbezogen}\right\}\qquad\text{(3.5831)}</w:t>
      </w:r>
    </w:p>
    <w:p w:rsidR="00355D35" w:rsidRDefault="00355D35" w:rsidP="00355D35">
      <w:pPr>
        <w:pStyle w:val="StandardWeb"/>
      </w:pPr>
      <w:r>
        <w:t>Die Zuordnungsabbildung lautet</w:t>
      </w:r>
    </w:p>
    <w:p w:rsidR="00355D35" w:rsidRDefault="00355D35" w:rsidP="00355D35">
      <w:pPr>
        <w:pStyle w:val="StandardWeb"/>
      </w:pPr>
      <w:r>
        <w:t>[</w:t>
      </w:r>
      <w:r>
        <w:br/>
        <w:t>\operatorname{Stufe}</w:t>
      </w:r>
      <w:r>
        <w:rPr>
          <w:rStyle w:val="Hervorhebung"/>
        </w:rPr>
        <w:t>{\mathrm{repl}}:</w:t>
      </w:r>
      <w:r>
        <w:rPr>
          <w:i/>
          <w:iCs/>
        </w:rPr>
        <w:br/>
      </w:r>
      <w:r>
        <w:rPr>
          <w:rStyle w:val="Hervorhebung"/>
        </w:rPr>
        <w:t>\left(</w:t>
      </w:r>
      <w:r>
        <w:rPr>
          <w:i/>
          <w:iCs/>
        </w:rPr>
        <w:br/>
      </w:r>
      <w:r>
        <w:rPr>
          <w:rStyle w:val="Hervorhebung"/>
        </w:rPr>
        <w:t>Z</w:t>
      </w:r>
      <w:r>
        <w:t>{1},</w:t>
      </w:r>
      <w:r>
        <w:br/>
        <w:t>Z_{2}</w:t>
      </w:r>
      <w:r>
        <w:br/>
        <w:t>\right)</w:t>
      </w:r>
      <w:r>
        <w:br/>
        <w:t>\rightarrow</w:t>
      </w:r>
      <w:r>
        <w:br/>
        <w:t>\mathfrak{L}_{\mathrm{repl}}.</w:t>
      </w:r>
      <w:r>
        <w:br/>
        <w:t>\tag{3.5832}</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\operatorname{Stufe}_{\mathrm{repl}}:\left(Z_{1},Z_{2}\right)\rightarrow\mathfrak{L}_{\mathrm{repl}}\qquad\text{(3.5832)}</w:t>
      </w:r>
    </w:p>
    <w:p w:rsidR="00355D35" w:rsidRDefault="00355D35" w:rsidP="00355D35">
      <w:pPr>
        <w:pStyle w:val="StandardWeb"/>
      </w:pPr>
      <w:r>
        <w:t>Eine Replikation kann auf einer Ebene erfolgreich und auf einer anderen Ebene nicht erfolgreich sein.</w:t>
      </w:r>
    </w:p>
    <w:p w:rsidR="00355D35" w:rsidRPr="00AF32B2" w:rsidRDefault="00355D35" w:rsidP="00AF32B2">
      <w:pPr>
        <w:pStyle w:val="berschrift4"/>
      </w:pPr>
      <w:r w:rsidRPr="00AF32B2">
        <w:t>3.3.33.25 Replikationsunsicherheit</w:t>
      </w:r>
    </w:p>
    <w:p w:rsidR="00355D35" w:rsidRDefault="00355D35" w:rsidP="00355D35">
      <w:pPr>
        <w:pStyle w:val="StandardWeb"/>
      </w:pPr>
      <w:r>
        <w:t>Die Replikationsabweichung selbst ist unsicher:</w:t>
      </w:r>
    </w:p>
    <w:p w:rsidR="00355D35" w:rsidRDefault="00355D35" w:rsidP="00355D35">
      <w:pPr>
        <w:pStyle w:val="StandardWeb"/>
      </w:pPr>
      <w:r>
        <w:t>[</w:t>
      </w:r>
      <w:r>
        <w:br/>
        <w:t>\Delta_{\mathrm{repl}}</w:t>
      </w:r>
      <w:r>
        <w:br/>
        <w:t>\sim</w:t>
      </w:r>
      <w:r>
        <w:br/>
        <w:t>\mathcal{P}_{\Delta}.</w:t>
      </w:r>
      <w:r>
        <w:br/>
        <w:t>\tag{3.5833}</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\Delta_{\mathrm{repl}}\sim\mathcal{P}_{\Delta}\qquad\text{(3.5833)}</w:t>
      </w:r>
    </w:p>
    <w:p w:rsidR="00355D35" w:rsidRDefault="00355D35" w:rsidP="00355D35">
      <w:pPr>
        <w:pStyle w:val="StandardWeb"/>
      </w:pPr>
      <w:r>
        <w:t>Die Wahrscheinlichkeit einer hinreichenden Übereinstimmung lautet</w:t>
      </w:r>
    </w:p>
    <w:p w:rsidR="00355D35" w:rsidRDefault="00355D35" w:rsidP="00355D35">
      <w:pPr>
        <w:pStyle w:val="StandardWeb"/>
      </w:pPr>
      <w:r>
        <w:t>[</w:t>
      </w:r>
      <w:r>
        <w:br/>
        <w:t>\Pr</w:t>
      </w:r>
      <w:r>
        <w:br/>
      </w:r>
      <w:r>
        <w:lastRenderedPageBreak/>
        <w:t>\left(</w:t>
      </w:r>
      <w:r>
        <w:br/>
        <w:t>\Delta_{\mathrm{repl}}</w:t>
      </w:r>
      <w:r>
        <w:br/>
        <w:t>\leq</w:t>
      </w:r>
      <w:r>
        <w:br/>
        <w:t>\varepsilon_{\mathrm{repl}}</w:t>
      </w:r>
      <w:r>
        <w:br/>
        <w:t>\right).</w:t>
      </w:r>
      <w:r>
        <w:br/>
        <w:t>\tag{3.5834}</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\Pr\left(\Delta_{\mathrm{repl}}\leq\varepsilon_{\mathrm{repl}}\right)\qquad\text{(3.5834)}</w:t>
      </w:r>
    </w:p>
    <w:p w:rsidR="00355D35" w:rsidRDefault="00355D35" w:rsidP="00355D35">
      <w:pPr>
        <w:pStyle w:val="StandardWeb"/>
      </w:pPr>
      <w:r>
        <w:t>Eine probabilistisch abgesicherte Replikation kann fordern:</w:t>
      </w:r>
    </w:p>
    <w:p w:rsidR="00355D35" w:rsidRDefault="00355D35" w:rsidP="00355D35">
      <w:pPr>
        <w:pStyle w:val="StandardWeb"/>
      </w:pPr>
      <w:r>
        <w:t>[</w:t>
      </w:r>
      <w:r>
        <w:br/>
        <w:t>\Pr</w:t>
      </w:r>
      <w:r>
        <w:br/>
        <w:t>\left(</w:t>
      </w:r>
      <w:r>
        <w:br/>
        <w:t>\Delta_{\mathrm{repl}}</w:t>
      </w:r>
      <w:r>
        <w:br/>
        <w:t>\leq</w:t>
      </w:r>
      <w:r>
        <w:br/>
        <w:t>\varepsilon_{\mathrm{repl}}</w:t>
      </w:r>
      <w:r>
        <w:br/>
        <w:t>\right)</w:t>
      </w:r>
      <w:r>
        <w:br/>
        <w:t>\geq</w:t>
      </w:r>
      <w:r>
        <w:br/>
        <w:t>1-\alpha.</w:t>
      </w:r>
      <w:r>
        <w:br/>
        <w:t>\tag{3.5835}</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\Pr\left(\Delta_{\mathrm{repl}}\leq\varepsilon_{\mathrm{repl}}\right)\geq1-\alpha\qquad\text{(3.5835)}</w:t>
      </w:r>
    </w:p>
    <w:p w:rsidR="00355D35" w:rsidRPr="00AF32B2" w:rsidRDefault="00355D35" w:rsidP="00AF32B2">
      <w:pPr>
        <w:pStyle w:val="berschrift4"/>
      </w:pPr>
      <w:r w:rsidRPr="00AF32B2">
        <w:t>3.3.33.26 Mehrfache Replikationen</w:t>
      </w:r>
    </w:p>
    <w:p w:rsidR="00355D35" w:rsidRDefault="00355D35" w:rsidP="00355D35">
      <w:pPr>
        <w:pStyle w:val="StandardWeb"/>
      </w:pPr>
      <w:r>
        <w:t>Seien (m) unabhängige Replikationen gegeben:</w:t>
      </w:r>
    </w:p>
    <w:p w:rsidR="00355D35" w:rsidRDefault="00355D35" w:rsidP="00355D35">
      <w:pPr>
        <w:pStyle w:val="StandardWeb"/>
      </w:pPr>
      <w:r>
        <w:t>[</w:t>
      </w:r>
      <w:r>
        <w:br/>
        <w:t>Z^{(1)},</w:t>
      </w:r>
      <w:r>
        <w:br/>
        <w:t>Z^{(2)},</w:t>
      </w:r>
      <w:r>
        <w:br/>
        <w:t>\ldots,</w:t>
      </w:r>
      <w:r>
        <w:br/>
        <w:t>Z^{(m)}.</w:t>
      </w:r>
      <w:r>
        <w:br/>
        <w:t>\tag{3.5836}</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Z^{(1)},Z^{(2)},\ldots,Z^{(m)}\qquad\text{(3.5836)}</w:t>
      </w:r>
    </w:p>
    <w:p w:rsidR="00355D35" w:rsidRDefault="00355D35" w:rsidP="00355D35">
      <w:pPr>
        <w:pStyle w:val="StandardWeb"/>
      </w:pPr>
      <w:r>
        <w:t>Der Replikationsmittelwert lautet</w:t>
      </w:r>
    </w:p>
    <w:p w:rsidR="00355D35" w:rsidRDefault="00355D35" w:rsidP="00355D35">
      <w:pPr>
        <w:pStyle w:val="berschrift1"/>
      </w:pPr>
      <w:r>
        <w:lastRenderedPageBreak/>
        <w:t>[</w:t>
      </w:r>
      <w:r>
        <w:br/>
        <w:t>\overline{Z}_{\mathrm{repl}}</w:t>
      </w:r>
    </w:p>
    <w:p w:rsidR="00355D35" w:rsidRDefault="00355D35" w:rsidP="00355D35">
      <w:pPr>
        <w:pStyle w:val="StandardWeb"/>
      </w:pPr>
      <w:r>
        <w:t>\frac{1}{m}</w:t>
      </w:r>
      <w:r>
        <w:br/>
        <w:t>\sum_{i=1}^{m}</w:t>
      </w:r>
      <w:r>
        <w:br/>
        <w:t>Z^{(i)}.</w:t>
      </w:r>
      <w:r>
        <w:br/>
        <w:t>\tag{3.5837}</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\overline{Z}_{\mathrm{repl}}=\frac{1}{m}\sum_{i=1}^{m}Z^{(i)}\qquad\text{(3.5837)}</w:t>
      </w:r>
    </w:p>
    <w:p w:rsidR="00355D35" w:rsidRDefault="00355D35" w:rsidP="00355D35">
      <w:pPr>
        <w:pStyle w:val="StandardWeb"/>
      </w:pPr>
      <w:r>
        <w:t>Die Replikationsvarianz lautet</w:t>
      </w:r>
    </w:p>
    <w:p w:rsidR="00355D35" w:rsidRDefault="00355D35" w:rsidP="00355D35">
      <w:pPr>
        <w:pStyle w:val="berschrift1"/>
      </w:pPr>
      <w:r>
        <w:t>[</w:t>
      </w:r>
      <w:r>
        <w:br/>
        <w:t>s_{\mathrm{repl}}^{2}</w:t>
      </w:r>
    </w:p>
    <w:p w:rsidR="00355D35" w:rsidRDefault="00355D35" w:rsidP="00355D35">
      <w:pPr>
        <w:pStyle w:val="berschrift2"/>
      </w:pPr>
      <w:r>
        <w:t>\frac{1}{m-1}</w:t>
      </w:r>
      <w:r>
        <w:br/>
        <w:t>\sum_{i=1}^{m}</w:t>
      </w:r>
      <w:r>
        <w:br/>
        <w:t>\left(</w:t>
      </w:r>
      <w:r>
        <w:br/>
        <w:t>Z^{(i)}</w:t>
      </w:r>
    </w:p>
    <w:p w:rsidR="00355D35" w:rsidRDefault="00355D35" w:rsidP="00355D35">
      <w:pPr>
        <w:pStyle w:val="StandardWeb"/>
      </w:pPr>
      <w:r>
        <w:t>\overline{Z}_{\mathrm{repl}}</w:t>
      </w:r>
      <w:r>
        <w:br/>
        <w:t>\right)^2.</w:t>
      </w:r>
      <w:r>
        <w:br/>
        <w:t>\tag{3.5838}</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s_{\mathrm{repl}}^{2}=\frac{1}{m-1}\sum_{i=1}^{m}\left(Z^{(i)}-\overline{Z}_{\mathrm{repl}}\right)^2\qquad\text{(3.5838)}</w:t>
      </w:r>
    </w:p>
    <w:p w:rsidR="00355D35" w:rsidRDefault="00355D35" w:rsidP="00355D35">
      <w:pPr>
        <w:pStyle w:val="StandardWeb"/>
      </w:pPr>
      <w:r>
        <w:t>Eine geringe Replikationsvarianz weist auf stabile Ergebnisse zwischen unabhängigen Wiederholungen hin.</w:t>
      </w:r>
    </w:p>
    <w:p w:rsidR="00355D35" w:rsidRPr="00AF32B2" w:rsidRDefault="00355D35" w:rsidP="00AF32B2">
      <w:pPr>
        <w:pStyle w:val="berschrift4"/>
      </w:pPr>
      <w:r w:rsidRPr="00AF32B2">
        <w:t>3.3.33.27 Heterogenität von Replikationen</w:t>
      </w:r>
    </w:p>
    <w:p w:rsidR="00355D35" w:rsidRDefault="00355D35" w:rsidP="00355D35">
      <w:pPr>
        <w:pStyle w:val="StandardWeb"/>
      </w:pPr>
      <w:r>
        <w:t>Die Ergebnisse verschiedener Replikationen können wegen unterschiedlicher Kontexte variieren.</w:t>
      </w:r>
    </w:p>
    <w:p w:rsidR="00355D35" w:rsidRDefault="00355D35" w:rsidP="00355D35">
      <w:pPr>
        <w:pStyle w:val="StandardWeb"/>
      </w:pPr>
      <w:r>
        <w:t>Die Gesamtvarianz kann zerlegt werden in</w:t>
      </w:r>
    </w:p>
    <w:p w:rsidR="00355D35" w:rsidRDefault="00355D35" w:rsidP="00355D35">
      <w:pPr>
        <w:pStyle w:val="berschrift1"/>
      </w:pPr>
      <w:r>
        <w:lastRenderedPageBreak/>
        <w:t>[</w:t>
      </w:r>
      <w:r>
        <w:br/>
        <w:t>\sigma_{\mathrm{ges}}^{2}</w:t>
      </w:r>
    </w:p>
    <w:p w:rsidR="00355D35" w:rsidRDefault="00355D35" w:rsidP="00355D35">
      <w:pPr>
        <w:pStyle w:val="StandardWeb"/>
      </w:pPr>
      <w:r>
        <w:t>\sigma_{\mathrm{innerhalb}}^{2}</w:t>
      </w:r>
      <w:r>
        <w:br/>
        <w:t>+</w:t>
      </w:r>
      <w:r>
        <w:br/>
        <w:t>\sigma_{\mathrm{zwischen}}^{2}.</w:t>
      </w:r>
      <w:r>
        <w:br/>
        <w:t>\tag{3.5839}</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\sigma_{\mathrm{ges}}^{2}=\sigma_{\mathrm{innerhalb}}^{2}+\sigma_{\mathrm{zwischen}}^{2}\qquad\text{(3.5839)}</w:t>
      </w:r>
    </w:p>
    <w:p w:rsidR="00355D35" w:rsidRDefault="00355D35" w:rsidP="00355D35">
      <w:pPr>
        <w:pStyle w:val="StandardWeb"/>
      </w:pPr>
      <w:r>
        <w:t>Dabei bezeichnet (\sigma_{\mathrm{zwischen}}^{2}) die kontextübergreifende Heterogenität.</w:t>
      </w:r>
    </w:p>
    <w:p w:rsidR="00355D35" w:rsidRDefault="00355D35" w:rsidP="00355D35">
      <w:pPr>
        <w:pStyle w:val="StandardWeb"/>
      </w:pPr>
      <w:r>
        <w:t>Eine hohe Heterogenität kann bedeuten, dass die untersuchte Aussage nur bedingt generalisierbar ist.</w:t>
      </w:r>
    </w:p>
    <w:p w:rsidR="00355D35" w:rsidRPr="00AF32B2" w:rsidRDefault="00355D35" w:rsidP="00AF32B2">
      <w:pPr>
        <w:pStyle w:val="berschrift4"/>
      </w:pPr>
      <w:r w:rsidRPr="00AF32B2">
        <w:t>3.3.33.28 Fehlgeschlagene Replikation</w:t>
      </w:r>
    </w:p>
    <w:p w:rsidR="00355D35" w:rsidRDefault="00355D35" w:rsidP="00355D35">
      <w:pPr>
        <w:pStyle w:val="StandardWeb"/>
      </w:pPr>
      <w:r>
        <w:t>Eine Replikation gilt bezüglich des festgelegten Kriteriums als fehlgeschlagen, wenn</w:t>
      </w:r>
    </w:p>
    <w:p w:rsidR="00355D35" w:rsidRDefault="00355D35" w:rsidP="00355D35">
      <w:pPr>
        <w:pStyle w:val="StandardWeb"/>
      </w:pPr>
      <w:r>
        <w:t>[</w:t>
      </w:r>
      <w:r>
        <w:br/>
        <w:t>\Delta_{\mathrm{repl}}</w:t>
      </w:r>
    </w:p>
    <w:p w:rsidR="00355D35" w:rsidRDefault="00355D35" w:rsidP="00355D35">
      <w:pPr>
        <w:pStyle w:val="StandardWeb"/>
      </w:pPr>
      <w:r>
        <w:t>\varepsilon_{\mathrm{repl}}.</w:t>
      </w:r>
      <w:r>
        <w:br/>
        <w:t>\tag{3.5840}</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\Delta_{\mathrm{repl}}&gt;\varepsilon_{\mathrm{repl}}\qquad\text{(3.5840)}</w:t>
      </w:r>
    </w:p>
    <w:p w:rsidR="00355D35" w:rsidRDefault="00355D35" w:rsidP="00355D35">
      <w:pPr>
        <w:pStyle w:val="StandardWeb"/>
      </w:pPr>
      <w:r>
        <w:t>Daraus folgt nicht unmittelbar, dass die ursprüngliche Aussage falsch ist.</w:t>
      </w:r>
    </w:p>
    <w:p w:rsidR="00355D35" w:rsidRDefault="00355D35" w:rsidP="00355D35">
      <w:pPr>
        <w:pStyle w:val="StandardWeb"/>
      </w:pPr>
      <w:r>
        <w:t>Die Abweichung kann entstehen durch:</w:t>
      </w:r>
    </w:p>
    <w:p w:rsidR="00355D35" w:rsidRDefault="00355D35" w:rsidP="00632D23">
      <w:pPr>
        <w:pStyle w:val="StandardWeb"/>
        <w:numPr>
          <w:ilvl w:val="0"/>
          <w:numId w:val="221"/>
        </w:numPr>
      </w:pPr>
      <w:r>
        <w:t>Stichprobenvariation,</w:t>
      </w:r>
    </w:p>
    <w:p w:rsidR="00355D35" w:rsidRDefault="00355D35" w:rsidP="00632D23">
      <w:pPr>
        <w:pStyle w:val="StandardWeb"/>
        <w:numPr>
          <w:ilvl w:val="0"/>
          <w:numId w:val="221"/>
        </w:numPr>
      </w:pPr>
      <w:r>
        <w:t>Kontextunterschiede,</w:t>
      </w:r>
    </w:p>
    <w:p w:rsidR="00355D35" w:rsidRDefault="00355D35" w:rsidP="00632D23">
      <w:pPr>
        <w:pStyle w:val="StandardWeb"/>
        <w:numPr>
          <w:ilvl w:val="0"/>
          <w:numId w:val="221"/>
        </w:numPr>
      </w:pPr>
      <w:r>
        <w:t>veränderte Operationalisierung,</w:t>
      </w:r>
    </w:p>
    <w:p w:rsidR="00355D35" w:rsidRDefault="00355D35" w:rsidP="00632D23">
      <w:pPr>
        <w:pStyle w:val="StandardWeb"/>
        <w:numPr>
          <w:ilvl w:val="0"/>
          <w:numId w:val="221"/>
        </w:numPr>
      </w:pPr>
      <w:r>
        <w:t>unzureichende Vergleichbarkeit,</w:t>
      </w:r>
    </w:p>
    <w:p w:rsidR="00355D35" w:rsidRDefault="00355D35" w:rsidP="00632D23">
      <w:pPr>
        <w:pStyle w:val="StandardWeb"/>
        <w:numPr>
          <w:ilvl w:val="0"/>
          <w:numId w:val="221"/>
        </w:numPr>
      </w:pPr>
      <w:r>
        <w:t>technische Fehler,</w:t>
      </w:r>
    </w:p>
    <w:p w:rsidR="00355D35" w:rsidRDefault="00355D35" w:rsidP="00632D23">
      <w:pPr>
        <w:pStyle w:val="StandardWeb"/>
        <w:numPr>
          <w:ilvl w:val="0"/>
          <w:numId w:val="221"/>
        </w:numPr>
      </w:pPr>
      <w:r>
        <w:t>Modellinstabilität,</w:t>
      </w:r>
    </w:p>
    <w:p w:rsidR="00355D35" w:rsidRDefault="00355D35" w:rsidP="00632D23">
      <w:pPr>
        <w:pStyle w:val="StandardWeb"/>
        <w:numPr>
          <w:ilvl w:val="0"/>
          <w:numId w:val="221"/>
        </w:numPr>
      </w:pPr>
      <w:r>
        <w:t>ursprüngliche Fehlinterpretation.</w:t>
      </w:r>
    </w:p>
    <w:p w:rsidR="00355D35" w:rsidRDefault="00355D35" w:rsidP="00355D35">
      <w:pPr>
        <w:pStyle w:val="StandardWeb"/>
      </w:pPr>
      <w:r>
        <w:rPr>
          <w:rStyle w:val="Fett"/>
        </w:rPr>
        <w:t>Eigenleistung des FRZK</w:t>
      </w:r>
    </w:p>
    <w:p w:rsidR="00355D35" w:rsidRDefault="00355D35" w:rsidP="00355D35">
      <w:pPr>
        <w:pStyle w:val="StandardWeb"/>
      </w:pPr>
      <w:r>
        <w:lastRenderedPageBreak/>
        <w:t>Ich behandle eine fehlgeschlagene Replikation nicht als einheitliches Ergebnis. Vor einer wissenschaftlichen Bewertung muss die Abweichung auf technische, methodische, empirische und kontextbezogene Ursachen zerlegt werden.</w:t>
      </w:r>
    </w:p>
    <w:p w:rsidR="00355D35" w:rsidRPr="00AF32B2" w:rsidRDefault="00355D35" w:rsidP="00AF32B2">
      <w:pPr>
        <w:pStyle w:val="berschrift4"/>
      </w:pPr>
      <w:r w:rsidRPr="00AF32B2">
        <w:t>3.3.33.29 Ursachenzerlegung</w:t>
      </w:r>
    </w:p>
    <w:p w:rsidR="00355D35" w:rsidRDefault="00355D35" w:rsidP="00355D35">
      <w:pPr>
        <w:pStyle w:val="StandardWeb"/>
      </w:pPr>
      <w:r>
        <w:t>Die Replikationsabweichung kann schematisch zerlegt werden:</w:t>
      </w:r>
    </w:p>
    <w:p w:rsidR="00355D35" w:rsidRDefault="00355D35" w:rsidP="00355D35">
      <w:pPr>
        <w:pStyle w:val="berschrift1"/>
      </w:pPr>
      <w:r>
        <w:t>[</w:t>
      </w:r>
      <w:r>
        <w:br/>
        <w:t>\Delta_{\mathrm{repl}}</w:t>
      </w:r>
    </w:p>
    <w:p w:rsidR="00355D35" w:rsidRDefault="00355D35" w:rsidP="00355D35">
      <w:pPr>
        <w:pStyle w:val="StandardWeb"/>
      </w:pPr>
      <w:r>
        <w:t>\Delta_{\mathrm{tech}}</w:t>
      </w:r>
      <w:r>
        <w:br/>
        <w:t>+</w:t>
      </w:r>
      <w:r>
        <w:br/>
        <w:t>\Delta_{\mathrm{meth}}</w:t>
      </w:r>
      <w:r>
        <w:br/>
        <w:t>+</w:t>
      </w:r>
      <w:r>
        <w:br/>
        <w:t>\Delta_{\mathrm{data}}</w:t>
      </w:r>
      <w:r>
        <w:br/>
        <w:t>+</w:t>
      </w:r>
      <w:r>
        <w:br/>
        <w:t>\Delta_{\mathrm{kontext}}</w:t>
      </w:r>
      <w:r>
        <w:br/>
        <w:t>+</w:t>
      </w:r>
      <w:r>
        <w:br/>
        <w:t>\Delta_{\mathrm{zufall}}.</w:t>
      </w:r>
      <w:r>
        <w:br/>
        <w:t>\tag{3.5841}</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\Delta_{\mathrm{repl}}=\Delta_{\mathrm{tech}}+\Delta_{\mathrm{meth}}+\Delta_{\mathrm{data}}+\Delta_{\mathrm{kontext}}+\Delta_{\mathrm{zufall}}\qquad\text{(3.5841)}</w:t>
      </w:r>
    </w:p>
    <w:p w:rsidR="00355D35" w:rsidRDefault="00355D35" w:rsidP="00355D35">
      <w:pPr>
        <w:pStyle w:val="StandardWeb"/>
      </w:pPr>
      <w:r>
        <w:t>Diese additive Darstellung ist zunächst eine konzeptionelle Zerlegung. Bei Wechselwirkungen können zusätzliche Terme erforderlich sein:</w:t>
      </w:r>
    </w:p>
    <w:p w:rsidR="00355D35" w:rsidRDefault="00355D35" w:rsidP="00355D35">
      <w:pPr>
        <w:pStyle w:val="berschrift1"/>
      </w:pPr>
      <w:r>
        <w:t>[</w:t>
      </w:r>
      <w:r>
        <w:br/>
        <w:t>\Delta_{\mathrm{repl}}</w:t>
      </w:r>
    </w:p>
    <w:p w:rsidR="00355D35" w:rsidRDefault="00355D35" w:rsidP="00355D35">
      <w:pPr>
        <w:pStyle w:val="StandardWeb"/>
      </w:pPr>
      <w:r>
        <w:t>\sum_i</w:t>
      </w:r>
      <w:r>
        <w:br/>
        <w:t>\Delta_i</w:t>
      </w:r>
      <w:r>
        <w:br/>
        <w:t>+</w:t>
      </w:r>
      <w:r>
        <w:br/>
        <w:t>\sum_{i&lt;j}</w:t>
      </w:r>
      <w:r>
        <w:br/>
        <w:t>\Delta_{ij}.</w:t>
      </w:r>
      <w:r>
        <w:br/>
        <w:t>\tag{3.5842}</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\Delta_{\mathrm{repl}}=\sum_i\Delta_i+\sum_{i&lt;j}\Delta_{ij}\qquad\text{(3.5842)}</w:t>
      </w:r>
    </w:p>
    <w:p w:rsidR="00355D35" w:rsidRPr="00AF32B2" w:rsidRDefault="00355D35" w:rsidP="00AF32B2">
      <w:pPr>
        <w:pStyle w:val="berschrift4"/>
      </w:pPr>
      <w:r w:rsidRPr="00AF32B2">
        <w:t>3.3.33.30 Reproduzierbarkeitsklassen</w:t>
      </w:r>
    </w:p>
    <w:p w:rsidR="00355D35" w:rsidRDefault="00355D35" w:rsidP="00355D35">
      <w:pPr>
        <w:pStyle w:val="StandardWeb"/>
      </w:pPr>
      <w:r>
        <w:lastRenderedPageBreak/>
        <w:t>Ich unterscheide vier Reproduzierbarkeitsklassen:</w:t>
      </w:r>
    </w:p>
    <w:p w:rsidR="00355D35" w:rsidRDefault="00355D35" w:rsidP="00355D35">
      <w:pPr>
        <w:pStyle w:val="berschrift1"/>
      </w:pPr>
      <w:r>
        <w:t>[</w:t>
      </w:r>
      <w:r>
        <w:br/>
        <w:t>\mathfrak{L}_{\mathrm{rep}}</w:t>
      </w:r>
    </w:p>
    <w:p w:rsidR="00355D35" w:rsidRDefault="00355D35" w:rsidP="00355D35">
      <w:pPr>
        <w:pStyle w:val="StandardWeb"/>
      </w:pPr>
      <w:r>
        <w:t>\left{</w:t>
      </w:r>
      <w:r>
        <w:br/>
        <w:t>\mathbf{exakt},</w:t>
      </w:r>
      <w:r>
        <w:br/>
        <w:t>\mathbf{numerisch\ toleriert},</w:t>
      </w:r>
      <w:r>
        <w:br/>
        <w:t>\mathbf{methodisch\ rekonstruierbar},</w:t>
      </w:r>
      <w:r>
        <w:br/>
        <w:t>\mathbf{nicht\ reproduzierbar}</w:t>
      </w:r>
      <w:r>
        <w:br/>
        <w:t>\right}.</w:t>
      </w:r>
      <w:r>
        <w:br/>
        <w:t>\tag{3.5843}</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\mathfrak{L}_{\mathrm{rep}}=\left\{\mathbf{exakt},\mathbf{numerisch\ toleriert},\mathbf{methodisch\ rekonstruierbar},\mathbf{nicht\ reproduzierbar}\right\}\qquad\text{(3.5843)}</w:t>
      </w:r>
    </w:p>
    <w:p w:rsidR="00355D35" w:rsidRDefault="00355D35" w:rsidP="00355D35">
      <w:pPr>
        <w:pStyle w:val="StandardWeb"/>
      </w:pPr>
      <w:r>
        <w:t>Die Zuordnungsabbildung lautet</w:t>
      </w:r>
    </w:p>
    <w:p w:rsidR="00355D35" w:rsidRDefault="00355D35" w:rsidP="00355D35">
      <w:pPr>
        <w:pStyle w:val="StandardWeb"/>
      </w:pPr>
      <w:r>
        <w:t>[</w:t>
      </w:r>
      <w:r>
        <w:br/>
        <w:t>\operatorname{Klasse}</w:t>
      </w:r>
      <w:r>
        <w:rPr>
          <w:rStyle w:val="Hervorhebung"/>
        </w:rPr>
        <w:t>{\mathrm{rep}}:</w:t>
      </w:r>
      <w:r>
        <w:rPr>
          <w:i/>
          <w:iCs/>
        </w:rPr>
        <w:br/>
      </w:r>
      <w:r>
        <w:rPr>
          <w:rStyle w:val="Hervorhebung"/>
        </w:rPr>
        <w:t>\mathfrak{R}</w:t>
      </w:r>
      <w:r>
        <w:t>{F}^{\mathrm{rep}}</w:t>
      </w:r>
      <w:r>
        <w:br/>
        <w:t>\rightarrow</w:t>
      </w:r>
      <w:r>
        <w:br/>
        <w:t>\mathfrak{L}_{\mathrm{rep}}.</w:t>
      </w:r>
      <w:r>
        <w:br/>
        <w:t>\tag{3.5844}</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\operatorname{Klasse}_{\mathrm{rep}}:\mathfrak{R}_{F}^{\mathrm{rep}}\rightarrow\mathfrak{L}_{\mathrm{rep}}\qquad\text{(3.5844)}</w:t>
      </w:r>
    </w:p>
    <w:p w:rsidR="00355D35" w:rsidRPr="00AF32B2" w:rsidRDefault="00355D35" w:rsidP="00AF32B2">
      <w:pPr>
        <w:pStyle w:val="berschrift4"/>
      </w:pPr>
      <w:r w:rsidRPr="00AF32B2">
        <w:t>3.3.33.31 Gesamtprädikat der Reproduzierbarkeit</w:t>
      </w:r>
    </w:p>
    <w:p w:rsidR="00355D35" w:rsidRDefault="00355D35" w:rsidP="00355D35">
      <w:pPr>
        <w:pStyle w:val="StandardWeb"/>
      </w:pPr>
      <w:r>
        <w:t>Das erweiterte Reproduzierbarkeitsprädikat lautet</w:t>
      </w:r>
    </w:p>
    <w:p w:rsidR="00355D35" w:rsidRDefault="00355D35" w:rsidP="00355D35">
      <w:pPr>
        <w:pStyle w:val="StandardWeb"/>
      </w:pPr>
      <w:r>
        <w:t>[</w:t>
      </w:r>
      <w:r>
        <w:br/>
        <w:t>\operatorname{ERep}</w:t>
      </w:r>
      <w:r>
        <w:rPr>
          <w:rStyle w:val="Hervorhebung"/>
        </w:rPr>
        <w:t>{F}:</w:t>
      </w:r>
      <w:r>
        <w:rPr>
          <w:i/>
          <w:iCs/>
        </w:rPr>
        <w:br/>
      </w:r>
      <w:r>
        <w:rPr>
          <w:rStyle w:val="Hervorhebung"/>
        </w:rPr>
        <w:t>\mathfrak{R}</w:t>
      </w:r>
      <w:r>
        <w:t>{F}^{\mathrm{rep}}</w:t>
      </w:r>
      <w:r>
        <w:br/>
        <w:t>\rightarrow</w:t>
      </w:r>
      <w:r>
        <w:br/>
        <w:t>{0,1}.</w:t>
      </w:r>
      <w:r>
        <w:br/>
        <w:t>\tag{3.5845}</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\operatorname{ERep}_{F}:\mathfrak{R}_{F}^{\mathrm{rep}}\rightarrow\{0,1\}\qquad\text{(3.5845)}</w:t>
      </w:r>
    </w:p>
    <w:p w:rsidR="00355D35" w:rsidRDefault="00355D35" w:rsidP="00355D35">
      <w:pPr>
        <w:pStyle w:val="StandardWeb"/>
      </w:pPr>
      <w:r>
        <w:lastRenderedPageBreak/>
        <w:t>Es nimmt den Wert eins an, wenn:</w:t>
      </w:r>
    </w:p>
    <w:p w:rsidR="00355D35" w:rsidRDefault="00355D35" w:rsidP="00632D23">
      <w:pPr>
        <w:pStyle w:val="StandardWeb"/>
        <w:numPr>
          <w:ilvl w:val="0"/>
          <w:numId w:val="222"/>
        </w:numPr>
      </w:pPr>
      <w:r>
        <w:t>Datenstand und Datenherkunft dokumentiert sind,</w:t>
      </w:r>
    </w:p>
    <w:p w:rsidR="00355D35" w:rsidRDefault="00355D35" w:rsidP="00632D23">
      <w:pPr>
        <w:pStyle w:val="StandardWeb"/>
        <w:numPr>
          <w:ilvl w:val="0"/>
          <w:numId w:val="222"/>
        </w:numPr>
      </w:pPr>
      <w:r>
        <w:t>Modell- und Operationalisierungsstand versioniert sind,</w:t>
      </w:r>
    </w:p>
    <w:p w:rsidR="00355D35" w:rsidRDefault="00355D35" w:rsidP="00632D23">
      <w:pPr>
        <w:pStyle w:val="StandardWeb"/>
        <w:numPr>
          <w:ilvl w:val="0"/>
          <w:numId w:val="222"/>
        </w:numPr>
      </w:pPr>
      <w:r>
        <w:t>Software und Abhängigkeiten festgehalten sind,</w:t>
      </w:r>
    </w:p>
    <w:p w:rsidR="00355D35" w:rsidRDefault="00355D35" w:rsidP="00632D23">
      <w:pPr>
        <w:pStyle w:val="StandardWeb"/>
        <w:numPr>
          <w:ilvl w:val="0"/>
          <w:numId w:val="222"/>
        </w:numPr>
      </w:pPr>
      <w:r>
        <w:t>Zufallszustände kontrolliert sind,</w:t>
      </w:r>
    </w:p>
    <w:p w:rsidR="00355D35" w:rsidRDefault="00355D35" w:rsidP="00632D23">
      <w:pPr>
        <w:pStyle w:val="StandardWeb"/>
        <w:numPr>
          <w:ilvl w:val="0"/>
          <w:numId w:val="222"/>
        </w:numPr>
      </w:pPr>
      <w:r>
        <w:t>sämtliche Verarbeitungsschritte rekonstruiert werden können,</w:t>
      </w:r>
    </w:p>
    <w:p w:rsidR="00355D35" w:rsidRDefault="00355D35" w:rsidP="00632D23">
      <w:pPr>
        <w:pStyle w:val="StandardWeb"/>
        <w:numPr>
          <w:ilvl w:val="0"/>
          <w:numId w:val="222"/>
        </w:numPr>
      </w:pPr>
      <w:r>
        <w:t>Ergebnisabweichungen innerhalb der festgelegten Toleranzen liegen.</w:t>
      </w:r>
    </w:p>
    <w:p w:rsidR="00355D35" w:rsidRDefault="00355D35" w:rsidP="00355D35">
      <w:pPr>
        <w:pStyle w:val="StandardWeb"/>
      </w:pPr>
      <w:r>
        <w:t>Formal gilt</w:t>
      </w:r>
    </w:p>
    <w:p w:rsidR="00355D35" w:rsidRDefault="00355D35" w:rsidP="00355D35">
      <w:pPr>
        <w:pStyle w:val="berschrift1"/>
      </w:pPr>
      <w:r>
        <w:t>[</w:t>
      </w:r>
      <w:r>
        <w:br/>
        <w:t>\operatorname{ERep}</w:t>
      </w:r>
      <w:r>
        <w:rPr>
          <w:rStyle w:val="Hervorhebung"/>
        </w:rPr>
        <w:t>{F}</w:t>
      </w:r>
      <w:r>
        <w:rPr>
          <w:i/>
          <w:iCs/>
        </w:rPr>
        <w:br/>
      </w:r>
      <w:r>
        <w:rPr>
          <w:rStyle w:val="Hervorhebung"/>
        </w:rPr>
        <w:t>\left(</w:t>
      </w:r>
      <w:r>
        <w:rPr>
          <w:i/>
          <w:iCs/>
        </w:rPr>
        <w:br/>
      </w:r>
      <w:r>
        <w:rPr>
          <w:rStyle w:val="Hervorhebung"/>
        </w:rPr>
        <w:t>\mathfrak{R}</w:t>
      </w:r>
      <w:r>
        <w:t>{F}^{\mathrm{rep}}</w:t>
      </w:r>
      <w:r>
        <w:br/>
        <w:t>\right)</w:t>
      </w:r>
    </w:p>
    <w:p w:rsidR="00355D35" w:rsidRDefault="00355D35" w:rsidP="00632D23">
      <w:pPr>
        <w:numPr>
          <w:ilvl w:val="0"/>
          <w:numId w:val="223"/>
        </w:numPr>
        <w:spacing w:before="100" w:beforeAutospacing="1" w:after="100" w:afterAutospacing="1"/>
      </w:pPr>
    </w:p>
    <w:p w:rsidR="00355D35" w:rsidRDefault="00355D35" w:rsidP="00355D35">
      <w:pPr>
        <w:pStyle w:val="StandardWeb"/>
      </w:pPr>
      <w:r>
        <w:t>\tag{3.5846}</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\operatorname{ERep}_{F}\left(\mathfrak{R}_{F}^{\mathrm{rep}}\right)=1\qquad\text{(3.5846)}</w:t>
      </w:r>
    </w:p>
    <w:p w:rsidR="00355D35" w:rsidRDefault="00355D35" w:rsidP="00355D35">
      <w:pPr>
        <w:pStyle w:val="StandardWeb"/>
      </w:pPr>
      <w:r>
        <w:t>Eine zusammengesetzte Bedingung lautet</w:t>
      </w:r>
    </w:p>
    <w:p w:rsidR="00355D35" w:rsidRDefault="00355D35" w:rsidP="00355D35">
      <w:pPr>
        <w:pStyle w:val="berschrift1"/>
      </w:pPr>
      <w:r>
        <w:t>[</w:t>
      </w:r>
      <w:r>
        <w:br/>
        <w:t>\operatorname{ERep}_{F}</w:t>
      </w:r>
    </w:p>
    <w:p w:rsidR="00355D35" w:rsidRDefault="00355D35" w:rsidP="00355D35">
      <w:pPr>
        <w:pStyle w:val="StandardWeb"/>
      </w:pPr>
      <w:r>
        <w:t>1</w:t>
      </w:r>
      <w:r>
        <w:br/>
        <w:t>\iff</w:t>
      </w:r>
      <w:r>
        <w:br/>
        <w:t>C_{\mathrm{daten}}</w:t>
      </w:r>
      <w:r>
        <w:br/>
        <w:t>\land</w:t>
      </w:r>
      <w:r>
        <w:br/>
        <w:t>C_{\mathrm{modell}}</w:t>
      </w:r>
      <w:r>
        <w:br/>
        <w:t>\land</w:t>
      </w:r>
      <w:r>
        <w:br/>
        <w:t>C_{\mathrm{op}}</w:t>
      </w:r>
      <w:r>
        <w:br/>
        <w:t>\land</w:t>
      </w:r>
      <w:r>
        <w:br/>
        <w:t>C_{\mathrm{software}}</w:t>
      </w:r>
      <w:r>
        <w:br/>
        <w:t>\land</w:t>
      </w:r>
      <w:r>
        <w:br/>
        <w:t>C_{\mathrm{zufall}}</w:t>
      </w:r>
      <w:r>
        <w:br/>
        <w:t>\land</w:t>
      </w:r>
      <w:r>
        <w:br/>
        <w:t>C_{\mathrm{ergebnis}}.</w:t>
      </w:r>
      <w:r>
        <w:br/>
      </w:r>
      <w:r>
        <w:lastRenderedPageBreak/>
        <w:t>\tag{3.5847}</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\operatorname{ERep}_{F}=1\iff C_{\mathrm{daten}}\land C_{\mathrm{modell}}\land C_{\mathrm{op}}\land C_{\mathrm{software}}\land C_{\mathrm{zufall}}\land C_{\mathrm{ergebnis}}\qquad\text{(3.5847)}</w:t>
      </w:r>
    </w:p>
    <w:p w:rsidR="00355D35" w:rsidRPr="00AF32B2" w:rsidRDefault="00355D35" w:rsidP="00AF32B2">
      <w:pPr>
        <w:pStyle w:val="berschrift4"/>
      </w:pPr>
      <w:r w:rsidRPr="00AF32B2">
        <w:t>3.3.33.32 Satz zur exakten Reproduzierbarkeit deterministischer FRZK-Auswertungen</w:t>
      </w:r>
    </w:p>
    <w:p w:rsidR="00355D35" w:rsidRDefault="00355D35" w:rsidP="00355D35">
      <w:pPr>
        <w:pStyle w:val="StandardWeb"/>
      </w:pPr>
      <w:r>
        <w:rPr>
          <w:rStyle w:val="Fett"/>
        </w:rPr>
        <w:t>Satz 3.3.15 – Exakte Reproduzierbarkeit deterministischer FRZK-Auswertungen</w:t>
      </w:r>
    </w:p>
    <w:p w:rsidR="00355D35" w:rsidRDefault="00355D35" w:rsidP="00355D35">
      <w:pPr>
        <w:pStyle w:val="StandardWeb"/>
      </w:pPr>
      <w:r>
        <w:t>Sei</w:t>
      </w:r>
    </w:p>
    <w:p w:rsidR="00355D35" w:rsidRDefault="00355D35" w:rsidP="00355D35">
      <w:pPr>
        <w:pStyle w:val="StandardWeb"/>
      </w:pPr>
      <w:r>
        <w:t>[</w:t>
      </w:r>
      <w:r>
        <w:br/>
        <w:t>\mathcal{A}_{F}:</w:t>
      </w:r>
      <w:r>
        <w:br/>
        <w:t>\mathcal{X}</w:t>
      </w:r>
      <w:r>
        <w:br/>
        <w:t>\rightarrow</w:t>
      </w:r>
      <w:r>
        <w:br/>
        <w:t>\mathcal{Z}</w:t>
      </w:r>
      <w:r>
        <w:br/>
        <w:t>\tag{3.5848}</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\mathcal{A}_{F}:\mathcal{X}\rightarrow\mathcal{Z}\qquad\text{(3.5848)}</w:t>
      </w:r>
    </w:p>
    <w:p w:rsidR="00355D35" w:rsidRDefault="00355D35" w:rsidP="00355D35">
      <w:pPr>
        <w:pStyle w:val="StandardWeb"/>
      </w:pPr>
      <w:r>
        <w:t>eine deterministische FRZK-Auswertung.</w:t>
      </w:r>
    </w:p>
    <w:p w:rsidR="00355D35" w:rsidRDefault="00355D35" w:rsidP="00355D35">
      <w:pPr>
        <w:pStyle w:val="StandardWeb"/>
      </w:pPr>
      <w:r>
        <w:t>Sind zwei Ausführungen durch identische vollständige Eingaben bestimmt,</w:t>
      </w:r>
    </w:p>
    <w:p w:rsidR="00355D35" w:rsidRDefault="00355D35" w:rsidP="00355D35">
      <w:pPr>
        <w:pStyle w:val="berschrift1"/>
      </w:pPr>
      <w:r>
        <w:t>[</w:t>
      </w:r>
      <w:r>
        <w:br/>
        <w:t>x_{1}</w:t>
      </w:r>
    </w:p>
    <w:p w:rsidR="00355D35" w:rsidRDefault="00355D35" w:rsidP="00355D35">
      <w:pPr>
        <w:pStyle w:val="StandardWeb"/>
      </w:pPr>
      <w:r>
        <w:t>x_{2},</w:t>
      </w:r>
      <w:r>
        <w:br/>
        <w:t>\tag{3.5849}</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x_{1}=x_{2}\qquad\text{(3.5849)}</w:t>
      </w:r>
    </w:p>
    <w:p w:rsidR="00355D35" w:rsidRDefault="00355D35" w:rsidP="00355D35">
      <w:pPr>
        <w:pStyle w:val="StandardWeb"/>
      </w:pPr>
      <w:r>
        <w:t>dann gilt</w:t>
      </w:r>
    </w:p>
    <w:p w:rsidR="00355D35" w:rsidRDefault="00355D35" w:rsidP="00355D35">
      <w:pPr>
        <w:pStyle w:val="berschrift1"/>
      </w:pPr>
      <w:r>
        <w:t>[</w:t>
      </w:r>
      <w:r>
        <w:br/>
        <w:t>\mathcal{A}</w:t>
      </w:r>
      <w:r>
        <w:rPr>
          <w:rStyle w:val="Hervorhebung"/>
        </w:rPr>
        <w:t>{F}(x</w:t>
      </w:r>
      <w:r>
        <w:t>{1})</w:t>
      </w:r>
    </w:p>
    <w:p w:rsidR="00355D35" w:rsidRDefault="00355D35" w:rsidP="00355D35">
      <w:pPr>
        <w:pStyle w:val="StandardWeb"/>
      </w:pPr>
      <w:r>
        <w:lastRenderedPageBreak/>
        <w:t>\mathcal{A}</w:t>
      </w:r>
      <w:r>
        <w:rPr>
          <w:rStyle w:val="Hervorhebung"/>
        </w:rPr>
        <w:t>{F}(x</w:t>
      </w:r>
      <w:r>
        <w:t>{2}).</w:t>
      </w:r>
      <w:r>
        <w:br/>
        <w:t>\tag{3.5850}</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\mathcal{A}_{F}(x_{1})=\mathcal{A}_{F}(x_{2})\qquad\text{(3.5850)}</w:t>
      </w:r>
    </w:p>
    <w:p w:rsidR="00355D35" w:rsidRDefault="00355D35" w:rsidP="00355D35">
      <w:pPr>
        <w:pStyle w:val="berschrift3"/>
      </w:pPr>
      <w:r>
        <w:t>Beweis</w:t>
      </w:r>
    </w:p>
    <w:p w:rsidR="00355D35" w:rsidRDefault="00355D35" w:rsidP="00355D35">
      <w:pPr>
        <w:pStyle w:val="StandardWeb"/>
      </w:pPr>
      <w:r>
        <w:t>Da (\mathcal{A}_{F}) eine Funktion ist, wird jedem Element ihres Definitionsbereichs genau ein Element des Zielraums zugeordnet.</w:t>
      </w:r>
    </w:p>
    <w:p w:rsidR="00355D35" w:rsidRDefault="00355D35" w:rsidP="00355D35">
      <w:pPr>
        <w:pStyle w:val="StandardWeb"/>
      </w:pPr>
      <w:r>
        <w:t>Aus</w:t>
      </w:r>
    </w:p>
    <w:p w:rsidR="00355D35" w:rsidRDefault="00355D35" w:rsidP="00355D35">
      <w:pPr>
        <w:pStyle w:val="berschrift1"/>
      </w:pPr>
      <w:r>
        <w:t>[</w:t>
      </w:r>
      <w:r>
        <w:br/>
        <w:t>x_{1}</w:t>
      </w:r>
    </w:p>
    <w:p w:rsidR="00355D35" w:rsidRDefault="00355D35" w:rsidP="00355D35">
      <w:pPr>
        <w:pStyle w:val="StandardWeb"/>
      </w:pPr>
      <w:r>
        <w:t>x_{2}</w:t>
      </w:r>
      <w:r>
        <w:br/>
        <w:t>\tag{3.5851}</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x_{1}=x_{2}\qquad\text{(3.5851)}</w:t>
      </w:r>
    </w:p>
    <w:p w:rsidR="00355D35" w:rsidRDefault="00355D35" w:rsidP="00355D35">
      <w:pPr>
        <w:pStyle w:val="StandardWeb"/>
      </w:pPr>
      <w:r>
        <w:t>folgt deshalb unmittelbar</w:t>
      </w:r>
    </w:p>
    <w:p w:rsidR="00355D35" w:rsidRDefault="00355D35" w:rsidP="00355D35">
      <w:pPr>
        <w:pStyle w:val="berschrift1"/>
      </w:pPr>
      <w:r>
        <w:t>[</w:t>
      </w:r>
      <w:r>
        <w:br/>
        <w:t>\mathcal{A}</w:t>
      </w:r>
      <w:r>
        <w:rPr>
          <w:rStyle w:val="Hervorhebung"/>
        </w:rPr>
        <w:t>{F}(x</w:t>
      </w:r>
      <w:r>
        <w:t>{1})</w:t>
      </w:r>
    </w:p>
    <w:p w:rsidR="00355D35" w:rsidRDefault="00355D35" w:rsidP="00355D35">
      <w:pPr>
        <w:pStyle w:val="StandardWeb"/>
      </w:pPr>
      <w:r>
        <w:t>\mathcal{A}</w:t>
      </w:r>
      <w:r>
        <w:rPr>
          <w:rStyle w:val="Hervorhebung"/>
        </w:rPr>
        <w:t>{F}(x</w:t>
      </w:r>
      <w:r>
        <w:t>{2}).</w:t>
      </w:r>
      <w:r>
        <w:br/>
        <w:t>\tag{3.5852}</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\mathcal{A}_{F}(x_{1})=\mathcal{A}_{F}(x_{2})\qquad\text{(3.5852)}</w:t>
      </w:r>
    </w:p>
    <w:p w:rsidR="00355D35" w:rsidRDefault="00355D35" w:rsidP="00355D35">
      <w:pPr>
        <w:pStyle w:val="StandardWeb"/>
      </w:pPr>
      <w:r>
        <w:t>Damit ist die exakte Reproduzierbarkeit unter vollständiger Eingabeidentität gezeigt. (\square)</w:t>
      </w:r>
    </w:p>
    <w:p w:rsidR="00355D35" w:rsidRPr="00AF32B2" w:rsidRDefault="00355D35" w:rsidP="00AF32B2">
      <w:pPr>
        <w:pStyle w:val="berschrift4"/>
      </w:pPr>
      <w:r w:rsidRPr="00AF32B2">
        <w:t>3.3.33.33 Bedeutung der vollständigen Eingabe</w:t>
      </w:r>
    </w:p>
    <w:p w:rsidR="00355D35" w:rsidRDefault="00355D35" w:rsidP="00355D35">
      <w:pPr>
        <w:pStyle w:val="StandardWeb"/>
      </w:pPr>
      <w:r>
        <w:t>Die vollständige Eingabe umfasst nicht nur den sichtbaren Datensatz.</w:t>
      </w:r>
    </w:p>
    <w:p w:rsidR="00355D35" w:rsidRDefault="00355D35" w:rsidP="00355D35">
      <w:pPr>
        <w:pStyle w:val="StandardWeb"/>
      </w:pPr>
      <w:r>
        <w:t>Sie lautet schematisch</w:t>
      </w:r>
    </w:p>
    <w:p w:rsidR="00355D35" w:rsidRDefault="00355D35" w:rsidP="00355D35">
      <w:pPr>
        <w:pStyle w:val="berschrift1"/>
      </w:pPr>
      <w:r>
        <w:lastRenderedPageBreak/>
        <w:t>[</w:t>
      </w:r>
      <w:r>
        <w:br/>
        <w:t>x</w:t>
      </w:r>
    </w:p>
    <w:p w:rsidR="00355D35" w:rsidRDefault="00355D35" w:rsidP="00355D35">
      <w:pPr>
        <w:pStyle w:val="StandardWeb"/>
      </w:pPr>
      <w:r>
        <w:t>\left(</w:t>
      </w:r>
      <w:r>
        <w:br/>
        <w:t>\mathcal{D},</w:t>
      </w:r>
      <w:r>
        <w:br/>
        <w:t>\mathcal{M},</w:t>
      </w:r>
      <w:r>
        <w:br/>
        <w:t>\mathcal{O},</w:t>
      </w:r>
      <w:r>
        <w:br/>
        <w:t>\mathcal{K},</w:t>
      </w:r>
      <w:r>
        <w:br/>
        <w:t>S_{\mathrm{zufall}},</w:t>
      </w:r>
      <w:r>
        <w:br/>
        <w:t>\mathcal{P}_{\mathrm{data}}</w:t>
      </w:r>
      <w:r>
        <w:br/>
        <w:t>\right).</w:t>
      </w:r>
      <w:r>
        <w:br/>
        <w:t>\tag{3.5853}</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x=\left(\mathcal{D},\mathcal{M},\mathcal{O},\mathcal{K},S_{\mathrm{zufall}},\mathcal{P}_{\mathrm{data}}\right)\qquad\text{(3.5853)}</w:t>
      </w:r>
    </w:p>
    <w:p w:rsidR="00355D35" w:rsidRDefault="00355D35" w:rsidP="00355D35">
      <w:pPr>
        <w:pStyle w:val="StandardWeb"/>
      </w:pPr>
      <w:r>
        <w:t>Werden verborgene Zustände oder nicht dokumentierte Konfigurationen nicht berücksichtigt, kann scheinbare Eingabeidentität vorliegen, obwohl sich die tatsächlichen Eingaben unterscheiden.</w:t>
      </w:r>
    </w:p>
    <w:p w:rsidR="00355D35" w:rsidRPr="00AF32B2" w:rsidRDefault="00355D35" w:rsidP="00AF32B2">
      <w:pPr>
        <w:pStyle w:val="berschrift4"/>
      </w:pPr>
      <w:r w:rsidRPr="00AF32B2">
        <w:t>3.3.33.34 Reichweite des Reproduzierbarkeitssatzes</w:t>
      </w:r>
    </w:p>
    <w:p w:rsidR="00355D35" w:rsidRDefault="00355D35" w:rsidP="00355D35">
      <w:pPr>
        <w:pStyle w:val="StandardWeb"/>
      </w:pPr>
      <w:r>
        <w:t>Satz 3.3.15 garantiert keine empirische Replizierbarkeit mit neuen Daten.</w:t>
      </w:r>
    </w:p>
    <w:p w:rsidR="00355D35" w:rsidRDefault="00355D35" w:rsidP="00355D35">
      <w:pPr>
        <w:pStyle w:val="StandardWeb"/>
      </w:pPr>
      <w:r>
        <w:t>Aus</w:t>
      </w:r>
    </w:p>
    <w:p w:rsidR="00355D35" w:rsidRDefault="00355D35" w:rsidP="00355D35">
      <w:pPr>
        <w:pStyle w:val="berschrift1"/>
      </w:pPr>
      <w:r>
        <w:t>[</w:t>
      </w:r>
      <w:r>
        <w:br/>
        <w:t>\mathcal{A}</w:t>
      </w:r>
      <w:r>
        <w:rPr>
          <w:rStyle w:val="Hervorhebung"/>
        </w:rPr>
        <w:t>{F}(x</w:t>
      </w:r>
      <w:r>
        <w:t>{1})</w:t>
      </w:r>
    </w:p>
    <w:p w:rsidR="00355D35" w:rsidRDefault="00355D35" w:rsidP="00355D35">
      <w:pPr>
        <w:pStyle w:val="StandardWeb"/>
      </w:pPr>
      <w:r>
        <w:t>\mathcal{A}</w:t>
      </w:r>
      <w:r>
        <w:rPr>
          <w:rStyle w:val="Hervorhebung"/>
        </w:rPr>
        <w:t>{F}(x</w:t>
      </w:r>
      <w:r>
        <w:t>{2})</w:t>
      </w:r>
      <w:r>
        <w:br/>
        <w:t>\tag{3.5854}</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\mathcal{A}_{F}(x_{1})=\mathcal{A}_{F}(x_{2})\qquad\text{(3.5854)}</w:t>
      </w:r>
    </w:p>
    <w:p w:rsidR="00355D35" w:rsidRDefault="00355D35" w:rsidP="00355D35">
      <w:pPr>
        <w:pStyle w:val="StandardWeb"/>
      </w:pPr>
      <w:r>
        <w:t>folgt nicht</w:t>
      </w:r>
    </w:p>
    <w:p w:rsidR="00355D35" w:rsidRDefault="00355D35" w:rsidP="00355D35">
      <w:pPr>
        <w:pStyle w:val="StandardWeb"/>
      </w:pPr>
      <w:r>
        <w:t>[</w:t>
      </w:r>
      <w:r>
        <w:br/>
        <w:t>Z_{\mathrm{neu}}</w:t>
      </w:r>
      <w:r>
        <w:br/>
        <w:t>\approx</w:t>
      </w:r>
      <w:r>
        <w:br/>
        <w:t>Z_{1}.</w:t>
      </w:r>
      <w:r>
        <w:br/>
        <w:t>\tag{3.5855}</w:t>
      </w:r>
      <w:r>
        <w:br/>
        <w:t>]</w:t>
      </w:r>
    </w:p>
    <w:p w:rsidR="00355D35" w:rsidRDefault="00355D35" w:rsidP="00355D35">
      <w:pPr>
        <w:pStyle w:val="StandardWeb"/>
      </w:pPr>
      <w:r>
        <w:rPr>
          <w:rStyle w:val="Fett"/>
        </w:rPr>
        <w:lastRenderedPageBreak/>
        <w:t>Word-LaTeX</w:t>
      </w:r>
    </w:p>
    <w:p w:rsidR="00355D35" w:rsidRDefault="00355D35" w:rsidP="00355D35">
      <w:pPr>
        <w:pStyle w:val="HTMLVorformatiert"/>
        <w:rPr>
          <w:rStyle w:val="HTMLCode"/>
        </w:rPr>
      </w:pPr>
      <w:r>
        <w:rPr>
          <w:rStyle w:val="HTMLCode"/>
        </w:rPr>
        <w:t>Z_{\mathrm{neu}}\approx Z_{1}\qquad\text{(3.5855)}</w:t>
      </w:r>
    </w:p>
    <w:p w:rsidR="00355D35" w:rsidRDefault="00355D35" w:rsidP="00355D35">
      <w:pPr>
        <w:pStyle w:val="StandardWeb"/>
      </w:pPr>
      <w:r>
        <w:t>Technische Reproduzierbarkeit und empirische Replizierbarkeit bleiben deshalb getrennte Prüfziele.</w:t>
      </w:r>
    </w:p>
    <w:p w:rsidR="00355D35" w:rsidRPr="00AF32B2" w:rsidRDefault="00355D35" w:rsidP="00AF32B2">
      <w:pPr>
        <w:pStyle w:val="berschrift4"/>
      </w:pPr>
      <w:r w:rsidRPr="00AF32B2">
        <w:t>3.3.33.35 Repository-Dokumentation der Reproduzierbarkeit</w:t>
      </w:r>
    </w:p>
    <w:p w:rsidR="00355D35" w:rsidRDefault="00355D35" w:rsidP="00355D35">
      <w:pPr>
        <w:pStyle w:val="StandardWeb"/>
      </w:pPr>
      <w:r>
        <w:t>Eine Reproduzierbarkeitsabhängigkeit kann gespeichert werden als</w:t>
      </w:r>
    </w:p>
    <w:p w:rsidR="00355D35" w:rsidRDefault="00355D35" w:rsidP="00355D35">
      <w:pPr>
        <w:pStyle w:val="StandardWeb"/>
      </w:pPr>
      <w:r>
        <w:t>[</w:t>
      </w:r>
      <w:r>
        <w:br/>
        <w:t>\operatorname{RepDep}</w:t>
      </w:r>
      <w:r>
        <w:br/>
        <w:t>\left(</w:t>
      </w:r>
      <w:r>
        <w:br/>
        <w:t>Z,</w:t>
      </w:r>
      <w:r>
        <w:br/>
        <w:t>\mathcal{D},</w:t>
      </w:r>
      <w:r>
        <w:br/>
        <w:t>\mathcal{M},</w:t>
      </w:r>
      <w:r>
        <w:br/>
        <w:t>\mathcal{O},</w:t>
      </w:r>
      <w:r>
        <w:br/>
        <w:t>\mathcal{K}</w:t>
      </w:r>
      <w:r>
        <w:br/>
        <w:t>\right).</w:t>
      </w:r>
      <w:r>
        <w:br/>
        <w:t>\tag{3.5856}</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\operatorname{RepDep}\left(Z,\mathcal{D},\mathcal{M},\mathcal{O},\mathcal{K}\right)\qquad\text{(3.5856)}</w:t>
      </w:r>
    </w:p>
    <w:p w:rsidR="00355D35" w:rsidRDefault="00355D35" w:rsidP="00355D35">
      <w:pPr>
        <w:pStyle w:val="StandardWeb"/>
      </w:pPr>
      <w:r>
        <w:t>Eine Replikationsabhängigkeit lautet</w:t>
      </w:r>
    </w:p>
    <w:p w:rsidR="00355D35" w:rsidRDefault="00355D35" w:rsidP="00355D35">
      <w:pPr>
        <w:pStyle w:val="StandardWeb"/>
      </w:pPr>
      <w:r>
        <w:t>[</w:t>
      </w:r>
      <w:r>
        <w:br/>
        <w:t>\operatorname{ReplDep}</w:t>
      </w:r>
      <w:r>
        <w:br/>
        <w:t>\left(</w:t>
      </w:r>
      <w:r>
        <w:br/>
        <w:t>Z_{1},</w:t>
      </w:r>
      <w:r>
        <w:br/>
        <w:t>Z_{2},</w:t>
      </w:r>
      <w:r>
        <w:br/>
        <w:t>\Delta_{\mathrm{repl}},</w:t>
      </w:r>
      <w:r>
        <w:br/>
        <w:t>\operatorname{Stufe}_{\mathrm{repl}}</w:t>
      </w:r>
      <w:r>
        <w:br/>
        <w:t>\right).</w:t>
      </w:r>
      <w:r>
        <w:br/>
        <w:t>\tag{3.5857}</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\operatorname{ReplDep}\left(Z_{1},Z_{2},\Delta_{\mathrm{repl}},\operatorname{Stufe}_{\mathrm{repl}}\right)\qquad\text{(3.5857)}</w:t>
      </w:r>
    </w:p>
    <w:p w:rsidR="00355D35" w:rsidRDefault="00355D35" w:rsidP="00355D35">
      <w:pPr>
        <w:pStyle w:val="StandardWeb"/>
      </w:pPr>
      <w:r>
        <w:t>Ein technischer Ausführungsnachweis lautet</w:t>
      </w:r>
    </w:p>
    <w:p w:rsidR="00355D35" w:rsidRDefault="00355D35" w:rsidP="00355D35">
      <w:pPr>
        <w:pStyle w:val="StandardWeb"/>
      </w:pPr>
      <w:r>
        <w:t>[</w:t>
      </w:r>
      <w:r>
        <w:br/>
        <w:t>\operatorname{RunManifest}</w:t>
      </w:r>
      <w:r>
        <w:br/>
        <w:t>\left(</w:t>
      </w:r>
      <w:r>
        <w:br/>
        <w:t>h_{\mathcal{D}},</w:t>
      </w:r>
      <w:r>
        <w:br/>
      </w:r>
      <w:r>
        <w:lastRenderedPageBreak/>
        <w:t>h_{\mathcal{M}},</w:t>
      </w:r>
      <w:r>
        <w:br/>
        <w:t>h_{\mathcal{O}},</w:t>
      </w:r>
      <w:r>
        <w:br/>
        <w:t>\mathcal{K},</w:t>
      </w:r>
      <w:r>
        <w:br/>
        <w:t>S_{\mathrm{zufall}}</w:t>
      </w:r>
      <w:r>
        <w:br/>
        <w:t>\right).</w:t>
      </w:r>
      <w:r>
        <w:br/>
        <w:t>\tag{3.5858}</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\operatorname{RunManifest}\left(h_{\mathcal{D}},h_{\mathcal{M}},h_{\mathcal{O}},\mathcal{K},S_{\mathrm{zufall}}\right)\qquad\text{(3.5858)}</w:t>
      </w:r>
    </w:p>
    <w:p w:rsidR="00355D35" w:rsidRDefault="00355D35" w:rsidP="00355D35">
      <w:pPr>
        <w:pStyle w:val="StandardWeb"/>
      </w:pPr>
      <w:r>
        <w:t>Zusätzlich müssen dokumentiert werden:</w:t>
      </w:r>
    </w:p>
    <w:p w:rsidR="00355D35" w:rsidRDefault="00355D35" w:rsidP="00632D23">
      <w:pPr>
        <w:pStyle w:val="StandardWeb"/>
        <w:numPr>
          <w:ilvl w:val="0"/>
          <w:numId w:val="224"/>
        </w:numPr>
      </w:pPr>
      <w:r>
        <w:t>Datenquelle und Datenversion,</w:t>
      </w:r>
    </w:p>
    <w:p w:rsidR="00355D35" w:rsidRDefault="00355D35" w:rsidP="00632D23">
      <w:pPr>
        <w:pStyle w:val="StandardWeb"/>
        <w:numPr>
          <w:ilvl w:val="0"/>
          <w:numId w:val="224"/>
        </w:numPr>
      </w:pPr>
      <w:r>
        <w:t>Prüfsumme des Datenstands,</w:t>
      </w:r>
    </w:p>
    <w:p w:rsidR="00355D35" w:rsidRDefault="00355D35" w:rsidP="00632D23">
      <w:pPr>
        <w:pStyle w:val="StandardWeb"/>
        <w:numPr>
          <w:ilvl w:val="0"/>
          <w:numId w:val="224"/>
        </w:numPr>
      </w:pPr>
      <w:r>
        <w:t>Modell- und Repository-Revision,</w:t>
      </w:r>
    </w:p>
    <w:p w:rsidR="00355D35" w:rsidRDefault="00355D35" w:rsidP="00632D23">
      <w:pPr>
        <w:pStyle w:val="StandardWeb"/>
        <w:numPr>
          <w:ilvl w:val="0"/>
          <w:numId w:val="224"/>
        </w:numPr>
      </w:pPr>
      <w:r>
        <w:t>Operationalisierungsversion,</w:t>
      </w:r>
    </w:p>
    <w:p w:rsidR="00355D35" w:rsidRDefault="00355D35" w:rsidP="00632D23">
      <w:pPr>
        <w:pStyle w:val="StandardWeb"/>
        <w:numPr>
          <w:ilvl w:val="0"/>
          <w:numId w:val="224"/>
        </w:numPr>
      </w:pPr>
      <w:r>
        <w:t>Software- und Bibliotheksversionen,</w:t>
      </w:r>
    </w:p>
    <w:p w:rsidR="00355D35" w:rsidRDefault="00355D35" w:rsidP="00632D23">
      <w:pPr>
        <w:pStyle w:val="StandardWeb"/>
        <w:numPr>
          <w:ilvl w:val="0"/>
          <w:numId w:val="224"/>
        </w:numPr>
      </w:pPr>
      <w:r>
        <w:t>Datenbankstand,</w:t>
      </w:r>
    </w:p>
    <w:p w:rsidR="00355D35" w:rsidRDefault="00355D35" w:rsidP="00632D23">
      <w:pPr>
        <w:pStyle w:val="StandardWeb"/>
        <w:numPr>
          <w:ilvl w:val="0"/>
          <w:numId w:val="224"/>
        </w:numPr>
      </w:pPr>
      <w:r>
        <w:t>Konfigurationsparameter,</w:t>
      </w:r>
    </w:p>
    <w:p w:rsidR="00355D35" w:rsidRDefault="00355D35" w:rsidP="00632D23">
      <w:pPr>
        <w:pStyle w:val="StandardWeb"/>
        <w:numPr>
          <w:ilvl w:val="0"/>
          <w:numId w:val="224"/>
        </w:numPr>
      </w:pPr>
      <w:r>
        <w:t>Zufallszustände,</w:t>
      </w:r>
    </w:p>
    <w:p w:rsidR="00355D35" w:rsidRDefault="00355D35" w:rsidP="00632D23">
      <w:pPr>
        <w:pStyle w:val="StandardWeb"/>
        <w:numPr>
          <w:ilvl w:val="0"/>
          <w:numId w:val="224"/>
        </w:numPr>
      </w:pPr>
      <w:r>
        <w:t>Zwischenergebnisse,</w:t>
      </w:r>
    </w:p>
    <w:p w:rsidR="00355D35" w:rsidRDefault="00355D35" w:rsidP="00632D23">
      <w:pPr>
        <w:pStyle w:val="StandardWeb"/>
        <w:numPr>
          <w:ilvl w:val="0"/>
          <w:numId w:val="224"/>
        </w:numPr>
      </w:pPr>
      <w:r>
        <w:t>Ergebnisabweichung,</w:t>
      </w:r>
    </w:p>
    <w:p w:rsidR="00355D35" w:rsidRDefault="00355D35" w:rsidP="00632D23">
      <w:pPr>
        <w:pStyle w:val="StandardWeb"/>
        <w:numPr>
          <w:ilvl w:val="0"/>
          <w:numId w:val="224"/>
        </w:numPr>
      </w:pPr>
      <w:r>
        <w:t>Reproduzierbarkeits- und Replikationsklasse.</w:t>
      </w:r>
    </w:p>
    <w:p w:rsidR="00355D35" w:rsidRDefault="00355D35" w:rsidP="00355D35">
      <w:pPr>
        <w:pStyle w:val="StandardWeb"/>
      </w:pPr>
      <w:r>
        <w:rPr>
          <w:rStyle w:val="Fett"/>
        </w:rPr>
        <w:t>Eigenleistung des FRZK</w:t>
      </w:r>
    </w:p>
    <w:p w:rsidR="00355D35" w:rsidRDefault="00355D35" w:rsidP="00355D35">
      <w:pPr>
        <w:pStyle w:val="StandardWeb"/>
      </w:pPr>
      <w:r>
        <w:t>Ich verknüpfe jede empirische FRZK-Aussage mit einem vollständigen Ausführungsmanifest. Dadurch kann eine spätere Wiederholung nicht nur das Endergebnis prüfen, sondern die vollständige Entstehungskette des Ergebnisses rekonstruieren.</w:t>
      </w:r>
    </w:p>
    <w:p w:rsidR="00355D35" w:rsidRPr="00AF32B2" w:rsidRDefault="00355D35" w:rsidP="00AF32B2">
      <w:pPr>
        <w:pStyle w:val="berschrift4"/>
      </w:pPr>
      <w:r w:rsidRPr="00AF32B2">
        <w:t>3.3.33.36 Ergebnis der Reproduzierbarkeits- und Replizierbarkeitsprüfung</w:t>
      </w:r>
    </w:p>
    <w:p w:rsidR="00355D35" w:rsidRDefault="00355D35" w:rsidP="00355D35">
      <w:pPr>
        <w:pStyle w:val="StandardWeb"/>
      </w:pPr>
      <w:r>
        <w:t>Die Prüfung zeigt, dass Reproduzierbarkeit und Replizierbarkeit unterschiedliche wissenschaftliche Anforderungen darstellen.</w:t>
      </w:r>
    </w:p>
    <w:p w:rsidR="00355D35" w:rsidRDefault="00355D35" w:rsidP="00355D35">
      <w:pPr>
        <w:pStyle w:val="StandardWeb"/>
      </w:pPr>
      <w:r>
        <w:t>Ein FRZK-Ergebnis kann:</w:t>
      </w:r>
    </w:p>
    <w:p w:rsidR="00355D35" w:rsidRDefault="00355D35" w:rsidP="00632D23">
      <w:pPr>
        <w:pStyle w:val="StandardWeb"/>
        <w:numPr>
          <w:ilvl w:val="0"/>
          <w:numId w:val="225"/>
        </w:numPr>
      </w:pPr>
      <w:r>
        <w:t>technisch exakt reproduzierbar,</w:t>
      </w:r>
    </w:p>
    <w:p w:rsidR="00355D35" w:rsidRDefault="00355D35" w:rsidP="00632D23">
      <w:pPr>
        <w:pStyle w:val="StandardWeb"/>
        <w:numPr>
          <w:ilvl w:val="0"/>
          <w:numId w:val="225"/>
        </w:numPr>
      </w:pPr>
      <w:r>
        <w:t>nur numerisch toleriert reproduzierbar,</w:t>
      </w:r>
    </w:p>
    <w:p w:rsidR="00355D35" w:rsidRDefault="00355D35" w:rsidP="00632D23">
      <w:pPr>
        <w:pStyle w:val="StandardWeb"/>
        <w:numPr>
          <w:ilvl w:val="0"/>
          <w:numId w:val="225"/>
        </w:numPr>
      </w:pPr>
      <w:r>
        <w:t>methodisch rekonstruierbar, aber technisch nicht erneut ausführbar,</w:t>
      </w:r>
    </w:p>
    <w:p w:rsidR="00355D35" w:rsidRDefault="00355D35" w:rsidP="00632D23">
      <w:pPr>
        <w:pStyle w:val="StandardWeb"/>
        <w:numPr>
          <w:ilvl w:val="0"/>
          <w:numId w:val="225"/>
        </w:numPr>
      </w:pPr>
      <w:r>
        <w:t>technisch reproduzierbar, aber empirisch nicht replizierbar,</w:t>
      </w:r>
    </w:p>
    <w:p w:rsidR="00355D35" w:rsidRDefault="00355D35" w:rsidP="00632D23">
      <w:pPr>
        <w:pStyle w:val="StandardWeb"/>
        <w:numPr>
          <w:ilvl w:val="0"/>
          <w:numId w:val="225"/>
        </w:numPr>
      </w:pPr>
      <w:r>
        <w:t>strukturell replizierbar, aber numerisch abweichend,</w:t>
      </w:r>
    </w:p>
    <w:p w:rsidR="00355D35" w:rsidRDefault="00355D35" w:rsidP="00632D23">
      <w:pPr>
        <w:pStyle w:val="StandardWeb"/>
        <w:numPr>
          <w:ilvl w:val="0"/>
          <w:numId w:val="225"/>
        </w:numPr>
      </w:pPr>
      <w:r>
        <w:t>entscheidungsbezogen replizierbar, aber nicht parameterbezogen replizierbar</w:t>
      </w:r>
    </w:p>
    <w:p w:rsidR="00355D35" w:rsidRDefault="00355D35" w:rsidP="00355D35">
      <w:pPr>
        <w:pStyle w:val="StandardWeb"/>
      </w:pPr>
      <w:r>
        <w:t>sein.</w:t>
      </w:r>
    </w:p>
    <w:p w:rsidR="00355D35" w:rsidRDefault="00355D35" w:rsidP="00355D35">
      <w:pPr>
        <w:pStyle w:val="StandardWeb"/>
      </w:pPr>
      <w:r>
        <w:t>Besonders zu beachten ist:</w:t>
      </w:r>
    </w:p>
    <w:p w:rsidR="00355D35" w:rsidRDefault="00355D35" w:rsidP="00632D23">
      <w:pPr>
        <w:pStyle w:val="StandardWeb"/>
        <w:numPr>
          <w:ilvl w:val="0"/>
          <w:numId w:val="226"/>
        </w:numPr>
      </w:pPr>
      <w:r>
        <w:lastRenderedPageBreak/>
        <w:t>Identische Daten allein garantieren keine identische Auswertung.</w:t>
      </w:r>
    </w:p>
    <w:p w:rsidR="00355D35" w:rsidRDefault="00355D35" w:rsidP="00632D23">
      <w:pPr>
        <w:pStyle w:val="StandardWeb"/>
        <w:numPr>
          <w:ilvl w:val="0"/>
          <w:numId w:val="226"/>
        </w:numPr>
      </w:pPr>
      <w:r>
        <w:t>Verborgene Konfigurationen und Zufallszustände müssen als Eingabebestandteile behandelt werden.</w:t>
      </w:r>
    </w:p>
    <w:p w:rsidR="00355D35" w:rsidRDefault="00355D35" w:rsidP="00632D23">
      <w:pPr>
        <w:pStyle w:val="StandardWeb"/>
        <w:numPr>
          <w:ilvl w:val="0"/>
          <w:numId w:val="226"/>
        </w:numPr>
      </w:pPr>
      <w:r>
        <w:t>Prüfsummen dokumentieren technische Identität, nicht wissenschaftliche Richtigkeit.</w:t>
      </w:r>
    </w:p>
    <w:p w:rsidR="00355D35" w:rsidRDefault="00355D35" w:rsidP="00632D23">
      <w:pPr>
        <w:pStyle w:val="StandardWeb"/>
        <w:numPr>
          <w:ilvl w:val="0"/>
          <w:numId w:val="226"/>
        </w:numPr>
      </w:pPr>
      <w:r>
        <w:t>Eine fehlgeschlagene Replikation widerlegt die ursprüngliche Aussage nicht automatisch.</w:t>
      </w:r>
    </w:p>
    <w:p w:rsidR="00355D35" w:rsidRDefault="00355D35" w:rsidP="00632D23">
      <w:pPr>
        <w:pStyle w:val="StandardWeb"/>
        <w:numPr>
          <w:ilvl w:val="0"/>
          <w:numId w:val="226"/>
        </w:numPr>
      </w:pPr>
      <w:r>
        <w:t>Ergebnis-, Struktur-, Entscheidungs- und Schlussfolgerungsreplikation müssen getrennt bewertet werden.</w:t>
      </w:r>
    </w:p>
    <w:p w:rsidR="00355D35" w:rsidRDefault="00355D35" w:rsidP="00632D23">
      <w:pPr>
        <w:pStyle w:val="StandardWeb"/>
        <w:numPr>
          <w:ilvl w:val="0"/>
          <w:numId w:val="226"/>
        </w:numPr>
      </w:pPr>
      <w:r>
        <w:t>Technische Reproduzierbarkeit ist keine hinreichende Bedingung für empirische Generalisierbarkeit.</w:t>
      </w:r>
    </w:p>
    <w:p w:rsidR="00355D35" w:rsidRDefault="00355D35" w:rsidP="00632D23">
      <w:pPr>
        <w:pStyle w:val="StandardWeb"/>
        <w:numPr>
          <w:ilvl w:val="0"/>
          <w:numId w:val="226"/>
        </w:numPr>
      </w:pPr>
      <w:r>
        <w:t>Replikationsabweichungen müssen nach Ursache und Ebene differenziert werden [58, 59, 79].</w:t>
      </w:r>
    </w:p>
    <w:p w:rsidR="00355D35" w:rsidRDefault="00355D35" w:rsidP="00355D35">
      <w:pPr>
        <w:pStyle w:val="StandardWeb"/>
      </w:pPr>
      <w:r>
        <w:rPr>
          <w:rStyle w:val="Fett"/>
        </w:rPr>
        <w:t>Eigenleistung des FRZK</w:t>
      </w:r>
    </w:p>
    <w:p w:rsidR="00355D35" w:rsidRDefault="00355D35" w:rsidP="00355D35">
      <w:pPr>
        <w:pStyle w:val="StandardWeb"/>
      </w:pPr>
      <w:r>
        <w:t>Mit Definition 3.3.25 und Satz 3.3.15 steht ein formaler Rahmen zur Verfügung, mit dem ich FRZK-Auswertungen technisch, methodisch und empirisch prüfen kann. Dadurch wird Reproduzierbarkeit nicht auf die erneute Ausführung eines Programms reduziert, sondern als vollständige Rekonstruktion der wissenschaftlichen Auswertungskette verstanden.</w:t>
      </w:r>
    </w:p>
    <w:p w:rsidR="00355D35" w:rsidRPr="00AF32B2" w:rsidRDefault="00355D35" w:rsidP="00AF32B2">
      <w:pPr>
        <w:pStyle w:val="berschrift4"/>
      </w:pPr>
      <w:r w:rsidRPr="00AF32B2">
        <w:t>3.3.33.37 Übergang zur Prüfung der Falsifizierbarkeit und empirischen Widerlegbarkeit</w:t>
      </w:r>
    </w:p>
    <w:p w:rsidR="00355D35" w:rsidRDefault="00355D35" w:rsidP="00355D35">
      <w:pPr>
        <w:pStyle w:val="StandardWeb"/>
      </w:pPr>
      <w:r>
        <w:t>Eine technisch reproduzierbare und empirisch replizierbare Aussage kann dennoch wissenschaftlich unzureichend sein, wenn nicht bestimmt ist, durch welche Beobachtungen sie widerlegt werden könnte.</w:t>
      </w:r>
    </w:p>
    <w:p w:rsidR="00355D35" w:rsidRDefault="00355D35" w:rsidP="00355D35">
      <w:pPr>
        <w:pStyle w:val="StandardWeb"/>
      </w:pPr>
      <w:r>
        <w:t>Eine empirische Aussage lautet</w:t>
      </w:r>
    </w:p>
    <w:p w:rsidR="00355D35" w:rsidRDefault="00355D35" w:rsidP="00355D35">
      <w:pPr>
        <w:pStyle w:val="StandardWeb"/>
      </w:pPr>
      <w:r>
        <w:t>[</w:t>
      </w:r>
      <w:r>
        <w:br/>
        <w:t>P_{\mathrm{emp}}.</w:t>
      </w:r>
      <w:r>
        <w:br/>
        <w:t>\tag{3.5859}</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P_{\mathrm{emp}}\qquad\text{(3.5859)}</w:t>
      </w:r>
    </w:p>
    <w:p w:rsidR="00355D35" w:rsidRDefault="00355D35" w:rsidP="00355D35">
      <w:pPr>
        <w:pStyle w:val="StandardWeb"/>
      </w:pPr>
      <w:r>
        <w:t>Die Menge potenziell widerlegender Beobachtungen sei</w:t>
      </w:r>
    </w:p>
    <w:p w:rsidR="00355D35" w:rsidRDefault="00355D35" w:rsidP="00355D35">
      <w:pPr>
        <w:pStyle w:val="StandardWeb"/>
      </w:pPr>
      <w:r>
        <w:t>[</w:t>
      </w:r>
      <w:r>
        <w:br/>
        <w:t>\mathfrak{D}_{\neg P}.</w:t>
      </w:r>
      <w:r>
        <w:br/>
        <w:t>\tag{3.5860}</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\mathfrak{D}_{\neg P}\qquad\text{(3.5860)}</w:t>
      </w:r>
    </w:p>
    <w:p w:rsidR="00355D35" w:rsidRDefault="00355D35" w:rsidP="00355D35">
      <w:pPr>
        <w:pStyle w:val="StandardWeb"/>
      </w:pPr>
      <w:r>
        <w:t>Eine empirisch widerlegbare Aussage verlangt</w:t>
      </w:r>
    </w:p>
    <w:p w:rsidR="00355D35" w:rsidRDefault="00355D35" w:rsidP="00355D35">
      <w:pPr>
        <w:pStyle w:val="StandardWeb"/>
      </w:pPr>
      <w:r>
        <w:lastRenderedPageBreak/>
        <w:t>[</w:t>
      </w:r>
      <w:r>
        <w:br/>
        <w:t>\mathfrak{D}_{\neg P}</w:t>
      </w:r>
      <w:r>
        <w:br/>
        <w:t>\neq</w:t>
      </w:r>
      <w:r>
        <w:br/>
        <w:t>\emptyset.</w:t>
      </w:r>
      <w:r>
        <w:br/>
        <w:t>\tag{3.5861}</w:t>
      </w:r>
      <w:r>
        <w:br/>
        <w:t>]</w:t>
      </w:r>
    </w:p>
    <w:p w:rsidR="00355D35" w:rsidRDefault="00355D35" w:rsidP="00355D35">
      <w:pPr>
        <w:pStyle w:val="StandardWeb"/>
      </w:pPr>
      <w:r>
        <w:rPr>
          <w:rStyle w:val="Fett"/>
        </w:rPr>
        <w:t>Word-LaTeX</w:t>
      </w:r>
    </w:p>
    <w:p w:rsidR="00355D35" w:rsidRDefault="00355D35" w:rsidP="00355D35">
      <w:pPr>
        <w:pStyle w:val="HTMLVorformatiert"/>
        <w:rPr>
          <w:rStyle w:val="HTMLCode"/>
        </w:rPr>
      </w:pPr>
      <w:r>
        <w:rPr>
          <w:rStyle w:val="HTMLCode"/>
        </w:rPr>
        <w:t>\mathfrak{D}_{\neg P}\neq\emptyset\qquad\text{(3.5861)}</w:t>
      </w:r>
    </w:p>
    <w:p w:rsidR="00355D35" w:rsidRDefault="00355D35" w:rsidP="00355D35">
      <w:pPr>
        <w:pStyle w:val="StandardWeb"/>
      </w:pPr>
      <w:r>
        <w:rPr>
          <w:rStyle w:val="Fett"/>
        </w:rPr>
        <w:t>Eigenleistung des FRZK</w:t>
      </w:r>
    </w:p>
    <w:p w:rsidR="00355D35" w:rsidRDefault="00355D35" w:rsidP="00355D35">
      <w:pPr>
        <w:pStyle w:val="StandardWeb"/>
      </w:pPr>
      <w:r>
        <w:t>Der folgende Abschnitt untersucht deshalb, unter welchen Bedingungen eine FRZK-Aussage konkrete potenziell widerlegende Beobachtungen besitzt und wie diese von bloßen Modellabweichungen, Messfehlern und unzulässigen Kontextänderungen getrennt werden.</w:t>
      </w:r>
    </w:p>
    <w:p w:rsidR="00AD46B5" w:rsidRDefault="00AD46B5" w:rsidP="00AD46B5">
      <w:pPr>
        <w:pStyle w:val="berschrift2"/>
      </w:pPr>
      <w:r>
        <w:t>Ergänzung zu 3.3.33 – Prüfung der Replizierbarkeit und Reproduzierbarkeit</w:t>
      </w:r>
    </w:p>
    <w:p w:rsidR="00AD46B5" w:rsidRDefault="00AD46B5" w:rsidP="00AD46B5">
      <w:pPr>
        <w:pStyle w:val="berschrift3"/>
      </w:pPr>
      <w:r>
        <w:t>Methodologische Betrachtungen</w:t>
      </w:r>
    </w:p>
    <w:p w:rsidR="00AD46B5" w:rsidRDefault="00AD46B5" w:rsidP="00AD46B5">
      <w:pPr>
        <w:pStyle w:val="StandardWeb"/>
      </w:pPr>
      <w:r>
        <w:t>Reproduzierbarkeit und Replizierbarkeit prüfen unterschiedliche Ebenen wissenschaftlicher Zuverlässigkeit. Reproduzierbarkeit untersucht, ob dieselbe Auswertung unter denselben Bedingungen erneut dasselbe oder ein innerhalb festgelegter Toleranzen gleiches Ergebnis erzeugt. Replizierbarkeit untersucht dagegen, ob eine vergleichbare wissenschaftliche Aussage mit neuen Daten erneut gestützt wird [58, 59, 79].</w:t>
      </w:r>
    </w:p>
    <w:p w:rsidR="00AD46B5" w:rsidRDefault="00AD46B5" w:rsidP="00AD46B5">
      <w:pPr>
        <w:pStyle w:val="StandardWeb"/>
      </w:pPr>
      <w:r>
        <w:t>Ich trenne deshalb technische, methodische und empirische Wiederholbarkeit. Eine technisch reproduzierbare Berechnung kann wissenschaftlich unzureichend dokumentiert sein. Umgekehrt kann ein methodisch gut dokumentiertes Verfahren technisch nicht mehr ausführbar sein, wenn Softwarestände oder Abhängigkeiten fehlen.</w:t>
      </w:r>
    </w:p>
    <w:p w:rsidR="00AD46B5" w:rsidRDefault="00AD46B5" w:rsidP="00AD46B5">
      <w:pPr>
        <w:pStyle w:val="StandardWeb"/>
      </w:pPr>
      <w:r>
        <w:t>Die vollständige Eingabe einer Auswertung umfasst mehr als den sichtbaren Datensatz. Sie enthält ebenso Modellversion, Operationalisierung, Konfiguration, Softwarestand, Datenbankstand, Zufallszustände und sämtliche Vorverarbeitungsschritte. Werden diese Bestandteile nicht dokumentiert, kann eine erneute Ausführung trotz scheinbar identischer Daten zu einem anderen Ergebnis führen.</w:t>
      </w:r>
    </w:p>
    <w:p w:rsidR="00AD46B5" w:rsidRDefault="00AD46B5" w:rsidP="00AD46B5">
      <w:pPr>
        <w:pStyle w:val="StandardWeb"/>
      </w:pPr>
      <w:r>
        <w:t>Die Verwendung von Prüfsummen ist dabei ein technisches Hilfsmittel. Sie kann bestätigen, dass zwei Dateien oder Modellstände technisch identisch sind. Sie kann jedoch nicht bestätigen, dass die Daten korrekt erhoben, die Variablen sinnvoll operationalisiert oder die wissenschaftlichen Schlussfolgerungen berechtigt sind.</w:t>
      </w:r>
    </w:p>
    <w:p w:rsidR="00AD46B5" w:rsidRDefault="00AD46B5" w:rsidP="00AD46B5">
      <w:pPr>
        <w:pStyle w:val="StandardWeb"/>
      </w:pPr>
      <w:r>
        <w:t>Eine fehlgeschlagene Replikation darf nicht vorschnell als Widerlegung der ursprünglichen Aussage interpretiert werden. Zunächst muss geprüft werden, ob Ausgangs- und Replikationskontext tatsächlich vergleichbar sind. Ebenso müssen Stichprobenvariation, Messunsicherheit, Modelländerungen und technische Abweichungen berücksichtigt werden.</w:t>
      </w:r>
    </w:p>
    <w:p w:rsidR="00AD46B5" w:rsidRDefault="00AD46B5" w:rsidP="00AD46B5">
      <w:pPr>
        <w:pStyle w:val="StandardWeb"/>
      </w:pPr>
      <w:r>
        <w:lastRenderedPageBreak/>
        <w:t>Die stufenweise Reproduzierbarkeitsprüfung besitzt deshalb besondere Bedeutung. Sie ermöglicht es, nicht nur festzustellen, dass zwei Endergebnisse voneinander abweichen, sondern auch zu bestimmen, an welcher Verarbeitungsstufe die Abweichung erstmals entsteht.</w:t>
      </w:r>
    </w:p>
    <w:p w:rsidR="00AD46B5" w:rsidRDefault="00AD46B5" w:rsidP="00AD46B5">
      <w:pPr>
        <w:pStyle w:val="StandardWeb"/>
      </w:pPr>
      <w:r>
        <w:t>Die Reproduzierbarkeitsprüfung ist keine zusätzliche ontologische Annahme des FRZK. Sie ist eine methodische Voraussetzung dafür, dass empirische FRZK-Ergebnisse unabhängig nachvollzogen und geprüft werden können.</w:t>
      </w:r>
    </w:p>
    <w:p w:rsidR="00AD46B5" w:rsidRDefault="00AD46B5" w:rsidP="00AD46B5">
      <w:pPr>
        <w:pStyle w:val="berschrift3"/>
      </w:pPr>
      <w:r>
        <w:t>Didaktische Betrachtungen</w:t>
      </w:r>
    </w:p>
    <w:p w:rsidR="00AD46B5" w:rsidRDefault="00AD46B5" w:rsidP="00AD46B5">
      <w:pPr>
        <w:pStyle w:val="StandardWeb"/>
      </w:pPr>
      <w:r>
        <w:t>Reproduzierbarkeit lässt sich mit einem Rechenweg vergleichen. Zwei Personen verwenden dieselben Zahlen, dieselbe Formel und dieselben Rechenschritte. Erhalten beide dasselbe Ergebnis, ist die Berechnung reproduzierbar.</w:t>
      </w:r>
    </w:p>
    <w:p w:rsidR="00AD46B5" w:rsidRDefault="00AD46B5" w:rsidP="00AD46B5">
      <w:pPr>
        <w:pStyle w:val="StandardWeb"/>
      </w:pPr>
      <w:r>
        <w:t>Verwendet eine Person jedoch einen anderen Rundungswert, eine andere Formelversion oder einen nicht dokumentierten Zwischenschritt, können unterschiedliche Ergebnisse entstehen. Der Unterschied liegt dann nicht notwendig in den Ausgangsdaten, sondern in der Verarbeitung.</w:t>
      </w:r>
    </w:p>
    <w:p w:rsidR="00AD46B5" w:rsidRDefault="00AD46B5" w:rsidP="00AD46B5">
      <w:pPr>
        <w:pStyle w:val="StandardWeb"/>
      </w:pPr>
      <w:r>
        <w:t>Replizierbarkeit lässt sich dagegen mit einer neuen Messung vergleichen. Eine Länge wird zunächst mit einem Lineal gemessen. Später wird derselbe Gegenstand erneut oder ein vergleichbarer Gegenstand unter denselben Bedingungen gemessen. Die Messwerte müssen nicht exakt identisch sein, sollten aber innerhalb einer begründeten Toleranz übereinstimmen.</w:t>
      </w:r>
    </w:p>
    <w:p w:rsidR="00AD46B5" w:rsidRDefault="00AD46B5" w:rsidP="00AD46B5">
      <w:pPr>
        <w:pStyle w:val="StandardWeb"/>
      </w:pPr>
      <w:r>
        <w:t>Didaktisch sind vier Ebenen der Übereinstimmung zu unterscheiden:</w:t>
      </w:r>
    </w:p>
    <w:p w:rsidR="00AD46B5" w:rsidRDefault="00AD46B5" w:rsidP="00AD46B5">
      <w:pPr>
        <w:pStyle w:val="StandardWeb"/>
        <w:numPr>
          <w:ilvl w:val="0"/>
          <w:numId w:val="254"/>
        </w:numPr>
      </w:pPr>
      <w:r>
        <w:t>exakte Zahlenübereinstimmung,</w:t>
      </w:r>
    </w:p>
    <w:p w:rsidR="00AD46B5" w:rsidRDefault="00AD46B5" w:rsidP="00AD46B5">
      <w:pPr>
        <w:pStyle w:val="StandardWeb"/>
        <w:numPr>
          <w:ilvl w:val="0"/>
          <w:numId w:val="254"/>
        </w:numPr>
      </w:pPr>
      <w:r>
        <w:t>strukturelle Übereinstimmung,</w:t>
      </w:r>
    </w:p>
    <w:p w:rsidR="00AD46B5" w:rsidRDefault="00AD46B5" w:rsidP="00AD46B5">
      <w:pPr>
        <w:pStyle w:val="StandardWeb"/>
        <w:numPr>
          <w:ilvl w:val="0"/>
          <w:numId w:val="254"/>
        </w:numPr>
      </w:pPr>
      <w:r>
        <w:t>gleiche Entscheidung,</w:t>
      </w:r>
    </w:p>
    <w:p w:rsidR="00AD46B5" w:rsidRDefault="00AD46B5" w:rsidP="00AD46B5">
      <w:pPr>
        <w:pStyle w:val="StandardWeb"/>
        <w:numPr>
          <w:ilvl w:val="0"/>
          <w:numId w:val="254"/>
        </w:numPr>
      </w:pPr>
      <w:r>
        <w:t>gleiche wissenschaftliche Schlussfolgerung.</w:t>
      </w:r>
    </w:p>
    <w:p w:rsidR="00AD46B5" w:rsidRDefault="00AD46B5" w:rsidP="00AD46B5">
      <w:pPr>
        <w:pStyle w:val="StandardWeb"/>
      </w:pPr>
      <w:r>
        <w:t>Zwei Untersuchungen können beispielsweise unterschiedliche Zahlenwerte ergeben, aber denselben Trend und dieselbe Entscheidung zeigen. Umgekehrt können ähnliche Zahlen durch einen Schwellenwert auf unterschiedliche Seiten einer Klassengrenze fallen.</w:t>
      </w:r>
    </w:p>
    <w:p w:rsidR="00AD46B5" w:rsidRDefault="00AD46B5" w:rsidP="00AD46B5">
      <w:pPr>
        <w:pStyle w:val="StandardWeb"/>
      </w:pPr>
      <w:r>
        <w:t>Ein einfaches Beispiel ist die Prognose eines Werts oberhalb oder unterhalb von (10). Die erste Untersuchung ergibt (10{,}1), die zweite (9{,}9). Numerisch liegen die Werte sehr nahe beieinander. Die binäre Entscheidung unterscheidet sich dennoch. Damit ist die numerische Replikation möglicherweise gut, die Entscheidungsreplikation jedoch nicht gegeben.</w:t>
      </w:r>
    </w:p>
    <w:p w:rsidR="00AD46B5" w:rsidRDefault="00AD46B5" w:rsidP="00AD46B5">
      <w:pPr>
        <w:pStyle w:val="StandardWeb"/>
      </w:pPr>
      <w:r>
        <w:t>Der Abschnitt zeigt somit, dass die Frage „Wurde das Ergebnis wiederholt?“ immer durch die Zusatzfrage ergänzt werden muss: „Auf welcher Ebene wurde es wiederholt?“</w:t>
      </w:r>
    </w:p>
    <w:p w:rsidR="00AD46B5" w:rsidRDefault="00E50336" w:rsidP="00AD46B5">
      <w:r>
        <w:pict>
          <v:rect id="_x0000_i1057" style="width:0;height:1.5pt" o:hralign="center" o:hrstd="t" o:hr="t" fillcolor="#a0a0a0" stroked="f"/>
        </w:pict>
      </w:r>
    </w:p>
    <w:p w:rsidR="000862CC" w:rsidRPr="00AF32B2" w:rsidRDefault="000862CC" w:rsidP="00AF32B2">
      <w:pPr>
        <w:pStyle w:val="berschrift3"/>
      </w:pPr>
      <w:r w:rsidRPr="00AF32B2">
        <w:t>3.3.34 Prüfung der Falsifizierbarkeit und empirischen Widerlegbarkeit</w:t>
      </w:r>
    </w:p>
    <w:p w:rsidR="000862CC" w:rsidRDefault="000862CC" w:rsidP="000862CC">
      <w:pPr>
        <w:pStyle w:val="StandardWeb"/>
      </w:pPr>
      <w:r>
        <w:lastRenderedPageBreak/>
        <w:t>Die Reproduzierbarkeits- und Replizierbarkeitsprüfung des vorhergehenden Abschnitts hat gezeigt, unter welchen Bedingungen eine FRZK-Auswertung technisch erneut ausgeführt und mit neuen Daten wissenschaftlich wiederholt werden kann. Eine reproduzierbare oder replizierbare Aussage ist jedoch nicht automatisch falsifizierbar. Wissenschaftliche Prüfbarkeit verlangt zusätzlich, dass vorab bestimmt werden kann, welche Beobachtungen, Abweichungen oder Ergebnismuster gegen die betrachtete Aussage sprechen würden [58, 59, 79].</w:t>
      </w:r>
    </w:p>
    <w:p w:rsidR="000862CC" w:rsidRDefault="000862CC" w:rsidP="000862CC">
      <w:pPr>
        <w:pStyle w:val="StandardWeb"/>
      </w:pPr>
      <w:r>
        <w:t>Eine Aussage ist empirisch unzureichend, wenn jedes mögliche Ergebnis mit ihr vereinbar gemacht werden kann. In diesem Fall besitzt sie keinen eindeutig bestimmbaren empirischen Widerlegungsbereich. Für das Funktionale Raum-Zeit-Kohärenzsystem muss deshalb für jede empirische Aussage dokumentiert werden, welche Beobachtungen sie stützen, welche Beobachtungen neutral bleiben und welche Beobachtungen sie innerhalb der festgelegten Modell- und Messbedingungen widerlegen würden [58, 59, 79].</w:t>
      </w:r>
    </w:p>
    <w:p w:rsidR="000862CC" w:rsidRDefault="000862CC" w:rsidP="000862CC">
      <w:pPr>
        <w:pStyle w:val="StandardWeb"/>
      </w:pPr>
      <w:r>
        <w:t>Ich unterscheide in diesem Abschnitt:</w:t>
      </w:r>
    </w:p>
    <w:p w:rsidR="000862CC" w:rsidRDefault="000862CC" w:rsidP="00632D23">
      <w:pPr>
        <w:pStyle w:val="StandardWeb"/>
        <w:numPr>
          <w:ilvl w:val="0"/>
          <w:numId w:val="227"/>
        </w:numPr>
      </w:pPr>
      <w:r>
        <w:t>logische und empirische Widerlegbarkeit,</w:t>
      </w:r>
    </w:p>
    <w:p w:rsidR="000862CC" w:rsidRDefault="000862CC" w:rsidP="00632D23">
      <w:pPr>
        <w:pStyle w:val="StandardWeb"/>
        <w:numPr>
          <w:ilvl w:val="0"/>
          <w:numId w:val="227"/>
        </w:numPr>
      </w:pPr>
      <w:r>
        <w:t>potenziell widerlegende Datenmengen,</w:t>
      </w:r>
    </w:p>
    <w:p w:rsidR="000862CC" w:rsidRDefault="000862CC" w:rsidP="00632D23">
      <w:pPr>
        <w:pStyle w:val="StandardWeb"/>
        <w:numPr>
          <w:ilvl w:val="0"/>
          <w:numId w:val="227"/>
        </w:numPr>
      </w:pPr>
      <w:r>
        <w:t>Widerlegungskriterien und Toleranzen,</w:t>
      </w:r>
    </w:p>
    <w:p w:rsidR="000862CC" w:rsidRDefault="000862CC" w:rsidP="00632D23">
      <w:pPr>
        <w:pStyle w:val="StandardWeb"/>
        <w:numPr>
          <w:ilvl w:val="0"/>
          <w:numId w:val="227"/>
        </w:numPr>
      </w:pPr>
      <w:r>
        <w:t>Hilfsannahmen und Schutzbedingungen,</w:t>
      </w:r>
    </w:p>
    <w:p w:rsidR="000862CC" w:rsidRDefault="000862CC" w:rsidP="00632D23">
      <w:pPr>
        <w:pStyle w:val="StandardWeb"/>
        <w:numPr>
          <w:ilvl w:val="0"/>
          <w:numId w:val="227"/>
        </w:numPr>
      </w:pPr>
      <w:r>
        <w:t>lokale und globale Widerlegung,</w:t>
      </w:r>
    </w:p>
    <w:p w:rsidR="000862CC" w:rsidRDefault="000862CC" w:rsidP="00632D23">
      <w:pPr>
        <w:pStyle w:val="StandardWeb"/>
        <w:numPr>
          <w:ilvl w:val="0"/>
          <w:numId w:val="227"/>
        </w:numPr>
      </w:pPr>
      <w:r>
        <w:t>Modell-, Parameter- und Entscheidungsebene,</w:t>
      </w:r>
    </w:p>
    <w:p w:rsidR="000862CC" w:rsidRDefault="000862CC" w:rsidP="00632D23">
      <w:pPr>
        <w:pStyle w:val="StandardWeb"/>
        <w:numPr>
          <w:ilvl w:val="0"/>
          <w:numId w:val="227"/>
        </w:numPr>
      </w:pPr>
      <w:r>
        <w:t>Repository-Dokumentation von Widerlegungsbedingungen.</w:t>
      </w:r>
    </w:p>
    <w:p w:rsidR="000862CC" w:rsidRDefault="000862CC" w:rsidP="000862CC">
      <w:pPr>
        <w:pStyle w:val="StandardWeb"/>
      </w:pPr>
      <w:r>
        <w:rPr>
          <w:rStyle w:val="Fett"/>
        </w:rPr>
        <w:t>Eigenleistung des FRZK</w:t>
      </w:r>
    </w:p>
    <w:p w:rsidR="000862CC" w:rsidRDefault="000862CC" w:rsidP="000862CC">
      <w:pPr>
        <w:pStyle w:val="StandardWeb"/>
      </w:pPr>
      <w:r>
        <w:t>Ich führe ein gemeinsames FRZK-Widerlegungssystem ein, das empirische Aussage, Geltungsbereich, potenziell widerlegende Beobachtungen, Toleranzen, Hilfsannahmen und Widerlegungsentscheidung miteinander verbindet. Dadurch kann ich prüfen, ob eine Aussage tatsächlich ein empirisches Risiko eingeht oder gegen jede mögliche Beobachtung abgeschirmt ist.</w:t>
      </w:r>
    </w:p>
    <w:p w:rsidR="000862CC" w:rsidRPr="00AF32B2" w:rsidRDefault="000862CC" w:rsidP="00AF32B2">
      <w:pPr>
        <w:pStyle w:val="berschrift4"/>
      </w:pPr>
      <w:r w:rsidRPr="00AF32B2">
        <w:t>3.3.34.1 Empirische Aussage</w:t>
      </w:r>
    </w:p>
    <w:p w:rsidR="000862CC" w:rsidRDefault="000862CC" w:rsidP="000862CC">
      <w:pPr>
        <w:pStyle w:val="StandardWeb"/>
      </w:pPr>
      <w:r>
        <w:t>Eine empirische Aussage bezeichne ich mit</w:t>
      </w:r>
    </w:p>
    <w:p w:rsidR="000862CC" w:rsidRDefault="000862CC" w:rsidP="000862CC">
      <w:pPr>
        <w:pStyle w:val="StandardWeb"/>
      </w:pPr>
      <w:r>
        <w:t>[</w:t>
      </w:r>
      <w:r>
        <w:br/>
        <w:t>P_{\mathrm{emp}}.</w:t>
      </w:r>
      <w:r>
        <w:br/>
        <w:t>\tag{3.5862}</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P_{\mathrm{emp}}\qquad\text{(3.5862)}</w:t>
      </w:r>
    </w:p>
    <w:p w:rsidR="000862CC" w:rsidRDefault="000862CC" w:rsidP="000862CC">
      <w:pPr>
        <w:pStyle w:val="StandardWeb"/>
      </w:pPr>
      <w:r>
        <w:t>Ihr empirischer Geltungsbereich lautet</w:t>
      </w:r>
    </w:p>
    <w:p w:rsidR="000862CC" w:rsidRDefault="000862CC" w:rsidP="000862CC">
      <w:pPr>
        <w:pStyle w:val="StandardWeb"/>
      </w:pPr>
      <w:r>
        <w:t>[</w:t>
      </w:r>
      <w:r>
        <w:br/>
        <w:t>\mathfrak{G}</w:t>
      </w:r>
      <w:r>
        <w:br/>
        <w:t>\left(</w:t>
      </w:r>
      <w:r>
        <w:br/>
      </w:r>
      <w:r>
        <w:lastRenderedPageBreak/>
        <w:t>P_{\mathrm{emp}}</w:t>
      </w:r>
      <w:r>
        <w:br/>
        <w:t>\right).</w:t>
      </w:r>
      <w:r>
        <w:br/>
        <w:t>\tag{3.5863}</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\mathfrak{G}\left(P_{\mathrm{emp}}\right)\qquad\text{(3.5863)}</w:t>
      </w:r>
    </w:p>
    <w:p w:rsidR="000862CC" w:rsidRDefault="000862CC" w:rsidP="000862CC">
      <w:pPr>
        <w:pStyle w:val="StandardWeb"/>
      </w:pPr>
      <w:r>
        <w:t>Der Geltungsbereich umfasst diejenigen Daten-, Modell-, Operationalisierungs- und Kontextbedingungen, unter denen die Aussage geprüft werden soll.</w:t>
      </w:r>
    </w:p>
    <w:p w:rsidR="000862CC" w:rsidRPr="00AF32B2" w:rsidRDefault="000862CC" w:rsidP="00AF32B2">
      <w:pPr>
        <w:pStyle w:val="berschrift4"/>
      </w:pPr>
      <w:r w:rsidRPr="00AF32B2">
        <w:t>3.3.34.2 Potenziell widerlegende Beobachtungen</w:t>
      </w:r>
    </w:p>
    <w:p w:rsidR="000862CC" w:rsidRDefault="000862CC" w:rsidP="000862CC">
      <w:pPr>
        <w:pStyle w:val="StandardWeb"/>
      </w:pPr>
      <w:r>
        <w:t>Die Menge potenziell widerlegender Beobachtungen lautet</w:t>
      </w:r>
    </w:p>
    <w:p w:rsidR="000862CC" w:rsidRDefault="000862CC" w:rsidP="000862CC">
      <w:pPr>
        <w:pStyle w:val="StandardWeb"/>
      </w:pPr>
      <w:r>
        <w:t>[</w:t>
      </w:r>
      <w:r>
        <w:br/>
        <w:t>\mathfrak{D}_{\neg P}.</w:t>
      </w:r>
      <w:r>
        <w:br/>
        <w:t>\tag{3.5864}</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\mathfrak{D}_{\neg P}\qquad\text{(3.5864)}</w:t>
      </w:r>
    </w:p>
    <w:p w:rsidR="000862CC" w:rsidRDefault="000862CC" w:rsidP="000862CC">
      <w:pPr>
        <w:pStyle w:val="StandardWeb"/>
      </w:pPr>
      <w:r>
        <w:t>Eine empirisch widerlegbare Aussage verlangt</w:t>
      </w:r>
    </w:p>
    <w:p w:rsidR="000862CC" w:rsidRDefault="000862CC" w:rsidP="000862CC">
      <w:pPr>
        <w:pStyle w:val="StandardWeb"/>
      </w:pPr>
      <w:r>
        <w:t>[</w:t>
      </w:r>
      <w:r>
        <w:br/>
        <w:t>\mathfrak{D}_{\neg P}</w:t>
      </w:r>
      <w:r>
        <w:br/>
        <w:t>\neq</w:t>
      </w:r>
      <w:r>
        <w:br/>
        <w:t>\emptyset.</w:t>
      </w:r>
      <w:r>
        <w:br/>
        <w:t>\tag{3.5865}</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\mathfrak{D}_{\neg P}\neq\emptyset\qquad\text{(3.5865)}</w:t>
      </w:r>
    </w:p>
    <w:p w:rsidR="000862CC" w:rsidRDefault="000862CC" w:rsidP="000862CC">
      <w:pPr>
        <w:pStyle w:val="StandardWeb"/>
      </w:pPr>
      <w:r>
        <w:t>Ist dagegen</w:t>
      </w:r>
    </w:p>
    <w:p w:rsidR="000862CC" w:rsidRDefault="000862CC" w:rsidP="000862CC">
      <w:pPr>
        <w:pStyle w:val="berschrift1"/>
      </w:pPr>
      <w:r>
        <w:t>[</w:t>
      </w:r>
      <w:r>
        <w:br/>
        <w:t>\mathfrak{D}_{\neg P}</w:t>
      </w:r>
    </w:p>
    <w:p w:rsidR="000862CC" w:rsidRDefault="000862CC" w:rsidP="000862CC">
      <w:pPr>
        <w:pStyle w:val="StandardWeb"/>
      </w:pPr>
      <w:r>
        <w:t>\emptyset,</w:t>
      </w:r>
      <w:r>
        <w:br/>
        <w:t>\tag{3.5866}</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\mathfrak{D}_{\neg P}=\emptyset\qquad\text{(3.5866)}</w:t>
      </w:r>
    </w:p>
    <w:p w:rsidR="000862CC" w:rsidRDefault="000862CC" w:rsidP="000862CC">
      <w:pPr>
        <w:pStyle w:val="StandardWeb"/>
      </w:pPr>
      <w:r>
        <w:lastRenderedPageBreak/>
        <w:t>kann innerhalb des festgelegten Prüfrahmens keine mögliche Beobachtung gegen die Aussage sprechen.</w:t>
      </w:r>
    </w:p>
    <w:p w:rsidR="000862CC" w:rsidRPr="00AF32B2" w:rsidRDefault="000862CC" w:rsidP="00AF32B2">
      <w:pPr>
        <w:pStyle w:val="berschrift4"/>
      </w:pPr>
      <w:r w:rsidRPr="00AF32B2">
        <w:t>3.3.34.3 Definition des FRZK-Widerlegungssystems</w:t>
      </w:r>
    </w:p>
    <w:p w:rsidR="000862CC" w:rsidRDefault="000862CC" w:rsidP="000862CC">
      <w:pPr>
        <w:pStyle w:val="StandardWeb"/>
      </w:pPr>
      <w:r>
        <w:rPr>
          <w:rStyle w:val="Fett"/>
        </w:rPr>
        <w:t>Definition 3.3.26 – FRZK-Widerlegungssystem</w:t>
      </w:r>
    </w:p>
    <w:p w:rsidR="000862CC" w:rsidRDefault="000862CC" w:rsidP="000862CC">
      <w:pPr>
        <w:pStyle w:val="StandardWeb"/>
      </w:pPr>
      <w:r>
        <w:t>Ein FRZK-Widerlegungssystem ist das geordnete Tupel</w:t>
      </w:r>
    </w:p>
    <w:p w:rsidR="000862CC" w:rsidRDefault="000862CC" w:rsidP="000862CC">
      <w:pPr>
        <w:pStyle w:val="berschrift1"/>
      </w:pPr>
      <w:r>
        <w:t>[</w:t>
      </w:r>
      <w:r>
        <w:br/>
        <w:t>\mathfrak{F}_{F}</w:t>
      </w:r>
    </w:p>
    <w:p w:rsidR="000862CC" w:rsidRDefault="000862CC" w:rsidP="000862CC">
      <w:pPr>
        <w:pStyle w:val="StandardWeb"/>
      </w:pPr>
      <w:r>
        <w:t>\left(</w:t>
      </w:r>
      <w:r>
        <w:br/>
        <w:t>P_{\mathrm{emp}},</w:t>
      </w:r>
      <w:r>
        <w:br/>
        <w:t>\mathfrak{G}</w:t>
      </w:r>
      <w:r>
        <w:rPr>
          <w:rStyle w:val="Hervorhebung"/>
        </w:rPr>
        <w:t>{P},</w:t>
      </w:r>
      <w:r>
        <w:rPr>
          <w:i/>
          <w:iCs/>
        </w:rPr>
        <w:br/>
      </w:r>
      <w:r>
        <w:rPr>
          <w:rStyle w:val="Hervorhebung"/>
        </w:rPr>
        <w:t>\mathfrak{D}</w:t>
      </w:r>
      <w:r>
        <w:t>{\neg P},</w:t>
      </w:r>
      <w:r>
        <w:br/>
        <w:t>\mathcal{C}</w:t>
      </w:r>
      <w:r>
        <w:rPr>
          <w:rStyle w:val="Hervorhebung"/>
        </w:rPr>
        <w:t>{\neg P},</w:t>
      </w:r>
      <w:r>
        <w:rPr>
          <w:i/>
          <w:iCs/>
        </w:rPr>
        <w:br/>
      </w:r>
      <w:r>
        <w:rPr>
          <w:rStyle w:val="Hervorhebung"/>
        </w:rPr>
        <w:t>\mathfrak{H}</w:t>
      </w:r>
      <w:r>
        <w:t>{P},</w:t>
      </w:r>
      <w:r>
        <w:br/>
        <w:t>\operatorname{Fal}_{F}</w:t>
      </w:r>
      <w:r>
        <w:br/>
        <w:t>\right).</w:t>
      </w:r>
      <w:r>
        <w:br/>
        <w:t>\tag{3.5867}</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\mathfrak{F}_{F}=\left(P_{\mathrm{emp}},\mathfrak{G}_{P},\mathfrak{D}_{\neg P},\mathcal{C}_{\neg P},\mathfrak{H}_{P},\operatorname{Fal}_{F}\right)\qquad\text{(3.5867)}</w:t>
      </w:r>
    </w:p>
    <w:p w:rsidR="000862CC" w:rsidRDefault="000862CC" w:rsidP="000862CC">
      <w:pPr>
        <w:pStyle w:val="StandardWeb"/>
      </w:pPr>
      <w:r>
        <w:t>Dabei bezeichnet:</w:t>
      </w:r>
    </w:p>
    <w:p w:rsidR="000862CC" w:rsidRDefault="000862CC" w:rsidP="00632D23">
      <w:pPr>
        <w:pStyle w:val="StandardWeb"/>
        <w:numPr>
          <w:ilvl w:val="0"/>
          <w:numId w:val="228"/>
        </w:numPr>
      </w:pPr>
      <w:r>
        <w:t>(P_{\mathrm{emp}}) die empirische Aussage,</w:t>
      </w:r>
    </w:p>
    <w:p w:rsidR="000862CC" w:rsidRDefault="000862CC" w:rsidP="00632D23">
      <w:pPr>
        <w:pStyle w:val="StandardWeb"/>
        <w:numPr>
          <w:ilvl w:val="0"/>
          <w:numId w:val="228"/>
        </w:numPr>
      </w:pPr>
      <w:r>
        <w:t>(\mathfrak{G}_{P}) ihren Geltungsbereich,</w:t>
      </w:r>
    </w:p>
    <w:p w:rsidR="000862CC" w:rsidRDefault="000862CC" w:rsidP="00632D23">
      <w:pPr>
        <w:pStyle w:val="StandardWeb"/>
        <w:numPr>
          <w:ilvl w:val="0"/>
          <w:numId w:val="228"/>
        </w:numPr>
      </w:pPr>
      <w:r>
        <w:t>(\mathfrak{D}_{\neg P}) die Menge potenziell widerlegender Beobachtungen,</w:t>
      </w:r>
    </w:p>
    <w:p w:rsidR="000862CC" w:rsidRDefault="000862CC" w:rsidP="00632D23">
      <w:pPr>
        <w:pStyle w:val="StandardWeb"/>
        <w:numPr>
          <w:ilvl w:val="0"/>
          <w:numId w:val="228"/>
        </w:numPr>
      </w:pPr>
      <w:r>
        <w:t>(\mathcal{C}_{\neg P}) das Widerlegungskriterium,</w:t>
      </w:r>
    </w:p>
    <w:p w:rsidR="000862CC" w:rsidRDefault="000862CC" w:rsidP="00632D23">
      <w:pPr>
        <w:pStyle w:val="StandardWeb"/>
        <w:numPr>
          <w:ilvl w:val="0"/>
          <w:numId w:val="228"/>
        </w:numPr>
      </w:pPr>
      <w:r>
        <w:t>(\mathfrak{H}_{P}) die Menge verwendeter Hilfsannahmen,</w:t>
      </w:r>
    </w:p>
    <w:p w:rsidR="000862CC" w:rsidRDefault="000862CC" w:rsidP="00632D23">
      <w:pPr>
        <w:pStyle w:val="StandardWeb"/>
        <w:numPr>
          <w:ilvl w:val="0"/>
          <w:numId w:val="228"/>
        </w:numPr>
      </w:pPr>
      <w:r>
        <w:t>(\operatorname{Fal}_{F}) das Falsifizierbarkeitsprädikat.</w:t>
      </w:r>
    </w:p>
    <w:p w:rsidR="000862CC" w:rsidRDefault="000862CC" w:rsidP="000862CC">
      <w:pPr>
        <w:pStyle w:val="StandardWeb"/>
      </w:pPr>
      <w:r>
        <w:t>Das Falsifizierbarkeitsprädikat lautet</w:t>
      </w:r>
    </w:p>
    <w:p w:rsidR="000862CC" w:rsidRDefault="000862CC" w:rsidP="000862CC">
      <w:pPr>
        <w:pStyle w:val="StandardWeb"/>
      </w:pPr>
      <w:r>
        <w:t>[</w:t>
      </w:r>
      <w:r>
        <w:br/>
        <w:t>\operatorname{Fal}</w:t>
      </w:r>
      <w:r>
        <w:rPr>
          <w:rStyle w:val="Hervorhebung"/>
        </w:rPr>
        <w:t>{F}:</w:t>
      </w:r>
      <w:r>
        <w:rPr>
          <w:i/>
          <w:iCs/>
        </w:rPr>
        <w:br/>
      </w:r>
      <w:r>
        <w:rPr>
          <w:rStyle w:val="Hervorhebung"/>
        </w:rPr>
        <w:t>\mathfrak{F}</w:t>
      </w:r>
      <w:r>
        <w:t>{F}</w:t>
      </w:r>
      <w:r>
        <w:br/>
        <w:t>\rightarrow</w:t>
      </w:r>
      <w:r>
        <w:br/>
        <w:t>{0,1}.</w:t>
      </w:r>
      <w:r>
        <w:br/>
        <w:t>\tag{3.5868}</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lastRenderedPageBreak/>
        <w:t>\operatorname{Fal}_{F}:\mathfrak{F}_{F}\rightarrow\{0,1\}\qquad\text{(3.5868)}</w:t>
      </w:r>
    </w:p>
    <w:p w:rsidR="000862CC" w:rsidRDefault="000862CC" w:rsidP="000862CC">
      <w:pPr>
        <w:pStyle w:val="StandardWeb"/>
      </w:pPr>
      <w:r>
        <w:t>Für eine empirisch falsifizierbare Aussage gilt</w:t>
      </w:r>
    </w:p>
    <w:p w:rsidR="000862CC" w:rsidRDefault="000862CC" w:rsidP="000862CC">
      <w:pPr>
        <w:pStyle w:val="berschrift1"/>
      </w:pPr>
      <w:r>
        <w:t>[</w:t>
      </w:r>
      <w:r>
        <w:br/>
        <w:t>\operatorname{Fal}</w:t>
      </w:r>
      <w:r>
        <w:rPr>
          <w:rStyle w:val="Hervorhebung"/>
        </w:rPr>
        <w:t>{F}</w:t>
      </w:r>
      <w:r>
        <w:rPr>
          <w:i/>
          <w:iCs/>
        </w:rPr>
        <w:br/>
      </w:r>
      <w:r>
        <w:rPr>
          <w:rStyle w:val="Hervorhebung"/>
        </w:rPr>
        <w:t>\left(</w:t>
      </w:r>
      <w:r>
        <w:rPr>
          <w:i/>
          <w:iCs/>
        </w:rPr>
        <w:br/>
      </w:r>
      <w:r>
        <w:rPr>
          <w:rStyle w:val="Hervorhebung"/>
        </w:rPr>
        <w:t>\mathfrak{F}</w:t>
      </w:r>
      <w:r>
        <w:t>{F}</w:t>
      </w:r>
      <w:r>
        <w:br/>
        <w:t>\right)</w:t>
      </w:r>
    </w:p>
    <w:p w:rsidR="000862CC" w:rsidRDefault="000862CC" w:rsidP="00632D23">
      <w:pPr>
        <w:numPr>
          <w:ilvl w:val="0"/>
          <w:numId w:val="229"/>
        </w:numPr>
        <w:spacing w:before="100" w:beforeAutospacing="1" w:after="100" w:afterAutospacing="1"/>
      </w:pPr>
    </w:p>
    <w:p w:rsidR="000862CC" w:rsidRDefault="000862CC" w:rsidP="000862CC">
      <w:pPr>
        <w:pStyle w:val="StandardWeb"/>
      </w:pPr>
      <w:r>
        <w:t>\tag{3.5869}</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\operatorname{Fal}_{F}\left(\mathfrak{F}_{F}\right)=1\qquad\text{(3.5869)}</w:t>
      </w:r>
    </w:p>
    <w:p w:rsidR="000862CC" w:rsidRPr="00AF32B2" w:rsidRDefault="000862CC" w:rsidP="00AF32B2">
      <w:pPr>
        <w:pStyle w:val="berschrift4"/>
      </w:pPr>
      <w:r w:rsidRPr="00AF32B2">
        <w:t>3.3.34.4 Vorhersage und Beobachtung</w:t>
      </w:r>
    </w:p>
    <w:p w:rsidR="000862CC" w:rsidRDefault="000862CC" w:rsidP="000862CC">
      <w:pPr>
        <w:pStyle w:val="StandardWeb"/>
      </w:pPr>
      <w:r>
        <w:t>Eine Modellvorhersage lautet</w:t>
      </w:r>
    </w:p>
    <w:p w:rsidR="000862CC" w:rsidRDefault="000862CC" w:rsidP="000862CC">
      <w:pPr>
        <w:pStyle w:val="berschrift1"/>
      </w:pPr>
      <w:r>
        <w:t>[</w:t>
      </w:r>
      <w:r>
        <w:br/>
        <w:t>\widehat{Y}</w:t>
      </w:r>
    </w:p>
    <w:p w:rsidR="000862CC" w:rsidRDefault="000862CC" w:rsidP="000862CC">
      <w:pPr>
        <w:pStyle w:val="StandardWeb"/>
      </w:pPr>
      <w:r>
        <w:t>\mathcal{P}_{F}</w:t>
      </w:r>
      <w:r>
        <w:br/>
        <w:t>\left(</w:t>
      </w:r>
      <w:r>
        <w:br/>
        <w:t>\mathcal{M},</w:t>
      </w:r>
      <w:r>
        <w:br/>
        <w:t>x</w:t>
      </w:r>
      <w:r>
        <w:br/>
        <w:t>\right).</w:t>
      </w:r>
      <w:r>
        <w:br/>
        <w:t>\tag{3.5870}</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\widehat{Y}=\mathcal{P}_{F}\left(\mathcal{M},x\right)\qquad\text{(3.5870)}</w:t>
      </w:r>
    </w:p>
    <w:p w:rsidR="000862CC" w:rsidRDefault="000862CC" w:rsidP="000862CC">
      <w:pPr>
        <w:pStyle w:val="StandardWeb"/>
      </w:pPr>
      <w:r>
        <w:t>Die empirische Beobachtung lautet</w:t>
      </w:r>
    </w:p>
    <w:p w:rsidR="000862CC" w:rsidRDefault="000862CC" w:rsidP="000862CC">
      <w:pPr>
        <w:pStyle w:val="StandardWeb"/>
      </w:pPr>
      <w:r>
        <w:t>[</w:t>
      </w:r>
      <w:r>
        <w:br/>
        <w:t>Y_{\mathrm{obs}}.</w:t>
      </w:r>
      <w:r>
        <w:br/>
        <w:t>\tag{3.5871}</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lastRenderedPageBreak/>
        <w:t>Y_{\mathrm{obs}}\qquad\text{(3.5871)}</w:t>
      </w:r>
    </w:p>
    <w:p w:rsidR="000862CC" w:rsidRDefault="000862CC" w:rsidP="000862CC">
      <w:pPr>
        <w:pStyle w:val="StandardWeb"/>
      </w:pPr>
      <w:r>
        <w:t>Die Vorhersageabweichung wird definiert durch</w:t>
      </w:r>
    </w:p>
    <w:p w:rsidR="000862CC" w:rsidRDefault="000862CC" w:rsidP="000862CC">
      <w:pPr>
        <w:pStyle w:val="berschrift1"/>
      </w:pPr>
      <w:r>
        <w:t>[</w:t>
      </w:r>
      <w:r>
        <w:br/>
        <w:t>\Delta_{\mathrm{emp}}</w:t>
      </w:r>
    </w:p>
    <w:p w:rsidR="000862CC" w:rsidRDefault="000862CC" w:rsidP="000862CC">
      <w:pPr>
        <w:pStyle w:val="StandardWeb"/>
      </w:pPr>
      <w:r>
        <w:t>\Delta_{F}</w:t>
      </w:r>
      <w:r>
        <w:br/>
        <w:t>\left(</w:t>
      </w:r>
      <w:r>
        <w:br/>
        <w:t>Y_{\mathrm{obs}},</w:t>
      </w:r>
      <w:r>
        <w:br/>
        <w:t>\widehat{Y}</w:t>
      </w:r>
      <w:r>
        <w:br/>
        <w:t>\right).</w:t>
      </w:r>
      <w:r>
        <w:br/>
        <w:t>\tag{3.5872}</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\Delta_{\mathrm{emp}}=\Delta_{F}\left(Y_{\mathrm{obs}},\widehat{Y}\right)\qquad\text{(3.5872)}</w:t>
      </w:r>
    </w:p>
    <w:p w:rsidR="000862CC" w:rsidRPr="00AF32B2" w:rsidRDefault="000862CC" w:rsidP="00AF32B2">
      <w:pPr>
        <w:pStyle w:val="berschrift4"/>
      </w:pPr>
      <w:r w:rsidRPr="00AF32B2">
        <w:t>3.3.34.5 Widerlegungsschwelle</w:t>
      </w:r>
    </w:p>
    <w:p w:rsidR="000862CC" w:rsidRDefault="000862CC" w:rsidP="000862CC">
      <w:pPr>
        <w:pStyle w:val="StandardWeb"/>
      </w:pPr>
      <w:r>
        <w:t>Eine empirische Widerlegung kann an eine vorab festgelegte Toleranz gebunden werden:</w:t>
      </w:r>
    </w:p>
    <w:p w:rsidR="000862CC" w:rsidRDefault="000862CC" w:rsidP="000862CC">
      <w:pPr>
        <w:pStyle w:val="StandardWeb"/>
      </w:pPr>
      <w:r>
        <w:t>[</w:t>
      </w:r>
      <w:r>
        <w:br/>
        <w:t>\varepsilon_{\mathrm{fal}}</w:t>
      </w:r>
    </w:p>
    <w:p w:rsidR="000862CC" w:rsidRDefault="000862CC" w:rsidP="00632D23">
      <w:pPr>
        <w:numPr>
          <w:ilvl w:val="0"/>
          <w:numId w:val="230"/>
        </w:numPr>
        <w:spacing w:before="100" w:beforeAutospacing="1" w:after="100" w:afterAutospacing="1"/>
      </w:pPr>
    </w:p>
    <w:p w:rsidR="000862CC" w:rsidRDefault="000862CC" w:rsidP="000862CC">
      <w:pPr>
        <w:pStyle w:val="StandardWeb"/>
      </w:pPr>
      <w:r>
        <w:t>\tag{3.5873}</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\varepsilon_{\mathrm{fal}}&gt;0\qquad\text{(3.5873)}</w:t>
      </w:r>
    </w:p>
    <w:p w:rsidR="000862CC" w:rsidRDefault="000862CC" w:rsidP="000862CC">
      <w:pPr>
        <w:pStyle w:val="StandardWeb"/>
      </w:pPr>
      <w:r>
        <w:t>Das Widerlegungskriterium lautet</w:t>
      </w:r>
    </w:p>
    <w:p w:rsidR="000862CC" w:rsidRDefault="000862CC" w:rsidP="000862CC">
      <w:pPr>
        <w:pStyle w:val="berschrift1"/>
      </w:pPr>
      <w:r>
        <w:t>[</w:t>
      </w:r>
      <w:r>
        <w:br/>
        <w:t>\mathcal{C}_{\neg P}</w:t>
      </w:r>
    </w:p>
    <w:p w:rsidR="000862CC" w:rsidRDefault="000862CC" w:rsidP="000862CC">
      <w:pPr>
        <w:pStyle w:val="StandardWeb"/>
      </w:pPr>
      <w:r>
        <w:t>1</w:t>
      </w:r>
      <w:r>
        <w:br/>
        <w:t>\iff</w:t>
      </w:r>
      <w:r>
        <w:br/>
        <w:t>\Delta_{\mathrm{emp}}</w:t>
      </w:r>
    </w:p>
    <w:p w:rsidR="000862CC" w:rsidRDefault="000862CC" w:rsidP="000862CC">
      <w:pPr>
        <w:pStyle w:val="StandardWeb"/>
      </w:pPr>
      <w:r>
        <w:t>\varepsilon_{\mathrm{fal}}.</w:t>
      </w:r>
      <w:r>
        <w:br/>
        <w:t>\tag{3.5874}</w:t>
      </w:r>
      <w:r>
        <w:br/>
        <w:t>]</w:t>
      </w:r>
    </w:p>
    <w:p w:rsidR="000862CC" w:rsidRDefault="000862CC" w:rsidP="000862CC">
      <w:pPr>
        <w:pStyle w:val="StandardWeb"/>
      </w:pPr>
      <w:r>
        <w:rPr>
          <w:rStyle w:val="Fett"/>
        </w:rPr>
        <w:lastRenderedPageBreak/>
        <w:t>Word-LaTeX</w:t>
      </w:r>
    </w:p>
    <w:p w:rsidR="000862CC" w:rsidRDefault="000862CC" w:rsidP="000862CC">
      <w:pPr>
        <w:pStyle w:val="HTMLVorformatiert"/>
        <w:rPr>
          <w:rStyle w:val="HTMLCode"/>
        </w:rPr>
      </w:pPr>
      <w:r>
        <w:rPr>
          <w:rStyle w:val="HTMLCode"/>
        </w:rPr>
        <w:t>\mathcal{C}_{\neg P}=1\iff\Delta_{\mathrm{emp}}&gt;\varepsilon_{\mathrm{fal}}\qquad\text{(3.5874)}</w:t>
      </w:r>
    </w:p>
    <w:p w:rsidR="000862CC" w:rsidRDefault="000862CC" w:rsidP="000862CC">
      <w:pPr>
        <w:pStyle w:val="StandardWeb"/>
      </w:pPr>
      <w:r>
        <w:t>Eine Aussage gilt bezüglich dieses Kriteriums als nicht widerlegt, wenn</w:t>
      </w:r>
    </w:p>
    <w:p w:rsidR="000862CC" w:rsidRDefault="000862CC" w:rsidP="000862CC">
      <w:pPr>
        <w:pStyle w:val="StandardWeb"/>
      </w:pPr>
      <w:r>
        <w:t>[</w:t>
      </w:r>
      <w:r>
        <w:br/>
        <w:t>\Delta_{\mathrm{emp}}</w:t>
      </w:r>
      <w:r>
        <w:br/>
        <w:t>\leq</w:t>
      </w:r>
      <w:r>
        <w:br/>
        <w:t>\varepsilon_{\mathrm{fal}}.</w:t>
      </w:r>
      <w:r>
        <w:br/>
        <w:t>\tag{3.5875}</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\Delta_{\mathrm{emp}}\leq\varepsilon_{\mathrm{fal}}\qquad\text{(3.5875)}</w:t>
      </w:r>
    </w:p>
    <w:p w:rsidR="000862CC" w:rsidRDefault="000862CC" w:rsidP="000862CC">
      <w:pPr>
        <w:pStyle w:val="StandardWeb"/>
      </w:pPr>
      <w:r>
        <w:t>Nicht widerlegt bedeutet dabei nicht bewiesen. Es bedeutet lediglich, dass das vorab festgelegte Widerlegungskriterium unter den geprüften Bedingungen nicht erfüllt wurde [58, 59, 79].</w:t>
      </w:r>
    </w:p>
    <w:p w:rsidR="000862CC" w:rsidRPr="00AF32B2" w:rsidRDefault="000862CC" w:rsidP="00AF32B2">
      <w:pPr>
        <w:pStyle w:val="berschrift4"/>
      </w:pPr>
      <w:r w:rsidRPr="00AF32B2">
        <w:t>3.3.34.6 Probabilistische Widerlegung</w:t>
      </w:r>
    </w:p>
    <w:p w:rsidR="000862CC" w:rsidRDefault="000862CC" w:rsidP="000862CC">
      <w:pPr>
        <w:pStyle w:val="StandardWeb"/>
      </w:pPr>
      <w:r>
        <w:t>Bei einer unsicheren Vorhersage</w:t>
      </w:r>
    </w:p>
    <w:p w:rsidR="000862CC" w:rsidRDefault="000862CC" w:rsidP="000862CC">
      <w:pPr>
        <w:pStyle w:val="StandardWeb"/>
      </w:pPr>
      <w:r>
        <w:t>[</w:t>
      </w:r>
      <w:r>
        <w:br/>
        <w:t>Y_{\mathrm{pred}}</w:t>
      </w:r>
      <w:r>
        <w:br/>
        <w:t>\sim</w:t>
      </w:r>
      <w:r>
        <w:br/>
        <w:t>\mathcal{P}_{\mathrm{pred}}</w:t>
      </w:r>
      <w:r>
        <w:br/>
        <w:t>\tag{3.5876}</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Y_{\mathrm{pred}}\sim\mathcal{P}_{\mathrm{pred}}\qquad\text{(3.5876)}</w:t>
      </w:r>
    </w:p>
    <w:p w:rsidR="000862CC" w:rsidRDefault="000862CC" w:rsidP="000862CC">
      <w:pPr>
        <w:pStyle w:val="StandardWeb"/>
      </w:pPr>
      <w:r>
        <w:t>kann eine Beobachtung als unwahrscheinlich unter dem Modell bewertet werden.</w:t>
      </w:r>
    </w:p>
    <w:p w:rsidR="000862CC" w:rsidRDefault="000862CC" w:rsidP="000862CC">
      <w:pPr>
        <w:pStyle w:val="StandardWeb"/>
      </w:pPr>
      <w:r>
        <w:t>Ein probabilistisches Widerlegungskriterium lautet</w:t>
      </w:r>
    </w:p>
    <w:p w:rsidR="000862CC" w:rsidRDefault="000862CC" w:rsidP="000862CC">
      <w:pPr>
        <w:pStyle w:val="StandardWeb"/>
      </w:pPr>
      <w:r>
        <w:t>[</w:t>
      </w:r>
      <w:r>
        <w:br/>
        <w:t>\Pr</w:t>
      </w:r>
      <w:r>
        <w:br/>
        <w:t>\left(</w:t>
      </w:r>
      <w:r>
        <w:br/>
        <w:t>Y</w:t>
      </w:r>
      <w:r>
        <w:br/>
        <w:t>\in</w:t>
      </w:r>
      <w:r>
        <w:br/>
        <w:t>\mathfrak{B}</w:t>
      </w:r>
      <w:r>
        <w:rPr>
          <w:rStyle w:val="Hervorhebung"/>
        </w:rPr>
        <w:t>{\mathrm{obs}}</w:t>
      </w:r>
      <w:r>
        <w:rPr>
          <w:i/>
          <w:iCs/>
        </w:rPr>
        <w:br/>
      </w:r>
      <w:r>
        <w:rPr>
          <w:rStyle w:val="Hervorhebung"/>
        </w:rPr>
        <w:t>\mid</w:t>
      </w:r>
      <w:r>
        <w:rPr>
          <w:i/>
          <w:iCs/>
        </w:rPr>
        <w:br/>
      </w:r>
      <w:r>
        <w:rPr>
          <w:rStyle w:val="Hervorhebung"/>
        </w:rPr>
        <w:t>\mathcal{M}</w:t>
      </w:r>
      <w:r>
        <w:rPr>
          <w:i/>
          <w:iCs/>
        </w:rPr>
        <w:br/>
      </w:r>
      <w:r>
        <w:rPr>
          <w:rStyle w:val="Hervorhebung"/>
        </w:rPr>
        <w:t>\right)</w:t>
      </w:r>
      <w:r>
        <w:rPr>
          <w:i/>
          <w:iCs/>
        </w:rPr>
        <w:br/>
      </w:r>
      <w:r>
        <w:rPr>
          <w:rStyle w:val="Hervorhebung"/>
        </w:rPr>
        <w:t>&lt;</w:t>
      </w:r>
      <w:r>
        <w:rPr>
          <w:i/>
          <w:iCs/>
        </w:rPr>
        <w:br/>
      </w:r>
      <w:r>
        <w:rPr>
          <w:rStyle w:val="Hervorhebung"/>
        </w:rPr>
        <w:lastRenderedPageBreak/>
        <w:t>\alpha</w:t>
      </w:r>
      <w:r>
        <w:t>{\mathrm{fal}}.</w:t>
      </w:r>
      <w:r>
        <w:br/>
        <w:t>\tag{3.5877}</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\Pr\left(Y\in\mathfrak{B}_{\mathrm{obs}}\mid\mathcal{M}\right)&lt;\alpha_{\mathrm{fal}}\qquad\text{(3.5877)}</w:t>
      </w:r>
    </w:p>
    <w:p w:rsidR="000862CC" w:rsidRDefault="000862CC" w:rsidP="000862CC">
      <w:pPr>
        <w:pStyle w:val="StandardWeb"/>
      </w:pPr>
      <w:r>
        <w:t>Dabei bezeichnet (\mathfrak{B}_{\mathrm{obs}}) den Bereich beobachteter oder stärker abweichender Ergebnisse.</w:t>
      </w:r>
    </w:p>
    <w:p w:rsidR="000862CC" w:rsidRDefault="000862CC" w:rsidP="000862CC">
      <w:pPr>
        <w:pStyle w:val="StandardWeb"/>
      </w:pPr>
      <w:r>
        <w:t>Die Widerlegungsentscheidung lautet</w:t>
      </w:r>
    </w:p>
    <w:p w:rsidR="000862CC" w:rsidRDefault="000862CC" w:rsidP="000862CC">
      <w:pPr>
        <w:pStyle w:val="berschrift1"/>
      </w:pPr>
      <w:r>
        <w:t>[</w:t>
      </w:r>
      <w:r>
        <w:br/>
        <w:t>\mathcal{C}_{\neg P}^{\mathrm{prob}}</w:t>
      </w:r>
    </w:p>
    <w:p w:rsidR="000862CC" w:rsidRDefault="000862CC" w:rsidP="000862CC">
      <w:pPr>
        <w:pStyle w:val="StandardWeb"/>
      </w:pPr>
      <w:r>
        <w:t>1</w:t>
      </w:r>
      <w:r>
        <w:br/>
        <w:t>\iff</w:t>
      </w:r>
      <w:r>
        <w:br/>
        <w:t>\Pr</w:t>
      </w:r>
      <w:r>
        <w:br/>
        <w:t>\left(</w:t>
      </w:r>
      <w:r>
        <w:br/>
        <w:t>Y</w:t>
      </w:r>
      <w:r>
        <w:br/>
        <w:t>\in</w:t>
      </w:r>
      <w:r>
        <w:br/>
        <w:t>\mathfrak{B}</w:t>
      </w:r>
      <w:r>
        <w:rPr>
          <w:rStyle w:val="Hervorhebung"/>
        </w:rPr>
        <w:t>{\mathrm{obs}}</w:t>
      </w:r>
      <w:r>
        <w:rPr>
          <w:i/>
          <w:iCs/>
        </w:rPr>
        <w:br/>
      </w:r>
      <w:r>
        <w:rPr>
          <w:rStyle w:val="Hervorhebung"/>
        </w:rPr>
        <w:t>\mid</w:t>
      </w:r>
      <w:r>
        <w:rPr>
          <w:i/>
          <w:iCs/>
        </w:rPr>
        <w:br/>
      </w:r>
      <w:r>
        <w:rPr>
          <w:rStyle w:val="Hervorhebung"/>
        </w:rPr>
        <w:t>\mathcal{M}</w:t>
      </w:r>
      <w:r>
        <w:rPr>
          <w:i/>
          <w:iCs/>
        </w:rPr>
        <w:br/>
      </w:r>
      <w:r>
        <w:rPr>
          <w:rStyle w:val="Hervorhebung"/>
        </w:rPr>
        <w:t>\right)</w:t>
      </w:r>
      <w:r>
        <w:rPr>
          <w:i/>
          <w:iCs/>
        </w:rPr>
        <w:br/>
      </w:r>
      <w:r>
        <w:rPr>
          <w:rStyle w:val="Hervorhebung"/>
        </w:rPr>
        <w:t>&lt;</w:t>
      </w:r>
      <w:r>
        <w:rPr>
          <w:i/>
          <w:iCs/>
        </w:rPr>
        <w:br/>
      </w:r>
      <w:r>
        <w:rPr>
          <w:rStyle w:val="Hervorhebung"/>
        </w:rPr>
        <w:t>\alpha</w:t>
      </w:r>
      <w:r>
        <w:t>{\mathrm{fal}}.</w:t>
      </w:r>
      <w:r>
        <w:br/>
        <w:t>\tag{3.5878}</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\mathcal{C}_{\neg P}^{\mathrm{prob}}=1\iff\Pr\left(Y\in\mathfrak{B}_{\mathrm{obs}}\mid\mathcal{M}\right)&lt;\alpha_{\mathrm{fal}}\qquad\text{(3.5878)}</w:t>
      </w:r>
    </w:p>
    <w:p w:rsidR="000862CC" w:rsidRDefault="000862CC" w:rsidP="000862CC">
      <w:pPr>
        <w:pStyle w:val="StandardWeb"/>
      </w:pPr>
      <w:r>
        <w:t>Die konkrete Interpretation hängt von der verwendeten statistischen Prüflogik und den zugehörigen Voraussetzungen ab [58, 59].</w:t>
      </w:r>
    </w:p>
    <w:p w:rsidR="000862CC" w:rsidRPr="00AF32B2" w:rsidRDefault="000862CC" w:rsidP="00AF32B2">
      <w:pPr>
        <w:pStyle w:val="berschrift4"/>
      </w:pPr>
      <w:r w:rsidRPr="00AF32B2">
        <w:t>3.3.34.7 Deterministische Widerlegung</w:t>
      </w:r>
    </w:p>
    <w:p w:rsidR="000862CC" w:rsidRDefault="000862CC" w:rsidP="000862CC">
      <w:pPr>
        <w:pStyle w:val="StandardWeb"/>
      </w:pPr>
      <w:r>
        <w:t>Eine deterministische Vorhersage kann die Form besitzen</w:t>
      </w:r>
    </w:p>
    <w:p w:rsidR="000862CC" w:rsidRDefault="000862CC" w:rsidP="000862CC">
      <w:pPr>
        <w:pStyle w:val="berschrift1"/>
      </w:pPr>
      <w:r>
        <w:t>[</w:t>
      </w:r>
      <w:r>
        <w:br/>
        <w:t>Y</w:t>
      </w:r>
    </w:p>
    <w:p w:rsidR="000862CC" w:rsidRDefault="000862CC" w:rsidP="000862CC">
      <w:pPr>
        <w:pStyle w:val="StandardWeb"/>
      </w:pPr>
      <w:r>
        <w:lastRenderedPageBreak/>
        <w:t>f(x).</w:t>
      </w:r>
      <w:r>
        <w:br/>
        <w:t>\tag{3.5879}</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Y=f(x)\qquad\text{(3.5879)}</w:t>
      </w:r>
    </w:p>
    <w:p w:rsidR="000862CC" w:rsidRDefault="000862CC" w:rsidP="000862CC">
      <w:pPr>
        <w:pStyle w:val="StandardWeb"/>
      </w:pPr>
      <w:r>
        <w:t>Wird unter kontrollierten Bedingungen beobachtet</w:t>
      </w:r>
    </w:p>
    <w:p w:rsidR="000862CC" w:rsidRDefault="000862CC" w:rsidP="000862CC">
      <w:pPr>
        <w:pStyle w:val="StandardWeb"/>
      </w:pPr>
      <w:r>
        <w:t>[</w:t>
      </w:r>
      <w:r>
        <w:br/>
        <w:t>Y_{\mathrm{obs}}</w:t>
      </w:r>
      <w:r>
        <w:br/>
        <w:t>\neq</w:t>
      </w:r>
      <w:r>
        <w:br/>
        <w:t>f(x),</w:t>
      </w:r>
      <w:r>
        <w:br/>
        <w:t>\tag{3.5880}</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Y_{\mathrm{obs}}\neq f(x)\qquad\text{(3.5880)}</w:t>
      </w:r>
    </w:p>
    <w:p w:rsidR="000862CC" w:rsidRDefault="000862CC" w:rsidP="000862CC">
      <w:pPr>
        <w:pStyle w:val="StandardWeb"/>
      </w:pPr>
      <w:r>
        <w:t>liegt eine Abweichung von der deterministischen Vorhersage vor.</w:t>
      </w:r>
    </w:p>
    <w:p w:rsidR="000862CC" w:rsidRDefault="000862CC" w:rsidP="000862CC">
      <w:pPr>
        <w:pStyle w:val="StandardWeb"/>
      </w:pPr>
      <w:r>
        <w:t>Eine unmittelbare Widerlegung folgt daraus nur, wenn Messfehler, Operationalisierungsfehler und nicht berücksichtigte Randbedingungen innerhalb der festgelegten Toleranzen ausgeschlossen oder berücksichtigt wurden.</w:t>
      </w:r>
    </w:p>
    <w:p w:rsidR="000862CC" w:rsidRPr="00AF32B2" w:rsidRDefault="000862CC" w:rsidP="00AF32B2">
      <w:pPr>
        <w:pStyle w:val="berschrift4"/>
      </w:pPr>
      <w:r w:rsidRPr="00AF32B2">
        <w:t>3.3.34.8 Hilfsannahmen</w:t>
      </w:r>
    </w:p>
    <w:p w:rsidR="000862CC" w:rsidRDefault="000862CC" w:rsidP="000862CC">
      <w:pPr>
        <w:pStyle w:val="StandardWeb"/>
      </w:pPr>
      <w:r>
        <w:t>Empirische Aussagen werden gewöhnlich nicht isoliert geprüft. Die vollständige Prüfstruktur lautet</w:t>
      </w:r>
    </w:p>
    <w:p w:rsidR="000862CC" w:rsidRDefault="000862CC" w:rsidP="000862CC">
      <w:pPr>
        <w:pStyle w:val="StandardWeb"/>
      </w:pPr>
      <w:r>
        <w:t>[</w:t>
      </w:r>
      <w:r>
        <w:br/>
        <w:t>P_{\mathrm{emp}}</w:t>
      </w:r>
      <w:r>
        <w:br/>
        <w:t>\land</w:t>
      </w:r>
      <w:r>
        <w:br/>
        <w:t>H_{1}</w:t>
      </w:r>
      <w:r>
        <w:br/>
        <w:t>\land</w:t>
      </w:r>
      <w:r>
        <w:br/>
        <w:t>\cdots</w:t>
      </w:r>
      <w:r>
        <w:br/>
        <w:t>\land</w:t>
      </w:r>
      <w:r>
        <w:br/>
        <w:t>H_{m}</w:t>
      </w:r>
      <w:r>
        <w:br/>
        <w:t>\Rightarrow</w:t>
      </w:r>
      <w:r>
        <w:br/>
        <w:t>E.</w:t>
      </w:r>
      <w:r>
        <w:br/>
        <w:t>\tag{3.5881}</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P_{\mathrm{emp}}\land H_{1}\land\cdots\land H_{m}\Rightarrow E\qquad\text{(3.5881)}</w:t>
      </w:r>
    </w:p>
    <w:p w:rsidR="000862CC" w:rsidRDefault="000862CC" w:rsidP="000862CC">
      <w:pPr>
        <w:pStyle w:val="StandardWeb"/>
      </w:pPr>
      <w:r>
        <w:t>Dabei bezeichnet (E) die erwartete Beobachtung und (H_i) die verwendeten Hilfsannahmen.</w:t>
      </w:r>
    </w:p>
    <w:p w:rsidR="000862CC" w:rsidRDefault="000862CC" w:rsidP="000862CC">
      <w:pPr>
        <w:pStyle w:val="StandardWeb"/>
      </w:pPr>
      <w:r>
        <w:lastRenderedPageBreak/>
        <w:t>Wird beobachtet</w:t>
      </w:r>
    </w:p>
    <w:p w:rsidR="000862CC" w:rsidRDefault="000862CC" w:rsidP="000862CC">
      <w:pPr>
        <w:pStyle w:val="StandardWeb"/>
      </w:pPr>
      <w:r>
        <w:t>[</w:t>
      </w:r>
      <w:r>
        <w:br/>
        <w:t>\neg E,</w:t>
      </w:r>
      <w:r>
        <w:br/>
        <w:t>\tag{3.5882}</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\neg E\qquad\text{(3.5882)}</w:t>
      </w:r>
    </w:p>
    <w:p w:rsidR="000862CC" w:rsidRDefault="000862CC" w:rsidP="000862CC">
      <w:pPr>
        <w:pStyle w:val="StandardWeb"/>
      </w:pPr>
      <w:r>
        <w:t>folgt logisch</w:t>
      </w:r>
    </w:p>
    <w:p w:rsidR="000862CC" w:rsidRDefault="000862CC" w:rsidP="000862CC">
      <w:pPr>
        <w:pStyle w:val="StandardWeb"/>
      </w:pPr>
      <w:r>
        <w:t>[</w:t>
      </w:r>
      <w:r>
        <w:br/>
        <w:t>\neg</w:t>
      </w:r>
      <w:r>
        <w:br/>
        <w:t>\left(</w:t>
      </w:r>
      <w:r>
        <w:br/>
        <w:t>P_{\mathrm{emp}}</w:t>
      </w:r>
      <w:r>
        <w:br/>
        <w:t>\land</w:t>
      </w:r>
      <w:r>
        <w:br/>
        <w:t>H_{1}</w:t>
      </w:r>
      <w:r>
        <w:br/>
        <w:t>\land</w:t>
      </w:r>
      <w:r>
        <w:br/>
        <w:t>\cdots</w:t>
      </w:r>
      <w:r>
        <w:br/>
        <w:t>\land</w:t>
      </w:r>
      <w:r>
        <w:br/>
        <w:t>H_{m}</w:t>
      </w:r>
      <w:r>
        <w:br/>
        <w:t>\right).</w:t>
      </w:r>
      <w:r>
        <w:br/>
        <w:t>\tag{3.5883}</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\neg\left(P_{\mathrm{emp}}\land H_{1}\land\cdots\land H_{m}\right)\qquad\text{(3.5883)}</w:t>
      </w:r>
    </w:p>
    <w:p w:rsidR="000862CC" w:rsidRDefault="000862CC" w:rsidP="000862CC">
      <w:pPr>
        <w:pStyle w:val="StandardWeb"/>
      </w:pPr>
      <w:r>
        <w:t>Daraus folgt jedoch nicht ohne weitere Prüfung, welches einzelne Glied der Konjunktion falsch ist.</w:t>
      </w:r>
    </w:p>
    <w:p w:rsidR="000862CC" w:rsidRDefault="000862CC" w:rsidP="000862CC">
      <w:pPr>
        <w:pStyle w:val="StandardWeb"/>
      </w:pPr>
      <w:r>
        <w:rPr>
          <w:rStyle w:val="Fett"/>
        </w:rPr>
        <w:t>Eigenleistung des FRZK</w:t>
      </w:r>
    </w:p>
    <w:p w:rsidR="000862CC" w:rsidRDefault="000862CC" w:rsidP="000862CC">
      <w:pPr>
        <w:pStyle w:val="StandardWeb"/>
      </w:pPr>
      <w:r>
        <w:t>Ich dokumentiere deshalb jede Widerlegungsentscheidung gemeinsam mit den Hilfsannahmen, auf denen die geprüfte Vorhersage beruht. Eine Abweichung darf nicht automatisch dem FRZK-Kernmodell zugerechnet werden, wenn ebenso Operationalisierung, Messsystem oder Randbedingungen betroffen sein können.</w:t>
      </w:r>
    </w:p>
    <w:p w:rsidR="000862CC" w:rsidRPr="00AF32B2" w:rsidRDefault="000862CC" w:rsidP="00AF32B2">
      <w:pPr>
        <w:pStyle w:val="berschrift4"/>
      </w:pPr>
      <w:r w:rsidRPr="00AF32B2">
        <w:t>3.3.34.9 Menge der Hilfsannahmen</w:t>
      </w:r>
    </w:p>
    <w:p w:rsidR="000862CC" w:rsidRDefault="000862CC" w:rsidP="000862CC">
      <w:pPr>
        <w:pStyle w:val="StandardWeb"/>
      </w:pPr>
      <w:r>
        <w:t>Die Menge der Hilfsannahmen lautet</w:t>
      </w:r>
    </w:p>
    <w:p w:rsidR="000862CC" w:rsidRDefault="000862CC" w:rsidP="000862CC">
      <w:pPr>
        <w:pStyle w:val="berschrift1"/>
      </w:pPr>
      <w:r>
        <w:t>[</w:t>
      </w:r>
      <w:r>
        <w:br/>
        <w:t>\mathfrak{H}_{P}</w:t>
      </w:r>
    </w:p>
    <w:p w:rsidR="000862CC" w:rsidRDefault="000862CC" w:rsidP="000862CC">
      <w:pPr>
        <w:pStyle w:val="StandardWeb"/>
      </w:pPr>
      <w:r>
        <w:lastRenderedPageBreak/>
        <w:t>\left{</w:t>
      </w:r>
      <w:r>
        <w:br/>
        <w:t>H_{1},</w:t>
      </w:r>
      <w:r>
        <w:br/>
        <w:t>H_{2},</w:t>
      </w:r>
      <w:r>
        <w:br/>
        <w:t>\ldots,</w:t>
      </w:r>
      <w:r>
        <w:br/>
        <w:t>H_{m}</w:t>
      </w:r>
      <w:r>
        <w:br/>
        <w:t>\right}.</w:t>
      </w:r>
      <w:r>
        <w:br/>
        <w:t>\tag{3.5884}</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\mathfrak{H}_{P}=\left\{H_{1},H_{2},\ldots,H_{m}\right\}\qquad\text{(3.5884)}</w:t>
      </w:r>
    </w:p>
    <w:p w:rsidR="000862CC" w:rsidRDefault="000862CC" w:rsidP="000862CC">
      <w:pPr>
        <w:pStyle w:val="StandardWeb"/>
      </w:pPr>
      <w:r>
        <w:t>Die vollständige Prüfbehauptung lautet</w:t>
      </w:r>
    </w:p>
    <w:p w:rsidR="000862CC" w:rsidRDefault="000862CC" w:rsidP="000862CC">
      <w:pPr>
        <w:pStyle w:val="berschrift1"/>
      </w:pPr>
      <w:r>
        <w:t>[</w:t>
      </w:r>
      <w:r>
        <w:br/>
        <w:t>P_{\mathrm{test}}</w:t>
      </w:r>
    </w:p>
    <w:p w:rsidR="000862CC" w:rsidRDefault="000862CC" w:rsidP="000862CC">
      <w:pPr>
        <w:pStyle w:val="StandardWeb"/>
      </w:pPr>
      <w:r>
        <w:t>P_{\mathrm{emp}}</w:t>
      </w:r>
      <w:r>
        <w:br/>
        <w:t>\land</w:t>
      </w:r>
      <w:r>
        <w:br/>
        <w:t>\bigwedge_{i=1}^{m}</w:t>
      </w:r>
      <w:r>
        <w:br/>
        <w:t>H_i.</w:t>
      </w:r>
      <w:r>
        <w:br/>
        <w:t>\tag{3.5885}</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P_{\mathrm{test}}=P_{\mathrm{emp}}\land\bigwedge_{i=1}^{m}H_i\qquad\text{(3.5885)}</w:t>
      </w:r>
    </w:p>
    <w:p w:rsidR="000862CC" w:rsidRDefault="000862CC" w:rsidP="000862CC">
      <w:pPr>
        <w:pStyle w:val="StandardWeb"/>
      </w:pPr>
      <w:r>
        <w:t>Die Widerlegung der vollständigen Prüfbehauptung lautet</w:t>
      </w:r>
    </w:p>
    <w:p w:rsidR="000862CC" w:rsidRDefault="000862CC" w:rsidP="000862CC">
      <w:pPr>
        <w:pStyle w:val="StandardWeb"/>
      </w:pPr>
      <w:r>
        <w:t>[</w:t>
      </w:r>
      <w:r>
        <w:br/>
        <w:t>\neg P_{\mathrm{test}}.</w:t>
      </w:r>
      <w:r>
        <w:br/>
        <w:t>\tag{3.5886}</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\neg P_{\mathrm{test}}\qquad\text{(3.5886)}</w:t>
      </w:r>
    </w:p>
    <w:p w:rsidR="000862CC" w:rsidRPr="00AF32B2" w:rsidRDefault="000862CC" w:rsidP="00AF32B2">
      <w:pPr>
        <w:pStyle w:val="berschrift4"/>
      </w:pPr>
      <w:r w:rsidRPr="00AF32B2">
        <w:t>3.3.34.10 Schutzannahmen</w:t>
      </w:r>
    </w:p>
    <w:p w:rsidR="000862CC" w:rsidRDefault="000862CC" w:rsidP="000862CC">
      <w:pPr>
        <w:pStyle w:val="StandardWeb"/>
      </w:pPr>
      <w:r>
        <w:t>Eine Schutzannahme ist eine nachträglich eingeführte Bedingung</w:t>
      </w:r>
    </w:p>
    <w:p w:rsidR="000862CC" w:rsidRDefault="000862CC" w:rsidP="000862CC">
      <w:pPr>
        <w:pStyle w:val="StandardWeb"/>
      </w:pPr>
      <w:r>
        <w:t>[</w:t>
      </w:r>
      <w:r>
        <w:br/>
        <w:t>H_{\mathrm{schutz}}</w:t>
      </w:r>
      <w:r>
        <w:br/>
        <w:t>\tag{3.5887}</w:t>
      </w:r>
      <w:r>
        <w:br/>
        <w:t>]</w:t>
      </w:r>
    </w:p>
    <w:p w:rsidR="000862CC" w:rsidRDefault="000862CC" w:rsidP="000862CC">
      <w:pPr>
        <w:pStyle w:val="StandardWeb"/>
      </w:pPr>
      <w:r>
        <w:rPr>
          <w:rStyle w:val="Fett"/>
        </w:rPr>
        <w:lastRenderedPageBreak/>
        <w:t>Word-LaTeX</w:t>
      </w:r>
    </w:p>
    <w:p w:rsidR="000862CC" w:rsidRDefault="000862CC" w:rsidP="000862CC">
      <w:pPr>
        <w:pStyle w:val="HTMLVorformatiert"/>
        <w:rPr>
          <w:rStyle w:val="HTMLCode"/>
        </w:rPr>
      </w:pPr>
      <w:r>
        <w:rPr>
          <w:rStyle w:val="HTMLCode"/>
        </w:rPr>
        <w:t>H_{\mathrm{schutz}}\qquad\text{(3.5887)}</w:t>
      </w:r>
    </w:p>
    <w:p w:rsidR="000862CC" w:rsidRDefault="000862CC" w:rsidP="000862CC">
      <w:pPr>
        <w:pStyle w:val="StandardWeb"/>
      </w:pPr>
      <w:r>
        <w:t>mit der eine beobachtete Abweichung trotz unveränderter Kernaussage erklärt werden soll.</w:t>
      </w:r>
    </w:p>
    <w:p w:rsidR="000862CC" w:rsidRDefault="000862CC" w:rsidP="000862CC">
      <w:pPr>
        <w:pStyle w:val="StandardWeb"/>
      </w:pPr>
      <w:r>
        <w:t>Eine problematische immunisierende Struktur lautet</w:t>
      </w:r>
    </w:p>
    <w:p w:rsidR="000862CC" w:rsidRDefault="000862CC" w:rsidP="000862CC">
      <w:pPr>
        <w:pStyle w:val="StandardWeb"/>
      </w:pPr>
      <w:r>
        <w:t>[</w:t>
      </w:r>
      <w:r>
        <w:br/>
        <w:t>\neg E</w:t>
      </w:r>
      <w:r>
        <w:br/>
        <w:t>\Rightarrow</w:t>
      </w:r>
      <w:r>
        <w:br/>
        <w:t>H_{\mathrm{schutz}}.</w:t>
      </w:r>
      <w:r>
        <w:br/>
        <w:t>\tag{3.5888}</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\neg E\Rightarrow H_{\mathrm{schutz}}\qquad\text{(3.5888)}</w:t>
      </w:r>
    </w:p>
    <w:p w:rsidR="000862CC" w:rsidRDefault="000862CC" w:rsidP="000862CC">
      <w:pPr>
        <w:pStyle w:val="StandardWeb"/>
      </w:pPr>
      <w:r>
        <w:t>Wird für jede mögliche Abweichung eine neue nicht unabhängig prüfbare Schutzannahme eingeführt, kann die Aussage ihren empirischen Widerlegungsgehalt verlieren [79].</w:t>
      </w:r>
    </w:p>
    <w:p w:rsidR="000862CC" w:rsidRPr="00AF32B2" w:rsidRDefault="000862CC" w:rsidP="00AF32B2">
      <w:pPr>
        <w:pStyle w:val="berschrift4"/>
      </w:pPr>
      <w:r w:rsidRPr="00AF32B2">
        <w:t>3.3.34.11 Zulässige Modifikation einer Hilfsannahme</w:t>
      </w:r>
    </w:p>
    <w:p w:rsidR="000862CC" w:rsidRDefault="000862CC" w:rsidP="000862CC">
      <w:pPr>
        <w:pStyle w:val="StandardWeb"/>
      </w:pPr>
      <w:r>
        <w:t>Eine Änderung einer Hilfsannahme lautet</w:t>
      </w:r>
    </w:p>
    <w:p w:rsidR="000862CC" w:rsidRDefault="000862CC" w:rsidP="000862CC">
      <w:pPr>
        <w:pStyle w:val="berschrift1"/>
      </w:pPr>
      <w:r>
        <w:t>[</w:t>
      </w:r>
      <w:r>
        <w:br/>
        <w:t>H_i^{\prime}</w:t>
      </w:r>
    </w:p>
    <w:p w:rsidR="000862CC" w:rsidRDefault="000862CC" w:rsidP="000862CC">
      <w:pPr>
        <w:pStyle w:val="StandardWeb"/>
      </w:pPr>
      <w:r>
        <w:t>H_i</w:t>
      </w:r>
      <w:r>
        <w:br/>
        <w:t>+</w:t>
      </w:r>
      <w:r>
        <w:br/>
        <w:t>\Delta H_i.</w:t>
      </w:r>
      <w:r>
        <w:br/>
        <w:t>\tag{3.5889}</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H_i^{\prime}=H_i+\Delta H_i\qquad\text{(3.5889)}</w:t>
      </w:r>
    </w:p>
    <w:p w:rsidR="000862CC" w:rsidRDefault="000862CC" w:rsidP="000862CC">
      <w:pPr>
        <w:pStyle w:val="StandardWeb"/>
      </w:pPr>
      <w:r>
        <w:t>Sie ist wissenschaftlich zulässig, wenn sie unabhängig begründet und erneut prüfbar ist:</w:t>
      </w:r>
    </w:p>
    <w:p w:rsidR="000862CC" w:rsidRDefault="000862CC" w:rsidP="000862CC">
      <w:pPr>
        <w:pStyle w:val="berschrift1"/>
      </w:pPr>
      <w:r>
        <w:t>[</w:t>
      </w:r>
      <w:r>
        <w:br/>
        <w:t>\operatorname{Begr}</w:t>
      </w:r>
      <w:r>
        <w:br/>
        <w:t>\left(</w:t>
      </w:r>
      <w:r>
        <w:br/>
        <w:t>H_i^{\prime}</w:t>
      </w:r>
      <w:r>
        <w:br/>
        <w:t>\right)</w:t>
      </w:r>
    </w:p>
    <w:p w:rsidR="000862CC" w:rsidRDefault="000862CC" w:rsidP="000862CC">
      <w:pPr>
        <w:pStyle w:val="StandardWeb"/>
      </w:pPr>
      <w:r>
        <w:lastRenderedPageBreak/>
        <w:t>1</w:t>
      </w:r>
      <w:r>
        <w:br/>
        <w:t>\tag{3.5890}</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\operatorname{Begr}\left(H_i^{\prime}\right)=1\qquad\text{(3.5890)}</w:t>
      </w:r>
    </w:p>
    <w:p w:rsidR="000862CC" w:rsidRDefault="000862CC" w:rsidP="000862CC">
      <w:pPr>
        <w:pStyle w:val="StandardWeb"/>
      </w:pPr>
      <w:r>
        <w:t>und</w:t>
      </w:r>
    </w:p>
    <w:p w:rsidR="000862CC" w:rsidRDefault="000862CC" w:rsidP="000862CC">
      <w:pPr>
        <w:pStyle w:val="berschrift1"/>
      </w:pPr>
      <w:r>
        <w:t>[</w:t>
      </w:r>
      <w:r>
        <w:br/>
        <w:t>\operatorname{Fal}</w:t>
      </w:r>
      <w:r>
        <w:br/>
        <w:t>\left(</w:t>
      </w:r>
      <w:r>
        <w:br/>
        <w:t>H_i^{\prime}</w:t>
      </w:r>
      <w:r>
        <w:br/>
        <w:t>\right)</w:t>
      </w:r>
    </w:p>
    <w:p w:rsidR="000862CC" w:rsidRDefault="000862CC" w:rsidP="00632D23">
      <w:pPr>
        <w:numPr>
          <w:ilvl w:val="0"/>
          <w:numId w:val="231"/>
        </w:numPr>
        <w:spacing w:before="100" w:beforeAutospacing="1" w:after="100" w:afterAutospacing="1"/>
      </w:pPr>
    </w:p>
    <w:p w:rsidR="000862CC" w:rsidRDefault="000862CC" w:rsidP="000862CC">
      <w:pPr>
        <w:pStyle w:val="StandardWeb"/>
      </w:pPr>
      <w:r>
        <w:t>\tag{3.5891}</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\operatorname{Fal}\left(H_i^{\prime}\right)=1\qquad\text{(3.5891)}</w:t>
      </w:r>
    </w:p>
    <w:p w:rsidR="000862CC" w:rsidRDefault="000862CC" w:rsidP="000862CC">
      <w:pPr>
        <w:pStyle w:val="StandardWeb"/>
      </w:pPr>
      <w:r>
        <w:t>Eine bloße Anpassung an das bereits bekannte Ergebnis besitzt dagegen keinen unabhängigen Prüfwert.</w:t>
      </w:r>
    </w:p>
    <w:p w:rsidR="000862CC" w:rsidRPr="00AF32B2" w:rsidRDefault="000862CC" w:rsidP="00AF32B2">
      <w:pPr>
        <w:pStyle w:val="berschrift4"/>
      </w:pPr>
      <w:r w:rsidRPr="00AF32B2">
        <w:t>3.3.34.12 Lokale Widerlegung</w:t>
      </w:r>
    </w:p>
    <w:p w:rsidR="000862CC" w:rsidRDefault="000862CC" w:rsidP="000862CC">
      <w:pPr>
        <w:pStyle w:val="StandardWeb"/>
      </w:pPr>
      <w:r>
        <w:t>Eine Aussage kann nur für einen Teil ihres Geltungsbereichs widerlegt sein.</w:t>
      </w:r>
    </w:p>
    <w:p w:rsidR="000862CC" w:rsidRDefault="000862CC" w:rsidP="000862CC">
      <w:pPr>
        <w:pStyle w:val="StandardWeb"/>
      </w:pPr>
      <w:r>
        <w:t>Sei</w:t>
      </w:r>
    </w:p>
    <w:p w:rsidR="000862CC" w:rsidRDefault="000862CC" w:rsidP="000862CC">
      <w:pPr>
        <w:pStyle w:val="StandardWeb"/>
      </w:pPr>
      <w:r>
        <w:t>[</w:t>
      </w:r>
      <w:r>
        <w:br/>
        <w:t>\mathfrak{G}</w:t>
      </w:r>
      <w:r>
        <w:rPr>
          <w:rStyle w:val="Hervorhebung"/>
        </w:rPr>
        <w:t>{\mathrm{lok}}</w:t>
      </w:r>
      <w:r>
        <w:rPr>
          <w:i/>
          <w:iCs/>
        </w:rPr>
        <w:br/>
      </w:r>
      <w:r>
        <w:rPr>
          <w:rStyle w:val="Hervorhebung"/>
        </w:rPr>
        <w:t>\subseteq</w:t>
      </w:r>
      <w:r>
        <w:rPr>
          <w:i/>
          <w:iCs/>
        </w:rPr>
        <w:br/>
      </w:r>
      <w:r>
        <w:rPr>
          <w:rStyle w:val="Hervorhebung"/>
        </w:rPr>
        <w:t>\mathfrak{G}</w:t>
      </w:r>
      <w:r>
        <w:t>{P}.</w:t>
      </w:r>
      <w:r>
        <w:br/>
        <w:t>\tag{3.5892}</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\mathfrak{G}_{\mathrm{lok}}\subseteq\mathfrak{G}_{P}\qquad\text{(3.5892)}</w:t>
      </w:r>
    </w:p>
    <w:p w:rsidR="000862CC" w:rsidRDefault="000862CC" w:rsidP="000862CC">
      <w:pPr>
        <w:pStyle w:val="StandardWeb"/>
      </w:pPr>
      <w:r>
        <w:t>Eine lokale Widerlegung lautet</w:t>
      </w:r>
    </w:p>
    <w:p w:rsidR="000862CC" w:rsidRDefault="000862CC" w:rsidP="000862CC">
      <w:pPr>
        <w:pStyle w:val="berschrift1"/>
      </w:pPr>
      <w:r>
        <w:lastRenderedPageBreak/>
        <w:t>[</w:t>
      </w:r>
      <w:r>
        <w:br/>
        <w:t>\operatorname{Fal}</w:t>
      </w:r>
      <w:r>
        <w:rPr>
          <w:rStyle w:val="Hervorhebung"/>
        </w:rPr>
        <w:t>{F}</w:t>
      </w:r>
      <w:r>
        <w:rPr>
          <w:i/>
          <w:iCs/>
        </w:rPr>
        <w:br/>
      </w:r>
      <w:r>
        <w:rPr>
          <w:rStyle w:val="Hervorhebung"/>
        </w:rPr>
        <w:t>\left(</w:t>
      </w:r>
      <w:r>
        <w:rPr>
          <w:i/>
          <w:iCs/>
        </w:rPr>
        <w:br/>
      </w:r>
      <w:r>
        <w:rPr>
          <w:rStyle w:val="Hervorhebung"/>
        </w:rPr>
        <w:t>P</w:t>
      </w:r>
      <w:r>
        <w:t>{\mathrm{emp}}</w:t>
      </w:r>
      <w:r>
        <w:br/>
        <w:t>\mid</w:t>
      </w:r>
      <w:r>
        <w:br/>
        <w:t>\mathfrak{G}_{\mathrm{lok}}</w:t>
      </w:r>
      <w:r>
        <w:br/>
        <w:t>\right)</w:t>
      </w:r>
    </w:p>
    <w:p w:rsidR="000862CC" w:rsidRDefault="000862CC" w:rsidP="00632D23">
      <w:pPr>
        <w:numPr>
          <w:ilvl w:val="0"/>
          <w:numId w:val="232"/>
        </w:numPr>
        <w:spacing w:before="100" w:beforeAutospacing="1" w:after="100" w:afterAutospacing="1"/>
      </w:pPr>
    </w:p>
    <w:p w:rsidR="000862CC" w:rsidRDefault="000862CC" w:rsidP="000862CC">
      <w:pPr>
        <w:pStyle w:val="StandardWeb"/>
      </w:pPr>
      <w:r>
        <w:t>\tag{3.5893}</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\operatorname{Fal}_{F}\left(P_{\mathrm{emp}}\mid\mathfrak{G}_{\mathrm{lok}}\right)=1\qquad\text{(3.5893)}</w:t>
      </w:r>
    </w:p>
    <w:p w:rsidR="000862CC" w:rsidRDefault="000862CC" w:rsidP="000862CC">
      <w:pPr>
        <w:pStyle w:val="StandardWeb"/>
      </w:pPr>
      <w:r>
        <w:t>Daraus folgt nicht notwendig eine Widerlegung für alle übrigen Teilbereiche des ursprünglichen Geltungsbereichs.</w:t>
      </w:r>
    </w:p>
    <w:p w:rsidR="000862CC" w:rsidRPr="00AF32B2" w:rsidRDefault="000862CC" w:rsidP="00AF32B2">
      <w:pPr>
        <w:pStyle w:val="berschrift4"/>
      </w:pPr>
      <w:r w:rsidRPr="00AF32B2">
        <w:t>3.3.34.13 Globale Widerlegung</w:t>
      </w:r>
    </w:p>
    <w:p w:rsidR="000862CC" w:rsidRDefault="000862CC" w:rsidP="000862CC">
      <w:pPr>
        <w:pStyle w:val="StandardWeb"/>
      </w:pPr>
      <w:r>
        <w:t>Eine globale Widerlegung betrifft den vollständigen beanspruchten Geltungsbereich:</w:t>
      </w:r>
    </w:p>
    <w:p w:rsidR="000862CC" w:rsidRDefault="000862CC" w:rsidP="000862CC">
      <w:pPr>
        <w:pStyle w:val="berschrift1"/>
      </w:pPr>
      <w:r>
        <w:t>[</w:t>
      </w:r>
      <w:r>
        <w:br/>
        <w:t>\operatorname{Fal}</w:t>
      </w:r>
      <w:r>
        <w:rPr>
          <w:rStyle w:val="Hervorhebung"/>
        </w:rPr>
        <w:t>{F}</w:t>
      </w:r>
      <w:r>
        <w:rPr>
          <w:i/>
          <w:iCs/>
        </w:rPr>
        <w:br/>
      </w:r>
      <w:r>
        <w:rPr>
          <w:rStyle w:val="Hervorhebung"/>
        </w:rPr>
        <w:t>\left(</w:t>
      </w:r>
      <w:r>
        <w:rPr>
          <w:i/>
          <w:iCs/>
        </w:rPr>
        <w:br/>
      </w:r>
      <w:r>
        <w:rPr>
          <w:rStyle w:val="Hervorhebung"/>
        </w:rPr>
        <w:t>P</w:t>
      </w:r>
      <w:r>
        <w:t>{\mathrm{emp}}</w:t>
      </w:r>
      <w:r>
        <w:br/>
        <w:t>\mid</w:t>
      </w:r>
      <w:r>
        <w:br/>
        <w:t>\mathfrak{G}_{P}</w:t>
      </w:r>
      <w:r>
        <w:br/>
        <w:t>\right)</w:t>
      </w:r>
    </w:p>
    <w:p w:rsidR="000862CC" w:rsidRDefault="000862CC" w:rsidP="00632D23">
      <w:pPr>
        <w:numPr>
          <w:ilvl w:val="0"/>
          <w:numId w:val="233"/>
        </w:numPr>
        <w:spacing w:before="100" w:beforeAutospacing="1" w:after="100" w:afterAutospacing="1"/>
      </w:pPr>
    </w:p>
    <w:p w:rsidR="000862CC" w:rsidRDefault="000862CC" w:rsidP="000862CC">
      <w:pPr>
        <w:pStyle w:val="StandardWeb"/>
      </w:pPr>
      <w:r>
        <w:t>\tag{3.5894}</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lastRenderedPageBreak/>
        <w:t>\operatorname{Fal}_{F}\left(P_{\mathrm{emp}}\mid\mathfrak{G}_{P}\right)=1\qquad\text{(3.5894)}</w:t>
      </w:r>
    </w:p>
    <w:p w:rsidR="000862CC" w:rsidRDefault="000862CC" w:rsidP="000862CC">
      <w:pPr>
        <w:pStyle w:val="StandardWeb"/>
      </w:pPr>
      <w:r>
        <w:t>Eine einzelne lokale Gegenbeobachtung widerlegt eine universelle Aussage bereits dann, wenn diese Beobachtung tatsächlich innerhalb ihres Geltungsbereichs liegt.</w:t>
      </w:r>
    </w:p>
    <w:p w:rsidR="000862CC" w:rsidRPr="00AF32B2" w:rsidRDefault="000862CC" w:rsidP="00AF32B2">
      <w:pPr>
        <w:pStyle w:val="berschrift4"/>
      </w:pPr>
      <w:r w:rsidRPr="00AF32B2">
        <w:t>3.3.34.14 Universelle Aussage</w:t>
      </w:r>
    </w:p>
    <w:p w:rsidR="000862CC" w:rsidRDefault="000862CC" w:rsidP="000862CC">
      <w:pPr>
        <w:pStyle w:val="StandardWeb"/>
      </w:pPr>
      <w:r>
        <w:t>Eine universelle empirische Aussage lautet</w:t>
      </w:r>
    </w:p>
    <w:p w:rsidR="000862CC" w:rsidRDefault="000862CC" w:rsidP="000862CC">
      <w:pPr>
        <w:pStyle w:val="StandardWeb"/>
      </w:pPr>
      <w:r>
        <w:t>[</w:t>
      </w:r>
      <w:r>
        <w:br/>
        <w:t>\forall</w:t>
      </w:r>
      <w:r>
        <w:br/>
        <w:t>x</w:t>
      </w:r>
      <w:r>
        <w:br/>
        <w:t>\in</w:t>
      </w:r>
      <w:r>
        <w:br/>
        <w:t>\mathfrak{G}_{P}:</w:t>
      </w:r>
      <w:r>
        <w:br/>
        <w:t>P(x).</w:t>
      </w:r>
      <w:r>
        <w:br/>
        <w:t>\tag{3.5895}</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\forall x\in\mathfrak{G}_{P}:P(x)\qquad\text{(3.5895)}</w:t>
      </w:r>
    </w:p>
    <w:p w:rsidR="000862CC" w:rsidRDefault="000862CC" w:rsidP="000862CC">
      <w:pPr>
        <w:pStyle w:val="StandardWeb"/>
      </w:pPr>
      <w:r>
        <w:t>Ein Gegenbeispiel</w:t>
      </w:r>
    </w:p>
    <w:p w:rsidR="000862CC" w:rsidRDefault="000862CC" w:rsidP="000862CC">
      <w:pPr>
        <w:pStyle w:val="StandardWeb"/>
      </w:pPr>
      <w:r>
        <w:t>[</w:t>
      </w:r>
      <w:r>
        <w:br/>
        <w:t>x^{\ast}</w:t>
      </w:r>
      <w:r>
        <w:br/>
        <w:t>\in</w:t>
      </w:r>
      <w:r>
        <w:br/>
        <w:t>\mathfrak{G}_{P}</w:t>
      </w:r>
      <w:r>
        <w:br/>
        <w:t>\tag{3.5896}</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x^{\ast}\in\mathfrak{G}_{P}\qquad\text{(3.5896)}</w:t>
      </w:r>
    </w:p>
    <w:p w:rsidR="000862CC" w:rsidRDefault="000862CC" w:rsidP="000862CC">
      <w:pPr>
        <w:pStyle w:val="StandardWeb"/>
      </w:pPr>
      <w:r>
        <w:t>mit</w:t>
      </w:r>
    </w:p>
    <w:p w:rsidR="000862CC" w:rsidRDefault="000862CC" w:rsidP="000862CC">
      <w:pPr>
        <w:pStyle w:val="StandardWeb"/>
      </w:pPr>
      <w:r>
        <w:t>[</w:t>
      </w:r>
      <w:r>
        <w:br/>
        <w:t>\neg P(x^{\ast})</w:t>
      </w:r>
      <w:r>
        <w:br/>
        <w:t>\tag{3.5897}</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\neg P(x^{\ast})\qquad\text{(3.5897)}</w:t>
      </w:r>
    </w:p>
    <w:p w:rsidR="000862CC" w:rsidRDefault="000862CC" w:rsidP="000862CC">
      <w:pPr>
        <w:pStyle w:val="StandardWeb"/>
      </w:pPr>
      <w:r>
        <w:t>widerlegt die universelle Aussage.</w:t>
      </w:r>
    </w:p>
    <w:p w:rsidR="000862CC" w:rsidRPr="00AF32B2" w:rsidRDefault="000862CC" w:rsidP="00AF32B2">
      <w:pPr>
        <w:pStyle w:val="berschrift4"/>
      </w:pPr>
      <w:r w:rsidRPr="00AF32B2">
        <w:t>3.3.34.15 Existenzaussage</w:t>
      </w:r>
    </w:p>
    <w:p w:rsidR="000862CC" w:rsidRDefault="000862CC" w:rsidP="000862CC">
      <w:pPr>
        <w:pStyle w:val="StandardWeb"/>
      </w:pPr>
      <w:r>
        <w:t>Eine empirische Existenzaussage lautet</w:t>
      </w:r>
    </w:p>
    <w:p w:rsidR="000862CC" w:rsidRDefault="000862CC" w:rsidP="000862CC">
      <w:pPr>
        <w:pStyle w:val="StandardWeb"/>
      </w:pPr>
      <w:r>
        <w:lastRenderedPageBreak/>
        <w:t>[</w:t>
      </w:r>
      <w:r>
        <w:br/>
        <w:t>\exists</w:t>
      </w:r>
      <w:r>
        <w:br/>
        <w:t>x</w:t>
      </w:r>
      <w:r>
        <w:br/>
        <w:t>\in</w:t>
      </w:r>
      <w:r>
        <w:br/>
        <w:t>\mathfrak{G}_{P}:</w:t>
      </w:r>
      <w:r>
        <w:br/>
        <w:t>P(x).</w:t>
      </w:r>
      <w:r>
        <w:br/>
        <w:t>\tag{3.5898}</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\exists x\in\mathfrak{G}_{P}:P(x)\qquad\text{(3.5898)}</w:t>
      </w:r>
    </w:p>
    <w:p w:rsidR="000862CC" w:rsidRDefault="000862CC" w:rsidP="000862CC">
      <w:pPr>
        <w:pStyle w:val="StandardWeb"/>
      </w:pPr>
      <w:r>
        <w:t>Das Ausbleiben eines Fundes in einer endlichen Stichprobe widerlegt eine solche Aussage nicht unmittelbar:</w:t>
      </w:r>
    </w:p>
    <w:p w:rsidR="000862CC" w:rsidRDefault="000862CC" w:rsidP="000862CC">
      <w:pPr>
        <w:pStyle w:val="StandardWeb"/>
      </w:pPr>
      <w:r>
        <w:t>[</w:t>
      </w:r>
      <w:r>
        <w:br/>
        <w:t>\neg</w:t>
      </w:r>
      <w:r>
        <w:br/>
        <w:t>\operatorname{Fund}</w:t>
      </w:r>
      <w:r>
        <w:br/>
        <w:t>\left(</w:t>
      </w:r>
      <w:r>
        <w:br/>
        <w:t>P,</w:t>
      </w:r>
      <w:r>
        <w:br/>
        <w:t>\mathcal{D}_{n}</w:t>
      </w:r>
      <w:r>
        <w:br/>
        <w:t>\right)</w:t>
      </w:r>
      <w:r>
        <w:br/>
        <w:t>\nRightarrow</w:t>
      </w:r>
      <w:r>
        <w:br/>
        <w:t>\neg</w:t>
      </w:r>
      <w:r>
        <w:br/>
        <w:t>\exists x:</w:t>
      </w:r>
      <w:r>
        <w:br/>
        <w:t>P(x).</w:t>
      </w:r>
      <w:r>
        <w:br/>
        <w:t>\tag{3.5899}</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\neg\operatorname{Fund}\left(P,\mathcal{D}_{n}\right)\nRightarrow\neg\exists x:P(x)\qquad\text{(3.5899)}</w:t>
      </w:r>
    </w:p>
    <w:p w:rsidR="000862CC" w:rsidRDefault="000862CC" w:rsidP="000862CC">
      <w:pPr>
        <w:pStyle w:val="StandardWeb"/>
      </w:pPr>
      <w:r>
        <w:t>Die Widerlegbarkeit von Existenzbehauptungen hängt deshalb wesentlich vom Suchraum und von der Vollständigkeit der Beobachtung ab.</w:t>
      </w:r>
    </w:p>
    <w:p w:rsidR="000862CC" w:rsidRPr="00AF32B2" w:rsidRDefault="000862CC" w:rsidP="00AF32B2">
      <w:pPr>
        <w:pStyle w:val="berschrift4"/>
      </w:pPr>
      <w:r w:rsidRPr="00AF32B2">
        <w:t>3.3.34.16 Parameteraussage</w:t>
      </w:r>
    </w:p>
    <w:p w:rsidR="000862CC" w:rsidRDefault="000862CC" w:rsidP="000862CC">
      <w:pPr>
        <w:pStyle w:val="StandardWeb"/>
      </w:pPr>
      <w:r>
        <w:t>Eine Parameteraussage lautet</w:t>
      </w:r>
    </w:p>
    <w:p w:rsidR="000862CC" w:rsidRDefault="000862CC" w:rsidP="000862CC">
      <w:pPr>
        <w:pStyle w:val="berschrift1"/>
      </w:pPr>
      <w:r>
        <w:t>[</w:t>
      </w:r>
      <w:r>
        <w:br/>
        <w:t>\theta</w:t>
      </w:r>
    </w:p>
    <w:p w:rsidR="000862CC" w:rsidRDefault="000862CC" w:rsidP="000862CC">
      <w:pPr>
        <w:pStyle w:val="StandardWeb"/>
      </w:pPr>
      <w:r>
        <w:t>\theta_{0}.</w:t>
      </w:r>
      <w:r>
        <w:br/>
        <w:t>\tag{3.5900}</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lastRenderedPageBreak/>
        <w:t>\theta=\theta_{0}\qquad\text{(3.5900)}</w:t>
      </w:r>
    </w:p>
    <w:p w:rsidR="000862CC" w:rsidRDefault="000862CC" w:rsidP="000862CC">
      <w:pPr>
        <w:pStyle w:val="StandardWeb"/>
      </w:pPr>
      <w:r>
        <w:t>Eine empirische Schätzung lautet</w:t>
      </w:r>
    </w:p>
    <w:p w:rsidR="000862CC" w:rsidRDefault="000862CC" w:rsidP="000862CC">
      <w:pPr>
        <w:pStyle w:val="StandardWeb"/>
      </w:pPr>
      <w:r>
        <w:t>[</w:t>
      </w:r>
      <w:r>
        <w:br/>
        <w:t>\widehat{\theta}</w:t>
      </w:r>
      <w:r>
        <w:br/>
        <w:t>\pm</w:t>
      </w:r>
      <w:r>
        <w:br/>
        <w:t>u_{\theta}.</w:t>
      </w:r>
      <w:r>
        <w:br/>
        <w:t>\tag{3.5901}</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\widehat{\theta}\pm u_{\theta}\qquad\text{(3.5901)}</w:t>
      </w:r>
    </w:p>
    <w:p w:rsidR="000862CC" w:rsidRDefault="000862CC" w:rsidP="000862CC">
      <w:pPr>
        <w:pStyle w:val="StandardWeb"/>
      </w:pPr>
      <w:r>
        <w:t>Eine Widerlegung kann vorliegen, wenn</w:t>
      </w:r>
    </w:p>
    <w:p w:rsidR="000862CC" w:rsidRDefault="000862CC" w:rsidP="000862CC">
      <w:pPr>
        <w:pStyle w:val="StandardWeb"/>
      </w:pPr>
      <w:r>
        <w:t>[</w:t>
      </w:r>
      <w:r>
        <w:br/>
        <w:t>\theta_{0}</w:t>
      </w:r>
      <w:r>
        <w:br/>
        <w:t>\notin</w:t>
      </w:r>
      <w:r>
        <w:br/>
        <w:t>I_{\theta},</w:t>
      </w:r>
      <w:r>
        <w:br/>
        <w:t>\tag{3.5902}</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\theta_{0}\notin I_{\theta}\qquad\text{(3.5902)}</w:t>
      </w:r>
    </w:p>
    <w:p w:rsidR="000862CC" w:rsidRDefault="000862CC" w:rsidP="000862CC">
      <w:pPr>
        <w:pStyle w:val="StandardWeb"/>
      </w:pPr>
      <w:r>
        <w:t>wobei (I_{\theta}) ein vorab bestimmtes Unsicherheits- oder Prüfintervall bezeichnet.</w:t>
      </w:r>
    </w:p>
    <w:p w:rsidR="000862CC" w:rsidRPr="00AF32B2" w:rsidRDefault="000862CC" w:rsidP="00AF32B2">
      <w:pPr>
        <w:pStyle w:val="berschrift4"/>
      </w:pPr>
      <w:r w:rsidRPr="00AF32B2">
        <w:t>3.3.34.17 Strukturaussage</w:t>
      </w:r>
    </w:p>
    <w:p w:rsidR="000862CC" w:rsidRDefault="000862CC" w:rsidP="000862CC">
      <w:pPr>
        <w:pStyle w:val="StandardWeb"/>
      </w:pPr>
      <w:r>
        <w:t>Eine graphische Strukturaussage kann lauten</w:t>
      </w:r>
    </w:p>
    <w:p w:rsidR="000862CC" w:rsidRDefault="000862CC" w:rsidP="000862CC">
      <w:pPr>
        <w:pStyle w:val="StandardWeb"/>
      </w:pPr>
      <w:r>
        <w:t>[</w:t>
      </w:r>
      <w:r>
        <w:br/>
        <w:t>(\delta_i,\delta_j)</w:t>
      </w:r>
      <w:r>
        <w:br/>
        <w:t>\in</w:t>
      </w:r>
      <w:r>
        <w:br/>
        <w:t>R.</w:t>
      </w:r>
      <w:r>
        <w:br/>
        <w:t>\tag{3.5903}</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(\delta_i,\delta_j)\in R\qquad\text{(3.5903)}</w:t>
      </w:r>
    </w:p>
    <w:p w:rsidR="000862CC" w:rsidRDefault="000862CC" w:rsidP="000862CC">
      <w:pPr>
        <w:pStyle w:val="StandardWeb"/>
      </w:pPr>
      <w:r>
        <w:t>Eine widerlegende Beobachtung kann vorliegen, wenn unter den festgelegten Operationalisierungs- und Messbedingungen gilt</w:t>
      </w:r>
    </w:p>
    <w:p w:rsidR="000862CC" w:rsidRDefault="000862CC" w:rsidP="000862CC">
      <w:pPr>
        <w:pStyle w:val="StandardWeb"/>
      </w:pPr>
      <w:r>
        <w:t>[</w:t>
      </w:r>
      <w:r>
        <w:br/>
        <w:t>(\delta_i,\delta_j)</w:t>
      </w:r>
      <w:r>
        <w:br/>
        <w:t>\notin</w:t>
      </w:r>
      <w:r>
        <w:br/>
        <w:t>R_{\mathrm{obs}}.</w:t>
      </w:r>
      <w:r>
        <w:br/>
      </w:r>
      <w:r>
        <w:lastRenderedPageBreak/>
        <w:t>\tag{3.5904}</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(\delta_i,\delta_j)\notin R_{\mathrm{obs}}\qquad\text{(3.5904)}</w:t>
      </w:r>
    </w:p>
    <w:p w:rsidR="000862CC" w:rsidRDefault="000862CC" w:rsidP="000862CC">
      <w:pPr>
        <w:pStyle w:val="StandardWeb"/>
      </w:pPr>
      <w:r>
        <w:t>Dabei muss berücksichtigt werden, ob das Fehlen einer beobachteten Relation tatsächlich die Abwesenheit der Relation oder lediglich eine unzureichende Beobachtung bedeutet.</w:t>
      </w:r>
    </w:p>
    <w:p w:rsidR="000862CC" w:rsidRPr="00AF32B2" w:rsidRDefault="000862CC" w:rsidP="00AF32B2">
      <w:pPr>
        <w:pStyle w:val="berschrift4"/>
      </w:pPr>
      <w:r w:rsidRPr="00AF32B2">
        <w:t>3.3.34.18 Transformationsaussage</w:t>
      </w:r>
    </w:p>
    <w:p w:rsidR="000862CC" w:rsidRDefault="000862CC" w:rsidP="000862CC">
      <w:pPr>
        <w:pStyle w:val="StandardWeb"/>
      </w:pPr>
      <w:r>
        <w:t>Eine funktionale Transformationsaussage lautet</w:t>
      </w:r>
    </w:p>
    <w:p w:rsidR="000862CC" w:rsidRDefault="000862CC" w:rsidP="000862CC">
      <w:pPr>
        <w:pStyle w:val="berschrift1"/>
      </w:pPr>
      <w:r>
        <w:t>[</w:t>
      </w:r>
      <w:r>
        <w:br/>
        <w:t>T(\delta_i)</w:t>
      </w:r>
    </w:p>
    <w:p w:rsidR="000862CC" w:rsidRDefault="000862CC" w:rsidP="000862CC">
      <w:pPr>
        <w:pStyle w:val="StandardWeb"/>
      </w:pPr>
      <w:r>
        <w:t>\delta_j.</w:t>
      </w:r>
      <w:r>
        <w:br/>
        <w:t>\tag{3.5905}</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T(\delta_i)=\delta_j\qquad\text{(3.5905)}</w:t>
      </w:r>
    </w:p>
    <w:p w:rsidR="000862CC" w:rsidRDefault="000862CC" w:rsidP="000862CC">
      <w:pPr>
        <w:pStyle w:val="StandardWeb"/>
      </w:pPr>
      <w:r>
        <w:t>Eine abweichende Beobachtung lautet</w:t>
      </w:r>
    </w:p>
    <w:p w:rsidR="000862CC" w:rsidRDefault="000862CC" w:rsidP="000862CC">
      <w:pPr>
        <w:pStyle w:val="berschrift1"/>
      </w:pPr>
      <w:r>
        <w:t>[</w:t>
      </w:r>
      <w:r>
        <w:br/>
        <w:t>T_{\mathrm{obs}}(\delta_i)</w:t>
      </w:r>
    </w:p>
    <w:p w:rsidR="000862CC" w:rsidRDefault="000862CC" w:rsidP="000862CC">
      <w:pPr>
        <w:pStyle w:val="StandardWeb"/>
      </w:pPr>
      <w:r>
        <w:t>\delta_k,</w:t>
      </w:r>
      <w:r>
        <w:br/>
        <w:t>\qquad</w:t>
      </w:r>
      <w:r>
        <w:br/>
        <w:t>\delta_k</w:t>
      </w:r>
      <w:r>
        <w:br/>
        <w:t>\neq</w:t>
      </w:r>
      <w:r>
        <w:br/>
        <w:t>\delta_j.</w:t>
      </w:r>
      <w:r>
        <w:br/>
        <w:t>\tag{3.5906}</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T_{\mathrm{obs}}(\delta_i)=\delta_k,\qquad\delta_k\neq\delta_j\qquad\text{(3.5906)}</w:t>
      </w:r>
    </w:p>
    <w:p w:rsidR="000862CC" w:rsidRDefault="000862CC" w:rsidP="000862CC">
      <w:pPr>
        <w:pStyle w:val="StandardWeb"/>
      </w:pPr>
      <w:r>
        <w:t>Eine unmittelbare Widerlegung setzt voraus, dass die Transformation deterministisch beansprucht wurde und die Randbedingungen übereinstimmen.</w:t>
      </w:r>
    </w:p>
    <w:p w:rsidR="000862CC" w:rsidRPr="00AF32B2" w:rsidRDefault="000862CC" w:rsidP="00AF32B2">
      <w:pPr>
        <w:pStyle w:val="berschrift4"/>
      </w:pPr>
      <w:r w:rsidRPr="00AF32B2">
        <w:t>3.3.34.19 Probabilistische Transformationsaussage</w:t>
      </w:r>
    </w:p>
    <w:p w:rsidR="000862CC" w:rsidRDefault="000862CC" w:rsidP="000862CC">
      <w:pPr>
        <w:pStyle w:val="StandardWeb"/>
      </w:pPr>
      <w:r>
        <w:lastRenderedPageBreak/>
        <w:t>Eine probabilistische Transformationsaussage lautet</w:t>
      </w:r>
    </w:p>
    <w:p w:rsidR="000862CC" w:rsidRDefault="000862CC" w:rsidP="000862CC">
      <w:pPr>
        <w:pStyle w:val="berschrift1"/>
      </w:pPr>
      <w:r>
        <w:t>[</w:t>
      </w:r>
      <w:r>
        <w:br/>
        <w:t>\Pr</w:t>
      </w:r>
      <w:r>
        <w:br/>
        <w:t>\left(</w:t>
      </w:r>
      <w:r>
        <w:br/>
        <w:t>\Delta_{t+1}</w:t>
      </w:r>
    </w:p>
    <w:p w:rsidR="000862CC" w:rsidRDefault="000862CC" w:rsidP="000862CC">
      <w:pPr>
        <w:pStyle w:val="berschrift1"/>
      </w:pPr>
      <w:r>
        <w:t>\delta_j</w:t>
      </w:r>
      <w:r>
        <w:br/>
        <w:t>\mid</w:t>
      </w:r>
      <w:r>
        <w:br/>
        <w:t>\Delta_t</w:t>
      </w:r>
    </w:p>
    <w:p w:rsidR="000862CC" w:rsidRDefault="000862CC" w:rsidP="000862CC">
      <w:pPr>
        <w:pStyle w:val="berschrift1"/>
      </w:pPr>
      <w:r>
        <w:t>\delta_i</w:t>
      </w:r>
      <w:r>
        <w:br/>
        <w:t>\right)</w:t>
      </w:r>
    </w:p>
    <w:p w:rsidR="000862CC" w:rsidRDefault="000862CC" w:rsidP="000862CC">
      <w:pPr>
        <w:pStyle w:val="StandardWeb"/>
      </w:pPr>
      <w:r>
        <w:t>p_{ij}.</w:t>
      </w:r>
      <w:r>
        <w:br/>
        <w:t>\tag{3.5907}</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\Pr\left(\Delta_{t+1}=\delta_j\mid\Delta_t=\delta_i\right)=p_{ij}\qquad\text{(3.5907)}</w:t>
      </w:r>
    </w:p>
    <w:p w:rsidR="000862CC" w:rsidRDefault="000862CC" w:rsidP="000862CC">
      <w:pPr>
        <w:pStyle w:val="StandardWeb"/>
      </w:pPr>
      <w:r>
        <w:t>Eine empirische Schätzung lautet</w:t>
      </w:r>
    </w:p>
    <w:p w:rsidR="000862CC" w:rsidRDefault="000862CC" w:rsidP="000862CC">
      <w:pPr>
        <w:pStyle w:val="StandardWeb"/>
      </w:pPr>
      <w:r>
        <w:t>[</w:t>
      </w:r>
      <w:r>
        <w:br/>
        <w:t>\widehat{p}_{ij}.</w:t>
      </w:r>
      <w:r>
        <w:br/>
        <w:t>\tag{3.5908}</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\widehat{p}_{ij}\qquad\text{(3.5908)}</w:t>
      </w:r>
    </w:p>
    <w:p w:rsidR="000862CC" w:rsidRDefault="000862CC" w:rsidP="000862CC">
      <w:pPr>
        <w:pStyle w:val="StandardWeb"/>
      </w:pPr>
      <w:r>
        <w:t>Eine widerlegungsrelevante Abweichung kann definiert werden durch</w:t>
      </w:r>
    </w:p>
    <w:p w:rsidR="000862CC" w:rsidRDefault="000862CC" w:rsidP="000862CC">
      <w:pPr>
        <w:pStyle w:val="berschrift2"/>
      </w:pPr>
      <w:r>
        <w:t>[</w:t>
      </w:r>
      <w:r>
        <w:br/>
        <w:t>\left|</w:t>
      </w:r>
      <w:r>
        <w:br/>
        <w:t>\widehat{p}_{ij}</w:t>
      </w:r>
    </w:p>
    <w:p w:rsidR="000862CC" w:rsidRDefault="000862CC" w:rsidP="000862CC">
      <w:pPr>
        <w:pStyle w:val="StandardWeb"/>
      </w:pPr>
      <w:r>
        <w:t>p_{ij}</w:t>
      </w:r>
      <w:r>
        <w:br/>
        <w:t>\right|</w:t>
      </w:r>
    </w:p>
    <w:p w:rsidR="000862CC" w:rsidRDefault="000862CC" w:rsidP="000862CC">
      <w:pPr>
        <w:pStyle w:val="StandardWeb"/>
      </w:pPr>
      <w:r>
        <w:lastRenderedPageBreak/>
        <w:t>\varepsilon_{p}.</w:t>
      </w:r>
      <w:r>
        <w:br/>
        <w:t>\tag{3.5909}</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\left|\widehat{p}_{ij}-p_{ij}\right|&gt;\varepsilon_{p}\qquad\text{(3.5909)}</w:t>
      </w:r>
    </w:p>
    <w:p w:rsidR="000862CC" w:rsidRPr="00AF32B2" w:rsidRDefault="000862CC" w:rsidP="00AF32B2">
      <w:pPr>
        <w:pStyle w:val="berschrift4"/>
      </w:pPr>
      <w:r w:rsidRPr="00AF32B2">
        <w:t>3.3.34.20 Kohärenzaussage</w:t>
      </w:r>
    </w:p>
    <w:p w:rsidR="000862CC" w:rsidRDefault="000862CC" w:rsidP="000862CC">
      <w:pPr>
        <w:pStyle w:val="StandardWeb"/>
      </w:pPr>
      <w:r>
        <w:t>Eine Kohärenzaussage lautet</w:t>
      </w:r>
    </w:p>
    <w:p w:rsidR="000862CC" w:rsidRDefault="000862CC" w:rsidP="000862CC">
      <w:pPr>
        <w:pStyle w:val="StandardWeb"/>
      </w:pPr>
      <w:r>
        <w:t>[</w:t>
      </w:r>
      <w:r>
        <w:br/>
        <w:t>K_{\mathcal{C}}</w:t>
      </w:r>
      <w:r>
        <w:br/>
        <w:t>\geq</w:t>
      </w:r>
      <w:r>
        <w:br/>
        <w:t>\tau_{K}.</w:t>
      </w:r>
      <w:r>
        <w:br/>
        <w:t>\tag{3.5910}</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K_{\mathcal{C}}\geq\tau_{K}\qquad\text{(3.5910)}</w:t>
      </w:r>
    </w:p>
    <w:p w:rsidR="000862CC" w:rsidRDefault="000862CC" w:rsidP="000862CC">
      <w:pPr>
        <w:pStyle w:val="StandardWeb"/>
      </w:pPr>
      <w:r>
        <w:t>Eine widerlegende Beobachtung liegt vor, wenn</w:t>
      </w:r>
    </w:p>
    <w:p w:rsidR="000862CC" w:rsidRDefault="000862CC" w:rsidP="000862CC">
      <w:pPr>
        <w:pStyle w:val="StandardWeb"/>
      </w:pPr>
      <w:r>
        <w:t>[</w:t>
      </w:r>
      <w:r>
        <w:br/>
        <w:t>K_{\mathcal{C}}^{\mathrm{obs}}</w:t>
      </w:r>
      <w:r>
        <w:br/>
        <w:t>+</w:t>
      </w:r>
      <w:r>
        <w:br/>
        <w:t>u_{K}</w:t>
      </w:r>
      <w:r>
        <w:br/>
        <w:t>&lt;</w:t>
      </w:r>
      <w:r>
        <w:br/>
        <w:t>\tau_{K}.</w:t>
      </w:r>
      <w:r>
        <w:br/>
        <w:t>\tag{3.5911}</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K_{\mathcal{C}}^{\mathrm{obs}}+u_{K}&lt;\tau_{K}\qquad\text{(3.5911)}</w:t>
      </w:r>
    </w:p>
    <w:p w:rsidR="000862CC" w:rsidRDefault="000862CC" w:rsidP="000862CC">
      <w:pPr>
        <w:pStyle w:val="StandardWeb"/>
      </w:pPr>
      <w:r>
        <w:t>Damit wird die Unsicherheit des beobachteten Kohärenzwerts ausdrücklich in die Widerlegungsentscheidung einbezogen.</w:t>
      </w:r>
    </w:p>
    <w:p w:rsidR="000862CC" w:rsidRPr="00AF32B2" w:rsidRDefault="000862CC" w:rsidP="00AF32B2">
      <w:pPr>
        <w:pStyle w:val="berschrift4"/>
      </w:pPr>
      <w:r w:rsidRPr="00AF32B2">
        <w:t>3.3.34.21 Zeitaussage</w:t>
      </w:r>
    </w:p>
    <w:p w:rsidR="000862CC" w:rsidRDefault="000862CC" w:rsidP="000862CC">
      <w:pPr>
        <w:pStyle w:val="StandardWeb"/>
      </w:pPr>
      <w:r>
        <w:t>Eine funktionale Zeitaussage lautet</w:t>
      </w:r>
    </w:p>
    <w:p w:rsidR="000862CC" w:rsidRDefault="000862CC" w:rsidP="000862CC">
      <w:pPr>
        <w:pStyle w:val="StandardWeb"/>
      </w:pPr>
      <w:r>
        <w:t>[</w:t>
      </w:r>
      <w:r>
        <w:br/>
        <w:t>t^{F}([\delta_i])</w:t>
      </w:r>
      <w:r>
        <w:br/>
        <w:t>&lt;</w:t>
      </w:r>
      <w:r>
        <w:br/>
        <w:t>t^{F}([\delta_j]).</w:t>
      </w:r>
      <w:r>
        <w:br/>
        <w:t>\tag{3.5912}</w:t>
      </w:r>
      <w:r>
        <w:br/>
        <w:t>]</w:t>
      </w:r>
    </w:p>
    <w:p w:rsidR="000862CC" w:rsidRDefault="000862CC" w:rsidP="000862CC">
      <w:pPr>
        <w:pStyle w:val="StandardWeb"/>
      </w:pPr>
      <w:r>
        <w:rPr>
          <w:rStyle w:val="Fett"/>
        </w:rPr>
        <w:lastRenderedPageBreak/>
        <w:t>Word-LaTeX</w:t>
      </w:r>
    </w:p>
    <w:p w:rsidR="000862CC" w:rsidRDefault="000862CC" w:rsidP="000862CC">
      <w:pPr>
        <w:pStyle w:val="HTMLVorformatiert"/>
        <w:rPr>
          <w:rStyle w:val="HTMLCode"/>
        </w:rPr>
      </w:pPr>
      <w:r>
        <w:rPr>
          <w:rStyle w:val="HTMLCode"/>
        </w:rPr>
        <w:t>t^{F}([\delta_i])&lt;t^{F}([\delta_j])\qquad\text{(3.5912)}</w:t>
      </w:r>
    </w:p>
    <w:p w:rsidR="000862CC" w:rsidRDefault="000862CC" w:rsidP="000862CC">
      <w:pPr>
        <w:pStyle w:val="StandardWeb"/>
      </w:pPr>
      <w:r>
        <w:t>Eine widerlegende Beobachtung liegt vor, wenn mit hinreichender Sicherheit gilt</w:t>
      </w:r>
    </w:p>
    <w:p w:rsidR="000862CC" w:rsidRDefault="000862CC" w:rsidP="000862CC">
      <w:pPr>
        <w:pStyle w:val="StandardWeb"/>
      </w:pPr>
      <w:r>
        <w:t>[</w:t>
      </w:r>
      <w:r>
        <w:br/>
        <w:t>t^{F}</w:t>
      </w:r>
      <w:r>
        <w:rPr>
          <w:rStyle w:val="Hervorhebung"/>
        </w:rPr>
        <w:t>{\mathrm{obs}}([\delta_i])</w:t>
      </w:r>
      <w:r>
        <w:rPr>
          <w:i/>
          <w:iCs/>
        </w:rPr>
        <w:br/>
      </w:r>
      <w:r>
        <w:rPr>
          <w:rStyle w:val="Hervorhebung"/>
        </w:rPr>
        <w:t>\geq</w:t>
      </w:r>
      <w:r>
        <w:rPr>
          <w:i/>
          <w:iCs/>
        </w:rPr>
        <w:br/>
      </w:r>
      <w:r>
        <w:rPr>
          <w:rStyle w:val="Hervorhebung"/>
        </w:rPr>
        <w:t>t^{F}</w:t>
      </w:r>
      <w:r>
        <w:t>{\mathrm{obs}}([\delta_j]).</w:t>
      </w:r>
      <w:r>
        <w:br/>
        <w:t>\tag{3.5913}</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t^{F}_{\mathrm{obs}}([\delta_i])\geq t^{F}_{\mathrm{obs}}([\delta_j])\qquad\text{(3.5913)}</w:t>
      </w:r>
    </w:p>
    <w:p w:rsidR="000862CC" w:rsidRPr="00AF32B2" w:rsidRDefault="000862CC" w:rsidP="00AF32B2">
      <w:pPr>
        <w:pStyle w:val="berschrift4"/>
      </w:pPr>
      <w:r w:rsidRPr="00AF32B2">
        <w:t>3.3.34.22 Entscheidungswiderlegung</w:t>
      </w:r>
    </w:p>
    <w:p w:rsidR="000862CC" w:rsidRDefault="000862CC" w:rsidP="000862CC">
      <w:pPr>
        <w:pStyle w:val="StandardWeb"/>
      </w:pPr>
      <w:r>
        <w:t>Eine Entscheidungsaussage lautet</w:t>
      </w:r>
    </w:p>
    <w:p w:rsidR="000862CC" w:rsidRDefault="000862CC" w:rsidP="000862CC">
      <w:pPr>
        <w:pStyle w:val="berschrift1"/>
      </w:pPr>
      <w:r>
        <w:t>[</w:t>
      </w:r>
      <w:r>
        <w:br/>
        <w:t>C</w:t>
      </w:r>
    </w:p>
    <w:p w:rsidR="000862CC" w:rsidRDefault="000862CC" w:rsidP="000862CC">
      <w:pPr>
        <w:pStyle w:val="StandardWeb"/>
      </w:pPr>
      <w:r>
        <w:t>\mathcal{C}_{F}(Y;\tau).</w:t>
      </w:r>
      <w:r>
        <w:br/>
        <w:t>\tag{3.5914}</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C=\mathcal{C}_{F}(Y;\tau)\qquad\text{(3.5914)}</w:t>
      </w:r>
    </w:p>
    <w:p w:rsidR="000862CC" w:rsidRDefault="000862CC" w:rsidP="000862CC">
      <w:pPr>
        <w:pStyle w:val="StandardWeb"/>
      </w:pPr>
      <w:r>
        <w:t>Eine widerlegende Beobachtung liegt vor, wenn der tatsächliche Zustand (H) bestimmt werden kann und gilt</w:t>
      </w:r>
    </w:p>
    <w:p w:rsidR="000862CC" w:rsidRDefault="000862CC" w:rsidP="000862CC">
      <w:pPr>
        <w:pStyle w:val="StandardWeb"/>
      </w:pPr>
      <w:r>
        <w:t>[</w:t>
      </w:r>
      <w:r>
        <w:br/>
        <w:t>C</w:t>
      </w:r>
      <w:r>
        <w:br/>
        <w:t>\neq</w:t>
      </w:r>
      <w:r>
        <w:br/>
        <w:t>H.</w:t>
      </w:r>
      <w:r>
        <w:br/>
        <w:t>\tag{3.5915}</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C\neq H\qquad\text{(3.5915)}</w:t>
      </w:r>
    </w:p>
    <w:p w:rsidR="000862CC" w:rsidRDefault="000862CC" w:rsidP="000862CC">
      <w:pPr>
        <w:pStyle w:val="StandardWeb"/>
      </w:pPr>
      <w:r>
        <w:t>Eine einzelne Fehlentscheidung widerlegt nicht automatisch die gesamte Entscheidungsregel, sofern die Regel probabilistisch formuliert wurde. Dann sind Fehlerraten und erwartete Verlustwerte zu prüfen.</w:t>
      </w:r>
    </w:p>
    <w:p w:rsidR="000862CC" w:rsidRPr="00AF32B2" w:rsidRDefault="000862CC" w:rsidP="00AF32B2">
      <w:pPr>
        <w:pStyle w:val="berschrift4"/>
      </w:pPr>
      <w:r w:rsidRPr="00AF32B2">
        <w:lastRenderedPageBreak/>
        <w:t>3.3.34.23 Fehlerraten als Widerlegungskriterium</w:t>
      </w:r>
    </w:p>
    <w:p w:rsidR="000862CC" w:rsidRDefault="000862CC" w:rsidP="000862CC">
      <w:pPr>
        <w:pStyle w:val="StandardWeb"/>
      </w:pPr>
      <w:r>
        <w:t>Eine zulässige falsch-positive Rate sei</w:t>
      </w:r>
    </w:p>
    <w:p w:rsidR="000862CC" w:rsidRDefault="000862CC" w:rsidP="000862CC">
      <w:pPr>
        <w:pStyle w:val="StandardWeb"/>
      </w:pPr>
      <w:r>
        <w:t>[</w:t>
      </w:r>
      <w:r>
        <w:br/>
        <w:t>\operatorname{FPR}</w:t>
      </w:r>
      <w:r>
        <w:br/>
        <w:t>\leq</w:t>
      </w:r>
      <w:r>
        <w:br/>
        <w:t>\alpha_{\max}.</w:t>
      </w:r>
      <w:r>
        <w:br/>
        <w:t>\tag{3.5916}</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\operatorname{FPR}\leq\alpha_{\max}\qquad\text{(3.5916)}</w:t>
      </w:r>
    </w:p>
    <w:p w:rsidR="000862CC" w:rsidRDefault="000862CC" w:rsidP="000862CC">
      <w:pPr>
        <w:pStyle w:val="StandardWeb"/>
      </w:pPr>
      <w:r>
        <w:t>Eine zulässige falsch-negative Rate sei</w:t>
      </w:r>
    </w:p>
    <w:p w:rsidR="000862CC" w:rsidRDefault="000862CC" w:rsidP="000862CC">
      <w:pPr>
        <w:pStyle w:val="StandardWeb"/>
      </w:pPr>
      <w:r>
        <w:t>[</w:t>
      </w:r>
      <w:r>
        <w:br/>
        <w:t>\operatorname{FNR}</w:t>
      </w:r>
      <w:r>
        <w:br/>
        <w:t>\leq</w:t>
      </w:r>
      <w:r>
        <w:br/>
        <w:t>\beta_{\max}.</w:t>
      </w:r>
      <w:r>
        <w:br/>
        <w:t>\tag{3.5917}</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\operatorname{FNR}\leq\beta_{\max}\qquad\text{(3.5917)}</w:t>
      </w:r>
    </w:p>
    <w:p w:rsidR="000862CC" w:rsidRDefault="000862CC" w:rsidP="000862CC">
      <w:pPr>
        <w:pStyle w:val="StandardWeb"/>
      </w:pPr>
      <w:r>
        <w:t>Eine Entscheidungsregel ist bezüglich dieser Anforderungen widerlegt, wenn mindestens eine Bedingung verletzt wird:</w:t>
      </w:r>
    </w:p>
    <w:p w:rsidR="000862CC" w:rsidRDefault="000862CC" w:rsidP="000862CC">
      <w:pPr>
        <w:pStyle w:val="StandardWeb"/>
      </w:pPr>
      <w:r>
        <w:t>[</w:t>
      </w:r>
      <w:r>
        <w:br/>
        <w:t>\operatorname{FPR}</w:t>
      </w:r>
    </w:p>
    <w:p w:rsidR="000862CC" w:rsidRDefault="000862CC" w:rsidP="000862CC">
      <w:pPr>
        <w:pStyle w:val="StandardWeb"/>
      </w:pPr>
      <w:r>
        <w:t>\alpha_{\max}</w:t>
      </w:r>
      <w:r>
        <w:br/>
        <w:t>\lor</w:t>
      </w:r>
      <w:r>
        <w:br/>
        <w:t>\operatorname{FNR}</w:t>
      </w:r>
    </w:p>
    <w:p w:rsidR="000862CC" w:rsidRDefault="000862CC" w:rsidP="000862CC">
      <w:pPr>
        <w:pStyle w:val="StandardWeb"/>
      </w:pPr>
      <w:r>
        <w:t>\beta_{\max}.</w:t>
      </w:r>
      <w:r>
        <w:br/>
        <w:t>\tag{3.5918}</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\operatorname{FPR}&gt;\alpha_{\max}\lor\operatorname{FNR}&gt;\beta_{\max}\qquad\text{(3.5918)}</w:t>
      </w:r>
    </w:p>
    <w:p w:rsidR="000862CC" w:rsidRPr="00AF32B2" w:rsidRDefault="000862CC" w:rsidP="00AF32B2">
      <w:pPr>
        <w:pStyle w:val="berschrift4"/>
      </w:pPr>
      <w:r w:rsidRPr="00AF32B2">
        <w:t>3.3.34.24 Widerlegungsgrad</w:t>
      </w:r>
    </w:p>
    <w:p w:rsidR="000862CC" w:rsidRDefault="000862CC" w:rsidP="000862CC">
      <w:pPr>
        <w:pStyle w:val="StandardWeb"/>
      </w:pPr>
      <w:r>
        <w:t>Für mehrere unabhängige Prüfungen kann ein Widerlegungsgrad definiert werden:</w:t>
      </w:r>
    </w:p>
    <w:p w:rsidR="000862CC" w:rsidRDefault="000862CC" w:rsidP="000862CC">
      <w:pPr>
        <w:pStyle w:val="berschrift1"/>
      </w:pPr>
      <w:r>
        <w:lastRenderedPageBreak/>
        <w:t>[</w:t>
      </w:r>
      <w:r>
        <w:br/>
        <w:t>\operatorname{Grad}_{\mathrm{fal}}</w:t>
      </w:r>
    </w:p>
    <w:p w:rsidR="000862CC" w:rsidRDefault="000862CC" w:rsidP="000862CC">
      <w:pPr>
        <w:pStyle w:val="StandardWeb"/>
      </w:pPr>
      <w:r>
        <w:t>\frac{</w:t>
      </w:r>
      <w:r>
        <w:br/>
        <w:t>N_{\mathrm{widerlegt}}</w:t>
      </w:r>
      <w:r>
        <w:br/>
        <w:t>}{</w:t>
      </w:r>
      <w:r>
        <w:br/>
        <w:t>N_{\mathrm{geprüft}}</w:t>
      </w:r>
      <w:r>
        <w:br/>
        <w:t>}.</w:t>
      </w:r>
      <w:r>
        <w:br/>
        <w:t>\tag{3.5919}</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\operatorname{Grad}_{\mathrm{fal}}=\frac{N_{\mathrm{widerlegt}}}{N_{\mathrm{geprüft}}}\qquad\text{(3.5919)}</w:t>
      </w:r>
    </w:p>
    <w:p w:rsidR="000862CC" w:rsidRDefault="000862CC" w:rsidP="000862CC">
      <w:pPr>
        <w:pStyle w:val="StandardWeb"/>
      </w:pPr>
      <w:r>
        <w:t>Dabei gilt</w:t>
      </w:r>
    </w:p>
    <w:p w:rsidR="000862CC" w:rsidRDefault="000862CC" w:rsidP="000862CC">
      <w:pPr>
        <w:pStyle w:val="StandardWeb"/>
      </w:pPr>
      <w:r>
        <w:t>[</w:t>
      </w:r>
      <w:r>
        <w:br/>
        <w:t>0</w:t>
      </w:r>
      <w:r>
        <w:br/>
        <w:t>\leq</w:t>
      </w:r>
      <w:r>
        <w:br/>
        <w:t>\operatorname{Grad}_{\mathrm{fal}}</w:t>
      </w:r>
      <w:r>
        <w:br/>
        <w:t>\leq</w:t>
      </w:r>
      <w:r>
        <w:br/>
        <w:t>1.</w:t>
      </w:r>
      <w:r>
        <w:br/>
        <w:t>\tag{3.5920}</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0\leq\operatorname{Grad}_{\mathrm{fal}}\leq1\qquad\text{(3.5920)}</w:t>
      </w:r>
    </w:p>
    <w:p w:rsidR="000862CC" w:rsidRDefault="000862CC" w:rsidP="000862CC">
      <w:pPr>
        <w:pStyle w:val="StandardWeb"/>
      </w:pPr>
      <w:r>
        <w:t>Dieser Grad ersetzt keine logische Widerlegung einer universellen Aussage, kann aber die empirische Häufigkeit von Abweichungen dokumentieren.</w:t>
      </w:r>
    </w:p>
    <w:p w:rsidR="000862CC" w:rsidRPr="00AF32B2" w:rsidRDefault="000862CC" w:rsidP="00AF32B2">
      <w:pPr>
        <w:pStyle w:val="berschrift4"/>
      </w:pPr>
      <w:r w:rsidRPr="00AF32B2">
        <w:t>3.3.34.25 Widerlegungsstärke</w:t>
      </w:r>
    </w:p>
    <w:p w:rsidR="000862CC" w:rsidRDefault="000862CC" w:rsidP="000862CC">
      <w:pPr>
        <w:pStyle w:val="StandardWeb"/>
      </w:pPr>
      <w:r>
        <w:t>Ich unterscheide vier Widerlegungsstärken:</w:t>
      </w:r>
    </w:p>
    <w:p w:rsidR="000862CC" w:rsidRDefault="000862CC" w:rsidP="000862CC">
      <w:pPr>
        <w:pStyle w:val="berschrift1"/>
      </w:pPr>
      <w:r>
        <w:t>[</w:t>
      </w:r>
      <w:r>
        <w:br/>
        <w:t>\mathfrak{L}_{\mathrm{fal}}</w:t>
      </w:r>
    </w:p>
    <w:p w:rsidR="000862CC" w:rsidRDefault="000862CC" w:rsidP="000862CC">
      <w:pPr>
        <w:pStyle w:val="StandardWeb"/>
      </w:pPr>
      <w:r>
        <w:t>\left{</w:t>
      </w:r>
      <w:r>
        <w:br/>
        <w:t>\mathbf{keine},</w:t>
      </w:r>
      <w:r>
        <w:br/>
        <w:t>\mathbf{lokale},</w:t>
      </w:r>
      <w:r>
        <w:br/>
        <w:t>\mathbf{bedingte},</w:t>
      </w:r>
      <w:r>
        <w:br/>
        <w:t>\mathbf{globale}</w:t>
      </w:r>
      <w:r>
        <w:br/>
        <w:t>\right}.</w:t>
      </w:r>
      <w:r>
        <w:br/>
      </w:r>
      <w:r>
        <w:lastRenderedPageBreak/>
        <w:t>\tag{3.5921}</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\mathfrak{L}_{\mathrm{fal}}=\left\{\mathbf{keine},\mathbf{lokale},\mathbf{bedingte},\mathbf{globale}\right\}\qquad\text{(3.5921)}</w:t>
      </w:r>
    </w:p>
    <w:p w:rsidR="000862CC" w:rsidRDefault="000862CC" w:rsidP="000862CC">
      <w:pPr>
        <w:pStyle w:val="StandardWeb"/>
      </w:pPr>
      <w:r>
        <w:t>Die Zuordnungsabbildung lautet</w:t>
      </w:r>
    </w:p>
    <w:p w:rsidR="000862CC" w:rsidRDefault="000862CC" w:rsidP="000862CC">
      <w:pPr>
        <w:pStyle w:val="StandardWeb"/>
      </w:pPr>
      <w:r>
        <w:t>[</w:t>
      </w:r>
      <w:r>
        <w:br/>
        <w:t>\operatorname{Klasse}</w:t>
      </w:r>
      <w:r>
        <w:rPr>
          <w:rStyle w:val="Hervorhebung"/>
        </w:rPr>
        <w:t>{\mathrm{fal}}:</w:t>
      </w:r>
      <w:r>
        <w:rPr>
          <w:i/>
          <w:iCs/>
        </w:rPr>
        <w:br/>
      </w:r>
      <w:r>
        <w:rPr>
          <w:rStyle w:val="Hervorhebung"/>
        </w:rPr>
        <w:t>\mathfrak{F}</w:t>
      </w:r>
      <w:r>
        <w:t>{F}</w:t>
      </w:r>
      <w:r>
        <w:br/>
        <w:t>\rightarrow</w:t>
      </w:r>
      <w:r>
        <w:br/>
        <w:t>\mathfrak{L}_{\mathrm{fal}}.</w:t>
      </w:r>
      <w:r>
        <w:br/>
        <w:t>\tag{3.5922}</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\operatorname{Klasse}_{\mathrm{fal}}:\mathfrak{F}_{F}\rightarrow\mathfrak{L}_{\mathrm{fal}}\qquad\text{(3.5922)}</w:t>
      </w:r>
    </w:p>
    <w:p w:rsidR="000862CC" w:rsidRDefault="000862CC" w:rsidP="000862CC">
      <w:pPr>
        <w:pStyle w:val="StandardWeb"/>
      </w:pPr>
      <w:r>
        <w:t>Eine bedingte Widerlegung betrifft die Aussage gemeinsam mit einer bestimmten Menge von Hilfsannahmen.</w:t>
      </w:r>
    </w:p>
    <w:p w:rsidR="000862CC" w:rsidRPr="00AF32B2" w:rsidRDefault="000862CC" w:rsidP="00AF32B2">
      <w:pPr>
        <w:pStyle w:val="berschrift4"/>
      </w:pPr>
      <w:r w:rsidRPr="00AF32B2">
        <w:t>3.3.34.26 Falsifizierbarkeitskriterien</w:t>
      </w:r>
    </w:p>
    <w:p w:rsidR="000862CC" w:rsidRDefault="000862CC" w:rsidP="000862CC">
      <w:pPr>
        <w:pStyle w:val="StandardWeb"/>
      </w:pPr>
      <w:r>
        <w:t>Das erweiterte Falsifizierbarkeitsprädikat lautet</w:t>
      </w:r>
    </w:p>
    <w:p w:rsidR="000862CC" w:rsidRDefault="000862CC" w:rsidP="000862CC">
      <w:pPr>
        <w:pStyle w:val="StandardWeb"/>
      </w:pPr>
      <w:r>
        <w:t>[</w:t>
      </w:r>
      <w:r>
        <w:br/>
        <w:t>\operatorname{EFal}</w:t>
      </w:r>
      <w:r>
        <w:rPr>
          <w:rStyle w:val="Hervorhebung"/>
        </w:rPr>
        <w:t>{F}:</w:t>
      </w:r>
      <w:r>
        <w:rPr>
          <w:i/>
          <w:iCs/>
        </w:rPr>
        <w:br/>
      </w:r>
      <w:r>
        <w:rPr>
          <w:rStyle w:val="Hervorhebung"/>
        </w:rPr>
        <w:t>\mathfrak{F}</w:t>
      </w:r>
      <w:r>
        <w:t>{F}</w:t>
      </w:r>
      <w:r>
        <w:br/>
        <w:t>\rightarrow</w:t>
      </w:r>
      <w:r>
        <w:br/>
        <w:t>{0,1}.</w:t>
      </w:r>
      <w:r>
        <w:br/>
        <w:t>\tag{3.5923}</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\operatorname{EFal}_{F}:\mathfrak{F}_{F}\rightarrow\{0,1\}\qquad\text{(3.5923)}</w:t>
      </w:r>
    </w:p>
    <w:p w:rsidR="000862CC" w:rsidRDefault="000862CC" w:rsidP="000862CC">
      <w:pPr>
        <w:pStyle w:val="StandardWeb"/>
      </w:pPr>
      <w:r>
        <w:t>Es nimmt den Wert eins an, wenn:</w:t>
      </w:r>
    </w:p>
    <w:p w:rsidR="000862CC" w:rsidRDefault="000862CC" w:rsidP="00632D23">
      <w:pPr>
        <w:pStyle w:val="StandardWeb"/>
        <w:numPr>
          <w:ilvl w:val="0"/>
          <w:numId w:val="234"/>
        </w:numPr>
      </w:pPr>
      <w:r>
        <w:t>die Aussage empirischen Gehalt besitzt,</w:t>
      </w:r>
    </w:p>
    <w:p w:rsidR="000862CC" w:rsidRDefault="000862CC" w:rsidP="00632D23">
      <w:pPr>
        <w:pStyle w:val="StandardWeb"/>
        <w:numPr>
          <w:ilvl w:val="0"/>
          <w:numId w:val="234"/>
        </w:numPr>
      </w:pPr>
      <w:r>
        <w:t>ihr Geltungsbereich bestimmt ist,</w:t>
      </w:r>
    </w:p>
    <w:p w:rsidR="000862CC" w:rsidRDefault="000862CC" w:rsidP="00632D23">
      <w:pPr>
        <w:pStyle w:val="StandardWeb"/>
        <w:numPr>
          <w:ilvl w:val="0"/>
          <w:numId w:val="234"/>
        </w:numPr>
      </w:pPr>
      <w:r>
        <w:t>potenziell widerlegende Beobachtungen existieren,</w:t>
      </w:r>
    </w:p>
    <w:p w:rsidR="000862CC" w:rsidRDefault="000862CC" w:rsidP="00632D23">
      <w:pPr>
        <w:pStyle w:val="StandardWeb"/>
        <w:numPr>
          <w:ilvl w:val="0"/>
          <w:numId w:val="234"/>
        </w:numPr>
      </w:pPr>
      <w:r>
        <w:t>das Widerlegungskriterium vor der Prüfung festgelegt ist,</w:t>
      </w:r>
    </w:p>
    <w:p w:rsidR="000862CC" w:rsidRDefault="000862CC" w:rsidP="00632D23">
      <w:pPr>
        <w:pStyle w:val="StandardWeb"/>
        <w:numPr>
          <w:ilvl w:val="0"/>
          <w:numId w:val="234"/>
        </w:numPr>
      </w:pPr>
      <w:r>
        <w:t>Hilfsannahmen dokumentiert sind,</w:t>
      </w:r>
    </w:p>
    <w:p w:rsidR="000862CC" w:rsidRDefault="000862CC" w:rsidP="00632D23">
      <w:pPr>
        <w:pStyle w:val="StandardWeb"/>
        <w:numPr>
          <w:ilvl w:val="0"/>
          <w:numId w:val="234"/>
        </w:numPr>
      </w:pPr>
      <w:r>
        <w:t>Mess- und Modellunsicherheiten berücksichtigt sind,</w:t>
      </w:r>
    </w:p>
    <w:p w:rsidR="000862CC" w:rsidRDefault="000862CC" w:rsidP="00632D23">
      <w:pPr>
        <w:pStyle w:val="StandardWeb"/>
        <w:numPr>
          <w:ilvl w:val="0"/>
          <w:numId w:val="234"/>
        </w:numPr>
      </w:pPr>
      <w:r>
        <w:t>Schutzannahmen unabhängig prüfbar bleiben.</w:t>
      </w:r>
    </w:p>
    <w:p w:rsidR="000862CC" w:rsidRDefault="000862CC" w:rsidP="000862CC">
      <w:pPr>
        <w:pStyle w:val="StandardWeb"/>
      </w:pPr>
      <w:r>
        <w:lastRenderedPageBreak/>
        <w:t>Formal gilt</w:t>
      </w:r>
    </w:p>
    <w:p w:rsidR="000862CC" w:rsidRDefault="000862CC" w:rsidP="000862CC">
      <w:pPr>
        <w:pStyle w:val="berschrift1"/>
      </w:pPr>
      <w:r>
        <w:t>[</w:t>
      </w:r>
      <w:r>
        <w:br/>
        <w:t>\operatorname{EFal}</w:t>
      </w:r>
      <w:r>
        <w:rPr>
          <w:rStyle w:val="Hervorhebung"/>
        </w:rPr>
        <w:t>{F}</w:t>
      </w:r>
      <w:r>
        <w:rPr>
          <w:i/>
          <w:iCs/>
        </w:rPr>
        <w:br/>
      </w:r>
      <w:r>
        <w:rPr>
          <w:rStyle w:val="Hervorhebung"/>
        </w:rPr>
        <w:t>\left(</w:t>
      </w:r>
      <w:r>
        <w:rPr>
          <w:i/>
          <w:iCs/>
        </w:rPr>
        <w:br/>
      </w:r>
      <w:r>
        <w:rPr>
          <w:rStyle w:val="Hervorhebung"/>
        </w:rPr>
        <w:t>\mathfrak{F}</w:t>
      </w:r>
      <w:r>
        <w:t>{F}</w:t>
      </w:r>
      <w:r>
        <w:br/>
        <w:t>\right)</w:t>
      </w:r>
    </w:p>
    <w:p w:rsidR="000862CC" w:rsidRDefault="000862CC" w:rsidP="00632D23">
      <w:pPr>
        <w:numPr>
          <w:ilvl w:val="0"/>
          <w:numId w:val="235"/>
        </w:numPr>
        <w:spacing w:before="100" w:beforeAutospacing="1" w:after="100" w:afterAutospacing="1"/>
      </w:pPr>
    </w:p>
    <w:p w:rsidR="000862CC" w:rsidRDefault="000862CC" w:rsidP="000862CC">
      <w:pPr>
        <w:pStyle w:val="StandardWeb"/>
      </w:pPr>
      <w:r>
        <w:t>\tag{3.5924}</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\operatorname{EFal}_{F}\left(\mathfrak{F}_{F}\right)=1\qquad\text{(3.5924)}</w:t>
      </w:r>
    </w:p>
    <w:p w:rsidR="000862CC" w:rsidRDefault="000862CC" w:rsidP="000862CC">
      <w:pPr>
        <w:pStyle w:val="StandardWeb"/>
      </w:pPr>
      <w:r>
        <w:t>Eine zusammengesetzte Bedingung lautet</w:t>
      </w:r>
    </w:p>
    <w:p w:rsidR="000862CC" w:rsidRDefault="000862CC" w:rsidP="000862CC">
      <w:pPr>
        <w:pStyle w:val="berschrift1"/>
      </w:pPr>
      <w:r>
        <w:t>[</w:t>
      </w:r>
      <w:r>
        <w:br/>
        <w:t>\operatorname{EFal}_{F}</w:t>
      </w:r>
    </w:p>
    <w:p w:rsidR="000862CC" w:rsidRDefault="000862CC" w:rsidP="000862CC">
      <w:pPr>
        <w:pStyle w:val="StandardWeb"/>
      </w:pPr>
      <w:r>
        <w:t>1</w:t>
      </w:r>
      <w:r>
        <w:br/>
        <w:t>\iff</w:t>
      </w:r>
      <w:r>
        <w:br/>
        <w:t>C_{\mathrm{gehalt}}</w:t>
      </w:r>
      <w:r>
        <w:br/>
        <w:t>\land</w:t>
      </w:r>
      <w:r>
        <w:br/>
        <w:t>C_{\mathrm{geltung}}</w:t>
      </w:r>
      <w:r>
        <w:br/>
        <w:t>\land</w:t>
      </w:r>
      <w:r>
        <w:br/>
        <w:t>C_{\mathrm{gegen}}</w:t>
      </w:r>
      <w:r>
        <w:br/>
        <w:t>\land</w:t>
      </w:r>
      <w:r>
        <w:br/>
        <w:t>C_{\mathrm{kriterium}}</w:t>
      </w:r>
      <w:r>
        <w:br/>
        <w:t>\land</w:t>
      </w:r>
      <w:r>
        <w:br/>
        <w:t>C_{\mathrm{hilfen}}</w:t>
      </w:r>
      <w:r>
        <w:br/>
        <w:t>\land</w:t>
      </w:r>
      <w:r>
        <w:br/>
        <w:t>C_{\mathrm{unsicherheit}}.</w:t>
      </w:r>
      <w:r>
        <w:br/>
        <w:t>\tag{3.5925}</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\operatorname{EFal}_{F}=1\iff C_{\mathrm{gehalt}}\land C_{\mathrm{geltung}}\land C_{\mathrm{gegen}}\land C_{\mathrm{kriterium}}\land C_{\mathrm{hilfen}}\land C_{\mathrm{unsicherheit}}\qquad\text{(3.5925)}</w:t>
      </w:r>
    </w:p>
    <w:p w:rsidR="000862CC" w:rsidRPr="00AF32B2" w:rsidRDefault="000862CC" w:rsidP="00AF32B2">
      <w:pPr>
        <w:pStyle w:val="berschrift4"/>
      </w:pPr>
      <w:r w:rsidRPr="00AF32B2">
        <w:t>3.3.34.27 Satz zur Widerlegung einer universellen FRZK-Aussage</w:t>
      </w:r>
    </w:p>
    <w:p w:rsidR="000862CC" w:rsidRDefault="000862CC" w:rsidP="000862CC">
      <w:pPr>
        <w:pStyle w:val="StandardWeb"/>
      </w:pPr>
      <w:r>
        <w:rPr>
          <w:rStyle w:val="Fett"/>
        </w:rPr>
        <w:lastRenderedPageBreak/>
        <w:t>Satz 3.3.16 – Widerlegung einer universellen FRZK-Aussage durch ein zulässiges Gegenbeispiel</w:t>
      </w:r>
    </w:p>
    <w:p w:rsidR="000862CC" w:rsidRDefault="000862CC" w:rsidP="000862CC">
      <w:pPr>
        <w:pStyle w:val="StandardWeb"/>
      </w:pPr>
      <w:r>
        <w:t>Sei</w:t>
      </w:r>
    </w:p>
    <w:p w:rsidR="000862CC" w:rsidRDefault="000862CC" w:rsidP="000862CC">
      <w:pPr>
        <w:pStyle w:val="StandardWeb"/>
      </w:pPr>
      <w:r>
        <w:t>[</w:t>
      </w:r>
      <w:r>
        <w:br/>
        <w:t>\forall</w:t>
      </w:r>
      <w:r>
        <w:br/>
        <w:t>x</w:t>
      </w:r>
      <w:r>
        <w:br/>
        <w:t>\in</w:t>
      </w:r>
      <w:r>
        <w:br/>
        <w:t>\mathfrak{G}_{P}:</w:t>
      </w:r>
      <w:r>
        <w:br/>
        <w:t>P(x)</w:t>
      </w:r>
      <w:r>
        <w:br/>
        <w:t>\tag{3.5926}</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\forall x\in\mathfrak{G}_{P}:P(x)\qquad\text{(3.5926)}</w:t>
      </w:r>
    </w:p>
    <w:p w:rsidR="000862CC" w:rsidRDefault="000862CC" w:rsidP="000862CC">
      <w:pPr>
        <w:pStyle w:val="StandardWeb"/>
      </w:pPr>
      <w:r>
        <w:t>eine universelle FRZK-Aussage.</w:t>
      </w:r>
    </w:p>
    <w:p w:rsidR="000862CC" w:rsidRDefault="000862CC" w:rsidP="000862CC">
      <w:pPr>
        <w:pStyle w:val="StandardWeb"/>
      </w:pPr>
      <w:r>
        <w:t>Existiert ein Element</w:t>
      </w:r>
    </w:p>
    <w:p w:rsidR="000862CC" w:rsidRDefault="000862CC" w:rsidP="000862CC">
      <w:pPr>
        <w:pStyle w:val="StandardWeb"/>
      </w:pPr>
      <w:r>
        <w:t>[</w:t>
      </w:r>
      <w:r>
        <w:br/>
        <w:t>x^{\ast}</w:t>
      </w:r>
      <w:r>
        <w:br/>
        <w:t>\in</w:t>
      </w:r>
      <w:r>
        <w:br/>
        <w:t>\mathfrak{G}_{P}</w:t>
      </w:r>
      <w:r>
        <w:br/>
        <w:t>\tag{3.5927}</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x^{\ast}\in\mathfrak{G}_{P}\qquad\text{(3.5927)}</w:t>
      </w:r>
    </w:p>
    <w:p w:rsidR="000862CC" w:rsidRDefault="000862CC" w:rsidP="000862CC">
      <w:pPr>
        <w:pStyle w:val="StandardWeb"/>
      </w:pPr>
      <w:r>
        <w:t>mit</w:t>
      </w:r>
    </w:p>
    <w:p w:rsidR="000862CC" w:rsidRDefault="000862CC" w:rsidP="000862CC">
      <w:pPr>
        <w:pStyle w:val="StandardWeb"/>
      </w:pPr>
      <w:r>
        <w:t>[</w:t>
      </w:r>
      <w:r>
        <w:br/>
        <w:t>\neg P(x^{\ast}),</w:t>
      </w:r>
      <w:r>
        <w:br/>
        <w:t>\tag{3.5928}</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\neg P(x^{\ast})\qquad\text{(3.5928)}</w:t>
      </w:r>
    </w:p>
    <w:p w:rsidR="000862CC" w:rsidRDefault="000862CC" w:rsidP="000862CC">
      <w:pPr>
        <w:pStyle w:val="StandardWeb"/>
      </w:pPr>
      <w:r>
        <w:t>dann ist die universelle Aussage falsch:</w:t>
      </w:r>
    </w:p>
    <w:p w:rsidR="000862CC" w:rsidRDefault="000862CC" w:rsidP="000862CC">
      <w:pPr>
        <w:pStyle w:val="StandardWeb"/>
      </w:pPr>
      <w:r>
        <w:t>[</w:t>
      </w:r>
      <w:r>
        <w:br/>
        <w:t>\neg</w:t>
      </w:r>
      <w:r>
        <w:br/>
        <w:t>\forall</w:t>
      </w:r>
      <w:r>
        <w:br/>
        <w:t>x</w:t>
      </w:r>
      <w:r>
        <w:br/>
        <w:t>\in</w:t>
      </w:r>
      <w:r>
        <w:br/>
        <w:t>\mathfrak{G}_{P}:</w:t>
      </w:r>
      <w:r>
        <w:br/>
      </w:r>
      <w:r>
        <w:lastRenderedPageBreak/>
        <w:t>P(x).</w:t>
      </w:r>
      <w:r>
        <w:br/>
        <w:t>\tag{3.5929}</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\neg\forall x\in\mathfrak{G}_{P}:P(x)\qquad\text{(3.5929)}</w:t>
      </w:r>
    </w:p>
    <w:p w:rsidR="000862CC" w:rsidRDefault="000862CC" w:rsidP="000862CC">
      <w:pPr>
        <w:pStyle w:val="berschrift3"/>
      </w:pPr>
      <w:r>
        <w:t>Beweis</w:t>
      </w:r>
    </w:p>
    <w:p w:rsidR="000862CC" w:rsidRDefault="000862CC" w:rsidP="000862CC">
      <w:pPr>
        <w:pStyle w:val="StandardWeb"/>
      </w:pPr>
      <w:r>
        <w:t>Angenommen, die universelle Aussage sei wahr:</w:t>
      </w:r>
    </w:p>
    <w:p w:rsidR="000862CC" w:rsidRDefault="000862CC" w:rsidP="000862CC">
      <w:pPr>
        <w:pStyle w:val="StandardWeb"/>
      </w:pPr>
      <w:r>
        <w:t>[</w:t>
      </w:r>
      <w:r>
        <w:br/>
        <w:t>\forall</w:t>
      </w:r>
      <w:r>
        <w:br/>
        <w:t>x</w:t>
      </w:r>
      <w:r>
        <w:br/>
        <w:t>\in</w:t>
      </w:r>
      <w:r>
        <w:br/>
        <w:t>\mathfrak{G}_{P}:</w:t>
      </w:r>
      <w:r>
        <w:br/>
        <w:t>P(x).</w:t>
      </w:r>
      <w:r>
        <w:br/>
        <w:t>\tag{3.5930}</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\forall x\in\mathfrak{G}_{P}:P(x)\qquad\text{(3.5930)}</w:t>
      </w:r>
    </w:p>
    <w:p w:rsidR="000862CC" w:rsidRDefault="000862CC" w:rsidP="000862CC">
      <w:pPr>
        <w:pStyle w:val="StandardWeb"/>
      </w:pPr>
      <w:r>
        <w:t>Dann muss wegen</w:t>
      </w:r>
    </w:p>
    <w:p w:rsidR="000862CC" w:rsidRDefault="000862CC" w:rsidP="000862CC">
      <w:pPr>
        <w:pStyle w:val="StandardWeb"/>
      </w:pPr>
      <w:r>
        <w:t>[</w:t>
      </w:r>
      <w:r>
        <w:br/>
        <w:t>x^{\ast}</w:t>
      </w:r>
      <w:r>
        <w:br/>
        <w:t>\in</w:t>
      </w:r>
      <w:r>
        <w:br/>
        <w:t>\mathfrak{G}_{P}</w:t>
      </w:r>
      <w:r>
        <w:br/>
        <w:t>\tag{3.5931}</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x^{\ast}\in\mathfrak{G}_{P}\qquad\text{(3.5931)}</w:t>
      </w:r>
    </w:p>
    <w:p w:rsidR="000862CC" w:rsidRDefault="000862CC" w:rsidP="000862CC">
      <w:pPr>
        <w:pStyle w:val="StandardWeb"/>
      </w:pPr>
      <w:r>
        <w:t>auch gelten</w:t>
      </w:r>
    </w:p>
    <w:p w:rsidR="000862CC" w:rsidRDefault="000862CC" w:rsidP="000862CC">
      <w:pPr>
        <w:pStyle w:val="StandardWeb"/>
      </w:pPr>
      <w:r>
        <w:t>[</w:t>
      </w:r>
      <w:r>
        <w:br/>
        <w:t>P(x^{\ast}).</w:t>
      </w:r>
      <w:r>
        <w:br/>
        <w:t>\tag{3.5932}</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P(x^{\ast})\qquad\text{(3.5932)}</w:t>
      </w:r>
    </w:p>
    <w:p w:rsidR="000862CC" w:rsidRDefault="000862CC" w:rsidP="000862CC">
      <w:pPr>
        <w:pStyle w:val="StandardWeb"/>
      </w:pPr>
      <w:r>
        <w:t>Dies widerspricht der Voraussetzung</w:t>
      </w:r>
    </w:p>
    <w:p w:rsidR="000862CC" w:rsidRDefault="000862CC" w:rsidP="000862CC">
      <w:pPr>
        <w:pStyle w:val="StandardWeb"/>
      </w:pPr>
      <w:r>
        <w:lastRenderedPageBreak/>
        <w:t>[</w:t>
      </w:r>
      <w:r>
        <w:br/>
        <w:t>\neg P(x^{\ast}).</w:t>
      </w:r>
      <w:r>
        <w:br/>
        <w:t>\tag{3.5933}</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\neg P(x^{\ast})\qquad\text{(3.5933)}</w:t>
      </w:r>
    </w:p>
    <w:p w:rsidR="000862CC" w:rsidRDefault="000862CC" w:rsidP="000862CC">
      <w:pPr>
        <w:pStyle w:val="StandardWeb"/>
      </w:pPr>
      <w:r>
        <w:t>Folglich ist die Annahme der universellen Gültigkeit falsch. Damit ist Gleichung (3.5929) gezeigt. (\square)</w:t>
      </w:r>
    </w:p>
    <w:p w:rsidR="000862CC" w:rsidRPr="00AF32B2" w:rsidRDefault="000862CC" w:rsidP="00AF32B2">
      <w:pPr>
        <w:pStyle w:val="berschrift4"/>
      </w:pPr>
      <w:r w:rsidRPr="00AF32B2">
        <w:t>3.3.34.28 Reichweite des Widerlegungssatzes</w:t>
      </w:r>
    </w:p>
    <w:p w:rsidR="000862CC" w:rsidRDefault="000862CC" w:rsidP="000862CC">
      <w:pPr>
        <w:pStyle w:val="StandardWeb"/>
      </w:pPr>
      <w:r>
        <w:t>Satz 3.3.16 setzt voraus, dass das Gegenbeispiel tatsächlich innerhalb des beanspruchten Geltungsbereichs liegt.</w:t>
      </w:r>
    </w:p>
    <w:p w:rsidR="000862CC" w:rsidRDefault="000862CC" w:rsidP="000862CC">
      <w:pPr>
        <w:pStyle w:val="StandardWeb"/>
      </w:pPr>
      <w:r>
        <w:t>Ist</w:t>
      </w:r>
    </w:p>
    <w:p w:rsidR="000862CC" w:rsidRDefault="000862CC" w:rsidP="000862CC">
      <w:pPr>
        <w:pStyle w:val="StandardWeb"/>
      </w:pPr>
      <w:r>
        <w:t>[</w:t>
      </w:r>
      <w:r>
        <w:br/>
        <w:t>x^{\ast}</w:t>
      </w:r>
      <w:r>
        <w:br/>
        <w:t>\notin</w:t>
      </w:r>
      <w:r>
        <w:br/>
        <w:t>\mathfrak{G}_{P},</w:t>
      </w:r>
      <w:r>
        <w:br/>
        <w:t>\tag{3.5934}</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x^{\ast}\notin\mathfrak{G}_{P}\qquad\text{(3.5934)}</w:t>
      </w:r>
    </w:p>
    <w:p w:rsidR="000862CC" w:rsidRDefault="000862CC" w:rsidP="000862CC">
      <w:pPr>
        <w:pStyle w:val="StandardWeb"/>
      </w:pPr>
      <w:r>
        <w:t>folgt aus (\neg P(x^{\ast})) keine Widerlegung der ursprünglichen Aussage.</w:t>
      </w:r>
    </w:p>
    <w:p w:rsidR="000862CC" w:rsidRDefault="000862CC" w:rsidP="000862CC">
      <w:pPr>
        <w:pStyle w:val="StandardWeb"/>
      </w:pPr>
      <w:r>
        <w:t>Ebenso muss ausgeschlossen werden, dass die scheinbare Gegenbeobachtung lediglich durch eine fehlerhafte Operationalisierung oder nicht kontrollierte Messabweichung erzeugt wurde.</w:t>
      </w:r>
    </w:p>
    <w:p w:rsidR="000862CC" w:rsidRPr="00AF32B2" w:rsidRDefault="000862CC" w:rsidP="00AF32B2">
      <w:pPr>
        <w:pStyle w:val="berschrift4"/>
      </w:pPr>
      <w:r w:rsidRPr="00AF32B2">
        <w:t>3.3.34.29 Widerlegung und Modellrevision</w:t>
      </w:r>
    </w:p>
    <w:p w:rsidR="000862CC" w:rsidRDefault="000862CC" w:rsidP="000862CC">
      <w:pPr>
        <w:pStyle w:val="StandardWeb"/>
      </w:pPr>
      <w:r>
        <w:t>Eine widerlegte Aussage kann revidiert werden:</w:t>
      </w:r>
    </w:p>
    <w:p w:rsidR="000862CC" w:rsidRDefault="000862CC" w:rsidP="000862CC">
      <w:pPr>
        <w:pStyle w:val="StandardWeb"/>
      </w:pPr>
      <w:r>
        <w:t>[</w:t>
      </w:r>
      <w:r>
        <w:br/>
        <w:t>P_{\mathrm{emp}}</w:t>
      </w:r>
      <w:r>
        <w:br/>
        <w:t>\longrightarrow</w:t>
      </w:r>
      <w:r>
        <w:br/>
        <w:t>P_{\mathrm{emp}}^{\prime}.</w:t>
      </w:r>
      <w:r>
        <w:br/>
        <w:t>\tag{3.5935}</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P_{\mathrm{emp}}\longrightarrow P_{\mathrm{emp}}^{\prime}\qquad\text{(3.5935)}</w:t>
      </w:r>
    </w:p>
    <w:p w:rsidR="000862CC" w:rsidRDefault="000862CC" w:rsidP="000862CC">
      <w:pPr>
        <w:pStyle w:val="StandardWeb"/>
      </w:pPr>
      <w:r>
        <w:lastRenderedPageBreak/>
        <w:t>Eine zulässige Revision muss den neuen Geltungsbereich ausdrücklich angeben:</w:t>
      </w:r>
    </w:p>
    <w:p w:rsidR="000862CC" w:rsidRDefault="000862CC" w:rsidP="000862CC">
      <w:pPr>
        <w:pStyle w:val="StandardWeb"/>
      </w:pPr>
      <w:r>
        <w:t>[</w:t>
      </w:r>
      <w:r>
        <w:br/>
        <w:t>\mathfrak{G}</w:t>
      </w:r>
      <w:r>
        <w:rPr>
          <w:rStyle w:val="Hervorhebung"/>
        </w:rPr>
        <w:t>{P^{\prime}}</w:t>
      </w:r>
      <w:r>
        <w:rPr>
          <w:i/>
          <w:iCs/>
        </w:rPr>
        <w:br/>
      </w:r>
      <w:r>
        <w:rPr>
          <w:rStyle w:val="Hervorhebung"/>
        </w:rPr>
        <w:t>\subseteq</w:t>
      </w:r>
      <w:r>
        <w:rPr>
          <w:i/>
          <w:iCs/>
        </w:rPr>
        <w:br/>
      </w:r>
      <w:r>
        <w:rPr>
          <w:rStyle w:val="Hervorhebung"/>
        </w:rPr>
        <w:t>\mathfrak{G}</w:t>
      </w:r>
      <w:r>
        <w:t>{P}.</w:t>
      </w:r>
      <w:r>
        <w:br/>
        <w:t>\tag{3.5936}</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\mathfrak{G}_{P^{\prime}}\subseteq\mathfrak{G}_{P}\qquad\text{(3.5936)}</w:t>
      </w:r>
    </w:p>
    <w:p w:rsidR="000862CC" w:rsidRDefault="000862CC" w:rsidP="000862CC">
      <w:pPr>
        <w:pStyle w:val="StandardWeb"/>
      </w:pPr>
      <w:r>
        <w:t>Sie muss außerdem erneut falsifizierbar bleiben:</w:t>
      </w:r>
    </w:p>
    <w:p w:rsidR="000862CC" w:rsidRDefault="000862CC" w:rsidP="000862CC">
      <w:pPr>
        <w:pStyle w:val="StandardWeb"/>
      </w:pPr>
      <w:r>
        <w:t>[</w:t>
      </w:r>
      <w:r>
        <w:br/>
        <w:t>\mathfrak{D}_{\neg P^{\prime}}</w:t>
      </w:r>
      <w:r>
        <w:br/>
        <w:t>\neq</w:t>
      </w:r>
      <w:r>
        <w:br/>
        <w:t>\emptyset.</w:t>
      </w:r>
      <w:r>
        <w:br/>
        <w:t>\tag{3.5937}</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\mathfrak{D}_{\neg P^{\prime}}\neq\emptyset\qquad\text{(3.5937)}</w:t>
      </w:r>
    </w:p>
    <w:p w:rsidR="000862CC" w:rsidRDefault="000862CC" w:rsidP="000862CC">
      <w:pPr>
        <w:pStyle w:val="StandardWeb"/>
      </w:pPr>
      <w:r>
        <w:t>Eine Revision, die lediglich alle bekannten Gegenbeispiele aus dem Geltungsbereich entfernt, ohne neue unabhängige Prüfbedingungen zu formulieren, besitzt nur geringen wissenschaftlichen Gehalt.</w:t>
      </w:r>
    </w:p>
    <w:p w:rsidR="000862CC" w:rsidRPr="00AF32B2" w:rsidRDefault="000862CC" w:rsidP="00AF32B2">
      <w:pPr>
        <w:pStyle w:val="berschrift4"/>
      </w:pPr>
      <w:r w:rsidRPr="00AF32B2">
        <w:t>3.3.34.30 Repository-Dokumentation der Widerlegung</w:t>
      </w:r>
    </w:p>
    <w:p w:rsidR="000862CC" w:rsidRDefault="000862CC" w:rsidP="000862CC">
      <w:pPr>
        <w:pStyle w:val="StandardWeb"/>
      </w:pPr>
      <w:r>
        <w:t>Eine Widerlegungsabhängigkeit kann gespeichert werden als</w:t>
      </w:r>
    </w:p>
    <w:p w:rsidR="000862CC" w:rsidRDefault="000862CC" w:rsidP="000862CC">
      <w:pPr>
        <w:pStyle w:val="StandardWeb"/>
      </w:pPr>
      <w:r>
        <w:t>[</w:t>
      </w:r>
      <w:r>
        <w:br/>
        <w:t>\operatorname{FalDep}</w:t>
      </w:r>
      <w:r>
        <w:br/>
        <w:t>\left(</w:t>
      </w:r>
      <w:r>
        <w:br/>
        <w:t>P_{\mathrm{emp}},</w:t>
      </w:r>
      <w:r>
        <w:br/>
        <w:t>\mathfrak{D}</w:t>
      </w:r>
      <w:r>
        <w:rPr>
          <w:rStyle w:val="Hervorhebung"/>
        </w:rPr>
        <w:t>{\neg P},</w:t>
      </w:r>
      <w:r>
        <w:rPr>
          <w:i/>
          <w:iCs/>
        </w:rPr>
        <w:br/>
      </w:r>
      <w:r>
        <w:rPr>
          <w:rStyle w:val="Hervorhebung"/>
        </w:rPr>
        <w:t>\mathcal{C}</w:t>
      </w:r>
      <w:r>
        <w:t>{\neg P},</w:t>
      </w:r>
      <w:r>
        <w:br/>
        <w:t>\mathfrak{H}_{P}</w:t>
      </w:r>
      <w:r>
        <w:br/>
        <w:t>\right).</w:t>
      </w:r>
      <w:r>
        <w:br/>
        <w:t>\tag{3.5938}</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\operatorname{FalDep}\left(P_{\mathrm{emp}},\mathfrak{D}_{\neg P},\mathcal{C}_{\neg P},\mathfrak{H}_{P}\right)\qquad\text{(3.5938)}</w:t>
      </w:r>
    </w:p>
    <w:p w:rsidR="000862CC" w:rsidRDefault="000862CC" w:rsidP="000862CC">
      <w:pPr>
        <w:pStyle w:val="StandardWeb"/>
      </w:pPr>
      <w:r>
        <w:t>Eine konkrete Widerlegungsentscheidung lautet</w:t>
      </w:r>
    </w:p>
    <w:p w:rsidR="000862CC" w:rsidRDefault="000862CC" w:rsidP="000862CC">
      <w:pPr>
        <w:pStyle w:val="StandardWeb"/>
      </w:pPr>
      <w:r>
        <w:lastRenderedPageBreak/>
        <w:t>[</w:t>
      </w:r>
      <w:r>
        <w:br/>
        <w:t>\operatorname{FalResult}</w:t>
      </w:r>
      <w:r>
        <w:br/>
        <w:t>\left(</w:t>
      </w:r>
      <w:r>
        <w:br/>
        <w:t>P_{\mathrm{emp}},</w:t>
      </w:r>
      <w:r>
        <w:br/>
        <w:t>D_{\mathrm{obs}},</w:t>
      </w:r>
      <w:r>
        <w:br/>
        <w:t>\Delta_{\mathrm{emp}},</w:t>
      </w:r>
      <w:r>
        <w:br/>
        <w:t>\operatorname{Klasse}_{\mathrm{fal}}</w:t>
      </w:r>
      <w:r>
        <w:br/>
        <w:t>\right).</w:t>
      </w:r>
      <w:r>
        <w:br/>
        <w:t>\tag{3.5939}</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\operatorname{FalResult}\left(P_{\mathrm{emp}},D_{\mathrm{obs}},\Delta_{\mathrm{emp}},\operatorname{Klasse}_{\mathrm{fal}}\right)\qquad\text{(3.5939)}</w:t>
      </w:r>
    </w:p>
    <w:p w:rsidR="000862CC" w:rsidRDefault="000862CC" w:rsidP="000862CC">
      <w:pPr>
        <w:pStyle w:val="StandardWeb"/>
      </w:pPr>
      <w:r>
        <w:t>Eine Modellrevision kann gespeichert werden als</w:t>
      </w:r>
    </w:p>
    <w:p w:rsidR="000862CC" w:rsidRDefault="000862CC" w:rsidP="000862CC">
      <w:pPr>
        <w:pStyle w:val="StandardWeb"/>
      </w:pPr>
      <w:r>
        <w:t>[</w:t>
      </w:r>
      <w:r>
        <w:br/>
        <w:t>\operatorname{ModelRev}</w:t>
      </w:r>
      <w:r>
        <w:br/>
        <w:t>\left(</w:t>
      </w:r>
      <w:r>
        <w:br/>
        <w:t>P_{\mathrm{emp}},</w:t>
      </w:r>
      <w:r>
        <w:br/>
        <w:t>P_{\mathrm{emp}}^{\prime},</w:t>
      </w:r>
      <w:r>
        <w:br/>
        <w:t>\mathfrak{G}</w:t>
      </w:r>
      <w:r>
        <w:rPr>
          <w:rStyle w:val="Hervorhebung"/>
        </w:rPr>
        <w:t>{P},</w:t>
      </w:r>
      <w:r>
        <w:rPr>
          <w:i/>
          <w:iCs/>
        </w:rPr>
        <w:br/>
      </w:r>
      <w:r>
        <w:rPr>
          <w:rStyle w:val="Hervorhebung"/>
        </w:rPr>
        <w:t>\mathfrak{G}</w:t>
      </w:r>
      <w:r>
        <w:t>{P^{\prime}}</w:t>
      </w:r>
      <w:r>
        <w:br/>
        <w:t>\right).</w:t>
      </w:r>
      <w:r>
        <w:br/>
        <w:t>\tag{3.5940}</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\operatorname{ModelRev}\left(P_{\mathrm{emp}},P_{\mathrm{emp}}^{\prime},\mathfrak{G}_{P},\mathfrak{G}_{P^{\prime}}\right)\qquad\text{(3.5940)}</w:t>
      </w:r>
    </w:p>
    <w:p w:rsidR="000862CC" w:rsidRDefault="000862CC" w:rsidP="000862CC">
      <w:pPr>
        <w:pStyle w:val="StandardWeb"/>
      </w:pPr>
      <w:r>
        <w:t>Zusätzlich müssen dokumentiert werden:</w:t>
      </w:r>
    </w:p>
    <w:p w:rsidR="000862CC" w:rsidRDefault="000862CC" w:rsidP="00632D23">
      <w:pPr>
        <w:pStyle w:val="StandardWeb"/>
        <w:numPr>
          <w:ilvl w:val="0"/>
          <w:numId w:val="236"/>
        </w:numPr>
      </w:pPr>
      <w:r>
        <w:t>Wortlaut der empirischen Aussage,</w:t>
      </w:r>
    </w:p>
    <w:p w:rsidR="000862CC" w:rsidRDefault="000862CC" w:rsidP="00632D23">
      <w:pPr>
        <w:pStyle w:val="StandardWeb"/>
        <w:numPr>
          <w:ilvl w:val="0"/>
          <w:numId w:val="236"/>
        </w:numPr>
      </w:pPr>
      <w:r>
        <w:t>beanspruchter Geltungsbereich,</w:t>
      </w:r>
    </w:p>
    <w:p w:rsidR="000862CC" w:rsidRDefault="000862CC" w:rsidP="00632D23">
      <w:pPr>
        <w:pStyle w:val="StandardWeb"/>
        <w:numPr>
          <w:ilvl w:val="0"/>
          <w:numId w:val="236"/>
        </w:numPr>
      </w:pPr>
      <w:r>
        <w:t>potenziell widerlegende Beobachtungen,</w:t>
      </w:r>
    </w:p>
    <w:p w:rsidR="000862CC" w:rsidRDefault="000862CC" w:rsidP="00632D23">
      <w:pPr>
        <w:pStyle w:val="StandardWeb"/>
        <w:numPr>
          <w:ilvl w:val="0"/>
          <w:numId w:val="236"/>
        </w:numPr>
      </w:pPr>
      <w:r>
        <w:t>Widerlegungsschwelle,</w:t>
      </w:r>
    </w:p>
    <w:p w:rsidR="000862CC" w:rsidRDefault="000862CC" w:rsidP="00632D23">
      <w:pPr>
        <w:pStyle w:val="StandardWeb"/>
        <w:numPr>
          <w:ilvl w:val="0"/>
          <w:numId w:val="236"/>
        </w:numPr>
      </w:pPr>
      <w:r>
        <w:t>Mess- und Modellunsicherheit,</w:t>
      </w:r>
    </w:p>
    <w:p w:rsidR="000862CC" w:rsidRDefault="000862CC" w:rsidP="00632D23">
      <w:pPr>
        <w:pStyle w:val="StandardWeb"/>
        <w:numPr>
          <w:ilvl w:val="0"/>
          <w:numId w:val="236"/>
        </w:numPr>
      </w:pPr>
      <w:r>
        <w:t>Hilfsannahmen,</w:t>
      </w:r>
    </w:p>
    <w:p w:rsidR="000862CC" w:rsidRDefault="000862CC" w:rsidP="00632D23">
      <w:pPr>
        <w:pStyle w:val="StandardWeb"/>
        <w:numPr>
          <w:ilvl w:val="0"/>
          <w:numId w:val="236"/>
        </w:numPr>
      </w:pPr>
      <w:r>
        <w:t>verwendete Daten und Auswertungsmethode,</w:t>
      </w:r>
    </w:p>
    <w:p w:rsidR="000862CC" w:rsidRDefault="000862CC" w:rsidP="00632D23">
      <w:pPr>
        <w:pStyle w:val="StandardWeb"/>
        <w:numPr>
          <w:ilvl w:val="0"/>
          <w:numId w:val="236"/>
        </w:numPr>
      </w:pPr>
      <w:r>
        <w:t>tatsächliches Prüfergebnis,</w:t>
      </w:r>
    </w:p>
    <w:p w:rsidR="000862CC" w:rsidRDefault="000862CC" w:rsidP="00632D23">
      <w:pPr>
        <w:pStyle w:val="StandardWeb"/>
        <w:numPr>
          <w:ilvl w:val="0"/>
          <w:numId w:val="236"/>
        </w:numPr>
      </w:pPr>
      <w:r>
        <w:t>Widerlegungsstärke,</w:t>
      </w:r>
    </w:p>
    <w:p w:rsidR="000862CC" w:rsidRDefault="000862CC" w:rsidP="00632D23">
      <w:pPr>
        <w:pStyle w:val="StandardWeb"/>
        <w:numPr>
          <w:ilvl w:val="0"/>
          <w:numId w:val="236"/>
        </w:numPr>
      </w:pPr>
      <w:r>
        <w:t>mögliche Modellrevision.</w:t>
      </w:r>
    </w:p>
    <w:p w:rsidR="000862CC" w:rsidRDefault="000862CC" w:rsidP="000862CC">
      <w:pPr>
        <w:pStyle w:val="StandardWeb"/>
      </w:pPr>
      <w:r>
        <w:rPr>
          <w:rStyle w:val="Fett"/>
        </w:rPr>
        <w:t>Eigenleistung des FRZK</w:t>
      </w:r>
    </w:p>
    <w:p w:rsidR="000862CC" w:rsidRDefault="000862CC" w:rsidP="000862CC">
      <w:pPr>
        <w:pStyle w:val="StandardWeb"/>
      </w:pPr>
      <w:r>
        <w:t xml:space="preserve">Ich verknüpfe jede empirische FRZK-Aussage mit einer vorab bestimmten Widerlegungsstruktur. Dadurch bleibt nachvollziehbar, welche Beobachtung gegen eine </w:t>
      </w:r>
      <w:r>
        <w:lastRenderedPageBreak/>
        <w:t>Aussage sprechen würde und welche zusätzlichen Annahmen bei einer tatsächlichen Abweichung geprüft werden müssen.</w:t>
      </w:r>
    </w:p>
    <w:p w:rsidR="000862CC" w:rsidRPr="00AF32B2" w:rsidRDefault="000862CC" w:rsidP="00AF32B2">
      <w:pPr>
        <w:pStyle w:val="berschrift4"/>
      </w:pPr>
      <w:r w:rsidRPr="00AF32B2">
        <w:t>3.3.34.31 Ergebnis der Falsifizierbarkeits- und Widerlegungsprüfung</w:t>
      </w:r>
    </w:p>
    <w:p w:rsidR="000862CC" w:rsidRDefault="000862CC" w:rsidP="000862CC">
      <w:pPr>
        <w:pStyle w:val="StandardWeb"/>
      </w:pPr>
      <w:r>
        <w:t>Die Prüfung zeigt, dass empirische Widerlegbarkeit mehr verlangt als eine nachträgliche Bewertung ungewöhnlicher Daten. Aussage, Geltungsbereich, Gegenbeobachtungen, Toleranzen und Hilfsannahmen müssen bereits vor oder unabhängig von der konkreten Prüfung bestimmt werden.</w:t>
      </w:r>
    </w:p>
    <w:p w:rsidR="000862CC" w:rsidRDefault="000862CC" w:rsidP="000862CC">
      <w:pPr>
        <w:pStyle w:val="StandardWeb"/>
      </w:pPr>
      <w:r>
        <w:t>Ein FRZK-Ergebnis kann:</w:t>
      </w:r>
    </w:p>
    <w:p w:rsidR="000862CC" w:rsidRDefault="000862CC" w:rsidP="00632D23">
      <w:pPr>
        <w:pStyle w:val="StandardWeb"/>
        <w:numPr>
          <w:ilvl w:val="0"/>
          <w:numId w:val="237"/>
        </w:numPr>
      </w:pPr>
      <w:r>
        <w:t>eindeutig falsifizierbar,</w:t>
      </w:r>
    </w:p>
    <w:p w:rsidR="000862CC" w:rsidRDefault="000862CC" w:rsidP="00632D23">
      <w:pPr>
        <w:pStyle w:val="StandardWeb"/>
        <w:numPr>
          <w:ilvl w:val="0"/>
          <w:numId w:val="237"/>
        </w:numPr>
      </w:pPr>
      <w:r>
        <w:t>nur unter bestimmten Hilfsannahmen falsifizierbar,</w:t>
      </w:r>
    </w:p>
    <w:p w:rsidR="000862CC" w:rsidRDefault="000862CC" w:rsidP="00632D23">
      <w:pPr>
        <w:pStyle w:val="StandardWeb"/>
        <w:numPr>
          <w:ilvl w:val="0"/>
          <w:numId w:val="237"/>
        </w:numPr>
      </w:pPr>
      <w:r>
        <w:t>lokal widerlegt,</w:t>
      </w:r>
    </w:p>
    <w:p w:rsidR="000862CC" w:rsidRDefault="000862CC" w:rsidP="00632D23">
      <w:pPr>
        <w:pStyle w:val="StandardWeb"/>
        <w:numPr>
          <w:ilvl w:val="0"/>
          <w:numId w:val="237"/>
        </w:numPr>
      </w:pPr>
      <w:r>
        <w:t>global widerlegt,</w:t>
      </w:r>
    </w:p>
    <w:p w:rsidR="000862CC" w:rsidRDefault="000862CC" w:rsidP="00632D23">
      <w:pPr>
        <w:pStyle w:val="StandardWeb"/>
        <w:numPr>
          <w:ilvl w:val="0"/>
          <w:numId w:val="237"/>
        </w:numPr>
      </w:pPr>
      <w:r>
        <w:t>empirisch nicht ausreichend bestimmt,</w:t>
      </w:r>
    </w:p>
    <w:p w:rsidR="000862CC" w:rsidRDefault="000862CC" w:rsidP="00632D23">
      <w:pPr>
        <w:pStyle w:val="StandardWeb"/>
        <w:numPr>
          <w:ilvl w:val="0"/>
          <w:numId w:val="237"/>
        </w:numPr>
      </w:pPr>
      <w:r>
        <w:t>durch nachträgliche Schutzannahmen immunisiert</w:t>
      </w:r>
    </w:p>
    <w:p w:rsidR="000862CC" w:rsidRDefault="000862CC" w:rsidP="000862CC">
      <w:pPr>
        <w:pStyle w:val="StandardWeb"/>
      </w:pPr>
      <w:r>
        <w:t>sein.</w:t>
      </w:r>
    </w:p>
    <w:p w:rsidR="000862CC" w:rsidRDefault="000862CC" w:rsidP="000862CC">
      <w:pPr>
        <w:pStyle w:val="StandardWeb"/>
      </w:pPr>
      <w:r>
        <w:t>Besonders zu beachten ist:</w:t>
      </w:r>
    </w:p>
    <w:p w:rsidR="000862CC" w:rsidRDefault="000862CC" w:rsidP="00632D23">
      <w:pPr>
        <w:pStyle w:val="StandardWeb"/>
        <w:numPr>
          <w:ilvl w:val="0"/>
          <w:numId w:val="238"/>
        </w:numPr>
      </w:pPr>
      <w:r>
        <w:t>Nicht widerlegt bedeutet nicht bewiesen.</w:t>
      </w:r>
    </w:p>
    <w:p w:rsidR="000862CC" w:rsidRDefault="000862CC" w:rsidP="00632D23">
      <w:pPr>
        <w:pStyle w:val="StandardWeb"/>
        <w:numPr>
          <w:ilvl w:val="0"/>
          <w:numId w:val="238"/>
        </w:numPr>
      </w:pPr>
      <w:r>
        <w:t>Eine Abweichung widerlegt zunächst die vollständige Prüfstruktur aus Aussage und Hilfsannahmen.</w:t>
      </w:r>
    </w:p>
    <w:p w:rsidR="000862CC" w:rsidRDefault="000862CC" w:rsidP="00632D23">
      <w:pPr>
        <w:pStyle w:val="StandardWeb"/>
        <w:numPr>
          <w:ilvl w:val="0"/>
          <w:numId w:val="238"/>
        </w:numPr>
      </w:pPr>
      <w:r>
        <w:t>Ein Gegenbeispiel muss innerhalb des beanspruchten Geltungsbereichs liegen.</w:t>
      </w:r>
    </w:p>
    <w:p w:rsidR="000862CC" w:rsidRDefault="000862CC" w:rsidP="00632D23">
      <w:pPr>
        <w:pStyle w:val="StandardWeb"/>
        <w:numPr>
          <w:ilvl w:val="0"/>
          <w:numId w:val="238"/>
        </w:numPr>
      </w:pPr>
      <w:r>
        <w:t>Universelle Aussagen besitzen einen anderen Widerlegungscharakter als Existenzaussagen.</w:t>
      </w:r>
    </w:p>
    <w:p w:rsidR="000862CC" w:rsidRDefault="000862CC" w:rsidP="00632D23">
      <w:pPr>
        <w:pStyle w:val="StandardWeb"/>
        <w:numPr>
          <w:ilvl w:val="0"/>
          <w:numId w:val="238"/>
        </w:numPr>
      </w:pPr>
      <w:r>
        <w:t>Unsicherheiten müssen in die Widerlegungsentscheidung einbezogen werden.</w:t>
      </w:r>
    </w:p>
    <w:p w:rsidR="000862CC" w:rsidRDefault="000862CC" w:rsidP="00632D23">
      <w:pPr>
        <w:pStyle w:val="StandardWeb"/>
        <w:numPr>
          <w:ilvl w:val="0"/>
          <w:numId w:val="238"/>
        </w:numPr>
      </w:pPr>
      <w:r>
        <w:t>Nachträgliche Modellrevisionen müssen eigenständig begründet und erneut falsifizierbar sein.</w:t>
      </w:r>
    </w:p>
    <w:p w:rsidR="000862CC" w:rsidRDefault="000862CC" w:rsidP="00632D23">
      <w:pPr>
        <w:pStyle w:val="StandardWeb"/>
        <w:numPr>
          <w:ilvl w:val="0"/>
          <w:numId w:val="238"/>
        </w:numPr>
      </w:pPr>
      <w:r>
        <w:t>Eine Aussage ohne potenziell widerlegende Beobachtung besitzt keinen hinreichenden empirischen Prüfgehalt [58, 59, 79].</w:t>
      </w:r>
    </w:p>
    <w:p w:rsidR="000862CC" w:rsidRDefault="000862CC" w:rsidP="000862CC">
      <w:pPr>
        <w:pStyle w:val="StandardWeb"/>
      </w:pPr>
      <w:r>
        <w:rPr>
          <w:rStyle w:val="Fett"/>
        </w:rPr>
        <w:t>Eigenleistung des FRZK</w:t>
      </w:r>
    </w:p>
    <w:p w:rsidR="000862CC" w:rsidRDefault="000862CC" w:rsidP="000862CC">
      <w:pPr>
        <w:pStyle w:val="StandardWeb"/>
      </w:pPr>
      <w:r>
        <w:t>Mit Definition 3.3.26 und Satz 3.3.16 steht ein formaler Rahmen zur Verfügung, mit dem ich den empirischen Widerlegungsgehalt jeder FRZK-Aussage bestimmen kann. Dadurch wird verhindert, dass das System ausschließlich bestätigende Beobachtungen aufnimmt und abweichende Ergebnisse durch unbegrenzte Zusatzannahmen neutralisiert.</w:t>
      </w:r>
    </w:p>
    <w:p w:rsidR="000862CC" w:rsidRPr="00AF32B2" w:rsidRDefault="000862CC" w:rsidP="00AF32B2">
      <w:pPr>
        <w:pStyle w:val="berschrift4"/>
      </w:pPr>
      <w:r w:rsidRPr="00AF32B2">
        <w:t>3.3.34.32 Übergang zur Prüfung der Prognosefähigkeit</w:t>
      </w:r>
    </w:p>
    <w:p w:rsidR="000862CC" w:rsidRDefault="000862CC" w:rsidP="000862CC">
      <w:pPr>
        <w:pStyle w:val="StandardWeb"/>
      </w:pPr>
      <w:r>
        <w:t>Eine falsifizierbare Aussage kann rückblickend an bereits bekannten Daten geprüft werden. Wissenschaftlich stärker ist jedoch eine Vorhersage, die vor dem Eintritt oder vor der Auswertung der relevanten Beobachtung festgelegt wird.</w:t>
      </w:r>
    </w:p>
    <w:p w:rsidR="000862CC" w:rsidRDefault="000862CC" w:rsidP="000862CC">
      <w:pPr>
        <w:pStyle w:val="StandardWeb"/>
      </w:pPr>
      <w:r>
        <w:t>Eine prognostische Aussage lautet</w:t>
      </w:r>
    </w:p>
    <w:p w:rsidR="000862CC" w:rsidRDefault="000862CC" w:rsidP="000862CC">
      <w:pPr>
        <w:pStyle w:val="StandardWeb"/>
      </w:pPr>
      <w:r>
        <w:lastRenderedPageBreak/>
        <w:t>[</w:t>
      </w:r>
      <w:r>
        <w:br/>
        <w:t>P_{\mathrm{prog}}</w:t>
      </w:r>
      <w:r>
        <w:br/>
        <w:t>\left(</w:t>
      </w:r>
      <w:r>
        <w:br/>
        <w:t>Y_{t+h}</w:t>
      </w:r>
      <w:r>
        <w:br/>
        <w:t>\mid</w:t>
      </w:r>
      <w:r>
        <w:br/>
        <w:t>\mathcal{I}_{t}</w:t>
      </w:r>
      <w:r>
        <w:br/>
        <w:t>\right).</w:t>
      </w:r>
      <w:r>
        <w:br/>
        <w:t>\tag{3.5941}</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P_{\mathrm{prog}}\left(Y_{t+h}\mid\mathcal{I}_{t}\right)\qquad\text{(3.5941)}</w:t>
      </w:r>
    </w:p>
    <w:p w:rsidR="000862CC" w:rsidRDefault="000862CC" w:rsidP="000862CC">
      <w:pPr>
        <w:pStyle w:val="StandardWeb"/>
      </w:pPr>
      <w:r>
        <w:t>Dabei bezeichnet (\mathcal{I}_{t}) den zum Prognosezeitpunkt verfügbaren Informationsstand.</w:t>
      </w:r>
    </w:p>
    <w:p w:rsidR="000862CC" w:rsidRDefault="000862CC" w:rsidP="000862CC">
      <w:pPr>
        <w:pStyle w:val="StandardWeb"/>
      </w:pPr>
      <w:r>
        <w:t>Die spätere Beobachtung lautet</w:t>
      </w:r>
    </w:p>
    <w:p w:rsidR="000862CC" w:rsidRDefault="000862CC" w:rsidP="000862CC">
      <w:pPr>
        <w:pStyle w:val="StandardWeb"/>
      </w:pPr>
      <w:r>
        <w:t>[</w:t>
      </w:r>
      <w:r>
        <w:br/>
        <w:t>Y_{t+h}^{\mathrm{obs}}.</w:t>
      </w:r>
      <w:r>
        <w:br/>
        <w:t>\tag{3.5942}</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Y_{t+h}^{\mathrm{obs}}\qquad\text{(3.5942)}</w:t>
      </w:r>
    </w:p>
    <w:p w:rsidR="000862CC" w:rsidRDefault="000862CC" w:rsidP="000862CC">
      <w:pPr>
        <w:pStyle w:val="StandardWeb"/>
      </w:pPr>
      <w:r>
        <w:t>Der Prognosefehler lautet</w:t>
      </w:r>
    </w:p>
    <w:p w:rsidR="000862CC" w:rsidRDefault="000862CC" w:rsidP="000862CC">
      <w:pPr>
        <w:pStyle w:val="berschrift1"/>
      </w:pPr>
      <w:r>
        <w:t>[</w:t>
      </w:r>
      <w:r>
        <w:br/>
        <w:t>e_{t+h}</w:t>
      </w:r>
    </w:p>
    <w:p w:rsidR="000862CC" w:rsidRDefault="000862CC" w:rsidP="000862CC">
      <w:pPr>
        <w:pStyle w:val="berschrift2"/>
      </w:pPr>
      <w:r>
        <w:t>Y_{t+h}^{\mathrm{obs}}</w:t>
      </w:r>
    </w:p>
    <w:p w:rsidR="000862CC" w:rsidRDefault="000862CC" w:rsidP="000862CC">
      <w:pPr>
        <w:pStyle w:val="StandardWeb"/>
      </w:pPr>
      <w:r>
        <w:t>\widehat{Y}_{t+h\mid t}.</w:t>
      </w:r>
      <w:r>
        <w:br/>
        <w:t>\tag{3.5943}</w:t>
      </w:r>
      <w:r>
        <w:br/>
        <w:t>]</w:t>
      </w:r>
    </w:p>
    <w:p w:rsidR="000862CC" w:rsidRDefault="000862CC" w:rsidP="000862CC">
      <w:pPr>
        <w:pStyle w:val="StandardWeb"/>
      </w:pPr>
      <w:r>
        <w:rPr>
          <w:rStyle w:val="Fett"/>
        </w:rPr>
        <w:t>Word-LaTeX</w:t>
      </w:r>
    </w:p>
    <w:p w:rsidR="000862CC" w:rsidRDefault="000862CC" w:rsidP="000862CC">
      <w:pPr>
        <w:pStyle w:val="HTMLVorformatiert"/>
        <w:rPr>
          <w:rStyle w:val="HTMLCode"/>
        </w:rPr>
      </w:pPr>
      <w:r>
        <w:rPr>
          <w:rStyle w:val="HTMLCode"/>
        </w:rPr>
        <w:t>e_{t+h}=Y_{t+h}^{\mathrm{obs}}-\widehat{Y}_{t+h\mid t}\qquad\text{(3.5943)}</w:t>
      </w:r>
    </w:p>
    <w:p w:rsidR="000862CC" w:rsidRDefault="000862CC" w:rsidP="000862CC">
      <w:pPr>
        <w:pStyle w:val="StandardWeb"/>
      </w:pPr>
      <w:r>
        <w:rPr>
          <w:rStyle w:val="Fett"/>
        </w:rPr>
        <w:t>Eigenleistung des FRZK</w:t>
      </w:r>
    </w:p>
    <w:p w:rsidR="000862CC" w:rsidRDefault="000862CC" w:rsidP="000862CC">
      <w:pPr>
        <w:pStyle w:val="StandardWeb"/>
      </w:pPr>
      <w:r>
        <w:t>Der folgende Abschnitt untersucht deshalb, unter welchen Bedingungen FRZK-Aussagen echte Vorhersagen darstellen, wie Informationsstände zeitlich getrennt werden und wie Prognosegüte, Kalibrierung und Vergleich mit Referenzmodellen geprüft werden.</w:t>
      </w:r>
    </w:p>
    <w:p w:rsidR="0085669D" w:rsidRDefault="0085669D" w:rsidP="0085669D">
      <w:pPr>
        <w:pStyle w:val="berschrift2"/>
      </w:pPr>
      <w:r>
        <w:lastRenderedPageBreak/>
        <w:t>Ergänzung zu 3.3.34 – Prüfung der Falsifizierbarkeit und empirischen Widerlegbarkeit</w:t>
      </w:r>
    </w:p>
    <w:p w:rsidR="0085669D" w:rsidRDefault="0085669D" w:rsidP="0085669D">
      <w:pPr>
        <w:pStyle w:val="berschrift3"/>
      </w:pPr>
      <w:r>
        <w:t>Methodologische Betrachtungen</w:t>
      </w:r>
    </w:p>
    <w:p w:rsidR="0085669D" w:rsidRDefault="0085669D" w:rsidP="0085669D">
      <w:pPr>
        <w:pStyle w:val="StandardWeb"/>
      </w:pPr>
      <w:r>
        <w:t>Falsifizierbarkeit verlangt, dass eine empirische Aussage nicht mit jedem möglichen Beobachtungsergebnis vereinbar ist. Für eine wissenschaftlich prüfbare Aussage muss deshalb angegeben werden können, welche Beobachtungen innerhalb ihres Geltungsbereichs gegen sie sprechen würden [58, 59, 79].</w:t>
      </w:r>
    </w:p>
    <w:p w:rsidR="0085669D" w:rsidRDefault="0085669D" w:rsidP="0085669D">
      <w:pPr>
        <w:pStyle w:val="StandardWeb"/>
      </w:pPr>
      <w:r>
        <w:t>Ich unterscheide dabei die logische Widerlegung einer Aussage von ihrer empirischen Prüfung. Eine universelle Aussage kann logisch durch ein einziges zulässiges Gegenbeispiel widerlegt werden. In empirischen Untersuchungen muss jedoch zusätzlich geprüft werden, ob das beobachtete Gegenbeispiel tatsächlich zum beanspruchten Geltungsbereich gehört und ob Mess-, Operationalisierungs- oder Auswertungsfehler hinreichend ausgeschlossen wurden.</w:t>
      </w:r>
    </w:p>
    <w:p w:rsidR="0085669D" w:rsidRDefault="0085669D" w:rsidP="0085669D">
      <w:pPr>
        <w:pStyle w:val="StandardWeb"/>
      </w:pPr>
      <w:r>
        <w:t>Empirische Aussagen werden außerdem selten isoliert geprüft. Eine Vorhersage folgt gewöhnlich aus einer Kernaussage gemeinsam mit mehreren Hilfsannahmen. Tritt die erwartete Beobachtung nicht ein, ist zunächst die gesamte Prüfstruktur betroffen. Daraus folgt nicht automatisch, dass ausschließlich die Kernaussage falsch ist.</w:t>
      </w:r>
    </w:p>
    <w:p w:rsidR="0085669D" w:rsidRDefault="0085669D" w:rsidP="0085669D">
      <w:pPr>
        <w:pStyle w:val="StandardWeb"/>
      </w:pPr>
      <w:r>
        <w:t>Diese Situation rechtfertigt eine Prüfung der Hilfsannahmen, aber keine unbegrenzte Immunisierung des Modells. Eine Hilfsannahme darf nur dann verändert werden, wenn die Änderung unabhängig begründet, dokumentiert und erneut empirisch prüfbar ist. Eine nachträgliche Zusatzannahme, die ausschließlich eingeführt wird, um ein bereits bekanntes Gegenbeispiel zu neutralisieren, verringert den empirischen Gehalt des Systems.</w:t>
      </w:r>
    </w:p>
    <w:p w:rsidR="0085669D" w:rsidRDefault="0085669D" w:rsidP="0085669D">
      <w:pPr>
        <w:pStyle w:val="StandardWeb"/>
      </w:pPr>
      <w:r>
        <w:t>Widerlegung ist außerdem an einen bestimmten Geltungsbereich gebunden. Eine Aussage kann in einem lokalen Teilbereich widerlegt sein, ohne in allen übrigen Kontexten ungültig zu werden. Umgekehrt reicht eine außerhalb des Geltungsbereichs liegende Beobachtung nicht zur Widerlegung aus.</w:t>
      </w:r>
    </w:p>
    <w:p w:rsidR="0085669D" w:rsidRDefault="0085669D" w:rsidP="0085669D">
      <w:pPr>
        <w:pStyle w:val="StandardWeb"/>
      </w:pPr>
      <w:r>
        <w:t>Die Widerlegungsschwelle muss vor oder unabhängig von der konkreten Prüfung bestimmt werden. Eine nachträgliche Anpassung der Toleranz an den beobachteten Fehler würde die Aussage gegen das Ergebnis abschirmen.</w:t>
      </w:r>
    </w:p>
    <w:p w:rsidR="0085669D" w:rsidRDefault="0085669D" w:rsidP="0085669D">
      <w:pPr>
        <w:pStyle w:val="StandardWeb"/>
      </w:pPr>
      <w:r>
        <w:t>Das FRZK-Widerlegungssystem stellt daher keine Behauptung dar, dass einzelne Abweichungen unmittelbar das gesamte FRZK widerlegen. Es legt fest, wie empirische Aussagen so formuliert werden müssen, dass ihre Widerlegungsbedingungen transparent und prüfbar bleiben.</w:t>
      </w:r>
    </w:p>
    <w:p w:rsidR="0085669D" w:rsidRDefault="0085669D" w:rsidP="0085669D">
      <w:pPr>
        <w:pStyle w:val="berschrift3"/>
      </w:pPr>
      <w:r>
        <w:t>Didaktische Betrachtungen</w:t>
      </w:r>
    </w:p>
    <w:p w:rsidR="0085669D" w:rsidRDefault="0085669D" w:rsidP="0085669D">
      <w:pPr>
        <w:pStyle w:val="StandardWeb"/>
      </w:pPr>
      <w:r>
        <w:t>Falsifizierbarkeit lässt sich zunächst an einer einfachen Aussage verdeutlichen:</w:t>
      </w:r>
    </w:p>
    <w:p w:rsidR="0085669D" w:rsidRDefault="0085669D" w:rsidP="0085669D">
      <w:pPr>
        <w:pStyle w:val="StandardWeb"/>
      </w:pPr>
      <w:r>
        <w:t>„Alle Gegenstände in dieser Kiste sind rot.“</w:t>
      </w:r>
    </w:p>
    <w:p w:rsidR="0085669D" w:rsidRDefault="0085669D" w:rsidP="0085669D">
      <w:pPr>
        <w:pStyle w:val="StandardWeb"/>
      </w:pPr>
      <w:r>
        <w:t>Ein einziger nicht roter Gegenstand innerhalb derselben Kiste widerlegt diese universelle Aussage. Ein blauer Gegenstand außerhalb der Kiste ist dagegen irrelevant, weil er nicht zum Geltungsbereich gehört.</w:t>
      </w:r>
    </w:p>
    <w:p w:rsidR="0085669D" w:rsidRDefault="0085669D" w:rsidP="0085669D">
      <w:pPr>
        <w:pStyle w:val="StandardWeb"/>
      </w:pPr>
      <w:r>
        <w:lastRenderedPageBreak/>
        <w:t>Eine andere Aussage lautet:</w:t>
      </w:r>
    </w:p>
    <w:p w:rsidR="0085669D" w:rsidRDefault="0085669D" w:rsidP="0085669D">
      <w:pPr>
        <w:pStyle w:val="StandardWeb"/>
      </w:pPr>
      <w:r>
        <w:t>„In dieser Kiste befindet sich mindestens ein roter Gegenstand.“</w:t>
      </w:r>
    </w:p>
    <w:p w:rsidR="0085669D" w:rsidRDefault="0085669D" w:rsidP="0085669D">
      <w:pPr>
        <w:pStyle w:val="StandardWeb"/>
      </w:pPr>
      <w:r>
        <w:t>Dass bei einer kurzen Suche kein roter Gegenstand gefunden wird, widerlegt die Aussage nicht automatisch. Möglicherweise wurde nicht die gesamte Kiste durchsucht. Existenzaussagen besitzen daher einen anderen Widerlegungscharakter als universelle Aussagen.</w:t>
      </w:r>
    </w:p>
    <w:p w:rsidR="0085669D" w:rsidRDefault="0085669D" w:rsidP="0085669D">
      <w:pPr>
        <w:pStyle w:val="StandardWeb"/>
      </w:pPr>
      <w:r>
        <w:t>Für empirische Modelle kommt zusätzlich die Messunsicherheit hinzu. Sagt ein Modell einen Wert von (10) voraus und wird (10{,}1) gemessen, ist die Aussage möglicherweise nicht widerlegt. Wird dagegen (30) gemessen und beträgt die bekannte Messunsicherheit nur (\pm 0{,}2), liegt eine wesentlich stärkere Abweichung vor.</w:t>
      </w:r>
    </w:p>
    <w:p w:rsidR="0085669D" w:rsidRDefault="0085669D" w:rsidP="0085669D">
      <w:pPr>
        <w:pStyle w:val="StandardWeb"/>
      </w:pPr>
      <w:r>
        <w:t>Didaktisch sollte deshalb zwischen folgenden Fragen unterschieden werden:</w:t>
      </w:r>
    </w:p>
    <w:p w:rsidR="0085669D" w:rsidRDefault="0085669D" w:rsidP="0085669D">
      <w:pPr>
        <w:pStyle w:val="StandardWeb"/>
        <w:numPr>
          <w:ilvl w:val="0"/>
          <w:numId w:val="255"/>
        </w:numPr>
      </w:pPr>
      <w:r>
        <w:t>Was genau wurde behauptet?</w:t>
      </w:r>
    </w:p>
    <w:p w:rsidR="0085669D" w:rsidRDefault="0085669D" w:rsidP="0085669D">
      <w:pPr>
        <w:pStyle w:val="StandardWeb"/>
        <w:numPr>
          <w:ilvl w:val="0"/>
          <w:numId w:val="255"/>
        </w:numPr>
      </w:pPr>
      <w:r>
        <w:t>Für welchen Bereich gilt die Behauptung?</w:t>
      </w:r>
    </w:p>
    <w:p w:rsidR="0085669D" w:rsidRDefault="0085669D" w:rsidP="0085669D">
      <w:pPr>
        <w:pStyle w:val="StandardWeb"/>
        <w:numPr>
          <w:ilvl w:val="0"/>
          <w:numId w:val="255"/>
        </w:numPr>
      </w:pPr>
      <w:r>
        <w:t>Welche Beobachtung würde ihr widersprechen?</w:t>
      </w:r>
    </w:p>
    <w:p w:rsidR="0085669D" w:rsidRDefault="0085669D" w:rsidP="0085669D">
      <w:pPr>
        <w:pStyle w:val="StandardWeb"/>
        <w:numPr>
          <w:ilvl w:val="0"/>
          <w:numId w:val="255"/>
        </w:numPr>
      </w:pPr>
      <w:r>
        <w:t>Welche Messunsicherheit ist zulässig?</w:t>
      </w:r>
    </w:p>
    <w:p w:rsidR="0085669D" w:rsidRDefault="0085669D" w:rsidP="0085669D">
      <w:pPr>
        <w:pStyle w:val="StandardWeb"/>
        <w:numPr>
          <w:ilvl w:val="0"/>
          <w:numId w:val="255"/>
        </w:numPr>
      </w:pPr>
      <w:r>
        <w:t>Welche Hilfsannahmen wurden verwendet?</w:t>
      </w:r>
    </w:p>
    <w:p w:rsidR="0085669D" w:rsidRDefault="0085669D" w:rsidP="0085669D">
      <w:pPr>
        <w:pStyle w:val="StandardWeb"/>
        <w:numPr>
          <w:ilvl w:val="0"/>
          <w:numId w:val="255"/>
        </w:numPr>
      </w:pPr>
      <w:r>
        <w:t>Wird die Kernaussage oder nur eine Zusatzbedingung infrage gestellt?</w:t>
      </w:r>
    </w:p>
    <w:p w:rsidR="0085669D" w:rsidRDefault="0085669D" w:rsidP="0085669D">
      <w:pPr>
        <w:pStyle w:val="StandardWeb"/>
      </w:pPr>
      <w:r>
        <w:t>Ein anschauliches Bild ist ein Sicherheitsnetz. Eine wissenschaftliche Aussage darf Schutzbedingungen besitzen, aber das Netz darf nicht nach jeder Beobachtung unbegrenzt erweitert werden. Andernfalls kann nichts mehr gegen die Aussage sprechen.</w:t>
      </w:r>
    </w:p>
    <w:p w:rsidR="0085669D" w:rsidRDefault="00E50336" w:rsidP="0085669D">
      <w:r>
        <w:pict>
          <v:rect id="_x0000_i1058" style="width:0;height:1.5pt" o:hralign="center" o:hrstd="t" o:hr="t" fillcolor="#a0a0a0" stroked="f"/>
        </w:pict>
      </w:r>
    </w:p>
    <w:p w:rsidR="00161B88" w:rsidRPr="00AF32B2" w:rsidRDefault="00161B88" w:rsidP="00AF32B2">
      <w:pPr>
        <w:pStyle w:val="berschrift3"/>
      </w:pPr>
      <w:r w:rsidRPr="00AF32B2">
        <w:t>3.3.35 Prüfung der Prognosefähigkeit</w:t>
      </w:r>
    </w:p>
    <w:p w:rsidR="00161B88" w:rsidRDefault="00161B88" w:rsidP="00161B88">
      <w:pPr>
        <w:pStyle w:val="StandardWeb"/>
      </w:pPr>
      <w:r>
        <w:t>Die Prüfung der Falsifizierbarkeit in Abschnitt 3.3.34 hat geklärt, unter welchen Bedingungen eine FRZK-Aussage durch empirische Beobachtungen widerlegt werden kann. Eine Aussage kann jedoch auch dann falsifizierbar sein, wenn sie erst nach Kenntnis der Daten formuliert wurde. Für eine echte Prognose reicht es deshalb nicht aus, dass eine Aussage grundsätzlich an Beobachtungen scheitern kann. Die Aussage muss vor dem Eintritt oder vor der Auswertung des vorhergesagten Ereignisses festgelegt worden sein [58, 59, 79].</w:t>
      </w:r>
    </w:p>
    <w:p w:rsidR="00161B88" w:rsidRDefault="00161B88" w:rsidP="00161B88">
      <w:pPr>
        <w:pStyle w:val="StandardWeb"/>
      </w:pPr>
      <w:r>
        <w:t>Ich unterscheide Prognosefähigkeit als Fähigkeit eines Modells, aus einem zu einem bestimmten Zeitpunkt verfügbaren Informationsstand eine überprüfbare Aussage über einen späteren, noch nicht ausgewerteten Zustand abzuleiten. Dabei muss ausgeschlossen werden, dass Informationen aus der Zukunft unbemerkt in die Modellentwicklung, Parameterbestimmung oder Datenvorverarbeitung eingehen.</w:t>
      </w:r>
    </w:p>
    <w:p w:rsidR="00161B88" w:rsidRDefault="00161B88" w:rsidP="00161B88">
      <w:pPr>
        <w:pStyle w:val="StandardWeb"/>
      </w:pPr>
      <w:r>
        <w:t>Für das Funktionale Raum-Zeit-Kohärenzsystem betrifft dies insbesondere:</w:t>
      </w:r>
    </w:p>
    <w:p w:rsidR="00161B88" w:rsidRDefault="00161B88" w:rsidP="00632D23">
      <w:pPr>
        <w:pStyle w:val="StandardWeb"/>
        <w:numPr>
          <w:ilvl w:val="0"/>
          <w:numId w:val="239"/>
        </w:numPr>
      </w:pPr>
      <w:r>
        <w:t>die Vorhersage zukünftiger funktionaler Zustände,</w:t>
      </w:r>
    </w:p>
    <w:p w:rsidR="00161B88" w:rsidRDefault="00161B88" w:rsidP="00632D23">
      <w:pPr>
        <w:pStyle w:val="StandardWeb"/>
        <w:numPr>
          <w:ilvl w:val="0"/>
          <w:numId w:val="239"/>
        </w:numPr>
      </w:pPr>
      <w:r>
        <w:t>die Prognose von Zustandsübergängen,</w:t>
      </w:r>
    </w:p>
    <w:p w:rsidR="00161B88" w:rsidRDefault="00161B88" w:rsidP="00632D23">
      <w:pPr>
        <w:pStyle w:val="StandardWeb"/>
        <w:numPr>
          <w:ilvl w:val="0"/>
          <w:numId w:val="239"/>
        </w:numPr>
      </w:pPr>
      <w:r>
        <w:t>die Prognose funktionaler Kohärenz,</w:t>
      </w:r>
    </w:p>
    <w:p w:rsidR="00161B88" w:rsidRDefault="00161B88" w:rsidP="00632D23">
      <w:pPr>
        <w:pStyle w:val="StandardWeb"/>
        <w:numPr>
          <w:ilvl w:val="0"/>
          <w:numId w:val="239"/>
        </w:numPr>
      </w:pPr>
      <w:r>
        <w:t>die Prognose von Drift, Instabilität und Kipppunkten,</w:t>
      </w:r>
    </w:p>
    <w:p w:rsidR="00161B88" w:rsidRDefault="00161B88" w:rsidP="00632D23">
      <w:pPr>
        <w:pStyle w:val="StandardWeb"/>
        <w:numPr>
          <w:ilvl w:val="0"/>
          <w:numId w:val="239"/>
        </w:numPr>
      </w:pPr>
      <w:r>
        <w:t>die Prognose von Klassen und Entscheidungen,</w:t>
      </w:r>
    </w:p>
    <w:p w:rsidR="00161B88" w:rsidRDefault="00161B88" w:rsidP="00632D23">
      <w:pPr>
        <w:pStyle w:val="StandardWeb"/>
        <w:numPr>
          <w:ilvl w:val="0"/>
          <w:numId w:val="239"/>
        </w:numPr>
      </w:pPr>
      <w:r>
        <w:lastRenderedPageBreak/>
        <w:t>den Vergleich mit geeigneten Referenzmodellen,</w:t>
      </w:r>
    </w:p>
    <w:p w:rsidR="00161B88" w:rsidRDefault="00161B88" w:rsidP="00632D23">
      <w:pPr>
        <w:pStyle w:val="StandardWeb"/>
        <w:numPr>
          <w:ilvl w:val="0"/>
          <w:numId w:val="239"/>
        </w:numPr>
      </w:pPr>
      <w:r>
        <w:t>die Kalibrierung probabilistischer Vorhersagen,</w:t>
      </w:r>
    </w:p>
    <w:p w:rsidR="00161B88" w:rsidRDefault="00161B88" w:rsidP="00632D23">
      <w:pPr>
        <w:pStyle w:val="StandardWeb"/>
        <w:numPr>
          <w:ilvl w:val="0"/>
          <w:numId w:val="239"/>
        </w:numPr>
      </w:pPr>
      <w:r>
        <w:t>die Trennung von Erklärung und Prognose.</w:t>
      </w:r>
    </w:p>
    <w:p w:rsidR="00161B88" w:rsidRDefault="00161B88" w:rsidP="00161B88">
      <w:pPr>
        <w:pStyle w:val="StandardWeb"/>
      </w:pPr>
      <w:r>
        <w:rPr>
          <w:rStyle w:val="Fett"/>
        </w:rPr>
        <w:t>Eigenleistung des FRZK</w:t>
      </w:r>
    </w:p>
    <w:p w:rsidR="00161B88" w:rsidRDefault="00161B88" w:rsidP="00161B88">
      <w:pPr>
        <w:pStyle w:val="StandardWeb"/>
      </w:pPr>
      <w:r>
        <w:t>Ich führe ein gemeinsames FRZK-Prognosesystem ein, das Prognosezeitpunkt, Informationsstand, Prognosehorizont, Zielgröße, Vorhersagemodell, Referenzmodell, Gütemaß und Prüfentscheidung gemeinsam dokumentiert. Dadurch kann ich prüfen, ob eine FRZK-Aussage tatsächlich vorhersagenden Gehalt besitzt oder lediglich bekannte Daten nachträglich beschreibt.</w:t>
      </w:r>
    </w:p>
    <w:p w:rsidR="00161B88" w:rsidRPr="00AF32B2" w:rsidRDefault="00161B88" w:rsidP="00AF32B2">
      <w:pPr>
        <w:pStyle w:val="berschrift4"/>
      </w:pPr>
      <w:r w:rsidRPr="00AF32B2">
        <w:t>3.3.35.1 Prognosezeitpunkt und Prognosehorizont</w:t>
      </w:r>
    </w:p>
    <w:p w:rsidR="00161B88" w:rsidRDefault="00161B88" w:rsidP="00161B88">
      <w:pPr>
        <w:pStyle w:val="StandardWeb"/>
      </w:pPr>
      <w:r>
        <w:t>Der Prognosezeitpunkt lautet</w:t>
      </w:r>
    </w:p>
    <w:p w:rsidR="00161B88" w:rsidRDefault="00161B88" w:rsidP="00161B88">
      <w:pPr>
        <w:pStyle w:val="StandardWeb"/>
      </w:pPr>
      <w:r>
        <w:t>[</w:t>
      </w:r>
      <w:r>
        <w:br/>
        <w:t>t.</w:t>
      </w:r>
      <w:r>
        <w:br/>
        <w:t>\tag{3.5944}</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t\qquad\text{(3.5944)}</w:t>
      </w:r>
    </w:p>
    <w:p w:rsidR="00161B88" w:rsidRDefault="00161B88" w:rsidP="00161B88">
      <w:pPr>
        <w:pStyle w:val="StandardWeb"/>
      </w:pPr>
      <w:r>
        <w:t>Der Prognosehorizont wird mit</w:t>
      </w:r>
    </w:p>
    <w:p w:rsidR="00161B88" w:rsidRDefault="00161B88" w:rsidP="00161B88">
      <w:pPr>
        <w:pStyle w:val="StandardWeb"/>
      </w:pPr>
      <w:r>
        <w:t>[</w:t>
      </w:r>
      <w:r>
        <w:br/>
        <w:t>h&gt;0</w:t>
      </w:r>
      <w:r>
        <w:br/>
        <w:t>\tag{3.5945}</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h&gt;0\qquad\text{(3.5945)}</w:t>
      </w:r>
    </w:p>
    <w:p w:rsidR="00161B88" w:rsidRDefault="00161B88" w:rsidP="00161B88">
      <w:pPr>
        <w:pStyle w:val="StandardWeb"/>
      </w:pPr>
      <w:r>
        <w:t>bezeichnet.</w:t>
      </w:r>
    </w:p>
    <w:p w:rsidR="00161B88" w:rsidRDefault="00161B88" w:rsidP="00161B88">
      <w:pPr>
        <w:pStyle w:val="StandardWeb"/>
      </w:pPr>
      <w:r>
        <w:t>Der vorherzusagende Zeitpunkt lautet</w:t>
      </w:r>
    </w:p>
    <w:p w:rsidR="00161B88" w:rsidRDefault="00161B88" w:rsidP="00161B88">
      <w:pPr>
        <w:pStyle w:val="StandardWeb"/>
      </w:pPr>
      <w:r>
        <w:t>[</w:t>
      </w:r>
      <w:r>
        <w:br/>
        <w:t>t+h.</w:t>
      </w:r>
      <w:r>
        <w:br/>
        <w:t>\tag{3.5946}</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t+h\qquad\text{(3.5946)}</w:t>
      </w:r>
    </w:p>
    <w:p w:rsidR="00161B88" w:rsidRDefault="00161B88" w:rsidP="00161B88">
      <w:pPr>
        <w:pStyle w:val="StandardWeb"/>
      </w:pPr>
      <w:r>
        <w:t>Eine Prognose bezieht sich damit auf eine Größe, die zum Prognosezeitpunkt noch nicht vollständig beobachtet oder ausgewertet wurde.</w:t>
      </w:r>
    </w:p>
    <w:p w:rsidR="00161B88" w:rsidRPr="00AF32B2" w:rsidRDefault="00161B88" w:rsidP="00AF32B2">
      <w:pPr>
        <w:pStyle w:val="berschrift4"/>
      </w:pPr>
      <w:r w:rsidRPr="00AF32B2">
        <w:lastRenderedPageBreak/>
        <w:t>3.3.35.2 Informationsstand</w:t>
      </w:r>
    </w:p>
    <w:p w:rsidR="00161B88" w:rsidRDefault="00161B88" w:rsidP="00161B88">
      <w:pPr>
        <w:pStyle w:val="StandardWeb"/>
      </w:pPr>
      <w:r>
        <w:t>Der zum Prognosezeitpunkt verfügbare Informationsstand lautet</w:t>
      </w:r>
    </w:p>
    <w:p w:rsidR="00161B88" w:rsidRDefault="00161B88" w:rsidP="00161B88">
      <w:pPr>
        <w:pStyle w:val="StandardWeb"/>
      </w:pPr>
      <w:r>
        <w:t>[</w:t>
      </w:r>
      <w:r>
        <w:br/>
        <w:t>\mathcal{I}_{t}.</w:t>
      </w:r>
      <w:r>
        <w:br/>
        <w:t>\tag{3.5947}</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\mathcal{I}_{t}\qquad\text{(3.5947)}</w:t>
      </w:r>
    </w:p>
    <w:p w:rsidR="00161B88" w:rsidRDefault="00161B88" w:rsidP="00161B88">
      <w:pPr>
        <w:pStyle w:val="StandardWeb"/>
      </w:pPr>
      <w:r>
        <w:t>Er kann beispielsweise enthalten:</w:t>
      </w:r>
    </w:p>
    <w:p w:rsidR="00161B88" w:rsidRDefault="00161B88" w:rsidP="00161B88">
      <w:pPr>
        <w:pStyle w:val="berschrift1"/>
      </w:pPr>
      <w:r>
        <w:t>[</w:t>
      </w:r>
      <w:r>
        <w:br/>
        <w:t>\mathcal{I}_{t}</w:t>
      </w:r>
    </w:p>
    <w:p w:rsidR="00161B88" w:rsidRDefault="00161B88" w:rsidP="00161B88">
      <w:pPr>
        <w:pStyle w:val="StandardWeb"/>
      </w:pPr>
      <w:r>
        <w:t>\left(</w:t>
      </w:r>
      <w:r>
        <w:br/>
        <w:t>\mathcal{D}</w:t>
      </w:r>
      <w:r>
        <w:rPr>
          <w:rStyle w:val="Hervorhebung"/>
        </w:rPr>
        <w:t>{\leq t},</w:t>
      </w:r>
      <w:r>
        <w:rPr>
          <w:i/>
          <w:iCs/>
        </w:rPr>
        <w:br/>
      </w:r>
      <w:r>
        <w:rPr>
          <w:rStyle w:val="Hervorhebung"/>
        </w:rPr>
        <w:t>\mathcal{M}</w:t>
      </w:r>
      <w:r>
        <w:t>{t},</w:t>
      </w:r>
      <w:r>
        <w:br/>
        <w:t>\mathcal{O}</w:t>
      </w:r>
      <w:r>
        <w:rPr>
          <w:rStyle w:val="Hervorhebung"/>
        </w:rPr>
        <w:t>{t},</w:t>
      </w:r>
      <w:r>
        <w:rPr>
          <w:i/>
          <w:iCs/>
        </w:rPr>
        <w:br/>
      </w:r>
      <w:r>
        <w:rPr>
          <w:rStyle w:val="Hervorhebung"/>
        </w:rPr>
        <w:t>\Theta</w:t>
      </w:r>
      <w:r>
        <w:t>{t},</w:t>
      </w:r>
      <w:r>
        <w:br/>
        <w:t>\mathcal{K}_{t}</w:t>
      </w:r>
      <w:r>
        <w:br/>
        <w:t>\right).</w:t>
      </w:r>
      <w:r>
        <w:br/>
        <w:t>\tag{3.5948}</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\mathcal{I}_{t}=\left(\mathcal{D}_{\leq t},\mathcal{M}_{t},\mathcal{O}_{t},\Theta_{t},\mathcal{K}_{t}\right)\qquad\text{(3.5948)}</w:t>
      </w:r>
    </w:p>
    <w:p w:rsidR="00161B88" w:rsidRDefault="00161B88" w:rsidP="00161B88">
      <w:pPr>
        <w:pStyle w:val="StandardWeb"/>
      </w:pPr>
      <w:r>
        <w:t>Dabei bezeichnet:</w:t>
      </w:r>
    </w:p>
    <w:p w:rsidR="00161B88" w:rsidRDefault="00161B88" w:rsidP="00632D23">
      <w:pPr>
        <w:pStyle w:val="StandardWeb"/>
        <w:numPr>
          <w:ilvl w:val="0"/>
          <w:numId w:val="240"/>
        </w:numPr>
      </w:pPr>
      <w:r>
        <w:t>(\mathcal{D}_{\leq t}) sämtliche bis (t) zulässigerweise verfügbaren Daten,</w:t>
      </w:r>
    </w:p>
    <w:p w:rsidR="00161B88" w:rsidRDefault="00161B88" w:rsidP="00632D23">
      <w:pPr>
        <w:pStyle w:val="StandardWeb"/>
        <w:numPr>
          <w:ilvl w:val="0"/>
          <w:numId w:val="240"/>
        </w:numPr>
      </w:pPr>
      <w:r>
        <w:t>(\mathcal{M}_{t}) den zum Prognosezeitpunkt festgelegten Modellstand,</w:t>
      </w:r>
    </w:p>
    <w:p w:rsidR="00161B88" w:rsidRDefault="00161B88" w:rsidP="00632D23">
      <w:pPr>
        <w:pStyle w:val="StandardWeb"/>
        <w:numPr>
          <w:ilvl w:val="0"/>
          <w:numId w:val="240"/>
        </w:numPr>
      </w:pPr>
      <w:r>
        <w:t>(\mathcal{O}_{t}) die verwendete Operationalisierung,</w:t>
      </w:r>
    </w:p>
    <w:p w:rsidR="00161B88" w:rsidRDefault="00161B88" w:rsidP="00632D23">
      <w:pPr>
        <w:pStyle w:val="StandardWeb"/>
        <w:numPr>
          <w:ilvl w:val="0"/>
          <w:numId w:val="240"/>
        </w:numPr>
      </w:pPr>
      <w:r>
        <w:t>(\Theta_{t}) die zu diesem Zeitpunkt geschätzten Parameter,</w:t>
      </w:r>
    </w:p>
    <w:p w:rsidR="00161B88" w:rsidRDefault="00161B88" w:rsidP="00632D23">
      <w:pPr>
        <w:pStyle w:val="StandardWeb"/>
        <w:numPr>
          <w:ilvl w:val="0"/>
          <w:numId w:val="240"/>
        </w:numPr>
      </w:pPr>
      <w:r>
        <w:t>(\mathcal{K}_{t}) die technische Konfiguration.</w:t>
      </w:r>
    </w:p>
    <w:p w:rsidR="00161B88" w:rsidRDefault="00161B88" w:rsidP="00161B88">
      <w:pPr>
        <w:pStyle w:val="StandardWeb"/>
      </w:pPr>
      <w:r>
        <w:t>Eine Prognose darf keine Information aus</w:t>
      </w:r>
    </w:p>
    <w:p w:rsidR="00161B88" w:rsidRDefault="00161B88" w:rsidP="00161B88">
      <w:pPr>
        <w:pStyle w:val="StandardWeb"/>
      </w:pPr>
      <w:r>
        <w:t>[</w:t>
      </w:r>
      <w:r>
        <w:br/>
        <w:t>\mathcal{D}_{&gt;t}</w:t>
      </w:r>
      <w:r>
        <w:br/>
        <w:t>\tag{3.5949}</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lastRenderedPageBreak/>
        <w:t>\mathcal{D}_{&gt;t}\qquad\text{(3.5949)}</w:t>
      </w:r>
    </w:p>
    <w:p w:rsidR="00161B88" w:rsidRDefault="00161B88" w:rsidP="00161B88">
      <w:pPr>
        <w:pStyle w:val="StandardWeb"/>
      </w:pPr>
      <w:r>
        <w:t>verwenden.</w:t>
      </w:r>
    </w:p>
    <w:p w:rsidR="00161B88" w:rsidRPr="00AF32B2" w:rsidRDefault="00161B88" w:rsidP="00AF32B2">
      <w:pPr>
        <w:pStyle w:val="berschrift4"/>
      </w:pPr>
      <w:r w:rsidRPr="00AF32B2">
        <w:t>3.3.35.3 Zielgröße der Prognose</w:t>
      </w:r>
    </w:p>
    <w:p w:rsidR="00161B88" w:rsidRDefault="00161B88" w:rsidP="00161B88">
      <w:pPr>
        <w:pStyle w:val="StandardWeb"/>
      </w:pPr>
      <w:r>
        <w:t>Die zukünftige Zielgröße lautet</w:t>
      </w:r>
    </w:p>
    <w:p w:rsidR="00161B88" w:rsidRDefault="00161B88" w:rsidP="00161B88">
      <w:pPr>
        <w:pStyle w:val="StandardWeb"/>
      </w:pPr>
      <w:r>
        <w:t>[</w:t>
      </w:r>
      <w:r>
        <w:br/>
        <w:t>Y_{t+h}.</w:t>
      </w:r>
      <w:r>
        <w:br/>
        <w:t>\tag{3.5950}</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Y_{t+h}\qquad\text{(3.5950)}</w:t>
      </w:r>
    </w:p>
    <w:p w:rsidR="00161B88" w:rsidRDefault="00161B88" w:rsidP="00161B88">
      <w:pPr>
        <w:pStyle w:val="StandardWeb"/>
      </w:pPr>
      <w:r>
        <w:t>Die Punktprognose wird geschrieben als</w:t>
      </w:r>
    </w:p>
    <w:p w:rsidR="00161B88" w:rsidRDefault="00161B88" w:rsidP="00161B88">
      <w:pPr>
        <w:pStyle w:val="StandardWeb"/>
      </w:pPr>
      <w:r>
        <w:t>[</w:t>
      </w:r>
      <w:r>
        <w:br/>
        <w:t>\widehat{Y}_{t+h\mid t}.</w:t>
      </w:r>
      <w:r>
        <w:br/>
        <w:t>\tag{3.5951}</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\widehat{Y}_{t+h\mid t}\qquad\text{(3.5951)}</w:t>
      </w:r>
    </w:p>
    <w:p w:rsidR="00161B88" w:rsidRDefault="00161B88" w:rsidP="00161B88">
      <w:pPr>
        <w:pStyle w:val="StandardWeb"/>
      </w:pPr>
      <w:r>
        <w:t>Der Index (t+h\mid t) bedeutet, dass der Wert für den Zeitpunkt (t+h) ausschließlich auf Grundlage des Informationsstands zum Zeitpunkt (t) vorhergesagt wird.</w:t>
      </w:r>
    </w:p>
    <w:p w:rsidR="00161B88" w:rsidRDefault="00161B88" w:rsidP="00161B88">
      <w:pPr>
        <w:pStyle w:val="StandardWeb"/>
      </w:pPr>
      <w:r>
        <w:t>Die Prognoseabbildung lautet</w:t>
      </w:r>
    </w:p>
    <w:p w:rsidR="00161B88" w:rsidRDefault="00161B88" w:rsidP="00161B88">
      <w:pPr>
        <w:pStyle w:val="StandardWeb"/>
      </w:pPr>
      <w:r>
        <w:t>[</w:t>
      </w:r>
      <w:r>
        <w:br/>
        <w:t>\mathcal{P}</w:t>
      </w:r>
      <w:r>
        <w:rPr>
          <w:rStyle w:val="Hervorhebung"/>
        </w:rPr>
        <w:t>{F}^{\mathrm{prog}}:</w:t>
      </w:r>
      <w:r>
        <w:rPr>
          <w:i/>
          <w:iCs/>
        </w:rPr>
        <w:br/>
      </w:r>
      <w:r>
        <w:rPr>
          <w:rStyle w:val="Hervorhebung"/>
        </w:rPr>
        <w:t>\mathcal{I}</w:t>
      </w:r>
      <w:r>
        <w:t>{t}</w:t>
      </w:r>
      <w:r>
        <w:br/>
        <w:t>\rightarrow</w:t>
      </w:r>
      <w:r>
        <w:br/>
        <w:t>\widehat{Y}_{t+h\mid t}.</w:t>
      </w:r>
      <w:r>
        <w:br/>
        <w:t>\tag{3.5952}</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\mathcal{P}_{F}^{\mathrm{prog}}:\mathcal{I}_{t}\rightarrow\widehat{Y}_{t+h\mid t}\qquad\text{(3.5952)}</w:t>
      </w:r>
    </w:p>
    <w:p w:rsidR="00161B88" w:rsidRPr="00AF32B2" w:rsidRDefault="00161B88" w:rsidP="00AF32B2">
      <w:pPr>
        <w:pStyle w:val="berschrift4"/>
      </w:pPr>
      <w:r w:rsidRPr="00AF32B2">
        <w:t>3.3.35.4 Definition des FRZK-Prognosesystems</w:t>
      </w:r>
    </w:p>
    <w:p w:rsidR="00161B88" w:rsidRDefault="00161B88" w:rsidP="00161B88">
      <w:pPr>
        <w:pStyle w:val="StandardWeb"/>
      </w:pPr>
      <w:r>
        <w:rPr>
          <w:rStyle w:val="Fett"/>
        </w:rPr>
        <w:t>Definition 3.3.27 – FRZK-Prognosesystem</w:t>
      </w:r>
    </w:p>
    <w:p w:rsidR="00161B88" w:rsidRDefault="00161B88" w:rsidP="00161B88">
      <w:pPr>
        <w:pStyle w:val="StandardWeb"/>
      </w:pPr>
      <w:r>
        <w:t>Ein FRZK-Prognosesystem ist das geordnete Tupel</w:t>
      </w:r>
    </w:p>
    <w:p w:rsidR="00161B88" w:rsidRDefault="00161B88" w:rsidP="00161B88">
      <w:pPr>
        <w:pStyle w:val="berschrift1"/>
      </w:pPr>
      <w:r>
        <w:lastRenderedPageBreak/>
        <w:t>[</w:t>
      </w:r>
      <w:r>
        <w:br/>
        <w:t>\mathfrak{P}_{F}^{\mathrm{prog}}</w:t>
      </w:r>
    </w:p>
    <w:p w:rsidR="00161B88" w:rsidRDefault="00161B88" w:rsidP="00161B88">
      <w:pPr>
        <w:pStyle w:val="StandardWeb"/>
      </w:pPr>
      <w:r>
        <w:t>\left(</w:t>
      </w:r>
      <w:r>
        <w:br/>
        <w:t>t,</w:t>
      </w:r>
      <w:r>
        <w:br/>
        <w:t>h,</w:t>
      </w:r>
      <w:r>
        <w:br/>
        <w:t>\mathcal{I}</w:t>
      </w:r>
      <w:r>
        <w:rPr>
          <w:rStyle w:val="Hervorhebung"/>
        </w:rPr>
        <w:t>{t},</w:t>
      </w:r>
      <w:r>
        <w:rPr>
          <w:i/>
          <w:iCs/>
        </w:rPr>
        <w:br/>
      </w:r>
      <w:r>
        <w:rPr>
          <w:rStyle w:val="Hervorhebung"/>
        </w:rPr>
        <w:t>Y</w:t>
      </w:r>
      <w:r>
        <w:t>{t+h},</w:t>
      </w:r>
      <w:r>
        <w:br/>
        <w:t>\mathcal{P}</w:t>
      </w:r>
      <w:r>
        <w:rPr>
          <w:rStyle w:val="Hervorhebung"/>
        </w:rPr>
        <w:t>{F}^{\mathrm{prog}},</w:t>
      </w:r>
      <w:r>
        <w:rPr>
          <w:i/>
          <w:iCs/>
        </w:rPr>
        <w:br/>
      </w:r>
      <w:r>
        <w:rPr>
          <w:rStyle w:val="Hervorhebung"/>
        </w:rPr>
        <w:t>\mathcal{B}</w:t>
      </w:r>
      <w:r>
        <w:t>{F},</w:t>
      </w:r>
      <w:r>
        <w:br/>
        <w:t>\mathfrak{L}</w:t>
      </w:r>
      <w:r>
        <w:rPr>
          <w:rStyle w:val="Hervorhebung"/>
        </w:rPr>
        <w:t>{\mathrm{prog}},</w:t>
      </w:r>
      <w:r>
        <w:rPr>
          <w:i/>
          <w:iCs/>
        </w:rPr>
        <w:br/>
      </w:r>
      <w:r>
        <w:rPr>
          <w:rStyle w:val="Hervorhebung"/>
        </w:rPr>
        <w:t>\operatorname{Prog}</w:t>
      </w:r>
      <w:r>
        <w:t>{F}</w:t>
      </w:r>
      <w:r>
        <w:br/>
        <w:t>\right).</w:t>
      </w:r>
      <w:r>
        <w:br/>
        <w:t>\tag{3.5953}</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\mathfrak{P}_{F}^{\mathrm{prog}}=\left(t,h,\mathcal{I}_{t},Y_{t+h},\mathcal{P}_{F}^{\mathrm{prog}},\mathcal{B}_{F},\mathfrak{L}_{\mathrm{prog}},\operatorname{Prog}_{F}\right)\qquad\text{(3.5953)}</w:t>
      </w:r>
    </w:p>
    <w:p w:rsidR="00161B88" w:rsidRDefault="00161B88" w:rsidP="00161B88">
      <w:pPr>
        <w:pStyle w:val="StandardWeb"/>
      </w:pPr>
      <w:r>
        <w:t>Dabei bezeichnet:</w:t>
      </w:r>
    </w:p>
    <w:p w:rsidR="00161B88" w:rsidRDefault="00161B88" w:rsidP="00632D23">
      <w:pPr>
        <w:pStyle w:val="StandardWeb"/>
        <w:numPr>
          <w:ilvl w:val="0"/>
          <w:numId w:val="241"/>
        </w:numPr>
      </w:pPr>
      <w:r>
        <w:t>(t) den Prognosezeitpunkt,</w:t>
      </w:r>
    </w:p>
    <w:p w:rsidR="00161B88" w:rsidRDefault="00161B88" w:rsidP="00632D23">
      <w:pPr>
        <w:pStyle w:val="StandardWeb"/>
        <w:numPr>
          <w:ilvl w:val="0"/>
          <w:numId w:val="241"/>
        </w:numPr>
      </w:pPr>
      <w:r>
        <w:t>(h) den Prognosehorizont,</w:t>
      </w:r>
    </w:p>
    <w:p w:rsidR="00161B88" w:rsidRDefault="00161B88" w:rsidP="00632D23">
      <w:pPr>
        <w:pStyle w:val="StandardWeb"/>
        <w:numPr>
          <w:ilvl w:val="0"/>
          <w:numId w:val="241"/>
        </w:numPr>
      </w:pPr>
      <w:r>
        <w:t>(\mathcal{I}_{t}) den zulässigen Informationsstand,</w:t>
      </w:r>
    </w:p>
    <w:p w:rsidR="00161B88" w:rsidRDefault="00161B88" w:rsidP="00632D23">
      <w:pPr>
        <w:pStyle w:val="StandardWeb"/>
        <w:numPr>
          <w:ilvl w:val="0"/>
          <w:numId w:val="241"/>
        </w:numPr>
      </w:pPr>
      <w:r>
        <w:t>(Y_{t+h}) die Zielgröße,</w:t>
      </w:r>
    </w:p>
    <w:p w:rsidR="00161B88" w:rsidRDefault="00161B88" w:rsidP="00632D23">
      <w:pPr>
        <w:pStyle w:val="StandardWeb"/>
        <w:numPr>
          <w:ilvl w:val="0"/>
          <w:numId w:val="241"/>
        </w:numPr>
      </w:pPr>
      <w:r>
        <w:t>(\mathcal{P}_{F}^{\mathrm{prog}}) die Prognoseabbildung,</w:t>
      </w:r>
    </w:p>
    <w:p w:rsidR="00161B88" w:rsidRDefault="00161B88" w:rsidP="00632D23">
      <w:pPr>
        <w:pStyle w:val="StandardWeb"/>
        <w:numPr>
          <w:ilvl w:val="0"/>
          <w:numId w:val="241"/>
        </w:numPr>
      </w:pPr>
      <w:r>
        <w:t>(\mathcal{B}_{F}) ein Referenz- oder Basismodell,</w:t>
      </w:r>
    </w:p>
    <w:p w:rsidR="00161B88" w:rsidRDefault="00161B88" w:rsidP="00632D23">
      <w:pPr>
        <w:pStyle w:val="StandardWeb"/>
        <w:numPr>
          <w:ilvl w:val="0"/>
          <w:numId w:val="241"/>
        </w:numPr>
      </w:pPr>
      <w:r>
        <w:t>(\mathfrak{L}_{\mathrm{prog}}) die Menge der Prognosegütemaße,</w:t>
      </w:r>
    </w:p>
    <w:p w:rsidR="00161B88" w:rsidRDefault="00161B88" w:rsidP="00632D23">
      <w:pPr>
        <w:pStyle w:val="StandardWeb"/>
        <w:numPr>
          <w:ilvl w:val="0"/>
          <w:numId w:val="241"/>
        </w:numPr>
      </w:pPr>
      <w:r>
        <w:t>(\operatorname{Prog}_{F}) das Prognosefähigkeitsprädikat.</w:t>
      </w:r>
    </w:p>
    <w:p w:rsidR="00161B88" w:rsidRDefault="00161B88" w:rsidP="00161B88">
      <w:pPr>
        <w:pStyle w:val="StandardWeb"/>
      </w:pPr>
      <w:r>
        <w:t>Das Prognosefähigkeitsprädikat lautet</w:t>
      </w:r>
    </w:p>
    <w:p w:rsidR="00161B88" w:rsidRDefault="00161B88" w:rsidP="00161B88">
      <w:pPr>
        <w:pStyle w:val="StandardWeb"/>
      </w:pPr>
      <w:r>
        <w:t>[</w:t>
      </w:r>
      <w:r>
        <w:br/>
        <w:t>\operatorname{Prog}</w:t>
      </w:r>
      <w:r>
        <w:rPr>
          <w:rStyle w:val="Hervorhebung"/>
        </w:rPr>
        <w:t>{F}:</w:t>
      </w:r>
      <w:r>
        <w:rPr>
          <w:i/>
          <w:iCs/>
        </w:rPr>
        <w:br/>
      </w:r>
      <w:r>
        <w:rPr>
          <w:rStyle w:val="Hervorhebung"/>
        </w:rPr>
        <w:t>\mathfrak{P}</w:t>
      </w:r>
      <w:r>
        <w:t>{F}^{\mathrm{prog}}</w:t>
      </w:r>
      <w:r>
        <w:br/>
        <w:t>\rightarrow</w:t>
      </w:r>
      <w:r>
        <w:br/>
        <w:t>{0,1}.</w:t>
      </w:r>
      <w:r>
        <w:br/>
        <w:t>\tag{3.5954}</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\operatorname{Prog}_{F}:\mathfrak{P}_{F}^{\mathrm{prog}}\rightarrow\{0,1\}\qquad\text{(3.5954)}</w:t>
      </w:r>
    </w:p>
    <w:p w:rsidR="00161B88" w:rsidRDefault="00161B88" w:rsidP="00161B88">
      <w:pPr>
        <w:pStyle w:val="StandardWeb"/>
      </w:pPr>
      <w:r>
        <w:t>Für ein prognosefähiges System gilt</w:t>
      </w:r>
    </w:p>
    <w:p w:rsidR="00161B88" w:rsidRDefault="00161B88" w:rsidP="00161B88">
      <w:pPr>
        <w:pStyle w:val="berschrift1"/>
      </w:pPr>
      <w:r>
        <w:lastRenderedPageBreak/>
        <w:t>[</w:t>
      </w:r>
      <w:r>
        <w:br/>
        <w:t>\operatorname{Prog}</w:t>
      </w:r>
      <w:r>
        <w:rPr>
          <w:rStyle w:val="Hervorhebung"/>
        </w:rPr>
        <w:t>{F}</w:t>
      </w:r>
      <w:r>
        <w:rPr>
          <w:i/>
          <w:iCs/>
        </w:rPr>
        <w:br/>
      </w:r>
      <w:r>
        <w:rPr>
          <w:rStyle w:val="Hervorhebung"/>
        </w:rPr>
        <w:t>\left(</w:t>
      </w:r>
      <w:r>
        <w:rPr>
          <w:i/>
          <w:iCs/>
        </w:rPr>
        <w:br/>
      </w:r>
      <w:r>
        <w:rPr>
          <w:rStyle w:val="Hervorhebung"/>
        </w:rPr>
        <w:t>\mathfrak{P}</w:t>
      </w:r>
      <w:r>
        <w:t>{F}^{\mathrm{prog}}</w:t>
      </w:r>
      <w:r>
        <w:br/>
        <w:t>\right)</w:t>
      </w:r>
    </w:p>
    <w:p w:rsidR="00161B88" w:rsidRDefault="00161B88" w:rsidP="00632D23">
      <w:pPr>
        <w:numPr>
          <w:ilvl w:val="0"/>
          <w:numId w:val="242"/>
        </w:numPr>
        <w:spacing w:before="100" w:beforeAutospacing="1" w:after="100" w:afterAutospacing="1"/>
      </w:pPr>
    </w:p>
    <w:p w:rsidR="00161B88" w:rsidRDefault="00161B88" w:rsidP="00161B88">
      <w:pPr>
        <w:pStyle w:val="StandardWeb"/>
      </w:pPr>
      <w:r>
        <w:t>\tag{3.5955}</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\operatorname{Prog}_{F}\left(\mathfrak{P}_{F}^{\mathrm{prog}}\right)=1\qquad\text{(3.5955)}</w:t>
      </w:r>
    </w:p>
    <w:p w:rsidR="00161B88" w:rsidRPr="00AF32B2" w:rsidRDefault="00161B88" w:rsidP="00AF32B2">
      <w:pPr>
        <w:pStyle w:val="berschrift4"/>
      </w:pPr>
      <w:r w:rsidRPr="00AF32B2">
        <w:t>3.3.35.5 Prognosefehler</w:t>
      </w:r>
    </w:p>
    <w:p w:rsidR="00161B88" w:rsidRDefault="00161B88" w:rsidP="00161B88">
      <w:pPr>
        <w:pStyle w:val="StandardWeb"/>
      </w:pPr>
      <w:r>
        <w:t>Nach Eintritt der tatsächlichen Beobachtung</w:t>
      </w:r>
    </w:p>
    <w:p w:rsidR="00161B88" w:rsidRDefault="00161B88" w:rsidP="00161B88">
      <w:pPr>
        <w:pStyle w:val="StandardWeb"/>
      </w:pPr>
      <w:r>
        <w:t>[</w:t>
      </w:r>
      <w:r>
        <w:br/>
        <w:t>Y_{t+h}^{\mathrm{obs}}</w:t>
      </w:r>
      <w:r>
        <w:br/>
        <w:t>\tag{3.5956}</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Y_{t+h}^{\mathrm{obs}}\qquad\text{(3.5956)}</w:t>
      </w:r>
    </w:p>
    <w:p w:rsidR="00161B88" w:rsidRDefault="00161B88" w:rsidP="00161B88">
      <w:pPr>
        <w:pStyle w:val="StandardWeb"/>
      </w:pPr>
      <w:r>
        <w:t>wird der Prognosefehler definiert durch</w:t>
      </w:r>
    </w:p>
    <w:p w:rsidR="00161B88" w:rsidRDefault="00161B88" w:rsidP="00161B88">
      <w:pPr>
        <w:pStyle w:val="berschrift1"/>
      </w:pPr>
      <w:r>
        <w:t>[</w:t>
      </w:r>
      <w:r>
        <w:br/>
        <w:t>e_{t+h}</w:t>
      </w:r>
    </w:p>
    <w:p w:rsidR="00161B88" w:rsidRDefault="00161B88" w:rsidP="00161B88">
      <w:pPr>
        <w:pStyle w:val="berschrift2"/>
      </w:pPr>
      <w:r>
        <w:t>Y_{t+h}^{\mathrm{obs}}</w:t>
      </w:r>
    </w:p>
    <w:p w:rsidR="00161B88" w:rsidRDefault="00161B88" w:rsidP="00161B88">
      <w:pPr>
        <w:pStyle w:val="StandardWeb"/>
      </w:pPr>
      <w:r>
        <w:t>\widehat{Y}_{t+h\mid t}.</w:t>
      </w:r>
      <w:r>
        <w:br/>
        <w:t>\tag{3.5957}</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e_{t+h}=Y_{t+h}^{\mathrm{obs}}-\widehat{Y}_{t+h\mid t}\qquad\text{(3.5957)}</w:t>
      </w:r>
    </w:p>
    <w:p w:rsidR="00161B88" w:rsidRDefault="00161B88" w:rsidP="00161B88">
      <w:pPr>
        <w:pStyle w:val="StandardWeb"/>
      </w:pPr>
      <w:r>
        <w:t>Der absolute Prognosefehler lautet</w:t>
      </w:r>
    </w:p>
    <w:p w:rsidR="00161B88" w:rsidRDefault="00161B88" w:rsidP="00161B88">
      <w:pPr>
        <w:pStyle w:val="StandardWeb"/>
      </w:pPr>
      <w:r>
        <w:lastRenderedPageBreak/>
        <w:t>[</w:t>
      </w:r>
      <w:r>
        <w:br/>
        <w:t>|e_{t+h}|.</w:t>
      </w:r>
      <w:r>
        <w:br/>
        <w:t>\tag{3.5958}</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|e_{t+h}|\qquad\text{(3.5958)}</w:t>
      </w:r>
    </w:p>
    <w:p w:rsidR="00161B88" w:rsidRDefault="00161B88" w:rsidP="00161B88">
      <w:pPr>
        <w:pStyle w:val="StandardWeb"/>
      </w:pPr>
      <w:r>
        <w:t>Der quadratische Prognosefehler lautet</w:t>
      </w:r>
    </w:p>
    <w:p w:rsidR="00161B88" w:rsidRDefault="00161B88" w:rsidP="00161B88">
      <w:pPr>
        <w:pStyle w:val="StandardWeb"/>
      </w:pPr>
      <w:r>
        <w:t>[</w:t>
      </w:r>
      <w:r>
        <w:br/>
        <w:t>e_{t+h}^{2}.</w:t>
      </w:r>
      <w:r>
        <w:br/>
        <w:t>\tag{3.5959}</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e_{t+h}^{2}\qquad\text{(3.5959)}</w:t>
      </w:r>
    </w:p>
    <w:p w:rsidR="00161B88" w:rsidRPr="00AF32B2" w:rsidRDefault="00161B88" w:rsidP="00AF32B2">
      <w:pPr>
        <w:pStyle w:val="berschrift4"/>
      </w:pPr>
      <w:r w:rsidRPr="00AF32B2">
        <w:t>3.3.35.6 Mittlerer absoluter Prognosefehler</w:t>
      </w:r>
    </w:p>
    <w:p w:rsidR="00161B88" w:rsidRDefault="00161B88" w:rsidP="00161B88">
      <w:pPr>
        <w:pStyle w:val="StandardWeb"/>
      </w:pPr>
      <w:r>
        <w:t>Für (n) Prognosen lautet der mittlere absolute Fehler</w:t>
      </w:r>
    </w:p>
    <w:p w:rsidR="00161B88" w:rsidRDefault="00161B88" w:rsidP="00161B88">
      <w:pPr>
        <w:pStyle w:val="berschrift1"/>
      </w:pPr>
      <w:r>
        <w:t>[</w:t>
      </w:r>
      <w:r>
        <w:br/>
        <w:t>\operatorname{MAE}</w:t>
      </w:r>
    </w:p>
    <w:p w:rsidR="00161B88" w:rsidRDefault="00161B88" w:rsidP="00161B88">
      <w:pPr>
        <w:pStyle w:val="StandardWeb"/>
      </w:pPr>
      <w:r>
        <w:t>\frac{1}{n}</w:t>
      </w:r>
      <w:r>
        <w:br/>
        <w:t>\sum_{i=1}^{n}</w:t>
      </w:r>
      <w:r>
        <w:br/>
        <w:t>\left|</w:t>
      </w:r>
      <w:r>
        <w:br/>
        <w:t>Y_i-\widehat{Y}_i</w:t>
      </w:r>
      <w:r>
        <w:br/>
        <w:t>\right|.</w:t>
      </w:r>
      <w:r>
        <w:br/>
        <w:t>\tag{3.5960}</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\operatorname{MAE}=\frac{1}{n}\sum_{i=1}^{n}\left|Y_i-\widehat{Y}_i\right|\qquad\text{(3.5960)}</w:t>
      </w:r>
    </w:p>
    <w:p w:rsidR="00161B88" w:rsidRDefault="00161B88" w:rsidP="00161B88">
      <w:pPr>
        <w:pStyle w:val="StandardWeb"/>
      </w:pPr>
      <w:r>
        <w:t>Der MAE besitzt dieselbe Einheit wie die Zielgröße.</w:t>
      </w:r>
    </w:p>
    <w:p w:rsidR="00161B88" w:rsidRPr="00AF32B2" w:rsidRDefault="00161B88" w:rsidP="00AF32B2">
      <w:pPr>
        <w:pStyle w:val="berschrift4"/>
      </w:pPr>
      <w:r w:rsidRPr="00AF32B2">
        <w:t>3.3.35.7 Mittlerer quadratischer Prognosefehler</w:t>
      </w:r>
    </w:p>
    <w:p w:rsidR="00161B88" w:rsidRDefault="00161B88" w:rsidP="00161B88">
      <w:pPr>
        <w:pStyle w:val="StandardWeb"/>
      </w:pPr>
      <w:r>
        <w:t>Der mittlere quadratische Fehler lautet</w:t>
      </w:r>
    </w:p>
    <w:p w:rsidR="00161B88" w:rsidRDefault="00161B88" w:rsidP="00161B88">
      <w:pPr>
        <w:pStyle w:val="berschrift1"/>
      </w:pPr>
      <w:r>
        <w:t>[</w:t>
      </w:r>
      <w:r>
        <w:br/>
        <w:t>\operatorname{MSE}</w:t>
      </w:r>
    </w:p>
    <w:p w:rsidR="00161B88" w:rsidRDefault="00161B88" w:rsidP="00161B88">
      <w:pPr>
        <w:pStyle w:val="StandardWeb"/>
      </w:pPr>
      <w:r>
        <w:lastRenderedPageBreak/>
        <w:t>\frac{1}{n}</w:t>
      </w:r>
      <w:r>
        <w:br/>
        <w:t>\sum_{i=1}^{n}</w:t>
      </w:r>
      <w:r>
        <w:br/>
        <w:t>\left(</w:t>
      </w:r>
      <w:r>
        <w:br/>
        <w:t>Y_i-\widehat{Y}_i</w:t>
      </w:r>
      <w:r>
        <w:br/>
        <w:t>\right)^2.</w:t>
      </w:r>
      <w:r>
        <w:br/>
        <w:t>\tag{3.5961}</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\operatorname{MSE}=\frac{1}{n}\sum_{i=1}^{n}\left(Y_i-\widehat{Y}_i\right)^2\qquad\text{(3.5961)}</w:t>
      </w:r>
    </w:p>
    <w:p w:rsidR="00161B88" w:rsidRDefault="00161B88" w:rsidP="00161B88">
      <w:pPr>
        <w:pStyle w:val="StandardWeb"/>
      </w:pPr>
      <w:r>
        <w:t>Die Quadratwurzel daraus ist</w:t>
      </w:r>
    </w:p>
    <w:p w:rsidR="00161B88" w:rsidRDefault="00161B88" w:rsidP="00161B88">
      <w:pPr>
        <w:pStyle w:val="berschrift1"/>
      </w:pPr>
      <w:r>
        <w:t>[</w:t>
      </w:r>
      <w:r>
        <w:br/>
        <w:t>\operatorname{RMSE}</w:t>
      </w:r>
    </w:p>
    <w:p w:rsidR="00161B88" w:rsidRDefault="00161B88" w:rsidP="00161B88">
      <w:pPr>
        <w:pStyle w:val="StandardWeb"/>
      </w:pPr>
      <w:r>
        <w:t>\sqrt{</w:t>
      </w:r>
      <w:r>
        <w:br/>
        <w:t>\frac{1}{n}</w:t>
      </w:r>
      <w:r>
        <w:br/>
        <w:t>\sum_{i=1}^{n}</w:t>
      </w:r>
      <w:r>
        <w:br/>
        <w:t>\left(</w:t>
      </w:r>
      <w:r>
        <w:br/>
        <w:t>Y_i-\widehat{Y}_i</w:t>
      </w:r>
      <w:r>
        <w:br/>
        <w:t>\right)^2</w:t>
      </w:r>
      <w:r>
        <w:br/>
        <w:t>}.</w:t>
      </w:r>
      <w:r>
        <w:br/>
        <w:t>\tag{3.5962}</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\operatorname{RMSE}=\sqrt{\frac{1}{n}\sum_{i=1}^{n}\left(Y_i-\widehat{Y}_i\right)^2}\qquad\text{(3.5962)}</w:t>
      </w:r>
    </w:p>
    <w:p w:rsidR="00161B88" w:rsidRDefault="00161B88" w:rsidP="00161B88">
      <w:pPr>
        <w:pStyle w:val="StandardWeb"/>
      </w:pPr>
      <w:r>
        <w:t>Der RMSE gewichtet große Prognosefehler stärker als der MAE.</w:t>
      </w:r>
    </w:p>
    <w:p w:rsidR="00161B88" w:rsidRPr="00AF32B2" w:rsidRDefault="00161B88" w:rsidP="00AF32B2">
      <w:pPr>
        <w:pStyle w:val="berschrift4"/>
      </w:pPr>
      <w:r w:rsidRPr="00AF32B2">
        <w:t>3.3.35.8 Relativer Prognosefehler</w:t>
      </w:r>
    </w:p>
    <w:p w:rsidR="00161B88" w:rsidRDefault="00161B88" w:rsidP="00161B88">
      <w:pPr>
        <w:pStyle w:val="StandardWeb"/>
      </w:pPr>
      <w:r>
        <w:t>Ein relativer Prognosefehler kann geschrieben werden als</w:t>
      </w:r>
    </w:p>
    <w:p w:rsidR="00161B88" w:rsidRDefault="00161B88" w:rsidP="00161B88">
      <w:pPr>
        <w:pStyle w:val="berschrift1"/>
      </w:pPr>
      <w:r>
        <w:t>[</w:t>
      </w:r>
      <w:r>
        <w:br/>
        <w:t>e_{i}^{\mathrm{rel}}</w:t>
      </w:r>
    </w:p>
    <w:p w:rsidR="00161B88" w:rsidRDefault="00161B88" w:rsidP="00161B88">
      <w:pPr>
        <w:pStyle w:val="StandardWeb"/>
      </w:pPr>
      <w:r>
        <w:t>\frac{</w:t>
      </w:r>
      <w:r>
        <w:br/>
        <w:t>Y_i-\widehat{Y}_i</w:t>
      </w:r>
      <w:r>
        <w:br/>
        <w:t>}{</w:t>
      </w:r>
      <w:r>
        <w:br/>
        <w:t>Y_i</w:t>
      </w:r>
      <w:r>
        <w:br/>
        <w:t>}.</w:t>
      </w:r>
      <w:r>
        <w:br/>
        <w:t>\tag{3.5963}</w:t>
      </w:r>
      <w:r>
        <w:br/>
        <w:t>]</w:t>
      </w:r>
    </w:p>
    <w:p w:rsidR="00161B88" w:rsidRDefault="00161B88" w:rsidP="00161B88">
      <w:pPr>
        <w:pStyle w:val="StandardWeb"/>
      </w:pPr>
      <w:r>
        <w:rPr>
          <w:rStyle w:val="Fett"/>
        </w:rPr>
        <w:lastRenderedPageBreak/>
        <w:t>Word-LaTeX</w:t>
      </w:r>
    </w:p>
    <w:p w:rsidR="00161B88" w:rsidRDefault="00161B88" w:rsidP="00161B88">
      <w:pPr>
        <w:pStyle w:val="HTMLVorformatiert"/>
        <w:rPr>
          <w:rStyle w:val="HTMLCode"/>
        </w:rPr>
      </w:pPr>
      <w:r>
        <w:rPr>
          <w:rStyle w:val="HTMLCode"/>
        </w:rPr>
        <w:t>e_{i}^{\mathrm{rel}}=\frac{Y_i-\widehat{Y}_i}{Y_i}\qquad\text{(3.5963)}</w:t>
      </w:r>
    </w:p>
    <w:p w:rsidR="00161B88" w:rsidRDefault="00161B88" w:rsidP="00161B88">
      <w:pPr>
        <w:pStyle w:val="StandardWeb"/>
      </w:pPr>
      <w:r>
        <w:t>Diese Darstellung ist problematisch, wenn (Y_i=0) oder nahe null liegt.</w:t>
      </w:r>
    </w:p>
    <w:p w:rsidR="00161B88" w:rsidRDefault="00161B88" w:rsidP="00161B88">
      <w:pPr>
        <w:pStyle w:val="StandardWeb"/>
      </w:pPr>
      <w:r>
        <w:t>Ein mittlerer absoluter prozentualer Fehler lautet</w:t>
      </w:r>
    </w:p>
    <w:p w:rsidR="00161B88" w:rsidRDefault="00161B88" w:rsidP="00161B88">
      <w:pPr>
        <w:pStyle w:val="berschrift1"/>
      </w:pPr>
      <w:r>
        <w:t>[</w:t>
      </w:r>
      <w:r>
        <w:br/>
        <w:t>\operatorname{MAPE}</w:t>
      </w:r>
    </w:p>
    <w:p w:rsidR="00161B88" w:rsidRDefault="00161B88" w:rsidP="00161B88">
      <w:pPr>
        <w:pStyle w:val="StandardWeb"/>
      </w:pPr>
      <w:r>
        <w:t>\frac{100}{n}</w:t>
      </w:r>
      <w:r>
        <w:br/>
        <w:t>\sum_{i=1}^{n}</w:t>
      </w:r>
      <w:r>
        <w:br/>
        <w:t>\left|</w:t>
      </w:r>
      <w:r>
        <w:br/>
        <w:t>\frac{</w:t>
      </w:r>
      <w:r>
        <w:br/>
        <w:t>Y_i-\widehat{Y}_i</w:t>
      </w:r>
      <w:r>
        <w:br/>
        <w:t>}{</w:t>
      </w:r>
      <w:r>
        <w:br/>
        <w:t>Y_i</w:t>
      </w:r>
      <w:r>
        <w:br/>
        <w:t>}</w:t>
      </w:r>
      <w:r>
        <w:br/>
        <w:t>\right|.</w:t>
      </w:r>
      <w:r>
        <w:br/>
        <w:t>\tag{3.5964}</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\operatorname{MAPE}=\frac{100}{n}\sum_{i=1}^{n}\left|\frac{Y_i-\widehat{Y}_i}{Y_i}\right|\qquad\text{(3.5964)}</w:t>
      </w:r>
    </w:p>
    <w:p w:rsidR="00161B88" w:rsidRDefault="00161B88" w:rsidP="00161B88">
      <w:pPr>
        <w:pStyle w:val="StandardWeb"/>
      </w:pPr>
      <w:r>
        <w:t>Ich verwende relative Fehlermaße deshalb nur, wenn die Skala und der Wertebereich dies zulassen.</w:t>
      </w:r>
    </w:p>
    <w:p w:rsidR="00161B88" w:rsidRPr="00AF32B2" w:rsidRDefault="00161B88" w:rsidP="00AF32B2">
      <w:pPr>
        <w:pStyle w:val="berschrift4"/>
      </w:pPr>
      <w:r w:rsidRPr="00AF32B2">
        <w:t>3.3.35.9 Prognoseverteilung</w:t>
      </w:r>
    </w:p>
    <w:p w:rsidR="00161B88" w:rsidRDefault="00161B88" w:rsidP="00161B88">
      <w:pPr>
        <w:pStyle w:val="StandardWeb"/>
      </w:pPr>
      <w:r>
        <w:t>Eine probabilistische Prognose lautet</w:t>
      </w:r>
    </w:p>
    <w:p w:rsidR="00161B88" w:rsidRDefault="00161B88" w:rsidP="00161B88">
      <w:pPr>
        <w:pStyle w:val="StandardWeb"/>
      </w:pPr>
      <w:r>
        <w:t>[</w:t>
      </w:r>
      <w:r>
        <w:br/>
        <w:t>Y_{t+h}</w:t>
      </w:r>
      <w:r>
        <w:br/>
        <w:t>\mid</w:t>
      </w:r>
      <w:r>
        <w:br/>
        <w:t>\mathcal{I}</w:t>
      </w:r>
      <w:r>
        <w:rPr>
          <w:rStyle w:val="Hervorhebung"/>
        </w:rPr>
        <w:t>{t}</w:t>
      </w:r>
      <w:r>
        <w:rPr>
          <w:i/>
          <w:iCs/>
        </w:rPr>
        <w:br/>
      </w:r>
      <w:r>
        <w:rPr>
          <w:rStyle w:val="Hervorhebung"/>
        </w:rPr>
        <w:t>\sim</w:t>
      </w:r>
      <w:r>
        <w:rPr>
          <w:i/>
          <w:iCs/>
        </w:rPr>
        <w:br/>
      </w:r>
      <w:r>
        <w:rPr>
          <w:rStyle w:val="Hervorhebung"/>
        </w:rPr>
        <w:t>\mathcal{P}</w:t>
      </w:r>
      <w:r>
        <w:t>{t+h\mid t}.</w:t>
      </w:r>
      <w:r>
        <w:br/>
        <w:t>\tag{3.5965}</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Y_{t+h}\mid\mathcal{I}_{t}\sim\mathcal{P}_{t+h\mid t}\qquad\text{(3.5965)}</w:t>
      </w:r>
    </w:p>
    <w:p w:rsidR="00161B88" w:rsidRDefault="00161B88" w:rsidP="00161B88">
      <w:pPr>
        <w:pStyle w:val="StandardWeb"/>
      </w:pPr>
      <w:r>
        <w:t>Die Prognoseverteilung enthält mehr Information als eine einzelne Punktprognose.</w:t>
      </w:r>
    </w:p>
    <w:p w:rsidR="00161B88" w:rsidRDefault="00161B88" w:rsidP="00161B88">
      <w:pPr>
        <w:pStyle w:val="StandardWeb"/>
      </w:pPr>
      <w:r>
        <w:lastRenderedPageBreak/>
        <w:t>Ein Prognoseintervall lautet</w:t>
      </w:r>
    </w:p>
    <w:p w:rsidR="00161B88" w:rsidRDefault="00161B88" w:rsidP="00161B88">
      <w:pPr>
        <w:pStyle w:val="berschrift1"/>
      </w:pPr>
      <w:r>
        <w:t>[</w:t>
      </w:r>
      <w:r>
        <w:br/>
        <w:t>I_{t+h\mid t}^{(1-\alpha)}</w:t>
      </w:r>
    </w:p>
    <w:p w:rsidR="00161B88" w:rsidRDefault="00161B88" w:rsidP="00161B88">
      <w:pPr>
        <w:pStyle w:val="StandardWeb"/>
      </w:pPr>
      <w:r>
        <w:t>\left[</w:t>
      </w:r>
      <w:r>
        <w:br/>
        <w:t>L_{t+h\mid t},</w:t>
      </w:r>
      <w:r>
        <w:br/>
        <w:t>U_{t+h\mid t}</w:t>
      </w:r>
      <w:r>
        <w:br/>
        <w:t>\right].</w:t>
      </w:r>
      <w:r>
        <w:br/>
        <w:t>\tag{3.5966}</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I_{t+h\mid t}^{(1-\alpha)}=\left[L_{t+h\mid t},U_{t+h\mid t}\right]\qquad\text{(3.5966)}</w:t>
      </w:r>
    </w:p>
    <w:p w:rsidR="00161B88" w:rsidRPr="00AF32B2" w:rsidRDefault="00161B88" w:rsidP="00AF32B2">
      <w:pPr>
        <w:pStyle w:val="berschrift4"/>
      </w:pPr>
      <w:r w:rsidRPr="00AF32B2">
        <w:t>3.3.35.10 Prognoseintervallabdeckung</w:t>
      </w:r>
    </w:p>
    <w:p w:rsidR="00161B88" w:rsidRDefault="00161B88" w:rsidP="00161B88">
      <w:pPr>
        <w:pStyle w:val="StandardWeb"/>
      </w:pPr>
      <w:r>
        <w:t>Die empirische Abdeckung eines Prognoseintervalls lautet</w:t>
      </w:r>
    </w:p>
    <w:p w:rsidR="00161B88" w:rsidRDefault="00161B88" w:rsidP="00161B88">
      <w:pPr>
        <w:pStyle w:val="berschrift1"/>
      </w:pPr>
      <w:r>
        <w:t>[</w:t>
      </w:r>
      <w:r>
        <w:br/>
        <w:t>\widehat{c}_{1-\alpha}</w:t>
      </w:r>
    </w:p>
    <w:p w:rsidR="00161B88" w:rsidRDefault="00161B88" w:rsidP="00161B88">
      <w:pPr>
        <w:pStyle w:val="StandardWeb"/>
      </w:pPr>
      <w:r>
        <w:t>\frac{1}{n}</w:t>
      </w:r>
      <w:r>
        <w:br/>
        <w:t>\sum_{i=1}^{n}</w:t>
      </w:r>
      <w:r>
        <w:br/>
        <w:t>\mathbf{1}</w:t>
      </w:r>
      <w:r>
        <w:br/>
        <w:t>\left{</w:t>
      </w:r>
      <w:r>
        <w:br/>
        <w:t>Y_i</w:t>
      </w:r>
      <w:r>
        <w:br/>
        <w:t>\in</w:t>
      </w:r>
      <w:r>
        <w:br/>
        <w:t>I_i^{(1-\alpha)}</w:t>
      </w:r>
      <w:r>
        <w:br/>
        <w:t>\right}.</w:t>
      </w:r>
      <w:r>
        <w:br/>
        <w:t>\tag{3.5967}</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\widehat{c}_{1-\alpha}=\frac{1}{n}\sum_{i=1}^{n}\mathbf{1}\left\{Y_i\in I_i^{(1-\alpha)}\right\}\qquad\text{(3.5967)}</w:t>
      </w:r>
    </w:p>
    <w:p w:rsidR="00161B88" w:rsidRDefault="00161B88" w:rsidP="00161B88">
      <w:pPr>
        <w:pStyle w:val="StandardWeb"/>
      </w:pPr>
      <w:r>
        <w:t>Eine kalibrierte Intervallprognose sollte näherungsweise erfüllen</w:t>
      </w:r>
    </w:p>
    <w:p w:rsidR="00161B88" w:rsidRDefault="00161B88" w:rsidP="00161B88">
      <w:pPr>
        <w:pStyle w:val="StandardWeb"/>
      </w:pPr>
      <w:r>
        <w:t>[</w:t>
      </w:r>
      <w:r>
        <w:br/>
        <w:t>\widehat{c}_{1-\alpha}</w:t>
      </w:r>
      <w:r>
        <w:br/>
        <w:t>\approx</w:t>
      </w:r>
      <w:r>
        <w:br/>
        <w:t>1-\alpha.</w:t>
      </w:r>
      <w:r>
        <w:br/>
        <w:t>\tag{3.5968}</w:t>
      </w:r>
      <w:r>
        <w:br/>
        <w:t>]</w:t>
      </w:r>
    </w:p>
    <w:p w:rsidR="00161B88" w:rsidRDefault="00161B88" w:rsidP="00161B88">
      <w:pPr>
        <w:pStyle w:val="StandardWeb"/>
      </w:pPr>
      <w:r>
        <w:rPr>
          <w:rStyle w:val="Fett"/>
        </w:rPr>
        <w:lastRenderedPageBreak/>
        <w:t>Word-LaTeX</w:t>
      </w:r>
    </w:p>
    <w:p w:rsidR="00161B88" w:rsidRDefault="00161B88" w:rsidP="00161B88">
      <w:pPr>
        <w:pStyle w:val="HTMLVorformatiert"/>
        <w:rPr>
          <w:rStyle w:val="HTMLCode"/>
        </w:rPr>
      </w:pPr>
      <w:r>
        <w:rPr>
          <w:rStyle w:val="HTMLCode"/>
        </w:rPr>
        <w:t>\widehat{c}_{1-\alpha}\approx1-\alpha\qquad\text{(3.5968)}</w:t>
      </w:r>
    </w:p>
    <w:p w:rsidR="00161B88" w:rsidRDefault="00161B88" w:rsidP="00161B88">
      <w:pPr>
        <w:pStyle w:val="StandardWeb"/>
      </w:pPr>
      <w:r>
        <w:t>Eine hohe Abdeckung allein reicht jedoch nicht aus, wenn die Intervalle beliebig breit sind.</w:t>
      </w:r>
    </w:p>
    <w:p w:rsidR="00161B88" w:rsidRPr="00AF32B2" w:rsidRDefault="00161B88" w:rsidP="00AF32B2">
      <w:pPr>
        <w:pStyle w:val="berschrift4"/>
      </w:pPr>
      <w:r w:rsidRPr="00AF32B2">
        <w:t>3.3.35.11 Intervallbreite</w:t>
      </w:r>
    </w:p>
    <w:p w:rsidR="00161B88" w:rsidRDefault="00161B88" w:rsidP="00161B88">
      <w:pPr>
        <w:pStyle w:val="StandardWeb"/>
      </w:pPr>
      <w:r>
        <w:t>Die Breite eines Prognoseintervalls lautet</w:t>
      </w:r>
    </w:p>
    <w:p w:rsidR="00161B88" w:rsidRDefault="00161B88" w:rsidP="00161B88">
      <w:pPr>
        <w:pStyle w:val="berschrift1"/>
      </w:pPr>
      <w:r>
        <w:t>[</w:t>
      </w:r>
      <w:r>
        <w:br/>
        <w:t>w_i</w:t>
      </w:r>
    </w:p>
    <w:p w:rsidR="00161B88" w:rsidRDefault="00161B88" w:rsidP="00161B88">
      <w:pPr>
        <w:pStyle w:val="StandardWeb"/>
      </w:pPr>
      <w:r>
        <w:t>U_i-L_i.</w:t>
      </w:r>
      <w:r>
        <w:br/>
        <w:t>\tag{3.5969}</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w_i=U_i-L_i\qquad\text{(3.5969)}</w:t>
      </w:r>
    </w:p>
    <w:p w:rsidR="00161B88" w:rsidRDefault="00161B88" w:rsidP="00161B88">
      <w:pPr>
        <w:pStyle w:val="StandardWeb"/>
      </w:pPr>
      <w:r>
        <w:t>Die mittlere Intervallbreite lautet</w:t>
      </w:r>
    </w:p>
    <w:p w:rsidR="00161B88" w:rsidRDefault="00161B88" w:rsidP="00161B88">
      <w:pPr>
        <w:pStyle w:val="berschrift1"/>
      </w:pPr>
      <w:r>
        <w:t>[</w:t>
      </w:r>
      <w:r>
        <w:br/>
        <w:t>\overline{w}</w:t>
      </w:r>
    </w:p>
    <w:p w:rsidR="00161B88" w:rsidRDefault="00161B88" w:rsidP="00161B88">
      <w:pPr>
        <w:pStyle w:val="StandardWeb"/>
      </w:pPr>
      <w:r>
        <w:t>\frac{1}{n}</w:t>
      </w:r>
      <w:r>
        <w:br/>
        <w:t>\sum_{i=1}^{n}</w:t>
      </w:r>
      <w:r>
        <w:br/>
        <w:t>w_i.</w:t>
      </w:r>
      <w:r>
        <w:br/>
        <w:t>\tag{3.5970}</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\overline{w}=\frac{1}{n}\sum_{i=1}^{n}w_i\qquad\text{(3.5970)}</w:t>
      </w:r>
    </w:p>
    <w:p w:rsidR="00161B88" w:rsidRDefault="00161B88" w:rsidP="00161B88">
      <w:pPr>
        <w:pStyle w:val="StandardWeb"/>
      </w:pPr>
      <w:r>
        <w:t>Eine gute probabilistische Prognose muss deshalb Kalibrierung und Schärfe gemeinsam berücksichtigen.</w:t>
      </w:r>
    </w:p>
    <w:p w:rsidR="00161B88" w:rsidRPr="00AF32B2" w:rsidRDefault="00161B88" w:rsidP="00AF32B2">
      <w:pPr>
        <w:pStyle w:val="berschrift4"/>
      </w:pPr>
      <w:r w:rsidRPr="00AF32B2">
        <w:t>3.3.35.12 Kalibrierung binärer Prognosen</w:t>
      </w:r>
    </w:p>
    <w:p w:rsidR="00161B88" w:rsidRDefault="00161B88" w:rsidP="00161B88">
      <w:pPr>
        <w:pStyle w:val="StandardWeb"/>
      </w:pPr>
      <w:r>
        <w:t>Sei</w:t>
      </w:r>
    </w:p>
    <w:p w:rsidR="00161B88" w:rsidRDefault="00161B88" w:rsidP="00161B88">
      <w:pPr>
        <w:pStyle w:val="berschrift1"/>
      </w:pPr>
      <w:r>
        <w:t>[</w:t>
      </w:r>
      <w:r>
        <w:br/>
        <w:t>p_i</w:t>
      </w:r>
    </w:p>
    <w:p w:rsidR="00161B88" w:rsidRDefault="00161B88" w:rsidP="00161B88">
      <w:pPr>
        <w:pStyle w:val="StandardWeb"/>
      </w:pPr>
      <w:r>
        <w:lastRenderedPageBreak/>
        <w:t>\Pr</w:t>
      </w:r>
      <w:r>
        <w:br/>
        <w:t>\left(</w:t>
      </w:r>
      <w:r>
        <w:br/>
        <w:t>Y_i=1</w:t>
      </w:r>
      <w:r>
        <w:br/>
        <w:t>\mid</w:t>
      </w:r>
      <w:r>
        <w:br/>
        <w:t>\mathcal{I}_{i}</w:t>
      </w:r>
      <w:r>
        <w:br/>
        <w:t>\right)</w:t>
      </w:r>
      <w:r>
        <w:br/>
        <w:t>\tag{3.5971}</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p_i=\Pr\left(Y_i=1\mid\mathcal{I}_{i}\right)\qquad\text{(3.5971)}</w:t>
      </w:r>
    </w:p>
    <w:p w:rsidR="00161B88" w:rsidRDefault="00161B88" w:rsidP="00161B88">
      <w:pPr>
        <w:pStyle w:val="StandardWeb"/>
      </w:pPr>
      <w:r>
        <w:t>die vorhergesagte Wahrscheinlichkeit eines binären Ereignisses.</w:t>
      </w:r>
    </w:p>
    <w:p w:rsidR="00161B88" w:rsidRDefault="00161B88" w:rsidP="00161B88">
      <w:pPr>
        <w:pStyle w:val="StandardWeb"/>
      </w:pPr>
      <w:r>
        <w:t>Kalibrierung verlangt näherungsweise</w:t>
      </w:r>
    </w:p>
    <w:p w:rsidR="00161B88" w:rsidRDefault="00161B88" w:rsidP="00161B88">
      <w:pPr>
        <w:pStyle w:val="berschrift1"/>
      </w:pPr>
      <w:r>
        <w:t>[</w:t>
      </w:r>
      <w:r>
        <w:br/>
        <w:t>\Pr</w:t>
      </w:r>
      <w:r>
        <w:br/>
        <w:t>\left(</w:t>
      </w:r>
      <w:r>
        <w:br/>
        <w:t>Y=1</w:t>
      </w:r>
      <w:r>
        <w:br/>
        <w:t>\mid</w:t>
      </w:r>
      <w:r>
        <w:br/>
        <w:t>p</w:t>
      </w:r>
      <w:r>
        <w:br/>
        <w:t>\right)</w:t>
      </w:r>
    </w:p>
    <w:p w:rsidR="00161B88" w:rsidRDefault="00161B88" w:rsidP="00161B88">
      <w:pPr>
        <w:pStyle w:val="StandardWeb"/>
      </w:pPr>
      <w:r>
        <w:t>p.</w:t>
      </w:r>
      <w:r>
        <w:br/>
        <w:t>\tag{3.5972}</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\Pr\left(Y=1\mid p\right)=p\qquad\text{(3.5972)}</w:t>
      </w:r>
    </w:p>
    <w:p w:rsidR="00161B88" w:rsidRDefault="00161B88" w:rsidP="00161B88">
      <w:pPr>
        <w:pStyle w:val="StandardWeb"/>
      </w:pPr>
      <w:r>
        <w:t>Wenn ein Ereignis mit Wahrscheinlichkeit (0{,}8) vorhergesagt wird, sollte es in einer großen Menge vergleichbarer Fälle ungefähr in achtzig Prozent der Fälle eintreten.</w:t>
      </w:r>
    </w:p>
    <w:p w:rsidR="00161B88" w:rsidRPr="00AF32B2" w:rsidRDefault="00161B88" w:rsidP="00AF32B2">
      <w:pPr>
        <w:pStyle w:val="berschrift4"/>
      </w:pPr>
      <w:r w:rsidRPr="00AF32B2">
        <w:t>3.3.35.13 Brier-Fehler</w:t>
      </w:r>
    </w:p>
    <w:p w:rsidR="00161B88" w:rsidRDefault="00161B88" w:rsidP="00161B88">
      <w:pPr>
        <w:pStyle w:val="StandardWeb"/>
      </w:pPr>
      <w:r>
        <w:t>Für binäre Ereignisse lautet der Brier-Fehler</w:t>
      </w:r>
    </w:p>
    <w:p w:rsidR="00161B88" w:rsidRDefault="00161B88" w:rsidP="00161B88">
      <w:pPr>
        <w:pStyle w:val="berschrift1"/>
      </w:pPr>
      <w:r>
        <w:t>[</w:t>
      </w:r>
      <w:r>
        <w:br/>
        <w:t>\operatorname{BS}</w:t>
      </w:r>
    </w:p>
    <w:p w:rsidR="00161B88" w:rsidRDefault="00161B88" w:rsidP="00161B88">
      <w:pPr>
        <w:pStyle w:val="StandardWeb"/>
      </w:pPr>
      <w:r>
        <w:lastRenderedPageBreak/>
        <w:t>\frac{1}{n}</w:t>
      </w:r>
      <w:r>
        <w:br/>
        <w:t>\sum_{i=1}^{n}</w:t>
      </w:r>
      <w:r>
        <w:br/>
        <w:t>\left(</w:t>
      </w:r>
      <w:r>
        <w:br/>
        <w:t>p_i-y_i</w:t>
      </w:r>
      <w:r>
        <w:br/>
        <w:t>\right)^2.</w:t>
      </w:r>
      <w:r>
        <w:br/>
        <w:t>\tag{3.5973}</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\operatorname{BS}=\frac{1}{n}\sum_{i=1}^{n}\left(p_i-y_i\right)^2\qquad\text{(3.5973)}</w:t>
      </w:r>
    </w:p>
    <w:p w:rsidR="00161B88" w:rsidRDefault="00161B88" w:rsidP="00161B88">
      <w:pPr>
        <w:pStyle w:val="StandardWeb"/>
      </w:pPr>
      <w:r>
        <w:t>Dabei gilt</w:t>
      </w:r>
    </w:p>
    <w:p w:rsidR="00161B88" w:rsidRDefault="00161B88" w:rsidP="00161B88">
      <w:pPr>
        <w:pStyle w:val="StandardWeb"/>
      </w:pPr>
      <w:r>
        <w:t>[</w:t>
      </w:r>
      <w:r>
        <w:br/>
        <w:t>y_i</w:t>
      </w:r>
      <w:r>
        <w:br/>
        <w:t>\in</w:t>
      </w:r>
      <w:r>
        <w:br/>
        <w:t>{0,1}.</w:t>
      </w:r>
      <w:r>
        <w:br/>
        <w:t>\tag{3.5974}</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y_i\in\{0,1\}\qquad\text{(3.5974)}</w:t>
      </w:r>
    </w:p>
    <w:p w:rsidR="00161B88" w:rsidRDefault="00161B88" w:rsidP="00161B88">
      <w:pPr>
        <w:pStyle w:val="StandardWeb"/>
      </w:pPr>
      <w:r>
        <w:t>Ein kleinerer Brier-Fehler kennzeichnet eine bessere probabilistische Prognose.</w:t>
      </w:r>
    </w:p>
    <w:p w:rsidR="00161B88" w:rsidRPr="00AF32B2" w:rsidRDefault="00161B88" w:rsidP="00AF32B2">
      <w:pPr>
        <w:pStyle w:val="berschrift4"/>
      </w:pPr>
      <w:r w:rsidRPr="00AF32B2">
        <w:t>3.3.35.14 Referenzmodell</w:t>
      </w:r>
    </w:p>
    <w:p w:rsidR="00161B88" w:rsidRDefault="00161B88" w:rsidP="00161B88">
      <w:pPr>
        <w:pStyle w:val="StandardWeb"/>
      </w:pPr>
      <w:r>
        <w:t>Eine Prognose ist nur dann wissenschaftlich informativ, wenn sie mit einem angemessenen Referenzmodell verglichen wird.</w:t>
      </w:r>
    </w:p>
    <w:p w:rsidR="00161B88" w:rsidRDefault="00161B88" w:rsidP="00161B88">
      <w:pPr>
        <w:pStyle w:val="StandardWeb"/>
      </w:pPr>
      <w:r>
        <w:t>Das Referenzmodell lautet</w:t>
      </w:r>
    </w:p>
    <w:p w:rsidR="00161B88" w:rsidRDefault="00161B88" w:rsidP="00161B88">
      <w:pPr>
        <w:pStyle w:val="StandardWeb"/>
      </w:pPr>
      <w:r>
        <w:t>[</w:t>
      </w:r>
      <w:r>
        <w:br/>
        <w:t>\mathcal{B}_{F}.</w:t>
      </w:r>
      <w:r>
        <w:br/>
        <w:t>\tag{3.5975}</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\mathcal{B}_{F}\qquad\text{(3.5975)}</w:t>
      </w:r>
    </w:p>
    <w:p w:rsidR="00161B88" w:rsidRDefault="00161B88" w:rsidP="00161B88">
      <w:pPr>
        <w:pStyle w:val="StandardWeb"/>
      </w:pPr>
      <w:r>
        <w:t>Seine Prognose lautet</w:t>
      </w:r>
    </w:p>
    <w:p w:rsidR="00161B88" w:rsidRDefault="00161B88" w:rsidP="00161B88">
      <w:pPr>
        <w:pStyle w:val="StandardWeb"/>
      </w:pPr>
      <w:r>
        <w:t>[</w:t>
      </w:r>
      <w:r>
        <w:br/>
        <w:t>\widehat{Y}_{t+h\mid t}^{\mathrm{ref}}.</w:t>
      </w:r>
      <w:r>
        <w:br/>
        <w:t>\tag{3.5976}</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lastRenderedPageBreak/>
        <w:t>\widehat{Y}_{t+h\mid t}^{\mathrm{ref}}\qquad\text{(3.5976)}</w:t>
      </w:r>
    </w:p>
    <w:p w:rsidR="00161B88" w:rsidRDefault="00161B88" w:rsidP="00161B88">
      <w:pPr>
        <w:pStyle w:val="StandardWeb"/>
      </w:pPr>
      <w:r>
        <w:t>Ein einfaches Persistenzmodell kann beispielsweise lauten</w:t>
      </w:r>
    </w:p>
    <w:p w:rsidR="00161B88" w:rsidRDefault="00161B88" w:rsidP="00161B88">
      <w:pPr>
        <w:pStyle w:val="berschrift1"/>
      </w:pPr>
      <w:r>
        <w:t>[</w:t>
      </w:r>
      <w:r>
        <w:br/>
        <w:t>\widehat{Y}_{t+h\mid t}^{\mathrm{pers}}</w:t>
      </w:r>
    </w:p>
    <w:p w:rsidR="00161B88" w:rsidRDefault="00161B88" w:rsidP="00161B88">
      <w:pPr>
        <w:pStyle w:val="StandardWeb"/>
      </w:pPr>
      <w:r>
        <w:t>Y_t.</w:t>
      </w:r>
      <w:r>
        <w:br/>
        <w:t>\tag{3.5977}</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\widehat{Y}_{t+h\mid t}^{\mathrm{pers}}=Y_t\qquad\text{(3.5977)}</w:t>
      </w:r>
    </w:p>
    <w:p w:rsidR="00161B88" w:rsidRPr="00AF32B2" w:rsidRDefault="00161B88" w:rsidP="00AF32B2">
      <w:pPr>
        <w:pStyle w:val="berschrift4"/>
      </w:pPr>
      <w:r w:rsidRPr="00AF32B2">
        <w:t>3.3.35.15 Prognoseverbesserung gegenüber einem Referenzmodell</w:t>
      </w:r>
    </w:p>
    <w:p w:rsidR="00161B88" w:rsidRDefault="00161B88" w:rsidP="00161B88">
      <w:pPr>
        <w:pStyle w:val="StandardWeb"/>
      </w:pPr>
      <w:r>
        <w:t>Sei</w:t>
      </w:r>
    </w:p>
    <w:p w:rsidR="00161B88" w:rsidRDefault="00161B88" w:rsidP="00161B88">
      <w:pPr>
        <w:pStyle w:val="StandardWeb"/>
      </w:pPr>
      <w:r>
        <w:t>[</w:t>
      </w:r>
      <w:r>
        <w:br/>
        <w:t>L_{\mathrm{FRZK}}</w:t>
      </w:r>
      <w:r>
        <w:br/>
        <w:t>\tag{3.5978}</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L_{\mathrm{FRZK}}\qquad\text{(3.5978)}</w:t>
      </w:r>
    </w:p>
    <w:p w:rsidR="00161B88" w:rsidRDefault="00161B88" w:rsidP="00161B88">
      <w:pPr>
        <w:pStyle w:val="StandardWeb"/>
      </w:pPr>
      <w:r>
        <w:t>der Prognoseverlust des FRZK-Modells und</w:t>
      </w:r>
    </w:p>
    <w:p w:rsidR="00161B88" w:rsidRDefault="00161B88" w:rsidP="00161B88">
      <w:pPr>
        <w:pStyle w:val="StandardWeb"/>
      </w:pPr>
      <w:r>
        <w:t>[</w:t>
      </w:r>
      <w:r>
        <w:br/>
        <w:t>L_{\mathrm{ref}}</w:t>
      </w:r>
      <w:r>
        <w:br/>
        <w:t>\tag{3.5979}</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L_{\mathrm{ref}}\qquad\text{(3.5979)}</w:t>
      </w:r>
    </w:p>
    <w:p w:rsidR="00161B88" w:rsidRDefault="00161B88" w:rsidP="00161B88">
      <w:pPr>
        <w:pStyle w:val="StandardWeb"/>
      </w:pPr>
      <w:r>
        <w:t>der Verlust des Referenzmodells.</w:t>
      </w:r>
    </w:p>
    <w:p w:rsidR="00161B88" w:rsidRDefault="00161B88" w:rsidP="00161B88">
      <w:pPr>
        <w:pStyle w:val="StandardWeb"/>
      </w:pPr>
      <w:r>
        <w:t>Ein Prognosegewinn lautet</w:t>
      </w:r>
    </w:p>
    <w:p w:rsidR="00161B88" w:rsidRDefault="00161B88" w:rsidP="00161B88">
      <w:pPr>
        <w:pStyle w:val="berschrift1"/>
      </w:pPr>
      <w:r>
        <w:t>[</w:t>
      </w:r>
      <w:r>
        <w:br/>
        <w:t>G_{\mathrm{prog}}</w:t>
      </w:r>
    </w:p>
    <w:p w:rsidR="00161B88" w:rsidRDefault="00161B88" w:rsidP="00161B88">
      <w:pPr>
        <w:pStyle w:val="berschrift2"/>
      </w:pPr>
      <w:r>
        <w:t>L_{\mathrm{ref}}</w:t>
      </w:r>
    </w:p>
    <w:p w:rsidR="00161B88" w:rsidRDefault="00161B88" w:rsidP="00161B88">
      <w:pPr>
        <w:pStyle w:val="StandardWeb"/>
      </w:pPr>
      <w:r>
        <w:lastRenderedPageBreak/>
        <w:t>L_{\mathrm{FRZK}}.</w:t>
      </w:r>
      <w:r>
        <w:br/>
        <w:t>\tag{3.5980}</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G_{\mathrm{prog}}=L_{\mathrm{ref}}-L_{\mathrm{FRZK}}\qquad\text{(3.5980)}</w:t>
      </w:r>
    </w:p>
    <w:p w:rsidR="00161B88" w:rsidRDefault="00161B88" w:rsidP="00161B88">
      <w:pPr>
        <w:pStyle w:val="StandardWeb"/>
      </w:pPr>
      <w:r>
        <w:t>Eine Verbesserung gegenüber dem Referenzmodell liegt vor, wenn</w:t>
      </w:r>
    </w:p>
    <w:p w:rsidR="00161B88" w:rsidRDefault="00161B88" w:rsidP="00161B88">
      <w:pPr>
        <w:pStyle w:val="StandardWeb"/>
      </w:pPr>
      <w:r>
        <w:t>[</w:t>
      </w:r>
      <w:r>
        <w:br/>
        <w:t>G_{\mathrm{prog}}</w:t>
      </w:r>
    </w:p>
    <w:p w:rsidR="00161B88" w:rsidRDefault="00161B88" w:rsidP="00632D23">
      <w:pPr>
        <w:numPr>
          <w:ilvl w:val="0"/>
          <w:numId w:val="243"/>
        </w:numPr>
        <w:spacing w:before="100" w:beforeAutospacing="1" w:after="100" w:afterAutospacing="1"/>
      </w:pPr>
    </w:p>
    <w:p w:rsidR="00161B88" w:rsidRDefault="00161B88" w:rsidP="00161B88">
      <w:pPr>
        <w:pStyle w:val="StandardWeb"/>
      </w:pPr>
      <w:r>
        <w:t>\tag{3.5981}</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G_{\mathrm{prog}}&gt;0\qquad\text{(3.5981)}</w:t>
      </w:r>
    </w:p>
    <w:p w:rsidR="00161B88" w:rsidRDefault="00161B88" w:rsidP="00161B88">
      <w:pPr>
        <w:pStyle w:val="StandardWeb"/>
      </w:pPr>
      <w:r>
        <w:rPr>
          <w:rStyle w:val="Fett"/>
        </w:rPr>
        <w:t>Eigenleistung des FRZK</w:t>
      </w:r>
    </w:p>
    <w:p w:rsidR="00161B88" w:rsidRDefault="00161B88" w:rsidP="00161B88">
      <w:pPr>
        <w:pStyle w:val="StandardWeb"/>
      </w:pPr>
      <w:r>
        <w:t>Ich bewerte Prognosefähigkeit nicht allein anhand eines absoluten Fehlerwerts. Das FRZK-Modell muss zeigen, dass es gegenüber einem fachlich angemessenen einfachen Referenzmodell zusätzlichen Vorhersagewert erzeugt.</w:t>
      </w:r>
    </w:p>
    <w:p w:rsidR="00161B88" w:rsidRPr="00AF32B2" w:rsidRDefault="00161B88" w:rsidP="00AF32B2">
      <w:pPr>
        <w:pStyle w:val="berschrift4"/>
      </w:pPr>
      <w:r w:rsidRPr="00AF32B2">
        <w:t>3.3.35.16 Prognose-Skill</w:t>
      </w:r>
    </w:p>
    <w:p w:rsidR="00161B88" w:rsidRDefault="00161B88" w:rsidP="00161B88">
      <w:pPr>
        <w:pStyle w:val="StandardWeb"/>
      </w:pPr>
      <w:r>
        <w:t>Ein normierter Prognose-Skill kann definiert werden durch</w:t>
      </w:r>
    </w:p>
    <w:p w:rsidR="00161B88" w:rsidRDefault="00161B88" w:rsidP="00161B88">
      <w:pPr>
        <w:pStyle w:val="berschrift1"/>
      </w:pPr>
      <w:r>
        <w:t>[</w:t>
      </w:r>
      <w:r>
        <w:br/>
        <w:t>\operatorname{Skill}</w:t>
      </w:r>
    </w:p>
    <w:p w:rsidR="00161B88" w:rsidRDefault="00161B88" w:rsidP="00161B88">
      <w:pPr>
        <w:pStyle w:val="berschrift2"/>
      </w:pPr>
      <w:r>
        <w:t>1</w:t>
      </w:r>
    </w:p>
    <w:p w:rsidR="00161B88" w:rsidRDefault="00161B88" w:rsidP="00161B88">
      <w:pPr>
        <w:pStyle w:val="StandardWeb"/>
      </w:pPr>
      <w:r>
        <w:t>\frac{</w:t>
      </w:r>
      <w:r>
        <w:br/>
        <w:t>L_{\mathrm{FRZK}}</w:t>
      </w:r>
      <w:r>
        <w:br/>
        <w:t>}{</w:t>
      </w:r>
      <w:r>
        <w:br/>
        <w:t>L_{\mathrm{ref}}</w:t>
      </w:r>
      <w:r>
        <w:br/>
        <w:t>}.</w:t>
      </w:r>
      <w:r>
        <w:br/>
        <w:t>\tag{3.5982}</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\operatorname{Skill}=1-\frac{L_{\mathrm{FRZK}}}{L_{\mathrm{ref}}}\qquad\text{(3.5982)}</w:t>
      </w:r>
    </w:p>
    <w:p w:rsidR="00161B88" w:rsidRDefault="00161B88" w:rsidP="00161B88">
      <w:pPr>
        <w:pStyle w:val="StandardWeb"/>
      </w:pPr>
      <w:r>
        <w:lastRenderedPageBreak/>
        <w:t>Dabei gilt:</w:t>
      </w:r>
    </w:p>
    <w:p w:rsidR="00161B88" w:rsidRDefault="00161B88" w:rsidP="00161B88">
      <w:pPr>
        <w:pStyle w:val="StandardWeb"/>
      </w:pPr>
      <w:r>
        <w:t>[</w:t>
      </w:r>
      <w:r>
        <w:br/>
        <w:t>\operatorname{Skill}</w:t>
      </w:r>
    </w:p>
    <w:p w:rsidR="00161B88" w:rsidRDefault="00161B88" w:rsidP="00161B88">
      <w:pPr>
        <w:pStyle w:val="StandardWeb"/>
      </w:pPr>
      <w:r>
        <w:t>0</w:t>
      </w:r>
      <w:r>
        <w:br/>
        <w:t>\tag{3.5983}</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\operatorname{Skill}&gt;0\qquad\text{(3.5983)}</w:t>
      </w:r>
    </w:p>
    <w:p w:rsidR="00161B88" w:rsidRDefault="00161B88" w:rsidP="00161B88">
      <w:pPr>
        <w:pStyle w:val="StandardWeb"/>
      </w:pPr>
      <w:r>
        <w:t>für eine bessere Prognose als das Referenzmodell,</w:t>
      </w:r>
    </w:p>
    <w:p w:rsidR="00161B88" w:rsidRDefault="00161B88" w:rsidP="00161B88">
      <w:pPr>
        <w:pStyle w:val="berschrift1"/>
      </w:pPr>
      <w:r>
        <w:t>[</w:t>
      </w:r>
      <w:r>
        <w:br/>
        <w:t>\operatorname{Skill}</w:t>
      </w:r>
    </w:p>
    <w:p w:rsidR="00161B88" w:rsidRDefault="00161B88" w:rsidP="00161B88">
      <w:pPr>
        <w:pStyle w:val="StandardWeb"/>
      </w:pPr>
      <w:r>
        <w:t>0</w:t>
      </w:r>
      <w:r>
        <w:br/>
        <w:t>\tag{3.5984}</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\operatorname{Skill}=0\qquad\text{(3.5984)}</w:t>
      </w:r>
    </w:p>
    <w:p w:rsidR="00161B88" w:rsidRDefault="00161B88" w:rsidP="00161B88">
      <w:pPr>
        <w:pStyle w:val="StandardWeb"/>
      </w:pPr>
      <w:r>
        <w:t>für gleiche Leistung und</w:t>
      </w:r>
    </w:p>
    <w:p w:rsidR="00161B88" w:rsidRDefault="00161B88" w:rsidP="00161B88">
      <w:pPr>
        <w:pStyle w:val="StandardWeb"/>
      </w:pPr>
      <w:r>
        <w:t>[</w:t>
      </w:r>
      <w:r>
        <w:br/>
        <w:t>\operatorname{Skill}</w:t>
      </w:r>
      <w:r>
        <w:br/>
        <w:t>&lt;</w:t>
      </w:r>
      <w:r>
        <w:br/>
        <w:t>0</w:t>
      </w:r>
      <w:r>
        <w:br/>
        <w:t>\tag{3.5985}</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\operatorname{Skill}&lt;0\qquad\text{(3.5985)}</w:t>
      </w:r>
    </w:p>
    <w:p w:rsidR="00161B88" w:rsidRDefault="00161B88" w:rsidP="00161B88">
      <w:pPr>
        <w:pStyle w:val="StandardWeb"/>
      </w:pPr>
      <w:r>
        <w:t>für eine schlechtere Prognose.</w:t>
      </w:r>
    </w:p>
    <w:p w:rsidR="00161B88" w:rsidRPr="00AF32B2" w:rsidRDefault="00161B88" w:rsidP="00AF32B2">
      <w:pPr>
        <w:pStyle w:val="berschrift4"/>
      </w:pPr>
      <w:r w:rsidRPr="00AF32B2">
        <w:t>3.3.35.17 Zeitlich korrekte Datentrennung</w:t>
      </w:r>
    </w:p>
    <w:p w:rsidR="00161B88" w:rsidRDefault="00161B88" w:rsidP="00161B88">
      <w:pPr>
        <w:pStyle w:val="StandardWeb"/>
      </w:pPr>
      <w:r>
        <w:t>Eine Prognoseprüfung benötigt eine zeitliche Trennung von Trainings- und Prüfdaten.</w:t>
      </w:r>
    </w:p>
    <w:p w:rsidR="00161B88" w:rsidRDefault="00161B88" w:rsidP="00161B88">
      <w:pPr>
        <w:pStyle w:val="StandardWeb"/>
      </w:pPr>
      <w:r>
        <w:t>Die Trainingsdaten lauten</w:t>
      </w:r>
    </w:p>
    <w:p w:rsidR="00161B88" w:rsidRDefault="00161B88" w:rsidP="00161B88">
      <w:pPr>
        <w:pStyle w:val="berschrift1"/>
      </w:pPr>
      <w:r>
        <w:lastRenderedPageBreak/>
        <w:t>[</w:t>
      </w:r>
      <w:r>
        <w:br/>
        <w:t>\mathcal{D}_{\mathrm{train}}</w:t>
      </w:r>
    </w:p>
    <w:p w:rsidR="00161B88" w:rsidRDefault="00161B88" w:rsidP="00161B88">
      <w:pPr>
        <w:pStyle w:val="StandardWeb"/>
      </w:pPr>
      <w:r>
        <w:t>\mathcal{D}_{\leq t}.</w:t>
      </w:r>
      <w:r>
        <w:br/>
        <w:t>\tag{3.5986}</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\mathcal{D}_{\mathrm{train}}=\mathcal{D}_{\leq t}\qquad\text{(3.5986)}</w:t>
      </w:r>
    </w:p>
    <w:p w:rsidR="00161B88" w:rsidRDefault="00161B88" w:rsidP="00161B88">
      <w:pPr>
        <w:pStyle w:val="StandardWeb"/>
      </w:pPr>
      <w:r>
        <w:t>Die Prüfdaten lauten</w:t>
      </w:r>
    </w:p>
    <w:p w:rsidR="00161B88" w:rsidRDefault="00161B88" w:rsidP="00161B88">
      <w:pPr>
        <w:pStyle w:val="berschrift1"/>
      </w:pPr>
      <w:r>
        <w:t>[</w:t>
      </w:r>
      <w:r>
        <w:br/>
        <w:t>\mathcal{D}_{\mathrm{test}}</w:t>
      </w:r>
    </w:p>
    <w:p w:rsidR="00161B88" w:rsidRDefault="00161B88" w:rsidP="00161B88">
      <w:pPr>
        <w:pStyle w:val="StandardWeb"/>
      </w:pPr>
      <w:r>
        <w:t>\mathcal{D}_{&gt;t}.</w:t>
      </w:r>
      <w:r>
        <w:br/>
        <w:t>\tag{3.5987}</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\mathcal{D}_{\mathrm{test}}=\mathcal{D}_{&gt;t}\qquad\text{(3.5987)}</w:t>
      </w:r>
    </w:p>
    <w:p w:rsidR="00161B88" w:rsidRDefault="00161B88" w:rsidP="00161B88">
      <w:pPr>
        <w:pStyle w:val="StandardWeb"/>
      </w:pPr>
      <w:r>
        <w:t>Es muss gelten</w:t>
      </w:r>
    </w:p>
    <w:p w:rsidR="00161B88" w:rsidRDefault="00161B88" w:rsidP="00161B88">
      <w:pPr>
        <w:pStyle w:val="berschrift1"/>
      </w:pPr>
      <w:r>
        <w:t>[</w:t>
      </w:r>
      <w:r>
        <w:br/>
        <w:t>\mathcal{D}</w:t>
      </w:r>
      <w:r>
        <w:rPr>
          <w:rStyle w:val="Hervorhebung"/>
        </w:rPr>
        <w:t>{\mathrm{train}}</w:t>
      </w:r>
      <w:r>
        <w:rPr>
          <w:i/>
          <w:iCs/>
        </w:rPr>
        <w:br/>
      </w:r>
      <w:r>
        <w:rPr>
          <w:rStyle w:val="Hervorhebung"/>
        </w:rPr>
        <w:t>\cap</w:t>
      </w:r>
      <w:r>
        <w:rPr>
          <w:i/>
          <w:iCs/>
        </w:rPr>
        <w:br/>
      </w:r>
      <w:r>
        <w:rPr>
          <w:rStyle w:val="Hervorhebung"/>
        </w:rPr>
        <w:t>\mathcal{D}</w:t>
      </w:r>
      <w:r>
        <w:t>{\mathrm{test}}</w:t>
      </w:r>
    </w:p>
    <w:p w:rsidR="00161B88" w:rsidRDefault="00161B88" w:rsidP="00161B88">
      <w:pPr>
        <w:pStyle w:val="StandardWeb"/>
      </w:pPr>
      <w:r>
        <w:t>\emptyset.</w:t>
      </w:r>
      <w:r>
        <w:br/>
        <w:t>\tag{3.5988}</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\mathcal{D}_{\mathrm{train}}\cap\mathcal{D}_{\mathrm{test}}=\emptyset\qquad\text{(3.5988)}</w:t>
      </w:r>
    </w:p>
    <w:p w:rsidR="00161B88" w:rsidRPr="00AF32B2" w:rsidRDefault="00161B88" w:rsidP="00AF32B2">
      <w:pPr>
        <w:pStyle w:val="berschrift4"/>
      </w:pPr>
      <w:r w:rsidRPr="00AF32B2">
        <w:t>3.3.35.18 Informationsleckage</w:t>
      </w:r>
    </w:p>
    <w:p w:rsidR="00161B88" w:rsidRDefault="00161B88" w:rsidP="00161B88">
      <w:pPr>
        <w:pStyle w:val="StandardWeb"/>
      </w:pPr>
      <w:r>
        <w:t>Informationsleckage liegt vor, wenn Informationen aus dem Prüfraum in die Modellentwicklung gelangen:</w:t>
      </w:r>
    </w:p>
    <w:p w:rsidR="00161B88" w:rsidRDefault="00161B88" w:rsidP="00161B88">
      <w:pPr>
        <w:pStyle w:val="StandardWeb"/>
      </w:pPr>
      <w:r>
        <w:lastRenderedPageBreak/>
        <w:t>[</w:t>
      </w:r>
      <w:r>
        <w:br/>
        <w:t>\mathcal{D}</w:t>
      </w:r>
      <w:r>
        <w:rPr>
          <w:rStyle w:val="Hervorhebung"/>
        </w:rPr>
        <w:t>{\mathrm{test}}</w:t>
      </w:r>
      <w:r>
        <w:rPr>
          <w:i/>
          <w:iCs/>
        </w:rPr>
        <w:br/>
      </w:r>
      <w:r>
        <w:rPr>
          <w:rStyle w:val="Hervorhebung"/>
        </w:rPr>
        <w:t>\rightarrow</w:t>
      </w:r>
      <w:r>
        <w:rPr>
          <w:i/>
          <w:iCs/>
        </w:rPr>
        <w:br/>
      </w:r>
      <w:r>
        <w:rPr>
          <w:rStyle w:val="Hervorhebung"/>
        </w:rPr>
        <w:t>\mathcal{I}</w:t>
      </w:r>
      <w:r>
        <w:t>{t}.</w:t>
      </w:r>
      <w:r>
        <w:br/>
        <w:t>\tag{3.5989}</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\mathcal{D}_{\mathrm{test}}\rightarrow\mathcal{I}_{t}\qquad\text{(3.5989)}</w:t>
      </w:r>
    </w:p>
    <w:p w:rsidR="00161B88" w:rsidRDefault="00161B88" w:rsidP="00161B88">
      <w:pPr>
        <w:pStyle w:val="StandardWeb"/>
      </w:pPr>
      <w:r>
        <w:t>Eine leckagefreie Prognose verlangt</w:t>
      </w:r>
    </w:p>
    <w:p w:rsidR="00161B88" w:rsidRDefault="00161B88" w:rsidP="00161B88">
      <w:pPr>
        <w:pStyle w:val="StandardWeb"/>
      </w:pPr>
      <w:r>
        <w:t>[</w:t>
      </w:r>
      <w:r>
        <w:br/>
        <w:t>\mathcal{D}</w:t>
      </w:r>
      <w:r>
        <w:rPr>
          <w:rStyle w:val="Hervorhebung"/>
        </w:rPr>
        <w:t>{&gt;t}</w:t>
      </w:r>
      <w:r>
        <w:rPr>
          <w:i/>
          <w:iCs/>
        </w:rPr>
        <w:br/>
      </w:r>
      <w:r>
        <w:rPr>
          <w:rStyle w:val="Hervorhebung"/>
        </w:rPr>
        <w:t>\not\subseteq</w:t>
      </w:r>
      <w:r>
        <w:rPr>
          <w:i/>
          <w:iCs/>
        </w:rPr>
        <w:br/>
      </w:r>
      <w:r>
        <w:rPr>
          <w:rStyle w:val="Hervorhebung"/>
        </w:rPr>
        <w:t>\mathcal{I}</w:t>
      </w:r>
      <w:r>
        <w:t>{t}.</w:t>
      </w:r>
      <w:r>
        <w:br/>
        <w:t>\tag{3.5990}</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\mathcal{D}_{&gt;t}\not\subseteq\mathcal{I}_{t}\qquad\text{(3.5990)}</w:t>
      </w:r>
    </w:p>
    <w:p w:rsidR="00161B88" w:rsidRDefault="00161B88" w:rsidP="00161B88">
      <w:pPr>
        <w:pStyle w:val="StandardWeb"/>
      </w:pPr>
      <w:r>
        <w:t>Dabei müssen auch indirekte Leckagen berücksichtigt werden, beispielsweise durch:</w:t>
      </w:r>
    </w:p>
    <w:p w:rsidR="00161B88" w:rsidRDefault="00161B88" w:rsidP="00632D23">
      <w:pPr>
        <w:pStyle w:val="StandardWeb"/>
        <w:numPr>
          <w:ilvl w:val="0"/>
          <w:numId w:val="244"/>
        </w:numPr>
      </w:pPr>
      <w:r>
        <w:t>Vorverarbeitung mit Gesamtstatistiken,</w:t>
      </w:r>
    </w:p>
    <w:p w:rsidR="00161B88" w:rsidRDefault="00161B88" w:rsidP="00632D23">
      <w:pPr>
        <w:pStyle w:val="StandardWeb"/>
        <w:numPr>
          <w:ilvl w:val="0"/>
          <w:numId w:val="244"/>
        </w:numPr>
      </w:pPr>
      <w:r>
        <w:t>nachträgliche Auswahl günstiger Merkmale,</w:t>
      </w:r>
    </w:p>
    <w:p w:rsidR="00161B88" w:rsidRDefault="00161B88" w:rsidP="00632D23">
      <w:pPr>
        <w:pStyle w:val="StandardWeb"/>
        <w:numPr>
          <w:ilvl w:val="0"/>
          <w:numId w:val="244"/>
        </w:numPr>
      </w:pPr>
      <w:r>
        <w:t>Schwellenwertbestimmung anhand späterer Daten,</w:t>
      </w:r>
    </w:p>
    <w:p w:rsidR="00161B88" w:rsidRDefault="00161B88" w:rsidP="00632D23">
      <w:pPr>
        <w:pStyle w:val="StandardWeb"/>
        <w:numPr>
          <w:ilvl w:val="0"/>
          <w:numId w:val="244"/>
        </w:numPr>
      </w:pPr>
      <w:r>
        <w:t>Modellwahl nach Kenntnis der Prüfergebnisse,</w:t>
      </w:r>
    </w:p>
    <w:p w:rsidR="00161B88" w:rsidRDefault="00161B88" w:rsidP="00632D23">
      <w:pPr>
        <w:pStyle w:val="StandardWeb"/>
        <w:numPr>
          <w:ilvl w:val="0"/>
          <w:numId w:val="244"/>
        </w:numPr>
      </w:pPr>
      <w:r>
        <w:t>manuelle Anpassung an bekannte Ereignisse.</w:t>
      </w:r>
    </w:p>
    <w:p w:rsidR="00161B88" w:rsidRPr="00AF32B2" w:rsidRDefault="00161B88" w:rsidP="00AF32B2">
      <w:pPr>
        <w:pStyle w:val="berschrift4"/>
      </w:pPr>
      <w:r w:rsidRPr="00AF32B2">
        <w:t>3.3.35.19 Rollierende Prognoseprüfung</w:t>
      </w:r>
    </w:p>
    <w:p w:rsidR="00161B88" w:rsidRDefault="00161B88" w:rsidP="00161B88">
      <w:pPr>
        <w:pStyle w:val="StandardWeb"/>
      </w:pPr>
      <w:r>
        <w:t>Für zeitabhängige Daten kann eine rollierende Prognoseprüfung verwendet werden.</w:t>
      </w:r>
    </w:p>
    <w:p w:rsidR="00161B88" w:rsidRDefault="00161B88" w:rsidP="00161B88">
      <w:pPr>
        <w:pStyle w:val="StandardWeb"/>
      </w:pPr>
      <w:r>
        <w:t>Die Prognosezeitpunkte seien</w:t>
      </w:r>
    </w:p>
    <w:p w:rsidR="00161B88" w:rsidRDefault="00161B88" w:rsidP="00161B88">
      <w:pPr>
        <w:pStyle w:val="StandardWeb"/>
      </w:pPr>
      <w:r>
        <w:t>[</w:t>
      </w:r>
      <w:r>
        <w:br/>
        <w:t>t_1&lt;t_2&lt;\cdots&lt;t_m.</w:t>
      </w:r>
      <w:r>
        <w:br/>
        <w:t>\tag{3.5991}</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t_1&lt;t_2&lt;\cdots&lt;t_m\qquad\text{(3.5991)}</w:t>
      </w:r>
    </w:p>
    <w:p w:rsidR="00161B88" w:rsidRDefault="00161B88" w:rsidP="00161B88">
      <w:pPr>
        <w:pStyle w:val="StandardWeb"/>
      </w:pPr>
      <w:r>
        <w:t>Für jeden Zeitpunkt wird eine Prognose erstellt:</w:t>
      </w:r>
    </w:p>
    <w:p w:rsidR="00161B88" w:rsidRDefault="00161B88" w:rsidP="00161B88">
      <w:pPr>
        <w:pStyle w:val="berschrift1"/>
      </w:pPr>
      <w:r>
        <w:lastRenderedPageBreak/>
        <w:t>[</w:t>
      </w:r>
      <w:r>
        <w:br/>
        <w:t>\widehat{Y}_{t_i+h\mid t_i}</w:t>
      </w:r>
    </w:p>
    <w:p w:rsidR="00161B88" w:rsidRDefault="00161B88" w:rsidP="00161B88">
      <w:pPr>
        <w:pStyle w:val="StandardWeb"/>
      </w:pPr>
      <w:r>
        <w:t>\mathcal{P}</w:t>
      </w:r>
      <w:r>
        <w:rPr>
          <w:rStyle w:val="Hervorhebung"/>
        </w:rPr>
        <w:t>{F}^{\mathrm{prog}}</w:t>
      </w:r>
      <w:r>
        <w:rPr>
          <w:i/>
          <w:iCs/>
        </w:rPr>
        <w:br/>
      </w:r>
      <w:r>
        <w:rPr>
          <w:rStyle w:val="Hervorhebung"/>
        </w:rPr>
        <w:t>\left(</w:t>
      </w:r>
      <w:r>
        <w:rPr>
          <w:i/>
          <w:iCs/>
        </w:rPr>
        <w:br/>
      </w:r>
      <w:r>
        <w:rPr>
          <w:rStyle w:val="Hervorhebung"/>
        </w:rPr>
        <w:t>\mathcal{I}</w:t>
      </w:r>
      <w:r>
        <w:t>{t_i}</w:t>
      </w:r>
      <w:r>
        <w:br/>
        <w:t>\right).</w:t>
      </w:r>
      <w:r>
        <w:br/>
        <w:t>\tag{3.5992}</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\widehat{Y}_{t_i+h\mid t_i}=\mathcal{P}_{F}^{\mathrm{prog}}\left(\mathcal{I}_{t_i}\right)\qquad\text{(3.5992)}</w:t>
      </w:r>
    </w:p>
    <w:p w:rsidR="00161B88" w:rsidRDefault="00161B88" w:rsidP="00161B88">
      <w:pPr>
        <w:pStyle w:val="StandardWeb"/>
      </w:pPr>
      <w:r>
        <w:t>Der jeweilige Fehler lautet</w:t>
      </w:r>
    </w:p>
    <w:p w:rsidR="00161B88" w:rsidRDefault="00161B88" w:rsidP="00161B88">
      <w:pPr>
        <w:pStyle w:val="berschrift1"/>
      </w:pPr>
      <w:r>
        <w:t>[</w:t>
      </w:r>
      <w:r>
        <w:br/>
        <w:t>e_{t_i+h}</w:t>
      </w:r>
    </w:p>
    <w:p w:rsidR="00161B88" w:rsidRDefault="00161B88" w:rsidP="00161B88">
      <w:pPr>
        <w:pStyle w:val="berschrift2"/>
      </w:pPr>
      <w:r>
        <w:t>Y_{t_i+h}^{\mathrm{obs}}</w:t>
      </w:r>
    </w:p>
    <w:p w:rsidR="00161B88" w:rsidRDefault="00161B88" w:rsidP="00161B88">
      <w:pPr>
        <w:pStyle w:val="StandardWeb"/>
      </w:pPr>
      <w:r>
        <w:t>\widehat{Y}_{t_i+h\mid t_i}.</w:t>
      </w:r>
      <w:r>
        <w:br/>
        <w:t>\tag{3.5993}</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e_{t_i+h}=Y_{t_i+h}^{\mathrm{obs}}-\widehat{Y}_{t_i+h\mid t_i}\qquad\text{(3.5993)}</w:t>
      </w:r>
    </w:p>
    <w:p w:rsidR="00161B88" w:rsidRPr="00AF32B2" w:rsidRDefault="00161B88" w:rsidP="00AF32B2">
      <w:pPr>
        <w:pStyle w:val="berschrift4"/>
      </w:pPr>
      <w:r w:rsidRPr="00AF32B2">
        <w:t>3.3.35.20 Prognosehorizontabhängigkeit</w:t>
      </w:r>
    </w:p>
    <w:p w:rsidR="00161B88" w:rsidRDefault="00161B88" w:rsidP="00161B88">
      <w:pPr>
        <w:pStyle w:val="StandardWeb"/>
      </w:pPr>
      <w:r>
        <w:t>Die Prognosegüte kann vom Horizont abhängen:</w:t>
      </w:r>
    </w:p>
    <w:p w:rsidR="00161B88" w:rsidRDefault="00161B88" w:rsidP="00161B88">
      <w:pPr>
        <w:pStyle w:val="berschrift1"/>
      </w:pPr>
      <w:r>
        <w:t>[</w:t>
      </w:r>
      <w:r>
        <w:br/>
        <w:t>L</w:t>
      </w:r>
    </w:p>
    <w:p w:rsidR="00161B88" w:rsidRDefault="00161B88" w:rsidP="00161B88">
      <w:pPr>
        <w:pStyle w:val="StandardWeb"/>
      </w:pPr>
      <w:r>
        <w:t>L(h).</w:t>
      </w:r>
      <w:r>
        <w:br/>
        <w:t>\tag{3.5994}</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L=L(h)\qquad\text{(3.5994)}</w:t>
      </w:r>
    </w:p>
    <w:p w:rsidR="00161B88" w:rsidRDefault="00161B88" w:rsidP="00161B88">
      <w:pPr>
        <w:pStyle w:val="StandardWeb"/>
      </w:pPr>
      <w:r>
        <w:t>Typischerweise kann gelten</w:t>
      </w:r>
    </w:p>
    <w:p w:rsidR="00161B88" w:rsidRDefault="00161B88" w:rsidP="00161B88">
      <w:pPr>
        <w:pStyle w:val="StandardWeb"/>
      </w:pPr>
      <w:r>
        <w:lastRenderedPageBreak/>
        <w:t>[</w:t>
      </w:r>
      <w:r>
        <w:br/>
        <w:t>L(h_1)</w:t>
      </w:r>
      <w:r>
        <w:br/>
        <w:t>\leq</w:t>
      </w:r>
      <w:r>
        <w:br/>
        <w:t>L(h_2)</w:t>
      </w:r>
      <w:r>
        <w:br/>
        <w:t>\quad</w:t>
      </w:r>
      <w:r>
        <w:br/>
        <w:t>\text{für}</w:t>
      </w:r>
      <w:r>
        <w:br/>
        <w:t>\quad</w:t>
      </w:r>
      <w:r>
        <w:br/>
        <w:t>h_1&lt;h_2.</w:t>
      </w:r>
      <w:r>
        <w:br/>
        <w:t>\tag{3.5995}</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L(h_1)\leq L(h_2)\quad\text{für}\quad h_1&lt;h_2\qquad\text{(3.5995)}</w:t>
      </w:r>
    </w:p>
    <w:p w:rsidR="00161B88" w:rsidRDefault="00161B88" w:rsidP="00161B88">
      <w:pPr>
        <w:pStyle w:val="StandardWeb"/>
      </w:pPr>
      <w:r>
        <w:t>Diese Beziehung ist keine allgemeine mathematische Notwendigkeit, sondern eine empirisch zu prüfende Erwartung.</w:t>
      </w:r>
    </w:p>
    <w:p w:rsidR="00161B88" w:rsidRPr="00AF32B2" w:rsidRDefault="00161B88" w:rsidP="00AF32B2">
      <w:pPr>
        <w:pStyle w:val="berschrift4"/>
      </w:pPr>
      <w:r w:rsidRPr="00AF32B2">
        <w:t>3.3.35.21 Prognose funktionaler Zustände</w:t>
      </w:r>
    </w:p>
    <w:p w:rsidR="00161B88" w:rsidRDefault="00161B88" w:rsidP="00161B88">
      <w:pPr>
        <w:pStyle w:val="StandardWeb"/>
      </w:pPr>
      <w:r>
        <w:t>Sei der funktionale Zustand zum Zeitpunkt (t)</w:t>
      </w:r>
    </w:p>
    <w:p w:rsidR="00161B88" w:rsidRDefault="00161B88" w:rsidP="00161B88">
      <w:pPr>
        <w:pStyle w:val="StandardWeb"/>
      </w:pPr>
      <w:r>
        <w:t>[</w:t>
      </w:r>
      <w:r>
        <w:br/>
        <w:t>\Delta_t.</w:t>
      </w:r>
      <w:r>
        <w:br/>
        <w:t>\tag{3.5996}</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\Delta_t\qquad\text{(3.5996)}</w:t>
      </w:r>
    </w:p>
    <w:p w:rsidR="00161B88" w:rsidRDefault="00161B88" w:rsidP="00161B88">
      <w:pPr>
        <w:pStyle w:val="StandardWeb"/>
      </w:pPr>
      <w:r>
        <w:t>Die Zustandsprognose lautet</w:t>
      </w:r>
    </w:p>
    <w:p w:rsidR="00161B88" w:rsidRDefault="00161B88" w:rsidP="00161B88">
      <w:pPr>
        <w:pStyle w:val="StandardWeb"/>
      </w:pPr>
      <w:r>
        <w:t>[</w:t>
      </w:r>
      <w:r>
        <w:br/>
        <w:t>\widehat{\Delta}_{t+h\mid t}.</w:t>
      </w:r>
      <w:r>
        <w:br/>
        <w:t>\tag{3.5997}</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\widehat{\Delta}_{t+h\mid t}\qquad\text{(3.5997)}</w:t>
      </w:r>
    </w:p>
    <w:p w:rsidR="00161B88" w:rsidRDefault="00161B88" w:rsidP="00161B88">
      <w:pPr>
        <w:pStyle w:val="StandardWeb"/>
      </w:pPr>
      <w:r>
        <w:t>Eine deterministische Zustandsprognose wird beschrieben durch</w:t>
      </w:r>
    </w:p>
    <w:p w:rsidR="00161B88" w:rsidRDefault="00161B88" w:rsidP="00161B88">
      <w:pPr>
        <w:pStyle w:val="berschrift1"/>
      </w:pPr>
      <w:r>
        <w:t>[</w:t>
      </w:r>
      <w:r>
        <w:br/>
        <w:t>\widehat{\Delta}_{t+h\mid t}</w:t>
      </w:r>
    </w:p>
    <w:p w:rsidR="00161B88" w:rsidRDefault="00161B88" w:rsidP="00161B88">
      <w:pPr>
        <w:pStyle w:val="StandardWeb"/>
      </w:pPr>
      <w:r>
        <w:t>T^{h}</w:t>
      </w:r>
      <w:r>
        <w:br/>
        <w:t>\left(</w:t>
      </w:r>
      <w:r>
        <w:br/>
        <w:t>\Delta_t</w:t>
      </w:r>
      <w:r>
        <w:br/>
      </w:r>
      <w:r>
        <w:lastRenderedPageBreak/>
        <w:t>\right).</w:t>
      </w:r>
      <w:r>
        <w:br/>
        <w:t>\tag{3.5998}</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\widehat{\Delta}_{t+h\mid t}=T^{h}\left(\Delta_t\right)\qquad\text{(3.5998)}</w:t>
      </w:r>
    </w:p>
    <w:p w:rsidR="00161B88" w:rsidRDefault="00161B88" w:rsidP="00161B88">
      <w:pPr>
        <w:pStyle w:val="StandardWeb"/>
      </w:pPr>
      <w:r>
        <w:t>Eine probabilistische Zustandsprognose lautet</w:t>
      </w:r>
    </w:p>
    <w:p w:rsidR="00161B88" w:rsidRDefault="00161B88" w:rsidP="00161B88">
      <w:pPr>
        <w:pStyle w:val="berschrift1"/>
      </w:pPr>
      <w:r>
        <w:t>[</w:t>
      </w:r>
      <w:r>
        <w:br/>
        <w:t>\Pr</w:t>
      </w:r>
      <w:r>
        <w:br/>
        <w:t>\left(</w:t>
      </w:r>
      <w:r>
        <w:br/>
        <w:t>\Delta_{t+h}</w:t>
      </w:r>
    </w:p>
    <w:p w:rsidR="00161B88" w:rsidRDefault="00161B88" w:rsidP="00161B88">
      <w:pPr>
        <w:pStyle w:val="StandardWeb"/>
      </w:pPr>
      <w:r>
        <w:t>\delta_j</w:t>
      </w:r>
      <w:r>
        <w:br/>
        <w:t>\mid</w:t>
      </w:r>
      <w:r>
        <w:br/>
        <w:t>\mathcal{I}_{t}</w:t>
      </w:r>
      <w:r>
        <w:br/>
        <w:t>\right).</w:t>
      </w:r>
      <w:r>
        <w:br/>
        <w:t>\tag{3.5999}</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\Pr\left(\Delta_{t+h}=\delta_j\mid\mathcal{I}_{t}\right)\qquad\text{(3.5999)}</w:t>
      </w:r>
    </w:p>
    <w:p w:rsidR="00161B88" w:rsidRPr="00AF32B2" w:rsidRDefault="00161B88" w:rsidP="00AF32B2">
      <w:pPr>
        <w:pStyle w:val="berschrift4"/>
      </w:pPr>
      <w:r w:rsidRPr="00AF32B2">
        <w:t>3.3.35.22 Prognose funktionaler Übergänge</w:t>
      </w:r>
    </w:p>
    <w:p w:rsidR="00161B88" w:rsidRDefault="00161B88" w:rsidP="00161B88">
      <w:pPr>
        <w:pStyle w:val="StandardWeb"/>
      </w:pPr>
      <w:r>
        <w:t>Eine Übergangsprognose lautet</w:t>
      </w:r>
    </w:p>
    <w:p w:rsidR="00161B88" w:rsidRDefault="00161B88" w:rsidP="00161B88">
      <w:pPr>
        <w:pStyle w:val="berschrift1"/>
      </w:pPr>
      <w:r>
        <w:t>[</w:t>
      </w:r>
      <w:r>
        <w:br/>
        <w:t>\Pr</w:t>
      </w:r>
      <w:r>
        <w:br/>
        <w:t>\left(</w:t>
      </w:r>
      <w:r>
        <w:br/>
        <w:t>\Delta_{t+1}</w:t>
      </w:r>
    </w:p>
    <w:p w:rsidR="00161B88" w:rsidRDefault="00161B88" w:rsidP="00161B88">
      <w:pPr>
        <w:pStyle w:val="berschrift1"/>
      </w:pPr>
      <w:r>
        <w:t>\delta_j</w:t>
      </w:r>
      <w:r>
        <w:br/>
        <w:t>\mid</w:t>
      </w:r>
      <w:r>
        <w:br/>
        <w:t>\Delta_t</w:t>
      </w:r>
    </w:p>
    <w:p w:rsidR="00161B88" w:rsidRDefault="00161B88" w:rsidP="00161B88">
      <w:pPr>
        <w:pStyle w:val="StandardWeb"/>
      </w:pPr>
      <w:r>
        <w:t>\delta_i,</w:t>
      </w:r>
      <w:r>
        <w:br/>
        <w:t>\mathcal{I}_{t}</w:t>
      </w:r>
      <w:r>
        <w:br/>
        <w:t>\right).</w:t>
      </w:r>
      <w:r>
        <w:br/>
      </w:r>
      <w:r>
        <w:lastRenderedPageBreak/>
        <w:t>\tag{3.6000}</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\Pr\left(\Delta_{t+1}=\delta_j\mid\Delta_t=\delta_i,\mathcal{I}_{t}\right)\qquad\text{(3.6000)}</w:t>
      </w:r>
    </w:p>
    <w:p w:rsidR="00161B88" w:rsidRDefault="00161B88" w:rsidP="00161B88">
      <w:pPr>
        <w:pStyle w:val="StandardWeb"/>
      </w:pPr>
      <w:r>
        <w:t>Die prognostizierte Übergangsmatrix lautet</w:t>
      </w:r>
    </w:p>
    <w:p w:rsidR="00161B88" w:rsidRDefault="00161B88" w:rsidP="00161B88">
      <w:pPr>
        <w:pStyle w:val="berschrift1"/>
      </w:pPr>
      <w:r>
        <w:t>[</w:t>
      </w:r>
      <w:r>
        <w:br/>
        <w:t>\widehat{\mathbf{P}}_{t}</w:t>
      </w:r>
    </w:p>
    <w:p w:rsidR="00161B88" w:rsidRDefault="00161B88" w:rsidP="00161B88">
      <w:pPr>
        <w:pStyle w:val="StandardWeb"/>
      </w:pPr>
      <w:r>
        <w:t>\left[</w:t>
      </w:r>
      <w:r>
        <w:br/>
        <w:t>\widehat{p}_{ij,t}</w:t>
      </w:r>
      <w:r>
        <w:br/>
        <w:t>\right].</w:t>
      </w:r>
      <w:r>
        <w:br/>
        <w:t>\tag{3.6001}</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\widehat{\mathbf{P}}_{t}=\left[\widehat{p}_{ij,t}\right]\qquad\text{(3.6001)}</w:t>
      </w:r>
    </w:p>
    <w:p w:rsidR="00161B88" w:rsidRDefault="00161B88" w:rsidP="00161B88">
      <w:pPr>
        <w:pStyle w:val="StandardWeb"/>
      </w:pPr>
      <w:r>
        <w:t>Für jede Ausgangsklasse gilt</w:t>
      </w:r>
    </w:p>
    <w:p w:rsidR="00161B88" w:rsidRDefault="00161B88" w:rsidP="00161B88">
      <w:pPr>
        <w:pStyle w:val="berschrift1"/>
      </w:pPr>
      <w:r>
        <w:t>[</w:t>
      </w:r>
      <w:r>
        <w:br/>
        <w:t>\sum_{j}</w:t>
      </w:r>
      <w:r>
        <w:br/>
        <w:t>\widehat{p}_{ij,t}</w:t>
      </w:r>
    </w:p>
    <w:p w:rsidR="00161B88" w:rsidRDefault="00161B88" w:rsidP="00632D23">
      <w:pPr>
        <w:numPr>
          <w:ilvl w:val="0"/>
          <w:numId w:val="245"/>
        </w:numPr>
        <w:spacing w:before="100" w:beforeAutospacing="1" w:after="100" w:afterAutospacing="1"/>
      </w:pPr>
    </w:p>
    <w:p w:rsidR="00161B88" w:rsidRDefault="00161B88" w:rsidP="00161B88">
      <w:pPr>
        <w:pStyle w:val="StandardWeb"/>
      </w:pPr>
      <w:r>
        <w:t>\tag{3.6002}</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\sum_{j}\widehat{p}_{ij,t}=1\qquad\text{(3.6002)}</w:t>
      </w:r>
    </w:p>
    <w:p w:rsidR="00161B88" w:rsidRPr="00AF32B2" w:rsidRDefault="00161B88" w:rsidP="00AF32B2">
      <w:pPr>
        <w:pStyle w:val="berschrift4"/>
      </w:pPr>
      <w:r w:rsidRPr="00AF32B2">
        <w:t>3.3.35.23 Prognose funktionaler Kohärenz</w:t>
      </w:r>
    </w:p>
    <w:p w:rsidR="00161B88" w:rsidRDefault="00161B88" w:rsidP="00161B88">
      <w:pPr>
        <w:pStyle w:val="StandardWeb"/>
      </w:pPr>
      <w:r>
        <w:t>Der zukünftige Kohärenzwert lautet</w:t>
      </w:r>
    </w:p>
    <w:p w:rsidR="00161B88" w:rsidRDefault="00161B88" w:rsidP="00161B88">
      <w:pPr>
        <w:pStyle w:val="StandardWeb"/>
      </w:pPr>
      <w:r>
        <w:t>[</w:t>
      </w:r>
      <w:r>
        <w:br/>
        <w:t>K_{\mathcal{C},t+h}.</w:t>
      </w:r>
      <w:r>
        <w:br/>
        <w:t>\tag{3.6003}</w:t>
      </w:r>
      <w:r>
        <w:br/>
        <w:t>]</w:t>
      </w:r>
    </w:p>
    <w:p w:rsidR="00161B88" w:rsidRDefault="00161B88" w:rsidP="00161B88">
      <w:pPr>
        <w:pStyle w:val="StandardWeb"/>
      </w:pPr>
      <w:r>
        <w:rPr>
          <w:rStyle w:val="Fett"/>
        </w:rPr>
        <w:lastRenderedPageBreak/>
        <w:t>Word-LaTeX</w:t>
      </w:r>
    </w:p>
    <w:p w:rsidR="00161B88" w:rsidRDefault="00161B88" w:rsidP="00161B88">
      <w:pPr>
        <w:pStyle w:val="HTMLVorformatiert"/>
        <w:rPr>
          <w:rStyle w:val="HTMLCode"/>
        </w:rPr>
      </w:pPr>
      <w:r>
        <w:rPr>
          <w:rStyle w:val="HTMLCode"/>
        </w:rPr>
        <w:t>K_{\mathcal{C},t+h}\qquad\text{(3.6003)}</w:t>
      </w:r>
    </w:p>
    <w:p w:rsidR="00161B88" w:rsidRDefault="00161B88" w:rsidP="00161B88">
      <w:pPr>
        <w:pStyle w:val="StandardWeb"/>
      </w:pPr>
      <w:r>
        <w:t>Die Kohärenzprognose lautet</w:t>
      </w:r>
    </w:p>
    <w:p w:rsidR="00161B88" w:rsidRDefault="00161B88" w:rsidP="00161B88">
      <w:pPr>
        <w:pStyle w:val="StandardWeb"/>
      </w:pPr>
      <w:r>
        <w:t>[</w:t>
      </w:r>
      <w:r>
        <w:br/>
        <w:t>\widehat{K}_{\mathcal{C},t+h\mid t}.</w:t>
      </w:r>
      <w:r>
        <w:br/>
        <w:t>\tag{3.6004}</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\widehat{K}_{\mathcal{C},t+h\mid t}\qquad\text{(3.6004)}</w:t>
      </w:r>
    </w:p>
    <w:p w:rsidR="00161B88" w:rsidRDefault="00161B88" w:rsidP="00161B88">
      <w:pPr>
        <w:pStyle w:val="StandardWeb"/>
      </w:pPr>
      <w:r>
        <w:t>Der Kohärenzprognosefehler lautet</w:t>
      </w:r>
    </w:p>
    <w:p w:rsidR="00161B88" w:rsidRDefault="00161B88" w:rsidP="00161B88">
      <w:pPr>
        <w:pStyle w:val="berschrift1"/>
      </w:pPr>
      <w:r>
        <w:t>[</w:t>
      </w:r>
      <w:r>
        <w:br/>
        <w:t>e_{K,t+h}</w:t>
      </w:r>
    </w:p>
    <w:p w:rsidR="00161B88" w:rsidRDefault="00161B88" w:rsidP="00161B88">
      <w:pPr>
        <w:pStyle w:val="berschrift2"/>
      </w:pPr>
      <w:r>
        <w:t>K_{\mathcal{C},t+h}^{\mathrm{obs}}</w:t>
      </w:r>
    </w:p>
    <w:p w:rsidR="00161B88" w:rsidRDefault="00161B88" w:rsidP="00161B88">
      <w:pPr>
        <w:pStyle w:val="StandardWeb"/>
      </w:pPr>
      <w:r>
        <w:t>\widehat{K}_{\mathcal{C},t+h\mid t}.</w:t>
      </w:r>
      <w:r>
        <w:br/>
        <w:t>\tag{3.6005}</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e_{K,t+h}=K_{\mathcal{C},t+h}^{\mathrm{obs}}-\widehat{K}_{\mathcal{C},t+h\mid t}\qquad\text{(3.6005)}</w:t>
      </w:r>
    </w:p>
    <w:p w:rsidR="00161B88" w:rsidRPr="00AF32B2" w:rsidRDefault="00161B88" w:rsidP="00AF32B2">
      <w:pPr>
        <w:pStyle w:val="berschrift4"/>
      </w:pPr>
      <w:r w:rsidRPr="00AF32B2">
        <w:t>3.3.35.24 Prognose funktionaler Drift</w:t>
      </w:r>
    </w:p>
    <w:p w:rsidR="00161B88" w:rsidRDefault="00161B88" w:rsidP="00161B88">
      <w:pPr>
        <w:pStyle w:val="StandardWeb"/>
      </w:pPr>
      <w:r>
        <w:t>Die zukünftige Drift lautet</w:t>
      </w:r>
    </w:p>
    <w:p w:rsidR="00161B88" w:rsidRDefault="00161B88" w:rsidP="00161B88">
      <w:pPr>
        <w:pStyle w:val="StandardWeb"/>
      </w:pPr>
      <w:r>
        <w:t>[</w:t>
      </w:r>
      <w:r>
        <w:br/>
        <w:t>D_{t+h}.</w:t>
      </w:r>
      <w:r>
        <w:br/>
        <w:t>\tag{3.6006}</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D_{t+h}\qquad\text{(3.6006)}</w:t>
      </w:r>
    </w:p>
    <w:p w:rsidR="00161B88" w:rsidRDefault="00161B88" w:rsidP="00161B88">
      <w:pPr>
        <w:pStyle w:val="StandardWeb"/>
      </w:pPr>
      <w:r>
        <w:t>Die Driftprognose lautet</w:t>
      </w:r>
    </w:p>
    <w:p w:rsidR="00161B88" w:rsidRDefault="00161B88" w:rsidP="00161B88">
      <w:pPr>
        <w:pStyle w:val="StandardWeb"/>
      </w:pPr>
      <w:r>
        <w:t>[</w:t>
      </w:r>
      <w:r>
        <w:br/>
        <w:t>\widehat{D}_{t+h\mid t}.</w:t>
      </w:r>
      <w:r>
        <w:br/>
        <w:t>\tag{3.6007}</w:t>
      </w:r>
      <w:r>
        <w:br/>
        <w:t>]</w:t>
      </w:r>
    </w:p>
    <w:p w:rsidR="00161B88" w:rsidRDefault="00161B88" w:rsidP="00161B88">
      <w:pPr>
        <w:pStyle w:val="StandardWeb"/>
      </w:pPr>
      <w:r>
        <w:rPr>
          <w:rStyle w:val="Fett"/>
        </w:rPr>
        <w:lastRenderedPageBreak/>
        <w:t>Word-LaTeX</w:t>
      </w:r>
    </w:p>
    <w:p w:rsidR="00161B88" w:rsidRDefault="00161B88" w:rsidP="00161B88">
      <w:pPr>
        <w:pStyle w:val="HTMLVorformatiert"/>
        <w:rPr>
          <w:rStyle w:val="HTMLCode"/>
        </w:rPr>
      </w:pPr>
      <w:r>
        <w:rPr>
          <w:rStyle w:val="HTMLCode"/>
        </w:rPr>
        <w:t>\widehat{D}_{t+h\mid t}\qquad\text{(3.6007)}</w:t>
      </w:r>
    </w:p>
    <w:p w:rsidR="00161B88" w:rsidRDefault="00161B88" w:rsidP="00161B88">
      <w:pPr>
        <w:pStyle w:val="StandardWeb"/>
      </w:pPr>
      <w:r>
        <w:t>Eine Warnschwelle sei</w:t>
      </w:r>
    </w:p>
    <w:p w:rsidR="00161B88" w:rsidRDefault="00161B88" w:rsidP="00161B88">
      <w:pPr>
        <w:pStyle w:val="StandardWeb"/>
      </w:pPr>
      <w:r>
        <w:t>[</w:t>
      </w:r>
      <w:r>
        <w:br/>
        <w:t>\tau_D.</w:t>
      </w:r>
      <w:r>
        <w:br/>
        <w:t>\tag{3.6008}</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\tau_D\qquad\text{(3.6008)}</w:t>
      </w:r>
    </w:p>
    <w:p w:rsidR="00161B88" w:rsidRDefault="00161B88" w:rsidP="00161B88">
      <w:pPr>
        <w:pStyle w:val="StandardWeb"/>
      </w:pPr>
      <w:r>
        <w:t>Eine prognostische Warnung lautet</w:t>
      </w:r>
    </w:p>
    <w:p w:rsidR="00161B88" w:rsidRDefault="00161B88" w:rsidP="00161B88">
      <w:pPr>
        <w:pStyle w:val="StandardWeb"/>
      </w:pPr>
      <w:r>
        <w:t>[</w:t>
      </w:r>
      <w:r>
        <w:br/>
        <w:t>\widehat{D}_{t+h\mid t}</w:t>
      </w:r>
      <w:r>
        <w:br/>
        <w:t>\geq</w:t>
      </w:r>
      <w:r>
        <w:br/>
        <w:t>\tau_D.</w:t>
      </w:r>
      <w:r>
        <w:br/>
        <w:t>\tag{3.6009}</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\widehat{D}_{t+h\mid t}\geq\tau_D\qquad\text{(3.6009)}</w:t>
      </w:r>
    </w:p>
    <w:p w:rsidR="00161B88" w:rsidRPr="00AF32B2" w:rsidRDefault="00161B88" w:rsidP="00AF32B2">
      <w:pPr>
        <w:pStyle w:val="berschrift4"/>
      </w:pPr>
      <w:r w:rsidRPr="00AF32B2">
        <w:t>3.3.35.25 Prognose von Kipppunkten</w:t>
      </w:r>
    </w:p>
    <w:p w:rsidR="00161B88" w:rsidRDefault="00161B88" w:rsidP="00161B88">
      <w:pPr>
        <w:pStyle w:val="StandardWeb"/>
      </w:pPr>
      <w:r>
        <w:t>Ein potenzieller Kipppunkt werde mit</w:t>
      </w:r>
    </w:p>
    <w:p w:rsidR="00161B88" w:rsidRDefault="00161B88" w:rsidP="00161B88">
      <w:pPr>
        <w:pStyle w:val="StandardWeb"/>
      </w:pPr>
      <w:r>
        <w:t>[</w:t>
      </w:r>
      <w:r>
        <w:br/>
        <w:t>t_{\mathrm{krit}}</w:t>
      </w:r>
      <w:r>
        <w:br/>
        <w:t>\tag{3.6010}</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t_{\mathrm{krit}}\qquad\text{(3.6010)}</w:t>
      </w:r>
    </w:p>
    <w:p w:rsidR="00161B88" w:rsidRDefault="00161B88" w:rsidP="00161B88">
      <w:pPr>
        <w:pStyle w:val="StandardWeb"/>
      </w:pPr>
      <w:r>
        <w:t>bezeichnet.</w:t>
      </w:r>
    </w:p>
    <w:p w:rsidR="00161B88" w:rsidRDefault="00161B88" w:rsidP="00161B88">
      <w:pPr>
        <w:pStyle w:val="StandardWeb"/>
      </w:pPr>
      <w:r>
        <w:t>Die prognostizierte Eintrittswahrscheinlichkeit innerhalb eines Horizonts lautet</w:t>
      </w:r>
    </w:p>
    <w:p w:rsidR="00161B88" w:rsidRDefault="00161B88" w:rsidP="00161B88">
      <w:pPr>
        <w:pStyle w:val="StandardWeb"/>
      </w:pPr>
      <w:r>
        <w:t>[</w:t>
      </w:r>
      <w:r>
        <w:br/>
        <w:t>\Pr</w:t>
      </w:r>
      <w:r>
        <w:br/>
        <w:t>\left(</w:t>
      </w:r>
      <w:r>
        <w:br/>
        <w:t>t_{\mathrm{krit}}</w:t>
      </w:r>
      <w:r>
        <w:br/>
        <w:t>\leq</w:t>
      </w:r>
      <w:r>
        <w:br/>
        <w:t>t+h</w:t>
      </w:r>
      <w:r>
        <w:br/>
        <w:t>\mid</w:t>
      </w:r>
      <w:r>
        <w:br/>
      </w:r>
      <w:r>
        <w:lastRenderedPageBreak/>
        <w:t>\mathcal{I}_{t}</w:t>
      </w:r>
      <w:r>
        <w:br/>
        <w:t>\right).</w:t>
      </w:r>
      <w:r>
        <w:br/>
        <w:t>\tag{3.6011}</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\Pr\left(t_{\mathrm{krit}}\leq t+h\mid\mathcal{I}_{t}\right)\qquad\text{(3.6011)}</w:t>
      </w:r>
    </w:p>
    <w:p w:rsidR="00161B88" w:rsidRDefault="00161B88" w:rsidP="00161B88">
      <w:pPr>
        <w:pStyle w:val="StandardWeb"/>
      </w:pPr>
      <w:r>
        <w:t>Eine Warnentscheidung kann lauten</w:t>
      </w:r>
    </w:p>
    <w:p w:rsidR="00161B88" w:rsidRDefault="00161B88" w:rsidP="00161B88">
      <w:pPr>
        <w:pStyle w:val="StandardWeb"/>
      </w:pPr>
      <w:r>
        <w:t>[</w:t>
      </w:r>
      <w:r>
        <w:br/>
        <w:t>\Pr</w:t>
      </w:r>
      <w:r>
        <w:br/>
        <w:t>\left(</w:t>
      </w:r>
      <w:r>
        <w:br/>
        <w:t>t_{\mathrm{krit}}</w:t>
      </w:r>
      <w:r>
        <w:br/>
        <w:t>\leq</w:t>
      </w:r>
      <w:r>
        <w:br/>
        <w:t>t+h</w:t>
      </w:r>
      <w:r>
        <w:br/>
        <w:t>\mid</w:t>
      </w:r>
      <w:r>
        <w:br/>
        <w:t>\mathcal{I}</w:t>
      </w:r>
      <w:r>
        <w:rPr>
          <w:rStyle w:val="Hervorhebung"/>
        </w:rPr>
        <w:t>{t}</w:t>
      </w:r>
      <w:r>
        <w:rPr>
          <w:i/>
          <w:iCs/>
        </w:rPr>
        <w:br/>
      </w:r>
      <w:r>
        <w:rPr>
          <w:rStyle w:val="Hervorhebung"/>
        </w:rPr>
        <w:t>\right)</w:t>
      </w:r>
      <w:r>
        <w:rPr>
          <w:i/>
          <w:iCs/>
        </w:rPr>
        <w:br/>
      </w:r>
      <w:r>
        <w:rPr>
          <w:rStyle w:val="Hervorhebung"/>
        </w:rPr>
        <w:t>\geq</w:t>
      </w:r>
      <w:r>
        <w:rPr>
          <w:i/>
          <w:iCs/>
        </w:rPr>
        <w:br/>
      </w:r>
      <w:r>
        <w:rPr>
          <w:rStyle w:val="Hervorhebung"/>
        </w:rPr>
        <w:t>\tau</w:t>
      </w:r>
      <w:r>
        <w:t>{\mathrm{warn}}.</w:t>
      </w:r>
      <w:r>
        <w:br/>
        <w:t>\tag{3.6012}</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\Pr\left(t_{\mathrm{krit}}\leq t+h\mid\mathcal{I}_{t}\right)\geq\tau_{\mathrm{warn}}\qquad\text{(3.6012)}</w:t>
      </w:r>
    </w:p>
    <w:p w:rsidR="00161B88" w:rsidRDefault="00161B88" w:rsidP="00161B88">
      <w:pPr>
        <w:pStyle w:val="StandardWeb"/>
      </w:pPr>
      <w:r>
        <w:t>Eine solche Warnung ist nur sinnvoll, wenn Fehlalarme und übersehene Ereignisse getrennt bewertet werden.</w:t>
      </w:r>
    </w:p>
    <w:p w:rsidR="00161B88" w:rsidRPr="00AF32B2" w:rsidRDefault="00161B88" w:rsidP="00AF32B2">
      <w:pPr>
        <w:pStyle w:val="berschrift4"/>
      </w:pPr>
      <w:r w:rsidRPr="00AF32B2">
        <w:t>3.3.35.26 Ereignisprognose</w:t>
      </w:r>
    </w:p>
    <w:p w:rsidR="00161B88" w:rsidRDefault="00161B88" w:rsidP="00161B88">
      <w:pPr>
        <w:pStyle w:val="StandardWeb"/>
      </w:pPr>
      <w:r>
        <w:t>Für ein zukünftiges Ereignis (E_{t+h}) lautet die prognostizierte Wahrscheinlichkeit</w:t>
      </w:r>
    </w:p>
    <w:p w:rsidR="00161B88" w:rsidRDefault="00161B88" w:rsidP="00161B88">
      <w:pPr>
        <w:pStyle w:val="berschrift1"/>
      </w:pPr>
      <w:r>
        <w:t>[</w:t>
      </w:r>
      <w:r>
        <w:br/>
        <w:t>p_{t+h\mid t}</w:t>
      </w:r>
    </w:p>
    <w:p w:rsidR="00161B88" w:rsidRDefault="00161B88" w:rsidP="00161B88">
      <w:pPr>
        <w:pStyle w:val="StandardWeb"/>
      </w:pPr>
      <w:r>
        <w:t>\Pr</w:t>
      </w:r>
      <w:r>
        <w:br/>
        <w:t>\left(</w:t>
      </w:r>
      <w:r>
        <w:br/>
        <w:t>E_{t+h}=1</w:t>
      </w:r>
      <w:r>
        <w:br/>
        <w:t>\mid</w:t>
      </w:r>
      <w:r>
        <w:br/>
        <w:t>\mathcal{I}_{t}</w:t>
      </w:r>
      <w:r>
        <w:br/>
        <w:t>\right).</w:t>
      </w:r>
      <w:r>
        <w:br/>
        <w:t>\tag{3.6013}</w:t>
      </w:r>
      <w:r>
        <w:br/>
        <w:t>]</w:t>
      </w:r>
    </w:p>
    <w:p w:rsidR="00161B88" w:rsidRDefault="00161B88" w:rsidP="00161B88">
      <w:pPr>
        <w:pStyle w:val="StandardWeb"/>
      </w:pPr>
      <w:r>
        <w:rPr>
          <w:rStyle w:val="Fett"/>
        </w:rPr>
        <w:lastRenderedPageBreak/>
        <w:t>Word-LaTeX</w:t>
      </w:r>
    </w:p>
    <w:p w:rsidR="00161B88" w:rsidRDefault="00161B88" w:rsidP="00161B88">
      <w:pPr>
        <w:pStyle w:val="HTMLVorformatiert"/>
        <w:rPr>
          <w:rStyle w:val="HTMLCode"/>
        </w:rPr>
      </w:pPr>
      <w:r>
        <w:rPr>
          <w:rStyle w:val="HTMLCode"/>
        </w:rPr>
        <w:t>p_{t+h\mid t}=\Pr\left(E_{t+h}=1\mid\mathcal{I}_{t}\right)\qquad\text{(3.6013)}</w:t>
      </w:r>
    </w:p>
    <w:p w:rsidR="00161B88" w:rsidRDefault="00161B88" w:rsidP="00161B88">
      <w:pPr>
        <w:pStyle w:val="StandardWeb"/>
      </w:pPr>
      <w:r>
        <w:t>Eine binäre Warnung lautet</w:t>
      </w:r>
    </w:p>
    <w:p w:rsidR="00161B88" w:rsidRDefault="00161B88" w:rsidP="00161B88">
      <w:pPr>
        <w:pStyle w:val="berschrift1"/>
      </w:pPr>
      <w:r>
        <w:t>[</w:t>
      </w:r>
      <w:r>
        <w:br/>
        <w:t>W_{t+h\mid t}</w:t>
      </w:r>
    </w:p>
    <w:p w:rsidR="00161B88" w:rsidRDefault="00161B88" w:rsidP="00161B88">
      <w:pPr>
        <w:pStyle w:val="StandardWeb"/>
      </w:pPr>
      <w:r>
        <w:t>\mathbf{1}</w:t>
      </w:r>
      <w:r>
        <w:br/>
        <w:t>\left{</w:t>
      </w:r>
      <w:r>
        <w:br/>
        <w:t>p_{t+h\mid t}</w:t>
      </w:r>
      <w:r>
        <w:br/>
        <w:t>\geq</w:t>
      </w:r>
      <w:r>
        <w:br/>
        <w:t>\tau_W</w:t>
      </w:r>
      <w:r>
        <w:br/>
        <w:t>\right}.</w:t>
      </w:r>
      <w:r>
        <w:br/>
        <w:t>\tag{3.6014}</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W_{t+h\mid t}=\mathbf{1}\left\{p_{t+h\mid t}\geq\tau_W\right\}\qquad\text{(3.6014)}</w:t>
      </w:r>
    </w:p>
    <w:p w:rsidR="00161B88" w:rsidRPr="00AF32B2" w:rsidRDefault="00161B88" w:rsidP="00AF32B2">
      <w:pPr>
        <w:pStyle w:val="berschrift4"/>
      </w:pPr>
      <w:r w:rsidRPr="00AF32B2">
        <w:t>3.3.35.27 Treffer und Fehlalarme</w:t>
      </w:r>
    </w:p>
    <w:p w:rsidR="00161B88" w:rsidRDefault="00161B88" w:rsidP="00161B88">
      <w:pPr>
        <w:pStyle w:val="StandardWeb"/>
      </w:pPr>
      <w:r>
        <w:t>Ein Treffer liegt vor, wenn</w:t>
      </w:r>
    </w:p>
    <w:p w:rsidR="00161B88" w:rsidRDefault="00161B88" w:rsidP="00161B88">
      <w:pPr>
        <w:pStyle w:val="StandardWeb"/>
      </w:pPr>
      <w:r>
        <w:t>[</w:t>
      </w:r>
      <w:r>
        <w:br/>
        <w:t>W=1</w:t>
      </w:r>
      <w:r>
        <w:br/>
        <w:t>\land</w:t>
      </w:r>
      <w:r>
        <w:br/>
        <w:t>E=1.</w:t>
      </w:r>
      <w:r>
        <w:br/>
        <w:t>\tag{3.6015}</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W=1\land E=1\qquad\text{(3.6015)}</w:t>
      </w:r>
    </w:p>
    <w:p w:rsidR="00161B88" w:rsidRDefault="00161B88" w:rsidP="00161B88">
      <w:pPr>
        <w:pStyle w:val="StandardWeb"/>
      </w:pPr>
      <w:r>
        <w:t>Ein Fehlalarm liegt vor, wenn</w:t>
      </w:r>
    </w:p>
    <w:p w:rsidR="00161B88" w:rsidRDefault="00161B88" w:rsidP="00161B88">
      <w:pPr>
        <w:pStyle w:val="StandardWeb"/>
      </w:pPr>
      <w:r>
        <w:t>[</w:t>
      </w:r>
      <w:r>
        <w:br/>
        <w:t>W=1</w:t>
      </w:r>
      <w:r>
        <w:br/>
        <w:t>\land</w:t>
      </w:r>
      <w:r>
        <w:br/>
        <w:t>E=0.</w:t>
      </w:r>
      <w:r>
        <w:br/>
        <w:t>\tag{3.6016}</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W=1\land E=0\qquad\text{(3.6016)}</w:t>
      </w:r>
    </w:p>
    <w:p w:rsidR="00161B88" w:rsidRDefault="00161B88" w:rsidP="00161B88">
      <w:pPr>
        <w:pStyle w:val="StandardWeb"/>
      </w:pPr>
      <w:r>
        <w:lastRenderedPageBreak/>
        <w:t>Ein übersehenes Ereignis liegt vor, wenn</w:t>
      </w:r>
    </w:p>
    <w:p w:rsidR="00161B88" w:rsidRDefault="00161B88" w:rsidP="00161B88">
      <w:pPr>
        <w:pStyle w:val="StandardWeb"/>
      </w:pPr>
      <w:r>
        <w:t>[</w:t>
      </w:r>
      <w:r>
        <w:br/>
        <w:t>W=0</w:t>
      </w:r>
      <w:r>
        <w:br/>
        <w:t>\land</w:t>
      </w:r>
      <w:r>
        <w:br/>
        <w:t>E=1.</w:t>
      </w:r>
      <w:r>
        <w:br/>
        <w:t>\tag{3.6017}</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W=0\land E=1\qquad\text{(3.6017)}</w:t>
      </w:r>
    </w:p>
    <w:p w:rsidR="00161B88" w:rsidRDefault="00161B88" w:rsidP="00161B88">
      <w:pPr>
        <w:pStyle w:val="StandardWeb"/>
      </w:pPr>
      <w:r>
        <w:t>Eine korrekte Entwarnung liegt vor, wenn</w:t>
      </w:r>
    </w:p>
    <w:p w:rsidR="00161B88" w:rsidRDefault="00161B88" w:rsidP="00161B88">
      <w:pPr>
        <w:pStyle w:val="StandardWeb"/>
      </w:pPr>
      <w:r>
        <w:t>[</w:t>
      </w:r>
      <w:r>
        <w:br/>
        <w:t>W=0</w:t>
      </w:r>
      <w:r>
        <w:br/>
        <w:t>\land</w:t>
      </w:r>
      <w:r>
        <w:br/>
        <w:t>E=0.</w:t>
      </w:r>
      <w:r>
        <w:br/>
        <w:t>\tag{3.6018}</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W=0\land E=0\qquad\text{(3.6018)}</w:t>
      </w:r>
    </w:p>
    <w:p w:rsidR="00161B88" w:rsidRPr="00AF32B2" w:rsidRDefault="00161B88" w:rsidP="00AF32B2">
      <w:pPr>
        <w:pStyle w:val="berschrift4"/>
      </w:pPr>
      <w:r w:rsidRPr="00AF32B2">
        <w:t>3.3.35.28 Prognosekosten</w:t>
      </w:r>
    </w:p>
    <w:p w:rsidR="00161B88" w:rsidRDefault="00161B88" w:rsidP="00161B88">
      <w:pPr>
        <w:pStyle w:val="StandardWeb"/>
      </w:pPr>
      <w:r>
        <w:t>Die Prognosekostenmatrix lautet</w:t>
      </w:r>
    </w:p>
    <w:p w:rsidR="00161B88" w:rsidRDefault="00161B88" w:rsidP="00161B88">
      <w:pPr>
        <w:pStyle w:val="berschrift1"/>
      </w:pPr>
      <w:r>
        <w:t>[</w:t>
      </w:r>
      <w:r>
        <w:br/>
        <w:t>\mathbf{K}_{\mathrm{prog}}</w:t>
      </w:r>
    </w:p>
    <w:p w:rsidR="00161B88" w:rsidRDefault="00161B88" w:rsidP="00161B88">
      <w:pPr>
        <w:pStyle w:val="StandardWeb"/>
      </w:pPr>
      <w:r>
        <w:t>\begin{pmatrix}</w:t>
      </w:r>
      <w:r>
        <w:br/>
        <w:t>K_{00} &amp; K_{01}\</w:t>
      </w:r>
      <w:r>
        <w:br/>
        <w:t>K_{10} &amp; K_{11}</w:t>
      </w:r>
      <w:r>
        <w:br/>
        <w:t>\end{pmatrix}.</w:t>
      </w:r>
      <w:r>
        <w:br/>
        <w:t>\tag{3.6019}</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\mathbf{K}_{\mathrm{prog}}=\begin{pmatrix}K_{00}&amp;K_{01}\\K_{10}&amp;K_{11}\end{pmatrix}\qquad\text{(3.6019)}</w:t>
      </w:r>
    </w:p>
    <w:p w:rsidR="00161B88" w:rsidRDefault="00161B88" w:rsidP="00161B88">
      <w:pPr>
        <w:pStyle w:val="StandardWeb"/>
      </w:pPr>
      <w:r>
        <w:t>Die erwarteten Prognosekosten lauten</w:t>
      </w:r>
    </w:p>
    <w:p w:rsidR="00161B88" w:rsidRDefault="00161B88" w:rsidP="00161B88">
      <w:pPr>
        <w:pStyle w:val="berschrift1"/>
      </w:pPr>
      <w:r>
        <w:t>[</w:t>
      </w:r>
      <w:r>
        <w:br/>
        <w:t>\mathbb{E}</w:t>
      </w:r>
      <w:r>
        <w:br/>
      </w:r>
      <w:r>
        <w:lastRenderedPageBreak/>
        <w:t>\left[</w:t>
      </w:r>
      <w:r>
        <w:br/>
        <w:t>K_{\mathrm{prog}}</w:t>
      </w:r>
      <w:r>
        <w:br/>
        <w:t>\right]</w:t>
      </w:r>
    </w:p>
    <w:p w:rsidR="00161B88" w:rsidRDefault="00161B88" w:rsidP="00161B88">
      <w:pPr>
        <w:pStyle w:val="StandardWeb"/>
      </w:pPr>
      <w:r>
        <w:t>\sum_{w=0}^{1}</w:t>
      </w:r>
      <w:r>
        <w:br/>
        <w:t>\sum_{e=0}^{1}</w:t>
      </w:r>
      <w:r>
        <w:br/>
        <w:t>K_{we}</w:t>
      </w:r>
      <w:r>
        <w:br/>
        <w:t>\Pr</w:t>
      </w:r>
      <w:r>
        <w:br/>
        <w:t>\left(</w:t>
      </w:r>
      <w:r>
        <w:br/>
        <w:t>W=w,</w:t>
      </w:r>
      <w:r>
        <w:br/>
        <w:t>E=e</w:t>
      </w:r>
      <w:r>
        <w:br/>
        <w:t>\right).</w:t>
      </w:r>
      <w:r>
        <w:br/>
        <w:t>\tag{3.6020}</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\mathbb{E}\left[K_{\mathrm{prog}}\right]=\sum_{w=0}^{1}\sum_{e=0}^{1}K_{we}\Pr\left(W=w,E=e\right)\qquad\text{(3.6020)}</w:t>
      </w:r>
    </w:p>
    <w:p w:rsidR="00161B88" w:rsidRDefault="00161B88" w:rsidP="00161B88">
      <w:pPr>
        <w:pStyle w:val="StandardWeb"/>
      </w:pPr>
      <w:r>
        <w:t>Der Warnschwellenwert kann kostenabhängig gewählt werden:</w:t>
      </w:r>
    </w:p>
    <w:p w:rsidR="00161B88" w:rsidRDefault="00161B88" w:rsidP="00161B88">
      <w:pPr>
        <w:pStyle w:val="berschrift1"/>
      </w:pPr>
      <w:r>
        <w:t>[</w:t>
      </w:r>
      <w:r>
        <w:br/>
        <w:t>\tau_W^{\ast}</w:t>
      </w:r>
    </w:p>
    <w:p w:rsidR="00161B88" w:rsidRDefault="00161B88" w:rsidP="00161B88">
      <w:pPr>
        <w:pStyle w:val="StandardWeb"/>
      </w:pPr>
      <w:r>
        <w:t>\operatorname*{arg,min}</w:t>
      </w:r>
      <w:r>
        <w:rPr>
          <w:rStyle w:val="Hervorhebung"/>
        </w:rPr>
        <w:t>{\tau_W}</w:t>
      </w:r>
      <w:r>
        <w:rPr>
          <w:i/>
          <w:iCs/>
        </w:rPr>
        <w:br/>
      </w:r>
      <w:r>
        <w:rPr>
          <w:rStyle w:val="Hervorhebung"/>
        </w:rPr>
        <w:t>\mathbb{E}</w:t>
      </w:r>
      <w:r>
        <w:rPr>
          <w:i/>
          <w:iCs/>
        </w:rPr>
        <w:br/>
      </w:r>
      <w:r>
        <w:rPr>
          <w:rStyle w:val="Hervorhebung"/>
        </w:rPr>
        <w:t>\left[</w:t>
      </w:r>
      <w:r>
        <w:rPr>
          <w:i/>
          <w:iCs/>
        </w:rPr>
        <w:br/>
      </w:r>
      <w:r>
        <w:rPr>
          <w:rStyle w:val="Hervorhebung"/>
        </w:rPr>
        <w:t>K</w:t>
      </w:r>
      <w:r>
        <w:t>{\mathrm{prog}}(\tau_W)</w:t>
      </w:r>
      <w:r>
        <w:br/>
        <w:t>\right].</w:t>
      </w:r>
      <w:r>
        <w:br/>
        <w:t>\tag{3.6021}</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\tau_W^{\ast}=\operatorname*{arg\,min}_{\tau_W}\mathbb{E}\left[K_{\mathrm{prog}}(\tau_W)\right]\qquad\text{(3.6021)}</w:t>
      </w:r>
    </w:p>
    <w:p w:rsidR="00161B88" w:rsidRPr="00AF32B2" w:rsidRDefault="00161B88" w:rsidP="00AF32B2">
      <w:pPr>
        <w:pStyle w:val="berschrift4"/>
      </w:pPr>
      <w:r w:rsidRPr="00AF32B2">
        <w:t>3.3.35.29 Prognose und Erklärung</w:t>
      </w:r>
    </w:p>
    <w:p w:rsidR="00161B88" w:rsidRDefault="00161B88" w:rsidP="00161B88">
      <w:pPr>
        <w:pStyle w:val="StandardWeb"/>
      </w:pPr>
      <w:r>
        <w:t>Eine erklärende Abbildung lautet</w:t>
      </w:r>
    </w:p>
    <w:p w:rsidR="00161B88" w:rsidRDefault="00161B88" w:rsidP="00161B88">
      <w:pPr>
        <w:pStyle w:val="StandardWeb"/>
      </w:pPr>
      <w:r>
        <w:t>[</w:t>
      </w:r>
      <w:r>
        <w:br/>
        <w:t>\mathcal{E}</w:t>
      </w:r>
      <w:r>
        <w:rPr>
          <w:rStyle w:val="Hervorhebung"/>
        </w:rPr>
        <w:t>{F}^{\mathrm{expl}}:</w:t>
      </w:r>
      <w:r>
        <w:rPr>
          <w:i/>
          <w:iCs/>
        </w:rPr>
        <w:br/>
      </w:r>
      <w:r>
        <w:rPr>
          <w:rStyle w:val="Hervorhebung"/>
        </w:rPr>
        <w:t>\mathcal{D}</w:t>
      </w:r>
      <w:r>
        <w:rPr>
          <w:i/>
          <w:iCs/>
        </w:rPr>
        <w:br/>
      </w:r>
      <w:r>
        <w:rPr>
          <w:rStyle w:val="Hervorhebung"/>
        </w:rPr>
        <w:t>\rightarrow</w:t>
      </w:r>
      <w:r>
        <w:rPr>
          <w:i/>
          <w:iCs/>
        </w:rPr>
        <w:br/>
      </w:r>
      <w:r>
        <w:rPr>
          <w:rStyle w:val="Hervorhebung"/>
        </w:rPr>
        <w:t>\mathfrak{Z}</w:t>
      </w:r>
      <w:r>
        <w:t>{\mathrm{erkl}}.</w:t>
      </w:r>
      <w:r>
        <w:br/>
      </w:r>
      <w:r>
        <w:lastRenderedPageBreak/>
        <w:t>\tag{3.6022}</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\mathcal{E}_{F}^{\mathrm{expl}}:\mathcal{D}\rightarrow\mathfrak{Z}_{\mathrm{erkl}}\qquad\text{(3.6022)}</w:t>
      </w:r>
    </w:p>
    <w:p w:rsidR="00161B88" w:rsidRDefault="00161B88" w:rsidP="00161B88">
      <w:pPr>
        <w:pStyle w:val="StandardWeb"/>
      </w:pPr>
      <w:r>
        <w:t>Eine Prognoseabbildung lautet</w:t>
      </w:r>
    </w:p>
    <w:p w:rsidR="00161B88" w:rsidRDefault="00161B88" w:rsidP="00161B88">
      <w:pPr>
        <w:pStyle w:val="StandardWeb"/>
      </w:pPr>
      <w:r>
        <w:t>[</w:t>
      </w:r>
      <w:r>
        <w:br/>
        <w:t>\mathcal{P}</w:t>
      </w:r>
      <w:r>
        <w:rPr>
          <w:rStyle w:val="Hervorhebung"/>
        </w:rPr>
        <w:t>{F}^{\mathrm{prog}}:</w:t>
      </w:r>
      <w:r>
        <w:rPr>
          <w:i/>
          <w:iCs/>
        </w:rPr>
        <w:br/>
      </w:r>
      <w:r>
        <w:rPr>
          <w:rStyle w:val="Hervorhebung"/>
        </w:rPr>
        <w:t>\mathcal{I}</w:t>
      </w:r>
      <w:r>
        <w:t>{t}</w:t>
      </w:r>
      <w:r>
        <w:br/>
        <w:t>\rightarrow</w:t>
      </w:r>
      <w:r>
        <w:br/>
        <w:t>\mathfrak{Z}_{\mathrm{zuk}}.</w:t>
      </w:r>
      <w:r>
        <w:br/>
        <w:t>\tag{3.6023}</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\mathcal{P}_{F}^{\mathrm{prog}}:\mathcal{I}_{t}\rightarrow\mathfrak{Z}_{\mathrm{zuk}}\qquad\text{(3.6023)}</w:t>
      </w:r>
    </w:p>
    <w:p w:rsidR="00161B88" w:rsidRDefault="00161B88" w:rsidP="00161B88">
      <w:pPr>
        <w:pStyle w:val="StandardWeb"/>
      </w:pPr>
      <w:r>
        <w:t>Eine gute nachträgliche Erklärung muss keine gute Prognose erzeugen:</w:t>
      </w:r>
    </w:p>
    <w:p w:rsidR="00161B88" w:rsidRDefault="00161B88" w:rsidP="00161B88">
      <w:pPr>
        <w:pStyle w:val="StandardWeb"/>
      </w:pPr>
      <w:r>
        <w:t>[</w:t>
      </w:r>
      <w:r>
        <w:br/>
        <w:t>G_{\mathrm{expl}}</w:t>
      </w:r>
      <w:r>
        <w:br/>
        <w:t>\text{ hoch}</w:t>
      </w:r>
      <w:r>
        <w:br/>
        <w:t>\nRightarrow</w:t>
      </w:r>
      <w:r>
        <w:br/>
        <w:t>G_{\mathrm{prog}}</w:t>
      </w:r>
      <w:r>
        <w:br/>
        <w:t>\text{ hoch}.</w:t>
      </w:r>
      <w:r>
        <w:br/>
        <w:t>\tag{3.6024}</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G_{\mathrm{expl}}\text{ hoch}\nRightarrow G_{\mathrm{prog}}\text{ hoch}\qquad\text{(3.6024)}</w:t>
      </w:r>
    </w:p>
    <w:p w:rsidR="00161B88" w:rsidRDefault="00161B88" w:rsidP="00161B88">
      <w:pPr>
        <w:pStyle w:val="StandardWeb"/>
      </w:pPr>
      <w:r>
        <w:t>Ebenso kann ein prognostisch leistungsfähiges Modell wissenschaftlich schwer interpretierbar sein.</w:t>
      </w:r>
    </w:p>
    <w:p w:rsidR="00161B88" w:rsidRPr="00AF32B2" w:rsidRDefault="00161B88" w:rsidP="00AF32B2">
      <w:pPr>
        <w:pStyle w:val="berschrift4"/>
      </w:pPr>
      <w:r w:rsidRPr="00AF32B2">
        <w:t>3.3.35.30 Prognoseklassen</w:t>
      </w:r>
    </w:p>
    <w:p w:rsidR="00161B88" w:rsidRDefault="00161B88" w:rsidP="00161B88">
      <w:pPr>
        <w:pStyle w:val="StandardWeb"/>
      </w:pPr>
      <w:r>
        <w:t>Ich unterscheide vier Prognoseklassen:</w:t>
      </w:r>
    </w:p>
    <w:p w:rsidR="00161B88" w:rsidRDefault="00161B88" w:rsidP="00161B88">
      <w:pPr>
        <w:pStyle w:val="berschrift1"/>
      </w:pPr>
      <w:r>
        <w:t>[</w:t>
      </w:r>
      <w:r>
        <w:br/>
        <w:t>\mathfrak{L}_{\mathrm{prog}}</w:t>
      </w:r>
    </w:p>
    <w:p w:rsidR="00161B88" w:rsidRDefault="00161B88" w:rsidP="00161B88">
      <w:pPr>
        <w:pStyle w:val="StandardWeb"/>
      </w:pPr>
      <w:r>
        <w:lastRenderedPageBreak/>
        <w:t>\left{</w:t>
      </w:r>
      <w:r>
        <w:br/>
        <w:t>\mathbf{überlegen},</w:t>
      </w:r>
      <w:r>
        <w:br/>
        <w:t>\mathbf{vergleichbar},</w:t>
      </w:r>
      <w:r>
        <w:br/>
        <w:t>\mathbf{unterlegen},</w:t>
      </w:r>
      <w:r>
        <w:br/>
        <w:t>\mathbf{nicht\ prüfbar}</w:t>
      </w:r>
      <w:r>
        <w:br/>
        <w:t>\right}.</w:t>
      </w:r>
      <w:r>
        <w:br/>
        <w:t>\tag{3.6025}</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\mathfrak{L}_{\mathrm{prog}}=\left\{\mathbf{überlegen},\mathbf{vergleichbar},\mathbf{unterlegen},\mathbf{nicht\ prüfbar}\right\}\qquad\text{(3.6025)}</w:t>
      </w:r>
    </w:p>
    <w:p w:rsidR="00161B88" w:rsidRDefault="00161B88" w:rsidP="00161B88">
      <w:pPr>
        <w:pStyle w:val="StandardWeb"/>
      </w:pPr>
      <w:r>
        <w:t>Die Zuordnungsabbildung lautet</w:t>
      </w:r>
    </w:p>
    <w:p w:rsidR="00161B88" w:rsidRDefault="00161B88" w:rsidP="00161B88">
      <w:pPr>
        <w:pStyle w:val="StandardWeb"/>
      </w:pPr>
      <w:r>
        <w:t>[</w:t>
      </w:r>
      <w:r>
        <w:br/>
        <w:t>\operatorname{Klasse}</w:t>
      </w:r>
      <w:r>
        <w:rPr>
          <w:rStyle w:val="Hervorhebung"/>
        </w:rPr>
        <w:t>{\mathrm{prog}}:</w:t>
      </w:r>
      <w:r>
        <w:rPr>
          <w:i/>
          <w:iCs/>
        </w:rPr>
        <w:br/>
      </w:r>
      <w:r>
        <w:rPr>
          <w:rStyle w:val="Hervorhebung"/>
        </w:rPr>
        <w:t>\mathfrak{P}</w:t>
      </w:r>
      <w:r>
        <w:t>{F}^{\mathrm{prog}}</w:t>
      </w:r>
      <w:r>
        <w:br/>
        <w:t>\rightarrow</w:t>
      </w:r>
      <w:r>
        <w:br/>
        <w:t>\mathfrak{L}_{\mathrm{prog}}.</w:t>
      </w:r>
      <w:r>
        <w:br/>
        <w:t>\tag{3.6026}</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\operatorname{Klasse}_{\mathrm{prog}}:\mathfrak{P}_{F}^{\mathrm{prog}}\rightarrow\mathfrak{L}_{\mathrm{prog}}\qquad\text{(3.6026)}</w:t>
      </w:r>
    </w:p>
    <w:p w:rsidR="00161B88" w:rsidRPr="00AF32B2" w:rsidRDefault="00161B88" w:rsidP="00AF32B2">
      <w:pPr>
        <w:pStyle w:val="berschrift4"/>
      </w:pPr>
      <w:r w:rsidRPr="00AF32B2">
        <w:t>3.3.35.31 Gesamtprädikat der Prognosefähigkeit</w:t>
      </w:r>
    </w:p>
    <w:p w:rsidR="00161B88" w:rsidRDefault="00161B88" w:rsidP="00161B88">
      <w:pPr>
        <w:pStyle w:val="StandardWeb"/>
      </w:pPr>
      <w:r>
        <w:t>Das erweiterte Prognosefähigkeitsprädikat lautet</w:t>
      </w:r>
    </w:p>
    <w:p w:rsidR="00161B88" w:rsidRDefault="00161B88" w:rsidP="00161B88">
      <w:pPr>
        <w:pStyle w:val="StandardWeb"/>
      </w:pPr>
      <w:r>
        <w:t>[</w:t>
      </w:r>
      <w:r>
        <w:br/>
        <w:t>\operatorname{EProg}</w:t>
      </w:r>
      <w:r>
        <w:rPr>
          <w:rStyle w:val="Hervorhebung"/>
        </w:rPr>
        <w:t>{F}:</w:t>
      </w:r>
      <w:r>
        <w:rPr>
          <w:i/>
          <w:iCs/>
        </w:rPr>
        <w:br/>
      </w:r>
      <w:r>
        <w:rPr>
          <w:rStyle w:val="Hervorhebung"/>
        </w:rPr>
        <w:t>\mathfrak{P}</w:t>
      </w:r>
      <w:r>
        <w:t>{F}^{\mathrm{prog}}</w:t>
      </w:r>
      <w:r>
        <w:br/>
        <w:t>\rightarrow</w:t>
      </w:r>
      <w:r>
        <w:br/>
        <w:t>{0,1}.</w:t>
      </w:r>
      <w:r>
        <w:br/>
        <w:t>\tag{3.6027}</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\operatorname{EProg}_{F}:\mathfrak{P}_{F}^{\mathrm{prog}}\rightarrow\{0,1\}\qquad\text{(3.6027)}</w:t>
      </w:r>
    </w:p>
    <w:p w:rsidR="00161B88" w:rsidRDefault="00161B88" w:rsidP="00161B88">
      <w:pPr>
        <w:pStyle w:val="StandardWeb"/>
      </w:pPr>
      <w:r>
        <w:t>Es nimmt den Wert eins an, wenn:</w:t>
      </w:r>
    </w:p>
    <w:p w:rsidR="00161B88" w:rsidRDefault="00161B88" w:rsidP="00632D23">
      <w:pPr>
        <w:pStyle w:val="StandardWeb"/>
        <w:numPr>
          <w:ilvl w:val="0"/>
          <w:numId w:val="246"/>
        </w:numPr>
      </w:pPr>
      <w:r>
        <w:t>Prognosezeitpunkt und Prognosehorizont festgelegt sind,</w:t>
      </w:r>
    </w:p>
    <w:p w:rsidR="00161B88" w:rsidRDefault="00161B88" w:rsidP="00632D23">
      <w:pPr>
        <w:pStyle w:val="StandardWeb"/>
        <w:numPr>
          <w:ilvl w:val="0"/>
          <w:numId w:val="246"/>
        </w:numPr>
      </w:pPr>
      <w:r>
        <w:t>der Informationsstand zeitlich korrekt begrenzt ist,</w:t>
      </w:r>
    </w:p>
    <w:p w:rsidR="00161B88" w:rsidRDefault="00161B88" w:rsidP="00632D23">
      <w:pPr>
        <w:pStyle w:val="StandardWeb"/>
        <w:numPr>
          <w:ilvl w:val="0"/>
          <w:numId w:val="246"/>
        </w:numPr>
      </w:pPr>
      <w:r>
        <w:t>keine Informationsleckage vorliegt,</w:t>
      </w:r>
    </w:p>
    <w:p w:rsidR="00161B88" w:rsidRDefault="00161B88" w:rsidP="00632D23">
      <w:pPr>
        <w:pStyle w:val="StandardWeb"/>
        <w:numPr>
          <w:ilvl w:val="0"/>
          <w:numId w:val="246"/>
        </w:numPr>
      </w:pPr>
      <w:r>
        <w:t>Zielgröße und Gütemaße vorab bestimmt sind,</w:t>
      </w:r>
    </w:p>
    <w:p w:rsidR="00161B88" w:rsidRDefault="00161B88" w:rsidP="00632D23">
      <w:pPr>
        <w:pStyle w:val="StandardWeb"/>
        <w:numPr>
          <w:ilvl w:val="0"/>
          <w:numId w:val="246"/>
        </w:numPr>
      </w:pPr>
      <w:r>
        <w:t>ein angemessenes Referenzmodell verwendet wird,</w:t>
      </w:r>
    </w:p>
    <w:p w:rsidR="00161B88" w:rsidRDefault="00161B88" w:rsidP="00632D23">
      <w:pPr>
        <w:pStyle w:val="StandardWeb"/>
        <w:numPr>
          <w:ilvl w:val="0"/>
          <w:numId w:val="246"/>
        </w:numPr>
      </w:pPr>
      <w:r>
        <w:lastRenderedPageBreak/>
        <w:t>Punkt- oder Verteilungsprognosen kalibriert geprüft werden,</w:t>
      </w:r>
    </w:p>
    <w:p w:rsidR="00161B88" w:rsidRDefault="00161B88" w:rsidP="00632D23">
      <w:pPr>
        <w:pStyle w:val="StandardWeb"/>
        <w:numPr>
          <w:ilvl w:val="0"/>
          <w:numId w:val="246"/>
        </w:numPr>
      </w:pPr>
      <w:r>
        <w:t>die Prognosegüte außerhalb der Entwicklungsdaten bestimmt wird,</w:t>
      </w:r>
    </w:p>
    <w:p w:rsidR="00161B88" w:rsidRDefault="00161B88" w:rsidP="00632D23">
      <w:pPr>
        <w:pStyle w:val="StandardWeb"/>
        <w:numPr>
          <w:ilvl w:val="0"/>
          <w:numId w:val="246"/>
        </w:numPr>
      </w:pPr>
      <w:r>
        <w:t>Unsicherheit und Kosten dokumentiert sind.</w:t>
      </w:r>
    </w:p>
    <w:p w:rsidR="00161B88" w:rsidRDefault="00161B88" w:rsidP="00161B88">
      <w:pPr>
        <w:pStyle w:val="StandardWeb"/>
      </w:pPr>
      <w:r>
        <w:t>Formal gilt</w:t>
      </w:r>
    </w:p>
    <w:p w:rsidR="00161B88" w:rsidRDefault="00161B88" w:rsidP="00161B88">
      <w:pPr>
        <w:pStyle w:val="berschrift1"/>
      </w:pPr>
      <w:r>
        <w:t>[</w:t>
      </w:r>
      <w:r>
        <w:br/>
        <w:t>\operatorname{EProg}</w:t>
      </w:r>
      <w:r>
        <w:rPr>
          <w:rStyle w:val="Hervorhebung"/>
        </w:rPr>
        <w:t>{F}</w:t>
      </w:r>
      <w:r>
        <w:rPr>
          <w:i/>
          <w:iCs/>
        </w:rPr>
        <w:br/>
      </w:r>
      <w:r>
        <w:rPr>
          <w:rStyle w:val="Hervorhebung"/>
        </w:rPr>
        <w:t>\left(</w:t>
      </w:r>
      <w:r>
        <w:rPr>
          <w:i/>
          <w:iCs/>
        </w:rPr>
        <w:br/>
      </w:r>
      <w:r>
        <w:rPr>
          <w:rStyle w:val="Hervorhebung"/>
        </w:rPr>
        <w:t>\mathfrak{P}</w:t>
      </w:r>
      <w:r>
        <w:t>{F}^{\mathrm{prog}}</w:t>
      </w:r>
      <w:r>
        <w:br/>
        <w:t>\right)</w:t>
      </w:r>
    </w:p>
    <w:p w:rsidR="00161B88" w:rsidRDefault="00161B88" w:rsidP="00632D23">
      <w:pPr>
        <w:numPr>
          <w:ilvl w:val="0"/>
          <w:numId w:val="247"/>
        </w:numPr>
        <w:spacing w:before="100" w:beforeAutospacing="1" w:after="100" w:afterAutospacing="1"/>
      </w:pPr>
    </w:p>
    <w:p w:rsidR="00161B88" w:rsidRDefault="00161B88" w:rsidP="00161B88">
      <w:pPr>
        <w:pStyle w:val="StandardWeb"/>
      </w:pPr>
      <w:r>
        <w:t>\tag{3.6028}</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\operatorname{EProg}_{F}\left(\mathfrak{P}_{F}^{\mathrm{prog}}\right)=1\qquad\text{(3.6028)}</w:t>
      </w:r>
    </w:p>
    <w:p w:rsidR="00161B88" w:rsidRDefault="00161B88" w:rsidP="00161B88">
      <w:pPr>
        <w:pStyle w:val="StandardWeb"/>
      </w:pPr>
      <w:r>
        <w:t>Eine zusammengesetzte Bedingung lautet</w:t>
      </w:r>
    </w:p>
    <w:p w:rsidR="00161B88" w:rsidRDefault="00161B88" w:rsidP="00161B88">
      <w:pPr>
        <w:pStyle w:val="berschrift1"/>
      </w:pPr>
      <w:r>
        <w:t>[</w:t>
      </w:r>
      <w:r>
        <w:br/>
        <w:t>\operatorname{EProg}_{F}</w:t>
      </w:r>
    </w:p>
    <w:p w:rsidR="00161B88" w:rsidRDefault="00161B88" w:rsidP="00161B88">
      <w:pPr>
        <w:pStyle w:val="StandardWeb"/>
      </w:pPr>
      <w:r>
        <w:t>1</w:t>
      </w:r>
      <w:r>
        <w:br/>
        <w:t>\iff</w:t>
      </w:r>
      <w:r>
        <w:br/>
        <w:t>C_{\mathrm{zeit}}</w:t>
      </w:r>
      <w:r>
        <w:br/>
        <w:t>\land</w:t>
      </w:r>
      <w:r>
        <w:br/>
        <w:t>C_{\mathrm{info}}</w:t>
      </w:r>
      <w:r>
        <w:br/>
        <w:t>\land</w:t>
      </w:r>
      <w:r>
        <w:br/>
        <w:t>C_{\mathrm{leckage}}</w:t>
      </w:r>
      <w:r>
        <w:br/>
        <w:t>\land</w:t>
      </w:r>
      <w:r>
        <w:br/>
        <w:t>C_{\mathrm{ziel}}</w:t>
      </w:r>
      <w:r>
        <w:br/>
        <w:t>\land</w:t>
      </w:r>
      <w:r>
        <w:br/>
        <w:t>C_{\mathrm{referenz}}</w:t>
      </w:r>
      <w:r>
        <w:br/>
        <w:t>\land</w:t>
      </w:r>
      <w:r>
        <w:br/>
        <w:t>C_{\mathrm{güte}}</w:t>
      </w:r>
      <w:r>
        <w:br/>
        <w:t>\land</w:t>
      </w:r>
      <w:r>
        <w:br/>
        <w:t>C_{\mathrm{unc}}.</w:t>
      </w:r>
      <w:r>
        <w:br/>
        <w:t>\tag{3.6029}</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lastRenderedPageBreak/>
        <w:t>\operatorname{EProg}_{F}=1\iff C_{\mathrm{zeit}}\land C_{\mathrm{info}}\land C_{\mathrm{leckage}}\land C_{\mathrm{ziel}}\land C_{\mathrm{referenz}}\land C_{\mathrm{güte}}\land C_{\mathrm{unc}}\qquad\text{(3.6029)}</w:t>
      </w:r>
    </w:p>
    <w:p w:rsidR="00161B88" w:rsidRPr="00AF32B2" w:rsidRDefault="00161B88" w:rsidP="00AF32B2">
      <w:pPr>
        <w:pStyle w:val="berschrift4"/>
      </w:pPr>
      <w:r w:rsidRPr="00AF32B2">
        <w:t>3.3.35.32 Satz zur Fehlerdominanz gegenüber einem Referenzmodell</w:t>
      </w:r>
    </w:p>
    <w:p w:rsidR="00161B88" w:rsidRDefault="00161B88" w:rsidP="00161B88">
      <w:pPr>
        <w:pStyle w:val="StandardWeb"/>
      </w:pPr>
      <w:r>
        <w:rPr>
          <w:rStyle w:val="Fett"/>
        </w:rPr>
        <w:t>Satz 3.3.17 – Prognostische Überlegenheit gegenüber einem Referenzmodell</w:t>
      </w:r>
    </w:p>
    <w:p w:rsidR="00161B88" w:rsidRDefault="00161B88" w:rsidP="00161B88">
      <w:pPr>
        <w:pStyle w:val="StandardWeb"/>
      </w:pPr>
      <w:r>
        <w:t>Seien für dieselben (n) Prognosefälle die FRZK-Prognosen</w:t>
      </w:r>
    </w:p>
    <w:p w:rsidR="00161B88" w:rsidRDefault="00161B88" w:rsidP="00161B88">
      <w:pPr>
        <w:pStyle w:val="StandardWeb"/>
      </w:pPr>
      <w:r>
        <w:t>[</w:t>
      </w:r>
      <w:r>
        <w:br/>
        <w:t>\widehat{Y}_{i}^{F}</w:t>
      </w:r>
      <w:r>
        <w:br/>
        <w:t>\tag{3.6030}</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\widehat{Y}_{i}^{F}\qquad\text{(3.6030)}</w:t>
      </w:r>
    </w:p>
    <w:p w:rsidR="00161B88" w:rsidRDefault="00161B88" w:rsidP="00161B88">
      <w:pPr>
        <w:pStyle w:val="StandardWeb"/>
      </w:pPr>
      <w:r>
        <w:t>und die Referenzprognosen</w:t>
      </w:r>
    </w:p>
    <w:p w:rsidR="00161B88" w:rsidRDefault="00161B88" w:rsidP="00161B88">
      <w:pPr>
        <w:pStyle w:val="StandardWeb"/>
      </w:pPr>
      <w:r>
        <w:t>[</w:t>
      </w:r>
      <w:r>
        <w:br/>
        <w:t>\widehat{Y}_{i}^{B}</w:t>
      </w:r>
      <w:r>
        <w:br/>
        <w:t>\tag{3.6031}</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\widehat{Y}_{i}^{B}\qquad\text{(3.6031)}</w:t>
      </w:r>
    </w:p>
    <w:p w:rsidR="00161B88" w:rsidRDefault="00161B88" w:rsidP="00161B88">
      <w:pPr>
        <w:pStyle w:val="StandardWeb"/>
      </w:pPr>
      <w:r>
        <w:t>gegeben.</w:t>
      </w:r>
    </w:p>
    <w:p w:rsidR="00161B88" w:rsidRDefault="00161B88" w:rsidP="00161B88">
      <w:pPr>
        <w:pStyle w:val="StandardWeb"/>
      </w:pPr>
      <w:r>
        <w:t>Gilt für jeden Prognosefall</w:t>
      </w:r>
    </w:p>
    <w:p w:rsidR="00161B88" w:rsidRDefault="00161B88" w:rsidP="00161B88">
      <w:pPr>
        <w:pStyle w:val="StandardWeb"/>
      </w:pPr>
      <w:r>
        <w:t>[</w:t>
      </w:r>
      <w:r>
        <w:br/>
        <w:t>\left|</w:t>
      </w:r>
      <w:r>
        <w:br/>
        <w:t>Y_i-\widehat{Y}</w:t>
      </w:r>
      <w:r>
        <w:rPr>
          <w:rStyle w:val="Hervorhebung"/>
        </w:rPr>
        <w:t>{i}^{F}</w:t>
      </w:r>
      <w:r>
        <w:rPr>
          <w:i/>
          <w:iCs/>
        </w:rPr>
        <w:br/>
      </w:r>
      <w:r>
        <w:rPr>
          <w:rStyle w:val="Hervorhebung"/>
        </w:rPr>
        <w:t>\right|</w:t>
      </w:r>
      <w:r>
        <w:rPr>
          <w:i/>
          <w:iCs/>
        </w:rPr>
        <w:br/>
      </w:r>
      <w:r>
        <w:rPr>
          <w:rStyle w:val="Hervorhebung"/>
        </w:rPr>
        <w:t>\leq</w:t>
      </w:r>
      <w:r>
        <w:rPr>
          <w:i/>
          <w:iCs/>
        </w:rPr>
        <w:br/>
      </w:r>
      <w:r>
        <w:rPr>
          <w:rStyle w:val="Hervorhebung"/>
        </w:rPr>
        <w:t>\left|</w:t>
      </w:r>
      <w:r>
        <w:rPr>
          <w:i/>
          <w:iCs/>
        </w:rPr>
        <w:br/>
      </w:r>
      <w:r>
        <w:rPr>
          <w:rStyle w:val="Hervorhebung"/>
        </w:rPr>
        <w:t>Y_i-\widehat{Y}</w:t>
      </w:r>
      <w:r>
        <w:t>{i}^{B}</w:t>
      </w:r>
      <w:r>
        <w:br/>
        <w:t>\right|</w:t>
      </w:r>
      <w:r>
        <w:br/>
        <w:t>\tag{3.6032}</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\left|Y_i-\widehat{Y}_{i}^{F}\right|\leq\left|Y_i-\widehat{Y}_{i}^{B}\right|\qquad\text{(3.6032)}</w:t>
      </w:r>
    </w:p>
    <w:p w:rsidR="00161B88" w:rsidRDefault="00161B88" w:rsidP="00161B88">
      <w:pPr>
        <w:pStyle w:val="StandardWeb"/>
      </w:pPr>
      <w:r>
        <w:t>und für mindestens einen Fall streng</w:t>
      </w:r>
    </w:p>
    <w:p w:rsidR="00161B88" w:rsidRDefault="00161B88" w:rsidP="00161B88">
      <w:pPr>
        <w:pStyle w:val="StandardWeb"/>
      </w:pPr>
      <w:r>
        <w:lastRenderedPageBreak/>
        <w:t>[</w:t>
      </w:r>
      <w:r>
        <w:br/>
        <w:t>\left|</w:t>
      </w:r>
      <w:r>
        <w:br/>
        <w:t>Y_j-\widehat{Y}</w:t>
      </w:r>
      <w:r>
        <w:rPr>
          <w:rStyle w:val="Hervorhebung"/>
        </w:rPr>
        <w:t>{j}^{F}</w:t>
      </w:r>
      <w:r>
        <w:rPr>
          <w:i/>
          <w:iCs/>
        </w:rPr>
        <w:br/>
      </w:r>
      <w:r>
        <w:rPr>
          <w:rStyle w:val="Hervorhebung"/>
        </w:rPr>
        <w:t>\right|</w:t>
      </w:r>
      <w:r>
        <w:rPr>
          <w:i/>
          <w:iCs/>
        </w:rPr>
        <w:br/>
      </w:r>
      <w:r>
        <w:rPr>
          <w:rStyle w:val="Hervorhebung"/>
        </w:rPr>
        <w:t>&lt;</w:t>
      </w:r>
      <w:r>
        <w:rPr>
          <w:i/>
          <w:iCs/>
        </w:rPr>
        <w:br/>
      </w:r>
      <w:r>
        <w:rPr>
          <w:rStyle w:val="Hervorhebung"/>
        </w:rPr>
        <w:t>\left|</w:t>
      </w:r>
      <w:r>
        <w:rPr>
          <w:i/>
          <w:iCs/>
        </w:rPr>
        <w:br/>
      </w:r>
      <w:r>
        <w:rPr>
          <w:rStyle w:val="Hervorhebung"/>
        </w:rPr>
        <w:t>Y_j-\widehat{Y}</w:t>
      </w:r>
      <w:r>
        <w:t>{j}^{B}</w:t>
      </w:r>
      <w:r>
        <w:br/>
        <w:t>\right|,</w:t>
      </w:r>
      <w:r>
        <w:br/>
        <w:t>\tag{3.6033}</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\left|Y_j-\widehat{Y}_{j}^{F}\right|&lt;\left|Y_j-\widehat{Y}_{j}^{B}\right|\qquad\text{(3.6033)}</w:t>
      </w:r>
    </w:p>
    <w:p w:rsidR="00161B88" w:rsidRDefault="00161B88" w:rsidP="00161B88">
      <w:pPr>
        <w:pStyle w:val="StandardWeb"/>
      </w:pPr>
      <w:r>
        <w:t>dann gilt</w:t>
      </w:r>
    </w:p>
    <w:p w:rsidR="00161B88" w:rsidRDefault="00161B88" w:rsidP="00161B88">
      <w:pPr>
        <w:pStyle w:val="StandardWeb"/>
      </w:pPr>
      <w:r>
        <w:t>[</w:t>
      </w:r>
      <w:r>
        <w:br/>
        <w:t>\operatorname{MAE}</w:t>
      </w:r>
      <w:r>
        <w:rPr>
          <w:rStyle w:val="Hervorhebung"/>
        </w:rPr>
        <w:t>{F}</w:t>
      </w:r>
      <w:r>
        <w:rPr>
          <w:i/>
          <w:iCs/>
        </w:rPr>
        <w:br/>
      </w:r>
      <w:r>
        <w:rPr>
          <w:rStyle w:val="Hervorhebung"/>
        </w:rPr>
        <w:t>&lt;</w:t>
      </w:r>
      <w:r>
        <w:rPr>
          <w:i/>
          <w:iCs/>
        </w:rPr>
        <w:br/>
      </w:r>
      <w:r>
        <w:rPr>
          <w:rStyle w:val="Hervorhebung"/>
        </w:rPr>
        <w:t>\operatorname{MAE}</w:t>
      </w:r>
      <w:r>
        <w:t>{B}.</w:t>
      </w:r>
      <w:r>
        <w:br/>
        <w:t>\tag{3.6034}</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\operatorname{MAE}_{F}&lt;\operatorname{MAE}_{B}\qquad\text{(3.6034)}</w:t>
      </w:r>
    </w:p>
    <w:p w:rsidR="00161B88" w:rsidRDefault="00161B88" w:rsidP="00161B88">
      <w:pPr>
        <w:pStyle w:val="berschrift3"/>
      </w:pPr>
      <w:r>
        <w:t>Beweis</w:t>
      </w:r>
    </w:p>
    <w:p w:rsidR="00161B88" w:rsidRDefault="00161B88" w:rsidP="00161B88">
      <w:pPr>
        <w:pStyle w:val="StandardWeb"/>
      </w:pPr>
      <w:r>
        <w:t>Aus Gleichung (3.6032) folgt für alle (i)</w:t>
      </w:r>
    </w:p>
    <w:p w:rsidR="00161B88" w:rsidRDefault="00161B88" w:rsidP="00161B88">
      <w:pPr>
        <w:pStyle w:val="berschrift2"/>
      </w:pPr>
      <w:r>
        <w:t>[</w:t>
      </w:r>
      <w:r>
        <w:br/>
        <w:t>\left|</w:t>
      </w:r>
      <w:r>
        <w:br/>
        <w:t>Y_i-\widehat{Y}_{i}^{F}</w:t>
      </w:r>
      <w:r>
        <w:br/>
        <w:t>\right|</w:t>
      </w:r>
    </w:p>
    <w:p w:rsidR="00161B88" w:rsidRDefault="00161B88" w:rsidP="00161B88">
      <w:pPr>
        <w:pStyle w:val="StandardWeb"/>
      </w:pPr>
      <w:r>
        <w:t>\left|</w:t>
      </w:r>
      <w:r>
        <w:br/>
        <w:t>Y_i-\widehat{Y}_{i}^{B}</w:t>
      </w:r>
      <w:r>
        <w:br/>
        <w:t>\right|</w:t>
      </w:r>
      <w:r>
        <w:br/>
        <w:t>\leq</w:t>
      </w:r>
      <w:r>
        <w:br/>
        <w:t>0.</w:t>
      </w:r>
      <w:r>
        <w:br/>
        <w:t>\tag{3.6035}</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\left|Y_i-\widehat{Y}_{i}^{F}\right|-\left|Y_i-\widehat{Y}_{i}^{B}\right|\leq0\qquad\text{(3.6035)}</w:t>
      </w:r>
    </w:p>
    <w:p w:rsidR="00161B88" w:rsidRDefault="00161B88" w:rsidP="00161B88">
      <w:pPr>
        <w:pStyle w:val="StandardWeb"/>
      </w:pPr>
      <w:r>
        <w:lastRenderedPageBreak/>
        <w:t>Für mindestens einen Index (j) gilt</w:t>
      </w:r>
    </w:p>
    <w:p w:rsidR="00161B88" w:rsidRDefault="00161B88" w:rsidP="00161B88">
      <w:pPr>
        <w:pStyle w:val="berschrift2"/>
      </w:pPr>
      <w:r>
        <w:t>[</w:t>
      </w:r>
      <w:r>
        <w:br/>
        <w:t>\left|</w:t>
      </w:r>
      <w:r>
        <w:br/>
        <w:t>Y_j-\widehat{Y}_{j}^{F}</w:t>
      </w:r>
      <w:r>
        <w:br/>
        <w:t>\right|</w:t>
      </w:r>
    </w:p>
    <w:p w:rsidR="00161B88" w:rsidRDefault="00161B88" w:rsidP="00161B88">
      <w:pPr>
        <w:pStyle w:val="StandardWeb"/>
      </w:pPr>
      <w:r>
        <w:t>\left|</w:t>
      </w:r>
      <w:r>
        <w:br/>
        <w:t>Y_j-\widehat{Y}_{j}^{B}</w:t>
      </w:r>
      <w:r>
        <w:br/>
        <w:t>\right|</w:t>
      </w:r>
      <w:r>
        <w:br/>
        <w:t>&lt;</w:t>
      </w:r>
      <w:r>
        <w:br/>
        <w:t>0.</w:t>
      </w:r>
      <w:r>
        <w:br/>
        <w:t>\tag{3.6036}</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\left|Y_j-\widehat{Y}_{j}^{F}\right|-\left|Y_j-\widehat{Y}_{j}^{B}\right|&lt;0\qquad\text{(3.6036)}</w:t>
      </w:r>
    </w:p>
    <w:p w:rsidR="00161B88" w:rsidRDefault="00161B88" w:rsidP="00161B88">
      <w:pPr>
        <w:pStyle w:val="StandardWeb"/>
      </w:pPr>
      <w:r>
        <w:t>Durch Summation folgt</w:t>
      </w:r>
    </w:p>
    <w:p w:rsidR="00161B88" w:rsidRDefault="00161B88" w:rsidP="00161B88">
      <w:pPr>
        <w:pStyle w:val="StandardWeb"/>
      </w:pPr>
      <w:r>
        <w:t>[</w:t>
      </w:r>
      <w:r>
        <w:br/>
        <w:t>\sum_{i=1}^{n}</w:t>
      </w:r>
      <w:r>
        <w:br/>
        <w:t>\left|</w:t>
      </w:r>
      <w:r>
        <w:br/>
        <w:t>Y_i-\widehat{Y}</w:t>
      </w:r>
      <w:r>
        <w:rPr>
          <w:rStyle w:val="Hervorhebung"/>
        </w:rPr>
        <w:t>{i}^{F}</w:t>
      </w:r>
      <w:r>
        <w:rPr>
          <w:i/>
          <w:iCs/>
        </w:rPr>
        <w:br/>
      </w:r>
      <w:r>
        <w:rPr>
          <w:rStyle w:val="Hervorhebung"/>
        </w:rPr>
        <w:t>\right|</w:t>
      </w:r>
      <w:r>
        <w:rPr>
          <w:i/>
          <w:iCs/>
        </w:rPr>
        <w:br/>
      </w:r>
      <w:r>
        <w:rPr>
          <w:rStyle w:val="Hervorhebung"/>
        </w:rPr>
        <w:t>&lt;</w:t>
      </w:r>
      <w:r>
        <w:rPr>
          <w:i/>
          <w:iCs/>
        </w:rPr>
        <w:br/>
      </w:r>
      <w:r>
        <w:rPr>
          <w:rStyle w:val="Hervorhebung"/>
        </w:rPr>
        <w:t>\sum</w:t>
      </w:r>
      <w:r>
        <w:t>{i=1}^{n}</w:t>
      </w:r>
      <w:r>
        <w:br/>
        <w:t>\left|</w:t>
      </w:r>
      <w:r>
        <w:br/>
        <w:t>Y_i-\widehat{Y}_{i}^{B}</w:t>
      </w:r>
      <w:r>
        <w:br/>
        <w:t>\right|.</w:t>
      </w:r>
      <w:r>
        <w:br/>
        <w:t>\tag{3.6037}</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\sum_{i=1}^{n}\left|Y_i-\widehat{Y}_{i}^{F}\right|&lt;\sum_{i=1}^{n}\left|Y_i-\widehat{Y}_{i}^{B}\right|\qquad\text{(3.6037)}</w:t>
      </w:r>
    </w:p>
    <w:p w:rsidR="00161B88" w:rsidRDefault="00161B88" w:rsidP="00161B88">
      <w:pPr>
        <w:pStyle w:val="StandardWeb"/>
      </w:pPr>
      <w:r>
        <w:t>Division durch (n&gt;0) ergibt</w:t>
      </w:r>
    </w:p>
    <w:p w:rsidR="00161B88" w:rsidRDefault="00161B88" w:rsidP="00161B88">
      <w:pPr>
        <w:pStyle w:val="StandardWeb"/>
      </w:pPr>
      <w:r>
        <w:t>[</w:t>
      </w:r>
      <w:r>
        <w:br/>
        <w:t>\frac{1}{n}</w:t>
      </w:r>
      <w:r>
        <w:br/>
        <w:t>\sum_{i=1}^{n}</w:t>
      </w:r>
      <w:r>
        <w:br/>
        <w:t>\left|</w:t>
      </w:r>
      <w:r>
        <w:br/>
        <w:t>Y_i-\widehat{Y}</w:t>
      </w:r>
      <w:r>
        <w:rPr>
          <w:rStyle w:val="Hervorhebung"/>
        </w:rPr>
        <w:t>{i}^{F}</w:t>
      </w:r>
      <w:r>
        <w:rPr>
          <w:i/>
          <w:iCs/>
        </w:rPr>
        <w:br/>
      </w:r>
      <w:r>
        <w:rPr>
          <w:rStyle w:val="Hervorhebung"/>
        </w:rPr>
        <w:t>\right|</w:t>
      </w:r>
      <w:r>
        <w:rPr>
          <w:i/>
          <w:iCs/>
        </w:rPr>
        <w:br/>
      </w:r>
      <w:r>
        <w:rPr>
          <w:rStyle w:val="Hervorhebung"/>
        </w:rPr>
        <w:t>&lt;</w:t>
      </w:r>
      <w:r>
        <w:rPr>
          <w:i/>
          <w:iCs/>
        </w:rPr>
        <w:br/>
      </w:r>
      <w:r>
        <w:rPr>
          <w:rStyle w:val="Hervorhebung"/>
        </w:rPr>
        <w:lastRenderedPageBreak/>
        <w:t>\frac{1}{n}</w:t>
      </w:r>
      <w:r>
        <w:rPr>
          <w:i/>
          <w:iCs/>
        </w:rPr>
        <w:br/>
      </w:r>
      <w:r>
        <w:rPr>
          <w:rStyle w:val="Hervorhebung"/>
        </w:rPr>
        <w:t>\sum</w:t>
      </w:r>
      <w:r>
        <w:t>{i=1}^{n}</w:t>
      </w:r>
      <w:r>
        <w:br/>
        <w:t>\left|</w:t>
      </w:r>
      <w:r>
        <w:br/>
        <w:t>Y_i-\widehat{Y}_{i}^{B}</w:t>
      </w:r>
      <w:r>
        <w:br/>
        <w:t>\right|.</w:t>
      </w:r>
      <w:r>
        <w:br/>
        <w:t>\tag{3.6038}</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\frac{1}{n}\sum_{i=1}^{n}\left|Y_i-\widehat{Y}_{i}^{F}\right|&lt;\frac{1}{n}\sum_{i=1}^{n}\left|Y_i-\widehat{Y}_{i}^{B}\right|\qquad\text{(3.6038)}</w:t>
      </w:r>
    </w:p>
    <w:p w:rsidR="00161B88" w:rsidRDefault="00161B88" w:rsidP="00161B88">
      <w:pPr>
        <w:pStyle w:val="StandardWeb"/>
      </w:pPr>
      <w:r>
        <w:t>Damit folgt</w:t>
      </w:r>
    </w:p>
    <w:p w:rsidR="00161B88" w:rsidRDefault="00161B88" w:rsidP="00161B88">
      <w:pPr>
        <w:pStyle w:val="StandardWeb"/>
      </w:pPr>
      <w:r>
        <w:t>[</w:t>
      </w:r>
      <w:r>
        <w:br/>
        <w:t>\operatorname{MAE}</w:t>
      </w:r>
      <w:r>
        <w:rPr>
          <w:rStyle w:val="Hervorhebung"/>
        </w:rPr>
        <w:t>{F}</w:t>
      </w:r>
      <w:r>
        <w:rPr>
          <w:i/>
          <w:iCs/>
        </w:rPr>
        <w:br/>
      </w:r>
      <w:r>
        <w:rPr>
          <w:rStyle w:val="Hervorhebung"/>
        </w:rPr>
        <w:t>&lt;</w:t>
      </w:r>
      <w:r>
        <w:rPr>
          <w:i/>
          <w:iCs/>
        </w:rPr>
        <w:br/>
      </w:r>
      <w:r>
        <w:rPr>
          <w:rStyle w:val="Hervorhebung"/>
        </w:rPr>
        <w:t>\operatorname{MAE}</w:t>
      </w:r>
      <w:r>
        <w:t>{B}.</w:t>
      </w:r>
      <w:r>
        <w:br/>
        <w:t>\tag{3.6039}</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\operatorname{MAE}_{F}&lt;\operatorname{MAE}_{B}\qquad\text{(3.6039)}</w:t>
      </w:r>
    </w:p>
    <w:p w:rsidR="00161B88" w:rsidRDefault="00161B88" w:rsidP="00161B88">
      <w:pPr>
        <w:pStyle w:val="StandardWeb"/>
      </w:pPr>
      <w:r>
        <w:t>Damit ist die prognostische Überlegenheit bezüglich des mittleren absoluten Fehlers gezeigt. (\square)</w:t>
      </w:r>
    </w:p>
    <w:p w:rsidR="00161B88" w:rsidRPr="00AF32B2" w:rsidRDefault="00161B88" w:rsidP="00AF32B2">
      <w:pPr>
        <w:pStyle w:val="berschrift4"/>
      </w:pPr>
      <w:r w:rsidRPr="00AF32B2">
        <w:t>3.3.35.33 Reichweite des Prognosesatzes</w:t>
      </w:r>
    </w:p>
    <w:p w:rsidR="00161B88" w:rsidRDefault="00161B88" w:rsidP="00161B88">
      <w:pPr>
        <w:pStyle w:val="StandardWeb"/>
      </w:pPr>
      <w:r>
        <w:t>Satz 3.3.17 zeigt eine deterministische Dominanz bezüglich des MAE. Er berücksichtigt nicht automatisch:</w:t>
      </w:r>
    </w:p>
    <w:p w:rsidR="00161B88" w:rsidRDefault="00161B88" w:rsidP="00632D23">
      <w:pPr>
        <w:pStyle w:val="StandardWeb"/>
        <w:numPr>
          <w:ilvl w:val="0"/>
          <w:numId w:val="248"/>
        </w:numPr>
      </w:pPr>
      <w:r>
        <w:t>statistische Unsicherheit bei kleinen Stichproben,</w:t>
      </w:r>
    </w:p>
    <w:p w:rsidR="00161B88" w:rsidRDefault="00161B88" w:rsidP="00632D23">
      <w:pPr>
        <w:pStyle w:val="StandardWeb"/>
        <w:numPr>
          <w:ilvl w:val="0"/>
          <w:numId w:val="248"/>
        </w:numPr>
      </w:pPr>
      <w:r>
        <w:t>Abhängigkeiten zwischen Prognosefällen,</w:t>
      </w:r>
    </w:p>
    <w:p w:rsidR="00161B88" w:rsidRDefault="00161B88" w:rsidP="00632D23">
      <w:pPr>
        <w:pStyle w:val="StandardWeb"/>
        <w:numPr>
          <w:ilvl w:val="0"/>
          <w:numId w:val="248"/>
        </w:numPr>
      </w:pPr>
      <w:r>
        <w:t>unterschiedliche Kosten großer und kleiner Fehler,</w:t>
      </w:r>
    </w:p>
    <w:p w:rsidR="00161B88" w:rsidRDefault="00161B88" w:rsidP="00632D23">
      <w:pPr>
        <w:pStyle w:val="StandardWeb"/>
        <w:numPr>
          <w:ilvl w:val="0"/>
          <w:numId w:val="248"/>
        </w:numPr>
      </w:pPr>
      <w:r>
        <w:t>probabilistische Kalibrierung,</w:t>
      </w:r>
    </w:p>
    <w:p w:rsidR="00161B88" w:rsidRDefault="00161B88" w:rsidP="00632D23">
      <w:pPr>
        <w:pStyle w:val="StandardWeb"/>
        <w:numPr>
          <w:ilvl w:val="0"/>
          <w:numId w:val="248"/>
        </w:numPr>
      </w:pPr>
      <w:r>
        <w:t>andere Verlustfunktionen,</w:t>
      </w:r>
    </w:p>
    <w:p w:rsidR="00161B88" w:rsidRDefault="00161B88" w:rsidP="00632D23">
      <w:pPr>
        <w:pStyle w:val="StandardWeb"/>
        <w:numPr>
          <w:ilvl w:val="0"/>
          <w:numId w:val="248"/>
        </w:numPr>
      </w:pPr>
      <w:r>
        <w:t>unterschiedliche Prognosehorizonte.</w:t>
      </w:r>
    </w:p>
    <w:p w:rsidR="00161B88" w:rsidRDefault="00161B88" w:rsidP="00161B88">
      <w:pPr>
        <w:pStyle w:val="StandardWeb"/>
      </w:pPr>
      <w:r>
        <w:t>Aus</w:t>
      </w:r>
    </w:p>
    <w:p w:rsidR="00161B88" w:rsidRDefault="00161B88" w:rsidP="00161B88">
      <w:pPr>
        <w:pStyle w:val="StandardWeb"/>
      </w:pPr>
      <w:r>
        <w:t>[</w:t>
      </w:r>
      <w:r>
        <w:br/>
        <w:t>\operatorname{MAE}</w:t>
      </w:r>
      <w:r>
        <w:rPr>
          <w:rStyle w:val="Hervorhebung"/>
        </w:rPr>
        <w:t>{F}</w:t>
      </w:r>
      <w:r>
        <w:rPr>
          <w:i/>
          <w:iCs/>
        </w:rPr>
        <w:br/>
      </w:r>
      <w:r>
        <w:rPr>
          <w:rStyle w:val="Hervorhebung"/>
        </w:rPr>
        <w:t>&lt;</w:t>
      </w:r>
      <w:r>
        <w:rPr>
          <w:i/>
          <w:iCs/>
        </w:rPr>
        <w:br/>
      </w:r>
      <w:r>
        <w:rPr>
          <w:rStyle w:val="Hervorhebung"/>
        </w:rPr>
        <w:t>\operatorname{MAE}</w:t>
      </w:r>
      <w:r>
        <w:t>{B}</w:t>
      </w:r>
      <w:r>
        <w:br/>
        <w:t>\tag{3.6040}</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lastRenderedPageBreak/>
        <w:t>\operatorname{MAE}_{F}&lt;\operatorname{MAE}_{B}\qquad\text{(3.6040)}</w:t>
      </w:r>
    </w:p>
    <w:p w:rsidR="00161B88" w:rsidRDefault="00161B88" w:rsidP="00161B88">
      <w:pPr>
        <w:pStyle w:val="StandardWeb"/>
      </w:pPr>
      <w:r>
        <w:t>folgt daher nicht automatisch</w:t>
      </w:r>
    </w:p>
    <w:p w:rsidR="00161B88" w:rsidRDefault="00161B88" w:rsidP="00161B88">
      <w:pPr>
        <w:pStyle w:val="StandardWeb"/>
      </w:pPr>
      <w:r>
        <w:t>[</w:t>
      </w:r>
      <w:r>
        <w:br/>
        <w:t>\operatorname{MSE}</w:t>
      </w:r>
      <w:r>
        <w:rPr>
          <w:rStyle w:val="Hervorhebung"/>
        </w:rPr>
        <w:t>{F}</w:t>
      </w:r>
      <w:r>
        <w:rPr>
          <w:i/>
          <w:iCs/>
        </w:rPr>
        <w:br/>
      </w:r>
      <w:r>
        <w:rPr>
          <w:rStyle w:val="Hervorhebung"/>
        </w:rPr>
        <w:t>&lt;</w:t>
      </w:r>
      <w:r>
        <w:rPr>
          <w:i/>
          <w:iCs/>
        </w:rPr>
        <w:br/>
      </w:r>
      <w:r>
        <w:rPr>
          <w:rStyle w:val="Hervorhebung"/>
        </w:rPr>
        <w:t>\operatorname{MSE}</w:t>
      </w:r>
      <w:r>
        <w:t>{B}.</w:t>
      </w:r>
      <w:r>
        <w:br/>
        <w:t>\tag{3.6041}</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\operatorname{MSE}_{F}&lt;\operatorname{MSE}_{B}\qquad\text{(3.6041)}</w:t>
      </w:r>
    </w:p>
    <w:p w:rsidR="00161B88" w:rsidRDefault="00161B88" w:rsidP="00161B88">
      <w:pPr>
        <w:pStyle w:val="StandardWeb"/>
      </w:pPr>
      <w:r>
        <w:t>Ebenso folgt aus einem kleineren Punktprognosefehler nicht automatisch eine bessere probabilistische Kalibrierung.</w:t>
      </w:r>
    </w:p>
    <w:p w:rsidR="00161B88" w:rsidRPr="00AF32B2" w:rsidRDefault="00161B88" w:rsidP="00AF32B2">
      <w:pPr>
        <w:pStyle w:val="berschrift4"/>
      </w:pPr>
      <w:r w:rsidRPr="00AF32B2">
        <w:t>3.3.35.34 Repository-Dokumentation einer Prognose</w:t>
      </w:r>
    </w:p>
    <w:p w:rsidR="00161B88" w:rsidRDefault="00161B88" w:rsidP="00161B88">
      <w:pPr>
        <w:pStyle w:val="StandardWeb"/>
      </w:pPr>
      <w:r>
        <w:t>Eine Prognoseabhängigkeit kann gespeichert werden als</w:t>
      </w:r>
    </w:p>
    <w:p w:rsidR="00161B88" w:rsidRDefault="00161B88" w:rsidP="00161B88">
      <w:pPr>
        <w:pStyle w:val="StandardWeb"/>
      </w:pPr>
      <w:r>
        <w:t>[</w:t>
      </w:r>
      <w:r>
        <w:br/>
        <w:t>\operatorname{ProgDep}</w:t>
      </w:r>
      <w:r>
        <w:br/>
        <w:t>\left(</w:t>
      </w:r>
      <w:r>
        <w:br/>
        <w:t>\mathcal{I}</w:t>
      </w:r>
      <w:r>
        <w:rPr>
          <w:rStyle w:val="Hervorhebung"/>
        </w:rPr>
        <w:t>{t},</w:t>
      </w:r>
      <w:r>
        <w:rPr>
          <w:i/>
          <w:iCs/>
        </w:rPr>
        <w:br/>
      </w:r>
      <w:r>
        <w:rPr>
          <w:rStyle w:val="Hervorhebung"/>
        </w:rPr>
        <w:t>h,</w:t>
      </w:r>
      <w:r>
        <w:rPr>
          <w:i/>
          <w:iCs/>
        </w:rPr>
        <w:br/>
      </w:r>
      <w:r>
        <w:rPr>
          <w:rStyle w:val="Hervorhebung"/>
        </w:rPr>
        <w:t>Y</w:t>
      </w:r>
      <w:r>
        <w:t>{t+h},</w:t>
      </w:r>
      <w:r>
        <w:br/>
        <w:t>\widehat{Y}_{t+h\mid t}</w:t>
      </w:r>
      <w:r>
        <w:br/>
        <w:t>\right).</w:t>
      </w:r>
      <w:r>
        <w:br/>
        <w:t>\tag{3.6042}</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\operatorname{ProgDep}\left(\mathcal{I}_{t},h,Y_{t+h},\widehat{Y}_{t+h\mid t}\right)\qquad\text{(3.6042)}</w:t>
      </w:r>
    </w:p>
    <w:p w:rsidR="00161B88" w:rsidRDefault="00161B88" w:rsidP="00161B88">
      <w:pPr>
        <w:pStyle w:val="StandardWeb"/>
      </w:pPr>
      <w:r>
        <w:t>Eine Prognosebewertung lautet</w:t>
      </w:r>
    </w:p>
    <w:p w:rsidR="00161B88" w:rsidRDefault="00161B88" w:rsidP="00161B88">
      <w:pPr>
        <w:pStyle w:val="StandardWeb"/>
      </w:pPr>
      <w:r>
        <w:t>[</w:t>
      </w:r>
      <w:r>
        <w:br/>
        <w:t>\operatorname{ProgEval}</w:t>
      </w:r>
      <w:r>
        <w:br/>
        <w:t>\left(</w:t>
      </w:r>
      <w:r>
        <w:br/>
        <w:t>\widehat{Y},</w:t>
      </w:r>
      <w:r>
        <w:br/>
        <w:t>Y^{\mathrm{obs}},</w:t>
      </w:r>
      <w:r>
        <w:br/>
        <w:t>L,</w:t>
      </w:r>
      <w:r>
        <w:br/>
        <w:t>\mathcal{B}</w:t>
      </w:r>
      <w:r>
        <w:rPr>
          <w:rStyle w:val="Hervorhebung"/>
        </w:rPr>
        <w:t>{F},</w:t>
      </w:r>
      <w:r>
        <w:rPr>
          <w:i/>
          <w:iCs/>
        </w:rPr>
        <w:br/>
      </w:r>
      <w:r>
        <w:rPr>
          <w:rStyle w:val="Hervorhebung"/>
        </w:rPr>
        <w:t>\operatorname{Klasse}</w:t>
      </w:r>
      <w:r>
        <w:t>{\mathrm{prog}}</w:t>
      </w:r>
      <w:r>
        <w:br/>
        <w:t>\right).</w:t>
      </w:r>
      <w:r>
        <w:br/>
        <w:t>\tag{3.6043}</w:t>
      </w:r>
      <w:r>
        <w:br/>
        <w:t>]</w:t>
      </w:r>
    </w:p>
    <w:p w:rsidR="00161B88" w:rsidRDefault="00161B88" w:rsidP="00161B88">
      <w:pPr>
        <w:pStyle w:val="StandardWeb"/>
      </w:pPr>
      <w:r>
        <w:rPr>
          <w:rStyle w:val="Fett"/>
        </w:rPr>
        <w:lastRenderedPageBreak/>
        <w:t>Word-LaTeX</w:t>
      </w:r>
    </w:p>
    <w:p w:rsidR="00161B88" w:rsidRDefault="00161B88" w:rsidP="00161B88">
      <w:pPr>
        <w:pStyle w:val="HTMLVorformatiert"/>
        <w:rPr>
          <w:rStyle w:val="HTMLCode"/>
        </w:rPr>
      </w:pPr>
      <w:r>
        <w:rPr>
          <w:rStyle w:val="HTMLCode"/>
        </w:rPr>
        <w:t>\operatorname{ProgEval}\left(\widehat{Y},Y^{\mathrm{obs}},L,\mathcal{B}_{F},\operatorname{Klasse}_{\mathrm{prog}}\right)\qquad\text{(3.6043)}</w:t>
      </w:r>
    </w:p>
    <w:p w:rsidR="00161B88" w:rsidRDefault="00161B88" w:rsidP="00161B88">
      <w:pPr>
        <w:pStyle w:val="StandardWeb"/>
      </w:pPr>
      <w:r>
        <w:t>Ein Prognosemanifest lautet</w:t>
      </w:r>
    </w:p>
    <w:p w:rsidR="00161B88" w:rsidRDefault="00161B88" w:rsidP="00161B88">
      <w:pPr>
        <w:pStyle w:val="StandardWeb"/>
      </w:pPr>
      <w:r>
        <w:t>[</w:t>
      </w:r>
      <w:r>
        <w:br/>
        <w:t>\operatorname{ForecastManifest}</w:t>
      </w:r>
      <w:r>
        <w:br/>
        <w:t>\left(</w:t>
      </w:r>
      <w:r>
        <w:br/>
        <w:t>t,</w:t>
      </w:r>
      <w:r>
        <w:br/>
        <w:t>h,</w:t>
      </w:r>
      <w:r>
        <w:br/>
        <w:t>\mathcal{I}</w:t>
      </w:r>
      <w:r>
        <w:rPr>
          <w:rStyle w:val="Hervorhebung"/>
        </w:rPr>
        <w:t>{t},</w:t>
      </w:r>
      <w:r>
        <w:rPr>
          <w:i/>
          <w:iCs/>
        </w:rPr>
        <w:br/>
      </w:r>
      <w:r>
        <w:rPr>
          <w:rStyle w:val="Hervorhebung"/>
        </w:rPr>
        <w:t>\mathcal{M}</w:t>
      </w:r>
      <w:r>
        <w:t>{t},</w:t>
      </w:r>
      <w:r>
        <w:br/>
        <w:t>\Theta_t,</w:t>
      </w:r>
      <w:r>
        <w:br/>
        <w:t>\mathcal{O}_{t}</w:t>
      </w:r>
      <w:r>
        <w:br/>
        <w:t>\right).</w:t>
      </w:r>
      <w:r>
        <w:br/>
        <w:t>\tag{3.6044}</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\operatorname{ForecastManifest}\left(t,h,\mathcal{I}_{t},\mathcal{M}_{t},\Theta_t,\mathcal{O}_{t}\right)\qquad\text{(3.6044)}</w:t>
      </w:r>
    </w:p>
    <w:p w:rsidR="00161B88" w:rsidRDefault="00161B88" w:rsidP="00161B88">
      <w:pPr>
        <w:pStyle w:val="StandardWeb"/>
      </w:pPr>
      <w:r>
        <w:t>Zusätzlich müssen dokumentiert werden:</w:t>
      </w:r>
    </w:p>
    <w:p w:rsidR="00161B88" w:rsidRDefault="00161B88" w:rsidP="00632D23">
      <w:pPr>
        <w:pStyle w:val="StandardWeb"/>
        <w:numPr>
          <w:ilvl w:val="0"/>
          <w:numId w:val="249"/>
        </w:numPr>
      </w:pPr>
      <w:r>
        <w:t>Prognosezeitpunkt,</w:t>
      </w:r>
    </w:p>
    <w:p w:rsidR="00161B88" w:rsidRDefault="00161B88" w:rsidP="00632D23">
      <w:pPr>
        <w:pStyle w:val="StandardWeb"/>
        <w:numPr>
          <w:ilvl w:val="0"/>
          <w:numId w:val="249"/>
        </w:numPr>
      </w:pPr>
      <w:r>
        <w:t>Prognosehorizont,</w:t>
      </w:r>
    </w:p>
    <w:p w:rsidR="00161B88" w:rsidRDefault="00161B88" w:rsidP="00632D23">
      <w:pPr>
        <w:pStyle w:val="StandardWeb"/>
        <w:numPr>
          <w:ilvl w:val="0"/>
          <w:numId w:val="249"/>
        </w:numPr>
      </w:pPr>
      <w:r>
        <w:t>Informationsstand,</w:t>
      </w:r>
    </w:p>
    <w:p w:rsidR="00161B88" w:rsidRDefault="00161B88" w:rsidP="00632D23">
      <w:pPr>
        <w:pStyle w:val="StandardWeb"/>
        <w:numPr>
          <w:ilvl w:val="0"/>
          <w:numId w:val="249"/>
        </w:numPr>
      </w:pPr>
      <w:r>
        <w:t>Datenabschluss,</w:t>
      </w:r>
    </w:p>
    <w:p w:rsidR="00161B88" w:rsidRDefault="00161B88" w:rsidP="00632D23">
      <w:pPr>
        <w:pStyle w:val="StandardWeb"/>
        <w:numPr>
          <w:ilvl w:val="0"/>
          <w:numId w:val="249"/>
        </w:numPr>
      </w:pPr>
      <w:r>
        <w:t>Modell- und Parameterstand,</w:t>
      </w:r>
    </w:p>
    <w:p w:rsidR="00161B88" w:rsidRDefault="00161B88" w:rsidP="00632D23">
      <w:pPr>
        <w:pStyle w:val="StandardWeb"/>
        <w:numPr>
          <w:ilvl w:val="0"/>
          <w:numId w:val="249"/>
        </w:numPr>
      </w:pPr>
      <w:r>
        <w:t>Operationalisierung,</w:t>
      </w:r>
    </w:p>
    <w:p w:rsidR="00161B88" w:rsidRDefault="00161B88" w:rsidP="00632D23">
      <w:pPr>
        <w:pStyle w:val="StandardWeb"/>
        <w:numPr>
          <w:ilvl w:val="0"/>
          <w:numId w:val="249"/>
        </w:numPr>
      </w:pPr>
      <w:r>
        <w:t>Punkt- oder Verteilungsprognose,</w:t>
      </w:r>
    </w:p>
    <w:p w:rsidR="00161B88" w:rsidRDefault="00161B88" w:rsidP="00632D23">
      <w:pPr>
        <w:pStyle w:val="StandardWeb"/>
        <w:numPr>
          <w:ilvl w:val="0"/>
          <w:numId w:val="249"/>
        </w:numPr>
      </w:pPr>
      <w:r>
        <w:t>Referenzmodell,</w:t>
      </w:r>
    </w:p>
    <w:p w:rsidR="00161B88" w:rsidRDefault="00161B88" w:rsidP="00632D23">
      <w:pPr>
        <w:pStyle w:val="StandardWeb"/>
        <w:numPr>
          <w:ilvl w:val="0"/>
          <w:numId w:val="249"/>
        </w:numPr>
      </w:pPr>
      <w:r>
        <w:t>Verlustfunktion,</w:t>
      </w:r>
    </w:p>
    <w:p w:rsidR="00161B88" w:rsidRDefault="00161B88" w:rsidP="00632D23">
      <w:pPr>
        <w:pStyle w:val="StandardWeb"/>
        <w:numPr>
          <w:ilvl w:val="0"/>
          <w:numId w:val="249"/>
        </w:numPr>
      </w:pPr>
      <w:r>
        <w:t>Prognoseintervall,</w:t>
      </w:r>
    </w:p>
    <w:p w:rsidR="00161B88" w:rsidRDefault="00161B88" w:rsidP="00632D23">
      <w:pPr>
        <w:pStyle w:val="StandardWeb"/>
        <w:numPr>
          <w:ilvl w:val="0"/>
          <w:numId w:val="249"/>
        </w:numPr>
      </w:pPr>
      <w:r>
        <w:t>tatsächliche Beobachtung,</w:t>
      </w:r>
    </w:p>
    <w:p w:rsidR="00161B88" w:rsidRDefault="00161B88" w:rsidP="00632D23">
      <w:pPr>
        <w:pStyle w:val="StandardWeb"/>
        <w:numPr>
          <w:ilvl w:val="0"/>
          <w:numId w:val="249"/>
        </w:numPr>
      </w:pPr>
      <w:r>
        <w:t>Prognosefehler,</w:t>
      </w:r>
    </w:p>
    <w:p w:rsidR="00161B88" w:rsidRDefault="00161B88" w:rsidP="00632D23">
      <w:pPr>
        <w:pStyle w:val="StandardWeb"/>
        <w:numPr>
          <w:ilvl w:val="0"/>
          <w:numId w:val="249"/>
        </w:numPr>
      </w:pPr>
      <w:r>
        <w:t>Kalibrierung,</w:t>
      </w:r>
    </w:p>
    <w:p w:rsidR="00161B88" w:rsidRDefault="00161B88" w:rsidP="00632D23">
      <w:pPr>
        <w:pStyle w:val="StandardWeb"/>
        <w:numPr>
          <w:ilvl w:val="0"/>
          <w:numId w:val="249"/>
        </w:numPr>
      </w:pPr>
      <w:r>
        <w:t>Prognoseklasse.</w:t>
      </w:r>
    </w:p>
    <w:p w:rsidR="00161B88" w:rsidRDefault="00161B88" w:rsidP="00161B88">
      <w:pPr>
        <w:pStyle w:val="StandardWeb"/>
      </w:pPr>
      <w:r>
        <w:rPr>
          <w:rStyle w:val="Fett"/>
        </w:rPr>
        <w:t>Eigenleistung des FRZK</w:t>
      </w:r>
    </w:p>
    <w:p w:rsidR="00161B88" w:rsidRDefault="00161B88" w:rsidP="00161B88">
      <w:pPr>
        <w:pStyle w:val="StandardWeb"/>
      </w:pPr>
      <w:r>
        <w:t>Ich verknüpfe jede FRZK-Prognose mit einem unveränderbaren Prognosemanifest. Damit bleibt nachprüfbar, welche Informationen zum Prognosezeitpunkt tatsächlich verfügbar waren und ob eine spätere Modelländerung die ursprüngliche Prognose nachträglich beeinflusst hat.</w:t>
      </w:r>
    </w:p>
    <w:p w:rsidR="00161B88" w:rsidRPr="00AF32B2" w:rsidRDefault="00161B88" w:rsidP="00AF32B2">
      <w:pPr>
        <w:pStyle w:val="berschrift4"/>
      </w:pPr>
      <w:r w:rsidRPr="00AF32B2">
        <w:t>3.3.35.35 Ergebnis der Prognosefähigkeitsprüfung</w:t>
      </w:r>
    </w:p>
    <w:p w:rsidR="00161B88" w:rsidRDefault="00161B88" w:rsidP="00161B88">
      <w:pPr>
        <w:pStyle w:val="StandardWeb"/>
      </w:pPr>
      <w:r>
        <w:t xml:space="preserve">Die Prüfung zeigt, dass Prognosefähigkeit nicht mit guter nachträglicher Anpassung gleichgesetzt werden darf. Eine Prognose muss zeitlich vor der Zielbeobachtung festgelegt, </w:t>
      </w:r>
      <w:r>
        <w:lastRenderedPageBreak/>
        <w:t>gegen Informationsleckage geschützt und an bisher nicht verwendeten Daten bewertet werden.</w:t>
      </w:r>
    </w:p>
    <w:p w:rsidR="00161B88" w:rsidRDefault="00161B88" w:rsidP="00161B88">
      <w:pPr>
        <w:pStyle w:val="StandardWeb"/>
      </w:pPr>
      <w:r>
        <w:t>Ein FRZK-Modell kann:</w:t>
      </w:r>
    </w:p>
    <w:p w:rsidR="00161B88" w:rsidRDefault="00161B88" w:rsidP="00632D23">
      <w:pPr>
        <w:pStyle w:val="StandardWeb"/>
        <w:numPr>
          <w:ilvl w:val="0"/>
          <w:numId w:val="250"/>
        </w:numPr>
      </w:pPr>
      <w:r>
        <w:t>erklärungsstark, aber prognostisch schwach,</w:t>
      </w:r>
    </w:p>
    <w:p w:rsidR="00161B88" w:rsidRDefault="00161B88" w:rsidP="00632D23">
      <w:pPr>
        <w:pStyle w:val="StandardWeb"/>
        <w:numPr>
          <w:ilvl w:val="0"/>
          <w:numId w:val="250"/>
        </w:numPr>
      </w:pPr>
      <w:r>
        <w:t>prognostisch besser als ein Referenzmodell,</w:t>
      </w:r>
    </w:p>
    <w:p w:rsidR="00161B88" w:rsidRDefault="00161B88" w:rsidP="00632D23">
      <w:pPr>
        <w:pStyle w:val="StandardWeb"/>
        <w:numPr>
          <w:ilvl w:val="0"/>
          <w:numId w:val="250"/>
        </w:numPr>
      </w:pPr>
      <w:r>
        <w:t>nur für kurze Horizonte prognosefähig,</w:t>
      </w:r>
    </w:p>
    <w:p w:rsidR="00161B88" w:rsidRDefault="00161B88" w:rsidP="00632D23">
      <w:pPr>
        <w:pStyle w:val="StandardWeb"/>
        <w:numPr>
          <w:ilvl w:val="0"/>
          <w:numId w:val="250"/>
        </w:numPr>
      </w:pPr>
      <w:r>
        <w:t>punktprognostisch gut, aber schlecht kalibriert,</w:t>
      </w:r>
    </w:p>
    <w:p w:rsidR="00161B88" w:rsidRDefault="00161B88" w:rsidP="00632D23">
      <w:pPr>
        <w:pStyle w:val="StandardWeb"/>
        <w:numPr>
          <w:ilvl w:val="0"/>
          <w:numId w:val="250"/>
        </w:numPr>
      </w:pPr>
      <w:r>
        <w:t>ereignisbezogen treffsicher, aber mit zu vielen Fehlalarmen,</w:t>
      </w:r>
    </w:p>
    <w:p w:rsidR="00161B88" w:rsidRDefault="00161B88" w:rsidP="00632D23">
      <w:pPr>
        <w:pStyle w:val="StandardWeb"/>
        <w:numPr>
          <w:ilvl w:val="0"/>
          <w:numId w:val="250"/>
        </w:numPr>
      </w:pPr>
      <w:r>
        <w:t>innerhalb eines Kontexts prognosefähig, aber nicht transportierbar</w:t>
      </w:r>
    </w:p>
    <w:p w:rsidR="00161B88" w:rsidRDefault="00161B88" w:rsidP="00161B88">
      <w:pPr>
        <w:pStyle w:val="StandardWeb"/>
      </w:pPr>
      <w:r>
        <w:t>sein.</w:t>
      </w:r>
    </w:p>
    <w:p w:rsidR="00161B88" w:rsidRDefault="00161B88" w:rsidP="00161B88">
      <w:pPr>
        <w:pStyle w:val="StandardWeb"/>
      </w:pPr>
      <w:r>
        <w:t>Besonders zu beachten ist:</w:t>
      </w:r>
    </w:p>
    <w:p w:rsidR="00161B88" w:rsidRDefault="00161B88" w:rsidP="00632D23">
      <w:pPr>
        <w:pStyle w:val="StandardWeb"/>
        <w:numPr>
          <w:ilvl w:val="0"/>
          <w:numId w:val="251"/>
        </w:numPr>
      </w:pPr>
      <w:r>
        <w:t>Der Informationsstand muss zum Prognosezeitpunkt eingefroren werden.</w:t>
      </w:r>
    </w:p>
    <w:p w:rsidR="00161B88" w:rsidRDefault="00161B88" w:rsidP="00632D23">
      <w:pPr>
        <w:pStyle w:val="StandardWeb"/>
        <w:numPr>
          <w:ilvl w:val="0"/>
          <w:numId w:val="251"/>
        </w:numPr>
      </w:pPr>
      <w:r>
        <w:t>Daten aus der Zukunft dürfen weder direkt noch indirekt in die Prognoseentwicklung eingehen.</w:t>
      </w:r>
    </w:p>
    <w:p w:rsidR="00161B88" w:rsidRDefault="00161B88" w:rsidP="00632D23">
      <w:pPr>
        <w:pStyle w:val="StandardWeb"/>
        <w:numPr>
          <w:ilvl w:val="0"/>
          <w:numId w:val="251"/>
        </w:numPr>
      </w:pPr>
      <w:r>
        <w:t>Die Prognosegüte muss mit einem fachlich angemessenen Referenzmodell verglichen werden.</w:t>
      </w:r>
    </w:p>
    <w:p w:rsidR="00161B88" w:rsidRDefault="00161B88" w:rsidP="00632D23">
      <w:pPr>
        <w:pStyle w:val="StandardWeb"/>
        <w:numPr>
          <w:ilvl w:val="0"/>
          <w:numId w:val="251"/>
        </w:numPr>
      </w:pPr>
      <w:r>
        <w:t>Punktprognose, Intervallprognose und Ereignisprognose benötigen unterschiedliche Gütemaße.</w:t>
      </w:r>
    </w:p>
    <w:p w:rsidR="00161B88" w:rsidRDefault="00161B88" w:rsidP="00632D23">
      <w:pPr>
        <w:pStyle w:val="StandardWeb"/>
        <w:numPr>
          <w:ilvl w:val="0"/>
          <w:numId w:val="251"/>
        </w:numPr>
      </w:pPr>
      <w:r>
        <w:t>Kalibrierung und Schärfe probabilistischer Prognosen müssen gemeinsam geprüft werden.</w:t>
      </w:r>
    </w:p>
    <w:p w:rsidR="00161B88" w:rsidRDefault="00161B88" w:rsidP="00632D23">
      <w:pPr>
        <w:pStyle w:val="StandardWeb"/>
        <w:numPr>
          <w:ilvl w:val="0"/>
          <w:numId w:val="251"/>
        </w:numPr>
      </w:pPr>
      <w:r>
        <w:t>Prognosegüte kann vom Prognosehorizont abhängen.</w:t>
      </w:r>
    </w:p>
    <w:p w:rsidR="00161B88" w:rsidRDefault="00161B88" w:rsidP="00632D23">
      <w:pPr>
        <w:pStyle w:val="StandardWeb"/>
        <w:numPr>
          <w:ilvl w:val="0"/>
          <w:numId w:val="251"/>
        </w:numPr>
      </w:pPr>
      <w:r>
        <w:t>Eine bessere Datenanpassung beweist keine bessere Prognosefähigkeit.</w:t>
      </w:r>
    </w:p>
    <w:p w:rsidR="00161B88" w:rsidRDefault="00161B88" w:rsidP="00632D23">
      <w:pPr>
        <w:pStyle w:val="StandardWeb"/>
        <w:numPr>
          <w:ilvl w:val="0"/>
          <w:numId w:val="251"/>
        </w:numPr>
      </w:pPr>
      <w:r>
        <w:t>Ein einzelner erfolgreicher Prognosefall genügt nicht zum Nachweis stabiler Prognosefähigkeit [58, 59, 79].</w:t>
      </w:r>
    </w:p>
    <w:p w:rsidR="00161B88" w:rsidRDefault="00161B88" w:rsidP="00161B88">
      <w:pPr>
        <w:pStyle w:val="StandardWeb"/>
      </w:pPr>
      <w:r>
        <w:rPr>
          <w:rStyle w:val="Fett"/>
        </w:rPr>
        <w:t>Eigenleistung des FRZK</w:t>
      </w:r>
    </w:p>
    <w:p w:rsidR="00161B88" w:rsidRDefault="00161B88" w:rsidP="00161B88">
      <w:pPr>
        <w:pStyle w:val="StandardWeb"/>
      </w:pPr>
      <w:r>
        <w:t>Mit Definition 3.3.27 und Satz 3.3.17 steht ein formaler Rahmen zur Verfügung, mit dem ich FRZK-Prognosen zeitlich, empirisch und vergleichend prüfen kann. Dadurch wird der prognostische Gehalt des Systems von einer bloßen nachträglichen Beschreibung bekannter Zustände getrennt.</w:t>
      </w:r>
    </w:p>
    <w:p w:rsidR="00161B88" w:rsidRPr="00AF32B2" w:rsidRDefault="00161B88" w:rsidP="00AF32B2">
      <w:pPr>
        <w:pStyle w:val="berschrift4"/>
      </w:pPr>
      <w:r w:rsidRPr="00AF32B2">
        <w:t>3.3.35.36 Übergang zur Prüfung der Erklärungsfähigkeit</w:t>
      </w:r>
    </w:p>
    <w:p w:rsidR="00161B88" w:rsidRDefault="00161B88" w:rsidP="00161B88">
      <w:pPr>
        <w:pStyle w:val="StandardWeb"/>
      </w:pPr>
      <w:r>
        <w:t>Eine Prognose kann empirisch erfolgreich sein, ohne dass die für sie verwendete Modellstruktur eine wissenschaftlich belastbare Erklärung liefert. Umgekehrt kann eine theoretisch plausible Erklärung nur geringe Prognosegüte besitzen.</w:t>
      </w:r>
    </w:p>
    <w:p w:rsidR="00161B88" w:rsidRDefault="00161B88" w:rsidP="00161B88">
      <w:pPr>
        <w:pStyle w:val="StandardWeb"/>
      </w:pPr>
      <w:r>
        <w:t>Eine erklärungsbedürftige Beobachtung lautet</w:t>
      </w:r>
    </w:p>
    <w:p w:rsidR="00161B88" w:rsidRDefault="00161B88" w:rsidP="00161B88">
      <w:pPr>
        <w:pStyle w:val="StandardWeb"/>
      </w:pPr>
      <w:r>
        <w:t>[</w:t>
      </w:r>
      <w:r>
        <w:br/>
        <w:t>E_{\mathrm{obs}}.</w:t>
      </w:r>
      <w:r>
        <w:br/>
        <w:t>\tag{3.6045}</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lastRenderedPageBreak/>
        <w:t>E_{\mathrm{obs}}\qquad\text{(3.6045)}</w:t>
      </w:r>
    </w:p>
    <w:p w:rsidR="00161B88" w:rsidRDefault="00161B88" w:rsidP="00161B88">
      <w:pPr>
        <w:pStyle w:val="StandardWeb"/>
      </w:pPr>
      <w:r>
        <w:t>Eine erklärende Struktur lautet</w:t>
      </w:r>
    </w:p>
    <w:p w:rsidR="00161B88" w:rsidRDefault="00161B88" w:rsidP="00161B88">
      <w:pPr>
        <w:pStyle w:val="StandardWeb"/>
      </w:pPr>
      <w:r>
        <w:t>[</w:t>
      </w:r>
      <w:r>
        <w:br/>
        <w:t>\mathcal{X}_{F}.</w:t>
      </w:r>
      <w:r>
        <w:br/>
        <w:t>\tag{3.6046}</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\mathcal{X}_{F}\qquad\text{(3.6046)}</w:t>
      </w:r>
    </w:p>
    <w:p w:rsidR="00161B88" w:rsidRDefault="00161B88" w:rsidP="00161B88">
      <w:pPr>
        <w:pStyle w:val="StandardWeb"/>
      </w:pPr>
      <w:r>
        <w:t>Eine Erklärung kann schematisch geschrieben werden als</w:t>
      </w:r>
    </w:p>
    <w:p w:rsidR="00161B88" w:rsidRDefault="00161B88" w:rsidP="00161B88">
      <w:pPr>
        <w:pStyle w:val="StandardWeb"/>
      </w:pPr>
      <w:r>
        <w:t>[</w:t>
      </w:r>
      <w:r>
        <w:br/>
        <w:t>\mathcal{X}</w:t>
      </w:r>
      <w:r>
        <w:rPr>
          <w:rStyle w:val="Hervorhebung"/>
        </w:rPr>
        <w:t>{F}</w:t>
      </w:r>
      <w:r>
        <w:rPr>
          <w:i/>
          <w:iCs/>
        </w:rPr>
        <w:br/>
      </w:r>
      <w:r>
        <w:rPr>
          <w:rStyle w:val="Hervorhebung"/>
        </w:rPr>
        <w:t>\land</w:t>
      </w:r>
      <w:r>
        <w:rPr>
          <w:i/>
          <w:iCs/>
        </w:rPr>
        <w:br/>
      </w:r>
      <w:r>
        <w:rPr>
          <w:rStyle w:val="Hervorhebung"/>
        </w:rPr>
        <w:t>\mathfrak{H}</w:t>
      </w:r>
      <w:r>
        <w:t>{F}</w:t>
      </w:r>
      <w:r>
        <w:br/>
        <w:t>\Rightarrow</w:t>
      </w:r>
      <w:r>
        <w:br/>
        <w:t>E_{\mathrm{obs}}.</w:t>
      </w:r>
      <w:r>
        <w:br/>
        <w:t>\tag{3.6047}</w:t>
      </w:r>
      <w:r>
        <w:br/>
        <w:t>]</w:t>
      </w:r>
    </w:p>
    <w:p w:rsidR="00161B88" w:rsidRDefault="00161B88" w:rsidP="00161B88">
      <w:pPr>
        <w:pStyle w:val="StandardWeb"/>
      </w:pPr>
      <w:r>
        <w:rPr>
          <w:rStyle w:val="Fett"/>
        </w:rPr>
        <w:t>Word-LaTeX</w:t>
      </w:r>
    </w:p>
    <w:p w:rsidR="00161B88" w:rsidRDefault="00161B88" w:rsidP="00161B88">
      <w:pPr>
        <w:pStyle w:val="HTMLVorformatiert"/>
        <w:rPr>
          <w:rStyle w:val="HTMLCode"/>
        </w:rPr>
      </w:pPr>
      <w:r>
        <w:rPr>
          <w:rStyle w:val="HTMLCode"/>
        </w:rPr>
        <w:t>\mathcal{X}_{F}\land\mathfrak{H}_{F}\Rightarrow E_{\mathrm{obs}}\qquad\text{(3.6047)}</w:t>
      </w:r>
    </w:p>
    <w:p w:rsidR="00161B88" w:rsidRDefault="00161B88" w:rsidP="00161B88">
      <w:pPr>
        <w:pStyle w:val="StandardWeb"/>
      </w:pPr>
      <w:r>
        <w:rPr>
          <w:rStyle w:val="Fett"/>
        </w:rPr>
        <w:t>Eigenleistung des FRZK</w:t>
      </w:r>
    </w:p>
    <w:p w:rsidR="00161B88" w:rsidRDefault="00161B88" w:rsidP="00161B88">
      <w:pPr>
        <w:pStyle w:val="StandardWeb"/>
      </w:pPr>
      <w:r>
        <w:t>Der folgende Abschnitt untersucht deshalb, unter welchen Bedingungen eine FRZK-Struktur nicht nur eine Beobachtung vorhersagt oder beschreibt, sondern einen nachvollziehbaren funktionalen Erklärungszusammenhang bereitstellt.</w:t>
      </w:r>
    </w:p>
    <w:p w:rsidR="0085669D" w:rsidRDefault="00985957" w:rsidP="00985957">
      <w:pPr>
        <w:pStyle w:val="StandardWeb"/>
      </w:pPr>
      <w:r>
        <w:t xml:space="preserve">Ja. Ab </w:t>
      </w:r>
      <w:r>
        <w:rPr>
          <w:rStyle w:val="Fett"/>
        </w:rPr>
        <w:t>3.3.31</w:t>
      </w:r>
      <w:r>
        <w:t xml:space="preserve"> fehlen in den hier ausgearbeiteten Fassungen die ausdrücklich gekennzeichneten Abschnitte </w:t>
      </w:r>
      <w:r>
        <w:rPr>
          <w:rStyle w:val="Fett"/>
        </w:rPr>
        <w:t>„Methodologische Betrachtungen“</w:t>
      </w:r>
      <w:r>
        <w:t xml:space="preserve"> und </w:t>
      </w:r>
      <w:r>
        <w:rPr>
          <w:rStyle w:val="Fett"/>
        </w:rPr>
        <w:t>„Didaktische Betrachtungen“</w:t>
      </w:r>
      <w:r>
        <w:t xml:space="preserve">. Für </w:t>
      </w:r>
      <w:r>
        <w:rPr>
          <w:rStyle w:val="Fett"/>
        </w:rPr>
        <w:t>3.3.31 bis 3.3.35</w:t>
      </w:r>
      <w:r>
        <w:t xml:space="preserve"> sind sie nachzutragen.</w:t>
      </w:r>
    </w:p>
    <w:p w:rsidR="0085669D" w:rsidRDefault="0085669D" w:rsidP="0085669D">
      <w:pPr>
        <w:pStyle w:val="berschrift2"/>
      </w:pPr>
      <w:r>
        <w:t>Ergänzung zu 3.3.35 – Prüfung der Prognosefähigkeit</w:t>
      </w:r>
    </w:p>
    <w:p w:rsidR="0085669D" w:rsidRDefault="0085669D" w:rsidP="0085669D">
      <w:pPr>
        <w:pStyle w:val="berschrift3"/>
      </w:pPr>
      <w:r>
        <w:t>Methodologische Betrachtungen</w:t>
      </w:r>
    </w:p>
    <w:p w:rsidR="0085669D" w:rsidRDefault="0085669D" w:rsidP="0085669D">
      <w:pPr>
        <w:pStyle w:val="StandardWeb"/>
      </w:pPr>
      <w:r>
        <w:t>Prognosefähigkeit verlangt eine zeitliche Trennung zwischen dem Informationsstand, aus dem die Prognose abgeleitet wird, und der späteren Beobachtung, an der sie geprüft wird. Eine nach Kenntnis des Ergebnisses formulierte Aussage ist keine echte Prognose, selbst wenn sie formal auf einen früheren Zeitpunkt bezogen wird [58, 59, 79].</w:t>
      </w:r>
    </w:p>
    <w:p w:rsidR="0085669D" w:rsidRDefault="0085669D" w:rsidP="0085669D">
      <w:pPr>
        <w:pStyle w:val="StandardWeb"/>
      </w:pPr>
      <w:r>
        <w:t xml:space="preserve">Ich definiere deshalb für jede Prognose einen eindeutigen Prognosezeitpunkt, einen Prognosehorizont und einen zu diesem Zeitpunkt zulässigen Informationsstand. Der Modell-, </w:t>
      </w:r>
      <w:r>
        <w:lastRenderedPageBreak/>
        <w:t>Parameter- und Operationalisierungsstand muss zu diesem Zeitpunkt festgelegt oder versioniert sein.</w:t>
      </w:r>
    </w:p>
    <w:p w:rsidR="0085669D" w:rsidRDefault="0085669D" w:rsidP="0085669D">
      <w:pPr>
        <w:pStyle w:val="StandardWeb"/>
      </w:pPr>
      <w:r>
        <w:t>Besonders kritisch ist die Informationsleckage. Sie kann unmittelbar entstehen, wenn spätere Beobachtungen in die Modellentwicklung eingehen. Sie kann aber auch indirekt auftreten, etwa durch eine Vorverarbeitung mit Statistiken des Gesamtdatensatzes, eine Merkmalsauswahl nach Kenntnis der späteren Ergebnisse oder eine nachträgliche Auswahl günstiger Prognosehorizonte.</w:t>
      </w:r>
    </w:p>
    <w:p w:rsidR="0085669D" w:rsidRDefault="0085669D" w:rsidP="0085669D">
      <w:pPr>
        <w:pStyle w:val="StandardWeb"/>
      </w:pPr>
      <w:r>
        <w:t>Die Prognosegüte darf nicht ausschließlich anhand der Anpassung an die Entwicklungsdaten bewertet werden. Sie muss an zeitlich oder logisch getrennten Prüfdaten bestimmt werden. Bei zeitabhängigen Daten ist eine rollierende Prognoseprüfung häufig geeigneter als eine zufällige Aufteilung, weil sie den tatsächlichen zeitlichen Informationsfluss erhält.</w:t>
      </w:r>
    </w:p>
    <w:p w:rsidR="0085669D" w:rsidRDefault="0085669D" w:rsidP="0085669D">
      <w:pPr>
        <w:pStyle w:val="StandardWeb"/>
      </w:pPr>
      <w:r>
        <w:t>Ein Prognosemodell muss außerdem mit einem angemessenen Referenzmodell verglichen werden. Ein komplexes Modell besitzt keinen nachgewiesenen zusätzlichen Prognosewert, wenn eine einfache Persistenzregel oder ein Mittelwertmodell dieselbe oder eine bessere Güte erzielt.</w:t>
      </w:r>
    </w:p>
    <w:p w:rsidR="0085669D" w:rsidRDefault="0085669D" w:rsidP="0085669D">
      <w:pPr>
        <w:pStyle w:val="StandardWeb"/>
      </w:pPr>
      <w:r>
        <w:t>Punktprognosen, Intervallprognosen und probabilistische Ereignisprognosen benötigen unterschiedliche Prüfmaße. Eine Punktprognose kann einen kleinen mittleren Fehler besitzen, aber schlecht kalibrierte Unsicherheitsintervalle erzeugen. Eine Ereignisprognose kann viele tatsächliche Ereignisse erkennen und zugleich eine unvertretbar hohe Zahl von Fehlalarmen auslösen.</w:t>
      </w:r>
    </w:p>
    <w:p w:rsidR="0085669D" w:rsidRDefault="0085669D" w:rsidP="0085669D">
      <w:pPr>
        <w:pStyle w:val="StandardWeb"/>
      </w:pPr>
      <w:r>
        <w:t>Prognosefähigkeit ist daher mehrdimensional. Sie umfasst Fehlergröße, Kalibrierung, Schärfe, Stabilität, Kosten und den Vergleich mit Referenzmodellen.</w:t>
      </w:r>
    </w:p>
    <w:p w:rsidR="0085669D" w:rsidRDefault="0085669D" w:rsidP="0085669D">
      <w:pPr>
        <w:pStyle w:val="StandardWeb"/>
      </w:pPr>
      <w:r>
        <w:t>Die Prognoseprüfung begründet kein neues Primäraxiom des FRZK. Sie bestimmt die methodischen Bedingungen, unter denen aus dem Modell echte, zeitlich vorab festgelegte und empirisch bewertbare Vorhersagen abgeleitet werden können.</w:t>
      </w:r>
    </w:p>
    <w:p w:rsidR="0085669D" w:rsidRDefault="0085669D" w:rsidP="0085669D">
      <w:pPr>
        <w:pStyle w:val="berschrift3"/>
      </w:pPr>
      <w:r>
        <w:t>Didaktische Betrachtungen</w:t>
      </w:r>
    </w:p>
    <w:p w:rsidR="0085669D" w:rsidRDefault="0085669D" w:rsidP="0085669D">
      <w:pPr>
        <w:pStyle w:val="StandardWeb"/>
      </w:pPr>
      <w:r>
        <w:t>Der Unterschied zwischen Beschreibung und Prognose lässt sich an einer Wetterbeobachtung verdeutlichen. Nach einem Regenschauer festzustellen, dass dunkle Wolken vorhanden waren, ist eine rückblickende Beschreibung. Vor dem Regenschauer aufgrund dunkler Wolken eine Regenwahrscheinlichkeit anzugeben, ist eine Prognose.</w:t>
      </w:r>
    </w:p>
    <w:p w:rsidR="0085669D" w:rsidRDefault="0085669D" w:rsidP="0085669D">
      <w:pPr>
        <w:pStyle w:val="StandardWeb"/>
      </w:pPr>
      <w:r>
        <w:t>Entscheidend ist, welche Informationen zum Vorhersagezeitpunkt tatsächlich bekannt waren. Wird eine Vorhersage nachträglich an das eingetretene Ereignis angepasst, besitzt sie keinen unabhängigen Prognosewert.</w:t>
      </w:r>
    </w:p>
    <w:p w:rsidR="0085669D" w:rsidRDefault="0085669D" w:rsidP="0085669D">
      <w:pPr>
        <w:pStyle w:val="StandardWeb"/>
      </w:pPr>
      <w:r>
        <w:t>Eine Punktprognose kann beispielsweise lauten:</w:t>
      </w:r>
    </w:p>
    <w:p w:rsidR="0085669D" w:rsidRDefault="0085669D" w:rsidP="0085669D">
      <w:pPr>
        <w:pStyle w:val="StandardWeb"/>
      </w:pPr>
      <w:r>
        <w:t>„Die Temperatur beträgt morgen (20,^\circ\mathrm{C}).“</w:t>
      </w:r>
    </w:p>
    <w:p w:rsidR="0085669D" w:rsidRDefault="0085669D" w:rsidP="0085669D">
      <w:pPr>
        <w:pStyle w:val="StandardWeb"/>
      </w:pPr>
      <w:r>
        <w:t>Eine Intervallprognose lautet:</w:t>
      </w:r>
    </w:p>
    <w:p w:rsidR="0085669D" w:rsidRDefault="0085669D" w:rsidP="0085669D">
      <w:pPr>
        <w:pStyle w:val="StandardWeb"/>
      </w:pPr>
      <w:r>
        <w:t>„Die Temperatur liegt morgen mit einer festgelegten Wahrscheinlichkeit zwischen (18,^\circ\mathrm{C}) und (22,^\circ\mathrm{C}).“</w:t>
      </w:r>
    </w:p>
    <w:p w:rsidR="0085669D" w:rsidRDefault="0085669D" w:rsidP="0085669D">
      <w:pPr>
        <w:pStyle w:val="StandardWeb"/>
      </w:pPr>
      <w:r>
        <w:lastRenderedPageBreak/>
        <w:t>Eine Ereignisprognose lautet:</w:t>
      </w:r>
    </w:p>
    <w:p w:rsidR="0085669D" w:rsidRDefault="0085669D" w:rsidP="0085669D">
      <w:pPr>
        <w:pStyle w:val="StandardWeb"/>
      </w:pPr>
      <w:r>
        <w:t>„Die Wahrscheinlichkeit für Regen beträgt (70,%).“</w:t>
      </w:r>
    </w:p>
    <w:p w:rsidR="0085669D" w:rsidRDefault="0085669D" w:rsidP="0085669D">
      <w:pPr>
        <w:pStyle w:val="StandardWeb"/>
      </w:pPr>
      <w:r>
        <w:t>Diese Prognoseformen können nicht mit demselben Maß bewertet werden. Bei der Punktprognose wird der Abstand zum beobachteten Wert betrachtet. Bei der Intervallprognose muss geprüft werden, wie häufig die tatsächlichen Werte innerhalb der Intervalle liegen und wie breit diese Intervalle sind. Bei Wahrscheinlichkeitsprognosen wird geprüft, ob Ereignisse mit vorhergesagter Wahrscheinlichkeit von beispielsweise (70,%) langfristig tatsächlich ungefähr in sieben von zehn vergleichbaren Fällen eintreten.</w:t>
      </w:r>
    </w:p>
    <w:p w:rsidR="0085669D" w:rsidRDefault="0085669D" w:rsidP="0085669D">
      <w:pPr>
        <w:pStyle w:val="StandardWeb"/>
      </w:pPr>
      <w:r>
        <w:t>Didaktisch ist auch der Vergleich mit einem einfachen Referenzmodell wichtig. Sagt ein aufwendiges Modell für morgen denselben Wert wie heute voraus, muss geprüft werden, ob es besser ist als die einfache Regel:</w:t>
      </w:r>
    </w:p>
    <w:p w:rsidR="0085669D" w:rsidRDefault="0085669D" w:rsidP="0085669D">
      <w:pPr>
        <w:pStyle w:val="StandardWeb"/>
      </w:pPr>
      <w:r>
        <w:t>„Morgen ist es wie heute.“</w:t>
      </w:r>
    </w:p>
    <w:p w:rsidR="0085669D" w:rsidRDefault="0085669D" w:rsidP="0085669D">
      <w:pPr>
        <w:pStyle w:val="StandardWeb"/>
      </w:pPr>
      <w:r>
        <w:t>Nur wenn das komplexere Modell einen zusätzlichen Prognosegewinn erzeugt, ist seine höhere Komplexität für die Vorhersage gerechtfertigt.</w:t>
      </w:r>
    </w:p>
    <w:p w:rsidR="0085669D" w:rsidRDefault="0085669D" w:rsidP="0085669D">
      <w:pPr>
        <w:pStyle w:val="StandardWeb"/>
      </w:pPr>
      <w:r>
        <w:t>Für die FRZK-Anwendung bedeutet dies: Eine prognostizierte Drift, ein erwarteter Zustandswechsel oder eine Warnung vor einem Kipppunkt muss vor dem späteren Ereignis gespeichert werden. Erst danach kann geprüft werden, ob die Vorhersage eingetreten ist, wie groß ihr Fehler war und ob sie besser war als eine einfache Vergleichsregel.</w:t>
      </w:r>
    </w:p>
    <w:p w:rsidR="0085669D" w:rsidRDefault="0085669D" w:rsidP="0085669D">
      <w:pPr>
        <w:pStyle w:val="StandardWeb"/>
      </w:pPr>
      <w:r>
        <w:t xml:space="preserve">Diese Ergänzungen gehören jeweils </w:t>
      </w:r>
      <w:r>
        <w:rPr>
          <w:rStyle w:val="Fett"/>
        </w:rPr>
        <w:t>nach dem Ergebnisabschnitt und vor dem Übergang zum folgenden Abschnitt</w:t>
      </w:r>
      <w:r>
        <w:t>.</w:t>
      </w:r>
    </w:p>
    <w:p w:rsidR="0068392E" w:rsidRDefault="0068392E" w:rsidP="0068392E">
      <w:pPr>
        <w:pStyle w:val="StandardWeb"/>
        <w:rPr>
          <w:rFonts w:cs="Times New Roman"/>
          <w:bCs w:val="0"/>
        </w:rPr>
      </w:pPr>
      <w:r>
        <w:t>Dann setzen wir den wissenschaftlichen Aufbau von Kapitel 3.3 konsequent fort.</w:t>
      </w:r>
    </w:p>
    <w:p w:rsidR="0068392E" w:rsidRDefault="00E50336" w:rsidP="0068392E">
      <w:r>
        <w:pict>
          <v:rect id="_x0000_i1059" style="width:0;height:1.5pt" o:hralign="center" o:hrstd="t" o:hr="t" fillcolor="#a0a0a0" stroked="f"/>
        </w:pict>
      </w:r>
    </w:p>
    <w:p w:rsidR="0068392E" w:rsidRDefault="0068392E" w:rsidP="0068392E">
      <w:pPr>
        <w:pStyle w:val="berschrift3"/>
      </w:pPr>
      <w:r>
        <w:t>3.3.35 Konsequenzen der Axiomatik für die Modellbildung</w:t>
      </w:r>
    </w:p>
    <w:p w:rsidR="0068392E" w:rsidRDefault="0068392E" w:rsidP="0068392E">
      <w:pPr>
        <w:pStyle w:val="StandardWeb"/>
      </w:pPr>
      <w:r>
        <w:t>Nachdem ich die grundlegenden Axiome des Funktionalen Raum-Zeit-Kohärenzsystems eingeführt habe, stellt sich nun die Frage, welche methodischen Konsequenzen sich daraus für die weitere Modellbildung ergeben. Ein wissenschaftliches Axiomensystem besitzt seinen eigentlichen Wert nicht allein dadurch, dass es widerspruchsfrei formuliert ist. Seine Bedeutung zeigt sich vielmehr darin, ob aus den Axiomen weitere Aussagen logisch ableitbar sind und ob diese Ableitungen mit empirischen Beobachtungen in Einklang gebracht werden können.</w:t>
      </w:r>
    </w:p>
    <w:p w:rsidR="0068392E" w:rsidRDefault="0068392E" w:rsidP="0068392E">
      <w:pPr>
        <w:pStyle w:val="StandardWeb"/>
      </w:pPr>
      <w:r>
        <w:t>Gerade in komplexen Systemen besteht die Gefahr, dass neue Eigenschaften ausschließlich aus experimentellen Beobachtungen übernommen werden. Dadurch entstehen häufig Modelle, deren Bestandteile zwar einzeln plausibel erscheinen, deren gegenseitige Beziehungen jedoch nicht eindeutig begründet werden können. Das FRZK verfolgt deshalb einen anderen methodischen Ansatz. Jede neu eingeführte mathematische Struktur muss entweder unmittelbar aus den bestehenden Axiomen folgen oder als eigenständiges neues Axiom kenntlich gemacht werden.</w:t>
      </w:r>
    </w:p>
    <w:p w:rsidR="0068392E" w:rsidRDefault="0068392E" w:rsidP="0068392E">
      <w:pPr>
        <w:pStyle w:val="StandardWeb"/>
      </w:pPr>
      <w:r>
        <w:lastRenderedPageBreak/>
        <w:t>Diese Vorgehensweise verhindert eine schleichende Erweiterung des Modells durch implizite Annahmen. Gleichzeitig erhöht sie die Nachvollziehbarkeit sämtlicher späterer mathematischer Konstruktionen erheblich. Jede spätere Definition kann auf ihren axiomatischen Ursprung zurückgeführt werden. Dadurch entsteht ein geschlossenes wissenschaftliches System, dessen Entwicklung jederzeit rekonstruiert werden kann.</w:t>
      </w:r>
    </w:p>
    <w:p w:rsidR="0068392E" w:rsidRDefault="0068392E" w:rsidP="0068392E">
      <w:pPr>
        <w:pStyle w:val="StandardWeb"/>
      </w:pPr>
      <w:r>
        <w:t>Methodisch bedeutet dies zugleich, dass sämtliche mathematischen Objekte des FRZK eine eindeutige semantische Bedeutung besitzen müssen. Es genügt nicht, einen Operator oder eine Funktion formal einzuführen; vielmehr muss jederzeit erklärt werden können, welche beobachtbare Eigenschaft eines kohärenten Systems durch diese mathematische Struktur beschrieben wird.</w:t>
      </w:r>
    </w:p>
    <w:p w:rsidR="0068392E" w:rsidRDefault="0068392E" w:rsidP="0068392E">
      <w:pPr>
        <w:pStyle w:val="StandardWeb"/>
      </w:pPr>
      <w:r>
        <w:t>Diese Forderung lässt sich formal als Abbildungsprinzip formulieren.</w:t>
      </w:r>
    </w:p>
    <w:p w:rsidR="0068392E" w:rsidRDefault="0068392E" w:rsidP="0068392E">
      <w:pPr>
        <w:pStyle w:val="StandardWeb"/>
      </w:pPr>
      <w:r>
        <w:t>[</w:t>
      </w:r>
      <w:r>
        <w:br/>
        <w:t>\Phi : \mathcal{M} \longrightarrow \mathcal{B}</w:t>
      </w:r>
      <w:r>
        <w:br/>
        <w:t>]</w:t>
      </w:r>
    </w:p>
    <w:p w:rsidR="0068392E" w:rsidRDefault="0068392E" w:rsidP="0068392E">
      <w:pPr>
        <w:pStyle w:val="StandardWeb"/>
      </w:pPr>
      <w:r>
        <w:rPr>
          <w:rStyle w:val="Fett"/>
        </w:rPr>
        <w:t>Word-LaTeX</w:t>
      </w:r>
    </w:p>
    <w:p w:rsidR="0068392E" w:rsidRDefault="0068392E" w:rsidP="0068392E">
      <w:pPr>
        <w:pStyle w:val="HTMLVorformatiert"/>
        <w:rPr>
          <w:rStyle w:val="HTMLCode"/>
        </w:rPr>
      </w:pPr>
      <w:r>
        <w:rPr>
          <w:rStyle w:val="HTMLCode"/>
        </w:rPr>
        <w:t>\Phi : \mathcal{M} \longrightarrow \mathcal{B}</w:t>
      </w:r>
    </w:p>
    <w:p w:rsidR="0068392E" w:rsidRDefault="0068392E" w:rsidP="0068392E">
      <w:pPr>
        <w:pStyle w:val="StandardWeb"/>
      </w:pPr>
      <w:r>
        <w:t>Dabei bezeichnet</w:t>
      </w:r>
    </w:p>
    <w:p w:rsidR="0068392E" w:rsidRDefault="0068392E" w:rsidP="008C5E65">
      <w:pPr>
        <w:pStyle w:val="StandardWeb"/>
        <w:numPr>
          <w:ilvl w:val="0"/>
          <w:numId w:val="269"/>
        </w:numPr>
      </w:pPr>
      <w:r>
        <w:t>(\mathcal{M}) den mathematischen Zustandsraum,</w:t>
      </w:r>
    </w:p>
    <w:p w:rsidR="0068392E" w:rsidRDefault="0068392E" w:rsidP="008C5E65">
      <w:pPr>
        <w:pStyle w:val="StandardWeb"/>
        <w:numPr>
          <w:ilvl w:val="0"/>
          <w:numId w:val="269"/>
        </w:numPr>
      </w:pPr>
      <w:r>
        <w:t>(\mathcal{B}) den Raum beobachtbarer Eigenschaften.</w:t>
      </w:r>
    </w:p>
    <w:p w:rsidR="0068392E" w:rsidRDefault="0068392E" w:rsidP="0068392E">
      <w:pPr>
        <w:pStyle w:val="StandardWeb"/>
      </w:pPr>
      <w:r>
        <w:t>Die Abbildung (\Phi) beschreibt somit die wissenschaftliche Forderung, dass jeder mathematische Zustand eine eindeutig interpretierbare physikalische oder empirische Bedeutung besitzen muss. Umgekehrt dürfen empirische Aussagen nur dann Bestandteil des Modells werden, wenn sie sich mathematisch eindeutig repräsentieren lassen.</w:t>
      </w:r>
    </w:p>
    <w:p w:rsidR="0068392E" w:rsidRDefault="0068392E" w:rsidP="0068392E">
      <w:pPr>
        <w:pStyle w:val="StandardWeb"/>
      </w:pPr>
      <w:r>
        <w:t>Dieses Abbildungsprinzip bildet eine der zentralen Voraussetzungen für die spätere Entwicklung der Operatoren, Zustandsräume und Dynamiken des FRZK.</w:t>
      </w:r>
    </w:p>
    <w:p w:rsidR="0068392E" w:rsidRDefault="00E50336" w:rsidP="0068392E">
      <w:r>
        <w:pict>
          <v:rect id="_x0000_i1060" style="width:0;height:1.5pt" o:hralign="center" o:hrstd="t" o:hr="t" fillcolor="#a0a0a0" stroked="f"/>
        </w:pict>
      </w:r>
    </w:p>
    <w:p w:rsidR="00415DED" w:rsidRDefault="00415DED" w:rsidP="00415DED">
      <w:pPr>
        <w:pStyle w:val="StandardWeb"/>
        <w:rPr>
          <w:rFonts w:cs="Times New Roman"/>
          <w:bCs w:val="0"/>
        </w:rPr>
      </w:pPr>
      <w:r>
        <w:t>Gut. Dann orientiere ich mich wieder am Niveau von 3.2 und den bisherigen ausführlichen Ergänzungen. Die methodologischen und didaktischen Betrachtungen werden wieder als eigenständige wissenschaftliche Abschnitte ausgearbeitet.</w:t>
      </w:r>
    </w:p>
    <w:p w:rsidR="00415DED" w:rsidRDefault="00E50336" w:rsidP="00415DED">
      <w:r>
        <w:pict>
          <v:rect id="_x0000_i1061" style="width:0;height:1.5pt" o:hralign="center" o:hrstd="t" o:hr="t" fillcolor="#a0a0a0" stroked="f"/>
        </w:pict>
      </w:r>
    </w:p>
    <w:p w:rsidR="00415DED" w:rsidRDefault="00415DED" w:rsidP="00415DED">
      <w:pPr>
        <w:pStyle w:val="berschrift1"/>
      </w:pPr>
      <w:r>
        <w:t>Methodologische Betrachtung zu 3.3.35</w:t>
      </w:r>
    </w:p>
    <w:p w:rsidR="00415DED" w:rsidRDefault="00415DED" w:rsidP="00415DED">
      <w:pPr>
        <w:pStyle w:val="StandardWeb"/>
      </w:pPr>
      <w:r>
        <w:t>Die Entwicklung einer wissenschaftlichen Theorie endet nicht mit der Formulierung ihrer Axiome. Axiome stellen notwendige Anfangsbedingungen dar, besitzen für sich allein jedoch noch keinen Erklärungswert hinsichtlich konkreter Phänomene. Erst durch ihre systematische Umsetzung in mathematische Modelle entsteht eine Theorie, die Aussagen über beobachtbare Sachverhalte ermöglichen kann. Genau an dieser Stelle beginnt die eigentliche wissenschaftliche Modellbildung.</w:t>
      </w:r>
    </w:p>
    <w:p w:rsidR="00415DED" w:rsidRDefault="00415DED" w:rsidP="00415DED">
      <w:pPr>
        <w:pStyle w:val="StandardWeb"/>
      </w:pPr>
      <w:r>
        <w:lastRenderedPageBreak/>
        <w:t>Aus erkenntnistheoretischer Sicht ist dabei zunächst zwischen einer formalen Theorie und einem konkreten Modell zu unterscheiden. Eine axiomatische Theorie beschreibt eine Klasse zulässiger mathematischer Strukturen. Sie legt fest, welche Objekte existieren dürfen, welche Relationen zwischen ihnen zulässig sind und welche Operationen auf diesen Objekten definiert werden können. Sie bestimmt jedoch noch nicht, welche konkrete Struktur zur Beschreibung eines bestimmten empirischen Phänomens verwendet werden soll. Diese Auswahl erfolgt erst auf der Ebene der Modellbildung.</w:t>
      </w:r>
    </w:p>
    <w:p w:rsidR="00415DED" w:rsidRDefault="00415DED" w:rsidP="00415DED">
      <w:pPr>
        <w:pStyle w:val="StandardWeb"/>
      </w:pPr>
      <w:r>
        <w:t>Diese Unterscheidung besitzt für das Funktionale Raum-Zeit-Kohärenzsystem eine besondere Bedeutung. Bereits die drei Primäraxiome definieren einen außerordentlich großen Lösungsraum möglicher mathematischer Strukturen. Würde jede spätere mathematische Konstruktion unmittelbar als notwendige Konsequenz der Axiome interpretiert, entstünde leicht der Eindruck, sämtliche Eigenschaften des endgültigen FRZK seien bereits implizit in den Primäraxiomen enthalten. Genau dies wäre jedoch wissenschaftlich unzulässig. Zwischen Axiomatik und konkreter Modellstruktur liegt stets eine Folge zusätzlicher Definitionsentscheidungen, mathematischer Konstruktionen und methodischer Vereinfachungen.</w:t>
      </w:r>
    </w:p>
    <w:p w:rsidR="00415DED" w:rsidRDefault="00415DED" w:rsidP="00415DED">
      <w:pPr>
        <w:pStyle w:val="StandardWeb"/>
      </w:pPr>
      <w:r>
        <w:t>Deshalb unterscheide ich im weiteren Aufbau des FRZK konsequent zwischen axiomatischen Aussagen, definitorischen Festlegungen und modellspezifischen Annahmen. Axiomatische Aussagen besitzen universellen Charakter innerhalb der Theorie. Definitionen dienen ausschließlich der begrifflichen Präzisierung bereits vorhandener Strukturen. Modellspezifische Annahmen beschränken schließlich den allgemeinen Lösungsraum auf diejenigen Strukturen, die für eine konkrete wissenschaftliche Fragestellung relevant erscheinen. Diese Dreiteilung verhindert, dass modellabhängige Eigenschaften nachträglich den Status allgemeiner theoretischer Aussagen erhalten.</w:t>
      </w:r>
    </w:p>
    <w:p w:rsidR="00415DED" w:rsidRDefault="00415DED" w:rsidP="00415DED">
      <w:pPr>
        <w:pStyle w:val="StandardWeb"/>
      </w:pPr>
      <w:r>
        <w:t>Von besonderer Bedeutung ist dabei die Forderung nach vollständiger Nachvollziehbarkeit jeder mathematischen Erweiterung. Jede neu eingeführte Struktur muss eindeutig erkennen lassen, auf welcher axiomatischen Grundlage sie beruht. Gleichzeitig muss dokumentiert werden, welche zusätzlichen Annahmen gegenüber der allgemeinen Theorie eingeführt wurden. Nur dadurch bleibt die spätere Rückverfolgbarkeit sämtlicher wissenschaftlicher Aussagen erhalten.</w:t>
      </w:r>
    </w:p>
    <w:p w:rsidR="00415DED" w:rsidRDefault="00415DED" w:rsidP="00415DED">
      <w:pPr>
        <w:pStyle w:val="StandardWeb"/>
      </w:pPr>
      <w:r>
        <w:t>Diese Forderung entspricht einem grundlegenden Prinzip moderner axiomatischer Wissenschaft. Bereits Hilbert betonte, dass mathematische Systeme ausschließlich durch explizite Voraussetzungen aufgebaut werden dürfen. Ebenso fordert die Modelltheorie, zwischen den Eigenschaften einer Theorie und den Eigenschaften einzelner Modelle strikt zu unterscheiden. Das FRZK übernimmt dieses Prinzip vollständig und erweitert es um eine explizite Dokumentation sämtlicher Ableitungsbeziehungen innerhalb des Repositorys. Dadurch entsteht nicht lediglich ein mathematisches Modell, sondern eine vollständig rekonstruierbare wissenschaftliche Entwicklungsstruktur.</w:t>
      </w:r>
    </w:p>
    <w:p w:rsidR="00415DED" w:rsidRDefault="00415DED" w:rsidP="00415DED">
      <w:pPr>
        <w:pStyle w:val="StandardWeb"/>
      </w:pPr>
      <w:r>
        <w:t xml:space="preserve">Ein weiterer methodologischer Aspekt betrifft die Interpretation mathematischer Objekte. Mathematik besitzt zunächst keine empirische Bedeutung. Ein Operator, ein Vektor oder eine Relation beschreibt zunächst ausschließlich eine formale Struktur. Erst durch eine explizite Interpretationsabbildung erhält diese Struktur wissenschaftlichen Gehalt. Gerade in interdisziplinären Theorien besteht häufig die Gefahr, mathematische Symbole unmittelbar mit physikalischen oder psychologischen Begriffen gleichzusetzen. Das FRZK vermeidet diesen Fehler bewusst. Jede empirische Bedeutung wird erst nach Abschluss der </w:t>
      </w:r>
      <w:r>
        <w:lastRenderedPageBreak/>
        <w:t>mathematischen Konstruktion eingeführt und bleibt damit jederzeit von der zugrunde liegenden formalen Struktur unterscheidbar.</w:t>
      </w:r>
    </w:p>
    <w:p w:rsidR="00415DED" w:rsidRDefault="00415DED" w:rsidP="00415DED">
      <w:pPr>
        <w:pStyle w:val="StandardWeb"/>
      </w:pPr>
      <w:r>
        <w:t>Dadurch entsteht zugleich eine hohe Flexibilität der Theorie. Dieselbe mathematische Struktur kann prinzipiell unterschiedlichen empirischen Bereichen zugeordnet werden, sofern die jeweiligen Interpretationen mit den definierten Abbildungsregeln vereinbar sind. Das FRZK versteht sich deshalb nicht als Beschreibung eines einzelnen physikalischen Spezialfalls, sondern als allgemeines funktionales Beschreibungssystem komplexer kohärenter Prozesse.</w:t>
      </w:r>
    </w:p>
    <w:p w:rsidR="00415DED" w:rsidRDefault="00415DED" w:rsidP="00415DED">
      <w:pPr>
        <w:pStyle w:val="StandardWeb"/>
      </w:pPr>
      <w:r>
        <w:t>Schließlich besitzt dieser Abschnitt eine wichtige vorbereitende Funktion für die folgenden Kapitel. Sämtliche später eingeführten Operatoren, Kohärenzmaße, Raum-Zeit-Strukturen und Dynamiken müssen sich in genau diese methodologische Architektur einordnen. Die Modellbildung wird dadurch nicht als kreativer Entwurfsprozess verstanden, sondern als logisch kontrollierte Fortsetzung der zuvor entwickelten Axiomatik.</w:t>
      </w:r>
    </w:p>
    <w:p w:rsidR="00415DED" w:rsidRDefault="00E50336" w:rsidP="00415DED">
      <w:r>
        <w:pict>
          <v:rect id="_x0000_i1062" style="width:0;height:1.5pt" o:hralign="center" o:hrstd="t" o:hr="t" fillcolor="#a0a0a0" stroked="f"/>
        </w:pict>
      </w:r>
    </w:p>
    <w:p w:rsidR="00415DED" w:rsidRDefault="00415DED" w:rsidP="00415DED">
      <w:pPr>
        <w:pStyle w:val="berschrift1"/>
      </w:pPr>
      <w:r>
        <w:t>Didaktische Betrachtung zu 3.3.35</w:t>
      </w:r>
    </w:p>
    <w:p w:rsidR="00415DED" w:rsidRDefault="00415DED" w:rsidP="00415DED">
      <w:pPr>
        <w:pStyle w:val="StandardWeb"/>
      </w:pPr>
      <w:r>
        <w:t>Für viele Leser stellt der Übergang von der Axiomatik zur Modellbildung einen der schwierigsten Teile einer mathematischen Theorie dar. Solange einzelne Axiome betrachtet werden, erscheint deren Bedeutung meist noch unmittelbar nachvollziehbar. Mit dem Beginn der eigentlichen Modellbildung wächst jedoch die Anzahl mathematischer Objekte, Definitionen und Zusammenhänge sehr schnell an. Ohne eine klare methodische Orientierung entsteht leicht der Eindruck, die Theorie entwickle sich nun lediglich durch immer neue mathematische Konstruktionen.</w:t>
      </w:r>
    </w:p>
    <w:p w:rsidR="00415DED" w:rsidRDefault="00415DED" w:rsidP="00415DED">
      <w:pPr>
        <w:pStyle w:val="StandardWeb"/>
      </w:pPr>
      <w:r>
        <w:t>Gerade deshalb ist es didaktisch wichtig, diesen Übergang ausdrücklich zu erläutern. Die folgenden Kapitel führen keine beliebigen neuen Begriffe ein. Vielmehr wird jeder neue Begriff benötigt, um eine bestimmte Eigenschaft der bereits eingeführten Axiome mathematisch präziser beschreiben zu können. Die Reihenfolge der Entwicklung ist daher keineswegs zufällig. Jeder Abschnitt erweitert den bisherigen mathematischen Werkzeugkasten genau um diejenigen Strukturen, die für den nächsten Entwicklungsschritt erforderlich sind.</w:t>
      </w:r>
    </w:p>
    <w:p w:rsidR="00415DED" w:rsidRDefault="00415DED" w:rsidP="00415DED">
      <w:pPr>
        <w:pStyle w:val="StandardWeb"/>
      </w:pPr>
      <w:r>
        <w:t>Ein hilfreicher Vergleich besteht im Bau eines Gebäudes. Nachdem das Fundament fertiggestellt wurde, entstehen nicht unmittelbar Dach, Fenster und Innenausbau gleichzeitig. Vielmehr folgt jeder weitere Arbeitsschritt aus dem vorhergehenden. Die Stabilität des gesamten Gebäudes hängt deshalb wesentlich davon ab, dass jeder neue Bauteil auf einer bereits tragfähigen Struktur aufbaut. Genau dieselbe Logik verfolgt auch das FRZK. Die Axiome bilden das Fundament. Definitionen schaffen die tragenden mathematischen Elemente. Erst anschließend entstehen daraus komplexere Modelle.</w:t>
      </w:r>
    </w:p>
    <w:p w:rsidR="00415DED" w:rsidRDefault="00415DED" w:rsidP="00415DED">
      <w:pPr>
        <w:pStyle w:val="StandardWeb"/>
      </w:pPr>
      <w:r>
        <w:t>Für den Leser ergibt sich daraus ein wichtiger Vorteil. Neue mathematische Objekte müssen nicht isoliert gelernt werden. Stattdessen können sie jederzeit bis auf ihre axiomatischen Voraussetzungen zurückverfolgt werden. Dadurch entsteht ein deutlich stabileres Gesamtverständnis der Theorie. Komplexität wächst nicht sprunghaft, sondern schrittweise.</w:t>
      </w:r>
    </w:p>
    <w:p w:rsidR="00415DED" w:rsidRDefault="00415DED" w:rsidP="00415DED">
      <w:pPr>
        <w:pStyle w:val="StandardWeb"/>
      </w:pPr>
      <w:r>
        <w:t xml:space="preserve">Besonders hilfreich ist dabei die konsequente Trennung zwischen mathematischer Struktur und wissenschaftlicher Interpretation. Viele Missverständnisse entstehen dadurch, dass </w:t>
      </w:r>
      <w:r>
        <w:lastRenderedPageBreak/>
        <w:t>mathematische Symbole vorschnell mit physikalischen Begriffen identifiziert werden. Im FRZK besitzen Zustände, Relationen und Transformationen zunächst ausschließlich eine mathematische Bedeutung. Erst in späteren Kapiteln werden diese Strukturen gezielt auf beobachtbare Prozesse bezogen. Dadurch bleibt jederzeit nachvollziehbar, welche Aussagen rein mathematischer Natur sind und welche bereits empirische Interpretationen enthalten.</w:t>
      </w:r>
    </w:p>
    <w:p w:rsidR="00415DED" w:rsidRDefault="00415DED" w:rsidP="00415DED">
      <w:pPr>
        <w:pStyle w:val="StandardWeb"/>
      </w:pPr>
      <w:r>
        <w:t>Ein weiterer didaktischer Vorteil ergibt sich aus der vollständigen Dokumentation aller Ableitungen. Der Leser kann jede neue Definition bis zu ihren Voraussetzungen zurückverfolgen. Gleichzeitig wird sichtbar, welche späteren Begriffe wiederum auf dieser Definition aufbauen. Die Theorie entwickelt dadurch eine innere Transparenz, die insbesondere bei umfangreichen mathematischen Konstruktionen von großem Wert ist.</w:t>
      </w:r>
    </w:p>
    <w:p w:rsidR="00415DED" w:rsidRDefault="00415DED" w:rsidP="00415DED">
      <w:pPr>
        <w:pStyle w:val="StandardWeb"/>
      </w:pPr>
      <w:r>
        <w:t>Schließlich bereitet dieser Abschnitt den Leser auf die folgenden Entwicklungsstufen des FRZK vor. Mit zunehmender mathematischer Komplexität wird die Zahl der Operatoren, Zustandsräume und funktionalen Abbildungen weiter wachsen. Ohne die hier eingeführte methodische Orientierung könnten diese Strukturen leicht als voneinander unabhängige Einzeldefinitionen erscheinen. Tatsächlich bilden sie jedoch eine logisch zusammenhängende Architektur, deren Ursprung stets auf die Primäraxiome zurückgeführt werden kann.</w:t>
      </w:r>
    </w:p>
    <w:p w:rsidR="00415DED" w:rsidRDefault="00415DED" w:rsidP="00415DED">
      <w:pPr>
        <w:pStyle w:val="StandardWeb"/>
      </w:pPr>
      <w:r>
        <w:t>Gerade diese Rückverfolgbarkeit bildet einen wesentlichen Unterschied zwischen einer Sammlung mathematischer Werkzeuge und einer wissenschaftlichen Theorie. Das FRZK verfolgt daher konsequent das Ziel, nicht möglichst viele mathematische Konstruktionen einzuführen, sondern jede einzelne Konstruktion als notwendigen Schritt innerhalb eines durchgängigen wissenschaftlichen Gedankengangs nachvollziehbar zu begründen.</w:t>
      </w:r>
    </w:p>
    <w:p w:rsidR="002C1E33" w:rsidRDefault="002C1E33" w:rsidP="002C1E33">
      <w:pPr>
        <w:pStyle w:val="berschrift1"/>
        <w:rPr>
          <w:rFonts w:cs="Times New Roman"/>
          <w:sz w:val="48"/>
          <w:szCs w:val="48"/>
        </w:rPr>
      </w:pPr>
      <w:r>
        <w:t>3.3.36 Prüfung der Erklärungsfähigkeit</w:t>
      </w:r>
    </w:p>
    <w:p w:rsidR="002C1E33" w:rsidRDefault="002C1E33" w:rsidP="002C1E33">
      <w:pPr>
        <w:pStyle w:val="StandardWeb"/>
      </w:pPr>
      <w:r>
        <w:t xml:space="preserve">Die Prüfung der Prognosefähigkeit in Abschnitt 3.3.35 hat gezeigt, unter welchen Bedingungen ein FRZK-Modell aus einem zum Prognosezeitpunkt verfügbaren Informationsstand überprüfbare Aussagen über spätere Beobachtungen ableiten kann. Eine erfolgreiche Prognose beantwortet jedoch noch nicht die Frage, </w:t>
      </w:r>
      <w:r>
        <w:rPr>
          <w:rStyle w:val="Fett"/>
        </w:rPr>
        <w:t>warum</w:t>
      </w:r>
      <w:r>
        <w:t xml:space="preserve"> die vorhergesagte Beobachtung innerhalb des Modells zustande kommt. Prognose und Erklärung sind deshalb methodisch voneinander zu unterscheiden [58, 59, 79].</w:t>
      </w:r>
    </w:p>
    <w:p w:rsidR="002C1E33" w:rsidRDefault="002C1E33" w:rsidP="002C1E33">
      <w:pPr>
        <w:pStyle w:val="StandardWeb"/>
      </w:pPr>
      <w:r>
        <w:t>Ein Modell kann eine hohe Prognosegüte besitzen, obwohl seine interne Struktur nur eingeschränkt interpretierbar ist. Umgekehrt kann ein Modell einen nachvollziehbaren funktionalen Zusammenhang bereitstellen, dessen quantitative Prognoseleistung begrenzt bleibt. Für das Funktionale Raum-Zeit-Kohärenzsystem muss daher gesondert geprüft werden, wann eine Zustands-, Relations-, Transformations- oder Kohärenzstruktur tatsächlich als wissenschaftliche Erklärung verwendet werden darf.</w:t>
      </w:r>
    </w:p>
    <w:p w:rsidR="002C1E33" w:rsidRDefault="002C1E33" w:rsidP="002C1E33">
      <w:pPr>
        <w:pStyle w:val="StandardWeb"/>
      </w:pPr>
      <w:r>
        <w:t>Ich verstehe eine FRZK-Erklärung nicht als bloße nachträgliche Beschreibung einer Beobachtung. Eine Erklärung muss mindestens erkennen lassen, welches Phänomen erklärt werden soll, welche FRZK-Strukturen dafür relevant sind, welche Ausgangsbedingungen vorausgesetzt werden, über welche Relationen oder Transformationen das Ergebnis hervorgeht, welche Hilfsannahmen benötigt werden, welche alternativen Erklärungen berücksichtigt wurden und an welchen Beobachtungen die Erklärung scheitern könnte [58, 59, 79].</w:t>
      </w:r>
    </w:p>
    <w:p w:rsidR="002C1E33" w:rsidRDefault="002C1E33" w:rsidP="002C1E33">
      <w:pPr>
        <w:pStyle w:val="StandardWeb"/>
      </w:pPr>
      <w:r>
        <w:rPr>
          <w:rStyle w:val="Fett"/>
        </w:rPr>
        <w:t>Eigenleistung des FRZK</w:t>
      </w:r>
    </w:p>
    <w:p w:rsidR="002C1E33" w:rsidRDefault="002C1E33" w:rsidP="002C1E33">
      <w:pPr>
        <w:pStyle w:val="StandardWeb"/>
      </w:pPr>
      <w:r>
        <w:lastRenderedPageBreak/>
        <w:t>Ich führe deshalb ein explizites FRZK-Erklärungssystem ein, das Explanandum, Explanans, funktionale Mechanismen, Randbedingungen, Hilfsannahmen, Gegenmodelle und Erklärungsgüte gemeinsam dokumentiert. Dadurch verhindere ich, dass eine bloße Korrelation oder eine nachträglich passende Modellbeschreibung bereits als Erklärung bezeichnet wird.</w:t>
      </w:r>
    </w:p>
    <w:p w:rsidR="002C1E33" w:rsidRDefault="002C1E33" w:rsidP="002C1E33">
      <w:pPr>
        <w:pStyle w:val="berschrift2"/>
      </w:pPr>
      <w:r>
        <w:t>3.3.36.1 Explanandum und Explanans</w:t>
      </w:r>
    </w:p>
    <w:p w:rsidR="002C1E33" w:rsidRDefault="002C1E33" w:rsidP="002C1E33">
      <w:pPr>
        <w:pStyle w:val="StandardWeb"/>
      </w:pPr>
      <w:r>
        <w:t>Die zu erklärende Beobachtung bezeichne ich mit</w:t>
      </w:r>
    </w:p>
    <w:p w:rsidR="002C1E33" w:rsidRDefault="002C1E33" w:rsidP="002C1E33">
      <w:pPr>
        <w:pStyle w:val="StandardWeb"/>
      </w:pPr>
      <w:r>
        <w:t>[</w:t>
      </w:r>
      <w:r>
        <w:br/>
        <w:t>E_{\mathrm{obs}}.</w:t>
      </w:r>
      <w:r>
        <w:br/>
        <w:t>\tag{3.6048}</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E_{\mathrm{obs}}\qquad\text{(3.6048)}</w:t>
      </w:r>
    </w:p>
    <w:p w:rsidR="002C1E33" w:rsidRDefault="002C1E33" w:rsidP="002C1E33">
      <w:pPr>
        <w:pStyle w:val="StandardWeb"/>
      </w:pPr>
      <w:r>
        <w:t>Die erklärende FRZK-Struktur lautet</w:t>
      </w:r>
    </w:p>
    <w:p w:rsidR="002C1E33" w:rsidRDefault="002C1E33" w:rsidP="002C1E33">
      <w:pPr>
        <w:pStyle w:val="StandardWeb"/>
      </w:pPr>
      <w:r>
        <w:t>[</w:t>
      </w:r>
      <w:r>
        <w:br/>
        <w:t>\mathcal{X}_{F}.</w:t>
      </w:r>
      <w:r>
        <w:br/>
        <w:t>\tag{3.6049}</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\mathcal{X}_{F}\qquad\text{(3.6049)}</w:t>
      </w:r>
    </w:p>
    <w:p w:rsidR="002C1E33" w:rsidRDefault="002C1E33" w:rsidP="002C1E33">
      <w:pPr>
        <w:pStyle w:val="StandardWeb"/>
      </w:pPr>
      <w:r>
        <w:t>Die Menge zusätzlicher Rand- und Hilfsbedingungen bezeichne ich mit</w:t>
      </w:r>
    </w:p>
    <w:p w:rsidR="002C1E33" w:rsidRDefault="002C1E33" w:rsidP="002C1E33">
      <w:pPr>
        <w:pStyle w:val="berschrift1"/>
      </w:pPr>
      <w:r>
        <w:t>[</w:t>
      </w:r>
      <w:r>
        <w:br/>
        <w:t>\mathfrak{H}_{F}</w:t>
      </w:r>
    </w:p>
    <w:p w:rsidR="002C1E33" w:rsidRDefault="002C1E33" w:rsidP="002C1E33">
      <w:pPr>
        <w:pStyle w:val="StandardWeb"/>
      </w:pPr>
      <w:r>
        <w:t>\left{</w:t>
      </w:r>
      <w:r>
        <w:br/>
        <w:t>H_1,</w:t>
      </w:r>
      <w:r>
        <w:br/>
        <w:t>H_2,</w:t>
      </w:r>
      <w:r>
        <w:br/>
        <w:t>\ldots,</w:t>
      </w:r>
      <w:r>
        <w:br/>
        <w:t>H_m</w:t>
      </w:r>
      <w:r>
        <w:br/>
        <w:t>\right}.</w:t>
      </w:r>
      <w:r>
        <w:br/>
        <w:t>\tag{3.6050}</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\mathfrak{H}_{F}=\left\{H_1,H_2,\ldots,H_m\right\}\qquad\text{(3.6050)}</w:t>
      </w:r>
    </w:p>
    <w:p w:rsidR="002C1E33" w:rsidRDefault="002C1E33" w:rsidP="002C1E33">
      <w:pPr>
        <w:pStyle w:val="StandardWeb"/>
      </w:pPr>
      <w:r>
        <w:t>Eine elementare Erklärungsstruktur besitzt damit die Form</w:t>
      </w:r>
    </w:p>
    <w:p w:rsidR="002C1E33" w:rsidRDefault="002C1E33" w:rsidP="002C1E33">
      <w:pPr>
        <w:pStyle w:val="StandardWeb"/>
      </w:pPr>
      <w:r>
        <w:lastRenderedPageBreak/>
        <w:t>[</w:t>
      </w:r>
      <w:r>
        <w:br/>
        <w:t>\mathcal{X}</w:t>
      </w:r>
      <w:r>
        <w:rPr>
          <w:rStyle w:val="Hervorhebung"/>
        </w:rPr>
        <w:t>{F}</w:t>
      </w:r>
      <w:r>
        <w:rPr>
          <w:i/>
          <w:iCs/>
        </w:rPr>
        <w:br/>
      </w:r>
      <w:r>
        <w:rPr>
          <w:rStyle w:val="Hervorhebung"/>
        </w:rPr>
        <w:t>\land</w:t>
      </w:r>
      <w:r>
        <w:rPr>
          <w:i/>
          <w:iCs/>
        </w:rPr>
        <w:br/>
      </w:r>
      <w:r>
        <w:rPr>
          <w:rStyle w:val="Hervorhebung"/>
        </w:rPr>
        <w:t>\bigwedge</w:t>
      </w:r>
      <w:r>
        <w:t>{i=1}^{m}H_i</w:t>
      </w:r>
      <w:r>
        <w:br/>
        <w:t>\Rightarrow</w:t>
      </w:r>
      <w:r>
        <w:br/>
        <w:t>E_{\mathrm{obs}}.</w:t>
      </w:r>
      <w:r>
        <w:br/>
        <w:t>\tag{3.6051}</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\mathcal{X}_{F}\land\bigwedge_{i=1}^{m}H_i\Rightarrow E_{\mathrm{obs}}\qquad\text{(3.6051)}</w:t>
      </w:r>
    </w:p>
    <w:p w:rsidR="002C1E33" w:rsidRDefault="002C1E33" w:rsidP="002C1E33">
      <w:pPr>
        <w:pStyle w:val="StandardWeb"/>
      </w:pPr>
      <w:r>
        <w:t>Das Explanandum ist dasjenige Phänomen, dessen Auftreten erklärt werden soll. Das Explanans besteht aus den funktionalen Strukturen und Bedingungen, aus denen das Explanandum innerhalb des betrachteten Modells hervorgeht.</w:t>
      </w:r>
    </w:p>
    <w:p w:rsidR="002C1E33" w:rsidRDefault="002C1E33" w:rsidP="002C1E33">
      <w:pPr>
        <w:pStyle w:val="berschrift2"/>
      </w:pPr>
      <w:r>
        <w:t>3.3.36.2 Definition des FRZK-Erklärungssystems</w:t>
      </w:r>
    </w:p>
    <w:p w:rsidR="002C1E33" w:rsidRDefault="002C1E33" w:rsidP="002C1E33">
      <w:pPr>
        <w:pStyle w:val="StandardWeb"/>
      </w:pPr>
      <w:r>
        <w:rPr>
          <w:rStyle w:val="Fett"/>
        </w:rPr>
        <w:t>Definition 3.3.28 – FRZK-Erklärungssystem</w:t>
      </w:r>
    </w:p>
    <w:p w:rsidR="002C1E33" w:rsidRDefault="002C1E33" w:rsidP="002C1E33">
      <w:pPr>
        <w:pStyle w:val="StandardWeb"/>
      </w:pPr>
      <w:r>
        <w:t>Ein FRZK-Erklärungssystem ist das geordnete Tupel</w:t>
      </w:r>
    </w:p>
    <w:p w:rsidR="002C1E33" w:rsidRDefault="002C1E33" w:rsidP="002C1E33">
      <w:pPr>
        <w:pStyle w:val="berschrift1"/>
      </w:pPr>
      <w:r>
        <w:t>[</w:t>
      </w:r>
      <w:r>
        <w:br/>
        <w:t>\mathfrak{X}_{F}^{\mathrm{expl}}</w:t>
      </w:r>
    </w:p>
    <w:p w:rsidR="002C1E33" w:rsidRDefault="002C1E33" w:rsidP="002C1E33">
      <w:pPr>
        <w:pStyle w:val="StandardWeb"/>
      </w:pPr>
      <w:r>
        <w:t>\left(</w:t>
      </w:r>
      <w:r>
        <w:br/>
        <w:t>E_{\mathrm{obs}},</w:t>
      </w:r>
      <w:r>
        <w:br/>
        <w:t>\mathcal{X}</w:t>
      </w:r>
      <w:r>
        <w:rPr>
          <w:rStyle w:val="Hervorhebung"/>
        </w:rPr>
        <w:t>{F},</w:t>
      </w:r>
      <w:r>
        <w:rPr>
          <w:i/>
          <w:iCs/>
        </w:rPr>
        <w:br/>
      </w:r>
      <w:r>
        <w:rPr>
          <w:rStyle w:val="Hervorhebung"/>
        </w:rPr>
        <w:t>\mathfrak{H}</w:t>
      </w:r>
      <w:r>
        <w:t>{F},</w:t>
      </w:r>
      <w:r>
        <w:br/>
        <w:t>\mathfrak{M}</w:t>
      </w:r>
      <w:r>
        <w:rPr>
          <w:rStyle w:val="Hervorhebung"/>
        </w:rPr>
        <w:t>{F},</w:t>
      </w:r>
      <w:r>
        <w:rPr>
          <w:i/>
          <w:iCs/>
        </w:rPr>
        <w:br/>
      </w:r>
      <w:r>
        <w:rPr>
          <w:rStyle w:val="Hervorhebung"/>
        </w:rPr>
        <w:t>\mathfrak{A}</w:t>
      </w:r>
      <w:r>
        <w:t>{F}^{\mathrm{alt}},</w:t>
      </w:r>
      <w:r>
        <w:br/>
        <w:t>\operatorname{Expl}_{F}</w:t>
      </w:r>
      <w:r>
        <w:br/>
        <w:t>\right).</w:t>
      </w:r>
      <w:r>
        <w:br/>
        <w:t>\tag{3.6052}</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\mathfrak{X}_{F}^{\mathrm{expl}}=\left(E_{\mathrm{obs}},\mathcal{X}_{F},\mathfrak{H}_{F},\mathfrak{M}_{F},\mathfrak{A}_{F}^{\mathrm{alt}},\operatorname{Expl}_{F}\right)\qquad\text{(3.6052)}</w:t>
      </w:r>
    </w:p>
    <w:p w:rsidR="002C1E33" w:rsidRDefault="002C1E33" w:rsidP="002C1E33">
      <w:pPr>
        <w:pStyle w:val="StandardWeb"/>
      </w:pPr>
      <w:r>
        <w:t>Dabei bezeichnet</w:t>
      </w:r>
    </w:p>
    <w:p w:rsidR="002C1E33" w:rsidRDefault="002C1E33" w:rsidP="002C1E33">
      <w:pPr>
        <w:pStyle w:val="StandardWeb"/>
      </w:pPr>
      <w:r>
        <w:t>(\mathfrak{M}_{F}) die Menge funktionaler Mechanismen,</w:t>
      </w:r>
    </w:p>
    <w:p w:rsidR="002C1E33" w:rsidRDefault="002C1E33" w:rsidP="002C1E33">
      <w:pPr>
        <w:pStyle w:val="StandardWeb"/>
      </w:pPr>
      <w:r>
        <w:t>(\mathfrak{A}_{F}^{\mathrm{alt}}) die Menge relevanter alternativer Erklärungsstrukturen und</w:t>
      </w:r>
    </w:p>
    <w:p w:rsidR="002C1E33" w:rsidRDefault="002C1E33" w:rsidP="002C1E33">
      <w:pPr>
        <w:pStyle w:val="StandardWeb"/>
      </w:pPr>
      <w:r>
        <w:lastRenderedPageBreak/>
        <w:t>(\operatorname{Expl}_{F}) das Erklärungsfähigkeitsprädikat.</w:t>
      </w:r>
    </w:p>
    <w:p w:rsidR="002C1E33" w:rsidRDefault="002C1E33" w:rsidP="002C1E33">
      <w:pPr>
        <w:pStyle w:val="StandardWeb"/>
      </w:pPr>
      <w:r>
        <w:t>Dieses Prädikat lautet</w:t>
      </w:r>
    </w:p>
    <w:p w:rsidR="002C1E33" w:rsidRDefault="002C1E33" w:rsidP="002C1E33">
      <w:pPr>
        <w:pStyle w:val="StandardWeb"/>
      </w:pPr>
      <w:r>
        <w:t>[</w:t>
      </w:r>
      <w:r>
        <w:br/>
        <w:t>\operatorname{Expl}</w:t>
      </w:r>
      <w:r>
        <w:rPr>
          <w:rStyle w:val="Hervorhebung"/>
        </w:rPr>
        <w:t>{F}:</w:t>
      </w:r>
      <w:r>
        <w:rPr>
          <w:i/>
          <w:iCs/>
        </w:rPr>
        <w:br/>
      </w:r>
      <w:r>
        <w:rPr>
          <w:rStyle w:val="Hervorhebung"/>
        </w:rPr>
        <w:t>\mathfrak{X}</w:t>
      </w:r>
      <w:r>
        <w:t>{F}^{\mathrm{expl}}</w:t>
      </w:r>
      <w:r>
        <w:br/>
        <w:t>\rightarrow</w:t>
      </w:r>
      <w:r>
        <w:br/>
        <w:t>{0,1}.</w:t>
      </w:r>
      <w:r>
        <w:br/>
        <w:t>\tag{3.6053}</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\operatorname{Expl}_{F}:\mathfrak{X}_{F}^{\mathrm{expl}}\rightarrow\{0,1\}\qquad\text{(3.6053)}</w:t>
      </w:r>
    </w:p>
    <w:p w:rsidR="002C1E33" w:rsidRDefault="002C1E33" w:rsidP="002C1E33">
      <w:pPr>
        <w:pStyle w:val="StandardWeb"/>
      </w:pPr>
      <w:r>
        <w:t>Für ein formal erklärungsfähiges System gilt</w:t>
      </w:r>
    </w:p>
    <w:p w:rsidR="002C1E33" w:rsidRDefault="002C1E33" w:rsidP="002C1E33">
      <w:pPr>
        <w:pStyle w:val="berschrift1"/>
      </w:pPr>
      <w:r>
        <w:t>[</w:t>
      </w:r>
      <w:r>
        <w:br/>
        <w:t>\operatorname{Expl}</w:t>
      </w:r>
      <w:r>
        <w:rPr>
          <w:rStyle w:val="Hervorhebung"/>
        </w:rPr>
        <w:t>{F}</w:t>
      </w:r>
      <w:r>
        <w:rPr>
          <w:i/>
          <w:iCs/>
        </w:rPr>
        <w:br/>
      </w:r>
      <w:r>
        <w:rPr>
          <w:rStyle w:val="Hervorhebung"/>
        </w:rPr>
        <w:t>\left(</w:t>
      </w:r>
      <w:r>
        <w:rPr>
          <w:i/>
          <w:iCs/>
        </w:rPr>
        <w:br/>
      </w:r>
      <w:r>
        <w:rPr>
          <w:rStyle w:val="Hervorhebung"/>
        </w:rPr>
        <w:t>\mathfrak{X}</w:t>
      </w:r>
      <w:r>
        <w:t>{F}^{\mathrm{expl}}</w:t>
      </w:r>
      <w:r>
        <w:br/>
        <w:t>\right)</w:t>
      </w:r>
    </w:p>
    <w:p w:rsidR="002C1E33" w:rsidRDefault="002C1E33" w:rsidP="008C5E65">
      <w:pPr>
        <w:numPr>
          <w:ilvl w:val="0"/>
          <w:numId w:val="270"/>
        </w:numPr>
        <w:spacing w:before="100" w:beforeAutospacing="1" w:after="100" w:afterAutospacing="1"/>
      </w:pPr>
    </w:p>
    <w:p w:rsidR="002C1E33" w:rsidRDefault="002C1E33" w:rsidP="002C1E33">
      <w:pPr>
        <w:pStyle w:val="StandardWeb"/>
      </w:pPr>
      <w:r>
        <w:t>\tag{3.6054}</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\operatorname{Expl}_{F}\left(\mathfrak{X}_{F}^{\mathrm{expl}}\right)=1\qquad\text{(3.6054)}</w:t>
      </w:r>
    </w:p>
    <w:p w:rsidR="002C1E33" w:rsidRDefault="002C1E33" w:rsidP="002C1E33">
      <w:pPr>
        <w:pStyle w:val="berschrift2"/>
      </w:pPr>
      <w:r>
        <w:t>3.3.36.3 Funktionaler Mechanismus</w:t>
      </w:r>
    </w:p>
    <w:p w:rsidR="002C1E33" w:rsidRDefault="002C1E33" w:rsidP="002C1E33">
      <w:pPr>
        <w:pStyle w:val="StandardWeb"/>
      </w:pPr>
      <w:r>
        <w:t>Eine wissenschaftliche Erklärung benötigt mehr als die bloße Gleichzeitigkeit zweier Größen. Innerhalb des FRZK bezeichne ich deshalb eine geordnete Folge funktionaler Zustände und Transformationen, durch die ein beobachtetes Ergebnis entsteht, als funktionalen Mechanismus.</w:t>
      </w:r>
    </w:p>
    <w:p w:rsidR="002C1E33" w:rsidRDefault="002C1E33" w:rsidP="002C1E33">
      <w:pPr>
        <w:pStyle w:val="StandardWeb"/>
      </w:pPr>
      <w:r>
        <w:t>Ein solcher Mechanismus kann geschrieben werden als</w:t>
      </w:r>
    </w:p>
    <w:p w:rsidR="002C1E33" w:rsidRDefault="002C1E33" w:rsidP="002C1E33">
      <w:pPr>
        <w:pStyle w:val="StandardWeb"/>
      </w:pPr>
      <w:r>
        <w:t>[</w:t>
      </w:r>
      <w:r>
        <w:br/>
        <w:t>\delta_0</w:t>
      </w:r>
      <w:r>
        <w:br/>
        <w:t>\xrightarrow{T_1}</w:t>
      </w:r>
      <w:r>
        <w:br/>
        <w:t>\delta_1</w:t>
      </w:r>
      <w:r>
        <w:br/>
      </w:r>
      <w:r>
        <w:lastRenderedPageBreak/>
        <w:t>\xrightarrow{T_2}</w:t>
      </w:r>
      <w:r>
        <w:br/>
        <w:t>\cdots</w:t>
      </w:r>
      <w:r>
        <w:br/>
        <w:t>\xrightarrow{T_n}</w:t>
      </w:r>
      <w:r>
        <w:br/>
        <w:t>\delta_n.</w:t>
      </w:r>
      <w:r>
        <w:br/>
        <w:t>\tag{3.6055}</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\delta_0\xrightarrow{T_1}\delta_1\xrightarrow{T_2}\cdots\xrightarrow{T_n}\delta_n\qquad\text{(3.6055)}</w:t>
      </w:r>
    </w:p>
    <w:p w:rsidR="002C1E33" w:rsidRDefault="002C1E33" w:rsidP="002C1E33">
      <w:pPr>
        <w:pStyle w:val="StandardWeb"/>
      </w:pPr>
      <w:r>
        <w:t>Dabei gilt für jeden Übergang</w:t>
      </w:r>
    </w:p>
    <w:p w:rsidR="002C1E33" w:rsidRDefault="002C1E33" w:rsidP="002C1E33">
      <w:pPr>
        <w:pStyle w:val="berschrift1"/>
      </w:pPr>
      <w:r>
        <w:t>[</w:t>
      </w:r>
      <w:r>
        <w:br/>
        <w:t>\delta_k</w:t>
      </w:r>
    </w:p>
    <w:p w:rsidR="002C1E33" w:rsidRDefault="002C1E33" w:rsidP="002C1E33">
      <w:pPr>
        <w:pStyle w:val="StandardWeb"/>
      </w:pPr>
      <w:r>
        <w:t>T_k</w:t>
      </w:r>
      <w:r>
        <w:br/>
        <w:t>\left(</w:t>
      </w:r>
      <w:r>
        <w:br/>
        <w:t>\delta_{k-1}</w:t>
      </w:r>
      <w:r>
        <w:br/>
        <w:t>\right).</w:t>
      </w:r>
      <w:r>
        <w:br/>
        <w:t>\tag{3.6056}</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\delta_k=T_k\left(\delta_{k-1}\right)\qquad\text{(3.6056)}</w:t>
      </w:r>
    </w:p>
    <w:p w:rsidR="002C1E33" w:rsidRDefault="002C1E33" w:rsidP="002C1E33">
      <w:pPr>
        <w:pStyle w:val="StandardWeb"/>
      </w:pPr>
      <w:r>
        <w:t>Der Gesamtmechanismus ergibt sich durch Komposition:</w:t>
      </w:r>
    </w:p>
    <w:p w:rsidR="002C1E33" w:rsidRDefault="002C1E33" w:rsidP="002C1E33">
      <w:pPr>
        <w:pStyle w:val="berschrift1"/>
      </w:pPr>
      <w:r>
        <w:t>[</w:t>
      </w:r>
      <w:r>
        <w:br/>
        <w:t>T_{\mathrm{ges}}</w:t>
      </w:r>
    </w:p>
    <w:p w:rsidR="002C1E33" w:rsidRDefault="002C1E33" w:rsidP="002C1E33">
      <w:pPr>
        <w:pStyle w:val="StandardWeb"/>
      </w:pPr>
      <w:r>
        <w:t>T_n</w:t>
      </w:r>
      <w:r>
        <w:br/>
        <w:t>\circ</w:t>
      </w:r>
      <w:r>
        <w:br/>
        <w:t>T_{n-1}</w:t>
      </w:r>
      <w:r>
        <w:br/>
        <w:t>\circ</w:t>
      </w:r>
      <w:r>
        <w:br/>
        <w:t>\cdots</w:t>
      </w:r>
      <w:r>
        <w:br/>
        <w:t>\circ</w:t>
      </w:r>
      <w:r>
        <w:br/>
        <w:t>T_1.</w:t>
      </w:r>
      <w:r>
        <w:br/>
        <w:t>\tag{3.6057}</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T_{\mathrm{ges}}=T_n\circ T_{n-1}\circ\cdots\circ T_1\qquad\text{(3.6057)}</w:t>
      </w:r>
    </w:p>
    <w:p w:rsidR="002C1E33" w:rsidRDefault="002C1E33" w:rsidP="002C1E33">
      <w:pPr>
        <w:pStyle w:val="StandardWeb"/>
      </w:pPr>
      <w:r>
        <w:t>Damit gilt</w:t>
      </w:r>
    </w:p>
    <w:p w:rsidR="002C1E33" w:rsidRDefault="002C1E33" w:rsidP="002C1E33">
      <w:pPr>
        <w:pStyle w:val="berschrift1"/>
      </w:pPr>
      <w:r>
        <w:lastRenderedPageBreak/>
        <w:t>[</w:t>
      </w:r>
      <w:r>
        <w:br/>
        <w:t>\delta_n</w:t>
      </w:r>
    </w:p>
    <w:p w:rsidR="002C1E33" w:rsidRDefault="002C1E33" w:rsidP="002C1E33">
      <w:pPr>
        <w:pStyle w:val="StandardWeb"/>
      </w:pPr>
      <w:r>
        <w:t>T_{\mathrm{ges}}</w:t>
      </w:r>
      <w:r>
        <w:br/>
        <w:t>\left(</w:t>
      </w:r>
      <w:r>
        <w:br/>
        <w:t>\delta_0</w:t>
      </w:r>
      <w:r>
        <w:br/>
        <w:t>\right).</w:t>
      </w:r>
      <w:r>
        <w:br/>
        <w:t>\tag{3.6058}</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\delta_n=T_{\mathrm{ges}}\left(\delta_0\right)\qquad\text{(3.6058)}</w:t>
      </w:r>
    </w:p>
    <w:p w:rsidR="002C1E33" w:rsidRDefault="002C1E33" w:rsidP="002C1E33">
      <w:pPr>
        <w:pStyle w:val="berschrift2"/>
      </w:pPr>
      <w:r>
        <w:t>3.3.36.4 Erklärung durch Relationsstruktur</w:t>
      </w:r>
    </w:p>
    <w:p w:rsidR="002C1E33" w:rsidRDefault="002C1E33" w:rsidP="002C1E33">
      <w:pPr>
        <w:pStyle w:val="StandardWeb"/>
      </w:pPr>
      <w:r>
        <w:t>Nicht jede Erklärung muss ausschließlich auf einer Transformationsfolge beruhen. Ein beobachtetes Phänomen kann ebenso durch die funktionale Einbettung eines Zustands in eine Relationsstruktur erklärt werden.</w:t>
      </w:r>
    </w:p>
    <w:p w:rsidR="002C1E33" w:rsidRDefault="002C1E33" w:rsidP="002C1E33">
      <w:pPr>
        <w:pStyle w:val="StandardWeb"/>
      </w:pPr>
      <w:r>
        <w:t>Die relevante Relationsumgebung eines Zustands sei</w:t>
      </w:r>
    </w:p>
    <w:p w:rsidR="002C1E33" w:rsidRDefault="002C1E33" w:rsidP="002C1E33">
      <w:pPr>
        <w:pStyle w:val="StandardWeb"/>
      </w:pPr>
      <w:r>
        <w:t>[</w:t>
      </w:r>
      <w:r>
        <w:br/>
        <w:t>\mathcal{N}_{R}</w:t>
      </w:r>
      <w:r>
        <w:br/>
        <w:t>\left(</w:t>
      </w:r>
      <w:r>
        <w:br/>
        <w:t>\delta_i</w:t>
      </w:r>
      <w:r>
        <w:br/>
        <w:t>\right).</w:t>
      </w:r>
      <w:r>
        <w:br/>
        <w:t>\tag{3.6059}</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\mathcal{N}_{R}\left(\delta_i\right)\qquad\text{(3.6059)}</w:t>
      </w:r>
    </w:p>
    <w:p w:rsidR="002C1E33" w:rsidRDefault="002C1E33" w:rsidP="002C1E33">
      <w:pPr>
        <w:pStyle w:val="StandardWeb"/>
      </w:pPr>
      <w:r>
        <w:t>Das Explanandum kann dann von dieser Umgebung abhängen:</w:t>
      </w:r>
    </w:p>
    <w:p w:rsidR="002C1E33" w:rsidRDefault="002C1E33" w:rsidP="002C1E33">
      <w:pPr>
        <w:pStyle w:val="berschrift1"/>
      </w:pPr>
      <w:r>
        <w:t>[</w:t>
      </w:r>
      <w:r>
        <w:br/>
        <w:t>E_{\mathrm{obs}}</w:t>
      </w:r>
    </w:p>
    <w:p w:rsidR="002C1E33" w:rsidRDefault="002C1E33" w:rsidP="002C1E33">
      <w:pPr>
        <w:pStyle w:val="StandardWeb"/>
      </w:pPr>
      <w:r>
        <w:t>F</w:t>
      </w:r>
      <w:r>
        <w:br/>
        <w:t>\left(</w:t>
      </w:r>
      <w:r>
        <w:br/>
        <w:t>\mathcal{N}_{R}</w:t>
      </w:r>
      <w:r>
        <w:br/>
        <w:t>\left(</w:t>
      </w:r>
      <w:r>
        <w:br/>
        <w:t>\delta_i</w:t>
      </w:r>
      <w:r>
        <w:br/>
        <w:t>\right)</w:t>
      </w:r>
      <w:r>
        <w:br/>
        <w:t>\right).</w:t>
      </w:r>
      <w:r>
        <w:br/>
        <w:t>\tag{3.6060}</w:t>
      </w:r>
      <w:r>
        <w:br/>
        <w:t>]</w:t>
      </w:r>
    </w:p>
    <w:p w:rsidR="002C1E33" w:rsidRDefault="002C1E33" w:rsidP="002C1E33">
      <w:pPr>
        <w:pStyle w:val="StandardWeb"/>
      </w:pPr>
      <w:r>
        <w:rPr>
          <w:rStyle w:val="Fett"/>
        </w:rPr>
        <w:lastRenderedPageBreak/>
        <w:t>Word-LaTeX</w:t>
      </w:r>
    </w:p>
    <w:p w:rsidR="002C1E33" w:rsidRDefault="002C1E33" w:rsidP="002C1E33">
      <w:pPr>
        <w:pStyle w:val="HTMLVorformatiert"/>
        <w:rPr>
          <w:rStyle w:val="HTMLCode"/>
        </w:rPr>
      </w:pPr>
      <w:r>
        <w:rPr>
          <w:rStyle w:val="HTMLCode"/>
        </w:rPr>
        <w:t>E_{\mathrm{obs}}=F\left(\mathcal{N}_{R}\left(\delta_i\right)\right)\qquad\text{(3.6060)}</w:t>
      </w:r>
    </w:p>
    <w:p w:rsidR="002C1E33" w:rsidRDefault="002C1E33" w:rsidP="002C1E33">
      <w:pPr>
        <w:pStyle w:val="StandardWeb"/>
      </w:pPr>
      <w:r>
        <w:t>Eine bloße Relation</w:t>
      </w:r>
    </w:p>
    <w:p w:rsidR="002C1E33" w:rsidRDefault="002C1E33" w:rsidP="002C1E33">
      <w:pPr>
        <w:pStyle w:val="StandardWeb"/>
      </w:pPr>
      <w:r>
        <w:t>[</w:t>
      </w:r>
      <w:r>
        <w:br/>
        <w:t>\delta_i</w:t>
      </w:r>
      <w:r>
        <w:br/>
        <w:t>\mathcal{R}</w:t>
      </w:r>
      <w:r>
        <w:br/>
        <w:t>\delta_j</w:t>
      </w:r>
      <w:r>
        <w:br/>
        <w:t>\tag{3.6061}</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\delta_i\mathcal{R}\delta_j\qquad\text{(3.6061)}</w:t>
      </w:r>
    </w:p>
    <w:p w:rsidR="002C1E33" w:rsidRDefault="002C1E33" w:rsidP="002C1E33">
      <w:pPr>
        <w:pStyle w:val="StandardWeb"/>
      </w:pPr>
      <w:r>
        <w:t>stellt jedoch noch keine vollständige Erklärung dar. Erforderlich ist zusätzlich die Begründung, weshalb gerade diese Relation für das beobachtete Phänomen funktional relevant ist.</w:t>
      </w:r>
    </w:p>
    <w:p w:rsidR="002C1E33" w:rsidRDefault="002C1E33" w:rsidP="002C1E33">
      <w:pPr>
        <w:pStyle w:val="berschrift2"/>
      </w:pPr>
      <w:r>
        <w:t>3.3.36.5 Notwendige und hinreichende Erklärungsbedingungen</w:t>
      </w:r>
    </w:p>
    <w:p w:rsidR="002C1E33" w:rsidRDefault="002C1E33" w:rsidP="002C1E33">
      <w:pPr>
        <w:pStyle w:val="StandardWeb"/>
      </w:pPr>
      <w:r>
        <w:t>Eine Bedingung (C) ist notwendig für (E), wenn</w:t>
      </w:r>
    </w:p>
    <w:p w:rsidR="002C1E33" w:rsidRDefault="002C1E33" w:rsidP="002C1E33">
      <w:pPr>
        <w:pStyle w:val="StandardWeb"/>
      </w:pPr>
      <w:r>
        <w:t>[</w:t>
      </w:r>
      <w:r>
        <w:br/>
        <w:t>E</w:t>
      </w:r>
      <w:r>
        <w:br/>
        <w:t>\Rightarrow</w:t>
      </w:r>
      <w:r>
        <w:br/>
        <w:t>C.</w:t>
      </w:r>
      <w:r>
        <w:br/>
        <w:t>\tag{3.6062}</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E\Rightarrow C\qquad\text{(3.6062)}</w:t>
      </w:r>
    </w:p>
    <w:p w:rsidR="002C1E33" w:rsidRDefault="002C1E33" w:rsidP="002C1E33">
      <w:pPr>
        <w:pStyle w:val="StandardWeb"/>
      </w:pPr>
      <w:r>
        <w:t>Sie ist hinreichend, wenn</w:t>
      </w:r>
    </w:p>
    <w:p w:rsidR="002C1E33" w:rsidRDefault="002C1E33" w:rsidP="002C1E33">
      <w:pPr>
        <w:pStyle w:val="StandardWeb"/>
      </w:pPr>
      <w:r>
        <w:t>[</w:t>
      </w:r>
      <w:r>
        <w:br/>
        <w:t>C</w:t>
      </w:r>
      <w:r>
        <w:br/>
        <w:t>\Rightarrow</w:t>
      </w:r>
      <w:r>
        <w:br/>
        <w:t>E.</w:t>
      </w:r>
      <w:r>
        <w:br/>
        <w:t>\tag{3.6063}</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C\Rightarrow E\qquad\text{(3.6063)}</w:t>
      </w:r>
    </w:p>
    <w:p w:rsidR="002C1E33" w:rsidRDefault="002C1E33" w:rsidP="002C1E33">
      <w:pPr>
        <w:pStyle w:val="StandardWeb"/>
      </w:pPr>
      <w:r>
        <w:lastRenderedPageBreak/>
        <w:t>Notwendig und hinreichend ist sie, wenn</w:t>
      </w:r>
    </w:p>
    <w:p w:rsidR="002C1E33" w:rsidRDefault="002C1E33" w:rsidP="002C1E33">
      <w:pPr>
        <w:pStyle w:val="StandardWeb"/>
      </w:pPr>
      <w:r>
        <w:t>[</w:t>
      </w:r>
      <w:r>
        <w:br/>
        <w:t>E</w:t>
      </w:r>
      <w:r>
        <w:br/>
        <w:t>\iff</w:t>
      </w:r>
      <w:r>
        <w:br/>
        <w:t>C.</w:t>
      </w:r>
      <w:r>
        <w:br/>
        <w:t>\tag{3.6064}</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E\iff C\qquad\text{(3.6064)}</w:t>
      </w:r>
    </w:p>
    <w:p w:rsidR="002C1E33" w:rsidRDefault="002C1E33" w:rsidP="002C1E33">
      <w:pPr>
        <w:pStyle w:val="StandardWeb"/>
      </w:pPr>
      <w:r>
        <w:t>Methodisch darf eine empirische Korrelation nicht ohne weitere Prüfung als notwendige oder hinreichende Bedingung interpretiert werden.</w:t>
      </w:r>
    </w:p>
    <w:p w:rsidR="002C1E33" w:rsidRDefault="002C1E33" w:rsidP="002C1E33">
      <w:pPr>
        <w:pStyle w:val="berschrift2"/>
      </w:pPr>
      <w:r>
        <w:t>3.3.36.6 Erklärung und Korrelation</w:t>
      </w:r>
    </w:p>
    <w:p w:rsidR="002C1E33" w:rsidRDefault="002C1E33" w:rsidP="002C1E33">
      <w:pPr>
        <w:pStyle w:val="StandardWeb"/>
      </w:pPr>
      <w:r>
        <w:t>Eine statistische Abhängigkeit kann durch</w:t>
      </w:r>
    </w:p>
    <w:p w:rsidR="002C1E33" w:rsidRDefault="002C1E33" w:rsidP="002C1E33">
      <w:pPr>
        <w:pStyle w:val="StandardWeb"/>
      </w:pPr>
      <w:r>
        <w:t>[</w:t>
      </w:r>
      <w:r>
        <w:br/>
        <w:t>X</w:t>
      </w:r>
      <w:r>
        <w:br/>
        <w:t>\not!\perp!!!\perp</w:t>
      </w:r>
      <w:r>
        <w:br/>
        <w:t>Y</w:t>
      </w:r>
      <w:r>
        <w:br/>
        <w:t>\tag{3.6065}</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X\not\!\perp\!\!\!\perp Y\qquad\text{(3.6065)}</w:t>
      </w:r>
    </w:p>
    <w:p w:rsidR="002C1E33" w:rsidRDefault="002C1E33" w:rsidP="002C1E33">
      <w:pPr>
        <w:pStyle w:val="StandardWeb"/>
      </w:pPr>
      <w:r>
        <w:t>ausgedrückt werden.</w:t>
      </w:r>
    </w:p>
    <w:p w:rsidR="002C1E33" w:rsidRDefault="002C1E33" w:rsidP="002C1E33">
      <w:pPr>
        <w:pStyle w:val="StandardWeb"/>
      </w:pPr>
      <w:r>
        <w:t>Daraus folgt nicht automatisch eine gerichtete funktionale Erklärung:</w:t>
      </w:r>
    </w:p>
    <w:p w:rsidR="002C1E33" w:rsidRDefault="002C1E33" w:rsidP="002C1E33">
      <w:pPr>
        <w:pStyle w:val="StandardWeb"/>
      </w:pPr>
      <w:r>
        <w:t>[</w:t>
      </w:r>
      <w:r>
        <w:br/>
        <w:t>X</w:t>
      </w:r>
      <w:r>
        <w:br/>
        <w:t>\not!\perp!!!\perp</w:t>
      </w:r>
      <w:r>
        <w:br/>
        <w:t>Y</w:t>
      </w:r>
      <w:r>
        <w:br/>
        <w:t>\nRightarrow</w:t>
      </w:r>
      <w:r>
        <w:br/>
        <w:t>X</w:t>
      </w:r>
      <w:r>
        <w:br/>
        <w:t>\rightarrow</w:t>
      </w:r>
      <w:r>
        <w:br/>
        <w:t>Y.</w:t>
      </w:r>
      <w:r>
        <w:br/>
        <w:t>\tag{3.6066}</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X\not\!\perp\!\!\!\perp Y\nRightarrow X\rightarrow Y\qquad\text{(3.6066)}</w:t>
      </w:r>
    </w:p>
    <w:p w:rsidR="002C1E33" w:rsidRDefault="002C1E33" w:rsidP="002C1E33">
      <w:pPr>
        <w:pStyle w:val="StandardWeb"/>
      </w:pPr>
      <w:r>
        <w:t>Ebenso folgt nicht zwingend</w:t>
      </w:r>
    </w:p>
    <w:p w:rsidR="002C1E33" w:rsidRDefault="002C1E33" w:rsidP="002C1E33">
      <w:pPr>
        <w:pStyle w:val="StandardWeb"/>
      </w:pPr>
      <w:r>
        <w:lastRenderedPageBreak/>
        <w:t>[</w:t>
      </w:r>
      <w:r>
        <w:br/>
        <w:t>X</w:t>
      </w:r>
      <w:r>
        <w:br/>
        <w:t>\not!\perp!!!\perp</w:t>
      </w:r>
      <w:r>
        <w:br/>
        <w:t>Y</w:t>
      </w:r>
      <w:r>
        <w:br/>
        <w:t>\nRightarrow</w:t>
      </w:r>
      <w:r>
        <w:br/>
        <w:t>Y</w:t>
      </w:r>
      <w:r>
        <w:br/>
        <w:t>\rightarrow</w:t>
      </w:r>
      <w:r>
        <w:br/>
        <w:t>X.</w:t>
      </w:r>
      <w:r>
        <w:br/>
        <w:t>\tag{3.6067}</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X\not\!\perp\!\!\!\perp Y\nRightarrow Y\rightarrow X\qquad\text{(3.6067)}</w:t>
      </w:r>
    </w:p>
    <w:p w:rsidR="002C1E33" w:rsidRDefault="002C1E33" w:rsidP="002C1E33">
      <w:pPr>
        <w:pStyle w:val="StandardWeb"/>
      </w:pPr>
      <w:r>
        <w:t>Eine beobachtete Abhängigkeit kann unter anderem durch gemeinsame Bedingungen, indirekte Mechanismen oder Auswahlprozesse entstehen.</w:t>
      </w:r>
    </w:p>
    <w:p w:rsidR="002C1E33" w:rsidRDefault="002C1E33" w:rsidP="002C1E33">
      <w:pPr>
        <w:pStyle w:val="berschrift2"/>
      </w:pPr>
      <w:r>
        <w:t>3.3.36.7 Erklärung und Kausalität</w:t>
      </w:r>
    </w:p>
    <w:p w:rsidR="002C1E33" w:rsidRDefault="002C1E33" w:rsidP="002C1E33">
      <w:pPr>
        <w:pStyle w:val="StandardWeb"/>
      </w:pPr>
      <w:r>
        <w:t>Eine kausale Interpretation stellt stärkere Anforderungen als eine funktionale Transformationsbeschreibung.</w:t>
      </w:r>
    </w:p>
    <w:p w:rsidR="002C1E33" w:rsidRDefault="002C1E33" w:rsidP="002C1E33">
      <w:pPr>
        <w:pStyle w:val="StandardWeb"/>
      </w:pPr>
      <w:r>
        <w:t>Ich kennzeichne eine kausale Aussage zunächst abstrakt durch</w:t>
      </w:r>
    </w:p>
    <w:p w:rsidR="002C1E33" w:rsidRDefault="002C1E33" w:rsidP="002C1E33">
      <w:pPr>
        <w:pStyle w:val="StandardWeb"/>
      </w:pPr>
      <w:r>
        <w:t>[</w:t>
      </w:r>
      <w:r>
        <w:br/>
        <w:t>X</w:t>
      </w:r>
      <w:r>
        <w:br/>
        <w:t>\overset{\mathrm{causal}}{\longrightarrow}</w:t>
      </w:r>
      <w:r>
        <w:br/>
        <w:t>Y.</w:t>
      </w:r>
      <w:r>
        <w:br/>
        <w:t>\tag{3.6068}</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X\overset{\mathrm{causal}}{\longrightarrow}Y\qquad\text{(3.6068)}</w:t>
      </w:r>
    </w:p>
    <w:p w:rsidR="002C1E33" w:rsidRDefault="002C1E33" w:rsidP="002C1E33">
      <w:pPr>
        <w:pStyle w:val="StandardWeb"/>
      </w:pPr>
      <w:r>
        <w:t>Aus einer FRZK-Transformation</w:t>
      </w:r>
    </w:p>
    <w:p w:rsidR="002C1E33" w:rsidRDefault="002C1E33" w:rsidP="002C1E33">
      <w:pPr>
        <w:pStyle w:val="berschrift1"/>
      </w:pPr>
      <w:r>
        <w:t>[</w:t>
      </w:r>
      <w:r>
        <w:br/>
        <w:t>T(X)</w:t>
      </w:r>
    </w:p>
    <w:p w:rsidR="002C1E33" w:rsidRDefault="002C1E33" w:rsidP="002C1E33">
      <w:pPr>
        <w:pStyle w:val="StandardWeb"/>
      </w:pPr>
      <w:r>
        <w:t>Y</w:t>
      </w:r>
      <w:r>
        <w:br/>
        <w:t>\tag{3.6069}</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T(X)=Y\qquad\text{(3.6069)}</w:t>
      </w:r>
    </w:p>
    <w:p w:rsidR="002C1E33" w:rsidRDefault="002C1E33" w:rsidP="002C1E33">
      <w:pPr>
        <w:pStyle w:val="StandardWeb"/>
      </w:pPr>
      <w:r>
        <w:lastRenderedPageBreak/>
        <w:t>folgt jedoch nicht ohne zusätzliche Bedingungen</w:t>
      </w:r>
    </w:p>
    <w:p w:rsidR="002C1E33" w:rsidRDefault="002C1E33" w:rsidP="002C1E33">
      <w:pPr>
        <w:pStyle w:val="berschrift1"/>
      </w:pPr>
      <w:r>
        <w:t>[</w:t>
      </w:r>
      <w:r>
        <w:br/>
        <w:t>T(X)</w:t>
      </w:r>
    </w:p>
    <w:p w:rsidR="002C1E33" w:rsidRDefault="002C1E33" w:rsidP="002C1E33">
      <w:pPr>
        <w:pStyle w:val="StandardWeb"/>
      </w:pPr>
      <w:r>
        <w:t>Y</w:t>
      </w:r>
      <w:r>
        <w:br/>
        <w:t>\nRightarrow</w:t>
      </w:r>
      <w:r>
        <w:br/>
        <w:t>X</w:t>
      </w:r>
      <w:r>
        <w:br/>
        <w:t>\overset{\mathrm{causal}}{\longrightarrow}</w:t>
      </w:r>
      <w:r>
        <w:br/>
        <w:t>Y.</w:t>
      </w:r>
      <w:r>
        <w:br/>
        <w:t>\tag{3.6070}</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T(X)=Y\nRightarrow X\overset{\mathrm{causal}}{\longrightarrow}Y\qquad\text{(3.6070)}</w:t>
      </w:r>
    </w:p>
    <w:p w:rsidR="002C1E33" w:rsidRDefault="002C1E33" w:rsidP="002C1E33">
      <w:pPr>
        <w:pStyle w:val="StandardWeb"/>
      </w:pPr>
      <w:r>
        <w:t>Für eine kausale Interpretation wären zusätzliche Voraussetzungen hinsichtlich Intervention, Alternativerklärungen, Störgrößen und zeitlicher beziehungsweise funktionaler Richtung erforderlich.</w:t>
      </w:r>
    </w:p>
    <w:p w:rsidR="002C1E33" w:rsidRDefault="002C1E33" w:rsidP="002C1E33">
      <w:pPr>
        <w:pStyle w:val="berschrift2"/>
      </w:pPr>
      <w:r>
        <w:t>3.3.36.8 Kontrafaktische Erklärung</w:t>
      </w:r>
    </w:p>
    <w:p w:rsidR="002C1E33" w:rsidRDefault="002C1E33" w:rsidP="002C1E33">
      <w:pPr>
        <w:pStyle w:val="StandardWeb"/>
      </w:pPr>
      <w:r>
        <w:t>Eine stärkere Erklärung kann untersuchen, wie sich das Ergebnis unter veränderten Bedingungen verhielte.</w:t>
      </w:r>
    </w:p>
    <w:p w:rsidR="002C1E33" w:rsidRDefault="002C1E33" w:rsidP="002C1E33">
      <w:pPr>
        <w:pStyle w:val="StandardWeb"/>
      </w:pPr>
      <w:r>
        <w:t>Sei</w:t>
      </w:r>
    </w:p>
    <w:p w:rsidR="002C1E33" w:rsidRDefault="002C1E33" w:rsidP="002C1E33">
      <w:pPr>
        <w:pStyle w:val="berschrift1"/>
      </w:pPr>
      <w:r>
        <w:t>[</w:t>
      </w:r>
      <w:r>
        <w:br/>
        <w:t>E</w:t>
      </w:r>
    </w:p>
    <w:p w:rsidR="002C1E33" w:rsidRDefault="002C1E33" w:rsidP="002C1E33">
      <w:pPr>
        <w:pStyle w:val="StandardWeb"/>
      </w:pPr>
      <w:r>
        <w:t>F(X,H).</w:t>
      </w:r>
      <w:r>
        <w:br/>
        <w:t>\tag{3.6071}</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E=F(X,H)\qquad\text{(3.6071)}</w:t>
      </w:r>
    </w:p>
    <w:p w:rsidR="002C1E33" w:rsidRDefault="002C1E33" w:rsidP="002C1E33">
      <w:pPr>
        <w:pStyle w:val="StandardWeb"/>
      </w:pPr>
      <w:r>
        <w:t>Eine kontrafaktische Änderung sei</w:t>
      </w:r>
    </w:p>
    <w:p w:rsidR="002C1E33" w:rsidRDefault="002C1E33" w:rsidP="002C1E33">
      <w:pPr>
        <w:pStyle w:val="StandardWeb"/>
      </w:pPr>
      <w:r>
        <w:t>[</w:t>
      </w:r>
      <w:r>
        <w:br/>
        <w:t>X</w:t>
      </w:r>
      <w:r>
        <w:br/>
        <w:t>\rightarrow</w:t>
      </w:r>
      <w:r>
        <w:br/>
        <w:t>X'.</w:t>
      </w:r>
      <w:r>
        <w:br/>
        <w:t>\tag{3.6072}</w:t>
      </w:r>
      <w:r>
        <w:br/>
        <w:t>]</w:t>
      </w:r>
    </w:p>
    <w:p w:rsidR="002C1E33" w:rsidRDefault="002C1E33" w:rsidP="002C1E33">
      <w:pPr>
        <w:pStyle w:val="StandardWeb"/>
      </w:pPr>
      <w:r>
        <w:rPr>
          <w:rStyle w:val="Fett"/>
        </w:rPr>
        <w:lastRenderedPageBreak/>
        <w:t>Word-LaTeX</w:t>
      </w:r>
    </w:p>
    <w:p w:rsidR="002C1E33" w:rsidRDefault="002C1E33" w:rsidP="002C1E33">
      <w:pPr>
        <w:pStyle w:val="HTMLVorformatiert"/>
        <w:rPr>
          <w:rStyle w:val="HTMLCode"/>
        </w:rPr>
      </w:pPr>
      <w:r>
        <w:rPr>
          <w:rStyle w:val="HTMLCode"/>
        </w:rPr>
        <w:t>X\rightarrow X^{\prime}\qquad\text{(3.6072)}</w:t>
      </w:r>
    </w:p>
    <w:p w:rsidR="002C1E33" w:rsidRDefault="002C1E33" w:rsidP="002C1E33">
      <w:pPr>
        <w:pStyle w:val="StandardWeb"/>
      </w:pPr>
      <w:r>
        <w:t>Das kontrafaktische Ergebnis lautet</w:t>
      </w:r>
    </w:p>
    <w:p w:rsidR="002C1E33" w:rsidRDefault="002C1E33" w:rsidP="002C1E33">
      <w:pPr>
        <w:pStyle w:val="berschrift1"/>
      </w:pPr>
      <w:r>
        <w:t>[</w:t>
      </w:r>
      <w:r>
        <w:br/>
        <w:t>E'</w:t>
      </w:r>
    </w:p>
    <w:p w:rsidR="002C1E33" w:rsidRDefault="002C1E33" w:rsidP="002C1E33">
      <w:pPr>
        <w:pStyle w:val="StandardWeb"/>
      </w:pPr>
      <w:r>
        <w:t>F</w:t>
      </w:r>
      <w:r>
        <w:br/>
        <w:t>\left(</w:t>
      </w:r>
      <w:r>
        <w:br/>
        <w:t>X',</w:t>
      </w:r>
      <w:r>
        <w:br/>
        <w:t>H</w:t>
      </w:r>
      <w:r>
        <w:br/>
        <w:t>\right).</w:t>
      </w:r>
      <w:r>
        <w:br/>
        <w:t>\tag{3.6073}</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E^{\prime}=F\left(X^{\prime},H\right)\qquad\text{(3.6073)}</w:t>
      </w:r>
    </w:p>
    <w:p w:rsidR="002C1E33" w:rsidRDefault="002C1E33" w:rsidP="002C1E33">
      <w:pPr>
        <w:pStyle w:val="StandardWeb"/>
      </w:pPr>
      <w:r>
        <w:t>Die kontrafaktische Änderung des Explanandums ist</w:t>
      </w:r>
    </w:p>
    <w:p w:rsidR="002C1E33" w:rsidRDefault="002C1E33" w:rsidP="002C1E33">
      <w:pPr>
        <w:pStyle w:val="berschrift1"/>
      </w:pPr>
      <w:r>
        <w:t>[</w:t>
      </w:r>
      <w:r>
        <w:br/>
        <w:t>\Delta E_{\mathrm{cf}}</w:t>
      </w:r>
    </w:p>
    <w:p w:rsidR="002C1E33" w:rsidRDefault="002C1E33" w:rsidP="002C1E33">
      <w:pPr>
        <w:pStyle w:val="berschrift2"/>
      </w:pPr>
      <w:r>
        <w:t>E'</w:t>
      </w:r>
    </w:p>
    <w:p w:rsidR="002C1E33" w:rsidRDefault="002C1E33" w:rsidP="002C1E33">
      <w:pPr>
        <w:pStyle w:val="StandardWeb"/>
      </w:pPr>
      <w:r>
        <w:t>E.</w:t>
      </w:r>
      <w:r>
        <w:br/>
        <w:t>\tag{3.6074}</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 E_{\mathrm{cf}}=E^{\prime}-E\qquad\text{(3.6074)}</w:t>
      </w:r>
    </w:p>
    <w:p w:rsidR="002C1E33" w:rsidRDefault="002C1E33" w:rsidP="002C1E33">
      <w:pPr>
        <w:pStyle w:val="StandardWeb"/>
      </w:pPr>
      <w:r>
        <w:t>Ein erklärender Zusammenhang gewinnt an wissenschaftlicher Stärke, wenn die behauptete Abhängigkeit nicht nur das beobachtete Ergebnis reproduziert, sondern auch begründete Aussagen über solche alternativen Bedingungen ermöglicht.</w:t>
      </w:r>
    </w:p>
    <w:p w:rsidR="002C1E33" w:rsidRDefault="002C1E33" w:rsidP="002C1E33">
      <w:pPr>
        <w:pStyle w:val="berschrift2"/>
      </w:pPr>
      <w:r>
        <w:t>3.3.36.9 Erklärung durch Intervention</w:t>
      </w:r>
    </w:p>
    <w:p w:rsidR="002C1E33" w:rsidRDefault="002C1E33" w:rsidP="002C1E33">
      <w:pPr>
        <w:pStyle w:val="StandardWeb"/>
      </w:pPr>
      <w:r>
        <w:t>Eine Intervention auf eine funktionale Größe (X) bezeichne ich abstrakt durch</w:t>
      </w:r>
    </w:p>
    <w:p w:rsidR="002C1E33" w:rsidRDefault="002C1E33" w:rsidP="002C1E33">
      <w:pPr>
        <w:pStyle w:val="StandardWeb"/>
      </w:pPr>
      <w:r>
        <w:t>[</w:t>
      </w:r>
      <w:r>
        <w:br/>
        <w:t>\operatorname{do}</w:t>
      </w:r>
      <w:r>
        <w:br/>
        <w:t>\left(</w:t>
      </w:r>
      <w:r>
        <w:br/>
        <w:t>X=x</w:t>
      </w:r>
      <w:r>
        <w:br/>
      </w:r>
      <w:r>
        <w:lastRenderedPageBreak/>
        <w:t>\right).</w:t>
      </w:r>
      <w:r>
        <w:br/>
        <w:t>\tag{3.6075}</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\operatorname{do}\left(X=x\right)\qquad\text{(3.6075)}</w:t>
      </w:r>
    </w:p>
    <w:p w:rsidR="002C1E33" w:rsidRDefault="002C1E33" w:rsidP="002C1E33">
      <w:pPr>
        <w:pStyle w:val="StandardWeb"/>
      </w:pPr>
      <w:r>
        <w:t>Die resultierende Zielgröße lautet</w:t>
      </w:r>
    </w:p>
    <w:p w:rsidR="002C1E33" w:rsidRDefault="002C1E33" w:rsidP="002C1E33">
      <w:pPr>
        <w:pStyle w:val="StandardWeb"/>
      </w:pPr>
      <w:r>
        <w:t>[</w:t>
      </w:r>
      <w:r>
        <w:br/>
        <w:t>Y_{\operatorname{do}(X=x)}.</w:t>
      </w:r>
      <w:r>
        <w:br/>
        <w:t>\tag{3.6076}</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Y_{\operatorname{do}(X=x)}\qquad\text{(3.6076)}</w:t>
      </w:r>
    </w:p>
    <w:p w:rsidR="002C1E33" w:rsidRDefault="002C1E33" w:rsidP="002C1E33">
      <w:pPr>
        <w:pStyle w:val="StandardWeb"/>
      </w:pPr>
      <w:r>
        <w:t>Ein interventionsbezogener Effekt kann geschrieben werden als</w:t>
      </w:r>
    </w:p>
    <w:p w:rsidR="002C1E33" w:rsidRDefault="002C1E33" w:rsidP="002C1E33">
      <w:pPr>
        <w:pStyle w:val="berschrift1"/>
      </w:pPr>
      <w:r>
        <w:t>[</w:t>
      </w:r>
      <w:r>
        <w:br/>
        <w:t>\Delta_Y^{\mathrm{int}}</w:t>
      </w:r>
    </w:p>
    <w:p w:rsidR="002C1E33" w:rsidRDefault="002C1E33" w:rsidP="002C1E33">
      <w:pPr>
        <w:pStyle w:val="berschrift2"/>
      </w:pPr>
      <w:r>
        <w:t>Y_{\operatorname{do}(X=x_2)}</w:t>
      </w:r>
    </w:p>
    <w:p w:rsidR="002C1E33" w:rsidRDefault="002C1E33" w:rsidP="002C1E33">
      <w:pPr>
        <w:pStyle w:val="StandardWeb"/>
      </w:pPr>
      <w:r>
        <w:t>Y_{\operatorname{do}(X=x_1)}.</w:t>
      </w:r>
      <w:r>
        <w:br/>
        <w:t>\tag{3.6077}</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\Delta_Y^{\mathrm{int}}=Y_{\operatorname{do}(X=x_2)}-Y_{\operatorname{do}(X=x_1)}\qquad\text{(3.6077)}</w:t>
      </w:r>
    </w:p>
    <w:p w:rsidR="002C1E33" w:rsidRDefault="002C1E33" w:rsidP="002C1E33">
      <w:pPr>
        <w:pStyle w:val="StandardWeb"/>
      </w:pPr>
      <w:r>
        <w:t>Die Verwendung einer Interventionsnotation bedeutet dabei nicht, dass jedes FRZK-Modell automatisch kausal identifiziert ist. Die notwendigen empirischen und strukturellen Voraussetzungen müssen gesondert geprüft werden.</w:t>
      </w:r>
    </w:p>
    <w:p w:rsidR="002C1E33" w:rsidRDefault="002C1E33" w:rsidP="002C1E33">
      <w:pPr>
        <w:pStyle w:val="berschrift2"/>
      </w:pPr>
      <w:r>
        <w:t>3.3.36.10 Erklärung durch Zustandsänderung</w:t>
      </w:r>
    </w:p>
    <w:p w:rsidR="002C1E33" w:rsidRDefault="002C1E33" w:rsidP="002C1E33">
      <w:pPr>
        <w:pStyle w:val="StandardWeb"/>
      </w:pPr>
      <w:r>
        <w:t>Eine beobachtete Änderung eines funktionalen Zustands lautet</w:t>
      </w:r>
    </w:p>
    <w:p w:rsidR="002C1E33" w:rsidRDefault="002C1E33" w:rsidP="002C1E33">
      <w:pPr>
        <w:pStyle w:val="berschrift1"/>
      </w:pPr>
      <w:r>
        <w:t>[</w:t>
      </w:r>
      <w:r>
        <w:br/>
        <w:t>\Delta\delta</w:t>
      </w:r>
    </w:p>
    <w:p w:rsidR="002C1E33" w:rsidRDefault="002C1E33" w:rsidP="002C1E33">
      <w:pPr>
        <w:pStyle w:val="berschrift2"/>
      </w:pPr>
      <w:r>
        <w:t>\delta_2</w:t>
      </w:r>
    </w:p>
    <w:p w:rsidR="002C1E33" w:rsidRDefault="002C1E33" w:rsidP="002C1E33">
      <w:pPr>
        <w:pStyle w:val="StandardWeb"/>
      </w:pPr>
      <w:r>
        <w:lastRenderedPageBreak/>
        <w:t>\delta_1.</w:t>
      </w:r>
      <w:r>
        <w:br/>
        <w:t>\tag{3.6078}</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\Delta\delta=\delta_2-\delta_1\qquad\text{(3.6078)}</w:t>
      </w:r>
    </w:p>
    <w:p w:rsidR="002C1E33" w:rsidRDefault="002C1E33" w:rsidP="002C1E33">
      <w:pPr>
        <w:pStyle w:val="StandardWeb"/>
      </w:pPr>
      <w:r>
        <w:t>Eine mögliche erklärende Transformationsstruktur lautet</w:t>
      </w:r>
    </w:p>
    <w:p w:rsidR="002C1E33" w:rsidRDefault="002C1E33" w:rsidP="002C1E33">
      <w:pPr>
        <w:pStyle w:val="berschrift1"/>
      </w:pPr>
      <w:r>
        <w:t>[</w:t>
      </w:r>
      <w:r>
        <w:br/>
        <w:t>\delta_2</w:t>
      </w:r>
    </w:p>
    <w:p w:rsidR="002C1E33" w:rsidRDefault="002C1E33" w:rsidP="002C1E33">
      <w:pPr>
        <w:pStyle w:val="StandardWeb"/>
      </w:pPr>
      <w:r>
        <w:t>T</w:t>
      </w:r>
      <w:r>
        <w:br/>
        <w:t>\left(</w:t>
      </w:r>
      <w:r>
        <w:br/>
        <w:t>\delta_1;</w:t>
      </w:r>
      <w:r>
        <w:br/>
        <w:t>\theta</w:t>
      </w:r>
      <w:r>
        <w:br/>
        <w:t>\right).</w:t>
      </w:r>
      <w:r>
        <w:br/>
        <w:t>\tag{3.6079}</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\delta_2=T\left(\delta_1;\theta\right)\qquad\text{(3.6079)}</w:t>
      </w:r>
    </w:p>
    <w:p w:rsidR="002C1E33" w:rsidRDefault="002C1E33" w:rsidP="002C1E33">
      <w:pPr>
        <w:pStyle w:val="StandardWeb"/>
      </w:pPr>
      <w:r>
        <w:t>Die Erklärung der Änderung verlangt dann nicht nur die Kenntnis von (T), sondern auch der für die Transformation relevanten Parameter (\theta).</w:t>
      </w:r>
    </w:p>
    <w:p w:rsidR="002C1E33" w:rsidRDefault="002C1E33" w:rsidP="002C1E33">
      <w:pPr>
        <w:pStyle w:val="berschrift2"/>
      </w:pPr>
      <w:r>
        <w:t>3.3.36.11 Erklärung funktionaler Kohärenz</w:t>
      </w:r>
    </w:p>
    <w:p w:rsidR="002C1E33" w:rsidRDefault="002C1E33" w:rsidP="002C1E33">
      <w:pPr>
        <w:pStyle w:val="StandardWeb"/>
      </w:pPr>
      <w:r>
        <w:t>Ein beobachteter Kohärenzwert sei</w:t>
      </w:r>
    </w:p>
    <w:p w:rsidR="002C1E33" w:rsidRDefault="002C1E33" w:rsidP="002C1E33">
      <w:pPr>
        <w:pStyle w:val="StandardWeb"/>
      </w:pPr>
      <w:r>
        <w:t>[</w:t>
      </w:r>
      <w:r>
        <w:br/>
        <w:t>K_{\mathcal{C}}^{\mathrm{obs}}.</w:t>
      </w:r>
      <w:r>
        <w:br/>
        <w:t>\tag{3.6080}</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K_{\mathcal{C}}^{\mathrm{obs}}\qquad\text{(3.6080)}</w:t>
      </w:r>
    </w:p>
    <w:p w:rsidR="002C1E33" w:rsidRDefault="002C1E33" w:rsidP="002C1E33">
      <w:pPr>
        <w:pStyle w:val="StandardWeb"/>
      </w:pPr>
      <w:r>
        <w:t>Eine erklärende Struktur kann die Kohärenz auf Zustände, Relationen und Transformationen zurückführen:</w:t>
      </w:r>
    </w:p>
    <w:p w:rsidR="002C1E33" w:rsidRDefault="002C1E33" w:rsidP="002C1E33">
      <w:pPr>
        <w:pStyle w:val="berschrift1"/>
      </w:pPr>
      <w:r>
        <w:t>[</w:t>
      </w:r>
      <w:r>
        <w:br/>
        <w:t>K_{\mathcal{C}}</w:t>
      </w:r>
    </w:p>
    <w:p w:rsidR="002C1E33" w:rsidRDefault="002C1E33" w:rsidP="002C1E33">
      <w:pPr>
        <w:pStyle w:val="StandardWeb"/>
      </w:pPr>
      <w:r>
        <w:lastRenderedPageBreak/>
        <w:t>\mathcal{K}</w:t>
      </w:r>
      <w:r>
        <w:rPr>
          <w:rStyle w:val="Hervorhebung"/>
        </w:rPr>
        <w:t>{F}</w:t>
      </w:r>
      <w:r>
        <w:rPr>
          <w:i/>
          <w:iCs/>
        </w:rPr>
        <w:br/>
      </w:r>
      <w:r>
        <w:rPr>
          <w:rStyle w:val="Hervorhebung"/>
        </w:rPr>
        <w:t>\left(</w:t>
      </w:r>
      <w:r>
        <w:rPr>
          <w:i/>
          <w:iCs/>
        </w:rPr>
        <w:br/>
      </w:r>
      <w:r>
        <w:rPr>
          <w:rStyle w:val="Hervorhebung"/>
        </w:rPr>
        <w:t>\mathcal{S}</w:t>
      </w:r>
      <w:r>
        <w:t>{F},</w:t>
      </w:r>
      <w:r>
        <w:br/>
        <w:t>\mathfrak{R}</w:t>
      </w:r>
      <w:r>
        <w:rPr>
          <w:rStyle w:val="Hervorhebung"/>
        </w:rPr>
        <w:t>{F},</w:t>
      </w:r>
      <w:r>
        <w:rPr>
          <w:i/>
          <w:iCs/>
        </w:rPr>
        <w:br/>
      </w:r>
      <w:r>
        <w:rPr>
          <w:rStyle w:val="Hervorhebung"/>
        </w:rPr>
        <w:t>\mathfrak{T}</w:t>
      </w:r>
      <w:r>
        <w:t>{F}</w:t>
      </w:r>
      <w:r>
        <w:br/>
        <w:t>\right).</w:t>
      </w:r>
      <w:r>
        <w:br/>
        <w:t>\tag{3.6081}</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K_{\mathcal{C}}=\mathcal{K}_{F}\left(\mathcal{S}_{F},\mathfrak{R}_{F},\mathfrak{T}_{F}\right)\qquad\text{(3.6081)}</w:t>
      </w:r>
    </w:p>
    <w:p w:rsidR="002C1E33" w:rsidRDefault="002C1E33" w:rsidP="002C1E33">
      <w:pPr>
        <w:pStyle w:val="StandardWeb"/>
      </w:pPr>
      <w:r>
        <w:t>Eine Kohärenzänderung lautet</w:t>
      </w:r>
    </w:p>
    <w:p w:rsidR="002C1E33" w:rsidRDefault="002C1E33" w:rsidP="002C1E33">
      <w:pPr>
        <w:pStyle w:val="berschrift1"/>
      </w:pPr>
      <w:r>
        <w:t>[</w:t>
      </w:r>
      <w:r>
        <w:br/>
        <w:t>\Delta K_{\mathcal{C}}</w:t>
      </w:r>
    </w:p>
    <w:p w:rsidR="002C1E33" w:rsidRDefault="002C1E33" w:rsidP="002C1E33">
      <w:pPr>
        <w:pStyle w:val="berschrift2"/>
      </w:pPr>
      <w:r>
        <w:t>K_{\mathcal{C},2}</w:t>
      </w:r>
    </w:p>
    <w:p w:rsidR="002C1E33" w:rsidRDefault="002C1E33" w:rsidP="002C1E33">
      <w:pPr>
        <w:pStyle w:val="StandardWeb"/>
      </w:pPr>
      <w:r>
        <w:t>K_{\mathcal{C},1}.</w:t>
      </w:r>
      <w:r>
        <w:br/>
        <w:t>\tag{3.6082}</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 K_{\mathcal{C}}=K_{\mathcal{C},2}-K_{\mathcal{C},1}\qquad\text{(3.6082)}</w:t>
      </w:r>
    </w:p>
    <w:p w:rsidR="002C1E33" w:rsidRDefault="002C1E33" w:rsidP="002C1E33">
      <w:pPr>
        <w:pStyle w:val="StandardWeb"/>
      </w:pPr>
      <w:r>
        <w:t>Ihre Erklärung verlangt die Bestimmung derjenigen strukturellen Veränderungen, die zur beobachteten Änderung des Kohärenzwerts beitragen.</w:t>
      </w:r>
    </w:p>
    <w:p w:rsidR="002C1E33" w:rsidRDefault="002C1E33" w:rsidP="002C1E33">
      <w:pPr>
        <w:pStyle w:val="berschrift2"/>
      </w:pPr>
      <w:r>
        <w:t>3.3.36.12 Beitragszerlegung</w:t>
      </w:r>
    </w:p>
    <w:p w:rsidR="002C1E33" w:rsidRDefault="002C1E33" w:rsidP="002C1E33">
      <w:pPr>
        <w:pStyle w:val="StandardWeb"/>
      </w:pPr>
      <w:r>
        <w:t>Eine erklärende Größe (Y) sei von mehreren Komponenten abhängig:</w:t>
      </w:r>
    </w:p>
    <w:p w:rsidR="002C1E33" w:rsidRDefault="002C1E33" w:rsidP="002C1E33">
      <w:pPr>
        <w:pStyle w:val="berschrift1"/>
      </w:pPr>
      <w:r>
        <w:t>[</w:t>
      </w:r>
      <w:r>
        <w:br/>
        <w:t>Y</w:t>
      </w:r>
    </w:p>
    <w:p w:rsidR="002C1E33" w:rsidRDefault="002C1E33" w:rsidP="002C1E33">
      <w:pPr>
        <w:pStyle w:val="StandardWeb"/>
      </w:pPr>
      <w:r>
        <w:t>F</w:t>
      </w:r>
      <w:r>
        <w:br/>
        <w:t>\left(</w:t>
      </w:r>
      <w:r>
        <w:br/>
        <w:t>X_1,</w:t>
      </w:r>
      <w:r>
        <w:br/>
        <w:t>X_2,</w:t>
      </w:r>
      <w:r>
        <w:br/>
        <w:t>\ldots,</w:t>
      </w:r>
      <w:r>
        <w:br/>
        <w:t>X_p</w:t>
      </w:r>
      <w:r>
        <w:br/>
        <w:t>\right).</w:t>
      </w:r>
      <w:r>
        <w:br/>
      </w:r>
      <w:r>
        <w:lastRenderedPageBreak/>
        <w:t>\tag{3.6083}</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Y=F\left(X_1,X_2,\ldots,X_p\right)\qquad\text{(3.6083)}</w:t>
      </w:r>
    </w:p>
    <w:p w:rsidR="002C1E33" w:rsidRDefault="002C1E33" w:rsidP="002C1E33">
      <w:pPr>
        <w:pStyle w:val="StandardWeb"/>
      </w:pPr>
      <w:r>
        <w:t>Eine lokale Sensitivität gegenüber (X_i) lautet</w:t>
      </w:r>
    </w:p>
    <w:p w:rsidR="002C1E33" w:rsidRDefault="002C1E33" w:rsidP="002C1E33">
      <w:pPr>
        <w:pStyle w:val="berschrift1"/>
      </w:pPr>
      <w:r>
        <w:t>[</w:t>
      </w:r>
      <w:r>
        <w:br/>
        <w:t>S_i</w:t>
      </w:r>
    </w:p>
    <w:p w:rsidR="002C1E33" w:rsidRDefault="002C1E33" w:rsidP="002C1E33">
      <w:pPr>
        <w:pStyle w:val="StandardWeb"/>
      </w:pPr>
      <w:r>
        <w:t>\frac{\partial Y}{\partial X_i}.</w:t>
      </w:r>
      <w:r>
        <w:br/>
        <w:t>\tag{3.6084}</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S_i=\frac{\partial Y}{\partial X_i}\qquad\text{(3.6084)}</w:t>
      </w:r>
    </w:p>
    <w:p w:rsidR="002C1E33" w:rsidRDefault="002C1E33" w:rsidP="002C1E33">
      <w:pPr>
        <w:pStyle w:val="StandardWeb"/>
      </w:pPr>
      <w:r>
        <w:t>Für kleine Änderungen kann gelten</w:t>
      </w:r>
    </w:p>
    <w:p w:rsidR="002C1E33" w:rsidRDefault="002C1E33" w:rsidP="002C1E33">
      <w:pPr>
        <w:pStyle w:val="StandardWeb"/>
      </w:pPr>
      <w:r>
        <w:t>[</w:t>
      </w:r>
      <w:r>
        <w:br/>
        <w:t>\Delta Y</w:t>
      </w:r>
      <w:r>
        <w:br/>
        <w:t>\approx</w:t>
      </w:r>
      <w:r>
        <w:br/>
        <w:t>\sum_{i=1}^{p}</w:t>
      </w:r>
      <w:r>
        <w:br/>
        <w:t>S_i</w:t>
      </w:r>
      <w:r>
        <w:br/>
        <w:t>\Delta X_i.</w:t>
      </w:r>
      <w:r>
        <w:br/>
        <w:t>\tag{3.6085}</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 Y\approx\sum_{i=1}^{p}S_i\Delta X_i\qquad\text{(3.6085)}</w:t>
      </w:r>
    </w:p>
    <w:p w:rsidR="002C1E33" w:rsidRDefault="002C1E33" w:rsidP="002C1E33">
      <w:pPr>
        <w:pStyle w:val="StandardWeb"/>
      </w:pPr>
      <w:r>
        <w:t>Eine solche lokale Zerlegung kann erklären, welche Komponenten zur beobachteten Ergebnisänderung beitragen. Sie ist jedoch keine vollständige kausale Erklärung.</w:t>
      </w:r>
    </w:p>
    <w:p w:rsidR="002C1E33" w:rsidRDefault="002C1E33" w:rsidP="002C1E33">
      <w:pPr>
        <w:pStyle w:val="berschrift2"/>
      </w:pPr>
      <w:r>
        <w:t>3.3.36.13 Wechselwirkungen</w:t>
      </w:r>
    </w:p>
    <w:p w:rsidR="002C1E33" w:rsidRDefault="002C1E33" w:rsidP="002C1E33">
      <w:pPr>
        <w:pStyle w:val="StandardWeb"/>
      </w:pPr>
      <w:r>
        <w:t>Bei nichtadditiven Strukturen können Wechselwirkungen auftreten:</w:t>
      </w:r>
    </w:p>
    <w:p w:rsidR="002C1E33" w:rsidRDefault="002C1E33" w:rsidP="002C1E33">
      <w:pPr>
        <w:pStyle w:val="berschrift1"/>
      </w:pPr>
      <w:r>
        <w:t>[</w:t>
      </w:r>
      <w:r>
        <w:br/>
        <w:t>Y</w:t>
      </w:r>
    </w:p>
    <w:p w:rsidR="002C1E33" w:rsidRDefault="002C1E33" w:rsidP="002C1E33">
      <w:pPr>
        <w:pStyle w:val="StandardWeb"/>
      </w:pPr>
      <w:r>
        <w:t>F</w:t>
      </w:r>
      <w:r>
        <w:br/>
        <w:t>\left(</w:t>
      </w:r>
      <w:r>
        <w:br/>
        <w:t>X_1,</w:t>
      </w:r>
      <w:r>
        <w:br/>
      </w:r>
      <w:r>
        <w:lastRenderedPageBreak/>
        <w:t>X_2</w:t>
      </w:r>
      <w:r>
        <w:br/>
        <w:t>\right).</w:t>
      </w:r>
      <w:r>
        <w:br/>
        <w:t>\tag{3.6086}</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Y=F\left(X_1,X_2\right)\qquad\text{(3.6086)}</w:t>
      </w:r>
    </w:p>
    <w:p w:rsidR="002C1E33" w:rsidRDefault="002C1E33" w:rsidP="002C1E33">
      <w:pPr>
        <w:pStyle w:val="StandardWeb"/>
      </w:pPr>
      <w:r>
        <w:t>Eine Wechselwirkung kann lokal durch</w:t>
      </w:r>
    </w:p>
    <w:p w:rsidR="002C1E33" w:rsidRDefault="002C1E33" w:rsidP="002C1E33">
      <w:pPr>
        <w:pStyle w:val="StandardWeb"/>
      </w:pPr>
      <w:r>
        <w:t>[</w:t>
      </w:r>
      <w:r>
        <w:br/>
        <w:t>\frac{\partial^2Y}</w:t>
      </w:r>
      <w:r>
        <w:br/>
        <w:t>{\partial X_1\partial X_2}</w:t>
      </w:r>
      <w:r>
        <w:br/>
        <w:t>\neq</w:t>
      </w:r>
      <w:r>
        <w:br/>
        <w:t>0</w:t>
      </w:r>
      <w:r>
        <w:br/>
        <w:t>\tag{3.6087}</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\frac{\partial^2Y}{\partial X_1\partial X_2}\neq0\qquad\text{(3.6087)}</w:t>
      </w:r>
    </w:p>
    <w:p w:rsidR="002C1E33" w:rsidRDefault="002C1E33" w:rsidP="002C1E33">
      <w:pPr>
        <w:pStyle w:val="StandardWeb"/>
      </w:pPr>
      <w:r>
        <w:t>angezeigt werden.</w:t>
      </w:r>
    </w:p>
    <w:p w:rsidR="002C1E33" w:rsidRDefault="002C1E33" w:rsidP="002C1E33">
      <w:pPr>
        <w:pStyle w:val="StandardWeb"/>
      </w:pPr>
      <w:r>
        <w:t>Damit wird deutlich, dass die Erklärung eines Ergebnisses nicht notwendig auf die Summe unabhängiger Einzelbeiträge reduziert werden kann.</w:t>
      </w:r>
    </w:p>
    <w:p w:rsidR="002C1E33" w:rsidRDefault="002C1E33" w:rsidP="002C1E33">
      <w:pPr>
        <w:pStyle w:val="berschrift2"/>
      </w:pPr>
      <w:r>
        <w:t>3.3.36.14 Mehrstufige Erklärung</w:t>
      </w:r>
    </w:p>
    <w:p w:rsidR="002C1E33" w:rsidRDefault="002C1E33" w:rsidP="002C1E33">
      <w:pPr>
        <w:pStyle w:val="StandardWeb"/>
      </w:pPr>
      <w:r>
        <w:t>Ein Explanandum kann über mehrere funktionale Ebenen entstehen:</w:t>
      </w:r>
    </w:p>
    <w:p w:rsidR="002C1E33" w:rsidRDefault="002C1E33" w:rsidP="002C1E33">
      <w:pPr>
        <w:pStyle w:val="StandardWeb"/>
      </w:pPr>
      <w:r>
        <w:t>[</w:t>
      </w:r>
      <w:r>
        <w:br/>
        <w:t>X</w:t>
      </w:r>
      <w:r>
        <w:br/>
        <w:t>\rightarrow</w:t>
      </w:r>
      <w:r>
        <w:br/>
        <w:t>Z</w:t>
      </w:r>
      <w:r>
        <w:br/>
        <w:t>\rightarrow</w:t>
      </w:r>
      <w:r>
        <w:br/>
        <w:t>Y.</w:t>
      </w:r>
      <w:r>
        <w:br/>
        <w:t>\tag{3.6088}</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X\rightarrow Z\rightarrow Y\qquad\text{(3.6088)}</w:t>
      </w:r>
    </w:p>
    <w:p w:rsidR="002C1E33" w:rsidRDefault="002C1E33" w:rsidP="002C1E33">
      <w:pPr>
        <w:pStyle w:val="StandardWeb"/>
      </w:pPr>
      <w:r>
        <w:t>Dabei kann gelten</w:t>
      </w:r>
    </w:p>
    <w:p w:rsidR="002C1E33" w:rsidRDefault="002C1E33" w:rsidP="002C1E33">
      <w:pPr>
        <w:pStyle w:val="berschrift1"/>
      </w:pPr>
      <w:r>
        <w:t>[</w:t>
      </w:r>
      <w:r>
        <w:br/>
        <w:t>Z</w:t>
      </w:r>
    </w:p>
    <w:p w:rsidR="002C1E33" w:rsidRDefault="002C1E33" w:rsidP="002C1E33">
      <w:pPr>
        <w:pStyle w:val="StandardWeb"/>
      </w:pPr>
      <w:r>
        <w:lastRenderedPageBreak/>
        <w:t>f(X)</w:t>
      </w:r>
      <w:r>
        <w:br/>
        <w:t>\tag{3.6089}</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Z=f(X)\qquad\text{(3.6089)}</w:t>
      </w:r>
    </w:p>
    <w:p w:rsidR="002C1E33" w:rsidRDefault="002C1E33" w:rsidP="002C1E33">
      <w:pPr>
        <w:pStyle w:val="StandardWeb"/>
      </w:pPr>
      <w:r>
        <w:t>und</w:t>
      </w:r>
    </w:p>
    <w:p w:rsidR="002C1E33" w:rsidRDefault="002C1E33" w:rsidP="002C1E33">
      <w:pPr>
        <w:pStyle w:val="berschrift1"/>
      </w:pPr>
      <w:r>
        <w:t>[</w:t>
      </w:r>
      <w:r>
        <w:br/>
        <w:t>Y</w:t>
      </w:r>
    </w:p>
    <w:p w:rsidR="002C1E33" w:rsidRDefault="002C1E33" w:rsidP="002C1E33">
      <w:pPr>
        <w:pStyle w:val="StandardWeb"/>
      </w:pPr>
      <w:r>
        <w:t>g(Z).</w:t>
      </w:r>
      <w:r>
        <w:br/>
        <w:t>\tag{3.6090}</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Y=g(Z)\qquad\text{(3.6090)}</w:t>
      </w:r>
    </w:p>
    <w:p w:rsidR="002C1E33" w:rsidRDefault="002C1E33" w:rsidP="002C1E33">
      <w:pPr>
        <w:pStyle w:val="StandardWeb"/>
      </w:pPr>
      <w:r>
        <w:t>Der Gesamtzusammenhang lautet</w:t>
      </w:r>
    </w:p>
    <w:p w:rsidR="002C1E33" w:rsidRDefault="002C1E33" w:rsidP="002C1E33">
      <w:pPr>
        <w:pStyle w:val="berschrift1"/>
      </w:pPr>
      <w:r>
        <w:t>[</w:t>
      </w:r>
      <w:r>
        <w:br/>
        <w:t>Y</w:t>
      </w:r>
    </w:p>
    <w:p w:rsidR="002C1E33" w:rsidRDefault="002C1E33" w:rsidP="002C1E33">
      <w:pPr>
        <w:pStyle w:val="StandardWeb"/>
      </w:pPr>
      <w:r>
        <w:t>g</w:t>
      </w:r>
      <w:r>
        <w:br/>
        <w:t>\circ</w:t>
      </w:r>
      <w:r>
        <w:br/>
        <w:t>f</w:t>
      </w:r>
      <w:r>
        <w:br/>
        <w:t>(X).</w:t>
      </w:r>
      <w:r>
        <w:br/>
        <w:t>\tag{3.6091}</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Y=g\circ f(X)\qquad\text{(3.6091)}</w:t>
      </w:r>
    </w:p>
    <w:p w:rsidR="002C1E33" w:rsidRDefault="002C1E33" w:rsidP="002C1E33">
      <w:pPr>
        <w:pStyle w:val="StandardWeb"/>
      </w:pPr>
      <w:r>
        <w:t>Eine wissenschaftliche Erklärung muss dann kenntlich machen, welche Zwischenstufen beobachtet, abgeleitet oder lediglich angenommen wurden.</w:t>
      </w:r>
    </w:p>
    <w:p w:rsidR="002C1E33" w:rsidRDefault="002C1E33" w:rsidP="002C1E33">
      <w:pPr>
        <w:pStyle w:val="berschrift2"/>
      </w:pPr>
      <w:r>
        <w:t>3.3.36.15 Erklärungstiefe</w:t>
      </w:r>
    </w:p>
    <w:p w:rsidR="002C1E33" w:rsidRDefault="002C1E33" w:rsidP="002C1E33">
      <w:pPr>
        <w:pStyle w:val="StandardWeb"/>
      </w:pPr>
      <w:r>
        <w:t>Ich bezeichne die Zahl relevanter Mechanismusschritte mit</w:t>
      </w:r>
    </w:p>
    <w:p w:rsidR="002C1E33" w:rsidRDefault="002C1E33" w:rsidP="002C1E33">
      <w:pPr>
        <w:pStyle w:val="StandardWeb"/>
      </w:pPr>
      <w:r>
        <w:t>[</w:t>
      </w:r>
      <w:r>
        <w:br/>
        <w:t>d_{\mathrm{expl}}.</w:t>
      </w:r>
      <w:r>
        <w:br/>
        <w:t>\tag{3.6092}</w:t>
      </w:r>
      <w:r>
        <w:br/>
        <w:t>]</w:t>
      </w:r>
    </w:p>
    <w:p w:rsidR="002C1E33" w:rsidRDefault="002C1E33" w:rsidP="002C1E33">
      <w:pPr>
        <w:pStyle w:val="StandardWeb"/>
      </w:pPr>
      <w:r>
        <w:rPr>
          <w:rStyle w:val="Fett"/>
        </w:rPr>
        <w:lastRenderedPageBreak/>
        <w:t>Word-LaTeX</w:t>
      </w:r>
    </w:p>
    <w:p w:rsidR="002C1E33" w:rsidRDefault="002C1E33" w:rsidP="002C1E33">
      <w:pPr>
        <w:pStyle w:val="HTMLVorformatiert"/>
        <w:rPr>
          <w:rStyle w:val="HTMLCode"/>
        </w:rPr>
      </w:pPr>
      <w:r>
        <w:rPr>
          <w:rStyle w:val="HTMLCode"/>
        </w:rPr>
        <w:t>d_{\mathrm{expl}}\qquad\text{(3.6092)}</w:t>
      </w:r>
    </w:p>
    <w:p w:rsidR="002C1E33" w:rsidRDefault="002C1E33" w:rsidP="002C1E33">
      <w:pPr>
        <w:pStyle w:val="StandardWeb"/>
      </w:pPr>
      <w:r>
        <w:t>Für einen Mechanismus mit (n) Transformationen kann beispielsweise gelten</w:t>
      </w:r>
    </w:p>
    <w:p w:rsidR="002C1E33" w:rsidRDefault="002C1E33" w:rsidP="002C1E33">
      <w:pPr>
        <w:pStyle w:val="berschrift1"/>
      </w:pPr>
      <w:r>
        <w:t>[</w:t>
      </w:r>
      <w:r>
        <w:br/>
        <w:t>d_{\mathrm{expl}}</w:t>
      </w:r>
    </w:p>
    <w:p w:rsidR="002C1E33" w:rsidRDefault="002C1E33" w:rsidP="002C1E33">
      <w:pPr>
        <w:pStyle w:val="StandardWeb"/>
      </w:pPr>
      <w:r>
        <w:t>n.</w:t>
      </w:r>
      <w:r>
        <w:br/>
        <w:t>\tag{3.6093}</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d_{\mathrm{expl}}=n\qquad\text{(3.6093)}</w:t>
      </w:r>
    </w:p>
    <w:p w:rsidR="002C1E33" w:rsidRDefault="002C1E33" w:rsidP="002C1E33">
      <w:pPr>
        <w:pStyle w:val="StandardWeb"/>
      </w:pPr>
      <w:r>
        <w:t>Eine größere Erklärungstiefe bedeutet jedoch nicht automatisch eine bessere Erklärung. Zusätzliche Zwischenstufen sind nur dann wissenschaftlich wertvoll, wenn sie überprüfbaren zusätzlichen Gehalt liefern.</w:t>
      </w:r>
    </w:p>
    <w:p w:rsidR="002C1E33" w:rsidRDefault="002C1E33" w:rsidP="002C1E33">
      <w:pPr>
        <w:pStyle w:val="berschrift2"/>
      </w:pPr>
      <w:r>
        <w:t>3.3.36.16 Erklärungskomplexität</w:t>
      </w:r>
    </w:p>
    <w:p w:rsidR="002C1E33" w:rsidRDefault="002C1E33" w:rsidP="002C1E33">
      <w:pPr>
        <w:pStyle w:val="StandardWeb"/>
      </w:pPr>
      <w:r>
        <w:t>Die Komplexität einer Erklärung bezeichne ich mit</w:t>
      </w:r>
    </w:p>
    <w:p w:rsidR="002C1E33" w:rsidRDefault="002C1E33" w:rsidP="002C1E33">
      <w:pPr>
        <w:pStyle w:val="StandardWeb"/>
      </w:pPr>
      <w:r>
        <w:t>[</w:t>
      </w:r>
      <w:r>
        <w:br/>
        <w:t>C_{\mathrm{expl}}.</w:t>
      </w:r>
      <w:r>
        <w:br/>
        <w:t>\tag{3.6094}</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C_{\mathrm{expl}}\qquad\text{(3.6094)}</w:t>
      </w:r>
    </w:p>
    <w:p w:rsidR="002C1E33" w:rsidRDefault="002C1E33" w:rsidP="002C1E33">
      <w:pPr>
        <w:pStyle w:val="StandardWeb"/>
      </w:pPr>
      <w:r>
        <w:t>Eine einfache schematische Komplexität kann von der Zahl verwendeter Zustände, Relationen, Transformationen und Parameter abhängen:</w:t>
      </w:r>
    </w:p>
    <w:p w:rsidR="002C1E33" w:rsidRDefault="002C1E33" w:rsidP="002C1E33">
      <w:pPr>
        <w:pStyle w:val="berschrift1"/>
      </w:pPr>
      <w:r>
        <w:t>[</w:t>
      </w:r>
      <w:r>
        <w:br/>
        <w:t>C_{\mathrm{expl}}</w:t>
      </w:r>
    </w:p>
    <w:p w:rsidR="002C1E33" w:rsidRDefault="002C1E33" w:rsidP="002C1E33">
      <w:pPr>
        <w:pStyle w:val="StandardWeb"/>
      </w:pPr>
      <w:r>
        <w:t>w_S N_S</w:t>
      </w:r>
      <w:r>
        <w:br/>
        <w:t>+</w:t>
      </w:r>
      <w:r>
        <w:br/>
        <w:t>w_R N_R</w:t>
      </w:r>
      <w:r>
        <w:br/>
        <w:t>+</w:t>
      </w:r>
      <w:r>
        <w:br/>
        <w:t>w_T N_T</w:t>
      </w:r>
      <w:r>
        <w:br/>
        <w:t>+</w:t>
      </w:r>
      <w:r>
        <w:br/>
        <w:t>w_{\theta}N_{\theta}.</w:t>
      </w:r>
      <w:r>
        <w:br/>
      </w:r>
      <w:r>
        <w:lastRenderedPageBreak/>
        <w:t>\tag{3.6095}</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C_{\mathrm{expl}}=w_S N_S+w_R N_R+w_T N_T+w_{\theta}N_{\theta}\qquad\text{(3.6095)}</w:t>
      </w:r>
    </w:p>
    <w:p w:rsidR="002C1E33" w:rsidRDefault="002C1E33" w:rsidP="002C1E33">
      <w:pPr>
        <w:pStyle w:val="StandardWeb"/>
      </w:pPr>
      <w:r>
        <w:t>Dabei sind die Gewichte nichtnegative Bewertungsfaktoren:</w:t>
      </w:r>
    </w:p>
    <w:p w:rsidR="002C1E33" w:rsidRDefault="002C1E33" w:rsidP="002C1E33">
      <w:pPr>
        <w:pStyle w:val="StandardWeb"/>
      </w:pPr>
      <w:r>
        <w:t>[</w:t>
      </w:r>
      <w:r>
        <w:br/>
        <w:t>w_j</w:t>
      </w:r>
      <w:r>
        <w:br/>
        <w:t>\geq</w:t>
      </w:r>
      <w:r>
        <w:br/>
        <w:t>0.</w:t>
      </w:r>
      <w:r>
        <w:br/>
        <w:t>\tag{3.6096}</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w_j\geq0\qquad\text{(3.6096)}</w:t>
      </w:r>
    </w:p>
    <w:p w:rsidR="002C1E33" w:rsidRDefault="002C1E33" w:rsidP="002C1E33">
      <w:pPr>
        <w:pStyle w:val="StandardWeb"/>
      </w:pPr>
      <w:r>
        <w:t>Diese Komplexitätsfunktion ist keine universelle wissenschaftliche Größe, sondern ein mögliches Instrument zum Vergleich alternativer Erklärungsstrukturen.</w:t>
      </w:r>
    </w:p>
    <w:p w:rsidR="002C1E33" w:rsidRDefault="002C1E33" w:rsidP="002C1E33">
      <w:pPr>
        <w:pStyle w:val="berschrift2"/>
      </w:pPr>
      <w:r>
        <w:t>3.3.36.17 Sparsamkeit</w:t>
      </w:r>
    </w:p>
    <w:p w:rsidR="002C1E33" w:rsidRDefault="002C1E33" w:rsidP="002C1E33">
      <w:pPr>
        <w:pStyle w:val="StandardWeb"/>
      </w:pPr>
      <w:r>
        <w:t>Zwischen zwei empirisch gleichwertigen Erklärungen kann eine sparsamere Erklärung bevorzugt werden.</w:t>
      </w:r>
    </w:p>
    <w:p w:rsidR="002C1E33" w:rsidRDefault="002C1E33" w:rsidP="002C1E33">
      <w:pPr>
        <w:pStyle w:val="StandardWeb"/>
      </w:pPr>
      <w:r>
        <w:t>Seien</w:t>
      </w:r>
    </w:p>
    <w:p w:rsidR="002C1E33" w:rsidRDefault="002C1E33" w:rsidP="002C1E33">
      <w:pPr>
        <w:pStyle w:val="StandardWeb"/>
      </w:pPr>
      <w:r>
        <w:t>[</w:t>
      </w:r>
      <w:r>
        <w:br/>
        <w:t>\mathcal{X}</w:t>
      </w:r>
      <w:r>
        <w:rPr>
          <w:rStyle w:val="Hervorhebung"/>
        </w:rPr>
        <w:t>{F}^{(1)}</w:t>
      </w:r>
      <w:r>
        <w:rPr>
          <w:i/>
          <w:iCs/>
        </w:rPr>
        <w:br/>
      </w:r>
      <w:r>
        <w:rPr>
          <w:rStyle w:val="Hervorhebung"/>
        </w:rPr>
        <w:t>\quad\text{und}\quad</w:t>
      </w:r>
      <w:r>
        <w:rPr>
          <w:i/>
          <w:iCs/>
        </w:rPr>
        <w:br/>
      </w:r>
      <w:r>
        <w:rPr>
          <w:rStyle w:val="Hervorhebung"/>
        </w:rPr>
        <w:t>\mathcal{X}</w:t>
      </w:r>
      <w:r>
        <w:t>{F}^{(2)}</w:t>
      </w:r>
      <w:r>
        <w:br/>
        <w:t>\tag{3.6097}</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\mathcal{X}_{F}^{(1)}\quad\text{und}\quad\mathcal{X}_{F}^{(2)}\qquad\text{(3.6097)}</w:t>
      </w:r>
    </w:p>
    <w:p w:rsidR="002C1E33" w:rsidRDefault="002C1E33" w:rsidP="002C1E33">
      <w:pPr>
        <w:pStyle w:val="StandardWeb"/>
      </w:pPr>
      <w:r>
        <w:t>zwei Erklärungen mit vergleichbarer empirischer Güte.</w:t>
      </w:r>
    </w:p>
    <w:p w:rsidR="002C1E33" w:rsidRDefault="002C1E33" w:rsidP="002C1E33">
      <w:pPr>
        <w:pStyle w:val="StandardWeb"/>
      </w:pPr>
      <w:r>
        <w:t>Gilt</w:t>
      </w:r>
    </w:p>
    <w:p w:rsidR="002C1E33" w:rsidRDefault="002C1E33" w:rsidP="002C1E33">
      <w:pPr>
        <w:pStyle w:val="StandardWeb"/>
      </w:pPr>
      <w:r>
        <w:t>[</w:t>
      </w:r>
      <w:r>
        <w:br/>
        <w:t>C_{\mathrm{expl}}^{(1)}</w:t>
      </w:r>
      <w:r>
        <w:br/>
        <w:t>&lt;</w:t>
      </w:r>
      <w:r>
        <w:br/>
        <w:t>C_{\mathrm{expl}}^{(2)},</w:t>
      </w:r>
      <w:r>
        <w:br/>
      </w:r>
      <w:r>
        <w:lastRenderedPageBreak/>
        <w:t>\tag{3.6098}</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C_{\mathrm{expl}}^{(1)}&lt;C_{\mathrm{expl}}^{(2)}\qquad\text{(3.6098)}</w:t>
      </w:r>
    </w:p>
    <w:p w:rsidR="002C1E33" w:rsidRDefault="002C1E33" w:rsidP="002C1E33">
      <w:pPr>
        <w:pStyle w:val="StandardWeb"/>
      </w:pPr>
      <w:r>
        <w:t>kann die erste Erklärung unter ansonsten gleichen Bedingungen als sparsamer gelten.</w:t>
      </w:r>
    </w:p>
    <w:p w:rsidR="002C1E33" w:rsidRDefault="002C1E33" w:rsidP="002C1E33">
      <w:pPr>
        <w:pStyle w:val="StandardWeb"/>
      </w:pPr>
      <w:r>
        <w:t>Sparsamkeit ersetzt jedoch weder empirische Prüfung noch strukturelle Angemessenheit.</w:t>
      </w:r>
    </w:p>
    <w:p w:rsidR="002C1E33" w:rsidRDefault="002C1E33" w:rsidP="002C1E33">
      <w:pPr>
        <w:pStyle w:val="berschrift2"/>
      </w:pPr>
      <w:r>
        <w:t>3.3.36.18 Alternative Erklärungen</w:t>
      </w:r>
    </w:p>
    <w:p w:rsidR="002C1E33" w:rsidRDefault="002C1E33" w:rsidP="002C1E33">
      <w:pPr>
        <w:pStyle w:val="StandardWeb"/>
      </w:pPr>
      <w:r>
        <w:t>Die Menge alternativer Erklärungen lautet</w:t>
      </w:r>
    </w:p>
    <w:p w:rsidR="002C1E33" w:rsidRDefault="002C1E33" w:rsidP="002C1E33">
      <w:pPr>
        <w:pStyle w:val="berschrift1"/>
      </w:pPr>
      <w:r>
        <w:t>[</w:t>
      </w:r>
      <w:r>
        <w:br/>
        <w:t>\mathfrak{A}_{F}^{\mathrm{alt}}</w:t>
      </w:r>
    </w:p>
    <w:p w:rsidR="002C1E33" w:rsidRDefault="002C1E33" w:rsidP="002C1E33">
      <w:pPr>
        <w:pStyle w:val="StandardWeb"/>
      </w:pPr>
      <w:r>
        <w:t>\left{</w:t>
      </w:r>
      <w:r>
        <w:br/>
        <w:t>\mathcal{X}</w:t>
      </w:r>
      <w:r>
        <w:rPr>
          <w:rStyle w:val="Hervorhebung"/>
        </w:rPr>
        <w:t>{F}^{(1)},</w:t>
      </w:r>
      <w:r>
        <w:rPr>
          <w:i/>
          <w:iCs/>
        </w:rPr>
        <w:br/>
      </w:r>
      <w:r>
        <w:rPr>
          <w:rStyle w:val="Hervorhebung"/>
        </w:rPr>
        <w:t>\mathcal{X}</w:t>
      </w:r>
      <w:r>
        <w:t>{F}^{(2)},</w:t>
      </w:r>
      <w:r>
        <w:br/>
        <w:t>\ldots,</w:t>
      </w:r>
      <w:r>
        <w:br/>
        <w:t>\mathcal{X}_{F}^{(q)}</w:t>
      </w:r>
      <w:r>
        <w:br/>
        <w:t>\right}.</w:t>
      </w:r>
      <w:r>
        <w:br/>
        <w:t>\tag{3.6099}</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\mathfrak{A}_{F}^{\mathrm{alt}}=\left\{\mathcal{X}_{F}^{(1)},\mathcal{X}_{F}^{(2)},\ldots,\mathcal{X}_{F}^{(q)}\right\}\qquad\text{(3.6099)}</w:t>
      </w:r>
    </w:p>
    <w:p w:rsidR="002C1E33" w:rsidRDefault="002C1E33" w:rsidP="002C1E33">
      <w:pPr>
        <w:pStyle w:val="StandardWeb"/>
      </w:pPr>
      <w:r>
        <w:t>Eine Erklärung ist wissenschaftlich stärker, wenn empirische Beobachtungen zwischen konkurrierenden Erklärungsstrukturen unterscheiden können.</w:t>
      </w:r>
    </w:p>
    <w:p w:rsidR="002C1E33" w:rsidRDefault="002C1E33" w:rsidP="002C1E33">
      <w:pPr>
        <w:pStyle w:val="StandardWeb"/>
      </w:pPr>
      <w:r>
        <w:t>Für zwei Erklärungen kann beispielsweise gelten</w:t>
      </w:r>
    </w:p>
    <w:p w:rsidR="002C1E33" w:rsidRDefault="002C1E33" w:rsidP="002C1E33">
      <w:pPr>
        <w:pStyle w:val="StandardWeb"/>
      </w:pPr>
      <w:r>
        <w:t>[</w:t>
      </w:r>
      <w:r>
        <w:br/>
        <w:t>\widehat{E}^{(1)}</w:t>
      </w:r>
      <w:r>
        <w:br/>
        <w:t>\neq</w:t>
      </w:r>
      <w:r>
        <w:br/>
        <w:t>\widehat{E}^{(2)}.</w:t>
      </w:r>
      <w:r>
        <w:br/>
        <w:t>\tag{3.6100}</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\widehat{E}^{(1)}\neq\widehat{E}^{(2)}\qquad\text{(3.6100)}</w:t>
      </w:r>
    </w:p>
    <w:p w:rsidR="002C1E33" w:rsidRDefault="002C1E33" w:rsidP="002C1E33">
      <w:pPr>
        <w:pStyle w:val="StandardWeb"/>
      </w:pPr>
      <w:r>
        <w:t>Nur wenn solche unterschiedlichen Konsequenzen existieren, kann die Beobachtung einen Beitrag zur Auswahl zwischen den Modellen leisten.</w:t>
      </w:r>
    </w:p>
    <w:p w:rsidR="002C1E33" w:rsidRDefault="002C1E33" w:rsidP="002C1E33">
      <w:pPr>
        <w:pStyle w:val="berschrift2"/>
      </w:pPr>
      <w:r>
        <w:lastRenderedPageBreak/>
        <w:t>3.3.36.19 Unterbestimmtheit</w:t>
      </w:r>
    </w:p>
    <w:p w:rsidR="002C1E33" w:rsidRDefault="002C1E33" w:rsidP="002C1E33">
      <w:pPr>
        <w:pStyle w:val="StandardWeb"/>
      </w:pPr>
      <w:r>
        <w:t>Erzeugen zwei verschiedene Erklärungsstrukturen dieselben relevanten Beobachtungen,</w:t>
      </w:r>
    </w:p>
    <w:p w:rsidR="002C1E33" w:rsidRDefault="002C1E33" w:rsidP="002C1E33">
      <w:pPr>
        <w:pStyle w:val="berschrift1"/>
      </w:pPr>
      <w:r>
        <w:t>[</w:t>
      </w:r>
      <w:r>
        <w:br/>
        <w:t>\mathcal{P}</w:t>
      </w:r>
      <w:r>
        <w:br/>
        <w:t>\left(</w:t>
      </w:r>
      <w:r>
        <w:br/>
        <w:t>\mathcal{X}_{F}^{(1)}</w:t>
      </w:r>
      <w:r>
        <w:br/>
        <w:t>\right)</w:t>
      </w:r>
    </w:p>
    <w:p w:rsidR="002C1E33" w:rsidRDefault="002C1E33" w:rsidP="002C1E33">
      <w:pPr>
        <w:pStyle w:val="StandardWeb"/>
      </w:pPr>
      <w:r>
        <w:t>\mathcal{P}</w:t>
      </w:r>
      <w:r>
        <w:br/>
        <w:t>\left(</w:t>
      </w:r>
      <w:r>
        <w:br/>
        <w:t>\mathcal{X}_{F}^{(2)}</w:t>
      </w:r>
      <w:r>
        <w:br/>
        <w:t>\right),</w:t>
      </w:r>
      <w:r>
        <w:br/>
        <w:t>\tag{3.6101}</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\mathcal{P}\left(\mathcal{X}_{F}^{(1)}\right)=\mathcal{P}\left(\mathcal{X}_{F}^{(2)}\right)\qquad\text{(3.6101)}</w:t>
      </w:r>
    </w:p>
    <w:p w:rsidR="002C1E33" w:rsidRDefault="002C1E33" w:rsidP="002C1E33">
      <w:pPr>
        <w:pStyle w:val="StandardWeb"/>
      </w:pPr>
      <w:r>
        <w:t>liegt bezüglich dieser Beobachtungen eine erklärende Unterbestimmtheit vor.</w:t>
      </w:r>
    </w:p>
    <w:p w:rsidR="002C1E33" w:rsidRDefault="002C1E33" w:rsidP="002C1E33">
      <w:pPr>
        <w:pStyle w:val="StandardWeb"/>
      </w:pPr>
      <w:r>
        <w:t>Dann folgt nicht</w:t>
      </w:r>
    </w:p>
    <w:p w:rsidR="002C1E33" w:rsidRDefault="002C1E33" w:rsidP="002C1E33">
      <w:pPr>
        <w:pStyle w:val="StandardWeb"/>
      </w:pPr>
      <w:r>
        <w:t>[</w:t>
      </w:r>
      <w:r>
        <w:br/>
        <w:t>E_{\mathrm{obs}}</w:t>
      </w:r>
      <w:r>
        <w:br/>
        <w:t>\Rightarrow</w:t>
      </w:r>
      <w:r>
        <w:br/>
        <w:t>\mathcal{X}_{F}^{(1)}</w:t>
      </w:r>
      <w:r>
        <w:br/>
        <w:t>\text{ ist eindeutig}.</w:t>
      </w:r>
      <w:r>
        <w:br/>
        <w:t>\tag{3.6102}</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E_{\mathrm{obs}}\Rightarrow\mathcal{X}_{F}^{(1)}\text{ ist eindeutig}\qquad\text{(3.6102)}</w:t>
      </w:r>
    </w:p>
    <w:p w:rsidR="002C1E33" w:rsidRDefault="002C1E33" w:rsidP="002C1E33">
      <w:pPr>
        <w:pStyle w:val="StandardWeb"/>
      </w:pPr>
      <w:r>
        <w:t>Zusätzliche Beobachtungen oder unabhängige Strukturannahmen sind erforderlich.</w:t>
      </w:r>
    </w:p>
    <w:p w:rsidR="002C1E33" w:rsidRDefault="002C1E33" w:rsidP="002C1E33">
      <w:pPr>
        <w:pStyle w:val="berschrift2"/>
      </w:pPr>
      <w:r>
        <w:t>3.3.36.20 Erklärung und Identifizierbarkeit</w:t>
      </w:r>
    </w:p>
    <w:p w:rsidR="002C1E33" w:rsidRDefault="002C1E33" w:rsidP="002C1E33">
      <w:pPr>
        <w:pStyle w:val="StandardWeb"/>
      </w:pPr>
      <w:r>
        <w:t>Eine erklärende Struktur kann nur dann empirisch eindeutig bestimmt werden, wenn ihre relevanten Bestandteile identifizierbar sind.</w:t>
      </w:r>
    </w:p>
    <w:p w:rsidR="002C1E33" w:rsidRDefault="002C1E33" w:rsidP="002C1E33">
      <w:pPr>
        <w:pStyle w:val="StandardWeb"/>
      </w:pPr>
      <w:r>
        <w:t>Seien zwei Parametervektoren</w:t>
      </w:r>
    </w:p>
    <w:p w:rsidR="002C1E33" w:rsidRDefault="002C1E33" w:rsidP="002C1E33">
      <w:pPr>
        <w:pStyle w:val="StandardWeb"/>
      </w:pPr>
      <w:r>
        <w:lastRenderedPageBreak/>
        <w:t>[</w:t>
      </w:r>
      <w:r>
        <w:br/>
        <w:t>\theta_1</w:t>
      </w:r>
      <w:r>
        <w:br/>
        <w:t>\neq</w:t>
      </w:r>
      <w:r>
        <w:br/>
        <w:t>\theta_2.</w:t>
      </w:r>
      <w:r>
        <w:br/>
        <w:t>\tag{3.6103}</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\theta_1\neq\theta_2\qquad\text{(3.6103)}</w:t>
      </w:r>
    </w:p>
    <w:p w:rsidR="002C1E33" w:rsidRDefault="002C1E33" w:rsidP="002C1E33">
      <w:pPr>
        <w:pStyle w:val="StandardWeb"/>
      </w:pPr>
      <w:r>
        <w:t>Erzeugen beide dieselben beobachtbaren Konsequenzen,</w:t>
      </w:r>
    </w:p>
    <w:p w:rsidR="002C1E33" w:rsidRDefault="002C1E33" w:rsidP="002C1E33">
      <w:pPr>
        <w:pStyle w:val="berschrift1"/>
      </w:pPr>
      <w:r>
        <w:t>[</w:t>
      </w:r>
      <w:r>
        <w:br/>
        <w:t>\mathbf{P}_{F}</w:t>
      </w:r>
      <w:r>
        <w:br/>
        <w:t>\left(</w:t>
      </w:r>
      <w:r>
        <w:br/>
        <w:t>\theta_1</w:t>
      </w:r>
      <w:r>
        <w:br/>
        <w:t>\right)</w:t>
      </w:r>
    </w:p>
    <w:p w:rsidR="002C1E33" w:rsidRDefault="002C1E33" w:rsidP="002C1E33">
      <w:pPr>
        <w:pStyle w:val="StandardWeb"/>
      </w:pPr>
      <w:r>
        <w:t>\mathbf{P}_{F}</w:t>
      </w:r>
      <w:r>
        <w:br/>
        <w:t>\left(</w:t>
      </w:r>
      <w:r>
        <w:br/>
        <w:t>\theta_2</w:t>
      </w:r>
      <w:r>
        <w:br/>
        <w:t>\right),</w:t>
      </w:r>
      <w:r>
        <w:br/>
        <w:t>\tag{3.6104}</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\mathbf{P}_{F}\left(\theta_1\right)=\mathbf{P}_{F}\left(\theta_2\right)\qquad\text{(3.6104)}</w:t>
      </w:r>
    </w:p>
    <w:p w:rsidR="002C1E33" w:rsidRDefault="002C1E33" w:rsidP="002C1E33">
      <w:pPr>
        <w:pStyle w:val="StandardWeb"/>
      </w:pPr>
      <w:r>
        <w:t>kann die empirische Beobachtung nicht eindeutig entscheiden, welcher Parametermechanismus tatsächlich vorliegt.</w:t>
      </w:r>
    </w:p>
    <w:p w:rsidR="002C1E33" w:rsidRDefault="002C1E33" w:rsidP="002C1E33">
      <w:pPr>
        <w:pStyle w:val="berschrift2"/>
      </w:pPr>
      <w:r>
        <w:t>3.3.36.21 Erklärung und Robustheit</w:t>
      </w:r>
    </w:p>
    <w:p w:rsidR="002C1E33" w:rsidRDefault="002C1E33" w:rsidP="002C1E33">
      <w:pPr>
        <w:pStyle w:val="StandardWeb"/>
      </w:pPr>
      <w:r>
        <w:t>Eine Erklärung sollte gegenüber kleinen zulässigen Änderungen ihrer Eingangsdaten oder Parameter nicht beliebig zusammenbrechen.</w:t>
      </w:r>
    </w:p>
    <w:p w:rsidR="002C1E33" w:rsidRDefault="002C1E33" w:rsidP="002C1E33">
      <w:pPr>
        <w:pStyle w:val="StandardWeb"/>
      </w:pPr>
      <w:r>
        <w:t>Eine gestörte erklärende Struktur sei</w:t>
      </w:r>
    </w:p>
    <w:p w:rsidR="002C1E33" w:rsidRDefault="002C1E33" w:rsidP="002C1E33">
      <w:pPr>
        <w:pStyle w:val="berschrift1"/>
      </w:pPr>
      <w:r>
        <w:t>[</w:t>
      </w:r>
      <w:r>
        <w:br/>
        <w:t>\mathcal{X}_{F}^{\prime}</w:t>
      </w:r>
    </w:p>
    <w:p w:rsidR="002C1E33" w:rsidRDefault="002C1E33" w:rsidP="002C1E33">
      <w:pPr>
        <w:pStyle w:val="StandardWeb"/>
      </w:pPr>
      <w:r>
        <w:t>\mathcal{X}</w:t>
      </w:r>
      <w:r>
        <w:rPr>
          <w:rStyle w:val="Hervorhebung"/>
        </w:rPr>
        <w:t>{F}</w:t>
      </w:r>
      <w:r>
        <w:rPr>
          <w:i/>
          <w:iCs/>
        </w:rPr>
        <w:br/>
      </w:r>
      <w:r>
        <w:rPr>
          <w:rStyle w:val="Hervorhebung"/>
        </w:rPr>
        <w:t>+</w:t>
      </w:r>
      <w:r>
        <w:rPr>
          <w:i/>
          <w:iCs/>
        </w:rPr>
        <w:br/>
      </w:r>
      <w:r>
        <w:rPr>
          <w:rStyle w:val="Hervorhebung"/>
        </w:rPr>
        <w:lastRenderedPageBreak/>
        <w:t>\Delta\mathcal{X}</w:t>
      </w:r>
      <w:r>
        <w:t>{F}.</w:t>
      </w:r>
      <w:r>
        <w:br/>
        <w:t>\tag{3.6105}</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\mathcal{X}_{F}^{\prime}=\mathcal{X}_{F}+\Delta\mathcal{X}_{F}\qquad\text{(3.6105)}</w:t>
      </w:r>
    </w:p>
    <w:p w:rsidR="002C1E33" w:rsidRDefault="002C1E33" w:rsidP="002C1E33">
      <w:pPr>
        <w:pStyle w:val="StandardWeb"/>
      </w:pPr>
      <w:r>
        <w:t>Eine robuste Erklärung verlangt für kleine Störungen eine begrenzte Änderung der erklärten Größe:</w:t>
      </w:r>
    </w:p>
    <w:p w:rsidR="002C1E33" w:rsidRDefault="002C1E33" w:rsidP="002C1E33">
      <w:pPr>
        <w:pStyle w:val="StandardWeb"/>
      </w:pPr>
      <w:r>
        <w:t>[</w:t>
      </w:r>
      <w:r>
        <w:br/>
        <w:t>\left|</w:t>
      </w:r>
      <w:r>
        <w:br/>
        <w:t>\Delta E</w:t>
      </w:r>
      <w:r>
        <w:br/>
        <w:t>\right|</w:t>
      </w:r>
      <w:r>
        <w:br/>
        <w:t>\leq</w:t>
      </w:r>
      <w:r>
        <w:br/>
        <w:t>L_{\mathrm{expl}}</w:t>
      </w:r>
      <w:r>
        <w:br/>
        <w:t>\left|</w:t>
      </w:r>
      <w:r>
        <w:br/>
        <w:t>\Delta\mathcal{X}_{F}</w:t>
      </w:r>
      <w:r>
        <w:br/>
        <w:t>\right|.</w:t>
      </w:r>
      <w:r>
        <w:br/>
        <w:t>\tag{3.6106}</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\left\|\Delta E\right\|\leq L_{\mathrm{expl}}\left\|\Delta\mathcal{X}_{F}\right\|\qquad\text{(3.6106)}</w:t>
      </w:r>
    </w:p>
    <w:p w:rsidR="002C1E33" w:rsidRDefault="002C1E33" w:rsidP="002C1E33">
      <w:pPr>
        <w:pStyle w:val="StandardWeb"/>
      </w:pPr>
      <w:r>
        <w:t>Eine robuste Erklärung ist dadurch nicht automatisch wahr; sie ist lediglich weniger empfindlich gegenüber kleinen Änderungen ihrer Voraussetzungen.</w:t>
      </w:r>
    </w:p>
    <w:p w:rsidR="002C1E33" w:rsidRDefault="002C1E33" w:rsidP="002C1E33">
      <w:pPr>
        <w:pStyle w:val="berschrift2"/>
      </w:pPr>
      <w:r>
        <w:t>3.3.36.22 Erklärung und Unsicherheit</w:t>
      </w:r>
    </w:p>
    <w:p w:rsidR="002C1E33" w:rsidRDefault="002C1E33" w:rsidP="002C1E33">
      <w:pPr>
        <w:pStyle w:val="StandardWeb"/>
      </w:pPr>
      <w:r>
        <w:t>Die erklärende Struktur kann selbst unsicher sein:</w:t>
      </w:r>
    </w:p>
    <w:p w:rsidR="002C1E33" w:rsidRDefault="002C1E33" w:rsidP="002C1E33">
      <w:pPr>
        <w:pStyle w:val="StandardWeb"/>
      </w:pPr>
      <w:r>
        <w:t>[</w:t>
      </w:r>
      <w:r>
        <w:br/>
        <w:t>\mathcal{X}</w:t>
      </w:r>
      <w:r>
        <w:rPr>
          <w:rStyle w:val="Hervorhebung"/>
        </w:rPr>
        <w:t>{F}</w:t>
      </w:r>
      <w:r>
        <w:rPr>
          <w:i/>
          <w:iCs/>
        </w:rPr>
        <w:br/>
      </w:r>
      <w:r>
        <w:rPr>
          <w:rStyle w:val="Hervorhebung"/>
        </w:rPr>
        <w:t>\sim</w:t>
      </w:r>
      <w:r>
        <w:rPr>
          <w:i/>
          <w:iCs/>
        </w:rPr>
        <w:br/>
      </w:r>
      <w:r>
        <w:rPr>
          <w:rStyle w:val="Hervorhebung"/>
        </w:rPr>
        <w:t>\mathcal{P}</w:t>
      </w:r>
      <w:r>
        <w:t>{\mathcal{X}}.</w:t>
      </w:r>
      <w:r>
        <w:br/>
        <w:t>\tag{3.6107}</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\mathcal{X}_{F}\sim\mathcal{P}_{\mathcal{X}}\qquad\text{(3.6107)}</w:t>
      </w:r>
    </w:p>
    <w:p w:rsidR="002C1E33" w:rsidRDefault="002C1E33" w:rsidP="002C1E33">
      <w:pPr>
        <w:pStyle w:val="StandardWeb"/>
      </w:pPr>
      <w:r>
        <w:t>Damit wird auch das erklärte Ergebnis zu einer unsicheren Größe:</w:t>
      </w:r>
    </w:p>
    <w:p w:rsidR="002C1E33" w:rsidRDefault="002C1E33" w:rsidP="002C1E33">
      <w:pPr>
        <w:pStyle w:val="StandardWeb"/>
      </w:pPr>
      <w:r>
        <w:t>[</w:t>
      </w:r>
      <w:r>
        <w:br/>
        <w:t>E</w:t>
      </w:r>
      <w:r>
        <w:br/>
      </w:r>
      <w:r>
        <w:lastRenderedPageBreak/>
        <w:t>\sim</w:t>
      </w:r>
      <w:r>
        <w:br/>
        <w:t>\mathcal{P}_{E}.</w:t>
      </w:r>
      <w:r>
        <w:br/>
        <w:t>\tag{3.6108}</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E\sim\mathcal{P}_{E}\qquad\text{(3.6108)}</w:t>
      </w:r>
    </w:p>
    <w:p w:rsidR="002C1E33" w:rsidRDefault="002C1E33" w:rsidP="002C1E33">
      <w:pPr>
        <w:pStyle w:val="StandardWeb"/>
      </w:pPr>
      <w:r>
        <w:t>Die Unsicherheit einer Erklärung darf deshalb nicht allein auf die Unsicherheit des Explanandums reduziert werden. Auch Mechanismen, Parameter, Modellklasse und Hilfsannahmen können unsicher sein.</w:t>
      </w:r>
    </w:p>
    <w:p w:rsidR="002C1E33" w:rsidRDefault="002C1E33" w:rsidP="002C1E33">
      <w:pPr>
        <w:pStyle w:val="berschrift2"/>
      </w:pPr>
      <w:r>
        <w:t>3.3.36.23 Erklärung und Reproduzierbarkeit</w:t>
      </w:r>
    </w:p>
    <w:p w:rsidR="002C1E33" w:rsidRDefault="002C1E33" w:rsidP="002C1E33">
      <w:pPr>
        <w:pStyle w:val="StandardWeb"/>
      </w:pPr>
      <w:r>
        <w:t>Eine erklärende Auswertung muss reproduzierbar dokumentiert sein.</w:t>
      </w:r>
    </w:p>
    <w:p w:rsidR="002C1E33" w:rsidRDefault="002C1E33" w:rsidP="002C1E33">
      <w:pPr>
        <w:pStyle w:val="StandardWeb"/>
      </w:pPr>
      <w:r>
        <w:t>Das Erklärungsmanifest lautet</w:t>
      </w:r>
    </w:p>
    <w:p w:rsidR="002C1E33" w:rsidRDefault="002C1E33" w:rsidP="002C1E33">
      <w:pPr>
        <w:pStyle w:val="StandardWeb"/>
      </w:pPr>
      <w:r>
        <w:t>[</w:t>
      </w:r>
      <w:r>
        <w:br/>
        <w:t>\operatorname{ExplManifest}</w:t>
      </w:r>
      <w:r>
        <w:br/>
        <w:t>\left(</w:t>
      </w:r>
      <w:r>
        <w:br/>
        <w:t>E_{\mathrm{obs}},</w:t>
      </w:r>
      <w:r>
        <w:br/>
        <w:t>\mathcal{X}</w:t>
      </w:r>
      <w:r>
        <w:rPr>
          <w:rStyle w:val="Hervorhebung"/>
        </w:rPr>
        <w:t>{F},</w:t>
      </w:r>
      <w:r>
        <w:rPr>
          <w:i/>
          <w:iCs/>
        </w:rPr>
        <w:br/>
      </w:r>
      <w:r>
        <w:rPr>
          <w:rStyle w:val="Hervorhebung"/>
        </w:rPr>
        <w:t>\mathfrak{H}</w:t>
      </w:r>
      <w:r>
        <w:t>{F},</w:t>
      </w:r>
      <w:r>
        <w:br/>
        <w:t>\mathcal{M},</w:t>
      </w:r>
      <w:r>
        <w:br/>
        <w:t>\Theta,</w:t>
      </w:r>
      <w:r>
        <w:br/>
        <w:t>\mathcal{D}</w:t>
      </w:r>
      <w:r>
        <w:br/>
        <w:t>\right).</w:t>
      </w:r>
      <w:r>
        <w:br/>
        <w:t>\tag{3.6109}</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\operatorname{ExplManifest}\left(E_{\mathrm{obs}},\mathcal{X}_{F},\mathfrak{H}_{F},\mathcal{M},\Theta,\mathcal{D}\right)\qquad\text{(3.6109)}</w:t>
      </w:r>
    </w:p>
    <w:p w:rsidR="002C1E33" w:rsidRDefault="002C1E33" w:rsidP="002C1E33">
      <w:pPr>
        <w:pStyle w:val="StandardWeb"/>
      </w:pPr>
      <w:r>
        <w:t>Eine wiederholte Erklärungsauswertung lautet</w:t>
      </w:r>
    </w:p>
    <w:p w:rsidR="002C1E33" w:rsidRDefault="002C1E33" w:rsidP="002C1E33">
      <w:pPr>
        <w:pStyle w:val="berschrift1"/>
      </w:pPr>
      <w:r>
        <w:t>[</w:t>
      </w:r>
      <w:r>
        <w:br/>
        <w:t>E_{\mathrm{expl}}^{(2)}</w:t>
      </w:r>
    </w:p>
    <w:p w:rsidR="002C1E33" w:rsidRDefault="002C1E33" w:rsidP="002C1E33">
      <w:pPr>
        <w:pStyle w:val="StandardWeb"/>
      </w:pPr>
      <w:r>
        <w:t>\mathcal{A}</w:t>
      </w:r>
      <w:r>
        <w:rPr>
          <w:rStyle w:val="Hervorhebung"/>
        </w:rPr>
        <w:t>{\mathrm{expl}}</w:t>
      </w:r>
      <w:r>
        <w:rPr>
          <w:i/>
          <w:iCs/>
        </w:rPr>
        <w:br/>
      </w:r>
      <w:r>
        <w:rPr>
          <w:rStyle w:val="Hervorhebung"/>
        </w:rPr>
        <w:t>\left(</w:t>
      </w:r>
      <w:r>
        <w:rPr>
          <w:i/>
          <w:iCs/>
        </w:rPr>
        <w:br/>
      </w:r>
      <w:r>
        <w:rPr>
          <w:rStyle w:val="Hervorhebung"/>
        </w:rPr>
        <w:t>\mathcal{D},</w:t>
      </w:r>
      <w:r>
        <w:rPr>
          <w:i/>
          <w:iCs/>
        </w:rPr>
        <w:br/>
      </w:r>
      <w:r>
        <w:rPr>
          <w:rStyle w:val="Hervorhebung"/>
        </w:rPr>
        <w:t>\mathcal{X}</w:t>
      </w:r>
      <w:r>
        <w:t>{F},</w:t>
      </w:r>
      <w:r>
        <w:br/>
        <w:t>\mathfrak{H}_{F}</w:t>
      </w:r>
      <w:r>
        <w:br/>
        <w:t>\right).</w:t>
      </w:r>
      <w:r>
        <w:br/>
        <w:t>\tag{3.6110}</w:t>
      </w:r>
      <w:r>
        <w:br/>
        <w:t>]</w:t>
      </w:r>
    </w:p>
    <w:p w:rsidR="002C1E33" w:rsidRDefault="002C1E33" w:rsidP="002C1E33">
      <w:pPr>
        <w:pStyle w:val="StandardWeb"/>
      </w:pPr>
      <w:r>
        <w:rPr>
          <w:rStyle w:val="Fett"/>
        </w:rPr>
        <w:lastRenderedPageBreak/>
        <w:t>Word-LaTeX</w:t>
      </w:r>
    </w:p>
    <w:p w:rsidR="002C1E33" w:rsidRDefault="002C1E33" w:rsidP="002C1E33">
      <w:pPr>
        <w:pStyle w:val="HTMLVorformatiert"/>
        <w:rPr>
          <w:rStyle w:val="HTMLCode"/>
        </w:rPr>
      </w:pPr>
      <w:r>
        <w:rPr>
          <w:rStyle w:val="HTMLCode"/>
        </w:rPr>
        <w:t>E_{\mathrm{expl}}^{(2)}=\mathcal{A}_{\mathrm{expl}}\left(\mathcal{D},\mathcal{X}_{F},\mathfrak{H}_{F}\right)\qquad\text{(3.6110)}</w:t>
      </w:r>
    </w:p>
    <w:p w:rsidR="002C1E33" w:rsidRDefault="002C1E33" w:rsidP="002C1E33">
      <w:pPr>
        <w:pStyle w:val="StandardWeb"/>
      </w:pPr>
      <w:r>
        <w:t>Die technische Reproduzierbarkeit einer Erklärung beweist jedoch nicht ihre inhaltliche Richtigkeit.</w:t>
      </w:r>
    </w:p>
    <w:p w:rsidR="002C1E33" w:rsidRDefault="002C1E33" w:rsidP="002C1E33">
      <w:pPr>
        <w:pStyle w:val="berschrift2"/>
      </w:pPr>
      <w:r>
        <w:t>3.3.36.24 Erklärung und Falsifizierbarkeit</w:t>
      </w:r>
    </w:p>
    <w:p w:rsidR="002C1E33" w:rsidRDefault="002C1E33" w:rsidP="002C1E33">
      <w:pPr>
        <w:pStyle w:val="StandardWeb"/>
      </w:pPr>
      <w:r>
        <w:t>Eine wissenschaftliche Erklärung muss Bedingungen besitzen, unter denen sie scheitert.</w:t>
      </w:r>
    </w:p>
    <w:p w:rsidR="002C1E33" w:rsidRDefault="002C1E33" w:rsidP="002C1E33">
      <w:pPr>
        <w:pStyle w:val="StandardWeb"/>
      </w:pPr>
      <w:r>
        <w:t>Die Menge widerlegungsrelevanter Beobachtungen sei</w:t>
      </w:r>
    </w:p>
    <w:p w:rsidR="002C1E33" w:rsidRDefault="002C1E33" w:rsidP="002C1E33">
      <w:pPr>
        <w:pStyle w:val="StandardWeb"/>
      </w:pPr>
      <w:r>
        <w:t>[</w:t>
      </w:r>
      <w:r>
        <w:br/>
        <w:t>\mathfrak{D}_{\neg\mathrm{expl}}.</w:t>
      </w:r>
      <w:r>
        <w:br/>
        <w:t>\tag{3.6111}</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\mathfrak{D}_{\neg\mathrm{expl}}\qquad\text{(3.6111)}</w:t>
      </w:r>
    </w:p>
    <w:p w:rsidR="002C1E33" w:rsidRDefault="002C1E33" w:rsidP="002C1E33">
      <w:pPr>
        <w:pStyle w:val="StandardWeb"/>
      </w:pPr>
      <w:r>
        <w:t>Für eine empirisch prüfbare Erklärung muss gelten</w:t>
      </w:r>
    </w:p>
    <w:p w:rsidR="002C1E33" w:rsidRDefault="002C1E33" w:rsidP="002C1E33">
      <w:pPr>
        <w:pStyle w:val="StandardWeb"/>
      </w:pPr>
      <w:r>
        <w:t>[</w:t>
      </w:r>
      <w:r>
        <w:br/>
        <w:t>\mathfrak{D}_{\neg\mathrm{expl}}</w:t>
      </w:r>
      <w:r>
        <w:br/>
        <w:t>\neq</w:t>
      </w:r>
      <w:r>
        <w:br/>
        <w:t>\emptyset.</w:t>
      </w:r>
      <w:r>
        <w:br/>
        <w:t>\tag{3.6112}</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\mathfrak{D}_{\neg\mathrm{expl}}\neq\emptyset\qquad\text{(3.6112)}</w:t>
      </w:r>
    </w:p>
    <w:p w:rsidR="002C1E33" w:rsidRDefault="002C1E33" w:rsidP="002C1E33">
      <w:pPr>
        <w:pStyle w:val="StandardWeb"/>
      </w:pPr>
      <w:r>
        <w:t>Eine Erklärungsstruktur, die mit jeder möglichen Beobachtung vereinbar gemacht werden kann, besitzt keinen hinreichenden empirischen Erklärungsgehalt.</w:t>
      </w:r>
    </w:p>
    <w:p w:rsidR="002C1E33" w:rsidRDefault="002C1E33" w:rsidP="002C1E33">
      <w:pPr>
        <w:pStyle w:val="berschrift2"/>
      </w:pPr>
      <w:r>
        <w:t>3.3.36.25 Erklärung und Prognose</w:t>
      </w:r>
    </w:p>
    <w:p w:rsidR="002C1E33" w:rsidRDefault="002C1E33" w:rsidP="002C1E33">
      <w:pPr>
        <w:pStyle w:val="StandardWeb"/>
      </w:pPr>
      <w:r>
        <w:t>Die Erklärungsgüte bezeichne ich mit</w:t>
      </w:r>
    </w:p>
    <w:p w:rsidR="002C1E33" w:rsidRDefault="002C1E33" w:rsidP="002C1E33">
      <w:pPr>
        <w:pStyle w:val="StandardWeb"/>
      </w:pPr>
      <w:r>
        <w:t>[</w:t>
      </w:r>
      <w:r>
        <w:br/>
        <w:t>G_{\mathrm{expl}}.</w:t>
      </w:r>
      <w:r>
        <w:br/>
        <w:t>\tag{3.6113}</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G_{\mathrm{expl}}\qquad\text{(3.6113)}</w:t>
      </w:r>
    </w:p>
    <w:p w:rsidR="002C1E33" w:rsidRDefault="002C1E33" w:rsidP="002C1E33">
      <w:pPr>
        <w:pStyle w:val="StandardWeb"/>
      </w:pPr>
      <w:r>
        <w:lastRenderedPageBreak/>
        <w:t>Die Prognosegüte lautet</w:t>
      </w:r>
    </w:p>
    <w:p w:rsidR="002C1E33" w:rsidRDefault="002C1E33" w:rsidP="002C1E33">
      <w:pPr>
        <w:pStyle w:val="StandardWeb"/>
      </w:pPr>
      <w:r>
        <w:t>[</w:t>
      </w:r>
      <w:r>
        <w:br/>
        <w:t>G_{\mathrm{prog}}.</w:t>
      </w:r>
      <w:r>
        <w:br/>
        <w:t>\tag{3.6114}</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G_{\mathrm{prog}}\qquad\text{(3.6114)}</w:t>
      </w:r>
    </w:p>
    <w:p w:rsidR="002C1E33" w:rsidRDefault="002C1E33" w:rsidP="002C1E33">
      <w:pPr>
        <w:pStyle w:val="StandardWeb"/>
      </w:pPr>
      <w:r>
        <w:t>Im Allgemeinen gilt weder</w:t>
      </w:r>
    </w:p>
    <w:p w:rsidR="002C1E33" w:rsidRDefault="002C1E33" w:rsidP="002C1E33">
      <w:pPr>
        <w:pStyle w:val="StandardWeb"/>
      </w:pPr>
      <w:r>
        <w:t>[</w:t>
      </w:r>
      <w:r>
        <w:br/>
        <w:t>G_{\mathrm{expl}}</w:t>
      </w:r>
      <w:r>
        <w:br/>
        <w:t>\text{ hoch}</w:t>
      </w:r>
      <w:r>
        <w:br/>
        <w:t>\Rightarrow</w:t>
      </w:r>
      <w:r>
        <w:br/>
        <w:t>G_{\mathrm{prog}}</w:t>
      </w:r>
      <w:r>
        <w:br/>
        <w:t>\text{ hoch}</w:t>
      </w:r>
      <w:r>
        <w:br/>
        <w:t>\tag{3.6115}</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G_{\mathrm{expl}}\text{ hoch}\Rightarrow G_{\mathrm{prog}}\text{ hoch}\qquad\text{(3.6115)}</w:t>
      </w:r>
    </w:p>
    <w:p w:rsidR="002C1E33" w:rsidRDefault="002C1E33" w:rsidP="002C1E33">
      <w:pPr>
        <w:pStyle w:val="StandardWeb"/>
      </w:pPr>
      <w:r>
        <w:t>noch</w:t>
      </w:r>
    </w:p>
    <w:p w:rsidR="002C1E33" w:rsidRDefault="002C1E33" w:rsidP="002C1E33">
      <w:pPr>
        <w:pStyle w:val="StandardWeb"/>
      </w:pPr>
      <w:r>
        <w:t>[</w:t>
      </w:r>
      <w:r>
        <w:br/>
        <w:t>G_{\mathrm{prog}}</w:t>
      </w:r>
      <w:r>
        <w:br/>
        <w:t>\text{ hoch}</w:t>
      </w:r>
      <w:r>
        <w:br/>
        <w:t>\Rightarrow</w:t>
      </w:r>
      <w:r>
        <w:br/>
        <w:t>G_{\mathrm{expl}}</w:t>
      </w:r>
      <w:r>
        <w:br/>
        <w:t>\text{ hoch}.</w:t>
      </w:r>
      <w:r>
        <w:br/>
        <w:t>\tag{3.6116}</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G_{\mathrm{prog}}\text{ hoch}\Rightarrow G_{\mathrm{expl}}\text{ hoch}\qquad\text{(3.6116)}</w:t>
      </w:r>
    </w:p>
    <w:p w:rsidR="002C1E33" w:rsidRDefault="002C1E33" w:rsidP="002C1E33">
      <w:pPr>
        <w:pStyle w:val="StandardWeb"/>
      </w:pPr>
      <w:r>
        <w:t>Beide Dimensionen müssen deshalb getrennt bewertet werden.</w:t>
      </w:r>
    </w:p>
    <w:p w:rsidR="002C1E33" w:rsidRDefault="002C1E33" w:rsidP="002C1E33">
      <w:pPr>
        <w:pStyle w:val="berschrift2"/>
      </w:pPr>
      <w:r>
        <w:t>3.3.36.26 Erklärungsklassen</w:t>
      </w:r>
    </w:p>
    <w:p w:rsidR="002C1E33" w:rsidRDefault="002C1E33" w:rsidP="002C1E33">
      <w:pPr>
        <w:pStyle w:val="StandardWeb"/>
      </w:pPr>
      <w:r>
        <w:t>Ich unterscheide folgende Erklärungsklassen:</w:t>
      </w:r>
    </w:p>
    <w:p w:rsidR="002C1E33" w:rsidRDefault="002C1E33" w:rsidP="002C1E33">
      <w:pPr>
        <w:pStyle w:val="berschrift1"/>
      </w:pPr>
      <w:r>
        <w:lastRenderedPageBreak/>
        <w:t>[</w:t>
      </w:r>
      <w:r>
        <w:br/>
        <w:t>\mathfrak{L}_{\mathrm{expl}}</w:t>
      </w:r>
    </w:p>
    <w:p w:rsidR="002C1E33" w:rsidRDefault="002C1E33" w:rsidP="002C1E33">
      <w:pPr>
        <w:pStyle w:val="StandardWeb"/>
      </w:pPr>
      <w:r>
        <w:t>\left{</w:t>
      </w:r>
      <w:r>
        <w:br/>
        <w:t>\mathbf{deskriptiv},</w:t>
      </w:r>
      <w:r>
        <w:br/>
        <w:t>\mathbf{strukturell},</w:t>
      </w:r>
      <w:r>
        <w:br/>
        <w:t>\mathbf{mechanistisch},</w:t>
      </w:r>
      <w:r>
        <w:br/>
        <w:t>\mathbf{kontrafaktisch},</w:t>
      </w:r>
      <w:r>
        <w:br/>
        <w:t>\mathbf{kausal}</w:t>
      </w:r>
      <w:r>
        <w:br/>
        <w:t>\right}.</w:t>
      </w:r>
      <w:r>
        <w:br/>
        <w:t>\tag{3.6117}</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\mathfrak{L}_{\mathrm{expl}}=\left\{\mathbf{deskriptiv},\mathbf{strukturell},\mathbf{mechanistisch},\mathbf{kontrafaktisch},\mathbf{kausal}\right\}\qquad\text{(3.6117)}</w:t>
      </w:r>
    </w:p>
    <w:p w:rsidR="002C1E33" w:rsidRDefault="002C1E33" w:rsidP="002C1E33">
      <w:pPr>
        <w:pStyle w:val="StandardWeb"/>
      </w:pPr>
      <w:r>
        <w:t>Die Zuordnungsabbildung lautet</w:t>
      </w:r>
    </w:p>
    <w:p w:rsidR="002C1E33" w:rsidRDefault="002C1E33" w:rsidP="002C1E33">
      <w:pPr>
        <w:pStyle w:val="StandardWeb"/>
      </w:pPr>
      <w:r>
        <w:t>[</w:t>
      </w:r>
      <w:r>
        <w:br/>
        <w:t>\operatorname{Klasse}</w:t>
      </w:r>
      <w:r>
        <w:rPr>
          <w:rStyle w:val="Hervorhebung"/>
        </w:rPr>
        <w:t>{\mathrm{expl}}:</w:t>
      </w:r>
      <w:r>
        <w:rPr>
          <w:i/>
          <w:iCs/>
        </w:rPr>
        <w:br/>
      </w:r>
      <w:r>
        <w:rPr>
          <w:rStyle w:val="Hervorhebung"/>
        </w:rPr>
        <w:t>\mathfrak{X}</w:t>
      </w:r>
      <w:r>
        <w:t>{F}^{\mathrm{expl}}</w:t>
      </w:r>
      <w:r>
        <w:br/>
        <w:t>\rightarrow</w:t>
      </w:r>
      <w:r>
        <w:br/>
        <w:t>\mathfrak{L}_{\mathrm{expl}}.</w:t>
      </w:r>
      <w:r>
        <w:br/>
        <w:t>\tag{3.6118}</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\operatorname{Klasse}_{\mathrm{expl}}:\mathfrak{X}_{F}^{\mathrm{expl}}\rightarrow\mathfrak{L}_{\mathrm{expl}}\qquad\text{(3.6118)}</w:t>
      </w:r>
    </w:p>
    <w:p w:rsidR="002C1E33" w:rsidRDefault="002C1E33" w:rsidP="002C1E33">
      <w:pPr>
        <w:pStyle w:val="StandardWeb"/>
      </w:pPr>
      <w:r>
        <w:t>Diese Klassen bilden keine automatische Rangordnung. Eine mechanistische Erklärung ist beispielsweise nicht allein aufgrund ihrer Klassenbezeichnung empirisch besser als eine strukturelle Erklärung.</w:t>
      </w:r>
    </w:p>
    <w:p w:rsidR="002C1E33" w:rsidRDefault="002C1E33" w:rsidP="002C1E33">
      <w:pPr>
        <w:pStyle w:val="berschrift2"/>
      </w:pPr>
      <w:r>
        <w:t>3.3.36.27 Erweitertes Erklärungsfähigkeitsprädikat</w:t>
      </w:r>
    </w:p>
    <w:p w:rsidR="002C1E33" w:rsidRDefault="002C1E33" w:rsidP="002C1E33">
      <w:pPr>
        <w:pStyle w:val="StandardWeb"/>
      </w:pPr>
      <w:r>
        <w:t>Das erweiterte Erklärungsfähigkeitsprädikat lautet</w:t>
      </w:r>
    </w:p>
    <w:p w:rsidR="002C1E33" w:rsidRDefault="002C1E33" w:rsidP="002C1E33">
      <w:pPr>
        <w:pStyle w:val="StandardWeb"/>
      </w:pPr>
      <w:r>
        <w:t>[</w:t>
      </w:r>
      <w:r>
        <w:br/>
        <w:t>\operatorname{EExpl}</w:t>
      </w:r>
      <w:r>
        <w:rPr>
          <w:rStyle w:val="Hervorhebung"/>
        </w:rPr>
        <w:t>{F}:</w:t>
      </w:r>
      <w:r>
        <w:rPr>
          <w:i/>
          <w:iCs/>
        </w:rPr>
        <w:br/>
      </w:r>
      <w:r>
        <w:rPr>
          <w:rStyle w:val="Hervorhebung"/>
        </w:rPr>
        <w:t>\mathfrak{X}</w:t>
      </w:r>
      <w:r>
        <w:t>{F}^{\mathrm{expl}}</w:t>
      </w:r>
      <w:r>
        <w:br/>
        <w:t>\rightarrow</w:t>
      </w:r>
      <w:r>
        <w:br/>
        <w:t>{0,1}.</w:t>
      </w:r>
      <w:r>
        <w:br/>
        <w:t>\tag{3.6119}</w:t>
      </w:r>
      <w:r>
        <w:br/>
        <w:t>]</w:t>
      </w:r>
    </w:p>
    <w:p w:rsidR="002C1E33" w:rsidRDefault="002C1E33" w:rsidP="002C1E33">
      <w:pPr>
        <w:pStyle w:val="StandardWeb"/>
      </w:pPr>
      <w:r>
        <w:rPr>
          <w:rStyle w:val="Fett"/>
        </w:rPr>
        <w:lastRenderedPageBreak/>
        <w:t>Word-LaTeX</w:t>
      </w:r>
    </w:p>
    <w:p w:rsidR="002C1E33" w:rsidRDefault="002C1E33" w:rsidP="002C1E33">
      <w:pPr>
        <w:pStyle w:val="HTMLVorformatiert"/>
        <w:rPr>
          <w:rStyle w:val="HTMLCode"/>
        </w:rPr>
      </w:pPr>
      <w:r>
        <w:rPr>
          <w:rStyle w:val="HTMLCode"/>
        </w:rPr>
        <w:t>\operatorname{EExpl}_{F}:\mathfrak{X}_{F}^{\mathrm{expl}}\rightarrow\{0,1\}\qquad\text{(3.6119)}</w:t>
      </w:r>
    </w:p>
    <w:p w:rsidR="002C1E33" w:rsidRDefault="002C1E33" w:rsidP="002C1E33">
      <w:pPr>
        <w:pStyle w:val="StandardWeb"/>
      </w:pPr>
      <w:r>
        <w:t>Es nimmt den Wert eins an, wenn Explanandum, Explanans, Mechanismus, Randbedingungen, Hilfsannahmen, Alternativerklärungen und Widerlegungsbedingungen ausreichend bestimmt sind:</w:t>
      </w:r>
    </w:p>
    <w:p w:rsidR="002C1E33" w:rsidRDefault="002C1E33" w:rsidP="002C1E33">
      <w:pPr>
        <w:pStyle w:val="berschrift1"/>
      </w:pPr>
      <w:r>
        <w:t>[</w:t>
      </w:r>
      <w:r>
        <w:br/>
        <w:t>\operatorname{EExpl}_{F}</w:t>
      </w:r>
    </w:p>
    <w:p w:rsidR="002C1E33" w:rsidRDefault="002C1E33" w:rsidP="002C1E33">
      <w:pPr>
        <w:pStyle w:val="StandardWeb"/>
      </w:pPr>
      <w:r>
        <w:t>1</w:t>
      </w:r>
      <w:r>
        <w:br/>
        <w:t>\iff</w:t>
      </w:r>
      <w:r>
        <w:br/>
        <w:t>C_{\mathrm{explanandum}}</w:t>
      </w:r>
      <w:r>
        <w:br/>
        <w:t>\land</w:t>
      </w:r>
      <w:r>
        <w:br/>
        <w:t>C_{\mathrm{explanans}}</w:t>
      </w:r>
      <w:r>
        <w:br/>
        <w:t>\land</w:t>
      </w:r>
      <w:r>
        <w:br/>
        <w:t>C_{\mathrm{mechanismus}}</w:t>
      </w:r>
      <w:r>
        <w:br/>
        <w:t>\land</w:t>
      </w:r>
      <w:r>
        <w:br/>
        <w:t>C_{\mathrm{rand}}</w:t>
      </w:r>
      <w:r>
        <w:br/>
        <w:t>\land</w:t>
      </w:r>
      <w:r>
        <w:br/>
        <w:t>C_{\mathrm{alternativen}}</w:t>
      </w:r>
      <w:r>
        <w:br/>
        <w:t>\land</w:t>
      </w:r>
      <w:r>
        <w:br/>
        <w:t>C_{\mathrm{prüfbarkeit}}.</w:t>
      </w:r>
      <w:r>
        <w:br/>
        <w:t>\tag{3.6120}</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\operatorname{EExpl}_{F}=1\iff C_{\mathrm{explanandum}}\land C_{\mathrm{explanans}}\land C_{\mathrm{mechanismus}}\land C_{\mathrm{rand}}\land C_{\mathrm{alternativen}}\land C_{\mathrm{prüfbarkeit}}\qquad\text{(3.6120)}</w:t>
      </w:r>
    </w:p>
    <w:p w:rsidR="002C1E33" w:rsidRDefault="002C1E33" w:rsidP="002C1E33">
      <w:pPr>
        <w:pStyle w:val="berschrift2"/>
      </w:pPr>
      <w:r>
        <w:t>3.3.36.28 Satz zur kompositionellen Erklärung funktionaler Entwicklungen</w:t>
      </w:r>
    </w:p>
    <w:p w:rsidR="002C1E33" w:rsidRDefault="002C1E33" w:rsidP="002C1E33">
      <w:pPr>
        <w:pStyle w:val="StandardWeb"/>
      </w:pPr>
      <w:r>
        <w:rPr>
          <w:rStyle w:val="Fett"/>
        </w:rPr>
        <w:t>Satz 3.3.18 – Kompositionelle Erklärbarkeit einer vollständig bestimmten funktionalen Entwicklung</w:t>
      </w:r>
    </w:p>
    <w:p w:rsidR="002C1E33" w:rsidRDefault="002C1E33" w:rsidP="002C1E33">
      <w:pPr>
        <w:pStyle w:val="StandardWeb"/>
      </w:pPr>
      <w:r>
        <w:t>Sei eine funktionale Entwicklung</w:t>
      </w:r>
    </w:p>
    <w:p w:rsidR="002C1E33" w:rsidRDefault="002C1E33" w:rsidP="002C1E33">
      <w:pPr>
        <w:pStyle w:val="StandardWeb"/>
      </w:pPr>
      <w:r>
        <w:t>[</w:t>
      </w:r>
      <w:r>
        <w:br/>
        <w:t>\delta_0</w:t>
      </w:r>
      <w:r>
        <w:br/>
        <w:t>\xrightarrow{T_1}</w:t>
      </w:r>
      <w:r>
        <w:br/>
        <w:t>\delta_1</w:t>
      </w:r>
      <w:r>
        <w:br/>
        <w:t>\xrightarrow{T_2}</w:t>
      </w:r>
      <w:r>
        <w:br/>
        <w:t>\cdots</w:t>
      </w:r>
      <w:r>
        <w:br/>
        <w:t>\xrightarrow{T_n}</w:t>
      </w:r>
      <w:r>
        <w:br/>
      </w:r>
      <w:r>
        <w:lastRenderedPageBreak/>
        <w:t>\delta_n</w:t>
      </w:r>
      <w:r>
        <w:br/>
        <w:t>\tag{3.6121}</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\delta_0\xrightarrow{T_1}\delta_1\xrightarrow{T_2}\cdots\xrightarrow{T_n}\delta_n\qquad\text{(3.6121)}</w:t>
      </w:r>
    </w:p>
    <w:p w:rsidR="002C1E33" w:rsidRDefault="002C1E33" w:rsidP="002C1E33">
      <w:pPr>
        <w:pStyle w:val="StandardWeb"/>
      </w:pPr>
      <w:r>
        <w:t>vollständig bestimmt.</w:t>
      </w:r>
    </w:p>
    <w:p w:rsidR="002C1E33" w:rsidRDefault="002C1E33" w:rsidP="002C1E33">
      <w:pPr>
        <w:pStyle w:val="StandardWeb"/>
      </w:pPr>
      <w:r>
        <w:t>Für jeden Schritt gelte</w:t>
      </w:r>
    </w:p>
    <w:p w:rsidR="002C1E33" w:rsidRDefault="002C1E33" w:rsidP="002C1E33">
      <w:pPr>
        <w:pStyle w:val="berschrift1"/>
      </w:pPr>
      <w:r>
        <w:t>[</w:t>
      </w:r>
      <w:r>
        <w:br/>
        <w:t>\delta_k</w:t>
      </w:r>
    </w:p>
    <w:p w:rsidR="002C1E33" w:rsidRDefault="002C1E33" w:rsidP="002C1E33">
      <w:pPr>
        <w:pStyle w:val="StandardWeb"/>
      </w:pPr>
      <w:r>
        <w:t>T_k</w:t>
      </w:r>
      <w:r>
        <w:br/>
        <w:t>\left(</w:t>
      </w:r>
      <w:r>
        <w:br/>
        <w:t>\delta_{k-1}</w:t>
      </w:r>
      <w:r>
        <w:br/>
        <w:t>\right).</w:t>
      </w:r>
      <w:r>
        <w:br/>
        <w:t>\tag{3.6122}</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\delta_k=T_k\left(\delta_{k-1}\right)\qquad\text{(3.6122)}</w:t>
      </w:r>
    </w:p>
    <w:p w:rsidR="002C1E33" w:rsidRDefault="002C1E33" w:rsidP="002C1E33">
      <w:pPr>
        <w:pStyle w:val="StandardWeb"/>
      </w:pPr>
      <w:r>
        <w:t>Dann ist der Endzustand durch die Komposition der einzelnen Transformationsschritte bestimmt:</w:t>
      </w:r>
    </w:p>
    <w:p w:rsidR="002C1E33" w:rsidRDefault="002C1E33" w:rsidP="002C1E33">
      <w:pPr>
        <w:pStyle w:val="berschrift1"/>
      </w:pPr>
      <w:r>
        <w:t>[</w:t>
      </w:r>
      <w:r>
        <w:br/>
        <w:t>\delta_n</w:t>
      </w:r>
    </w:p>
    <w:p w:rsidR="002C1E33" w:rsidRDefault="002C1E33" w:rsidP="002C1E33">
      <w:pPr>
        <w:pStyle w:val="StandardWeb"/>
      </w:pPr>
      <w:r>
        <w:t>\left(</w:t>
      </w:r>
      <w:r>
        <w:br/>
        <w:t>T_n</w:t>
      </w:r>
      <w:r>
        <w:br/>
        <w:t>\circ</w:t>
      </w:r>
      <w:r>
        <w:br/>
        <w:t>T_{n-1}</w:t>
      </w:r>
      <w:r>
        <w:br/>
        <w:t>\circ</w:t>
      </w:r>
      <w:r>
        <w:br/>
        <w:t>\cdots</w:t>
      </w:r>
      <w:r>
        <w:br/>
        <w:t>\circ</w:t>
      </w:r>
      <w:r>
        <w:br/>
        <w:t>T_1</w:t>
      </w:r>
      <w:r>
        <w:br/>
        <w:t>\right)</w:t>
      </w:r>
      <w:r>
        <w:br/>
        <w:t>\left(</w:t>
      </w:r>
      <w:r>
        <w:br/>
        <w:t>\delta_0</w:t>
      </w:r>
      <w:r>
        <w:br/>
        <w:t>\right).</w:t>
      </w:r>
      <w:r>
        <w:br/>
        <w:t>\tag{3.6123}</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lastRenderedPageBreak/>
        <w:t>\delta_n=\left(T_n\circ T_{n-1}\circ\cdots\circ T_1\right)\left(\delta_0\right)\qquad\text{(3.6123)}</w:t>
      </w:r>
    </w:p>
    <w:p w:rsidR="002C1E33" w:rsidRDefault="002C1E33" w:rsidP="002C1E33">
      <w:pPr>
        <w:pStyle w:val="berschrift3"/>
      </w:pPr>
      <w:r>
        <w:t>Beweis</w:t>
      </w:r>
    </w:p>
    <w:p w:rsidR="002C1E33" w:rsidRDefault="002C1E33" w:rsidP="002C1E33">
      <w:pPr>
        <w:pStyle w:val="StandardWeb"/>
      </w:pPr>
      <w:r>
        <w:t>Aus dem ersten Transformationsschritt folgt</w:t>
      </w:r>
    </w:p>
    <w:p w:rsidR="002C1E33" w:rsidRDefault="002C1E33" w:rsidP="002C1E33">
      <w:pPr>
        <w:pStyle w:val="berschrift1"/>
      </w:pPr>
      <w:r>
        <w:t>[</w:t>
      </w:r>
      <w:r>
        <w:br/>
        <w:t>\delta_1</w:t>
      </w:r>
    </w:p>
    <w:p w:rsidR="002C1E33" w:rsidRDefault="002C1E33" w:rsidP="002C1E33">
      <w:pPr>
        <w:pStyle w:val="StandardWeb"/>
      </w:pPr>
      <w:r>
        <w:t>T_1</w:t>
      </w:r>
      <w:r>
        <w:br/>
        <w:t>\left(</w:t>
      </w:r>
      <w:r>
        <w:br/>
        <w:t>\delta_0</w:t>
      </w:r>
      <w:r>
        <w:br/>
        <w:t>\right).</w:t>
      </w:r>
      <w:r>
        <w:br/>
        <w:t>\tag{3.6124}</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\delta_1=T_1\left(\delta_0\right)\qquad\text{(3.6124)}</w:t>
      </w:r>
    </w:p>
    <w:p w:rsidR="002C1E33" w:rsidRDefault="002C1E33" w:rsidP="002C1E33">
      <w:pPr>
        <w:pStyle w:val="StandardWeb"/>
      </w:pPr>
      <w:r>
        <w:t>Für den zweiten Schritt gilt</w:t>
      </w:r>
    </w:p>
    <w:p w:rsidR="002C1E33" w:rsidRDefault="002C1E33" w:rsidP="002C1E33">
      <w:pPr>
        <w:pStyle w:val="berschrift1"/>
      </w:pPr>
      <w:r>
        <w:t>[</w:t>
      </w:r>
      <w:r>
        <w:br/>
        <w:t>\delta_2</w:t>
      </w:r>
    </w:p>
    <w:p w:rsidR="002C1E33" w:rsidRDefault="002C1E33" w:rsidP="002C1E33">
      <w:pPr>
        <w:pStyle w:val="StandardWeb"/>
      </w:pPr>
      <w:r>
        <w:t>T_2</w:t>
      </w:r>
      <w:r>
        <w:br/>
        <w:t>\left(</w:t>
      </w:r>
      <w:r>
        <w:br/>
        <w:t>\delta_1</w:t>
      </w:r>
      <w:r>
        <w:br/>
        <w:t>\right).</w:t>
      </w:r>
      <w:r>
        <w:br/>
        <w:t>\tag{3.6125}</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\delta_2=T_2\left(\delta_1\right)\qquad\text{(3.6125)}</w:t>
      </w:r>
    </w:p>
    <w:p w:rsidR="002C1E33" w:rsidRDefault="002C1E33" w:rsidP="002C1E33">
      <w:pPr>
        <w:pStyle w:val="StandardWeb"/>
      </w:pPr>
      <w:r>
        <w:t>Einsetzen von Gleichung (3.6124) ergibt</w:t>
      </w:r>
    </w:p>
    <w:p w:rsidR="002C1E33" w:rsidRDefault="002C1E33" w:rsidP="002C1E33">
      <w:pPr>
        <w:pStyle w:val="berschrift1"/>
      </w:pPr>
      <w:r>
        <w:t>[</w:t>
      </w:r>
      <w:r>
        <w:br/>
        <w:t>\delta_2</w:t>
      </w:r>
    </w:p>
    <w:p w:rsidR="002C1E33" w:rsidRDefault="002C1E33" w:rsidP="002C1E33">
      <w:pPr>
        <w:pStyle w:val="berschrift1"/>
      </w:pPr>
      <w:r>
        <w:t>T_2</w:t>
      </w:r>
      <w:r>
        <w:br/>
        <w:t>\left(</w:t>
      </w:r>
      <w:r>
        <w:br/>
        <w:t>T_1</w:t>
      </w:r>
      <w:r>
        <w:br/>
      </w:r>
      <w:r>
        <w:lastRenderedPageBreak/>
        <w:t>\left(</w:t>
      </w:r>
      <w:r>
        <w:br/>
        <w:t>\delta_0</w:t>
      </w:r>
      <w:r>
        <w:br/>
        <w:t>\right)</w:t>
      </w:r>
      <w:r>
        <w:br/>
        <w:t>\right)</w:t>
      </w:r>
    </w:p>
    <w:p w:rsidR="002C1E33" w:rsidRDefault="002C1E33" w:rsidP="002C1E33">
      <w:pPr>
        <w:pStyle w:val="StandardWeb"/>
      </w:pPr>
      <w:r>
        <w:t>\left(</w:t>
      </w:r>
      <w:r>
        <w:br/>
        <w:t>T_2</w:t>
      </w:r>
      <w:r>
        <w:br/>
        <w:t>\circ</w:t>
      </w:r>
      <w:r>
        <w:br/>
        <w:t>T_1</w:t>
      </w:r>
      <w:r>
        <w:br/>
        <w:t>\right)</w:t>
      </w:r>
      <w:r>
        <w:br/>
        <w:t>\left(</w:t>
      </w:r>
      <w:r>
        <w:br/>
        <w:t>\delta_0</w:t>
      </w:r>
      <w:r>
        <w:br/>
        <w:t>\right).</w:t>
      </w:r>
      <w:r>
        <w:br/>
        <w:t>\tag{3.6126}</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\delta_2=T_2\left(T_1\left(\delta_0\right)\right)=\left(T_2\circ T_1\right)\left(\delta_0\right)\qquad\text{(3.6126)}</w:t>
      </w:r>
    </w:p>
    <w:p w:rsidR="002C1E33" w:rsidRDefault="002C1E33" w:rsidP="002C1E33">
      <w:pPr>
        <w:pStyle w:val="StandardWeb"/>
      </w:pPr>
      <w:r>
        <w:t>Durch wiederholte Anwendung desselben Arguments folgt für (n) Schritte</w:t>
      </w:r>
    </w:p>
    <w:p w:rsidR="002C1E33" w:rsidRDefault="002C1E33" w:rsidP="002C1E33">
      <w:pPr>
        <w:pStyle w:val="berschrift1"/>
      </w:pPr>
      <w:r>
        <w:t>[</w:t>
      </w:r>
      <w:r>
        <w:br/>
        <w:t>\delta_n</w:t>
      </w:r>
    </w:p>
    <w:p w:rsidR="002C1E33" w:rsidRDefault="002C1E33" w:rsidP="002C1E33">
      <w:pPr>
        <w:pStyle w:val="StandardWeb"/>
      </w:pPr>
      <w:r>
        <w:t>T_n</w:t>
      </w:r>
      <w:r>
        <w:br/>
        <w:t>\left(</w:t>
      </w:r>
      <w:r>
        <w:br/>
        <w:t>T_{n-1}</w:t>
      </w:r>
      <w:r>
        <w:br/>
        <w:t>\left(</w:t>
      </w:r>
      <w:r>
        <w:br/>
        <w:t>\cdots</w:t>
      </w:r>
      <w:r>
        <w:br/>
        <w:t>T_1</w:t>
      </w:r>
      <w:r>
        <w:br/>
        <w:t>\left(</w:t>
      </w:r>
      <w:r>
        <w:br/>
        <w:t>\delta_0</w:t>
      </w:r>
      <w:r>
        <w:br/>
        <w:t>\right)</w:t>
      </w:r>
      <w:r>
        <w:br/>
        <w:t>\cdots</w:t>
      </w:r>
      <w:r>
        <w:br/>
        <w:t>\right)</w:t>
      </w:r>
      <w:r>
        <w:br/>
        <w:t>\right).</w:t>
      </w:r>
      <w:r>
        <w:br/>
        <w:t>\tag{3.6127}</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\delta_n=T_n\left(T_{n-1}\left(\cdots T_1\left(\delta_0\right)\cdots\right)\right)\qquad\text{(3.6127)}</w:t>
      </w:r>
    </w:p>
    <w:p w:rsidR="002C1E33" w:rsidRDefault="002C1E33" w:rsidP="002C1E33">
      <w:pPr>
        <w:pStyle w:val="StandardWeb"/>
      </w:pPr>
      <w:r>
        <w:t>Aufgrund der Definition der Funktionskomposition gilt damit</w:t>
      </w:r>
    </w:p>
    <w:p w:rsidR="002C1E33" w:rsidRDefault="002C1E33" w:rsidP="002C1E33">
      <w:pPr>
        <w:pStyle w:val="berschrift1"/>
      </w:pPr>
      <w:r>
        <w:lastRenderedPageBreak/>
        <w:t>[</w:t>
      </w:r>
      <w:r>
        <w:br/>
        <w:t>\delta_n</w:t>
      </w:r>
    </w:p>
    <w:p w:rsidR="002C1E33" w:rsidRDefault="002C1E33" w:rsidP="002C1E33">
      <w:pPr>
        <w:pStyle w:val="StandardWeb"/>
      </w:pPr>
      <w:r>
        <w:t>\left(</w:t>
      </w:r>
      <w:r>
        <w:br/>
        <w:t>T_n</w:t>
      </w:r>
      <w:r>
        <w:br/>
        <w:t>\circ</w:t>
      </w:r>
      <w:r>
        <w:br/>
        <w:t>T_{n-1}</w:t>
      </w:r>
      <w:r>
        <w:br/>
        <w:t>\circ</w:t>
      </w:r>
      <w:r>
        <w:br/>
        <w:t>\cdots</w:t>
      </w:r>
      <w:r>
        <w:br/>
        <w:t>\circ</w:t>
      </w:r>
      <w:r>
        <w:br/>
        <w:t>T_1</w:t>
      </w:r>
      <w:r>
        <w:br/>
        <w:t>\right)</w:t>
      </w:r>
      <w:r>
        <w:br/>
        <w:t>\left(</w:t>
      </w:r>
      <w:r>
        <w:br/>
        <w:t>\delta_0</w:t>
      </w:r>
      <w:r>
        <w:br/>
        <w:t>\right).</w:t>
      </w:r>
      <w:r>
        <w:br/>
        <w:t>\tag{3.6128}</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\delta_n=\left(T_n\circ T_{n-1}\circ\cdots\circ T_1\right)\left(\delta_0\right)\qquad\text{(3.6128)}</w:t>
      </w:r>
    </w:p>
    <w:p w:rsidR="002C1E33" w:rsidRDefault="002C1E33" w:rsidP="002C1E33">
      <w:pPr>
        <w:pStyle w:val="StandardWeb"/>
      </w:pPr>
      <w:r>
        <w:t>Damit ist der Satz bewiesen. (\square)</w:t>
      </w:r>
    </w:p>
    <w:p w:rsidR="002C1E33" w:rsidRDefault="002C1E33" w:rsidP="002C1E33">
      <w:pPr>
        <w:pStyle w:val="berschrift2"/>
      </w:pPr>
      <w:r>
        <w:t>3.3.36.29 Reichweite von Satz 3.3.18</w:t>
      </w:r>
    </w:p>
    <w:p w:rsidR="002C1E33" w:rsidRDefault="002C1E33" w:rsidP="002C1E33">
      <w:pPr>
        <w:pStyle w:val="StandardWeb"/>
      </w:pPr>
      <w:r>
        <w:t>Satz 3.3.18 zeigt, dass eine vollständig spezifizierte funktionale Entwicklung kompositionell rekonstruiert werden kann.</w:t>
      </w:r>
    </w:p>
    <w:p w:rsidR="002C1E33" w:rsidRDefault="002C1E33" w:rsidP="002C1E33">
      <w:pPr>
        <w:pStyle w:val="StandardWeb"/>
      </w:pPr>
      <w:r>
        <w:t>Daraus folgt jedoch nicht automatisch, dass die Transformationsfolge empirisch die einzig mögliche Erklärung des beobachteten Endzustands ist.</w:t>
      </w:r>
    </w:p>
    <w:p w:rsidR="002C1E33" w:rsidRDefault="002C1E33" w:rsidP="002C1E33">
      <w:pPr>
        <w:pStyle w:val="StandardWeb"/>
      </w:pPr>
      <w:r>
        <w:t>Es kann eine alternative Folge</w:t>
      </w:r>
    </w:p>
    <w:p w:rsidR="002C1E33" w:rsidRDefault="002C1E33" w:rsidP="002C1E33">
      <w:pPr>
        <w:pStyle w:val="StandardWeb"/>
      </w:pPr>
      <w:r>
        <w:t>[</w:t>
      </w:r>
      <w:r>
        <w:br/>
        <w:t>\delta_0</w:t>
      </w:r>
      <w:r>
        <w:br/>
        <w:t>\xrightarrow{S_1}</w:t>
      </w:r>
      <w:r>
        <w:br/>
        <w:t>\eta_1</w:t>
      </w:r>
      <w:r>
        <w:br/>
        <w:t>\xrightarrow{S_2}</w:t>
      </w:r>
      <w:r>
        <w:br/>
        <w:t>\cdots</w:t>
      </w:r>
      <w:r>
        <w:br/>
        <w:t>\xrightarrow{S_m}</w:t>
      </w:r>
      <w:r>
        <w:br/>
        <w:t>\delta_n</w:t>
      </w:r>
      <w:r>
        <w:br/>
        <w:t>\tag{3.6129}</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\delta_0\xrightarrow{S_1}\eta_1\xrightarrow{S_2}\cdots\xrightarrow{S_m}\delta_n\qquad\text{(3.6129)}</w:t>
      </w:r>
    </w:p>
    <w:p w:rsidR="002C1E33" w:rsidRDefault="002C1E33" w:rsidP="002C1E33">
      <w:pPr>
        <w:pStyle w:val="StandardWeb"/>
      </w:pPr>
      <w:r>
        <w:lastRenderedPageBreak/>
        <w:t>existieren, die denselben Endzustand erzeugt.</w:t>
      </w:r>
    </w:p>
    <w:p w:rsidR="002C1E33" w:rsidRDefault="002C1E33" w:rsidP="002C1E33">
      <w:pPr>
        <w:pStyle w:val="StandardWeb"/>
      </w:pPr>
      <w:r>
        <w:t>Dann gilt möglicherweise</w:t>
      </w:r>
    </w:p>
    <w:p w:rsidR="002C1E33" w:rsidRDefault="002C1E33" w:rsidP="002C1E33">
      <w:pPr>
        <w:pStyle w:val="berschrift1"/>
      </w:pPr>
      <w:r>
        <w:t>[</w:t>
      </w:r>
      <w:r>
        <w:br/>
        <w:t>\left(</w:t>
      </w:r>
      <w:r>
        <w:br/>
        <w:t>T_n</w:t>
      </w:r>
      <w:r>
        <w:br/>
        <w:t>\circ</w:t>
      </w:r>
      <w:r>
        <w:br/>
        <w:t>\cdots</w:t>
      </w:r>
      <w:r>
        <w:br/>
        <w:t>\circ</w:t>
      </w:r>
      <w:r>
        <w:br/>
        <w:t>T_1</w:t>
      </w:r>
      <w:r>
        <w:br/>
        <w:t>\right)</w:t>
      </w:r>
      <w:r>
        <w:br/>
        <w:t>(\delta_0)</w:t>
      </w:r>
    </w:p>
    <w:p w:rsidR="002C1E33" w:rsidRDefault="002C1E33" w:rsidP="002C1E33">
      <w:pPr>
        <w:pStyle w:val="StandardWeb"/>
      </w:pPr>
      <w:r>
        <w:t>\left(</w:t>
      </w:r>
      <w:r>
        <w:br/>
        <w:t>S_m</w:t>
      </w:r>
      <w:r>
        <w:br/>
        <w:t>\circ</w:t>
      </w:r>
      <w:r>
        <w:br/>
        <w:t>\cdots</w:t>
      </w:r>
      <w:r>
        <w:br/>
        <w:t>\circ</w:t>
      </w:r>
      <w:r>
        <w:br/>
        <w:t>S_1</w:t>
      </w:r>
      <w:r>
        <w:br/>
        <w:t>\right)</w:t>
      </w:r>
      <w:r>
        <w:br/>
        <w:t>(\delta_0).</w:t>
      </w:r>
      <w:r>
        <w:br/>
        <w:t>\tag{3.6130}</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\left(T_n\circ\cdots\circ T_1\right)(\delta_0)=\left(S_m\circ\cdots\circ S_1\right)(\delta_0)\qquad\text{(3.6130)}</w:t>
      </w:r>
    </w:p>
    <w:p w:rsidR="002C1E33" w:rsidRDefault="002C1E33" w:rsidP="002C1E33">
      <w:pPr>
        <w:pStyle w:val="StandardWeb"/>
      </w:pPr>
      <w:r>
        <w:t>Die bloße Rekonstruktion des Endzustands beweist deshalb noch keine Eindeutigkeit des Mechanismus.</w:t>
      </w:r>
    </w:p>
    <w:p w:rsidR="002C1E33" w:rsidRDefault="002C1E33" w:rsidP="002C1E33">
      <w:pPr>
        <w:pStyle w:val="berschrift2"/>
      </w:pPr>
      <w:r>
        <w:t>3.3.36.30 Repository-Dokumentation einer Erklärung</w:t>
      </w:r>
    </w:p>
    <w:p w:rsidR="002C1E33" w:rsidRDefault="002C1E33" w:rsidP="002C1E33">
      <w:pPr>
        <w:pStyle w:val="StandardWeb"/>
      </w:pPr>
      <w:r>
        <w:t>Eine Erklärungsabhängigkeit kann gespeichert werden als</w:t>
      </w:r>
    </w:p>
    <w:p w:rsidR="002C1E33" w:rsidRDefault="002C1E33" w:rsidP="002C1E33">
      <w:pPr>
        <w:pStyle w:val="StandardWeb"/>
      </w:pPr>
      <w:r>
        <w:t>[</w:t>
      </w:r>
      <w:r>
        <w:br/>
        <w:t>\operatorname{ExplDep}</w:t>
      </w:r>
      <w:r>
        <w:br/>
        <w:t>\left(</w:t>
      </w:r>
      <w:r>
        <w:br/>
        <w:t>E_{\mathrm{obs}},</w:t>
      </w:r>
      <w:r>
        <w:br/>
        <w:t>\mathcal{X}</w:t>
      </w:r>
      <w:r>
        <w:rPr>
          <w:rStyle w:val="Hervorhebung"/>
        </w:rPr>
        <w:t>{F},</w:t>
      </w:r>
      <w:r>
        <w:rPr>
          <w:i/>
          <w:iCs/>
        </w:rPr>
        <w:br/>
      </w:r>
      <w:r>
        <w:rPr>
          <w:rStyle w:val="Hervorhebung"/>
        </w:rPr>
        <w:t>\mathfrak{H}</w:t>
      </w:r>
      <w:r>
        <w:t>{F}</w:t>
      </w:r>
      <w:r>
        <w:br/>
        <w:t>\right).</w:t>
      </w:r>
      <w:r>
        <w:br/>
      </w:r>
      <w:r>
        <w:lastRenderedPageBreak/>
        <w:t>\tag{3.6131}</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\operatorname{ExplDep}\left(E_{\mathrm{obs}},\mathcal{X}_{F},\mathfrak{H}_{F}\right)\qquad\text{(3.6131)}</w:t>
      </w:r>
    </w:p>
    <w:p w:rsidR="002C1E33" w:rsidRDefault="002C1E33" w:rsidP="002C1E33">
      <w:pPr>
        <w:pStyle w:val="StandardWeb"/>
      </w:pPr>
      <w:r>
        <w:t>Ein funktionaler Mechanismus kann dokumentiert werden als</w:t>
      </w:r>
    </w:p>
    <w:p w:rsidR="002C1E33" w:rsidRDefault="002C1E33" w:rsidP="002C1E33">
      <w:pPr>
        <w:pStyle w:val="StandardWeb"/>
      </w:pPr>
      <w:r>
        <w:t>[</w:t>
      </w:r>
      <w:r>
        <w:br/>
        <w:t>\operatorname{MechanismDep}</w:t>
      </w:r>
      <w:r>
        <w:br/>
        <w:t>\left(</w:t>
      </w:r>
      <w:r>
        <w:br/>
        <w:t>\delta_0,</w:t>
      </w:r>
      <w:r>
        <w:br/>
        <w:t>T_1,</w:t>
      </w:r>
      <w:r>
        <w:br/>
        <w:t>\ldots,</w:t>
      </w:r>
      <w:r>
        <w:br/>
        <w:t>T_n,</w:t>
      </w:r>
      <w:r>
        <w:br/>
        <w:t>\delta_n</w:t>
      </w:r>
      <w:r>
        <w:br/>
        <w:t>\right).</w:t>
      </w:r>
      <w:r>
        <w:br/>
        <w:t>\tag{3.6132}</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\operatorname{MechanismDep}\left(\delta_0,T_1,\ldots,T_n,\delta_n\right)\qquad\text{(3.6132)}</w:t>
      </w:r>
    </w:p>
    <w:p w:rsidR="002C1E33" w:rsidRDefault="002C1E33" w:rsidP="002C1E33">
      <w:pPr>
        <w:pStyle w:val="StandardWeb"/>
      </w:pPr>
      <w:r>
        <w:t>Eine alternative Erklärung kann gespeichert werden als</w:t>
      </w:r>
    </w:p>
    <w:p w:rsidR="002C1E33" w:rsidRDefault="002C1E33" w:rsidP="002C1E33">
      <w:pPr>
        <w:pStyle w:val="StandardWeb"/>
      </w:pPr>
      <w:r>
        <w:t>[</w:t>
      </w:r>
      <w:r>
        <w:br/>
        <w:t>\operatorname{AltExpl}</w:t>
      </w:r>
      <w:r>
        <w:br/>
        <w:t>\left(</w:t>
      </w:r>
      <w:r>
        <w:br/>
        <w:t>E_{\mathrm{obs}},</w:t>
      </w:r>
      <w:r>
        <w:br/>
        <w:t>\mathcal{X}</w:t>
      </w:r>
      <w:r>
        <w:rPr>
          <w:rStyle w:val="Hervorhebung"/>
        </w:rPr>
        <w:t>{F}^{(1)},</w:t>
      </w:r>
      <w:r>
        <w:rPr>
          <w:i/>
          <w:iCs/>
        </w:rPr>
        <w:br/>
      </w:r>
      <w:r>
        <w:rPr>
          <w:rStyle w:val="Hervorhebung"/>
        </w:rPr>
        <w:t>\mathcal{X}</w:t>
      </w:r>
      <w:r>
        <w:t>{F}^{(2)}</w:t>
      </w:r>
      <w:r>
        <w:br/>
        <w:t>\right).</w:t>
      </w:r>
      <w:r>
        <w:br/>
        <w:t>\tag{3.6133}</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\operatorname{AltExpl}\left(E_{\mathrm{obs}},\mathcal{X}_{F}^{(1)},\mathcal{X}_{F}^{(2)}\right)\qquad\text{(3.6133)}</w:t>
      </w:r>
    </w:p>
    <w:p w:rsidR="002C1E33" w:rsidRDefault="002C1E33" w:rsidP="002C1E33">
      <w:pPr>
        <w:pStyle w:val="StandardWeb"/>
      </w:pPr>
      <w:r>
        <w:t>Zusätzlich müssen dokumentiert werden: Explanandum, verwendete Daten, Modellrevision, Ausgangszustände, Relationen, Transformationen, Parameter, Hilfsannahmen, Alternativerklärungen, Unsicherheiten, Widerlegungsbedingungen und die zugewiesene Erklärungsklasse.</w:t>
      </w:r>
    </w:p>
    <w:p w:rsidR="002C1E33" w:rsidRDefault="002C1E33" w:rsidP="002C1E33">
      <w:pPr>
        <w:pStyle w:val="StandardWeb"/>
      </w:pPr>
      <w:r>
        <w:rPr>
          <w:rStyle w:val="Fett"/>
        </w:rPr>
        <w:t>Eigenleistung des FRZK</w:t>
      </w:r>
    </w:p>
    <w:p w:rsidR="002C1E33" w:rsidRDefault="002C1E33" w:rsidP="002C1E33">
      <w:pPr>
        <w:pStyle w:val="StandardWeb"/>
      </w:pPr>
      <w:r>
        <w:lastRenderedPageBreak/>
        <w:t>Ich verknüpfe damit jede erklärende Aussage des FRZK mit ihrer vollständigen strukturellen Entstehungskette. Eine Erklärung kann dadurch nicht nur sprachlich formuliert, sondern bis zu ihren Zuständen, Relationen, Transformationen und Voraussetzungen zurückverfolgt werden.</w:t>
      </w:r>
    </w:p>
    <w:p w:rsidR="002C1E33" w:rsidRDefault="002C1E33" w:rsidP="002C1E33">
      <w:pPr>
        <w:pStyle w:val="berschrift1"/>
      </w:pPr>
      <w:r>
        <w:t>3.3.36.31 Methodologische Betrachtungen</w:t>
      </w:r>
    </w:p>
    <w:p w:rsidR="002C1E33" w:rsidRDefault="002C1E33" w:rsidP="002C1E33">
      <w:pPr>
        <w:pStyle w:val="StandardWeb"/>
      </w:pPr>
      <w:r>
        <w:t>Die Einführung eines eigenen Erklärungsbegriffs ist für das FRZK notwendig, weil die vorherigen Prüfungen bereits gezeigt haben, dass mehrere wissenschaftliche Qualitätsdimensionen voneinander getrennt werden müssen. Ein Modell kann intern konsistent, reproduzierbar, falsifizierbar und prognostisch leistungsfähig sein, ohne deshalb bereits eine überzeugende Erklärung für das betrachtete Phänomen zu liefern. Erklärungsfähigkeit ist daher keine automatische Folge der zuvor geprüften Eigenschaften [58, 59, 79].</w:t>
      </w:r>
    </w:p>
    <w:p w:rsidR="002C1E33" w:rsidRDefault="002C1E33" w:rsidP="002C1E33">
      <w:pPr>
        <w:pStyle w:val="StandardWeb"/>
      </w:pPr>
      <w:r>
        <w:t>Methodologisch beginne ich mit der Trennung von Explanandum und Explanans. Diese Unterscheidung verhindert, dass die zu erklärende Beobachtung selbst unbemerkt Bestandteil ihrer Erklärung wird. Wenn beispielsweise ein beobachteter Kohärenzverlust dadurch „erklärt“ wird, dass das System einen niedrigen Kohärenzwert besitzt, ist lediglich eine Umformulierung des Explanandums erfolgt. Eine Erklärung benötigt zusätzliche funktionale Struktur.</w:t>
      </w:r>
    </w:p>
    <w:p w:rsidR="002C1E33" w:rsidRDefault="002C1E33" w:rsidP="002C1E33">
      <w:pPr>
        <w:pStyle w:val="StandardWeb"/>
      </w:pPr>
      <w:r>
        <w:t>Diese zusätzliche Struktur kann im FRZK insbesondere aus Zuständen, Relationen und Transformationen bestehen. Dadurch besitzt das System einen Vorteil gegenüber rein deskriptiven Beschreibungen: Eine beobachtete Veränderung kann auf eine explizite Transformationsfolge zurückgeführt werden. Dennoch darf eine solche Rekonstruktion nicht automatisch als kausaler Mechanismus verstanden werden. Eine mathematisch definierte Transformation zeigt zunächst, dass ein Zustand einem anderen zugeordnet wird. Sie beweist nicht, dass die entsprechende Transformation in der empirischen Wirklichkeit kausal verantwortlich ist.</w:t>
      </w:r>
    </w:p>
    <w:p w:rsidR="002C1E33" w:rsidRDefault="002C1E33" w:rsidP="002C1E33">
      <w:pPr>
        <w:pStyle w:val="StandardWeb"/>
      </w:pPr>
      <w:r>
        <w:t>Diese Trennung zwischen funktionaler und kausaler Erklärung ist besonders wichtig. Das FRZK darf seinen eigenen Formalismus nicht dadurch überdehnen, dass jede gerichtete Relation oder Transformation automatisch als Ursache interpretiert wird. Eine kausale Aussage benötigt zusätzliche methodische Voraussetzungen, etwa geeignete zeitliche oder funktionale Richtung, Ausschluss relevanter Alternativerklärungen und – soweit möglich – interventionelle oder quasi-interventionelle Evidenz.</w:t>
      </w:r>
    </w:p>
    <w:p w:rsidR="002C1E33" w:rsidRDefault="002C1E33" w:rsidP="002C1E33">
      <w:pPr>
        <w:pStyle w:val="StandardWeb"/>
      </w:pPr>
      <w:r>
        <w:t>Ebenso muss ich Korrelation und Erklärung unterscheiden. Eine hohe statistische Beziehung kann ein wichtiges empirisches Signal darstellen. Sie beantwortet aber nicht, durch welchen funktionalen Mechanismus die beteiligten Größen miteinander verbunden sind. Gerade bei komplexen Systemen können gemeinsame Ursachen, Rückkopplungen oder Auswahlmechanismen zu starken Korrelationen führen, ohne dass eine einfache gerichtete Erklärung zulässig ist.</w:t>
      </w:r>
    </w:p>
    <w:p w:rsidR="002C1E33" w:rsidRDefault="002C1E33" w:rsidP="002C1E33">
      <w:pPr>
        <w:pStyle w:val="StandardWeb"/>
      </w:pPr>
      <w:r>
        <w:t>Die Einführung kontrafaktischer Betrachtungen erweitert deshalb die Erklärung über die beobachtete Situation hinaus. Eine gute Erklärung sollte, soweit die Modellstruktur dies erlaubt, angeben können, wie sich das Ergebnis unter einer relevanten Änderung der Ausgangsbedingungen verändern würde. Damit wird die Erklärung risikoreicher und wissenschaftlich informativer, weil sie zusätzliche überprüfbare Konsequenzen erzeugt.</w:t>
      </w:r>
    </w:p>
    <w:p w:rsidR="002C1E33" w:rsidRDefault="002C1E33" w:rsidP="002C1E33">
      <w:pPr>
        <w:pStyle w:val="StandardWeb"/>
      </w:pPr>
      <w:r>
        <w:lastRenderedPageBreak/>
        <w:t>Auch hierbei bleibt jedoch Vorsicht erforderlich. Ein kontrafaktisches Ergebnis ist immer modellabhängig. Dass ein Modell unter einer veränderten Bedingung ein bestimmtes Ergebnis berechnet, beweist nicht, dass eine reale Intervention genau dieses Ergebnis erzeugen würde. Zwischen mathematischem Kontrafaktual und empirisch identifizierter Kausalwirkung bleibt eine erkenntnistheoretische Grenze bestehen.</w:t>
      </w:r>
    </w:p>
    <w:p w:rsidR="002C1E33" w:rsidRDefault="002C1E33" w:rsidP="002C1E33">
      <w:pPr>
        <w:pStyle w:val="StandardWeb"/>
      </w:pPr>
      <w:r>
        <w:t>Ein weiterer methodologischer Schwerpunkt ist die Berücksichtigung alternativer Erklärungen. Dass eine FRZK-Struktur ein beobachtetes Ergebnis erzeugen kann, reicht nicht aus, wenn eine andere Struktur dieselben Beobachtungen ebenso gut erklärt. In diesem Fall liegt Unterbestimmtheit vor. Zusätzliche Daten, neue experimentelle Bedingungen oder unabhängige theoretische Einschränkungen sind erforderlich, um zwischen den Modellen zu unterscheiden.</w:t>
      </w:r>
    </w:p>
    <w:p w:rsidR="002C1E33" w:rsidRDefault="002C1E33" w:rsidP="002C1E33">
      <w:pPr>
        <w:pStyle w:val="StandardWeb"/>
      </w:pPr>
      <w:r>
        <w:t>Diese Unterbestimmtheit verbindet die Erklärungsprüfung unmittelbar mit der Identifizierbarkeitsprüfung aus Abschnitt 3.3.28. Wenn mehrere Parameter- oder Strukturkombinationen dieselben beobachtbaren Konsequenzen erzeugen, kann aus den Daten keine eindeutige mechanistische Erklärung gewonnen werden. Eine wissenschaftlich saubere Darstellung muss diese Mehrdeutigkeit sichtbar lassen.</w:t>
      </w:r>
    </w:p>
    <w:p w:rsidR="002C1E33" w:rsidRDefault="002C1E33" w:rsidP="002C1E33">
      <w:pPr>
        <w:pStyle w:val="StandardWeb"/>
      </w:pPr>
      <w:r>
        <w:t>Auch Stabilität und Robustheit betreffen die Erklärungsebene. Eine Erklärung, die bereits bei geringfügigen zulässigen Änderungen der Daten oder Parameter vollständig wechselt, besitzt nur eingeschränkte Belastbarkeit. Daraus folgt jedoch erneut nicht, dass eine robuste Erklärung automatisch wahr ist. Robustheit bewertet die Empfindlichkeit der Erklärung, nicht ihre Übereinstimmung mit der Wirklichkeit.</w:t>
      </w:r>
    </w:p>
    <w:p w:rsidR="002C1E33" w:rsidRDefault="002C1E33" w:rsidP="002C1E33">
      <w:pPr>
        <w:pStyle w:val="StandardWeb"/>
      </w:pPr>
      <w:r>
        <w:t>Ebenso muss Unsicherheit bis in die Erklärung hinein fortgepflanzt werden. Unsicherheit betrifft nicht nur numerische Ergebnisse. Auch die Auswahl einer Modellklasse, die Struktur eines Mechanismus oder die Gültigkeit einer Hilfsannahme kann unsicher sein. Diese strukturelle Unsicherheit darf nicht durch eine scheinbar präzise Mechanismusdarstellung verdeckt werden.</w:t>
      </w:r>
    </w:p>
    <w:p w:rsidR="002C1E33" w:rsidRDefault="002C1E33" w:rsidP="002C1E33">
      <w:pPr>
        <w:pStyle w:val="StandardWeb"/>
      </w:pPr>
      <w:r>
        <w:t>Besonders bedeutsam ist schließlich die Beziehung zwischen Erklärung und Prognose. Die Wissenschaftsgeschichte zeigt zahlreiche Fälle, in denen Modelle hervorragende Vorhersagen erzeugen, obwohl ihre interne Interpretation umstritten ist. Ebenso können plausible Mechanismen formuliert werden, die nur geringe Vorhersagekraft besitzen. Das FRZK behandelt deshalb Erklärungsgüte und Prognosegüte als getrennte Prüfgrößen.</w:t>
      </w:r>
    </w:p>
    <w:p w:rsidR="002C1E33" w:rsidRDefault="002C1E33" w:rsidP="002C1E33">
      <w:pPr>
        <w:pStyle w:val="StandardWeb"/>
      </w:pPr>
      <w:r>
        <w:t>Satz 3.3.18 besitzt in diesem Zusammenhang eine begrenzte, aber wichtige Funktion. Er zeigt formal, dass eine vollständig bekannte Transformationskette den Endzustand kompositionell bestimmt. Damit ist die innere Rekonstruktion eines funktionalen Mechanismus mathematisch nachvollziehbar. Der Satz beweist jedoch ausdrücklich nicht die empirische Eindeutigkeit dieses Mechanismus. Mehrere Transformationsketten können denselben Endzustand erzeugen.</w:t>
      </w:r>
    </w:p>
    <w:p w:rsidR="002C1E33" w:rsidRDefault="002C1E33" w:rsidP="002C1E33">
      <w:pPr>
        <w:pStyle w:val="StandardWeb"/>
      </w:pPr>
      <w:r>
        <w:t>Die Erklärungsprüfung ist damit keine zusätzliche Axiomatik. Sie verändert die drei Primäraxiome nicht. Sie legt vielmehr fest, unter welchen wissenschaftlichen Bedingungen aus den bereits entwickelten FRZK-Strukturen erklärende Aussagen abgeleitet werden dürfen.</w:t>
      </w:r>
    </w:p>
    <w:p w:rsidR="002C1E33" w:rsidRDefault="002C1E33" w:rsidP="002C1E33">
      <w:pPr>
        <w:pStyle w:val="berschrift1"/>
      </w:pPr>
      <w:r>
        <w:t>3.3.36.32 Didaktische Betrachtungen</w:t>
      </w:r>
    </w:p>
    <w:p w:rsidR="002C1E33" w:rsidRDefault="002C1E33" w:rsidP="002C1E33">
      <w:pPr>
        <w:pStyle w:val="StandardWeb"/>
      </w:pPr>
      <w:r>
        <w:lastRenderedPageBreak/>
        <w:t>Der Unterschied zwischen Beschreibung, Prognose und Erklärung lässt sich an einem einfachen Beispiel verdeutlichen.</w:t>
      </w:r>
    </w:p>
    <w:p w:rsidR="002C1E33" w:rsidRDefault="002C1E33" w:rsidP="002C1E33">
      <w:pPr>
        <w:pStyle w:val="StandardWeb"/>
      </w:pPr>
      <w:r>
        <w:t>Eine Lampe ist ausgeschaltet. Die Aussage</w:t>
      </w:r>
    </w:p>
    <w:p w:rsidR="002C1E33" w:rsidRDefault="002C1E33" w:rsidP="002C1E33">
      <w:pPr>
        <w:pStyle w:val="StandardWeb"/>
      </w:pPr>
      <w:r>
        <w:t>„Die Lampe ist aus“</w:t>
      </w:r>
    </w:p>
    <w:p w:rsidR="002C1E33" w:rsidRDefault="002C1E33" w:rsidP="002C1E33">
      <w:pPr>
        <w:pStyle w:val="StandardWeb"/>
      </w:pPr>
      <w:r>
        <w:t>ist eine Beschreibung.</w:t>
      </w:r>
    </w:p>
    <w:p w:rsidR="002C1E33" w:rsidRDefault="002C1E33" w:rsidP="002C1E33">
      <w:pPr>
        <w:pStyle w:val="StandardWeb"/>
      </w:pPr>
      <w:r>
        <w:t>Die Aussage</w:t>
      </w:r>
    </w:p>
    <w:p w:rsidR="002C1E33" w:rsidRDefault="002C1E33" w:rsidP="002C1E33">
      <w:pPr>
        <w:pStyle w:val="StandardWeb"/>
      </w:pPr>
      <w:r>
        <w:t>„In fünf Minuten wird die Lampe ausgeschaltet sein“</w:t>
      </w:r>
    </w:p>
    <w:p w:rsidR="002C1E33" w:rsidRDefault="002C1E33" w:rsidP="002C1E33">
      <w:pPr>
        <w:pStyle w:val="StandardWeb"/>
      </w:pPr>
      <w:r>
        <w:t>ist eine Prognose.</w:t>
      </w:r>
    </w:p>
    <w:p w:rsidR="002C1E33" w:rsidRDefault="002C1E33" w:rsidP="002C1E33">
      <w:pPr>
        <w:pStyle w:val="StandardWeb"/>
      </w:pPr>
      <w:r>
        <w:t>Die Aussage</w:t>
      </w:r>
    </w:p>
    <w:p w:rsidR="002C1E33" w:rsidRDefault="002C1E33" w:rsidP="002C1E33">
      <w:pPr>
        <w:pStyle w:val="StandardWeb"/>
      </w:pPr>
      <w:r>
        <w:t>„Die Lampe ist aus, weil der Stromkreis durch den geöffneten Schalter unterbrochen wurde“</w:t>
      </w:r>
    </w:p>
    <w:p w:rsidR="002C1E33" w:rsidRDefault="002C1E33" w:rsidP="002C1E33">
      <w:pPr>
        <w:pStyle w:val="StandardWeb"/>
      </w:pPr>
      <w:r>
        <w:t>ist eine Erklärung.</w:t>
      </w:r>
    </w:p>
    <w:p w:rsidR="002C1E33" w:rsidRDefault="002C1E33" w:rsidP="002C1E33">
      <w:pPr>
        <w:pStyle w:val="StandardWeb"/>
      </w:pPr>
      <w:r>
        <w:t>Das Beispiel zeigt, dass eine Erklärung zusätzliche Struktur benötigt. Sie verbindet den beobachteten Zustand mit einem Mechanismus.</w:t>
      </w:r>
    </w:p>
    <w:p w:rsidR="002C1E33" w:rsidRDefault="002C1E33" w:rsidP="002C1E33">
      <w:pPr>
        <w:pStyle w:val="StandardWeb"/>
      </w:pPr>
      <w:r>
        <w:t>Im FRZK kann ein solcher Mechanismus als Transformationsfolge dargestellt werden:</w:t>
      </w:r>
    </w:p>
    <w:p w:rsidR="002C1E33" w:rsidRDefault="002C1E33" w:rsidP="002C1E33">
      <w:pPr>
        <w:pStyle w:val="StandardWeb"/>
      </w:pPr>
      <w:r>
        <w:t>[</w:t>
      </w:r>
      <w:r>
        <w:br/>
        <w:t>\delta_0</w:t>
      </w:r>
      <w:r>
        <w:br/>
        <w:t>\rightarrow</w:t>
      </w:r>
      <w:r>
        <w:br/>
        <w:t>\delta_1</w:t>
      </w:r>
      <w:r>
        <w:br/>
        <w:t>\rightarrow</w:t>
      </w:r>
      <w:r>
        <w:br/>
        <w:t>\delta_2.</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\delta_0\rightarrow\delta_1\rightarrow\delta_2</w:t>
      </w:r>
    </w:p>
    <w:p w:rsidR="002C1E33" w:rsidRDefault="002C1E33" w:rsidP="002C1E33">
      <w:pPr>
        <w:pStyle w:val="StandardWeb"/>
      </w:pPr>
      <w:r>
        <w:t>Die bloße Beobachtung von (\delta_2) sagt noch nicht, wie dieser Zustand entstanden ist. Erst die Zwischenzustände und Transformationen liefern eine mögliche funktionale Erklärung.</w:t>
      </w:r>
    </w:p>
    <w:p w:rsidR="002C1E33" w:rsidRDefault="002C1E33" w:rsidP="002C1E33">
      <w:pPr>
        <w:pStyle w:val="StandardWeb"/>
      </w:pPr>
      <w:r>
        <w:t>Didaktisch besonders wichtig ist aber die Frage:</w:t>
      </w:r>
    </w:p>
    <w:p w:rsidR="002C1E33" w:rsidRDefault="002C1E33" w:rsidP="002C1E33">
      <w:pPr>
        <w:pStyle w:val="StandardWeb"/>
      </w:pPr>
      <w:r>
        <w:rPr>
          <w:rStyle w:val="Fett"/>
        </w:rPr>
        <w:t>Ist dies die einzige mögliche Erklärung?</w:t>
      </w:r>
    </w:p>
    <w:p w:rsidR="002C1E33" w:rsidRDefault="002C1E33" w:rsidP="002C1E33">
      <w:pPr>
        <w:pStyle w:val="StandardWeb"/>
      </w:pPr>
      <w:r>
        <w:t>Es könnte ebenso eine andere Folge existieren:</w:t>
      </w:r>
    </w:p>
    <w:p w:rsidR="002C1E33" w:rsidRDefault="002C1E33" w:rsidP="002C1E33">
      <w:pPr>
        <w:pStyle w:val="StandardWeb"/>
      </w:pPr>
      <w:r>
        <w:t>[</w:t>
      </w:r>
      <w:r>
        <w:br/>
        <w:t>\delta_0</w:t>
      </w:r>
      <w:r>
        <w:br/>
        <w:t>\rightarrow</w:t>
      </w:r>
      <w:r>
        <w:br/>
        <w:t>\eta_1</w:t>
      </w:r>
      <w:r>
        <w:br/>
      </w:r>
      <w:r>
        <w:lastRenderedPageBreak/>
        <w:t>\rightarrow</w:t>
      </w:r>
      <w:r>
        <w:br/>
        <w:t>\delta_2.</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\delta_0\rightarrow\eta_1\rightarrow\delta_2</w:t>
      </w:r>
    </w:p>
    <w:p w:rsidR="002C1E33" w:rsidRDefault="002C1E33" w:rsidP="002C1E33">
      <w:pPr>
        <w:pStyle w:val="StandardWeb"/>
      </w:pPr>
      <w:r>
        <w:t>Beide Wege führen zum selben Ergebnis. Aus dem Endzustand allein kann deshalb nicht entschieden werden, welcher Weg tatsächlich stattgefunden hat.</w:t>
      </w:r>
    </w:p>
    <w:p w:rsidR="002C1E33" w:rsidRDefault="002C1E33" w:rsidP="002C1E33">
      <w:pPr>
        <w:pStyle w:val="StandardWeb"/>
      </w:pPr>
      <w:r>
        <w:t>Damit wird Unterbestimmtheit unmittelbar anschaulich.</w:t>
      </w:r>
    </w:p>
    <w:p w:rsidR="002C1E33" w:rsidRDefault="002C1E33" w:rsidP="002C1E33">
      <w:pPr>
        <w:pStyle w:val="StandardWeb"/>
      </w:pPr>
      <w:r>
        <w:t>Auch der Unterschied zwischen Korrelation und Erklärung lässt sich einfach darstellen. Wenn an heißen Tagen gleichzeitig mehr Eis verkauft wird und mehr Menschen baden gehen, können beide Größen stark korrelieren. Daraus folgt nicht, dass Eisverkauf das Baden verursacht. Eine dritte Größe – die Temperatur – kann beide beeinflussen.</w:t>
      </w:r>
    </w:p>
    <w:p w:rsidR="002C1E33" w:rsidRDefault="002C1E33" w:rsidP="002C1E33">
      <w:pPr>
        <w:pStyle w:val="StandardWeb"/>
      </w:pPr>
      <w:r>
        <w:t>Das FRZK muss deshalb bei jeder beobachteten Relation fragen:</w:t>
      </w:r>
    </w:p>
    <w:p w:rsidR="002C1E33" w:rsidRDefault="002C1E33" w:rsidP="002C1E33">
      <w:pPr>
        <w:pStyle w:val="StandardWeb"/>
      </w:pPr>
      <w:r>
        <w:rPr>
          <w:rStyle w:val="Fett"/>
        </w:rPr>
        <w:t>Ist die Relation selbst Teil des Mechanismus oder lediglich ein beobachteter Zusammenhang?</w:t>
      </w:r>
    </w:p>
    <w:p w:rsidR="002C1E33" w:rsidRDefault="002C1E33" w:rsidP="002C1E33">
      <w:pPr>
        <w:pStyle w:val="StandardWeb"/>
      </w:pPr>
      <w:r>
        <w:t>Ebenso wichtig ist die Unterscheidung zwischen funktionaler Transformation und Kausalität. Eine mathematische Regel kann festlegen:</w:t>
      </w:r>
    </w:p>
    <w:p w:rsidR="002C1E33" w:rsidRDefault="002C1E33" w:rsidP="002C1E33">
      <w:pPr>
        <w:pStyle w:val="StandardWeb"/>
      </w:pPr>
      <w:r>
        <w:t>[</w:t>
      </w:r>
      <w:r>
        <w:br/>
        <w:t>Y=T(X).</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Y=T(X)</w:t>
      </w:r>
    </w:p>
    <w:p w:rsidR="002C1E33" w:rsidRDefault="002C1E33" w:rsidP="002C1E33">
      <w:pPr>
        <w:pStyle w:val="StandardWeb"/>
      </w:pPr>
      <w:r>
        <w:t>Das bedeutet zunächst nur, dass im Modell (X) auf (Y) abgebildet wird. Für die Aussage</w:t>
      </w:r>
    </w:p>
    <w:p w:rsidR="002C1E33" w:rsidRDefault="002C1E33" w:rsidP="002C1E33">
      <w:pPr>
        <w:pStyle w:val="StandardWeb"/>
      </w:pPr>
      <w:r>
        <w:t>„X verursacht Y“</w:t>
      </w:r>
    </w:p>
    <w:p w:rsidR="002C1E33" w:rsidRDefault="002C1E33" w:rsidP="002C1E33">
      <w:pPr>
        <w:pStyle w:val="StandardWeb"/>
      </w:pPr>
      <w:r>
        <w:t>ist mehr erforderlich.</w:t>
      </w:r>
    </w:p>
    <w:p w:rsidR="002C1E33" w:rsidRDefault="002C1E33" w:rsidP="002C1E33">
      <w:pPr>
        <w:pStyle w:val="StandardWeb"/>
      </w:pPr>
      <w:r>
        <w:t>Kontrafaktische Betrachtungen lassen sich mit der Frage verdeutlichen:</w:t>
      </w:r>
    </w:p>
    <w:p w:rsidR="002C1E33" w:rsidRDefault="002C1E33" w:rsidP="002C1E33">
      <w:pPr>
        <w:pStyle w:val="StandardWeb"/>
      </w:pPr>
      <w:r>
        <w:rPr>
          <w:rStyle w:val="Fett"/>
        </w:rPr>
        <w:t>Was wäre passiert, wenn der Schalter nicht geöffnet worden wäre?</w:t>
      </w:r>
    </w:p>
    <w:p w:rsidR="002C1E33" w:rsidRDefault="002C1E33" w:rsidP="002C1E33">
      <w:pPr>
        <w:pStyle w:val="StandardWeb"/>
      </w:pPr>
      <w:r>
        <w:t>Eine Erklärung wird stärker, wenn sie nicht nur den beobachteten Fall beschreibt, sondern auch begründet, wie sich das Ergebnis unter einer relevanten Änderung verhalten hätte.</w:t>
      </w:r>
    </w:p>
    <w:p w:rsidR="002C1E33" w:rsidRDefault="002C1E33" w:rsidP="002C1E33">
      <w:pPr>
        <w:pStyle w:val="StandardWeb"/>
      </w:pPr>
      <w:r>
        <w:t>Didaktisch sollte der Leser außerdem zwischen Erklärungstiefe und Erklärungsqualität unterscheiden. Eine Erklärung mit zwanzig Zwischenschritten ist nicht automatisch besser als eine Erklärung mit drei Schritten. Zusätzliche Stufen sind nur dann hilfreich, wenn sie tatsächlich etwas Neues erklären oder überprüfbar machen.</w:t>
      </w:r>
    </w:p>
    <w:p w:rsidR="002C1E33" w:rsidRDefault="002C1E33" w:rsidP="002C1E33">
      <w:pPr>
        <w:pStyle w:val="StandardWeb"/>
      </w:pPr>
      <w:r>
        <w:lastRenderedPageBreak/>
        <w:t>Das lässt sich mit einer Wegbeschreibung vergleichen. Für den Weg zum Bahnhof kann eine Beschreibung mit drei klaren Abbiegungen besser sein als eine zwanzigseitige Beschreibung jedes einzelnen Pflastersteins. Mehr Detail bedeutet nicht automatisch mehr Verständnis.</w:t>
      </w:r>
    </w:p>
    <w:p w:rsidR="002C1E33" w:rsidRDefault="002C1E33" w:rsidP="002C1E33">
      <w:pPr>
        <w:pStyle w:val="StandardWeb"/>
      </w:pPr>
      <w:r>
        <w:t>Auch Sparsamkeit muss richtig verstanden werden. Die einfachste Erklärung ist nicht automatisch die richtige. Wenn eine komplexere Erklärung wesentlich mehr empirische Beobachtungen korrekt erfasst, kann ihre zusätzliche Komplexität wissenschaftlich gerechtfertigt sein.</w:t>
      </w:r>
    </w:p>
    <w:p w:rsidR="002C1E33" w:rsidRDefault="002C1E33" w:rsidP="002C1E33">
      <w:pPr>
        <w:pStyle w:val="StandardWeb"/>
      </w:pPr>
      <w:r>
        <w:t>Für das FRZK bedeutet dies schließlich, dass jede Erklärung mindestens fünf Fragen beantworten sollte:</w:t>
      </w:r>
    </w:p>
    <w:p w:rsidR="002C1E33" w:rsidRDefault="002C1E33" w:rsidP="002C1E33">
      <w:pPr>
        <w:pStyle w:val="StandardWeb"/>
      </w:pPr>
      <w:r>
        <w:rPr>
          <w:rStyle w:val="Fett"/>
        </w:rPr>
        <w:t>Was soll erklärt werden?</w:t>
      </w:r>
    </w:p>
    <w:p w:rsidR="002C1E33" w:rsidRDefault="002C1E33" w:rsidP="002C1E33">
      <w:pPr>
        <w:pStyle w:val="StandardWeb"/>
      </w:pPr>
      <w:r>
        <w:rPr>
          <w:rStyle w:val="Fett"/>
        </w:rPr>
        <w:t>Welche funktionale Struktur wird dafür verwendet?</w:t>
      </w:r>
    </w:p>
    <w:p w:rsidR="002C1E33" w:rsidRDefault="002C1E33" w:rsidP="002C1E33">
      <w:pPr>
        <w:pStyle w:val="StandardWeb"/>
      </w:pPr>
      <w:r>
        <w:rPr>
          <w:rStyle w:val="Fett"/>
        </w:rPr>
        <w:t>Über welchen Mechanismus entsteht das Ergebnis?</w:t>
      </w:r>
    </w:p>
    <w:p w:rsidR="002C1E33" w:rsidRDefault="002C1E33" w:rsidP="002C1E33">
      <w:pPr>
        <w:pStyle w:val="StandardWeb"/>
      </w:pPr>
      <w:r>
        <w:rPr>
          <w:rStyle w:val="Fett"/>
        </w:rPr>
        <w:t>Welche zusätzlichen Annahmen werden benötigt?</w:t>
      </w:r>
    </w:p>
    <w:p w:rsidR="002C1E33" w:rsidRDefault="002C1E33" w:rsidP="002C1E33">
      <w:pPr>
        <w:pStyle w:val="StandardWeb"/>
      </w:pPr>
      <w:r>
        <w:rPr>
          <w:rStyle w:val="Fett"/>
        </w:rPr>
        <w:t>Welche Beobachtung würde gegen diese Erklärung sprechen?</w:t>
      </w:r>
    </w:p>
    <w:p w:rsidR="002C1E33" w:rsidRDefault="002C1E33" w:rsidP="002C1E33">
      <w:pPr>
        <w:pStyle w:val="StandardWeb"/>
      </w:pPr>
      <w:r>
        <w:t>Erst wenn diese Fragen nachvollziehbar beantwortet werden können, besitzt eine FRZK-Erklärung mehr Gehalt als eine bloße Beschreibung.</w:t>
      </w:r>
    </w:p>
    <w:p w:rsidR="002C1E33" w:rsidRDefault="002C1E33" w:rsidP="002C1E33">
      <w:pPr>
        <w:pStyle w:val="berschrift2"/>
      </w:pPr>
      <w:r>
        <w:t>3.3.36.33 Ergebnis der Erklärungsfähigkeitsprüfung</w:t>
      </w:r>
    </w:p>
    <w:p w:rsidR="002C1E33" w:rsidRDefault="002C1E33" w:rsidP="002C1E33">
      <w:pPr>
        <w:pStyle w:val="StandardWeb"/>
      </w:pPr>
      <w:r>
        <w:t>Die Prüfung zeigt, dass Erklärungsfähigkeit nicht mit Modellanpassung, Prognosefähigkeit oder bloßer mathematischer Rekonstruktion gleichgesetzt werden darf.</w:t>
      </w:r>
    </w:p>
    <w:p w:rsidR="002C1E33" w:rsidRDefault="002C1E33" w:rsidP="002C1E33">
      <w:pPr>
        <w:pStyle w:val="StandardWeb"/>
      </w:pPr>
      <w:r>
        <w:t>Ein FRZK-Modell kann:</w:t>
      </w:r>
    </w:p>
    <w:p w:rsidR="002C1E33" w:rsidRDefault="002C1E33" w:rsidP="008C5E65">
      <w:pPr>
        <w:pStyle w:val="StandardWeb"/>
        <w:numPr>
          <w:ilvl w:val="0"/>
          <w:numId w:val="271"/>
        </w:numPr>
      </w:pPr>
      <w:r>
        <w:t>ein Phänomen lediglich beschreiben,</w:t>
      </w:r>
    </w:p>
    <w:p w:rsidR="002C1E33" w:rsidRDefault="002C1E33" w:rsidP="008C5E65">
      <w:pPr>
        <w:pStyle w:val="StandardWeb"/>
        <w:numPr>
          <w:ilvl w:val="0"/>
          <w:numId w:val="271"/>
        </w:numPr>
      </w:pPr>
      <w:r>
        <w:t>eine strukturelle Erklärung anbieten,</w:t>
      </w:r>
    </w:p>
    <w:p w:rsidR="002C1E33" w:rsidRDefault="002C1E33" w:rsidP="008C5E65">
      <w:pPr>
        <w:pStyle w:val="StandardWeb"/>
        <w:numPr>
          <w:ilvl w:val="0"/>
          <w:numId w:val="271"/>
        </w:numPr>
      </w:pPr>
      <w:r>
        <w:t>einen funktionalen Mechanismus rekonstruieren,</w:t>
      </w:r>
    </w:p>
    <w:p w:rsidR="002C1E33" w:rsidRDefault="002C1E33" w:rsidP="008C5E65">
      <w:pPr>
        <w:pStyle w:val="StandardWeb"/>
        <w:numPr>
          <w:ilvl w:val="0"/>
          <w:numId w:val="271"/>
        </w:numPr>
      </w:pPr>
      <w:r>
        <w:t>kontrafaktische Aussagen ermöglichen,</w:t>
      </w:r>
    </w:p>
    <w:p w:rsidR="002C1E33" w:rsidRDefault="002C1E33" w:rsidP="008C5E65">
      <w:pPr>
        <w:pStyle w:val="StandardWeb"/>
        <w:numPr>
          <w:ilvl w:val="0"/>
          <w:numId w:val="271"/>
        </w:numPr>
      </w:pPr>
      <w:r>
        <w:t>oder unter zusätzlichen Bedingungen eine kausale Interpretation unterstützen.</w:t>
      </w:r>
    </w:p>
    <w:p w:rsidR="002C1E33" w:rsidRDefault="002C1E33" w:rsidP="002C1E33">
      <w:pPr>
        <w:pStyle w:val="StandardWeb"/>
      </w:pPr>
      <w:r>
        <w:t>Besonders zu beachten ist:</w:t>
      </w:r>
    </w:p>
    <w:p w:rsidR="002C1E33" w:rsidRDefault="002C1E33" w:rsidP="002C1E33">
      <w:pPr>
        <w:pStyle w:val="StandardWeb"/>
      </w:pPr>
      <w:r>
        <w:t>Eine Korrelation ist keine hinreichende Erklärung.</w:t>
      </w:r>
    </w:p>
    <w:p w:rsidR="002C1E33" w:rsidRDefault="002C1E33" w:rsidP="002C1E33">
      <w:pPr>
        <w:pStyle w:val="StandardWeb"/>
      </w:pPr>
      <w:r>
        <w:t>Eine funktionale Transformation ist nicht automatisch kausal.</w:t>
      </w:r>
    </w:p>
    <w:p w:rsidR="002C1E33" w:rsidRDefault="002C1E33" w:rsidP="002C1E33">
      <w:pPr>
        <w:pStyle w:val="StandardWeb"/>
      </w:pPr>
      <w:r>
        <w:t>Die Rekonstruktion eines Endzustands beweist keine Eindeutigkeit des Mechanismus.</w:t>
      </w:r>
    </w:p>
    <w:p w:rsidR="002C1E33" w:rsidRDefault="002C1E33" w:rsidP="002C1E33">
      <w:pPr>
        <w:pStyle w:val="StandardWeb"/>
      </w:pPr>
      <w:r>
        <w:t>Alternative Erklärungen müssen berücksichtigt werden.</w:t>
      </w:r>
    </w:p>
    <w:p w:rsidR="002C1E33" w:rsidRDefault="002C1E33" w:rsidP="002C1E33">
      <w:pPr>
        <w:pStyle w:val="StandardWeb"/>
      </w:pPr>
      <w:r>
        <w:t>Erklärungen müssen identifizierbar, robust, unsicherheitsbewusst und falsifizierbar bleiben.</w:t>
      </w:r>
    </w:p>
    <w:p w:rsidR="002C1E33" w:rsidRDefault="002C1E33" w:rsidP="002C1E33">
      <w:pPr>
        <w:pStyle w:val="StandardWeb"/>
      </w:pPr>
      <w:r>
        <w:lastRenderedPageBreak/>
        <w:t>Erklärungsgüte und Prognosegüte sind voneinander zu trennen [58, 59, 79].</w:t>
      </w:r>
    </w:p>
    <w:p w:rsidR="002C1E33" w:rsidRDefault="002C1E33" w:rsidP="002C1E33">
      <w:pPr>
        <w:pStyle w:val="StandardWeb"/>
      </w:pPr>
      <w:r>
        <w:rPr>
          <w:rStyle w:val="Fett"/>
        </w:rPr>
        <w:t>Eigenleistung des FRZK</w:t>
      </w:r>
    </w:p>
    <w:p w:rsidR="002C1E33" w:rsidRDefault="002C1E33" w:rsidP="002C1E33">
      <w:pPr>
        <w:pStyle w:val="StandardWeb"/>
      </w:pPr>
      <w:r>
        <w:t>Mit Definition 3.3.28 und Satz 3.3.18 steht ein formaler Rahmen zur Verfügung, mit dem ich FRZK-Erklärungen bis auf ihre funktionalen Zustände, Relationen, Transformationen, Hilfsannahmen und alternativen Mechanismen zurückverfolgen kann. Erklärungsfähigkeit wird dadurch nicht als sprachliche Plausibilität behandelt, sondern als dokumentierbare wissenschaftliche Struktur.</w:t>
      </w:r>
    </w:p>
    <w:p w:rsidR="002C1E33" w:rsidRDefault="002C1E33" w:rsidP="002C1E33">
      <w:pPr>
        <w:pStyle w:val="berschrift2"/>
      </w:pPr>
      <w:r>
        <w:t>3.3.36.34 Übergang zur Prüfung der kausalen Interpretierbarkeit</w:t>
      </w:r>
    </w:p>
    <w:p w:rsidR="002C1E33" w:rsidRDefault="002C1E33" w:rsidP="002C1E33">
      <w:pPr>
        <w:pStyle w:val="StandardWeb"/>
      </w:pPr>
      <w:r>
        <w:t>Eine funktionale Erklärung kann einen nachvollziehbaren Mechanismus bereitstellen, ohne dass bereits gezeigt wurde, dass dieser Mechanismus kausal interpretiert werden darf.</w:t>
      </w:r>
    </w:p>
    <w:p w:rsidR="002C1E33" w:rsidRDefault="002C1E33" w:rsidP="002C1E33">
      <w:pPr>
        <w:pStyle w:val="StandardWeb"/>
      </w:pPr>
      <w:r>
        <w:t>Die funktionale Abhängigkeit lautet</w:t>
      </w:r>
    </w:p>
    <w:p w:rsidR="002C1E33" w:rsidRDefault="002C1E33" w:rsidP="002C1E33">
      <w:pPr>
        <w:pStyle w:val="StandardWeb"/>
      </w:pPr>
      <w:r>
        <w:t>[</w:t>
      </w:r>
      <w:r>
        <w:br/>
        <w:t>X</w:t>
      </w:r>
      <w:r>
        <w:br/>
        <w:t>\rightarrow_F</w:t>
      </w:r>
      <w:r>
        <w:br/>
        <w:t>Y.</w:t>
      </w:r>
      <w:r>
        <w:br/>
        <w:t>\tag{3.6134}</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X\rightarrow_F Y\qquad\text{(3.6134)}</w:t>
      </w:r>
    </w:p>
    <w:p w:rsidR="002C1E33" w:rsidRDefault="002C1E33" w:rsidP="002C1E33">
      <w:pPr>
        <w:pStyle w:val="StandardWeb"/>
      </w:pPr>
      <w:r>
        <w:t>Eine kausale Abhängigkeit lautet dagegen</w:t>
      </w:r>
    </w:p>
    <w:p w:rsidR="002C1E33" w:rsidRDefault="002C1E33" w:rsidP="002C1E33">
      <w:pPr>
        <w:pStyle w:val="StandardWeb"/>
      </w:pPr>
      <w:r>
        <w:t>[</w:t>
      </w:r>
      <w:r>
        <w:br/>
        <w:t>X</w:t>
      </w:r>
      <w:r>
        <w:br/>
        <w:t>\rightarrow_C</w:t>
      </w:r>
      <w:r>
        <w:br/>
        <w:t>Y.</w:t>
      </w:r>
      <w:r>
        <w:br/>
        <w:t>\tag{3.6135}</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X\rightarrow_C Y\qquad\text{(3.6135)}</w:t>
      </w:r>
    </w:p>
    <w:p w:rsidR="002C1E33" w:rsidRDefault="002C1E33" w:rsidP="002C1E33">
      <w:pPr>
        <w:pStyle w:val="StandardWeb"/>
      </w:pPr>
      <w:r>
        <w:t>Im Allgemeinen darf nicht gesetzt werden</w:t>
      </w:r>
    </w:p>
    <w:p w:rsidR="002C1E33" w:rsidRDefault="002C1E33" w:rsidP="002C1E33">
      <w:pPr>
        <w:pStyle w:val="StandardWeb"/>
      </w:pPr>
      <w:r>
        <w:t>[</w:t>
      </w:r>
      <w:r>
        <w:br/>
        <w:t>X</w:t>
      </w:r>
      <w:r>
        <w:br/>
        <w:t>\rightarrow_F</w:t>
      </w:r>
      <w:r>
        <w:br/>
        <w:t>Y</w:t>
      </w:r>
      <w:r>
        <w:br/>
        <w:t>\Rightarrow</w:t>
      </w:r>
      <w:r>
        <w:br/>
        <w:t>X</w:t>
      </w:r>
      <w:r>
        <w:br/>
      </w:r>
      <w:r>
        <w:lastRenderedPageBreak/>
        <w:t>\rightarrow_C</w:t>
      </w:r>
      <w:r>
        <w:br/>
        <w:t>Y.</w:t>
      </w:r>
      <w:r>
        <w:br/>
        <w:t>\tag{3.6136}</w:t>
      </w:r>
      <w:r>
        <w:br/>
        <w:t>]</w:t>
      </w:r>
    </w:p>
    <w:p w:rsidR="002C1E33" w:rsidRDefault="002C1E33" w:rsidP="002C1E33">
      <w:pPr>
        <w:pStyle w:val="StandardWeb"/>
      </w:pPr>
      <w:r>
        <w:rPr>
          <w:rStyle w:val="Fett"/>
        </w:rPr>
        <w:t>Word-LaTeX</w:t>
      </w:r>
    </w:p>
    <w:p w:rsidR="002C1E33" w:rsidRDefault="002C1E33" w:rsidP="002C1E33">
      <w:pPr>
        <w:pStyle w:val="HTMLVorformatiert"/>
        <w:rPr>
          <w:rStyle w:val="HTMLCode"/>
        </w:rPr>
      </w:pPr>
      <w:r>
        <w:rPr>
          <w:rStyle w:val="HTMLCode"/>
        </w:rPr>
        <w:t>X\rightarrow_F Y\Rightarrow X\rightarrow_C Y\qquad\text{(3.6136)}</w:t>
      </w:r>
    </w:p>
    <w:p w:rsidR="002C1E33" w:rsidRDefault="002C1E33" w:rsidP="002C1E33">
      <w:pPr>
        <w:pStyle w:val="StandardWeb"/>
      </w:pPr>
      <w:r>
        <w:rPr>
          <w:rStyle w:val="Fett"/>
        </w:rPr>
        <w:t>Eigenleistung des FRZK</w:t>
      </w:r>
    </w:p>
    <w:p w:rsidR="002C1E33" w:rsidRDefault="002C1E33" w:rsidP="002C1E33">
      <w:pPr>
        <w:pStyle w:val="StandardWeb"/>
      </w:pPr>
      <w:r>
        <w:t>Der folgende Abschnitt muss deshalb klären, welche zusätzlichen Voraussetzungen erforderlich sind, damit eine funktionale FRZK-Struktur nicht nur als erklärend, sondern als kausal interpretierbar behandelt werden darf.</w:t>
      </w:r>
    </w:p>
    <w:p w:rsidR="00B81800" w:rsidRDefault="00B81800" w:rsidP="00B81800">
      <w:pPr>
        <w:pStyle w:val="StandardWeb"/>
        <w:rPr>
          <w:rFonts w:cs="Times New Roman"/>
          <w:bCs w:val="0"/>
        </w:rPr>
      </w:pPr>
      <w:r>
        <w:t xml:space="preserve">Stimmt. In </w:t>
      </w:r>
      <w:r>
        <w:rPr>
          <w:rStyle w:val="Fett"/>
        </w:rPr>
        <w:t>3.3.36</w:t>
      </w:r>
      <w:r>
        <w:t xml:space="preserve"> fehlen am Ende noch die ausführlichen </w:t>
      </w:r>
      <w:r>
        <w:rPr>
          <w:rStyle w:val="Fett"/>
        </w:rPr>
        <w:t>methodologischen</w:t>
      </w:r>
      <w:r>
        <w:t xml:space="preserve"> und </w:t>
      </w:r>
      <w:r>
        <w:rPr>
          <w:rStyle w:val="Fett"/>
        </w:rPr>
        <w:t>didaktischen Betrachtungen</w:t>
      </w:r>
      <w:r>
        <w:t xml:space="preserve"> in dem Umfang, den wir inzwischen für 3.3 verbindlich verwenden. Die kurzen Passagen innerhalb des Abschnitts ersetzen diese abschließenden Teile nicht.</w:t>
      </w:r>
    </w:p>
    <w:p w:rsidR="00B81800" w:rsidRDefault="00B81800" w:rsidP="00B81800">
      <w:pPr>
        <w:pStyle w:val="StandardWeb"/>
      </w:pPr>
      <w:r>
        <w:t xml:space="preserve">Ich ergänze sie hier </w:t>
      </w:r>
      <w:r>
        <w:rPr>
          <w:rStyle w:val="Fett"/>
        </w:rPr>
        <w:t>direkt im Chat</w:t>
      </w:r>
      <w:r>
        <w:t>. Gleichungen, die ich verwende, erhalten wieder unmittelbar ihre Word-LaTeX-Fassung.</w:t>
      </w:r>
    </w:p>
    <w:p w:rsidR="00B81800" w:rsidRDefault="00B81800" w:rsidP="00B81800">
      <w:pPr>
        <w:pStyle w:val="berschrift1"/>
      </w:pPr>
      <w:r>
        <w:t>Methodologische Betrachtungen zu 3.3.36 – Prüfung der Erklärungsfähigkeit</w:t>
      </w:r>
    </w:p>
    <w:p w:rsidR="00B81800" w:rsidRDefault="00B81800" w:rsidP="00B81800">
      <w:pPr>
        <w:pStyle w:val="StandardWeb"/>
      </w:pPr>
      <w:r>
        <w:t>Die Prüfung der Erklärungsfähigkeit besitzt im Aufbau des FRZK eine besondere methodologische Stellung, weil sie mehrere zuvor getrennt entwickelte Qualitätsdimensionen wieder zusammenführt, ohne diese miteinander gleichzusetzen. In den vorausgehenden Abschnitten wurden Reproduzierbarkeit, Falsifizierbarkeit, Prognosefähigkeit, Identifizierbarkeit, Robustheit und Unsicherheit jeweils als eigenständige Prüfprobleme behandelt. Eine Erklärung muss diese Ebenen berücksichtigen, darf aber mit keiner von ihnen identifiziert werden [58, 59, 79].</w:t>
      </w:r>
    </w:p>
    <w:p w:rsidR="00B81800" w:rsidRDefault="00B81800" w:rsidP="00B81800">
      <w:pPr>
        <w:pStyle w:val="StandardWeb"/>
      </w:pPr>
      <w:r>
        <w:t>Ein Modell kann beispielsweise reproduzierbar sein, obwohl seine Erklärung inhaltlich falsch ist. Es kann falsifizierbar sein, ohne einen transparenten Mechanismus bereitzustellen. Es kann sehr genau prognostizieren, obwohl seine interne Struktur kaum interpretierbar ist. Umgekehrt kann ein plausibler funktionaler Mechanismus formuliert werden, dessen prognostische Leistung gering bleibt. Gerade deshalb behandle ich Erklärungsfähigkeit nicht als automatisches Endprodukt der vorangehenden Prüfungen, sondern als eigenständige wissenschaftliche Eigenschaft.</w:t>
      </w:r>
    </w:p>
    <w:p w:rsidR="00B81800" w:rsidRDefault="00B81800" w:rsidP="00B81800">
      <w:pPr>
        <w:pStyle w:val="StandardWeb"/>
      </w:pPr>
      <w:r>
        <w:t xml:space="preserve">Der erste methodische Schritt besteht in der strikten Trennung von </w:t>
      </w:r>
      <w:r>
        <w:rPr>
          <w:rStyle w:val="Fett"/>
        </w:rPr>
        <w:t>Explanandum</w:t>
      </w:r>
      <w:r>
        <w:t xml:space="preserve"> und </w:t>
      </w:r>
      <w:r>
        <w:rPr>
          <w:rStyle w:val="Fett"/>
        </w:rPr>
        <w:t>Explanans</w:t>
      </w:r>
      <w:r>
        <w:t>. Das Explanandum bezeichnet das zu erklärende Phänomen. Das Explanans umfasst diejenigen Strukturen, Bedingungen und Mechanismen, durch die dieses Phänomen innerhalb des Modells nachvollziehbar gemacht werden soll. Diese Trennung verhindert, dass eine Beobachtung lediglich in anderen Worten wiederholt und anschließend als Erklärung ausgegeben wird.</w:t>
      </w:r>
    </w:p>
    <w:p w:rsidR="00B81800" w:rsidRDefault="00B81800" w:rsidP="00B81800">
      <w:pPr>
        <w:pStyle w:val="StandardWeb"/>
      </w:pPr>
      <w:r>
        <w:t>Eine wissenschaftlich unzureichende Struktur wäre beispielsweise:</w:t>
      </w:r>
    </w:p>
    <w:p w:rsidR="00B81800" w:rsidRDefault="00B81800" w:rsidP="00B81800">
      <w:pPr>
        <w:pStyle w:val="StandardWeb"/>
      </w:pPr>
      <w:r>
        <w:lastRenderedPageBreak/>
        <w:t>[</w:t>
      </w:r>
      <w:r>
        <w:br/>
        <w:t>E_{\mathrm{obs}}</w:t>
      </w:r>
      <w:r>
        <w:br/>
        <w:t>\Rightarrow</w:t>
      </w:r>
      <w:r>
        <w:br/>
        <w:t>E_{\mathrm{obs}}.</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E_{\mathrm{obs}}\Rightarrow E_{\mathrm{obs}}</w:t>
      </w:r>
    </w:p>
    <w:p w:rsidR="00B81800" w:rsidRDefault="00B81800" w:rsidP="00B81800">
      <w:pPr>
        <w:pStyle w:val="StandardWeb"/>
      </w:pPr>
      <w:r>
        <w:t>Eine solche Aussage enthält keinerlei zusätzlichen Erklärungsgehalt. Sie beschreibt lediglich, dass das beobachtete Phänomen vorliegt.</w:t>
      </w:r>
    </w:p>
    <w:p w:rsidR="00B81800" w:rsidRDefault="00B81800" w:rsidP="00B81800">
      <w:pPr>
        <w:pStyle w:val="StandardWeb"/>
      </w:pPr>
      <w:r>
        <w:t>Das FRZK verlangt deshalb eine zusätzliche Struktur:</w:t>
      </w:r>
    </w:p>
    <w:p w:rsidR="00B81800" w:rsidRDefault="00B81800" w:rsidP="00B81800">
      <w:pPr>
        <w:pStyle w:val="StandardWeb"/>
      </w:pPr>
      <w:r>
        <w:t>[</w:t>
      </w:r>
      <w:r>
        <w:br/>
        <w:t>\mathcal{X}</w:t>
      </w:r>
      <w:r>
        <w:rPr>
          <w:rStyle w:val="Hervorhebung"/>
        </w:rPr>
        <w:t>{F}</w:t>
      </w:r>
      <w:r>
        <w:rPr>
          <w:i/>
          <w:iCs/>
        </w:rPr>
        <w:br/>
      </w:r>
      <w:r>
        <w:rPr>
          <w:rStyle w:val="Hervorhebung"/>
        </w:rPr>
        <w:t>\land</w:t>
      </w:r>
      <w:r>
        <w:rPr>
          <w:i/>
          <w:iCs/>
        </w:rPr>
        <w:br/>
      </w:r>
      <w:r>
        <w:rPr>
          <w:rStyle w:val="Hervorhebung"/>
        </w:rPr>
        <w:t>\mathfrak{H}</w:t>
      </w:r>
      <w:r>
        <w:t>{F}</w:t>
      </w:r>
      <w:r>
        <w:br/>
        <w:t>\Rightarrow</w:t>
      </w:r>
      <w:r>
        <w:br/>
        <w:t>E_{\mathrm{obs}}.</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\mathcal{X}_{F}\land\mathfrak{H}_{F}\Rightarrow E_{\mathrm{obs}}</w:t>
      </w:r>
    </w:p>
    <w:p w:rsidR="00B81800" w:rsidRDefault="00B81800" w:rsidP="00B81800">
      <w:pPr>
        <w:pStyle w:val="StandardWeb"/>
      </w:pPr>
      <w:r>
        <w:t>Damit wird sichtbar, dass die Beobachtung aus einer funktionalen Struktur gemeinsam mit Rand- und Hilfsbedingungen hervorgehen soll.</w:t>
      </w:r>
    </w:p>
    <w:p w:rsidR="00B81800" w:rsidRDefault="00B81800" w:rsidP="00B81800">
      <w:pPr>
        <w:pStyle w:val="StandardWeb"/>
      </w:pPr>
      <w:r>
        <w:t>Methodologisch besonders wichtig ist dabei die Rolle der Hilfsannahmen. Eine Erklärung basiert selten ausschließlich auf einer einzelnen theoretischen Kernaussage. Vielmehr werden Messbedingungen, Modellgrenzen, Parameterfestlegungen, Operationalisierungen und Randbedingungen benötigt. Werden diese Voraussetzungen nicht explizit gemacht, erscheint der erklärende Zusammenhang stärker und unmittelbarer, als er tatsächlich ist.</w:t>
      </w:r>
    </w:p>
    <w:p w:rsidR="00B81800" w:rsidRDefault="00B81800" w:rsidP="00B81800">
      <w:pPr>
        <w:pStyle w:val="StandardWeb"/>
      </w:pPr>
      <w:r>
        <w:t>Damit schließt die Erklärungsprüfung unmittelbar an die Falsifizierbarkeitsprüfung aus Abschnitt 3.3.34 an. Wenn ein erwartetes Ergebnis aus einer erklärenden Struktur gemeinsam mit Hilfsannahmen folgt,</w:t>
      </w:r>
    </w:p>
    <w:p w:rsidR="00B81800" w:rsidRDefault="00B81800" w:rsidP="00B81800">
      <w:pPr>
        <w:pStyle w:val="StandardWeb"/>
      </w:pPr>
      <w:r>
        <w:t>[</w:t>
      </w:r>
      <w:r>
        <w:br/>
        <w:t>\mathcal{X}_{F}</w:t>
      </w:r>
      <w:r>
        <w:br/>
        <w:t>\land</w:t>
      </w:r>
      <w:r>
        <w:br/>
        <w:t>H_1</w:t>
      </w:r>
      <w:r>
        <w:br/>
        <w:t>\land</w:t>
      </w:r>
      <w:r>
        <w:br/>
        <w:t>\cdots</w:t>
      </w:r>
      <w:r>
        <w:br/>
        <w:t>\land</w:t>
      </w:r>
      <w:r>
        <w:br/>
        <w:t>H_m</w:t>
      </w:r>
      <w:r>
        <w:br/>
        <w:t>\Rightarrow</w:t>
      </w:r>
      <w:r>
        <w:br/>
        <w:t>E,</w:t>
      </w:r>
      <w:r>
        <w:br/>
        <w:t>]</w:t>
      </w:r>
    </w:p>
    <w:p w:rsidR="00B81800" w:rsidRDefault="00B81800" w:rsidP="00B81800">
      <w:pPr>
        <w:pStyle w:val="StandardWeb"/>
      </w:pPr>
      <w:r>
        <w:rPr>
          <w:rStyle w:val="Fett"/>
        </w:rPr>
        <w:lastRenderedPageBreak/>
        <w:t>Word-LaTeX</w:t>
      </w:r>
    </w:p>
    <w:p w:rsidR="00B81800" w:rsidRDefault="00B81800" w:rsidP="00B81800">
      <w:pPr>
        <w:pStyle w:val="HTMLVorformatiert"/>
        <w:rPr>
          <w:rStyle w:val="HTMLCode"/>
        </w:rPr>
      </w:pPr>
      <w:r>
        <w:rPr>
          <w:rStyle w:val="HTMLCode"/>
        </w:rPr>
        <w:t>\mathcal{X}_{F}\land H_1\land\cdots\land H_m\Rightarrow E</w:t>
      </w:r>
    </w:p>
    <w:p w:rsidR="00B81800" w:rsidRDefault="00B81800" w:rsidP="00B81800">
      <w:pPr>
        <w:pStyle w:val="StandardWeb"/>
      </w:pPr>
      <w:r>
        <w:t>und empirisch (\neg E) beobachtet wird, ist zunächst die gesamte Konjunktion betroffen. Daraus folgt nicht automatisch, dass ausschließlich die erklärende Kernstruktur falsch ist.</w:t>
      </w:r>
    </w:p>
    <w:p w:rsidR="00B81800" w:rsidRDefault="00B81800" w:rsidP="00B81800">
      <w:pPr>
        <w:pStyle w:val="StandardWeb"/>
      </w:pPr>
      <w:r>
        <w:t>Diese Duhem-Quine-artige Problematik zwingt dazu, Erklärungen nicht als isolierte Aussagen zu behandeln. Eine FRZK-Erklärung muss deshalb immer gemeinsam mit den Voraussetzungen dokumentiert werden, auf denen ihre Ableitung beruht.</w:t>
      </w:r>
    </w:p>
    <w:p w:rsidR="00B81800" w:rsidRDefault="00B81800" w:rsidP="00B81800">
      <w:pPr>
        <w:pStyle w:val="StandardWeb"/>
      </w:pPr>
      <w:r>
        <w:t xml:space="preserve">Ein zweiter methodologischer Schwerpunkt betrifft den Begriff des </w:t>
      </w:r>
      <w:r>
        <w:rPr>
          <w:rStyle w:val="Fett"/>
        </w:rPr>
        <w:t>Mechanismus</w:t>
      </w:r>
      <w:r>
        <w:t>. Innerhalb des FRZK liegt es nahe, Mechanismen über Zustände, Relationen und Transformationen zu beschreiben. Eine Folge</w:t>
      </w:r>
    </w:p>
    <w:p w:rsidR="00B81800" w:rsidRDefault="00B81800" w:rsidP="00B81800">
      <w:pPr>
        <w:pStyle w:val="StandardWeb"/>
      </w:pPr>
      <w:r>
        <w:t>[</w:t>
      </w:r>
      <w:r>
        <w:br/>
        <w:t>\delta_0</w:t>
      </w:r>
      <w:r>
        <w:br/>
        <w:t>\xrightarrow{T_1}</w:t>
      </w:r>
      <w:r>
        <w:br/>
        <w:t>\delta_1</w:t>
      </w:r>
      <w:r>
        <w:br/>
        <w:t>\xrightarrow{T_2}</w:t>
      </w:r>
      <w:r>
        <w:br/>
        <w:t>\cdots</w:t>
      </w:r>
      <w:r>
        <w:br/>
        <w:t>\xrightarrow{T_n}</w:t>
      </w:r>
      <w:r>
        <w:br/>
        <w:t>\delta_n</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\delta_0\xrightarrow{T_1}\delta_1\xrightarrow{T_2}\cdots\xrightarrow{T_n}\delta_n</w:t>
      </w:r>
    </w:p>
    <w:p w:rsidR="00B81800" w:rsidRDefault="00B81800" w:rsidP="00B81800">
      <w:pPr>
        <w:pStyle w:val="StandardWeb"/>
      </w:pPr>
      <w:r>
        <w:t>kann den internen funktionalen Weg von einem Ausgangszustand zu einem Endzustand transparent machen.</w:t>
      </w:r>
    </w:p>
    <w:p w:rsidR="00B81800" w:rsidRDefault="00B81800" w:rsidP="00B81800">
      <w:pPr>
        <w:pStyle w:val="StandardWeb"/>
      </w:pPr>
      <w:r>
        <w:t xml:space="preserve">Diese Transparenz ist wissenschaftlich wertvoll, darf aber nicht überschätzt werden. Eine mathematisch vollständig rekonstruierbare Transformationsfolge ist zunächst ein </w:t>
      </w:r>
      <w:r>
        <w:rPr>
          <w:rStyle w:val="Fett"/>
        </w:rPr>
        <w:t>funktionaler Mechanismus innerhalb des Modells</w:t>
      </w:r>
      <w:r>
        <w:t>. Sie ist noch nicht automatisch ein empirisch bestätigter Kausalmechanismus.</w:t>
      </w:r>
    </w:p>
    <w:p w:rsidR="00B81800" w:rsidRDefault="00B81800" w:rsidP="00B81800">
      <w:pPr>
        <w:pStyle w:val="StandardWeb"/>
      </w:pPr>
      <w:r>
        <w:t>Gerade diese Grenze ist zentral. Eine mathematische Transformation</w:t>
      </w:r>
    </w:p>
    <w:p w:rsidR="00B81800" w:rsidRDefault="00B81800" w:rsidP="00B81800">
      <w:pPr>
        <w:pStyle w:val="StandardWeb"/>
      </w:pPr>
      <w:r>
        <w:t>[</w:t>
      </w:r>
      <w:r>
        <w:br/>
        <w:t>Y=T(X)</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Y=T(X)</w:t>
      </w:r>
    </w:p>
    <w:p w:rsidR="00B81800" w:rsidRDefault="00B81800" w:rsidP="00B81800">
      <w:pPr>
        <w:pStyle w:val="StandardWeb"/>
      </w:pPr>
      <w:r>
        <w:t>bedeutet zunächst, dass (X) im Modell auf (Y) abgebildet wird. Daraus folgt nicht automatisch</w:t>
      </w:r>
    </w:p>
    <w:p w:rsidR="00B81800" w:rsidRDefault="00B81800" w:rsidP="00B81800">
      <w:pPr>
        <w:pStyle w:val="StandardWeb"/>
      </w:pPr>
      <w:r>
        <w:lastRenderedPageBreak/>
        <w:t>[</w:t>
      </w:r>
      <w:r>
        <w:br/>
        <w:t>X\rightarrow_C Y.</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X\rightarrow_C Y</w:t>
      </w:r>
    </w:p>
    <w:p w:rsidR="00B81800" w:rsidRDefault="00B81800" w:rsidP="00B81800">
      <w:pPr>
        <w:pStyle w:val="StandardWeb"/>
      </w:pPr>
      <w:r>
        <w:t>Eine kausale Interpretation benötigt zusätzliche empirische und strukturelle Voraussetzungen. Abschnitt 3.3.37 wird deshalb genau an dieser Stelle fortsetzen.</w:t>
      </w:r>
    </w:p>
    <w:p w:rsidR="00B81800" w:rsidRDefault="00B81800" w:rsidP="00B81800">
      <w:pPr>
        <w:pStyle w:val="StandardWeb"/>
      </w:pPr>
      <w:r>
        <w:t>Auch Korrelation darf nicht mit Erklärung verwechselt werden. Eine statistische Abhängigkeit</w:t>
      </w:r>
    </w:p>
    <w:p w:rsidR="00B81800" w:rsidRDefault="00B81800" w:rsidP="00B81800">
      <w:pPr>
        <w:pStyle w:val="StandardWeb"/>
      </w:pPr>
      <w:r>
        <w:t>[</w:t>
      </w:r>
      <w:r>
        <w:br/>
        <w:t>X</w:t>
      </w:r>
      <w:r>
        <w:br/>
        <w:t>\not!\perp!!!\perp</w:t>
      </w:r>
      <w:r>
        <w:br/>
        <w:t>Y</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X\not\!\perp\!\!\!\perp Y</w:t>
      </w:r>
    </w:p>
    <w:p w:rsidR="00B81800" w:rsidRDefault="00B81800" w:rsidP="00B81800">
      <w:pPr>
        <w:pStyle w:val="StandardWeb"/>
      </w:pPr>
      <w:r>
        <w:t>zeigt zunächst nur, dass die beobachteten Größen nicht unabhängig voneinander auftreten. Daraus folgt weder die Richtung des Zusammenhangs noch sein Mechanismus.</w:t>
      </w:r>
    </w:p>
    <w:p w:rsidR="00B81800" w:rsidRDefault="00B81800" w:rsidP="00B81800">
      <w:pPr>
        <w:pStyle w:val="StandardWeb"/>
      </w:pPr>
      <w:r>
        <w:t>Ein klassischer methodischer Fehler bestünde darin, aus einer hohen Korrelation unmittelbar</w:t>
      </w:r>
    </w:p>
    <w:p w:rsidR="00B81800" w:rsidRDefault="00B81800" w:rsidP="00B81800">
      <w:pPr>
        <w:pStyle w:val="StandardWeb"/>
      </w:pPr>
      <w:r>
        <w:t>[</w:t>
      </w:r>
      <w:r>
        <w:br/>
        <w:t>X\rightarrow Y</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X\rightarrow Y</w:t>
      </w:r>
    </w:p>
    <w:p w:rsidR="00B81800" w:rsidRDefault="00B81800" w:rsidP="00B81800">
      <w:pPr>
        <w:pStyle w:val="StandardWeb"/>
      </w:pPr>
      <w:r>
        <w:t>abzuleiten. Genau dies vermeidet das FRZK durch die Trennung zwischen Relation, Transformation, Erklärung und Kausalität.</w:t>
      </w:r>
    </w:p>
    <w:p w:rsidR="00B81800" w:rsidRDefault="00B81800" w:rsidP="00B81800">
      <w:pPr>
        <w:pStyle w:val="StandardWeb"/>
      </w:pPr>
      <w:r>
        <w:t xml:space="preserve">Ein dritter wichtiger Punkt betrifft </w:t>
      </w:r>
      <w:r>
        <w:rPr>
          <w:rStyle w:val="Fett"/>
        </w:rPr>
        <w:t>alternative Erklärungen</w:t>
      </w:r>
      <w:r>
        <w:t>. Ein beobachtetes Ergebnis kann häufig durch mehrere unterschiedliche Strukturen erzeugt werden. Formal kann gelten:</w:t>
      </w:r>
    </w:p>
    <w:p w:rsidR="00B81800" w:rsidRDefault="00B81800" w:rsidP="00B81800">
      <w:pPr>
        <w:pStyle w:val="berschrift1"/>
      </w:pPr>
      <w:r>
        <w:t>[</w:t>
      </w:r>
      <w:r>
        <w:br/>
        <w:t>\mathcal{P}</w:t>
      </w:r>
      <w:r>
        <w:br/>
        <w:t>\left(</w:t>
      </w:r>
      <w:r>
        <w:br/>
        <w:t>\mathcal{X}_{F}^{(1)}</w:t>
      </w:r>
      <w:r>
        <w:br/>
        <w:t>\right)</w:t>
      </w:r>
    </w:p>
    <w:p w:rsidR="00B81800" w:rsidRDefault="00B81800" w:rsidP="00B81800">
      <w:pPr>
        <w:pStyle w:val="StandardWeb"/>
      </w:pPr>
      <w:r>
        <w:lastRenderedPageBreak/>
        <w:t>\mathcal{P}</w:t>
      </w:r>
      <w:r>
        <w:br/>
        <w:t>\left(</w:t>
      </w:r>
      <w:r>
        <w:br/>
        <w:t>\mathcal{X}_{F}^{(2)}</w:t>
      </w:r>
      <w:r>
        <w:br/>
        <w:t>\right).</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\mathcal{P}\left(\mathcal{X}_{F}^{(1)}\right)=\mathcal{P}\left(\mathcal{X}_{F}^{(2)}\right)</w:t>
      </w:r>
    </w:p>
    <w:p w:rsidR="00B81800" w:rsidRDefault="00B81800" w:rsidP="00B81800">
      <w:pPr>
        <w:pStyle w:val="StandardWeb"/>
      </w:pPr>
      <w:r>
        <w:t>In diesem Fall sind beide Erklärungen bezüglich der betrachteten Beobachtungen empirisch äquivalent. Das Explanandum allein erlaubt dann keine eindeutige Auswahl.</w:t>
      </w:r>
    </w:p>
    <w:p w:rsidR="00B81800" w:rsidRDefault="00B81800" w:rsidP="00B81800">
      <w:pPr>
        <w:pStyle w:val="StandardWeb"/>
      </w:pPr>
      <w:r>
        <w:t>Diese Unterbestimmtheit verbindet Abschnitt 3.3.36 unmittelbar mit der Identifizierbarkeitsprüfung aus Abschnitt 3.3.28. Wenn unterschiedliche Parameter- oder Strukturkombinationen dieselben Beobachtungen erzeugen, kann die zugrunde liegende Erklärung nicht eindeutig aus den Daten rekonstruiert werden.</w:t>
      </w:r>
    </w:p>
    <w:p w:rsidR="00B81800" w:rsidRDefault="00B81800" w:rsidP="00B81800">
      <w:pPr>
        <w:pStyle w:val="StandardWeb"/>
      </w:pPr>
      <w:r>
        <w:t>Methodologisch ist daher entscheidend, nicht nur zu fragen:</w:t>
      </w:r>
    </w:p>
    <w:p w:rsidR="00B81800" w:rsidRDefault="00B81800" w:rsidP="00B81800">
      <w:pPr>
        <w:pStyle w:val="StandardWeb"/>
      </w:pPr>
      <w:r>
        <w:rPr>
          <w:rStyle w:val="Fett"/>
        </w:rPr>
        <w:t>„Kann meine FRZK-Struktur das beobachtete Ergebnis erklären?“</w:t>
      </w:r>
    </w:p>
    <w:p w:rsidR="00B81800" w:rsidRDefault="00B81800" w:rsidP="00B81800">
      <w:pPr>
        <w:pStyle w:val="StandardWeb"/>
      </w:pPr>
      <w:r>
        <w:t>sondern auch:</w:t>
      </w:r>
    </w:p>
    <w:p w:rsidR="00B81800" w:rsidRDefault="00B81800" w:rsidP="00B81800">
      <w:pPr>
        <w:pStyle w:val="StandardWeb"/>
      </w:pPr>
      <w:r>
        <w:rPr>
          <w:rStyle w:val="Fett"/>
        </w:rPr>
        <w:t>„Welche anderen Strukturen können dasselbe Ergebnis erklären?“</w:t>
      </w:r>
    </w:p>
    <w:p w:rsidR="00B81800" w:rsidRDefault="00B81800" w:rsidP="00B81800">
      <w:pPr>
        <w:pStyle w:val="StandardWeb"/>
      </w:pPr>
      <w:r>
        <w:t>Erklärungsstärke entsteht nicht allein dadurch, dass ein Modell kompatibel mit einer Beobachtung ist. Sie steigt, wenn konkurrierende Modelle unterschiedliche prüfbare Konsequenzen erzeugen und die Beobachtung tatsächlich zwischen ihnen unterscheiden kann.</w:t>
      </w:r>
    </w:p>
    <w:p w:rsidR="00B81800" w:rsidRDefault="00B81800" w:rsidP="00B81800">
      <w:pPr>
        <w:pStyle w:val="StandardWeb"/>
      </w:pPr>
      <w:r>
        <w:t>Ein vierter methodologischer Aspekt betrifft kontrafaktische Aussagen. Eine Erklärung wird wissenschaftlich gehaltvoller, wenn sie nicht nur die tatsächlich beobachtete Situation reproduziert, sondern auch beschreibt, wie sich das Ergebnis unter einer begründeten Änderung relevanter Bedingungen verändern würde.</w:t>
      </w:r>
    </w:p>
    <w:p w:rsidR="00B81800" w:rsidRDefault="00B81800" w:rsidP="00B81800">
      <w:pPr>
        <w:pStyle w:val="StandardWeb"/>
      </w:pPr>
      <w:r>
        <w:t>Aus</w:t>
      </w:r>
    </w:p>
    <w:p w:rsidR="00B81800" w:rsidRDefault="00B81800" w:rsidP="00B81800">
      <w:pPr>
        <w:pStyle w:val="StandardWeb"/>
      </w:pPr>
      <w:r>
        <w:t>[</w:t>
      </w:r>
      <w:r>
        <w:br/>
        <w:t>E=F(X,H)</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E=F(X,H)</w:t>
      </w:r>
    </w:p>
    <w:p w:rsidR="00B81800" w:rsidRDefault="00B81800" w:rsidP="00B81800">
      <w:pPr>
        <w:pStyle w:val="StandardWeb"/>
      </w:pPr>
      <w:r>
        <w:t>kann beispielsweise für eine veränderte Bedingung (X')</w:t>
      </w:r>
    </w:p>
    <w:p w:rsidR="00B81800" w:rsidRDefault="00B81800" w:rsidP="00B81800">
      <w:pPr>
        <w:pStyle w:val="StandardWeb"/>
      </w:pPr>
      <w:r>
        <w:t>[</w:t>
      </w:r>
      <w:r>
        <w:br/>
        <w:t>E'=F(X',H)</w:t>
      </w:r>
      <w:r>
        <w:br/>
        <w:t>]</w:t>
      </w:r>
    </w:p>
    <w:p w:rsidR="00B81800" w:rsidRDefault="00B81800" w:rsidP="00B81800">
      <w:pPr>
        <w:pStyle w:val="StandardWeb"/>
      </w:pPr>
      <w:r>
        <w:rPr>
          <w:rStyle w:val="Fett"/>
        </w:rPr>
        <w:lastRenderedPageBreak/>
        <w:t>Word-LaTeX</w:t>
      </w:r>
    </w:p>
    <w:p w:rsidR="00B81800" w:rsidRDefault="00B81800" w:rsidP="00B81800">
      <w:pPr>
        <w:pStyle w:val="HTMLVorformatiert"/>
        <w:rPr>
          <w:rStyle w:val="HTMLCode"/>
        </w:rPr>
      </w:pPr>
      <w:r>
        <w:rPr>
          <w:rStyle w:val="HTMLCode"/>
        </w:rPr>
        <w:t>E^{\prime}=F(X^{\prime},H)</w:t>
      </w:r>
    </w:p>
    <w:p w:rsidR="00B81800" w:rsidRDefault="00B81800" w:rsidP="00B81800">
      <w:pPr>
        <w:pStyle w:val="StandardWeb"/>
      </w:pPr>
      <w:r>
        <w:t>abgeleitet werden.</w:t>
      </w:r>
    </w:p>
    <w:p w:rsidR="00B81800" w:rsidRDefault="00B81800" w:rsidP="00B81800">
      <w:pPr>
        <w:pStyle w:val="StandardWeb"/>
      </w:pPr>
      <w:r>
        <w:t>Der kontrafaktische Unterschied</w:t>
      </w:r>
    </w:p>
    <w:p w:rsidR="00B81800" w:rsidRDefault="00B81800" w:rsidP="00B81800">
      <w:pPr>
        <w:pStyle w:val="berschrift1"/>
      </w:pPr>
      <w:r>
        <w:t>[</w:t>
      </w:r>
      <w:r>
        <w:br/>
        <w:t>\Delta E_{\mathrm{cf}}</w:t>
      </w:r>
    </w:p>
    <w:p w:rsidR="00B81800" w:rsidRDefault="00B81800" w:rsidP="00B81800">
      <w:pPr>
        <w:pStyle w:val="StandardWeb"/>
      </w:pPr>
      <w:r>
        <w:t>E'-E</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\Delta E_{\mathrm{cf}}=E^{\prime}-E</w:t>
      </w:r>
    </w:p>
    <w:p w:rsidR="00B81800" w:rsidRDefault="00B81800" w:rsidP="00B81800">
      <w:pPr>
        <w:pStyle w:val="StandardWeb"/>
      </w:pPr>
      <w:r>
        <w:t>liefert zusätzlichen Erklärungsgehalt, weil die Theorie damit nicht nur den bekannten Fall beschreibt, sondern auf eine nicht unmittelbar beobachtete Vergleichssituation festgelegt wird.</w:t>
      </w:r>
    </w:p>
    <w:p w:rsidR="00B81800" w:rsidRDefault="00B81800" w:rsidP="00B81800">
      <w:pPr>
        <w:pStyle w:val="StandardWeb"/>
      </w:pPr>
      <w:r>
        <w:t xml:space="preserve">Auch hierbei ist methodologische Zurückhaltung erforderlich. Ein modellinternes Kontrafaktual ist noch keine empirisch identifizierte Intervention. Es zeigt zunächst nur, welche Konsequenz </w:t>
      </w:r>
      <w:r>
        <w:rPr>
          <w:rStyle w:val="Fett"/>
        </w:rPr>
        <w:t>innerhalb des Modells</w:t>
      </w:r>
      <w:r>
        <w:t xml:space="preserve"> aus der Veränderung folgt.</w:t>
      </w:r>
    </w:p>
    <w:p w:rsidR="00B81800" w:rsidRDefault="00B81800" w:rsidP="00B81800">
      <w:pPr>
        <w:pStyle w:val="StandardWeb"/>
      </w:pPr>
      <w:r>
        <w:t xml:space="preserve">Ein fünfter Schwerpunkt betrifft die </w:t>
      </w:r>
      <w:r>
        <w:rPr>
          <w:rStyle w:val="Fett"/>
        </w:rPr>
        <w:t>Erklärungstiefe</w:t>
      </w:r>
      <w:r>
        <w:t>. Eine Erklärung kann mehrere funktionale Zwischenstufen besitzen:</w:t>
      </w:r>
    </w:p>
    <w:p w:rsidR="00B81800" w:rsidRDefault="00B81800" w:rsidP="00B81800">
      <w:pPr>
        <w:pStyle w:val="StandardWeb"/>
      </w:pPr>
      <w:r>
        <w:t>[</w:t>
      </w:r>
      <w:r>
        <w:br/>
        <w:t>X</w:t>
      </w:r>
      <w:r>
        <w:br/>
        <w:t>\rightarrow</w:t>
      </w:r>
      <w:r>
        <w:br/>
        <w:t>Z_1</w:t>
      </w:r>
      <w:r>
        <w:br/>
        <w:t>\rightarrow</w:t>
      </w:r>
      <w:r>
        <w:br/>
        <w:t>Z_2</w:t>
      </w:r>
      <w:r>
        <w:br/>
        <w:t>\rightarrow</w:t>
      </w:r>
      <w:r>
        <w:br/>
        <w:t>Y.</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X\rightarrow Z_1\rightarrow Z_2\rightarrow Y</w:t>
      </w:r>
    </w:p>
    <w:p w:rsidR="00B81800" w:rsidRDefault="00B81800" w:rsidP="00B81800">
      <w:pPr>
        <w:pStyle w:val="StandardWeb"/>
      </w:pPr>
      <w:r>
        <w:t>Mehr Zwischenstufen erzeugen jedoch nicht automatisch eine bessere Erklärung. Jede zusätzliche Stufe muss entweder einen unabhängigen theoretischen Beitrag leisten oder empirisch prüfbar sein. Andernfalls steigt lediglich die Komplexität.</w:t>
      </w:r>
    </w:p>
    <w:p w:rsidR="00B81800" w:rsidRDefault="00B81800" w:rsidP="00B81800">
      <w:pPr>
        <w:pStyle w:val="StandardWeb"/>
      </w:pPr>
      <w:r>
        <w:t xml:space="preserve">Damit entsteht ein Spannungsverhältnis zwischen Erklärungstiefe und Sparsamkeit. Eine zu einfache Erklärung kann relevante Mechanismen unterschlagen; eine unnötig komplexe </w:t>
      </w:r>
      <w:r>
        <w:lastRenderedPageBreak/>
        <w:t>Erklärung kann dagegen zusätzliche nicht identifizierbare oder nicht prüfbare Strukturen einführen.</w:t>
      </w:r>
    </w:p>
    <w:p w:rsidR="00B81800" w:rsidRDefault="00B81800" w:rsidP="00B81800">
      <w:pPr>
        <w:pStyle w:val="StandardWeb"/>
      </w:pPr>
      <w:r>
        <w:t>Das FRZK behandelt Sparsamkeit deshalb nicht als absolutes Wahrheitskriterium. Zwei empirisch gleichwertige Erklärungen können hinsichtlich ihrer Komplexität verglichen werden, aber eine einfachere Erklärung darf nicht allein wegen ihrer Einfachheit als wahr gelten.</w:t>
      </w:r>
    </w:p>
    <w:p w:rsidR="00B81800" w:rsidRDefault="00B81800" w:rsidP="00B81800">
      <w:pPr>
        <w:pStyle w:val="StandardWeb"/>
      </w:pPr>
      <w:r>
        <w:t xml:space="preserve">Ein sechster methodologischer Schwerpunkt betrifft </w:t>
      </w:r>
      <w:r>
        <w:rPr>
          <w:rStyle w:val="Fett"/>
        </w:rPr>
        <w:t>Robustheit und Unsicherheit</w:t>
      </w:r>
      <w:r>
        <w:t>. Eine Erklärung kann formal eindeutig erscheinen, obwohl geringe Änderungen von Parametern oder Daten völlig andere Mechanismen ergeben. Deshalb muss nicht nur das numerische Ergebnis, sondern auch die Erklärungsstruktur selbst auf Stabilität geprüft werden.</w:t>
      </w:r>
    </w:p>
    <w:p w:rsidR="00B81800" w:rsidRDefault="00B81800" w:rsidP="00B81800">
      <w:pPr>
        <w:pStyle w:val="StandardWeb"/>
      </w:pPr>
      <w:r>
        <w:t>Eine mögliche Robustheitsbedingung lautet:</w:t>
      </w:r>
    </w:p>
    <w:p w:rsidR="00B81800" w:rsidRDefault="00B81800" w:rsidP="00B81800">
      <w:pPr>
        <w:pStyle w:val="StandardWeb"/>
      </w:pPr>
      <w:r>
        <w:t>[</w:t>
      </w:r>
      <w:r>
        <w:br/>
        <w:t>\left|</w:t>
      </w:r>
      <w:r>
        <w:br/>
        <w:t>\Delta E</w:t>
      </w:r>
      <w:r>
        <w:br/>
        <w:t>\right|</w:t>
      </w:r>
      <w:r>
        <w:br/>
        <w:t>\leq</w:t>
      </w:r>
      <w:r>
        <w:br/>
        <w:t>L_{\mathrm{expl}}</w:t>
      </w:r>
      <w:r>
        <w:br/>
        <w:t>\left|</w:t>
      </w:r>
      <w:r>
        <w:br/>
        <w:t>\Delta\mathcal{X}_{F}</w:t>
      </w:r>
      <w:r>
        <w:br/>
        <w:t>\right|.</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\left\|\Delta E\right\|\leq L_{\mathrm{expl}}\left\|\Delta\mathcal{X}_{F}\right\|</w:t>
      </w:r>
    </w:p>
    <w:p w:rsidR="00B81800" w:rsidRDefault="00B81800" w:rsidP="00B81800">
      <w:pPr>
        <w:pStyle w:val="StandardWeb"/>
      </w:pPr>
      <w:r>
        <w:t>Diese Bedingung zeigt, wie stark sich das Explanandum unter kleinen Veränderungen der erklärenden Struktur verändern kann.</w:t>
      </w:r>
    </w:p>
    <w:p w:rsidR="00B81800" w:rsidRDefault="00B81800" w:rsidP="00B81800">
      <w:pPr>
        <w:pStyle w:val="StandardWeb"/>
      </w:pPr>
      <w:r>
        <w:t>Auch hier gilt: Robustheit ist kein Wahrheitsnachweis. Eine stabile falsche Erklärung bleibt falsch. Robustheit bewertet lediglich die Empfindlichkeit des Erklärungszusammenhangs.</w:t>
      </w:r>
    </w:p>
    <w:p w:rsidR="00B81800" w:rsidRDefault="00B81800" w:rsidP="00B81800">
      <w:pPr>
        <w:pStyle w:val="StandardWeb"/>
      </w:pPr>
      <w:r>
        <w:t>Hinzu kommt strukturelle Unsicherheit. Es kann nicht nur unsicher sein, welcher Parameterwert gilt, sondern auch, welche Relation, Transformation oder Modellklasse überhaupt die geeignete Beschreibung darstellt. Eine vollständige FRZK-Erklärung muss daher Unsicherheit auf mehreren Ebenen dokumentieren.</w:t>
      </w:r>
    </w:p>
    <w:p w:rsidR="00B81800" w:rsidRDefault="00B81800" w:rsidP="00B81800">
      <w:pPr>
        <w:pStyle w:val="StandardWeb"/>
      </w:pPr>
      <w:r>
        <w:t>Ein siebter methodologischer Aspekt betrifft die Verbindung von Erklärung und Reproduzierbarkeit. Eine Erklärung muss technisch wiederholbar sein. Dazu gehören Modellversion, Datenstand, Operationalisierung, Parameter, Transformationsfolge und Hilfsannahmen. Nur dann kann überprüft werden, ob dieselbe Erklärung unter denselben Bedingungen erneut entsteht.</w:t>
      </w:r>
    </w:p>
    <w:p w:rsidR="00B81800" w:rsidRDefault="00B81800" w:rsidP="00B81800">
      <w:pPr>
        <w:pStyle w:val="StandardWeb"/>
      </w:pPr>
      <w:r>
        <w:t>Diese Reproduzierbarkeit ist notwendig, aber nicht hinreichend. Eine vollständig reproduzierbare Erklärung kann immer noch empirisch falsch oder kausal fehlinterpretiert sein.</w:t>
      </w:r>
    </w:p>
    <w:p w:rsidR="00B81800" w:rsidRDefault="00B81800" w:rsidP="00B81800">
      <w:pPr>
        <w:pStyle w:val="StandardWeb"/>
      </w:pPr>
      <w:r>
        <w:lastRenderedPageBreak/>
        <w:t xml:space="preserve">Schließlich muss jede wissenschaftliche Erklärung </w:t>
      </w:r>
      <w:r>
        <w:rPr>
          <w:rStyle w:val="Fett"/>
        </w:rPr>
        <w:t>falsifizierbar</w:t>
      </w:r>
      <w:r>
        <w:t xml:space="preserve"> bleiben. Eine Erklärung, die jede mögliche Beobachtung nachträglich durch zusätzliche Hilfsannahmen aufnehmen kann, verliert empirischen Gehalt. Deshalb muss für jede FRZK-Erklärung zumindest prinzipiell bestimmbar sein, welche Beobachtungen gegen sie sprechen würden.</w:t>
      </w:r>
    </w:p>
    <w:p w:rsidR="00B81800" w:rsidRDefault="00B81800" w:rsidP="00B81800">
      <w:pPr>
        <w:pStyle w:val="StandardWeb"/>
      </w:pPr>
      <w:r>
        <w:t>Methodologisch ergibt sich damit für Abschnitt 3.3.36 eine klare Struktur:</w:t>
      </w:r>
    </w:p>
    <w:p w:rsidR="00B81800" w:rsidRDefault="00B81800" w:rsidP="00B81800">
      <w:pPr>
        <w:pStyle w:val="StandardWeb"/>
      </w:pPr>
      <w:r>
        <w:rPr>
          <w:rStyle w:val="Fett"/>
        </w:rPr>
        <w:t>Beschreibung</w:t>
      </w:r>
      <w:r>
        <w:t xml:space="preserve"> sagt, was beobachtet wurde.</w:t>
      </w:r>
    </w:p>
    <w:p w:rsidR="00B81800" w:rsidRDefault="00B81800" w:rsidP="00B81800">
      <w:pPr>
        <w:pStyle w:val="StandardWeb"/>
      </w:pPr>
      <w:r>
        <w:rPr>
          <w:rStyle w:val="Fett"/>
        </w:rPr>
        <w:t>Prognose</w:t>
      </w:r>
      <w:r>
        <w:t xml:space="preserve"> sagt, was unter einem früheren Informationsstand erwartet wird.</w:t>
      </w:r>
    </w:p>
    <w:p w:rsidR="00B81800" w:rsidRDefault="00B81800" w:rsidP="00B81800">
      <w:pPr>
        <w:pStyle w:val="StandardWeb"/>
      </w:pPr>
      <w:r>
        <w:rPr>
          <w:rStyle w:val="Fett"/>
        </w:rPr>
        <w:t>Erklärung</w:t>
      </w:r>
      <w:r>
        <w:t xml:space="preserve"> beschreibt, durch welche funktionale Struktur das beobachtete Ergebnis zustande kommt.</w:t>
      </w:r>
    </w:p>
    <w:p w:rsidR="00B81800" w:rsidRDefault="00B81800" w:rsidP="00B81800">
      <w:pPr>
        <w:pStyle w:val="StandardWeb"/>
      </w:pPr>
      <w:r>
        <w:rPr>
          <w:rStyle w:val="Fett"/>
        </w:rPr>
        <w:t>Kausalität</w:t>
      </w:r>
      <w:r>
        <w:t xml:space="preserve"> stellt darüber hinaus die stärkere Behauptung auf, dass eine Veränderung bestimmter Bedingungen die Wirkung hervorbringt.</w:t>
      </w:r>
    </w:p>
    <w:p w:rsidR="00B81800" w:rsidRDefault="00B81800" w:rsidP="00B81800">
      <w:pPr>
        <w:pStyle w:val="StandardWeb"/>
      </w:pPr>
      <w:r>
        <w:t>Diese Ebenen dürfen nicht miteinander verschmolzen werden.</w:t>
      </w:r>
    </w:p>
    <w:p w:rsidR="00B81800" w:rsidRDefault="00B81800" w:rsidP="00B81800">
      <w:pPr>
        <w:pStyle w:val="StandardWeb"/>
      </w:pPr>
      <w:r>
        <w:t xml:space="preserve">Die eigentliche Eigenleistung des FRZK besteht an dieser Stelle deshalb nicht darin, einen völlig neuen allgemeinen Erklärungsbegriff zu behaupten. Sie besteht darin, die zuvor entwickelten Zustands-, Relations-, Transformations-, Unsicherheits-, Reproduzierbarkeits- und Falsifizierbarkeitsstrukturen zu einem </w:t>
      </w:r>
      <w:r>
        <w:rPr>
          <w:rStyle w:val="Fett"/>
        </w:rPr>
        <w:t>explizit dokumentierbaren Erklärungssystem</w:t>
      </w:r>
      <w:r>
        <w:t xml:space="preserve"> zusammenzuführen.</w:t>
      </w:r>
    </w:p>
    <w:p w:rsidR="00B81800" w:rsidRDefault="00B81800" w:rsidP="00B81800">
      <w:pPr>
        <w:pStyle w:val="StandardWeb"/>
      </w:pPr>
      <w:r>
        <w:t>Damit wird eine FRZK-Erklärung nicht nur als Text formuliert, sondern als wissenschaftliche Abhängigkeitsstruktur rekonstruierbar.</w:t>
      </w:r>
    </w:p>
    <w:p w:rsidR="00B81800" w:rsidRDefault="00B81800" w:rsidP="00B81800">
      <w:pPr>
        <w:pStyle w:val="berschrift1"/>
      </w:pPr>
      <w:r>
        <w:t>Didaktische Betrachtungen zu 3.3.36 – Prüfung der Erklärungsfähigkeit</w:t>
      </w:r>
    </w:p>
    <w:p w:rsidR="00B81800" w:rsidRDefault="00B81800" w:rsidP="00B81800">
      <w:pPr>
        <w:pStyle w:val="StandardWeb"/>
      </w:pPr>
      <w:r>
        <w:t>Erklärung ist im alltäglichen Sprachgebrauch ein scheinbar einfacher Begriff. Wenn jemand fragt: „Warum ist das passiert?“, wird eine Antwort erwartet, die einen Zusammenhang verständlich macht. In einer wissenschaftlichen Theorie ist diese Frage jedoch erheblich anspruchsvoller, weil mehrere sehr unterschiedliche Arten von Antworten möglich sind.</w:t>
      </w:r>
    </w:p>
    <w:p w:rsidR="00B81800" w:rsidRDefault="00B81800" w:rsidP="00B81800">
      <w:pPr>
        <w:pStyle w:val="StandardWeb"/>
      </w:pPr>
      <w:r>
        <w:t>Ein einfaches Beispiel ist eine Lampe.</w:t>
      </w:r>
    </w:p>
    <w:p w:rsidR="00B81800" w:rsidRDefault="00B81800" w:rsidP="00B81800">
      <w:pPr>
        <w:pStyle w:val="StandardWeb"/>
      </w:pPr>
      <w:r>
        <w:t>Die Aussage</w:t>
      </w:r>
    </w:p>
    <w:p w:rsidR="00B81800" w:rsidRDefault="00B81800" w:rsidP="00B81800">
      <w:pPr>
        <w:pStyle w:val="StandardWeb"/>
      </w:pPr>
      <w:r>
        <w:rPr>
          <w:rStyle w:val="Fett"/>
        </w:rPr>
        <w:t>„Die Lampe ist aus.“</w:t>
      </w:r>
    </w:p>
    <w:p w:rsidR="00B81800" w:rsidRDefault="00B81800" w:rsidP="00B81800">
      <w:pPr>
        <w:pStyle w:val="StandardWeb"/>
      </w:pPr>
      <w:r>
        <w:t>ist eine Beschreibung.</w:t>
      </w:r>
    </w:p>
    <w:p w:rsidR="00B81800" w:rsidRDefault="00B81800" w:rsidP="00B81800">
      <w:pPr>
        <w:pStyle w:val="StandardWeb"/>
      </w:pPr>
      <w:r>
        <w:t>Die Aussage</w:t>
      </w:r>
    </w:p>
    <w:p w:rsidR="00B81800" w:rsidRDefault="00B81800" w:rsidP="00B81800">
      <w:pPr>
        <w:pStyle w:val="StandardWeb"/>
      </w:pPr>
      <w:r>
        <w:rPr>
          <w:rStyle w:val="Fett"/>
        </w:rPr>
        <w:t>„Die Lampe wird in fünf Minuten aus sein.“</w:t>
      </w:r>
    </w:p>
    <w:p w:rsidR="00B81800" w:rsidRDefault="00B81800" w:rsidP="00B81800">
      <w:pPr>
        <w:pStyle w:val="StandardWeb"/>
      </w:pPr>
      <w:r>
        <w:t>ist eine Prognose.</w:t>
      </w:r>
    </w:p>
    <w:p w:rsidR="00B81800" w:rsidRDefault="00B81800" w:rsidP="00B81800">
      <w:pPr>
        <w:pStyle w:val="StandardWeb"/>
      </w:pPr>
      <w:r>
        <w:lastRenderedPageBreak/>
        <w:t>Die Aussage</w:t>
      </w:r>
    </w:p>
    <w:p w:rsidR="00B81800" w:rsidRDefault="00B81800" w:rsidP="00B81800">
      <w:pPr>
        <w:pStyle w:val="StandardWeb"/>
      </w:pPr>
      <w:r>
        <w:rPr>
          <w:rStyle w:val="Fett"/>
        </w:rPr>
        <w:t>„Die Lampe ist aus, weil der Schalter den Stromkreis unterbrochen hat.“</w:t>
      </w:r>
    </w:p>
    <w:p w:rsidR="00B81800" w:rsidRDefault="00B81800" w:rsidP="00B81800">
      <w:pPr>
        <w:pStyle w:val="StandardWeb"/>
      </w:pPr>
      <w:r>
        <w:t>ist eine Erklärung.</w:t>
      </w:r>
    </w:p>
    <w:p w:rsidR="00B81800" w:rsidRDefault="00B81800" w:rsidP="00B81800">
      <w:pPr>
        <w:pStyle w:val="StandardWeb"/>
      </w:pPr>
      <w:r>
        <w:t>Diese drei Aussagen beziehen sich möglicherweise auf dasselbe beobachtete Ereignis, erfüllen aber völlig unterschiedliche wissenschaftliche Aufgaben.</w:t>
      </w:r>
    </w:p>
    <w:p w:rsidR="00B81800" w:rsidRDefault="00B81800" w:rsidP="00B81800">
      <w:pPr>
        <w:pStyle w:val="StandardWeb"/>
      </w:pPr>
      <w:r>
        <w:t>Für das Verständnis des FRZK ist diese Trennung besonders wichtig, weil die mathematische Struktur sehr leicht zu einer Überinterpretation verleiten kann. Wenn eine Transformation</w:t>
      </w:r>
    </w:p>
    <w:p w:rsidR="00B81800" w:rsidRDefault="00B81800" w:rsidP="00B81800">
      <w:pPr>
        <w:pStyle w:val="StandardWeb"/>
      </w:pPr>
      <w:r>
        <w:t>[</w:t>
      </w:r>
      <w:r>
        <w:br/>
        <w:t>T(\delta_1)=\delta_2</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T(\delta_1)=\delta_2</w:t>
      </w:r>
    </w:p>
    <w:p w:rsidR="00B81800" w:rsidRDefault="00B81800" w:rsidP="00B81800">
      <w:pPr>
        <w:pStyle w:val="StandardWeb"/>
      </w:pPr>
      <w:r>
        <w:t>vorliegt, ist zunächst nur definiert, dass der Zustand (\delta_1) auf (\delta_2) abgebildet wird.</w:t>
      </w:r>
    </w:p>
    <w:p w:rsidR="00B81800" w:rsidRDefault="00B81800" w:rsidP="00B81800">
      <w:pPr>
        <w:pStyle w:val="StandardWeb"/>
      </w:pPr>
      <w:r>
        <w:t>Die Formel beantwortet noch nicht automatisch die Frage:</w:t>
      </w:r>
    </w:p>
    <w:p w:rsidR="00B81800" w:rsidRDefault="00B81800" w:rsidP="00B81800">
      <w:pPr>
        <w:pStyle w:val="StandardWeb"/>
      </w:pPr>
      <w:r>
        <w:rPr>
          <w:rStyle w:val="Fett"/>
        </w:rPr>
        <w:t>„Warum wurde aus (\delta_1) gerade (\delta_2)?“</w:t>
      </w:r>
    </w:p>
    <w:p w:rsidR="00B81800" w:rsidRDefault="00B81800" w:rsidP="00B81800">
      <w:pPr>
        <w:pStyle w:val="StandardWeb"/>
      </w:pPr>
      <w:r>
        <w:t>Dafür muss erklärt werden, welche Eigenschaften der Transformation relevant sind, welche Randbedingungen gelten und warum alternative Übergänge nicht beziehungsweise weniger gut in Betracht kommen.</w:t>
      </w:r>
    </w:p>
    <w:p w:rsidR="00B81800" w:rsidRDefault="00B81800" w:rsidP="00B81800">
      <w:pPr>
        <w:pStyle w:val="StandardWeb"/>
      </w:pPr>
      <w:r>
        <w:t>Didaktisch lässt sich ein funktionaler Mechanismus gut als Weg vorstellen:</w:t>
      </w:r>
    </w:p>
    <w:p w:rsidR="00B81800" w:rsidRDefault="00B81800" w:rsidP="00B81800">
      <w:pPr>
        <w:pStyle w:val="StandardWeb"/>
      </w:pPr>
      <w:r>
        <w:t>[</w:t>
      </w:r>
      <w:r>
        <w:br/>
        <w:t>A</w:t>
      </w:r>
      <w:r>
        <w:br/>
        <w:t>\rightarrow</w:t>
      </w:r>
      <w:r>
        <w:br/>
        <w:t>B</w:t>
      </w:r>
      <w:r>
        <w:br/>
        <w:t>\rightarrow</w:t>
      </w:r>
      <w:r>
        <w:br/>
        <w:t>C</w:t>
      </w:r>
      <w:r>
        <w:br/>
        <w:t>\rightarrow</w:t>
      </w:r>
      <w:r>
        <w:br/>
        <w:t>D.</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A\rightarrow B\rightarrow C\rightarrow D</w:t>
      </w:r>
    </w:p>
    <w:p w:rsidR="00B81800" w:rsidRDefault="00B81800" w:rsidP="00B81800">
      <w:pPr>
        <w:pStyle w:val="StandardWeb"/>
      </w:pPr>
      <w:r>
        <w:t>Wenn nur der Ausgangspunkt (A) und der Endpunkt (D) bekannt sind, wissen wir noch nicht, welcher Weg tatsächlich gegangen wurde.</w:t>
      </w:r>
    </w:p>
    <w:p w:rsidR="00B81800" w:rsidRDefault="00B81800" w:rsidP="00B81800">
      <w:pPr>
        <w:pStyle w:val="StandardWeb"/>
      </w:pPr>
      <w:r>
        <w:t>Es könnte ebenso gelten:</w:t>
      </w:r>
    </w:p>
    <w:p w:rsidR="00B81800" w:rsidRDefault="00B81800" w:rsidP="00B81800">
      <w:pPr>
        <w:pStyle w:val="StandardWeb"/>
      </w:pPr>
      <w:r>
        <w:lastRenderedPageBreak/>
        <w:t>[</w:t>
      </w:r>
      <w:r>
        <w:br/>
        <w:t>A</w:t>
      </w:r>
      <w:r>
        <w:br/>
        <w:t>\rightarrow</w:t>
      </w:r>
      <w:r>
        <w:br/>
        <w:t>E</w:t>
      </w:r>
      <w:r>
        <w:br/>
        <w:t>\rightarrow</w:t>
      </w:r>
      <w:r>
        <w:br/>
        <w:t>D.</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A\rightarrow E\rightarrow D</w:t>
      </w:r>
    </w:p>
    <w:p w:rsidR="00B81800" w:rsidRDefault="00B81800" w:rsidP="00B81800">
      <w:pPr>
        <w:pStyle w:val="StandardWeb"/>
      </w:pPr>
      <w:r>
        <w:t>Beide Wege führen zum selben Endpunkt.</w:t>
      </w:r>
    </w:p>
    <w:p w:rsidR="00B81800" w:rsidRDefault="00B81800" w:rsidP="00B81800">
      <w:pPr>
        <w:pStyle w:val="StandardWeb"/>
      </w:pPr>
      <w:r>
        <w:t xml:space="preserve">Genau hier entsteht die didaktisch wichtige Frage der </w:t>
      </w:r>
      <w:r>
        <w:rPr>
          <w:rStyle w:val="Fett"/>
        </w:rPr>
        <w:t>Unterbestimmtheit</w:t>
      </w:r>
      <w:r>
        <w:t>.</w:t>
      </w:r>
    </w:p>
    <w:p w:rsidR="00B81800" w:rsidRDefault="00B81800" w:rsidP="00B81800">
      <w:pPr>
        <w:pStyle w:val="StandardWeb"/>
      </w:pPr>
      <w:r>
        <w:t>Der Endzustand allein beweist nicht den Weg.</w:t>
      </w:r>
    </w:p>
    <w:p w:rsidR="00B81800" w:rsidRDefault="00B81800" w:rsidP="00B81800">
      <w:pPr>
        <w:pStyle w:val="StandardWeb"/>
      </w:pPr>
      <w:r>
        <w:t>Diese Einsicht ist für viele spätere FRZK-Auswertungen zentral. Wenn ein bestimmter Gruppen-, Kohärenz- oder Zustandswert beobachtet wird, darf nicht allein aus diesem Endwert geschlossen werden, welche funktionale Entwicklung ihn verursacht hat.</w:t>
      </w:r>
    </w:p>
    <w:p w:rsidR="00B81800" w:rsidRDefault="00B81800" w:rsidP="00B81800">
      <w:pPr>
        <w:pStyle w:val="StandardWeb"/>
      </w:pPr>
      <w:r>
        <w:t>Ein weiteres einfaches Beispiel verdeutlicht den Unterschied zwischen Korrelation und Erklärung.</w:t>
      </w:r>
    </w:p>
    <w:p w:rsidR="00B81800" w:rsidRDefault="00B81800" w:rsidP="00B81800">
      <w:pPr>
        <w:pStyle w:val="StandardWeb"/>
      </w:pPr>
      <w:r>
        <w:t>An heißen Tagen steigt möglicherweise sowohl</w:t>
      </w:r>
    </w:p>
    <w:p w:rsidR="00B81800" w:rsidRDefault="00B81800" w:rsidP="008C5E65">
      <w:pPr>
        <w:pStyle w:val="StandardWeb"/>
        <w:numPr>
          <w:ilvl w:val="0"/>
          <w:numId w:val="272"/>
        </w:numPr>
      </w:pPr>
      <w:r>
        <w:t>der Eisverkauf</w:t>
      </w:r>
    </w:p>
    <w:p w:rsidR="00B81800" w:rsidRDefault="00B81800" w:rsidP="008C5E65">
      <w:pPr>
        <w:pStyle w:val="StandardWeb"/>
        <w:numPr>
          <w:ilvl w:val="0"/>
          <w:numId w:val="272"/>
        </w:numPr>
      </w:pPr>
      <w:r>
        <w:t>als auch die Zahl der Badegäste.</w:t>
      </w:r>
    </w:p>
    <w:p w:rsidR="00B81800" w:rsidRDefault="00B81800" w:rsidP="00B81800">
      <w:pPr>
        <w:pStyle w:val="StandardWeb"/>
      </w:pPr>
      <w:r>
        <w:t>Eine statistische Analyse kann eine starke Beziehung zwischen beiden Größen zeigen.</w:t>
      </w:r>
    </w:p>
    <w:p w:rsidR="00B81800" w:rsidRDefault="00B81800" w:rsidP="00B81800">
      <w:pPr>
        <w:pStyle w:val="StandardWeb"/>
      </w:pPr>
      <w:r>
        <w:t>Daraus folgt jedoch nicht:</w:t>
      </w:r>
    </w:p>
    <w:p w:rsidR="00B81800" w:rsidRDefault="00B81800" w:rsidP="00B81800">
      <w:pPr>
        <w:pStyle w:val="StandardWeb"/>
      </w:pPr>
      <w:r>
        <w:rPr>
          <w:rStyle w:val="Fett"/>
        </w:rPr>
        <w:t>„Mehr Eisverkauf verursacht mehr Badegäste.“</w:t>
      </w:r>
    </w:p>
    <w:p w:rsidR="00B81800" w:rsidRDefault="00B81800" w:rsidP="00B81800">
      <w:pPr>
        <w:pStyle w:val="StandardWeb"/>
      </w:pPr>
      <w:r>
        <w:t>Die Temperatur kann beide Größen beeinflussen.</w:t>
      </w:r>
    </w:p>
    <w:p w:rsidR="00B81800" w:rsidRDefault="00B81800" w:rsidP="00B81800">
      <w:pPr>
        <w:pStyle w:val="StandardWeb"/>
      </w:pPr>
      <w:r>
        <w:t>Didaktisch sollte deshalb bei jeder beobachteten Beziehung die Frage gestellt werden:</w:t>
      </w:r>
    </w:p>
    <w:p w:rsidR="00B81800" w:rsidRDefault="00B81800" w:rsidP="00B81800">
      <w:pPr>
        <w:pStyle w:val="StandardWeb"/>
      </w:pPr>
      <w:r>
        <w:rPr>
          <w:rStyle w:val="Fett"/>
        </w:rPr>
        <w:t>„Gibt es eine dritte Größe, die beide erklären könnte?“</w:t>
      </w:r>
    </w:p>
    <w:p w:rsidR="00B81800" w:rsidRDefault="00B81800" w:rsidP="00B81800">
      <w:pPr>
        <w:pStyle w:val="StandardWeb"/>
      </w:pPr>
      <w:r>
        <w:t>Diese einfache Frage ist eine gute Vorbereitung auf die spätere kausale Analyse.</w:t>
      </w:r>
    </w:p>
    <w:p w:rsidR="00B81800" w:rsidRDefault="00B81800" w:rsidP="00B81800">
      <w:pPr>
        <w:pStyle w:val="StandardWeb"/>
      </w:pPr>
      <w:r>
        <w:t>Auch die Rolle von Hilfsannahmen lässt sich anschaulich darstellen.</w:t>
      </w:r>
    </w:p>
    <w:p w:rsidR="00B81800" w:rsidRDefault="00B81800" w:rsidP="00B81800">
      <w:pPr>
        <w:pStyle w:val="StandardWeb"/>
      </w:pPr>
      <w:r>
        <w:t>Angenommen, ein Auto startet nicht. Die Erklärung lautet:</w:t>
      </w:r>
    </w:p>
    <w:p w:rsidR="00B81800" w:rsidRDefault="00B81800" w:rsidP="00B81800">
      <w:pPr>
        <w:pStyle w:val="StandardWeb"/>
      </w:pPr>
      <w:r>
        <w:rPr>
          <w:rStyle w:val="Fett"/>
        </w:rPr>
        <w:t>„Die Batterie ist leer.“</w:t>
      </w:r>
    </w:p>
    <w:p w:rsidR="00B81800" w:rsidRDefault="00B81800" w:rsidP="00B81800">
      <w:pPr>
        <w:pStyle w:val="StandardWeb"/>
      </w:pPr>
      <w:r>
        <w:t>Diese Erklärung setzt stillschweigend mehrere Bedingungen voraus:</w:t>
      </w:r>
    </w:p>
    <w:p w:rsidR="00B81800" w:rsidRDefault="00B81800" w:rsidP="008C5E65">
      <w:pPr>
        <w:pStyle w:val="StandardWeb"/>
        <w:numPr>
          <w:ilvl w:val="0"/>
          <w:numId w:val="273"/>
        </w:numPr>
      </w:pPr>
      <w:r>
        <w:lastRenderedPageBreak/>
        <w:t>der Anlasser funktioniert grundsätzlich,</w:t>
      </w:r>
    </w:p>
    <w:p w:rsidR="00B81800" w:rsidRDefault="00B81800" w:rsidP="008C5E65">
      <w:pPr>
        <w:pStyle w:val="StandardWeb"/>
        <w:numPr>
          <w:ilvl w:val="0"/>
          <w:numId w:val="273"/>
        </w:numPr>
      </w:pPr>
      <w:r>
        <w:t>Kraftstoff ist vorhanden,</w:t>
      </w:r>
    </w:p>
    <w:p w:rsidR="00B81800" w:rsidRDefault="00B81800" w:rsidP="008C5E65">
      <w:pPr>
        <w:pStyle w:val="StandardWeb"/>
        <w:numPr>
          <w:ilvl w:val="0"/>
          <w:numId w:val="273"/>
        </w:numPr>
      </w:pPr>
      <w:r>
        <w:t>die Verkabelung ist intakt,</w:t>
      </w:r>
    </w:p>
    <w:p w:rsidR="00B81800" w:rsidRDefault="00B81800" w:rsidP="008C5E65">
      <w:pPr>
        <w:pStyle w:val="StandardWeb"/>
        <w:numPr>
          <w:ilvl w:val="0"/>
          <w:numId w:val="273"/>
        </w:numPr>
      </w:pPr>
      <w:r>
        <w:t>der Motor ist nicht mechanisch blockiert.</w:t>
      </w:r>
    </w:p>
    <w:p w:rsidR="00B81800" w:rsidRDefault="00B81800" w:rsidP="00B81800">
      <w:pPr>
        <w:pStyle w:val="StandardWeb"/>
      </w:pPr>
      <w:r>
        <w:t>Wird eine dieser Bedingungen verletzt, kann dieselbe Beobachtung – „das Auto startet nicht“ – eine andere Ursache besitzen.</w:t>
      </w:r>
    </w:p>
    <w:p w:rsidR="00B81800" w:rsidRDefault="00B81800" w:rsidP="00B81800">
      <w:pPr>
        <w:pStyle w:val="StandardWeb"/>
      </w:pPr>
      <w:r>
        <w:t>Genauso verhält es sich mit wissenschaftlichen Erklärungen. Sie wirken häufig einfacher, als sie tatsächlich sind, weil viele Randbedingungen unausgesprochen bleiben.</w:t>
      </w:r>
    </w:p>
    <w:p w:rsidR="00B81800" w:rsidRDefault="00B81800" w:rsidP="00B81800">
      <w:pPr>
        <w:pStyle w:val="StandardWeb"/>
      </w:pPr>
      <w:r>
        <w:t>Das FRZK zwingt deshalb dazu, diese Bedingungen sichtbar zu machen.</w:t>
      </w:r>
    </w:p>
    <w:p w:rsidR="00B81800" w:rsidRDefault="00B81800" w:rsidP="00B81800">
      <w:pPr>
        <w:pStyle w:val="StandardWeb"/>
      </w:pPr>
      <w:r>
        <w:t>Kontrafaktische Erklärungen lassen sich ebenfalls leicht verstehen. Wenn die Batterie tatsächlich die entscheidende Ursache ist, stellt sich die Frage:</w:t>
      </w:r>
    </w:p>
    <w:p w:rsidR="00B81800" w:rsidRDefault="00B81800" w:rsidP="00B81800">
      <w:pPr>
        <w:pStyle w:val="StandardWeb"/>
      </w:pPr>
      <w:r>
        <w:rPr>
          <w:rStyle w:val="Fett"/>
        </w:rPr>
        <w:t>„Was wäre passiert, wenn eine geladene Batterie eingesetzt worden wäre?“</w:t>
      </w:r>
    </w:p>
    <w:p w:rsidR="00B81800" w:rsidRDefault="00B81800" w:rsidP="00B81800">
      <w:pPr>
        <w:pStyle w:val="StandardWeb"/>
      </w:pPr>
      <w:r>
        <w:t>Das ist keine Beobachtung des ursprünglichen Falls, sondern eine Aussage über eine alternative Situation.</w:t>
      </w:r>
    </w:p>
    <w:p w:rsidR="00B81800" w:rsidRDefault="00B81800" w:rsidP="00B81800">
      <w:pPr>
        <w:pStyle w:val="StandardWeb"/>
      </w:pPr>
      <w:r>
        <w:t>Formal:</w:t>
      </w:r>
    </w:p>
    <w:p w:rsidR="00B81800" w:rsidRDefault="00B81800" w:rsidP="00B81800">
      <w:pPr>
        <w:pStyle w:val="StandardWeb"/>
      </w:pPr>
      <w:r>
        <w:t>[</w:t>
      </w:r>
      <w:r>
        <w:br/>
        <w:t>X</w:t>
      </w:r>
      <w:r>
        <w:br/>
        <w:t>\rightarrow</w:t>
      </w:r>
      <w:r>
        <w:br/>
        <w:t>X'</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X\rightarrow X^{\prime}</w:t>
      </w:r>
    </w:p>
    <w:p w:rsidR="00B81800" w:rsidRDefault="00B81800" w:rsidP="00B81800">
      <w:pPr>
        <w:pStyle w:val="StandardWeb"/>
      </w:pPr>
      <w:r>
        <w:t>führt im Modell zu</w:t>
      </w:r>
    </w:p>
    <w:p w:rsidR="00B81800" w:rsidRDefault="00B81800" w:rsidP="00B81800">
      <w:pPr>
        <w:pStyle w:val="StandardWeb"/>
      </w:pPr>
      <w:r>
        <w:t>[</w:t>
      </w:r>
      <w:r>
        <w:br/>
        <w:t>E</w:t>
      </w:r>
      <w:r>
        <w:br/>
        <w:t>\rightarrow</w:t>
      </w:r>
      <w:r>
        <w:br/>
        <w:t>E'.</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E\rightarrow E^{\prime}</w:t>
      </w:r>
    </w:p>
    <w:p w:rsidR="00B81800" w:rsidRDefault="00B81800" w:rsidP="00B81800">
      <w:pPr>
        <w:pStyle w:val="StandardWeb"/>
      </w:pPr>
      <w:r>
        <w:t>Solche Fragen machen eine Erklärung deutlich informativer, weil sie über das bereits bekannte Ereignis hinausgeht.</w:t>
      </w:r>
    </w:p>
    <w:p w:rsidR="00B81800" w:rsidRDefault="00B81800" w:rsidP="00B81800">
      <w:pPr>
        <w:pStyle w:val="StandardWeb"/>
      </w:pPr>
      <w:r>
        <w:t xml:space="preserve">Didaktisch wichtig ist auch die Unterscheidung zwischen </w:t>
      </w:r>
      <w:r>
        <w:rPr>
          <w:rStyle w:val="Fett"/>
        </w:rPr>
        <w:t>Erklärungstiefe</w:t>
      </w:r>
      <w:r>
        <w:t xml:space="preserve"> und </w:t>
      </w:r>
      <w:r>
        <w:rPr>
          <w:rStyle w:val="Fett"/>
        </w:rPr>
        <w:t>Erklärungskomplexität</w:t>
      </w:r>
      <w:r>
        <w:t>.</w:t>
      </w:r>
    </w:p>
    <w:p w:rsidR="00B81800" w:rsidRDefault="00B81800" w:rsidP="00B81800">
      <w:pPr>
        <w:pStyle w:val="StandardWeb"/>
      </w:pPr>
      <w:r>
        <w:lastRenderedPageBreak/>
        <w:t>Nehmen wir die Aussage:</w:t>
      </w:r>
    </w:p>
    <w:p w:rsidR="00B81800" w:rsidRDefault="00B81800" w:rsidP="00B81800">
      <w:pPr>
        <w:pStyle w:val="StandardWeb"/>
      </w:pPr>
      <w:r>
        <w:rPr>
          <w:rStyle w:val="Fett"/>
        </w:rPr>
        <w:t>„Die Lampe leuchtet, weil Strom fließt.“</w:t>
      </w:r>
    </w:p>
    <w:p w:rsidR="00B81800" w:rsidRDefault="00B81800" w:rsidP="00B81800">
      <w:pPr>
        <w:pStyle w:val="StandardWeb"/>
      </w:pPr>
      <w:r>
        <w:t>Für viele Zwecke ist diese Erklärung ausreichend.</w:t>
      </w:r>
    </w:p>
    <w:p w:rsidR="00B81800" w:rsidRDefault="00B81800" w:rsidP="00B81800">
      <w:pPr>
        <w:pStyle w:val="StandardWeb"/>
      </w:pPr>
      <w:r>
        <w:t>Man könnte jedoch weitergehen:</w:t>
      </w:r>
    </w:p>
    <w:p w:rsidR="00B81800" w:rsidRDefault="00B81800" w:rsidP="00B81800">
      <w:pPr>
        <w:pStyle w:val="StandardWeb"/>
      </w:pPr>
      <w:r>
        <w:t>Strom fließt, weil eine Potentialdifferenz besteht; diese entsteht durch elektrochemische Prozesse in einer Spannungsquelle; diese beruhen wiederum auf molekularen und quantenmechanischen Strukturen.</w:t>
      </w:r>
    </w:p>
    <w:p w:rsidR="00B81800" w:rsidRDefault="00B81800" w:rsidP="00B81800">
      <w:pPr>
        <w:pStyle w:val="StandardWeb"/>
      </w:pPr>
      <w:r>
        <w:t>Jede zusätzliche Ebene kann wissenschaftlich sinnvoll sein.</w:t>
      </w:r>
    </w:p>
    <w:p w:rsidR="00B81800" w:rsidRDefault="00B81800" w:rsidP="00B81800">
      <w:pPr>
        <w:pStyle w:val="StandardWeb"/>
      </w:pPr>
      <w:r>
        <w:t>Aber nicht jede Fragestellung benötigt die tiefstmögliche Erklärung.</w:t>
      </w:r>
    </w:p>
    <w:p w:rsidR="00B81800" w:rsidRDefault="00B81800" w:rsidP="00B81800">
      <w:pPr>
        <w:pStyle w:val="StandardWeb"/>
      </w:pPr>
      <w:r>
        <w:t>Das verdeutlicht eine wichtige didaktische Regel:</w:t>
      </w:r>
    </w:p>
    <w:p w:rsidR="00B81800" w:rsidRDefault="00B81800" w:rsidP="00B81800">
      <w:pPr>
        <w:pStyle w:val="StandardWeb"/>
      </w:pPr>
      <w:r>
        <w:rPr>
          <w:rStyle w:val="Fett"/>
        </w:rPr>
        <w:t>Eine Erklärung muss tief genug sein, um die gestellte Frage zu beantworten, aber nicht zwangsläufig jede darunterliegende Ebene vollständig rekonstruieren.</w:t>
      </w:r>
    </w:p>
    <w:p w:rsidR="00B81800" w:rsidRDefault="00B81800" w:rsidP="00B81800">
      <w:pPr>
        <w:pStyle w:val="StandardWeb"/>
      </w:pPr>
      <w:r>
        <w:t>Für das FRZK bedeutet dies, dass eine Erklärung auf unterschiedlichen Ebenen erfolgen kann:</w:t>
      </w:r>
    </w:p>
    <w:p w:rsidR="00B81800" w:rsidRDefault="00B81800" w:rsidP="008C5E65">
      <w:pPr>
        <w:pStyle w:val="StandardWeb"/>
        <w:numPr>
          <w:ilvl w:val="0"/>
          <w:numId w:val="274"/>
        </w:numPr>
      </w:pPr>
      <w:r>
        <w:t>strukturell,</w:t>
      </w:r>
    </w:p>
    <w:p w:rsidR="00B81800" w:rsidRDefault="00B81800" w:rsidP="008C5E65">
      <w:pPr>
        <w:pStyle w:val="StandardWeb"/>
        <w:numPr>
          <w:ilvl w:val="0"/>
          <w:numId w:val="274"/>
        </w:numPr>
      </w:pPr>
      <w:r>
        <w:t>transformatorisch,</w:t>
      </w:r>
    </w:p>
    <w:p w:rsidR="00B81800" w:rsidRDefault="00B81800" w:rsidP="008C5E65">
      <w:pPr>
        <w:pStyle w:val="StandardWeb"/>
        <w:numPr>
          <w:ilvl w:val="0"/>
          <w:numId w:val="274"/>
        </w:numPr>
      </w:pPr>
      <w:r>
        <w:t>mechanistisch,</w:t>
      </w:r>
    </w:p>
    <w:p w:rsidR="00B81800" w:rsidRDefault="00B81800" w:rsidP="008C5E65">
      <w:pPr>
        <w:pStyle w:val="StandardWeb"/>
        <w:numPr>
          <w:ilvl w:val="0"/>
          <w:numId w:val="274"/>
        </w:numPr>
      </w:pPr>
      <w:r>
        <w:t>kontrafaktisch,</w:t>
      </w:r>
    </w:p>
    <w:p w:rsidR="00B81800" w:rsidRDefault="00B81800" w:rsidP="008C5E65">
      <w:pPr>
        <w:pStyle w:val="StandardWeb"/>
        <w:numPr>
          <w:ilvl w:val="0"/>
          <w:numId w:val="274"/>
        </w:numPr>
      </w:pPr>
      <w:r>
        <w:t>eventuell kausal.</w:t>
      </w:r>
    </w:p>
    <w:p w:rsidR="00B81800" w:rsidRDefault="00B81800" w:rsidP="00B81800">
      <w:pPr>
        <w:pStyle w:val="StandardWeb"/>
      </w:pPr>
      <w:r>
        <w:t>Diese Ebenen sollten dem Leser ausdrücklich genannt werden, damit nicht jede Erklärung denselben Anspruch zu erheben scheint.</w:t>
      </w:r>
    </w:p>
    <w:p w:rsidR="00B81800" w:rsidRDefault="00B81800" w:rsidP="00B81800">
      <w:pPr>
        <w:pStyle w:val="StandardWeb"/>
      </w:pPr>
      <w:r>
        <w:t>Auch Sparsamkeit lässt sich anhand einer Wegbeschreibung erklären. Soll jemand zum Bahnhof gelangen, kann ich sagen:</w:t>
      </w:r>
    </w:p>
    <w:p w:rsidR="00B81800" w:rsidRDefault="00B81800" w:rsidP="00B81800">
      <w:pPr>
        <w:pStyle w:val="StandardWeb"/>
      </w:pPr>
      <w:r>
        <w:rPr>
          <w:rStyle w:val="Fett"/>
        </w:rPr>
        <w:t>„An der nächsten Kreuzung links, dann geradeaus bis zum Bahnhof.“</w:t>
      </w:r>
    </w:p>
    <w:p w:rsidR="00B81800" w:rsidRDefault="00B81800" w:rsidP="00B81800">
      <w:pPr>
        <w:pStyle w:val="StandardWeb"/>
      </w:pPr>
      <w:r>
        <w:t>Oder ich kann jeden einzelnen Bordstein, jede Hausnummer und jede Straßenlaterne beschreiben.</w:t>
      </w:r>
    </w:p>
    <w:p w:rsidR="00B81800" w:rsidRDefault="00B81800" w:rsidP="00B81800">
      <w:pPr>
        <w:pStyle w:val="StandardWeb"/>
      </w:pPr>
      <w:r>
        <w:t>Die zweite Beschreibung enthält mehr Informationen, ist aber nicht zwangsläufig die bessere Erklärung des Weges.</w:t>
      </w:r>
    </w:p>
    <w:p w:rsidR="00B81800" w:rsidRDefault="00B81800" w:rsidP="00B81800">
      <w:pPr>
        <w:pStyle w:val="StandardWeb"/>
      </w:pPr>
      <w:r>
        <w:t>Dasselbe gilt für ein Modell. Zusätzliche Variablen, Zwischenzustände und Parameter sind nur dann didaktisch und wissenschaftlich sinnvoll, wenn sie einen tatsächlich benötigten Erklärungsbeitrag leisten.</w:t>
      </w:r>
    </w:p>
    <w:p w:rsidR="00B81800" w:rsidRDefault="00B81800" w:rsidP="00B81800">
      <w:pPr>
        <w:pStyle w:val="StandardWeb"/>
      </w:pPr>
      <w:r>
        <w:t>Besonders wichtig ist schließlich die Beziehung zwischen Prognose und Erklärung.</w:t>
      </w:r>
    </w:p>
    <w:p w:rsidR="00B81800" w:rsidRDefault="00B81800" w:rsidP="00B81800">
      <w:pPr>
        <w:pStyle w:val="StandardWeb"/>
      </w:pPr>
      <w:r>
        <w:t>Ein Navigationssystem kann sehr zuverlässig vorhersagen, wann ich mein Ziel erreiche. Ich muss deshalb noch nicht verstehen, wie der interne Algorithmus seine Route berechnet.</w:t>
      </w:r>
    </w:p>
    <w:p w:rsidR="00B81800" w:rsidRDefault="00B81800" w:rsidP="00B81800">
      <w:pPr>
        <w:pStyle w:val="StandardWeb"/>
      </w:pPr>
      <w:r>
        <w:lastRenderedPageBreak/>
        <w:t>Umgekehrt kann ich sehr genau erklären, weshalb ein bestimmter Weg länger ist, ohne die tatsächliche Ankunftszeit besonders gut vorhersagen zu können.</w:t>
      </w:r>
    </w:p>
    <w:p w:rsidR="00B81800" w:rsidRDefault="00B81800" w:rsidP="00B81800">
      <w:pPr>
        <w:pStyle w:val="StandardWeb"/>
      </w:pPr>
      <w:r>
        <w:t>Damit wird für den Leser unmittelbar verständlich:</w:t>
      </w:r>
    </w:p>
    <w:p w:rsidR="00B81800" w:rsidRDefault="00B81800" w:rsidP="00B81800">
      <w:pPr>
        <w:pStyle w:val="StandardWeb"/>
      </w:pPr>
      <w:r>
        <w:rPr>
          <w:rStyle w:val="Fett"/>
        </w:rPr>
        <w:t>Vorhersagen können gut sein, ohne tief zu erklären.</w:t>
      </w:r>
    </w:p>
    <w:p w:rsidR="00B81800" w:rsidRDefault="00B81800" w:rsidP="00B81800">
      <w:pPr>
        <w:pStyle w:val="StandardWeb"/>
      </w:pPr>
      <w:r>
        <w:rPr>
          <w:rStyle w:val="Fett"/>
        </w:rPr>
        <w:t>Erklärungen können überzeugend sein, ohne besonders genau vorherzusagen.</w:t>
      </w:r>
    </w:p>
    <w:p w:rsidR="00B81800" w:rsidRDefault="00B81800" w:rsidP="00B81800">
      <w:pPr>
        <w:pStyle w:val="StandardWeb"/>
      </w:pPr>
      <w:r>
        <w:t>Genau deshalb wurden 3.3.35 und 3.3.36 getrennt aufgebaut.</w:t>
      </w:r>
    </w:p>
    <w:p w:rsidR="00B81800" w:rsidRDefault="00B81800" w:rsidP="00B81800">
      <w:pPr>
        <w:pStyle w:val="StandardWeb"/>
      </w:pPr>
      <w:r>
        <w:t>Für die weitere Arbeit mit dem FRZK ergibt sich daraus eine praktische Prüffolge. Bei jeder behaupteten Erklärung sollte der Leser fragen:</w:t>
      </w:r>
    </w:p>
    <w:p w:rsidR="00B81800" w:rsidRDefault="00B81800" w:rsidP="00B81800">
      <w:pPr>
        <w:pStyle w:val="StandardWeb"/>
      </w:pPr>
      <w:r>
        <w:rPr>
          <w:rStyle w:val="Fett"/>
        </w:rPr>
        <w:t>Was genau soll erklärt werden?</w:t>
      </w:r>
    </w:p>
    <w:p w:rsidR="00B81800" w:rsidRDefault="00B81800" w:rsidP="00B81800">
      <w:pPr>
        <w:pStyle w:val="StandardWeb"/>
      </w:pPr>
      <w:r>
        <w:rPr>
          <w:rStyle w:val="Fett"/>
        </w:rPr>
        <w:t>Welche funktionalen Zustände sind beteiligt?</w:t>
      </w:r>
    </w:p>
    <w:p w:rsidR="00B81800" w:rsidRDefault="00B81800" w:rsidP="00B81800">
      <w:pPr>
        <w:pStyle w:val="StandardWeb"/>
      </w:pPr>
      <w:r>
        <w:rPr>
          <w:rStyle w:val="Fett"/>
        </w:rPr>
        <w:t>Welche Relationen werden verwendet?</w:t>
      </w:r>
    </w:p>
    <w:p w:rsidR="00B81800" w:rsidRDefault="00B81800" w:rsidP="00B81800">
      <w:pPr>
        <w:pStyle w:val="StandardWeb"/>
      </w:pPr>
      <w:r>
        <w:rPr>
          <w:rStyle w:val="Fett"/>
        </w:rPr>
        <w:t>Welche Transformationen verbinden die Zustände?</w:t>
      </w:r>
    </w:p>
    <w:p w:rsidR="00B81800" w:rsidRDefault="00B81800" w:rsidP="00B81800">
      <w:pPr>
        <w:pStyle w:val="StandardWeb"/>
      </w:pPr>
      <w:r>
        <w:rPr>
          <w:rStyle w:val="Fett"/>
        </w:rPr>
        <w:t>Welche Hilfsannahmen werden benötigt?</w:t>
      </w:r>
    </w:p>
    <w:p w:rsidR="00B81800" w:rsidRDefault="00B81800" w:rsidP="00B81800">
      <w:pPr>
        <w:pStyle w:val="StandardWeb"/>
      </w:pPr>
      <w:r>
        <w:rPr>
          <w:rStyle w:val="Fett"/>
        </w:rPr>
        <w:t>Gibt es alternative Wege zum selben Ergebnis?</w:t>
      </w:r>
    </w:p>
    <w:p w:rsidR="00B81800" w:rsidRDefault="00B81800" w:rsidP="00B81800">
      <w:pPr>
        <w:pStyle w:val="StandardWeb"/>
      </w:pPr>
      <w:r>
        <w:rPr>
          <w:rStyle w:val="Fett"/>
        </w:rPr>
        <w:t>Welche Beobachtung würde gegen diese Erklärung sprechen?</w:t>
      </w:r>
    </w:p>
    <w:p w:rsidR="00B81800" w:rsidRDefault="00B81800" w:rsidP="00B81800">
      <w:pPr>
        <w:pStyle w:val="StandardWeb"/>
      </w:pPr>
      <w:r>
        <w:rPr>
          <w:rStyle w:val="Fett"/>
        </w:rPr>
        <w:t>Ist die behauptete Beziehung nur funktional oder bereits kausal gemeint?</w:t>
      </w:r>
    </w:p>
    <w:p w:rsidR="00B81800" w:rsidRDefault="00B81800" w:rsidP="00B81800">
      <w:pPr>
        <w:pStyle w:val="StandardWeb"/>
      </w:pPr>
      <w:r>
        <w:t>Gerade die letzte Frage führt unmittelbar zum folgenden Abschnitt.</w:t>
      </w:r>
    </w:p>
    <w:p w:rsidR="00B81800" w:rsidRDefault="00B81800" w:rsidP="00B81800">
      <w:pPr>
        <w:pStyle w:val="StandardWeb"/>
      </w:pPr>
      <w:r>
        <w:t>Eine FRZK-Erklärung kann nämlich vollständig nachvollziehbar sein und dennoch lediglich ausdrücken:</w:t>
      </w:r>
    </w:p>
    <w:p w:rsidR="00B81800" w:rsidRDefault="00B81800" w:rsidP="00B81800">
      <w:pPr>
        <w:pStyle w:val="StandardWeb"/>
      </w:pPr>
      <w:r>
        <w:t>[</w:t>
      </w:r>
      <w:r>
        <w:br/>
        <w:t>X\rightarrow_F Y.</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t>X\rightarrow_F Y</w:t>
      </w:r>
    </w:p>
    <w:p w:rsidR="00B81800" w:rsidRDefault="00B81800" w:rsidP="00B81800">
      <w:pPr>
        <w:pStyle w:val="StandardWeb"/>
      </w:pPr>
      <w:r>
        <w:t>Für die stärkere Aussage</w:t>
      </w:r>
    </w:p>
    <w:p w:rsidR="00B81800" w:rsidRDefault="00B81800" w:rsidP="00B81800">
      <w:pPr>
        <w:pStyle w:val="StandardWeb"/>
      </w:pPr>
      <w:r>
        <w:t>[</w:t>
      </w:r>
      <w:r>
        <w:br/>
        <w:t>X\rightarrow_C Y</w:t>
      </w:r>
      <w:r>
        <w:br/>
        <w:t>]</w:t>
      </w:r>
    </w:p>
    <w:p w:rsidR="00B81800" w:rsidRDefault="00B81800" w:rsidP="00B81800">
      <w:pPr>
        <w:pStyle w:val="StandardWeb"/>
      </w:pPr>
      <w:r>
        <w:rPr>
          <w:rStyle w:val="Fett"/>
        </w:rPr>
        <w:t>Word-LaTeX</w:t>
      </w:r>
    </w:p>
    <w:p w:rsidR="00B81800" w:rsidRDefault="00B81800" w:rsidP="00B81800">
      <w:pPr>
        <w:pStyle w:val="HTMLVorformatiert"/>
        <w:rPr>
          <w:rStyle w:val="HTMLCode"/>
        </w:rPr>
      </w:pPr>
      <w:r>
        <w:rPr>
          <w:rStyle w:val="HTMLCode"/>
        </w:rPr>
        <w:lastRenderedPageBreak/>
        <w:t>X\rightarrow_C Y</w:t>
      </w:r>
    </w:p>
    <w:p w:rsidR="00B81800" w:rsidRDefault="00B81800" w:rsidP="00B81800">
      <w:pPr>
        <w:pStyle w:val="StandardWeb"/>
      </w:pPr>
      <w:r>
        <w:t>sind zusätzliche Voraussetzungen erforderlich.</w:t>
      </w:r>
    </w:p>
    <w:p w:rsidR="00B81800" w:rsidRDefault="00B81800" w:rsidP="00B81800">
      <w:pPr>
        <w:pStyle w:val="StandardWeb"/>
      </w:pPr>
      <w:r>
        <w:t xml:space="preserve">Damit erfüllt die didaktische Betrachtung zugleich eine wichtige Übergangsfunktion: Der Leser hat nun gesehen, weshalb </w:t>
      </w:r>
      <w:r>
        <w:rPr>
          <w:rStyle w:val="Fett"/>
        </w:rPr>
        <w:t>funktionaler Mechanismus</w:t>
      </w:r>
      <w:r>
        <w:t xml:space="preserve"> und </w:t>
      </w:r>
      <w:r>
        <w:rPr>
          <w:rStyle w:val="Fett"/>
        </w:rPr>
        <w:t>kausaler Mechanismus</w:t>
      </w:r>
      <w:r>
        <w:t xml:space="preserve"> nicht dasselbe sind. Genau diese Differenz muss Abschnitt </w:t>
      </w:r>
      <w:r>
        <w:rPr>
          <w:rStyle w:val="Fett"/>
        </w:rPr>
        <w:t>3.3.37 – Prüfung der kausalen Interpretierbarkeit</w:t>
      </w:r>
      <w:r>
        <w:t xml:space="preserve"> systematisch untersuchen.</w:t>
      </w:r>
    </w:p>
    <w:p w:rsidR="00B84F52" w:rsidRDefault="00B84F52" w:rsidP="00B84F52">
      <w:pPr>
        <w:pStyle w:val="berschrift1"/>
        <w:rPr>
          <w:rFonts w:cs="Times New Roman"/>
          <w:sz w:val="48"/>
          <w:szCs w:val="48"/>
        </w:rPr>
      </w:pPr>
      <w:r>
        <w:t>3.3.37 Prüfung der kausalen Interpretierbarkeit</w:t>
      </w:r>
    </w:p>
    <w:p w:rsidR="00B84F52" w:rsidRDefault="00B84F52" w:rsidP="00B84F52">
      <w:pPr>
        <w:pStyle w:val="StandardWeb"/>
      </w:pPr>
      <w:r>
        <w:t>Die Prüfung der Erklärungsfähigkeit in Abschnitt 3.3.36 hat gezeigt, dass ein funktionaler Zusammenhang, eine Transformationsfolge oder eine mechanistische Rekonstruktion noch nicht automatisch eine kausale Aussage begründet. Diese Grenze ist für das Funktionale Raum-Zeit-Kohärenzsystem zentral. Das FRZK beschreibt zunächst funktionale Zustände, Relationen, Transformationen, Entwicklungen und daraus abgeleitete Strukturen. Eine kausale Interpretation darf erst dann erfolgen, wenn zusätzliche Bedingungen erfüllt sind, die über eine bloße funktionale Beschreibung hinausgehen [58, 59, 79].</w:t>
      </w:r>
    </w:p>
    <w:p w:rsidR="00B84F52" w:rsidRDefault="00B84F52" w:rsidP="00B84F52">
      <w:pPr>
        <w:pStyle w:val="StandardWeb"/>
      </w:pPr>
      <w:r>
        <w:t>Eine gerichtete Relation kann beispielsweise anzeigen, dass ein Zustand funktional mit einem anderen Zustand verbunden ist. Daraus folgt jedoch noch nicht, dass der erste Zustand den zweiten verursacht. Ebenso kann eine Transformation formal von (X) nach (Y) führen, ohne dass empirisch ausgeschlossen wurde, dass beide Größen durch eine dritte Bedingung beeinflusst werden oder dass die beobachtete Richtung lediglich aus der gewählten Modellrepräsentation entsteht.</w:t>
      </w:r>
    </w:p>
    <w:p w:rsidR="00B84F52" w:rsidRDefault="00B84F52" w:rsidP="00B84F52">
      <w:pPr>
        <w:pStyle w:val="StandardWeb"/>
      </w:pPr>
      <w:r>
        <w:t xml:space="preserve">Ich behandle Kausalität deshalb nicht als Bestandteil der drei Primäraxiome. Sie bildet eine </w:t>
      </w:r>
      <w:r>
        <w:rPr>
          <w:rStyle w:val="Fett"/>
        </w:rPr>
        <w:t>zusätzliche Interpretationsebene</w:t>
      </w:r>
      <w:r>
        <w:t>. Die Primäraxiome eröffnen Bestimmbarkeit, Relationierbarkeit und Transformierbarkeit. Ob eine konkrete funktionale Relation oder Transformation darüber hinaus kausal interpretiert werden darf, muss gesondert geprüft werden.</w:t>
      </w:r>
    </w:p>
    <w:p w:rsidR="00B84F52" w:rsidRDefault="00B84F52" w:rsidP="00B84F52">
      <w:pPr>
        <w:pStyle w:val="StandardWeb"/>
      </w:pPr>
      <w:r>
        <w:rPr>
          <w:rStyle w:val="Fett"/>
        </w:rPr>
        <w:t>Eigenleistung des FRZK</w:t>
      </w:r>
    </w:p>
    <w:p w:rsidR="00B84F52" w:rsidRDefault="00B84F52" w:rsidP="00B84F52">
      <w:pPr>
        <w:pStyle w:val="StandardWeb"/>
      </w:pPr>
      <w:r>
        <w:t>Ich führe ein explizites FRZK-Kausalitätssystem ein, in dem funktionale Abhängigkeit, Richtung, funktionale Zeitordnung, Interventionsbezug, kontrafaktische Veränderung, Störgrößen, Alternativerklärungen, Identifizierbarkeit, Unsicherheit und kausale Prüfentscheidung gemeinsam dokumentiert werden. Dadurch verhindere ich, dass eine funktionale Beziehung allein aufgrund ihrer Richtung, Stärke oder zeitlichen Reihenfolge als Ursache-Wirkungs-Beziehung ausgegeben wird.</w:t>
      </w:r>
    </w:p>
    <w:p w:rsidR="00B84F52" w:rsidRDefault="00B84F52" w:rsidP="00B84F52">
      <w:pPr>
        <w:pStyle w:val="berschrift2"/>
      </w:pPr>
      <w:r>
        <w:t>3.3.37.1 Funktionale und kausale Abhängigkeit</w:t>
      </w:r>
    </w:p>
    <w:p w:rsidR="00B84F52" w:rsidRDefault="00B84F52" w:rsidP="00B84F52">
      <w:pPr>
        <w:pStyle w:val="StandardWeb"/>
      </w:pPr>
      <w:r>
        <w:t>Eine funktionale Abhängigkeit zwischen zwei Größen schreibe ich als</w:t>
      </w:r>
    </w:p>
    <w:p w:rsidR="00B84F52" w:rsidRDefault="00B84F52" w:rsidP="00B84F52">
      <w:pPr>
        <w:pStyle w:val="StandardWeb"/>
      </w:pPr>
      <w:r>
        <w:t>[</w:t>
      </w:r>
      <w:r>
        <w:br/>
        <w:t>X</w:t>
      </w:r>
      <w:r>
        <w:br/>
        <w:t>\rightarrow_F</w:t>
      </w:r>
      <w:r>
        <w:br/>
        <w:t>Y.</w:t>
      </w:r>
      <w:r>
        <w:br/>
      </w:r>
      <w:r>
        <w:lastRenderedPageBreak/>
        <w:t>\tag{3.6137}</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X\rightarrow_F Y\qquad\text{(3.6137)}</w:t>
      </w:r>
    </w:p>
    <w:p w:rsidR="00B84F52" w:rsidRDefault="00B84F52" w:rsidP="00B84F52">
      <w:pPr>
        <w:pStyle w:val="StandardWeb"/>
      </w:pPr>
      <w:r>
        <w:t>Eine kausal interpretierte Abhängigkeit lautet dagegen</w:t>
      </w:r>
    </w:p>
    <w:p w:rsidR="00B84F52" w:rsidRDefault="00B84F52" w:rsidP="00B84F52">
      <w:pPr>
        <w:pStyle w:val="StandardWeb"/>
      </w:pPr>
      <w:r>
        <w:t>[</w:t>
      </w:r>
      <w:r>
        <w:br/>
        <w:t>X</w:t>
      </w:r>
      <w:r>
        <w:br/>
        <w:t>\rightarrow_C</w:t>
      </w:r>
      <w:r>
        <w:br/>
        <w:t>Y.</w:t>
      </w:r>
      <w:r>
        <w:br/>
        <w:t>\tag{3.6138}</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X\rightarrow_C Y\qquad\text{(3.6138)}</w:t>
      </w:r>
    </w:p>
    <w:p w:rsidR="00B84F52" w:rsidRDefault="00B84F52" w:rsidP="00B84F52">
      <w:pPr>
        <w:pStyle w:val="StandardWeb"/>
      </w:pPr>
      <w:r>
        <w:t>Die beiden Aussagen dürfen nicht gleichgesetzt werden. Im Allgemeinen gilt</w:t>
      </w:r>
    </w:p>
    <w:p w:rsidR="00B84F52" w:rsidRDefault="00B84F52" w:rsidP="00B84F52">
      <w:pPr>
        <w:pStyle w:val="StandardWeb"/>
      </w:pPr>
      <w:r>
        <w:t>[</w:t>
      </w:r>
      <w:r>
        <w:br/>
        <w:t>X</w:t>
      </w:r>
      <w:r>
        <w:br/>
        <w:t>\rightarrow_F</w:t>
      </w:r>
      <w:r>
        <w:br/>
        <w:t>Y</w:t>
      </w:r>
      <w:r>
        <w:br/>
        <w:t>\nRightarrow</w:t>
      </w:r>
      <w:r>
        <w:br/>
        <w:t>X</w:t>
      </w:r>
      <w:r>
        <w:br/>
        <w:t>\rightarrow_C</w:t>
      </w:r>
      <w:r>
        <w:br/>
        <w:t>Y.</w:t>
      </w:r>
      <w:r>
        <w:br/>
        <w:t>\tag{3.6139}</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X\rightarrow_F Y\nRightarrow X\rightarrow_C Y\qquad\text{(3.6139)}</w:t>
      </w:r>
    </w:p>
    <w:p w:rsidR="00B84F52" w:rsidRDefault="00B84F52" w:rsidP="00B84F52">
      <w:pPr>
        <w:pStyle w:val="StandardWeb"/>
      </w:pPr>
      <w:r>
        <w:t>Die funktionale Relation beziehungsweise Transformation beschreibt zunächst eine Struktur innerhalb des Modells. Die kausale Aussage enthält darüber hinaus die Behauptung, dass eine Veränderung von (X) unter geeigneten Bedingungen eine Veränderung von (Y) hervorbringt oder verhindert.</w:t>
      </w:r>
    </w:p>
    <w:p w:rsidR="00B84F52" w:rsidRDefault="00B84F52" w:rsidP="00B84F52">
      <w:pPr>
        <w:pStyle w:val="berschrift2"/>
      </w:pPr>
      <w:r>
        <w:t>3.3.37.2 Definition des FRZK-Kausalitätssystems</w:t>
      </w:r>
    </w:p>
    <w:p w:rsidR="00B84F52" w:rsidRDefault="00B84F52" w:rsidP="00B84F52">
      <w:pPr>
        <w:pStyle w:val="StandardWeb"/>
      </w:pPr>
      <w:r>
        <w:rPr>
          <w:rStyle w:val="Fett"/>
        </w:rPr>
        <w:t>Definition 3.3.29 – FRZK-Kausalitätssystem</w:t>
      </w:r>
    </w:p>
    <w:p w:rsidR="00B84F52" w:rsidRDefault="00B84F52" w:rsidP="00B84F52">
      <w:pPr>
        <w:pStyle w:val="StandardWeb"/>
      </w:pPr>
      <w:r>
        <w:t>Ein FRZK-Kausalitätssystem ist das geordnete Tupel</w:t>
      </w:r>
    </w:p>
    <w:p w:rsidR="00B84F52" w:rsidRDefault="00B84F52" w:rsidP="00B84F52">
      <w:pPr>
        <w:pStyle w:val="berschrift1"/>
      </w:pPr>
      <w:r>
        <w:lastRenderedPageBreak/>
        <w:t>[</w:t>
      </w:r>
      <w:r>
        <w:br/>
        <w:t>\mathfrak{C}_{F}^{\mathrm{caus}}</w:t>
      </w:r>
    </w:p>
    <w:p w:rsidR="00B84F52" w:rsidRDefault="00B84F52" w:rsidP="00B84F52">
      <w:pPr>
        <w:pStyle w:val="StandardWeb"/>
      </w:pPr>
      <w:r>
        <w:t>\left(</w:t>
      </w:r>
      <w:r>
        <w:br/>
        <w:t>X,</w:t>
      </w:r>
      <w:r>
        <w:br/>
        <w:t>Y,</w:t>
      </w:r>
      <w:r>
        <w:br/>
        <w:t>\mathcal{G}</w:t>
      </w:r>
      <w:r>
        <w:rPr>
          <w:rStyle w:val="Hervorhebung"/>
        </w:rPr>
        <w:t>{F},</w:t>
      </w:r>
      <w:r>
        <w:rPr>
          <w:i/>
          <w:iCs/>
        </w:rPr>
        <w:br/>
      </w:r>
      <w:r>
        <w:rPr>
          <w:rStyle w:val="Hervorhebung"/>
        </w:rPr>
        <w:t>\mathfrak{H}</w:t>
      </w:r>
      <w:r>
        <w:t>{C},</w:t>
      </w:r>
      <w:r>
        <w:br/>
        <w:t>\mathfrak{I}</w:t>
      </w:r>
      <w:r>
        <w:rPr>
          <w:rStyle w:val="Hervorhebung"/>
        </w:rPr>
        <w:t>{C},</w:t>
      </w:r>
      <w:r>
        <w:rPr>
          <w:i/>
          <w:iCs/>
        </w:rPr>
        <w:br/>
      </w:r>
      <w:r>
        <w:rPr>
          <w:rStyle w:val="Hervorhebung"/>
        </w:rPr>
        <w:t>\mathfrak{A}</w:t>
      </w:r>
      <w:r>
        <w:t>{C},</w:t>
      </w:r>
      <w:r>
        <w:br/>
        <w:t>\operatorname{Caus}_{F}</w:t>
      </w:r>
      <w:r>
        <w:br/>
        <w:t>\right).</w:t>
      </w:r>
      <w:r>
        <w:br/>
        <w:t>\tag{3.6140}</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\mathfrak{C}_{F}^{\mathrm{caus}}=\left(X,Y,\mathcal{G}_{F},\mathfrak{H}_{C},\mathfrak{I}_{C},\mathfrak{A}_{C},\operatorname{Caus}_{F}\right)\qquad\text{(3.6140)}</w:t>
      </w:r>
    </w:p>
    <w:p w:rsidR="00B84F52" w:rsidRDefault="00B84F52" w:rsidP="00B84F52">
      <w:pPr>
        <w:pStyle w:val="StandardWeb"/>
      </w:pPr>
      <w:r>
        <w:t>Dabei bezeichnet (X) die potentiell ursächliche Größe, (Y) die potentielle Wirkung, (\mathcal{G}</w:t>
      </w:r>
      <w:r>
        <w:rPr>
          <w:rStyle w:val="Hervorhebung"/>
        </w:rPr>
        <w:t>{F}) die gerichtete funktionale Struktur, (\mathfrak{H}</w:t>
      </w:r>
      <w:r>
        <w:t>{C}) die Menge kausal relevanter Hilfs- und Identifikationsannahmen, (\mathfrak{I}</w:t>
      </w:r>
      <w:r>
        <w:rPr>
          <w:rStyle w:val="Hervorhebung"/>
        </w:rPr>
        <w:t>{C}) die Menge zulässiger Interventionen, (\mathfrak{A}</w:t>
      </w:r>
      <w:r>
        <w:t>{C}) die Menge relevanter Alternativerklärungen und (\operatorname{Caus}_{F}) das Kausalitätsprädikat.</w:t>
      </w:r>
    </w:p>
    <w:p w:rsidR="00B84F52" w:rsidRDefault="00B84F52" w:rsidP="00B84F52">
      <w:pPr>
        <w:pStyle w:val="StandardWeb"/>
      </w:pPr>
      <w:r>
        <w:t>Das Kausalitätsprädikat lautet</w:t>
      </w:r>
    </w:p>
    <w:p w:rsidR="00B84F52" w:rsidRDefault="00B84F52" w:rsidP="00B84F52">
      <w:pPr>
        <w:pStyle w:val="StandardWeb"/>
      </w:pPr>
      <w:r>
        <w:t>[</w:t>
      </w:r>
      <w:r>
        <w:br/>
        <w:t>\operatorname{Caus}</w:t>
      </w:r>
      <w:r>
        <w:rPr>
          <w:rStyle w:val="Hervorhebung"/>
        </w:rPr>
        <w:t>{F}:</w:t>
      </w:r>
      <w:r>
        <w:rPr>
          <w:i/>
          <w:iCs/>
        </w:rPr>
        <w:br/>
      </w:r>
      <w:r>
        <w:rPr>
          <w:rStyle w:val="Hervorhebung"/>
        </w:rPr>
        <w:t>\mathfrak{C}</w:t>
      </w:r>
      <w:r>
        <w:t>{F}^{\mathrm{caus}}</w:t>
      </w:r>
      <w:r>
        <w:br/>
        <w:t>\rightarrow</w:t>
      </w:r>
      <w:r>
        <w:br/>
        <w:t>{0,1}.</w:t>
      </w:r>
      <w:r>
        <w:br/>
        <w:t>\tag{3.6141}</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\operatorname{Caus}_{F}:\mathfrak{C}_{F}^{\mathrm{caus}}\rightarrow\{0,1\}\qquad\text{(3.6141)}</w:t>
      </w:r>
    </w:p>
    <w:p w:rsidR="00B84F52" w:rsidRDefault="00B84F52" w:rsidP="00B84F52">
      <w:pPr>
        <w:pStyle w:val="StandardWeb"/>
      </w:pPr>
      <w:r>
        <w:t>Für eine im betrachteten Modell kausal interpretierbare Struktur gilt</w:t>
      </w:r>
    </w:p>
    <w:p w:rsidR="00B84F52" w:rsidRDefault="00B84F52" w:rsidP="00B84F52">
      <w:pPr>
        <w:pStyle w:val="berschrift1"/>
      </w:pPr>
      <w:r>
        <w:t>[</w:t>
      </w:r>
      <w:r>
        <w:br/>
        <w:t>\operatorname{Caus}</w:t>
      </w:r>
      <w:r>
        <w:rPr>
          <w:rStyle w:val="Hervorhebung"/>
        </w:rPr>
        <w:t>{F}</w:t>
      </w:r>
      <w:r>
        <w:rPr>
          <w:i/>
          <w:iCs/>
        </w:rPr>
        <w:br/>
      </w:r>
      <w:r>
        <w:rPr>
          <w:rStyle w:val="Hervorhebung"/>
        </w:rPr>
        <w:t>\left(</w:t>
      </w:r>
      <w:r>
        <w:rPr>
          <w:i/>
          <w:iCs/>
        </w:rPr>
        <w:br/>
      </w:r>
      <w:r>
        <w:rPr>
          <w:rStyle w:val="Hervorhebung"/>
        </w:rPr>
        <w:lastRenderedPageBreak/>
        <w:t>\mathfrak{C}</w:t>
      </w:r>
      <w:r>
        <w:t>{F}^{\mathrm{caus}}</w:t>
      </w:r>
      <w:r>
        <w:br/>
        <w:t>\right)</w:t>
      </w:r>
    </w:p>
    <w:p w:rsidR="00B84F52" w:rsidRDefault="00B84F52" w:rsidP="008C5E65">
      <w:pPr>
        <w:numPr>
          <w:ilvl w:val="0"/>
          <w:numId w:val="275"/>
        </w:numPr>
        <w:spacing w:before="100" w:beforeAutospacing="1" w:after="100" w:afterAutospacing="1"/>
      </w:pPr>
    </w:p>
    <w:p w:rsidR="00B84F52" w:rsidRDefault="00B84F52" w:rsidP="00B84F52">
      <w:pPr>
        <w:pStyle w:val="StandardWeb"/>
      </w:pPr>
      <w:r>
        <w:t>\tag{3.6142}</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\operatorname{Caus}_{F}\left(\mathfrak{C}_{F}^{\mathrm{caus}}\right)=1\qquad\text{(3.6142)}</w:t>
      </w:r>
    </w:p>
    <w:p w:rsidR="00B84F52" w:rsidRDefault="00B84F52" w:rsidP="00B84F52">
      <w:pPr>
        <w:pStyle w:val="StandardWeb"/>
      </w:pPr>
      <w:r>
        <w:t>Der Wert (1) bedeutet dabei nicht, dass Kausalität ontologisch endgültig bewiesen wurde. Er bedeutet, dass die für die jeweilige Modellklasse festgelegten kausalen Interpretationsbedingungen erfüllt sind.</w:t>
      </w:r>
    </w:p>
    <w:p w:rsidR="00B84F52" w:rsidRDefault="00B84F52" w:rsidP="00B84F52">
      <w:pPr>
        <w:pStyle w:val="berschrift2"/>
      </w:pPr>
      <w:r>
        <w:t>3.3.37.3 Gerichtete funktionale Struktur</w:t>
      </w:r>
    </w:p>
    <w:p w:rsidR="00B84F52" w:rsidRDefault="00B84F52" w:rsidP="00B84F52">
      <w:pPr>
        <w:pStyle w:val="StandardWeb"/>
      </w:pPr>
      <w:r>
        <w:t>Eine gerichtete funktionale Transformation kann geschrieben werden als</w:t>
      </w:r>
    </w:p>
    <w:p w:rsidR="00B84F52" w:rsidRDefault="00B84F52" w:rsidP="00B84F52">
      <w:pPr>
        <w:pStyle w:val="StandardWeb"/>
      </w:pPr>
      <w:r>
        <w:t>[</w:t>
      </w:r>
      <w:r>
        <w:br/>
        <w:t>X</w:t>
      </w:r>
      <w:r>
        <w:br/>
        <w:t>\overset{T}{\longrightarrow}</w:t>
      </w:r>
      <w:r>
        <w:br/>
        <w:t>Y.</w:t>
      </w:r>
      <w:r>
        <w:br/>
        <w:t>\tag{3.6143}</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X\overset{T}{\longrightarrow}Y\qquad\text{(3.6143)}</w:t>
      </w:r>
    </w:p>
    <w:p w:rsidR="00B84F52" w:rsidRDefault="00B84F52" w:rsidP="00B84F52">
      <w:pPr>
        <w:pStyle w:val="StandardWeb"/>
      </w:pPr>
      <w:r>
        <w:t>Dabei gilt</w:t>
      </w:r>
    </w:p>
    <w:p w:rsidR="00B84F52" w:rsidRDefault="00B84F52" w:rsidP="00B84F52">
      <w:pPr>
        <w:pStyle w:val="berschrift1"/>
      </w:pPr>
      <w:r>
        <w:t>[</w:t>
      </w:r>
      <w:r>
        <w:br/>
        <w:t>Y</w:t>
      </w:r>
    </w:p>
    <w:p w:rsidR="00B84F52" w:rsidRDefault="00B84F52" w:rsidP="00B84F52">
      <w:pPr>
        <w:pStyle w:val="StandardWeb"/>
      </w:pPr>
      <w:r>
        <w:t>T(X).</w:t>
      </w:r>
      <w:r>
        <w:br/>
        <w:t>\tag{3.6144}</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Y=T(X)\qquad\text{(3.6144)}</w:t>
      </w:r>
    </w:p>
    <w:p w:rsidR="00B84F52" w:rsidRDefault="00B84F52" w:rsidP="00B84F52">
      <w:pPr>
        <w:pStyle w:val="StandardWeb"/>
      </w:pPr>
      <w:r>
        <w:t>Die Richtung der Transformation ist für eine kausale Interpretation relevant, aber nicht hinreichend. Sie beschreibt zunächst lediglich die Abbildungsrichtung innerhalb der mathematischen Struktur.</w:t>
      </w:r>
    </w:p>
    <w:p w:rsidR="00B84F52" w:rsidRDefault="00B84F52" w:rsidP="00B84F52">
      <w:pPr>
        <w:pStyle w:val="StandardWeb"/>
      </w:pPr>
      <w:r>
        <w:lastRenderedPageBreak/>
        <w:t>Ein mathematischer Ausdruck kann daher eine Richtung besitzen, ohne eine kausale Richtung zu behaupten.</w:t>
      </w:r>
    </w:p>
    <w:p w:rsidR="00B84F52" w:rsidRDefault="00B84F52" w:rsidP="00B84F52">
      <w:pPr>
        <w:pStyle w:val="berschrift2"/>
      </w:pPr>
      <w:r>
        <w:t>3.3.37.4 Richtungskonsistenz</w:t>
      </w:r>
    </w:p>
    <w:p w:rsidR="00B84F52" w:rsidRDefault="00B84F52" w:rsidP="00B84F52">
      <w:pPr>
        <w:pStyle w:val="StandardWeb"/>
      </w:pPr>
      <w:r>
        <w:t>Eine kausale Interpretation von (X) nach (Y) muss mit der funktionalen Richtung vereinbar sein. Für eine direkt kausal interpretierte FRZK-Abhängigkeit fordere ich deshalb</w:t>
      </w:r>
    </w:p>
    <w:p w:rsidR="00B84F52" w:rsidRDefault="00B84F52" w:rsidP="00B84F52">
      <w:pPr>
        <w:pStyle w:val="StandardWeb"/>
      </w:pPr>
      <w:r>
        <w:t>[</w:t>
      </w:r>
      <w:r>
        <w:br/>
        <w:t>X</w:t>
      </w:r>
      <w:r>
        <w:br/>
        <w:t>\rightarrow_C</w:t>
      </w:r>
      <w:r>
        <w:br/>
        <w:t>Y</w:t>
      </w:r>
      <w:r>
        <w:br/>
        <w:t>\Rightarrow</w:t>
      </w:r>
      <w:r>
        <w:br/>
        <w:t>X</w:t>
      </w:r>
      <w:r>
        <w:br/>
        <w:t>\rightarrow_F</w:t>
      </w:r>
      <w:r>
        <w:br/>
        <w:t>Y.</w:t>
      </w:r>
      <w:r>
        <w:br/>
        <w:t>\tag{3.6145}</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X\rightarrow_C Y\Rightarrow X\rightarrow_F Y\qquad\text{(3.6145)}</w:t>
      </w:r>
    </w:p>
    <w:p w:rsidR="00B84F52" w:rsidRDefault="00B84F52" w:rsidP="00B84F52">
      <w:pPr>
        <w:pStyle w:val="StandardWeb"/>
      </w:pPr>
      <w:r>
        <w:t>Die Umkehrung gilt jedoch nicht:</w:t>
      </w:r>
    </w:p>
    <w:p w:rsidR="00B84F52" w:rsidRDefault="00B84F52" w:rsidP="00B84F52">
      <w:pPr>
        <w:pStyle w:val="StandardWeb"/>
      </w:pPr>
      <w:r>
        <w:t>[</w:t>
      </w:r>
      <w:r>
        <w:br/>
        <w:t>X</w:t>
      </w:r>
      <w:r>
        <w:br/>
        <w:t>\rightarrow_F</w:t>
      </w:r>
      <w:r>
        <w:br/>
        <w:t>Y</w:t>
      </w:r>
      <w:r>
        <w:br/>
        <w:t>\nRightarrow</w:t>
      </w:r>
      <w:r>
        <w:br/>
        <w:t>X</w:t>
      </w:r>
      <w:r>
        <w:br/>
        <w:t>\rightarrow_C</w:t>
      </w:r>
      <w:r>
        <w:br/>
        <w:t>Y.</w:t>
      </w:r>
      <w:r>
        <w:br/>
        <w:t>\tag{3.6146}</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X\rightarrow_F Y\nRightarrow X\rightarrow_C Y\qquad\text{(3.6146)}</w:t>
      </w:r>
    </w:p>
    <w:p w:rsidR="00B84F52" w:rsidRDefault="00B84F52" w:rsidP="00B84F52">
      <w:pPr>
        <w:pStyle w:val="StandardWeb"/>
      </w:pPr>
      <w:r>
        <w:t>Damit ist die funktionale Richtung innerhalb dieses Kausalitätssystems eine notwendige strukturelle Voraussetzung einer direkt kausalen Interpretation, aber keine hinreichende Bedingung.</w:t>
      </w:r>
    </w:p>
    <w:p w:rsidR="00B84F52" w:rsidRDefault="00B84F52" w:rsidP="00B84F52">
      <w:pPr>
        <w:pStyle w:val="StandardWeb"/>
      </w:pPr>
      <w:r>
        <w:t>Diese Einschränkung ist wesentlich, weil gerichtete Abbildungen auch aus rein mathematischen Definitionen, algorithmischen Verarbeitungsfolgen oder statistischen Modellen entstehen können.</w:t>
      </w:r>
    </w:p>
    <w:p w:rsidR="00B84F52" w:rsidRDefault="00B84F52" w:rsidP="00B84F52">
      <w:pPr>
        <w:pStyle w:val="berschrift2"/>
      </w:pPr>
      <w:r>
        <w:t>3.3.37.5 Funktionale Zeitordnung und Kausalrichtung</w:t>
      </w:r>
    </w:p>
    <w:p w:rsidR="00B84F52" w:rsidRDefault="00B84F52" w:rsidP="00B84F52">
      <w:pPr>
        <w:pStyle w:val="StandardWeb"/>
      </w:pPr>
      <w:r>
        <w:lastRenderedPageBreak/>
        <w:t>Eine Ursache-Wirkungs-Interpretation darf nicht im Widerspruch zur zuvor konstruierten funktionalen Zeitordnung stehen.</w:t>
      </w:r>
    </w:p>
    <w:p w:rsidR="00B84F52" w:rsidRDefault="00B84F52" w:rsidP="00B84F52">
      <w:pPr>
        <w:pStyle w:val="StandardWeb"/>
      </w:pPr>
      <w:r>
        <w:t>Der funktionale Zeitwert von (X) sei</w:t>
      </w:r>
    </w:p>
    <w:p w:rsidR="00B84F52" w:rsidRDefault="00B84F52" w:rsidP="00B84F52">
      <w:pPr>
        <w:pStyle w:val="StandardWeb"/>
      </w:pPr>
      <w:r>
        <w:t>[</w:t>
      </w:r>
      <w:r>
        <w:br/>
        <w:t>t_F(X).</w:t>
      </w:r>
      <w:r>
        <w:br/>
        <w:t>\tag{3.6147}</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t_F(X)\qquad\text{(3.6147)}</w:t>
      </w:r>
    </w:p>
    <w:p w:rsidR="00B84F52" w:rsidRDefault="00B84F52" w:rsidP="00B84F52">
      <w:pPr>
        <w:pStyle w:val="StandardWeb"/>
      </w:pPr>
      <w:r>
        <w:t>Der funktionale Zeitwert von (Y) sei</w:t>
      </w:r>
    </w:p>
    <w:p w:rsidR="00B84F52" w:rsidRDefault="00B84F52" w:rsidP="00B84F52">
      <w:pPr>
        <w:pStyle w:val="StandardWeb"/>
      </w:pPr>
      <w:r>
        <w:t>[</w:t>
      </w:r>
      <w:r>
        <w:br/>
        <w:t>t_F(Y).</w:t>
      </w:r>
      <w:r>
        <w:br/>
        <w:t>\tag{3.6148}</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t_F(Y)\qquad\text{(3.6148)}</w:t>
      </w:r>
    </w:p>
    <w:p w:rsidR="00B84F52" w:rsidRDefault="00B84F52" w:rsidP="00B84F52">
      <w:pPr>
        <w:pStyle w:val="StandardWeb"/>
      </w:pPr>
      <w:r>
        <w:t>Für eine kausale Interpretation von (X) nach (Y) muss mindestens gelten</w:t>
      </w:r>
    </w:p>
    <w:p w:rsidR="00B84F52" w:rsidRDefault="00B84F52" w:rsidP="00B84F52">
      <w:pPr>
        <w:pStyle w:val="StandardWeb"/>
      </w:pPr>
      <w:r>
        <w:t>[</w:t>
      </w:r>
      <w:r>
        <w:br/>
        <w:t>X</w:t>
      </w:r>
      <w:r>
        <w:br/>
        <w:t>\rightarrow_C</w:t>
      </w:r>
      <w:r>
        <w:br/>
        <w:t>Y</w:t>
      </w:r>
      <w:r>
        <w:br/>
        <w:t>\Rightarrow</w:t>
      </w:r>
      <w:r>
        <w:br/>
        <w:t>t_F(X)</w:t>
      </w:r>
      <w:r>
        <w:br/>
        <w:t>\leq</w:t>
      </w:r>
      <w:r>
        <w:br/>
        <w:t>t_F(Y).</w:t>
      </w:r>
      <w:r>
        <w:br/>
        <w:t>\tag{3.6149}</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X\rightarrow_C Y\Rightarrow t_F(X)\leq t_F(Y)\qquad\text{(3.6149)}</w:t>
      </w:r>
    </w:p>
    <w:p w:rsidR="00B84F52" w:rsidRDefault="00B84F52" w:rsidP="00B84F52">
      <w:pPr>
        <w:pStyle w:val="StandardWeb"/>
      </w:pPr>
      <w:r>
        <w:t>Bei einer strikt gerichteten Entwicklung kann die stärkere Bedingung</w:t>
      </w:r>
    </w:p>
    <w:p w:rsidR="00B84F52" w:rsidRDefault="00B84F52" w:rsidP="00B84F52">
      <w:pPr>
        <w:pStyle w:val="StandardWeb"/>
      </w:pPr>
      <w:r>
        <w:t>[</w:t>
      </w:r>
      <w:r>
        <w:br/>
        <w:t>t_F(X)</w:t>
      </w:r>
      <w:r>
        <w:br/>
        <w:t>&lt;</w:t>
      </w:r>
      <w:r>
        <w:br/>
        <w:t>t_F(Y)</w:t>
      </w:r>
      <w:r>
        <w:br/>
        <w:t>\tag{3.6150}</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lastRenderedPageBreak/>
        <w:t>t_F(X)&lt;t_F(Y)\qquad\text{(3.6150)}</w:t>
      </w:r>
    </w:p>
    <w:p w:rsidR="00B84F52" w:rsidRDefault="00B84F52" w:rsidP="00B84F52">
      <w:pPr>
        <w:pStyle w:val="StandardWeb"/>
      </w:pPr>
      <w:r>
        <w:t>gelten.</w:t>
      </w:r>
    </w:p>
    <w:p w:rsidR="00B84F52" w:rsidRDefault="00B84F52" w:rsidP="00B84F52">
      <w:pPr>
        <w:pStyle w:val="StandardWeb"/>
      </w:pPr>
      <w:r>
        <w:t>Auch diese zeitliche beziehungsweise funktionale Reihenfolge beweist für sich allein keine Kausalität. Zwei Größen können nacheinander auftreten, ohne dass die frühere Größe die spätere verursacht.</w:t>
      </w:r>
    </w:p>
    <w:p w:rsidR="00B84F52" w:rsidRDefault="00B84F52" w:rsidP="00B84F52">
      <w:pPr>
        <w:pStyle w:val="berschrift2"/>
      </w:pPr>
      <w:r>
        <w:t>3.3.37.6 Störgrößen und Scheinkausalität</w:t>
      </w:r>
    </w:p>
    <w:p w:rsidR="00B84F52" w:rsidRDefault="00B84F52" w:rsidP="00B84F52">
      <w:pPr>
        <w:pStyle w:val="StandardWeb"/>
      </w:pPr>
      <w:r>
        <w:t>Eine beobachtete Beziehung zwischen (X) und (Y) kann durch eine dritte Größe (Z) beeinflusst werden.</w:t>
      </w:r>
    </w:p>
    <w:p w:rsidR="00B84F52" w:rsidRDefault="00B84F52" w:rsidP="00B84F52">
      <w:pPr>
        <w:pStyle w:val="StandardWeb"/>
      </w:pPr>
      <w:r>
        <w:t>Eine mögliche Struktur lautet</w:t>
      </w:r>
    </w:p>
    <w:p w:rsidR="00B84F52" w:rsidRDefault="00B84F52" w:rsidP="00B84F52">
      <w:pPr>
        <w:pStyle w:val="StandardWeb"/>
      </w:pPr>
      <w:r>
        <w:t>[</w:t>
      </w:r>
      <w:r>
        <w:br/>
        <w:t>Z</w:t>
      </w:r>
      <w:r>
        <w:br/>
        <w:t>\rightarrow</w:t>
      </w:r>
      <w:r>
        <w:br/>
        <w:t>X</w:t>
      </w:r>
      <w:r>
        <w:br/>
        <w:t>\tag{3.6151}</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Z\rightarrow X\qquad\text{(3.6151)}</w:t>
      </w:r>
    </w:p>
    <w:p w:rsidR="00B84F52" w:rsidRDefault="00B84F52" w:rsidP="00B84F52">
      <w:pPr>
        <w:pStyle w:val="StandardWeb"/>
      </w:pPr>
      <w:r>
        <w:t>und</w:t>
      </w:r>
    </w:p>
    <w:p w:rsidR="00B84F52" w:rsidRDefault="00B84F52" w:rsidP="00B84F52">
      <w:pPr>
        <w:pStyle w:val="StandardWeb"/>
      </w:pPr>
      <w:r>
        <w:t>[</w:t>
      </w:r>
      <w:r>
        <w:br/>
        <w:t>Z</w:t>
      </w:r>
      <w:r>
        <w:br/>
        <w:t>\rightarrow</w:t>
      </w:r>
      <w:r>
        <w:br/>
        <w:t>Y.</w:t>
      </w:r>
      <w:r>
        <w:br/>
        <w:t>\tag{3.6152}</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Z\rightarrow Y\qquad\text{(3.6152)}</w:t>
      </w:r>
    </w:p>
    <w:p w:rsidR="00B84F52" w:rsidRDefault="00B84F52" w:rsidP="00B84F52">
      <w:pPr>
        <w:pStyle w:val="StandardWeb"/>
      </w:pPr>
      <w:r>
        <w:t>Dann kann eine statistische Abhängigkeit</w:t>
      </w:r>
    </w:p>
    <w:p w:rsidR="00B84F52" w:rsidRDefault="00B84F52" w:rsidP="00B84F52">
      <w:pPr>
        <w:pStyle w:val="StandardWeb"/>
      </w:pPr>
      <w:r>
        <w:t>[</w:t>
      </w:r>
      <w:r>
        <w:br/>
        <w:t>X</w:t>
      </w:r>
      <w:r>
        <w:br/>
        <w:t>\not!\perp!!!\perp</w:t>
      </w:r>
      <w:r>
        <w:br/>
        <w:t>Y</w:t>
      </w:r>
      <w:r>
        <w:br/>
        <w:t>\tag{3.6153}</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X\not\!\perp\!\!\!\perp Y\qquad\text{(3.6153)}</w:t>
      </w:r>
    </w:p>
    <w:p w:rsidR="00B84F52" w:rsidRDefault="00B84F52" w:rsidP="00B84F52">
      <w:pPr>
        <w:pStyle w:val="StandardWeb"/>
      </w:pPr>
      <w:r>
        <w:lastRenderedPageBreak/>
        <w:t>auftreten, obwohl keine direkte kausale Beziehung</w:t>
      </w:r>
    </w:p>
    <w:p w:rsidR="00B84F52" w:rsidRDefault="00B84F52" w:rsidP="00B84F52">
      <w:pPr>
        <w:pStyle w:val="StandardWeb"/>
      </w:pPr>
      <w:r>
        <w:t>[</w:t>
      </w:r>
      <w:r>
        <w:br/>
        <w:t>X</w:t>
      </w:r>
      <w:r>
        <w:br/>
        <w:t>\rightarrow_C</w:t>
      </w:r>
      <w:r>
        <w:br/>
        <w:t>Y</w:t>
      </w:r>
      <w:r>
        <w:br/>
        <w:t>\tag{3.6154}</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X\rightarrow_C Y\qquad\text{(3.6154)}</w:t>
      </w:r>
    </w:p>
    <w:p w:rsidR="00B84F52" w:rsidRDefault="00B84F52" w:rsidP="00B84F52">
      <w:pPr>
        <w:pStyle w:val="StandardWeb"/>
      </w:pPr>
      <w:r>
        <w:t>besteht.</w:t>
      </w:r>
    </w:p>
    <w:p w:rsidR="00B84F52" w:rsidRDefault="00B84F52" w:rsidP="00B84F52">
      <w:pPr>
        <w:pStyle w:val="StandardWeb"/>
      </w:pPr>
      <w:r>
        <w:t>Damit wird eine zentrale Grenze der beobachtungsbasierten Kausalinferenz sichtbar. Eine statistische oder funktionale Beziehung kann aus einer gemeinsamen Ursache hervorgehen.</w:t>
      </w:r>
    </w:p>
    <w:p w:rsidR="00B84F52" w:rsidRDefault="00B84F52" w:rsidP="00B84F52">
      <w:pPr>
        <w:pStyle w:val="berschrift2"/>
      </w:pPr>
      <w:r>
        <w:t>3.3.37.7 Bedingte Unabhängigkeit</w:t>
      </w:r>
    </w:p>
    <w:p w:rsidR="00B84F52" w:rsidRDefault="00B84F52" w:rsidP="00B84F52">
      <w:pPr>
        <w:pStyle w:val="StandardWeb"/>
      </w:pPr>
      <w:r>
        <w:t>Eine mögliche diagnostische Struktur besteht darin zu prüfen, ob die Beziehung zwischen (X) und (Y) nach Berücksichtigung einer relevanten Größe (Z) verschwindet.</w:t>
      </w:r>
    </w:p>
    <w:p w:rsidR="00B84F52" w:rsidRDefault="00B84F52" w:rsidP="00B84F52">
      <w:pPr>
        <w:pStyle w:val="StandardWeb"/>
      </w:pPr>
      <w:r>
        <w:t>Dies kann formal geschrieben werden als</w:t>
      </w:r>
    </w:p>
    <w:p w:rsidR="00B84F52" w:rsidRDefault="00B84F52" w:rsidP="00B84F52">
      <w:pPr>
        <w:pStyle w:val="StandardWeb"/>
      </w:pPr>
      <w:r>
        <w:t>[</w:t>
      </w:r>
      <w:r>
        <w:br/>
        <w:t>X</w:t>
      </w:r>
      <w:r>
        <w:br/>
        <w:t>\perp!!!\perp</w:t>
      </w:r>
      <w:r>
        <w:br/>
        <w:t>Y</w:t>
      </w:r>
      <w:r>
        <w:br/>
        <w:t>\mid</w:t>
      </w:r>
      <w:r>
        <w:br/>
        <w:t>Z.</w:t>
      </w:r>
      <w:r>
        <w:br/>
        <w:t>\tag{3.6155}</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X\perp\!\!\!\perp Y\mid Z\qquad\text{(3.6155)}</w:t>
      </w:r>
    </w:p>
    <w:p w:rsidR="00B84F52" w:rsidRDefault="00B84F52" w:rsidP="00B84F52">
      <w:pPr>
        <w:pStyle w:val="StandardWeb"/>
      </w:pPr>
      <w:r>
        <w:t>Eine solche bedingte Unabhängigkeit kann gegen eine direkte Beziehung sprechen oder auf eine gemeinsame Struktur hinweisen. Ihre kausale Interpretation hängt jedoch von den zugrunde gelegten Modellannahmen ab.</w:t>
      </w:r>
    </w:p>
    <w:p w:rsidR="00B84F52" w:rsidRDefault="00B84F52" w:rsidP="00B84F52">
      <w:pPr>
        <w:pStyle w:val="StandardWeb"/>
      </w:pPr>
      <w:r>
        <w:t>Insbesondere darf nicht jede Variable, die statistisch mit (X) und (Y) zusammenhängt, automatisch als Kontrollvariable verwendet werden. Ob eine Variable kontrolliert werden soll, hängt von ihrer funktionalen beziehungsweise kausalen Stellung ab.</w:t>
      </w:r>
    </w:p>
    <w:p w:rsidR="00B84F52" w:rsidRDefault="00B84F52" w:rsidP="00B84F52">
      <w:pPr>
        <w:pStyle w:val="berschrift2"/>
      </w:pPr>
      <w:r>
        <w:t>3.3.37.8 Interventionsbezug</w:t>
      </w:r>
    </w:p>
    <w:p w:rsidR="00B84F52" w:rsidRDefault="00B84F52" w:rsidP="00B84F52">
      <w:pPr>
        <w:pStyle w:val="StandardWeb"/>
      </w:pPr>
      <w:r>
        <w:t>Eine kausale Aussage gewinnt wesentlich stärkeren Gehalt, wenn untersucht wird, wie sich (Y) unter einer gezielten Veränderung von (X) verhält.</w:t>
      </w:r>
    </w:p>
    <w:p w:rsidR="00B84F52" w:rsidRDefault="00B84F52" w:rsidP="00B84F52">
      <w:pPr>
        <w:pStyle w:val="StandardWeb"/>
      </w:pPr>
      <w:r>
        <w:lastRenderedPageBreak/>
        <w:t>Eine Intervention schreibe ich als</w:t>
      </w:r>
    </w:p>
    <w:p w:rsidR="00B84F52" w:rsidRDefault="00B84F52" w:rsidP="00B84F52">
      <w:pPr>
        <w:pStyle w:val="StandardWeb"/>
      </w:pPr>
      <w:r>
        <w:t>[</w:t>
      </w:r>
      <w:r>
        <w:br/>
        <w:t>\operatorname{do}</w:t>
      </w:r>
      <w:r>
        <w:br/>
        <w:t>\left(</w:t>
      </w:r>
      <w:r>
        <w:br/>
        <w:t>X=x</w:t>
      </w:r>
      <w:r>
        <w:br/>
        <w:t>\right).</w:t>
      </w:r>
      <w:r>
        <w:br/>
        <w:t>\tag{3.6156}</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\operatorname{do}\left(X=x\right)\qquad\text{(3.6156)}</w:t>
      </w:r>
    </w:p>
    <w:p w:rsidR="00B84F52" w:rsidRDefault="00B84F52" w:rsidP="00B84F52">
      <w:pPr>
        <w:pStyle w:val="StandardWeb"/>
      </w:pPr>
      <w:r>
        <w:t>Das zugehörige Ergebnis lautet</w:t>
      </w:r>
    </w:p>
    <w:p w:rsidR="00B84F52" w:rsidRDefault="00B84F52" w:rsidP="00B84F52">
      <w:pPr>
        <w:pStyle w:val="StandardWeb"/>
      </w:pPr>
      <w:r>
        <w:t>[</w:t>
      </w:r>
      <w:r>
        <w:br/>
        <w:t>Y_{\operatorname{do}(X=x)}.</w:t>
      </w:r>
      <w:r>
        <w:br/>
        <w:t>\tag{3.6157}</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Y_{\operatorname{do}(X=x)}\qquad\text{(3.6157)}</w:t>
      </w:r>
    </w:p>
    <w:p w:rsidR="00B84F52" w:rsidRDefault="00B84F52" w:rsidP="00B84F52">
      <w:pPr>
        <w:pStyle w:val="StandardWeb"/>
      </w:pPr>
      <w:r>
        <w:t>Für zwei unterschiedliche Interventionen kann ein interventionsbezogener Effekt definiert werden als</w:t>
      </w:r>
    </w:p>
    <w:p w:rsidR="00B84F52" w:rsidRDefault="00B84F52" w:rsidP="00B84F52">
      <w:pPr>
        <w:pStyle w:val="berschrift1"/>
      </w:pPr>
      <w:r>
        <w:t>[</w:t>
      </w:r>
      <w:r>
        <w:br/>
        <w:t>\Delta_Y^{C}</w:t>
      </w:r>
    </w:p>
    <w:p w:rsidR="00B84F52" w:rsidRDefault="00B84F52" w:rsidP="00B84F52">
      <w:pPr>
        <w:pStyle w:val="berschrift2"/>
      </w:pPr>
      <w:r>
        <w:t>Y_{\operatorname{do}(X=x_2)}</w:t>
      </w:r>
    </w:p>
    <w:p w:rsidR="00B84F52" w:rsidRDefault="00B84F52" w:rsidP="00B84F52">
      <w:pPr>
        <w:pStyle w:val="StandardWeb"/>
      </w:pPr>
      <w:r>
        <w:t>Y_{\operatorname{do}(X=x_1)}.</w:t>
      </w:r>
      <w:r>
        <w:br/>
        <w:t>\tag{3.6158}</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\Delta_Y^{C}=Y_{\operatorname{do}(X=x_2)}-Y_{\operatorname{do}(X=x_1)}\qquad\text{(3.6158)}</w:t>
      </w:r>
    </w:p>
    <w:p w:rsidR="00B84F52" w:rsidRDefault="00B84F52" w:rsidP="00B84F52">
      <w:pPr>
        <w:pStyle w:val="StandardWeb"/>
      </w:pPr>
      <w:r>
        <w:t>Diese Differenz besitzt nur dann kausale Bedeutung, wenn die Intervention so definiert ist, dass die übrigen relevanten Bedingungen kontrolliert oder methodisch berücksichtigt werden.</w:t>
      </w:r>
    </w:p>
    <w:p w:rsidR="00B84F52" w:rsidRDefault="00B84F52" w:rsidP="00B84F52">
      <w:pPr>
        <w:pStyle w:val="StandardWeb"/>
      </w:pPr>
      <w:r>
        <w:t>Eine rein modellinterne Berechnung eines Interventionswertes ist deshalb noch kein empirischer Nachweis eines Kausaleffekts.</w:t>
      </w:r>
    </w:p>
    <w:p w:rsidR="00B84F52" w:rsidRDefault="00B84F52" w:rsidP="00B84F52">
      <w:pPr>
        <w:pStyle w:val="berschrift2"/>
      </w:pPr>
      <w:r>
        <w:t>3.3.37.9 Beobachtung und Intervention</w:t>
      </w:r>
    </w:p>
    <w:p w:rsidR="00B84F52" w:rsidRDefault="00B84F52" w:rsidP="00B84F52">
      <w:pPr>
        <w:pStyle w:val="StandardWeb"/>
      </w:pPr>
      <w:r>
        <w:lastRenderedPageBreak/>
        <w:t>Eine zentrale methodische Unterscheidung betrifft den Unterschied zwischen beobachteter Konditionierung und gezielter Intervention.</w:t>
      </w:r>
    </w:p>
    <w:p w:rsidR="00B84F52" w:rsidRDefault="00B84F52" w:rsidP="00B84F52">
      <w:pPr>
        <w:pStyle w:val="StandardWeb"/>
      </w:pPr>
      <w:r>
        <w:t>Die beobachtende bedingte Erwartung lautet</w:t>
      </w:r>
    </w:p>
    <w:p w:rsidR="00B84F52" w:rsidRDefault="00B84F52" w:rsidP="00B84F52">
      <w:pPr>
        <w:pStyle w:val="StandardWeb"/>
      </w:pPr>
      <w:r>
        <w:t>[</w:t>
      </w:r>
      <w:r>
        <w:br/>
        <w:t>\mathbb{E}</w:t>
      </w:r>
      <w:r>
        <w:br/>
        <w:t>\left[</w:t>
      </w:r>
      <w:r>
        <w:br/>
        <w:t>Y</w:t>
      </w:r>
      <w:r>
        <w:br/>
        <w:t>\mid</w:t>
      </w:r>
      <w:r>
        <w:br/>
        <w:t>X=x</w:t>
      </w:r>
      <w:r>
        <w:br/>
        <w:t>\right].</w:t>
      </w:r>
      <w:r>
        <w:br/>
        <w:t>\tag{3.6159}</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\mathbb{E}\left[Y\mid X=x\right]\qquad\text{(3.6159)}</w:t>
      </w:r>
    </w:p>
    <w:p w:rsidR="00B84F52" w:rsidRDefault="00B84F52" w:rsidP="00B84F52">
      <w:pPr>
        <w:pStyle w:val="StandardWeb"/>
      </w:pPr>
      <w:r>
        <w:t>Eine interventionsbezogene Erwartung lautet dagegen</w:t>
      </w:r>
    </w:p>
    <w:p w:rsidR="00B84F52" w:rsidRDefault="00B84F52" w:rsidP="00B84F52">
      <w:pPr>
        <w:pStyle w:val="StandardWeb"/>
      </w:pPr>
      <w:r>
        <w:t>[</w:t>
      </w:r>
      <w:r>
        <w:br/>
        <w:t>\mathbb{E}</w:t>
      </w:r>
      <w:r>
        <w:br/>
        <w:t>\left[</w:t>
      </w:r>
      <w:r>
        <w:br/>
        <w:t>Y</w:t>
      </w:r>
      <w:r>
        <w:br/>
        <w:t>\mid</w:t>
      </w:r>
      <w:r>
        <w:br/>
        <w:t>\operatorname{do}(X=x)</w:t>
      </w:r>
      <w:r>
        <w:br/>
        <w:t>\right].</w:t>
      </w:r>
      <w:r>
        <w:br/>
        <w:t>\tag{3.6160}</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\mathbb{E}\left[Y\mid\operatorname{do}(X=x)\right]\qquad\text{(3.6160)}</w:t>
      </w:r>
    </w:p>
    <w:p w:rsidR="00B84F52" w:rsidRDefault="00B84F52" w:rsidP="00B84F52">
      <w:pPr>
        <w:pStyle w:val="StandardWeb"/>
      </w:pPr>
      <w:r>
        <w:t>Im Allgemeinen gilt nicht notwendig</w:t>
      </w:r>
    </w:p>
    <w:p w:rsidR="00B84F52" w:rsidRDefault="00B84F52" w:rsidP="00B84F52">
      <w:pPr>
        <w:pStyle w:val="berschrift1"/>
      </w:pPr>
      <w:r>
        <w:t>[</w:t>
      </w:r>
      <w:r>
        <w:br/>
        <w:t>\mathbb{E}</w:t>
      </w:r>
      <w:r>
        <w:br/>
        <w:t>\left[</w:t>
      </w:r>
      <w:r>
        <w:br/>
        <w:t>Y</w:t>
      </w:r>
      <w:r>
        <w:br/>
        <w:t>\mid</w:t>
      </w:r>
      <w:r>
        <w:br/>
        <w:t>X=x</w:t>
      </w:r>
      <w:r>
        <w:br/>
        <w:t>\right]</w:t>
      </w:r>
    </w:p>
    <w:p w:rsidR="00B84F52" w:rsidRDefault="00B84F52" w:rsidP="00B84F52">
      <w:pPr>
        <w:pStyle w:val="StandardWeb"/>
      </w:pPr>
      <w:r>
        <w:lastRenderedPageBreak/>
        <w:t>\mathbb{E}</w:t>
      </w:r>
      <w:r>
        <w:br/>
        <w:t>\left[</w:t>
      </w:r>
      <w:r>
        <w:br/>
        <w:t>Y</w:t>
      </w:r>
      <w:r>
        <w:br/>
        <w:t>\mid</w:t>
      </w:r>
      <w:r>
        <w:br/>
        <w:t>\operatorname{do}(X=x)</w:t>
      </w:r>
      <w:r>
        <w:br/>
        <w:t>\right].</w:t>
      </w:r>
      <w:r>
        <w:br/>
        <w:t>\tag{3.6161}</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\mathbb{E}\left[Y\mid X=x\right]=\mathbb{E}\left[Y\mid\operatorname{do}(X=x)\right]\qquad\text{(3.6161)}</w:t>
      </w:r>
    </w:p>
    <w:p w:rsidR="00B84F52" w:rsidRDefault="00B84F52" w:rsidP="00B84F52">
      <w:pPr>
        <w:pStyle w:val="StandardWeb"/>
      </w:pPr>
      <w:r>
        <w:t>Die linke Seite beschreibt, welche (Y)-Werte bei beobachtetem (X=x) auftreten. Die rechte Seite beschreibt dagegen, welche (Y)-Werte erwartet werden, wenn (X) gezielt auf (x) gesetzt wird.</w:t>
      </w:r>
    </w:p>
    <w:p w:rsidR="00B84F52" w:rsidRDefault="00B84F52" w:rsidP="00B84F52">
      <w:pPr>
        <w:pStyle w:val="StandardWeb"/>
      </w:pPr>
      <w:r>
        <w:t>Die Gleichheit beider Größen ist eine zusätzliche Identifikationsaussage und darf nicht vorausgesetzt werden.</w:t>
      </w:r>
    </w:p>
    <w:p w:rsidR="00B84F52" w:rsidRDefault="00B84F52" w:rsidP="00B84F52">
      <w:pPr>
        <w:pStyle w:val="berschrift2"/>
      </w:pPr>
      <w:r>
        <w:t>3.3.37.10 Kontrafaktischer Kausalbezug</w:t>
      </w:r>
    </w:p>
    <w:p w:rsidR="00B84F52" w:rsidRDefault="00B84F52" w:rsidP="00B84F52">
      <w:pPr>
        <w:pStyle w:val="StandardWeb"/>
      </w:pPr>
      <w:r>
        <w:t>Neben Interventionen kann Kausalität durch kontrafaktische Aussagen charakterisiert werden.</w:t>
      </w:r>
    </w:p>
    <w:p w:rsidR="00B84F52" w:rsidRDefault="00B84F52" w:rsidP="00B84F52">
      <w:pPr>
        <w:pStyle w:val="StandardWeb"/>
      </w:pPr>
      <w:r>
        <w:t>Das potentielle Ergebnis unter der Bedingung (X=x) lautet</w:t>
      </w:r>
    </w:p>
    <w:p w:rsidR="00B84F52" w:rsidRDefault="00B84F52" w:rsidP="00B84F52">
      <w:pPr>
        <w:pStyle w:val="StandardWeb"/>
      </w:pPr>
      <w:r>
        <w:t>[</w:t>
      </w:r>
      <w:r>
        <w:br/>
        <w:t>Y(x).</w:t>
      </w:r>
      <w:r>
        <w:br/>
        <w:t>\tag{3.6162}</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Y(x)\qquad\text{(3.6162)}</w:t>
      </w:r>
    </w:p>
    <w:p w:rsidR="00B84F52" w:rsidRDefault="00B84F52" w:rsidP="00B84F52">
      <w:pPr>
        <w:pStyle w:val="StandardWeb"/>
      </w:pPr>
      <w:r>
        <w:t>Für zwei alternative Bedingungen ergeben sich</w:t>
      </w:r>
    </w:p>
    <w:p w:rsidR="00B84F52" w:rsidRDefault="00B84F52" w:rsidP="00B84F52">
      <w:pPr>
        <w:pStyle w:val="StandardWeb"/>
      </w:pPr>
      <w:r>
        <w:t>[</w:t>
      </w:r>
      <w:r>
        <w:br/>
        <w:t>Y(x_1)</w:t>
      </w:r>
      <w:r>
        <w:br/>
        <w:t>\quad\text{und}\quad</w:t>
      </w:r>
      <w:r>
        <w:br/>
        <w:t>Y(x_2).</w:t>
      </w:r>
      <w:r>
        <w:br/>
        <w:t>\tag{3.6163}</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Y(x_1)\quad\text{und}\quad Y(x_2)\qquad\text{(3.6163)}</w:t>
      </w:r>
    </w:p>
    <w:p w:rsidR="00B84F52" w:rsidRDefault="00B84F52" w:rsidP="00B84F52">
      <w:pPr>
        <w:pStyle w:val="StandardWeb"/>
      </w:pPr>
      <w:r>
        <w:t>Ein individueller kontrafaktischer Effekt lautet formal</w:t>
      </w:r>
    </w:p>
    <w:p w:rsidR="00B84F52" w:rsidRDefault="00B84F52" w:rsidP="00B84F52">
      <w:pPr>
        <w:pStyle w:val="berschrift1"/>
      </w:pPr>
      <w:r>
        <w:lastRenderedPageBreak/>
        <w:t>[</w:t>
      </w:r>
      <w:r>
        <w:br/>
        <w:t>\Delta_Y^{\mathrm{cf}}</w:t>
      </w:r>
    </w:p>
    <w:p w:rsidR="00B84F52" w:rsidRDefault="00B84F52" w:rsidP="00B84F52">
      <w:pPr>
        <w:pStyle w:val="berschrift2"/>
      </w:pPr>
      <w:r>
        <w:t>Y(x_2)</w:t>
      </w:r>
    </w:p>
    <w:p w:rsidR="00B84F52" w:rsidRDefault="00B84F52" w:rsidP="00B84F52">
      <w:pPr>
        <w:pStyle w:val="StandardWeb"/>
      </w:pPr>
      <w:r>
        <w:t>Y(x_1).</w:t>
      </w:r>
      <w:r>
        <w:br/>
        <w:t>\tag{3.6164}</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\Delta_Y^{\mathrm{cf}}=Y(x_2)-Y(x_1)\qquad\text{(3.6164)}</w:t>
      </w:r>
    </w:p>
    <w:p w:rsidR="00B84F52" w:rsidRDefault="00B84F52" w:rsidP="00B84F52">
      <w:pPr>
        <w:pStyle w:val="StandardWeb"/>
      </w:pPr>
      <w:r>
        <w:t>Das grundlegende Problem besteht darin, dass für dieselbe empirische Einheit im Allgemeinen nicht beide potentiellen Ergebnisse gleichzeitig beobachtet werden können.</w:t>
      </w:r>
    </w:p>
    <w:p w:rsidR="00B84F52" w:rsidRDefault="00B84F52" w:rsidP="00B84F52">
      <w:pPr>
        <w:pStyle w:val="StandardWeb"/>
      </w:pPr>
      <w:r>
        <w:t>Damit besitzt Kausalinferenz einen grundsätzlich anderen Charakter als eine gewöhnliche Beschreibung beobachteter Zusammenhänge. Mindestens ein Teil der kausalen Aussage betrifft eine nicht gleichzeitig beobachtbare Vergleichssituation.</w:t>
      </w:r>
    </w:p>
    <w:p w:rsidR="00B84F52" w:rsidRDefault="00B84F52" w:rsidP="00B84F52">
      <w:pPr>
        <w:pStyle w:val="berschrift2"/>
      </w:pPr>
      <w:r>
        <w:t>3.3.37.11 Durchschnittlicher kausaler Effekt</w:t>
      </w:r>
    </w:p>
    <w:p w:rsidR="00B84F52" w:rsidRDefault="00B84F52" w:rsidP="00B84F52">
      <w:pPr>
        <w:pStyle w:val="StandardWeb"/>
      </w:pPr>
      <w:r>
        <w:t>Für eine Menge vergleichbarer Einheiten kann ein durchschnittlicher kausaler Effekt definiert werden:</w:t>
      </w:r>
    </w:p>
    <w:p w:rsidR="00B84F52" w:rsidRDefault="00B84F52" w:rsidP="00B84F52">
      <w:pPr>
        <w:pStyle w:val="berschrift1"/>
      </w:pPr>
      <w:r>
        <w:t>[</w:t>
      </w:r>
      <w:r>
        <w:br/>
        <w:t>\operatorname{ACE}</w:t>
      </w:r>
    </w:p>
    <w:p w:rsidR="00B84F52" w:rsidRDefault="00B84F52" w:rsidP="00B84F52">
      <w:pPr>
        <w:pStyle w:val="berschrift2"/>
      </w:pPr>
      <w:r>
        <w:t>\mathbb{E}</w:t>
      </w:r>
      <w:r>
        <w:br/>
        <w:t>\left[</w:t>
      </w:r>
      <w:r>
        <w:br/>
        <w:t>Y(x_2)</w:t>
      </w:r>
    </w:p>
    <w:p w:rsidR="00B84F52" w:rsidRDefault="00B84F52" w:rsidP="00B84F52">
      <w:pPr>
        <w:pStyle w:val="StandardWeb"/>
      </w:pPr>
      <w:r>
        <w:t>Y(x_1)</w:t>
      </w:r>
      <w:r>
        <w:br/>
        <w:t>\right].</w:t>
      </w:r>
      <w:r>
        <w:br/>
        <w:t>\tag{3.6165}</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\operatorname{ACE}=\mathbb{E}\left[Y(x_2)-Y(x_1)\right]\qquad\text{(3.6165)}</w:t>
      </w:r>
    </w:p>
    <w:p w:rsidR="00B84F52" w:rsidRDefault="00B84F52" w:rsidP="00B84F52">
      <w:pPr>
        <w:pStyle w:val="StandardWeb"/>
      </w:pPr>
      <w:r>
        <w:t>Aufgrund der Linearität des Erwartungswertes gilt, sofern die entsprechenden Erwartungswerte existieren,</w:t>
      </w:r>
    </w:p>
    <w:p w:rsidR="00B84F52" w:rsidRDefault="00B84F52" w:rsidP="00B84F52">
      <w:pPr>
        <w:pStyle w:val="berschrift1"/>
      </w:pPr>
      <w:r>
        <w:lastRenderedPageBreak/>
        <w:t>[</w:t>
      </w:r>
      <w:r>
        <w:br/>
        <w:t>\operatorname{ACE}</w:t>
      </w:r>
    </w:p>
    <w:p w:rsidR="00B84F52" w:rsidRDefault="00B84F52" w:rsidP="00B84F52">
      <w:pPr>
        <w:pStyle w:val="berschrift2"/>
      </w:pPr>
      <w:r>
        <w:t>\mathbb{E}</w:t>
      </w:r>
      <w:r>
        <w:br/>
        <w:t>\left[</w:t>
      </w:r>
      <w:r>
        <w:br/>
        <w:t>Y(x_2)</w:t>
      </w:r>
      <w:r>
        <w:br/>
        <w:t>\right]</w:t>
      </w:r>
    </w:p>
    <w:p w:rsidR="00B84F52" w:rsidRDefault="00B84F52" w:rsidP="00B84F52">
      <w:pPr>
        <w:pStyle w:val="StandardWeb"/>
      </w:pPr>
      <w:r>
        <w:t>\mathbb{E}</w:t>
      </w:r>
      <w:r>
        <w:br/>
        <w:t>\left[</w:t>
      </w:r>
      <w:r>
        <w:br/>
        <w:t>Y(x_1)</w:t>
      </w:r>
      <w:r>
        <w:br/>
        <w:t>\right].</w:t>
      </w:r>
      <w:r>
        <w:br/>
        <w:t>\tag{3.6166}</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\operatorname{ACE}=\mathbb{E}\left[Y(x_2)\right]-\mathbb{E}\left[Y(x_1)\right]\qquad\text{(3.6166)}</w:t>
      </w:r>
    </w:p>
    <w:p w:rsidR="00B84F52" w:rsidRDefault="00B84F52" w:rsidP="00B84F52">
      <w:pPr>
        <w:pStyle w:val="StandardWeb"/>
      </w:pPr>
      <w:r>
        <w:t>Die mathematische Definition des Effekts darf nicht mit seiner empirischen Identifizierbarkeit verwechselt werden. Ob beide Erwartungswerte aus den verfügbaren Daten bestimmt werden können, hängt von der Untersuchungsstruktur und zusätzlichen Annahmen ab.</w:t>
      </w:r>
    </w:p>
    <w:p w:rsidR="00B84F52" w:rsidRDefault="00B84F52" w:rsidP="00B84F52">
      <w:pPr>
        <w:pStyle w:val="berschrift2"/>
      </w:pPr>
      <w:r>
        <w:t>3.3.37.12 Direkte und indirekte funktionale Wirkpfade</w:t>
      </w:r>
    </w:p>
    <w:p w:rsidR="00B84F52" w:rsidRDefault="00B84F52" w:rsidP="00B84F52">
      <w:pPr>
        <w:pStyle w:val="StandardWeb"/>
      </w:pPr>
      <w:r>
        <w:t>Eine funktionale Wirkung kann über eine Zwischenstruktur vermittelt sein.</w:t>
      </w:r>
    </w:p>
    <w:p w:rsidR="00B84F52" w:rsidRDefault="00B84F52" w:rsidP="00B84F52">
      <w:pPr>
        <w:pStyle w:val="StandardWeb"/>
      </w:pPr>
      <w:r>
        <w:t>Ein indirekter Pfad lautet beispielsweise</w:t>
      </w:r>
    </w:p>
    <w:p w:rsidR="00B84F52" w:rsidRDefault="00B84F52" w:rsidP="00B84F52">
      <w:pPr>
        <w:pStyle w:val="StandardWeb"/>
      </w:pPr>
      <w:r>
        <w:t>[</w:t>
      </w:r>
      <w:r>
        <w:br/>
        <w:t>X</w:t>
      </w:r>
      <w:r>
        <w:br/>
        <w:t>\rightarrow_F</w:t>
      </w:r>
      <w:r>
        <w:br/>
        <w:t>Z</w:t>
      </w:r>
      <w:r>
        <w:br/>
        <w:t>\rightarrow_F</w:t>
      </w:r>
      <w:r>
        <w:br/>
        <w:t>Y.</w:t>
      </w:r>
      <w:r>
        <w:br/>
        <w:t>\tag{3.6167}</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X\rightarrow_F Z\rightarrow_F Y\qquad\text{(3.6167)}</w:t>
      </w:r>
    </w:p>
    <w:p w:rsidR="00B84F52" w:rsidRDefault="00B84F52" w:rsidP="00B84F52">
      <w:pPr>
        <w:pStyle w:val="StandardWeb"/>
      </w:pPr>
      <w:r>
        <w:t>Daneben kann ein direkter Pfad existieren:</w:t>
      </w:r>
    </w:p>
    <w:p w:rsidR="00B84F52" w:rsidRDefault="00B84F52" w:rsidP="00B84F52">
      <w:pPr>
        <w:pStyle w:val="StandardWeb"/>
      </w:pPr>
      <w:r>
        <w:t>[</w:t>
      </w:r>
      <w:r>
        <w:br/>
        <w:t>X</w:t>
      </w:r>
      <w:r>
        <w:br/>
        <w:t>\rightarrow_F</w:t>
      </w:r>
      <w:r>
        <w:br/>
      </w:r>
      <w:r>
        <w:lastRenderedPageBreak/>
        <w:t>Y.</w:t>
      </w:r>
      <w:r>
        <w:br/>
        <w:t>\tag{3.6168}</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X\rightarrow_F Y\qquad\text{(3.6168)}</w:t>
      </w:r>
    </w:p>
    <w:p w:rsidR="00B84F52" w:rsidRDefault="00B84F52" w:rsidP="00B84F52">
      <w:pPr>
        <w:pStyle w:val="StandardWeb"/>
      </w:pPr>
      <w:r>
        <w:t>Die Unterscheidung zwischen direktem und indirektem funktionalen Pfad ist zunächst eine Eigenschaft der Modellstruktur. Eine kausale Interpretation verlangt zusätzlich, dass die entsprechenden Pfade kausal identifiziert werden können.</w:t>
      </w:r>
    </w:p>
    <w:p w:rsidR="00B84F52" w:rsidRDefault="00B84F52" w:rsidP="00B84F52">
      <w:pPr>
        <w:pStyle w:val="StandardWeb"/>
      </w:pPr>
      <w:r>
        <w:t>Gerade bei komplexen FRZK-Systemen ist diese Unterscheidung wichtig, weil beobachtete Wirkungen häufig nicht aus einer einzelnen direkten Transformation, sondern aus einer Kaskade funktionaler Übergänge hervorgehen können.</w:t>
      </w:r>
    </w:p>
    <w:p w:rsidR="00B84F52" w:rsidRDefault="00B84F52" w:rsidP="00B84F52">
      <w:pPr>
        <w:pStyle w:val="berschrift2"/>
      </w:pPr>
      <w:r>
        <w:t>3.3.37.13 Rückkopplungen</w:t>
      </w:r>
    </w:p>
    <w:p w:rsidR="00B84F52" w:rsidRDefault="00B84F52" w:rsidP="00B84F52">
      <w:pPr>
        <w:pStyle w:val="StandardWeb"/>
      </w:pPr>
      <w:r>
        <w:t>Funktionale Systeme können Rückkopplungen enthalten:</w:t>
      </w:r>
    </w:p>
    <w:p w:rsidR="00B84F52" w:rsidRDefault="00B84F52" w:rsidP="00B84F52">
      <w:pPr>
        <w:pStyle w:val="StandardWeb"/>
      </w:pPr>
      <w:r>
        <w:t>[</w:t>
      </w:r>
      <w:r>
        <w:br/>
        <w:t>X</w:t>
      </w:r>
      <w:r>
        <w:br/>
        <w:t>\rightarrow_F</w:t>
      </w:r>
      <w:r>
        <w:br/>
        <w:t>Y</w:t>
      </w:r>
      <w:r>
        <w:br/>
        <w:t>\rightarrow_F</w:t>
      </w:r>
      <w:r>
        <w:br/>
        <w:t>X.</w:t>
      </w:r>
      <w:r>
        <w:br/>
        <w:t>\tag{3.6169}</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X\rightarrow_F Y\rightarrow_F X\qquad\text{(3.6169)}</w:t>
      </w:r>
    </w:p>
    <w:p w:rsidR="00B84F52" w:rsidRDefault="00B84F52" w:rsidP="00B84F52">
      <w:pPr>
        <w:pStyle w:val="StandardWeb"/>
      </w:pPr>
      <w:r>
        <w:t>Eine solche Darstellung scheint zunächst eine zirkuläre Ursache-Wirkungs-Struktur zu erzeugen. Wird jedoch die funktionale Entwicklung berücksichtigt, kann die Rückkopplung zeitlich beziehungsweise schrittweise aufgelöst werden.</w:t>
      </w:r>
    </w:p>
    <w:p w:rsidR="00B84F52" w:rsidRDefault="00B84F52" w:rsidP="00B84F52">
      <w:pPr>
        <w:pStyle w:val="StandardWeb"/>
      </w:pPr>
      <w:r>
        <w:t>Beispielsweise kann gelten</w:t>
      </w:r>
    </w:p>
    <w:p w:rsidR="00B84F52" w:rsidRDefault="00B84F52" w:rsidP="00B84F52">
      <w:pPr>
        <w:pStyle w:val="StandardWeb"/>
      </w:pPr>
      <w:r>
        <w:t>[</w:t>
      </w:r>
      <w:r>
        <w:br/>
        <w:t>X_t</w:t>
      </w:r>
      <w:r>
        <w:br/>
        <w:t>\rightarrow_F</w:t>
      </w:r>
      <w:r>
        <w:br/>
        <w:t>Y_{t+1}</w:t>
      </w:r>
      <w:r>
        <w:br/>
        <w:t>\tag{3.6170}</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X_t\rightarrow_F Y_{t+1}\qquad\text{(3.6170)}</w:t>
      </w:r>
    </w:p>
    <w:p w:rsidR="00B84F52" w:rsidRDefault="00B84F52" w:rsidP="00B84F52">
      <w:pPr>
        <w:pStyle w:val="StandardWeb"/>
      </w:pPr>
      <w:r>
        <w:t>und anschließend</w:t>
      </w:r>
    </w:p>
    <w:p w:rsidR="00B84F52" w:rsidRDefault="00B84F52" w:rsidP="00B84F52">
      <w:pPr>
        <w:pStyle w:val="StandardWeb"/>
      </w:pPr>
      <w:r>
        <w:lastRenderedPageBreak/>
        <w:t>[</w:t>
      </w:r>
      <w:r>
        <w:br/>
        <w:t>Y_{t+1}</w:t>
      </w:r>
      <w:r>
        <w:br/>
        <w:t>\rightarrow_F</w:t>
      </w:r>
      <w:r>
        <w:br/>
        <w:t>X_{t+2}.</w:t>
      </w:r>
      <w:r>
        <w:br/>
        <w:t>\tag{3.6171}</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Y_{t+1}\rightarrow_F X_{t+2}\qquad\text{(3.6171)}</w:t>
      </w:r>
    </w:p>
    <w:p w:rsidR="00B84F52" w:rsidRDefault="00B84F52" w:rsidP="00B84F52">
      <w:pPr>
        <w:pStyle w:val="StandardWeb"/>
      </w:pPr>
      <w:r>
        <w:t>Damit liegt keine unmittelbare logische Zirkularität vor. Vielmehr beeinflussen sich die Größen über aufeinanderfolgende funktionale Entwicklungsschritte.</w:t>
      </w:r>
    </w:p>
    <w:p w:rsidR="00B84F52" w:rsidRDefault="00B84F52" w:rsidP="00B84F52">
      <w:pPr>
        <w:pStyle w:val="StandardWeb"/>
      </w:pPr>
      <w:r>
        <w:t>Dies ist für das FRZK besonders relevant, weil Rückkopplungen in komplexen Systemen nicht als Störung der Theorie behandelt werden dürfen, sondern selbst ein möglicher Bestandteil ihrer funktionalen Architektur sind.</w:t>
      </w:r>
    </w:p>
    <w:p w:rsidR="00B84F52" w:rsidRDefault="00B84F52" w:rsidP="00B84F52">
      <w:pPr>
        <w:pStyle w:val="berschrift2"/>
      </w:pPr>
      <w:r>
        <w:t>3.3.37.14 Gemeinsame Ursache</w:t>
      </w:r>
    </w:p>
    <w:p w:rsidR="00B84F52" w:rsidRDefault="00B84F52" w:rsidP="00B84F52">
      <w:pPr>
        <w:pStyle w:val="StandardWeb"/>
      </w:pPr>
      <w:r>
        <w:t>Eine häufige Alternativerklärung einer beobachteten Beziehung zwischen (X) und (Y) besteht in einer gemeinsamen Ursache (Z).</w:t>
      </w:r>
    </w:p>
    <w:p w:rsidR="00B84F52" w:rsidRDefault="00B84F52" w:rsidP="00B84F52">
      <w:pPr>
        <w:pStyle w:val="StandardWeb"/>
      </w:pPr>
      <w:r>
        <w:t>Die Struktur lautet</w:t>
      </w:r>
    </w:p>
    <w:p w:rsidR="00B84F52" w:rsidRDefault="00B84F52" w:rsidP="00B84F52">
      <w:pPr>
        <w:pStyle w:val="StandardWeb"/>
      </w:pPr>
      <w:r>
        <w:t>[</w:t>
      </w:r>
      <w:r>
        <w:br/>
        <w:t>Z</w:t>
      </w:r>
      <w:r>
        <w:br/>
        <w:t>\rightarrow_C</w:t>
      </w:r>
      <w:r>
        <w:br/>
        <w:t>X</w:t>
      </w:r>
      <w:r>
        <w:br/>
        <w:t>\tag{3.6172}</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Z\rightarrow_C X\qquad\text{(3.6172)}</w:t>
      </w:r>
    </w:p>
    <w:p w:rsidR="00B84F52" w:rsidRDefault="00B84F52" w:rsidP="00B84F52">
      <w:pPr>
        <w:pStyle w:val="StandardWeb"/>
      </w:pPr>
      <w:r>
        <w:t>und</w:t>
      </w:r>
    </w:p>
    <w:p w:rsidR="00B84F52" w:rsidRDefault="00B84F52" w:rsidP="00B84F52">
      <w:pPr>
        <w:pStyle w:val="StandardWeb"/>
      </w:pPr>
      <w:r>
        <w:t>[</w:t>
      </w:r>
      <w:r>
        <w:br/>
        <w:t>Z</w:t>
      </w:r>
      <w:r>
        <w:br/>
        <w:t>\rightarrow_C</w:t>
      </w:r>
      <w:r>
        <w:br/>
        <w:t>Y.</w:t>
      </w:r>
      <w:r>
        <w:br/>
        <w:t>\tag{3.6173}</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Z\rightarrow_C Y\qquad\text{(3.6173)}</w:t>
      </w:r>
    </w:p>
    <w:p w:rsidR="00B84F52" w:rsidRDefault="00B84F52" w:rsidP="00B84F52">
      <w:pPr>
        <w:pStyle w:val="StandardWeb"/>
      </w:pPr>
      <w:r>
        <w:t>Eine beobachtete Beziehung zwischen (X) und (Y) kann in diesem Fall entstehen, ohne dass eine direkte kausale Verbindung zwischen ihnen besteht.</w:t>
      </w:r>
    </w:p>
    <w:p w:rsidR="00B84F52" w:rsidRDefault="00B84F52" w:rsidP="00B84F52">
      <w:pPr>
        <w:pStyle w:val="StandardWeb"/>
      </w:pPr>
      <w:r>
        <w:lastRenderedPageBreak/>
        <w:t>Methodisch folgt daraus die Pflicht, relevante gemeinsame Ursachen ausdrücklich zu suchen und nicht nur statistisch offensichtliche Zusammenhänge zwischen Zielgrößen zu interpretieren.</w:t>
      </w:r>
    </w:p>
    <w:p w:rsidR="00B84F52" w:rsidRDefault="00B84F52" w:rsidP="00B84F52">
      <w:pPr>
        <w:pStyle w:val="berschrift2"/>
      </w:pPr>
      <w:r>
        <w:t>3.3.37.15 Mediator</w:t>
      </w:r>
    </w:p>
    <w:p w:rsidR="00B84F52" w:rsidRDefault="00B84F52" w:rsidP="00B84F52">
      <w:pPr>
        <w:pStyle w:val="StandardWeb"/>
      </w:pPr>
      <w:r>
        <w:t>Eine vermittelnde Größe (M) besitzt eine andere strukturelle Rolle als eine gemeinsame Ursache.</w:t>
      </w:r>
    </w:p>
    <w:p w:rsidR="00B84F52" w:rsidRDefault="00B84F52" w:rsidP="00B84F52">
      <w:pPr>
        <w:pStyle w:val="StandardWeb"/>
      </w:pPr>
      <w:r>
        <w:t>Eine mögliche Mediationsstruktur lautet</w:t>
      </w:r>
    </w:p>
    <w:p w:rsidR="00B84F52" w:rsidRDefault="00B84F52" w:rsidP="00B84F52">
      <w:pPr>
        <w:pStyle w:val="StandardWeb"/>
      </w:pPr>
      <w:r>
        <w:t>[</w:t>
      </w:r>
      <w:r>
        <w:br/>
        <w:t>X</w:t>
      </w:r>
      <w:r>
        <w:br/>
        <w:t>\rightarrow_C</w:t>
      </w:r>
      <w:r>
        <w:br/>
        <w:t>M</w:t>
      </w:r>
      <w:r>
        <w:br/>
        <w:t>\rightarrow_C</w:t>
      </w:r>
      <w:r>
        <w:br/>
        <w:t>Y.</w:t>
      </w:r>
      <w:r>
        <w:br/>
        <w:t>\tag{3.6174}</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X\rightarrow_C M\rightarrow_C Y\qquad\text{(3.6174)}</w:t>
      </w:r>
    </w:p>
    <w:p w:rsidR="00B84F52" w:rsidRDefault="00B84F52" w:rsidP="00B84F52">
      <w:pPr>
        <w:pStyle w:val="StandardWeb"/>
      </w:pPr>
      <w:r>
        <w:t>Dabei liegt (M) auf einem Wirkpfad zwischen (X) und (Y).</w:t>
      </w:r>
    </w:p>
    <w:p w:rsidR="00B84F52" w:rsidRDefault="00B84F52" w:rsidP="00B84F52">
      <w:pPr>
        <w:pStyle w:val="StandardWeb"/>
      </w:pPr>
      <w:r>
        <w:t>Diese Rolle ist methodisch von einer Störgröße zu unterscheiden. Eine unreflektierte Kontrolle eines Mediators kann gerade einen Teil desjenigen Effekts entfernen, der eigentlich untersucht werden soll.</w:t>
      </w:r>
    </w:p>
    <w:p w:rsidR="00B84F52" w:rsidRDefault="00B84F52" w:rsidP="00B84F52">
      <w:pPr>
        <w:pStyle w:val="berschrift2"/>
      </w:pPr>
      <w:r>
        <w:t>3.3.37.16 Kollidierende Strukturen</w:t>
      </w:r>
    </w:p>
    <w:p w:rsidR="00B84F52" w:rsidRDefault="00B84F52" w:rsidP="00B84F52">
      <w:pPr>
        <w:pStyle w:val="StandardWeb"/>
      </w:pPr>
      <w:r>
        <w:t>Eine weitere Struktur lautet</w:t>
      </w:r>
    </w:p>
    <w:p w:rsidR="00B84F52" w:rsidRDefault="00B84F52" w:rsidP="00B84F52">
      <w:pPr>
        <w:pStyle w:val="StandardWeb"/>
      </w:pPr>
      <w:r>
        <w:t>[</w:t>
      </w:r>
      <w:r>
        <w:br/>
        <w:t>X</w:t>
      </w:r>
      <w:r>
        <w:br/>
        <w:t>\rightarrow_C</w:t>
      </w:r>
      <w:r>
        <w:br/>
        <w:t>Z</w:t>
      </w:r>
      <w:r>
        <w:br/>
        <w:t>\leftarrow_C</w:t>
      </w:r>
      <w:r>
        <w:br/>
        <w:t>Y.</w:t>
      </w:r>
      <w:r>
        <w:br/>
        <w:t>\tag{3.6175}</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X\rightarrow_C Z\leftarrow_C Y\qquad\text{(3.6175)}</w:t>
      </w:r>
    </w:p>
    <w:p w:rsidR="00B84F52" w:rsidRDefault="00B84F52" w:rsidP="00B84F52">
      <w:pPr>
        <w:pStyle w:val="StandardWeb"/>
      </w:pPr>
      <w:r>
        <w:t>Hier ist (Z) gemeinsame Wirkung von (X) und (Y).</w:t>
      </w:r>
    </w:p>
    <w:p w:rsidR="00B84F52" w:rsidRDefault="00B84F52" w:rsidP="00B84F52">
      <w:pPr>
        <w:pStyle w:val="StandardWeb"/>
      </w:pPr>
      <w:r>
        <w:lastRenderedPageBreak/>
        <w:t>Eine Konditionierung oder Stichprobenauswahl anhand von (Z) kann eine statistische Beziehung zwischen (X) und (Y) erzeugen, obwohl diese ohne die Konditionierung nicht bestehen muss.</w:t>
      </w:r>
    </w:p>
    <w:p w:rsidR="00B84F52" w:rsidRDefault="00B84F52" w:rsidP="00B84F52">
      <w:pPr>
        <w:pStyle w:val="StandardWeb"/>
      </w:pPr>
      <w:r>
        <w:t>Damit wird deutlich, dass „mehr kontrollieren“ nicht automatisch eine bessere kausale Analyse bedeutet. Kontrollentscheidungen müssen aus der angenommenen Struktur begründet werden.</w:t>
      </w:r>
    </w:p>
    <w:p w:rsidR="00B84F52" w:rsidRDefault="00B84F52" w:rsidP="00B84F52">
      <w:pPr>
        <w:pStyle w:val="berschrift2"/>
      </w:pPr>
      <w:r>
        <w:t>3.3.37.17 Auswahlmechanismen</w:t>
      </w:r>
    </w:p>
    <w:p w:rsidR="00B84F52" w:rsidRDefault="00B84F52" w:rsidP="00B84F52">
      <w:pPr>
        <w:pStyle w:val="StandardWeb"/>
      </w:pPr>
      <w:r>
        <w:t>Ein Auswahlindikator sei</w:t>
      </w:r>
    </w:p>
    <w:p w:rsidR="00B84F52" w:rsidRDefault="00B84F52" w:rsidP="00B84F52">
      <w:pPr>
        <w:pStyle w:val="StandardWeb"/>
      </w:pPr>
      <w:r>
        <w:t>[</w:t>
      </w:r>
      <w:r>
        <w:br/>
        <w:t>S</w:t>
      </w:r>
      <w:r>
        <w:br/>
        <w:t>\in</w:t>
      </w:r>
      <w:r>
        <w:br/>
        <w:t>{0,1}.</w:t>
      </w:r>
      <w:r>
        <w:br/>
        <w:t>\tag{3.6176}</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S\in\{0,1\}\qquad\text{(3.6176)}</w:t>
      </w:r>
    </w:p>
    <w:p w:rsidR="00B84F52" w:rsidRDefault="00B84F52" w:rsidP="00B84F52">
      <w:pPr>
        <w:pStyle w:val="StandardWeb"/>
      </w:pPr>
      <w:r>
        <w:t>Die tatsächlich analysierte Stichprobe kann durch</w:t>
      </w:r>
    </w:p>
    <w:p w:rsidR="00B84F52" w:rsidRDefault="00B84F52" w:rsidP="00B84F52">
      <w:pPr>
        <w:pStyle w:val="StandardWeb"/>
      </w:pPr>
      <w:r>
        <w:t>[</w:t>
      </w:r>
      <w:r>
        <w:br/>
        <w:t>S=1</w:t>
      </w:r>
      <w:r>
        <w:br/>
        <w:t>\tag{3.6177}</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S=1\qquad\text{(3.6177)}</w:t>
      </w:r>
    </w:p>
    <w:p w:rsidR="00B84F52" w:rsidRDefault="00B84F52" w:rsidP="00B84F52">
      <w:pPr>
        <w:pStyle w:val="StandardWeb"/>
      </w:pPr>
      <w:r>
        <w:t>charakterisiert werden.</w:t>
      </w:r>
    </w:p>
    <w:p w:rsidR="00B84F52" w:rsidRDefault="00B84F52" w:rsidP="00B84F52">
      <w:pPr>
        <w:pStyle w:val="StandardWeb"/>
      </w:pPr>
      <w:r>
        <w:t>Hängt die Auswahl selbst von untersuchten Größen ab,</w:t>
      </w:r>
    </w:p>
    <w:p w:rsidR="00B84F52" w:rsidRDefault="00B84F52" w:rsidP="00B84F52">
      <w:pPr>
        <w:pStyle w:val="berschrift1"/>
      </w:pPr>
      <w:r>
        <w:t>[</w:t>
      </w:r>
      <w:r>
        <w:br/>
        <w:t>S</w:t>
      </w:r>
    </w:p>
    <w:p w:rsidR="00B84F52" w:rsidRDefault="00B84F52" w:rsidP="00B84F52">
      <w:pPr>
        <w:pStyle w:val="StandardWeb"/>
      </w:pPr>
      <w:r>
        <w:t>s(X,Y,Z),</w:t>
      </w:r>
      <w:r>
        <w:br/>
        <w:t>\tag{3.6178}</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S=s(X,Y,Z)\qquad\text{(3.6178)}</w:t>
      </w:r>
    </w:p>
    <w:p w:rsidR="00B84F52" w:rsidRDefault="00B84F52" w:rsidP="00B84F52">
      <w:pPr>
        <w:pStyle w:val="StandardWeb"/>
      </w:pPr>
      <w:r>
        <w:lastRenderedPageBreak/>
        <w:t>können innerhalb der ausgewählten Stichprobe Beziehungen entstehen oder verschwinden, die im ursprünglichen Gegenstandsbereich anders ausgeprägt sind.</w:t>
      </w:r>
    </w:p>
    <w:p w:rsidR="00B84F52" w:rsidRDefault="00B84F52" w:rsidP="00B84F52">
      <w:pPr>
        <w:pStyle w:val="StandardWeb"/>
      </w:pPr>
      <w:r>
        <w:t>Eine kausale Interpretation muss deshalb den Prozess berücksichtigen, durch den die analysierten Beobachtungen überhaupt in den Datensatz gelangten.</w:t>
      </w:r>
    </w:p>
    <w:p w:rsidR="00B84F52" w:rsidRDefault="00B84F52" w:rsidP="00B84F52">
      <w:pPr>
        <w:pStyle w:val="berschrift2"/>
      </w:pPr>
      <w:r>
        <w:t>3.3.37.18 Kausale Hilfs- und Geltungsbedingungen</w:t>
      </w:r>
    </w:p>
    <w:p w:rsidR="00B84F52" w:rsidRDefault="00B84F52" w:rsidP="00B84F52">
      <w:pPr>
        <w:pStyle w:val="StandardWeb"/>
      </w:pPr>
      <w:r>
        <w:t>Die Menge kausal relevanter Hilfsbedingungen lautet</w:t>
      </w:r>
    </w:p>
    <w:p w:rsidR="00B84F52" w:rsidRDefault="00B84F52" w:rsidP="00B84F52">
      <w:pPr>
        <w:pStyle w:val="berschrift1"/>
      </w:pPr>
      <w:r>
        <w:t>[</w:t>
      </w:r>
      <w:r>
        <w:br/>
        <w:t>\mathfrak{H}_{C}</w:t>
      </w:r>
    </w:p>
    <w:p w:rsidR="00B84F52" w:rsidRDefault="00B84F52" w:rsidP="00B84F52">
      <w:pPr>
        <w:pStyle w:val="StandardWeb"/>
      </w:pPr>
      <w:r>
        <w:t>\left{</w:t>
      </w:r>
      <w:r>
        <w:br/>
        <w:t>H_C^{(1)},</w:t>
      </w:r>
      <w:r>
        <w:br/>
        <w:t>H_C^{(2)},</w:t>
      </w:r>
      <w:r>
        <w:br/>
        <w:t>\ldots,</w:t>
      </w:r>
      <w:r>
        <w:br/>
        <w:t>H_C^{(m)}</w:t>
      </w:r>
      <w:r>
        <w:br/>
        <w:t>\right}.</w:t>
      </w:r>
      <w:r>
        <w:br/>
        <w:t>\tag{3.6179}</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\mathfrak{H}_{C}=\left\{H_C^{(1)},H_C^{(2)},\ldots,H_C^{(m)}\right\}\qquad\text{(3.6179)}</w:t>
      </w:r>
    </w:p>
    <w:p w:rsidR="00B84F52" w:rsidRDefault="00B84F52" w:rsidP="00B84F52">
      <w:pPr>
        <w:pStyle w:val="StandardWeb"/>
      </w:pPr>
      <w:r>
        <w:t>Eine kausale Aussage muss deshalb vollständig als bedingte Aussage verstanden werden:</w:t>
      </w:r>
    </w:p>
    <w:p w:rsidR="00B84F52" w:rsidRDefault="00B84F52" w:rsidP="00B84F52">
      <w:pPr>
        <w:pStyle w:val="StandardWeb"/>
      </w:pPr>
      <w:r>
        <w:t>[</w:t>
      </w:r>
      <w:r>
        <w:br/>
        <w:t>X</w:t>
      </w:r>
      <w:r>
        <w:br/>
        <w:t>\rightarrow_C</w:t>
      </w:r>
      <w:r>
        <w:br/>
        <w:t>Y</w:t>
      </w:r>
      <w:r>
        <w:br/>
        <w:t>\mid</w:t>
      </w:r>
      <w:r>
        <w:br/>
        <w:t>\mathfrak{H}_{C}.</w:t>
      </w:r>
      <w:r>
        <w:br/>
        <w:t>\tag{3.6180}</w:t>
      </w:r>
      <w:r>
        <w:br/>
        <w:t>]</w:t>
      </w:r>
    </w:p>
    <w:p w:rsidR="00B84F52" w:rsidRDefault="00B84F52" w:rsidP="00B84F52">
      <w:pPr>
        <w:pStyle w:val="StandardWeb"/>
      </w:pPr>
      <w:r>
        <w:rPr>
          <w:rStyle w:val="Fett"/>
        </w:rPr>
        <w:t>Word-LaTeX</w:t>
      </w:r>
    </w:p>
    <w:p w:rsidR="00B84F52" w:rsidRDefault="00B84F52" w:rsidP="00B84F52">
      <w:pPr>
        <w:pStyle w:val="HTMLVorformatiert"/>
        <w:rPr>
          <w:rStyle w:val="HTMLCode"/>
        </w:rPr>
      </w:pPr>
      <w:r>
        <w:rPr>
          <w:rStyle w:val="HTMLCode"/>
        </w:rPr>
        <w:t>X\rightarrow_C Y\mid\mathfrak{H}_{C}\qquad\text{(3.6180)}</w:t>
      </w:r>
    </w:p>
    <w:p w:rsidR="00B84F52" w:rsidRDefault="00B84F52" w:rsidP="00B84F52">
      <w:pPr>
        <w:pStyle w:val="StandardWeb"/>
      </w:pPr>
      <w:r>
        <w:t>Die wissenschaftliche Belastbarkeit einer kausalen Aussage hängt somit nicht nur von der beobachteten Beziehung zwischen (X) und (Y), sondern wesentlich von der Begründung der in (\mathfrak{H}_{C}) enthaltenen Voraussetzungen ab.</w:t>
      </w:r>
    </w:p>
    <w:p w:rsidR="00B84F52" w:rsidRDefault="00B84F52" w:rsidP="00B84F52">
      <w:pPr>
        <w:pStyle w:val="StandardWeb"/>
      </w:pPr>
      <w:r>
        <w:rPr>
          <w:rStyle w:val="Fett"/>
        </w:rPr>
        <w:t>Eigenleistung des FRZK</w:t>
      </w:r>
    </w:p>
    <w:p w:rsidR="00B84F52" w:rsidRDefault="00B84F52" w:rsidP="00B84F52">
      <w:pPr>
        <w:pStyle w:val="StandardWeb"/>
      </w:pPr>
      <w:r>
        <w:lastRenderedPageBreak/>
        <w:t xml:space="preserve">Ich behandle kausale Aussagen im FRZK grundsätzlich als </w:t>
      </w:r>
      <w:r>
        <w:rPr>
          <w:rStyle w:val="Fett"/>
        </w:rPr>
        <w:t>annahmengebundene Interpretationen funktionaler Strukturen</w:t>
      </w:r>
      <w:r>
        <w:t>. Dadurch bleibt jederzeit sichtbar, welche Aussage unmittelbar aus dem funktionalen Modell stammt und welcher zusätzliche Gehalt erst durch kausale Hilfsannahmen eingeführt wird.</w:t>
      </w:r>
    </w:p>
    <w:p w:rsidR="00465CBF" w:rsidRDefault="00465CBF" w:rsidP="00465CBF">
      <w:pPr>
        <w:pStyle w:val="berschrift2"/>
        <w:rPr>
          <w:rFonts w:cs="Times New Roman"/>
        </w:rPr>
      </w:pPr>
      <w:r>
        <w:t>3.3.37.19 Kausale Identifizierbarkeit</w:t>
      </w:r>
    </w:p>
    <w:p w:rsidR="00465CBF" w:rsidRDefault="00465CBF" w:rsidP="00465CBF">
      <w:pPr>
        <w:pStyle w:val="StandardWeb"/>
      </w:pPr>
      <w:r>
        <w:t xml:space="preserve">Nachdem in den vorhergehenden Abschnitten funktionale Beziehungen, Interventionen, kontrafaktische Aussagen und kausale Hilfsbedingungen eingeführt wurden, stellt sich nun die zentrale wissenschaftliche Frage, ob sich ein gesuchter Kausaleffekt aus den tatsächlich verfügbaren Beobachtungen überhaupt eindeutig bestimmen lässt. Diese Eigenschaft bezeichne ich als </w:t>
      </w:r>
      <w:r>
        <w:rPr>
          <w:rStyle w:val="Fett"/>
        </w:rPr>
        <w:t>kausale Identifizierbarkeit</w:t>
      </w:r>
      <w:r>
        <w:t>.</w:t>
      </w:r>
    </w:p>
    <w:p w:rsidR="00465CBF" w:rsidRDefault="00465CBF" w:rsidP="00465CBF">
      <w:pPr>
        <w:pStyle w:val="StandardWeb"/>
      </w:pPr>
      <w:r>
        <w:t>Nicht jede mathematisch definierte Größe kann aus empirischen Daten rekonstruiert werden. Ebenso wenig genügt es, dass eine Größe theoretisch existiert. Zwischen theoretischer Definition und empirischer Bestimmbarkeit besteht ein eigenständiges wissenschaftliches Problem.</w:t>
      </w:r>
    </w:p>
    <w:p w:rsidR="00465CBF" w:rsidRDefault="00465CBF" w:rsidP="00465CBF">
      <w:pPr>
        <w:pStyle w:val="StandardWeb"/>
      </w:pPr>
      <w:r>
        <w:t>Ich bezeichne den gesuchten kausalen Parameter mit</w:t>
      </w:r>
    </w:p>
    <w:p w:rsidR="00465CBF" w:rsidRDefault="00465CBF" w:rsidP="00465CBF">
      <w:pPr>
        <w:pStyle w:val="StandardWeb"/>
      </w:pPr>
      <w:r>
        <w:t>[</w:t>
      </w:r>
      <w:r>
        <w:br/>
        <w:t>\psi_C .</w:t>
      </w:r>
      <w:r>
        <w:br/>
        <w:t>\tag{3.6181}</w:t>
      </w:r>
      <w:r>
        <w:br/>
        <w:t>]</w:t>
      </w:r>
    </w:p>
    <w:p w:rsidR="00465CBF" w:rsidRDefault="00465CBF" w:rsidP="00465CBF">
      <w:pPr>
        <w:pStyle w:val="StandardWeb"/>
      </w:pPr>
      <w:r>
        <w:rPr>
          <w:rStyle w:val="Fett"/>
        </w:rPr>
        <w:t>Word-LaTeX</w:t>
      </w:r>
    </w:p>
    <w:p w:rsidR="00465CBF" w:rsidRDefault="00465CBF" w:rsidP="00465CBF">
      <w:pPr>
        <w:pStyle w:val="HTMLVorformatiert"/>
        <w:rPr>
          <w:rStyle w:val="HTMLCode"/>
        </w:rPr>
      </w:pPr>
      <w:r>
        <w:rPr>
          <w:rStyle w:val="HTMLCode"/>
        </w:rPr>
        <w:t>\psi_C\qquad\text{(3.6181)}</w:t>
      </w:r>
    </w:p>
    <w:p w:rsidR="00465CBF" w:rsidRDefault="00465CBF" w:rsidP="00465CBF">
      <w:pPr>
        <w:pStyle w:val="StandardWeb"/>
      </w:pPr>
      <w:r>
        <w:t>Eine kausale Größe ist identifizierbar, wenn sie eindeutig aus der beobachtbaren Verteilung gemeinsam mit den explizit dokumentierten Hilfsannahmen bestimmt werden kann.</w:t>
      </w:r>
    </w:p>
    <w:p w:rsidR="00465CBF" w:rsidRDefault="00465CBF" w:rsidP="00465CBF">
      <w:pPr>
        <w:pStyle w:val="StandardWeb"/>
      </w:pPr>
      <w:r>
        <w:t>Formal schreibe ich</w:t>
      </w:r>
    </w:p>
    <w:p w:rsidR="00465CBF" w:rsidRDefault="00465CBF" w:rsidP="00465CBF">
      <w:pPr>
        <w:pStyle w:val="StandardWeb"/>
      </w:pPr>
      <w:r>
        <w:t>[</w:t>
      </w:r>
      <w:r>
        <w:br/>
        <w:t>\mathcal{P}</w:t>
      </w:r>
      <w:r>
        <w:rPr>
          <w:rStyle w:val="Hervorhebung"/>
        </w:rPr>
        <w:t>{\mathrm{obs}},</w:t>
      </w:r>
      <w:r>
        <w:rPr>
          <w:i/>
          <w:iCs/>
        </w:rPr>
        <w:br/>
      </w:r>
      <w:r>
        <w:rPr>
          <w:rStyle w:val="Hervorhebung"/>
        </w:rPr>
        <w:t>\mathfrak{H}</w:t>
      </w:r>
      <w:r>
        <w:t>{C}</w:t>
      </w:r>
      <w:r>
        <w:br/>
        <w:t>\Longrightarrow</w:t>
      </w:r>
      <w:r>
        <w:br/>
        <w:t>\psi_C.</w:t>
      </w:r>
      <w:r>
        <w:br/>
        <w:t>\tag{3.6182}</w:t>
      </w:r>
      <w:r>
        <w:br/>
        <w:t>]</w:t>
      </w:r>
    </w:p>
    <w:p w:rsidR="00465CBF" w:rsidRDefault="00465CBF" w:rsidP="00465CBF">
      <w:pPr>
        <w:pStyle w:val="StandardWeb"/>
      </w:pPr>
      <w:r>
        <w:rPr>
          <w:rStyle w:val="Fett"/>
        </w:rPr>
        <w:t>Word-LaTeX</w:t>
      </w:r>
    </w:p>
    <w:p w:rsidR="00465CBF" w:rsidRDefault="00465CBF" w:rsidP="00465CBF">
      <w:pPr>
        <w:pStyle w:val="HTMLVorformatiert"/>
        <w:rPr>
          <w:rStyle w:val="HTMLCode"/>
        </w:rPr>
      </w:pPr>
      <w:r>
        <w:rPr>
          <w:rStyle w:val="HTMLCode"/>
        </w:rPr>
        <w:t>\mathcal{P}_{\mathrm{obs}},\mathfrak{H}_{C}\Longrightarrow\psi_C\qquad\text{(3.6182)}</w:t>
      </w:r>
    </w:p>
    <w:p w:rsidR="00465CBF" w:rsidRDefault="00465CBF" w:rsidP="00465CBF">
      <w:pPr>
        <w:pStyle w:val="StandardWeb"/>
      </w:pPr>
      <w:r>
        <w:t>Dabei bezeichnet</w:t>
      </w:r>
    </w:p>
    <w:p w:rsidR="00465CBF" w:rsidRDefault="00465CBF" w:rsidP="008C5E65">
      <w:pPr>
        <w:pStyle w:val="StandardWeb"/>
        <w:numPr>
          <w:ilvl w:val="0"/>
          <w:numId w:val="276"/>
        </w:numPr>
      </w:pPr>
      <w:r>
        <w:t>(\mathcal{P}_{\mathrm{obs}}) die beobachtbare Wahrscheinlichkeitsstruktur,</w:t>
      </w:r>
    </w:p>
    <w:p w:rsidR="00465CBF" w:rsidRDefault="00465CBF" w:rsidP="008C5E65">
      <w:pPr>
        <w:pStyle w:val="StandardWeb"/>
        <w:numPr>
          <w:ilvl w:val="0"/>
          <w:numId w:val="276"/>
        </w:numPr>
      </w:pPr>
      <w:r>
        <w:t>(\mathfrak{H}_{C}) die dokumentierten kausalen Hilfsannahmen,</w:t>
      </w:r>
    </w:p>
    <w:p w:rsidR="00465CBF" w:rsidRDefault="00465CBF" w:rsidP="008C5E65">
      <w:pPr>
        <w:pStyle w:val="StandardWeb"/>
        <w:numPr>
          <w:ilvl w:val="0"/>
          <w:numId w:val="276"/>
        </w:numPr>
      </w:pPr>
      <w:r>
        <w:lastRenderedPageBreak/>
        <w:t>(\psi_C) den gesuchten kausalen Effekt.</w:t>
      </w:r>
    </w:p>
    <w:p w:rsidR="00465CBF" w:rsidRDefault="00465CBF" w:rsidP="00465CBF">
      <w:pPr>
        <w:pStyle w:val="StandardWeb"/>
      </w:pPr>
      <w:r>
        <w:t>Die Aussage bedeutet nicht, dass die Daten allein genügen. Vielmehr entsteht die Identifizierbarkeit erst durch das Zusammenwirken von Beobachtungen und explizit angegebenen Strukturannahmen.</w:t>
      </w:r>
    </w:p>
    <w:p w:rsidR="00465CBF" w:rsidRDefault="00465CBF" w:rsidP="00465CBF">
      <w:pPr>
        <w:pStyle w:val="StandardWeb"/>
      </w:pPr>
      <w:r>
        <w:t xml:space="preserve">Kann diese Eindeutigkeit nicht hergestellt werden, so liegt </w:t>
      </w:r>
      <w:r>
        <w:rPr>
          <w:rStyle w:val="Fett"/>
        </w:rPr>
        <w:t>kausale Unterbestimmtheit</w:t>
      </w:r>
      <w:r>
        <w:t xml:space="preserve"> vor.</w:t>
      </w:r>
    </w:p>
    <w:p w:rsidR="00465CBF" w:rsidRDefault="00E50336" w:rsidP="00465CBF">
      <w:r>
        <w:pict>
          <v:rect id="_x0000_i1063" style="width:0;height:1.5pt" o:hralign="center" o:hrstd="t" o:hr="t" fillcolor="#a0a0a0" stroked="f"/>
        </w:pict>
      </w:r>
    </w:p>
    <w:p w:rsidR="00465CBF" w:rsidRDefault="00465CBF" w:rsidP="00465CBF">
      <w:pPr>
        <w:pStyle w:val="berschrift2"/>
      </w:pPr>
      <w:r>
        <w:t>3.3.37.20 Kausale Unterbestimmtheit</w:t>
      </w:r>
    </w:p>
    <w:p w:rsidR="00465CBF" w:rsidRDefault="00465CBF" w:rsidP="00465CBF">
      <w:pPr>
        <w:pStyle w:val="StandardWeb"/>
      </w:pPr>
      <w:r>
        <w:t>Die Möglichkeit mehrerer konkurrierender Kausalmodelle stellt eines der wichtigsten Probleme jeder Kausaltheorie dar.</w:t>
      </w:r>
    </w:p>
    <w:p w:rsidR="00465CBF" w:rsidRDefault="00465CBF" w:rsidP="00465CBF">
      <w:pPr>
        <w:pStyle w:val="StandardWeb"/>
      </w:pPr>
      <w:r>
        <w:t>Seien zwei unterschiedliche Modelle gegeben:</w:t>
      </w:r>
    </w:p>
    <w:p w:rsidR="00465CBF" w:rsidRDefault="00465CBF" w:rsidP="00465CBF">
      <w:pPr>
        <w:pStyle w:val="StandardWeb"/>
      </w:pPr>
      <w:r>
        <w:t>[</w:t>
      </w:r>
      <w:r>
        <w:br/>
        <w:t>\mathcal{M}_C^{(1)}</w:t>
      </w:r>
      <w:r>
        <w:br/>
        <w:t>\neq</w:t>
      </w:r>
      <w:r>
        <w:br/>
        <w:t>\mathcal{M}_C^{(2)}.</w:t>
      </w:r>
      <w:r>
        <w:br/>
        <w:t>\tag{3.6183}</w:t>
      </w:r>
      <w:r>
        <w:br/>
        <w:t>]</w:t>
      </w:r>
    </w:p>
    <w:p w:rsidR="00465CBF" w:rsidRDefault="00465CBF" w:rsidP="00465CBF">
      <w:pPr>
        <w:pStyle w:val="StandardWeb"/>
      </w:pPr>
      <w:r>
        <w:rPr>
          <w:rStyle w:val="Fett"/>
        </w:rPr>
        <w:t>Word-LaTeX</w:t>
      </w:r>
    </w:p>
    <w:p w:rsidR="00465CBF" w:rsidRDefault="00465CBF" w:rsidP="00465CBF">
      <w:pPr>
        <w:pStyle w:val="HTMLVorformatiert"/>
        <w:rPr>
          <w:rStyle w:val="HTMLCode"/>
        </w:rPr>
      </w:pPr>
      <w:r>
        <w:rPr>
          <w:rStyle w:val="HTMLCode"/>
        </w:rPr>
        <w:t>\mathcal{M}_C^{(1)}\neq\mathcal{M}_C^{(2)}\qquad\text{(3.6183)}</w:t>
      </w:r>
    </w:p>
    <w:p w:rsidR="00465CBF" w:rsidRDefault="00465CBF" w:rsidP="00465CBF">
      <w:pPr>
        <w:pStyle w:val="StandardWeb"/>
      </w:pPr>
      <w:r>
        <w:t>Beide Modelle können dieselbe beobachtbare Verteilung erzeugen:</w:t>
      </w:r>
    </w:p>
    <w:p w:rsidR="00465CBF" w:rsidRDefault="00465CBF" w:rsidP="00465CBF">
      <w:pPr>
        <w:pStyle w:val="berschrift1"/>
      </w:pPr>
      <w:r>
        <w:t>[</w:t>
      </w:r>
      <w:r>
        <w:br/>
        <w:t>\mathcal{P}_{\mathrm{obs}}^{(1)}</w:t>
      </w:r>
    </w:p>
    <w:p w:rsidR="00465CBF" w:rsidRDefault="00465CBF" w:rsidP="00465CBF">
      <w:pPr>
        <w:pStyle w:val="StandardWeb"/>
      </w:pPr>
      <w:r>
        <w:t>\mathcal{P}_{\mathrm{obs}}^{(2)}.</w:t>
      </w:r>
      <w:r>
        <w:br/>
        <w:t>\tag{3.6184}</w:t>
      </w:r>
      <w:r>
        <w:br/>
        <w:t>]</w:t>
      </w:r>
    </w:p>
    <w:p w:rsidR="00465CBF" w:rsidRDefault="00465CBF" w:rsidP="00465CBF">
      <w:pPr>
        <w:pStyle w:val="StandardWeb"/>
      </w:pPr>
      <w:r>
        <w:rPr>
          <w:rStyle w:val="Fett"/>
        </w:rPr>
        <w:t>Word-LaTeX</w:t>
      </w:r>
    </w:p>
    <w:p w:rsidR="00465CBF" w:rsidRDefault="00465CBF" w:rsidP="00465CBF">
      <w:pPr>
        <w:pStyle w:val="HTMLVorformatiert"/>
        <w:rPr>
          <w:rStyle w:val="HTMLCode"/>
        </w:rPr>
      </w:pPr>
      <w:r>
        <w:rPr>
          <w:rStyle w:val="HTMLCode"/>
        </w:rPr>
        <w:t>\mathcal{P}_{\mathrm{obs}}^{(1)}=\mathcal{P}_{\mathrm{obs}}^{(2)}\qquad\text{(3.6184)}</w:t>
      </w:r>
    </w:p>
    <w:p w:rsidR="00465CBF" w:rsidRDefault="00465CBF" w:rsidP="00465CBF">
      <w:pPr>
        <w:pStyle w:val="StandardWeb"/>
      </w:pPr>
      <w:r>
        <w:t>Gleichzeitig können jedoch unterschiedliche Interventionseffekte vorhergesagt werden:</w:t>
      </w:r>
    </w:p>
    <w:p w:rsidR="00465CBF" w:rsidRDefault="00465CBF" w:rsidP="00465CBF">
      <w:pPr>
        <w:pStyle w:val="StandardWeb"/>
      </w:pPr>
      <w:r>
        <w:t>[</w:t>
      </w:r>
      <w:r>
        <w:br/>
        <w:t>\psi_C^{(1)}</w:t>
      </w:r>
      <w:r>
        <w:br/>
        <w:t>\neq</w:t>
      </w:r>
      <w:r>
        <w:br/>
        <w:t>\psi_C^{(2)}.</w:t>
      </w:r>
      <w:r>
        <w:br/>
        <w:t>\tag{3.6185}</w:t>
      </w:r>
      <w:r>
        <w:br/>
        <w:t>]</w:t>
      </w:r>
    </w:p>
    <w:p w:rsidR="00465CBF" w:rsidRDefault="00465CBF" w:rsidP="00465CBF">
      <w:pPr>
        <w:pStyle w:val="StandardWeb"/>
      </w:pPr>
      <w:r>
        <w:rPr>
          <w:rStyle w:val="Fett"/>
        </w:rPr>
        <w:lastRenderedPageBreak/>
        <w:t>Word-LaTeX</w:t>
      </w:r>
    </w:p>
    <w:p w:rsidR="00465CBF" w:rsidRDefault="00465CBF" w:rsidP="00465CBF">
      <w:pPr>
        <w:pStyle w:val="HTMLVorformatiert"/>
        <w:rPr>
          <w:rStyle w:val="HTMLCode"/>
        </w:rPr>
      </w:pPr>
      <w:r>
        <w:rPr>
          <w:rStyle w:val="HTMLCode"/>
        </w:rPr>
        <w:t>\psi_C^{(1)}\neq\psi_C^{(2)}\qquad\text{(3.6185)}</w:t>
      </w:r>
    </w:p>
    <w:p w:rsidR="00465CBF" w:rsidRDefault="00465CBF" w:rsidP="00465CBF">
      <w:pPr>
        <w:pStyle w:val="StandardWeb"/>
      </w:pPr>
      <w:r>
        <w:t>In diesem Fall reichen die Beobachtungsdaten nicht aus, um zwischen beiden Kausalmodellen zu unterscheiden.</w:t>
      </w:r>
    </w:p>
    <w:p w:rsidR="00465CBF" w:rsidRDefault="00465CBF" w:rsidP="00465CBF">
      <w:pPr>
        <w:pStyle w:val="StandardWeb"/>
      </w:pPr>
      <w:r>
        <w:t>Damit wird deutlich, dass empirische Gleichwertigkeit beobachtbarer Daten keine Gleichwertigkeit der zugrunde liegenden Kausalstruktur garantiert.</w:t>
      </w:r>
    </w:p>
    <w:p w:rsidR="00465CBF" w:rsidRDefault="00E50336" w:rsidP="00465CBF">
      <w:r>
        <w:pict>
          <v:rect id="_x0000_i1064" style="width:0;height:1.5pt" o:hralign="center" o:hrstd="t" o:hr="t" fillcolor="#a0a0a0" stroked="f"/>
        </w:pict>
      </w:r>
    </w:p>
    <w:p w:rsidR="00465CBF" w:rsidRDefault="00465CBF" w:rsidP="00465CBF">
      <w:pPr>
        <w:pStyle w:val="berschrift2"/>
      </w:pPr>
      <w:r>
        <w:t>3.3.37.21 Randomisierte Interventionen</w:t>
      </w:r>
    </w:p>
    <w:p w:rsidR="00465CBF" w:rsidRDefault="00465CBF" w:rsidP="00465CBF">
      <w:pPr>
        <w:pStyle w:val="StandardWeb"/>
      </w:pPr>
      <w:r>
        <w:t>Eine besonders starke Form der kausalen Prüfung entsteht durch randomisierte Interventionen.</w:t>
      </w:r>
    </w:p>
    <w:p w:rsidR="00465CBF" w:rsidRDefault="00465CBF" w:rsidP="00465CBF">
      <w:pPr>
        <w:pStyle w:val="StandardWeb"/>
      </w:pPr>
      <w:r>
        <w:t>Die Interventionszuweisung sei</w:t>
      </w:r>
    </w:p>
    <w:p w:rsidR="00465CBF" w:rsidRDefault="00465CBF" w:rsidP="00465CBF">
      <w:pPr>
        <w:pStyle w:val="StandardWeb"/>
      </w:pPr>
      <w:r>
        <w:t>[</w:t>
      </w:r>
      <w:r>
        <w:br/>
        <w:t>A</w:t>
      </w:r>
      <w:r>
        <w:br/>
        <w:t>\in</w:t>
      </w:r>
      <w:r>
        <w:br/>
        <w:t>{0,1}.</w:t>
      </w:r>
      <w:r>
        <w:br/>
        <w:t>\tag{3.6186}</w:t>
      </w:r>
      <w:r>
        <w:br/>
        <w:t>]</w:t>
      </w:r>
    </w:p>
    <w:p w:rsidR="00465CBF" w:rsidRDefault="00465CBF" w:rsidP="00465CBF">
      <w:pPr>
        <w:pStyle w:val="StandardWeb"/>
      </w:pPr>
      <w:r>
        <w:rPr>
          <w:rStyle w:val="Fett"/>
        </w:rPr>
        <w:t>Word-LaTeX</w:t>
      </w:r>
    </w:p>
    <w:p w:rsidR="00465CBF" w:rsidRDefault="00465CBF" w:rsidP="00465CBF">
      <w:pPr>
        <w:pStyle w:val="HTMLVorformatiert"/>
        <w:rPr>
          <w:rStyle w:val="HTMLCode"/>
        </w:rPr>
      </w:pPr>
      <w:r>
        <w:rPr>
          <w:rStyle w:val="HTMLCode"/>
        </w:rPr>
        <w:t>A\in\{0,1\}\qquad\text{(3.6186)}</w:t>
      </w:r>
    </w:p>
    <w:p w:rsidR="00465CBF" w:rsidRDefault="00465CBF" w:rsidP="00465CBF">
      <w:pPr>
        <w:pStyle w:val="StandardWeb"/>
      </w:pPr>
      <w:r>
        <w:t>Unter idealer Randomisierung gilt</w:t>
      </w:r>
    </w:p>
    <w:p w:rsidR="00465CBF" w:rsidRDefault="00465CBF" w:rsidP="00465CBF">
      <w:pPr>
        <w:pStyle w:val="StandardWeb"/>
      </w:pPr>
      <w:r>
        <w:t>[</w:t>
      </w:r>
      <w:r>
        <w:br/>
        <w:t>A</w:t>
      </w:r>
      <w:r>
        <w:br/>
        <w:t>\perp!!!\perp</w:t>
      </w:r>
      <w:r>
        <w:br/>
        <w:t>\left(</w:t>
      </w:r>
      <w:r>
        <w:br/>
        <w:t>Y(0),</w:t>
      </w:r>
      <w:r>
        <w:br/>
        <w:t>Y(1)</w:t>
      </w:r>
      <w:r>
        <w:br/>
        <w:t>\right).</w:t>
      </w:r>
      <w:r>
        <w:br/>
        <w:t>\tag{3.6187}</w:t>
      </w:r>
      <w:r>
        <w:br/>
        <w:t>]</w:t>
      </w:r>
    </w:p>
    <w:p w:rsidR="00465CBF" w:rsidRDefault="00465CBF" w:rsidP="00465CBF">
      <w:pPr>
        <w:pStyle w:val="StandardWeb"/>
      </w:pPr>
      <w:r>
        <w:rPr>
          <w:rStyle w:val="Fett"/>
        </w:rPr>
        <w:t>Word-LaTeX</w:t>
      </w:r>
    </w:p>
    <w:p w:rsidR="00465CBF" w:rsidRDefault="00465CBF" w:rsidP="00465CBF">
      <w:pPr>
        <w:pStyle w:val="HTMLVorformatiert"/>
        <w:rPr>
          <w:rStyle w:val="HTMLCode"/>
        </w:rPr>
      </w:pPr>
      <w:r>
        <w:rPr>
          <w:rStyle w:val="HTMLCode"/>
        </w:rPr>
        <w:t>A\perp\!\!\!\perp\left(Y(0),Y(1)\right)\qquad\text{(3.6187)}</w:t>
      </w:r>
    </w:p>
    <w:p w:rsidR="00465CBF" w:rsidRDefault="00465CBF" w:rsidP="00465CBF">
      <w:pPr>
        <w:pStyle w:val="StandardWeb"/>
      </w:pPr>
      <w:r>
        <w:t>Dadurch besitzen beide Vergleichsgruppen dieselbe erwartete Ausgangsstruktur.</w:t>
      </w:r>
    </w:p>
    <w:p w:rsidR="00465CBF" w:rsidRDefault="00465CBF" w:rsidP="00465CBF">
      <w:pPr>
        <w:pStyle w:val="StandardWeb"/>
      </w:pPr>
      <w:r>
        <w:t>Der beobachtete Unterschied kann deshalb wesentlich plausibler auf die Intervention zurückgeführt werden.</w:t>
      </w:r>
    </w:p>
    <w:p w:rsidR="00465CBF" w:rsidRDefault="00465CBF" w:rsidP="00465CBF">
      <w:pPr>
        <w:pStyle w:val="StandardWeb"/>
      </w:pPr>
      <w:r>
        <w:lastRenderedPageBreak/>
        <w:t xml:space="preserve">Das FRZK setzt randomisierte Experimente jedoch ausdrücklich </w:t>
      </w:r>
      <w:r>
        <w:rPr>
          <w:rStyle w:val="Fett"/>
        </w:rPr>
        <w:t>nicht</w:t>
      </w:r>
      <w:r>
        <w:t xml:space="preserve"> voraus. Sie bilden lediglich den methodisch stärksten Spezialfall einer kausalen Untersuchung.</w:t>
      </w:r>
    </w:p>
    <w:p w:rsidR="00465CBF" w:rsidRDefault="00E50336" w:rsidP="00465CBF">
      <w:r>
        <w:pict>
          <v:rect id="_x0000_i1065" style="width:0;height:1.5pt" o:hralign="center" o:hrstd="t" o:hr="t" fillcolor="#a0a0a0" stroked="f"/>
        </w:pict>
      </w:r>
    </w:p>
    <w:p w:rsidR="00465CBF" w:rsidRDefault="00465CBF" w:rsidP="00465CBF">
      <w:pPr>
        <w:pStyle w:val="berschrift2"/>
      </w:pPr>
      <w:r>
        <w:t>3.3.37.22 Beobachtungsstudien</w:t>
      </w:r>
    </w:p>
    <w:p w:rsidR="00465CBF" w:rsidRDefault="00465CBF" w:rsidP="00465CBF">
      <w:pPr>
        <w:pStyle w:val="StandardWeb"/>
      </w:pPr>
      <w:r>
        <w:t>In vielen wissenschaftlichen Anwendungen sind kontrollierte Interventionen nicht möglich.</w:t>
      </w:r>
    </w:p>
    <w:p w:rsidR="00465CBF" w:rsidRDefault="00465CBF" w:rsidP="00465CBF">
      <w:pPr>
        <w:pStyle w:val="StandardWeb"/>
      </w:pPr>
      <w:r>
        <w:t>Dann muss die kausale Interpretation auf zusätzlichen Strukturannahmen beruhen.</w:t>
      </w:r>
    </w:p>
    <w:p w:rsidR="00465CBF" w:rsidRDefault="00465CBF" w:rsidP="00465CBF">
      <w:pPr>
        <w:pStyle w:val="StandardWeb"/>
      </w:pPr>
      <w:r>
        <w:t>Eine häufig verwendete Voraussetzung lautet</w:t>
      </w:r>
    </w:p>
    <w:p w:rsidR="00465CBF" w:rsidRDefault="00465CBF" w:rsidP="00465CBF">
      <w:pPr>
        <w:pStyle w:val="StandardWeb"/>
      </w:pPr>
      <w:r>
        <w:t>[</w:t>
      </w:r>
      <w:r>
        <w:br/>
        <w:t>Y(x)</w:t>
      </w:r>
      <w:r>
        <w:br/>
        <w:t>\perp!!!\perp</w:t>
      </w:r>
      <w:r>
        <w:br/>
        <w:t>X</w:t>
      </w:r>
      <w:r>
        <w:br/>
        <w:t>\mid</w:t>
      </w:r>
      <w:r>
        <w:br/>
        <w:t>Z.</w:t>
      </w:r>
      <w:r>
        <w:br/>
        <w:t>\tag{3.6188}</w:t>
      </w:r>
      <w:r>
        <w:br/>
        <w:t>]</w:t>
      </w:r>
    </w:p>
    <w:p w:rsidR="00465CBF" w:rsidRDefault="00465CBF" w:rsidP="00465CBF">
      <w:pPr>
        <w:pStyle w:val="StandardWeb"/>
      </w:pPr>
      <w:r>
        <w:rPr>
          <w:rStyle w:val="Fett"/>
        </w:rPr>
        <w:t>Word-LaTeX</w:t>
      </w:r>
    </w:p>
    <w:p w:rsidR="00465CBF" w:rsidRDefault="00465CBF" w:rsidP="00465CBF">
      <w:pPr>
        <w:pStyle w:val="HTMLVorformatiert"/>
        <w:rPr>
          <w:rStyle w:val="HTMLCode"/>
        </w:rPr>
      </w:pPr>
      <w:r>
        <w:rPr>
          <w:rStyle w:val="HTMLCode"/>
        </w:rPr>
        <w:t>Y(x)\perp\!\!\!\perp X\mid Z\qquad\text{(3.6188)}</w:t>
      </w:r>
    </w:p>
    <w:p w:rsidR="00465CBF" w:rsidRDefault="00465CBF" w:rsidP="00465CBF">
      <w:pPr>
        <w:pStyle w:val="StandardWeb"/>
      </w:pPr>
      <w:r>
        <w:t>Diese Bedingung behauptet, dass nach Berücksichtigung der Variablen (Z) keine systematische Zuordnung zwischen Ursache und potentiellem Ergebnis verbleibt.</w:t>
      </w:r>
    </w:p>
    <w:p w:rsidR="00465CBF" w:rsidRDefault="00465CBF" w:rsidP="00465CBF">
      <w:pPr>
        <w:pStyle w:val="StandardWeb"/>
      </w:pPr>
      <w:r>
        <w:t>Sie ist selbst keine beobachtbare Tatsache, sondern eine wissenschaftliche Modellannahme.</w:t>
      </w:r>
    </w:p>
    <w:p w:rsidR="00465CBF" w:rsidRDefault="00465CBF" w:rsidP="00465CBF">
      <w:pPr>
        <w:pStyle w:val="StandardWeb"/>
      </w:pPr>
      <w:r>
        <w:t>Gerade deshalb müssen solche Voraussetzungen im FRZK vollständig dokumentiert werden.</w:t>
      </w:r>
    </w:p>
    <w:p w:rsidR="00465CBF" w:rsidRDefault="00E50336" w:rsidP="00465CBF">
      <w:r>
        <w:pict>
          <v:rect id="_x0000_i1066" style="width:0;height:1.5pt" o:hralign="center" o:hrstd="t" o:hr="t" fillcolor="#a0a0a0" stroked="f"/>
        </w:pict>
      </w:r>
    </w:p>
    <w:p w:rsidR="00465CBF" w:rsidRDefault="00465CBF" w:rsidP="00465CBF">
      <w:pPr>
        <w:pStyle w:val="berschrift2"/>
      </w:pPr>
      <w:r>
        <w:t>3.3.37.23 Positivität</w:t>
      </w:r>
    </w:p>
    <w:p w:rsidR="00465CBF" w:rsidRDefault="00465CBF" w:rsidP="00465CBF">
      <w:pPr>
        <w:pStyle w:val="StandardWeb"/>
      </w:pPr>
      <w:r>
        <w:t>Damit verschiedene Alternativen überhaupt miteinander verglichen werden können, müssen sie innerhalb der betrachteten Population auftreten können.</w:t>
      </w:r>
    </w:p>
    <w:p w:rsidR="00465CBF" w:rsidRDefault="00465CBF" w:rsidP="00465CBF">
      <w:pPr>
        <w:pStyle w:val="StandardWeb"/>
      </w:pPr>
      <w:r>
        <w:t>Dies formuliere ich als Positivitätsbedingung</w:t>
      </w:r>
    </w:p>
    <w:p w:rsidR="00465CBF" w:rsidRDefault="00465CBF" w:rsidP="00465CBF">
      <w:pPr>
        <w:pStyle w:val="StandardWeb"/>
      </w:pPr>
      <w:r>
        <w:t>[</w:t>
      </w:r>
      <w:r>
        <w:br/>
        <w:t>0</w:t>
      </w:r>
      <w:r>
        <w:br/>
        <w:t>&lt;</w:t>
      </w:r>
      <w:r>
        <w:br/>
        <w:t>\Pr</w:t>
      </w:r>
      <w:r>
        <w:br/>
        <w:t>\left(</w:t>
      </w:r>
      <w:r>
        <w:br/>
        <w:t>X=x</w:t>
      </w:r>
      <w:r>
        <w:br/>
        <w:t>\mid</w:t>
      </w:r>
      <w:r>
        <w:br/>
        <w:t>Z=z</w:t>
      </w:r>
      <w:r>
        <w:br/>
        <w:t>\right)</w:t>
      </w:r>
      <w:r>
        <w:br/>
      </w:r>
      <w:r>
        <w:lastRenderedPageBreak/>
        <w:t>&lt;</w:t>
      </w:r>
      <w:r>
        <w:br/>
        <w:t>1.</w:t>
      </w:r>
      <w:r>
        <w:br/>
        <w:t>\tag{3.6189}</w:t>
      </w:r>
      <w:r>
        <w:br/>
        <w:t>]</w:t>
      </w:r>
    </w:p>
    <w:p w:rsidR="00465CBF" w:rsidRDefault="00465CBF" w:rsidP="00465CBF">
      <w:pPr>
        <w:pStyle w:val="StandardWeb"/>
      </w:pPr>
      <w:r>
        <w:rPr>
          <w:rStyle w:val="Fett"/>
        </w:rPr>
        <w:t>Word-LaTeX</w:t>
      </w:r>
    </w:p>
    <w:p w:rsidR="00465CBF" w:rsidRDefault="00465CBF" w:rsidP="00465CBF">
      <w:pPr>
        <w:pStyle w:val="HTMLVorformatiert"/>
        <w:rPr>
          <w:rStyle w:val="HTMLCode"/>
        </w:rPr>
      </w:pPr>
      <w:r>
        <w:rPr>
          <w:rStyle w:val="HTMLCode"/>
        </w:rPr>
        <w:t>0&lt;\Pr\left(X=x\mid Z=z\right)&lt;1\qquad\text{(3.6189)}</w:t>
      </w:r>
    </w:p>
    <w:p w:rsidR="00465CBF" w:rsidRDefault="00465CBF" w:rsidP="00465CBF">
      <w:pPr>
        <w:pStyle w:val="StandardWeb"/>
      </w:pPr>
      <w:r>
        <w:t>Existieren für bestimmte Kontexte ausschließlich identische Ursachen, fehlt jede empirische Vergleichsmöglichkeit.</w:t>
      </w:r>
    </w:p>
    <w:p w:rsidR="00465CBF" w:rsidRDefault="00465CBF" w:rsidP="00465CBF">
      <w:pPr>
        <w:pStyle w:val="StandardWeb"/>
      </w:pPr>
      <w:r>
        <w:t>Eine kausale Wirkung kann dort aus den vorliegenden Daten nicht bestimmt werden.</w:t>
      </w:r>
    </w:p>
    <w:p w:rsidR="00465CBF" w:rsidRDefault="00E50336" w:rsidP="00465CBF">
      <w:r>
        <w:pict>
          <v:rect id="_x0000_i1067" style="width:0;height:1.5pt" o:hralign="center" o:hrstd="t" o:hr="t" fillcolor="#a0a0a0" stroked="f"/>
        </w:pict>
      </w:r>
    </w:p>
    <w:p w:rsidR="00465CBF" w:rsidRDefault="00465CBF" w:rsidP="00465CBF">
      <w:pPr>
        <w:pStyle w:val="berschrift2"/>
      </w:pPr>
      <w:r>
        <w:t>3.3.37.24 Konsistenzbedingung</w:t>
      </w:r>
    </w:p>
    <w:p w:rsidR="00465CBF" w:rsidRDefault="00465CBF" w:rsidP="00465CBF">
      <w:pPr>
        <w:pStyle w:val="StandardWeb"/>
      </w:pPr>
      <w:r>
        <w:t>Schließlich muss das tatsächlich beobachtete Ergebnis mit demjenigen potentiellen Ergebnis übereinstimmen, das unter der tatsächlich realisierten Ursache definiert wurde.</w:t>
      </w:r>
    </w:p>
    <w:p w:rsidR="00465CBF" w:rsidRDefault="00465CBF" w:rsidP="00465CBF">
      <w:pPr>
        <w:pStyle w:val="StandardWeb"/>
      </w:pPr>
      <w:r>
        <w:t>Dies schreibe ich als</w:t>
      </w:r>
    </w:p>
    <w:p w:rsidR="00465CBF" w:rsidRDefault="00465CBF" w:rsidP="00465CBF">
      <w:pPr>
        <w:pStyle w:val="berschrift1"/>
      </w:pPr>
      <w:r>
        <w:t>[</w:t>
      </w:r>
      <w:r>
        <w:br/>
        <w:t>X=x</w:t>
      </w:r>
      <w:r>
        <w:br/>
        <w:t>\Rightarrow</w:t>
      </w:r>
      <w:r>
        <w:br/>
        <w:t>Y</w:t>
      </w:r>
    </w:p>
    <w:p w:rsidR="00465CBF" w:rsidRDefault="00465CBF" w:rsidP="00465CBF">
      <w:pPr>
        <w:pStyle w:val="StandardWeb"/>
      </w:pPr>
      <w:r>
        <w:t>Y(x).</w:t>
      </w:r>
      <w:r>
        <w:br/>
        <w:t>\tag{3.6190}</w:t>
      </w:r>
      <w:r>
        <w:br/>
        <w:t>]</w:t>
      </w:r>
    </w:p>
    <w:p w:rsidR="00465CBF" w:rsidRDefault="00465CBF" w:rsidP="00465CBF">
      <w:pPr>
        <w:pStyle w:val="StandardWeb"/>
      </w:pPr>
      <w:r>
        <w:rPr>
          <w:rStyle w:val="Fett"/>
        </w:rPr>
        <w:t>Word-LaTeX</w:t>
      </w:r>
    </w:p>
    <w:p w:rsidR="00465CBF" w:rsidRDefault="00465CBF" w:rsidP="00465CBF">
      <w:pPr>
        <w:pStyle w:val="HTMLVorformatiert"/>
        <w:rPr>
          <w:rStyle w:val="HTMLCode"/>
        </w:rPr>
      </w:pPr>
      <w:r>
        <w:rPr>
          <w:rStyle w:val="HTMLCode"/>
        </w:rPr>
        <w:t>X=x\Rightarrow Y=Y(x)\qquad\text{(3.6190)}</w:t>
      </w:r>
    </w:p>
    <w:p w:rsidR="00465CBF" w:rsidRDefault="00465CBF" w:rsidP="00465CBF">
      <w:pPr>
        <w:pStyle w:val="StandardWeb"/>
      </w:pPr>
      <w:r>
        <w:t>Die Konsistenzbedingung verlangt, dass Ursache und Intervention eindeutig beschrieben werden.</w:t>
      </w:r>
    </w:p>
    <w:p w:rsidR="00465CBF" w:rsidRDefault="00465CBF" w:rsidP="00465CBF">
      <w:pPr>
        <w:pStyle w:val="StandardWeb"/>
      </w:pPr>
      <w:r>
        <w:t>Nur dann besitzen potentielle Ergebnisse überhaupt eine klare wissenschaftliche Bedeutung.</w:t>
      </w:r>
    </w:p>
    <w:p w:rsidR="00465CBF" w:rsidRDefault="00E50336" w:rsidP="00465CBF">
      <w:r>
        <w:pict>
          <v:rect id="_x0000_i1068" style="width:0;height:1.5pt" o:hralign="center" o:hrstd="t" o:hr="t" fillcolor="#a0a0a0" stroked="f"/>
        </w:pict>
      </w:r>
    </w:p>
    <w:p w:rsidR="00465CBF" w:rsidRDefault="00465CBF" w:rsidP="00465CBF">
      <w:pPr>
        <w:pStyle w:val="StandardWeb"/>
      </w:pPr>
      <w:r>
        <w:rPr>
          <w:rStyle w:val="Hervorhebung"/>
        </w:rPr>
        <w:t>(Fortsetzung mit 3.3.37.25 „Interferenz in relationalen FRZK-Systemen“ folgt.)</w:t>
      </w:r>
    </w:p>
    <w:p w:rsidR="00940E2B" w:rsidRDefault="00940E2B" w:rsidP="00940E2B">
      <w:pPr>
        <w:pStyle w:val="berschrift2"/>
        <w:rPr>
          <w:rFonts w:cs="Times New Roman"/>
        </w:rPr>
      </w:pPr>
      <w:r>
        <w:t>3.3.37.25 Interferenz in relationalen FRZK-Systemen</w:t>
      </w:r>
    </w:p>
    <w:p w:rsidR="00940E2B" w:rsidRDefault="00940E2B" w:rsidP="00940E2B">
      <w:pPr>
        <w:pStyle w:val="StandardWeb"/>
      </w:pPr>
      <w:r>
        <w:lastRenderedPageBreak/>
        <w:t>In klassischen Kausalmodellen wird häufig angenommen, dass die Behandlung oder Zustandsänderung einer Einheit ausschließlich deren eigenes Ergebnis beeinflusst. Für relationale Systeme ist diese Annahme jedoch keineswegs selbstverständlich. Gerade im FRZK können funktionale Relationen dazu führen, dass eine Veränderung eines Zustands auf weitere Zustände übertragen wird. Interferenz ist deshalb nicht als Ausnahme, sondern als grundsätzlich mögliche Eigenschaft relational gekoppelter Systeme zu behandeln [58, 59, 79].</w:t>
      </w:r>
    </w:p>
    <w:p w:rsidR="00940E2B" w:rsidRDefault="00940E2B" w:rsidP="00940E2B">
      <w:pPr>
        <w:pStyle w:val="StandardWeb"/>
      </w:pPr>
      <w:r>
        <w:t>Für eine Menge von (n) Einheiten kann das Ergebnis der Einheit (i) allgemein von sämtlichen Interventionszuständen abhängen:</w:t>
      </w:r>
    </w:p>
    <w:p w:rsidR="00940E2B" w:rsidRDefault="00940E2B" w:rsidP="00940E2B">
      <w:pPr>
        <w:pStyle w:val="berschrift1"/>
      </w:pPr>
      <w:r>
        <w:t>[</w:t>
      </w:r>
      <w:r>
        <w:br/>
        <w:t>Y_i</w:t>
      </w:r>
    </w:p>
    <w:p w:rsidR="00940E2B" w:rsidRDefault="00940E2B" w:rsidP="00940E2B">
      <w:pPr>
        <w:pStyle w:val="StandardWeb"/>
      </w:pPr>
      <w:r>
        <w:t>Y_i</w:t>
      </w:r>
      <w:r>
        <w:br/>
        <w:t>\left(</w:t>
      </w:r>
      <w:r>
        <w:br/>
        <w:t>X_1,</w:t>
      </w:r>
      <w:r>
        <w:br/>
        <w:t>X_2,</w:t>
      </w:r>
      <w:r>
        <w:br/>
        <w:t>\ldots,</w:t>
      </w:r>
      <w:r>
        <w:br/>
        <w:t>X_n</w:t>
      </w:r>
      <w:r>
        <w:br/>
        <w:t>\right).</w:t>
      </w:r>
      <w:r>
        <w:br/>
        <w:t>\tag{3.6191}</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Y_i=Y_i\left(X_1,X_2,\ldots,X_n\right)\qquad\text{(3.6191)}</w:t>
      </w:r>
    </w:p>
    <w:p w:rsidR="00940E2B" w:rsidRDefault="00940E2B" w:rsidP="00940E2B">
      <w:pPr>
        <w:pStyle w:val="StandardWeb"/>
      </w:pPr>
      <w:r>
        <w:t>Eine vereinfachende Nichtinterferenzannahme würde dagegen verlangen,</w:t>
      </w:r>
    </w:p>
    <w:p w:rsidR="00940E2B" w:rsidRDefault="00940E2B" w:rsidP="00940E2B">
      <w:pPr>
        <w:pStyle w:val="berschrift1"/>
      </w:pPr>
      <w:r>
        <w:t>[</w:t>
      </w:r>
      <w:r>
        <w:br/>
        <w:t>Y_i</w:t>
      </w:r>
    </w:p>
    <w:p w:rsidR="00940E2B" w:rsidRDefault="00940E2B" w:rsidP="00940E2B">
      <w:pPr>
        <w:pStyle w:val="StandardWeb"/>
      </w:pPr>
      <w:r>
        <w:t>Y_i</w:t>
      </w:r>
      <w:r>
        <w:br/>
        <w:t>\left(</w:t>
      </w:r>
      <w:r>
        <w:br/>
        <w:t>X_i</w:t>
      </w:r>
      <w:r>
        <w:br/>
        <w:t>\right).</w:t>
      </w:r>
      <w:r>
        <w:br/>
        <w:t>\tag{3.6192}</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Y_i=Y_i\left(X_i\right)\qquad\text{(3.6192)}</w:t>
      </w:r>
    </w:p>
    <w:p w:rsidR="00940E2B" w:rsidRDefault="00940E2B" w:rsidP="00940E2B">
      <w:pPr>
        <w:pStyle w:val="StandardWeb"/>
      </w:pPr>
      <w:r>
        <w:t>Für das FRZK ist Gleichung (3.6192) nur unter zusätzlichen Bedingungen zulässig. Bestehen funktionale Relationen zwischen den Einheiten, kann eine Intervention auf (X_j) das Ergebnis von Einheit (i) beeinflussen, obwohl (X_i) selbst unverändert bleibt.</w:t>
      </w:r>
    </w:p>
    <w:p w:rsidR="00940E2B" w:rsidRDefault="00940E2B" w:rsidP="00940E2B">
      <w:pPr>
        <w:pStyle w:val="StandardWeb"/>
      </w:pPr>
      <w:r>
        <w:t>Ich bezeichne einen solchen indirekten Interventionseffekt durch</w:t>
      </w:r>
    </w:p>
    <w:p w:rsidR="00940E2B" w:rsidRDefault="00940E2B" w:rsidP="00940E2B">
      <w:pPr>
        <w:pStyle w:val="berschrift1"/>
      </w:pPr>
      <w:r>
        <w:lastRenderedPageBreak/>
        <w:t>[</w:t>
      </w:r>
      <w:r>
        <w:br/>
        <w:t>\Delta Y_i^{(j)}</w:t>
      </w:r>
    </w:p>
    <w:p w:rsidR="00940E2B" w:rsidRDefault="00940E2B" w:rsidP="00940E2B">
      <w:pPr>
        <w:pStyle w:val="berschrift2"/>
      </w:pPr>
      <w:r>
        <w:t>Y_i</w:t>
      </w:r>
      <w:r>
        <w:br/>
        <w:t>\left(</w:t>
      </w:r>
      <w:r>
        <w:br/>
        <w:t>X_j=x_j'</w:t>
      </w:r>
      <w:r>
        <w:br/>
        <w:t>\right)</w:t>
      </w:r>
    </w:p>
    <w:p w:rsidR="00940E2B" w:rsidRDefault="00940E2B" w:rsidP="00940E2B">
      <w:pPr>
        <w:pStyle w:val="StandardWeb"/>
      </w:pPr>
      <w:r>
        <w:t>Y_i</w:t>
      </w:r>
      <w:r>
        <w:br/>
        <w:t>\left(</w:t>
      </w:r>
      <w:r>
        <w:br/>
        <w:t>X_j=x_j</w:t>
      </w:r>
      <w:r>
        <w:br/>
        <w:t>\right).</w:t>
      </w:r>
      <w:r>
        <w:br/>
        <w:t>\tag{3.6193}</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\Delta Y_i^{(j)}=Y_i\left(X_j=x_j^{\prime}\right)-Y_i\left(X_j=x_j\right)\qquad\text{(3.6193)}</w:t>
      </w:r>
    </w:p>
    <w:p w:rsidR="00940E2B" w:rsidRDefault="00940E2B" w:rsidP="00940E2B">
      <w:pPr>
        <w:pStyle w:val="StandardWeb"/>
      </w:pPr>
      <w:r>
        <w:t>Für</w:t>
      </w:r>
    </w:p>
    <w:p w:rsidR="00940E2B" w:rsidRDefault="00940E2B" w:rsidP="00940E2B">
      <w:pPr>
        <w:pStyle w:val="StandardWeb"/>
      </w:pPr>
      <w:r>
        <w:t>[</w:t>
      </w:r>
      <w:r>
        <w:br/>
        <w:t>\Delta Y_i^{(j)}</w:t>
      </w:r>
      <w:r>
        <w:br/>
        <w:t>\neq</w:t>
      </w:r>
      <w:r>
        <w:br/>
        <w:t>0</w:t>
      </w:r>
      <w:r>
        <w:br/>
        <w:t>\qquad</w:t>
      </w:r>
      <w:r>
        <w:br/>
        <w:t>(i\neq j)</w:t>
      </w:r>
      <w:r>
        <w:br/>
        <w:t>\tag{3.6194}</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\Delta Y_i^{(j)}\neq0\qquad(i\neq j)\qquad\text{(3.6194)}</w:t>
      </w:r>
    </w:p>
    <w:p w:rsidR="00940E2B" w:rsidRDefault="00940E2B" w:rsidP="00940E2B">
      <w:pPr>
        <w:pStyle w:val="StandardWeb"/>
      </w:pPr>
      <w:r>
        <w:t>liegt ein funktionaler Interferenzeffekt vor.</w:t>
      </w:r>
    </w:p>
    <w:p w:rsidR="00940E2B" w:rsidRDefault="00940E2B" w:rsidP="00940E2B">
      <w:pPr>
        <w:pStyle w:val="StandardWeb"/>
      </w:pPr>
      <w:r>
        <w:t>Methodisch bedeutet dies, dass Beobachtungen innerhalb relational gekoppelter FRZK-Strukturen nicht ohne Weiteres als voneinander unabhängige Einheiten behandelt werden dürfen.</w:t>
      </w:r>
    </w:p>
    <w:p w:rsidR="00940E2B" w:rsidRDefault="00E50336" w:rsidP="00940E2B">
      <w:r>
        <w:pict>
          <v:rect id="_x0000_i1069" style="width:0;height:1.5pt" o:hralign="center" o:hrstd="t" o:hr="t" fillcolor="#a0a0a0" stroked="f"/>
        </w:pict>
      </w:r>
    </w:p>
    <w:p w:rsidR="00940E2B" w:rsidRDefault="00940E2B" w:rsidP="00940E2B">
      <w:pPr>
        <w:pStyle w:val="berschrift2"/>
      </w:pPr>
      <w:r>
        <w:t>3.3.37.26 Kausale Wirkung entlang funktionaler Relationen</w:t>
      </w:r>
    </w:p>
    <w:p w:rsidR="00940E2B" w:rsidRDefault="00940E2B" w:rsidP="00940E2B">
      <w:pPr>
        <w:pStyle w:val="StandardWeb"/>
      </w:pPr>
      <w:r>
        <w:t>Seien zwei funktionale Zustände durch eine Relation miteinander verbunden:</w:t>
      </w:r>
    </w:p>
    <w:p w:rsidR="00940E2B" w:rsidRDefault="00940E2B" w:rsidP="00940E2B">
      <w:pPr>
        <w:pStyle w:val="StandardWeb"/>
      </w:pPr>
      <w:r>
        <w:lastRenderedPageBreak/>
        <w:t>[</w:t>
      </w:r>
      <w:r>
        <w:br/>
        <w:t>\delta_i</w:t>
      </w:r>
      <w:r>
        <w:br/>
        <w:t>\mathcal{R}</w:t>
      </w:r>
      <w:r>
        <w:br/>
        <w:t>\delta_j.</w:t>
      </w:r>
      <w:r>
        <w:br/>
        <w:t>\tag{3.6195}</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\delta_i\mathcal{R}\delta_j\qquad\text{(3.6195)}</w:t>
      </w:r>
    </w:p>
    <w:p w:rsidR="00940E2B" w:rsidRDefault="00940E2B" w:rsidP="00940E2B">
      <w:pPr>
        <w:pStyle w:val="StandardWeb"/>
      </w:pPr>
      <w:r>
        <w:t>Eine Intervention auf (\delta_i) kann als</w:t>
      </w:r>
    </w:p>
    <w:p w:rsidR="00940E2B" w:rsidRDefault="00940E2B" w:rsidP="00940E2B">
      <w:pPr>
        <w:pStyle w:val="berschrift1"/>
      </w:pPr>
      <w:r>
        <w:t>[</w:t>
      </w:r>
      <w:r>
        <w:br/>
        <w:t>\operatorname{do}</w:t>
      </w:r>
      <w:r>
        <w:br/>
        <w:t>\left(</w:t>
      </w:r>
      <w:r>
        <w:br/>
        <w:t>\delta_i</w:t>
      </w:r>
    </w:p>
    <w:p w:rsidR="00940E2B" w:rsidRDefault="00940E2B" w:rsidP="00940E2B">
      <w:pPr>
        <w:pStyle w:val="StandardWeb"/>
      </w:pPr>
      <w:r>
        <w:t>\delta_i'</w:t>
      </w:r>
      <w:r>
        <w:br/>
        <w:t>\right)</w:t>
      </w:r>
      <w:r>
        <w:br/>
        <w:t>\tag{3.6196}</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\operatorname{do}\left(\delta_i=\delta_i^{\prime}\right)\qquad\text{(3.6196)}</w:t>
      </w:r>
    </w:p>
    <w:p w:rsidR="00940E2B" w:rsidRDefault="00940E2B" w:rsidP="00940E2B">
      <w:pPr>
        <w:pStyle w:val="StandardWeb"/>
      </w:pPr>
      <w:r>
        <w:t>formuliert werden.</w:t>
      </w:r>
    </w:p>
    <w:p w:rsidR="00940E2B" w:rsidRDefault="00940E2B" w:rsidP="00940E2B">
      <w:pPr>
        <w:pStyle w:val="StandardWeb"/>
      </w:pPr>
      <w:r>
        <w:t>Ändert sich daraufhin der relationell gekoppelte Zustand (\delta_j), kann gelten</w:t>
      </w:r>
    </w:p>
    <w:p w:rsidR="00940E2B" w:rsidRDefault="00940E2B" w:rsidP="00940E2B">
      <w:pPr>
        <w:pStyle w:val="berschrift1"/>
      </w:pPr>
      <w:r>
        <w:t>[</w:t>
      </w:r>
      <w:r>
        <w:br/>
        <w:t>\operatorname{do}</w:t>
      </w:r>
      <w:r>
        <w:br/>
        <w:t>\left(</w:t>
      </w:r>
      <w:r>
        <w:br/>
        <w:t>\delta_i</w:t>
      </w:r>
    </w:p>
    <w:p w:rsidR="00940E2B" w:rsidRDefault="00940E2B" w:rsidP="00940E2B">
      <w:pPr>
        <w:pStyle w:val="StandardWeb"/>
      </w:pPr>
      <w:r>
        <w:t>\delta_i'</w:t>
      </w:r>
      <w:r>
        <w:br/>
        <w:t>\right)</w:t>
      </w:r>
      <w:r>
        <w:br/>
        <w:t>\Rightarrow</w:t>
      </w:r>
      <w:r>
        <w:br/>
        <w:t>\Delta\delta_j</w:t>
      </w:r>
      <w:r>
        <w:br/>
        <w:t>\neq</w:t>
      </w:r>
      <w:r>
        <w:br/>
        <w:t>0.</w:t>
      </w:r>
      <w:r>
        <w:br/>
        <w:t>\tag{3.6197}</w:t>
      </w:r>
      <w:r>
        <w:br/>
        <w:t>]</w:t>
      </w:r>
    </w:p>
    <w:p w:rsidR="00940E2B" w:rsidRDefault="00940E2B" w:rsidP="00940E2B">
      <w:pPr>
        <w:pStyle w:val="StandardWeb"/>
      </w:pPr>
      <w:r>
        <w:rPr>
          <w:rStyle w:val="Fett"/>
        </w:rPr>
        <w:lastRenderedPageBreak/>
        <w:t>Word-LaTeX</w:t>
      </w:r>
    </w:p>
    <w:p w:rsidR="00940E2B" w:rsidRDefault="00940E2B" w:rsidP="00940E2B">
      <w:pPr>
        <w:pStyle w:val="HTMLVorformatiert"/>
        <w:rPr>
          <w:rStyle w:val="HTMLCode"/>
        </w:rPr>
      </w:pPr>
      <w:r>
        <w:rPr>
          <w:rStyle w:val="HTMLCode"/>
        </w:rPr>
        <w:t>\operatorname{do}\left(\delta_i=\delta_i^{\prime}\right)\Rightarrow\Delta\delta_j\neq0\qquad\text{(3.6197)}</w:t>
      </w:r>
    </w:p>
    <w:p w:rsidR="00940E2B" w:rsidRDefault="00940E2B" w:rsidP="00940E2B">
      <w:pPr>
        <w:pStyle w:val="StandardWeb"/>
      </w:pPr>
      <w:r>
        <w:t>Diese Gleichung beschreibt zunächst einen interventionsbezogenen funktionalen Effekt. Für eine kausale Interpretation muss zusätzlich geprüft werden, ob alternative Wirkpfade, gemeinsame Ursachen und Auswahlmechanismen hinreichend kontrolliert sind.</w:t>
      </w:r>
    </w:p>
    <w:p w:rsidR="00940E2B" w:rsidRDefault="00940E2B" w:rsidP="00940E2B">
      <w:pPr>
        <w:pStyle w:val="StandardWeb"/>
      </w:pPr>
      <w:r>
        <w:t>Bei einer Kette funktionaler Relationen</w:t>
      </w:r>
    </w:p>
    <w:p w:rsidR="00940E2B" w:rsidRDefault="00940E2B" w:rsidP="00940E2B">
      <w:pPr>
        <w:pStyle w:val="StandardWeb"/>
      </w:pPr>
      <w:r>
        <w:t>[</w:t>
      </w:r>
      <w:r>
        <w:br/>
        <w:t>\delta_i</w:t>
      </w:r>
      <w:r>
        <w:br/>
        <w:t>\mathcal{R}</w:t>
      </w:r>
      <w:r>
        <w:br/>
        <w:t>\delta_j</w:t>
      </w:r>
      <w:r>
        <w:br/>
        <w:t>\mathcal{R}</w:t>
      </w:r>
      <w:r>
        <w:br/>
        <w:t>\delta_k</w:t>
      </w:r>
      <w:r>
        <w:br/>
        <w:t>\tag{3.6198}</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\delta_i\mathcal{R}\delta_j\mathcal{R}\delta_k\qquad\text{(3.6198)}</w:t>
      </w:r>
    </w:p>
    <w:p w:rsidR="00940E2B" w:rsidRDefault="00940E2B" w:rsidP="00940E2B">
      <w:pPr>
        <w:pStyle w:val="StandardWeb"/>
      </w:pPr>
      <w:r>
        <w:t>kann eine Intervention auf (\delta_i) mittelbare Folgen für (\delta_k) besitzen.</w:t>
      </w:r>
    </w:p>
    <w:p w:rsidR="00940E2B" w:rsidRDefault="00940E2B" w:rsidP="00940E2B">
      <w:pPr>
        <w:pStyle w:val="StandardWeb"/>
      </w:pPr>
      <w:r>
        <w:t xml:space="preserve">Damit wird kausale Analyse im FRZK notwendigerweise zu einer Analyse von </w:t>
      </w:r>
      <w:r>
        <w:rPr>
          <w:rStyle w:val="Fett"/>
        </w:rPr>
        <w:t>Pfaden innerhalb relationaler Strukturen</w:t>
      </w:r>
      <w:r>
        <w:t>.</w:t>
      </w:r>
    </w:p>
    <w:p w:rsidR="00940E2B" w:rsidRDefault="00E50336" w:rsidP="00940E2B">
      <w:r>
        <w:pict>
          <v:rect id="_x0000_i1070" style="width:0;height:1.5pt" o:hralign="center" o:hrstd="t" o:hr="t" fillcolor="#a0a0a0" stroked="f"/>
        </w:pict>
      </w:r>
    </w:p>
    <w:p w:rsidR="00940E2B" w:rsidRDefault="00940E2B" w:rsidP="00940E2B">
      <w:pPr>
        <w:pStyle w:val="berschrift2"/>
      </w:pPr>
      <w:r>
        <w:t>3.3.37.27 Kausale Wirkung auf funktionale Kohärenz</w:t>
      </w:r>
    </w:p>
    <w:p w:rsidR="00940E2B" w:rsidRDefault="00940E2B" w:rsidP="00940E2B">
      <w:pPr>
        <w:pStyle w:val="StandardWeb"/>
      </w:pPr>
      <w:r>
        <w:t>Die bisherige Betrachtung bezog sich auf einzelne Zustände oder Zielgrößen. Innerhalb des FRZK kann jedoch auch die Kohärenz einer gesamten Struktur Gegenstand einer kausalen Analyse sein.</w:t>
      </w:r>
    </w:p>
    <w:p w:rsidR="00940E2B" w:rsidRDefault="00940E2B" w:rsidP="00940E2B">
      <w:pPr>
        <w:pStyle w:val="StandardWeb"/>
      </w:pPr>
      <w:r>
        <w:t>Der Ausgangswert funktionaler Kohärenz sei</w:t>
      </w:r>
    </w:p>
    <w:p w:rsidR="00940E2B" w:rsidRDefault="00940E2B" w:rsidP="00940E2B">
      <w:pPr>
        <w:pStyle w:val="berschrift1"/>
      </w:pPr>
      <w:r>
        <w:t>[</w:t>
      </w:r>
      <w:r>
        <w:br/>
        <w:t>K_{\mathcal{C}}</w:t>
      </w:r>
    </w:p>
    <w:p w:rsidR="00940E2B" w:rsidRDefault="00940E2B" w:rsidP="00940E2B">
      <w:pPr>
        <w:pStyle w:val="StandardWeb"/>
      </w:pPr>
      <w:r>
        <w:t>\mathcal{K}</w:t>
      </w:r>
      <w:r>
        <w:rPr>
          <w:rStyle w:val="Hervorhebung"/>
        </w:rPr>
        <w:t>{F}</w:t>
      </w:r>
      <w:r>
        <w:rPr>
          <w:i/>
          <w:iCs/>
        </w:rPr>
        <w:br/>
      </w:r>
      <w:r>
        <w:rPr>
          <w:rStyle w:val="Hervorhebung"/>
        </w:rPr>
        <w:t>\left(</w:t>
      </w:r>
      <w:r>
        <w:rPr>
          <w:i/>
          <w:iCs/>
        </w:rPr>
        <w:br/>
      </w:r>
      <w:r>
        <w:rPr>
          <w:rStyle w:val="Hervorhebung"/>
        </w:rPr>
        <w:t>\mathcal{S}</w:t>
      </w:r>
      <w:r>
        <w:t>{F},</w:t>
      </w:r>
      <w:r>
        <w:br/>
        <w:t>\mathfrak{R}</w:t>
      </w:r>
      <w:r>
        <w:rPr>
          <w:rStyle w:val="Hervorhebung"/>
        </w:rPr>
        <w:t>{F},</w:t>
      </w:r>
      <w:r>
        <w:rPr>
          <w:i/>
          <w:iCs/>
        </w:rPr>
        <w:br/>
      </w:r>
      <w:r>
        <w:rPr>
          <w:rStyle w:val="Hervorhebung"/>
        </w:rPr>
        <w:t>\mathfrak{T}</w:t>
      </w:r>
      <w:r>
        <w:t>{F}</w:t>
      </w:r>
      <w:r>
        <w:br/>
        <w:t>\right).</w:t>
      </w:r>
      <w:r>
        <w:br/>
        <w:t>\tag{3.6199}</w:t>
      </w:r>
      <w:r>
        <w:br/>
        <w:t>]</w:t>
      </w:r>
    </w:p>
    <w:p w:rsidR="00940E2B" w:rsidRDefault="00940E2B" w:rsidP="00940E2B">
      <w:pPr>
        <w:pStyle w:val="StandardWeb"/>
      </w:pPr>
      <w:r>
        <w:rPr>
          <w:rStyle w:val="Fett"/>
        </w:rPr>
        <w:lastRenderedPageBreak/>
        <w:t>Word-LaTeX</w:t>
      </w:r>
    </w:p>
    <w:p w:rsidR="00940E2B" w:rsidRDefault="00940E2B" w:rsidP="00940E2B">
      <w:pPr>
        <w:pStyle w:val="HTMLVorformatiert"/>
        <w:rPr>
          <w:rStyle w:val="HTMLCode"/>
        </w:rPr>
      </w:pPr>
      <w:r>
        <w:rPr>
          <w:rStyle w:val="HTMLCode"/>
        </w:rPr>
        <w:t>K_{\mathcal{C}}=\mathcal{K}_{F}\left(\mathcal{S}_{F},\mathfrak{R}_{F},\mathfrak{T}_{F}\right)\qquad\text{(3.6199)}</w:t>
      </w:r>
    </w:p>
    <w:p w:rsidR="00940E2B" w:rsidRDefault="00940E2B" w:rsidP="00940E2B">
      <w:pPr>
        <w:pStyle w:val="StandardWeb"/>
      </w:pPr>
      <w:r>
        <w:t>Nach einer Intervention (I) ergibt sich</w:t>
      </w:r>
    </w:p>
    <w:p w:rsidR="00940E2B" w:rsidRDefault="00940E2B" w:rsidP="00940E2B">
      <w:pPr>
        <w:pStyle w:val="StandardWeb"/>
      </w:pPr>
      <w:r>
        <w:t>[</w:t>
      </w:r>
      <w:r>
        <w:br/>
        <w:t>K_{\mathcal{C}}^{I}.</w:t>
      </w:r>
      <w:r>
        <w:br/>
        <w:t>\tag{3.6200}</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K_{\mathcal{C}}^{I}\qquad\text{(3.6200)}</w:t>
      </w:r>
    </w:p>
    <w:p w:rsidR="00940E2B" w:rsidRDefault="00940E2B" w:rsidP="00940E2B">
      <w:pPr>
        <w:pStyle w:val="StandardWeb"/>
      </w:pPr>
      <w:r>
        <w:t>Der interventionsbezogene Kohärenzeffekt lautet</w:t>
      </w:r>
    </w:p>
    <w:p w:rsidR="00940E2B" w:rsidRDefault="00940E2B" w:rsidP="00940E2B">
      <w:pPr>
        <w:pStyle w:val="berschrift1"/>
      </w:pPr>
      <w:r>
        <w:t>[</w:t>
      </w:r>
      <w:r>
        <w:br/>
        <w:t>\Delta K_{\mathcal{C}}^{I}</w:t>
      </w:r>
    </w:p>
    <w:p w:rsidR="00940E2B" w:rsidRDefault="00940E2B" w:rsidP="00940E2B">
      <w:pPr>
        <w:pStyle w:val="berschrift2"/>
      </w:pPr>
      <w:r>
        <w:t>K_{\mathcal{C}}^{I}</w:t>
      </w:r>
    </w:p>
    <w:p w:rsidR="00940E2B" w:rsidRDefault="00940E2B" w:rsidP="00940E2B">
      <w:pPr>
        <w:pStyle w:val="StandardWeb"/>
      </w:pPr>
      <w:r>
        <w:t>K_{\mathcal{C}}.</w:t>
      </w:r>
      <w:r>
        <w:br/>
        <w:t>\tag{3.6201}</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\Delta K_{\mathcal{C}}^{I}=K_{\mathcal{C}}^{I}-K_{\mathcal{C}}\qquad\text{(3.6201)}</w:t>
      </w:r>
    </w:p>
    <w:p w:rsidR="00940E2B" w:rsidRDefault="00940E2B" w:rsidP="00940E2B">
      <w:pPr>
        <w:pStyle w:val="StandardWeb"/>
      </w:pPr>
      <w:r>
        <w:t>Für</w:t>
      </w:r>
    </w:p>
    <w:p w:rsidR="00940E2B" w:rsidRDefault="00940E2B" w:rsidP="00940E2B">
      <w:pPr>
        <w:pStyle w:val="StandardWeb"/>
      </w:pPr>
      <w:r>
        <w:t>[</w:t>
      </w:r>
      <w:r>
        <w:br/>
        <w:t>\Delta K_{\mathcal{C}}^{I}</w:t>
      </w:r>
    </w:p>
    <w:p w:rsidR="00940E2B" w:rsidRDefault="00940E2B" w:rsidP="00940E2B">
      <w:pPr>
        <w:pStyle w:val="StandardWeb"/>
      </w:pPr>
      <w:r>
        <w:t>0</w:t>
      </w:r>
      <w:r>
        <w:br/>
        <w:t>\tag{3.6202}</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\Delta K_{\mathcal{C}}^{I}&gt;0\qquad\text{(3.6202)}</w:t>
      </w:r>
    </w:p>
    <w:p w:rsidR="00940E2B" w:rsidRDefault="00940E2B" w:rsidP="00940E2B">
      <w:pPr>
        <w:pStyle w:val="StandardWeb"/>
      </w:pPr>
      <w:r>
        <w:t>steigt der Kohärenzwert unter der Intervention.</w:t>
      </w:r>
    </w:p>
    <w:p w:rsidR="00940E2B" w:rsidRDefault="00940E2B" w:rsidP="00940E2B">
      <w:pPr>
        <w:pStyle w:val="StandardWeb"/>
      </w:pPr>
      <w:r>
        <w:t>Für</w:t>
      </w:r>
    </w:p>
    <w:p w:rsidR="00940E2B" w:rsidRDefault="00940E2B" w:rsidP="00940E2B">
      <w:pPr>
        <w:pStyle w:val="StandardWeb"/>
      </w:pPr>
      <w:r>
        <w:t>[</w:t>
      </w:r>
      <w:r>
        <w:br/>
        <w:t>\Delta K_{\mathcal{C}}^{I}</w:t>
      </w:r>
      <w:r>
        <w:br/>
      </w:r>
      <w:r>
        <w:lastRenderedPageBreak/>
        <w:t>&lt;</w:t>
      </w:r>
      <w:r>
        <w:br/>
        <w:t>0</w:t>
      </w:r>
      <w:r>
        <w:br/>
        <w:t>\tag{3.6203}</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\Delta K_{\mathcal{C}}^{I}&lt;0\qquad\text{(3.6203)}</w:t>
      </w:r>
    </w:p>
    <w:p w:rsidR="00940E2B" w:rsidRDefault="00940E2B" w:rsidP="00940E2B">
      <w:pPr>
        <w:pStyle w:val="StandardWeb"/>
      </w:pPr>
      <w:r>
        <w:t>sinkt er.</w:t>
      </w:r>
    </w:p>
    <w:p w:rsidR="00940E2B" w:rsidRDefault="00940E2B" w:rsidP="00940E2B">
      <w:pPr>
        <w:pStyle w:val="StandardWeb"/>
      </w:pPr>
      <w:r>
        <w:t>Dabei ist besondere Vorsicht erforderlich. Eine beobachtete Kohärenzänderung nach einer Intervention darf nur dann kausal dieser Intervention zugerechnet werden, wenn konkurrierende Veränderungen der Zustands-, Relations- oder Transformationsstruktur ausreichend berücksichtigt wurden.</w:t>
      </w:r>
    </w:p>
    <w:p w:rsidR="00940E2B" w:rsidRDefault="00940E2B" w:rsidP="00940E2B">
      <w:pPr>
        <w:pStyle w:val="StandardWeb"/>
      </w:pPr>
      <w:r>
        <w:rPr>
          <w:rStyle w:val="Fett"/>
        </w:rPr>
        <w:t>Eigenleistung des FRZK</w:t>
      </w:r>
    </w:p>
    <w:p w:rsidR="00940E2B" w:rsidRDefault="00940E2B" w:rsidP="00940E2B">
      <w:pPr>
        <w:pStyle w:val="StandardWeb"/>
      </w:pPr>
      <w:r>
        <w:t xml:space="preserve">Ich erweitere die Kausalanalyse damit ausdrücklich von einzelnen Variablen auf </w:t>
      </w:r>
      <w:r>
        <w:rPr>
          <w:rStyle w:val="Fett"/>
        </w:rPr>
        <w:t>relationale Systemgrößen</w:t>
      </w:r>
      <w:r>
        <w:t>. Nicht nur ein Zustand, sondern auch die Kohärenz einer funktionalen Gesamtstruktur kann als interventionsabhängige Zielgröße betrachtet werden.</w:t>
      </w:r>
    </w:p>
    <w:p w:rsidR="00940E2B" w:rsidRDefault="00E50336" w:rsidP="00940E2B">
      <w:r>
        <w:pict>
          <v:rect id="_x0000_i1071" style="width:0;height:1.5pt" o:hralign="center" o:hrstd="t" o:hr="t" fillcolor="#a0a0a0" stroked="f"/>
        </w:pict>
      </w:r>
    </w:p>
    <w:p w:rsidR="00940E2B" w:rsidRDefault="00940E2B" w:rsidP="00940E2B">
      <w:pPr>
        <w:pStyle w:val="berschrift2"/>
      </w:pPr>
      <w:r>
        <w:t>3.3.37.28 Kausale Wirkung auf funktionale Entwicklungen</w:t>
      </w:r>
    </w:p>
    <w:p w:rsidR="00940E2B" w:rsidRDefault="00940E2B" w:rsidP="00940E2B">
      <w:pPr>
        <w:pStyle w:val="StandardWeb"/>
      </w:pPr>
      <w:r>
        <w:t>Eine vollständige funktionale Entwicklung sei</w:t>
      </w:r>
    </w:p>
    <w:p w:rsidR="00940E2B" w:rsidRDefault="00940E2B" w:rsidP="00940E2B">
      <w:pPr>
        <w:pStyle w:val="berschrift1"/>
      </w:pPr>
      <w:r>
        <w:t>[</w:t>
      </w:r>
      <w:r>
        <w:br/>
        <w:t>\mathfrak{E}_{F}</w:t>
      </w:r>
    </w:p>
    <w:p w:rsidR="00940E2B" w:rsidRDefault="00940E2B" w:rsidP="00940E2B">
      <w:pPr>
        <w:pStyle w:val="StandardWeb"/>
      </w:pPr>
      <w:r>
        <w:t>\left(</w:t>
      </w:r>
      <w:r>
        <w:br/>
        <w:t>\delta_0,</w:t>
      </w:r>
      <w:r>
        <w:br/>
        <w:t>\delta_1,</w:t>
      </w:r>
      <w:r>
        <w:br/>
        <w:t>\ldots,</w:t>
      </w:r>
      <w:r>
        <w:br/>
        <w:t>\delta_n</w:t>
      </w:r>
      <w:r>
        <w:br/>
        <w:t>\right).</w:t>
      </w:r>
      <w:r>
        <w:br/>
        <w:t>\tag{3.6204}</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\mathfrak{E}_{F}=\left(\delta_0,\delta_1,\ldots,\delta_n\right)\qquad\text{(3.6204)}</w:t>
      </w:r>
    </w:p>
    <w:p w:rsidR="00940E2B" w:rsidRDefault="00940E2B" w:rsidP="00940E2B">
      <w:pPr>
        <w:pStyle w:val="StandardWeb"/>
      </w:pPr>
      <w:r>
        <w:t>Unter einer Intervention (I) entstehe eine alternative Entwicklung</w:t>
      </w:r>
    </w:p>
    <w:p w:rsidR="00940E2B" w:rsidRDefault="00940E2B" w:rsidP="00940E2B">
      <w:pPr>
        <w:pStyle w:val="berschrift1"/>
      </w:pPr>
      <w:r>
        <w:lastRenderedPageBreak/>
        <w:t>[</w:t>
      </w:r>
      <w:r>
        <w:br/>
        <w:t>\mathfrak{E}_{F}^{I}</w:t>
      </w:r>
    </w:p>
    <w:p w:rsidR="00940E2B" w:rsidRDefault="00940E2B" w:rsidP="00940E2B">
      <w:pPr>
        <w:pStyle w:val="StandardWeb"/>
      </w:pPr>
      <w:r>
        <w:t>\left(</w:t>
      </w:r>
      <w:r>
        <w:br/>
        <w:t>\delta_0^{I},</w:t>
      </w:r>
      <w:r>
        <w:br/>
        <w:t>\delta_1^{I},</w:t>
      </w:r>
      <w:r>
        <w:br/>
        <w:t>\ldots,</w:t>
      </w:r>
      <w:r>
        <w:br/>
        <w:t>\delta_n^{I}</w:t>
      </w:r>
      <w:r>
        <w:br/>
        <w:t>\right).</w:t>
      </w:r>
      <w:r>
        <w:br/>
        <w:t>\tag{3.6205}</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\mathfrak{E}_{F}^{I}=\left(\delta_0^{I},\delta_1^{I},\ldots,\delta_n^{I}\right)\qquad\text{(3.6205)}</w:t>
      </w:r>
    </w:p>
    <w:p w:rsidR="00940E2B" w:rsidRDefault="00940E2B" w:rsidP="00940E2B">
      <w:pPr>
        <w:pStyle w:val="StandardWeb"/>
      </w:pPr>
      <w:r>
        <w:t>Die Abweichung beider Entwicklungen kann durch ein Distanzmaß erfasst werden:</w:t>
      </w:r>
    </w:p>
    <w:p w:rsidR="00940E2B" w:rsidRDefault="00940E2B" w:rsidP="00940E2B">
      <w:pPr>
        <w:pStyle w:val="berschrift1"/>
      </w:pPr>
      <w:r>
        <w:t>[</w:t>
      </w:r>
      <w:r>
        <w:br/>
        <w:t>D_{\mathfrak{E}}^{I}</w:t>
      </w:r>
    </w:p>
    <w:p w:rsidR="00940E2B" w:rsidRDefault="00940E2B" w:rsidP="00940E2B">
      <w:pPr>
        <w:pStyle w:val="StandardWeb"/>
      </w:pPr>
      <w:r>
        <w:t>d_{\mathfrak{E}}</w:t>
      </w:r>
      <w:r>
        <w:br/>
        <w:t>\left(</w:t>
      </w:r>
      <w:r>
        <w:br/>
        <w:t>\mathfrak{E}</w:t>
      </w:r>
      <w:r>
        <w:rPr>
          <w:rStyle w:val="Hervorhebung"/>
        </w:rPr>
        <w:t>{F},</w:t>
      </w:r>
      <w:r>
        <w:rPr>
          <w:i/>
          <w:iCs/>
        </w:rPr>
        <w:br/>
      </w:r>
      <w:r>
        <w:rPr>
          <w:rStyle w:val="Hervorhebung"/>
        </w:rPr>
        <w:t>\mathfrak{E}</w:t>
      </w:r>
      <w:r>
        <w:t>{F}^{I}</w:t>
      </w:r>
      <w:r>
        <w:br/>
        <w:t>\right).</w:t>
      </w:r>
      <w:r>
        <w:br/>
        <w:t>\tag{3.6206}</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D_{\mathfrak{E}}^{I}=d_{\mathfrak{E}}\left(\mathfrak{E}_{F},\mathfrak{E}_{F}^{I}\right)\qquad\text{(3.6206)}</w:t>
      </w:r>
    </w:p>
    <w:p w:rsidR="00940E2B" w:rsidRDefault="00940E2B" w:rsidP="00940E2B">
      <w:pPr>
        <w:pStyle w:val="StandardWeb"/>
      </w:pPr>
      <w:r>
        <w:t>Die Wahl des Distanzmaßes muss dabei zur Struktur der Entwicklung passen. Eine punktweise euklidische Differenz ist nicht automatisch für jede Zustandsfolge geeignet.</w:t>
      </w:r>
    </w:p>
    <w:p w:rsidR="00940E2B" w:rsidRDefault="00940E2B" w:rsidP="00940E2B">
      <w:pPr>
        <w:pStyle w:val="StandardWeb"/>
      </w:pPr>
      <w:r>
        <w:t>Eine Intervention kann beispielsweise den Endzustand unverändert lassen und dennoch den Entwicklungsweg verändern:</w:t>
      </w:r>
    </w:p>
    <w:p w:rsidR="00940E2B" w:rsidRDefault="00940E2B" w:rsidP="00940E2B">
      <w:pPr>
        <w:pStyle w:val="berschrift1"/>
      </w:pPr>
      <w:r>
        <w:t>[</w:t>
      </w:r>
      <w:r>
        <w:br/>
        <w:t>\delta_n^{I}</w:t>
      </w:r>
    </w:p>
    <w:p w:rsidR="00940E2B" w:rsidRDefault="00940E2B" w:rsidP="00940E2B">
      <w:pPr>
        <w:pStyle w:val="StandardWeb"/>
      </w:pPr>
      <w:r>
        <w:t>\delta_n</w:t>
      </w:r>
      <w:r>
        <w:br/>
        <w:t>\tag{3.6207}</w:t>
      </w:r>
      <w:r>
        <w:br/>
        <w:t>]</w:t>
      </w:r>
    </w:p>
    <w:p w:rsidR="00940E2B" w:rsidRDefault="00940E2B" w:rsidP="00940E2B">
      <w:pPr>
        <w:pStyle w:val="StandardWeb"/>
      </w:pPr>
      <w:r>
        <w:rPr>
          <w:rStyle w:val="Fett"/>
        </w:rPr>
        <w:lastRenderedPageBreak/>
        <w:t>Word-LaTeX</w:t>
      </w:r>
    </w:p>
    <w:p w:rsidR="00940E2B" w:rsidRDefault="00940E2B" w:rsidP="00940E2B">
      <w:pPr>
        <w:pStyle w:val="HTMLVorformatiert"/>
        <w:rPr>
          <w:rStyle w:val="HTMLCode"/>
        </w:rPr>
      </w:pPr>
      <w:r>
        <w:rPr>
          <w:rStyle w:val="HTMLCode"/>
        </w:rPr>
        <w:t>\delta_n^{I}=\delta_n\qquad\text{(3.6207)}</w:t>
      </w:r>
    </w:p>
    <w:p w:rsidR="00940E2B" w:rsidRDefault="00940E2B" w:rsidP="00940E2B">
      <w:pPr>
        <w:pStyle w:val="StandardWeb"/>
      </w:pPr>
      <w:r>
        <w:t>bei gleichzeitig</w:t>
      </w:r>
    </w:p>
    <w:p w:rsidR="00940E2B" w:rsidRDefault="00940E2B" w:rsidP="00940E2B">
      <w:pPr>
        <w:pStyle w:val="StandardWeb"/>
      </w:pPr>
      <w:r>
        <w:t>[</w:t>
      </w:r>
      <w:r>
        <w:br/>
        <w:t>D_{\mathfrak{E}}^{I}</w:t>
      </w:r>
    </w:p>
    <w:p w:rsidR="00940E2B" w:rsidRDefault="00940E2B" w:rsidP="008C5E65">
      <w:pPr>
        <w:numPr>
          <w:ilvl w:val="0"/>
          <w:numId w:val="277"/>
        </w:numPr>
        <w:spacing w:before="100" w:beforeAutospacing="1" w:after="100" w:afterAutospacing="1"/>
      </w:pPr>
    </w:p>
    <w:p w:rsidR="00940E2B" w:rsidRDefault="00940E2B" w:rsidP="00940E2B">
      <w:pPr>
        <w:pStyle w:val="StandardWeb"/>
      </w:pPr>
      <w:r>
        <w:t>\tag{3.6208}</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D_{\mathfrak{E}}^{I}&gt;0\qquad\text{(3.6208)}</w:t>
      </w:r>
    </w:p>
    <w:p w:rsidR="00940E2B" w:rsidRDefault="00940E2B" w:rsidP="00940E2B">
      <w:pPr>
        <w:pStyle w:val="StandardWeb"/>
      </w:pPr>
      <w:r>
        <w:t>Damit wird sichtbar, dass kausale Wirkung nicht ausschließlich anhand des Endzustands bewertet werden darf. Zwei Entwicklungen können denselben Endpunkt besitzen und dennoch funktional grundverschieden verlaufen.</w:t>
      </w:r>
    </w:p>
    <w:p w:rsidR="00940E2B" w:rsidRDefault="00E50336" w:rsidP="00940E2B">
      <w:r>
        <w:pict>
          <v:rect id="_x0000_i1072" style="width:0;height:1.5pt" o:hralign="center" o:hrstd="t" o:hr="t" fillcolor="#a0a0a0" stroked="f"/>
        </w:pict>
      </w:r>
    </w:p>
    <w:p w:rsidR="00940E2B" w:rsidRDefault="00940E2B" w:rsidP="00940E2B">
      <w:pPr>
        <w:pStyle w:val="berschrift2"/>
      </w:pPr>
      <w:r>
        <w:t>3.3.37.29 Kausale Wirkung auf Drift</w:t>
      </w:r>
    </w:p>
    <w:p w:rsidR="00940E2B" w:rsidRDefault="00940E2B" w:rsidP="00940E2B">
      <w:pPr>
        <w:pStyle w:val="StandardWeb"/>
      </w:pPr>
      <w:r>
        <w:t>Sei (D_t) ein funktionales Driftmaß zum Zeitpunkt beziehungsweise Entwicklungsschritt (t).</w:t>
      </w:r>
    </w:p>
    <w:p w:rsidR="00940E2B" w:rsidRDefault="00940E2B" w:rsidP="00940E2B">
      <w:pPr>
        <w:pStyle w:val="StandardWeb"/>
      </w:pPr>
      <w:r>
        <w:t>Unter einer Intervention (I) lautet der entsprechende Driftwert</w:t>
      </w:r>
    </w:p>
    <w:p w:rsidR="00940E2B" w:rsidRDefault="00940E2B" w:rsidP="00940E2B">
      <w:pPr>
        <w:pStyle w:val="StandardWeb"/>
      </w:pPr>
      <w:r>
        <w:t>[</w:t>
      </w:r>
      <w:r>
        <w:br/>
        <w:t>D_t^{I}.</w:t>
      </w:r>
      <w:r>
        <w:br/>
        <w:t>\tag{3.6209}</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D_t^{I}\qquad\text{(3.6209)}</w:t>
      </w:r>
    </w:p>
    <w:p w:rsidR="00940E2B" w:rsidRDefault="00940E2B" w:rsidP="00940E2B">
      <w:pPr>
        <w:pStyle w:val="StandardWeb"/>
      </w:pPr>
      <w:r>
        <w:t>Der interventionsbezogene Drifteffekt ist</w:t>
      </w:r>
    </w:p>
    <w:p w:rsidR="00940E2B" w:rsidRDefault="00940E2B" w:rsidP="00940E2B">
      <w:pPr>
        <w:pStyle w:val="berschrift1"/>
      </w:pPr>
      <w:r>
        <w:t>[</w:t>
      </w:r>
      <w:r>
        <w:br/>
        <w:t>\Delta D_t^{I}</w:t>
      </w:r>
    </w:p>
    <w:p w:rsidR="00940E2B" w:rsidRDefault="00940E2B" w:rsidP="00940E2B">
      <w:pPr>
        <w:pStyle w:val="berschrift2"/>
      </w:pPr>
      <w:r>
        <w:t>D_t^{I}</w:t>
      </w:r>
    </w:p>
    <w:p w:rsidR="00940E2B" w:rsidRDefault="00940E2B" w:rsidP="00940E2B">
      <w:pPr>
        <w:pStyle w:val="StandardWeb"/>
      </w:pPr>
      <w:r>
        <w:t>D_t.</w:t>
      </w:r>
      <w:r>
        <w:br/>
        <w:t>\tag{3.6210}</w:t>
      </w:r>
      <w:r>
        <w:br/>
        <w:t>]</w:t>
      </w:r>
    </w:p>
    <w:p w:rsidR="00940E2B" w:rsidRDefault="00940E2B" w:rsidP="00940E2B">
      <w:pPr>
        <w:pStyle w:val="StandardWeb"/>
      </w:pPr>
      <w:r>
        <w:rPr>
          <w:rStyle w:val="Fett"/>
        </w:rPr>
        <w:lastRenderedPageBreak/>
        <w:t>Word-LaTeX</w:t>
      </w:r>
    </w:p>
    <w:p w:rsidR="00940E2B" w:rsidRDefault="00940E2B" w:rsidP="00940E2B">
      <w:pPr>
        <w:pStyle w:val="HTMLVorformatiert"/>
        <w:rPr>
          <w:rStyle w:val="HTMLCode"/>
        </w:rPr>
      </w:pPr>
      <w:r>
        <w:rPr>
          <w:rStyle w:val="HTMLCode"/>
        </w:rPr>
        <w:t>\Delta D_t^{I}=D_t^{I}-D_t\qquad\text{(3.6210)}</w:t>
      </w:r>
    </w:p>
    <w:p w:rsidR="00940E2B" w:rsidRDefault="00940E2B" w:rsidP="00940E2B">
      <w:pPr>
        <w:pStyle w:val="StandardWeb"/>
      </w:pPr>
      <w:r>
        <w:t>Für eine Verringerung der Drift gilt</w:t>
      </w:r>
    </w:p>
    <w:p w:rsidR="00940E2B" w:rsidRDefault="00940E2B" w:rsidP="00940E2B">
      <w:pPr>
        <w:pStyle w:val="StandardWeb"/>
      </w:pPr>
      <w:r>
        <w:t>[</w:t>
      </w:r>
      <w:r>
        <w:br/>
        <w:t>\Delta D_t^{I}</w:t>
      </w:r>
      <w:r>
        <w:br/>
        <w:t>&lt;</w:t>
      </w:r>
      <w:r>
        <w:br/>
        <w:t>0.</w:t>
      </w:r>
      <w:r>
        <w:br/>
        <w:t>\tag{3.6211}</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\Delta D_t^{I}&lt;0\qquad\text{(3.6211)}</w:t>
      </w:r>
    </w:p>
    <w:p w:rsidR="00940E2B" w:rsidRDefault="00940E2B" w:rsidP="00940E2B">
      <w:pPr>
        <w:pStyle w:val="StandardWeb"/>
      </w:pPr>
      <w:r>
        <w:t>Für eine Verstärkung gilt</w:t>
      </w:r>
    </w:p>
    <w:p w:rsidR="00940E2B" w:rsidRDefault="00940E2B" w:rsidP="00940E2B">
      <w:pPr>
        <w:pStyle w:val="StandardWeb"/>
      </w:pPr>
      <w:r>
        <w:t>[</w:t>
      </w:r>
      <w:r>
        <w:br/>
        <w:t>\Delta D_t^{I}</w:t>
      </w:r>
    </w:p>
    <w:p w:rsidR="00940E2B" w:rsidRDefault="00940E2B" w:rsidP="008C5E65">
      <w:pPr>
        <w:numPr>
          <w:ilvl w:val="0"/>
          <w:numId w:val="278"/>
        </w:numPr>
        <w:spacing w:before="100" w:beforeAutospacing="1" w:after="100" w:afterAutospacing="1"/>
      </w:pPr>
    </w:p>
    <w:p w:rsidR="00940E2B" w:rsidRDefault="00940E2B" w:rsidP="00940E2B">
      <w:pPr>
        <w:pStyle w:val="StandardWeb"/>
      </w:pPr>
      <w:r>
        <w:t>\tag{3.6212}</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\Delta D_t^{I}&gt;0\qquad\text{(3.6212)}</w:t>
      </w:r>
    </w:p>
    <w:p w:rsidR="00940E2B" w:rsidRDefault="00940E2B" w:rsidP="00940E2B">
      <w:pPr>
        <w:pStyle w:val="StandardWeb"/>
      </w:pPr>
      <w:r>
        <w:t>Auch hier muss die Ursache-Wirkungs-Zuordnung gegen alternative strukturelle Veränderungen abgesichert werden.</w:t>
      </w:r>
    </w:p>
    <w:p w:rsidR="00940E2B" w:rsidRDefault="00E50336" w:rsidP="00940E2B">
      <w:r>
        <w:pict>
          <v:rect id="_x0000_i1073" style="width:0;height:1.5pt" o:hralign="center" o:hrstd="t" o:hr="t" fillcolor="#a0a0a0" stroked="f"/>
        </w:pict>
      </w:r>
    </w:p>
    <w:p w:rsidR="00940E2B" w:rsidRDefault="00940E2B" w:rsidP="00940E2B">
      <w:pPr>
        <w:pStyle w:val="berschrift2"/>
      </w:pPr>
      <w:r>
        <w:t>3.3.37.30 Kausale Wirkung auf kritische Übergänge</w:t>
      </w:r>
    </w:p>
    <w:p w:rsidR="00940E2B" w:rsidRDefault="00940E2B" w:rsidP="00940E2B">
      <w:pPr>
        <w:pStyle w:val="StandardWeb"/>
      </w:pPr>
      <w:r>
        <w:t>Von besonderer Bedeutung ist die Frage, ob eine Intervention den Eintritt eines kritischen Übergangs beeinflusst.</w:t>
      </w:r>
    </w:p>
    <w:p w:rsidR="00940E2B" w:rsidRDefault="00940E2B" w:rsidP="00940E2B">
      <w:pPr>
        <w:pStyle w:val="StandardWeb"/>
      </w:pPr>
      <w:r>
        <w:t>Der kritische Zeitpunkt sei</w:t>
      </w:r>
    </w:p>
    <w:p w:rsidR="00940E2B" w:rsidRDefault="00940E2B" w:rsidP="00940E2B">
      <w:pPr>
        <w:pStyle w:val="StandardWeb"/>
      </w:pPr>
      <w:r>
        <w:t>[</w:t>
      </w:r>
      <w:r>
        <w:br/>
        <w:t>t_{\mathrm{krit}}.</w:t>
      </w:r>
      <w:r>
        <w:br/>
        <w:t>\tag{3.6213}</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t_{\mathrm{krit}}\qquad\text{(3.6213)}</w:t>
      </w:r>
    </w:p>
    <w:p w:rsidR="00940E2B" w:rsidRDefault="00940E2B" w:rsidP="00940E2B">
      <w:pPr>
        <w:pStyle w:val="StandardWeb"/>
      </w:pPr>
      <w:r>
        <w:lastRenderedPageBreak/>
        <w:t>Unter einer Intervention (I) sei</w:t>
      </w:r>
    </w:p>
    <w:p w:rsidR="00940E2B" w:rsidRDefault="00940E2B" w:rsidP="00940E2B">
      <w:pPr>
        <w:pStyle w:val="StandardWeb"/>
      </w:pPr>
      <w:r>
        <w:t>[</w:t>
      </w:r>
      <w:r>
        <w:br/>
        <w:t>t_{\mathrm{krit}}^{I}.</w:t>
      </w:r>
      <w:r>
        <w:br/>
        <w:t>\tag{3.6214}</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t_{\mathrm{krit}}^{I}\qquad\text{(3.6214)}</w:t>
      </w:r>
    </w:p>
    <w:p w:rsidR="00940E2B" w:rsidRDefault="00940E2B" w:rsidP="00940E2B">
      <w:pPr>
        <w:pStyle w:val="StandardWeb"/>
      </w:pPr>
      <w:r>
        <w:t>Die interventionsbezogene Verschiebung lautet</w:t>
      </w:r>
    </w:p>
    <w:p w:rsidR="00940E2B" w:rsidRDefault="00940E2B" w:rsidP="00940E2B">
      <w:pPr>
        <w:pStyle w:val="berschrift1"/>
      </w:pPr>
      <w:r>
        <w:t>[</w:t>
      </w:r>
      <w:r>
        <w:br/>
        <w:t>\Delta t_{\mathrm{krit}}^{I}</w:t>
      </w:r>
    </w:p>
    <w:p w:rsidR="00940E2B" w:rsidRDefault="00940E2B" w:rsidP="00940E2B">
      <w:pPr>
        <w:pStyle w:val="berschrift2"/>
      </w:pPr>
      <w:r>
        <w:t>t_{\mathrm{krit}}^{I}</w:t>
      </w:r>
    </w:p>
    <w:p w:rsidR="00940E2B" w:rsidRDefault="00940E2B" w:rsidP="00940E2B">
      <w:pPr>
        <w:pStyle w:val="StandardWeb"/>
      </w:pPr>
      <w:r>
        <w:t>t_{\mathrm{krit}}.</w:t>
      </w:r>
      <w:r>
        <w:br/>
        <w:t>\tag{3.6215}</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\Delta t_{\mathrm{krit}}^{I}=t_{\mathrm{krit}}^{I}-t_{\mathrm{krit}}\qquad\text{(3.6215)}</w:t>
      </w:r>
    </w:p>
    <w:p w:rsidR="00940E2B" w:rsidRDefault="00940E2B" w:rsidP="00940E2B">
      <w:pPr>
        <w:pStyle w:val="StandardWeb"/>
      </w:pPr>
      <w:r>
        <w:t>Für</w:t>
      </w:r>
    </w:p>
    <w:p w:rsidR="00940E2B" w:rsidRDefault="00940E2B" w:rsidP="00940E2B">
      <w:pPr>
        <w:pStyle w:val="StandardWeb"/>
      </w:pPr>
      <w:r>
        <w:t>[</w:t>
      </w:r>
      <w:r>
        <w:br/>
        <w:t>\Delta t_{\mathrm{krit}}^{I}</w:t>
      </w:r>
    </w:p>
    <w:p w:rsidR="00940E2B" w:rsidRDefault="00940E2B" w:rsidP="00940E2B">
      <w:pPr>
        <w:pStyle w:val="StandardWeb"/>
      </w:pPr>
      <w:r>
        <w:t>0</w:t>
      </w:r>
      <w:r>
        <w:br/>
        <w:t>\tag{3.6216}</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\Delta t_{\mathrm{krit}}^{I}&gt;0\qquad\text{(3.6216)}</w:t>
      </w:r>
    </w:p>
    <w:p w:rsidR="00940E2B" w:rsidRDefault="00940E2B" w:rsidP="00940E2B">
      <w:pPr>
        <w:pStyle w:val="StandardWeb"/>
      </w:pPr>
      <w:r>
        <w:t>wird der kritische Übergang relativ zum Referenzverlauf verzögert.</w:t>
      </w:r>
    </w:p>
    <w:p w:rsidR="00940E2B" w:rsidRDefault="00940E2B" w:rsidP="00940E2B">
      <w:pPr>
        <w:pStyle w:val="StandardWeb"/>
      </w:pPr>
      <w:r>
        <w:t>Für</w:t>
      </w:r>
    </w:p>
    <w:p w:rsidR="00940E2B" w:rsidRDefault="00940E2B" w:rsidP="00940E2B">
      <w:pPr>
        <w:pStyle w:val="StandardWeb"/>
      </w:pPr>
      <w:r>
        <w:t>[</w:t>
      </w:r>
      <w:r>
        <w:br/>
        <w:t>\Delta t_{\mathrm{krit}}^{I}</w:t>
      </w:r>
      <w:r>
        <w:br/>
        <w:t>&lt;</w:t>
      </w:r>
      <w:r>
        <w:br/>
        <w:t>0</w:t>
      </w:r>
      <w:r>
        <w:br/>
        <w:t>\tag{3.6217}</w:t>
      </w:r>
      <w:r>
        <w:br/>
        <w:t>]</w:t>
      </w:r>
    </w:p>
    <w:p w:rsidR="00940E2B" w:rsidRDefault="00940E2B" w:rsidP="00940E2B">
      <w:pPr>
        <w:pStyle w:val="StandardWeb"/>
      </w:pPr>
      <w:r>
        <w:rPr>
          <w:rStyle w:val="Fett"/>
        </w:rPr>
        <w:lastRenderedPageBreak/>
        <w:t>Word-LaTeX</w:t>
      </w:r>
    </w:p>
    <w:p w:rsidR="00940E2B" w:rsidRDefault="00940E2B" w:rsidP="00940E2B">
      <w:pPr>
        <w:pStyle w:val="HTMLVorformatiert"/>
        <w:rPr>
          <w:rStyle w:val="HTMLCode"/>
        </w:rPr>
      </w:pPr>
      <w:r>
        <w:rPr>
          <w:rStyle w:val="HTMLCode"/>
        </w:rPr>
        <w:t>\Delta t_{\mathrm{krit}}^{I}&lt;0\qquad\text{(3.6217)}</w:t>
      </w:r>
    </w:p>
    <w:p w:rsidR="00940E2B" w:rsidRDefault="00940E2B" w:rsidP="00940E2B">
      <w:pPr>
        <w:pStyle w:val="StandardWeb"/>
      </w:pPr>
      <w:r>
        <w:t>tritt er früher ein.</w:t>
      </w:r>
    </w:p>
    <w:p w:rsidR="00940E2B" w:rsidRDefault="00940E2B" w:rsidP="00940E2B">
      <w:pPr>
        <w:pStyle w:val="StandardWeb"/>
      </w:pPr>
      <w:r>
        <w:t>Darüber hinaus kann eine Intervention die Wahrscheinlichkeit eines kritischen Übergangs verändern:</w:t>
      </w:r>
    </w:p>
    <w:p w:rsidR="00940E2B" w:rsidRDefault="00940E2B" w:rsidP="00940E2B">
      <w:pPr>
        <w:pStyle w:val="berschrift1"/>
      </w:pPr>
      <w:r>
        <w:t>[</w:t>
      </w:r>
      <w:r>
        <w:br/>
        <w:t>p_{\mathrm{krit}}</w:t>
      </w:r>
    </w:p>
    <w:p w:rsidR="00940E2B" w:rsidRDefault="00940E2B" w:rsidP="00940E2B">
      <w:pPr>
        <w:pStyle w:val="StandardWeb"/>
      </w:pPr>
      <w:r>
        <w:t>\Pr</w:t>
      </w:r>
      <w:r>
        <w:br/>
        <w:t>\left(</w:t>
      </w:r>
      <w:r>
        <w:br/>
        <w:t>E_{\mathrm{krit}}=1</w:t>
      </w:r>
      <w:r>
        <w:br/>
        <w:t>\right).</w:t>
      </w:r>
      <w:r>
        <w:br/>
        <w:t>\tag{3.6218}</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p_{\mathrm{krit}}=\Pr\left(E_{\mathrm{krit}}=1\right)\qquad\text{(3.6218)}</w:t>
      </w:r>
    </w:p>
    <w:p w:rsidR="00940E2B" w:rsidRDefault="00940E2B" w:rsidP="00940E2B">
      <w:pPr>
        <w:pStyle w:val="StandardWeb"/>
      </w:pPr>
      <w:r>
        <w:t>Nach Intervention gilt</w:t>
      </w:r>
    </w:p>
    <w:p w:rsidR="00940E2B" w:rsidRDefault="00940E2B" w:rsidP="00940E2B">
      <w:pPr>
        <w:pStyle w:val="berschrift1"/>
      </w:pPr>
      <w:r>
        <w:t>[</w:t>
      </w:r>
      <w:r>
        <w:br/>
        <w:t>p_{\mathrm{krit}}^{I}</w:t>
      </w:r>
    </w:p>
    <w:p w:rsidR="00940E2B" w:rsidRDefault="00940E2B" w:rsidP="00940E2B">
      <w:pPr>
        <w:pStyle w:val="StandardWeb"/>
      </w:pPr>
      <w:r>
        <w:t>\Pr</w:t>
      </w:r>
      <w:r>
        <w:br/>
        <w:t>\left(</w:t>
      </w:r>
      <w:r>
        <w:br/>
        <w:t>E_{\mathrm{krit}}=1</w:t>
      </w:r>
      <w:r>
        <w:br/>
        <w:t>\mid</w:t>
      </w:r>
      <w:r>
        <w:br/>
        <w:t>\operatorname{do}(I)</w:t>
      </w:r>
      <w:r>
        <w:br/>
        <w:t>\right).</w:t>
      </w:r>
      <w:r>
        <w:br/>
        <w:t>\tag{3.6219}</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p_{\mathrm{krit}}^{I}=\Pr\left(E_{\mathrm{krit}}=1\mid\operatorname{do}(I)\right)\qquad\text{(3.6219)}</w:t>
      </w:r>
    </w:p>
    <w:p w:rsidR="00940E2B" w:rsidRDefault="00940E2B" w:rsidP="00940E2B">
      <w:pPr>
        <w:pStyle w:val="StandardWeb"/>
      </w:pPr>
      <w:r>
        <w:t>Die kausale Wahrscheinlichkeitsänderung lautet</w:t>
      </w:r>
    </w:p>
    <w:p w:rsidR="00940E2B" w:rsidRDefault="00940E2B" w:rsidP="00940E2B">
      <w:pPr>
        <w:pStyle w:val="berschrift1"/>
      </w:pPr>
      <w:r>
        <w:t>[</w:t>
      </w:r>
      <w:r>
        <w:br/>
        <w:t>\Delta p_{\mathrm{krit}}^{I}</w:t>
      </w:r>
    </w:p>
    <w:p w:rsidR="00940E2B" w:rsidRDefault="00940E2B" w:rsidP="00940E2B">
      <w:pPr>
        <w:pStyle w:val="berschrift2"/>
      </w:pPr>
      <w:r>
        <w:lastRenderedPageBreak/>
        <w:t>p_{\mathrm{krit}}^{I}</w:t>
      </w:r>
    </w:p>
    <w:p w:rsidR="00940E2B" w:rsidRDefault="00940E2B" w:rsidP="00940E2B">
      <w:pPr>
        <w:pStyle w:val="StandardWeb"/>
      </w:pPr>
      <w:r>
        <w:t>p_{\mathrm{krit}}.</w:t>
      </w:r>
      <w:r>
        <w:br/>
        <w:t>\tag{3.6220}</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\Delta p_{\mathrm{krit}}^{I}=p_{\mathrm{krit}}^{I}-p_{\mathrm{krit}}\qquad\text{(3.6220)}</w:t>
      </w:r>
    </w:p>
    <w:p w:rsidR="00940E2B" w:rsidRDefault="00940E2B" w:rsidP="00940E2B">
      <w:pPr>
        <w:pStyle w:val="StandardWeb"/>
      </w:pPr>
      <w:r>
        <w:t xml:space="preserve">Damit kann innerhalb geeigneter FRZK-Modellklassen nicht nur gefragt werden, </w:t>
      </w:r>
      <w:r>
        <w:rPr>
          <w:rStyle w:val="Fett"/>
        </w:rPr>
        <w:t>ob</w:t>
      </w:r>
      <w:r>
        <w:t xml:space="preserve"> ein Kipppunkt eintritt, sondern auch, ob eine gezielte Veränderung seine Eintrittswahrscheinlichkeit oder seinen funktionalen Zeitpunkt beeinflusst.</w:t>
      </w:r>
    </w:p>
    <w:p w:rsidR="00940E2B" w:rsidRDefault="00E50336" w:rsidP="00940E2B">
      <w:r>
        <w:pict>
          <v:rect id="_x0000_i1074" style="width:0;height:1.5pt" o:hralign="center" o:hrstd="t" o:hr="t" fillcolor="#a0a0a0" stroked="f"/>
        </w:pict>
      </w:r>
    </w:p>
    <w:p w:rsidR="00940E2B" w:rsidRDefault="00940E2B" w:rsidP="00940E2B">
      <w:pPr>
        <w:pStyle w:val="berschrift2"/>
      </w:pPr>
      <w:r>
        <w:t>3.3.37.31 Unsicherheit kausaler Effekte</w:t>
      </w:r>
    </w:p>
    <w:p w:rsidR="00940E2B" w:rsidRDefault="00940E2B" w:rsidP="00940E2B">
      <w:pPr>
        <w:pStyle w:val="StandardWeb"/>
      </w:pPr>
      <w:r>
        <w:t>Kausale Effekte sind ebenso wie andere empirisch bestimmte Größen mit Unsicherheit verbunden.</w:t>
      </w:r>
    </w:p>
    <w:p w:rsidR="00940E2B" w:rsidRDefault="00940E2B" w:rsidP="00940E2B">
      <w:pPr>
        <w:pStyle w:val="StandardWeb"/>
      </w:pPr>
      <w:r>
        <w:t>Einen geschätzten kausalen Effekt bezeichne ich mit</w:t>
      </w:r>
    </w:p>
    <w:p w:rsidR="00940E2B" w:rsidRDefault="00940E2B" w:rsidP="00940E2B">
      <w:pPr>
        <w:pStyle w:val="StandardWeb"/>
      </w:pPr>
      <w:r>
        <w:t>[</w:t>
      </w:r>
      <w:r>
        <w:br/>
        <w:t>\widehat{\psi}_{C}.</w:t>
      </w:r>
      <w:r>
        <w:br/>
        <w:t>\tag{3.6221}</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\widehat{\psi}_{C}\qquad\text{(3.6221)}</w:t>
      </w:r>
    </w:p>
    <w:p w:rsidR="00940E2B" w:rsidRDefault="00940E2B" w:rsidP="00940E2B">
      <w:pPr>
        <w:pStyle w:val="StandardWeb"/>
      </w:pPr>
      <w:r>
        <w:t>Seine statistische Unsicherheit sei</w:t>
      </w:r>
    </w:p>
    <w:p w:rsidR="00940E2B" w:rsidRDefault="00940E2B" w:rsidP="00940E2B">
      <w:pPr>
        <w:pStyle w:val="StandardWeb"/>
      </w:pPr>
      <w:r>
        <w:t>[</w:t>
      </w:r>
      <w:r>
        <w:br/>
        <w:t>u_{\mathrm{stat}}</w:t>
      </w:r>
      <w:r>
        <w:br/>
        <w:t>\left(</w:t>
      </w:r>
      <w:r>
        <w:br/>
        <w:t>\widehat{\psi}_{C}</w:t>
      </w:r>
      <w:r>
        <w:br/>
        <w:t>\right).</w:t>
      </w:r>
      <w:r>
        <w:br/>
        <w:t>\tag{3.6222}</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u_{\mathrm{stat}}\left(\widehat{\psi}_{C}\right)\qquad\text{(3.6222)}</w:t>
      </w:r>
    </w:p>
    <w:p w:rsidR="00940E2B" w:rsidRDefault="00940E2B" w:rsidP="00940E2B">
      <w:pPr>
        <w:pStyle w:val="StandardWeb"/>
      </w:pPr>
      <w:r>
        <w:t>Zusätzlich kann eine strukturelle Unsicherheit vorliegen:</w:t>
      </w:r>
    </w:p>
    <w:p w:rsidR="00940E2B" w:rsidRDefault="00940E2B" w:rsidP="00940E2B">
      <w:pPr>
        <w:pStyle w:val="StandardWeb"/>
      </w:pPr>
      <w:r>
        <w:t>[</w:t>
      </w:r>
      <w:r>
        <w:br/>
        <w:t>u_{\mathrm{str}}</w:t>
      </w:r>
      <w:r>
        <w:br/>
      </w:r>
      <w:r>
        <w:lastRenderedPageBreak/>
        <w:t>\left(</w:t>
      </w:r>
      <w:r>
        <w:br/>
        <w:t>\widehat{\psi}_{C}</w:t>
      </w:r>
      <w:r>
        <w:br/>
        <w:t>\right).</w:t>
      </w:r>
      <w:r>
        <w:br/>
        <w:t>\tag{3.6223}</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u_{\mathrm{str}}\left(\widehat{\psi}_{C}\right)\qquad\text{(3.6223)}</w:t>
      </w:r>
    </w:p>
    <w:p w:rsidR="00940E2B" w:rsidRDefault="00940E2B" w:rsidP="00940E2B">
      <w:pPr>
        <w:pStyle w:val="StandardWeb"/>
      </w:pPr>
      <w:r>
        <w:t>Eine schematische Gesamtunsicherheit kann als Funktion beider Beiträge geschrieben werden:</w:t>
      </w:r>
    </w:p>
    <w:p w:rsidR="00940E2B" w:rsidRDefault="00940E2B" w:rsidP="00940E2B">
      <w:pPr>
        <w:pStyle w:val="berschrift1"/>
      </w:pPr>
      <w:r>
        <w:t>[</w:t>
      </w:r>
      <w:r>
        <w:br/>
        <w:t>u_{\mathrm{ges}}</w:t>
      </w:r>
    </w:p>
    <w:p w:rsidR="00940E2B" w:rsidRDefault="00940E2B" w:rsidP="00940E2B">
      <w:pPr>
        <w:pStyle w:val="StandardWeb"/>
      </w:pPr>
      <w:r>
        <w:t>\mathcal{U}</w:t>
      </w:r>
      <w:r>
        <w:br/>
        <w:t>\left(</w:t>
      </w:r>
      <w:r>
        <w:br/>
        <w:t>u_{\mathrm{stat}},</w:t>
      </w:r>
      <w:r>
        <w:br/>
        <w:t>u_{\mathrm{str}}</w:t>
      </w:r>
      <w:r>
        <w:br/>
        <w:t>\right).</w:t>
      </w:r>
      <w:r>
        <w:br/>
        <w:t>\tag{3.6224}</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u_{\mathrm{ges}}=\mathcal{U}\left(u_{\mathrm{stat}},u_{\mathrm{str}}\right)\qquad\text{(3.6224)}</w:t>
      </w:r>
    </w:p>
    <w:p w:rsidR="00940E2B" w:rsidRDefault="00940E2B" w:rsidP="00940E2B">
      <w:pPr>
        <w:pStyle w:val="StandardWeb"/>
      </w:pPr>
      <w:r>
        <w:t>Die konkrete Form von (\mathcal{U}) hängt von der verwendeten Unsicherheitsmodellierung ab.</w:t>
      </w:r>
    </w:p>
    <w:p w:rsidR="00940E2B" w:rsidRDefault="00940E2B" w:rsidP="00940E2B">
      <w:pPr>
        <w:pStyle w:val="StandardWeb"/>
      </w:pPr>
      <w:r>
        <w:t>Methodisch besonders wichtig ist, dass eine kleine statistische Standardunsicherheit keine kleine kausale Gesamtunsicherheit garantiert. Eine Schätzung kann numerisch sehr präzise sein und dennoch stark von nicht überprüfbaren Strukturannahmen abhängen.</w:t>
      </w:r>
    </w:p>
    <w:p w:rsidR="00940E2B" w:rsidRDefault="00E50336" w:rsidP="00940E2B">
      <w:r>
        <w:pict>
          <v:rect id="_x0000_i1075" style="width:0;height:1.5pt" o:hralign="center" o:hrstd="t" o:hr="t" fillcolor="#a0a0a0" stroked="f"/>
        </w:pict>
      </w:r>
    </w:p>
    <w:p w:rsidR="00940E2B" w:rsidRDefault="00940E2B" w:rsidP="00940E2B">
      <w:pPr>
        <w:pStyle w:val="berschrift2"/>
      </w:pPr>
      <w:r>
        <w:t>3.3.37.32 Sensitivität gegenüber unbeobachteten Störgrößen</w:t>
      </w:r>
    </w:p>
    <w:p w:rsidR="00940E2B" w:rsidRDefault="00940E2B" w:rsidP="00940E2B">
      <w:pPr>
        <w:pStyle w:val="StandardWeb"/>
      </w:pPr>
      <w:r>
        <w:t>Nicht jede mögliche Störgröße kann empirisch beobachtet werden. Deshalb muss geprüft werden, wie empfindlich eine kausale Schlussfolgerung gegenüber einer plausiblen unbeobachteten Verzerrung ist.</w:t>
      </w:r>
    </w:p>
    <w:p w:rsidR="00940E2B" w:rsidRDefault="00940E2B" w:rsidP="00940E2B">
      <w:pPr>
        <w:pStyle w:val="StandardWeb"/>
      </w:pPr>
      <w:r>
        <w:t>Sei</w:t>
      </w:r>
    </w:p>
    <w:p w:rsidR="00940E2B" w:rsidRDefault="00940E2B" w:rsidP="00940E2B">
      <w:pPr>
        <w:pStyle w:val="StandardWeb"/>
      </w:pPr>
      <w:r>
        <w:t>[</w:t>
      </w:r>
      <w:r>
        <w:br/>
        <w:t>\Gamma</w:t>
      </w:r>
      <w:r>
        <w:br/>
      </w:r>
      <w:r>
        <w:lastRenderedPageBreak/>
        <w:t>\tag{3.6225}</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\Gamma\qquad\text{(3.6225)}</w:t>
      </w:r>
    </w:p>
    <w:p w:rsidR="00940E2B" w:rsidRDefault="00940E2B" w:rsidP="00940E2B">
      <w:pPr>
        <w:pStyle w:val="StandardWeb"/>
      </w:pPr>
      <w:r>
        <w:t>ein Sensitivitätsparameter für die Stärke einer nicht vollständig beobachteten Störstruktur.</w:t>
      </w:r>
    </w:p>
    <w:p w:rsidR="00940E2B" w:rsidRDefault="00940E2B" w:rsidP="00940E2B">
      <w:pPr>
        <w:pStyle w:val="StandardWeb"/>
      </w:pPr>
      <w:r>
        <w:t>Der geschätzte Kausaleffekt wird dann als Funktion dieses Parameters betrachtet:</w:t>
      </w:r>
    </w:p>
    <w:p w:rsidR="00940E2B" w:rsidRDefault="00940E2B" w:rsidP="00940E2B">
      <w:pPr>
        <w:pStyle w:val="berschrift1"/>
      </w:pPr>
      <w:r>
        <w:t>[</w:t>
      </w:r>
      <w:r>
        <w:br/>
        <w:t>\widehat{\psi}_{C}</w:t>
      </w:r>
    </w:p>
    <w:p w:rsidR="00940E2B" w:rsidRDefault="00940E2B" w:rsidP="00940E2B">
      <w:pPr>
        <w:pStyle w:val="StandardWeb"/>
      </w:pPr>
      <w:r>
        <w:t>\widehat{\psi}_{C}</w:t>
      </w:r>
      <w:r>
        <w:br/>
        <w:t>\left(</w:t>
      </w:r>
      <w:r>
        <w:br/>
        <w:t>\Gamma</w:t>
      </w:r>
      <w:r>
        <w:br/>
        <w:t>\right).</w:t>
      </w:r>
      <w:r>
        <w:br/>
        <w:t>\tag{3.6226}</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\widehat{\psi}_{C}=\widehat{\psi}_{C}\left(\Gamma\right)\qquad\text{(3.6226)}</w:t>
      </w:r>
    </w:p>
    <w:p w:rsidR="00940E2B" w:rsidRDefault="00940E2B" w:rsidP="00940E2B">
      <w:pPr>
        <w:pStyle w:val="StandardWeb"/>
      </w:pPr>
      <w:r>
        <w:t>Ein kritischer Wert kann definiert werden als</w:t>
      </w:r>
    </w:p>
    <w:p w:rsidR="00940E2B" w:rsidRDefault="00940E2B" w:rsidP="00940E2B">
      <w:pPr>
        <w:pStyle w:val="berschrift1"/>
      </w:pPr>
      <w:r>
        <w:t>[</w:t>
      </w:r>
      <w:r>
        <w:br/>
        <w:t>\Gamma_{\mathrm{krit}}</w:t>
      </w:r>
    </w:p>
    <w:p w:rsidR="00940E2B" w:rsidRDefault="00940E2B" w:rsidP="00940E2B">
      <w:pPr>
        <w:pStyle w:val="StandardWeb"/>
      </w:pPr>
      <w:r>
        <w:t>\inf</w:t>
      </w:r>
      <w:r>
        <w:br/>
        <w:t>\left{</w:t>
      </w:r>
      <w:r>
        <w:br/>
        <w:t>\Gamma</w:t>
      </w:r>
      <w:r>
        <w:br/>
        <w:t>;\middle|;</w:t>
      </w:r>
      <w:r>
        <w:br/>
        <w:t>\operatorname{Klasse}</w:t>
      </w:r>
      <w:r>
        <w:rPr>
          <w:rStyle w:val="Hervorhebung"/>
        </w:rPr>
        <w:t>{C}</w:t>
      </w:r>
      <w:r>
        <w:rPr>
          <w:i/>
          <w:iCs/>
        </w:rPr>
        <w:br/>
      </w:r>
      <w:r>
        <w:rPr>
          <w:rStyle w:val="Hervorhebung"/>
        </w:rPr>
        <w:t>\left(</w:t>
      </w:r>
      <w:r>
        <w:rPr>
          <w:i/>
          <w:iCs/>
        </w:rPr>
        <w:br/>
      </w:r>
      <w:r>
        <w:rPr>
          <w:rStyle w:val="Hervorhebung"/>
        </w:rPr>
        <w:t>\widehat{\psi}</w:t>
      </w:r>
      <w:r>
        <w:t>{C}(\Gamma)</w:t>
      </w:r>
      <w:r>
        <w:br/>
        <w:t>\right)</w:t>
      </w:r>
      <w:r>
        <w:br/>
        <w:t>\neq</w:t>
      </w:r>
      <w:r>
        <w:br/>
        <w:t>\operatorname{Klasse}</w:t>
      </w:r>
      <w:r>
        <w:rPr>
          <w:rStyle w:val="Hervorhebung"/>
        </w:rPr>
        <w:t>{C}</w:t>
      </w:r>
      <w:r>
        <w:rPr>
          <w:i/>
          <w:iCs/>
        </w:rPr>
        <w:br/>
      </w:r>
      <w:r>
        <w:rPr>
          <w:rStyle w:val="Hervorhebung"/>
        </w:rPr>
        <w:t>\left(</w:t>
      </w:r>
      <w:r>
        <w:rPr>
          <w:i/>
          <w:iCs/>
        </w:rPr>
        <w:br/>
      </w:r>
      <w:r>
        <w:rPr>
          <w:rStyle w:val="Hervorhebung"/>
        </w:rPr>
        <w:t>\widehat{\psi}</w:t>
      </w:r>
      <w:r>
        <w:t>{C}(0)</w:t>
      </w:r>
      <w:r>
        <w:br/>
        <w:t>\right)</w:t>
      </w:r>
      <w:r>
        <w:br/>
        <w:t>\right}.</w:t>
      </w:r>
      <w:r>
        <w:br/>
        <w:t>\tag{3.6227}</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lastRenderedPageBreak/>
        <w:t>\Gamma_{\mathrm{krit}}=\inf\left\{\Gamma\middle|\operatorname{Klasse}_{C}\left(\widehat{\psi}_{C}(\Gamma)\right)\neq\operatorname{Klasse}_{C}\left(\widehat{\psi}_{C}(0)\right)\right\}\qquad\text{(3.6227)}</w:t>
      </w:r>
    </w:p>
    <w:p w:rsidR="00940E2B" w:rsidRDefault="00940E2B" w:rsidP="00940E2B">
      <w:pPr>
        <w:pStyle w:val="StandardWeb"/>
      </w:pPr>
      <w:r>
        <w:t>Je kleiner (\Gamma_{\mathrm{krit}}) ist, desto empfindlicher ist die kausale Schlussfolgerung gegenüber einer möglichen unbeobachteten Störung.</w:t>
      </w:r>
    </w:p>
    <w:p w:rsidR="00940E2B" w:rsidRDefault="00940E2B" w:rsidP="00940E2B">
      <w:pPr>
        <w:pStyle w:val="StandardWeb"/>
      </w:pPr>
      <w:r>
        <w:t>Eine Sensitivitätsanalyse beweist allerdings nicht, dass eine unbeobachtete Störgröße tatsächlich existiert oder eine bestimmte Stärke besitzt. Sie zeigt lediglich, welche Stärke erforderlich wäre, um die Schlussfolgerung wesentlich zu verändern.</w:t>
      </w:r>
    </w:p>
    <w:p w:rsidR="00940E2B" w:rsidRDefault="00E50336" w:rsidP="00940E2B">
      <w:r>
        <w:pict>
          <v:rect id="_x0000_i1076" style="width:0;height:1.5pt" o:hralign="center" o:hrstd="t" o:hr="t" fillcolor="#a0a0a0" stroked="f"/>
        </w:pict>
      </w:r>
    </w:p>
    <w:p w:rsidR="00940E2B" w:rsidRDefault="00940E2B" w:rsidP="00940E2B">
      <w:pPr>
        <w:pStyle w:val="berschrift2"/>
      </w:pPr>
      <w:r>
        <w:t>3.3.37.33 Kausale Robustheit</w:t>
      </w:r>
    </w:p>
    <w:p w:rsidR="00940E2B" w:rsidRDefault="00940E2B" w:rsidP="00940E2B">
      <w:pPr>
        <w:pStyle w:val="StandardWeb"/>
      </w:pPr>
      <w:r>
        <w:t>Eine kausale Interpretation soll nicht von einer einzigen geringfügigen Modellierungsentscheidung abhängen.</w:t>
      </w:r>
    </w:p>
    <w:p w:rsidR="00940E2B" w:rsidRDefault="00940E2B" w:rsidP="00940E2B">
      <w:pPr>
        <w:pStyle w:val="StandardWeb"/>
      </w:pPr>
      <w:r>
        <w:t>Sei die Menge zulässiger kausaler Spezifikationen</w:t>
      </w:r>
    </w:p>
    <w:p w:rsidR="00940E2B" w:rsidRDefault="00940E2B" w:rsidP="00940E2B">
      <w:pPr>
        <w:pStyle w:val="berschrift1"/>
      </w:pPr>
      <w:r>
        <w:t>[</w:t>
      </w:r>
      <w:r>
        <w:br/>
        <w:t>\mathfrak{S}_{C}</w:t>
      </w:r>
    </w:p>
    <w:p w:rsidR="00940E2B" w:rsidRDefault="00940E2B" w:rsidP="00940E2B">
      <w:pPr>
        <w:pStyle w:val="StandardWeb"/>
      </w:pPr>
      <w:r>
        <w:t>\left{</w:t>
      </w:r>
      <w:r>
        <w:br/>
        <w:t>S_C^{(1)},</w:t>
      </w:r>
      <w:r>
        <w:br/>
        <w:t>S_C^{(2)},</w:t>
      </w:r>
      <w:r>
        <w:br/>
        <w:t>\ldots,</w:t>
      </w:r>
      <w:r>
        <w:br/>
        <w:t>S_C^{(r)}</w:t>
      </w:r>
      <w:r>
        <w:br/>
        <w:t>\right}.</w:t>
      </w:r>
      <w:r>
        <w:br/>
        <w:t>\tag{3.6228}</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\mathfrak{S}_{C}=\left\{S_C^{(1)},S_C^{(2)},\ldots,S_C^{(r)}\right\}\qquad\text{(3.6228)}</w:t>
      </w:r>
    </w:p>
    <w:p w:rsidR="00940E2B" w:rsidRDefault="00940E2B" w:rsidP="00940E2B">
      <w:pPr>
        <w:pStyle w:val="StandardWeb"/>
      </w:pPr>
      <w:r>
        <w:t>Für jede Spezifikation ergibt sich ein geschätzter Kausaleffekt</w:t>
      </w:r>
    </w:p>
    <w:p w:rsidR="00940E2B" w:rsidRDefault="00940E2B" w:rsidP="00940E2B">
      <w:pPr>
        <w:pStyle w:val="StandardWeb"/>
      </w:pPr>
      <w:r>
        <w:t>[</w:t>
      </w:r>
      <w:r>
        <w:br/>
        <w:t>\widehat{\psi}_{C}^{(j)}.</w:t>
      </w:r>
      <w:r>
        <w:br/>
        <w:t>\tag{3.6229}</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\widehat{\psi}_{C}^{(j)}\qquad\text{(3.6229)}</w:t>
      </w:r>
    </w:p>
    <w:p w:rsidR="00940E2B" w:rsidRDefault="00940E2B" w:rsidP="00940E2B">
      <w:pPr>
        <w:pStyle w:val="StandardWeb"/>
      </w:pPr>
      <w:r>
        <w:t>Die Streuung der Ergebnisse kann durch</w:t>
      </w:r>
    </w:p>
    <w:p w:rsidR="00940E2B" w:rsidRDefault="00940E2B" w:rsidP="00940E2B">
      <w:pPr>
        <w:pStyle w:val="berschrift1"/>
      </w:pPr>
      <w:r>
        <w:lastRenderedPageBreak/>
        <w:t>[</w:t>
      </w:r>
      <w:r>
        <w:br/>
        <w:t>V_C</w:t>
      </w:r>
    </w:p>
    <w:p w:rsidR="00940E2B" w:rsidRDefault="00940E2B" w:rsidP="00940E2B">
      <w:pPr>
        <w:pStyle w:val="StandardWeb"/>
      </w:pPr>
      <w:r>
        <w:t>\operatorname{Var}</w:t>
      </w:r>
      <w:r>
        <w:br/>
        <w:t>\left(</w:t>
      </w:r>
      <w:r>
        <w:br/>
        <w:t>\widehat{\psi}</w:t>
      </w:r>
      <w:r>
        <w:rPr>
          <w:rStyle w:val="Hervorhebung"/>
        </w:rPr>
        <w:t>{C}^{(1)},</w:t>
      </w:r>
      <w:r>
        <w:rPr>
          <w:i/>
          <w:iCs/>
        </w:rPr>
        <w:br/>
      </w:r>
      <w:r>
        <w:rPr>
          <w:rStyle w:val="Hervorhebung"/>
        </w:rPr>
        <w:t>\ldots,</w:t>
      </w:r>
      <w:r>
        <w:rPr>
          <w:i/>
          <w:iCs/>
        </w:rPr>
        <w:br/>
      </w:r>
      <w:r>
        <w:rPr>
          <w:rStyle w:val="Hervorhebung"/>
        </w:rPr>
        <w:t>\widehat{\psi}</w:t>
      </w:r>
      <w:r>
        <w:t>{C}^{(r)}</w:t>
      </w:r>
      <w:r>
        <w:br/>
        <w:t>\right)</w:t>
      </w:r>
      <w:r>
        <w:br/>
        <w:t>\tag{3.6230}</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V_C=\operatorname{Var}\left(\widehat{\psi}_{C}^{(1)},\ldots,\widehat{\psi}_{C}^{(r)}\right)\qquad\text{(3.6230)}</w:t>
      </w:r>
    </w:p>
    <w:p w:rsidR="00940E2B" w:rsidRDefault="00940E2B" w:rsidP="00940E2B">
      <w:pPr>
        <w:pStyle w:val="StandardWeb"/>
      </w:pPr>
      <w:r>
        <w:t>charakterisiert werden.</w:t>
      </w:r>
    </w:p>
    <w:p w:rsidR="00940E2B" w:rsidRDefault="00940E2B" w:rsidP="00940E2B">
      <w:pPr>
        <w:pStyle w:val="StandardWeb"/>
      </w:pPr>
      <w:r>
        <w:t>Eine geringe Spezifikationsstreuung erhöht die Robustheit der Aussage, ersetzt aber weiterhin keinen Nachweis der Richtigkeit der zugrunde liegenden Kausalstruktur.</w:t>
      </w:r>
    </w:p>
    <w:p w:rsidR="00940E2B" w:rsidRDefault="00E50336" w:rsidP="00940E2B">
      <w:r>
        <w:pict>
          <v:rect id="_x0000_i1077" style="width:0;height:1.5pt" o:hralign="center" o:hrstd="t" o:hr="t" fillcolor="#a0a0a0" stroked="f"/>
        </w:pict>
      </w:r>
    </w:p>
    <w:p w:rsidR="00940E2B" w:rsidRDefault="00940E2B" w:rsidP="00940E2B">
      <w:pPr>
        <w:pStyle w:val="berschrift2"/>
      </w:pPr>
      <w:r>
        <w:t>3.3.37.34 Kausale Reproduzierbarkeit</w:t>
      </w:r>
    </w:p>
    <w:p w:rsidR="00940E2B" w:rsidRDefault="00940E2B" w:rsidP="00940E2B">
      <w:pPr>
        <w:pStyle w:val="StandardWeb"/>
      </w:pPr>
      <w:r>
        <w:t>Eine kausale Analyse muss nicht nur ihren numerischen Effekt, sondern die gesamte Identifikationsstruktur reproduzierbar dokumentieren.</w:t>
      </w:r>
    </w:p>
    <w:p w:rsidR="00940E2B" w:rsidRDefault="00940E2B" w:rsidP="00940E2B">
      <w:pPr>
        <w:pStyle w:val="StandardWeb"/>
      </w:pPr>
      <w:r>
        <w:t>Ich definiere dazu ein kausales Analysemanifest:</w:t>
      </w:r>
    </w:p>
    <w:p w:rsidR="00940E2B" w:rsidRDefault="00940E2B" w:rsidP="00940E2B">
      <w:pPr>
        <w:pStyle w:val="StandardWeb"/>
      </w:pPr>
      <w:r>
        <w:t>[</w:t>
      </w:r>
      <w:r>
        <w:br/>
        <w:t>\operatorname{CausalManifest}</w:t>
      </w:r>
      <w:r>
        <w:br/>
        <w:t>\left(</w:t>
      </w:r>
      <w:r>
        <w:br/>
        <w:t>X,</w:t>
      </w:r>
      <w:r>
        <w:br/>
        <w:t>Y,</w:t>
      </w:r>
      <w:r>
        <w:br/>
        <w:t>\mathcal{G}</w:t>
      </w:r>
      <w:r>
        <w:rPr>
          <w:rStyle w:val="Hervorhebung"/>
        </w:rPr>
        <w:t>{F},</w:t>
      </w:r>
      <w:r>
        <w:rPr>
          <w:i/>
          <w:iCs/>
        </w:rPr>
        <w:br/>
      </w:r>
      <w:r>
        <w:rPr>
          <w:rStyle w:val="Hervorhebung"/>
        </w:rPr>
        <w:t>\mathfrak{H}</w:t>
      </w:r>
      <w:r>
        <w:t>{C},</w:t>
      </w:r>
      <w:r>
        <w:br/>
        <w:t>\mathfrak{I}_{C},</w:t>
      </w:r>
      <w:r>
        <w:br/>
        <w:t>\Theta,</w:t>
      </w:r>
      <w:r>
        <w:br/>
        <w:t>\mathcal{D}</w:t>
      </w:r>
      <w:r>
        <w:br/>
        <w:t>\right).</w:t>
      </w:r>
      <w:r>
        <w:br/>
        <w:t>\tag{3.6231}</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\operatorname{CausalManifest}\left(X,Y,\mathcal{G}_{F},\mathfrak{H}_{C},\mathfrak{I}_{C},\Theta,\mathcal{D}\right)\qquad\text{(3.6231)}</w:t>
      </w:r>
    </w:p>
    <w:p w:rsidR="00940E2B" w:rsidRDefault="00940E2B" w:rsidP="00940E2B">
      <w:pPr>
        <w:pStyle w:val="StandardWeb"/>
      </w:pPr>
      <w:r>
        <w:lastRenderedPageBreak/>
        <w:t>Das Manifest muss mindestens enthalten: Datenstand, Modellrevision, betrachtete Ursache und Wirkung, angenommene gerichtete Struktur, Kontrollvariablen, Interventionsdefinition, Identifikationsannahmen, Parameterstand, Auswertungsverfahren und Unsicherheitsmodell.</w:t>
      </w:r>
    </w:p>
    <w:p w:rsidR="00940E2B" w:rsidRDefault="00940E2B" w:rsidP="00940E2B">
      <w:pPr>
        <w:pStyle w:val="StandardWeb"/>
      </w:pPr>
      <w:r>
        <w:t>Eine erneute Analyse unter identischen dokumentierten Voraussetzungen sollte einen innerhalb festgelegter numerischer Toleranzen gleichen Effekt erzeugen:</w:t>
      </w:r>
    </w:p>
    <w:p w:rsidR="00940E2B" w:rsidRDefault="00940E2B" w:rsidP="00940E2B">
      <w:pPr>
        <w:pStyle w:val="StandardWeb"/>
      </w:pPr>
      <w:r>
        <w:t>[</w:t>
      </w:r>
      <w:r>
        <w:br/>
        <w:t>\widehat{\psi}</w:t>
      </w:r>
      <w:r>
        <w:rPr>
          <w:rStyle w:val="Hervorhebung"/>
        </w:rPr>
        <w:t>{C}^{(1)}</w:t>
      </w:r>
      <w:r>
        <w:rPr>
          <w:i/>
          <w:iCs/>
        </w:rPr>
        <w:br/>
      </w:r>
      <w:r>
        <w:rPr>
          <w:rStyle w:val="Hervorhebung"/>
        </w:rPr>
        <w:t>\approx</w:t>
      </w:r>
      <w:r>
        <w:rPr>
          <w:i/>
          <w:iCs/>
        </w:rPr>
        <w:br/>
      </w:r>
      <w:r>
        <w:rPr>
          <w:rStyle w:val="Hervorhebung"/>
        </w:rPr>
        <w:t>\widehat{\psi}</w:t>
      </w:r>
      <w:r>
        <w:t>{C}^{(2)}.</w:t>
      </w:r>
      <w:r>
        <w:br/>
        <w:t>\tag{3.6232}</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\widehat{\psi}_{C}^{(1)}\approx\widehat{\psi}_{C}^{(2)}\qquad\text{(3.6232)}</w:t>
      </w:r>
    </w:p>
    <w:p w:rsidR="00940E2B" w:rsidRDefault="00940E2B" w:rsidP="00940E2B">
      <w:pPr>
        <w:pStyle w:val="StandardWeb"/>
      </w:pPr>
      <w:r>
        <w:t>Auch hier gilt: Reproduzierbarkeit bestätigt die Wiederholbarkeit der Analyse, nicht automatisch die Wahrheit der kausalen Interpretation.</w:t>
      </w:r>
    </w:p>
    <w:p w:rsidR="00940E2B" w:rsidRDefault="00E50336" w:rsidP="00940E2B">
      <w:r>
        <w:pict>
          <v:rect id="_x0000_i1078" style="width:0;height:1.5pt" o:hralign="center" o:hrstd="t" o:hr="t" fillcolor="#a0a0a0" stroked="f"/>
        </w:pict>
      </w:r>
    </w:p>
    <w:p w:rsidR="00940E2B" w:rsidRDefault="00940E2B" w:rsidP="00940E2B">
      <w:pPr>
        <w:pStyle w:val="berschrift2"/>
      </w:pPr>
      <w:r>
        <w:t>3.3.37.35 Kausale Falsifizierbarkeit</w:t>
      </w:r>
    </w:p>
    <w:p w:rsidR="00940E2B" w:rsidRDefault="00940E2B" w:rsidP="00940E2B">
      <w:pPr>
        <w:pStyle w:val="StandardWeb"/>
      </w:pPr>
      <w:r>
        <w:t>Nicht jede kausale Annahme ist unmittelbar vollständig beobachtbar. Dennoch können Kausalmodelle überprüfbare Konsequenzen besitzen.</w:t>
      </w:r>
    </w:p>
    <w:p w:rsidR="00940E2B" w:rsidRDefault="00940E2B" w:rsidP="00940E2B">
      <w:pPr>
        <w:pStyle w:val="StandardWeb"/>
      </w:pPr>
      <w:r>
        <w:t>Die Menge kausal relevanter Prüfbedingungen bezeichne ich mit</w:t>
      </w:r>
    </w:p>
    <w:p w:rsidR="00940E2B" w:rsidRDefault="00940E2B" w:rsidP="00940E2B">
      <w:pPr>
        <w:pStyle w:val="berschrift1"/>
      </w:pPr>
      <w:r>
        <w:t>[</w:t>
      </w:r>
      <w:r>
        <w:br/>
        <w:t>\mathfrak{C}_{C}</w:t>
      </w:r>
    </w:p>
    <w:p w:rsidR="00940E2B" w:rsidRDefault="00940E2B" w:rsidP="00940E2B">
      <w:pPr>
        <w:pStyle w:val="StandardWeb"/>
      </w:pPr>
      <w:r>
        <w:t>\left{</w:t>
      </w:r>
      <w:r>
        <w:br/>
        <w:t>C_C^{(1)},</w:t>
      </w:r>
      <w:r>
        <w:br/>
        <w:t>C_C^{(2)},</w:t>
      </w:r>
      <w:r>
        <w:br/>
        <w:t>\ldots,</w:t>
      </w:r>
      <w:r>
        <w:br/>
        <w:t>C_C^{(q)}</w:t>
      </w:r>
      <w:r>
        <w:br/>
        <w:t>\right}.</w:t>
      </w:r>
      <w:r>
        <w:br/>
        <w:t>\tag{3.6233}</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\mathfrak{C}_{C}=\left\{C_C^{(1)},C_C^{(2)},\ldots,C_C^{(q)}\right\}\qquad\text{(3.6233)}</w:t>
      </w:r>
    </w:p>
    <w:p w:rsidR="00940E2B" w:rsidRDefault="00940E2B" w:rsidP="00940E2B">
      <w:pPr>
        <w:pStyle w:val="StandardWeb"/>
      </w:pPr>
      <w:r>
        <w:t>Eine Verletzung mindestens einer empirisch prüfbaren Konsequenz lautet</w:t>
      </w:r>
    </w:p>
    <w:p w:rsidR="00940E2B" w:rsidRDefault="00940E2B" w:rsidP="00940E2B">
      <w:pPr>
        <w:pStyle w:val="berschrift1"/>
      </w:pPr>
      <w:r>
        <w:lastRenderedPageBreak/>
        <w:t>[</w:t>
      </w:r>
      <w:r>
        <w:br/>
        <w:t>\exists</w:t>
      </w:r>
      <w:r>
        <w:br/>
        <w:t>C_C^{(j)}</w:t>
      </w:r>
      <w:r>
        <w:br/>
        <w:t>\in</w:t>
      </w:r>
      <w:r>
        <w:br/>
        <w:t>\mathfrak{C}_{C}:</w:t>
      </w:r>
      <w:r>
        <w:br/>
        <w:t>C_C^{(j)}</w:t>
      </w:r>
    </w:p>
    <w:p w:rsidR="00940E2B" w:rsidRDefault="00940E2B" w:rsidP="008C5E65">
      <w:pPr>
        <w:numPr>
          <w:ilvl w:val="0"/>
          <w:numId w:val="279"/>
        </w:numPr>
        <w:spacing w:before="100" w:beforeAutospacing="1" w:after="100" w:afterAutospacing="1"/>
      </w:pPr>
    </w:p>
    <w:p w:rsidR="00940E2B" w:rsidRDefault="00940E2B" w:rsidP="00940E2B">
      <w:pPr>
        <w:pStyle w:val="StandardWeb"/>
      </w:pPr>
      <w:r>
        <w:t>\tag{3.6234}</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\exists C_C^{(j)}\in\mathfrak{C}_{C}:C_C^{(j)}=0\qquad\text{(3.6234)}</w:t>
      </w:r>
    </w:p>
    <w:p w:rsidR="00940E2B" w:rsidRDefault="00940E2B" w:rsidP="00940E2B">
      <w:pPr>
        <w:pStyle w:val="StandardWeb"/>
      </w:pPr>
      <w:r>
        <w:t>Eine solche Verletzung kann gegen die betrachtete Kausalstruktur sprechen.</w:t>
      </w:r>
    </w:p>
    <w:p w:rsidR="00940E2B" w:rsidRDefault="00940E2B" w:rsidP="00940E2B">
      <w:pPr>
        <w:pStyle w:val="StandardWeb"/>
      </w:pPr>
      <w:r>
        <w:t>Sie widerlegt jedoch nicht automatisch jede alternative Kausalstruktur, die dasselbe Phänomen erklären könnte.</w:t>
      </w:r>
    </w:p>
    <w:p w:rsidR="00940E2B" w:rsidRDefault="00940E2B" w:rsidP="00940E2B">
      <w:pPr>
        <w:pStyle w:val="StandardWeb"/>
      </w:pPr>
      <w:r>
        <w:t xml:space="preserve">Damit muss auch eine kausale Widerlegung </w:t>
      </w:r>
      <w:r>
        <w:rPr>
          <w:rStyle w:val="Fett"/>
        </w:rPr>
        <w:t>modellbezogen</w:t>
      </w:r>
      <w:r>
        <w:t xml:space="preserve"> formuliert werden.</w:t>
      </w:r>
    </w:p>
    <w:p w:rsidR="00940E2B" w:rsidRDefault="00E50336" w:rsidP="00940E2B">
      <w:r>
        <w:pict>
          <v:rect id="_x0000_i1079" style="width:0;height:1.5pt" o:hralign="center" o:hrstd="t" o:hr="t" fillcolor="#a0a0a0" stroked="f"/>
        </w:pict>
      </w:r>
    </w:p>
    <w:p w:rsidR="00940E2B" w:rsidRDefault="00940E2B" w:rsidP="00940E2B">
      <w:pPr>
        <w:pStyle w:val="berschrift2"/>
      </w:pPr>
      <w:r>
        <w:t>3.3.37.36 Klassen kausaler Interpretierbarkeit</w:t>
      </w:r>
    </w:p>
    <w:p w:rsidR="00940E2B" w:rsidRDefault="00940E2B" w:rsidP="00940E2B">
      <w:pPr>
        <w:pStyle w:val="StandardWeb"/>
      </w:pPr>
      <w:r>
        <w:t>Ich unterscheide vier Stufen:</w:t>
      </w:r>
    </w:p>
    <w:p w:rsidR="00940E2B" w:rsidRDefault="00940E2B" w:rsidP="00940E2B">
      <w:pPr>
        <w:pStyle w:val="berschrift1"/>
      </w:pPr>
      <w:r>
        <w:t>[</w:t>
      </w:r>
      <w:r>
        <w:br/>
        <w:t>\mathfrak{L}_{C}</w:t>
      </w:r>
    </w:p>
    <w:p w:rsidR="00940E2B" w:rsidRDefault="00940E2B" w:rsidP="00940E2B">
      <w:pPr>
        <w:pStyle w:val="StandardWeb"/>
      </w:pPr>
      <w:r>
        <w:t>\left{</w:t>
      </w:r>
      <w:r>
        <w:br/>
        <w:t>\mathbf{nicht\ kausal\ ableitbar},</w:t>
      </w:r>
      <w:r>
        <w:br/>
        <w:t>\mathbf{kausal\ kompatibel},</w:t>
      </w:r>
      <w:r>
        <w:br/>
        <w:t>\mathbf{kausal\ gestützt},</w:t>
      </w:r>
      <w:r>
        <w:br/>
        <w:t>\mathbf{interventionell\ gestützt}</w:t>
      </w:r>
      <w:r>
        <w:br/>
        <w:t>\right}.</w:t>
      </w:r>
      <w:r>
        <w:br/>
        <w:t>\tag{3.6235}</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lastRenderedPageBreak/>
        <w:t>\mathfrak{L}_{C}=\left\{\mathbf{nicht\ kausal\ ableitbar},\mathbf{kausal\ kompatibel},\mathbf{kausal\ gestützt},\mathbf{interventionell\ gestützt}\right\}\qquad\text{(3.6235)}</w:t>
      </w:r>
    </w:p>
    <w:p w:rsidR="00940E2B" w:rsidRDefault="00940E2B" w:rsidP="00940E2B">
      <w:pPr>
        <w:pStyle w:val="StandardWeb"/>
      </w:pPr>
      <w:r>
        <w:t>Die Zuordnungsabbildung lautet</w:t>
      </w:r>
    </w:p>
    <w:p w:rsidR="00940E2B" w:rsidRDefault="00940E2B" w:rsidP="00940E2B">
      <w:pPr>
        <w:pStyle w:val="StandardWeb"/>
      </w:pPr>
      <w:r>
        <w:t>[</w:t>
      </w:r>
      <w:r>
        <w:br/>
        <w:t>\operatorname{Klasse}</w:t>
      </w:r>
      <w:r>
        <w:rPr>
          <w:rStyle w:val="Hervorhebung"/>
        </w:rPr>
        <w:t>{C}:</w:t>
      </w:r>
      <w:r>
        <w:rPr>
          <w:i/>
          <w:iCs/>
        </w:rPr>
        <w:br/>
      </w:r>
      <w:r>
        <w:rPr>
          <w:rStyle w:val="Hervorhebung"/>
        </w:rPr>
        <w:t>\mathfrak{C}</w:t>
      </w:r>
      <w:r>
        <w:t>{F}^{\mathrm{caus}}</w:t>
      </w:r>
      <w:r>
        <w:br/>
        <w:t>\rightarrow</w:t>
      </w:r>
      <w:r>
        <w:br/>
        <w:t>\mathfrak{L}_{C}.</w:t>
      </w:r>
      <w:r>
        <w:br/>
        <w:t>\tag{3.6236}</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\operatorname{Klasse}_{C}:\mathfrak{C}_{F}^{\mathrm{caus}}\rightarrow\mathfrak{L}_{C}\qquad\text{(3.6236)}</w:t>
      </w:r>
    </w:p>
    <w:p w:rsidR="00940E2B" w:rsidRDefault="00940E2B" w:rsidP="00940E2B">
      <w:pPr>
        <w:pStyle w:val="StandardWeb"/>
      </w:pPr>
      <w:r>
        <w:t xml:space="preserve">Die Klasse </w:t>
      </w:r>
      <w:r>
        <w:rPr>
          <w:rStyle w:val="Fett"/>
        </w:rPr>
        <w:t>nicht kausal ableitbar</w:t>
      </w:r>
      <w:r>
        <w:t xml:space="preserve"> bedeutet, dass die vorhandenen Daten und Annahmen keine kausale Interpretation rechtfertigen.</w:t>
      </w:r>
    </w:p>
    <w:p w:rsidR="00940E2B" w:rsidRDefault="00940E2B" w:rsidP="00940E2B">
      <w:pPr>
        <w:pStyle w:val="StandardWeb"/>
      </w:pPr>
      <w:r>
        <w:rPr>
          <w:rStyle w:val="Fett"/>
        </w:rPr>
        <w:t>Kausal kompatibel</w:t>
      </w:r>
      <w:r>
        <w:t xml:space="preserve"> bedeutet, dass die Beobachtungen einer bestimmten kausalen Struktur nicht widersprechen, ohne sie eindeutig zu identifizieren.</w:t>
      </w:r>
    </w:p>
    <w:p w:rsidR="00940E2B" w:rsidRDefault="00940E2B" w:rsidP="00940E2B">
      <w:pPr>
        <w:pStyle w:val="StandardWeb"/>
      </w:pPr>
      <w:r>
        <w:rPr>
          <w:rStyle w:val="Fett"/>
        </w:rPr>
        <w:t>Kausal gestützt</w:t>
      </w:r>
      <w:r>
        <w:t xml:space="preserve"> bedeutet, dass zusätzliche Identifikations-, Robustheits- und Alternativprüfungen die kausale Interpretation unterstützen.</w:t>
      </w:r>
    </w:p>
    <w:p w:rsidR="00940E2B" w:rsidRDefault="00940E2B" w:rsidP="00940E2B">
      <w:pPr>
        <w:pStyle w:val="StandardWeb"/>
      </w:pPr>
      <w:r>
        <w:rPr>
          <w:rStyle w:val="Fett"/>
        </w:rPr>
        <w:t>Interventionell gestützt</w:t>
      </w:r>
      <w:r>
        <w:t xml:space="preserve"> bedeutet, dass zusätzlich geeignete empirische Interventionsdaten vorliegen.</w:t>
      </w:r>
    </w:p>
    <w:p w:rsidR="00940E2B" w:rsidRDefault="00940E2B" w:rsidP="00940E2B">
      <w:pPr>
        <w:pStyle w:val="StandardWeb"/>
      </w:pPr>
      <w:r>
        <w:t>Diese Klassen sind bewusst vorsichtig formuliert. Auch die höchste Klasse ist kein metaphysischer Nachweis von Kausalität, sondern die stärkste innerhalb des angegebenen wissenschaftlichen Prüfrahmens verfügbare Evidenz.</w:t>
      </w:r>
    </w:p>
    <w:p w:rsidR="00940E2B" w:rsidRDefault="00E50336" w:rsidP="00940E2B">
      <w:r>
        <w:pict>
          <v:rect id="_x0000_i1080" style="width:0;height:1.5pt" o:hralign="center" o:hrstd="t" o:hr="t" fillcolor="#a0a0a0" stroked="f"/>
        </w:pict>
      </w:r>
    </w:p>
    <w:p w:rsidR="00940E2B" w:rsidRDefault="00940E2B" w:rsidP="00940E2B">
      <w:pPr>
        <w:pStyle w:val="berschrift2"/>
      </w:pPr>
      <w:r>
        <w:t>3.3.37.37 Erweitertes Kausalitätsprädikat</w:t>
      </w:r>
    </w:p>
    <w:p w:rsidR="00940E2B" w:rsidRDefault="00940E2B" w:rsidP="00940E2B">
      <w:pPr>
        <w:pStyle w:val="StandardWeb"/>
      </w:pPr>
      <w:r>
        <w:t>Das erweiterte Kausalitätsprädikat lautet</w:t>
      </w:r>
    </w:p>
    <w:p w:rsidR="00940E2B" w:rsidRDefault="00940E2B" w:rsidP="00940E2B">
      <w:pPr>
        <w:pStyle w:val="StandardWeb"/>
      </w:pPr>
      <w:r>
        <w:t>[</w:t>
      </w:r>
      <w:r>
        <w:br/>
        <w:t>\operatorname{ECaus}</w:t>
      </w:r>
      <w:r>
        <w:rPr>
          <w:rStyle w:val="Hervorhebung"/>
        </w:rPr>
        <w:t>{F}:</w:t>
      </w:r>
      <w:r>
        <w:rPr>
          <w:i/>
          <w:iCs/>
        </w:rPr>
        <w:br/>
      </w:r>
      <w:r>
        <w:rPr>
          <w:rStyle w:val="Hervorhebung"/>
        </w:rPr>
        <w:t>\mathfrak{C}</w:t>
      </w:r>
      <w:r>
        <w:t>{F}^{\mathrm{caus}}</w:t>
      </w:r>
      <w:r>
        <w:br/>
        <w:t>\rightarrow</w:t>
      </w:r>
      <w:r>
        <w:br/>
        <w:t>{0,1}.</w:t>
      </w:r>
      <w:r>
        <w:br/>
        <w:t>\tag{3.6237}</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lastRenderedPageBreak/>
        <w:t>\operatorname{ECaus}_{F}:\mathfrak{C}_{F}^{\mathrm{caus}}\rightarrow\{0,1\}\qquad\text{(3.6237)}</w:t>
      </w:r>
    </w:p>
    <w:p w:rsidR="00940E2B" w:rsidRDefault="00940E2B" w:rsidP="00940E2B">
      <w:pPr>
        <w:pStyle w:val="StandardWeb"/>
      </w:pPr>
      <w:r>
        <w:t>Für eine wissenschaftlich hinreichend dokumentierte kausale Interpretation fordere ich</w:t>
      </w:r>
    </w:p>
    <w:p w:rsidR="00940E2B" w:rsidRDefault="00940E2B" w:rsidP="00940E2B">
      <w:pPr>
        <w:pStyle w:val="berschrift1"/>
      </w:pPr>
      <w:r>
        <w:t>[</w:t>
      </w:r>
      <w:r>
        <w:br/>
        <w:t>\operatorname{ECaus}_{F}</w:t>
      </w:r>
    </w:p>
    <w:p w:rsidR="00940E2B" w:rsidRDefault="00940E2B" w:rsidP="00940E2B">
      <w:pPr>
        <w:pStyle w:val="StandardWeb"/>
      </w:pPr>
      <w:r>
        <w:t>1</w:t>
      </w:r>
      <w:r>
        <w:br/>
        <w:t>\iff</w:t>
      </w:r>
      <w:r>
        <w:br/>
        <w:t>C_{\mathrm{richtung}}</w:t>
      </w:r>
      <w:r>
        <w:br/>
        <w:t>\land</w:t>
      </w:r>
      <w:r>
        <w:br/>
        <w:t>C_{\mathrm{zeit}}</w:t>
      </w:r>
      <w:r>
        <w:br/>
        <w:t>\land</w:t>
      </w:r>
      <w:r>
        <w:br/>
        <w:t>C_{\mathrm{struktur}}</w:t>
      </w:r>
      <w:r>
        <w:br/>
        <w:t>\land</w:t>
      </w:r>
      <w:r>
        <w:br/>
        <w:t>C_{\mathrm{ident}}</w:t>
      </w:r>
      <w:r>
        <w:br/>
        <w:t>\land</w:t>
      </w:r>
      <w:r>
        <w:br/>
        <w:t>C_{\mathrm{alternativen}}</w:t>
      </w:r>
      <w:r>
        <w:br/>
        <w:t>\land</w:t>
      </w:r>
      <w:r>
        <w:br/>
        <w:t>C_{\mathrm{robustheit}}</w:t>
      </w:r>
      <w:r>
        <w:br/>
        <w:t>\land</w:t>
      </w:r>
      <w:r>
        <w:br/>
        <w:t>C_{\mathrm{unsicherheit}}.</w:t>
      </w:r>
      <w:r>
        <w:br/>
        <w:t>\tag{3.6238}</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\operatorname{ECaus}_{F}=1\iff C_{\mathrm{richtung}}\land C_{\mathrm{zeit}}\land C_{\mathrm{struktur}}\land C_{\mathrm{ident}}\land C_{\mathrm{alternativen}}\land C_{\mathrm{robustheit}}\land C_{\mathrm{unsicherheit}}\qquad\text{(3.6238)}</w:t>
      </w:r>
    </w:p>
    <w:p w:rsidR="00940E2B" w:rsidRDefault="00940E2B" w:rsidP="00940E2B">
      <w:pPr>
        <w:pStyle w:val="StandardWeb"/>
      </w:pPr>
      <w:r>
        <w:t>Für die Klasse einer interventionell gestützten Aussage ist zusätzlich erforderlich</w:t>
      </w:r>
    </w:p>
    <w:p w:rsidR="00940E2B" w:rsidRDefault="00940E2B" w:rsidP="00940E2B">
      <w:pPr>
        <w:pStyle w:val="berschrift1"/>
      </w:pPr>
      <w:r>
        <w:t>[</w:t>
      </w:r>
      <w:r>
        <w:br/>
        <w:t>C_{\mathrm{intervention}}</w:t>
      </w:r>
    </w:p>
    <w:p w:rsidR="00940E2B" w:rsidRDefault="00940E2B" w:rsidP="008C5E65">
      <w:pPr>
        <w:numPr>
          <w:ilvl w:val="0"/>
          <w:numId w:val="280"/>
        </w:numPr>
        <w:spacing w:before="100" w:beforeAutospacing="1" w:after="100" w:afterAutospacing="1"/>
      </w:pPr>
    </w:p>
    <w:p w:rsidR="00940E2B" w:rsidRDefault="00940E2B" w:rsidP="00940E2B">
      <w:pPr>
        <w:pStyle w:val="StandardWeb"/>
      </w:pPr>
      <w:r>
        <w:t>\tag{3.6239}</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C_{\mathrm{intervention}}=1\qquad\text{(3.6239)}</w:t>
      </w:r>
    </w:p>
    <w:p w:rsidR="00940E2B" w:rsidRDefault="00940E2B" w:rsidP="00940E2B">
      <w:pPr>
        <w:pStyle w:val="StandardWeb"/>
      </w:pPr>
      <w:r>
        <w:t>Diese Bedingungen bilden keine neuen Primäraxiome. Sie sind methodische Kriterien zur Interpretation konkreter FRZK-Modelle.</w:t>
      </w:r>
    </w:p>
    <w:p w:rsidR="00940E2B" w:rsidRDefault="00E50336" w:rsidP="00940E2B">
      <w:r>
        <w:lastRenderedPageBreak/>
        <w:pict>
          <v:rect id="_x0000_i1081" style="width:0;height:1.5pt" o:hralign="center" o:hrstd="t" o:hr="t" fillcolor="#a0a0a0" stroked="f"/>
        </w:pict>
      </w:r>
    </w:p>
    <w:p w:rsidR="00940E2B" w:rsidRDefault="00940E2B" w:rsidP="00940E2B">
      <w:pPr>
        <w:pStyle w:val="berschrift2"/>
      </w:pPr>
      <w:r>
        <w:t>3.3.37.38 Satz zur Nichtableitbarkeit von Kausalität aus funktionaler Abhängigkeit</w:t>
      </w:r>
    </w:p>
    <w:p w:rsidR="00940E2B" w:rsidRDefault="00940E2B" w:rsidP="00940E2B">
      <w:pPr>
        <w:pStyle w:val="StandardWeb"/>
      </w:pPr>
      <w:r>
        <w:rPr>
          <w:rStyle w:val="Fett"/>
        </w:rPr>
        <w:t>Satz 3.3.19 – Eine funktionale Abhängigkeit ist für sich allein nicht hinreichend für eine direkte kausale Interpretation</w:t>
      </w:r>
    </w:p>
    <w:p w:rsidR="00940E2B" w:rsidRDefault="00940E2B" w:rsidP="00940E2B">
      <w:pPr>
        <w:pStyle w:val="StandardWeb"/>
      </w:pPr>
      <w:r>
        <w:t>Sei</w:t>
      </w:r>
    </w:p>
    <w:p w:rsidR="00940E2B" w:rsidRDefault="00940E2B" w:rsidP="00940E2B">
      <w:pPr>
        <w:pStyle w:val="StandardWeb"/>
      </w:pPr>
      <w:r>
        <w:t>[</w:t>
      </w:r>
      <w:r>
        <w:br/>
        <w:t>X</w:t>
      </w:r>
      <w:r>
        <w:br/>
        <w:t>\rightarrow_F</w:t>
      </w:r>
      <w:r>
        <w:br/>
        <w:t>Y</w:t>
      </w:r>
      <w:r>
        <w:br/>
        <w:t>\tag{3.6240}</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X\rightarrow_F Y\qquad\text{(3.6240)}</w:t>
      </w:r>
    </w:p>
    <w:p w:rsidR="00940E2B" w:rsidRDefault="00940E2B" w:rsidP="00940E2B">
      <w:pPr>
        <w:pStyle w:val="StandardWeb"/>
      </w:pPr>
      <w:r>
        <w:t>eine funktionale Abhängigkeit.</w:t>
      </w:r>
    </w:p>
    <w:p w:rsidR="00940E2B" w:rsidRDefault="00940E2B" w:rsidP="00940E2B">
      <w:pPr>
        <w:pStyle w:val="StandardWeb"/>
      </w:pPr>
      <w:r>
        <w:t>Dann folgt ohne zusätzliche kausale Voraussetzungen nicht notwendig</w:t>
      </w:r>
    </w:p>
    <w:p w:rsidR="00940E2B" w:rsidRDefault="00940E2B" w:rsidP="00940E2B">
      <w:pPr>
        <w:pStyle w:val="StandardWeb"/>
      </w:pPr>
      <w:r>
        <w:t>[</w:t>
      </w:r>
      <w:r>
        <w:br/>
        <w:t>X</w:t>
      </w:r>
      <w:r>
        <w:br/>
        <w:t>\rightarrow_C</w:t>
      </w:r>
      <w:r>
        <w:br/>
        <w:t>Y.</w:t>
      </w:r>
      <w:r>
        <w:br/>
        <w:t>\tag{3.6241}</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X\rightarrow_C Y\qquad\text{(3.6241)}</w:t>
      </w:r>
    </w:p>
    <w:p w:rsidR="00940E2B" w:rsidRDefault="00940E2B" w:rsidP="00940E2B">
      <w:pPr>
        <w:pStyle w:val="StandardWeb"/>
      </w:pPr>
      <w:r>
        <w:t>Formal gilt</w:t>
      </w:r>
    </w:p>
    <w:p w:rsidR="00940E2B" w:rsidRDefault="00940E2B" w:rsidP="00940E2B">
      <w:pPr>
        <w:pStyle w:val="StandardWeb"/>
      </w:pPr>
      <w:r>
        <w:t>[</w:t>
      </w:r>
      <w:r>
        <w:br/>
        <w:t>X</w:t>
      </w:r>
      <w:r>
        <w:br/>
        <w:t>\rightarrow_F</w:t>
      </w:r>
      <w:r>
        <w:br/>
        <w:t>Y</w:t>
      </w:r>
      <w:r>
        <w:br/>
        <w:t>\nRightarrow</w:t>
      </w:r>
      <w:r>
        <w:br/>
        <w:t>X</w:t>
      </w:r>
      <w:r>
        <w:br/>
        <w:t>\rightarrow_C</w:t>
      </w:r>
      <w:r>
        <w:br/>
        <w:t>Y.</w:t>
      </w:r>
      <w:r>
        <w:br/>
        <w:t>\tag{3.6242}</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lastRenderedPageBreak/>
        <w:t>X\rightarrow_F Y\nRightarrow X\rightarrow_C Y\qquad\text{(3.6242)}</w:t>
      </w:r>
    </w:p>
    <w:p w:rsidR="00940E2B" w:rsidRDefault="00940E2B" w:rsidP="00940E2B">
      <w:pPr>
        <w:pStyle w:val="berschrift3"/>
      </w:pPr>
      <w:r>
        <w:t>Beweis</w:t>
      </w:r>
    </w:p>
    <w:p w:rsidR="00940E2B" w:rsidRDefault="00940E2B" w:rsidP="00940E2B">
      <w:pPr>
        <w:pStyle w:val="StandardWeb"/>
      </w:pPr>
      <w:r>
        <w:t>Zum Nachweis genügt ein Gegenmodell.</w:t>
      </w:r>
    </w:p>
    <w:p w:rsidR="00940E2B" w:rsidRDefault="00940E2B" w:rsidP="00940E2B">
      <w:pPr>
        <w:pStyle w:val="StandardWeb"/>
      </w:pPr>
      <w:r>
        <w:t>Sei eine dritte Größe (Z) gegeben, für die</w:t>
      </w:r>
    </w:p>
    <w:p w:rsidR="00940E2B" w:rsidRDefault="00940E2B" w:rsidP="00940E2B">
      <w:pPr>
        <w:pStyle w:val="StandardWeb"/>
      </w:pPr>
      <w:r>
        <w:t>[</w:t>
      </w:r>
      <w:r>
        <w:br/>
        <w:t>Z</w:t>
      </w:r>
      <w:r>
        <w:br/>
        <w:t>\rightarrow_C</w:t>
      </w:r>
      <w:r>
        <w:br/>
        <w:t>X</w:t>
      </w:r>
      <w:r>
        <w:br/>
        <w:t>\tag{3.6243}</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Z\rightarrow_C X\qquad\text{(3.6243)}</w:t>
      </w:r>
    </w:p>
    <w:p w:rsidR="00940E2B" w:rsidRDefault="00940E2B" w:rsidP="00940E2B">
      <w:pPr>
        <w:pStyle w:val="StandardWeb"/>
      </w:pPr>
      <w:r>
        <w:t>und</w:t>
      </w:r>
    </w:p>
    <w:p w:rsidR="00940E2B" w:rsidRDefault="00940E2B" w:rsidP="00940E2B">
      <w:pPr>
        <w:pStyle w:val="StandardWeb"/>
      </w:pPr>
      <w:r>
        <w:t>[</w:t>
      </w:r>
      <w:r>
        <w:br/>
        <w:t>Z</w:t>
      </w:r>
      <w:r>
        <w:br/>
        <w:t>\rightarrow_C</w:t>
      </w:r>
      <w:r>
        <w:br/>
        <w:t>Y</w:t>
      </w:r>
      <w:r>
        <w:br/>
        <w:t>\tag{3.6244}</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Z\rightarrow_C Y\qquad\text{(3.6244)}</w:t>
      </w:r>
    </w:p>
    <w:p w:rsidR="00940E2B" w:rsidRDefault="00940E2B" w:rsidP="00940E2B">
      <w:pPr>
        <w:pStyle w:val="StandardWeb"/>
      </w:pPr>
      <w:r>
        <w:t>gelten.</w:t>
      </w:r>
    </w:p>
    <w:p w:rsidR="00940E2B" w:rsidRDefault="00940E2B" w:rsidP="00940E2B">
      <w:pPr>
        <w:pStyle w:val="StandardWeb"/>
      </w:pPr>
      <w:r>
        <w:t>Durch den gemeinsamen Einfluss von (Z) können (X) und (Y) funktional beziehungsweise statistisch miteinander verbunden erscheinen:</w:t>
      </w:r>
    </w:p>
    <w:p w:rsidR="00940E2B" w:rsidRDefault="00940E2B" w:rsidP="00940E2B">
      <w:pPr>
        <w:pStyle w:val="StandardWeb"/>
      </w:pPr>
      <w:r>
        <w:t>[</w:t>
      </w:r>
      <w:r>
        <w:br/>
        <w:t>X</w:t>
      </w:r>
      <w:r>
        <w:br/>
        <w:t>\not!\perp!!!\perp</w:t>
      </w:r>
      <w:r>
        <w:br/>
        <w:t>Y.</w:t>
      </w:r>
      <w:r>
        <w:br/>
        <w:t>\tag{3.6245}</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X\not\!\perp\!\!\!\perp Y\qquad\text{(3.6245)}</w:t>
      </w:r>
    </w:p>
    <w:p w:rsidR="00940E2B" w:rsidRDefault="00940E2B" w:rsidP="00940E2B">
      <w:pPr>
        <w:pStyle w:val="StandardWeb"/>
      </w:pPr>
      <w:r>
        <w:t>Ebenso kann innerhalb einer beobachtungsbasierten funktionalen Modellierung eine gerichtete Zuordnung</w:t>
      </w:r>
    </w:p>
    <w:p w:rsidR="00940E2B" w:rsidRDefault="00940E2B" w:rsidP="00940E2B">
      <w:pPr>
        <w:pStyle w:val="StandardWeb"/>
      </w:pPr>
      <w:r>
        <w:lastRenderedPageBreak/>
        <w:t>[</w:t>
      </w:r>
      <w:r>
        <w:br/>
        <w:t>X</w:t>
      </w:r>
      <w:r>
        <w:br/>
        <w:t>\rightarrow_F</w:t>
      </w:r>
      <w:r>
        <w:br/>
        <w:t>Y</w:t>
      </w:r>
      <w:r>
        <w:br/>
        <w:t>\tag{3.6246}</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X\rightarrow_F Y\qquad\text{(3.6246)}</w:t>
      </w:r>
    </w:p>
    <w:p w:rsidR="00940E2B" w:rsidRDefault="00940E2B" w:rsidP="00940E2B">
      <w:pPr>
        <w:pStyle w:val="StandardWeb"/>
      </w:pPr>
      <w:r>
        <w:t>verwendet werden.</w:t>
      </w:r>
    </w:p>
    <w:p w:rsidR="00940E2B" w:rsidRDefault="00940E2B" w:rsidP="00940E2B">
      <w:pPr>
        <w:pStyle w:val="StandardWeb"/>
      </w:pPr>
      <w:r>
        <w:t>Trotzdem muss keine direkte kausale Beziehung</w:t>
      </w:r>
    </w:p>
    <w:p w:rsidR="00940E2B" w:rsidRDefault="00940E2B" w:rsidP="00940E2B">
      <w:pPr>
        <w:pStyle w:val="StandardWeb"/>
      </w:pPr>
      <w:r>
        <w:t>[</w:t>
      </w:r>
      <w:r>
        <w:br/>
        <w:t>X</w:t>
      </w:r>
      <w:r>
        <w:br/>
        <w:t>\rightarrow_C</w:t>
      </w:r>
      <w:r>
        <w:br/>
        <w:t>Y</w:t>
      </w:r>
      <w:r>
        <w:br/>
        <w:t>\tag{3.6247}</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X\rightarrow_C Y\qquad\text{(3.6247)}</w:t>
      </w:r>
    </w:p>
    <w:p w:rsidR="00940E2B" w:rsidRDefault="00940E2B" w:rsidP="00940E2B">
      <w:pPr>
        <w:pStyle w:val="StandardWeb"/>
      </w:pPr>
      <w:r>
        <w:t>bestehen.</w:t>
      </w:r>
    </w:p>
    <w:p w:rsidR="00940E2B" w:rsidRDefault="00940E2B" w:rsidP="00940E2B">
      <w:pPr>
        <w:pStyle w:val="StandardWeb"/>
      </w:pPr>
      <w:r>
        <w:t>Damit existiert mindestens ein Modell, in dem die funktionale Abhängigkeit erfüllt ist, die direkte kausale Beziehung jedoch nicht. Folglich ist die kausale Aussage aus der funktionalen Abhängigkeit allein nicht logisch ableitbar. (\square)</w:t>
      </w:r>
    </w:p>
    <w:p w:rsidR="00940E2B" w:rsidRDefault="00E50336" w:rsidP="00940E2B">
      <w:r>
        <w:pict>
          <v:rect id="_x0000_i1082" style="width:0;height:1.5pt" o:hralign="center" o:hrstd="t" o:hr="t" fillcolor="#a0a0a0" stroked="f"/>
        </w:pict>
      </w:r>
    </w:p>
    <w:p w:rsidR="00940E2B" w:rsidRDefault="00940E2B" w:rsidP="00940E2B">
      <w:pPr>
        <w:pStyle w:val="berschrift2"/>
      </w:pPr>
      <w:r>
        <w:t>3.3.37.39 Reichweite des Satzes</w:t>
      </w:r>
    </w:p>
    <w:p w:rsidR="00940E2B" w:rsidRDefault="00940E2B" w:rsidP="00940E2B">
      <w:pPr>
        <w:pStyle w:val="StandardWeb"/>
      </w:pPr>
      <w:r>
        <w:t xml:space="preserve">Satz 3.3.19 besagt ausdrücklich </w:t>
      </w:r>
      <w:r>
        <w:rPr>
          <w:rStyle w:val="Fett"/>
        </w:rPr>
        <w:t>nicht</w:t>
      </w:r>
      <w:r>
        <w:t>, dass funktionale FRZK-Strukturen niemals kausal interpretiert werden können.</w:t>
      </w:r>
    </w:p>
    <w:p w:rsidR="00940E2B" w:rsidRDefault="00940E2B" w:rsidP="00940E2B">
      <w:pPr>
        <w:pStyle w:val="StandardWeb"/>
      </w:pPr>
      <w:r>
        <w:t>Er besagt lediglich, dass zusätzlicher wissenschaftlicher Gehalt erforderlich ist.</w:t>
      </w:r>
    </w:p>
    <w:p w:rsidR="00940E2B" w:rsidRDefault="00940E2B" w:rsidP="00940E2B">
      <w:pPr>
        <w:pStyle w:val="StandardWeb"/>
      </w:pPr>
      <w:r>
        <w:t>Eine zulässige Struktur besitzt deshalb allgemein die Form</w:t>
      </w:r>
    </w:p>
    <w:p w:rsidR="00940E2B" w:rsidRDefault="00940E2B" w:rsidP="00940E2B">
      <w:pPr>
        <w:pStyle w:val="StandardWeb"/>
      </w:pPr>
      <w:r>
        <w:t>[</w:t>
      </w:r>
      <w:r>
        <w:br/>
        <w:t>X</w:t>
      </w:r>
      <w:r>
        <w:br/>
        <w:t>\rightarrow_F</w:t>
      </w:r>
      <w:r>
        <w:br/>
        <w:t>Y</w:t>
      </w:r>
      <w:r>
        <w:br/>
        <w:t>\land</w:t>
      </w:r>
      <w:r>
        <w:br/>
        <w:t>\mathfrak{H}_{C}</w:t>
      </w:r>
      <w:r>
        <w:br/>
        <w:t>\Rightarrow</w:t>
      </w:r>
      <w:r>
        <w:br/>
        <w:t>X</w:t>
      </w:r>
      <w:r>
        <w:br/>
      </w:r>
      <w:r>
        <w:lastRenderedPageBreak/>
        <w:t>\rightarrow_C</w:t>
      </w:r>
      <w:r>
        <w:br/>
        <w:t>Y.</w:t>
      </w:r>
      <w:r>
        <w:br/>
        <w:t>\tag{3.6248}</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X\rightarrow_F Y\land\mathfrak{H}_{C}\Rightarrow X\rightarrow_C Y\qquad\text{(3.6248)}</w:t>
      </w:r>
    </w:p>
    <w:p w:rsidR="00940E2B" w:rsidRDefault="00940E2B" w:rsidP="00940E2B">
      <w:pPr>
        <w:pStyle w:val="StandardWeb"/>
      </w:pPr>
      <w:r>
        <w:t>Dabei bezeichnet (\mathfrak{H}_{C}) genau diejenigen zusätzlichen Annahmen und empirischen Bedingungen, die für die kausale Interpretation benötigt werden.</w:t>
      </w:r>
    </w:p>
    <w:p w:rsidR="00940E2B" w:rsidRDefault="00940E2B" w:rsidP="00940E2B">
      <w:pPr>
        <w:pStyle w:val="StandardWeb"/>
      </w:pPr>
      <w:r>
        <w:t>Die wissenschaftliche Aufgabe besteht deshalb nicht darin, den Pfeil (\rightarrow_F) sprachlich in einen kausalen Pfeil umzubenennen. Sie besteht darin, die zusätzliche Begründung für den Übergang von</w:t>
      </w:r>
    </w:p>
    <w:p w:rsidR="00940E2B" w:rsidRDefault="00940E2B" w:rsidP="00940E2B">
      <w:pPr>
        <w:pStyle w:val="StandardWeb"/>
      </w:pPr>
      <w:r>
        <w:t>[</w:t>
      </w:r>
      <w:r>
        <w:br/>
        <w:t>\rightarrow_F</w:t>
      </w:r>
      <w:r>
        <w:br/>
        <w:t>]</w:t>
      </w:r>
    </w:p>
    <w:p w:rsidR="00940E2B" w:rsidRDefault="00940E2B" w:rsidP="00940E2B">
      <w:pPr>
        <w:pStyle w:val="StandardWeb"/>
      </w:pPr>
      <w:r>
        <w:t>zu</w:t>
      </w:r>
    </w:p>
    <w:p w:rsidR="00940E2B" w:rsidRDefault="00940E2B" w:rsidP="00940E2B">
      <w:pPr>
        <w:pStyle w:val="StandardWeb"/>
      </w:pPr>
      <w:r>
        <w:t>[</w:t>
      </w:r>
      <w:r>
        <w:br/>
        <w:t>\rightarrow_C</w:t>
      </w:r>
      <w:r>
        <w:br/>
        <w:t>]</w:t>
      </w:r>
    </w:p>
    <w:p w:rsidR="00940E2B" w:rsidRDefault="00940E2B" w:rsidP="00940E2B">
      <w:pPr>
        <w:pStyle w:val="StandardWeb"/>
      </w:pPr>
      <w:r>
        <w:t>vollständig sichtbar zu machen.</w:t>
      </w:r>
    </w:p>
    <w:p w:rsidR="00940E2B" w:rsidRDefault="00E50336" w:rsidP="00940E2B">
      <w:r>
        <w:pict>
          <v:rect id="_x0000_i1083" style="width:0;height:1.5pt" o:hralign="center" o:hrstd="t" o:hr="t" fillcolor="#a0a0a0" stroked="f"/>
        </w:pict>
      </w:r>
    </w:p>
    <w:p w:rsidR="00940E2B" w:rsidRDefault="00940E2B" w:rsidP="00940E2B">
      <w:pPr>
        <w:pStyle w:val="berschrift2"/>
      </w:pPr>
      <w:r>
        <w:t>3.3.37.40 Repository-Dokumentation</w:t>
      </w:r>
    </w:p>
    <w:p w:rsidR="00940E2B" w:rsidRDefault="00940E2B" w:rsidP="00940E2B">
      <w:pPr>
        <w:pStyle w:val="StandardWeb"/>
      </w:pPr>
      <w:r>
        <w:t>Eine kausale Abhängigkeit wird schematisch dokumentiert durch</w:t>
      </w:r>
    </w:p>
    <w:p w:rsidR="00940E2B" w:rsidRDefault="00940E2B" w:rsidP="00940E2B">
      <w:pPr>
        <w:pStyle w:val="StandardWeb"/>
      </w:pPr>
      <w:r>
        <w:t>[</w:t>
      </w:r>
      <w:r>
        <w:br/>
        <w:t>\operatorname{CausalDep}</w:t>
      </w:r>
      <w:r>
        <w:br/>
        <w:t>\left(</w:t>
      </w:r>
      <w:r>
        <w:br/>
        <w:t>X,</w:t>
      </w:r>
      <w:r>
        <w:br/>
        <w:t>Y,</w:t>
      </w:r>
      <w:r>
        <w:br/>
        <w:t>\mathcal{G}</w:t>
      </w:r>
      <w:r>
        <w:rPr>
          <w:rStyle w:val="Hervorhebung"/>
        </w:rPr>
        <w:t>{F},</w:t>
      </w:r>
      <w:r>
        <w:rPr>
          <w:i/>
          <w:iCs/>
        </w:rPr>
        <w:br/>
      </w:r>
      <w:r>
        <w:rPr>
          <w:rStyle w:val="Hervorhebung"/>
        </w:rPr>
        <w:t>\mathfrak{H}</w:t>
      </w:r>
      <w:r>
        <w:t>{C}</w:t>
      </w:r>
      <w:r>
        <w:br/>
        <w:t>\right).</w:t>
      </w:r>
      <w:r>
        <w:br/>
        <w:t>\tag{3.6249}</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\operatorname{CausalDep}\left(X,Y,\mathcal{G}_{F},\mathfrak{H}_{C}\right)\qquad\text{(3.6249)}</w:t>
      </w:r>
    </w:p>
    <w:p w:rsidR="00940E2B" w:rsidRDefault="00940E2B" w:rsidP="00940E2B">
      <w:pPr>
        <w:pStyle w:val="StandardWeb"/>
      </w:pPr>
      <w:r>
        <w:t>Eine Intervention wird dokumentiert als</w:t>
      </w:r>
    </w:p>
    <w:p w:rsidR="00940E2B" w:rsidRDefault="00940E2B" w:rsidP="00940E2B">
      <w:pPr>
        <w:pStyle w:val="StandardWeb"/>
      </w:pPr>
      <w:r>
        <w:lastRenderedPageBreak/>
        <w:t>[</w:t>
      </w:r>
      <w:r>
        <w:br/>
        <w:t>\operatorname{InterventionDep}</w:t>
      </w:r>
      <w:r>
        <w:br/>
        <w:t>\left(</w:t>
      </w:r>
      <w:r>
        <w:br/>
        <w:t>X,</w:t>
      </w:r>
      <w:r>
        <w:br/>
        <w:t>x,</w:t>
      </w:r>
      <w:r>
        <w:br/>
        <w:t>Y,</w:t>
      </w:r>
      <w:r>
        <w:br/>
        <w:t>\psi_C</w:t>
      </w:r>
      <w:r>
        <w:br/>
        <w:t>\right).</w:t>
      </w:r>
      <w:r>
        <w:br/>
        <w:t>\tag{3.6250}</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\operatorname{InterventionDep}\left(X,x,Y,\psi_C\right)\qquad\text{(3.6250)}</w:t>
      </w:r>
    </w:p>
    <w:p w:rsidR="00940E2B" w:rsidRDefault="00940E2B" w:rsidP="00940E2B">
      <w:pPr>
        <w:pStyle w:val="StandardWeb"/>
      </w:pPr>
      <w:r>
        <w:t>Eine Identifikationsstruktur lautet</w:t>
      </w:r>
    </w:p>
    <w:p w:rsidR="00940E2B" w:rsidRDefault="00940E2B" w:rsidP="00940E2B">
      <w:pPr>
        <w:pStyle w:val="StandardWeb"/>
      </w:pPr>
      <w:r>
        <w:t>[</w:t>
      </w:r>
      <w:r>
        <w:br/>
        <w:t>\operatorname{CausalIdent}</w:t>
      </w:r>
      <w:r>
        <w:br/>
        <w:t>\left(</w:t>
      </w:r>
      <w:r>
        <w:br/>
        <w:t>\mathcal{P}</w:t>
      </w:r>
      <w:r>
        <w:rPr>
          <w:rStyle w:val="Hervorhebung"/>
        </w:rPr>
        <w:t>{\mathrm{obs}},</w:t>
      </w:r>
      <w:r>
        <w:rPr>
          <w:i/>
          <w:iCs/>
        </w:rPr>
        <w:br/>
      </w:r>
      <w:r>
        <w:rPr>
          <w:rStyle w:val="Hervorhebung"/>
        </w:rPr>
        <w:t>\mathfrak{H}</w:t>
      </w:r>
      <w:r>
        <w:t>{C},</w:t>
      </w:r>
      <w:r>
        <w:br/>
        <w:t>\psi_C</w:t>
      </w:r>
      <w:r>
        <w:br/>
        <w:t>\right).</w:t>
      </w:r>
      <w:r>
        <w:br/>
        <w:t>\tag{3.6251}</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\operatorname{CausalIdent}\left(\mathcal{P}_{\mathrm{obs}},\mathfrak{H}_{C},\psi_C\right)\qquad\text{(3.6251)}</w:t>
      </w:r>
    </w:p>
    <w:p w:rsidR="00940E2B" w:rsidRDefault="00940E2B" w:rsidP="00940E2B">
      <w:pPr>
        <w:pStyle w:val="StandardWeb"/>
      </w:pPr>
      <w:r>
        <w:t>Eine Alternativerklärung kann dokumentiert werden durch</w:t>
      </w:r>
    </w:p>
    <w:p w:rsidR="00940E2B" w:rsidRDefault="00940E2B" w:rsidP="00940E2B">
      <w:pPr>
        <w:pStyle w:val="StandardWeb"/>
      </w:pPr>
      <w:r>
        <w:t>[</w:t>
      </w:r>
      <w:r>
        <w:br/>
        <w:t>\operatorname{CausalAlt}</w:t>
      </w:r>
      <w:r>
        <w:br/>
        <w:t>\left(</w:t>
      </w:r>
      <w:r>
        <w:br/>
        <w:t>\mathcal{M}_C^{(1)},</w:t>
      </w:r>
      <w:r>
        <w:br/>
        <w:t>\mathcal{M}_C^{(2)}</w:t>
      </w:r>
      <w:r>
        <w:br/>
        <w:t>\right).</w:t>
      </w:r>
      <w:r>
        <w:br/>
        <w:t>\tag{3.6252}</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\operatorname{CausalAlt}\left(\mathcal{M}_C^{(1)},\mathcal{M}_C^{(2)}\right)\qquad\text{(3.6252)}</w:t>
      </w:r>
    </w:p>
    <w:p w:rsidR="00940E2B" w:rsidRDefault="00940E2B" w:rsidP="00940E2B">
      <w:pPr>
        <w:pStyle w:val="StandardWeb"/>
      </w:pPr>
      <w:r>
        <w:t>Damit wird jede kausale Aussage auf die verwendete funktionale Struktur, ihre Hilfsannahmen, Interventionen, Identifikationsbedingungen und Alternativmodelle zurückführbar.</w:t>
      </w:r>
    </w:p>
    <w:p w:rsidR="00940E2B" w:rsidRDefault="00940E2B" w:rsidP="00940E2B">
      <w:pPr>
        <w:pStyle w:val="StandardWeb"/>
      </w:pPr>
      <w:r>
        <w:rPr>
          <w:rStyle w:val="Fett"/>
        </w:rPr>
        <w:lastRenderedPageBreak/>
        <w:t>Eigenleistung des FRZK</w:t>
      </w:r>
    </w:p>
    <w:p w:rsidR="00940E2B" w:rsidRDefault="00940E2B" w:rsidP="00940E2B">
      <w:pPr>
        <w:pStyle w:val="StandardWeb"/>
      </w:pPr>
      <w:r>
        <w:t>Ich integriere Kausalaussagen damit ausdrücklich in die bereits entwickelte wissenschaftliche Abhängigkeitsarchitektur des FRZK. Eine kausale Interpretation erhält keinen privilegierten Status außerhalb des Repositorys, sondern muss denselben Anforderungen an Rückverfolgbarkeit, Versionierung, Unsicherheit und Falsifizierbarkeit genügen wie jede andere wissenschaftliche Aussage.</w:t>
      </w:r>
    </w:p>
    <w:p w:rsidR="00940E2B" w:rsidRDefault="00E50336" w:rsidP="00940E2B">
      <w:r>
        <w:pict>
          <v:rect id="_x0000_i1084" style="width:0;height:1.5pt" o:hralign="center" o:hrstd="t" o:hr="t" fillcolor="#a0a0a0" stroked="f"/>
        </w:pict>
      </w:r>
    </w:p>
    <w:p w:rsidR="00940E2B" w:rsidRDefault="00940E2B" w:rsidP="00940E2B">
      <w:pPr>
        <w:pStyle w:val="berschrift1"/>
      </w:pPr>
      <w:r>
        <w:t>3.3.37.41 Methodologische Betrachtungen</w:t>
      </w:r>
    </w:p>
    <w:p w:rsidR="00940E2B" w:rsidRDefault="00940E2B" w:rsidP="00940E2B">
      <w:pPr>
        <w:pStyle w:val="StandardWeb"/>
      </w:pPr>
      <w:r>
        <w:t>Die Prüfung der kausalen Interpretierbarkeit stellt eine der wichtigsten Grenzen zwischen dem mathematischen Aufbau des FRZK und seiner späteren empirischen Interpretation dar. Die drei Primäraxiome setzen Bestimmbarkeit, Relationierbarkeit und Transformierbarkeit. Keines dieser Axiome enthält Kausalität. Diese Trennung ist nicht nur formal, sondern wissenschaftstheoretisch notwendig [58, 59, 79].</w:t>
      </w:r>
    </w:p>
    <w:p w:rsidR="00940E2B" w:rsidRDefault="00940E2B" w:rsidP="00940E2B">
      <w:pPr>
        <w:pStyle w:val="StandardWeb"/>
      </w:pPr>
      <w:r>
        <w:t>Bereits eine Relation kann gerichtet sein. Ebenso kann eine Transformation eindeutig von einem Ausgangszustand auf einen Zielzustand abbilden. Daraus folgt jedoch noch keine Aussage darüber, ob eine Veränderung des Ausgangszustands den Zielzustand in der empirischen Wirklichkeit tatsächlich hervorbringt. Würde ich eine solche Gleichsetzung zulassen, würde Kausalität unbemerkt aus der mathematischen Notation abgeleitet.</w:t>
      </w:r>
    </w:p>
    <w:p w:rsidR="00940E2B" w:rsidRDefault="00940E2B" w:rsidP="00940E2B">
      <w:pPr>
        <w:pStyle w:val="StandardWeb"/>
      </w:pPr>
      <w:r>
        <w:t>Gerade die Pfeilschreibweise besitzt hier ein erhebliches Missverständnispotential. Ein Ausdruck</w:t>
      </w:r>
    </w:p>
    <w:p w:rsidR="00940E2B" w:rsidRDefault="00940E2B" w:rsidP="00940E2B">
      <w:pPr>
        <w:pStyle w:val="StandardWeb"/>
      </w:pPr>
      <w:r>
        <w:t>[</w:t>
      </w:r>
      <w:r>
        <w:br/>
        <w:t>X\rightarrow_F Y</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X\rightarrow_F Y</w:t>
      </w:r>
    </w:p>
    <w:p w:rsidR="00940E2B" w:rsidRDefault="00940E2B" w:rsidP="00940E2B">
      <w:pPr>
        <w:pStyle w:val="StandardWeb"/>
      </w:pPr>
      <w:r>
        <w:t>kann lediglich eine funktionale Zuordnung ausdrücken. Die Aussage</w:t>
      </w:r>
    </w:p>
    <w:p w:rsidR="00940E2B" w:rsidRDefault="00940E2B" w:rsidP="00940E2B">
      <w:pPr>
        <w:pStyle w:val="StandardWeb"/>
      </w:pPr>
      <w:r>
        <w:t>[</w:t>
      </w:r>
      <w:r>
        <w:br/>
        <w:t>X\rightarrow_C Y</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X\rightarrow_C Y</w:t>
      </w:r>
    </w:p>
    <w:p w:rsidR="00940E2B" w:rsidRDefault="00940E2B" w:rsidP="00940E2B">
      <w:pPr>
        <w:pStyle w:val="StandardWeb"/>
      </w:pPr>
      <w:r>
        <w:t>besitzt dagegen einen stärkeren wissenschaftlichen Gehalt. Sie behauptet, dass eine Veränderung von (X) unter bestimmten Bedingungen eine Veränderung von (Y) hervorbringt oder verhindert.</w:t>
      </w:r>
    </w:p>
    <w:p w:rsidR="00940E2B" w:rsidRDefault="00940E2B" w:rsidP="00940E2B">
      <w:pPr>
        <w:pStyle w:val="StandardWeb"/>
      </w:pPr>
      <w:r>
        <w:t xml:space="preserve">Die erste methodologische Konsequenz lautet deshalb: </w:t>
      </w:r>
      <w:r>
        <w:rPr>
          <w:rStyle w:val="Fett"/>
        </w:rPr>
        <w:t>Kausalität wird im FRZK nicht aus der Richtung eines mathematischen Pfeils gelesen.</w:t>
      </w:r>
    </w:p>
    <w:p w:rsidR="00940E2B" w:rsidRDefault="00940E2B" w:rsidP="00940E2B">
      <w:pPr>
        <w:pStyle w:val="StandardWeb"/>
      </w:pPr>
      <w:r>
        <w:lastRenderedPageBreak/>
        <w:t>Eine zweite Konsequenz betrifft die funktionale Zeitordnung. Für eine kausale Interpretation ist eine mit der angenommenen Wirkungsrichtung verträgliche Ordnung erforderlich. Die Ursache darf nicht funktional nach ihrer Wirkung liegen. Dennoch ist zeitliche Reihenfolge nur eine notwendige, keine hinreichende Bedingung.</w:t>
      </w:r>
    </w:p>
    <w:p w:rsidR="00940E2B" w:rsidRDefault="00940E2B" w:rsidP="00940E2B">
      <w:pPr>
        <w:pStyle w:val="StandardWeb"/>
      </w:pPr>
      <w:r>
        <w:t>Aus</w:t>
      </w:r>
    </w:p>
    <w:p w:rsidR="00940E2B" w:rsidRDefault="00940E2B" w:rsidP="00940E2B">
      <w:pPr>
        <w:pStyle w:val="StandardWeb"/>
      </w:pPr>
      <w:r>
        <w:t>[</w:t>
      </w:r>
      <w:r>
        <w:br/>
        <w:t>t_F(X)&lt;t_F(Y)</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t_F(X)&lt;t_F(Y)</w:t>
      </w:r>
    </w:p>
    <w:p w:rsidR="00940E2B" w:rsidRDefault="00940E2B" w:rsidP="00940E2B">
      <w:pPr>
        <w:pStyle w:val="StandardWeb"/>
      </w:pPr>
      <w:r>
        <w:t>folgt nicht</w:t>
      </w:r>
    </w:p>
    <w:p w:rsidR="00940E2B" w:rsidRDefault="00940E2B" w:rsidP="00940E2B">
      <w:pPr>
        <w:pStyle w:val="StandardWeb"/>
      </w:pPr>
      <w:r>
        <w:t>[</w:t>
      </w:r>
      <w:r>
        <w:br/>
        <w:t>X\rightarrow_C Y.</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X\rightarrow_C Y</w:t>
      </w:r>
    </w:p>
    <w:p w:rsidR="00940E2B" w:rsidRDefault="00940E2B" w:rsidP="00940E2B">
      <w:pPr>
        <w:pStyle w:val="StandardWeb"/>
      </w:pPr>
      <w:r>
        <w:t>Dies ist didaktisch einfach, methodologisch aber entscheidend: Früheres Auftreten beweist keine Verursachung.</w:t>
      </w:r>
    </w:p>
    <w:p w:rsidR="00940E2B" w:rsidRDefault="00940E2B" w:rsidP="00940E2B">
      <w:pPr>
        <w:pStyle w:val="StandardWeb"/>
      </w:pPr>
      <w:r>
        <w:t>Eine dritte Konsequenz betrifft Störgrößen. Beobachtete Zusammenhänge können durch gemeinsame Ursachen entstehen. Der Gegenmodellbeweis von Satz 3.3.19 zeigt genau diesen Punkt. Selbst eine funktional brauchbare Zuordnung von (X) nach (Y) kann innerhalb einer empirischen Modellierung existieren, obwohl die tatsächliche kausale Struktur über (Z) verläuft.</w:t>
      </w:r>
    </w:p>
    <w:p w:rsidR="00940E2B" w:rsidRDefault="00940E2B" w:rsidP="00940E2B">
      <w:pPr>
        <w:pStyle w:val="StandardWeb"/>
      </w:pPr>
      <w:r>
        <w:t>Damit schließt die Kausalanalyse unmittelbar an die Erklärungsprüfung aus Abschnitt 3.3.36 an. Eine gute Erklärung muss Alternativen berücksichtigen; eine kausale Erklärung muss zusätzlich zeigen, weshalb relevante alternative Wirkstrukturen nicht dieselben Beobachtungen erklären können.</w:t>
      </w:r>
    </w:p>
    <w:p w:rsidR="00940E2B" w:rsidRDefault="00940E2B" w:rsidP="00940E2B">
      <w:pPr>
        <w:pStyle w:val="StandardWeb"/>
      </w:pPr>
      <w:r>
        <w:t>Eine vierte Konsequenz betrifft die Interventionslogik. Beobachtung und Intervention sind grundsätzlich zu unterscheiden. Die Gleichheit</w:t>
      </w:r>
    </w:p>
    <w:p w:rsidR="00940E2B" w:rsidRDefault="00940E2B" w:rsidP="00940E2B">
      <w:pPr>
        <w:pStyle w:val="berschrift1"/>
      </w:pPr>
      <w:r>
        <w:t>[</w:t>
      </w:r>
      <w:r>
        <w:br/>
        <w:t>\mathbb{E}[Y\mid X=x]</w:t>
      </w:r>
    </w:p>
    <w:p w:rsidR="00940E2B" w:rsidRDefault="00940E2B" w:rsidP="00940E2B">
      <w:pPr>
        <w:pStyle w:val="StandardWeb"/>
      </w:pPr>
      <w:r>
        <w:t>\mathbb{E}[Y\mid\operatorname{do}(X=x)]</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lastRenderedPageBreak/>
        <w:t>\mathbb{E}[Y\mid X=x]=\mathbb{E}[Y\mid\operatorname{do}(X=x)]</w:t>
      </w:r>
    </w:p>
    <w:p w:rsidR="00940E2B" w:rsidRDefault="00940E2B" w:rsidP="00940E2B">
      <w:pPr>
        <w:pStyle w:val="StandardWeb"/>
      </w:pPr>
      <w:r>
        <w:t>ist keine mathematische Selbstverständlichkeit. Sie benötigt Identifikationsbedingungen.</w:t>
      </w:r>
    </w:p>
    <w:p w:rsidR="00940E2B" w:rsidRDefault="00940E2B" w:rsidP="00940E2B">
      <w:pPr>
        <w:pStyle w:val="StandardWeb"/>
      </w:pPr>
      <w:r>
        <w:t>Gerade hierin liegt ein erheblicher Erkenntnisgewinn gegenüber rein beobachtenden Modellen. Die Frage „Was beobachte ich bei (X=x)?“ ist nicht dieselbe wie die Frage „Was würde geschehen, wenn ich (X) gezielt auf (x) setze?“.</w:t>
      </w:r>
    </w:p>
    <w:p w:rsidR="00940E2B" w:rsidRDefault="00940E2B" w:rsidP="00940E2B">
      <w:pPr>
        <w:pStyle w:val="StandardWeb"/>
      </w:pPr>
      <w:r>
        <w:t>Die fünfte Konsequenz betrifft kontrafaktische Aussagen. Kausale Fragen verlangen häufig den Vergleich einer beobachteten Situation mit einer Situation, die für dieselbe Einheit nicht gleichzeitig beobachtet werden kann. Diese prinzipielle Nichtbeobachtbarkeit eines Teils des Vergleichs erklärt, weshalb Kausalinferenz immer zusätzliche Strukturannahmen benötigt.</w:t>
      </w:r>
    </w:p>
    <w:p w:rsidR="00940E2B" w:rsidRDefault="00940E2B" w:rsidP="00940E2B">
      <w:pPr>
        <w:pStyle w:val="StandardWeb"/>
      </w:pPr>
      <w:r>
        <w:t>Die sechste Konsequenz betrifft Identifizierbarkeit. Ein kausaler Parameter kann mathematisch vollständig definiert sein und dennoch aus den verfügbaren Beobachtungen nicht eindeutig bestimmbar sein. Zwei unterschiedliche Kausalmodelle können dieselbe Beobachtungsverteilung erzeugen und sich erst in ihren Interventionseffekten unterscheiden.</w:t>
      </w:r>
    </w:p>
    <w:p w:rsidR="00940E2B" w:rsidRDefault="00940E2B" w:rsidP="00940E2B">
      <w:pPr>
        <w:pStyle w:val="StandardWeb"/>
      </w:pPr>
      <w:r>
        <w:t>Damit muss ich zwischen drei Fragen unterscheiden:</w:t>
      </w:r>
    </w:p>
    <w:p w:rsidR="00940E2B" w:rsidRDefault="00940E2B" w:rsidP="00940E2B">
      <w:pPr>
        <w:pStyle w:val="StandardWeb"/>
      </w:pPr>
      <w:r>
        <w:rPr>
          <w:rStyle w:val="Fett"/>
        </w:rPr>
        <w:t>Ist der Kausaleffekt definiert?</w:t>
      </w:r>
    </w:p>
    <w:p w:rsidR="00940E2B" w:rsidRDefault="00940E2B" w:rsidP="00940E2B">
      <w:pPr>
        <w:pStyle w:val="StandardWeb"/>
      </w:pPr>
      <w:r>
        <w:rPr>
          <w:rStyle w:val="Fett"/>
        </w:rPr>
        <w:t>Ist er unter den angenommenen Bedingungen identifizierbar?</w:t>
      </w:r>
    </w:p>
    <w:p w:rsidR="00940E2B" w:rsidRDefault="00940E2B" w:rsidP="00940E2B">
      <w:pPr>
        <w:pStyle w:val="StandardWeb"/>
      </w:pPr>
      <w:r>
        <w:rPr>
          <w:rStyle w:val="Fett"/>
        </w:rPr>
        <w:t>Ist er mit den verfügbaren Daten zuverlässig schätzbar?</w:t>
      </w:r>
    </w:p>
    <w:p w:rsidR="00940E2B" w:rsidRDefault="00940E2B" w:rsidP="00940E2B">
      <w:pPr>
        <w:pStyle w:val="StandardWeb"/>
      </w:pPr>
      <w:r>
        <w:t>Diese drei Ebenen dürfen nicht miteinander verwechselt werden.</w:t>
      </w:r>
    </w:p>
    <w:p w:rsidR="00940E2B" w:rsidRDefault="00940E2B" w:rsidP="00940E2B">
      <w:pPr>
        <w:pStyle w:val="StandardWeb"/>
      </w:pPr>
      <w:r>
        <w:t>Die siebte Konsequenz betrifft relationale Systeme. Viele Standardannahmen der Kausalinferenz behandeln Beobachtungseinheiten als voneinander unabhängig. Das FRZK erlaubt dagegen ausdrücklich Relationen und Rückkopplungen. Eine Intervention auf einen Zustand kann deshalb Wirkungen auf andere Zustände besitzen.</w:t>
      </w:r>
    </w:p>
    <w:p w:rsidR="00940E2B" w:rsidRDefault="00940E2B" w:rsidP="00940E2B">
      <w:pPr>
        <w:pStyle w:val="StandardWeb"/>
      </w:pPr>
      <w:r>
        <w:t>Gerade diese Interferenz ist für das FRZK kein methodischer Randfall. Sie ergibt sich unmittelbar aus der Möglichkeit relational gekoppelter funktionaler Systeme. Eine Analyse, die solche Netzwerkeffekte grundsätzlich ausschließt, könnte wesentliche Eigenschaften des Gegenstandsbereichs verlieren.</w:t>
      </w:r>
    </w:p>
    <w:p w:rsidR="00940E2B" w:rsidRDefault="00940E2B" w:rsidP="00940E2B">
      <w:pPr>
        <w:pStyle w:val="StandardWeb"/>
      </w:pPr>
      <w:r>
        <w:t>Die achte Konsequenz betrifft Systemgrößen wie Kohärenz, Drift und Kipppunkte. Im FRZK kann Kausalität nicht nur auf einzelne Variablen bezogen werden. Es kann gefragt werden, ob eine Intervention die Kohärenz einer Gesamtstruktur verändert, eine Drift abschwächt oder einen kritischen Übergang verschiebt.</w:t>
      </w:r>
    </w:p>
    <w:p w:rsidR="00940E2B" w:rsidRDefault="00940E2B" w:rsidP="00940E2B">
      <w:pPr>
        <w:pStyle w:val="StandardWeb"/>
      </w:pPr>
      <w:r>
        <w:t>Damit erweitert das FRZK die kausale Fragestellung von</w:t>
      </w:r>
    </w:p>
    <w:p w:rsidR="00940E2B" w:rsidRDefault="00940E2B" w:rsidP="00940E2B">
      <w:pPr>
        <w:pStyle w:val="StandardWeb"/>
      </w:pPr>
      <w:r>
        <w:rPr>
          <w:rStyle w:val="Fett"/>
        </w:rPr>
        <w:t>„Was verursacht die Veränderung einer Variablen?“</w:t>
      </w:r>
    </w:p>
    <w:p w:rsidR="00940E2B" w:rsidRDefault="00940E2B" w:rsidP="00940E2B">
      <w:pPr>
        <w:pStyle w:val="StandardWeb"/>
      </w:pPr>
      <w:r>
        <w:t>zu</w:t>
      </w:r>
    </w:p>
    <w:p w:rsidR="00940E2B" w:rsidRDefault="00940E2B" w:rsidP="00940E2B">
      <w:pPr>
        <w:pStyle w:val="StandardWeb"/>
      </w:pPr>
      <w:r>
        <w:rPr>
          <w:rStyle w:val="Fett"/>
        </w:rPr>
        <w:t>„Wie verändert eine Intervention die Entwicklung und Organisation einer funktionalen Gesamtstruktur?“</w:t>
      </w:r>
    </w:p>
    <w:p w:rsidR="00940E2B" w:rsidRDefault="00940E2B" w:rsidP="00940E2B">
      <w:pPr>
        <w:pStyle w:val="StandardWeb"/>
      </w:pPr>
      <w:r>
        <w:lastRenderedPageBreak/>
        <w:t>Gerade diese Erweiterung ist eine FRZK-spezifische Eigenleistung der Modellarchitektur.</w:t>
      </w:r>
    </w:p>
    <w:p w:rsidR="00940E2B" w:rsidRDefault="00940E2B" w:rsidP="00940E2B">
      <w:pPr>
        <w:pStyle w:val="StandardWeb"/>
      </w:pPr>
      <w:r>
        <w:t>Die neunte Konsequenz betrifft Unsicherheit. Kausale Unsicherheit besteht nicht nur aus Standardfehlern. Selbst eine extrem präzise numerische Schätzung kann wissenschaftlich unsicher bleiben, wenn sie stark von unbeobachtbaren Störgrößen oder nicht überprüfbaren Strukturannahmen abhängt.</w:t>
      </w:r>
    </w:p>
    <w:p w:rsidR="00940E2B" w:rsidRDefault="00940E2B" w:rsidP="00940E2B">
      <w:pPr>
        <w:pStyle w:val="StandardWeb"/>
      </w:pPr>
      <w:r>
        <w:t>Deshalb trenne ich statistische und strukturelle Unsicherheit. Diese Trennung ist für spätere empirische FRZK-Anwendungen verbindlich.</w:t>
      </w:r>
    </w:p>
    <w:p w:rsidR="00940E2B" w:rsidRDefault="00940E2B" w:rsidP="00940E2B">
      <w:pPr>
        <w:pStyle w:val="StandardWeb"/>
      </w:pPr>
      <w:r>
        <w:t>Die zehnte Konsequenz betrifft Robustheit. Eine Kausalaussage sollte nicht allein unter einer einzigen sehr spezifischen Modellkonfiguration gelten. Alternative plausible Spezifikationen, Kontrollvariablen, Operationalisierungen und Unsicherheitsannahmen müssen untersucht werden.</w:t>
      </w:r>
    </w:p>
    <w:p w:rsidR="00940E2B" w:rsidRDefault="00940E2B" w:rsidP="00940E2B">
      <w:pPr>
        <w:pStyle w:val="StandardWeb"/>
      </w:pPr>
      <w:r>
        <w:t>Auch Robustheit beweist keine Kausalität. Sie zeigt lediglich, dass die Schlussfolgerung nicht sofort bei geringfügiger Veränderung der Modellannahmen verschwindet.</w:t>
      </w:r>
    </w:p>
    <w:p w:rsidR="00940E2B" w:rsidRDefault="00940E2B" w:rsidP="00940E2B">
      <w:pPr>
        <w:pStyle w:val="StandardWeb"/>
      </w:pPr>
      <w:r>
        <w:t xml:space="preserve">Schließlich ist Kausalität im FRZK </w:t>
      </w:r>
      <w:r>
        <w:rPr>
          <w:rStyle w:val="Fett"/>
        </w:rPr>
        <w:t>kein neues Primäraxiom</w:t>
      </w:r>
      <w:r>
        <w:t>. Auch Definition 3.3.29 fügt der elementaren Ontologie des Systems keine Ursache-Wirkungs-Beziehung hinzu. Sie stellt einen methodischen Rahmen bereit, in dem eine konkrete funktionale Struktur auf kausale Interpretierbarkeit geprüft werden kann.</w:t>
      </w:r>
    </w:p>
    <w:p w:rsidR="00940E2B" w:rsidRDefault="00940E2B" w:rsidP="00940E2B">
      <w:pPr>
        <w:pStyle w:val="StandardWeb"/>
      </w:pPr>
      <w:r>
        <w:t>Die wissenschaftliche Richtung bleibt deshalb:</w:t>
      </w:r>
    </w:p>
    <w:p w:rsidR="00940E2B" w:rsidRDefault="00940E2B" w:rsidP="00940E2B">
      <w:pPr>
        <w:pStyle w:val="StandardWeb"/>
      </w:pPr>
      <w:r>
        <w:rPr>
          <w:rStyle w:val="Fett"/>
        </w:rPr>
        <w:t>funktionale Struktur → empirische Operationalisierung → Erklärung → zusätzliche kausale Annahmen → Identifikation → Prüfung → vorsichtige kausale Interpretation.</w:t>
      </w:r>
    </w:p>
    <w:p w:rsidR="00940E2B" w:rsidRDefault="00940E2B" w:rsidP="00940E2B">
      <w:pPr>
        <w:pStyle w:val="StandardWeb"/>
      </w:pPr>
      <w:r>
        <w:t>Nicht zulässig wäre dagegen:</w:t>
      </w:r>
    </w:p>
    <w:p w:rsidR="00940E2B" w:rsidRDefault="00940E2B" w:rsidP="00940E2B">
      <w:pPr>
        <w:pStyle w:val="StandardWeb"/>
      </w:pPr>
      <w:r>
        <w:rPr>
          <w:rStyle w:val="Fett"/>
        </w:rPr>
        <w:t>funktionaler Pfeil → Kausalität.</w:t>
      </w:r>
    </w:p>
    <w:p w:rsidR="00940E2B" w:rsidRDefault="00E50336" w:rsidP="00940E2B">
      <w:r>
        <w:pict>
          <v:rect id="_x0000_i1085" style="width:0;height:1.5pt" o:hralign="center" o:hrstd="t" o:hr="t" fillcolor="#a0a0a0" stroked="f"/>
        </w:pict>
      </w:r>
    </w:p>
    <w:p w:rsidR="00940E2B" w:rsidRDefault="00940E2B" w:rsidP="00940E2B">
      <w:pPr>
        <w:pStyle w:val="berschrift1"/>
      </w:pPr>
      <w:r>
        <w:t>3.3.37.42 Didaktische Betrachtungen</w:t>
      </w:r>
    </w:p>
    <w:p w:rsidR="00940E2B" w:rsidRDefault="00940E2B" w:rsidP="00940E2B">
      <w:pPr>
        <w:pStyle w:val="StandardWeb"/>
      </w:pPr>
      <w:r>
        <w:t>Kausalität gehört zu den Begriffen, die im Alltag sehr schnell verwendet werden. Wenn zwei Dinge regelmäßig nacheinander auftreten, entsteht leicht der Eindruck, das erste müsse das zweite verursachen. Genau diese Intuition muss für das Verständnis von 3.3.37 bewusst korrigiert werden.</w:t>
      </w:r>
    </w:p>
    <w:p w:rsidR="00940E2B" w:rsidRDefault="00940E2B" w:rsidP="00940E2B">
      <w:pPr>
        <w:pStyle w:val="StandardWeb"/>
      </w:pPr>
      <w:r>
        <w:t>Ein einfaches Beispiel ist ein Regenschirm.</w:t>
      </w:r>
    </w:p>
    <w:p w:rsidR="00940E2B" w:rsidRDefault="00940E2B" w:rsidP="00940E2B">
      <w:pPr>
        <w:pStyle w:val="StandardWeb"/>
      </w:pPr>
      <w:r>
        <w:t>Viele Menschen tragen einen Regenschirm, wenn es regnet. Beobachtet man nur zwei Größen, ergibt sich eine deutliche Beziehung:</w:t>
      </w:r>
    </w:p>
    <w:p w:rsidR="00940E2B" w:rsidRDefault="00940E2B" w:rsidP="00940E2B">
      <w:pPr>
        <w:pStyle w:val="StandardWeb"/>
      </w:pPr>
      <w:r>
        <w:rPr>
          <w:rStyle w:val="Fett"/>
        </w:rPr>
        <w:t>Regenschirme vorhanden ↔ Straßen nass.</w:t>
      </w:r>
    </w:p>
    <w:p w:rsidR="00940E2B" w:rsidRDefault="00940E2B" w:rsidP="00940E2B">
      <w:pPr>
        <w:pStyle w:val="StandardWeb"/>
      </w:pPr>
      <w:r>
        <w:t>Es wäre jedoch falsch zu sagen:</w:t>
      </w:r>
    </w:p>
    <w:p w:rsidR="00940E2B" w:rsidRDefault="00940E2B" w:rsidP="00940E2B">
      <w:pPr>
        <w:pStyle w:val="StandardWeb"/>
      </w:pPr>
      <w:r>
        <w:rPr>
          <w:rStyle w:val="Fett"/>
        </w:rPr>
        <w:t>„Regenschirme machen die Straßen nass.“</w:t>
      </w:r>
    </w:p>
    <w:p w:rsidR="00940E2B" w:rsidRDefault="00940E2B" w:rsidP="00940E2B">
      <w:pPr>
        <w:pStyle w:val="StandardWeb"/>
      </w:pPr>
      <w:r>
        <w:lastRenderedPageBreak/>
        <w:t>Die gemeinsame Ursache ist der Regen.</w:t>
      </w:r>
    </w:p>
    <w:p w:rsidR="00940E2B" w:rsidRDefault="00940E2B" w:rsidP="00940E2B">
      <w:pPr>
        <w:pStyle w:val="StandardWeb"/>
      </w:pPr>
      <w:r>
        <w:t>Dieses Beispiel entspricht schematisch</w:t>
      </w:r>
    </w:p>
    <w:p w:rsidR="00940E2B" w:rsidRDefault="00940E2B" w:rsidP="00940E2B">
      <w:pPr>
        <w:pStyle w:val="StandardWeb"/>
      </w:pPr>
      <w:r>
        <w:t>[</w:t>
      </w:r>
      <w:r>
        <w:br/>
        <w:t>Z\rightarrow X</w:t>
      </w:r>
      <w:r>
        <w:br/>
        <w:t>]</w:t>
      </w:r>
    </w:p>
    <w:p w:rsidR="00940E2B" w:rsidRDefault="00940E2B" w:rsidP="00940E2B">
      <w:pPr>
        <w:pStyle w:val="StandardWeb"/>
      </w:pPr>
      <w:r>
        <w:t>und</w:t>
      </w:r>
    </w:p>
    <w:p w:rsidR="00940E2B" w:rsidRDefault="00940E2B" w:rsidP="00940E2B">
      <w:pPr>
        <w:pStyle w:val="StandardWeb"/>
      </w:pPr>
      <w:r>
        <w:t>[</w:t>
      </w:r>
      <w:r>
        <w:br/>
        <w:t>Z\rightarrow Y.</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Z\rightarrow X,\qquad Z\rightarrow Y</w:t>
      </w:r>
    </w:p>
    <w:p w:rsidR="00940E2B" w:rsidRDefault="00940E2B" w:rsidP="00940E2B">
      <w:pPr>
        <w:pStyle w:val="StandardWeb"/>
      </w:pPr>
      <w:r>
        <w:t>Die Beziehung zwischen (X) und (Y) allein reicht deshalb nicht zur Bestimmung der Ursache.</w:t>
      </w:r>
    </w:p>
    <w:p w:rsidR="00940E2B" w:rsidRDefault="00940E2B" w:rsidP="00940E2B">
      <w:pPr>
        <w:pStyle w:val="StandardWeb"/>
      </w:pPr>
      <w:r>
        <w:t>Ein zweites Beispiel ist die zeitliche Reihenfolge. Morgens kräht ein Hahn, später geht die Sonne auf. Die Reihenfolge</w:t>
      </w:r>
    </w:p>
    <w:p w:rsidR="00940E2B" w:rsidRDefault="00940E2B" w:rsidP="00940E2B">
      <w:pPr>
        <w:pStyle w:val="StandardWeb"/>
      </w:pPr>
      <w:r>
        <w:t>[</w:t>
      </w:r>
      <w:r>
        <w:br/>
        <w:t>t_{\mathrm{Hahn}}</w:t>
      </w:r>
      <w:r>
        <w:br/>
        <w:t>&lt;</w:t>
      </w:r>
      <w:r>
        <w:br/>
        <w:t>t_{\mathrm{Sonne}}</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t_{\mathrm{Hahn}}&lt;t_{\mathrm{Sonne}}</w:t>
      </w:r>
    </w:p>
    <w:p w:rsidR="00940E2B" w:rsidRDefault="00940E2B" w:rsidP="00940E2B">
      <w:pPr>
        <w:pStyle w:val="StandardWeb"/>
      </w:pPr>
      <w:r>
        <w:t>ist eindeutig.</w:t>
      </w:r>
    </w:p>
    <w:p w:rsidR="00940E2B" w:rsidRDefault="00940E2B" w:rsidP="00940E2B">
      <w:pPr>
        <w:pStyle w:val="StandardWeb"/>
      </w:pPr>
      <w:r>
        <w:t>Trotzdem verursacht der Hahn nicht den Sonnenaufgang.</w:t>
      </w:r>
    </w:p>
    <w:p w:rsidR="00940E2B" w:rsidRDefault="00940E2B" w:rsidP="00940E2B">
      <w:pPr>
        <w:pStyle w:val="StandardWeb"/>
      </w:pPr>
      <w:r>
        <w:t>Damit wird unmittelbar verständlich, weshalb die funktionale Zeitordnung zwar eine notwendige Orientierung für kausale Aussagen liefert, aber keine Kausalität beweist.</w:t>
      </w:r>
    </w:p>
    <w:p w:rsidR="00940E2B" w:rsidRDefault="00940E2B" w:rsidP="00940E2B">
      <w:pPr>
        <w:pStyle w:val="StandardWeb"/>
      </w:pPr>
      <w:r>
        <w:t>Ein drittes Beispiel verdeutlicht den Unterschied zwischen Beobachtung und Intervention.</w:t>
      </w:r>
    </w:p>
    <w:p w:rsidR="00940E2B" w:rsidRDefault="00940E2B" w:rsidP="00940E2B">
      <w:pPr>
        <w:pStyle w:val="StandardWeb"/>
      </w:pPr>
      <w:r>
        <w:t>Angenommen, Menschen, die ein bestimmtes Medikament erhalten, sind im Durchschnitt kränker als Menschen ohne dieses Medikament. Aus der Beobachtung könnte zunächst der Eindruck entstehen, das Medikament verschlechtere die Gesundheit.</w:t>
      </w:r>
    </w:p>
    <w:p w:rsidR="00940E2B" w:rsidRDefault="00940E2B" w:rsidP="00940E2B">
      <w:pPr>
        <w:pStyle w:val="StandardWeb"/>
      </w:pPr>
      <w:r>
        <w:t>Tatsächlich könnte aber gerade die Schwere der Erkrankung dazu führen, dass das Medikament verschrieben wird.</w:t>
      </w:r>
    </w:p>
    <w:p w:rsidR="00940E2B" w:rsidRDefault="00940E2B" w:rsidP="00940E2B">
      <w:pPr>
        <w:pStyle w:val="StandardWeb"/>
      </w:pPr>
      <w:r>
        <w:t>Die Frage</w:t>
      </w:r>
    </w:p>
    <w:p w:rsidR="00940E2B" w:rsidRDefault="00940E2B" w:rsidP="00940E2B">
      <w:pPr>
        <w:pStyle w:val="StandardWeb"/>
      </w:pPr>
      <w:r>
        <w:rPr>
          <w:rStyle w:val="Fett"/>
        </w:rPr>
        <w:lastRenderedPageBreak/>
        <w:t>„Wie geht es Menschen, die das Medikament erhalten?“</w:t>
      </w:r>
    </w:p>
    <w:p w:rsidR="00940E2B" w:rsidRDefault="00940E2B" w:rsidP="00940E2B">
      <w:pPr>
        <w:pStyle w:val="StandardWeb"/>
      </w:pPr>
      <w:r>
        <w:t>ist deshalb nicht identisch mit</w:t>
      </w:r>
    </w:p>
    <w:p w:rsidR="00940E2B" w:rsidRDefault="00940E2B" w:rsidP="00940E2B">
      <w:pPr>
        <w:pStyle w:val="StandardWeb"/>
      </w:pPr>
      <w:r>
        <w:rPr>
          <w:rStyle w:val="Fett"/>
        </w:rPr>
        <w:t>„Was würde geschehen, wenn vergleichbare Menschen gezielt das Medikament erhielten beziehungsweise nicht erhielten?“</w:t>
      </w:r>
    </w:p>
    <w:p w:rsidR="00940E2B" w:rsidRDefault="00940E2B" w:rsidP="00940E2B">
      <w:pPr>
        <w:pStyle w:val="StandardWeb"/>
      </w:pPr>
      <w:r>
        <w:t>Genau dieser Unterschied wird mathematisch durch Beobachtung und Intervention getrennt.</w:t>
      </w:r>
    </w:p>
    <w:p w:rsidR="00940E2B" w:rsidRDefault="00940E2B" w:rsidP="00940E2B">
      <w:pPr>
        <w:pStyle w:val="StandardWeb"/>
      </w:pPr>
      <w:r>
        <w:t>Kontrafaktische Aussagen lassen sich ebenfalls einfach verstehen. Bei derselben Person interessiert beispielsweise:</w:t>
      </w:r>
    </w:p>
    <w:p w:rsidR="00940E2B" w:rsidRDefault="00940E2B" w:rsidP="00940E2B">
      <w:pPr>
        <w:pStyle w:val="StandardWeb"/>
      </w:pPr>
      <w:r>
        <w:rPr>
          <w:rStyle w:val="Fett"/>
        </w:rPr>
        <w:t>Wie wäre ihr Ergebnis mit Behandlung gewesen?</w:t>
      </w:r>
    </w:p>
    <w:p w:rsidR="00940E2B" w:rsidRDefault="00940E2B" w:rsidP="00940E2B">
      <w:pPr>
        <w:pStyle w:val="StandardWeb"/>
      </w:pPr>
      <w:r>
        <w:t>und</w:t>
      </w:r>
    </w:p>
    <w:p w:rsidR="00940E2B" w:rsidRDefault="00940E2B" w:rsidP="00940E2B">
      <w:pPr>
        <w:pStyle w:val="StandardWeb"/>
      </w:pPr>
      <w:r>
        <w:rPr>
          <w:rStyle w:val="Fett"/>
        </w:rPr>
        <w:t>Wie wäre ihr Ergebnis ohne Behandlung gewesen?</w:t>
      </w:r>
    </w:p>
    <w:p w:rsidR="00940E2B" w:rsidRDefault="00940E2B" w:rsidP="00940E2B">
      <w:pPr>
        <w:pStyle w:val="StandardWeb"/>
      </w:pPr>
      <w:r>
        <w:t>Für dieselbe Person können jedoch nicht beide Situationen gleichzeitig real beobachtet werden.</w:t>
      </w:r>
    </w:p>
    <w:p w:rsidR="00940E2B" w:rsidRDefault="00940E2B" w:rsidP="00940E2B">
      <w:pPr>
        <w:pStyle w:val="StandardWeb"/>
      </w:pPr>
      <w:r>
        <w:t>Das macht verständlich, warum Kausaleffekte nicht einfach direkt „abgelesen“ werden können.</w:t>
      </w:r>
    </w:p>
    <w:p w:rsidR="00940E2B" w:rsidRDefault="00940E2B" w:rsidP="00940E2B">
      <w:pPr>
        <w:pStyle w:val="StandardWeb"/>
      </w:pPr>
      <w:r>
        <w:t>Randomisierung kann dieses Problem auf Populationsebene entschärfen. Werden vergleichbare Personen zufällig zwei Gruppen zugeteilt, unterscheiden sich beide Gruppen im Mittel nicht systematisch bereits vor der Intervention. Unterschiede im späteren Ergebnis lassen sich deshalb wesentlich besser der Intervention zuordnen.</w:t>
      </w:r>
    </w:p>
    <w:p w:rsidR="00940E2B" w:rsidRDefault="00940E2B" w:rsidP="00940E2B">
      <w:pPr>
        <w:pStyle w:val="StandardWeb"/>
      </w:pPr>
      <w:r>
        <w:t>Didaktisch muss aber auch deutlich werden, dass randomisierte Experimente nicht immer möglich oder sinnvoll sind. Viele FRZK-Anwendungen werden Beobachtungsdaten verwenden. In diesen Fällen steigt die Bedeutung expliziter Annahmen und Sensitivitätsprüfungen.</w:t>
      </w:r>
    </w:p>
    <w:p w:rsidR="00940E2B" w:rsidRDefault="00940E2B" w:rsidP="00940E2B">
      <w:pPr>
        <w:pStyle w:val="StandardWeb"/>
      </w:pPr>
      <w:r>
        <w:t>Besonders anschaulich ist die Positivitätsbedingung. Angenommen, in einer bestimmten Gruppe erhält ausnahmslos jeder dieselbe Behandlung. Dann existiert innerhalb dieser Gruppe kein Vergleich.</w:t>
      </w:r>
    </w:p>
    <w:p w:rsidR="00940E2B" w:rsidRDefault="00940E2B" w:rsidP="00940E2B">
      <w:pPr>
        <w:pStyle w:val="StandardWeb"/>
      </w:pPr>
      <w:r>
        <w:t>Ich kann dann nicht aus diesen Daten lernen, was bei derselben Gruppe unter der Alternative geschehen wäre.</w:t>
      </w:r>
    </w:p>
    <w:p w:rsidR="00940E2B" w:rsidRDefault="00940E2B" w:rsidP="00940E2B">
      <w:pPr>
        <w:pStyle w:val="StandardWeb"/>
      </w:pPr>
      <w:r>
        <w:t>Auch Interferenz lässt sich sehr einfach verstehen. In einer Schulklasse kann eine Veränderung bei einem Teilnehmer andere Teilnehmer beeinflussen. Wenn beispielsweise ein Schüler eine Frage stellt, verändert dies möglicherweise den Informationsstand der gesamten Gruppe.</w:t>
      </w:r>
    </w:p>
    <w:p w:rsidR="00940E2B" w:rsidRDefault="00940E2B" w:rsidP="00940E2B">
      <w:pPr>
        <w:pStyle w:val="StandardWeb"/>
      </w:pPr>
      <w:r>
        <w:t>Dann hängt das Ergebnis eines Teilnehmers nicht ausschließlich von seiner eigenen „Behandlung“ oder seinem eigenen Zustand ab.</w:t>
      </w:r>
    </w:p>
    <w:p w:rsidR="00940E2B" w:rsidRDefault="00940E2B" w:rsidP="00940E2B">
      <w:pPr>
        <w:pStyle w:val="StandardWeb"/>
      </w:pPr>
      <w:r>
        <w:t>Für ein relationales System wäre daher die Annahme</w:t>
      </w:r>
    </w:p>
    <w:p w:rsidR="00940E2B" w:rsidRDefault="00940E2B" w:rsidP="00940E2B">
      <w:pPr>
        <w:pStyle w:val="StandardWeb"/>
      </w:pPr>
      <w:r>
        <w:lastRenderedPageBreak/>
        <w:t>[</w:t>
      </w:r>
      <w:r>
        <w:br/>
        <w:t>Y_i=Y_i(X_i)</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Y_i=Y_i(X_i)</w:t>
      </w:r>
    </w:p>
    <w:p w:rsidR="00940E2B" w:rsidRDefault="00940E2B" w:rsidP="00940E2B">
      <w:pPr>
        <w:pStyle w:val="StandardWeb"/>
      </w:pPr>
      <w:r>
        <w:t>möglicherweise unrealistisch.</w:t>
      </w:r>
    </w:p>
    <w:p w:rsidR="00940E2B" w:rsidRDefault="00940E2B" w:rsidP="00940E2B">
      <w:pPr>
        <w:pStyle w:val="StandardWeb"/>
      </w:pPr>
      <w:r>
        <w:t>Stattdessen kann gelten</w:t>
      </w:r>
    </w:p>
    <w:p w:rsidR="00940E2B" w:rsidRDefault="00940E2B" w:rsidP="00940E2B">
      <w:pPr>
        <w:pStyle w:val="berschrift1"/>
      </w:pPr>
      <w:r>
        <w:t>[</w:t>
      </w:r>
      <w:r>
        <w:br/>
        <w:t>Y_i</w:t>
      </w:r>
    </w:p>
    <w:p w:rsidR="00940E2B" w:rsidRDefault="00940E2B" w:rsidP="00940E2B">
      <w:pPr>
        <w:pStyle w:val="StandardWeb"/>
      </w:pPr>
      <w:r>
        <w:t>Y_i(X_1,\ldots,X_n).</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Y_i=Y_i(X_1,\ldots,X_n)</w:t>
      </w:r>
    </w:p>
    <w:p w:rsidR="00940E2B" w:rsidRDefault="00940E2B" w:rsidP="00940E2B">
      <w:pPr>
        <w:pStyle w:val="StandardWeb"/>
      </w:pPr>
      <w:r>
        <w:t>Dieser Punkt ist für das FRZK besonders wichtig, weil die Theorie gerade Relationen, Kopplungen und gruppendynamische Wechselwirkungen abbilden soll.</w:t>
      </w:r>
    </w:p>
    <w:p w:rsidR="00940E2B" w:rsidRDefault="00940E2B" w:rsidP="00940E2B">
      <w:pPr>
        <w:pStyle w:val="StandardWeb"/>
      </w:pPr>
      <w:r>
        <w:t>Auch die kausale Wirkung auf Kohärenz lässt sich didaktisch anschaulich machen. Angenommen, in einer Gruppe wird eine bestimmte Kommunikationsregel geändert. Die relevante Frage lautet nicht nur:</w:t>
      </w:r>
    </w:p>
    <w:p w:rsidR="00940E2B" w:rsidRDefault="00940E2B" w:rsidP="00940E2B">
      <w:pPr>
        <w:pStyle w:val="StandardWeb"/>
      </w:pPr>
      <w:r>
        <w:rPr>
          <w:rStyle w:val="Fett"/>
        </w:rPr>
        <w:t>„Hat sich Teilnehmer A verändert?“</w:t>
      </w:r>
    </w:p>
    <w:p w:rsidR="00940E2B" w:rsidRDefault="00940E2B" w:rsidP="00940E2B">
      <w:pPr>
        <w:pStyle w:val="StandardWeb"/>
      </w:pPr>
      <w:r>
        <w:t>sondern möglicherweise:</w:t>
      </w:r>
    </w:p>
    <w:p w:rsidR="00940E2B" w:rsidRDefault="00940E2B" w:rsidP="00940E2B">
      <w:pPr>
        <w:pStyle w:val="StandardWeb"/>
      </w:pPr>
      <w:r>
        <w:rPr>
          <w:rStyle w:val="Fett"/>
        </w:rPr>
        <w:t>„Hat sich durch die Intervention die Kohärenz der gesamten Gruppe verändert?“</w:t>
      </w:r>
    </w:p>
    <w:p w:rsidR="00940E2B" w:rsidRDefault="00940E2B" w:rsidP="00940E2B">
      <w:pPr>
        <w:pStyle w:val="StandardWeb"/>
      </w:pPr>
      <w:r>
        <w:t>Damit wird die Kausalfrage von einer Einzelvariable auf eine Systemstruktur erweitert.</w:t>
      </w:r>
    </w:p>
    <w:p w:rsidR="00940E2B" w:rsidRDefault="00940E2B" w:rsidP="00940E2B">
      <w:pPr>
        <w:pStyle w:val="StandardWeb"/>
      </w:pPr>
      <w:r>
        <w:t>Bei Kipppunkten kann die Frage lauten:</w:t>
      </w:r>
    </w:p>
    <w:p w:rsidR="00940E2B" w:rsidRDefault="00940E2B" w:rsidP="00940E2B">
      <w:pPr>
        <w:pStyle w:val="StandardWeb"/>
      </w:pPr>
      <w:r>
        <w:rPr>
          <w:rStyle w:val="Fett"/>
        </w:rPr>
        <w:t>„Hat die Intervention verhindert, dass das System in einen kritischen Zustand übergeht?“</w:t>
      </w:r>
    </w:p>
    <w:p w:rsidR="00940E2B" w:rsidRDefault="00940E2B" w:rsidP="00940E2B">
      <w:pPr>
        <w:pStyle w:val="StandardWeb"/>
      </w:pPr>
      <w:r>
        <w:t>oder</w:t>
      </w:r>
    </w:p>
    <w:p w:rsidR="00940E2B" w:rsidRDefault="00940E2B" w:rsidP="00940E2B">
      <w:pPr>
        <w:pStyle w:val="StandardWeb"/>
      </w:pPr>
      <w:r>
        <w:rPr>
          <w:rStyle w:val="Fett"/>
        </w:rPr>
        <w:t>„Hat sie diesen Übergang nur verzögert?“</w:t>
      </w:r>
    </w:p>
    <w:p w:rsidR="00940E2B" w:rsidRDefault="00940E2B" w:rsidP="00940E2B">
      <w:pPr>
        <w:pStyle w:val="StandardWeb"/>
      </w:pPr>
      <w:r>
        <w:t>Das FRZK ermöglicht damit später kausale Fragestellungen, die wesentlich näher an komplexen dynamischen Systemen liegen als einfache lineare Ursache-Wirkungs-Ketten.</w:t>
      </w:r>
    </w:p>
    <w:p w:rsidR="00940E2B" w:rsidRDefault="00940E2B" w:rsidP="00940E2B">
      <w:pPr>
        <w:pStyle w:val="StandardWeb"/>
      </w:pPr>
      <w:r>
        <w:t>Für den Leser ist schließlich eine klare sprachliche Abstufung hilfreich.</w:t>
      </w:r>
    </w:p>
    <w:p w:rsidR="00940E2B" w:rsidRDefault="00940E2B" w:rsidP="00940E2B">
      <w:pPr>
        <w:pStyle w:val="StandardWeb"/>
      </w:pPr>
      <w:r>
        <w:lastRenderedPageBreak/>
        <w:t>Ich würde in der weiteren Dissertation unterscheiden:</w:t>
      </w:r>
    </w:p>
    <w:p w:rsidR="00940E2B" w:rsidRDefault="00940E2B" w:rsidP="00940E2B">
      <w:pPr>
        <w:pStyle w:val="StandardWeb"/>
      </w:pPr>
      <w:r>
        <w:rPr>
          <w:rStyle w:val="Fett"/>
        </w:rPr>
        <w:t>„steht in Zusammenhang mit“</w:t>
      </w:r>
      <w:r>
        <w:t xml:space="preserve"> – wenn lediglich eine empirische Beziehung gezeigt wurde,</w:t>
      </w:r>
    </w:p>
    <w:p w:rsidR="00940E2B" w:rsidRDefault="00940E2B" w:rsidP="00940E2B">
      <w:pPr>
        <w:pStyle w:val="StandardWeb"/>
      </w:pPr>
      <w:r>
        <w:rPr>
          <w:rStyle w:val="Fett"/>
        </w:rPr>
        <w:t>„ist funktional verbunden mit“</w:t>
      </w:r>
      <w:r>
        <w:t xml:space="preserve"> – wenn eine FRZK-Relation oder Transformation vorliegt,</w:t>
      </w:r>
    </w:p>
    <w:p w:rsidR="00940E2B" w:rsidRDefault="00940E2B" w:rsidP="00940E2B">
      <w:pPr>
        <w:pStyle w:val="StandardWeb"/>
      </w:pPr>
      <w:r>
        <w:rPr>
          <w:rStyle w:val="Fett"/>
        </w:rPr>
        <w:t>„ist mit einer kausalen Interpretation vereinbar“</w:t>
      </w:r>
      <w:r>
        <w:t xml:space="preserve"> – wenn die Struktur kausal kompatibel ist,</w:t>
      </w:r>
    </w:p>
    <w:p w:rsidR="00940E2B" w:rsidRDefault="00940E2B" w:rsidP="00940E2B">
      <w:pPr>
        <w:pStyle w:val="StandardWeb"/>
      </w:pPr>
      <w:r>
        <w:rPr>
          <w:rStyle w:val="Fett"/>
        </w:rPr>
        <w:t>„kausal gestützt“</w:t>
      </w:r>
      <w:r>
        <w:t xml:space="preserve"> – wenn zusätzliche Identifikations- und Robustheitsbedingungen erfüllt sind,</w:t>
      </w:r>
    </w:p>
    <w:p w:rsidR="00940E2B" w:rsidRDefault="00940E2B" w:rsidP="00940E2B">
      <w:pPr>
        <w:pStyle w:val="StandardWeb"/>
      </w:pPr>
      <w:r>
        <w:rPr>
          <w:rStyle w:val="Fett"/>
        </w:rPr>
        <w:t>„interventionell gestützt“</w:t>
      </w:r>
      <w:r>
        <w:t xml:space="preserve"> – wenn geeignete Interventionsevidenz vorhanden ist.</w:t>
      </w:r>
    </w:p>
    <w:p w:rsidR="00940E2B" w:rsidRDefault="00940E2B" w:rsidP="00940E2B">
      <w:pPr>
        <w:pStyle w:val="StandardWeb"/>
      </w:pPr>
      <w:r>
        <w:t>Diese Sprachregel verhindert, dass die Stärke wissenschaftlicher Aussagen während der Darstellung unbemerkt wächst.</w:t>
      </w:r>
    </w:p>
    <w:p w:rsidR="00940E2B" w:rsidRDefault="00940E2B" w:rsidP="00940E2B">
      <w:pPr>
        <w:pStyle w:val="StandardWeb"/>
      </w:pPr>
      <w:r>
        <w:t>Der wichtigste didaktische Satz dieses Abschnitts lautet deshalb:</w:t>
      </w:r>
    </w:p>
    <w:p w:rsidR="00940E2B" w:rsidRDefault="00940E2B" w:rsidP="00940E2B">
      <w:pPr>
        <w:pStyle w:val="StandardWeb"/>
      </w:pPr>
      <w:r>
        <w:rPr>
          <w:rStyle w:val="Fett"/>
        </w:rPr>
        <w:t>Ein Pfeil ist noch keine Ursache.</w:t>
      </w:r>
    </w:p>
    <w:p w:rsidR="00940E2B" w:rsidRDefault="00940E2B" w:rsidP="00940E2B">
      <w:pPr>
        <w:pStyle w:val="StandardWeb"/>
      </w:pPr>
      <w:r>
        <w:t>Im FRZK muss jeder Übergang von</w:t>
      </w:r>
    </w:p>
    <w:p w:rsidR="00940E2B" w:rsidRDefault="00940E2B" w:rsidP="00940E2B">
      <w:pPr>
        <w:pStyle w:val="StandardWeb"/>
      </w:pPr>
      <w:r>
        <w:t>[</w:t>
      </w:r>
      <w:r>
        <w:br/>
        <w:t>\rightarrow_F</w:t>
      </w:r>
      <w:r>
        <w:br/>
        <w:t>]</w:t>
      </w:r>
    </w:p>
    <w:p w:rsidR="00940E2B" w:rsidRDefault="00940E2B" w:rsidP="00940E2B">
      <w:pPr>
        <w:pStyle w:val="StandardWeb"/>
      </w:pPr>
      <w:r>
        <w:t>zu</w:t>
      </w:r>
    </w:p>
    <w:p w:rsidR="00940E2B" w:rsidRDefault="00940E2B" w:rsidP="00940E2B">
      <w:pPr>
        <w:pStyle w:val="StandardWeb"/>
      </w:pPr>
      <w:r>
        <w:t>[</w:t>
      </w:r>
      <w:r>
        <w:br/>
        <w:t>\rightarrow_C</w:t>
      </w:r>
      <w:r>
        <w:br/>
        <w:t>]</w:t>
      </w:r>
    </w:p>
    <w:p w:rsidR="00940E2B" w:rsidRDefault="00940E2B" w:rsidP="00940E2B">
      <w:pPr>
        <w:pStyle w:val="StandardWeb"/>
      </w:pPr>
      <w:r>
        <w:t>begründet werden.</w:t>
      </w:r>
    </w:p>
    <w:p w:rsidR="00940E2B" w:rsidRDefault="00E50336" w:rsidP="00940E2B">
      <w:r>
        <w:pict>
          <v:rect id="_x0000_i1086" style="width:0;height:1.5pt" o:hralign="center" o:hrstd="t" o:hr="t" fillcolor="#a0a0a0" stroked="f"/>
        </w:pict>
      </w:r>
    </w:p>
    <w:p w:rsidR="00940E2B" w:rsidRDefault="00940E2B" w:rsidP="00940E2B">
      <w:pPr>
        <w:pStyle w:val="berschrift2"/>
      </w:pPr>
      <w:r>
        <w:t>3.3.37.43 Ergebnis der Prüfung der kausalen Interpretierbarkeit</w:t>
      </w:r>
    </w:p>
    <w:p w:rsidR="00940E2B" w:rsidRDefault="00940E2B" w:rsidP="00940E2B">
      <w:pPr>
        <w:pStyle w:val="StandardWeb"/>
      </w:pPr>
      <w:r>
        <w:t>Die Prüfung zeigt, dass die drei Primäraxiome des FRZK keine Kausalität voraussetzen. Funktionale Zustände können bestimmbar, relational verbunden und transformierbar sein, ohne dass daraus eine Ursache-Wirkungs-Struktur folgt.</w:t>
      </w:r>
    </w:p>
    <w:p w:rsidR="00940E2B" w:rsidRDefault="00940E2B" w:rsidP="00940E2B">
      <w:pPr>
        <w:pStyle w:val="StandardWeb"/>
      </w:pPr>
      <w:r>
        <w:t>Kausale Interpretation erfordert zusätzliche Bedingungen. Dazu gehören insbesondere Richtungskonsistenz, funktionale Zeitordnung, Kontrolle beziehungsweise Modellierung relevanter Störgrößen, Identifizierbarkeit, Alternativerklärungen, Positivität, Konsistenz, Interferenzprüfung, Robustheit und Unsicherheitsbewertung.</w:t>
      </w:r>
    </w:p>
    <w:p w:rsidR="00940E2B" w:rsidRDefault="00940E2B" w:rsidP="00940E2B">
      <w:pPr>
        <w:pStyle w:val="StandardWeb"/>
      </w:pPr>
      <w:r>
        <w:lastRenderedPageBreak/>
        <w:t>Für relationale FRZK-Systeme kommt hinzu, dass Interventionen Wirkungen auf andere Zustände und auf Systemgrößen wie Kohärenz, Drift oder kritische Übergänge erzeugen können.</w:t>
      </w:r>
    </w:p>
    <w:p w:rsidR="00940E2B" w:rsidRDefault="00940E2B" w:rsidP="00940E2B">
      <w:pPr>
        <w:pStyle w:val="StandardWeb"/>
      </w:pPr>
      <w:r>
        <w:t>Satz 3.3.19 zeigt formal, dass</w:t>
      </w:r>
    </w:p>
    <w:p w:rsidR="00940E2B" w:rsidRDefault="00940E2B" w:rsidP="00940E2B">
      <w:pPr>
        <w:pStyle w:val="StandardWeb"/>
      </w:pPr>
      <w:r>
        <w:t>[</w:t>
      </w:r>
      <w:r>
        <w:br/>
        <w:t>X\rightarrow_F Y</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X\rightarrow_F Y</w:t>
      </w:r>
    </w:p>
    <w:p w:rsidR="00940E2B" w:rsidRDefault="00940E2B" w:rsidP="00940E2B">
      <w:pPr>
        <w:pStyle w:val="StandardWeb"/>
      </w:pPr>
      <w:r>
        <w:t>für sich allein nicht ausreicht, um</w:t>
      </w:r>
    </w:p>
    <w:p w:rsidR="00940E2B" w:rsidRDefault="00940E2B" w:rsidP="00940E2B">
      <w:pPr>
        <w:pStyle w:val="StandardWeb"/>
      </w:pPr>
      <w:r>
        <w:t>[</w:t>
      </w:r>
      <w:r>
        <w:br/>
        <w:t>X\rightarrow_C Y</w:t>
      </w:r>
      <w:r>
        <w:br/>
        <w:t>]</w:t>
      </w:r>
    </w:p>
    <w:p w:rsidR="00940E2B" w:rsidRDefault="00940E2B" w:rsidP="00940E2B">
      <w:pPr>
        <w:pStyle w:val="StandardWeb"/>
      </w:pPr>
      <w:r>
        <w:rPr>
          <w:rStyle w:val="Fett"/>
        </w:rPr>
        <w:t>Word-LaTeX</w:t>
      </w:r>
    </w:p>
    <w:p w:rsidR="00940E2B" w:rsidRDefault="00940E2B" w:rsidP="00940E2B">
      <w:pPr>
        <w:pStyle w:val="HTMLVorformatiert"/>
        <w:rPr>
          <w:rStyle w:val="HTMLCode"/>
        </w:rPr>
      </w:pPr>
      <w:r>
        <w:rPr>
          <w:rStyle w:val="HTMLCode"/>
        </w:rPr>
        <w:t>X\rightarrow_C Y</w:t>
      </w:r>
    </w:p>
    <w:p w:rsidR="00940E2B" w:rsidRDefault="00940E2B" w:rsidP="00940E2B">
      <w:pPr>
        <w:pStyle w:val="StandardWeb"/>
      </w:pPr>
      <w:r>
        <w:t>zu begründen.</w:t>
      </w:r>
    </w:p>
    <w:p w:rsidR="00940E2B" w:rsidRDefault="00940E2B" w:rsidP="00940E2B">
      <w:pPr>
        <w:pStyle w:val="StandardWeb"/>
      </w:pPr>
      <w:r>
        <w:rPr>
          <w:rStyle w:val="Fett"/>
        </w:rPr>
        <w:t>Eigenleistung des FRZK</w:t>
      </w:r>
    </w:p>
    <w:p w:rsidR="00940E2B" w:rsidRDefault="00940E2B" w:rsidP="00940E2B">
      <w:pPr>
        <w:pStyle w:val="StandardWeb"/>
      </w:pPr>
      <w:r>
        <w:t>Mit Definition 3.3.29 entsteht damit eine explizite methodische Schnittstelle zwischen der funktionalen Theorie und möglichen kausalen Interpretationen. Das FRZK behauptet Kausalität nicht durch seine Axiomatik, sondern stellt eine Struktur bereit, innerhalb derer kausale Aussagen unter dokumentierten Zusatzbedingungen geprüft werden können.</w:t>
      </w:r>
    </w:p>
    <w:p w:rsidR="00940E2B" w:rsidRDefault="00E50336" w:rsidP="00940E2B">
      <w:r>
        <w:pict>
          <v:rect id="_x0000_i1087" style="width:0;height:1.5pt" o:hralign="center" o:hrstd="t" o:hr="t" fillcolor="#a0a0a0" stroked="f"/>
        </w:pict>
      </w:r>
    </w:p>
    <w:p w:rsidR="00940E2B" w:rsidRDefault="00940E2B" w:rsidP="00940E2B">
      <w:pPr>
        <w:pStyle w:val="berschrift2"/>
      </w:pPr>
      <w:r>
        <w:t>3.3.37.44 Übergang</w:t>
      </w:r>
    </w:p>
    <w:p w:rsidR="00940E2B" w:rsidRDefault="00940E2B" w:rsidP="00940E2B">
      <w:pPr>
        <w:pStyle w:val="StandardWeb"/>
      </w:pPr>
      <w:r>
        <w:t>Mit der Prüfung der kausalen Interpretierbarkeit ist geklärt, unter welchen Bedingungen aus funktionalen Zusammenhängen stärkere Ursache-Wirkungs-Aussagen entwickelt werden dürfen.</w:t>
      </w:r>
    </w:p>
    <w:p w:rsidR="00940E2B" w:rsidRDefault="00940E2B" w:rsidP="00940E2B">
      <w:pPr>
        <w:pStyle w:val="StandardWeb"/>
      </w:pPr>
      <w:r>
        <w:t>Damit stellt sich als nächste Frage, wie weit solche Aussagen über den konkret untersuchten Kontext hinaus übertragen werden können. Selbst ein innerhalb eines Datensatzes identifizierter und interventionell gestützter Effekt muss nicht unter anderen Gruppen, Zeiträumen, Randbedingungen oder Modellinstanzen unverändert gelten.</w:t>
      </w:r>
    </w:p>
    <w:p w:rsidR="00940E2B" w:rsidRDefault="00940E2B" w:rsidP="00940E2B">
      <w:pPr>
        <w:pStyle w:val="StandardWeb"/>
      </w:pPr>
      <w:r>
        <w:t xml:space="preserve">Der folgende Abschnitt muss deshalb die </w:t>
      </w:r>
      <w:r>
        <w:rPr>
          <w:rStyle w:val="Fett"/>
        </w:rPr>
        <w:t>externe Validität und Transportierbarkeit von FRZK-Aussagen</w:t>
      </w:r>
      <w:r>
        <w:t xml:space="preserve"> untersuchen.</w:t>
      </w:r>
    </w:p>
    <w:p w:rsidR="00DD6BA1" w:rsidRDefault="00DD6BA1" w:rsidP="00DD6BA1">
      <w:pPr>
        <w:pStyle w:val="berschrift1"/>
        <w:rPr>
          <w:rFonts w:cs="Times New Roman"/>
          <w:sz w:val="48"/>
          <w:szCs w:val="48"/>
        </w:rPr>
      </w:pPr>
      <w:r>
        <w:t>Methodologische Betrachtungen zu Abschnitt 3.3.37</w:t>
      </w:r>
    </w:p>
    <w:p w:rsidR="00DD6BA1" w:rsidRDefault="00DD6BA1" w:rsidP="00DD6BA1">
      <w:pPr>
        <w:pStyle w:val="StandardWeb"/>
      </w:pPr>
      <w:r>
        <w:lastRenderedPageBreak/>
        <w:t>Mit Abschnitt 3.3.37 erreiche ich einen entscheidenden methodischen Wendepunkt innerhalb der Entwicklung des Funktionalen Raum-Zeit-Kohärenzsystems. Während die bisherigen Abschnitte den mathematischen Aufbau der Theorie sowie die Bedingungen funktionaler Erklärung behandelt haben, wird nun erstmals systematisch untersucht, unter welchen Voraussetzungen funktionale Zusammenhänge überhaupt als kausal interpretierbar sind.</w:t>
      </w:r>
    </w:p>
    <w:p w:rsidR="00DD6BA1" w:rsidRDefault="00DD6BA1" w:rsidP="00DD6BA1">
      <w:pPr>
        <w:pStyle w:val="StandardWeb"/>
      </w:pPr>
      <w:r>
        <w:t xml:space="preserve">Gerade diese Trennung besitzt für die wissenschaftliche Konsistenz des FRZK zentrale Bedeutung. Die drei Primäraxiome – Bestimmbarkeit, Relationierbarkeit und Transformierbarkeit – erzeugen bewusst </w:t>
      </w:r>
      <w:r>
        <w:rPr>
          <w:rStyle w:val="Fett"/>
        </w:rPr>
        <w:t>keine</w:t>
      </w:r>
      <w:r>
        <w:t xml:space="preserve"> Kausalität. Sie beschreiben ausschließlich mathematische Eigenschaften funktionaler Zustandsräume. Kausalität entsteht erst auf einer zusätzlichen Interpretationsebene, welche explizit dokumentierte wissenschaftliche Voraussetzungen benötigt.</w:t>
      </w:r>
    </w:p>
    <w:p w:rsidR="00DD6BA1" w:rsidRDefault="00DD6BA1" w:rsidP="00DD6BA1">
      <w:pPr>
        <w:pStyle w:val="StandardWeb"/>
      </w:pPr>
      <w:r>
        <w:t>Damit vermeide ich einen Fehler, der in vielen wissenschaftlichen Anwendungen implizit auftritt: Aus einer mathematisch gerichteten Beziehung wird unbemerkt eine Ursache-Wirkungs-Beziehung gemacht. Im FRZK besitzen funktionale Pfeile und kausale Pfeile deshalb grundsätzlich unterschiedliche Bedeutungen.</w:t>
      </w:r>
    </w:p>
    <w:p w:rsidR="00DD6BA1" w:rsidRDefault="00DD6BA1" w:rsidP="00DD6BA1">
      <w:pPr>
        <w:pStyle w:val="StandardWeb"/>
      </w:pPr>
      <w:r>
        <w:t>Die wichtigste methodische Konsequenz lautet daher:</w:t>
      </w:r>
    </w:p>
    <w:p w:rsidR="00DD6BA1" w:rsidRDefault="00DD6BA1" w:rsidP="00DD6BA1">
      <w:pPr>
        <w:pStyle w:val="StandardWeb"/>
      </w:pPr>
      <w:r>
        <w:rPr>
          <w:rStyle w:val="Fett"/>
        </w:rPr>
        <w:t>Eine gerichtete funktionale Struktur besitzt zunächst ausschließlich mathematischen Charakter.</w:t>
      </w:r>
    </w:p>
    <w:p w:rsidR="00DD6BA1" w:rsidRDefault="00DD6BA1" w:rsidP="00DD6BA1">
      <w:pPr>
        <w:pStyle w:val="StandardWeb"/>
      </w:pPr>
      <w:r>
        <w:t>Erst wenn zusätzliche Bedingungen erfüllt sind, kann daraus eine wissenschaftlich begründete Kausalinterpretation entwickelt werden.</w:t>
      </w:r>
    </w:p>
    <w:p w:rsidR="00DD6BA1" w:rsidRDefault="00DD6BA1" w:rsidP="00DD6BA1">
      <w:pPr>
        <w:pStyle w:val="StandardWeb"/>
      </w:pPr>
      <w:r>
        <w:t>Diese zusätzlichen Bedingungen betreffen mehrere Ebenen gleichzeitig.</w:t>
      </w:r>
    </w:p>
    <w:p w:rsidR="00DD6BA1" w:rsidRDefault="00DD6BA1" w:rsidP="00DD6BA1">
      <w:pPr>
        <w:pStyle w:val="StandardWeb"/>
      </w:pPr>
      <w:r>
        <w:t xml:space="preserve">Die erste Ebene betrifft die </w:t>
      </w:r>
      <w:r>
        <w:rPr>
          <w:rStyle w:val="Fett"/>
        </w:rPr>
        <w:t>Richtungskonsistenz</w:t>
      </w:r>
      <w:r>
        <w:t>. Eine angenommene Ursache darf funktional nicht hinter ihrer Wirkung liegen. Dennoch reicht eine konsistente Zeitordnung allein nicht aus.</w:t>
      </w:r>
    </w:p>
    <w:p w:rsidR="00DD6BA1" w:rsidRDefault="00DD6BA1" w:rsidP="00DD6BA1">
      <w:pPr>
        <w:pStyle w:val="StandardWeb"/>
      </w:pPr>
      <w:r>
        <w:t xml:space="preserve">Die zweite Ebene betrifft </w:t>
      </w:r>
      <w:r>
        <w:rPr>
          <w:rStyle w:val="Fett"/>
        </w:rPr>
        <w:t>gemeinsame Ursachen und Alternativerklärungen</w:t>
      </w:r>
      <w:r>
        <w:t>. Funktionale oder statistische Zusammenhänge können vollständig durch unbeobachtete Drittvariablen entstehen. Der Gegenmodellbeweis in Satz 3.3.19 zeigt genau diese Möglichkeit. Dadurch wird formal begründet, weshalb funktionale Abhängigkeit logisch schwächer ist als Kausalität.</w:t>
      </w:r>
    </w:p>
    <w:p w:rsidR="00DD6BA1" w:rsidRDefault="00DD6BA1" w:rsidP="00DD6BA1">
      <w:pPr>
        <w:pStyle w:val="StandardWeb"/>
      </w:pPr>
      <w:r>
        <w:t xml:space="preserve">Die dritte Ebene betrifft die </w:t>
      </w:r>
      <w:r>
        <w:rPr>
          <w:rStyle w:val="Fett"/>
        </w:rPr>
        <w:t>Identifizierbarkeit</w:t>
      </w:r>
      <w:r>
        <w:t>. Ein mathematisch definierter Kausaleffekt besitzt nur dann wissenschaftliche Bedeutung, wenn er aus den verfügbaren Beobachtungen unter explizit angegebenen Annahmen eindeutig bestimmt werden kann. Damit unterscheide ich erstmals ausdrücklich zwischen</w:t>
      </w:r>
    </w:p>
    <w:p w:rsidR="00DD6BA1" w:rsidRDefault="00DD6BA1" w:rsidP="008C5E65">
      <w:pPr>
        <w:pStyle w:val="StandardWeb"/>
        <w:numPr>
          <w:ilvl w:val="0"/>
          <w:numId w:val="281"/>
        </w:numPr>
      </w:pPr>
      <w:r>
        <w:t>mathematischer Definierbarkeit,</w:t>
      </w:r>
    </w:p>
    <w:p w:rsidR="00DD6BA1" w:rsidRDefault="00DD6BA1" w:rsidP="008C5E65">
      <w:pPr>
        <w:pStyle w:val="StandardWeb"/>
        <w:numPr>
          <w:ilvl w:val="0"/>
          <w:numId w:val="281"/>
        </w:numPr>
      </w:pPr>
      <w:r>
        <w:t>empirischer Identifizierbarkeit,</w:t>
      </w:r>
    </w:p>
    <w:p w:rsidR="00DD6BA1" w:rsidRDefault="00DD6BA1" w:rsidP="008C5E65">
      <w:pPr>
        <w:pStyle w:val="StandardWeb"/>
        <w:numPr>
          <w:ilvl w:val="0"/>
          <w:numId w:val="281"/>
        </w:numPr>
      </w:pPr>
      <w:r>
        <w:t>statistischer Schätzbarkeit.</w:t>
      </w:r>
    </w:p>
    <w:p w:rsidR="00DD6BA1" w:rsidRDefault="00DD6BA1" w:rsidP="00DD6BA1">
      <w:pPr>
        <w:pStyle w:val="StandardWeb"/>
      </w:pPr>
      <w:r>
        <w:t>Diese drei Ebenen dürfen im weiteren Verlauf der Dissertation niemals miteinander vermischt werden.</w:t>
      </w:r>
    </w:p>
    <w:p w:rsidR="00DD6BA1" w:rsidRDefault="00DD6BA1" w:rsidP="00DD6BA1">
      <w:pPr>
        <w:pStyle w:val="StandardWeb"/>
      </w:pPr>
      <w:r>
        <w:lastRenderedPageBreak/>
        <w:t xml:space="preserve">Die vierte Ebene betrifft </w:t>
      </w:r>
      <w:r>
        <w:rPr>
          <w:rStyle w:val="Fett"/>
        </w:rPr>
        <w:t>Interventionen</w:t>
      </w:r>
      <w:r>
        <w:t>. Beobachtungen beschreiben vorhandene Zusammenhänge. Interventionen beschreiben hypothetische oder reale Veränderungen eines Systems. Beide Ebenen besitzen unterschiedliche wissenschaftliche Aussagen. Gerade diese Unterscheidung verhindert, dass bloße Korrelationen als Wirkungszusammenhänge interpretiert werden.</w:t>
      </w:r>
    </w:p>
    <w:p w:rsidR="00DD6BA1" w:rsidRDefault="00DD6BA1" w:rsidP="00DD6BA1">
      <w:pPr>
        <w:pStyle w:val="StandardWeb"/>
      </w:pPr>
      <w:r>
        <w:t>Eine fünfte methodische Konsequenz ergibt sich aus der Struktur des FRZK selbst. Da das System ausdrücklich relationale Zustände zulässt, muss auch Kausalität auf relationalen Strukturen formuliert werden können. Interferenzen, Rückkopplungen und Netzwerkeffekte stellen deshalb keine Sonderfälle dar, sondern gehören zum normalen Gegenstandsbereich der Theorie.</w:t>
      </w:r>
    </w:p>
    <w:p w:rsidR="00DD6BA1" w:rsidRDefault="00DD6BA1" w:rsidP="00DD6BA1">
      <w:pPr>
        <w:pStyle w:val="StandardWeb"/>
      </w:pPr>
      <w:r>
        <w:t>Damit erweitert sich der Gegenstand der Kausalanalyse erheblich. Nicht nur einzelne Variablen können Ursache oder Wirkung sein. Ebenso können Kohärenz, Drift, Entwicklungspfade oder kritische Übergänge als kausale Zielgrößen untersucht werden. Diese Erweiterung stellt eine originäre methodische Eigenleistung des FRZK dar.</w:t>
      </w:r>
    </w:p>
    <w:p w:rsidR="00DD6BA1" w:rsidRDefault="00DD6BA1" w:rsidP="00DD6BA1">
      <w:pPr>
        <w:pStyle w:val="StandardWeb"/>
      </w:pPr>
      <w:r>
        <w:t>Von besonderer Bedeutung ist außerdem die explizite Trennung verschiedener Unsicherheitsarten. Eine geringe statistische Unsicherheit garantiert keine geringe wissenschaftliche Unsicherheit. Strukturannahmen, unbeobachtete Störgrößen oder konkurrierende Kausalmodelle können den Aussagegehalt wesentlich stärker beeinflussen als numerische Schätzfehler.</w:t>
      </w:r>
    </w:p>
    <w:p w:rsidR="00DD6BA1" w:rsidRDefault="00DD6BA1" w:rsidP="00DD6BA1">
      <w:pPr>
        <w:pStyle w:val="StandardWeb"/>
      </w:pPr>
      <w:r>
        <w:t>Deshalb wird Unsicherheit im FRZK grundsätzlich mehrdimensional betrachtet.</w:t>
      </w:r>
    </w:p>
    <w:p w:rsidR="00DD6BA1" w:rsidRDefault="00DD6BA1" w:rsidP="00DD6BA1">
      <w:pPr>
        <w:pStyle w:val="StandardWeb"/>
      </w:pPr>
      <w:r>
        <w:t>Ebenso erhält Robustheit eine eigenständige methodische Funktion. Eine wissenschaftliche Aussage gewinnt nicht dadurch an Glaubwürdigkeit, dass sie unter einer einzigen Modellierung funktioniert. Vielmehr muss geprüft werden, ob sie unter plausiblen alternativen Modellannahmen erhalten bleibt. Robustheit ersetzt zwar keinen Wahrheitsbeweis, erhöht jedoch die Belastbarkeit einer Interpretation erheblich.</w:t>
      </w:r>
    </w:p>
    <w:p w:rsidR="00DD6BA1" w:rsidRDefault="00DD6BA1" w:rsidP="00DD6BA1">
      <w:pPr>
        <w:pStyle w:val="StandardWeb"/>
      </w:pPr>
      <w:r>
        <w:t>Schließlich besitzt auch die vollständige Repository-Dokumentation methodischen Charakter. Jede kausale Aussage wird zusammen mit ihren Voraussetzungen, verwendeten Daten, Modellrevisionen, Unsicherheiten und Alternativmodellen gespeichert. Dadurch wird Kausalität selbst Bestandteil der wissenschaftlichen Nachvollziehbarkeit.</w:t>
      </w:r>
    </w:p>
    <w:p w:rsidR="00DD6BA1" w:rsidRDefault="00DD6BA1" w:rsidP="00DD6BA1">
      <w:pPr>
        <w:pStyle w:val="StandardWeb"/>
      </w:pPr>
      <w:r>
        <w:t>Damit entsteht ein wesentlicher Unterschied zu klassischen Darstellungen, bei denen Kausalität häufig lediglich im Fließtext behauptet wird.</w:t>
      </w:r>
    </w:p>
    <w:p w:rsidR="00DD6BA1" w:rsidRDefault="00DD6BA1" w:rsidP="00DD6BA1">
      <w:pPr>
        <w:pStyle w:val="StandardWeb"/>
      </w:pPr>
      <w:r>
        <w:t>Das FRZK verlangt stattdessen, dass jede kausale Interpretation vollständig dokumentiert, versioniert und reproduzierbar begründet wird.</w:t>
      </w:r>
    </w:p>
    <w:p w:rsidR="00DD6BA1" w:rsidRDefault="00DD6BA1" w:rsidP="00DD6BA1">
      <w:pPr>
        <w:pStyle w:val="StandardWeb"/>
      </w:pPr>
      <w:r>
        <w:t>Der Abschnitt führt somit nicht zu einer Erweiterung der mathematischen Axiomatik, sondern zu einer Erweiterung der wissenschaftlichen Prüfbarkeit funktionaler Aussagen.</w:t>
      </w:r>
    </w:p>
    <w:p w:rsidR="00DD6BA1" w:rsidRDefault="00E50336" w:rsidP="00DD6BA1">
      <w:r>
        <w:pict>
          <v:rect id="_x0000_i1088" style="width:0;height:1.5pt" o:hralign="center" o:hrstd="t" o:hr="t" fillcolor="#a0a0a0" stroked="f"/>
        </w:pict>
      </w:r>
    </w:p>
    <w:p w:rsidR="00DD6BA1" w:rsidRDefault="00DD6BA1" w:rsidP="00DD6BA1">
      <w:pPr>
        <w:pStyle w:val="berschrift1"/>
      </w:pPr>
      <w:r>
        <w:t>Didaktische Betrachtungen zu Abschnitt 3.3.37</w:t>
      </w:r>
    </w:p>
    <w:p w:rsidR="00DD6BA1" w:rsidRDefault="00DD6BA1" w:rsidP="00DD6BA1">
      <w:pPr>
        <w:pStyle w:val="StandardWeb"/>
      </w:pPr>
      <w:r>
        <w:t>Die Frage nach Ursache und Wirkung gehört zu den intuitivsten Fragen des menschlichen Denkens. Gerade deshalb entstehen hier besonders leicht Fehlinterpretationen.</w:t>
      </w:r>
    </w:p>
    <w:p w:rsidR="00DD6BA1" w:rsidRDefault="00DD6BA1" w:rsidP="00DD6BA1">
      <w:pPr>
        <w:pStyle w:val="StandardWeb"/>
      </w:pPr>
      <w:r>
        <w:lastRenderedPageBreak/>
        <w:t>Im Alltag genügt häufig die Beobachtung, dass zwei Ereignisse regelmäßig gemeinsam auftreten. Daraus entsteht schnell die Vermutung, eines müsse das andere verursachen.</w:t>
      </w:r>
    </w:p>
    <w:p w:rsidR="00DD6BA1" w:rsidRDefault="00DD6BA1" w:rsidP="00DD6BA1">
      <w:pPr>
        <w:pStyle w:val="StandardWeb"/>
      </w:pPr>
      <w:r>
        <w:t>Genau diese Denkweise wird in Abschnitt 3.3.37 bewusst aufgelöst.</w:t>
      </w:r>
    </w:p>
    <w:p w:rsidR="00DD6BA1" w:rsidRDefault="00DD6BA1" w:rsidP="00DD6BA1">
      <w:pPr>
        <w:pStyle w:val="StandardWeb"/>
      </w:pPr>
      <w:r>
        <w:t>Ein besonders einfaches Beispiel liefert der Schatten eines Menschen.</w:t>
      </w:r>
    </w:p>
    <w:p w:rsidR="00DD6BA1" w:rsidRDefault="00DD6BA1" w:rsidP="00DD6BA1">
      <w:pPr>
        <w:pStyle w:val="StandardWeb"/>
      </w:pPr>
      <w:r>
        <w:t>Immer wenn sich eine Person bewegt, verändert sich auch ihr Schatten.</w:t>
      </w:r>
    </w:p>
    <w:p w:rsidR="00DD6BA1" w:rsidRDefault="00DD6BA1" w:rsidP="00DD6BA1">
      <w:pPr>
        <w:pStyle w:val="StandardWeb"/>
      </w:pPr>
      <w:r>
        <w:t>Formal existiert also eine sehr enge funktionale Beziehung zwischen beiden.</w:t>
      </w:r>
    </w:p>
    <w:p w:rsidR="00DD6BA1" w:rsidRDefault="00DD6BA1" w:rsidP="00DD6BA1">
      <w:pPr>
        <w:pStyle w:val="StandardWeb"/>
      </w:pPr>
      <w:r>
        <w:t>Dennoch würde niemand behaupten, der Schatten bewege den Menschen.</w:t>
      </w:r>
    </w:p>
    <w:p w:rsidR="00DD6BA1" w:rsidRDefault="00DD6BA1" w:rsidP="00DD6BA1">
      <w:pPr>
        <w:pStyle w:val="StandardWeb"/>
      </w:pPr>
      <w:r>
        <w:t>Hier wird unmittelbar verständlich, dass eine funktionale Kopplung allein noch keine Aussage über die Richtung der Ursache erlaubt.</w:t>
      </w:r>
    </w:p>
    <w:p w:rsidR="00DD6BA1" w:rsidRDefault="00DD6BA1" w:rsidP="00DD6BA1">
      <w:pPr>
        <w:pStyle w:val="StandardWeb"/>
      </w:pPr>
      <w:r>
        <w:t>Ein weiteres Beispiel ist der Wecker am Morgen.</w:t>
      </w:r>
    </w:p>
    <w:p w:rsidR="00DD6BA1" w:rsidRDefault="00DD6BA1" w:rsidP="00DD6BA1">
      <w:pPr>
        <w:pStyle w:val="StandardWeb"/>
      </w:pPr>
      <w:r>
        <w:t>Kurz nachdem der Wecker klingelt, steht eine Person auf.</w:t>
      </w:r>
    </w:p>
    <w:p w:rsidR="00DD6BA1" w:rsidRDefault="00DD6BA1" w:rsidP="00DD6BA1">
      <w:pPr>
        <w:pStyle w:val="StandardWeb"/>
      </w:pPr>
      <w:r>
        <w:t>In vielen Fällen besteht tatsächlich eine kausale Beziehung.</w:t>
      </w:r>
    </w:p>
    <w:p w:rsidR="00DD6BA1" w:rsidRDefault="00DD6BA1" w:rsidP="00DD6BA1">
      <w:pPr>
        <w:pStyle w:val="StandardWeb"/>
      </w:pPr>
      <w:r>
        <w:t>Beobachtet man dieselbe zeitliche Reihenfolge jedoch nur an einem einzelnen Tag, könnte ebenso gut ein anderer Grund zum Aufstehen geführt haben.</w:t>
      </w:r>
    </w:p>
    <w:p w:rsidR="00DD6BA1" w:rsidRDefault="00DD6BA1" w:rsidP="00DD6BA1">
      <w:pPr>
        <w:pStyle w:val="StandardWeb"/>
      </w:pPr>
      <w:r>
        <w:t>Zeitliche Reihenfolge allein liefert daher lediglich eine notwendige Orientierung, aber keinen vollständigen Kausalnachweis.</w:t>
      </w:r>
    </w:p>
    <w:p w:rsidR="00DD6BA1" w:rsidRDefault="00DD6BA1" w:rsidP="00DD6BA1">
      <w:pPr>
        <w:pStyle w:val="StandardWeb"/>
      </w:pPr>
      <w:r>
        <w:t>Noch anschaulicher wird dieser Unterschied beim Thermometer.</w:t>
      </w:r>
    </w:p>
    <w:p w:rsidR="00DD6BA1" w:rsidRDefault="00DD6BA1" w:rsidP="00DD6BA1">
      <w:pPr>
        <w:pStyle w:val="StandardWeb"/>
      </w:pPr>
      <w:r>
        <w:t>Steigt die Außentemperatur, steigt gleichzeitig die Anzeige des Thermometers.</w:t>
      </w:r>
    </w:p>
    <w:p w:rsidR="00DD6BA1" w:rsidRDefault="00DD6BA1" w:rsidP="00DD6BA1">
      <w:pPr>
        <w:pStyle w:val="StandardWeb"/>
      </w:pPr>
      <w:r>
        <w:t>Niemand würde daraus schließen, dass das Thermometer die Außentemperatur erzeugt.</w:t>
      </w:r>
    </w:p>
    <w:p w:rsidR="00DD6BA1" w:rsidRDefault="00DD6BA1" w:rsidP="00DD6BA1">
      <w:pPr>
        <w:pStyle w:val="StandardWeb"/>
      </w:pPr>
      <w:r>
        <w:t>Beide Größen stehen funktional miteinander in Beziehung, die eigentliche Ursache liegt jedoch außerhalb des Messgeräts.</w:t>
      </w:r>
    </w:p>
    <w:p w:rsidR="00DD6BA1" w:rsidRDefault="00DD6BA1" w:rsidP="00DD6BA1">
      <w:pPr>
        <w:pStyle w:val="StandardWeb"/>
      </w:pPr>
      <w:r>
        <w:t>Dieses Beispiel verdeutlicht die Bedeutung gemeinsamer Ursachen und Messprozesse innerhalb wissenschaftlicher Modelle.</w:t>
      </w:r>
    </w:p>
    <w:p w:rsidR="00DD6BA1" w:rsidRDefault="00DD6BA1" w:rsidP="00DD6BA1">
      <w:pPr>
        <w:pStyle w:val="StandardWeb"/>
      </w:pPr>
      <w:r>
        <w:t>Auch kontrafaktische Aussagen lassen sich leicht verstehen.</w:t>
      </w:r>
    </w:p>
    <w:p w:rsidR="00DD6BA1" w:rsidRDefault="00DD6BA1" w:rsidP="00DD6BA1">
      <w:pPr>
        <w:pStyle w:val="StandardWeb"/>
      </w:pPr>
      <w:r>
        <w:t>Nach einer Klassenarbeit könnte man fragen:</w:t>
      </w:r>
    </w:p>
    <w:p w:rsidR="00DD6BA1" w:rsidRDefault="00DD6BA1" w:rsidP="00DD6BA1">
      <w:pPr>
        <w:pStyle w:val="StandardWeb"/>
      </w:pPr>
      <w:r>
        <w:rPr>
          <w:rStyle w:val="Hervorhebung"/>
        </w:rPr>
        <w:t>"Welche Note hätte dieselbe Schülerin erhalten, wenn sie am Vortag zusätzlich gelernt hätte?"</w:t>
      </w:r>
    </w:p>
    <w:p w:rsidR="00DD6BA1" w:rsidRDefault="00DD6BA1" w:rsidP="00DD6BA1">
      <w:pPr>
        <w:pStyle w:val="StandardWeb"/>
      </w:pPr>
      <w:r>
        <w:t>Diese alternative Situation existiert jedoch nicht gleichzeitig mit der tatsächlich beobachteten Realität.</w:t>
      </w:r>
    </w:p>
    <w:p w:rsidR="00DD6BA1" w:rsidRDefault="00DD6BA1" w:rsidP="00DD6BA1">
      <w:pPr>
        <w:pStyle w:val="StandardWeb"/>
      </w:pPr>
      <w:r>
        <w:t>Gerade deshalb benötigen kontrafaktische Überlegungen zusätzliche Modellannahmen.</w:t>
      </w:r>
    </w:p>
    <w:p w:rsidR="00DD6BA1" w:rsidRDefault="00DD6BA1" w:rsidP="00DD6BA1">
      <w:pPr>
        <w:pStyle w:val="StandardWeb"/>
      </w:pPr>
      <w:r>
        <w:lastRenderedPageBreak/>
        <w:t xml:space="preserve">Ein besonders wichtiger didaktischer Schritt besteht darin, den Unterschied zwischen </w:t>
      </w:r>
      <w:r>
        <w:rPr>
          <w:rStyle w:val="Fett"/>
        </w:rPr>
        <w:t>Beobachtung</w:t>
      </w:r>
      <w:r>
        <w:t xml:space="preserve"> und </w:t>
      </w:r>
      <w:r>
        <w:rPr>
          <w:rStyle w:val="Fett"/>
        </w:rPr>
        <w:t>Intervention</w:t>
      </w:r>
      <w:r>
        <w:t xml:space="preserve"> sprachlich sauber zu unterscheiden.</w:t>
      </w:r>
    </w:p>
    <w:p w:rsidR="00DD6BA1" w:rsidRDefault="00DD6BA1" w:rsidP="00DD6BA1">
      <w:pPr>
        <w:pStyle w:val="StandardWeb"/>
      </w:pPr>
      <w:r>
        <w:t>Die Aussage</w:t>
      </w:r>
    </w:p>
    <w:p w:rsidR="00DD6BA1" w:rsidRDefault="00DD6BA1" w:rsidP="00DD6BA1">
      <w:pPr>
        <w:pStyle w:val="StandardWeb"/>
      </w:pPr>
      <w:r>
        <w:rPr>
          <w:rStyle w:val="Hervorhebung"/>
        </w:rPr>
        <w:t>"Schüler mit längerer Lernzeit schreiben häufig bessere Klausuren."</w:t>
      </w:r>
    </w:p>
    <w:p w:rsidR="00DD6BA1" w:rsidRDefault="00DD6BA1" w:rsidP="00DD6BA1">
      <w:pPr>
        <w:pStyle w:val="StandardWeb"/>
      </w:pPr>
      <w:r>
        <w:t>ist zunächst lediglich eine Beobachtung.</w:t>
      </w:r>
    </w:p>
    <w:p w:rsidR="00DD6BA1" w:rsidRDefault="00DD6BA1" w:rsidP="00DD6BA1">
      <w:pPr>
        <w:pStyle w:val="StandardWeb"/>
      </w:pPr>
      <w:r>
        <w:t>Die Aussage</w:t>
      </w:r>
    </w:p>
    <w:p w:rsidR="00DD6BA1" w:rsidRDefault="00DD6BA1" w:rsidP="00DD6BA1">
      <w:pPr>
        <w:pStyle w:val="StandardWeb"/>
      </w:pPr>
      <w:r>
        <w:rPr>
          <w:rStyle w:val="Hervorhebung"/>
        </w:rPr>
        <w:t>"Wenn dieselben Schüler gezielt länger lernen würden, verbesserten sich ihre Leistungen."</w:t>
      </w:r>
    </w:p>
    <w:p w:rsidR="00DD6BA1" w:rsidRDefault="00DD6BA1" w:rsidP="00DD6BA1">
      <w:pPr>
        <w:pStyle w:val="StandardWeb"/>
      </w:pPr>
      <w:r>
        <w:t>ist dagegen bereits eine kausale Behauptung.</w:t>
      </w:r>
    </w:p>
    <w:p w:rsidR="00DD6BA1" w:rsidRDefault="00DD6BA1" w:rsidP="00DD6BA1">
      <w:pPr>
        <w:pStyle w:val="StandardWeb"/>
      </w:pPr>
      <w:r>
        <w:t>Zwischen beiden Aussagen liegt der gesamte methodische Inhalt dieses Abschnitts.</w:t>
      </w:r>
    </w:p>
    <w:p w:rsidR="00DD6BA1" w:rsidRDefault="00DD6BA1" w:rsidP="00DD6BA1">
      <w:pPr>
        <w:pStyle w:val="StandardWeb"/>
      </w:pPr>
      <w:r>
        <w:t>Ebenso wichtig ist das Verständnis von Interferenz.</w:t>
      </w:r>
    </w:p>
    <w:p w:rsidR="00DD6BA1" w:rsidRDefault="00DD6BA1" w:rsidP="00DD6BA1">
      <w:pPr>
        <w:pStyle w:val="StandardWeb"/>
      </w:pPr>
      <w:r>
        <w:t>In einer Lerngruppe genügt häufig bereits eine gute Frage eines einzelnen Teilnehmers, um das Verständnis der gesamten Gruppe zu verändern.</w:t>
      </w:r>
    </w:p>
    <w:p w:rsidR="00DD6BA1" w:rsidRDefault="00DD6BA1" w:rsidP="00DD6BA1">
      <w:pPr>
        <w:pStyle w:val="StandardWeb"/>
      </w:pPr>
      <w:r>
        <w:t>Der Lernerfolg eines Teilnehmers hängt dann nicht ausschließlich von seinem eigenen Verhalten ab.</w:t>
      </w:r>
    </w:p>
    <w:p w:rsidR="00DD6BA1" w:rsidRDefault="00DD6BA1" w:rsidP="00DD6BA1">
      <w:pPr>
        <w:pStyle w:val="StandardWeb"/>
      </w:pPr>
      <w:r>
        <w:t>Gerade solche Situationen treten in Nachhilfegruppen oder Unterricht häufig auf.</w:t>
      </w:r>
    </w:p>
    <w:p w:rsidR="00DD6BA1" w:rsidRDefault="00DD6BA1" w:rsidP="00DD6BA1">
      <w:pPr>
        <w:pStyle w:val="StandardWeb"/>
      </w:pPr>
      <w:r>
        <w:t>Das FRZK kann diese Wechselwirkungen ausdrücklich modellieren.</w:t>
      </w:r>
    </w:p>
    <w:p w:rsidR="00DD6BA1" w:rsidRDefault="00DD6BA1" w:rsidP="00DD6BA1">
      <w:pPr>
        <w:pStyle w:val="StandardWeb"/>
      </w:pPr>
      <w:r>
        <w:t>Damit unterscheidet sich die Theorie deutlich von vielen klassischen Verfahren, welche voneinander unabhängige Beobachtungseinheiten voraussetzen.</w:t>
      </w:r>
    </w:p>
    <w:p w:rsidR="00DD6BA1" w:rsidRDefault="00DD6BA1" w:rsidP="00DD6BA1">
      <w:pPr>
        <w:pStyle w:val="StandardWeb"/>
      </w:pPr>
      <w:r>
        <w:t>Auch die Einführung von Kohärenz als möglicher Zielgröße besitzt eine hohe didaktische Bedeutung.</w:t>
      </w:r>
    </w:p>
    <w:p w:rsidR="00DD6BA1" w:rsidRDefault="00DD6BA1" w:rsidP="00DD6BA1">
      <w:pPr>
        <w:pStyle w:val="StandardWeb"/>
      </w:pPr>
      <w:r>
        <w:t>Nicht immer interessiert ausschließlich die Veränderung einzelner Variablen.</w:t>
      </w:r>
    </w:p>
    <w:p w:rsidR="00DD6BA1" w:rsidRDefault="00DD6BA1" w:rsidP="00DD6BA1">
      <w:pPr>
        <w:pStyle w:val="StandardWeb"/>
      </w:pPr>
      <w:r>
        <w:t>Häufig lautet die eigentliche wissenschaftliche Frage vielmehr:</w:t>
      </w:r>
    </w:p>
    <w:p w:rsidR="00DD6BA1" w:rsidRDefault="00DD6BA1" w:rsidP="00DD6BA1">
      <w:pPr>
        <w:pStyle w:val="StandardWeb"/>
      </w:pPr>
      <w:r>
        <w:rPr>
          <w:rStyle w:val="Hervorhebung"/>
        </w:rPr>
        <w:t>"Hat sich die Stabilität oder Organisation des gesamten Systems verändert?"</w:t>
      </w:r>
    </w:p>
    <w:p w:rsidR="00DD6BA1" w:rsidRDefault="00DD6BA1" w:rsidP="00DD6BA1">
      <w:pPr>
        <w:pStyle w:val="StandardWeb"/>
      </w:pPr>
      <w:r>
        <w:t>Diese Sichtweise entspricht wesentlich stärker komplexen biologischen, technischen oder sozialen Systemen.</w:t>
      </w:r>
    </w:p>
    <w:p w:rsidR="00DD6BA1" w:rsidRDefault="00DD6BA1" w:rsidP="00DD6BA1">
      <w:pPr>
        <w:pStyle w:val="StandardWeb"/>
      </w:pPr>
      <w:r>
        <w:t>Didaktisch hilfreich ist schließlich die konsequente sprachliche Abstufung der Aussagekraft.</w:t>
      </w:r>
    </w:p>
    <w:p w:rsidR="00DD6BA1" w:rsidRDefault="00DD6BA1" w:rsidP="00DD6BA1">
      <w:pPr>
        <w:pStyle w:val="StandardWeb"/>
      </w:pPr>
      <w:r>
        <w:t>Im weiteren Verlauf der Dissertation sollte daher konsequent unterschieden werden zwischen</w:t>
      </w:r>
    </w:p>
    <w:p w:rsidR="00DD6BA1" w:rsidRDefault="00DD6BA1" w:rsidP="008C5E65">
      <w:pPr>
        <w:pStyle w:val="StandardWeb"/>
        <w:numPr>
          <w:ilvl w:val="0"/>
          <w:numId w:val="282"/>
        </w:numPr>
      </w:pPr>
      <w:r>
        <w:rPr>
          <w:rStyle w:val="Fett"/>
        </w:rPr>
        <w:t>funktional verbunden,</w:t>
      </w:r>
    </w:p>
    <w:p w:rsidR="00DD6BA1" w:rsidRDefault="00DD6BA1" w:rsidP="008C5E65">
      <w:pPr>
        <w:pStyle w:val="StandardWeb"/>
        <w:numPr>
          <w:ilvl w:val="0"/>
          <w:numId w:val="282"/>
        </w:numPr>
      </w:pPr>
      <w:r>
        <w:rPr>
          <w:rStyle w:val="Fett"/>
        </w:rPr>
        <w:t>funktional erklärbar,</w:t>
      </w:r>
    </w:p>
    <w:p w:rsidR="00DD6BA1" w:rsidRDefault="00DD6BA1" w:rsidP="008C5E65">
      <w:pPr>
        <w:pStyle w:val="StandardWeb"/>
        <w:numPr>
          <w:ilvl w:val="0"/>
          <w:numId w:val="282"/>
        </w:numPr>
      </w:pPr>
      <w:r>
        <w:rPr>
          <w:rStyle w:val="Fett"/>
        </w:rPr>
        <w:t>kausal kompatibel,</w:t>
      </w:r>
    </w:p>
    <w:p w:rsidR="00DD6BA1" w:rsidRDefault="00DD6BA1" w:rsidP="008C5E65">
      <w:pPr>
        <w:pStyle w:val="StandardWeb"/>
        <w:numPr>
          <w:ilvl w:val="0"/>
          <w:numId w:val="282"/>
        </w:numPr>
      </w:pPr>
      <w:r>
        <w:rPr>
          <w:rStyle w:val="Fett"/>
        </w:rPr>
        <w:lastRenderedPageBreak/>
        <w:t>kausal gestützt,</w:t>
      </w:r>
    </w:p>
    <w:p w:rsidR="00DD6BA1" w:rsidRDefault="00DD6BA1" w:rsidP="008C5E65">
      <w:pPr>
        <w:pStyle w:val="StandardWeb"/>
        <w:numPr>
          <w:ilvl w:val="0"/>
          <w:numId w:val="282"/>
        </w:numPr>
      </w:pPr>
      <w:r>
        <w:rPr>
          <w:rStyle w:val="Fett"/>
        </w:rPr>
        <w:t>interventionell gestützt.</w:t>
      </w:r>
    </w:p>
    <w:p w:rsidR="00DD6BA1" w:rsidRDefault="00DD6BA1" w:rsidP="00DD6BA1">
      <w:pPr>
        <w:pStyle w:val="StandardWeb"/>
      </w:pPr>
      <w:r>
        <w:t>Diese Begriffe beschreiben bewusst unterschiedliche Evidenzstufen.</w:t>
      </w:r>
    </w:p>
    <w:p w:rsidR="00DD6BA1" w:rsidRDefault="00DD6BA1" w:rsidP="00DD6BA1">
      <w:pPr>
        <w:pStyle w:val="StandardWeb"/>
      </w:pPr>
      <w:r>
        <w:t>Dadurch wird verhindert, dass beim Lesen unbemerkt stärkere Aussagen verstanden werden, als tatsächlich wissenschaftlich begründet sind.</w:t>
      </w:r>
    </w:p>
    <w:p w:rsidR="00DD6BA1" w:rsidRDefault="00DD6BA1" w:rsidP="00DD6BA1">
      <w:pPr>
        <w:pStyle w:val="StandardWeb"/>
      </w:pPr>
      <w:r>
        <w:t>Der wichtigste didaktische Merksatz dieses Abschnitts lautet daher:</w:t>
      </w:r>
    </w:p>
    <w:p w:rsidR="00DD6BA1" w:rsidRDefault="00DD6BA1" w:rsidP="00DD6BA1">
      <w:pPr>
        <w:pStyle w:val="StandardWeb"/>
      </w:pPr>
      <w:r>
        <w:rPr>
          <w:rStyle w:val="Fett"/>
        </w:rPr>
        <w:t>Nicht jede Beziehung ist eine Ursache.</w:t>
      </w:r>
    </w:p>
    <w:p w:rsidR="00DD6BA1" w:rsidRDefault="00DD6BA1" w:rsidP="00DD6BA1">
      <w:pPr>
        <w:pStyle w:val="StandardWeb"/>
      </w:pPr>
      <w:r>
        <w:rPr>
          <w:rStyle w:val="Fett"/>
        </w:rPr>
        <w:t>Nicht jede Richtung ist eine Wirkung.</w:t>
      </w:r>
    </w:p>
    <w:p w:rsidR="00DD6BA1" w:rsidRDefault="00DD6BA1" w:rsidP="00DD6BA1">
      <w:pPr>
        <w:pStyle w:val="StandardWeb"/>
      </w:pPr>
      <w:r>
        <w:rPr>
          <w:rStyle w:val="Fett"/>
        </w:rPr>
        <w:t>Nicht jede Erklärung ist kausal.</w:t>
      </w:r>
    </w:p>
    <w:p w:rsidR="00DD6BA1" w:rsidRDefault="00DD6BA1" w:rsidP="00DD6BA1">
      <w:pPr>
        <w:pStyle w:val="StandardWeb"/>
      </w:pPr>
      <w:r>
        <w:rPr>
          <w:rStyle w:val="Fett"/>
        </w:rPr>
        <w:t>Kausalität beginnt erst dort, wo funktionale Zusammenhänge durch zusätzliche wissenschaftliche Voraussetzungen begründet werden können.</w:t>
      </w:r>
    </w:p>
    <w:p w:rsidR="00DD6BA1" w:rsidRDefault="00DD6BA1" w:rsidP="00DD6BA1">
      <w:pPr>
        <w:pStyle w:val="StandardWeb"/>
      </w:pPr>
      <w:r>
        <w:t>Gerade diese konsequente Trennung bildet die Grundlage für alle späteren empirischen Anwendungen des FRZK und stellt sicher, dass mathematische Modellierung und wissenschaftliche Interpretation jederzeit sauber voneinander unterschieden bleiben.</w:t>
      </w:r>
    </w:p>
    <w:p w:rsidR="00C32603" w:rsidRDefault="00C32603" w:rsidP="00C32603">
      <w:pPr>
        <w:pStyle w:val="StandardWeb"/>
        <w:rPr>
          <w:rFonts w:cs="Times New Roman"/>
          <w:bCs w:val="0"/>
        </w:rPr>
      </w:pPr>
      <w:r>
        <w:t xml:space="preserve">Gern. Ich beginne </w:t>
      </w:r>
      <w:r>
        <w:rPr>
          <w:rStyle w:val="Fett"/>
        </w:rPr>
        <w:t>3.3.38</w:t>
      </w:r>
      <w:r>
        <w:t xml:space="preserve"> sauber neu und orientiere mich an den inzwischen verbindlichen Vorgaben (Ich-Form, wissenschaftlicher Stil, Eigenleistung explizit, keine vorschnellen neuen Axiome, methodischer Aufbau).</w:t>
      </w:r>
    </w:p>
    <w:p w:rsidR="00C32603" w:rsidRDefault="00E50336" w:rsidP="00C32603">
      <w:r>
        <w:pict>
          <v:rect id="_x0000_i1089" style="width:0;height:1.5pt" o:hralign="center" o:hrstd="t" o:hr="t" fillcolor="#a0a0a0" stroked="f"/>
        </w:pict>
      </w:r>
    </w:p>
    <w:p w:rsidR="00C32603" w:rsidRDefault="00C32603" w:rsidP="00C32603">
      <w:pPr>
        <w:pStyle w:val="berschrift1"/>
      </w:pPr>
      <w:r>
        <w:t>3.3.38 Übertragbarkeit funktionaler Aussagen</w:t>
      </w:r>
    </w:p>
    <w:p w:rsidR="00C32603" w:rsidRDefault="00C32603" w:rsidP="00C32603">
      <w:pPr>
        <w:pStyle w:val="StandardWeb"/>
      </w:pPr>
      <w:r>
        <w:t xml:space="preserve">Mit den vorhergehenden Abschnitten habe ich die Voraussetzungen entwickelt, unter denen funktionale Zusammenhänge innerhalb eines konkreten Systems beschrieben, erklärt und unter zusätzlichen Bedingungen sogar kausal interpretiert werden können. Eine wesentliche wissenschaftliche Frage bleibt jedoch bislang offen: </w:t>
      </w:r>
      <w:r>
        <w:rPr>
          <w:rStyle w:val="Fett"/>
        </w:rPr>
        <w:t>Unter welchen Bedingungen darf eine innerhalb eines Systems gewonnene Aussage auf andere Systeme übertragen werden?</w:t>
      </w:r>
    </w:p>
    <w:p w:rsidR="00C32603" w:rsidRDefault="00C32603" w:rsidP="00C32603">
      <w:pPr>
        <w:pStyle w:val="StandardWeb"/>
      </w:pPr>
      <w:r>
        <w:t>Diese Frage betrifft nicht die innere Konsistenz eines Modells, sondern seine Gültigkeit außerhalb des ursprünglichen Untersuchungsbereichs. Gerade in den Naturwissenschaften, Ingenieurwissenschaften und Sozialwissenschaften besteht häufig die Versuchung, Ergebnisse eines Experiments unmittelbar zu verallgemeinern. Eine erfolgreiche Beschreibung eines Einzelfalls beweist jedoch nicht automatisch ihre Gültigkeit für andere Randbedingungen. [58, 59]</w:t>
      </w:r>
    </w:p>
    <w:p w:rsidR="00C32603" w:rsidRDefault="00C32603" w:rsidP="00C32603">
      <w:pPr>
        <w:pStyle w:val="StandardWeb"/>
      </w:pPr>
      <w:r>
        <w:t>Das Funktionale Raum-Zeit-Kohärenzsystem benötigt deshalb einen eigenen wissenschaftlichen Rahmen, mit dem sich die Übertragbarkeit funktionaler Aussagen systematisch beurteilen lässt. Dabei geht es nicht darum, Aussagen beliebig zu verallgemeinern, sondern die Voraussetzungen einer zulässigen Übertragung explizit zu dokumentieren.</w:t>
      </w:r>
    </w:p>
    <w:p w:rsidR="00C32603" w:rsidRDefault="00C32603" w:rsidP="00C32603">
      <w:pPr>
        <w:pStyle w:val="StandardWeb"/>
      </w:pPr>
      <w:r>
        <w:t>Ich unterscheide deshalb zwischen drei wissenschaftlich unterschiedlichen Ebenen:</w:t>
      </w:r>
    </w:p>
    <w:p w:rsidR="00C32603" w:rsidRDefault="00C32603" w:rsidP="008C5E65">
      <w:pPr>
        <w:pStyle w:val="StandardWeb"/>
        <w:numPr>
          <w:ilvl w:val="0"/>
          <w:numId w:val="283"/>
        </w:numPr>
      </w:pPr>
      <w:r>
        <w:rPr>
          <w:rStyle w:val="Fett"/>
        </w:rPr>
        <w:lastRenderedPageBreak/>
        <w:t>lokaler Gültigkeit</w:t>
      </w:r>
      <w:r>
        <w:t>, bei der eine Aussage ausschließlich innerhalb des ursprünglich betrachteten Systems gilt,</w:t>
      </w:r>
    </w:p>
    <w:p w:rsidR="00C32603" w:rsidRDefault="00C32603" w:rsidP="008C5E65">
      <w:pPr>
        <w:pStyle w:val="StandardWeb"/>
        <w:numPr>
          <w:ilvl w:val="0"/>
          <w:numId w:val="283"/>
        </w:numPr>
      </w:pPr>
      <w:r>
        <w:rPr>
          <w:rStyle w:val="Fett"/>
        </w:rPr>
        <w:t>übertragbarer Gültigkeit</w:t>
      </w:r>
      <w:r>
        <w:t>, bei der dieselbe Aussage unter dokumentierten Zusatzbedingungen auf weitere Systeme angewendet werden kann,</w:t>
      </w:r>
    </w:p>
    <w:p w:rsidR="00C32603" w:rsidRDefault="00C32603" w:rsidP="008C5E65">
      <w:pPr>
        <w:pStyle w:val="StandardWeb"/>
        <w:numPr>
          <w:ilvl w:val="0"/>
          <w:numId w:val="283"/>
        </w:numPr>
      </w:pPr>
      <w:r>
        <w:rPr>
          <w:rStyle w:val="Fett"/>
        </w:rPr>
        <w:t>universeller Gültigkeit</w:t>
      </w:r>
      <w:r>
        <w:t>, bei der eine Aussage unabhängig vom betrachteten System Bestand besitzt.</w:t>
      </w:r>
    </w:p>
    <w:p w:rsidR="00C32603" w:rsidRDefault="00C32603" w:rsidP="00C32603">
      <w:pPr>
        <w:pStyle w:val="StandardWeb"/>
      </w:pPr>
      <w:r>
        <w:t>Bereits diese Unterscheidung zeigt, dass Generalisierung selbst kein mathematischer Schritt ist. Sie stellt vielmehr einen eigenständigen wissenschaftlichen Bewertungsprozess dar.</w:t>
      </w:r>
    </w:p>
    <w:p w:rsidR="00C32603" w:rsidRDefault="00C32603" w:rsidP="00C32603">
      <w:pPr>
        <w:pStyle w:val="StandardWeb"/>
      </w:pPr>
      <w:r>
        <w:t>Für das FRZK bedeutet dies insbesondere, dass nicht allein Zustände oder Transformationen übertragen werden, sondern vollständige funktionale Zusammenhänge einschließlich ihrer Voraussetzungen.</w:t>
      </w:r>
    </w:p>
    <w:p w:rsidR="00C32603" w:rsidRDefault="00E50336" w:rsidP="00C32603">
      <w:r>
        <w:pict>
          <v:rect id="_x0000_i1090" style="width:0;height:1.5pt" o:hralign="center" o:hrstd="t" o:hr="t" fillcolor="#a0a0a0" stroked="f"/>
        </w:pict>
      </w:r>
    </w:p>
    <w:p w:rsidR="00C32603" w:rsidRDefault="00C32603" w:rsidP="00C32603">
      <w:pPr>
        <w:pStyle w:val="berschrift2"/>
      </w:pPr>
      <w:r>
        <w:t>3.3.38.1 Motivation der Übertragbarkeit</w:t>
      </w:r>
    </w:p>
    <w:p w:rsidR="00C32603" w:rsidRDefault="00C32603" w:rsidP="00C32603">
      <w:pPr>
        <w:pStyle w:val="StandardWeb"/>
      </w:pPr>
      <w:r>
        <w:t>Nahezu jede wissenschaftliche Theorie verfolgt das Ziel, Aussagen nicht nur für einen einzelnen Spezialfall, sondern für Klassen vergleichbarer Systeme nutzbar zu machen. Ohne eine solche Möglichkeit wäre wissenschaftliche Erkenntnis auf Einzelfallbeschreibungen beschränkt.</w:t>
      </w:r>
    </w:p>
    <w:p w:rsidR="00C32603" w:rsidRDefault="00C32603" w:rsidP="00C32603">
      <w:pPr>
        <w:pStyle w:val="StandardWeb"/>
      </w:pPr>
      <w:r>
        <w:t>Gleichzeitig zeigt die Wissenschaftsgeschichte zahlreiche Beispiele dafür, dass vorschnelle Generalisierungen zu fehlerhaften Schlussfolgerungen führen können. Unterschiede in den Randbedingungen, unbeachtete Einflussgrößen oder veränderte Wechselwirkungen können dazu führen, dass eine zuvor gültige Aussage außerhalb ihres ursprünglichen Anwendungsbereichs ihre Gültigkeit verliert.</w:t>
      </w:r>
    </w:p>
    <w:p w:rsidR="00C32603" w:rsidRDefault="00C32603" w:rsidP="00C32603">
      <w:pPr>
        <w:pStyle w:val="StandardWeb"/>
      </w:pPr>
      <w:r>
        <w:t>Aus diesem Grund betrachte ich die Übertragbarkeit nicht als selbstverständliche Eigenschaft einer Aussage, sondern als eigenständiges wissenschaftliches Untersuchungsobjekt.</w:t>
      </w:r>
    </w:p>
    <w:p w:rsidR="00C32603" w:rsidRDefault="00C32603" w:rsidP="00C32603">
      <w:pPr>
        <w:pStyle w:val="StandardWeb"/>
      </w:pPr>
      <w:r>
        <w:t xml:space="preserve">Im FRZK besitzt jede funktionale Aussage daher zunächst ausschließlich </w:t>
      </w:r>
      <w:r>
        <w:rPr>
          <w:rStyle w:val="Fett"/>
        </w:rPr>
        <w:t>lokale Gültigkeit</w:t>
      </w:r>
      <w:r>
        <w:t>. Erst eine gesonderte Analyse kann zeigen, ob eine Übertragung gerechtfertigt ist.</w:t>
      </w:r>
    </w:p>
    <w:p w:rsidR="00C32603" w:rsidRDefault="00C32603" w:rsidP="00C32603">
      <w:pPr>
        <w:pStyle w:val="StandardWeb"/>
      </w:pPr>
      <w:r>
        <w:t>Diese Vorgehensweise verhindert, dass mathematische Modelle unbemerkt über ihren tatsächlichen Gültigkeitsbereich hinaus verwendet werden.</w:t>
      </w:r>
    </w:p>
    <w:p w:rsidR="00C32603" w:rsidRDefault="00E50336" w:rsidP="00C32603">
      <w:r>
        <w:pict>
          <v:rect id="_x0000_i1091" style="width:0;height:1.5pt" o:hralign="center" o:hrstd="t" o:hr="t" fillcolor="#a0a0a0" stroked="f"/>
        </w:pict>
      </w:r>
    </w:p>
    <w:p w:rsidR="00C32603" w:rsidRDefault="00C32603" w:rsidP="00C32603">
      <w:pPr>
        <w:pStyle w:val="berschrift2"/>
      </w:pPr>
      <w:r>
        <w:t>Eigenleistung des FRZK</w:t>
      </w:r>
    </w:p>
    <w:p w:rsidR="00C32603" w:rsidRDefault="00C32603" w:rsidP="00C32603">
      <w:pPr>
        <w:pStyle w:val="StandardWeb"/>
      </w:pPr>
      <w:r>
        <w:t xml:space="preserve">Ich führe die </w:t>
      </w:r>
      <w:r>
        <w:rPr>
          <w:rStyle w:val="Fett"/>
        </w:rPr>
        <w:t>Übertragbarkeit funktionaler Aussagen</w:t>
      </w:r>
      <w:r>
        <w:t xml:space="preserve"> als eigenständigen wissenschaftlichen Prüfgegenstand ein. Generalisierung wird nicht mehr als implizite Folge einer erfolgreichen Modellierung verstanden, sondern als dokumentierter Bewertungsprozess mit expliziten Voraussetzungen, nachvollziehbaren Kriterien und überprüfbaren Grenzen.</w:t>
      </w:r>
    </w:p>
    <w:p w:rsidR="00C32603" w:rsidRDefault="00C32603" w:rsidP="00C32603">
      <w:pPr>
        <w:pStyle w:val="StandardWeb"/>
      </w:pPr>
      <w:r>
        <w:t>Damit wird die Frage</w:t>
      </w:r>
    </w:p>
    <w:p w:rsidR="00C32603" w:rsidRDefault="00C32603" w:rsidP="00C32603">
      <w:pPr>
        <w:pStyle w:val="StandardWeb"/>
      </w:pPr>
      <w:r>
        <w:rPr>
          <w:rStyle w:val="Hervorhebung"/>
        </w:rPr>
        <w:t>„Gilt dieses Ergebnis auch außerhalb des untersuchten Systems?“</w:t>
      </w:r>
    </w:p>
    <w:p w:rsidR="00C32603" w:rsidRDefault="00C32603" w:rsidP="00C32603">
      <w:pPr>
        <w:pStyle w:val="StandardWeb"/>
      </w:pPr>
      <w:r>
        <w:lastRenderedPageBreak/>
        <w:t>zu einem eigenständigen Bestandteil der wissenschaftlichen Methodik des FRZK und nicht lediglich zu einer verbalen Interpretation am Ende einer Untersuchung.</w:t>
      </w:r>
    </w:p>
    <w:p w:rsidR="00C32603" w:rsidRDefault="00E50336" w:rsidP="00C32603">
      <w:r>
        <w:pict>
          <v:rect id="_x0000_i1092" style="width:0;height:1.5pt" o:hralign="center" o:hrstd="t" o:hr="t" fillcolor="#a0a0a0" stroked="f"/>
        </w:pict>
      </w:r>
    </w:p>
    <w:p w:rsidR="00C32603" w:rsidRDefault="00C32603" w:rsidP="00C32603">
      <w:pPr>
        <w:pStyle w:val="StandardWeb"/>
      </w:pPr>
      <w:r>
        <w:rPr>
          <w:rStyle w:val="Hervorhebung"/>
        </w:rPr>
        <w:t xml:space="preserve">(Fortsetzung mit </w:t>
      </w:r>
      <w:r>
        <w:rPr>
          <w:rStyle w:val="Fett"/>
          <w:i/>
          <w:iCs/>
        </w:rPr>
        <w:t>3.3.38.2 Lokale Gültigkeit funktionaler Aussagen</w:t>
      </w:r>
      <w:r>
        <w:rPr>
          <w:rStyle w:val="Hervorhebung"/>
        </w:rPr>
        <w:t>.)</w:t>
      </w:r>
    </w:p>
    <w:p w:rsidR="00C32603" w:rsidRDefault="00C32603" w:rsidP="00C32603">
      <w:pPr>
        <w:pStyle w:val="berschrift2"/>
        <w:rPr>
          <w:rFonts w:cs="Times New Roman"/>
        </w:rPr>
      </w:pPr>
      <w:r>
        <w:t>3.3.38.2 Lokale Gültigkeit funktionaler Aussagen</w:t>
      </w:r>
    </w:p>
    <w:p w:rsidR="00C32603" w:rsidRDefault="00C32603" w:rsidP="00C32603">
      <w:pPr>
        <w:pStyle w:val="StandardWeb"/>
      </w:pPr>
      <w:r>
        <w:t xml:space="preserve">Bevor eine funktionale Aussage auf andere Systeme übertragen werden kann, muss zunächst eindeutig festgelegt werden, </w:t>
      </w:r>
      <w:r>
        <w:rPr>
          <w:rStyle w:val="Fett"/>
        </w:rPr>
        <w:t>für welchen Bereich sie überhaupt ursprünglich gilt</w:t>
      </w:r>
      <w:r>
        <w:t xml:space="preserve">. Diese ursprüngliche Gültigkeit bezeichne ich als </w:t>
      </w:r>
      <w:r>
        <w:rPr>
          <w:rStyle w:val="Fett"/>
        </w:rPr>
        <w:t>lokale Gültigkeit</w:t>
      </w:r>
      <w:r>
        <w:t>.</w:t>
      </w:r>
    </w:p>
    <w:p w:rsidR="00C32603" w:rsidRDefault="00C32603" w:rsidP="00C32603">
      <w:pPr>
        <w:pStyle w:val="StandardWeb"/>
      </w:pPr>
      <w:r>
        <w:t>Lokale Gültigkeit bedeutet, dass sämtliche mathematischen Beziehungen, Definitionen und empirischen Aussagen ausschließlich innerhalb eines genau beschriebenen funktionalen Systems gelten. Dieses System besitzt einen eindeutig definierten Zustandsraum, eine bestimmte Relationenstruktur, festgelegte Transformationen sowie dokumentierte Randbedingungen. [58, 59]</w:t>
      </w:r>
    </w:p>
    <w:p w:rsidR="00C32603" w:rsidRDefault="00C32603" w:rsidP="00C32603">
      <w:pPr>
        <w:pStyle w:val="StandardWeb"/>
      </w:pPr>
      <w:r>
        <w:t>Ich fasse diese Gesamtheit als lokalen funktionalen Kontext zusammen.</w:t>
      </w:r>
    </w:p>
    <w:p w:rsidR="00C32603" w:rsidRDefault="00C32603" w:rsidP="00C32603">
      <w:pPr>
        <w:pStyle w:val="StandardWeb"/>
      </w:pPr>
      <w:r>
        <w:t>Den lokalen funktionalen Kontext definiere ich durch</w:t>
      </w:r>
    </w:p>
    <w:p w:rsidR="00C32603" w:rsidRDefault="00C32603" w:rsidP="00C32603">
      <w:pPr>
        <w:pStyle w:val="berschrift1"/>
      </w:pPr>
      <w:r>
        <w:t>[</w:t>
      </w:r>
      <w:r>
        <w:br/>
        <w:t>\mathcal{C}_{L}</w:t>
      </w:r>
    </w:p>
    <w:p w:rsidR="00C32603" w:rsidRDefault="00C32603" w:rsidP="00C32603">
      <w:pPr>
        <w:pStyle w:val="StandardWeb"/>
      </w:pPr>
      <w:r>
        <w:t>\left(</w:t>
      </w:r>
      <w:r>
        <w:br/>
        <w:t>\mathcal{S}</w:t>
      </w:r>
      <w:r>
        <w:rPr>
          <w:rStyle w:val="Hervorhebung"/>
        </w:rPr>
        <w:t>{F},</w:t>
      </w:r>
      <w:r>
        <w:rPr>
          <w:i/>
          <w:iCs/>
        </w:rPr>
        <w:br/>
      </w:r>
      <w:r>
        <w:rPr>
          <w:rStyle w:val="Hervorhebung"/>
        </w:rPr>
        <w:t>\mathfrak{R}</w:t>
      </w:r>
      <w:r>
        <w:t>{F},</w:t>
      </w:r>
      <w:r>
        <w:br/>
        <w:t>\mathfrak{T}</w:t>
      </w:r>
      <w:r>
        <w:rPr>
          <w:rStyle w:val="Hervorhebung"/>
        </w:rPr>
        <w:t>{F},</w:t>
      </w:r>
      <w:r>
        <w:rPr>
          <w:i/>
          <w:iCs/>
        </w:rPr>
        <w:br/>
      </w:r>
      <w:r>
        <w:rPr>
          <w:rStyle w:val="Hervorhebung"/>
        </w:rPr>
        <w:t>\mathfrak{B}</w:t>
      </w:r>
      <w:r>
        <w:t>{F}</w:t>
      </w:r>
      <w:r>
        <w:br/>
        <w:t>\right).</w:t>
      </w:r>
      <w:r>
        <w:br/>
        <w:t>\tag{3.6253}</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\mathcal{C}_{L}=\left(\mathcal{S}_{F},\mathfrak{R}_{F},\mathfrak{T}_{F},\mathfrak{B}_{F}\right)\qquad\text{(3.6253)}</w:t>
      </w:r>
    </w:p>
    <w:p w:rsidR="00C32603" w:rsidRDefault="00C32603" w:rsidP="00C32603">
      <w:pPr>
        <w:pStyle w:val="StandardWeb"/>
      </w:pPr>
      <w:r>
        <w:t>Dabei bedeuten</w:t>
      </w:r>
    </w:p>
    <w:p w:rsidR="00C32603" w:rsidRDefault="00C32603" w:rsidP="008C5E65">
      <w:pPr>
        <w:pStyle w:val="StandardWeb"/>
        <w:numPr>
          <w:ilvl w:val="0"/>
          <w:numId w:val="284"/>
        </w:numPr>
      </w:pPr>
      <w:r>
        <w:t>(\mathcal{S}_{F}) den funktionalen Zustandsraum,</w:t>
      </w:r>
    </w:p>
    <w:p w:rsidR="00C32603" w:rsidRDefault="00C32603" w:rsidP="008C5E65">
      <w:pPr>
        <w:pStyle w:val="StandardWeb"/>
        <w:numPr>
          <w:ilvl w:val="0"/>
          <w:numId w:val="284"/>
        </w:numPr>
      </w:pPr>
      <w:r>
        <w:t>(\mathfrak{R}_{F}) die funktionalen Relationen,</w:t>
      </w:r>
    </w:p>
    <w:p w:rsidR="00C32603" w:rsidRDefault="00C32603" w:rsidP="008C5E65">
      <w:pPr>
        <w:pStyle w:val="StandardWeb"/>
        <w:numPr>
          <w:ilvl w:val="0"/>
          <w:numId w:val="284"/>
        </w:numPr>
      </w:pPr>
      <w:r>
        <w:t>(\mathfrak{T}_{F}) die zulässigen Transformationen,</w:t>
      </w:r>
    </w:p>
    <w:p w:rsidR="00C32603" w:rsidRDefault="00C32603" w:rsidP="008C5E65">
      <w:pPr>
        <w:pStyle w:val="StandardWeb"/>
        <w:numPr>
          <w:ilvl w:val="0"/>
          <w:numId w:val="284"/>
        </w:numPr>
      </w:pPr>
      <w:r>
        <w:t>(\mathfrak{B}_{F}) die Randbedingungen des betrachteten Systems.</w:t>
      </w:r>
    </w:p>
    <w:p w:rsidR="00C32603" w:rsidRDefault="00C32603" w:rsidP="00C32603">
      <w:pPr>
        <w:pStyle w:val="StandardWeb"/>
      </w:pPr>
      <w:r>
        <w:t>Eine funktionale Aussage</w:t>
      </w:r>
    </w:p>
    <w:p w:rsidR="00C32603" w:rsidRDefault="00C32603" w:rsidP="00C32603">
      <w:pPr>
        <w:pStyle w:val="StandardWeb"/>
      </w:pPr>
      <w:r>
        <w:lastRenderedPageBreak/>
        <w:t>[</w:t>
      </w:r>
      <w:r>
        <w:br/>
        <w:t>A_F</w:t>
      </w:r>
      <w:r>
        <w:br/>
        <w:t>\tag{3.6254}</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A_F\qquad\text{(3.6254)}</w:t>
      </w:r>
    </w:p>
    <w:p w:rsidR="00C32603" w:rsidRDefault="00C32603" w:rsidP="00C32603">
      <w:pPr>
        <w:pStyle w:val="StandardWeb"/>
      </w:pPr>
      <w:r>
        <w:t>besitzt zunächst ausschließlich innerhalb dieses Kontextes wissenschaftliche Gültigkeit.</w:t>
      </w:r>
    </w:p>
    <w:p w:rsidR="00C32603" w:rsidRDefault="00C32603" w:rsidP="00C32603">
      <w:pPr>
        <w:pStyle w:val="StandardWeb"/>
      </w:pPr>
      <w:r>
        <w:t>Formal schreibe ich</w:t>
      </w:r>
    </w:p>
    <w:p w:rsidR="00C32603" w:rsidRDefault="00C32603" w:rsidP="00C32603">
      <w:pPr>
        <w:pStyle w:val="StandardWeb"/>
      </w:pPr>
      <w:r>
        <w:t>[</w:t>
      </w:r>
      <w:r>
        <w:br/>
        <w:t>A_F</w:t>
      </w:r>
      <w:r>
        <w:br/>
        <w:t>:</w:t>
      </w:r>
      <w:r>
        <w:br/>
        <w:t>\mathcal{C}_{L}</w:t>
      </w:r>
      <w:r>
        <w:br/>
        <w:t>\longrightarrow</w:t>
      </w:r>
      <w:r>
        <w:br/>
        <w:t>{\mathrm{gültig},,</w:t>
      </w:r>
      <w:r>
        <w:br/>
        <w:t>\mathrm{nicht\ gültig}}.</w:t>
      </w:r>
      <w:r>
        <w:br/>
        <w:t>\tag{3.6255}</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A_F:\mathcal{C}_{L}\longrightarrow\{\mathrm{gültig},\mathrm{nicht\ gültig}\}\qquad\text{(3.6255)}</w:t>
      </w:r>
    </w:p>
    <w:p w:rsidR="00C32603" w:rsidRDefault="00C32603" w:rsidP="00C32603">
      <w:pPr>
        <w:pStyle w:val="StandardWeb"/>
      </w:pPr>
      <w:r>
        <w:t>Bereits diese Definition macht deutlich, dass Aussagen nicht unabhängig von ihrem Kontext existieren. Dieselbe mathematische Struktur kann unter anderen Randbedingungen eine andere wissenschaftliche Bedeutung besitzen.</w:t>
      </w:r>
    </w:p>
    <w:p w:rsidR="00C32603" w:rsidRDefault="00C32603" w:rsidP="00C32603">
      <w:pPr>
        <w:pStyle w:val="StandardWeb"/>
      </w:pPr>
      <w:r>
        <w:t xml:space="preserve">Aus diesem Grund wird im FRZK jede Aussage zunächst ausschließlich als </w:t>
      </w:r>
      <w:r>
        <w:rPr>
          <w:rStyle w:val="Fett"/>
        </w:rPr>
        <w:t>lokale Aussage</w:t>
      </w:r>
      <w:r>
        <w:t xml:space="preserve"> behandelt.</w:t>
      </w:r>
    </w:p>
    <w:p w:rsidR="00C32603" w:rsidRDefault="00E50336" w:rsidP="00C32603">
      <w:r>
        <w:pict>
          <v:rect id="_x0000_i1093" style="width:0;height:1.5pt" o:hralign="center" o:hrstd="t" o:hr="t" fillcolor="#a0a0a0" stroked="f"/>
        </w:pict>
      </w:r>
    </w:p>
    <w:p w:rsidR="00C32603" w:rsidRDefault="00C32603" w:rsidP="00C32603">
      <w:pPr>
        <w:pStyle w:val="berschrift2"/>
      </w:pPr>
      <w:r>
        <w:t>3.3.38.3 Lokale Invarianz</w:t>
      </w:r>
    </w:p>
    <w:p w:rsidR="00C32603" w:rsidRDefault="00C32603" w:rsidP="00C32603">
      <w:pPr>
        <w:pStyle w:val="StandardWeb"/>
      </w:pPr>
      <w:r>
        <w:t>Nicht jede Veränderung eines Systems führt automatisch dazu, dass eine funktionale Aussage ihre Gültigkeit verliert. Viele Systeme besitzen Eigenschaften, die gegenüber bestimmten Änderungen invariant bleiben.</w:t>
      </w:r>
    </w:p>
    <w:p w:rsidR="00C32603" w:rsidRDefault="00C32603" w:rsidP="00C32603">
      <w:pPr>
        <w:pStyle w:val="StandardWeb"/>
      </w:pPr>
      <w:r>
        <w:t xml:space="preserve">Ich bezeichne eine solche Eigenschaft als </w:t>
      </w:r>
      <w:r>
        <w:rPr>
          <w:rStyle w:val="Fett"/>
        </w:rPr>
        <w:t>lokale Invarianz</w:t>
      </w:r>
      <w:r>
        <w:t>.</w:t>
      </w:r>
    </w:p>
    <w:p w:rsidR="00C32603" w:rsidRDefault="00C32603" w:rsidP="00C32603">
      <w:pPr>
        <w:pStyle w:val="StandardWeb"/>
      </w:pPr>
      <w:r>
        <w:t>Sei</w:t>
      </w:r>
    </w:p>
    <w:p w:rsidR="00C32603" w:rsidRDefault="00C32603" w:rsidP="00C32603">
      <w:pPr>
        <w:pStyle w:val="StandardWeb"/>
      </w:pPr>
      <w:r>
        <w:t>[</w:t>
      </w:r>
      <w:r>
        <w:br/>
        <w:t>I_F</w:t>
      </w:r>
      <w:r>
        <w:br/>
        <w:t>\tag{3.6256}</w:t>
      </w:r>
      <w:r>
        <w:br/>
        <w:t>]</w:t>
      </w:r>
    </w:p>
    <w:p w:rsidR="00C32603" w:rsidRDefault="00C32603" w:rsidP="00C32603">
      <w:pPr>
        <w:pStyle w:val="StandardWeb"/>
      </w:pPr>
      <w:r>
        <w:rPr>
          <w:rStyle w:val="Fett"/>
        </w:rPr>
        <w:lastRenderedPageBreak/>
        <w:t>Word-LaTeX</w:t>
      </w:r>
    </w:p>
    <w:p w:rsidR="00C32603" w:rsidRDefault="00C32603" w:rsidP="00C32603">
      <w:pPr>
        <w:pStyle w:val="HTMLVorformatiert"/>
        <w:rPr>
          <w:rStyle w:val="HTMLCode"/>
        </w:rPr>
      </w:pPr>
      <w:r>
        <w:rPr>
          <w:rStyle w:val="HTMLCode"/>
        </w:rPr>
        <w:t>I_F\qquad\text{(3.6256)}</w:t>
      </w:r>
    </w:p>
    <w:p w:rsidR="00C32603" w:rsidRDefault="00C32603" w:rsidP="00C32603">
      <w:pPr>
        <w:pStyle w:val="StandardWeb"/>
      </w:pPr>
      <w:r>
        <w:t>eine funktionale Invarianz.</w:t>
      </w:r>
    </w:p>
    <w:p w:rsidR="00C32603" w:rsidRDefault="00C32603" w:rsidP="00C32603">
      <w:pPr>
        <w:pStyle w:val="StandardWeb"/>
      </w:pPr>
      <w:r>
        <w:t>Dann gilt für zwei lokale Kontexte</w:t>
      </w:r>
    </w:p>
    <w:p w:rsidR="00C32603" w:rsidRDefault="00C32603" w:rsidP="00C32603">
      <w:pPr>
        <w:pStyle w:val="StandardWeb"/>
      </w:pPr>
      <w:r>
        <w:t>[</w:t>
      </w:r>
      <w:r>
        <w:br/>
        <w:t>\mathcal{C}</w:t>
      </w:r>
      <w:r>
        <w:rPr>
          <w:rStyle w:val="Hervorhebung"/>
        </w:rPr>
        <w:t>{L}^{(1)},</w:t>
      </w:r>
      <w:r>
        <w:rPr>
          <w:i/>
          <w:iCs/>
        </w:rPr>
        <w:br/>
      </w:r>
      <w:r>
        <w:rPr>
          <w:rStyle w:val="Hervorhebung"/>
        </w:rPr>
        <w:t>\qquad</w:t>
      </w:r>
      <w:r>
        <w:rPr>
          <w:i/>
          <w:iCs/>
        </w:rPr>
        <w:br/>
      </w:r>
      <w:r>
        <w:rPr>
          <w:rStyle w:val="Hervorhebung"/>
        </w:rPr>
        <w:t>\mathcal{C}</w:t>
      </w:r>
      <w:r>
        <w:t>{L}^{(2)}</w:t>
      </w:r>
      <w:r>
        <w:br/>
        <w:t>\tag{3.6257}</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\mathcal{C}_{L}^{(1)},\qquad\mathcal{C}_{L}^{(2)}\qquad\text{(3.6257)}</w:t>
      </w:r>
    </w:p>
    <w:p w:rsidR="00C32603" w:rsidRDefault="00C32603" w:rsidP="00C32603">
      <w:pPr>
        <w:pStyle w:val="StandardWeb"/>
      </w:pPr>
      <w:r>
        <w:t>die Bedingung</w:t>
      </w:r>
    </w:p>
    <w:p w:rsidR="00C32603" w:rsidRDefault="00C32603" w:rsidP="00C32603">
      <w:pPr>
        <w:pStyle w:val="berschrift1"/>
      </w:pPr>
      <w:r>
        <w:t>[</w:t>
      </w:r>
      <w:r>
        <w:br/>
        <w:t>I_F</w:t>
      </w:r>
      <w:r>
        <w:br/>
        <w:t>\left(</w:t>
      </w:r>
      <w:r>
        <w:br/>
        <w:t>\mathcal{C}</w:t>
      </w:r>
      <w:r>
        <w:rPr>
          <w:rStyle w:val="Hervorhebung"/>
        </w:rPr>
        <w:t>{L}^{(1)},</w:t>
      </w:r>
      <w:r>
        <w:rPr>
          <w:i/>
          <w:iCs/>
        </w:rPr>
        <w:br/>
      </w:r>
      <w:r>
        <w:rPr>
          <w:rStyle w:val="Hervorhebung"/>
        </w:rPr>
        <w:t>\mathcal{C}</w:t>
      </w:r>
      <w:r>
        <w:t>{L}^{(2)}</w:t>
      </w:r>
      <w:r>
        <w:br/>
        <w:t>\right)</w:t>
      </w:r>
    </w:p>
    <w:p w:rsidR="00C32603" w:rsidRDefault="00C32603" w:rsidP="008C5E65">
      <w:pPr>
        <w:numPr>
          <w:ilvl w:val="0"/>
          <w:numId w:val="285"/>
        </w:numPr>
        <w:spacing w:before="100" w:beforeAutospacing="1" w:after="100" w:afterAutospacing="1"/>
      </w:pPr>
    </w:p>
    <w:p w:rsidR="00C32603" w:rsidRDefault="00C32603" w:rsidP="00C32603">
      <w:pPr>
        <w:pStyle w:val="StandardWeb"/>
      </w:pPr>
      <w:r>
        <w:t>\tag{3.6258}</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I_F\left(\mathcal{C}_{L}^{(1)},\mathcal{C}_{L}^{(2)}\right)=1\qquad\text{(3.6258)}</w:t>
      </w:r>
    </w:p>
    <w:p w:rsidR="00C32603" w:rsidRDefault="00C32603" w:rsidP="00C32603">
      <w:pPr>
        <w:pStyle w:val="StandardWeb"/>
      </w:pPr>
      <w:r>
        <w:t>Die Aussage bedeutet, dass die für eine bestimmte funktionale Beziehung relevanten Eigenschaften trotz der Unterschiede beider Kontexte erhalten geblieben sind.</w:t>
      </w:r>
    </w:p>
    <w:p w:rsidR="00C32603" w:rsidRDefault="00C32603" w:rsidP="00C32603">
      <w:pPr>
        <w:pStyle w:val="StandardWeb"/>
      </w:pPr>
      <w:r>
        <w:t>Lokale Invarianz ist damit eine notwendige Voraussetzung jeder späteren Übertragbarkeit.</w:t>
      </w:r>
    </w:p>
    <w:p w:rsidR="00C32603" w:rsidRDefault="00E50336" w:rsidP="00C32603">
      <w:r>
        <w:pict>
          <v:rect id="_x0000_i1094" style="width:0;height:1.5pt" o:hralign="center" o:hrstd="t" o:hr="t" fillcolor="#a0a0a0" stroked="f"/>
        </w:pict>
      </w:r>
    </w:p>
    <w:p w:rsidR="00C32603" w:rsidRDefault="00C32603" w:rsidP="00C32603">
      <w:pPr>
        <w:pStyle w:val="berschrift2"/>
      </w:pPr>
      <w:r>
        <w:t>3.3.38.4 Veränderung der Randbedingungen</w:t>
      </w:r>
    </w:p>
    <w:p w:rsidR="00C32603" w:rsidRDefault="00C32603" w:rsidP="00C32603">
      <w:pPr>
        <w:pStyle w:val="StandardWeb"/>
      </w:pPr>
      <w:r>
        <w:lastRenderedPageBreak/>
        <w:t>Randbedingungen bestimmen wesentlich, unter welchen Voraussetzungen eine funktionale Aussage entstanden ist.</w:t>
      </w:r>
    </w:p>
    <w:p w:rsidR="00C32603" w:rsidRDefault="00C32603" w:rsidP="00C32603">
      <w:pPr>
        <w:pStyle w:val="StandardWeb"/>
      </w:pPr>
      <w:r>
        <w:t>Ich fasse die Menge aller Randbedingungen als</w:t>
      </w:r>
    </w:p>
    <w:p w:rsidR="00C32603" w:rsidRDefault="00C32603" w:rsidP="00C32603">
      <w:pPr>
        <w:pStyle w:val="berschrift1"/>
      </w:pPr>
      <w:r>
        <w:t>[</w:t>
      </w:r>
      <w:r>
        <w:br/>
        <w:t>\mathfrak{B}_{F}</w:t>
      </w:r>
    </w:p>
    <w:p w:rsidR="00C32603" w:rsidRDefault="00C32603" w:rsidP="00C32603">
      <w:pPr>
        <w:pStyle w:val="StandardWeb"/>
      </w:pPr>
      <w:r>
        <w:t>\left{</w:t>
      </w:r>
      <w:r>
        <w:br/>
        <w:t>B_1,</w:t>
      </w:r>
      <w:r>
        <w:br/>
        <w:t>B_2,</w:t>
      </w:r>
      <w:r>
        <w:br/>
        <w:t>\ldots,</w:t>
      </w:r>
      <w:r>
        <w:br/>
        <w:t>B_n</w:t>
      </w:r>
      <w:r>
        <w:br/>
        <w:t>\right}</w:t>
      </w:r>
      <w:r>
        <w:br/>
        <w:t>\tag{3.6259}</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\mathfrak{B}_{F}=\left\{B_1,B_2,\ldots,B_n\right\}\qquad\text{(3.6259)}</w:t>
      </w:r>
    </w:p>
    <w:p w:rsidR="00C32603" w:rsidRDefault="00C32603" w:rsidP="00C32603">
      <w:pPr>
        <w:pStyle w:val="StandardWeb"/>
      </w:pPr>
      <w:r>
        <w:t>zusammen.</w:t>
      </w:r>
    </w:p>
    <w:p w:rsidR="00C32603" w:rsidRDefault="00C32603" w:rsidP="00C32603">
      <w:pPr>
        <w:pStyle w:val="StandardWeb"/>
      </w:pPr>
      <w:r>
        <w:t>Zwischen zwei lokalen Kontexten ergibt sich eine Randbedingungsänderung</w:t>
      </w:r>
    </w:p>
    <w:p w:rsidR="00C32603" w:rsidRDefault="00C32603" w:rsidP="00C32603">
      <w:pPr>
        <w:pStyle w:val="berschrift1"/>
      </w:pPr>
      <w:r>
        <w:t>[</w:t>
      </w:r>
      <w:r>
        <w:br/>
        <w:t>\Delta</w:t>
      </w:r>
      <w:r>
        <w:br/>
        <w:t>\mathfrak{B}_{F}</w:t>
      </w:r>
    </w:p>
    <w:p w:rsidR="00C32603" w:rsidRDefault="00C32603" w:rsidP="00C32603">
      <w:pPr>
        <w:pStyle w:val="berschrift2"/>
      </w:pPr>
      <w:r>
        <w:t>\mathfrak{B}_{F}^{(2)}</w:t>
      </w:r>
    </w:p>
    <w:p w:rsidR="00C32603" w:rsidRDefault="00C32603" w:rsidP="00C32603">
      <w:pPr>
        <w:pStyle w:val="StandardWeb"/>
      </w:pPr>
      <w:r>
        <w:t>\mathfrak{B}_{F}^{(1)}.</w:t>
      </w:r>
      <w:r>
        <w:br/>
        <w:t>\tag{3.6260}</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\Delta\mathfrak{B}_{F}=\mathfrak{B}_{F}^{(2)}-\mathfrak{B}_{F}^{(1)}\qquad\text{(3.6260)}</w:t>
      </w:r>
    </w:p>
    <w:p w:rsidR="00C32603" w:rsidRDefault="00C32603" w:rsidP="00C32603">
      <w:pPr>
        <w:pStyle w:val="StandardWeb"/>
      </w:pPr>
      <w:r>
        <w:t>Je größer diese Änderung wird, desto sorgfältiger muss die Übertragbarkeit der ursprünglichen Aussage überprüft werden.</w:t>
      </w:r>
    </w:p>
    <w:p w:rsidR="00C32603" w:rsidRDefault="00C32603" w:rsidP="00C32603">
      <w:pPr>
        <w:pStyle w:val="StandardWeb"/>
      </w:pPr>
      <w:r>
        <w:t>Das FRZK betrachtet daher nicht nur die Aussage selbst, sondern ebenso die Veränderung ihres wissenschaftlichen Kontextes.</w:t>
      </w:r>
    </w:p>
    <w:p w:rsidR="00C32603" w:rsidRDefault="00E50336" w:rsidP="00C32603">
      <w:r>
        <w:pict>
          <v:rect id="_x0000_i1095" style="width:0;height:1.5pt" o:hralign="center" o:hrstd="t" o:hr="t" fillcolor="#a0a0a0" stroked="f"/>
        </w:pict>
      </w:r>
    </w:p>
    <w:p w:rsidR="00C32603" w:rsidRDefault="00C32603" w:rsidP="00C32603">
      <w:pPr>
        <w:pStyle w:val="berschrift2"/>
      </w:pPr>
      <w:r>
        <w:lastRenderedPageBreak/>
        <w:t>Eigenleistung des FRZK</w:t>
      </w:r>
    </w:p>
    <w:p w:rsidR="00C32603" w:rsidRDefault="00C32603" w:rsidP="00C32603">
      <w:pPr>
        <w:pStyle w:val="StandardWeb"/>
      </w:pPr>
      <w:r>
        <w:t xml:space="preserve">Ich führe den </w:t>
      </w:r>
      <w:r>
        <w:rPr>
          <w:rStyle w:val="Fett"/>
        </w:rPr>
        <w:t>lokalen funktionalen Kontext</w:t>
      </w:r>
      <w:r>
        <w:t xml:space="preserve"> als eigenständiges Objekt der wissenschaftlichen Beschreibung ein. Aussagen besitzen keine abstrakte, kontextfreie Gültigkeit, sondern sind stets an explizit dokumentierte Zustandsräume, Relationen, Transformationen und Randbedingungen gebunden.</w:t>
      </w:r>
    </w:p>
    <w:p w:rsidR="00C32603" w:rsidRDefault="00C32603" w:rsidP="00C32603">
      <w:pPr>
        <w:pStyle w:val="StandardWeb"/>
      </w:pPr>
      <w:r>
        <w:t xml:space="preserve">Damit wird bereits vor jeder Generalisierung eindeutig festgelegt, </w:t>
      </w:r>
      <w:r>
        <w:rPr>
          <w:rStyle w:val="Fett"/>
        </w:rPr>
        <w:t>wo</w:t>
      </w:r>
      <w:r>
        <w:t xml:space="preserve"> eine Aussage gilt und </w:t>
      </w:r>
      <w:r>
        <w:rPr>
          <w:rStyle w:val="Fett"/>
        </w:rPr>
        <w:t>welche Voraussetzungen</w:t>
      </w:r>
      <w:r>
        <w:t xml:space="preserve"> diese Gültigkeit tragen.</w:t>
      </w:r>
    </w:p>
    <w:p w:rsidR="00C32603" w:rsidRDefault="00C32603" w:rsidP="00C32603">
      <w:pPr>
        <w:pStyle w:val="StandardWeb"/>
      </w:pPr>
      <w:r>
        <w:rPr>
          <w:rStyle w:val="Hervorhebung"/>
        </w:rPr>
        <w:t xml:space="preserve">(Fortsetzung mit </w:t>
      </w:r>
      <w:r>
        <w:rPr>
          <w:rStyle w:val="Fett"/>
          <w:i/>
          <w:iCs/>
        </w:rPr>
        <w:t>3.3.38.5 Strukturelle Vergleichbarkeit funktionaler Systeme</w:t>
      </w:r>
      <w:r>
        <w:rPr>
          <w:rStyle w:val="Hervorhebung"/>
        </w:rPr>
        <w:t>.)</w:t>
      </w:r>
    </w:p>
    <w:p w:rsidR="00C32603" w:rsidRDefault="00C32603" w:rsidP="00C32603">
      <w:pPr>
        <w:pStyle w:val="berschrift2"/>
        <w:rPr>
          <w:rFonts w:cs="Times New Roman"/>
        </w:rPr>
      </w:pPr>
      <w:r>
        <w:t>3.3.38.5 Strukturelle Vergleichbarkeit funktionaler Systeme</w:t>
      </w:r>
    </w:p>
    <w:p w:rsidR="00C32603" w:rsidRDefault="00C32603" w:rsidP="00C32603">
      <w:pPr>
        <w:pStyle w:val="StandardWeb"/>
      </w:pPr>
      <w:r>
        <w:t xml:space="preserve">Die Einführung des lokalen funktionalen Kontextes genügt allein noch nicht, um Aussagen zwischen verschiedenen Systemen übertragen zu können. Vor jeder Übertragung muss zunächst geprüft werden, ob die betrachteten Systeme überhaupt in einer wissenschaftlich sinnvollen Weise miteinander vergleichbar sind. Diese Prüfung bezeichne ich als </w:t>
      </w:r>
      <w:r>
        <w:rPr>
          <w:rStyle w:val="Fett"/>
        </w:rPr>
        <w:t>strukturelle Vergleichbarkeit</w:t>
      </w:r>
      <w:r>
        <w:t>.</w:t>
      </w:r>
    </w:p>
    <w:p w:rsidR="00C32603" w:rsidRDefault="00C32603" w:rsidP="00C32603">
      <w:pPr>
        <w:pStyle w:val="StandardWeb"/>
      </w:pPr>
      <w:r>
        <w:t xml:space="preserve">Dabei geht es ausdrücklich </w:t>
      </w:r>
      <w:r>
        <w:rPr>
          <w:rStyle w:val="Fett"/>
        </w:rPr>
        <w:t>nicht</w:t>
      </w:r>
      <w:r>
        <w:t xml:space="preserve"> um die Gleichheit einzelner Zahlenwerte oder Parameter. Zwei Systeme können numerisch völlig verschieden sein und dennoch dieselbe funktionale Organisationsstruktur besitzen. Umgekehrt können nahezu identische Messwerte vorliegen, obwohl die zugrunde liegenden funktionalen Beziehungen grundlegend verschieden aufgebaut sind.</w:t>
      </w:r>
    </w:p>
    <w:p w:rsidR="00C32603" w:rsidRDefault="00C32603" w:rsidP="00C32603">
      <w:pPr>
        <w:pStyle w:val="StandardWeb"/>
      </w:pPr>
      <w:r>
        <w:t>Ich bezeichne den Quellkontext mit</w:t>
      </w:r>
    </w:p>
    <w:p w:rsidR="00C32603" w:rsidRDefault="00C32603" w:rsidP="00C32603">
      <w:pPr>
        <w:pStyle w:val="StandardWeb"/>
      </w:pPr>
      <w:r>
        <w:t>[</w:t>
      </w:r>
      <w:r>
        <w:br/>
        <w:t>\mathcal{C}_{L}^{(S)}</w:t>
      </w:r>
      <w:r>
        <w:br/>
        <w:t>\tag{3.6261}</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\mathcal{C}_{L}^{(S)}\qquad\text{(3.6261)}</w:t>
      </w:r>
    </w:p>
    <w:p w:rsidR="00C32603" w:rsidRDefault="00C32603" w:rsidP="00C32603">
      <w:pPr>
        <w:pStyle w:val="StandardWeb"/>
      </w:pPr>
      <w:r>
        <w:t>und den Zielkontext mit</w:t>
      </w:r>
    </w:p>
    <w:p w:rsidR="00C32603" w:rsidRDefault="00C32603" w:rsidP="00C32603">
      <w:pPr>
        <w:pStyle w:val="StandardWeb"/>
      </w:pPr>
      <w:r>
        <w:t>[</w:t>
      </w:r>
      <w:r>
        <w:br/>
        <w:t>\mathcal{C}_{L}^{(Z)}.</w:t>
      </w:r>
      <w:r>
        <w:br/>
        <w:t>\tag{3.6262}</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\mathcal{C}_{L}^{(Z)}\qquad\text{(3.6262)}</w:t>
      </w:r>
    </w:p>
    <w:p w:rsidR="00C32603" w:rsidRDefault="00C32603" w:rsidP="00C32603">
      <w:pPr>
        <w:pStyle w:val="StandardWeb"/>
      </w:pPr>
      <w:r>
        <w:t>Zwischen beiden Kontexten definiere ich zunächst eine allgemeine Vergleichbarkeitsabbildung</w:t>
      </w:r>
    </w:p>
    <w:p w:rsidR="00C32603" w:rsidRDefault="00C32603" w:rsidP="00C32603">
      <w:pPr>
        <w:pStyle w:val="StandardWeb"/>
      </w:pPr>
      <w:r>
        <w:lastRenderedPageBreak/>
        <w:t>[</w:t>
      </w:r>
      <w:r>
        <w:br/>
        <w:t>\operatorname{Comp}</w:t>
      </w:r>
      <w:r>
        <w:rPr>
          <w:rStyle w:val="Hervorhebung"/>
        </w:rPr>
        <w:t>{F}</w:t>
      </w:r>
      <w:r>
        <w:rPr>
          <w:i/>
          <w:iCs/>
        </w:rPr>
        <w:br/>
      </w:r>
      <w:r>
        <w:rPr>
          <w:rStyle w:val="Hervorhebung"/>
        </w:rPr>
        <w:t>:</w:t>
      </w:r>
      <w:r>
        <w:rPr>
          <w:i/>
          <w:iCs/>
        </w:rPr>
        <w:br/>
      </w:r>
      <w:r>
        <w:rPr>
          <w:rStyle w:val="Hervorhebung"/>
        </w:rPr>
        <w:t>\mathcal{C}</w:t>
      </w:r>
      <w:r>
        <w:t>{L}^{(S)}</w:t>
      </w:r>
      <w:r>
        <w:br/>
        <w:t>\times</w:t>
      </w:r>
      <w:r>
        <w:br/>
        <w:t>\mathcal{C}_{L}^{(Z)}</w:t>
      </w:r>
      <w:r>
        <w:br/>
        <w:t>\longrightarrow</w:t>
      </w:r>
      <w:r>
        <w:br/>
        <w:t>[0,1].</w:t>
      </w:r>
      <w:r>
        <w:br/>
        <w:t>\tag{3.6263}</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\operatorname{Comp}_{F}:\mathcal{C}_{L}^{(S)}\times\mathcal{C}_{L}^{(Z)}\longrightarrow[0,1]\qquad\text{(3.6263)}</w:t>
      </w:r>
    </w:p>
    <w:p w:rsidR="00C32603" w:rsidRDefault="00C32603" w:rsidP="00C32603">
      <w:pPr>
        <w:pStyle w:val="StandardWeb"/>
      </w:pPr>
      <w:r>
        <w:t>Dabei bedeutet</w:t>
      </w:r>
    </w:p>
    <w:p w:rsidR="00C32603" w:rsidRDefault="00C32603" w:rsidP="008C5E65">
      <w:pPr>
        <w:pStyle w:val="StandardWeb"/>
        <w:numPr>
          <w:ilvl w:val="0"/>
          <w:numId w:val="286"/>
        </w:numPr>
      </w:pPr>
      <w:r>
        <w:t>0 keinerlei strukturelle Vergleichbarkeit,</w:t>
      </w:r>
    </w:p>
    <w:p w:rsidR="00C32603" w:rsidRDefault="00C32603" w:rsidP="008C5E65">
      <w:pPr>
        <w:pStyle w:val="StandardWeb"/>
        <w:numPr>
          <w:ilvl w:val="0"/>
          <w:numId w:val="286"/>
        </w:numPr>
      </w:pPr>
      <w:r>
        <w:t>1 vollständige strukturelle Übereinstimmung.</w:t>
      </w:r>
    </w:p>
    <w:p w:rsidR="00C32603" w:rsidRDefault="00C32603" w:rsidP="00C32603">
      <w:pPr>
        <w:pStyle w:val="StandardWeb"/>
      </w:pPr>
      <w:r>
        <w:t>Diese Abbildung besitzt bewusst zunächst nur beschreibenden Charakter. Sie legt noch keine konkrete Bewertungsmethode fest.</w:t>
      </w:r>
    </w:p>
    <w:p w:rsidR="00C32603" w:rsidRDefault="00E50336" w:rsidP="00C32603">
      <w:r>
        <w:pict>
          <v:rect id="_x0000_i1096" style="width:0;height:1.5pt" o:hralign="center" o:hrstd="t" o:hr="t" fillcolor="#a0a0a0" stroked="f"/>
        </w:pict>
      </w:r>
    </w:p>
    <w:p w:rsidR="00C32603" w:rsidRDefault="00C32603" w:rsidP="00C32603">
      <w:pPr>
        <w:pStyle w:val="berschrift3"/>
      </w:pPr>
      <w:r>
        <w:t>Strukturelle Teilvergleichbarkeiten</w:t>
      </w:r>
    </w:p>
    <w:p w:rsidR="00C32603" w:rsidRDefault="00C32603" w:rsidP="00C32603">
      <w:pPr>
        <w:pStyle w:val="StandardWeb"/>
      </w:pPr>
      <w:r>
        <w:t>Da funktionale Systeme aus mehreren Ebenen bestehen, zerlege ich die Vergleichbarkeit in Teilkomponenten.</w:t>
      </w:r>
    </w:p>
    <w:p w:rsidR="00C32603" w:rsidRDefault="00C32603" w:rsidP="00C32603">
      <w:pPr>
        <w:pStyle w:val="StandardWeb"/>
      </w:pPr>
      <w:r>
        <w:t>Für den Zustandsraum definiere ich</w:t>
      </w:r>
    </w:p>
    <w:p w:rsidR="00C32603" w:rsidRDefault="00C32603" w:rsidP="00C32603">
      <w:pPr>
        <w:pStyle w:val="berschrift1"/>
      </w:pPr>
      <w:r>
        <w:t>[</w:t>
      </w:r>
      <w:r>
        <w:br/>
        <w:t>C_S</w:t>
      </w:r>
    </w:p>
    <w:p w:rsidR="00C32603" w:rsidRDefault="00C32603" w:rsidP="00C32603">
      <w:pPr>
        <w:pStyle w:val="StandardWeb"/>
      </w:pPr>
      <w:r>
        <w:t>\operatorname{Comp}</w:t>
      </w:r>
      <w:r>
        <w:rPr>
          <w:rStyle w:val="Hervorhebung"/>
        </w:rPr>
        <w:t>S</w:t>
      </w:r>
      <w:r>
        <w:rPr>
          <w:i/>
          <w:iCs/>
        </w:rPr>
        <w:br/>
      </w:r>
      <w:r>
        <w:rPr>
          <w:rStyle w:val="Hervorhebung"/>
        </w:rPr>
        <w:t>\left(</w:t>
      </w:r>
      <w:r>
        <w:rPr>
          <w:i/>
          <w:iCs/>
        </w:rPr>
        <w:br/>
      </w:r>
      <w:r>
        <w:rPr>
          <w:rStyle w:val="Hervorhebung"/>
        </w:rPr>
        <w:t>\mathcal{S}</w:t>
      </w:r>
      <w:r>
        <w:t>{F}^{(S)},</w:t>
      </w:r>
      <w:r>
        <w:br/>
        <w:t>\mathcal{S}_{F}^{(Z)}</w:t>
      </w:r>
      <w:r>
        <w:br/>
        <w:t>\right).</w:t>
      </w:r>
      <w:r>
        <w:br/>
        <w:t>\tag{3.6264}</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C_S=\operatorname{Comp}_S\left(\mathcal{S}_{F}^{(S)},\mathcal{S}_{F}^{(Z)}\right)\qquad\text{(3.6264)}</w:t>
      </w:r>
    </w:p>
    <w:p w:rsidR="00C32603" w:rsidRDefault="00C32603" w:rsidP="00C32603">
      <w:pPr>
        <w:pStyle w:val="StandardWeb"/>
      </w:pPr>
      <w:r>
        <w:t>Für die Relationenstruktur gilt</w:t>
      </w:r>
    </w:p>
    <w:p w:rsidR="00C32603" w:rsidRDefault="00C32603" w:rsidP="00C32603">
      <w:pPr>
        <w:pStyle w:val="berschrift1"/>
      </w:pPr>
      <w:r>
        <w:lastRenderedPageBreak/>
        <w:t>[</w:t>
      </w:r>
      <w:r>
        <w:br/>
        <w:t>C_R</w:t>
      </w:r>
    </w:p>
    <w:p w:rsidR="00C32603" w:rsidRDefault="00C32603" w:rsidP="00C32603">
      <w:pPr>
        <w:pStyle w:val="StandardWeb"/>
      </w:pPr>
      <w:r>
        <w:t>\operatorname{Comp}</w:t>
      </w:r>
      <w:r>
        <w:rPr>
          <w:rStyle w:val="Hervorhebung"/>
        </w:rPr>
        <w:t>R</w:t>
      </w:r>
      <w:r>
        <w:rPr>
          <w:i/>
          <w:iCs/>
        </w:rPr>
        <w:br/>
      </w:r>
      <w:r>
        <w:rPr>
          <w:rStyle w:val="Hervorhebung"/>
        </w:rPr>
        <w:t>\left(</w:t>
      </w:r>
      <w:r>
        <w:rPr>
          <w:i/>
          <w:iCs/>
        </w:rPr>
        <w:br/>
      </w:r>
      <w:r>
        <w:rPr>
          <w:rStyle w:val="Hervorhebung"/>
        </w:rPr>
        <w:t>\mathfrak{R}</w:t>
      </w:r>
      <w:r>
        <w:t>{F}^{(S)},</w:t>
      </w:r>
      <w:r>
        <w:br/>
        <w:t>\mathfrak{R}_{F}^{(Z)}</w:t>
      </w:r>
      <w:r>
        <w:br/>
        <w:t>\right).</w:t>
      </w:r>
      <w:r>
        <w:br/>
        <w:t>\tag{3.6265}</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C_R=\operatorname{Comp}_R\left(\mathfrak{R}_{F}^{(S)},\mathfrak{R}_{F}^{(Z)}\right)\qquad\text{(3.6265)}</w:t>
      </w:r>
    </w:p>
    <w:p w:rsidR="00C32603" w:rsidRDefault="00C32603" w:rsidP="00C32603">
      <w:pPr>
        <w:pStyle w:val="StandardWeb"/>
      </w:pPr>
      <w:r>
        <w:t>Für die Transformationen definiere ich</w:t>
      </w:r>
    </w:p>
    <w:p w:rsidR="00C32603" w:rsidRDefault="00C32603" w:rsidP="00C32603">
      <w:pPr>
        <w:pStyle w:val="berschrift1"/>
      </w:pPr>
      <w:r>
        <w:t>[</w:t>
      </w:r>
      <w:r>
        <w:br/>
        <w:t>C_T</w:t>
      </w:r>
    </w:p>
    <w:p w:rsidR="00C32603" w:rsidRDefault="00C32603" w:rsidP="00C32603">
      <w:pPr>
        <w:pStyle w:val="StandardWeb"/>
      </w:pPr>
      <w:r>
        <w:t>\operatorname{Comp}</w:t>
      </w:r>
      <w:r>
        <w:rPr>
          <w:rStyle w:val="Hervorhebung"/>
        </w:rPr>
        <w:t>T</w:t>
      </w:r>
      <w:r>
        <w:rPr>
          <w:i/>
          <w:iCs/>
        </w:rPr>
        <w:br/>
      </w:r>
      <w:r>
        <w:rPr>
          <w:rStyle w:val="Hervorhebung"/>
        </w:rPr>
        <w:t>\left(</w:t>
      </w:r>
      <w:r>
        <w:rPr>
          <w:i/>
          <w:iCs/>
        </w:rPr>
        <w:br/>
      </w:r>
      <w:r>
        <w:rPr>
          <w:rStyle w:val="Hervorhebung"/>
        </w:rPr>
        <w:t>\mathfrak{T}</w:t>
      </w:r>
      <w:r>
        <w:t>{F}^{(S)},</w:t>
      </w:r>
      <w:r>
        <w:br/>
        <w:t>\mathfrak{T}_{F}^{(Z)}</w:t>
      </w:r>
      <w:r>
        <w:br/>
        <w:t>\right).</w:t>
      </w:r>
      <w:r>
        <w:br/>
        <w:t>\tag{3.6266}</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C_T=\operatorname{Comp}_T\left(\mathfrak{T}_{F}^{(S)},\mathfrak{T}_{F}^{(Z)}\right)\qquad\text{(3.6266)}</w:t>
      </w:r>
    </w:p>
    <w:p w:rsidR="00C32603" w:rsidRDefault="00C32603" w:rsidP="00C32603">
      <w:pPr>
        <w:pStyle w:val="StandardWeb"/>
      </w:pPr>
      <w:r>
        <w:t>Schließlich müssen auch die Randbedingungen verglichen werden.</w:t>
      </w:r>
    </w:p>
    <w:p w:rsidR="00C32603" w:rsidRDefault="00C32603" w:rsidP="00C32603">
      <w:pPr>
        <w:pStyle w:val="StandardWeb"/>
      </w:pPr>
      <w:r>
        <w:t>Hierzu definiere ich</w:t>
      </w:r>
    </w:p>
    <w:p w:rsidR="00C32603" w:rsidRDefault="00C32603" w:rsidP="00C32603">
      <w:pPr>
        <w:pStyle w:val="berschrift1"/>
      </w:pPr>
      <w:r>
        <w:t>[</w:t>
      </w:r>
      <w:r>
        <w:br/>
        <w:t>C_B</w:t>
      </w:r>
    </w:p>
    <w:p w:rsidR="00C32603" w:rsidRDefault="00C32603" w:rsidP="00C32603">
      <w:pPr>
        <w:pStyle w:val="StandardWeb"/>
      </w:pPr>
      <w:r>
        <w:t>\operatorname{Comp}</w:t>
      </w:r>
      <w:r>
        <w:rPr>
          <w:rStyle w:val="Hervorhebung"/>
        </w:rPr>
        <w:t>B</w:t>
      </w:r>
      <w:r>
        <w:rPr>
          <w:i/>
          <w:iCs/>
        </w:rPr>
        <w:br/>
      </w:r>
      <w:r>
        <w:rPr>
          <w:rStyle w:val="Hervorhebung"/>
        </w:rPr>
        <w:t>\left(</w:t>
      </w:r>
      <w:r>
        <w:rPr>
          <w:i/>
          <w:iCs/>
        </w:rPr>
        <w:br/>
      </w:r>
      <w:r>
        <w:rPr>
          <w:rStyle w:val="Hervorhebung"/>
        </w:rPr>
        <w:t>\mathfrak{B}</w:t>
      </w:r>
      <w:r>
        <w:t>{F}^{(S)},</w:t>
      </w:r>
      <w:r>
        <w:br/>
        <w:t>\mathfrak{B}_{F}^{(Z)}</w:t>
      </w:r>
      <w:r>
        <w:br/>
        <w:t>\right).</w:t>
      </w:r>
      <w:r>
        <w:br/>
      </w:r>
      <w:r>
        <w:lastRenderedPageBreak/>
        <w:t>\tag{3.6267}</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C_B=\operatorname{Comp}_B\left(\mathfrak{B}_{F}^{(S)},\mathfrak{B}_{F}^{(Z)}\right)\qquad\text{(3.6267)}</w:t>
      </w:r>
    </w:p>
    <w:p w:rsidR="00C32603" w:rsidRDefault="00E50336" w:rsidP="00C32603">
      <w:r>
        <w:pict>
          <v:rect id="_x0000_i1097" style="width:0;height:1.5pt" o:hralign="center" o:hrstd="t" o:hr="t" fillcolor="#a0a0a0" stroked="f"/>
        </w:pict>
      </w:r>
    </w:p>
    <w:p w:rsidR="00C32603" w:rsidRDefault="00C32603" w:rsidP="00C32603">
      <w:pPr>
        <w:pStyle w:val="berschrift3"/>
      </w:pPr>
      <w:r>
        <w:t>Gesamtvergleichbarkeit</w:t>
      </w:r>
    </w:p>
    <w:p w:rsidR="00C32603" w:rsidRDefault="00C32603" w:rsidP="00C32603">
      <w:pPr>
        <w:pStyle w:val="StandardWeb"/>
      </w:pPr>
      <w:r>
        <w:t>Die Gesamtvergleichbarkeit ergibt sich anschließend als Funktion sämtlicher Teilbewertungen</w:t>
      </w:r>
    </w:p>
    <w:p w:rsidR="00C32603" w:rsidRDefault="00C32603" w:rsidP="00C32603">
      <w:pPr>
        <w:pStyle w:val="berschrift1"/>
      </w:pPr>
      <w:r>
        <w:t>[</w:t>
      </w:r>
      <w:r>
        <w:br/>
        <w:t>C_{\mathrm{ges}}</w:t>
      </w:r>
    </w:p>
    <w:p w:rsidR="00C32603" w:rsidRDefault="00C32603" w:rsidP="00C32603">
      <w:pPr>
        <w:pStyle w:val="StandardWeb"/>
      </w:pPr>
      <w:r>
        <w:t>\Phi</w:t>
      </w:r>
      <w:r>
        <w:br/>
        <w:t>\left(</w:t>
      </w:r>
      <w:r>
        <w:br/>
        <w:t>C_S,</w:t>
      </w:r>
      <w:r>
        <w:br/>
        <w:t>C_R,</w:t>
      </w:r>
      <w:r>
        <w:br/>
        <w:t>C_T,</w:t>
      </w:r>
      <w:r>
        <w:br/>
        <w:t>C_B</w:t>
      </w:r>
      <w:r>
        <w:br/>
        <w:t>\right).</w:t>
      </w:r>
      <w:r>
        <w:br/>
        <w:t>\tag{3.6268}</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C_{\mathrm{ges}}=\Phi\left(C_S,C_R,C_T,C_B\right)\qquad\text{(3.6268)}</w:t>
      </w:r>
    </w:p>
    <w:p w:rsidR="00C32603" w:rsidRDefault="00C32603" w:rsidP="00C32603">
      <w:pPr>
        <w:pStyle w:val="StandardWeb"/>
      </w:pPr>
      <w:r>
        <w:t>Die konkrete Form der Funktion</w:t>
      </w:r>
    </w:p>
    <w:p w:rsidR="00C32603" w:rsidRDefault="00C32603" w:rsidP="00C32603">
      <w:pPr>
        <w:pStyle w:val="StandardWeb"/>
      </w:pPr>
      <w:r>
        <w:t>[</w:t>
      </w:r>
      <w:r>
        <w:br/>
        <w:t>\Phi</w:t>
      </w:r>
      <w:r>
        <w:br/>
        <w:t>\tag{3.6269}</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\Phi\qquad\text{(3.6269)}</w:t>
      </w:r>
    </w:p>
    <w:p w:rsidR="00C32603" w:rsidRDefault="00C32603" w:rsidP="00C32603">
      <w:pPr>
        <w:pStyle w:val="StandardWeb"/>
      </w:pPr>
      <w:r>
        <w:t>wird bewusst offen gelassen. Sie kann abhängig vom jeweiligen Anwendungsgebiet unterschiedlich gewählt werden.</w:t>
      </w:r>
    </w:p>
    <w:p w:rsidR="00C32603" w:rsidRDefault="00C32603" w:rsidP="00C32603">
      <w:pPr>
        <w:pStyle w:val="StandardWeb"/>
      </w:pPr>
      <w:r>
        <w:t>Damit wird vermieden, eine universelle Bewertungsfunktion zu postulieren, obwohl unterschiedliche wissenschaftliche Disziplinen verschiedene Anforderungen besitzen.</w:t>
      </w:r>
    </w:p>
    <w:p w:rsidR="00C32603" w:rsidRDefault="00E50336" w:rsidP="00C32603">
      <w:r>
        <w:pict>
          <v:rect id="_x0000_i1098" style="width:0;height:1.5pt" o:hralign="center" o:hrstd="t" o:hr="t" fillcolor="#a0a0a0" stroked="f"/>
        </w:pict>
      </w:r>
    </w:p>
    <w:p w:rsidR="00C32603" w:rsidRDefault="00C32603" w:rsidP="00C32603">
      <w:pPr>
        <w:pStyle w:val="berschrift2"/>
      </w:pPr>
      <w:r>
        <w:lastRenderedPageBreak/>
        <w:t>3.3.38.6 Strukturelle Isomorphie</w:t>
      </w:r>
    </w:p>
    <w:p w:rsidR="00C32603" w:rsidRDefault="00C32603" w:rsidP="00C32603">
      <w:pPr>
        <w:pStyle w:val="StandardWeb"/>
      </w:pPr>
      <w:r>
        <w:t>Die höchste Form struktureller Vergleichbarkeit liegt vor, wenn zwei funktionale Systeme dieselbe Organisationsstruktur besitzen.</w:t>
      </w:r>
    </w:p>
    <w:p w:rsidR="00C32603" w:rsidRDefault="00C32603" w:rsidP="00C32603">
      <w:pPr>
        <w:pStyle w:val="StandardWeb"/>
      </w:pPr>
      <w:r>
        <w:t xml:space="preserve">Ich spreche dann von </w:t>
      </w:r>
      <w:r>
        <w:rPr>
          <w:rStyle w:val="Fett"/>
        </w:rPr>
        <w:t>funktionaler Isomorphie</w:t>
      </w:r>
      <w:r>
        <w:t>.</w:t>
      </w:r>
    </w:p>
    <w:p w:rsidR="00C32603" w:rsidRDefault="00C32603" w:rsidP="00C32603">
      <w:pPr>
        <w:pStyle w:val="StandardWeb"/>
      </w:pPr>
      <w:r>
        <w:t>Formal definiere ich</w:t>
      </w:r>
    </w:p>
    <w:p w:rsidR="00C32603" w:rsidRDefault="00C32603" w:rsidP="00C32603">
      <w:pPr>
        <w:pStyle w:val="StandardWeb"/>
      </w:pPr>
      <w:r>
        <w:t>[</w:t>
      </w:r>
      <w:r>
        <w:br/>
        <w:t>\mathcal{C}</w:t>
      </w:r>
      <w:r>
        <w:rPr>
          <w:rStyle w:val="Hervorhebung"/>
        </w:rPr>
        <w:t>{L}^{(S)}</w:t>
      </w:r>
      <w:r>
        <w:rPr>
          <w:i/>
          <w:iCs/>
        </w:rPr>
        <w:br/>
      </w:r>
      <w:r>
        <w:rPr>
          <w:rStyle w:val="Hervorhebung"/>
        </w:rPr>
        <w:t>\cong_F</w:t>
      </w:r>
      <w:r>
        <w:rPr>
          <w:i/>
          <w:iCs/>
        </w:rPr>
        <w:br/>
      </w:r>
      <w:r>
        <w:rPr>
          <w:rStyle w:val="Hervorhebung"/>
        </w:rPr>
        <w:t>\mathcal{C}</w:t>
      </w:r>
      <w:r>
        <w:t>{L}^{(Z)}.</w:t>
      </w:r>
      <w:r>
        <w:br/>
        <w:t>\tag{3.6270}</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\mathcal{C}_{L}^{(S)}\cong_F\mathcal{C}_{L}^{(Z)}\qquad\text{(3.6270)}</w:t>
      </w:r>
    </w:p>
    <w:p w:rsidR="00C32603" w:rsidRDefault="00C32603" w:rsidP="00C32603">
      <w:pPr>
        <w:pStyle w:val="StandardWeb"/>
      </w:pPr>
      <w:r>
        <w:t>Dabei bedeutet das Symbol</w:t>
      </w:r>
    </w:p>
    <w:p w:rsidR="00C32603" w:rsidRDefault="00C32603" w:rsidP="00C32603">
      <w:pPr>
        <w:pStyle w:val="StandardWeb"/>
      </w:pPr>
      <w:r>
        <w:t>[</w:t>
      </w:r>
      <w:r>
        <w:br/>
        <w:t>\cong_F</w:t>
      </w:r>
      <w:r>
        <w:br/>
        <w:t>\tag{3.6271}</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\cong_F\qquad\text{(3.6271)}</w:t>
      </w:r>
    </w:p>
    <w:p w:rsidR="00C32603" w:rsidRDefault="00C32603" w:rsidP="00C32603">
      <w:pPr>
        <w:pStyle w:val="StandardWeb"/>
      </w:pPr>
      <w:r>
        <w:t>nicht numerische Gleichheit, sondern funktionale Strukturäquivalenz.</w:t>
      </w:r>
    </w:p>
    <w:p w:rsidR="00C32603" w:rsidRDefault="00C32603" w:rsidP="00C32603">
      <w:pPr>
        <w:pStyle w:val="StandardWeb"/>
      </w:pPr>
      <w:r>
        <w:t>Existiert eine bijektive strukturtreue Abbildung</w:t>
      </w:r>
    </w:p>
    <w:p w:rsidR="00C32603" w:rsidRDefault="00C32603" w:rsidP="00C32603">
      <w:pPr>
        <w:pStyle w:val="StandardWeb"/>
      </w:pPr>
      <w:r>
        <w:t>[</w:t>
      </w:r>
      <w:r>
        <w:br/>
        <w:t>\varphi</w:t>
      </w:r>
      <w:r>
        <w:br/>
        <w:t>:</w:t>
      </w:r>
      <w:r>
        <w:br/>
        <w:t>\mathcal{C}</w:t>
      </w:r>
      <w:r>
        <w:rPr>
          <w:rStyle w:val="Hervorhebung"/>
        </w:rPr>
        <w:t>{L}^{(S)}</w:t>
      </w:r>
      <w:r>
        <w:rPr>
          <w:i/>
          <w:iCs/>
        </w:rPr>
        <w:br/>
      </w:r>
      <w:r>
        <w:rPr>
          <w:rStyle w:val="Hervorhebung"/>
        </w:rPr>
        <w:t>\rightarrow</w:t>
      </w:r>
      <w:r>
        <w:rPr>
          <w:i/>
          <w:iCs/>
        </w:rPr>
        <w:br/>
      </w:r>
      <w:r>
        <w:rPr>
          <w:rStyle w:val="Hervorhebung"/>
        </w:rPr>
        <w:t>\mathcal{C}</w:t>
      </w:r>
      <w:r>
        <w:t>{L}^{(Z)},</w:t>
      </w:r>
      <w:r>
        <w:br/>
        <w:t>\tag{3.6272}</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\varphi:\mathcal{C}_{L}^{(S)}\rightarrow\mathcal{C}_{L}^{(Z)}\qquad\text{(3.6272)}</w:t>
      </w:r>
    </w:p>
    <w:p w:rsidR="00C32603" w:rsidRDefault="00C32603" w:rsidP="00C32603">
      <w:pPr>
        <w:pStyle w:val="StandardWeb"/>
      </w:pPr>
      <w:r>
        <w:t>welche Zustände, Relationen und Transformationen erhält, dann gelten beide Systeme als funktional isomorph.</w:t>
      </w:r>
    </w:p>
    <w:p w:rsidR="00C32603" w:rsidRDefault="00C32603" w:rsidP="00C32603">
      <w:pPr>
        <w:pStyle w:val="StandardWeb"/>
      </w:pPr>
      <w:r>
        <w:lastRenderedPageBreak/>
        <w:t>Für alle Zustände gilt dann</w:t>
      </w:r>
    </w:p>
    <w:p w:rsidR="00C32603" w:rsidRDefault="00C32603" w:rsidP="00C32603">
      <w:pPr>
        <w:pStyle w:val="berschrift1"/>
      </w:pPr>
      <w:r>
        <w:t>[</w:t>
      </w:r>
      <w:r>
        <w:br/>
        <w:t>\varphi(\delta_i)</w:t>
      </w:r>
    </w:p>
    <w:p w:rsidR="00C32603" w:rsidRDefault="00C32603" w:rsidP="00C32603">
      <w:pPr>
        <w:pStyle w:val="StandardWeb"/>
      </w:pPr>
      <w:r>
        <w:t>\delta_i'.</w:t>
      </w:r>
      <w:r>
        <w:br/>
        <w:t>\tag{3.6273}</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\varphi(\delta_i)=\delta_i^{\prime}\qquad\text{(3.6273)}</w:t>
      </w:r>
    </w:p>
    <w:p w:rsidR="00C32603" w:rsidRDefault="00C32603" w:rsidP="00C32603">
      <w:pPr>
        <w:pStyle w:val="StandardWeb"/>
      </w:pPr>
      <w:r>
        <w:t>Ebenso müssen Relationen erhalten bleiben:</w:t>
      </w:r>
    </w:p>
    <w:p w:rsidR="00C32603" w:rsidRDefault="00C32603" w:rsidP="00C32603">
      <w:pPr>
        <w:pStyle w:val="StandardWeb"/>
      </w:pPr>
      <w:r>
        <w:t>[</w:t>
      </w:r>
      <w:r>
        <w:br/>
        <w:t>\delta_i</w:t>
      </w:r>
      <w:r>
        <w:br/>
        <w:t>\mathcal{R}</w:t>
      </w:r>
      <w:r>
        <w:br/>
        <w:t>\delta_j</w:t>
      </w:r>
      <w:r>
        <w:br/>
        <w:t>\Longleftrightarrow</w:t>
      </w:r>
      <w:r>
        <w:br/>
        <w:t>\varphi(\delta_i)</w:t>
      </w:r>
      <w:r>
        <w:br/>
        <w:t>\mathcal{R}</w:t>
      </w:r>
      <w:r>
        <w:br/>
        <w:t>\varphi(\delta_j).</w:t>
      </w:r>
      <w:r>
        <w:br/>
        <w:t>\tag{3.6274}</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\delta_i\mathcal{R}\delta_j\Longleftrightarrow\varphi(\delta_i)\mathcal{R}\varphi(\delta_j)\qquad\text{(3.6274)}</w:t>
      </w:r>
    </w:p>
    <w:p w:rsidR="00C32603" w:rsidRDefault="00C32603" w:rsidP="00C32603">
      <w:pPr>
        <w:pStyle w:val="StandardWeb"/>
      </w:pPr>
      <w:r>
        <w:t>Und schließlich auch Transformationen:</w:t>
      </w:r>
    </w:p>
    <w:p w:rsidR="00C32603" w:rsidRDefault="00C32603" w:rsidP="00C32603">
      <w:pPr>
        <w:pStyle w:val="berschrift1"/>
      </w:pPr>
      <w:r>
        <w:t>[</w:t>
      </w:r>
      <w:r>
        <w:br/>
        <w:t>\varphi</w:t>
      </w:r>
      <w:r>
        <w:br/>
        <w:t>\circ</w:t>
      </w:r>
      <w:r>
        <w:br/>
        <w:t>T</w:t>
      </w:r>
    </w:p>
    <w:p w:rsidR="00C32603" w:rsidRDefault="00C32603" w:rsidP="00C32603">
      <w:pPr>
        <w:pStyle w:val="StandardWeb"/>
      </w:pPr>
      <w:r>
        <w:t>T'</w:t>
      </w:r>
      <w:r>
        <w:br/>
        <w:t>\circ</w:t>
      </w:r>
      <w:r>
        <w:br/>
        <w:t>\varphi.</w:t>
      </w:r>
      <w:r>
        <w:br/>
        <w:t>\tag{3.6275}</w:t>
      </w:r>
      <w:r>
        <w:br/>
        <w:t>]</w:t>
      </w:r>
    </w:p>
    <w:p w:rsidR="00C32603" w:rsidRDefault="00C32603" w:rsidP="00C32603">
      <w:pPr>
        <w:pStyle w:val="StandardWeb"/>
      </w:pPr>
      <w:r>
        <w:rPr>
          <w:rStyle w:val="Fett"/>
        </w:rPr>
        <w:t>Word-LaTeX</w:t>
      </w:r>
    </w:p>
    <w:p w:rsidR="00C32603" w:rsidRDefault="00C32603" w:rsidP="00C32603">
      <w:pPr>
        <w:pStyle w:val="HTMLVorformatiert"/>
        <w:rPr>
          <w:rStyle w:val="HTMLCode"/>
        </w:rPr>
      </w:pPr>
      <w:r>
        <w:rPr>
          <w:rStyle w:val="HTMLCode"/>
        </w:rPr>
        <w:t>\varphi\circ T=T^{\prime}\circ\varphi\qquad\text{(3.6275)}</w:t>
      </w:r>
    </w:p>
    <w:p w:rsidR="00C32603" w:rsidRDefault="00E50336" w:rsidP="00C32603">
      <w:r>
        <w:lastRenderedPageBreak/>
        <w:pict>
          <v:rect id="_x0000_i1099" style="width:0;height:1.5pt" o:hralign="center" o:hrstd="t" o:hr="t" fillcolor="#a0a0a0" stroked="f"/>
        </w:pict>
      </w:r>
    </w:p>
    <w:p w:rsidR="00C32603" w:rsidRDefault="00C32603" w:rsidP="00C32603">
      <w:pPr>
        <w:pStyle w:val="berschrift2"/>
      </w:pPr>
      <w:r>
        <w:t>Wissenschaftliche Bedeutung</w:t>
      </w:r>
    </w:p>
    <w:p w:rsidR="00C32603" w:rsidRDefault="00C32603" w:rsidP="00C32603">
      <w:pPr>
        <w:pStyle w:val="StandardWeb"/>
      </w:pPr>
      <w:r>
        <w:t>Diese Definition besitzt im FRZK eine besondere Funktion.</w:t>
      </w:r>
    </w:p>
    <w:p w:rsidR="00C32603" w:rsidRDefault="00C32603" w:rsidP="00C32603">
      <w:pPr>
        <w:pStyle w:val="StandardWeb"/>
      </w:pPr>
      <w:r>
        <w:t xml:space="preserve">Ich fordere </w:t>
      </w:r>
      <w:r>
        <w:rPr>
          <w:rStyle w:val="Fett"/>
        </w:rPr>
        <w:t>keine numerische Gleichheit</w:t>
      </w:r>
      <w:r>
        <w:t xml:space="preserve"> zwischen Quell- und Zielsystem.</w:t>
      </w:r>
    </w:p>
    <w:p w:rsidR="00C32603" w:rsidRDefault="00C32603" w:rsidP="00C32603">
      <w:pPr>
        <w:pStyle w:val="StandardWeb"/>
      </w:pPr>
      <w:r>
        <w:t>Ich fordere ausschließlich, dass die funktionale Organisation erhalten bleibt.</w:t>
      </w:r>
    </w:p>
    <w:p w:rsidR="00C32603" w:rsidRDefault="00C32603" w:rsidP="00C32603">
      <w:pPr>
        <w:pStyle w:val="StandardWeb"/>
      </w:pPr>
      <w:r>
        <w:t>Dadurch kann dieselbe wissenschaftliche Aussage beispielsweise zwischen</w:t>
      </w:r>
    </w:p>
    <w:p w:rsidR="00C32603" w:rsidRDefault="00C32603" w:rsidP="008C5E65">
      <w:pPr>
        <w:pStyle w:val="StandardWeb"/>
        <w:numPr>
          <w:ilvl w:val="0"/>
          <w:numId w:val="287"/>
        </w:numPr>
      </w:pPr>
      <w:r>
        <w:t>unterschiedlich großen Netzwerken,</w:t>
      </w:r>
    </w:p>
    <w:p w:rsidR="00C32603" w:rsidRDefault="00C32603" w:rsidP="008C5E65">
      <w:pPr>
        <w:pStyle w:val="StandardWeb"/>
        <w:numPr>
          <w:ilvl w:val="0"/>
          <w:numId w:val="287"/>
        </w:numPr>
      </w:pPr>
      <w:r>
        <w:t>verschiedenen biologischen Organismen,</w:t>
      </w:r>
    </w:p>
    <w:p w:rsidR="00C32603" w:rsidRDefault="00C32603" w:rsidP="008C5E65">
      <w:pPr>
        <w:pStyle w:val="StandardWeb"/>
        <w:numPr>
          <w:ilvl w:val="0"/>
          <w:numId w:val="287"/>
        </w:numPr>
      </w:pPr>
      <w:r>
        <w:t>verschiedenen technischen Anlagen,</w:t>
      </w:r>
    </w:p>
    <w:p w:rsidR="00C32603" w:rsidRDefault="00C32603" w:rsidP="008C5E65">
      <w:pPr>
        <w:pStyle w:val="StandardWeb"/>
        <w:numPr>
          <w:ilvl w:val="0"/>
          <w:numId w:val="287"/>
        </w:numPr>
      </w:pPr>
      <w:r>
        <w:t>unterschiedlichen Lerngruppen</w:t>
      </w:r>
    </w:p>
    <w:p w:rsidR="00C32603" w:rsidRDefault="00C32603" w:rsidP="00C32603">
      <w:pPr>
        <w:pStyle w:val="StandardWeb"/>
      </w:pPr>
      <w:r>
        <w:t>übertragen werden, obwohl sämtliche Messwerte verschieden sind.</w:t>
      </w:r>
    </w:p>
    <w:p w:rsidR="00C32603" w:rsidRDefault="00C32603" w:rsidP="00C32603">
      <w:pPr>
        <w:pStyle w:val="StandardWeb"/>
      </w:pPr>
      <w:r>
        <w:t>Entscheidend ist allein, dass die funktionale Struktur dieselbe wissenschaftliche Rolle erfüllt.</w:t>
      </w:r>
    </w:p>
    <w:p w:rsidR="00C32603" w:rsidRDefault="00E50336" w:rsidP="00C32603">
      <w:r>
        <w:pict>
          <v:rect id="_x0000_i1100" style="width:0;height:1.5pt" o:hralign="center" o:hrstd="t" o:hr="t" fillcolor="#a0a0a0" stroked="f"/>
        </w:pict>
      </w:r>
    </w:p>
    <w:p w:rsidR="00C32603" w:rsidRDefault="00C32603" w:rsidP="00C32603">
      <w:pPr>
        <w:pStyle w:val="berschrift2"/>
      </w:pPr>
      <w:r>
        <w:t>Eigenleistung des FRZK</w:t>
      </w:r>
    </w:p>
    <w:p w:rsidR="00C32603" w:rsidRDefault="00C32603" w:rsidP="00C32603">
      <w:pPr>
        <w:pStyle w:val="StandardWeb"/>
      </w:pPr>
      <w:r>
        <w:t xml:space="preserve">Ich führe die </w:t>
      </w:r>
      <w:r>
        <w:rPr>
          <w:rStyle w:val="Fett"/>
        </w:rPr>
        <w:t>strukturelle Vergleichbarkeit</w:t>
      </w:r>
      <w:r>
        <w:t xml:space="preserve"> als eigenständige Voraussetzung jeder wissenschaftlichen Übertragung ein. Im Gegensatz zu klassischen Generalisierungen basiert die Übertragbarkeit nicht auf numerischer Ähnlichkeit, sondern auf der Erhaltung funktionaler Organisationsstrukturen.</w:t>
      </w:r>
    </w:p>
    <w:p w:rsidR="00C32603" w:rsidRDefault="00C32603" w:rsidP="00C32603">
      <w:pPr>
        <w:pStyle w:val="StandardWeb"/>
      </w:pPr>
      <w:r>
        <w:t>Mit der Definition der funktionalen Isomorphie erhält das FRZK erstmals ein formales Werkzeug, um die Übertragbarkeit wissenschaftlicher Aussagen unabhängig von konkreten Zahlenwerten zu begründen.</w:t>
      </w:r>
    </w:p>
    <w:p w:rsidR="00C32603" w:rsidRDefault="00E50336" w:rsidP="00C32603">
      <w:r>
        <w:pict>
          <v:rect id="_x0000_i1101" style="width:0;height:1.5pt" o:hralign="center" o:hrstd="t" o:hr="t" fillcolor="#a0a0a0" stroked="f"/>
        </w:pict>
      </w:r>
    </w:p>
    <w:p w:rsidR="00C32603" w:rsidRDefault="00C32603" w:rsidP="00C32603">
      <w:pPr>
        <w:pStyle w:val="StandardWeb"/>
      </w:pPr>
      <w:r>
        <w:rPr>
          <w:rStyle w:val="Hervorhebung"/>
        </w:rPr>
        <w:t xml:space="preserve">(Fortsetzung folgt mit </w:t>
      </w:r>
      <w:r>
        <w:rPr>
          <w:rStyle w:val="Fett"/>
          <w:i/>
          <w:iCs/>
        </w:rPr>
        <w:t>3.3.38.7 Invariante funktionale Eigenschaften</w:t>
      </w:r>
      <w:r>
        <w:rPr>
          <w:rStyle w:val="Hervorhebung"/>
        </w:rPr>
        <w:t>. Anschließend werden die Kriterien entwickelt, welche Eigenschaften bei einer zulässigen Übertragung zwingend erhalten bleiben müssen.)</w:t>
      </w:r>
    </w:p>
    <w:p w:rsidR="00135380" w:rsidRDefault="00135380" w:rsidP="00135380">
      <w:pPr>
        <w:pStyle w:val="berschrift2"/>
        <w:rPr>
          <w:rFonts w:cs="Times New Roman"/>
        </w:rPr>
      </w:pPr>
      <w:r>
        <w:t>3.3.38.7 Invariante funktionale Eigenschaften</w:t>
      </w:r>
    </w:p>
    <w:p w:rsidR="00135380" w:rsidRDefault="00135380" w:rsidP="00135380">
      <w:pPr>
        <w:pStyle w:val="StandardWeb"/>
      </w:pPr>
      <w:r>
        <w:t xml:space="preserve">Die strukturelle Vergleichbarkeit aus den Abschnitten 3.3.38.5 und 3.3.38.6 ist eine notwendige Grundlage für die Übertragung funktionaler Aussagen, reicht jedoch noch nicht aus. Zwei Systeme können in wesentlichen Teilen ähnlich aufgebaut sein, während gerade diejenige Eigenschaft, auf die sich eine wissenschaftliche Aussage stützt, zwischen beiden Systemen verändert ist. Deshalb muss zusätzlich bestimmt werden, </w:t>
      </w:r>
      <w:r>
        <w:rPr>
          <w:rStyle w:val="Fett"/>
        </w:rPr>
        <w:t>welche Eigenschaften bei einer Übertragung erhalten bleiben müssen</w:t>
      </w:r>
      <w:r>
        <w:t>.</w:t>
      </w:r>
    </w:p>
    <w:p w:rsidR="00135380" w:rsidRDefault="00135380" w:rsidP="00135380">
      <w:pPr>
        <w:pStyle w:val="StandardWeb"/>
      </w:pPr>
      <w:r>
        <w:lastRenderedPageBreak/>
        <w:t>Ich bezeichne die Menge der für eine Aussage (A_F) relevanten funktionalen Eigenschaften mit</w:t>
      </w:r>
    </w:p>
    <w:p w:rsidR="00135380" w:rsidRDefault="00135380" w:rsidP="00135380">
      <w:pPr>
        <w:pStyle w:val="berschrift1"/>
      </w:pPr>
      <w:r>
        <w:t>[</w:t>
      </w:r>
      <w:r>
        <w:br/>
        <w:t>\mathfrak{I}_{A}</w:t>
      </w:r>
    </w:p>
    <w:p w:rsidR="00135380" w:rsidRDefault="00135380" w:rsidP="00135380">
      <w:pPr>
        <w:pStyle w:val="StandardWeb"/>
      </w:pPr>
      <w:r>
        <w:t>\left{</w:t>
      </w:r>
      <w:r>
        <w:br/>
        <w:t>I_1,</w:t>
      </w:r>
      <w:r>
        <w:br/>
        <w:t>I_2,</w:t>
      </w:r>
      <w:r>
        <w:br/>
        <w:t>\ldots,</w:t>
      </w:r>
      <w:r>
        <w:br/>
        <w:t>I_m</w:t>
      </w:r>
      <w:r>
        <w:br/>
        <w:t>\right}.</w:t>
      </w:r>
      <w:r>
        <w:br/>
        <w:t>\tag{3.6276}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\mathfrak{I}_{A}=\left\{I_1,I_2,\ldots,I_m\right\}\qquad\text{(3.6276)}</w:t>
      </w:r>
    </w:p>
    <w:p w:rsidR="00135380" w:rsidRDefault="00135380" w:rsidP="00135380">
      <w:pPr>
        <w:pStyle w:val="StandardWeb"/>
      </w:pPr>
      <w:r>
        <w:t>Dabei enthält (\mathfrak{I}_{A}) ausschließlich solche Eigenschaften, deren Erhaltung für die Gültigkeit der zu übertragenden Aussage erforderlich ist.</w:t>
      </w:r>
    </w:p>
    <w:p w:rsidR="00135380" w:rsidRDefault="00135380" w:rsidP="00135380">
      <w:pPr>
        <w:pStyle w:val="StandardWeb"/>
      </w:pPr>
      <w:r>
        <w:t>Für eine einzelne Eigenschaft (I_k) fordere ich zwischen Quell- und Zielkontext</w:t>
      </w:r>
    </w:p>
    <w:p w:rsidR="00135380" w:rsidRDefault="00135380" w:rsidP="00135380">
      <w:pPr>
        <w:pStyle w:val="berschrift1"/>
      </w:pPr>
      <w:r>
        <w:t>[</w:t>
      </w:r>
      <w:r>
        <w:br/>
        <w:t>I_k</w:t>
      </w:r>
      <w:r>
        <w:br/>
        <w:t>\left(</w:t>
      </w:r>
      <w:r>
        <w:br/>
        <w:t>\mathcal{C}_{L}^{(S)}</w:t>
      </w:r>
      <w:r>
        <w:br/>
        <w:t>\right)</w:t>
      </w:r>
    </w:p>
    <w:p w:rsidR="00135380" w:rsidRDefault="00135380" w:rsidP="00135380">
      <w:pPr>
        <w:pStyle w:val="StandardWeb"/>
      </w:pPr>
      <w:r>
        <w:t>I_k</w:t>
      </w:r>
      <w:r>
        <w:br/>
        <w:t>\left(</w:t>
      </w:r>
      <w:r>
        <w:br/>
        <w:t>\mathcal{C}_{L}^{(Z)}</w:t>
      </w:r>
      <w:r>
        <w:br/>
        <w:t>\right).</w:t>
      </w:r>
      <w:r>
        <w:br/>
        <w:t>\tag{3.6277}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I_k\left(\mathcal{C}_{L}^{(S)}\right)=I_k\left(\mathcal{C}_{L}^{(Z)}\right)\qquad\text{(3.6277)}</w:t>
      </w:r>
    </w:p>
    <w:p w:rsidR="00135380" w:rsidRDefault="00135380" w:rsidP="00135380">
      <w:pPr>
        <w:pStyle w:val="StandardWeb"/>
      </w:pPr>
      <w:r>
        <w:t>Für sämtliche relevanten Eigenschaften ergibt sich</w:t>
      </w:r>
    </w:p>
    <w:p w:rsidR="00135380" w:rsidRDefault="00135380" w:rsidP="00135380">
      <w:pPr>
        <w:pStyle w:val="berschrift1"/>
      </w:pPr>
      <w:r>
        <w:lastRenderedPageBreak/>
        <w:t>[</w:t>
      </w:r>
      <w:r>
        <w:br/>
        <w:t>\forall I_k</w:t>
      </w:r>
      <w:r>
        <w:br/>
        <w:t>\in</w:t>
      </w:r>
      <w:r>
        <w:br/>
        <w:t>\mathfrak{I}</w:t>
      </w:r>
      <w:r>
        <w:rPr>
          <w:rStyle w:val="Hervorhebung"/>
        </w:rPr>
        <w:t>{A}:</w:t>
      </w:r>
      <w:r>
        <w:rPr>
          <w:i/>
          <w:iCs/>
        </w:rPr>
        <w:br/>
      </w:r>
      <w:r>
        <w:rPr>
          <w:rStyle w:val="Hervorhebung"/>
        </w:rPr>
        <w:t>\quad</w:t>
      </w:r>
      <w:r>
        <w:rPr>
          <w:i/>
          <w:iCs/>
        </w:rPr>
        <w:br/>
      </w:r>
      <w:r>
        <w:rPr>
          <w:rStyle w:val="Hervorhebung"/>
        </w:rPr>
        <w:t>I_k</w:t>
      </w:r>
      <w:r>
        <w:rPr>
          <w:i/>
          <w:iCs/>
        </w:rPr>
        <w:br/>
      </w:r>
      <w:r>
        <w:rPr>
          <w:rStyle w:val="Hervorhebung"/>
        </w:rPr>
        <w:t>\left(</w:t>
      </w:r>
      <w:r>
        <w:rPr>
          <w:i/>
          <w:iCs/>
        </w:rPr>
        <w:br/>
      </w:r>
      <w:r>
        <w:rPr>
          <w:rStyle w:val="Hervorhebung"/>
        </w:rPr>
        <w:t>\mathcal{C}</w:t>
      </w:r>
      <w:r>
        <w:t>{L}^{(S)}</w:t>
      </w:r>
      <w:r>
        <w:br/>
        <w:t>\right)</w:t>
      </w:r>
    </w:p>
    <w:p w:rsidR="00135380" w:rsidRDefault="00135380" w:rsidP="00135380">
      <w:pPr>
        <w:pStyle w:val="StandardWeb"/>
      </w:pPr>
      <w:r>
        <w:t>I_k</w:t>
      </w:r>
      <w:r>
        <w:br/>
        <w:t>\left(</w:t>
      </w:r>
      <w:r>
        <w:br/>
        <w:t>\mathcal{C}_{L}^{(Z)}</w:t>
      </w:r>
      <w:r>
        <w:br/>
        <w:t>\right).</w:t>
      </w:r>
      <w:r>
        <w:br/>
        <w:t>\tag{3.6278}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\forall I_k\in\mathfrak{I}_{A}:I_k\left(\mathcal{C}_{L}^{(S)}\right)=I_k\left(\mathcal{C}_{L}^{(Z)}\right)\qquad\text{(3.6278)}</w:t>
      </w:r>
    </w:p>
    <w:p w:rsidR="00135380" w:rsidRDefault="00135380" w:rsidP="00135380">
      <w:pPr>
        <w:pStyle w:val="StandardWeb"/>
      </w:pPr>
      <w:r>
        <w:t xml:space="preserve">Ich bezeichne diese Bedingung als </w:t>
      </w:r>
      <w:r>
        <w:rPr>
          <w:rStyle w:val="Fett"/>
        </w:rPr>
        <w:t>aussagebezogene funktionale Invarianz</w:t>
      </w:r>
      <w:r>
        <w:t>.</w:t>
      </w:r>
    </w:p>
    <w:p w:rsidR="00135380" w:rsidRDefault="00135380" w:rsidP="00135380">
      <w:pPr>
        <w:pStyle w:val="StandardWeb"/>
      </w:pPr>
      <w:r>
        <w:t>Sie ist bewusst schwächer als vollständige funktionale Isomorphie. Für eine zulässige Übertragung müssen nicht notwendigerweise sämtliche Eigenschaften zweier Systeme identisch sein. Entscheidend ist vielmehr, dass genau diejenigen Strukturen erhalten bleiben, von denen die betrachtete Aussage abhängt.</w:t>
      </w:r>
    </w:p>
    <w:p w:rsidR="00135380" w:rsidRDefault="00135380" w:rsidP="00135380">
      <w:pPr>
        <w:pStyle w:val="StandardWeb"/>
      </w:pPr>
      <w:r>
        <w:t>Damit kann eine Aussage auch zwischen Systemen übertragen werden, die sich in irrelevanten Eigenschaften erheblich unterscheiden.</w:t>
      </w:r>
    </w:p>
    <w:p w:rsidR="00135380" w:rsidRDefault="00E50336" w:rsidP="00135380">
      <w:r>
        <w:pict>
          <v:rect id="_x0000_i1102" style="width:0;height:1.5pt" o:hralign="center" o:hrstd="t" o:hr="t" fillcolor="#a0a0a0" stroked="f"/>
        </w:pict>
      </w:r>
    </w:p>
    <w:p w:rsidR="00135380" w:rsidRDefault="00135380" w:rsidP="00135380">
      <w:pPr>
        <w:pStyle w:val="berschrift2"/>
      </w:pPr>
      <w:r>
        <w:t>3.3.38.8 Aussagebezogene Relevanz</w:t>
      </w:r>
    </w:p>
    <w:p w:rsidR="00135380" w:rsidRDefault="00135380" w:rsidP="00135380">
      <w:pPr>
        <w:pStyle w:val="StandardWeb"/>
      </w:pPr>
      <w:r>
        <w:t xml:space="preserve">Nicht jede Differenz zwischen zwei Kontexten beeinflusst dieselbe wissenschaftliche Aussage. Deshalb muss zwischen </w:t>
      </w:r>
      <w:r>
        <w:rPr>
          <w:rStyle w:val="Fett"/>
        </w:rPr>
        <w:t>struktureller Differenz</w:t>
      </w:r>
      <w:r>
        <w:t xml:space="preserve"> und </w:t>
      </w:r>
      <w:r>
        <w:rPr>
          <w:rStyle w:val="Fett"/>
        </w:rPr>
        <w:t>aussagerelevanter Differenz</w:t>
      </w:r>
      <w:r>
        <w:t xml:space="preserve"> unterschieden werden.</w:t>
      </w:r>
    </w:p>
    <w:p w:rsidR="00135380" w:rsidRDefault="00135380" w:rsidP="00135380">
      <w:pPr>
        <w:pStyle w:val="StandardWeb"/>
      </w:pPr>
      <w:r>
        <w:t>Die Gesamtheit der Unterschiede zwischen Quell- und Zielkontext bezeichne ich mit</w:t>
      </w:r>
    </w:p>
    <w:p w:rsidR="00135380" w:rsidRDefault="00135380" w:rsidP="00135380">
      <w:pPr>
        <w:pStyle w:val="berschrift1"/>
      </w:pPr>
      <w:r>
        <w:lastRenderedPageBreak/>
        <w:t>[</w:t>
      </w:r>
      <w:r>
        <w:br/>
        <w:t>\Delta\mathcal{C}</w:t>
      </w:r>
    </w:p>
    <w:p w:rsidR="00135380" w:rsidRDefault="00135380" w:rsidP="00135380">
      <w:pPr>
        <w:pStyle w:val="berschrift2"/>
      </w:pPr>
      <w:r>
        <w:t>\mathcal{C}_{L}^{(Z)}</w:t>
      </w:r>
    </w:p>
    <w:p w:rsidR="00135380" w:rsidRDefault="00135380" w:rsidP="00135380">
      <w:pPr>
        <w:pStyle w:val="StandardWeb"/>
      </w:pPr>
      <w:r>
        <w:t>\mathcal{C}_{L}^{(S)}.</w:t>
      </w:r>
      <w:r>
        <w:br/>
        <w:t>\tag{3.6279}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\Delta\mathcal{C}=\mathcal{C}_{L}^{(Z)}-\mathcal{C}_{L}^{(S)}\qquad\text{(3.6279)}</w:t>
      </w:r>
    </w:p>
    <w:p w:rsidR="00135380" w:rsidRDefault="00135380" w:rsidP="00135380">
      <w:pPr>
        <w:pStyle w:val="StandardWeb"/>
      </w:pPr>
      <w:r>
        <w:t>Die für eine Aussage (A_F) relevante Teilmenge dieser Unterschiede lautet</w:t>
      </w:r>
    </w:p>
    <w:p w:rsidR="00135380" w:rsidRDefault="00135380" w:rsidP="00135380">
      <w:pPr>
        <w:pStyle w:val="StandardWeb"/>
      </w:pPr>
      <w:r>
        <w:t>[</w:t>
      </w:r>
      <w:r>
        <w:br/>
        <w:t>\Delta\mathcal{C}_{A}</w:t>
      </w:r>
      <w:r>
        <w:br/>
        <w:t>\subseteq</w:t>
      </w:r>
      <w:r>
        <w:br/>
        <w:t>\Delta\mathcal{C}.</w:t>
      </w:r>
      <w:r>
        <w:br/>
        <w:t>\tag{3.6280}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\Delta\mathcal{C}_{A}\subseteq\Delta\mathcal{C}\qquad\text{(3.6280)}</w:t>
      </w:r>
    </w:p>
    <w:p w:rsidR="00135380" w:rsidRDefault="00135380" w:rsidP="00135380">
      <w:pPr>
        <w:pStyle w:val="StandardWeb"/>
      </w:pPr>
      <w:r>
        <w:t>Damit kann ein Systemwechsel große Veränderungen enthalten, ohne dass die betrachtete Aussage davon betroffen sein muss.</w:t>
      </w:r>
    </w:p>
    <w:p w:rsidR="00135380" w:rsidRDefault="00135380" w:rsidP="00135380">
      <w:pPr>
        <w:pStyle w:val="StandardWeb"/>
      </w:pPr>
      <w:r>
        <w:t>Umgekehrt kann eine scheinbar kleine Kontextänderung wissenschaftlich entscheidend sein, wenn sie gerade eine zentrale Voraussetzung der Aussage verändert.</w:t>
      </w:r>
    </w:p>
    <w:p w:rsidR="00135380" w:rsidRDefault="00135380" w:rsidP="00135380">
      <w:pPr>
        <w:pStyle w:val="StandardWeb"/>
      </w:pPr>
      <w:r>
        <w:t>Ich definiere deshalb eine Relevanzabbildung</w:t>
      </w:r>
    </w:p>
    <w:p w:rsidR="00135380" w:rsidRDefault="00135380" w:rsidP="00135380">
      <w:pPr>
        <w:pStyle w:val="StandardWeb"/>
      </w:pPr>
      <w:r>
        <w:t>[</w:t>
      </w:r>
      <w:r>
        <w:br/>
        <w:t>\operatorname{Rel}_{A}</w:t>
      </w:r>
      <w:r>
        <w:br/>
        <w:t>:</w:t>
      </w:r>
      <w:r>
        <w:br/>
        <w:t>\Delta\mathcal{C}</w:t>
      </w:r>
      <w:r>
        <w:br/>
        <w:t>\longrightarrow</w:t>
      </w:r>
      <w:r>
        <w:br/>
        <w:t>[0,1].</w:t>
      </w:r>
      <w:r>
        <w:br/>
        <w:t>\tag{3.6281}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\operatorname{Rel}_{A}:\Delta\mathcal{C}\longrightarrow[0,1]\qquad\text{(3.6281)}</w:t>
      </w:r>
    </w:p>
    <w:p w:rsidR="00135380" w:rsidRDefault="00135380" w:rsidP="00135380">
      <w:pPr>
        <w:pStyle w:val="StandardWeb"/>
      </w:pPr>
      <w:r>
        <w:t>Für eine Kontextänderung (\Delta c_j) beschreibt</w:t>
      </w:r>
    </w:p>
    <w:p w:rsidR="00135380" w:rsidRDefault="00135380" w:rsidP="00135380">
      <w:pPr>
        <w:pStyle w:val="berschrift1"/>
      </w:pPr>
      <w:r>
        <w:lastRenderedPageBreak/>
        <w:t>[</w:t>
      </w:r>
      <w:r>
        <w:br/>
        <w:t>r_j</w:t>
      </w:r>
    </w:p>
    <w:p w:rsidR="00135380" w:rsidRDefault="00135380" w:rsidP="00135380">
      <w:pPr>
        <w:pStyle w:val="StandardWeb"/>
      </w:pPr>
      <w:r>
        <w:t>\operatorname{Rel}_{A}</w:t>
      </w:r>
      <w:r>
        <w:br/>
        <w:t>\left(</w:t>
      </w:r>
      <w:r>
        <w:br/>
        <w:t>\Delta c_j</w:t>
      </w:r>
      <w:r>
        <w:br/>
        <w:t>\right)</w:t>
      </w:r>
      <w:r>
        <w:br/>
        <w:t>\tag{3.6282}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r_j=\operatorname{Rel}_{A}\left(\Delta c_j\right)\qquad\text{(3.6282)}</w:t>
      </w:r>
    </w:p>
    <w:p w:rsidR="00135380" w:rsidRDefault="00135380" w:rsidP="00135380">
      <w:pPr>
        <w:pStyle w:val="StandardWeb"/>
      </w:pPr>
      <w:r>
        <w:t>die Bedeutung dieser Änderung für die Gültigkeit der Aussage.</w:t>
      </w:r>
    </w:p>
    <w:p w:rsidR="00135380" w:rsidRDefault="00135380" w:rsidP="00135380">
      <w:pPr>
        <w:pStyle w:val="StandardWeb"/>
      </w:pPr>
      <w:r>
        <w:t>Dabei gilt</w:t>
      </w:r>
    </w:p>
    <w:p w:rsidR="00135380" w:rsidRDefault="00135380" w:rsidP="00135380">
      <w:pPr>
        <w:pStyle w:val="StandardWeb"/>
      </w:pPr>
      <w:r>
        <w:t>[</w:t>
      </w:r>
      <w:r>
        <w:br/>
        <w:t>0</w:t>
      </w:r>
      <w:r>
        <w:br/>
        <w:t>\leq</w:t>
      </w:r>
      <w:r>
        <w:br/>
        <w:t>r_j</w:t>
      </w:r>
      <w:r>
        <w:br/>
        <w:t>\leq</w:t>
      </w:r>
      <w:r>
        <w:br/>
        <w:t>1.</w:t>
      </w:r>
      <w:r>
        <w:br/>
        <w:t>\tag{3.6283}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0\leq r_j\leq1\qquad\text{(3.6283)}</w:t>
      </w:r>
    </w:p>
    <w:p w:rsidR="00135380" w:rsidRDefault="00135380" w:rsidP="00135380">
      <w:pPr>
        <w:pStyle w:val="StandardWeb"/>
      </w:pPr>
      <w:r>
        <w:t>Ein Wert nahe null bedeutet, dass die Veränderung für die betrachtete Aussage voraussichtlich nur geringe Bedeutung besitzt. Ein Wert nahe eins kennzeichnet dagegen eine hochgradig aussagerelevante Veränderung.</w:t>
      </w:r>
    </w:p>
    <w:p w:rsidR="00135380" w:rsidRDefault="00135380" w:rsidP="00135380">
      <w:pPr>
        <w:pStyle w:val="StandardWeb"/>
      </w:pPr>
      <w:r>
        <w:rPr>
          <w:rStyle w:val="Fett"/>
        </w:rPr>
        <w:t>Eigenleistung des FRZK</w:t>
      </w:r>
    </w:p>
    <w:p w:rsidR="00135380" w:rsidRDefault="00135380" w:rsidP="00135380">
      <w:pPr>
        <w:pStyle w:val="StandardWeb"/>
      </w:pPr>
      <w:r>
        <w:t xml:space="preserve">Ich löse die Übertragbarkeitsprüfung damit von einer pauschalen Systemähnlichkeit. Entscheidend ist nicht, </w:t>
      </w:r>
      <w:r>
        <w:rPr>
          <w:rStyle w:val="Fett"/>
        </w:rPr>
        <w:t>wie ähnlich zwei Systeme insgesamt sind</w:t>
      </w:r>
      <w:r>
        <w:t xml:space="preserve">, sondern </w:t>
      </w:r>
      <w:r>
        <w:rPr>
          <w:rStyle w:val="Fett"/>
        </w:rPr>
        <w:t>wie ähnlich sie hinsichtlich genau derjenigen Strukturen sind, von denen die betrachtete Aussage abhängt</w:t>
      </w:r>
      <w:r>
        <w:t>.</w:t>
      </w:r>
    </w:p>
    <w:p w:rsidR="00135380" w:rsidRDefault="00E50336" w:rsidP="00135380">
      <w:r>
        <w:pict>
          <v:rect id="_x0000_i1103" style="width:0;height:1.5pt" o:hralign="center" o:hrstd="t" o:hr="t" fillcolor="#a0a0a0" stroked="f"/>
        </w:pict>
      </w:r>
    </w:p>
    <w:p w:rsidR="00135380" w:rsidRDefault="00135380" w:rsidP="00135380">
      <w:pPr>
        <w:pStyle w:val="berschrift2"/>
      </w:pPr>
      <w:r>
        <w:t>3.3.38.9 Quell- und Zielaussage</w:t>
      </w:r>
    </w:p>
    <w:p w:rsidR="00135380" w:rsidRDefault="00135380" w:rsidP="00135380">
      <w:pPr>
        <w:pStyle w:val="StandardWeb"/>
      </w:pPr>
      <w:r>
        <w:t>Eine im Quellkontext gültige Aussage bezeichne ich mit</w:t>
      </w:r>
    </w:p>
    <w:p w:rsidR="00135380" w:rsidRDefault="00135380" w:rsidP="00135380">
      <w:pPr>
        <w:pStyle w:val="StandardWeb"/>
      </w:pPr>
      <w:r>
        <w:t>[</w:t>
      </w:r>
      <w:r>
        <w:br/>
        <w:t>A_F^{(S)}.</w:t>
      </w:r>
      <w:r>
        <w:br/>
      </w:r>
      <w:r>
        <w:lastRenderedPageBreak/>
        <w:t>\tag{3.6284}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A_F^{(S)}\qquad\text{(3.6284)}</w:t>
      </w:r>
    </w:p>
    <w:p w:rsidR="00135380" w:rsidRDefault="00135380" w:rsidP="00135380">
      <w:pPr>
        <w:pStyle w:val="StandardWeb"/>
      </w:pPr>
      <w:r>
        <w:t>Die entsprechende Zielaussage lautet</w:t>
      </w:r>
    </w:p>
    <w:p w:rsidR="00135380" w:rsidRDefault="00135380" w:rsidP="00135380">
      <w:pPr>
        <w:pStyle w:val="StandardWeb"/>
      </w:pPr>
      <w:r>
        <w:t>[</w:t>
      </w:r>
      <w:r>
        <w:br/>
        <w:t>A_F^{(Z)}.</w:t>
      </w:r>
      <w:r>
        <w:br/>
        <w:t>\tag{3.6285}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A_F^{(Z)}\qquad\text{(3.6285)}</w:t>
      </w:r>
    </w:p>
    <w:p w:rsidR="00135380" w:rsidRDefault="00135380" w:rsidP="00135380">
      <w:pPr>
        <w:pStyle w:val="StandardWeb"/>
      </w:pPr>
      <w:r>
        <w:t>Eine naive Übertragung würde voraussetzen</w:t>
      </w:r>
    </w:p>
    <w:p w:rsidR="00135380" w:rsidRDefault="00135380" w:rsidP="00135380">
      <w:pPr>
        <w:pStyle w:val="berschrift1"/>
      </w:pPr>
      <w:r>
        <w:t>[</w:t>
      </w:r>
      <w:r>
        <w:br/>
        <w:t>A_F^{(S)}</w:t>
      </w:r>
    </w:p>
    <w:p w:rsidR="00135380" w:rsidRDefault="00135380" w:rsidP="00135380">
      <w:pPr>
        <w:pStyle w:val="StandardWeb"/>
      </w:pPr>
      <w:r>
        <w:t>A_F^{(Z)}.</w:t>
      </w:r>
      <w:r>
        <w:br/>
        <w:t>\tag{3.6286}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A_F^{(S)}=A_F^{(Z)}\qquad\text{(3.6286)}</w:t>
      </w:r>
    </w:p>
    <w:p w:rsidR="00135380" w:rsidRDefault="00135380" w:rsidP="00135380">
      <w:pPr>
        <w:pStyle w:val="StandardWeb"/>
      </w:pPr>
      <w:r>
        <w:t>Diese Gleichsetzung ist jedoch nur dann zulässig, wenn die relevanten funktionalen Voraussetzungen erhalten bleiben.</w:t>
      </w:r>
    </w:p>
    <w:p w:rsidR="00135380" w:rsidRDefault="00135380" w:rsidP="00135380">
      <w:pPr>
        <w:pStyle w:val="StandardWeb"/>
      </w:pPr>
      <w:r>
        <w:t>Im Allgemeinen muss daher zunächst gelten</w:t>
      </w:r>
    </w:p>
    <w:p w:rsidR="00135380" w:rsidRDefault="00135380" w:rsidP="00135380">
      <w:pPr>
        <w:pStyle w:val="berschrift1"/>
      </w:pPr>
      <w:r>
        <w:t>[</w:t>
      </w:r>
      <w:r>
        <w:br/>
        <w:t>A_F^{(Z)}</w:t>
      </w:r>
    </w:p>
    <w:p w:rsidR="00135380" w:rsidRDefault="00135380" w:rsidP="00135380">
      <w:pPr>
        <w:pStyle w:val="StandardWeb"/>
      </w:pPr>
      <w:r>
        <w:t>\mathcal{T}</w:t>
      </w:r>
      <w:r>
        <w:rPr>
          <w:rStyle w:val="Hervorhebung"/>
        </w:rPr>
        <w:t>{A}</w:t>
      </w:r>
      <w:r>
        <w:rPr>
          <w:i/>
          <w:iCs/>
        </w:rPr>
        <w:br/>
      </w:r>
      <w:r>
        <w:rPr>
          <w:rStyle w:val="Hervorhebung"/>
        </w:rPr>
        <w:t>\left(</w:t>
      </w:r>
      <w:r>
        <w:rPr>
          <w:i/>
          <w:iCs/>
        </w:rPr>
        <w:br/>
      </w:r>
      <w:r>
        <w:rPr>
          <w:rStyle w:val="Hervorhebung"/>
        </w:rPr>
        <w:t>A_F^{(S)},</w:t>
      </w:r>
      <w:r>
        <w:rPr>
          <w:i/>
          <w:iCs/>
        </w:rPr>
        <w:br/>
      </w:r>
      <w:r>
        <w:rPr>
          <w:rStyle w:val="Hervorhebung"/>
        </w:rPr>
        <w:t>\mathcal{C}</w:t>
      </w:r>
      <w:r>
        <w:t>{L}^{(S)},</w:t>
      </w:r>
      <w:r>
        <w:br/>
        <w:t>\mathcal{C}_{L}^{(Z)}</w:t>
      </w:r>
      <w:r>
        <w:br/>
        <w:t>\right).</w:t>
      </w:r>
      <w:r>
        <w:br/>
        <w:t>\tag{3.6287}</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A_F^{(Z)}=\mathcal{T}_{A}\left(A_F^{(S)},\mathcal{C}_{L}^{(S)},\mathcal{C}_{L}^{(Z)}\right)\qquad\text{(3.6287)}</w:t>
      </w:r>
    </w:p>
    <w:p w:rsidR="00135380" w:rsidRDefault="00135380" w:rsidP="00135380">
      <w:pPr>
        <w:pStyle w:val="StandardWeb"/>
      </w:pPr>
      <w:r>
        <w:t xml:space="preserve">Dabei bezeichnet (\mathcal{T}_{A}) einen noch näher zu bestimmenden </w:t>
      </w:r>
      <w:r>
        <w:rPr>
          <w:rStyle w:val="Fett"/>
        </w:rPr>
        <w:t>Aussagetransportoperator</w:t>
      </w:r>
      <w:r>
        <w:t>.</w:t>
      </w:r>
    </w:p>
    <w:p w:rsidR="00135380" w:rsidRDefault="00135380" w:rsidP="00135380">
      <w:pPr>
        <w:pStyle w:val="StandardWeb"/>
      </w:pPr>
      <w:r>
        <w:t>Dieser Operator kann im Spezialfall die Identitätsabbildung sein:</w:t>
      </w:r>
    </w:p>
    <w:p w:rsidR="00135380" w:rsidRDefault="00135380" w:rsidP="00135380">
      <w:pPr>
        <w:pStyle w:val="berschrift1"/>
      </w:pPr>
      <w:r>
        <w:t>[</w:t>
      </w:r>
      <w:r>
        <w:br/>
        <w:t>\mathcal{T}_{A}</w:t>
      </w:r>
    </w:p>
    <w:p w:rsidR="00135380" w:rsidRDefault="00135380" w:rsidP="00135380">
      <w:pPr>
        <w:pStyle w:val="StandardWeb"/>
      </w:pPr>
      <w:r>
        <w:t>\operatorname{Id}.</w:t>
      </w:r>
      <w:r>
        <w:br/>
        <w:t>\tag{3.6288}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\mathcal{T}_{A}=\operatorname{Id}\qquad\text{(3.6288)}</w:t>
      </w:r>
    </w:p>
    <w:p w:rsidR="00135380" w:rsidRDefault="00135380" w:rsidP="00135380">
      <w:pPr>
        <w:pStyle w:val="StandardWeb"/>
      </w:pPr>
      <w:r>
        <w:t>Dann gilt</w:t>
      </w:r>
    </w:p>
    <w:p w:rsidR="00135380" w:rsidRDefault="00135380" w:rsidP="00135380">
      <w:pPr>
        <w:pStyle w:val="berschrift1"/>
      </w:pPr>
      <w:r>
        <w:t>[</w:t>
      </w:r>
      <w:r>
        <w:br/>
        <w:t>A_F^{(Z)}</w:t>
      </w:r>
    </w:p>
    <w:p w:rsidR="00135380" w:rsidRDefault="00135380" w:rsidP="00135380">
      <w:pPr>
        <w:pStyle w:val="StandardWeb"/>
      </w:pPr>
      <w:r>
        <w:t>A_F^{(S)}.</w:t>
      </w:r>
      <w:r>
        <w:br/>
        <w:t>\tag{3.6289}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A_F^{(Z)}=A_F^{(S)}\qquad\text{(3.6289)}</w:t>
      </w:r>
    </w:p>
    <w:p w:rsidR="00135380" w:rsidRDefault="00135380" w:rsidP="00135380">
      <w:pPr>
        <w:pStyle w:val="StandardWeb"/>
      </w:pPr>
      <w:r>
        <w:t>Ist dagegen eine Anpassung erforderlich, sind Quell- und Zielaussage nicht identisch.</w:t>
      </w:r>
    </w:p>
    <w:p w:rsidR="00135380" w:rsidRDefault="00E50336" w:rsidP="00135380">
      <w:r>
        <w:pict>
          <v:rect id="_x0000_i1104" style="width:0;height:1.5pt" o:hralign="center" o:hrstd="t" o:hr="t" fillcolor="#a0a0a0" stroked="f"/>
        </w:pict>
      </w:r>
    </w:p>
    <w:p w:rsidR="00135380" w:rsidRDefault="00135380" w:rsidP="00135380">
      <w:pPr>
        <w:pStyle w:val="berschrift2"/>
      </w:pPr>
      <w:r>
        <w:t>3.3.38.10 Definition des FRZK-Übertragbarkeitssystems</w:t>
      </w:r>
    </w:p>
    <w:p w:rsidR="00135380" w:rsidRDefault="00135380" w:rsidP="00135380">
      <w:pPr>
        <w:pStyle w:val="StandardWeb"/>
      </w:pPr>
      <w:r>
        <w:rPr>
          <w:rStyle w:val="Fett"/>
        </w:rPr>
        <w:t>Definition 3.3.30 – FRZK-Übertragbarkeitssystem</w:t>
      </w:r>
    </w:p>
    <w:p w:rsidR="00135380" w:rsidRDefault="00135380" w:rsidP="00135380">
      <w:pPr>
        <w:pStyle w:val="StandardWeb"/>
      </w:pPr>
      <w:r>
        <w:t>Ein FRZK-Übertragbarkeitssystem ist das geordnete Tupel</w:t>
      </w:r>
    </w:p>
    <w:p w:rsidR="00135380" w:rsidRDefault="00135380" w:rsidP="00135380">
      <w:pPr>
        <w:pStyle w:val="berschrift1"/>
      </w:pPr>
      <w:r>
        <w:t>[</w:t>
      </w:r>
      <w:r>
        <w:br/>
        <w:t>\mathfrak{T}_{F}^{\mathrm{trans}}</w:t>
      </w:r>
    </w:p>
    <w:p w:rsidR="00135380" w:rsidRDefault="00135380" w:rsidP="00135380">
      <w:pPr>
        <w:pStyle w:val="StandardWeb"/>
      </w:pPr>
      <w:r>
        <w:lastRenderedPageBreak/>
        <w:t>\left(</w:t>
      </w:r>
      <w:r>
        <w:br/>
        <w:t>\mathcal{C}</w:t>
      </w:r>
      <w:r>
        <w:rPr>
          <w:rStyle w:val="Hervorhebung"/>
        </w:rPr>
        <w:t>{L}^{(S)},</w:t>
      </w:r>
      <w:r>
        <w:rPr>
          <w:i/>
          <w:iCs/>
        </w:rPr>
        <w:br/>
      </w:r>
      <w:r>
        <w:rPr>
          <w:rStyle w:val="Hervorhebung"/>
        </w:rPr>
        <w:t>\mathcal{C}</w:t>
      </w:r>
      <w:r>
        <w:t>{L}^{(Z)},</w:t>
      </w:r>
      <w:r>
        <w:br/>
        <w:t>A_F^{(S)},</w:t>
      </w:r>
      <w:r>
        <w:br/>
        <w:t>A_F^{(Z)},</w:t>
      </w:r>
      <w:r>
        <w:br/>
        <w:t>\mathfrak{I}</w:t>
      </w:r>
      <w:r>
        <w:rPr>
          <w:rStyle w:val="Hervorhebung"/>
        </w:rPr>
        <w:t>{A},</w:t>
      </w:r>
      <w:r>
        <w:rPr>
          <w:i/>
          <w:iCs/>
        </w:rPr>
        <w:br/>
      </w:r>
      <w:r>
        <w:rPr>
          <w:rStyle w:val="Hervorhebung"/>
        </w:rPr>
        <w:t>\Delta\mathcal{C}</w:t>
      </w:r>
      <w:r>
        <w:t>{A},</w:t>
      </w:r>
      <w:r>
        <w:br/>
        <w:t>\mathcal{T}</w:t>
      </w:r>
      <w:r>
        <w:rPr>
          <w:rStyle w:val="Hervorhebung"/>
        </w:rPr>
        <w:t>{A},</w:t>
      </w:r>
      <w:r>
        <w:rPr>
          <w:i/>
          <w:iCs/>
        </w:rPr>
        <w:br/>
      </w:r>
      <w:r>
        <w:rPr>
          <w:rStyle w:val="Hervorhebung"/>
        </w:rPr>
        <w:t>\operatorname{Trans}</w:t>
      </w:r>
      <w:r>
        <w:t>{F}</w:t>
      </w:r>
      <w:r>
        <w:br/>
        <w:t>\right).</w:t>
      </w:r>
      <w:r>
        <w:br/>
        <w:t>\tag{3.6290}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\mathfrak{T}_{F}^{\mathrm{trans}}=\left(\mathcal{C}_{L}^{(S)},\mathcal{C}_{L}^{(Z)},A_F^{(S)},A_F^{(Z)},\mathfrak{I}_{A},\Delta\mathcal{C}_{A},\mathcal{T}_{A},\operatorname{Trans}_{F}\right)\qquad\text{(3.6290)}</w:t>
      </w:r>
    </w:p>
    <w:p w:rsidR="00135380" w:rsidRDefault="00135380" w:rsidP="00135380">
      <w:pPr>
        <w:pStyle w:val="StandardWeb"/>
      </w:pPr>
      <w:r>
        <w:t>Dabei bezeichnet</w:t>
      </w:r>
    </w:p>
    <w:p w:rsidR="00135380" w:rsidRDefault="00135380" w:rsidP="008C5E65">
      <w:pPr>
        <w:pStyle w:val="StandardWeb"/>
        <w:numPr>
          <w:ilvl w:val="0"/>
          <w:numId w:val="288"/>
        </w:numPr>
      </w:pPr>
      <w:r>
        <w:t>(\mathcal{C}_{L}^{(S)}) den Quellkontext,</w:t>
      </w:r>
    </w:p>
    <w:p w:rsidR="00135380" w:rsidRDefault="00135380" w:rsidP="008C5E65">
      <w:pPr>
        <w:pStyle w:val="StandardWeb"/>
        <w:numPr>
          <w:ilvl w:val="0"/>
          <w:numId w:val="288"/>
        </w:numPr>
      </w:pPr>
      <w:r>
        <w:t>(\mathcal{C}_{L}^{(Z)}) den Zielkontext,</w:t>
      </w:r>
    </w:p>
    <w:p w:rsidR="00135380" w:rsidRDefault="00135380" w:rsidP="008C5E65">
      <w:pPr>
        <w:pStyle w:val="StandardWeb"/>
        <w:numPr>
          <w:ilvl w:val="0"/>
          <w:numId w:val="288"/>
        </w:numPr>
      </w:pPr>
      <w:r>
        <w:t>(A_F^{(S)}) die Quellaussage,</w:t>
      </w:r>
    </w:p>
    <w:p w:rsidR="00135380" w:rsidRDefault="00135380" w:rsidP="008C5E65">
      <w:pPr>
        <w:pStyle w:val="StandardWeb"/>
        <w:numPr>
          <w:ilvl w:val="0"/>
          <w:numId w:val="288"/>
        </w:numPr>
      </w:pPr>
      <w:r>
        <w:t>(A_F^{(Z)}) die Zielaussage,</w:t>
      </w:r>
    </w:p>
    <w:p w:rsidR="00135380" w:rsidRDefault="00135380" w:rsidP="008C5E65">
      <w:pPr>
        <w:pStyle w:val="StandardWeb"/>
        <w:numPr>
          <w:ilvl w:val="0"/>
          <w:numId w:val="288"/>
        </w:numPr>
      </w:pPr>
      <w:r>
        <w:t>(\mathfrak{I}_{A}) die für die Aussage relevanten Invarianzen,</w:t>
      </w:r>
    </w:p>
    <w:p w:rsidR="00135380" w:rsidRDefault="00135380" w:rsidP="008C5E65">
      <w:pPr>
        <w:pStyle w:val="StandardWeb"/>
        <w:numPr>
          <w:ilvl w:val="0"/>
          <w:numId w:val="288"/>
        </w:numPr>
      </w:pPr>
      <w:r>
        <w:t>(\Delta\mathcal{C}_{A}) die aussagerelevanten Kontextunterschiede,</w:t>
      </w:r>
    </w:p>
    <w:p w:rsidR="00135380" w:rsidRDefault="00135380" w:rsidP="008C5E65">
      <w:pPr>
        <w:pStyle w:val="StandardWeb"/>
        <w:numPr>
          <w:ilvl w:val="0"/>
          <w:numId w:val="288"/>
        </w:numPr>
      </w:pPr>
      <w:r>
        <w:t>(\mathcal{T}_{A}) den Aussagetransportoperator,</w:t>
      </w:r>
    </w:p>
    <w:p w:rsidR="00135380" w:rsidRDefault="00135380" w:rsidP="008C5E65">
      <w:pPr>
        <w:pStyle w:val="StandardWeb"/>
        <w:numPr>
          <w:ilvl w:val="0"/>
          <w:numId w:val="288"/>
        </w:numPr>
      </w:pPr>
      <w:r>
        <w:t>(\operatorname{Trans}_{F}) das Transportierbarkeitsprädikat.</w:t>
      </w:r>
    </w:p>
    <w:p w:rsidR="00135380" w:rsidRDefault="00135380" w:rsidP="00135380">
      <w:pPr>
        <w:pStyle w:val="StandardWeb"/>
      </w:pPr>
      <w:r>
        <w:t>Das Transportierbarkeitsprädikat lautet</w:t>
      </w:r>
    </w:p>
    <w:p w:rsidR="00135380" w:rsidRDefault="00135380" w:rsidP="00135380">
      <w:pPr>
        <w:pStyle w:val="StandardWeb"/>
      </w:pPr>
      <w:r>
        <w:t>[</w:t>
      </w:r>
      <w:r>
        <w:br/>
        <w:t>\operatorname{Trans}</w:t>
      </w:r>
      <w:r>
        <w:rPr>
          <w:rStyle w:val="Hervorhebung"/>
        </w:rPr>
        <w:t>{F}</w:t>
      </w:r>
      <w:r>
        <w:rPr>
          <w:i/>
          <w:iCs/>
        </w:rPr>
        <w:br/>
      </w:r>
      <w:r>
        <w:rPr>
          <w:rStyle w:val="Hervorhebung"/>
        </w:rPr>
        <w:t>:</w:t>
      </w:r>
      <w:r>
        <w:rPr>
          <w:i/>
          <w:iCs/>
        </w:rPr>
        <w:br/>
      </w:r>
      <w:r>
        <w:rPr>
          <w:rStyle w:val="Hervorhebung"/>
        </w:rPr>
        <w:t>\mathfrak{T}</w:t>
      </w:r>
      <w:r>
        <w:t>{F}^{\mathrm{trans}}</w:t>
      </w:r>
      <w:r>
        <w:br/>
        <w:t>\longrightarrow</w:t>
      </w:r>
      <w:r>
        <w:br/>
        <w:t>{0,1}.</w:t>
      </w:r>
      <w:r>
        <w:br/>
        <w:t>\tag{3.6291}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\operatorname{Trans}_{F}:\mathfrak{T}_{F}^{\mathrm{trans}}\longrightarrow\{0,1\}\qquad\text{(3.6291)}</w:t>
      </w:r>
    </w:p>
    <w:p w:rsidR="00135380" w:rsidRDefault="00135380" w:rsidP="00135380">
      <w:pPr>
        <w:pStyle w:val="StandardWeb"/>
      </w:pPr>
      <w:r>
        <w:t>Für eine im definierten Sinn transportierbare Aussage gilt</w:t>
      </w:r>
    </w:p>
    <w:p w:rsidR="00135380" w:rsidRDefault="00135380" w:rsidP="00135380">
      <w:pPr>
        <w:pStyle w:val="berschrift1"/>
      </w:pPr>
      <w:r>
        <w:t>[</w:t>
      </w:r>
      <w:r>
        <w:br/>
        <w:t>\operatorname{Trans}</w:t>
      </w:r>
      <w:r>
        <w:rPr>
          <w:rStyle w:val="Hervorhebung"/>
        </w:rPr>
        <w:t>{F}</w:t>
      </w:r>
      <w:r>
        <w:rPr>
          <w:i/>
          <w:iCs/>
        </w:rPr>
        <w:br/>
      </w:r>
      <w:r>
        <w:rPr>
          <w:rStyle w:val="Hervorhebung"/>
        </w:rPr>
        <w:lastRenderedPageBreak/>
        <w:t>\left(</w:t>
      </w:r>
      <w:r>
        <w:rPr>
          <w:i/>
          <w:iCs/>
        </w:rPr>
        <w:br/>
      </w:r>
      <w:r>
        <w:rPr>
          <w:rStyle w:val="Hervorhebung"/>
        </w:rPr>
        <w:t>\mathfrak{T}</w:t>
      </w:r>
      <w:r>
        <w:t>{F}^{\mathrm{trans}}</w:t>
      </w:r>
      <w:r>
        <w:br/>
        <w:t>\right)</w:t>
      </w:r>
    </w:p>
    <w:p w:rsidR="00135380" w:rsidRDefault="00135380" w:rsidP="008C5E65">
      <w:pPr>
        <w:numPr>
          <w:ilvl w:val="0"/>
          <w:numId w:val="289"/>
        </w:numPr>
        <w:spacing w:before="100" w:beforeAutospacing="1" w:after="100" w:afterAutospacing="1"/>
      </w:pPr>
    </w:p>
    <w:p w:rsidR="00135380" w:rsidRDefault="00135380" w:rsidP="00135380">
      <w:pPr>
        <w:pStyle w:val="StandardWeb"/>
      </w:pPr>
      <w:r>
        <w:t>\tag{3.6292}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\operatorname{Trans}_{F}\left(\mathfrak{T}_{F}^{\mathrm{trans}}\right)=1\qquad\text{(3.6292)}</w:t>
      </w:r>
    </w:p>
    <w:p w:rsidR="00135380" w:rsidRDefault="00135380" w:rsidP="00135380">
      <w:pPr>
        <w:pStyle w:val="StandardWeb"/>
      </w:pPr>
      <w:r>
        <w:t>Der Wert (1) bedeutet dabei nicht universelle Gültigkeit. Er bedeutet ausschließlich, dass eine konkrete Aussage aus einem konkret bestimmten Quellkontext unter den dokumentierten Bedingungen in einen konkret bestimmten Zielkontext übertragen werden darf.</w:t>
      </w:r>
    </w:p>
    <w:p w:rsidR="00135380" w:rsidRDefault="00E50336" w:rsidP="00135380">
      <w:r>
        <w:pict>
          <v:rect id="_x0000_i1105" style="width:0;height:1.5pt" o:hralign="center" o:hrstd="t" o:hr="t" fillcolor="#a0a0a0" stroked="f"/>
        </w:pict>
      </w:r>
    </w:p>
    <w:p w:rsidR="00135380" w:rsidRDefault="00135380" w:rsidP="00135380">
      <w:pPr>
        <w:pStyle w:val="berschrift2"/>
      </w:pPr>
      <w:r>
        <w:t>3.3.38.11 Direkte Übertragbarkeit</w:t>
      </w:r>
    </w:p>
    <w:p w:rsidR="00135380" w:rsidRDefault="00135380" w:rsidP="00135380">
      <w:pPr>
        <w:pStyle w:val="StandardWeb"/>
      </w:pPr>
      <w:r>
        <w:t>Der einfachste Fall liegt vor, wenn sämtliche für die Aussage relevanten Eigenschaften zwischen Quell- und Zielsystem erhalten bleiben und keine zusätzliche Anpassung erforderlich ist.</w:t>
      </w:r>
    </w:p>
    <w:p w:rsidR="00135380" w:rsidRDefault="00135380" w:rsidP="00135380">
      <w:pPr>
        <w:pStyle w:val="StandardWeb"/>
      </w:pPr>
      <w:r>
        <w:t>Dann gilt</w:t>
      </w:r>
    </w:p>
    <w:p w:rsidR="00135380" w:rsidRDefault="00135380" w:rsidP="00135380">
      <w:pPr>
        <w:pStyle w:val="berschrift1"/>
      </w:pPr>
      <w:r>
        <w:t>[</w:t>
      </w:r>
      <w:r>
        <w:br/>
        <w:t>\Delta\mathcal{C}_{A}</w:t>
      </w:r>
    </w:p>
    <w:p w:rsidR="00135380" w:rsidRDefault="00135380" w:rsidP="00135380">
      <w:pPr>
        <w:pStyle w:val="StandardWeb"/>
      </w:pPr>
      <w:r>
        <w:t>\emptyset.</w:t>
      </w:r>
      <w:r>
        <w:br/>
        <w:t>\tag{3.6293}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\Delta\mathcal{C}_{A}=\emptyset\qquad\text{(3.6293)}</w:t>
      </w:r>
    </w:p>
    <w:p w:rsidR="00135380" w:rsidRDefault="00135380" w:rsidP="00135380">
      <w:pPr>
        <w:pStyle w:val="StandardWeb"/>
      </w:pPr>
      <w:r>
        <w:t>Für den Transportoperator folgt</w:t>
      </w:r>
    </w:p>
    <w:p w:rsidR="00135380" w:rsidRDefault="00135380" w:rsidP="00135380">
      <w:pPr>
        <w:pStyle w:val="berschrift1"/>
      </w:pPr>
      <w:r>
        <w:t>[</w:t>
      </w:r>
      <w:r>
        <w:br/>
        <w:t>\mathcal{T}_{A}</w:t>
      </w:r>
    </w:p>
    <w:p w:rsidR="00135380" w:rsidRDefault="00135380" w:rsidP="00135380">
      <w:pPr>
        <w:pStyle w:val="StandardWeb"/>
      </w:pPr>
      <w:r>
        <w:lastRenderedPageBreak/>
        <w:t>\operatorname{Id}.</w:t>
      </w:r>
      <w:r>
        <w:br/>
        <w:t>\tag{3.6294}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\mathcal{T}_{A}=\operatorname{Id}\qquad\text{(3.6294)}</w:t>
      </w:r>
    </w:p>
    <w:p w:rsidR="00135380" w:rsidRDefault="00135380" w:rsidP="00135380">
      <w:pPr>
        <w:pStyle w:val="StandardWeb"/>
      </w:pPr>
      <w:r>
        <w:t>Damit ergibt sich unmittelbar</w:t>
      </w:r>
    </w:p>
    <w:p w:rsidR="00135380" w:rsidRDefault="00135380" w:rsidP="00135380">
      <w:pPr>
        <w:pStyle w:val="berschrift1"/>
      </w:pPr>
      <w:r>
        <w:t>[</w:t>
      </w:r>
      <w:r>
        <w:br/>
        <w:t>A_F^{(Z)}</w:t>
      </w:r>
    </w:p>
    <w:p w:rsidR="00135380" w:rsidRDefault="00135380" w:rsidP="00135380">
      <w:pPr>
        <w:pStyle w:val="StandardWeb"/>
      </w:pPr>
      <w:r>
        <w:t>A_F^{(S)}.</w:t>
      </w:r>
      <w:r>
        <w:br/>
        <w:t>\tag{3.6295}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A_F^{(Z)}=A_F^{(S)}\qquad\text{(3.6295)}</w:t>
      </w:r>
    </w:p>
    <w:p w:rsidR="00135380" w:rsidRDefault="00135380" w:rsidP="00135380">
      <w:pPr>
        <w:pStyle w:val="StandardWeb"/>
      </w:pPr>
      <w:r>
        <w:t xml:space="preserve">Diese Form bezeichne ich als </w:t>
      </w:r>
      <w:r>
        <w:rPr>
          <w:rStyle w:val="Fett"/>
        </w:rPr>
        <w:t>direkte Übertragbarkeit</w:t>
      </w:r>
      <w:r>
        <w:t>.</w:t>
      </w:r>
    </w:p>
    <w:p w:rsidR="00135380" w:rsidRDefault="00135380" w:rsidP="00135380">
      <w:pPr>
        <w:pStyle w:val="StandardWeb"/>
      </w:pPr>
      <w:r>
        <w:t>Sie ist wissenschaftlich besonders stark, weil keine zusätzliche Korrektur zwischen Quell- und Zielsystem erforderlich ist.</w:t>
      </w:r>
    </w:p>
    <w:p w:rsidR="00135380" w:rsidRDefault="00E50336" w:rsidP="00135380">
      <w:r>
        <w:pict>
          <v:rect id="_x0000_i1106" style="width:0;height:1.5pt" o:hralign="center" o:hrstd="t" o:hr="t" fillcolor="#a0a0a0" stroked="f"/>
        </w:pict>
      </w:r>
    </w:p>
    <w:p w:rsidR="00135380" w:rsidRDefault="00135380" w:rsidP="00135380">
      <w:pPr>
        <w:pStyle w:val="berschrift2"/>
      </w:pPr>
      <w:r>
        <w:t>3.3.38.12 Bedingte Übertragbarkeit</w:t>
      </w:r>
    </w:p>
    <w:p w:rsidR="00135380" w:rsidRDefault="00135380" w:rsidP="00135380">
      <w:pPr>
        <w:pStyle w:val="StandardWeb"/>
      </w:pPr>
      <w:r>
        <w:t>Häufig unterscheiden sich Quell- und Zielsystem in relevanten Eigenschaften, ohne dass dadurch jede Übertragung unmöglich wird.</w:t>
      </w:r>
    </w:p>
    <w:p w:rsidR="00135380" w:rsidRDefault="00135380" w:rsidP="00135380">
      <w:pPr>
        <w:pStyle w:val="StandardWeb"/>
      </w:pPr>
      <w:r>
        <w:t>Dann gilt</w:t>
      </w:r>
    </w:p>
    <w:p w:rsidR="00135380" w:rsidRDefault="00135380" w:rsidP="00135380">
      <w:pPr>
        <w:pStyle w:val="StandardWeb"/>
      </w:pPr>
      <w:r>
        <w:t>[</w:t>
      </w:r>
      <w:r>
        <w:br/>
        <w:t>\Delta\mathcal{C}_{A}</w:t>
      </w:r>
      <w:r>
        <w:br/>
        <w:t>\neq</w:t>
      </w:r>
      <w:r>
        <w:br/>
        <w:t>\emptyset.</w:t>
      </w:r>
      <w:r>
        <w:br/>
        <w:t>\tag{3.6296}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\Delta\mathcal{C}_{A}\neq\emptyset\qquad\text{(3.6296)}</w:t>
      </w:r>
    </w:p>
    <w:p w:rsidR="00135380" w:rsidRDefault="00135380" w:rsidP="00135380">
      <w:pPr>
        <w:pStyle w:val="StandardWeb"/>
      </w:pPr>
      <w:r>
        <w:t>Der Transportoperator muss diese Unterschiede berücksichtigen:</w:t>
      </w:r>
    </w:p>
    <w:p w:rsidR="00135380" w:rsidRDefault="00135380" w:rsidP="00135380">
      <w:pPr>
        <w:pStyle w:val="StandardWeb"/>
      </w:pPr>
      <w:r>
        <w:t>[</w:t>
      </w:r>
      <w:r>
        <w:br/>
        <w:t>\mathcal{T}_{A}</w:t>
      </w:r>
      <w:r>
        <w:br/>
      </w:r>
      <w:r>
        <w:lastRenderedPageBreak/>
        <w:t>\neq</w:t>
      </w:r>
      <w:r>
        <w:br/>
        <w:t>\operatorname{Id}.</w:t>
      </w:r>
      <w:r>
        <w:br/>
        <w:t>\tag{3.6297}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\mathcal{T}_{A}\neq\operatorname{Id}\qquad\text{(3.6297)}</w:t>
      </w:r>
    </w:p>
    <w:p w:rsidR="00135380" w:rsidRDefault="00135380" w:rsidP="00135380">
      <w:pPr>
        <w:pStyle w:val="StandardWeb"/>
      </w:pPr>
      <w:r>
        <w:t>Damit gilt allgemein</w:t>
      </w:r>
    </w:p>
    <w:p w:rsidR="00135380" w:rsidRDefault="00135380" w:rsidP="00135380">
      <w:pPr>
        <w:pStyle w:val="StandardWeb"/>
      </w:pPr>
      <w:r>
        <w:t>[</w:t>
      </w:r>
      <w:r>
        <w:br/>
        <w:t>A_F^{(Z)}</w:t>
      </w:r>
      <w:r>
        <w:br/>
        <w:t>\neq</w:t>
      </w:r>
      <w:r>
        <w:br/>
        <w:t>A_F^{(S)}.</w:t>
      </w:r>
      <w:r>
        <w:br/>
        <w:t>\tag{3.6298}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A_F^{(Z)}\neq A_F^{(S)}\qquad\text{(3.6298)}</w:t>
      </w:r>
    </w:p>
    <w:p w:rsidR="00135380" w:rsidRDefault="00135380" w:rsidP="00135380">
      <w:pPr>
        <w:pStyle w:val="StandardWeb"/>
      </w:pPr>
      <w:r>
        <w:t>Eine zulässige Übertragung besitzt dann die Form</w:t>
      </w:r>
    </w:p>
    <w:p w:rsidR="00135380" w:rsidRDefault="00135380" w:rsidP="00135380">
      <w:pPr>
        <w:pStyle w:val="berschrift1"/>
      </w:pPr>
      <w:r>
        <w:t>[</w:t>
      </w:r>
      <w:r>
        <w:br/>
        <w:t>A_F^{(Z)}</w:t>
      </w:r>
    </w:p>
    <w:p w:rsidR="00135380" w:rsidRDefault="00135380" w:rsidP="00135380">
      <w:pPr>
        <w:pStyle w:val="StandardWeb"/>
      </w:pPr>
      <w:r>
        <w:t>\mathcal{T}_{A}</w:t>
      </w:r>
      <w:r>
        <w:br/>
        <w:t>\left(</w:t>
      </w:r>
      <w:r>
        <w:br/>
        <w:t>A_F^{(S)}</w:t>
      </w:r>
      <w:r>
        <w:br/>
        <w:t>\right).</w:t>
      </w:r>
      <w:r>
        <w:br/>
        <w:t>\tag{3.6299}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A_F^{(Z)}=\mathcal{T}_{A}\left(A_F^{(S)}\right)\qquad\text{(3.6299)}</w:t>
      </w:r>
    </w:p>
    <w:p w:rsidR="00135380" w:rsidRDefault="00135380" w:rsidP="00135380">
      <w:pPr>
        <w:pStyle w:val="StandardWeb"/>
      </w:pPr>
      <w:r>
        <w:t xml:space="preserve">Diese Form bezeichne ich als </w:t>
      </w:r>
      <w:r>
        <w:rPr>
          <w:rStyle w:val="Fett"/>
        </w:rPr>
        <w:t>bedingte Übertragbarkeit</w:t>
      </w:r>
      <w:r>
        <w:t>.</w:t>
      </w:r>
    </w:p>
    <w:p w:rsidR="00135380" w:rsidRDefault="00E50336" w:rsidP="00135380">
      <w:r>
        <w:pict>
          <v:rect id="_x0000_i1107" style="width:0;height:1.5pt" o:hralign="center" o:hrstd="t" o:hr="t" fillcolor="#a0a0a0" stroked="f"/>
        </w:pict>
      </w:r>
    </w:p>
    <w:p w:rsidR="00135380" w:rsidRDefault="00135380" w:rsidP="00135380">
      <w:pPr>
        <w:pStyle w:val="berschrift2"/>
      </w:pPr>
      <w:r>
        <w:t>3.3.38.13 Nichtübertragbarkeit</w:t>
      </w:r>
    </w:p>
    <w:p w:rsidR="00135380" w:rsidRDefault="00135380" w:rsidP="00135380">
      <w:pPr>
        <w:pStyle w:val="StandardWeb"/>
      </w:pPr>
      <w:r>
        <w:t>Es existieren Kontextunterschiede, die eine wissenschaftlich gerechtfertigte Übertragung vollständig verhindern.</w:t>
      </w:r>
    </w:p>
    <w:p w:rsidR="00135380" w:rsidRDefault="00135380" w:rsidP="00135380">
      <w:pPr>
        <w:pStyle w:val="StandardWeb"/>
      </w:pPr>
      <w:r>
        <w:t>Sei eine relevante Invarianz verletzt:</w:t>
      </w:r>
    </w:p>
    <w:p w:rsidR="00135380" w:rsidRDefault="00135380" w:rsidP="00135380">
      <w:pPr>
        <w:pStyle w:val="StandardWeb"/>
      </w:pPr>
      <w:r>
        <w:lastRenderedPageBreak/>
        <w:t>[</w:t>
      </w:r>
      <w:r>
        <w:br/>
        <w:t>\exists</w:t>
      </w:r>
      <w:r>
        <w:br/>
        <w:t>I_k</w:t>
      </w:r>
      <w:r>
        <w:br/>
        <w:t>\in</w:t>
      </w:r>
      <w:r>
        <w:br/>
        <w:t>\mathfrak{I}</w:t>
      </w:r>
      <w:r>
        <w:rPr>
          <w:rStyle w:val="Hervorhebung"/>
        </w:rPr>
        <w:t>{A}:</w:t>
      </w:r>
      <w:r>
        <w:rPr>
          <w:i/>
          <w:iCs/>
        </w:rPr>
        <w:br/>
      </w:r>
      <w:r>
        <w:rPr>
          <w:rStyle w:val="Hervorhebung"/>
        </w:rPr>
        <w:t>\quad</w:t>
      </w:r>
      <w:r>
        <w:rPr>
          <w:i/>
          <w:iCs/>
        </w:rPr>
        <w:br/>
      </w:r>
      <w:r>
        <w:rPr>
          <w:rStyle w:val="Hervorhebung"/>
        </w:rPr>
        <w:t>I_k</w:t>
      </w:r>
      <w:r>
        <w:rPr>
          <w:i/>
          <w:iCs/>
        </w:rPr>
        <w:br/>
      </w:r>
      <w:r>
        <w:rPr>
          <w:rStyle w:val="Hervorhebung"/>
        </w:rPr>
        <w:t>\left(</w:t>
      </w:r>
      <w:r>
        <w:rPr>
          <w:i/>
          <w:iCs/>
        </w:rPr>
        <w:br/>
      </w:r>
      <w:r>
        <w:rPr>
          <w:rStyle w:val="Hervorhebung"/>
        </w:rPr>
        <w:t>\mathcal{C}</w:t>
      </w:r>
      <w:r>
        <w:t>{L}^{(S)}</w:t>
      </w:r>
      <w:r>
        <w:br/>
        <w:t>\right)</w:t>
      </w:r>
      <w:r>
        <w:br/>
        <w:t>\neq</w:t>
      </w:r>
      <w:r>
        <w:br/>
        <w:t>I_k</w:t>
      </w:r>
      <w:r>
        <w:br/>
        <w:t>\left(</w:t>
      </w:r>
      <w:r>
        <w:br/>
        <w:t>\mathcal{C}_{L}^{(Z)}</w:t>
      </w:r>
      <w:r>
        <w:br/>
        <w:t>\right).</w:t>
      </w:r>
      <w:r>
        <w:br/>
        <w:t>\tag{3.6300}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\exists I_k\in\mathfrak{I}_{A}:I_k\left(\mathcal{C}_{L}^{(S)}\right)\neq I_k\left(\mathcal{C}_{L}^{(Z)}\right)\qquad\text{(3.6300)}</w:t>
      </w:r>
    </w:p>
    <w:p w:rsidR="00135380" w:rsidRDefault="00135380" w:rsidP="00135380">
      <w:pPr>
        <w:pStyle w:val="StandardWeb"/>
      </w:pPr>
      <w:r>
        <w:t>Wenn keine wissenschaftlich begründbare Korrektur existiert,</w:t>
      </w:r>
    </w:p>
    <w:p w:rsidR="00135380" w:rsidRDefault="00135380" w:rsidP="00135380">
      <w:pPr>
        <w:pStyle w:val="StandardWeb"/>
      </w:pPr>
      <w:r>
        <w:t>[</w:t>
      </w:r>
      <w:r>
        <w:br/>
        <w:t>\nexists</w:t>
      </w:r>
      <w:r>
        <w:br/>
        <w:t>\mathcal{T}_{A}</w:t>
      </w:r>
      <w:r>
        <w:br/>
        <w:t>:</w:t>
      </w:r>
      <w:r>
        <w:br/>
        <w:t>A_F^{(S)}</w:t>
      </w:r>
      <w:r>
        <w:br/>
        <w:t>\mapsto</w:t>
      </w:r>
      <w:r>
        <w:br/>
        <w:t>A_F^{(Z)},</w:t>
      </w:r>
      <w:r>
        <w:br/>
        <w:t>\tag{3.6301}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\nexists\mathcal{T}_{A}:A_F^{(S)}\mapsto A_F^{(Z)}\qquad\text{(3.6301)}</w:t>
      </w:r>
    </w:p>
    <w:p w:rsidR="00135380" w:rsidRDefault="00135380" w:rsidP="00135380">
      <w:pPr>
        <w:pStyle w:val="StandardWeb"/>
      </w:pPr>
      <w:r>
        <w:t>dann gilt</w:t>
      </w:r>
    </w:p>
    <w:p w:rsidR="00135380" w:rsidRDefault="00135380" w:rsidP="00135380">
      <w:pPr>
        <w:pStyle w:val="berschrift1"/>
      </w:pPr>
      <w:r>
        <w:t>[</w:t>
      </w:r>
      <w:r>
        <w:br/>
        <w:t>\operatorname{Trans}</w:t>
      </w:r>
      <w:r>
        <w:rPr>
          <w:rStyle w:val="Hervorhebung"/>
        </w:rPr>
        <w:t>{F}</w:t>
      </w:r>
      <w:r>
        <w:rPr>
          <w:i/>
          <w:iCs/>
        </w:rPr>
        <w:br/>
      </w:r>
      <w:r>
        <w:rPr>
          <w:rStyle w:val="Hervorhebung"/>
        </w:rPr>
        <w:t>\left(</w:t>
      </w:r>
      <w:r>
        <w:rPr>
          <w:i/>
          <w:iCs/>
        </w:rPr>
        <w:br/>
      </w:r>
      <w:r>
        <w:rPr>
          <w:rStyle w:val="Hervorhebung"/>
        </w:rPr>
        <w:t>\mathfrak{T}</w:t>
      </w:r>
      <w:r>
        <w:t>{F}^{\mathrm{trans}}</w:t>
      </w:r>
      <w:r>
        <w:br/>
        <w:t>\right)</w:t>
      </w:r>
    </w:p>
    <w:p w:rsidR="00135380" w:rsidRDefault="00135380" w:rsidP="008C5E65">
      <w:pPr>
        <w:numPr>
          <w:ilvl w:val="0"/>
          <w:numId w:val="290"/>
        </w:numPr>
        <w:spacing w:before="100" w:beforeAutospacing="1" w:after="100" w:afterAutospacing="1"/>
      </w:pPr>
    </w:p>
    <w:p w:rsidR="00135380" w:rsidRDefault="00135380" w:rsidP="00135380">
      <w:pPr>
        <w:pStyle w:val="StandardWeb"/>
      </w:pPr>
      <w:r>
        <w:lastRenderedPageBreak/>
        <w:t>\tag{3.6302}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\operatorname{Trans}_{F}\left(\mathfrak{T}_{F}^{\mathrm{trans}}\right)=0\qquad\text{(3.6302)}</w:t>
      </w:r>
    </w:p>
    <w:p w:rsidR="00135380" w:rsidRDefault="00135380" w:rsidP="00135380">
      <w:pPr>
        <w:pStyle w:val="StandardWeb"/>
      </w:pPr>
      <w:r>
        <w:t>Eine solche Aussage muss im Zielkontext neu geprüft werden.</w:t>
      </w:r>
    </w:p>
    <w:p w:rsidR="00135380" w:rsidRDefault="00E50336" w:rsidP="00135380">
      <w:r>
        <w:pict>
          <v:rect id="_x0000_i1108" style="width:0;height:1.5pt" o:hralign="center" o:hrstd="t" o:hr="t" fillcolor="#a0a0a0" stroked="f"/>
        </w:pict>
      </w:r>
    </w:p>
    <w:p w:rsidR="00135380" w:rsidRDefault="00135380" w:rsidP="00135380">
      <w:pPr>
        <w:pStyle w:val="berschrift2"/>
      </w:pPr>
      <w:r>
        <w:t>3.3.38.14 Gültigkeitsdomäne</w:t>
      </w:r>
    </w:p>
    <w:p w:rsidR="00135380" w:rsidRDefault="00135380" w:rsidP="00135380">
      <w:pPr>
        <w:pStyle w:val="StandardWeb"/>
      </w:pPr>
      <w:r>
        <w:t>Eine wissenschaftliche Aussage sollte nicht nur als gültig oder ungültig gekennzeichnet werden. Zusätzlich muss ihr tatsächlicher Gültigkeitsbereich bestimmt werden.</w:t>
      </w:r>
    </w:p>
    <w:p w:rsidR="00135380" w:rsidRDefault="00135380" w:rsidP="00135380">
      <w:pPr>
        <w:pStyle w:val="StandardWeb"/>
      </w:pPr>
      <w:r>
        <w:t>Ich definiere die Gültigkeitsdomäne einer Aussage (A_F) als</w:t>
      </w:r>
    </w:p>
    <w:p w:rsidR="00135380" w:rsidRDefault="00135380" w:rsidP="00135380">
      <w:pPr>
        <w:pStyle w:val="berschrift1"/>
      </w:pPr>
      <w:r>
        <w:t>[</w:t>
      </w:r>
      <w:r>
        <w:br/>
        <w:t>\mathfrak{D}</w:t>
      </w:r>
      <w:r>
        <w:br/>
        <w:t>\left(</w:t>
      </w:r>
      <w:r>
        <w:br/>
        <w:t>A_F</w:t>
      </w:r>
      <w:r>
        <w:br/>
        <w:t>\right)</w:t>
      </w:r>
    </w:p>
    <w:p w:rsidR="00135380" w:rsidRDefault="00135380" w:rsidP="00135380">
      <w:pPr>
        <w:pStyle w:val="StandardWeb"/>
      </w:pPr>
      <w:r>
        <w:t>\left{</w:t>
      </w:r>
      <w:r>
        <w:br/>
        <w:t>\mathcal{C}</w:t>
      </w:r>
      <w:r>
        <w:br/>
        <w:t>\mid</w:t>
      </w:r>
      <w:r>
        <w:br/>
        <w:t>A_F</w:t>
      </w:r>
      <w:r>
        <w:br/>
        <w:t>\text{ gilt in }</w:t>
      </w:r>
      <w:r>
        <w:br/>
        <w:t>\mathcal{C}</w:t>
      </w:r>
      <w:r>
        <w:br/>
        <w:t>\right}.</w:t>
      </w:r>
      <w:r>
        <w:br/>
        <w:t>\tag{3.6303}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\mathfrak{D}\left(A_F\right)=\left\{\mathcal{C}\mid A_F\text{ gilt in }\mathcal{C}\right\}\qquad\text{(3.6303)}</w:t>
      </w:r>
    </w:p>
    <w:p w:rsidR="00135380" w:rsidRDefault="00135380" w:rsidP="00135380">
      <w:pPr>
        <w:pStyle w:val="StandardWeb"/>
      </w:pPr>
      <w:r>
        <w:t>Der ursprüngliche lokale Kontext erfüllt</w:t>
      </w:r>
    </w:p>
    <w:p w:rsidR="00135380" w:rsidRDefault="00135380" w:rsidP="00135380">
      <w:pPr>
        <w:pStyle w:val="StandardWeb"/>
      </w:pPr>
      <w:r>
        <w:t>[</w:t>
      </w:r>
      <w:r>
        <w:br/>
        <w:t>\mathcal{C}_{L}^{(S)}</w:t>
      </w:r>
      <w:r>
        <w:br/>
        <w:t>\in</w:t>
      </w:r>
      <w:r>
        <w:br/>
        <w:t>\mathfrak{D}</w:t>
      </w:r>
      <w:r>
        <w:br/>
        <w:t>\left(</w:t>
      </w:r>
      <w:r>
        <w:br/>
        <w:t>A_F</w:t>
      </w:r>
      <w:r>
        <w:br/>
      </w:r>
      <w:r>
        <w:lastRenderedPageBreak/>
        <w:t>\right).</w:t>
      </w:r>
      <w:r>
        <w:br/>
        <w:t>\tag{3.6304}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\mathcal{C}_{L}^{(S)}\in\mathfrak{D}\left(A_F\right)\qquad\text{(3.6304)}</w:t>
      </w:r>
    </w:p>
    <w:p w:rsidR="00135380" w:rsidRDefault="00135380" w:rsidP="00135380">
      <w:pPr>
        <w:pStyle w:val="StandardWeb"/>
      </w:pPr>
      <w:r>
        <w:t>Eine erfolgreiche Übertragung erweitert diese Domäne:</w:t>
      </w:r>
    </w:p>
    <w:p w:rsidR="00135380" w:rsidRDefault="00135380" w:rsidP="00135380">
      <w:pPr>
        <w:pStyle w:val="StandardWeb"/>
      </w:pPr>
      <w:r>
        <w:t>[</w:t>
      </w:r>
      <w:r>
        <w:br/>
        <w:t>\mathcal{C}_{L}^{(Z)}</w:t>
      </w:r>
      <w:r>
        <w:br/>
        <w:t>\in</w:t>
      </w:r>
      <w:r>
        <w:br/>
        <w:t>\mathfrak{D}</w:t>
      </w:r>
      <w:r>
        <w:br/>
        <w:t>\left(</w:t>
      </w:r>
      <w:r>
        <w:br/>
        <w:t>A_F</w:t>
      </w:r>
      <w:r>
        <w:br/>
        <w:t>\right).</w:t>
      </w:r>
      <w:r>
        <w:br/>
        <w:t>\tag{3.6305}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\mathcal{C}_{L}^{(Z)}\in\mathfrak{D}\left(A_F\right)\qquad\text{(3.6305)}</w:t>
      </w:r>
    </w:p>
    <w:p w:rsidR="00135380" w:rsidRDefault="00135380" w:rsidP="00135380">
      <w:pPr>
        <w:pStyle w:val="StandardWeb"/>
      </w:pPr>
      <w:r>
        <w:t>Damit kann wissenschaftlicher Erkenntnisfortschritt auch als schrittweise Erweiterung einer empirisch abgesicherten Gültigkeitsdomäne verstanden werden.</w:t>
      </w:r>
    </w:p>
    <w:p w:rsidR="00135380" w:rsidRDefault="00E50336" w:rsidP="00135380">
      <w:r>
        <w:pict>
          <v:rect id="_x0000_i1109" style="width:0;height:1.5pt" o:hralign="center" o:hrstd="t" o:hr="t" fillcolor="#a0a0a0" stroked="f"/>
        </w:pict>
      </w:r>
    </w:p>
    <w:p w:rsidR="00135380" w:rsidRDefault="00135380" w:rsidP="00135380">
      <w:pPr>
        <w:pStyle w:val="berschrift2"/>
      </w:pPr>
      <w:r>
        <w:t>3.3.38.15 Lokale, regionale und universelle Gültigkeit</w:t>
      </w:r>
    </w:p>
    <w:p w:rsidR="00135380" w:rsidRDefault="00135380" w:rsidP="00135380">
      <w:pPr>
        <w:pStyle w:val="StandardWeb"/>
      </w:pPr>
      <w:r>
        <w:t>Auf Grundlage der Gültigkeitsdomäne unterscheide ich drei Ebenen.</w:t>
      </w:r>
    </w:p>
    <w:p w:rsidR="00135380" w:rsidRDefault="00135380" w:rsidP="00135380">
      <w:pPr>
        <w:pStyle w:val="StandardWeb"/>
      </w:pPr>
      <w:r>
        <w:t>Für eine lokale Aussage gilt</w:t>
      </w:r>
    </w:p>
    <w:p w:rsidR="00135380" w:rsidRDefault="00135380" w:rsidP="00135380">
      <w:pPr>
        <w:pStyle w:val="berschrift1"/>
      </w:pPr>
      <w:r>
        <w:t>[</w:t>
      </w:r>
      <w:r>
        <w:br/>
        <w:t>\left|</w:t>
      </w:r>
      <w:r>
        <w:br/>
        <w:t>\mathfrak{D}</w:t>
      </w:r>
      <w:r>
        <w:br/>
        <w:t>\left(</w:t>
      </w:r>
      <w:r>
        <w:br/>
        <w:t>A_F</w:t>
      </w:r>
      <w:r>
        <w:br/>
        <w:t>\right)</w:t>
      </w:r>
      <w:r>
        <w:br/>
        <w:t>\right|</w:t>
      </w:r>
    </w:p>
    <w:p w:rsidR="00135380" w:rsidRDefault="00135380" w:rsidP="00135380">
      <w:pPr>
        <w:pStyle w:val="StandardWeb"/>
      </w:pPr>
      <w:r>
        <w:t>1</w:t>
      </w:r>
      <w:r>
        <w:br/>
        <w:t>\tag{3.6306}</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\left|\mathfrak{D}\left(A_F\right)\right|=1\qquad\text{(3.6306)}</w:t>
      </w:r>
    </w:p>
    <w:p w:rsidR="00135380" w:rsidRDefault="00135380" w:rsidP="00135380">
      <w:pPr>
        <w:pStyle w:val="StandardWeb"/>
      </w:pPr>
      <w:r>
        <w:t>beziehungsweise sie ist zunächst nur für einen explizit bestimmten Kontext nachgewiesen.</w:t>
      </w:r>
    </w:p>
    <w:p w:rsidR="00135380" w:rsidRDefault="00135380" w:rsidP="00135380">
      <w:pPr>
        <w:pStyle w:val="StandardWeb"/>
      </w:pPr>
      <w:r>
        <w:t>Eine regional gültige Aussage besitzt</w:t>
      </w:r>
    </w:p>
    <w:p w:rsidR="00135380" w:rsidRDefault="00135380" w:rsidP="00135380">
      <w:pPr>
        <w:pStyle w:val="StandardWeb"/>
      </w:pPr>
      <w:r>
        <w:t>[</w:t>
      </w:r>
      <w:r>
        <w:br/>
        <w:t>1</w:t>
      </w:r>
      <w:r>
        <w:br/>
        <w:t>&lt;</w:t>
      </w:r>
      <w:r>
        <w:br/>
        <w:t>\left|</w:t>
      </w:r>
      <w:r>
        <w:br/>
        <w:t>\mathfrak{D}</w:t>
      </w:r>
      <w:r>
        <w:br/>
        <w:t>\left(</w:t>
      </w:r>
      <w:r>
        <w:br/>
        <w:t>A_F</w:t>
      </w:r>
      <w:r>
        <w:br/>
        <w:t>\right)</w:t>
      </w:r>
      <w:r>
        <w:br/>
        <w:t>\right|</w:t>
      </w:r>
      <w:r>
        <w:br/>
        <w:t>&lt;</w:t>
      </w:r>
      <w:r>
        <w:br/>
        <w:t>\left|</w:t>
      </w:r>
      <w:r>
        <w:br/>
        <w:t>\mathfrak{C}_{\mathrm{zul}}</w:t>
      </w:r>
      <w:r>
        <w:br/>
        <w:t>\right|.</w:t>
      </w:r>
      <w:r>
        <w:br/>
        <w:t>\tag{3.6307}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1&lt;\left|\mathfrak{D}\left(A_F\right)\right|&lt;\left|\mathfrak{C}_{\mathrm{zul}}\right|\qquad\text{(3.6307)}</w:t>
      </w:r>
    </w:p>
    <w:p w:rsidR="00135380" w:rsidRDefault="00135380" w:rsidP="00135380">
      <w:pPr>
        <w:pStyle w:val="StandardWeb"/>
      </w:pPr>
      <w:r>
        <w:t>Dabei bezeichnet (\mathfrak{C}_{\mathrm{zul}}) die Menge aller innerhalb des jeweiligen Gegenstandsbereichs zulässigen Kontexte.</w:t>
      </w:r>
    </w:p>
    <w:p w:rsidR="00135380" w:rsidRDefault="00135380" w:rsidP="00135380">
      <w:pPr>
        <w:pStyle w:val="StandardWeb"/>
      </w:pPr>
      <w:r>
        <w:t>Eine universell gültige Aussage würde verlangen</w:t>
      </w:r>
    </w:p>
    <w:p w:rsidR="00135380" w:rsidRDefault="00135380" w:rsidP="00135380">
      <w:pPr>
        <w:pStyle w:val="berschrift1"/>
      </w:pPr>
      <w:r>
        <w:t>[</w:t>
      </w:r>
      <w:r>
        <w:br/>
        <w:t>\mathfrak{D}</w:t>
      </w:r>
      <w:r>
        <w:br/>
        <w:t>\left(</w:t>
      </w:r>
      <w:r>
        <w:br/>
        <w:t>A_F</w:t>
      </w:r>
      <w:r>
        <w:br/>
        <w:t>\right)</w:t>
      </w:r>
    </w:p>
    <w:p w:rsidR="00135380" w:rsidRDefault="00135380" w:rsidP="00135380">
      <w:pPr>
        <w:pStyle w:val="StandardWeb"/>
      </w:pPr>
      <w:r>
        <w:t>\mathfrak{C}_{\mathrm{zul}}.</w:t>
      </w:r>
      <w:r>
        <w:br/>
        <w:t>\tag{3.6308}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\mathfrak{D}\left(A_F\right)=\mathfrak{C}_{\mathrm{zul}}\qquad\text{(3.6308)}</w:t>
      </w:r>
    </w:p>
    <w:p w:rsidR="00135380" w:rsidRDefault="00135380" w:rsidP="00135380">
      <w:pPr>
        <w:pStyle w:val="StandardWeb"/>
      </w:pPr>
      <w:r>
        <w:lastRenderedPageBreak/>
        <w:t>Eine solche Universalität ist empirisch besonders anspruchsvoll und darf nicht allein aus einer großen Zahl bestätigender Einzelfälle geschlossen werden.</w:t>
      </w:r>
    </w:p>
    <w:p w:rsidR="00135380" w:rsidRDefault="00E50336" w:rsidP="00135380">
      <w:r>
        <w:pict>
          <v:rect id="_x0000_i1110" style="width:0;height:1.5pt" o:hralign="center" o:hrstd="t" o:hr="t" fillcolor="#a0a0a0" stroked="f"/>
        </w:pict>
      </w:r>
    </w:p>
    <w:p w:rsidR="00135380" w:rsidRDefault="00135380" w:rsidP="00135380">
      <w:pPr>
        <w:pStyle w:val="berschrift2"/>
      </w:pPr>
      <w:r>
        <w:t>3.3.38.16 Kontextdistanz</w:t>
      </w:r>
    </w:p>
    <w:p w:rsidR="00135380" w:rsidRDefault="00135380" w:rsidP="00135380">
      <w:pPr>
        <w:pStyle w:val="StandardWeb"/>
      </w:pPr>
      <w:r>
        <w:t>Zur Beschreibung der Verschiedenheit zweier Kontexte führe ich eine abstrakte Kontextdistanz ein:</w:t>
      </w:r>
    </w:p>
    <w:p w:rsidR="00135380" w:rsidRDefault="00135380" w:rsidP="00135380">
      <w:pPr>
        <w:pStyle w:val="StandardWeb"/>
      </w:pPr>
      <w:r>
        <w:t>[</w:t>
      </w:r>
      <w:r>
        <w:br/>
        <w:t>d_{\mathcal{C}}</w:t>
      </w:r>
      <w:r>
        <w:br/>
        <w:t>:</w:t>
      </w:r>
      <w:r>
        <w:br/>
        <w:t>\mathcal{C}</w:t>
      </w:r>
      <w:r>
        <w:br/>
        <w:t>\times</w:t>
      </w:r>
      <w:r>
        <w:br/>
        <w:t>\mathcal{C}</w:t>
      </w:r>
      <w:r>
        <w:br/>
        <w:t>\longrightarrow</w:t>
      </w:r>
      <w:r>
        <w:br/>
        <w:t>\mathbb{R}_{\geq0}.</w:t>
      </w:r>
      <w:r>
        <w:br/>
        <w:t>\tag{3.6309}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d_{\mathcal{C}}:\mathcal{C}\times\mathcal{C}\longrightarrow\mathbb{R}_{\geq0}\qquad\text{(3.6309)}</w:t>
      </w:r>
    </w:p>
    <w:p w:rsidR="00135380" w:rsidRDefault="00135380" w:rsidP="00135380">
      <w:pPr>
        <w:pStyle w:val="StandardWeb"/>
      </w:pPr>
      <w:r>
        <w:t>Für Quell- und Zielkontext gilt</w:t>
      </w:r>
    </w:p>
    <w:p w:rsidR="00135380" w:rsidRDefault="00135380" w:rsidP="00135380">
      <w:pPr>
        <w:pStyle w:val="berschrift1"/>
      </w:pPr>
      <w:r>
        <w:t>[</w:t>
      </w:r>
      <w:r>
        <w:br/>
        <w:t>D_{\mathcal{C}}</w:t>
      </w:r>
    </w:p>
    <w:p w:rsidR="00135380" w:rsidRDefault="00135380" w:rsidP="00135380">
      <w:pPr>
        <w:pStyle w:val="StandardWeb"/>
      </w:pPr>
      <w:r>
        <w:t>d_{\mathcal{C}}</w:t>
      </w:r>
      <w:r>
        <w:br/>
        <w:t>\left(</w:t>
      </w:r>
      <w:r>
        <w:br/>
        <w:t>\mathcal{C}</w:t>
      </w:r>
      <w:r>
        <w:rPr>
          <w:rStyle w:val="Hervorhebung"/>
        </w:rPr>
        <w:t>{L}^{(S)},</w:t>
      </w:r>
      <w:r>
        <w:rPr>
          <w:i/>
          <w:iCs/>
        </w:rPr>
        <w:br/>
      </w:r>
      <w:r>
        <w:rPr>
          <w:rStyle w:val="Hervorhebung"/>
        </w:rPr>
        <w:t>\mathcal{C}</w:t>
      </w:r>
      <w:r>
        <w:t>{L}^{(Z)}</w:t>
      </w:r>
      <w:r>
        <w:br/>
        <w:t>\right).</w:t>
      </w:r>
      <w:r>
        <w:br/>
        <w:t>\tag{3.6310}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D_{\mathcal{C}}=d_{\mathcal{C}}\left(\mathcal{C}_{L}^{(S)},\mathcal{C}_{L}^{(Z)}\right)\qquad\text{(3.6310)}</w:t>
      </w:r>
    </w:p>
    <w:p w:rsidR="00135380" w:rsidRDefault="00135380" w:rsidP="00135380">
      <w:pPr>
        <w:pStyle w:val="StandardWeb"/>
      </w:pPr>
      <w:r>
        <w:t>Für identische Kontexte gilt</w:t>
      </w:r>
    </w:p>
    <w:p w:rsidR="00135380" w:rsidRDefault="00135380" w:rsidP="00135380">
      <w:pPr>
        <w:pStyle w:val="berschrift1"/>
      </w:pPr>
      <w:r>
        <w:t>[</w:t>
      </w:r>
      <w:r>
        <w:br/>
        <w:t>D_{\mathcal{C}}</w:t>
      </w:r>
    </w:p>
    <w:p w:rsidR="00135380" w:rsidRDefault="00135380" w:rsidP="008C5E65">
      <w:pPr>
        <w:numPr>
          <w:ilvl w:val="0"/>
          <w:numId w:val="291"/>
        </w:numPr>
        <w:spacing w:before="100" w:beforeAutospacing="1" w:after="100" w:afterAutospacing="1"/>
      </w:pPr>
    </w:p>
    <w:p w:rsidR="00135380" w:rsidRDefault="00135380" w:rsidP="00135380">
      <w:pPr>
        <w:pStyle w:val="StandardWeb"/>
      </w:pPr>
      <w:r>
        <w:t>\tag{3.6311}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D_{\mathcal{C}}=0\qquad\text{(3.6311)}</w:t>
      </w:r>
    </w:p>
    <w:p w:rsidR="00135380" w:rsidRDefault="00135380" w:rsidP="00135380">
      <w:pPr>
        <w:pStyle w:val="StandardWeb"/>
      </w:pPr>
      <w:r>
        <w:t>Ein größerer Wert bedeutet stärkere strukturelle beziehungsweise randbedingungsbezogene Unterschiede.</w:t>
      </w:r>
    </w:p>
    <w:p w:rsidR="00135380" w:rsidRDefault="00135380" w:rsidP="00135380">
      <w:pPr>
        <w:pStyle w:val="StandardWeb"/>
      </w:pPr>
      <w:r>
        <w:t>Ich betone jedoch ausdrücklich:</w:t>
      </w:r>
    </w:p>
    <w:p w:rsidR="00135380" w:rsidRDefault="00135380" w:rsidP="00135380">
      <w:pPr>
        <w:pStyle w:val="StandardWeb"/>
      </w:pPr>
      <w:r>
        <w:t>[</w:t>
      </w:r>
      <w:r>
        <w:br/>
        <w:t>D_{\mathcal{C}}</w:t>
      </w:r>
      <w:r>
        <w:br/>
        <w:t>\text{ groß}</w:t>
      </w:r>
      <w:r>
        <w:br/>
        <w:t>\nRightarrow</w:t>
      </w:r>
      <w:r>
        <w:br/>
        <w:t>\operatorname{Trans}_{F}=0.</w:t>
      </w:r>
      <w:r>
        <w:br/>
        <w:t>\tag{3.6312}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D_{\mathcal{C}}\text{ groß}\nRightarrow\operatorname{Trans}_{F}=0\qquad\text{(3.6312)}</w:t>
      </w:r>
    </w:p>
    <w:p w:rsidR="00135380" w:rsidRDefault="00135380" w:rsidP="00135380">
      <w:pPr>
        <w:pStyle w:val="StandardWeb"/>
      </w:pPr>
      <w:r>
        <w:t>Denn auch weit voneinander entfernte Systeme können hinsichtlich einer konkreten Aussage dieselben relevanten Invarianzen besitzen.</w:t>
      </w:r>
    </w:p>
    <w:p w:rsidR="00135380" w:rsidRDefault="00135380" w:rsidP="00135380">
      <w:pPr>
        <w:pStyle w:val="StandardWeb"/>
      </w:pPr>
      <w:r>
        <w:t>Ebenso gilt</w:t>
      </w:r>
    </w:p>
    <w:p w:rsidR="00135380" w:rsidRDefault="00135380" w:rsidP="00135380">
      <w:pPr>
        <w:pStyle w:val="StandardWeb"/>
      </w:pPr>
      <w:r>
        <w:t>[</w:t>
      </w:r>
      <w:r>
        <w:br/>
        <w:t>D_{\mathcal{C}}</w:t>
      </w:r>
      <w:r>
        <w:br/>
        <w:t>\text{ klein}</w:t>
      </w:r>
      <w:r>
        <w:br/>
        <w:t>\nRightarrow</w:t>
      </w:r>
      <w:r>
        <w:br/>
        <w:t>\operatorname{Trans}_{F}=1.</w:t>
      </w:r>
      <w:r>
        <w:br/>
        <w:t>\tag{3.6313}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D_{\mathcal{C}}\text{ klein}\nRightarrow\operatorname{Trans}_{F}=1\qquad\text{(3.6313)}</w:t>
      </w:r>
    </w:p>
    <w:p w:rsidR="00135380" w:rsidRDefault="00135380" w:rsidP="00135380">
      <w:pPr>
        <w:pStyle w:val="StandardWeb"/>
      </w:pPr>
      <w:r>
        <w:t>Denn eine geringe Gesamtdistanz kann dennoch eine einzelne entscheidende Voraussetzung betreffen.</w:t>
      </w:r>
    </w:p>
    <w:p w:rsidR="00135380" w:rsidRDefault="00E50336" w:rsidP="00135380">
      <w:r>
        <w:pict>
          <v:rect id="_x0000_i1111" style="width:0;height:1.5pt" o:hralign="center" o:hrstd="t" o:hr="t" fillcolor="#a0a0a0" stroked="f"/>
        </w:pict>
      </w:r>
    </w:p>
    <w:p w:rsidR="00135380" w:rsidRDefault="00135380" w:rsidP="00135380">
      <w:pPr>
        <w:pStyle w:val="berschrift2"/>
      </w:pPr>
      <w:r>
        <w:t>3.3.38.17 Aussagebezogene Kontextdistanz</w:t>
      </w:r>
    </w:p>
    <w:p w:rsidR="00135380" w:rsidRDefault="00135380" w:rsidP="00135380">
      <w:pPr>
        <w:pStyle w:val="StandardWeb"/>
      </w:pPr>
      <w:r>
        <w:lastRenderedPageBreak/>
        <w:t>Deshalb definiere ich zusätzlich eine auf die konkrete Aussage bezogene Distanz</w:t>
      </w:r>
    </w:p>
    <w:p w:rsidR="00135380" w:rsidRDefault="00135380" w:rsidP="00135380">
      <w:pPr>
        <w:pStyle w:val="StandardWeb"/>
      </w:pPr>
      <w:r>
        <w:t>[</w:t>
      </w:r>
      <w:r>
        <w:br/>
        <w:t>d_{\mathcal{C},A}</w:t>
      </w:r>
      <w:r>
        <w:br/>
        <w:t>:</w:t>
      </w:r>
      <w:r>
        <w:br/>
        <w:t>\mathcal{C}</w:t>
      </w:r>
      <w:r>
        <w:br/>
        <w:t>\times</w:t>
      </w:r>
      <w:r>
        <w:br/>
        <w:t>\mathcal{C}</w:t>
      </w:r>
      <w:r>
        <w:br/>
        <w:t>\longrightarrow</w:t>
      </w:r>
      <w:r>
        <w:br/>
        <w:t>\mathbb{R}_{\geq0}.</w:t>
      </w:r>
      <w:r>
        <w:br/>
        <w:t>\tag{3.6314}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d_{\mathcal{C},A}:\mathcal{C}\times\mathcal{C}\longrightarrow\mathbb{R}_{\geq0}\qquad\text{(3.6314)}</w:t>
      </w:r>
    </w:p>
    <w:p w:rsidR="00135380" w:rsidRDefault="00135380" w:rsidP="00135380">
      <w:pPr>
        <w:pStyle w:val="StandardWeb"/>
      </w:pPr>
      <w:r>
        <w:t>Die entsprechende Distanz zwischen Quell- und Zielkontext lautet</w:t>
      </w:r>
    </w:p>
    <w:p w:rsidR="00135380" w:rsidRDefault="00135380" w:rsidP="00135380">
      <w:pPr>
        <w:pStyle w:val="berschrift1"/>
      </w:pPr>
      <w:r>
        <w:t>[</w:t>
      </w:r>
      <w:r>
        <w:br/>
        <w:t>D_{\mathcal{C},A}</w:t>
      </w:r>
    </w:p>
    <w:p w:rsidR="00135380" w:rsidRDefault="00135380" w:rsidP="00135380">
      <w:pPr>
        <w:pStyle w:val="StandardWeb"/>
      </w:pPr>
      <w:r>
        <w:t>d_{\mathcal{C},A}</w:t>
      </w:r>
      <w:r>
        <w:br/>
        <w:t>\left(</w:t>
      </w:r>
      <w:r>
        <w:br/>
        <w:t>\mathcal{C}</w:t>
      </w:r>
      <w:r>
        <w:rPr>
          <w:rStyle w:val="Hervorhebung"/>
        </w:rPr>
        <w:t>{L}^{(S)},</w:t>
      </w:r>
      <w:r>
        <w:rPr>
          <w:i/>
          <w:iCs/>
        </w:rPr>
        <w:br/>
      </w:r>
      <w:r>
        <w:rPr>
          <w:rStyle w:val="Hervorhebung"/>
        </w:rPr>
        <w:t>\mathcal{C}</w:t>
      </w:r>
      <w:r>
        <w:t>{L}^{(Z)}</w:t>
      </w:r>
      <w:r>
        <w:br/>
        <w:t>\right).</w:t>
      </w:r>
      <w:r>
        <w:br/>
        <w:t>\tag{3.6315}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D_{\mathcal{C},A}=d_{\mathcal{C},A}\left(\mathcal{C}_{L}^{(S)},\mathcal{C}_{L}^{(Z)}\right)\qquad\text{(3.6315)}</w:t>
      </w:r>
    </w:p>
    <w:p w:rsidR="00135380" w:rsidRDefault="00135380" w:rsidP="00135380">
      <w:pPr>
        <w:pStyle w:val="StandardWeb"/>
      </w:pPr>
      <w:r>
        <w:t>Sie berücksichtigt ausschließlich solche Unterschiede, die für (A_F) relevant sind.</w:t>
      </w:r>
    </w:p>
    <w:p w:rsidR="00135380" w:rsidRDefault="00135380" w:rsidP="00135380">
      <w:pPr>
        <w:pStyle w:val="StandardWeb"/>
      </w:pPr>
      <w:r>
        <w:t>Eine mögliche abstrakte Gewichtung lautet</w:t>
      </w:r>
    </w:p>
    <w:p w:rsidR="00135380" w:rsidRDefault="00135380" w:rsidP="00135380">
      <w:pPr>
        <w:pStyle w:val="berschrift1"/>
      </w:pPr>
      <w:r>
        <w:t>[</w:t>
      </w:r>
      <w:r>
        <w:br/>
        <w:t>D_{\mathcal{C},A}</w:t>
      </w:r>
    </w:p>
    <w:p w:rsidR="00135380" w:rsidRDefault="00135380" w:rsidP="00135380">
      <w:pPr>
        <w:pStyle w:val="StandardWeb"/>
      </w:pPr>
      <w:r>
        <w:t>\sum_{j=1}^{p}</w:t>
      </w:r>
      <w:r>
        <w:br/>
        <w:t>r_j</w:t>
      </w:r>
      <w:r>
        <w:br/>
        <w:t>d_j.</w:t>
      </w:r>
      <w:r>
        <w:br/>
        <w:t>\tag{3.6316}</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D_{\mathcal{C},A}=\sum_{j=1}^{p}r_jd_j\qquad\text{(3.6316)}</w:t>
      </w:r>
    </w:p>
    <w:p w:rsidR="00135380" w:rsidRDefault="00135380" w:rsidP="00135380">
      <w:pPr>
        <w:pStyle w:val="StandardWeb"/>
      </w:pPr>
      <w:r>
        <w:t>Dabei ist (r_j) die Relevanz des jeweiligen Kontextunterschieds und (d_j) dessen Ausprägung.</w:t>
      </w:r>
    </w:p>
    <w:p w:rsidR="00135380" w:rsidRDefault="00135380" w:rsidP="00135380">
      <w:pPr>
        <w:pStyle w:val="StandardWeb"/>
      </w:pPr>
      <w:r>
        <w:t>Diese Formel ist keine universelle Metrik, sondern eine allgemeine Konstruktionsform.</w:t>
      </w:r>
    </w:p>
    <w:p w:rsidR="00135380" w:rsidRDefault="00E50336" w:rsidP="00135380">
      <w:r>
        <w:pict>
          <v:rect id="_x0000_i1112" style="width:0;height:1.5pt" o:hralign="center" o:hrstd="t" o:hr="t" fillcolor="#a0a0a0" stroked="f"/>
        </w:pict>
      </w:r>
    </w:p>
    <w:p w:rsidR="00135380" w:rsidRDefault="00135380" w:rsidP="00135380">
      <w:pPr>
        <w:pStyle w:val="berschrift2"/>
      </w:pPr>
      <w:r>
        <w:t>3.3.38.18 Transportverlust</w:t>
      </w:r>
    </w:p>
    <w:p w:rsidR="00135380" w:rsidRDefault="00135380" w:rsidP="00135380">
      <w:pPr>
        <w:pStyle w:val="StandardWeb"/>
      </w:pPr>
      <w:r>
        <w:t>Eine übertragene Aussage kann gegenüber dem Quellkontext an Genauigkeit oder Gültigkeit verlieren.</w:t>
      </w:r>
    </w:p>
    <w:p w:rsidR="00135380" w:rsidRDefault="00135380" w:rsidP="00135380">
      <w:pPr>
        <w:pStyle w:val="StandardWeb"/>
      </w:pPr>
      <w:r>
        <w:t>Ich bezeichne diesen Verlust als</w:t>
      </w:r>
    </w:p>
    <w:p w:rsidR="00135380" w:rsidRDefault="00135380" w:rsidP="00135380">
      <w:pPr>
        <w:pStyle w:val="StandardWeb"/>
      </w:pPr>
      <w:r>
        <w:t>[</w:t>
      </w:r>
      <w:r>
        <w:br/>
        <w:t>L_{\mathrm{trans}}.</w:t>
      </w:r>
      <w:r>
        <w:br/>
        <w:t>\tag{3.6317}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L_{\mathrm{trans}}\qquad\text{(3.6317)}</w:t>
      </w:r>
    </w:p>
    <w:p w:rsidR="00135380" w:rsidRDefault="00135380" w:rsidP="00135380">
      <w:pPr>
        <w:pStyle w:val="StandardWeb"/>
      </w:pPr>
      <w:r>
        <w:t>Allgemein kann gelten</w:t>
      </w:r>
    </w:p>
    <w:p w:rsidR="00135380" w:rsidRDefault="00135380" w:rsidP="00135380">
      <w:pPr>
        <w:pStyle w:val="berschrift1"/>
      </w:pPr>
      <w:r>
        <w:t>[</w:t>
      </w:r>
      <w:r>
        <w:br/>
        <w:t>L_{\mathrm{trans}}</w:t>
      </w:r>
    </w:p>
    <w:p w:rsidR="00135380" w:rsidRDefault="00135380" w:rsidP="00135380">
      <w:pPr>
        <w:pStyle w:val="StandardWeb"/>
      </w:pPr>
      <w:r>
        <w:t>\Lambda</w:t>
      </w:r>
      <w:r>
        <w:br/>
        <w:t>\left(</w:t>
      </w:r>
      <w:r>
        <w:br/>
        <w:t>D_{\mathcal{C},A},</w:t>
      </w:r>
      <w:r>
        <w:br/>
        <w:t>U_A,</w:t>
      </w:r>
      <w:r>
        <w:br/>
        <w:t>M_A</w:t>
      </w:r>
      <w:r>
        <w:br/>
        <w:t>\right),</w:t>
      </w:r>
      <w:r>
        <w:br/>
        <w:t>\tag{3.6318}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L_{\mathrm{trans}}=\Lambda\left(D_{\mathcal{C},A},U_A,M_A\right)\qquad\text{(3.6318)}</w:t>
      </w:r>
    </w:p>
    <w:p w:rsidR="00135380" w:rsidRDefault="00135380" w:rsidP="00135380">
      <w:pPr>
        <w:pStyle w:val="StandardWeb"/>
      </w:pPr>
      <w:r>
        <w:t>wobei (U_A) die Unsicherheit der ursprünglichen Aussage und (M_A) eine mögliche Modellabweichung bezeichnet.</w:t>
      </w:r>
    </w:p>
    <w:p w:rsidR="00135380" w:rsidRDefault="00135380" w:rsidP="00135380">
      <w:pPr>
        <w:pStyle w:val="StandardWeb"/>
      </w:pPr>
      <w:r>
        <w:t>Für direkte Übertragbarkeit gilt idealerweise</w:t>
      </w:r>
    </w:p>
    <w:p w:rsidR="00135380" w:rsidRDefault="00135380" w:rsidP="00135380">
      <w:pPr>
        <w:pStyle w:val="StandardWeb"/>
      </w:pPr>
      <w:r>
        <w:lastRenderedPageBreak/>
        <w:t>[</w:t>
      </w:r>
      <w:r>
        <w:br/>
        <w:t>L_{\mathrm{trans}}</w:t>
      </w:r>
      <w:r>
        <w:br/>
        <w:t>\approx</w:t>
      </w:r>
      <w:r>
        <w:br/>
        <w:t>0.</w:t>
      </w:r>
      <w:r>
        <w:br/>
        <w:t>\tag{3.6319}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L_{\mathrm{trans}}\approx0\qquad\text{(3.6319)}</w:t>
      </w:r>
    </w:p>
    <w:p w:rsidR="00135380" w:rsidRDefault="00135380" w:rsidP="00135380">
      <w:pPr>
        <w:pStyle w:val="StandardWeb"/>
      </w:pPr>
      <w:r>
        <w:t>Für größere relevante Kontextänderungen kann dagegen</w:t>
      </w:r>
    </w:p>
    <w:p w:rsidR="00135380" w:rsidRDefault="00135380" w:rsidP="00135380">
      <w:pPr>
        <w:pStyle w:val="StandardWeb"/>
      </w:pPr>
      <w:r>
        <w:t>[</w:t>
      </w:r>
      <w:r>
        <w:br/>
        <w:t>L_{\mathrm{trans}}</w:t>
      </w:r>
    </w:p>
    <w:p w:rsidR="00135380" w:rsidRDefault="00135380" w:rsidP="00135380">
      <w:pPr>
        <w:pStyle w:val="StandardWeb"/>
      </w:pPr>
      <w:r>
        <w:t>0</w:t>
      </w:r>
      <w:r>
        <w:br/>
        <w:t>\tag{3.6320}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L_{\mathrm{trans}}&gt;0\qquad\text{(3.6320)}</w:t>
      </w:r>
    </w:p>
    <w:p w:rsidR="00135380" w:rsidRDefault="00135380" w:rsidP="00135380">
      <w:pPr>
        <w:pStyle w:val="StandardWeb"/>
      </w:pPr>
      <w:r>
        <w:t>auftreten.</w:t>
      </w:r>
    </w:p>
    <w:p w:rsidR="00135380" w:rsidRDefault="00E50336" w:rsidP="00135380">
      <w:r>
        <w:pict>
          <v:rect id="_x0000_i1113" style="width:0;height:1.5pt" o:hralign="center" o:hrstd="t" o:hr="t" fillcolor="#a0a0a0" stroked="f"/>
        </w:pict>
      </w:r>
    </w:p>
    <w:p w:rsidR="00135380" w:rsidRDefault="00135380" w:rsidP="00135380">
      <w:pPr>
        <w:pStyle w:val="berschrift2"/>
      </w:pPr>
      <w:r>
        <w:t>3.3.38.19 Unsicherheit der Übertragung</w:t>
      </w:r>
    </w:p>
    <w:p w:rsidR="00135380" w:rsidRDefault="00135380" w:rsidP="00135380">
      <w:pPr>
        <w:pStyle w:val="StandardWeb"/>
      </w:pPr>
      <w:r>
        <w:t>Die Unsicherheit einer übertragenen Aussage muss mindestens die Unsicherheit der ursprünglichen Aussage und die zusätzliche Transportunsicherheit berücksichtigen.</w:t>
      </w:r>
    </w:p>
    <w:p w:rsidR="00135380" w:rsidRDefault="00135380" w:rsidP="00135380">
      <w:pPr>
        <w:pStyle w:val="StandardWeb"/>
      </w:pPr>
      <w:r>
        <w:t>Die Quellunsicherheit sei</w:t>
      </w:r>
    </w:p>
    <w:p w:rsidR="00135380" w:rsidRDefault="00135380" w:rsidP="00135380">
      <w:pPr>
        <w:pStyle w:val="StandardWeb"/>
      </w:pPr>
      <w:r>
        <w:t>[</w:t>
      </w:r>
      <w:r>
        <w:br/>
        <w:t>u_S.</w:t>
      </w:r>
      <w:r>
        <w:br/>
        <w:t>\tag{3.6321}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u_S\qquad\text{(3.6321)}</w:t>
      </w:r>
    </w:p>
    <w:p w:rsidR="00135380" w:rsidRDefault="00135380" w:rsidP="00135380">
      <w:pPr>
        <w:pStyle w:val="StandardWeb"/>
      </w:pPr>
      <w:r>
        <w:t>Die zusätzliche Transportunsicherheit sei</w:t>
      </w:r>
    </w:p>
    <w:p w:rsidR="00135380" w:rsidRDefault="00135380" w:rsidP="00135380">
      <w:pPr>
        <w:pStyle w:val="StandardWeb"/>
      </w:pPr>
      <w:r>
        <w:t>[</w:t>
      </w:r>
      <w:r>
        <w:br/>
        <w:t>u_T.</w:t>
      </w:r>
      <w:r>
        <w:br/>
        <w:t>\tag{3.6322}</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u_T\qquad\text{(3.6322)}</w:t>
      </w:r>
    </w:p>
    <w:p w:rsidR="00135380" w:rsidRDefault="00135380" w:rsidP="00135380">
      <w:pPr>
        <w:pStyle w:val="StandardWeb"/>
      </w:pPr>
      <w:r>
        <w:t>Die Zielunsicherheit lautet allgemein</w:t>
      </w:r>
    </w:p>
    <w:p w:rsidR="00135380" w:rsidRDefault="00135380" w:rsidP="00135380">
      <w:pPr>
        <w:pStyle w:val="berschrift1"/>
      </w:pPr>
      <w:r>
        <w:t>[</w:t>
      </w:r>
      <w:r>
        <w:br/>
        <w:t>u_Z</w:t>
      </w:r>
    </w:p>
    <w:p w:rsidR="00135380" w:rsidRDefault="00135380" w:rsidP="00135380">
      <w:pPr>
        <w:pStyle w:val="StandardWeb"/>
      </w:pPr>
      <w:r>
        <w:t>\mathcal{U}_{T}</w:t>
      </w:r>
      <w:r>
        <w:br/>
        <w:t>\left(</w:t>
      </w:r>
      <w:r>
        <w:br/>
        <w:t>u_S,</w:t>
      </w:r>
      <w:r>
        <w:br/>
        <w:t>u_T</w:t>
      </w:r>
      <w:r>
        <w:br/>
        <w:t>\right).</w:t>
      </w:r>
      <w:r>
        <w:br/>
        <w:t>\tag{3.6323}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u_Z=\mathcal{U}_{T}\left(u_S,u_T\right)\qquad\text{(3.6323)}</w:t>
      </w:r>
    </w:p>
    <w:p w:rsidR="00135380" w:rsidRDefault="00135380" w:rsidP="00135380">
      <w:pPr>
        <w:pStyle w:val="StandardWeb"/>
      </w:pPr>
      <w:r>
        <w:t>In einem einfachen unabhängigen Fehlerfall könnte beispielsweise gelten</w:t>
      </w:r>
    </w:p>
    <w:p w:rsidR="00135380" w:rsidRDefault="00135380" w:rsidP="00135380">
      <w:pPr>
        <w:pStyle w:val="berschrift1"/>
      </w:pPr>
      <w:r>
        <w:t>[</w:t>
      </w:r>
      <w:r>
        <w:br/>
        <w:t>u_Z</w:t>
      </w:r>
    </w:p>
    <w:p w:rsidR="00135380" w:rsidRDefault="00135380" w:rsidP="00135380">
      <w:pPr>
        <w:pStyle w:val="StandardWeb"/>
      </w:pPr>
      <w:r>
        <w:t>\sqrt{</w:t>
      </w:r>
      <w:r>
        <w:br/>
        <w:t>u_S^2</w:t>
      </w:r>
      <w:r>
        <w:br/>
        <w:t>+</w:t>
      </w:r>
      <w:r>
        <w:br/>
        <w:t>u_T^2</w:t>
      </w:r>
      <w:r>
        <w:br/>
        <w:t>}.</w:t>
      </w:r>
      <w:r>
        <w:br/>
        <w:t>\tag{3.6324}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u_Z=\sqrt{u_S^2+u_T^2}\qquad\text{(3.6324)}</w:t>
      </w:r>
    </w:p>
    <w:p w:rsidR="00135380" w:rsidRDefault="00135380" w:rsidP="00135380">
      <w:pPr>
        <w:pStyle w:val="StandardWeb"/>
      </w:pPr>
      <w:r>
        <w:t>Diese konkrete Form darf jedoch nur verwendet werden, wenn die entsprechenden Annahmen zur Unsicherheitsstruktur erfüllt sind.</w:t>
      </w:r>
    </w:p>
    <w:p w:rsidR="00135380" w:rsidRDefault="00135380" w:rsidP="00135380">
      <w:pPr>
        <w:pStyle w:val="StandardWeb"/>
      </w:pPr>
      <w:r>
        <w:t>Im allgemeinen FRZK bleibt daher die abstrakte Funktion (\mathcal{U}_{T}) maßgeblich.</w:t>
      </w:r>
    </w:p>
    <w:p w:rsidR="00135380" w:rsidRDefault="00E50336" w:rsidP="00135380">
      <w:r>
        <w:pict>
          <v:rect id="_x0000_i1114" style="width:0;height:1.5pt" o:hralign="center" o:hrstd="t" o:hr="t" fillcolor="#a0a0a0" stroked="f"/>
        </w:pict>
      </w:r>
    </w:p>
    <w:p w:rsidR="00135380" w:rsidRDefault="00135380" w:rsidP="00135380">
      <w:pPr>
        <w:pStyle w:val="berschrift2"/>
      </w:pPr>
      <w:r>
        <w:t>3.3.38.20 Unsicherheitszunahme durch Transport</w:t>
      </w:r>
    </w:p>
    <w:p w:rsidR="00135380" w:rsidRDefault="00135380" w:rsidP="00135380">
      <w:pPr>
        <w:pStyle w:val="StandardWeb"/>
      </w:pPr>
      <w:r>
        <w:t>Eine wissenschaftlich wichtige Konsequenz lautet:</w:t>
      </w:r>
    </w:p>
    <w:p w:rsidR="00135380" w:rsidRDefault="00135380" w:rsidP="00135380">
      <w:pPr>
        <w:pStyle w:val="StandardWeb"/>
      </w:pPr>
      <w:r>
        <w:lastRenderedPageBreak/>
        <w:t>[</w:t>
      </w:r>
      <w:r>
        <w:br/>
        <w:t>u_T</w:t>
      </w:r>
      <w:r>
        <w:br/>
        <w:t>\geq</w:t>
      </w:r>
      <w:r>
        <w:br/>
        <w:t>0.</w:t>
      </w:r>
      <w:r>
        <w:br/>
        <w:t>\tag{3.6325}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u_T\geq0\qquad\text{(3.6325)}</w:t>
      </w:r>
    </w:p>
    <w:p w:rsidR="00135380" w:rsidRDefault="00135380" w:rsidP="00135380">
      <w:pPr>
        <w:pStyle w:val="StandardWeb"/>
      </w:pPr>
      <w:r>
        <w:t>Daraus folgt im Allgemeinen, dass Transport zusätzliche Unsicherheit nicht ohne Begründung verringern darf.</w:t>
      </w:r>
    </w:p>
    <w:p w:rsidR="00135380" w:rsidRDefault="00135380" w:rsidP="00135380">
      <w:pPr>
        <w:pStyle w:val="StandardWeb"/>
      </w:pPr>
      <w:r>
        <w:t>Bei monotoner Unsicherheitsaggregation gilt</w:t>
      </w:r>
    </w:p>
    <w:p w:rsidR="00135380" w:rsidRDefault="00135380" w:rsidP="00135380">
      <w:pPr>
        <w:pStyle w:val="StandardWeb"/>
      </w:pPr>
      <w:r>
        <w:t>[</w:t>
      </w:r>
      <w:r>
        <w:br/>
        <w:t>u_Z</w:t>
      </w:r>
      <w:r>
        <w:br/>
        <w:t>\geq</w:t>
      </w:r>
      <w:r>
        <w:br/>
        <w:t>u_S.</w:t>
      </w:r>
      <w:r>
        <w:br/>
        <w:t>\tag{3.6326}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u_Z\geq u_S\qquad\text{(3.6326)}</w:t>
      </w:r>
    </w:p>
    <w:p w:rsidR="00135380" w:rsidRDefault="00135380" w:rsidP="00135380">
      <w:pPr>
        <w:pStyle w:val="StandardWeb"/>
      </w:pPr>
      <w:r>
        <w:t>Eine geringere Zielunsicherheit ist nur dann zulässig, wenn im Zielkontext zusätzliche Informationen oder Messungen vorliegen, welche die Unsicherheit tatsächlich reduzieren.</w:t>
      </w:r>
    </w:p>
    <w:p w:rsidR="00135380" w:rsidRDefault="00135380" w:rsidP="00135380">
      <w:pPr>
        <w:pStyle w:val="StandardWeb"/>
      </w:pPr>
      <w:r>
        <w:t>Damit verhindert das FRZK, dass eine Aussage durch bloße Übertragung scheinbar präziser wird.</w:t>
      </w:r>
    </w:p>
    <w:p w:rsidR="00135380" w:rsidRDefault="00E50336" w:rsidP="00135380">
      <w:r>
        <w:pict>
          <v:rect id="_x0000_i1115" style="width:0;height:1.5pt" o:hralign="center" o:hrstd="t" o:hr="t" fillcolor="#a0a0a0" stroked="f"/>
        </w:pict>
      </w:r>
    </w:p>
    <w:p w:rsidR="00135380" w:rsidRDefault="00135380" w:rsidP="00135380">
      <w:pPr>
        <w:pStyle w:val="berschrift2"/>
      </w:pPr>
      <w:r>
        <w:t>3.3.38.21 Empirische Revalidierung</w:t>
      </w:r>
    </w:p>
    <w:p w:rsidR="00135380" w:rsidRDefault="00135380" w:rsidP="00135380">
      <w:pPr>
        <w:pStyle w:val="StandardWeb"/>
      </w:pPr>
      <w:r>
        <w:t>Eine übertragene Aussage kann im Zielkontext erneut empirisch geprüft werden.</w:t>
      </w:r>
    </w:p>
    <w:p w:rsidR="00135380" w:rsidRDefault="00135380" w:rsidP="00135380">
      <w:pPr>
        <w:pStyle w:val="StandardWeb"/>
      </w:pPr>
      <w:r>
        <w:t>Die vorhergesagte beziehungsweise transportierte Zielaussage lautet</w:t>
      </w:r>
    </w:p>
    <w:p w:rsidR="00135380" w:rsidRDefault="00135380" w:rsidP="00135380">
      <w:pPr>
        <w:pStyle w:val="StandardWeb"/>
      </w:pPr>
      <w:r>
        <w:t>[</w:t>
      </w:r>
      <w:r>
        <w:br/>
        <w:t>\widehat{A}_{F}^{(Z)}.</w:t>
      </w:r>
      <w:r>
        <w:br/>
        <w:t>\tag{3.6327}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\widehat{A}_{F}^{(Z)}\qquad\text{(3.6327)}</w:t>
      </w:r>
    </w:p>
    <w:p w:rsidR="00135380" w:rsidRDefault="00135380" w:rsidP="00135380">
      <w:pPr>
        <w:pStyle w:val="StandardWeb"/>
      </w:pPr>
      <w:r>
        <w:t>Die empirisch bestimmte Zielaussage sei</w:t>
      </w:r>
    </w:p>
    <w:p w:rsidR="00135380" w:rsidRDefault="00135380" w:rsidP="00135380">
      <w:pPr>
        <w:pStyle w:val="StandardWeb"/>
      </w:pPr>
      <w:r>
        <w:lastRenderedPageBreak/>
        <w:t>[</w:t>
      </w:r>
      <w:r>
        <w:br/>
        <w:t>A_{F,\mathrm{obs}}^{(Z)}.</w:t>
      </w:r>
      <w:r>
        <w:br/>
        <w:t>\tag{3.6328}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A_{F,\mathrm{obs}}^{(Z)}\qquad\text{(3.6328)}</w:t>
      </w:r>
    </w:p>
    <w:p w:rsidR="00135380" w:rsidRDefault="00135380" w:rsidP="00135380">
      <w:pPr>
        <w:pStyle w:val="StandardWeb"/>
      </w:pPr>
      <w:r>
        <w:t>Die Transportabweichung lautet</w:t>
      </w:r>
    </w:p>
    <w:p w:rsidR="00135380" w:rsidRDefault="00135380" w:rsidP="00135380">
      <w:pPr>
        <w:pStyle w:val="berschrift1"/>
      </w:pPr>
      <w:r>
        <w:t>[</w:t>
      </w:r>
      <w:r>
        <w:br/>
        <w:t>e_{\mathrm{trans}}</w:t>
      </w:r>
    </w:p>
    <w:p w:rsidR="00135380" w:rsidRDefault="00135380" w:rsidP="00135380">
      <w:pPr>
        <w:pStyle w:val="berschrift2"/>
      </w:pPr>
      <w:r>
        <w:t>A_{F,\mathrm{obs}}^{(Z)}</w:t>
      </w:r>
    </w:p>
    <w:p w:rsidR="00135380" w:rsidRDefault="00135380" w:rsidP="00135380">
      <w:pPr>
        <w:pStyle w:val="StandardWeb"/>
      </w:pPr>
      <w:r>
        <w:t>\widehat{A}_{F}^{(Z)}.</w:t>
      </w:r>
      <w:r>
        <w:br/>
        <w:t>\tag{3.6329}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e_{\mathrm{trans}}=A_{F,\mathrm{obs}}^{(Z)}-\widehat{A}_{F}^{(Z)}\qquad\text{(3.6329)}</w:t>
      </w:r>
    </w:p>
    <w:p w:rsidR="00135380" w:rsidRDefault="00135380" w:rsidP="00135380">
      <w:pPr>
        <w:pStyle w:val="StandardWeb"/>
      </w:pPr>
      <w:r>
        <w:t>Für numerische Aussagen kann ein akzeptabler Transport durch</w:t>
      </w:r>
    </w:p>
    <w:p w:rsidR="00135380" w:rsidRDefault="00135380" w:rsidP="00135380">
      <w:pPr>
        <w:pStyle w:val="StandardWeb"/>
      </w:pPr>
      <w:r>
        <w:t>[</w:t>
      </w:r>
      <w:r>
        <w:br/>
        <w:t>\left|</w:t>
      </w:r>
      <w:r>
        <w:br/>
        <w:t>e_{\mathrm{trans}}</w:t>
      </w:r>
      <w:r>
        <w:br/>
        <w:t>\right|</w:t>
      </w:r>
      <w:r>
        <w:br/>
        <w:t>\leq</w:t>
      </w:r>
      <w:r>
        <w:br/>
        <w:t>\tau_{\mathrm{trans}}</w:t>
      </w:r>
      <w:r>
        <w:br/>
        <w:t>\tag{3.6330}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\left|e_{\mathrm{trans}}\right|\leq\tau_{\mathrm{trans}}\qquad\text{(3.6330)}</w:t>
      </w:r>
    </w:p>
    <w:p w:rsidR="00135380" w:rsidRDefault="00135380" w:rsidP="00135380">
      <w:pPr>
        <w:pStyle w:val="StandardWeb"/>
      </w:pPr>
      <w:r>
        <w:t>charakterisiert werden.</w:t>
      </w:r>
    </w:p>
    <w:p w:rsidR="00135380" w:rsidRDefault="00135380" w:rsidP="00135380">
      <w:pPr>
        <w:pStyle w:val="StandardWeb"/>
      </w:pPr>
      <w:r>
        <w:t>Der Schwellenwert (\tau_{\mathrm{trans}}) muss vor der Bewertung wissenschaftlich begründet werden.</w:t>
      </w:r>
    </w:p>
    <w:p w:rsidR="00135380" w:rsidRDefault="00E50336" w:rsidP="00135380">
      <w:r>
        <w:pict>
          <v:rect id="_x0000_i1116" style="width:0;height:1.5pt" o:hralign="center" o:hrstd="t" o:hr="t" fillcolor="#a0a0a0" stroked="f"/>
        </w:pict>
      </w:r>
    </w:p>
    <w:p w:rsidR="00135380" w:rsidRDefault="00135380" w:rsidP="00135380">
      <w:pPr>
        <w:pStyle w:val="berschrift2"/>
      </w:pPr>
      <w:r>
        <w:t>3.3.38.22 Rekursive Erweiterung der Gültigkeitsdomäne</w:t>
      </w:r>
    </w:p>
    <w:p w:rsidR="00135380" w:rsidRDefault="00135380" w:rsidP="00135380">
      <w:pPr>
        <w:pStyle w:val="StandardWeb"/>
      </w:pPr>
      <w:r>
        <w:lastRenderedPageBreak/>
        <w:t>Wird eine Aussage erfolgreich in einen neuen Kontext übertragen und dort empirisch bestätigt, kann der Zielkontext Bestandteil einer erweiterten Gültigkeitsdomäne werden.</w:t>
      </w:r>
    </w:p>
    <w:p w:rsidR="00135380" w:rsidRDefault="00135380" w:rsidP="00135380">
      <w:pPr>
        <w:pStyle w:val="StandardWeb"/>
      </w:pPr>
      <w:r>
        <w:t>Aus</w:t>
      </w:r>
    </w:p>
    <w:p w:rsidR="00135380" w:rsidRDefault="00135380" w:rsidP="00135380">
      <w:pPr>
        <w:pStyle w:val="StandardWeb"/>
      </w:pPr>
      <w:r>
        <w:t>[</w:t>
      </w:r>
      <w:r>
        <w:br/>
        <w:t>\mathcal{C}_{L}^{(Z)}</w:t>
      </w:r>
      <w:r>
        <w:br/>
        <w:t>\notin</w:t>
      </w:r>
      <w:r>
        <w:br/>
        <w:t>\mathfrak{D}</w:t>
      </w:r>
      <w:r>
        <w:br/>
        <w:t>\left(</w:t>
      </w:r>
      <w:r>
        <w:br/>
        <w:t>A_F</w:t>
      </w:r>
      <w:r>
        <w:br/>
        <w:t>\right)</w:t>
      </w:r>
      <w:r>
        <w:br/>
        <w:t>\tag{3.6331}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\mathcal{C}_{L}^{(Z)}\notin\mathfrak{D}\left(A_F\right)\qquad\text{(3.6331)}</w:t>
      </w:r>
    </w:p>
    <w:p w:rsidR="00135380" w:rsidRDefault="00135380" w:rsidP="00135380">
      <w:pPr>
        <w:pStyle w:val="StandardWeb"/>
      </w:pPr>
      <w:r>
        <w:t>kann nach erfolgreicher Revalidierung werden</w:t>
      </w:r>
    </w:p>
    <w:p w:rsidR="00135380" w:rsidRDefault="00135380" w:rsidP="00135380">
      <w:pPr>
        <w:pStyle w:val="StandardWeb"/>
      </w:pPr>
      <w:r>
        <w:t>[</w:t>
      </w:r>
      <w:r>
        <w:br/>
        <w:t>\mathcal{C}_{L}^{(Z)}</w:t>
      </w:r>
      <w:r>
        <w:br/>
        <w:t>\in</w:t>
      </w:r>
      <w:r>
        <w:br/>
        <w:t>\mathfrak{D}</w:t>
      </w:r>
      <w:r>
        <w:br/>
        <w:t>\left(</w:t>
      </w:r>
      <w:r>
        <w:br/>
        <w:t>A_F</w:t>
      </w:r>
      <w:r>
        <w:br/>
        <w:t>\right).</w:t>
      </w:r>
      <w:r>
        <w:br/>
        <w:t>\tag{3.6332}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\mathcal{C}_{L}^{(Z)}\in\mathfrak{D}\left(A_F\right)\qquad\text{(3.6332)}</w:t>
      </w:r>
    </w:p>
    <w:p w:rsidR="00135380" w:rsidRDefault="00135380" w:rsidP="00135380">
      <w:pPr>
        <w:pStyle w:val="StandardWeb"/>
      </w:pPr>
      <w:r>
        <w:t>Die erweiterte Domäne lautet dann</w:t>
      </w:r>
    </w:p>
    <w:p w:rsidR="00135380" w:rsidRDefault="00135380" w:rsidP="00135380">
      <w:pPr>
        <w:pStyle w:val="berschrift1"/>
      </w:pPr>
      <w:r>
        <w:t>[</w:t>
      </w:r>
      <w:r>
        <w:br/>
        <w:t>\mathfrak{D}_{n+1}</w:t>
      </w:r>
      <w:r>
        <w:br/>
        <w:t>\left(</w:t>
      </w:r>
      <w:r>
        <w:br/>
        <w:t>A_F</w:t>
      </w:r>
      <w:r>
        <w:br/>
        <w:t>\right)</w:t>
      </w:r>
    </w:p>
    <w:p w:rsidR="00135380" w:rsidRDefault="00135380" w:rsidP="00135380">
      <w:pPr>
        <w:pStyle w:val="StandardWeb"/>
      </w:pPr>
      <w:r>
        <w:t>\mathfrak{D}</w:t>
      </w:r>
      <w:r>
        <w:rPr>
          <w:rStyle w:val="Hervorhebung"/>
        </w:rPr>
        <w:t>{n}</w:t>
      </w:r>
      <w:r>
        <w:rPr>
          <w:i/>
          <w:iCs/>
        </w:rPr>
        <w:br/>
      </w:r>
      <w:r>
        <w:rPr>
          <w:rStyle w:val="Hervorhebung"/>
        </w:rPr>
        <w:t>\left(</w:t>
      </w:r>
      <w:r>
        <w:rPr>
          <w:i/>
          <w:iCs/>
        </w:rPr>
        <w:br/>
      </w:r>
      <w:r>
        <w:rPr>
          <w:rStyle w:val="Hervorhebung"/>
        </w:rPr>
        <w:t>A_F</w:t>
      </w:r>
      <w:r>
        <w:rPr>
          <w:i/>
          <w:iCs/>
        </w:rPr>
        <w:br/>
      </w:r>
      <w:r>
        <w:rPr>
          <w:rStyle w:val="Hervorhebung"/>
        </w:rPr>
        <w:t>\right)</w:t>
      </w:r>
      <w:r>
        <w:rPr>
          <w:i/>
          <w:iCs/>
        </w:rPr>
        <w:br/>
      </w:r>
      <w:r>
        <w:rPr>
          <w:rStyle w:val="Hervorhebung"/>
        </w:rPr>
        <w:lastRenderedPageBreak/>
        <w:t>\cup</w:t>
      </w:r>
      <w:r>
        <w:rPr>
          <w:i/>
          <w:iCs/>
        </w:rPr>
        <w:br/>
      </w:r>
      <w:r>
        <w:rPr>
          <w:rStyle w:val="Hervorhebung"/>
        </w:rPr>
        <w:t>\left{</w:t>
      </w:r>
      <w:r>
        <w:rPr>
          <w:i/>
          <w:iCs/>
        </w:rPr>
        <w:br/>
      </w:r>
      <w:r>
        <w:rPr>
          <w:rStyle w:val="Hervorhebung"/>
        </w:rPr>
        <w:t>\mathcal{C}</w:t>
      </w:r>
      <w:r>
        <w:t>{L}^{(Z)}</w:t>
      </w:r>
      <w:r>
        <w:br/>
        <w:t>\right}.</w:t>
      </w:r>
      <w:r>
        <w:br/>
        <w:t>\tag{3.6333}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\mathfrak{D}_{n+1}\left(A_F\right)=\mathfrak{D}_{n}\left(A_F\right)\cup\left\{\mathcal{C}_{L}^{(Z)}\right\}\qquad\text{(3.6333)}</w:t>
      </w:r>
    </w:p>
    <w:p w:rsidR="00135380" w:rsidRDefault="00135380" w:rsidP="00135380">
      <w:pPr>
        <w:pStyle w:val="StandardWeb"/>
      </w:pPr>
      <w:r>
        <w:t xml:space="preserve">Damit wird Generalisierung im FRZK als </w:t>
      </w:r>
      <w:r>
        <w:rPr>
          <w:rStyle w:val="Fett"/>
        </w:rPr>
        <w:t>schrittweiser empirisch kontrollierter Erweiterungsprozess</w:t>
      </w:r>
      <w:r>
        <w:t xml:space="preserve"> verstanden und nicht als einmaliger logischer Sprung vom Einzelfall zur Universalität.</w:t>
      </w:r>
    </w:p>
    <w:p w:rsidR="00135380" w:rsidRDefault="00E50336" w:rsidP="00135380">
      <w:r>
        <w:pict>
          <v:rect id="_x0000_i1117" style="width:0;height:1.5pt" o:hralign="center" o:hrstd="t" o:hr="t" fillcolor="#a0a0a0" stroked="f"/>
        </w:pict>
      </w:r>
    </w:p>
    <w:p w:rsidR="00135380" w:rsidRDefault="00135380" w:rsidP="00135380">
      <w:pPr>
        <w:pStyle w:val="berschrift2"/>
      </w:pPr>
      <w:r>
        <w:t>3.3.38.23 Transport zwischen mehreren Kontexten</w:t>
      </w:r>
    </w:p>
    <w:p w:rsidR="00135380" w:rsidRDefault="00135380" w:rsidP="00135380">
      <w:pPr>
        <w:pStyle w:val="StandardWeb"/>
      </w:pPr>
      <w:r>
        <w:t>Eine Aussage kann über eine Folge von Kontexten transportiert werden:</w:t>
      </w:r>
    </w:p>
    <w:p w:rsidR="00135380" w:rsidRDefault="00135380" w:rsidP="00135380">
      <w:pPr>
        <w:pStyle w:val="StandardWeb"/>
      </w:pPr>
      <w:r>
        <w:t>[</w:t>
      </w:r>
      <w:r>
        <w:br/>
        <w:t>\mathcal{C}_1</w:t>
      </w:r>
      <w:r>
        <w:br/>
        <w:t>\rightarrow</w:t>
      </w:r>
      <w:r>
        <w:br/>
        <w:t>\mathcal{C}_2</w:t>
      </w:r>
      <w:r>
        <w:br/>
        <w:t>\rightarrow</w:t>
      </w:r>
      <w:r>
        <w:br/>
        <w:t>\cdots</w:t>
      </w:r>
      <w:r>
        <w:br/>
        <w:t>\rightarrow</w:t>
      </w:r>
      <w:r>
        <w:br/>
        <w:t>\mathcal{C}_n.</w:t>
      </w:r>
      <w:r>
        <w:br/>
        <w:t>\tag{3.6334}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\mathcal{C}_1\rightarrow\mathcal{C}_2\rightarrow\cdots\rightarrow\mathcal{C}_n\qquad\text{(3.6334)}</w:t>
      </w:r>
    </w:p>
    <w:p w:rsidR="00135380" w:rsidRDefault="00135380" w:rsidP="00135380">
      <w:pPr>
        <w:pStyle w:val="StandardWeb"/>
      </w:pPr>
      <w:r>
        <w:t>Für jeden Schritt existiert ein Transportoperator</w:t>
      </w:r>
    </w:p>
    <w:p w:rsidR="00135380" w:rsidRDefault="00135380" w:rsidP="00135380">
      <w:pPr>
        <w:pStyle w:val="StandardWeb"/>
      </w:pPr>
      <w:r>
        <w:t>[</w:t>
      </w:r>
      <w:r>
        <w:br/>
        <w:t>\mathcal{T}_{A}^{(k)}</w:t>
      </w:r>
      <w:r>
        <w:br/>
        <w:t>:</w:t>
      </w:r>
      <w:r>
        <w:br/>
        <w:t>\mathcal{C}</w:t>
      </w:r>
      <w:r>
        <w:rPr>
          <w:rStyle w:val="Hervorhebung"/>
        </w:rPr>
        <w:t>k</w:t>
      </w:r>
      <w:r>
        <w:rPr>
          <w:i/>
          <w:iCs/>
        </w:rPr>
        <w:br/>
      </w:r>
      <w:r>
        <w:rPr>
          <w:rStyle w:val="Hervorhebung"/>
        </w:rPr>
        <w:t>\rightarrow</w:t>
      </w:r>
      <w:r>
        <w:rPr>
          <w:i/>
          <w:iCs/>
        </w:rPr>
        <w:br/>
      </w:r>
      <w:r>
        <w:rPr>
          <w:rStyle w:val="Hervorhebung"/>
        </w:rPr>
        <w:t>\mathcal{C}</w:t>
      </w:r>
      <w:r>
        <w:t>{k+1}.</w:t>
      </w:r>
      <w:r>
        <w:br/>
        <w:t>\tag{3.6335}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lastRenderedPageBreak/>
        <w:t>\mathcal{T}_{A}^{(k)}:\mathcal{C}_k\rightarrow\mathcal{C}_{k+1}\qquad\text{(3.6335)}</w:t>
      </w:r>
    </w:p>
    <w:p w:rsidR="00135380" w:rsidRDefault="00135380" w:rsidP="00135380">
      <w:pPr>
        <w:pStyle w:val="StandardWeb"/>
      </w:pPr>
      <w:r>
        <w:t>Die Gesamtübertragung ergibt sich aus der Komposition</w:t>
      </w:r>
    </w:p>
    <w:p w:rsidR="00135380" w:rsidRDefault="00135380" w:rsidP="00135380">
      <w:pPr>
        <w:pStyle w:val="berschrift1"/>
      </w:pPr>
      <w:r>
        <w:t>[</w:t>
      </w:r>
      <w:r>
        <w:br/>
        <w:t>\mathcal{T}_{A}^{\mathrm{ges}}</w:t>
      </w:r>
    </w:p>
    <w:p w:rsidR="00135380" w:rsidRDefault="00135380" w:rsidP="00135380">
      <w:pPr>
        <w:pStyle w:val="StandardWeb"/>
      </w:pPr>
      <w:r>
        <w:t>\mathcal{T}</w:t>
      </w:r>
      <w:r>
        <w:rPr>
          <w:rStyle w:val="Hervorhebung"/>
        </w:rPr>
        <w:t>{A}^{(n-1)}</w:t>
      </w:r>
      <w:r>
        <w:rPr>
          <w:i/>
          <w:iCs/>
        </w:rPr>
        <w:br/>
      </w:r>
      <w:r>
        <w:rPr>
          <w:rStyle w:val="Hervorhebung"/>
        </w:rPr>
        <w:t>\circ</w:t>
      </w:r>
      <w:r>
        <w:rPr>
          <w:i/>
          <w:iCs/>
        </w:rPr>
        <w:br/>
      </w:r>
      <w:r>
        <w:rPr>
          <w:rStyle w:val="Hervorhebung"/>
        </w:rPr>
        <w:t>\cdots</w:t>
      </w:r>
      <w:r>
        <w:rPr>
          <w:i/>
          <w:iCs/>
        </w:rPr>
        <w:br/>
      </w:r>
      <w:r>
        <w:rPr>
          <w:rStyle w:val="Hervorhebung"/>
        </w:rPr>
        <w:t>\circ</w:t>
      </w:r>
      <w:r>
        <w:rPr>
          <w:i/>
          <w:iCs/>
        </w:rPr>
        <w:br/>
      </w:r>
      <w:r>
        <w:rPr>
          <w:rStyle w:val="Hervorhebung"/>
        </w:rPr>
        <w:t>\mathcal{T}</w:t>
      </w:r>
      <w:r>
        <w:t>{A}^{(2)}</w:t>
      </w:r>
      <w:r>
        <w:br/>
        <w:t>\circ</w:t>
      </w:r>
      <w:r>
        <w:br/>
        <w:t>\mathcal{T}_{A}^{(1)}.</w:t>
      </w:r>
      <w:r>
        <w:br/>
        <w:t>\tag{3.6336}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\mathcal{T}_{A}^{\mathrm{ges}}=\mathcal{T}_{A}^{(n-1)}\circ\cdots\circ\mathcal{T}_{A}^{(2)}\circ\mathcal{T}_{A}^{(1)}\qquad\text{(3.6336)}</w:t>
      </w:r>
    </w:p>
    <w:p w:rsidR="00135380" w:rsidRDefault="00135380" w:rsidP="00135380">
      <w:pPr>
        <w:pStyle w:val="StandardWeb"/>
      </w:pPr>
      <w:r>
        <w:t>Damit lautet die Zielaussage</w:t>
      </w:r>
    </w:p>
    <w:p w:rsidR="00135380" w:rsidRDefault="00135380" w:rsidP="00135380">
      <w:pPr>
        <w:pStyle w:val="berschrift1"/>
      </w:pPr>
      <w:r>
        <w:t>[</w:t>
      </w:r>
      <w:r>
        <w:br/>
        <w:t>A_F^{(n)}</w:t>
      </w:r>
    </w:p>
    <w:p w:rsidR="00135380" w:rsidRDefault="00135380" w:rsidP="00135380">
      <w:pPr>
        <w:pStyle w:val="StandardWeb"/>
      </w:pPr>
      <w:r>
        <w:t>\mathcal{T}_{A}^{\mathrm{ges}}</w:t>
      </w:r>
      <w:r>
        <w:br/>
        <w:t>\left(</w:t>
      </w:r>
      <w:r>
        <w:br/>
        <w:t>A_F^{(1)}</w:t>
      </w:r>
      <w:r>
        <w:br/>
        <w:t>\right).</w:t>
      </w:r>
      <w:r>
        <w:br/>
        <w:t>\tag{3.6337}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A_F^{(n)}=\mathcal{T}_{A}^{\mathrm{ges}}\left(A_F^{(1)}\right)\qquad\text{(3.6337)}</w:t>
      </w:r>
    </w:p>
    <w:p w:rsidR="00135380" w:rsidRDefault="00E50336" w:rsidP="00135380">
      <w:r>
        <w:pict>
          <v:rect id="_x0000_i1118" style="width:0;height:1.5pt" o:hralign="center" o:hrstd="t" o:hr="t" fillcolor="#a0a0a0" stroked="f"/>
        </w:pict>
      </w:r>
    </w:p>
    <w:p w:rsidR="00135380" w:rsidRDefault="00135380" w:rsidP="00135380">
      <w:pPr>
        <w:pStyle w:val="berschrift2"/>
      </w:pPr>
      <w:r>
        <w:t>3.3.38.24 Akkumulation von Transportunsicherheit</w:t>
      </w:r>
    </w:p>
    <w:p w:rsidR="00135380" w:rsidRDefault="00135380" w:rsidP="00135380">
      <w:pPr>
        <w:pStyle w:val="StandardWeb"/>
      </w:pPr>
      <w:r>
        <w:t>Bei mehrstufigem Transport können sich Unsicherheiten akkumulieren.</w:t>
      </w:r>
    </w:p>
    <w:p w:rsidR="00135380" w:rsidRDefault="00135380" w:rsidP="00135380">
      <w:pPr>
        <w:pStyle w:val="StandardWeb"/>
      </w:pPr>
      <w:r>
        <w:t>Für jeden Transport sei</w:t>
      </w:r>
    </w:p>
    <w:p w:rsidR="00135380" w:rsidRDefault="00135380" w:rsidP="00135380">
      <w:pPr>
        <w:pStyle w:val="StandardWeb"/>
      </w:pPr>
      <w:r>
        <w:lastRenderedPageBreak/>
        <w:t>[</w:t>
      </w:r>
      <w:r>
        <w:br/>
        <w:t>u_T^{(k)}</w:t>
      </w:r>
      <w:r>
        <w:br/>
        <w:t>\geq</w:t>
      </w:r>
      <w:r>
        <w:br/>
        <w:t>0.</w:t>
      </w:r>
      <w:r>
        <w:br/>
        <w:t>\tag{3.6338}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u_T^{(k)}\geq0\qquad\text{(3.6338)}</w:t>
      </w:r>
    </w:p>
    <w:p w:rsidR="00135380" w:rsidRDefault="00135380" w:rsidP="00135380">
      <w:pPr>
        <w:pStyle w:val="StandardWeb"/>
      </w:pPr>
      <w:r>
        <w:t>Eine allgemeine Gesamtunsicherheit kann dann geschrieben werden als</w:t>
      </w:r>
    </w:p>
    <w:p w:rsidR="00135380" w:rsidRDefault="00135380" w:rsidP="00135380">
      <w:pPr>
        <w:pStyle w:val="berschrift1"/>
      </w:pPr>
      <w:r>
        <w:t>[</w:t>
      </w:r>
      <w:r>
        <w:br/>
        <w:t>u_{\mathrm{ges},n}</w:t>
      </w:r>
    </w:p>
    <w:p w:rsidR="00135380" w:rsidRDefault="00135380" w:rsidP="00135380">
      <w:pPr>
        <w:pStyle w:val="StandardWeb"/>
      </w:pPr>
      <w:r>
        <w:t>\mathcal{U}</w:t>
      </w:r>
      <w:r>
        <w:br/>
        <w:t>\left(</w:t>
      </w:r>
      <w:r>
        <w:br/>
        <w:t>u_1,</w:t>
      </w:r>
      <w:r>
        <w:br/>
        <w:t>u_T^{(1)},</w:t>
      </w:r>
      <w:r>
        <w:br/>
        <w:t>u_T^{(2)},</w:t>
      </w:r>
      <w:r>
        <w:br/>
        <w:t>\ldots,</w:t>
      </w:r>
      <w:r>
        <w:br/>
        <w:t>u_T^{(n-1)}</w:t>
      </w:r>
      <w:r>
        <w:br/>
        <w:t>\right).</w:t>
      </w:r>
      <w:r>
        <w:br/>
        <w:t>\tag{3.6339}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u_{\mathrm{ges},n}=\mathcal{U}\left(u_1,u_T^{(1)},u_T^{(2)},\ldots,u_T^{(n-1)}\right)\qquad\text{(3.6339)}</w:t>
      </w:r>
    </w:p>
    <w:p w:rsidR="00135380" w:rsidRDefault="00135380" w:rsidP="00135380">
      <w:pPr>
        <w:pStyle w:val="StandardWeb"/>
      </w:pPr>
      <w:r>
        <w:t>Eine mehrfache Übertragung ohne empirische Revalidierung kann deshalb zunehmend unsicher werden.</w:t>
      </w:r>
    </w:p>
    <w:p w:rsidR="00135380" w:rsidRDefault="00135380" w:rsidP="00135380">
      <w:pPr>
        <w:pStyle w:val="StandardWeb"/>
      </w:pPr>
      <w:r>
        <w:t>Dies liefert einen wichtigen methodischen Grund dafür, Generalisierungen nicht beliebig über immer weitere Kontextketten fortzuschreiben.</w:t>
      </w:r>
    </w:p>
    <w:p w:rsidR="00135380" w:rsidRDefault="00E50336" w:rsidP="00135380">
      <w:r>
        <w:pict>
          <v:rect id="_x0000_i1119" style="width:0;height:1.5pt" o:hralign="center" o:hrstd="t" o:hr="t" fillcolor="#a0a0a0" stroked="f"/>
        </w:pict>
      </w:r>
    </w:p>
    <w:p w:rsidR="00135380" w:rsidRDefault="00135380" w:rsidP="00135380">
      <w:pPr>
        <w:pStyle w:val="berschrift2"/>
      </w:pPr>
      <w:r>
        <w:t>3.3.38.25 Direkter versus indirekter Transport</w:t>
      </w:r>
    </w:p>
    <w:p w:rsidR="00135380" w:rsidRDefault="00135380" w:rsidP="00135380">
      <w:pPr>
        <w:pStyle w:val="StandardWeb"/>
      </w:pPr>
      <w:r>
        <w:t>Eine Aussage kann entweder direkt vom Quell- in den Zielkontext übertragen werden</w:t>
      </w:r>
    </w:p>
    <w:p w:rsidR="00135380" w:rsidRDefault="00135380" w:rsidP="00135380">
      <w:pPr>
        <w:pStyle w:val="StandardWeb"/>
      </w:pPr>
      <w:r>
        <w:t>[</w:t>
      </w:r>
      <w:r>
        <w:br/>
        <w:t>\mathcal{C}</w:t>
      </w:r>
      <w:r>
        <w:rPr>
          <w:rStyle w:val="Hervorhebung"/>
        </w:rPr>
        <w:t>S</w:t>
      </w:r>
      <w:r>
        <w:rPr>
          <w:i/>
          <w:iCs/>
        </w:rPr>
        <w:br/>
      </w:r>
      <w:r>
        <w:rPr>
          <w:rStyle w:val="Hervorhebung"/>
        </w:rPr>
        <w:t>\xrightarrow{\mathcal{T}</w:t>
      </w:r>
      <w:r>
        <w:t>{A}^{SZ}}</w:t>
      </w:r>
      <w:r>
        <w:br/>
        <w:t>\mathcal{C}_Z</w:t>
      </w:r>
      <w:r>
        <w:br/>
        <w:t>\tag{3.6340}</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\mathcal{C}_S\xrightarrow{\mathcal{T}_{A}^{SZ}}\mathcal{C}_Z\qquad\text{(3.6340)}</w:t>
      </w:r>
    </w:p>
    <w:p w:rsidR="00135380" w:rsidRDefault="00135380" w:rsidP="00135380">
      <w:pPr>
        <w:pStyle w:val="StandardWeb"/>
      </w:pPr>
      <w:r>
        <w:t>oder über einen Zwischenkontext</w:t>
      </w:r>
    </w:p>
    <w:p w:rsidR="00135380" w:rsidRDefault="00135380" w:rsidP="00135380">
      <w:pPr>
        <w:pStyle w:val="StandardWeb"/>
      </w:pPr>
      <w:r>
        <w:t>[</w:t>
      </w:r>
      <w:r>
        <w:br/>
        <w:t>\mathcal{C}</w:t>
      </w:r>
      <w:r>
        <w:rPr>
          <w:rStyle w:val="Hervorhebung"/>
        </w:rPr>
        <w:t>S</w:t>
      </w:r>
      <w:r>
        <w:rPr>
          <w:i/>
          <w:iCs/>
        </w:rPr>
        <w:br/>
      </w:r>
      <w:r>
        <w:rPr>
          <w:rStyle w:val="Hervorhebung"/>
        </w:rPr>
        <w:t>\xrightarrow{\mathcal{T}</w:t>
      </w:r>
      <w:r>
        <w:t>{A}^{SM}}</w:t>
      </w:r>
      <w:r>
        <w:br/>
        <w:t>\mathcal{C}</w:t>
      </w:r>
      <w:r>
        <w:rPr>
          <w:rStyle w:val="Hervorhebung"/>
        </w:rPr>
        <w:t>M</w:t>
      </w:r>
      <w:r>
        <w:rPr>
          <w:i/>
          <w:iCs/>
        </w:rPr>
        <w:br/>
      </w:r>
      <w:r>
        <w:rPr>
          <w:rStyle w:val="Hervorhebung"/>
        </w:rPr>
        <w:t>\xrightarrow{\mathcal{T}</w:t>
      </w:r>
      <w:r>
        <w:t>{A}^{MZ}}</w:t>
      </w:r>
      <w:r>
        <w:br/>
        <w:t>\mathcal{C}_Z.</w:t>
      </w:r>
      <w:r>
        <w:br/>
        <w:t>\tag{3.6341}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\mathcal{C}_S\xrightarrow{\mathcal{T}_{A}^{SM}}\mathcal{C}_M\xrightarrow{\mathcal{T}_{A}^{MZ}}\mathcal{C}_Z\qquad\text{(3.6341)}</w:t>
      </w:r>
    </w:p>
    <w:p w:rsidR="00135380" w:rsidRDefault="00135380" w:rsidP="00135380">
      <w:pPr>
        <w:pStyle w:val="StandardWeb"/>
      </w:pPr>
      <w:r>
        <w:t>Für Pfadunabhängigkeit müsste gelten</w:t>
      </w:r>
    </w:p>
    <w:p w:rsidR="00135380" w:rsidRDefault="00135380" w:rsidP="00135380">
      <w:pPr>
        <w:pStyle w:val="berschrift1"/>
      </w:pPr>
      <w:r>
        <w:t>[</w:t>
      </w:r>
      <w:r>
        <w:br/>
        <w:t>\mathcal{T}_{A}^{SZ}</w:t>
      </w:r>
    </w:p>
    <w:p w:rsidR="00135380" w:rsidRDefault="00135380" w:rsidP="00135380">
      <w:pPr>
        <w:pStyle w:val="StandardWeb"/>
      </w:pPr>
      <w:r>
        <w:t>\mathcal{T}</w:t>
      </w:r>
      <w:r>
        <w:rPr>
          <w:rStyle w:val="Hervorhebung"/>
        </w:rPr>
        <w:t>{A}^{MZ}</w:t>
      </w:r>
      <w:r>
        <w:rPr>
          <w:i/>
          <w:iCs/>
        </w:rPr>
        <w:br/>
      </w:r>
      <w:r>
        <w:rPr>
          <w:rStyle w:val="Hervorhebung"/>
        </w:rPr>
        <w:t>\circ</w:t>
      </w:r>
      <w:r>
        <w:rPr>
          <w:i/>
          <w:iCs/>
        </w:rPr>
        <w:br/>
      </w:r>
      <w:r>
        <w:rPr>
          <w:rStyle w:val="Hervorhebung"/>
        </w:rPr>
        <w:t>\mathcal{T}</w:t>
      </w:r>
      <w:r>
        <w:t>{A}^{SM}.</w:t>
      </w:r>
      <w:r>
        <w:br/>
        <w:t>\tag{3.6342}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\mathcal{T}_{A}^{SZ}=\mathcal{T}_{A}^{MZ}\circ\mathcal{T}_{A}^{SM}\qquad\text{(3.6342)}</w:t>
      </w:r>
    </w:p>
    <w:p w:rsidR="00135380" w:rsidRDefault="00135380" w:rsidP="00135380">
      <w:pPr>
        <w:pStyle w:val="StandardWeb"/>
      </w:pPr>
      <w:r>
        <w:t>Diese Gleichheit ist nicht selbstverständlich.</w:t>
      </w:r>
    </w:p>
    <w:p w:rsidR="00135380" w:rsidRDefault="00135380" w:rsidP="00135380">
      <w:pPr>
        <w:pStyle w:val="StandardWeb"/>
      </w:pPr>
      <w:r>
        <w:t>Wenn</w:t>
      </w:r>
    </w:p>
    <w:p w:rsidR="00135380" w:rsidRDefault="00135380" w:rsidP="00135380">
      <w:pPr>
        <w:pStyle w:val="StandardWeb"/>
      </w:pPr>
      <w:r>
        <w:t>[</w:t>
      </w:r>
      <w:r>
        <w:br/>
        <w:t>\mathcal{T}</w:t>
      </w:r>
      <w:r>
        <w:rPr>
          <w:rStyle w:val="Hervorhebung"/>
        </w:rPr>
        <w:t>{A}^{SZ}</w:t>
      </w:r>
      <w:r>
        <w:rPr>
          <w:i/>
          <w:iCs/>
        </w:rPr>
        <w:br/>
      </w:r>
      <w:r>
        <w:rPr>
          <w:rStyle w:val="Hervorhebung"/>
        </w:rPr>
        <w:t>\neq</w:t>
      </w:r>
      <w:r>
        <w:rPr>
          <w:i/>
          <w:iCs/>
        </w:rPr>
        <w:br/>
      </w:r>
      <w:r>
        <w:rPr>
          <w:rStyle w:val="Hervorhebung"/>
        </w:rPr>
        <w:t>\mathcal{T}</w:t>
      </w:r>
      <w:r>
        <w:t>{A}^{MZ}</w:t>
      </w:r>
      <w:r>
        <w:br/>
        <w:t>\circ</w:t>
      </w:r>
      <w:r>
        <w:br/>
        <w:t>\mathcal{T}_{A}^{SM},</w:t>
      </w:r>
      <w:r>
        <w:br/>
        <w:t>\tag{3.6343}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lastRenderedPageBreak/>
        <w:t>\mathcal{T}_{A}^{SZ}\neq\mathcal{T}_{A}^{MZ}\circ\mathcal{T}_{A}^{SM}\qquad\text{(3.6343)}</w:t>
      </w:r>
    </w:p>
    <w:p w:rsidR="00135380" w:rsidRDefault="00135380" w:rsidP="00135380">
      <w:pPr>
        <w:pStyle w:val="StandardWeb"/>
      </w:pPr>
      <w:r>
        <w:t>ist die Übertragung pfadabhängig.</w:t>
      </w:r>
    </w:p>
    <w:p w:rsidR="00135380" w:rsidRDefault="00135380" w:rsidP="00135380">
      <w:pPr>
        <w:pStyle w:val="StandardWeb"/>
      </w:pPr>
      <w:r>
        <w:t>Eine solche Pfadabhängigkeit kann auf nichtlineare Kontextanpassungen oder Informationsverluste hinweisen.</w:t>
      </w:r>
    </w:p>
    <w:p w:rsidR="00135380" w:rsidRDefault="00E50336" w:rsidP="00135380">
      <w:r>
        <w:pict>
          <v:rect id="_x0000_i1120" style="width:0;height:1.5pt" o:hralign="center" o:hrstd="t" o:hr="t" fillcolor="#a0a0a0" stroked="f"/>
        </w:pict>
      </w:r>
    </w:p>
    <w:p w:rsidR="00135380" w:rsidRDefault="00135380" w:rsidP="00135380">
      <w:pPr>
        <w:pStyle w:val="berschrift2"/>
      </w:pPr>
      <w:r>
        <w:t>3.3.38.26 Reversibilität von Übertragungen</w:t>
      </w:r>
    </w:p>
    <w:p w:rsidR="00135380" w:rsidRDefault="00135380" w:rsidP="00135380">
      <w:pPr>
        <w:pStyle w:val="StandardWeb"/>
      </w:pPr>
      <w:r>
        <w:t>Nicht jede Übertragung muss umkehrbar sein.</w:t>
      </w:r>
    </w:p>
    <w:p w:rsidR="00135380" w:rsidRDefault="00135380" w:rsidP="00135380">
      <w:pPr>
        <w:pStyle w:val="StandardWeb"/>
      </w:pPr>
      <w:r>
        <w:t>Existiert ein inverser Transportoperator</w:t>
      </w:r>
    </w:p>
    <w:p w:rsidR="00135380" w:rsidRDefault="00135380" w:rsidP="00135380">
      <w:pPr>
        <w:pStyle w:val="StandardWeb"/>
      </w:pPr>
      <w:r>
        <w:t>[</w:t>
      </w:r>
      <w:r>
        <w:br/>
        <w:t>\mathcal{T}_{A}^{-1},</w:t>
      </w:r>
      <w:r>
        <w:br/>
        <w:t>\tag{3.6344}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\mathcal{T}_{A}^{-1}\qquad\text{(3.6344)}</w:t>
      </w:r>
    </w:p>
    <w:p w:rsidR="00135380" w:rsidRDefault="00135380" w:rsidP="00135380">
      <w:pPr>
        <w:pStyle w:val="StandardWeb"/>
      </w:pPr>
      <w:r>
        <w:t>mit</w:t>
      </w:r>
    </w:p>
    <w:p w:rsidR="00135380" w:rsidRDefault="00135380" w:rsidP="00135380">
      <w:pPr>
        <w:pStyle w:val="berschrift1"/>
      </w:pPr>
      <w:r>
        <w:t>[</w:t>
      </w:r>
      <w:r>
        <w:br/>
        <w:t>\mathcal{T}</w:t>
      </w:r>
      <w:r>
        <w:rPr>
          <w:rStyle w:val="Hervorhebung"/>
        </w:rPr>
        <w:t>{A}^{-1}</w:t>
      </w:r>
      <w:r>
        <w:rPr>
          <w:i/>
          <w:iCs/>
        </w:rPr>
        <w:br/>
      </w:r>
      <w:r>
        <w:rPr>
          <w:rStyle w:val="Hervorhebung"/>
        </w:rPr>
        <w:t>\circ</w:t>
      </w:r>
      <w:r>
        <w:rPr>
          <w:i/>
          <w:iCs/>
        </w:rPr>
        <w:br/>
      </w:r>
      <w:r>
        <w:rPr>
          <w:rStyle w:val="Hervorhebung"/>
        </w:rPr>
        <w:t>\mathcal{T}</w:t>
      </w:r>
      <w:r>
        <w:t>{A}</w:t>
      </w:r>
    </w:p>
    <w:p w:rsidR="00135380" w:rsidRDefault="00135380" w:rsidP="00135380">
      <w:pPr>
        <w:pStyle w:val="StandardWeb"/>
      </w:pPr>
      <w:r>
        <w:t>\operatorname{Id},</w:t>
      </w:r>
      <w:r>
        <w:br/>
        <w:t>\tag{3.6345}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\mathcal{T}_{A}^{-1}\circ\mathcal{T}_{A}=\operatorname{Id}\qquad\text{(3.6345)}</w:t>
      </w:r>
    </w:p>
    <w:p w:rsidR="00135380" w:rsidRDefault="00135380" w:rsidP="00135380">
      <w:pPr>
        <w:pStyle w:val="StandardWeb"/>
      </w:pPr>
      <w:r>
        <w:t>so ist der Transport bezüglich der betrachteten Aussage reversibel.</w:t>
      </w:r>
    </w:p>
    <w:p w:rsidR="00135380" w:rsidRDefault="00135380" w:rsidP="00135380">
      <w:pPr>
        <w:pStyle w:val="StandardWeb"/>
      </w:pPr>
      <w:r>
        <w:t>Im Allgemeinen kann jedoch gelten</w:t>
      </w:r>
    </w:p>
    <w:p w:rsidR="00135380" w:rsidRDefault="00135380" w:rsidP="00135380">
      <w:pPr>
        <w:pStyle w:val="StandardWeb"/>
      </w:pPr>
      <w:r>
        <w:t>[</w:t>
      </w:r>
      <w:r>
        <w:br/>
        <w:t>\nexists</w:t>
      </w:r>
      <w:r>
        <w:br/>
        <w:t>\mathcal{T}_{A}^{-1}.</w:t>
      </w:r>
      <w:r>
        <w:br/>
      </w:r>
      <w:r>
        <w:lastRenderedPageBreak/>
        <w:t>\tag{3.6346}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\nexists\mathcal{T}_{A}^{-1}\qquad\text{(3.6346)}</w:t>
      </w:r>
    </w:p>
    <w:p w:rsidR="00135380" w:rsidRDefault="00135380" w:rsidP="00135380">
      <w:pPr>
        <w:pStyle w:val="StandardWeb"/>
      </w:pPr>
      <w:r>
        <w:t>Dies ist beispielsweise dann möglich, wenn beim Transport Informationen zusammengefasst oder irreversibel verloren gehen.</w:t>
      </w:r>
    </w:p>
    <w:p w:rsidR="00135380" w:rsidRDefault="00E50336" w:rsidP="00135380">
      <w:r>
        <w:pict>
          <v:rect id="_x0000_i1121" style="width:0;height:1.5pt" o:hralign="center" o:hrstd="t" o:hr="t" fillcolor="#a0a0a0" stroked="f"/>
        </w:pict>
      </w:r>
    </w:p>
    <w:p w:rsidR="00135380" w:rsidRDefault="00135380" w:rsidP="00135380">
      <w:pPr>
        <w:pStyle w:val="berschrift2"/>
      </w:pPr>
      <w:r>
        <w:t>3.3.38.27 Transport funktionaler Zustände</w:t>
      </w:r>
    </w:p>
    <w:p w:rsidR="00135380" w:rsidRDefault="00135380" w:rsidP="00135380">
      <w:pPr>
        <w:pStyle w:val="StandardWeb"/>
      </w:pPr>
      <w:r>
        <w:t>Neben Aussagen können auch funktionale Zustände zwischen vergleichbaren Systemen abgebildet werden.</w:t>
      </w:r>
    </w:p>
    <w:p w:rsidR="00135380" w:rsidRDefault="00135380" w:rsidP="00135380">
      <w:pPr>
        <w:pStyle w:val="StandardWeb"/>
      </w:pPr>
      <w:r>
        <w:t>Der Zustandsoperator lautet</w:t>
      </w:r>
    </w:p>
    <w:p w:rsidR="00135380" w:rsidRDefault="00135380" w:rsidP="00135380">
      <w:pPr>
        <w:pStyle w:val="StandardWeb"/>
      </w:pPr>
      <w:r>
        <w:t>[</w:t>
      </w:r>
      <w:r>
        <w:br/>
        <w:t>\mathcal{T}</w:t>
      </w:r>
      <w:r>
        <w:rPr>
          <w:rStyle w:val="Hervorhebung"/>
        </w:rPr>
        <w:t>{S}</w:t>
      </w:r>
      <w:r>
        <w:rPr>
          <w:i/>
          <w:iCs/>
        </w:rPr>
        <w:br/>
      </w:r>
      <w:r>
        <w:rPr>
          <w:rStyle w:val="Hervorhebung"/>
        </w:rPr>
        <w:t>:</w:t>
      </w:r>
      <w:r>
        <w:rPr>
          <w:i/>
          <w:iCs/>
        </w:rPr>
        <w:br/>
      </w:r>
      <w:r>
        <w:rPr>
          <w:rStyle w:val="Hervorhebung"/>
        </w:rPr>
        <w:t>\mathcal{S}</w:t>
      </w:r>
      <w:r>
        <w:t>{F}^{(S)}</w:t>
      </w:r>
      <w:r>
        <w:br/>
        <w:t>\rightarrow</w:t>
      </w:r>
      <w:r>
        <w:br/>
        <w:t>\mathcal{S}_{F}^{(Z)}.</w:t>
      </w:r>
      <w:r>
        <w:br/>
        <w:t>\tag{3.6347}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\mathcal{T}_{S}:\mathcal{S}_{F}^{(S)}\rightarrow\mathcal{S}_{F}^{(Z)}\qquad\text{(3.6347)}</w:t>
      </w:r>
    </w:p>
    <w:p w:rsidR="00135380" w:rsidRDefault="00135380" w:rsidP="00135380">
      <w:pPr>
        <w:pStyle w:val="StandardWeb"/>
      </w:pPr>
      <w:r>
        <w:t>Für einen Zustand (\delta_i^{(S)}) gilt</w:t>
      </w:r>
    </w:p>
    <w:p w:rsidR="00135380" w:rsidRDefault="00135380" w:rsidP="00135380">
      <w:pPr>
        <w:pStyle w:val="berschrift1"/>
      </w:pPr>
      <w:r>
        <w:t>[</w:t>
      </w:r>
      <w:r>
        <w:br/>
        <w:t>\delta_i^{(Z)}</w:t>
      </w:r>
    </w:p>
    <w:p w:rsidR="00135380" w:rsidRDefault="00135380" w:rsidP="00135380">
      <w:pPr>
        <w:pStyle w:val="StandardWeb"/>
      </w:pPr>
      <w:r>
        <w:t>\mathcal{T}_{S}</w:t>
      </w:r>
      <w:r>
        <w:br/>
        <w:t>\left(</w:t>
      </w:r>
      <w:r>
        <w:br/>
        <w:t>\delta_i^{(S)}</w:t>
      </w:r>
      <w:r>
        <w:br/>
        <w:t>\right).</w:t>
      </w:r>
      <w:r>
        <w:br/>
        <w:t>\tag{3.6348}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\delta_i^{(Z)}=\mathcal{T}_{S}\left(\delta_i^{(S)}\right)\qquad\text{(3.6348)}</w:t>
      </w:r>
    </w:p>
    <w:p w:rsidR="00135380" w:rsidRDefault="00135380" w:rsidP="00135380">
      <w:pPr>
        <w:pStyle w:val="StandardWeb"/>
      </w:pPr>
      <w:r>
        <w:lastRenderedPageBreak/>
        <w:t>Die wissenschaftliche Bedeutung eines solchen Zustandsvergleichs hängt davon ab, ob beide Zustände tatsächlich dieselbe funktionale Rolle besitzen.</w:t>
      </w:r>
    </w:p>
    <w:p w:rsidR="00135380" w:rsidRDefault="00E50336" w:rsidP="00135380">
      <w:r>
        <w:pict>
          <v:rect id="_x0000_i1122" style="width:0;height:1.5pt" o:hralign="center" o:hrstd="t" o:hr="t" fillcolor="#a0a0a0" stroked="f"/>
        </w:pict>
      </w:r>
    </w:p>
    <w:p w:rsidR="00135380" w:rsidRDefault="00135380" w:rsidP="00135380">
      <w:pPr>
        <w:pStyle w:val="berschrift2"/>
      </w:pPr>
      <w:r>
        <w:t>3.3.38.28 Transport funktionaler Relationen</w:t>
      </w:r>
    </w:p>
    <w:p w:rsidR="00135380" w:rsidRDefault="00135380" w:rsidP="00135380">
      <w:pPr>
        <w:pStyle w:val="StandardWeb"/>
      </w:pPr>
      <w:r>
        <w:t>Analog definiere ich einen Relationstransport</w:t>
      </w:r>
    </w:p>
    <w:p w:rsidR="00135380" w:rsidRDefault="00135380" w:rsidP="00135380">
      <w:pPr>
        <w:pStyle w:val="StandardWeb"/>
      </w:pPr>
      <w:r>
        <w:t>[</w:t>
      </w:r>
      <w:r>
        <w:br/>
        <w:t>\mathcal{T}</w:t>
      </w:r>
      <w:r>
        <w:rPr>
          <w:rStyle w:val="Hervorhebung"/>
        </w:rPr>
        <w:t>{R}</w:t>
      </w:r>
      <w:r>
        <w:rPr>
          <w:i/>
          <w:iCs/>
        </w:rPr>
        <w:br/>
      </w:r>
      <w:r>
        <w:rPr>
          <w:rStyle w:val="Hervorhebung"/>
        </w:rPr>
        <w:t>:</w:t>
      </w:r>
      <w:r>
        <w:rPr>
          <w:i/>
          <w:iCs/>
        </w:rPr>
        <w:br/>
      </w:r>
      <w:r>
        <w:rPr>
          <w:rStyle w:val="Hervorhebung"/>
        </w:rPr>
        <w:t>\mathfrak{R}</w:t>
      </w:r>
      <w:r>
        <w:t>{F}^{(S)}</w:t>
      </w:r>
      <w:r>
        <w:br/>
        <w:t>\rightarrow</w:t>
      </w:r>
      <w:r>
        <w:br/>
        <w:t>\mathfrak{R}_{F}^{(Z)}.</w:t>
      </w:r>
      <w:r>
        <w:br/>
        <w:t>\tag{3.6349}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\mathcal{T}_{R}:\mathfrak{R}_{F}^{(S)}\rightarrow\mathfrak{R}_{F}^{(Z)}\qquad\text{(3.6349)}</w:t>
      </w:r>
    </w:p>
    <w:p w:rsidR="00135380" w:rsidRDefault="00135380" w:rsidP="00135380">
      <w:pPr>
        <w:pStyle w:val="StandardWeb"/>
      </w:pPr>
      <w:r>
        <w:t>Für eine Relation</w:t>
      </w:r>
    </w:p>
    <w:p w:rsidR="00135380" w:rsidRDefault="00135380" w:rsidP="00135380">
      <w:pPr>
        <w:pStyle w:val="StandardWeb"/>
      </w:pPr>
      <w:r>
        <w:t>[</w:t>
      </w:r>
      <w:r>
        <w:br/>
        <w:t>\delta_i^{(S)}</w:t>
      </w:r>
      <w:r>
        <w:br/>
        <w:t>\mathcal{R}^{(S)}</w:t>
      </w:r>
      <w:r>
        <w:br/>
        <w:t>\delta_j^{(S)}</w:t>
      </w:r>
      <w:r>
        <w:br/>
        <w:t>\tag{3.6350}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\delta_i^{(S)}\mathcal{R}^{(S)}\delta_j^{(S)}\qquad\text{(3.6350)}</w:t>
      </w:r>
    </w:p>
    <w:p w:rsidR="00135380" w:rsidRDefault="00135380" w:rsidP="00135380">
      <w:pPr>
        <w:pStyle w:val="StandardWeb"/>
      </w:pPr>
      <w:r>
        <w:t>soll im Zielsystem eine entsprechende Relation</w:t>
      </w:r>
    </w:p>
    <w:p w:rsidR="00135380" w:rsidRDefault="00135380" w:rsidP="00135380">
      <w:pPr>
        <w:pStyle w:val="StandardWeb"/>
      </w:pPr>
      <w:r>
        <w:t>[</w:t>
      </w:r>
      <w:r>
        <w:br/>
        <w:t>\mathcal{T}</w:t>
      </w:r>
      <w:r>
        <w:rPr>
          <w:rStyle w:val="Hervorhebung"/>
        </w:rPr>
        <w:t>{S}</w:t>
      </w:r>
      <w:r>
        <w:rPr>
          <w:i/>
          <w:iCs/>
        </w:rPr>
        <w:br/>
      </w:r>
      <w:r>
        <w:rPr>
          <w:rStyle w:val="Hervorhebung"/>
        </w:rPr>
        <w:t>\left(</w:t>
      </w:r>
      <w:r>
        <w:rPr>
          <w:i/>
          <w:iCs/>
        </w:rPr>
        <w:br/>
      </w:r>
      <w:r>
        <w:rPr>
          <w:rStyle w:val="Hervorhebung"/>
        </w:rPr>
        <w:t>\delta_i^{(S)}</w:t>
      </w:r>
      <w:r>
        <w:rPr>
          <w:i/>
          <w:iCs/>
        </w:rPr>
        <w:br/>
      </w:r>
      <w:r>
        <w:rPr>
          <w:rStyle w:val="Hervorhebung"/>
        </w:rPr>
        <w:t>\right)</w:t>
      </w:r>
      <w:r>
        <w:rPr>
          <w:i/>
          <w:iCs/>
        </w:rPr>
        <w:br/>
      </w:r>
      <w:r>
        <w:rPr>
          <w:rStyle w:val="Hervorhebung"/>
        </w:rPr>
        <w:t>\mathcal{R}^{(Z)}</w:t>
      </w:r>
      <w:r>
        <w:rPr>
          <w:i/>
          <w:iCs/>
        </w:rPr>
        <w:br/>
      </w:r>
      <w:r>
        <w:rPr>
          <w:rStyle w:val="Hervorhebung"/>
        </w:rPr>
        <w:t>\mathcal{T}</w:t>
      </w:r>
      <w:r>
        <w:t>{S}</w:t>
      </w:r>
      <w:r>
        <w:br/>
        <w:t>\left(</w:t>
      </w:r>
      <w:r>
        <w:br/>
        <w:t>\delta_j^{(S)}</w:t>
      </w:r>
      <w:r>
        <w:br/>
        <w:t>\right)</w:t>
      </w:r>
      <w:r>
        <w:br/>
        <w:t>\tag{3.6351}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lastRenderedPageBreak/>
        <w:t>\mathcal{T}_{S}\left(\delta_i^{(S)}\right)\mathcal{R}^{(Z)}\mathcal{T}_{S}\left(\delta_j^{(S)}\right)\qquad\text{(3.6351)}</w:t>
      </w:r>
    </w:p>
    <w:p w:rsidR="00135380" w:rsidRDefault="00135380" w:rsidP="00135380">
      <w:pPr>
        <w:pStyle w:val="StandardWeb"/>
      </w:pPr>
      <w:r>
        <w:t>existieren, sofern genau diese Relation zu den zu erhaltenden Strukturen gehört.</w:t>
      </w:r>
    </w:p>
    <w:p w:rsidR="00135380" w:rsidRDefault="00E50336" w:rsidP="00135380">
      <w:r>
        <w:pict>
          <v:rect id="_x0000_i1123" style="width:0;height:1.5pt" o:hralign="center" o:hrstd="t" o:hr="t" fillcolor="#a0a0a0" stroked="f"/>
        </w:pict>
      </w:r>
    </w:p>
    <w:p w:rsidR="00135380" w:rsidRDefault="00135380" w:rsidP="00135380">
      <w:pPr>
        <w:pStyle w:val="berschrift2"/>
      </w:pPr>
      <w:r>
        <w:t>3.3.38.29 Transport funktionaler Transformationen</w:t>
      </w:r>
    </w:p>
    <w:p w:rsidR="00135380" w:rsidRDefault="00135380" w:rsidP="00135380">
      <w:pPr>
        <w:pStyle w:val="StandardWeb"/>
      </w:pPr>
      <w:r>
        <w:t>Auch Transformationen können transportiert werden.</w:t>
      </w:r>
    </w:p>
    <w:p w:rsidR="00135380" w:rsidRDefault="00135380" w:rsidP="00135380">
      <w:pPr>
        <w:pStyle w:val="StandardWeb"/>
      </w:pPr>
      <w:r>
        <w:t>Ich definiere</w:t>
      </w:r>
    </w:p>
    <w:p w:rsidR="00135380" w:rsidRDefault="00135380" w:rsidP="00135380">
      <w:pPr>
        <w:pStyle w:val="StandardWeb"/>
      </w:pPr>
      <w:r>
        <w:t>[</w:t>
      </w:r>
      <w:r>
        <w:br/>
        <w:t>\mathcal{T}</w:t>
      </w:r>
      <w:r>
        <w:rPr>
          <w:rStyle w:val="Hervorhebung"/>
        </w:rPr>
        <w:t>{T}</w:t>
      </w:r>
      <w:r>
        <w:rPr>
          <w:i/>
          <w:iCs/>
        </w:rPr>
        <w:br/>
      </w:r>
      <w:r>
        <w:rPr>
          <w:rStyle w:val="Hervorhebung"/>
        </w:rPr>
        <w:t>:</w:t>
      </w:r>
      <w:r>
        <w:rPr>
          <w:i/>
          <w:iCs/>
        </w:rPr>
        <w:br/>
      </w:r>
      <w:r>
        <w:rPr>
          <w:rStyle w:val="Hervorhebung"/>
        </w:rPr>
        <w:t>\mathfrak{T}</w:t>
      </w:r>
      <w:r>
        <w:t>{F}^{(S)}</w:t>
      </w:r>
      <w:r>
        <w:br/>
        <w:t>\rightarrow</w:t>
      </w:r>
      <w:r>
        <w:br/>
        <w:t>\mathfrak{T}_{F}^{(Z)}.</w:t>
      </w:r>
      <w:r>
        <w:br/>
        <w:t>\tag{3.6352}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\mathcal{T}_{T}:\mathfrak{T}_{F}^{(S)}\rightarrow\mathfrak{T}_{F}^{(Z)}\qquad\text{(3.6352)}</w:t>
      </w:r>
    </w:p>
    <w:p w:rsidR="00135380" w:rsidRDefault="00135380" w:rsidP="00135380">
      <w:pPr>
        <w:pStyle w:val="StandardWeb"/>
      </w:pPr>
      <w:r>
        <w:t>Für eine Quelltransformation (T^{(S)}) folgt</w:t>
      </w:r>
    </w:p>
    <w:p w:rsidR="00135380" w:rsidRDefault="00135380" w:rsidP="00135380">
      <w:pPr>
        <w:pStyle w:val="berschrift1"/>
      </w:pPr>
      <w:r>
        <w:t>[</w:t>
      </w:r>
      <w:r>
        <w:br/>
        <w:t>T^{(Z)}</w:t>
      </w:r>
    </w:p>
    <w:p w:rsidR="00135380" w:rsidRDefault="00135380" w:rsidP="00135380">
      <w:pPr>
        <w:pStyle w:val="StandardWeb"/>
      </w:pPr>
      <w:r>
        <w:t>\mathcal{T}_{T}</w:t>
      </w:r>
      <w:r>
        <w:br/>
        <w:t>\left(</w:t>
      </w:r>
      <w:r>
        <w:br/>
        <w:t>T^{(S)}</w:t>
      </w:r>
      <w:r>
        <w:br/>
        <w:t>\right).</w:t>
      </w:r>
      <w:r>
        <w:br/>
        <w:t>\tag{3.6353}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T^{(Z)}=\mathcal{T}_{T}\left(T^{(S)}\right)\qquad\text{(3.6353)}</w:t>
      </w:r>
    </w:p>
    <w:p w:rsidR="00135380" w:rsidRDefault="00135380" w:rsidP="00135380">
      <w:pPr>
        <w:pStyle w:val="StandardWeb"/>
      </w:pPr>
      <w:r>
        <w:t>Eine strukturtreue Übertragung verlangt die Kommutativitätsbedingung</w:t>
      </w:r>
    </w:p>
    <w:p w:rsidR="00135380" w:rsidRDefault="00135380" w:rsidP="00135380">
      <w:pPr>
        <w:pStyle w:val="berschrift1"/>
      </w:pPr>
      <w:r>
        <w:t>[</w:t>
      </w:r>
      <w:r>
        <w:br/>
        <w:t>\mathcal{T}_{S}</w:t>
      </w:r>
      <w:r>
        <w:br/>
      </w:r>
      <w:r>
        <w:lastRenderedPageBreak/>
        <w:t>\circ</w:t>
      </w:r>
      <w:r>
        <w:br/>
        <w:t>T^{(S)}</w:t>
      </w:r>
    </w:p>
    <w:p w:rsidR="00135380" w:rsidRDefault="00135380" w:rsidP="00135380">
      <w:pPr>
        <w:pStyle w:val="StandardWeb"/>
      </w:pPr>
      <w:r>
        <w:t>T^{(Z)}</w:t>
      </w:r>
      <w:r>
        <w:br/>
        <w:t>\circ</w:t>
      </w:r>
      <w:r>
        <w:br/>
        <w:t>\mathcal{T}_{S}.</w:t>
      </w:r>
      <w:r>
        <w:br/>
        <w:t>\tag{3.6354}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\mathcal{T}_{S}\circ T^{(S)}=T^{(Z)}\circ\mathcal{T}_{S}\qquad\text{(3.6354)}</w:t>
      </w:r>
    </w:p>
    <w:p w:rsidR="00135380" w:rsidRDefault="00135380" w:rsidP="00135380">
      <w:pPr>
        <w:pStyle w:val="StandardWeb"/>
      </w:pPr>
      <w:r>
        <w:t>Damit wird sichergestellt, dass zunächst Transformieren und anschließend Übertragen dasselbe Ergebnis liefern wie zunächst Übertragen und anschließend im Zielsystem Transformieren.</w:t>
      </w:r>
    </w:p>
    <w:p w:rsidR="00135380" w:rsidRDefault="00E50336" w:rsidP="00135380">
      <w:r>
        <w:pict>
          <v:rect id="_x0000_i1124" style="width:0;height:1.5pt" o:hralign="center" o:hrstd="t" o:hr="t" fillcolor="#a0a0a0" stroked="f"/>
        </w:pict>
      </w:r>
    </w:p>
    <w:p w:rsidR="00135380" w:rsidRDefault="00135380" w:rsidP="00135380">
      <w:pPr>
        <w:pStyle w:val="berschrift2"/>
      </w:pPr>
      <w:r>
        <w:t>3.3.38.30 Transport von Kohärenz</w:t>
      </w:r>
    </w:p>
    <w:p w:rsidR="00135380" w:rsidRDefault="00135380" w:rsidP="00135380">
      <w:pPr>
        <w:pStyle w:val="StandardWeb"/>
      </w:pPr>
      <w:r>
        <w:t>Eine besondere FRZK-spezifische Frage betrifft die Übertragbarkeit von Kohärenzaussagen.</w:t>
      </w:r>
    </w:p>
    <w:p w:rsidR="00135380" w:rsidRDefault="00135380" w:rsidP="00135380">
      <w:pPr>
        <w:pStyle w:val="StandardWeb"/>
      </w:pPr>
      <w:r>
        <w:t>Der Kohärenzwert im Quellsystem sei</w:t>
      </w:r>
    </w:p>
    <w:p w:rsidR="00135380" w:rsidRDefault="00135380" w:rsidP="00135380">
      <w:pPr>
        <w:pStyle w:val="StandardWeb"/>
      </w:pPr>
      <w:r>
        <w:t>[</w:t>
      </w:r>
      <w:r>
        <w:br/>
        <w:t>K_{\mathcal{C}}^{(S)}.</w:t>
      </w:r>
      <w:r>
        <w:br/>
        <w:t>\tag{3.6355}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K_{\mathcal{C}}^{(S)}\qquad\text{(3.6355)}</w:t>
      </w:r>
    </w:p>
    <w:p w:rsidR="00135380" w:rsidRDefault="00135380" w:rsidP="00135380">
      <w:pPr>
        <w:pStyle w:val="StandardWeb"/>
      </w:pPr>
      <w:r>
        <w:t>Der Zielwert lautet</w:t>
      </w:r>
    </w:p>
    <w:p w:rsidR="00135380" w:rsidRDefault="00135380" w:rsidP="00135380">
      <w:pPr>
        <w:pStyle w:val="StandardWeb"/>
      </w:pPr>
      <w:r>
        <w:t>[</w:t>
      </w:r>
      <w:r>
        <w:br/>
        <w:t>K_{\mathcal{C}}^{(Z)}.</w:t>
      </w:r>
      <w:r>
        <w:br/>
        <w:t>\tag{3.6356}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K_{\mathcal{C}}^{(Z)}\qquad\text{(3.6356)}</w:t>
      </w:r>
    </w:p>
    <w:p w:rsidR="00135380" w:rsidRDefault="00135380" w:rsidP="00135380">
      <w:pPr>
        <w:pStyle w:val="StandardWeb"/>
      </w:pPr>
      <w:r>
        <w:t>Eine direkte numerische Gleichsetzung</w:t>
      </w:r>
    </w:p>
    <w:p w:rsidR="00135380" w:rsidRDefault="00135380" w:rsidP="00135380">
      <w:pPr>
        <w:pStyle w:val="berschrift1"/>
      </w:pPr>
      <w:r>
        <w:lastRenderedPageBreak/>
        <w:t>[</w:t>
      </w:r>
      <w:r>
        <w:br/>
        <w:t>K_{\mathcal{C}}^{(S)}</w:t>
      </w:r>
    </w:p>
    <w:p w:rsidR="00135380" w:rsidRDefault="00135380" w:rsidP="00135380">
      <w:pPr>
        <w:pStyle w:val="StandardWeb"/>
      </w:pPr>
      <w:r>
        <w:t>K_{\mathcal{C}}^{(Z)}</w:t>
      </w:r>
      <w:r>
        <w:br/>
        <w:t>\tag{3.6357}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K_{\mathcal{C}}^{(S)}=K_{\mathcal{C}}^{(Z)}\qquad\text{(3.6357)}</w:t>
      </w:r>
    </w:p>
    <w:p w:rsidR="00135380" w:rsidRDefault="00135380" w:rsidP="00135380">
      <w:pPr>
        <w:pStyle w:val="StandardWeb"/>
      </w:pPr>
      <w:r>
        <w:t>ist nicht zwingend erforderlich.</w:t>
      </w:r>
    </w:p>
    <w:p w:rsidR="00135380" w:rsidRDefault="00135380" w:rsidP="00135380">
      <w:pPr>
        <w:pStyle w:val="StandardWeb"/>
      </w:pPr>
      <w:r>
        <w:t>Entscheidend kann vielmehr die Erhaltung einer funktionalen Relation sein, beispielsweise</w:t>
      </w:r>
    </w:p>
    <w:p w:rsidR="00135380" w:rsidRDefault="00135380" w:rsidP="00135380">
      <w:pPr>
        <w:pStyle w:val="StandardWeb"/>
      </w:pPr>
      <w:r>
        <w:t>[</w:t>
      </w:r>
      <w:r>
        <w:br/>
        <w:t>K_{\mathcal{C},1}^{(S)}</w:t>
      </w:r>
      <w:r>
        <w:br/>
        <w:t>&lt;</w:t>
      </w:r>
      <w:r>
        <w:br/>
        <w:t>K_{\mathcal{C},2}^{(S)}</w:t>
      </w:r>
      <w:r>
        <w:br/>
        <w:t>\Longleftrightarrow</w:t>
      </w:r>
      <w:r>
        <w:br/>
        <w:t>K_{\mathcal{C},1}^{(Z)}</w:t>
      </w:r>
      <w:r>
        <w:br/>
        <w:t>&lt;</w:t>
      </w:r>
      <w:r>
        <w:br/>
        <w:t>K_{\mathcal{C},2}^{(Z)}.</w:t>
      </w:r>
      <w:r>
        <w:br/>
        <w:t>\tag{3.6358}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K_{\mathcal{C},1}^{(S)}&lt;K_{\mathcal{C},2}^{(S)}\Longleftrightarrow K_{\mathcal{C},1}^{(Z)}&lt;K_{\mathcal{C},2}^{(Z)}\qquad\text{(3.6358)}</w:t>
      </w:r>
    </w:p>
    <w:p w:rsidR="00135380" w:rsidRDefault="00135380" w:rsidP="00135380">
      <w:pPr>
        <w:pStyle w:val="StandardWeb"/>
      </w:pPr>
      <w:r>
        <w:t>Damit können strukturelle Kohärenzaussagen erhalten bleiben, obwohl die absoluten Messwerte zwischen den Systemen verschieden sind.</w:t>
      </w:r>
    </w:p>
    <w:p w:rsidR="00135380" w:rsidRDefault="00135380" w:rsidP="00135380">
      <w:pPr>
        <w:pStyle w:val="StandardWeb"/>
      </w:pPr>
      <w:r>
        <w:rPr>
          <w:rStyle w:val="Fett"/>
        </w:rPr>
        <w:t>Eigenleistung des FRZK</w:t>
      </w:r>
    </w:p>
    <w:p w:rsidR="00135380" w:rsidRDefault="00135380" w:rsidP="00135380">
      <w:pPr>
        <w:pStyle w:val="StandardWeb"/>
      </w:pPr>
      <w:r>
        <w:t xml:space="preserve">Ich unterscheide damit ausdrücklich zwischen </w:t>
      </w:r>
      <w:r>
        <w:rPr>
          <w:rStyle w:val="Fett"/>
        </w:rPr>
        <w:t>numerischer Übertragbarkeit</w:t>
      </w:r>
      <w:r>
        <w:t xml:space="preserve"> und </w:t>
      </w:r>
      <w:r>
        <w:rPr>
          <w:rStyle w:val="Fett"/>
        </w:rPr>
        <w:t>funktionaler Übertragbarkeit</w:t>
      </w:r>
      <w:r>
        <w:t>. Für das FRZK ist häufig nicht die Gleichheit konkreter Messwerte entscheidend, sondern die Erhaltung derjenigen relationalen oder transformatorischen Struktur, welche die wissenschaftliche Aussage trägt.</w:t>
      </w:r>
    </w:p>
    <w:p w:rsidR="00135380" w:rsidRDefault="00E50336" w:rsidP="00135380">
      <w:r>
        <w:pict>
          <v:rect id="_x0000_i1125" style="width:0;height:1.5pt" o:hralign="center" o:hrstd="t" o:hr="t" fillcolor="#a0a0a0" stroked="f"/>
        </w:pict>
      </w:r>
    </w:p>
    <w:p w:rsidR="00135380" w:rsidRDefault="00135380" w:rsidP="00135380">
      <w:pPr>
        <w:pStyle w:val="berschrift2"/>
      </w:pPr>
      <w:r>
        <w:t>3.3.38.31 Transport von Drift</w:t>
      </w:r>
    </w:p>
    <w:p w:rsidR="00135380" w:rsidRDefault="00135380" w:rsidP="00135380">
      <w:pPr>
        <w:pStyle w:val="StandardWeb"/>
      </w:pPr>
      <w:r>
        <w:t>Eine entsprechende Betrachtung gilt für funktionale Drift.</w:t>
      </w:r>
    </w:p>
    <w:p w:rsidR="00135380" w:rsidRDefault="00135380" w:rsidP="00135380">
      <w:pPr>
        <w:pStyle w:val="StandardWeb"/>
      </w:pPr>
      <w:r>
        <w:t>Die Drift im Quellsystem sei</w:t>
      </w:r>
    </w:p>
    <w:p w:rsidR="00135380" w:rsidRDefault="00135380" w:rsidP="00135380">
      <w:pPr>
        <w:pStyle w:val="StandardWeb"/>
      </w:pPr>
      <w:r>
        <w:lastRenderedPageBreak/>
        <w:t>[</w:t>
      </w:r>
      <w:r>
        <w:br/>
        <w:t>D_F^{(S)}.</w:t>
      </w:r>
      <w:r>
        <w:br/>
        <w:t>\tag{3.6359}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D_F^{(S)}\qquad\text{(3.6359)}</w:t>
      </w:r>
    </w:p>
    <w:p w:rsidR="00135380" w:rsidRDefault="00135380" w:rsidP="00135380">
      <w:pPr>
        <w:pStyle w:val="StandardWeb"/>
      </w:pPr>
      <w:r>
        <w:t>Im Zielsystem gilt</w:t>
      </w:r>
    </w:p>
    <w:p w:rsidR="00135380" w:rsidRDefault="00135380" w:rsidP="00135380">
      <w:pPr>
        <w:pStyle w:val="StandardWeb"/>
      </w:pPr>
      <w:r>
        <w:t>[</w:t>
      </w:r>
      <w:r>
        <w:br/>
        <w:t>D_F^{(Z)}.</w:t>
      </w:r>
      <w:r>
        <w:br/>
        <w:t>\tag{3.6360}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D_F^{(Z)}\qquad\text{(3.6360)}</w:t>
      </w:r>
    </w:p>
    <w:p w:rsidR="00135380" w:rsidRDefault="00135380" w:rsidP="00135380">
      <w:pPr>
        <w:pStyle w:val="StandardWeb"/>
      </w:pPr>
      <w:r>
        <w:t>Eine Transportabbildung lautet</w:t>
      </w:r>
    </w:p>
    <w:p w:rsidR="00135380" w:rsidRDefault="00135380" w:rsidP="00135380">
      <w:pPr>
        <w:pStyle w:val="berschrift1"/>
      </w:pPr>
      <w:r>
        <w:t>[</w:t>
      </w:r>
      <w:r>
        <w:br/>
        <w:t>D_F^{(Z)}</w:t>
      </w:r>
    </w:p>
    <w:p w:rsidR="00135380" w:rsidRDefault="00135380" w:rsidP="00135380">
      <w:pPr>
        <w:pStyle w:val="StandardWeb"/>
      </w:pPr>
      <w:r>
        <w:t>\mathcal{T}_{D}</w:t>
      </w:r>
      <w:r>
        <w:br/>
        <w:t>\left(</w:t>
      </w:r>
      <w:r>
        <w:br/>
        <w:t>D_F^{(S)}</w:t>
      </w:r>
      <w:r>
        <w:br/>
        <w:t>\right).</w:t>
      </w:r>
      <w:r>
        <w:br/>
        <w:t>\tag{3.6361}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D_F^{(Z)}=\mathcal{T}_{D}\left(D_F^{(S)}\right)\qquad\text{(3.6361)}</w:t>
      </w:r>
    </w:p>
    <w:p w:rsidR="00135380" w:rsidRDefault="00135380" w:rsidP="00135380">
      <w:pPr>
        <w:pStyle w:val="StandardWeb"/>
      </w:pPr>
      <w:r>
        <w:t>Auch hier muss nicht zwingend</w:t>
      </w:r>
    </w:p>
    <w:p w:rsidR="00135380" w:rsidRDefault="00135380" w:rsidP="00135380">
      <w:pPr>
        <w:pStyle w:val="berschrift1"/>
      </w:pPr>
      <w:r>
        <w:t>[</w:t>
      </w:r>
      <w:r>
        <w:br/>
        <w:t>D_F^{(Z)}</w:t>
      </w:r>
    </w:p>
    <w:p w:rsidR="00135380" w:rsidRDefault="00135380" w:rsidP="00135380">
      <w:pPr>
        <w:pStyle w:val="StandardWeb"/>
      </w:pPr>
      <w:r>
        <w:t>D_F^{(S)}</w:t>
      </w:r>
      <w:r>
        <w:br/>
        <w:t>\tag{3.6362}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D_F^{(Z)}=D_F^{(S)}\qquad\text{(3.6362)}</w:t>
      </w:r>
    </w:p>
    <w:p w:rsidR="00135380" w:rsidRDefault="00135380" w:rsidP="00135380">
      <w:pPr>
        <w:pStyle w:val="StandardWeb"/>
      </w:pPr>
      <w:r>
        <w:lastRenderedPageBreak/>
        <w:t>gelten.</w:t>
      </w:r>
    </w:p>
    <w:p w:rsidR="00135380" w:rsidRDefault="00135380" w:rsidP="00135380">
      <w:pPr>
        <w:pStyle w:val="StandardWeb"/>
      </w:pPr>
      <w:r>
        <w:t>Eine qualitative Aussage wie</w:t>
      </w:r>
    </w:p>
    <w:p w:rsidR="00135380" w:rsidRDefault="00135380" w:rsidP="00135380">
      <w:pPr>
        <w:pStyle w:val="StandardWeb"/>
      </w:pPr>
      <w:r>
        <w:t>[</w:t>
      </w:r>
      <w:r>
        <w:br/>
        <w:t>D_{F,2}^{(S)}</w:t>
      </w:r>
    </w:p>
    <w:p w:rsidR="00135380" w:rsidRDefault="00135380" w:rsidP="00135380">
      <w:pPr>
        <w:pStyle w:val="StandardWeb"/>
      </w:pPr>
      <w:r>
        <w:t>D_{F,1}^{(S)}</w:t>
      </w:r>
      <w:r>
        <w:br/>
        <w:t>\tag{3.6363}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D_{F,2}^{(S)}&gt;D_{F,1}^{(S)}\qquad\text{(3.6363)}</w:t>
      </w:r>
    </w:p>
    <w:p w:rsidR="00135380" w:rsidRDefault="00135380" w:rsidP="00135380">
      <w:pPr>
        <w:pStyle w:val="StandardWeb"/>
      </w:pPr>
      <w:r>
        <w:t>kann transportierbar sein, wenn im Zielsystem ebenfalls</w:t>
      </w:r>
    </w:p>
    <w:p w:rsidR="00135380" w:rsidRDefault="00135380" w:rsidP="00135380">
      <w:pPr>
        <w:pStyle w:val="StandardWeb"/>
      </w:pPr>
      <w:r>
        <w:t>[</w:t>
      </w:r>
      <w:r>
        <w:br/>
        <w:t>D_{F,2}^{(Z)}</w:t>
      </w:r>
    </w:p>
    <w:p w:rsidR="00135380" w:rsidRDefault="00135380" w:rsidP="00135380">
      <w:pPr>
        <w:pStyle w:val="StandardWeb"/>
      </w:pPr>
      <w:r>
        <w:t>D_{F,1}^{(Z)}</w:t>
      </w:r>
      <w:r>
        <w:br/>
        <w:t>\tag{3.6364}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D_{F,2}^{(Z)}&gt;D_{F,1}^{(Z)}\qquad\text{(3.6364)}</w:t>
      </w:r>
    </w:p>
    <w:p w:rsidR="00135380" w:rsidRDefault="00135380" w:rsidP="00135380">
      <w:pPr>
        <w:pStyle w:val="StandardWeb"/>
      </w:pPr>
      <w:r>
        <w:t>gilt.</w:t>
      </w:r>
    </w:p>
    <w:p w:rsidR="00135380" w:rsidRDefault="00E50336" w:rsidP="00135380">
      <w:r>
        <w:pict>
          <v:rect id="_x0000_i1126" style="width:0;height:1.5pt" o:hralign="center" o:hrstd="t" o:hr="t" fillcolor="#a0a0a0" stroked="f"/>
        </w:pict>
      </w:r>
    </w:p>
    <w:p w:rsidR="00135380" w:rsidRDefault="00135380" w:rsidP="00135380">
      <w:pPr>
        <w:pStyle w:val="berschrift2"/>
      </w:pPr>
      <w:r>
        <w:t>3.3.38.32 Transport von kritischen Übergängen</w:t>
      </w:r>
    </w:p>
    <w:p w:rsidR="00135380" w:rsidRDefault="00135380" w:rsidP="00135380">
      <w:pPr>
        <w:pStyle w:val="StandardWeb"/>
      </w:pPr>
      <w:r>
        <w:t>Auch Aussagen über kritische Übergänge besitzen einen Kontext.</w:t>
      </w:r>
    </w:p>
    <w:p w:rsidR="00135380" w:rsidRDefault="00135380" w:rsidP="00135380">
      <w:pPr>
        <w:pStyle w:val="StandardWeb"/>
      </w:pPr>
      <w:r>
        <w:t>Der kritische Punkt im Quellsystem sei</w:t>
      </w:r>
    </w:p>
    <w:p w:rsidR="00135380" w:rsidRDefault="00135380" w:rsidP="00135380">
      <w:pPr>
        <w:pStyle w:val="StandardWeb"/>
      </w:pPr>
      <w:r>
        <w:t>[</w:t>
      </w:r>
      <w:r>
        <w:br/>
        <w:t>\kappa_{\mathrm{krit}}^{(S)}.</w:t>
      </w:r>
      <w:r>
        <w:br/>
        <w:t>\tag{3.6365}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\kappa_{\mathrm{krit}}^{(S)}\qquad\text{(3.6365)}</w:t>
      </w:r>
    </w:p>
    <w:p w:rsidR="00135380" w:rsidRDefault="00135380" w:rsidP="00135380">
      <w:pPr>
        <w:pStyle w:val="StandardWeb"/>
      </w:pPr>
      <w:r>
        <w:t>Im Zielsystem lautet er</w:t>
      </w:r>
    </w:p>
    <w:p w:rsidR="00135380" w:rsidRDefault="00135380" w:rsidP="00135380">
      <w:pPr>
        <w:pStyle w:val="StandardWeb"/>
      </w:pPr>
      <w:r>
        <w:t>[</w:t>
      </w:r>
      <w:r>
        <w:br/>
        <w:t>\kappa_{\mathrm{krit}}^{(Z)}.</w:t>
      </w:r>
      <w:r>
        <w:br/>
      </w:r>
      <w:r>
        <w:lastRenderedPageBreak/>
        <w:t>\tag{3.6366}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\kappa_{\mathrm{krit}}^{(Z)}\qquad\text{(3.6366)}</w:t>
      </w:r>
    </w:p>
    <w:p w:rsidR="00135380" w:rsidRDefault="00135380" w:rsidP="00135380">
      <w:pPr>
        <w:pStyle w:val="StandardWeb"/>
      </w:pPr>
      <w:r>
        <w:t>Die beiden Werte müssen nicht identisch sein.</w:t>
      </w:r>
    </w:p>
    <w:p w:rsidR="00135380" w:rsidRDefault="00135380" w:rsidP="00135380">
      <w:pPr>
        <w:pStyle w:val="StandardWeb"/>
      </w:pPr>
      <w:r>
        <w:t>Eine Transportabbildung kann lauten</w:t>
      </w:r>
    </w:p>
    <w:p w:rsidR="00135380" w:rsidRDefault="00135380" w:rsidP="00135380">
      <w:pPr>
        <w:pStyle w:val="berschrift1"/>
      </w:pPr>
      <w:r>
        <w:t>[</w:t>
      </w:r>
      <w:r>
        <w:br/>
        <w:t>\kappa_{\mathrm{krit}}^{(Z)}</w:t>
      </w:r>
    </w:p>
    <w:p w:rsidR="00135380" w:rsidRDefault="00135380" w:rsidP="00135380">
      <w:pPr>
        <w:pStyle w:val="StandardWeb"/>
      </w:pPr>
      <w:r>
        <w:t>\mathcal{T}</w:t>
      </w:r>
      <w:r>
        <w:rPr>
          <w:rStyle w:val="Hervorhebung"/>
        </w:rPr>
        <w:t>{\kappa}</w:t>
      </w:r>
      <w:r>
        <w:rPr>
          <w:i/>
          <w:iCs/>
        </w:rPr>
        <w:br/>
      </w:r>
      <w:r>
        <w:rPr>
          <w:rStyle w:val="Hervorhebung"/>
        </w:rPr>
        <w:t>\left(</w:t>
      </w:r>
      <w:r>
        <w:rPr>
          <w:i/>
          <w:iCs/>
        </w:rPr>
        <w:br/>
      </w:r>
      <w:r>
        <w:rPr>
          <w:rStyle w:val="Hervorhebung"/>
        </w:rPr>
        <w:t>\kappa</w:t>
      </w:r>
      <w:r>
        <w:t>{\mathrm{krit}}^{(S)}</w:t>
      </w:r>
      <w:r>
        <w:br/>
        <w:t>\right).</w:t>
      </w:r>
      <w:r>
        <w:br/>
        <w:t>\tag{3.6367}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\kappa_{\mathrm{krit}}^{(Z)}=\mathcal{T}_{\kappa}\left(\kappa_{\mathrm{krit}}^{(S)}\right)\qquad\text{(3.6367)}</w:t>
      </w:r>
    </w:p>
    <w:p w:rsidR="00135380" w:rsidRDefault="00135380" w:rsidP="00135380">
      <w:pPr>
        <w:pStyle w:val="StandardWeb"/>
      </w:pPr>
      <w:r>
        <w:t>Eine stärkere strukturelle Aussage kann darin bestehen, dass in beiden Systemen derselbe Typ kritischen Übergangs unter entsprechenden funktionalen Bedingungen auftritt.</w:t>
      </w:r>
    </w:p>
    <w:p w:rsidR="00135380" w:rsidRDefault="00E50336" w:rsidP="00135380">
      <w:r>
        <w:pict>
          <v:rect id="_x0000_i1127" style="width:0;height:1.5pt" o:hralign="center" o:hrstd="t" o:hr="t" fillcolor="#a0a0a0" stroked="f"/>
        </w:pict>
      </w:r>
    </w:p>
    <w:p w:rsidR="00135380" w:rsidRDefault="00135380" w:rsidP="00135380">
      <w:pPr>
        <w:pStyle w:val="berschrift2"/>
      </w:pPr>
      <w:r>
        <w:t>3.3.38.33 Transport kausaler Aussagen</w:t>
      </w:r>
    </w:p>
    <w:p w:rsidR="00135380" w:rsidRDefault="00135380" w:rsidP="00135380">
      <w:pPr>
        <w:pStyle w:val="StandardWeb"/>
      </w:pPr>
      <w:r>
        <w:t>Besonders hohe Anforderungen gelten, wenn nicht nur funktionale, sondern kausale Aussagen übertragen werden sollen.</w:t>
      </w:r>
    </w:p>
    <w:p w:rsidR="00135380" w:rsidRDefault="00135380" w:rsidP="00135380">
      <w:pPr>
        <w:pStyle w:val="StandardWeb"/>
      </w:pPr>
      <w:r>
        <w:t>Eine kausale Quellaussage sei</w:t>
      </w:r>
    </w:p>
    <w:p w:rsidR="00135380" w:rsidRDefault="00135380" w:rsidP="00135380">
      <w:pPr>
        <w:pStyle w:val="StandardWeb"/>
      </w:pPr>
      <w:r>
        <w:t>[</w:t>
      </w:r>
      <w:r>
        <w:br/>
        <w:t>X^{(S)}</w:t>
      </w:r>
      <w:r>
        <w:br/>
        <w:t>\rightarrow_C</w:t>
      </w:r>
      <w:r>
        <w:br/>
        <w:t>Y^{(S)}.</w:t>
      </w:r>
      <w:r>
        <w:br/>
        <w:t>\tag{3.6368}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X^{(S)}\rightarrow_C Y^{(S)}\qquad\text{(3.6368)}</w:t>
      </w:r>
    </w:p>
    <w:p w:rsidR="00135380" w:rsidRDefault="00135380" w:rsidP="00135380">
      <w:pPr>
        <w:pStyle w:val="StandardWeb"/>
      </w:pPr>
      <w:r>
        <w:t>Die entsprechende Zielaussage wäre</w:t>
      </w:r>
    </w:p>
    <w:p w:rsidR="00135380" w:rsidRDefault="00135380" w:rsidP="00135380">
      <w:pPr>
        <w:pStyle w:val="StandardWeb"/>
      </w:pPr>
      <w:r>
        <w:lastRenderedPageBreak/>
        <w:t>[</w:t>
      </w:r>
      <w:r>
        <w:br/>
        <w:t>X^{(Z)}</w:t>
      </w:r>
      <w:r>
        <w:br/>
        <w:t>\rightarrow_C</w:t>
      </w:r>
      <w:r>
        <w:br/>
        <w:t>Y^{(Z)}.</w:t>
      </w:r>
      <w:r>
        <w:br/>
        <w:t>\tag{3.6369}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X^{(Z)}\rightarrow_C Y^{(Z)}\qquad\text{(3.6369)}</w:t>
      </w:r>
    </w:p>
    <w:p w:rsidR="00135380" w:rsidRDefault="00135380" w:rsidP="00135380">
      <w:pPr>
        <w:pStyle w:val="StandardWeb"/>
      </w:pPr>
      <w:r>
        <w:t>Aus der Quellaussage folgt jedoch nicht automatisch</w:t>
      </w:r>
    </w:p>
    <w:p w:rsidR="00135380" w:rsidRDefault="00135380" w:rsidP="00135380">
      <w:pPr>
        <w:pStyle w:val="StandardWeb"/>
      </w:pPr>
      <w:r>
        <w:t>[</w:t>
      </w:r>
      <w:r>
        <w:br/>
        <w:t>X^{(Z)}</w:t>
      </w:r>
      <w:r>
        <w:br/>
        <w:t>\rightarrow_C</w:t>
      </w:r>
      <w:r>
        <w:br/>
        <w:t>Y^{(Z)}.</w:t>
      </w:r>
      <w:r>
        <w:br/>
        <w:t>\tag{3.6370}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X^{(Z)}\rightarrow_C Y^{(Z)}\qquad\text{(3.6370)}</w:t>
      </w:r>
    </w:p>
    <w:p w:rsidR="00135380" w:rsidRDefault="00135380" w:rsidP="00135380">
      <w:pPr>
        <w:pStyle w:val="StandardWeb"/>
      </w:pPr>
      <w:r>
        <w:t>Für eine kausale Übertragung müssen zusätzlich die kausal relevanten Strukturen erhalten bleiben.</w:t>
      </w:r>
    </w:p>
    <w:p w:rsidR="00135380" w:rsidRDefault="00135380" w:rsidP="00135380">
      <w:pPr>
        <w:pStyle w:val="StandardWeb"/>
      </w:pPr>
      <w:r>
        <w:t>Ich bezeichne diese Menge mit</w:t>
      </w:r>
    </w:p>
    <w:p w:rsidR="00135380" w:rsidRDefault="00135380" w:rsidP="00135380">
      <w:pPr>
        <w:pStyle w:val="StandardWeb"/>
      </w:pPr>
      <w:r>
        <w:t>[</w:t>
      </w:r>
      <w:r>
        <w:br/>
        <w:t>\mathfrak{I}_{C}.</w:t>
      </w:r>
      <w:r>
        <w:br/>
        <w:t>\tag{3.6371}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\mathfrak{I}_{C}\qquad\text{(3.6371)}</w:t>
      </w:r>
    </w:p>
    <w:p w:rsidR="00135380" w:rsidRDefault="00135380" w:rsidP="00135380">
      <w:pPr>
        <w:pStyle w:val="StandardWeb"/>
      </w:pPr>
      <w:r>
        <w:t>Notwendig ist mindestens</w:t>
      </w:r>
    </w:p>
    <w:p w:rsidR="00135380" w:rsidRDefault="00135380" w:rsidP="00135380">
      <w:pPr>
        <w:pStyle w:val="StandardWeb"/>
      </w:pPr>
      <w:r>
        <w:t>[</w:t>
      </w:r>
      <w:r>
        <w:br/>
        <w:t>\forall I_k</w:t>
      </w:r>
      <w:r>
        <w:br/>
        <w:t>\in</w:t>
      </w:r>
      <w:r>
        <w:br/>
        <w:t>\mathfrak{I}_{C}:</w:t>
      </w:r>
      <w:r>
        <w:br/>
        <w:t>\quad</w:t>
      </w:r>
      <w:r>
        <w:br/>
        <w:t>I_k^{(S)}</w:t>
      </w:r>
      <w:r>
        <w:br/>
        <w:t>\cong</w:t>
      </w:r>
      <w:r>
        <w:br/>
        <w:t>I_k^{(Z)}.</w:t>
      </w:r>
      <w:r>
        <w:br/>
        <w:t>\tag{3.6372}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lastRenderedPageBreak/>
        <w:t>\forall I_k\in\mathfrak{I}_{C}:I_k^{(S)}\cong I_k^{(Z)}\qquad\text{(3.6372)}</w:t>
      </w:r>
    </w:p>
    <w:p w:rsidR="00135380" w:rsidRDefault="00135380" w:rsidP="00135380">
      <w:pPr>
        <w:pStyle w:val="StandardWeb"/>
      </w:pPr>
      <w:r>
        <w:t>Dazu können insbesondere Confounder-Strukturen, Mediationspfade, Interferenzmechanismen und Interventionsdefinitionen gehören.</w:t>
      </w:r>
    </w:p>
    <w:p w:rsidR="00135380" w:rsidRDefault="00135380" w:rsidP="00135380">
      <w:pPr>
        <w:pStyle w:val="StandardWeb"/>
      </w:pPr>
      <w:r>
        <w:t>Damit stellt die Übertragung kausaler Aussagen eine strengere Form des wissenschaftlichen Transports dar als die Übertragung rein deskriptiver oder funktionaler Aussagen.</w:t>
      </w:r>
    </w:p>
    <w:p w:rsidR="00135380" w:rsidRDefault="00E50336" w:rsidP="00135380">
      <w:r>
        <w:pict>
          <v:rect id="_x0000_i1128" style="width:0;height:1.5pt" o:hralign="center" o:hrstd="t" o:hr="t" fillcolor="#a0a0a0" stroked="f"/>
        </w:pict>
      </w:r>
    </w:p>
    <w:p w:rsidR="00135380" w:rsidRDefault="00135380" w:rsidP="00135380">
      <w:pPr>
        <w:pStyle w:val="berschrift2"/>
      </w:pPr>
      <w:r>
        <w:t>3.3.38.34 Transport von Prognosemodellen</w:t>
      </w:r>
    </w:p>
    <w:p w:rsidR="00135380" w:rsidRDefault="00135380" w:rsidP="00135380">
      <w:pPr>
        <w:pStyle w:val="StandardWeb"/>
      </w:pPr>
      <w:r>
        <w:t>Eine im Quellkontext entwickelte Prognoseabbildung sei</w:t>
      </w:r>
    </w:p>
    <w:p w:rsidR="00135380" w:rsidRDefault="00135380" w:rsidP="00135380">
      <w:pPr>
        <w:pStyle w:val="StandardWeb"/>
      </w:pPr>
      <w:r>
        <w:t>[</w:t>
      </w:r>
      <w:r>
        <w:br/>
        <w:t>\mathcal{P}_{F}^{(S)}.</w:t>
      </w:r>
      <w:r>
        <w:br/>
        <w:t>\tag{3.6373}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\mathcal{P}_{F}^{(S)}\qquad\text{(3.6373)}</w:t>
      </w:r>
    </w:p>
    <w:p w:rsidR="00135380" w:rsidRDefault="00135380" w:rsidP="00135380">
      <w:pPr>
        <w:pStyle w:val="StandardWeb"/>
      </w:pPr>
      <w:r>
        <w:t>Im Zielkontext wird daraus</w:t>
      </w:r>
    </w:p>
    <w:p w:rsidR="00135380" w:rsidRDefault="00135380" w:rsidP="00135380">
      <w:pPr>
        <w:pStyle w:val="berschrift1"/>
      </w:pPr>
      <w:r>
        <w:t>[</w:t>
      </w:r>
      <w:r>
        <w:br/>
        <w:t>\mathcal{P}_{F}^{(Z)}</w:t>
      </w:r>
    </w:p>
    <w:p w:rsidR="00135380" w:rsidRDefault="00135380" w:rsidP="00135380">
      <w:pPr>
        <w:pStyle w:val="StandardWeb"/>
      </w:pPr>
      <w:r>
        <w:t>\mathcal{T}</w:t>
      </w:r>
      <w:r>
        <w:rPr>
          <w:rStyle w:val="Hervorhebung"/>
        </w:rPr>
        <w:t>{P}</w:t>
      </w:r>
      <w:r>
        <w:rPr>
          <w:i/>
          <w:iCs/>
        </w:rPr>
        <w:br/>
      </w:r>
      <w:r>
        <w:rPr>
          <w:rStyle w:val="Hervorhebung"/>
        </w:rPr>
        <w:t>\left(</w:t>
      </w:r>
      <w:r>
        <w:rPr>
          <w:i/>
          <w:iCs/>
        </w:rPr>
        <w:br/>
      </w:r>
      <w:r>
        <w:rPr>
          <w:rStyle w:val="Hervorhebung"/>
        </w:rPr>
        <w:t>\mathcal{P}</w:t>
      </w:r>
      <w:r>
        <w:t>{F}^{(S)}</w:t>
      </w:r>
      <w:r>
        <w:br/>
        <w:t>\right).</w:t>
      </w:r>
      <w:r>
        <w:br/>
        <w:t>\tag{3.6374}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\mathcal{P}_{F}^{(Z)}=\mathcal{T}_{P}\left(\mathcal{P}_{F}^{(S)}\right)\qquad\text{(3.6374)}</w:t>
      </w:r>
    </w:p>
    <w:p w:rsidR="00135380" w:rsidRDefault="00135380" w:rsidP="00135380">
      <w:pPr>
        <w:pStyle w:val="StandardWeb"/>
      </w:pPr>
      <w:r>
        <w:t>Eine erfolgreiche Prognoseleistung im Quellkontext impliziert nicht automatisch eine gleichwertige Zielprognose:</w:t>
      </w:r>
    </w:p>
    <w:p w:rsidR="00135380" w:rsidRDefault="00135380" w:rsidP="00135380">
      <w:pPr>
        <w:pStyle w:val="StandardWeb"/>
      </w:pPr>
      <w:r>
        <w:t>[</w:t>
      </w:r>
      <w:r>
        <w:br/>
        <w:t>G_{\mathrm{prog}}^{(S)}</w:t>
      </w:r>
      <w:r>
        <w:br/>
        <w:t>\text{ hoch}</w:t>
      </w:r>
      <w:r>
        <w:br/>
        <w:t>\nRightarrow</w:t>
      </w:r>
      <w:r>
        <w:br/>
        <w:t>G_{\mathrm{prog}}^{(Z)}</w:t>
      </w:r>
      <w:r>
        <w:br/>
        <w:t>\text{ hoch}.</w:t>
      </w:r>
      <w:r>
        <w:br/>
      </w:r>
      <w:r>
        <w:lastRenderedPageBreak/>
        <w:t>\tag{3.6375}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G_{\mathrm{prog}}^{(S)}\text{ hoch}\nRightarrow G_{\mathrm{prog}}^{(Z)}\text{ hoch}\qquad\text{(3.6375)}</w:t>
      </w:r>
    </w:p>
    <w:p w:rsidR="00135380" w:rsidRDefault="00135380" w:rsidP="00135380">
      <w:pPr>
        <w:pStyle w:val="StandardWeb"/>
      </w:pPr>
      <w:r>
        <w:t>Das Zielmodell muss deshalb erneut geprüft werden.</w:t>
      </w:r>
    </w:p>
    <w:p w:rsidR="00135380" w:rsidRDefault="00E50336" w:rsidP="00135380">
      <w:r>
        <w:pict>
          <v:rect id="_x0000_i1129" style="width:0;height:1.5pt" o:hralign="center" o:hrstd="t" o:hr="t" fillcolor="#a0a0a0" stroked="f"/>
        </w:pict>
      </w:r>
    </w:p>
    <w:p w:rsidR="00135380" w:rsidRDefault="00135380" w:rsidP="00135380">
      <w:pPr>
        <w:pStyle w:val="berschrift2"/>
      </w:pPr>
      <w:r>
        <w:t>3.3.38.35 Transport einer Erklärung</w:t>
      </w:r>
    </w:p>
    <w:p w:rsidR="00135380" w:rsidRDefault="00135380" w:rsidP="00135380">
      <w:pPr>
        <w:pStyle w:val="StandardWeb"/>
      </w:pPr>
      <w:r>
        <w:t>Entsprechendes gilt für Erklärungsstrukturen.</w:t>
      </w:r>
    </w:p>
    <w:p w:rsidR="00135380" w:rsidRDefault="00135380" w:rsidP="00135380">
      <w:pPr>
        <w:pStyle w:val="StandardWeb"/>
      </w:pPr>
      <w:r>
        <w:t>Eine Quellerklärung sei</w:t>
      </w:r>
    </w:p>
    <w:p w:rsidR="00135380" w:rsidRDefault="00135380" w:rsidP="00135380">
      <w:pPr>
        <w:pStyle w:val="StandardWeb"/>
      </w:pPr>
      <w:r>
        <w:t>[</w:t>
      </w:r>
      <w:r>
        <w:br/>
        <w:t>\mathcal{X}_{F}^{(S)}.</w:t>
      </w:r>
      <w:r>
        <w:br/>
        <w:t>\tag{3.6376}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\mathcal{X}_{F}^{(S)}\qquad\text{(3.6376)}</w:t>
      </w:r>
    </w:p>
    <w:p w:rsidR="00135380" w:rsidRDefault="00135380" w:rsidP="00135380">
      <w:pPr>
        <w:pStyle w:val="StandardWeb"/>
      </w:pPr>
      <w:r>
        <w:t>Ihre Zielversion lautet</w:t>
      </w:r>
    </w:p>
    <w:p w:rsidR="00135380" w:rsidRDefault="00135380" w:rsidP="00135380">
      <w:pPr>
        <w:pStyle w:val="berschrift1"/>
      </w:pPr>
      <w:r>
        <w:t>[</w:t>
      </w:r>
      <w:r>
        <w:br/>
        <w:t>\mathcal{X}_{F}^{(Z)}</w:t>
      </w:r>
    </w:p>
    <w:p w:rsidR="00135380" w:rsidRDefault="00135380" w:rsidP="00135380">
      <w:pPr>
        <w:pStyle w:val="StandardWeb"/>
      </w:pPr>
      <w:r>
        <w:t>\mathcal{T}</w:t>
      </w:r>
      <w:r>
        <w:rPr>
          <w:rStyle w:val="Hervorhebung"/>
        </w:rPr>
        <w:t>{X}</w:t>
      </w:r>
      <w:r>
        <w:rPr>
          <w:i/>
          <w:iCs/>
        </w:rPr>
        <w:br/>
      </w:r>
      <w:r>
        <w:rPr>
          <w:rStyle w:val="Hervorhebung"/>
        </w:rPr>
        <w:t>\left(</w:t>
      </w:r>
      <w:r>
        <w:rPr>
          <w:i/>
          <w:iCs/>
        </w:rPr>
        <w:br/>
      </w:r>
      <w:r>
        <w:rPr>
          <w:rStyle w:val="Hervorhebung"/>
        </w:rPr>
        <w:t>\mathcal{X}</w:t>
      </w:r>
      <w:r>
        <w:t>{F}^{(S)}</w:t>
      </w:r>
      <w:r>
        <w:br/>
        <w:t>\right).</w:t>
      </w:r>
      <w:r>
        <w:br/>
        <w:t>\tag{3.6377}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\mathcal{X}_{F}^{(Z)}=\mathcal{T}_{X}\left(\mathcal{X}_{F}^{(S)}\right)\qquad\text{(3.6377)}</w:t>
      </w:r>
    </w:p>
    <w:p w:rsidR="00135380" w:rsidRDefault="00135380" w:rsidP="00135380">
      <w:pPr>
        <w:pStyle w:val="StandardWeb"/>
      </w:pPr>
      <w:r>
        <w:t>Auch hier gilt</w:t>
      </w:r>
    </w:p>
    <w:p w:rsidR="00135380" w:rsidRDefault="00135380" w:rsidP="00135380">
      <w:pPr>
        <w:pStyle w:val="StandardWeb"/>
      </w:pPr>
      <w:r>
        <w:t>[</w:t>
      </w:r>
      <w:r>
        <w:br/>
        <w:t>G_{\mathrm{expl}}^{(S)}</w:t>
      </w:r>
      <w:r>
        <w:br/>
        <w:t>\text{ hoch}</w:t>
      </w:r>
      <w:r>
        <w:br/>
        <w:t>\nRightarrow</w:t>
      </w:r>
      <w:r>
        <w:br/>
      </w:r>
      <w:r>
        <w:lastRenderedPageBreak/>
        <w:t>G_{\mathrm{expl}}^{(Z)}</w:t>
      </w:r>
      <w:r>
        <w:br/>
        <w:t>\text{ hoch}.</w:t>
      </w:r>
      <w:r>
        <w:br/>
        <w:t>\tag{3.6378}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G_{\mathrm{expl}}^{(S)}\text{ hoch}\nRightarrow G_{\mathrm{expl}}^{(Z)}\text{ hoch}\qquad\text{(3.6378)}</w:t>
      </w:r>
    </w:p>
    <w:p w:rsidR="00135380" w:rsidRDefault="00135380" w:rsidP="00135380">
      <w:pPr>
        <w:pStyle w:val="StandardWeb"/>
      </w:pPr>
      <w:r>
        <w:t>Eine plausible Erklärung in einem System kann in einem anderen System scheitern, wenn dort andere funktionale Mechanismen wirksam sind.</w:t>
      </w:r>
    </w:p>
    <w:p w:rsidR="00135380" w:rsidRDefault="00E50336" w:rsidP="00135380">
      <w:r>
        <w:pict>
          <v:rect id="_x0000_i1130" style="width:0;height:1.5pt" o:hralign="center" o:hrstd="t" o:hr="t" fillcolor="#a0a0a0" stroked="f"/>
        </w:pict>
      </w:r>
    </w:p>
    <w:p w:rsidR="00135380" w:rsidRDefault="00135380" w:rsidP="00135380">
      <w:pPr>
        <w:pStyle w:val="berschrift2"/>
      </w:pPr>
      <w:r>
        <w:t>3.3.38.36 Übertragbarkeitsklassen</w:t>
      </w:r>
    </w:p>
    <w:p w:rsidR="00135380" w:rsidRDefault="00135380" w:rsidP="00135380">
      <w:pPr>
        <w:pStyle w:val="StandardWeb"/>
      </w:pPr>
      <w:r>
        <w:t>Ich unterscheide vier Klassen:</w:t>
      </w:r>
    </w:p>
    <w:p w:rsidR="00135380" w:rsidRDefault="00135380" w:rsidP="00135380">
      <w:pPr>
        <w:pStyle w:val="berschrift1"/>
      </w:pPr>
      <w:r>
        <w:t>[</w:t>
      </w:r>
      <w:r>
        <w:br/>
        <w:t>\mathfrak{L}_{T}</w:t>
      </w:r>
    </w:p>
    <w:p w:rsidR="00135380" w:rsidRDefault="00135380" w:rsidP="00135380">
      <w:pPr>
        <w:pStyle w:val="StandardWeb"/>
      </w:pPr>
      <w:r>
        <w:t>\left{</w:t>
      </w:r>
      <w:r>
        <w:br/>
        <w:t>\mathbf{nicht\ übertragbar},</w:t>
      </w:r>
      <w:r>
        <w:br/>
        <w:t>\mathbf{bedingt\ übertragbar},</w:t>
      </w:r>
      <w:r>
        <w:br/>
        <w:t>\mathbf{direkt\ übertragbar},</w:t>
      </w:r>
      <w:r>
        <w:br/>
        <w:t>\mathbf{zielvalidiert}</w:t>
      </w:r>
      <w:r>
        <w:br/>
        <w:t>\right}.</w:t>
      </w:r>
      <w:r>
        <w:br/>
        <w:t>\tag{3.6379}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\mathfrak{L}_{T}=\left\{\mathbf{nicht\ übertragbar},\mathbf{bedingt\ übertragbar},\mathbf{direkt\ übertragbar},\mathbf{zielvalidiert}\right\}\qquad\text{(3.6379)}</w:t>
      </w:r>
    </w:p>
    <w:p w:rsidR="00135380" w:rsidRDefault="00135380" w:rsidP="00135380">
      <w:pPr>
        <w:pStyle w:val="StandardWeb"/>
      </w:pPr>
      <w:r>
        <w:t>Die Klassifikationsabbildung lautet</w:t>
      </w:r>
    </w:p>
    <w:p w:rsidR="00135380" w:rsidRDefault="00135380" w:rsidP="00135380">
      <w:pPr>
        <w:pStyle w:val="StandardWeb"/>
      </w:pPr>
      <w:r>
        <w:t>[</w:t>
      </w:r>
      <w:r>
        <w:br/>
        <w:t>\operatorname{Klasse}</w:t>
      </w:r>
      <w:r>
        <w:rPr>
          <w:rStyle w:val="Hervorhebung"/>
        </w:rPr>
        <w:t>{T}</w:t>
      </w:r>
      <w:r>
        <w:rPr>
          <w:i/>
          <w:iCs/>
        </w:rPr>
        <w:br/>
      </w:r>
      <w:r>
        <w:rPr>
          <w:rStyle w:val="Hervorhebung"/>
        </w:rPr>
        <w:t>:</w:t>
      </w:r>
      <w:r>
        <w:rPr>
          <w:i/>
          <w:iCs/>
        </w:rPr>
        <w:br/>
      </w:r>
      <w:r>
        <w:rPr>
          <w:rStyle w:val="Hervorhebung"/>
        </w:rPr>
        <w:t>\mathfrak{T}</w:t>
      </w:r>
      <w:r>
        <w:t>{F}^{\mathrm{trans}}</w:t>
      </w:r>
      <w:r>
        <w:br/>
        <w:t>\rightarrow</w:t>
      </w:r>
      <w:r>
        <w:br/>
        <w:t>\mathfrak{L}_{T}.</w:t>
      </w:r>
      <w:r>
        <w:br/>
        <w:t>\tag{3.6380}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lastRenderedPageBreak/>
        <w:t>\operatorname{Klasse}_{T}:\mathfrak{T}_{F}^{\mathrm{trans}}\rightarrow\mathfrak{L}_{T}\qquad\text{(3.6380)}</w:t>
      </w:r>
    </w:p>
    <w:p w:rsidR="00135380" w:rsidRDefault="00135380" w:rsidP="00135380">
      <w:pPr>
        <w:pStyle w:val="StandardWeb"/>
      </w:pPr>
      <w:r>
        <w:rPr>
          <w:rStyle w:val="Fett"/>
        </w:rPr>
        <w:t>Nicht übertragbar</w:t>
      </w:r>
      <w:r>
        <w:t xml:space="preserve"> bedeutet, dass relevante Invarianzen verletzt sind und kein begründeter Transportoperator existiert.</w:t>
      </w:r>
    </w:p>
    <w:p w:rsidR="00135380" w:rsidRDefault="00135380" w:rsidP="00135380">
      <w:pPr>
        <w:pStyle w:val="StandardWeb"/>
      </w:pPr>
      <w:r>
        <w:rPr>
          <w:rStyle w:val="Fett"/>
        </w:rPr>
        <w:t>Bedingt übertragbar</w:t>
      </w:r>
      <w:r>
        <w:t xml:space="preserve"> bedeutet, dass Unterschiede durch explizite Anpassungen berücksichtigt werden können.</w:t>
      </w:r>
    </w:p>
    <w:p w:rsidR="00135380" w:rsidRDefault="00135380" w:rsidP="00135380">
      <w:pPr>
        <w:pStyle w:val="StandardWeb"/>
      </w:pPr>
      <w:r>
        <w:rPr>
          <w:rStyle w:val="Fett"/>
        </w:rPr>
        <w:t>Direkt übertragbar</w:t>
      </w:r>
      <w:r>
        <w:t xml:space="preserve"> bedeutet, dass hinsichtlich der betrachteten Aussage keine relevante Anpassung erforderlich ist.</w:t>
      </w:r>
    </w:p>
    <w:p w:rsidR="00135380" w:rsidRDefault="00135380" w:rsidP="00135380">
      <w:pPr>
        <w:pStyle w:val="StandardWeb"/>
      </w:pPr>
      <w:r>
        <w:rPr>
          <w:rStyle w:val="Fett"/>
        </w:rPr>
        <w:t>Zielvalidiert</w:t>
      </w:r>
      <w:r>
        <w:t xml:space="preserve"> bedeutet, dass die transportierte Aussage im Zielkontext zusätzlich empirisch überprüft wurde.</w:t>
      </w:r>
    </w:p>
    <w:p w:rsidR="00135380" w:rsidRDefault="00135380" w:rsidP="00135380">
      <w:pPr>
        <w:pStyle w:val="StandardWeb"/>
      </w:pPr>
      <w:r>
        <w:t>Die höchste Klasse besitzt damit stärkere Evidenz als eine allein strukturell begründete Übertragung.</w:t>
      </w:r>
    </w:p>
    <w:p w:rsidR="00135380" w:rsidRDefault="00E50336" w:rsidP="00135380">
      <w:r>
        <w:pict>
          <v:rect id="_x0000_i1131" style="width:0;height:1.5pt" o:hralign="center" o:hrstd="t" o:hr="t" fillcolor="#a0a0a0" stroked="f"/>
        </w:pict>
      </w:r>
    </w:p>
    <w:p w:rsidR="00135380" w:rsidRDefault="00135380" w:rsidP="00135380">
      <w:pPr>
        <w:pStyle w:val="berschrift2"/>
      </w:pPr>
      <w:r>
        <w:t>3.3.38.37 Erweitertes Transportierbarkeitsprädikat</w:t>
      </w:r>
    </w:p>
    <w:p w:rsidR="00135380" w:rsidRDefault="00135380" w:rsidP="00135380">
      <w:pPr>
        <w:pStyle w:val="StandardWeb"/>
      </w:pPr>
      <w:r>
        <w:t>Ich definiere</w:t>
      </w:r>
    </w:p>
    <w:p w:rsidR="00135380" w:rsidRDefault="00135380" w:rsidP="00135380">
      <w:pPr>
        <w:pStyle w:val="StandardWeb"/>
      </w:pPr>
      <w:r>
        <w:t>[</w:t>
      </w:r>
      <w:r>
        <w:br/>
        <w:t>\operatorname{ETrans}</w:t>
      </w:r>
      <w:r>
        <w:rPr>
          <w:rStyle w:val="Hervorhebung"/>
        </w:rPr>
        <w:t>{F}</w:t>
      </w:r>
      <w:r>
        <w:rPr>
          <w:i/>
          <w:iCs/>
        </w:rPr>
        <w:br/>
      </w:r>
      <w:r>
        <w:rPr>
          <w:rStyle w:val="Hervorhebung"/>
        </w:rPr>
        <w:t>:</w:t>
      </w:r>
      <w:r>
        <w:rPr>
          <w:i/>
          <w:iCs/>
        </w:rPr>
        <w:br/>
      </w:r>
      <w:r>
        <w:rPr>
          <w:rStyle w:val="Hervorhebung"/>
        </w:rPr>
        <w:t>\mathfrak{T}</w:t>
      </w:r>
      <w:r>
        <w:t>{F}^{\mathrm{trans}}</w:t>
      </w:r>
      <w:r>
        <w:br/>
        <w:t>\rightarrow</w:t>
      </w:r>
      <w:r>
        <w:br/>
        <w:t>{0,1}.</w:t>
      </w:r>
      <w:r>
        <w:br/>
        <w:t>\tag{3.6381}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\operatorname{ETrans}_{F}:\mathfrak{T}_{F}^{\mathrm{trans}}\rightarrow\{0,1\}\qquad\text{(3.6381)}</w:t>
      </w:r>
    </w:p>
    <w:p w:rsidR="00135380" w:rsidRDefault="00135380" w:rsidP="00135380">
      <w:pPr>
        <w:pStyle w:val="StandardWeb"/>
      </w:pPr>
      <w:r>
        <w:t>Eine wissenschaftlich begründete Übertragung verlangt mindestens</w:t>
      </w:r>
    </w:p>
    <w:p w:rsidR="00135380" w:rsidRDefault="00135380" w:rsidP="00135380">
      <w:pPr>
        <w:pStyle w:val="berschrift1"/>
      </w:pPr>
      <w:r>
        <w:t>[</w:t>
      </w:r>
      <w:r>
        <w:br/>
        <w:t>\operatorname{ETrans}_{F}</w:t>
      </w:r>
    </w:p>
    <w:p w:rsidR="00135380" w:rsidRDefault="00135380" w:rsidP="00135380">
      <w:pPr>
        <w:pStyle w:val="StandardWeb"/>
      </w:pPr>
      <w:r>
        <w:t>1</w:t>
      </w:r>
      <w:r>
        <w:br/>
        <w:t>\iff</w:t>
      </w:r>
      <w:r>
        <w:br/>
        <w:t>C_{\mathrm{quelle}}</w:t>
      </w:r>
      <w:r>
        <w:br/>
        <w:t>\land</w:t>
      </w:r>
      <w:r>
        <w:br/>
        <w:t>C_{\mathrm{ziel}}</w:t>
      </w:r>
      <w:r>
        <w:br/>
        <w:t>\land</w:t>
      </w:r>
      <w:r>
        <w:br/>
        <w:t>C_{\mathrm{vergleich}}</w:t>
      </w:r>
      <w:r>
        <w:br/>
      </w:r>
      <w:r>
        <w:lastRenderedPageBreak/>
        <w:t>\land</w:t>
      </w:r>
      <w:r>
        <w:br/>
        <w:t>C_{\mathrm{invarianz}}</w:t>
      </w:r>
      <w:r>
        <w:br/>
        <w:t>\land</w:t>
      </w:r>
      <w:r>
        <w:br/>
        <w:t>C_{\mathrm{anpassung}}</w:t>
      </w:r>
      <w:r>
        <w:br/>
        <w:t>\land</w:t>
      </w:r>
      <w:r>
        <w:br/>
        <w:t>C_{\mathrm{unsicherheit}}.</w:t>
      </w:r>
      <w:r>
        <w:br/>
        <w:t>\tag{3.6382}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\operatorname{ETrans}_{F}=1\iff C_{\mathrm{quelle}}\land C_{\mathrm{ziel}}\land C_{\mathrm{vergleich}}\land C_{\mathrm{invarianz}}\land C_{\mathrm{anpassung}}\land C_{\mathrm{unsicherheit}}\qquad\text{(3.6382)}</w:t>
      </w:r>
    </w:p>
    <w:p w:rsidR="00135380" w:rsidRDefault="00135380" w:rsidP="00135380">
      <w:pPr>
        <w:pStyle w:val="StandardWeb"/>
      </w:pPr>
      <w:r>
        <w:t>Für eine zielvalidierte Übertragung kommt zusätzlich hinzu</w:t>
      </w:r>
    </w:p>
    <w:p w:rsidR="00135380" w:rsidRDefault="00135380" w:rsidP="00135380">
      <w:pPr>
        <w:pStyle w:val="berschrift1"/>
      </w:pPr>
      <w:r>
        <w:t>[</w:t>
      </w:r>
      <w:r>
        <w:br/>
        <w:t>C_{\mathrm{revalidierung}}</w:t>
      </w:r>
    </w:p>
    <w:p w:rsidR="00135380" w:rsidRDefault="00135380" w:rsidP="008C5E65">
      <w:pPr>
        <w:numPr>
          <w:ilvl w:val="0"/>
          <w:numId w:val="292"/>
        </w:numPr>
        <w:spacing w:before="100" w:beforeAutospacing="1" w:after="100" w:afterAutospacing="1"/>
      </w:pPr>
    </w:p>
    <w:p w:rsidR="00135380" w:rsidRDefault="00135380" w:rsidP="00135380">
      <w:pPr>
        <w:pStyle w:val="StandardWeb"/>
      </w:pPr>
      <w:r>
        <w:t>\tag{3.6383}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C_{\mathrm{revalidierung}}=1\qquad\text{(3.6383)}</w:t>
      </w:r>
    </w:p>
    <w:p w:rsidR="00135380" w:rsidRDefault="00E50336" w:rsidP="00135380">
      <w:r>
        <w:pict>
          <v:rect id="_x0000_i1132" style="width:0;height:1.5pt" o:hralign="center" o:hrstd="t" o:hr="t" fillcolor="#a0a0a0" stroked="f"/>
        </w:pict>
      </w:r>
    </w:p>
    <w:p w:rsidR="00135380" w:rsidRDefault="00135380" w:rsidP="00135380">
      <w:pPr>
        <w:pStyle w:val="berschrift2"/>
      </w:pPr>
      <w:r>
        <w:t>3.3.38.38 Satz zur Übertragung unter vollständiger aussagebezogener Invarianz</w:t>
      </w:r>
    </w:p>
    <w:p w:rsidR="00135380" w:rsidRDefault="00135380" w:rsidP="00135380">
      <w:pPr>
        <w:pStyle w:val="StandardWeb"/>
      </w:pPr>
      <w:r>
        <w:rPr>
          <w:rStyle w:val="Fett"/>
        </w:rPr>
        <w:t>Satz 3.3.20 – Direkte Übertragbarkeit bei vollständiger Erhaltung aller aussagerelevanten funktionalen Eigenschaften</w:t>
      </w:r>
    </w:p>
    <w:p w:rsidR="00135380" w:rsidRDefault="00135380" w:rsidP="00135380">
      <w:pPr>
        <w:pStyle w:val="StandardWeb"/>
      </w:pPr>
      <w:r>
        <w:t>Sei (A_F^{(S)}) eine im Quellkontext gültige funktionale Aussage.</w:t>
      </w:r>
    </w:p>
    <w:p w:rsidR="00135380" w:rsidRDefault="00135380" w:rsidP="00135380">
      <w:pPr>
        <w:pStyle w:val="StandardWeb"/>
      </w:pPr>
      <w:r>
        <w:t>Für sämtliche aussagerelevanten Eigenschaften gelte</w:t>
      </w:r>
    </w:p>
    <w:p w:rsidR="00135380" w:rsidRDefault="00135380" w:rsidP="00135380">
      <w:pPr>
        <w:pStyle w:val="berschrift1"/>
      </w:pPr>
      <w:r>
        <w:t>[</w:t>
      </w:r>
      <w:r>
        <w:br/>
        <w:t>\forall I_k</w:t>
      </w:r>
      <w:r>
        <w:br/>
        <w:t>\in</w:t>
      </w:r>
      <w:r>
        <w:br/>
        <w:t>\mathfrak{I}</w:t>
      </w:r>
      <w:r>
        <w:rPr>
          <w:rStyle w:val="Hervorhebung"/>
        </w:rPr>
        <w:t>{A}:</w:t>
      </w:r>
      <w:r>
        <w:rPr>
          <w:i/>
          <w:iCs/>
        </w:rPr>
        <w:br/>
      </w:r>
      <w:r>
        <w:rPr>
          <w:rStyle w:val="Hervorhebung"/>
        </w:rPr>
        <w:lastRenderedPageBreak/>
        <w:t>\quad</w:t>
      </w:r>
      <w:r>
        <w:rPr>
          <w:i/>
          <w:iCs/>
        </w:rPr>
        <w:br/>
      </w:r>
      <w:r>
        <w:rPr>
          <w:rStyle w:val="Hervorhebung"/>
        </w:rPr>
        <w:t>I_k</w:t>
      </w:r>
      <w:r>
        <w:rPr>
          <w:i/>
          <w:iCs/>
        </w:rPr>
        <w:br/>
      </w:r>
      <w:r>
        <w:rPr>
          <w:rStyle w:val="Hervorhebung"/>
        </w:rPr>
        <w:t>\left(</w:t>
      </w:r>
      <w:r>
        <w:rPr>
          <w:i/>
          <w:iCs/>
        </w:rPr>
        <w:br/>
      </w:r>
      <w:r>
        <w:rPr>
          <w:rStyle w:val="Hervorhebung"/>
        </w:rPr>
        <w:t>\mathcal{C}</w:t>
      </w:r>
      <w:r>
        <w:t>{L}^{(S)}</w:t>
      </w:r>
      <w:r>
        <w:br/>
        <w:t>\right)</w:t>
      </w:r>
    </w:p>
    <w:p w:rsidR="00135380" w:rsidRDefault="00135380" w:rsidP="00135380">
      <w:pPr>
        <w:pStyle w:val="StandardWeb"/>
      </w:pPr>
      <w:r>
        <w:t>I_k</w:t>
      </w:r>
      <w:r>
        <w:br/>
        <w:t>\left(</w:t>
      </w:r>
      <w:r>
        <w:br/>
        <w:t>\mathcal{C}_{L}^{(Z)}</w:t>
      </w:r>
      <w:r>
        <w:br/>
        <w:t>\right).</w:t>
      </w:r>
      <w:r>
        <w:br/>
        <w:t>\tag{3.6384}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\forall I_k\in\mathfrak{I}_{A}:I_k\left(\mathcal{C}_{L}^{(S)}\right)=I_k\left(\mathcal{C}_{L}^{(Z)}\right)\qquad\text{(3.6384)}</w:t>
      </w:r>
    </w:p>
    <w:p w:rsidR="00135380" w:rsidRDefault="00135380" w:rsidP="00135380">
      <w:pPr>
        <w:pStyle w:val="StandardWeb"/>
      </w:pPr>
      <w:r>
        <w:t>Weiter sei die Aussage vollständig durch diese Eigenschaften bestimmt:</w:t>
      </w:r>
    </w:p>
    <w:p w:rsidR="00135380" w:rsidRDefault="00135380" w:rsidP="00135380">
      <w:pPr>
        <w:pStyle w:val="berschrift1"/>
      </w:pPr>
      <w:r>
        <w:t>[</w:t>
      </w:r>
      <w:r>
        <w:br/>
        <w:t>A_F</w:t>
      </w:r>
    </w:p>
    <w:p w:rsidR="00135380" w:rsidRDefault="00135380" w:rsidP="00135380">
      <w:pPr>
        <w:pStyle w:val="StandardWeb"/>
      </w:pPr>
      <w:r>
        <w:t>F</w:t>
      </w:r>
      <w:r>
        <w:br/>
        <w:t>\left(</w:t>
      </w:r>
      <w:r>
        <w:br/>
        <w:t>I_1,</w:t>
      </w:r>
      <w:r>
        <w:br/>
        <w:t>I_2,</w:t>
      </w:r>
      <w:r>
        <w:br/>
        <w:t>\ldots,</w:t>
      </w:r>
      <w:r>
        <w:br/>
        <w:t>I_m</w:t>
      </w:r>
      <w:r>
        <w:br/>
        <w:t>\right).</w:t>
      </w:r>
      <w:r>
        <w:br/>
        <w:t>\tag{3.6385}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A_F=F\left(I_1,I_2,\ldots,I_m\right)\qquad\text{(3.6385)}</w:t>
      </w:r>
    </w:p>
    <w:p w:rsidR="00135380" w:rsidRDefault="00135380" w:rsidP="00135380">
      <w:pPr>
        <w:pStyle w:val="StandardWeb"/>
      </w:pPr>
      <w:r>
        <w:t>Dann gilt</w:t>
      </w:r>
    </w:p>
    <w:p w:rsidR="00135380" w:rsidRDefault="00135380" w:rsidP="00135380">
      <w:pPr>
        <w:pStyle w:val="berschrift1"/>
      </w:pPr>
      <w:r>
        <w:t>[</w:t>
      </w:r>
      <w:r>
        <w:br/>
        <w:t>A_F^{(Z)}</w:t>
      </w:r>
    </w:p>
    <w:p w:rsidR="00135380" w:rsidRDefault="00135380" w:rsidP="00135380">
      <w:pPr>
        <w:pStyle w:val="StandardWeb"/>
      </w:pPr>
      <w:r>
        <w:lastRenderedPageBreak/>
        <w:t>A_F^{(S)}.</w:t>
      </w:r>
      <w:r>
        <w:br/>
        <w:t>\tag{3.6386}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A_F^{(Z)}=A_F^{(S)}\qquad\text{(3.6386)}</w:t>
      </w:r>
    </w:p>
    <w:p w:rsidR="00135380" w:rsidRDefault="00135380" w:rsidP="00135380">
      <w:pPr>
        <w:pStyle w:val="berschrift3"/>
      </w:pPr>
      <w:r>
        <w:t>Beweis</w:t>
      </w:r>
    </w:p>
    <w:p w:rsidR="00135380" w:rsidRDefault="00135380" w:rsidP="00135380">
      <w:pPr>
        <w:pStyle w:val="StandardWeb"/>
      </w:pPr>
      <w:r>
        <w:t>Im Quellkontext gilt</w:t>
      </w:r>
    </w:p>
    <w:p w:rsidR="00135380" w:rsidRDefault="00135380" w:rsidP="00135380">
      <w:pPr>
        <w:pStyle w:val="berschrift1"/>
      </w:pPr>
      <w:r>
        <w:t>[</w:t>
      </w:r>
      <w:r>
        <w:br/>
        <w:t>A_F^{(S)}</w:t>
      </w:r>
    </w:p>
    <w:p w:rsidR="00135380" w:rsidRDefault="00135380" w:rsidP="00135380">
      <w:pPr>
        <w:pStyle w:val="StandardWeb"/>
      </w:pPr>
      <w:r>
        <w:t>F</w:t>
      </w:r>
      <w:r>
        <w:br/>
        <w:t>\left(</w:t>
      </w:r>
      <w:r>
        <w:br/>
        <w:t>I_1^{(S)},</w:t>
      </w:r>
      <w:r>
        <w:br/>
        <w:t>I_2^{(S)},</w:t>
      </w:r>
      <w:r>
        <w:br/>
        <w:t>\ldots,</w:t>
      </w:r>
      <w:r>
        <w:br/>
        <w:t>I_m^{(S)}</w:t>
      </w:r>
      <w:r>
        <w:br/>
        <w:t>\right).</w:t>
      </w:r>
      <w:r>
        <w:br/>
        <w:t>\tag{3.6387}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A_F^{(S)}=F\left(I_1^{(S)},I_2^{(S)},\ldots,I_m^{(S)}\right)\qquad\text{(3.6387)}</w:t>
      </w:r>
    </w:p>
    <w:p w:rsidR="00135380" w:rsidRDefault="00135380" w:rsidP="00135380">
      <w:pPr>
        <w:pStyle w:val="StandardWeb"/>
      </w:pPr>
      <w:r>
        <w:t>Für den Zielkontext gilt entsprechend</w:t>
      </w:r>
    </w:p>
    <w:p w:rsidR="00135380" w:rsidRDefault="00135380" w:rsidP="00135380">
      <w:pPr>
        <w:pStyle w:val="berschrift1"/>
      </w:pPr>
      <w:r>
        <w:t>[</w:t>
      </w:r>
      <w:r>
        <w:br/>
        <w:t>A_F^{(Z)}</w:t>
      </w:r>
    </w:p>
    <w:p w:rsidR="00135380" w:rsidRDefault="00135380" w:rsidP="00135380">
      <w:pPr>
        <w:pStyle w:val="StandardWeb"/>
      </w:pPr>
      <w:r>
        <w:t>F</w:t>
      </w:r>
      <w:r>
        <w:br/>
        <w:t>\left(</w:t>
      </w:r>
      <w:r>
        <w:br/>
        <w:t>I_1^{(Z)},</w:t>
      </w:r>
      <w:r>
        <w:br/>
        <w:t>I_2^{(Z)},</w:t>
      </w:r>
      <w:r>
        <w:br/>
        <w:t>\ldots,</w:t>
      </w:r>
      <w:r>
        <w:br/>
        <w:t>I_m^{(Z)}</w:t>
      </w:r>
      <w:r>
        <w:br/>
        <w:t>\right).</w:t>
      </w:r>
      <w:r>
        <w:br/>
        <w:t>\tag{3.6388}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A_F^{(Z)}=F\left(I_1^{(Z)},I_2^{(Z)},\ldots,I_m^{(Z)}\right)\qquad\text{(3.6388)}</w:t>
      </w:r>
    </w:p>
    <w:p w:rsidR="00135380" w:rsidRDefault="00135380" w:rsidP="00135380">
      <w:pPr>
        <w:pStyle w:val="StandardWeb"/>
      </w:pPr>
      <w:r>
        <w:lastRenderedPageBreak/>
        <w:t>Nach Voraussetzung gilt für jedes (k)</w:t>
      </w:r>
    </w:p>
    <w:p w:rsidR="00135380" w:rsidRDefault="00135380" w:rsidP="00135380">
      <w:pPr>
        <w:pStyle w:val="berschrift1"/>
      </w:pPr>
      <w:r>
        <w:t>[</w:t>
      </w:r>
      <w:r>
        <w:br/>
        <w:t>I_k^{(S)}</w:t>
      </w:r>
    </w:p>
    <w:p w:rsidR="00135380" w:rsidRDefault="00135380" w:rsidP="00135380">
      <w:pPr>
        <w:pStyle w:val="StandardWeb"/>
      </w:pPr>
      <w:r>
        <w:t>I_k^{(Z)}.</w:t>
      </w:r>
      <w:r>
        <w:br/>
        <w:t>\tag{3.6389}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I_k^{(S)}=I_k^{(Z)}\qquad\text{(3.6389)}</w:t>
      </w:r>
    </w:p>
    <w:p w:rsidR="00135380" w:rsidRDefault="00135380" w:rsidP="00135380">
      <w:pPr>
        <w:pStyle w:val="StandardWeb"/>
      </w:pPr>
      <w:r>
        <w:t>Einsetzen liefert</w:t>
      </w:r>
    </w:p>
    <w:p w:rsidR="00135380" w:rsidRDefault="00135380" w:rsidP="00135380">
      <w:pPr>
        <w:pStyle w:val="berschrift1"/>
      </w:pPr>
      <w:r>
        <w:t>[</w:t>
      </w:r>
      <w:r>
        <w:br/>
        <w:t>A_F^{(Z)}</w:t>
      </w:r>
    </w:p>
    <w:p w:rsidR="00135380" w:rsidRDefault="00135380" w:rsidP="00135380">
      <w:pPr>
        <w:pStyle w:val="StandardWeb"/>
      </w:pPr>
      <w:r>
        <w:t>F</w:t>
      </w:r>
      <w:r>
        <w:br/>
        <w:t>\left(</w:t>
      </w:r>
      <w:r>
        <w:br/>
        <w:t>I_1^{(S)},</w:t>
      </w:r>
      <w:r>
        <w:br/>
        <w:t>I_2^{(S)},</w:t>
      </w:r>
      <w:r>
        <w:br/>
        <w:t>\ldots,</w:t>
      </w:r>
      <w:r>
        <w:br/>
        <w:t>I_m^{(S)}</w:t>
      </w:r>
      <w:r>
        <w:br/>
        <w:t>\right).</w:t>
      </w:r>
      <w:r>
        <w:br/>
        <w:t>\tag{3.6390}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A_F^{(Z)}=F\left(I_1^{(S)},I_2^{(S)},\ldots,I_m^{(S)}\right)\qquad\text{(3.6390)}</w:t>
      </w:r>
    </w:p>
    <w:p w:rsidR="00135380" w:rsidRDefault="00135380" w:rsidP="00135380">
      <w:pPr>
        <w:pStyle w:val="StandardWeb"/>
      </w:pPr>
      <w:r>
        <w:t>Damit folgt</w:t>
      </w:r>
    </w:p>
    <w:p w:rsidR="00135380" w:rsidRDefault="00135380" w:rsidP="00135380">
      <w:pPr>
        <w:pStyle w:val="berschrift1"/>
      </w:pPr>
      <w:r>
        <w:t>[</w:t>
      </w:r>
      <w:r>
        <w:br/>
        <w:t>A_F^{(Z)}</w:t>
      </w:r>
    </w:p>
    <w:p w:rsidR="00135380" w:rsidRDefault="00135380" w:rsidP="00135380">
      <w:pPr>
        <w:pStyle w:val="StandardWeb"/>
      </w:pPr>
      <w:r>
        <w:t>A_F^{(S)}.</w:t>
      </w:r>
      <w:r>
        <w:br/>
        <w:t>\tag{3.6391}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A_F^{(Z)}=A_F^{(S)}\qquad\text{(3.6391)}</w:t>
      </w:r>
    </w:p>
    <w:p w:rsidR="00135380" w:rsidRDefault="00135380" w:rsidP="00135380">
      <w:pPr>
        <w:pStyle w:val="StandardWeb"/>
      </w:pPr>
      <w:r>
        <w:lastRenderedPageBreak/>
        <w:t>Damit ist die direkte Übertragbarkeit unter den angegebenen Voraussetzungen gezeigt. (\square)</w:t>
      </w:r>
    </w:p>
    <w:p w:rsidR="00135380" w:rsidRDefault="00E50336" w:rsidP="00135380">
      <w:r>
        <w:pict>
          <v:rect id="_x0000_i1133" style="width:0;height:1.5pt" o:hralign="center" o:hrstd="t" o:hr="t" fillcolor="#a0a0a0" stroked="f"/>
        </w:pict>
      </w:r>
    </w:p>
    <w:p w:rsidR="00135380" w:rsidRDefault="00135380" w:rsidP="00135380">
      <w:pPr>
        <w:pStyle w:val="berschrift2"/>
      </w:pPr>
      <w:r>
        <w:t>3.3.38.39 Reichweite von Satz 3.3.20</w:t>
      </w:r>
    </w:p>
    <w:p w:rsidR="00135380" w:rsidRDefault="00135380" w:rsidP="00135380">
      <w:pPr>
        <w:pStyle w:val="StandardWeb"/>
      </w:pPr>
      <w:r>
        <w:t xml:space="preserve">Satz 3.3.20 liefert ausdrücklich </w:t>
      </w:r>
      <w:r>
        <w:rPr>
          <w:rStyle w:val="Fett"/>
        </w:rPr>
        <w:t>keinen allgemeinen Beweis universeller Übertragbarkeit</w:t>
      </w:r>
      <w:r>
        <w:t>.</w:t>
      </w:r>
    </w:p>
    <w:p w:rsidR="00135380" w:rsidRDefault="00135380" w:rsidP="00135380">
      <w:pPr>
        <w:pStyle w:val="StandardWeb"/>
      </w:pPr>
      <w:r>
        <w:t>Er gilt nur unter zwei starken Bedingungen.</w:t>
      </w:r>
    </w:p>
    <w:p w:rsidR="00135380" w:rsidRDefault="00135380" w:rsidP="00135380">
      <w:pPr>
        <w:pStyle w:val="StandardWeb"/>
      </w:pPr>
      <w:r>
        <w:t>Erstens müssen sämtliche für die Aussage relevanten funktionalen Eigenschaften bekannt sein.</w:t>
      </w:r>
    </w:p>
    <w:p w:rsidR="00135380" w:rsidRDefault="00135380" w:rsidP="00135380">
      <w:pPr>
        <w:pStyle w:val="StandardWeb"/>
      </w:pPr>
      <w:r>
        <w:t>Zweitens muss die Aussage vollständig durch genau diese Eigenschaften bestimmt sein.</w:t>
      </w:r>
    </w:p>
    <w:p w:rsidR="00135380" w:rsidRDefault="00135380" w:rsidP="00135380">
      <w:pPr>
        <w:pStyle w:val="StandardWeb"/>
      </w:pPr>
      <w:r>
        <w:t>Ist eine bislang unbeachtete Eigenschaft (I_{m+1}) relevant,</w:t>
      </w:r>
    </w:p>
    <w:p w:rsidR="00135380" w:rsidRDefault="00135380" w:rsidP="00135380">
      <w:pPr>
        <w:pStyle w:val="berschrift1"/>
      </w:pPr>
      <w:r>
        <w:t>[</w:t>
      </w:r>
      <w:r>
        <w:br/>
        <w:t>A_F</w:t>
      </w:r>
    </w:p>
    <w:p w:rsidR="00135380" w:rsidRDefault="00135380" w:rsidP="00135380">
      <w:pPr>
        <w:pStyle w:val="StandardWeb"/>
      </w:pPr>
      <w:r>
        <w:t>F</w:t>
      </w:r>
      <w:r>
        <w:br/>
        <w:t>\left(</w:t>
      </w:r>
      <w:r>
        <w:br/>
        <w:t>I_1,</w:t>
      </w:r>
      <w:r>
        <w:br/>
        <w:t>\ldots,</w:t>
      </w:r>
      <w:r>
        <w:br/>
        <w:t>I_m,</w:t>
      </w:r>
      <w:r>
        <w:br/>
        <w:t>I_{m+1}</w:t>
      </w:r>
      <w:r>
        <w:br/>
        <w:t>\right),</w:t>
      </w:r>
      <w:r>
        <w:br/>
        <w:t>\tag{3.6392}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A_F=F\left(I_1,\ldots,I_m,I_{m+1}\right)\qquad\text{(3.6392)}</w:t>
      </w:r>
    </w:p>
    <w:p w:rsidR="00135380" w:rsidRDefault="00135380" w:rsidP="00135380">
      <w:pPr>
        <w:pStyle w:val="StandardWeb"/>
      </w:pPr>
      <w:r>
        <w:t>und unterscheidet sich diese zwischen Quell- und Zielkontext,</w:t>
      </w:r>
    </w:p>
    <w:p w:rsidR="00135380" w:rsidRDefault="00135380" w:rsidP="00135380">
      <w:pPr>
        <w:pStyle w:val="StandardWeb"/>
      </w:pPr>
      <w:r>
        <w:t>[</w:t>
      </w:r>
      <w:r>
        <w:br/>
        <w:t>I_{m+1}^{(S)}</w:t>
      </w:r>
      <w:r>
        <w:br/>
        <w:t>\neq</w:t>
      </w:r>
      <w:r>
        <w:br/>
        <w:t>I_{m+1}^{(Z)},</w:t>
      </w:r>
      <w:r>
        <w:br/>
        <w:t>\tag{3.6393}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I_{m+1}^{(S)}\neq I_{m+1}^{(Z)}\qquad\text{(3.6393)}</w:t>
      </w:r>
    </w:p>
    <w:p w:rsidR="00135380" w:rsidRDefault="00135380" w:rsidP="00135380">
      <w:pPr>
        <w:pStyle w:val="StandardWeb"/>
      </w:pPr>
      <w:r>
        <w:t>kann die direkte Übertragung scheitern.</w:t>
      </w:r>
    </w:p>
    <w:p w:rsidR="00135380" w:rsidRDefault="00135380" w:rsidP="00135380">
      <w:pPr>
        <w:pStyle w:val="StandardWeb"/>
      </w:pPr>
      <w:r>
        <w:lastRenderedPageBreak/>
        <w:t>Gerade deshalb ist die Bestimmung der relevanten Invarianzen selbst Teil des wissenschaftlichen Problems.</w:t>
      </w:r>
    </w:p>
    <w:p w:rsidR="00135380" w:rsidRDefault="00E50336" w:rsidP="00135380">
      <w:r>
        <w:pict>
          <v:rect id="_x0000_i1134" style="width:0;height:1.5pt" o:hralign="center" o:hrstd="t" o:hr="t" fillcolor="#a0a0a0" stroked="f"/>
        </w:pict>
      </w:r>
    </w:p>
    <w:p w:rsidR="00135380" w:rsidRDefault="00135380" w:rsidP="00135380">
      <w:pPr>
        <w:pStyle w:val="berschrift2"/>
      </w:pPr>
      <w:r>
        <w:t>3.3.38.40 Gegenbeispiel zur bloßen numerischen Ähnlichkeit</w:t>
      </w:r>
    </w:p>
    <w:p w:rsidR="00135380" w:rsidRDefault="00135380" w:rsidP="00135380">
      <w:pPr>
        <w:pStyle w:val="StandardWeb"/>
      </w:pPr>
      <w:r>
        <w:t>Seien zwei Systeme mit nahezu identischen Messwerten gegeben:</w:t>
      </w:r>
    </w:p>
    <w:p w:rsidR="00135380" w:rsidRDefault="00135380" w:rsidP="00135380">
      <w:pPr>
        <w:pStyle w:val="berschrift2"/>
      </w:pPr>
      <w:r>
        <w:t>[</w:t>
      </w:r>
      <w:r>
        <w:br/>
        <w:t>\left|</w:t>
      </w:r>
      <w:r>
        <w:br/>
        <w:t>x^{(S)}</w:t>
      </w:r>
    </w:p>
    <w:p w:rsidR="00135380" w:rsidRDefault="00135380" w:rsidP="00135380">
      <w:pPr>
        <w:pStyle w:val="StandardWeb"/>
      </w:pPr>
      <w:r>
        <w:t>x^{(Z)}</w:t>
      </w:r>
      <w:r>
        <w:br/>
        <w:t>\right|</w:t>
      </w:r>
      <w:r>
        <w:br/>
        <w:t>&lt;</w:t>
      </w:r>
      <w:r>
        <w:br/>
        <w:t>\varepsilon.</w:t>
      </w:r>
      <w:r>
        <w:br/>
        <w:t>\tag{3.6394}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\left\|x^{(S)}-x^{(Z)}\right\|&lt;\varepsilon\qquad\text{(3.6394)}</w:t>
      </w:r>
    </w:p>
    <w:p w:rsidR="00135380" w:rsidRDefault="00135380" w:rsidP="00135380">
      <w:pPr>
        <w:pStyle w:val="StandardWeb"/>
      </w:pPr>
      <w:r>
        <w:t>Gleichzeitig können ihre funktionalen Relationen verschieden sein:</w:t>
      </w:r>
    </w:p>
    <w:p w:rsidR="00135380" w:rsidRDefault="00135380" w:rsidP="00135380">
      <w:pPr>
        <w:pStyle w:val="StandardWeb"/>
      </w:pPr>
      <w:r>
        <w:t>[</w:t>
      </w:r>
      <w:r>
        <w:br/>
        <w:t>\mathfrak{R}</w:t>
      </w:r>
      <w:r>
        <w:rPr>
          <w:rStyle w:val="Hervorhebung"/>
        </w:rPr>
        <w:t>{F}^{(S)}</w:t>
      </w:r>
      <w:r>
        <w:rPr>
          <w:i/>
          <w:iCs/>
        </w:rPr>
        <w:br/>
      </w:r>
      <w:r>
        <w:rPr>
          <w:rStyle w:val="Hervorhebung"/>
        </w:rPr>
        <w:t>\neq</w:t>
      </w:r>
      <w:r>
        <w:rPr>
          <w:i/>
          <w:iCs/>
        </w:rPr>
        <w:br/>
      </w:r>
      <w:r>
        <w:rPr>
          <w:rStyle w:val="Hervorhebung"/>
        </w:rPr>
        <w:t>\mathfrak{R}</w:t>
      </w:r>
      <w:r>
        <w:t>{F}^{(Z)}.</w:t>
      </w:r>
      <w:r>
        <w:br/>
        <w:t>\tag{3.6395}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\mathfrak{R}_{F}^{(S)}\neq\mathfrak{R}_{F}^{(Z)}\qquad\text{(3.6395)}</w:t>
      </w:r>
    </w:p>
    <w:p w:rsidR="00135380" w:rsidRDefault="00135380" w:rsidP="00135380">
      <w:pPr>
        <w:pStyle w:val="StandardWeb"/>
      </w:pPr>
      <w:r>
        <w:t>Dann folgt aus numerischer Nähe nicht</w:t>
      </w:r>
    </w:p>
    <w:p w:rsidR="00135380" w:rsidRDefault="00135380" w:rsidP="00135380">
      <w:pPr>
        <w:pStyle w:val="berschrift1"/>
      </w:pPr>
      <w:r>
        <w:t>[</w:t>
      </w:r>
      <w:r>
        <w:br/>
        <w:t>A_F^{(S)}</w:t>
      </w:r>
    </w:p>
    <w:p w:rsidR="00135380" w:rsidRDefault="00135380" w:rsidP="00135380">
      <w:pPr>
        <w:pStyle w:val="StandardWeb"/>
      </w:pPr>
      <w:r>
        <w:t>A_F^{(Z)}.</w:t>
      </w:r>
      <w:r>
        <w:br/>
        <w:t>\tag{3.6396}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lastRenderedPageBreak/>
        <w:t>A_F^{(S)}=A_F^{(Z)}\qquad\text{(3.6396)}</w:t>
      </w:r>
    </w:p>
    <w:p w:rsidR="00135380" w:rsidRDefault="00135380" w:rsidP="00135380">
      <w:pPr>
        <w:pStyle w:val="StandardWeb"/>
      </w:pPr>
      <w:r>
        <w:t>Damit wird deutlich, dass quantitative Ähnlichkeit allein kein hinreichendes Kriterium für funktionale Übertragbarkeit darstellt.</w:t>
      </w:r>
    </w:p>
    <w:p w:rsidR="00135380" w:rsidRDefault="00E50336" w:rsidP="00135380">
      <w:r>
        <w:pict>
          <v:rect id="_x0000_i1135" style="width:0;height:1.5pt" o:hralign="center" o:hrstd="t" o:hr="t" fillcolor="#a0a0a0" stroked="f"/>
        </w:pict>
      </w:r>
    </w:p>
    <w:p w:rsidR="00135380" w:rsidRDefault="00135380" w:rsidP="00135380">
      <w:pPr>
        <w:pStyle w:val="berschrift2"/>
      </w:pPr>
      <w:r>
        <w:t>3.3.38.41 Gegenbeispiel zur strukturellen Ferne</w:t>
      </w:r>
    </w:p>
    <w:p w:rsidR="00135380" w:rsidRDefault="00135380" w:rsidP="00135380">
      <w:pPr>
        <w:pStyle w:val="StandardWeb"/>
      </w:pPr>
      <w:r>
        <w:t>Umgekehrt können zwei Systeme numerisch stark verschieden sein:</w:t>
      </w:r>
    </w:p>
    <w:p w:rsidR="00135380" w:rsidRDefault="00135380" w:rsidP="00135380">
      <w:pPr>
        <w:pStyle w:val="berschrift2"/>
      </w:pPr>
      <w:r>
        <w:t>[</w:t>
      </w:r>
      <w:r>
        <w:br/>
        <w:t>\left|</w:t>
      </w:r>
      <w:r>
        <w:br/>
        <w:t>x^{(S)}</w:t>
      </w:r>
    </w:p>
    <w:p w:rsidR="00135380" w:rsidRDefault="00135380" w:rsidP="00135380">
      <w:pPr>
        <w:pStyle w:val="StandardWeb"/>
      </w:pPr>
      <w:r>
        <w:t>x^{(Z)}</w:t>
      </w:r>
      <w:r>
        <w:br/>
        <w:t>\right|</w:t>
      </w:r>
      <w:r>
        <w:br/>
        <w:t>\gg</w:t>
      </w:r>
      <w:r>
        <w:br/>
        <w:t>0,</w:t>
      </w:r>
      <w:r>
        <w:br/>
        <w:t>\tag{3.6397}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\left\|x^{(S)}-x^{(Z)}\right\|\gg0\qquad\text{(3.6397)}</w:t>
      </w:r>
    </w:p>
    <w:p w:rsidR="00135380" w:rsidRDefault="00135380" w:rsidP="00135380">
      <w:pPr>
        <w:pStyle w:val="StandardWeb"/>
      </w:pPr>
      <w:r>
        <w:t>aber dieselbe für (A_F) relevante funktionale Struktur besitzen:</w:t>
      </w:r>
    </w:p>
    <w:p w:rsidR="00135380" w:rsidRDefault="00135380" w:rsidP="00135380">
      <w:pPr>
        <w:pStyle w:val="StandardWeb"/>
      </w:pPr>
      <w:r>
        <w:t>[</w:t>
      </w:r>
      <w:r>
        <w:br/>
        <w:t>\mathfrak{I}</w:t>
      </w:r>
      <w:r>
        <w:rPr>
          <w:rStyle w:val="Hervorhebung"/>
        </w:rPr>
        <w:t>{A}^{(S)}</w:t>
      </w:r>
      <w:r>
        <w:rPr>
          <w:i/>
          <w:iCs/>
        </w:rPr>
        <w:br/>
      </w:r>
      <w:r>
        <w:rPr>
          <w:rStyle w:val="Hervorhebung"/>
        </w:rPr>
        <w:t>\cong</w:t>
      </w:r>
      <w:r>
        <w:rPr>
          <w:i/>
          <w:iCs/>
        </w:rPr>
        <w:br/>
      </w:r>
      <w:r>
        <w:rPr>
          <w:rStyle w:val="Hervorhebung"/>
        </w:rPr>
        <w:t>\mathfrak{I}</w:t>
      </w:r>
      <w:r>
        <w:t>{A}^{(Z)}.</w:t>
      </w:r>
      <w:r>
        <w:br/>
        <w:t>\tag{3.6398}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\mathfrak{I}_{A}^{(S)}\cong\mathfrak{I}_{A}^{(Z)}\qquad\text{(3.6398)}</w:t>
      </w:r>
    </w:p>
    <w:p w:rsidR="00135380" w:rsidRDefault="00135380" w:rsidP="00135380">
      <w:pPr>
        <w:pStyle w:val="StandardWeb"/>
      </w:pPr>
      <w:r>
        <w:t>Dann kann die Aussage trotz großer numerischer Unterschiede übertragbar sein.</w:t>
      </w:r>
    </w:p>
    <w:p w:rsidR="00135380" w:rsidRDefault="00135380" w:rsidP="00135380">
      <w:pPr>
        <w:pStyle w:val="StandardWeb"/>
      </w:pPr>
      <w:r>
        <w:t xml:space="preserve">Das FRZK priorisiert daher </w:t>
      </w:r>
      <w:r>
        <w:rPr>
          <w:rStyle w:val="Fett"/>
        </w:rPr>
        <w:t>funktionale Strukturähnlichkeit vor bloßer numerischer Ähnlichkeit</w:t>
      </w:r>
      <w:r>
        <w:t>.</w:t>
      </w:r>
    </w:p>
    <w:p w:rsidR="00135380" w:rsidRDefault="00E50336" w:rsidP="00135380">
      <w:r>
        <w:pict>
          <v:rect id="_x0000_i1136" style="width:0;height:1.5pt" o:hralign="center" o:hrstd="t" o:hr="t" fillcolor="#a0a0a0" stroked="f"/>
        </w:pict>
      </w:r>
    </w:p>
    <w:p w:rsidR="00135380" w:rsidRDefault="00135380" w:rsidP="00135380">
      <w:pPr>
        <w:pStyle w:val="berschrift2"/>
      </w:pPr>
      <w:r>
        <w:t>3.3.38.42 Transportmanifest</w:t>
      </w:r>
    </w:p>
    <w:p w:rsidR="00135380" w:rsidRDefault="00135380" w:rsidP="00135380">
      <w:pPr>
        <w:pStyle w:val="StandardWeb"/>
      </w:pPr>
      <w:r>
        <w:t>Jede Übertragung muss reproduzierbar dokumentiert werden.</w:t>
      </w:r>
    </w:p>
    <w:p w:rsidR="00135380" w:rsidRDefault="00135380" w:rsidP="00135380">
      <w:pPr>
        <w:pStyle w:val="StandardWeb"/>
      </w:pPr>
      <w:r>
        <w:lastRenderedPageBreak/>
        <w:t>Ich definiere dazu</w:t>
      </w:r>
    </w:p>
    <w:p w:rsidR="00135380" w:rsidRDefault="00135380" w:rsidP="00135380">
      <w:pPr>
        <w:pStyle w:val="StandardWeb"/>
      </w:pPr>
      <w:r>
        <w:t>[</w:t>
      </w:r>
      <w:r>
        <w:br/>
        <w:t>\operatorname{TransportManifest}</w:t>
      </w:r>
      <w:r>
        <w:br/>
        <w:t>\left(</w:t>
      </w:r>
      <w:r>
        <w:br/>
        <w:t>\mathcal{C}</w:t>
      </w:r>
      <w:r>
        <w:rPr>
          <w:rStyle w:val="Hervorhebung"/>
        </w:rPr>
        <w:t>{L}^{(S)},</w:t>
      </w:r>
      <w:r>
        <w:rPr>
          <w:i/>
          <w:iCs/>
        </w:rPr>
        <w:br/>
      </w:r>
      <w:r>
        <w:rPr>
          <w:rStyle w:val="Hervorhebung"/>
        </w:rPr>
        <w:t>\mathcal{C}</w:t>
      </w:r>
      <w:r>
        <w:t>{L}^{(Z)},</w:t>
      </w:r>
      <w:r>
        <w:br/>
        <w:t>A_F^{(S)},</w:t>
      </w:r>
      <w:r>
        <w:br/>
        <w:t>\mathfrak{I}</w:t>
      </w:r>
      <w:r>
        <w:rPr>
          <w:rStyle w:val="Hervorhebung"/>
        </w:rPr>
        <w:t>{A},</w:t>
      </w:r>
      <w:r>
        <w:rPr>
          <w:i/>
          <w:iCs/>
        </w:rPr>
        <w:br/>
      </w:r>
      <w:r>
        <w:rPr>
          <w:rStyle w:val="Hervorhebung"/>
        </w:rPr>
        <w:t>\Delta\mathcal{C}</w:t>
      </w:r>
      <w:r>
        <w:t>{A},</w:t>
      </w:r>
      <w:r>
        <w:br/>
        <w:t>\mathcal{T}_{A},</w:t>
      </w:r>
      <w:r>
        <w:br/>
        <w:t>u_T</w:t>
      </w:r>
      <w:r>
        <w:br/>
        <w:t>\right).</w:t>
      </w:r>
      <w:r>
        <w:br/>
        <w:t>\tag{3.6399}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\operatorname{TransportManifest}\left(\mathcal{C}_{L}^{(S)},\mathcal{C}_{L}^{(Z)},A_F^{(S)},\mathfrak{I}_{A},\Delta\mathcal{C}_{A},\mathcal{T}_{A},u_T\right)\qquad\text{(3.6399)}</w:t>
      </w:r>
    </w:p>
    <w:p w:rsidR="00135380" w:rsidRDefault="00135380" w:rsidP="00135380">
      <w:pPr>
        <w:pStyle w:val="StandardWeb"/>
      </w:pPr>
      <w:r>
        <w:t>Das Manifest dokumentiert mindestens:</w:t>
      </w:r>
    </w:p>
    <w:p w:rsidR="00135380" w:rsidRDefault="00135380" w:rsidP="008C5E65">
      <w:pPr>
        <w:pStyle w:val="StandardWeb"/>
        <w:numPr>
          <w:ilvl w:val="0"/>
          <w:numId w:val="293"/>
        </w:numPr>
      </w:pPr>
      <w:r>
        <w:t>Quellkontext,</w:t>
      </w:r>
    </w:p>
    <w:p w:rsidR="00135380" w:rsidRDefault="00135380" w:rsidP="008C5E65">
      <w:pPr>
        <w:pStyle w:val="StandardWeb"/>
        <w:numPr>
          <w:ilvl w:val="0"/>
          <w:numId w:val="293"/>
        </w:numPr>
      </w:pPr>
      <w:r>
        <w:t>Zielkontext,</w:t>
      </w:r>
    </w:p>
    <w:p w:rsidR="00135380" w:rsidRDefault="00135380" w:rsidP="008C5E65">
      <w:pPr>
        <w:pStyle w:val="StandardWeb"/>
        <w:numPr>
          <w:ilvl w:val="0"/>
          <w:numId w:val="293"/>
        </w:numPr>
      </w:pPr>
      <w:r>
        <w:t>ursprüngliche Aussage,</w:t>
      </w:r>
    </w:p>
    <w:p w:rsidR="00135380" w:rsidRDefault="00135380" w:rsidP="008C5E65">
      <w:pPr>
        <w:pStyle w:val="StandardWeb"/>
        <w:numPr>
          <w:ilvl w:val="0"/>
          <w:numId w:val="293"/>
        </w:numPr>
      </w:pPr>
      <w:r>
        <w:t>relevante Invarianzen,</w:t>
      </w:r>
    </w:p>
    <w:p w:rsidR="00135380" w:rsidRDefault="00135380" w:rsidP="008C5E65">
      <w:pPr>
        <w:pStyle w:val="StandardWeb"/>
        <w:numPr>
          <w:ilvl w:val="0"/>
          <w:numId w:val="293"/>
        </w:numPr>
      </w:pPr>
      <w:r>
        <w:t>relevante Kontextdifferenzen,</w:t>
      </w:r>
    </w:p>
    <w:p w:rsidR="00135380" w:rsidRDefault="00135380" w:rsidP="008C5E65">
      <w:pPr>
        <w:pStyle w:val="StandardWeb"/>
        <w:numPr>
          <w:ilvl w:val="0"/>
          <w:numId w:val="293"/>
        </w:numPr>
      </w:pPr>
      <w:r>
        <w:t>Transportoperator,</w:t>
      </w:r>
    </w:p>
    <w:p w:rsidR="00135380" w:rsidRDefault="00135380" w:rsidP="008C5E65">
      <w:pPr>
        <w:pStyle w:val="StandardWeb"/>
        <w:numPr>
          <w:ilvl w:val="0"/>
          <w:numId w:val="293"/>
        </w:numPr>
      </w:pPr>
      <w:r>
        <w:t>zusätzliche Unsicherheit,</w:t>
      </w:r>
    </w:p>
    <w:p w:rsidR="00135380" w:rsidRDefault="00135380" w:rsidP="008C5E65">
      <w:pPr>
        <w:pStyle w:val="StandardWeb"/>
        <w:numPr>
          <w:ilvl w:val="0"/>
          <w:numId w:val="293"/>
        </w:numPr>
      </w:pPr>
      <w:r>
        <w:t>Validierungsstatus.</w:t>
      </w:r>
    </w:p>
    <w:p w:rsidR="00135380" w:rsidRDefault="00135380" w:rsidP="00135380">
      <w:pPr>
        <w:pStyle w:val="StandardWeb"/>
      </w:pPr>
      <w:r>
        <w:t>Die resultierende Zielaussage wird gespeichert als</w:t>
      </w:r>
    </w:p>
    <w:p w:rsidR="00135380" w:rsidRDefault="00135380" w:rsidP="00135380">
      <w:pPr>
        <w:pStyle w:val="StandardWeb"/>
      </w:pPr>
      <w:r>
        <w:t>[</w:t>
      </w:r>
      <w:r>
        <w:br/>
        <w:t>\operatorname{TransportResult}</w:t>
      </w:r>
      <w:r>
        <w:br/>
        <w:t>\left(</w:t>
      </w:r>
      <w:r>
        <w:br/>
        <w:t>A_F^{(Z)},</w:t>
      </w:r>
      <w:r>
        <w:br/>
        <w:t>\operatorname{Klasse}_{T},</w:t>
      </w:r>
      <w:r>
        <w:br/>
        <w:t>u_Z</w:t>
      </w:r>
      <w:r>
        <w:br/>
        <w:t>\right).</w:t>
      </w:r>
      <w:r>
        <w:br/>
        <w:t>\tag{3.6400}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\operatorname{TransportResult}\left(A_F^{(Z)},\operatorname{Klasse}_{T},u_Z\right)\qquad\text{(3.6400)}</w:t>
      </w:r>
    </w:p>
    <w:p w:rsidR="00135380" w:rsidRDefault="00E50336" w:rsidP="00135380">
      <w:r>
        <w:pict>
          <v:rect id="_x0000_i1137" style="width:0;height:1.5pt" o:hralign="center" o:hrstd="t" o:hr="t" fillcolor="#a0a0a0" stroked="f"/>
        </w:pict>
      </w:r>
    </w:p>
    <w:p w:rsidR="00135380" w:rsidRDefault="00135380" w:rsidP="00135380">
      <w:pPr>
        <w:pStyle w:val="berschrift2"/>
      </w:pPr>
      <w:r>
        <w:lastRenderedPageBreak/>
        <w:t>3.3.38.43 Repository-Dokumentation der Transportabhängigkeit</w:t>
      </w:r>
    </w:p>
    <w:p w:rsidR="00135380" w:rsidRDefault="00135380" w:rsidP="00135380">
      <w:pPr>
        <w:pStyle w:val="StandardWeb"/>
      </w:pPr>
      <w:r>
        <w:t>Die Abhängigkeit zwischen Quell- und Zielaussage kann dokumentiert werden als</w:t>
      </w:r>
    </w:p>
    <w:p w:rsidR="00135380" w:rsidRDefault="00135380" w:rsidP="00135380">
      <w:pPr>
        <w:pStyle w:val="StandardWeb"/>
      </w:pPr>
      <w:r>
        <w:t>[</w:t>
      </w:r>
      <w:r>
        <w:br/>
        <w:t>\operatorname{TransportDep}</w:t>
      </w:r>
      <w:r>
        <w:br/>
        <w:t>\left(</w:t>
      </w:r>
      <w:r>
        <w:br/>
        <w:t>A_F^{(S)},</w:t>
      </w:r>
      <w:r>
        <w:br/>
        <w:t>A_F^{(Z)},</w:t>
      </w:r>
      <w:r>
        <w:br/>
        <w:t>\mathcal{T}_{A}</w:t>
      </w:r>
      <w:r>
        <w:br/>
        <w:t>\right).</w:t>
      </w:r>
      <w:r>
        <w:br/>
        <w:t>\tag{3.6401}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\operatorname{TransportDep}\left(A_F^{(S)},A_F^{(Z)},\mathcal{T}_{A}\right)\qquad\text{(3.6401)}</w:t>
      </w:r>
    </w:p>
    <w:p w:rsidR="00135380" w:rsidRDefault="00135380" w:rsidP="00135380">
      <w:pPr>
        <w:pStyle w:val="StandardWeb"/>
      </w:pPr>
      <w:r>
        <w:t>Die relevanten Invarianzen werden gespeichert als</w:t>
      </w:r>
    </w:p>
    <w:p w:rsidR="00135380" w:rsidRDefault="00135380" w:rsidP="00135380">
      <w:pPr>
        <w:pStyle w:val="StandardWeb"/>
      </w:pPr>
      <w:r>
        <w:t>[</w:t>
      </w:r>
      <w:r>
        <w:br/>
        <w:t>\operatorname{InvariantDep}</w:t>
      </w:r>
      <w:r>
        <w:br/>
        <w:t>\left(</w:t>
      </w:r>
      <w:r>
        <w:br/>
        <w:t>A_F,</w:t>
      </w:r>
      <w:r>
        <w:br/>
        <w:t>\mathfrak{I}_{A}</w:t>
      </w:r>
      <w:r>
        <w:br/>
        <w:t>\right).</w:t>
      </w:r>
      <w:r>
        <w:br/>
        <w:t>\tag{3.6402}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\operatorname{InvariantDep}\left(A_F,\mathfrak{I}_{A}\right)\qquad\text{(3.6402)}</w:t>
      </w:r>
    </w:p>
    <w:p w:rsidR="00135380" w:rsidRDefault="00135380" w:rsidP="00135380">
      <w:pPr>
        <w:pStyle w:val="StandardWeb"/>
      </w:pPr>
      <w:r>
        <w:t>Die Kontextdifferenzen werden dokumentiert durch</w:t>
      </w:r>
    </w:p>
    <w:p w:rsidR="00135380" w:rsidRDefault="00135380" w:rsidP="00135380">
      <w:pPr>
        <w:pStyle w:val="StandardWeb"/>
      </w:pPr>
      <w:r>
        <w:t>[</w:t>
      </w:r>
      <w:r>
        <w:br/>
        <w:t>\operatorname{ContextDiff}</w:t>
      </w:r>
      <w:r>
        <w:br/>
        <w:t>\left(</w:t>
      </w:r>
      <w:r>
        <w:br/>
        <w:t>\mathcal{C}</w:t>
      </w:r>
      <w:r>
        <w:rPr>
          <w:rStyle w:val="Hervorhebung"/>
        </w:rPr>
        <w:t>{L}^{(S)},</w:t>
      </w:r>
      <w:r>
        <w:rPr>
          <w:i/>
          <w:iCs/>
        </w:rPr>
        <w:br/>
      </w:r>
      <w:r>
        <w:rPr>
          <w:rStyle w:val="Hervorhebung"/>
        </w:rPr>
        <w:t>\mathcal{C}</w:t>
      </w:r>
      <w:r>
        <w:t>{L}^{(Z)},</w:t>
      </w:r>
      <w:r>
        <w:br/>
        <w:t>\Delta\mathcal{C}_{A}</w:t>
      </w:r>
      <w:r>
        <w:br/>
        <w:t>\right).</w:t>
      </w:r>
      <w:r>
        <w:br/>
        <w:t>\tag{3.6403}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lastRenderedPageBreak/>
        <w:t>\operatorname{ContextDiff}\left(\mathcal{C}_{L}^{(S)},\mathcal{C}_{L}^{(Z)},\Delta\mathcal{C}_{A}\right)\qquad\text{(3.6403)}</w:t>
      </w:r>
    </w:p>
    <w:p w:rsidR="00135380" w:rsidRDefault="00135380" w:rsidP="00135380">
      <w:pPr>
        <w:pStyle w:val="StandardWeb"/>
      </w:pPr>
      <w:r>
        <w:t>Eine empirische Zielvalidierung wird dokumentiert als</w:t>
      </w:r>
    </w:p>
    <w:p w:rsidR="00135380" w:rsidRDefault="00135380" w:rsidP="00135380">
      <w:pPr>
        <w:pStyle w:val="StandardWeb"/>
      </w:pPr>
      <w:r>
        <w:t>[</w:t>
      </w:r>
      <w:r>
        <w:br/>
        <w:t>\operatorname{TargetValidation}</w:t>
      </w:r>
      <w:r>
        <w:br/>
        <w:t>\left(</w:t>
      </w:r>
      <w:r>
        <w:br/>
        <w:t>A_F^{(Z)},</w:t>
      </w:r>
      <w:r>
        <w:br/>
        <w:t>A_{F,\mathrm{obs}}^{(Z)},</w:t>
      </w:r>
      <w:r>
        <w:br/>
        <w:t>e_{\mathrm{trans}}</w:t>
      </w:r>
      <w:r>
        <w:br/>
        <w:t>\right).</w:t>
      </w:r>
      <w:r>
        <w:br/>
        <w:t>\tag{3.6404}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\operatorname{TargetValidation}\left(A_F^{(Z)},A_{F,\mathrm{obs}}^{(Z)},e_{\mathrm{trans}}\right)\qquad\text{(3.6404)}</w:t>
      </w:r>
    </w:p>
    <w:p w:rsidR="00135380" w:rsidRDefault="00135380" w:rsidP="00135380">
      <w:pPr>
        <w:pStyle w:val="StandardWeb"/>
      </w:pPr>
      <w:r>
        <w:rPr>
          <w:rStyle w:val="Fett"/>
        </w:rPr>
        <w:t>Eigenleistung des FRZK</w:t>
      </w:r>
    </w:p>
    <w:p w:rsidR="00135380" w:rsidRDefault="00135380" w:rsidP="00135380">
      <w:pPr>
        <w:pStyle w:val="StandardWeb"/>
      </w:pPr>
      <w:r>
        <w:t>Damit wird Generalisierung im FRZK vollständig rückverfolgbar. Eine Aussage kann jederzeit zu ihrem ursprünglichen Quellkontext, den angenommenen Invarianzen, sämtlichen Anpassungen und gegebenenfalls ihrer empirischen Zielvalidierung zurückverfolgt werden.</w:t>
      </w:r>
    </w:p>
    <w:p w:rsidR="00135380" w:rsidRDefault="00E50336" w:rsidP="00135380">
      <w:r>
        <w:pict>
          <v:rect id="_x0000_i1138" style="width:0;height:1.5pt" o:hralign="center" o:hrstd="t" o:hr="t" fillcolor="#a0a0a0" stroked="f"/>
        </w:pict>
      </w:r>
    </w:p>
    <w:p w:rsidR="00135380" w:rsidRDefault="00135380" w:rsidP="00135380">
      <w:pPr>
        <w:pStyle w:val="berschrift1"/>
      </w:pPr>
      <w:r>
        <w:t>3.3.38.44 Methodologische Betrachtungen</w:t>
      </w:r>
    </w:p>
    <w:p w:rsidR="00135380" w:rsidRDefault="00135380" w:rsidP="00135380">
      <w:pPr>
        <w:pStyle w:val="StandardWeb"/>
      </w:pPr>
      <w:r>
        <w:t xml:space="preserve">Die Übertragbarkeit funktionaler Aussagen bildet einen notwendigen methodologischen Abschluss der zuvor entwickelten Prüfarchitektur. Nachdem ich Konsistenz, Reproduzierbarkeit, Falsifizierbarkeit, Prognosefähigkeit, Erklärungsfähigkeit und kausale Interpretierbarkeit voneinander getrennt habe, stellt sich zwangsläufig die Frage, für welchen Gültigkeitsbereich die dabei gewonnenen Aussagen überhaupt beansprucht werden dürfen. Eine wissenschaftlich belastbare Aussage muss deshalb nicht nur angeben, </w:t>
      </w:r>
      <w:r>
        <w:rPr>
          <w:rStyle w:val="Fett"/>
        </w:rPr>
        <w:t>was</w:t>
      </w:r>
      <w:r>
        <w:t xml:space="preserve"> sie behauptet, sondern ebenso </w:t>
      </w:r>
      <w:r>
        <w:rPr>
          <w:rStyle w:val="Fett"/>
        </w:rPr>
        <w:t>wo</w:t>
      </w:r>
      <w:r>
        <w:t xml:space="preserve"> und </w:t>
      </w:r>
      <w:r>
        <w:rPr>
          <w:rStyle w:val="Fett"/>
        </w:rPr>
        <w:t>unter welchen Bedingungen</w:t>
      </w:r>
      <w:r>
        <w:t xml:space="preserve"> diese Behauptung gelten soll [58, 59, 79].</w:t>
      </w:r>
    </w:p>
    <w:p w:rsidR="00135380" w:rsidRDefault="00135380" w:rsidP="00135380">
      <w:pPr>
        <w:pStyle w:val="StandardWeb"/>
      </w:pPr>
      <w:r>
        <w:t>Der Ausgangspunkt ist die bewusste Entscheidung, jede empirisch entwickelte FRZK-Aussage zunächst als lokal gültig zu behandeln. Diese Vorgehensweise ist erkenntnistheoretisch vorsichtiger als eine unmittelbare Generalisierung. Sie verhindert, dass aus einer erfolgreichen Beschreibung oder Erklärung eines konkreten Systems unbemerkt eine Aussage über eine ganze Klasse von Systemen entsteht.</w:t>
      </w:r>
    </w:p>
    <w:p w:rsidR="00135380" w:rsidRDefault="00135380" w:rsidP="00135380">
      <w:pPr>
        <w:pStyle w:val="StandardWeb"/>
      </w:pPr>
      <w:r>
        <w:t>Damit unterscheide ich ausdrücklich zwischen mathematischer Allgemeinheit und empirischer Allgemeingültigkeit. Eine mathematische Gleichung kann für sämtliche Elemente eines formal definierten Raums gelten. Ob dieser Raum jedoch einen bestimmten empirischen Gegenstandsbereich angemessen repräsentiert, ist eine zusätzliche wissenschaftliche Frage. Die formale Universalität einer mathematischen Aussage darf deshalb nicht unmittelbar als empirische Universalität interpretiert werden.</w:t>
      </w:r>
    </w:p>
    <w:p w:rsidR="00135380" w:rsidRDefault="00135380" w:rsidP="00135380">
      <w:pPr>
        <w:pStyle w:val="StandardWeb"/>
      </w:pPr>
      <w:r>
        <w:lastRenderedPageBreak/>
        <w:t>Eine zweite methodologische Konsequenz betrifft den Begriff der Ähnlichkeit. Wissenschaftliche Generalisierung wird häufig durch die Annahme begründet, zwei Situationen seien „vergleichbar“. Ohne genaue Definition bleibt dieser Begriff jedoch unscharf. Das FRZK zerlegt Vergleichbarkeit deshalb in Zustands-, Relations-, Transformations- und Randbedingungsvergleichbarkeit.</w:t>
      </w:r>
    </w:p>
    <w:p w:rsidR="00135380" w:rsidRDefault="00135380" w:rsidP="00135380">
      <w:pPr>
        <w:pStyle w:val="StandardWeb"/>
      </w:pPr>
      <w:r>
        <w:t xml:space="preserve">Noch wichtiger ist die zusätzliche Unterscheidung zwischen </w:t>
      </w:r>
      <w:r>
        <w:rPr>
          <w:rStyle w:val="Fett"/>
        </w:rPr>
        <w:t>allgemeiner Systemähnlichkeit</w:t>
      </w:r>
      <w:r>
        <w:t xml:space="preserve"> und </w:t>
      </w:r>
      <w:r>
        <w:rPr>
          <w:rStyle w:val="Fett"/>
        </w:rPr>
        <w:t>aussagebezogener Vergleichbarkeit</w:t>
      </w:r>
      <w:r>
        <w:t>. Für eine konkrete Aussage sind möglicherweise nur wenige strukturelle Eigenschaften relevant. Eine vollständige Übereinstimmung aller Systemeigenschaften wäre dann unnötig.</w:t>
      </w:r>
    </w:p>
    <w:p w:rsidR="00135380" w:rsidRDefault="00135380" w:rsidP="00135380">
      <w:pPr>
        <w:pStyle w:val="StandardWeb"/>
      </w:pPr>
      <w:r>
        <w:t>Umgekehrt kann eine sehr kleine Differenz wissenschaftlich entscheidend sein, wenn gerade diejenige Eigenschaft betroffen ist, welche die Aussage trägt.</w:t>
      </w:r>
    </w:p>
    <w:p w:rsidR="00135380" w:rsidRDefault="00135380" w:rsidP="00135380">
      <w:pPr>
        <w:pStyle w:val="StandardWeb"/>
      </w:pPr>
      <w:r>
        <w:t>Aus diesem Grund führe ich die Menge (\mathfrak{I}_{A}) der aussagerelevanten Invarianzen ein. Dadurch erhält jede Übertragungsentscheidung eine explizite Abhängigkeit von der betrachteten Aussage.</w:t>
      </w:r>
    </w:p>
    <w:p w:rsidR="00135380" w:rsidRDefault="00135380" w:rsidP="00135380">
      <w:pPr>
        <w:pStyle w:val="StandardWeb"/>
      </w:pPr>
      <w:r>
        <w:t>Eine dritte methodologische Konsequenz betrifft die funktionale Isomorphie. Sie stellt einen besonders starken Spezialfall struktureller Vergleichbarkeit dar. Die Erhaltung von Zuständen, Relationen und Transformationen ermöglicht eine mathematisch präzise Begründung funktionaler Strukturäquivalenz.</w:t>
      </w:r>
    </w:p>
    <w:p w:rsidR="00135380" w:rsidRDefault="00135380" w:rsidP="00135380">
      <w:pPr>
        <w:pStyle w:val="StandardWeb"/>
      </w:pPr>
      <w:r>
        <w:t>Dennoch bedeutet Isomorphie nicht automatisch empirische Gleichwertigkeit. Zwei formal isomorphe Modelle können unterschiedliche physikalische oder empirische Interpretationen besitzen. Deshalb bleibt auch bei struktureller Isomorphie die semantische Zuordnung der Modellbestandteile relevant.</w:t>
      </w:r>
    </w:p>
    <w:p w:rsidR="00135380" w:rsidRDefault="00135380" w:rsidP="00135380">
      <w:pPr>
        <w:pStyle w:val="StandardWeb"/>
      </w:pPr>
      <w:r>
        <w:t>Eine vierte Konsequenz ergibt sich aus dem Transportoperator. Die Übertragung einer Aussage wird im FRZK nicht als bloßes Kopieren verstanden. Stattdessen wird explizit geprüft, ob die Aussage unverändert übernommen werden kann oder ob eine Transformation notwendig ist.</w:t>
      </w:r>
    </w:p>
    <w:p w:rsidR="00135380" w:rsidRDefault="00135380" w:rsidP="00135380">
      <w:pPr>
        <w:pStyle w:val="StandardWeb"/>
      </w:pPr>
      <w:r>
        <w:t>Damit entstehen drei grundsätzlich verschiedene Fälle:</w:t>
      </w:r>
    </w:p>
    <w:p w:rsidR="00135380" w:rsidRDefault="00135380" w:rsidP="00135380">
      <w:pPr>
        <w:pStyle w:val="StandardWeb"/>
      </w:pPr>
      <w:r>
        <w:t>Direkte Übertragung, wenn keine aussagerelevante Anpassung erforderlich ist.</w:t>
      </w:r>
    </w:p>
    <w:p w:rsidR="00135380" w:rsidRDefault="00135380" w:rsidP="00135380">
      <w:pPr>
        <w:pStyle w:val="StandardWeb"/>
      </w:pPr>
      <w:r>
        <w:t>Bedingte Übertragung, wenn Kontextunterschiede durch einen begründeten Transportoperator berücksichtigt werden können.</w:t>
      </w:r>
    </w:p>
    <w:p w:rsidR="00135380" w:rsidRDefault="00135380" w:rsidP="00135380">
      <w:pPr>
        <w:pStyle w:val="StandardWeb"/>
      </w:pPr>
      <w:r>
        <w:t>Nichtübertragbarkeit, wenn wesentliche Invarianzen verletzt sind und keine wissenschaftlich begründete Korrektur möglich ist.</w:t>
      </w:r>
    </w:p>
    <w:p w:rsidR="00135380" w:rsidRDefault="00135380" w:rsidP="00135380">
      <w:pPr>
        <w:pStyle w:val="StandardWeb"/>
      </w:pPr>
      <w:r>
        <w:t>Diese Trennung verhindert, dass jede Abweichung entweder ignoriert oder unmittelbar als vollständiges Scheitern interpretiert wird.</w:t>
      </w:r>
    </w:p>
    <w:p w:rsidR="00135380" w:rsidRDefault="00135380" w:rsidP="00135380">
      <w:pPr>
        <w:pStyle w:val="StandardWeb"/>
      </w:pPr>
      <w:r>
        <w:t>Eine fünfte methodologische Konsequenz betrifft die Gültigkeitsdomäne. Wissenschaftliche Aussagen erhalten dadurch einen expliziten Bereich bestätigter Geltung. Dieser Bereich kann durch erfolgreiche Zielvalidierungen schrittweise erweitert werden.</w:t>
      </w:r>
    </w:p>
    <w:p w:rsidR="00135380" w:rsidRDefault="00135380" w:rsidP="00135380">
      <w:pPr>
        <w:pStyle w:val="StandardWeb"/>
      </w:pPr>
      <w:r>
        <w:lastRenderedPageBreak/>
        <w:t>Damit wird Generalisierung nicht als einmaliger induktiver Sprung verstanden, sondern als rekursiver wissenschaftlicher Prozess:</w:t>
      </w:r>
    </w:p>
    <w:p w:rsidR="00135380" w:rsidRDefault="00135380" w:rsidP="00135380">
      <w:pPr>
        <w:pStyle w:val="StandardWeb"/>
      </w:pPr>
      <w:r>
        <w:t>lokale Aussage,</w:t>
      </w:r>
    </w:p>
    <w:p w:rsidR="00135380" w:rsidRDefault="00135380" w:rsidP="00135380">
      <w:pPr>
        <w:pStyle w:val="StandardWeb"/>
      </w:pPr>
      <w:r>
        <w:t>Übertragungshypothese,</w:t>
      </w:r>
    </w:p>
    <w:p w:rsidR="00135380" w:rsidRDefault="00135380" w:rsidP="00135380">
      <w:pPr>
        <w:pStyle w:val="StandardWeb"/>
      </w:pPr>
      <w:r>
        <w:t>Zielprüfung,</w:t>
      </w:r>
    </w:p>
    <w:p w:rsidR="00135380" w:rsidRDefault="00135380" w:rsidP="00135380">
      <w:pPr>
        <w:pStyle w:val="StandardWeb"/>
      </w:pPr>
      <w:r>
        <w:t>Erweiterung der Gültigkeitsdomäne.</w:t>
      </w:r>
    </w:p>
    <w:p w:rsidR="00135380" w:rsidRDefault="00135380" w:rsidP="00135380">
      <w:pPr>
        <w:pStyle w:val="StandardWeb"/>
      </w:pPr>
      <w:r>
        <w:t>Eine sechste Konsequenz betrifft mehrstufige Übertragungen. Wird eine Aussage von einem System auf ein zweites und anschließend auf ein drittes übertragen, darf nicht selbstverständlich angenommen werden, dass dieselbe Aussage ebenso gut direkt vom ersten auf das dritte System transportiert werden könnte.</w:t>
      </w:r>
    </w:p>
    <w:p w:rsidR="00135380" w:rsidRDefault="00135380" w:rsidP="00135380">
      <w:pPr>
        <w:pStyle w:val="StandardWeb"/>
      </w:pPr>
      <w:r>
        <w:t>Transport kann pfadabhängig sein.</w:t>
      </w:r>
    </w:p>
    <w:p w:rsidR="00135380" w:rsidRDefault="00135380" w:rsidP="00135380">
      <w:pPr>
        <w:pStyle w:val="StandardWeb"/>
      </w:pPr>
      <w:r>
        <w:t>Diese Pfadabhängigkeit ist besonders in nichtlinearen Systemen relevant. Jede Zwischenanpassung kann Informationen verändern, aggregieren oder verlieren. Deshalb ist die Komposition von Transportoperatoren selbst Gegenstand wissenschaftlicher Prüfung.</w:t>
      </w:r>
    </w:p>
    <w:p w:rsidR="00135380" w:rsidRDefault="00135380" w:rsidP="00135380">
      <w:pPr>
        <w:pStyle w:val="StandardWeb"/>
      </w:pPr>
      <w:r>
        <w:t>Eine siebte Konsequenz betrifft die Reversibilität. Eine erfolgreiche Übertragung von System (S) nach System (Z) bedeutet nicht automatisch, dass die Aussage ebenso von (Z) nach (S) zurückübertragen werden kann. Wenn beim Transport Informationen verloren gehen, existiert möglicherweise kein inverser Operator.</w:t>
      </w:r>
    </w:p>
    <w:p w:rsidR="00135380" w:rsidRDefault="00135380" w:rsidP="00135380">
      <w:pPr>
        <w:pStyle w:val="StandardWeb"/>
      </w:pPr>
      <w:r>
        <w:t>Damit wird Übertragbarkeit grundsätzlich als gerichteter Vorgang behandelt.</w:t>
      </w:r>
    </w:p>
    <w:p w:rsidR="00135380" w:rsidRDefault="00135380" w:rsidP="00135380">
      <w:pPr>
        <w:pStyle w:val="StandardWeb"/>
      </w:pPr>
      <w:r>
        <w:t>Eine achte Konsequenz betrifft die Unsicherheit. Generalisierung erzeugt zusätzliche epistemische Unsicherheit. Diese darf nicht unsichtbar bleiben. Eine transportierte Aussage sollte deshalb grundsätzlich mit einer Transportunsicherheit versehen werden.</w:t>
      </w:r>
    </w:p>
    <w:p w:rsidR="00135380" w:rsidRDefault="00135380" w:rsidP="00135380">
      <w:pPr>
        <w:pStyle w:val="StandardWeb"/>
      </w:pPr>
      <w:r>
        <w:t>Insbesondere gilt: Eine Aussage darf durch bloße Übertragung nicht scheinbar präziser werden. Wenn im Zielkontext keine zusätzlichen Informationen vorliegen, muss die zusätzliche Unsicherheit zumindest berücksichtigt werden.</w:t>
      </w:r>
    </w:p>
    <w:p w:rsidR="00135380" w:rsidRDefault="00135380" w:rsidP="00135380">
      <w:pPr>
        <w:pStyle w:val="StandardWeb"/>
      </w:pPr>
      <w:r>
        <w:t>Eine neunte Konsequenz betrifft die empirische Revalidierung. Strukturelle Begründung und empirische Zielprüfung sind voneinander zu unterscheiden. Eine Aussage kann theoretisch gut transportierbar erscheinen und im Zielsystem dennoch scheitern. Die Zielvalidierung besitzt deshalb eine stärkere Evidenzstufe als eine allein strukturell begründete Übertragung.</w:t>
      </w:r>
    </w:p>
    <w:p w:rsidR="00135380" w:rsidRDefault="00135380" w:rsidP="00135380">
      <w:pPr>
        <w:pStyle w:val="StandardWeb"/>
      </w:pPr>
      <w:r>
        <w:t>Eine zehnte Konsequenz betrifft verschiedene Aussagearten. Deskriptive, prognostische, erklärende und kausale Aussagen besitzen unterschiedliche Anforderungen an ihre Übertragbarkeit.</w:t>
      </w:r>
    </w:p>
    <w:p w:rsidR="00135380" w:rsidRDefault="00135380" w:rsidP="00135380">
      <w:pPr>
        <w:pStyle w:val="StandardWeb"/>
      </w:pPr>
      <w:r>
        <w:t>Besonders streng sind kausale Aussagen. Ihre Übertragung setzt nicht nur funktionale Ähnlichkeit voraus, sondern auch die Erhaltung kausal relevanter Strukturen wie Confounder, Mediatoren, Interferenzbedingungen und Interventionsdefinitionen.</w:t>
      </w:r>
    </w:p>
    <w:p w:rsidR="00135380" w:rsidRDefault="00135380" w:rsidP="00135380">
      <w:pPr>
        <w:pStyle w:val="StandardWeb"/>
      </w:pPr>
      <w:r>
        <w:t>Daraus folgt eine methodische Hierarchie:</w:t>
      </w:r>
    </w:p>
    <w:p w:rsidR="00135380" w:rsidRDefault="00135380" w:rsidP="00135380">
      <w:pPr>
        <w:pStyle w:val="StandardWeb"/>
      </w:pPr>
      <w:r>
        <w:lastRenderedPageBreak/>
        <w:t>Die Übertragbarkeit einer deskriptiven Aussage impliziert nicht die Übertragbarkeit ihrer Erklärung.</w:t>
      </w:r>
    </w:p>
    <w:p w:rsidR="00135380" w:rsidRDefault="00135380" w:rsidP="00135380">
      <w:pPr>
        <w:pStyle w:val="StandardWeb"/>
      </w:pPr>
      <w:r>
        <w:t>Die Übertragbarkeit einer Erklärung impliziert nicht die Übertragbarkeit einer Prognose.</w:t>
      </w:r>
    </w:p>
    <w:p w:rsidR="00135380" w:rsidRDefault="00135380" w:rsidP="00135380">
      <w:pPr>
        <w:pStyle w:val="StandardWeb"/>
      </w:pPr>
      <w:r>
        <w:t>Die Übertragbarkeit einer Prognose impliziert nicht die Übertragbarkeit einer kausalen Interpretation.</w:t>
      </w:r>
    </w:p>
    <w:p w:rsidR="00135380" w:rsidRDefault="00135380" w:rsidP="00135380">
      <w:pPr>
        <w:pStyle w:val="StandardWeb"/>
      </w:pPr>
      <w:r>
        <w:t>Jede Ebene benötigt ihre eigene Prüfung.</w:t>
      </w:r>
    </w:p>
    <w:p w:rsidR="00135380" w:rsidRDefault="00135380" w:rsidP="00135380">
      <w:pPr>
        <w:pStyle w:val="StandardWeb"/>
      </w:pPr>
      <w:r>
        <w:t>Eine elfte Konsequenz betrifft FRZK-spezifische Systemgrößen. Kohärenz, Drift und Kipppunkte dürfen nicht ausschließlich numerisch übertragen werden. Gerade hier kann die funktionale Struktur wichtiger sein als absolute Werte.</w:t>
      </w:r>
    </w:p>
    <w:p w:rsidR="00135380" w:rsidRDefault="00135380" w:rsidP="00135380">
      <w:pPr>
        <w:pStyle w:val="StandardWeb"/>
      </w:pPr>
      <w:r>
        <w:t>Ein Kohärenzwert von beispielsweise (0{,}8) besitzt ohne Kenntnis der Operationalisierung, Skalierung und Systemstruktur keine universelle Bedeutung. Dagegen kann die relationale Aussage, dass eine bestimmte Systemänderung die Kohärenz erhöht, möglicherweise auch zwischen numerisch verschiedenen Systemen erhalten bleiben.</w:t>
      </w:r>
    </w:p>
    <w:p w:rsidR="00135380" w:rsidRDefault="00135380" w:rsidP="00135380">
      <w:pPr>
        <w:pStyle w:val="StandardWeb"/>
      </w:pPr>
      <w:r>
        <w:t>Diese Unterscheidung zwischen numerischer und funktionaler Übertragbarkeit ist für das FRZK grundlegend.</w:t>
      </w:r>
    </w:p>
    <w:p w:rsidR="00135380" w:rsidRDefault="00135380" w:rsidP="00135380">
      <w:pPr>
        <w:pStyle w:val="StandardWeb"/>
      </w:pPr>
      <w:r>
        <w:t>Eine zwölfte Konsequenz betrifft die Eigenleistung der Theorie. Das FRZK behauptet nicht, eine allgemeine Theorie wissenschaftlicher Generalisierung neu zu erfinden. Die Eigenleistung besteht vielmehr darin, die Übertragbarkeit systematisch in dieselbe formale Architektur einzuordnen, die bereits Zustände, Relationen, Transformationen, Unsicherheit, Prognose, Erklärung und Kausalität umfasst.</w:t>
      </w:r>
    </w:p>
    <w:p w:rsidR="00135380" w:rsidRDefault="00135380" w:rsidP="00135380">
      <w:pPr>
        <w:pStyle w:val="StandardWeb"/>
      </w:pPr>
      <w:r>
        <w:t>Damit entsteht eine konsistente Prüfkette:</w:t>
      </w:r>
    </w:p>
    <w:p w:rsidR="00135380" w:rsidRDefault="00135380" w:rsidP="00135380">
      <w:pPr>
        <w:pStyle w:val="StandardWeb"/>
      </w:pPr>
      <w:r>
        <w:t>[</w:t>
      </w:r>
      <w:r>
        <w:br/>
        <w:t>\text{Aussage}</w:t>
      </w:r>
      <w:r>
        <w:br/>
        <w:t>\rightarrow</w:t>
      </w:r>
      <w:r>
        <w:br/>
        <w:t>\text{lokaler Kontext}</w:t>
      </w:r>
      <w:r>
        <w:br/>
        <w:t>\rightarrow</w:t>
      </w:r>
      <w:r>
        <w:br/>
        <w:t>\text{relevante Invarianzen}</w:t>
      </w:r>
      <w:r>
        <w:br/>
        <w:t>\rightarrow</w:t>
      </w:r>
      <w:r>
        <w:br/>
        <w:t>\text{Kontextvergleich}</w:t>
      </w:r>
      <w:r>
        <w:br/>
        <w:t>\rightarrow</w:t>
      </w:r>
      <w:r>
        <w:br/>
        <w:t>\text{Transportoperator}</w:t>
      </w:r>
      <w:r>
        <w:br/>
        <w:t>\rightarrow</w:t>
      </w:r>
      <w:r>
        <w:br/>
        <w:t>\text{Transportunsicherheit}</w:t>
      </w:r>
      <w:r>
        <w:br/>
        <w:t>\rightarrow</w:t>
      </w:r>
      <w:r>
        <w:br/>
        <w:t>\text{Zielvalidierung}.</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\text{Aussage}\rightarrow\text{lokaler Kontext}\rightarrow\text{relevante Invarianzen}\rightarrow\text{Kontextvergleich}\rightarrow\text{Transportoperator}\rightarrow\text{Transportunsicherheit}\rightarrow\text{Zielvalidierung}</w:t>
      </w:r>
    </w:p>
    <w:p w:rsidR="00135380" w:rsidRDefault="00135380" w:rsidP="00135380">
      <w:pPr>
        <w:pStyle w:val="StandardWeb"/>
      </w:pPr>
      <w:r>
        <w:lastRenderedPageBreak/>
        <w:t>Die wichtigste methodologische Regel dieses Abschnitts lautet deshalb:</w:t>
      </w:r>
    </w:p>
    <w:p w:rsidR="00135380" w:rsidRDefault="00135380" w:rsidP="00135380">
      <w:pPr>
        <w:pStyle w:val="StandardWeb"/>
      </w:pPr>
      <w:r>
        <w:rPr>
          <w:rStyle w:val="Fett"/>
        </w:rPr>
        <w:t>Eine wissenschaftliche Aussage gilt im FRZK zunächst nur dort, wo ihre Gültigkeit tatsächlich begründet wurde. Jede Erweiterung ihres Geltungsbereichs ist ein neuer wissenschaftlicher Schritt.</w:t>
      </w:r>
    </w:p>
    <w:p w:rsidR="00135380" w:rsidRDefault="00E50336" w:rsidP="00135380">
      <w:r>
        <w:pict>
          <v:rect id="_x0000_i1139" style="width:0;height:1.5pt" o:hralign="center" o:hrstd="t" o:hr="t" fillcolor="#a0a0a0" stroked="f"/>
        </w:pict>
      </w:r>
    </w:p>
    <w:p w:rsidR="00135380" w:rsidRDefault="00135380" w:rsidP="00135380">
      <w:pPr>
        <w:pStyle w:val="berschrift1"/>
      </w:pPr>
      <w:r>
        <w:t>3.3.38.45 Didaktische Betrachtungen</w:t>
      </w:r>
    </w:p>
    <w:p w:rsidR="00135380" w:rsidRDefault="00135380" w:rsidP="00135380">
      <w:pPr>
        <w:pStyle w:val="StandardWeb"/>
      </w:pPr>
      <w:r>
        <w:t>Die Übertragbarkeit wissenschaftlicher Aussagen lässt sich besonders anschaulich an technischen Beispielen erklären.</w:t>
      </w:r>
    </w:p>
    <w:p w:rsidR="00135380" w:rsidRDefault="00135380" w:rsidP="00135380">
      <w:pPr>
        <w:pStyle w:val="StandardWeb"/>
      </w:pPr>
      <w:r>
        <w:t>Angenommen, ein Motor wurde auf einem Prüfstand untersucht. Bei einer bestimmten Drehzahl zeigt er einen bestimmten Wirkungsgrad.</w:t>
      </w:r>
    </w:p>
    <w:p w:rsidR="00135380" w:rsidRDefault="00135380" w:rsidP="00135380">
      <w:pPr>
        <w:pStyle w:val="StandardWeb"/>
      </w:pPr>
      <w:r>
        <w:t>Die Aussage</w:t>
      </w:r>
    </w:p>
    <w:p w:rsidR="00135380" w:rsidRDefault="00135380" w:rsidP="00135380">
      <w:pPr>
        <w:pStyle w:val="StandardWeb"/>
      </w:pPr>
      <w:r>
        <w:rPr>
          <w:rStyle w:val="Fett"/>
        </w:rPr>
        <w:t>„Dieser Motor besitzt bei dieser Drehzahl unter diesen Bedingungen einen Wirkungsgrad von (x).“</w:t>
      </w:r>
    </w:p>
    <w:p w:rsidR="00135380" w:rsidRDefault="00135380" w:rsidP="00135380">
      <w:pPr>
        <w:pStyle w:val="StandardWeb"/>
      </w:pPr>
      <w:r>
        <w:t>ist zunächst lokal.</w:t>
      </w:r>
    </w:p>
    <w:p w:rsidR="00135380" w:rsidRDefault="00135380" w:rsidP="00135380">
      <w:pPr>
        <w:pStyle w:val="StandardWeb"/>
      </w:pPr>
      <w:r>
        <w:t>Wird ein baugleicher Motor unter denselben Bedingungen untersucht, erscheint eine Übertragung plausibel.</w:t>
      </w:r>
    </w:p>
    <w:p w:rsidR="00135380" w:rsidRDefault="00135380" w:rsidP="00135380">
      <w:pPr>
        <w:pStyle w:val="StandardWeb"/>
      </w:pPr>
      <w:r>
        <w:t>Wird jedoch ein anderer Motor verwendet, muss geprüft werden, welche Eigenschaften tatsächlich vergleichbar sind.</w:t>
      </w:r>
    </w:p>
    <w:p w:rsidR="00135380" w:rsidRDefault="00135380" w:rsidP="00135380">
      <w:pPr>
        <w:pStyle w:val="StandardWeb"/>
      </w:pPr>
      <w:r>
        <w:t>Genau deshalb unterscheidet das FRZK zwischen Gesamtsystem und aussagerelevanter Struktur.</w:t>
      </w:r>
    </w:p>
    <w:p w:rsidR="00135380" w:rsidRDefault="00135380" w:rsidP="00135380">
      <w:pPr>
        <w:pStyle w:val="StandardWeb"/>
      </w:pPr>
      <w:r>
        <w:t>Ein zweites Beispiel liefert ein Rezept.</w:t>
      </w:r>
    </w:p>
    <w:p w:rsidR="00135380" w:rsidRDefault="00135380" w:rsidP="00135380">
      <w:pPr>
        <w:pStyle w:val="StandardWeb"/>
      </w:pPr>
      <w:r>
        <w:t>Ein Kuchenrezept funktioniert bei einer bestimmten Mehlmenge, Backtemperatur, Formgröße und Backzeit.</w:t>
      </w:r>
    </w:p>
    <w:p w:rsidR="00135380" w:rsidRDefault="00135380" w:rsidP="00135380">
      <w:pPr>
        <w:pStyle w:val="StandardWeb"/>
      </w:pPr>
      <w:r>
        <w:t>Ändert man lediglich die Farbe der Kuchenform, wird das Ergebnis vermutlich kaum beeinflusst.</w:t>
      </w:r>
    </w:p>
    <w:p w:rsidR="00135380" w:rsidRDefault="00135380" w:rsidP="00135380">
      <w:pPr>
        <w:pStyle w:val="StandardWeb"/>
      </w:pPr>
      <w:r>
        <w:t>Ändert man dagegen die Backtemperatur erheblich, kann das Ergebnis völlig anders werden.</w:t>
      </w:r>
    </w:p>
    <w:p w:rsidR="00135380" w:rsidRDefault="00135380" w:rsidP="00135380">
      <w:pPr>
        <w:pStyle w:val="StandardWeb"/>
      </w:pPr>
      <w:r>
        <w:t>Beide Veränderungen sind Unterschiede zwischen zwei Kontexten.</w:t>
      </w:r>
    </w:p>
    <w:p w:rsidR="00135380" w:rsidRDefault="00135380" w:rsidP="00135380">
      <w:pPr>
        <w:pStyle w:val="StandardWeb"/>
      </w:pPr>
      <w:r>
        <w:t>Aber nur eine davon ist für die betrachtete Aussage besonders relevant.</w:t>
      </w:r>
    </w:p>
    <w:p w:rsidR="00135380" w:rsidRDefault="00135380" w:rsidP="00135380">
      <w:pPr>
        <w:pStyle w:val="StandardWeb"/>
      </w:pPr>
      <w:r>
        <w:t>Genau diese Unterscheidung beschreibt</w:t>
      </w:r>
    </w:p>
    <w:p w:rsidR="00135380" w:rsidRDefault="00135380" w:rsidP="00135380">
      <w:pPr>
        <w:pStyle w:val="StandardWeb"/>
      </w:pPr>
      <w:r>
        <w:t>[</w:t>
      </w:r>
      <w:r>
        <w:br/>
        <w:t>\Delta\mathcal{C}</w:t>
      </w:r>
      <w:r>
        <w:br/>
        <w:t>]</w:t>
      </w:r>
    </w:p>
    <w:p w:rsidR="00135380" w:rsidRDefault="00135380" w:rsidP="00135380">
      <w:pPr>
        <w:pStyle w:val="StandardWeb"/>
      </w:pPr>
      <w:r>
        <w:lastRenderedPageBreak/>
        <w:t>gegenüber</w:t>
      </w:r>
    </w:p>
    <w:p w:rsidR="00135380" w:rsidRDefault="00135380" w:rsidP="00135380">
      <w:pPr>
        <w:pStyle w:val="StandardWeb"/>
      </w:pPr>
      <w:r>
        <w:t>[</w:t>
      </w:r>
      <w:r>
        <w:br/>
        <w:t>\Delta\mathcal{C}_{A}.</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\Delta\mathcal{C}\qquad\text{gegenüber}\qquad\Delta\mathcal{C}_{A}</w:t>
      </w:r>
    </w:p>
    <w:p w:rsidR="00135380" w:rsidRDefault="00135380" w:rsidP="00135380">
      <w:pPr>
        <w:pStyle w:val="StandardWeb"/>
      </w:pPr>
      <w:r>
        <w:t>Nicht jeder Unterschied ist für jede Aussage wichtig.</w:t>
      </w:r>
    </w:p>
    <w:p w:rsidR="00135380" w:rsidRDefault="00135380" w:rsidP="00135380">
      <w:pPr>
        <w:pStyle w:val="StandardWeb"/>
      </w:pPr>
      <w:r>
        <w:t>Ein drittes Beispiel betrifft Größenänderungen.</w:t>
      </w:r>
    </w:p>
    <w:p w:rsidR="00135380" w:rsidRDefault="00135380" w:rsidP="00135380">
      <w:pPr>
        <w:pStyle w:val="StandardWeb"/>
      </w:pPr>
      <w:r>
        <w:t>Angenommen, ein mechanisches Modell wird zunächst an einem kleinen Versuchsaufbau untersucht und später auf eine größere Anlage übertragen.</w:t>
      </w:r>
    </w:p>
    <w:p w:rsidR="00135380" w:rsidRDefault="00135380" w:rsidP="00135380">
      <w:pPr>
        <w:pStyle w:val="StandardWeb"/>
      </w:pPr>
      <w:r>
        <w:t>Die Zahlenwerte können sich dabei vollständig verändern.</w:t>
      </w:r>
    </w:p>
    <w:p w:rsidR="00135380" w:rsidRDefault="00135380" w:rsidP="00135380">
      <w:pPr>
        <w:pStyle w:val="StandardWeb"/>
      </w:pPr>
      <w:r>
        <w:t>Trotzdem können die funktionalen Beziehungen gleich bleiben.</w:t>
      </w:r>
    </w:p>
    <w:p w:rsidR="00135380" w:rsidRDefault="00135380" w:rsidP="00135380">
      <w:pPr>
        <w:pStyle w:val="StandardWeb"/>
      </w:pPr>
      <w:r>
        <w:t>Dies erklärt, weshalb das FRZK numerische Gleichheit nicht mit funktionaler Vergleichbarkeit gleichsetzt.</w:t>
      </w:r>
    </w:p>
    <w:p w:rsidR="00135380" w:rsidRDefault="00135380" w:rsidP="00135380">
      <w:pPr>
        <w:pStyle w:val="StandardWeb"/>
      </w:pPr>
      <w:r>
        <w:t>Besonders hilfreich ist hier der Begriff der Isomorphie.</w:t>
      </w:r>
    </w:p>
    <w:p w:rsidR="00135380" w:rsidRDefault="00135380" w:rsidP="00135380">
      <w:pPr>
        <w:pStyle w:val="StandardWeb"/>
      </w:pPr>
      <w:r>
        <w:t>Man kann sich zwei unterschiedliche Stadtpläne vorstellen, die dieselbe Straßenstruktur besitzen, obwohl ihre tatsächlichen Entfernungen verschieden sind.</w:t>
      </w:r>
    </w:p>
    <w:p w:rsidR="00135380" w:rsidRDefault="00135380" w:rsidP="00135380">
      <w:pPr>
        <w:pStyle w:val="StandardWeb"/>
      </w:pPr>
      <w:r>
        <w:t>Wenn die Frage lautet:</w:t>
      </w:r>
    </w:p>
    <w:p w:rsidR="00135380" w:rsidRDefault="00135380" w:rsidP="00135380">
      <w:pPr>
        <w:pStyle w:val="StandardWeb"/>
      </w:pPr>
      <w:r>
        <w:rPr>
          <w:rStyle w:val="Fett"/>
        </w:rPr>
        <w:t>„Welche Straße verbindet A mit B?“</w:t>
      </w:r>
    </w:p>
    <w:p w:rsidR="00135380" w:rsidRDefault="00135380" w:rsidP="00135380">
      <w:pPr>
        <w:pStyle w:val="StandardWeb"/>
      </w:pPr>
      <w:r>
        <w:t>kann dieselbe strukturelle Aussage in beiden Plänen gelten.</w:t>
      </w:r>
    </w:p>
    <w:p w:rsidR="00135380" w:rsidRDefault="00135380" w:rsidP="00135380">
      <w:pPr>
        <w:pStyle w:val="StandardWeb"/>
      </w:pPr>
      <w:r>
        <w:t>Wenn die Frage dagegen lautet:</w:t>
      </w:r>
    </w:p>
    <w:p w:rsidR="00135380" w:rsidRDefault="00135380" w:rsidP="00135380">
      <w:pPr>
        <w:pStyle w:val="StandardWeb"/>
      </w:pPr>
      <w:r>
        <w:rPr>
          <w:rStyle w:val="Fett"/>
        </w:rPr>
        <w:t>„Wie viele Kilometer beträgt die Strecke?“</w:t>
      </w:r>
    </w:p>
    <w:p w:rsidR="00135380" w:rsidRDefault="00135380" w:rsidP="00135380">
      <w:pPr>
        <w:pStyle w:val="StandardWeb"/>
      </w:pPr>
      <w:r>
        <w:t>ist die numerische Übertragung möglicherweise nicht zulässig.</w:t>
      </w:r>
    </w:p>
    <w:p w:rsidR="00135380" w:rsidRDefault="00135380" w:rsidP="00135380">
      <w:pPr>
        <w:pStyle w:val="StandardWeb"/>
      </w:pPr>
      <w:r>
        <w:t>Damit wird deutlich, dass Übertragbarkeit immer von der konkreten Aussage abhängt.</w:t>
      </w:r>
    </w:p>
    <w:p w:rsidR="00135380" w:rsidRDefault="00135380" w:rsidP="00135380">
      <w:pPr>
        <w:pStyle w:val="StandardWeb"/>
      </w:pPr>
      <w:r>
        <w:t>Auch der Transportoperator lässt sich einfach verstehen.</w:t>
      </w:r>
    </w:p>
    <w:p w:rsidR="00135380" w:rsidRDefault="00135380" w:rsidP="00135380">
      <w:pPr>
        <w:pStyle w:val="StandardWeb"/>
      </w:pPr>
      <w:r>
        <w:t>Angenommen, Temperaturen werden aus Grad Celsius in Fahrenheit übertragen.</w:t>
      </w:r>
    </w:p>
    <w:p w:rsidR="00135380" w:rsidRDefault="00135380" w:rsidP="00135380">
      <w:pPr>
        <w:pStyle w:val="StandardWeb"/>
      </w:pPr>
      <w:r>
        <w:t>Die Aussage</w:t>
      </w:r>
    </w:p>
    <w:p w:rsidR="00135380" w:rsidRDefault="00135380" w:rsidP="00135380">
      <w:pPr>
        <w:pStyle w:val="StandardWeb"/>
      </w:pPr>
      <w:r>
        <w:lastRenderedPageBreak/>
        <w:t>[</w:t>
      </w:r>
      <w:r>
        <w:br/>
        <w:t>T_C=20</w:t>
      </w:r>
      <w:r>
        <w:br/>
        <w:t>]</w:t>
      </w:r>
    </w:p>
    <w:p w:rsidR="00135380" w:rsidRDefault="00135380" w:rsidP="00135380">
      <w:pPr>
        <w:pStyle w:val="StandardWeb"/>
      </w:pPr>
      <w:r>
        <w:t>kann nicht einfach numerisch als</w:t>
      </w:r>
    </w:p>
    <w:p w:rsidR="00135380" w:rsidRDefault="00135380" w:rsidP="00135380">
      <w:pPr>
        <w:pStyle w:val="StandardWeb"/>
      </w:pPr>
      <w:r>
        <w:t>[</w:t>
      </w:r>
      <w:r>
        <w:br/>
        <w:t>T_F=20</w:t>
      </w:r>
      <w:r>
        <w:br/>
        <w:t>]</w:t>
      </w:r>
    </w:p>
    <w:p w:rsidR="00135380" w:rsidRDefault="00135380" w:rsidP="00135380">
      <w:pPr>
        <w:pStyle w:val="StandardWeb"/>
      </w:pPr>
      <w:r>
        <w:t>kopiert werden.</w:t>
      </w:r>
    </w:p>
    <w:p w:rsidR="00135380" w:rsidRDefault="00135380" w:rsidP="00135380">
      <w:pPr>
        <w:pStyle w:val="StandardWeb"/>
      </w:pPr>
      <w:r>
        <w:t>Stattdessen benötigt man eine Transformation.</w:t>
      </w:r>
    </w:p>
    <w:p w:rsidR="00135380" w:rsidRDefault="00135380" w:rsidP="00135380">
      <w:pPr>
        <w:pStyle w:val="StandardWeb"/>
      </w:pPr>
      <w:r>
        <w:t>Dies ist ein einfaches Beispiel dafür, dass eine Aussage übertragbar sein kann, obwohl ihre konkrete numerische Form verändert werden muss.</w:t>
      </w:r>
    </w:p>
    <w:p w:rsidR="00135380" w:rsidRDefault="00135380" w:rsidP="00135380">
      <w:pPr>
        <w:pStyle w:val="StandardWeb"/>
      </w:pPr>
      <w:r>
        <w:t>Im FRZK ist dieser Gedanke wesentlich allgemeiner.</w:t>
      </w:r>
    </w:p>
    <w:p w:rsidR="00135380" w:rsidRDefault="00135380" w:rsidP="00135380">
      <w:pPr>
        <w:pStyle w:val="StandardWeb"/>
      </w:pPr>
      <w:r>
        <w:t>Ein Transportoperator kann nicht nur Einheiten umrechnen, sondern beispielsweise unterschiedliche Skalen, Zustandsräume oder funktionale Parameter berücksichtigen.</w:t>
      </w:r>
    </w:p>
    <w:p w:rsidR="00135380" w:rsidRDefault="00135380" w:rsidP="00135380">
      <w:pPr>
        <w:pStyle w:val="StandardWeb"/>
      </w:pPr>
      <w:r>
        <w:t>Didaktisch besonders wichtig ist der Begriff der Gültigkeitsdomäne.</w:t>
      </w:r>
    </w:p>
    <w:p w:rsidR="00135380" w:rsidRDefault="00135380" w:rsidP="00135380">
      <w:pPr>
        <w:pStyle w:val="StandardWeb"/>
      </w:pPr>
      <w:r>
        <w:t>Eine wissenschaftliche Aussage sollte man sich nicht als Satz vorstellen, der entweder „überall wahr“ oder „falsch“ ist.</w:t>
      </w:r>
    </w:p>
    <w:p w:rsidR="00135380" w:rsidRDefault="00135380" w:rsidP="00135380">
      <w:pPr>
        <w:pStyle w:val="StandardWeb"/>
      </w:pPr>
      <w:r>
        <w:t>Sinnvoller ist die Frage:</w:t>
      </w:r>
    </w:p>
    <w:p w:rsidR="00135380" w:rsidRDefault="00135380" w:rsidP="00135380">
      <w:pPr>
        <w:pStyle w:val="StandardWeb"/>
      </w:pPr>
      <w:r>
        <w:rPr>
          <w:rStyle w:val="Fett"/>
        </w:rPr>
        <w:t>„Für welche Situationen wurde diese Aussage tatsächlich geprüft?“</w:t>
      </w:r>
    </w:p>
    <w:p w:rsidR="00135380" w:rsidRDefault="00135380" w:rsidP="00135380">
      <w:pPr>
        <w:pStyle w:val="StandardWeb"/>
      </w:pPr>
      <w:r>
        <w:t>Diese Situationen bilden ihre bisher bekannte Gültigkeitsdomäne.</w:t>
      </w:r>
    </w:p>
    <w:p w:rsidR="00135380" w:rsidRDefault="00135380" w:rsidP="00135380">
      <w:pPr>
        <w:pStyle w:val="StandardWeb"/>
      </w:pPr>
      <w:r>
        <w:t>Neue Untersuchungen können diese Domäne erweitern.</w:t>
      </w:r>
    </w:p>
    <w:p w:rsidR="00135380" w:rsidRDefault="00135380" w:rsidP="00135380">
      <w:pPr>
        <w:pStyle w:val="StandardWeb"/>
      </w:pPr>
      <w:r>
        <w:t>Damit wird Wissenschaft als schrittweiser Lernprozess sichtbar.</w:t>
      </w:r>
    </w:p>
    <w:p w:rsidR="00135380" w:rsidRDefault="00135380" w:rsidP="00135380">
      <w:pPr>
        <w:pStyle w:val="StandardWeb"/>
      </w:pPr>
      <w:r>
        <w:t>Ein weiteres einfaches Beispiel stammt aus der Medizin.</w:t>
      </w:r>
    </w:p>
    <w:p w:rsidR="00135380" w:rsidRDefault="00135380" w:rsidP="00135380">
      <w:pPr>
        <w:pStyle w:val="StandardWeb"/>
      </w:pPr>
      <w:r>
        <w:t>Ein Medikament kann in einer bestimmten Patientengruppe wirksam sein.</w:t>
      </w:r>
    </w:p>
    <w:p w:rsidR="00135380" w:rsidRDefault="00135380" w:rsidP="00135380">
      <w:pPr>
        <w:pStyle w:val="StandardWeb"/>
      </w:pPr>
      <w:r>
        <w:t>Daraus folgt nicht automatisch dieselbe Wirkung bei</w:t>
      </w:r>
    </w:p>
    <w:p w:rsidR="00135380" w:rsidRDefault="00135380" w:rsidP="008C5E65">
      <w:pPr>
        <w:pStyle w:val="StandardWeb"/>
        <w:numPr>
          <w:ilvl w:val="0"/>
          <w:numId w:val="294"/>
        </w:numPr>
      </w:pPr>
      <w:r>
        <w:t>Kindern,</w:t>
      </w:r>
    </w:p>
    <w:p w:rsidR="00135380" w:rsidRDefault="00135380" w:rsidP="008C5E65">
      <w:pPr>
        <w:pStyle w:val="StandardWeb"/>
        <w:numPr>
          <w:ilvl w:val="0"/>
          <w:numId w:val="294"/>
        </w:numPr>
      </w:pPr>
      <w:r>
        <w:t>älteren Menschen,</w:t>
      </w:r>
    </w:p>
    <w:p w:rsidR="00135380" w:rsidRDefault="00135380" w:rsidP="008C5E65">
      <w:pPr>
        <w:pStyle w:val="StandardWeb"/>
        <w:numPr>
          <w:ilvl w:val="0"/>
          <w:numId w:val="294"/>
        </w:numPr>
      </w:pPr>
      <w:r>
        <w:t>Patienten mit anderen Begleiterkrankungen,</w:t>
      </w:r>
    </w:p>
    <w:p w:rsidR="00135380" w:rsidRDefault="00135380" w:rsidP="008C5E65">
      <w:pPr>
        <w:pStyle w:val="StandardWeb"/>
        <w:numPr>
          <w:ilvl w:val="0"/>
          <w:numId w:val="294"/>
        </w:numPr>
      </w:pPr>
      <w:r>
        <w:t>anderen Dosierungen.</w:t>
      </w:r>
    </w:p>
    <w:p w:rsidR="00135380" w:rsidRDefault="00135380" w:rsidP="00135380">
      <w:pPr>
        <w:pStyle w:val="StandardWeb"/>
      </w:pPr>
      <w:r>
        <w:t>Die ursprüngliche Aussage muss also auf ihren Zielkontext geprüft werden.</w:t>
      </w:r>
    </w:p>
    <w:p w:rsidR="00135380" w:rsidRDefault="00135380" w:rsidP="00135380">
      <w:pPr>
        <w:pStyle w:val="StandardWeb"/>
      </w:pPr>
      <w:r>
        <w:t>Dasselbe gilt für technische, biologische, soziale oder pädagogische Systeme.</w:t>
      </w:r>
    </w:p>
    <w:p w:rsidR="00135380" w:rsidRDefault="00135380" w:rsidP="00135380">
      <w:pPr>
        <w:pStyle w:val="StandardWeb"/>
      </w:pPr>
      <w:r>
        <w:lastRenderedPageBreak/>
        <w:t>Gerade bei Lerngruppen wird dieser Punkt unmittelbar verständlich.</w:t>
      </w:r>
    </w:p>
    <w:p w:rsidR="00135380" w:rsidRDefault="00135380" w:rsidP="00135380">
      <w:pPr>
        <w:pStyle w:val="StandardWeb"/>
      </w:pPr>
      <w:r>
        <w:t>Eine Unterrichtsmethode kann in einer bestimmten Gruppe sehr gut funktionieren.</w:t>
      </w:r>
    </w:p>
    <w:p w:rsidR="00135380" w:rsidRDefault="00135380" w:rsidP="00135380">
      <w:pPr>
        <w:pStyle w:val="StandardWeb"/>
      </w:pPr>
      <w:r>
        <w:t>Daraus folgt nicht, dass sie in jeder anderen Gruppe genauso funktioniert.</w:t>
      </w:r>
    </w:p>
    <w:p w:rsidR="00135380" w:rsidRDefault="00135380" w:rsidP="00135380">
      <w:pPr>
        <w:pStyle w:val="StandardWeb"/>
      </w:pPr>
      <w:r>
        <w:t>Unterschiede können beispielsweise bestehen hinsichtlich</w:t>
      </w:r>
    </w:p>
    <w:p w:rsidR="00135380" w:rsidRDefault="00135380" w:rsidP="008C5E65">
      <w:pPr>
        <w:pStyle w:val="StandardWeb"/>
        <w:numPr>
          <w:ilvl w:val="0"/>
          <w:numId w:val="295"/>
        </w:numPr>
      </w:pPr>
      <w:r>
        <w:t>Vorwissen,</w:t>
      </w:r>
    </w:p>
    <w:p w:rsidR="00135380" w:rsidRDefault="00135380" w:rsidP="008C5E65">
      <w:pPr>
        <w:pStyle w:val="StandardWeb"/>
        <w:numPr>
          <w:ilvl w:val="0"/>
          <w:numId w:val="295"/>
        </w:numPr>
      </w:pPr>
      <w:r>
        <w:t>Gruppengröße,</w:t>
      </w:r>
    </w:p>
    <w:p w:rsidR="00135380" w:rsidRDefault="00135380" w:rsidP="008C5E65">
      <w:pPr>
        <w:pStyle w:val="StandardWeb"/>
        <w:numPr>
          <w:ilvl w:val="0"/>
          <w:numId w:val="295"/>
        </w:numPr>
      </w:pPr>
      <w:r>
        <w:t>Motivation,</w:t>
      </w:r>
    </w:p>
    <w:p w:rsidR="00135380" w:rsidRDefault="00135380" w:rsidP="008C5E65">
      <w:pPr>
        <w:pStyle w:val="StandardWeb"/>
        <w:numPr>
          <w:ilvl w:val="0"/>
          <w:numId w:val="295"/>
        </w:numPr>
      </w:pPr>
      <w:r>
        <w:t>Lernziel,</w:t>
      </w:r>
    </w:p>
    <w:p w:rsidR="00135380" w:rsidRDefault="00135380" w:rsidP="008C5E65">
      <w:pPr>
        <w:pStyle w:val="StandardWeb"/>
        <w:numPr>
          <w:ilvl w:val="0"/>
          <w:numId w:val="295"/>
        </w:numPr>
      </w:pPr>
      <w:r>
        <w:t>zeitlicher Struktur,</w:t>
      </w:r>
    </w:p>
    <w:p w:rsidR="00135380" w:rsidRDefault="00135380" w:rsidP="008C5E65">
      <w:pPr>
        <w:pStyle w:val="StandardWeb"/>
        <w:numPr>
          <w:ilvl w:val="0"/>
          <w:numId w:val="295"/>
        </w:numPr>
      </w:pPr>
      <w:r>
        <w:t>Interaktion zwischen den Teilnehmern.</w:t>
      </w:r>
    </w:p>
    <w:p w:rsidR="00135380" w:rsidRDefault="00135380" w:rsidP="00135380">
      <w:pPr>
        <w:pStyle w:val="StandardWeb"/>
      </w:pPr>
      <w:r>
        <w:t>Die entscheidende wissenschaftliche Frage lautet daher nicht:</w:t>
      </w:r>
    </w:p>
    <w:p w:rsidR="00135380" w:rsidRDefault="00135380" w:rsidP="00135380">
      <w:pPr>
        <w:pStyle w:val="StandardWeb"/>
      </w:pPr>
      <w:r>
        <w:rPr>
          <w:rStyle w:val="Fett"/>
        </w:rPr>
        <w:t>„Sind beide Gruppen gleich?“</w:t>
      </w:r>
    </w:p>
    <w:p w:rsidR="00135380" w:rsidRDefault="00135380" w:rsidP="00135380">
      <w:pPr>
        <w:pStyle w:val="StandardWeb"/>
      </w:pPr>
      <w:r>
        <w:t>sondern:</w:t>
      </w:r>
    </w:p>
    <w:p w:rsidR="00135380" w:rsidRDefault="00135380" w:rsidP="00135380">
      <w:pPr>
        <w:pStyle w:val="StandardWeb"/>
      </w:pPr>
      <w:r>
        <w:rPr>
          <w:rStyle w:val="Fett"/>
        </w:rPr>
        <w:t>„Sind genau diejenigen Eigenschaften vergleichbar, von denen die Wirksamkeit der Methode abhängt?“</w:t>
      </w:r>
    </w:p>
    <w:p w:rsidR="00135380" w:rsidRDefault="00135380" w:rsidP="00135380">
      <w:pPr>
        <w:pStyle w:val="StandardWeb"/>
      </w:pPr>
      <w:r>
        <w:t>Das entspricht unmittelbar der Menge (\mathfrak{I}_{A}).</w:t>
      </w:r>
    </w:p>
    <w:p w:rsidR="00135380" w:rsidRDefault="00135380" w:rsidP="00135380">
      <w:pPr>
        <w:pStyle w:val="StandardWeb"/>
      </w:pPr>
      <w:r>
        <w:t>Auch die Transportunsicherheit lässt sich anschaulich erklären.</w:t>
      </w:r>
    </w:p>
    <w:p w:rsidR="00135380" w:rsidRDefault="00135380" w:rsidP="00135380">
      <w:pPr>
        <w:pStyle w:val="StandardWeb"/>
      </w:pPr>
      <w:r>
        <w:t>Wenn eine Aussage in einem bekannten System mit einer bestimmten Unsicherheit gilt und anschließend auf ein weniger gut untersuchtes System übertragen wird, wäre es unlogisch, die Aussage dort plötzlich als sicherer darzustellen.</w:t>
      </w:r>
    </w:p>
    <w:p w:rsidR="00135380" w:rsidRDefault="00135380" w:rsidP="00135380">
      <w:pPr>
        <w:pStyle w:val="StandardWeb"/>
      </w:pPr>
      <w:r>
        <w:t>Deshalb muss die zusätzliche Unsicherheit der Übertragung sichtbar bleiben.</w:t>
      </w:r>
    </w:p>
    <w:p w:rsidR="00135380" w:rsidRDefault="00135380" w:rsidP="00135380">
      <w:pPr>
        <w:pStyle w:val="StandardWeb"/>
      </w:pPr>
      <w:r>
        <w:t>Ein weiterer wichtiger Punkt ist die Unterscheidung zwischen struktureller Übertragung und Zielvalidierung.</w:t>
      </w:r>
    </w:p>
    <w:p w:rsidR="00135380" w:rsidRDefault="00135380" w:rsidP="00135380">
      <w:pPr>
        <w:pStyle w:val="StandardWeb"/>
      </w:pPr>
      <w:r>
        <w:t>Stellen wir uns vor, eine Brückenkonstruktion wird aus einem bewährten Entwurf auf eine neue Spannweite übertragen.</w:t>
      </w:r>
    </w:p>
    <w:p w:rsidR="00135380" w:rsidRDefault="00135380" w:rsidP="00135380">
      <w:pPr>
        <w:pStyle w:val="StandardWeb"/>
      </w:pPr>
      <w:r>
        <w:t>Die Ingenieure können durch Berechnungen begründen, dass der Entwurf übertragbar sein sollte.</w:t>
      </w:r>
    </w:p>
    <w:p w:rsidR="00135380" w:rsidRDefault="00135380" w:rsidP="00135380">
      <w:pPr>
        <w:pStyle w:val="StandardWeb"/>
      </w:pPr>
      <w:r>
        <w:t>Trotzdem würden anschließend Belastungsprüfungen durchgeführt.</w:t>
      </w:r>
    </w:p>
    <w:p w:rsidR="00135380" w:rsidRDefault="00135380" w:rsidP="00135380">
      <w:pPr>
        <w:pStyle w:val="StandardWeb"/>
      </w:pPr>
      <w:r>
        <w:t>Die Berechnung entspricht der Transportbegründung.</w:t>
      </w:r>
    </w:p>
    <w:p w:rsidR="00135380" w:rsidRDefault="00135380" w:rsidP="00135380">
      <w:pPr>
        <w:pStyle w:val="StandardWeb"/>
      </w:pPr>
      <w:r>
        <w:t>Die Belastungsprüfung entspricht der Zielvalidierung.</w:t>
      </w:r>
    </w:p>
    <w:p w:rsidR="00135380" w:rsidRDefault="00135380" w:rsidP="00135380">
      <w:pPr>
        <w:pStyle w:val="StandardWeb"/>
      </w:pPr>
      <w:r>
        <w:t>Beides ergänzt sich, ist aber nicht dasselbe.</w:t>
      </w:r>
    </w:p>
    <w:p w:rsidR="00135380" w:rsidRDefault="00135380" w:rsidP="00135380">
      <w:pPr>
        <w:pStyle w:val="StandardWeb"/>
      </w:pPr>
      <w:r>
        <w:lastRenderedPageBreak/>
        <w:t>Didaktisch besonders wichtig ist schließlich die Sprachregel für die weitere Dissertation.</w:t>
      </w:r>
    </w:p>
    <w:p w:rsidR="00135380" w:rsidRDefault="00135380" w:rsidP="00135380">
      <w:pPr>
        <w:pStyle w:val="StandardWeb"/>
      </w:pPr>
      <w:r>
        <w:t>Statt pauschal zu schreiben:</w:t>
      </w:r>
    </w:p>
    <w:p w:rsidR="00135380" w:rsidRDefault="00135380" w:rsidP="00135380">
      <w:pPr>
        <w:pStyle w:val="StandardWeb"/>
      </w:pPr>
      <w:r>
        <w:rPr>
          <w:rStyle w:val="Fett"/>
        </w:rPr>
        <w:t>„Das Ergebnis gilt allgemein.“</w:t>
      </w:r>
    </w:p>
    <w:p w:rsidR="00135380" w:rsidRDefault="00135380" w:rsidP="00135380">
      <w:pPr>
        <w:pStyle w:val="StandardWeb"/>
      </w:pPr>
      <w:r>
        <w:t>sollte präziser formuliert werden:</w:t>
      </w:r>
    </w:p>
    <w:p w:rsidR="00135380" w:rsidRDefault="00135380" w:rsidP="00135380">
      <w:pPr>
        <w:pStyle w:val="StandardWeb"/>
      </w:pPr>
      <w:r>
        <w:rPr>
          <w:rStyle w:val="Fett"/>
        </w:rPr>
        <w:t>„Das Ergebnis wurde im Kontext (C_1) nachgewiesen.“</w:t>
      </w:r>
    </w:p>
    <w:p w:rsidR="00135380" w:rsidRDefault="00135380" w:rsidP="00135380">
      <w:pPr>
        <w:pStyle w:val="StandardWeb"/>
      </w:pPr>
      <w:r>
        <w:t>oder</w:t>
      </w:r>
    </w:p>
    <w:p w:rsidR="00135380" w:rsidRDefault="00135380" w:rsidP="00135380">
      <w:pPr>
        <w:pStyle w:val="StandardWeb"/>
      </w:pPr>
      <w:r>
        <w:rPr>
          <w:rStyle w:val="Fett"/>
        </w:rPr>
        <w:t>„Die funktionale Struktur ist auf (C_2) übertragbar, sofern die Bedingungen (B_1,\ldots,B_n) erfüllt bleiben.“</w:t>
      </w:r>
    </w:p>
    <w:p w:rsidR="00135380" w:rsidRDefault="00135380" w:rsidP="00135380">
      <w:pPr>
        <w:pStyle w:val="StandardWeb"/>
      </w:pPr>
      <w:r>
        <w:t>oder</w:t>
      </w:r>
    </w:p>
    <w:p w:rsidR="00135380" w:rsidRDefault="00135380" w:rsidP="00135380">
      <w:pPr>
        <w:pStyle w:val="StandardWeb"/>
      </w:pPr>
      <w:r>
        <w:rPr>
          <w:rStyle w:val="Fett"/>
        </w:rPr>
        <w:t>„Die übertragene Aussage wurde im Zielkontext zusätzlich empirisch bestätigt.“</w:t>
      </w:r>
    </w:p>
    <w:p w:rsidR="00135380" w:rsidRDefault="00135380" w:rsidP="00135380">
      <w:pPr>
        <w:pStyle w:val="StandardWeb"/>
      </w:pPr>
      <w:r>
        <w:t>Diese Sprachweise macht unmittelbar sichtbar, wie stark die jeweilige wissenschaftliche Aussage tatsächlich ist.</w:t>
      </w:r>
    </w:p>
    <w:p w:rsidR="00135380" w:rsidRDefault="00135380" w:rsidP="00135380">
      <w:pPr>
        <w:pStyle w:val="StandardWeb"/>
      </w:pPr>
      <w:r>
        <w:t>Der wichtigste didaktische Merksatz lautet daher:</w:t>
      </w:r>
    </w:p>
    <w:p w:rsidR="00135380" w:rsidRDefault="00135380" w:rsidP="00135380">
      <w:pPr>
        <w:pStyle w:val="StandardWeb"/>
      </w:pPr>
      <w:r>
        <w:rPr>
          <w:rStyle w:val="Fett"/>
        </w:rPr>
        <w:t>Ähnlichkeit allein genügt nicht. Entscheidend ist, ob die für eine konkrete Aussage wichtigen Eigenschaften erhalten bleiben.</w:t>
      </w:r>
    </w:p>
    <w:p w:rsidR="00135380" w:rsidRDefault="00135380" w:rsidP="00135380">
      <w:pPr>
        <w:pStyle w:val="StandardWeb"/>
      </w:pPr>
      <w:r>
        <w:t>Und noch grundsätzlicher:</w:t>
      </w:r>
    </w:p>
    <w:p w:rsidR="00135380" w:rsidRDefault="00135380" w:rsidP="00135380">
      <w:pPr>
        <w:pStyle w:val="StandardWeb"/>
      </w:pPr>
      <w:r>
        <w:rPr>
          <w:rStyle w:val="Fett"/>
        </w:rPr>
        <w:t>Eine bestätigte Aussage besitzt zunächst einen bekannten Gültigkeitsbereich – keinen automatisch universellen Anspruch.</w:t>
      </w:r>
    </w:p>
    <w:p w:rsidR="00135380" w:rsidRDefault="00E50336" w:rsidP="00135380">
      <w:r>
        <w:pict>
          <v:rect id="_x0000_i1140" style="width:0;height:1.5pt" o:hralign="center" o:hrstd="t" o:hr="t" fillcolor="#a0a0a0" stroked="f"/>
        </w:pict>
      </w:r>
    </w:p>
    <w:p w:rsidR="00135380" w:rsidRDefault="00135380" w:rsidP="00135380">
      <w:pPr>
        <w:pStyle w:val="berschrift2"/>
      </w:pPr>
      <w:r>
        <w:t>3.3.38.46 Ergebnis der Prüfung der Übertragbarkeit</w:t>
      </w:r>
    </w:p>
    <w:p w:rsidR="00135380" w:rsidRDefault="00135380" w:rsidP="00135380">
      <w:pPr>
        <w:pStyle w:val="StandardWeb"/>
      </w:pPr>
      <w:r>
        <w:t>Die Prüfung zeigt, dass funktionale Aussagen des FRZK grundsätzlich kontextgebunden sind. Eine Aussage wird zunächst innerhalb eines lokalen funktionalen Kontextes formuliert und besitzt dort ihren unmittelbar begründeten Gültigkeitsbereich.</w:t>
      </w:r>
    </w:p>
    <w:p w:rsidR="00135380" w:rsidRDefault="00135380" w:rsidP="00135380">
      <w:pPr>
        <w:pStyle w:val="StandardWeb"/>
      </w:pPr>
      <w:r>
        <w:t>Eine Übertragung auf andere Systeme verlangt anschließend mindestens die explizite Bestimmung von</w:t>
      </w:r>
    </w:p>
    <w:p w:rsidR="00135380" w:rsidRDefault="00135380" w:rsidP="008C5E65">
      <w:pPr>
        <w:pStyle w:val="StandardWeb"/>
        <w:numPr>
          <w:ilvl w:val="0"/>
          <w:numId w:val="296"/>
        </w:numPr>
      </w:pPr>
      <w:r>
        <w:t>Quellkontext,</w:t>
      </w:r>
    </w:p>
    <w:p w:rsidR="00135380" w:rsidRDefault="00135380" w:rsidP="008C5E65">
      <w:pPr>
        <w:pStyle w:val="StandardWeb"/>
        <w:numPr>
          <w:ilvl w:val="0"/>
          <w:numId w:val="296"/>
        </w:numPr>
      </w:pPr>
      <w:r>
        <w:t>Zielkontext,</w:t>
      </w:r>
    </w:p>
    <w:p w:rsidR="00135380" w:rsidRDefault="00135380" w:rsidP="008C5E65">
      <w:pPr>
        <w:pStyle w:val="StandardWeb"/>
        <w:numPr>
          <w:ilvl w:val="0"/>
          <w:numId w:val="296"/>
        </w:numPr>
      </w:pPr>
      <w:r>
        <w:t>aussagerelevanten funktionalen Eigenschaften,</w:t>
      </w:r>
    </w:p>
    <w:p w:rsidR="00135380" w:rsidRDefault="00135380" w:rsidP="008C5E65">
      <w:pPr>
        <w:pStyle w:val="StandardWeb"/>
        <w:numPr>
          <w:ilvl w:val="0"/>
          <w:numId w:val="296"/>
        </w:numPr>
      </w:pPr>
      <w:r>
        <w:t>relevanten Kontextunterschieden,</w:t>
      </w:r>
    </w:p>
    <w:p w:rsidR="00135380" w:rsidRDefault="00135380" w:rsidP="008C5E65">
      <w:pPr>
        <w:pStyle w:val="StandardWeb"/>
        <w:numPr>
          <w:ilvl w:val="0"/>
          <w:numId w:val="296"/>
        </w:numPr>
      </w:pPr>
      <w:r>
        <w:t>notwendigem Transportoperator,</w:t>
      </w:r>
    </w:p>
    <w:p w:rsidR="00135380" w:rsidRDefault="00135380" w:rsidP="008C5E65">
      <w:pPr>
        <w:pStyle w:val="StandardWeb"/>
        <w:numPr>
          <w:ilvl w:val="0"/>
          <w:numId w:val="296"/>
        </w:numPr>
      </w:pPr>
      <w:r>
        <w:t>zusätzlicher Transportunsicherheit.</w:t>
      </w:r>
    </w:p>
    <w:p w:rsidR="00135380" w:rsidRDefault="00135380" w:rsidP="00135380">
      <w:pPr>
        <w:pStyle w:val="StandardWeb"/>
      </w:pPr>
      <w:r>
        <w:lastRenderedPageBreak/>
        <w:t>Die bloße numerische Ähnlichkeit zweier Systeme ist dabei weder notwendig noch hinreichend für funktionale Übertragbarkeit.</w:t>
      </w:r>
    </w:p>
    <w:p w:rsidR="00135380" w:rsidRDefault="00135380" w:rsidP="00135380">
      <w:pPr>
        <w:pStyle w:val="StandardWeb"/>
      </w:pPr>
      <w:r>
        <w:t>Besonders wichtig ist die Unterscheidung zwischen direkter, bedingter und nicht möglicher Übertragung.</w:t>
      </w:r>
    </w:p>
    <w:p w:rsidR="00135380" w:rsidRDefault="00135380" w:rsidP="00135380">
      <w:pPr>
        <w:pStyle w:val="StandardWeb"/>
      </w:pPr>
      <w:r>
        <w:t>Definition 3.3.30 stellt hierfür ein formales FRZK-Übertragbarkeitssystem bereit.</w:t>
      </w:r>
    </w:p>
    <w:p w:rsidR="00135380" w:rsidRDefault="00135380" w:rsidP="00135380">
      <w:pPr>
        <w:pStyle w:val="StandardWeb"/>
      </w:pPr>
      <w:r>
        <w:t>Satz 3.3.20 zeigt zudem, dass eine direkte Übertragung dann möglich ist, wenn sämtliche für eine Aussage relevanten funktionalen Eigenschaften zwischen Quell- und Zielkontext erhalten bleiben und die Aussage vollständig durch diese Eigenschaften bestimmt wird.</w:t>
      </w:r>
    </w:p>
    <w:p w:rsidR="00135380" w:rsidRDefault="00135380" w:rsidP="00135380">
      <w:pPr>
        <w:pStyle w:val="StandardWeb"/>
      </w:pPr>
      <w:r>
        <w:t>Gleichzeitig begrenzt die Reichweitenanalyse diesen Satz ausdrücklich: Sind relevante Eigenschaften unbekannt oder nicht invariant, kann die Übertragung scheitern.</w:t>
      </w:r>
    </w:p>
    <w:p w:rsidR="00135380" w:rsidRDefault="00135380" w:rsidP="00135380">
      <w:pPr>
        <w:pStyle w:val="StandardWeb"/>
      </w:pPr>
      <w:r>
        <w:t>Damit gilt im FRZK grundsätzlich</w:t>
      </w:r>
    </w:p>
    <w:p w:rsidR="00135380" w:rsidRDefault="00135380" w:rsidP="00135380">
      <w:pPr>
        <w:pStyle w:val="StandardWeb"/>
      </w:pPr>
      <w:r>
        <w:t>[</w:t>
      </w:r>
      <w:r>
        <w:br/>
        <w:t>A_F^{(S)}</w:t>
      </w:r>
      <w:r>
        <w:br/>
        <w:t>\nRightarrow</w:t>
      </w:r>
      <w:r>
        <w:br/>
        <w:t>A_F^{(Z)}.</w:t>
      </w:r>
      <w:r>
        <w:br/>
        <w:t>\tag{3.6405}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A_F^{(S)}\nRightarrow A_F^{(Z)}\qquad\text{(3.6405)}</w:t>
      </w:r>
    </w:p>
    <w:p w:rsidR="00135380" w:rsidRDefault="00135380" w:rsidP="00135380">
      <w:pPr>
        <w:pStyle w:val="StandardWeb"/>
      </w:pPr>
      <w:r>
        <w:t>Erst unter begründeten Transportbedingungen darf gelten</w:t>
      </w:r>
    </w:p>
    <w:p w:rsidR="00135380" w:rsidRDefault="00135380" w:rsidP="00135380">
      <w:pPr>
        <w:pStyle w:val="StandardWeb"/>
      </w:pPr>
      <w:r>
        <w:t>[</w:t>
      </w:r>
      <w:r>
        <w:br/>
        <w:t>A_F^{(S)}</w:t>
      </w:r>
      <w:r>
        <w:br/>
        <w:t>\land</w:t>
      </w:r>
      <w:r>
        <w:br/>
        <w:t>C_{\mathrm{trans}}</w:t>
      </w:r>
      <w:r>
        <w:br/>
        <w:t>\Rightarrow</w:t>
      </w:r>
      <w:r>
        <w:br/>
        <w:t>A_F^{(Z)}.</w:t>
      </w:r>
      <w:r>
        <w:br/>
        <w:t>\tag{3.6406}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A_F^{(S)}\land C_{\mathrm{trans}}\Rightarrow A_F^{(Z)}\qquad\text{(3.6406)}</w:t>
      </w:r>
    </w:p>
    <w:p w:rsidR="00135380" w:rsidRDefault="00135380" w:rsidP="00135380">
      <w:pPr>
        <w:pStyle w:val="StandardWeb"/>
      </w:pPr>
      <w:r>
        <w:rPr>
          <w:rStyle w:val="Fett"/>
        </w:rPr>
        <w:t>Eigenleistung des FRZK</w:t>
      </w:r>
    </w:p>
    <w:p w:rsidR="00135380" w:rsidRDefault="00135380" w:rsidP="00135380">
      <w:pPr>
        <w:pStyle w:val="StandardWeb"/>
      </w:pPr>
      <w:r>
        <w:t>Mit dem Übertragbarkeitssystem integriere ich Generalisierung als expliziten, versionierbaren und überprüfbaren Bestandteil der FRZK-Methodik. Die Reichweite einer Aussage wird nicht mehr implizit angenommen, sondern als eigener wissenschaftlicher Status behandelt.</w:t>
      </w:r>
    </w:p>
    <w:p w:rsidR="00135380" w:rsidRDefault="00E50336" w:rsidP="00135380">
      <w:r>
        <w:pict>
          <v:rect id="_x0000_i1141" style="width:0;height:1.5pt" o:hralign="center" o:hrstd="t" o:hr="t" fillcolor="#a0a0a0" stroked="f"/>
        </w:pict>
      </w:r>
    </w:p>
    <w:p w:rsidR="00135380" w:rsidRDefault="00135380" w:rsidP="00135380">
      <w:pPr>
        <w:pStyle w:val="berschrift2"/>
      </w:pPr>
      <w:r>
        <w:lastRenderedPageBreak/>
        <w:t>3.3.38.47 Übergang zum nächsten Prüfschritt</w:t>
      </w:r>
    </w:p>
    <w:p w:rsidR="00135380" w:rsidRDefault="00135380" w:rsidP="00135380">
      <w:pPr>
        <w:pStyle w:val="StandardWeb"/>
      </w:pPr>
      <w:r>
        <w:t>Mit Abschnitt 3.3.38 ist geklärt, unter welchen Bedingungen eine innerhalb eines lokalen funktionalen Systems gewonnene Aussage auf andere Systeme übertragen werden darf.</w:t>
      </w:r>
    </w:p>
    <w:p w:rsidR="00135380" w:rsidRDefault="00135380" w:rsidP="00135380">
      <w:pPr>
        <w:pStyle w:val="StandardWeb"/>
      </w:pPr>
      <w:r>
        <w:t>Damit ist jedoch noch eine weitere Frage offen.</w:t>
      </w:r>
    </w:p>
    <w:p w:rsidR="00135380" w:rsidRDefault="00135380" w:rsidP="00135380">
      <w:pPr>
        <w:pStyle w:val="StandardWeb"/>
      </w:pPr>
      <w:r>
        <w:t xml:space="preserve">Selbst wenn eine Aussage konsistent, reproduzierbar, falsifizierbar, prognostisch prüfbar, erklärungsfähig, gegebenenfalls kausal interpretierbar und auf andere Kontexte transportierbar ist, muss noch geklärt werden, </w:t>
      </w:r>
      <w:r>
        <w:rPr>
          <w:rStyle w:val="Fett"/>
        </w:rPr>
        <w:t>wie empfindlich sie gegenüber der Wahl ihrer Operationalisierung und Messrepräsentation ist</w:t>
      </w:r>
      <w:r>
        <w:t>.</w:t>
      </w:r>
    </w:p>
    <w:p w:rsidR="00135380" w:rsidRDefault="00135380" w:rsidP="00135380">
      <w:pPr>
        <w:pStyle w:val="StandardWeb"/>
      </w:pPr>
      <w:r>
        <w:t>Ein funktionales Konzept kann nämlich durch unterschiedliche Messgrößen repräsentiert werden. Sind die daraus resultierenden wissenschaftlichen Aussagen stark von dieser Auswahl abhängig, kann die scheinbare Stabilität des Modells lediglich aus einer bestimmten Operationalisierung stammen.</w:t>
      </w:r>
    </w:p>
    <w:p w:rsidR="00135380" w:rsidRDefault="00135380" w:rsidP="00135380">
      <w:pPr>
        <w:pStyle w:val="StandardWeb"/>
      </w:pPr>
      <w:r>
        <w:t>Der folgende Abschnitt muss deshalb untersuchen, unter welchen Bedingungen unterschiedliche empirische Repräsentationen desselben funktionalen Konzepts zu vergleichbaren Aussagen führen.</w:t>
      </w:r>
    </w:p>
    <w:p w:rsidR="00135380" w:rsidRDefault="00135380" w:rsidP="00135380">
      <w:pPr>
        <w:pStyle w:val="StandardWeb"/>
      </w:pPr>
      <w:r>
        <w:t>Der nächste Abschnitt lautet damit:</w:t>
      </w:r>
    </w:p>
    <w:p w:rsidR="00135380" w:rsidRDefault="00135380" w:rsidP="00135380">
      <w:pPr>
        <w:pStyle w:val="berschrift1"/>
      </w:pPr>
      <w:r>
        <w:t>3.3.39 Prüfung der Operationalisierungsrobustheit</w:t>
      </w:r>
    </w:p>
    <w:p w:rsidR="00135380" w:rsidRDefault="00135380" w:rsidP="00135380">
      <w:pPr>
        <w:pStyle w:val="berschrift1"/>
        <w:rPr>
          <w:rFonts w:cs="Times New Roman"/>
          <w:sz w:val="48"/>
          <w:szCs w:val="48"/>
        </w:rPr>
      </w:pPr>
      <w:r>
        <w:t>3.3.39 Prüfung der Operationalisierungsrobustheit</w:t>
      </w:r>
    </w:p>
    <w:p w:rsidR="00135380" w:rsidRDefault="00135380" w:rsidP="00135380">
      <w:pPr>
        <w:pStyle w:val="StandardWeb"/>
      </w:pPr>
      <w:r>
        <w:t xml:space="preserve">Mit Abschnitt 3.3.38 habe ich geklärt, dass wissenschaftliche Aussagen des FRZK zunächst an einen lokalen funktionalen Kontext gebunden sind und nur unter expliziten Bedingungen auf andere Kontexte übertragen werden dürfen. Eine weitere methodische Unsicherheit entsteht jedoch bereits </w:t>
      </w:r>
      <w:r>
        <w:rPr>
          <w:rStyle w:val="Fett"/>
        </w:rPr>
        <w:t>vor</w:t>
      </w:r>
      <w:r>
        <w:t xml:space="preserve"> einer solchen Übertragung: Ein theoretisches funktionales Konzept kann empirisch auf unterschiedliche Weise operationalisiert werden. Werden aus verschiedenen zulässigen Operationalisierungen wesentlich unterschiedliche wissenschaftliche Aussagen gewonnen, hängt das Ergebnis möglicherweise stärker von der gewählten Messrepräsentation als von der untersuchten funktionalen Struktur selbst ab [58, 59, 79].</w:t>
      </w:r>
    </w:p>
    <w:p w:rsidR="00135380" w:rsidRDefault="00135380" w:rsidP="00135380">
      <w:pPr>
        <w:pStyle w:val="StandardWeb"/>
      </w:pPr>
      <w:r>
        <w:t>Diese Problematik betrifft sämtliche empirischen Größen des FRZK. Ein funktionaler Zustand kann beispielsweise durch unterschiedliche beobachtbare Merkmale repräsentiert werden. Kohärenz kann über verschiedene Ähnlichkeits-, Distanz- oder Kopplungsmaße operationalisiert werden. Drift kann unterschiedliche Referenzzustände verwenden. Ein kritischer Übergang kann anhand unterschiedlicher Schwellenwerte bestimmt werden. Auch relationale, semantische oder zeitliche Eigenschaften können von der konkreten Mess- und Auswertungsmethode abhängen [58, 59].</w:t>
      </w:r>
    </w:p>
    <w:p w:rsidR="00135380" w:rsidRDefault="00135380" w:rsidP="00135380">
      <w:pPr>
        <w:pStyle w:val="StandardWeb"/>
      </w:pPr>
      <w:r>
        <w:t xml:space="preserve">Ich bezeichne die Fähigkeit einer wissenschaftlichen FRZK-Aussage, unter mehreren wissenschaftlich zulässigen Operationalisierungen in ihrer wesentlichen funktionalen Bedeutung erhalten zu bleiben, als </w:t>
      </w:r>
      <w:r>
        <w:rPr>
          <w:rStyle w:val="Fett"/>
        </w:rPr>
        <w:t>Operationalisierungsrobustheit</w:t>
      </w:r>
      <w:r>
        <w:t xml:space="preserve">. Dabei fordere ich ausdrücklich keine numerische Gleichheit sämtlicher Ergebnisse. Entscheidend ist vielmehr, </w:t>
      </w:r>
      <w:r>
        <w:lastRenderedPageBreak/>
        <w:t>ob die wissenschaftlich relevante Aussage gegenüber begründbaren Änderungen der empirischen Repräsentation stabil bleibt [59, 79].</w:t>
      </w:r>
    </w:p>
    <w:p w:rsidR="00135380" w:rsidRDefault="00135380" w:rsidP="00135380">
      <w:pPr>
        <w:pStyle w:val="StandardWeb"/>
      </w:pPr>
      <w:r>
        <w:rPr>
          <w:rStyle w:val="Fett"/>
        </w:rPr>
        <w:t>Eigenleistung des FRZK</w:t>
      </w:r>
    </w:p>
    <w:p w:rsidR="00135380" w:rsidRDefault="00135380" w:rsidP="00135380">
      <w:pPr>
        <w:pStyle w:val="StandardWeb"/>
      </w:pPr>
      <w:r>
        <w:t>Ich führe die Operationalisierungsrobustheit als eigenständigen wissenschaftlichen Prüfstatus ein. Damit wird nicht nur gefragt, ob eine Messung technisch reproduzierbar ist, sondern ob die zugrunde liegende funktionale Aussage auch dann Bestand hat, wenn dasselbe theoretische Konzept auf eine andere wissenschaftlich zulässige Weise empirisch repräsentiert wird.</w:t>
      </w:r>
    </w:p>
    <w:p w:rsidR="00135380" w:rsidRDefault="00E50336" w:rsidP="00135380">
      <w:r>
        <w:pict>
          <v:rect id="_x0000_i1142" style="width:0;height:1.5pt" o:hralign="center" o:hrstd="t" o:hr="t" fillcolor="#a0a0a0" stroked="f"/>
        </w:pict>
      </w:r>
    </w:p>
    <w:p w:rsidR="00135380" w:rsidRDefault="00135380" w:rsidP="00135380">
      <w:pPr>
        <w:pStyle w:val="berschrift2"/>
      </w:pPr>
      <w:r>
        <w:t>3.3.39.1 Theoretisches Konzept und empirische Repräsentation</w:t>
      </w:r>
    </w:p>
    <w:p w:rsidR="00135380" w:rsidRDefault="00135380" w:rsidP="00135380">
      <w:pPr>
        <w:pStyle w:val="StandardWeb"/>
      </w:pPr>
      <w:r>
        <w:t>Ich unterscheide zunächst streng zwischen einem theoretischen funktionalen Konzept und seiner empirischen Repräsentation. Das theoretische Konzept bezeichne ich mit</w:t>
      </w:r>
    </w:p>
    <w:p w:rsidR="00135380" w:rsidRDefault="00135380" w:rsidP="00135380">
      <w:pPr>
        <w:pStyle w:val="StandardWeb"/>
      </w:pPr>
      <w:r>
        <w:t>[</w:t>
      </w:r>
      <w:r>
        <w:br/>
        <w:t>\mathcal{K}_{F}.</w:t>
      </w:r>
      <w:r>
        <w:br/>
        <w:t>\tag{3.6407}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\mathcal{K}_{F}\qquad\text{(3.6407)}</w:t>
      </w:r>
    </w:p>
    <w:p w:rsidR="00135380" w:rsidRDefault="00135380" w:rsidP="00135380">
      <w:pPr>
        <w:pStyle w:val="StandardWeb"/>
      </w:pPr>
      <w:r>
        <w:t>Eine konkrete empirische Operationalisierung dieses Konzeptes bezeichne ich mit</w:t>
      </w:r>
    </w:p>
    <w:p w:rsidR="00135380" w:rsidRDefault="00135380" w:rsidP="00135380">
      <w:pPr>
        <w:pStyle w:val="StandardWeb"/>
      </w:pPr>
      <w:r>
        <w:t>[</w:t>
      </w:r>
      <w:r>
        <w:br/>
        <w:t>\mathcal{O}_{j}.</w:t>
      </w:r>
      <w:r>
        <w:br/>
        <w:t>\tag{3.6408}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\mathcal{O}_{j}\qquad\text{(3.6408)}</w:t>
      </w:r>
    </w:p>
    <w:p w:rsidR="00135380" w:rsidRDefault="00135380" w:rsidP="00135380">
      <w:pPr>
        <w:pStyle w:val="StandardWeb"/>
      </w:pPr>
      <w:r>
        <w:t>Die Operationalisierung bildet das theoretische Konzept auf eine beobachtbare oder berechenbare Größe ab:</w:t>
      </w:r>
    </w:p>
    <w:p w:rsidR="00135380" w:rsidRDefault="00135380" w:rsidP="00135380">
      <w:pPr>
        <w:pStyle w:val="StandardWeb"/>
      </w:pPr>
      <w:r>
        <w:t>[</w:t>
      </w:r>
      <w:r>
        <w:br/>
        <w:t>\mathcal{O}</w:t>
      </w:r>
      <w:r>
        <w:rPr>
          <w:rStyle w:val="Hervorhebung"/>
        </w:rPr>
        <w:t>{j}</w:t>
      </w:r>
      <w:r>
        <w:rPr>
          <w:i/>
          <w:iCs/>
        </w:rPr>
        <w:br/>
      </w:r>
      <w:r>
        <w:rPr>
          <w:rStyle w:val="Hervorhebung"/>
        </w:rPr>
        <w:t>:</w:t>
      </w:r>
      <w:r>
        <w:rPr>
          <w:i/>
          <w:iCs/>
        </w:rPr>
        <w:br/>
      </w:r>
      <w:r>
        <w:rPr>
          <w:rStyle w:val="Hervorhebung"/>
        </w:rPr>
        <w:t>\mathcal{K}</w:t>
      </w:r>
      <w:r>
        <w:t>{F}</w:t>
      </w:r>
      <w:r>
        <w:br/>
        <w:t>\longrightarrow</w:t>
      </w:r>
      <w:r>
        <w:br/>
        <w:t>\mathcal{Y}_{j}.</w:t>
      </w:r>
      <w:r>
        <w:br/>
        <w:t>\tag{3.6409}</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\mathcal{O}_{j}:\mathcal{K}_{F}\longrightarrow\mathcal{Y}_{j}\qquad\text{(3.6409)}</w:t>
      </w:r>
    </w:p>
    <w:p w:rsidR="00135380" w:rsidRDefault="00135380" w:rsidP="00135380">
      <w:pPr>
        <w:pStyle w:val="StandardWeb"/>
      </w:pPr>
      <w:r>
        <w:t>Dabei bezeichnet (\mathcal{Y}_{j}) den durch die Operationalisierung erzeugten empirischen Repräsentationsraum.</w:t>
      </w:r>
    </w:p>
    <w:p w:rsidR="00135380" w:rsidRDefault="00135380" w:rsidP="00135380">
      <w:pPr>
        <w:pStyle w:val="StandardWeb"/>
      </w:pPr>
      <w:r>
        <w:t>Ein einzelner beobachteter beziehungsweise berechneter Wert lautet</w:t>
      </w:r>
    </w:p>
    <w:p w:rsidR="00135380" w:rsidRDefault="00135380" w:rsidP="00135380">
      <w:pPr>
        <w:pStyle w:val="berschrift1"/>
      </w:pPr>
      <w:r>
        <w:t>[</w:t>
      </w:r>
      <w:r>
        <w:br/>
        <w:t>y_j</w:t>
      </w:r>
    </w:p>
    <w:p w:rsidR="00135380" w:rsidRDefault="00135380" w:rsidP="00135380">
      <w:pPr>
        <w:pStyle w:val="StandardWeb"/>
      </w:pPr>
      <w:r>
        <w:t>\mathcal{O}</w:t>
      </w:r>
      <w:r>
        <w:rPr>
          <w:rStyle w:val="Hervorhebung"/>
        </w:rPr>
        <w:t>{j}</w:t>
      </w:r>
      <w:r>
        <w:rPr>
          <w:i/>
          <w:iCs/>
        </w:rPr>
        <w:br/>
      </w:r>
      <w:r>
        <w:rPr>
          <w:rStyle w:val="Hervorhebung"/>
        </w:rPr>
        <w:t>\left(</w:t>
      </w:r>
      <w:r>
        <w:rPr>
          <w:i/>
          <w:iCs/>
        </w:rPr>
        <w:br/>
      </w:r>
      <w:r>
        <w:rPr>
          <w:rStyle w:val="Hervorhebung"/>
        </w:rPr>
        <w:t>\mathcal{K}</w:t>
      </w:r>
      <w:r>
        <w:t>{F}</w:t>
      </w:r>
      <w:r>
        <w:br/>
        <w:t>\right).</w:t>
      </w:r>
      <w:r>
        <w:br/>
        <w:t>\tag{3.6410}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y_j=\mathcal{O}_{j}\left(\mathcal{K}_{F}\right)\qquad\text{(3.6410)}</w:t>
      </w:r>
    </w:p>
    <w:p w:rsidR="00135380" w:rsidRDefault="00135380" w:rsidP="00135380">
      <w:pPr>
        <w:pStyle w:val="StandardWeb"/>
      </w:pPr>
      <w:r>
        <w:t>Methodologisch ist entscheidend, dass (y_j) nicht mit (\mathcal{K}_{F}) identisch ist. Der beobachtete Wert ist eine Repräsentation des theoretischen Konzeptes unter einer bestimmten Mess- und Auswertungsregel [58, 59].</w:t>
      </w:r>
    </w:p>
    <w:p w:rsidR="00135380" w:rsidRDefault="00135380" w:rsidP="00135380">
      <w:pPr>
        <w:pStyle w:val="StandardWeb"/>
      </w:pPr>
      <w:r>
        <w:t>Daraus folgt die grundlegende Trennung</w:t>
      </w:r>
    </w:p>
    <w:p w:rsidR="00135380" w:rsidRDefault="00135380" w:rsidP="00135380">
      <w:pPr>
        <w:pStyle w:val="StandardWeb"/>
      </w:pPr>
      <w:r>
        <w:t>[</w:t>
      </w:r>
      <w:r>
        <w:br/>
        <w:t>\mathcal{K}_{F}</w:t>
      </w:r>
      <w:r>
        <w:br/>
        <w:t>\neq</w:t>
      </w:r>
      <w:r>
        <w:br/>
        <w:t>y_j.</w:t>
      </w:r>
      <w:r>
        <w:br/>
        <w:t>\tag{3.6411}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\mathcal{K}_{F}\neq y_j\qquad\text{(3.6411)}</w:t>
      </w:r>
    </w:p>
    <w:p w:rsidR="00135380" w:rsidRDefault="00135380" w:rsidP="00135380">
      <w:pPr>
        <w:pStyle w:val="StandardWeb"/>
      </w:pPr>
      <w:r>
        <w:t>Diese Unterscheidung verhindert, dass eine konkrete Messgröße ontologisch mit dem theoretischen Gegenstand gleichgesetzt wird.</w:t>
      </w:r>
    </w:p>
    <w:p w:rsidR="00135380" w:rsidRDefault="00E50336" w:rsidP="00135380">
      <w:r>
        <w:pict>
          <v:rect id="_x0000_i1143" style="width:0;height:1.5pt" o:hralign="center" o:hrstd="t" o:hr="t" fillcolor="#a0a0a0" stroked="f"/>
        </w:pict>
      </w:r>
    </w:p>
    <w:p w:rsidR="00135380" w:rsidRDefault="00135380" w:rsidP="00135380">
      <w:pPr>
        <w:pStyle w:val="berschrift2"/>
      </w:pPr>
      <w:r>
        <w:t>3.3.39.2 Menge zulässiger Operationalisierungen</w:t>
      </w:r>
    </w:p>
    <w:p w:rsidR="00135380" w:rsidRDefault="00135380" w:rsidP="00135380">
      <w:pPr>
        <w:pStyle w:val="StandardWeb"/>
      </w:pPr>
      <w:r>
        <w:t>Ein theoretisches Konzept kann mehrere wissenschaftlich zulässige Operationalisierungen besitzen. Ich fasse diese in der Menge</w:t>
      </w:r>
    </w:p>
    <w:p w:rsidR="00135380" w:rsidRDefault="00135380" w:rsidP="00135380">
      <w:pPr>
        <w:pStyle w:val="berschrift1"/>
      </w:pPr>
      <w:r>
        <w:lastRenderedPageBreak/>
        <w:t>[</w:t>
      </w:r>
      <w:r>
        <w:br/>
        <w:t>\mathfrak{O}</w:t>
      </w:r>
      <w:r>
        <w:br/>
        <w:t>\left(</w:t>
      </w:r>
      <w:r>
        <w:br/>
        <w:t>\mathcal{K}_{F}</w:t>
      </w:r>
      <w:r>
        <w:br/>
        <w:t>\right)</w:t>
      </w:r>
    </w:p>
    <w:p w:rsidR="00135380" w:rsidRDefault="00135380" w:rsidP="00135380">
      <w:pPr>
        <w:pStyle w:val="StandardWeb"/>
      </w:pPr>
      <w:r>
        <w:t>\left{</w:t>
      </w:r>
      <w:r>
        <w:br/>
        <w:t>\mathcal{O}</w:t>
      </w:r>
      <w:r>
        <w:rPr>
          <w:rStyle w:val="Hervorhebung"/>
        </w:rPr>
        <w:t>{1},</w:t>
      </w:r>
      <w:r>
        <w:rPr>
          <w:i/>
          <w:iCs/>
        </w:rPr>
        <w:br/>
      </w:r>
      <w:r>
        <w:rPr>
          <w:rStyle w:val="Hervorhebung"/>
        </w:rPr>
        <w:t>\mathcal{O}</w:t>
      </w:r>
      <w:r>
        <w:t>{2},</w:t>
      </w:r>
      <w:r>
        <w:br/>
        <w:t>\ldots,</w:t>
      </w:r>
      <w:r>
        <w:br/>
        <w:t>\mathcal{O}_{m}</w:t>
      </w:r>
      <w:r>
        <w:br/>
        <w:t>\right}</w:t>
      </w:r>
      <w:r>
        <w:br/>
        <w:t>\tag{3.6412}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\mathfrak{O}\left(\mathcal{K}_{F}\right)=\left\{\mathcal{O}_{1},\mathcal{O}_{2},\ldots,\mathcal{O}_{m}\right\}\qquad\text{(3.6412)}</w:t>
      </w:r>
    </w:p>
    <w:p w:rsidR="00135380" w:rsidRDefault="00135380" w:rsidP="00135380">
      <w:pPr>
        <w:pStyle w:val="StandardWeb"/>
      </w:pPr>
      <w:r>
        <w:t>zusammen.</w:t>
      </w:r>
    </w:p>
    <w:p w:rsidR="00135380" w:rsidRDefault="00135380" w:rsidP="00135380">
      <w:pPr>
        <w:pStyle w:val="StandardWeb"/>
      </w:pPr>
      <w:r>
        <w:t>Nicht jede technisch mögliche Abbildung gehört zu dieser Menge. Zulässig sind nur solche Operationalisierungen, die wissenschaftlich begründet auf dasselbe theoretische Konzept bezogen werden können.</w:t>
      </w:r>
    </w:p>
    <w:p w:rsidR="00135380" w:rsidRDefault="00135380" w:rsidP="00135380">
      <w:pPr>
        <w:pStyle w:val="StandardWeb"/>
      </w:pPr>
      <w:r>
        <w:t>Ich bezeichne diese Zulässigkeitsbedingung mit</w:t>
      </w:r>
    </w:p>
    <w:p w:rsidR="00135380" w:rsidRDefault="00135380" w:rsidP="00135380">
      <w:pPr>
        <w:pStyle w:val="berschrift1"/>
      </w:pPr>
      <w:r>
        <w:t>[</w:t>
      </w:r>
      <w:r>
        <w:br/>
        <w:t>C_{\mathrm{zul}}</w:t>
      </w:r>
      <w:r>
        <w:br/>
        <w:t>\left(</w:t>
      </w:r>
      <w:r>
        <w:br/>
        <w:t>\mathcal{O}</w:t>
      </w:r>
      <w:r>
        <w:rPr>
          <w:rStyle w:val="Hervorhebung"/>
        </w:rPr>
        <w:t>{j},</w:t>
      </w:r>
      <w:r>
        <w:rPr>
          <w:i/>
          <w:iCs/>
        </w:rPr>
        <w:br/>
      </w:r>
      <w:r>
        <w:rPr>
          <w:rStyle w:val="Hervorhebung"/>
        </w:rPr>
        <w:t>\mathcal{K}</w:t>
      </w:r>
      <w:r>
        <w:t>{F}</w:t>
      </w:r>
      <w:r>
        <w:br/>
        <w:t>\right)</w:t>
      </w:r>
    </w:p>
    <w:p w:rsidR="00135380" w:rsidRDefault="00135380" w:rsidP="008C5E65">
      <w:pPr>
        <w:numPr>
          <w:ilvl w:val="0"/>
          <w:numId w:val="297"/>
        </w:numPr>
        <w:spacing w:before="100" w:beforeAutospacing="1" w:after="100" w:afterAutospacing="1"/>
      </w:pPr>
    </w:p>
    <w:p w:rsidR="00135380" w:rsidRDefault="00135380" w:rsidP="00135380">
      <w:pPr>
        <w:pStyle w:val="StandardWeb"/>
      </w:pPr>
      <w:r>
        <w:t>\tag{3.6413}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lastRenderedPageBreak/>
        <w:t>C_{\mathrm{zul}}\left(\mathcal{O}_{j},\mathcal{K}_{F}\right)=1\qquad\text{(3.6413)}</w:t>
      </w:r>
    </w:p>
    <w:p w:rsidR="00135380" w:rsidRDefault="00135380" w:rsidP="00135380">
      <w:pPr>
        <w:pStyle w:val="StandardWeb"/>
      </w:pPr>
      <w:r>
        <w:t>Für sämtliche Elemente der zulässigen Operationalisierungsmenge gilt damit</w:t>
      </w:r>
    </w:p>
    <w:p w:rsidR="00135380" w:rsidRDefault="00135380" w:rsidP="00135380">
      <w:pPr>
        <w:pStyle w:val="berschrift1"/>
      </w:pPr>
      <w:r>
        <w:t>[</w:t>
      </w:r>
      <w:r>
        <w:br/>
        <w:t>\forall</w:t>
      </w:r>
      <w:r>
        <w:br/>
        <w:t>\mathcal{O}</w:t>
      </w:r>
      <w:r>
        <w:rPr>
          <w:rStyle w:val="Hervorhebung"/>
        </w:rPr>
        <w:t>{j}</w:t>
      </w:r>
      <w:r>
        <w:rPr>
          <w:i/>
          <w:iCs/>
        </w:rPr>
        <w:br/>
      </w:r>
      <w:r>
        <w:rPr>
          <w:rStyle w:val="Hervorhebung"/>
        </w:rPr>
        <w:t>\in</w:t>
      </w:r>
      <w:r>
        <w:rPr>
          <w:i/>
          <w:iCs/>
        </w:rPr>
        <w:br/>
      </w:r>
      <w:r>
        <w:rPr>
          <w:rStyle w:val="Hervorhebung"/>
        </w:rPr>
        <w:t>\mathfrak{O}</w:t>
      </w:r>
      <w:r>
        <w:rPr>
          <w:i/>
          <w:iCs/>
        </w:rPr>
        <w:br/>
      </w:r>
      <w:r>
        <w:rPr>
          <w:rStyle w:val="Hervorhebung"/>
        </w:rPr>
        <w:t>\left(</w:t>
      </w:r>
      <w:r>
        <w:rPr>
          <w:i/>
          <w:iCs/>
        </w:rPr>
        <w:br/>
      </w:r>
      <w:r>
        <w:rPr>
          <w:rStyle w:val="Hervorhebung"/>
        </w:rPr>
        <w:t>\mathcal{K}</w:t>
      </w:r>
      <w:r>
        <w:t>{F}</w:t>
      </w:r>
      <w:r>
        <w:br/>
        <w:t>\right):</w:t>
      </w:r>
      <w:r>
        <w:br/>
        <w:t>\quad</w:t>
      </w:r>
      <w:r>
        <w:br/>
        <w:t>C_{\mathrm{zul}}</w:t>
      </w:r>
      <w:r>
        <w:br/>
        <w:t>\left(</w:t>
      </w:r>
      <w:r>
        <w:br/>
        <w:t>\mathcal{O}</w:t>
      </w:r>
      <w:r>
        <w:rPr>
          <w:rStyle w:val="Hervorhebung"/>
        </w:rPr>
        <w:t>{j},</w:t>
      </w:r>
      <w:r>
        <w:rPr>
          <w:i/>
          <w:iCs/>
        </w:rPr>
        <w:br/>
      </w:r>
      <w:r>
        <w:rPr>
          <w:rStyle w:val="Hervorhebung"/>
        </w:rPr>
        <w:t>\mathcal{K}</w:t>
      </w:r>
      <w:r>
        <w:t>{F}</w:t>
      </w:r>
      <w:r>
        <w:br/>
        <w:t>\right)</w:t>
      </w:r>
    </w:p>
    <w:p w:rsidR="00135380" w:rsidRDefault="00135380" w:rsidP="008C5E65">
      <w:pPr>
        <w:numPr>
          <w:ilvl w:val="0"/>
          <w:numId w:val="298"/>
        </w:numPr>
        <w:spacing w:before="100" w:beforeAutospacing="1" w:after="100" w:afterAutospacing="1"/>
      </w:pPr>
    </w:p>
    <w:p w:rsidR="00135380" w:rsidRDefault="00135380" w:rsidP="00135380">
      <w:pPr>
        <w:pStyle w:val="StandardWeb"/>
      </w:pPr>
      <w:r>
        <w:t>\tag{3.6414}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\forall\mathcal{O}_{j}\in\mathfrak{O}\left(\mathcal{K}_{F}\right):C_{\mathrm{zul}}\left(\mathcal{O}_{j},\mathcal{K}_{F}\right)=1\qquad\text{(3.6414)}</w:t>
      </w:r>
    </w:p>
    <w:p w:rsidR="00135380" w:rsidRDefault="00135380" w:rsidP="00135380">
      <w:pPr>
        <w:pStyle w:val="StandardWeb"/>
      </w:pPr>
      <w:r>
        <w:t>Die Operationalisierungsrobustheit wird deshalb nicht gegenüber beliebigen Messmethoden geprüft, sondern ausschließlich gegenüber wissenschaftlich vertretbaren Alternativen.</w:t>
      </w:r>
    </w:p>
    <w:p w:rsidR="00135380" w:rsidRDefault="00E50336" w:rsidP="00135380">
      <w:r>
        <w:pict>
          <v:rect id="_x0000_i1144" style="width:0;height:1.5pt" o:hralign="center" o:hrstd="t" o:hr="t" fillcolor="#a0a0a0" stroked="f"/>
        </w:pict>
      </w:r>
    </w:p>
    <w:p w:rsidR="00135380" w:rsidRDefault="00135380" w:rsidP="00135380">
      <w:pPr>
        <w:pStyle w:val="berschrift2"/>
      </w:pPr>
      <w:r>
        <w:t>3.3.39.3 Operationalisierungsabhängige Aussage</w:t>
      </w:r>
    </w:p>
    <w:p w:rsidR="00135380" w:rsidRDefault="00135380" w:rsidP="00135380">
      <w:pPr>
        <w:pStyle w:val="StandardWeb"/>
      </w:pPr>
      <w:r>
        <w:t>Eine empirische Aussage kann von der gewählten Operationalisierung abhängen. Für eine Operationalisierung (\mathcal{O}_{j}) schreibe ich</w:t>
      </w:r>
    </w:p>
    <w:p w:rsidR="00135380" w:rsidRDefault="00135380" w:rsidP="00135380">
      <w:pPr>
        <w:pStyle w:val="berschrift1"/>
      </w:pPr>
      <w:r>
        <w:lastRenderedPageBreak/>
        <w:t>[</w:t>
      </w:r>
      <w:r>
        <w:br/>
        <w:t>A_F^{(j)}</w:t>
      </w:r>
    </w:p>
    <w:p w:rsidR="00135380" w:rsidRDefault="00135380" w:rsidP="00135380">
      <w:pPr>
        <w:pStyle w:val="StandardWeb"/>
      </w:pPr>
      <w:r>
        <w:t>A_F</w:t>
      </w:r>
      <w:r>
        <w:br/>
        <w:t>\left(</w:t>
      </w:r>
      <w:r>
        <w:br/>
        <w:t>\mathcal{O}_{j}</w:t>
      </w:r>
      <w:r>
        <w:br/>
        <w:t>\right).</w:t>
      </w:r>
      <w:r>
        <w:br/>
        <w:t>\tag{3.6415}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A_F^{(j)}=A_F\left(\mathcal{O}_{j}\right)\qquad\text{(3.6415)}</w:t>
      </w:r>
    </w:p>
    <w:p w:rsidR="00135380" w:rsidRDefault="00135380" w:rsidP="00135380">
      <w:pPr>
        <w:pStyle w:val="StandardWeb"/>
      </w:pPr>
      <w:r>
        <w:t>Für zwei alternative Operationalisierungen entstehen damit</w:t>
      </w:r>
    </w:p>
    <w:p w:rsidR="00135380" w:rsidRDefault="00135380" w:rsidP="00135380">
      <w:pPr>
        <w:pStyle w:val="berschrift1"/>
      </w:pPr>
      <w:r>
        <w:t>[</w:t>
      </w:r>
      <w:r>
        <w:br/>
        <w:t>A_F^{(1)}</w:t>
      </w:r>
    </w:p>
    <w:p w:rsidR="00135380" w:rsidRDefault="00135380" w:rsidP="00135380">
      <w:pPr>
        <w:pStyle w:val="StandardWeb"/>
      </w:pPr>
      <w:r>
        <w:t>A_F</w:t>
      </w:r>
      <w:r>
        <w:br/>
        <w:t>\left(</w:t>
      </w:r>
      <w:r>
        <w:br/>
        <w:t>\mathcal{O}_{1}</w:t>
      </w:r>
      <w:r>
        <w:br/>
        <w:t>\right)</w:t>
      </w:r>
      <w:r>
        <w:br/>
        <w:t>\tag{3.6416}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A_F^{(1)}=A_F\left(\mathcal{O}_{1}\right)\qquad\text{(3.6416)}</w:t>
      </w:r>
    </w:p>
    <w:p w:rsidR="00135380" w:rsidRDefault="00135380" w:rsidP="00135380">
      <w:pPr>
        <w:pStyle w:val="StandardWeb"/>
      </w:pPr>
      <w:r>
        <w:t>und</w:t>
      </w:r>
    </w:p>
    <w:p w:rsidR="00135380" w:rsidRDefault="00135380" w:rsidP="00135380">
      <w:pPr>
        <w:pStyle w:val="berschrift1"/>
      </w:pPr>
      <w:r>
        <w:t>[</w:t>
      </w:r>
      <w:r>
        <w:br/>
        <w:t>A_F^{(2)}</w:t>
      </w:r>
    </w:p>
    <w:p w:rsidR="00135380" w:rsidRDefault="00135380" w:rsidP="00135380">
      <w:pPr>
        <w:pStyle w:val="StandardWeb"/>
      </w:pPr>
      <w:r>
        <w:t>A_F</w:t>
      </w:r>
      <w:r>
        <w:br/>
        <w:t>\left(</w:t>
      </w:r>
      <w:r>
        <w:br/>
        <w:t>\mathcal{O}_{2}</w:t>
      </w:r>
      <w:r>
        <w:br/>
        <w:t>\right).</w:t>
      </w:r>
      <w:r>
        <w:br/>
        <w:t>\tag{3.6417}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A_F^{(2)}=A_F\left(\mathcal{O}_{2}\right)\qquad\text{(3.6417)}</w:t>
      </w:r>
    </w:p>
    <w:p w:rsidR="00135380" w:rsidRDefault="00135380" w:rsidP="00135380">
      <w:pPr>
        <w:pStyle w:val="StandardWeb"/>
      </w:pPr>
      <w:r>
        <w:t>Eine vollständige numerische Übereinstimmung</w:t>
      </w:r>
    </w:p>
    <w:p w:rsidR="00135380" w:rsidRDefault="00135380" w:rsidP="00135380">
      <w:pPr>
        <w:pStyle w:val="berschrift1"/>
      </w:pPr>
      <w:r>
        <w:lastRenderedPageBreak/>
        <w:t>[</w:t>
      </w:r>
      <w:r>
        <w:br/>
        <w:t>A_F^{(1)}</w:t>
      </w:r>
    </w:p>
    <w:p w:rsidR="00135380" w:rsidRDefault="00135380" w:rsidP="00135380">
      <w:pPr>
        <w:pStyle w:val="StandardWeb"/>
      </w:pPr>
      <w:r>
        <w:t>A_F^{(2)}</w:t>
      </w:r>
      <w:r>
        <w:br/>
        <w:t>\tag{3.6418}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A_F^{(1)}=A_F^{(2)}\qquad\text{(3.6418)}</w:t>
      </w:r>
    </w:p>
    <w:p w:rsidR="00135380" w:rsidRDefault="00135380" w:rsidP="00135380">
      <w:pPr>
        <w:pStyle w:val="StandardWeb"/>
      </w:pPr>
      <w:r>
        <w:t>ist nicht grundsätzlich erforderlich.</w:t>
      </w:r>
    </w:p>
    <w:p w:rsidR="00135380" w:rsidRDefault="00135380" w:rsidP="00135380">
      <w:pPr>
        <w:pStyle w:val="StandardWeb"/>
      </w:pPr>
      <w:r>
        <w:t>Entscheidend ist vielmehr, ob beide Operationalisierungen dieselbe wissenschaftlich relevante funktionale Aussage tragen.</w:t>
      </w:r>
    </w:p>
    <w:p w:rsidR="00135380" w:rsidRDefault="00E50336" w:rsidP="00135380">
      <w:r>
        <w:pict>
          <v:rect id="_x0000_i1145" style="width:0;height:1.5pt" o:hralign="center" o:hrstd="t" o:hr="t" fillcolor="#a0a0a0" stroked="f"/>
        </w:pict>
      </w:r>
    </w:p>
    <w:p w:rsidR="00135380" w:rsidRDefault="00135380" w:rsidP="00135380">
      <w:pPr>
        <w:pStyle w:val="berschrift2"/>
      </w:pPr>
      <w:r>
        <w:t>3.3.39.4 Äquivalenz von Operationalisierungen</w:t>
      </w:r>
    </w:p>
    <w:p w:rsidR="00135380" w:rsidRDefault="00135380" w:rsidP="00135380">
      <w:pPr>
        <w:pStyle w:val="StandardWeb"/>
      </w:pPr>
      <w:r>
        <w:t>Ich führe deshalb eine Äquivalenzrelation für Operationalisierungen ein.</w:t>
      </w:r>
    </w:p>
    <w:p w:rsidR="00135380" w:rsidRDefault="00135380" w:rsidP="00135380">
      <w:pPr>
        <w:pStyle w:val="StandardWeb"/>
      </w:pPr>
      <w:r>
        <w:t>Zwei Operationalisierungen sind bezüglich einer Aussage (A_F) äquivalent, wenn sie dieselbe relevante Aussageklasse erzeugen:</w:t>
      </w:r>
    </w:p>
    <w:p w:rsidR="00135380" w:rsidRDefault="00135380" w:rsidP="00135380">
      <w:pPr>
        <w:pStyle w:val="StandardWeb"/>
      </w:pPr>
      <w:r>
        <w:t>[</w:t>
      </w:r>
      <w:r>
        <w:br/>
        <w:t>\mathcal{O}</w:t>
      </w:r>
      <w:r>
        <w:rPr>
          <w:rStyle w:val="Hervorhebung"/>
        </w:rPr>
        <w:t>{1}</w:t>
      </w:r>
      <w:r>
        <w:rPr>
          <w:i/>
          <w:iCs/>
        </w:rPr>
        <w:br/>
      </w:r>
      <w:r>
        <w:rPr>
          <w:rStyle w:val="Hervorhebung"/>
        </w:rPr>
        <w:t>\sim</w:t>
      </w:r>
      <w:r>
        <w:t>{A}</w:t>
      </w:r>
      <w:r>
        <w:br/>
        <w:t>\mathcal{O}_{2}.</w:t>
      </w:r>
      <w:r>
        <w:br/>
        <w:t>\tag{3.6419}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\mathcal{O}_{1}\sim_{A}\mathcal{O}_{2}\qquad\text{(3.6419)}</w:t>
      </w:r>
    </w:p>
    <w:p w:rsidR="00135380" w:rsidRDefault="00135380" w:rsidP="00135380">
      <w:pPr>
        <w:pStyle w:val="StandardWeb"/>
      </w:pPr>
      <w:r>
        <w:t>Die Relation bedeutet nicht, dass beide Operationalisierungen identische Messwerte erzeugen.</w:t>
      </w:r>
    </w:p>
    <w:p w:rsidR="00135380" w:rsidRDefault="00135380" w:rsidP="00135380">
      <w:pPr>
        <w:pStyle w:val="StandardWeb"/>
      </w:pPr>
      <w:r>
        <w:t>Sie verlangt lediglich</w:t>
      </w:r>
    </w:p>
    <w:p w:rsidR="00135380" w:rsidRDefault="00135380" w:rsidP="00135380">
      <w:pPr>
        <w:pStyle w:val="berschrift1"/>
      </w:pPr>
      <w:r>
        <w:t>[</w:t>
      </w:r>
      <w:r>
        <w:br/>
        <w:t>\operatorname{Klasse}_{A}</w:t>
      </w:r>
      <w:r>
        <w:br/>
        <w:t>\left(</w:t>
      </w:r>
      <w:r>
        <w:br/>
        <w:t>A_F^{(1)}</w:t>
      </w:r>
      <w:r>
        <w:br/>
        <w:t>\right)</w:t>
      </w:r>
    </w:p>
    <w:p w:rsidR="00135380" w:rsidRDefault="00135380" w:rsidP="00135380">
      <w:pPr>
        <w:pStyle w:val="StandardWeb"/>
      </w:pPr>
      <w:r>
        <w:lastRenderedPageBreak/>
        <w:t>\operatorname{Klasse}_{A}</w:t>
      </w:r>
      <w:r>
        <w:br/>
        <w:t>\left(</w:t>
      </w:r>
      <w:r>
        <w:br/>
        <w:t>A_F^{(2)}</w:t>
      </w:r>
      <w:r>
        <w:br/>
        <w:t>\right).</w:t>
      </w:r>
      <w:r>
        <w:br/>
        <w:t>\tag{3.6420}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\operatorname{Klasse}_{A}\left(A_F^{(1)}\right)=\operatorname{Klasse}_{A}\left(A_F^{(2)}\right)\qquad\text{(3.6420)}</w:t>
      </w:r>
    </w:p>
    <w:p w:rsidR="00135380" w:rsidRDefault="00135380" w:rsidP="00135380">
      <w:pPr>
        <w:pStyle w:val="StandardWeb"/>
      </w:pPr>
      <w:r>
        <w:t>Damit können beispielsweise unterschiedliche Skalen oder Normalisierungen zu numerisch unterschiedlichen Ergebnissen führen, obwohl die wissenschaftliche Interpretation erhalten bleibt.</w:t>
      </w:r>
    </w:p>
    <w:p w:rsidR="00135380" w:rsidRDefault="00E50336" w:rsidP="00135380">
      <w:r>
        <w:pict>
          <v:rect id="_x0000_i1146" style="width:0;height:1.5pt" o:hralign="center" o:hrstd="t" o:hr="t" fillcolor="#a0a0a0" stroked="f"/>
        </w:pict>
      </w:r>
    </w:p>
    <w:p w:rsidR="00135380" w:rsidRDefault="00135380" w:rsidP="00135380">
      <w:pPr>
        <w:pStyle w:val="berschrift2"/>
      </w:pPr>
      <w:r>
        <w:t>3.3.39.5 Operationalisierungsdistanz</w:t>
      </w:r>
    </w:p>
    <w:p w:rsidR="00135380" w:rsidRDefault="00135380" w:rsidP="00135380">
      <w:pPr>
        <w:pStyle w:val="StandardWeb"/>
      </w:pPr>
      <w:r>
        <w:t>Um unterschiedliche Operationalisierungen quantitativ vergleichen zu können, führe ich eine abstrakte Distanz ein:</w:t>
      </w:r>
    </w:p>
    <w:p w:rsidR="00135380" w:rsidRDefault="00135380" w:rsidP="00135380">
      <w:pPr>
        <w:pStyle w:val="StandardWeb"/>
      </w:pPr>
      <w:r>
        <w:t>[</w:t>
      </w:r>
      <w:r>
        <w:br/>
        <w:t>d_{\mathcal{O}}</w:t>
      </w:r>
      <w:r>
        <w:br/>
        <w:t>:</w:t>
      </w:r>
      <w:r>
        <w:br/>
        <w:t>\mathfrak{O}</w:t>
      </w:r>
      <w:r>
        <w:br/>
        <w:t>\times</w:t>
      </w:r>
      <w:r>
        <w:br/>
        <w:t>\mathfrak{O}</w:t>
      </w:r>
      <w:r>
        <w:br/>
        <w:t>\longrightarrow</w:t>
      </w:r>
      <w:r>
        <w:br/>
        <w:t>\mathbb{R}_{\geq0}.</w:t>
      </w:r>
      <w:r>
        <w:br/>
        <w:t>\tag{3.6421}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d_{\mathcal{O}}:\mathfrak{O}\times\mathfrak{O}\longrightarrow\mathbb{R}_{\geq0}\qquad\text{(3.6421)}</w:t>
      </w:r>
    </w:p>
    <w:p w:rsidR="00135380" w:rsidRDefault="00135380" w:rsidP="00135380">
      <w:pPr>
        <w:pStyle w:val="StandardWeb"/>
      </w:pPr>
      <w:r>
        <w:t>Für zwei konkrete Operationalisierungen gilt</w:t>
      </w:r>
    </w:p>
    <w:p w:rsidR="00135380" w:rsidRDefault="00135380" w:rsidP="00135380">
      <w:pPr>
        <w:pStyle w:val="berschrift1"/>
      </w:pPr>
      <w:r>
        <w:t>[</w:t>
      </w:r>
      <w:r>
        <w:br/>
        <w:t>D_{\mathcal{O}}</w:t>
      </w:r>
    </w:p>
    <w:p w:rsidR="00135380" w:rsidRDefault="00135380" w:rsidP="00135380">
      <w:pPr>
        <w:pStyle w:val="StandardWeb"/>
      </w:pPr>
      <w:r>
        <w:t>d_{\mathcal{O}}</w:t>
      </w:r>
      <w:r>
        <w:br/>
        <w:t>\left(</w:t>
      </w:r>
      <w:r>
        <w:br/>
        <w:t>\mathcal{O}</w:t>
      </w:r>
      <w:r>
        <w:rPr>
          <w:rStyle w:val="Hervorhebung"/>
        </w:rPr>
        <w:t>{1},</w:t>
      </w:r>
      <w:r>
        <w:rPr>
          <w:i/>
          <w:iCs/>
        </w:rPr>
        <w:br/>
      </w:r>
      <w:r>
        <w:rPr>
          <w:rStyle w:val="Hervorhebung"/>
        </w:rPr>
        <w:t>\mathcal{O}</w:t>
      </w:r>
      <w:r>
        <w:t>{2}</w:t>
      </w:r>
      <w:r>
        <w:br/>
        <w:t>\right).</w:t>
      </w:r>
      <w:r>
        <w:br/>
      </w:r>
      <w:r>
        <w:lastRenderedPageBreak/>
        <w:t>\tag{3.6422}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D_{\mathcal{O}}=d_{\mathcal{O}}\left(\mathcal{O}_{1},\mathcal{O}_{2}\right)\qquad\text{(3.6422)}</w:t>
      </w:r>
    </w:p>
    <w:p w:rsidR="00135380" w:rsidRDefault="00135380" w:rsidP="00135380">
      <w:pPr>
        <w:pStyle w:val="StandardWeb"/>
      </w:pPr>
      <w:r>
        <w:t>Für identische Operationalisierungen gilt</w:t>
      </w:r>
    </w:p>
    <w:p w:rsidR="00135380" w:rsidRDefault="00135380" w:rsidP="00135380">
      <w:pPr>
        <w:pStyle w:val="berschrift1"/>
      </w:pPr>
      <w:r>
        <w:t>[</w:t>
      </w:r>
      <w:r>
        <w:br/>
        <w:t>D_{\mathcal{O}}</w:t>
      </w:r>
    </w:p>
    <w:p w:rsidR="00135380" w:rsidRDefault="00135380" w:rsidP="008C5E65">
      <w:pPr>
        <w:numPr>
          <w:ilvl w:val="0"/>
          <w:numId w:val="299"/>
        </w:numPr>
        <w:spacing w:before="100" w:beforeAutospacing="1" w:after="100" w:afterAutospacing="1"/>
      </w:pPr>
    </w:p>
    <w:p w:rsidR="00135380" w:rsidRDefault="00135380" w:rsidP="00135380">
      <w:pPr>
        <w:pStyle w:val="StandardWeb"/>
      </w:pPr>
      <w:r>
        <w:t>\tag{3.6423}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D_{\mathcal{O}}=0\qquad\text{(3.6423)}</w:t>
      </w:r>
    </w:p>
    <w:p w:rsidR="00135380" w:rsidRDefault="00135380" w:rsidP="00135380">
      <w:pPr>
        <w:pStyle w:val="StandardWeb"/>
      </w:pPr>
      <w:r>
        <w:t>Eine große Operationalisierungsdistanz bedeutet jedoch nicht automatisch, dass die resultierenden Aussagen widersprüchlich sein müssen:</w:t>
      </w:r>
    </w:p>
    <w:p w:rsidR="00135380" w:rsidRDefault="00135380" w:rsidP="00135380">
      <w:pPr>
        <w:pStyle w:val="StandardWeb"/>
      </w:pPr>
      <w:r>
        <w:t>[</w:t>
      </w:r>
      <w:r>
        <w:br/>
        <w:t>D_{\mathcal{O}}</w:t>
      </w:r>
      <w:r>
        <w:br/>
        <w:t>\text{ groß}</w:t>
      </w:r>
      <w:r>
        <w:br/>
        <w:t>\nRightarrow</w:t>
      </w:r>
      <w:r>
        <w:br/>
        <w:t>A_F^{(1)}</w:t>
      </w:r>
      <w:r>
        <w:br/>
        <w:t>\not\sim_A</w:t>
      </w:r>
      <w:r>
        <w:br/>
        <w:t>A_F^{(2)}.</w:t>
      </w:r>
      <w:r>
        <w:br/>
        <w:t>\tag{3.6424}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D_{\mathcal{O}}\text{ groß}\nRightarrow A_F^{(1)}\not\sim_A A_F^{(2)}\qquad\text{(3.6424)}</w:t>
      </w:r>
    </w:p>
    <w:p w:rsidR="00135380" w:rsidRDefault="00135380" w:rsidP="00135380">
      <w:pPr>
        <w:pStyle w:val="StandardWeb"/>
      </w:pPr>
      <w:r>
        <w:t>Umgekehrt garantiert eine kleine Distanz keine wissenschaftliche Äquivalenz:</w:t>
      </w:r>
    </w:p>
    <w:p w:rsidR="00135380" w:rsidRDefault="00135380" w:rsidP="00135380">
      <w:pPr>
        <w:pStyle w:val="StandardWeb"/>
      </w:pPr>
      <w:r>
        <w:t>[</w:t>
      </w:r>
      <w:r>
        <w:br/>
        <w:t>D_{\mathcal{O}}</w:t>
      </w:r>
      <w:r>
        <w:br/>
        <w:t>\text{ klein}</w:t>
      </w:r>
      <w:r>
        <w:br/>
        <w:t>\nRightarrow</w:t>
      </w:r>
      <w:r>
        <w:br/>
        <w:t>A_F^{(1)}</w:t>
      </w:r>
      <w:r>
        <w:br/>
        <w:t>\sim_A</w:t>
      </w:r>
      <w:r>
        <w:br/>
        <w:t>A_F^{(2)}.</w:t>
      </w:r>
      <w:r>
        <w:br/>
      </w:r>
      <w:r>
        <w:lastRenderedPageBreak/>
        <w:t>\tag{3.6425}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D_{\mathcal{O}}\text{ klein}\nRightarrow A_F^{(1)}\sim_A A_F^{(2)}\qquad\text{(3.6425)}</w:t>
      </w:r>
    </w:p>
    <w:p w:rsidR="00135380" w:rsidRDefault="00135380" w:rsidP="00135380">
      <w:pPr>
        <w:pStyle w:val="StandardWeb"/>
      </w:pPr>
      <w:r>
        <w:t>Auch hier steht daher die aussagebezogene Bedeutung über der bloßen numerischen Nähe.</w:t>
      </w:r>
    </w:p>
    <w:p w:rsidR="00135380" w:rsidRDefault="00E50336" w:rsidP="00135380">
      <w:r>
        <w:pict>
          <v:rect id="_x0000_i1147" style="width:0;height:1.5pt" o:hralign="center" o:hrstd="t" o:hr="t" fillcolor="#a0a0a0" stroked="f"/>
        </w:pict>
      </w:r>
    </w:p>
    <w:p w:rsidR="00135380" w:rsidRDefault="00135380" w:rsidP="00135380">
      <w:pPr>
        <w:pStyle w:val="berschrift2"/>
      </w:pPr>
      <w:r>
        <w:t>3.3.39.6 Operationalisierung als Abbildungskette</w:t>
      </w:r>
    </w:p>
    <w:p w:rsidR="00135380" w:rsidRDefault="00135380" w:rsidP="00135380">
      <w:pPr>
        <w:pStyle w:val="StandardWeb"/>
      </w:pPr>
      <w:r>
        <w:t>Eine empirische Operationalisierung besteht häufig nicht aus einem einzigen Schritt. Zwischen theoretischem Konzept und resultierendem Messwert können mehrere Verarbeitungsebenen liegen.</w:t>
      </w:r>
    </w:p>
    <w:p w:rsidR="00135380" w:rsidRDefault="00135380" w:rsidP="00135380">
      <w:pPr>
        <w:pStyle w:val="StandardWeb"/>
      </w:pPr>
      <w:r>
        <w:t>Ich schreibe eine solche Kette als</w:t>
      </w:r>
    </w:p>
    <w:p w:rsidR="00135380" w:rsidRDefault="00135380" w:rsidP="00135380">
      <w:pPr>
        <w:pStyle w:val="StandardWeb"/>
      </w:pPr>
      <w:r>
        <w:t>[</w:t>
      </w:r>
      <w:r>
        <w:br/>
        <w:t>\mathcal{K}_{F}</w:t>
      </w:r>
      <w:r>
        <w:br/>
        <w:t>\xrightarrow{O_1}</w:t>
      </w:r>
      <w:r>
        <w:br/>
        <w:t>Z_1</w:t>
      </w:r>
      <w:r>
        <w:br/>
        <w:t>\xrightarrow{O_2}</w:t>
      </w:r>
      <w:r>
        <w:br/>
        <w:t>Z_2</w:t>
      </w:r>
      <w:r>
        <w:br/>
        <w:t>\xrightarrow{O_3}</w:t>
      </w:r>
      <w:r>
        <w:br/>
        <w:t>\cdots</w:t>
      </w:r>
      <w:r>
        <w:br/>
        <w:t>\xrightarrow{O_n}</w:t>
      </w:r>
      <w:r>
        <w:br/>
        <w:t>Y.</w:t>
      </w:r>
      <w:r>
        <w:br/>
        <w:t>\tag{3.6426}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\mathcal{K}_{F}\xrightarrow{O_1}Z_1\xrightarrow{O_2}Z_2\xrightarrow{O_3}\cdots\xrightarrow{O_n}Y\qquad\text{(3.6426)}</w:t>
      </w:r>
    </w:p>
    <w:p w:rsidR="00135380" w:rsidRDefault="00135380" w:rsidP="00135380">
      <w:pPr>
        <w:pStyle w:val="StandardWeb"/>
      </w:pPr>
      <w:r>
        <w:t>Die Gesamtoperationalisierung lautet</w:t>
      </w:r>
    </w:p>
    <w:p w:rsidR="00135380" w:rsidRDefault="00135380" w:rsidP="00135380">
      <w:pPr>
        <w:pStyle w:val="berschrift1"/>
      </w:pPr>
      <w:r>
        <w:t>[</w:t>
      </w:r>
      <w:r>
        <w:br/>
        <w:t>\mathcal{O}_{\mathrm{ges}}</w:t>
      </w:r>
    </w:p>
    <w:p w:rsidR="00135380" w:rsidRDefault="00135380" w:rsidP="00135380">
      <w:pPr>
        <w:pStyle w:val="StandardWeb"/>
      </w:pPr>
      <w:r>
        <w:t>O_n</w:t>
      </w:r>
      <w:r>
        <w:br/>
        <w:t>\circ</w:t>
      </w:r>
      <w:r>
        <w:br/>
        <w:t>O_{n-1}</w:t>
      </w:r>
      <w:r>
        <w:br/>
        <w:t>\circ</w:t>
      </w:r>
      <w:r>
        <w:br/>
        <w:t>\cdots</w:t>
      </w:r>
      <w:r>
        <w:br/>
        <w:t>\circ</w:t>
      </w:r>
      <w:r>
        <w:br/>
        <w:t>O_1.</w:t>
      </w:r>
      <w:r>
        <w:br/>
      </w:r>
      <w:r>
        <w:lastRenderedPageBreak/>
        <w:t>\tag{3.6427}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\mathcal{O}_{\mathrm{ges}}=O_n\circ O_{n-1}\circ\cdots\circ O_1\qquad\text{(3.6427)}</w:t>
      </w:r>
    </w:p>
    <w:p w:rsidR="00135380" w:rsidRDefault="00135380" w:rsidP="00135380">
      <w:pPr>
        <w:pStyle w:val="StandardWeb"/>
      </w:pPr>
      <w:r>
        <w:t>Damit ergibt sich</w:t>
      </w:r>
    </w:p>
    <w:p w:rsidR="00135380" w:rsidRDefault="00135380" w:rsidP="00135380">
      <w:pPr>
        <w:pStyle w:val="berschrift1"/>
      </w:pPr>
      <w:r>
        <w:t>[</w:t>
      </w:r>
      <w:r>
        <w:br/>
        <w:t>Y</w:t>
      </w:r>
    </w:p>
    <w:p w:rsidR="00135380" w:rsidRDefault="00135380" w:rsidP="00135380">
      <w:pPr>
        <w:pStyle w:val="StandardWeb"/>
      </w:pPr>
      <w:r>
        <w:t>\mathcal{O}</w:t>
      </w:r>
      <w:r>
        <w:rPr>
          <w:rStyle w:val="Hervorhebung"/>
        </w:rPr>
        <w:t>{\mathrm{ges}}</w:t>
      </w:r>
      <w:r>
        <w:rPr>
          <w:i/>
          <w:iCs/>
        </w:rPr>
        <w:br/>
      </w:r>
      <w:r>
        <w:rPr>
          <w:rStyle w:val="Hervorhebung"/>
        </w:rPr>
        <w:t>\left(</w:t>
      </w:r>
      <w:r>
        <w:rPr>
          <w:i/>
          <w:iCs/>
        </w:rPr>
        <w:br/>
      </w:r>
      <w:r>
        <w:rPr>
          <w:rStyle w:val="Hervorhebung"/>
        </w:rPr>
        <w:t>\mathcal{K}</w:t>
      </w:r>
      <w:r>
        <w:t>{F}</w:t>
      </w:r>
      <w:r>
        <w:br/>
        <w:t>\right).</w:t>
      </w:r>
      <w:r>
        <w:br/>
        <w:t>\tag{3.6428}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Y=\mathcal{O}_{\mathrm{ges}}\left(\mathcal{K}_{F}\right)\qquad\text{(3.6428)}</w:t>
      </w:r>
    </w:p>
    <w:p w:rsidR="00135380" w:rsidRDefault="00135380" w:rsidP="00135380">
      <w:pPr>
        <w:pStyle w:val="StandardWeb"/>
      </w:pPr>
      <w:r>
        <w:t>Jeder einzelne Schritt kann zusätzliche Annahmen, Skalierungen, Filter, Aggregationen oder Klassifikationsentscheidungen enthalten.</w:t>
      </w:r>
    </w:p>
    <w:p w:rsidR="00135380" w:rsidRDefault="00135380" w:rsidP="00135380">
      <w:pPr>
        <w:pStyle w:val="StandardWeb"/>
      </w:pPr>
      <w:r>
        <w:t>Die Operationalisierungsrobustheit muss deshalb gegebenenfalls nicht nur auf Ebene der Gesamtabbildung, sondern auch entlang einzelner Verarbeitungsschritte geprüft werden.</w:t>
      </w:r>
    </w:p>
    <w:p w:rsidR="00135380" w:rsidRDefault="00E50336" w:rsidP="00135380">
      <w:r>
        <w:pict>
          <v:rect id="_x0000_i1148" style="width:0;height:1.5pt" o:hralign="center" o:hrstd="t" o:hr="t" fillcolor="#a0a0a0" stroked="f"/>
        </w:pict>
      </w:r>
    </w:p>
    <w:p w:rsidR="00135380" w:rsidRDefault="00135380" w:rsidP="00135380">
      <w:pPr>
        <w:pStyle w:val="berschrift2"/>
      </w:pPr>
      <w:r>
        <w:t>3.3.39.7 Rohdaten und abgeleitete Größen</w:t>
      </w:r>
    </w:p>
    <w:p w:rsidR="00135380" w:rsidRDefault="00135380" w:rsidP="00135380">
      <w:pPr>
        <w:pStyle w:val="StandardWeb"/>
      </w:pPr>
      <w:r>
        <w:t>Besonders wichtig ist die Trennung zwischen Rohdaten und abgeleiteten funktionalen Größen.</w:t>
      </w:r>
    </w:p>
    <w:p w:rsidR="00135380" w:rsidRDefault="00135380" w:rsidP="00135380">
      <w:pPr>
        <w:pStyle w:val="StandardWeb"/>
      </w:pPr>
      <w:r>
        <w:t>Den Rohdatenraum bezeichne ich mit</w:t>
      </w:r>
    </w:p>
    <w:p w:rsidR="00135380" w:rsidRDefault="00135380" w:rsidP="00135380">
      <w:pPr>
        <w:pStyle w:val="StandardWeb"/>
      </w:pPr>
      <w:r>
        <w:t>[</w:t>
      </w:r>
      <w:r>
        <w:br/>
        <w:t>\mathcal{D}_{0}.</w:t>
      </w:r>
      <w:r>
        <w:br/>
        <w:t>\tag{3.6429}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\mathcal{D}_{0}\qquad\text{(3.6429)}</w:t>
      </w:r>
    </w:p>
    <w:p w:rsidR="00135380" w:rsidRDefault="00135380" w:rsidP="00135380">
      <w:pPr>
        <w:pStyle w:val="StandardWeb"/>
      </w:pPr>
      <w:r>
        <w:t>Eine Vorverarbeitungsabbildung lautet</w:t>
      </w:r>
    </w:p>
    <w:p w:rsidR="00135380" w:rsidRDefault="00135380" w:rsidP="00135380">
      <w:pPr>
        <w:pStyle w:val="StandardWeb"/>
      </w:pPr>
      <w:r>
        <w:lastRenderedPageBreak/>
        <w:t>[</w:t>
      </w:r>
      <w:r>
        <w:br/>
        <w:t>P</w:t>
      </w:r>
      <w:r>
        <w:br/>
        <w:t>:</w:t>
      </w:r>
      <w:r>
        <w:br/>
        <w:t>\mathcal{D}</w:t>
      </w:r>
      <w:r>
        <w:rPr>
          <w:rStyle w:val="Hervorhebung"/>
        </w:rPr>
        <w:t>{0}</w:t>
      </w:r>
      <w:r>
        <w:rPr>
          <w:i/>
          <w:iCs/>
        </w:rPr>
        <w:br/>
      </w:r>
      <w:r>
        <w:rPr>
          <w:rStyle w:val="Hervorhebung"/>
        </w:rPr>
        <w:t>\longrightarrow</w:t>
      </w:r>
      <w:r>
        <w:rPr>
          <w:i/>
          <w:iCs/>
        </w:rPr>
        <w:br/>
      </w:r>
      <w:r>
        <w:rPr>
          <w:rStyle w:val="Hervorhebung"/>
        </w:rPr>
        <w:t>\mathcal{D}</w:t>
      </w:r>
      <w:r>
        <w:t>{1}.</w:t>
      </w:r>
      <w:r>
        <w:br/>
        <w:t>\tag{3.6430}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P:\mathcal{D}_{0}\longrightarrow\mathcal{D}_{1}\qquad\text{(3.6430)}</w:t>
      </w:r>
    </w:p>
    <w:p w:rsidR="00135380" w:rsidRDefault="00135380" w:rsidP="00135380">
      <w:pPr>
        <w:pStyle w:val="StandardWeb"/>
      </w:pPr>
      <w:r>
        <w:t>Die eigentliche Merkmalsextraktion sei</w:t>
      </w:r>
    </w:p>
    <w:p w:rsidR="00135380" w:rsidRDefault="00135380" w:rsidP="00135380">
      <w:pPr>
        <w:pStyle w:val="StandardWeb"/>
      </w:pPr>
      <w:r>
        <w:t>[</w:t>
      </w:r>
      <w:r>
        <w:br/>
        <w:t>E</w:t>
      </w:r>
      <w:r>
        <w:br/>
        <w:t>:</w:t>
      </w:r>
      <w:r>
        <w:br/>
        <w:t>\mathcal{D}_{1}</w:t>
      </w:r>
      <w:r>
        <w:br/>
        <w:t>\longrightarrow</w:t>
      </w:r>
      <w:r>
        <w:br/>
        <w:t>\mathcal{F}.</w:t>
      </w:r>
      <w:r>
        <w:br/>
        <w:t>\tag{3.6431}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E:\mathcal{D}_{1}\longrightarrow\mathcal{F}\qquad\text{(3.6431)}</w:t>
      </w:r>
    </w:p>
    <w:p w:rsidR="00135380" w:rsidRDefault="00135380" w:rsidP="00135380">
      <w:pPr>
        <w:pStyle w:val="StandardWeb"/>
      </w:pPr>
      <w:r>
        <w:t>Eine funktionale Kennzahl ergibt sich anschließend über</w:t>
      </w:r>
    </w:p>
    <w:p w:rsidR="00135380" w:rsidRDefault="00135380" w:rsidP="00135380">
      <w:pPr>
        <w:pStyle w:val="StandardWeb"/>
      </w:pPr>
      <w:r>
        <w:t>[</w:t>
      </w:r>
      <w:r>
        <w:br/>
        <w:t>M</w:t>
      </w:r>
      <w:r>
        <w:br/>
        <w:t>:</w:t>
      </w:r>
      <w:r>
        <w:br/>
        <w:t>\mathcal{F}</w:t>
      </w:r>
      <w:r>
        <w:br/>
        <w:t>\longrightarrow</w:t>
      </w:r>
      <w:r>
        <w:br/>
        <w:t>\mathbb{R}^{p}.</w:t>
      </w:r>
      <w:r>
        <w:br/>
        <w:t>\tag{3.6432}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M:\mathcal{F}\longrightarrow\mathbb{R}^{p}\qquad\text{(3.6432)}</w:t>
      </w:r>
    </w:p>
    <w:p w:rsidR="00135380" w:rsidRDefault="00135380" w:rsidP="00135380">
      <w:pPr>
        <w:pStyle w:val="StandardWeb"/>
      </w:pPr>
      <w:r>
        <w:t>Damit lautet die gesamte empirische Repräsentation</w:t>
      </w:r>
    </w:p>
    <w:p w:rsidR="00135380" w:rsidRDefault="00135380" w:rsidP="00135380">
      <w:pPr>
        <w:pStyle w:val="berschrift1"/>
      </w:pPr>
      <w:r>
        <w:t>[</w:t>
      </w:r>
      <w:r>
        <w:br/>
        <w:t>Y</w:t>
      </w:r>
    </w:p>
    <w:p w:rsidR="00135380" w:rsidRDefault="00135380" w:rsidP="00135380">
      <w:pPr>
        <w:pStyle w:val="StandardWeb"/>
      </w:pPr>
      <w:r>
        <w:t>M</w:t>
      </w:r>
      <w:r>
        <w:br/>
        <w:t>\circ</w:t>
      </w:r>
      <w:r>
        <w:br/>
      </w:r>
      <w:r>
        <w:lastRenderedPageBreak/>
        <w:t>E</w:t>
      </w:r>
      <w:r>
        <w:br/>
        <w:t>\circ</w:t>
      </w:r>
      <w:r>
        <w:br/>
        <w:t>P</w:t>
      </w:r>
      <w:r>
        <w:br/>
        <w:t>\left(</w:t>
      </w:r>
      <w:r>
        <w:br/>
        <w:t>\mathcal{D}_{0}</w:t>
      </w:r>
      <w:r>
        <w:br/>
        <w:t>\right).</w:t>
      </w:r>
      <w:r>
        <w:br/>
        <w:t>\tag{3.6433}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Y=M\circ E\circ P\left(\mathcal{D}_{0}\right)\qquad\text{(3.6433)}</w:t>
      </w:r>
    </w:p>
    <w:p w:rsidR="00135380" w:rsidRDefault="00135380" w:rsidP="00135380">
      <w:pPr>
        <w:pStyle w:val="StandardWeb"/>
      </w:pPr>
      <w:r>
        <w:t>Änderungen in (P), (E) oder (M) können somit bereits zu unterschiedlichen Ergebniswerten führen, obwohl dieselben Rohdaten verwendet werden.</w:t>
      </w:r>
    </w:p>
    <w:p w:rsidR="00135380" w:rsidRDefault="00E50336" w:rsidP="00135380">
      <w:r>
        <w:pict>
          <v:rect id="_x0000_i1149" style="width:0;height:1.5pt" o:hralign="center" o:hrstd="t" o:hr="t" fillcolor="#a0a0a0" stroked="f"/>
        </w:pict>
      </w:r>
    </w:p>
    <w:p w:rsidR="00135380" w:rsidRDefault="00135380" w:rsidP="00135380">
      <w:pPr>
        <w:pStyle w:val="berschrift2"/>
      </w:pPr>
      <w:r>
        <w:t>3.3.39.8 Vorverarbeitungsabhängigkeit</w:t>
      </w:r>
    </w:p>
    <w:p w:rsidR="00135380" w:rsidRDefault="00135380" w:rsidP="00135380">
      <w:pPr>
        <w:pStyle w:val="StandardWeb"/>
      </w:pPr>
      <w:r>
        <w:t>Seien zwei zulässige Vorverarbeitungen gegeben:</w:t>
      </w:r>
    </w:p>
    <w:p w:rsidR="00135380" w:rsidRDefault="00135380" w:rsidP="00135380">
      <w:pPr>
        <w:pStyle w:val="StandardWeb"/>
      </w:pPr>
      <w:r>
        <w:t>[</w:t>
      </w:r>
      <w:r>
        <w:br/>
        <w:t>P_1</w:t>
      </w:r>
      <w:r>
        <w:br/>
        <w:t>\quad\text{und}\quad</w:t>
      </w:r>
      <w:r>
        <w:br/>
        <w:t>P_2.</w:t>
      </w:r>
      <w:r>
        <w:br/>
        <w:t>\tag{3.6434}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P_1\quad\text{und}\quad P_2\qquad\text{(3.6434)}</w:t>
      </w:r>
    </w:p>
    <w:p w:rsidR="00135380" w:rsidRDefault="00135380" w:rsidP="00135380">
      <w:pPr>
        <w:pStyle w:val="StandardWeb"/>
      </w:pPr>
      <w:r>
        <w:t>Dann entstehen</w:t>
      </w:r>
    </w:p>
    <w:p w:rsidR="00135380" w:rsidRDefault="00135380" w:rsidP="00135380">
      <w:pPr>
        <w:pStyle w:val="berschrift1"/>
      </w:pPr>
      <w:r>
        <w:t>[</w:t>
      </w:r>
      <w:r>
        <w:br/>
        <w:t>\mathcal{D}_{1}^{(1)}</w:t>
      </w:r>
    </w:p>
    <w:p w:rsidR="00135380" w:rsidRDefault="00135380" w:rsidP="00135380">
      <w:pPr>
        <w:pStyle w:val="StandardWeb"/>
      </w:pPr>
      <w:r>
        <w:t>P_1</w:t>
      </w:r>
      <w:r>
        <w:br/>
        <w:t>\left(</w:t>
      </w:r>
      <w:r>
        <w:br/>
        <w:t>\mathcal{D}_{0}</w:t>
      </w:r>
      <w:r>
        <w:br/>
        <w:t>\right)</w:t>
      </w:r>
      <w:r>
        <w:br/>
        <w:t>\tag{3.6435}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\mathcal{D}_{1}^{(1)}=P_1\left(\mathcal{D}_{0}\right)\qquad\text{(3.6435)}</w:t>
      </w:r>
    </w:p>
    <w:p w:rsidR="00135380" w:rsidRDefault="00135380" w:rsidP="00135380">
      <w:pPr>
        <w:pStyle w:val="StandardWeb"/>
      </w:pPr>
      <w:r>
        <w:t>und</w:t>
      </w:r>
    </w:p>
    <w:p w:rsidR="00135380" w:rsidRDefault="00135380" w:rsidP="00135380">
      <w:pPr>
        <w:pStyle w:val="berschrift1"/>
      </w:pPr>
      <w:r>
        <w:lastRenderedPageBreak/>
        <w:t>[</w:t>
      </w:r>
      <w:r>
        <w:br/>
        <w:t>\mathcal{D}_{1}^{(2)}</w:t>
      </w:r>
    </w:p>
    <w:p w:rsidR="00135380" w:rsidRDefault="00135380" w:rsidP="00135380">
      <w:pPr>
        <w:pStyle w:val="StandardWeb"/>
      </w:pPr>
      <w:r>
        <w:t>P_2</w:t>
      </w:r>
      <w:r>
        <w:br/>
        <w:t>\left(</w:t>
      </w:r>
      <w:r>
        <w:br/>
        <w:t>\mathcal{D}_{0}</w:t>
      </w:r>
      <w:r>
        <w:br/>
        <w:t>\right).</w:t>
      </w:r>
      <w:r>
        <w:br/>
        <w:t>\tag{3.6436}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\mathcal{D}_{1}^{(2)}=P_2\left(\mathcal{D}_{0}\right)\qquad\text{(3.6436)}</w:t>
      </w:r>
    </w:p>
    <w:p w:rsidR="00135380" w:rsidRDefault="00135380" w:rsidP="00135380">
      <w:pPr>
        <w:pStyle w:val="StandardWeb"/>
      </w:pPr>
      <w:r>
        <w:t>Die daraus resultierenden Aussagen können sich unterscheiden:</w:t>
      </w:r>
    </w:p>
    <w:p w:rsidR="00135380" w:rsidRDefault="00135380" w:rsidP="00135380">
      <w:pPr>
        <w:pStyle w:val="StandardWeb"/>
      </w:pPr>
      <w:r>
        <w:t>[</w:t>
      </w:r>
      <w:r>
        <w:br/>
        <w:t>A_F^{(P_1)}</w:t>
      </w:r>
      <w:r>
        <w:br/>
        <w:t>\neq</w:t>
      </w:r>
      <w:r>
        <w:br/>
        <w:t>A_F^{(P_2)}.</w:t>
      </w:r>
      <w:r>
        <w:br/>
        <w:t>\tag{3.6437}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A_F^{(P_1)}\neq A_F^{(P_2)}\qquad\text{(3.6437)}</w:t>
      </w:r>
    </w:p>
    <w:p w:rsidR="00135380" w:rsidRDefault="00135380" w:rsidP="00135380">
      <w:pPr>
        <w:pStyle w:val="StandardWeb"/>
      </w:pPr>
      <w:r>
        <w:t>Eine robuste Aussage sollte gegenüber plausiblen Vorverarbeitungsvarianten in ihrer wesentlichen Interpretation erhalten bleiben.</w:t>
      </w:r>
    </w:p>
    <w:p w:rsidR="00135380" w:rsidRDefault="00E50336" w:rsidP="00135380">
      <w:r>
        <w:pict>
          <v:rect id="_x0000_i1150" style="width:0;height:1.5pt" o:hralign="center" o:hrstd="t" o:hr="t" fillcolor="#a0a0a0" stroked="f"/>
        </w:pict>
      </w:r>
    </w:p>
    <w:p w:rsidR="00135380" w:rsidRDefault="00135380" w:rsidP="00135380">
      <w:pPr>
        <w:pStyle w:val="berschrift2"/>
      </w:pPr>
      <w:r>
        <w:t>3.3.39.9 Skalierungsabhängigkeit</w:t>
      </w:r>
    </w:p>
    <w:p w:rsidR="00135380" w:rsidRDefault="00135380" w:rsidP="00135380">
      <w:pPr>
        <w:pStyle w:val="StandardWeb"/>
      </w:pPr>
      <w:r>
        <w:t>Auch Skalierungen können wissenschaftliche Ergebnisse beeinflussen.</w:t>
      </w:r>
    </w:p>
    <w:p w:rsidR="00135380" w:rsidRDefault="00135380" w:rsidP="00135380">
      <w:pPr>
        <w:pStyle w:val="StandardWeb"/>
      </w:pPr>
      <w:r>
        <w:t>Eine lineare Skalierung sei</w:t>
      </w:r>
    </w:p>
    <w:p w:rsidR="00135380" w:rsidRDefault="00135380" w:rsidP="00135380">
      <w:pPr>
        <w:pStyle w:val="berschrift1"/>
      </w:pPr>
      <w:r>
        <w:t>[</w:t>
      </w:r>
      <w:r>
        <w:br/>
        <w:t>x'</w:t>
      </w:r>
    </w:p>
    <w:p w:rsidR="00135380" w:rsidRDefault="00135380" w:rsidP="00135380">
      <w:pPr>
        <w:pStyle w:val="StandardWeb"/>
      </w:pPr>
      <w:r>
        <w:t>a x+b.</w:t>
      </w:r>
      <w:r>
        <w:br/>
        <w:t>\tag{3.6438}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x^{\prime}=ax+b\qquad\text{(3.6438)}</w:t>
      </w:r>
    </w:p>
    <w:p w:rsidR="00135380" w:rsidRDefault="00135380" w:rsidP="00135380">
      <w:pPr>
        <w:pStyle w:val="StandardWeb"/>
      </w:pPr>
      <w:r>
        <w:lastRenderedPageBreak/>
        <w:t>mit</w:t>
      </w:r>
    </w:p>
    <w:p w:rsidR="00135380" w:rsidRDefault="00135380" w:rsidP="00135380">
      <w:pPr>
        <w:pStyle w:val="StandardWeb"/>
      </w:pPr>
      <w:r>
        <w:t>[</w:t>
      </w:r>
      <w:r>
        <w:br/>
        <w:t>a</w:t>
      </w:r>
      <w:r>
        <w:br/>
        <w:t>\neq</w:t>
      </w:r>
      <w:r>
        <w:br/>
        <w:t>0.</w:t>
      </w:r>
      <w:r>
        <w:br/>
        <w:t>\tag{3.6439}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a\neq0\qquad\text{(3.6439)}</w:t>
      </w:r>
    </w:p>
    <w:p w:rsidR="00135380" w:rsidRDefault="00135380" w:rsidP="00135380">
      <w:pPr>
        <w:pStyle w:val="StandardWeb"/>
      </w:pPr>
      <w:r>
        <w:t>Ein wissenschaftliches Ergebnis kann unter einer solchen Transformation numerisch verändert werden, obwohl die zugrunde liegende Ordnung erhalten bleibt.</w:t>
      </w:r>
    </w:p>
    <w:p w:rsidR="00135380" w:rsidRDefault="00135380" w:rsidP="00135380">
      <w:pPr>
        <w:pStyle w:val="StandardWeb"/>
      </w:pPr>
      <w:r>
        <w:t>Für (a&gt;0) gilt</w:t>
      </w:r>
    </w:p>
    <w:p w:rsidR="00135380" w:rsidRDefault="00135380" w:rsidP="00135380">
      <w:pPr>
        <w:pStyle w:val="StandardWeb"/>
      </w:pPr>
      <w:r>
        <w:t>[</w:t>
      </w:r>
      <w:r>
        <w:br/>
        <w:t>x_1</w:t>
      </w:r>
      <w:r>
        <w:br/>
        <w:t>&lt;</w:t>
      </w:r>
      <w:r>
        <w:br/>
        <w:t>x_2</w:t>
      </w:r>
      <w:r>
        <w:br/>
        <w:t>\Longleftrightarrow</w:t>
      </w:r>
      <w:r>
        <w:br/>
        <w:t>x_1'</w:t>
      </w:r>
      <w:r>
        <w:br/>
        <w:t>&lt;</w:t>
      </w:r>
      <w:r>
        <w:br/>
        <w:t>x_2'.</w:t>
      </w:r>
      <w:r>
        <w:br/>
        <w:t>\tag{3.6440}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x_1&lt;x_2\Longleftrightarrow x_1^{\prime}&lt;x_2^{\prime}\qquad\text{(3.6440)}</w:t>
      </w:r>
    </w:p>
    <w:p w:rsidR="00135380" w:rsidRDefault="00135380" w:rsidP="00135380">
      <w:pPr>
        <w:pStyle w:val="StandardWeb"/>
      </w:pPr>
      <w:r>
        <w:t>Eine Aussage, die ausschließlich von der Rangordnung abhängt, kann deshalb gegenüber positiver linearer Skalierung robust sein.</w:t>
      </w:r>
    </w:p>
    <w:p w:rsidR="00135380" w:rsidRDefault="00135380" w:rsidP="00135380">
      <w:pPr>
        <w:pStyle w:val="StandardWeb"/>
      </w:pPr>
      <w:r>
        <w:t>Eine Aussage, die absolute Abstände verwendet, kann dagegen verändert werden.</w:t>
      </w:r>
    </w:p>
    <w:p w:rsidR="00135380" w:rsidRDefault="00E50336" w:rsidP="00135380">
      <w:r>
        <w:pict>
          <v:rect id="_x0000_i1151" style="width:0;height:1.5pt" o:hralign="center" o:hrstd="t" o:hr="t" fillcolor="#a0a0a0" stroked="f"/>
        </w:pict>
      </w:r>
    </w:p>
    <w:p w:rsidR="00135380" w:rsidRDefault="00135380" w:rsidP="00135380">
      <w:pPr>
        <w:pStyle w:val="berschrift2"/>
      </w:pPr>
      <w:r>
        <w:t>3.3.39.10 Monotone Transformationen</w:t>
      </w:r>
    </w:p>
    <w:p w:rsidR="00135380" w:rsidRDefault="00135380" w:rsidP="00135380">
      <w:pPr>
        <w:pStyle w:val="StandardWeb"/>
      </w:pPr>
      <w:r>
        <w:t>Allgemeiner sei</w:t>
      </w:r>
    </w:p>
    <w:p w:rsidR="00135380" w:rsidRDefault="00135380" w:rsidP="00135380">
      <w:pPr>
        <w:pStyle w:val="berschrift1"/>
      </w:pPr>
      <w:r>
        <w:t>[</w:t>
      </w:r>
      <w:r>
        <w:br/>
        <w:t>x'</w:t>
      </w:r>
    </w:p>
    <w:p w:rsidR="00135380" w:rsidRDefault="00135380" w:rsidP="00135380">
      <w:pPr>
        <w:pStyle w:val="StandardWeb"/>
      </w:pPr>
      <w:r>
        <w:t>f(x)</w:t>
      </w:r>
      <w:r>
        <w:br/>
        <w:t>\tag{3.6441}</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x^{\prime}=f(x)\qquad\text{(3.6441)}</w:t>
      </w:r>
    </w:p>
    <w:p w:rsidR="00135380" w:rsidRDefault="00135380" w:rsidP="00135380">
      <w:pPr>
        <w:pStyle w:val="StandardWeb"/>
      </w:pPr>
      <w:r>
        <w:t>mit einer streng monoton steigenden Funktion (f).</w:t>
      </w:r>
    </w:p>
    <w:p w:rsidR="00135380" w:rsidRDefault="00135380" w:rsidP="00135380">
      <w:pPr>
        <w:pStyle w:val="StandardWeb"/>
      </w:pPr>
      <w:r>
        <w:t>Dann gilt</w:t>
      </w:r>
    </w:p>
    <w:p w:rsidR="00135380" w:rsidRDefault="00135380" w:rsidP="00135380">
      <w:pPr>
        <w:pStyle w:val="StandardWeb"/>
      </w:pPr>
      <w:r>
        <w:t>[</w:t>
      </w:r>
      <w:r>
        <w:br/>
        <w:t>x_1</w:t>
      </w:r>
      <w:r>
        <w:br/>
        <w:t>&lt;</w:t>
      </w:r>
      <w:r>
        <w:br/>
        <w:t>x_2</w:t>
      </w:r>
      <w:r>
        <w:br/>
        <w:t>\Longleftrightarrow</w:t>
      </w:r>
      <w:r>
        <w:br/>
        <w:t>f(x_1)</w:t>
      </w:r>
      <w:r>
        <w:br/>
        <w:t>&lt;</w:t>
      </w:r>
      <w:r>
        <w:br/>
        <w:t>f(x_2).</w:t>
      </w:r>
      <w:r>
        <w:br/>
        <w:t>\tag{3.6442}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x_1&lt;x_2\Longleftrightarrow f(x_1)&lt;f(x_2)\qquad\text{(3.6442)}</w:t>
      </w:r>
    </w:p>
    <w:p w:rsidR="00135380" w:rsidRDefault="00135380" w:rsidP="00135380">
      <w:pPr>
        <w:pStyle w:val="StandardWeb"/>
      </w:pPr>
      <w:r>
        <w:t>Damit bleiben ordnungsbasierte Aussagen invariant.</w:t>
      </w:r>
    </w:p>
    <w:p w:rsidR="00135380" w:rsidRDefault="00135380" w:rsidP="00135380">
      <w:pPr>
        <w:pStyle w:val="StandardWeb"/>
      </w:pPr>
      <w:r>
        <w:t>Abstandsbasierte Aussagen müssen dagegen nicht invariant bleiben:</w:t>
      </w:r>
    </w:p>
    <w:p w:rsidR="00135380" w:rsidRDefault="00135380" w:rsidP="00135380">
      <w:pPr>
        <w:pStyle w:val="StandardWeb"/>
      </w:pPr>
      <w:r>
        <w:t>[</w:t>
      </w:r>
      <w:r>
        <w:br/>
        <w:t>|x_2-x_1|</w:t>
      </w:r>
      <w:r>
        <w:br/>
        <w:t>\neq</w:t>
      </w:r>
      <w:r>
        <w:br/>
        <w:t>|f(x_2)-f(x_1)|.</w:t>
      </w:r>
      <w:r>
        <w:br/>
        <w:t>\tag{3.6443}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|x_2-x_1|\neq|f(x_2)-f(x_1)|\qquad\text{(3.6443)}</w:t>
      </w:r>
    </w:p>
    <w:p w:rsidR="00135380" w:rsidRDefault="00135380" w:rsidP="00135380">
      <w:pPr>
        <w:pStyle w:val="StandardWeb"/>
      </w:pPr>
      <w:r>
        <w:t>Hieraus folgt unmittelbar, dass die Robustheit einer Operationalisierung immer von der konkreten Form der wissenschaftlichen Aussage abhängt.</w:t>
      </w:r>
    </w:p>
    <w:p w:rsidR="00135380" w:rsidRDefault="00E50336" w:rsidP="00135380">
      <w:r>
        <w:pict>
          <v:rect id="_x0000_i1152" style="width:0;height:1.5pt" o:hralign="center" o:hrstd="t" o:hr="t" fillcolor="#a0a0a0" stroked="f"/>
        </w:pict>
      </w:r>
    </w:p>
    <w:p w:rsidR="00135380" w:rsidRDefault="00135380" w:rsidP="00135380">
      <w:pPr>
        <w:pStyle w:val="berschrift2"/>
      </w:pPr>
      <w:r>
        <w:t>3.3.39.11 Schwellenwertabhängigkeit</w:t>
      </w:r>
    </w:p>
    <w:p w:rsidR="00135380" w:rsidRDefault="00135380" w:rsidP="00135380">
      <w:pPr>
        <w:pStyle w:val="StandardWeb"/>
      </w:pPr>
      <w:r>
        <w:t>Viele empirische Klassifikationen verwenden einen Schwellenwert.</w:t>
      </w:r>
    </w:p>
    <w:p w:rsidR="00135380" w:rsidRDefault="00135380" w:rsidP="00135380">
      <w:pPr>
        <w:pStyle w:val="StandardWeb"/>
      </w:pPr>
      <w:r>
        <w:t>Sei</w:t>
      </w:r>
    </w:p>
    <w:p w:rsidR="00135380" w:rsidRDefault="00135380" w:rsidP="00135380">
      <w:pPr>
        <w:pStyle w:val="StandardWeb"/>
      </w:pPr>
      <w:r>
        <w:t>[</w:t>
      </w:r>
      <w:r>
        <w:br/>
        <w:t>\theta</w:t>
      </w:r>
      <w:r>
        <w:br/>
      </w:r>
      <w:r>
        <w:lastRenderedPageBreak/>
        <w:t>\tag{3.6444}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\theta\qquad\text{(3.6444)}</w:t>
      </w:r>
    </w:p>
    <w:p w:rsidR="00135380" w:rsidRDefault="00135380" w:rsidP="00135380">
      <w:pPr>
        <w:pStyle w:val="StandardWeb"/>
      </w:pPr>
      <w:r>
        <w:t>ein solcher Schwellenwert.</w:t>
      </w:r>
    </w:p>
    <w:p w:rsidR="00135380" w:rsidRDefault="00135380" w:rsidP="00135380">
      <w:pPr>
        <w:pStyle w:val="StandardWeb"/>
      </w:pPr>
      <w:r>
        <w:t>Eine binäre Klassifikation kann definiert werden durch</w:t>
      </w:r>
    </w:p>
    <w:p w:rsidR="00135380" w:rsidRDefault="00135380" w:rsidP="00135380">
      <w:pPr>
        <w:pStyle w:val="berschrift1"/>
      </w:pPr>
      <w:r>
        <w:t>[</w:t>
      </w:r>
      <w:r>
        <w:br/>
        <w:t>C_{\theta}(x)</w:t>
      </w:r>
    </w:p>
    <w:p w:rsidR="00135380" w:rsidRDefault="00135380" w:rsidP="00135380">
      <w:pPr>
        <w:pStyle w:val="StandardWeb"/>
      </w:pPr>
      <w:r>
        <w:t>\begin{cases}</w:t>
      </w:r>
      <w:r>
        <w:br/>
        <w:t>1,&amp;x\geq\theta,\</w:t>
      </w:r>
      <w:r>
        <w:br/>
        <w:t>0,&amp;x&lt;\theta.</w:t>
      </w:r>
      <w:r>
        <w:br/>
        <w:t>\end{cases}</w:t>
      </w:r>
      <w:r>
        <w:br/>
        <w:t>\tag{3.6445}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C_{\theta}(x)=\begin{cases}1,&amp;x\geq\theta,\\0,&amp;x&lt;\theta.\end{cases}\qquad\text{(3.6445)}</w:t>
      </w:r>
    </w:p>
    <w:p w:rsidR="00135380" w:rsidRDefault="00135380" w:rsidP="00135380">
      <w:pPr>
        <w:pStyle w:val="StandardWeb"/>
      </w:pPr>
      <w:r>
        <w:t>Für zwei Schwellenwerte</w:t>
      </w:r>
    </w:p>
    <w:p w:rsidR="00135380" w:rsidRDefault="00135380" w:rsidP="00135380">
      <w:pPr>
        <w:pStyle w:val="StandardWeb"/>
      </w:pPr>
      <w:r>
        <w:t>[</w:t>
      </w:r>
      <w:r>
        <w:br/>
        <w:t>\theta_1</w:t>
      </w:r>
      <w:r>
        <w:br/>
        <w:t>\neq</w:t>
      </w:r>
      <w:r>
        <w:br/>
        <w:t>\theta_2</w:t>
      </w:r>
      <w:r>
        <w:br/>
        <w:t>\tag{3.6446}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\theta_1\neq\theta_2\qquad\text{(3.6446)}</w:t>
      </w:r>
    </w:p>
    <w:p w:rsidR="00135380" w:rsidRDefault="00135380" w:rsidP="00135380">
      <w:pPr>
        <w:pStyle w:val="StandardWeb"/>
      </w:pPr>
      <w:r>
        <w:t>können unterschiedliche Klassifikationen entstehen:</w:t>
      </w:r>
    </w:p>
    <w:p w:rsidR="00135380" w:rsidRDefault="00135380" w:rsidP="00135380">
      <w:pPr>
        <w:pStyle w:val="StandardWeb"/>
      </w:pPr>
      <w:r>
        <w:t>[</w:t>
      </w:r>
      <w:r>
        <w:br/>
        <w:t>C_{\theta_1}(x)</w:t>
      </w:r>
      <w:r>
        <w:br/>
        <w:t>\neq</w:t>
      </w:r>
      <w:r>
        <w:br/>
        <w:t>C_{\theta_2}(x).</w:t>
      </w:r>
      <w:r>
        <w:br/>
        <w:t>\tag{3.6447}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lastRenderedPageBreak/>
        <w:t>C_{\theta_1}(x)\neq C_{\theta_2}(x)\qquad\text{(3.6447)}</w:t>
      </w:r>
    </w:p>
    <w:p w:rsidR="00135380" w:rsidRDefault="00135380" w:rsidP="00135380">
      <w:pPr>
        <w:pStyle w:val="StandardWeb"/>
      </w:pPr>
      <w:r>
        <w:t>Eine wissenschaftliche Aussage, deren qualitative Schlussfolgerung bereits bei kleinen plausiblen Schwellenwertänderungen wechselt, besitzt geringe Operationalisierungsrobustheit.</w:t>
      </w:r>
    </w:p>
    <w:p w:rsidR="00135380" w:rsidRDefault="00E50336" w:rsidP="00135380">
      <w:r>
        <w:pict>
          <v:rect id="_x0000_i1153" style="width:0;height:1.5pt" o:hralign="center" o:hrstd="t" o:hr="t" fillcolor="#a0a0a0" stroked="f"/>
        </w:pict>
      </w:r>
    </w:p>
    <w:p w:rsidR="00135380" w:rsidRDefault="00135380" w:rsidP="00135380">
      <w:pPr>
        <w:pStyle w:val="berschrift2"/>
      </w:pPr>
      <w:r>
        <w:t>3.3.39.12 Sensitivität gegenüber Schwellenwerten</w:t>
      </w:r>
    </w:p>
    <w:p w:rsidR="00135380" w:rsidRDefault="00135380" w:rsidP="00135380">
      <w:pPr>
        <w:pStyle w:val="StandardWeb"/>
      </w:pPr>
      <w:r>
        <w:t>Ich definiere für eine Aussage (A_F) eine Schwellenwertsensitivität</w:t>
      </w:r>
    </w:p>
    <w:p w:rsidR="00135380" w:rsidRDefault="00135380" w:rsidP="00135380">
      <w:pPr>
        <w:pStyle w:val="berschrift1"/>
      </w:pPr>
      <w:r>
        <w:t>[</w:t>
      </w:r>
      <w:r>
        <w:br/>
        <w:t>S_{\theta}</w:t>
      </w:r>
    </w:p>
    <w:p w:rsidR="00135380" w:rsidRDefault="00135380" w:rsidP="00135380">
      <w:pPr>
        <w:pStyle w:val="StandardWeb"/>
      </w:pPr>
      <w:r>
        <w:t>\left|</w:t>
      </w:r>
      <w:r>
        <w:br/>
        <w:t>\frac{\partial A_F}{\partial\theta}</w:t>
      </w:r>
      <w:r>
        <w:br/>
        <w:t>\right|.</w:t>
      </w:r>
      <w:r>
        <w:br/>
        <w:t>\tag{3.6448}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S_{\theta}=\left|\frac{\partial A_F}{\partial\theta}\right|\qquad\text{(3.6448)}</w:t>
      </w:r>
    </w:p>
    <w:p w:rsidR="00135380" w:rsidRDefault="00135380" w:rsidP="00135380">
      <w:pPr>
        <w:pStyle w:val="StandardWeb"/>
      </w:pPr>
      <w:r>
        <w:t>Für diskrete Aussagen ist die Ableitung gegebenenfalls nicht definiert. Dann kann eine endliche Änderung verwendet werden:</w:t>
      </w:r>
    </w:p>
    <w:p w:rsidR="00135380" w:rsidRDefault="00135380" w:rsidP="00135380">
      <w:pPr>
        <w:pStyle w:val="berschrift1"/>
      </w:pPr>
      <w:r>
        <w:t>[</w:t>
      </w:r>
      <w:r>
        <w:br/>
        <w:t>S_{\theta}^{\Delta}</w:t>
      </w:r>
    </w:p>
    <w:p w:rsidR="00135380" w:rsidRDefault="00135380" w:rsidP="00135380">
      <w:pPr>
        <w:pStyle w:val="StandardWeb"/>
      </w:pPr>
      <w:r>
        <w:t>\frac{</w:t>
      </w:r>
      <w:r>
        <w:br/>
        <w:t>d_A</w:t>
      </w:r>
      <w:r>
        <w:br/>
        <w:t>\left(</w:t>
      </w:r>
      <w:r>
        <w:br/>
        <w:t>A_F(\theta+\Delta\theta),</w:t>
      </w:r>
      <w:r>
        <w:br/>
        <w:t>A_F(\theta)</w:t>
      </w:r>
      <w:r>
        <w:br/>
        <w:t>\right)</w:t>
      </w:r>
      <w:r>
        <w:br/>
        <w:t>}{</w:t>
      </w:r>
      <w:r>
        <w:br/>
        <w:t>|\Delta\theta|</w:t>
      </w:r>
      <w:r>
        <w:br/>
        <w:t>}.</w:t>
      </w:r>
      <w:r>
        <w:br/>
        <w:t>\tag{3.6449}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S_{\theta}^{\Delta}=\frac{d_A\left(A_F(\theta+\Delta\theta),A_F(\theta)\right)}{|\Delta\theta|}\qquad\text{(3.6449)}</w:t>
      </w:r>
    </w:p>
    <w:p w:rsidR="00135380" w:rsidRDefault="00135380" w:rsidP="00135380">
      <w:pPr>
        <w:pStyle w:val="StandardWeb"/>
      </w:pPr>
      <w:r>
        <w:lastRenderedPageBreak/>
        <w:t>Ein großer Wert kennzeichnet eine hohe Abhängigkeit der Aussage von der Schwellenwertwahl.</w:t>
      </w:r>
    </w:p>
    <w:p w:rsidR="00135380" w:rsidRDefault="00E50336" w:rsidP="00135380">
      <w:r>
        <w:pict>
          <v:rect id="_x0000_i1154" style="width:0;height:1.5pt" o:hralign="center" o:hrstd="t" o:hr="t" fillcolor="#a0a0a0" stroked="f"/>
        </w:pict>
      </w:r>
    </w:p>
    <w:p w:rsidR="00135380" w:rsidRDefault="00135380" w:rsidP="00135380">
      <w:pPr>
        <w:pStyle w:val="berschrift2"/>
      </w:pPr>
      <w:r>
        <w:t>3.3.39.13 Fenster- und Aggregationsabhängigkeit</w:t>
      </w:r>
    </w:p>
    <w:p w:rsidR="00135380" w:rsidRDefault="00135380" w:rsidP="00135380">
      <w:pPr>
        <w:pStyle w:val="StandardWeb"/>
      </w:pPr>
      <w:r>
        <w:t>Zeit- oder sequenzabhängige FRZK-Analysen können von der Wahl eines Analysefensters abhängen.</w:t>
      </w:r>
    </w:p>
    <w:p w:rsidR="00135380" w:rsidRDefault="00135380" w:rsidP="00135380">
      <w:pPr>
        <w:pStyle w:val="StandardWeb"/>
      </w:pPr>
      <w:r>
        <w:t>Die Fensterbreite bezeichne ich mit</w:t>
      </w:r>
    </w:p>
    <w:p w:rsidR="00135380" w:rsidRDefault="00135380" w:rsidP="00135380">
      <w:pPr>
        <w:pStyle w:val="StandardWeb"/>
      </w:pPr>
      <w:r>
        <w:t>[</w:t>
      </w:r>
      <w:r>
        <w:br/>
        <w:t>w.</w:t>
      </w:r>
      <w:r>
        <w:br/>
        <w:t>\tag{3.6450}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w\qquad\text{(3.6450)}</w:t>
      </w:r>
    </w:p>
    <w:p w:rsidR="00135380" w:rsidRDefault="00135380" w:rsidP="00135380">
      <w:pPr>
        <w:pStyle w:val="StandardWeb"/>
      </w:pPr>
      <w:r>
        <w:t>Eine fensterabhängige Kennzahl lautet</w:t>
      </w:r>
    </w:p>
    <w:p w:rsidR="00135380" w:rsidRDefault="00135380" w:rsidP="00135380">
      <w:pPr>
        <w:pStyle w:val="StandardWeb"/>
      </w:pPr>
      <w:r>
        <w:t>[</w:t>
      </w:r>
      <w:r>
        <w:br/>
        <w:t>K_F(t;w).</w:t>
      </w:r>
      <w:r>
        <w:br/>
        <w:t>\tag{3.6451}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K_F(t;w)\qquad\text{(3.6451)}</w:t>
      </w:r>
    </w:p>
    <w:p w:rsidR="00135380" w:rsidRDefault="00135380" w:rsidP="00135380">
      <w:pPr>
        <w:pStyle w:val="StandardWeb"/>
      </w:pPr>
      <w:r>
        <w:t>Für unterschiedliche Fensterbreiten</w:t>
      </w:r>
    </w:p>
    <w:p w:rsidR="00135380" w:rsidRDefault="00135380" w:rsidP="00135380">
      <w:pPr>
        <w:pStyle w:val="StandardWeb"/>
      </w:pPr>
      <w:r>
        <w:t>[</w:t>
      </w:r>
      <w:r>
        <w:br/>
        <w:t>w_1</w:t>
      </w:r>
      <w:r>
        <w:br/>
        <w:t>\neq</w:t>
      </w:r>
      <w:r>
        <w:br/>
        <w:t>w_2</w:t>
      </w:r>
      <w:r>
        <w:br/>
        <w:t>\tag{3.6452}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w_1\neq w_2\qquad\text{(3.6452)}</w:t>
      </w:r>
    </w:p>
    <w:p w:rsidR="00135380" w:rsidRDefault="00135380" w:rsidP="00135380">
      <w:pPr>
        <w:pStyle w:val="StandardWeb"/>
      </w:pPr>
      <w:r>
        <w:t>können unterschiedliche Werte entstehen:</w:t>
      </w:r>
    </w:p>
    <w:p w:rsidR="00135380" w:rsidRDefault="00135380" w:rsidP="00135380">
      <w:pPr>
        <w:pStyle w:val="StandardWeb"/>
      </w:pPr>
      <w:r>
        <w:t>[</w:t>
      </w:r>
      <w:r>
        <w:br/>
        <w:t>K_F(t;w_1)</w:t>
      </w:r>
      <w:r>
        <w:br/>
        <w:t>\neq</w:t>
      </w:r>
      <w:r>
        <w:br/>
        <w:t>K_F(t;w_2).</w:t>
      </w:r>
      <w:r>
        <w:br/>
      </w:r>
      <w:r>
        <w:lastRenderedPageBreak/>
        <w:t>\tag{3.6453}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K_F(t;w_1)\neq K_F(t;w_2)\qquad\text{(3.6453)}</w:t>
      </w:r>
    </w:p>
    <w:p w:rsidR="00135380" w:rsidRDefault="00135380" w:rsidP="00135380">
      <w:pPr>
        <w:pStyle w:val="StandardWeb"/>
      </w:pPr>
      <w:r>
        <w:t>Methodologisch entscheidend ist deshalb nicht, ob alle Fensterbreiten denselben Zahlenwert liefern, sondern ob die wesentliche funktionale Schlussfolgerung über einen begründbaren Bereich von (w) stabil bleibt.</w:t>
      </w:r>
    </w:p>
    <w:p w:rsidR="00135380" w:rsidRDefault="00E50336" w:rsidP="00135380">
      <w:r>
        <w:pict>
          <v:rect id="_x0000_i1155" style="width:0;height:1.5pt" o:hralign="center" o:hrstd="t" o:hr="t" fillcolor="#a0a0a0" stroked="f"/>
        </w:pict>
      </w:r>
    </w:p>
    <w:p w:rsidR="00135380" w:rsidRDefault="00135380" w:rsidP="00135380">
      <w:pPr>
        <w:pStyle w:val="berschrift2"/>
      </w:pPr>
      <w:r>
        <w:t>3.3.39.14 Abhängigkeit von Referenzzuständen</w:t>
      </w:r>
    </w:p>
    <w:p w:rsidR="00135380" w:rsidRDefault="00135380" w:rsidP="00135380">
      <w:pPr>
        <w:pStyle w:val="StandardWeb"/>
      </w:pPr>
      <w:r>
        <w:t>Viele Veränderungsmaße benötigen einen Referenzzustand.</w:t>
      </w:r>
    </w:p>
    <w:p w:rsidR="00135380" w:rsidRDefault="00135380" w:rsidP="00135380">
      <w:pPr>
        <w:pStyle w:val="StandardWeb"/>
      </w:pPr>
      <w:r>
        <w:t>Sei dieser Referenzzustand</w:t>
      </w:r>
    </w:p>
    <w:p w:rsidR="00135380" w:rsidRDefault="00135380" w:rsidP="00135380">
      <w:pPr>
        <w:pStyle w:val="StandardWeb"/>
      </w:pPr>
      <w:r>
        <w:t>[</w:t>
      </w:r>
      <w:r>
        <w:br/>
        <w:t>\delta_{\mathrm{ref}}.</w:t>
      </w:r>
      <w:r>
        <w:br/>
        <w:t>\tag{3.6454}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\delta_{\mathrm{ref}}\qquad\text{(3.6454)}</w:t>
      </w:r>
    </w:p>
    <w:p w:rsidR="00135380" w:rsidRDefault="00135380" w:rsidP="00135380">
      <w:pPr>
        <w:pStyle w:val="StandardWeb"/>
      </w:pPr>
      <w:r>
        <w:t>Eine Distanz zum Referenzzustand lautet</w:t>
      </w:r>
    </w:p>
    <w:p w:rsidR="00135380" w:rsidRDefault="00135380" w:rsidP="00135380">
      <w:pPr>
        <w:pStyle w:val="berschrift1"/>
      </w:pPr>
      <w:r>
        <w:t>[</w:t>
      </w:r>
      <w:r>
        <w:br/>
        <w:t>D_{\mathrm{ref}}</w:t>
      </w:r>
      <w:r>
        <w:br/>
        <w:t>\left(</w:t>
      </w:r>
      <w:r>
        <w:br/>
        <w:t>\delta</w:t>
      </w:r>
      <w:r>
        <w:br/>
        <w:t>\right)</w:t>
      </w:r>
    </w:p>
    <w:p w:rsidR="00135380" w:rsidRDefault="00135380" w:rsidP="00135380">
      <w:pPr>
        <w:pStyle w:val="StandardWeb"/>
      </w:pPr>
      <w:r>
        <w:t>d</w:t>
      </w:r>
      <w:r>
        <w:br/>
        <w:t>\left(</w:t>
      </w:r>
      <w:r>
        <w:br/>
        <w:t>\delta,</w:t>
      </w:r>
      <w:r>
        <w:br/>
        <w:t>\delta_{\mathrm{ref}}</w:t>
      </w:r>
      <w:r>
        <w:br/>
        <w:t>\right).</w:t>
      </w:r>
      <w:r>
        <w:br/>
        <w:t>\tag{3.6455}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D_{\mathrm{ref}}\left(\delta\right)=d\left(\delta,\delta_{\mathrm{ref}}\right)\qquad\text{(3.6455)}</w:t>
      </w:r>
    </w:p>
    <w:p w:rsidR="00135380" w:rsidRDefault="00135380" w:rsidP="00135380">
      <w:pPr>
        <w:pStyle w:val="StandardWeb"/>
      </w:pPr>
      <w:r>
        <w:lastRenderedPageBreak/>
        <w:t>Werden zwei unterschiedliche Referenzen verwendet,</w:t>
      </w:r>
    </w:p>
    <w:p w:rsidR="00135380" w:rsidRDefault="00135380" w:rsidP="00135380">
      <w:pPr>
        <w:pStyle w:val="StandardWeb"/>
      </w:pPr>
      <w:r>
        <w:t>[</w:t>
      </w:r>
      <w:r>
        <w:br/>
        <w:t>\delta_{\mathrm{ref}}^{(1)}</w:t>
      </w:r>
      <w:r>
        <w:br/>
        <w:t>\neq</w:t>
      </w:r>
      <w:r>
        <w:br/>
        <w:t>\delta_{\mathrm{ref}}^{(2)},</w:t>
      </w:r>
      <w:r>
        <w:br/>
        <w:t>\tag{3.6456}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\delta_{\mathrm{ref}}^{(1)}\neq\delta_{\mathrm{ref}}^{(2)}\qquad\text{(3.6456)}</w:t>
      </w:r>
    </w:p>
    <w:p w:rsidR="00135380" w:rsidRDefault="00135380" w:rsidP="00135380">
      <w:pPr>
        <w:pStyle w:val="StandardWeb"/>
      </w:pPr>
      <w:r>
        <w:t>kann gelten</w:t>
      </w:r>
    </w:p>
    <w:p w:rsidR="00135380" w:rsidRDefault="00135380" w:rsidP="00135380">
      <w:pPr>
        <w:pStyle w:val="StandardWeb"/>
      </w:pPr>
      <w:r>
        <w:t>[</w:t>
      </w:r>
      <w:r>
        <w:br/>
        <w:t>D_{\mathrm{ref}}^{(1)}</w:t>
      </w:r>
      <w:r>
        <w:br/>
        <w:t>\left(</w:t>
      </w:r>
      <w:r>
        <w:br/>
        <w:t>\delta</w:t>
      </w:r>
      <w:r>
        <w:br/>
        <w:t>\right)</w:t>
      </w:r>
      <w:r>
        <w:br/>
        <w:t>\neq</w:t>
      </w:r>
      <w:r>
        <w:br/>
        <w:t>D_{\mathrm{ref}}^{(2)}</w:t>
      </w:r>
      <w:r>
        <w:br/>
        <w:t>\left(</w:t>
      </w:r>
      <w:r>
        <w:br/>
        <w:t>\delta</w:t>
      </w:r>
      <w:r>
        <w:br/>
        <w:t>\right).</w:t>
      </w:r>
      <w:r>
        <w:br/>
        <w:t>\tag{3.6457}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D_{\mathrm{ref}}^{(1)}\left(\delta\right)\neq D_{\mathrm{ref}}^{(2)}\left(\delta\right)\qquad\text{(3.6457)}</w:t>
      </w:r>
    </w:p>
    <w:p w:rsidR="00135380" w:rsidRDefault="00135380" w:rsidP="00135380">
      <w:pPr>
        <w:pStyle w:val="StandardWeb"/>
      </w:pPr>
      <w:r>
        <w:t>Dies ist insbesondere für Drift- und Abweichungsanalysen von Bedeutung. Eine beobachtete Drift kann erheblich von der Wahl des Ausgangs- oder Referenzzustands abhängen.</w:t>
      </w:r>
    </w:p>
    <w:p w:rsidR="00135380" w:rsidRDefault="00E50336" w:rsidP="00135380">
      <w:r>
        <w:pict>
          <v:rect id="_x0000_i1156" style="width:0;height:1.5pt" o:hralign="center" o:hrstd="t" o:hr="t" fillcolor="#a0a0a0" stroked="f"/>
        </w:pict>
      </w:r>
    </w:p>
    <w:p w:rsidR="00135380" w:rsidRDefault="00135380" w:rsidP="00135380">
      <w:pPr>
        <w:pStyle w:val="berschrift2"/>
      </w:pPr>
      <w:r>
        <w:t>3.3.39.15 Operationalisierung von Kohärenz</w:t>
      </w:r>
    </w:p>
    <w:p w:rsidR="00135380" w:rsidRDefault="00135380" w:rsidP="00135380">
      <w:pPr>
        <w:pStyle w:val="StandardWeb"/>
      </w:pPr>
      <w:r>
        <w:t>Die Operationalisierung funktionaler Kohärenz stellt einen besonders wichtigen FRZK-Anwendungsfall dar.</w:t>
      </w:r>
    </w:p>
    <w:p w:rsidR="00135380" w:rsidRDefault="00135380" w:rsidP="00135380">
      <w:pPr>
        <w:pStyle w:val="StandardWeb"/>
      </w:pPr>
      <w:r>
        <w:t>Das theoretische Kohärenzkonzept bezeichne ich zunächst abstrakt mit</w:t>
      </w:r>
    </w:p>
    <w:p w:rsidR="00135380" w:rsidRDefault="00135380" w:rsidP="00135380">
      <w:pPr>
        <w:pStyle w:val="StandardWeb"/>
      </w:pPr>
      <w:r>
        <w:t>[</w:t>
      </w:r>
      <w:r>
        <w:br/>
        <w:t>\mathcal{K}_{\mathrm{coh}}.</w:t>
      </w:r>
      <w:r>
        <w:br/>
        <w:t>\tag{3.6458}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lastRenderedPageBreak/>
        <w:t>\mathcal{K}_{\mathrm{coh}}\qquad\text{(3.6458)}</w:t>
      </w:r>
    </w:p>
    <w:p w:rsidR="00135380" w:rsidRDefault="00135380" w:rsidP="00135380">
      <w:pPr>
        <w:pStyle w:val="StandardWeb"/>
      </w:pPr>
      <w:r>
        <w:t>Eine erste Operationalisierung könne beispielsweise einen Ähnlichkeitsansatz verwenden:</w:t>
      </w:r>
    </w:p>
    <w:p w:rsidR="00135380" w:rsidRDefault="00135380" w:rsidP="00135380">
      <w:pPr>
        <w:pStyle w:val="berschrift1"/>
      </w:pPr>
      <w:r>
        <w:t>[</w:t>
      </w:r>
      <w:r>
        <w:br/>
        <w:t>K_{\mathcal{C}}^{(1)}</w:t>
      </w:r>
    </w:p>
    <w:p w:rsidR="00135380" w:rsidRDefault="00135380" w:rsidP="00135380">
      <w:pPr>
        <w:pStyle w:val="StandardWeb"/>
      </w:pPr>
      <w:r>
        <w:t>\mathcal{O}</w:t>
      </w:r>
      <w:r>
        <w:rPr>
          <w:rStyle w:val="Hervorhebung"/>
        </w:rPr>
        <w:t>{\mathrm{sim}}</w:t>
      </w:r>
      <w:r>
        <w:rPr>
          <w:i/>
          <w:iCs/>
        </w:rPr>
        <w:br/>
      </w:r>
      <w:r>
        <w:rPr>
          <w:rStyle w:val="Hervorhebung"/>
        </w:rPr>
        <w:t>\left(</w:t>
      </w:r>
      <w:r>
        <w:rPr>
          <w:i/>
          <w:iCs/>
        </w:rPr>
        <w:br/>
      </w:r>
      <w:r>
        <w:rPr>
          <w:rStyle w:val="Hervorhebung"/>
        </w:rPr>
        <w:t>\mathcal{K}</w:t>
      </w:r>
      <w:r>
        <w:t>{\mathrm{coh}}</w:t>
      </w:r>
      <w:r>
        <w:br/>
        <w:t>\right).</w:t>
      </w:r>
      <w:r>
        <w:br/>
        <w:t>\tag{3.6459}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K_{\mathcal{C}}^{(1)}=\mathcal{O}_{\mathrm{sim}}\left(\mathcal{K}_{\mathrm{coh}}\right)\qquad\text{(3.6459)}</w:t>
      </w:r>
    </w:p>
    <w:p w:rsidR="00135380" w:rsidRDefault="00135380" w:rsidP="00135380">
      <w:pPr>
        <w:pStyle w:val="StandardWeb"/>
      </w:pPr>
      <w:r>
        <w:t>Eine zweite Operationalisierung könne einen Distanzansatz verwenden:</w:t>
      </w:r>
    </w:p>
    <w:p w:rsidR="00135380" w:rsidRDefault="00135380" w:rsidP="00135380">
      <w:pPr>
        <w:pStyle w:val="berschrift1"/>
      </w:pPr>
      <w:r>
        <w:t>[</w:t>
      </w:r>
      <w:r>
        <w:br/>
        <w:t>K_{\mathcal{C}}^{(2)}</w:t>
      </w:r>
    </w:p>
    <w:p w:rsidR="00135380" w:rsidRDefault="00135380" w:rsidP="00135380">
      <w:pPr>
        <w:pStyle w:val="StandardWeb"/>
      </w:pPr>
      <w:r>
        <w:t>\mathcal{O}</w:t>
      </w:r>
      <w:r>
        <w:rPr>
          <w:rStyle w:val="Hervorhebung"/>
        </w:rPr>
        <w:t>{\mathrm{dist}}</w:t>
      </w:r>
      <w:r>
        <w:rPr>
          <w:i/>
          <w:iCs/>
        </w:rPr>
        <w:br/>
      </w:r>
      <w:r>
        <w:rPr>
          <w:rStyle w:val="Hervorhebung"/>
        </w:rPr>
        <w:t>\left(</w:t>
      </w:r>
      <w:r>
        <w:rPr>
          <w:i/>
          <w:iCs/>
        </w:rPr>
        <w:br/>
      </w:r>
      <w:r>
        <w:rPr>
          <w:rStyle w:val="Hervorhebung"/>
        </w:rPr>
        <w:t>\mathcal{K}</w:t>
      </w:r>
      <w:r>
        <w:t>{\mathrm{coh}}</w:t>
      </w:r>
      <w:r>
        <w:br/>
        <w:t>\right).</w:t>
      </w:r>
      <w:r>
        <w:br/>
        <w:t>\tag{3.6460}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K_{\mathcal{C}}^{(2)}=\mathcal{O}_{\mathrm{dist}}\left(\mathcal{K}_{\mathrm{coh}}\right)\qquad\text{(3.6460)}</w:t>
      </w:r>
    </w:p>
    <w:p w:rsidR="00135380" w:rsidRDefault="00135380" w:rsidP="00135380">
      <w:pPr>
        <w:pStyle w:val="StandardWeb"/>
      </w:pPr>
      <w:r>
        <w:t>Die numerischen Werte müssen nicht identisch sein:</w:t>
      </w:r>
    </w:p>
    <w:p w:rsidR="00135380" w:rsidRDefault="00135380" w:rsidP="00135380">
      <w:pPr>
        <w:pStyle w:val="StandardWeb"/>
      </w:pPr>
      <w:r>
        <w:t>[</w:t>
      </w:r>
      <w:r>
        <w:br/>
        <w:t>K_{\mathcal{C}}^{(1)}</w:t>
      </w:r>
      <w:r>
        <w:br/>
        <w:t>\neq</w:t>
      </w:r>
      <w:r>
        <w:br/>
        <w:t>K_{\mathcal{C}}^{(2)}.</w:t>
      </w:r>
      <w:r>
        <w:br/>
        <w:t>\tag{3.6461}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K_{\mathcal{C}}^{(1)}\neq K_{\mathcal{C}}^{(2)}\qquad\text{(3.6461)}</w:t>
      </w:r>
    </w:p>
    <w:p w:rsidR="00135380" w:rsidRDefault="00135380" w:rsidP="00135380">
      <w:pPr>
        <w:pStyle w:val="StandardWeb"/>
      </w:pPr>
      <w:r>
        <w:lastRenderedPageBreak/>
        <w:t>Dennoch kann die qualitative Ordnung erhalten bleiben:</w:t>
      </w:r>
    </w:p>
    <w:p w:rsidR="00135380" w:rsidRDefault="00135380" w:rsidP="00135380">
      <w:pPr>
        <w:pStyle w:val="StandardWeb"/>
      </w:pPr>
      <w:r>
        <w:t>[</w:t>
      </w:r>
      <w:r>
        <w:br/>
        <w:t>K_{\mathcal{C},a}^{(1)}</w:t>
      </w:r>
      <w:r>
        <w:br/>
        <w:t>&lt;</w:t>
      </w:r>
      <w:r>
        <w:br/>
        <w:t>K_{\mathcal{C},b}^{(1)}</w:t>
      </w:r>
      <w:r>
        <w:br/>
        <w:t>\Longleftrightarrow</w:t>
      </w:r>
      <w:r>
        <w:br/>
        <w:t>K_{\mathcal{C},a}^{(2)}</w:t>
      </w:r>
      <w:r>
        <w:br/>
        <w:t>&lt;</w:t>
      </w:r>
      <w:r>
        <w:br/>
        <w:t>K_{\mathcal{C},b}^{(2)}.</w:t>
      </w:r>
      <w:r>
        <w:br/>
        <w:t>\tag{3.6462}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K_{\mathcal{C},a}^{(1)}&lt;K_{\mathcal{C},b}^{(1)}\Longleftrightarrow K_{\mathcal{C},a}^{(2)}&lt;K_{\mathcal{C},b}^{(2)}\qquad\text{(3.6462)}</w:t>
      </w:r>
    </w:p>
    <w:p w:rsidR="00135380" w:rsidRDefault="00135380" w:rsidP="00135380">
      <w:pPr>
        <w:pStyle w:val="StandardWeb"/>
      </w:pPr>
      <w:r>
        <w:t>In diesem Fall wäre eine ordnungsbezogene Kohärenzaussage operationalisierungsrobust, obwohl die konkreten Kohärenzwerte voneinander abweichen.</w:t>
      </w:r>
    </w:p>
    <w:p w:rsidR="00135380" w:rsidRDefault="00E50336" w:rsidP="00135380">
      <w:r>
        <w:pict>
          <v:rect id="_x0000_i1157" style="width:0;height:1.5pt" o:hralign="center" o:hrstd="t" o:hr="t" fillcolor="#a0a0a0" stroked="f"/>
        </w:pict>
      </w:r>
    </w:p>
    <w:p w:rsidR="00135380" w:rsidRDefault="00135380" w:rsidP="00135380">
      <w:pPr>
        <w:pStyle w:val="berschrift2"/>
      </w:pPr>
      <w:r>
        <w:t>3.3.39.16 Operationalisierung von Drift</w:t>
      </w:r>
    </w:p>
    <w:p w:rsidR="00135380" w:rsidRDefault="00135380" w:rsidP="00135380">
      <w:pPr>
        <w:pStyle w:val="StandardWeb"/>
      </w:pPr>
      <w:r>
        <w:t>Das theoretische Driftkonzept bezeichne ich mit</w:t>
      </w:r>
    </w:p>
    <w:p w:rsidR="00135380" w:rsidRDefault="00135380" w:rsidP="00135380">
      <w:pPr>
        <w:pStyle w:val="StandardWeb"/>
      </w:pPr>
      <w:r>
        <w:t>[</w:t>
      </w:r>
      <w:r>
        <w:br/>
        <w:t>\mathcal{K}_{\mathrm{drift}}.</w:t>
      </w:r>
      <w:r>
        <w:br/>
        <w:t>\tag{3.6463}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\mathcal{K}_{\mathrm{drift}}\qquad\text{(3.6463)}</w:t>
      </w:r>
    </w:p>
    <w:p w:rsidR="00135380" w:rsidRDefault="00135380" w:rsidP="00135380">
      <w:pPr>
        <w:pStyle w:val="StandardWeb"/>
      </w:pPr>
      <w:r>
        <w:t>Eine erste Operationalisierung könne Drift über eine Zustandsdistanz definieren:</w:t>
      </w:r>
    </w:p>
    <w:p w:rsidR="00135380" w:rsidRDefault="00135380" w:rsidP="00135380">
      <w:pPr>
        <w:pStyle w:val="berschrift1"/>
      </w:pPr>
      <w:r>
        <w:t>[</w:t>
      </w:r>
      <w:r>
        <w:br/>
        <w:t>D_F^{(1)}(t)</w:t>
      </w:r>
    </w:p>
    <w:p w:rsidR="00135380" w:rsidRDefault="00135380" w:rsidP="00135380">
      <w:pPr>
        <w:pStyle w:val="StandardWeb"/>
      </w:pPr>
      <w:r>
        <w:t>d</w:t>
      </w:r>
      <w:r>
        <w:br/>
        <w:t>\left(</w:t>
      </w:r>
      <w:r>
        <w:br/>
        <w:t>\delta_t,</w:t>
      </w:r>
      <w:r>
        <w:br/>
        <w:t>\delta_0</w:t>
      </w:r>
      <w:r>
        <w:br/>
        <w:t>\right).</w:t>
      </w:r>
      <w:r>
        <w:br/>
        <w:t>\tag{3.6464}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lastRenderedPageBreak/>
        <w:t>D_F^{(1)}(t)=d\left(\delta_t,\delta_0\right)\qquad\text{(3.6464)}</w:t>
      </w:r>
    </w:p>
    <w:p w:rsidR="00135380" w:rsidRDefault="00135380" w:rsidP="00135380">
      <w:pPr>
        <w:pStyle w:val="StandardWeb"/>
      </w:pPr>
      <w:r>
        <w:t>Eine zweite Operationalisierung könne einen gleitenden Referenzwert verwenden:</w:t>
      </w:r>
    </w:p>
    <w:p w:rsidR="00135380" w:rsidRDefault="00135380" w:rsidP="00135380">
      <w:pPr>
        <w:pStyle w:val="berschrift1"/>
      </w:pPr>
      <w:r>
        <w:t>[</w:t>
      </w:r>
      <w:r>
        <w:br/>
        <w:t>D_F^{(2)}(t)</w:t>
      </w:r>
    </w:p>
    <w:p w:rsidR="00135380" w:rsidRDefault="00135380" w:rsidP="00135380">
      <w:pPr>
        <w:pStyle w:val="StandardWeb"/>
      </w:pPr>
      <w:r>
        <w:t>d</w:t>
      </w:r>
      <w:r>
        <w:br/>
        <w:t>\left(</w:t>
      </w:r>
      <w:r>
        <w:br/>
        <w:t>\delta_t,</w:t>
      </w:r>
      <w:r>
        <w:br/>
        <w:t>\overline{\delta}_{t-w:t-1}</w:t>
      </w:r>
      <w:r>
        <w:br/>
        <w:t>\right).</w:t>
      </w:r>
      <w:r>
        <w:br/>
        <w:t>\tag{3.6465}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D_F^{(2)}(t)=d\left(\delta_t,\overline{\delta}_{t-w:t-1}\right)\qquad\text{(3.6465)}</w:t>
      </w:r>
    </w:p>
    <w:p w:rsidR="00135380" w:rsidRDefault="00135380" w:rsidP="00135380">
      <w:pPr>
        <w:pStyle w:val="StandardWeb"/>
      </w:pPr>
      <w:r>
        <w:t>Beide Größen messen nicht exakt dasselbe numerische Objekt. Sie können dennoch dieselbe qualitative Entwicklung anzeigen.</w:t>
      </w:r>
    </w:p>
    <w:p w:rsidR="00135380" w:rsidRDefault="00135380" w:rsidP="00135380">
      <w:pPr>
        <w:pStyle w:val="StandardWeb"/>
      </w:pPr>
      <w:r>
        <w:t>Beispielsweise kann gelten</w:t>
      </w:r>
    </w:p>
    <w:p w:rsidR="00135380" w:rsidRDefault="00135380" w:rsidP="00135380">
      <w:pPr>
        <w:pStyle w:val="StandardWeb"/>
      </w:pPr>
      <w:r>
        <w:t>[</w:t>
      </w:r>
      <w:r>
        <w:br/>
        <w:t>\frac{dD_F^{(1)}}{dt}</w:t>
      </w:r>
    </w:p>
    <w:p w:rsidR="00135380" w:rsidRDefault="00135380" w:rsidP="00135380">
      <w:pPr>
        <w:pStyle w:val="StandardWeb"/>
      </w:pPr>
      <w:r>
        <w:t>0</w:t>
      </w:r>
      <w:r>
        <w:br/>
        <w:t>\tag{3.6466}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\frac{dD_F^{(1)}}{dt}&gt;0\qquad\text{(3.6466)}</w:t>
      </w:r>
    </w:p>
    <w:p w:rsidR="00135380" w:rsidRDefault="00135380" w:rsidP="00135380">
      <w:pPr>
        <w:pStyle w:val="StandardWeb"/>
      </w:pPr>
      <w:r>
        <w:t>und zugleich</w:t>
      </w:r>
    </w:p>
    <w:p w:rsidR="00135380" w:rsidRDefault="00135380" w:rsidP="00135380">
      <w:pPr>
        <w:pStyle w:val="StandardWeb"/>
      </w:pPr>
      <w:r>
        <w:t>[</w:t>
      </w:r>
      <w:r>
        <w:br/>
        <w:t>\frac{dD_F^{(2)}}{dt}</w:t>
      </w:r>
    </w:p>
    <w:p w:rsidR="00135380" w:rsidRDefault="00135380" w:rsidP="008C5E65">
      <w:pPr>
        <w:numPr>
          <w:ilvl w:val="0"/>
          <w:numId w:val="300"/>
        </w:numPr>
        <w:spacing w:before="100" w:beforeAutospacing="1" w:after="100" w:afterAutospacing="1"/>
      </w:pPr>
    </w:p>
    <w:p w:rsidR="00135380" w:rsidRDefault="00135380" w:rsidP="00135380">
      <w:pPr>
        <w:pStyle w:val="StandardWeb"/>
      </w:pPr>
      <w:r>
        <w:t>\tag{3.6467}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\frac{dD_F^{(2)}}{dt}&gt;0\qquad\text{(3.6467)}</w:t>
      </w:r>
    </w:p>
    <w:p w:rsidR="00135380" w:rsidRDefault="00135380" w:rsidP="00135380">
      <w:pPr>
        <w:pStyle w:val="StandardWeb"/>
      </w:pPr>
      <w:r>
        <w:lastRenderedPageBreak/>
        <w:t>Dann wäre die Aussage „Drift nimmt zu“ gegenüber diesen beiden Operationalisierungen robust.</w:t>
      </w:r>
    </w:p>
    <w:p w:rsidR="00135380" w:rsidRDefault="00E50336" w:rsidP="00135380">
      <w:r>
        <w:pict>
          <v:rect id="_x0000_i1158" style="width:0;height:1.5pt" o:hralign="center" o:hrstd="t" o:hr="t" fillcolor="#a0a0a0" stroked="f"/>
        </w:pict>
      </w:r>
    </w:p>
    <w:p w:rsidR="00135380" w:rsidRDefault="00135380" w:rsidP="00135380">
      <w:pPr>
        <w:pStyle w:val="berschrift2"/>
      </w:pPr>
      <w:r>
        <w:t>3.3.39.17 Operationalisierung kritischer Übergänge</w:t>
      </w:r>
    </w:p>
    <w:p w:rsidR="00135380" w:rsidRDefault="00135380" w:rsidP="00135380">
      <w:pPr>
        <w:pStyle w:val="StandardWeb"/>
      </w:pPr>
      <w:r>
        <w:t>Auch ein kritischer Übergang kann auf unterschiedliche Weise bestimmt werden.</w:t>
      </w:r>
    </w:p>
    <w:p w:rsidR="00135380" w:rsidRDefault="00135380" w:rsidP="00135380">
      <w:pPr>
        <w:pStyle w:val="StandardWeb"/>
      </w:pPr>
      <w:r>
        <w:t>Das theoretische Konzept bezeichne ich mit</w:t>
      </w:r>
    </w:p>
    <w:p w:rsidR="00135380" w:rsidRDefault="00135380" w:rsidP="00135380">
      <w:pPr>
        <w:pStyle w:val="StandardWeb"/>
      </w:pPr>
      <w:r>
        <w:t>[</w:t>
      </w:r>
      <w:r>
        <w:br/>
        <w:t>\mathcal{K}_{\mathrm{krit}}.</w:t>
      </w:r>
      <w:r>
        <w:br/>
        <w:t>\tag{3.6468}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\mathcal{K}_{\mathrm{krit}}\qquad\text{(3.6468)}</w:t>
      </w:r>
    </w:p>
    <w:p w:rsidR="00135380" w:rsidRDefault="00135380" w:rsidP="00135380">
      <w:pPr>
        <w:pStyle w:val="StandardWeb"/>
      </w:pPr>
      <w:r>
        <w:t>Eine schwellenwertbasierte Operationalisierung könne lauten</w:t>
      </w:r>
    </w:p>
    <w:p w:rsidR="00135380" w:rsidRDefault="00135380" w:rsidP="00135380">
      <w:pPr>
        <w:pStyle w:val="berschrift1"/>
      </w:pPr>
      <w:r>
        <w:t>[</w:t>
      </w:r>
      <w:r>
        <w:br/>
        <w:t>E_{\mathrm{krit}}^{(1)}</w:t>
      </w:r>
    </w:p>
    <w:p w:rsidR="00135380" w:rsidRDefault="00135380" w:rsidP="00135380">
      <w:pPr>
        <w:pStyle w:val="StandardWeb"/>
      </w:pPr>
      <w:r>
        <w:t>\mathbf{1}</w:t>
      </w:r>
      <w:r>
        <w:br/>
        <w:t>\left[</w:t>
      </w:r>
      <w:r>
        <w:br/>
        <w:t>K_{\mathcal{C}}</w:t>
      </w:r>
      <w:r>
        <w:br/>
        <w:t>&lt;</w:t>
      </w:r>
      <w:r>
        <w:br/>
        <w:t>\theta_K</w:t>
      </w:r>
      <w:r>
        <w:br/>
        <w:t>\right].</w:t>
      </w:r>
      <w:r>
        <w:br/>
        <w:t>\tag{3.6469}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E_{\mathrm{krit}}^{(1)}=\mathbf{1}\left[K_{\mathcal{C}}&lt;\theta_K\right]\qquad\text{(3.6469)}</w:t>
      </w:r>
    </w:p>
    <w:p w:rsidR="00135380" w:rsidRDefault="00135380" w:rsidP="00135380">
      <w:pPr>
        <w:pStyle w:val="StandardWeb"/>
      </w:pPr>
      <w:r>
        <w:t>Eine alternative Operationalisierung könne mehrere Größen verbinden:</w:t>
      </w:r>
    </w:p>
    <w:p w:rsidR="00135380" w:rsidRDefault="00135380" w:rsidP="00135380">
      <w:pPr>
        <w:pStyle w:val="berschrift1"/>
      </w:pPr>
      <w:r>
        <w:t>[</w:t>
      </w:r>
      <w:r>
        <w:br/>
        <w:t>E_{\mathrm{krit}}^{(2)}</w:t>
      </w:r>
    </w:p>
    <w:p w:rsidR="00135380" w:rsidRDefault="00135380" w:rsidP="00135380">
      <w:pPr>
        <w:pStyle w:val="StandardWeb"/>
      </w:pPr>
      <w:r>
        <w:t>\mathbf{1}</w:t>
      </w:r>
      <w:r>
        <w:br/>
        <w:t>\left[</w:t>
      </w:r>
      <w:r>
        <w:br/>
        <w:t>K_{\mathcal{C}}</w:t>
      </w:r>
      <w:r>
        <w:br/>
        <w:t>&lt;</w:t>
      </w:r>
      <w:r>
        <w:br/>
      </w:r>
      <w:r>
        <w:lastRenderedPageBreak/>
        <w:t>\theta_K</w:t>
      </w:r>
      <w:r>
        <w:br/>
        <w:t>\land</w:t>
      </w:r>
      <w:r>
        <w:br/>
        <w:t>D_F</w:t>
      </w:r>
    </w:p>
    <w:p w:rsidR="00135380" w:rsidRDefault="00135380" w:rsidP="00135380">
      <w:pPr>
        <w:pStyle w:val="StandardWeb"/>
      </w:pPr>
      <w:r>
        <w:t>\theta_D</w:t>
      </w:r>
      <w:r>
        <w:br/>
        <w:t>\right].</w:t>
      </w:r>
      <w:r>
        <w:br/>
        <w:t>\tag{3.6470}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E_{\mathrm{krit}}^{(2)}=\mathbf{1}\left[K_{\mathcal{C}}&lt;\theta_K\land D_F&gt;\theta_D\right]\qquad\text{(3.6470)}</w:t>
      </w:r>
    </w:p>
    <w:p w:rsidR="00135380" w:rsidRDefault="00135380" w:rsidP="00135380">
      <w:pPr>
        <w:pStyle w:val="StandardWeb"/>
      </w:pPr>
      <w:r>
        <w:t>Sind die resultierenden kritischen Zeitpunkte</w:t>
      </w:r>
    </w:p>
    <w:p w:rsidR="00135380" w:rsidRDefault="00135380" w:rsidP="00135380">
      <w:pPr>
        <w:pStyle w:val="StandardWeb"/>
      </w:pPr>
      <w:r>
        <w:t>[</w:t>
      </w:r>
      <w:r>
        <w:br/>
        <w:t>t_{\mathrm{krit}}^{(1)}</w:t>
      </w:r>
      <w:r>
        <w:br/>
        <w:t>\tag{3.6471}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t_{\mathrm{krit}}^{(1)}\qquad\text{(3.6471)}</w:t>
      </w:r>
    </w:p>
    <w:p w:rsidR="00135380" w:rsidRDefault="00135380" w:rsidP="00135380">
      <w:pPr>
        <w:pStyle w:val="StandardWeb"/>
      </w:pPr>
      <w:r>
        <w:t>und</w:t>
      </w:r>
    </w:p>
    <w:p w:rsidR="00135380" w:rsidRDefault="00135380" w:rsidP="00135380">
      <w:pPr>
        <w:pStyle w:val="StandardWeb"/>
      </w:pPr>
      <w:r>
        <w:t>[</w:t>
      </w:r>
      <w:r>
        <w:br/>
        <w:t>t_{\mathrm{krit}}^{(2)}</w:t>
      </w:r>
      <w:r>
        <w:br/>
        <w:t>\tag{3.6472}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t_{\mathrm{krit}}^{(2)}\qquad\text{(3.6472)}</w:t>
      </w:r>
    </w:p>
    <w:p w:rsidR="00135380" w:rsidRDefault="00135380" w:rsidP="00135380">
      <w:pPr>
        <w:pStyle w:val="StandardWeb"/>
      </w:pPr>
      <w:r>
        <w:t>nahe beieinander,</w:t>
      </w:r>
    </w:p>
    <w:p w:rsidR="00135380" w:rsidRDefault="00135380" w:rsidP="00135380">
      <w:pPr>
        <w:pStyle w:val="berschrift2"/>
      </w:pPr>
      <w:r>
        <w:t>[</w:t>
      </w:r>
      <w:r>
        <w:br/>
        <w:t>\left|</w:t>
      </w:r>
      <w:r>
        <w:br/>
        <w:t>t_{\mathrm{krit}}^{(1)}</w:t>
      </w:r>
    </w:p>
    <w:p w:rsidR="00135380" w:rsidRDefault="00135380" w:rsidP="00135380">
      <w:pPr>
        <w:pStyle w:val="StandardWeb"/>
      </w:pPr>
      <w:r>
        <w:t>t_{\mathrm{krit}}^{(2)}</w:t>
      </w:r>
      <w:r>
        <w:br/>
        <w:t>\right|</w:t>
      </w:r>
      <w:r>
        <w:br/>
        <w:t>\leq</w:t>
      </w:r>
      <w:r>
        <w:br/>
        <w:t>\tau_t,</w:t>
      </w:r>
      <w:r>
        <w:br/>
        <w:t>\tag{3.6473}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lastRenderedPageBreak/>
        <w:t>\left|t_{\mathrm{krit}}^{(1)}-t_{\mathrm{krit}}^{(2)}\right|\leq\tau_t\qquad\text{(3.6473)}</w:t>
      </w:r>
    </w:p>
    <w:p w:rsidR="00135380" w:rsidRDefault="00135380" w:rsidP="00135380">
      <w:pPr>
        <w:pStyle w:val="StandardWeb"/>
      </w:pPr>
      <w:r>
        <w:t>spricht dies für eine höhere Operationalisierungsrobustheit der kritischen Übergangserkennung.</w:t>
      </w:r>
    </w:p>
    <w:p w:rsidR="00135380" w:rsidRDefault="00E50336" w:rsidP="00135380">
      <w:r>
        <w:pict>
          <v:rect id="_x0000_i1159" style="width:0;height:1.5pt" o:hralign="center" o:hrstd="t" o:hr="t" fillcolor="#a0a0a0" stroked="f"/>
        </w:pict>
      </w:r>
    </w:p>
    <w:p w:rsidR="00135380" w:rsidRDefault="00135380" w:rsidP="00135380">
      <w:pPr>
        <w:pStyle w:val="berschrift2"/>
      </w:pPr>
      <w:r>
        <w:t>3.3.39.18 Robustheitsmenge einer Aussage</w:t>
      </w:r>
    </w:p>
    <w:p w:rsidR="00135380" w:rsidRDefault="00135380" w:rsidP="00135380">
      <w:pPr>
        <w:pStyle w:val="StandardWeb"/>
      </w:pPr>
      <w:r>
        <w:t>Für eine Aussage (A_F) definiere ich die Menge der Operationalisierungen, unter denen ihre relevante Interpretation erhalten bleibt:</w:t>
      </w:r>
    </w:p>
    <w:p w:rsidR="00135380" w:rsidRDefault="00135380" w:rsidP="00135380">
      <w:pPr>
        <w:pStyle w:val="berschrift1"/>
      </w:pPr>
      <w:r>
        <w:t>[</w:t>
      </w:r>
      <w:r>
        <w:br/>
        <w:t>\mathfrak{O}_{\mathrm{rob}}</w:t>
      </w:r>
      <w:r>
        <w:br/>
        <w:t>\left(</w:t>
      </w:r>
      <w:r>
        <w:br/>
        <w:t>A_F</w:t>
      </w:r>
      <w:r>
        <w:br/>
        <w:t>\right)</w:t>
      </w:r>
    </w:p>
    <w:p w:rsidR="00135380" w:rsidRDefault="00135380" w:rsidP="00135380">
      <w:pPr>
        <w:pStyle w:val="StandardWeb"/>
      </w:pPr>
      <w:r>
        <w:t>\left{</w:t>
      </w:r>
      <w:r>
        <w:br/>
        <w:t>\mathcal{O}</w:t>
      </w:r>
      <w:r>
        <w:rPr>
          <w:rStyle w:val="Hervorhebung"/>
        </w:rPr>
        <w:t>{j}</w:t>
      </w:r>
      <w:r>
        <w:rPr>
          <w:i/>
          <w:iCs/>
        </w:rPr>
        <w:br/>
      </w:r>
      <w:r>
        <w:rPr>
          <w:rStyle w:val="Hervorhebung"/>
        </w:rPr>
        <w:t>\in</w:t>
      </w:r>
      <w:r>
        <w:rPr>
          <w:i/>
          <w:iCs/>
        </w:rPr>
        <w:br/>
      </w:r>
      <w:r>
        <w:rPr>
          <w:rStyle w:val="Hervorhebung"/>
        </w:rPr>
        <w:t>\mathfrak{O}</w:t>
      </w:r>
      <w:r>
        <w:rPr>
          <w:i/>
          <w:iCs/>
        </w:rPr>
        <w:br/>
      </w:r>
      <w:r>
        <w:rPr>
          <w:rStyle w:val="Hervorhebung"/>
        </w:rPr>
        <w:t>\left(</w:t>
      </w:r>
      <w:r>
        <w:rPr>
          <w:i/>
          <w:iCs/>
        </w:rPr>
        <w:br/>
      </w:r>
      <w:r>
        <w:rPr>
          <w:rStyle w:val="Hervorhebung"/>
        </w:rPr>
        <w:t>\mathcal{K}</w:t>
      </w:r>
      <w:r>
        <w:t>{F}</w:t>
      </w:r>
      <w:r>
        <w:br/>
        <w:t>\right)</w:t>
      </w:r>
      <w:r>
        <w:br/>
        <w:t>\mid</w:t>
      </w:r>
      <w:r>
        <w:br/>
        <w:t>A_F^{(j)}</w:t>
      </w:r>
      <w:r>
        <w:br/>
        <w:t>\sim_A</w:t>
      </w:r>
      <w:r>
        <w:br/>
        <w:t>A_F^{(\mathrm{ref})}</w:t>
      </w:r>
      <w:r>
        <w:br/>
        <w:t>\right}.</w:t>
      </w:r>
      <w:r>
        <w:br/>
        <w:t>\tag{3.6474}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\mathfrak{O}_{\mathrm{rob}}\left(A_F\right)=\left\{\mathcal{O}_{j}\in\mathfrak{O}\left(\mathcal{K}_{F}\right)\mid A_F^{(j)}\sim_A A_F^{(\mathrm{ref})}\right\}\qquad\text{(3.6474)}</w:t>
      </w:r>
    </w:p>
    <w:p w:rsidR="00135380" w:rsidRDefault="00135380" w:rsidP="00135380">
      <w:pPr>
        <w:pStyle w:val="StandardWeb"/>
      </w:pPr>
      <w:r>
        <w:t>Dabei bezeichnet (A_F^{(\mathrm{ref})}) die Aussage unter einer vorher festgelegten Referenzoperationalisierung.</w:t>
      </w:r>
    </w:p>
    <w:p w:rsidR="00135380" w:rsidRDefault="00135380" w:rsidP="00135380">
      <w:pPr>
        <w:pStyle w:val="StandardWeb"/>
      </w:pPr>
      <w:r>
        <w:t>Je größer der Anteil robuster Operationalisierungen an der Gesamtmenge zulässiger Operationalisierungen ist, desto weniger hängt die Aussage von einer einzelnen Messentscheidung ab.</w:t>
      </w:r>
    </w:p>
    <w:p w:rsidR="00135380" w:rsidRDefault="00E50336" w:rsidP="00135380">
      <w:r>
        <w:pict>
          <v:rect id="_x0000_i1160" style="width:0;height:1.5pt" o:hralign="center" o:hrstd="t" o:hr="t" fillcolor="#a0a0a0" stroked="f"/>
        </w:pict>
      </w:r>
    </w:p>
    <w:p w:rsidR="00135380" w:rsidRDefault="00135380" w:rsidP="00135380">
      <w:pPr>
        <w:pStyle w:val="berschrift2"/>
      </w:pPr>
      <w:r>
        <w:lastRenderedPageBreak/>
        <w:t>3.3.39.19 Operationalisierungsrobustheitsgrad</w:t>
      </w:r>
    </w:p>
    <w:p w:rsidR="00135380" w:rsidRDefault="00135380" w:rsidP="00135380">
      <w:pPr>
        <w:pStyle w:val="StandardWeb"/>
      </w:pPr>
      <w:r>
        <w:t>Ich definiere einen einfachen Robustheitsgrad durch</w:t>
      </w:r>
    </w:p>
    <w:p w:rsidR="00135380" w:rsidRDefault="00135380" w:rsidP="00135380">
      <w:pPr>
        <w:pStyle w:val="berschrift1"/>
      </w:pPr>
      <w:r>
        <w:t>[</w:t>
      </w:r>
      <w:r>
        <w:br/>
        <w:t>R_{\mathcal{O}}</w:t>
      </w:r>
    </w:p>
    <w:p w:rsidR="00135380" w:rsidRDefault="00135380" w:rsidP="00135380">
      <w:pPr>
        <w:pStyle w:val="StandardWeb"/>
      </w:pPr>
      <w:r>
        <w:t>\frac{</w:t>
      </w:r>
      <w:r>
        <w:br/>
        <w:t>\left|</w:t>
      </w:r>
      <w:r>
        <w:br/>
        <w:t>\mathfrak{O}</w:t>
      </w:r>
      <w:r>
        <w:rPr>
          <w:rStyle w:val="Hervorhebung"/>
        </w:rPr>
        <w:t>{\mathrm{rob}}</w:t>
      </w:r>
      <w:r>
        <w:rPr>
          <w:i/>
          <w:iCs/>
        </w:rPr>
        <w:br/>
      </w:r>
      <w:r>
        <w:rPr>
          <w:rStyle w:val="Hervorhebung"/>
        </w:rPr>
        <w:t>\left(</w:t>
      </w:r>
      <w:r>
        <w:rPr>
          <w:i/>
          <w:iCs/>
        </w:rPr>
        <w:br/>
      </w:r>
      <w:r>
        <w:rPr>
          <w:rStyle w:val="Hervorhebung"/>
        </w:rPr>
        <w:t>A_F</w:t>
      </w:r>
      <w:r>
        <w:rPr>
          <w:i/>
          <w:iCs/>
        </w:rPr>
        <w:br/>
      </w:r>
      <w:r>
        <w:rPr>
          <w:rStyle w:val="Hervorhebung"/>
        </w:rPr>
        <w:t>\right)</w:t>
      </w:r>
      <w:r>
        <w:rPr>
          <w:i/>
          <w:iCs/>
        </w:rPr>
        <w:br/>
      </w:r>
      <w:r>
        <w:rPr>
          <w:rStyle w:val="Hervorhebung"/>
        </w:rPr>
        <w:t>\right|</w:t>
      </w:r>
      <w:r>
        <w:rPr>
          <w:i/>
          <w:iCs/>
        </w:rPr>
        <w:br/>
      </w:r>
      <w:r>
        <w:rPr>
          <w:rStyle w:val="Hervorhebung"/>
        </w:rPr>
        <w:t>}{</w:t>
      </w:r>
      <w:r>
        <w:rPr>
          <w:i/>
          <w:iCs/>
        </w:rPr>
        <w:br/>
      </w:r>
      <w:r>
        <w:rPr>
          <w:rStyle w:val="Hervorhebung"/>
        </w:rPr>
        <w:t>\left|</w:t>
      </w:r>
      <w:r>
        <w:rPr>
          <w:i/>
          <w:iCs/>
        </w:rPr>
        <w:br/>
      </w:r>
      <w:r>
        <w:rPr>
          <w:rStyle w:val="Hervorhebung"/>
        </w:rPr>
        <w:t>\mathfrak{O}</w:t>
      </w:r>
      <w:r>
        <w:rPr>
          <w:i/>
          <w:iCs/>
        </w:rPr>
        <w:br/>
      </w:r>
      <w:r>
        <w:rPr>
          <w:rStyle w:val="Hervorhebung"/>
        </w:rPr>
        <w:t>\left(</w:t>
      </w:r>
      <w:r>
        <w:rPr>
          <w:i/>
          <w:iCs/>
        </w:rPr>
        <w:br/>
      </w:r>
      <w:r>
        <w:rPr>
          <w:rStyle w:val="Hervorhebung"/>
        </w:rPr>
        <w:t>\mathcal{K}</w:t>
      </w:r>
      <w:r>
        <w:t>{F}</w:t>
      </w:r>
      <w:r>
        <w:br/>
        <w:t>\right)</w:t>
      </w:r>
      <w:r>
        <w:br/>
        <w:t>\right|</w:t>
      </w:r>
      <w:r>
        <w:br/>
        <w:t>}.</w:t>
      </w:r>
      <w:r>
        <w:br/>
        <w:t>\tag{3.6475}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R_{\mathcal{O}}=\frac{\left|\mathfrak{O}_{\mathrm{rob}}\left(A_F\right)\right|}{\left|\mathfrak{O}\left(\mathcal{K}_{F}\right)\right|}\qquad\text{(3.6475)}</w:t>
      </w:r>
    </w:p>
    <w:p w:rsidR="00135380" w:rsidRDefault="00135380" w:rsidP="00135380">
      <w:pPr>
        <w:pStyle w:val="StandardWeb"/>
      </w:pPr>
      <w:r>
        <w:t>Damit gilt</w:t>
      </w:r>
    </w:p>
    <w:p w:rsidR="00135380" w:rsidRDefault="00135380" w:rsidP="00135380">
      <w:pPr>
        <w:pStyle w:val="StandardWeb"/>
      </w:pPr>
      <w:r>
        <w:t>[</w:t>
      </w:r>
      <w:r>
        <w:br/>
        <w:t>0</w:t>
      </w:r>
      <w:r>
        <w:br/>
        <w:t>\leq</w:t>
      </w:r>
      <w:r>
        <w:br/>
        <w:t>R_{\mathcal{O}}</w:t>
      </w:r>
      <w:r>
        <w:br/>
        <w:t>\leq</w:t>
      </w:r>
      <w:r>
        <w:br/>
        <w:t>1.</w:t>
      </w:r>
      <w:r>
        <w:br/>
        <w:t>\tag{3.6476}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0\leq R_{\mathcal{O}}\leq1\qquad\text{(3.6476)}</w:t>
      </w:r>
    </w:p>
    <w:p w:rsidR="00135380" w:rsidRDefault="00135380" w:rsidP="00135380">
      <w:pPr>
        <w:pStyle w:val="StandardWeb"/>
      </w:pPr>
      <w:r>
        <w:t>Für</w:t>
      </w:r>
    </w:p>
    <w:p w:rsidR="00135380" w:rsidRDefault="00135380" w:rsidP="00135380">
      <w:pPr>
        <w:pStyle w:val="berschrift1"/>
      </w:pPr>
      <w:r>
        <w:lastRenderedPageBreak/>
        <w:t>[</w:t>
      </w:r>
      <w:r>
        <w:br/>
        <w:t>R_{\mathcal{O}}</w:t>
      </w:r>
    </w:p>
    <w:p w:rsidR="00135380" w:rsidRDefault="00135380" w:rsidP="00135380">
      <w:pPr>
        <w:pStyle w:val="StandardWeb"/>
      </w:pPr>
      <w:r>
        <w:t>1</w:t>
      </w:r>
      <w:r>
        <w:br/>
        <w:t>\tag{3.6477}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R_{\mathcal{O}}=1\qquad\text{(3.6477)}</w:t>
      </w:r>
    </w:p>
    <w:p w:rsidR="00135380" w:rsidRDefault="00135380" w:rsidP="00135380">
      <w:pPr>
        <w:pStyle w:val="StandardWeb"/>
      </w:pPr>
      <w:r>
        <w:t>bleibt die relevante Aussage unter sämtlichen betrachteten zulässigen Operationalisierungen erhalten.</w:t>
      </w:r>
    </w:p>
    <w:p w:rsidR="00135380" w:rsidRDefault="00135380" w:rsidP="00135380">
      <w:pPr>
        <w:pStyle w:val="StandardWeb"/>
      </w:pPr>
      <w:r>
        <w:t>Für</w:t>
      </w:r>
    </w:p>
    <w:p w:rsidR="00135380" w:rsidRDefault="00135380" w:rsidP="00135380">
      <w:pPr>
        <w:pStyle w:val="berschrift1"/>
      </w:pPr>
      <w:r>
        <w:t>[</w:t>
      </w:r>
      <w:r>
        <w:br/>
        <w:t>R_{\mathcal{O}}</w:t>
      </w:r>
    </w:p>
    <w:p w:rsidR="00135380" w:rsidRDefault="00135380" w:rsidP="00135380">
      <w:pPr>
        <w:pStyle w:val="StandardWeb"/>
      </w:pPr>
      <w:r>
        <w:t>0</w:t>
      </w:r>
      <w:r>
        <w:br/>
        <w:t>\tag{3.6478}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R_{\mathcal{O}}=0\qquad\text{(3.6478)}</w:t>
      </w:r>
    </w:p>
    <w:p w:rsidR="00135380" w:rsidRDefault="00135380" w:rsidP="00135380">
      <w:pPr>
        <w:pStyle w:val="StandardWeb"/>
      </w:pPr>
      <w:r>
        <w:t>ist keine der alternativen betrachteten Operationalisierungen zur Referenzinterpretation äquivalent.</w:t>
      </w:r>
    </w:p>
    <w:p w:rsidR="00135380" w:rsidRDefault="00135380" w:rsidP="00135380">
      <w:pPr>
        <w:pStyle w:val="StandardWeb"/>
      </w:pPr>
      <w:r>
        <w:t>Dieser Quotient ist bewusst zunächst deskriptiv. Seine wissenschaftliche Aussagekraft hängt davon ab, ob die Menge zulässiger Operationalisierungen angemessen und nicht selektiv zusammengestellt wurde.</w:t>
      </w:r>
    </w:p>
    <w:p w:rsidR="00135380" w:rsidRDefault="00E50336" w:rsidP="00135380">
      <w:r>
        <w:pict>
          <v:rect id="_x0000_i1161" style="width:0;height:1.5pt" o:hralign="center" o:hrstd="t" o:hr="t" fillcolor="#a0a0a0" stroked="f"/>
        </w:pict>
      </w:r>
    </w:p>
    <w:p w:rsidR="00135380" w:rsidRDefault="00135380" w:rsidP="00135380">
      <w:pPr>
        <w:pStyle w:val="berschrift2"/>
      </w:pPr>
      <w:r>
        <w:t>3.3.39.20 Gewichtete Operationalisierungsrobustheit</w:t>
      </w:r>
    </w:p>
    <w:p w:rsidR="00135380" w:rsidRDefault="00135380" w:rsidP="00135380">
      <w:pPr>
        <w:pStyle w:val="StandardWeb"/>
      </w:pPr>
      <w:r>
        <w:t>Nicht alle zulässigen Operationalisierungen müssen wissenschaftlich gleich plausibel sein. Deshalb kann eine Gewichtung eingeführt werden.</w:t>
      </w:r>
    </w:p>
    <w:p w:rsidR="00135380" w:rsidRDefault="00135380" w:rsidP="00135380">
      <w:pPr>
        <w:pStyle w:val="StandardWeb"/>
      </w:pPr>
      <w:r>
        <w:t>Sei</w:t>
      </w:r>
    </w:p>
    <w:p w:rsidR="00135380" w:rsidRDefault="00135380" w:rsidP="00135380">
      <w:pPr>
        <w:pStyle w:val="StandardWeb"/>
      </w:pPr>
      <w:r>
        <w:t>[</w:t>
      </w:r>
      <w:r>
        <w:br/>
        <w:t>w_j</w:t>
      </w:r>
      <w:r>
        <w:br/>
        <w:t>\geq</w:t>
      </w:r>
      <w:r>
        <w:br/>
        <w:t>0</w:t>
      </w:r>
      <w:r>
        <w:br/>
      </w:r>
      <w:r>
        <w:lastRenderedPageBreak/>
        <w:t>\tag{3.6479}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w_j\geq0\qquad\text{(3.6479)}</w:t>
      </w:r>
    </w:p>
    <w:p w:rsidR="00135380" w:rsidRDefault="00135380" w:rsidP="00135380">
      <w:pPr>
        <w:pStyle w:val="StandardWeb"/>
      </w:pPr>
      <w:r>
        <w:t>das Gewicht der Operationalisierung (\mathcal{O}_j).</w:t>
      </w:r>
    </w:p>
    <w:p w:rsidR="00135380" w:rsidRDefault="00135380" w:rsidP="00135380">
      <w:pPr>
        <w:pStyle w:val="StandardWeb"/>
      </w:pPr>
      <w:r>
        <w:t>Die Gewichte seien normiert:</w:t>
      </w:r>
    </w:p>
    <w:p w:rsidR="00135380" w:rsidRDefault="00135380" w:rsidP="00135380">
      <w:pPr>
        <w:pStyle w:val="berschrift1"/>
      </w:pPr>
      <w:r>
        <w:t>[</w:t>
      </w:r>
      <w:r>
        <w:br/>
        <w:t>\sum_{j=1}^{m}</w:t>
      </w:r>
      <w:r>
        <w:br/>
        <w:t>w_j</w:t>
      </w:r>
    </w:p>
    <w:p w:rsidR="00135380" w:rsidRDefault="00135380" w:rsidP="008C5E65">
      <w:pPr>
        <w:numPr>
          <w:ilvl w:val="0"/>
          <w:numId w:val="301"/>
        </w:numPr>
        <w:spacing w:before="100" w:beforeAutospacing="1" w:after="100" w:afterAutospacing="1"/>
      </w:pPr>
    </w:p>
    <w:p w:rsidR="00135380" w:rsidRDefault="00135380" w:rsidP="00135380">
      <w:pPr>
        <w:pStyle w:val="StandardWeb"/>
      </w:pPr>
      <w:r>
        <w:t>\tag{3.6480}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\sum_{j=1}^{m}w_j=1\qquad\text{(3.6480)}</w:t>
      </w:r>
    </w:p>
    <w:p w:rsidR="00135380" w:rsidRDefault="00135380" w:rsidP="00135380">
      <w:pPr>
        <w:pStyle w:val="StandardWeb"/>
      </w:pPr>
      <w:r>
        <w:t>Sei ferner</w:t>
      </w:r>
    </w:p>
    <w:p w:rsidR="00135380" w:rsidRDefault="00135380" w:rsidP="00135380">
      <w:pPr>
        <w:pStyle w:val="berschrift1"/>
      </w:pPr>
      <w:r>
        <w:t>[</w:t>
      </w:r>
      <w:r>
        <w:br/>
        <w:t>r_j</w:t>
      </w:r>
    </w:p>
    <w:p w:rsidR="00135380" w:rsidRDefault="00135380" w:rsidP="00135380">
      <w:pPr>
        <w:pStyle w:val="StandardWeb"/>
      </w:pPr>
      <w:r>
        <w:t>\begin{cases}</w:t>
      </w:r>
      <w:r>
        <w:br/>
        <w:t>1,&amp;A_F^{(j)}\sim_A A_F^{(\mathrm{ref})},\</w:t>
      </w:r>
      <w:r>
        <w:br/>
        <w:t>0,&amp;\text{sonst}.</w:t>
      </w:r>
      <w:r>
        <w:br/>
        <w:t>\end{cases}</w:t>
      </w:r>
      <w:r>
        <w:br/>
        <w:t>\tag{3.6481}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r_j=\begin{cases}1,&amp;A_F^{(j)}\sim_A A_F^{(\mathrm{ref})},\\0,&amp;\text{sonst}.\end{cases}\qquad\text{(3.6481)}</w:t>
      </w:r>
    </w:p>
    <w:p w:rsidR="00135380" w:rsidRDefault="00135380" w:rsidP="00135380">
      <w:pPr>
        <w:pStyle w:val="StandardWeb"/>
      </w:pPr>
      <w:r>
        <w:t>Dann definiere ich</w:t>
      </w:r>
    </w:p>
    <w:p w:rsidR="00135380" w:rsidRDefault="00135380" w:rsidP="00135380">
      <w:pPr>
        <w:pStyle w:val="berschrift1"/>
      </w:pPr>
      <w:r>
        <w:t>[</w:t>
      </w:r>
      <w:r>
        <w:br/>
        <w:t>R_{\mathcal{O}}^{(w)}</w:t>
      </w:r>
    </w:p>
    <w:p w:rsidR="00135380" w:rsidRDefault="00135380" w:rsidP="00135380">
      <w:pPr>
        <w:pStyle w:val="StandardWeb"/>
      </w:pPr>
      <w:r>
        <w:lastRenderedPageBreak/>
        <w:t>\sum_{j=1}^{m}</w:t>
      </w:r>
      <w:r>
        <w:br/>
        <w:t>w_j r_j.</w:t>
      </w:r>
      <w:r>
        <w:br/>
        <w:t>\tag{3.6482}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R_{\mathcal{O}}^{(w)}=\sum_{j=1}^{m}w_jr_j\qquad\text{(3.6482)}</w:t>
      </w:r>
    </w:p>
    <w:p w:rsidR="00135380" w:rsidRDefault="00135380" w:rsidP="00135380">
      <w:pPr>
        <w:pStyle w:val="StandardWeb"/>
      </w:pPr>
      <w:r>
        <w:t>Auch hier gilt</w:t>
      </w:r>
    </w:p>
    <w:p w:rsidR="00135380" w:rsidRDefault="00135380" w:rsidP="00135380">
      <w:pPr>
        <w:pStyle w:val="StandardWeb"/>
      </w:pPr>
      <w:r>
        <w:t>[</w:t>
      </w:r>
      <w:r>
        <w:br/>
        <w:t>0</w:t>
      </w:r>
      <w:r>
        <w:br/>
        <w:t>\leq</w:t>
      </w:r>
      <w:r>
        <w:br/>
        <w:t>R_{\mathcal{O}}^{(w)}</w:t>
      </w:r>
      <w:r>
        <w:br/>
        <w:t>\leq</w:t>
      </w:r>
      <w:r>
        <w:br/>
        <w:t>1.</w:t>
      </w:r>
      <w:r>
        <w:br/>
        <w:t>\tag{3.6483}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0\leq R_{\mathcal{O}}^{(w)}\leq1\qquad\text{(3.6483)}</w:t>
      </w:r>
    </w:p>
    <w:p w:rsidR="00135380" w:rsidRDefault="00135380" w:rsidP="00135380">
      <w:pPr>
        <w:pStyle w:val="StandardWeb"/>
      </w:pPr>
      <w:r>
        <w:t>Die Gewichtung darf nicht nach Kenntnis der gewünschten Ergebnisse so gewählt werden, dass bevorzugt bestätigende Operationalisierungen hervorgehoben werden. Sie muss deshalb vor der Ergebnisinterpretation begründet oder zumindest transparent dokumentiert werden [58, 79].</w:t>
      </w:r>
    </w:p>
    <w:p w:rsidR="00135380" w:rsidRDefault="00E50336" w:rsidP="00135380">
      <w:r>
        <w:pict>
          <v:rect id="_x0000_i1162" style="width:0;height:1.5pt" o:hralign="center" o:hrstd="t" o:hr="t" fillcolor="#a0a0a0" stroked="f"/>
        </w:pict>
      </w:r>
    </w:p>
    <w:p w:rsidR="00135380" w:rsidRDefault="00135380" w:rsidP="00135380">
      <w:pPr>
        <w:pStyle w:val="berschrift2"/>
      </w:pPr>
      <w:r>
        <w:t>3.3.39.21 Ergebnisvarianz zwischen Operationalisierungen</w:t>
      </w:r>
    </w:p>
    <w:p w:rsidR="00135380" w:rsidRDefault="00135380" w:rsidP="00135380">
      <w:pPr>
        <w:pStyle w:val="StandardWeb"/>
      </w:pPr>
      <w:r>
        <w:t>Neben der qualitativen Aussageklasse kann auch die numerische Streuung der Ergebnisse betrachtet werden.</w:t>
      </w:r>
    </w:p>
    <w:p w:rsidR="00135380" w:rsidRDefault="00135380" w:rsidP="00135380">
      <w:pPr>
        <w:pStyle w:val="StandardWeb"/>
      </w:pPr>
      <w:r>
        <w:t>Für (m) Operationalisierungen seien die Ergebnisse</w:t>
      </w:r>
    </w:p>
    <w:p w:rsidR="00135380" w:rsidRDefault="00135380" w:rsidP="00135380">
      <w:pPr>
        <w:pStyle w:val="StandardWeb"/>
      </w:pPr>
      <w:r>
        <w:t>[</w:t>
      </w:r>
      <w:r>
        <w:br/>
        <w:t>y_1,</w:t>
      </w:r>
      <w:r>
        <w:br/>
        <w:t>y_2,</w:t>
      </w:r>
      <w:r>
        <w:br/>
        <w:t>\ldots,</w:t>
      </w:r>
      <w:r>
        <w:br/>
        <w:t>y_m.</w:t>
      </w:r>
      <w:r>
        <w:br/>
        <w:t>\tag{3.6484}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y_1,y_2,\ldots,y_m\qquad\text{(3.6484)}</w:t>
      </w:r>
    </w:p>
    <w:p w:rsidR="00135380" w:rsidRDefault="00135380" w:rsidP="00135380">
      <w:pPr>
        <w:pStyle w:val="StandardWeb"/>
      </w:pPr>
      <w:r>
        <w:t>Der Mittelwert lautet</w:t>
      </w:r>
    </w:p>
    <w:p w:rsidR="00135380" w:rsidRDefault="00135380" w:rsidP="00135380">
      <w:pPr>
        <w:pStyle w:val="berschrift1"/>
      </w:pPr>
      <w:r>
        <w:lastRenderedPageBreak/>
        <w:t>[</w:t>
      </w:r>
      <w:r>
        <w:br/>
        <w:t>\overline{y}_{\mathcal{O}}</w:t>
      </w:r>
    </w:p>
    <w:p w:rsidR="00135380" w:rsidRDefault="00135380" w:rsidP="00135380">
      <w:pPr>
        <w:pStyle w:val="StandardWeb"/>
      </w:pPr>
      <w:r>
        <w:t>\frac{1}{m}</w:t>
      </w:r>
      <w:r>
        <w:br/>
        <w:t>\sum_{j=1}^{m}</w:t>
      </w:r>
      <w:r>
        <w:br/>
        <w:t>y_j.</w:t>
      </w:r>
      <w:r>
        <w:br/>
        <w:t>\tag{3.6485}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\overline{y}_{\mathcal{O}}=\frac{1}{m}\sum_{j=1}^{m}y_j\qquad\text{(3.6485)}</w:t>
      </w:r>
    </w:p>
    <w:p w:rsidR="00135380" w:rsidRDefault="00135380" w:rsidP="00135380">
      <w:pPr>
        <w:pStyle w:val="StandardWeb"/>
      </w:pPr>
      <w:r>
        <w:t>Die Operationalisierungsvarianz ist</w:t>
      </w:r>
    </w:p>
    <w:p w:rsidR="00135380" w:rsidRDefault="00135380" w:rsidP="00135380">
      <w:pPr>
        <w:pStyle w:val="berschrift1"/>
      </w:pPr>
      <w:r>
        <w:t>[</w:t>
      </w:r>
      <w:r>
        <w:br/>
        <w:t>V_{\mathcal{O}}</w:t>
      </w:r>
    </w:p>
    <w:p w:rsidR="00135380" w:rsidRDefault="00135380" w:rsidP="00135380">
      <w:pPr>
        <w:pStyle w:val="berschrift2"/>
      </w:pPr>
      <w:r>
        <w:t>\frac{1}{m}</w:t>
      </w:r>
      <w:r>
        <w:br/>
        <w:t>\sum_{j=1}^{m}</w:t>
      </w:r>
      <w:r>
        <w:br/>
        <w:t>\left(</w:t>
      </w:r>
      <w:r>
        <w:br/>
        <w:t>y_j</w:t>
      </w:r>
    </w:p>
    <w:p w:rsidR="00135380" w:rsidRDefault="00135380" w:rsidP="00135380">
      <w:pPr>
        <w:pStyle w:val="StandardWeb"/>
      </w:pPr>
      <w:r>
        <w:t>\overline{y}_{\mathcal{O}}</w:t>
      </w:r>
      <w:r>
        <w:br/>
        <w:t>\right)^2.</w:t>
      </w:r>
      <w:r>
        <w:br/>
        <w:t>\tag{3.6486}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V_{\mathcal{O}}=\frac{1}{m}\sum_{j=1}^{m}\left(y_j-\overline{y}_{\mathcal{O}}\right)^2\qquad\text{(3.6486)}</w:t>
      </w:r>
    </w:p>
    <w:p w:rsidR="00135380" w:rsidRDefault="00135380" w:rsidP="00135380">
      <w:pPr>
        <w:pStyle w:val="StandardWeb"/>
      </w:pPr>
      <w:r>
        <w:t>Eine kleine Varianz kann numerische Robustheit anzeigen.</w:t>
      </w:r>
    </w:p>
    <w:p w:rsidR="00135380" w:rsidRDefault="00135380" w:rsidP="00135380">
      <w:pPr>
        <w:pStyle w:val="StandardWeb"/>
      </w:pPr>
      <w:r>
        <w:t>Sie garantiert jedoch keine wissenschaftliche Validität:</w:t>
      </w:r>
    </w:p>
    <w:p w:rsidR="00135380" w:rsidRDefault="00135380" w:rsidP="00135380">
      <w:pPr>
        <w:pStyle w:val="StandardWeb"/>
      </w:pPr>
      <w:r>
        <w:t>[</w:t>
      </w:r>
      <w:r>
        <w:br/>
        <w:t>V_{\mathcal{O}}</w:t>
      </w:r>
      <w:r>
        <w:br/>
        <w:t>\text{ klein}</w:t>
      </w:r>
      <w:r>
        <w:br/>
        <w:t>\nRightarrow</w:t>
      </w:r>
      <w:r>
        <w:br/>
        <w:t>A_F</w:t>
      </w:r>
      <w:r>
        <w:br/>
        <w:t>\text{ valide}.</w:t>
      </w:r>
      <w:r>
        <w:br/>
        <w:t>\tag{3.6487}</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V_{\mathcal{O}}\text{ klein}\nRightarrow A_F\text{ valide}\qquad\text{(3.6487)}</w:t>
      </w:r>
    </w:p>
    <w:p w:rsidR="00135380" w:rsidRDefault="00135380" w:rsidP="00135380">
      <w:pPr>
        <w:pStyle w:val="StandardWeb"/>
      </w:pPr>
      <w:r>
        <w:t>Mehrere Operationalisierungen können dieselbe systematische Verzerrung besitzen.</w:t>
      </w:r>
    </w:p>
    <w:p w:rsidR="00135380" w:rsidRDefault="00E50336" w:rsidP="00135380">
      <w:r>
        <w:pict>
          <v:rect id="_x0000_i1163" style="width:0;height:1.5pt" o:hralign="center" o:hrstd="t" o:hr="t" fillcolor="#a0a0a0" stroked="f"/>
        </w:pict>
      </w:r>
    </w:p>
    <w:p w:rsidR="00135380" w:rsidRDefault="00135380" w:rsidP="00135380">
      <w:pPr>
        <w:pStyle w:val="berschrift2"/>
      </w:pPr>
      <w:r>
        <w:t>3.3.39.22 Gemeinsame Operationalisierungsverzerrung</w:t>
      </w:r>
    </w:p>
    <w:p w:rsidR="00135380" w:rsidRDefault="00135380" w:rsidP="00135380">
      <w:pPr>
        <w:pStyle w:val="StandardWeb"/>
      </w:pPr>
      <w:r>
        <w:t>Sei (b) eine Verzerrung, die alle betrachteten Operationalisierungen gemeinsam betrifft.</w:t>
      </w:r>
    </w:p>
    <w:p w:rsidR="00135380" w:rsidRDefault="00135380" w:rsidP="00135380">
      <w:pPr>
        <w:pStyle w:val="StandardWeb"/>
      </w:pPr>
      <w:r>
        <w:t>Dann kann gelten</w:t>
      </w:r>
    </w:p>
    <w:p w:rsidR="00135380" w:rsidRDefault="00135380" w:rsidP="00135380">
      <w:pPr>
        <w:pStyle w:val="berschrift1"/>
      </w:pPr>
      <w:r>
        <w:t>[</w:t>
      </w:r>
      <w:r>
        <w:br/>
        <w:t>y_j</w:t>
      </w:r>
    </w:p>
    <w:p w:rsidR="00135380" w:rsidRDefault="00135380" w:rsidP="00135380">
      <w:pPr>
        <w:pStyle w:val="StandardWeb"/>
      </w:pPr>
      <w:r>
        <w:t>y^\ast</w:t>
      </w:r>
      <w:r>
        <w:br/>
        <w:t>+</w:t>
      </w:r>
      <w:r>
        <w:br/>
        <w:t>b</w:t>
      </w:r>
      <w:r>
        <w:br/>
        <w:t>+</w:t>
      </w:r>
      <w:r>
        <w:br/>
        <w:t>\varepsilon_j,</w:t>
      </w:r>
      <w:r>
        <w:br/>
        <w:t>\tag{3.6488}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y_j=y^{\ast}+b+\varepsilon_j\qquad\text{(3.6488)}</w:t>
      </w:r>
    </w:p>
    <w:p w:rsidR="00135380" w:rsidRDefault="00135380" w:rsidP="00135380">
      <w:pPr>
        <w:pStyle w:val="StandardWeb"/>
      </w:pPr>
      <w:r>
        <w:t>wobei (y^\ast) einen hypothetischen Zielwert und (\varepsilon_j) operationalisierungsspezifische Abweichungen bezeichnet.</w:t>
      </w:r>
    </w:p>
    <w:p w:rsidR="00135380" w:rsidRDefault="00135380" w:rsidP="00135380">
      <w:pPr>
        <w:pStyle w:val="StandardWeb"/>
      </w:pPr>
      <w:r>
        <w:t>Sind die (\varepsilon_j) klein, kann</w:t>
      </w:r>
    </w:p>
    <w:p w:rsidR="00135380" w:rsidRDefault="00135380" w:rsidP="00135380">
      <w:pPr>
        <w:pStyle w:val="StandardWeb"/>
      </w:pPr>
      <w:r>
        <w:t>[</w:t>
      </w:r>
      <w:r>
        <w:br/>
        <w:t>V_{\mathcal{O}}</w:t>
      </w:r>
      <w:r>
        <w:br/>
        <w:t>\approx</w:t>
      </w:r>
      <w:r>
        <w:br/>
        <w:t>0</w:t>
      </w:r>
      <w:r>
        <w:br/>
        <w:t>\tag{3.6489}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V_{\mathcal{O}}\approx0\qquad\text{(3.6489)}</w:t>
      </w:r>
    </w:p>
    <w:p w:rsidR="00135380" w:rsidRDefault="00135380" w:rsidP="00135380">
      <w:pPr>
        <w:pStyle w:val="StandardWeb"/>
      </w:pPr>
      <w:r>
        <w:t>gelten, obwohl</w:t>
      </w:r>
    </w:p>
    <w:p w:rsidR="00135380" w:rsidRDefault="00135380" w:rsidP="00135380">
      <w:pPr>
        <w:pStyle w:val="StandardWeb"/>
      </w:pPr>
      <w:r>
        <w:t>[</w:t>
      </w:r>
      <w:r>
        <w:br/>
        <w:t>b</w:t>
      </w:r>
      <w:r>
        <w:br/>
      </w:r>
      <w:r>
        <w:lastRenderedPageBreak/>
        <w:t>\neq</w:t>
      </w:r>
      <w:r>
        <w:br/>
        <w:t>0.</w:t>
      </w:r>
      <w:r>
        <w:br/>
        <w:t>\tag{3.6490}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b\neq0\qquad\text{(3.6490)}</w:t>
      </w:r>
    </w:p>
    <w:p w:rsidR="00135380" w:rsidRDefault="00135380" w:rsidP="00135380">
      <w:pPr>
        <w:pStyle w:val="StandardWeb"/>
      </w:pPr>
      <w:r>
        <w:t>Damit ist Operationalisierungsrobustheit ausdrücklich von Validität zu unterscheiden.</w:t>
      </w:r>
    </w:p>
    <w:p w:rsidR="00135380" w:rsidRDefault="00E50336" w:rsidP="00135380">
      <w:r>
        <w:pict>
          <v:rect id="_x0000_i1164" style="width:0;height:1.5pt" o:hralign="center" o:hrstd="t" o:hr="t" fillcolor="#a0a0a0" stroked="f"/>
        </w:pict>
      </w:r>
    </w:p>
    <w:p w:rsidR="00135380" w:rsidRDefault="00135380" w:rsidP="00135380">
      <w:pPr>
        <w:pStyle w:val="berschrift2"/>
      </w:pPr>
      <w:r>
        <w:t>3.3.39.23 Konvergente Operationalisierung</w:t>
      </w:r>
    </w:p>
    <w:p w:rsidR="00135380" w:rsidRDefault="00135380" w:rsidP="00135380">
      <w:pPr>
        <w:pStyle w:val="StandardWeb"/>
      </w:pPr>
      <w:r>
        <w:t>Eine höhere wissenschaftliche Belastbarkeit kann entstehen, wenn methodisch unterschiedliche Operationalisierungen zu derselben funktionalen Schlussfolgerung führen.</w:t>
      </w:r>
    </w:p>
    <w:p w:rsidR="00135380" w:rsidRDefault="00135380" w:rsidP="00135380">
      <w:pPr>
        <w:pStyle w:val="StandardWeb"/>
      </w:pPr>
      <w:r>
        <w:t>Seien</w:t>
      </w:r>
    </w:p>
    <w:p w:rsidR="00135380" w:rsidRDefault="00135380" w:rsidP="00135380">
      <w:pPr>
        <w:pStyle w:val="StandardWeb"/>
      </w:pPr>
      <w:r>
        <w:t>[</w:t>
      </w:r>
      <w:r>
        <w:br/>
        <w:t>\mathcal{O}</w:t>
      </w:r>
      <w:r>
        <w:rPr>
          <w:rStyle w:val="Hervorhebung"/>
        </w:rPr>
        <w:t>{1},</w:t>
      </w:r>
      <w:r>
        <w:rPr>
          <w:i/>
          <w:iCs/>
        </w:rPr>
        <w:br/>
      </w:r>
      <w:r>
        <w:rPr>
          <w:rStyle w:val="Hervorhebung"/>
        </w:rPr>
        <w:t>\mathcal{O}</w:t>
      </w:r>
      <w:r>
        <w:t>{2},</w:t>
      </w:r>
      <w:r>
        <w:br/>
        <w:t>\ldots,</w:t>
      </w:r>
      <w:r>
        <w:br/>
        <w:t>\mathcal{O}_{m}</w:t>
      </w:r>
      <w:r>
        <w:br/>
        <w:t>\tag{3.6491}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\mathcal{O}_{1},\mathcal{O}_{2},\ldots,\mathcal{O}_{m}\qquad\text{(3.6491)}</w:t>
      </w:r>
    </w:p>
    <w:p w:rsidR="00135380" w:rsidRDefault="00135380" w:rsidP="00135380">
      <w:pPr>
        <w:pStyle w:val="StandardWeb"/>
      </w:pPr>
      <w:r>
        <w:t>methodisch hinreichend unterschiedliche Operationalisierungen.</w:t>
      </w:r>
    </w:p>
    <w:p w:rsidR="00135380" w:rsidRDefault="00135380" w:rsidP="00135380">
      <w:pPr>
        <w:pStyle w:val="StandardWeb"/>
      </w:pPr>
      <w:r>
        <w:t>Konvergieren ihre Aussageklassen,</w:t>
      </w:r>
    </w:p>
    <w:p w:rsidR="00135380" w:rsidRDefault="00135380" w:rsidP="00135380">
      <w:pPr>
        <w:pStyle w:val="berschrift1"/>
      </w:pPr>
      <w:r>
        <w:t>[</w:t>
      </w:r>
      <w:r>
        <w:br/>
        <w:t>\operatorname{Klasse}_{A}</w:t>
      </w:r>
      <w:r>
        <w:br/>
        <w:t>\left(</w:t>
      </w:r>
      <w:r>
        <w:br/>
        <w:t>A_F^{(1)}</w:t>
      </w:r>
      <w:r>
        <w:br/>
        <w:t>\right)</w:t>
      </w:r>
    </w:p>
    <w:p w:rsidR="00135380" w:rsidRDefault="00135380" w:rsidP="00135380">
      <w:pPr>
        <w:pStyle w:val="berschrift1"/>
      </w:pPr>
      <w:r>
        <w:t>\cdots</w:t>
      </w:r>
    </w:p>
    <w:p w:rsidR="00135380" w:rsidRDefault="00135380" w:rsidP="00135380">
      <w:pPr>
        <w:pStyle w:val="StandardWeb"/>
      </w:pPr>
      <w:r>
        <w:t>\operatorname{Klasse}_{A}</w:t>
      </w:r>
      <w:r>
        <w:br/>
        <w:t>\left(</w:t>
      </w:r>
      <w:r>
        <w:br/>
        <w:t>A_F^{(m)}</w:t>
      </w:r>
      <w:r>
        <w:br/>
      </w:r>
      <w:r>
        <w:lastRenderedPageBreak/>
        <w:t>\right),</w:t>
      </w:r>
      <w:r>
        <w:br/>
        <w:t>\tag{3.6492}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\operatorname{Klasse}_{A}\left(A_F^{(1)}\right)=\cdots=\operatorname{Klasse}_{A}\left(A_F^{(m)}\right)\qquad\text{(3.6492)}</w:t>
      </w:r>
    </w:p>
    <w:p w:rsidR="00135380" w:rsidRDefault="00135380" w:rsidP="00135380">
      <w:pPr>
        <w:pStyle w:val="StandardWeb"/>
      </w:pPr>
      <w:r>
        <w:t xml:space="preserve">bezeichne ich dies als </w:t>
      </w:r>
      <w:r>
        <w:rPr>
          <w:rStyle w:val="Fett"/>
        </w:rPr>
        <w:t>konvergente Operationalisierungsstützung</w:t>
      </w:r>
      <w:r>
        <w:t>.</w:t>
      </w:r>
    </w:p>
    <w:p w:rsidR="00135380" w:rsidRDefault="00135380" w:rsidP="00135380">
      <w:pPr>
        <w:pStyle w:val="StandardWeb"/>
      </w:pPr>
      <w:r>
        <w:t>Diese Konvergenz ist besonders aussagekräftig, wenn die unterschiedlichen Operationalisierungen nicht lediglich triviale algebraische Umformungen voneinander sind.</w:t>
      </w:r>
    </w:p>
    <w:p w:rsidR="00135380" w:rsidRDefault="00E50336" w:rsidP="00135380">
      <w:r>
        <w:pict>
          <v:rect id="_x0000_i1165" style="width:0;height:1.5pt" o:hralign="center" o:hrstd="t" o:hr="t" fillcolor="#a0a0a0" stroked="f"/>
        </w:pict>
      </w:r>
    </w:p>
    <w:p w:rsidR="00135380" w:rsidRDefault="00135380" w:rsidP="00135380">
      <w:pPr>
        <w:pStyle w:val="berschrift2"/>
      </w:pPr>
      <w:r>
        <w:t>3.3.39.24 Divergierende Operationalisierungen</w:t>
      </w:r>
    </w:p>
    <w:p w:rsidR="00135380" w:rsidRDefault="00135380" w:rsidP="00135380">
      <w:pPr>
        <w:pStyle w:val="StandardWeb"/>
      </w:pPr>
      <w:r>
        <w:t>Umgekehrt kann gelten</w:t>
      </w:r>
    </w:p>
    <w:p w:rsidR="00135380" w:rsidRDefault="00135380" w:rsidP="00135380">
      <w:pPr>
        <w:pStyle w:val="StandardWeb"/>
      </w:pPr>
      <w:r>
        <w:t>[</w:t>
      </w:r>
      <w:r>
        <w:br/>
        <w:t>\operatorname{Klasse}</w:t>
      </w:r>
      <w:r>
        <w:rPr>
          <w:rStyle w:val="Hervorhebung"/>
        </w:rPr>
        <w:t>{A}</w:t>
      </w:r>
      <w:r>
        <w:rPr>
          <w:i/>
          <w:iCs/>
        </w:rPr>
        <w:br/>
      </w:r>
      <w:r>
        <w:rPr>
          <w:rStyle w:val="Hervorhebung"/>
        </w:rPr>
        <w:t>\left(</w:t>
      </w:r>
      <w:r>
        <w:rPr>
          <w:i/>
          <w:iCs/>
        </w:rPr>
        <w:br/>
      </w:r>
      <w:r>
        <w:rPr>
          <w:rStyle w:val="Hervorhebung"/>
        </w:rPr>
        <w:t>A_F^{(1)}</w:t>
      </w:r>
      <w:r>
        <w:rPr>
          <w:i/>
          <w:iCs/>
        </w:rPr>
        <w:br/>
      </w:r>
      <w:r>
        <w:rPr>
          <w:rStyle w:val="Hervorhebung"/>
        </w:rPr>
        <w:t>\right)</w:t>
      </w:r>
      <w:r>
        <w:rPr>
          <w:i/>
          <w:iCs/>
        </w:rPr>
        <w:br/>
      </w:r>
      <w:r>
        <w:rPr>
          <w:rStyle w:val="Hervorhebung"/>
        </w:rPr>
        <w:t>\neq</w:t>
      </w:r>
      <w:r>
        <w:rPr>
          <w:i/>
          <w:iCs/>
        </w:rPr>
        <w:br/>
      </w:r>
      <w:r>
        <w:rPr>
          <w:rStyle w:val="Hervorhebung"/>
        </w:rPr>
        <w:t>\operatorname{Klasse}</w:t>
      </w:r>
      <w:r>
        <w:t>{A}</w:t>
      </w:r>
      <w:r>
        <w:br/>
        <w:t>\left(</w:t>
      </w:r>
      <w:r>
        <w:br/>
        <w:t>A_F^{(2)}</w:t>
      </w:r>
      <w:r>
        <w:br/>
        <w:t>\right).</w:t>
      </w:r>
      <w:r>
        <w:br/>
        <w:t>\tag{3.6493}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\operatorname{Klasse}_{A}\left(A_F^{(1)}\right)\neq\operatorname{Klasse}_{A}\left(A_F^{(2)}\right)\qquad\text{(3.6493)}</w:t>
      </w:r>
    </w:p>
    <w:p w:rsidR="00135380" w:rsidRDefault="00135380" w:rsidP="00135380">
      <w:pPr>
        <w:pStyle w:val="StandardWeb"/>
      </w:pPr>
      <w:r>
        <w:t>Dann liegt eine operationalisierungsabhängige Aussage vor.</w:t>
      </w:r>
    </w:p>
    <w:p w:rsidR="00135380" w:rsidRDefault="00135380" w:rsidP="00135380">
      <w:pPr>
        <w:pStyle w:val="StandardWeb"/>
      </w:pPr>
      <w:r>
        <w:t>Eine solche Divergenz darf nicht einfach durch Auswahl der bevorzugten Operationalisierung aufgelöst werden.</w:t>
      </w:r>
    </w:p>
    <w:p w:rsidR="00135380" w:rsidRDefault="00135380" w:rsidP="00135380">
      <w:pPr>
        <w:pStyle w:val="StandardWeb"/>
      </w:pPr>
      <w:r>
        <w:t>Stattdessen muss untersucht werden, welche theoretischen Annahmen beide Operationalisierungen unterscheiden.</w:t>
      </w:r>
    </w:p>
    <w:p w:rsidR="00135380" w:rsidRDefault="00135380" w:rsidP="00135380">
      <w:pPr>
        <w:pStyle w:val="StandardWeb"/>
      </w:pPr>
      <w:r>
        <w:t>Ich bezeichne die Menge dieser Unterschiede mit</w:t>
      </w:r>
    </w:p>
    <w:p w:rsidR="00135380" w:rsidRDefault="00135380" w:rsidP="00135380">
      <w:pPr>
        <w:pStyle w:val="StandardWeb"/>
      </w:pPr>
      <w:r>
        <w:t>[</w:t>
      </w:r>
      <w:r>
        <w:br/>
        <w:t>\Delta\mathfrak{O}_{12}.</w:t>
      </w:r>
      <w:r>
        <w:br/>
        <w:t>\tag{3.6494}</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\Delta\mathfrak{O}_{12}\qquad\text{(3.6494)}</w:t>
      </w:r>
    </w:p>
    <w:p w:rsidR="00135380" w:rsidRDefault="00135380" w:rsidP="00135380">
      <w:pPr>
        <w:pStyle w:val="StandardWeb"/>
      </w:pPr>
      <w:r>
        <w:t>Die wissenschaftliche Aufgabe lautet dann</w:t>
      </w:r>
    </w:p>
    <w:p w:rsidR="00135380" w:rsidRDefault="00135380" w:rsidP="00135380">
      <w:pPr>
        <w:pStyle w:val="StandardWeb"/>
      </w:pPr>
      <w:r>
        <w:t>[</w:t>
      </w:r>
      <w:r>
        <w:br/>
        <w:t>\Delta\mathfrak{O}_{12}</w:t>
      </w:r>
      <w:r>
        <w:br/>
        <w:t>\longrightarrow</w:t>
      </w:r>
      <w:r>
        <w:br/>
        <w:t>\Delta A_F.</w:t>
      </w:r>
      <w:r>
        <w:br/>
        <w:t>\tag{3.6495}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\Delta\mathfrak{O}_{12}\longrightarrow\Delta A_F\qquad\text{(3.6495)}</w:t>
      </w:r>
    </w:p>
    <w:p w:rsidR="00135380" w:rsidRDefault="00135380" w:rsidP="00135380">
      <w:pPr>
        <w:pStyle w:val="StandardWeb"/>
      </w:pPr>
      <w:r>
        <w:t>Es muss also rekonstruiert werden, welche konkrete Operationalisierungsentscheidung den Unterschied der Aussagen hervorruft.</w:t>
      </w:r>
    </w:p>
    <w:p w:rsidR="00135380" w:rsidRDefault="00E50336" w:rsidP="00135380">
      <w:r>
        <w:pict>
          <v:rect id="_x0000_i1166" style="width:0;height:1.5pt" o:hralign="center" o:hrstd="t" o:hr="t" fillcolor="#a0a0a0" stroked="f"/>
        </w:pict>
      </w:r>
    </w:p>
    <w:p w:rsidR="00135380" w:rsidRDefault="00135380" w:rsidP="00135380">
      <w:pPr>
        <w:pStyle w:val="berschrift2"/>
      </w:pPr>
      <w:r>
        <w:t>3.3.39.25 Operationalisierungs-Sensitivitätsmatrix</w:t>
      </w:r>
    </w:p>
    <w:p w:rsidR="00135380" w:rsidRDefault="00135380" w:rsidP="00135380">
      <w:pPr>
        <w:pStyle w:val="StandardWeb"/>
      </w:pPr>
      <w:r>
        <w:t>Für mehrere Operationalisierungsentscheidungen kann eine Sensitivitätsmatrix gebildet werden.</w:t>
      </w:r>
    </w:p>
    <w:p w:rsidR="00135380" w:rsidRDefault="00135380" w:rsidP="00135380">
      <w:pPr>
        <w:pStyle w:val="StandardWeb"/>
      </w:pPr>
      <w:r>
        <w:t>Seien</w:t>
      </w:r>
    </w:p>
    <w:p w:rsidR="00135380" w:rsidRDefault="00135380" w:rsidP="00135380">
      <w:pPr>
        <w:pStyle w:val="StandardWeb"/>
      </w:pPr>
      <w:r>
        <w:t>[</w:t>
      </w:r>
      <w:r>
        <w:br/>
        <w:t>\theta_1,</w:t>
      </w:r>
      <w:r>
        <w:br/>
        <w:t>\theta_2,</w:t>
      </w:r>
      <w:r>
        <w:br/>
        <w:t>\ldots,</w:t>
      </w:r>
      <w:r>
        <w:br/>
        <w:t>\theta_p</w:t>
      </w:r>
      <w:r>
        <w:br/>
        <w:t>\tag{3.6496}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\theta_1,\theta_2,\ldots,\theta_p\qquad\text{(3.6496)}</w:t>
      </w:r>
    </w:p>
    <w:p w:rsidR="00135380" w:rsidRDefault="00135380" w:rsidP="00135380">
      <w:pPr>
        <w:pStyle w:val="StandardWeb"/>
      </w:pPr>
      <w:r>
        <w:t>Operationalisierungsparameter.</w:t>
      </w:r>
    </w:p>
    <w:p w:rsidR="00135380" w:rsidRDefault="00135380" w:rsidP="00135380">
      <w:pPr>
        <w:pStyle w:val="StandardWeb"/>
      </w:pPr>
      <w:r>
        <w:t>Für mehrere Ergebnisgrößen (A_1,\ldots,A_q) definiere ich</w:t>
      </w:r>
    </w:p>
    <w:p w:rsidR="00135380" w:rsidRDefault="00135380" w:rsidP="00135380">
      <w:pPr>
        <w:pStyle w:val="berschrift1"/>
      </w:pPr>
      <w:r>
        <w:t>[</w:t>
      </w:r>
      <w:r>
        <w:br/>
        <w:t>\mathbf{S}_{\mathcal{O}}</w:t>
      </w:r>
    </w:p>
    <w:p w:rsidR="00135380" w:rsidRDefault="00135380" w:rsidP="00135380">
      <w:pPr>
        <w:pStyle w:val="StandardWeb"/>
      </w:pPr>
      <w:r>
        <w:t>\left[</w:t>
      </w:r>
      <w:r>
        <w:br/>
        <w:t>\frac{\partial A_i}{\partial\theta_j}</w:t>
      </w:r>
      <w:r>
        <w:br/>
      </w:r>
      <w:r>
        <w:lastRenderedPageBreak/>
        <w:t>\right]_</w:t>
      </w:r>
      <w:r>
        <w:br/>
        <w:t>{\substack{</w:t>
      </w:r>
      <w:r>
        <w:br/>
        <w:t>i=1,\ldots,q\</w:t>
      </w:r>
      <w:r>
        <w:br/>
        <w:t>j=1,\ldots,p</w:t>
      </w:r>
      <w:r>
        <w:br/>
        <w:t>}}.</w:t>
      </w:r>
      <w:r>
        <w:br/>
        <w:t>\tag{3.6497}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\mathbf{S}_{\mathcal{O}}=\left[\frac{\partial A_i}{\partial\theta_j}\right]_{\substack{i=1,\ldots,q\\j=1,\ldots,p}}\qquad\text{(3.6497)}</w:t>
      </w:r>
    </w:p>
    <w:p w:rsidR="00135380" w:rsidRDefault="00135380" w:rsidP="00135380">
      <w:pPr>
        <w:pStyle w:val="StandardWeb"/>
      </w:pPr>
      <w:r>
        <w:t>Die Matrix macht sichtbar, welche wissenschaftlichen Aussagen besonders empfindlich auf welche Operationalisierungsentscheidungen reagieren.</w:t>
      </w:r>
    </w:p>
    <w:p w:rsidR="00135380" w:rsidRDefault="00135380" w:rsidP="00135380">
      <w:pPr>
        <w:pStyle w:val="StandardWeb"/>
      </w:pPr>
      <w:r>
        <w:t>Ein hoher Betrag</w:t>
      </w:r>
    </w:p>
    <w:p w:rsidR="00135380" w:rsidRDefault="00135380" w:rsidP="00135380">
      <w:pPr>
        <w:pStyle w:val="StandardWeb"/>
      </w:pPr>
      <w:r>
        <w:t>[</w:t>
      </w:r>
      <w:r>
        <w:br/>
        <w:t>\left|</w:t>
      </w:r>
      <w:r>
        <w:br/>
        <w:t>\frac{\partial A_i}{\partial\theta_j}</w:t>
      </w:r>
      <w:r>
        <w:br/>
        <w:t>\right|</w:t>
      </w:r>
      <w:r>
        <w:br/>
        <w:t>\gg</w:t>
      </w:r>
      <w:r>
        <w:br/>
        <w:t>0</w:t>
      </w:r>
      <w:r>
        <w:br/>
        <w:t>\tag{3.6498}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\left|\frac{\partial A_i}{\partial\theta_j}\right|\gg0\qquad\text{(3.6498)}</w:t>
      </w:r>
    </w:p>
    <w:p w:rsidR="00135380" w:rsidRDefault="00135380" w:rsidP="00135380">
      <w:pPr>
        <w:pStyle w:val="StandardWeb"/>
      </w:pPr>
      <w:r>
        <w:t>kennzeichnet eine hohe lokale Sensitivität.</w:t>
      </w:r>
    </w:p>
    <w:p w:rsidR="00135380" w:rsidRDefault="00E50336" w:rsidP="00135380">
      <w:r>
        <w:pict>
          <v:rect id="_x0000_i1167" style="width:0;height:1.5pt" o:hralign="center" o:hrstd="t" o:hr="t" fillcolor="#a0a0a0" stroked="f"/>
        </w:pict>
      </w:r>
    </w:p>
    <w:p w:rsidR="00135380" w:rsidRDefault="00135380" w:rsidP="00135380">
      <w:pPr>
        <w:pStyle w:val="berschrift2"/>
      </w:pPr>
      <w:r>
        <w:t>3.3.39.26 Operationalisierungsraum</w:t>
      </w:r>
    </w:p>
    <w:p w:rsidR="00135380" w:rsidRDefault="00135380" w:rsidP="00135380">
      <w:pPr>
        <w:pStyle w:val="StandardWeb"/>
      </w:pPr>
      <w:r>
        <w:t>Die Gesamtheit möglicher Operationalisierungsparameter bildet einen Raum</w:t>
      </w:r>
    </w:p>
    <w:p w:rsidR="00135380" w:rsidRDefault="00135380" w:rsidP="00135380">
      <w:pPr>
        <w:pStyle w:val="StandardWeb"/>
      </w:pPr>
      <w:r>
        <w:t>[</w:t>
      </w:r>
      <w:r>
        <w:br/>
        <w:t>\Theta_{\mathcal{O}}</w:t>
      </w:r>
      <w:r>
        <w:br/>
        <w:t>\subseteq</w:t>
      </w:r>
      <w:r>
        <w:br/>
        <w:t>\mathbb{R}^{p}.</w:t>
      </w:r>
      <w:r>
        <w:br/>
        <w:t>\tag{3.6499}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\Theta_{\mathcal{O}}\subseteq\mathbb{R}^{p}\qquad\text{(3.6499)}</w:t>
      </w:r>
    </w:p>
    <w:p w:rsidR="00135380" w:rsidRDefault="00135380" w:rsidP="00135380">
      <w:pPr>
        <w:pStyle w:val="StandardWeb"/>
      </w:pPr>
      <w:r>
        <w:t>Ein konkreter Operationalisierungszustand ist</w:t>
      </w:r>
    </w:p>
    <w:p w:rsidR="00135380" w:rsidRDefault="00135380" w:rsidP="00135380">
      <w:pPr>
        <w:pStyle w:val="berschrift1"/>
      </w:pPr>
      <w:r>
        <w:lastRenderedPageBreak/>
        <w:t>[</w:t>
      </w:r>
      <w:r>
        <w:br/>
        <w:t>\boldsymbol{\theta}_{\mathcal{O}}</w:t>
      </w:r>
    </w:p>
    <w:p w:rsidR="00135380" w:rsidRDefault="00135380" w:rsidP="00135380">
      <w:pPr>
        <w:pStyle w:val="StandardWeb"/>
      </w:pPr>
      <w:r>
        <w:t>\left(</w:t>
      </w:r>
      <w:r>
        <w:br/>
        <w:t>\theta_1,</w:t>
      </w:r>
      <w:r>
        <w:br/>
        <w:t>\ldots,</w:t>
      </w:r>
      <w:r>
        <w:br/>
        <w:t>\theta_p</w:t>
      </w:r>
      <w:r>
        <w:br/>
        <w:t>\right).</w:t>
      </w:r>
      <w:r>
        <w:br/>
        <w:t>\tag{3.6500}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\boldsymbol{\theta}_{\mathcal{O}}=\left(\theta_1,\ldots,\theta_p\right)\qquad\text{(3.6500)}</w:t>
      </w:r>
    </w:p>
    <w:p w:rsidR="00135380" w:rsidRDefault="00135380" w:rsidP="00135380">
      <w:pPr>
        <w:pStyle w:val="StandardWeb"/>
      </w:pPr>
      <w:r>
        <w:t>Die resultierende Aussage lautet</w:t>
      </w:r>
    </w:p>
    <w:p w:rsidR="00135380" w:rsidRDefault="00135380" w:rsidP="00135380">
      <w:pPr>
        <w:pStyle w:val="berschrift1"/>
      </w:pPr>
      <w:r>
        <w:t>[</w:t>
      </w:r>
      <w:r>
        <w:br/>
        <w:t>A_F</w:t>
      </w:r>
    </w:p>
    <w:p w:rsidR="00135380" w:rsidRDefault="00135380" w:rsidP="00135380">
      <w:pPr>
        <w:pStyle w:val="StandardWeb"/>
      </w:pPr>
      <w:r>
        <w:t>A_F</w:t>
      </w:r>
      <w:r>
        <w:br/>
        <w:t>\left(</w:t>
      </w:r>
      <w:r>
        <w:br/>
        <w:t>\boldsymbol{\theta}_{\mathcal{O}}</w:t>
      </w:r>
      <w:r>
        <w:br/>
        <w:t>\right).</w:t>
      </w:r>
      <w:r>
        <w:br/>
        <w:t>\tag{3.6501}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A_F=A_F\left(\boldsymbol{\theta}_{\mathcal{O}}\right)\qquad\text{(3.6501)}</w:t>
      </w:r>
    </w:p>
    <w:p w:rsidR="00135380" w:rsidRDefault="00135380" w:rsidP="00135380">
      <w:pPr>
        <w:pStyle w:val="StandardWeb"/>
      </w:pPr>
      <w:r>
        <w:t>Dadurch lässt sich Operationalisierungsrobustheit als Stabilität einer Aussage über einen begründbaren Bereich des Operationalisierungsraums untersuchen.</w:t>
      </w:r>
    </w:p>
    <w:p w:rsidR="00135380" w:rsidRDefault="00E50336" w:rsidP="00135380">
      <w:r>
        <w:pict>
          <v:rect id="_x0000_i1168" style="width:0;height:1.5pt" o:hralign="center" o:hrstd="t" o:hr="t" fillcolor="#a0a0a0" stroked="f"/>
        </w:pict>
      </w:r>
    </w:p>
    <w:p w:rsidR="00135380" w:rsidRDefault="00135380" w:rsidP="00135380">
      <w:pPr>
        <w:pStyle w:val="berschrift2"/>
      </w:pPr>
      <w:r>
        <w:t>3.3.39.27 Lokale Operationalisierungsrobustheit</w:t>
      </w:r>
    </w:p>
    <w:p w:rsidR="00135380" w:rsidRDefault="00135380" w:rsidP="00135380">
      <w:pPr>
        <w:pStyle w:val="StandardWeb"/>
      </w:pPr>
      <w:r>
        <w:t>Um einen Referenzpunkt (\boldsymbol{\theta}_{0}) definiere ich eine Umgebung</w:t>
      </w:r>
    </w:p>
    <w:p w:rsidR="00135380" w:rsidRDefault="00135380" w:rsidP="00135380">
      <w:pPr>
        <w:pStyle w:val="berschrift1"/>
      </w:pPr>
      <w:r>
        <w:t>[</w:t>
      </w:r>
      <w:r>
        <w:br/>
        <w:t>B_{\varepsilon}</w:t>
      </w:r>
      <w:r>
        <w:br/>
        <w:t>\left(</w:t>
      </w:r>
      <w:r>
        <w:br/>
      </w:r>
      <w:r>
        <w:lastRenderedPageBreak/>
        <w:t>\boldsymbol{\theta}_{0}</w:t>
      </w:r>
      <w:r>
        <w:br/>
        <w:t>\right)</w:t>
      </w:r>
    </w:p>
    <w:p w:rsidR="00135380" w:rsidRDefault="00135380" w:rsidP="00135380">
      <w:pPr>
        <w:pStyle w:val="berschrift2"/>
      </w:pPr>
      <w:r>
        <w:t>\left{</w:t>
      </w:r>
      <w:r>
        <w:br/>
        <w:t>\boldsymbol{\theta}</w:t>
      </w:r>
      <w:r>
        <w:br/>
        <w:t>\in</w:t>
      </w:r>
      <w:r>
        <w:br/>
        <w:t>\Theta_{\mathcal{O}}</w:t>
      </w:r>
      <w:r>
        <w:br/>
        <w:t>:</w:t>
      </w:r>
      <w:r>
        <w:br/>
        <w:t>\left|</w:t>
      </w:r>
      <w:r>
        <w:br/>
        <w:t>\boldsymbol{\theta}</w:t>
      </w:r>
    </w:p>
    <w:p w:rsidR="00135380" w:rsidRDefault="00135380" w:rsidP="00135380">
      <w:pPr>
        <w:pStyle w:val="StandardWeb"/>
      </w:pPr>
      <w:r>
        <w:t>\boldsymbol{\theta}_{0}</w:t>
      </w:r>
      <w:r>
        <w:br/>
        <w:t>\right|</w:t>
      </w:r>
      <w:r>
        <w:br/>
        <w:t>&lt;</w:t>
      </w:r>
      <w:r>
        <w:br/>
        <w:t>\varepsilon</w:t>
      </w:r>
      <w:r>
        <w:br/>
        <w:t>\right}.</w:t>
      </w:r>
      <w:r>
        <w:br/>
        <w:t>\tag{3.6502}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B_{\varepsilon}\left(\boldsymbol{\theta}_{0}\right)=\left\{\boldsymbol{\theta}\in\Theta_{\mathcal{O}}:\left\|\boldsymbol{\theta}-\boldsymbol{\theta}_{0}\right\|&lt;\varepsilon\right\}\qquad\text{(3.6502)}</w:t>
      </w:r>
    </w:p>
    <w:p w:rsidR="00135380" w:rsidRDefault="00135380" w:rsidP="00135380">
      <w:pPr>
        <w:pStyle w:val="StandardWeb"/>
      </w:pPr>
      <w:r>
        <w:t>Eine Aussage ist lokal operationalisierungsrobust, wenn</w:t>
      </w:r>
    </w:p>
    <w:p w:rsidR="00135380" w:rsidRDefault="00135380" w:rsidP="00135380">
      <w:pPr>
        <w:pStyle w:val="StandardWeb"/>
      </w:pPr>
      <w:r>
        <w:t>[</w:t>
      </w:r>
      <w:r>
        <w:br/>
        <w:t>\forall</w:t>
      </w:r>
      <w:r>
        <w:br/>
        <w:t>\boldsymbol{\theta}</w:t>
      </w:r>
      <w:r>
        <w:br/>
        <w:t>\in</w:t>
      </w:r>
      <w:r>
        <w:br/>
        <w:t>B_{\varepsilon}</w:t>
      </w:r>
      <w:r>
        <w:br/>
        <w:t>\left(</w:t>
      </w:r>
      <w:r>
        <w:br/>
        <w:t>\boldsymbol{\theta}</w:t>
      </w:r>
      <w:r>
        <w:rPr>
          <w:rStyle w:val="Hervorhebung"/>
        </w:rPr>
        <w:t>{0}</w:t>
      </w:r>
      <w:r>
        <w:rPr>
          <w:i/>
          <w:iCs/>
        </w:rPr>
        <w:br/>
      </w:r>
      <w:r>
        <w:rPr>
          <w:rStyle w:val="Hervorhebung"/>
        </w:rPr>
        <w:t>\right):</w:t>
      </w:r>
      <w:r>
        <w:rPr>
          <w:i/>
          <w:iCs/>
        </w:rPr>
        <w:br/>
      </w:r>
      <w:r>
        <w:rPr>
          <w:rStyle w:val="Hervorhebung"/>
        </w:rPr>
        <w:t>\quad</w:t>
      </w:r>
      <w:r>
        <w:rPr>
          <w:i/>
          <w:iCs/>
        </w:rPr>
        <w:br/>
      </w:r>
      <w:r>
        <w:rPr>
          <w:rStyle w:val="Hervorhebung"/>
        </w:rPr>
        <w:t>A_F</w:t>
      </w:r>
      <w:r>
        <w:rPr>
          <w:i/>
          <w:iCs/>
        </w:rPr>
        <w:br/>
      </w:r>
      <w:r>
        <w:rPr>
          <w:rStyle w:val="Hervorhebung"/>
        </w:rPr>
        <w:t>\left(</w:t>
      </w:r>
      <w:r>
        <w:rPr>
          <w:i/>
          <w:iCs/>
        </w:rPr>
        <w:br/>
      </w:r>
      <w:r>
        <w:rPr>
          <w:rStyle w:val="Hervorhebung"/>
        </w:rPr>
        <w:t>\boldsymbol{\theta}</w:t>
      </w:r>
      <w:r>
        <w:rPr>
          <w:i/>
          <w:iCs/>
        </w:rPr>
        <w:br/>
      </w:r>
      <w:r>
        <w:rPr>
          <w:rStyle w:val="Hervorhebung"/>
        </w:rPr>
        <w:t>\right)</w:t>
      </w:r>
      <w:r>
        <w:rPr>
          <w:i/>
          <w:iCs/>
        </w:rPr>
        <w:br/>
      </w:r>
      <w:r>
        <w:rPr>
          <w:rStyle w:val="Hervorhebung"/>
        </w:rPr>
        <w:t>\sim_A</w:t>
      </w:r>
      <w:r>
        <w:rPr>
          <w:i/>
          <w:iCs/>
        </w:rPr>
        <w:br/>
      </w:r>
      <w:r>
        <w:rPr>
          <w:rStyle w:val="Hervorhebung"/>
        </w:rPr>
        <w:t>A_F</w:t>
      </w:r>
      <w:r>
        <w:rPr>
          <w:i/>
          <w:iCs/>
        </w:rPr>
        <w:br/>
      </w:r>
      <w:r>
        <w:rPr>
          <w:rStyle w:val="Hervorhebung"/>
        </w:rPr>
        <w:t>\left(</w:t>
      </w:r>
      <w:r>
        <w:rPr>
          <w:i/>
          <w:iCs/>
        </w:rPr>
        <w:br/>
      </w:r>
      <w:r>
        <w:rPr>
          <w:rStyle w:val="Hervorhebung"/>
        </w:rPr>
        <w:t>\boldsymbol{\theta}</w:t>
      </w:r>
      <w:r>
        <w:t>{0}</w:t>
      </w:r>
      <w:r>
        <w:br/>
        <w:t>\right).</w:t>
      </w:r>
      <w:r>
        <w:br/>
        <w:t>\tag{3.6503}</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\forall\boldsymbol{\theta}\in B_{\varepsilon}\left(\boldsymbol{\theta}_{0}\right):A_F\left(\boldsymbol{\theta}\right)\sim_A A_F\left(\boldsymbol{\theta}_{0}\right)\qquad\text{(3.6503)}</w:t>
      </w:r>
    </w:p>
    <w:p w:rsidR="00135380" w:rsidRDefault="00135380" w:rsidP="00135380">
      <w:pPr>
        <w:pStyle w:val="StandardWeb"/>
      </w:pPr>
      <w:r>
        <w:t>Damit wird Robustheit als Stabilität gegenüber kleinen plausiblen Änderungen der Operationalisierungsparameter formuliert.</w:t>
      </w:r>
    </w:p>
    <w:p w:rsidR="00135380" w:rsidRDefault="00E50336" w:rsidP="00135380">
      <w:r>
        <w:pict>
          <v:rect id="_x0000_i1169" style="width:0;height:1.5pt" o:hralign="center" o:hrstd="t" o:hr="t" fillcolor="#a0a0a0" stroked="f"/>
        </w:pict>
      </w:r>
    </w:p>
    <w:p w:rsidR="00135380" w:rsidRDefault="00135380" w:rsidP="00135380">
      <w:pPr>
        <w:pStyle w:val="berschrift2"/>
      </w:pPr>
      <w:r>
        <w:t>3.3.39.28 Globale Operationalisierungsrobustheit</w:t>
      </w:r>
    </w:p>
    <w:p w:rsidR="00135380" w:rsidRDefault="00135380" w:rsidP="00135380">
      <w:pPr>
        <w:pStyle w:val="StandardWeb"/>
      </w:pPr>
      <w:r>
        <w:t>Eine stärkere Bedingung lautet</w:t>
      </w:r>
    </w:p>
    <w:p w:rsidR="00135380" w:rsidRDefault="00135380" w:rsidP="00135380">
      <w:pPr>
        <w:pStyle w:val="StandardWeb"/>
      </w:pPr>
      <w:r>
        <w:t>[</w:t>
      </w:r>
      <w:r>
        <w:br/>
        <w:t>\forall</w:t>
      </w:r>
      <w:r>
        <w:br/>
        <w:t>\boldsymbol{\theta}</w:t>
      </w:r>
      <w:r>
        <w:br/>
        <w:t>\in</w:t>
      </w:r>
      <w:r>
        <w:br/>
        <w:t>\Theta_{\mathcal{O}}^{\mathrm{zul}}:</w:t>
      </w:r>
      <w:r>
        <w:br/>
        <w:t>\quad</w:t>
      </w:r>
      <w:r>
        <w:br/>
        <w:t>A_F</w:t>
      </w:r>
      <w:r>
        <w:br/>
        <w:t>\left(</w:t>
      </w:r>
      <w:r>
        <w:br/>
        <w:t>\boldsymbol{\theta}</w:t>
      </w:r>
      <w:r>
        <w:br/>
        <w:t>\right)</w:t>
      </w:r>
      <w:r>
        <w:br/>
        <w:t>\sim_A</w:t>
      </w:r>
      <w:r>
        <w:br/>
        <w:t>A_F</w:t>
      </w:r>
      <w:r>
        <w:br/>
        <w:t>\left(</w:t>
      </w:r>
      <w:r>
        <w:br/>
        <w:t>\boldsymbol{\theta}_{0}</w:t>
      </w:r>
      <w:r>
        <w:br/>
        <w:t>\right),</w:t>
      </w:r>
      <w:r>
        <w:br/>
        <w:t>\tag{3.6504}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\forall\boldsymbol{\theta}\in\Theta_{\mathcal{O}}^{\mathrm{zul}}:A_F\left(\boldsymbol{\theta}\right)\sim_A A_F\left(\boldsymbol{\theta}_{0}\right)\qquad\text{(3.6504)}</w:t>
      </w:r>
    </w:p>
    <w:p w:rsidR="00135380" w:rsidRDefault="00135380" w:rsidP="00135380">
      <w:pPr>
        <w:pStyle w:val="StandardWeb"/>
      </w:pPr>
      <w:r>
        <w:t>wobei</w:t>
      </w:r>
    </w:p>
    <w:p w:rsidR="00135380" w:rsidRDefault="00135380" w:rsidP="00135380">
      <w:pPr>
        <w:pStyle w:val="StandardWeb"/>
      </w:pPr>
      <w:r>
        <w:t>[</w:t>
      </w:r>
      <w:r>
        <w:br/>
        <w:t>\Theta_{\mathcal{O}}^{\mathrm{zul}}</w:t>
      </w:r>
      <w:r>
        <w:br/>
        <w:t>\subseteq</w:t>
      </w:r>
      <w:r>
        <w:br/>
        <w:t>\Theta_{\mathcal{O}}</w:t>
      </w:r>
      <w:r>
        <w:br/>
        <w:t>\tag{3.6505}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\Theta_{\mathcal{O}}^{\mathrm{zul}}\subseteq\Theta_{\mathcal{O}}\qquad\text{(3.6505)}</w:t>
      </w:r>
    </w:p>
    <w:p w:rsidR="00135380" w:rsidRDefault="00135380" w:rsidP="00135380">
      <w:pPr>
        <w:pStyle w:val="StandardWeb"/>
      </w:pPr>
      <w:r>
        <w:lastRenderedPageBreak/>
        <w:t>den wissenschaftlich begründeten zulässigen Parameterbereich bezeichnet.</w:t>
      </w:r>
    </w:p>
    <w:p w:rsidR="00135380" w:rsidRDefault="00135380" w:rsidP="00135380">
      <w:pPr>
        <w:pStyle w:val="StandardWeb"/>
      </w:pPr>
      <w:r>
        <w:t xml:space="preserve">Eine solche Aussage bezeichne ich als </w:t>
      </w:r>
      <w:r>
        <w:rPr>
          <w:rStyle w:val="Fett"/>
        </w:rPr>
        <w:t>global operationalisierungsrobust innerhalb des zulässigen Operationalisierungsraums</w:t>
      </w:r>
      <w:r>
        <w:t>.</w:t>
      </w:r>
    </w:p>
    <w:p w:rsidR="00135380" w:rsidRDefault="00E50336" w:rsidP="00135380">
      <w:r>
        <w:pict>
          <v:rect id="_x0000_i1170" style="width:0;height:1.5pt" o:hralign="center" o:hrstd="t" o:hr="t" fillcolor="#a0a0a0" stroked="f"/>
        </w:pict>
      </w:r>
    </w:p>
    <w:p w:rsidR="00135380" w:rsidRDefault="00135380" w:rsidP="00135380">
      <w:pPr>
        <w:pStyle w:val="berschrift2"/>
      </w:pPr>
      <w:r>
        <w:t>3.3.39.29 Kritische Operationalisierungsgrenze</w:t>
      </w:r>
    </w:p>
    <w:p w:rsidR="00135380" w:rsidRDefault="00135380" w:rsidP="00135380">
      <w:pPr>
        <w:pStyle w:val="StandardWeb"/>
      </w:pPr>
      <w:r>
        <w:t>Eine Aussage kann ihre Klasse ab einer bestimmten Änderung der Operationalisierung verlieren.</w:t>
      </w:r>
    </w:p>
    <w:p w:rsidR="00135380" w:rsidRDefault="00135380" w:rsidP="00135380">
      <w:pPr>
        <w:pStyle w:val="StandardWeb"/>
      </w:pPr>
      <w:r>
        <w:t>Ich definiere den kritischen Abstand</w:t>
      </w:r>
    </w:p>
    <w:p w:rsidR="00135380" w:rsidRDefault="00135380" w:rsidP="00135380">
      <w:pPr>
        <w:pStyle w:val="berschrift1"/>
      </w:pPr>
      <w:r>
        <w:t>[</w:t>
      </w:r>
      <w:r>
        <w:br/>
        <w:t>D_{\mathcal{O}}^{\mathrm{krit}}</w:t>
      </w:r>
    </w:p>
    <w:p w:rsidR="00135380" w:rsidRDefault="00135380" w:rsidP="00135380">
      <w:pPr>
        <w:pStyle w:val="StandardWeb"/>
      </w:pPr>
      <w:r>
        <w:t>\inf</w:t>
      </w:r>
      <w:r>
        <w:br/>
        <w:t>\left{</w:t>
      </w:r>
      <w:r>
        <w:br/>
        <w:t>d_{\mathcal{O}}</w:t>
      </w:r>
      <w:r>
        <w:br/>
        <w:t>\left(</w:t>
      </w:r>
      <w:r>
        <w:br/>
        <w:t>\mathcal{O},</w:t>
      </w:r>
      <w:r>
        <w:br/>
        <w:t>\mathcal{O}_{\mathrm{ref}}</w:t>
      </w:r>
      <w:r>
        <w:br/>
        <w:t>\right)</w:t>
      </w:r>
      <w:r>
        <w:br/>
        <w:t>;\middle|;</w:t>
      </w:r>
      <w:r>
        <w:br/>
        <w:t>A_F^{(\mathcal{O})}</w:t>
      </w:r>
      <w:r>
        <w:br/>
        <w:t>\not\sim_A</w:t>
      </w:r>
      <w:r>
        <w:br/>
        <w:t>A_F^{(\mathrm{ref})}</w:t>
      </w:r>
      <w:r>
        <w:br/>
        <w:t>\right}.</w:t>
      </w:r>
      <w:r>
        <w:br/>
        <w:t>\tag{3.6506}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D_{\mathcal{O}}^{\mathrm{krit}}=\inf\left\{d_{\mathcal{O}}\left(\mathcal{O},\mathcal{O}_{\mathrm{ref}}\right)\middle|A_F^{(\mathcal{O})}\not\sim_A A_F^{(\mathrm{ref})}\right\}\qquad\text{(3.6506)}</w:t>
      </w:r>
    </w:p>
    <w:p w:rsidR="00135380" w:rsidRDefault="00135380" w:rsidP="00135380">
      <w:pPr>
        <w:pStyle w:val="StandardWeb"/>
      </w:pPr>
      <w:r>
        <w:t>Ein kleiner kritischer Abstand bedeutet, dass bereits geringe Änderungen der Operationalisierung die wissenschaftliche Schlussfolgerung verändern können.</w:t>
      </w:r>
    </w:p>
    <w:p w:rsidR="00135380" w:rsidRDefault="00135380" w:rsidP="00135380">
      <w:pPr>
        <w:pStyle w:val="StandardWeb"/>
      </w:pPr>
      <w:r>
        <w:t>Ein größerer kritischer Abstand spricht dagegen für eine höhere Stabilität.</w:t>
      </w:r>
    </w:p>
    <w:p w:rsidR="00135380" w:rsidRDefault="00E50336" w:rsidP="00135380">
      <w:r>
        <w:pict>
          <v:rect id="_x0000_i1171" style="width:0;height:1.5pt" o:hralign="center" o:hrstd="t" o:hr="t" fillcolor="#a0a0a0" stroked="f"/>
        </w:pict>
      </w:r>
    </w:p>
    <w:p w:rsidR="00135380" w:rsidRDefault="00135380" w:rsidP="00135380">
      <w:pPr>
        <w:pStyle w:val="berschrift2"/>
      </w:pPr>
      <w:r>
        <w:t>3.3.39.30 Definition des FRZK-Operationalisierungsrobustheitssystems</w:t>
      </w:r>
    </w:p>
    <w:p w:rsidR="00135380" w:rsidRDefault="00135380" w:rsidP="00135380">
      <w:pPr>
        <w:pStyle w:val="StandardWeb"/>
      </w:pPr>
      <w:r>
        <w:rPr>
          <w:rStyle w:val="Fett"/>
        </w:rPr>
        <w:t>Definition 3.3.31 – FRZK-Operationalisierungsrobustheitssystem</w:t>
      </w:r>
    </w:p>
    <w:p w:rsidR="00135380" w:rsidRDefault="00135380" w:rsidP="00135380">
      <w:pPr>
        <w:pStyle w:val="StandardWeb"/>
      </w:pPr>
      <w:r>
        <w:lastRenderedPageBreak/>
        <w:t>Ein FRZK-Operationalisierungsrobustheitssystem ist das geordnete Tupel</w:t>
      </w:r>
    </w:p>
    <w:p w:rsidR="00135380" w:rsidRDefault="00135380" w:rsidP="00135380">
      <w:pPr>
        <w:pStyle w:val="berschrift1"/>
      </w:pPr>
      <w:r>
        <w:t>[</w:t>
      </w:r>
      <w:r>
        <w:br/>
        <w:t>\mathfrak{O}_{F}^{\mathrm{rob}}</w:t>
      </w:r>
    </w:p>
    <w:p w:rsidR="00135380" w:rsidRDefault="00135380" w:rsidP="00135380">
      <w:pPr>
        <w:pStyle w:val="StandardWeb"/>
      </w:pPr>
      <w:r>
        <w:t>\left(</w:t>
      </w:r>
      <w:r>
        <w:br/>
        <w:t>\mathcal{K}</w:t>
      </w:r>
      <w:r>
        <w:rPr>
          <w:rStyle w:val="Hervorhebung"/>
        </w:rPr>
        <w:t>{F},</w:t>
      </w:r>
      <w:r>
        <w:rPr>
          <w:i/>
          <w:iCs/>
        </w:rPr>
        <w:br/>
      </w:r>
      <w:r>
        <w:rPr>
          <w:rStyle w:val="Hervorhebung"/>
        </w:rPr>
        <w:t>\mathfrak{O}(\mathcal{K}</w:t>
      </w:r>
      <w:r>
        <w:t>{F}),</w:t>
      </w:r>
      <w:r>
        <w:br/>
        <w:t>\Theta_{\mathcal{O}}^{\mathrm{zul}},</w:t>
      </w:r>
      <w:r>
        <w:br/>
        <w:t>\mathfrak{A}</w:t>
      </w:r>
      <w:r>
        <w:rPr>
          <w:rStyle w:val="Hervorhebung"/>
        </w:rPr>
        <w:t>{\mathcal{O}},</w:t>
      </w:r>
      <w:r>
        <w:rPr>
          <w:i/>
          <w:iCs/>
        </w:rPr>
        <w:br/>
      </w:r>
      <w:r>
        <w:rPr>
          <w:rStyle w:val="Hervorhebung"/>
        </w:rPr>
        <w:t>\mathbf{S}</w:t>
      </w:r>
      <w:r>
        <w:t>{\mathcal{O}},</w:t>
      </w:r>
      <w:r>
        <w:br/>
        <w:t>R_{\mathcal{O}},</w:t>
      </w:r>
      <w:r>
        <w:br/>
        <w:t>\operatorname{ORob}_{F}</w:t>
      </w:r>
      <w:r>
        <w:br/>
        <w:t>\right).</w:t>
      </w:r>
      <w:r>
        <w:br/>
        <w:t>\tag{3.6507}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\mathfrak{O}_{F}^{\mathrm{rob}}=\left(\mathcal{K}_{F},\mathfrak{O}(\mathcal{K}_{F}),\Theta_{\mathcal{O}}^{\mathrm{zul}},\mathfrak{A}_{\mathcal{O}},\mathbf{S}_{\mathcal{O}},R_{\mathcal{O}},\operatorname{ORob}_{F}\right)\qquad\text{(3.6507)}</w:t>
      </w:r>
    </w:p>
    <w:p w:rsidR="00135380" w:rsidRDefault="00135380" w:rsidP="00135380">
      <w:pPr>
        <w:pStyle w:val="StandardWeb"/>
      </w:pPr>
      <w:r>
        <w:t>Dabei bezeichnet</w:t>
      </w:r>
    </w:p>
    <w:p w:rsidR="00135380" w:rsidRDefault="00135380" w:rsidP="008C5E65">
      <w:pPr>
        <w:pStyle w:val="StandardWeb"/>
        <w:numPr>
          <w:ilvl w:val="0"/>
          <w:numId w:val="302"/>
        </w:numPr>
      </w:pPr>
      <w:r>
        <w:t>(\mathcal{K}_{F}) das theoretische funktionale Konzept,</w:t>
      </w:r>
    </w:p>
    <w:p w:rsidR="00135380" w:rsidRDefault="00135380" w:rsidP="008C5E65">
      <w:pPr>
        <w:pStyle w:val="StandardWeb"/>
        <w:numPr>
          <w:ilvl w:val="0"/>
          <w:numId w:val="302"/>
        </w:numPr>
      </w:pPr>
      <w:r>
        <w:t>(\mathfrak{O}(\mathcal{K}_{F})) die Menge zulässiger Operationalisierungen,</w:t>
      </w:r>
    </w:p>
    <w:p w:rsidR="00135380" w:rsidRDefault="00135380" w:rsidP="008C5E65">
      <w:pPr>
        <w:pStyle w:val="StandardWeb"/>
        <w:numPr>
          <w:ilvl w:val="0"/>
          <w:numId w:val="302"/>
        </w:numPr>
      </w:pPr>
      <w:r>
        <w:t>(\Theta_{\mathcal{O}}^{\mathrm{zul}}) den zulässigen Operationalisierungsparameterraum,</w:t>
      </w:r>
    </w:p>
    <w:p w:rsidR="00135380" w:rsidRDefault="00135380" w:rsidP="008C5E65">
      <w:pPr>
        <w:pStyle w:val="StandardWeb"/>
        <w:numPr>
          <w:ilvl w:val="0"/>
          <w:numId w:val="302"/>
        </w:numPr>
      </w:pPr>
      <w:r>
        <w:t>(\mathfrak{A}_{\mathcal{O}}) die Menge resultierender Aussagen,</w:t>
      </w:r>
    </w:p>
    <w:p w:rsidR="00135380" w:rsidRDefault="00135380" w:rsidP="008C5E65">
      <w:pPr>
        <w:pStyle w:val="StandardWeb"/>
        <w:numPr>
          <w:ilvl w:val="0"/>
          <w:numId w:val="302"/>
        </w:numPr>
      </w:pPr>
      <w:r>
        <w:t>(\mathbf{S}_{\mathcal{O}}) die Operationalisierungs-Sensitivitätsstruktur,</w:t>
      </w:r>
    </w:p>
    <w:p w:rsidR="00135380" w:rsidRDefault="00135380" w:rsidP="008C5E65">
      <w:pPr>
        <w:pStyle w:val="StandardWeb"/>
        <w:numPr>
          <w:ilvl w:val="0"/>
          <w:numId w:val="302"/>
        </w:numPr>
      </w:pPr>
      <w:r>
        <w:t>(R_{\mathcal{O}}) den Robustheitsgrad,</w:t>
      </w:r>
    </w:p>
    <w:p w:rsidR="00135380" w:rsidRDefault="00135380" w:rsidP="008C5E65">
      <w:pPr>
        <w:pStyle w:val="StandardWeb"/>
        <w:numPr>
          <w:ilvl w:val="0"/>
          <w:numId w:val="302"/>
        </w:numPr>
      </w:pPr>
      <w:r>
        <w:t>(\operatorname{ORob}_{F}) das Operationalisierungsrobustheitsprädikat.</w:t>
      </w:r>
    </w:p>
    <w:p w:rsidR="00135380" w:rsidRDefault="00135380" w:rsidP="00135380">
      <w:pPr>
        <w:pStyle w:val="StandardWeb"/>
      </w:pPr>
      <w:r>
        <w:t>Das Prädikat lautet</w:t>
      </w:r>
    </w:p>
    <w:p w:rsidR="00135380" w:rsidRDefault="00135380" w:rsidP="00135380">
      <w:pPr>
        <w:pStyle w:val="StandardWeb"/>
      </w:pPr>
      <w:r>
        <w:t>[</w:t>
      </w:r>
      <w:r>
        <w:br/>
        <w:t>\operatorname{ORob}</w:t>
      </w:r>
      <w:r>
        <w:rPr>
          <w:rStyle w:val="Hervorhebung"/>
        </w:rPr>
        <w:t>{F}</w:t>
      </w:r>
      <w:r>
        <w:rPr>
          <w:i/>
          <w:iCs/>
        </w:rPr>
        <w:br/>
      </w:r>
      <w:r>
        <w:rPr>
          <w:rStyle w:val="Hervorhebung"/>
        </w:rPr>
        <w:t>:</w:t>
      </w:r>
      <w:r>
        <w:rPr>
          <w:i/>
          <w:iCs/>
        </w:rPr>
        <w:br/>
      </w:r>
      <w:r>
        <w:rPr>
          <w:rStyle w:val="Hervorhebung"/>
        </w:rPr>
        <w:t>\mathfrak{O}</w:t>
      </w:r>
      <w:r>
        <w:t>{F}^{\mathrm{rob}}</w:t>
      </w:r>
      <w:r>
        <w:br/>
        <w:t>\longrightarrow</w:t>
      </w:r>
      <w:r>
        <w:br/>
        <w:t>{0,1}.</w:t>
      </w:r>
      <w:r>
        <w:br/>
        <w:t>\tag{3.6508}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\operatorname{ORob}_{F}:\mathfrak{O}_{F}^{\mathrm{rob}}\longrightarrow\{0,1\}\qquad\text{(3.6508)}</w:t>
      </w:r>
    </w:p>
    <w:p w:rsidR="00135380" w:rsidRDefault="00135380" w:rsidP="00135380">
      <w:pPr>
        <w:pStyle w:val="StandardWeb"/>
      </w:pPr>
      <w:r>
        <w:lastRenderedPageBreak/>
        <w:t>Für eine operationalisierungsrobuste Aussage gilt</w:t>
      </w:r>
    </w:p>
    <w:p w:rsidR="00135380" w:rsidRDefault="00135380" w:rsidP="00135380">
      <w:pPr>
        <w:pStyle w:val="berschrift1"/>
      </w:pPr>
      <w:r>
        <w:t>[</w:t>
      </w:r>
      <w:r>
        <w:br/>
        <w:t>\operatorname{ORob}</w:t>
      </w:r>
      <w:r>
        <w:rPr>
          <w:rStyle w:val="Hervorhebung"/>
        </w:rPr>
        <w:t>{F}</w:t>
      </w:r>
      <w:r>
        <w:rPr>
          <w:i/>
          <w:iCs/>
        </w:rPr>
        <w:br/>
      </w:r>
      <w:r>
        <w:rPr>
          <w:rStyle w:val="Hervorhebung"/>
        </w:rPr>
        <w:t>\left(</w:t>
      </w:r>
      <w:r>
        <w:rPr>
          <w:i/>
          <w:iCs/>
        </w:rPr>
        <w:br/>
      </w:r>
      <w:r>
        <w:rPr>
          <w:rStyle w:val="Hervorhebung"/>
        </w:rPr>
        <w:t>\mathfrak{O}</w:t>
      </w:r>
      <w:r>
        <w:t>{F}^{\mathrm{rob}}</w:t>
      </w:r>
      <w:r>
        <w:br/>
        <w:t>\right)</w:t>
      </w:r>
    </w:p>
    <w:p w:rsidR="00135380" w:rsidRDefault="00135380" w:rsidP="008C5E65">
      <w:pPr>
        <w:numPr>
          <w:ilvl w:val="0"/>
          <w:numId w:val="303"/>
        </w:numPr>
        <w:spacing w:before="100" w:beforeAutospacing="1" w:after="100" w:afterAutospacing="1"/>
      </w:pPr>
    </w:p>
    <w:p w:rsidR="00135380" w:rsidRDefault="00135380" w:rsidP="00135380">
      <w:pPr>
        <w:pStyle w:val="StandardWeb"/>
      </w:pPr>
      <w:r>
        <w:t>\tag{3.6509}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\operatorname{ORob}_{F}\left(\mathfrak{O}_{F}^{\mathrm{rob}}\right)=1\qquad\text{(3.6509)}</w:t>
      </w:r>
    </w:p>
    <w:p w:rsidR="00135380" w:rsidRDefault="00135380" w:rsidP="00135380">
      <w:pPr>
        <w:pStyle w:val="StandardWeb"/>
      </w:pPr>
      <w:r>
        <w:t>Damit wird Operationalisierungsrobustheit zu einem eigenständigen wissenschaftlichen Qualitätsmerkmal des FRZK.</w:t>
      </w:r>
    </w:p>
    <w:p w:rsidR="00135380" w:rsidRDefault="00E50336" w:rsidP="00135380">
      <w:r>
        <w:pict>
          <v:rect id="_x0000_i1172" style="width:0;height:1.5pt" o:hralign="center" o:hrstd="t" o:hr="t" fillcolor="#a0a0a0" stroked="f"/>
        </w:pict>
      </w:r>
    </w:p>
    <w:p w:rsidR="00135380" w:rsidRDefault="00135380" w:rsidP="00135380">
      <w:pPr>
        <w:pStyle w:val="berschrift2"/>
      </w:pPr>
      <w:r>
        <w:t>3.3.39.31 Robuste und valide Operationalisierung</w:t>
      </w:r>
    </w:p>
    <w:p w:rsidR="00135380" w:rsidRDefault="00135380" w:rsidP="00135380">
      <w:pPr>
        <w:pStyle w:val="StandardWeb"/>
      </w:pPr>
      <w:r>
        <w:t>Operationalisierungsrobustheit darf nicht mit Validität gleichgesetzt werden.</w:t>
      </w:r>
    </w:p>
    <w:p w:rsidR="00135380" w:rsidRDefault="00135380" w:rsidP="00135380">
      <w:pPr>
        <w:pStyle w:val="StandardWeb"/>
      </w:pPr>
      <w:r>
        <w:t>Eine robuste Aussage erfüllt</w:t>
      </w:r>
    </w:p>
    <w:p w:rsidR="00135380" w:rsidRDefault="00135380" w:rsidP="00135380">
      <w:pPr>
        <w:pStyle w:val="berschrift1"/>
      </w:pPr>
      <w:r>
        <w:t>[</w:t>
      </w:r>
      <w:r>
        <w:br/>
        <w:t>\operatorname{ORob}_{F}</w:t>
      </w:r>
    </w:p>
    <w:p w:rsidR="00135380" w:rsidRDefault="00135380" w:rsidP="008C5E65">
      <w:pPr>
        <w:numPr>
          <w:ilvl w:val="0"/>
          <w:numId w:val="304"/>
        </w:numPr>
        <w:spacing w:before="100" w:beforeAutospacing="1" w:after="100" w:afterAutospacing="1"/>
      </w:pPr>
    </w:p>
    <w:p w:rsidR="00135380" w:rsidRDefault="00135380" w:rsidP="00135380">
      <w:pPr>
        <w:pStyle w:val="StandardWeb"/>
      </w:pPr>
      <w:r>
        <w:t>\tag{3.6510}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\operatorname{ORob}_{F}=1\qquad\text{(3.6510)}</w:t>
      </w:r>
    </w:p>
    <w:p w:rsidR="00135380" w:rsidRDefault="00135380" w:rsidP="00135380">
      <w:pPr>
        <w:pStyle w:val="StandardWeb"/>
      </w:pPr>
      <w:r>
        <w:t>Eine valide Operationalisierung müsste zusätzlich hinreichend begründet dasselbe theoretische Konzept erfassen.</w:t>
      </w:r>
    </w:p>
    <w:p w:rsidR="00135380" w:rsidRDefault="00135380" w:rsidP="00135380">
      <w:pPr>
        <w:pStyle w:val="StandardWeb"/>
      </w:pPr>
      <w:r>
        <w:t>Dafür führe ich abstrakt</w:t>
      </w:r>
    </w:p>
    <w:p w:rsidR="00135380" w:rsidRDefault="00135380" w:rsidP="00135380">
      <w:pPr>
        <w:pStyle w:val="StandardWeb"/>
      </w:pPr>
      <w:r>
        <w:lastRenderedPageBreak/>
        <w:t>[</w:t>
      </w:r>
      <w:r>
        <w:br/>
        <w:t>\operatorname{Val}</w:t>
      </w:r>
      <w:r>
        <w:rPr>
          <w:rStyle w:val="Hervorhebung"/>
        </w:rPr>
        <w:t>{\mathcal{O}}</w:t>
      </w:r>
      <w:r>
        <w:rPr>
          <w:i/>
          <w:iCs/>
        </w:rPr>
        <w:br/>
      </w:r>
      <w:r>
        <w:rPr>
          <w:rStyle w:val="Hervorhebung"/>
        </w:rPr>
        <w:t>\left(</w:t>
      </w:r>
      <w:r>
        <w:rPr>
          <w:i/>
          <w:iCs/>
        </w:rPr>
        <w:br/>
      </w:r>
      <w:r>
        <w:rPr>
          <w:rStyle w:val="Hervorhebung"/>
        </w:rPr>
        <w:t>\mathcal{O}</w:t>
      </w:r>
      <w:r>
        <w:t>{j},</w:t>
      </w:r>
      <w:r>
        <w:br/>
        <w:t>\mathcal{K}_{F}</w:t>
      </w:r>
      <w:r>
        <w:br/>
        <w:t>\right)</w:t>
      </w:r>
      <w:r>
        <w:br/>
        <w:t>\in</w:t>
      </w:r>
      <w:r>
        <w:br/>
        <w:t>[0,1]</w:t>
      </w:r>
      <w:r>
        <w:br/>
        <w:t>\tag{3.6511}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\operatorname{Val}_{\mathcal{O}}\left(\mathcal{O}_{j},\mathcal{K}_{F}\right)\in[0,1]\qquad\text{(3.6511)}</w:t>
      </w:r>
    </w:p>
    <w:p w:rsidR="00135380" w:rsidRDefault="00135380" w:rsidP="00135380">
      <w:pPr>
        <w:pStyle w:val="StandardWeb"/>
      </w:pPr>
      <w:r>
        <w:t>ein.</w:t>
      </w:r>
    </w:p>
    <w:p w:rsidR="00135380" w:rsidRDefault="00135380" w:rsidP="00135380">
      <w:pPr>
        <w:pStyle w:val="StandardWeb"/>
      </w:pPr>
      <w:r>
        <w:t>Hohe Robustheit impliziert nicht automatisch hohe Validität:</w:t>
      </w:r>
    </w:p>
    <w:p w:rsidR="00135380" w:rsidRDefault="00135380" w:rsidP="00135380">
      <w:pPr>
        <w:pStyle w:val="StandardWeb"/>
      </w:pPr>
      <w:r>
        <w:t>[</w:t>
      </w:r>
      <w:r>
        <w:br/>
        <w:t>R_{\mathcal{O}}</w:t>
      </w:r>
      <w:r>
        <w:br/>
        <w:t>\text{ hoch}</w:t>
      </w:r>
      <w:r>
        <w:br/>
        <w:t>\nRightarrow</w:t>
      </w:r>
      <w:r>
        <w:br/>
        <w:t>\operatorname{Val}_{\mathcal{O}}</w:t>
      </w:r>
      <w:r>
        <w:br/>
        <w:t>\text{ hoch}.</w:t>
      </w:r>
      <w:r>
        <w:br/>
        <w:t>\tag{3.6512}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R_{\mathcal{O}}\text{ hoch}\nRightarrow\operatorname{Val}_{\mathcal{O}}\text{ hoch}\qquad\text{(3.6512)}</w:t>
      </w:r>
    </w:p>
    <w:p w:rsidR="00135380" w:rsidRDefault="00135380" w:rsidP="00135380">
      <w:pPr>
        <w:pStyle w:val="StandardWeb"/>
      </w:pPr>
      <w:r>
        <w:t>Umgekehrt kann eine theoretisch gut begründete Operationalisierung existieren, während alternative ebenfalls plausible Operationalisierungen zu abweichenden Ergebnissen führen.</w:t>
      </w:r>
    </w:p>
    <w:p w:rsidR="00135380" w:rsidRDefault="00E50336" w:rsidP="00135380">
      <w:r>
        <w:pict>
          <v:rect id="_x0000_i1173" style="width:0;height:1.5pt" o:hralign="center" o:hrstd="t" o:hr="t" fillcolor="#a0a0a0" stroked="f"/>
        </w:pict>
      </w:r>
    </w:p>
    <w:p w:rsidR="00135380" w:rsidRDefault="00135380" w:rsidP="00135380">
      <w:pPr>
        <w:pStyle w:val="berschrift2"/>
      </w:pPr>
      <w:r>
        <w:t>3.3.39.32 Robustheit der Aussageklasse</w:t>
      </w:r>
    </w:p>
    <w:p w:rsidR="00135380" w:rsidRDefault="00135380" w:rsidP="00135380">
      <w:pPr>
        <w:pStyle w:val="StandardWeb"/>
      </w:pPr>
      <w:r>
        <w:t>Für viele wissenschaftliche Anwendungen ist die Stabilität der qualitativen Aussage wichtiger als die numerische Gleichheit.</w:t>
      </w:r>
    </w:p>
    <w:p w:rsidR="00135380" w:rsidRDefault="00135380" w:rsidP="00135380">
      <w:pPr>
        <w:pStyle w:val="StandardWeb"/>
      </w:pPr>
      <w:r>
        <w:t>Sei</w:t>
      </w:r>
    </w:p>
    <w:p w:rsidR="00135380" w:rsidRDefault="00135380" w:rsidP="00135380">
      <w:pPr>
        <w:pStyle w:val="berschrift1"/>
      </w:pPr>
      <w:r>
        <w:t>[</w:t>
      </w:r>
      <w:r>
        <w:br/>
        <w:t>\mathfrak{L}_{A}</w:t>
      </w:r>
    </w:p>
    <w:p w:rsidR="00135380" w:rsidRDefault="00135380" w:rsidP="00135380">
      <w:pPr>
        <w:pStyle w:val="StandardWeb"/>
      </w:pPr>
      <w:r>
        <w:lastRenderedPageBreak/>
        <w:t>\left{</w:t>
      </w:r>
      <w:r>
        <w:br/>
        <w:t>L_1,</w:t>
      </w:r>
      <w:r>
        <w:br/>
        <w:t>L_2,</w:t>
      </w:r>
      <w:r>
        <w:br/>
        <w:t>\ldots,</w:t>
      </w:r>
      <w:r>
        <w:br/>
        <w:t>L_q</w:t>
      </w:r>
      <w:r>
        <w:br/>
        <w:t>\right}</w:t>
      </w:r>
      <w:r>
        <w:br/>
        <w:t>\tag{3.6513}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\mathfrak{L}_{A}=\left\{L_1,L_2,\ldots,L_q\right\}\qquad\text{(3.6513)}</w:t>
      </w:r>
    </w:p>
    <w:p w:rsidR="00135380" w:rsidRDefault="00135380" w:rsidP="00135380">
      <w:pPr>
        <w:pStyle w:val="StandardWeb"/>
      </w:pPr>
      <w:r>
        <w:t>die Menge möglicher Aussageklassen.</w:t>
      </w:r>
    </w:p>
    <w:p w:rsidR="00135380" w:rsidRDefault="00135380" w:rsidP="00135380">
      <w:pPr>
        <w:pStyle w:val="StandardWeb"/>
      </w:pPr>
      <w:r>
        <w:t>Die Klassifikationsabbildung lautet</w:t>
      </w:r>
    </w:p>
    <w:p w:rsidR="00135380" w:rsidRDefault="00135380" w:rsidP="00135380">
      <w:pPr>
        <w:pStyle w:val="StandardWeb"/>
      </w:pPr>
      <w:r>
        <w:t>[</w:t>
      </w:r>
      <w:r>
        <w:br/>
        <w:t>\operatorname{Klasse}</w:t>
      </w:r>
      <w:r>
        <w:rPr>
          <w:rStyle w:val="Hervorhebung"/>
        </w:rPr>
        <w:t>{A}</w:t>
      </w:r>
      <w:r>
        <w:rPr>
          <w:i/>
          <w:iCs/>
        </w:rPr>
        <w:br/>
      </w:r>
      <w:r>
        <w:rPr>
          <w:rStyle w:val="Hervorhebung"/>
        </w:rPr>
        <w:t>:</w:t>
      </w:r>
      <w:r>
        <w:rPr>
          <w:i/>
          <w:iCs/>
        </w:rPr>
        <w:br/>
      </w:r>
      <w:r>
        <w:rPr>
          <w:rStyle w:val="Hervorhebung"/>
        </w:rPr>
        <w:t>A_F</w:t>
      </w:r>
      <w:r>
        <w:rPr>
          <w:i/>
          <w:iCs/>
        </w:rPr>
        <w:br/>
      </w:r>
      <w:r>
        <w:rPr>
          <w:rStyle w:val="Hervorhebung"/>
        </w:rPr>
        <w:t>\longrightarrow</w:t>
      </w:r>
      <w:r>
        <w:rPr>
          <w:i/>
          <w:iCs/>
        </w:rPr>
        <w:br/>
      </w:r>
      <w:r>
        <w:rPr>
          <w:rStyle w:val="Hervorhebung"/>
        </w:rPr>
        <w:t>\mathfrak{L}</w:t>
      </w:r>
      <w:r>
        <w:t>{A}.</w:t>
      </w:r>
      <w:r>
        <w:br/>
        <w:t>\tag{3.6514}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\operatorname{Klasse}_{A}:A_F\longrightarrow\mathfrak{L}_{A}\qquad\text{(3.6514)}</w:t>
      </w:r>
    </w:p>
    <w:p w:rsidR="00135380" w:rsidRDefault="00135380" w:rsidP="00135380">
      <w:pPr>
        <w:pStyle w:val="StandardWeb"/>
      </w:pPr>
      <w:r>
        <w:t>Operationalisierungsrobustheit der Aussageklasse liegt vor, wenn</w:t>
      </w:r>
    </w:p>
    <w:p w:rsidR="00135380" w:rsidRDefault="00135380" w:rsidP="00135380">
      <w:pPr>
        <w:pStyle w:val="berschrift1"/>
      </w:pPr>
      <w:r>
        <w:t>[</w:t>
      </w:r>
      <w:r>
        <w:br/>
        <w:t>\forall</w:t>
      </w:r>
      <w:r>
        <w:br/>
        <w:t>\mathcal{O}</w:t>
      </w:r>
      <w:r>
        <w:rPr>
          <w:rStyle w:val="Hervorhebung"/>
        </w:rPr>
        <w:t>{j}</w:t>
      </w:r>
      <w:r>
        <w:rPr>
          <w:i/>
          <w:iCs/>
        </w:rPr>
        <w:br/>
      </w:r>
      <w:r>
        <w:rPr>
          <w:rStyle w:val="Hervorhebung"/>
        </w:rPr>
        <w:t>\in</w:t>
      </w:r>
      <w:r>
        <w:rPr>
          <w:i/>
          <w:iCs/>
        </w:rPr>
        <w:br/>
      </w:r>
      <w:r>
        <w:rPr>
          <w:rStyle w:val="Hervorhebung"/>
        </w:rPr>
        <w:t>\mathfrak{O}</w:t>
      </w:r>
      <w:r>
        <w:t>{\mathrm{rob}}:</w:t>
      </w:r>
      <w:r>
        <w:br/>
        <w:t>\quad</w:t>
      </w:r>
      <w:r>
        <w:br/>
        <w:t>\operatorname{Klasse}_{A}</w:t>
      </w:r>
      <w:r>
        <w:br/>
        <w:t>\left(</w:t>
      </w:r>
      <w:r>
        <w:br/>
        <w:t>A_F^{(j)}</w:t>
      </w:r>
      <w:r>
        <w:br/>
        <w:t>\right)</w:t>
      </w:r>
    </w:p>
    <w:p w:rsidR="00135380" w:rsidRDefault="00135380" w:rsidP="00135380">
      <w:pPr>
        <w:pStyle w:val="StandardWeb"/>
      </w:pPr>
      <w:r>
        <w:lastRenderedPageBreak/>
        <w:t>L^\ast.</w:t>
      </w:r>
      <w:r>
        <w:br/>
        <w:t>\tag{3.6515}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\forall\mathcal{O}_{j}\in\mathfrak{O}_{\mathrm{rob}}:\operatorname{Klasse}_{A}\left(A_F^{(j)}\right)=L^{\ast}\qquad\text{(3.6515)}</w:t>
      </w:r>
    </w:p>
    <w:p w:rsidR="00135380" w:rsidRDefault="00135380" w:rsidP="00135380">
      <w:pPr>
        <w:pStyle w:val="StandardWeb"/>
      </w:pPr>
      <w:r>
        <w:t>Dabei bezeichnet (L^\ast) die gemeinsame wissenschaftliche Aussageklasse.</w:t>
      </w:r>
    </w:p>
    <w:p w:rsidR="00135380" w:rsidRDefault="00E50336" w:rsidP="00135380">
      <w:r>
        <w:pict>
          <v:rect id="_x0000_i1174" style="width:0;height:1.5pt" o:hralign="center" o:hrstd="t" o:hr="t" fillcolor="#a0a0a0" stroked="f"/>
        </w:pict>
      </w:r>
    </w:p>
    <w:p w:rsidR="00135380" w:rsidRDefault="00135380" w:rsidP="00135380">
      <w:pPr>
        <w:pStyle w:val="berschrift2"/>
      </w:pPr>
      <w:r>
        <w:t>3.3.39.33 Vorzeichenrobustheit</w:t>
      </w:r>
    </w:p>
    <w:p w:rsidR="00135380" w:rsidRDefault="00135380" w:rsidP="00135380">
      <w:pPr>
        <w:pStyle w:val="StandardWeb"/>
      </w:pPr>
      <w:r>
        <w:t>Ein besonders einfacher Spezialfall ist die Stabilität eines Effektrichtungszeichens.</w:t>
      </w:r>
    </w:p>
    <w:p w:rsidR="00135380" w:rsidRDefault="00135380" w:rsidP="00135380">
      <w:pPr>
        <w:pStyle w:val="StandardWeb"/>
      </w:pPr>
      <w:r>
        <w:t>Seien Operationalisierungsergebnisse</w:t>
      </w:r>
    </w:p>
    <w:p w:rsidR="00135380" w:rsidRDefault="00135380" w:rsidP="00135380">
      <w:pPr>
        <w:pStyle w:val="StandardWeb"/>
      </w:pPr>
      <w:r>
        <w:t>[</w:t>
      </w:r>
      <w:r>
        <w:br/>
        <w:t>\Delta_j</w:t>
      </w:r>
      <w:r>
        <w:br/>
        <w:t>\tag{3.6516}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\Delta_j\qquad\text{(3.6516)}</w:t>
      </w:r>
    </w:p>
    <w:p w:rsidR="00135380" w:rsidRDefault="00135380" w:rsidP="00135380">
      <w:pPr>
        <w:pStyle w:val="StandardWeb"/>
      </w:pPr>
      <w:r>
        <w:t>gegeben.</w:t>
      </w:r>
    </w:p>
    <w:p w:rsidR="00135380" w:rsidRDefault="00135380" w:rsidP="00135380">
      <w:pPr>
        <w:pStyle w:val="StandardWeb"/>
      </w:pPr>
      <w:r>
        <w:t>Vorzeichenrobustheit liegt vor, wenn</w:t>
      </w:r>
    </w:p>
    <w:p w:rsidR="00135380" w:rsidRDefault="00135380" w:rsidP="00135380">
      <w:pPr>
        <w:pStyle w:val="berschrift1"/>
      </w:pPr>
      <w:r>
        <w:t>[</w:t>
      </w:r>
      <w:r>
        <w:br/>
        <w:t>\operatorname{sgn}</w:t>
      </w:r>
      <w:r>
        <w:br/>
        <w:t>\left(</w:t>
      </w:r>
      <w:r>
        <w:br/>
        <w:t>\Delta_1</w:t>
      </w:r>
      <w:r>
        <w:br/>
        <w:t>\right)</w:t>
      </w:r>
    </w:p>
    <w:p w:rsidR="00135380" w:rsidRDefault="00135380" w:rsidP="00135380">
      <w:pPr>
        <w:pStyle w:val="berschrift1"/>
      </w:pPr>
      <w:r>
        <w:t>\operatorname{sgn}</w:t>
      </w:r>
      <w:r>
        <w:br/>
        <w:t>\left(</w:t>
      </w:r>
      <w:r>
        <w:br/>
        <w:t>\Delta_2</w:t>
      </w:r>
      <w:r>
        <w:br/>
        <w:t>\right)</w:t>
      </w:r>
    </w:p>
    <w:p w:rsidR="00135380" w:rsidRDefault="00135380" w:rsidP="00135380">
      <w:pPr>
        <w:pStyle w:val="berschrift1"/>
      </w:pPr>
      <w:r>
        <w:t>\cdots</w:t>
      </w:r>
    </w:p>
    <w:p w:rsidR="00135380" w:rsidRDefault="00135380" w:rsidP="00135380">
      <w:pPr>
        <w:pStyle w:val="StandardWeb"/>
      </w:pPr>
      <w:r>
        <w:lastRenderedPageBreak/>
        <w:t>\operatorname{sgn}</w:t>
      </w:r>
      <w:r>
        <w:br/>
        <w:t>\left(</w:t>
      </w:r>
      <w:r>
        <w:br/>
        <w:t>\Delta_m</w:t>
      </w:r>
      <w:r>
        <w:br/>
        <w:t>\right).</w:t>
      </w:r>
      <w:r>
        <w:br/>
        <w:t>\tag{3.6517}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\operatorname{sgn}\left(\Delta_1\right)=\operatorname{sgn}\left(\Delta_2\right)=\cdots=\operatorname{sgn}\left(\Delta_m\right)\qquad\text{(3.6517)}</w:t>
      </w:r>
    </w:p>
    <w:p w:rsidR="00135380" w:rsidRDefault="00135380" w:rsidP="00135380">
      <w:pPr>
        <w:pStyle w:val="StandardWeb"/>
      </w:pPr>
      <w:r>
        <w:t>Die Effektstärken dürfen dabei unterschiedlich sein.</w:t>
      </w:r>
    </w:p>
    <w:p w:rsidR="00135380" w:rsidRDefault="00135380" w:rsidP="00135380">
      <w:pPr>
        <w:pStyle w:val="StandardWeb"/>
      </w:pPr>
      <w:r>
        <w:t>Eine Aussage wie „Kohärenz nimmt ab“ kann also operationalisierungsrobust sein, obwohl die geschätzte Stärke der Abnahme von der konkreten Operationalisierung abhängt.</w:t>
      </w:r>
    </w:p>
    <w:p w:rsidR="00135380" w:rsidRDefault="00E50336" w:rsidP="00135380">
      <w:r>
        <w:pict>
          <v:rect id="_x0000_i1175" style="width:0;height:1.5pt" o:hralign="center" o:hrstd="t" o:hr="t" fillcolor="#a0a0a0" stroked="f"/>
        </w:pict>
      </w:r>
    </w:p>
    <w:p w:rsidR="00135380" w:rsidRDefault="00135380" w:rsidP="00135380">
      <w:pPr>
        <w:pStyle w:val="berschrift2"/>
      </w:pPr>
      <w:r>
        <w:t>3.3.39.34 Rangrobustheit</w:t>
      </w:r>
    </w:p>
    <w:p w:rsidR="00135380" w:rsidRDefault="00135380" w:rsidP="00135380">
      <w:pPr>
        <w:pStyle w:val="StandardWeb"/>
      </w:pPr>
      <w:r>
        <w:t>Eine weitere wichtige Form ist die Erhaltung einer Rangordnung.</w:t>
      </w:r>
    </w:p>
    <w:p w:rsidR="00135380" w:rsidRDefault="00135380" w:rsidP="00135380">
      <w:pPr>
        <w:pStyle w:val="StandardWeb"/>
      </w:pPr>
      <w:r>
        <w:t>Für zwei Objekte (a) und (b) gelte unter einer Operationalisierung</w:t>
      </w:r>
    </w:p>
    <w:p w:rsidR="00135380" w:rsidRDefault="00135380" w:rsidP="00135380">
      <w:pPr>
        <w:pStyle w:val="StandardWeb"/>
      </w:pPr>
      <w:r>
        <w:t>[</w:t>
      </w:r>
      <w:r>
        <w:br/>
        <w:t>y_a^{(1)}</w:t>
      </w:r>
    </w:p>
    <w:p w:rsidR="00135380" w:rsidRDefault="00135380" w:rsidP="00135380">
      <w:pPr>
        <w:pStyle w:val="StandardWeb"/>
      </w:pPr>
      <w:r>
        <w:t>y_b^{(1)}.</w:t>
      </w:r>
      <w:r>
        <w:br/>
        <w:t>\tag{3.6518}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y_a^{(1)}&gt;y_b^{(1)}\qquad\text{(3.6518)}</w:t>
      </w:r>
    </w:p>
    <w:p w:rsidR="00135380" w:rsidRDefault="00135380" w:rsidP="00135380">
      <w:pPr>
        <w:pStyle w:val="StandardWeb"/>
      </w:pPr>
      <w:r>
        <w:t>Rangrobustheit gegenüber (\mathcal{O}_2) liegt vor, wenn auch</w:t>
      </w:r>
    </w:p>
    <w:p w:rsidR="00135380" w:rsidRDefault="00135380" w:rsidP="00135380">
      <w:pPr>
        <w:pStyle w:val="StandardWeb"/>
      </w:pPr>
      <w:r>
        <w:t>[</w:t>
      </w:r>
      <w:r>
        <w:br/>
        <w:t>y_a^{(2)}</w:t>
      </w:r>
    </w:p>
    <w:p w:rsidR="00135380" w:rsidRDefault="00135380" w:rsidP="00135380">
      <w:pPr>
        <w:pStyle w:val="StandardWeb"/>
      </w:pPr>
      <w:r>
        <w:t>y_b^{(2)}.</w:t>
      </w:r>
      <w:r>
        <w:br/>
        <w:t>\tag{3.6519}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y_a^{(2)}&gt;y_b^{(2)}\qquad\text{(3.6519)}</w:t>
      </w:r>
    </w:p>
    <w:p w:rsidR="00135380" w:rsidRDefault="00135380" w:rsidP="00135380">
      <w:pPr>
        <w:pStyle w:val="StandardWeb"/>
      </w:pPr>
      <w:r>
        <w:t>gilt.</w:t>
      </w:r>
    </w:p>
    <w:p w:rsidR="00135380" w:rsidRDefault="00135380" w:rsidP="00135380">
      <w:pPr>
        <w:pStyle w:val="StandardWeb"/>
      </w:pPr>
      <w:r>
        <w:t>Für mehrere Operationalisierungen lautet die Bedingung</w:t>
      </w:r>
    </w:p>
    <w:p w:rsidR="00135380" w:rsidRDefault="00135380" w:rsidP="00135380">
      <w:pPr>
        <w:pStyle w:val="StandardWeb"/>
      </w:pPr>
      <w:r>
        <w:lastRenderedPageBreak/>
        <w:t>[</w:t>
      </w:r>
      <w:r>
        <w:br/>
        <w:t>\forall j:</w:t>
      </w:r>
      <w:r>
        <w:br/>
        <w:t>\quad</w:t>
      </w:r>
      <w:r>
        <w:br/>
        <w:t>y_a^{(j)}</w:t>
      </w:r>
    </w:p>
    <w:p w:rsidR="00135380" w:rsidRDefault="00135380" w:rsidP="00135380">
      <w:pPr>
        <w:pStyle w:val="StandardWeb"/>
      </w:pPr>
      <w:r>
        <w:t>y_b^{(j)}.</w:t>
      </w:r>
      <w:r>
        <w:br/>
        <w:t>\tag{3.6520}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\forall j:y_a^{(j)}&gt;y_b^{(j)}\qquad\text{(3.6520)}</w:t>
      </w:r>
    </w:p>
    <w:p w:rsidR="00135380" w:rsidRDefault="00135380" w:rsidP="00135380">
      <w:pPr>
        <w:pStyle w:val="StandardWeb"/>
      </w:pPr>
      <w:r>
        <w:t>Diese Form ist insbesondere dann relevant, wenn absolute Skalenwerte zwischen Operationalisierungen nicht direkt vergleichbar sind.</w:t>
      </w:r>
    </w:p>
    <w:p w:rsidR="00135380" w:rsidRDefault="00E50336" w:rsidP="00135380">
      <w:r>
        <w:pict>
          <v:rect id="_x0000_i1176" style="width:0;height:1.5pt" o:hralign="center" o:hrstd="t" o:hr="t" fillcolor="#a0a0a0" stroked="f"/>
        </w:pict>
      </w:r>
    </w:p>
    <w:p w:rsidR="00135380" w:rsidRDefault="00135380" w:rsidP="00135380">
      <w:pPr>
        <w:pStyle w:val="berschrift2"/>
      </w:pPr>
      <w:r>
        <w:t>3.3.39.35 Strukturrobustheit</w:t>
      </w:r>
    </w:p>
    <w:p w:rsidR="00135380" w:rsidRDefault="00135380" w:rsidP="00135380">
      <w:pPr>
        <w:pStyle w:val="StandardWeb"/>
      </w:pPr>
      <w:r>
        <w:t>Noch stärker ist die Erhaltung einer vollständigen Relationsstruktur.</w:t>
      </w:r>
    </w:p>
    <w:p w:rsidR="00135380" w:rsidRDefault="00135380" w:rsidP="00135380">
      <w:pPr>
        <w:pStyle w:val="StandardWeb"/>
      </w:pPr>
      <w:r>
        <w:t>Sei unter Operationalisierung (\mathcal{O}_j) eine Relationsstruktur</w:t>
      </w:r>
    </w:p>
    <w:p w:rsidR="00135380" w:rsidRDefault="00135380" w:rsidP="00135380">
      <w:pPr>
        <w:pStyle w:val="StandardWeb"/>
      </w:pPr>
      <w:r>
        <w:t>[</w:t>
      </w:r>
      <w:r>
        <w:br/>
        <w:t>\mathfrak{R}_{F}^{(j)}.</w:t>
      </w:r>
      <w:r>
        <w:br/>
        <w:t>\tag{3.6521}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\mathfrak{R}_{F}^{(j)}\qquad\text{(3.6521)}</w:t>
      </w:r>
    </w:p>
    <w:p w:rsidR="00135380" w:rsidRDefault="00135380" w:rsidP="00135380">
      <w:pPr>
        <w:pStyle w:val="StandardWeb"/>
      </w:pPr>
      <w:r>
        <w:t>Für zwei Operationalisierungen kann Strukturrobustheit als</w:t>
      </w:r>
    </w:p>
    <w:p w:rsidR="00135380" w:rsidRDefault="00135380" w:rsidP="00135380">
      <w:pPr>
        <w:pStyle w:val="StandardWeb"/>
      </w:pPr>
      <w:r>
        <w:t>[</w:t>
      </w:r>
      <w:r>
        <w:br/>
        <w:t>\mathfrak{R}</w:t>
      </w:r>
      <w:r>
        <w:rPr>
          <w:rStyle w:val="Hervorhebung"/>
        </w:rPr>
        <w:t>{F}^{(1)}</w:t>
      </w:r>
      <w:r>
        <w:rPr>
          <w:i/>
          <w:iCs/>
        </w:rPr>
        <w:br/>
      </w:r>
      <w:r>
        <w:rPr>
          <w:rStyle w:val="Hervorhebung"/>
        </w:rPr>
        <w:t>\cong</w:t>
      </w:r>
      <w:r>
        <w:rPr>
          <w:i/>
          <w:iCs/>
        </w:rPr>
        <w:br/>
      </w:r>
      <w:r>
        <w:rPr>
          <w:rStyle w:val="Hervorhebung"/>
        </w:rPr>
        <w:t>\mathfrak{R}</w:t>
      </w:r>
      <w:r>
        <w:t>{F}^{(2)}</w:t>
      </w:r>
      <w:r>
        <w:br/>
        <w:t>\tag{3.6522}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\mathfrak{R}_{F}^{(1)}\cong\mathfrak{R}_{F}^{(2)}\qquad\text{(3.6522)}</w:t>
      </w:r>
    </w:p>
    <w:p w:rsidR="00135380" w:rsidRDefault="00135380" w:rsidP="00135380">
      <w:pPr>
        <w:pStyle w:val="StandardWeb"/>
      </w:pPr>
      <w:r>
        <w:t>formuliert werden.</w:t>
      </w:r>
    </w:p>
    <w:p w:rsidR="00135380" w:rsidRDefault="00135380" w:rsidP="00135380">
      <w:pPr>
        <w:pStyle w:val="StandardWeb"/>
      </w:pPr>
      <w:r>
        <w:t>Dabei müssen die numerischen Kanten- oder Relationswerte nicht identisch sein. Entscheidend ist, dass die für die wissenschaftliche Aussage relevante relationale Organisation erhalten bleibt.</w:t>
      </w:r>
    </w:p>
    <w:p w:rsidR="00135380" w:rsidRDefault="00E50336" w:rsidP="00135380">
      <w:r>
        <w:lastRenderedPageBreak/>
        <w:pict>
          <v:rect id="_x0000_i1177" style="width:0;height:1.5pt" o:hralign="center" o:hrstd="t" o:hr="t" fillcolor="#a0a0a0" stroked="f"/>
        </w:pict>
      </w:r>
    </w:p>
    <w:p w:rsidR="00135380" w:rsidRDefault="00135380" w:rsidP="00135380">
      <w:pPr>
        <w:pStyle w:val="berschrift2"/>
      </w:pPr>
      <w:r>
        <w:t>3.3.39.36 Transformationsrobustheit</w:t>
      </w:r>
    </w:p>
    <w:p w:rsidR="00135380" w:rsidRDefault="00135380" w:rsidP="00135380">
      <w:pPr>
        <w:pStyle w:val="StandardWeb"/>
      </w:pPr>
      <w:r>
        <w:t>Analog kann geprüft werden, ob eine abgeleitete funktionale Transformation gegenüber unterschiedlichen Operationalisierungen dieselbe Struktur besitzt.</w:t>
      </w:r>
    </w:p>
    <w:p w:rsidR="00135380" w:rsidRDefault="00135380" w:rsidP="00135380">
      <w:pPr>
        <w:pStyle w:val="StandardWeb"/>
      </w:pPr>
      <w:r>
        <w:t>Seien</w:t>
      </w:r>
    </w:p>
    <w:p w:rsidR="00135380" w:rsidRDefault="00135380" w:rsidP="00135380">
      <w:pPr>
        <w:pStyle w:val="StandardWeb"/>
      </w:pPr>
      <w:r>
        <w:t>[</w:t>
      </w:r>
      <w:r>
        <w:br/>
        <w:t>T_F^{(1)}</w:t>
      </w:r>
      <w:r>
        <w:br/>
        <w:t>\quad\text{und}\quad</w:t>
      </w:r>
      <w:r>
        <w:br/>
        <w:t>T_F^{(2)}</w:t>
      </w:r>
      <w:r>
        <w:br/>
        <w:t>\tag{3.6523}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T_F^{(1)}\quad\text{und}\quad T_F^{(2)}\qquad\text{(3.6523)}</w:t>
      </w:r>
    </w:p>
    <w:p w:rsidR="00135380" w:rsidRDefault="00135380" w:rsidP="00135380">
      <w:pPr>
        <w:pStyle w:val="StandardWeb"/>
      </w:pPr>
      <w:r>
        <w:t>zwei operationalisierungsabhängige Transformationen.</w:t>
      </w:r>
    </w:p>
    <w:p w:rsidR="00135380" w:rsidRDefault="00135380" w:rsidP="00135380">
      <w:pPr>
        <w:pStyle w:val="StandardWeb"/>
      </w:pPr>
      <w:r>
        <w:t>Transformationsrobustheit liegt vor, wenn eine geeignete Äquivalenz</w:t>
      </w:r>
    </w:p>
    <w:p w:rsidR="00135380" w:rsidRDefault="00135380" w:rsidP="00135380">
      <w:pPr>
        <w:pStyle w:val="StandardWeb"/>
      </w:pPr>
      <w:r>
        <w:t>[</w:t>
      </w:r>
      <w:r>
        <w:br/>
        <w:t>T_F^{(1)}</w:t>
      </w:r>
      <w:r>
        <w:br/>
        <w:t>\sim_T</w:t>
      </w:r>
      <w:r>
        <w:br/>
        <w:t>T_F^{(2)}</w:t>
      </w:r>
      <w:r>
        <w:br/>
        <w:t>\tag{3.6524}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T_F^{(1)}\sim_T T_F^{(2)}\qquad\text{(3.6524)}</w:t>
      </w:r>
    </w:p>
    <w:p w:rsidR="00135380" w:rsidRDefault="00135380" w:rsidP="00135380">
      <w:pPr>
        <w:pStyle w:val="StandardWeb"/>
      </w:pPr>
      <w:r>
        <w:t>besteht.</w:t>
      </w:r>
    </w:p>
    <w:p w:rsidR="00135380" w:rsidRDefault="00135380" w:rsidP="00135380">
      <w:pPr>
        <w:pStyle w:val="StandardWeb"/>
      </w:pPr>
      <w:r>
        <w:t>Die konkrete Bedeutung von (\sim_T) hängt von der jeweiligen Transformationsklasse ab und darf nicht pauschal vorausgesetzt werden.</w:t>
      </w:r>
    </w:p>
    <w:p w:rsidR="00135380" w:rsidRDefault="00E50336" w:rsidP="00135380">
      <w:r>
        <w:pict>
          <v:rect id="_x0000_i1178" style="width:0;height:1.5pt" o:hralign="center" o:hrstd="t" o:hr="t" fillcolor="#a0a0a0" stroked="f"/>
        </w:pict>
      </w:r>
    </w:p>
    <w:p w:rsidR="00135380" w:rsidRDefault="00135380" w:rsidP="00135380">
      <w:pPr>
        <w:pStyle w:val="berschrift2"/>
      </w:pPr>
      <w:r>
        <w:t>3.3.39.37 Operationalisierungsrobustheit kausaler Aussagen</w:t>
      </w:r>
    </w:p>
    <w:p w:rsidR="00135380" w:rsidRDefault="00135380" w:rsidP="00135380">
      <w:pPr>
        <w:pStyle w:val="StandardWeb"/>
      </w:pPr>
      <w:r>
        <w:t>Besonders hohe Anforderungen gelten für kausale Interpretationen.</w:t>
      </w:r>
    </w:p>
    <w:p w:rsidR="00135380" w:rsidRDefault="00135380" w:rsidP="00135380">
      <w:pPr>
        <w:pStyle w:val="StandardWeb"/>
      </w:pPr>
      <w:r>
        <w:t>Unter zwei Operationalisierungen können zwei geschätzte Kausaleffekte entstehen:</w:t>
      </w:r>
    </w:p>
    <w:p w:rsidR="00135380" w:rsidRDefault="00135380" w:rsidP="00135380">
      <w:pPr>
        <w:pStyle w:val="StandardWeb"/>
      </w:pPr>
      <w:r>
        <w:t>[</w:t>
      </w:r>
      <w:r>
        <w:br/>
        <w:t>\widehat{\psi}_{C}^{(1)}</w:t>
      </w:r>
      <w:r>
        <w:br/>
      </w:r>
      <w:r>
        <w:lastRenderedPageBreak/>
        <w:t>\tag{3.6525}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\widehat{\psi}_{C}^{(1)}\qquad\text{(3.6525)}</w:t>
      </w:r>
    </w:p>
    <w:p w:rsidR="00135380" w:rsidRDefault="00135380" w:rsidP="00135380">
      <w:pPr>
        <w:pStyle w:val="StandardWeb"/>
      </w:pPr>
      <w:r>
        <w:t>und</w:t>
      </w:r>
    </w:p>
    <w:p w:rsidR="00135380" w:rsidRDefault="00135380" w:rsidP="00135380">
      <w:pPr>
        <w:pStyle w:val="StandardWeb"/>
      </w:pPr>
      <w:r>
        <w:t>[</w:t>
      </w:r>
      <w:r>
        <w:br/>
        <w:t>\widehat{\psi}_{C}^{(2)}.</w:t>
      </w:r>
      <w:r>
        <w:br/>
        <w:t>\tag{3.6526}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\widehat{\psi}_{C}^{(2)}\qquad\text{(3.6526)}</w:t>
      </w:r>
    </w:p>
    <w:p w:rsidR="00135380" w:rsidRDefault="00135380" w:rsidP="00135380">
      <w:pPr>
        <w:pStyle w:val="StandardWeb"/>
      </w:pPr>
      <w:r>
        <w:t>Eine einfache Differenz lautet</w:t>
      </w:r>
    </w:p>
    <w:p w:rsidR="00135380" w:rsidRDefault="00135380" w:rsidP="00135380">
      <w:pPr>
        <w:pStyle w:val="berschrift1"/>
      </w:pPr>
      <w:r>
        <w:t>[</w:t>
      </w:r>
      <w:r>
        <w:br/>
        <w:t>\Delta_{\mathcal{O}}^{C}</w:t>
      </w:r>
    </w:p>
    <w:p w:rsidR="00135380" w:rsidRDefault="00135380" w:rsidP="00135380">
      <w:pPr>
        <w:pStyle w:val="berschrift2"/>
      </w:pPr>
      <w:r>
        <w:t>\widehat{\psi}_{C}^{(2)}</w:t>
      </w:r>
    </w:p>
    <w:p w:rsidR="00135380" w:rsidRDefault="00135380" w:rsidP="00135380">
      <w:pPr>
        <w:pStyle w:val="StandardWeb"/>
      </w:pPr>
      <w:r>
        <w:t>\widehat{\psi}_{C}^{(1)}.</w:t>
      </w:r>
      <w:r>
        <w:br/>
        <w:t>\tag{3.6527}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\Delta_{\mathcal{O}}^{C}=\widehat{\psi}_{C}^{(2)}-\widehat{\psi}_{C}^{(1)}\qquad\text{(3.6527)}</w:t>
      </w:r>
    </w:p>
    <w:p w:rsidR="00135380" w:rsidRDefault="00135380" w:rsidP="00135380">
      <w:pPr>
        <w:pStyle w:val="StandardWeb"/>
      </w:pPr>
      <w:r>
        <w:t>Eine kausale Schlussfolgerung ist besonders instabil, wenn bereits die Richtung des geschätzten Effekts wechselt:</w:t>
      </w:r>
    </w:p>
    <w:p w:rsidR="00135380" w:rsidRDefault="00135380" w:rsidP="00135380">
      <w:pPr>
        <w:pStyle w:val="StandardWeb"/>
      </w:pPr>
      <w:r>
        <w:t>[</w:t>
      </w:r>
      <w:r>
        <w:br/>
        <w:t>\operatorname{sgn}</w:t>
      </w:r>
      <w:r>
        <w:br/>
        <w:t>\left(</w:t>
      </w:r>
      <w:r>
        <w:br/>
        <w:t>\widehat{\psi}</w:t>
      </w:r>
      <w:r>
        <w:rPr>
          <w:rStyle w:val="Hervorhebung"/>
        </w:rPr>
        <w:t>{C}^{(1)}</w:t>
      </w:r>
      <w:r>
        <w:rPr>
          <w:i/>
          <w:iCs/>
        </w:rPr>
        <w:br/>
      </w:r>
      <w:r>
        <w:rPr>
          <w:rStyle w:val="Hervorhebung"/>
        </w:rPr>
        <w:t>\right)</w:t>
      </w:r>
      <w:r>
        <w:rPr>
          <w:i/>
          <w:iCs/>
        </w:rPr>
        <w:br/>
      </w:r>
      <w:r>
        <w:rPr>
          <w:rStyle w:val="Hervorhebung"/>
        </w:rPr>
        <w:t>\neq</w:t>
      </w:r>
      <w:r>
        <w:rPr>
          <w:i/>
          <w:iCs/>
        </w:rPr>
        <w:br/>
      </w:r>
      <w:r>
        <w:rPr>
          <w:rStyle w:val="Hervorhebung"/>
        </w:rPr>
        <w:t>\operatorname{sgn}</w:t>
      </w:r>
      <w:r>
        <w:rPr>
          <w:i/>
          <w:iCs/>
        </w:rPr>
        <w:br/>
      </w:r>
      <w:r>
        <w:rPr>
          <w:rStyle w:val="Hervorhebung"/>
        </w:rPr>
        <w:t>\left(</w:t>
      </w:r>
      <w:r>
        <w:rPr>
          <w:i/>
          <w:iCs/>
        </w:rPr>
        <w:br/>
      </w:r>
      <w:r>
        <w:rPr>
          <w:rStyle w:val="Hervorhebung"/>
        </w:rPr>
        <w:t>\widehat{\psi}</w:t>
      </w:r>
      <w:r>
        <w:t>{C}^{(2)}</w:t>
      </w:r>
      <w:r>
        <w:br/>
        <w:t>\right).</w:t>
      </w:r>
      <w:r>
        <w:br/>
        <w:t>\tag{3.6528}</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\operatorname{sgn}\left(\widehat{\psi}_{C}^{(1)}\right)\neq\operatorname{sgn}\left(\widehat{\psi}_{C}^{(2)}\right)\qquad\text{(3.6528)}</w:t>
      </w:r>
    </w:p>
    <w:p w:rsidR="00135380" w:rsidRDefault="00135380" w:rsidP="00135380">
      <w:pPr>
        <w:pStyle w:val="StandardWeb"/>
      </w:pPr>
      <w:r>
        <w:t>In einem solchen Fall darf eine kausale Interpretation nicht als operationalisierungsunabhängig dargestellt werden.</w:t>
      </w:r>
    </w:p>
    <w:p w:rsidR="00135380" w:rsidRDefault="00E50336" w:rsidP="00135380">
      <w:r>
        <w:pict>
          <v:rect id="_x0000_i1179" style="width:0;height:1.5pt" o:hralign="center" o:hrstd="t" o:hr="t" fillcolor="#a0a0a0" stroked="f"/>
        </w:pict>
      </w:r>
    </w:p>
    <w:p w:rsidR="00135380" w:rsidRDefault="00135380" w:rsidP="00135380">
      <w:pPr>
        <w:pStyle w:val="berschrift2"/>
      </w:pPr>
      <w:r>
        <w:t>3.3.39.38 Operationalisierungsrobustheit von Prognosen</w:t>
      </w:r>
    </w:p>
    <w:p w:rsidR="00135380" w:rsidRDefault="00135380" w:rsidP="00135380">
      <w:pPr>
        <w:pStyle w:val="StandardWeb"/>
      </w:pPr>
      <w:r>
        <w:t>Auch Prognosemodelle können von ihrer Merkmalsdefinition, Skalierung oder Aggregation abhängen.</w:t>
      </w:r>
    </w:p>
    <w:p w:rsidR="00135380" w:rsidRDefault="00135380" w:rsidP="00135380">
      <w:pPr>
        <w:pStyle w:val="StandardWeb"/>
      </w:pPr>
      <w:r>
        <w:t>Die Prognosegüte unter Operationalisierung (j) sei</w:t>
      </w:r>
    </w:p>
    <w:p w:rsidR="00135380" w:rsidRDefault="00135380" w:rsidP="00135380">
      <w:pPr>
        <w:pStyle w:val="StandardWeb"/>
      </w:pPr>
      <w:r>
        <w:t>[</w:t>
      </w:r>
      <w:r>
        <w:br/>
        <w:t>G_{\mathrm{prog}}^{(j)}.</w:t>
      </w:r>
      <w:r>
        <w:br/>
        <w:t>\tag{3.6529}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G_{\mathrm{prog}}^{(j)}\qquad\text{(3.6529)}</w:t>
      </w:r>
    </w:p>
    <w:p w:rsidR="00135380" w:rsidRDefault="00135380" w:rsidP="00135380">
      <w:pPr>
        <w:pStyle w:val="StandardWeb"/>
      </w:pPr>
      <w:r>
        <w:t>Die Streuung über Operationalisierungen kann durch</w:t>
      </w:r>
    </w:p>
    <w:p w:rsidR="00135380" w:rsidRDefault="00135380" w:rsidP="00135380">
      <w:pPr>
        <w:pStyle w:val="berschrift1"/>
      </w:pPr>
      <w:r>
        <w:t>[</w:t>
      </w:r>
      <w:r>
        <w:br/>
        <w:t>V_{\mathrm{prog},\mathcal{O}}</w:t>
      </w:r>
    </w:p>
    <w:p w:rsidR="00135380" w:rsidRDefault="00135380" w:rsidP="00135380">
      <w:pPr>
        <w:pStyle w:val="StandardWeb"/>
      </w:pPr>
      <w:r>
        <w:t>\operatorname{Var}</w:t>
      </w:r>
      <w:r>
        <w:br/>
        <w:t>\left(</w:t>
      </w:r>
      <w:r>
        <w:br/>
        <w:t>G_{\mathrm{prog}}^{(1)},</w:t>
      </w:r>
      <w:r>
        <w:br/>
        <w:t>\ldots,</w:t>
      </w:r>
      <w:r>
        <w:br/>
        <w:t>G_{\mathrm{prog}}^{(m)}</w:t>
      </w:r>
      <w:r>
        <w:br/>
        <w:t>\right)</w:t>
      </w:r>
      <w:r>
        <w:br/>
        <w:t>\tag{3.6530}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V_{\mathrm{prog},\mathcal{O}}=\operatorname{Var}\left(G_{\mathrm{prog}}^{(1)},\ldots,G_{\mathrm{prog}}^{(m)}\right)\qquad\text{(3.6530)}</w:t>
      </w:r>
    </w:p>
    <w:p w:rsidR="00135380" w:rsidRDefault="00135380" w:rsidP="00135380">
      <w:pPr>
        <w:pStyle w:val="StandardWeb"/>
      </w:pPr>
      <w:r>
        <w:t>beschrieben werden.</w:t>
      </w:r>
    </w:p>
    <w:p w:rsidR="00135380" w:rsidRDefault="00135380" w:rsidP="00135380">
      <w:pPr>
        <w:pStyle w:val="StandardWeb"/>
      </w:pPr>
      <w:r>
        <w:t>Eine geringe Streuung der Prognosegüte kann darauf hinweisen, dass die Prognoseleistung nicht ausschließlich auf einer spezifischen Messrepräsentation beruht.</w:t>
      </w:r>
    </w:p>
    <w:p w:rsidR="00135380" w:rsidRDefault="00E50336" w:rsidP="00135380">
      <w:r>
        <w:lastRenderedPageBreak/>
        <w:pict>
          <v:rect id="_x0000_i1180" style="width:0;height:1.5pt" o:hralign="center" o:hrstd="t" o:hr="t" fillcolor="#a0a0a0" stroked="f"/>
        </w:pict>
      </w:r>
    </w:p>
    <w:p w:rsidR="00135380" w:rsidRDefault="00135380" w:rsidP="00135380">
      <w:pPr>
        <w:pStyle w:val="berschrift2"/>
      </w:pPr>
      <w:r>
        <w:t>3.3.39.39 Operationalisierungsrobustheit von Erklärungen</w:t>
      </w:r>
    </w:p>
    <w:p w:rsidR="00135380" w:rsidRDefault="00135380" w:rsidP="00135380">
      <w:pPr>
        <w:pStyle w:val="StandardWeb"/>
      </w:pPr>
      <w:r>
        <w:t>Eine Erklärungsstruktur kann unter verschiedenen Operationalisierungen unterschiedlich aussehen.</w:t>
      </w:r>
    </w:p>
    <w:p w:rsidR="00135380" w:rsidRDefault="00135380" w:rsidP="00135380">
      <w:pPr>
        <w:pStyle w:val="StandardWeb"/>
      </w:pPr>
      <w:r>
        <w:t>Ich bezeichne sie mit</w:t>
      </w:r>
    </w:p>
    <w:p w:rsidR="00135380" w:rsidRDefault="00135380" w:rsidP="00135380">
      <w:pPr>
        <w:pStyle w:val="StandardWeb"/>
      </w:pPr>
      <w:r>
        <w:t>[</w:t>
      </w:r>
      <w:r>
        <w:br/>
        <w:t>\mathcal{X}_{F}^{(j)}.</w:t>
      </w:r>
      <w:r>
        <w:br/>
        <w:t>\tag{3.6531}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\mathcal{X}_{F}^{(j)}\qquad\text{(3.6531)}</w:t>
      </w:r>
    </w:p>
    <w:p w:rsidR="00135380" w:rsidRDefault="00135380" w:rsidP="00135380">
      <w:pPr>
        <w:pStyle w:val="StandardWeb"/>
      </w:pPr>
      <w:r>
        <w:t>Robustheit verlangt nicht zwingend</w:t>
      </w:r>
    </w:p>
    <w:p w:rsidR="00135380" w:rsidRDefault="00135380" w:rsidP="00135380">
      <w:pPr>
        <w:pStyle w:val="berschrift1"/>
      </w:pPr>
      <w:r>
        <w:t>[</w:t>
      </w:r>
      <w:r>
        <w:br/>
        <w:t>\mathcal{X}_{F}^{(1)}</w:t>
      </w:r>
    </w:p>
    <w:p w:rsidR="00135380" w:rsidRDefault="00135380" w:rsidP="00135380">
      <w:pPr>
        <w:pStyle w:val="StandardWeb"/>
      </w:pPr>
      <w:r>
        <w:t>\mathcal{X}_{F}^{(2)}.</w:t>
      </w:r>
      <w:r>
        <w:br/>
        <w:t>\tag{3.6532}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\mathcal{X}_{F}^{(1)}=\mathcal{X}_{F}^{(2)}\qquad\text{(3.6532)}</w:t>
      </w:r>
    </w:p>
    <w:p w:rsidR="00135380" w:rsidRDefault="00135380" w:rsidP="00135380">
      <w:pPr>
        <w:pStyle w:val="StandardWeb"/>
      </w:pPr>
      <w:r>
        <w:t>Es kann genügen, dass die relevanten Mechanismen beziehungsweise Transformationspfade äquivalent bleiben:</w:t>
      </w:r>
    </w:p>
    <w:p w:rsidR="00135380" w:rsidRDefault="00135380" w:rsidP="00135380">
      <w:pPr>
        <w:pStyle w:val="StandardWeb"/>
      </w:pPr>
      <w:r>
        <w:t>[</w:t>
      </w:r>
      <w:r>
        <w:br/>
        <w:t>\mathcal{X}</w:t>
      </w:r>
      <w:r>
        <w:rPr>
          <w:rStyle w:val="Hervorhebung"/>
        </w:rPr>
        <w:t>{F}^{(1)}</w:t>
      </w:r>
      <w:r>
        <w:rPr>
          <w:i/>
          <w:iCs/>
        </w:rPr>
        <w:br/>
      </w:r>
      <w:r>
        <w:rPr>
          <w:rStyle w:val="Hervorhebung"/>
        </w:rPr>
        <w:t>\sim</w:t>
      </w:r>
      <w:r>
        <w:t>{\mathrm{expl}}</w:t>
      </w:r>
      <w:r>
        <w:br/>
        <w:t>\mathcal{X}_{F}^{(2)}.</w:t>
      </w:r>
      <w:r>
        <w:br/>
        <w:t>\tag{3.6533}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\mathcal{X}_{F}^{(1)}\sim_{\mathrm{expl}}\mathcal{X}_{F}^{(2)}\qquad\text{(3.6533)}</w:t>
      </w:r>
    </w:p>
    <w:p w:rsidR="00135380" w:rsidRDefault="00135380" w:rsidP="00135380">
      <w:pPr>
        <w:pStyle w:val="StandardWeb"/>
      </w:pPr>
      <w:r>
        <w:t>Damit wird auch auf Erklärungsebene zwischen numerischer beziehungsweise syntaktischer Gleichheit und funktionaler Gleichwertigkeit unterschieden.</w:t>
      </w:r>
    </w:p>
    <w:p w:rsidR="00135380" w:rsidRDefault="00E50336" w:rsidP="00135380">
      <w:r>
        <w:pict>
          <v:rect id="_x0000_i1181" style="width:0;height:1.5pt" o:hralign="center" o:hrstd="t" o:hr="t" fillcolor="#a0a0a0" stroked="f"/>
        </w:pict>
      </w:r>
    </w:p>
    <w:p w:rsidR="00135380" w:rsidRDefault="00135380" w:rsidP="00135380">
      <w:pPr>
        <w:pStyle w:val="berschrift2"/>
      </w:pPr>
      <w:r>
        <w:lastRenderedPageBreak/>
        <w:t>3.3.39.40 Operationalisierungsrobustheitsklassen</w:t>
      </w:r>
    </w:p>
    <w:p w:rsidR="00135380" w:rsidRDefault="00135380" w:rsidP="00135380">
      <w:pPr>
        <w:pStyle w:val="StandardWeb"/>
      </w:pPr>
      <w:r>
        <w:t>Ich unterscheide vier Klassen:</w:t>
      </w:r>
    </w:p>
    <w:p w:rsidR="00135380" w:rsidRDefault="00135380" w:rsidP="00135380">
      <w:pPr>
        <w:pStyle w:val="berschrift1"/>
      </w:pPr>
      <w:r>
        <w:t>[</w:t>
      </w:r>
      <w:r>
        <w:br/>
        <w:t>\mathfrak{L}_{\mathcal{O}}</w:t>
      </w:r>
    </w:p>
    <w:p w:rsidR="00135380" w:rsidRDefault="00135380" w:rsidP="00135380">
      <w:pPr>
        <w:pStyle w:val="StandardWeb"/>
      </w:pPr>
      <w:r>
        <w:t>\left{</w:t>
      </w:r>
      <w:r>
        <w:br/>
        <w:t>\mathbf{instabil},</w:t>
      </w:r>
      <w:r>
        <w:br/>
        <w:t>\mathbf{lokal\ robust},</w:t>
      </w:r>
      <w:r>
        <w:br/>
        <w:t>\mathbf{global\ robust},</w:t>
      </w:r>
      <w:r>
        <w:br/>
        <w:t>\mathbf{konvergent\ gestützt}</w:t>
      </w:r>
      <w:r>
        <w:br/>
        <w:t>\right}.</w:t>
      </w:r>
      <w:r>
        <w:br/>
        <w:t>\tag{3.6534}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\mathfrak{L}_{\mathcal{O}}=\left\{\mathbf{instabil},\mathbf{lokal\ robust},\mathbf{global\ robust},\mathbf{konvergent\ gestützt}\right\}\qquad\text{(3.6534)}</w:t>
      </w:r>
    </w:p>
    <w:p w:rsidR="00135380" w:rsidRDefault="00135380" w:rsidP="00135380">
      <w:pPr>
        <w:pStyle w:val="StandardWeb"/>
      </w:pPr>
      <w:r>
        <w:t>Die Klassifikationsabbildung lautet</w:t>
      </w:r>
    </w:p>
    <w:p w:rsidR="00135380" w:rsidRDefault="00135380" w:rsidP="00135380">
      <w:pPr>
        <w:pStyle w:val="StandardWeb"/>
      </w:pPr>
      <w:r>
        <w:t>[</w:t>
      </w:r>
      <w:r>
        <w:br/>
        <w:t>\operatorname{Klasse}</w:t>
      </w:r>
      <w:r>
        <w:rPr>
          <w:rStyle w:val="Hervorhebung"/>
        </w:rPr>
        <w:t>{\mathcal{O}}</w:t>
      </w:r>
      <w:r>
        <w:rPr>
          <w:i/>
          <w:iCs/>
        </w:rPr>
        <w:br/>
      </w:r>
      <w:r>
        <w:rPr>
          <w:rStyle w:val="Hervorhebung"/>
        </w:rPr>
        <w:t>:</w:t>
      </w:r>
      <w:r>
        <w:rPr>
          <w:i/>
          <w:iCs/>
        </w:rPr>
        <w:br/>
      </w:r>
      <w:r>
        <w:rPr>
          <w:rStyle w:val="Hervorhebung"/>
        </w:rPr>
        <w:t>\mathfrak{O}</w:t>
      </w:r>
      <w:r>
        <w:t>{F}^{\mathrm{rob}}</w:t>
      </w:r>
      <w:r>
        <w:br/>
        <w:t>\longrightarrow</w:t>
      </w:r>
      <w:r>
        <w:br/>
        <w:t>\mathfrak{L}_{\mathcal{O}}.</w:t>
      </w:r>
      <w:r>
        <w:br/>
        <w:t>\tag{3.6535}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\operatorname{Klasse}_{\mathcal{O}}:\mathfrak{O}_{F}^{\mathrm{rob}}\longrightarrow\mathfrak{L}_{\mathcal{O}}\qquad\text{(3.6535)}</w:t>
      </w:r>
    </w:p>
    <w:p w:rsidR="00135380" w:rsidRDefault="00135380" w:rsidP="00135380">
      <w:pPr>
        <w:pStyle w:val="StandardWeb"/>
      </w:pPr>
      <w:r>
        <w:rPr>
          <w:rStyle w:val="Fett"/>
        </w:rPr>
        <w:t>Instabil</w:t>
      </w:r>
      <w:r>
        <w:t xml:space="preserve"> bedeutet, dass bereits plausible kleine Operationalisierungsänderungen die wissenschaftliche Aussage verändern.</w:t>
      </w:r>
    </w:p>
    <w:p w:rsidR="00135380" w:rsidRDefault="00135380" w:rsidP="00135380">
      <w:pPr>
        <w:pStyle w:val="StandardWeb"/>
      </w:pPr>
      <w:r>
        <w:rPr>
          <w:rStyle w:val="Fett"/>
        </w:rPr>
        <w:t>Lokal robust</w:t>
      </w:r>
      <w:r>
        <w:t xml:space="preserve"> bedeutet, dass die Aussage innerhalb einer begrenzten Umgebung der Referenzoperationalisierung erhalten bleibt.</w:t>
      </w:r>
    </w:p>
    <w:p w:rsidR="00135380" w:rsidRDefault="00135380" w:rsidP="00135380">
      <w:pPr>
        <w:pStyle w:val="StandardWeb"/>
      </w:pPr>
      <w:r>
        <w:rPr>
          <w:rStyle w:val="Fett"/>
        </w:rPr>
        <w:t>Global robust</w:t>
      </w:r>
      <w:r>
        <w:t xml:space="preserve"> bedeutet, dass sie über den gesamten wissenschaftlich zulässigen Operationalisierungsraum stabil bleibt.</w:t>
      </w:r>
    </w:p>
    <w:p w:rsidR="00135380" w:rsidRDefault="00135380" w:rsidP="00135380">
      <w:pPr>
        <w:pStyle w:val="StandardWeb"/>
      </w:pPr>
      <w:r>
        <w:rPr>
          <w:rStyle w:val="Fett"/>
        </w:rPr>
        <w:t>Konvergent gestützt</w:t>
      </w:r>
      <w:r>
        <w:t xml:space="preserve"> bedeutet zusätzlich, dass methodisch unterschiedliche Operationalisierungsfamilien dieselbe funktionale Schlussfolgerung tragen.</w:t>
      </w:r>
    </w:p>
    <w:p w:rsidR="00135380" w:rsidRDefault="00E50336" w:rsidP="00135380">
      <w:r>
        <w:lastRenderedPageBreak/>
        <w:pict>
          <v:rect id="_x0000_i1182" style="width:0;height:1.5pt" o:hralign="center" o:hrstd="t" o:hr="t" fillcolor="#a0a0a0" stroked="f"/>
        </w:pict>
      </w:r>
    </w:p>
    <w:p w:rsidR="00135380" w:rsidRDefault="00135380" w:rsidP="00135380">
      <w:pPr>
        <w:pStyle w:val="berschrift2"/>
      </w:pPr>
      <w:r>
        <w:t>3.3.39.41 Erweitertes Operationalisierungsrobustheitsprädikat</w:t>
      </w:r>
    </w:p>
    <w:p w:rsidR="00135380" w:rsidRDefault="00135380" w:rsidP="00135380">
      <w:pPr>
        <w:pStyle w:val="StandardWeb"/>
      </w:pPr>
      <w:r>
        <w:t>Ich definiere</w:t>
      </w:r>
    </w:p>
    <w:p w:rsidR="00135380" w:rsidRDefault="00135380" w:rsidP="00135380">
      <w:pPr>
        <w:pStyle w:val="StandardWeb"/>
      </w:pPr>
      <w:r>
        <w:t>[</w:t>
      </w:r>
      <w:r>
        <w:br/>
        <w:t>\operatorname{EORob}</w:t>
      </w:r>
      <w:r>
        <w:rPr>
          <w:rStyle w:val="Hervorhebung"/>
        </w:rPr>
        <w:t>{F}</w:t>
      </w:r>
      <w:r>
        <w:rPr>
          <w:i/>
          <w:iCs/>
        </w:rPr>
        <w:br/>
      </w:r>
      <w:r>
        <w:rPr>
          <w:rStyle w:val="Hervorhebung"/>
        </w:rPr>
        <w:t>:</w:t>
      </w:r>
      <w:r>
        <w:rPr>
          <w:i/>
          <w:iCs/>
        </w:rPr>
        <w:br/>
      </w:r>
      <w:r>
        <w:rPr>
          <w:rStyle w:val="Hervorhebung"/>
        </w:rPr>
        <w:t>\mathfrak{O}</w:t>
      </w:r>
      <w:r>
        <w:t>{F}^{\mathrm{rob}}</w:t>
      </w:r>
      <w:r>
        <w:br/>
        <w:t>\longrightarrow</w:t>
      </w:r>
      <w:r>
        <w:br/>
        <w:t>{0,1}.</w:t>
      </w:r>
      <w:r>
        <w:br/>
        <w:t>\tag{3.6536}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\operatorname{EORob}_{F}:\mathfrak{O}_{F}^{\mathrm{rob}}\longrightarrow\{0,1\}\qquad\text{(3.6536)}</w:t>
      </w:r>
    </w:p>
    <w:p w:rsidR="00135380" w:rsidRDefault="00135380" w:rsidP="00135380">
      <w:pPr>
        <w:pStyle w:val="StandardWeb"/>
      </w:pPr>
      <w:r>
        <w:t>Eine wissenschaftlich hinreichend begründete Operationalisierungsrobustheit verlangt mindestens</w:t>
      </w:r>
    </w:p>
    <w:p w:rsidR="00135380" w:rsidRDefault="00135380" w:rsidP="00135380">
      <w:pPr>
        <w:pStyle w:val="berschrift1"/>
      </w:pPr>
      <w:r>
        <w:t>[</w:t>
      </w:r>
      <w:r>
        <w:br/>
        <w:t>\operatorname{EORob}_{F}</w:t>
      </w:r>
    </w:p>
    <w:p w:rsidR="00135380" w:rsidRDefault="00135380" w:rsidP="00135380">
      <w:pPr>
        <w:pStyle w:val="StandardWeb"/>
      </w:pPr>
      <w:r>
        <w:t>1</w:t>
      </w:r>
      <w:r>
        <w:br/>
        <w:t>\iff</w:t>
      </w:r>
      <w:r>
        <w:br/>
        <w:t>C_{\mathrm{konzept}}</w:t>
      </w:r>
      <w:r>
        <w:br/>
        <w:t>\land</w:t>
      </w:r>
      <w:r>
        <w:br/>
        <w:t>C_{\mathrm{zulässigkeit}}</w:t>
      </w:r>
      <w:r>
        <w:br/>
        <w:t>\land</w:t>
      </w:r>
      <w:r>
        <w:br/>
        <w:t>C_{\mathrm{variation}}</w:t>
      </w:r>
      <w:r>
        <w:br/>
        <w:t>\land</w:t>
      </w:r>
      <w:r>
        <w:br/>
        <w:t>C_{\mathrm{stabilität}}</w:t>
      </w:r>
      <w:r>
        <w:br/>
        <w:t>\land</w:t>
      </w:r>
      <w:r>
        <w:br/>
        <w:t>C_{\mathrm{transparenz}}</w:t>
      </w:r>
      <w:r>
        <w:br/>
        <w:t>\land</w:t>
      </w:r>
      <w:r>
        <w:br/>
        <w:t>C_{\mathrm{unsicherheit}}.</w:t>
      </w:r>
      <w:r>
        <w:br/>
        <w:t>\tag{3.6537}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\operatorname{EORob}_{F}=1\iff C_{\mathrm{konzept}}\land C_{\mathrm{zulässigkeit}}\land C_{\mathrm{variation}}\land C_{\mathrm{stabilität}}\land C_{\mathrm{transparenz}}\land C_{\mathrm{unsicherheit}}\qquad\text{(3.6537)}</w:t>
      </w:r>
    </w:p>
    <w:p w:rsidR="00135380" w:rsidRDefault="00135380" w:rsidP="00135380">
      <w:pPr>
        <w:pStyle w:val="StandardWeb"/>
      </w:pPr>
      <w:r>
        <w:lastRenderedPageBreak/>
        <w:t>Dabei verlangt (C_{\mathrm{konzept}}) eine klare theoretische Bestimmung des zu operationalisierenden Konzeptes, (C_{\mathrm{zulässigkeit}}) die Begründung der betrachteten Operationalisierungen, (C_{\mathrm{variation}}) eine hinreichende systematische Variation der Operationalisierungsentscheidungen, (C_{\mathrm{stabilität}}) die Erhaltung der relevanten Aussage, (C_{\mathrm{transparenz}}) vollständige Dokumentation und (C_{\mathrm{unsicherheit}}) die Berücksichtigung zusätzlicher Operationalisierungsunsicherheit.</w:t>
      </w:r>
    </w:p>
    <w:p w:rsidR="00135380" w:rsidRDefault="00E50336" w:rsidP="00135380">
      <w:r>
        <w:pict>
          <v:rect id="_x0000_i1183" style="width:0;height:1.5pt" o:hralign="center" o:hrstd="t" o:hr="t" fillcolor="#a0a0a0" stroked="f"/>
        </w:pict>
      </w:r>
    </w:p>
    <w:p w:rsidR="00135380" w:rsidRDefault="00135380" w:rsidP="00135380">
      <w:pPr>
        <w:pStyle w:val="berschrift2"/>
      </w:pPr>
      <w:r>
        <w:t>3.3.39.42 Operationalisierungsunsicherheit</w:t>
      </w:r>
    </w:p>
    <w:p w:rsidR="00135380" w:rsidRDefault="00135380" w:rsidP="00135380">
      <w:pPr>
        <w:pStyle w:val="StandardWeb"/>
      </w:pPr>
      <w:r>
        <w:t>Die Unsicherheit einer Aussage kann einen eigenen Operationalisierungsanteil besitzen.</w:t>
      </w:r>
    </w:p>
    <w:p w:rsidR="00135380" w:rsidRDefault="00135380" w:rsidP="00135380">
      <w:pPr>
        <w:pStyle w:val="StandardWeb"/>
      </w:pPr>
      <w:r>
        <w:t>Ich bezeichne diesen mit</w:t>
      </w:r>
    </w:p>
    <w:p w:rsidR="00135380" w:rsidRDefault="00135380" w:rsidP="00135380">
      <w:pPr>
        <w:pStyle w:val="StandardWeb"/>
      </w:pPr>
      <w:r>
        <w:t>[</w:t>
      </w:r>
      <w:r>
        <w:br/>
        <w:t>u_{\mathcal{O}}.</w:t>
      </w:r>
      <w:r>
        <w:br/>
        <w:t>\tag{3.6538}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u_{\mathcal{O}}\qquad\text{(3.6538)}</w:t>
      </w:r>
    </w:p>
    <w:p w:rsidR="00135380" w:rsidRDefault="00135380" w:rsidP="00135380">
      <w:pPr>
        <w:pStyle w:val="StandardWeb"/>
      </w:pPr>
      <w:r>
        <w:t>Eine Gesamtunsicherheit kann allgemein geschrieben werden als</w:t>
      </w:r>
    </w:p>
    <w:p w:rsidR="00135380" w:rsidRDefault="00135380" w:rsidP="00135380">
      <w:pPr>
        <w:pStyle w:val="berschrift1"/>
      </w:pPr>
      <w:r>
        <w:t>[</w:t>
      </w:r>
      <w:r>
        <w:br/>
        <w:t>u_{\mathrm{ges}}</w:t>
      </w:r>
    </w:p>
    <w:p w:rsidR="00135380" w:rsidRDefault="00135380" w:rsidP="00135380">
      <w:pPr>
        <w:pStyle w:val="StandardWeb"/>
      </w:pPr>
      <w:r>
        <w:t>\mathcal{U}</w:t>
      </w:r>
      <w:r>
        <w:br/>
        <w:t>\left(</w:t>
      </w:r>
      <w:r>
        <w:br/>
        <w:t>u_{\mathrm{mess}},</w:t>
      </w:r>
      <w:r>
        <w:br/>
        <w:t>u_{\mathrm{mod}},</w:t>
      </w:r>
      <w:r>
        <w:br/>
        <w:t>u_{\mathcal{O}}</w:t>
      </w:r>
      <w:r>
        <w:br/>
        <w:t>\right).</w:t>
      </w:r>
      <w:r>
        <w:br/>
        <w:t>\tag{3.6539}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u_{\mathrm{ges}}=\mathcal{U}\left(u_{\mathrm{mess}},u_{\mathrm{mod}},u_{\mathcal{O}}\right)\qquad\text{(3.6539)}</w:t>
      </w:r>
    </w:p>
    <w:p w:rsidR="00135380" w:rsidRDefault="00135380" w:rsidP="00135380">
      <w:pPr>
        <w:pStyle w:val="StandardWeb"/>
      </w:pPr>
      <w:r>
        <w:t>Dabei bezeichnet (u_{\mathrm{mess}}) Messunsicherheit und (u_{\mathrm{mod}}) Modellunsicherheit.</w:t>
      </w:r>
    </w:p>
    <w:p w:rsidR="00135380" w:rsidRDefault="00135380" w:rsidP="00135380">
      <w:pPr>
        <w:pStyle w:val="StandardWeb"/>
      </w:pPr>
      <w:r>
        <w:t>Die Operationalisierungsunsicherheit darf nicht automatisch mit der Messunsicherheit zusammengefasst werden, da sie aus unterschiedlichen wissenschaftlichen Entscheidungen entstehen kann.</w:t>
      </w:r>
    </w:p>
    <w:p w:rsidR="00135380" w:rsidRDefault="00E50336" w:rsidP="00135380">
      <w:r>
        <w:lastRenderedPageBreak/>
        <w:pict>
          <v:rect id="_x0000_i1184" style="width:0;height:1.5pt" o:hralign="center" o:hrstd="t" o:hr="t" fillcolor="#a0a0a0" stroked="f"/>
        </w:pict>
      </w:r>
    </w:p>
    <w:p w:rsidR="00135380" w:rsidRDefault="00135380" w:rsidP="00135380">
      <w:pPr>
        <w:pStyle w:val="berschrift2"/>
      </w:pPr>
      <w:r>
        <w:t>3.3.39.43 Operationalisierungsmanifest</w:t>
      </w:r>
    </w:p>
    <w:p w:rsidR="00135380" w:rsidRDefault="00135380" w:rsidP="00135380">
      <w:pPr>
        <w:pStyle w:val="StandardWeb"/>
      </w:pPr>
      <w:r>
        <w:t>Zur vollständigen Reproduzierbarkeit definiere ich ein Operationalisierungsmanifest:</w:t>
      </w:r>
    </w:p>
    <w:p w:rsidR="00135380" w:rsidRDefault="00135380" w:rsidP="00135380">
      <w:pPr>
        <w:pStyle w:val="StandardWeb"/>
      </w:pPr>
      <w:r>
        <w:t>[</w:t>
      </w:r>
      <w:r>
        <w:br/>
        <w:t>\operatorname{OperationalizationManifest}</w:t>
      </w:r>
      <w:r>
        <w:br/>
        <w:t>\left(</w:t>
      </w:r>
      <w:r>
        <w:br/>
        <w:t>\mathcal{K}</w:t>
      </w:r>
      <w:r>
        <w:rPr>
          <w:rStyle w:val="Hervorhebung"/>
        </w:rPr>
        <w:t>{F},</w:t>
      </w:r>
      <w:r>
        <w:rPr>
          <w:i/>
          <w:iCs/>
        </w:rPr>
        <w:br/>
      </w:r>
      <w:r>
        <w:rPr>
          <w:rStyle w:val="Hervorhebung"/>
        </w:rPr>
        <w:t>\mathcal{O}</w:t>
      </w:r>
      <w:r>
        <w:t>{j},</w:t>
      </w:r>
      <w:r>
        <w:br/>
        <w:t>\boldsymbol{\theta}_{\mathcal{O}},</w:t>
      </w:r>
      <w:r>
        <w:br/>
        <w:t>P,</w:t>
      </w:r>
      <w:r>
        <w:br/>
        <w:t>E,</w:t>
      </w:r>
      <w:r>
        <w:br/>
        <w:t>M,</w:t>
      </w:r>
      <w:r>
        <w:br/>
        <w:t>\mathcal{D},</w:t>
      </w:r>
      <w:r>
        <w:br/>
        <w:t>A_F^{(j)}</w:t>
      </w:r>
      <w:r>
        <w:br/>
        <w:t>\right).</w:t>
      </w:r>
      <w:r>
        <w:br/>
        <w:t>\tag{3.6540}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\operatorname{OperationalizationManifest}\left(\mathcal{K}_{F},\mathcal{O}_{j},\boldsymbol{\theta}_{\mathcal{O}},P,E,M,\mathcal{D},A_F^{(j)}\right)\qquad\text{(3.6540)}</w:t>
      </w:r>
    </w:p>
    <w:p w:rsidR="00135380" w:rsidRDefault="00135380" w:rsidP="00135380">
      <w:pPr>
        <w:pStyle w:val="StandardWeb"/>
      </w:pPr>
      <w:r>
        <w:t>Das Manifest muss mindestens dokumentieren:</w:t>
      </w:r>
    </w:p>
    <w:p w:rsidR="00135380" w:rsidRDefault="00135380" w:rsidP="008C5E65">
      <w:pPr>
        <w:pStyle w:val="StandardWeb"/>
        <w:numPr>
          <w:ilvl w:val="0"/>
          <w:numId w:val="305"/>
        </w:numPr>
      </w:pPr>
      <w:r>
        <w:t>theoretisches Konzept,</w:t>
      </w:r>
    </w:p>
    <w:p w:rsidR="00135380" w:rsidRDefault="00135380" w:rsidP="008C5E65">
      <w:pPr>
        <w:pStyle w:val="StandardWeb"/>
        <w:numPr>
          <w:ilvl w:val="0"/>
          <w:numId w:val="305"/>
        </w:numPr>
      </w:pPr>
      <w:r>
        <w:t>konkrete Operationalisierung,</w:t>
      </w:r>
    </w:p>
    <w:p w:rsidR="00135380" w:rsidRDefault="00135380" w:rsidP="008C5E65">
      <w:pPr>
        <w:pStyle w:val="StandardWeb"/>
        <w:numPr>
          <w:ilvl w:val="0"/>
          <w:numId w:val="305"/>
        </w:numPr>
      </w:pPr>
      <w:r>
        <w:t>Parameter der Operationalisierung,</w:t>
      </w:r>
    </w:p>
    <w:p w:rsidR="00135380" w:rsidRDefault="00135380" w:rsidP="008C5E65">
      <w:pPr>
        <w:pStyle w:val="StandardWeb"/>
        <w:numPr>
          <w:ilvl w:val="0"/>
          <w:numId w:val="305"/>
        </w:numPr>
      </w:pPr>
      <w:r>
        <w:t>Vorverarbeitung,</w:t>
      </w:r>
    </w:p>
    <w:p w:rsidR="00135380" w:rsidRDefault="00135380" w:rsidP="008C5E65">
      <w:pPr>
        <w:pStyle w:val="StandardWeb"/>
        <w:numPr>
          <w:ilvl w:val="0"/>
          <w:numId w:val="305"/>
        </w:numPr>
      </w:pPr>
      <w:r>
        <w:t>Merkmalsextraktion,</w:t>
      </w:r>
    </w:p>
    <w:p w:rsidR="00135380" w:rsidRDefault="00135380" w:rsidP="008C5E65">
      <w:pPr>
        <w:pStyle w:val="StandardWeb"/>
        <w:numPr>
          <w:ilvl w:val="0"/>
          <w:numId w:val="305"/>
        </w:numPr>
      </w:pPr>
      <w:r>
        <w:t>Mess- oder Aggregationsfunktion,</w:t>
      </w:r>
    </w:p>
    <w:p w:rsidR="00135380" w:rsidRDefault="00135380" w:rsidP="008C5E65">
      <w:pPr>
        <w:pStyle w:val="StandardWeb"/>
        <w:numPr>
          <w:ilvl w:val="0"/>
          <w:numId w:val="305"/>
        </w:numPr>
      </w:pPr>
      <w:r>
        <w:t>Datenstand,</w:t>
      </w:r>
    </w:p>
    <w:p w:rsidR="00135380" w:rsidRDefault="00135380" w:rsidP="008C5E65">
      <w:pPr>
        <w:pStyle w:val="StandardWeb"/>
        <w:numPr>
          <w:ilvl w:val="0"/>
          <w:numId w:val="305"/>
        </w:numPr>
      </w:pPr>
      <w:r>
        <w:t>resultierende wissenschaftliche Aussage.</w:t>
      </w:r>
    </w:p>
    <w:p w:rsidR="00135380" w:rsidRDefault="00135380" w:rsidP="00135380">
      <w:pPr>
        <w:pStyle w:val="StandardWeb"/>
      </w:pPr>
      <w:r>
        <w:t>Dadurch wird jede empirische FRZK-Aussage zu ihrer konkreten Operationalisierung zurückverfolgbar.</w:t>
      </w:r>
    </w:p>
    <w:p w:rsidR="00135380" w:rsidRDefault="00E50336" w:rsidP="00135380">
      <w:r>
        <w:pict>
          <v:rect id="_x0000_i1185" style="width:0;height:1.5pt" o:hralign="center" o:hrstd="t" o:hr="t" fillcolor="#a0a0a0" stroked="f"/>
        </w:pict>
      </w:r>
    </w:p>
    <w:p w:rsidR="00135380" w:rsidRDefault="00135380" w:rsidP="00135380">
      <w:pPr>
        <w:pStyle w:val="berschrift2"/>
      </w:pPr>
      <w:r>
        <w:t>3.3.39.44 Repository-Dokumentation</w:t>
      </w:r>
    </w:p>
    <w:p w:rsidR="00135380" w:rsidRDefault="00135380" w:rsidP="00135380">
      <w:pPr>
        <w:pStyle w:val="StandardWeb"/>
      </w:pPr>
      <w:r>
        <w:t>Eine Abhängigkeit zwischen theoretischem Konzept und Operationalisierung wird gespeichert als</w:t>
      </w:r>
    </w:p>
    <w:p w:rsidR="00135380" w:rsidRDefault="00135380" w:rsidP="00135380">
      <w:pPr>
        <w:pStyle w:val="StandardWeb"/>
      </w:pPr>
      <w:r>
        <w:t>[</w:t>
      </w:r>
      <w:r>
        <w:br/>
        <w:t>\operatorname{OperationalizationDep}</w:t>
      </w:r>
      <w:r>
        <w:br/>
        <w:t>\left(</w:t>
      </w:r>
      <w:r>
        <w:br/>
      </w:r>
      <w:r>
        <w:lastRenderedPageBreak/>
        <w:t>\mathcal{K}</w:t>
      </w:r>
      <w:r>
        <w:rPr>
          <w:rStyle w:val="Hervorhebung"/>
        </w:rPr>
        <w:t>{F},</w:t>
      </w:r>
      <w:r>
        <w:rPr>
          <w:i/>
          <w:iCs/>
        </w:rPr>
        <w:br/>
      </w:r>
      <w:r>
        <w:rPr>
          <w:rStyle w:val="Hervorhebung"/>
        </w:rPr>
        <w:t>\mathcal{O}</w:t>
      </w:r>
      <w:r>
        <w:t>{j}</w:t>
      </w:r>
      <w:r>
        <w:br/>
        <w:t>\right).</w:t>
      </w:r>
      <w:r>
        <w:br/>
        <w:t>\tag{3.6541}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\operatorname{OperationalizationDep}\left(\mathcal{K}_{F},\mathcal{O}_{j}\right)\qquad\text{(3.6541)}</w:t>
      </w:r>
    </w:p>
    <w:p w:rsidR="00135380" w:rsidRDefault="00135380" w:rsidP="00135380">
      <w:pPr>
        <w:pStyle w:val="StandardWeb"/>
      </w:pPr>
      <w:r>
        <w:t>Die Abhängigkeit einer Aussage von einer Operationalisierung lautet</w:t>
      </w:r>
    </w:p>
    <w:p w:rsidR="00135380" w:rsidRDefault="00135380" w:rsidP="00135380">
      <w:pPr>
        <w:pStyle w:val="StandardWeb"/>
      </w:pPr>
      <w:r>
        <w:t>[</w:t>
      </w:r>
      <w:r>
        <w:br/>
        <w:t>\operatorname{AssertionOperationalizationDep}</w:t>
      </w:r>
      <w:r>
        <w:br/>
        <w:t>\left(</w:t>
      </w:r>
      <w:r>
        <w:br/>
        <w:t>A_F^{(j)},</w:t>
      </w:r>
      <w:r>
        <w:br/>
        <w:t>\mathcal{O}_{j}</w:t>
      </w:r>
      <w:r>
        <w:br/>
        <w:t>\right).</w:t>
      </w:r>
      <w:r>
        <w:br/>
        <w:t>\tag{3.6542}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\operatorname{AssertionOperationalizationDep}\left(A_F^{(j)},\mathcal{O}_{j}\right)\qquad\text{(3.6542)}</w:t>
      </w:r>
    </w:p>
    <w:p w:rsidR="00135380" w:rsidRDefault="00135380" w:rsidP="00135380">
      <w:pPr>
        <w:pStyle w:val="StandardWeb"/>
      </w:pPr>
      <w:r>
        <w:t>Ein Vergleich mehrerer Operationalisierungen wird dokumentiert als</w:t>
      </w:r>
    </w:p>
    <w:p w:rsidR="00135380" w:rsidRDefault="00135380" w:rsidP="00135380">
      <w:pPr>
        <w:pStyle w:val="StandardWeb"/>
      </w:pPr>
      <w:r>
        <w:t>[</w:t>
      </w:r>
      <w:r>
        <w:br/>
        <w:t>\operatorname{OperationalizationComparison}</w:t>
      </w:r>
      <w:r>
        <w:br/>
        <w:t>\left(</w:t>
      </w:r>
      <w:r>
        <w:br/>
        <w:t>\mathcal{O}</w:t>
      </w:r>
      <w:r>
        <w:rPr>
          <w:rStyle w:val="Hervorhebung"/>
        </w:rPr>
        <w:t>{1},</w:t>
      </w:r>
      <w:r>
        <w:rPr>
          <w:i/>
          <w:iCs/>
        </w:rPr>
        <w:br/>
      </w:r>
      <w:r>
        <w:rPr>
          <w:rStyle w:val="Hervorhebung"/>
        </w:rPr>
        <w:t>\ldots,</w:t>
      </w:r>
      <w:r>
        <w:rPr>
          <w:i/>
          <w:iCs/>
        </w:rPr>
        <w:br/>
      </w:r>
      <w:r>
        <w:rPr>
          <w:rStyle w:val="Hervorhebung"/>
        </w:rPr>
        <w:t>\mathcal{O}</w:t>
      </w:r>
      <w:r>
        <w:t>{m},</w:t>
      </w:r>
      <w:r>
        <w:br/>
        <w:t>R_{\mathcal{O}}</w:t>
      </w:r>
      <w:r>
        <w:br/>
        <w:t>\right).</w:t>
      </w:r>
      <w:r>
        <w:br/>
        <w:t>\tag{3.6543}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\operatorname{OperationalizationComparison}\left(\mathcal{O}_{1},\ldots,\mathcal{O}_{m},R_{\mathcal{O}}\right)\qquad\text{(3.6543)}</w:t>
      </w:r>
    </w:p>
    <w:p w:rsidR="00135380" w:rsidRDefault="00135380" w:rsidP="00135380">
      <w:pPr>
        <w:pStyle w:val="StandardWeb"/>
      </w:pPr>
      <w:r>
        <w:t>Die resultierende Robustheitsklasse wird gespeichert durch</w:t>
      </w:r>
    </w:p>
    <w:p w:rsidR="00135380" w:rsidRDefault="00135380" w:rsidP="00135380">
      <w:pPr>
        <w:pStyle w:val="StandardWeb"/>
      </w:pPr>
      <w:r>
        <w:t>[</w:t>
      </w:r>
      <w:r>
        <w:br/>
        <w:t>\operatorname{OperationalizationRobustnessResult}</w:t>
      </w:r>
      <w:r>
        <w:br/>
        <w:t>\left(</w:t>
      </w:r>
      <w:r>
        <w:br/>
        <w:t>A_F,</w:t>
      </w:r>
      <w:r>
        <w:br/>
        <w:t>\operatorname{Klasse}</w:t>
      </w:r>
      <w:r>
        <w:rPr>
          <w:rStyle w:val="Hervorhebung"/>
        </w:rPr>
        <w:t>{\mathcal{O}},</w:t>
      </w:r>
      <w:r>
        <w:rPr>
          <w:i/>
          <w:iCs/>
        </w:rPr>
        <w:br/>
      </w:r>
      <w:r>
        <w:rPr>
          <w:rStyle w:val="Hervorhebung"/>
        </w:rPr>
        <w:lastRenderedPageBreak/>
        <w:t>u</w:t>
      </w:r>
      <w:r>
        <w:t>{\mathcal{O}}</w:t>
      </w:r>
      <w:r>
        <w:br/>
        <w:t>\right).</w:t>
      </w:r>
      <w:r>
        <w:br/>
        <w:t>\tag{3.6544}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\operatorname{OperationalizationRobustnessResult}\left(A_F,\operatorname{Klasse}_{\mathcal{O}},u_{\mathcal{O}}\right)\qquad\text{(3.6544)}</w:t>
      </w:r>
    </w:p>
    <w:p w:rsidR="00135380" w:rsidRDefault="00135380" w:rsidP="00135380">
      <w:pPr>
        <w:pStyle w:val="StandardWeb"/>
      </w:pPr>
      <w:r>
        <w:rPr>
          <w:rStyle w:val="Fett"/>
        </w:rPr>
        <w:t>Eigenleistung des FRZK</w:t>
      </w:r>
    </w:p>
    <w:p w:rsidR="00135380" w:rsidRDefault="00135380" w:rsidP="00135380">
      <w:pPr>
        <w:pStyle w:val="StandardWeb"/>
      </w:pPr>
      <w:r>
        <w:t>Ich integriere damit die Operationalisierung selbst in die wissenschaftliche Abhängigkeitsarchitektur. Eine empirische Aussage wird nicht nur mit ihrem Datenstand und Modell verknüpft, sondern ausdrücklich auch mit den Mess-, Vorverarbeitungs-, Aggregations- und Schwellenwertentscheidungen, aus denen sie hervorgegangen ist.</w:t>
      </w:r>
    </w:p>
    <w:p w:rsidR="00135380" w:rsidRDefault="00E50336" w:rsidP="00135380">
      <w:r>
        <w:pict>
          <v:rect id="_x0000_i1186" style="width:0;height:1.5pt" o:hralign="center" o:hrstd="t" o:hr="t" fillcolor="#a0a0a0" stroked="f"/>
        </w:pict>
      </w:r>
    </w:p>
    <w:p w:rsidR="00135380" w:rsidRDefault="00135380" w:rsidP="00135380">
      <w:pPr>
        <w:pStyle w:val="berschrift2"/>
      </w:pPr>
      <w:r>
        <w:t>3.3.39.45 Satz zur Invarianz der Aussageklasse unter äquivalenten Operationalisierungen</w:t>
      </w:r>
    </w:p>
    <w:p w:rsidR="00135380" w:rsidRDefault="00135380" w:rsidP="00135380">
      <w:pPr>
        <w:pStyle w:val="StandardWeb"/>
      </w:pPr>
      <w:r>
        <w:rPr>
          <w:rStyle w:val="Fett"/>
        </w:rPr>
        <w:t>Satz 3.3.21 – Äquivalente Operationalisierungen erhalten eine ausschließlich von ihrer gemeinsamen invarianten Repräsentation abhängige Aussageklasse</w:t>
      </w:r>
    </w:p>
    <w:p w:rsidR="00135380" w:rsidRDefault="00135380" w:rsidP="00135380">
      <w:pPr>
        <w:pStyle w:val="StandardWeb"/>
      </w:pPr>
      <w:r>
        <w:t>Seien (\mathcal{O}_1) und (\mathcal{O}_2) zwei zulässige Operationalisierungen desselben theoretischen Konzeptes (\mathcal{K}_F).</w:t>
      </w:r>
    </w:p>
    <w:p w:rsidR="00135380" w:rsidRDefault="00135380" w:rsidP="00135380">
      <w:pPr>
        <w:pStyle w:val="StandardWeb"/>
      </w:pPr>
      <w:r>
        <w:t>Es existiere eine gemeinsame invariante Repräsentation (I_{\mathcal{O}}) mit</w:t>
      </w:r>
    </w:p>
    <w:p w:rsidR="00135380" w:rsidRDefault="00135380" w:rsidP="00135380">
      <w:pPr>
        <w:pStyle w:val="berschrift1"/>
      </w:pPr>
      <w:r>
        <w:t>[</w:t>
      </w:r>
      <w:r>
        <w:br/>
        <w:t>I_{\mathcal{O}}</w:t>
      </w:r>
      <w:r>
        <w:br/>
        <w:t>\left(</w:t>
      </w:r>
      <w:r>
        <w:br/>
        <w:t>\mathcal{O}</w:t>
      </w:r>
      <w:r>
        <w:rPr>
          <w:rStyle w:val="Hervorhebung"/>
        </w:rPr>
        <w:t>{1}</w:t>
      </w:r>
      <w:r>
        <w:rPr>
          <w:i/>
          <w:iCs/>
        </w:rPr>
        <w:br/>
      </w:r>
      <w:r>
        <w:rPr>
          <w:rStyle w:val="Hervorhebung"/>
        </w:rPr>
        <w:t>\left(</w:t>
      </w:r>
      <w:r>
        <w:rPr>
          <w:i/>
          <w:iCs/>
        </w:rPr>
        <w:br/>
      </w:r>
      <w:r>
        <w:rPr>
          <w:rStyle w:val="Hervorhebung"/>
        </w:rPr>
        <w:t>\mathcal{K}</w:t>
      </w:r>
      <w:r>
        <w:t>{F}</w:t>
      </w:r>
      <w:r>
        <w:br/>
        <w:t>\right)</w:t>
      </w:r>
      <w:r>
        <w:br/>
        <w:t>\right)</w:t>
      </w:r>
    </w:p>
    <w:p w:rsidR="00135380" w:rsidRDefault="00135380" w:rsidP="00135380">
      <w:pPr>
        <w:pStyle w:val="StandardWeb"/>
      </w:pPr>
      <w:r>
        <w:t>I_{\mathcal{O}}</w:t>
      </w:r>
      <w:r>
        <w:br/>
        <w:t>\left(</w:t>
      </w:r>
      <w:r>
        <w:br/>
        <w:t>\mathcal{O}</w:t>
      </w:r>
      <w:r>
        <w:rPr>
          <w:rStyle w:val="Hervorhebung"/>
        </w:rPr>
        <w:t>{2}</w:t>
      </w:r>
      <w:r>
        <w:rPr>
          <w:i/>
          <w:iCs/>
        </w:rPr>
        <w:br/>
      </w:r>
      <w:r>
        <w:rPr>
          <w:rStyle w:val="Hervorhebung"/>
        </w:rPr>
        <w:t>\left(</w:t>
      </w:r>
      <w:r>
        <w:rPr>
          <w:i/>
          <w:iCs/>
        </w:rPr>
        <w:br/>
      </w:r>
      <w:r>
        <w:rPr>
          <w:rStyle w:val="Hervorhebung"/>
        </w:rPr>
        <w:t>\mathcal{K}</w:t>
      </w:r>
      <w:r>
        <w:t>{F}</w:t>
      </w:r>
      <w:r>
        <w:br/>
        <w:t>\right)</w:t>
      </w:r>
      <w:r>
        <w:br/>
      </w:r>
      <w:r>
        <w:lastRenderedPageBreak/>
        <w:t>\right).</w:t>
      </w:r>
      <w:r>
        <w:br/>
        <w:t>\tag{3.6545}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I_{\mathcal{O}}\left(\mathcal{O}_{1}\left(\mathcal{K}_{F}\right)\right)=I_{\mathcal{O}}\left(\mathcal{O}_{2}\left(\mathcal{K}_{F}\right)\right)\qquad\text{(3.6545)}</w:t>
      </w:r>
    </w:p>
    <w:p w:rsidR="00135380" w:rsidRDefault="00135380" w:rsidP="00135380">
      <w:pPr>
        <w:pStyle w:val="StandardWeb"/>
      </w:pPr>
      <w:r>
        <w:t>Weiter hänge die wissenschaftliche Aussageklasse ausschließlich von dieser invarianten Repräsentation ab:</w:t>
      </w:r>
    </w:p>
    <w:p w:rsidR="00135380" w:rsidRDefault="00135380" w:rsidP="00135380">
      <w:pPr>
        <w:pStyle w:val="berschrift1"/>
      </w:pPr>
      <w:r>
        <w:t>[</w:t>
      </w:r>
      <w:r>
        <w:br/>
        <w:t>\operatorname{Klasse}_{A}</w:t>
      </w:r>
    </w:p>
    <w:p w:rsidR="00135380" w:rsidRDefault="00135380" w:rsidP="00135380">
      <w:pPr>
        <w:pStyle w:val="StandardWeb"/>
      </w:pPr>
      <w:r>
        <w:t>F_A</w:t>
      </w:r>
      <w:r>
        <w:br/>
        <w:t>\left(</w:t>
      </w:r>
      <w:r>
        <w:br/>
        <w:t>I_{\mathcal{O}}</w:t>
      </w:r>
      <w:r>
        <w:br/>
        <w:t>\right).</w:t>
      </w:r>
      <w:r>
        <w:br/>
        <w:t>\tag{3.6546}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\operatorname{Klasse}_{A}=F_A\left(I_{\mathcal{O}}\right)\qquad\text{(3.6546)}</w:t>
      </w:r>
    </w:p>
    <w:p w:rsidR="00135380" w:rsidRDefault="00135380" w:rsidP="00135380">
      <w:pPr>
        <w:pStyle w:val="StandardWeb"/>
      </w:pPr>
      <w:r>
        <w:t>Dann gilt</w:t>
      </w:r>
    </w:p>
    <w:p w:rsidR="00135380" w:rsidRDefault="00135380" w:rsidP="00135380">
      <w:pPr>
        <w:pStyle w:val="berschrift1"/>
      </w:pPr>
      <w:r>
        <w:t>[</w:t>
      </w:r>
      <w:r>
        <w:br/>
        <w:t>\operatorname{Klasse}_{A}</w:t>
      </w:r>
      <w:r>
        <w:br/>
        <w:t>\left(</w:t>
      </w:r>
      <w:r>
        <w:br/>
        <w:t>A_F^{(1)}</w:t>
      </w:r>
      <w:r>
        <w:br/>
        <w:t>\right)</w:t>
      </w:r>
    </w:p>
    <w:p w:rsidR="00135380" w:rsidRDefault="00135380" w:rsidP="00135380">
      <w:pPr>
        <w:pStyle w:val="StandardWeb"/>
      </w:pPr>
      <w:r>
        <w:t>\operatorname{Klasse}_{A}</w:t>
      </w:r>
      <w:r>
        <w:br/>
        <w:t>\left(</w:t>
      </w:r>
      <w:r>
        <w:br/>
        <w:t>A_F^{(2)}</w:t>
      </w:r>
      <w:r>
        <w:br/>
        <w:t>\right).</w:t>
      </w:r>
      <w:r>
        <w:br/>
        <w:t>\tag{3.6547}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\operatorname{Klasse}_{A}\left(A_F^{(1)}\right)=\operatorname{Klasse}_{A}\left(A_F^{(2)}\right)\qquad\text{(3.6547)}</w:t>
      </w:r>
    </w:p>
    <w:p w:rsidR="00135380" w:rsidRDefault="00135380" w:rsidP="00135380">
      <w:pPr>
        <w:pStyle w:val="berschrift3"/>
      </w:pPr>
      <w:r>
        <w:lastRenderedPageBreak/>
        <w:t>Beweis</w:t>
      </w:r>
    </w:p>
    <w:p w:rsidR="00135380" w:rsidRDefault="00135380" w:rsidP="00135380">
      <w:pPr>
        <w:pStyle w:val="StandardWeb"/>
      </w:pPr>
      <w:r>
        <w:t>Für die erste Operationalisierung gilt nach Voraussetzung</w:t>
      </w:r>
    </w:p>
    <w:p w:rsidR="00135380" w:rsidRDefault="00135380" w:rsidP="00135380">
      <w:pPr>
        <w:pStyle w:val="berschrift1"/>
      </w:pPr>
      <w:r>
        <w:t>[</w:t>
      </w:r>
      <w:r>
        <w:br/>
        <w:t>\operatorname{Klasse}_{A}</w:t>
      </w:r>
      <w:r>
        <w:br/>
        <w:t>\left(</w:t>
      </w:r>
      <w:r>
        <w:br/>
        <w:t>A_F^{(1)}</w:t>
      </w:r>
      <w:r>
        <w:br/>
        <w:t>\right)</w:t>
      </w:r>
    </w:p>
    <w:p w:rsidR="00135380" w:rsidRDefault="00135380" w:rsidP="00135380">
      <w:pPr>
        <w:pStyle w:val="StandardWeb"/>
      </w:pPr>
      <w:r>
        <w:t>F_A</w:t>
      </w:r>
      <w:r>
        <w:br/>
        <w:t>\left(</w:t>
      </w:r>
      <w:r>
        <w:br/>
        <w:t>I_{\mathcal{O}}</w:t>
      </w:r>
      <w:r>
        <w:br/>
        <w:t>\left(</w:t>
      </w:r>
      <w:r>
        <w:br/>
        <w:t>\mathcal{O}</w:t>
      </w:r>
      <w:r>
        <w:rPr>
          <w:rStyle w:val="Hervorhebung"/>
        </w:rPr>
        <w:t>1(\mathcal{K}</w:t>
      </w:r>
      <w:r>
        <w:t>{F})</w:t>
      </w:r>
      <w:r>
        <w:br/>
        <w:t>\right)</w:t>
      </w:r>
      <w:r>
        <w:br/>
        <w:t>\right).</w:t>
      </w:r>
      <w:r>
        <w:br/>
        <w:t>\tag{3.6548}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\operatorname{Klasse}_{A}\left(A_F^{(1)}\right)=F_A\left(I_{\mathcal{O}}\left(\mathcal{O}_1(\mathcal{K}_{F})\right)\right)\qquad\text{(3.6548)}</w:t>
      </w:r>
    </w:p>
    <w:p w:rsidR="00135380" w:rsidRDefault="00135380" w:rsidP="00135380">
      <w:pPr>
        <w:pStyle w:val="StandardWeb"/>
      </w:pPr>
      <w:r>
        <w:t>Für die zweite Operationalisierung gilt</w:t>
      </w:r>
    </w:p>
    <w:p w:rsidR="00135380" w:rsidRDefault="00135380" w:rsidP="00135380">
      <w:pPr>
        <w:pStyle w:val="berschrift1"/>
      </w:pPr>
      <w:r>
        <w:t>[</w:t>
      </w:r>
      <w:r>
        <w:br/>
        <w:t>\operatorname{Klasse}_{A}</w:t>
      </w:r>
      <w:r>
        <w:br/>
        <w:t>\left(</w:t>
      </w:r>
      <w:r>
        <w:br/>
        <w:t>A_F^{(2)}</w:t>
      </w:r>
      <w:r>
        <w:br/>
        <w:t>\right)</w:t>
      </w:r>
    </w:p>
    <w:p w:rsidR="00135380" w:rsidRDefault="00135380" w:rsidP="00135380">
      <w:pPr>
        <w:pStyle w:val="StandardWeb"/>
      </w:pPr>
      <w:r>
        <w:t>F_A</w:t>
      </w:r>
      <w:r>
        <w:br/>
        <w:t>\left(</w:t>
      </w:r>
      <w:r>
        <w:br/>
        <w:t>I_{\mathcal{O}}</w:t>
      </w:r>
      <w:r>
        <w:br/>
        <w:t>\left(</w:t>
      </w:r>
      <w:r>
        <w:br/>
        <w:t>\mathcal{O}</w:t>
      </w:r>
      <w:r>
        <w:rPr>
          <w:rStyle w:val="Hervorhebung"/>
        </w:rPr>
        <w:t>2(\mathcal{K}</w:t>
      </w:r>
      <w:r>
        <w:t>{F})</w:t>
      </w:r>
      <w:r>
        <w:br/>
        <w:t>\right)</w:t>
      </w:r>
      <w:r>
        <w:br/>
        <w:t>\right).</w:t>
      </w:r>
      <w:r>
        <w:br/>
        <w:t>\tag{3.6549}</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\operatorname{Klasse}_{A}\left(A_F^{(2)}\right)=F_A\left(I_{\mathcal{O}}\left(\mathcal{O}_2(\mathcal{K}_{F})\right)\right)\qquad\text{(3.6549)}</w:t>
      </w:r>
    </w:p>
    <w:p w:rsidR="00135380" w:rsidRDefault="00135380" w:rsidP="00135380">
      <w:pPr>
        <w:pStyle w:val="StandardWeb"/>
      </w:pPr>
      <w:r>
        <w:t>Nach Voraussetzung sind die invarianten Repräsentationen identisch. Daher können sie in beiden Funktionsausdrücken durch denselben Wert ersetzt werden.</w:t>
      </w:r>
    </w:p>
    <w:p w:rsidR="00135380" w:rsidRDefault="00135380" w:rsidP="00135380">
      <w:pPr>
        <w:pStyle w:val="StandardWeb"/>
      </w:pPr>
      <w:r>
        <w:t>Somit folgt</w:t>
      </w:r>
    </w:p>
    <w:p w:rsidR="00135380" w:rsidRDefault="00135380" w:rsidP="00135380">
      <w:pPr>
        <w:pStyle w:val="berschrift1"/>
      </w:pPr>
      <w:r>
        <w:t>[</w:t>
      </w:r>
      <w:r>
        <w:br/>
        <w:t>\operatorname{Klasse}_{A}</w:t>
      </w:r>
      <w:r>
        <w:br/>
        <w:t>\left(</w:t>
      </w:r>
      <w:r>
        <w:br/>
        <w:t>A_F^{(1)}</w:t>
      </w:r>
      <w:r>
        <w:br/>
        <w:t>\right)</w:t>
      </w:r>
    </w:p>
    <w:p w:rsidR="00135380" w:rsidRDefault="00135380" w:rsidP="00135380">
      <w:pPr>
        <w:pStyle w:val="StandardWeb"/>
      </w:pPr>
      <w:r>
        <w:t>\operatorname{Klasse}_{A}</w:t>
      </w:r>
      <w:r>
        <w:br/>
        <w:t>\left(</w:t>
      </w:r>
      <w:r>
        <w:br/>
        <w:t>A_F^{(2)}</w:t>
      </w:r>
      <w:r>
        <w:br/>
        <w:t>\right).</w:t>
      </w:r>
      <w:r>
        <w:br/>
        <w:t>\tag{3.6550}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\operatorname{Klasse}_{A}\left(A_F^{(1)}\right)=\operatorname{Klasse}_{A}\left(A_F^{(2)}\right)\qquad\text{(3.6550)}</w:t>
      </w:r>
    </w:p>
    <w:p w:rsidR="00135380" w:rsidRDefault="00135380" w:rsidP="00135380">
      <w:pPr>
        <w:pStyle w:val="StandardWeb"/>
      </w:pPr>
      <w:r>
        <w:t>Damit ist die Behauptung gezeigt. (\square)</w:t>
      </w:r>
    </w:p>
    <w:p w:rsidR="00135380" w:rsidRDefault="00E50336" w:rsidP="00135380">
      <w:r>
        <w:pict>
          <v:rect id="_x0000_i1187" style="width:0;height:1.5pt" o:hralign="center" o:hrstd="t" o:hr="t" fillcolor="#a0a0a0" stroked="f"/>
        </w:pict>
      </w:r>
    </w:p>
    <w:p w:rsidR="00135380" w:rsidRDefault="00135380" w:rsidP="00135380">
      <w:pPr>
        <w:pStyle w:val="berschrift2"/>
      </w:pPr>
      <w:r>
        <w:t>3.3.39.46 Reichweite von Satz 3.3.21</w:t>
      </w:r>
    </w:p>
    <w:p w:rsidR="00135380" w:rsidRDefault="00135380" w:rsidP="00135380">
      <w:pPr>
        <w:pStyle w:val="StandardWeb"/>
      </w:pPr>
      <w:r>
        <w:t>Satz 3.3.21 gilt nur dann, wenn die wissenschaftliche Aussageklasse tatsächlich ausschließlich von der gemeinsamen invarianten Repräsentation abhängt.</w:t>
      </w:r>
    </w:p>
    <w:p w:rsidR="00135380" w:rsidRDefault="00135380" w:rsidP="00135380">
      <w:pPr>
        <w:pStyle w:val="StandardWeb"/>
      </w:pPr>
      <w:r>
        <w:t>Existiert eine weitere operationalisierungsspezifische Größe (Z_j),</w:t>
      </w:r>
    </w:p>
    <w:p w:rsidR="00135380" w:rsidRDefault="00135380" w:rsidP="00135380">
      <w:pPr>
        <w:pStyle w:val="berschrift1"/>
      </w:pPr>
      <w:r>
        <w:t>[</w:t>
      </w:r>
      <w:r>
        <w:br/>
        <w:t>\operatorname{Klasse}_{A}</w:t>
      </w:r>
    </w:p>
    <w:p w:rsidR="00135380" w:rsidRDefault="00135380" w:rsidP="00135380">
      <w:pPr>
        <w:pStyle w:val="StandardWeb"/>
      </w:pPr>
      <w:r>
        <w:t>F_A</w:t>
      </w:r>
      <w:r>
        <w:br/>
        <w:t>\left(</w:t>
      </w:r>
      <w:r>
        <w:br/>
        <w:t>I_{\mathcal{O}},</w:t>
      </w:r>
      <w:r>
        <w:br/>
        <w:t>Z_j</w:t>
      </w:r>
      <w:r>
        <w:br/>
      </w:r>
      <w:r>
        <w:lastRenderedPageBreak/>
        <w:t>\right),</w:t>
      </w:r>
      <w:r>
        <w:br/>
        <w:t>\tag{3.6551}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\operatorname{Klasse}_{A}=F_A\left(I_{\mathcal{O}},Z_j\right)\qquad\text{(3.6551)}</w:t>
      </w:r>
    </w:p>
    <w:p w:rsidR="00135380" w:rsidRDefault="00135380" w:rsidP="00135380">
      <w:pPr>
        <w:pStyle w:val="StandardWeb"/>
      </w:pPr>
      <w:r>
        <w:t>und gilt</w:t>
      </w:r>
    </w:p>
    <w:p w:rsidR="00135380" w:rsidRDefault="00135380" w:rsidP="00135380">
      <w:pPr>
        <w:pStyle w:val="StandardWeb"/>
      </w:pPr>
      <w:r>
        <w:t>[</w:t>
      </w:r>
      <w:r>
        <w:br/>
        <w:t>Z_1</w:t>
      </w:r>
      <w:r>
        <w:br/>
        <w:t>\neq</w:t>
      </w:r>
      <w:r>
        <w:br/>
        <w:t>Z_2,</w:t>
      </w:r>
      <w:r>
        <w:br/>
        <w:t>\tag{3.6552}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Z_1\neq Z_2\qquad\text{(3.6552)}</w:t>
      </w:r>
    </w:p>
    <w:p w:rsidR="00135380" w:rsidRDefault="00135380" w:rsidP="00135380">
      <w:pPr>
        <w:pStyle w:val="StandardWeb"/>
      </w:pPr>
      <w:r>
        <w:t>muss die Aussageklasse nicht erhalten bleiben.</w:t>
      </w:r>
    </w:p>
    <w:p w:rsidR="00135380" w:rsidRDefault="00135380" w:rsidP="00135380">
      <w:pPr>
        <w:pStyle w:val="StandardWeb"/>
      </w:pPr>
      <w:r>
        <w:t>Damit ist die Identifikation aller wissenschaftlich relevanten Operationalisierungsbestandteile selbst Bestandteil der Robustheitsprüfung.</w:t>
      </w:r>
    </w:p>
    <w:p w:rsidR="00135380" w:rsidRDefault="00E50336" w:rsidP="00135380">
      <w:r>
        <w:pict>
          <v:rect id="_x0000_i1188" style="width:0;height:1.5pt" o:hralign="center" o:hrstd="t" o:hr="t" fillcolor="#a0a0a0" stroked="f"/>
        </w:pict>
      </w:r>
    </w:p>
    <w:p w:rsidR="00135380" w:rsidRDefault="00135380" w:rsidP="00135380">
      <w:pPr>
        <w:pStyle w:val="berschrift2"/>
      </w:pPr>
      <w:r>
        <w:t>3.3.39.47 Gegenbeispiel zur Robustheit einer einzelnen Operationalisierung</w:t>
      </w:r>
    </w:p>
    <w:p w:rsidR="00135380" w:rsidRDefault="00135380" w:rsidP="00135380">
      <w:pPr>
        <w:pStyle w:val="StandardWeb"/>
      </w:pPr>
      <w:r>
        <w:t>Eine einzelne Operationalisierung könne die Aussage</w:t>
      </w:r>
    </w:p>
    <w:p w:rsidR="00135380" w:rsidRDefault="00135380" w:rsidP="00135380">
      <w:pPr>
        <w:pStyle w:val="berschrift1"/>
      </w:pPr>
      <w:r>
        <w:t>[</w:t>
      </w:r>
      <w:r>
        <w:br/>
        <w:t>A_F^{(1)}</w:t>
      </w:r>
    </w:p>
    <w:p w:rsidR="00135380" w:rsidRDefault="00135380" w:rsidP="00135380">
      <w:pPr>
        <w:pStyle w:val="StandardWeb"/>
      </w:pPr>
      <w:r>
        <w:t>1</w:t>
      </w:r>
      <w:r>
        <w:br/>
        <w:t>\tag{3.6553}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A_F^{(1)}=1\qquad\text{(3.6553)}</w:t>
      </w:r>
    </w:p>
    <w:p w:rsidR="00135380" w:rsidRDefault="00135380" w:rsidP="00135380">
      <w:pPr>
        <w:pStyle w:val="StandardWeb"/>
      </w:pPr>
      <w:r>
        <w:t>liefern.</w:t>
      </w:r>
    </w:p>
    <w:p w:rsidR="00135380" w:rsidRDefault="00135380" w:rsidP="00135380">
      <w:pPr>
        <w:pStyle w:val="StandardWeb"/>
      </w:pPr>
      <w:r>
        <w:t>Eine zweite ebenfalls zulässige Operationalisierung ergebe</w:t>
      </w:r>
    </w:p>
    <w:p w:rsidR="00135380" w:rsidRDefault="00135380" w:rsidP="00135380">
      <w:pPr>
        <w:pStyle w:val="berschrift1"/>
      </w:pPr>
      <w:r>
        <w:lastRenderedPageBreak/>
        <w:t>[</w:t>
      </w:r>
      <w:r>
        <w:br/>
        <w:t>A_F^{(2)}</w:t>
      </w:r>
    </w:p>
    <w:p w:rsidR="00135380" w:rsidRDefault="00135380" w:rsidP="008C5E65">
      <w:pPr>
        <w:numPr>
          <w:ilvl w:val="0"/>
          <w:numId w:val="306"/>
        </w:numPr>
        <w:spacing w:before="100" w:beforeAutospacing="1" w:after="100" w:afterAutospacing="1"/>
      </w:pPr>
    </w:p>
    <w:p w:rsidR="00135380" w:rsidRDefault="00135380" w:rsidP="00135380">
      <w:pPr>
        <w:pStyle w:val="StandardWeb"/>
      </w:pPr>
      <w:r>
        <w:t>\tag{3.6554}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A_F^{(2)}=0\qquad\text{(3.6554)}</w:t>
      </w:r>
    </w:p>
    <w:p w:rsidR="00135380" w:rsidRDefault="00135380" w:rsidP="00135380">
      <w:pPr>
        <w:pStyle w:val="StandardWeb"/>
      </w:pPr>
      <w:r>
        <w:t>Dann gilt</w:t>
      </w:r>
    </w:p>
    <w:p w:rsidR="00135380" w:rsidRDefault="00135380" w:rsidP="00135380">
      <w:pPr>
        <w:pStyle w:val="StandardWeb"/>
      </w:pPr>
      <w:r>
        <w:t>[</w:t>
      </w:r>
      <w:r>
        <w:br/>
        <w:t>A_F^{(1)}</w:t>
      </w:r>
      <w:r>
        <w:br/>
        <w:t>\neq</w:t>
      </w:r>
      <w:r>
        <w:br/>
        <w:t>A_F^{(2)}.</w:t>
      </w:r>
      <w:r>
        <w:br/>
        <w:t>\tag{3.6555}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A_F^{(1)}\neq A_F^{(2)}\qquad\text{(3.6555)}</w:t>
      </w:r>
    </w:p>
    <w:p w:rsidR="00135380" w:rsidRDefault="00135380" w:rsidP="00135380">
      <w:pPr>
        <w:pStyle w:val="StandardWeb"/>
      </w:pPr>
      <w:r>
        <w:t>Aus der Stabilität, Reproduzierbarkeit oder statistischen Signifikanz von (A_F^{(1)}) allein folgt daher nicht, dass die zugrunde liegende wissenschaftliche Schlussfolgerung operationalisierungsrobust ist.</w:t>
      </w:r>
    </w:p>
    <w:p w:rsidR="00135380" w:rsidRDefault="00E50336" w:rsidP="00135380">
      <w:r>
        <w:pict>
          <v:rect id="_x0000_i1189" style="width:0;height:1.5pt" o:hralign="center" o:hrstd="t" o:hr="t" fillcolor="#a0a0a0" stroked="f"/>
        </w:pict>
      </w:r>
    </w:p>
    <w:p w:rsidR="00135380" w:rsidRDefault="00135380" w:rsidP="00135380">
      <w:pPr>
        <w:pStyle w:val="berschrift2"/>
      </w:pPr>
      <w:r>
        <w:t>3.3.39.48 Operationalisierung und Reproduzierbarkeit</w:t>
      </w:r>
    </w:p>
    <w:p w:rsidR="00135380" w:rsidRDefault="00135380" w:rsidP="00135380">
      <w:pPr>
        <w:pStyle w:val="StandardWeb"/>
      </w:pPr>
      <w:r>
        <w:t>Eine wichtige Unterscheidung lautet:</w:t>
      </w:r>
    </w:p>
    <w:p w:rsidR="00135380" w:rsidRDefault="00135380" w:rsidP="00135380">
      <w:pPr>
        <w:pStyle w:val="StandardWeb"/>
      </w:pPr>
      <w:r>
        <w:t xml:space="preserve">Reproduzierbarkeit prüft, ob unter </w:t>
      </w:r>
      <w:r>
        <w:rPr>
          <w:rStyle w:val="Fett"/>
        </w:rPr>
        <w:t>derselben</w:t>
      </w:r>
      <w:r>
        <w:t xml:space="preserve"> Operationalisierung dasselbe Ergebnis erneut entsteht.</w:t>
      </w:r>
    </w:p>
    <w:p w:rsidR="00135380" w:rsidRDefault="00135380" w:rsidP="00135380">
      <w:pPr>
        <w:pStyle w:val="StandardWeb"/>
      </w:pPr>
      <w:r>
        <w:t xml:space="preserve">Operationalisierungsrobustheit prüft dagegen, ob unter </w:t>
      </w:r>
      <w:r>
        <w:rPr>
          <w:rStyle w:val="Fett"/>
        </w:rPr>
        <w:t>alternativen zulässigen</w:t>
      </w:r>
      <w:r>
        <w:t xml:space="preserve"> Operationalisierungen dieselbe relevante Aussage erhalten bleibt.</w:t>
      </w:r>
    </w:p>
    <w:p w:rsidR="00135380" w:rsidRDefault="00135380" w:rsidP="00135380">
      <w:pPr>
        <w:pStyle w:val="StandardWeb"/>
      </w:pPr>
      <w:r>
        <w:t>Formal kann Reproduzierbarkeit bedeuten</w:t>
      </w:r>
    </w:p>
    <w:p w:rsidR="00135380" w:rsidRDefault="00135380" w:rsidP="00135380">
      <w:pPr>
        <w:pStyle w:val="StandardWeb"/>
      </w:pPr>
      <w:r>
        <w:t>[</w:t>
      </w:r>
      <w:r>
        <w:br/>
        <w:t>A_F</w:t>
      </w:r>
      <w:r>
        <w:br/>
        <w:t>\left(</w:t>
      </w:r>
      <w:r>
        <w:br/>
        <w:t>\mathcal{O}_1,</w:t>
      </w:r>
      <w:r>
        <w:br/>
        <w:t>\mathcal{D}</w:t>
      </w:r>
      <w:r>
        <w:br/>
        <w:t>\right)</w:t>
      </w:r>
      <w:r>
        <w:br/>
        <w:t>\approx</w:t>
      </w:r>
      <w:r>
        <w:br/>
      </w:r>
      <w:r>
        <w:lastRenderedPageBreak/>
        <w:t>A_F'</w:t>
      </w:r>
      <w:r>
        <w:br/>
        <w:t>\left(</w:t>
      </w:r>
      <w:r>
        <w:br/>
        <w:t>\mathcal{O}_1,</w:t>
      </w:r>
      <w:r>
        <w:br/>
        <w:t>\mathcal{D}</w:t>
      </w:r>
      <w:r>
        <w:br/>
        <w:t>\right).</w:t>
      </w:r>
      <w:r>
        <w:br/>
        <w:t>\tag{3.6556}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A_F\left(\mathcal{O}_1,\mathcal{D}\right)\approx A_F^{\prime}\left(\mathcal{O}_1,\mathcal{D}\right)\qquad\text{(3.6556)}</w:t>
      </w:r>
    </w:p>
    <w:p w:rsidR="00135380" w:rsidRDefault="00135380" w:rsidP="00135380">
      <w:pPr>
        <w:pStyle w:val="StandardWeb"/>
      </w:pPr>
      <w:r>
        <w:t>Operationalisierungsrobustheit verlangt dagegen beispielsweise</w:t>
      </w:r>
    </w:p>
    <w:p w:rsidR="00135380" w:rsidRDefault="00135380" w:rsidP="00135380">
      <w:pPr>
        <w:pStyle w:val="StandardWeb"/>
      </w:pPr>
      <w:r>
        <w:t>[</w:t>
      </w:r>
      <w:r>
        <w:br/>
        <w:t>A_F</w:t>
      </w:r>
      <w:r>
        <w:br/>
        <w:t>\left(</w:t>
      </w:r>
      <w:r>
        <w:br/>
        <w:t>\mathcal{O}_1,</w:t>
      </w:r>
      <w:r>
        <w:br/>
        <w:t>\mathcal{D}</w:t>
      </w:r>
      <w:r>
        <w:br/>
        <w:t>\right)</w:t>
      </w:r>
      <w:r>
        <w:br/>
        <w:t>\sim_A</w:t>
      </w:r>
      <w:r>
        <w:br/>
        <w:t>A_F</w:t>
      </w:r>
      <w:r>
        <w:br/>
        <w:t>\left(</w:t>
      </w:r>
      <w:r>
        <w:br/>
        <w:t>\mathcal{O}_2,</w:t>
      </w:r>
      <w:r>
        <w:br/>
        <w:t>\mathcal{D}</w:t>
      </w:r>
      <w:r>
        <w:br/>
        <w:t>\right).</w:t>
      </w:r>
      <w:r>
        <w:br/>
        <w:t>\tag{3.6557}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A_F\left(\mathcal{O}_1,\mathcal{D}\right)\sim_A A_F\left(\mathcal{O}_2,\mathcal{D}\right)\qquad\text{(3.6557)}</w:t>
      </w:r>
    </w:p>
    <w:p w:rsidR="00135380" w:rsidRDefault="00135380" w:rsidP="00135380">
      <w:pPr>
        <w:pStyle w:val="StandardWeb"/>
      </w:pPr>
      <w:r>
        <w:t>Eine Analyse kann daher perfekt reproduzierbar und gleichzeitig operationalisierungsinstabil sein.</w:t>
      </w:r>
    </w:p>
    <w:p w:rsidR="00135380" w:rsidRDefault="00E50336" w:rsidP="00135380">
      <w:r>
        <w:pict>
          <v:rect id="_x0000_i1190" style="width:0;height:1.5pt" o:hralign="center" o:hrstd="t" o:hr="t" fillcolor="#a0a0a0" stroked="f"/>
        </w:pict>
      </w:r>
    </w:p>
    <w:p w:rsidR="00135380" w:rsidRDefault="00135380" w:rsidP="00135380">
      <w:pPr>
        <w:pStyle w:val="berschrift2"/>
      </w:pPr>
      <w:r>
        <w:t>3.3.39.49 Operationalisierung und Modellrobustheit</w:t>
      </w:r>
    </w:p>
    <w:p w:rsidR="00135380" w:rsidRDefault="00135380" w:rsidP="00135380">
      <w:pPr>
        <w:pStyle w:val="StandardWeb"/>
      </w:pPr>
      <w:r>
        <w:t>Auch Operationalisierungsrobustheit und Modellrobustheit sind zu unterscheiden.</w:t>
      </w:r>
    </w:p>
    <w:p w:rsidR="00135380" w:rsidRDefault="00135380" w:rsidP="00135380">
      <w:pPr>
        <w:pStyle w:val="StandardWeb"/>
      </w:pPr>
      <w:r>
        <w:t>Operationalisierungsvariation verändert die empirische Repräsentation:</w:t>
      </w:r>
    </w:p>
    <w:p w:rsidR="00135380" w:rsidRDefault="00135380" w:rsidP="00135380">
      <w:pPr>
        <w:pStyle w:val="StandardWeb"/>
      </w:pPr>
      <w:r>
        <w:t>[</w:t>
      </w:r>
      <w:r>
        <w:br/>
        <w:t>\mathcal{O}_1</w:t>
      </w:r>
      <w:r>
        <w:br/>
        <w:t>\rightarrow</w:t>
      </w:r>
      <w:r>
        <w:br/>
        <w:t>\mathcal{O}_2.</w:t>
      </w:r>
      <w:r>
        <w:br/>
        <w:t>\tag{3.6558}</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\mathcal{O}_1\rightarrow\mathcal{O}_2\qquad\text{(3.6558)}</w:t>
      </w:r>
    </w:p>
    <w:p w:rsidR="00135380" w:rsidRDefault="00135380" w:rsidP="00135380">
      <w:pPr>
        <w:pStyle w:val="StandardWeb"/>
      </w:pPr>
      <w:r>
        <w:t>Modellvariation verändert dagegen beispielsweise die Modellstruktur:</w:t>
      </w:r>
    </w:p>
    <w:p w:rsidR="00135380" w:rsidRDefault="00135380" w:rsidP="00135380">
      <w:pPr>
        <w:pStyle w:val="StandardWeb"/>
      </w:pPr>
      <w:r>
        <w:t>[</w:t>
      </w:r>
      <w:r>
        <w:br/>
        <w:t>\mathcal{M}_1</w:t>
      </w:r>
      <w:r>
        <w:br/>
        <w:t>\rightarrow</w:t>
      </w:r>
      <w:r>
        <w:br/>
        <w:t>\mathcal{M}_2.</w:t>
      </w:r>
      <w:r>
        <w:br/>
        <w:t>\tag{3.6559}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\mathcal{M}_1\rightarrow\mathcal{M}_2\qquad\text{(3.6559)}</w:t>
      </w:r>
    </w:p>
    <w:p w:rsidR="00135380" w:rsidRDefault="00135380" w:rsidP="00135380">
      <w:pPr>
        <w:pStyle w:val="StandardWeb"/>
      </w:pPr>
      <w:r>
        <w:t>Beide Veränderungen können getrennt oder gemeinsam untersucht werden.</w:t>
      </w:r>
    </w:p>
    <w:p w:rsidR="00135380" w:rsidRDefault="00135380" w:rsidP="00135380">
      <w:pPr>
        <w:pStyle w:val="StandardWeb"/>
      </w:pPr>
      <w:r>
        <w:t>Ein vollständiger Robustheitstest kann deshalb eine Kreuzstruktur besitzen:</w:t>
      </w:r>
    </w:p>
    <w:p w:rsidR="00135380" w:rsidRDefault="00135380" w:rsidP="00135380">
      <w:pPr>
        <w:pStyle w:val="berschrift1"/>
      </w:pPr>
      <w:r>
        <w:t>[</w:t>
      </w:r>
      <w:r>
        <w:br/>
        <w:t>A_{ij}</w:t>
      </w:r>
    </w:p>
    <w:p w:rsidR="00135380" w:rsidRDefault="00135380" w:rsidP="00135380">
      <w:pPr>
        <w:pStyle w:val="StandardWeb"/>
      </w:pPr>
      <w:r>
        <w:t>A</w:t>
      </w:r>
      <w:r>
        <w:br/>
        <w:t>\left(</w:t>
      </w:r>
      <w:r>
        <w:br/>
        <w:t>\mathcal{O}_i,</w:t>
      </w:r>
      <w:r>
        <w:br/>
        <w:t>\mathcal{M}_j</w:t>
      </w:r>
      <w:r>
        <w:br/>
        <w:t>\right).</w:t>
      </w:r>
      <w:r>
        <w:br/>
        <w:t>\tag{3.6560}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A_{ij}=A\left(\mathcal{O}_i,\mathcal{M}_j\right)\qquad\text{(3.6560)}</w:t>
      </w:r>
    </w:p>
    <w:p w:rsidR="00135380" w:rsidRDefault="00135380" w:rsidP="00135380">
      <w:pPr>
        <w:pStyle w:val="StandardWeb"/>
      </w:pPr>
      <w:r>
        <w:t>Damit kann geprüft werden, ob eine Aussage nur unter einer bestimmten Kombination aus Operationalisierung und Modellannahme entsteht.</w:t>
      </w:r>
    </w:p>
    <w:p w:rsidR="00135380" w:rsidRDefault="00E50336" w:rsidP="00135380">
      <w:r>
        <w:pict>
          <v:rect id="_x0000_i1191" style="width:0;height:1.5pt" o:hralign="center" o:hrstd="t" o:hr="t" fillcolor="#a0a0a0" stroked="f"/>
        </w:pict>
      </w:r>
    </w:p>
    <w:p w:rsidR="00135380" w:rsidRDefault="00135380" w:rsidP="00135380">
      <w:pPr>
        <w:pStyle w:val="berschrift2"/>
      </w:pPr>
      <w:r>
        <w:t>3.3.39.50 Operationalisierungs- und Modellraster</w:t>
      </w:r>
    </w:p>
    <w:p w:rsidR="00135380" w:rsidRDefault="00135380" w:rsidP="00135380">
      <w:pPr>
        <w:pStyle w:val="StandardWeb"/>
      </w:pPr>
      <w:r>
        <w:t>Für (m) Operationalisierungen und (n) Modellvarianten ergibt sich eine Ergebnismatrix</w:t>
      </w:r>
    </w:p>
    <w:p w:rsidR="00135380" w:rsidRDefault="00135380" w:rsidP="00135380">
      <w:pPr>
        <w:pStyle w:val="berschrift1"/>
      </w:pPr>
      <w:r>
        <w:t>[</w:t>
      </w:r>
      <w:r>
        <w:br/>
        <w:t>\mathbf{A}</w:t>
      </w:r>
    </w:p>
    <w:p w:rsidR="00135380" w:rsidRDefault="00135380" w:rsidP="00135380">
      <w:pPr>
        <w:pStyle w:val="StandardWeb"/>
      </w:pPr>
      <w:r>
        <w:lastRenderedPageBreak/>
        <w:t>\left[</w:t>
      </w:r>
      <w:r>
        <w:br/>
        <w:t>A_{ij}</w:t>
      </w:r>
      <w:r>
        <w:br/>
        <w:t>\right]_</w:t>
      </w:r>
      <w:r>
        <w:br/>
        <w:t>{\substack{</w:t>
      </w:r>
      <w:r>
        <w:br/>
        <w:t>i=1,\ldots,m\</w:t>
      </w:r>
      <w:r>
        <w:br/>
        <w:t>j=1,\ldots,n</w:t>
      </w:r>
      <w:r>
        <w:br/>
        <w:t>}}.</w:t>
      </w:r>
      <w:r>
        <w:br/>
        <w:t>\tag{3.6561}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\mathbf{A}=\left[A_{ij}\right]_{\substack{i=1,\ldots,m\\j=1,\ldots,n}}\qquad\text{(3.6561)}</w:t>
      </w:r>
    </w:p>
    <w:p w:rsidR="00135380" w:rsidRDefault="00135380" w:rsidP="00135380">
      <w:pPr>
        <w:pStyle w:val="StandardWeb"/>
      </w:pPr>
      <w:r>
        <w:t>Eine besonders robuste wissenschaftliche Aussage liegt vor, wenn</w:t>
      </w:r>
    </w:p>
    <w:p w:rsidR="00135380" w:rsidRDefault="00135380" w:rsidP="00135380">
      <w:pPr>
        <w:pStyle w:val="berschrift1"/>
      </w:pPr>
      <w:r>
        <w:t>[</w:t>
      </w:r>
      <w:r>
        <w:br/>
        <w:t>\operatorname{Klasse}</w:t>
      </w:r>
      <w:r>
        <w:rPr>
          <w:rStyle w:val="Hervorhebung"/>
        </w:rPr>
        <w:t>{A}</w:t>
      </w:r>
      <w:r>
        <w:rPr>
          <w:i/>
          <w:iCs/>
        </w:rPr>
        <w:br/>
      </w:r>
      <w:r>
        <w:rPr>
          <w:rStyle w:val="Hervorhebung"/>
        </w:rPr>
        <w:t>\left(</w:t>
      </w:r>
      <w:r>
        <w:rPr>
          <w:i/>
          <w:iCs/>
        </w:rPr>
        <w:br/>
      </w:r>
      <w:r>
        <w:rPr>
          <w:rStyle w:val="Hervorhebung"/>
        </w:rPr>
        <w:t>A</w:t>
      </w:r>
      <w:r>
        <w:t>{ij}</w:t>
      </w:r>
      <w:r>
        <w:br/>
        <w:t>\right)</w:t>
      </w:r>
    </w:p>
    <w:p w:rsidR="00135380" w:rsidRDefault="00135380" w:rsidP="00135380">
      <w:pPr>
        <w:pStyle w:val="StandardWeb"/>
      </w:pPr>
      <w:r>
        <w:t>L^\ast</w:t>
      </w:r>
      <w:r>
        <w:br/>
        <w:t>\quad</w:t>
      </w:r>
      <w:r>
        <w:br/>
        <w:t>\forall i,j.</w:t>
      </w:r>
      <w:r>
        <w:br/>
        <w:t>\tag{3.6562}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\operatorname{Klasse}_{A}\left(A_{ij}\right)=L^{\ast}\quad\forall i,j\qquad\text{(3.6562)}</w:t>
      </w:r>
    </w:p>
    <w:p w:rsidR="00135380" w:rsidRDefault="00135380" w:rsidP="00135380">
      <w:pPr>
        <w:pStyle w:val="StandardWeb"/>
      </w:pPr>
      <w:r>
        <w:t>Diese Bedingung ist wesentlich stärker als Robustheit gegenüber nur einer einzelnen Variationsebene.</w:t>
      </w:r>
    </w:p>
    <w:p w:rsidR="00135380" w:rsidRDefault="00E50336" w:rsidP="00135380">
      <w:r>
        <w:pict>
          <v:rect id="_x0000_i1192" style="width:0;height:1.5pt" o:hralign="center" o:hrstd="t" o:hr="t" fillcolor="#a0a0a0" stroked="f"/>
        </w:pict>
      </w:r>
    </w:p>
    <w:p w:rsidR="00135380" w:rsidRDefault="00135380" w:rsidP="00135380">
      <w:pPr>
        <w:pStyle w:val="berschrift2"/>
      </w:pPr>
      <w:r>
        <w:t>3.3.39.51 Auswahlverzerrung bei Operationalisierungen</w:t>
      </w:r>
    </w:p>
    <w:p w:rsidR="00135380" w:rsidRDefault="00135380" w:rsidP="00135380">
      <w:pPr>
        <w:pStyle w:val="StandardWeb"/>
      </w:pPr>
      <w:r>
        <w:t>Ein besonderes Risiko besteht, wenn mehrere Operationalisierungen getestet, aber nur diejenigen berichtet werden, die eine gewünschte Aussage erzeugen.</w:t>
      </w:r>
    </w:p>
    <w:p w:rsidR="00135380" w:rsidRDefault="00135380" w:rsidP="00135380">
      <w:pPr>
        <w:pStyle w:val="StandardWeb"/>
      </w:pPr>
      <w:r>
        <w:t>Die getestete Menge sei</w:t>
      </w:r>
    </w:p>
    <w:p w:rsidR="00135380" w:rsidRDefault="00135380" w:rsidP="00135380">
      <w:pPr>
        <w:pStyle w:val="StandardWeb"/>
      </w:pPr>
      <w:r>
        <w:t>[</w:t>
      </w:r>
      <w:r>
        <w:br/>
        <w:t>\mathfrak{O}_{\mathrm{test}}.</w:t>
      </w:r>
      <w:r>
        <w:br/>
      </w:r>
      <w:r>
        <w:lastRenderedPageBreak/>
        <w:t>\tag{3.6563}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\mathfrak{O}_{\mathrm{test}}\qquad\text{(3.6563)}</w:t>
      </w:r>
    </w:p>
    <w:p w:rsidR="00135380" w:rsidRDefault="00135380" w:rsidP="00135380">
      <w:pPr>
        <w:pStyle w:val="StandardWeb"/>
      </w:pPr>
      <w:r>
        <w:t>Die berichtete Teilmenge sei</w:t>
      </w:r>
    </w:p>
    <w:p w:rsidR="00135380" w:rsidRDefault="00135380" w:rsidP="00135380">
      <w:pPr>
        <w:pStyle w:val="StandardWeb"/>
      </w:pPr>
      <w:r>
        <w:t>[</w:t>
      </w:r>
      <w:r>
        <w:br/>
        <w:t>\mathfrak{O}</w:t>
      </w:r>
      <w:r>
        <w:rPr>
          <w:rStyle w:val="Hervorhebung"/>
        </w:rPr>
        <w:t>{\mathrm{rep}}</w:t>
      </w:r>
      <w:r>
        <w:rPr>
          <w:i/>
          <w:iCs/>
        </w:rPr>
        <w:br/>
      </w:r>
      <w:r>
        <w:rPr>
          <w:rStyle w:val="Hervorhebung"/>
        </w:rPr>
        <w:t>\subseteq</w:t>
      </w:r>
      <w:r>
        <w:rPr>
          <w:i/>
          <w:iCs/>
        </w:rPr>
        <w:br/>
      </w:r>
      <w:r>
        <w:rPr>
          <w:rStyle w:val="Hervorhebung"/>
        </w:rPr>
        <w:t>\mathfrak{O}</w:t>
      </w:r>
      <w:r>
        <w:t>{\mathrm{test}}.</w:t>
      </w:r>
      <w:r>
        <w:br/>
        <w:t>\tag{3.6564}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\mathfrak{O}_{\mathrm{rep}}\subseteq\mathfrak{O}_{\mathrm{test}}\qquad\text{(3.6564)}</w:t>
      </w:r>
    </w:p>
    <w:p w:rsidR="00135380" w:rsidRDefault="00135380" w:rsidP="00135380">
      <w:pPr>
        <w:pStyle w:val="StandardWeb"/>
      </w:pPr>
      <w:r>
        <w:t>Bei selektiver Berichterstattung kann</w:t>
      </w:r>
    </w:p>
    <w:p w:rsidR="00135380" w:rsidRDefault="00135380" w:rsidP="00135380">
      <w:pPr>
        <w:pStyle w:val="StandardWeb"/>
      </w:pPr>
      <w:r>
        <w:t>[</w:t>
      </w:r>
      <w:r>
        <w:br/>
        <w:t>\mathfrak{O}</w:t>
      </w:r>
      <w:r>
        <w:rPr>
          <w:rStyle w:val="Hervorhebung"/>
        </w:rPr>
        <w:t>{\mathrm{rep}}</w:t>
      </w:r>
      <w:r>
        <w:rPr>
          <w:i/>
          <w:iCs/>
        </w:rPr>
        <w:br/>
      </w:r>
      <w:r>
        <w:rPr>
          <w:rStyle w:val="Hervorhebung"/>
        </w:rPr>
        <w:t>\neq</w:t>
      </w:r>
      <w:r>
        <w:rPr>
          <w:i/>
          <w:iCs/>
        </w:rPr>
        <w:br/>
      </w:r>
      <w:r>
        <w:rPr>
          <w:rStyle w:val="Hervorhebung"/>
        </w:rPr>
        <w:t>\mathfrak{O}</w:t>
      </w:r>
      <w:r>
        <w:t>{\mathrm{test}}</w:t>
      </w:r>
      <w:r>
        <w:br/>
        <w:t>\tag{3.6565}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\mathfrak{O}_{\mathrm{rep}}\neq\mathfrak{O}_{\mathrm{test}}\qquad\text{(3.6565)}</w:t>
      </w:r>
    </w:p>
    <w:p w:rsidR="00135380" w:rsidRDefault="00135380" w:rsidP="00135380">
      <w:pPr>
        <w:pStyle w:val="StandardWeb"/>
      </w:pPr>
      <w:r>
        <w:t>gelten.</w:t>
      </w:r>
    </w:p>
    <w:p w:rsidR="00135380" w:rsidRDefault="00135380" w:rsidP="00135380">
      <w:pPr>
        <w:pStyle w:val="StandardWeb"/>
      </w:pPr>
      <w:r>
        <w:t>Das FRZK verlangt deshalb, dass sämtliche für eine Robustheitsanalyse tatsächlich getesteten Operationalisierungsvarianten dokumentiert werden, unabhängig davon, ob sie die bevorzugte Hypothese stützen [58, 79].</w:t>
      </w:r>
    </w:p>
    <w:p w:rsidR="00135380" w:rsidRDefault="00E50336" w:rsidP="00135380">
      <w:r>
        <w:pict>
          <v:rect id="_x0000_i1193" style="width:0;height:1.5pt" o:hralign="center" o:hrstd="t" o:hr="t" fillcolor="#a0a0a0" stroked="f"/>
        </w:pict>
      </w:r>
    </w:p>
    <w:p w:rsidR="00135380" w:rsidRDefault="00135380" w:rsidP="00135380">
      <w:pPr>
        <w:pStyle w:val="berschrift2"/>
      </w:pPr>
      <w:r>
        <w:t>3.3.39.52 Präregistrierte Operationalisierungsmenge</w:t>
      </w:r>
    </w:p>
    <w:p w:rsidR="00135380" w:rsidRDefault="00135380" w:rsidP="00135380">
      <w:pPr>
        <w:pStyle w:val="StandardWeb"/>
      </w:pPr>
      <w:r>
        <w:t>Eine besonders transparente Vorgehensweise besteht darin, die geplante Variationsmenge vor Kenntnis der Ergebnisse festzulegen.</w:t>
      </w:r>
    </w:p>
    <w:p w:rsidR="00135380" w:rsidRDefault="00135380" w:rsidP="00135380">
      <w:pPr>
        <w:pStyle w:val="StandardWeb"/>
      </w:pPr>
      <w:r>
        <w:t>Ich bezeichne diese mit</w:t>
      </w:r>
    </w:p>
    <w:p w:rsidR="00135380" w:rsidRDefault="00135380" w:rsidP="00135380">
      <w:pPr>
        <w:pStyle w:val="StandardWeb"/>
      </w:pPr>
      <w:r>
        <w:t>[</w:t>
      </w:r>
      <w:r>
        <w:br/>
        <w:t>\mathfrak{O}_{\mathrm{pre}}.</w:t>
      </w:r>
      <w:r>
        <w:br/>
      </w:r>
      <w:r>
        <w:lastRenderedPageBreak/>
        <w:t>\tag{3.6566}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\mathfrak{O}_{\mathrm{pre}}\qquad\text{(3.6566)}</w:t>
      </w:r>
    </w:p>
    <w:p w:rsidR="00135380" w:rsidRDefault="00135380" w:rsidP="00135380">
      <w:pPr>
        <w:pStyle w:val="StandardWeb"/>
      </w:pPr>
      <w:r>
        <w:t>Ideal wäre</w:t>
      </w:r>
    </w:p>
    <w:p w:rsidR="00135380" w:rsidRDefault="00135380" w:rsidP="00135380">
      <w:pPr>
        <w:pStyle w:val="berschrift1"/>
      </w:pPr>
      <w:r>
        <w:t>[</w:t>
      </w:r>
      <w:r>
        <w:br/>
        <w:t>\mathfrak{O}_{\mathrm{test}}</w:t>
      </w:r>
    </w:p>
    <w:p w:rsidR="00135380" w:rsidRDefault="00135380" w:rsidP="00135380">
      <w:pPr>
        <w:pStyle w:val="StandardWeb"/>
      </w:pPr>
      <w:r>
        <w:t>\mathfrak{O}_{\mathrm{pre}}.</w:t>
      </w:r>
      <w:r>
        <w:br/>
        <w:t>\tag{3.6567}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\mathfrak{O}_{\mathrm{test}}=\mathfrak{O}_{\mathrm{pre}}\qquad\text{(3.6567)}</w:t>
      </w:r>
    </w:p>
    <w:p w:rsidR="00135380" w:rsidRDefault="00135380" w:rsidP="00135380">
      <w:pPr>
        <w:pStyle w:val="StandardWeb"/>
      </w:pPr>
      <w:r>
        <w:t>Nachträglich ergänzte Operationalisierungen sind zulässig, müssen jedoch als explorativ gekennzeichnet werden.</w:t>
      </w:r>
    </w:p>
    <w:p w:rsidR="00135380" w:rsidRDefault="00E50336" w:rsidP="00135380">
      <w:r>
        <w:pict>
          <v:rect id="_x0000_i1194" style="width:0;height:1.5pt" o:hralign="center" o:hrstd="t" o:hr="t" fillcolor="#a0a0a0" stroked="f"/>
        </w:pict>
      </w:r>
    </w:p>
    <w:p w:rsidR="00135380" w:rsidRDefault="00135380" w:rsidP="00135380">
      <w:pPr>
        <w:pStyle w:val="berschrift2"/>
      </w:pPr>
      <w:r>
        <w:t>3.3.39.53 Robustheit gegenüber Datenauflösung</w:t>
      </w:r>
    </w:p>
    <w:p w:rsidR="00135380" w:rsidRDefault="00135380" w:rsidP="00135380">
      <w:pPr>
        <w:pStyle w:val="StandardWeb"/>
      </w:pPr>
      <w:r>
        <w:t>Ein theoretisches Konzept kann mit unterschiedlicher Datenauflösung operationalisiert werden.</w:t>
      </w:r>
    </w:p>
    <w:p w:rsidR="00135380" w:rsidRDefault="00135380" w:rsidP="00135380">
      <w:pPr>
        <w:pStyle w:val="StandardWeb"/>
      </w:pPr>
      <w:r>
        <w:t>Die Auflösung bezeichne ich mit</w:t>
      </w:r>
    </w:p>
    <w:p w:rsidR="00135380" w:rsidRDefault="00135380" w:rsidP="00135380">
      <w:pPr>
        <w:pStyle w:val="StandardWeb"/>
      </w:pPr>
      <w:r>
        <w:t>[</w:t>
      </w:r>
      <w:r>
        <w:br/>
        <w:t>\rho.</w:t>
      </w:r>
      <w:r>
        <w:br/>
        <w:t>\tag{3.6568}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\rho\qquad\text{(3.6568)}</w:t>
      </w:r>
    </w:p>
    <w:p w:rsidR="00135380" w:rsidRDefault="00135380" w:rsidP="00135380">
      <w:pPr>
        <w:pStyle w:val="StandardWeb"/>
      </w:pPr>
      <w:r>
        <w:t>Eine auflösungsabhängige Aussage lautet</w:t>
      </w:r>
    </w:p>
    <w:p w:rsidR="00135380" w:rsidRDefault="00135380" w:rsidP="00135380">
      <w:pPr>
        <w:pStyle w:val="berschrift1"/>
      </w:pPr>
      <w:r>
        <w:t>[</w:t>
      </w:r>
      <w:r>
        <w:br/>
        <w:t>A_F</w:t>
      </w:r>
    </w:p>
    <w:p w:rsidR="00135380" w:rsidRDefault="00135380" w:rsidP="00135380">
      <w:pPr>
        <w:pStyle w:val="StandardWeb"/>
      </w:pPr>
      <w:r>
        <w:lastRenderedPageBreak/>
        <w:t>A_F(\rho).</w:t>
      </w:r>
      <w:r>
        <w:br/>
        <w:t>\tag{3.6569}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A_F=A_F(\rho)\qquad\text{(3.6569)}</w:t>
      </w:r>
    </w:p>
    <w:p w:rsidR="00135380" w:rsidRDefault="00135380" w:rsidP="00135380">
      <w:pPr>
        <w:pStyle w:val="StandardWeb"/>
      </w:pPr>
      <w:r>
        <w:t>Für zwei Auflösungen kann die Differenz</w:t>
      </w:r>
    </w:p>
    <w:p w:rsidR="00135380" w:rsidRDefault="00135380" w:rsidP="00135380">
      <w:pPr>
        <w:pStyle w:val="berschrift1"/>
      </w:pPr>
      <w:r>
        <w:t>[</w:t>
      </w:r>
      <w:r>
        <w:br/>
        <w:t>\Delta_{\rho}A_F</w:t>
      </w:r>
    </w:p>
    <w:p w:rsidR="00135380" w:rsidRDefault="00135380" w:rsidP="00135380">
      <w:pPr>
        <w:pStyle w:val="berschrift2"/>
      </w:pPr>
      <w:r>
        <w:t>A_F(\rho_2)</w:t>
      </w:r>
    </w:p>
    <w:p w:rsidR="00135380" w:rsidRDefault="00135380" w:rsidP="00135380">
      <w:pPr>
        <w:pStyle w:val="StandardWeb"/>
      </w:pPr>
      <w:r>
        <w:t>A_F(\rho_1)</w:t>
      </w:r>
      <w:r>
        <w:br/>
        <w:t>\tag{3.6570}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\Delta_{\rho}A_F=A_F(\rho_2)-A_F(\rho_1)\qquad\text{(3.6570)}</w:t>
      </w:r>
    </w:p>
    <w:p w:rsidR="00135380" w:rsidRDefault="00135380" w:rsidP="00135380">
      <w:pPr>
        <w:pStyle w:val="StandardWeb"/>
      </w:pPr>
      <w:r>
        <w:t>untersucht werden.</w:t>
      </w:r>
    </w:p>
    <w:p w:rsidR="00135380" w:rsidRDefault="00135380" w:rsidP="00135380">
      <w:pPr>
        <w:pStyle w:val="StandardWeb"/>
      </w:pPr>
      <w:r>
        <w:t>Insbesondere bei zeitlichen, räumlichen oder semantischen Aggregationen kann eine scheinbar stabile Struktur bei anderer Auflösung verschwinden oder neue Strukturen können sichtbar werden.</w:t>
      </w:r>
    </w:p>
    <w:p w:rsidR="00135380" w:rsidRDefault="00E50336" w:rsidP="00135380">
      <w:r>
        <w:pict>
          <v:rect id="_x0000_i1195" style="width:0;height:1.5pt" o:hralign="center" o:hrstd="t" o:hr="t" fillcolor="#a0a0a0" stroked="f"/>
        </w:pict>
      </w:r>
    </w:p>
    <w:p w:rsidR="00135380" w:rsidRDefault="00135380" w:rsidP="00135380">
      <w:pPr>
        <w:pStyle w:val="berschrift2"/>
      </w:pPr>
      <w:r>
        <w:t>3.3.39.54 Robustheit gegenüber zeitlicher Aggregation</w:t>
      </w:r>
    </w:p>
    <w:p w:rsidR="00135380" w:rsidRDefault="00135380" w:rsidP="00135380">
      <w:pPr>
        <w:pStyle w:val="StandardWeb"/>
      </w:pPr>
      <w:r>
        <w:t>Eine zeitliche Aggregationsbreite sei</w:t>
      </w:r>
    </w:p>
    <w:p w:rsidR="00135380" w:rsidRDefault="00135380" w:rsidP="00135380">
      <w:pPr>
        <w:pStyle w:val="StandardWeb"/>
      </w:pPr>
      <w:r>
        <w:t>[</w:t>
      </w:r>
      <w:r>
        <w:br/>
        <w:t>\Delta t.</w:t>
      </w:r>
      <w:r>
        <w:br/>
        <w:t>\tag{3.6571}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\Delta t\qquad\text{(3.6571)}</w:t>
      </w:r>
    </w:p>
    <w:p w:rsidR="00135380" w:rsidRDefault="00135380" w:rsidP="00135380">
      <w:pPr>
        <w:pStyle w:val="StandardWeb"/>
      </w:pPr>
      <w:r>
        <w:t>Eine aggregierte Zustandsgröße könne lauten</w:t>
      </w:r>
    </w:p>
    <w:p w:rsidR="00135380" w:rsidRDefault="00135380" w:rsidP="00135380">
      <w:pPr>
        <w:pStyle w:val="berschrift1"/>
      </w:pPr>
      <w:r>
        <w:t>[</w:t>
      </w:r>
      <w:r>
        <w:br/>
        <w:t>\overline{\delta}_{k}^{(\Delta t)}</w:t>
      </w:r>
    </w:p>
    <w:p w:rsidR="00135380" w:rsidRDefault="00135380" w:rsidP="00135380">
      <w:pPr>
        <w:pStyle w:val="StandardWeb"/>
      </w:pPr>
      <w:r>
        <w:lastRenderedPageBreak/>
        <w:t>\frac{1}{N_k}</w:t>
      </w:r>
      <w:r>
        <w:br/>
        <w:t>\sum_{i\in W_k(\Delta t)}</w:t>
      </w:r>
      <w:r>
        <w:br/>
        <w:t>\delta_i.</w:t>
      </w:r>
      <w:r>
        <w:br/>
        <w:t>\tag{3.6572}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\overline{\delta}_{k}^{(\Delta t)}=\frac{1}{N_k}\sum_{i\in W_k(\Delta t)}\delta_i\qquad\text{(3.6572)}</w:t>
      </w:r>
    </w:p>
    <w:p w:rsidR="00135380" w:rsidRDefault="00135380" w:rsidP="00135380">
      <w:pPr>
        <w:pStyle w:val="StandardWeb"/>
      </w:pPr>
      <w:r>
        <w:t>Eine Aussage ist gegenüber zeitlicher Aggregation robust, wenn ihre relevante Interpretation für einen wissenschaftlich begründeten Bereich von (\Delta t) erhalten bleibt.</w:t>
      </w:r>
    </w:p>
    <w:p w:rsidR="00135380" w:rsidRDefault="00135380" w:rsidP="00135380">
      <w:pPr>
        <w:pStyle w:val="StandardWeb"/>
      </w:pPr>
      <w:r>
        <w:t>Diese Prüfung ist insbesondere für dynamische FRZK-Strukturen wesentlich, da grobe Zeitfenster kurzfristige Übergänge verdecken können, während sehr kleine Fenster zufällige Schwankungen überbetonen können.</w:t>
      </w:r>
    </w:p>
    <w:p w:rsidR="00135380" w:rsidRDefault="00E50336" w:rsidP="00135380">
      <w:r>
        <w:pict>
          <v:rect id="_x0000_i1196" style="width:0;height:1.5pt" o:hralign="center" o:hrstd="t" o:hr="t" fillcolor="#a0a0a0" stroked="f"/>
        </w:pict>
      </w:r>
    </w:p>
    <w:p w:rsidR="00135380" w:rsidRDefault="00135380" w:rsidP="00135380">
      <w:pPr>
        <w:pStyle w:val="berschrift2"/>
      </w:pPr>
      <w:r>
        <w:t>3.3.39.55 Robustheit gegenüber semantischer Aggregation</w:t>
      </w:r>
    </w:p>
    <w:p w:rsidR="00135380" w:rsidRDefault="00135380" w:rsidP="00135380">
      <w:pPr>
        <w:pStyle w:val="StandardWeb"/>
      </w:pPr>
      <w:r>
        <w:t>Für semantische Zustände kann auch die Granularität der Kategorien variieren.</w:t>
      </w:r>
    </w:p>
    <w:p w:rsidR="00135380" w:rsidRDefault="00135380" w:rsidP="00135380">
      <w:pPr>
        <w:pStyle w:val="StandardWeb"/>
      </w:pPr>
      <w:r>
        <w:t>Die semantische Granularität bezeichne ich mit</w:t>
      </w:r>
    </w:p>
    <w:p w:rsidR="00135380" w:rsidRDefault="00135380" w:rsidP="00135380">
      <w:pPr>
        <w:pStyle w:val="StandardWeb"/>
      </w:pPr>
      <w:r>
        <w:t>[</w:t>
      </w:r>
      <w:r>
        <w:br/>
        <w:t>g_{\mathrm{sem}}.</w:t>
      </w:r>
      <w:r>
        <w:br/>
        <w:t>\tag{3.6573}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g_{\mathrm{sem}}\qquad\text{(3.6573)}</w:t>
      </w:r>
    </w:p>
    <w:p w:rsidR="00135380" w:rsidRDefault="00135380" w:rsidP="00135380">
      <w:pPr>
        <w:pStyle w:val="StandardWeb"/>
      </w:pPr>
      <w:r>
        <w:t>Eine Aussage wird damit</w:t>
      </w:r>
    </w:p>
    <w:p w:rsidR="00135380" w:rsidRDefault="00135380" w:rsidP="00135380">
      <w:pPr>
        <w:pStyle w:val="berschrift1"/>
      </w:pPr>
      <w:r>
        <w:t>[</w:t>
      </w:r>
      <w:r>
        <w:br/>
        <w:t>A_F</w:t>
      </w:r>
    </w:p>
    <w:p w:rsidR="00135380" w:rsidRDefault="00135380" w:rsidP="00135380">
      <w:pPr>
        <w:pStyle w:val="StandardWeb"/>
      </w:pPr>
      <w:r>
        <w:t>A_F</w:t>
      </w:r>
      <w:r>
        <w:br/>
        <w:t>\left(</w:t>
      </w:r>
      <w:r>
        <w:br/>
        <w:t>g_{\mathrm{sem}}</w:t>
      </w:r>
      <w:r>
        <w:br/>
        <w:t>\right).</w:t>
      </w:r>
      <w:r>
        <w:br/>
        <w:t>\tag{3.6574}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A_F=A_F\left(g_{\mathrm{sem}}\right)\qquad\text{(3.6574)}</w:t>
      </w:r>
    </w:p>
    <w:p w:rsidR="00135380" w:rsidRDefault="00135380" w:rsidP="00135380">
      <w:pPr>
        <w:pStyle w:val="StandardWeb"/>
      </w:pPr>
      <w:r>
        <w:lastRenderedPageBreak/>
        <w:t>Für unterschiedliche Granularitäten können verschiedene Zustandsräume entstehen:</w:t>
      </w:r>
    </w:p>
    <w:p w:rsidR="00135380" w:rsidRDefault="00135380" w:rsidP="00135380">
      <w:pPr>
        <w:pStyle w:val="StandardWeb"/>
      </w:pPr>
      <w:r>
        <w:t>[</w:t>
      </w:r>
      <w:r>
        <w:br/>
        <w:t>\mathcal{S}</w:t>
      </w:r>
      <w:r>
        <w:rPr>
          <w:rStyle w:val="Hervorhebung"/>
        </w:rPr>
        <w:t>{F}^{(g_1)}</w:t>
      </w:r>
      <w:r>
        <w:rPr>
          <w:i/>
          <w:iCs/>
        </w:rPr>
        <w:br/>
      </w:r>
      <w:r>
        <w:rPr>
          <w:rStyle w:val="Hervorhebung"/>
        </w:rPr>
        <w:t>\neq</w:t>
      </w:r>
      <w:r>
        <w:rPr>
          <w:i/>
          <w:iCs/>
        </w:rPr>
        <w:br/>
      </w:r>
      <w:r>
        <w:rPr>
          <w:rStyle w:val="Hervorhebung"/>
        </w:rPr>
        <w:t>\mathcal{S}</w:t>
      </w:r>
      <w:r>
        <w:t>{F}^{(g_2)}.</w:t>
      </w:r>
      <w:r>
        <w:br/>
        <w:t>\tag{3.6575}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\mathcal{S}_{F}^{(g_1)}\neq\mathcal{S}_{F}^{(g_2)}\qquad\text{(3.6575)}</w:t>
      </w:r>
    </w:p>
    <w:p w:rsidR="00135380" w:rsidRDefault="00135380" w:rsidP="00135380">
      <w:pPr>
        <w:pStyle w:val="StandardWeb"/>
      </w:pPr>
      <w:r>
        <w:t>Trotzdem können übergeordnete funktionale Beziehungen erhalten bleiben.</w:t>
      </w:r>
    </w:p>
    <w:p w:rsidR="00135380" w:rsidRDefault="00135380" w:rsidP="00135380">
      <w:pPr>
        <w:pStyle w:val="StandardWeb"/>
      </w:pPr>
      <w:r>
        <w:t>Gerade dies muss systematisch geprüft werden, wenn qualitative oder semantische Kategorien Teil der empirischen FRZK-Auswertung sind.</w:t>
      </w:r>
    </w:p>
    <w:p w:rsidR="00135380" w:rsidRDefault="00E50336" w:rsidP="00135380">
      <w:r>
        <w:pict>
          <v:rect id="_x0000_i1197" style="width:0;height:1.5pt" o:hralign="center" o:hrstd="t" o:hr="t" fillcolor="#a0a0a0" stroked="f"/>
        </w:pict>
      </w:r>
    </w:p>
    <w:p w:rsidR="00135380" w:rsidRDefault="00135380" w:rsidP="00135380">
      <w:pPr>
        <w:pStyle w:val="berschrift2"/>
      </w:pPr>
      <w:r>
        <w:t>3.3.39.56 Mehrdimensionale Operationalisierungsstabilität</w:t>
      </w:r>
    </w:p>
    <w:p w:rsidR="00135380" w:rsidRDefault="00135380" w:rsidP="00135380">
      <w:pPr>
        <w:pStyle w:val="StandardWeb"/>
      </w:pPr>
      <w:r>
        <w:t>Die bisher betrachteten Operationalisierungsparameter können gleichzeitig verändert werden.</w:t>
      </w:r>
    </w:p>
    <w:p w:rsidR="00135380" w:rsidRDefault="00135380" w:rsidP="00135380">
      <w:pPr>
        <w:pStyle w:val="StandardWeb"/>
      </w:pPr>
      <w:r>
        <w:t>Der Parametervektor lautet</w:t>
      </w:r>
    </w:p>
    <w:p w:rsidR="00135380" w:rsidRDefault="00135380" w:rsidP="00135380">
      <w:pPr>
        <w:pStyle w:val="berschrift1"/>
      </w:pPr>
      <w:r>
        <w:t>[</w:t>
      </w:r>
      <w:r>
        <w:br/>
        <w:t>\boldsymbol{\theta}_{\mathcal{O}}</w:t>
      </w:r>
    </w:p>
    <w:p w:rsidR="00135380" w:rsidRDefault="00135380" w:rsidP="00135380">
      <w:pPr>
        <w:pStyle w:val="StandardWeb"/>
      </w:pPr>
      <w:r>
        <w:t>\left(</w:t>
      </w:r>
      <w:r>
        <w:br/>
        <w:t>\theta_{\mathrm{scale}},</w:t>
      </w:r>
      <w:r>
        <w:br/>
        <w:t>\theta_{\mathrm{window}},</w:t>
      </w:r>
      <w:r>
        <w:br/>
        <w:t>\theta_{\mathrm{threshold}},</w:t>
      </w:r>
      <w:r>
        <w:br/>
        <w:t>\theta_{\mathrm{reference}},</w:t>
      </w:r>
      <w:r>
        <w:br/>
        <w:t>\theta_{\mathrm{aggregation}},</w:t>
      </w:r>
      <w:r>
        <w:br/>
        <w:t>\ldots</w:t>
      </w:r>
      <w:r>
        <w:br/>
        <w:t>\right).</w:t>
      </w:r>
      <w:r>
        <w:br/>
        <w:t>\tag{3.6576}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\boldsymbol{\theta}_{\mathcal{O}}=\left(\theta_{\mathrm{scale}},\theta_{\mathrm{window}},\theta_{\mathrm{threshold}},\theta_{\mathrm{reference}},\theta_{\mathrm{aggregation}},\ldots\right)\qquad\text{(3.6576)}</w:t>
      </w:r>
    </w:p>
    <w:p w:rsidR="00135380" w:rsidRDefault="00135380" w:rsidP="00135380">
      <w:pPr>
        <w:pStyle w:val="StandardWeb"/>
      </w:pPr>
      <w:r>
        <w:t>Eine vollständige Robustheitsanalyse untersucht deshalb nicht nur eindimensionale Einzeländerungen, sondern gegebenenfalls auch kombinierte Variationen.</w:t>
      </w:r>
    </w:p>
    <w:p w:rsidR="00135380" w:rsidRDefault="00135380" w:rsidP="00135380">
      <w:pPr>
        <w:pStyle w:val="StandardWeb"/>
      </w:pPr>
      <w:r>
        <w:t>Die Aussageklasse lautet</w:t>
      </w:r>
    </w:p>
    <w:p w:rsidR="00135380" w:rsidRDefault="00135380" w:rsidP="00135380">
      <w:pPr>
        <w:pStyle w:val="berschrift1"/>
      </w:pPr>
      <w:r>
        <w:lastRenderedPageBreak/>
        <w:t>[</w:t>
      </w:r>
      <w:r>
        <w:br/>
        <w:t>L</w:t>
      </w:r>
    </w:p>
    <w:p w:rsidR="00135380" w:rsidRDefault="00135380" w:rsidP="00135380">
      <w:pPr>
        <w:pStyle w:val="StandardWeb"/>
      </w:pPr>
      <w:r>
        <w:t>L</w:t>
      </w:r>
      <w:r>
        <w:br/>
        <w:t>\left(</w:t>
      </w:r>
      <w:r>
        <w:br/>
        <w:t>\boldsymbol{\theta}_{\mathcal{O}}</w:t>
      </w:r>
      <w:r>
        <w:br/>
        <w:t>\right).</w:t>
      </w:r>
      <w:r>
        <w:br/>
        <w:t>\tag{3.6577}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L=L\left(\boldsymbol{\theta}_{\mathcal{O}}\right)\qquad\text{(3.6577)}</w:t>
      </w:r>
    </w:p>
    <w:p w:rsidR="00135380" w:rsidRDefault="00135380" w:rsidP="00135380">
      <w:pPr>
        <w:pStyle w:val="StandardWeb"/>
      </w:pPr>
      <w:r>
        <w:t>Ein Stabilitätsgebiet kann definiert werden als</w:t>
      </w:r>
    </w:p>
    <w:p w:rsidR="00135380" w:rsidRDefault="00135380" w:rsidP="00135380">
      <w:pPr>
        <w:pStyle w:val="berschrift1"/>
      </w:pPr>
      <w:r>
        <w:t>[</w:t>
      </w:r>
      <w:r>
        <w:br/>
        <w:t>\Omega_{L^\ast}</w:t>
      </w:r>
    </w:p>
    <w:p w:rsidR="00135380" w:rsidRDefault="00135380" w:rsidP="00135380">
      <w:pPr>
        <w:pStyle w:val="berschrift1"/>
      </w:pPr>
      <w:r>
        <w:t>\left{</w:t>
      </w:r>
      <w:r>
        <w:br/>
        <w:t>\boldsymbol{\theta}</w:t>
      </w:r>
      <w:r>
        <w:rPr>
          <w:rStyle w:val="Hervorhebung"/>
        </w:rPr>
        <w:t>{\mathcal{O}}</w:t>
      </w:r>
      <w:r>
        <w:rPr>
          <w:i/>
          <w:iCs/>
        </w:rPr>
        <w:br/>
      </w:r>
      <w:r>
        <w:rPr>
          <w:rStyle w:val="Hervorhebung"/>
        </w:rPr>
        <w:t>\in</w:t>
      </w:r>
      <w:r>
        <w:rPr>
          <w:i/>
          <w:iCs/>
        </w:rPr>
        <w:br/>
      </w:r>
      <w:r>
        <w:rPr>
          <w:rStyle w:val="Hervorhebung"/>
        </w:rPr>
        <w:t>\Theta</w:t>
      </w:r>
      <w:r>
        <w:t>{\mathcal{O}}^{\mathrm{zul}}</w:t>
      </w:r>
      <w:r>
        <w:br/>
        <w:t>:</w:t>
      </w:r>
      <w:r>
        <w:br/>
        <w:t>L</w:t>
      </w:r>
      <w:r>
        <w:br/>
        <w:t>\left(</w:t>
      </w:r>
      <w:r>
        <w:br/>
        <w:t>\boldsymbol{\theta}_{\mathcal{O}}</w:t>
      </w:r>
      <w:r>
        <w:br/>
        <w:t>\right)</w:t>
      </w:r>
    </w:p>
    <w:p w:rsidR="00135380" w:rsidRDefault="00135380" w:rsidP="00135380">
      <w:pPr>
        <w:pStyle w:val="StandardWeb"/>
      </w:pPr>
      <w:r>
        <w:t>L^\ast</w:t>
      </w:r>
      <w:r>
        <w:br/>
        <w:t>\right}.</w:t>
      </w:r>
      <w:r>
        <w:br/>
        <w:t>\tag{3.6578}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\Omega_{L^{\ast}}=\left\{\boldsymbol{\theta}_{\mathcal{O}}\in\Theta_{\mathcal{O}}^{\mathrm{zul}}:L\left(\boldsymbol{\theta}_{\mathcal{O}}\right)=L^{\ast}\right\}\qquad\text{(3.6578)}</w:t>
      </w:r>
    </w:p>
    <w:p w:rsidR="00135380" w:rsidRDefault="00135380" w:rsidP="00135380">
      <w:pPr>
        <w:pStyle w:val="StandardWeb"/>
      </w:pPr>
      <w:r>
        <w:lastRenderedPageBreak/>
        <w:t>Je größer dieses Stabilitätsgebiet im zulässigen Operationalisierungsraum ist, desto stärker ist die Aussage gegenüber gemeinsam variierenden Operationalisierungsentscheidungen abgesichert.</w:t>
      </w:r>
    </w:p>
    <w:p w:rsidR="00135380" w:rsidRDefault="00E50336" w:rsidP="00135380">
      <w:r>
        <w:pict>
          <v:rect id="_x0000_i1198" style="width:0;height:1.5pt" o:hralign="center" o:hrstd="t" o:hr="t" fillcolor="#a0a0a0" stroked="f"/>
        </w:pict>
      </w:r>
    </w:p>
    <w:p w:rsidR="00135380" w:rsidRDefault="00135380" w:rsidP="00135380">
      <w:pPr>
        <w:pStyle w:val="berschrift2"/>
      </w:pPr>
      <w:r>
        <w:t>3.3.39.57 Ergebnislandschaft</w:t>
      </w:r>
    </w:p>
    <w:p w:rsidR="00135380" w:rsidRDefault="00135380" w:rsidP="00135380">
      <w:pPr>
        <w:pStyle w:val="StandardWeb"/>
      </w:pPr>
      <w:r>
        <w:t>Die vollständige Abhängigkeit einer numerischen Ergebnisgröße von der Operationalisierung kann als Landschaft</w:t>
      </w:r>
    </w:p>
    <w:p w:rsidR="00135380" w:rsidRDefault="00135380" w:rsidP="00135380">
      <w:pPr>
        <w:pStyle w:val="StandardWeb"/>
      </w:pPr>
      <w:r>
        <w:t>[</w:t>
      </w:r>
      <w:r>
        <w:br/>
        <w:t>Y_{\mathcal{O}}</w:t>
      </w:r>
      <w:r>
        <w:br/>
        <w:t>:</w:t>
      </w:r>
      <w:r>
        <w:br/>
        <w:t>\Theta_{\mathcal{O}}^{\mathrm{zul}}</w:t>
      </w:r>
      <w:r>
        <w:br/>
        <w:t>\longrightarrow</w:t>
      </w:r>
      <w:r>
        <w:br/>
        <w:t>\mathbb{R}^{q}</w:t>
      </w:r>
      <w:r>
        <w:br/>
        <w:t>\tag{3.6579}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Y_{\mathcal{O}}:\Theta_{\mathcal{O}}^{\mathrm{zul}}\longrightarrow\mathbb{R}^{q}\qquad\text{(3.6579)}</w:t>
      </w:r>
    </w:p>
    <w:p w:rsidR="00135380" w:rsidRDefault="00135380" w:rsidP="00135380">
      <w:pPr>
        <w:pStyle w:val="StandardWeb"/>
      </w:pPr>
      <w:r>
        <w:t>aufgefasst werden.</w:t>
      </w:r>
    </w:p>
    <w:p w:rsidR="00135380" w:rsidRDefault="00135380" w:rsidP="00135380">
      <w:pPr>
        <w:pStyle w:val="StandardWeb"/>
      </w:pPr>
      <w:r>
        <w:t>Für einen Parametervektor gilt</w:t>
      </w:r>
    </w:p>
    <w:p w:rsidR="00135380" w:rsidRDefault="00135380" w:rsidP="00135380">
      <w:pPr>
        <w:pStyle w:val="berschrift1"/>
      </w:pPr>
      <w:r>
        <w:t>[</w:t>
      </w:r>
      <w:r>
        <w:br/>
        <w:t>\mathbf{y}</w:t>
      </w:r>
    </w:p>
    <w:p w:rsidR="00135380" w:rsidRDefault="00135380" w:rsidP="00135380">
      <w:pPr>
        <w:pStyle w:val="StandardWeb"/>
      </w:pPr>
      <w:r>
        <w:t>Y_{\mathcal{O}}</w:t>
      </w:r>
      <w:r>
        <w:br/>
        <w:t>\left(</w:t>
      </w:r>
      <w:r>
        <w:br/>
        <w:t>\boldsymbol{\theta}_{\mathcal{O}}</w:t>
      </w:r>
      <w:r>
        <w:br/>
        <w:t>\right).</w:t>
      </w:r>
      <w:r>
        <w:br/>
        <w:t>\tag{3.6580}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\mathbf{y}=Y_{\mathcal{O}}\left(\boldsymbol{\theta}_{\mathcal{O}}\right)\qquad\text{(3.6580)}</w:t>
      </w:r>
    </w:p>
    <w:p w:rsidR="00135380" w:rsidRDefault="00135380" w:rsidP="00135380">
      <w:pPr>
        <w:pStyle w:val="StandardWeb"/>
      </w:pPr>
      <w:r>
        <w:t>Lokale Gradienten,</w:t>
      </w:r>
    </w:p>
    <w:p w:rsidR="00135380" w:rsidRDefault="00135380" w:rsidP="00135380">
      <w:pPr>
        <w:pStyle w:val="StandardWeb"/>
      </w:pPr>
      <w:r>
        <w:t>[</w:t>
      </w:r>
      <w:r>
        <w:br/>
        <w:t>\nabla_{\theta}</w:t>
      </w:r>
      <w:r>
        <w:br/>
        <w:t>Y_{\mathcal{O}}</w:t>
      </w:r>
      <w:r>
        <w:br/>
      </w:r>
      <w:r>
        <w:lastRenderedPageBreak/>
        <w:t>\tag{3.6581}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\nabla_{\theta}Y_{\mathcal{O}}\qquad\text{(3.6581)}</w:t>
      </w:r>
    </w:p>
    <w:p w:rsidR="00135380" w:rsidRDefault="00135380" w:rsidP="00135380">
      <w:pPr>
        <w:pStyle w:val="StandardWeb"/>
      </w:pPr>
      <w:r>
        <w:t>zeigen lokale Empfindlichkeiten.</w:t>
      </w:r>
    </w:p>
    <w:p w:rsidR="00135380" w:rsidRDefault="00135380" w:rsidP="00135380">
      <w:pPr>
        <w:pStyle w:val="StandardWeb"/>
      </w:pPr>
      <w:r>
        <w:t>Starke Nichtlinearitäten oder Diskontinuitäten der Ergebnislandschaft können auf besonders kritische Operationalisierungsentscheidungen hinweisen.</w:t>
      </w:r>
    </w:p>
    <w:p w:rsidR="00135380" w:rsidRDefault="00E50336" w:rsidP="00135380">
      <w:r>
        <w:pict>
          <v:rect id="_x0000_i1199" style="width:0;height:1.5pt" o:hralign="center" o:hrstd="t" o:hr="t" fillcolor="#a0a0a0" stroked="f"/>
        </w:pict>
      </w:r>
    </w:p>
    <w:p w:rsidR="00135380" w:rsidRDefault="00135380" w:rsidP="00135380">
      <w:pPr>
        <w:pStyle w:val="berschrift2"/>
      </w:pPr>
      <w:r>
        <w:t>3.3.39.58 Diskontinuierliche Operationalisierungsabhängigkeit</w:t>
      </w:r>
    </w:p>
    <w:p w:rsidR="00135380" w:rsidRDefault="00135380" w:rsidP="00135380">
      <w:pPr>
        <w:pStyle w:val="StandardWeb"/>
      </w:pPr>
      <w:r>
        <w:t>Eine Aussage kann bei kleinen Änderungen eines Parameters sprunghaft wechseln.</w:t>
      </w:r>
    </w:p>
    <w:p w:rsidR="00135380" w:rsidRDefault="00135380" w:rsidP="00135380">
      <w:pPr>
        <w:pStyle w:val="StandardWeb"/>
      </w:pPr>
      <w:r>
        <w:t>Seien</w:t>
      </w:r>
    </w:p>
    <w:p w:rsidR="00135380" w:rsidRDefault="00135380" w:rsidP="00135380">
      <w:pPr>
        <w:pStyle w:val="StandardWeb"/>
      </w:pPr>
      <w:r>
        <w:t>[</w:t>
      </w:r>
      <w:r>
        <w:br/>
        <w:t>\theta^{-}</w:t>
      </w:r>
      <w:r>
        <w:br/>
        <w:t>&lt;</w:t>
      </w:r>
      <w:r>
        <w:br/>
        <w:t>\theta^\ast</w:t>
      </w:r>
      <w:r>
        <w:br/>
        <w:t>&lt;</w:t>
      </w:r>
      <w:r>
        <w:br/>
        <w:t>\theta^{+}</w:t>
      </w:r>
      <w:r>
        <w:br/>
        <w:t>\tag{3.6582}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\theta^{-}&lt;\theta^{\ast}&lt;\theta^{+}\qquad\text{(3.6582)}</w:t>
      </w:r>
    </w:p>
    <w:p w:rsidR="00135380" w:rsidRDefault="00135380" w:rsidP="00135380">
      <w:pPr>
        <w:pStyle w:val="StandardWeb"/>
      </w:pPr>
      <w:r>
        <w:t>mit</w:t>
      </w:r>
    </w:p>
    <w:p w:rsidR="00135380" w:rsidRDefault="00135380" w:rsidP="00135380">
      <w:pPr>
        <w:pStyle w:val="StandardWeb"/>
      </w:pPr>
      <w:r>
        <w:t>[</w:t>
      </w:r>
      <w:r>
        <w:br/>
        <w:t>|\theta^{+}-\theta^{-}|</w:t>
      </w:r>
      <w:r>
        <w:br/>
        <w:t>\ll</w:t>
      </w:r>
      <w:r>
        <w:br/>
        <w:t>1.</w:t>
      </w:r>
      <w:r>
        <w:br/>
        <w:t>\tag{3.6583}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|\theta^{+}-\theta^{-}|\ll1\qquad\text{(3.6583)}</w:t>
      </w:r>
    </w:p>
    <w:p w:rsidR="00135380" w:rsidRDefault="00135380" w:rsidP="00135380">
      <w:pPr>
        <w:pStyle w:val="StandardWeb"/>
      </w:pPr>
      <w:r>
        <w:t>Wenn gleichzeitig</w:t>
      </w:r>
    </w:p>
    <w:p w:rsidR="00135380" w:rsidRDefault="00135380" w:rsidP="00135380">
      <w:pPr>
        <w:pStyle w:val="StandardWeb"/>
      </w:pPr>
      <w:r>
        <w:t>[</w:t>
      </w:r>
      <w:r>
        <w:br/>
        <w:t>\operatorname{Klasse}</w:t>
      </w:r>
      <w:r>
        <w:rPr>
          <w:rStyle w:val="Hervorhebung"/>
        </w:rPr>
        <w:t>{A}</w:t>
      </w:r>
      <w:r>
        <w:rPr>
          <w:i/>
          <w:iCs/>
        </w:rPr>
        <w:br/>
      </w:r>
      <w:r>
        <w:rPr>
          <w:rStyle w:val="Hervorhebung"/>
        </w:rPr>
        <w:lastRenderedPageBreak/>
        <w:t>\left(</w:t>
      </w:r>
      <w:r>
        <w:rPr>
          <w:i/>
          <w:iCs/>
        </w:rPr>
        <w:br/>
      </w:r>
      <w:r>
        <w:rPr>
          <w:rStyle w:val="Hervorhebung"/>
        </w:rPr>
        <w:t>A_F(\theta^{-})</w:t>
      </w:r>
      <w:r>
        <w:rPr>
          <w:i/>
          <w:iCs/>
        </w:rPr>
        <w:br/>
      </w:r>
      <w:r>
        <w:rPr>
          <w:rStyle w:val="Hervorhebung"/>
        </w:rPr>
        <w:t>\right)</w:t>
      </w:r>
      <w:r>
        <w:rPr>
          <w:i/>
          <w:iCs/>
        </w:rPr>
        <w:br/>
      </w:r>
      <w:r>
        <w:rPr>
          <w:rStyle w:val="Hervorhebung"/>
        </w:rPr>
        <w:t>\neq</w:t>
      </w:r>
      <w:r>
        <w:rPr>
          <w:i/>
          <w:iCs/>
        </w:rPr>
        <w:br/>
      </w:r>
      <w:r>
        <w:rPr>
          <w:rStyle w:val="Hervorhebung"/>
        </w:rPr>
        <w:t>\operatorname{Klasse}</w:t>
      </w:r>
      <w:r>
        <w:t>{A}</w:t>
      </w:r>
      <w:r>
        <w:br/>
        <w:t>\left(</w:t>
      </w:r>
      <w:r>
        <w:br/>
        <w:t>A_F(\theta^{+})</w:t>
      </w:r>
      <w:r>
        <w:br/>
        <w:t>\right),</w:t>
      </w:r>
      <w:r>
        <w:br/>
        <w:t>\tag{3.6584}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\operatorname{Klasse}_{A}\left(A_F(\theta^{-})\right)\neq\operatorname{Klasse}_{A}\left(A_F(\theta^{+})\right)\qquad\text{(3.6584)}</w:t>
      </w:r>
    </w:p>
    <w:p w:rsidR="00135380" w:rsidRDefault="00135380" w:rsidP="00135380">
      <w:pPr>
        <w:pStyle w:val="StandardWeb"/>
      </w:pPr>
      <w:r>
        <w:t>liegt eine kritische Operationalisierungsgrenze vor.</w:t>
      </w:r>
    </w:p>
    <w:p w:rsidR="00135380" w:rsidRDefault="00135380" w:rsidP="00135380">
      <w:pPr>
        <w:pStyle w:val="StandardWeb"/>
      </w:pPr>
      <w:r>
        <w:t>Eine wissenschaftliche Aussage nahe einer solchen Grenze muss besonders vorsichtig interpretiert werden.</w:t>
      </w:r>
    </w:p>
    <w:p w:rsidR="00135380" w:rsidRDefault="00E50336" w:rsidP="00135380">
      <w:r>
        <w:pict>
          <v:rect id="_x0000_i1200" style="width:0;height:1.5pt" o:hralign="center" o:hrstd="t" o:hr="t" fillcolor="#a0a0a0" stroked="f"/>
        </w:pict>
      </w:r>
    </w:p>
    <w:p w:rsidR="00135380" w:rsidRDefault="00135380" w:rsidP="00135380">
      <w:pPr>
        <w:pStyle w:val="berschrift2"/>
      </w:pPr>
      <w:r>
        <w:t>3.3.39.59 Operationalisierungsrobustheit und Falsifizierbarkeit</w:t>
      </w:r>
    </w:p>
    <w:p w:rsidR="00135380" w:rsidRDefault="00135380" w:rsidP="00135380">
      <w:pPr>
        <w:pStyle w:val="StandardWeb"/>
      </w:pPr>
      <w:r>
        <w:t>Auch die Falsifizierbarkeit einer Aussage kann von ihrer Operationalisierung abhängen.</w:t>
      </w:r>
    </w:p>
    <w:p w:rsidR="00135380" w:rsidRDefault="00135380" w:rsidP="00135380">
      <w:pPr>
        <w:pStyle w:val="StandardWeb"/>
      </w:pPr>
      <w:r>
        <w:t>Die Menge widerlegungsrelevanter Beobachtungen unter Operationalisierung (j) sei</w:t>
      </w:r>
    </w:p>
    <w:p w:rsidR="00135380" w:rsidRDefault="00135380" w:rsidP="00135380">
      <w:pPr>
        <w:pStyle w:val="StandardWeb"/>
      </w:pPr>
      <w:r>
        <w:t>[</w:t>
      </w:r>
      <w:r>
        <w:br/>
        <w:t>\mathfrak{D}_{\neg A}^{(j)}.</w:t>
      </w:r>
      <w:r>
        <w:br/>
        <w:t>\tag{3.6585}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\mathfrak{D}_{\neg A}^{(j)}\qquad\text{(3.6585)}</w:t>
      </w:r>
    </w:p>
    <w:p w:rsidR="00135380" w:rsidRDefault="00135380" w:rsidP="00135380">
      <w:pPr>
        <w:pStyle w:val="StandardWeb"/>
      </w:pPr>
      <w:r>
        <w:t>Für eine robuste wissenschaftliche Aussage sollte die Widerlegungsstruktur nicht beliebig mit der Operationalisierung verschwinden.</w:t>
      </w:r>
    </w:p>
    <w:p w:rsidR="00135380" w:rsidRDefault="00135380" w:rsidP="00135380">
      <w:pPr>
        <w:pStyle w:val="StandardWeb"/>
      </w:pPr>
      <w:r>
        <w:t>Eine problematische Situation wäre</w:t>
      </w:r>
    </w:p>
    <w:p w:rsidR="00135380" w:rsidRDefault="00135380" w:rsidP="00135380">
      <w:pPr>
        <w:pStyle w:val="StandardWeb"/>
      </w:pPr>
      <w:r>
        <w:t>[</w:t>
      </w:r>
      <w:r>
        <w:br/>
        <w:t>\mathfrak{D}_{\neg A}^{(1)}</w:t>
      </w:r>
      <w:r>
        <w:br/>
        <w:t>\neq</w:t>
      </w:r>
      <w:r>
        <w:br/>
        <w:t>\emptyset</w:t>
      </w:r>
      <w:r>
        <w:br/>
        <w:t>\tag{3.6586}</w:t>
      </w:r>
      <w:r>
        <w:br/>
        <w:t>]</w:t>
      </w:r>
    </w:p>
    <w:p w:rsidR="00135380" w:rsidRDefault="00135380" w:rsidP="00135380">
      <w:pPr>
        <w:pStyle w:val="StandardWeb"/>
      </w:pPr>
      <w:r>
        <w:rPr>
          <w:rStyle w:val="Fett"/>
        </w:rPr>
        <w:lastRenderedPageBreak/>
        <w:t>Word-LaTeX</w:t>
      </w:r>
    </w:p>
    <w:p w:rsidR="00135380" w:rsidRDefault="00135380" w:rsidP="00135380">
      <w:pPr>
        <w:pStyle w:val="HTMLVorformatiert"/>
        <w:rPr>
          <w:rStyle w:val="HTMLCode"/>
        </w:rPr>
      </w:pPr>
      <w:r>
        <w:rPr>
          <w:rStyle w:val="HTMLCode"/>
        </w:rPr>
        <w:t>\mathfrak{D}_{\neg A}^{(1)}\neq\emptyset\qquad\text{(3.6586)}</w:t>
      </w:r>
    </w:p>
    <w:p w:rsidR="00135380" w:rsidRDefault="00135380" w:rsidP="00135380">
      <w:pPr>
        <w:pStyle w:val="StandardWeb"/>
      </w:pPr>
      <w:r>
        <w:t>bei gleichzeitig</w:t>
      </w:r>
    </w:p>
    <w:p w:rsidR="00135380" w:rsidRDefault="00135380" w:rsidP="00135380">
      <w:pPr>
        <w:pStyle w:val="berschrift1"/>
      </w:pPr>
      <w:r>
        <w:t>[</w:t>
      </w:r>
      <w:r>
        <w:br/>
        <w:t>\mathfrak{D}_{\neg A}^{(2)}</w:t>
      </w:r>
    </w:p>
    <w:p w:rsidR="00135380" w:rsidRDefault="00135380" w:rsidP="00135380">
      <w:pPr>
        <w:pStyle w:val="StandardWeb"/>
      </w:pPr>
      <w:r>
        <w:t>\emptyset.</w:t>
      </w:r>
      <w:r>
        <w:br/>
        <w:t>\tag{3.6587}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\mathfrak{D}_{\neg A}^{(2)}=\emptyset\qquad\text{(3.6587)}</w:t>
      </w:r>
    </w:p>
    <w:p w:rsidR="00135380" w:rsidRDefault="00135380" w:rsidP="00135380">
      <w:pPr>
        <w:pStyle w:val="StandardWeb"/>
      </w:pPr>
      <w:r>
        <w:t>wenn die zweite Operationalisierung lediglich deshalb gewählt wurde, weil sie die Aussage gegen Widerlegung immunisiert.</w:t>
      </w:r>
    </w:p>
    <w:p w:rsidR="00135380" w:rsidRDefault="00135380" w:rsidP="00135380">
      <w:pPr>
        <w:pStyle w:val="StandardWeb"/>
      </w:pPr>
      <w:r>
        <w:t>Operationalisierung darf somit nicht dazu verwendet werden, Falsifizierbarkeit nachträglich zu beseitigen [58, 79].</w:t>
      </w:r>
    </w:p>
    <w:p w:rsidR="00135380" w:rsidRDefault="00E50336" w:rsidP="00135380">
      <w:r>
        <w:pict>
          <v:rect id="_x0000_i1201" style="width:0;height:1.5pt" o:hralign="center" o:hrstd="t" o:hr="t" fillcolor="#a0a0a0" stroked="f"/>
        </w:pict>
      </w:r>
    </w:p>
    <w:p w:rsidR="00135380" w:rsidRDefault="00135380" w:rsidP="00135380">
      <w:pPr>
        <w:pStyle w:val="berschrift2"/>
      </w:pPr>
      <w:r>
        <w:t>3.3.39.60 Operationalisierungsrobustheit und Transportierbarkeit</w:t>
      </w:r>
    </w:p>
    <w:p w:rsidR="00135380" w:rsidRDefault="00135380" w:rsidP="00135380">
      <w:pPr>
        <w:pStyle w:val="StandardWeb"/>
      </w:pPr>
      <w:r>
        <w:t>Die in Abschnitt 3.3.38 entwickelte Transportierbarkeit hängt ebenfalls von Operationalisierungsentscheidungen ab.</w:t>
      </w:r>
    </w:p>
    <w:p w:rsidR="00135380" w:rsidRDefault="00135380" w:rsidP="00135380">
      <w:pPr>
        <w:pStyle w:val="StandardWeb"/>
      </w:pPr>
      <w:r>
        <w:t>Eine Aussage kann im Quell- und Zielkontext unterschiedlich operationalisiert werden:</w:t>
      </w:r>
    </w:p>
    <w:p w:rsidR="00135380" w:rsidRDefault="00135380" w:rsidP="00135380">
      <w:pPr>
        <w:pStyle w:val="StandardWeb"/>
      </w:pPr>
      <w:r>
        <w:t>[</w:t>
      </w:r>
      <w:r>
        <w:br/>
        <w:t>\mathcal{O}^{(S)}</w:t>
      </w:r>
      <w:r>
        <w:br/>
        <w:t>\neq</w:t>
      </w:r>
      <w:r>
        <w:br/>
        <w:t>\mathcal{O}^{(Z)}.</w:t>
      </w:r>
      <w:r>
        <w:br/>
        <w:t>\tag{3.6588}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\mathcal{O}^{(S)}\neq\mathcal{O}^{(Z)}\qquad\text{(3.6588)}</w:t>
      </w:r>
    </w:p>
    <w:p w:rsidR="00135380" w:rsidRDefault="00135380" w:rsidP="00135380">
      <w:pPr>
        <w:pStyle w:val="StandardWeb"/>
      </w:pPr>
      <w:r>
        <w:t>Dann muss zusätzlich geprüft werden, ob beide Operationalisierungen bezüglich der transportierten Aussage äquivalent sind:</w:t>
      </w:r>
    </w:p>
    <w:p w:rsidR="00135380" w:rsidRDefault="00135380" w:rsidP="00135380">
      <w:pPr>
        <w:pStyle w:val="StandardWeb"/>
      </w:pPr>
      <w:r>
        <w:t>[</w:t>
      </w:r>
      <w:r>
        <w:br/>
        <w:t>\mathcal{O}^{(S)}</w:t>
      </w:r>
      <w:r>
        <w:br/>
      </w:r>
      <w:r>
        <w:lastRenderedPageBreak/>
        <w:t>\sim_A</w:t>
      </w:r>
      <w:r>
        <w:br/>
        <w:t>\mathcal{O}^{(Z)}.</w:t>
      </w:r>
      <w:r>
        <w:br/>
        <w:t>\tag{3.6589}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\mathcal{O}^{(S)}\sim_A\mathcal{O}^{(Z)}\qquad\text{(3.6589)}</w:t>
      </w:r>
    </w:p>
    <w:p w:rsidR="00135380" w:rsidRDefault="00135380" w:rsidP="00135380">
      <w:pPr>
        <w:pStyle w:val="StandardWeb"/>
      </w:pPr>
      <w:r>
        <w:t>Damit wird deutlich, dass Transportierbarkeit und Operationalisierungsrobustheit miteinander verschränkt sind.</w:t>
      </w:r>
    </w:p>
    <w:p w:rsidR="00135380" w:rsidRDefault="00135380" w:rsidP="00135380">
      <w:pPr>
        <w:pStyle w:val="StandardWeb"/>
      </w:pPr>
      <w:r>
        <w:t>Eine vermeintliche Kontextdifferenz kann tatsächlich aus unterschiedlichen Messrepräsentationen entstehen; umgekehrt kann eine scheinbare Übereinstimmung durch unterschiedlich verzerrende Operationalisierungen erzeugt werden.</w:t>
      </w:r>
    </w:p>
    <w:p w:rsidR="00135380" w:rsidRDefault="00E50336" w:rsidP="00135380">
      <w:r>
        <w:pict>
          <v:rect id="_x0000_i1202" style="width:0;height:1.5pt" o:hralign="center" o:hrstd="t" o:hr="t" fillcolor="#a0a0a0" stroked="f"/>
        </w:pict>
      </w:r>
    </w:p>
    <w:p w:rsidR="00135380" w:rsidRDefault="00135380" w:rsidP="00135380">
      <w:pPr>
        <w:pStyle w:val="berschrift2"/>
      </w:pPr>
      <w:r>
        <w:t>3.3.39.61 Operationalisierungsrobustheit und Kausalität</w:t>
      </w:r>
    </w:p>
    <w:p w:rsidR="00135380" w:rsidRDefault="00135380" w:rsidP="00135380">
      <w:pPr>
        <w:pStyle w:val="StandardWeb"/>
      </w:pPr>
      <w:r>
        <w:t>Für kausale Aussagen ist zusätzlich zu prüfen, ob Ursache und Wirkung in Quell- und Vergleichsanalysen semantisch und empirisch äquivalent operationalisiert wurden.</w:t>
      </w:r>
    </w:p>
    <w:p w:rsidR="00135380" w:rsidRDefault="00135380" w:rsidP="00135380">
      <w:pPr>
        <w:pStyle w:val="StandardWeb"/>
      </w:pPr>
      <w:r>
        <w:t>Sei</w:t>
      </w:r>
    </w:p>
    <w:p w:rsidR="00135380" w:rsidRDefault="00135380" w:rsidP="00135380">
      <w:pPr>
        <w:pStyle w:val="berschrift1"/>
      </w:pPr>
      <w:r>
        <w:t>[</w:t>
      </w:r>
      <w:r>
        <w:br/>
        <w:t>X^{(1)}</w:t>
      </w:r>
    </w:p>
    <w:p w:rsidR="00135380" w:rsidRDefault="00135380" w:rsidP="00135380">
      <w:pPr>
        <w:pStyle w:val="StandardWeb"/>
      </w:pPr>
      <w:r>
        <w:t>\mathcal{O}</w:t>
      </w:r>
      <w:r>
        <w:rPr>
          <w:rStyle w:val="Hervorhebung"/>
        </w:rPr>
        <w:t>{X}^{(1)}</w:t>
      </w:r>
      <w:r>
        <w:rPr>
          <w:i/>
          <w:iCs/>
        </w:rPr>
        <w:br/>
      </w:r>
      <w:r>
        <w:rPr>
          <w:rStyle w:val="Hervorhebung"/>
        </w:rPr>
        <w:t>\left(</w:t>
      </w:r>
      <w:r>
        <w:rPr>
          <w:i/>
          <w:iCs/>
        </w:rPr>
        <w:br/>
      </w:r>
      <w:r>
        <w:rPr>
          <w:rStyle w:val="Hervorhebung"/>
        </w:rPr>
        <w:t>\mathcal{K}</w:t>
      </w:r>
      <w:r>
        <w:t>{X}</w:t>
      </w:r>
      <w:r>
        <w:br/>
        <w:t>\right)</w:t>
      </w:r>
      <w:r>
        <w:br/>
        <w:t>\tag{3.6590}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X^{(1)}=\mathcal{O}_{X}^{(1)}\left(\mathcal{K}_{X}\right)\qquad\text{(3.6590)}</w:t>
      </w:r>
    </w:p>
    <w:p w:rsidR="00135380" w:rsidRDefault="00135380" w:rsidP="00135380">
      <w:pPr>
        <w:pStyle w:val="StandardWeb"/>
      </w:pPr>
      <w:r>
        <w:t>und</w:t>
      </w:r>
    </w:p>
    <w:p w:rsidR="00135380" w:rsidRDefault="00135380" w:rsidP="00135380">
      <w:pPr>
        <w:pStyle w:val="berschrift1"/>
      </w:pPr>
      <w:r>
        <w:t>[</w:t>
      </w:r>
      <w:r>
        <w:br/>
        <w:t>X^{(2)}</w:t>
      </w:r>
    </w:p>
    <w:p w:rsidR="00135380" w:rsidRDefault="00135380" w:rsidP="00135380">
      <w:pPr>
        <w:pStyle w:val="StandardWeb"/>
      </w:pPr>
      <w:r>
        <w:t>\mathcal{O}</w:t>
      </w:r>
      <w:r>
        <w:rPr>
          <w:rStyle w:val="Hervorhebung"/>
        </w:rPr>
        <w:t>{X}^{(2)}</w:t>
      </w:r>
      <w:r>
        <w:rPr>
          <w:i/>
          <w:iCs/>
        </w:rPr>
        <w:br/>
      </w:r>
      <w:r>
        <w:rPr>
          <w:rStyle w:val="Hervorhebung"/>
        </w:rPr>
        <w:t>\left(</w:t>
      </w:r>
      <w:r>
        <w:rPr>
          <w:i/>
          <w:iCs/>
        </w:rPr>
        <w:br/>
      </w:r>
      <w:r>
        <w:rPr>
          <w:rStyle w:val="Hervorhebung"/>
        </w:rPr>
        <w:t>\mathcal{K}</w:t>
      </w:r>
      <w:r>
        <w:t>{X}</w:t>
      </w:r>
      <w:r>
        <w:br/>
      </w:r>
      <w:r>
        <w:lastRenderedPageBreak/>
        <w:t>\right).</w:t>
      </w:r>
      <w:r>
        <w:br/>
        <w:t>\tag{3.6591}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X^{(2)}=\mathcal{O}_{X}^{(2)}\left(\mathcal{K}_{X}\right)\qquad\text{(3.6591)}</w:t>
      </w:r>
    </w:p>
    <w:p w:rsidR="00135380" w:rsidRDefault="00135380" w:rsidP="00135380">
      <w:pPr>
        <w:pStyle w:val="StandardWeb"/>
      </w:pPr>
      <w:r>
        <w:t>Sind beide Operationalisierungen nicht äquivalent,</w:t>
      </w:r>
    </w:p>
    <w:p w:rsidR="00135380" w:rsidRDefault="00135380" w:rsidP="00135380">
      <w:pPr>
        <w:pStyle w:val="StandardWeb"/>
      </w:pPr>
      <w:r>
        <w:t>[</w:t>
      </w:r>
      <w:r>
        <w:br/>
        <w:t>\mathcal{O}</w:t>
      </w:r>
      <w:r>
        <w:rPr>
          <w:rStyle w:val="Hervorhebung"/>
        </w:rPr>
        <w:t>{X}^{(1)}</w:t>
      </w:r>
      <w:r>
        <w:rPr>
          <w:i/>
          <w:iCs/>
        </w:rPr>
        <w:br/>
      </w:r>
      <w:r>
        <w:rPr>
          <w:rStyle w:val="Hervorhebung"/>
        </w:rPr>
        <w:t>\not\sim</w:t>
      </w:r>
      <w:r>
        <w:rPr>
          <w:i/>
          <w:iCs/>
        </w:rPr>
        <w:br/>
      </w:r>
      <w:r>
        <w:rPr>
          <w:rStyle w:val="Hervorhebung"/>
        </w:rPr>
        <w:t>\mathcal{O}</w:t>
      </w:r>
      <w:r>
        <w:t>{X}^{(2)},</w:t>
      </w:r>
      <w:r>
        <w:br/>
        <w:t>\tag{3.6592}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\mathcal{O}_{X}^{(1)}\not\sim\mathcal{O}_{X}^{(2)}\qquad\text{(3.6592)}</w:t>
      </w:r>
    </w:p>
    <w:p w:rsidR="00135380" w:rsidRDefault="00135380" w:rsidP="00135380">
      <w:pPr>
        <w:pStyle w:val="StandardWeb"/>
      </w:pPr>
      <w:r>
        <w:t>können unterschiedliche kausale Effekte bereits daraus entstehen, dass faktisch verschiedene Konstrukte behandelt werden.</w:t>
      </w:r>
    </w:p>
    <w:p w:rsidR="00135380" w:rsidRDefault="00E50336" w:rsidP="00135380">
      <w:r>
        <w:pict>
          <v:rect id="_x0000_i1203" style="width:0;height:1.5pt" o:hralign="center" o:hrstd="t" o:hr="t" fillcolor="#a0a0a0" stroked="f"/>
        </w:pict>
      </w:r>
    </w:p>
    <w:p w:rsidR="00135380" w:rsidRDefault="00135380" w:rsidP="00135380">
      <w:pPr>
        <w:pStyle w:val="berschrift2"/>
      </w:pPr>
      <w:r>
        <w:t>3.3.39.62 Robustheitshierarchie</w:t>
      </w:r>
    </w:p>
    <w:p w:rsidR="00135380" w:rsidRDefault="00135380" w:rsidP="00135380">
      <w:pPr>
        <w:pStyle w:val="StandardWeb"/>
      </w:pPr>
      <w:r>
        <w:t>Aus den bisherigen Überlegungen ergibt sich eine Hierarchie zunehmender Robustheit.</w:t>
      </w:r>
    </w:p>
    <w:p w:rsidR="00135380" w:rsidRDefault="00135380" w:rsidP="00135380">
      <w:pPr>
        <w:pStyle w:val="StandardWeb"/>
      </w:pPr>
      <w:r>
        <w:t>Eine einzelne stabile Operationalisierung liefert</w:t>
      </w:r>
    </w:p>
    <w:p w:rsidR="00135380" w:rsidRDefault="00135380" w:rsidP="00135380">
      <w:pPr>
        <w:pStyle w:val="StandardWeb"/>
      </w:pPr>
      <w:r>
        <w:t>[</w:t>
      </w:r>
      <w:r>
        <w:br/>
        <w:t>R_1.</w:t>
      </w:r>
      <w:r>
        <w:br/>
        <w:t>\tag{3.6593}</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R_1\qquad\text{(3.6593)}</w:t>
      </w:r>
    </w:p>
    <w:p w:rsidR="00135380" w:rsidRDefault="00135380" w:rsidP="00135380">
      <w:pPr>
        <w:pStyle w:val="StandardWeb"/>
      </w:pPr>
      <w:r>
        <w:t>Mehrere ähnliche Operationalisierungen liefern</w:t>
      </w:r>
    </w:p>
    <w:p w:rsidR="00135380" w:rsidRDefault="00135380" w:rsidP="00135380">
      <w:pPr>
        <w:pStyle w:val="StandardWeb"/>
      </w:pPr>
      <w:r>
        <w:t>[</w:t>
      </w:r>
      <w:r>
        <w:br/>
        <w:t>R_2.</w:t>
      </w:r>
      <w:r>
        <w:br/>
        <w:t>\tag{3.6594}</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R_2\qquad\text{(3.6594)}</w:t>
      </w:r>
    </w:p>
    <w:p w:rsidR="00135380" w:rsidRDefault="00135380" w:rsidP="00135380">
      <w:pPr>
        <w:pStyle w:val="StandardWeb"/>
      </w:pPr>
      <w:r>
        <w:lastRenderedPageBreak/>
        <w:t>Methodisch unterschiedliche konvergierende Operationalisierungen liefern</w:t>
      </w:r>
    </w:p>
    <w:p w:rsidR="00135380" w:rsidRDefault="00135380" w:rsidP="00135380">
      <w:pPr>
        <w:pStyle w:val="StandardWeb"/>
      </w:pPr>
      <w:r>
        <w:t>[</w:t>
      </w:r>
      <w:r>
        <w:br/>
        <w:t>R_3.</w:t>
      </w:r>
      <w:r>
        <w:br/>
        <w:t>\tag{3.6595}</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R_3\qquad\text{(3.6595)}</w:t>
      </w:r>
    </w:p>
    <w:p w:rsidR="00135380" w:rsidRDefault="00135380" w:rsidP="00135380">
      <w:pPr>
        <w:pStyle w:val="StandardWeb"/>
      </w:pPr>
      <w:r>
        <w:t>mit der qualitativen Ordnung</w:t>
      </w:r>
    </w:p>
    <w:p w:rsidR="00135380" w:rsidRDefault="00135380" w:rsidP="00135380">
      <w:pPr>
        <w:pStyle w:val="StandardWeb"/>
      </w:pPr>
      <w:r>
        <w:t>[</w:t>
      </w:r>
      <w:r>
        <w:br/>
        <w:t>R_1</w:t>
      </w:r>
      <w:r>
        <w:br/>
        <w:t>&lt;</w:t>
      </w:r>
      <w:r>
        <w:br/>
        <w:t>R_2</w:t>
      </w:r>
      <w:r>
        <w:br/>
        <w:t>&lt;</w:t>
      </w:r>
      <w:r>
        <w:br/>
        <w:t>R_3.</w:t>
      </w:r>
      <w:r>
        <w:br/>
        <w:t>\tag{3.6596}</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R_1&lt;R_2&lt;R_3\qquad\text{(3.6596)}</w:t>
      </w:r>
    </w:p>
    <w:p w:rsidR="00135380" w:rsidRDefault="00135380" w:rsidP="00135380">
      <w:pPr>
        <w:pStyle w:val="StandardWeb"/>
      </w:pPr>
      <w:r>
        <w:t>Diese Ordnung ist keine universelle numerische Skala, sondern beschreibt eine methodische Evidenzhierarchie.</w:t>
      </w:r>
    </w:p>
    <w:p w:rsidR="00135380" w:rsidRDefault="00E50336" w:rsidP="00135380">
      <w:r>
        <w:pict>
          <v:rect id="_x0000_i1204" style="width:0;height:1.5pt" o:hralign="center" o:hrstd="t" o:hr="t" fillcolor="#a0a0a0" stroked="f"/>
        </w:pict>
      </w:r>
    </w:p>
    <w:p w:rsidR="00135380" w:rsidRDefault="00135380" w:rsidP="00135380">
      <w:pPr>
        <w:pStyle w:val="berschrift2"/>
      </w:pPr>
      <w:r>
        <w:t>3.3.39.63 Operationalisierungsrobustheitsprüfung als Algorithmus</w:t>
      </w:r>
    </w:p>
    <w:p w:rsidR="00135380" w:rsidRDefault="00135380" w:rsidP="00135380">
      <w:pPr>
        <w:pStyle w:val="StandardWeb"/>
      </w:pPr>
      <w:r>
        <w:t>Die Prüfung kann als wiederholter Ablauf formuliert werden.</w:t>
      </w:r>
    </w:p>
    <w:p w:rsidR="00135380" w:rsidRDefault="00135380" w:rsidP="00135380">
      <w:pPr>
        <w:pStyle w:val="StandardWeb"/>
      </w:pPr>
      <w:r>
        <w:t>Zunächst wird das theoretische Konzept bestimmt:</w:t>
      </w:r>
    </w:p>
    <w:p w:rsidR="00135380" w:rsidRDefault="00135380" w:rsidP="00135380">
      <w:pPr>
        <w:pStyle w:val="StandardWeb"/>
      </w:pPr>
      <w:r>
        <w:t>[</w:t>
      </w:r>
      <w:r>
        <w:br/>
        <w:t>\mathcal{K}_{F}.</w:t>
      </w:r>
      <w:r>
        <w:br/>
        <w:t>\tag{3.6597}</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\mathcal{K}_{F}\qquad\text{(3.6597)}</w:t>
      </w:r>
    </w:p>
    <w:p w:rsidR="00135380" w:rsidRDefault="00135380" w:rsidP="00135380">
      <w:pPr>
        <w:pStyle w:val="StandardWeb"/>
      </w:pPr>
      <w:r>
        <w:t>Danach wird die zulässige Operationalisierungsmenge festgelegt:</w:t>
      </w:r>
    </w:p>
    <w:p w:rsidR="00135380" w:rsidRDefault="00135380" w:rsidP="00135380">
      <w:pPr>
        <w:pStyle w:val="StandardWeb"/>
      </w:pPr>
      <w:r>
        <w:t>[</w:t>
      </w:r>
      <w:r>
        <w:br/>
        <w:t>\mathfrak{O}</w:t>
      </w:r>
      <w:r>
        <w:br/>
      </w:r>
      <w:r>
        <w:lastRenderedPageBreak/>
        <w:t>\left(</w:t>
      </w:r>
      <w:r>
        <w:br/>
        <w:t>\mathcal{K}_{F}</w:t>
      </w:r>
      <w:r>
        <w:br/>
        <w:t>\right).</w:t>
      </w:r>
      <w:r>
        <w:br/>
        <w:t>\tag{3.6598}</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\mathfrak{O}\left(\mathcal{K}_{F}\right)\qquad\text{(3.6598)}</w:t>
      </w:r>
    </w:p>
    <w:p w:rsidR="00135380" w:rsidRDefault="00135380" w:rsidP="00135380">
      <w:pPr>
        <w:pStyle w:val="StandardWeb"/>
      </w:pPr>
      <w:r>
        <w:t>Für jede Operationalisierung wird die Aussage bestimmt:</w:t>
      </w:r>
    </w:p>
    <w:p w:rsidR="00135380" w:rsidRDefault="00135380" w:rsidP="00135380">
      <w:pPr>
        <w:pStyle w:val="berschrift1"/>
      </w:pPr>
      <w:r>
        <w:t>[</w:t>
      </w:r>
      <w:r>
        <w:br/>
        <w:t>A_F^{(j)}</w:t>
      </w:r>
    </w:p>
    <w:p w:rsidR="00135380" w:rsidRDefault="00135380" w:rsidP="00135380">
      <w:pPr>
        <w:pStyle w:val="StandardWeb"/>
      </w:pPr>
      <w:r>
        <w:t>A_F</w:t>
      </w:r>
      <w:r>
        <w:br/>
        <w:t>\left(</w:t>
      </w:r>
      <w:r>
        <w:br/>
        <w:t>\mathcal{O}_j</w:t>
      </w:r>
      <w:r>
        <w:br/>
        <w:t>\right).</w:t>
      </w:r>
      <w:r>
        <w:br/>
        <w:t>\tag{3.6599}</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A_F^{(j)}=A_F\left(\mathcal{O}_j\right)\qquad\text{(3.6599)}</w:t>
      </w:r>
    </w:p>
    <w:p w:rsidR="00135380" w:rsidRDefault="00135380" w:rsidP="00135380">
      <w:pPr>
        <w:pStyle w:val="StandardWeb"/>
      </w:pPr>
      <w:r>
        <w:t>Anschließend werden Äquivalenzen, Sensitivitäten und Unsicherheiten verglichen.</w:t>
      </w:r>
    </w:p>
    <w:p w:rsidR="00135380" w:rsidRDefault="00135380" w:rsidP="00135380">
      <w:pPr>
        <w:pStyle w:val="StandardWeb"/>
      </w:pPr>
      <w:r>
        <w:t>Der abstrakte Prüfoperator lautet</w:t>
      </w:r>
    </w:p>
    <w:p w:rsidR="00135380" w:rsidRDefault="00135380" w:rsidP="00135380">
      <w:pPr>
        <w:pStyle w:val="StandardWeb"/>
      </w:pPr>
      <w:r>
        <w:t>[</w:t>
      </w:r>
      <w:r>
        <w:br/>
        <w:t>\mathcal{A}</w:t>
      </w:r>
      <w:r>
        <w:rPr>
          <w:rStyle w:val="Hervorhebung"/>
        </w:rPr>
        <w:t>{\mathrm{ORob}}</w:t>
      </w:r>
      <w:r>
        <w:rPr>
          <w:i/>
          <w:iCs/>
        </w:rPr>
        <w:br/>
      </w:r>
      <w:r>
        <w:rPr>
          <w:rStyle w:val="Hervorhebung"/>
        </w:rPr>
        <w:t>:</w:t>
      </w:r>
      <w:r>
        <w:rPr>
          <w:i/>
          <w:iCs/>
        </w:rPr>
        <w:br/>
      </w:r>
      <w:r>
        <w:rPr>
          <w:rStyle w:val="Hervorhebung"/>
        </w:rPr>
        <w:t>\left(</w:t>
      </w:r>
      <w:r>
        <w:rPr>
          <w:i/>
          <w:iCs/>
        </w:rPr>
        <w:br/>
      </w:r>
      <w:r>
        <w:rPr>
          <w:rStyle w:val="Hervorhebung"/>
        </w:rPr>
        <w:t>\mathcal{K}</w:t>
      </w:r>
      <w:r>
        <w:t>{F},</w:t>
      </w:r>
      <w:r>
        <w:br/>
        <w:t>\mathfrak{O},</w:t>
      </w:r>
      <w:r>
        <w:br/>
        <w:t>\mathcal{D}</w:t>
      </w:r>
      <w:r>
        <w:br/>
        <w:t>\right)</w:t>
      </w:r>
      <w:r>
        <w:br/>
        <w:t>\longrightarrow</w:t>
      </w:r>
      <w:r>
        <w:br/>
        <w:t>\left(</w:t>
      </w:r>
      <w:r>
        <w:br/>
        <w:t>R_{\mathcal{O}},</w:t>
      </w:r>
      <w:r>
        <w:br/>
        <w:t>\operatorname{Klasse}</w:t>
      </w:r>
      <w:r>
        <w:rPr>
          <w:rStyle w:val="Hervorhebung"/>
        </w:rPr>
        <w:t>{\mathcal{O}},</w:t>
      </w:r>
      <w:r>
        <w:rPr>
          <w:i/>
          <w:iCs/>
        </w:rPr>
        <w:br/>
      </w:r>
      <w:r>
        <w:rPr>
          <w:rStyle w:val="Hervorhebung"/>
        </w:rPr>
        <w:t>u</w:t>
      </w:r>
      <w:r>
        <w:t>{\mathcal{O}}</w:t>
      </w:r>
      <w:r>
        <w:br/>
        <w:t>\right).</w:t>
      </w:r>
      <w:r>
        <w:br/>
        <w:t>\tag{3.6600}</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lastRenderedPageBreak/>
        <w:t>\mathcal{A}_{\mathrm{ORob}}:\left(\mathcal{K}_{F},\mathfrak{O},\mathcal{D}\right)\longrightarrow\left(R_{\mathcal{O}},\operatorname{Klasse}_{\mathcal{O}},u_{\mathcal{O}}\right)\qquad\text{(3.6600)}</w:t>
      </w:r>
    </w:p>
    <w:p w:rsidR="00135380" w:rsidRDefault="00135380" w:rsidP="00135380">
      <w:pPr>
        <w:pStyle w:val="StandardWeb"/>
      </w:pPr>
      <w:r>
        <w:t>Damit kann die Operationalisierungsrobustheit später technisch reproduzierbar implementiert werden.</w:t>
      </w:r>
    </w:p>
    <w:p w:rsidR="00135380" w:rsidRDefault="00E50336" w:rsidP="00135380">
      <w:r>
        <w:pict>
          <v:rect id="_x0000_i1205" style="width:0;height:1.5pt" o:hralign="center" o:hrstd="t" o:hr="t" fillcolor="#a0a0a0" stroked="f"/>
        </w:pict>
      </w:r>
    </w:p>
    <w:p w:rsidR="00135380" w:rsidRDefault="00135380" w:rsidP="00135380">
      <w:pPr>
        <w:pStyle w:val="berschrift2"/>
      </w:pPr>
      <w:r>
        <w:t>3.3.39.64 Ergebnis der bisherigen Prüfung</w:t>
      </w:r>
    </w:p>
    <w:p w:rsidR="00135380" w:rsidRDefault="00135380" w:rsidP="00135380">
      <w:pPr>
        <w:pStyle w:val="StandardWeb"/>
      </w:pPr>
      <w:r>
        <w:t>Bis zu diesem Punkt zeigt sich bereits ein grundlegender Zusammenhang: Eine empirische FRZK-Aussage ist nicht allein durch Daten und mathematisches Modell bestimmt. Sie hängt zusätzlich von der Kette wissenschaftlicher Entscheidungen ab, durch die theoretische Konzepte in beobachtbare Größen überführt werden.</w:t>
      </w:r>
    </w:p>
    <w:p w:rsidR="00135380" w:rsidRDefault="00135380" w:rsidP="00135380">
      <w:pPr>
        <w:pStyle w:val="StandardWeb"/>
      </w:pPr>
      <w:r>
        <w:t>Diese Abhängigkeit kann formal zusammengefasst werden als</w:t>
      </w:r>
    </w:p>
    <w:p w:rsidR="00135380" w:rsidRDefault="00135380" w:rsidP="00135380">
      <w:pPr>
        <w:pStyle w:val="berschrift1"/>
      </w:pPr>
      <w:r>
        <w:t>[</w:t>
      </w:r>
      <w:r>
        <w:br/>
        <w:t>A_F</w:t>
      </w:r>
    </w:p>
    <w:p w:rsidR="00135380" w:rsidRDefault="00135380" w:rsidP="00135380">
      <w:pPr>
        <w:pStyle w:val="StandardWeb"/>
      </w:pPr>
      <w:r>
        <w:t>A_F</w:t>
      </w:r>
      <w:r>
        <w:br/>
        <w:t>\left(</w:t>
      </w:r>
      <w:r>
        <w:br/>
        <w:t>\mathcal{K}_{F},</w:t>
      </w:r>
      <w:r>
        <w:br/>
        <w:t>\mathcal{O},</w:t>
      </w:r>
      <w:r>
        <w:br/>
        <w:t>\mathcal{D},</w:t>
      </w:r>
      <w:r>
        <w:br/>
        <w:t>\mathcal{M}</w:t>
      </w:r>
      <w:r>
        <w:br/>
        <w:t>\right).</w:t>
      </w:r>
      <w:r>
        <w:br/>
        <w:t>\tag{3.6601}</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A_F=A_F\left(\mathcal{K}_{F},\mathcal{O},\mathcal{D},\mathcal{M}\right)\qquad\text{(3.6601)}</w:t>
      </w:r>
    </w:p>
    <w:p w:rsidR="00135380" w:rsidRDefault="00135380" w:rsidP="00135380">
      <w:pPr>
        <w:pStyle w:val="StandardWeb"/>
      </w:pPr>
      <w:r>
        <w:t>Dabei bezeichnet (\mathcal{M}) die verwendete Modellstruktur.</w:t>
      </w:r>
    </w:p>
    <w:p w:rsidR="00135380" w:rsidRDefault="00135380" w:rsidP="00135380">
      <w:pPr>
        <w:pStyle w:val="StandardWeb"/>
      </w:pPr>
      <w:r>
        <w:t>Ein Wechsel ausschließlich der Operationalisierung kann somit bereits eine andere Aussage hervorbringen:</w:t>
      </w:r>
    </w:p>
    <w:p w:rsidR="00135380" w:rsidRDefault="00135380" w:rsidP="00135380">
      <w:pPr>
        <w:pStyle w:val="StandardWeb"/>
      </w:pPr>
      <w:r>
        <w:t>[</w:t>
      </w:r>
      <w:r>
        <w:br/>
        <w:t>\mathcal{O}_1</w:t>
      </w:r>
      <w:r>
        <w:br/>
        <w:t>\neq</w:t>
      </w:r>
      <w:r>
        <w:br/>
        <w:t>\mathcal{O}_2</w:t>
      </w:r>
      <w:r>
        <w:br/>
        <w:t>\Rightarrow</w:t>
      </w:r>
      <w:r>
        <w:br/>
        <w:t>A_F^{(1)}</w:t>
      </w:r>
      <w:r>
        <w:br/>
        <w:t>\neq</w:t>
      </w:r>
      <w:r>
        <w:br/>
        <w:t>A_F^{(2)}</w:t>
      </w:r>
      <w:r>
        <w:br/>
        <w:t>\quad</w:t>
      </w:r>
      <w:r>
        <w:br/>
      </w:r>
      <w:r>
        <w:lastRenderedPageBreak/>
        <w:t>\text{möglich}.</w:t>
      </w:r>
      <w:r>
        <w:br/>
        <w:t>\tag{3.6602}</w:t>
      </w:r>
      <w:r>
        <w:br/>
        <w:t>]</w:t>
      </w:r>
    </w:p>
    <w:p w:rsidR="00135380" w:rsidRDefault="00135380" w:rsidP="00135380">
      <w:pPr>
        <w:pStyle w:val="StandardWeb"/>
      </w:pPr>
      <w:r>
        <w:rPr>
          <w:rStyle w:val="Fett"/>
        </w:rPr>
        <w:t>Word-LaTeX</w:t>
      </w:r>
    </w:p>
    <w:p w:rsidR="00135380" w:rsidRDefault="00135380" w:rsidP="00135380">
      <w:pPr>
        <w:pStyle w:val="HTMLVorformatiert"/>
        <w:rPr>
          <w:rStyle w:val="HTMLCode"/>
        </w:rPr>
      </w:pPr>
      <w:r>
        <w:rPr>
          <w:rStyle w:val="HTMLCode"/>
        </w:rPr>
        <w:t>\mathcal{O}_1\neq\mathcal{O}_2\Rightarrow A_F^{(1)}\neq A_F^{(2)}\quad\text{möglich}\qquad\text{(3.6602)}</w:t>
      </w:r>
    </w:p>
    <w:p w:rsidR="00135380" w:rsidRDefault="00135380" w:rsidP="00135380">
      <w:pPr>
        <w:pStyle w:val="StandardWeb"/>
      </w:pPr>
      <w:r>
        <w:t>Daraus folgt jedoch nicht, dass unterschiedliche Operationalisierungen grundsätzlich problematisch sind. Im Gegenteil: Gerade ihre systematische Variation ermöglicht die Prüfung, welche Bestandteile einer wissenschaftlichen Schlussfolgerung tatsächlich funktional stabil sind.</w:t>
      </w:r>
    </w:p>
    <w:p w:rsidR="00135380" w:rsidRDefault="00135380" w:rsidP="00135380">
      <w:pPr>
        <w:pStyle w:val="StandardWeb"/>
      </w:pPr>
      <w:r>
        <w:rPr>
          <w:rStyle w:val="Fett"/>
        </w:rPr>
        <w:t>Eigenleistung des FRZK</w:t>
      </w:r>
    </w:p>
    <w:p w:rsidR="00135380" w:rsidRDefault="00135380" w:rsidP="00135380">
      <w:pPr>
        <w:pStyle w:val="StandardWeb"/>
      </w:pPr>
      <w:r>
        <w:t>Mit der Operationalisierungsrobustheitsprüfung erweitere ich die bisherige Qualitätsarchitektur um eine Ebene, die zwischen theoretischem Konzept und empirischem Ergebnis liegt. Dadurch kann später für jede zentrale FRZK-Größe nachvollzogen werden, ob ein Befund eine Eigenschaft des untersuchten Systems oder lediglich eine Eigenschaft seiner gewählten empirischen Repräsentation ist.</w:t>
      </w:r>
    </w:p>
    <w:p w:rsidR="00135380" w:rsidRDefault="00135380" w:rsidP="00135380">
      <w:pPr>
        <w:pStyle w:val="StandardWeb"/>
      </w:pPr>
      <w:r>
        <w:t xml:space="preserve">Der Abschnitt ist damit mathematisch und methodisch weit entwickelt, aber </w:t>
      </w:r>
      <w:r>
        <w:rPr>
          <w:rStyle w:val="Fett"/>
        </w:rPr>
        <w:t>noch nicht abgeschlossen</w:t>
      </w:r>
      <w:r>
        <w:t xml:space="preserve">. Im nächsten Teil muss ich insbesondere noch die formale Verknüpfung von Operationalisierungsrobustheit mit Identifizierbarkeit, Unsicherheit, Falsifizierbarkeit und Repository-Abhängigkeiten vervollständigen und anschließend – verbindlich – die ausführlichen </w:t>
      </w:r>
      <w:r>
        <w:rPr>
          <w:rStyle w:val="Fett"/>
        </w:rPr>
        <w:t>Methodologischen Betrachtungen</w:t>
      </w:r>
      <w:r>
        <w:t xml:space="preserve">, </w:t>
      </w:r>
      <w:r>
        <w:rPr>
          <w:rStyle w:val="Fett"/>
        </w:rPr>
        <w:t>Didaktischen Betrachtungen</w:t>
      </w:r>
      <w:r>
        <w:t xml:space="preserve">, das </w:t>
      </w:r>
      <w:r>
        <w:rPr>
          <w:rStyle w:val="Fett"/>
        </w:rPr>
        <w:t>Ergebnis des Abschnitts</w:t>
      </w:r>
      <w:r>
        <w:t xml:space="preserve"> und den </w:t>
      </w:r>
      <w:r>
        <w:rPr>
          <w:rStyle w:val="Fett"/>
        </w:rPr>
        <w:t>Übergang zu 3.3.40</w:t>
      </w:r>
      <w:r>
        <w:t xml:space="preserve"> anfügen.</w:t>
      </w:r>
    </w:p>
    <w:p w:rsidR="00AE0E77" w:rsidRDefault="00AE0E77" w:rsidP="00AE0E77">
      <w:pPr>
        <w:pStyle w:val="berschrift2"/>
        <w:rPr>
          <w:rFonts w:cs="Times New Roman"/>
        </w:rPr>
      </w:pPr>
      <w:r>
        <w:t>3.3.39.65 Verknüpfung von Operationalisierungsrobustheit und Identifizierbarkeit</w:t>
      </w:r>
    </w:p>
    <w:p w:rsidR="00AE0E77" w:rsidRDefault="00AE0E77" w:rsidP="00AE0E77">
      <w:pPr>
        <w:pStyle w:val="StandardWeb"/>
      </w:pPr>
      <w:r>
        <w:t>Die bisherige Analyse zeigt, dass unterschiedliche Operationalisierungen desselben theoretischen Konzeptes zu unterschiedlichen empirischen Repräsentationen führen können. Damit stellt sich unmittelbar die Frage, ob ein theoretisch interessierender funktionaler Parameter unabhängig von der gewählten Operationalisierung überhaupt eindeutig aus den verfügbaren Daten bestimmt werden kann. Operationalisierungsrobustheit und Identifizierbarkeit sind deshalb eng miteinander verbunden, dürfen jedoch nicht gleichgesetzt werden [58, 59, 79].</w:t>
      </w:r>
    </w:p>
    <w:p w:rsidR="00AE0E77" w:rsidRDefault="00AE0E77" w:rsidP="00AE0E77">
      <w:pPr>
        <w:pStyle w:val="StandardWeb"/>
      </w:pPr>
      <w:r>
        <w:t>Ich bezeichne den theoretisch interessierenden Parameter mit</w:t>
      </w:r>
    </w:p>
    <w:p w:rsidR="00AE0E77" w:rsidRDefault="00AE0E77" w:rsidP="00AE0E77">
      <w:pPr>
        <w:pStyle w:val="StandardWeb"/>
      </w:pPr>
      <w:r>
        <w:t>[</w:t>
      </w:r>
      <w:r>
        <w:br/>
        <w:t>\psi_F .</w:t>
      </w:r>
      <w:r>
        <w:br/>
        <w:t>\tag{3.6603}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\psi_F\qquad\text{(3.6603)}</w:t>
      </w:r>
    </w:p>
    <w:p w:rsidR="00AE0E77" w:rsidRDefault="00AE0E77" w:rsidP="00AE0E77">
      <w:pPr>
        <w:pStyle w:val="StandardWeb"/>
      </w:pPr>
      <w:r>
        <w:lastRenderedPageBreak/>
        <w:t>Unter einer konkreten Operationalisierung (\mathcal{O}_j) ergibt sich eine operationalisierungsabhängige empirische Repräsentation</w:t>
      </w:r>
    </w:p>
    <w:p w:rsidR="00AE0E77" w:rsidRDefault="00AE0E77" w:rsidP="00AE0E77">
      <w:pPr>
        <w:pStyle w:val="berschrift1"/>
      </w:pPr>
      <w:r>
        <w:t>[</w:t>
      </w:r>
      <w:r>
        <w:br/>
        <w:t>\psi_F^{(j)}</w:t>
      </w:r>
    </w:p>
    <w:p w:rsidR="00AE0E77" w:rsidRDefault="00AE0E77" w:rsidP="00AE0E77">
      <w:pPr>
        <w:pStyle w:val="StandardWeb"/>
      </w:pPr>
      <w:r>
        <w:t>\psi_F</w:t>
      </w:r>
      <w:r>
        <w:br/>
        <w:t>\left(</w:t>
      </w:r>
      <w:r>
        <w:br/>
        <w:t>\mathcal{O}_j</w:t>
      </w:r>
      <w:r>
        <w:br/>
        <w:t>\right).</w:t>
      </w:r>
      <w:r>
        <w:br/>
        <w:t>\tag{3.6604}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\psi_F^{(j)}=\psi_F\left(\mathcal{O}_j\right)\qquad\text{(3.6604)}</w:t>
      </w:r>
    </w:p>
    <w:p w:rsidR="00AE0E77" w:rsidRDefault="00AE0E77" w:rsidP="00AE0E77">
      <w:pPr>
        <w:pStyle w:val="StandardWeb"/>
      </w:pPr>
      <w:r>
        <w:t>Identifizierbarkeit unter Operationalisierung (\mathcal{O}_j) bedeutet, dass der betreffende Parameter aus den beobachtbaren Daten und den expliziten Modellannahmen eindeutig bestimmt werden kann:</w:t>
      </w:r>
    </w:p>
    <w:p w:rsidR="00AE0E77" w:rsidRDefault="00AE0E77" w:rsidP="00AE0E77">
      <w:pPr>
        <w:pStyle w:val="StandardWeb"/>
      </w:pPr>
      <w:r>
        <w:t>[</w:t>
      </w:r>
      <w:r>
        <w:br/>
        <w:t>\mathcal{D},</w:t>
      </w:r>
      <w:r>
        <w:br/>
        <w:t>\mathfrak{H},</w:t>
      </w:r>
      <w:r>
        <w:br/>
        <w:t>\mathcal{O}_j</w:t>
      </w:r>
      <w:r>
        <w:br/>
        <w:t>\Longrightarrow</w:t>
      </w:r>
      <w:r>
        <w:br/>
        <w:t>\psi_F^{(j)}.</w:t>
      </w:r>
      <w:r>
        <w:br/>
        <w:t>\tag{3.6605}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\mathcal{D},\mathfrak{H},\mathcal{O}_j\Longrightarrow\psi_F^{(j)}\qquad\text{(3.6605)}</w:t>
      </w:r>
    </w:p>
    <w:p w:rsidR="00AE0E77" w:rsidRDefault="00AE0E77" w:rsidP="00AE0E77">
      <w:pPr>
        <w:pStyle w:val="StandardWeb"/>
      </w:pPr>
      <w:r>
        <w:t>Dabei bezeichnet (\mathfrak{H}) die für die jeweilige Bestimmung erforderlichen Hilfsannahmen. Eine Größe kann unter einer Operationalisierung identifizierbar sein und unter einer anderen nicht, wenn beispielsweise Messauflösung, Aggregation oder Klassifikationsregeln relevante Information entfernen [58, 59].</w:t>
      </w:r>
    </w:p>
    <w:p w:rsidR="00AE0E77" w:rsidRDefault="00AE0E77" w:rsidP="00AE0E77">
      <w:pPr>
        <w:pStyle w:val="StandardWeb"/>
      </w:pPr>
      <w:r>
        <w:t>Ich definiere daher ein operationalisierungsabhängiges Identifizierbarkeitsprädikat</w:t>
      </w:r>
    </w:p>
    <w:p w:rsidR="00AE0E77" w:rsidRDefault="00AE0E77" w:rsidP="00AE0E77">
      <w:pPr>
        <w:pStyle w:val="StandardWeb"/>
      </w:pPr>
      <w:r>
        <w:t>[</w:t>
      </w:r>
      <w:r>
        <w:br/>
        <w:t>\operatorname{Ident}_{\mathcal{O}}</w:t>
      </w:r>
      <w:r>
        <w:br/>
        <w:t>\left(</w:t>
      </w:r>
      <w:r>
        <w:br/>
        <w:t>\psi_F,</w:t>
      </w:r>
      <w:r>
        <w:br/>
        <w:t>\mathcal{O}_j</w:t>
      </w:r>
      <w:r>
        <w:br/>
        <w:t>\right)</w:t>
      </w:r>
      <w:r>
        <w:br/>
        <w:t>\in</w:t>
      </w:r>
      <w:r>
        <w:br/>
        <w:t>{0,1}.</w:t>
      </w:r>
      <w:r>
        <w:br/>
      </w:r>
      <w:r>
        <w:lastRenderedPageBreak/>
        <w:t>\tag{3.6606}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\operatorname{Ident}_{\mathcal{O}}\left(\psi_F,\mathcal{O}_j\right)\in\{0,1\}\qquad\text{(3.6606)}</w:t>
      </w:r>
    </w:p>
    <w:p w:rsidR="00AE0E77" w:rsidRDefault="00AE0E77" w:rsidP="00AE0E77">
      <w:pPr>
        <w:pStyle w:val="StandardWeb"/>
      </w:pPr>
      <w:r>
        <w:t>Für</w:t>
      </w:r>
    </w:p>
    <w:p w:rsidR="00AE0E77" w:rsidRDefault="00AE0E77" w:rsidP="00AE0E77">
      <w:pPr>
        <w:pStyle w:val="berschrift1"/>
      </w:pPr>
      <w:r>
        <w:t>[</w:t>
      </w:r>
      <w:r>
        <w:br/>
        <w:t>\operatorname{Ident}_{\mathcal{O}}</w:t>
      </w:r>
      <w:r>
        <w:br/>
        <w:t>\left(</w:t>
      </w:r>
      <w:r>
        <w:br/>
        <w:t>\psi_F,</w:t>
      </w:r>
      <w:r>
        <w:br/>
        <w:t>\mathcal{O}_j</w:t>
      </w:r>
      <w:r>
        <w:br/>
        <w:t>\right)</w:t>
      </w:r>
    </w:p>
    <w:p w:rsidR="00AE0E77" w:rsidRDefault="00AE0E77" w:rsidP="00AE0E77">
      <w:pPr>
        <w:pStyle w:val="StandardWeb"/>
      </w:pPr>
      <w:r>
        <w:t>1</w:t>
      </w:r>
      <w:r>
        <w:br/>
        <w:t>\tag{3.6607}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\operatorname{Ident}_{\mathcal{O}}\left(\psi_F,\mathcal{O}_j\right)=1\qquad\text{(3.6607)}</w:t>
      </w:r>
    </w:p>
    <w:p w:rsidR="00AE0E77" w:rsidRDefault="00AE0E77" w:rsidP="00AE0E77">
      <w:pPr>
        <w:pStyle w:val="StandardWeb"/>
      </w:pPr>
      <w:r>
        <w:t>ist der Parameter unter der Operationalisierung (\mathcal{O}_j) identifizierbar.</w:t>
      </w:r>
    </w:p>
    <w:p w:rsidR="00AE0E77" w:rsidRDefault="00AE0E77" w:rsidP="00AE0E77">
      <w:pPr>
        <w:pStyle w:val="StandardWeb"/>
      </w:pPr>
      <w:r>
        <w:t>Für</w:t>
      </w:r>
    </w:p>
    <w:p w:rsidR="00AE0E77" w:rsidRDefault="00AE0E77" w:rsidP="00AE0E77">
      <w:pPr>
        <w:pStyle w:val="berschrift1"/>
      </w:pPr>
      <w:r>
        <w:t>[</w:t>
      </w:r>
      <w:r>
        <w:br/>
        <w:t>\operatorname{Ident}_{\mathcal{O}}</w:t>
      </w:r>
      <w:r>
        <w:br/>
        <w:t>\left(</w:t>
      </w:r>
      <w:r>
        <w:br/>
        <w:t>\psi_F,</w:t>
      </w:r>
      <w:r>
        <w:br/>
        <w:t>\mathcal{O}_j</w:t>
      </w:r>
      <w:r>
        <w:br/>
        <w:t>\right)</w:t>
      </w:r>
    </w:p>
    <w:p w:rsidR="00AE0E77" w:rsidRDefault="00AE0E77" w:rsidP="00AE0E77">
      <w:pPr>
        <w:pStyle w:val="StandardWeb"/>
      </w:pPr>
      <w:r>
        <w:t>0</w:t>
      </w:r>
      <w:r>
        <w:br/>
        <w:t>\tag{3.6608}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lastRenderedPageBreak/>
        <w:t>\operatorname{Ident}_{\mathcal{O}}\left(\psi_F,\mathcal{O}_j\right)=0\qquad\text{(3.6608)}</w:t>
      </w:r>
    </w:p>
    <w:p w:rsidR="00AE0E77" w:rsidRDefault="00AE0E77" w:rsidP="00AE0E77">
      <w:pPr>
        <w:pStyle w:val="StandardWeb"/>
      </w:pPr>
      <w:r>
        <w:t>ist dies nicht der Fall.</w:t>
      </w:r>
    </w:p>
    <w:p w:rsidR="00AE0E77" w:rsidRDefault="00AE0E77" w:rsidP="00AE0E77">
      <w:pPr>
        <w:pStyle w:val="StandardWeb"/>
      </w:pPr>
      <w:r>
        <w:t>Eine wissenschaftlich besonders belastbare Operationalisierung sollte daher nicht nur robuste Aussagen liefern, sondern die für die Untersuchung relevanten Parameter zugleich hinreichend identifizierbar machen [58, 79].</w:t>
      </w:r>
    </w:p>
    <w:p w:rsidR="00AE0E77" w:rsidRDefault="00E50336" w:rsidP="00AE0E77">
      <w:r>
        <w:pict>
          <v:rect id="_x0000_i1206" style="width:0;height:1.5pt" o:hralign="center" o:hrstd="t" o:hr="t" fillcolor="#a0a0a0" stroked="f"/>
        </w:pict>
      </w:r>
    </w:p>
    <w:p w:rsidR="00AE0E77" w:rsidRDefault="00AE0E77" w:rsidP="00AE0E77">
      <w:pPr>
        <w:pStyle w:val="berschrift2"/>
      </w:pPr>
      <w:r>
        <w:t>3.3.39.66 Identifizierbarkeitsrobustheit</w:t>
      </w:r>
    </w:p>
    <w:p w:rsidR="00AE0E77" w:rsidRDefault="00AE0E77" w:rsidP="00AE0E77">
      <w:pPr>
        <w:pStyle w:val="StandardWeb"/>
      </w:pPr>
      <w:r>
        <w:t xml:space="preserve">Für mehrere zulässige Operationalisierungen kann geprüft werden, ob die Identifizierbarkeit eines Parameters erhalten bleibt. Ich bezeichne diese Eigenschaft als </w:t>
      </w:r>
      <w:r>
        <w:rPr>
          <w:rStyle w:val="Fett"/>
        </w:rPr>
        <w:t>Identifizierbarkeitsrobustheit gegenüber Operationalisierung</w:t>
      </w:r>
      <w:r>
        <w:t>.</w:t>
      </w:r>
    </w:p>
    <w:p w:rsidR="00AE0E77" w:rsidRDefault="00AE0E77" w:rsidP="00AE0E77">
      <w:pPr>
        <w:pStyle w:val="StandardWeb"/>
      </w:pPr>
      <w:r>
        <w:t>Dazu definiere ich</w:t>
      </w:r>
    </w:p>
    <w:p w:rsidR="00AE0E77" w:rsidRDefault="00AE0E77" w:rsidP="00AE0E77">
      <w:pPr>
        <w:pStyle w:val="berschrift1"/>
      </w:pPr>
      <w:r>
        <w:t>[</w:t>
      </w:r>
      <w:r>
        <w:br/>
        <w:t>R_{\mathrm{ident},\mathcal{O}}</w:t>
      </w:r>
    </w:p>
    <w:p w:rsidR="00AE0E77" w:rsidRDefault="00AE0E77" w:rsidP="00AE0E77">
      <w:pPr>
        <w:pStyle w:val="berschrift1"/>
      </w:pPr>
      <w:r>
        <w:t>\frac{</w:t>
      </w:r>
      <w:r>
        <w:br/>
        <w:t>\left|</w:t>
      </w:r>
      <w:r>
        <w:br/>
        <w:t>\left{</w:t>
      </w:r>
      <w:r>
        <w:br/>
        <w:t>\mathcal{O}</w:t>
      </w:r>
      <w:r>
        <w:rPr>
          <w:rStyle w:val="Hervorhebung"/>
        </w:rPr>
        <w:t>j</w:t>
      </w:r>
      <w:r>
        <w:rPr>
          <w:i/>
          <w:iCs/>
        </w:rPr>
        <w:br/>
      </w:r>
      <w:r>
        <w:rPr>
          <w:rStyle w:val="Hervorhebung"/>
        </w:rPr>
        <w:t>\in</w:t>
      </w:r>
      <w:r>
        <w:rPr>
          <w:i/>
          <w:iCs/>
        </w:rPr>
        <w:br/>
      </w:r>
      <w:r>
        <w:rPr>
          <w:rStyle w:val="Hervorhebung"/>
        </w:rPr>
        <w:t>\mathfrak{O}</w:t>
      </w:r>
      <w:r>
        <w:rPr>
          <w:i/>
          <w:iCs/>
        </w:rPr>
        <w:br/>
      </w:r>
      <w:r>
        <w:rPr>
          <w:rStyle w:val="Hervorhebung"/>
        </w:rPr>
        <w:t>:</w:t>
      </w:r>
      <w:r>
        <w:rPr>
          <w:i/>
          <w:iCs/>
        </w:rPr>
        <w:br/>
      </w:r>
      <w:r>
        <w:rPr>
          <w:rStyle w:val="Hervorhebung"/>
        </w:rPr>
        <w:t>\operatorname{Ident}</w:t>
      </w:r>
      <w:r>
        <w:t>{\mathcal{O}}</w:t>
      </w:r>
      <w:r>
        <w:br/>
        <w:t>\left(</w:t>
      </w:r>
      <w:r>
        <w:br/>
        <w:t>\psi_F,</w:t>
      </w:r>
      <w:r>
        <w:br/>
        <w:t>\mathcal{O}_j</w:t>
      </w:r>
      <w:r>
        <w:br/>
        <w:t>\right)</w:t>
      </w:r>
    </w:p>
    <w:p w:rsidR="00AE0E77" w:rsidRDefault="00AE0E77" w:rsidP="00AE0E77">
      <w:pPr>
        <w:pStyle w:val="StandardWeb"/>
      </w:pPr>
      <w:r>
        <w:t>1</w:t>
      </w:r>
      <w:r>
        <w:br/>
        <w:t>\right}</w:t>
      </w:r>
      <w:r>
        <w:br/>
        <w:t>\right|</w:t>
      </w:r>
      <w:r>
        <w:br/>
        <w:t>}{</w:t>
      </w:r>
      <w:r>
        <w:br/>
        <w:t>\left|</w:t>
      </w:r>
      <w:r>
        <w:br/>
        <w:t>\mathfrak{O}</w:t>
      </w:r>
      <w:r>
        <w:br/>
      </w:r>
      <w:r>
        <w:lastRenderedPageBreak/>
        <w:t>\right|</w:t>
      </w:r>
      <w:r>
        <w:br/>
        <w:t>}.</w:t>
      </w:r>
      <w:r>
        <w:br/>
        <w:t>\tag{3.6609}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R_{\mathrm{ident},\mathcal{O}}=\frac{\left|\left\{\mathcal{O}_j\in\mathfrak{O}:\operatorname{Ident}_{\mathcal{O}}\left(\psi_F,\mathcal{O}_j\right)=1\right\}\right|}{\left|\mathfrak{O}\right|}\qquad\text{(3.6609)}</w:t>
      </w:r>
    </w:p>
    <w:p w:rsidR="00AE0E77" w:rsidRDefault="00AE0E77" w:rsidP="00AE0E77">
      <w:pPr>
        <w:pStyle w:val="StandardWeb"/>
      </w:pPr>
      <w:r>
        <w:t>Es gilt</w:t>
      </w:r>
    </w:p>
    <w:p w:rsidR="00AE0E77" w:rsidRDefault="00AE0E77" w:rsidP="00AE0E77">
      <w:pPr>
        <w:pStyle w:val="StandardWeb"/>
      </w:pPr>
      <w:r>
        <w:t>[</w:t>
      </w:r>
      <w:r>
        <w:br/>
        <w:t>0</w:t>
      </w:r>
      <w:r>
        <w:br/>
        <w:t>\leq</w:t>
      </w:r>
      <w:r>
        <w:br/>
        <w:t>R_{\mathrm{ident},\mathcal{O}}</w:t>
      </w:r>
      <w:r>
        <w:br/>
        <w:t>\leq</w:t>
      </w:r>
      <w:r>
        <w:br/>
        <w:t>1.</w:t>
      </w:r>
      <w:r>
        <w:br/>
        <w:t>\tag{3.6610}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0\leq R_{\mathrm{ident},\mathcal{O}}\leq1\qquad\text{(3.6610)}</w:t>
      </w:r>
    </w:p>
    <w:p w:rsidR="00AE0E77" w:rsidRDefault="00AE0E77" w:rsidP="00AE0E77">
      <w:pPr>
        <w:pStyle w:val="StandardWeb"/>
      </w:pPr>
      <w:r>
        <w:t>Für</w:t>
      </w:r>
    </w:p>
    <w:p w:rsidR="00AE0E77" w:rsidRDefault="00AE0E77" w:rsidP="00AE0E77">
      <w:pPr>
        <w:pStyle w:val="berschrift1"/>
      </w:pPr>
      <w:r>
        <w:t>[</w:t>
      </w:r>
      <w:r>
        <w:br/>
        <w:t>R_{\mathrm{ident},\mathcal{O}}</w:t>
      </w:r>
    </w:p>
    <w:p w:rsidR="00AE0E77" w:rsidRDefault="00AE0E77" w:rsidP="00AE0E77">
      <w:pPr>
        <w:pStyle w:val="StandardWeb"/>
      </w:pPr>
      <w:r>
        <w:t>1</w:t>
      </w:r>
      <w:r>
        <w:br/>
        <w:t>\tag{3.6611}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R_{\mathrm{ident},\mathcal{O}}=1\qquad\text{(3.6611)}</w:t>
      </w:r>
    </w:p>
    <w:p w:rsidR="00AE0E77" w:rsidRDefault="00AE0E77" w:rsidP="00AE0E77">
      <w:pPr>
        <w:pStyle w:val="StandardWeb"/>
      </w:pPr>
      <w:r>
        <w:t>ist der betreffende Parameter unter sämtlichen betrachteten zulässigen Operationalisierungen identifizierbar.</w:t>
      </w:r>
    </w:p>
    <w:p w:rsidR="00AE0E77" w:rsidRDefault="00AE0E77" w:rsidP="00AE0E77">
      <w:pPr>
        <w:pStyle w:val="StandardWeb"/>
      </w:pPr>
      <w:r>
        <w:t>Diese Größe darf jedoch nicht isoliert interpretiert werden. Eine hohe Identifizierbarkeitsrobustheit bedeutet nicht, dass sämtliche Operationalisierungen dasselbe theoretische Konstrukt gleich gut erfassen. Sie besagt lediglich, dass die jeweils definierte empirische Größe bestimmt werden kann [58, 59].</w:t>
      </w:r>
    </w:p>
    <w:p w:rsidR="00AE0E77" w:rsidRDefault="00E50336" w:rsidP="00AE0E77">
      <w:r>
        <w:pict>
          <v:rect id="_x0000_i1207" style="width:0;height:1.5pt" o:hralign="center" o:hrstd="t" o:hr="t" fillcolor="#a0a0a0" stroked="f"/>
        </w:pict>
      </w:r>
    </w:p>
    <w:p w:rsidR="00AE0E77" w:rsidRDefault="00AE0E77" w:rsidP="00AE0E77">
      <w:pPr>
        <w:pStyle w:val="berschrift2"/>
      </w:pPr>
      <w:r>
        <w:t>3.3.39.67 Informationsverlust durch Operationalisierung</w:t>
      </w:r>
    </w:p>
    <w:p w:rsidR="00AE0E77" w:rsidRDefault="00AE0E77" w:rsidP="00AE0E77">
      <w:pPr>
        <w:pStyle w:val="StandardWeb"/>
      </w:pPr>
      <w:r>
        <w:lastRenderedPageBreak/>
        <w:t>Operationalisierung kann Information zusammenfassen, filtern oder verwerfen. Ich bezeichne die ursprüngliche Informationsstruktur mit</w:t>
      </w:r>
    </w:p>
    <w:p w:rsidR="00AE0E77" w:rsidRDefault="00AE0E77" w:rsidP="00AE0E77">
      <w:pPr>
        <w:pStyle w:val="StandardWeb"/>
      </w:pPr>
      <w:r>
        <w:t>[</w:t>
      </w:r>
      <w:r>
        <w:br/>
        <w:t>\mathcal{I}_0</w:t>
      </w:r>
      <w:r>
        <w:br/>
        <w:t>\tag{3.6612}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\mathcal{I}_0\qquad\text{(3.6612)}</w:t>
      </w:r>
    </w:p>
    <w:p w:rsidR="00AE0E77" w:rsidRDefault="00AE0E77" w:rsidP="00AE0E77">
      <w:pPr>
        <w:pStyle w:val="StandardWeb"/>
      </w:pPr>
      <w:r>
        <w:t>und die nach Operationalisierung verbleibende Informationsstruktur mit</w:t>
      </w:r>
    </w:p>
    <w:p w:rsidR="00AE0E77" w:rsidRDefault="00AE0E77" w:rsidP="00AE0E77">
      <w:pPr>
        <w:pStyle w:val="StandardWeb"/>
      </w:pPr>
      <w:r>
        <w:t>[</w:t>
      </w:r>
      <w:r>
        <w:br/>
        <w:t>\mathcal{I}_{\mathcal{O}}.</w:t>
      </w:r>
      <w:r>
        <w:br/>
        <w:t>\tag{3.6613}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\mathcal{I}_{\mathcal{O}}\qquad\text{(3.6613)}</w:t>
      </w:r>
    </w:p>
    <w:p w:rsidR="00AE0E77" w:rsidRDefault="00AE0E77" w:rsidP="00AE0E77">
      <w:pPr>
        <w:pStyle w:val="StandardWeb"/>
      </w:pPr>
      <w:r>
        <w:t>Der abstrakte Informationsverlust sei</w:t>
      </w:r>
    </w:p>
    <w:p w:rsidR="00AE0E77" w:rsidRDefault="00AE0E77" w:rsidP="00AE0E77">
      <w:pPr>
        <w:pStyle w:val="berschrift1"/>
      </w:pPr>
      <w:r>
        <w:t>[</w:t>
      </w:r>
      <w:r>
        <w:br/>
        <w:t>L_{\mathcal{I}}</w:t>
      </w:r>
      <w:r>
        <w:br/>
        <w:t>\left(</w:t>
      </w:r>
      <w:r>
        <w:br/>
        <w:t>\mathcal{O}</w:t>
      </w:r>
      <w:r>
        <w:br/>
        <w:t>\right)</w:t>
      </w:r>
    </w:p>
    <w:p w:rsidR="00AE0E77" w:rsidRDefault="00AE0E77" w:rsidP="00AE0E77">
      <w:pPr>
        <w:pStyle w:val="StandardWeb"/>
      </w:pPr>
      <w:r>
        <w:t>\mathcal{L}</w:t>
      </w:r>
      <w:r>
        <w:br/>
        <w:t>\left(</w:t>
      </w:r>
      <w:r>
        <w:br/>
        <w:t>\mathcal{I}</w:t>
      </w:r>
      <w:r>
        <w:rPr>
          <w:rStyle w:val="Hervorhebung"/>
        </w:rPr>
        <w:t>0,</w:t>
      </w:r>
      <w:r>
        <w:rPr>
          <w:i/>
          <w:iCs/>
        </w:rPr>
        <w:br/>
      </w:r>
      <w:r>
        <w:rPr>
          <w:rStyle w:val="Hervorhebung"/>
        </w:rPr>
        <w:t>\mathcal{I}</w:t>
      </w:r>
      <w:r>
        <w:t>{\mathcal{O}}</w:t>
      </w:r>
      <w:r>
        <w:br/>
        <w:t>\right).</w:t>
      </w:r>
      <w:r>
        <w:br/>
        <w:t>\tag{3.6614}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L_{\mathcal{I}}\left(\mathcal{O}\right)=\mathcal{L}\left(\mathcal{I}_0,\mathcal{I}_{\mathcal{O}}\right)\qquad\text{(3.6614)}</w:t>
      </w:r>
    </w:p>
    <w:p w:rsidR="00AE0E77" w:rsidRDefault="00AE0E77" w:rsidP="00AE0E77">
      <w:pPr>
        <w:pStyle w:val="StandardWeb"/>
      </w:pPr>
      <w:r>
        <w:t>Für eine informationsverlustfreie Operationalisierung würde idealisiert gelten</w:t>
      </w:r>
    </w:p>
    <w:p w:rsidR="00AE0E77" w:rsidRDefault="00AE0E77" w:rsidP="00AE0E77">
      <w:pPr>
        <w:pStyle w:val="berschrift1"/>
      </w:pPr>
      <w:r>
        <w:lastRenderedPageBreak/>
        <w:t>[</w:t>
      </w:r>
      <w:r>
        <w:br/>
        <w:t>L_{\mathcal{I}}</w:t>
      </w:r>
      <w:r>
        <w:br/>
        <w:t>\left(</w:t>
      </w:r>
      <w:r>
        <w:br/>
        <w:t>\mathcal{O}</w:t>
      </w:r>
      <w:r>
        <w:br/>
        <w:t>\right)</w:t>
      </w:r>
    </w:p>
    <w:p w:rsidR="00AE0E77" w:rsidRDefault="00AE0E77" w:rsidP="008C5E65">
      <w:pPr>
        <w:numPr>
          <w:ilvl w:val="0"/>
          <w:numId w:val="307"/>
        </w:numPr>
        <w:spacing w:before="100" w:beforeAutospacing="1" w:after="100" w:afterAutospacing="1"/>
      </w:pPr>
    </w:p>
    <w:p w:rsidR="00AE0E77" w:rsidRDefault="00AE0E77" w:rsidP="00AE0E77">
      <w:pPr>
        <w:pStyle w:val="StandardWeb"/>
      </w:pPr>
      <w:r>
        <w:t>\tag{3.6615}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L_{\mathcal{I}}\left(\mathcal{O}\right)=0\qquad\text{(3.6615)}</w:t>
      </w:r>
    </w:p>
    <w:p w:rsidR="00AE0E77" w:rsidRDefault="00AE0E77" w:rsidP="00AE0E77">
      <w:pPr>
        <w:pStyle w:val="StandardWeb"/>
      </w:pPr>
      <w:r>
        <w:t>Viele empirische Operationalisierungen sind jedoch bewusst komprimierend. Eine binäre Klassifikation kann beispielsweise eine kontinuierliche Größe auf zwei Klassen reduzieren. Ein Informationsverlust ist dann nicht automatisch methodisch unzulässig. Entscheidend ist, ob gerade die für die betrachtete Aussage relevante Information erhalten bleibt [59, 79].</w:t>
      </w:r>
    </w:p>
    <w:p w:rsidR="00AE0E77" w:rsidRDefault="00AE0E77" w:rsidP="00AE0E77">
      <w:pPr>
        <w:pStyle w:val="StandardWeb"/>
      </w:pPr>
      <w:r>
        <w:t>Ich definiere deshalb einen aussagerelevanten Informationsverlust</w:t>
      </w:r>
    </w:p>
    <w:p w:rsidR="00AE0E77" w:rsidRDefault="00AE0E77" w:rsidP="00AE0E77">
      <w:pPr>
        <w:pStyle w:val="StandardWeb"/>
      </w:pPr>
      <w:r>
        <w:t>[</w:t>
      </w:r>
      <w:r>
        <w:br/>
        <w:t>L_{\mathcal{I},A}</w:t>
      </w:r>
      <w:r>
        <w:br/>
        <w:t>\left(</w:t>
      </w:r>
      <w:r>
        <w:br/>
        <w:t>\mathcal{O}</w:t>
      </w:r>
      <w:r>
        <w:br/>
        <w:t>\right).</w:t>
      </w:r>
      <w:r>
        <w:br/>
        <w:t>\tag{3.6616}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L_{\mathcal{I},A}\left(\mathcal{O}\right)\qquad\text{(3.6616)}</w:t>
      </w:r>
    </w:p>
    <w:p w:rsidR="00AE0E77" w:rsidRDefault="00AE0E77" w:rsidP="00AE0E77">
      <w:pPr>
        <w:pStyle w:val="StandardWeb"/>
      </w:pPr>
      <w:r>
        <w:t>Eine starke Kompression kann wissenschaftlich unproblematisch sein, wenn</w:t>
      </w:r>
    </w:p>
    <w:p w:rsidR="00AE0E77" w:rsidRDefault="00AE0E77" w:rsidP="00AE0E77">
      <w:pPr>
        <w:pStyle w:val="StandardWeb"/>
      </w:pPr>
      <w:r>
        <w:t>[</w:t>
      </w:r>
      <w:r>
        <w:br/>
        <w:t>L_{\mathcal{I},A}</w:t>
      </w:r>
      <w:r>
        <w:br/>
        <w:t>\left(</w:t>
      </w:r>
      <w:r>
        <w:br/>
        <w:t>\mathcal{O}</w:t>
      </w:r>
      <w:r>
        <w:br/>
        <w:t>\right)</w:t>
      </w:r>
      <w:r>
        <w:br/>
        <w:t>\approx</w:t>
      </w:r>
      <w:r>
        <w:br/>
        <w:t>0.</w:t>
      </w:r>
      <w:r>
        <w:br/>
        <w:t>\tag{3.6617}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lastRenderedPageBreak/>
        <w:t>L_{\mathcal{I},A}\left(\mathcal{O}\right)\approx0\qquad\text{(3.6617)}</w:t>
      </w:r>
    </w:p>
    <w:p w:rsidR="00AE0E77" w:rsidRDefault="00E50336" w:rsidP="00AE0E77">
      <w:r>
        <w:pict>
          <v:rect id="_x0000_i1208" style="width:0;height:1.5pt" o:hralign="center" o:hrstd="t" o:hr="t" fillcolor="#a0a0a0" stroked="f"/>
        </w:pict>
      </w:r>
    </w:p>
    <w:p w:rsidR="00AE0E77" w:rsidRDefault="00AE0E77" w:rsidP="00AE0E77">
      <w:pPr>
        <w:pStyle w:val="berschrift2"/>
      </w:pPr>
      <w:r>
        <w:t>3.3.39.68 Operationalisierungsrobustheit und Messinvarianz</w:t>
      </w:r>
    </w:p>
    <w:p w:rsidR="00AE0E77" w:rsidRDefault="00AE0E77" w:rsidP="00AE0E77">
      <w:pPr>
        <w:pStyle w:val="StandardWeb"/>
      </w:pPr>
      <w:r>
        <w:t>Eine weitere Verbindung besteht zur Messinvarianz. Wenn dasselbe theoretische Konzept in unterschiedlichen Gruppen, Zeitpunkten oder Kontexten operationalisiert wird, muss geprüft werden, ob die empirische Repräsentation dieselbe funktionale Bedeutung besitzt [58, 59].</w:t>
      </w:r>
    </w:p>
    <w:p w:rsidR="00AE0E77" w:rsidRDefault="00AE0E77" w:rsidP="00AE0E77">
      <w:pPr>
        <w:pStyle w:val="StandardWeb"/>
      </w:pPr>
      <w:r>
        <w:t>Seien zwei Kontexte gegeben:</w:t>
      </w:r>
    </w:p>
    <w:p w:rsidR="00AE0E77" w:rsidRDefault="00AE0E77" w:rsidP="00AE0E77">
      <w:pPr>
        <w:pStyle w:val="StandardWeb"/>
      </w:pPr>
      <w:r>
        <w:t>[</w:t>
      </w:r>
      <w:r>
        <w:br/>
        <w:t>\mathcal{C}_1,</w:t>
      </w:r>
      <w:r>
        <w:br/>
        <w:t>\qquad</w:t>
      </w:r>
      <w:r>
        <w:br/>
        <w:t>\mathcal{C}_2.</w:t>
      </w:r>
      <w:r>
        <w:br/>
        <w:t>\tag{3.6618}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\mathcal{C}_1,\qquad\mathcal{C}_2\qquad\text{(3.6618)}</w:t>
      </w:r>
    </w:p>
    <w:p w:rsidR="00AE0E77" w:rsidRDefault="00AE0E77" w:rsidP="00AE0E77">
      <w:pPr>
        <w:pStyle w:val="StandardWeb"/>
      </w:pPr>
      <w:r>
        <w:t>Unter derselben formalen Operationalisierung (\mathcal{O}) entstehen</w:t>
      </w:r>
    </w:p>
    <w:p w:rsidR="00AE0E77" w:rsidRDefault="00AE0E77" w:rsidP="00AE0E77">
      <w:pPr>
        <w:pStyle w:val="berschrift1"/>
      </w:pPr>
      <w:r>
        <w:t>[</w:t>
      </w:r>
      <w:r>
        <w:br/>
        <w:t>y^{(1)}</w:t>
      </w:r>
    </w:p>
    <w:p w:rsidR="00AE0E77" w:rsidRDefault="00AE0E77" w:rsidP="00AE0E77">
      <w:pPr>
        <w:pStyle w:val="StandardWeb"/>
      </w:pPr>
      <w:r>
        <w:t>\mathcal{O}</w:t>
      </w:r>
      <w:r>
        <w:br/>
        <w:t>\left(</w:t>
      </w:r>
      <w:r>
        <w:br/>
        <w:t>\mathcal{K}_{F};</w:t>
      </w:r>
      <w:r>
        <w:br/>
        <w:t>\mathcal{C}_1</w:t>
      </w:r>
      <w:r>
        <w:br/>
        <w:t>\right)</w:t>
      </w:r>
      <w:r>
        <w:br/>
        <w:t>\tag{3.6619}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y^{(1)}=\mathcal{O}\left(\mathcal{K}_{F};\mathcal{C}_1\right)\qquad\text{(3.6619)}</w:t>
      </w:r>
    </w:p>
    <w:p w:rsidR="00AE0E77" w:rsidRDefault="00AE0E77" w:rsidP="00AE0E77">
      <w:pPr>
        <w:pStyle w:val="StandardWeb"/>
      </w:pPr>
      <w:r>
        <w:t>und</w:t>
      </w:r>
    </w:p>
    <w:p w:rsidR="00AE0E77" w:rsidRDefault="00AE0E77" w:rsidP="00AE0E77">
      <w:pPr>
        <w:pStyle w:val="berschrift1"/>
      </w:pPr>
      <w:r>
        <w:t>[</w:t>
      </w:r>
      <w:r>
        <w:br/>
        <w:t>y^{(2)}</w:t>
      </w:r>
    </w:p>
    <w:p w:rsidR="00AE0E77" w:rsidRDefault="00AE0E77" w:rsidP="00AE0E77">
      <w:pPr>
        <w:pStyle w:val="StandardWeb"/>
      </w:pPr>
      <w:r>
        <w:t>\mathcal{O}</w:t>
      </w:r>
      <w:r>
        <w:br/>
        <w:t>\left(</w:t>
      </w:r>
      <w:r>
        <w:br/>
        <w:t>\mathcal{K}_{F};</w:t>
      </w:r>
      <w:r>
        <w:br/>
      </w:r>
      <w:r>
        <w:lastRenderedPageBreak/>
        <w:t>\mathcal{C}_2</w:t>
      </w:r>
      <w:r>
        <w:br/>
        <w:t>\right).</w:t>
      </w:r>
      <w:r>
        <w:br/>
        <w:t>\tag{3.6620}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y^{(2)}=\mathcal{O}\left(\mathcal{K}_{F};\mathcal{C}_2\right)\qquad\text{(3.6620)}</w:t>
      </w:r>
    </w:p>
    <w:p w:rsidR="00AE0E77" w:rsidRDefault="00AE0E77" w:rsidP="00AE0E77">
      <w:pPr>
        <w:pStyle w:val="StandardWeb"/>
      </w:pPr>
      <w:r>
        <w:t>Die Verwendung derselben mathematischen Formel garantiert noch nicht, dass beide Werte dieselbe semantische beziehungsweise funktionale Bedeutung besitzen. Deshalb definiere ich ein Messinvarianzprädikat</w:t>
      </w:r>
    </w:p>
    <w:p w:rsidR="00AE0E77" w:rsidRDefault="00AE0E77" w:rsidP="00AE0E77">
      <w:pPr>
        <w:pStyle w:val="StandardWeb"/>
      </w:pPr>
      <w:r>
        <w:t>[</w:t>
      </w:r>
      <w:r>
        <w:br/>
        <w:t>\operatorname{MInv}_{F}</w:t>
      </w:r>
      <w:r>
        <w:br/>
        <w:t>:</w:t>
      </w:r>
      <w:r>
        <w:br/>
        <w:t>\left(</w:t>
      </w:r>
      <w:r>
        <w:br/>
        <w:t>\mathcal{O},</w:t>
      </w:r>
      <w:r>
        <w:br/>
        <w:t>\mathcal{C}_1,</w:t>
      </w:r>
      <w:r>
        <w:br/>
        <w:t>\mathcal{C}_2</w:t>
      </w:r>
      <w:r>
        <w:br/>
        <w:t>\right)</w:t>
      </w:r>
      <w:r>
        <w:br/>
        <w:t>\longrightarrow</w:t>
      </w:r>
      <w:r>
        <w:br/>
        <w:t>{0,1}.</w:t>
      </w:r>
      <w:r>
        <w:br/>
        <w:t>\tag{3.6621}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\operatorname{MInv}_{F}:\left(\mathcal{O},\mathcal{C}_1,\mathcal{C}_2\right)\longrightarrow\{0,1\}\qquad\text{(3.6621)}</w:t>
      </w:r>
    </w:p>
    <w:p w:rsidR="00AE0E77" w:rsidRDefault="00AE0E77" w:rsidP="00AE0E77">
      <w:pPr>
        <w:pStyle w:val="StandardWeb"/>
      </w:pPr>
      <w:r>
        <w:t>Für</w:t>
      </w:r>
    </w:p>
    <w:p w:rsidR="00AE0E77" w:rsidRDefault="00AE0E77" w:rsidP="00AE0E77">
      <w:pPr>
        <w:pStyle w:val="berschrift1"/>
      </w:pPr>
      <w:r>
        <w:t>[</w:t>
      </w:r>
      <w:r>
        <w:br/>
        <w:t>\operatorname{MInv}_{F}</w:t>
      </w:r>
    </w:p>
    <w:p w:rsidR="00AE0E77" w:rsidRDefault="00AE0E77" w:rsidP="00AE0E77">
      <w:pPr>
        <w:pStyle w:val="StandardWeb"/>
      </w:pPr>
      <w:r>
        <w:t>1</w:t>
      </w:r>
      <w:r>
        <w:br/>
        <w:t>\tag{3.6622}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\operatorname{MInv}_{F}=1\qquad\text{(3.6622)}</w:t>
      </w:r>
    </w:p>
    <w:p w:rsidR="00AE0E77" w:rsidRDefault="00AE0E77" w:rsidP="00AE0E77">
      <w:pPr>
        <w:pStyle w:val="StandardWeb"/>
      </w:pPr>
      <w:r>
        <w:t>wird die Operationalisierung hinsichtlich der betrachteten funktionalen Bedeutung als kontextinvariant behandelt.</w:t>
      </w:r>
    </w:p>
    <w:p w:rsidR="00AE0E77" w:rsidRDefault="00E50336" w:rsidP="00AE0E77">
      <w:r>
        <w:pict>
          <v:rect id="_x0000_i1209" style="width:0;height:1.5pt" o:hralign="center" o:hrstd="t" o:hr="t" fillcolor="#a0a0a0" stroked="f"/>
        </w:pict>
      </w:r>
    </w:p>
    <w:p w:rsidR="00AE0E77" w:rsidRDefault="00AE0E77" w:rsidP="00AE0E77">
      <w:pPr>
        <w:pStyle w:val="berschrift2"/>
      </w:pPr>
      <w:r>
        <w:lastRenderedPageBreak/>
        <w:t>3.3.39.69 Doppelte Robustheitsprüfung über Operationalisierung und Kontext</w:t>
      </w:r>
    </w:p>
    <w:p w:rsidR="00AE0E77" w:rsidRDefault="00AE0E77" w:rsidP="00AE0E77">
      <w:pPr>
        <w:pStyle w:val="StandardWeb"/>
      </w:pPr>
      <w:r>
        <w:t>Operationalisierungsrobustheit und Transportierbarkeit können gemeinsam untersucht werden. Dazu betrachte ich mehrere Operationalisierungen (\mathcal{O}_i) und mehrere Kontexte (\mathcal{C}_j).</w:t>
      </w:r>
    </w:p>
    <w:p w:rsidR="00AE0E77" w:rsidRDefault="00AE0E77" w:rsidP="00AE0E77">
      <w:pPr>
        <w:pStyle w:val="StandardWeb"/>
      </w:pPr>
      <w:r>
        <w:t>Die resultierende Aussage lautet</w:t>
      </w:r>
    </w:p>
    <w:p w:rsidR="00AE0E77" w:rsidRDefault="00AE0E77" w:rsidP="00AE0E77">
      <w:pPr>
        <w:pStyle w:val="berschrift1"/>
      </w:pPr>
      <w:r>
        <w:t>[</w:t>
      </w:r>
      <w:r>
        <w:br/>
        <w:t>A_{ij}</w:t>
      </w:r>
    </w:p>
    <w:p w:rsidR="00AE0E77" w:rsidRDefault="00AE0E77" w:rsidP="00AE0E77">
      <w:pPr>
        <w:pStyle w:val="StandardWeb"/>
      </w:pPr>
      <w:r>
        <w:t>A_F</w:t>
      </w:r>
      <w:r>
        <w:br/>
        <w:t>\left(</w:t>
      </w:r>
      <w:r>
        <w:br/>
        <w:t>\mathcal{O}_i,</w:t>
      </w:r>
      <w:r>
        <w:br/>
        <w:t>\mathcal{C}_j</w:t>
      </w:r>
      <w:r>
        <w:br/>
        <w:t>\right).</w:t>
      </w:r>
      <w:r>
        <w:br/>
        <w:t>\tag{3.6623}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A_{ij}=A_F\left(\mathcal{O}_i,\mathcal{C}_j\right)\qquad\text{(3.6623)}</w:t>
      </w:r>
    </w:p>
    <w:p w:rsidR="00AE0E77" w:rsidRDefault="00AE0E77" w:rsidP="00AE0E77">
      <w:pPr>
        <w:pStyle w:val="StandardWeb"/>
      </w:pPr>
      <w:r>
        <w:t>Das vollständige Operationalisierungs-Kontext-Raster ist</w:t>
      </w:r>
    </w:p>
    <w:p w:rsidR="00AE0E77" w:rsidRDefault="00AE0E77" w:rsidP="00AE0E77">
      <w:pPr>
        <w:pStyle w:val="berschrift1"/>
      </w:pPr>
      <w:r>
        <w:t>[</w:t>
      </w:r>
      <w:r>
        <w:br/>
        <w:t>\mathbf{A}_{\mathcal{O}\mathcal{C}}</w:t>
      </w:r>
    </w:p>
    <w:p w:rsidR="00AE0E77" w:rsidRDefault="00AE0E77" w:rsidP="00AE0E77">
      <w:pPr>
        <w:pStyle w:val="StandardWeb"/>
      </w:pPr>
      <w:r>
        <w:t>\left[</w:t>
      </w:r>
      <w:r>
        <w:br/>
        <w:t>A_{ij}</w:t>
      </w:r>
      <w:r>
        <w:br/>
        <w:t>\right].</w:t>
      </w:r>
      <w:r>
        <w:br/>
        <w:t>\tag{3.6624}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\mathbf{A}_{\mathcal{O}\mathcal{C}}=\left[A_{ij}\right]\qquad\text{(3.6624)}</w:t>
      </w:r>
    </w:p>
    <w:p w:rsidR="00AE0E77" w:rsidRDefault="00AE0E77" w:rsidP="00AE0E77">
      <w:pPr>
        <w:pStyle w:val="StandardWeb"/>
      </w:pPr>
      <w:r>
        <w:t>Eine besonders starke Robustheitsbedingung lautet</w:t>
      </w:r>
    </w:p>
    <w:p w:rsidR="00AE0E77" w:rsidRDefault="00AE0E77" w:rsidP="00AE0E77">
      <w:pPr>
        <w:pStyle w:val="berschrift1"/>
      </w:pPr>
      <w:r>
        <w:t>[</w:t>
      </w:r>
      <w:r>
        <w:br/>
        <w:t>\operatorname{Klasse}</w:t>
      </w:r>
      <w:r>
        <w:rPr>
          <w:rStyle w:val="Hervorhebung"/>
        </w:rPr>
        <w:t>{A}</w:t>
      </w:r>
      <w:r>
        <w:rPr>
          <w:i/>
          <w:iCs/>
        </w:rPr>
        <w:br/>
      </w:r>
      <w:r>
        <w:rPr>
          <w:rStyle w:val="Hervorhebung"/>
        </w:rPr>
        <w:t>\left(</w:t>
      </w:r>
      <w:r>
        <w:rPr>
          <w:i/>
          <w:iCs/>
        </w:rPr>
        <w:br/>
      </w:r>
      <w:r>
        <w:rPr>
          <w:rStyle w:val="Hervorhebung"/>
        </w:rPr>
        <w:lastRenderedPageBreak/>
        <w:t>A</w:t>
      </w:r>
      <w:r>
        <w:t>{ij}</w:t>
      </w:r>
      <w:r>
        <w:br/>
        <w:t>\right)</w:t>
      </w:r>
    </w:p>
    <w:p w:rsidR="00AE0E77" w:rsidRDefault="00AE0E77" w:rsidP="00AE0E77">
      <w:pPr>
        <w:pStyle w:val="StandardWeb"/>
      </w:pPr>
      <w:r>
        <w:t>L^\ast</w:t>
      </w:r>
      <w:r>
        <w:br/>
        <w:t>\qquad</w:t>
      </w:r>
      <w:r>
        <w:br/>
        <w:t>\forall i,j.</w:t>
      </w:r>
      <w:r>
        <w:br/>
        <w:t>\tag{3.6625}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\operatorname{Klasse}_{A}\left(A_{ij}\right)=L^{\ast}\qquad\forall i,j\qquad\text{(3.6625)}</w:t>
      </w:r>
    </w:p>
    <w:p w:rsidR="00AE0E77" w:rsidRDefault="00AE0E77" w:rsidP="00AE0E77">
      <w:pPr>
        <w:pStyle w:val="StandardWeb"/>
      </w:pPr>
      <w:r>
        <w:t>Damit bleibt die zentrale Aussage sowohl gegenüber zulässigen Operationalisierungsvarianten als auch gegenüber den betrachteten Zielkontexten erhalten.</w:t>
      </w:r>
    </w:p>
    <w:p w:rsidR="00AE0E77" w:rsidRDefault="00AE0E77" w:rsidP="00AE0E77">
      <w:pPr>
        <w:pStyle w:val="StandardWeb"/>
      </w:pPr>
      <w:r>
        <w:t>Diese Bedingung ist erheblich stärker als eine alleinige Reproduzierbarkeit innerhalb eines einzigen Datensatzes [58, 79].</w:t>
      </w:r>
    </w:p>
    <w:p w:rsidR="00AE0E77" w:rsidRDefault="00E50336" w:rsidP="00AE0E77">
      <w:r>
        <w:pict>
          <v:rect id="_x0000_i1210" style="width:0;height:1.5pt" o:hralign="center" o:hrstd="t" o:hr="t" fillcolor="#a0a0a0" stroked="f"/>
        </w:pict>
      </w:r>
    </w:p>
    <w:p w:rsidR="00AE0E77" w:rsidRDefault="00AE0E77" w:rsidP="00AE0E77">
      <w:pPr>
        <w:pStyle w:val="berschrift2"/>
      </w:pPr>
      <w:r>
        <w:t>3.3.39.70 Robustheit gegenüber Stichprobenvariation</w:t>
      </w:r>
    </w:p>
    <w:p w:rsidR="00AE0E77" w:rsidRDefault="00AE0E77" w:rsidP="00AE0E77">
      <w:pPr>
        <w:pStyle w:val="StandardWeb"/>
      </w:pPr>
      <w:r>
        <w:t>Eine Operationalisierung kann außerdem auf unterschiedlichen Stichproben verschieden reagieren. Deshalb muss zwischen Operationalisierungs- und Stichprobenrobustheit unterschieden werden.</w:t>
      </w:r>
    </w:p>
    <w:p w:rsidR="00AE0E77" w:rsidRDefault="00AE0E77" w:rsidP="00AE0E77">
      <w:pPr>
        <w:pStyle w:val="StandardWeb"/>
      </w:pPr>
      <w:r>
        <w:t>Sei</w:t>
      </w:r>
    </w:p>
    <w:p w:rsidR="00AE0E77" w:rsidRDefault="00AE0E77" w:rsidP="00AE0E77">
      <w:pPr>
        <w:pStyle w:val="StandardWeb"/>
      </w:pPr>
      <w:r>
        <w:t>[</w:t>
      </w:r>
      <w:r>
        <w:br/>
        <w:t>\mathcal{D}^{(s)}</w:t>
      </w:r>
      <w:r>
        <w:br/>
        <w:t>\tag{3.6626}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\mathcal{D}^{(s)}\qquad\text{(3.6626)}</w:t>
      </w:r>
    </w:p>
    <w:p w:rsidR="00AE0E77" w:rsidRDefault="00AE0E77" w:rsidP="00AE0E77">
      <w:pPr>
        <w:pStyle w:val="StandardWeb"/>
      </w:pPr>
      <w:r>
        <w:t>der Datensatz beziehungsweise die Stichprobe (s).</w:t>
      </w:r>
    </w:p>
    <w:p w:rsidR="00AE0E77" w:rsidRDefault="00AE0E77" w:rsidP="00AE0E77">
      <w:pPr>
        <w:pStyle w:val="StandardWeb"/>
      </w:pPr>
      <w:r>
        <w:t>Dann lautet die Aussage</w:t>
      </w:r>
    </w:p>
    <w:p w:rsidR="00AE0E77" w:rsidRDefault="00AE0E77" w:rsidP="00AE0E77">
      <w:pPr>
        <w:pStyle w:val="berschrift1"/>
      </w:pPr>
      <w:r>
        <w:t>[</w:t>
      </w:r>
      <w:r>
        <w:br/>
        <w:t>A_{js}</w:t>
      </w:r>
    </w:p>
    <w:p w:rsidR="00AE0E77" w:rsidRDefault="00AE0E77" w:rsidP="00AE0E77">
      <w:pPr>
        <w:pStyle w:val="StandardWeb"/>
      </w:pPr>
      <w:r>
        <w:t>A_F</w:t>
      </w:r>
      <w:r>
        <w:br/>
        <w:t>\left(</w:t>
      </w:r>
      <w:r>
        <w:br/>
      </w:r>
      <w:r>
        <w:lastRenderedPageBreak/>
        <w:t>\mathcal{O}_j,</w:t>
      </w:r>
      <w:r>
        <w:br/>
        <w:t>\mathcal{D}^{(s)}</w:t>
      </w:r>
      <w:r>
        <w:br/>
        <w:t>\right).</w:t>
      </w:r>
      <w:r>
        <w:br/>
        <w:t>\tag{3.6627}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A_{js}=A_F\left(\mathcal{O}_j,\mathcal{D}^{(s)}\right)\qquad\text{(3.6627)}</w:t>
      </w:r>
    </w:p>
    <w:p w:rsidR="00AE0E77" w:rsidRDefault="00AE0E77" w:rsidP="00AE0E77">
      <w:pPr>
        <w:pStyle w:val="StandardWeb"/>
      </w:pPr>
      <w:r>
        <w:t>Für mehrere Operationalisierungen und mehrere Stichproben entsteht</w:t>
      </w:r>
    </w:p>
    <w:p w:rsidR="00AE0E77" w:rsidRDefault="00AE0E77" w:rsidP="00AE0E77">
      <w:pPr>
        <w:pStyle w:val="berschrift1"/>
      </w:pPr>
      <w:r>
        <w:t>[</w:t>
      </w:r>
      <w:r>
        <w:br/>
        <w:t>\mathbf{A}_{\mathcal{O}\mathcal{D}}</w:t>
      </w:r>
    </w:p>
    <w:p w:rsidR="00AE0E77" w:rsidRDefault="00AE0E77" w:rsidP="00AE0E77">
      <w:pPr>
        <w:pStyle w:val="StandardWeb"/>
      </w:pPr>
      <w:r>
        <w:t>\left[</w:t>
      </w:r>
      <w:r>
        <w:br/>
        <w:t>A_{js}</w:t>
      </w:r>
      <w:r>
        <w:br/>
        <w:t>\right].</w:t>
      </w:r>
      <w:r>
        <w:br/>
        <w:t>\tag{3.6628}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\mathbf{A}_{\mathcal{O}\mathcal{D}}=\left[A_{js}\right]\qquad\text{(3.6628)}</w:t>
      </w:r>
    </w:p>
    <w:p w:rsidR="00AE0E77" w:rsidRDefault="00AE0E77" w:rsidP="00AE0E77">
      <w:pPr>
        <w:pStyle w:val="StandardWeb"/>
      </w:pPr>
      <w:r>
        <w:t>Eine Aussage kann operationalisierungsrobust, aber stichprobeninstabil sein. Ebenso kann sie innerhalb einer Stichprobe stabil erscheinen, ihre Richtung jedoch bei einer anderen Stichprobe wechseln. Beide Effekte müssen getrennt dokumentiert werden [58, 59].</w:t>
      </w:r>
    </w:p>
    <w:p w:rsidR="00AE0E77" w:rsidRDefault="00E50336" w:rsidP="00AE0E77">
      <w:r>
        <w:pict>
          <v:rect id="_x0000_i1211" style="width:0;height:1.5pt" o:hralign="center" o:hrstd="t" o:hr="t" fillcolor="#a0a0a0" stroked="f"/>
        </w:pict>
      </w:r>
    </w:p>
    <w:p w:rsidR="00AE0E77" w:rsidRDefault="00AE0E77" w:rsidP="00AE0E77">
      <w:pPr>
        <w:pStyle w:val="berschrift2"/>
      </w:pPr>
      <w:r>
        <w:t>3.3.39.71 Drei Achsen empirischer Robustheit</w:t>
      </w:r>
    </w:p>
    <w:p w:rsidR="00AE0E77" w:rsidRDefault="00AE0E77" w:rsidP="00AE0E77">
      <w:pPr>
        <w:pStyle w:val="StandardWeb"/>
      </w:pPr>
      <w:r>
        <w:t>Aus den bisherigen Prüfungen ergeben sich mindestens drei voneinander unterscheidbare Achsen:</w:t>
      </w:r>
    </w:p>
    <w:p w:rsidR="00AE0E77" w:rsidRDefault="00AE0E77" w:rsidP="00AE0E77">
      <w:pPr>
        <w:pStyle w:val="StandardWeb"/>
      </w:pPr>
      <w:r>
        <w:t>[</w:t>
      </w:r>
      <w:r>
        <w:br/>
        <w:t>R_{\mathcal{O}}</w:t>
      </w:r>
      <w:r>
        <w:br/>
        <w:t>\tag{3.6629}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R_{\mathcal{O}}\qquad\text{(3.6629)}</w:t>
      </w:r>
    </w:p>
    <w:p w:rsidR="00AE0E77" w:rsidRDefault="00AE0E77" w:rsidP="00AE0E77">
      <w:pPr>
        <w:pStyle w:val="StandardWeb"/>
      </w:pPr>
      <w:r>
        <w:t>für Operationalisierungsrobustheit,</w:t>
      </w:r>
    </w:p>
    <w:p w:rsidR="00AE0E77" w:rsidRDefault="00AE0E77" w:rsidP="00AE0E77">
      <w:pPr>
        <w:pStyle w:val="StandardWeb"/>
      </w:pPr>
      <w:r>
        <w:t>[</w:t>
      </w:r>
      <w:r>
        <w:br/>
        <w:t>R_{\mathcal{M}}</w:t>
      </w:r>
      <w:r>
        <w:br/>
      </w:r>
      <w:r>
        <w:lastRenderedPageBreak/>
        <w:t>\tag{3.6630}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R_{\mathcal{M}}\qquad\text{(3.6630)}</w:t>
      </w:r>
    </w:p>
    <w:p w:rsidR="00AE0E77" w:rsidRDefault="00AE0E77" w:rsidP="00AE0E77">
      <w:pPr>
        <w:pStyle w:val="StandardWeb"/>
      </w:pPr>
      <w:r>
        <w:t>für Modellrobustheit und</w:t>
      </w:r>
    </w:p>
    <w:p w:rsidR="00AE0E77" w:rsidRDefault="00AE0E77" w:rsidP="00AE0E77">
      <w:pPr>
        <w:pStyle w:val="StandardWeb"/>
      </w:pPr>
      <w:r>
        <w:t>[</w:t>
      </w:r>
      <w:r>
        <w:br/>
        <w:t>R_{\mathcal{D}}</w:t>
      </w:r>
      <w:r>
        <w:br/>
        <w:t>\tag{3.6631}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R_{\mathcal{D}}\qquad\text{(3.6631)}</w:t>
      </w:r>
    </w:p>
    <w:p w:rsidR="00AE0E77" w:rsidRDefault="00AE0E77" w:rsidP="00AE0E77">
      <w:pPr>
        <w:pStyle w:val="StandardWeb"/>
      </w:pPr>
      <w:r>
        <w:t>für Daten- beziehungsweise Stichprobenrobustheit.</w:t>
      </w:r>
    </w:p>
    <w:p w:rsidR="00AE0E77" w:rsidRDefault="00AE0E77" w:rsidP="00AE0E77">
      <w:pPr>
        <w:pStyle w:val="StandardWeb"/>
      </w:pPr>
      <w:r>
        <w:t>Ich fasse sie zunächst zu einem Robustheitsvektor zusammen:</w:t>
      </w:r>
    </w:p>
    <w:p w:rsidR="00AE0E77" w:rsidRDefault="00AE0E77" w:rsidP="00AE0E77">
      <w:pPr>
        <w:pStyle w:val="berschrift1"/>
      </w:pPr>
      <w:r>
        <w:t>[</w:t>
      </w:r>
      <w:r>
        <w:br/>
        <w:t>\mathbf{R}_{F}</w:t>
      </w:r>
    </w:p>
    <w:p w:rsidR="00AE0E77" w:rsidRDefault="00AE0E77" w:rsidP="00AE0E77">
      <w:pPr>
        <w:pStyle w:val="StandardWeb"/>
      </w:pPr>
      <w:r>
        <w:t>\left(</w:t>
      </w:r>
      <w:r>
        <w:br/>
        <w:t>R_{\mathcal{O}},</w:t>
      </w:r>
      <w:r>
        <w:br/>
        <w:t>R_{\mathcal{M}},</w:t>
      </w:r>
      <w:r>
        <w:br/>
        <w:t>R_{\mathcal{D}}</w:t>
      </w:r>
      <w:r>
        <w:br/>
        <w:t>\right).</w:t>
      </w:r>
      <w:r>
        <w:br/>
        <w:t>\tag{3.6632}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\mathbf{R}_{F}=\left(R_{\mathcal{O}},R_{\mathcal{M}},R_{\mathcal{D}}\right)\qquad\text{(3.6632)}</w:t>
      </w:r>
    </w:p>
    <w:p w:rsidR="00AE0E77" w:rsidRDefault="00AE0E77" w:rsidP="00AE0E77">
      <w:pPr>
        <w:pStyle w:val="StandardWeb"/>
      </w:pPr>
      <w:r>
        <w:t>Diese Darstellung ist methodisch sinnvoller als ein vorschnelles Zusammenfassen zu einem einzigen Robustheitsscore. Ein einzelner Mittelwert könnte beispielsweise eine sehr geringe Operationalisierungsrobustheit durch hohe Stabilität auf einer anderen Achse verdecken [59, 79].</w:t>
      </w:r>
    </w:p>
    <w:p w:rsidR="00AE0E77" w:rsidRDefault="00E50336" w:rsidP="00AE0E77">
      <w:r>
        <w:pict>
          <v:rect id="_x0000_i1212" style="width:0;height:1.5pt" o:hralign="center" o:hrstd="t" o:hr="t" fillcolor="#a0a0a0" stroked="f"/>
        </w:pict>
      </w:r>
    </w:p>
    <w:p w:rsidR="00AE0E77" w:rsidRDefault="00AE0E77" w:rsidP="00AE0E77">
      <w:pPr>
        <w:pStyle w:val="berschrift2"/>
      </w:pPr>
      <w:r>
        <w:t>3.3.39.72 Mindestprinzip für Robustheit</w:t>
      </w:r>
    </w:p>
    <w:p w:rsidR="00AE0E77" w:rsidRDefault="00AE0E77" w:rsidP="00AE0E77">
      <w:pPr>
        <w:pStyle w:val="StandardWeb"/>
      </w:pPr>
      <w:r>
        <w:t>Für bestimmte wissenschaftliche Anwendungen kann statt eines Mittelwerts das schwächste Glied entscheidend sein.</w:t>
      </w:r>
    </w:p>
    <w:p w:rsidR="00AE0E77" w:rsidRDefault="00AE0E77" w:rsidP="00AE0E77">
      <w:pPr>
        <w:pStyle w:val="StandardWeb"/>
      </w:pPr>
      <w:r>
        <w:lastRenderedPageBreak/>
        <w:t>Ich definiere daher</w:t>
      </w:r>
    </w:p>
    <w:p w:rsidR="00AE0E77" w:rsidRDefault="00AE0E77" w:rsidP="00AE0E77">
      <w:pPr>
        <w:pStyle w:val="berschrift1"/>
      </w:pPr>
      <w:r>
        <w:t>[</w:t>
      </w:r>
      <w:r>
        <w:br/>
        <w:t>R_{\min}</w:t>
      </w:r>
    </w:p>
    <w:p w:rsidR="00AE0E77" w:rsidRDefault="00AE0E77" w:rsidP="00AE0E77">
      <w:pPr>
        <w:pStyle w:val="StandardWeb"/>
      </w:pPr>
      <w:r>
        <w:t>\min</w:t>
      </w:r>
      <w:r>
        <w:br/>
        <w:t>\left{</w:t>
      </w:r>
      <w:r>
        <w:br/>
        <w:t>R_{\mathcal{O}},</w:t>
      </w:r>
      <w:r>
        <w:br/>
        <w:t>R_{\mathcal{M}},</w:t>
      </w:r>
      <w:r>
        <w:br/>
        <w:t>R_{\mathcal{D}}</w:t>
      </w:r>
      <w:r>
        <w:br/>
        <w:t>\right}.</w:t>
      </w:r>
      <w:r>
        <w:br/>
        <w:t>\tag{3.6633}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R_{\min}=\min\left\{R_{\mathcal{O}},R_{\mathcal{M}},R_{\mathcal{D}}\right\}\qquad\text{(3.6633)}</w:t>
      </w:r>
    </w:p>
    <w:p w:rsidR="00AE0E77" w:rsidRDefault="00AE0E77" w:rsidP="00AE0E77">
      <w:pPr>
        <w:pStyle w:val="StandardWeb"/>
      </w:pPr>
      <w:r>
        <w:t>Eine konservative Gesamtbewertung könnte fordern</w:t>
      </w:r>
    </w:p>
    <w:p w:rsidR="00AE0E77" w:rsidRDefault="00AE0E77" w:rsidP="00AE0E77">
      <w:pPr>
        <w:pStyle w:val="StandardWeb"/>
      </w:pPr>
      <w:r>
        <w:t>[</w:t>
      </w:r>
      <w:r>
        <w:br/>
        <w:t>R_{\min}</w:t>
      </w:r>
      <w:r>
        <w:br/>
        <w:t>\geq</w:t>
      </w:r>
      <w:r>
        <w:br/>
        <w:t>\tau_R.</w:t>
      </w:r>
      <w:r>
        <w:br/>
        <w:t>\tag{3.6634}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R_{\min}\geq\tau_R\qquad\text{(3.6634)}</w:t>
      </w:r>
    </w:p>
    <w:p w:rsidR="00AE0E77" w:rsidRDefault="00AE0E77" w:rsidP="00AE0E77">
      <w:pPr>
        <w:pStyle w:val="StandardWeb"/>
      </w:pPr>
      <w:r>
        <w:t>Dabei ist (\tau_R) ein vorab begründeter Mindestwert.</w:t>
      </w:r>
    </w:p>
    <w:p w:rsidR="00AE0E77" w:rsidRDefault="00AE0E77" w:rsidP="00AE0E77">
      <w:pPr>
        <w:pStyle w:val="StandardWeb"/>
      </w:pPr>
      <w:r>
        <w:t>Diese Form besitzt den Vorteil, dass eine gravierende Schwäche auf einer einzelnen Robustheitsachse nicht durch hohe Werte auf anderen Achsen kompensiert wird.</w:t>
      </w:r>
    </w:p>
    <w:p w:rsidR="00AE0E77" w:rsidRDefault="00AE0E77" w:rsidP="00AE0E77">
      <w:pPr>
        <w:pStyle w:val="StandardWeb"/>
      </w:pPr>
      <w:r>
        <w:t>Sie ist jedoch nur eine mögliche Bewertungsregel und wird im FRZK nicht als universeller Standard postuliert [58, 79].</w:t>
      </w:r>
    </w:p>
    <w:p w:rsidR="00AE0E77" w:rsidRDefault="00E50336" w:rsidP="00AE0E77">
      <w:r>
        <w:pict>
          <v:rect id="_x0000_i1213" style="width:0;height:1.5pt" o:hralign="center" o:hrstd="t" o:hr="t" fillcolor="#a0a0a0" stroked="f"/>
        </w:pict>
      </w:r>
    </w:p>
    <w:p w:rsidR="00AE0E77" w:rsidRDefault="00AE0E77" w:rsidP="00AE0E77">
      <w:pPr>
        <w:pStyle w:val="berschrift2"/>
      </w:pPr>
      <w:r>
        <w:t>3.3.39.73 Operationalisierungsabhängige Unsicherheitszerlegung</w:t>
      </w:r>
    </w:p>
    <w:p w:rsidR="00AE0E77" w:rsidRDefault="00AE0E77" w:rsidP="00AE0E77">
      <w:pPr>
        <w:pStyle w:val="StandardWeb"/>
      </w:pPr>
      <w:r>
        <w:t>Die Gesamtunsicherheit einer Aussage kann weiter zerlegt werden. Ich schreibe</w:t>
      </w:r>
    </w:p>
    <w:p w:rsidR="00AE0E77" w:rsidRDefault="00AE0E77" w:rsidP="00AE0E77">
      <w:pPr>
        <w:pStyle w:val="berschrift1"/>
      </w:pPr>
      <w:r>
        <w:lastRenderedPageBreak/>
        <w:t>[</w:t>
      </w:r>
      <w:r>
        <w:br/>
        <w:t>u_{\mathrm{ges}}</w:t>
      </w:r>
    </w:p>
    <w:p w:rsidR="00AE0E77" w:rsidRDefault="00AE0E77" w:rsidP="00AE0E77">
      <w:pPr>
        <w:pStyle w:val="StandardWeb"/>
      </w:pPr>
      <w:r>
        <w:t>\mathcal{U}</w:t>
      </w:r>
      <w:r>
        <w:br/>
        <w:t>\left(</w:t>
      </w:r>
      <w:r>
        <w:br/>
        <w:t>u_{\mathrm{mess}},</w:t>
      </w:r>
      <w:r>
        <w:br/>
        <w:t>u_{\mathrm{stich}},</w:t>
      </w:r>
      <w:r>
        <w:br/>
        <w:t>u_{\mathrm{mod}},</w:t>
      </w:r>
      <w:r>
        <w:br/>
        <w:t>u_{\mathcal{O}},</w:t>
      </w:r>
      <w:r>
        <w:br/>
        <w:t>u_{\mathrm{trans}}</w:t>
      </w:r>
      <w:r>
        <w:br/>
        <w:t>\right).</w:t>
      </w:r>
      <w:r>
        <w:br/>
        <w:t>\tag{3.6635}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u_{\mathrm{ges}}=\mathcal{U}\left(u_{\mathrm{mess}},u_{\mathrm{stich}},u_{\mathrm{mod}},u_{\mathcal{O}},u_{\mathrm{trans}}\right)\qquad\text{(3.6635)}</w:t>
      </w:r>
    </w:p>
    <w:p w:rsidR="00AE0E77" w:rsidRDefault="00AE0E77" w:rsidP="00AE0E77">
      <w:pPr>
        <w:pStyle w:val="StandardWeb"/>
      </w:pPr>
      <w:r>
        <w:t>Dabei bezeichnen</w:t>
      </w:r>
    </w:p>
    <w:p w:rsidR="00AE0E77" w:rsidRDefault="00AE0E77" w:rsidP="008C5E65">
      <w:pPr>
        <w:pStyle w:val="StandardWeb"/>
        <w:numPr>
          <w:ilvl w:val="0"/>
          <w:numId w:val="308"/>
        </w:numPr>
      </w:pPr>
      <w:r>
        <w:t>(u_{\mathrm{mess}}) die Messunsicherheit,</w:t>
      </w:r>
    </w:p>
    <w:p w:rsidR="00AE0E77" w:rsidRDefault="00AE0E77" w:rsidP="008C5E65">
      <w:pPr>
        <w:pStyle w:val="StandardWeb"/>
        <w:numPr>
          <w:ilvl w:val="0"/>
          <w:numId w:val="308"/>
        </w:numPr>
      </w:pPr>
      <w:r>
        <w:t>(u_{\mathrm{stich}}) die Stichprobenunsicherheit,</w:t>
      </w:r>
    </w:p>
    <w:p w:rsidR="00AE0E77" w:rsidRDefault="00AE0E77" w:rsidP="008C5E65">
      <w:pPr>
        <w:pStyle w:val="StandardWeb"/>
        <w:numPr>
          <w:ilvl w:val="0"/>
          <w:numId w:val="308"/>
        </w:numPr>
      </w:pPr>
      <w:r>
        <w:t>(u_{\mathrm{mod}}) die Modellunsicherheit,</w:t>
      </w:r>
    </w:p>
    <w:p w:rsidR="00AE0E77" w:rsidRDefault="00AE0E77" w:rsidP="008C5E65">
      <w:pPr>
        <w:pStyle w:val="StandardWeb"/>
        <w:numPr>
          <w:ilvl w:val="0"/>
          <w:numId w:val="308"/>
        </w:numPr>
      </w:pPr>
      <w:r>
        <w:t>(u_{\mathcal{O}}) die Operationalisierungsunsicherheit,</w:t>
      </w:r>
    </w:p>
    <w:p w:rsidR="00AE0E77" w:rsidRDefault="00AE0E77" w:rsidP="008C5E65">
      <w:pPr>
        <w:pStyle w:val="StandardWeb"/>
        <w:numPr>
          <w:ilvl w:val="0"/>
          <w:numId w:val="308"/>
        </w:numPr>
      </w:pPr>
      <w:r>
        <w:t>(u_{\mathrm{trans}}) die Transportunsicherheit.</w:t>
      </w:r>
    </w:p>
    <w:p w:rsidR="00AE0E77" w:rsidRDefault="00AE0E77" w:rsidP="00AE0E77">
      <w:pPr>
        <w:pStyle w:val="StandardWeb"/>
      </w:pPr>
      <w:r>
        <w:t>Diese Zerlegung ist konzeptionell. Die Beiträge müssen nicht statistisch unabhängig sein. Eine einfache quadratische Addition ist deshalb nur unter zusätzlichen Voraussetzungen zulässig [58, 59].</w:t>
      </w:r>
    </w:p>
    <w:p w:rsidR="00AE0E77" w:rsidRDefault="00AE0E77" w:rsidP="00AE0E77">
      <w:pPr>
        <w:pStyle w:val="StandardWeb"/>
      </w:pPr>
      <w:r>
        <w:t>Operationalisierungsentscheidungen können beispielsweise zugleich Modell- und Transportunsicherheit beeinflussen. Die Unsicherheitsstruktur kann somit gekoppelt sein:</w:t>
      </w:r>
    </w:p>
    <w:p w:rsidR="00AE0E77" w:rsidRDefault="00AE0E77" w:rsidP="00AE0E77">
      <w:pPr>
        <w:pStyle w:val="berschrift1"/>
      </w:pPr>
      <w:r>
        <w:t>[</w:t>
      </w:r>
      <w:r>
        <w:br/>
        <w:t>u_{\mathrm{ges}}</w:t>
      </w:r>
    </w:p>
    <w:p w:rsidR="00AE0E77" w:rsidRDefault="00AE0E77" w:rsidP="00AE0E77">
      <w:pPr>
        <w:pStyle w:val="StandardWeb"/>
      </w:pPr>
      <w:r>
        <w:t>\mathcal{U}</w:t>
      </w:r>
      <w:r>
        <w:br/>
        <w:t>\left(</w:t>
      </w:r>
      <w:r>
        <w:br/>
        <w:t>\mathbf{u},</w:t>
      </w:r>
      <w:r>
        <w:br/>
        <w:t>\mathbf{\Sigma}_{u}</w:t>
      </w:r>
      <w:r>
        <w:br/>
        <w:t>\right).</w:t>
      </w:r>
      <w:r>
        <w:br/>
        <w:t>\tag{3.6636}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u_{\mathrm{ges}}=\mathcal{U}\left(\mathbf{u},\mathbf{\Sigma}_{u}\right)\qquad\text{(3.6636)}</w:t>
      </w:r>
    </w:p>
    <w:p w:rsidR="00AE0E77" w:rsidRDefault="00AE0E77" w:rsidP="00AE0E77">
      <w:pPr>
        <w:pStyle w:val="StandardWeb"/>
      </w:pPr>
      <w:r>
        <w:lastRenderedPageBreak/>
        <w:t>Dabei bezeichnet (\mathbf{\Sigma}_{u}) abstrakt die Abhängigkeitsstruktur zwischen den Unsicherheitskomponenten.</w:t>
      </w:r>
    </w:p>
    <w:p w:rsidR="00AE0E77" w:rsidRDefault="00E50336" w:rsidP="00AE0E77">
      <w:r>
        <w:pict>
          <v:rect id="_x0000_i1214" style="width:0;height:1.5pt" o:hralign="center" o:hrstd="t" o:hr="t" fillcolor="#a0a0a0" stroked="f"/>
        </w:pict>
      </w:r>
    </w:p>
    <w:p w:rsidR="00AE0E77" w:rsidRDefault="00AE0E77" w:rsidP="00AE0E77">
      <w:pPr>
        <w:pStyle w:val="berschrift2"/>
      </w:pPr>
      <w:r>
        <w:t>3.3.39.74 Operationalisierungsbedingte Unsicherheitsdominanz</w:t>
      </w:r>
    </w:p>
    <w:p w:rsidR="00AE0E77" w:rsidRDefault="00AE0E77" w:rsidP="00AE0E77">
      <w:pPr>
        <w:pStyle w:val="StandardWeb"/>
      </w:pPr>
      <w:r>
        <w:t>Es kann vorkommen, dass Operationalisierungsunsicherheit sämtliche anderen Unsicherheitsanteile dominiert.</w:t>
      </w:r>
    </w:p>
    <w:p w:rsidR="00AE0E77" w:rsidRDefault="00AE0E77" w:rsidP="00AE0E77">
      <w:pPr>
        <w:pStyle w:val="StandardWeb"/>
      </w:pPr>
      <w:r>
        <w:t>Ich bezeichne diesen Fall durch</w:t>
      </w:r>
    </w:p>
    <w:p w:rsidR="00AE0E77" w:rsidRDefault="00AE0E77" w:rsidP="00AE0E77">
      <w:pPr>
        <w:pStyle w:val="StandardWeb"/>
      </w:pPr>
      <w:r>
        <w:t>[</w:t>
      </w:r>
      <w:r>
        <w:br/>
        <w:t>u_{\mathcal{O}}</w:t>
      </w:r>
    </w:p>
    <w:p w:rsidR="00AE0E77" w:rsidRDefault="00AE0E77" w:rsidP="00AE0E77">
      <w:pPr>
        <w:pStyle w:val="StandardWeb"/>
      </w:pPr>
      <w:r>
        <w:t>u_{\mathrm{mess}},</w:t>
      </w:r>
      <w:r>
        <w:br/>
        <w:t>\qquad</w:t>
      </w:r>
      <w:r>
        <w:br/>
        <w:t>u_{\mathcal{O}}</w:t>
      </w:r>
    </w:p>
    <w:p w:rsidR="00AE0E77" w:rsidRDefault="00AE0E77" w:rsidP="00AE0E77">
      <w:pPr>
        <w:pStyle w:val="StandardWeb"/>
      </w:pPr>
      <w:r>
        <w:t>u_{\mathrm{stich}},</w:t>
      </w:r>
      <w:r>
        <w:br/>
        <w:t>\qquad</w:t>
      </w:r>
      <w:r>
        <w:br/>
        <w:t>u_{\mathcal{O}}</w:t>
      </w:r>
    </w:p>
    <w:p w:rsidR="00AE0E77" w:rsidRDefault="00AE0E77" w:rsidP="00AE0E77">
      <w:pPr>
        <w:pStyle w:val="StandardWeb"/>
      </w:pPr>
      <w:r>
        <w:t>u_{\mathrm{mod}}.</w:t>
      </w:r>
      <w:r>
        <w:br/>
        <w:t>\tag{3.6637}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u_{\mathcal{O}}&gt;u_{\mathrm{mess}},\qquad u_{\mathcal{O}}&gt;u_{\mathrm{stich}},\qquad u_{\mathcal{O}}&gt;u_{\mathrm{mod}}\qquad\text{(3.6637)}</w:t>
      </w:r>
    </w:p>
    <w:p w:rsidR="00AE0E77" w:rsidRDefault="00AE0E77" w:rsidP="00AE0E77">
      <w:pPr>
        <w:pStyle w:val="StandardWeb"/>
      </w:pPr>
      <w:r>
        <w:t>In einem solchen Fall wäre eine weitere Erhöhung der Messpräzision allein methodisch wenig wirksam. Die zentrale wissenschaftliche Aufgabe bestünde vielmehr darin, die theoretische und empirische Begründung der Operationalisierung zu verbessern.</w:t>
      </w:r>
    </w:p>
    <w:p w:rsidR="00AE0E77" w:rsidRDefault="00AE0E77" w:rsidP="00AE0E77">
      <w:pPr>
        <w:pStyle w:val="StandardWeb"/>
      </w:pPr>
      <w:r>
        <w:t>Dies zeigt, dass technische Messgenauigkeit und wissenschaftliche Aussagegenauigkeit unterschiedliche Größen sind [58, 79].</w:t>
      </w:r>
    </w:p>
    <w:p w:rsidR="00AE0E77" w:rsidRDefault="00E50336" w:rsidP="00AE0E77">
      <w:r>
        <w:pict>
          <v:rect id="_x0000_i1215" style="width:0;height:1.5pt" o:hralign="center" o:hrstd="t" o:hr="t" fillcolor="#a0a0a0" stroked="f"/>
        </w:pict>
      </w:r>
    </w:p>
    <w:p w:rsidR="00AE0E77" w:rsidRDefault="00AE0E77" w:rsidP="00AE0E77">
      <w:pPr>
        <w:pStyle w:val="berschrift2"/>
      </w:pPr>
      <w:r>
        <w:t>3.3.39.75 Operationalisierungsrobustheit und Replikation</w:t>
      </w:r>
    </w:p>
    <w:p w:rsidR="00AE0E77" w:rsidRDefault="00AE0E77" w:rsidP="00AE0E77">
      <w:pPr>
        <w:pStyle w:val="StandardWeb"/>
      </w:pPr>
      <w:r>
        <w:t>Eine Replikation kann zwei unterschiedliche Fragen untersuchen.</w:t>
      </w:r>
    </w:p>
    <w:p w:rsidR="00AE0E77" w:rsidRDefault="00AE0E77" w:rsidP="00AE0E77">
      <w:pPr>
        <w:pStyle w:val="StandardWeb"/>
      </w:pPr>
      <w:r>
        <w:t xml:space="preserve">Eine </w:t>
      </w:r>
      <w:r>
        <w:rPr>
          <w:rStyle w:val="Fett"/>
        </w:rPr>
        <w:t>direkte Replikation</w:t>
      </w:r>
      <w:r>
        <w:t xml:space="preserve"> behält die Operationalisierung weitgehend konstant:</w:t>
      </w:r>
    </w:p>
    <w:p w:rsidR="00AE0E77" w:rsidRDefault="00AE0E77" w:rsidP="00AE0E77">
      <w:pPr>
        <w:pStyle w:val="StandardWeb"/>
      </w:pPr>
      <w:r>
        <w:t>[</w:t>
      </w:r>
      <w:r>
        <w:br/>
        <w:t>\mathcal{O}^{(2)}</w:t>
      </w:r>
      <w:r>
        <w:br/>
      </w:r>
      <w:r>
        <w:lastRenderedPageBreak/>
        <w:t>\approx</w:t>
      </w:r>
      <w:r>
        <w:br/>
        <w:t>\mathcal{O}^{(1)}.</w:t>
      </w:r>
      <w:r>
        <w:br/>
        <w:t>\tag{3.6638}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\mathcal{O}^{(2)}\approx\mathcal{O}^{(1)}\qquad\text{(3.6638)}</w:t>
      </w:r>
    </w:p>
    <w:p w:rsidR="00AE0E77" w:rsidRDefault="00AE0E77" w:rsidP="00AE0E77">
      <w:pPr>
        <w:pStyle w:val="StandardWeb"/>
      </w:pPr>
      <w:r>
        <w:t xml:space="preserve">Eine </w:t>
      </w:r>
      <w:r>
        <w:rPr>
          <w:rStyle w:val="Fett"/>
        </w:rPr>
        <w:t>konzeptionelle Replikation</w:t>
      </w:r>
      <w:r>
        <w:t xml:space="preserve"> kann dasselbe theoretische Konzept anders operationalisieren:</w:t>
      </w:r>
    </w:p>
    <w:p w:rsidR="00AE0E77" w:rsidRDefault="00AE0E77" w:rsidP="00AE0E77">
      <w:pPr>
        <w:pStyle w:val="StandardWeb"/>
      </w:pPr>
      <w:r>
        <w:t>[</w:t>
      </w:r>
      <w:r>
        <w:br/>
        <w:t>\mathcal{O}^{(2)}</w:t>
      </w:r>
      <w:r>
        <w:br/>
        <w:t>\neq</w:t>
      </w:r>
      <w:r>
        <w:br/>
        <w:t>\mathcal{O}^{(1)}.</w:t>
      </w:r>
      <w:r>
        <w:br/>
        <w:t>\tag{3.6639}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\mathcal{O}^{(2)}\neq\mathcal{O}^{(1)}\qquad\text{(3.6639)}</w:t>
      </w:r>
    </w:p>
    <w:p w:rsidR="00AE0E77" w:rsidRDefault="00AE0E77" w:rsidP="00AE0E77">
      <w:pPr>
        <w:pStyle w:val="StandardWeb"/>
      </w:pPr>
      <w:r>
        <w:t>Bleibt die relevante Aussage dennoch erhalten,</w:t>
      </w:r>
    </w:p>
    <w:p w:rsidR="00AE0E77" w:rsidRDefault="00AE0E77" w:rsidP="00AE0E77">
      <w:pPr>
        <w:pStyle w:val="StandardWeb"/>
      </w:pPr>
      <w:r>
        <w:t>[</w:t>
      </w:r>
      <w:r>
        <w:br/>
        <w:t>A_F^{(2)}</w:t>
      </w:r>
      <w:r>
        <w:br/>
        <w:t>\sim_A</w:t>
      </w:r>
      <w:r>
        <w:br/>
        <w:t>A_F^{(1)},</w:t>
      </w:r>
      <w:r>
        <w:br/>
        <w:t>\tag{3.6640}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A_F^{(2)}\sim_A A_F^{(1)}\qquad\text{(3.6640)}</w:t>
      </w:r>
    </w:p>
    <w:p w:rsidR="00AE0E77" w:rsidRDefault="00AE0E77" w:rsidP="00AE0E77">
      <w:pPr>
        <w:pStyle w:val="StandardWeb"/>
      </w:pPr>
      <w:r>
        <w:t>liefert die konzeptionelle Replikation zusätzliche Evidenz für Operationalisierungsrobustheit.</w:t>
      </w:r>
    </w:p>
    <w:p w:rsidR="00AE0E77" w:rsidRDefault="00AE0E77" w:rsidP="00AE0E77">
      <w:pPr>
        <w:pStyle w:val="StandardWeb"/>
      </w:pPr>
      <w:r>
        <w:t>Damit erhält die Unterscheidung zwischen direkter und konzeptioneller Replikation eine präzise funktionale Bedeutung innerhalb des FRZK [58, 59].</w:t>
      </w:r>
    </w:p>
    <w:p w:rsidR="00AE0E77" w:rsidRDefault="00E50336" w:rsidP="00AE0E77">
      <w:r>
        <w:pict>
          <v:rect id="_x0000_i1216" style="width:0;height:1.5pt" o:hralign="center" o:hrstd="t" o:hr="t" fillcolor="#a0a0a0" stroked="f"/>
        </w:pict>
      </w:r>
    </w:p>
    <w:p w:rsidR="00AE0E77" w:rsidRDefault="00AE0E77" w:rsidP="00AE0E77">
      <w:pPr>
        <w:pStyle w:val="berschrift2"/>
      </w:pPr>
      <w:r>
        <w:t>3.3.39.76 Operationalisierungsrobustheit und theoretische Unterbestimmtheit</w:t>
      </w:r>
    </w:p>
    <w:p w:rsidR="00AE0E77" w:rsidRDefault="00AE0E77" w:rsidP="00AE0E77">
      <w:pPr>
        <w:pStyle w:val="StandardWeb"/>
      </w:pPr>
      <w:r>
        <w:t>Mehrere Operationalisierungen können zu denselben empirischen Ergebnissen führen, obwohl sie unterschiedliche theoretische Konzepte voraussetzen.</w:t>
      </w:r>
    </w:p>
    <w:p w:rsidR="00AE0E77" w:rsidRDefault="00AE0E77" w:rsidP="00AE0E77">
      <w:pPr>
        <w:pStyle w:val="StandardWeb"/>
      </w:pPr>
      <w:r>
        <w:t>Seien zwei theoretische Konstrukte gegeben:</w:t>
      </w:r>
    </w:p>
    <w:p w:rsidR="00AE0E77" w:rsidRDefault="00AE0E77" w:rsidP="00AE0E77">
      <w:pPr>
        <w:pStyle w:val="StandardWeb"/>
      </w:pPr>
      <w:r>
        <w:lastRenderedPageBreak/>
        <w:t>[</w:t>
      </w:r>
      <w:r>
        <w:br/>
        <w:t>\mathcal{K}</w:t>
      </w:r>
      <w:r>
        <w:rPr>
          <w:rStyle w:val="Hervorhebung"/>
        </w:rPr>
        <w:t>{F}^{(1)}</w:t>
      </w:r>
      <w:r>
        <w:rPr>
          <w:i/>
          <w:iCs/>
        </w:rPr>
        <w:br/>
      </w:r>
      <w:r>
        <w:rPr>
          <w:rStyle w:val="Hervorhebung"/>
        </w:rPr>
        <w:t>\neq</w:t>
      </w:r>
      <w:r>
        <w:rPr>
          <w:i/>
          <w:iCs/>
        </w:rPr>
        <w:br/>
      </w:r>
      <w:r>
        <w:rPr>
          <w:rStyle w:val="Hervorhebung"/>
        </w:rPr>
        <w:t>\mathcal{K}</w:t>
      </w:r>
      <w:r>
        <w:t>{F}^{(2)}.</w:t>
      </w:r>
      <w:r>
        <w:br/>
        <w:t>\tag{3.6641}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\mathcal{K}_{F}^{(1)}\neq\mathcal{K}_{F}^{(2)}\qquad\text{(3.6641)}</w:t>
      </w:r>
    </w:p>
    <w:p w:rsidR="00AE0E77" w:rsidRDefault="00AE0E77" w:rsidP="00AE0E77">
      <w:pPr>
        <w:pStyle w:val="StandardWeb"/>
      </w:pPr>
      <w:r>
        <w:t>Es kann dennoch gelten</w:t>
      </w:r>
    </w:p>
    <w:p w:rsidR="00AE0E77" w:rsidRDefault="00AE0E77" w:rsidP="00AE0E77">
      <w:pPr>
        <w:pStyle w:val="berschrift1"/>
      </w:pPr>
      <w:r>
        <w:t>[</w:t>
      </w:r>
      <w:r>
        <w:br/>
        <w:t>\mathcal{O}</w:t>
      </w:r>
      <w:r>
        <w:rPr>
          <w:rStyle w:val="Hervorhebung"/>
        </w:rPr>
        <w:t>1</w:t>
      </w:r>
      <w:r>
        <w:rPr>
          <w:i/>
          <w:iCs/>
        </w:rPr>
        <w:br/>
      </w:r>
      <w:r>
        <w:rPr>
          <w:rStyle w:val="Hervorhebung"/>
        </w:rPr>
        <w:t>\left(</w:t>
      </w:r>
      <w:r>
        <w:rPr>
          <w:i/>
          <w:iCs/>
        </w:rPr>
        <w:br/>
      </w:r>
      <w:r>
        <w:rPr>
          <w:rStyle w:val="Hervorhebung"/>
        </w:rPr>
        <w:t>\mathcal{K}</w:t>
      </w:r>
      <w:r>
        <w:t>{F}^{(1)}</w:t>
      </w:r>
      <w:r>
        <w:br/>
        <w:t>\right)</w:t>
      </w:r>
    </w:p>
    <w:p w:rsidR="00AE0E77" w:rsidRDefault="00AE0E77" w:rsidP="00AE0E77">
      <w:pPr>
        <w:pStyle w:val="StandardWeb"/>
      </w:pPr>
      <w:r>
        <w:t>\mathcal{O}</w:t>
      </w:r>
      <w:r>
        <w:rPr>
          <w:rStyle w:val="Hervorhebung"/>
        </w:rPr>
        <w:t>2</w:t>
      </w:r>
      <w:r>
        <w:rPr>
          <w:i/>
          <w:iCs/>
        </w:rPr>
        <w:br/>
      </w:r>
      <w:r>
        <w:rPr>
          <w:rStyle w:val="Hervorhebung"/>
        </w:rPr>
        <w:t>\left(</w:t>
      </w:r>
      <w:r>
        <w:rPr>
          <w:i/>
          <w:iCs/>
        </w:rPr>
        <w:br/>
      </w:r>
      <w:r>
        <w:rPr>
          <w:rStyle w:val="Hervorhebung"/>
        </w:rPr>
        <w:t>\mathcal{K}</w:t>
      </w:r>
      <w:r>
        <w:t>{F}^{(2)}</w:t>
      </w:r>
      <w:r>
        <w:br/>
        <w:t>\right).</w:t>
      </w:r>
      <w:r>
        <w:br/>
        <w:t>\tag{3.6642}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\mathcal{O}_1\left(\mathcal{K}_{F}^{(1)}\right)=\mathcal{O}_2\left(\mathcal{K}_{F}^{(2)}\right)\qquad\text{(3.6642)}</w:t>
      </w:r>
    </w:p>
    <w:p w:rsidR="00AE0E77" w:rsidRDefault="00AE0E77" w:rsidP="00AE0E77">
      <w:pPr>
        <w:pStyle w:val="StandardWeb"/>
      </w:pPr>
      <w:r>
        <w:t>Dies bedeutet, dass identische Beobachtungswerte nicht notwendig dieselbe theoretische Bedeutung besitzen.</w:t>
      </w:r>
    </w:p>
    <w:p w:rsidR="00AE0E77" w:rsidRDefault="00AE0E77" w:rsidP="00AE0E77">
      <w:pPr>
        <w:pStyle w:val="StandardWeb"/>
      </w:pPr>
      <w:r>
        <w:t>Operationalisierungsrobustheit muss daher stets auf eine explizit definierte theoretische Konstruktion bezogen bleiben. Andernfalls könnte eine scheinbare Übereinstimmung empirischer Größen unterschiedliche Gegenstände miteinander vermischen [58, 79].</w:t>
      </w:r>
    </w:p>
    <w:p w:rsidR="00AE0E77" w:rsidRDefault="00E50336" w:rsidP="00AE0E77">
      <w:r>
        <w:pict>
          <v:rect id="_x0000_i1217" style="width:0;height:1.5pt" o:hralign="center" o:hrstd="t" o:hr="t" fillcolor="#a0a0a0" stroked="f"/>
        </w:pict>
      </w:r>
    </w:p>
    <w:p w:rsidR="00AE0E77" w:rsidRDefault="00AE0E77" w:rsidP="00AE0E77">
      <w:pPr>
        <w:pStyle w:val="berschrift2"/>
      </w:pPr>
      <w:r>
        <w:t>3.3.39.77 Semantische Äquivalenz von Operationalisierungen</w:t>
      </w:r>
    </w:p>
    <w:p w:rsidR="00AE0E77" w:rsidRDefault="00AE0E77" w:rsidP="00AE0E77">
      <w:pPr>
        <w:pStyle w:val="StandardWeb"/>
      </w:pPr>
      <w:r>
        <w:t>Für solche Fälle führe ich zusätzlich ein semantisches Äquivalenzprädikat ein:</w:t>
      </w:r>
    </w:p>
    <w:p w:rsidR="00AE0E77" w:rsidRDefault="00AE0E77" w:rsidP="00AE0E77">
      <w:pPr>
        <w:pStyle w:val="StandardWeb"/>
      </w:pPr>
      <w:r>
        <w:t>[</w:t>
      </w:r>
      <w:r>
        <w:br/>
        <w:t>\operatorname{SemEq}</w:t>
      </w:r>
      <w:r>
        <w:br/>
      </w:r>
      <w:r>
        <w:lastRenderedPageBreak/>
        <w:t>\left(</w:t>
      </w:r>
      <w:r>
        <w:br/>
        <w:t>\mathcal{O}_1,</w:t>
      </w:r>
      <w:r>
        <w:br/>
        <w:t>\mathcal{O}</w:t>
      </w:r>
      <w:r>
        <w:rPr>
          <w:rStyle w:val="Hervorhebung"/>
        </w:rPr>
        <w:t>2</w:t>
      </w:r>
      <w:r>
        <w:rPr>
          <w:i/>
          <w:iCs/>
        </w:rPr>
        <w:br/>
      </w:r>
      <w:r>
        <w:rPr>
          <w:rStyle w:val="Hervorhebung"/>
        </w:rPr>
        <w:t>\mid</w:t>
      </w:r>
      <w:r>
        <w:rPr>
          <w:i/>
          <w:iCs/>
        </w:rPr>
        <w:br/>
      </w:r>
      <w:r>
        <w:rPr>
          <w:rStyle w:val="Hervorhebung"/>
        </w:rPr>
        <w:t>\mathcal{K}</w:t>
      </w:r>
      <w:r>
        <w:t>{F}</w:t>
      </w:r>
      <w:r>
        <w:br/>
        <w:t>\right)</w:t>
      </w:r>
      <w:r>
        <w:br/>
        <w:t>\in</w:t>
      </w:r>
      <w:r>
        <w:br/>
        <w:t>{0,1}.</w:t>
      </w:r>
      <w:r>
        <w:br/>
        <w:t>\tag{3.6643}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\operatorname{SemEq}\left(\mathcal{O}_1,\mathcal{O}_2\mid\mathcal{K}_{F}\right)\in\{0,1\}\qquad\text{(3.6643)}</w:t>
      </w:r>
    </w:p>
    <w:p w:rsidR="00AE0E77" w:rsidRDefault="00AE0E77" w:rsidP="00AE0E77">
      <w:pPr>
        <w:pStyle w:val="StandardWeb"/>
      </w:pPr>
      <w:r>
        <w:t>Für</w:t>
      </w:r>
    </w:p>
    <w:p w:rsidR="00AE0E77" w:rsidRDefault="00AE0E77" w:rsidP="00AE0E77">
      <w:pPr>
        <w:pStyle w:val="berschrift1"/>
      </w:pPr>
      <w:r>
        <w:t>[</w:t>
      </w:r>
      <w:r>
        <w:br/>
        <w:t>\operatorname{SemEq}</w:t>
      </w:r>
    </w:p>
    <w:p w:rsidR="00AE0E77" w:rsidRDefault="00AE0E77" w:rsidP="00AE0E77">
      <w:pPr>
        <w:pStyle w:val="StandardWeb"/>
      </w:pPr>
      <w:r>
        <w:t>1</w:t>
      </w:r>
      <w:r>
        <w:br/>
        <w:t>\tag{3.6644}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\operatorname{SemEq}=1\qquad\text{(3.6644)}</w:t>
      </w:r>
    </w:p>
    <w:p w:rsidR="00AE0E77" w:rsidRDefault="00AE0E77" w:rsidP="00AE0E77">
      <w:pPr>
        <w:pStyle w:val="StandardWeb"/>
      </w:pPr>
      <w:r>
        <w:t>werden beide Operationalisierungen hinsichtlich des betrachteten theoretischen Konzeptes als semantisch vergleichbar behandelt.</w:t>
      </w:r>
    </w:p>
    <w:p w:rsidR="00AE0E77" w:rsidRDefault="00AE0E77" w:rsidP="00AE0E77">
      <w:pPr>
        <w:pStyle w:val="StandardWeb"/>
      </w:pPr>
      <w:r>
        <w:t>Die numerische Nähe zweier Ergebnisse ist dafür weder notwendig noch hinreichend.</w:t>
      </w:r>
    </w:p>
    <w:p w:rsidR="00AE0E77" w:rsidRDefault="00E50336" w:rsidP="00AE0E77">
      <w:r>
        <w:pict>
          <v:rect id="_x0000_i1218" style="width:0;height:1.5pt" o:hralign="center" o:hrstd="t" o:hr="t" fillcolor="#a0a0a0" stroked="f"/>
        </w:pict>
      </w:r>
    </w:p>
    <w:p w:rsidR="00AE0E77" w:rsidRDefault="00AE0E77" w:rsidP="00AE0E77">
      <w:pPr>
        <w:pStyle w:val="berschrift2"/>
      </w:pPr>
      <w:r>
        <w:t>3.3.39.78 Funktionale versus semantische Äquivalenz</w:t>
      </w:r>
    </w:p>
    <w:p w:rsidR="00AE0E77" w:rsidRDefault="00AE0E77" w:rsidP="00AE0E77">
      <w:pPr>
        <w:pStyle w:val="StandardWeb"/>
      </w:pPr>
      <w:r>
        <w:t>Damit entstehen zwei unterschiedliche Äquivalenzbegriffe.</w:t>
      </w:r>
    </w:p>
    <w:p w:rsidR="00AE0E77" w:rsidRDefault="00AE0E77" w:rsidP="00AE0E77">
      <w:pPr>
        <w:pStyle w:val="StandardWeb"/>
      </w:pPr>
      <w:r>
        <w:t>Funktionale Aussageäquivalenz:</w:t>
      </w:r>
    </w:p>
    <w:p w:rsidR="00AE0E77" w:rsidRDefault="00AE0E77" w:rsidP="00AE0E77">
      <w:pPr>
        <w:pStyle w:val="StandardWeb"/>
      </w:pPr>
      <w:r>
        <w:t>[</w:t>
      </w:r>
      <w:r>
        <w:br/>
        <w:t>\mathcal{O}_1</w:t>
      </w:r>
      <w:r>
        <w:br/>
        <w:t>\sim_A</w:t>
      </w:r>
      <w:r>
        <w:br/>
        <w:t>\mathcal{O}_2.</w:t>
      </w:r>
      <w:r>
        <w:br/>
        <w:t>\tag{3.6645}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lastRenderedPageBreak/>
        <w:t>\mathcal{O}_1\sim_A\mathcal{O}_2\qquad\text{(3.6645)}</w:t>
      </w:r>
    </w:p>
    <w:p w:rsidR="00AE0E77" w:rsidRDefault="00AE0E77" w:rsidP="00AE0E77">
      <w:pPr>
        <w:pStyle w:val="StandardWeb"/>
      </w:pPr>
      <w:r>
        <w:t>Semantische Konzeptäquivalenz:</w:t>
      </w:r>
    </w:p>
    <w:p w:rsidR="00AE0E77" w:rsidRDefault="00AE0E77" w:rsidP="00AE0E77">
      <w:pPr>
        <w:pStyle w:val="berschrift1"/>
      </w:pPr>
      <w:r>
        <w:t>[</w:t>
      </w:r>
      <w:r>
        <w:br/>
        <w:t>\operatorname{SemEq}</w:t>
      </w:r>
      <w:r>
        <w:br/>
        <w:t>\left(</w:t>
      </w:r>
      <w:r>
        <w:br/>
        <w:t>\mathcal{O}_1,</w:t>
      </w:r>
      <w:r>
        <w:br/>
        <w:t>\mathcal{O}</w:t>
      </w:r>
      <w:r>
        <w:rPr>
          <w:rStyle w:val="Hervorhebung"/>
        </w:rPr>
        <w:t>2</w:t>
      </w:r>
      <w:r>
        <w:rPr>
          <w:i/>
          <w:iCs/>
        </w:rPr>
        <w:br/>
      </w:r>
      <w:r>
        <w:rPr>
          <w:rStyle w:val="Hervorhebung"/>
        </w:rPr>
        <w:t>\mid</w:t>
      </w:r>
      <w:r>
        <w:rPr>
          <w:i/>
          <w:iCs/>
        </w:rPr>
        <w:br/>
      </w:r>
      <w:r>
        <w:rPr>
          <w:rStyle w:val="Hervorhebung"/>
        </w:rPr>
        <w:t>\mathcal{K}</w:t>
      </w:r>
      <w:r>
        <w:t>{F}</w:t>
      </w:r>
      <w:r>
        <w:br/>
        <w:t>\right)</w:t>
      </w:r>
    </w:p>
    <w:p w:rsidR="00AE0E77" w:rsidRDefault="00AE0E77" w:rsidP="008C5E65">
      <w:pPr>
        <w:numPr>
          <w:ilvl w:val="0"/>
          <w:numId w:val="309"/>
        </w:numPr>
        <w:spacing w:before="100" w:beforeAutospacing="1" w:after="100" w:afterAutospacing="1"/>
      </w:pPr>
    </w:p>
    <w:p w:rsidR="00AE0E77" w:rsidRDefault="00AE0E77" w:rsidP="00AE0E77">
      <w:pPr>
        <w:pStyle w:val="StandardWeb"/>
      </w:pPr>
      <w:r>
        <w:t>\tag{3.6646}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\operatorname{SemEq}\left(\mathcal{O}_1,\mathcal{O}_2\mid\mathcal{K}_{F}\right)=1\qquad\text{(3.6646)}</w:t>
      </w:r>
    </w:p>
    <w:p w:rsidR="00AE0E77" w:rsidRDefault="00AE0E77" w:rsidP="00AE0E77">
      <w:pPr>
        <w:pStyle w:val="StandardWeb"/>
      </w:pPr>
      <w:r>
        <w:t>Eine wissenschaftlich starke Robustheitsaussage sollte idealerweise beide Bedingungen erfüllen.</w:t>
      </w:r>
    </w:p>
    <w:p w:rsidR="00AE0E77" w:rsidRDefault="00AE0E77" w:rsidP="00AE0E77">
      <w:pPr>
        <w:pStyle w:val="StandardWeb"/>
      </w:pPr>
      <w:r>
        <w:t>Es ist möglich, dass zwei Operationalisierungen dieselbe qualitative Aussage liefern, obwohl sie unterschiedliche theoretische Konstrukte messen. In diesem Fall läge funktionale Ergebnisrobustheit ohne hinreichende semantische Gleichwertigkeit vor.</w:t>
      </w:r>
    </w:p>
    <w:p w:rsidR="00AE0E77" w:rsidRDefault="00AE0E77" w:rsidP="00AE0E77">
      <w:pPr>
        <w:pStyle w:val="StandardWeb"/>
      </w:pPr>
      <w:r>
        <w:t>Diese Unterscheidung verhindert, dass bloße Ergebnisübereinstimmung als Nachweis der theoretischen Angemessenheit interpretiert wird [58, 59, 79].</w:t>
      </w:r>
    </w:p>
    <w:p w:rsidR="00AE0E77" w:rsidRDefault="00E50336" w:rsidP="00AE0E77">
      <w:r>
        <w:pict>
          <v:rect id="_x0000_i1219" style="width:0;height:1.5pt" o:hralign="center" o:hrstd="t" o:hr="t" fillcolor="#a0a0a0" stroked="f"/>
        </w:pict>
      </w:r>
    </w:p>
    <w:p w:rsidR="00AE0E77" w:rsidRDefault="00AE0E77" w:rsidP="00AE0E77">
      <w:pPr>
        <w:pStyle w:val="berschrift2"/>
      </w:pPr>
      <w:r>
        <w:t>3.3.39.79 Operationalisierungsrobustheit und konstruktive Validität</w:t>
      </w:r>
    </w:p>
    <w:p w:rsidR="00AE0E77" w:rsidRDefault="00AE0E77" w:rsidP="00AE0E77">
      <w:pPr>
        <w:pStyle w:val="StandardWeb"/>
      </w:pPr>
      <w:r>
        <w:t>Die konstruktive Validität einer Operationalisierung betrifft die Frage, ob die empirische Repräsentation tatsächlich das theoretische Konzept erfasst, das sie erfassen soll.</w:t>
      </w:r>
    </w:p>
    <w:p w:rsidR="00AE0E77" w:rsidRDefault="00AE0E77" w:rsidP="00AE0E77">
      <w:pPr>
        <w:pStyle w:val="StandardWeb"/>
      </w:pPr>
      <w:r>
        <w:t>Ich schreibe</w:t>
      </w:r>
    </w:p>
    <w:p w:rsidR="00AE0E77" w:rsidRDefault="00AE0E77" w:rsidP="00AE0E77">
      <w:pPr>
        <w:pStyle w:val="StandardWeb"/>
      </w:pPr>
      <w:r>
        <w:t>[</w:t>
      </w:r>
      <w:r>
        <w:br/>
        <w:t>V_{\mathrm{Konstr}}</w:t>
      </w:r>
      <w:r>
        <w:br/>
      </w:r>
      <w:r>
        <w:lastRenderedPageBreak/>
        <w:t>\left(</w:t>
      </w:r>
      <w:r>
        <w:br/>
        <w:t>\mathcal{O}</w:t>
      </w:r>
      <w:r>
        <w:rPr>
          <w:rStyle w:val="Hervorhebung"/>
        </w:rPr>
        <w:t>j,</w:t>
      </w:r>
      <w:r>
        <w:rPr>
          <w:i/>
          <w:iCs/>
        </w:rPr>
        <w:br/>
      </w:r>
      <w:r>
        <w:rPr>
          <w:rStyle w:val="Hervorhebung"/>
        </w:rPr>
        <w:t>\mathcal{K}</w:t>
      </w:r>
      <w:r>
        <w:t>{F}</w:t>
      </w:r>
      <w:r>
        <w:br/>
        <w:t>\right).</w:t>
      </w:r>
      <w:r>
        <w:br/>
        <w:t>\tag{3.6647}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V_{\mathrm{Konstr}}\left(\mathcal{O}_j,\mathcal{K}_{F}\right)\qquad\text{(3.6647)}</w:t>
      </w:r>
    </w:p>
    <w:p w:rsidR="00AE0E77" w:rsidRDefault="00AE0E77" w:rsidP="00AE0E77">
      <w:pPr>
        <w:pStyle w:val="StandardWeb"/>
      </w:pPr>
      <w:r>
        <w:t>Eine Operationalisierung kann robust, aber konstruktiv unzureichend sein:</w:t>
      </w:r>
    </w:p>
    <w:p w:rsidR="00AE0E77" w:rsidRDefault="00AE0E77" w:rsidP="00AE0E77">
      <w:pPr>
        <w:pStyle w:val="StandardWeb"/>
      </w:pPr>
      <w:r>
        <w:t>[</w:t>
      </w:r>
      <w:r>
        <w:br/>
        <w:t>R_{\mathcal{O}}</w:t>
      </w:r>
      <w:r>
        <w:br/>
        <w:t>\text{ hoch}</w:t>
      </w:r>
      <w:r>
        <w:br/>
        <w:t>\land</w:t>
      </w:r>
      <w:r>
        <w:br/>
        <w:t>V_{\mathrm{Konstr}}</w:t>
      </w:r>
      <w:r>
        <w:br/>
        <w:t>\text{ niedrig}.</w:t>
      </w:r>
      <w:r>
        <w:br/>
        <w:t>\tag{3.6648}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R_{\mathcal{O}}\text{ hoch}\land V_{\mathrm{Konstr}}\text{ niedrig}\qquad\text{(3.6648)}</w:t>
      </w:r>
    </w:p>
    <w:p w:rsidR="00AE0E77" w:rsidRDefault="00AE0E77" w:rsidP="00AE0E77">
      <w:pPr>
        <w:pStyle w:val="StandardWeb"/>
      </w:pPr>
      <w:r>
        <w:t>Umgekehrt kann eine theoretisch sehr gut begründete Operationalisierung vorliegen, deren Ergebnisse empfindlich gegenüber plausiblen Detailentscheidungen reagieren:</w:t>
      </w:r>
    </w:p>
    <w:p w:rsidR="00AE0E77" w:rsidRDefault="00AE0E77" w:rsidP="00AE0E77">
      <w:pPr>
        <w:pStyle w:val="StandardWeb"/>
      </w:pPr>
      <w:r>
        <w:t>[</w:t>
      </w:r>
      <w:r>
        <w:br/>
        <w:t>V_{\mathrm{Konstr}}</w:t>
      </w:r>
      <w:r>
        <w:br/>
        <w:t>\text{ hoch}</w:t>
      </w:r>
      <w:r>
        <w:br/>
        <w:t>\land</w:t>
      </w:r>
      <w:r>
        <w:br/>
        <w:t>R_{\mathcal{O}}</w:t>
      </w:r>
      <w:r>
        <w:br/>
        <w:t>\text{ niedrig}.</w:t>
      </w:r>
      <w:r>
        <w:br/>
        <w:t>\tag{3.6649}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V_{\mathrm{Konstr}}\text{ hoch}\land R_{\mathcal{O}}\text{ niedrig}\qquad\text{(3.6649)}</w:t>
      </w:r>
    </w:p>
    <w:p w:rsidR="00AE0E77" w:rsidRDefault="00AE0E77" w:rsidP="00AE0E77">
      <w:pPr>
        <w:pStyle w:val="StandardWeb"/>
      </w:pPr>
      <w:r>
        <w:t>Damit bilden Validität und Robustheit zwei unabhängige Qualitätsdimensionen.</w:t>
      </w:r>
    </w:p>
    <w:p w:rsidR="00AE0E77" w:rsidRDefault="00E50336" w:rsidP="00AE0E77">
      <w:r>
        <w:pict>
          <v:rect id="_x0000_i1220" style="width:0;height:1.5pt" o:hralign="center" o:hrstd="t" o:hr="t" fillcolor="#a0a0a0" stroked="f"/>
        </w:pict>
      </w:r>
    </w:p>
    <w:p w:rsidR="00AE0E77" w:rsidRDefault="00AE0E77" w:rsidP="00AE0E77">
      <w:pPr>
        <w:pStyle w:val="berschrift2"/>
      </w:pPr>
      <w:r>
        <w:t>3.3.39.80 Vierfelderstruktur von Validität und Robustheit</w:t>
      </w:r>
    </w:p>
    <w:p w:rsidR="00AE0E77" w:rsidRDefault="00AE0E77" w:rsidP="00AE0E77">
      <w:pPr>
        <w:pStyle w:val="StandardWeb"/>
      </w:pPr>
      <w:r>
        <w:t>Aus beiden Dimensionen entsteht eine qualitative Vierfelderstruktur:</w:t>
      </w:r>
    </w:p>
    <w:p w:rsidR="00AE0E77" w:rsidRDefault="00AE0E77" w:rsidP="00AE0E77">
      <w:pPr>
        <w:pStyle w:val="berschrift1"/>
      </w:pPr>
      <w:r>
        <w:lastRenderedPageBreak/>
        <w:t>[</w:t>
      </w:r>
      <w:r>
        <w:br/>
        <w:t>\mathfrak{Q}_{\mathcal{O}}</w:t>
      </w:r>
    </w:p>
    <w:p w:rsidR="00AE0E77" w:rsidRDefault="00AE0E77" w:rsidP="00AE0E77">
      <w:pPr>
        <w:pStyle w:val="StandardWeb"/>
      </w:pPr>
      <w:r>
        <w:t>\left{</w:t>
      </w:r>
      <w:r>
        <w:br/>
        <w:t>(V^+,R^+),</w:t>
      </w:r>
      <w:r>
        <w:br/>
        <w:t>(V^+,R^-),</w:t>
      </w:r>
      <w:r>
        <w:br/>
        <w:t>(V^-,R^+),</w:t>
      </w:r>
      <w:r>
        <w:br/>
        <w:t>(V^-,R^-)</w:t>
      </w:r>
      <w:r>
        <w:br/>
        <w:t>\right}.</w:t>
      </w:r>
      <w:r>
        <w:br/>
        <w:t>\tag{3.6650}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\mathfrak{Q}_{\mathcal{O}}=\left\{(V^{+},R^{+}),(V^{+},R^{-}),(V^{-},R^{+}),(V^{-},R^{-})\right\}\qquad\text{(3.6650)}</w:t>
      </w:r>
    </w:p>
    <w:p w:rsidR="00AE0E77" w:rsidRDefault="00AE0E77" w:rsidP="00AE0E77">
      <w:pPr>
        <w:pStyle w:val="StandardWeb"/>
      </w:pPr>
      <w:r>
        <w:t>Dabei kennzeichnet</w:t>
      </w:r>
    </w:p>
    <w:p w:rsidR="00AE0E77" w:rsidRDefault="00AE0E77" w:rsidP="00AE0E77">
      <w:pPr>
        <w:pStyle w:val="StandardWeb"/>
      </w:pPr>
      <w:r>
        <w:t>[</w:t>
      </w:r>
      <w:r>
        <w:br/>
        <w:t>(V^+,R^+)</w:t>
      </w:r>
      <w:r>
        <w:br/>
        <w:t>\tag{3.6651}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(V^{+},R^{+})\qquad\text{(3.6651)}</w:t>
      </w:r>
    </w:p>
    <w:p w:rsidR="00AE0E77" w:rsidRDefault="00AE0E77" w:rsidP="00AE0E77">
      <w:pPr>
        <w:pStyle w:val="StandardWeb"/>
      </w:pPr>
      <w:r>
        <w:t>eine theoretisch gut begründete und operationalisierungsrobuste Konstellation.</w:t>
      </w:r>
    </w:p>
    <w:p w:rsidR="00AE0E77" w:rsidRDefault="00AE0E77" w:rsidP="00AE0E77">
      <w:pPr>
        <w:pStyle w:val="StandardWeb"/>
      </w:pPr>
      <w:r>
        <w:t>Dagegen bezeichnet</w:t>
      </w:r>
    </w:p>
    <w:p w:rsidR="00AE0E77" w:rsidRDefault="00AE0E77" w:rsidP="00AE0E77">
      <w:pPr>
        <w:pStyle w:val="StandardWeb"/>
      </w:pPr>
      <w:r>
        <w:t>[</w:t>
      </w:r>
      <w:r>
        <w:br/>
        <w:t>(V^-,R^+)</w:t>
      </w:r>
      <w:r>
        <w:br/>
        <w:t>\tag{3.6652}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(V^{-},R^{+})\qquad\text{(3.6652)}</w:t>
      </w:r>
    </w:p>
    <w:p w:rsidR="00AE0E77" w:rsidRDefault="00AE0E77" w:rsidP="00AE0E77">
      <w:pPr>
        <w:pStyle w:val="StandardWeb"/>
      </w:pPr>
      <w:r>
        <w:t>eine zwar stabile, aber theoretisch fragwürdige Repräsentation.</w:t>
      </w:r>
    </w:p>
    <w:p w:rsidR="00AE0E77" w:rsidRDefault="00AE0E77" w:rsidP="00AE0E77">
      <w:pPr>
        <w:pStyle w:val="StandardWeb"/>
      </w:pPr>
      <w:r>
        <w:t>Gerade diese zweite Konstellation ist methodisch gefährlich, weil stabile Ergebnisse leicht den Eindruck hoher wissenschaftlicher Qualität erzeugen können, obwohl bereits die zugrunde liegende Messrepräsentation problematisch ist [58, 79].</w:t>
      </w:r>
    </w:p>
    <w:p w:rsidR="00AE0E77" w:rsidRDefault="00E50336" w:rsidP="00AE0E77">
      <w:r>
        <w:pict>
          <v:rect id="_x0000_i1221" style="width:0;height:1.5pt" o:hralign="center" o:hrstd="t" o:hr="t" fillcolor="#a0a0a0" stroked="f"/>
        </w:pict>
      </w:r>
    </w:p>
    <w:p w:rsidR="00AE0E77" w:rsidRDefault="00AE0E77" w:rsidP="00AE0E77">
      <w:pPr>
        <w:pStyle w:val="berschrift2"/>
      </w:pPr>
      <w:r>
        <w:t>3.3.39.81 Operationalisierungsabhängige Effektgröße</w:t>
      </w:r>
    </w:p>
    <w:p w:rsidR="00AE0E77" w:rsidRDefault="00AE0E77" w:rsidP="00AE0E77">
      <w:pPr>
        <w:pStyle w:val="StandardWeb"/>
      </w:pPr>
      <w:r>
        <w:lastRenderedPageBreak/>
        <w:t>Für quantitative Aussagen kann zusätzlich untersucht werden, wie stark sich Effektgrößen zwischen Operationalisierungen unterscheiden.</w:t>
      </w:r>
    </w:p>
    <w:p w:rsidR="00AE0E77" w:rsidRDefault="00AE0E77" w:rsidP="00AE0E77">
      <w:pPr>
        <w:pStyle w:val="StandardWeb"/>
      </w:pPr>
      <w:r>
        <w:t>Sei</w:t>
      </w:r>
    </w:p>
    <w:p w:rsidR="00AE0E77" w:rsidRDefault="00AE0E77" w:rsidP="00AE0E77">
      <w:pPr>
        <w:pStyle w:val="StandardWeb"/>
      </w:pPr>
      <w:r>
        <w:t>[</w:t>
      </w:r>
      <w:r>
        <w:br/>
        <w:t>\eta_j</w:t>
      </w:r>
      <w:r>
        <w:br/>
        <w:t>\tag{3.6653}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\eta_j\qquad\text{(3.6653)}</w:t>
      </w:r>
    </w:p>
    <w:p w:rsidR="00AE0E77" w:rsidRDefault="00AE0E77" w:rsidP="00AE0E77">
      <w:pPr>
        <w:pStyle w:val="StandardWeb"/>
      </w:pPr>
      <w:r>
        <w:t>die Effektgröße unter Operationalisierung (j).</w:t>
      </w:r>
    </w:p>
    <w:p w:rsidR="00AE0E77" w:rsidRDefault="00AE0E77" w:rsidP="00AE0E77">
      <w:pPr>
        <w:pStyle w:val="StandardWeb"/>
      </w:pPr>
      <w:r>
        <w:t>Der Mittelwert lautet</w:t>
      </w:r>
    </w:p>
    <w:p w:rsidR="00AE0E77" w:rsidRDefault="00AE0E77" w:rsidP="00AE0E77">
      <w:pPr>
        <w:pStyle w:val="berschrift1"/>
      </w:pPr>
      <w:r>
        <w:t>[</w:t>
      </w:r>
      <w:r>
        <w:br/>
        <w:t>\overline{\eta}</w:t>
      </w:r>
    </w:p>
    <w:p w:rsidR="00AE0E77" w:rsidRDefault="00AE0E77" w:rsidP="00AE0E77">
      <w:pPr>
        <w:pStyle w:val="StandardWeb"/>
      </w:pPr>
      <w:r>
        <w:t>\frac{1}{m}</w:t>
      </w:r>
      <w:r>
        <w:br/>
        <w:t>\sum_{j=1}^{m}</w:t>
      </w:r>
      <w:r>
        <w:br/>
        <w:t>\eta_j.</w:t>
      </w:r>
      <w:r>
        <w:br/>
        <w:t>\tag{3.6654}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\overline{\eta}=\frac{1}{m}\sum_{j=1}^{m}\eta_j\qquad\text{(3.6654)}</w:t>
      </w:r>
    </w:p>
    <w:p w:rsidR="00AE0E77" w:rsidRDefault="00AE0E77" w:rsidP="00AE0E77">
      <w:pPr>
        <w:pStyle w:val="StandardWeb"/>
      </w:pPr>
      <w:r>
        <w:t>Die Streuung beträgt</w:t>
      </w:r>
    </w:p>
    <w:p w:rsidR="00AE0E77" w:rsidRDefault="00AE0E77" w:rsidP="00AE0E77">
      <w:pPr>
        <w:pStyle w:val="berschrift1"/>
      </w:pPr>
      <w:r>
        <w:t>[</w:t>
      </w:r>
      <w:r>
        <w:br/>
        <w:t>V_{\eta,\mathcal{O}}</w:t>
      </w:r>
    </w:p>
    <w:p w:rsidR="00AE0E77" w:rsidRDefault="00AE0E77" w:rsidP="00AE0E77">
      <w:pPr>
        <w:pStyle w:val="StandardWeb"/>
      </w:pPr>
      <w:r>
        <w:t>\frac{1}{m}</w:t>
      </w:r>
      <w:r>
        <w:br/>
        <w:t>\sum_{j=1}^{m}</w:t>
      </w:r>
      <w:r>
        <w:br/>
        <w:t>\left(</w:t>
      </w:r>
      <w:r>
        <w:br/>
        <w:t>\eta_j-\overline{\eta}</w:t>
      </w:r>
      <w:r>
        <w:br/>
        <w:t>\right)^2.</w:t>
      </w:r>
      <w:r>
        <w:br/>
        <w:t>\tag{3.6655}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V_{\eta,\mathcal{O}}=\frac{1}{m}\sum_{j=1}^{m}\left(\eta_j-\overline{\eta}\right)^2\qquad\text{(3.6655)}</w:t>
      </w:r>
    </w:p>
    <w:p w:rsidR="00AE0E77" w:rsidRDefault="00AE0E77" w:rsidP="00AE0E77">
      <w:pPr>
        <w:pStyle w:val="StandardWeb"/>
      </w:pPr>
      <w:r>
        <w:lastRenderedPageBreak/>
        <w:t>Eine Aussage kann damit vorzeichenrobust, aber effektgrößeninstabil sein.</w:t>
      </w:r>
    </w:p>
    <w:p w:rsidR="00AE0E77" w:rsidRDefault="00AE0E77" w:rsidP="00AE0E77">
      <w:pPr>
        <w:pStyle w:val="StandardWeb"/>
      </w:pPr>
      <w:r>
        <w:t>Beispielsweise kann für alle (j)</w:t>
      </w:r>
    </w:p>
    <w:p w:rsidR="00AE0E77" w:rsidRDefault="00AE0E77" w:rsidP="00AE0E77">
      <w:pPr>
        <w:pStyle w:val="StandardWeb"/>
      </w:pPr>
      <w:r>
        <w:t>[</w:t>
      </w:r>
      <w:r>
        <w:br/>
        <w:t>\eta_j</w:t>
      </w:r>
    </w:p>
    <w:p w:rsidR="00AE0E77" w:rsidRDefault="00AE0E77" w:rsidP="00AE0E77">
      <w:pPr>
        <w:pStyle w:val="StandardWeb"/>
      </w:pPr>
      <w:r>
        <w:t>0</w:t>
      </w:r>
      <w:r>
        <w:br/>
        <w:t>\tag{3.6656}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\eta_j&gt;0\qquad\text{(3.6656)}</w:t>
      </w:r>
    </w:p>
    <w:p w:rsidR="00AE0E77" w:rsidRDefault="00AE0E77" w:rsidP="00AE0E77">
      <w:pPr>
        <w:pStyle w:val="StandardWeb"/>
      </w:pPr>
      <w:r>
        <w:t>gelten, obwohl (V_{\eta,\mathcal{O}}) groß ist.</w:t>
      </w:r>
    </w:p>
    <w:p w:rsidR="00AE0E77" w:rsidRDefault="00AE0E77" w:rsidP="00AE0E77">
      <w:pPr>
        <w:pStyle w:val="StandardWeb"/>
      </w:pPr>
      <w:r>
        <w:t>Die korrekte wissenschaftliche Aussage wäre dann: Die Effektrichtung ist robust, ihre Stärke jedoch operationalisierungsabhängig.</w:t>
      </w:r>
    </w:p>
    <w:p w:rsidR="00AE0E77" w:rsidRDefault="00E50336" w:rsidP="00AE0E77">
      <w:r>
        <w:pict>
          <v:rect id="_x0000_i1222" style="width:0;height:1.5pt" o:hralign="center" o:hrstd="t" o:hr="t" fillcolor="#a0a0a0" stroked="f"/>
        </w:pict>
      </w:r>
    </w:p>
    <w:p w:rsidR="00AE0E77" w:rsidRDefault="00AE0E77" w:rsidP="00AE0E77">
      <w:pPr>
        <w:pStyle w:val="berschrift2"/>
      </w:pPr>
      <w:r>
        <w:t>3.3.39.82 Operationalisierungsabhängige Signifikanz</w:t>
      </w:r>
    </w:p>
    <w:p w:rsidR="00AE0E77" w:rsidRDefault="00AE0E77" w:rsidP="00AE0E77">
      <w:pPr>
        <w:pStyle w:val="StandardWeb"/>
      </w:pPr>
      <w:r>
        <w:t>Auch statistische Signifikanz kann durch Operationalisierungsentscheidungen wechseln.</w:t>
      </w:r>
    </w:p>
    <w:p w:rsidR="00AE0E77" w:rsidRDefault="00AE0E77" w:rsidP="00AE0E77">
      <w:pPr>
        <w:pStyle w:val="StandardWeb"/>
      </w:pPr>
      <w:r>
        <w:t>Sei</w:t>
      </w:r>
    </w:p>
    <w:p w:rsidR="00AE0E77" w:rsidRDefault="00AE0E77" w:rsidP="00AE0E77">
      <w:pPr>
        <w:pStyle w:val="StandardWeb"/>
      </w:pPr>
      <w:r>
        <w:t>[</w:t>
      </w:r>
      <w:r>
        <w:br/>
        <w:t>p_j</w:t>
      </w:r>
      <w:r>
        <w:br/>
        <w:t>\tag{3.6657}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p_j\qquad\text{(3.6657)}</w:t>
      </w:r>
    </w:p>
    <w:p w:rsidR="00AE0E77" w:rsidRDefault="00AE0E77" w:rsidP="00AE0E77">
      <w:pPr>
        <w:pStyle w:val="StandardWeb"/>
      </w:pPr>
      <w:r>
        <w:t>der Signifikanzwert unter Operationalisierung (j).</w:t>
      </w:r>
    </w:p>
    <w:p w:rsidR="00AE0E77" w:rsidRDefault="00AE0E77" w:rsidP="00AE0E77">
      <w:pPr>
        <w:pStyle w:val="StandardWeb"/>
      </w:pPr>
      <w:r>
        <w:t>Dann kann für zwei Varianten gelten</w:t>
      </w:r>
    </w:p>
    <w:p w:rsidR="00AE0E77" w:rsidRDefault="00AE0E77" w:rsidP="00AE0E77">
      <w:pPr>
        <w:pStyle w:val="StandardWeb"/>
      </w:pPr>
      <w:r>
        <w:t>[</w:t>
      </w:r>
      <w:r>
        <w:br/>
        <w:t>p_1</w:t>
      </w:r>
      <w:r>
        <w:br/>
        <w:t>&lt;</w:t>
      </w:r>
      <w:r>
        <w:br/>
        <w:t>\alpha</w:t>
      </w:r>
      <w:r>
        <w:br/>
        <w:t>\tag{3.6658}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p_1&lt;\alpha\qquad\text{(3.6658)}</w:t>
      </w:r>
    </w:p>
    <w:p w:rsidR="00AE0E77" w:rsidRDefault="00AE0E77" w:rsidP="00AE0E77">
      <w:pPr>
        <w:pStyle w:val="StandardWeb"/>
      </w:pPr>
      <w:r>
        <w:lastRenderedPageBreak/>
        <w:t>und gleichzeitig</w:t>
      </w:r>
    </w:p>
    <w:p w:rsidR="00AE0E77" w:rsidRDefault="00AE0E77" w:rsidP="00AE0E77">
      <w:pPr>
        <w:pStyle w:val="StandardWeb"/>
      </w:pPr>
      <w:r>
        <w:t>[</w:t>
      </w:r>
      <w:r>
        <w:br/>
        <w:t>p_2</w:t>
      </w:r>
      <w:r>
        <w:br/>
        <w:t>\geq</w:t>
      </w:r>
      <w:r>
        <w:br/>
        <w:t>\alpha.</w:t>
      </w:r>
      <w:r>
        <w:br/>
        <w:t>\tag{3.6659}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p_2\geq\alpha\qquad\text{(3.6659)}</w:t>
      </w:r>
    </w:p>
    <w:p w:rsidR="00AE0E77" w:rsidRDefault="00AE0E77" w:rsidP="00AE0E77">
      <w:pPr>
        <w:pStyle w:val="StandardWeb"/>
      </w:pPr>
      <w:r>
        <w:t>Ein solcher Wechsel darf nicht automatisch als inhaltlicher Widerspruch interpretiert werden. Signifikanzschwellen sind selbst Teil der Analyseentscheidung. Deshalb muss zusätzlich betrachtet werden, ob Richtung, Effektgröße und Unsicherheitsintervall stabil bleiben [58, 59].</w:t>
      </w:r>
    </w:p>
    <w:p w:rsidR="00AE0E77" w:rsidRDefault="00AE0E77" w:rsidP="00AE0E77">
      <w:pPr>
        <w:pStyle w:val="StandardWeb"/>
      </w:pPr>
      <w:r>
        <w:t>Ich unterscheide daher zwischen</w:t>
      </w:r>
    </w:p>
    <w:p w:rsidR="00AE0E77" w:rsidRDefault="00AE0E77" w:rsidP="00AE0E77">
      <w:pPr>
        <w:pStyle w:val="StandardWeb"/>
      </w:pPr>
      <w:r>
        <w:t>[</w:t>
      </w:r>
      <w:r>
        <w:br/>
        <w:t>R_{\mathrm{sign}}</w:t>
      </w:r>
      <w:r>
        <w:br/>
        <w:t>\tag{3.6660}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R_{\mathrm{sign}}\qquad\text{(3.6660)}</w:t>
      </w:r>
    </w:p>
    <w:p w:rsidR="00AE0E77" w:rsidRDefault="00AE0E77" w:rsidP="00AE0E77">
      <w:pPr>
        <w:pStyle w:val="StandardWeb"/>
      </w:pPr>
      <w:r>
        <w:t>für Signifikanzrobustheit und</w:t>
      </w:r>
    </w:p>
    <w:p w:rsidR="00AE0E77" w:rsidRDefault="00AE0E77" w:rsidP="00AE0E77">
      <w:pPr>
        <w:pStyle w:val="StandardWeb"/>
      </w:pPr>
      <w:r>
        <w:t>[</w:t>
      </w:r>
      <w:r>
        <w:br/>
        <w:t>R_{\mathrm{effect}}</w:t>
      </w:r>
      <w:r>
        <w:br/>
        <w:t>\tag{3.6661}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R_{\mathrm{effect}}\qquad\text{(3.6661)}</w:t>
      </w:r>
    </w:p>
    <w:p w:rsidR="00AE0E77" w:rsidRDefault="00AE0E77" w:rsidP="00AE0E77">
      <w:pPr>
        <w:pStyle w:val="StandardWeb"/>
      </w:pPr>
      <w:r>
        <w:t>für Effektrobustheit.</w:t>
      </w:r>
    </w:p>
    <w:p w:rsidR="00AE0E77" w:rsidRDefault="00AE0E77" w:rsidP="00AE0E77">
      <w:pPr>
        <w:pStyle w:val="StandardWeb"/>
      </w:pPr>
      <w:r>
        <w:t>Beide müssen nicht übereinstimmen.</w:t>
      </w:r>
    </w:p>
    <w:p w:rsidR="00AE0E77" w:rsidRDefault="00E50336" w:rsidP="00AE0E77">
      <w:r>
        <w:pict>
          <v:rect id="_x0000_i1223" style="width:0;height:1.5pt" o:hralign="center" o:hrstd="t" o:hr="t" fillcolor="#a0a0a0" stroked="f"/>
        </w:pict>
      </w:r>
    </w:p>
    <w:p w:rsidR="00AE0E77" w:rsidRDefault="00AE0E77" w:rsidP="00AE0E77">
      <w:pPr>
        <w:pStyle w:val="berschrift2"/>
      </w:pPr>
      <w:r>
        <w:t>3.3.39.83 Robustheit gegenüber Klassengrenzen</w:t>
      </w:r>
    </w:p>
    <w:p w:rsidR="00AE0E77" w:rsidRDefault="00AE0E77" w:rsidP="00AE0E77">
      <w:pPr>
        <w:pStyle w:val="StandardWeb"/>
      </w:pPr>
      <w:r>
        <w:t>Insbesondere bei kategorialen FRZK-Auswertungen kann eine wissenschaftliche Schlussfolgerung von Klassengrenzen abhängen.</w:t>
      </w:r>
    </w:p>
    <w:p w:rsidR="00AE0E77" w:rsidRDefault="00AE0E77" w:rsidP="00AE0E77">
      <w:pPr>
        <w:pStyle w:val="StandardWeb"/>
      </w:pPr>
      <w:r>
        <w:lastRenderedPageBreak/>
        <w:t>Sei eine Klasseneinteilung</w:t>
      </w:r>
    </w:p>
    <w:p w:rsidR="00AE0E77" w:rsidRDefault="00AE0E77" w:rsidP="00AE0E77">
      <w:pPr>
        <w:pStyle w:val="berschrift1"/>
      </w:pPr>
      <w:r>
        <w:t>[</w:t>
      </w:r>
      <w:r>
        <w:br/>
        <w:t>\mathfrak{G}_{\theta}</w:t>
      </w:r>
    </w:p>
    <w:p w:rsidR="00AE0E77" w:rsidRDefault="00AE0E77" w:rsidP="00AE0E77">
      <w:pPr>
        <w:pStyle w:val="StandardWeb"/>
      </w:pPr>
      <w:r>
        <w:t>\left{</w:t>
      </w:r>
      <w:r>
        <w:br/>
        <w:t>G_1(\theta),</w:t>
      </w:r>
      <w:r>
        <w:br/>
        <w:t>G_2(\theta),</w:t>
      </w:r>
      <w:r>
        <w:br/>
        <w:t>\ldots,</w:t>
      </w:r>
      <w:r>
        <w:br/>
        <w:t>G_k(\theta)</w:t>
      </w:r>
      <w:r>
        <w:br/>
        <w:t>\right}.</w:t>
      </w:r>
      <w:r>
        <w:br/>
        <w:t>\tag{3.6662}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\mathfrak{G}_{\theta}=\left\{G_1(\theta),G_2(\theta),\ldots,G_k(\theta)\right\}\qquad\text{(3.6662)}</w:t>
      </w:r>
    </w:p>
    <w:p w:rsidR="00AE0E77" w:rsidRDefault="00AE0E77" w:rsidP="00AE0E77">
      <w:pPr>
        <w:pStyle w:val="StandardWeb"/>
      </w:pPr>
      <w:r>
        <w:t>Ändert sich (\theta), kann sich die Zuordnung eines Zustands ändern:</w:t>
      </w:r>
    </w:p>
    <w:p w:rsidR="00AE0E77" w:rsidRDefault="00AE0E77" w:rsidP="00AE0E77">
      <w:pPr>
        <w:pStyle w:val="StandardWeb"/>
      </w:pPr>
      <w:r>
        <w:t>[</w:t>
      </w:r>
      <w:r>
        <w:br/>
        <w:t>g_{\theta_1}</w:t>
      </w:r>
      <w:r>
        <w:br/>
        <w:t>\left(</w:t>
      </w:r>
      <w:r>
        <w:br/>
        <w:t>\delta</w:t>
      </w:r>
      <w:r>
        <w:br/>
        <w:t>\right)</w:t>
      </w:r>
      <w:r>
        <w:br/>
        <w:t>\neq</w:t>
      </w:r>
      <w:r>
        <w:br/>
        <w:t>g_{\theta_2}</w:t>
      </w:r>
      <w:r>
        <w:br/>
        <w:t>\left(</w:t>
      </w:r>
      <w:r>
        <w:br/>
        <w:t>\delta</w:t>
      </w:r>
      <w:r>
        <w:br/>
        <w:t>\right).</w:t>
      </w:r>
      <w:r>
        <w:br/>
        <w:t>\tag{3.6663}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g_{\theta_1}\left(\delta\right)\neq g_{\theta_2}\left(\delta\right)\qquad\text{(3.6663)}</w:t>
      </w:r>
    </w:p>
    <w:p w:rsidR="00AE0E77" w:rsidRDefault="00AE0E77" w:rsidP="00AE0E77">
      <w:pPr>
        <w:pStyle w:val="StandardWeb"/>
      </w:pPr>
      <w:r>
        <w:t>Ein Zustand nahe einer Klassengrenze ist daher grundsätzlich klassifikationsunsicherer als ein Zustand weit entfernt von ihr.</w:t>
      </w:r>
    </w:p>
    <w:p w:rsidR="00AE0E77" w:rsidRDefault="00AE0E77" w:rsidP="00AE0E77">
      <w:pPr>
        <w:pStyle w:val="StandardWeb"/>
      </w:pPr>
      <w:r>
        <w:t>Ich definiere den Abstand zur nächsten Klassengrenze als</w:t>
      </w:r>
    </w:p>
    <w:p w:rsidR="00AE0E77" w:rsidRDefault="00AE0E77" w:rsidP="00AE0E77">
      <w:pPr>
        <w:pStyle w:val="StandardWeb"/>
      </w:pPr>
      <w:r>
        <w:t>[</w:t>
      </w:r>
      <w:r>
        <w:br/>
        <w:t>d_{\mathrm{grenz}}</w:t>
      </w:r>
      <w:r>
        <w:br/>
        <w:t>\left(</w:t>
      </w:r>
      <w:r>
        <w:br/>
        <w:t>\delta</w:t>
      </w:r>
      <w:r>
        <w:br/>
        <w:t>\right).</w:t>
      </w:r>
      <w:r>
        <w:br/>
      </w:r>
      <w:r>
        <w:lastRenderedPageBreak/>
        <w:t>\tag{3.6664}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d_{\mathrm{grenz}}\left(\delta\right)\qquad\text{(3.6664)}</w:t>
      </w:r>
    </w:p>
    <w:p w:rsidR="00AE0E77" w:rsidRDefault="00AE0E77" w:rsidP="00AE0E77">
      <w:pPr>
        <w:pStyle w:val="StandardWeb"/>
      </w:pPr>
      <w:r>
        <w:t>Kleine Werte</w:t>
      </w:r>
    </w:p>
    <w:p w:rsidR="00AE0E77" w:rsidRDefault="00AE0E77" w:rsidP="00AE0E77">
      <w:pPr>
        <w:pStyle w:val="StandardWeb"/>
      </w:pPr>
      <w:r>
        <w:t>[</w:t>
      </w:r>
      <w:r>
        <w:br/>
        <w:t>d_{\mathrm{grenz}}</w:t>
      </w:r>
      <w:r>
        <w:br/>
        <w:t>\left(</w:t>
      </w:r>
      <w:r>
        <w:br/>
        <w:t>\delta</w:t>
      </w:r>
      <w:r>
        <w:br/>
        <w:t>\right)</w:t>
      </w:r>
      <w:r>
        <w:br/>
        <w:t>\approx</w:t>
      </w:r>
      <w:r>
        <w:br/>
        <w:t>0</w:t>
      </w:r>
      <w:r>
        <w:br/>
        <w:t>\tag{3.6665}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d_{\mathrm{grenz}}\left(\delta\right)\approx0\qquad\text{(3.6665)}</w:t>
      </w:r>
    </w:p>
    <w:p w:rsidR="00AE0E77" w:rsidRDefault="00AE0E77" w:rsidP="00AE0E77">
      <w:pPr>
        <w:pStyle w:val="StandardWeb"/>
      </w:pPr>
      <w:r>
        <w:t>kennzeichnen erhöhte Klassifikationssensitivität.</w:t>
      </w:r>
    </w:p>
    <w:p w:rsidR="00AE0E77" w:rsidRDefault="00E50336" w:rsidP="00AE0E77">
      <w:r>
        <w:pict>
          <v:rect id="_x0000_i1224" style="width:0;height:1.5pt" o:hralign="center" o:hrstd="t" o:hr="t" fillcolor="#a0a0a0" stroked="f"/>
        </w:pict>
      </w:r>
    </w:p>
    <w:p w:rsidR="00AE0E77" w:rsidRDefault="00AE0E77" w:rsidP="00AE0E77">
      <w:pPr>
        <w:pStyle w:val="berschrift2"/>
      </w:pPr>
      <w:r>
        <w:t>3.3.39.84 Unscharfe Klassenzugehörigkeit</w:t>
      </w:r>
    </w:p>
    <w:p w:rsidR="00AE0E77" w:rsidRDefault="00AE0E77" w:rsidP="00AE0E77">
      <w:pPr>
        <w:pStyle w:val="StandardWeb"/>
      </w:pPr>
      <w:r>
        <w:t>Anstelle harter Klassengrenzen kann bei geeigneten Anwendungen eine graduelle Zugehörigkeit verwendet werden.</w:t>
      </w:r>
    </w:p>
    <w:p w:rsidR="00AE0E77" w:rsidRDefault="00AE0E77" w:rsidP="00AE0E77">
      <w:pPr>
        <w:pStyle w:val="StandardWeb"/>
      </w:pPr>
      <w:r>
        <w:t>Ich definiere</w:t>
      </w:r>
    </w:p>
    <w:p w:rsidR="00AE0E77" w:rsidRDefault="00AE0E77" w:rsidP="00AE0E77">
      <w:pPr>
        <w:pStyle w:val="StandardWeb"/>
      </w:pPr>
      <w:r>
        <w:t>[</w:t>
      </w:r>
      <w:r>
        <w:br/>
        <w:t>\mu_{G_k}</w:t>
      </w:r>
      <w:r>
        <w:br/>
        <w:t>\left(</w:t>
      </w:r>
      <w:r>
        <w:br/>
        <w:t>\delta</w:t>
      </w:r>
      <w:r>
        <w:br/>
        <w:t>\right)</w:t>
      </w:r>
      <w:r>
        <w:br/>
        <w:t>\in</w:t>
      </w:r>
      <w:r>
        <w:br/>
        <w:t>[0,1].</w:t>
      </w:r>
      <w:r>
        <w:br/>
        <w:t>\tag{3.6666}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\mu_{G_k}\left(\delta\right)\in[0,1]\qquad\text{(3.6666)}</w:t>
      </w:r>
    </w:p>
    <w:p w:rsidR="00AE0E77" w:rsidRDefault="00AE0E77" w:rsidP="00AE0E77">
      <w:pPr>
        <w:pStyle w:val="StandardWeb"/>
      </w:pPr>
      <w:r>
        <w:t>Dabei beschreibt (\mu_{G_k}(\delta)) den Zugehörigkeitsgrad des Zustands (\delta) zur Klasse (G_k).</w:t>
      </w:r>
    </w:p>
    <w:p w:rsidR="00AE0E77" w:rsidRDefault="00AE0E77" w:rsidP="00AE0E77">
      <w:pPr>
        <w:pStyle w:val="StandardWeb"/>
      </w:pPr>
      <w:r>
        <w:lastRenderedPageBreak/>
        <w:t>Für eine normierte Mehrklassenzuordnung kann gelten</w:t>
      </w:r>
    </w:p>
    <w:p w:rsidR="00AE0E77" w:rsidRDefault="00AE0E77" w:rsidP="00AE0E77">
      <w:pPr>
        <w:pStyle w:val="berschrift1"/>
      </w:pPr>
      <w:r>
        <w:t>[</w:t>
      </w:r>
      <w:r>
        <w:br/>
        <w:t>\sum_{k=1}^{K}</w:t>
      </w:r>
      <w:r>
        <w:br/>
        <w:t>\mu_{G_k}</w:t>
      </w:r>
      <w:r>
        <w:br/>
        <w:t>\left(</w:t>
      </w:r>
      <w:r>
        <w:br/>
        <w:t>\delta</w:t>
      </w:r>
      <w:r>
        <w:br/>
        <w:t>\right)</w:t>
      </w:r>
    </w:p>
    <w:p w:rsidR="00AE0E77" w:rsidRDefault="00AE0E77" w:rsidP="008C5E65">
      <w:pPr>
        <w:numPr>
          <w:ilvl w:val="0"/>
          <w:numId w:val="310"/>
        </w:numPr>
        <w:spacing w:before="100" w:beforeAutospacing="1" w:after="100" w:afterAutospacing="1"/>
      </w:pPr>
    </w:p>
    <w:p w:rsidR="00AE0E77" w:rsidRDefault="00AE0E77" w:rsidP="00AE0E77">
      <w:pPr>
        <w:pStyle w:val="StandardWeb"/>
      </w:pPr>
      <w:r>
        <w:t>\tag{3.6667}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\sum_{k=1}^{K}\mu_{G_k}\left(\delta\right)=1\qquad\text{(3.6667)}</w:t>
      </w:r>
    </w:p>
    <w:p w:rsidR="00AE0E77" w:rsidRDefault="00AE0E77" w:rsidP="00AE0E77">
      <w:pPr>
        <w:pStyle w:val="StandardWeb"/>
      </w:pPr>
      <w:r>
        <w:t>Diese Darstellung kann die Abhängigkeit von willkürlich scharfen Schwellenwerten reduzieren, ersetzt jedoch nicht die methodische Begründung der verwendeten Zugehörigkeitsfunktionen [59, 79].</w:t>
      </w:r>
    </w:p>
    <w:p w:rsidR="00AE0E77" w:rsidRDefault="00E50336" w:rsidP="00AE0E77">
      <w:r>
        <w:pict>
          <v:rect id="_x0000_i1225" style="width:0;height:1.5pt" o:hralign="center" o:hrstd="t" o:hr="t" fillcolor="#a0a0a0" stroked="f"/>
        </w:pict>
      </w:r>
    </w:p>
    <w:p w:rsidR="00AE0E77" w:rsidRDefault="00AE0E77" w:rsidP="00AE0E77">
      <w:pPr>
        <w:pStyle w:val="berschrift2"/>
      </w:pPr>
      <w:r>
        <w:t>3.3.39.85 Operationalisierungsrobustheit relationaler Netzwerke</w:t>
      </w:r>
    </w:p>
    <w:p w:rsidR="00AE0E77" w:rsidRDefault="00AE0E77" w:rsidP="00AE0E77">
      <w:pPr>
        <w:pStyle w:val="StandardWeb"/>
      </w:pPr>
      <w:r>
        <w:t>Bei relationalen FRZK-Strukturen können bereits kleine Änderungen der Definition einer Relation zu unterschiedlichen Netzwerken führen.</w:t>
      </w:r>
    </w:p>
    <w:p w:rsidR="00AE0E77" w:rsidRDefault="00AE0E77" w:rsidP="00AE0E77">
      <w:pPr>
        <w:pStyle w:val="StandardWeb"/>
      </w:pPr>
      <w:r>
        <w:t>Sei</w:t>
      </w:r>
    </w:p>
    <w:p w:rsidR="00AE0E77" w:rsidRDefault="00AE0E77" w:rsidP="00AE0E77">
      <w:pPr>
        <w:pStyle w:val="StandardWeb"/>
      </w:pPr>
      <w:r>
        <w:t>[</w:t>
      </w:r>
      <w:r>
        <w:br/>
        <w:t>\mathbf{A}^{(j)}</w:t>
      </w:r>
      <w:r>
        <w:br/>
        <w:t>\tag{3.6668}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\mathbf{A}^{(j)}\qquad\text{(3.6668)}</w:t>
      </w:r>
    </w:p>
    <w:p w:rsidR="00AE0E77" w:rsidRDefault="00AE0E77" w:rsidP="00AE0E77">
      <w:pPr>
        <w:pStyle w:val="StandardWeb"/>
      </w:pPr>
      <w:r>
        <w:t>die Adjazenzmatrix unter Operationalisierung (j).</w:t>
      </w:r>
    </w:p>
    <w:p w:rsidR="00AE0E77" w:rsidRDefault="00AE0E77" w:rsidP="00AE0E77">
      <w:pPr>
        <w:pStyle w:val="StandardWeb"/>
      </w:pPr>
      <w:r>
        <w:t>Für zwei Operationalisierungen kann gelten</w:t>
      </w:r>
    </w:p>
    <w:p w:rsidR="00AE0E77" w:rsidRDefault="00AE0E77" w:rsidP="00AE0E77">
      <w:pPr>
        <w:pStyle w:val="StandardWeb"/>
      </w:pPr>
      <w:r>
        <w:lastRenderedPageBreak/>
        <w:t>[</w:t>
      </w:r>
      <w:r>
        <w:br/>
        <w:t>\mathbf{A}^{(1)}</w:t>
      </w:r>
      <w:r>
        <w:br/>
        <w:t>\neq</w:t>
      </w:r>
      <w:r>
        <w:br/>
        <w:t>\mathbf{A}^{(2)}.</w:t>
      </w:r>
      <w:r>
        <w:br/>
        <w:t>\tag{3.6669}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\mathbf{A}^{(1)}\neq\mathbf{A}^{(2)}\qquad\text{(3.6669)}</w:t>
      </w:r>
    </w:p>
    <w:p w:rsidR="00AE0E77" w:rsidRDefault="00AE0E77" w:rsidP="00AE0E77">
      <w:pPr>
        <w:pStyle w:val="StandardWeb"/>
      </w:pPr>
      <w:r>
        <w:t>Eine relationale Aussage kann dennoch robust sein, wenn beispielsweise dieselben zentralen Komponenten oder dieselbe grobe Konnektivitätsstruktur erhalten bleiben.</w:t>
      </w:r>
    </w:p>
    <w:p w:rsidR="00AE0E77" w:rsidRDefault="00AE0E77" w:rsidP="00AE0E77">
      <w:pPr>
        <w:pStyle w:val="StandardWeb"/>
      </w:pPr>
      <w:r>
        <w:t>Ich bezeichne eine netzwerkbezogene Äquivalenz durch</w:t>
      </w:r>
    </w:p>
    <w:p w:rsidR="00AE0E77" w:rsidRDefault="00AE0E77" w:rsidP="00AE0E77">
      <w:pPr>
        <w:pStyle w:val="StandardWeb"/>
      </w:pPr>
      <w:r>
        <w:t>[</w:t>
      </w:r>
      <w:r>
        <w:br/>
        <w:t>\mathbf{A}^{(1)}</w:t>
      </w:r>
      <w:r>
        <w:br/>
        <w:t>\sim_{\mathcal{N}}</w:t>
      </w:r>
      <w:r>
        <w:br/>
        <w:t>\mathbf{A}^{(2)}.</w:t>
      </w:r>
      <w:r>
        <w:br/>
        <w:t>\tag{3.6670}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\mathbf{A}^{(1)}\sim_{\mathcal{N}}\mathbf{A}^{(2)}\qquad\text{(3.6670)}</w:t>
      </w:r>
    </w:p>
    <w:p w:rsidR="00AE0E77" w:rsidRDefault="00AE0E77" w:rsidP="00AE0E77">
      <w:pPr>
        <w:pStyle w:val="StandardWeb"/>
      </w:pPr>
      <w:r>
        <w:t>Die konkrete Bedeutung von (\sim_{\mathcal{N}}) hängt von der wissenschaftlich relevanten Netzwerkeigenschaft ab.</w:t>
      </w:r>
    </w:p>
    <w:p w:rsidR="00AE0E77" w:rsidRDefault="00E50336" w:rsidP="00AE0E77">
      <w:r>
        <w:pict>
          <v:rect id="_x0000_i1226" style="width:0;height:1.5pt" o:hralign="center" o:hrstd="t" o:hr="t" fillcolor="#a0a0a0" stroked="f"/>
        </w:pict>
      </w:r>
    </w:p>
    <w:p w:rsidR="00AE0E77" w:rsidRDefault="00AE0E77" w:rsidP="00AE0E77">
      <w:pPr>
        <w:pStyle w:val="berschrift2"/>
      </w:pPr>
      <w:r>
        <w:t>3.3.39.86 Kantenrobustheit</w:t>
      </w:r>
    </w:p>
    <w:p w:rsidR="00AE0E77" w:rsidRDefault="00AE0E77" w:rsidP="00AE0E77">
      <w:pPr>
        <w:pStyle w:val="StandardWeb"/>
      </w:pPr>
      <w:r>
        <w:t>Für eine einzelne Relation zwischen (i) und (j) definiere ich einen Kantenindikator</w:t>
      </w:r>
    </w:p>
    <w:p w:rsidR="00AE0E77" w:rsidRDefault="00AE0E77" w:rsidP="00AE0E77">
      <w:pPr>
        <w:pStyle w:val="StandardWeb"/>
      </w:pPr>
      <w:r>
        <w:t>[</w:t>
      </w:r>
      <w:r>
        <w:br/>
        <w:t>a_{ij}^{(k)}</w:t>
      </w:r>
      <w:r>
        <w:br/>
        <w:t>\in</w:t>
      </w:r>
      <w:r>
        <w:br/>
        <w:t>{0,1}.</w:t>
      </w:r>
      <w:r>
        <w:br/>
        <w:t>\tag{3.6671}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a_{ij}^{(k)}\in\{0,1\}\qquad\text{(3.6671)}</w:t>
      </w:r>
    </w:p>
    <w:p w:rsidR="00AE0E77" w:rsidRDefault="00AE0E77" w:rsidP="00AE0E77">
      <w:pPr>
        <w:pStyle w:val="StandardWeb"/>
      </w:pPr>
      <w:r>
        <w:t>über Operationalisierungen (k=1,\ldots,m).</w:t>
      </w:r>
    </w:p>
    <w:p w:rsidR="00AE0E77" w:rsidRDefault="00AE0E77" w:rsidP="00AE0E77">
      <w:pPr>
        <w:pStyle w:val="StandardWeb"/>
      </w:pPr>
      <w:r>
        <w:t>Die Kantenrobustheit lautet</w:t>
      </w:r>
    </w:p>
    <w:p w:rsidR="00AE0E77" w:rsidRDefault="00AE0E77" w:rsidP="00AE0E77">
      <w:pPr>
        <w:pStyle w:val="berschrift1"/>
      </w:pPr>
      <w:r>
        <w:lastRenderedPageBreak/>
        <w:t>[</w:t>
      </w:r>
      <w:r>
        <w:br/>
        <w:t>R_{ij}^{\mathrm{edge}}</w:t>
      </w:r>
    </w:p>
    <w:p w:rsidR="00AE0E77" w:rsidRDefault="00AE0E77" w:rsidP="00AE0E77">
      <w:pPr>
        <w:pStyle w:val="StandardWeb"/>
      </w:pPr>
      <w:r>
        <w:t>\frac{1}{m}</w:t>
      </w:r>
      <w:r>
        <w:br/>
        <w:t>\sum_{k=1}^{m}</w:t>
      </w:r>
      <w:r>
        <w:br/>
        <w:t>a_{ij}^{(k)}.</w:t>
      </w:r>
      <w:r>
        <w:br/>
        <w:t>\tag{3.6672}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R_{ij}^{\mathrm{edge}}=\frac{1}{m}\sum_{k=1}^{m}a_{ij}^{(k)}\qquad\text{(3.6672)}</w:t>
      </w:r>
    </w:p>
    <w:p w:rsidR="00AE0E77" w:rsidRDefault="00AE0E77" w:rsidP="00AE0E77">
      <w:pPr>
        <w:pStyle w:val="StandardWeb"/>
      </w:pPr>
      <w:r>
        <w:t>Für</w:t>
      </w:r>
    </w:p>
    <w:p w:rsidR="00AE0E77" w:rsidRDefault="00AE0E77" w:rsidP="00AE0E77">
      <w:pPr>
        <w:pStyle w:val="berschrift1"/>
      </w:pPr>
      <w:r>
        <w:t>[</w:t>
      </w:r>
      <w:r>
        <w:br/>
        <w:t>R_{ij}^{\mathrm{edge}}</w:t>
      </w:r>
    </w:p>
    <w:p w:rsidR="00AE0E77" w:rsidRDefault="00AE0E77" w:rsidP="00AE0E77">
      <w:pPr>
        <w:pStyle w:val="StandardWeb"/>
      </w:pPr>
      <w:r>
        <w:t>1</w:t>
      </w:r>
      <w:r>
        <w:br/>
        <w:t>\tag{3.6673}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R_{ij}^{\mathrm{edge}}=1\qquad\text{(3.6673)}</w:t>
      </w:r>
    </w:p>
    <w:p w:rsidR="00AE0E77" w:rsidRDefault="00AE0E77" w:rsidP="00AE0E77">
      <w:pPr>
        <w:pStyle w:val="StandardWeb"/>
      </w:pPr>
      <w:r>
        <w:t>tritt die Relation unter sämtlichen betrachteten Operationalisierungen auf.</w:t>
      </w:r>
    </w:p>
    <w:p w:rsidR="00AE0E77" w:rsidRDefault="00AE0E77" w:rsidP="00AE0E77">
      <w:pPr>
        <w:pStyle w:val="StandardWeb"/>
      </w:pPr>
      <w:r>
        <w:t>Für Werte nahe (0{,}5) ist ihre Existenz dagegen stark operationalisierungsabhängig.</w:t>
      </w:r>
    </w:p>
    <w:p w:rsidR="00AE0E77" w:rsidRDefault="00AE0E77" w:rsidP="00AE0E77">
      <w:pPr>
        <w:pStyle w:val="StandardWeb"/>
      </w:pPr>
      <w:r>
        <w:t>Damit kann später zwischen stabilen und fragilen relationalen Strukturen unterschieden werden.</w:t>
      </w:r>
    </w:p>
    <w:p w:rsidR="00AE0E77" w:rsidRDefault="00E50336" w:rsidP="00AE0E77">
      <w:r>
        <w:pict>
          <v:rect id="_x0000_i1227" style="width:0;height:1.5pt" o:hralign="center" o:hrstd="t" o:hr="t" fillcolor="#a0a0a0" stroked="f"/>
        </w:pict>
      </w:r>
    </w:p>
    <w:p w:rsidR="00AE0E77" w:rsidRDefault="00AE0E77" w:rsidP="00AE0E77">
      <w:pPr>
        <w:pStyle w:val="berschrift2"/>
      </w:pPr>
      <w:r>
        <w:t>3.3.39.87 Robustheit von Dominanzstrukturen</w:t>
      </w:r>
    </w:p>
    <w:p w:rsidR="00AE0E77" w:rsidRDefault="00AE0E77" w:rsidP="00AE0E77">
      <w:pPr>
        <w:pStyle w:val="StandardWeb"/>
      </w:pPr>
      <w:r>
        <w:t>Auch Dominanzbeziehungen können operationalisierungsabhängig sein.</w:t>
      </w:r>
    </w:p>
    <w:p w:rsidR="00AE0E77" w:rsidRDefault="00AE0E77" w:rsidP="00AE0E77">
      <w:pPr>
        <w:pStyle w:val="StandardWeb"/>
      </w:pPr>
      <w:r>
        <w:t>Seien zwei Komponenten mit Ausprägungen</w:t>
      </w:r>
    </w:p>
    <w:p w:rsidR="00AE0E77" w:rsidRDefault="00AE0E77" w:rsidP="00AE0E77">
      <w:pPr>
        <w:pStyle w:val="StandardWeb"/>
      </w:pPr>
      <w:r>
        <w:t>[</w:t>
      </w:r>
      <w:r>
        <w:br/>
        <w:t>d_a^{(j)}</w:t>
      </w:r>
      <w:r>
        <w:br/>
        <w:t>\quad\text{und}\quad</w:t>
      </w:r>
      <w:r>
        <w:br/>
        <w:t>d_b^{(j)}.</w:t>
      </w:r>
      <w:r>
        <w:br/>
        <w:t>\tag{3.6674}</w:t>
      </w:r>
      <w:r>
        <w:br/>
        <w:t>]</w:t>
      </w:r>
    </w:p>
    <w:p w:rsidR="00AE0E77" w:rsidRDefault="00AE0E77" w:rsidP="00AE0E77">
      <w:pPr>
        <w:pStyle w:val="StandardWeb"/>
      </w:pPr>
      <w:r>
        <w:rPr>
          <w:rStyle w:val="Fett"/>
        </w:rPr>
        <w:lastRenderedPageBreak/>
        <w:t>Word-LaTeX</w:t>
      </w:r>
    </w:p>
    <w:p w:rsidR="00AE0E77" w:rsidRDefault="00AE0E77" w:rsidP="00AE0E77">
      <w:pPr>
        <w:pStyle w:val="HTMLVorformatiert"/>
        <w:rPr>
          <w:rStyle w:val="HTMLCode"/>
        </w:rPr>
      </w:pPr>
      <w:r>
        <w:rPr>
          <w:rStyle w:val="HTMLCode"/>
        </w:rPr>
        <w:t>d_a^{(j)}\quad\text{und}\quad d_b^{(j)}\qquad\text{(3.6674)}</w:t>
      </w:r>
    </w:p>
    <w:p w:rsidR="00AE0E77" w:rsidRDefault="00AE0E77" w:rsidP="00AE0E77">
      <w:pPr>
        <w:pStyle w:val="StandardWeb"/>
      </w:pPr>
      <w:r>
        <w:t>Eine Dominanzbeziehung lautet</w:t>
      </w:r>
    </w:p>
    <w:p w:rsidR="00AE0E77" w:rsidRDefault="00AE0E77" w:rsidP="00AE0E77">
      <w:pPr>
        <w:pStyle w:val="StandardWeb"/>
      </w:pPr>
      <w:r>
        <w:t>[</w:t>
      </w:r>
      <w:r>
        <w:br/>
        <w:t>d_a^{(j)}</w:t>
      </w:r>
    </w:p>
    <w:p w:rsidR="00AE0E77" w:rsidRDefault="00AE0E77" w:rsidP="00AE0E77">
      <w:pPr>
        <w:pStyle w:val="StandardWeb"/>
      </w:pPr>
      <w:r>
        <w:t>d_b^{(j)}.</w:t>
      </w:r>
      <w:r>
        <w:br/>
        <w:t>\tag{3.6675}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d_a^{(j)}&gt;d_b^{(j)}\qquad\text{(3.6675)}</w:t>
      </w:r>
    </w:p>
    <w:p w:rsidR="00AE0E77" w:rsidRDefault="00AE0E77" w:rsidP="00AE0E77">
      <w:pPr>
        <w:pStyle w:val="StandardWeb"/>
      </w:pPr>
      <w:r>
        <w:t>Dominanzrobustheit liegt vor, wenn</w:t>
      </w:r>
    </w:p>
    <w:p w:rsidR="00AE0E77" w:rsidRDefault="00AE0E77" w:rsidP="00AE0E77">
      <w:pPr>
        <w:pStyle w:val="StandardWeb"/>
      </w:pPr>
      <w:r>
        <w:t>[</w:t>
      </w:r>
      <w:r>
        <w:br/>
        <w:t>d_a^{(j)}</w:t>
      </w:r>
    </w:p>
    <w:p w:rsidR="00AE0E77" w:rsidRDefault="00AE0E77" w:rsidP="00AE0E77">
      <w:pPr>
        <w:pStyle w:val="StandardWeb"/>
      </w:pPr>
      <w:r>
        <w:t>d_b^{(j)}</w:t>
      </w:r>
      <w:r>
        <w:br/>
        <w:t>\qquad</w:t>
      </w:r>
      <w:r>
        <w:br/>
        <w:t>\forall j.</w:t>
      </w:r>
      <w:r>
        <w:br/>
        <w:t>\tag{3.6676}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d_a^{(j)}&gt;d_b^{(j)}\qquad\forall j\qquad\text{(3.6676)}</w:t>
      </w:r>
    </w:p>
    <w:p w:rsidR="00AE0E77" w:rsidRDefault="00AE0E77" w:rsidP="00AE0E77">
      <w:pPr>
        <w:pStyle w:val="StandardWeb"/>
      </w:pPr>
      <w:r>
        <w:t>Wechselt die Dominanz bei plausiblen Operationalisierungsvarianten, muss die wissenschaftliche Aussage entsprechend abgeschwächt werden.</w:t>
      </w:r>
    </w:p>
    <w:p w:rsidR="00AE0E77" w:rsidRDefault="00E50336" w:rsidP="00AE0E77">
      <w:r>
        <w:pict>
          <v:rect id="_x0000_i1228" style="width:0;height:1.5pt" o:hralign="center" o:hrstd="t" o:hr="t" fillcolor="#a0a0a0" stroked="f"/>
        </w:pict>
      </w:r>
    </w:p>
    <w:p w:rsidR="00AE0E77" w:rsidRDefault="00AE0E77" w:rsidP="00AE0E77">
      <w:pPr>
        <w:pStyle w:val="berschrift2"/>
      </w:pPr>
      <w:r>
        <w:t>3.3.39.88 Operationalisierungsrobustheit von Übergangsereignissen</w:t>
      </w:r>
    </w:p>
    <w:p w:rsidR="00AE0E77" w:rsidRDefault="00AE0E77" w:rsidP="00AE0E77">
      <w:pPr>
        <w:pStyle w:val="StandardWeb"/>
      </w:pPr>
      <w:r>
        <w:t>Ein Übergangsereignis kann durch verschiedene Indikatoren detektiert werden.</w:t>
      </w:r>
    </w:p>
    <w:p w:rsidR="00AE0E77" w:rsidRDefault="00AE0E77" w:rsidP="00AE0E77">
      <w:pPr>
        <w:pStyle w:val="StandardWeb"/>
      </w:pPr>
      <w:r>
        <w:t>Sei</w:t>
      </w:r>
    </w:p>
    <w:p w:rsidR="00AE0E77" w:rsidRDefault="00AE0E77" w:rsidP="00AE0E77">
      <w:pPr>
        <w:pStyle w:val="StandardWeb"/>
      </w:pPr>
      <w:r>
        <w:t>[</w:t>
      </w:r>
      <w:r>
        <w:br/>
        <w:t>E_{\mathrm{trans}}^{(j)}</w:t>
      </w:r>
      <w:r>
        <w:br/>
        <w:t>\in</w:t>
      </w:r>
      <w:r>
        <w:br/>
        <w:t>{0,1}</w:t>
      </w:r>
      <w:r>
        <w:br/>
        <w:t>\tag{3.6677}</w:t>
      </w:r>
      <w:r>
        <w:br/>
        <w:t>]</w:t>
      </w:r>
    </w:p>
    <w:p w:rsidR="00AE0E77" w:rsidRDefault="00AE0E77" w:rsidP="00AE0E77">
      <w:pPr>
        <w:pStyle w:val="StandardWeb"/>
      </w:pPr>
      <w:r>
        <w:rPr>
          <w:rStyle w:val="Fett"/>
        </w:rPr>
        <w:lastRenderedPageBreak/>
        <w:t>Word-LaTeX</w:t>
      </w:r>
    </w:p>
    <w:p w:rsidR="00AE0E77" w:rsidRDefault="00AE0E77" w:rsidP="00AE0E77">
      <w:pPr>
        <w:pStyle w:val="HTMLVorformatiert"/>
        <w:rPr>
          <w:rStyle w:val="HTMLCode"/>
        </w:rPr>
      </w:pPr>
      <w:r>
        <w:rPr>
          <w:rStyle w:val="HTMLCode"/>
        </w:rPr>
        <w:t>E_{\mathrm{trans}}^{(j)}\in\{0,1\}\qquad\text{(3.6677)}</w:t>
      </w:r>
    </w:p>
    <w:p w:rsidR="00AE0E77" w:rsidRDefault="00AE0E77" w:rsidP="00AE0E77">
      <w:pPr>
        <w:pStyle w:val="StandardWeb"/>
      </w:pPr>
      <w:r>
        <w:t>der Ereignisindikator unter Operationalisierung (j).</w:t>
      </w:r>
    </w:p>
    <w:p w:rsidR="00AE0E77" w:rsidRDefault="00AE0E77" w:rsidP="00AE0E77">
      <w:pPr>
        <w:pStyle w:val="StandardWeb"/>
      </w:pPr>
      <w:r>
        <w:t>Die Ereignisrobustheit lautet</w:t>
      </w:r>
    </w:p>
    <w:p w:rsidR="00AE0E77" w:rsidRDefault="00AE0E77" w:rsidP="00AE0E77">
      <w:pPr>
        <w:pStyle w:val="berschrift1"/>
      </w:pPr>
      <w:r>
        <w:t>[</w:t>
      </w:r>
      <w:r>
        <w:br/>
        <w:t>R_{\mathrm{event}}</w:t>
      </w:r>
    </w:p>
    <w:p w:rsidR="00AE0E77" w:rsidRDefault="00AE0E77" w:rsidP="00AE0E77">
      <w:pPr>
        <w:pStyle w:val="StandardWeb"/>
      </w:pPr>
      <w:r>
        <w:t>\frac{1}{m}</w:t>
      </w:r>
      <w:r>
        <w:br/>
        <w:t>\sum_{j=1}^{m}</w:t>
      </w:r>
      <w:r>
        <w:br/>
        <w:t>E_{\mathrm{trans}}^{(j)}.</w:t>
      </w:r>
      <w:r>
        <w:br/>
        <w:t>\tag{3.6678}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R_{\mathrm{event}}=\frac{1}{m}\sum_{j=1}^{m}E_{\mathrm{trans}}^{(j)}\qquad\text{(3.6678)}</w:t>
      </w:r>
    </w:p>
    <w:p w:rsidR="00AE0E77" w:rsidRDefault="00AE0E77" w:rsidP="00AE0E77">
      <w:pPr>
        <w:pStyle w:val="StandardWeb"/>
      </w:pPr>
      <w:r>
        <w:t>Wird ein kritischer Übergang nur unter einer einzigen sehr spezifischen Operationalisierung erkannt, besitzt diese Interpretation deutlich geringere Robustheit als ein Übergang, der durch mehrere methodisch unabhängige Kriterien angezeigt wird [58, 59].</w:t>
      </w:r>
    </w:p>
    <w:p w:rsidR="00AE0E77" w:rsidRDefault="00E50336" w:rsidP="00AE0E77">
      <w:r>
        <w:pict>
          <v:rect id="_x0000_i1229" style="width:0;height:1.5pt" o:hralign="center" o:hrstd="t" o:hr="t" fillcolor="#a0a0a0" stroked="f"/>
        </w:pict>
      </w:r>
    </w:p>
    <w:p w:rsidR="00AE0E77" w:rsidRDefault="00AE0E77" w:rsidP="00AE0E77">
      <w:pPr>
        <w:pStyle w:val="berschrift2"/>
      </w:pPr>
      <w:r>
        <w:t>3.3.39.89 Zeitliche Robustheit eines Übergangsereignisses</w:t>
      </w:r>
    </w:p>
    <w:p w:rsidR="00AE0E77" w:rsidRDefault="00AE0E77" w:rsidP="00AE0E77">
      <w:pPr>
        <w:pStyle w:val="StandardWeb"/>
      </w:pPr>
      <w:r>
        <w:t>Neben dem bloßen Auftreten kann die zeitliche Lage eines Ereignisses verglichen werden.</w:t>
      </w:r>
    </w:p>
    <w:p w:rsidR="00AE0E77" w:rsidRDefault="00AE0E77" w:rsidP="00AE0E77">
      <w:pPr>
        <w:pStyle w:val="StandardWeb"/>
      </w:pPr>
      <w:r>
        <w:t>Die erkannten Zeitpunkte seien</w:t>
      </w:r>
    </w:p>
    <w:p w:rsidR="00AE0E77" w:rsidRDefault="00AE0E77" w:rsidP="00AE0E77">
      <w:pPr>
        <w:pStyle w:val="StandardWeb"/>
      </w:pPr>
      <w:r>
        <w:t>[</w:t>
      </w:r>
      <w:r>
        <w:br/>
        <w:t>t_1,</w:t>
      </w:r>
      <w:r>
        <w:br/>
        <w:t>t_2,</w:t>
      </w:r>
      <w:r>
        <w:br/>
        <w:t>\ldots,</w:t>
      </w:r>
      <w:r>
        <w:br/>
        <w:t>t_m.</w:t>
      </w:r>
      <w:r>
        <w:br/>
        <w:t>\tag{3.6679}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t_1,t_2,\ldots,t_m\qquad\text{(3.6679)}</w:t>
      </w:r>
    </w:p>
    <w:p w:rsidR="00AE0E77" w:rsidRDefault="00AE0E77" w:rsidP="00AE0E77">
      <w:pPr>
        <w:pStyle w:val="StandardWeb"/>
      </w:pPr>
      <w:r>
        <w:t>Der mittlere Ereigniszeitpunkt lautet</w:t>
      </w:r>
    </w:p>
    <w:p w:rsidR="00AE0E77" w:rsidRDefault="00AE0E77" w:rsidP="00AE0E77">
      <w:pPr>
        <w:pStyle w:val="berschrift1"/>
      </w:pPr>
      <w:r>
        <w:lastRenderedPageBreak/>
        <w:t>[</w:t>
      </w:r>
      <w:r>
        <w:br/>
        <w:t>\overline{t}</w:t>
      </w:r>
    </w:p>
    <w:p w:rsidR="00AE0E77" w:rsidRDefault="00AE0E77" w:rsidP="00AE0E77">
      <w:pPr>
        <w:pStyle w:val="StandardWeb"/>
      </w:pPr>
      <w:r>
        <w:t>\frac{1}{m}</w:t>
      </w:r>
      <w:r>
        <w:br/>
        <w:t>\sum_{j=1}^{m}</w:t>
      </w:r>
      <w:r>
        <w:br/>
        <w:t>t_j.</w:t>
      </w:r>
      <w:r>
        <w:br/>
        <w:t>\tag{3.6680}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\overline{t}=\frac{1}{m}\sum_{j=1}^{m}t_j\qquad\text{(3.6680)}</w:t>
      </w:r>
    </w:p>
    <w:p w:rsidR="00AE0E77" w:rsidRDefault="00AE0E77" w:rsidP="00AE0E77">
      <w:pPr>
        <w:pStyle w:val="StandardWeb"/>
      </w:pPr>
      <w:r>
        <w:t>Die zeitliche Streuung ist</w:t>
      </w:r>
    </w:p>
    <w:p w:rsidR="00AE0E77" w:rsidRDefault="00AE0E77" w:rsidP="00AE0E77">
      <w:pPr>
        <w:pStyle w:val="berschrift1"/>
      </w:pPr>
      <w:r>
        <w:t>[</w:t>
      </w:r>
      <w:r>
        <w:br/>
        <w:t>V_{t,\mathcal{O}}</w:t>
      </w:r>
    </w:p>
    <w:p w:rsidR="00AE0E77" w:rsidRDefault="00AE0E77" w:rsidP="00AE0E77">
      <w:pPr>
        <w:pStyle w:val="StandardWeb"/>
      </w:pPr>
      <w:r>
        <w:t>\frac{1}{m}</w:t>
      </w:r>
      <w:r>
        <w:br/>
        <w:t>\sum_{j=1}^{m}</w:t>
      </w:r>
      <w:r>
        <w:br/>
        <w:t>\left(</w:t>
      </w:r>
      <w:r>
        <w:br/>
        <w:t>t_j-\overline{t}</w:t>
      </w:r>
      <w:r>
        <w:br/>
        <w:t>\right)^2.</w:t>
      </w:r>
      <w:r>
        <w:br/>
        <w:t>\tag{3.6681}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V_{t,\mathcal{O}}=\frac{1}{m}\sum_{j=1}^{m}\left(t_j-\overline{t}\right)^2\qquad\text{(3.6681)}</w:t>
      </w:r>
    </w:p>
    <w:p w:rsidR="00AE0E77" w:rsidRDefault="00AE0E77" w:rsidP="00AE0E77">
      <w:pPr>
        <w:pStyle w:val="StandardWeb"/>
      </w:pPr>
      <w:r>
        <w:t>Damit kann zwischen robustem Ereignisauftreten und robuster zeitlicher Lokalisierung unterschieden werden.</w:t>
      </w:r>
    </w:p>
    <w:p w:rsidR="00AE0E77" w:rsidRDefault="00E50336" w:rsidP="00AE0E77">
      <w:r>
        <w:pict>
          <v:rect id="_x0000_i1230" style="width:0;height:1.5pt" o:hralign="center" o:hrstd="t" o:hr="t" fillcolor="#a0a0a0" stroked="f"/>
        </w:pict>
      </w:r>
    </w:p>
    <w:p w:rsidR="00AE0E77" w:rsidRDefault="00AE0E77" w:rsidP="00AE0E77">
      <w:pPr>
        <w:pStyle w:val="berschrift2"/>
      </w:pPr>
      <w:r>
        <w:t>3.3.39.90 Operationalisierungsrobustheit und Missing Data</w:t>
      </w:r>
    </w:p>
    <w:p w:rsidR="00AE0E77" w:rsidRDefault="00AE0E77" w:rsidP="00AE0E77">
      <w:pPr>
        <w:pStyle w:val="StandardWeb"/>
      </w:pPr>
      <w:r>
        <w:t>Auch der Umgang mit fehlenden Daten ist Teil der Operationalisierung.</w:t>
      </w:r>
    </w:p>
    <w:p w:rsidR="00AE0E77" w:rsidRDefault="00AE0E77" w:rsidP="00AE0E77">
      <w:pPr>
        <w:pStyle w:val="StandardWeb"/>
      </w:pPr>
      <w:r>
        <w:t>Sei</w:t>
      </w:r>
    </w:p>
    <w:p w:rsidR="00AE0E77" w:rsidRDefault="00AE0E77" w:rsidP="00AE0E77">
      <w:pPr>
        <w:pStyle w:val="StandardWeb"/>
      </w:pPr>
      <w:r>
        <w:t>[</w:t>
      </w:r>
      <w:r>
        <w:br/>
        <w:t>M_i</w:t>
      </w:r>
      <w:r>
        <w:br/>
        <w:t>\in</w:t>
      </w:r>
      <w:r>
        <w:br/>
        <w:t>{0,1}</w:t>
      </w:r>
      <w:r>
        <w:br/>
        <w:t>\tag{3.6682}</w:t>
      </w:r>
      <w:r>
        <w:br/>
        <w:t>]</w:t>
      </w:r>
    </w:p>
    <w:p w:rsidR="00AE0E77" w:rsidRDefault="00AE0E77" w:rsidP="00AE0E77">
      <w:pPr>
        <w:pStyle w:val="StandardWeb"/>
      </w:pPr>
      <w:r>
        <w:rPr>
          <w:rStyle w:val="Fett"/>
        </w:rPr>
        <w:lastRenderedPageBreak/>
        <w:t>Word-LaTeX</w:t>
      </w:r>
    </w:p>
    <w:p w:rsidR="00AE0E77" w:rsidRDefault="00AE0E77" w:rsidP="00AE0E77">
      <w:pPr>
        <w:pStyle w:val="HTMLVorformatiert"/>
        <w:rPr>
          <w:rStyle w:val="HTMLCode"/>
        </w:rPr>
      </w:pPr>
      <w:r>
        <w:rPr>
          <w:rStyle w:val="HTMLCode"/>
        </w:rPr>
        <w:t>M_i\in\{0,1\}\qquad\text{(3.6682)}</w:t>
      </w:r>
    </w:p>
    <w:p w:rsidR="00AE0E77" w:rsidRDefault="00AE0E77" w:rsidP="00AE0E77">
      <w:pPr>
        <w:pStyle w:val="StandardWeb"/>
      </w:pPr>
      <w:r>
        <w:t>ein Missingness-Indikator.</w:t>
      </w:r>
    </w:p>
    <w:p w:rsidR="00AE0E77" w:rsidRDefault="00AE0E77" w:rsidP="00AE0E77">
      <w:pPr>
        <w:pStyle w:val="StandardWeb"/>
      </w:pPr>
      <w:r>
        <w:t>Verschiedene Strategien können als</w:t>
      </w:r>
    </w:p>
    <w:p w:rsidR="00AE0E77" w:rsidRDefault="00AE0E77" w:rsidP="00AE0E77">
      <w:pPr>
        <w:pStyle w:val="StandardWeb"/>
      </w:pPr>
      <w:r>
        <w:t>[</w:t>
      </w:r>
      <w:r>
        <w:br/>
        <w:t>\mathcal{O}</w:t>
      </w:r>
      <w:r>
        <w:rPr>
          <w:rStyle w:val="Hervorhebung"/>
        </w:rPr>
        <w:t>{\mathrm{miss}}^{(1)},</w:t>
      </w:r>
      <w:r>
        <w:rPr>
          <w:i/>
          <w:iCs/>
        </w:rPr>
        <w:br/>
      </w:r>
      <w:r>
        <w:rPr>
          <w:rStyle w:val="Hervorhebung"/>
        </w:rPr>
        <w:t>\mathcal{O}</w:t>
      </w:r>
      <w:r>
        <w:t>{\mathrm{miss}}^{(2)},</w:t>
      </w:r>
      <w:r>
        <w:br/>
        <w:t>\ldots</w:t>
      </w:r>
      <w:r>
        <w:br/>
        <w:t>\tag{3.6683}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\mathcal{O}_{\mathrm{miss}}^{(1)},\mathcal{O}_{\mathrm{miss}}^{(2)},\ldots\qquad\text{(3.6683)}</w:t>
      </w:r>
    </w:p>
    <w:p w:rsidR="00AE0E77" w:rsidRDefault="00AE0E77" w:rsidP="00AE0E77">
      <w:pPr>
        <w:pStyle w:val="StandardWeb"/>
      </w:pPr>
      <w:r>
        <w:t>bezeichnet werden.</w:t>
      </w:r>
    </w:p>
    <w:p w:rsidR="00AE0E77" w:rsidRDefault="00AE0E77" w:rsidP="00AE0E77">
      <w:pPr>
        <w:pStyle w:val="StandardWeb"/>
      </w:pPr>
      <w:r>
        <w:t>Die resultierenden Aussagen lauten</w:t>
      </w:r>
    </w:p>
    <w:p w:rsidR="00AE0E77" w:rsidRDefault="00AE0E77" w:rsidP="00AE0E77">
      <w:pPr>
        <w:pStyle w:val="berschrift1"/>
      </w:pPr>
      <w:r>
        <w:t>[</w:t>
      </w:r>
      <w:r>
        <w:br/>
        <w:t>A_F^{(\mathrm{miss},j)}</w:t>
      </w:r>
    </w:p>
    <w:p w:rsidR="00AE0E77" w:rsidRDefault="00AE0E77" w:rsidP="00AE0E77">
      <w:pPr>
        <w:pStyle w:val="StandardWeb"/>
      </w:pPr>
      <w:r>
        <w:t>A_F</w:t>
      </w:r>
      <w:r>
        <w:br/>
        <w:t>\left(</w:t>
      </w:r>
      <w:r>
        <w:br/>
        <w:t>\mathcal{O}_{\mathrm{miss}}^{(j)}</w:t>
      </w:r>
      <w:r>
        <w:br/>
        <w:t>\right).</w:t>
      </w:r>
      <w:r>
        <w:br/>
        <w:t>\tag{3.6684}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A_F^{(\mathrm{miss},j)}=A_F\left(\mathcal{O}_{\mathrm{miss}}^{(j)}\right)\qquad\text{(3.6684)}</w:t>
      </w:r>
    </w:p>
    <w:p w:rsidR="00AE0E77" w:rsidRDefault="00AE0E77" w:rsidP="00AE0E77">
      <w:pPr>
        <w:pStyle w:val="StandardWeb"/>
      </w:pPr>
      <w:r>
        <w:t>Wenn unterschiedliche wissenschaftlich zulässige Missing-Data-Behandlungen zu stark divergierenden Aussagen führen, ist dies als zusätzliche Operationalisierungsunsicherheit auszuweisen [58, 79].</w:t>
      </w:r>
    </w:p>
    <w:p w:rsidR="00AE0E77" w:rsidRDefault="00E50336" w:rsidP="00AE0E77">
      <w:r>
        <w:pict>
          <v:rect id="_x0000_i1231" style="width:0;height:1.5pt" o:hralign="center" o:hrstd="t" o:hr="t" fillcolor="#a0a0a0" stroked="f"/>
        </w:pict>
      </w:r>
    </w:p>
    <w:p w:rsidR="00AE0E77" w:rsidRDefault="00AE0E77" w:rsidP="00AE0E77">
      <w:pPr>
        <w:pStyle w:val="berschrift2"/>
      </w:pPr>
      <w:r>
        <w:t>3.3.39.91 Robustheit gegenüber Ausreißerbehandlung</w:t>
      </w:r>
    </w:p>
    <w:p w:rsidR="00AE0E77" w:rsidRDefault="00AE0E77" w:rsidP="00AE0E77">
      <w:pPr>
        <w:pStyle w:val="StandardWeb"/>
      </w:pPr>
      <w:r>
        <w:t>Analog kann die Behandlung von Ausreißern variiert werden.</w:t>
      </w:r>
    </w:p>
    <w:p w:rsidR="00AE0E77" w:rsidRDefault="00AE0E77" w:rsidP="00AE0E77">
      <w:pPr>
        <w:pStyle w:val="StandardWeb"/>
      </w:pPr>
      <w:r>
        <w:t>Sei</w:t>
      </w:r>
    </w:p>
    <w:p w:rsidR="00AE0E77" w:rsidRDefault="00AE0E77" w:rsidP="00AE0E77">
      <w:pPr>
        <w:pStyle w:val="StandardWeb"/>
      </w:pPr>
      <w:r>
        <w:lastRenderedPageBreak/>
        <w:t>[</w:t>
      </w:r>
      <w:r>
        <w:br/>
        <w:t>\mathcal{O}_{\mathrm{out}}^{(j)}</w:t>
      </w:r>
      <w:r>
        <w:br/>
        <w:t>\tag{3.6685}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\mathcal{O}_{\mathrm{out}}^{(j)}\qquad\text{(3.6685)}</w:t>
      </w:r>
    </w:p>
    <w:p w:rsidR="00AE0E77" w:rsidRDefault="00AE0E77" w:rsidP="00AE0E77">
      <w:pPr>
        <w:pStyle w:val="StandardWeb"/>
      </w:pPr>
      <w:r>
        <w:t>eine zulässige Ausreißerstrategie.</w:t>
      </w:r>
    </w:p>
    <w:p w:rsidR="00AE0E77" w:rsidRDefault="00AE0E77" w:rsidP="00AE0E77">
      <w:pPr>
        <w:pStyle w:val="StandardWeb"/>
      </w:pPr>
      <w:r>
        <w:t>Dann gilt</w:t>
      </w:r>
    </w:p>
    <w:p w:rsidR="00AE0E77" w:rsidRDefault="00AE0E77" w:rsidP="00AE0E77">
      <w:pPr>
        <w:pStyle w:val="berschrift1"/>
      </w:pPr>
      <w:r>
        <w:t>[</w:t>
      </w:r>
      <w:r>
        <w:br/>
        <w:t>A_F^{(\mathrm{out},j)}</w:t>
      </w:r>
    </w:p>
    <w:p w:rsidR="00AE0E77" w:rsidRDefault="00AE0E77" w:rsidP="00AE0E77">
      <w:pPr>
        <w:pStyle w:val="StandardWeb"/>
      </w:pPr>
      <w:r>
        <w:t>A_F</w:t>
      </w:r>
      <w:r>
        <w:br/>
        <w:t>\left(</w:t>
      </w:r>
      <w:r>
        <w:br/>
        <w:t>\mathcal{O}_{\mathrm{out}}^{(j)}</w:t>
      </w:r>
      <w:r>
        <w:br/>
        <w:t>\right).</w:t>
      </w:r>
      <w:r>
        <w:br/>
        <w:t>\tag{3.6686}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A_F^{(\mathrm{out},j)}=A_F\left(\mathcal{O}_{\mathrm{out}}^{(j)}\right)\qquad\text{(3.6686)}</w:t>
      </w:r>
    </w:p>
    <w:p w:rsidR="00AE0E77" w:rsidRDefault="00AE0E77" w:rsidP="00AE0E77">
      <w:pPr>
        <w:pStyle w:val="StandardWeb"/>
      </w:pPr>
      <w:r>
        <w:t>Eine Aussage, die nur nach Entfernung bestimmter Beobachtungen auftritt, muss wissenschaftlich anders bewertet werden als eine Aussage, die unter mehreren begründbaren Ausreißerbehandlungen erhalten bleibt.</w:t>
      </w:r>
    </w:p>
    <w:p w:rsidR="00AE0E77" w:rsidRDefault="00E50336" w:rsidP="00AE0E77">
      <w:r>
        <w:pict>
          <v:rect id="_x0000_i1232" style="width:0;height:1.5pt" o:hralign="center" o:hrstd="t" o:hr="t" fillcolor="#a0a0a0" stroked="f"/>
        </w:pict>
      </w:r>
    </w:p>
    <w:p w:rsidR="00AE0E77" w:rsidRDefault="00AE0E77" w:rsidP="00AE0E77">
      <w:pPr>
        <w:pStyle w:val="berschrift2"/>
      </w:pPr>
      <w:r>
        <w:t>3.3.39.92 Robustheit gegenüber Normalisierung</w:t>
      </w:r>
    </w:p>
    <w:p w:rsidR="00AE0E77" w:rsidRDefault="00AE0E77" w:rsidP="00AE0E77">
      <w:pPr>
        <w:pStyle w:val="StandardWeb"/>
      </w:pPr>
      <w:r>
        <w:t>Eine Normalisierungsabbildung sei</w:t>
      </w:r>
    </w:p>
    <w:p w:rsidR="00AE0E77" w:rsidRDefault="00AE0E77" w:rsidP="00AE0E77">
      <w:pPr>
        <w:pStyle w:val="StandardWeb"/>
      </w:pPr>
      <w:r>
        <w:t>[</w:t>
      </w:r>
      <w:r>
        <w:br/>
        <w:t>N_j</w:t>
      </w:r>
      <w:r>
        <w:br/>
        <w:t>:</w:t>
      </w:r>
      <w:r>
        <w:br/>
        <w:t>\mathcal{D}</w:t>
      </w:r>
      <w:r>
        <w:br/>
        <w:t>\rightarrow</w:t>
      </w:r>
      <w:r>
        <w:br/>
        <w:t>\mathcal{D}^{(j)}.</w:t>
      </w:r>
      <w:r>
        <w:br/>
        <w:t>\tag{3.6687}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N_j:\mathcal{D}\rightarrow\mathcal{D}^{(j)}\qquad\text{(3.6687)}</w:t>
      </w:r>
    </w:p>
    <w:p w:rsidR="00AE0E77" w:rsidRDefault="00AE0E77" w:rsidP="00AE0E77">
      <w:pPr>
        <w:pStyle w:val="StandardWeb"/>
      </w:pPr>
      <w:r>
        <w:lastRenderedPageBreak/>
        <w:t>Die daraus resultierende Aussage lautet</w:t>
      </w:r>
    </w:p>
    <w:p w:rsidR="00AE0E77" w:rsidRDefault="00AE0E77" w:rsidP="00AE0E77">
      <w:pPr>
        <w:pStyle w:val="berschrift1"/>
      </w:pPr>
      <w:r>
        <w:t>[</w:t>
      </w:r>
      <w:r>
        <w:br/>
        <w:t>A_F^{(N_j)}</w:t>
      </w:r>
    </w:p>
    <w:p w:rsidR="00AE0E77" w:rsidRDefault="00AE0E77" w:rsidP="00AE0E77">
      <w:pPr>
        <w:pStyle w:val="StandardWeb"/>
      </w:pPr>
      <w:r>
        <w:t>A_F</w:t>
      </w:r>
      <w:r>
        <w:br/>
        <w:t>\left(</w:t>
      </w:r>
      <w:r>
        <w:br/>
        <w:t>N_j(\mathcal{D})</w:t>
      </w:r>
      <w:r>
        <w:br/>
        <w:t>\right).</w:t>
      </w:r>
      <w:r>
        <w:br/>
        <w:t>\tag{3.6688}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A_F^{(N_j)}=A_F\left(N_j(\mathcal{D})\right)\qquad\text{(3.6688)}</w:t>
      </w:r>
    </w:p>
    <w:p w:rsidR="00AE0E77" w:rsidRDefault="00AE0E77" w:rsidP="00AE0E77">
      <w:pPr>
        <w:pStyle w:val="StandardWeb"/>
      </w:pPr>
      <w:r>
        <w:t>Normalisierung kann insbesondere bei Distanz-, Ähnlichkeits- und Kohärenzmaßen erheblichen Einfluss besitzen. Deshalb muss dokumentiert werden, ob eine relevante FRZK-Aussage unter mehreren sachlich begründbaren Normalisierungen erhalten bleibt [59, 79].</w:t>
      </w:r>
    </w:p>
    <w:p w:rsidR="00AE0E77" w:rsidRDefault="00E50336" w:rsidP="00AE0E77">
      <w:r>
        <w:pict>
          <v:rect id="_x0000_i1233" style="width:0;height:1.5pt" o:hralign="center" o:hrstd="t" o:hr="t" fillcolor="#a0a0a0" stroked="f"/>
        </w:pict>
      </w:r>
    </w:p>
    <w:p w:rsidR="00AE0E77" w:rsidRDefault="00AE0E77" w:rsidP="00AE0E77">
      <w:pPr>
        <w:pStyle w:val="berschrift2"/>
      </w:pPr>
      <w:r>
        <w:t>3.3.39.93 Robustheit gegenüber Gewichtung</w:t>
      </w:r>
    </w:p>
    <w:p w:rsidR="00AE0E77" w:rsidRDefault="00AE0E77" w:rsidP="00AE0E77">
      <w:pPr>
        <w:pStyle w:val="StandardWeb"/>
      </w:pPr>
      <w:r>
        <w:t>Viele zusammengesetzte Kennzahlen verwenden Gewichte.</w:t>
      </w:r>
    </w:p>
    <w:p w:rsidR="00AE0E77" w:rsidRDefault="00AE0E77" w:rsidP="00AE0E77">
      <w:pPr>
        <w:pStyle w:val="StandardWeb"/>
      </w:pPr>
      <w:r>
        <w:t>Sei</w:t>
      </w:r>
    </w:p>
    <w:p w:rsidR="00AE0E77" w:rsidRDefault="00AE0E77" w:rsidP="00AE0E77">
      <w:pPr>
        <w:pStyle w:val="berschrift1"/>
      </w:pPr>
      <w:r>
        <w:t>[</w:t>
      </w:r>
      <w:r>
        <w:br/>
        <w:t>\mathbf{w}</w:t>
      </w:r>
    </w:p>
    <w:p w:rsidR="00AE0E77" w:rsidRDefault="00AE0E77" w:rsidP="00AE0E77">
      <w:pPr>
        <w:pStyle w:val="StandardWeb"/>
      </w:pPr>
      <w:r>
        <w:t>\left(</w:t>
      </w:r>
      <w:r>
        <w:br/>
        <w:t>w_1,</w:t>
      </w:r>
      <w:r>
        <w:br/>
        <w:t>\ldots,</w:t>
      </w:r>
      <w:r>
        <w:br/>
        <w:t>w_p</w:t>
      </w:r>
      <w:r>
        <w:br/>
        <w:t>\right)</w:t>
      </w:r>
      <w:r>
        <w:br/>
        <w:t>\tag{3.6689}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\mathbf{w}=\left(w_1,\ldots,w_p\right)\qquad\text{(3.6689)}</w:t>
      </w:r>
    </w:p>
    <w:p w:rsidR="00AE0E77" w:rsidRDefault="00AE0E77" w:rsidP="00AE0E77">
      <w:pPr>
        <w:pStyle w:val="StandardWeb"/>
      </w:pPr>
      <w:r>
        <w:t>mit</w:t>
      </w:r>
    </w:p>
    <w:p w:rsidR="00AE0E77" w:rsidRDefault="00AE0E77" w:rsidP="00AE0E77">
      <w:pPr>
        <w:pStyle w:val="berschrift1"/>
      </w:pPr>
      <w:r>
        <w:t>[</w:t>
      </w:r>
      <w:r>
        <w:br/>
        <w:t>w_i</w:t>
      </w:r>
      <w:r>
        <w:br/>
      </w:r>
      <w:r>
        <w:lastRenderedPageBreak/>
        <w:t>\geq</w:t>
      </w:r>
      <w:r>
        <w:br/>
        <w:t>0,</w:t>
      </w:r>
      <w:r>
        <w:br/>
        <w:t>\qquad</w:t>
      </w:r>
      <w:r>
        <w:br/>
        <w:t>\sum_{i=1}^{p}</w:t>
      </w:r>
      <w:r>
        <w:br/>
        <w:t>w_i</w:t>
      </w:r>
    </w:p>
    <w:p w:rsidR="00AE0E77" w:rsidRDefault="00AE0E77" w:rsidP="008C5E65">
      <w:pPr>
        <w:numPr>
          <w:ilvl w:val="0"/>
          <w:numId w:val="311"/>
        </w:numPr>
        <w:spacing w:before="100" w:beforeAutospacing="1" w:after="100" w:afterAutospacing="1"/>
      </w:pPr>
    </w:p>
    <w:p w:rsidR="00AE0E77" w:rsidRDefault="00AE0E77" w:rsidP="00AE0E77">
      <w:pPr>
        <w:pStyle w:val="StandardWeb"/>
      </w:pPr>
      <w:r>
        <w:t>\tag{3.6690}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w_i\geq0,\qquad\sum_{i=1}^{p}w_i=1\qquad\text{(3.6690)}</w:t>
      </w:r>
    </w:p>
    <w:p w:rsidR="00AE0E77" w:rsidRDefault="00AE0E77" w:rsidP="00AE0E77">
      <w:pPr>
        <w:pStyle w:val="StandardWeb"/>
      </w:pPr>
      <w:r>
        <w:t>Eine gewichtete Kennzahl lautet</w:t>
      </w:r>
    </w:p>
    <w:p w:rsidR="00AE0E77" w:rsidRDefault="00AE0E77" w:rsidP="00AE0E77">
      <w:pPr>
        <w:pStyle w:val="berschrift1"/>
      </w:pPr>
      <w:r>
        <w:t>[</w:t>
      </w:r>
      <w:r>
        <w:br/>
        <w:t>K_{\mathbf{w}}</w:t>
      </w:r>
    </w:p>
    <w:p w:rsidR="00AE0E77" w:rsidRDefault="00AE0E77" w:rsidP="00AE0E77">
      <w:pPr>
        <w:pStyle w:val="StandardWeb"/>
      </w:pPr>
      <w:r>
        <w:t>\sum_{i=1}^{p}</w:t>
      </w:r>
      <w:r>
        <w:br/>
        <w:t>w_i x_i.</w:t>
      </w:r>
      <w:r>
        <w:br/>
        <w:t>\tag{3.6691}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K_{\mathbf{w}}=\sum_{i=1}^{p}w_ix_i\qquad\text{(3.6691)}</w:t>
      </w:r>
    </w:p>
    <w:p w:rsidR="00AE0E77" w:rsidRDefault="00AE0E77" w:rsidP="00AE0E77">
      <w:pPr>
        <w:pStyle w:val="StandardWeb"/>
      </w:pPr>
      <w:r>
        <w:t>Die Aussage wird damit zu</w:t>
      </w:r>
    </w:p>
    <w:p w:rsidR="00AE0E77" w:rsidRDefault="00AE0E77" w:rsidP="00AE0E77">
      <w:pPr>
        <w:pStyle w:val="berschrift1"/>
      </w:pPr>
      <w:r>
        <w:t>[</w:t>
      </w:r>
      <w:r>
        <w:br/>
        <w:t>A_F</w:t>
      </w:r>
    </w:p>
    <w:p w:rsidR="00AE0E77" w:rsidRDefault="00AE0E77" w:rsidP="00AE0E77">
      <w:pPr>
        <w:pStyle w:val="StandardWeb"/>
      </w:pPr>
      <w:r>
        <w:t>A_F</w:t>
      </w:r>
      <w:r>
        <w:br/>
        <w:t>\left(</w:t>
      </w:r>
      <w:r>
        <w:br/>
        <w:t>\mathbf{w}</w:t>
      </w:r>
      <w:r>
        <w:br/>
        <w:t>\right).</w:t>
      </w:r>
      <w:r>
        <w:br/>
        <w:t>\tag{3.6692}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A_F=A_F\left(\mathbf{w}\right)\qquad\text{(3.6692)}</w:t>
      </w:r>
    </w:p>
    <w:p w:rsidR="00AE0E77" w:rsidRDefault="00AE0E77" w:rsidP="00AE0E77">
      <w:pPr>
        <w:pStyle w:val="StandardWeb"/>
      </w:pPr>
      <w:r>
        <w:lastRenderedPageBreak/>
        <w:t>Eine Gewichtung ist besonders kritisch, wenn kleine plausible Änderungen von (\mathbf{w}) die Rangfolge oder Aussageklasse verändern.</w:t>
      </w:r>
    </w:p>
    <w:p w:rsidR="00AE0E77" w:rsidRDefault="00E50336" w:rsidP="00AE0E77">
      <w:r>
        <w:pict>
          <v:rect id="_x0000_i1234" style="width:0;height:1.5pt" o:hralign="center" o:hrstd="t" o:hr="t" fillcolor="#a0a0a0" stroked="f"/>
        </w:pict>
      </w:r>
    </w:p>
    <w:p w:rsidR="00AE0E77" w:rsidRDefault="00AE0E77" w:rsidP="00AE0E77">
      <w:pPr>
        <w:pStyle w:val="berschrift2"/>
      </w:pPr>
      <w:r>
        <w:t>3.3.39.94 Gewichtungssensitivität</w:t>
      </w:r>
    </w:p>
    <w:p w:rsidR="00AE0E77" w:rsidRDefault="00AE0E77" w:rsidP="00AE0E77">
      <w:pPr>
        <w:pStyle w:val="StandardWeb"/>
      </w:pPr>
      <w:r>
        <w:t>Für eine differenzierbare Ergebnisgröße kann die Gewichtungssensitivität durch</w:t>
      </w:r>
    </w:p>
    <w:p w:rsidR="00AE0E77" w:rsidRDefault="00AE0E77" w:rsidP="00AE0E77">
      <w:pPr>
        <w:pStyle w:val="berschrift1"/>
      </w:pPr>
      <w:r>
        <w:t>[</w:t>
      </w:r>
      <w:r>
        <w:br/>
        <w:t>\mathbf{s}_{w}</w:t>
      </w:r>
    </w:p>
    <w:p w:rsidR="00AE0E77" w:rsidRDefault="00AE0E77" w:rsidP="00AE0E77">
      <w:pPr>
        <w:pStyle w:val="StandardWeb"/>
      </w:pPr>
      <w:r>
        <w:t>\nabla_{\mathbf{w}}</w:t>
      </w:r>
      <w:r>
        <w:br/>
        <w:t>A_F</w:t>
      </w:r>
      <w:r>
        <w:br/>
        <w:t>\tag{3.6693}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\mathbf{s}_{w}=\nabla_{\mathbf{w}}A_F\qquad\text{(3.6693)}</w:t>
      </w:r>
    </w:p>
    <w:p w:rsidR="00AE0E77" w:rsidRDefault="00AE0E77" w:rsidP="00AE0E77">
      <w:pPr>
        <w:pStyle w:val="StandardWeb"/>
      </w:pPr>
      <w:r>
        <w:t>beschrieben werden.</w:t>
      </w:r>
    </w:p>
    <w:p w:rsidR="00AE0E77" w:rsidRDefault="00AE0E77" w:rsidP="00AE0E77">
      <w:pPr>
        <w:pStyle w:val="StandardWeb"/>
      </w:pPr>
      <w:r>
        <w:t>Der Betrag</w:t>
      </w:r>
    </w:p>
    <w:p w:rsidR="00AE0E77" w:rsidRDefault="00AE0E77" w:rsidP="00AE0E77">
      <w:pPr>
        <w:pStyle w:val="StandardWeb"/>
      </w:pPr>
      <w:r>
        <w:t>[</w:t>
      </w:r>
      <w:r>
        <w:br/>
        <w:t>\left|</w:t>
      </w:r>
      <w:r>
        <w:br/>
        <w:t>\mathbf{s}_{w}</w:t>
      </w:r>
      <w:r>
        <w:br/>
        <w:t>\right|</w:t>
      </w:r>
      <w:r>
        <w:br/>
        <w:t>\tag{3.6694}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\left\|\mathbf{s}_{w}\right\|\qquad\text{(3.6694)}</w:t>
      </w:r>
    </w:p>
    <w:p w:rsidR="00AE0E77" w:rsidRDefault="00AE0E77" w:rsidP="00AE0E77">
      <w:pPr>
        <w:pStyle w:val="StandardWeb"/>
      </w:pPr>
      <w:r>
        <w:t>kennzeichnet die lokale Empfindlichkeit gegenüber Gewichtungsänderungen.</w:t>
      </w:r>
    </w:p>
    <w:p w:rsidR="00AE0E77" w:rsidRDefault="00AE0E77" w:rsidP="00AE0E77">
      <w:pPr>
        <w:pStyle w:val="StandardWeb"/>
      </w:pPr>
      <w:r>
        <w:t>Eine wissenschaftliche Aussage, die nur bei einer sehr engen Gewichtungskombination entsteht, sollte nicht als allgemein robuste Systemeigenschaft interpretiert werden [58, 79].</w:t>
      </w:r>
    </w:p>
    <w:p w:rsidR="00AE0E77" w:rsidRDefault="00E50336" w:rsidP="00AE0E77">
      <w:r>
        <w:pict>
          <v:rect id="_x0000_i1235" style="width:0;height:1.5pt" o:hralign="center" o:hrstd="t" o:hr="t" fillcolor="#a0a0a0" stroked="f"/>
        </w:pict>
      </w:r>
    </w:p>
    <w:p w:rsidR="00AE0E77" w:rsidRDefault="00AE0E77" w:rsidP="00AE0E77">
      <w:pPr>
        <w:pStyle w:val="berschrift2"/>
      </w:pPr>
      <w:r>
        <w:t>3.3.39.95 Operationalisierungsrobustheit gegenüber Aggregationsreihenfolge</w:t>
      </w:r>
    </w:p>
    <w:p w:rsidR="00AE0E77" w:rsidRDefault="00AE0E77" w:rsidP="00AE0E77">
      <w:pPr>
        <w:pStyle w:val="StandardWeb"/>
      </w:pPr>
      <w:r>
        <w:t>Auch die Reihenfolge von Verarbeitungsschritten kann relevant sein.</w:t>
      </w:r>
    </w:p>
    <w:p w:rsidR="00AE0E77" w:rsidRDefault="00AE0E77" w:rsidP="00AE0E77">
      <w:pPr>
        <w:pStyle w:val="StandardWeb"/>
      </w:pPr>
      <w:r>
        <w:t>Seien zwei Operatoren (A) und (B) gegeben.</w:t>
      </w:r>
    </w:p>
    <w:p w:rsidR="00AE0E77" w:rsidRDefault="00AE0E77" w:rsidP="00AE0E77">
      <w:pPr>
        <w:pStyle w:val="StandardWeb"/>
      </w:pPr>
      <w:r>
        <w:lastRenderedPageBreak/>
        <w:t>Im Allgemeinen kann gelten</w:t>
      </w:r>
    </w:p>
    <w:p w:rsidR="00AE0E77" w:rsidRDefault="00AE0E77" w:rsidP="00AE0E77">
      <w:pPr>
        <w:pStyle w:val="StandardWeb"/>
      </w:pPr>
      <w:r>
        <w:t>[</w:t>
      </w:r>
      <w:r>
        <w:br/>
        <w:t>A</w:t>
      </w:r>
      <w:r>
        <w:br/>
        <w:t>\circ</w:t>
      </w:r>
      <w:r>
        <w:br/>
        <w:t>B</w:t>
      </w:r>
      <w:r>
        <w:br/>
        <w:t>\neq</w:t>
      </w:r>
      <w:r>
        <w:br/>
        <w:t>B</w:t>
      </w:r>
      <w:r>
        <w:br/>
        <w:t>\circ</w:t>
      </w:r>
      <w:r>
        <w:br/>
        <w:t>A.</w:t>
      </w:r>
      <w:r>
        <w:br/>
        <w:t>\tag{3.6695}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A\circ B\neq B\circ A\qquad\text{(3.6695)}</w:t>
      </w:r>
    </w:p>
    <w:p w:rsidR="00AE0E77" w:rsidRDefault="00AE0E77" w:rsidP="00AE0E77">
      <w:pPr>
        <w:pStyle w:val="StandardWeb"/>
      </w:pPr>
      <w:r>
        <w:t>Damit können zwei Operationalisierungsketten</w:t>
      </w:r>
    </w:p>
    <w:p w:rsidR="00AE0E77" w:rsidRDefault="00AE0E77" w:rsidP="00AE0E77">
      <w:pPr>
        <w:pStyle w:val="berschrift1"/>
      </w:pPr>
      <w:r>
        <w:t>[</w:t>
      </w:r>
      <w:r>
        <w:br/>
        <w:t>\mathcal{O}_1</w:t>
      </w:r>
    </w:p>
    <w:p w:rsidR="00AE0E77" w:rsidRDefault="00AE0E77" w:rsidP="00AE0E77">
      <w:pPr>
        <w:pStyle w:val="StandardWeb"/>
      </w:pPr>
      <w:r>
        <w:t>A</w:t>
      </w:r>
      <w:r>
        <w:br/>
        <w:t>\circ</w:t>
      </w:r>
      <w:r>
        <w:br/>
        <w:t>B</w:t>
      </w:r>
      <w:r>
        <w:br/>
        <w:t>\tag{3.6696}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\mathcal{O}_1=A\circ B\qquad\text{(3.6696)}</w:t>
      </w:r>
    </w:p>
    <w:p w:rsidR="00AE0E77" w:rsidRDefault="00AE0E77" w:rsidP="00AE0E77">
      <w:pPr>
        <w:pStyle w:val="StandardWeb"/>
      </w:pPr>
      <w:r>
        <w:t>und</w:t>
      </w:r>
    </w:p>
    <w:p w:rsidR="00AE0E77" w:rsidRDefault="00AE0E77" w:rsidP="00AE0E77">
      <w:pPr>
        <w:pStyle w:val="berschrift1"/>
      </w:pPr>
      <w:r>
        <w:t>[</w:t>
      </w:r>
      <w:r>
        <w:br/>
        <w:t>\mathcal{O}_2</w:t>
      </w:r>
    </w:p>
    <w:p w:rsidR="00AE0E77" w:rsidRDefault="00AE0E77" w:rsidP="00AE0E77">
      <w:pPr>
        <w:pStyle w:val="StandardWeb"/>
      </w:pPr>
      <w:r>
        <w:t>B</w:t>
      </w:r>
      <w:r>
        <w:br/>
        <w:t>\circ</w:t>
      </w:r>
      <w:r>
        <w:br/>
        <w:t>A</w:t>
      </w:r>
      <w:r>
        <w:br/>
        <w:t>\tag{3.6697}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\mathcal{O}_2=B\circ A\qquad\text{(3.6697)}</w:t>
      </w:r>
    </w:p>
    <w:p w:rsidR="00AE0E77" w:rsidRDefault="00AE0E77" w:rsidP="00AE0E77">
      <w:pPr>
        <w:pStyle w:val="StandardWeb"/>
      </w:pPr>
      <w:r>
        <w:t>unterschiedliche Ergebnisse erzeugen.</w:t>
      </w:r>
    </w:p>
    <w:p w:rsidR="00AE0E77" w:rsidRDefault="00AE0E77" w:rsidP="00AE0E77">
      <w:pPr>
        <w:pStyle w:val="StandardWeb"/>
      </w:pPr>
      <w:r>
        <w:lastRenderedPageBreak/>
        <w:t>Dies ist insbesondere bei Normalisierung, Aggregation, Filterung und Schwellenwertbildung relevant.</w:t>
      </w:r>
    </w:p>
    <w:p w:rsidR="00AE0E77" w:rsidRDefault="00AE0E77" w:rsidP="00AE0E77">
      <w:pPr>
        <w:pStyle w:val="StandardWeb"/>
      </w:pPr>
      <w:r>
        <w:t>Die Reihenfolge der Verarbeitungsschritte muss deshalb als Teil des Operationalisierungsmanifests dokumentiert werden.</w:t>
      </w:r>
    </w:p>
    <w:p w:rsidR="00AE0E77" w:rsidRDefault="00E50336" w:rsidP="00AE0E77">
      <w:r>
        <w:pict>
          <v:rect id="_x0000_i1236" style="width:0;height:1.5pt" o:hralign="center" o:hrstd="t" o:hr="t" fillcolor="#a0a0a0" stroked="f"/>
        </w:pict>
      </w:r>
    </w:p>
    <w:p w:rsidR="00AE0E77" w:rsidRDefault="00AE0E77" w:rsidP="00AE0E77">
      <w:pPr>
        <w:pStyle w:val="berschrift2"/>
      </w:pPr>
      <w:r>
        <w:t>3.3.39.96 Pfadabhängigkeit der Operationalisierung</w:t>
      </w:r>
    </w:p>
    <w:p w:rsidR="00AE0E77" w:rsidRDefault="00AE0E77" w:rsidP="00AE0E77">
      <w:pPr>
        <w:pStyle w:val="StandardWeb"/>
      </w:pPr>
      <w:r>
        <w:t>Ich bezeichne eine Operationalisierung als pfadabhängig, wenn</w:t>
      </w:r>
    </w:p>
    <w:p w:rsidR="00AE0E77" w:rsidRDefault="00AE0E77" w:rsidP="00AE0E77">
      <w:pPr>
        <w:pStyle w:val="StandardWeb"/>
      </w:pPr>
      <w:r>
        <w:t>[</w:t>
      </w:r>
      <w:r>
        <w:br/>
        <w:t>\mathcal{O}</w:t>
      </w:r>
      <w:r>
        <w:rPr>
          <w:rStyle w:val="Hervorhebung"/>
        </w:rPr>
        <w:t>{P_1}</w:t>
      </w:r>
      <w:r>
        <w:rPr>
          <w:i/>
          <w:iCs/>
        </w:rPr>
        <w:br/>
      </w:r>
      <w:r>
        <w:rPr>
          <w:rStyle w:val="Hervorhebung"/>
        </w:rPr>
        <w:t>\left(</w:t>
      </w:r>
      <w:r>
        <w:rPr>
          <w:i/>
          <w:iCs/>
        </w:rPr>
        <w:br/>
      </w:r>
      <w:r>
        <w:rPr>
          <w:rStyle w:val="Hervorhebung"/>
        </w:rPr>
        <w:t>\mathcal{D}</w:t>
      </w:r>
      <w:r>
        <w:rPr>
          <w:i/>
          <w:iCs/>
        </w:rPr>
        <w:br/>
      </w:r>
      <w:r>
        <w:rPr>
          <w:rStyle w:val="Hervorhebung"/>
        </w:rPr>
        <w:t>\right)</w:t>
      </w:r>
      <w:r>
        <w:rPr>
          <w:i/>
          <w:iCs/>
        </w:rPr>
        <w:br/>
      </w:r>
      <w:r>
        <w:rPr>
          <w:rStyle w:val="Hervorhebung"/>
        </w:rPr>
        <w:t>\neq</w:t>
      </w:r>
      <w:r>
        <w:rPr>
          <w:i/>
          <w:iCs/>
        </w:rPr>
        <w:br/>
      </w:r>
      <w:r>
        <w:rPr>
          <w:rStyle w:val="Hervorhebung"/>
        </w:rPr>
        <w:t>\mathcal{O}</w:t>
      </w:r>
      <w:r>
        <w:t>{P_2}</w:t>
      </w:r>
      <w:r>
        <w:br/>
        <w:t>\left(</w:t>
      </w:r>
      <w:r>
        <w:br/>
        <w:t>\mathcal{D}</w:t>
      </w:r>
      <w:r>
        <w:br/>
        <w:t>\right)</w:t>
      </w:r>
      <w:r>
        <w:br/>
        <w:t>\tag{3.6698}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\mathcal{O}_{P_1}\left(\mathcal{D}\right)\neq\mathcal{O}_{P_2}\left(\mathcal{D}\right)\qquad\text{(3.6698)}</w:t>
      </w:r>
    </w:p>
    <w:p w:rsidR="00AE0E77" w:rsidRDefault="00AE0E77" w:rsidP="00AE0E77">
      <w:pPr>
        <w:pStyle w:val="StandardWeb"/>
      </w:pPr>
      <w:r>
        <w:t>für zwei unterschiedliche Verarbeitungspfade (P_1) und (P_2) gilt.</w:t>
      </w:r>
    </w:p>
    <w:p w:rsidR="00AE0E77" w:rsidRDefault="00AE0E77" w:rsidP="00AE0E77">
      <w:pPr>
        <w:pStyle w:val="StandardWeb"/>
      </w:pPr>
      <w:r>
        <w:t>Die resultierenden Aussagen können entsprechend</w:t>
      </w:r>
    </w:p>
    <w:p w:rsidR="00AE0E77" w:rsidRDefault="00AE0E77" w:rsidP="00AE0E77">
      <w:pPr>
        <w:pStyle w:val="StandardWeb"/>
      </w:pPr>
      <w:r>
        <w:t>[</w:t>
      </w:r>
      <w:r>
        <w:br/>
        <w:t>A_F^{(P_1)}</w:t>
      </w:r>
      <w:r>
        <w:br/>
        <w:t>\neq</w:t>
      </w:r>
      <w:r>
        <w:br/>
        <w:t>A_F^{(P_2)}</w:t>
      </w:r>
      <w:r>
        <w:br/>
        <w:t>\tag{3.6699}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A_F^{(P_1)}\neq A_F^{(P_2)}\qquad\text{(3.6699)}</w:t>
      </w:r>
    </w:p>
    <w:p w:rsidR="00AE0E77" w:rsidRDefault="00AE0E77" w:rsidP="00AE0E77">
      <w:pPr>
        <w:pStyle w:val="StandardWeb"/>
      </w:pPr>
      <w:r>
        <w:t>sein.</w:t>
      </w:r>
    </w:p>
    <w:p w:rsidR="00AE0E77" w:rsidRDefault="00AE0E77" w:rsidP="00AE0E77">
      <w:pPr>
        <w:pStyle w:val="StandardWeb"/>
      </w:pPr>
      <w:r>
        <w:t>Eine solche Pfadabhängigkeit ist kein bloß technisches Implementierungsdetail, sondern kann wissenschaftlichen Aussagegehalt besitzen.</w:t>
      </w:r>
    </w:p>
    <w:p w:rsidR="00AE0E77" w:rsidRDefault="00E50336" w:rsidP="00AE0E77">
      <w:r>
        <w:pict>
          <v:rect id="_x0000_i1237" style="width:0;height:1.5pt" o:hralign="center" o:hrstd="t" o:hr="t" fillcolor="#a0a0a0" stroked="f"/>
        </w:pict>
      </w:r>
    </w:p>
    <w:p w:rsidR="00AE0E77" w:rsidRDefault="00AE0E77" w:rsidP="00AE0E77">
      <w:pPr>
        <w:pStyle w:val="berschrift2"/>
      </w:pPr>
      <w:r>
        <w:lastRenderedPageBreak/>
        <w:t>3.3.39.97 Operationalisierungsrobustheit und Algorithmuswahl</w:t>
      </w:r>
    </w:p>
    <w:p w:rsidR="00AE0E77" w:rsidRDefault="00AE0E77" w:rsidP="00AE0E77">
      <w:pPr>
        <w:pStyle w:val="StandardWeb"/>
      </w:pPr>
      <w:r>
        <w:t>Bei computergestützten Auswertungen kann auch die Algorithmuswahl Bestandteil der Operationalisierung sein.</w:t>
      </w:r>
    </w:p>
    <w:p w:rsidR="00AE0E77" w:rsidRDefault="00AE0E77" w:rsidP="00AE0E77">
      <w:pPr>
        <w:pStyle w:val="StandardWeb"/>
      </w:pPr>
      <w:r>
        <w:t>Sei</w:t>
      </w:r>
    </w:p>
    <w:p w:rsidR="00AE0E77" w:rsidRDefault="00AE0E77" w:rsidP="00AE0E77">
      <w:pPr>
        <w:pStyle w:val="StandardWeb"/>
      </w:pPr>
      <w:r>
        <w:t>[</w:t>
      </w:r>
      <w:r>
        <w:br/>
        <w:t>\mathcal{A}_j</w:t>
      </w:r>
      <w:r>
        <w:br/>
        <w:t>\tag{3.6700}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\mathcal{A}_j\qquad\text{(3.6700)}</w:t>
      </w:r>
    </w:p>
    <w:p w:rsidR="00AE0E77" w:rsidRDefault="00AE0E77" w:rsidP="00AE0E77">
      <w:pPr>
        <w:pStyle w:val="StandardWeb"/>
      </w:pPr>
      <w:r>
        <w:t>ein zulässiger Auswertungsalgorithmus.</w:t>
      </w:r>
    </w:p>
    <w:p w:rsidR="00AE0E77" w:rsidRDefault="00AE0E77" w:rsidP="00AE0E77">
      <w:pPr>
        <w:pStyle w:val="StandardWeb"/>
      </w:pPr>
      <w:r>
        <w:t>Das Ergebnis lautet</w:t>
      </w:r>
    </w:p>
    <w:p w:rsidR="00AE0E77" w:rsidRDefault="00AE0E77" w:rsidP="00AE0E77">
      <w:pPr>
        <w:pStyle w:val="berschrift1"/>
      </w:pPr>
      <w:r>
        <w:t>[</w:t>
      </w:r>
      <w:r>
        <w:br/>
        <w:t>y_j</w:t>
      </w:r>
    </w:p>
    <w:p w:rsidR="00AE0E77" w:rsidRDefault="00AE0E77" w:rsidP="00AE0E77">
      <w:pPr>
        <w:pStyle w:val="StandardWeb"/>
      </w:pPr>
      <w:r>
        <w:t>\mathcal{A}_j</w:t>
      </w:r>
      <w:r>
        <w:br/>
        <w:t>\left(</w:t>
      </w:r>
      <w:r>
        <w:br/>
        <w:t>\mathcal{D}</w:t>
      </w:r>
      <w:r>
        <w:br/>
        <w:t>\right).</w:t>
      </w:r>
      <w:r>
        <w:br/>
        <w:t>\tag{3.6701}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y_j=\mathcal{A}_j\left(\mathcal{D}\right)\qquad\text{(3.6701)}</w:t>
      </w:r>
    </w:p>
    <w:p w:rsidR="00AE0E77" w:rsidRDefault="00AE0E77" w:rsidP="00AE0E77">
      <w:pPr>
        <w:pStyle w:val="StandardWeb"/>
      </w:pPr>
      <w:r>
        <w:t>Für mehrere algorithmische Varianten kann erneut geprüft werden</w:t>
      </w:r>
    </w:p>
    <w:p w:rsidR="00AE0E77" w:rsidRDefault="00AE0E77" w:rsidP="00AE0E77">
      <w:pPr>
        <w:pStyle w:val="StandardWeb"/>
      </w:pPr>
      <w:r>
        <w:t>[</w:t>
      </w:r>
      <w:r>
        <w:br/>
        <w:t>A_F^{(\mathcal{A}_1)}</w:t>
      </w:r>
      <w:r>
        <w:br/>
        <w:t>\sim_A</w:t>
      </w:r>
      <w:r>
        <w:br/>
        <w:t>A_F^{(\mathcal{A}_2)}.</w:t>
      </w:r>
      <w:r>
        <w:br/>
        <w:t>\tag{3.6702}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A_F^{(\mathcal{A}_1)}\sim_A A_F^{(\mathcal{A}_2)}\qquad\text{(3.6702)}</w:t>
      </w:r>
    </w:p>
    <w:p w:rsidR="00AE0E77" w:rsidRDefault="00AE0E77" w:rsidP="00AE0E77">
      <w:pPr>
        <w:pStyle w:val="StandardWeb"/>
      </w:pPr>
      <w:r>
        <w:lastRenderedPageBreak/>
        <w:t>Dies betrifft beispielsweise unterschiedliche Clusterverfahren, Distanzmetriken, Glättungsverfahren oder Optimierungsalgorithmen, sofern sie denselben theoretischen Gegenstand operationalisieren sollen.</w:t>
      </w:r>
    </w:p>
    <w:p w:rsidR="00AE0E77" w:rsidRDefault="00E50336" w:rsidP="00AE0E77">
      <w:r>
        <w:pict>
          <v:rect id="_x0000_i1238" style="width:0;height:1.5pt" o:hralign="center" o:hrstd="t" o:hr="t" fillcolor="#a0a0a0" stroked="f"/>
        </w:pict>
      </w:r>
    </w:p>
    <w:p w:rsidR="00AE0E77" w:rsidRDefault="00AE0E77" w:rsidP="00AE0E77">
      <w:pPr>
        <w:pStyle w:val="berschrift2"/>
      </w:pPr>
      <w:r>
        <w:t>3.3.39.98 Numerische Reproduzierbarkeit versus methodische Robustheit</w:t>
      </w:r>
    </w:p>
    <w:p w:rsidR="00AE0E77" w:rsidRDefault="00AE0E77" w:rsidP="00AE0E77">
      <w:pPr>
        <w:pStyle w:val="StandardWeb"/>
      </w:pPr>
      <w:r>
        <w:t>Eine algorithmische Implementierung kann numerisch deterministisch sein:</w:t>
      </w:r>
    </w:p>
    <w:p w:rsidR="00AE0E77" w:rsidRDefault="00AE0E77" w:rsidP="00AE0E77">
      <w:pPr>
        <w:pStyle w:val="berschrift1"/>
      </w:pPr>
      <w:r>
        <w:t>[</w:t>
      </w:r>
      <w:r>
        <w:br/>
        <w:t>\mathcal{A}</w:t>
      </w:r>
      <w:r>
        <w:br/>
        <w:t>\left(</w:t>
      </w:r>
      <w:r>
        <w:br/>
        <w:t>\mathcal{D}</w:t>
      </w:r>
      <w:r>
        <w:br/>
        <w:t>\right)</w:t>
      </w:r>
    </w:p>
    <w:p w:rsidR="00AE0E77" w:rsidRDefault="00AE0E77" w:rsidP="00AE0E77">
      <w:pPr>
        <w:pStyle w:val="StandardWeb"/>
      </w:pPr>
      <w:r>
        <w:t>\mathcal{A}</w:t>
      </w:r>
      <w:r>
        <w:br/>
        <w:t>\left(</w:t>
      </w:r>
      <w:r>
        <w:br/>
        <w:t>\mathcal{D}</w:t>
      </w:r>
      <w:r>
        <w:br/>
        <w:t>\right).</w:t>
      </w:r>
      <w:r>
        <w:br/>
        <w:t>\tag{3.6703}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\mathcal{A}\left(\mathcal{D}\right)=\mathcal{A}\left(\mathcal{D}\right)\qquad\text{(3.6703)}</w:t>
      </w:r>
    </w:p>
    <w:p w:rsidR="00AE0E77" w:rsidRDefault="00AE0E77" w:rsidP="00AE0E77">
      <w:pPr>
        <w:pStyle w:val="StandardWeb"/>
      </w:pPr>
      <w:r>
        <w:t>Dies sagt jedoch nichts darüber aus, ob eine andere wissenschaftlich zulässige Algorithmuswahl dieselbe Schlussfolgerung liefert.</w:t>
      </w:r>
    </w:p>
    <w:p w:rsidR="00AE0E77" w:rsidRDefault="00AE0E77" w:rsidP="00AE0E77">
      <w:pPr>
        <w:pStyle w:val="StandardWeb"/>
      </w:pPr>
      <w:r>
        <w:t>Operationalisierungsrobustheit untersucht deshalb eine andere Frage als deterministische Wiederholbarkeit.</w:t>
      </w:r>
    </w:p>
    <w:p w:rsidR="00AE0E77" w:rsidRDefault="00AE0E77" w:rsidP="00AE0E77">
      <w:pPr>
        <w:pStyle w:val="StandardWeb"/>
      </w:pPr>
      <w:r>
        <w:t>Diese Trennung ist für softwaregestützte FRZK-Analysen besonders wichtig, da perfekte technische Reproduzierbarkeit eine methodisch fragile Analyse nicht automatisch verbessert [58, 79].</w:t>
      </w:r>
    </w:p>
    <w:p w:rsidR="00AE0E77" w:rsidRDefault="00E50336" w:rsidP="00AE0E77">
      <w:r>
        <w:pict>
          <v:rect id="_x0000_i1239" style="width:0;height:1.5pt" o:hralign="center" o:hrstd="t" o:hr="t" fillcolor="#a0a0a0" stroked="f"/>
        </w:pict>
      </w:r>
    </w:p>
    <w:p w:rsidR="00AE0E77" w:rsidRDefault="00AE0E77" w:rsidP="00AE0E77">
      <w:pPr>
        <w:pStyle w:val="berschrift2"/>
      </w:pPr>
      <w:r>
        <w:t>3.3.39.99 Operationalisierungsabhängige Modellselektion</w:t>
      </w:r>
    </w:p>
    <w:p w:rsidR="00AE0E77" w:rsidRDefault="00AE0E77" w:rsidP="00AE0E77">
      <w:pPr>
        <w:pStyle w:val="StandardWeb"/>
      </w:pPr>
      <w:r>
        <w:t>Operationalisierung kann sogar beeinflussen, welches Modell als bestes Modell erscheint.</w:t>
      </w:r>
    </w:p>
    <w:p w:rsidR="00AE0E77" w:rsidRDefault="00AE0E77" w:rsidP="00AE0E77">
      <w:pPr>
        <w:pStyle w:val="StandardWeb"/>
      </w:pPr>
      <w:r>
        <w:t>Sei</w:t>
      </w:r>
    </w:p>
    <w:p w:rsidR="00AE0E77" w:rsidRDefault="00AE0E77" w:rsidP="00AE0E77">
      <w:pPr>
        <w:pStyle w:val="berschrift1"/>
      </w:pPr>
      <w:r>
        <w:lastRenderedPageBreak/>
        <w:t>[</w:t>
      </w:r>
      <w:r>
        <w:br/>
        <w:t>\mathcal{M}^{\ast}</w:t>
      </w:r>
      <w:r>
        <w:br/>
        <w:t>\left(</w:t>
      </w:r>
      <w:r>
        <w:br/>
        <w:t>\mathcal{O}_j</w:t>
      </w:r>
      <w:r>
        <w:br/>
        <w:t>\right)</w:t>
      </w:r>
    </w:p>
    <w:p w:rsidR="00AE0E77" w:rsidRDefault="00AE0E77" w:rsidP="00AE0E77">
      <w:pPr>
        <w:pStyle w:val="StandardWeb"/>
      </w:pPr>
      <w:r>
        <w:t>\arg\min_{\mathcal{M}}</w:t>
      </w:r>
      <w:r>
        <w:br/>
        <w:t>L</w:t>
      </w:r>
      <w:r>
        <w:br/>
        <w:t>\left(</w:t>
      </w:r>
      <w:r>
        <w:br/>
        <w:t>\mathcal{M},</w:t>
      </w:r>
      <w:r>
        <w:br/>
        <w:t>\mathcal{O}_j</w:t>
      </w:r>
      <w:r>
        <w:br/>
        <w:t>\right).</w:t>
      </w:r>
      <w:r>
        <w:br/>
        <w:t>\tag{3.6704}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\mathcal{M}^{\ast}\left(\mathcal{O}_j\right)=\arg\min_{\mathcal{M}}L\left(\mathcal{M},\mathcal{O}_j\right)\qquad\text{(3.6704)}</w:t>
      </w:r>
    </w:p>
    <w:p w:rsidR="00AE0E77" w:rsidRDefault="00AE0E77" w:rsidP="00AE0E77">
      <w:pPr>
        <w:pStyle w:val="StandardWeb"/>
      </w:pPr>
      <w:r>
        <w:t>Dann kann gelten</w:t>
      </w:r>
    </w:p>
    <w:p w:rsidR="00AE0E77" w:rsidRDefault="00AE0E77" w:rsidP="00AE0E77">
      <w:pPr>
        <w:pStyle w:val="StandardWeb"/>
      </w:pPr>
      <w:r>
        <w:t>[</w:t>
      </w:r>
      <w:r>
        <w:br/>
        <w:t>\mathcal{M}^{\ast}</w:t>
      </w:r>
      <w:r>
        <w:br/>
        <w:t>\left(</w:t>
      </w:r>
      <w:r>
        <w:br/>
        <w:t>\mathcal{O}_1</w:t>
      </w:r>
      <w:r>
        <w:br/>
        <w:t>\right)</w:t>
      </w:r>
      <w:r>
        <w:br/>
        <w:t>\neq</w:t>
      </w:r>
      <w:r>
        <w:br/>
        <w:t>\mathcal{M}^{\ast}</w:t>
      </w:r>
      <w:r>
        <w:br/>
        <w:t>\left(</w:t>
      </w:r>
      <w:r>
        <w:br/>
        <w:t>\mathcal{O}_2</w:t>
      </w:r>
      <w:r>
        <w:br/>
        <w:t>\right).</w:t>
      </w:r>
      <w:r>
        <w:br/>
        <w:t>\tag{3.6705}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\mathcal{M}^{\ast}\left(\mathcal{O}_1\right)\neq\mathcal{M}^{\ast}\left(\mathcal{O}_2\right)\qquad\text{(3.6705)}</w:t>
      </w:r>
    </w:p>
    <w:p w:rsidR="00AE0E77" w:rsidRDefault="00AE0E77" w:rsidP="00AE0E77">
      <w:pPr>
        <w:pStyle w:val="StandardWeb"/>
      </w:pPr>
      <w:r>
        <w:t>Damit können Operationalisierungsentscheidungen nicht nur Parameterwerte, sondern sogar die bevorzugte Modellstruktur verändern.</w:t>
      </w:r>
    </w:p>
    <w:p w:rsidR="00AE0E77" w:rsidRDefault="00E50336" w:rsidP="00AE0E77">
      <w:r>
        <w:pict>
          <v:rect id="_x0000_i1240" style="width:0;height:1.5pt" o:hralign="center" o:hrstd="t" o:hr="t" fillcolor="#a0a0a0" stroked="f"/>
        </w:pict>
      </w:r>
    </w:p>
    <w:p w:rsidR="00AE0E77" w:rsidRDefault="00AE0E77" w:rsidP="00AE0E77">
      <w:pPr>
        <w:pStyle w:val="berschrift2"/>
      </w:pPr>
      <w:r>
        <w:t>3.3.39.100 Modellselektionsrobustheit gegenüber Operationalisierung</w:t>
      </w:r>
    </w:p>
    <w:p w:rsidR="00AE0E77" w:rsidRDefault="00AE0E77" w:rsidP="00AE0E77">
      <w:pPr>
        <w:pStyle w:val="StandardWeb"/>
      </w:pPr>
      <w:r>
        <w:lastRenderedPageBreak/>
        <w:t>Ich definiere daher</w:t>
      </w:r>
    </w:p>
    <w:p w:rsidR="00AE0E77" w:rsidRDefault="00AE0E77" w:rsidP="00AE0E77">
      <w:pPr>
        <w:pStyle w:val="berschrift1"/>
      </w:pPr>
      <w:r>
        <w:t>[</w:t>
      </w:r>
      <w:r>
        <w:br/>
        <w:t>R_{\mathrm{modelselect},\mathcal{O}}</w:t>
      </w:r>
    </w:p>
    <w:p w:rsidR="00AE0E77" w:rsidRDefault="00AE0E77" w:rsidP="00AE0E77">
      <w:pPr>
        <w:pStyle w:val="StandardWeb"/>
      </w:pPr>
      <w:r>
        <w:t>\frac{</w:t>
      </w:r>
      <w:r>
        <w:br/>
        <w:t>\max_{\mathcal{M}}</w:t>
      </w:r>
      <w:r>
        <w:br/>
        <w:t>n_{\mathcal{M}}</w:t>
      </w:r>
      <w:r>
        <w:br/>
        <w:t>}{</w:t>
      </w:r>
      <w:r>
        <w:br/>
        <w:t>m</w:t>
      </w:r>
      <w:r>
        <w:br/>
        <w:t>},</w:t>
      </w:r>
      <w:r>
        <w:br/>
        <w:t>\tag{3.6706}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R_{\mathrm{modelselect},\mathcal{O}}=\frac{\max_{\mathcal{M}}n_{\mathcal{M}}}{m}\qquad\text{(3.6706)}</w:t>
      </w:r>
    </w:p>
    <w:p w:rsidR="00AE0E77" w:rsidRDefault="00AE0E77" w:rsidP="00AE0E77">
      <w:pPr>
        <w:pStyle w:val="StandardWeb"/>
      </w:pPr>
      <w:r>
        <w:t>wobei (n_{\mathcal{M}}) angibt, unter wie vielen der (m) Operationalisierungen dasselbe Modell (\mathcal{M}) ausgewählt wurde.</w:t>
      </w:r>
    </w:p>
    <w:p w:rsidR="00AE0E77" w:rsidRDefault="00AE0E77" w:rsidP="00AE0E77">
      <w:pPr>
        <w:pStyle w:val="StandardWeb"/>
      </w:pPr>
      <w:r>
        <w:t>Für</w:t>
      </w:r>
    </w:p>
    <w:p w:rsidR="00AE0E77" w:rsidRDefault="00AE0E77" w:rsidP="00AE0E77">
      <w:pPr>
        <w:pStyle w:val="berschrift1"/>
      </w:pPr>
      <w:r>
        <w:t>[</w:t>
      </w:r>
      <w:r>
        <w:br/>
        <w:t>R_{\mathrm{modelselect},\mathcal{O}}</w:t>
      </w:r>
    </w:p>
    <w:p w:rsidR="00AE0E77" w:rsidRDefault="00AE0E77" w:rsidP="00AE0E77">
      <w:pPr>
        <w:pStyle w:val="StandardWeb"/>
      </w:pPr>
      <w:r>
        <w:t>1</w:t>
      </w:r>
      <w:r>
        <w:br/>
        <w:t>\tag{3.6707}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R_{\mathrm{modelselect},\mathcal{O}}=1\qquad\text{(3.6707)}</w:t>
      </w:r>
    </w:p>
    <w:p w:rsidR="00AE0E77" w:rsidRDefault="00AE0E77" w:rsidP="00AE0E77">
      <w:pPr>
        <w:pStyle w:val="StandardWeb"/>
      </w:pPr>
      <w:r>
        <w:t>wird unter allen betrachteten Operationalisierungen dieselbe Modellklasse bevorzugt.</w:t>
      </w:r>
    </w:p>
    <w:p w:rsidR="00AE0E77" w:rsidRDefault="00AE0E77" w:rsidP="00AE0E77">
      <w:pPr>
        <w:pStyle w:val="StandardWeb"/>
      </w:pPr>
      <w:r>
        <w:t>Auch dies garantiert keine Modellwahrheit, zeigt aber, ob die Modellwahl stark von der empirischen Repräsentation abhängt.</w:t>
      </w:r>
    </w:p>
    <w:p w:rsidR="00AE0E77" w:rsidRDefault="00E50336" w:rsidP="00AE0E77">
      <w:r>
        <w:pict>
          <v:rect id="_x0000_i1241" style="width:0;height:1.5pt" o:hralign="center" o:hrstd="t" o:hr="t" fillcolor="#a0a0a0" stroked="f"/>
        </w:pict>
      </w:r>
    </w:p>
    <w:p w:rsidR="00AE0E77" w:rsidRDefault="00AE0E77" w:rsidP="00AE0E77">
      <w:pPr>
        <w:pStyle w:val="berschrift2"/>
      </w:pPr>
      <w:r>
        <w:t>3.3.39.101 Operationalisierungsrobustheit und Erklärungstiefe</w:t>
      </w:r>
    </w:p>
    <w:p w:rsidR="00AE0E77" w:rsidRDefault="00AE0E77" w:rsidP="00AE0E77">
      <w:pPr>
        <w:pStyle w:val="StandardWeb"/>
      </w:pPr>
      <w:r>
        <w:t>Eine Erklärung kann auf unterschiedlichen Ebenen operationalisiert werden.</w:t>
      </w:r>
    </w:p>
    <w:p w:rsidR="00AE0E77" w:rsidRDefault="00AE0E77" w:rsidP="00AE0E77">
      <w:pPr>
        <w:pStyle w:val="StandardWeb"/>
      </w:pPr>
      <w:r>
        <w:t>Sei</w:t>
      </w:r>
    </w:p>
    <w:p w:rsidR="00AE0E77" w:rsidRDefault="00AE0E77" w:rsidP="00AE0E77">
      <w:pPr>
        <w:pStyle w:val="StandardWeb"/>
      </w:pPr>
      <w:r>
        <w:lastRenderedPageBreak/>
        <w:t>[</w:t>
      </w:r>
      <w:r>
        <w:br/>
        <w:t>d_{\mathrm{expl}}^{(j)}</w:t>
      </w:r>
      <w:r>
        <w:br/>
        <w:t>\tag{3.6708}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d_{\mathrm{expl}}^{(j)}\qquad\text{(3.6708)}</w:t>
      </w:r>
    </w:p>
    <w:p w:rsidR="00AE0E77" w:rsidRDefault="00AE0E77" w:rsidP="00AE0E77">
      <w:pPr>
        <w:pStyle w:val="StandardWeb"/>
      </w:pPr>
      <w:r>
        <w:t>die Erklärungstiefe unter Operationalisierung (j).</w:t>
      </w:r>
    </w:p>
    <w:p w:rsidR="00AE0E77" w:rsidRDefault="00AE0E77" w:rsidP="00AE0E77">
      <w:pPr>
        <w:pStyle w:val="StandardWeb"/>
      </w:pPr>
      <w:r>
        <w:t>Unterschiedliche Aggregations- oder Zustandsdefinitionen können unterschiedliche Mechanismusebenen sichtbar machen. Deshalb kann gelten</w:t>
      </w:r>
    </w:p>
    <w:p w:rsidR="00AE0E77" w:rsidRDefault="00AE0E77" w:rsidP="00AE0E77">
      <w:pPr>
        <w:pStyle w:val="StandardWeb"/>
      </w:pPr>
      <w:r>
        <w:t>[</w:t>
      </w:r>
      <w:r>
        <w:br/>
        <w:t>d_{\mathrm{expl}}^{(1)}</w:t>
      </w:r>
      <w:r>
        <w:br/>
        <w:t>\neq</w:t>
      </w:r>
      <w:r>
        <w:br/>
        <w:t>d_{\mathrm{expl}}^{(2)}.</w:t>
      </w:r>
      <w:r>
        <w:br/>
        <w:t>\tag{3.6709}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d_{\mathrm{expl}}^{(1)}\neq d_{\mathrm{expl}}^{(2)}\qquad\text{(3.6709)}</w:t>
      </w:r>
    </w:p>
    <w:p w:rsidR="00AE0E77" w:rsidRDefault="00AE0E77" w:rsidP="00AE0E77">
      <w:pPr>
        <w:pStyle w:val="StandardWeb"/>
      </w:pPr>
      <w:r>
        <w:t>Eine robuste Kernerklärung kann dennoch existieren, wenn ein gemeinsamer funktionaler Mechanismus erhalten bleibt.</w:t>
      </w:r>
    </w:p>
    <w:p w:rsidR="00AE0E77" w:rsidRDefault="00AE0E77" w:rsidP="00AE0E77">
      <w:pPr>
        <w:pStyle w:val="StandardWeb"/>
      </w:pPr>
      <w:r>
        <w:t>Ich bezeichne diesen Kern mit</w:t>
      </w:r>
    </w:p>
    <w:p w:rsidR="00AE0E77" w:rsidRDefault="00AE0E77" w:rsidP="00AE0E77">
      <w:pPr>
        <w:pStyle w:val="StandardWeb"/>
      </w:pPr>
      <w:r>
        <w:t>[</w:t>
      </w:r>
      <w:r>
        <w:br/>
        <w:t>\mathcal{X}_{F}^{\mathrm{core}}.</w:t>
      </w:r>
      <w:r>
        <w:br/>
        <w:t>\tag{3.6710}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\mathcal{X}_{F}^{\mathrm{core}}\qquad\text{(3.6710)}</w:t>
      </w:r>
    </w:p>
    <w:p w:rsidR="00AE0E77" w:rsidRDefault="00AE0E77" w:rsidP="00AE0E77">
      <w:pPr>
        <w:pStyle w:val="StandardWeb"/>
      </w:pPr>
      <w:r>
        <w:t>Für robuste Erklärungen sollte gelten</w:t>
      </w:r>
    </w:p>
    <w:p w:rsidR="00AE0E77" w:rsidRDefault="00AE0E77" w:rsidP="00AE0E77">
      <w:pPr>
        <w:pStyle w:val="StandardWeb"/>
      </w:pPr>
      <w:r>
        <w:t>[</w:t>
      </w:r>
      <w:r>
        <w:br/>
        <w:t>\mathcal{X}</w:t>
      </w:r>
      <w:r>
        <w:rPr>
          <w:rStyle w:val="Hervorhebung"/>
        </w:rPr>
        <w:t>{F}^{\mathrm{core}}</w:t>
      </w:r>
      <w:r>
        <w:rPr>
          <w:i/>
          <w:iCs/>
        </w:rPr>
        <w:br/>
      </w:r>
      <w:r>
        <w:rPr>
          <w:rStyle w:val="Hervorhebung"/>
        </w:rPr>
        <w:t>\subseteq</w:t>
      </w:r>
      <w:r>
        <w:rPr>
          <w:i/>
          <w:iCs/>
        </w:rPr>
        <w:br/>
      </w:r>
      <w:r>
        <w:rPr>
          <w:rStyle w:val="Hervorhebung"/>
        </w:rPr>
        <w:t>\mathcal{X}</w:t>
      </w:r>
      <w:r>
        <w:t>{F}^{(j)}</w:t>
      </w:r>
      <w:r>
        <w:br/>
        <w:t>\qquad</w:t>
      </w:r>
      <w:r>
        <w:br/>
        <w:t>\forall j.</w:t>
      </w:r>
      <w:r>
        <w:br/>
        <w:t>\tag{3.6711}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lastRenderedPageBreak/>
        <w:t>\mathcal{X}_{F}^{\mathrm{core}}\subseteq\mathcal{X}_{F}^{(j)}\qquad\forall j\qquad\text{(3.6711)}</w:t>
      </w:r>
    </w:p>
    <w:p w:rsidR="00AE0E77" w:rsidRDefault="00E50336" w:rsidP="00AE0E77">
      <w:r>
        <w:pict>
          <v:rect id="_x0000_i1242" style="width:0;height:1.5pt" o:hralign="center" o:hrstd="t" o:hr="t" fillcolor="#a0a0a0" stroked="f"/>
        </w:pict>
      </w:r>
    </w:p>
    <w:p w:rsidR="00AE0E77" w:rsidRDefault="00AE0E77" w:rsidP="00AE0E77">
      <w:pPr>
        <w:pStyle w:val="berschrift2"/>
      </w:pPr>
      <w:r>
        <w:t>3.3.39.102 Operationalisierungsrobustheit und Prognosehorizont</w:t>
      </w:r>
    </w:p>
    <w:p w:rsidR="00AE0E77" w:rsidRDefault="00AE0E77" w:rsidP="00AE0E77">
      <w:pPr>
        <w:pStyle w:val="StandardWeb"/>
      </w:pPr>
      <w:r>
        <w:t>Operationalisierung kann insbesondere bei zeitlichen Prognosen mit dem Prognosehorizont wechselwirken.</w:t>
      </w:r>
    </w:p>
    <w:p w:rsidR="00AE0E77" w:rsidRDefault="00AE0E77" w:rsidP="00AE0E77">
      <w:pPr>
        <w:pStyle w:val="StandardWeb"/>
      </w:pPr>
      <w:r>
        <w:t>Sei</w:t>
      </w:r>
    </w:p>
    <w:p w:rsidR="00AE0E77" w:rsidRDefault="00AE0E77" w:rsidP="00AE0E77">
      <w:pPr>
        <w:pStyle w:val="StandardWeb"/>
      </w:pPr>
      <w:r>
        <w:t>[</w:t>
      </w:r>
      <w:r>
        <w:br/>
        <w:t>h</w:t>
      </w:r>
      <w:r>
        <w:br/>
        <w:t>\tag{3.6712}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h\qquad\text{(3.6712)}</w:t>
      </w:r>
    </w:p>
    <w:p w:rsidR="00AE0E77" w:rsidRDefault="00AE0E77" w:rsidP="00AE0E77">
      <w:pPr>
        <w:pStyle w:val="StandardWeb"/>
      </w:pPr>
      <w:r>
        <w:t>der Prognosehorizont.</w:t>
      </w:r>
    </w:p>
    <w:p w:rsidR="00AE0E77" w:rsidRDefault="00AE0E77" w:rsidP="00AE0E77">
      <w:pPr>
        <w:pStyle w:val="StandardWeb"/>
      </w:pPr>
      <w:r>
        <w:t>Die Prognosegüte wird damit</w:t>
      </w:r>
    </w:p>
    <w:p w:rsidR="00AE0E77" w:rsidRDefault="00AE0E77" w:rsidP="00AE0E77">
      <w:pPr>
        <w:pStyle w:val="berschrift1"/>
      </w:pPr>
      <w:r>
        <w:t>[</w:t>
      </w:r>
      <w:r>
        <w:br/>
        <w:t>G_{\mathrm{prog}}</w:t>
      </w:r>
    </w:p>
    <w:p w:rsidR="00AE0E77" w:rsidRDefault="00AE0E77" w:rsidP="00AE0E77">
      <w:pPr>
        <w:pStyle w:val="StandardWeb"/>
      </w:pPr>
      <w:r>
        <w:t>G_{\mathrm{prog}}</w:t>
      </w:r>
      <w:r>
        <w:br/>
        <w:t>\left(</w:t>
      </w:r>
      <w:r>
        <w:br/>
        <w:t>\mathcal{O},</w:t>
      </w:r>
      <w:r>
        <w:br/>
        <w:t>h</w:t>
      </w:r>
      <w:r>
        <w:br/>
        <w:t>\right).</w:t>
      </w:r>
      <w:r>
        <w:br/>
        <w:t>\tag{3.6713}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G_{\mathrm{prog}}=G_{\mathrm{prog}}\left(\mathcal{O},h\right)\qquad\text{(3.6713)}</w:t>
      </w:r>
    </w:p>
    <w:p w:rsidR="00AE0E77" w:rsidRDefault="00AE0E77" w:rsidP="00AE0E77">
      <w:pPr>
        <w:pStyle w:val="StandardWeb"/>
      </w:pPr>
      <w:r>
        <w:t>Eine Operationalisierung kann kurzfristig robuste Prognosen liefern und langfristig deutlich stärker auseinanderlaufen.</w:t>
      </w:r>
    </w:p>
    <w:p w:rsidR="00AE0E77" w:rsidRDefault="00AE0E77" w:rsidP="00AE0E77">
      <w:pPr>
        <w:pStyle w:val="StandardWeb"/>
      </w:pPr>
      <w:r>
        <w:t>Deshalb sollte gegebenenfalls ein zweidimensionales Robustheitsfeld</w:t>
      </w:r>
    </w:p>
    <w:p w:rsidR="00AE0E77" w:rsidRDefault="00AE0E77" w:rsidP="00AE0E77">
      <w:pPr>
        <w:pStyle w:val="StandardWeb"/>
      </w:pPr>
      <w:r>
        <w:t>[</w:t>
      </w:r>
      <w:r>
        <w:br/>
        <w:t>R_{\mathrm{prog}}</w:t>
      </w:r>
      <w:r>
        <w:br/>
        <w:t>\left(</w:t>
      </w:r>
      <w:r>
        <w:br/>
      </w:r>
      <w:r>
        <w:lastRenderedPageBreak/>
        <w:t>\mathcal{O},</w:t>
      </w:r>
      <w:r>
        <w:br/>
        <w:t>h</w:t>
      </w:r>
      <w:r>
        <w:br/>
        <w:t>\right)</w:t>
      </w:r>
      <w:r>
        <w:br/>
        <w:t>\tag{3.6714}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R_{\mathrm{prog}}\left(\mathcal{O},h\right)\qquad\text{(3.6714)}</w:t>
      </w:r>
    </w:p>
    <w:p w:rsidR="00AE0E77" w:rsidRDefault="00AE0E77" w:rsidP="00AE0E77">
      <w:pPr>
        <w:pStyle w:val="StandardWeb"/>
      </w:pPr>
      <w:r>
        <w:t>betrachtet werden.</w:t>
      </w:r>
    </w:p>
    <w:p w:rsidR="00AE0E77" w:rsidRDefault="00E50336" w:rsidP="00AE0E77">
      <w:r>
        <w:pict>
          <v:rect id="_x0000_i1243" style="width:0;height:1.5pt" o:hralign="center" o:hrstd="t" o:hr="t" fillcolor="#a0a0a0" stroked="f"/>
        </w:pict>
      </w:r>
    </w:p>
    <w:p w:rsidR="00AE0E77" w:rsidRDefault="00AE0E77" w:rsidP="00AE0E77">
      <w:pPr>
        <w:pStyle w:val="berschrift2"/>
      </w:pPr>
      <w:r>
        <w:t>3.3.39.103 Operationalisierungsrobustheit funktionaler Zeit</w:t>
      </w:r>
    </w:p>
    <w:p w:rsidR="00AE0E77" w:rsidRDefault="00AE0E77" w:rsidP="00AE0E77">
      <w:pPr>
        <w:pStyle w:val="StandardWeb"/>
      </w:pPr>
      <w:r>
        <w:t>Auch die funktionale Zeit selbst kann unterschiedlich operationalisiert werden, sofern sie empirisch nicht unmittelbar durch eine physikalische Zeitkoordinate repräsentiert wird.</w:t>
      </w:r>
    </w:p>
    <w:p w:rsidR="00AE0E77" w:rsidRDefault="00AE0E77" w:rsidP="00AE0E77">
      <w:pPr>
        <w:pStyle w:val="StandardWeb"/>
      </w:pPr>
      <w:r>
        <w:t>Sei</w:t>
      </w:r>
    </w:p>
    <w:p w:rsidR="00AE0E77" w:rsidRDefault="00AE0E77" w:rsidP="00AE0E77">
      <w:pPr>
        <w:pStyle w:val="berschrift1"/>
      </w:pPr>
      <w:r>
        <w:t>[</w:t>
      </w:r>
      <w:r>
        <w:br/>
        <w:t>t_F^{(j)}</w:t>
      </w:r>
    </w:p>
    <w:p w:rsidR="00AE0E77" w:rsidRDefault="00AE0E77" w:rsidP="00AE0E77">
      <w:pPr>
        <w:pStyle w:val="StandardWeb"/>
      </w:pPr>
      <w:r>
        <w:t>\mathcal{O}</w:t>
      </w:r>
      <w:r>
        <w:rPr>
          <w:rStyle w:val="Hervorhebung"/>
        </w:rPr>
        <w:t>{t}^{(j)}</w:t>
      </w:r>
      <w:r>
        <w:rPr>
          <w:i/>
          <w:iCs/>
        </w:rPr>
        <w:br/>
      </w:r>
      <w:r>
        <w:rPr>
          <w:rStyle w:val="Hervorhebung"/>
        </w:rPr>
        <w:t>\left(</w:t>
      </w:r>
      <w:r>
        <w:rPr>
          <w:i/>
          <w:iCs/>
        </w:rPr>
        <w:br/>
      </w:r>
      <w:r>
        <w:rPr>
          <w:rStyle w:val="Hervorhebung"/>
        </w:rPr>
        <w:t>\mathcal{K}</w:t>
      </w:r>
      <w:r>
        <w:t>{t_F}</w:t>
      </w:r>
      <w:r>
        <w:br/>
        <w:t>\right).</w:t>
      </w:r>
      <w:r>
        <w:br/>
        <w:t>\tag{3.6715}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t_F^{(j)}=\mathcal{O}_{t}^{(j)}\left(\mathcal{K}_{t_F}\right)\qquad\text{(3.6715)}</w:t>
      </w:r>
    </w:p>
    <w:p w:rsidR="00AE0E77" w:rsidRDefault="00AE0E77" w:rsidP="00AE0E77">
      <w:pPr>
        <w:pStyle w:val="StandardWeb"/>
      </w:pPr>
      <w:r>
        <w:t>Für zwei Operationalisierungen kann gelten</w:t>
      </w:r>
    </w:p>
    <w:p w:rsidR="00AE0E77" w:rsidRDefault="00AE0E77" w:rsidP="00AE0E77">
      <w:pPr>
        <w:pStyle w:val="StandardWeb"/>
      </w:pPr>
      <w:r>
        <w:t>[</w:t>
      </w:r>
      <w:r>
        <w:br/>
        <w:t>t_F^{(1)}</w:t>
      </w:r>
      <w:r>
        <w:br/>
        <w:t>\neq</w:t>
      </w:r>
      <w:r>
        <w:br/>
        <w:t>t_F^{(2)}.</w:t>
      </w:r>
      <w:r>
        <w:br/>
        <w:t>\tag{3.6716}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t_F^{(1)}\neq t_F^{(2)}\qquad\text{(3.6716)}</w:t>
      </w:r>
    </w:p>
    <w:p w:rsidR="00AE0E77" w:rsidRDefault="00AE0E77" w:rsidP="00AE0E77">
      <w:pPr>
        <w:pStyle w:val="StandardWeb"/>
      </w:pPr>
      <w:r>
        <w:t>Entscheidend ist dann, ob die für die Theorie relevante Ordnungsstruktur erhalten bleibt:</w:t>
      </w:r>
    </w:p>
    <w:p w:rsidR="00AE0E77" w:rsidRDefault="00AE0E77" w:rsidP="00AE0E77">
      <w:pPr>
        <w:pStyle w:val="StandardWeb"/>
      </w:pPr>
      <w:r>
        <w:lastRenderedPageBreak/>
        <w:t>[</w:t>
      </w:r>
      <w:r>
        <w:br/>
        <w:t>t_{F,a}^{(1)}</w:t>
      </w:r>
      <w:r>
        <w:br/>
        <w:t>&lt;</w:t>
      </w:r>
      <w:r>
        <w:br/>
        <w:t>t_{F,b}^{(1)}</w:t>
      </w:r>
      <w:r>
        <w:br/>
        <w:t>\Longleftrightarrow</w:t>
      </w:r>
      <w:r>
        <w:br/>
        <w:t>t_{F,a}^{(2)}</w:t>
      </w:r>
      <w:r>
        <w:br/>
        <w:t>&lt;</w:t>
      </w:r>
      <w:r>
        <w:br/>
        <w:t>t_{F,b}^{(2)}.</w:t>
      </w:r>
      <w:r>
        <w:br/>
        <w:t>\tag{3.6717}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t_{F,a}^{(1)}&lt;t_{F,b}^{(1)}\Longleftrightarrow t_{F,a}^{(2)}&lt;t_{F,b}^{(2)}\qquad\text{(3.6717)}</w:t>
      </w:r>
    </w:p>
    <w:p w:rsidR="00AE0E77" w:rsidRDefault="00AE0E77" w:rsidP="00AE0E77">
      <w:pPr>
        <w:pStyle w:val="StandardWeb"/>
      </w:pPr>
      <w:r>
        <w:t>Damit gilt auch für funktionale Zeit: numerische Identität ist nicht in jedem Anwendungsfall erforderlich; entscheidend kann die Erhaltung der funktionalen Ordnung sein.</w:t>
      </w:r>
    </w:p>
    <w:p w:rsidR="00AE0E77" w:rsidRDefault="00E50336" w:rsidP="00AE0E77">
      <w:r>
        <w:pict>
          <v:rect id="_x0000_i1244" style="width:0;height:1.5pt" o:hralign="center" o:hrstd="t" o:hr="t" fillcolor="#a0a0a0" stroked="f"/>
        </w:pict>
      </w:r>
    </w:p>
    <w:p w:rsidR="00AE0E77" w:rsidRDefault="00AE0E77" w:rsidP="00AE0E77">
      <w:pPr>
        <w:pStyle w:val="berschrift2"/>
      </w:pPr>
      <w:r>
        <w:t>3.3.39.104 Operationalisierungsrobustheit funktionaler Räume</w:t>
      </w:r>
    </w:p>
    <w:p w:rsidR="00AE0E77" w:rsidRDefault="00AE0E77" w:rsidP="00AE0E77">
      <w:pPr>
        <w:pStyle w:val="StandardWeb"/>
      </w:pPr>
      <w:r>
        <w:t>Analog können funktionale Räume durch unterschiedliche Koordinaten- oder Merkmalsrepräsentationen beschrieben werden.</w:t>
      </w:r>
    </w:p>
    <w:p w:rsidR="00AE0E77" w:rsidRDefault="00AE0E77" w:rsidP="00AE0E77">
      <w:pPr>
        <w:pStyle w:val="StandardWeb"/>
      </w:pPr>
      <w:r>
        <w:t>Seien</w:t>
      </w:r>
    </w:p>
    <w:p w:rsidR="00AE0E77" w:rsidRDefault="00AE0E77" w:rsidP="00AE0E77">
      <w:pPr>
        <w:pStyle w:val="StandardWeb"/>
      </w:pPr>
      <w:r>
        <w:t>[</w:t>
      </w:r>
      <w:r>
        <w:br/>
        <w:t>\Phi_1</w:t>
      </w:r>
      <w:r>
        <w:br/>
        <w:t>:</w:t>
      </w:r>
      <w:r>
        <w:br/>
        <w:t>\mathcal{S}_{F}</w:t>
      </w:r>
      <w:r>
        <w:br/>
        <w:t>\rightarrow</w:t>
      </w:r>
      <w:r>
        <w:br/>
        <w:t>\mathbb{R}^{p}</w:t>
      </w:r>
      <w:r>
        <w:br/>
        <w:t>\tag{3.6718}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\Phi_1:\mathcal{S}_{F}\rightarrow\mathbb{R}^{p}\qquad\text{(3.6718)}</w:t>
      </w:r>
    </w:p>
    <w:p w:rsidR="00AE0E77" w:rsidRDefault="00AE0E77" w:rsidP="00AE0E77">
      <w:pPr>
        <w:pStyle w:val="StandardWeb"/>
      </w:pPr>
      <w:r>
        <w:t>und</w:t>
      </w:r>
    </w:p>
    <w:p w:rsidR="00AE0E77" w:rsidRDefault="00AE0E77" w:rsidP="00AE0E77">
      <w:pPr>
        <w:pStyle w:val="StandardWeb"/>
      </w:pPr>
      <w:r>
        <w:t>[</w:t>
      </w:r>
      <w:r>
        <w:br/>
        <w:t>\Phi_2</w:t>
      </w:r>
      <w:r>
        <w:br/>
        <w:t>:</w:t>
      </w:r>
      <w:r>
        <w:br/>
        <w:t>\mathcal{S}_{F}</w:t>
      </w:r>
      <w:r>
        <w:br/>
        <w:t>\rightarrow</w:t>
      </w:r>
      <w:r>
        <w:br/>
        <w:t>\mathbb{R}^{q}</w:t>
      </w:r>
      <w:r>
        <w:br/>
      </w:r>
      <w:r>
        <w:lastRenderedPageBreak/>
        <w:t>\tag{3.6719}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\Phi_2:\mathcal{S}_{F}\rightarrow\mathbb{R}^{q}\qquad\text{(3.6719)}</w:t>
      </w:r>
    </w:p>
    <w:p w:rsidR="00AE0E77" w:rsidRDefault="00AE0E77" w:rsidP="00AE0E77">
      <w:pPr>
        <w:pStyle w:val="StandardWeb"/>
      </w:pPr>
      <w:r>
        <w:t>zwei Repräsentationen desselben funktionalen Zustandsraums.</w:t>
      </w:r>
    </w:p>
    <w:p w:rsidR="00AE0E77" w:rsidRDefault="00AE0E77" w:rsidP="00AE0E77">
      <w:pPr>
        <w:pStyle w:val="StandardWeb"/>
      </w:pPr>
      <w:r>
        <w:t>Die Dimensionen (p) und (q) müssen nicht gleich sein.</w:t>
      </w:r>
    </w:p>
    <w:p w:rsidR="00AE0E77" w:rsidRDefault="00AE0E77" w:rsidP="00AE0E77">
      <w:pPr>
        <w:pStyle w:val="StandardWeb"/>
      </w:pPr>
      <w:r>
        <w:t>Eine funktionale Aussage ist dann besonders robust, wenn sie nicht von einer einzigen Koordinatendarstellung abhängt, sondern in beiden Repräsentationen strukturell erhalten bleibt.</w:t>
      </w:r>
    </w:p>
    <w:p w:rsidR="00AE0E77" w:rsidRDefault="00AE0E77" w:rsidP="00AE0E77">
      <w:pPr>
        <w:pStyle w:val="StandardWeb"/>
      </w:pPr>
      <w:r>
        <w:t>Ich schreibe dies abstrakt als</w:t>
      </w:r>
    </w:p>
    <w:p w:rsidR="00AE0E77" w:rsidRDefault="00AE0E77" w:rsidP="00AE0E77">
      <w:pPr>
        <w:pStyle w:val="StandardWeb"/>
      </w:pPr>
      <w:r>
        <w:t>[</w:t>
      </w:r>
      <w:r>
        <w:br/>
        <w:t>A_F^{(\Phi_1)}</w:t>
      </w:r>
      <w:r>
        <w:br/>
        <w:t>\sim_A</w:t>
      </w:r>
      <w:r>
        <w:br/>
        <w:t>A_F^{(\Phi_2)}.</w:t>
      </w:r>
      <w:r>
        <w:br/>
        <w:t>\tag{3.6720}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A_F^{(\Phi_1)}\sim_A A_F^{(\Phi_2)}\qquad\text{(3.6720)}</w:t>
      </w:r>
    </w:p>
    <w:p w:rsidR="00AE0E77" w:rsidRDefault="00E50336" w:rsidP="00AE0E77">
      <w:r>
        <w:pict>
          <v:rect id="_x0000_i1245" style="width:0;height:1.5pt" o:hralign="center" o:hrstd="t" o:hr="t" fillcolor="#a0a0a0" stroked="f"/>
        </w:pict>
      </w:r>
    </w:p>
    <w:p w:rsidR="00AE0E77" w:rsidRDefault="00AE0E77" w:rsidP="00AE0E77">
      <w:pPr>
        <w:pStyle w:val="berschrift2"/>
      </w:pPr>
      <w:r>
        <w:t>3.3.39.105 Dimensionsabhängigkeit</w:t>
      </w:r>
    </w:p>
    <w:p w:rsidR="00AE0E77" w:rsidRDefault="00AE0E77" w:rsidP="00AE0E77">
      <w:pPr>
        <w:pStyle w:val="StandardWeb"/>
      </w:pPr>
      <w:r>
        <w:t>Eine Verringerung oder Erweiterung der Merkmalsdimension kann die funktionale Struktur verändern.</w:t>
      </w:r>
    </w:p>
    <w:p w:rsidR="00AE0E77" w:rsidRDefault="00AE0E77" w:rsidP="00AE0E77">
      <w:pPr>
        <w:pStyle w:val="StandardWeb"/>
      </w:pPr>
      <w:r>
        <w:t>Sei</w:t>
      </w:r>
    </w:p>
    <w:p w:rsidR="00AE0E77" w:rsidRDefault="00AE0E77" w:rsidP="00AE0E77">
      <w:pPr>
        <w:pStyle w:val="StandardWeb"/>
      </w:pPr>
      <w:r>
        <w:t>[</w:t>
      </w:r>
      <w:r>
        <w:br/>
        <w:t>P_k</w:t>
      </w:r>
      <w:r>
        <w:br/>
        <w:t>:</w:t>
      </w:r>
      <w:r>
        <w:br/>
        <w:t>\mathbb{R}^{p}</w:t>
      </w:r>
      <w:r>
        <w:br/>
        <w:t>\rightarrow</w:t>
      </w:r>
      <w:r>
        <w:br/>
        <w:t>\mathbb{R}^{k}</w:t>
      </w:r>
      <w:r>
        <w:br/>
        <w:t>\qquad</w:t>
      </w:r>
      <w:r>
        <w:br/>
        <w:t>k&lt;p</w:t>
      </w:r>
      <w:r>
        <w:br/>
        <w:t>\tag{3.6721}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P_k:\mathbb{R}^{p}\rightarrow\mathbb{R}^{k}\qquad k&lt;p\qquad\text{(3.6721)}</w:t>
      </w:r>
    </w:p>
    <w:p w:rsidR="00AE0E77" w:rsidRDefault="00AE0E77" w:rsidP="00AE0E77">
      <w:pPr>
        <w:pStyle w:val="StandardWeb"/>
      </w:pPr>
      <w:r>
        <w:lastRenderedPageBreak/>
        <w:t>eine Dimensionsreduktion.</w:t>
      </w:r>
    </w:p>
    <w:p w:rsidR="00AE0E77" w:rsidRDefault="00AE0E77" w:rsidP="00AE0E77">
      <w:pPr>
        <w:pStyle w:val="StandardWeb"/>
      </w:pPr>
      <w:r>
        <w:t>Die reduzierte Repräsentation lautet</w:t>
      </w:r>
    </w:p>
    <w:p w:rsidR="00AE0E77" w:rsidRDefault="00AE0E77" w:rsidP="00AE0E77">
      <w:pPr>
        <w:pStyle w:val="berschrift1"/>
      </w:pPr>
      <w:r>
        <w:t>[</w:t>
      </w:r>
      <w:r>
        <w:br/>
        <w:t>\mathbf{z}</w:t>
      </w:r>
    </w:p>
    <w:p w:rsidR="00AE0E77" w:rsidRDefault="00AE0E77" w:rsidP="00AE0E77">
      <w:pPr>
        <w:pStyle w:val="StandardWeb"/>
      </w:pPr>
      <w:r>
        <w:t>P_k</w:t>
      </w:r>
      <w:r>
        <w:br/>
        <w:t>\left(</w:t>
      </w:r>
      <w:r>
        <w:br/>
        <w:t>\mathbf{x}</w:t>
      </w:r>
      <w:r>
        <w:br/>
        <w:t>\right).</w:t>
      </w:r>
      <w:r>
        <w:br/>
        <w:t>\tag{3.6722}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\mathbf{z}=P_k\left(\mathbf{x}\right)\qquad\text{(3.6722)}</w:t>
      </w:r>
    </w:p>
    <w:p w:rsidR="00AE0E77" w:rsidRDefault="00AE0E77" w:rsidP="00AE0E77">
      <w:pPr>
        <w:pStyle w:val="StandardWeb"/>
      </w:pPr>
      <w:r>
        <w:t>Eine robuste Aussage müsste hinsichtlich des relevanten Funktionsgehalts beispielsweise erfüllen</w:t>
      </w:r>
    </w:p>
    <w:p w:rsidR="00AE0E77" w:rsidRDefault="00AE0E77" w:rsidP="00AE0E77">
      <w:pPr>
        <w:pStyle w:val="StandardWeb"/>
      </w:pPr>
      <w:r>
        <w:t>[</w:t>
      </w:r>
      <w:r>
        <w:br/>
        <w:t>A_F</w:t>
      </w:r>
      <w:r>
        <w:br/>
        <w:t>\left(</w:t>
      </w:r>
      <w:r>
        <w:br/>
        <w:t>\mathbf{x}</w:t>
      </w:r>
      <w:r>
        <w:br/>
        <w:t>\right)</w:t>
      </w:r>
      <w:r>
        <w:br/>
        <w:t>\sim_A</w:t>
      </w:r>
      <w:r>
        <w:br/>
        <w:t>A_F</w:t>
      </w:r>
      <w:r>
        <w:br/>
        <w:t>\left(</w:t>
      </w:r>
      <w:r>
        <w:br/>
        <w:t>\mathbf{z}</w:t>
      </w:r>
      <w:r>
        <w:br/>
        <w:t>\right).</w:t>
      </w:r>
      <w:r>
        <w:br/>
        <w:t>\tag{3.6723}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A_F\left(\mathbf{x}\right)\sim_A A_F\left(\mathbf{z}\right)\qquad\text{(3.6723)}</w:t>
      </w:r>
    </w:p>
    <w:p w:rsidR="00AE0E77" w:rsidRDefault="00AE0E77" w:rsidP="00AE0E77">
      <w:pPr>
        <w:pStyle w:val="StandardWeb"/>
      </w:pPr>
      <w:r>
        <w:t>Eine Dimensionsreduktion ist daher nicht nur hinsichtlich Rekonstruktionsfehler oder erklärter Varianz zu beurteilen, sondern auch hinsichtlich der Erhaltung wissenschaftlich relevanter FRZK-Aussagen.</w:t>
      </w:r>
    </w:p>
    <w:p w:rsidR="00AE0E77" w:rsidRDefault="00E50336" w:rsidP="00AE0E77">
      <w:r>
        <w:pict>
          <v:rect id="_x0000_i1246" style="width:0;height:1.5pt" o:hralign="center" o:hrstd="t" o:hr="t" fillcolor="#a0a0a0" stroked="f"/>
        </w:pict>
      </w:r>
    </w:p>
    <w:p w:rsidR="00AE0E77" w:rsidRDefault="00AE0E77" w:rsidP="00AE0E77">
      <w:pPr>
        <w:pStyle w:val="berschrift2"/>
      </w:pPr>
      <w:r>
        <w:t>3.3.39.106 Operationalisierungsrobustheit und Nullwerte</w:t>
      </w:r>
    </w:p>
    <w:p w:rsidR="00AE0E77" w:rsidRDefault="00AE0E77" w:rsidP="00AE0E77">
      <w:pPr>
        <w:pStyle w:val="StandardWeb"/>
      </w:pPr>
      <w:r>
        <w:t>Die Behandlung von Nullwerten besitzt im FRZK besondere Bedeutung, weil Nullwerte je nach zuvor definierter Struktur unterschiedliche semantische Rollen besitzen können.</w:t>
      </w:r>
    </w:p>
    <w:p w:rsidR="00AE0E77" w:rsidRDefault="00AE0E77" w:rsidP="00AE0E77">
      <w:pPr>
        <w:pStyle w:val="StandardWeb"/>
      </w:pPr>
      <w:r>
        <w:lastRenderedPageBreak/>
        <w:t>Sei</w:t>
      </w:r>
    </w:p>
    <w:p w:rsidR="00AE0E77" w:rsidRDefault="00AE0E77" w:rsidP="00AE0E77">
      <w:pPr>
        <w:pStyle w:val="berschrift1"/>
      </w:pPr>
      <w:r>
        <w:t>[</w:t>
      </w:r>
      <w:r>
        <w:br/>
        <w:t>x</w:t>
      </w:r>
    </w:p>
    <w:p w:rsidR="00AE0E77" w:rsidRDefault="00AE0E77" w:rsidP="008C5E65">
      <w:pPr>
        <w:numPr>
          <w:ilvl w:val="0"/>
          <w:numId w:val="312"/>
        </w:numPr>
        <w:spacing w:before="100" w:beforeAutospacing="1" w:after="100" w:afterAutospacing="1"/>
      </w:pPr>
    </w:p>
    <w:p w:rsidR="00AE0E77" w:rsidRDefault="00AE0E77" w:rsidP="00AE0E77">
      <w:pPr>
        <w:pStyle w:val="StandardWeb"/>
      </w:pPr>
      <w:r>
        <w:t>\tag{3.6724}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x=0\qquad\text{(3.6724)}</w:t>
      </w:r>
    </w:p>
    <w:p w:rsidR="00AE0E77" w:rsidRDefault="00AE0E77" w:rsidP="00AE0E77">
      <w:pPr>
        <w:pStyle w:val="StandardWeb"/>
      </w:pPr>
      <w:r>
        <w:t>Operationalisierung (\mathcal{O}_1) kann diesen Wert als tatsächliche Abwesenheit einer Eigenschaft interpretieren:</w:t>
      </w:r>
    </w:p>
    <w:p w:rsidR="00AE0E77" w:rsidRDefault="00AE0E77" w:rsidP="00AE0E77">
      <w:pPr>
        <w:pStyle w:val="berschrift1"/>
      </w:pPr>
      <w:r>
        <w:t>[</w:t>
      </w:r>
      <w:r>
        <w:br/>
        <w:t>\mathcal{O}_1(0)</w:t>
      </w:r>
    </w:p>
    <w:p w:rsidR="00AE0E77" w:rsidRDefault="00AE0E77" w:rsidP="00AE0E77">
      <w:pPr>
        <w:pStyle w:val="StandardWeb"/>
      </w:pPr>
      <w:r>
        <w:t>\mathbf{Abwesenheit}.</w:t>
      </w:r>
      <w:r>
        <w:br/>
        <w:t>\tag{3.6725}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\mathcal{O}_1(0)=\mathbf{Abwesenheit}\qquad\text{(3.6725)}</w:t>
      </w:r>
    </w:p>
    <w:p w:rsidR="00AE0E77" w:rsidRDefault="00AE0E77" w:rsidP="00AE0E77">
      <w:pPr>
        <w:pStyle w:val="StandardWeb"/>
      </w:pPr>
      <w:r>
        <w:t>Eine andere Operationalisierung könnte ihn als Grenz-, Neutral- oder kodierten Fehlwert behandeln:</w:t>
      </w:r>
    </w:p>
    <w:p w:rsidR="00AE0E77" w:rsidRDefault="00AE0E77" w:rsidP="00AE0E77">
      <w:pPr>
        <w:pStyle w:val="berschrift1"/>
      </w:pPr>
      <w:r>
        <w:t>[</w:t>
      </w:r>
      <w:r>
        <w:br/>
        <w:t>\mathcal{O}_2(0)</w:t>
      </w:r>
    </w:p>
    <w:p w:rsidR="00AE0E77" w:rsidRDefault="00AE0E77" w:rsidP="00AE0E77">
      <w:pPr>
        <w:pStyle w:val="StandardWeb"/>
      </w:pPr>
      <w:r>
        <w:t>\mathbf{Neutralwert}.</w:t>
      </w:r>
      <w:r>
        <w:br/>
        <w:t>\tag{3.6726}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\mathcal{O}_2(0)=\mathbf{Neutralwert}\qquad\text{(3.6726)}</w:t>
      </w:r>
    </w:p>
    <w:p w:rsidR="00AE0E77" w:rsidRDefault="00AE0E77" w:rsidP="00AE0E77">
      <w:pPr>
        <w:pStyle w:val="StandardWeb"/>
      </w:pPr>
      <w:r>
        <w:t>Dann gilt semantisch</w:t>
      </w:r>
    </w:p>
    <w:p w:rsidR="00AE0E77" w:rsidRDefault="00AE0E77" w:rsidP="00AE0E77">
      <w:pPr>
        <w:pStyle w:val="StandardWeb"/>
      </w:pPr>
      <w:r>
        <w:t>[</w:t>
      </w:r>
      <w:r>
        <w:br/>
        <w:t>\mathcal{O}_1(0)</w:t>
      </w:r>
      <w:r>
        <w:br/>
        <w:t>\neq</w:t>
      </w:r>
      <w:r>
        <w:br/>
      </w:r>
      <w:r>
        <w:lastRenderedPageBreak/>
        <w:t>\mathcal{O}_2(0).</w:t>
      </w:r>
      <w:r>
        <w:br/>
        <w:t>\tag{3.6727}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\mathcal{O}_1(0)\neq\mathcal{O}_2(0)\qquad\text{(3.6727)}</w:t>
      </w:r>
    </w:p>
    <w:p w:rsidR="00AE0E77" w:rsidRDefault="00AE0E77" w:rsidP="00AE0E77">
      <w:pPr>
        <w:pStyle w:val="StandardWeb"/>
      </w:pPr>
      <w:r>
        <w:t>Damit muss die Bedeutung von Nullwerten ausdrücklich Bestandteil des Operationalisierungsmanifests sein.</w:t>
      </w:r>
    </w:p>
    <w:p w:rsidR="00AE0E77" w:rsidRDefault="00E50336" w:rsidP="00AE0E77">
      <w:r>
        <w:pict>
          <v:rect id="_x0000_i1247" style="width:0;height:1.5pt" o:hralign="center" o:hrstd="t" o:hr="t" fillcolor="#a0a0a0" stroked="f"/>
        </w:pict>
      </w:r>
    </w:p>
    <w:p w:rsidR="00AE0E77" w:rsidRDefault="00AE0E77" w:rsidP="00AE0E77">
      <w:pPr>
        <w:pStyle w:val="berschrift2"/>
      </w:pPr>
      <w:r>
        <w:t>3.3.39.107 Operationalisierungsrobustheit diskreter und kontinuierlicher Repräsentationen</w:t>
      </w:r>
    </w:p>
    <w:p w:rsidR="00AE0E77" w:rsidRDefault="00AE0E77" w:rsidP="00AE0E77">
      <w:pPr>
        <w:pStyle w:val="StandardWeb"/>
      </w:pPr>
      <w:r>
        <w:t>Ein theoretisches Konzept kann kontinuierlich oder diskret operationalisiert werden.</w:t>
      </w:r>
    </w:p>
    <w:p w:rsidR="00AE0E77" w:rsidRDefault="00AE0E77" w:rsidP="00AE0E77">
      <w:pPr>
        <w:pStyle w:val="StandardWeb"/>
      </w:pPr>
      <w:r>
        <w:t>Eine kontinuierliche Repräsentation sei</w:t>
      </w:r>
    </w:p>
    <w:p w:rsidR="00AE0E77" w:rsidRDefault="00AE0E77" w:rsidP="00AE0E77">
      <w:pPr>
        <w:pStyle w:val="StandardWeb"/>
      </w:pPr>
      <w:r>
        <w:t>[</w:t>
      </w:r>
      <w:r>
        <w:br/>
        <w:t>y_c</w:t>
      </w:r>
      <w:r>
        <w:br/>
        <w:t>\in</w:t>
      </w:r>
      <w:r>
        <w:br/>
        <w:t>\mathbb{R}.</w:t>
      </w:r>
      <w:r>
        <w:br/>
        <w:t>\tag{3.6728}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y_c\in\mathbb{R}\qquad\text{(3.6728)}</w:t>
      </w:r>
    </w:p>
    <w:p w:rsidR="00AE0E77" w:rsidRDefault="00AE0E77" w:rsidP="00AE0E77">
      <w:pPr>
        <w:pStyle w:val="StandardWeb"/>
      </w:pPr>
      <w:r>
        <w:t>Eine diskrete Repräsentation sei</w:t>
      </w:r>
    </w:p>
    <w:p w:rsidR="00AE0E77" w:rsidRDefault="00AE0E77" w:rsidP="00AE0E77">
      <w:pPr>
        <w:pStyle w:val="StandardWeb"/>
      </w:pPr>
      <w:r>
        <w:t>[</w:t>
      </w:r>
      <w:r>
        <w:br/>
        <w:t>y_d</w:t>
      </w:r>
      <w:r>
        <w:br/>
        <w:t>\in</w:t>
      </w:r>
      <w:r>
        <w:br/>
        <w:t>\left{</w:t>
      </w:r>
      <w:r>
        <w:br/>
        <w:t>1,\ldots,K</w:t>
      </w:r>
      <w:r>
        <w:br/>
        <w:t>\right}.</w:t>
      </w:r>
      <w:r>
        <w:br/>
        <w:t>\tag{3.6729}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y_d\in\left\{1,\ldots,K\right\}\qquad\text{(3.6729)}</w:t>
      </w:r>
    </w:p>
    <w:p w:rsidR="00AE0E77" w:rsidRDefault="00AE0E77" w:rsidP="00AE0E77">
      <w:pPr>
        <w:pStyle w:val="StandardWeb"/>
      </w:pPr>
      <w:r>
        <w:t>Die Diskretisierungsabbildung lautet</w:t>
      </w:r>
    </w:p>
    <w:p w:rsidR="00AE0E77" w:rsidRDefault="00AE0E77" w:rsidP="00AE0E77">
      <w:pPr>
        <w:pStyle w:val="StandardWeb"/>
      </w:pPr>
      <w:r>
        <w:t>[</w:t>
      </w:r>
      <w:r>
        <w:br/>
        <w:t>Q</w:t>
      </w:r>
      <w:r>
        <w:br/>
        <w:t>:</w:t>
      </w:r>
      <w:r>
        <w:br/>
      </w:r>
      <w:r>
        <w:lastRenderedPageBreak/>
        <w:t>\mathbb{R}</w:t>
      </w:r>
      <w:r>
        <w:br/>
        <w:t>\rightarrow</w:t>
      </w:r>
      <w:r>
        <w:br/>
        <w:t>\left{</w:t>
      </w:r>
      <w:r>
        <w:br/>
        <w:t>1,\ldots,K</w:t>
      </w:r>
      <w:r>
        <w:br/>
        <w:t>\right}.</w:t>
      </w:r>
      <w:r>
        <w:br/>
        <w:t>\tag{3.6730}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Q:\mathbb{R}\rightarrow\left\{1,\ldots,K\right\}\qquad\text{(3.6730)}</w:t>
      </w:r>
    </w:p>
    <w:p w:rsidR="00AE0E77" w:rsidRDefault="00AE0E77" w:rsidP="00AE0E77">
      <w:pPr>
        <w:pStyle w:val="StandardWeb"/>
      </w:pPr>
      <w:r>
        <w:t>mit</w:t>
      </w:r>
    </w:p>
    <w:p w:rsidR="00AE0E77" w:rsidRDefault="00AE0E77" w:rsidP="00AE0E77">
      <w:pPr>
        <w:pStyle w:val="berschrift1"/>
      </w:pPr>
      <w:r>
        <w:t>[</w:t>
      </w:r>
      <w:r>
        <w:br/>
        <w:t>y_d</w:t>
      </w:r>
    </w:p>
    <w:p w:rsidR="00AE0E77" w:rsidRDefault="00AE0E77" w:rsidP="00AE0E77">
      <w:pPr>
        <w:pStyle w:val="StandardWeb"/>
      </w:pPr>
      <w:r>
        <w:t>Q(y_c).</w:t>
      </w:r>
      <w:r>
        <w:br/>
        <w:t>\tag{3.6731}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y_d=Q(y_c)\qquad\text{(3.6731)}</w:t>
      </w:r>
    </w:p>
    <w:p w:rsidR="00AE0E77" w:rsidRDefault="00AE0E77" w:rsidP="00AE0E77">
      <w:pPr>
        <w:pStyle w:val="StandardWeb"/>
      </w:pPr>
      <w:r>
        <w:t>Eine robuste Aussage sollte klar angeben, ob sie auf der kontinuierlichen Struktur, der diskreten Klasse oder lediglich auf einer erhaltenen Ordnung basiert.</w:t>
      </w:r>
    </w:p>
    <w:p w:rsidR="00AE0E77" w:rsidRDefault="00E50336" w:rsidP="00AE0E77">
      <w:r>
        <w:pict>
          <v:rect id="_x0000_i1248" style="width:0;height:1.5pt" o:hralign="center" o:hrstd="t" o:hr="t" fillcolor="#a0a0a0" stroked="f"/>
        </w:pict>
      </w:r>
    </w:p>
    <w:p w:rsidR="00AE0E77" w:rsidRDefault="00AE0E77" w:rsidP="00AE0E77">
      <w:pPr>
        <w:pStyle w:val="berschrift2"/>
      </w:pPr>
      <w:r>
        <w:t>3.3.39.108 Operationalisierungsrobustheit und Einheitenwechsel</w:t>
      </w:r>
    </w:p>
    <w:p w:rsidR="00AE0E77" w:rsidRDefault="00AE0E77" w:rsidP="00AE0E77">
      <w:pPr>
        <w:pStyle w:val="StandardWeb"/>
      </w:pPr>
      <w:r>
        <w:t>Einheitenwechsel stellen einen besonders einfachen Fall äquivalenter Operationalisierung dar.</w:t>
      </w:r>
    </w:p>
    <w:p w:rsidR="00AE0E77" w:rsidRDefault="00AE0E77" w:rsidP="00AE0E77">
      <w:pPr>
        <w:pStyle w:val="StandardWeb"/>
      </w:pPr>
      <w:r>
        <w:t>Seien</w:t>
      </w:r>
    </w:p>
    <w:p w:rsidR="00AE0E77" w:rsidRDefault="00AE0E77" w:rsidP="00AE0E77">
      <w:pPr>
        <w:pStyle w:val="berschrift1"/>
      </w:pPr>
      <w:r>
        <w:t>[</w:t>
      </w:r>
      <w:r>
        <w:br/>
        <w:t>x'</w:t>
      </w:r>
    </w:p>
    <w:p w:rsidR="00AE0E77" w:rsidRDefault="00AE0E77" w:rsidP="00AE0E77">
      <w:pPr>
        <w:pStyle w:val="StandardWeb"/>
      </w:pPr>
      <w:r>
        <w:t>a x</w:t>
      </w:r>
      <w:r>
        <w:br/>
        <w:t>\tag{3.6732}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x^{\prime}=ax\qquad\text{(3.6732)}</w:t>
      </w:r>
    </w:p>
    <w:p w:rsidR="00AE0E77" w:rsidRDefault="00AE0E77" w:rsidP="00AE0E77">
      <w:pPr>
        <w:pStyle w:val="StandardWeb"/>
      </w:pPr>
      <w:r>
        <w:lastRenderedPageBreak/>
        <w:t>mit</w:t>
      </w:r>
    </w:p>
    <w:p w:rsidR="00AE0E77" w:rsidRDefault="00AE0E77" w:rsidP="00AE0E77">
      <w:pPr>
        <w:pStyle w:val="StandardWeb"/>
      </w:pPr>
      <w:r>
        <w:t>[</w:t>
      </w:r>
      <w:r>
        <w:br/>
        <w:t>a</w:t>
      </w:r>
    </w:p>
    <w:p w:rsidR="00AE0E77" w:rsidRDefault="00AE0E77" w:rsidP="008C5E65">
      <w:pPr>
        <w:numPr>
          <w:ilvl w:val="0"/>
          <w:numId w:val="313"/>
        </w:numPr>
        <w:spacing w:before="100" w:beforeAutospacing="1" w:after="100" w:afterAutospacing="1"/>
      </w:pPr>
    </w:p>
    <w:p w:rsidR="00AE0E77" w:rsidRDefault="00AE0E77" w:rsidP="00AE0E77">
      <w:pPr>
        <w:pStyle w:val="StandardWeb"/>
      </w:pPr>
      <w:r>
        <w:t>\tag{3.6733}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a&gt;0\qquad\text{(3.6733)}</w:t>
      </w:r>
    </w:p>
    <w:p w:rsidR="00AE0E77" w:rsidRDefault="00AE0E77" w:rsidP="00AE0E77">
      <w:pPr>
        <w:pStyle w:val="StandardWeb"/>
      </w:pPr>
      <w:r>
        <w:t>Dann bleiben ordnungsbezogene Aussagen invariant.</w:t>
      </w:r>
    </w:p>
    <w:p w:rsidR="00AE0E77" w:rsidRDefault="00AE0E77" w:rsidP="00AE0E77">
      <w:pPr>
        <w:pStyle w:val="StandardWeb"/>
      </w:pPr>
      <w:r>
        <w:t>Eine dimensionslose Größe kann bei korrekter Transformation sogar vollständig invariant sein:</w:t>
      </w:r>
    </w:p>
    <w:p w:rsidR="00AE0E77" w:rsidRDefault="00AE0E77" w:rsidP="00AE0E77">
      <w:pPr>
        <w:pStyle w:val="berschrift1"/>
      </w:pPr>
      <w:r>
        <w:t>[</w:t>
      </w:r>
      <w:r>
        <w:br/>
        <w:t>\Pi'</w:t>
      </w:r>
    </w:p>
    <w:p w:rsidR="00AE0E77" w:rsidRDefault="00AE0E77" w:rsidP="00AE0E77">
      <w:pPr>
        <w:pStyle w:val="StandardWeb"/>
      </w:pPr>
      <w:r>
        <w:t>\Pi.</w:t>
      </w:r>
      <w:r>
        <w:br/>
        <w:t>\tag{3.6734}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\Pi^{\prime}=\Pi\qquad\text{(3.6734)}</w:t>
      </w:r>
    </w:p>
    <w:p w:rsidR="00AE0E77" w:rsidRDefault="00AE0E77" w:rsidP="00AE0E77">
      <w:pPr>
        <w:pStyle w:val="StandardWeb"/>
      </w:pPr>
      <w:r>
        <w:t>Solche einfachen Fälle dienen als Referenz dafür, dass Operationalisierungsunterschiede nicht zwangsläufig wissenschaftliche Unsicherheit erzeugen müssen. Entscheidend ist, ob die Transformation die relevante Aussage unverändert lässt.</w:t>
      </w:r>
    </w:p>
    <w:p w:rsidR="00AE0E77" w:rsidRDefault="00E50336" w:rsidP="00AE0E77">
      <w:r>
        <w:pict>
          <v:rect id="_x0000_i1249" style="width:0;height:1.5pt" o:hralign="center" o:hrstd="t" o:hr="t" fillcolor="#a0a0a0" stroked="f"/>
        </w:pict>
      </w:r>
    </w:p>
    <w:p w:rsidR="00AE0E77" w:rsidRDefault="00AE0E77" w:rsidP="00AE0E77">
      <w:pPr>
        <w:pStyle w:val="berschrift2"/>
      </w:pPr>
      <w:r>
        <w:t>3.3.39.109 Operationalisierungsrobustheit dimensionsloser Strukturen</w:t>
      </w:r>
    </w:p>
    <w:p w:rsidR="00AE0E77" w:rsidRDefault="00AE0E77" w:rsidP="00AE0E77">
      <w:pPr>
        <w:pStyle w:val="StandardWeb"/>
      </w:pPr>
      <w:r>
        <w:t>Dimensionslose Repräsentationen können die Vergleichbarkeit verschiedener Skalen erhöhen.</w:t>
      </w:r>
    </w:p>
    <w:p w:rsidR="00AE0E77" w:rsidRDefault="00AE0E77" w:rsidP="00AE0E77">
      <w:pPr>
        <w:pStyle w:val="StandardWeb"/>
      </w:pPr>
      <w:r>
        <w:t>Sei eine dimensionslose funktionale Größe</w:t>
      </w:r>
    </w:p>
    <w:p w:rsidR="00AE0E77" w:rsidRDefault="00AE0E77" w:rsidP="00AE0E77">
      <w:pPr>
        <w:pStyle w:val="berschrift1"/>
      </w:pPr>
      <w:r>
        <w:t>[</w:t>
      </w:r>
      <w:r>
        <w:br/>
        <w:t>\Pi_F</w:t>
      </w:r>
    </w:p>
    <w:p w:rsidR="00AE0E77" w:rsidRDefault="00AE0E77" w:rsidP="00AE0E77">
      <w:pPr>
        <w:pStyle w:val="StandardWeb"/>
      </w:pPr>
      <w:r>
        <w:t>\Pi_F</w:t>
      </w:r>
      <w:r>
        <w:br/>
        <w:t>\left(</w:t>
      </w:r>
      <w:r>
        <w:br/>
      </w:r>
      <w:r>
        <w:lastRenderedPageBreak/>
        <w:t>x_1,\ldots,x_n</w:t>
      </w:r>
      <w:r>
        <w:br/>
        <w:t>\right).</w:t>
      </w:r>
      <w:r>
        <w:br/>
        <w:t>\tag{3.6735}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\Pi_F=\Pi_F\left(x_1,\ldots,x_n\right)\qquad\text{(3.6735)}</w:t>
      </w:r>
    </w:p>
    <w:p w:rsidR="00AE0E77" w:rsidRDefault="00AE0E77" w:rsidP="00AE0E77">
      <w:pPr>
        <w:pStyle w:val="StandardWeb"/>
      </w:pPr>
      <w:r>
        <w:t>Bei konsistentem Einheitenwechsel kann gelten</w:t>
      </w:r>
    </w:p>
    <w:p w:rsidR="00AE0E77" w:rsidRDefault="00AE0E77" w:rsidP="00AE0E77">
      <w:pPr>
        <w:pStyle w:val="berschrift1"/>
      </w:pPr>
      <w:r>
        <w:t>[</w:t>
      </w:r>
      <w:r>
        <w:br/>
        <w:t>\Pi_F^{(1)}</w:t>
      </w:r>
    </w:p>
    <w:p w:rsidR="00AE0E77" w:rsidRDefault="00AE0E77" w:rsidP="00AE0E77">
      <w:pPr>
        <w:pStyle w:val="StandardWeb"/>
      </w:pPr>
      <w:r>
        <w:t>\Pi_F^{(2)}.</w:t>
      </w:r>
      <w:r>
        <w:br/>
        <w:t>\tag{3.6736}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\Pi_F^{(1)}=\Pi_F^{(2)}\qquad\text{(3.6736)}</w:t>
      </w:r>
    </w:p>
    <w:p w:rsidR="00AE0E77" w:rsidRDefault="00AE0E77" w:rsidP="00AE0E77">
      <w:pPr>
        <w:pStyle w:val="StandardWeb"/>
      </w:pPr>
      <w:r>
        <w:t>Dies kann Operationalisierungsrobustheit unterstützen, ersetzt jedoch nicht die inhaltliche Prüfung, ob (\Pi_F) tatsächlich das gewünschte funktionale Konzept repräsentiert.</w:t>
      </w:r>
    </w:p>
    <w:p w:rsidR="00AE0E77" w:rsidRDefault="00E50336" w:rsidP="00AE0E77">
      <w:r>
        <w:pict>
          <v:rect id="_x0000_i1250" style="width:0;height:1.5pt" o:hralign="center" o:hrstd="t" o:hr="t" fillcolor="#a0a0a0" stroked="f"/>
        </w:pict>
      </w:r>
    </w:p>
    <w:p w:rsidR="00AE0E77" w:rsidRDefault="00AE0E77" w:rsidP="00AE0E77">
      <w:pPr>
        <w:pStyle w:val="berschrift2"/>
      </w:pPr>
      <w:r>
        <w:t>3.3.39.110 Operationalisierungsrobustheit und Beobachterabhängigkeit</w:t>
      </w:r>
    </w:p>
    <w:p w:rsidR="00AE0E77" w:rsidRDefault="00AE0E77" w:rsidP="00AE0E77">
      <w:pPr>
        <w:pStyle w:val="StandardWeb"/>
      </w:pPr>
      <w:r>
        <w:t>In manchen Anwendungen kann die Kodierung eines Zustands teilweise vom Beobachter oder Klassifikator abhängen.</w:t>
      </w:r>
    </w:p>
    <w:p w:rsidR="00AE0E77" w:rsidRDefault="00AE0E77" w:rsidP="00AE0E77">
      <w:pPr>
        <w:pStyle w:val="StandardWeb"/>
      </w:pPr>
      <w:r>
        <w:t>Sei</w:t>
      </w:r>
    </w:p>
    <w:p w:rsidR="00AE0E77" w:rsidRDefault="00AE0E77" w:rsidP="00AE0E77">
      <w:pPr>
        <w:pStyle w:val="StandardWeb"/>
      </w:pPr>
      <w:r>
        <w:t>[</w:t>
      </w:r>
      <w:r>
        <w:br/>
        <w:t>\mathcal{O}^{(r)}</w:t>
      </w:r>
      <w:r>
        <w:br/>
        <w:t>\tag{3.6737}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\mathcal{O}^{(r)}\qquad\text{(3.6737)}</w:t>
      </w:r>
    </w:p>
    <w:p w:rsidR="00AE0E77" w:rsidRDefault="00AE0E77" w:rsidP="00AE0E77">
      <w:pPr>
        <w:pStyle w:val="StandardWeb"/>
      </w:pPr>
      <w:r>
        <w:t>die Operationalisierung durch Beobachter (r).</w:t>
      </w:r>
    </w:p>
    <w:p w:rsidR="00AE0E77" w:rsidRDefault="00AE0E77" w:rsidP="00AE0E77">
      <w:pPr>
        <w:pStyle w:val="StandardWeb"/>
      </w:pPr>
      <w:r>
        <w:t>Dann kann</w:t>
      </w:r>
    </w:p>
    <w:p w:rsidR="00AE0E77" w:rsidRDefault="00AE0E77" w:rsidP="00AE0E77">
      <w:pPr>
        <w:pStyle w:val="berschrift1"/>
      </w:pPr>
      <w:r>
        <w:lastRenderedPageBreak/>
        <w:t>[</w:t>
      </w:r>
      <w:r>
        <w:br/>
        <w:t>A_F^{(r)}</w:t>
      </w:r>
    </w:p>
    <w:p w:rsidR="00AE0E77" w:rsidRDefault="00AE0E77" w:rsidP="00AE0E77">
      <w:pPr>
        <w:pStyle w:val="StandardWeb"/>
      </w:pPr>
      <w:r>
        <w:t>A_F</w:t>
      </w:r>
      <w:r>
        <w:br/>
        <w:t>\left(</w:t>
      </w:r>
      <w:r>
        <w:br/>
        <w:t>\mathcal{O}^{(r)}</w:t>
      </w:r>
      <w:r>
        <w:br/>
        <w:t>\right)</w:t>
      </w:r>
      <w:r>
        <w:br/>
        <w:t>\tag{3.6738}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A_F^{(r)}=A_F\left(\mathcal{O}^{(r)}\right)\qquad\text{(3.6738)}</w:t>
      </w:r>
    </w:p>
    <w:p w:rsidR="00AE0E77" w:rsidRDefault="00AE0E77" w:rsidP="00AE0E77">
      <w:pPr>
        <w:pStyle w:val="StandardWeb"/>
      </w:pPr>
      <w:r>
        <w:t>beobachterabhängig sein.</w:t>
      </w:r>
    </w:p>
    <w:p w:rsidR="00AE0E77" w:rsidRDefault="00AE0E77" w:rsidP="00AE0E77">
      <w:pPr>
        <w:pStyle w:val="StandardWeb"/>
      </w:pPr>
      <w:r>
        <w:t>Für mehrere Beobachter kann ein Übereinstimmungsmaß</w:t>
      </w:r>
    </w:p>
    <w:p w:rsidR="00AE0E77" w:rsidRDefault="00AE0E77" w:rsidP="00AE0E77">
      <w:pPr>
        <w:pStyle w:val="StandardWeb"/>
      </w:pPr>
      <w:r>
        <w:t>[</w:t>
      </w:r>
      <w:r>
        <w:br/>
        <w:t>R_{\mathrm{obs}}</w:t>
      </w:r>
      <w:r>
        <w:br/>
        <w:t>\in</w:t>
      </w:r>
      <w:r>
        <w:br/>
        <w:t>[0,1]</w:t>
      </w:r>
      <w:r>
        <w:br/>
        <w:t>\tag{3.6739}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R_{\mathrm{obs}}\in[0,1]\qquad\text{(3.6739)}</w:t>
      </w:r>
    </w:p>
    <w:p w:rsidR="00AE0E77" w:rsidRDefault="00AE0E77" w:rsidP="00AE0E77">
      <w:pPr>
        <w:pStyle w:val="StandardWeb"/>
      </w:pPr>
      <w:r>
        <w:t>verwendet werden.</w:t>
      </w:r>
    </w:p>
    <w:p w:rsidR="00AE0E77" w:rsidRDefault="00AE0E77" w:rsidP="00AE0E77">
      <w:pPr>
        <w:pStyle w:val="StandardWeb"/>
      </w:pPr>
      <w:r>
        <w:t>Auch hohe Beobachterübereinstimmung beweist nicht die Validität des theoretischen Konstrukts, erhöht jedoch die Reproduzierbarkeit der konkreten Kodierung [58, 59].</w:t>
      </w:r>
    </w:p>
    <w:p w:rsidR="00AE0E77" w:rsidRDefault="00E50336" w:rsidP="00AE0E77">
      <w:r>
        <w:pict>
          <v:rect id="_x0000_i1251" style="width:0;height:1.5pt" o:hralign="center" o:hrstd="t" o:hr="t" fillcolor="#a0a0a0" stroked="f"/>
        </w:pict>
      </w:r>
    </w:p>
    <w:p w:rsidR="00AE0E77" w:rsidRDefault="00AE0E77" w:rsidP="00AE0E77">
      <w:pPr>
        <w:pStyle w:val="berschrift2"/>
      </w:pPr>
      <w:r>
        <w:t>3.3.39.111 Automatisierte versus manuelle Operationalisierung</w:t>
      </w:r>
    </w:p>
    <w:p w:rsidR="00AE0E77" w:rsidRDefault="00AE0E77" w:rsidP="00AE0E77">
      <w:pPr>
        <w:pStyle w:val="StandardWeb"/>
      </w:pPr>
      <w:r>
        <w:t>Eine manuelle Operationalisierung bezeichne ich mit</w:t>
      </w:r>
    </w:p>
    <w:p w:rsidR="00AE0E77" w:rsidRDefault="00AE0E77" w:rsidP="00AE0E77">
      <w:pPr>
        <w:pStyle w:val="StandardWeb"/>
      </w:pPr>
      <w:r>
        <w:t>[</w:t>
      </w:r>
      <w:r>
        <w:br/>
        <w:t>\mathcal{O}_{\mathrm{man}}</w:t>
      </w:r>
      <w:r>
        <w:br/>
        <w:t>\tag{3.6740}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\mathcal{O}_{\mathrm{man}}\qquad\text{(3.6740)}</w:t>
      </w:r>
    </w:p>
    <w:p w:rsidR="00AE0E77" w:rsidRDefault="00AE0E77" w:rsidP="00AE0E77">
      <w:pPr>
        <w:pStyle w:val="StandardWeb"/>
      </w:pPr>
      <w:r>
        <w:lastRenderedPageBreak/>
        <w:t>und eine algorithmische mit</w:t>
      </w:r>
    </w:p>
    <w:p w:rsidR="00AE0E77" w:rsidRDefault="00AE0E77" w:rsidP="00AE0E77">
      <w:pPr>
        <w:pStyle w:val="StandardWeb"/>
      </w:pPr>
      <w:r>
        <w:t>[</w:t>
      </w:r>
      <w:r>
        <w:br/>
        <w:t>\mathcal{O}_{\mathrm{auto}}.</w:t>
      </w:r>
      <w:r>
        <w:br/>
        <w:t>\tag{3.6741}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\mathcal{O}_{\mathrm{auto}}\qquad\text{(3.6741)}</w:t>
      </w:r>
    </w:p>
    <w:p w:rsidR="00AE0E77" w:rsidRDefault="00AE0E77" w:rsidP="00AE0E77">
      <w:pPr>
        <w:pStyle w:val="StandardWeb"/>
      </w:pPr>
      <w:r>
        <w:t>Eine wissenschaftlich interessante Prüfung lautet</w:t>
      </w:r>
    </w:p>
    <w:p w:rsidR="00AE0E77" w:rsidRDefault="00AE0E77" w:rsidP="00AE0E77">
      <w:pPr>
        <w:pStyle w:val="StandardWeb"/>
      </w:pPr>
      <w:r>
        <w:t>[</w:t>
      </w:r>
      <w:r>
        <w:br/>
        <w:t>A_F</w:t>
      </w:r>
      <w:r>
        <w:br/>
        <w:t>\left(</w:t>
      </w:r>
      <w:r>
        <w:br/>
        <w:t>\mathcal{O}</w:t>
      </w:r>
      <w:r>
        <w:rPr>
          <w:rStyle w:val="Hervorhebung"/>
        </w:rPr>
        <w:t>{\mathrm{man}}</w:t>
      </w:r>
      <w:r>
        <w:rPr>
          <w:i/>
          <w:iCs/>
        </w:rPr>
        <w:br/>
      </w:r>
      <w:r>
        <w:rPr>
          <w:rStyle w:val="Hervorhebung"/>
        </w:rPr>
        <w:t>\right)</w:t>
      </w:r>
      <w:r>
        <w:rPr>
          <w:i/>
          <w:iCs/>
        </w:rPr>
        <w:br/>
      </w:r>
      <w:r>
        <w:rPr>
          <w:rStyle w:val="Hervorhebung"/>
        </w:rPr>
        <w:t>\sim_A</w:t>
      </w:r>
      <w:r>
        <w:rPr>
          <w:i/>
          <w:iCs/>
        </w:rPr>
        <w:br/>
      </w:r>
      <w:r>
        <w:rPr>
          <w:rStyle w:val="Hervorhebung"/>
        </w:rPr>
        <w:t>A_F</w:t>
      </w:r>
      <w:r>
        <w:rPr>
          <w:i/>
          <w:iCs/>
        </w:rPr>
        <w:br/>
      </w:r>
      <w:r>
        <w:rPr>
          <w:rStyle w:val="Hervorhebung"/>
        </w:rPr>
        <w:t>\left(</w:t>
      </w:r>
      <w:r>
        <w:rPr>
          <w:i/>
          <w:iCs/>
        </w:rPr>
        <w:br/>
      </w:r>
      <w:r>
        <w:rPr>
          <w:rStyle w:val="Hervorhebung"/>
        </w:rPr>
        <w:t>\mathcal{O}</w:t>
      </w:r>
      <w:r>
        <w:t>{\mathrm{auto}}</w:t>
      </w:r>
      <w:r>
        <w:br/>
        <w:t>\right).</w:t>
      </w:r>
      <w:r>
        <w:br/>
        <w:t>\tag{3.6742}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A_F\left(\mathcal{O}_{\mathrm{man}}\right)\sim_A A_F\left(\mathcal{O}_{\mathrm{auto}}\right)\qquad\text{(3.6742)}</w:t>
      </w:r>
    </w:p>
    <w:p w:rsidR="00AE0E77" w:rsidRDefault="00AE0E77" w:rsidP="00AE0E77">
      <w:pPr>
        <w:pStyle w:val="StandardWeb"/>
      </w:pPr>
      <w:r>
        <w:t>Eine solche Übereinstimmung kann zusätzliche Evidenz liefern, wenn beide Verfahren methodisch hinreichend unabhängig voneinander entwickelt wurden.</w:t>
      </w:r>
    </w:p>
    <w:p w:rsidR="00AE0E77" w:rsidRDefault="00E50336" w:rsidP="00AE0E77">
      <w:r>
        <w:pict>
          <v:rect id="_x0000_i1252" style="width:0;height:1.5pt" o:hralign="center" o:hrstd="t" o:hr="t" fillcolor="#a0a0a0" stroked="f"/>
        </w:pict>
      </w:r>
    </w:p>
    <w:p w:rsidR="00AE0E77" w:rsidRDefault="00AE0E77" w:rsidP="00AE0E77">
      <w:pPr>
        <w:pStyle w:val="berschrift2"/>
      </w:pPr>
      <w:r>
        <w:t>3.3.39.112 Operationalisierungsrobustheit gegenüber Softwareimplementierung</w:t>
      </w:r>
    </w:p>
    <w:p w:rsidR="00AE0E77" w:rsidRDefault="00AE0E77" w:rsidP="00AE0E77">
      <w:pPr>
        <w:pStyle w:val="StandardWeb"/>
      </w:pPr>
      <w:r>
        <w:t>Selbst bei identischer mathematischer Definition können unterschiedliche Softwareimplementierungen numerisch abweichen.</w:t>
      </w:r>
    </w:p>
    <w:p w:rsidR="00AE0E77" w:rsidRDefault="00AE0E77" w:rsidP="00AE0E77">
      <w:pPr>
        <w:pStyle w:val="StandardWeb"/>
      </w:pPr>
      <w:r>
        <w:t>Seien</w:t>
      </w:r>
    </w:p>
    <w:p w:rsidR="00AE0E77" w:rsidRDefault="00AE0E77" w:rsidP="00AE0E77">
      <w:pPr>
        <w:pStyle w:val="StandardWeb"/>
      </w:pPr>
      <w:r>
        <w:t>[</w:t>
      </w:r>
      <w:r>
        <w:br/>
        <w:t>\mathcal{I}_1,</w:t>
      </w:r>
      <w:r>
        <w:br/>
        <w:t>\qquad</w:t>
      </w:r>
      <w:r>
        <w:br/>
        <w:t>\mathcal{I}_2</w:t>
      </w:r>
      <w:r>
        <w:br/>
        <w:t>\tag{3.6743}</w:t>
      </w:r>
      <w:r>
        <w:br/>
        <w:t>]</w:t>
      </w:r>
    </w:p>
    <w:p w:rsidR="00AE0E77" w:rsidRDefault="00AE0E77" w:rsidP="00AE0E77">
      <w:pPr>
        <w:pStyle w:val="StandardWeb"/>
      </w:pPr>
      <w:r>
        <w:rPr>
          <w:rStyle w:val="Fett"/>
        </w:rPr>
        <w:lastRenderedPageBreak/>
        <w:t>Word-LaTeX</w:t>
      </w:r>
    </w:p>
    <w:p w:rsidR="00AE0E77" w:rsidRDefault="00AE0E77" w:rsidP="00AE0E77">
      <w:pPr>
        <w:pStyle w:val="HTMLVorformatiert"/>
        <w:rPr>
          <w:rStyle w:val="HTMLCode"/>
        </w:rPr>
      </w:pPr>
      <w:r>
        <w:rPr>
          <w:rStyle w:val="HTMLCode"/>
        </w:rPr>
        <w:t>\mathcal{I}_1,\qquad\mathcal{I}_2\qquad\text{(3.6743)}</w:t>
      </w:r>
    </w:p>
    <w:p w:rsidR="00AE0E77" w:rsidRDefault="00AE0E77" w:rsidP="00AE0E77">
      <w:pPr>
        <w:pStyle w:val="StandardWeb"/>
      </w:pPr>
      <w:r>
        <w:t>zwei Implementierungen derselben Operationalisierung.</w:t>
      </w:r>
    </w:p>
    <w:p w:rsidR="00AE0E77" w:rsidRDefault="00AE0E77" w:rsidP="00AE0E77">
      <w:pPr>
        <w:pStyle w:val="StandardWeb"/>
      </w:pPr>
      <w:r>
        <w:t>Die Resultate lauten</w:t>
      </w:r>
    </w:p>
    <w:p w:rsidR="00AE0E77" w:rsidRDefault="00AE0E77" w:rsidP="00AE0E77">
      <w:pPr>
        <w:pStyle w:val="berschrift1"/>
      </w:pPr>
      <w:r>
        <w:t>[</w:t>
      </w:r>
      <w:r>
        <w:br/>
        <w:t>y^{(1)}</w:t>
      </w:r>
    </w:p>
    <w:p w:rsidR="00AE0E77" w:rsidRDefault="00AE0E77" w:rsidP="00AE0E77">
      <w:pPr>
        <w:pStyle w:val="StandardWeb"/>
      </w:pPr>
      <w:r>
        <w:t>\mathcal{I}_1</w:t>
      </w:r>
      <w:r>
        <w:br/>
        <w:t>\left(</w:t>
      </w:r>
      <w:r>
        <w:br/>
        <w:t>\mathcal{O},</w:t>
      </w:r>
      <w:r>
        <w:br/>
        <w:t>\mathcal{D}</w:t>
      </w:r>
      <w:r>
        <w:br/>
        <w:t>\right)</w:t>
      </w:r>
      <w:r>
        <w:br/>
        <w:t>\tag{3.6744}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y^{(1)}=\mathcal{I}_1\left(\mathcal{O},\mathcal{D}\right)\qquad\text{(3.6744)}</w:t>
      </w:r>
    </w:p>
    <w:p w:rsidR="00AE0E77" w:rsidRDefault="00AE0E77" w:rsidP="00AE0E77">
      <w:pPr>
        <w:pStyle w:val="StandardWeb"/>
      </w:pPr>
      <w:r>
        <w:t>und</w:t>
      </w:r>
    </w:p>
    <w:p w:rsidR="00AE0E77" w:rsidRDefault="00AE0E77" w:rsidP="00AE0E77">
      <w:pPr>
        <w:pStyle w:val="berschrift1"/>
      </w:pPr>
      <w:r>
        <w:t>[</w:t>
      </w:r>
      <w:r>
        <w:br/>
        <w:t>y^{(2)}</w:t>
      </w:r>
    </w:p>
    <w:p w:rsidR="00AE0E77" w:rsidRDefault="00AE0E77" w:rsidP="00AE0E77">
      <w:pPr>
        <w:pStyle w:val="StandardWeb"/>
      </w:pPr>
      <w:r>
        <w:t>\mathcal{I}_2</w:t>
      </w:r>
      <w:r>
        <w:br/>
        <w:t>\left(</w:t>
      </w:r>
      <w:r>
        <w:br/>
        <w:t>\mathcal{O},</w:t>
      </w:r>
      <w:r>
        <w:br/>
        <w:t>\mathcal{D}</w:t>
      </w:r>
      <w:r>
        <w:br/>
        <w:t>\right).</w:t>
      </w:r>
      <w:r>
        <w:br/>
        <w:t>\tag{3.6745}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y^{(2)}=\mathcal{I}_2\left(\mathcal{O},\mathcal{D}\right)\qquad\text{(3.6745)}</w:t>
      </w:r>
    </w:p>
    <w:p w:rsidR="00AE0E77" w:rsidRDefault="00AE0E77" w:rsidP="00AE0E77">
      <w:pPr>
        <w:pStyle w:val="StandardWeb"/>
      </w:pPr>
      <w:r>
        <w:t>Numerische Implementierungsrobustheit verlangt innerhalb einer festgelegten Toleranz</w:t>
      </w:r>
    </w:p>
    <w:p w:rsidR="00AE0E77" w:rsidRDefault="00AE0E77" w:rsidP="00AE0E77">
      <w:pPr>
        <w:pStyle w:val="berschrift2"/>
      </w:pPr>
      <w:r>
        <w:t>[</w:t>
      </w:r>
      <w:r>
        <w:br/>
        <w:t>\left|</w:t>
      </w:r>
      <w:r>
        <w:br/>
        <w:t>y^{(1)}</w:t>
      </w:r>
    </w:p>
    <w:p w:rsidR="00AE0E77" w:rsidRDefault="00AE0E77" w:rsidP="00AE0E77">
      <w:pPr>
        <w:pStyle w:val="StandardWeb"/>
      </w:pPr>
      <w:r>
        <w:lastRenderedPageBreak/>
        <w:t>y^{(2)}</w:t>
      </w:r>
      <w:r>
        <w:br/>
        <w:t>\right|</w:t>
      </w:r>
      <w:r>
        <w:br/>
        <w:t>\leq</w:t>
      </w:r>
      <w:r>
        <w:br/>
        <w:t>\tau_{\mathrm{impl}}.</w:t>
      </w:r>
      <w:r>
        <w:br/>
        <w:t>\tag{3.6746}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\left|y^{(1)}-y^{(2)}\right|\leq\tau_{\mathrm{impl}}\qquad\text{(3.6746)}</w:t>
      </w:r>
    </w:p>
    <w:p w:rsidR="00AE0E77" w:rsidRDefault="00AE0E77" w:rsidP="00AE0E77">
      <w:pPr>
        <w:pStyle w:val="StandardWeb"/>
      </w:pPr>
      <w:r>
        <w:t>Dies ist wiederum von der eigentlichen wissenschaftlichen Operationalisierungsrobustheit zu unterscheiden.</w:t>
      </w:r>
    </w:p>
    <w:p w:rsidR="00AE0E77" w:rsidRDefault="00E50336" w:rsidP="00AE0E77">
      <w:r>
        <w:pict>
          <v:rect id="_x0000_i1253" style="width:0;height:1.5pt" o:hralign="center" o:hrstd="t" o:hr="t" fillcolor="#a0a0a0" stroked="f"/>
        </w:pict>
      </w:r>
    </w:p>
    <w:p w:rsidR="00AE0E77" w:rsidRDefault="00AE0E77" w:rsidP="00AE0E77">
      <w:pPr>
        <w:pStyle w:val="berschrift2"/>
      </w:pPr>
      <w:r>
        <w:t>3.3.39.113 Hierarchie der Operationalisierungsprüfung</w:t>
      </w:r>
    </w:p>
    <w:p w:rsidR="00AE0E77" w:rsidRDefault="00AE0E77" w:rsidP="00AE0E77">
      <w:pPr>
        <w:pStyle w:val="StandardWeb"/>
      </w:pPr>
      <w:r>
        <w:t>Aus den bisherigen Teilprüfungen ergibt sich eine hierarchische Reihenfolge:</w:t>
      </w:r>
    </w:p>
    <w:p w:rsidR="00AE0E77" w:rsidRDefault="00AE0E77" w:rsidP="00AE0E77">
      <w:pPr>
        <w:pStyle w:val="StandardWeb"/>
      </w:pPr>
      <w:r>
        <w:t>Zunächst muss die theoretische Bedeutung des Konzeptes geklärt sein.</w:t>
      </w:r>
    </w:p>
    <w:p w:rsidR="00AE0E77" w:rsidRDefault="00AE0E77" w:rsidP="00AE0E77">
      <w:pPr>
        <w:pStyle w:val="StandardWeb"/>
      </w:pPr>
      <w:r>
        <w:t>Danach muss mindestens eine zulässige Operationalisierung definiert werden.</w:t>
      </w:r>
    </w:p>
    <w:p w:rsidR="00AE0E77" w:rsidRDefault="00AE0E77" w:rsidP="00AE0E77">
      <w:pPr>
        <w:pStyle w:val="StandardWeb"/>
      </w:pPr>
      <w:r>
        <w:t>Anschließend werden plausible Alternativen bestimmt.</w:t>
      </w:r>
    </w:p>
    <w:p w:rsidR="00AE0E77" w:rsidRDefault="00AE0E77" w:rsidP="00AE0E77">
      <w:pPr>
        <w:pStyle w:val="StandardWeb"/>
      </w:pPr>
      <w:r>
        <w:t>Danach werden deren Ergebnisse, Aussageklassen und Unsicherheiten verglichen.</w:t>
      </w:r>
    </w:p>
    <w:p w:rsidR="00AE0E77" w:rsidRDefault="00AE0E77" w:rsidP="00AE0E77">
      <w:pPr>
        <w:pStyle w:val="StandardWeb"/>
      </w:pPr>
      <w:r>
        <w:t>Erst dann kann eine Robustheitsklasse vergeben werden.</w:t>
      </w:r>
    </w:p>
    <w:p w:rsidR="00AE0E77" w:rsidRDefault="00AE0E77" w:rsidP="00AE0E77">
      <w:pPr>
        <w:pStyle w:val="StandardWeb"/>
      </w:pPr>
      <w:r>
        <w:t>Formal schreibe ich</w:t>
      </w:r>
    </w:p>
    <w:p w:rsidR="00AE0E77" w:rsidRDefault="00AE0E77" w:rsidP="00AE0E77">
      <w:pPr>
        <w:pStyle w:val="StandardWeb"/>
      </w:pPr>
      <w:r>
        <w:t>[</w:t>
      </w:r>
      <w:r>
        <w:br/>
        <w:t>\mathcal{K}</w:t>
      </w:r>
      <w:r>
        <w:rPr>
          <w:rStyle w:val="Hervorhebung"/>
        </w:rPr>
        <w:t>{F}</w:t>
      </w:r>
      <w:r>
        <w:rPr>
          <w:i/>
          <w:iCs/>
        </w:rPr>
        <w:br/>
      </w:r>
      <w:r>
        <w:rPr>
          <w:rStyle w:val="Hervorhebung"/>
        </w:rPr>
        <w:t>\rightarrow</w:t>
      </w:r>
      <w:r>
        <w:rPr>
          <w:i/>
          <w:iCs/>
        </w:rPr>
        <w:br/>
      </w:r>
      <w:r>
        <w:rPr>
          <w:rStyle w:val="Hervorhebung"/>
        </w:rPr>
        <w:t>\mathfrak{O}</w:t>
      </w:r>
      <w:r>
        <w:rPr>
          <w:i/>
          <w:iCs/>
        </w:rPr>
        <w:br/>
      </w:r>
      <w:r>
        <w:rPr>
          <w:rStyle w:val="Hervorhebung"/>
        </w:rPr>
        <w:t>\rightarrow</w:t>
      </w:r>
      <w:r>
        <w:rPr>
          <w:i/>
          <w:iCs/>
        </w:rPr>
        <w:br/>
      </w:r>
      <w:r>
        <w:rPr>
          <w:rStyle w:val="Hervorhebung"/>
        </w:rPr>
        <w:t>\mathfrak{A}</w:t>
      </w:r>
      <w:r>
        <w:t>{\mathcal{O}}</w:t>
      </w:r>
      <w:r>
        <w:br/>
        <w:t>\rightarrow</w:t>
      </w:r>
      <w:r>
        <w:br/>
        <w:t>\mathbf{S}</w:t>
      </w:r>
      <w:r>
        <w:rPr>
          <w:rStyle w:val="Hervorhebung"/>
        </w:rPr>
        <w:t>{\mathcal{O}}</w:t>
      </w:r>
      <w:r>
        <w:rPr>
          <w:i/>
          <w:iCs/>
        </w:rPr>
        <w:br/>
      </w:r>
      <w:r>
        <w:rPr>
          <w:rStyle w:val="Hervorhebung"/>
        </w:rPr>
        <w:t>\rightarrow</w:t>
      </w:r>
      <w:r>
        <w:rPr>
          <w:i/>
          <w:iCs/>
        </w:rPr>
        <w:br/>
      </w:r>
      <w:r>
        <w:rPr>
          <w:rStyle w:val="Hervorhebung"/>
        </w:rPr>
        <w:t>R</w:t>
      </w:r>
      <w:r>
        <w:t>{\mathcal{O}}</w:t>
      </w:r>
      <w:r>
        <w:br/>
        <w:t>\rightarrow</w:t>
      </w:r>
      <w:r>
        <w:br/>
        <w:t>\operatorname{Klasse}_{\mathcal{O}}.</w:t>
      </w:r>
      <w:r>
        <w:br/>
        <w:t>\tag{3.6747}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 xml:space="preserve">\mathcal{K}_{F}\rightarrow\mathfrak{O}\rightarrow\mathfrak{A}_{\mathcal{O}}\rightarrow\mathbf{S}_{\mathcal{O}}\rightarrow </w:t>
      </w:r>
      <w:r>
        <w:rPr>
          <w:rStyle w:val="HTMLCode"/>
        </w:rPr>
        <w:lastRenderedPageBreak/>
        <w:t>R_{\mathcal{O}}\rightarrow\operatorname{Klasse}_{\mathcal{O}}\qquad\text{(3.6747)}</w:t>
      </w:r>
    </w:p>
    <w:p w:rsidR="00AE0E77" w:rsidRDefault="00AE0E77" w:rsidP="00AE0E77">
      <w:pPr>
        <w:pStyle w:val="StandardWeb"/>
      </w:pPr>
      <w:r>
        <w:t>Diese Reihenfolge verhindert, dass zuerst ein gewünschtes Ergebnis erzeugt und erst anschließend eine passende Operationalisierung als Begründung ausgewählt wird [58, 79].</w:t>
      </w:r>
    </w:p>
    <w:p w:rsidR="00AE0E77" w:rsidRDefault="00E50336" w:rsidP="00AE0E77">
      <w:r>
        <w:pict>
          <v:rect id="_x0000_i1254" style="width:0;height:1.5pt" o:hralign="center" o:hrstd="t" o:hr="t" fillcolor="#a0a0a0" stroked="f"/>
        </w:pict>
      </w:r>
    </w:p>
    <w:p w:rsidR="00AE0E77" w:rsidRDefault="00AE0E77" w:rsidP="00AE0E77">
      <w:pPr>
        <w:pStyle w:val="berschrift2"/>
      </w:pPr>
      <w:r>
        <w:t>3.3.39.114 Entscheidungsregel für Operationalisierungsrobustheit</w:t>
      </w:r>
    </w:p>
    <w:p w:rsidR="00AE0E77" w:rsidRDefault="00AE0E77" w:rsidP="00AE0E77">
      <w:pPr>
        <w:pStyle w:val="StandardWeb"/>
      </w:pPr>
      <w:r>
        <w:t>Für eine konkrete Anwendung kann eine Entscheidungsregel verwendet werden:</w:t>
      </w:r>
    </w:p>
    <w:p w:rsidR="00AE0E77" w:rsidRDefault="00AE0E77" w:rsidP="00AE0E77">
      <w:pPr>
        <w:pStyle w:val="berschrift1"/>
      </w:pPr>
      <w:r>
        <w:t>[</w:t>
      </w:r>
      <w:r>
        <w:br/>
        <w:t>\operatorname{ORob}_{F}</w:t>
      </w:r>
    </w:p>
    <w:p w:rsidR="00AE0E77" w:rsidRDefault="00AE0E77" w:rsidP="00AE0E77">
      <w:pPr>
        <w:pStyle w:val="berschrift1"/>
      </w:pPr>
      <w:r>
        <w:t>1</w:t>
      </w:r>
      <w:r>
        <w:br/>
        <w:t>\iff</w:t>
      </w:r>
      <w:r>
        <w:br/>
        <w:t>R_{\mathcal{O}}</w:t>
      </w:r>
      <w:r>
        <w:br/>
        <w:t>\geq</w:t>
      </w:r>
      <w:r>
        <w:br/>
        <w:t>\tau_{\mathcal{O}}</w:t>
      </w:r>
      <w:r>
        <w:br/>
        <w:t>\land</w:t>
      </w:r>
      <w:r>
        <w:br/>
        <w:t>u_{\mathcal{O}}</w:t>
      </w:r>
      <w:r>
        <w:br/>
        <w:t>\leq</w:t>
      </w:r>
      <w:r>
        <w:br/>
        <w:t>u_{\max}</w:t>
      </w:r>
      <w:r>
        <w:br/>
        <w:t>\land</w:t>
      </w:r>
      <w:r>
        <w:br/>
        <w:t>C_{\mathrm{SemEq}}</w:t>
      </w:r>
    </w:p>
    <w:p w:rsidR="00AE0E77" w:rsidRDefault="00AE0E77" w:rsidP="008C5E65">
      <w:pPr>
        <w:numPr>
          <w:ilvl w:val="0"/>
          <w:numId w:val="314"/>
        </w:numPr>
        <w:spacing w:before="100" w:beforeAutospacing="1" w:after="100" w:afterAutospacing="1"/>
      </w:pPr>
    </w:p>
    <w:p w:rsidR="00AE0E77" w:rsidRDefault="00AE0E77" w:rsidP="00AE0E77">
      <w:pPr>
        <w:pStyle w:val="StandardWeb"/>
      </w:pPr>
      <w:r>
        <w:t>\tag{3.6748}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\operatorname{ORob}_{F}=1\iff R_{\mathcal{O}}\geq\tau_{\mathcal{O}}\land u_{\mathcal{O}}\leq u_{\max}\land C_{\mathrm{SemEq}}=1\qquad\text{(3.6748)}</w:t>
      </w:r>
    </w:p>
    <w:p w:rsidR="00AE0E77" w:rsidRDefault="00AE0E77" w:rsidP="00AE0E77">
      <w:pPr>
        <w:pStyle w:val="StandardWeb"/>
      </w:pPr>
      <w:r>
        <w:t>Dabei bezeichnet (\tau_{\mathcal{O}}) einen vorab festgelegten Mindestrobustheitsgrad, (u_{\max}) eine maximal akzeptable Operationalisierungsunsicherheit und (C_{\mathrm{SemEq}}) die semantische Vergleichbarkeit der verwendeten Operationalisierungen.</w:t>
      </w:r>
    </w:p>
    <w:p w:rsidR="00AE0E77" w:rsidRDefault="00AE0E77" w:rsidP="00AE0E77">
      <w:pPr>
        <w:pStyle w:val="StandardWeb"/>
      </w:pPr>
      <w:r>
        <w:lastRenderedPageBreak/>
        <w:t>Diese konkrete Form ist keine neue universelle FRZK-Axiomatik. Sie ist ein möglicher methodischer Entscheidungsrahmen.</w:t>
      </w:r>
    </w:p>
    <w:p w:rsidR="00AE0E77" w:rsidRDefault="00E50336" w:rsidP="00AE0E77">
      <w:r>
        <w:pict>
          <v:rect id="_x0000_i1255" style="width:0;height:1.5pt" o:hralign="center" o:hrstd="t" o:hr="t" fillcolor="#a0a0a0" stroked="f"/>
        </w:pict>
      </w:r>
    </w:p>
    <w:p w:rsidR="00AE0E77" w:rsidRDefault="00AE0E77" w:rsidP="00AE0E77">
      <w:pPr>
        <w:pStyle w:val="berschrift2"/>
      </w:pPr>
      <w:r>
        <w:t>3.3.39.115 Erweiterte Robustheitsklassifikation</w:t>
      </w:r>
    </w:p>
    <w:p w:rsidR="00AE0E77" w:rsidRDefault="00AE0E77" w:rsidP="00AE0E77">
      <w:pPr>
        <w:pStyle w:val="StandardWeb"/>
      </w:pPr>
      <w:r>
        <w:t>Die bisherige Vierklassenstruktur kann durch Validität ergänzt werden.</w:t>
      </w:r>
    </w:p>
    <w:p w:rsidR="00AE0E77" w:rsidRDefault="00AE0E77" w:rsidP="00AE0E77">
      <w:pPr>
        <w:pStyle w:val="StandardWeb"/>
      </w:pPr>
      <w:r>
        <w:t>Ich definiere</w:t>
      </w:r>
    </w:p>
    <w:p w:rsidR="00AE0E77" w:rsidRDefault="00AE0E77" w:rsidP="00AE0E77">
      <w:pPr>
        <w:pStyle w:val="berschrift1"/>
      </w:pPr>
      <w:r>
        <w:t>[</w:t>
      </w:r>
      <w:r>
        <w:br/>
        <w:t>\mathfrak{L}_{\mathcal{O}}^{+}</w:t>
      </w:r>
    </w:p>
    <w:p w:rsidR="00AE0E77" w:rsidRDefault="00AE0E77" w:rsidP="00AE0E77">
      <w:pPr>
        <w:pStyle w:val="StandardWeb"/>
      </w:pPr>
      <w:r>
        <w:t>\left{</w:t>
      </w:r>
      <w:r>
        <w:br/>
        <w:t>\mathbf{instabil},</w:t>
      </w:r>
      <w:r>
        <w:br/>
        <w:t>\mathbf{lokal\ robust},</w:t>
      </w:r>
      <w:r>
        <w:br/>
        <w:t>\mathbf{global\ robust},</w:t>
      </w:r>
      <w:r>
        <w:br/>
        <w:t>\mathbf{konvergent\ gestützt},</w:t>
      </w:r>
      <w:r>
        <w:br/>
        <w:t>\mathbf{konvergent\ und\ validitätsgestützt}</w:t>
      </w:r>
      <w:r>
        <w:br/>
        <w:t>\right}.</w:t>
      </w:r>
      <w:r>
        <w:br/>
        <w:t>\tag{3.6749}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\mathfrak{L}_{\mathcal{O}}^{+}=\left\{\mathbf{instabil},\mathbf{lokal\ robust},\mathbf{global\ robust},\mathbf{konvergent\ gestützt},\mathbf{konvergent\ und\ validitätsgestützt}\right\}\qquad\text{(3.6749)}</w:t>
      </w:r>
    </w:p>
    <w:p w:rsidR="00AE0E77" w:rsidRDefault="00AE0E77" w:rsidP="00AE0E77">
      <w:pPr>
        <w:pStyle w:val="StandardWeb"/>
      </w:pPr>
      <w:r>
        <w:t>Die höchste Klasse verlangt nicht nur Konvergenz mehrerer Operationalisierungen, sondern zusätzlich eine begründete konstruktive beziehungsweise funktionale Validität.</w:t>
      </w:r>
    </w:p>
    <w:p w:rsidR="00AE0E77" w:rsidRDefault="00AE0E77" w:rsidP="00AE0E77">
      <w:pPr>
        <w:pStyle w:val="StandardWeb"/>
      </w:pPr>
      <w:r>
        <w:t>Die Klassifikationsabbildung lautet</w:t>
      </w:r>
    </w:p>
    <w:p w:rsidR="00AE0E77" w:rsidRDefault="00AE0E77" w:rsidP="00AE0E77">
      <w:pPr>
        <w:pStyle w:val="StandardWeb"/>
      </w:pPr>
      <w:r>
        <w:t>[</w:t>
      </w:r>
      <w:r>
        <w:br/>
        <w:t>\operatorname{Klasse}</w:t>
      </w:r>
      <w:r>
        <w:rPr>
          <w:rStyle w:val="Hervorhebung"/>
        </w:rPr>
        <w:t>{\mathcal{O}}^{+}</w:t>
      </w:r>
      <w:r>
        <w:rPr>
          <w:i/>
          <w:iCs/>
        </w:rPr>
        <w:br/>
      </w:r>
      <w:r>
        <w:rPr>
          <w:rStyle w:val="Hervorhebung"/>
        </w:rPr>
        <w:t>:</w:t>
      </w:r>
      <w:r>
        <w:rPr>
          <w:i/>
          <w:iCs/>
        </w:rPr>
        <w:br/>
      </w:r>
      <w:r>
        <w:rPr>
          <w:rStyle w:val="Hervorhebung"/>
        </w:rPr>
        <w:t>\mathfrak{O}</w:t>
      </w:r>
      <w:r>
        <w:t>{F}^{\mathrm{rob}}</w:t>
      </w:r>
      <w:r>
        <w:br/>
        <w:t>\rightarrow</w:t>
      </w:r>
      <w:r>
        <w:br/>
        <w:t>\mathfrak{L}_{\mathcal{O}}^{+}.</w:t>
      </w:r>
      <w:r>
        <w:br/>
        <w:t>\tag{3.6750}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\operatorname{Klasse}_{\mathcal{O}}^{+}:\mathfrak{O}_{F}^{\mathrm{rob}}\rightarrow\mathfrak{L}_{\mathcal{O}}^{+}\qquad\text{(3.6750)}</w:t>
      </w:r>
    </w:p>
    <w:p w:rsidR="00AE0E77" w:rsidRDefault="00E50336" w:rsidP="00AE0E77">
      <w:r>
        <w:pict>
          <v:rect id="_x0000_i1256" style="width:0;height:1.5pt" o:hralign="center" o:hrstd="t" o:hr="t" fillcolor="#a0a0a0" stroked="f"/>
        </w:pict>
      </w:r>
    </w:p>
    <w:p w:rsidR="00AE0E77" w:rsidRDefault="00AE0E77" w:rsidP="00AE0E77">
      <w:pPr>
        <w:pStyle w:val="berschrift2"/>
      </w:pPr>
      <w:r>
        <w:lastRenderedPageBreak/>
        <w:t>3.3.39.116 Operationalisierungsrobustheit als Voraussetzung starker empirischer Aussagen</w:t>
      </w:r>
    </w:p>
    <w:p w:rsidR="00AE0E77" w:rsidRDefault="00AE0E77" w:rsidP="00AE0E77">
      <w:pPr>
        <w:pStyle w:val="StandardWeb"/>
      </w:pPr>
      <w:r>
        <w:t>Für besonders starke empirische FRZK-Aussagen fordere ich künftig eine explizite Operationalisierungsprüfung.</w:t>
      </w:r>
    </w:p>
    <w:p w:rsidR="00AE0E77" w:rsidRDefault="00AE0E77" w:rsidP="00AE0E77">
      <w:pPr>
        <w:pStyle w:val="StandardWeb"/>
      </w:pPr>
      <w:r>
        <w:t>Eine starke empirische Aussage sei</w:t>
      </w:r>
    </w:p>
    <w:p w:rsidR="00AE0E77" w:rsidRDefault="00AE0E77" w:rsidP="00AE0E77">
      <w:pPr>
        <w:pStyle w:val="StandardWeb"/>
      </w:pPr>
      <w:r>
        <w:t>[</w:t>
      </w:r>
      <w:r>
        <w:br/>
        <w:t>A_F^{\mathrm{strong}}.</w:t>
      </w:r>
      <w:r>
        <w:br/>
        <w:t>\tag{3.6751}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A_F^{\mathrm{strong}}\qquad\text{(3.6751)}</w:t>
      </w:r>
    </w:p>
    <w:p w:rsidR="00AE0E77" w:rsidRDefault="00AE0E77" w:rsidP="00AE0E77">
      <w:pPr>
        <w:pStyle w:val="StandardWeb"/>
      </w:pPr>
      <w:r>
        <w:t>Eine mögliche methodische Mindestbedingung lautet</w:t>
      </w:r>
    </w:p>
    <w:p w:rsidR="00AE0E77" w:rsidRDefault="00AE0E77" w:rsidP="00AE0E77">
      <w:pPr>
        <w:pStyle w:val="berschrift1"/>
      </w:pPr>
      <w:r>
        <w:t>[</w:t>
      </w:r>
      <w:r>
        <w:br/>
        <w:t>A_F^{\mathrm{strong}}</w:t>
      </w:r>
      <w:r>
        <w:br/>
        <w:t>\Rightarrow</w:t>
      </w:r>
      <w:r>
        <w:br/>
        <w:t>\operatorname{ORob}_{F}</w:t>
      </w:r>
    </w:p>
    <w:p w:rsidR="00AE0E77" w:rsidRDefault="00AE0E77" w:rsidP="008C5E65">
      <w:pPr>
        <w:numPr>
          <w:ilvl w:val="0"/>
          <w:numId w:val="315"/>
        </w:numPr>
        <w:spacing w:before="100" w:beforeAutospacing="1" w:after="100" w:afterAutospacing="1"/>
      </w:pPr>
    </w:p>
    <w:p w:rsidR="00AE0E77" w:rsidRDefault="00AE0E77" w:rsidP="00AE0E77">
      <w:pPr>
        <w:pStyle w:val="StandardWeb"/>
      </w:pPr>
      <w:r>
        <w:t>\tag{3.6752}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A_F^{\mathrm{strong}}\Rightarrow\operatorname{ORob}_{F}=1\qquad\text{(3.6752)}</w:t>
      </w:r>
    </w:p>
    <w:p w:rsidR="00AE0E77" w:rsidRDefault="00AE0E77" w:rsidP="00AE0E77">
      <w:pPr>
        <w:pStyle w:val="StandardWeb"/>
      </w:pPr>
      <w:r>
        <w:t>Das bedeutet nicht, dass jede explorative Beobachtung mehrere Operationalisierungen benötigt. Es bedeutet vielmehr, dass der Aussageanspruch an die Stärke der Robustheitsprüfung gekoppelt wird.</w:t>
      </w:r>
    </w:p>
    <w:p w:rsidR="00AE0E77" w:rsidRDefault="00AE0E77" w:rsidP="00AE0E77">
      <w:pPr>
        <w:pStyle w:val="StandardWeb"/>
      </w:pPr>
      <w:r>
        <w:t>Je stärker die wissenschaftliche Behauptung, desto höher müssen die Anforderungen an ihre Unabhängigkeit von einzelnen Messentscheidungen sein [58, 59, 79].</w:t>
      </w:r>
    </w:p>
    <w:p w:rsidR="00AE0E77" w:rsidRDefault="00E50336" w:rsidP="00AE0E77">
      <w:r>
        <w:pict>
          <v:rect id="_x0000_i1257" style="width:0;height:1.5pt" o:hralign="center" o:hrstd="t" o:hr="t" fillcolor="#a0a0a0" stroked="f"/>
        </w:pict>
      </w:r>
    </w:p>
    <w:p w:rsidR="00AE0E77" w:rsidRDefault="00AE0E77" w:rsidP="00AE0E77">
      <w:pPr>
        <w:pStyle w:val="berschrift2"/>
      </w:pPr>
      <w:r>
        <w:t>3.3.39.117 Satz zur Unabhängigkeit von Reproduzierbarkeit und Operationalisierungsrobustheit</w:t>
      </w:r>
    </w:p>
    <w:p w:rsidR="00AE0E77" w:rsidRDefault="00AE0E77" w:rsidP="00AE0E77">
      <w:pPr>
        <w:pStyle w:val="StandardWeb"/>
      </w:pPr>
      <w:r>
        <w:rPr>
          <w:rStyle w:val="Fett"/>
        </w:rPr>
        <w:lastRenderedPageBreak/>
        <w:t>Satz 3.3.22 – Reproduzierbarkeit unter einer festen Operationalisierung impliziert keine Operationalisierungsrobustheit</w:t>
      </w:r>
    </w:p>
    <w:p w:rsidR="00AE0E77" w:rsidRDefault="00AE0E77" w:rsidP="00AE0E77">
      <w:pPr>
        <w:pStyle w:val="StandardWeb"/>
      </w:pPr>
      <w:r>
        <w:t>Sei eine Aussage unter einer festen Operationalisierung (\mathcal{O}_1) vollständig reproduzierbar:</w:t>
      </w:r>
    </w:p>
    <w:p w:rsidR="00AE0E77" w:rsidRDefault="00AE0E77" w:rsidP="00AE0E77">
      <w:pPr>
        <w:pStyle w:val="berschrift1"/>
      </w:pPr>
      <w:r>
        <w:t>[</w:t>
      </w:r>
      <w:r>
        <w:br/>
        <w:t>A_F^{(1)}</w:t>
      </w:r>
    </w:p>
    <w:p w:rsidR="00AE0E77" w:rsidRDefault="00AE0E77" w:rsidP="00AE0E77">
      <w:pPr>
        <w:pStyle w:val="StandardWeb"/>
      </w:pPr>
      <w:r>
        <w:t>A_F^{(1)\prime}.</w:t>
      </w:r>
      <w:r>
        <w:br/>
        <w:t>\tag{3.6753}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A_F^{(1)}=A_F^{(1)\prime}\qquad\text{(3.6753)}</w:t>
      </w:r>
    </w:p>
    <w:p w:rsidR="00AE0E77" w:rsidRDefault="00AE0E77" w:rsidP="00AE0E77">
      <w:pPr>
        <w:pStyle w:val="StandardWeb"/>
      </w:pPr>
      <w:r>
        <w:t>Dann folgt daraus nicht notwendig</w:t>
      </w:r>
    </w:p>
    <w:p w:rsidR="00AE0E77" w:rsidRDefault="00AE0E77" w:rsidP="00AE0E77">
      <w:pPr>
        <w:pStyle w:val="StandardWeb"/>
      </w:pPr>
      <w:r>
        <w:t>[</w:t>
      </w:r>
      <w:r>
        <w:br/>
        <w:t>A_F^{(1)}</w:t>
      </w:r>
      <w:r>
        <w:br/>
        <w:t>\sim_A</w:t>
      </w:r>
      <w:r>
        <w:br/>
        <w:t>A_F^{(2)}</w:t>
      </w:r>
      <w:r>
        <w:br/>
        <w:t>\tag{3.6754}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A_F^{(1)}\sim_A A_F^{(2)}\qquad\text{(3.6754)}</w:t>
      </w:r>
    </w:p>
    <w:p w:rsidR="00AE0E77" w:rsidRDefault="00AE0E77" w:rsidP="00AE0E77">
      <w:pPr>
        <w:pStyle w:val="StandardWeb"/>
      </w:pPr>
      <w:r>
        <w:t>für eine andere zulässige Operationalisierung (\mathcal{O}_2).</w:t>
      </w:r>
    </w:p>
    <w:p w:rsidR="00AE0E77" w:rsidRDefault="00AE0E77" w:rsidP="00AE0E77">
      <w:pPr>
        <w:pStyle w:val="StandardWeb"/>
      </w:pPr>
      <w:r>
        <w:t>Formal gilt</w:t>
      </w:r>
    </w:p>
    <w:p w:rsidR="00AE0E77" w:rsidRDefault="00AE0E77" w:rsidP="00AE0E77">
      <w:pPr>
        <w:pStyle w:val="berschrift1"/>
      </w:pPr>
      <w:r>
        <w:t>[</w:t>
      </w:r>
      <w:r>
        <w:br/>
        <w:t>A_F^{(1)}</w:t>
      </w:r>
    </w:p>
    <w:p w:rsidR="00AE0E77" w:rsidRDefault="00AE0E77" w:rsidP="00AE0E77">
      <w:pPr>
        <w:pStyle w:val="StandardWeb"/>
      </w:pPr>
      <w:r>
        <w:t>A_F^{(1)\prime}</w:t>
      </w:r>
      <w:r>
        <w:br/>
        <w:t>\nRightarrow</w:t>
      </w:r>
      <w:r>
        <w:br/>
        <w:t>A_F^{(1)}</w:t>
      </w:r>
      <w:r>
        <w:br/>
        <w:t>\sim_A</w:t>
      </w:r>
      <w:r>
        <w:br/>
        <w:t>A_F^{(2)}.</w:t>
      </w:r>
      <w:r>
        <w:br/>
        <w:t>\tag{3.6755}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A_F^{(1)}=A_F^{(1)\prime}\nRightarrow A_F^{(1)}\sim_A A_F^{(2)}\qquad\text{(3.6755)}</w:t>
      </w:r>
    </w:p>
    <w:p w:rsidR="00AE0E77" w:rsidRDefault="00AE0E77" w:rsidP="00AE0E77">
      <w:pPr>
        <w:pStyle w:val="berschrift3"/>
      </w:pPr>
      <w:r>
        <w:lastRenderedPageBreak/>
        <w:t>Beweis</w:t>
      </w:r>
    </w:p>
    <w:p w:rsidR="00AE0E77" w:rsidRDefault="00AE0E77" w:rsidP="00AE0E77">
      <w:pPr>
        <w:pStyle w:val="StandardWeb"/>
      </w:pPr>
      <w:r>
        <w:t>Zum Nachweis genügt ein Gegenbeispiel.</w:t>
      </w:r>
    </w:p>
    <w:p w:rsidR="00AE0E77" w:rsidRDefault="00AE0E77" w:rsidP="00AE0E77">
      <w:pPr>
        <w:pStyle w:val="StandardWeb"/>
      </w:pPr>
      <w:r>
        <w:t>Sei unter (\mathcal{O}_1)</w:t>
      </w:r>
    </w:p>
    <w:p w:rsidR="00AE0E77" w:rsidRDefault="00AE0E77" w:rsidP="00AE0E77">
      <w:pPr>
        <w:pStyle w:val="berschrift1"/>
      </w:pPr>
      <w:r>
        <w:t>[</w:t>
      </w:r>
      <w:r>
        <w:br/>
        <w:t>A_F^{(1)}</w:t>
      </w:r>
    </w:p>
    <w:p w:rsidR="00AE0E77" w:rsidRDefault="00AE0E77" w:rsidP="008C5E65">
      <w:pPr>
        <w:numPr>
          <w:ilvl w:val="0"/>
          <w:numId w:val="316"/>
        </w:numPr>
        <w:spacing w:before="100" w:beforeAutospacing="1" w:after="100" w:afterAutospacing="1"/>
      </w:pPr>
    </w:p>
    <w:p w:rsidR="00AE0E77" w:rsidRDefault="00AE0E77" w:rsidP="00AE0E77">
      <w:pPr>
        <w:pStyle w:val="StandardWeb"/>
      </w:pPr>
      <w:r>
        <w:t>\tag{3.6756}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A_F^{(1)}=1\qquad\text{(3.6756)}</w:t>
      </w:r>
    </w:p>
    <w:p w:rsidR="00AE0E77" w:rsidRDefault="00AE0E77" w:rsidP="00AE0E77">
      <w:pPr>
        <w:pStyle w:val="StandardWeb"/>
      </w:pPr>
      <w:r>
        <w:t>Die Analyse sei deterministisch reproduzierbar, sodass bei Wiederholung</w:t>
      </w:r>
    </w:p>
    <w:p w:rsidR="00AE0E77" w:rsidRDefault="00AE0E77" w:rsidP="00AE0E77">
      <w:pPr>
        <w:pStyle w:val="berschrift1"/>
      </w:pPr>
      <w:r>
        <w:t>[</w:t>
      </w:r>
      <w:r>
        <w:br/>
        <w:t>A_F^{(1)\prime}</w:t>
      </w:r>
    </w:p>
    <w:p w:rsidR="00AE0E77" w:rsidRDefault="00AE0E77" w:rsidP="008C5E65">
      <w:pPr>
        <w:numPr>
          <w:ilvl w:val="0"/>
          <w:numId w:val="317"/>
        </w:numPr>
        <w:spacing w:before="100" w:beforeAutospacing="1" w:after="100" w:afterAutospacing="1"/>
      </w:pPr>
    </w:p>
    <w:p w:rsidR="00AE0E77" w:rsidRDefault="00AE0E77" w:rsidP="00AE0E77">
      <w:pPr>
        <w:pStyle w:val="StandardWeb"/>
      </w:pPr>
      <w:r>
        <w:t>\tag{3.6757}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A_F^{(1)\prime}=1\qquad\text{(3.6757)}</w:t>
      </w:r>
    </w:p>
    <w:p w:rsidR="00AE0E77" w:rsidRDefault="00AE0E77" w:rsidP="00AE0E77">
      <w:pPr>
        <w:pStyle w:val="StandardWeb"/>
      </w:pPr>
      <w:r>
        <w:t>gilt.</w:t>
      </w:r>
    </w:p>
    <w:p w:rsidR="00AE0E77" w:rsidRDefault="00AE0E77" w:rsidP="00AE0E77">
      <w:pPr>
        <w:pStyle w:val="StandardWeb"/>
      </w:pPr>
      <w:r>
        <w:t>Unter einer zweiten zulässigen Operationalisierung (\mathcal{O}_2) gelte jedoch</w:t>
      </w:r>
    </w:p>
    <w:p w:rsidR="00AE0E77" w:rsidRDefault="00AE0E77" w:rsidP="00AE0E77">
      <w:pPr>
        <w:pStyle w:val="berschrift1"/>
      </w:pPr>
      <w:r>
        <w:t>[</w:t>
      </w:r>
      <w:r>
        <w:br/>
        <w:t>A_F^{(2)}</w:t>
      </w:r>
    </w:p>
    <w:p w:rsidR="00AE0E77" w:rsidRDefault="00AE0E77" w:rsidP="008C5E65">
      <w:pPr>
        <w:numPr>
          <w:ilvl w:val="0"/>
          <w:numId w:val="318"/>
        </w:numPr>
        <w:spacing w:before="100" w:beforeAutospacing="1" w:after="100" w:afterAutospacing="1"/>
      </w:pPr>
    </w:p>
    <w:p w:rsidR="00AE0E77" w:rsidRDefault="00AE0E77" w:rsidP="00AE0E77">
      <w:pPr>
        <w:pStyle w:val="StandardWeb"/>
      </w:pPr>
      <w:r>
        <w:t>\tag{3.6758}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lastRenderedPageBreak/>
        <w:t>A_F^{(2)}=0\qquad\text{(3.6758)}</w:t>
      </w:r>
    </w:p>
    <w:p w:rsidR="00AE0E77" w:rsidRDefault="00AE0E77" w:rsidP="00AE0E77">
      <w:pPr>
        <w:pStyle w:val="StandardWeb"/>
      </w:pPr>
      <w:r>
        <w:t>Damit ist zwar</w:t>
      </w:r>
    </w:p>
    <w:p w:rsidR="00AE0E77" w:rsidRDefault="00AE0E77" w:rsidP="00AE0E77">
      <w:pPr>
        <w:pStyle w:val="berschrift1"/>
      </w:pPr>
      <w:r>
        <w:t>[</w:t>
      </w:r>
      <w:r>
        <w:br/>
        <w:t>A_F^{(1)}</w:t>
      </w:r>
    </w:p>
    <w:p w:rsidR="00AE0E77" w:rsidRDefault="00AE0E77" w:rsidP="00AE0E77">
      <w:pPr>
        <w:pStyle w:val="StandardWeb"/>
      </w:pPr>
      <w:r>
        <w:t>A_F^{(1)\prime},</w:t>
      </w:r>
      <w:r>
        <w:br/>
        <w:t>\tag{3.6759}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A_F^{(1)}=A_F^{(1)\prime}\qquad\text{(3.6759)}</w:t>
      </w:r>
    </w:p>
    <w:p w:rsidR="00AE0E77" w:rsidRDefault="00AE0E77" w:rsidP="00AE0E77">
      <w:pPr>
        <w:pStyle w:val="StandardWeb"/>
      </w:pPr>
      <w:r>
        <w:t>aber</w:t>
      </w:r>
    </w:p>
    <w:p w:rsidR="00AE0E77" w:rsidRDefault="00AE0E77" w:rsidP="00AE0E77">
      <w:pPr>
        <w:pStyle w:val="StandardWeb"/>
      </w:pPr>
      <w:r>
        <w:t>[</w:t>
      </w:r>
      <w:r>
        <w:br/>
        <w:t>A_F^{(1)}</w:t>
      </w:r>
      <w:r>
        <w:br/>
        <w:t>\not\sim_A</w:t>
      </w:r>
      <w:r>
        <w:br/>
        <w:t>A_F^{(2)}.</w:t>
      </w:r>
      <w:r>
        <w:br/>
        <w:t>\tag{3.6760}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A_F^{(1)}\not\sim_A A_F^{(2)}\qquad\text{(3.6760)}</w:t>
      </w:r>
    </w:p>
    <w:p w:rsidR="00AE0E77" w:rsidRDefault="00AE0E77" w:rsidP="00AE0E77">
      <w:pPr>
        <w:pStyle w:val="StandardWeb"/>
      </w:pPr>
      <w:r>
        <w:t>Damit ist gezeigt, dass Reproduzierbarkeit unter einer festen Operationalisierung Operationalisierungsrobustheit nicht impliziert. (\square)</w:t>
      </w:r>
    </w:p>
    <w:p w:rsidR="00AE0E77" w:rsidRDefault="00E50336" w:rsidP="00AE0E77">
      <w:r>
        <w:pict>
          <v:rect id="_x0000_i1258" style="width:0;height:1.5pt" o:hralign="center" o:hrstd="t" o:hr="t" fillcolor="#a0a0a0" stroked="f"/>
        </w:pict>
      </w:r>
    </w:p>
    <w:p w:rsidR="00AE0E77" w:rsidRDefault="00AE0E77" w:rsidP="00AE0E77">
      <w:pPr>
        <w:pStyle w:val="berschrift2"/>
      </w:pPr>
      <w:r>
        <w:t>3.3.39.118 Reichweite von Satz 3.3.22</w:t>
      </w:r>
    </w:p>
    <w:p w:rsidR="00AE0E77" w:rsidRDefault="00AE0E77" w:rsidP="00AE0E77">
      <w:pPr>
        <w:pStyle w:val="StandardWeb"/>
      </w:pPr>
      <w:r>
        <w:t>Satz 3.3.22 besagt nicht, dass Reproduzierbarkeit wissenschaftlich unwichtig wäre. Er zeigt ausschließlich, dass Reproduzierbarkeit und Operationalisierungsrobustheit unterschiedliche Fragen beantworten [58, 59].</w:t>
      </w:r>
    </w:p>
    <w:p w:rsidR="00AE0E77" w:rsidRDefault="00AE0E77" w:rsidP="00AE0E77">
      <w:pPr>
        <w:pStyle w:val="StandardWeb"/>
      </w:pPr>
      <w:r>
        <w:t>Reproduzierbarkeit fragt:</w:t>
      </w:r>
    </w:p>
    <w:p w:rsidR="00AE0E77" w:rsidRDefault="00AE0E77" w:rsidP="00AE0E77">
      <w:pPr>
        <w:pStyle w:val="StandardWeb"/>
      </w:pPr>
      <w:r>
        <w:rPr>
          <w:rStyle w:val="Fett"/>
        </w:rPr>
        <w:t>Erhalte ich unter denselben Regeln erneut dasselbe Ergebnis?</w:t>
      </w:r>
    </w:p>
    <w:p w:rsidR="00AE0E77" w:rsidRDefault="00AE0E77" w:rsidP="00AE0E77">
      <w:pPr>
        <w:pStyle w:val="StandardWeb"/>
      </w:pPr>
      <w:r>
        <w:t>Operationalisierungsrobustheit fragt:</w:t>
      </w:r>
    </w:p>
    <w:p w:rsidR="00AE0E77" w:rsidRDefault="00AE0E77" w:rsidP="00AE0E77">
      <w:pPr>
        <w:pStyle w:val="StandardWeb"/>
      </w:pPr>
      <w:r>
        <w:rPr>
          <w:rStyle w:val="Fett"/>
        </w:rPr>
        <w:t>Bleibt die relevante wissenschaftliche Aussage erhalten, wenn ich dieselbe theoretische Idee auf eine andere zulässige Weise empirisch repräsentiere?</w:t>
      </w:r>
    </w:p>
    <w:p w:rsidR="00AE0E77" w:rsidRDefault="00AE0E77" w:rsidP="00AE0E77">
      <w:pPr>
        <w:pStyle w:val="StandardWeb"/>
      </w:pPr>
      <w:r>
        <w:t>Eine starke empirische Prüfung benötigt deshalb beide Ebenen.</w:t>
      </w:r>
    </w:p>
    <w:p w:rsidR="00AE0E77" w:rsidRDefault="00AE0E77" w:rsidP="00AE0E77">
      <w:pPr>
        <w:pStyle w:val="StandardWeb"/>
      </w:pPr>
      <w:r>
        <w:lastRenderedPageBreak/>
        <w:t>Formal kann gelten</w:t>
      </w:r>
    </w:p>
    <w:p w:rsidR="00AE0E77" w:rsidRDefault="00AE0E77" w:rsidP="00AE0E77">
      <w:pPr>
        <w:pStyle w:val="berschrift1"/>
      </w:pPr>
      <w:r>
        <w:t>[</w:t>
      </w:r>
      <w:r>
        <w:br/>
        <w:t>C_{\mathrm{rep}}</w:t>
      </w:r>
    </w:p>
    <w:p w:rsidR="00AE0E77" w:rsidRDefault="00AE0E77" w:rsidP="00AE0E77">
      <w:pPr>
        <w:pStyle w:val="StandardWeb"/>
      </w:pPr>
      <w:r>
        <w:t>1</w:t>
      </w:r>
      <w:r>
        <w:br/>
        <w:t>\tag{3.6761}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C_{\mathrm{rep}}=1\qquad\text{(3.6761)}</w:t>
      </w:r>
    </w:p>
    <w:p w:rsidR="00AE0E77" w:rsidRDefault="00AE0E77" w:rsidP="00AE0E77">
      <w:pPr>
        <w:pStyle w:val="StandardWeb"/>
      </w:pPr>
      <w:r>
        <w:t>und gleichzeitig</w:t>
      </w:r>
    </w:p>
    <w:p w:rsidR="00AE0E77" w:rsidRDefault="00AE0E77" w:rsidP="00AE0E77">
      <w:pPr>
        <w:pStyle w:val="berschrift1"/>
      </w:pPr>
      <w:r>
        <w:t>[</w:t>
      </w:r>
      <w:r>
        <w:br/>
        <w:t>C_{\mathrm{ORob}}</w:t>
      </w:r>
    </w:p>
    <w:p w:rsidR="00AE0E77" w:rsidRDefault="00AE0E77" w:rsidP="008C5E65">
      <w:pPr>
        <w:numPr>
          <w:ilvl w:val="0"/>
          <w:numId w:val="319"/>
        </w:numPr>
        <w:spacing w:before="100" w:beforeAutospacing="1" w:after="100" w:afterAutospacing="1"/>
      </w:pPr>
    </w:p>
    <w:p w:rsidR="00AE0E77" w:rsidRDefault="00AE0E77" w:rsidP="00AE0E77">
      <w:pPr>
        <w:pStyle w:val="StandardWeb"/>
      </w:pPr>
      <w:r>
        <w:t>\tag{3.6762}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C_{\mathrm{ORob}}=0\qquad\text{(3.6762)}</w:t>
      </w:r>
    </w:p>
    <w:p w:rsidR="00AE0E77" w:rsidRDefault="00AE0E77" w:rsidP="00AE0E77">
      <w:pPr>
        <w:pStyle w:val="StandardWeb"/>
      </w:pPr>
      <w:r>
        <w:t>Ebenso kann eine Aussage über mehrere Operationalisierungen ähnlich ausfallen, während einzelne Analysen technisch schlecht reproduzierbar sind.</w:t>
      </w:r>
    </w:p>
    <w:p w:rsidR="00AE0E77" w:rsidRDefault="00AE0E77" w:rsidP="00AE0E77">
      <w:pPr>
        <w:pStyle w:val="StandardWeb"/>
      </w:pPr>
      <w:r>
        <w:t>Beide Qualitätsmerkmale sind daher separat zu dokumentieren.</w:t>
      </w:r>
    </w:p>
    <w:p w:rsidR="00AE0E77" w:rsidRDefault="00E50336" w:rsidP="00AE0E77">
      <w:r>
        <w:pict>
          <v:rect id="_x0000_i1259" style="width:0;height:1.5pt" o:hralign="center" o:hrstd="t" o:hr="t" fillcolor="#a0a0a0" stroked="f"/>
        </w:pict>
      </w:r>
    </w:p>
    <w:p w:rsidR="00AE0E77" w:rsidRDefault="00AE0E77" w:rsidP="00AE0E77">
      <w:pPr>
        <w:pStyle w:val="berschrift2"/>
      </w:pPr>
      <w:r>
        <w:t>3.3.39.119 Korollar zur Mehrdimensionalität wissenschaftlicher Robustheit</w:t>
      </w:r>
    </w:p>
    <w:p w:rsidR="00AE0E77" w:rsidRDefault="00AE0E77" w:rsidP="00AE0E77">
      <w:pPr>
        <w:pStyle w:val="StandardWeb"/>
      </w:pPr>
      <w:r>
        <w:rPr>
          <w:rStyle w:val="Fett"/>
        </w:rPr>
        <w:t>Korollar 3.3.1 – Wissenschaftliche Robustheit kann nicht allgemein auf eine einzige Stabilitätsdimension reduziert werden</w:t>
      </w:r>
    </w:p>
    <w:p w:rsidR="00AE0E77" w:rsidRDefault="00AE0E77" w:rsidP="00AE0E77">
      <w:pPr>
        <w:pStyle w:val="StandardWeb"/>
      </w:pPr>
      <w:r>
        <w:t>Aus Satz 3.3.22 und den zuvor eingeführten Robustheitsachsen folgt, dass mindestens Operationalisierung, Modell, Daten beziehungsweise Stichprobe und Kontext voneinander getrennte Stabilitätsdimensionen bilden.</w:t>
      </w:r>
    </w:p>
    <w:p w:rsidR="00AE0E77" w:rsidRDefault="00AE0E77" w:rsidP="00AE0E77">
      <w:pPr>
        <w:pStyle w:val="StandardWeb"/>
      </w:pPr>
      <w:r>
        <w:t>Ich fasse sie erweitert zusammen als</w:t>
      </w:r>
    </w:p>
    <w:p w:rsidR="00AE0E77" w:rsidRDefault="00AE0E77" w:rsidP="00AE0E77">
      <w:pPr>
        <w:pStyle w:val="berschrift1"/>
      </w:pPr>
      <w:r>
        <w:lastRenderedPageBreak/>
        <w:t>[</w:t>
      </w:r>
      <w:r>
        <w:br/>
        <w:t>\mathbf{R}_{F}^{+}</w:t>
      </w:r>
    </w:p>
    <w:p w:rsidR="00AE0E77" w:rsidRDefault="00AE0E77" w:rsidP="00AE0E77">
      <w:pPr>
        <w:pStyle w:val="StandardWeb"/>
      </w:pPr>
      <w:r>
        <w:t>\left(</w:t>
      </w:r>
      <w:r>
        <w:br/>
        <w:t>R_{\mathcal{O}},</w:t>
      </w:r>
      <w:r>
        <w:br/>
        <w:t>R_{\mathcal{M}},</w:t>
      </w:r>
      <w:r>
        <w:br/>
        <w:t>R_{\mathcal{D}},</w:t>
      </w:r>
      <w:r>
        <w:br/>
        <w:t>R_{\mathcal{C}}</w:t>
      </w:r>
      <w:r>
        <w:br/>
        <w:t>\right).</w:t>
      </w:r>
      <w:r>
        <w:br/>
        <w:t>\tag{3.6763}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\mathbf{R}_{F}^{+}=\left(R_{\mathcal{O}},R_{\mathcal{M}},R_{\mathcal{D}},R_{\mathcal{C}}\right)\qquad\text{(3.6763)}</w:t>
      </w:r>
    </w:p>
    <w:p w:rsidR="00AE0E77" w:rsidRDefault="00AE0E77" w:rsidP="00AE0E77">
      <w:pPr>
        <w:pStyle w:val="StandardWeb"/>
      </w:pPr>
      <w:r>
        <w:t>Dabei bezeichnet (R_{\mathcal{C}}) die Kontext- beziehungsweise Transportrobustheit.</w:t>
      </w:r>
    </w:p>
    <w:p w:rsidR="00AE0E77" w:rsidRDefault="00AE0E77" w:rsidP="00AE0E77">
      <w:pPr>
        <w:pStyle w:val="StandardWeb"/>
      </w:pPr>
      <w:r>
        <w:t>Ein einzelner Gesamtwert</w:t>
      </w:r>
    </w:p>
    <w:p w:rsidR="00AE0E77" w:rsidRDefault="00AE0E77" w:rsidP="00AE0E77">
      <w:pPr>
        <w:pStyle w:val="StandardWeb"/>
      </w:pPr>
      <w:r>
        <w:t>[</w:t>
      </w:r>
      <w:r>
        <w:br/>
        <w:t>R_{\mathrm{ges}}</w:t>
      </w:r>
      <w:r>
        <w:br/>
        <w:t>\tag{3.6764}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R_{\mathrm{ges}}\qquad\text{(3.6764)}</w:t>
      </w:r>
    </w:p>
    <w:p w:rsidR="00AE0E77" w:rsidRDefault="00AE0E77" w:rsidP="00AE0E77">
      <w:pPr>
        <w:pStyle w:val="StandardWeb"/>
      </w:pPr>
      <w:r>
        <w:t>darf nur dann verwendet werden, wenn die Aggregationsregel wissenschaftlich begründet ist und die einzelnen Komponenten weiterhin separat ausgewiesen werden.</w:t>
      </w:r>
    </w:p>
    <w:p w:rsidR="00AE0E77" w:rsidRDefault="00E50336" w:rsidP="00AE0E77">
      <w:r>
        <w:pict>
          <v:rect id="_x0000_i1260" style="width:0;height:1.5pt" o:hralign="center" o:hrstd="t" o:hr="t" fillcolor="#a0a0a0" stroked="f"/>
        </w:pict>
      </w:r>
    </w:p>
    <w:p w:rsidR="00AE0E77" w:rsidRDefault="00AE0E77" w:rsidP="00AE0E77">
      <w:pPr>
        <w:pStyle w:val="berschrift2"/>
      </w:pPr>
      <w:r>
        <w:t>3.3.39.120 Dokumentationspflicht für alternative Operationalisierungen</w:t>
      </w:r>
    </w:p>
    <w:p w:rsidR="00AE0E77" w:rsidRDefault="00AE0E77" w:rsidP="00AE0E77">
      <w:pPr>
        <w:pStyle w:val="StandardWeb"/>
      </w:pPr>
      <w:r>
        <w:t>Für jede robuste FRZK-Aussage muss dokumentiert werden, welche Alternativoperationalisierungen tatsächlich geprüft wurden.</w:t>
      </w:r>
    </w:p>
    <w:p w:rsidR="00AE0E77" w:rsidRDefault="00AE0E77" w:rsidP="00AE0E77">
      <w:pPr>
        <w:pStyle w:val="StandardWeb"/>
      </w:pPr>
      <w:r>
        <w:t>Ich definiere</w:t>
      </w:r>
    </w:p>
    <w:p w:rsidR="00AE0E77" w:rsidRDefault="00AE0E77" w:rsidP="00AE0E77">
      <w:pPr>
        <w:pStyle w:val="StandardWeb"/>
      </w:pPr>
      <w:r>
        <w:t>[</w:t>
      </w:r>
      <w:r>
        <w:br/>
        <w:t>\operatorname{ORobManifest}</w:t>
      </w:r>
      <w:r>
        <w:br/>
        <w:t>\left(</w:t>
      </w:r>
      <w:r>
        <w:br/>
        <w:t>A_F,</w:t>
      </w:r>
      <w:r>
        <w:br/>
        <w:t>\mathfrak{O}</w:t>
      </w:r>
      <w:r>
        <w:rPr>
          <w:rStyle w:val="Hervorhebung"/>
        </w:rPr>
        <w:t>{\mathrm{test}},</w:t>
      </w:r>
      <w:r>
        <w:rPr>
          <w:i/>
          <w:iCs/>
        </w:rPr>
        <w:br/>
      </w:r>
      <w:r>
        <w:rPr>
          <w:rStyle w:val="Hervorhebung"/>
        </w:rPr>
        <w:t>\mathfrak{O}</w:t>
      </w:r>
      <w:r>
        <w:t>{\mathrm{rep}},</w:t>
      </w:r>
      <w:r>
        <w:br/>
      </w:r>
      <w:r>
        <w:lastRenderedPageBreak/>
        <w:t>\Theta_{\mathcal{O}},</w:t>
      </w:r>
      <w:r>
        <w:br/>
        <w:t>R_{\mathcal{O}},</w:t>
      </w:r>
      <w:r>
        <w:br/>
        <w:t>u_{\mathcal{O}}</w:t>
      </w:r>
      <w:r>
        <w:br/>
        <w:t>\right).</w:t>
      </w:r>
      <w:r>
        <w:br/>
        <w:t>\tag{3.6765}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\operatorname{ORobManifest}\left(A_F,\mathfrak{O}_{\mathrm{test}},\mathfrak{O}_{\mathrm{rep}},\Theta_{\mathcal{O}},R_{\mathcal{O}},u_{\mathcal{O}}\right)\qquad\text{(3.6765)}</w:t>
      </w:r>
    </w:p>
    <w:p w:rsidR="00AE0E77" w:rsidRDefault="00AE0E77" w:rsidP="00AE0E77">
      <w:pPr>
        <w:pStyle w:val="StandardWeb"/>
      </w:pPr>
      <w:r>
        <w:t>Das Manifest soll mindestens enthalten:</w:t>
      </w:r>
    </w:p>
    <w:p w:rsidR="00AE0E77" w:rsidRDefault="00AE0E77" w:rsidP="008C5E65">
      <w:pPr>
        <w:pStyle w:val="StandardWeb"/>
        <w:numPr>
          <w:ilvl w:val="0"/>
          <w:numId w:val="320"/>
        </w:numPr>
      </w:pPr>
      <w:r>
        <w:t>die Referenzoperationalisierung,</w:t>
      </w:r>
    </w:p>
    <w:p w:rsidR="00AE0E77" w:rsidRDefault="00AE0E77" w:rsidP="008C5E65">
      <w:pPr>
        <w:pStyle w:val="StandardWeb"/>
        <w:numPr>
          <w:ilvl w:val="0"/>
          <w:numId w:val="320"/>
        </w:numPr>
      </w:pPr>
      <w:r>
        <w:t>sämtliche getesteten Alternativen,</w:t>
      </w:r>
    </w:p>
    <w:p w:rsidR="00AE0E77" w:rsidRDefault="00AE0E77" w:rsidP="008C5E65">
      <w:pPr>
        <w:pStyle w:val="StandardWeb"/>
        <w:numPr>
          <w:ilvl w:val="0"/>
          <w:numId w:val="320"/>
        </w:numPr>
      </w:pPr>
      <w:r>
        <w:t>deren theoretische Begründung,</w:t>
      </w:r>
    </w:p>
    <w:p w:rsidR="00AE0E77" w:rsidRDefault="00AE0E77" w:rsidP="008C5E65">
      <w:pPr>
        <w:pStyle w:val="StandardWeb"/>
        <w:numPr>
          <w:ilvl w:val="0"/>
          <w:numId w:val="320"/>
        </w:numPr>
      </w:pPr>
      <w:r>
        <w:t>sämtliche relevanten Parameter,</w:t>
      </w:r>
    </w:p>
    <w:p w:rsidR="00AE0E77" w:rsidRDefault="00AE0E77" w:rsidP="008C5E65">
      <w:pPr>
        <w:pStyle w:val="StandardWeb"/>
        <w:numPr>
          <w:ilvl w:val="0"/>
          <w:numId w:val="320"/>
        </w:numPr>
      </w:pPr>
      <w:r>
        <w:t>Daten- und Softwarestände,</w:t>
      </w:r>
    </w:p>
    <w:p w:rsidR="00AE0E77" w:rsidRDefault="00AE0E77" w:rsidP="008C5E65">
      <w:pPr>
        <w:pStyle w:val="StandardWeb"/>
        <w:numPr>
          <w:ilvl w:val="0"/>
          <w:numId w:val="320"/>
        </w:numPr>
      </w:pPr>
      <w:r>
        <w:t>Unterschiede der Ergebniswerte,</w:t>
      </w:r>
    </w:p>
    <w:p w:rsidR="00AE0E77" w:rsidRDefault="00AE0E77" w:rsidP="008C5E65">
      <w:pPr>
        <w:pStyle w:val="StandardWeb"/>
        <w:numPr>
          <w:ilvl w:val="0"/>
          <w:numId w:val="320"/>
        </w:numPr>
      </w:pPr>
      <w:r>
        <w:t>Unterschiede der Aussageklassen,</w:t>
      </w:r>
    </w:p>
    <w:p w:rsidR="00AE0E77" w:rsidRDefault="00AE0E77" w:rsidP="008C5E65">
      <w:pPr>
        <w:pStyle w:val="StandardWeb"/>
        <w:numPr>
          <w:ilvl w:val="0"/>
          <w:numId w:val="320"/>
        </w:numPr>
      </w:pPr>
      <w:r>
        <w:t>Robustheitsgrad,</w:t>
      </w:r>
    </w:p>
    <w:p w:rsidR="00AE0E77" w:rsidRDefault="00AE0E77" w:rsidP="008C5E65">
      <w:pPr>
        <w:pStyle w:val="StandardWeb"/>
        <w:numPr>
          <w:ilvl w:val="0"/>
          <w:numId w:val="320"/>
        </w:numPr>
      </w:pPr>
      <w:r>
        <w:t>Operationalisierungsunsicherheit,</w:t>
      </w:r>
    </w:p>
    <w:p w:rsidR="00AE0E77" w:rsidRDefault="00AE0E77" w:rsidP="008C5E65">
      <w:pPr>
        <w:pStyle w:val="StandardWeb"/>
        <w:numPr>
          <w:ilvl w:val="0"/>
          <w:numId w:val="320"/>
        </w:numPr>
      </w:pPr>
      <w:r>
        <w:t>Abweichungen von einer gegebenenfalls präregistrierten Operationalisierungsmenge.</w:t>
      </w:r>
    </w:p>
    <w:p w:rsidR="00AE0E77" w:rsidRDefault="00AE0E77" w:rsidP="00AE0E77">
      <w:pPr>
        <w:pStyle w:val="StandardWeb"/>
      </w:pPr>
      <w:r>
        <w:t>Damit wird die Robustheitsanalyse selbst reproduzierbar.</w:t>
      </w:r>
    </w:p>
    <w:p w:rsidR="00AE0E77" w:rsidRDefault="00E50336" w:rsidP="00AE0E77">
      <w:r>
        <w:pict>
          <v:rect id="_x0000_i1261" style="width:0;height:1.5pt" o:hralign="center" o:hrstd="t" o:hr="t" fillcolor="#a0a0a0" stroked="f"/>
        </w:pict>
      </w:r>
    </w:p>
    <w:p w:rsidR="00AE0E77" w:rsidRDefault="00AE0E77" w:rsidP="00AE0E77">
      <w:pPr>
        <w:pStyle w:val="berschrift2"/>
      </w:pPr>
      <w:r>
        <w:t>3.3.39.121 Repository-Abhängigkeit einer Operationalisierungsvariante</w:t>
      </w:r>
    </w:p>
    <w:p w:rsidR="00AE0E77" w:rsidRDefault="00AE0E77" w:rsidP="00AE0E77">
      <w:pPr>
        <w:pStyle w:val="StandardWeb"/>
      </w:pPr>
      <w:r>
        <w:t>Eine konkrete Operationalisierung kann im Repository schematisch dokumentiert werden als</w:t>
      </w:r>
    </w:p>
    <w:p w:rsidR="00AE0E77" w:rsidRDefault="00AE0E77" w:rsidP="00AE0E77">
      <w:pPr>
        <w:pStyle w:val="StandardWeb"/>
      </w:pPr>
      <w:r>
        <w:t>[</w:t>
      </w:r>
      <w:r>
        <w:br/>
        <w:t>\operatorname{OperationalizationVariant}</w:t>
      </w:r>
      <w:r>
        <w:br/>
        <w:t>\left(</w:t>
      </w:r>
      <w:r>
        <w:br/>
        <w:t>\mathcal{O}</w:t>
      </w:r>
      <w:r>
        <w:rPr>
          <w:rStyle w:val="Hervorhebung"/>
        </w:rPr>
        <w:t>j,</w:t>
      </w:r>
      <w:r>
        <w:rPr>
          <w:i/>
          <w:iCs/>
        </w:rPr>
        <w:br/>
      </w:r>
      <w:r>
        <w:rPr>
          <w:rStyle w:val="Hervorhebung"/>
        </w:rPr>
        <w:t>\mathcal{K}</w:t>
      </w:r>
      <w:r>
        <w:t>{F},</w:t>
      </w:r>
      <w:r>
        <w:br/>
        <w:t>\boldsymbol{\theta}_j</w:t>
      </w:r>
      <w:r>
        <w:br/>
        <w:t>\right).</w:t>
      </w:r>
      <w:r>
        <w:br/>
        <w:t>\tag{3.6766}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\operatorname{OperationalizationVariant}\left(\mathcal{O}_j,\mathcal{K}_{F},\boldsymbol{\theta}_j\right)\qquad\text{(3.6766)}</w:t>
      </w:r>
    </w:p>
    <w:p w:rsidR="00AE0E77" w:rsidRDefault="00AE0E77" w:rsidP="00AE0E77">
      <w:pPr>
        <w:pStyle w:val="StandardWeb"/>
      </w:pPr>
      <w:r>
        <w:t>Die resultierende Aussage wird verknüpft durch</w:t>
      </w:r>
    </w:p>
    <w:p w:rsidR="00AE0E77" w:rsidRDefault="00AE0E77" w:rsidP="00AE0E77">
      <w:pPr>
        <w:pStyle w:val="StandardWeb"/>
      </w:pPr>
      <w:r>
        <w:lastRenderedPageBreak/>
        <w:t>[</w:t>
      </w:r>
      <w:r>
        <w:br/>
        <w:t>\operatorname{Produces}</w:t>
      </w:r>
      <w:r>
        <w:br/>
        <w:t>\left(</w:t>
      </w:r>
      <w:r>
        <w:br/>
        <w:t>\mathcal{O}_j,</w:t>
      </w:r>
      <w:r>
        <w:br/>
        <w:t>A_F^{(j)}</w:t>
      </w:r>
      <w:r>
        <w:br/>
        <w:t>\right).</w:t>
      </w:r>
      <w:r>
        <w:br/>
        <w:t>\tag{3.6767}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\operatorname{Produces}\left(\mathcal{O}_j,A_F^{(j)}\right)\qquad\text{(3.6767)}</w:t>
      </w:r>
    </w:p>
    <w:p w:rsidR="00AE0E77" w:rsidRDefault="00AE0E77" w:rsidP="00AE0E77">
      <w:pPr>
        <w:pStyle w:val="StandardWeb"/>
      </w:pPr>
      <w:r>
        <w:t>Ein Vergleich zweier Varianten lautet</w:t>
      </w:r>
    </w:p>
    <w:p w:rsidR="00AE0E77" w:rsidRDefault="00AE0E77" w:rsidP="00AE0E77">
      <w:pPr>
        <w:pStyle w:val="StandardWeb"/>
      </w:pPr>
      <w:r>
        <w:t>[</w:t>
      </w:r>
      <w:r>
        <w:br/>
        <w:t>\operatorname{ORobCompare}</w:t>
      </w:r>
      <w:r>
        <w:br/>
        <w:t>\left(</w:t>
      </w:r>
      <w:r>
        <w:br/>
        <w:t>\mathcal{O}_i,</w:t>
      </w:r>
      <w:r>
        <w:br/>
        <w:t>\mathcal{O}_j,</w:t>
      </w:r>
      <w:r>
        <w:br/>
        <w:t>d_A,</w:t>
      </w:r>
      <w:r>
        <w:br/>
        <w:t>\sim_A</w:t>
      </w:r>
      <w:r>
        <w:br/>
        <w:t>\right).</w:t>
      </w:r>
      <w:r>
        <w:br/>
        <w:t>\tag{3.6768}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\operatorname{ORobCompare}\left(\mathcal{O}_i,\mathcal{O}_j,d_A,\sim_A\right)\qquad\text{(3.6768)}</w:t>
      </w:r>
    </w:p>
    <w:p w:rsidR="00AE0E77" w:rsidRDefault="00AE0E77" w:rsidP="00AE0E77">
      <w:pPr>
        <w:pStyle w:val="StandardWeb"/>
      </w:pPr>
      <w:r>
        <w:t>Damit kann später nicht nur ein Endwert gespeichert werden, sondern die vollständige Herkunft der Robustheitsbewertung rekonstruiert werden.</w:t>
      </w:r>
    </w:p>
    <w:p w:rsidR="00AE0E77" w:rsidRDefault="00E50336" w:rsidP="00AE0E77">
      <w:r>
        <w:pict>
          <v:rect id="_x0000_i1262" style="width:0;height:1.5pt" o:hralign="center" o:hrstd="t" o:hr="t" fillcolor="#a0a0a0" stroked="f"/>
        </w:pict>
      </w:r>
    </w:p>
    <w:p w:rsidR="00AE0E77" w:rsidRDefault="00AE0E77" w:rsidP="00AE0E77">
      <w:pPr>
        <w:pStyle w:val="berschrift2"/>
      </w:pPr>
      <w:r>
        <w:t>3.3.39.122 Versionierung von Operationalisierungen</w:t>
      </w:r>
    </w:p>
    <w:p w:rsidR="00AE0E77" w:rsidRDefault="00AE0E77" w:rsidP="00AE0E77">
      <w:pPr>
        <w:pStyle w:val="StandardWeb"/>
      </w:pPr>
      <w:r>
        <w:t>Operationalisierungen können sich im Verlauf eines Forschungsprojekts verändern.</w:t>
      </w:r>
    </w:p>
    <w:p w:rsidR="00AE0E77" w:rsidRDefault="00AE0E77" w:rsidP="00AE0E77">
      <w:pPr>
        <w:pStyle w:val="StandardWeb"/>
      </w:pPr>
      <w:r>
        <w:t>Ich bezeichne eine Version durch</w:t>
      </w:r>
    </w:p>
    <w:p w:rsidR="00AE0E77" w:rsidRDefault="00AE0E77" w:rsidP="00AE0E77">
      <w:pPr>
        <w:pStyle w:val="StandardWeb"/>
      </w:pPr>
      <w:r>
        <w:t>[</w:t>
      </w:r>
      <w:r>
        <w:br/>
        <w:t>\mathcal{O}_{j}^{(v)}.</w:t>
      </w:r>
      <w:r>
        <w:br/>
        <w:t>\tag{3.6769}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\mathcal{O}_{j}^{(v)}\qquad\text{(3.6769)}</w:t>
      </w:r>
    </w:p>
    <w:p w:rsidR="00AE0E77" w:rsidRDefault="00AE0E77" w:rsidP="00AE0E77">
      <w:pPr>
        <w:pStyle w:val="StandardWeb"/>
      </w:pPr>
      <w:r>
        <w:lastRenderedPageBreak/>
        <w:t>Eine Änderung lautet</w:t>
      </w:r>
    </w:p>
    <w:p w:rsidR="00AE0E77" w:rsidRDefault="00AE0E77" w:rsidP="00AE0E77">
      <w:pPr>
        <w:pStyle w:val="StandardWeb"/>
      </w:pPr>
      <w:r>
        <w:t>[</w:t>
      </w:r>
      <w:r>
        <w:br/>
        <w:t>\mathcal{O}</w:t>
      </w:r>
      <w:r>
        <w:rPr>
          <w:rStyle w:val="Hervorhebung"/>
        </w:rPr>
        <w:t>{j}^{(v)}</w:t>
      </w:r>
      <w:r>
        <w:rPr>
          <w:i/>
          <w:iCs/>
        </w:rPr>
        <w:br/>
      </w:r>
      <w:r>
        <w:rPr>
          <w:rStyle w:val="Hervorhebung"/>
        </w:rPr>
        <w:t>\rightarrow</w:t>
      </w:r>
      <w:r>
        <w:rPr>
          <w:i/>
          <w:iCs/>
        </w:rPr>
        <w:br/>
      </w:r>
      <w:r>
        <w:rPr>
          <w:rStyle w:val="Hervorhebung"/>
        </w:rPr>
        <w:t>\mathcal{O}</w:t>
      </w:r>
      <w:r>
        <w:t>{j}^{(v+1)}.</w:t>
      </w:r>
      <w:r>
        <w:br/>
        <w:t>\tag{3.6770}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\mathcal{O}_{j}^{(v)}\rightarrow\mathcal{O}_{j}^{(v+1)}\qquad\text{(3.6770)}</w:t>
      </w:r>
    </w:p>
    <w:p w:rsidR="00AE0E77" w:rsidRDefault="00AE0E77" w:rsidP="00AE0E77">
      <w:pPr>
        <w:pStyle w:val="StandardWeb"/>
      </w:pPr>
      <w:r>
        <w:t>Die resultierende Aussage kann sich ändern:</w:t>
      </w:r>
    </w:p>
    <w:p w:rsidR="00AE0E77" w:rsidRDefault="00AE0E77" w:rsidP="00AE0E77">
      <w:pPr>
        <w:pStyle w:val="StandardWeb"/>
      </w:pPr>
      <w:r>
        <w:t>[</w:t>
      </w:r>
      <w:r>
        <w:br/>
        <w:t>A_F^{(v)}</w:t>
      </w:r>
      <w:r>
        <w:br/>
        <w:t>\neq</w:t>
      </w:r>
      <w:r>
        <w:br/>
        <w:t>A_F^{(v+1)}.</w:t>
      </w:r>
      <w:r>
        <w:br/>
        <w:t>\tag{3.6771}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A_F^{(v)}\neq A_F^{(v+1)}\qquad\text{(3.6771)}</w:t>
      </w:r>
    </w:p>
    <w:p w:rsidR="00AE0E77" w:rsidRDefault="00AE0E77" w:rsidP="00AE0E77">
      <w:pPr>
        <w:pStyle w:val="StandardWeb"/>
      </w:pPr>
      <w:r>
        <w:t>Deshalb muss jede Änderung einer Messdefinition, Schwelle, Aggregationsregel oder Vorverarbeitung als eigene Version nachvollziehbar bleiben.</w:t>
      </w:r>
    </w:p>
    <w:p w:rsidR="00AE0E77" w:rsidRDefault="00E50336" w:rsidP="00AE0E77">
      <w:r>
        <w:pict>
          <v:rect id="_x0000_i1263" style="width:0;height:1.5pt" o:hralign="center" o:hrstd="t" o:hr="t" fillcolor="#a0a0a0" stroked="f"/>
        </w:pict>
      </w:r>
    </w:p>
    <w:p w:rsidR="00AE0E77" w:rsidRDefault="00AE0E77" w:rsidP="00AE0E77">
      <w:pPr>
        <w:pStyle w:val="berschrift2"/>
      </w:pPr>
      <w:r>
        <w:t>3.3.39.123 Rückwärtskompatibilität von Operationalisierungen</w:t>
      </w:r>
    </w:p>
    <w:p w:rsidR="00AE0E77" w:rsidRDefault="00AE0E77" w:rsidP="00AE0E77">
      <w:pPr>
        <w:pStyle w:val="StandardWeb"/>
      </w:pPr>
      <w:r>
        <w:t>Für eine neue Operationalisierungsversion kann geprüft werden, ob alte und neue Ergebnisse funktional vergleichbar bleiben.</w:t>
      </w:r>
    </w:p>
    <w:p w:rsidR="00AE0E77" w:rsidRDefault="00AE0E77" w:rsidP="00AE0E77">
      <w:pPr>
        <w:pStyle w:val="StandardWeb"/>
      </w:pPr>
      <w:r>
        <w:t>Ich definiere</w:t>
      </w:r>
    </w:p>
    <w:p w:rsidR="00AE0E77" w:rsidRDefault="00AE0E77" w:rsidP="00AE0E77">
      <w:pPr>
        <w:pStyle w:val="StandardWeb"/>
      </w:pPr>
      <w:r>
        <w:t>[</w:t>
      </w:r>
      <w:r>
        <w:br/>
        <w:t>\operatorname{BackComp}_{\mathcal{O}}</w:t>
      </w:r>
      <w:r>
        <w:br/>
        <w:t>\left(</w:t>
      </w:r>
      <w:r>
        <w:br/>
        <w:t>\mathcal{O}^{(v)},</w:t>
      </w:r>
      <w:r>
        <w:br/>
        <w:t>\mathcal{O}^{(v+1)}</w:t>
      </w:r>
      <w:r>
        <w:br/>
        <w:t>\right)</w:t>
      </w:r>
      <w:r>
        <w:br/>
        <w:t>\in</w:t>
      </w:r>
      <w:r>
        <w:br/>
        <w:t>{0,1}.</w:t>
      </w:r>
      <w:r>
        <w:br/>
        <w:t>\tag{3.6772}</w:t>
      </w:r>
      <w:r>
        <w:br/>
        <w:t>]</w:t>
      </w:r>
    </w:p>
    <w:p w:rsidR="00AE0E77" w:rsidRDefault="00AE0E77" w:rsidP="00AE0E77">
      <w:pPr>
        <w:pStyle w:val="StandardWeb"/>
      </w:pPr>
      <w:r>
        <w:rPr>
          <w:rStyle w:val="Fett"/>
        </w:rPr>
        <w:lastRenderedPageBreak/>
        <w:t>Word-LaTeX</w:t>
      </w:r>
    </w:p>
    <w:p w:rsidR="00AE0E77" w:rsidRDefault="00AE0E77" w:rsidP="00AE0E77">
      <w:pPr>
        <w:pStyle w:val="HTMLVorformatiert"/>
        <w:rPr>
          <w:rStyle w:val="HTMLCode"/>
        </w:rPr>
      </w:pPr>
      <w:r>
        <w:rPr>
          <w:rStyle w:val="HTMLCode"/>
        </w:rPr>
        <w:t>\operatorname{BackComp}_{\mathcal{O}}\left(\mathcal{O}^{(v)},\mathcal{O}^{(v+1)}\right)\in\{0,1\}\qquad\text{(3.6772)}</w:t>
      </w:r>
    </w:p>
    <w:p w:rsidR="00AE0E77" w:rsidRDefault="00AE0E77" w:rsidP="00AE0E77">
      <w:pPr>
        <w:pStyle w:val="StandardWeb"/>
      </w:pPr>
      <w:r>
        <w:t>Für</w:t>
      </w:r>
    </w:p>
    <w:p w:rsidR="00AE0E77" w:rsidRDefault="00AE0E77" w:rsidP="00AE0E77">
      <w:pPr>
        <w:pStyle w:val="berschrift1"/>
      </w:pPr>
      <w:r>
        <w:t>[</w:t>
      </w:r>
      <w:r>
        <w:br/>
        <w:t>\operatorname{BackComp}_{\mathcal{O}}</w:t>
      </w:r>
    </w:p>
    <w:p w:rsidR="00AE0E77" w:rsidRDefault="00AE0E77" w:rsidP="00AE0E77">
      <w:pPr>
        <w:pStyle w:val="StandardWeb"/>
      </w:pPr>
      <w:r>
        <w:t>1</w:t>
      </w:r>
      <w:r>
        <w:br/>
        <w:t>\tag{3.6773}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\operatorname{BackComp}_{\mathcal{O}}=1\qquad\text{(3.6773)}</w:t>
      </w:r>
    </w:p>
    <w:p w:rsidR="00AE0E77" w:rsidRDefault="00AE0E77" w:rsidP="00AE0E77">
      <w:pPr>
        <w:pStyle w:val="StandardWeb"/>
      </w:pPr>
      <w:r>
        <w:t>können bestehende Ergebnisse unter den dokumentierten Bedingungen weiterhin mit neuen Analysen verglichen werden.</w:t>
      </w:r>
    </w:p>
    <w:p w:rsidR="00AE0E77" w:rsidRDefault="00AE0E77" w:rsidP="00AE0E77">
      <w:pPr>
        <w:pStyle w:val="StandardWeb"/>
      </w:pPr>
      <w:r>
        <w:t>Andernfalls müssen alte und neue Auswertungen als methodisch unterschiedliche Messgenerationen behandelt werden.</w:t>
      </w:r>
    </w:p>
    <w:p w:rsidR="00AE0E77" w:rsidRDefault="00E50336" w:rsidP="00AE0E77">
      <w:r>
        <w:pict>
          <v:rect id="_x0000_i1264" style="width:0;height:1.5pt" o:hralign="center" o:hrstd="t" o:hr="t" fillcolor="#a0a0a0" stroked="f"/>
        </w:pict>
      </w:r>
    </w:p>
    <w:p w:rsidR="00AE0E77" w:rsidRDefault="00AE0E77" w:rsidP="00AE0E77">
      <w:pPr>
        <w:pStyle w:val="berschrift2"/>
      </w:pPr>
      <w:r>
        <w:t>3.3.39.124 Operationalisierungsänderung als wissenschaftliches Ereignis</w:t>
      </w:r>
    </w:p>
    <w:p w:rsidR="00AE0E77" w:rsidRDefault="00AE0E77" w:rsidP="00AE0E77">
      <w:pPr>
        <w:pStyle w:val="StandardWeb"/>
      </w:pPr>
      <w:r>
        <w:t>Eine wesentliche Änderung der Operationalisierung darf nicht als rein technischer Versionswechsel behandelt werden.</w:t>
      </w:r>
    </w:p>
    <w:p w:rsidR="00AE0E77" w:rsidRDefault="00AE0E77" w:rsidP="00AE0E77">
      <w:pPr>
        <w:pStyle w:val="StandardWeb"/>
      </w:pPr>
      <w:r>
        <w:t>Ich bezeichne eine wissenschaftlich relevante Änderung mit</w:t>
      </w:r>
    </w:p>
    <w:p w:rsidR="00AE0E77" w:rsidRDefault="00AE0E77" w:rsidP="00AE0E77">
      <w:pPr>
        <w:pStyle w:val="StandardWeb"/>
      </w:pPr>
      <w:r>
        <w:t>[</w:t>
      </w:r>
      <w:r>
        <w:br/>
        <w:t>\Delta_{\mathrm{sig}}</w:t>
      </w:r>
      <w:r>
        <w:br/>
        <w:t>\mathcal{O}</w:t>
      </w:r>
      <w:r>
        <w:br/>
        <w:t>\neq</w:t>
      </w:r>
      <w:r>
        <w:br/>
        <w:t>0.</w:t>
      </w:r>
      <w:r>
        <w:br/>
        <w:t>\tag{3.6774}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\Delta_{\mathrm{sig}}\mathcal{O}\neq0\qquad\text{(3.6774)}</w:t>
      </w:r>
    </w:p>
    <w:p w:rsidR="00AE0E77" w:rsidRDefault="00AE0E77" w:rsidP="00AE0E77">
      <w:pPr>
        <w:pStyle w:val="StandardWeb"/>
      </w:pPr>
      <w:r>
        <w:t>Eine solche Änderung liegt vor, wenn sie die Semantik, Aussageklasse, Identifizierbarkeit, Unsicherheit oder Vergleichbarkeit bereits erzeugter Ergebnisse verändern kann.</w:t>
      </w:r>
    </w:p>
    <w:p w:rsidR="00AE0E77" w:rsidRDefault="00AE0E77" w:rsidP="00AE0E77">
      <w:pPr>
        <w:pStyle w:val="StandardWeb"/>
      </w:pPr>
      <w:r>
        <w:t>Dann ist eine Reanalyse erforderlich:</w:t>
      </w:r>
    </w:p>
    <w:p w:rsidR="00AE0E77" w:rsidRDefault="00AE0E77" w:rsidP="00AE0E77">
      <w:pPr>
        <w:pStyle w:val="berschrift1"/>
      </w:pPr>
      <w:r>
        <w:lastRenderedPageBreak/>
        <w:t>[</w:t>
      </w:r>
      <w:r>
        <w:br/>
        <w:t>\Delta_{\mathrm{sig}}</w:t>
      </w:r>
      <w:r>
        <w:br/>
        <w:t>\mathcal{O}</w:t>
      </w:r>
      <w:r>
        <w:br/>
        <w:t>\neq</w:t>
      </w:r>
      <w:r>
        <w:br/>
        <w:t>0</w:t>
      </w:r>
      <w:r>
        <w:br/>
        <w:t>\Rightarrow</w:t>
      </w:r>
      <w:r>
        <w:br/>
        <w:t>C_{\mathrm{reanalyze}}</w:t>
      </w:r>
    </w:p>
    <w:p w:rsidR="00AE0E77" w:rsidRDefault="00AE0E77" w:rsidP="008C5E65">
      <w:pPr>
        <w:numPr>
          <w:ilvl w:val="0"/>
          <w:numId w:val="321"/>
        </w:numPr>
        <w:spacing w:before="100" w:beforeAutospacing="1" w:after="100" w:afterAutospacing="1"/>
      </w:pPr>
    </w:p>
    <w:p w:rsidR="00AE0E77" w:rsidRDefault="00AE0E77" w:rsidP="00AE0E77">
      <w:pPr>
        <w:pStyle w:val="StandardWeb"/>
      </w:pPr>
      <w:r>
        <w:t>\tag{3.6775}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\Delta_{\mathrm{sig}}\mathcal{O}\neq0\Rightarrow C_{\mathrm{reanalyze}}=1\qquad\text{(3.6775)}</w:t>
      </w:r>
    </w:p>
    <w:p w:rsidR="00AE0E77" w:rsidRDefault="00AE0E77" w:rsidP="00AE0E77">
      <w:pPr>
        <w:pStyle w:val="StandardWeb"/>
      </w:pPr>
      <w:r>
        <w:t>Diese Regel ist für die spätere empirische Anwendung des FRZK wesentlich, weil die Weiterentwicklung einer Messpipeline sonst alte und neue Ergebnisse unbemerkt inkompatibel machen könnte.</w:t>
      </w:r>
    </w:p>
    <w:p w:rsidR="00AE0E77" w:rsidRDefault="00E50336" w:rsidP="00AE0E77">
      <w:r>
        <w:pict>
          <v:rect id="_x0000_i1265" style="width:0;height:1.5pt" o:hralign="center" o:hrstd="t" o:hr="t" fillcolor="#a0a0a0" stroked="f"/>
        </w:pict>
      </w:r>
    </w:p>
    <w:p w:rsidR="00AE0E77" w:rsidRDefault="00AE0E77" w:rsidP="00AE0E77">
      <w:pPr>
        <w:pStyle w:val="berschrift2"/>
      </w:pPr>
      <w:r>
        <w:t>3.3.39.125 Operationalisierungsrobustheit und kumulative Evidenz</w:t>
      </w:r>
    </w:p>
    <w:p w:rsidR="00AE0E77" w:rsidRDefault="00AE0E77" w:rsidP="00AE0E77">
      <w:pPr>
        <w:pStyle w:val="StandardWeb"/>
      </w:pPr>
      <w:r>
        <w:t>Mehrere Studien können dasselbe theoretische Konzept unterschiedlich operationalisieren.</w:t>
      </w:r>
    </w:p>
    <w:p w:rsidR="00AE0E77" w:rsidRDefault="00AE0E77" w:rsidP="00AE0E77">
      <w:pPr>
        <w:pStyle w:val="StandardWeb"/>
      </w:pPr>
      <w:r>
        <w:t>Seien</w:t>
      </w:r>
    </w:p>
    <w:p w:rsidR="00AE0E77" w:rsidRDefault="00AE0E77" w:rsidP="00AE0E77">
      <w:pPr>
        <w:pStyle w:val="StandardWeb"/>
      </w:pPr>
      <w:r>
        <w:t>[</w:t>
      </w:r>
      <w:r>
        <w:br/>
        <w:t>\mathcal{S}_1,</w:t>
      </w:r>
      <w:r>
        <w:br/>
        <w:t>\ldots,</w:t>
      </w:r>
      <w:r>
        <w:br/>
        <w:t>\mathcal{S}_n</w:t>
      </w:r>
      <w:r>
        <w:br/>
        <w:t>\tag{3.6776}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\mathcal{S}_1,\ldots,\mathcal{S}_n\qquad\text{(3.6776)}</w:t>
      </w:r>
    </w:p>
    <w:p w:rsidR="00AE0E77" w:rsidRDefault="00AE0E77" w:rsidP="00AE0E77">
      <w:pPr>
        <w:pStyle w:val="StandardWeb"/>
      </w:pPr>
      <w:r>
        <w:t>Studien mit Operationalisierungen</w:t>
      </w:r>
    </w:p>
    <w:p w:rsidR="00AE0E77" w:rsidRDefault="00AE0E77" w:rsidP="00AE0E77">
      <w:pPr>
        <w:pStyle w:val="StandardWeb"/>
      </w:pPr>
      <w:r>
        <w:lastRenderedPageBreak/>
        <w:t>[</w:t>
      </w:r>
      <w:r>
        <w:br/>
        <w:t>\mathcal{O}_1,</w:t>
      </w:r>
      <w:r>
        <w:br/>
        <w:t>\ldots,</w:t>
      </w:r>
      <w:r>
        <w:br/>
        <w:t>\mathcal{O}_n.</w:t>
      </w:r>
      <w:r>
        <w:br/>
        <w:t>\tag{3.6777}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\mathcal{O}_1,\ldots,\mathcal{O}_n\qquad\text{(3.6777)}</w:t>
      </w:r>
    </w:p>
    <w:p w:rsidR="00AE0E77" w:rsidRDefault="00AE0E77" w:rsidP="00AE0E77">
      <w:pPr>
        <w:pStyle w:val="StandardWeb"/>
      </w:pPr>
      <w:r>
        <w:t>Wenn deren relevante Aussagen konvergieren,</w:t>
      </w:r>
    </w:p>
    <w:p w:rsidR="00AE0E77" w:rsidRDefault="00AE0E77" w:rsidP="00AE0E77">
      <w:pPr>
        <w:pStyle w:val="StandardWeb"/>
      </w:pPr>
      <w:r>
        <w:t>[</w:t>
      </w:r>
      <w:r>
        <w:br/>
        <w:t>A_F^{(1)}</w:t>
      </w:r>
      <w:r>
        <w:br/>
        <w:t>\sim_A</w:t>
      </w:r>
      <w:r>
        <w:br/>
        <w:t>A_F^{(2)}</w:t>
      </w:r>
      <w:r>
        <w:br/>
        <w:t>\sim_A</w:t>
      </w:r>
      <w:r>
        <w:br/>
        <w:t>\cdots</w:t>
      </w:r>
      <w:r>
        <w:br/>
        <w:t>\sim_A</w:t>
      </w:r>
      <w:r>
        <w:br/>
        <w:t>A_F^{(n)},</w:t>
      </w:r>
      <w:r>
        <w:br/>
        <w:t>\tag{3.6778}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A_F^{(1)}\sim_A A_F^{(2)}\sim_A\cdots\sim_A A_F^{(n)}\qquad\text{(3.6778)}</w:t>
      </w:r>
    </w:p>
    <w:p w:rsidR="00AE0E77" w:rsidRDefault="00AE0E77" w:rsidP="00AE0E77">
      <w:pPr>
        <w:pStyle w:val="StandardWeb"/>
      </w:pPr>
      <w:r>
        <w:t>steigt die Evidenz dafür, dass die beobachtete funktionale Aussage nicht allein durch eine einzelne Operationalisierungsentscheidung erzeugt wurde.</w:t>
      </w:r>
    </w:p>
    <w:p w:rsidR="00AE0E77" w:rsidRDefault="00AE0E77" w:rsidP="00AE0E77">
      <w:pPr>
        <w:pStyle w:val="StandardWeb"/>
      </w:pPr>
      <w:r>
        <w:t>Diese Schlussfolgerung bleibt jedoch an die theoretische Vergleichbarkeit der Studien gebunden [58, 59, 79].</w:t>
      </w:r>
    </w:p>
    <w:p w:rsidR="00AE0E77" w:rsidRDefault="00E50336" w:rsidP="00AE0E77">
      <w:r>
        <w:pict>
          <v:rect id="_x0000_i1266" style="width:0;height:1.5pt" o:hralign="center" o:hrstd="t" o:hr="t" fillcolor="#a0a0a0" stroked="f"/>
        </w:pict>
      </w:r>
    </w:p>
    <w:p w:rsidR="00AE0E77" w:rsidRDefault="00AE0E77" w:rsidP="00AE0E77">
      <w:pPr>
        <w:pStyle w:val="berschrift2"/>
      </w:pPr>
      <w:r>
        <w:t>3.3.39.126 Meta-Robustheit</w:t>
      </w:r>
    </w:p>
    <w:p w:rsidR="00AE0E77" w:rsidRDefault="00AE0E77" w:rsidP="00AE0E77">
      <w:pPr>
        <w:pStyle w:val="StandardWeb"/>
      </w:pPr>
      <w:r>
        <w:t>Aus mehreren Robustheitsanalysen kann eine Metaebene entstehen.</w:t>
      </w:r>
    </w:p>
    <w:p w:rsidR="00AE0E77" w:rsidRDefault="00AE0E77" w:rsidP="00AE0E77">
      <w:pPr>
        <w:pStyle w:val="StandardWeb"/>
      </w:pPr>
      <w:r>
        <w:t>Seien</w:t>
      </w:r>
    </w:p>
    <w:p w:rsidR="00AE0E77" w:rsidRDefault="00AE0E77" w:rsidP="00AE0E77">
      <w:pPr>
        <w:pStyle w:val="StandardWeb"/>
      </w:pPr>
      <w:r>
        <w:t>[</w:t>
      </w:r>
      <w:r>
        <w:br/>
        <w:t>R_{\mathcal{O}}^{(1)},</w:t>
      </w:r>
      <w:r>
        <w:br/>
        <w:t>R_{\mathcal{O}}^{(2)},</w:t>
      </w:r>
      <w:r>
        <w:br/>
        <w:t>\ldots,</w:t>
      </w:r>
      <w:r>
        <w:br/>
        <w:t>R_{\mathcal{O}}^{(n)}</w:t>
      </w:r>
      <w:r>
        <w:br/>
        <w:t>\tag{3.6779}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lastRenderedPageBreak/>
        <w:t>R_{\mathcal{O}}^{(1)},R_{\mathcal{O}}^{(2)},\ldots,R_{\mathcal{O}}^{(n)}\qquad\text{(3.6779)}</w:t>
      </w:r>
    </w:p>
    <w:p w:rsidR="00AE0E77" w:rsidRDefault="00AE0E77" w:rsidP="00AE0E77">
      <w:pPr>
        <w:pStyle w:val="StandardWeb"/>
      </w:pPr>
      <w:r>
        <w:t>Operationalisierungsrobustheiten verschiedener Untersuchungen.</w:t>
      </w:r>
    </w:p>
    <w:p w:rsidR="00AE0E77" w:rsidRDefault="00AE0E77" w:rsidP="00AE0E77">
      <w:pPr>
        <w:pStyle w:val="StandardWeb"/>
      </w:pPr>
      <w:r>
        <w:t>Eine abstrakte Meta-Robustheit kann durch</w:t>
      </w:r>
    </w:p>
    <w:p w:rsidR="00AE0E77" w:rsidRDefault="00AE0E77" w:rsidP="00AE0E77">
      <w:pPr>
        <w:pStyle w:val="berschrift1"/>
      </w:pPr>
      <w:r>
        <w:t>[</w:t>
      </w:r>
      <w:r>
        <w:br/>
        <w:t>R_{\mathrm{meta}}</w:t>
      </w:r>
    </w:p>
    <w:p w:rsidR="00AE0E77" w:rsidRDefault="00AE0E77" w:rsidP="00AE0E77">
      <w:pPr>
        <w:pStyle w:val="StandardWeb"/>
      </w:pPr>
      <w:r>
        <w:t>\mathcal{R}</w:t>
      </w:r>
      <w:r>
        <w:br/>
        <w:t>\left(</w:t>
      </w:r>
      <w:r>
        <w:br/>
        <w:t>R_{\mathcal{O}}^{(1)},</w:t>
      </w:r>
      <w:r>
        <w:br/>
        <w:t>\ldots,</w:t>
      </w:r>
      <w:r>
        <w:br/>
        <w:t>R_{\mathcal{O}}^{(n)}</w:t>
      </w:r>
      <w:r>
        <w:br/>
        <w:t>\right)</w:t>
      </w:r>
      <w:r>
        <w:br/>
        <w:t>\tag{3.6780}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R_{\mathrm{meta}}=\mathcal{R}\left(R_{\mathcal{O}}^{(1)},\ldots,R_{\mathcal{O}}^{(n)}\right)\qquad\text{(3.6780)}</w:t>
      </w:r>
    </w:p>
    <w:p w:rsidR="00AE0E77" w:rsidRDefault="00AE0E77" w:rsidP="00AE0E77">
      <w:pPr>
        <w:pStyle w:val="StandardWeb"/>
      </w:pPr>
      <w:r>
        <w:t>beschrieben werden.</w:t>
      </w:r>
    </w:p>
    <w:p w:rsidR="00AE0E77" w:rsidRDefault="00AE0E77" w:rsidP="00AE0E77">
      <w:pPr>
        <w:pStyle w:val="StandardWeb"/>
      </w:pPr>
      <w:r>
        <w:t>Die konkrete Aggregationsfunktion (\mathcal{R}) wird nicht universell festgelegt. Sie muss den jeweiligen Studienstrukturen und Evidenzqualitäten entsprechen.</w:t>
      </w:r>
    </w:p>
    <w:p w:rsidR="00AE0E77" w:rsidRDefault="00E50336" w:rsidP="00AE0E77">
      <w:r>
        <w:pict>
          <v:rect id="_x0000_i1267" style="width:0;height:1.5pt" o:hralign="center" o:hrstd="t" o:hr="t" fillcolor="#a0a0a0" stroked="f"/>
        </w:pict>
      </w:r>
    </w:p>
    <w:p w:rsidR="00AE0E77" w:rsidRDefault="00AE0E77" w:rsidP="00AE0E77">
      <w:pPr>
        <w:pStyle w:val="berschrift2"/>
      </w:pPr>
      <w:r>
        <w:t>3.3.39.127 Grenzen quantitativer Robustheitsscores</w:t>
      </w:r>
    </w:p>
    <w:p w:rsidR="00AE0E77" w:rsidRDefault="00AE0E77" w:rsidP="00AE0E77">
      <w:pPr>
        <w:pStyle w:val="StandardWeb"/>
      </w:pPr>
      <w:r>
        <w:t>Ein hoher Robustheitsscore darf nicht dazu verleiten, methodologische Einzelprobleme zu verdecken.</w:t>
      </w:r>
    </w:p>
    <w:p w:rsidR="00AE0E77" w:rsidRDefault="00AE0E77" w:rsidP="00AE0E77">
      <w:pPr>
        <w:pStyle w:val="StandardWeb"/>
      </w:pPr>
      <w:r>
        <w:t>Es kann beispielsweise gelten</w:t>
      </w:r>
    </w:p>
    <w:p w:rsidR="00AE0E77" w:rsidRDefault="00AE0E77" w:rsidP="00AE0E77">
      <w:pPr>
        <w:pStyle w:val="berschrift1"/>
      </w:pPr>
      <w:r>
        <w:t>[</w:t>
      </w:r>
      <w:r>
        <w:br/>
        <w:t>R_{\mathcal{O}}</w:t>
      </w:r>
    </w:p>
    <w:p w:rsidR="00AE0E77" w:rsidRDefault="00AE0E77" w:rsidP="00AE0E77">
      <w:pPr>
        <w:pStyle w:val="StandardWeb"/>
      </w:pPr>
      <w:r>
        <w:t>0.9</w:t>
      </w:r>
      <w:r>
        <w:br/>
        <w:t>\tag{3.6781}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R_{\mathcal{O}}=0.9\qquad\text{(3.6781)}</w:t>
      </w:r>
    </w:p>
    <w:p w:rsidR="00AE0E77" w:rsidRDefault="00AE0E77" w:rsidP="00AE0E77">
      <w:pPr>
        <w:pStyle w:val="StandardWeb"/>
      </w:pPr>
      <w:r>
        <w:lastRenderedPageBreak/>
        <w:t>obwohl die einzige abweichende Operationalisierung genau die theoretisch stärkste Alternative darstellt.</w:t>
      </w:r>
    </w:p>
    <w:p w:rsidR="00AE0E77" w:rsidRDefault="00AE0E77" w:rsidP="00AE0E77">
      <w:pPr>
        <w:pStyle w:val="StandardWeb"/>
      </w:pPr>
      <w:r>
        <w:t>Der reine Quotient würde diese Information nicht ausreichend wiedergeben.</w:t>
      </w:r>
    </w:p>
    <w:p w:rsidR="00AE0E77" w:rsidRDefault="00AE0E77" w:rsidP="00AE0E77">
      <w:pPr>
        <w:pStyle w:val="StandardWeb"/>
      </w:pPr>
      <w:r>
        <w:t>Deshalb muss die quantitative Robustheit stets zusammen mit der Struktur der abweichenden Fälle dokumentiert werden:</w:t>
      </w:r>
    </w:p>
    <w:p w:rsidR="00AE0E77" w:rsidRDefault="00AE0E77" w:rsidP="00AE0E77">
      <w:pPr>
        <w:pStyle w:val="StandardWeb"/>
      </w:pPr>
      <w:r>
        <w:t>[</w:t>
      </w:r>
      <w:r>
        <w:br/>
        <w:t>R_{\mathcal{O}}</w:t>
      </w:r>
      <w:r>
        <w:br/>
        <w:t>+</w:t>
      </w:r>
      <w:r>
        <w:br/>
        <w:t>\mathfrak{D}_{\mathrm{div}}.</w:t>
      </w:r>
      <w:r>
        <w:br/>
        <w:t>\tag{3.6782}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R_{\mathcal{O}}+\mathfrak{D}_{\mathrm{div}}\qquad\text{(3.6782)}</w:t>
      </w:r>
    </w:p>
    <w:p w:rsidR="00AE0E77" w:rsidRDefault="00AE0E77" w:rsidP="00AE0E77">
      <w:pPr>
        <w:pStyle w:val="StandardWeb"/>
      </w:pPr>
      <w:r>
        <w:t>Dabei bezeichnet (\mathfrak{D}_{\mathrm{div}}) die Menge der divergierenden Operationalisierungen einschließlich ihrer wissenschaftlichen Begründung.</w:t>
      </w:r>
    </w:p>
    <w:p w:rsidR="00AE0E77" w:rsidRDefault="00E50336" w:rsidP="00AE0E77">
      <w:r>
        <w:pict>
          <v:rect id="_x0000_i1268" style="width:0;height:1.5pt" o:hralign="center" o:hrstd="t" o:hr="t" fillcolor="#a0a0a0" stroked="f"/>
        </w:pict>
      </w:r>
    </w:p>
    <w:p w:rsidR="00AE0E77" w:rsidRDefault="00AE0E77" w:rsidP="00AE0E77">
      <w:pPr>
        <w:pStyle w:val="berschrift2"/>
      </w:pPr>
      <w:r>
        <w:t>3.3.39.128 Operationalisierungsrobustheit als Falsifikationshilfe</w:t>
      </w:r>
    </w:p>
    <w:p w:rsidR="00AE0E77" w:rsidRDefault="00AE0E77" w:rsidP="00AE0E77">
      <w:pPr>
        <w:pStyle w:val="StandardWeb"/>
      </w:pPr>
      <w:r>
        <w:t>Divergierende Operationalisierungen sind nicht nur ein Problem. Sie können gezielt dazu verwendet werden, theoretische Schwächen sichtbar zu machen.</w:t>
      </w:r>
    </w:p>
    <w:p w:rsidR="00AE0E77" w:rsidRDefault="00AE0E77" w:rsidP="00AE0E77">
      <w:pPr>
        <w:pStyle w:val="StandardWeb"/>
      </w:pPr>
      <w:r>
        <w:t>Wenn zwei plausibel begründete Operationalisierungen unterschiedliche Aussageklassen liefern,</w:t>
      </w:r>
    </w:p>
    <w:p w:rsidR="00AE0E77" w:rsidRDefault="00AE0E77" w:rsidP="00AE0E77">
      <w:pPr>
        <w:pStyle w:val="StandardWeb"/>
      </w:pPr>
      <w:r>
        <w:t>[</w:t>
      </w:r>
      <w:r>
        <w:br/>
        <w:t>A_F^{(1)}</w:t>
      </w:r>
      <w:r>
        <w:br/>
        <w:t>\not\sim_A</w:t>
      </w:r>
      <w:r>
        <w:br/>
        <w:t>A_F^{(2)},</w:t>
      </w:r>
      <w:r>
        <w:br/>
        <w:t>\tag{3.6783}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A_F^{(1)}\not\sim_A A_F^{(2)}\qquad\text{(3.6783)}</w:t>
      </w:r>
    </w:p>
    <w:p w:rsidR="00AE0E77" w:rsidRDefault="00AE0E77" w:rsidP="00AE0E77">
      <w:pPr>
        <w:pStyle w:val="StandardWeb"/>
      </w:pPr>
      <w:r>
        <w:t>entsteht eine neue wissenschaftliche Frage:</w:t>
      </w:r>
    </w:p>
    <w:p w:rsidR="00AE0E77" w:rsidRDefault="00AE0E77" w:rsidP="00AE0E77">
      <w:pPr>
        <w:pStyle w:val="berschrift1"/>
      </w:pPr>
      <w:r>
        <w:t>[</w:t>
      </w:r>
      <w:r>
        <w:br/>
        <w:t>\mathcal{Q}_{\mathrm{div}}</w:t>
      </w:r>
    </w:p>
    <w:p w:rsidR="00AE0E77" w:rsidRDefault="00AE0E77" w:rsidP="00AE0E77">
      <w:pPr>
        <w:pStyle w:val="StandardWeb"/>
      </w:pPr>
      <w:r>
        <w:lastRenderedPageBreak/>
        <w:t>\operatorname{Warum}</w:t>
      </w:r>
      <w:r>
        <w:br/>
        <w:t>\left(</w:t>
      </w:r>
      <w:r>
        <w:br/>
        <w:t>A_F^{(1)}</w:t>
      </w:r>
      <w:r>
        <w:br/>
        <w:t>\not\sim_A</w:t>
      </w:r>
      <w:r>
        <w:br/>
        <w:t>A_F^{(2)}</w:t>
      </w:r>
      <w:r>
        <w:br/>
        <w:t>\right).</w:t>
      </w:r>
      <w:r>
        <w:br/>
        <w:t>\tag{3.6784}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\mathcal{Q}_{\mathrm{div}}=\operatorname{Warum}\left(A_F^{(1)}\not\sim_A A_F^{(2)}\right)\qquad\text{(3.6784)}</w:t>
      </w:r>
    </w:p>
    <w:p w:rsidR="00AE0E77" w:rsidRDefault="00AE0E77" w:rsidP="00AE0E77">
      <w:pPr>
        <w:pStyle w:val="StandardWeb"/>
      </w:pPr>
      <w:r>
        <w:t>Die Divergenz kann auf eine unvollständige Theorie, auf verborgene Kontextabhängigkeit oder auf unterschiedliche semantische Bedeutungen der Operationalisierungen hinweisen.</w:t>
      </w:r>
    </w:p>
    <w:p w:rsidR="00AE0E77" w:rsidRDefault="00AE0E77" w:rsidP="00AE0E77">
      <w:pPr>
        <w:pStyle w:val="StandardWeb"/>
      </w:pPr>
      <w:r>
        <w:t>Operationalisierungsinstabilität ist damit selbst eine potenzielle Quelle wissenschaftlicher Erkenntnis [58, 79].</w:t>
      </w:r>
    </w:p>
    <w:p w:rsidR="00AE0E77" w:rsidRDefault="00E50336" w:rsidP="00AE0E77">
      <w:r>
        <w:pict>
          <v:rect id="_x0000_i1269" style="width:0;height:1.5pt" o:hralign="center" o:hrstd="t" o:hr="t" fillcolor="#a0a0a0" stroked="f"/>
        </w:pict>
      </w:r>
    </w:p>
    <w:p w:rsidR="00AE0E77" w:rsidRDefault="00AE0E77" w:rsidP="00AE0E77">
      <w:pPr>
        <w:pStyle w:val="berschrift2"/>
      </w:pPr>
      <w:r>
        <w:t>3.3.39.129 Eigenleistung des FRZK: Trennung der Robustheitsebenen</w:t>
      </w:r>
    </w:p>
    <w:p w:rsidR="00AE0E77" w:rsidRDefault="00AE0E77" w:rsidP="00AE0E77">
      <w:pPr>
        <w:pStyle w:val="StandardWeb"/>
      </w:pPr>
      <w:r>
        <w:t>Ich fasse die verschiedenen Robustheitsebenen des FRZK nun ausdrücklich getrennt:</w:t>
      </w:r>
    </w:p>
    <w:p w:rsidR="00AE0E77" w:rsidRDefault="00AE0E77" w:rsidP="00AE0E77">
      <w:pPr>
        <w:pStyle w:val="berschrift1"/>
      </w:pPr>
      <w:r>
        <w:t>[</w:t>
      </w:r>
      <w:r>
        <w:br/>
        <w:t>\mathfrak{R}_{F}^{\mathrm{levels}}</w:t>
      </w:r>
    </w:p>
    <w:p w:rsidR="00AE0E77" w:rsidRDefault="00AE0E77" w:rsidP="00AE0E77">
      <w:pPr>
        <w:pStyle w:val="StandardWeb"/>
      </w:pPr>
      <w:r>
        <w:t>\left{</w:t>
      </w:r>
      <w:r>
        <w:br/>
        <w:t>R_{\mathrm{rep}},</w:t>
      </w:r>
      <w:r>
        <w:br/>
        <w:t>R_{\mathcal{O}},</w:t>
      </w:r>
      <w:r>
        <w:br/>
        <w:t>R_{\mathcal{M}},</w:t>
      </w:r>
      <w:r>
        <w:br/>
        <w:t>R_{\mathcal{D}},</w:t>
      </w:r>
      <w:r>
        <w:br/>
        <w:t>R_{\mathcal{C}},</w:t>
      </w:r>
      <w:r>
        <w:br/>
        <w:t>R_{\mathrm{caus}}</w:t>
      </w:r>
      <w:r>
        <w:br/>
        <w:t>\right}.</w:t>
      </w:r>
      <w:r>
        <w:br/>
        <w:t>\tag{3.6785}</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\mathfrak{R}_{F}^{\mathrm{levels}}=\left\{R_{\mathrm{rep}},R_{\mathcal{O}},R_{\mathcal{M}},R_{\mathcal{D}},R_{\mathcal{C}},R_{\mathrm{caus}}\right\}\qquad\text{(3.6785)}</w:t>
      </w:r>
    </w:p>
    <w:p w:rsidR="00AE0E77" w:rsidRDefault="00AE0E77" w:rsidP="00AE0E77">
      <w:pPr>
        <w:pStyle w:val="StandardWeb"/>
      </w:pPr>
      <w:r>
        <w:t>Dabei bezeichnet</w:t>
      </w:r>
    </w:p>
    <w:p w:rsidR="00AE0E77" w:rsidRDefault="00AE0E77" w:rsidP="008C5E65">
      <w:pPr>
        <w:pStyle w:val="StandardWeb"/>
        <w:numPr>
          <w:ilvl w:val="0"/>
          <w:numId w:val="322"/>
        </w:numPr>
      </w:pPr>
      <w:r>
        <w:t>(R_{\mathrm{rep}}) Reproduzierbarkeit,</w:t>
      </w:r>
    </w:p>
    <w:p w:rsidR="00AE0E77" w:rsidRDefault="00AE0E77" w:rsidP="008C5E65">
      <w:pPr>
        <w:pStyle w:val="StandardWeb"/>
        <w:numPr>
          <w:ilvl w:val="0"/>
          <w:numId w:val="322"/>
        </w:numPr>
      </w:pPr>
      <w:r>
        <w:lastRenderedPageBreak/>
        <w:t>(R_{\mathcal{O}}) Operationalisierungsrobustheit,</w:t>
      </w:r>
    </w:p>
    <w:p w:rsidR="00AE0E77" w:rsidRDefault="00AE0E77" w:rsidP="008C5E65">
      <w:pPr>
        <w:pStyle w:val="StandardWeb"/>
        <w:numPr>
          <w:ilvl w:val="0"/>
          <w:numId w:val="322"/>
        </w:numPr>
      </w:pPr>
      <w:r>
        <w:t>(R_{\mathcal{M}}) Modellrobustheit,</w:t>
      </w:r>
    </w:p>
    <w:p w:rsidR="00AE0E77" w:rsidRDefault="00AE0E77" w:rsidP="008C5E65">
      <w:pPr>
        <w:pStyle w:val="StandardWeb"/>
        <w:numPr>
          <w:ilvl w:val="0"/>
          <w:numId w:val="322"/>
        </w:numPr>
      </w:pPr>
      <w:r>
        <w:t>(R_{\mathcal{D}}) Daten- beziehungsweise Stichprobenrobustheit,</w:t>
      </w:r>
    </w:p>
    <w:p w:rsidR="00AE0E77" w:rsidRDefault="00AE0E77" w:rsidP="008C5E65">
      <w:pPr>
        <w:pStyle w:val="StandardWeb"/>
        <w:numPr>
          <w:ilvl w:val="0"/>
          <w:numId w:val="322"/>
        </w:numPr>
      </w:pPr>
      <w:r>
        <w:t>(R_{\mathcal{C}}) Kontext- beziehungsweise Transportrobustheit,</w:t>
      </w:r>
    </w:p>
    <w:p w:rsidR="00AE0E77" w:rsidRDefault="00AE0E77" w:rsidP="008C5E65">
      <w:pPr>
        <w:pStyle w:val="StandardWeb"/>
        <w:numPr>
          <w:ilvl w:val="0"/>
          <w:numId w:val="322"/>
        </w:numPr>
      </w:pPr>
      <w:r>
        <w:t>(R_{\mathrm{caus}}) Robustheit kausaler Interpretationen.</w:t>
      </w:r>
    </w:p>
    <w:p w:rsidR="00AE0E77" w:rsidRDefault="00AE0E77" w:rsidP="00AE0E77">
      <w:pPr>
        <w:pStyle w:val="StandardWeb"/>
      </w:pPr>
      <w:r>
        <w:t>Die Eigenleistung besteht hier nicht in der Behauptung, diese wissenschaftlichen Probleme erstmals zu entdecken, sondern in ihrer systematischen Integration in eine gemeinsame FRZK-Prüfarchitektur.</w:t>
      </w:r>
    </w:p>
    <w:p w:rsidR="00AE0E77" w:rsidRDefault="00E50336" w:rsidP="00AE0E77">
      <w:r>
        <w:pict>
          <v:rect id="_x0000_i1270" style="width:0;height:1.5pt" o:hralign="center" o:hrstd="t" o:hr="t" fillcolor="#a0a0a0" stroked="f"/>
        </w:pict>
      </w:r>
    </w:p>
    <w:p w:rsidR="00AE0E77" w:rsidRDefault="00AE0E77" w:rsidP="00AE0E77">
      <w:pPr>
        <w:pStyle w:val="berschrift2"/>
      </w:pPr>
      <w:r>
        <w:t>3.3.39.130 Erweiterte wissenschaftliche Prüfkette</w:t>
      </w:r>
    </w:p>
    <w:p w:rsidR="00AE0E77" w:rsidRDefault="00AE0E77" w:rsidP="00AE0E77">
      <w:pPr>
        <w:pStyle w:val="StandardWeb"/>
      </w:pPr>
      <w:r>
        <w:t>Die bisherige wissenschaftliche Prüfkette kann nun erweitert werden:</w:t>
      </w:r>
    </w:p>
    <w:p w:rsidR="00AE0E77" w:rsidRDefault="00AE0E77" w:rsidP="00AE0E77">
      <w:pPr>
        <w:pStyle w:val="StandardWeb"/>
      </w:pPr>
      <w:r>
        <w:t>[</w:t>
      </w:r>
      <w:r>
        <w:br/>
        <w:t>\mathcal{K}</w:t>
      </w:r>
      <w:r>
        <w:rPr>
          <w:rStyle w:val="Hervorhebung"/>
        </w:rPr>
        <w:t>{F}</w:t>
      </w:r>
      <w:r>
        <w:rPr>
          <w:i/>
          <w:iCs/>
        </w:rPr>
        <w:br/>
      </w:r>
      <w:r>
        <w:rPr>
          <w:rStyle w:val="Hervorhebung"/>
        </w:rPr>
        <w:t>\rightarrow</w:t>
      </w:r>
      <w:r>
        <w:rPr>
          <w:i/>
          <w:iCs/>
        </w:rPr>
        <w:br/>
      </w:r>
      <w:r>
        <w:rPr>
          <w:rStyle w:val="Hervorhebung"/>
        </w:rPr>
        <w:t>\mathcal{O}</w:t>
      </w:r>
      <w:r>
        <w:rPr>
          <w:i/>
          <w:iCs/>
        </w:rPr>
        <w:br/>
      </w:r>
      <w:r>
        <w:rPr>
          <w:rStyle w:val="Hervorhebung"/>
        </w:rPr>
        <w:t>\rightarrow</w:t>
      </w:r>
      <w:r>
        <w:rPr>
          <w:i/>
          <w:iCs/>
        </w:rPr>
        <w:br/>
      </w:r>
      <w:r>
        <w:rPr>
          <w:rStyle w:val="Hervorhebung"/>
        </w:rPr>
        <w:t>\mathcal{D}</w:t>
      </w:r>
      <w:r>
        <w:rPr>
          <w:i/>
          <w:iCs/>
        </w:rPr>
        <w:br/>
      </w:r>
      <w:r>
        <w:rPr>
          <w:rStyle w:val="Hervorhebung"/>
        </w:rPr>
        <w:t>\rightarrow</w:t>
      </w:r>
      <w:r>
        <w:rPr>
          <w:i/>
          <w:iCs/>
        </w:rPr>
        <w:br/>
      </w:r>
      <w:r>
        <w:rPr>
          <w:rStyle w:val="Hervorhebung"/>
        </w:rPr>
        <w:t>\mathcal{M}</w:t>
      </w:r>
      <w:r>
        <w:rPr>
          <w:i/>
          <w:iCs/>
        </w:rPr>
        <w:br/>
      </w:r>
      <w:r>
        <w:rPr>
          <w:rStyle w:val="Hervorhebung"/>
        </w:rPr>
        <w:t>\rightarrow</w:t>
      </w:r>
      <w:r>
        <w:rPr>
          <w:i/>
          <w:iCs/>
        </w:rPr>
        <w:br/>
      </w:r>
      <w:r>
        <w:rPr>
          <w:rStyle w:val="Hervorhebung"/>
        </w:rPr>
        <w:t>A_F</w:t>
      </w:r>
      <w:r>
        <w:rPr>
          <w:i/>
          <w:iCs/>
        </w:rPr>
        <w:br/>
      </w:r>
      <w:r>
        <w:rPr>
          <w:rStyle w:val="Hervorhebung"/>
        </w:rPr>
        <w:t>\rightarrow</w:t>
      </w:r>
      <w:r>
        <w:rPr>
          <w:i/>
          <w:iCs/>
        </w:rPr>
        <w:br/>
      </w:r>
      <w:r>
        <w:rPr>
          <w:rStyle w:val="Hervorhebung"/>
        </w:rPr>
        <w:t>R</w:t>
      </w:r>
      <w:r>
        <w:t>{\mathrm{rep}}</w:t>
      </w:r>
      <w:r>
        <w:br/>
        <w:t>\rightarrow</w:t>
      </w:r>
      <w:r>
        <w:br/>
        <w:t>R_{\mathcal{O}}</w:t>
      </w:r>
      <w:r>
        <w:br/>
        <w:t>\rightarrow</w:t>
      </w:r>
      <w:r>
        <w:br/>
        <w:t>R_{\mathcal{M}}</w:t>
      </w:r>
      <w:r>
        <w:br/>
        <w:t>\rightarrow</w:t>
      </w:r>
      <w:r>
        <w:br/>
        <w:t>R_{\mathcal{C}}.</w:t>
      </w:r>
      <w:r>
        <w:br/>
        <w:t>\tag{3.6786}</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\mathcal{K}_{F}\rightarrow\mathcal{O}\rightarrow\mathcal{D}\rightarrow\mathcal{M}\rightarrow A_F\rightarrow R_{\mathrm{rep}}\rightarrow R_{\mathcal{O}}\rightarrow R_{\mathcal{M}}\rightarrow R_{\mathcal{C}}\qquad\text{(3.6786)}</w:t>
      </w:r>
    </w:p>
    <w:p w:rsidR="00AE0E77" w:rsidRDefault="00AE0E77" w:rsidP="00AE0E77">
      <w:pPr>
        <w:pStyle w:val="StandardWeb"/>
      </w:pPr>
      <w:r>
        <w:t>Für kausale Aussagen kommt anschließend hinzu</w:t>
      </w:r>
    </w:p>
    <w:p w:rsidR="00AE0E77" w:rsidRDefault="00AE0E77" w:rsidP="00AE0E77">
      <w:pPr>
        <w:pStyle w:val="StandardWeb"/>
      </w:pPr>
      <w:r>
        <w:t>[</w:t>
      </w:r>
      <w:r>
        <w:br/>
        <w:t>R_{\mathrm{caus}}.</w:t>
      </w:r>
      <w:r>
        <w:br/>
        <w:t>\tag{3.6787}</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lastRenderedPageBreak/>
        <w:t>R_{\mathrm{caus}}\qquad\text{(3.6787)}</w:t>
      </w:r>
    </w:p>
    <w:p w:rsidR="00AE0E77" w:rsidRDefault="00AE0E77" w:rsidP="00AE0E77">
      <w:pPr>
        <w:pStyle w:val="StandardWeb"/>
      </w:pPr>
      <w:r>
        <w:t>Damit wird sichtbar, dass die Stärke einer wissenschaftlichen Aussage nicht aus einem einzigen Testergebnis entsteht, sondern aus einer Folge voneinander unterscheidbarer Prüfungen.</w:t>
      </w:r>
    </w:p>
    <w:p w:rsidR="00AE0E77" w:rsidRDefault="00E50336" w:rsidP="00AE0E77">
      <w:r>
        <w:pict>
          <v:rect id="_x0000_i1271" style="width:0;height:1.5pt" o:hralign="center" o:hrstd="t" o:hr="t" fillcolor="#a0a0a0" stroked="f"/>
        </w:pict>
      </w:r>
    </w:p>
    <w:p w:rsidR="00AE0E77" w:rsidRDefault="00AE0E77" w:rsidP="00AE0E77">
      <w:pPr>
        <w:pStyle w:val="berschrift2"/>
      </w:pPr>
      <w:r>
        <w:t>3.3.39.131 Operationalisierungsrobustheit als Nichtaxiom</w:t>
      </w:r>
    </w:p>
    <w:p w:rsidR="00AE0E77" w:rsidRDefault="00AE0E77" w:rsidP="00AE0E77">
      <w:pPr>
        <w:pStyle w:val="StandardWeb"/>
      </w:pPr>
      <w:r>
        <w:t xml:space="preserve">Die Operationalisierungsrobustheit ist ausdrücklich </w:t>
      </w:r>
      <w:r>
        <w:rPr>
          <w:rStyle w:val="Fett"/>
        </w:rPr>
        <w:t>kein Primäraxiom</w:t>
      </w:r>
      <w:r>
        <w:t xml:space="preserve"> des FRZK.</w:t>
      </w:r>
    </w:p>
    <w:p w:rsidR="00AE0E77" w:rsidRDefault="00AE0E77" w:rsidP="00AE0E77">
      <w:pPr>
        <w:pStyle w:val="StandardWeb"/>
      </w:pPr>
      <w:r>
        <w:t>Die drei Primäraxiome bestimmen weiterhin die elementaren Voraussetzungen funktionaler Bestimmbarkeit, Relationierbarkeit und Transformierbarkeit. Operationalisierungsrobustheit betrifft dagegen die empirische Repräsentation und wissenschaftliche Prüfung konkreter Anwendungen.</w:t>
      </w:r>
    </w:p>
    <w:p w:rsidR="00AE0E77" w:rsidRDefault="00AE0E77" w:rsidP="00AE0E77">
      <w:pPr>
        <w:pStyle w:val="StandardWeb"/>
      </w:pPr>
      <w:r>
        <w:t>Formal gilt daher</w:t>
      </w:r>
    </w:p>
    <w:p w:rsidR="00AE0E77" w:rsidRDefault="00AE0E77" w:rsidP="00AE0E77">
      <w:pPr>
        <w:pStyle w:val="StandardWeb"/>
      </w:pPr>
      <w:r>
        <w:t>[</w:t>
      </w:r>
      <w:r>
        <w:br/>
        <w:t>\operatorname{ORob}</w:t>
      </w:r>
      <w:r>
        <w:rPr>
          <w:rStyle w:val="Hervorhebung"/>
        </w:rPr>
        <w:t>{F}</w:t>
      </w:r>
      <w:r>
        <w:rPr>
          <w:i/>
          <w:iCs/>
        </w:rPr>
        <w:br/>
      </w:r>
      <w:r>
        <w:rPr>
          <w:rStyle w:val="Hervorhebung"/>
        </w:rPr>
        <w:t>\notin</w:t>
      </w:r>
      <w:r>
        <w:rPr>
          <w:i/>
          <w:iCs/>
        </w:rPr>
        <w:br/>
      </w:r>
      <w:r>
        <w:rPr>
          <w:rStyle w:val="Hervorhebung"/>
        </w:rPr>
        <w:t>\mathfrak{A}</w:t>
      </w:r>
      <w:r>
        <w:t>{\mathrm{prim}}.</w:t>
      </w:r>
      <w:r>
        <w:br/>
        <w:t>\tag{3.6788}</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\operatorname{ORob}_{F}\notin\mathfrak{A}_{\mathrm{prim}}\qquad\text{(3.6788)}</w:t>
      </w:r>
    </w:p>
    <w:p w:rsidR="00AE0E77" w:rsidRDefault="00AE0E77" w:rsidP="00AE0E77">
      <w:pPr>
        <w:pStyle w:val="StandardWeb"/>
      </w:pPr>
      <w:r>
        <w:t>Dabei bezeichnet (\mathfrak{A}_{\mathrm{prim}}) die Menge der FRZK-Primäraxiome.</w:t>
      </w:r>
    </w:p>
    <w:p w:rsidR="00AE0E77" w:rsidRDefault="00AE0E77" w:rsidP="00AE0E77">
      <w:pPr>
        <w:pStyle w:val="StandardWeb"/>
      </w:pPr>
      <w:r>
        <w:t>Operationalisierungsrobustheit gehört vielmehr zur methodologischen Prüfarchitektur:</w:t>
      </w:r>
    </w:p>
    <w:p w:rsidR="00AE0E77" w:rsidRDefault="00AE0E77" w:rsidP="00AE0E77">
      <w:pPr>
        <w:pStyle w:val="StandardWeb"/>
      </w:pPr>
      <w:r>
        <w:t>[</w:t>
      </w:r>
      <w:r>
        <w:br/>
        <w:t>\operatorname{ORob}</w:t>
      </w:r>
      <w:r>
        <w:rPr>
          <w:rStyle w:val="Hervorhebung"/>
        </w:rPr>
        <w:t>{F}</w:t>
      </w:r>
      <w:r>
        <w:rPr>
          <w:i/>
          <w:iCs/>
        </w:rPr>
        <w:br/>
      </w:r>
      <w:r>
        <w:rPr>
          <w:rStyle w:val="Hervorhebung"/>
        </w:rPr>
        <w:t>\in</w:t>
      </w:r>
      <w:r>
        <w:rPr>
          <w:i/>
          <w:iCs/>
        </w:rPr>
        <w:br/>
      </w:r>
      <w:r>
        <w:rPr>
          <w:rStyle w:val="Hervorhebung"/>
        </w:rPr>
        <w:t>\mathfrak{M}</w:t>
      </w:r>
      <w:r>
        <w:t>{\mathrm{prüf}}.</w:t>
      </w:r>
      <w:r>
        <w:br/>
        <w:t>\tag{3.6789}</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\operatorname{ORob}_{F}\in\mathfrak{M}_{\mathrm{prüf}}\qquad\text{(3.6789)}</w:t>
      </w:r>
    </w:p>
    <w:p w:rsidR="00AE0E77" w:rsidRDefault="00AE0E77" w:rsidP="00AE0E77">
      <w:pPr>
        <w:pStyle w:val="StandardWeb"/>
      </w:pPr>
      <w:r>
        <w:t>Diese Abgrenzung verhindert, dass empirische Qualitätskriterien nachträglich als ontologische Eigenschaften des FRZK interpretiert werden.</w:t>
      </w:r>
    </w:p>
    <w:p w:rsidR="00AE0E77" w:rsidRDefault="00E50336" w:rsidP="00AE0E77">
      <w:r>
        <w:pict>
          <v:rect id="_x0000_i1272" style="width:0;height:1.5pt" o:hralign="center" o:hrstd="t" o:hr="t" fillcolor="#a0a0a0" stroked="f"/>
        </w:pict>
      </w:r>
    </w:p>
    <w:p w:rsidR="00AE0E77" w:rsidRDefault="00AE0E77" w:rsidP="00AE0E77">
      <w:pPr>
        <w:pStyle w:val="berschrift1"/>
      </w:pPr>
      <w:r>
        <w:lastRenderedPageBreak/>
        <w:t>3.3.39.132 Methodologische Betrachtungen</w:t>
      </w:r>
    </w:p>
    <w:p w:rsidR="00AE0E77" w:rsidRDefault="00AE0E77" w:rsidP="00AE0E77">
      <w:pPr>
        <w:pStyle w:val="StandardWeb"/>
      </w:pPr>
      <w:r>
        <w:t>Mit der Prüfung der Operationalisierungsrobustheit schließe ich eine methodische Lücke, die zwischen theoretischer Definition und empirischer Auswertung liegt. Ein mathematisches oder funktionales Konzept kann innerhalb einer Theorie präzise definiert sein, ohne dass damit bereits festgelegt wäre, wie dieses Konzept in konkreten Daten erkannt, gemessen oder berechnet werden soll. Genau an dieser Schnittstelle entsteht Operationalisierung [58, 59, 79].</w:t>
      </w:r>
    </w:p>
    <w:p w:rsidR="00AE0E77" w:rsidRDefault="00AE0E77" w:rsidP="00AE0E77">
      <w:pPr>
        <w:pStyle w:val="StandardWeb"/>
      </w:pPr>
      <w:r>
        <w:t xml:space="preserve">Die erste methodologische Konsequenz lautet deshalb: </w:t>
      </w:r>
      <w:r>
        <w:rPr>
          <w:rStyle w:val="Fett"/>
        </w:rPr>
        <w:t>Ein theoretischer Begriff und seine empirische Repräsentation dürfen nicht miteinander identifiziert werden.</w:t>
      </w:r>
      <w:r>
        <w:t xml:space="preserve"> Wenn ich beispielsweise funktionale Kohärenz theoretisch definiere und anschließend einen numerischen Kohärenzwert berechne, ist dieser Wert nicht die Kohärenz selbst. Er ist das Ergebnis einer konkreten Mess- und Auswertungsregel, die unter bestimmten Voraussetzungen als Repräsentation des theoretischen Konzeptes verwendet wird [58, 59].</w:t>
      </w:r>
    </w:p>
    <w:p w:rsidR="00AE0E77" w:rsidRDefault="00AE0E77" w:rsidP="00AE0E77">
      <w:pPr>
        <w:pStyle w:val="StandardWeb"/>
      </w:pPr>
      <w:r>
        <w:t>Diese Trennung ist für das FRZK besonders wichtig, weil viele zentrale Größen nicht unmittelbar beobachtbar sind. Zustände, semantische Strukturen, funktionale Beziehungen, Kohärenz, Drift und kritische Übergänge werden durch mehrstufige Verarbeitungsprozesse aus empirischen Daten rekonstruiert. Jede dieser Stufen kann wissenschaftliche Entscheidungen enthalten [58, 79].</w:t>
      </w:r>
    </w:p>
    <w:p w:rsidR="00AE0E77" w:rsidRDefault="00AE0E77" w:rsidP="00AE0E77">
      <w:pPr>
        <w:pStyle w:val="StandardWeb"/>
      </w:pPr>
      <w:r>
        <w:t>Die zweite Konsequenz betrifft die Zulässigkeit alternativer Operationalisierungen. Robustheitsprüfung darf nicht bedeuten, beliebige Messmethoden miteinander zu vergleichen. Eine Alternative muss theoretisch begründet auf dasselbe Konzept bezogen sein. Andernfalls würde nicht Robustheit geprüft, sondern es würden unterschiedliche Gegenstände miteinander verglichen [58, 59].</w:t>
      </w:r>
    </w:p>
    <w:p w:rsidR="00AE0E77" w:rsidRDefault="00AE0E77" w:rsidP="00AE0E77">
      <w:pPr>
        <w:pStyle w:val="StandardWeb"/>
      </w:pPr>
      <w:r>
        <w:t>Damit entsteht eine klare Reihenfolge: Zuerst muss das theoretische Konzept bestimmt werden. Danach werden wissenschaftlich zulässige Operationalisierungen abgeleitet. Erst anschließend kann die Robustheit der resultierenden Aussagen untersucht werden.</w:t>
      </w:r>
    </w:p>
    <w:p w:rsidR="00AE0E77" w:rsidRDefault="00AE0E77" w:rsidP="00AE0E77">
      <w:pPr>
        <w:pStyle w:val="StandardWeb"/>
      </w:pPr>
      <w:r>
        <w:t>Die dritte Konsequenz betrifft die Unterscheidung zwischen numerischer und funktionaler Übereinstimmung. Zwei Operationalisierungen müssen nicht dieselben Zahlenwerte erzeugen, um dieselbe wissenschaftliche Aussage zu tragen. Unterschiedliche Skalierungen, Transformationen oder Aggregationen können numerisch verschiedene Ergebnisse erzeugen, obwohl Rangfolge, Vorzeichen, Relationsstruktur oder Aussageklasse erhalten bleiben [59, 79].</w:t>
      </w:r>
    </w:p>
    <w:p w:rsidR="00AE0E77" w:rsidRDefault="00AE0E77" w:rsidP="00AE0E77">
      <w:pPr>
        <w:pStyle w:val="StandardWeb"/>
      </w:pPr>
      <w:r>
        <w:t>Diese Unterscheidung ist innerhalb des FRZK von besonderer Bedeutung. Die Theorie untersucht funktionale Strukturen. Deshalb kann die Erhaltung einer Relation wissenschaftlich wichtiger sein als die Gleichheit ihrer konkreten numerischen Darstellung.</w:t>
      </w:r>
    </w:p>
    <w:p w:rsidR="00AE0E77" w:rsidRDefault="00AE0E77" w:rsidP="00AE0E77">
      <w:pPr>
        <w:pStyle w:val="StandardWeb"/>
      </w:pPr>
      <w:r>
        <w:t>Ein Beispiel dafür ist Kohärenz. Zwei Kohärenzmaße können unterschiedliche Wertebereiche besitzen. Wenn beide jedoch unabhängig voneinander dieselbe Aussage liefern, dass System (A) kohärenter als System (B) ist und dass eine bestimmte Intervention die Kohärenz erhöht, kann diese Aussage funktional robust sein, obwohl die numerischen Werte nicht identisch sind.</w:t>
      </w:r>
    </w:p>
    <w:p w:rsidR="00AE0E77" w:rsidRDefault="00AE0E77" w:rsidP="00AE0E77">
      <w:pPr>
        <w:pStyle w:val="StandardWeb"/>
      </w:pPr>
      <w:r>
        <w:t xml:space="preserve">Die vierte Konsequenz betrifft Schwellenwerte. Sobald kontinuierliche Größen in Klassen überführt werden, entsteht eine zusätzliche methodische Entscheidung. Ein Zustand </w:t>
      </w:r>
      <w:r>
        <w:lastRenderedPageBreak/>
        <w:t>unmittelbar neben einer Klassengrenze kann durch eine geringfügige Änderung des Schwellenwertes einer anderen Klasse zugeordnet werden. Eine harte kategoriale Aussage darf deshalb nicht dieselbe epistemische Sicherheit beanspruchen wie eine Beobachtung, die weit entfernt von allen plausiblen Klassengrenzen liegt [58, 79].</w:t>
      </w:r>
    </w:p>
    <w:p w:rsidR="00AE0E77" w:rsidRDefault="00AE0E77" w:rsidP="00AE0E77">
      <w:pPr>
        <w:pStyle w:val="StandardWeb"/>
      </w:pPr>
      <w:r>
        <w:t>Daraus folgt, dass Schwellenwerte nicht lediglich als technische Konstanten dokumentiert werden dürfen. Sie sind Bestandteil der wissenschaftlichen Operationalisierung.</w:t>
      </w:r>
    </w:p>
    <w:p w:rsidR="00AE0E77" w:rsidRDefault="00AE0E77" w:rsidP="00AE0E77">
      <w:pPr>
        <w:pStyle w:val="StandardWeb"/>
      </w:pPr>
      <w:r>
        <w:t>Die fünfte Konsequenz betrifft Zeitfenster und Aggregation. Dynamische Systeme können auf unterschiedlichen Zeitskalen verschiedene Strukturen zeigen. Ein großes Zeitfenster kann kurzfristige Veränderungen glätten. Ein sehr kleines Fenster kann dagegen zufällige Schwankungen überbetonen. Eine zeitliche FRZK-Aussage muss deshalb immer zusammen mit der verwendeten Auflösung und Aggregationsregel interpretiert werden [59].</w:t>
      </w:r>
    </w:p>
    <w:p w:rsidR="00AE0E77" w:rsidRDefault="00AE0E77" w:rsidP="00AE0E77">
      <w:pPr>
        <w:pStyle w:val="StandardWeb"/>
      </w:pPr>
      <w:r>
        <w:t>Gerade für Drift, Rückkopplungen und kritische Übergänge ist diese Regel unverzichtbar. Ein kritischer Übergang, der nur unter einer einzigen hochspezifischen Fensterbreite sichtbar wird, besitzt eine andere wissenschaftliche Qualität als ein Übergang, der über einen begründbaren Bereich von Zeitfenstern erhalten bleibt.</w:t>
      </w:r>
    </w:p>
    <w:p w:rsidR="00AE0E77" w:rsidRDefault="00AE0E77" w:rsidP="00AE0E77">
      <w:pPr>
        <w:pStyle w:val="StandardWeb"/>
      </w:pPr>
      <w:r>
        <w:t>Die sechste Konsequenz betrifft Referenzzustände. Drift existiert nicht unabhängig von der Frage, relativ wozu eine Abweichung gemessen wird. Ein fester Anfangszustand und ein gleitender Referenzzustand beantworten unterschiedliche wissenschaftliche Fragen. Beide können legitim sein, dürfen jedoch nicht unbemerkt gegeneinander ausgetauscht werden.</w:t>
      </w:r>
    </w:p>
    <w:p w:rsidR="00AE0E77" w:rsidRDefault="00AE0E77" w:rsidP="00AE0E77">
      <w:pPr>
        <w:pStyle w:val="StandardWeb"/>
      </w:pPr>
      <w:r>
        <w:t>Damit wird deutlich, dass bereits die Wahl eines Referenzpunktes theoretischen Gehalt besitzt.</w:t>
      </w:r>
    </w:p>
    <w:p w:rsidR="00AE0E77" w:rsidRDefault="00AE0E77" w:rsidP="00AE0E77">
      <w:pPr>
        <w:pStyle w:val="StandardWeb"/>
      </w:pPr>
      <w:r>
        <w:t>Die siebte Konsequenz betrifft Validität und Robustheit. Eine Operationalisierung kann stabil falsch sein. Mehrere methodisch ähnliche Verfahren können dieselbe systematische Verzerrung besitzen. Deshalb kann ein hoher Robustheitsgrad niemals die Frage ersetzen, ob die verwendeten Operationalisierungen das theoretische Konzept tatsächlich angemessen repräsentieren [58, 79].</w:t>
      </w:r>
    </w:p>
    <w:p w:rsidR="00AE0E77" w:rsidRDefault="00AE0E77" w:rsidP="00AE0E77">
      <w:pPr>
        <w:pStyle w:val="StandardWeb"/>
      </w:pPr>
      <w:r>
        <w:t>Ich trenne deshalb ausdrücklich die beiden Dimensionen</w:t>
      </w:r>
    </w:p>
    <w:p w:rsidR="00AE0E77" w:rsidRDefault="00AE0E77" w:rsidP="00AE0E77">
      <w:pPr>
        <w:pStyle w:val="StandardWeb"/>
      </w:pPr>
      <w:r>
        <w:t>[</w:t>
      </w:r>
      <w:r>
        <w:br/>
        <w:t>\text{Validität}</w:t>
      </w:r>
      <w:r>
        <w:br/>
        <w:t>\qquad\text{und}\qquad</w:t>
      </w:r>
      <w:r>
        <w:br/>
        <w:t>\text{Robustheit}.</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\text{Validität}\qquad\text{und}\qquad\text{Robustheit}</w:t>
      </w:r>
    </w:p>
    <w:p w:rsidR="00AE0E77" w:rsidRDefault="00AE0E77" w:rsidP="00AE0E77">
      <w:pPr>
        <w:pStyle w:val="StandardWeb"/>
      </w:pPr>
      <w:r>
        <w:t>Eine wissenschaftlich besonders starke Situation liegt erst dann vor, wenn beide Dimensionen hoch sind.</w:t>
      </w:r>
    </w:p>
    <w:p w:rsidR="00AE0E77" w:rsidRDefault="00AE0E77" w:rsidP="00AE0E77">
      <w:pPr>
        <w:pStyle w:val="StandardWeb"/>
      </w:pPr>
      <w:r>
        <w:t xml:space="preserve">Die achte Konsequenz betrifft Reproduzierbarkeit. Satz 3.3.22 zeigt formal, dass perfekte Reproduzierbarkeit innerhalb einer festgelegten Operationalisierung keine Robustheit </w:t>
      </w:r>
      <w:r>
        <w:lastRenderedPageBreak/>
        <w:t>gegenüber alternativen Operationalisierungen garantiert. Diese Trennung ist methodologisch zentral [58, 59].</w:t>
      </w:r>
    </w:p>
    <w:p w:rsidR="00AE0E77" w:rsidRDefault="00AE0E77" w:rsidP="00AE0E77">
      <w:pPr>
        <w:pStyle w:val="StandardWeb"/>
      </w:pPr>
      <w:r>
        <w:t>Eine Software kann beispielsweise bei jeder Ausführung exakt denselben Wert erzeugen. Wenn dieser Wert jedoch vollständig von einer fragilen Schwellenwertentscheidung abhängt, ist die Berechnung technisch perfekt reproduzierbar und wissenschaftlich dennoch operationalisierungsinstabil.</w:t>
      </w:r>
    </w:p>
    <w:p w:rsidR="00AE0E77" w:rsidRDefault="00AE0E77" w:rsidP="00AE0E77">
      <w:pPr>
        <w:pStyle w:val="StandardWeb"/>
      </w:pPr>
      <w:r>
        <w:t>Damit muss ich künftig bei empirischen FRZK-Aussagen mindestens zwei verschiedene Fragen stellen:</w:t>
      </w:r>
    </w:p>
    <w:p w:rsidR="00AE0E77" w:rsidRDefault="00AE0E77" w:rsidP="00AE0E77">
      <w:pPr>
        <w:pStyle w:val="StandardWeb"/>
      </w:pPr>
      <w:r>
        <w:rPr>
          <w:rStyle w:val="Fett"/>
        </w:rPr>
        <w:t>Ist die Analyse reproduzierbar?</w:t>
      </w:r>
    </w:p>
    <w:p w:rsidR="00AE0E77" w:rsidRDefault="00AE0E77" w:rsidP="00AE0E77">
      <w:pPr>
        <w:pStyle w:val="StandardWeb"/>
      </w:pPr>
      <w:r>
        <w:rPr>
          <w:rStyle w:val="Fett"/>
        </w:rPr>
        <w:t>Ist die Aussage operationalisierungsrobust?</w:t>
      </w:r>
    </w:p>
    <w:p w:rsidR="00AE0E77" w:rsidRDefault="00AE0E77" w:rsidP="00AE0E77">
      <w:pPr>
        <w:pStyle w:val="StandardWeb"/>
      </w:pPr>
      <w:r>
        <w:t>Die neunte Konsequenz betrifft die Identifizierbarkeit. Eine Operationalisierung kann Information so stark komprimieren, dass relevante Parameter nicht mehr eindeutig rekonstruierbar sind. Eine andere Operationalisierung desselben theoretischen Konzeptes kann dagegen hinreichend Information erhalten. Deshalb gehört Identifizierbarkeit ausdrücklich in die Robustheitsanalyse.</w:t>
      </w:r>
    </w:p>
    <w:p w:rsidR="00AE0E77" w:rsidRDefault="00AE0E77" w:rsidP="00AE0E77">
      <w:pPr>
        <w:pStyle w:val="StandardWeb"/>
      </w:pPr>
      <w:r>
        <w:t>Die zehnte Konsequenz betrifft Informationsverlust. Nicht jeder Informationsverlust ist problematisch. Wissenschaftliche Modelle abstrahieren notwendigerweise. Entscheidend ist, ob gerade die für eine konkrete Aussage relevante Information verloren geht.</w:t>
      </w:r>
    </w:p>
    <w:p w:rsidR="00AE0E77" w:rsidRDefault="00AE0E77" w:rsidP="00AE0E77">
      <w:pPr>
        <w:pStyle w:val="StandardWeb"/>
      </w:pPr>
      <w:r>
        <w:t>Diese Unterscheidung zwischen allgemeinem Informationsverlust und aussagerelevantem Informationsverlust verhindert eine naive Forderung nach maximaler Datenerhaltung. Ein gutes wissenschaftliches Modell darf vereinfachen, solange die für seine Aussage notwendigen Strukturen erhalten bleiben.</w:t>
      </w:r>
    </w:p>
    <w:p w:rsidR="00AE0E77" w:rsidRDefault="00AE0E77" w:rsidP="00AE0E77">
      <w:pPr>
        <w:pStyle w:val="StandardWeb"/>
      </w:pPr>
      <w:r>
        <w:t>Die elfte Konsequenz betrifft Kontext und Transportierbarkeit. Unterschiedliche Operationalisierungen in Quell- und Zielkontext können scheinbare Unterschiede erzeugen, die nicht aus dem untersuchten System, sondern aus der Messmethode stammen. Umgekehrt können dieselben formalen Operationalisierungen in verschiedenen Kontexten unterschiedliche semantische Bedeutungen besitzen [58, 59].</w:t>
      </w:r>
    </w:p>
    <w:p w:rsidR="00AE0E77" w:rsidRDefault="00AE0E77" w:rsidP="00AE0E77">
      <w:pPr>
        <w:pStyle w:val="StandardWeb"/>
      </w:pPr>
      <w:r>
        <w:t>Damit ergibt sich eine doppelte Prüfpflicht: Beim Transport einer Aussage muss sowohl die strukturelle Vergleichbarkeit der Kontexte als auch die Vergleichbarkeit ihrer Operationalisierungen geprüft werden.</w:t>
      </w:r>
    </w:p>
    <w:p w:rsidR="00AE0E77" w:rsidRDefault="00AE0E77" w:rsidP="00AE0E77">
      <w:pPr>
        <w:pStyle w:val="StandardWeb"/>
      </w:pPr>
      <w:r>
        <w:t>Die zwölfte Konsequenz betrifft Kausalität. Wenn Ursache oder Wirkung unterschiedlich operationalisiert werden, können scheinbar unterschiedliche Kausaleffekte entstehen, obwohl sich die zugrunde liegende Kausalstruktur nicht verändert hat. Besonders kritisch ist dies, wenn verschiedene Operationalisierungen faktisch unterschiedliche Konstrukte erfassen.</w:t>
      </w:r>
    </w:p>
    <w:p w:rsidR="00AE0E77" w:rsidRDefault="00AE0E77" w:rsidP="00AE0E77">
      <w:pPr>
        <w:pStyle w:val="StandardWeb"/>
      </w:pPr>
      <w:r>
        <w:t>Kausale Robustheit setzt deshalb eine hinreichende semantische Äquivalenz der Operationalisierungen voraus.</w:t>
      </w:r>
    </w:p>
    <w:p w:rsidR="00AE0E77" w:rsidRDefault="00AE0E77" w:rsidP="00AE0E77">
      <w:pPr>
        <w:pStyle w:val="StandardWeb"/>
      </w:pPr>
      <w:r>
        <w:t xml:space="preserve">Die dreizehnte Konsequenz betrifft softwaregestützte Analyse. Algorithmuswahl, Normalisierung, Filterung, Missing-Data-Behandlung, Ausreißerbehandlung, Aggregationsreihenfolge und Implementierungsdetails können Teil der Operationalisierung </w:t>
      </w:r>
      <w:r>
        <w:lastRenderedPageBreak/>
        <w:t>werden. Diese Entscheidungen dürfen deshalb nicht aus der wissenschaftlichen Dokumentation ausgelagert werden.</w:t>
      </w:r>
    </w:p>
    <w:p w:rsidR="00AE0E77" w:rsidRDefault="00AE0E77" w:rsidP="00AE0E77">
      <w:pPr>
        <w:pStyle w:val="StandardWeb"/>
      </w:pPr>
      <w:r>
        <w:t>Im FRZK muss eine empirische Aussage grundsätzlich bis zu ihrer Verarbeitungskette zurückverfolgbar sein.</w:t>
      </w:r>
    </w:p>
    <w:p w:rsidR="00AE0E77" w:rsidRDefault="00AE0E77" w:rsidP="00AE0E77">
      <w:pPr>
        <w:pStyle w:val="StandardWeb"/>
      </w:pPr>
      <w:r>
        <w:t>Die vierzehnte Konsequenz betrifft Selektionsfreiheit. Werden viele Operationalisierungen geprüft und ausschließlich diejenigen berichtet, die die gewünschte Schlussfolgerung erzeugen, verliert die Robustheitsanalyse ihren Sinn. Deshalb muss die Menge getesteter Varianten vollständig dokumentiert werden [58, 79].</w:t>
      </w:r>
    </w:p>
    <w:p w:rsidR="00AE0E77" w:rsidRDefault="00AE0E77" w:rsidP="00AE0E77">
      <w:pPr>
        <w:pStyle w:val="StandardWeb"/>
      </w:pPr>
      <w:r>
        <w:t>Eine präregistrierte Operationalisierungsmenge kann diesen Prozess weiter absichern. Explorative Erweiterungen bleiben zulässig, müssen jedoch als solche kenntlich gemacht werden.</w:t>
      </w:r>
    </w:p>
    <w:p w:rsidR="00AE0E77" w:rsidRDefault="00AE0E77" w:rsidP="00AE0E77">
      <w:pPr>
        <w:pStyle w:val="StandardWeb"/>
      </w:pPr>
      <w:r>
        <w:t>Die fünfzehnte Konsequenz betrifft divergierende Ergebnisse. Eine Divergenz zwischen Operationalisierungen ist nicht lediglich störendes Rauschen. Sie kann wissenschaftlich besonders informativ sein. Sie zeigt, dass die Aussage an eine bislang nicht ausreichend verstandene Mess- oder Modellentscheidung gekoppelt ist.</w:t>
      </w:r>
    </w:p>
    <w:p w:rsidR="00AE0E77" w:rsidRDefault="00AE0E77" w:rsidP="00AE0E77">
      <w:pPr>
        <w:pStyle w:val="StandardWeb"/>
      </w:pPr>
      <w:r>
        <w:t>Eine solche Divergenz erzeugt daher eine neue Forschungsfrage:</w:t>
      </w:r>
    </w:p>
    <w:p w:rsidR="00AE0E77" w:rsidRDefault="00AE0E77" w:rsidP="00AE0E77">
      <w:pPr>
        <w:pStyle w:val="StandardWeb"/>
      </w:pPr>
      <w:r>
        <w:rPr>
          <w:rStyle w:val="Fett"/>
        </w:rPr>
        <w:t>Welche Eigenschaft der Operationalisierung verursacht den Wechsel der wissenschaftlichen Schlussfolgerung?</w:t>
      </w:r>
    </w:p>
    <w:p w:rsidR="00AE0E77" w:rsidRDefault="00AE0E77" w:rsidP="00AE0E77">
      <w:pPr>
        <w:pStyle w:val="StandardWeb"/>
      </w:pPr>
      <w:r>
        <w:t>Genau darin liegt ein produktiver Nutzen der Robustheitsprüfung.</w:t>
      </w:r>
    </w:p>
    <w:p w:rsidR="00AE0E77" w:rsidRDefault="00AE0E77" w:rsidP="00AE0E77">
      <w:pPr>
        <w:pStyle w:val="StandardWeb"/>
      </w:pPr>
      <w:r>
        <w:t>Die sechzehnte Konsequenz betrifft die Mehrdimensionalität von Robustheit. Reproduzierbarkeit, Operationalisierungsrobustheit, Modellrobustheit, Stichprobenrobustheit, Kontextrobustheit und kausale Robustheit sind keine Synonyme.</w:t>
      </w:r>
    </w:p>
    <w:p w:rsidR="00AE0E77" w:rsidRDefault="00AE0E77" w:rsidP="00AE0E77">
      <w:pPr>
        <w:pStyle w:val="StandardWeb"/>
      </w:pPr>
      <w:r>
        <w:t>Eine Aussage kann auf einer Dimension stark und auf einer anderen schwach sein. Deshalb ist ein einziger globaler Robustheitswert methodisch nur dann vertretbar, wenn sämtliche Teilkomponenten weiterhin sichtbar bleiben.</w:t>
      </w:r>
    </w:p>
    <w:p w:rsidR="00AE0E77" w:rsidRDefault="00AE0E77" w:rsidP="00AE0E77">
      <w:pPr>
        <w:pStyle w:val="StandardWeb"/>
      </w:pPr>
      <w:r>
        <w:t>Die siebzehnte Konsequenz betrifft die Versionierung. Eine Änderung einer Operationalisierung kann wissenschaftliche Vergleichbarkeit über die Zeit zerstören. Deshalb werden Operationalisierungen im FRZK versioniert. Wesentliche Änderungen müssen eine erneute Prüfung bestehender Aussagen auslösen.</w:t>
      </w:r>
    </w:p>
    <w:p w:rsidR="00AE0E77" w:rsidRDefault="00AE0E77" w:rsidP="00AE0E77">
      <w:pPr>
        <w:pStyle w:val="StandardWeb"/>
      </w:pPr>
      <w:r>
        <w:t>Diese Versionierung ist besonders wichtig, wenn empirische Auswertungsverfahren während eines längeren Forschungsprojekts verbessert werden.</w:t>
      </w:r>
    </w:p>
    <w:p w:rsidR="00AE0E77" w:rsidRDefault="00AE0E77" w:rsidP="00AE0E77">
      <w:pPr>
        <w:pStyle w:val="StandardWeb"/>
      </w:pPr>
      <w:r>
        <w:t>Die achtzehnte Konsequenz betrifft die Eigenleistung des FRZK. Die Theorie beansprucht nicht, die allgemeinen Probleme von Operationalisierung, Messvalidität oder Robustheitsanalyse neu erfunden zu haben. Die Eigenleistung besteht darin, diese Probleme formal mit den bereits entwickelten FRZK-Strukturen zu verknüpfen und als eigenständige, versionierte Prüfebene innerhalb derselben wissenschaftlichen Architektur abzubilden.</w:t>
      </w:r>
    </w:p>
    <w:p w:rsidR="00AE0E77" w:rsidRDefault="00AE0E77" w:rsidP="00AE0E77">
      <w:pPr>
        <w:pStyle w:val="StandardWeb"/>
      </w:pPr>
      <w:r>
        <w:t>Damit entsteht eine konsistente Kette:</w:t>
      </w:r>
    </w:p>
    <w:p w:rsidR="00AE0E77" w:rsidRDefault="00AE0E77" w:rsidP="00AE0E77">
      <w:pPr>
        <w:pStyle w:val="StandardWeb"/>
      </w:pPr>
      <w:r>
        <w:lastRenderedPageBreak/>
        <w:t>[</w:t>
      </w:r>
      <w:r>
        <w:br/>
        <w:t>\text{theoretisches Konzept}</w:t>
      </w:r>
      <w:r>
        <w:br/>
        <w:t>\rightarrow</w:t>
      </w:r>
      <w:r>
        <w:br/>
        <w:t>\text{Operationalisierung}</w:t>
      </w:r>
      <w:r>
        <w:br/>
        <w:t>\rightarrow</w:t>
      </w:r>
      <w:r>
        <w:br/>
        <w:t>\text{Datenrepräsentation}</w:t>
      </w:r>
      <w:r>
        <w:br/>
        <w:t>\rightarrow</w:t>
      </w:r>
      <w:r>
        <w:br/>
        <w:t>\text{Modell}</w:t>
      </w:r>
      <w:r>
        <w:br/>
        <w:t>\rightarrow</w:t>
      </w:r>
      <w:r>
        <w:br/>
        <w:t>\text{Aussage}</w:t>
      </w:r>
      <w:r>
        <w:br/>
        <w:t>\rightarrow</w:t>
      </w:r>
      <w:r>
        <w:br/>
        <w:t>\text{Robustheitsprüfung}.</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\text{theoretisches Konzept}\rightarrow\text{Operationalisierung}\rightarrow\text{Datenrepräsentation}\rightarrow\text{Modell}\rightarrow\text{Aussage}\rightarrow\text{Robustheitsprüfung}</w:t>
      </w:r>
    </w:p>
    <w:p w:rsidR="00AE0E77" w:rsidRDefault="00AE0E77" w:rsidP="00AE0E77">
      <w:pPr>
        <w:pStyle w:val="StandardWeb"/>
      </w:pPr>
      <w:r>
        <w:t>Die wichtigste methodologische Regel dieses Abschnitts lautet daher:</w:t>
      </w:r>
    </w:p>
    <w:p w:rsidR="00AE0E77" w:rsidRDefault="00AE0E77" w:rsidP="00AE0E77">
      <w:pPr>
        <w:pStyle w:val="StandardWeb"/>
      </w:pPr>
      <w:r>
        <w:rPr>
          <w:rStyle w:val="Fett"/>
        </w:rPr>
        <w:t>Eine empirische Aussage des FRZK darf nicht stärker interpretiert werden, als ihre Abhängigkeit von wissenschaftlich zulässigen Operationalisierungsentscheidungen erlaubt.</w:t>
      </w:r>
    </w:p>
    <w:p w:rsidR="00AE0E77" w:rsidRDefault="00E50336" w:rsidP="00AE0E77">
      <w:r>
        <w:pict>
          <v:rect id="_x0000_i1273" style="width:0;height:1.5pt" o:hralign="center" o:hrstd="t" o:hr="t" fillcolor="#a0a0a0" stroked="f"/>
        </w:pict>
      </w:r>
    </w:p>
    <w:p w:rsidR="00AE0E77" w:rsidRDefault="00AE0E77" w:rsidP="00AE0E77">
      <w:pPr>
        <w:pStyle w:val="berschrift1"/>
      </w:pPr>
      <w:r>
        <w:t>3.3.39.133 Didaktische Betrachtungen</w:t>
      </w:r>
    </w:p>
    <w:p w:rsidR="00AE0E77" w:rsidRDefault="00AE0E77" w:rsidP="00AE0E77">
      <w:pPr>
        <w:pStyle w:val="StandardWeb"/>
      </w:pPr>
      <w:r>
        <w:t xml:space="preserve">Operationalisierung klingt zunächst wie ein abstrakter wissenschaftstheoretischer Begriff. Tatsächlich begegnet das zugrunde liegende Problem im Alltag ständig. Sobald eine Eigenschaft nicht unmittelbar beobachtet werden kann, muss entschieden werden, </w:t>
      </w:r>
      <w:r>
        <w:rPr>
          <w:rStyle w:val="Fett"/>
        </w:rPr>
        <w:t>woran</w:t>
      </w:r>
      <w:r>
        <w:t xml:space="preserve"> sie erkannt oder </w:t>
      </w:r>
      <w:r>
        <w:rPr>
          <w:rStyle w:val="Fett"/>
        </w:rPr>
        <w:t>wie</w:t>
      </w:r>
      <w:r>
        <w:t xml:space="preserve"> sie gemessen werden soll.</w:t>
      </w:r>
    </w:p>
    <w:p w:rsidR="00AE0E77" w:rsidRDefault="00AE0E77" w:rsidP="00AE0E77">
      <w:pPr>
        <w:pStyle w:val="StandardWeb"/>
      </w:pPr>
      <w:r>
        <w:t xml:space="preserve">Ein einfaches Beispiel ist die Körpertemperatur. Der theoretisch interessierende Zustand lautet zunächst: </w:t>
      </w:r>
      <w:r>
        <w:rPr>
          <w:rStyle w:val="Hervorhebung"/>
        </w:rPr>
        <w:t>Wie warm ist der Körper?</w:t>
      </w:r>
      <w:r>
        <w:t xml:space="preserve"> Gemessen werden kann diese Temperatur jedoch an unterschiedlichen Stellen und mit unterschiedlichen Geräten. Eine Messung im Ohr, unter der Zunge oder an der Haut kann unterschiedliche Werte liefern.</w:t>
      </w:r>
    </w:p>
    <w:p w:rsidR="00AE0E77" w:rsidRDefault="00AE0E77" w:rsidP="00AE0E77">
      <w:pPr>
        <w:pStyle w:val="StandardWeb"/>
      </w:pPr>
      <w:r>
        <w:t>Die Messwerte sind also nicht mit dem theoretischen Zustand identisch.</w:t>
      </w:r>
    </w:p>
    <w:p w:rsidR="00AE0E77" w:rsidRDefault="00AE0E77" w:rsidP="00AE0E77">
      <w:pPr>
        <w:pStyle w:val="StandardWeb"/>
      </w:pPr>
      <w:r>
        <w:t>Genau diese Trennung beschreibt</w:t>
      </w:r>
    </w:p>
    <w:p w:rsidR="00AE0E77" w:rsidRDefault="00AE0E77" w:rsidP="00AE0E77">
      <w:pPr>
        <w:pStyle w:val="StandardWeb"/>
      </w:pPr>
      <w:r>
        <w:t>[</w:t>
      </w:r>
      <w:r>
        <w:br/>
        <w:t>\mathcal{K}_{F}</w:t>
      </w:r>
      <w:r>
        <w:br/>
        <w:t>\neq</w:t>
      </w:r>
      <w:r>
        <w:br/>
        <w:t>y_j.</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lastRenderedPageBreak/>
        <w:t>\mathcal{K}_{F}\neq y_j</w:t>
      </w:r>
    </w:p>
    <w:p w:rsidR="00AE0E77" w:rsidRDefault="00AE0E77" w:rsidP="00AE0E77">
      <w:pPr>
        <w:pStyle w:val="StandardWeb"/>
      </w:pPr>
      <w:r>
        <w:t>Das theoretische Konzept ist nicht dasselbe wie sein konkreter Messwert.</w:t>
      </w:r>
    </w:p>
    <w:p w:rsidR="00AE0E77" w:rsidRDefault="00AE0E77" w:rsidP="00AE0E77">
      <w:pPr>
        <w:pStyle w:val="StandardWeb"/>
      </w:pPr>
      <w:r>
        <w:t>Ein zweites Beispiel ist Geschwindigkeit.</w:t>
      </w:r>
    </w:p>
    <w:p w:rsidR="00AE0E77" w:rsidRDefault="00AE0E77" w:rsidP="00AE0E77">
      <w:pPr>
        <w:pStyle w:val="StandardWeb"/>
      </w:pPr>
      <w:r>
        <w:t>Ein Fahrzeug kann in Kilometern pro Stunde oder Metern pro Sekunde angegeben werden.</w:t>
      </w:r>
    </w:p>
    <w:p w:rsidR="00AE0E77" w:rsidRDefault="00AE0E77" w:rsidP="00AE0E77">
      <w:pPr>
        <w:pStyle w:val="StandardWeb"/>
      </w:pPr>
      <w:r>
        <w:t>Die Zahlenwerte sind unterschiedlich:</w:t>
      </w:r>
    </w:p>
    <w:p w:rsidR="00AE0E77" w:rsidRDefault="00AE0E77" w:rsidP="00AE0E77">
      <w:pPr>
        <w:pStyle w:val="berschrift1"/>
      </w:pPr>
      <w:r>
        <w:t>[</w:t>
      </w:r>
      <w:r>
        <w:br/>
        <w:t>72\ \mathrm{km/h}</w:t>
      </w:r>
    </w:p>
    <w:p w:rsidR="00AE0E77" w:rsidRDefault="00AE0E77" w:rsidP="00AE0E77">
      <w:pPr>
        <w:pStyle w:val="StandardWeb"/>
      </w:pPr>
      <w:r>
        <w:t>20\ \mathrm{m/s}.</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72\ \mathrm{km/h}=20\ \mathrm{m/s}</w:t>
      </w:r>
    </w:p>
    <w:p w:rsidR="00AE0E77" w:rsidRDefault="00AE0E77" w:rsidP="00AE0E77">
      <w:pPr>
        <w:pStyle w:val="StandardWeb"/>
      </w:pPr>
      <w:r>
        <w:t>Niemand würde daraus schließen, dass zwei unterschiedliche Geschwindigkeiten vorliegen.</w:t>
      </w:r>
    </w:p>
    <w:p w:rsidR="00AE0E77" w:rsidRDefault="00AE0E77" w:rsidP="00AE0E77">
      <w:pPr>
        <w:pStyle w:val="StandardWeb"/>
      </w:pPr>
      <w:r>
        <w:t>Dieses Beispiel verdeutlicht, weshalb numerische Gleichheit keine Voraussetzung funktionaler Äquivalenz ist.</w:t>
      </w:r>
    </w:p>
    <w:p w:rsidR="00AE0E77" w:rsidRDefault="00AE0E77" w:rsidP="00AE0E77">
      <w:pPr>
        <w:pStyle w:val="StandardWeb"/>
      </w:pPr>
      <w:r>
        <w:t>Ein drittes Beispiel ist eine Schulnote.</w:t>
      </w:r>
    </w:p>
    <w:p w:rsidR="00AE0E77" w:rsidRDefault="00AE0E77" w:rsidP="00AE0E77">
      <w:pPr>
        <w:pStyle w:val="StandardWeb"/>
      </w:pPr>
      <w:r>
        <w:t>Die Eigenschaft „Lernleistung“ kann durch unterschiedliche Prüfungen operationalisiert werden. Eine schriftliche Klausur, eine mündliche Prüfung und eine praktische Aufgabe können unterschiedliche Aspekte desselben theoretischen Konzeptes erfassen.</w:t>
      </w:r>
    </w:p>
    <w:p w:rsidR="00AE0E77" w:rsidRDefault="00AE0E77" w:rsidP="00AE0E77">
      <w:pPr>
        <w:pStyle w:val="StandardWeb"/>
      </w:pPr>
      <w:r>
        <w:t>Erhält ein Schüler in allen drei Formen ähnliche relative Ergebnisse, spricht dies dafür, dass die wissenschaftliche Aussage nicht ausschließlich von einer einzelnen Prüfungsform abhängt.</w:t>
      </w:r>
    </w:p>
    <w:p w:rsidR="00AE0E77" w:rsidRDefault="00AE0E77" w:rsidP="00AE0E77">
      <w:pPr>
        <w:pStyle w:val="StandardWeb"/>
      </w:pPr>
      <w:r>
        <w:t>Erhält derselbe Schüler dagegen in einer schriftlichen Prüfung sehr gute und in einer praktischen Prüfung sehr schlechte Ergebnisse, entsteht eine neue Frage:</w:t>
      </w:r>
    </w:p>
    <w:p w:rsidR="00AE0E77" w:rsidRDefault="00AE0E77" w:rsidP="00AE0E77">
      <w:pPr>
        <w:pStyle w:val="StandardWeb"/>
      </w:pPr>
      <w:r>
        <w:rPr>
          <w:rStyle w:val="Fett"/>
        </w:rPr>
        <w:t>Was genau verstehe ich eigentlich unter Lernleistung?</w:t>
      </w:r>
    </w:p>
    <w:p w:rsidR="00AE0E77" w:rsidRDefault="00AE0E77" w:rsidP="00AE0E77">
      <w:pPr>
        <w:pStyle w:val="StandardWeb"/>
      </w:pPr>
      <w:r>
        <w:t>Damit wird deutlich, dass divergierende Operationalisierungen theoretische Unklarheiten sichtbar machen können.</w:t>
      </w:r>
    </w:p>
    <w:p w:rsidR="00AE0E77" w:rsidRDefault="00AE0E77" w:rsidP="00AE0E77">
      <w:pPr>
        <w:pStyle w:val="StandardWeb"/>
      </w:pPr>
      <w:r>
        <w:t>Ein viertes Beispiel betrifft die Körpergröße.</w:t>
      </w:r>
    </w:p>
    <w:p w:rsidR="00AE0E77" w:rsidRDefault="00AE0E77" w:rsidP="00AE0E77">
      <w:pPr>
        <w:pStyle w:val="StandardWeb"/>
      </w:pPr>
      <w:r>
        <w:t>Ob sie in Zentimetern oder Metern angegeben wird, verändert zwar die Zahl, aber nicht die Rangordnung.</w:t>
      </w:r>
    </w:p>
    <w:p w:rsidR="00AE0E77" w:rsidRDefault="00AE0E77" w:rsidP="00AE0E77">
      <w:pPr>
        <w:pStyle w:val="StandardWeb"/>
      </w:pPr>
      <w:r>
        <w:t>Wenn Person A größer als Person B ist, bleibt dies bei einem korrekten Einheitenwechsel erhalten.</w:t>
      </w:r>
    </w:p>
    <w:p w:rsidR="00AE0E77" w:rsidRDefault="00AE0E77" w:rsidP="00AE0E77">
      <w:pPr>
        <w:pStyle w:val="StandardWeb"/>
      </w:pPr>
      <w:r>
        <w:lastRenderedPageBreak/>
        <w:t>Die Aussage</w:t>
      </w:r>
    </w:p>
    <w:p w:rsidR="00AE0E77" w:rsidRDefault="00AE0E77" w:rsidP="00AE0E77">
      <w:pPr>
        <w:pStyle w:val="StandardWeb"/>
      </w:pPr>
      <w:r>
        <w:t>[</w:t>
      </w:r>
      <w:r>
        <w:br/>
        <w:t>h_A</w:t>
      </w:r>
    </w:p>
    <w:p w:rsidR="00AE0E77" w:rsidRDefault="00AE0E77" w:rsidP="00AE0E77">
      <w:pPr>
        <w:pStyle w:val="StandardWeb"/>
      </w:pPr>
      <w:r>
        <w:t>h_B</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h_A&gt;h_B</w:t>
      </w:r>
    </w:p>
    <w:p w:rsidR="00AE0E77" w:rsidRDefault="00AE0E77" w:rsidP="00AE0E77">
      <w:pPr>
        <w:pStyle w:val="StandardWeb"/>
      </w:pPr>
      <w:r>
        <w:t>ist also gegenüber diesem Operationalisierungswechsel robust.</w:t>
      </w:r>
    </w:p>
    <w:p w:rsidR="00AE0E77" w:rsidRDefault="00AE0E77" w:rsidP="00AE0E77">
      <w:pPr>
        <w:pStyle w:val="StandardWeb"/>
      </w:pPr>
      <w:r>
        <w:t>Dieses Beispiel hilft zu verstehen, weshalb das FRZK zwischen numerischer Gleichheit und Aussageninvarianz unterscheidet.</w:t>
      </w:r>
    </w:p>
    <w:p w:rsidR="00AE0E77" w:rsidRDefault="00AE0E77" w:rsidP="00AE0E77">
      <w:pPr>
        <w:pStyle w:val="StandardWeb"/>
      </w:pPr>
      <w:r>
        <w:t>Ein fünftes Beispiel betrifft Schwellenwerte.</w:t>
      </w:r>
    </w:p>
    <w:p w:rsidR="00AE0E77" w:rsidRDefault="00AE0E77" w:rsidP="00AE0E77">
      <w:pPr>
        <w:pStyle w:val="StandardWeb"/>
      </w:pPr>
      <w:r>
        <w:t>Angenommen, eine Prüfung gilt ab 50 Punkten als bestanden.</w:t>
      </w:r>
    </w:p>
    <w:p w:rsidR="00AE0E77" w:rsidRDefault="00AE0E77" w:rsidP="00AE0E77">
      <w:pPr>
        <w:pStyle w:val="StandardWeb"/>
      </w:pPr>
      <w:r>
        <w:t>Ein Teilnehmer erreicht 49 Punkte.</w:t>
      </w:r>
    </w:p>
    <w:p w:rsidR="00AE0E77" w:rsidRDefault="00AE0E77" w:rsidP="00AE0E77">
      <w:pPr>
        <w:pStyle w:val="StandardWeb"/>
      </w:pPr>
      <w:r>
        <w:t>Wird die Grenze auf 48 Punkte verändert, wechselt seine Klassifikation sofort von „nicht bestanden“ zu „bestanden“, obwohl sich seine tatsächliche Leistung überhaupt nicht geändert hat.</w:t>
      </w:r>
    </w:p>
    <w:p w:rsidR="00AE0E77" w:rsidRDefault="00AE0E77" w:rsidP="00AE0E77">
      <w:pPr>
        <w:pStyle w:val="StandardWeb"/>
      </w:pPr>
      <w:r>
        <w:t>Das Beispiel zeigt unmittelbar:</w:t>
      </w:r>
    </w:p>
    <w:p w:rsidR="00AE0E77" w:rsidRDefault="00AE0E77" w:rsidP="00AE0E77">
      <w:pPr>
        <w:pStyle w:val="StandardWeb"/>
      </w:pPr>
      <w:r>
        <w:rPr>
          <w:rStyle w:val="Fett"/>
        </w:rPr>
        <w:t>Die Klassifikation kann sich verändern, obwohl das beobachtete Objekt unverändert bleibt.</w:t>
      </w:r>
    </w:p>
    <w:p w:rsidR="00AE0E77" w:rsidRDefault="00AE0E77" w:rsidP="00AE0E77">
      <w:pPr>
        <w:pStyle w:val="StandardWeb"/>
      </w:pPr>
      <w:r>
        <w:t>Genau deshalb muss ein Ergebnis nahe einer Schwelle vorsichtiger interpretiert werden.</w:t>
      </w:r>
    </w:p>
    <w:p w:rsidR="00AE0E77" w:rsidRDefault="00AE0E77" w:rsidP="00AE0E77">
      <w:pPr>
        <w:pStyle w:val="StandardWeb"/>
      </w:pPr>
      <w:r>
        <w:t>Ein sechstes Beispiel betrifft Fensterbreiten.</w:t>
      </w:r>
    </w:p>
    <w:p w:rsidR="00AE0E77" w:rsidRDefault="00AE0E77" w:rsidP="00AE0E77">
      <w:pPr>
        <w:pStyle w:val="StandardWeb"/>
      </w:pPr>
      <w:r>
        <w:t>Stellen wir uns vor, die Geschwindigkeit eines Fahrzeugs schwankt stark. Berechnet man den Durchschnitt über eine Sekunde, sieht man viele kurzfristige Veränderungen. Berechnet man ihn über zehn Minuten, verschwinden diese Schwankungen fast vollständig.</w:t>
      </w:r>
    </w:p>
    <w:p w:rsidR="00AE0E77" w:rsidRDefault="00AE0E77" w:rsidP="00AE0E77">
      <w:pPr>
        <w:pStyle w:val="StandardWeb"/>
      </w:pPr>
      <w:r>
        <w:t>Beide Berechnungen können korrekt sein.</w:t>
      </w:r>
    </w:p>
    <w:p w:rsidR="00AE0E77" w:rsidRDefault="00AE0E77" w:rsidP="00AE0E77">
      <w:pPr>
        <w:pStyle w:val="StandardWeb"/>
      </w:pPr>
      <w:r>
        <w:t>Sie beantworten jedoch unterschiedliche Fragen.</w:t>
      </w:r>
    </w:p>
    <w:p w:rsidR="00AE0E77" w:rsidRDefault="00AE0E77" w:rsidP="00AE0E77">
      <w:pPr>
        <w:pStyle w:val="StandardWeb"/>
      </w:pPr>
      <w:r>
        <w:t>Dasselbe Problem entsteht bei zeitabhängigen FRZK-Größen. Ein Driftwert über ein sehr kurzes Fenster beschreibt etwas anderes als ein Driftwert über einen langen Zeitraum.</w:t>
      </w:r>
    </w:p>
    <w:p w:rsidR="00AE0E77" w:rsidRDefault="00AE0E77" w:rsidP="00AE0E77">
      <w:pPr>
        <w:pStyle w:val="StandardWeb"/>
      </w:pPr>
      <w:r>
        <w:t>Ein siebtes Beispiel betrifft Referenzzustände.</w:t>
      </w:r>
    </w:p>
    <w:p w:rsidR="00AE0E77" w:rsidRDefault="00AE0E77" w:rsidP="00AE0E77">
      <w:pPr>
        <w:pStyle w:val="StandardWeb"/>
      </w:pPr>
      <w:r>
        <w:t>Angenommen, eine Person wiegt heute 80 kg.</w:t>
      </w:r>
    </w:p>
    <w:p w:rsidR="00AE0E77" w:rsidRDefault="00AE0E77" w:rsidP="00AE0E77">
      <w:pPr>
        <w:pStyle w:val="StandardWeb"/>
      </w:pPr>
      <w:r>
        <w:lastRenderedPageBreak/>
        <w:t>Relativ zu 70 kg hat sie zehn Kilogramm zugenommen.</w:t>
      </w:r>
    </w:p>
    <w:p w:rsidR="00AE0E77" w:rsidRDefault="00AE0E77" w:rsidP="00AE0E77">
      <w:pPr>
        <w:pStyle w:val="StandardWeb"/>
      </w:pPr>
      <w:r>
        <w:t>Relativ zu 78 kg sind es lediglich zwei Kilogramm.</w:t>
      </w:r>
    </w:p>
    <w:p w:rsidR="00AE0E77" w:rsidRDefault="00AE0E77" w:rsidP="00AE0E77">
      <w:pPr>
        <w:pStyle w:val="StandardWeb"/>
      </w:pPr>
      <w:r>
        <w:t>Der aktuelle Wert ist identisch. Die Aussage über die Veränderung hängt jedoch vom Referenzpunkt ab.</w:t>
      </w:r>
    </w:p>
    <w:p w:rsidR="00AE0E77" w:rsidRDefault="00AE0E77" w:rsidP="00AE0E77">
      <w:pPr>
        <w:pStyle w:val="StandardWeb"/>
      </w:pPr>
      <w:r>
        <w:t>Damit wird verständlich, weshalb Drift niemals ohne Referenzdefinition interpretiert werden sollte.</w:t>
      </w:r>
    </w:p>
    <w:p w:rsidR="00AE0E77" w:rsidRDefault="00AE0E77" w:rsidP="00AE0E77">
      <w:pPr>
        <w:pStyle w:val="StandardWeb"/>
      </w:pPr>
      <w:r>
        <w:t>Ein achtes Beispiel betrifft die Behandlung fehlender Daten.</w:t>
      </w:r>
    </w:p>
    <w:p w:rsidR="00AE0E77" w:rsidRDefault="00AE0E77" w:rsidP="00AE0E77">
      <w:pPr>
        <w:pStyle w:val="StandardWeb"/>
      </w:pPr>
      <w:r>
        <w:t>Angenommen, in einer Tabelle fehlen einzelne Messwerte.</w:t>
      </w:r>
    </w:p>
    <w:p w:rsidR="00AE0E77" w:rsidRDefault="00AE0E77" w:rsidP="00AE0E77">
      <w:pPr>
        <w:pStyle w:val="StandardWeb"/>
      </w:pPr>
      <w:r>
        <w:t>Man kann diese Zeilen vollständig entfernen.</w:t>
      </w:r>
    </w:p>
    <w:p w:rsidR="00AE0E77" w:rsidRDefault="00AE0E77" w:rsidP="00AE0E77">
      <w:pPr>
        <w:pStyle w:val="StandardWeb"/>
      </w:pPr>
      <w:r>
        <w:t>Man kann Mittelwerte einsetzen.</w:t>
      </w:r>
    </w:p>
    <w:p w:rsidR="00AE0E77" w:rsidRDefault="00AE0E77" w:rsidP="00AE0E77">
      <w:pPr>
        <w:pStyle w:val="StandardWeb"/>
      </w:pPr>
      <w:r>
        <w:t>Man kann statistische Imputation verwenden.</w:t>
      </w:r>
    </w:p>
    <w:p w:rsidR="00AE0E77" w:rsidRDefault="00AE0E77" w:rsidP="00AE0E77">
      <w:pPr>
        <w:pStyle w:val="StandardWeb"/>
      </w:pPr>
      <w:r>
        <w:t>Alle drei Verfahren erzeugen möglicherweise unterschiedliche Endergebnisse.</w:t>
      </w:r>
    </w:p>
    <w:p w:rsidR="00AE0E77" w:rsidRDefault="00AE0E77" w:rsidP="00AE0E77">
      <w:pPr>
        <w:pStyle w:val="StandardWeb"/>
      </w:pPr>
      <w:r>
        <w:t>Wenn die wissenschaftliche Schlussfolgerung nur unter einer einzigen dieser Methoden entsteht, sollte dies bekannt sein.</w:t>
      </w:r>
    </w:p>
    <w:p w:rsidR="00AE0E77" w:rsidRDefault="00AE0E77" w:rsidP="00AE0E77">
      <w:pPr>
        <w:pStyle w:val="StandardWeb"/>
      </w:pPr>
      <w:r>
        <w:t>Ein neuntes Beispiel betrifft Ausreißer.</w:t>
      </w:r>
    </w:p>
    <w:p w:rsidR="00AE0E77" w:rsidRDefault="00AE0E77" w:rsidP="00AE0E77">
      <w:pPr>
        <w:pStyle w:val="StandardWeb"/>
      </w:pPr>
      <w:r>
        <w:t>Angenommen, zehn Messwerte liegen ungefähr bei 10 und ein Messwert liegt bei 100.</w:t>
      </w:r>
    </w:p>
    <w:p w:rsidR="00AE0E77" w:rsidRDefault="00AE0E77" w:rsidP="00AE0E77">
      <w:pPr>
        <w:pStyle w:val="StandardWeb"/>
      </w:pPr>
      <w:r>
        <w:t>Wird der Wert 100 als Fehler entfernt, entsteht ein anderes Ergebnis als dann, wenn er als reales seltenes Ereignis behandelt wird.</w:t>
      </w:r>
    </w:p>
    <w:p w:rsidR="00AE0E77" w:rsidRDefault="00AE0E77" w:rsidP="00AE0E77">
      <w:pPr>
        <w:pStyle w:val="StandardWeb"/>
      </w:pPr>
      <w:r>
        <w:t>Die entscheidende Frage lautet deshalb nicht einfach:</w:t>
      </w:r>
    </w:p>
    <w:p w:rsidR="00AE0E77" w:rsidRDefault="00AE0E77" w:rsidP="00AE0E77">
      <w:pPr>
        <w:pStyle w:val="StandardWeb"/>
      </w:pPr>
      <w:r>
        <w:rPr>
          <w:rStyle w:val="Fett"/>
        </w:rPr>
        <w:t>„Soll ich den Ausreißer entfernen?“</w:t>
      </w:r>
    </w:p>
    <w:p w:rsidR="00AE0E77" w:rsidRDefault="00AE0E77" w:rsidP="00AE0E77">
      <w:pPr>
        <w:pStyle w:val="StandardWeb"/>
      </w:pPr>
      <w:r>
        <w:t>sondern:</w:t>
      </w:r>
    </w:p>
    <w:p w:rsidR="00AE0E77" w:rsidRDefault="00AE0E77" w:rsidP="00AE0E77">
      <w:pPr>
        <w:pStyle w:val="StandardWeb"/>
      </w:pPr>
      <w:r>
        <w:rPr>
          <w:rStyle w:val="Fett"/>
        </w:rPr>
        <w:t>„Welche wissenschaftliche Annahme begründet seine Entfernung oder Beibehaltung?“</w:t>
      </w:r>
    </w:p>
    <w:p w:rsidR="00AE0E77" w:rsidRDefault="00AE0E77" w:rsidP="00AE0E77">
      <w:pPr>
        <w:pStyle w:val="StandardWeb"/>
      </w:pPr>
      <w:r>
        <w:t>Operationalisierung ist damit immer auch eine Begründungsfrage.</w:t>
      </w:r>
    </w:p>
    <w:p w:rsidR="00AE0E77" w:rsidRDefault="00AE0E77" w:rsidP="00AE0E77">
      <w:pPr>
        <w:pStyle w:val="StandardWeb"/>
      </w:pPr>
      <w:r>
        <w:t>Ein zehntes Beispiel betrifft Normalisierung.</w:t>
      </w:r>
    </w:p>
    <w:p w:rsidR="00AE0E77" w:rsidRDefault="00AE0E77" w:rsidP="00AE0E77">
      <w:pPr>
        <w:pStyle w:val="StandardWeb"/>
      </w:pPr>
      <w:r>
        <w:t>Zwei Klassen schreiben unterschiedlich schwierige Prüfungen. Die Rohpunkte beider Klassen sind möglicherweise nicht unmittelbar vergleichbar. Eine Normalisierung kann sinnvoll sein.</w:t>
      </w:r>
    </w:p>
    <w:p w:rsidR="00AE0E77" w:rsidRDefault="00AE0E77" w:rsidP="00AE0E77">
      <w:pPr>
        <w:pStyle w:val="StandardWeb"/>
      </w:pPr>
      <w:r>
        <w:t>Aber unterschiedliche Normalisierungen können unterschiedliche Rangfolgen erzeugen.</w:t>
      </w:r>
    </w:p>
    <w:p w:rsidR="00AE0E77" w:rsidRDefault="00AE0E77" w:rsidP="00AE0E77">
      <w:pPr>
        <w:pStyle w:val="StandardWeb"/>
      </w:pPr>
      <w:r>
        <w:t>Auch hier zeigt sich: Die mathematische Verarbeitung ist Teil der wissenschaftlichen Interpretation.</w:t>
      </w:r>
    </w:p>
    <w:p w:rsidR="00AE0E77" w:rsidRDefault="00AE0E77" w:rsidP="00AE0E77">
      <w:pPr>
        <w:pStyle w:val="StandardWeb"/>
      </w:pPr>
      <w:r>
        <w:lastRenderedPageBreak/>
        <w:t>Ein elftes Beispiel betrifft Gewichtungen.</w:t>
      </w:r>
    </w:p>
    <w:p w:rsidR="00AE0E77" w:rsidRDefault="00AE0E77" w:rsidP="00AE0E77">
      <w:pPr>
        <w:pStyle w:val="StandardWeb"/>
      </w:pPr>
      <w:r>
        <w:t>Angenommen, eine Gesamtbewertung besteht aus</w:t>
      </w:r>
    </w:p>
    <w:p w:rsidR="00AE0E77" w:rsidRDefault="00AE0E77" w:rsidP="008C5E65">
      <w:pPr>
        <w:pStyle w:val="StandardWeb"/>
        <w:numPr>
          <w:ilvl w:val="0"/>
          <w:numId w:val="323"/>
        </w:numPr>
      </w:pPr>
      <w:r>
        <w:t>50 % Klausur,</w:t>
      </w:r>
    </w:p>
    <w:p w:rsidR="00AE0E77" w:rsidRDefault="00AE0E77" w:rsidP="008C5E65">
      <w:pPr>
        <w:pStyle w:val="StandardWeb"/>
        <w:numPr>
          <w:ilvl w:val="0"/>
          <w:numId w:val="323"/>
        </w:numPr>
      </w:pPr>
      <w:r>
        <w:t>30 % Projekt,</w:t>
      </w:r>
    </w:p>
    <w:p w:rsidR="00AE0E77" w:rsidRDefault="00AE0E77" w:rsidP="008C5E65">
      <w:pPr>
        <w:pStyle w:val="StandardWeb"/>
        <w:numPr>
          <w:ilvl w:val="0"/>
          <w:numId w:val="323"/>
        </w:numPr>
      </w:pPr>
      <w:r>
        <w:t>20 % Mitarbeit.</w:t>
      </w:r>
    </w:p>
    <w:p w:rsidR="00AE0E77" w:rsidRDefault="00AE0E77" w:rsidP="00AE0E77">
      <w:pPr>
        <w:pStyle w:val="StandardWeb"/>
      </w:pPr>
      <w:r>
        <w:t>Ändert man die Gewichtung auf</w:t>
      </w:r>
    </w:p>
    <w:p w:rsidR="00AE0E77" w:rsidRDefault="00AE0E77" w:rsidP="008C5E65">
      <w:pPr>
        <w:pStyle w:val="StandardWeb"/>
        <w:numPr>
          <w:ilvl w:val="0"/>
          <w:numId w:val="324"/>
        </w:numPr>
      </w:pPr>
      <w:r>
        <w:t>30 % Klausur,</w:t>
      </w:r>
    </w:p>
    <w:p w:rsidR="00AE0E77" w:rsidRDefault="00AE0E77" w:rsidP="008C5E65">
      <w:pPr>
        <w:pStyle w:val="StandardWeb"/>
        <w:numPr>
          <w:ilvl w:val="0"/>
          <w:numId w:val="324"/>
        </w:numPr>
      </w:pPr>
      <w:r>
        <w:t>50 % Projekt,</w:t>
      </w:r>
    </w:p>
    <w:p w:rsidR="00AE0E77" w:rsidRDefault="00AE0E77" w:rsidP="008C5E65">
      <w:pPr>
        <w:pStyle w:val="StandardWeb"/>
        <w:numPr>
          <w:ilvl w:val="0"/>
          <w:numId w:val="324"/>
        </w:numPr>
      </w:pPr>
      <w:r>
        <w:t>20 % Mitarbeit,</w:t>
      </w:r>
    </w:p>
    <w:p w:rsidR="00AE0E77" w:rsidRDefault="00AE0E77" w:rsidP="00AE0E77">
      <w:pPr>
        <w:pStyle w:val="StandardWeb"/>
      </w:pPr>
      <w:r>
        <w:t>kann sich die Rangfolge der Teilnehmer verändern.</w:t>
      </w:r>
    </w:p>
    <w:p w:rsidR="00AE0E77" w:rsidRDefault="00AE0E77" w:rsidP="00AE0E77">
      <w:pPr>
        <w:pStyle w:val="StandardWeb"/>
      </w:pPr>
      <w:r>
        <w:t>Dann ist die Aussage „Teilnehmer A ist insgesamt besser als Teilnehmer B“ nicht unabhängig von der Gewichtung.</w:t>
      </w:r>
    </w:p>
    <w:p w:rsidR="00AE0E77" w:rsidRDefault="00AE0E77" w:rsidP="00AE0E77">
      <w:pPr>
        <w:pStyle w:val="StandardWeb"/>
      </w:pPr>
      <w:r>
        <w:t>Die Gewichtung gehört daher zur Operationalisierung der Gesamtleistung.</w:t>
      </w:r>
    </w:p>
    <w:p w:rsidR="00AE0E77" w:rsidRDefault="00AE0E77" w:rsidP="00AE0E77">
      <w:pPr>
        <w:pStyle w:val="StandardWeb"/>
      </w:pPr>
      <w:r>
        <w:t>Ein zwölftes Beispiel betrifft Kohärenz.</w:t>
      </w:r>
    </w:p>
    <w:p w:rsidR="00AE0E77" w:rsidRDefault="00AE0E77" w:rsidP="00AE0E77">
      <w:pPr>
        <w:pStyle w:val="StandardWeb"/>
      </w:pPr>
      <w:r>
        <w:t>Eine Gruppe kann als kohärent bezeichnet werden, weil ihre Mitglieder ähnliche Aussagen machen.</w:t>
      </w:r>
    </w:p>
    <w:p w:rsidR="00AE0E77" w:rsidRDefault="00AE0E77" w:rsidP="00AE0E77">
      <w:pPr>
        <w:pStyle w:val="StandardWeb"/>
      </w:pPr>
      <w:r>
        <w:t>Alternativ könnte Kohärenz daran gemessen werden, wie stabil ihre Interaktionsstruktur ist.</w:t>
      </w:r>
    </w:p>
    <w:p w:rsidR="00AE0E77" w:rsidRDefault="00AE0E77" w:rsidP="00AE0E77">
      <w:pPr>
        <w:pStyle w:val="StandardWeb"/>
      </w:pPr>
      <w:r>
        <w:t>Beide Operationalisierungen müssen nicht denselben Zahlenwert liefern.</w:t>
      </w:r>
    </w:p>
    <w:p w:rsidR="00AE0E77" w:rsidRDefault="00AE0E77" w:rsidP="00AE0E77">
      <w:pPr>
        <w:pStyle w:val="StandardWeb"/>
      </w:pPr>
      <w:r>
        <w:t>Wenn beide dennoch dieselbe Gruppe als besonders kohärent identifizieren, erhält die Aussage zusätzliche Robustheit.</w:t>
      </w:r>
    </w:p>
    <w:p w:rsidR="00AE0E77" w:rsidRDefault="00AE0E77" w:rsidP="00AE0E77">
      <w:pPr>
        <w:pStyle w:val="StandardWeb"/>
      </w:pPr>
      <w:r>
        <w:t>Wenn sie dagegen gegensätzliche Ergebnisse liefern, muss gefragt werden, ob „Kohärenz“ bislang zu unscharf definiert wurde.</w:t>
      </w:r>
    </w:p>
    <w:p w:rsidR="00AE0E77" w:rsidRDefault="00AE0E77" w:rsidP="00AE0E77">
      <w:pPr>
        <w:pStyle w:val="StandardWeb"/>
      </w:pPr>
      <w:r>
        <w:t>Ein dreizehntes Beispiel betrifft Drift.</w:t>
      </w:r>
    </w:p>
    <w:p w:rsidR="00AE0E77" w:rsidRDefault="00AE0E77" w:rsidP="00AE0E77">
      <w:pPr>
        <w:pStyle w:val="StandardWeb"/>
      </w:pPr>
      <w:r>
        <w:t>Angenommen, die Position eines Wanderers wird mit seiner Startposition verglichen. Dann kann sich die Distanz ständig vergrößern.</w:t>
      </w:r>
    </w:p>
    <w:p w:rsidR="00AE0E77" w:rsidRDefault="00AE0E77" w:rsidP="00AE0E77">
      <w:pPr>
        <w:pStyle w:val="StandardWeb"/>
      </w:pPr>
      <w:r>
        <w:t>Vergleicht man seine Position dagegen immer mit der Position der letzten zehn Minuten, kann die kurzfristige Drift gering sein.</w:t>
      </w:r>
    </w:p>
    <w:p w:rsidR="00AE0E77" w:rsidRDefault="00AE0E77" w:rsidP="00AE0E77">
      <w:pPr>
        <w:pStyle w:val="StandardWeb"/>
      </w:pPr>
      <w:r>
        <w:t>Beide Aussagen sind korrekt, beschreiben aber unterschiedliche Aspekte der Bewegung.</w:t>
      </w:r>
    </w:p>
    <w:p w:rsidR="00AE0E77" w:rsidRDefault="00AE0E77" w:rsidP="00AE0E77">
      <w:pPr>
        <w:pStyle w:val="StandardWeb"/>
      </w:pPr>
      <w:r>
        <w:t>Dasselbe gilt für funktionale Drift im FRZK.</w:t>
      </w:r>
    </w:p>
    <w:p w:rsidR="00AE0E77" w:rsidRDefault="00AE0E77" w:rsidP="00AE0E77">
      <w:pPr>
        <w:pStyle w:val="StandardWeb"/>
      </w:pPr>
      <w:r>
        <w:t>Ein vierzehntes Beispiel betrifft kritische Übergänge.</w:t>
      </w:r>
    </w:p>
    <w:p w:rsidR="00AE0E77" w:rsidRDefault="00AE0E77" w:rsidP="00AE0E77">
      <w:pPr>
        <w:pStyle w:val="StandardWeb"/>
      </w:pPr>
      <w:r>
        <w:t>Ein Thermostat schaltet beispielsweise bei einer bestimmten Temperatur.</w:t>
      </w:r>
    </w:p>
    <w:p w:rsidR="00AE0E77" w:rsidRDefault="00AE0E77" w:rsidP="00AE0E77">
      <w:pPr>
        <w:pStyle w:val="StandardWeb"/>
      </w:pPr>
      <w:r>
        <w:lastRenderedPageBreak/>
        <w:t>Wird die Schaltschwelle geringfügig verändert, verschiebt sich der beobachtete Umschaltzeitpunkt.</w:t>
      </w:r>
    </w:p>
    <w:p w:rsidR="00AE0E77" w:rsidRDefault="00AE0E77" w:rsidP="00AE0E77">
      <w:pPr>
        <w:pStyle w:val="StandardWeb"/>
      </w:pPr>
      <w:r>
        <w:t>Wenn ein angeblicher „kritischer Übergang“ ausschließlich dadurch entsteht, dass ein bestimmter Schwellenwert gewählt wurde, muss die Interpretation entsprechend vorsichtig sein.</w:t>
      </w:r>
    </w:p>
    <w:p w:rsidR="00AE0E77" w:rsidRDefault="00AE0E77" w:rsidP="00AE0E77">
      <w:pPr>
        <w:pStyle w:val="StandardWeb"/>
      </w:pPr>
      <w:r>
        <w:t>Ein fünfzehntes Beispiel betrifft Reproduzierbarkeit.</w:t>
      </w:r>
    </w:p>
    <w:p w:rsidR="00AE0E77" w:rsidRDefault="00AE0E77" w:rsidP="00AE0E77">
      <w:pPr>
        <w:pStyle w:val="StandardWeb"/>
      </w:pPr>
      <w:r>
        <w:t>Angenommen, ein Taschenrechner liefert bei derselben Eingabe jedes Mal exakt dasselbe Ergebnis.</w:t>
      </w:r>
    </w:p>
    <w:p w:rsidR="00AE0E77" w:rsidRDefault="00AE0E77" w:rsidP="00AE0E77">
      <w:pPr>
        <w:pStyle w:val="StandardWeb"/>
      </w:pPr>
      <w:r>
        <w:t>Das bedeutet, dass seine Berechnung reproduzierbar ist.</w:t>
      </w:r>
    </w:p>
    <w:p w:rsidR="00AE0E77" w:rsidRDefault="00AE0E77" w:rsidP="00AE0E77">
      <w:pPr>
        <w:pStyle w:val="StandardWeb"/>
      </w:pPr>
      <w:r>
        <w:t>Wenn die verwendete Formel jedoch ungeeignet ist, wird derselbe ungeeignete Wert ebenfalls perfekt reproduziert.</w:t>
      </w:r>
    </w:p>
    <w:p w:rsidR="00AE0E77" w:rsidRDefault="00AE0E77" w:rsidP="00AE0E77">
      <w:pPr>
        <w:pStyle w:val="StandardWeb"/>
      </w:pPr>
      <w:r>
        <w:t>Damit wird Satz 3.3.22 unmittelbar verständlich:</w:t>
      </w:r>
    </w:p>
    <w:p w:rsidR="00AE0E77" w:rsidRDefault="00AE0E77" w:rsidP="00AE0E77">
      <w:pPr>
        <w:pStyle w:val="StandardWeb"/>
      </w:pPr>
      <w:r>
        <w:rPr>
          <w:rStyle w:val="Fett"/>
        </w:rPr>
        <w:t>Gleiche Methode + gleiches Ergebnis beweist nicht, dass alternative sinnvolle Methoden dieselbe Aussage liefern.</w:t>
      </w:r>
    </w:p>
    <w:p w:rsidR="00AE0E77" w:rsidRDefault="00AE0E77" w:rsidP="00AE0E77">
      <w:pPr>
        <w:pStyle w:val="StandardWeb"/>
      </w:pPr>
      <w:r>
        <w:t>Ein sechzehntes Beispiel betrifft Validität.</w:t>
      </w:r>
    </w:p>
    <w:p w:rsidR="00AE0E77" w:rsidRDefault="00AE0E77" w:rsidP="00AE0E77">
      <w:pPr>
        <w:pStyle w:val="StandardWeb"/>
      </w:pPr>
      <w:r>
        <w:t>Stellen wir uns eine Waage vor, die grundsätzlich fünf Kilogramm zu viel anzeigt.</w:t>
      </w:r>
    </w:p>
    <w:p w:rsidR="00AE0E77" w:rsidRDefault="00AE0E77" w:rsidP="00AE0E77">
      <w:pPr>
        <w:pStyle w:val="StandardWeb"/>
      </w:pPr>
      <w:r>
        <w:t>Sie kann extrem präzise sein.</w:t>
      </w:r>
    </w:p>
    <w:p w:rsidR="00AE0E77" w:rsidRDefault="00AE0E77" w:rsidP="00AE0E77">
      <w:pPr>
        <w:pStyle w:val="StandardWeb"/>
      </w:pPr>
      <w:r>
        <w:t>Sie kann bei jeder Messung denselben Wert liefern.</w:t>
      </w:r>
    </w:p>
    <w:p w:rsidR="00AE0E77" w:rsidRDefault="00AE0E77" w:rsidP="00AE0E77">
      <w:pPr>
        <w:pStyle w:val="StandardWeb"/>
      </w:pPr>
      <w:r>
        <w:t>Mehrere baugleiche Waagen können sogar dasselbe Ergebnis anzeigen.</w:t>
      </w:r>
    </w:p>
    <w:p w:rsidR="00AE0E77" w:rsidRDefault="00AE0E77" w:rsidP="00AE0E77">
      <w:pPr>
        <w:pStyle w:val="StandardWeb"/>
      </w:pPr>
      <w:r>
        <w:t>Trotzdem sind die Werte systematisch falsch.</w:t>
      </w:r>
    </w:p>
    <w:p w:rsidR="00AE0E77" w:rsidRDefault="00AE0E77" w:rsidP="00AE0E77">
      <w:pPr>
        <w:pStyle w:val="StandardWeb"/>
      </w:pPr>
      <w:r>
        <w:t>Damit wird verständlich, weshalb Robustheit und Validität getrennt bewertet werden müssen.</w:t>
      </w:r>
    </w:p>
    <w:p w:rsidR="00AE0E77" w:rsidRDefault="00AE0E77" w:rsidP="00AE0E77">
      <w:pPr>
        <w:pStyle w:val="StandardWeb"/>
      </w:pPr>
      <w:r>
        <w:t>Ein siebzehntes Beispiel betrifft konzeptionelle Replikation.</w:t>
      </w:r>
    </w:p>
    <w:p w:rsidR="00AE0E77" w:rsidRDefault="00AE0E77" w:rsidP="00AE0E77">
      <w:pPr>
        <w:pStyle w:val="StandardWeb"/>
      </w:pPr>
      <w:r>
        <w:t>Angenommen, eine Lernmethode wird zunächst über Klausurnoten untersucht.</w:t>
      </w:r>
    </w:p>
    <w:p w:rsidR="00AE0E77" w:rsidRDefault="00AE0E77" w:rsidP="00AE0E77">
      <w:pPr>
        <w:pStyle w:val="StandardWeb"/>
      </w:pPr>
      <w:r>
        <w:t>Eine zweite Studie verwendet stattdessen eine praktische Transferaufgabe.</w:t>
      </w:r>
    </w:p>
    <w:p w:rsidR="00AE0E77" w:rsidRDefault="00AE0E77" w:rsidP="00AE0E77">
      <w:pPr>
        <w:pStyle w:val="StandardWeb"/>
      </w:pPr>
      <w:r>
        <w:t>Wenn beide Untersuchungen dieselbe Richtung zeigen, ist dies wissenschaftlich stärker als die bloße Wiederholung derselben Klausur mit derselben Auswertungsmethode.</w:t>
      </w:r>
    </w:p>
    <w:p w:rsidR="00AE0E77" w:rsidRDefault="00AE0E77" w:rsidP="00AE0E77">
      <w:pPr>
        <w:pStyle w:val="StandardWeb"/>
      </w:pPr>
      <w:r>
        <w:t>Die zweite Studie prüft nämlich zusätzlich, ob die Aussage auch unter einer anderen Operationalisierung erhalten bleibt.</w:t>
      </w:r>
    </w:p>
    <w:p w:rsidR="00AE0E77" w:rsidRDefault="00AE0E77" w:rsidP="00AE0E77">
      <w:pPr>
        <w:pStyle w:val="StandardWeb"/>
      </w:pPr>
      <w:r>
        <w:t>Ein achtzehntes Beispiel betrifft Software.</w:t>
      </w:r>
    </w:p>
    <w:p w:rsidR="00AE0E77" w:rsidRDefault="00AE0E77" w:rsidP="00AE0E77">
      <w:pPr>
        <w:pStyle w:val="StandardWeb"/>
      </w:pPr>
      <w:r>
        <w:t>Zwei Programme implementieren dieselbe mathematische Berechnung.</w:t>
      </w:r>
    </w:p>
    <w:p w:rsidR="00AE0E77" w:rsidRDefault="00AE0E77" w:rsidP="00AE0E77">
      <w:pPr>
        <w:pStyle w:val="StandardWeb"/>
      </w:pPr>
      <w:r>
        <w:lastRenderedPageBreak/>
        <w:t>Wenn beide bis auf Rundungsfehler dieselben Ergebnisse erzeugen, stärkt dies die technische Reproduzierbarkeit.</w:t>
      </w:r>
    </w:p>
    <w:p w:rsidR="00AE0E77" w:rsidRDefault="00AE0E77" w:rsidP="00AE0E77">
      <w:pPr>
        <w:pStyle w:val="StandardWeb"/>
      </w:pPr>
      <w:r>
        <w:t>Verwenden beide jedoch dieselbe fragwürdige Schwellenwertdefinition, ist das wissenschaftliche Problem weiterhin vorhanden.</w:t>
      </w:r>
    </w:p>
    <w:p w:rsidR="00AE0E77" w:rsidRDefault="00AE0E77" w:rsidP="00AE0E77">
      <w:pPr>
        <w:pStyle w:val="StandardWeb"/>
      </w:pPr>
      <w:r>
        <w:t>Daraus folgt für die spätere FRZK-Software:</w:t>
      </w:r>
    </w:p>
    <w:p w:rsidR="00AE0E77" w:rsidRDefault="00AE0E77" w:rsidP="00AE0E77">
      <w:pPr>
        <w:pStyle w:val="StandardWeb"/>
      </w:pPr>
      <w:r>
        <w:rPr>
          <w:rStyle w:val="Fett"/>
        </w:rPr>
        <w:t>Softwaretests prüfen Implementierung. Robustheitsanalysen prüfen wissenschaftliche Abhängigkeit.</w:t>
      </w:r>
    </w:p>
    <w:p w:rsidR="00AE0E77" w:rsidRDefault="00AE0E77" w:rsidP="00AE0E77">
      <w:pPr>
        <w:pStyle w:val="StandardWeb"/>
      </w:pPr>
      <w:r>
        <w:t>Beides wird benötigt, aber beides ist nicht dasselbe.</w:t>
      </w:r>
    </w:p>
    <w:p w:rsidR="00AE0E77" w:rsidRDefault="00AE0E77" w:rsidP="00AE0E77">
      <w:pPr>
        <w:pStyle w:val="StandardWeb"/>
      </w:pPr>
      <w:r>
        <w:t>Ein neunzehntes Beispiel betrifft semantische Kategorien.</w:t>
      </w:r>
    </w:p>
    <w:p w:rsidR="00AE0E77" w:rsidRDefault="00AE0E77" w:rsidP="00AE0E77">
      <w:pPr>
        <w:pStyle w:val="StandardWeb"/>
      </w:pPr>
      <w:r>
        <w:t>Angenommen, Aussagen werden in die Kategorien „positiv“, „neutral“ und „negativ“ eingeordnet.</w:t>
      </w:r>
    </w:p>
    <w:p w:rsidR="00AE0E77" w:rsidRDefault="00AE0E77" w:rsidP="00AE0E77">
      <w:pPr>
        <w:pStyle w:val="StandardWeb"/>
      </w:pPr>
      <w:r>
        <w:t>Eine zweite Operationalisierung verwendet fünf feinere Kategorien.</w:t>
      </w:r>
    </w:p>
    <w:p w:rsidR="00AE0E77" w:rsidRDefault="00AE0E77" w:rsidP="00AE0E77">
      <w:pPr>
        <w:pStyle w:val="StandardWeb"/>
      </w:pPr>
      <w:r>
        <w:t>Die Zustandsräume sind verschieden.</w:t>
      </w:r>
    </w:p>
    <w:p w:rsidR="00AE0E77" w:rsidRDefault="00AE0E77" w:rsidP="00AE0E77">
      <w:pPr>
        <w:pStyle w:val="StandardWeb"/>
      </w:pPr>
      <w:r>
        <w:t>Trotzdem kann dieselbe übergeordnete Entwicklung sichtbar bleiben, beispielsweise ein kontinuierlicher Wechsel von positiver zu negativer Bewertung.</w:t>
      </w:r>
    </w:p>
    <w:p w:rsidR="00AE0E77" w:rsidRDefault="00AE0E77" w:rsidP="00AE0E77">
      <w:pPr>
        <w:pStyle w:val="StandardWeb"/>
      </w:pPr>
      <w:r>
        <w:t>Dann ist die grobe funktionale Aussage robust gegenüber der Granularität.</w:t>
      </w:r>
    </w:p>
    <w:p w:rsidR="00AE0E77" w:rsidRDefault="00AE0E77" w:rsidP="00AE0E77">
      <w:pPr>
        <w:pStyle w:val="StandardWeb"/>
      </w:pPr>
      <w:r>
        <w:t>Ein zwanzigstes Beispiel betrifft Beobachter.</w:t>
      </w:r>
    </w:p>
    <w:p w:rsidR="00AE0E77" w:rsidRDefault="00AE0E77" w:rsidP="00AE0E77">
      <w:pPr>
        <w:pStyle w:val="StandardWeb"/>
      </w:pPr>
      <w:r>
        <w:t>Zwei Personen lesen denselben Text und ordnen einzelne Aussagen verschiedenen Kategorien zu.</w:t>
      </w:r>
    </w:p>
    <w:p w:rsidR="00AE0E77" w:rsidRDefault="00AE0E77" w:rsidP="00AE0E77">
      <w:pPr>
        <w:pStyle w:val="StandardWeb"/>
      </w:pPr>
      <w:r>
        <w:t>Wenn beide trotzdem dieselbe übergeordnete Entwicklung erkennen, ist diese Aussage robuster als jede einzelne Detailklassifikation.</w:t>
      </w:r>
    </w:p>
    <w:p w:rsidR="00AE0E77" w:rsidRDefault="00AE0E77" w:rsidP="00AE0E77">
      <w:pPr>
        <w:pStyle w:val="StandardWeb"/>
      </w:pPr>
      <w:r>
        <w:t>Gerade bei semantischen FRZK-Anwendungen ist dieser Unterschied wichtig.</w:t>
      </w:r>
    </w:p>
    <w:p w:rsidR="00AE0E77" w:rsidRDefault="00AE0E77" w:rsidP="00AE0E77">
      <w:pPr>
        <w:pStyle w:val="StandardWeb"/>
      </w:pPr>
      <w:r>
        <w:t>Aus allen Beispielen ergibt sich ein einfacher didaktischer Grundsatz:</w:t>
      </w:r>
    </w:p>
    <w:p w:rsidR="00AE0E77" w:rsidRDefault="00AE0E77" w:rsidP="00AE0E77">
      <w:pPr>
        <w:pStyle w:val="StandardWeb"/>
      </w:pPr>
      <w:r>
        <w:rPr>
          <w:rStyle w:val="Fett"/>
        </w:rPr>
        <w:t>Ein Messwert ist nicht der Gegenstand selbst.</w:t>
      </w:r>
    </w:p>
    <w:p w:rsidR="00AE0E77" w:rsidRDefault="00AE0E77" w:rsidP="00AE0E77">
      <w:pPr>
        <w:pStyle w:val="StandardWeb"/>
      </w:pPr>
      <w:r>
        <w:t>Ein zweiter Grundsatz lautet:</w:t>
      </w:r>
    </w:p>
    <w:p w:rsidR="00AE0E77" w:rsidRDefault="00AE0E77" w:rsidP="00AE0E77">
      <w:pPr>
        <w:pStyle w:val="StandardWeb"/>
      </w:pPr>
      <w:r>
        <w:rPr>
          <w:rStyle w:val="Fett"/>
        </w:rPr>
        <w:t>Wenn eine wissenschaftliche Aussage nur bei genau einer einzigen Messentscheidung funktioniert, muss diese Abhängigkeit sichtbar bleiben.</w:t>
      </w:r>
    </w:p>
    <w:p w:rsidR="00AE0E77" w:rsidRDefault="00AE0E77" w:rsidP="00AE0E77">
      <w:pPr>
        <w:pStyle w:val="StandardWeb"/>
      </w:pPr>
      <w:r>
        <w:t>Und ein dritter:</w:t>
      </w:r>
    </w:p>
    <w:p w:rsidR="00AE0E77" w:rsidRDefault="00AE0E77" w:rsidP="00AE0E77">
      <w:pPr>
        <w:pStyle w:val="StandardWeb"/>
      </w:pPr>
      <w:r>
        <w:rPr>
          <w:rStyle w:val="Fett"/>
        </w:rPr>
        <w:t>Je stärker unterschiedliche, aber begründbare Messwege zu derselben funktionalen Schlussfolgerung führen, desto weniger wahrscheinlich ist es, dass die Aussage lediglich ein Produkt einer einzelnen Operationalisierung ist.</w:t>
      </w:r>
    </w:p>
    <w:p w:rsidR="00AE0E77" w:rsidRDefault="00AE0E77" w:rsidP="00AE0E77">
      <w:pPr>
        <w:pStyle w:val="StandardWeb"/>
      </w:pPr>
      <w:r>
        <w:lastRenderedPageBreak/>
        <w:t>Für den weiteren Verlauf der Dissertation ergibt sich daraus eine klare sprachliche Abstufung.</w:t>
      </w:r>
    </w:p>
    <w:p w:rsidR="00AE0E77" w:rsidRDefault="00AE0E77" w:rsidP="00AE0E77">
      <w:pPr>
        <w:pStyle w:val="StandardWeb"/>
      </w:pPr>
      <w:r>
        <w:t>Ich werde unterscheiden zwischen:</w:t>
      </w:r>
    </w:p>
    <w:p w:rsidR="00AE0E77" w:rsidRDefault="00AE0E77" w:rsidP="00AE0E77">
      <w:pPr>
        <w:pStyle w:val="StandardWeb"/>
      </w:pPr>
      <w:r>
        <w:rPr>
          <w:rStyle w:val="Fett"/>
        </w:rPr>
        <w:t>„unter Operationalisierung (\mathcal{O}_1) beobachtet“</w:t>
      </w:r>
    </w:p>
    <w:p w:rsidR="00AE0E77" w:rsidRDefault="00AE0E77" w:rsidP="00AE0E77">
      <w:pPr>
        <w:pStyle w:val="StandardWeb"/>
      </w:pPr>
      <w:r>
        <w:t>wenn bislang nur eine konkrete Operationalisierung verwendet wurde;</w:t>
      </w:r>
    </w:p>
    <w:p w:rsidR="00AE0E77" w:rsidRDefault="00AE0E77" w:rsidP="00AE0E77">
      <w:pPr>
        <w:pStyle w:val="StandardWeb"/>
      </w:pPr>
      <w:r>
        <w:rPr>
          <w:rStyle w:val="Fett"/>
        </w:rPr>
        <w:t>„lokal operationalisierungsrobust“</w:t>
      </w:r>
    </w:p>
    <w:p w:rsidR="00AE0E77" w:rsidRDefault="00AE0E77" w:rsidP="00AE0E77">
      <w:pPr>
        <w:pStyle w:val="StandardWeb"/>
      </w:pPr>
      <w:r>
        <w:t>wenn plausible kleine Variationen dieselbe Aussage tragen;</w:t>
      </w:r>
    </w:p>
    <w:p w:rsidR="00AE0E77" w:rsidRDefault="00AE0E77" w:rsidP="00AE0E77">
      <w:pPr>
        <w:pStyle w:val="StandardWeb"/>
      </w:pPr>
      <w:r>
        <w:rPr>
          <w:rStyle w:val="Fett"/>
        </w:rPr>
        <w:t>„global operationalisierungsrobust“</w:t>
      </w:r>
    </w:p>
    <w:p w:rsidR="00AE0E77" w:rsidRDefault="00AE0E77" w:rsidP="00AE0E77">
      <w:pPr>
        <w:pStyle w:val="StandardWeb"/>
      </w:pPr>
      <w:r>
        <w:t>wenn die Aussage über den gesamten begründeten Operationalisierungsraum erhalten bleibt;</w:t>
      </w:r>
    </w:p>
    <w:p w:rsidR="00AE0E77" w:rsidRDefault="00AE0E77" w:rsidP="00AE0E77">
      <w:pPr>
        <w:pStyle w:val="StandardWeb"/>
      </w:pPr>
      <w:r>
        <w:rPr>
          <w:rStyle w:val="Fett"/>
        </w:rPr>
        <w:t>„konvergent gestützt“</w:t>
      </w:r>
    </w:p>
    <w:p w:rsidR="00AE0E77" w:rsidRDefault="00AE0E77" w:rsidP="00AE0E77">
      <w:pPr>
        <w:pStyle w:val="StandardWeb"/>
      </w:pPr>
      <w:r>
        <w:t>wenn methodisch unterschiedliche Operationalisierungsfamilien zur selben relevanten Aussage führen;</w:t>
      </w:r>
    </w:p>
    <w:p w:rsidR="00AE0E77" w:rsidRDefault="00AE0E77" w:rsidP="00AE0E77">
      <w:pPr>
        <w:pStyle w:val="StandardWeb"/>
      </w:pPr>
      <w:r>
        <w:rPr>
          <w:rStyle w:val="Fett"/>
        </w:rPr>
        <w:t>„konvergent und validitätsgestützt“</w:t>
      </w:r>
    </w:p>
    <w:p w:rsidR="00AE0E77" w:rsidRDefault="00AE0E77" w:rsidP="00AE0E77">
      <w:pPr>
        <w:pStyle w:val="StandardWeb"/>
      </w:pPr>
      <w:r>
        <w:t>wenn zusätzlich die konstruktive beziehungsweise funktionale Validität der verwendeten Repräsentationen begründet ist.</w:t>
      </w:r>
    </w:p>
    <w:p w:rsidR="00AE0E77" w:rsidRDefault="00AE0E77" w:rsidP="00AE0E77">
      <w:pPr>
        <w:pStyle w:val="StandardWeb"/>
      </w:pPr>
      <w:r>
        <w:t>Diese Sprachregel verhindert, dass die wissenschaftliche Sicherheit einer Aussage stärker dargestellt wird, als die tatsächlich geprüfte Operationalisierungsbreite erlaubt.</w:t>
      </w:r>
    </w:p>
    <w:p w:rsidR="00AE0E77" w:rsidRDefault="00E50336" w:rsidP="00AE0E77">
      <w:r>
        <w:pict>
          <v:rect id="_x0000_i1274" style="width:0;height:1.5pt" o:hralign="center" o:hrstd="t" o:hr="t" fillcolor="#a0a0a0" stroked="f"/>
        </w:pict>
      </w:r>
    </w:p>
    <w:p w:rsidR="00AE0E77" w:rsidRDefault="00AE0E77" w:rsidP="00AE0E77">
      <w:pPr>
        <w:pStyle w:val="berschrift2"/>
      </w:pPr>
      <w:r>
        <w:t>3.3.39.134 Ergebnis der Prüfung der Operationalisierungsrobustheit</w:t>
      </w:r>
    </w:p>
    <w:p w:rsidR="00AE0E77" w:rsidRDefault="00AE0E77" w:rsidP="00AE0E77">
      <w:pPr>
        <w:pStyle w:val="StandardWeb"/>
      </w:pPr>
      <w:r>
        <w:t>Die Prüfung zeigt, dass empirische Aussagen des FRZK nicht allein aus theoretischen Definitionen und Daten entstehen. Zwischen beiden liegt eine eigenständige Operationalisierungsebene, in der theoretische Konzepte auf beobachtbare oder berechenbare Repräsentationen abgebildet werden [58, 59].</w:t>
      </w:r>
    </w:p>
    <w:p w:rsidR="00AE0E77" w:rsidRDefault="00AE0E77" w:rsidP="00AE0E77">
      <w:pPr>
        <w:pStyle w:val="StandardWeb"/>
      </w:pPr>
      <w:r>
        <w:t>Diese Operationalisierung kann Vorverarbeitung, Merkmalsextraktion, Skalierung, Normalisierung, Aggregation, Gewichtung, Schwellenwerte, Referenzzustände, Datenauflösung, semantische Granularität, Algorithmuswahl und weitere wissenschaftliche Entscheidungen umfassen.</w:t>
      </w:r>
    </w:p>
    <w:p w:rsidR="00AE0E77" w:rsidRDefault="00AE0E77" w:rsidP="00AE0E77">
      <w:pPr>
        <w:pStyle w:val="StandardWeb"/>
      </w:pPr>
      <w:r>
        <w:t>Daraus folgt allgemein</w:t>
      </w:r>
    </w:p>
    <w:p w:rsidR="00AE0E77" w:rsidRDefault="00AE0E77" w:rsidP="00AE0E77">
      <w:pPr>
        <w:pStyle w:val="berschrift1"/>
      </w:pPr>
      <w:r>
        <w:t>[</w:t>
      </w:r>
      <w:r>
        <w:br/>
        <w:t>A_F</w:t>
      </w:r>
    </w:p>
    <w:p w:rsidR="00AE0E77" w:rsidRDefault="00AE0E77" w:rsidP="00AE0E77">
      <w:pPr>
        <w:pStyle w:val="StandardWeb"/>
      </w:pPr>
      <w:r>
        <w:lastRenderedPageBreak/>
        <w:t>A_F</w:t>
      </w:r>
      <w:r>
        <w:br/>
        <w:t>\left(</w:t>
      </w:r>
      <w:r>
        <w:br/>
        <w:t>\mathcal{K}_{F},</w:t>
      </w:r>
      <w:r>
        <w:br/>
        <w:t>\mathcal{O},</w:t>
      </w:r>
      <w:r>
        <w:br/>
        <w:t>\mathcal{D},</w:t>
      </w:r>
      <w:r>
        <w:br/>
        <w:t>\mathcal{M},</w:t>
      </w:r>
      <w:r>
        <w:br/>
        <w:t>\mathcal{C}</w:t>
      </w:r>
      <w:r>
        <w:br/>
        <w:t>\right).</w:t>
      </w:r>
      <w:r>
        <w:br/>
        <w:t>\tag{3.6790}</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A_F=A_F\left(\mathcal{K}_{F},\mathcal{O},\mathcal{D},\mathcal{M},\mathcal{C}\right)\qquad\text{(3.6790)}</w:t>
      </w:r>
    </w:p>
    <w:p w:rsidR="00AE0E77" w:rsidRDefault="00AE0E77" w:rsidP="00AE0E77">
      <w:pPr>
        <w:pStyle w:val="StandardWeb"/>
      </w:pPr>
      <w:r>
        <w:t>Eine empirische FRZK-Aussage besitzt daher grundsätzlich eine Operationalisierungsabhängigkeit.</w:t>
      </w:r>
    </w:p>
    <w:p w:rsidR="00AE0E77" w:rsidRDefault="00AE0E77" w:rsidP="00AE0E77">
      <w:pPr>
        <w:pStyle w:val="StandardWeb"/>
      </w:pPr>
      <w:r>
        <w:t>Definition 3.3.31 stellt mit dem FRZK-Operationalisierungsrobustheitssystem einen formalen Rahmen bereit, um diese Abhängigkeit systematisch zu untersuchen.</w:t>
      </w:r>
    </w:p>
    <w:p w:rsidR="00AE0E77" w:rsidRDefault="00AE0E77" w:rsidP="00AE0E77">
      <w:pPr>
        <w:pStyle w:val="StandardWeb"/>
      </w:pPr>
      <w:r>
        <w:t>Satz 3.3.21 zeigt, dass unterschiedliche Operationalisierungen dieselbe Aussageklasse erhalten, wenn sie eine gemeinsame für die Aussage hinreichende invariante Repräsentation besitzen.</w:t>
      </w:r>
    </w:p>
    <w:p w:rsidR="00AE0E77" w:rsidRDefault="00AE0E77" w:rsidP="00AE0E77">
      <w:pPr>
        <w:pStyle w:val="StandardWeb"/>
      </w:pPr>
      <w:r>
        <w:t>Satz 3.3.22 zeigt dagegen, dass Reproduzierbarkeit unter einer einzelnen Operationalisierung keine Operationalisierungsrobustheit impliziert.</w:t>
      </w:r>
    </w:p>
    <w:p w:rsidR="00AE0E77" w:rsidRDefault="00AE0E77" w:rsidP="00AE0E77">
      <w:pPr>
        <w:pStyle w:val="StandardWeb"/>
      </w:pPr>
      <w:r>
        <w:t>Damit gilt ausdrücklich</w:t>
      </w:r>
    </w:p>
    <w:p w:rsidR="00AE0E77" w:rsidRDefault="00AE0E77" w:rsidP="00AE0E77">
      <w:pPr>
        <w:pStyle w:val="StandardWeb"/>
      </w:pPr>
      <w:r>
        <w:t>[</w:t>
      </w:r>
      <w:r>
        <w:br/>
        <w:t>R_{\mathrm{rep}}</w:t>
      </w:r>
      <w:r>
        <w:br/>
        <w:t>\text{ hoch}</w:t>
      </w:r>
      <w:r>
        <w:br/>
        <w:t>\nRightarrow</w:t>
      </w:r>
      <w:r>
        <w:br/>
        <w:t>R_{\mathcal{O}}</w:t>
      </w:r>
      <w:r>
        <w:br/>
        <w:t>\text{ hoch}.</w:t>
      </w:r>
      <w:r>
        <w:br/>
        <w:t>\tag{3.6791}</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R_{\mathrm{rep}}\text{ hoch}\nRightarrow R_{\mathcal{O}}\text{ hoch}\qquad\text{(3.6791)}</w:t>
      </w:r>
    </w:p>
    <w:p w:rsidR="00AE0E77" w:rsidRDefault="00AE0E77" w:rsidP="00AE0E77">
      <w:pPr>
        <w:pStyle w:val="StandardWeb"/>
      </w:pPr>
      <w:r>
        <w:t>Ebenso gilt</w:t>
      </w:r>
    </w:p>
    <w:p w:rsidR="00AE0E77" w:rsidRDefault="00AE0E77" w:rsidP="00AE0E77">
      <w:pPr>
        <w:pStyle w:val="StandardWeb"/>
      </w:pPr>
      <w:r>
        <w:t>[</w:t>
      </w:r>
      <w:r>
        <w:br/>
        <w:t>R_{\mathcal{O}}</w:t>
      </w:r>
      <w:r>
        <w:br/>
        <w:t>\text{ hoch}</w:t>
      </w:r>
      <w:r>
        <w:br/>
        <w:t>\nRightarrow</w:t>
      </w:r>
      <w:r>
        <w:br/>
        <w:t>V_{\mathrm{Konstr}}</w:t>
      </w:r>
      <w:r>
        <w:br/>
      </w:r>
      <w:r>
        <w:lastRenderedPageBreak/>
        <w:t>\text{ hoch}.</w:t>
      </w:r>
      <w:r>
        <w:br/>
        <w:t>\tag{3.6792}</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R_{\mathcal{O}}\text{ hoch}\nRightarrow V_{\mathrm{Konstr}}\text{ hoch}\qquad\text{(3.6792)}</w:t>
      </w:r>
    </w:p>
    <w:p w:rsidR="00AE0E77" w:rsidRDefault="00AE0E77" w:rsidP="00AE0E77">
      <w:pPr>
        <w:pStyle w:val="StandardWeb"/>
      </w:pPr>
      <w:r>
        <w:t>Operationalisierungsrobustheit und Validität bleiben somit getrennte wissenschaftliche Qualitätsdimensionen.</w:t>
      </w:r>
    </w:p>
    <w:p w:rsidR="00AE0E77" w:rsidRDefault="00AE0E77" w:rsidP="00AE0E77">
      <w:pPr>
        <w:pStyle w:val="StandardWeb"/>
      </w:pPr>
      <w:r>
        <w:t>Eine starke empirische Aussage benötigt deshalb mindestens eine Kombination aus</w:t>
      </w:r>
    </w:p>
    <w:p w:rsidR="00AE0E77" w:rsidRDefault="00AE0E77" w:rsidP="00AE0E77">
      <w:pPr>
        <w:pStyle w:val="StandardWeb"/>
      </w:pPr>
      <w:r>
        <w:t>[</w:t>
      </w:r>
      <w:r>
        <w:br/>
        <w:t>C_{\mathrm{theorie}}</w:t>
      </w:r>
      <w:r>
        <w:br/>
        <w:t>\land</w:t>
      </w:r>
      <w:r>
        <w:br/>
        <w:t>C_{\mathrm{operationalisierung}}</w:t>
      </w:r>
      <w:r>
        <w:br/>
        <w:t>\land</w:t>
      </w:r>
      <w:r>
        <w:br/>
        <w:t>C_{\mathrm{reproduzierbarkeit}}</w:t>
      </w:r>
      <w:r>
        <w:br/>
        <w:t>\land</w:t>
      </w:r>
      <w:r>
        <w:br/>
        <w:t>C_{\mathrm{robustheit}}</w:t>
      </w:r>
      <w:r>
        <w:br/>
        <w:t>\land</w:t>
      </w:r>
      <w:r>
        <w:br/>
        <w:t>C_{\mathrm{unsicherheit}}.</w:t>
      </w:r>
      <w:r>
        <w:br/>
        <w:t>\tag{3.6793}</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C_{\mathrm{theorie}}\land C_{\mathrm{operationalisierung}}\land C_{\mathrm{reproduzierbarkeit}}\land C_{\mathrm{robustheit}}\land C_{\mathrm{unsicherheit}}\qquad\text{(3.6793)}</w:t>
      </w:r>
    </w:p>
    <w:p w:rsidR="00AE0E77" w:rsidRDefault="00AE0E77" w:rsidP="00AE0E77">
      <w:pPr>
        <w:pStyle w:val="StandardWeb"/>
      </w:pPr>
      <w:r>
        <w:t>Für Aussagen mit Übertragungs- oder Kausalitätsanspruch kommen die entsprechenden zusätzlichen Prüfbedingungen hinzu.</w:t>
      </w:r>
    </w:p>
    <w:p w:rsidR="00AE0E77" w:rsidRDefault="00AE0E77" w:rsidP="00AE0E77">
      <w:pPr>
        <w:pStyle w:val="StandardWeb"/>
      </w:pPr>
      <w:r>
        <w:rPr>
          <w:rStyle w:val="Fett"/>
        </w:rPr>
        <w:t>Eigenleistung des FRZK</w:t>
      </w:r>
    </w:p>
    <w:p w:rsidR="00AE0E77" w:rsidRDefault="00AE0E77" w:rsidP="00AE0E77">
      <w:pPr>
        <w:pStyle w:val="StandardWeb"/>
      </w:pPr>
      <w:r>
        <w:t>Mit Abschnitt 3.3.39 integriere ich die Operationalisierung als eigenständige, versionierbare und überprüfbare Ebene zwischen theoretischer Konstruktion und empirischer Aussage in die FRZK-Architektur. Damit kann später für jede zentrale FRZK-Größe nachvollzogen werden, ob ein Befund gegenüber wissenschaftlich zulässigen Mess- und Auswertungsalternativen stabil bleibt oder wesentlich von einer einzelnen Operationalisierungsentscheidung abhängt.</w:t>
      </w:r>
    </w:p>
    <w:p w:rsidR="00AE0E77" w:rsidRDefault="00AE0E77" w:rsidP="00AE0E77">
      <w:pPr>
        <w:pStyle w:val="StandardWeb"/>
      </w:pPr>
      <w:r>
        <w:t>Die zentrale Schlussfolgerung lautet:</w:t>
      </w:r>
    </w:p>
    <w:p w:rsidR="00AE0E77" w:rsidRDefault="00AE0E77" w:rsidP="00AE0E77">
      <w:pPr>
        <w:pStyle w:val="StandardWeb"/>
      </w:pPr>
      <w:r>
        <w:t>[</w:t>
      </w:r>
      <w:r>
        <w:br/>
        <w:t>\boxed{</w:t>
      </w:r>
      <w:r>
        <w:br/>
        <w:t>\text{Robuste empirische Aussage}</w:t>
      </w:r>
      <w:r>
        <w:br/>
        <w:t>\neq</w:t>
      </w:r>
      <w:r>
        <w:br/>
        <w:t>\text{bloß reproduzierbare Berechnung}</w:t>
      </w:r>
      <w:r>
        <w:br/>
        <w:t>}</w:t>
      </w:r>
      <w:r>
        <w:br/>
      </w:r>
      <w:r>
        <w:lastRenderedPageBreak/>
        <w:t>\tag{3.6794}</w:t>
      </w:r>
      <w:r>
        <w:br/>
        <w:t>]</w:t>
      </w:r>
    </w:p>
    <w:p w:rsidR="00AE0E77" w:rsidRDefault="00AE0E77" w:rsidP="00AE0E77">
      <w:pPr>
        <w:pStyle w:val="StandardWeb"/>
      </w:pPr>
      <w:r>
        <w:rPr>
          <w:rStyle w:val="Fett"/>
        </w:rPr>
        <w:t>Word-LaTeX</w:t>
      </w:r>
    </w:p>
    <w:p w:rsidR="00AE0E77" w:rsidRDefault="00AE0E77" w:rsidP="00AE0E77">
      <w:pPr>
        <w:pStyle w:val="HTMLVorformatiert"/>
        <w:rPr>
          <w:rStyle w:val="HTMLCode"/>
        </w:rPr>
      </w:pPr>
      <w:r>
        <w:rPr>
          <w:rStyle w:val="HTMLCode"/>
        </w:rPr>
        <w:t>\boxed{\text{Robuste empirische Aussage}\neq\text{bloß reproduzierbare Berechnung}}\qquad\text{(3.6794)}</w:t>
      </w:r>
    </w:p>
    <w:p w:rsidR="00AE0E77" w:rsidRDefault="00E50336" w:rsidP="00AE0E77">
      <w:r>
        <w:pict>
          <v:rect id="_x0000_i1275" style="width:0;height:1.5pt" o:hralign="center" o:hrstd="t" o:hr="t" fillcolor="#a0a0a0" stroked="f"/>
        </w:pict>
      </w:r>
    </w:p>
    <w:p w:rsidR="00AE0E77" w:rsidRDefault="00AE0E77" w:rsidP="00AE0E77">
      <w:pPr>
        <w:pStyle w:val="berschrift2"/>
      </w:pPr>
      <w:r>
        <w:t>3.3.39.135 Übergang zu Abschnitt 3.3.40</w:t>
      </w:r>
    </w:p>
    <w:p w:rsidR="00AE0E77" w:rsidRDefault="00AE0E77" w:rsidP="00AE0E77">
      <w:pPr>
        <w:pStyle w:val="StandardWeb"/>
      </w:pPr>
      <w:r>
        <w:t>Mit der Prüfung der Operationalisierungsrobustheit ist nun geklärt, wie stark empirische FRZK-Aussagen von der konkreten Repräsentation theoretischer Konzepte abhängen und wie diese Abhängigkeit systematisch geprüft werden kann.</w:t>
      </w:r>
    </w:p>
    <w:p w:rsidR="00AE0E77" w:rsidRDefault="00AE0E77" w:rsidP="00AE0E77">
      <w:pPr>
        <w:pStyle w:val="StandardWeb"/>
      </w:pPr>
      <w:r>
        <w:t>Damit ist jedoch eine weitere grundlegende wissenschaftliche Frage noch offen.</w:t>
      </w:r>
    </w:p>
    <w:p w:rsidR="00AE0E77" w:rsidRDefault="00AE0E77" w:rsidP="00AE0E77">
      <w:pPr>
        <w:pStyle w:val="StandardWeb"/>
      </w:pPr>
      <w:r>
        <w:t xml:space="preserve">Eine Aussage kann konsistent, reproduzierbar, falsifizierbar, prognostisch belastbar, erklärungsfähig, kausal interpretierbar, transportierbar und operationalisierungsrobust sein. Dennoch kann ihre Gültigkeit davon abhängen, </w:t>
      </w:r>
      <w:r>
        <w:rPr>
          <w:rStyle w:val="Fett"/>
        </w:rPr>
        <w:t>welche Parameter, Anfangsbedingungen oder Randbedingungen innerhalb des Modells verwendet werden</w:t>
      </w:r>
      <w:r>
        <w:t>.</w:t>
      </w:r>
    </w:p>
    <w:p w:rsidR="00AE0E77" w:rsidRDefault="00AE0E77" w:rsidP="00AE0E77">
      <w:pPr>
        <w:pStyle w:val="StandardWeb"/>
      </w:pPr>
      <w:r>
        <w:t>Eine geringe Änderung eines Parameters kann bei linearen Systemen nur eine geringe Ergebnisänderung erzeugen. In nichtlinearen Systemen kann dieselbe kleine Änderung jedoch zu qualitativ anderen Entwicklungen führen.</w:t>
      </w:r>
    </w:p>
    <w:p w:rsidR="00AE0E77" w:rsidRDefault="00AE0E77" w:rsidP="00AE0E77">
      <w:pPr>
        <w:pStyle w:val="StandardWeb"/>
      </w:pPr>
      <w:r>
        <w:t>Damit muss als nächster eigenständiger Prüfschritt untersucht werden, wie empfindlich FRZK-Aussagen gegenüber Parameter- und Anfangsbedingungsänderungen sind.</w:t>
      </w:r>
    </w:p>
    <w:p w:rsidR="00AE0E77" w:rsidRDefault="00AE0E77" w:rsidP="00AE0E77">
      <w:pPr>
        <w:pStyle w:val="StandardWeb"/>
      </w:pPr>
      <w:r>
        <w:t>Der nächste Abschnitt lautet daher:</w:t>
      </w:r>
    </w:p>
    <w:p w:rsidR="00AE0E77" w:rsidRDefault="00AE0E77" w:rsidP="00AE0E77">
      <w:pPr>
        <w:pStyle w:val="berschrift1"/>
      </w:pPr>
      <w:r>
        <w:t>3.3.40 Prüfung der Parameter- und Anfangsbedingungsrobustheit</w:t>
      </w:r>
    </w:p>
    <w:p w:rsidR="00AE0E77" w:rsidRDefault="00AE0E77" w:rsidP="00AE0E77">
      <w:pPr>
        <w:pStyle w:val="StandardWeb"/>
      </w:pPr>
      <w:r>
        <w:t xml:space="preserve">Dort muss ich insbesondere zwischen </w:t>
      </w:r>
      <w:r>
        <w:rPr>
          <w:rStyle w:val="Fett"/>
        </w:rPr>
        <w:t>lokaler Parametersensitivität</w:t>
      </w:r>
      <w:r>
        <w:t xml:space="preserve">, </w:t>
      </w:r>
      <w:r>
        <w:rPr>
          <w:rStyle w:val="Fett"/>
        </w:rPr>
        <w:t>globaler Parametersensitivität</w:t>
      </w:r>
      <w:r>
        <w:t xml:space="preserve">, </w:t>
      </w:r>
      <w:r>
        <w:rPr>
          <w:rStyle w:val="Fett"/>
        </w:rPr>
        <w:t>Anfangsbedingungsabhängigkeit</w:t>
      </w:r>
      <w:r>
        <w:t xml:space="preserve">, </w:t>
      </w:r>
      <w:r>
        <w:rPr>
          <w:rStyle w:val="Fett"/>
        </w:rPr>
        <w:t>struktureller Stabilität</w:t>
      </w:r>
      <w:r>
        <w:t xml:space="preserve">, </w:t>
      </w:r>
      <w:r>
        <w:rPr>
          <w:rStyle w:val="Fett"/>
        </w:rPr>
        <w:t>Bifurkationen</w:t>
      </w:r>
      <w:r>
        <w:t xml:space="preserve">, </w:t>
      </w:r>
      <w:r>
        <w:rPr>
          <w:rStyle w:val="Fett"/>
        </w:rPr>
        <w:t>Parameteridentifizierbarkeit</w:t>
      </w:r>
      <w:r>
        <w:t xml:space="preserve"> und </w:t>
      </w:r>
      <w:r>
        <w:rPr>
          <w:rStyle w:val="Fett"/>
        </w:rPr>
        <w:t>Unsicherheitsfortpflanzung</w:t>
      </w:r>
      <w:r>
        <w:t xml:space="preserve"> unterscheiden. Auch dieser Abschnitt wird am Ende wieder verbindlich mit ausführlichen </w:t>
      </w:r>
      <w:r>
        <w:rPr>
          <w:rStyle w:val="Fett"/>
        </w:rPr>
        <w:t>Methodologischen Betrachtungen</w:t>
      </w:r>
      <w:r>
        <w:t xml:space="preserve">, </w:t>
      </w:r>
      <w:r>
        <w:rPr>
          <w:rStyle w:val="Fett"/>
        </w:rPr>
        <w:t>Didaktischen Betrachtungen</w:t>
      </w:r>
      <w:r>
        <w:t xml:space="preserve">, </w:t>
      </w:r>
      <w:r>
        <w:rPr>
          <w:rStyle w:val="Fett"/>
        </w:rPr>
        <w:t>Ergebnis</w:t>
      </w:r>
      <w:r>
        <w:t xml:space="preserve"> und </w:t>
      </w:r>
      <w:r>
        <w:rPr>
          <w:rStyle w:val="Fett"/>
        </w:rPr>
        <w:t>Übergang</w:t>
      </w:r>
      <w:r>
        <w:t xml:space="preserve"> abgeschlossen.</w:t>
      </w:r>
    </w:p>
    <w:p w:rsidR="00AD04D9" w:rsidRDefault="00AD04D9" w:rsidP="00AD04D9">
      <w:pPr>
        <w:pStyle w:val="berschrift1"/>
        <w:rPr>
          <w:rFonts w:cs="Times New Roman"/>
          <w:sz w:val="48"/>
          <w:szCs w:val="48"/>
        </w:rPr>
      </w:pPr>
      <w:r>
        <w:t>3.3.40 Prüfung der Parameter- und Anfangsbedingungsrobustheit</w:t>
      </w:r>
    </w:p>
    <w:p w:rsidR="00AD04D9" w:rsidRDefault="00AD04D9" w:rsidP="00AD04D9">
      <w:pPr>
        <w:pStyle w:val="StandardWeb"/>
      </w:pPr>
      <w:r>
        <w:t xml:space="preserve">Mit Abschnitt 3.3.39 habe ich untersucht, in welchem Maß empirische FRZK-Aussagen von der konkreten Operationalisierung theoretischer Konzepte abhängen. Selbst wenn eine Aussage unter unterschiedlichen wissenschaftlich zulässigen Operationalisierungen stabil </w:t>
      </w:r>
      <w:r>
        <w:lastRenderedPageBreak/>
        <w:t>bleibt, ist damit jedoch noch nicht geklärt, wie empfindlich sie gegenüber den innerhalb eines Modells verwendeten Parametern, Anfangsbedingungen und Randbedingungen ist.</w:t>
      </w:r>
    </w:p>
    <w:p w:rsidR="00AD04D9" w:rsidRDefault="00AD04D9" w:rsidP="00AD04D9">
      <w:pPr>
        <w:pStyle w:val="StandardWeb"/>
      </w:pPr>
      <w:r>
        <w:t>Diese Frage ist insbesondere für nichtlineare Systeme entscheidend. In linearen Zusammenhängen führen kleine Änderungen von Parametern oder Anfangswerten häufig zu entsprechend kleinen Änderungen der Ergebnisse. In nichtlinearen Systemen können dagegen bereits geringe Veränderungen qualitative Strukturwechsel, Dominanzwechsel, kritische Übergänge oder vollständig andere Entwicklungspfade auslösen. Deshalb muss eine belastbare FRZK-Aussage nicht nur operationalisierungsrobust, sondern auch hinsichtlich ihrer Parameter- und Anfangsbedingungsabhängigkeit untersucht werden.</w:t>
      </w:r>
    </w:p>
    <w:p w:rsidR="00AD04D9" w:rsidRDefault="00AD04D9" w:rsidP="00AD04D9">
      <w:pPr>
        <w:pStyle w:val="StandardWeb"/>
      </w:pPr>
      <w:r>
        <w:t xml:space="preserve">Ich bezeichne diese Eigenschaft als </w:t>
      </w:r>
      <w:r>
        <w:rPr>
          <w:rStyle w:val="Fett"/>
        </w:rPr>
        <w:t>Parameter- und Anfangsbedingungsrobustheit</w:t>
      </w:r>
      <w:r>
        <w:t>.</w:t>
      </w:r>
    </w:p>
    <w:p w:rsidR="00AD04D9" w:rsidRDefault="00AD04D9" w:rsidP="00AD04D9">
      <w:pPr>
        <w:pStyle w:val="StandardWeb"/>
      </w:pPr>
      <w:r>
        <w:rPr>
          <w:rStyle w:val="Fett"/>
        </w:rPr>
        <w:t>Eigenleistung des FRZK</w:t>
      </w:r>
    </w:p>
    <w:p w:rsidR="00AD04D9" w:rsidRDefault="00AD04D9" w:rsidP="00AD04D9">
      <w:pPr>
        <w:pStyle w:val="StandardWeb"/>
      </w:pPr>
      <w:r>
        <w:t>Ich integriere die Sensitivität gegenüber Parametern, Anfangsbedingungen und Randbedingungen als eigenständige Prüfebene in die FRZK-Methodik. Dabei unterscheide ich ausdrücklich zwischen lokaler Sensitivität, globaler Sensitivität, struktureller Stabilität, Bifurkationen, Identifizierbarkeit und Unsicherheitsfortpflanzung. Dadurch soll verhindert werden, dass ein Modell allein deshalb als stabil interpretiert wird, weil es für eine einzelne gewählte Parametrisierung ein plausibles Ergebnis erzeugt.</w:t>
      </w:r>
    </w:p>
    <w:p w:rsidR="00AD04D9" w:rsidRDefault="00E50336" w:rsidP="00AD04D9">
      <w:r>
        <w:pict>
          <v:rect id="_x0000_i1276" style="width:0;height:1.5pt" o:hralign="center" o:hrstd="t" o:hr="t" fillcolor="#a0a0a0" stroked="f"/>
        </w:pict>
      </w:r>
    </w:p>
    <w:p w:rsidR="00AD04D9" w:rsidRDefault="00AD04D9" w:rsidP="00AD04D9">
      <w:pPr>
        <w:pStyle w:val="berschrift2"/>
      </w:pPr>
      <w:r>
        <w:t>3.3.40.1 Parametervektor</w:t>
      </w:r>
    </w:p>
    <w:p w:rsidR="00AD04D9" w:rsidRDefault="00AD04D9" w:rsidP="00AD04D9">
      <w:pPr>
        <w:pStyle w:val="StandardWeb"/>
      </w:pPr>
      <w:r>
        <w:t>Ich bezeichne den vollständigen Parametervektor eines FRZK-Modells mit</w:t>
      </w:r>
    </w:p>
    <w:p w:rsidR="00AD04D9" w:rsidRDefault="00AD04D9" w:rsidP="00AD04D9">
      <w:pPr>
        <w:pStyle w:val="berschrift1"/>
      </w:pPr>
      <w:r>
        <w:t>[</w:t>
      </w:r>
      <w:r>
        <w:br/>
        <w:t>\boldsymbol{\theta}</w:t>
      </w:r>
    </w:p>
    <w:p w:rsidR="00AD04D9" w:rsidRDefault="00AD04D9" w:rsidP="00AD04D9">
      <w:pPr>
        <w:pStyle w:val="StandardWeb"/>
      </w:pPr>
      <w:r>
        <w:t>\left(</w:t>
      </w:r>
      <w:r>
        <w:br/>
        <w:t>\theta_1,</w:t>
      </w:r>
      <w:r>
        <w:br/>
        <w:t>\theta_2,</w:t>
      </w:r>
      <w:r>
        <w:br/>
        <w:t>\ldots,</w:t>
      </w:r>
      <w:r>
        <w:br/>
        <w:t>\theta_p</w:t>
      </w:r>
      <w:r>
        <w:br/>
        <w:t>\right).</w:t>
      </w:r>
      <w:r>
        <w:br/>
        <w:t>\tag{3.6795}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\boldsymbol{\theta}=\left(\theta_1,\theta_2,\ldots,\theta_p\right)\qquad\text{(3.6795)}</w:t>
      </w:r>
    </w:p>
    <w:p w:rsidR="00AD04D9" w:rsidRDefault="00AD04D9" w:rsidP="00AD04D9">
      <w:pPr>
        <w:pStyle w:val="StandardWeb"/>
      </w:pPr>
      <w:r>
        <w:t>Der Parameterraum lautet</w:t>
      </w:r>
    </w:p>
    <w:p w:rsidR="00AD04D9" w:rsidRDefault="00AD04D9" w:rsidP="00AD04D9">
      <w:pPr>
        <w:pStyle w:val="StandardWeb"/>
      </w:pPr>
      <w:r>
        <w:t>[</w:t>
      </w:r>
      <w:r>
        <w:br/>
        <w:t>\Theta</w:t>
      </w:r>
      <w:r>
        <w:br/>
        <w:t>\subseteq</w:t>
      </w:r>
      <w:r>
        <w:br/>
      </w:r>
      <w:r>
        <w:lastRenderedPageBreak/>
        <w:t>\mathbb{R}^{p}.</w:t>
      </w:r>
      <w:r>
        <w:br/>
        <w:t>\tag{3.6796}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\Theta\subseteq\mathbb{R}^{p}\qquad\text{(3.6796)}</w:t>
      </w:r>
    </w:p>
    <w:p w:rsidR="00AD04D9" w:rsidRDefault="00AD04D9" w:rsidP="00AD04D9">
      <w:pPr>
        <w:pStyle w:val="StandardWeb"/>
      </w:pPr>
      <w:r>
        <w:t>Ein konkreter Parametersatz ist damit ein Punkt</w:t>
      </w:r>
    </w:p>
    <w:p w:rsidR="00AD04D9" w:rsidRDefault="00AD04D9" w:rsidP="00AD04D9">
      <w:pPr>
        <w:pStyle w:val="StandardWeb"/>
      </w:pPr>
      <w:r>
        <w:t>[</w:t>
      </w:r>
      <w:r>
        <w:br/>
        <w:t>\boldsymbol{\theta}</w:t>
      </w:r>
      <w:r>
        <w:br/>
        <w:t>\in</w:t>
      </w:r>
      <w:r>
        <w:br/>
        <w:t>\Theta.</w:t>
      </w:r>
      <w:r>
        <w:br/>
        <w:t>\tag{3.6797}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\boldsymbol{\theta}\in\Theta\qquad\text{(3.6797)}</w:t>
      </w:r>
    </w:p>
    <w:p w:rsidR="00AD04D9" w:rsidRDefault="00AD04D9" w:rsidP="00AD04D9">
      <w:pPr>
        <w:pStyle w:val="StandardWeb"/>
      </w:pPr>
      <w:r>
        <w:t>Die resultierende funktionale Aussage oder Modellgröße kann allgemein geschrieben werden als</w:t>
      </w:r>
    </w:p>
    <w:p w:rsidR="00AD04D9" w:rsidRDefault="00AD04D9" w:rsidP="00AD04D9">
      <w:pPr>
        <w:pStyle w:val="berschrift1"/>
      </w:pPr>
      <w:r>
        <w:t>[</w:t>
      </w:r>
      <w:r>
        <w:br/>
        <w:t>A_F</w:t>
      </w:r>
    </w:p>
    <w:p w:rsidR="00AD04D9" w:rsidRDefault="00AD04D9" w:rsidP="00AD04D9">
      <w:pPr>
        <w:pStyle w:val="StandardWeb"/>
      </w:pPr>
      <w:r>
        <w:t>A_F</w:t>
      </w:r>
      <w:r>
        <w:br/>
        <w:t>\left(</w:t>
      </w:r>
      <w:r>
        <w:br/>
        <w:t>\boldsymbol{\theta}</w:t>
      </w:r>
      <w:r>
        <w:br/>
        <w:t>\right).</w:t>
      </w:r>
      <w:r>
        <w:br/>
        <w:t>\tag{3.6798}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A_F=A_F\left(\boldsymbol{\theta}\right)\qquad\text{(3.6798)}</w:t>
      </w:r>
    </w:p>
    <w:p w:rsidR="00AD04D9" w:rsidRDefault="00AD04D9" w:rsidP="00AD04D9">
      <w:pPr>
        <w:pStyle w:val="StandardWeb"/>
      </w:pPr>
      <w:r>
        <w:t>Damit wird unmittelbar sichtbar, dass wissenschaftliche Aussagen innerhalb eines parametrisierten Modells grundsätzlich parameterabhängig sein können.</w:t>
      </w:r>
    </w:p>
    <w:p w:rsidR="00AD04D9" w:rsidRDefault="00E50336" w:rsidP="00AD04D9">
      <w:r>
        <w:pict>
          <v:rect id="_x0000_i1277" style="width:0;height:1.5pt" o:hralign="center" o:hrstd="t" o:hr="t" fillcolor="#a0a0a0" stroked="f"/>
        </w:pict>
      </w:r>
    </w:p>
    <w:p w:rsidR="00AD04D9" w:rsidRDefault="00AD04D9" w:rsidP="00AD04D9">
      <w:pPr>
        <w:pStyle w:val="berschrift2"/>
      </w:pPr>
      <w:r>
        <w:t>3.3.40.2 Anfangszustand</w:t>
      </w:r>
    </w:p>
    <w:p w:rsidR="00AD04D9" w:rsidRDefault="00AD04D9" w:rsidP="00AD04D9">
      <w:pPr>
        <w:pStyle w:val="StandardWeb"/>
      </w:pPr>
      <w:r>
        <w:t>Neben Parametern kann auch der Anfangszustand entscheidend sein.</w:t>
      </w:r>
    </w:p>
    <w:p w:rsidR="00AD04D9" w:rsidRDefault="00AD04D9" w:rsidP="00AD04D9">
      <w:pPr>
        <w:pStyle w:val="StandardWeb"/>
      </w:pPr>
      <w:r>
        <w:t>Ich bezeichne ihn mit</w:t>
      </w:r>
    </w:p>
    <w:p w:rsidR="00AD04D9" w:rsidRDefault="00AD04D9" w:rsidP="00AD04D9">
      <w:pPr>
        <w:pStyle w:val="StandardWeb"/>
      </w:pPr>
      <w:r>
        <w:lastRenderedPageBreak/>
        <w:t>[</w:t>
      </w:r>
      <w:r>
        <w:br/>
        <w:t>\delta_0</w:t>
      </w:r>
      <w:r>
        <w:br/>
        <w:t>\in</w:t>
      </w:r>
      <w:r>
        <w:br/>
        <w:t>\mathcal{S}_{F}.</w:t>
      </w:r>
      <w:r>
        <w:br/>
        <w:t>\tag{3.6799}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\delta_0\in\mathcal{S}_{F}\qquad\text{(3.6799)}</w:t>
      </w:r>
    </w:p>
    <w:p w:rsidR="00AD04D9" w:rsidRDefault="00AD04D9" w:rsidP="00AD04D9">
      <w:pPr>
        <w:pStyle w:val="StandardWeb"/>
      </w:pPr>
      <w:r>
        <w:t>Für einen dynamischen Zustand gilt allgemein</w:t>
      </w:r>
    </w:p>
    <w:p w:rsidR="00AD04D9" w:rsidRDefault="00AD04D9" w:rsidP="00AD04D9">
      <w:pPr>
        <w:pStyle w:val="berschrift1"/>
      </w:pPr>
      <w:r>
        <w:t>[</w:t>
      </w:r>
      <w:r>
        <w:br/>
        <w:t>\delta(t)</w:t>
      </w:r>
    </w:p>
    <w:p w:rsidR="00AD04D9" w:rsidRDefault="00AD04D9" w:rsidP="00AD04D9">
      <w:pPr>
        <w:pStyle w:val="StandardWeb"/>
      </w:pPr>
      <w:r>
        <w:t>\Phi_t</w:t>
      </w:r>
      <w:r>
        <w:br/>
        <w:t>\left(</w:t>
      </w:r>
      <w:r>
        <w:br/>
        <w:t>\delta_0,</w:t>
      </w:r>
      <w:r>
        <w:br/>
        <w:t>\boldsymbol{\theta}</w:t>
      </w:r>
      <w:r>
        <w:br/>
        <w:t>\right).</w:t>
      </w:r>
      <w:r>
        <w:br/>
        <w:t>\tag{3.6800}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\delta(t)=\Phi_t\left(\delta_0,\boldsymbol{\theta}\right)\qquad\text{(3.6800)}</w:t>
      </w:r>
    </w:p>
    <w:p w:rsidR="00AD04D9" w:rsidRDefault="00AD04D9" w:rsidP="00AD04D9">
      <w:pPr>
        <w:pStyle w:val="StandardWeb"/>
      </w:pPr>
      <w:r>
        <w:t>Dabei bezeichnet (\Phi_t) den zeitlichen Entwicklungsoperator des Systems.</w:t>
      </w:r>
    </w:p>
    <w:p w:rsidR="00AD04D9" w:rsidRDefault="00AD04D9" w:rsidP="00AD04D9">
      <w:pPr>
        <w:pStyle w:val="StandardWeb"/>
      </w:pPr>
      <w:r>
        <w:t>Damit hängt der Zustand zu einem späteren Zeitpunkt sowohl von den Parametern als auch vom Anfangszustand ab.</w:t>
      </w:r>
    </w:p>
    <w:p w:rsidR="00AD04D9" w:rsidRDefault="00E50336" w:rsidP="00AD04D9">
      <w:r>
        <w:pict>
          <v:rect id="_x0000_i1278" style="width:0;height:1.5pt" o:hralign="center" o:hrstd="t" o:hr="t" fillcolor="#a0a0a0" stroked="f"/>
        </w:pict>
      </w:r>
    </w:p>
    <w:p w:rsidR="00AD04D9" w:rsidRDefault="00AD04D9" w:rsidP="00AD04D9">
      <w:pPr>
        <w:pStyle w:val="berschrift2"/>
      </w:pPr>
      <w:r>
        <w:t>3.3.40.3 Randbedingungen</w:t>
      </w:r>
    </w:p>
    <w:p w:rsidR="00AD04D9" w:rsidRDefault="00AD04D9" w:rsidP="00AD04D9">
      <w:pPr>
        <w:pStyle w:val="StandardWeb"/>
      </w:pPr>
      <w:r>
        <w:t>Zusätzlich führe ich einen Randbedingungsvektor ein:</w:t>
      </w:r>
    </w:p>
    <w:p w:rsidR="00AD04D9" w:rsidRDefault="00AD04D9" w:rsidP="00AD04D9">
      <w:pPr>
        <w:pStyle w:val="berschrift1"/>
      </w:pPr>
      <w:r>
        <w:t>[</w:t>
      </w:r>
      <w:r>
        <w:br/>
        <w:t>\mathbf{b}</w:t>
      </w:r>
    </w:p>
    <w:p w:rsidR="00AD04D9" w:rsidRDefault="00AD04D9" w:rsidP="00AD04D9">
      <w:pPr>
        <w:pStyle w:val="StandardWeb"/>
      </w:pPr>
      <w:r>
        <w:t>\left(</w:t>
      </w:r>
      <w:r>
        <w:br/>
        <w:t>b_1,</w:t>
      </w:r>
      <w:r>
        <w:br/>
        <w:t>b_2,</w:t>
      </w:r>
      <w:r>
        <w:br/>
        <w:t>\ldots,</w:t>
      </w:r>
      <w:r>
        <w:br/>
        <w:t>b_q</w:t>
      </w:r>
      <w:r>
        <w:br/>
      </w:r>
      <w:r>
        <w:lastRenderedPageBreak/>
        <w:t>\right).</w:t>
      </w:r>
      <w:r>
        <w:br/>
        <w:t>\tag{3.6801}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\mathbf{b}=\left(b_1,b_2,\ldots,b_q\right)\qquad\text{(3.6801)}</w:t>
      </w:r>
    </w:p>
    <w:p w:rsidR="00AD04D9" w:rsidRDefault="00AD04D9" w:rsidP="00AD04D9">
      <w:pPr>
        <w:pStyle w:val="StandardWeb"/>
      </w:pPr>
      <w:r>
        <w:t>Der vollständige Systemzustand ergibt sich dann allgemein aus</w:t>
      </w:r>
    </w:p>
    <w:p w:rsidR="00AD04D9" w:rsidRDefault="00AD04D9" w:rsidP="00AD04D9">
      <w:pPr>
        <w:pStyle w:val="berschrift1"/>
      </w:pPr>
      <w:r>
        <w:t>[</w:t>
      </w:r>
      <w:r>
        <w:br/>
        <w:t>\delta(t)</w:t>
      </w:r>
    </w:p>
    <w:p w:rsidR="00AD04D9" w:rsidRDefault="00AD04D9" w:rsidP="00AD04D9">
      <w:pPr>
        <w:pStyle w:val="StandardWeb"/>
      </w:pPr>
      <w:r>
        <w:t>\Phi_t</w:t>
      </w:r>
      <w:r>
        <w:br/>
        <w:t>\left(</w:t>
      </w:r>
      <w:r>
        <w:br/>
        <w:t>\delta_0,</w:t>
      </w:r>
      <w:r>
        <w:br/>
        <w:t>\boldsymbol{\theta},</w:t>
      </w:r>
      <w:r>
        <w:br/>
        <w:t>\mathbf{b}</w:t>
      </w:r>
      <w:r>
        <w:br/>
        <w:t>\right).</w:t>
      </w:r>
      <w:r>
        <w:br/>
        <w:t>\tag{3.6802}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\delta(t)=\Phi_t\left(\delta_0,\boldsymbol{\theta},\mathbf{b}\right)\qquad\text{(3.6802)}</w:t>
      </w:r>
    </w:p>
    <w:p w:rsidR="00AD04D9" w:rsidRDefault="00AD04D9" w:rsidP="00AD04D9">
      <w:pPr>
        <w:pStyle w:val="StandardWeb"/>
      </w:pPr>
      <w:r>
        <w:t>Damit sind drei unterschiedliche Abhängigkeitsebenen explizit getrennt:</w:t>
      </w:r>
    </w:p>
    <w:p w:rsidR="00AD04D9" w:rsidRDefault="00AD04D9" w:rsidP="00AD04D9">
      <w:pPr>
        <w:pStyle w:val="StandardWeb"/>
      </w:pPr>
      <w:r>
        <w:t>[</w:t>
      </w:r>
      <w:r>
        <w:br/>
        <w:t>\delta_0,</w:t>
      </w:r>
      <w:r>
        <w:br/>
        <w:t>\qquad</w:t>
      </w:r>
      <w:r>
        <w:br/>
        <w:t>\boldsymbol{\theta},</w:t>
      </w:r>
      <w:r>
        <w:br/>
        <w:t>\qquad</w:t>
      </w:r>
      <w:r>
        <w:br/>
        <w:t>\mathbf{b}.</w:t>
      </w:r>
      <w:r>
        <w:br/>
        <w:t>\tag{3.6803}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\delta_0,\qquad\boldsymbol{\theta},\qquad\mathbf{b}\qquad\text{(3.6803)}</w:t>
      </w:r>
    </w:p>
    <w:p w:rsidR="00AD04D9" w:rsidRDefault="00AD04D9" w:rsidP="00AD04D9">
      <w:pPr>
        <w:pStyle w:val="StandardWeb"/>
      </w:pPr>
      <w:r>
        <w:t>Diese Trennung ist methodisch wichtig, weil Anfangsbedingungen, Modellparameter und Randbedingungen unterschiedliche wissenschaftliche Bedeutungen besitzen.</w:t>
      </w:r>
    </w:p>
    <w:p w:rsidR="00AD04D9" w:rsidRDefault="00E50336" w:rsidP="00AD04D9">
      <w:r>
        <w:pict>
          <v:rect id="_x0000_i1279" style="width:0;height:1.5pt" o:hralign="center" o:hrstd="t" o:hr="t" fillcolor="#a0a0a0" stroked="f"/>
        </w:pict>
      </w:r>
    </w:p>
    <w:p w:rsidR="00AD04D9" w:rsidRDefault="00AD04D9" w:rsidP="00AD04D9">
      <w:pPr>
        <w:pStyle w:val="berschrift2"/>
      </w:pPr>
      <w:r>
        <w:t>3.3.40.4 Ergebnisabbildung</w:t>
      </w:r>
    </w:p>
    <w:p w:rsidR="00AD04D9" w:rsidRDefault="00AD04D9" w:rsidP="00AD04D9">
      <w:pPr>
        <w:pStyle w:val="StandardWeb"/>
      </w:pPr>
      <w:r>
        <w:t>Eine beobachtbare oder abgeleitete Modellgröße bezeichne ich mit</w:t>
      </w:r>
    </w:p>
    <w:p w:rsidR="00AD04D9" w:rsidRDefault="00AD04D9" w:rsidP="00AD04D9">
      <w:pPr>
        <w:pStyle w:val="berschrift1"/>
      </w:pPr>
      <w:r>
        <w:lastRenderedPageBreak/>
        <w:t>[</w:t>
      </w:r>
      <w:r>
        <w:br/>
        <w:t>Y_F</w:t>
      </w:r>
    </w:p>
    <w:p w:rsidR="00AD04D9" w:rsidRDefault="00AD04D9" w:rsidP="00AD04D9">
      <w:pPr>
        <w:pStyle w:val="StandardWeb"/>
      </w:pPr>
      <w:r>
        <w:t>F</w:t>
      </w:r>
      <w:r>
        <w:br/>
        <w:t>\left(</w:t>
      </w:r>
      <w:r>
        <w:br/>
        <w:t>\delta_0,</w:t>
      </w:r>
      <w:r>
        <w:br/>
        <w:t>\boldsymbol{\theta},</w:t>
      </w:r>
      <w:r>
        <w:br/>
        <w:t>\mathbf{b}</w:t>
      </w:r>
      <w:r>
        <w:br/>
        <w:t>\right).</w:t>
      </w:r>
      <w:r>
        <w:br/>
        <w:t>\tag{3.6804}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Y_F=F\left(\delta_0,\boldsymbol{\theta},\mathbf{b}\right)\qquad\text{(3.6804)}</w:t>
      </w:r>
    </w:p>
    <w:p w:rsidR="00AD04D9" w:rsidRDefault="00AD04D9" w:rsidP="00AD04D9">
      <w:pPr>
        <w:pStyle w:val="StandardWeb"/>
      </w:pPr>
      <w:r>
        <w:t>Eine wissenschaftliche Aussage kann damit als Funktion dieser Ergebnisgröße formuliert werden:</w:t>
      </w:r>
    </w:p>
    <w:p w:rsidR="00AD04D9" w:rsidRDefault="00AD04D9" w:rsidP="00AD04D9">
      <w:pPr>
        <w:pStyle w:val="berschrift1"/>
      </w:pPr>
      <w:r>
        <w:t>[</w:t>
      </w:r>
      <w:r>
        <w:br/>
        <w:t>A_F</w:t>
      </w:r>
    </w:p>
    <w:p w:rsidR="00AD04D9" w:rsidRDefault="00AD04D9" w:rsidP="00AD04D9">
      <w:pPr>
        <w:pStyle w:val="StandardWeb"/>
      </w:pPr>
      <w:r>
        <w:t>A</w:t>
      </w:r>
      <w:r>
        <w:br/>
        <w:t>\left(</w:t>
      </w:r>
      <w:r>
        <w:br/>
        <w:t>Y_F</w:t>
      </w:r>
      <w:r>
        <w:br/>
        <w:t>\right).</w:t>
      </w:r>
      <w:r>
        <w:br/>
        <w:t>\tag{3.6805}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A_F=A\left(Y_F\right)\qquad\text{(3.6805)}</w:t>
      </w:r>
    </w:p>
    <w:p w:rsidR="00AD04D9" w:rsidRDefault="00AD04D9" w:rsidP="00AD04D9">
      <w:pPr>
        <w:pStyle w:val="StandardWeb"/>
      </w:pPr>
      <w:r>
        <w:t>In zusammengesetzter Form folgt</w:t>
      </w:r>
    </w:p>
    <w:p w:rsidR="00AD04D9" w:rsidRDefault="00AD04D9" w:rsidP="00AD04D9">
      <w:pPr>
        <w:pStyle w:val="berschrift1"/>
      </w:pPr>
      <w:r>
        <w:t>[</w:t>
      </w:r>
      <w:r>
        <w:br/>
        <w:t>A_F</w:t>
      </w:r>
    </w:p>
    <w:p w:rsidR="00AD04D9" w:rsidRDefault="00AD04D9" w:rsidP="00AD04D9">
      <w:pPr>
        <w:pStyle w:val="StandardWeb"/>
      </w:pPr>
      <w:r>
        <w:t>A</w:t>
      </w:r>
      <w:r>
        <w:br/>
        <w:t>\left(</w:t>
      </w:r>
      <w:r>
        <w:br/>
        <w:t>F</w:t>
      </w:r>
      <w:r>
        <w:br/>
        <w:t>\left(</w:t>
      </w:r>
      <w:r>
        <w:br/>
        <w:t>\delta_0,</w:t>
      </w:r>
      <w:r>
        <w:br/>
        <w:t>\boldsymbol{\theta},</w:t>
      </w:r>
      <w:r>
        <w:br/>
        <w:t>\mathbf{b}</w:t>
      </w:r>
      <w:r>
        <w:br/>
        <w:t>\right)</w:t>
      </w:r>
      <w:r>
        <w:br/>
      </w:r>
      <w:r>
        <w:lastRenderedPageBreak/>
        <w:t>\right).</w:t>
      </w:r>
      <w:r>
        <w:br/>
        <w:t>\tag{3.6806}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A_F=A\left(F\left(\delta_0,\boldsymbol{\theta},\mathbf{b}\right)\right)\qquad\text{(3.6806)}</w:t>
      </w:r>
    </w:p>
    <w:p w:rsidR="00AD04D9" w:rsidRDefault="00AD04D9" w:rsidP="00AD04D9">
      <w:pPr>
        <w:pStyle w:val="StandardWeb"/>
      </w:pPr>
      <w:r>
        <w:t>Damit wird Parameter- und Anfangsbedingungsrobustheit als Stabilität dieser Abbildung gegenüber zulässigen Änderungen ihrer Eingangsgrößen untersuchbar.</w:t>
      </w:r>
    </w:p>
    <w:p w:rsidR="00AD04D9" w:rsidRDefault="00E50336" w:rsidP="00AD04D9">
      <w:r>
        <w:pict>
          <v:rect id="_x0000_i1280" style="width:0;height:1.5pt" o:hralign="center" o:hrstd="t" o:hr="t" fillcolor="#a0a0a0" stroked="f"/>
        </w:pict>
      </w:r>
    </w:p>
    <w:p w:rsidR="00AD04D9" w:rsidRDefault="00AD04D9" w:rsidP="00AD04D9">
      <w:pPr>
        <w:pStyle w:val="berschrift2"/>
      </w:pPr>
      <w:r>
        <w:t>3.3.40.5 Lokale Parametersensitivität</w:t>
      </w:r>
    </w:p>
    <w:p w:rsidR="00AD04D9" w:rsidRDefault="00AD04D9" w:rsidP="00AD04D9">
      <w:pPr>
        <w:pStyle w:val="StandardWeb"/>
      </w:pPr>
      <w:r>
        <w:t>Für eine differenzierbare Ergebnisgröße (Y_F) definiere ich die lokale Sensitivität gegenüber dem Parameter (\theta_i) durch</w:t>
      </w:r>
    </w:p>
    <w:p w:rsidR="00AD04D9" w:rsidRDefault="00AD04D9" w:rsidP="00AD04D9">
      <w:pPr>
        <w:pStyle w:val="berschrift1"/>
      </w:pPr>
      <w:r>
        <w:t>[</w:t>
      </w:r>
      <w:r>
        <w:br/>
        <w:t>S_i</w:t>
      </w:r>
    </w:p>
    <w:p w:rsidR="00AD04D9" w:rsidRDefault="00AD04D9" w:rsidP="00AD04D9">
      <w:pPr>
        <w:pStyle w:val="StandardWeb"/>
      </w:pPr>
      <w:r>
        <w:t>\frac{\partial Y_F}{\partial\theta_i}.</w:t>
      </w:r>
      <w:r>
        <w:br/>
        <w:t>\tag{3.6807}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S_i=\frac{\partial Y_F}{\partial\theta_i}\qquad\text{(3.6807)}</w:t>
      </w:r>
    </w:p>
    <w:p w:rsidR="00AD04D9" w:rsidRDefault="00AD04D9" w:rsidP="00AD04D9">
      <w:pPr>
        <w:pStyle w:val="StandardWeb"/>
      </w:pPr>
      <w:r>
        <w:t>Der Betrag</w:t>
      </w:r>
    </w:p>
    <w:p w:rsidR="00AD04D9" w:rsidRDefault="00AD04D9" w:rsidP="00AD04D9">
      <w:pPr>
        <w:pStyle w:val="StandardWeb"/>
      </w:pPr>
      <w:r>
        <w:t>[</w:t>
      </w:r>
      <w:r>
        <w:br/>
        <w:t>\left|</w:t>
      </w:r>
      <w:r>
        <w:br/>
        <w:t>S_i</w:t>
      </w:r>
      <w:r>
        <w:br/>
        <w:t>\right|</w:t>
      </w:r>
      <w:r>
        <w:br/>
        <w:t>\tag{3.6808}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\left|S_i\right|\qquad\text{(3.6808)}</w:t>
      </w:r>
    </w:p>
    <w:p w:rsidR="00AD04D9" w:rsidRDefault="00AD04D9" w:rsidP="00AD04D9">
      <w:pPr>
        <w:pStyle w:val="StandardWeb"/>
      </w:pPr>
      <w:r>
        <w:t>beschreibt die lokale Empfindlichkeit des Ergebnisses gegenüber kleinen Änderungen dieses Parameters.</w:t>
      </w:r>
    </w:p>
    <w:p w:rsidR="00AD04D9" w:rsidRDefault="00AD04D9" w:rsidP="00AD04D9">
      <w:pPr>
        <w:pStyle w:val="StandardWeb"/>
      </w:pPr>
      <w:r>
        <w:t>Für mehrere Parameter ergibt sich der Sensitivitätsgradient</w:t>
      </w:r>
    </w:p>
    <w:p w:rsidR="00AD04D9" w:rsidRDefault="00AD04D9" w:rsidP="00AD04D9">
      <w:pPr>
        <w:pStyle w:val="berschrift1"/>
      </w:pPr>
      <w:r>
        <w:lastRenderedPageBreak/>
        <w:t>[</w:t>
      </w:r>
      <w:r>
        <w:br/>
        <w:t>\nabla_{\boldsymbol{\theta}}</w:t>
      </w:r>
      <w:r>
        <w:br/>
        <w:t>Y_F</w:t>
      </w:r>
    </w:p>
    <w:p w:rsidR="00AD04D9" w:rsidRDefault="00AD04D9" w:rsidP="00AD04D9">
      <w:pPr>
        <w:pStyle w:val="StandardWeb"/>
      </w:pPr>
      <w:r>
        <w:t>\left(</w:t>
      </w:r>
      <w:r>
        <w:br/>
        <w:t>\frac{\partial Y_F}{\partial\theta_1},</w:t>
      </w:r>
      <w:r>
        <w:br/>
        <w:t>\ldots,</w:t>
      </w:r>
      <w:r>
        <w:br/>
        <w:t>\frac{\partial Y_F}{\partial\theta_p}</w:t>
      </w:r>
      <w:r>
        <w:br/>
        <w:t>\right).</w:t>
      </w:r>
      <w:r>
        <w:br/>
        <w:t>\tag{3.6809}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\nabla_{\boldsymbol{\theta}}Y_F=\left(\frac{\partial Y_F}{\partial\theta_1},\ldots,\frac{\partial Y_F}{\partial\theta_p}\right)\qquad\text{(3.6809)}</w:t>
      </w:r>
    </w:p>
    <w:p w:rsidR="00AD04D9" w:rsidRDefault="00AD04D9" w:rsidP="00AD04D9">
      <w:pPr>
        <w:pStyle w:val="StandardWeb"/>
      </w:pPr>
      <w:r>
        <w:t>Eine geringe lokale Sensitivität bedeutet, dass kleine Parameteränderungen in der betrachteten Umgebung nur geringe Ergebnisänderungen hervorrufen.</w:t>
      </w:r>
    </w:p>
    <w:p w:rsidR="00AD04D9" w:rsidRDefault="00E50336" w:rsidP="00AD04D9">
      <w:r>
        <w:pict>
          <v:rect id="_x0000_i1281" style="width:0;height:1.5pt" o:hralign="center" o:hrstd="t" o:hr="t" fillcolor="#a0a0a0" stroked="f"/>
        </w:pict>
      </w:r>
    </w:p>
    <w:p w:rsidR="00AD04D9" w:rsidRDefault="00AD04D9" w:rsidP="00AD04D9">
      <w:pPr>
        <w:pStyle w:val="berschrift2"/>
      </w:pPr>
      <w:r>
        <w:t>3.3.40.6 Normierte lokale Sensitivität</w:t>
      </w:r>
    </w:p>
    <w:p w:rsidR="00AD04D9" w:rsidRDefault="00AD04D9" w:rsidP="00AD04D9">
      <w:pPr>
        <w:pStyle w:val="StandardWeb"/>
      </w:pPr>
      <w:r>
        <w:t>Da Parameter unterschiedliche Größenordnungen besitzen können, ist eine normierte Sensitivität häufig aussagekräftiger.</w:t>
      </w:r>
    </w:p>
    <w:p w:rsidR="00AD04D9" w:rsidRDefault="00AD04D9" w:rsidP="00AD04D9">
      <w:pPr>
        <w:pStyle w:val="StandardWeb"/>
      </w:pPr>
      <w:r>
        <w:t>Ich definiere</w:t>
      </w:r>
    </w:p>
    <w:p w:rsidR="00AD04D9" w:rsidRDefault="00AD04D9" w:rsidP="00AD04D9">
      <w:pPr>
        <w:pStyle w:val="berschrift1"/>
      </w:pPr>
      <w:r>
        <w:t>[</w:t>
      </w:r>
      <w:r>
        <w:br/>
        <w:t>S_i^{\mathrm{rel}}</w:t>
      </w:r>
    </w:p>
    <w:p w:rsidR="00AD04D9" w:rsidRDefault="00AD04D9" w:rsidP="00AD04D9">
      <w:pPr>
        <w:pStyle w:val="StandardWeb"/>
      </w:pPr>
      <w:r>
        <w:t>\frac{\theta_i}{Y_F}</w:t>
      </w:r>
      <w:r>
        <w:br/>
        <w:t>\frac{\partial Y_F}{\partial\theta_i},</w:t>
      </w:r>
      <w:r>
        <w:br/>
        <w:t>\tag{3.6810}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S_i^{\mathrm{rel}}=\frac{\theta_i}{Y_F}\frac{\partial Y_F}{\partial\theta_i}\qquad\text{(3.6810)}</w:t>
      </w:r>
    </w:p>
    <w:p w:rsidR="00AD04D9" w:rsidRDefault="00AD04D9" w:rsidP="00AD04D9">
      <w:pPr>
        <w:pStyle w:val="StandardWeb"/>
      </w:pPr>
      <w:r>
        <w:t>sofern (Y_F\neq0).</w:t>
      </w:r>
    </w:p>
    <w:p w:rsidR="00AD04D9" w:rsidRDefault="00AD04D9" w:rsidP="00AD04D9">
      <w:pPr>
        <w:pStyle w:val="StandardWeb"/>
      </w:pPr>
      <w:r>
        <w:t>Diese Größe beschreibt die relative Änderung des Ergebnisses infolge einer relativen Änderung des Parameters.</w:t>
      </w:r>
    </w:p>
    <w:p w:rsidR="00AD04D9" w:rsidRDefault="00AD04D9" w:rsidP="00AD04D9">
      <w:pPr>
        <w:pStyle w:val="StandardWeb"/>
      </w:pPr>
      <w:r>
        <w:lastRenderedPageBreak/>
        <w:t>Für</w:t>
      </w:r>
    </w:p>
    <w:p w:rsidR="00AD04D9" w:rsidRDefault="00AD04D9" w:rsidP="00AD04D9">
      <w:pPr>
        <w:pStyle w:val="StandardWeb"/>
      </w:pPr>
      <w:r>
        <w:t>[</w:t>
      </w:r>
      <w:r>
        <w:br/>
        <w:t>\left|</w:t>
      </w:r>
      <w:r>
        <w:br/>
        <w:t>S_i^{\mathrm{rel}}</w:t>
      </w:r>
      <w:r>
        <w:br/>
        <w:t>\right|</w:t>
      </w:r>
      <w:r>
        <w:br/>
        <w:t>\ll</w:t>
      </w:r>
      <w:r>
        <w:br/>
        <w:t>1</w:t>
      </w:r>
      <w:r>
        <w:br/>
        <w:t>\tag{3.6811}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\left|S_i^{\mathrm{rel}}\right|\ll1\qquad\text{(3.6811)}</w:t>
      </w:r>
    </w:p>
    <w:p w:rsidR="00AD04D9" w:rsidRDefault="00AD04D9" w:rsidP="00AD04D9">
      <w:pPr>
        <w:pStyle w:val="StandardWeb"/>
      </w:pPr>
      <w:r>
        <w:t>ist die Ergebnisgröße lokal relativ unempfindlich gegenüber (\theta_i).</w:t>
      </w:r>
    </w:p>
    <w:p w:rsidR="00AD04D9" w:rsidRDefault="00E50336" w:rsidP="00AD04D9">
      <w:r>
        <w:pict>
          <v:rect id="_x0000_i1282" style="width:0;height:1.5pt" o:hralign="center" o:hrstd="t" o:hr="t" fillcolor="#a0a0a0" stroked="f"/>
        </w:pict>
      </w:r>
    </w:p>
    <w:p w:rsidR="00AD04D9" w:rsidRDefault="00AD04D9" w:rsidP="00AD04D9">
      <w:pPr>
        <w:pStyle w:val="berschrift2"/>
      </w:pPr>
      <w:r>
        <w:t>3.3.40.7 Endliche Parametersensitivität</w:t>
      </w:r>
    </w:p>
    <w:p w:rsidR="00AD04D9" w:rsidRDefault="00AD04D9" w:rsidP="00AD04D9">
      <w:pPr>
        <w:pStyle w:val="StandardWeb"/>
      </w:pPr>
      <w:r>
        <w:t>Nicht alle Modelle sind differenzierbar. Deshalb definiere ich zusätzlich eine endliche Sensitivität:</w:t>
      </w:r>
    </w:p>
    <w:p w:rsidR="00AD04D9" w:rsidRDefault="00AD04D9" w:rsidP="00AD04D9">
      <w:pPr>
        <w:pStyle w:val="berschrift1"/>
      </w:pPr>
      <w:r>
        <w:t>[</w:t>
      </w:r>
      <w:r>
        <w:br/>
        <w:t>S_i^{\Delta}</w:t>
      </w:r>
    </w:p>
    <w:p w:rsidR="00AD04D9" w:rsidRDefault="00AD04D9" w:rsidP="00AD04D9">
      <w:pPr>
        <w:pStyle w:val="StandardWeb"/>
      </w:pPr>
      <w:r>
        <w:t>\frac{</w:t>
      </w:r>
      <w:r>
        <w:br/>
        <w:t>d_Y</w:t>
      </w:r>
      <w:r>
        <w:br/>
        <w:t>\left(</w:t>
      </w:r>
      <w:r>
        <w:br/>
        <w:t>Y_F(\theta_i+\Delta\theta_i),</w:t>
      </w:r>
      <w:r>
        <w:br/>
        <w:t>Y_F(\theta_i)</w:t>
      </w:r>
      <w:r>
        <w:br/>
        <w:t>\right)</w:t>
      </w:r>
      <w:r>
        <w:br/>
        <w:t>}{</w:t>
      </w:r>
      <w:r>
        <w:br/>
        <w:t>|\Delta\theta_i|</w:t>
      </w:r>
      <w:r>
        <w:br/>
        <w:t>}.</w:t>
      </w:r>
      <w:r>
        <w:br/>
        <w:t>\tag{3.6812}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S_i^{\Delta}=\frac{d_Y\left(Y_F(\theta_i+\Delta\theta_i),Y_F(\theta_i)\right)}{|\Delta\theta_i|}\qquad\text{(3.6812)}</w:t>
      </w:r>
    </w:p>
    <w:p w:rsidR="00AD04D9" w:rsidRDefault="00AD04D9" w:rsidP="00AD04D9">
      <w:pPr>
        <w:pStyle w:val="StandardWeb"/>
      </w:pPr>
      <w:r>
        <w:t>Dabei bezeichnet (d_Y) ein geeignetes Distanzmaß im Ergebnisraum.</w:t>
      </w:r>
    </w:p>
    <w:p w:rsidR="00AD04D9" w:rsidRDefault="00AD04D9" w:rsidP="00AD04D9">
      <w:pPr>
        <w:pStyle w:val="StandardWeb"/>
      </w:pPr>
      <w:r>
        <w:t>Diese Form ist insbesondere für diskrete, schwellenwertbasierte oder algorithmisch definierte FRZK-Strukturen geeignet.</w:t>
      </w:r>
    </w:p>
    <w:p w:rsidR="00AD04D9" w:rsidRDefault="00E50336" w:rsidP="00AD04D9">
      <w:r>
        <w:pict>
          <v:rect id="_x0000_i1283" style="width:0;height:1.5pt" o:hralign="center" o:hrstd="t" o:hr="t" fillcolor="#a0a0a0" stroked="f"/>
        </w:pict>
      </w:r>
    </w:p>
    <w:p w:rsidR="00AD04D9" w:rsidRDefault="00AD04D9" w:rsidP="00AD04D9">
      <w:pPr>
        <w:pStyle w:val="berschrift2"/>
      </w:pPr>
      <w:r>
        <w:lastRenderedPageBreak/>
        <w:t>3.3.40.8 Sensitivitätsmatrix</w:t>
      </w:r>
    </w:p>
    <w:p w:rsidR="00AD04D9" w:rsidRDefault="00AD04D9" w:rsidP="00AD04D9">
      <w:pPr>
        <w:pStyle w:val="StandardWeb"/>
      </w:pPr>
      <w:r>
        <w:t>Für mehrere Ergebnisgrößen</w:t>
      </w:r>
    </w:p>
    <w:p w:rsidR="00AD04D9" w:rsidRDefault="00AD04D9" w:rsidP="00AD04D9">
      <w:pPr>
        <w:pStyle w:val="berschrift1"/>
      </w:pPr>
      <w:r>
        <w:t>[</w:t>
      </w:r>
      <w:r>
        <w:br/>
        <w:t>\mathbf{Y}</w:t>
      </w:r>
    </w:p>
    <w:p w:rsidR="00AD04D9" w:rsidRDefault="00AD04D9" w:rsidP="00AD04D9">
      <w:pPr>
        <w:pStyle w:val="StandardWeb"/>
      </w:pPr>
      <w:r>
        <w:t>\left(</w:t>
      </w:r>
      <w:r>
        <w:br/>
        <w:t>Y_1,</w:t>
      </w:r>
      <w:r>
        <w:br/>
        <w:t>\ldots,</w:t>
      </w:r>
      <w:r>
        <w:br/>
        <w:t>Y_m</w:t>
      </w:r>
      <w:r>
        <w:br/>
        <w:t>\right)</w:t>
      </w:r>
      <w:r>
        <w:br/>
        <w:t>\tag{3.6813}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\mathbf{Y}=\left(Y_1,\ldots,Y_m\right)\qquad\text{(3.6813)}</w:t>
      </w:r>
    </w:p>
    <w:p w:rsidR="00AD04D9" w:rsidRDefault="00AD04D9" w:rsidP="00AD04D9">
      <w:pPr>
        <w:pStyle w:val="StandardWeb"/>
      </w:pPr>
      <w:r>
        <w:t>definiere ich die Sensitivitätsmatrix</w:t>
      </w:r>
    </w:p>
    <w:p w:rsidR="00AD04D9" w:rsidRDefault="00AD04D9" w:rsidP="00AD04D9">
      <w:pPr>
        <w:pStyle w:val="berschrift1"/>
      </w:pPr>
      <w:r>
        <w:t>[</w:t>
      </w:r>
      <w:r>
        <w:br/>
        <w:t>\mathbf{S}_{\theta}</w:t>
      </w:r>
    </w:p>
    <w:p w:rsidR="00AD04D9" w:rsidRDefault="00AD04D9" w:rsidP="00AD04D9">
      <w:pPr>
        <w:pStyle w:val="StandardWeb"/>
      </w:pPr>
      <w:r>
        <w:t>\left[</w:t>
      </w:r>
      <w:r>
        <w:br/>
        <w:t>\frac{\partial Y_i}{\partial\theta_j}</w:t>
      </w:r>
      <w:r>
        <w:br/>
        <w:t>\right]_</w:t>
      </w:r>
      <w:r>
        <w:br/>
        <w:t>{\substack{</w:t>
      </w:r>
      <w:r>
        <w:br/>
        <w:t>i=1,\ldots,m\</w:t>
      </w:r>
      <w:r>
        <w:br/>
        <w:t>j=1,\ldots,p</w:t>
      </w:r>
      <w:r>
        <w:br/>
        <w:t>}}.</w:t>
      </w:r>
      <w:r>
        <w:br/>
        <w:t>\tag{3.6814}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\mathbf{S}_{\theta}=\left[\frac{\partial Y_i}{\partial\theta_j}\right]_{\substack{i=1,\ldots,m\\j=1,\ldots,p}}\qquad\text{(3.6814)}</w:t>
      </w:r>
    </w:p>
    <w:p w:rsidR="00AD04D9" w:rsidRDefault="00AD04D9" w:rsidP="00AD04D9">
      <w:pPr>
        <w:pStyle w:val="StandardWeb"/>
      </w:pPr>
      <w:r>
        <w:t>Diese Matrix macht sichtbar, welche Parameter welche Ergebnisgrößen besonders stark beeinflussen.</w:t>
      </w:r>
    </w:p>
    <w:p w:rsidR="00AD04D9" w:rsidRDefault="00E50336" w:rsidP="00AD04D9">
      <w:r>
        <w:pict>
          <v:rect id="_x0000_i1284" style="width:0;height:1.5pt" o:hralign="center" o:hrstd="t" o:hr="t" fillcolor="#a0a0a0" stroked="f"/>
        </w:pict>
      </w:r>
    </w:p>
    <w:p w:rsidR="00AD04D9" w:rsidRDefault="00AD04D9" w:rsidP="00AD04D9">
      <w:pPr>
        <w:pStyle w:val="berschrift2"/>
      </w:pPr>
      <w:r>
        <w:t>3.3.40.9 Lokale Anfangsbedingungssensitivität</w:t>
      </w:r>
    </w:p>
    <w:p w:rsidR="00AD04D9" w:rsidRDefault="00AD04D9" w:rsidP="00AD04D9">
      <w:pPr>
        <w:pStyle w:val="StandardWeb"/>
      </w:pPr>
      <w:r>
        <w:t>Analog definiere ich die Sensitivität gegenüber dem Anfangszustand:</w:t>
      </w:r>
    </w:p>
    <w:p w:rsidR="00AD04D9" w:rsidRDefault="00AD04D9" w:rsidP="00AD04D9">
      <w:pPr>
        <w:pStyle w:val="berschrift1"/>
      </w:pPr>
      <w:r>
        <w:lastRenderedPageBreak/>
        <w:t>[</w:t>
      </w:r>
      <w:r>
        <w:br/>
        <w:t>\mathbf{S}_{\delta_0}</w:t>
      </w:r>
    </w:p>
    <w:p w:rsidR="00AD04D9" w:rsidRDefault="00AD04D9" w:rsidP="00AD04D9">
      <w:pPr>
        <w:pStyle w:val="StandardWeb"/>
      </w:pPr>
      <w:r>
        <w:t>\frac{\partial\delta(t)}</w:t>
      </w:r>
      <w:r>
        <w:br/>
        <w:t>{\partial\delta_0}.</w:t>
      </w:r>
      <w:r>
        <w:br/>
        <w:t>\tag{3.6815}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\mathbf{S}_{\delta_0}=\frac{\partial\delta(t)}{\partial\delta_0}\qquad\text{(3.6815)}</w:t>
      </w:r>
    </w:p>
    <w:p w:rsidR="00AD04D9" w:rsidRDefault="00AD04D9" w:rsidP="00AD04D9">
      <w:pPr>
        <w:pStyle w:val="StandardWeb"/>
      </w:pPr>
      <w:r>
        <w:t>Für zwei nahe Anfangszustände</w:t>
      </w:r>
    </w:p>
    <w:p w:rsidR="00AD04D9" w:rsidRDefault="00AD04D9" w:rsidP="00AD04D9">
      <w:pPr>
        <w:pStyle w:val="StandardWeb"/>
      </w:pPr>
      <w:r>
        <w:t>[</w:t>
      </w:r>
      <w:r>
        <w:br/>
        <w:t>\delta_0</w:t>
      </w:r>
      <w:r>
        <w:br/>
        <w:t>\quad\text{und}\quad</w:t>
      </w:r>
      <w:r>
        <w:br/>
        <w:t>\delta_0+\Delta\delta_0</w:t>
      </w:r>
      <w:r>
        <w:br/>
        <w:t>\tag{3.6816}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\delta_0\quad\text{und}\quad\delta_0+\Delta\delta_0\qquad\text{(3.6816)}</w:t>
      </w:r>
    </w:p>
    <w:p w:rsidR="00AD04D9" w:rsidRDefault="00AD04D9" w:rsidP="00AD04D9">
      <w:pPr>
        <w:pStyle w:val="StandardWeb"/>
      </w:pPr>
      <w:r>
        <w:t>entstehen die Entwicklungspfade</w:t>
      </w:r>
    </w:p>
    <w:p w:rsidR="00AD04D9" w:rsidRDefault="00AD04D9" w:rsidP="00AD04D9">
      <w:pPr>
        <w:pStyle w:val="berschrift1"/>
      </w:pPr>
      <w:r>
        <w:t>[</w:t>
      </w:r>
      <w:r>
        <w:br/>
        <w:t>\delta(t)</w:t>
      </w:r>
    </w:p>
    <w:p w:rsidR="00AD04D9" w:rsidRDefault="00AD04D9" w:rsidP="00AD04D9">
      <w:pPr>
        <w:pStyle w:val="StandardWeb"/>
      </w:pPr>
      <w:r>
        <w:t>\Phi_t(\delta_0)</w:t>
      </w:r>
      <w:r>
        <w:br/>
        <w:t>\tag{3.6817}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\delta(t)=\Phi_t(\delta_0)\qquad\text{(3.6817)}</w:t>
      </w:r>
    </w:p>
    <w:p w:rsidR="00AD04D9" w:rsidRDefault="00AD04D9" w:rsidP="00AD04D9">
      <w:pPr>
        <w:pStyle w:val="StandardWeb"/>
      </w:pPr>
      <w:r>
        <w:t>und</w:t>
      </w:r>
    </w:p>
    <w:p w:rsidR="00AD04D9" w:rsidRDefault="00AD04D9" w:rsidP="00AD04D9">
      <w:pPr>
        <w:pStyle w:val="berschrift1"/>
      </w:pPr>
      <w:r>
        <w:t>[</w:t>
      </w:r>
      <w:r>
        <w:br/>
        <w:t>\delta'(t)</w:t>
      </w:r>
    </w:p>
    <w:p w:rsidR="00AD04D9" w:rsidRDefault="00AD04D9" w:rsidP="00AD04D9">
      <w:pPr>
        <w:pStyle w:val="StandardWeb"/>
      </w:pPr>
      <w:r>
        <w:t>\Phi_t</w:t>
      </w:r>
      <w:r>
        <w:br/>
        <w:t>\left(</w:t>
      </w:r>
      <w:r>
        <w:br/>
        <w:t>\delta_0+\Delta\delta_0</w:t>
      </w:r>
      <w:r>
        <w:br/>
      </w:r>
      <w:r>
        <w:lastRenderedPageBreak/>
        <w:t>\right).</w:t>
      </w:r>
      <w:r>
        <w:br/>
        <w:t>\tag{3.6818}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\delta^{\prime}(t)=\Phi_t\left(\delta_0+\Delta\delta_0\right)\qquad\text{(3.6818)}</w:t>
      </w:r>
    </w:p>
    <w:p w:rsidR="00AD04D9" w:rsidRDefault="00AD04D9" w:rsidP="00AD04D9">
      <w:pPr>
        <w:pStyle w:val="StandardWeb"/>
      </w:pPr>
      <w:r>
        <w:t>Der Abstand lautet</w:t>
      </w:r>
    </w:p>
    <w:p w:rsidR="00AD04D9" w:rsidRDefault="00AD04D9" w:rsidP="00AD04D9">
      <w:pPr>
        <w:pStyle w:val="berschrift1"/>
      </w:pPr>
      <w:r>
        <w:t>[</w:t>
      </w:r>
      <w:r>
        <w:br/>
        <w:t>D_{\delta}(t)</w:t>
      </w:r>
    </w:p>
    <w:p w:rsidR="00AD04D9" w:rsidRDefault="00AD04D9" w:rsidP="00AD04D9">
      <w:pPr>
        <w:pStyle w:val="StandardWeb"/>
      </w:pPr>
      <w:r>
        <w:t>d</w:t>
      </w:r>
      <w:r>
        <w:br/>
        <w:t>\left(</w:t>
      </w:r>
      <w:r>
        <w:br/>
        <w:t>\delta(t),</w:t>
      </w:r>
      <w:r>
        <w:br/>
        <w:t>\delta'(t)</w:t>
      </w:r>
      <w:r>
        <w:br/>
        <w:t>\right).</w:t>
      </w:r>
      <w:r>
        <w:br/>
        <w:t>\tag{3.6819}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D_{\delta}(t)=d\left(\delta(t),\delta^{\prime}(t)\right)\qquad\text{(3.6819)}</w:t>
      </w:r>
    </w:p>
    <w:p w:rsidR="00AD04D9" w:rsidRDefault="00E50336" w:rsidP="00AD04D9">
      <w:r>
        <w:pict>
          <v:rect id="_x0000_i1285" style="width:0;height:1.5pt" o:hralign="center" o:hrstd="t" o:hr="t" fillcolor="#a0a0a0" stroked="f"/>
        </w:pict>
      </w:r>
    </w:p>
    <w:p w:rsidR="00AD04D9" w:rsidRDefault="00AD04D9" w:rsidP="00AD04D9">
      <w:pPr>
        <w:pStyle w:val="berschrift2"/>
      </w:pPr>
      <w:r>
        <w:t>3.3.40.10 Stabilität gegenüber Anfangsbedingungen</w:t>
      </w:r>
    </w:p>
    <w:p w:rsidR="00AD04D9" w:rsidRDefault="00AD04D9" w:rsidP="00AD04D9">
      <w:pPr>
        <w:pStyle w:val="StandardWeb"/>
      </w:pPr>
      <w:r>
        <w:t>Eine lokale Stabilitätsbedingung kann geschrieben werden als</w:t>
      </w:r>
    </w:p>
    <w:p w:rsidR="00AD04D9" w:rsidRDefault="00AD04D9" w:rsidP="00AD04D9">
      <w:pPr>
        <w:pStyle w:val="StandardWeb"/>
      </w:pPr>
      <w:r>
        <w:t>[</w:t>
      </w:r>
      <w:r>
        <w:br/>
        <w:t>d</w:t>
      </w:r>
      <w:r>
        <w:br/>
        <w:t>\left(</w:t>
      </w:r>
      <w:r>
        <w:br/>
        <w:t>\delta_0,</w:t>
      </w:r>
      <w:r>
        <w:br/>
        <w:t>\delta_0'</w:t>
      </w:r>
      <w:r>
        <w:br/>
        <w:t>\right)</w:t>
      </w:r>
      <w:r>
        <w:br/>
        <w:t>&lt;</w:t>
      </w:r>
      <w:r>
        <w:br/>
        <w:t>\varepsilon</w:t>
      </w:r>
      <w:r>
        <w:br/>
        <w:t>\Rightarrow</w:t>
      </w:r>
      <w:r>
        <w:br/>
        <w:t>d</w:t>
      </w:r>
      <w:r>
        <w:br/>
        <w:t>\left(</w:t>
      </w:r>
      <w:r>
        <w:br/>
        <w:t>\Phi_t(\delta_0),</w:t>
      </w:r>
      <w:r>
        <w:br/>
        <w:t>\Phi_t(\delta_0')</w:t>
      </w:r>
      <w:r>
        <w:br/>
        <w:t>\right)</w:t>
      </w:r>
      <w:r>
        <w:br/>
        <w:t>&lt;</w:t>
      </w:r>
      <w:r>
        <w:br/>
        <w:t>\eta</w:t>
      </w:r>
      <w:r>
        <w:br/>
        <w:t>\tag{3.6820}</w:t>
      </w:r>
      <w:r>
        <w:br/>
        <w:t>]</w:t>
      </w:r>
    </w:p>
    <w:p w:rsidR="00AD04D9" w:rsidRDefault="00AD04D9" w:rsidP="00AD04D9">
      <w:pPr>
        <w:pStyle w:val="StandardWeb"/>
      </w:pPr>
      <w:r>
        <w:rPr>
          <w:rStyle w:val="Fett"/>
        </w:rPr>
        <w:lastRenderedPageBreak/>
        <w:t>Word-LaTeX</w:t>
      </w:r>
    </w:p>
    <w:p w:rsidR="00AD04D9" w:rsidRDefault="00AD04D9" w:rsidP="00AD04D9">
      <w:pPr>
        <w:pStyle w:val="HTMLVorformatiert"/>
        <w:rPr>
          <w:rStyle w:val="HTMLCode"/>
        </w:rPr>
      </w:pPr>
      <w:r>
        <w:rPr>
          <w:rStyle w:val="HTMLCode"/>
        </w:rPr>
        <w:t>d\left(\delta_0,\delta_0^{\prime}\right)&lt;\varepsilon\Rightarrow d\left(\Phi_t(\delta_0),\Phi_t(\delta_0^{\prime})\right)&lt;\eta\qquad\text{(3.6820)}</w:t>
      </w:r>
    </w:p>
    <w:p w:rsidR="00AD04D9" w:rsidRDefault="00AD04D9" w:rsidP="00AD04D9">
      <w:pPr>
        <w:pStyle w:val="StandardWeb"/>
      </w:pPr>
      <w:r>
        <w:t>für geeignete (\varepsilon,\eta&gt;0).</w:t>
      </w:r>
    </w:p>
    <w:p w:rsidR="00AD04D9" w:rsidRDefault="00AD04D9" w:rsidP="00AD04D9">
      <w:pPr>
        <w:pStyle w:val="StandardWeb"/>
      </w:pPr>
      <w:r>
        <w:t>Damit wird ausgedrückt, dass hinreichend nahe Anfangszustände über den betrachteten Zeitraum auch hinreichend nahe Entwicklungspfade erzeugen.</w:t>
      </w:r>
    </w:p>
    <w:p w:rsidR="00AD04D9" w:rsidRDefault="00E50336" w:rsidP="00AD04D9">
      <w:r>
        <w:pict>
          <v:rect id="_x0000_i1286" style="width:0;height:1.5pt" o:hralign="center" o:hrstd="t" o:hr="t" fillcolor="#a0a0a0" stroked="f"/>
        </w:pict>
      </w:r>
    </w:p>
    <w:p w:rsidR="00AD04D9" w:rsidRDefault="00AD04D9" w:rsidP="00AD04D9">
      <w:pPr>
        <w:pStyle w:val="berschrift2"/>
      </w:pPr>
      <w:r>
        <w:t>3.3.40.11 Sensitivität gegenüber Anfangsbedingungen</w:t>
      </w:r>
    </w:p>
    <w:p w:rsidR="00AD04D9" w:rsidRDefault="00AD04D9" w:rsidP="00AD04D9">
      <w:pPr>
        <w:pStyle w:val="StandardWeb"/>
      </w:pPr>
      <w:r>
        <w:t>Das Gegenstück bildet eine starke Divergenz nahe beieinander liegender Anfangszustände.</w:t>
      </w:r>
    </w:p>
    <w:p w:rsidR="00AD04D9" w:rsidRDefault="00AD04D9" w:rsidP="00AD04D9">
      <w:pPr>
        <w:pStyle w:val="StandardWeb"/>
      </w:pPr>
      <w:r>
        <w:t>Für kleine</w:t>
      </w:r>
    </w:p>
    <w:p w:rsidR="00AD04D9" w:rsidRDefault="00AD04D9" w:rsidP="00AD04D9">
      <w:pPr>
        <w:pStyle w:val="StandardWeb"/>
      </w:pPr>
      <w:r>
        <w:t>[</w:t>
      </w:r>
      <w:r>
        <w:br/>
        <w:t>d</w:t>
      </w:r>
      <w:r>
        <w:br/>
        <w:t>\left(</w:t>
      </w:r>
      <w:r>
        <w:br/>
        <w:t>\delta_0,</w:t>
      </w:r>
      <w:r>
        <w:br/>
        <w:t>\delta_0'</w:t>
      </w:r>
      <w:r>
        <w:br/>
        <w:t>\right)</w:t>
      </w:r>
      <w:r>
        <w:br/>
        <w:t>\ll</w:t>
      </w:r>
      <w:r>
        <w:br/>
        <w:t>1</w:t>
      </w:r>
      <w:r>
        <w:br/>
        <w:t>\tag{3.6821}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d\left(\delta_0,\delta_0^{\prime}\right)\ll1\qquad\text{(3.6821)}</w:t>
      </w:r>
    </w:p>
    <w:p w:rsidR="00AD04D9" w:rsidRDefault="00AD04D9" w:rsidP="00AD04D9">
      <w:pPr>
        <w:pStyle w:val="StandardWeb"/>
      </w:pPr>
      <w:r>
        <w:t>kann zu einem späteren Zeitpunkt gelten</w:t>
      </w:r>
    </w:p>
    <w:p w:rsidR="00AD04D9" w:rsidRDefault="00AD04D9" w:rsidP="00AD04D9">
      <w:pPr>
        <w:pStyle w:val="StandardWeb"/>
      </w:pPr>
      <w:r>
        <w:t>[</w:t>
      </w:r>
      <w:r>
        <w:br/>
        <w:t>d</w:t>
      </w:r>
      <w:r>
        <w:br/>
        <w:t>\left(</w:t>
      </w:r>
      <w:r>
        <w:br/>
        <w:t>\Phi_t(\delta_0),</w:t>
      </w:r>
      <w:r>
        <w:br/>
        <w:t>\Phi_t(\delta_0')</w:t>
      </w:r>
      <w:r>
        <w:br/>
        <w:t>\right)</w:t>
      </w:r>
      <w:r>
        <w:br/>
        <w:t>\gg</w:t>
      </w:r>
      <w:r>
        <w:br/>
        <w:t>d</w:t>
      </w:r>
      <w:r>
        <w:br/>
        <w:t>\left(</w:t>
      </w:r>
      <w:r>
        <w:br/>
        <w:t>\delta_0,</w:t>
      </w:r>
      <w:r>
        <w:br/>
        <w:t>\delta_0'</w:t>
      </w:r>
      <w:r>
        <w:br/>
        <w:t>\right).</w:t>
      </w:r>
      <w:r>
        <w:br/>
        <w:t>\tag{3.6822}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d\left(\Phi_t(\delta_0),\Phi_t(\delta_0^{\prime})\right)\gg d\left(\delta_0,\delta_0^{\prime}\right)\qquad\text{(3.6822)}</w:t>
      </w:r>
    </w:p>
    <w:p w:rsidR="00AD04D9" w:rsidRDefault="00AD04D9" w:rsidP="00AD04D9">
      <w:pPr>
        <w:pStyle w:val="StandardWeb"/>
      </w:pPr>
      <w:r>
        <w:t>Eine solche Situation weist auf starke Anfangsbedingungssensitivität hin.</w:t>
      </w:r>
    </w:p>
    <w:p w:rsidR="00AD04D9" w:rsidRDefault="00E50336" w:rsidP="00AD04D9">
      <w:r>
        <w:pict>
          <v:rect id="_x0000_i1287" style="width:0;height:1.5pt" o:hralign="center" o:hrstd="t" o:hr="t" fillcolor="#a0a0a0" stroked="f"/>
        </w:pict>
      </w:r>
    </w:p>
    <w:p w:rsidR="00AD04D9" w:rsidRDefault="00AD04D9" w:rsidP="00AD04D9">
      <w:pPr>
        <w:pStyle w:val="berschrift2"/>
      </w:pPr>
      <w:r>
        <w:t>3.3.40.12 Exponentielle Trajektoriendivergenz</w:t>
      </w:r>
    </w:p>
    <w:p w:rsidR="00AD04D9" w:rsidRDefault="00AD04D9" w:rsidP="00AD04D9">
      <w:pPr>
        <w:pStyle w:val="StandardWeb"/>
      </w:pPr>
      <w:r>
        <w:t>Für dynamische Systeme kann eine lokale Trajektoriendivergenz idealisiert durch</w:t>
      </w:r>
    </w:p>
    <w:p w:rsidR="00AD04D9" w:rsidRDefault="00AD04D9" w:rsidP="00AD04D9">
      <w:pPr>
        <w:pStyle w:val="StandardWeb"/>
      </w:pPr>
      <w:r>
        <w:t>[</w:t>
      </w:r>
      <w:r>
        <w:br/>
        <w:t>D_{\delta}(t)</w:t>
      </w:r>
      <w:r>
        <w:br/>
        <w:t>\approx</w:t>
      </w:r>
      <w:r>
        <w:br/>
        <w:t>D_{\delta}(0)</w:t>
      </w:r>
      <w:r>
        <w:br/>
        <w:t>e^{\lambda t}</w:t>
      </w:r>
      <w:r>
        <w:br/>
        <w:t>\tag{3.6823}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D_{\delta}(t)\approx D_{\delta}(0)e^{\lambda t}\qquad\text{(3.6823)}</w:t>
      </w:r>
    </w:p>
    <w:p w:rsidR="00AD04D9" w:rsidRDefault="00AD04D9" w:rsidP="00AD04D9">
      <w:pPr>
        <w:pStyle w:val="StandardWeb"/>
      </w:pPr>
      <w:r>
        <w:t>beschrieben werden.</w:t>
      </w:r>
    </w:p>
    <w:p w:rsidR="00AD04D9" w:rsidRDefault="00AD04D9" w:rsidP="00AD04D9">
      <w:pPr>
        <w:pStyle w:val="StandardWeb"/>
      </w:pPr>
      <w:r>
        <w:t>Dabei ist (\lambda) eine Divergenzrate.</w:t>
      </w:r>
    </w:p>
    <w:p w:rsidR="00AD04D9" w:rsidRDefault="00AD04D9" w:rsidP="00AD04D9">
      <w:pPr>
        <w:pStyle w:val="StandardWeb"/>
      </w:pPr>
      <w:r>
        <w:t>Für</w:t>
      </w:r>
    </w:p>
    <w:p w:rsidR="00AD04D9" w:rsidRDefault="00AD04D9" w:rsidP="00AD04D9">
      <w:pPr>
        <w:pStyle w:val="StandardWeb"/>
      </w:pPr>
      <w:r>
        <w:t>[</w:t>
      </w:r>
      <w:r>
        <w:br/>
        <w:t>\lambda</w:t>
      </w:r>
    </w:p>
    <w:p w:rsidR="00AD04D9" w:rsidRDefault="00AD04D9" w:rsidP="00AD04D9">
      <w:pPr>
        <w:pStyle w:val="StandardWeb"/>
      </w:pPr>
      <w:r>
        <w:t>0</w:t>
      </w:r>
      <w:r>
        <w:br/>
        <w:t>\tag{3.6824}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\lambda&gt;0\qquad\text{(3.6824)}</w:t>
      </w:r>
    </w:p>
    <w:p w:rsidR="00AD04D9" w:rsidRDefault="00AD04D9" w:rsidP="00AD04D9">
      <w:pPr>
        <w:pStyle w:val="StandardWeb"/>
      </w:pPr>
      <w:r>
        <w:t>wächst der Abstand exponentiell.</w:t>
      </w:r>
    </w:p>
    <w:p w:rsidR="00AD04D9" w:rsidRDefault="00AD04D9" w:rsidP="00AD04D9">
      <w:pPr>
        <w:pStyle w:val="StandardWeb"/>
      </w:pPr>
      <w:r>
        <w:t>Für</w:t>
      </w:r>
    </w:p>
    <w:p w:rsidR="00AD04D9" w:rsidRDefault="00AD04D9" w:rsidP="00AD04D9">
      <w:pPr>
        <w:pStyle w:val="StandardWeb"/>
      </w:pPr>
      <w:r>
        <w:t>[</w:t>
      </w:r>
      <w:r>
        <w:br/>
        <w:t>\lambda</w:t>
      </w:r>
      <w:r>
        <w:br/>
        <w:t>&lt;</w:t>
      </w:r>
      <w:r>
        <w:br/>
        <w:t>0</w:t>
      </w:r>
      <w:r>
        <w:br/>
        <w:t>\tag{3.6825}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\lambda&lt;0\qquad\text{(3.6825)}</w:t>
      </w:r>
    </w:p>
    <w:p w:rsidR="00AD04D9" w:rsidRDefault="00AD04D9" w:rsidP="00AD04D9">
      <w:pPr>
        <w:pStyle w:val="StandardWeb"/>
      </w:pPr>
      <w:r>
        <w:t>konvergieren nahe Trajektorien lokal.</w:t>
      </w:r>
    </w:p>
    <w:p w:rsidR="00AD04D9" w:rsidRDefault="00AD04D9" w:rsidP="00AD04D9">
      <w:pPr>
        <w:pStyle w:val="StandardWeb"/>
      </w:pPr>
      <w:r>
        <w:t>Ich verwende diese Darstellung nicht automatisch als Behauptung chaotischen Verhaltens. Sie dient zunächst als mathematische Form einer möglichen Anfangsbedingungssensitivität.</w:t>
      </w:r>
    </w:p>
    <w:p w:rsidR="00AD04D9" w:rsidRDefault="00E50336" w:rsidP="00AD04D9">
      <w:r>
        <w:pict>
          <v:rect id="_x0000_i1288" style="width:0;height:1.5pt" o:hralign="center" o:hrstd="t" o:hr="t" fillcolor="#a0a0a0" stroked="f"/>
        </w:pict>
      </w:r>
    </w:p>
    <w:p w:rsidR="00AD04D9" w:rsidRDefault="00AD04D9" w:rsidP="00AD04D9">
      <w:pPr>
        <w:pStyle w:val="berschrift2"/>
      </w:pPr>
      <w:r>
        <w:t>3.3.40.13 Endlicher Vorhersagehorizont</w:t>
      </w:r>
    </w:p>
    <w:p w:rsidR="00AD04D9" w:rsidRDefault="00AD04D9" w:rsidP="00AD04D9">
      <w:pPr>
        <w:pStyle w:val="StandardWeb"/>
      </w:pPr>
      <w:r>
        <w:t>Bei positiver Divergenzrate kann ein endlicher Vorhersagehorizont entstehen.</w:t>
      </w:r>
    </w:p>
    <w:p w:rsidR="00AD04D9" w:rsidRDefault="00AD04D9" w:rsidP="00AD04D9">
      <w:pPr>
        <w:pStyle w:val="StandardWeb"/>
      </w:pPr>
      <w:r>
        <w:t>Sei (\varepsilon_0) die Unsicherheit des Anfangszustands und (\varepsilon_{\max}) die maximal akzeptierte Ergebnisunsicherheit.</w:t>
      </w:r>
    </w:p>
    <w:p w:rsidR="00AD04D9" w:rsidRDefault="00AD04D9" w:rsidP="00AD04D9">
      <w:pPr>
        <w:pStyle w:val="StandardWeb"/>
      </w:pPr>
      <w:r>
        <w:t>Aus</w:t>
      </w:r>
    </w:p>
    <w:p w:rsidR="00AD04D9" w:rsidRDefault="00AD04D9" w:rsidP="00AD04D9">
      <w:pPr>
        <w:pStyle w:val="berschrift1"/>
      </w:pPr>
      <w:r>
        <w:t>[</w:t>
      </w:r>
      <w:r>
        <w:br/>
        <w:t>\varepsilon_{\max}</w:t>
      </w:r>
    </w:p>
    <w:p w:rsidR="00AD04D9" w:rsidRDefault="00AD04D9" w:rsidP="00AD04D9">
      <w:pPr>
        <w:pStyle w:val="StandardWeb"/>
      </w:pPr>
      <w:r>
        <w:t>\varepsilon_0</w:t>
      </w:r>
      <w:r>
        <w:br/>
        <w:t>e^{\lambda T_{\mathrm{pred}}}</w:t>
      </w:r>
      <w:r>
        <w:br/>
        <w:t>\tag{3.6826}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\varepsilon_{\max}=\varepsilon_0e^{\lambda T_{\mathrm{pred}}}\qquad\text{(3.6826)}</w:t>
      </w:r>
    </w:p>
    <w:p w:rsidR="00AD04D9" w:rsidRDefault="00AD04D9" w:rsidP="00AD04D9">
      <w:pPr>
        <w:pStyle w:val="StandardWeb"/>
      </w:pPr>
      <w:r>
        <w:t>folgt</w:t>
      </w:r>
    </w:p>
    <w:p w:rsidR="00AD04D9" w:rsidRDefault="00AD04D9" w:rsidP="00AD04D9">
      <w:pPr>
        <w:pStyle w:val="berschrift1"/>
      </w:pPr>
      <w:r>
        <w:t>[</w:t>
      </w:r>
      <w:r>
        <w:br/>
        <w:t>T_{\mathrm{pred}}</w:t>
      </w:r>
    </w:p>
    <w:p w:rsidR="00AD04D9" w:rsidRDefault="00AD04D9" w:rsidP="00AD04D9">
      <w:pPr>
        <w:pStyle w:val="StandardWeb"/>
      </w:pPr>
      <w:r>
        <w:t>\frac{1}{\lambda}</w:t>
      </w:r>
      <w:r>
        <w:br/>
        <w:t>\ln</w:t>
      </w:r>
      <w:r>
        <w:br/>
        <w:t>\left(</w:t>
      </w:r>
      <w:r>
        <w:br/>
        <w:t>\frac{\varepsilon_{\max}}</w:t>
      </w:r>
      <w:r>
        <w:br/>
        <w:t>{\varepsilon_0}</w:t>
      </w:r>
      <w:r>
        <w:br/>
        <w:t>\right).</w:t>
      </w:r>
      <w:r>
        <w:br/>
        <w:t>\tag{3.6827}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T_{\mathrm{pred}}=\frac{1}{\lambda}\ln\left(\frac{\varepsilon_{\max}}{\varepsilon_0}\right)\qquad\text{(3.6827)}</w:t>
      </w:r>
    </w:p>
    <w:p w:rsidR="00AD04D9" w:rsidRDefault="00AD04D9" w:rsidP="00AD04D9">
      <w:pPr>
        <w:pStyle w:val="StandardWeb"/>
      </w:pPr>
      <w:r>
        <w:lastRenderedPageBreak/>
        <w:t>Damit kann ein Modell lokal korrekt sein und dennoch nur einen begrenzten Prognosehorizont besitzen.</w:t>
      </w:r>
    </w:p>
    <w:p w:rsidR="00AD04D9" w:rsidRDefault="00E50336" w:rsidP="00AD04D9">
      <w:r>
        <w:pict>
          <v:rect id="_x0000_i1289" style="width:0;height:1.5pt" o:hralign="center" o:hrstd="t" o:hr="t" fillcolor="#a0a0a0" stroked="f"/>
        </w:pict>
      </w:r>
    </w:p>
    <w:p w:rsidR="00AD04D9" w:rsidRDefault="00AD04D9" w:rsidP="00AD04D9">
      <w:pPr>
        <w:pStyle w:val="berschrift2"/>
      </w:pPr>
      <w:r>
        <w:t>3.3.40.14 Lokale Robustheitsumgebung im Parameterraum</w:t>
      </w:r>
    </w:p>
    <w:p w:rsidR="00AD04D9" w:rsidRDefault="00AD04D9" w:rsidP="00AD04D9">
      <w:pPr>
        <w:pStyle w:val="StandardWeb"/>
      </w:pPr>
      <w:r>
        <w:t>Um einen Referenzparametersatz</w:t>
      </w:r>
    </w:p>
    <w:p w:rsidR="00AD04D9" w:rsidRDefault="00AD04D9" w:rsidP="00AD04D9">
      <w:pPr>
        <w:pStyle w:val="StandardWeb"/>
      </w:pPr>
      <w:r>
        <w:t>[</w:t>
      </w:r>
      <w:r>
        <w:br/>
        <w:t>\boldsymbol{\theta}_0</w:t>
      </w:r>
      <w:r>
        <w:br/>
        <w:t>\tag{3.6828}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\boldsymbol{\theta}_0\qquad\text{(3.6828)}</w:t>
      </w:r>
    </w:p>
    <w:p w:rsidR="00AD04D9" w:rsidRDefault="00AD04D9" w:rsidP="00AD04D9">
      <w:pPr>
        <w:pStyle w:val="StandardWeb"/>
      </w:pPr>
      <w:r>
        <w:t>definiere ich eine Umgebung</w:t>
      </w:r>
    </w:p>
    <w:p w:rsidR="00AD04D9" w:rsidRDefault="00AD04D9" w:rsidP="00AD04D9">
      <w:pPr>
        <w:pStyle w:val="berschrift1"/>
      </w:pPr>
      <w:r>
        <w:t>[</w:t>
      </w:r>
      <w:r>
        <w:br/>
        <w:t>B_{\varepsilon}</w:t>
      </w:r>
      <w:r>
        <w:br/>
        <w:t>\left(</w:t>
      </w:r>
      <w:r>
        <w:br/>
        <w:t>\boldsymbol{\theta}_0</w:t>
      </w:r>
      <w:r>
        <w:br/>
        <w:t>\right)</w:t>
      </w:r>
    </w:p>
    <w:p w:rsidR="00AD04D9" w:rsidRDefault="00AD04D9" w:rsidP="00AD04D9">
      <w:pPr>
        <w:pStyle w:val="berschrift2"/>
      </w:pPr>
      <w:r>
        <w:t>\left{</w:t>
      </w:r>
      <w:r>
        <w:br/>
        <w:t>\boldsymbol{\theta}</w:t>
      </w:r>
      <w:r>
        <w:br/>
        <w:t>\in</w:t>
      </w:r>
      <w:r>
        <w:br/>
        <w:t>\Theta:</w:t>
      </w:r>
      <w:r>
        <w:br/>
        <w:t>\left|</w:t>
      </w:r>
      <w:r>
        <w:br/>
        <w:t>\boldsymbol{\theta}</w:t>
      </w:r>
    </w:p>
    <w:p w:rsidR="00AD04D9" w:rsidRDefault="00AD04D9" w:rsidP="00AD04D9">
      <w:pPr>
        <w:pStyle w:val="StandardWeb"/>
      </w:pPr>
      <w:r>
        <w:t>\boldsymbol{\theta}_0</w:t>
      </w:r>
      <w:r>
        <w:br/>
        <w:t>\right|</w:t>
      </w:r>
      <w:r>
        <w:br/>
        <w:t>&lt;</w:t>
      </w:r>
      <w:r>
        <w:br/>
        <w:t>\varepsilon</w:t>
      </w:r>
      <w:r>
        <w:br/>
        <w:t>\right}.</w:t>
      </w:r>
      <w:r>
        <w:br/>
        <w:t>\tag{3.6829}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B_{\varepsilon}\left(\boldsymbol{\theta}_0\right)=\left\{\boldsymbol{\theta}\in\Theta:\left\|\boldsymbol{\theta}-\boldsymbol{\theta}_0\right\|&lt;\varepsilon\right\}\qquad\text{(3.6829)}</w:t>
      </w:r>
    </w:p>
    <w:p w:rsidR="00AD04D9" w:rsidRDefault="00AD04D9" w:rsidP="00AD04D9">
      <w:pPr>
        <w:pStyle w:val="StandardWeb"/>
      </w:pPr>
      <w:r>
        <w:t>Eine Aussage ist lokal parameterrobust, wenn</w:t>
      </w:r>
    </w:p>
    <w:p w:rsidR="00AD04D9" w:rsidRDefault="00AD04D9" w:rsidP="00AD04D9">
      <w:pPr>
        <w:pStyle w:val="StandardWeb"/>
      </w:pPr>
      <w:r>
        <w:t>[</w:t>
      </w:r>
      <w:r>
        <w:br/>
        <w:t>\forall</w:t>
      </w:r>
      <w:r>
        <w:br/>
        <w:t>\boldsymbol{\theta}</w:t>
      </w:r>
      <w:r>
        <w:br/>
        <w:t>\in</w:t>
      </w:r>
      <w:r>
        <w:br/>
        <w:t>B_{\varepsilon}</w:t>
      </w:r>
      <w:r>
        <w:br/>
        <w:t>\left(</w:t>
      </w:r>
      <w:r>
        <w:br/>
        <w:t>\boldsymbol{\theta}_0</w:t>
      </w:r>
      <w:r>
        <w:br/>
        <w:t>\right):</w:t>
      </w:r>
      <w:r>
        <w:br/>
        <w:t>\quad</w:t>
      </w:r>
      <w:r>
        <w:br/>
        <w:t>A_F(\boldsymbol{\theta})</w:t>
      </w:r>
      <w:r>
        <w:br/>
        <w:t>\sim_A</w:t>
      </w:r>
      <w:r>
        <w:br/>
        <w:t>A_F(\boldsymbol{\theta}_0).</w:t>
      </w:r>
      <w:r>
        <w:br/>
        <w:t>\tag{3.6830}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\forall\boldsymbol{\theta}\in B_{\varepsilon}\left(\boldsymbol{\theta}_0\right):A_F(\boldsymbol{\theta})\sim_A A_F(\boldsymbol{\theta}_0)\qquad\text{(3.6830)}</w:t>
      </w:r>
    </w:p>
    <w:p w:rsidR="00AD04D9" w:rsidRDefault="00E50336" w:rsidP="00AD04D9">
      <w:r>
        <w:pict>
          <v:rect id="_x0000_i1290" style="width:0;height:1.5pt" o:hralign="center" o:hrstd="t" o:hr="t" fillcolor="#a0a0a0" stroked="f"/>
        </w:pict>
      </w:r>
    </w:p>
    <w:p w:rsidR="00AD04D9" w:rsidRDefault="00AD04D9" w:rsidP="00AD04D9">
      <w:pPr>
        <w:pStyle w:val="berschrift2"/>
      </w:pPr>
      <w:r>
        <w:t>3.3.40.15 Globale Parameterrobustheit</w:t>
      </w:r>
    </w:p>
    <w:p w:rsidR="00AD04D9" w:rsidRDefault="00AD04D9" w:rsidP="00AD04D9">
      <w:pPr>
        <w:pStyle w:val="StandardWeb"/>
      </w:pPr>
      <w:r>
        <w:t>Eine stärkere Bedingung lautet</w:t>
      </w:r>
    </w:p>
    <w:p w:rsidR="00AD04D9" w:rsidRDefault="00AD04D9" w:rsidP="00AD04D9">
      <w:pPr>
        <w:pStyle w:val="StandardWeb"/>
      </w:pPr>
      <w:r>
        <w:t>[</w:t>
      </w:r>
      <w:r>
        <w:br/>
        <w:t>\forall</w:t>
      </w:r>
      <w:r>
        <w:br/>
        <w:t>\boldsymbol{\theta}</w:t>
      </w:r>
      <w:r>
        <w:br/>
        <w:t>\in</w:t>
      </w:r>
      <w:r>
        <w:br/>
        <w:t>\Theta_{\mathrm{zul}}:</w:t>
      </w:r>
      <w:r>
        <w:br/>
        <w:t>\quad</w:t>
      </w:r>
      <w:r>
        <w:br/>
        <w:t>A_F(\boldsymbol{\theta})</w:t>
      </w:r>
      <w:r>
        <w:br/>
        <w:t>\sim_A</w:t>
      </w:r>
      <w:r>
        <w:br/>
        <w:t>A_F(\boldsymbol{\theta}_0),</w:t>
      </w:r>
      <w:r>
        <w:br/>
        <w:t>\tag{3.6831}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\forall\boldsymbol{\theta}\in\Theta_{\mathrm{zul}}:A_F(\boldsymbol{\theta})\sim_A A_F(\boldsymbol{\theta}_0)\qquad\text{(3.6831)}</w:t>
      </w:r>
    </w:p>
    <w:p w:rsidR="00AD04D9" w:rsidRDefault="00AD04D9" w:rsidP="00AD04D9">
      <w:pPr>
        <w:pStyle w:val="StandardWeb"/>
      </w:pPr>
      <w:r>
        <w:t>wobei</w:t>
      </w:r>
    </w:p>
    <w:p w:rsidR="00AD04D9" w:rsidRDefault="00AD04D9" w:rsidP="00AD04D9">
      <w:pPr>
        <w:pStyle w:val="StandardWeb"/>
      </w:pPr>
      <w:r>
        <w:lastRenderedPageBreak/>
        <w:t>[</w:t>
      </w:r>
      <w:r>
        <w:br/>
        <w:t>\Theta_{\mathrm{zul}}</w:t>
      </w:r>
      <w:r>
        <w:br/>
        <w:t>\subseteq</w:t>
      </w:r>
      <w:r>
        <w:br/>
        <w:t>\Theta</w:t>
      </w:r>
      <w:r>
        <w:br/>
        <w:t>\tag{3.6832}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\Theta_{\mathrm{zul}}\subseteq\Theta\qquad\text{(3.6832)}</w:t>
      </w:r>
    </w:p>
    <w:p w:rsidR="00AD04D9" w:rsidRDefault="00AD04D9" w:rsidP="00AD04D9">
      <w:pPr>
        <w:pStyle w:val="StandardWeb"/>
      </w:pPr>
      <w:r>
        <w:t>den wissenschaftlich zulässigen Parameterraum bezeichnet.</w:t>
      </w:r>
    </w:p>
    <w:p w:rsidR="00AD04D9" w:rsidRDefault="00AD04D9" w:rsidP="00AD04D9">
      <w:pPr>
        <w:pStyle w:val="StandardWeb"/>
      </w:pPr>
      <w:r>
        <w:t>In diesem Fall ist die relevante Aussage über den gesamten betrachteten zulässigen Parameterraum stabil.</w:t>
      </w:r>
    </w:p>
    <w:p w:rsidR="00AD04D9" w:rsidRDefault="00E50336" w:rsidP="00AD04D9">
      <w:r>
        <w:pict>
          <v:rect id="_x0000_i1291" style="width:0;height:1.5pt" o:hralign="center" o:hrstd="t" o:hr="t" fillcolor="#a0a0a0" stroked="f"/>
        </w:pict>
      </w:r>
    </w:p>
    <w:p w:rsidR="00AD04D9" w:rsidRDefault="00AD04D9" w:rsidP="00AD04D9">
      <w:pPr>
        <w:pStyle w:val="berschrift2"/>
      </w:pPr>
      <w:r>
        <w:t>3.3.40.16 Parameterstabilitätsgebiet</w:t>
      </w:r>
    </w:p>
    <w:p w:rsidR="00AD04D9" w:rsidRDefault="00AD04D9" w:rsidP="00AD04D9">
      <w:pPr>
        <w:pStyle w:val="StandardWeb"/>
      </w:pPr>
      <w:r>
        <w:t>Ich definiere für eine Aussageklasse (L^\ast)</w:t>
      </w:r>
    </w:p>
    <w:p w:rsidR="00AD04D9" w:rsidRDefault="00AD04D9" w:rsidP="00AD04D9">
      <w:pPr>
        <w:pStyle w:val="berschrift1"/>
      </w:pPr>
      <w:r>
        <w:t>[</w:t>
      </w:r>
      <w:r>
        <w:br/>
        <w:t>\Omega_{L^\ast}^{\theta}</w:t>
      </w:r>
    </w:p>
    <w:p w:rsidR="00AD04D9" w:rsidRDefault="00AD04D9" w:rsidP="00AD04D9">
      <w:pPr>
        <w:pStyle w:val="berschrift1"/>
      </w:pPr>
      <w:r>
        <w:t>\left{</w:t>
      </w:r>
      <w:r>
        <w:br/>
        <w:t>\boldsymbol{\theta}</w:t>
      </w:r>
      <w:r>
        <w:br/>
        <w:t>\in</w:t>
      </w:r>
      <w:r>
        <w:br/>
        <w:t>\Theta_{\mathrm{zul}}</w:t>
      </w:r>
      <w:r>
        <w:br/>
        <w:t>:</w:t>
      </w:r>
      <w:r>
        <w:br/>
        <w:t>\operatorname{Klasse}_{A}</w:t>
      </w:r>
      <w:r>
        <w:br/>
        <w:t>\left(</w:t>
      </w:r>
      <w:r>
        <w:br/>
        <w:t>A_F(\boldsymbol{\theta})</w:t>
      </w:r>
      <w:r>
        <w:br/>
        <w:t>\right)</w:t>
      </w:r>
    </w:p>
    <w:p w:rsidR="00AD04D9" w:rsidRDefault="00AD04D9" w:rsidP="00AD04D9">
      <w:pPr>
        <w:pStyle w:val="StandardWeb"/>
      </w:pPr>
      <w:r>
        <w:t>L^\ast</w:t>
      </w:r>
      <w:r>
        <w:br/>
        <w:t>\right}.</w:t>
      </w:r>
      <w:r>
        <w:br/>
        <w:t>\tag{3.6833}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\Omega_{L^{\ast}}^{\theta}=\left\{\boldsymbol{\theta}\in\Theta_{\mathrm{zul}}:\operatorname{Klasse}_{A}\left(A_F(\boldsymbol{\theta})\right)=L^{\ast}\right\}\qquad\text{(3.6833)}</w:t>
      </w:r>
    </w:p>
    <w:p w:rsidR="00AD04D9" w:rsidRDefault="00AD04D9" w:rsidP="00AD04D9">
      <w:pPr>
        <w:pStyle w:val="StandardWeb"/>
      </w:pPr>
      <w:r>
        <w:t>Dieses Gebiet umfasst sämtliche Parametrisierungen, unter denen dieselbe qualitative Aussageklasse erhalten bleibt.</w:t>
      </w:r>
    </w:p>
    <w:p w:rsidR="00AD04D9" w:rsidRDefault="00E50336" w:rsidP="00AD04D9">
      <w:r>
        <w:pict>
          <v:rect id="_x0000_i1292" style="width:0;height:1.5pt" o:hralign="center" o:hrstd="t" o:hr="t" fillcolor="#a0a0a0" stroked="f"/>
        </w:pict>
      </w:r>
    </w:p>
    <w:p w:rsidR="00AD04D9" w:rsidRDefault="00AD04D9" w:rsidP="00AD04D9">
      <w:pPr>
        <w:pStyle w:val="berschrift2"/>
      </w:pPr>
      <w:r>
        <w:t>3.3.40.17 Parameterrobustheitsgrad</w:t>
      </w:r>
    </w:p>
    <w:p w:rsidR="00AD04D9" w:rsidRDefault="00AD04D9" w:rsidP="00AD04D9">
      <w:pPr>
        <w:pStyle w:val="StandardWeb"/>
      </w:pPr>
      <w:r>
        <w:t>Ein einfacher Robustheitsgrad kann über den relativen Anteil des Stabilitätsgebiets am zulässigen Parameterraum definiert werden:</w:t>
      </w:r>
    </w:p>
    <w:p w:rsidR="00AD04D9" w:rsidRDefault="00AD04D9" w:rsidP="00AD04D9">
      <w:pPr>
        <w:pStyle w:val="berschrift1"/>
      </w:pPr>
      <w:r>
        <w:t>[</w:t>
      </w:r>
      <w:r>
        <w:br/>
        <w:t>R_{\theta}</w:t>
      </w:r>
    </w:p>
    <w:p w:rsidR="00AD04D9" w:rsidRDefault="00AD04D9" w:rsidP="00AD04D9">
      <w:pPr>
        <w:pStyle w:val="StandardWeb"/>
      </w:pPr>
      <w:r>
        <w:t>\frac{</w:t>
      </w:r>
      <w:r>
        <w:br/>
        <w:t>\mu</w:t>
      </w:r>
      <w:r>
        <w:br/>
        <w:t>\left(</w:t>
      </w:r>
      <w:r>
        <w:br/>
        <w:t>\Omega_{L^\ast}^{\theta}</w:t>
      </w:r>
      <w:r>
        <w:br/>
        <w:t>\right)</w:t>
      </w:r>
      <w:r>
        <w:br/>
        <w:t>}{</w:t>
      </w:r>
      <w:r>
        <w:br/>
        <w:t>\mu</w:t>
      </w:r>
      <w:r>
        <w:br/>
        <w:t>\left(</w:t>
      </w:r>
      <w:r>
        <w:br/>
        <w:t>\Theta_{\mathrm{zul}}</w:t>
      </w:r>
      <w:r>
        <w:br/>
        <w:t>\right)</w:t>
      </w:r>
      <w:r>
        <w:br/>
        <w:t>},</w:t>
      </w:r>
      <w:r>
        <w:br/>
        <w:t>\tag{3.6834}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R_{\theta}=\frac{\mu\left(\Omega_{L^{\ast}}^{\theta}\right)}{\mu\left(\Theta_{\mathrm{zul}}\right)}\qquad\text{(3.6834)}</w:t>
      </w:r>
    </w:p>
    <w:p w:rsidR="00AD04D9" w:rsidRDefault="00AD04D9" w:rsidP="00AD04D9">
      <w:pPr>
        <w:pStyle w:val="StandardWeb"/>
      </w:pPr>
      <w:r>
        <w:t>sofern ein geeignetes Maß (\mu) definiert ist.</w:t>
      </w:r>
    </w:p>
    <w:p w:rsidR="00AD04D9" w:rsidRDefault="00AD04D9" w:rsidP="00AD04D9">
      <w:pPr>
        <w:pStyle w:val="StandardWeb"/>
      </w:pPr>
      <w:r>
        <w:t>Es gilt</w:t>
      </w:r>
    </w:p>
    <w:p w:rsidR="00AD04D9" w:rsidRDefault="00AD04D9" w:rsidP="00AD04D9">
      <w:pPr>
        <w:pStyle w:val="StandardWeb"/>
      </w:pPr>
      <w:r>
        <w:t>[</w:t>
      </w:r>
      <w:r>
        <w:br/>
        <w:t>0</w:t>
      </w:r>
      <w:r>
        <w:br/>
        <w:t>\leq</w:t>
      </w:r>
      <w:r>
        <w:br/>
        <w:t>R_{\theta}</w:t>
      </w:r>
      <w:r>
        <w:br/>
        <w:t>\leq</w:t>
      </w:r>
      <w:r>
        <w:br/>
        <w:t>1.</w:t>
      </w:r>
      <w:r>
        <w:br/>
        <w:t>\tag{3.6835}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0\leq R_{\theta}\leq1\qquad\text{(3.6835)}</w:t>
      </w:r>
    </w:p>
    <w:p w:rsidR="00AD04D9" w:rsidRDefault="00AD04D9" w:rsidP="00AD04D9">
      <w:pPr>
        <w:pStyle w:val="StandardWeb"/>
      </w:pPr>
      <w:r>
        <w:t>Für</w:t>
      </w:r>
    </w:p>
    <w:p w:rsidR="00AD04D9" w:rsidRDefault="00AD04D9" w:rsidP="00AD04D9">
      <w:pPr>
        <w:pStyle w:val="berschrift1"/>
      </w:pPr>
      <w:r>
        <w:t>[</w:t>
      </w:r>
      <w:r>
        <w:br/>
        <w:t>R_{\theta}</w:t>
      </w:r>
    </w:p>
    <w:p w:rsidR="00AD04D9" w:rsidRDefault="00AD04D9" w:rsidP="00AD04D9">
      <w:pPr>
        <w:pStyle w:val="StandardWeb"/>
      </w:pPr>
      <w:r>
        <w:t>1</w:t>
      </w:r>
      <w:r>
        <w:br/>
        <w:t>\tag{3.6836}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R_{\theta}=1\qquad\text{(3.6836)}</w:t>
      </w:r>
    </w:p>
    <w:p w:rsidR="00AD04D9" w:rsidRDefault="00AD04D9" w:rsidP="00AD04D9">
      <w:pPr>
        <w:pStyle w:val="StandardWeb"/>
      </w:pPr>
      <w:r>
        <w:t>bleibt die Aussage über den gesamten betrachteten zulässigen Parameterraum erhalten.</w:t>
      </w:r>
    </w:p>
    <w:p w:rsidR="00AD04D9" w:rsidRDefault="00E50336" w:rsidP="00AD04D9">
      <w:r>
        <w:pict>
          <v:rect id="_x0000_i1293" style="width:0;height:1.5pt" o:hralign="center" o:hrstd="t" o:hr="t" fillcolor="#a0a0a0" stroked="f"/>
        </w:pict>
      </w:r>
    </w:p>
    <w:p w:rsidR="00AD04D9" w:rsidRDefault="00AD04D9" w:rsidP="00AD04D9">
      <w:pPr>
        <w:pStyle w:val="berschrift2"/>
      </w:pPr>
      <w:r>
        <w:t>3.3.40.18 Anfangsbedingungsraum</w:t>
      </w:r>
    </w:p>
    <w:p w:rsidR="00AD04D9" w:rsidRDefault="00AD04D9" w:rsidP="00AD04D9">
      <w:pPr>
        <w:pStyle w:val="StandardWeb"/>
      </w:pPr>
      <w:r>
        <w:t>Analog definiere ich einen zulässigen Anfangszustandsraum</w:t>
      </w:r>
    </w:p>
    <w:p w:rsidR="00AD04D9" w:rsidRDefault="00AD04D9" w:rsidP="00AD04D9">
      <w:pPr>
        <w:pStyle w:val="StandardWeb"/>
      </w:pPr>
      <w:r>
        <w:t>[</w:t>
      </w:r>
      <w:r>
        <w:br/>
        <w:t>\mathcal{S}</w:t>
      </w:r>
      <w:r>
        <w:rPr>
          <w:rStyle w:val="Hervorhebung"/>
        </w:rPr>
        <w:t>{0}^{\mathrm{zul}}</w:t>
      </w:r>
      <w:r>
        <w:rPr>
          <w:i/>
          <w:iCs/>
        </w:rPr>
        <w:br/>
      </w:r>
      <w:r>
        <w:rPr>
          <w:rStyle w:val="Hervorhebung"/>
        </w:rPr>
        <w:t>\subseteq</w:t>
      </w:r>
      <w:r>
        <w:rPr>
          <w:i/>
          <w:iCs/>
        </w:rPr>
        <w:br/>
      </w:r>
      <w:r>
        <w:rPr>
          <w:rStyle w:val="Hervorhebung"/>
        </w:rPr>
        <w:t>\mathcal{S}</w:t>
      </w:r>
      <w:r>
        <w:t>{F}.</w:t>
      </w:r>
      <w:r>
        <w:br/>
        <w:t>\tag{3.6837}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\mathcal{S}_{0}^{\mathrm{zul}}\subseteq\mathcal{S}_{F}\qquad\text{(3.6837)}</w:t>
      </w:r>
    </w:p>
    <w:p w:rsidR="00AD04D9" w:rsidRDefault="00AD04D9" w:rsidP="00AD04D9">
      <w:pPr>
        <w:pStyle w:val="StandardWeb"/>
      </w:pPr>
      <w:r>
        <w:t>Für eine Aussageklasse (L^\ast) lautet das Stabilitätsgebiet</w:t>
      </w:r>
    </w:p>
    <w:p w:rsidR="00AD04D9" w:rsidRDefault="00AD04D9" w:rsidP="00AD04D9">
      <w:pPr>
        <w:pStyle w:val="berschrift1"/>
      </w:pPr>
      <w:r>
        <w:t>[</w:t>
      </w:r>
      <w:r>
        <w:br/>
        <w:t>\Omega_{L^\ast}^{\delta_0}</w:t>
      </w:r>
    </w:p>
    <w:p w:rsidR="00AD04D9" w:rsidRDefault="00AD04D9" w:rsidP="00AD04D9">
      <w:pPr>
        <w:pStyle w:val="berschrift1"/>
      </w:pPr>
      <w:r>
        <w:t>\left{</w:t>
      </w:r>
      <w:r>
        <w:br/>
        <w:t>\delta_0</w:t>
      </w:r>
      <w:r>
        <w:br/>
        <w:t>\in</w:t>
      </w:r>
      <w:r>
        <w:br/>
        <w:t>\mathcal{S}</w:t>
      </w:r>
      <w:r>
        <w:rPr>
          <w:rStyle w:val="Hervorhebung"/>
        </w:rPr>
        <w:t>{0}^{\mathrm{zul}}</w:t>
      </w:r>
      <w:r>
        <w:rPr>
          <w:i/>
          <w:iCs/>
        </w:rPr>
        <w:br/>
      </w:r>
      <w:r>
        <w:rPr>
          <w:rStyle w:val="Hervorhebung"/>
        </w:rPr>
        <w:t>:</w:t>
      </w:r>
      <w:r>
        <w:rPr>
          <w:i/>
          <w:iCs/>
        </w:rPr>
        <w:br/>
      </w:r>
      <w:r>
        <w:rPr>
          <w:rStyle w:val="Hervorhebung"/>
        </w:rPr>
        <w:lastRenderedPageBreak/>
        <w:t>\operatorname{Klasse}</w:t>
      </w:r>
      <w:r>
        <w:t>{A}</w:t>
      </w:r>
      <w:r>
        <w:br/>
        <w:t>\left(</w:t>
      </w:r>
      <w:r>
        <w:br/>
        <w:t>A_F(\delta_0)</w:t>
      </w:r>
      <w:r>
        <w:br/>
        <w:t>\right)</w:t>
      </w:r>
    </w:p>
    <w:p w:rsidR="00AD04D9" w:rsidRDefault="00AD04D9" w:rsidP="00AD04D9">
      <w:pPr>
        <w:pStyle w:val="StandardWeb"/>
      </w:pPr>
      <w:r>
        <w:t>L^\ast</w:t>
      </w:r>
      <w:r>
        <w:br/>
        <w:t>\right}.</w:t>
      </w:r>
      <w:r>
        <w:br/>
        <w:t>\tag{3.6838}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\Omega_{L^{\ast}}^{\delta_0}=\left\{\delta_0\in\mathcal{S}_{0}^{\mathrm{zul}}:\operatorname{Klasse}_{A}\left(A_F(\delta_0)\right)=L^{\ast}\right\}\qquad\text{(3.6838)}</w:t>
      </w:r>
    </w:p>
    <w:p w:rsidR="00AD04D9" w:rsidRDefault="00AD04D9" w:rsidP="00AD04D9">
      <w:pPr>
        <w:pStyle w:val="StandardWeb"/>
      </w:pPr>
      <w:r>
        <w:t>Der entsprechende Anfangsbedingungsrobustheitsgrad lautet</w:t>
      </w:r>
    </w:p>
    <w:p w:rsidR="00AD04D9" w:rsidRDefault="00AD04D9" w:rsidP="00AD04D9">
      <w:pPr>
        <w:pStyle w:val="berschrift1"/>
      </w:pPr>
      <w:r>
        <w:t>[</w:t>
      </w:r>
      <w:r>
        <w:br/>
        <w:t>R_{\delta_0}</w:t>
      </w:r>
    </w:p>
    <w:p w:rsidR="00AD04D9" w:rsidRDefault="00AD04D9" w:rsidP="00AD04D9">
      <w:pPr>
        <w:pStyle w:val="StandardWeb"/>
      </w:pPr>
      <w:r>
        <w:t>\frac{</w:t>
      </w:r>
      <w:r>
        <w:br/>
        <w:t>\mu</w:t>
      </w:r>
      <w:r>
        <w:br/>
        <w:t>\left(</w:t>
      </w:r>
      <w:r>
        <w:br/>
        <w:t>\Omega_{L^\ast}^{\delta_0}</w:t>
      </w:r>
      <w:r>
        <w:br/>
        <w:t>\right)</w:t>
      </w:r>
      <w:r>
        <w:br/>
        <w:t>}{</w:t>
      </w:r>
      <w:r>
        <w:br/>
        <w:t>\mu</w:t>
      </w:r>
      <w:r>
        <w:br/>
        <w:t>\left(</w:t>
      </w:r>
      <w:r>
        <w:br/>
        <w:t>\mathcal{S}_{0}^{\mathrm{zul}}</w:t>
      </w:r>
      <w:r>
        <w:br/>
        <w:t>\right)</w:t>
      </w:r>
      <w:r>
        <w:br/>
        <w:t>}.</w:t>
      </w:r>
      <w:r>
        <w:br/>
        <w:t>\tag{3.6839}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R_{\delta_0}=\frac{\mu\left(\Omega_{L^{\ast}}^{\delta_0}\right)}{\mu\left(\mathcal{S}_{0}^{\mathrm{zul}}\right)}\qquad\text{(3.6839)}</w:t>
      </w:r>
    </w:p>
    <w:p w:rsidR="00AD04D9" w:rsidRDefault="00E50336" w:rsidP="00AD04D9">
      <w:r>
        <w:pict>
          <v:rect id="_x0000_i1294" style="width:0;height:1.5pt" o:hralign="center" o:hrstd="t" o:hr="t" fillcolor="#a0a0a0" stroked="f"/>
        </w:pict>
      </w:r>
    </w:p>
    <w:p w:rsidR="00AD04D9" w:rsidRDefault="00AD04D9" w:rsidP="00AD04D9">
      <w:pPr>
        <w:pStyle w:val="berschrift2"/>
      </w:pPr>
      <w:r>
        <w:t>3.3.40.19 Gemeinsamer Robustheitsraum</w:t>
      </w:r>
    </w:p>
    <w:p w:rsidR="00AD04D9" w:rsidRDefault="00AD04D9" w:rsidP="00AD04D9">
      <w:pPr>
        <w:pStyle w:val="StandardWeb"/>
      </w:pPr>
      <w:r>
        <w:t>Parameter und Anfangszustände können gemeinsam variiert werden.</w:t>
      </w:r>
    </w:p>
    <w:p w:rsidR="00AD04D9" w:rsidRDefault="00AD04D9" w:rsidP="00AD04D9">
      <w:pPr>
        <w:pStyle w:val="StandardWeb"/>
      </w:pPr>
      <w:r>
        <w:t>Ich definiere</w:t>
      </w:r>
    </w:p>
    <w:p w:rsidR="00AD04D9" w:rsidRDefault="00AD04D9" w:rsidP="00AD04D9">
      <w:pPr>
        <w:pStyle w:val="berschrift1"/>
      </w:pPr>
      <w:r>
        <w:lastRenderedPageBreak/>
        <w:t>[</w:t>
      </w:r>
      <w:r>
        <w:br/>
        <w:t>\Xi</w:t>
      </w:r>
    </w:p>
    <w:p w:rsidR="00AD04D9" w:rsidRDefault="00AD04D9" w:rsidP="00AD04D9">
      <w:pPr>
        <w:pStyle w:val="StandardWeb"/>
      </w:pPr>
      <w:r>
        <w:t>\Theta_{\mathrm{zul}}</w:t>
      </w:r>
      <w:r>
        <w:br/>
        <w:t>\times</w:t>
      </w:r>
      <w:r>
        <w:br/>
        <w:t>\mathcal{S}_{0}^{\mathrm{zul}}.</w:t>
      </w:r>
      <w:r>
        <w:br/>
        <w:t>\tag{3.6840}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\Xi=\Theta_{\mathrm{zul}}\times\mathcal{S}_{0}^{\mathrm{zul}}\qquad\text{(3.6840)}</w:t>
      </w:r>
    </w:p>
    <w:p w:rsidR="00AD04D9" w:rsidRDefault="00AD04D9" w:rsidP="00AD04D9">
      <w:pPr>
        <w:pStyle w:val="StandardWeb"/>
      </w:pPr>
      <w:r>
        <w:t>Ein Punkt dieses Raums lautet</w:t>
      </w:r>
    </w:p>
    <w:p w:rsidR="00AD04D9" w:rsidRDefault="00AD04D9" w:rsidP="00AD04D9">
      <w:pPr>
        <w:pStyle w:val="berschrift1"/>
      </w:pPr>
      <w:r>
        <w:t>[</w:t>
      </w:r>
      <w:r>
        <w:br/>
        <w:t>\xi</w:t>
      </w:r>
    </w:p>
    <w:p w:rsidR="00AD04D9" w:rsidRDefault="00AD04D9" w:rsidP="00AD04D9">
      <w:pPr>
        <w:pStyle w:val="StandardWeb"/>
      </w:pPr>
      <w:r>
        <w:t>\left(</w:t>
      </w:r>
      <w:r>
        <w:br/>
        <w:t>\boldsymbol{\theta},</w:t>
      </w:r>
      <w:r>
        <w:br/>
        <w:t>\delta_0</w:t>
      </w:r>
      <w:r>
        <w:br/>
        <w:t>\right).</w:t>
      </w:r>
      <w:r>
        <w:br/>
        <w:t>\tag{3.6841}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\xi=\left(\boldsymbol{\theta},\delta_0\right)\qquad\text{(3.6841)}</w:t>
      </w:r>
    </w:p>
    <w:p w:rsidR="00AD04D9" w:rsidRDefault="00AD04D9" w:rsidP="00AD04D9">
      <w:pPr>
        <w:pStyle w:val="StandardWeb"/>
      </w:pPr>
      <w:r>
        <w:t>Die Aussage wird damit</w:t>
      </w:r>
    </w:p>
    <w:p w:rsidR="00AD04D9" w:rsidRDefault="00AD04D9" w:rsidP="00AD04D9">
      <w:pPr>
        <w:pStyle w:val="berschrift1"/>
      </w:pPr>
      <w:r>
        <w:t>[</w:t>
      </w:r>
      <w:r>
        <w:br/>
        <w:t>A_F</w:t>
      </w:r>
    </w:p>
    <w:p w:rsidR="00AD04D9" w:rsidRDefault="00AD04D9" w:rsidP="00AD04D9">
      <w:pPr>
        <w:pStyle w:val="StandardWeb"/>
      </w:pPr>
      <w:r>
        <w:t>A_F(\xi).</w:t>
      </w:r>
      <w:r>
        <w:br/>
        <w:t>\tag{3.6842}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A_F=A_F(\xi)\qquad\text{(3.6842)}</w:t>
      </w:r>
    </w:p>
    <w:p w:rsidR="00AD04D9" w:rsidRDefault="00AD04D9" w:rsidP="00AD04D9">
      <w:pPr>
        <w:pStyle w:val="StandardWeb"/>
      </w:pPr>
      <w:r>
        <w:t>Das gemeinsame Stabilitätsgebiet ist</w:t>
      </w:r>
    </w:p>
    <w:p w:rsidR="00AD04D9" w:rsidRDefault="00AD04D9" w:rsidP="00AD04D9">
      <w:pPr>
        <w:pStyle w:val="berschrift1"/>
      </w:pPr>
      <w:r>
        <w:lastRenderedPageBreak/>
        <w:t>[</w:t>
      </w:r>
      <w:r>
        <w:br/>
        <w:t>\Omega_{L^\ast}^{\Xi}</w:t>
      </w:r>
    </w:p>
    <w:p w:rsidR="00AD04D9" w:rsidRDefault="00AD04D9" w:rsidP="00AD04D9">
      <w:pPr>
        <w:pStyle w:val="berschrift1"/>
      </w:pPr>
      <w:r>
        <w:t>\left{</w:t>
      </w:r>
      <w:r>
        <w:br/>
        <w:t>\xi</w:t>
      </w:r>
      <w:r>
        <w:br/>
        <w:t>\in</w:t>
      </w:r>
      <w:r>
        <w:br/>
        <w:t>\Xi:</w:t>
      </w:r>
      <w:r>
        <w:br/>
        <w:t>\operatorname{Klasse}_{A}</w:t>
      </w:r>
      <w:r>
        <w:br/>
        <w:t>\left(</w:t>
      </w:r>
      <w:r>
        <w:br/>
        <w:t>A_F(\xi)</w:t>
      </w:r>
      <w:r>
        <w:br/>
        <w:t>\right)</w:t>
      </w:r>
    </w:p>
    <w:p w:rsidR="00AD04D9" w:rsidRDefault="00AD04D9" w:rsidP="00AD04D9">
      <w:pPr>
        <w:pStyle w:val="StandardWeb"/>
      </w:pPr>
      <w:r>
        <w:t>L^\ast</w:t>
      </w:r>
      <w:r>
        <w:br/>
        <w:t>\right}.</w:t>
      </w:r>
      <w:r>
        <w:br/>
        <w:t>\tag{3.6843}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\Omega_{L^{\ast}}^{\Xi}=\left\{\xi\in\Xi:\operatorname{Klasse}_{A}\left(A_F(\xi)\right)=L^{\ast}\right\}\qquad\text{(3.6843)}</w:t>
      </w:r>
    </w:p>
    <w:p w:rsidR="00AD04D9" w:rsidRDefault="00E50336" w:rsidP="00AD04D9">
      <w:r>
        <w:pict>
          <v:rect id="_x0000_i1295" style="width:0;height:1.5pt" o:hralign="center" o:hrstd="t" o:hr="t" fillcolor="#a0a0a0" stroked="f"/>
        </w:pict>
      </w:r>
    </w:p>
    <w:p w:rsidR="00AD04D9" w:rsidRDefault="00AD04D9" w:rsidP="00AD04D9">
      <w:pPr>
        <w:pStyle w:val="berschrift2"/>
      </w:pPr>
      <w:r>
        <w:t>3.3.40.20 Gemeinsamer Robustheitsgrad</w:t>
      </w:r>
    </w:p>
    <w:p w:rsidR="00AD04D9" w:rsidRDefault="00AD04D9" w:rsidP="00AD04D9">
      <w:pPr>
        <w:pStyle w:val="StandardWeb"/>
      </w:pPr>
      <w:r>
        <w:t>Daraus folgt</w:t>
      </w:r>
    </w:p>
    <w:p w:rsidR="00AD04D9" w:rsidRDefault="00AD04D9" w:rsidP="00AD04D9">
      <w:pPr>
        <w:pStyle w:val="berschrift1"/>
      </w:pPr>
      <w:r>
        <w:t>[</w:t>
      </w:r>
      <w:r>
        <w:br/>
        <w:t>R_{\Xi}</w:t>
      </w:r>
    </w:p>
    <w:p w:rsidR="00AD04D9" w:rsidRDefault="00AD04D9" w:rsidP="00AD04D9">
      <w:pPr>
        <w:pStyle w:val="StandardWeb"/>
      </w:pPr>
      <w:r>
        <w:t>\frac{</w:t>
      </w:r>
      <w:r>
        <w:br/>
        <w:t>\mu</w:t>
      </w:r>
      <w:r>
        <w:br/>
        <w:t>\left(</w:t>
      </w:r>
      <w:r>
        <w:br/>
        <w:t>\Omega_{L^\ast}^{\Xi}</w:t>
      </w:r>
      <w:r>
        <w:br/>
        <w:t>\right)</w:t>
      </w:r>
      <w:r>
        <w:br/>
        <w:t>}{</w:t>
      </w:r>
      <w:r>
        <w:br/>
        <w:t>\mu(\Xi)</w:t>
      </w:r>
      <w:r>
        <w:br/>
        <w:t>}.</w:t>
      </w:r>
      <w:r>
        <w:br/>
        <w:t>\tag{3.6844}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R_{\Xi}=\frac{\mu\left(\Omega_{L^{\ast}}^{\Xi}\right)}{\mu(\Xi)}\qquad\text{(3.6844)}</w:t>
      </w:r>
    </w:p>
    <w:p w:rsidR="00AD04D9" w:rsidRDefault="00AD04D9" w:rsidP="00AD04D9">
      <w:pPr>
        <w:pStyle w:val="StandardWeb"/>
      </w:pPr>
      <w:r>
        <w:t>Diese Größe ist wissenschaftlich stärker als eine reine Ein-Parameter-Sensitivität, weil sie kombinierte Variationen von Parametern und Anfangszuständen berücksichtigt.</w:t>
      </w:r>
    </w:p>
    <w:p w:rsidR="00AD04D9" w:rsidRDefault="00E50336" w:rsidP="00AD04D9">
      <w:r>
        <w:pict>
          <v:rect id="_x0000_i1296" style="width:0;height:1.5pt" o:hralign="center" o:hrstd="t" o:hr="t" fillcolor="#a0a0a0" stroked="f"/>
        </w:pict>
      </w:r>
    </w:p>
    <w:p w:rsidR="00AD04D9" w:rsidRDefault="00AD04D9" w:rsidP="00AD04D9">
      <w:pPr>
        <w:pStyle w:val="berschrift2"/>
      </w:pPr>
      <w:r>
        <w:t>3.3.40.21 One-at-a-time-Sensitivität</w:t>
      </w:r>
    </w:p>
    <w:p w:rsidR="00AD04D9" w:rsidRDefault="00AD04D9" w:rsidP="00AD04D9">
      <w:pPr>
        <w:pStyle w:val="StandardWeb"/>
      </w:pPr>
      <w:r>
        <w:t>Eine einfache Sensitivitätsstrategie verändert jeweils nur einen Parameter:</w:t>
      </w:r>
    </w:p>
    <w:p w:rsidR="00AD04D9" w:rsidRDefault="00AD04D9" w:rsidP="00AD04D9">
      <w:pPr>
        <w:pStyle w:val="StandardWeb"/>
      </w:pPr>
      <w:r>
        <w:t>[</w:t>
      </w:r>
      <w:r>
        <w:br/>
        <w:t>\theta_i</w:t>
      </w:r>
      <w:r>
        <w:br/>
        <w:t>\rightarrow</w:t>
      </w:r>
      <w:r>
        <w:br/>
        <w:t>\theta_i+\Delta\theta_i</w:t>
      </w:r>
      <w:r>
        <w:br/>
        <w:t>\tag{3.6845}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\theta_i\rightarrow\theta_i+\Delta\theta_i\qquad\text{(3.6845)}</w:t>
      </w:r>
    </w:p>
    <w:p w:rsidR="00AD04D9" w:rsidRDefault="00AD04D9" w:rsidP="00AD04D9">
      <w:pPr>
        <w:pStyle w:val="StandardWeb"/>
      </w:pPr>
      <w:r>
        <w:t>bei konstanten übrigen Parametern.</w:t>
      </w:r>
    </w:p>
    <w:p w:rsidR="00AD04D9" w:rsidRDefault="00AD04D9" w:rsidP="00AD04D9">
      <w:pPr>
        <w:pStyle w:val="StandardWeb"/>
      </w:pPr>
      <w:r>
        <w:t>Dann gilt</w:t>
      </w:r>
    </w:p>
    <w:p w:rsidR="00AD04D9" w:rsidRDefault="00AD04D9" w:rsidP="00AD04D9">
      <w:pPr>
        <w:pStyle w:val="berschrift1"/>
      </w:pPr>
      <w:r>
        <w:t>[</w:t>
      </w:r>
      <w:r>
        <w:br/>
        <w:t>\theta_j</w:t>
      </w:r>
    </w:p>
    <w:p w:rsidR="00AD04D9" w:rsidRDefault="00AD04D9" w:rsidP="00AD04D9">
      <w:pPr>
        <w:pStyle w:val="StandardWeb"/>
      </w:pPr>
      <w:r>
        <w:t>\mathrm{konstant}</w:t>
      </w:r>
      <w:r>
        <w:br/>
        <w:t>\qquad</w:t>
      </w:r>
      <w:r>
        <w:br/>
        <w:t>\forall j\neq i.</w:t>
      </w:r>
      <w:r>
        <w:br/>
        <w:t>\tag{3.6846}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\theta_j=\mathrm{konstant}\qquad\forall j\neq i\qquad\text{(3.6846)}</w:t>
      </w:r>
    </w:p>
    <w:p w:rsidR="00AD04D9" w:rsidRDefault="00AD04D9" w:rsidP="00AD04D9">
      <w:pPr>
        <w:pStyle w:val="StandardWeb"/>
      </w:pPr>
      <w:r>
        <w:t>Diese Methode ist leicht interpretierbar, kann aber Wechselwirkungen zwischen Parametern übersehen.</w:t>
      </w:r>
    </w:p>
    <w:p w:rsidR="00AD04D9" w:rsidRDefault="00E50336" w:rsidP="00AD04D9">
      <w:r>
        <w:pict>
          <v:rect id="_x0000_i1297" style="width:0;height:1.5pt" o:hralign="center" o:hrstd="t" o:hr="t" fillcolor="#a0a0a0" stroked="f"/>
        </w:pict>
      </w:r>
    </w:p>
    <w:p w:rsidR="00AD04D9" w:rsidRDefault="00AD04D9" w:rsidP="00AD04D9">
      <w:pPr>
        <w:pStyle w:val="berschrift2"/>
      </w:pPr>
      <w:r>
        <w:t>3.3.40.22 Parameterinteraktionen</w:t>
      </w:r>
    </w:p>
    <w:p w:rsidR="00AD04D9" w:rsidRDefault="00AD04D9" w:rsidP="00AD04D9">
      <w:pPr>
        <w:pStyle w:val="StandardWeb"/>
      </w:pPr>
      <w:r>
        <w:t>Für zwei Parameter (\theta_i) und (\theta_j) kann eine Interaktion über eine gemischte Ableitung beschrieben werden:</w:t>
      </w:r>
    </w:p>
    <w:p w:rsidR="00AD04D9" w:rsidRDefault="00AD04D9" w:rsidP="00AD04D9">
      <w:pPr>
        <w:pStyle w:val="berschrift1"/>
      </w:pPr>
      <w:r>
        <w:lastRenderedPageBreak/>
        <w:t>[</w:t>
      </w:r>
      <w:r>
        <w:br/>
        <w:t>S_{ij}^{\mathrm{int}}</w:t>
      </w:r>
    </w:p>
    <w:p w:rsidR="00AD04D9" w:rsidRDefault="00AD04D9" w:rsidP="00AD04D9">
      <w:pPr>
        <w:pStyle w:val="StandardWeb"/>
      </w:pPr>
      <w:r>
        <w:t>\frac{\partial^2Y_F}</w:t>
      </w:r>
      <w:r>
        <w:br/>
        <w:t>{\partial\theta_i\partial\theta_j}.</w:t>
      </w:r>
      <w:r>
        <w:br/>
        <w:t>\tag{3.6847}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S_{ij}^{\mathrm{int}}=\frac{\partial^2Y_F}{\partial\theta_i\partial\theta_j}\qquad\text{(3.6847)}</w:t>
      </w:r>
    </w:p>
    <w:p w:rsidR="00AD04D9" w:rsidRDefault="00AD04D9" w:rsidP="00AD04D9">
      <w:pPr>
        <w:pStyle w:val="StandardWeb"/>
      </w:pPr>
      <w:r>
        <w:t>Für</w:t>
      </w:r>
    </w:p>
    <w:p w:rsidR="00AD04D9" w:rsidRDefault="00AD04D9" w:rsidP="00AD04D9">
      <w:pPr>
        <w:pStyle w:val="StandardWeb"/>
      </w:pPr>
      <w:r>
        <w:t>[</w:t>
      </w:r>
      <w:r>
        <w:br/>
        <w:t>S_{ij}^{\mathrm{int}}</w:t>
      </w:r>
      <w:r>
        <w:br/>
        <w:t>\neq</w:t>
      </w:r>
      <w:r>
        <w:br/>
        <w:t>0</w:t>
      </w:r>
      <w:r>
        <w:br/>
        <w:t>\tag{3.6848}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S_{ij}^{\mathrm{int}}\neq0\qquad\text{(3.6848)}</w:t>
      </w:r>
    </w:p>
    <w:p w:rsidR="00AD04D9" w:rsidRDefault="00AD04D9" w:rsidP="00AD04D9">
      <w:pPr>
        <w:pStyle w:val="StandardWeb"/>
      </w:pPr>
      <w:r>
        <w:t>ist der gemeinsame Effekt der beiden Parameter nicht vollständig aus ihren separaten Effekten ableitbar.</w:t>
      </w:r>
    </w:p>
    <w:p w:rsidR="00AD04D9" w:rsidRDefault="00AD04D9" w:rsidP="00AD04D9">
      <w:pPr>
        <w:pStyle w:val="StandardWeb"/>
      </w:pPr>
      <w:r>
        <w:t>Damit kann eine Aussage gegenüber jeder Einzelvariation robust erscheinen, aber bei kombinierter Variation instabil werden.</w:t>
      </w:r>
    </w:p>
    <w:p w:rsidR="00AD04D9" w:rsidRDefault="00E50336" w:rsidP="00AD04D9">
      <w:r>
        <w:pict>
          <v:rect id="_x0000_i1298" style="width:0;height:1.5pt" o:hralign="center" o:hrstd="t" o:hr="t" fillcolor="#a0a0a0" stroked="f"/>
        </w:pict>
      </w:r>
    </w:p>
    <w:p w:rsidR="00AD04D9" w:rsidRDefault="00AD04D9" w:rsidP="00AD04D9">
      <w:pPr>
        <w:pStyle w:val="berschrift2"/>
      </w:pPr>
      <w:r>
        <w:t>3.3.40.23 Interaktionsmatrix</w:t>
      </w:r>
    </w:p>
    <w:p w:rsidR="00AD04D9" w:rsidRDefault="00AD04D9" w:rsidP="00AD04D9">
      <w:pPr>
        <w:pStyle w:val="StandardWeb"/>
      </w:pPr>
      <w:r>
        <w:t>Für mehrere Parameter definiere ich</w:t>
      </w:r>
    </w:p>
    <w:p w:rsidR="00AD04D9" w:rsidRDefault="00AD04D9" w:rsidP="00AD04D9">
      <w:pPr>
        <w:pStyle w:val="berschrift1"/>
      </w:pPr>
      <w:r>
        <w:t>[</w:t>
      </w:r>
      <w:r>
        <w:br/>
        <w:t>\mathbf{H}_{\theta}</w:t>
      </w:r>
    </w:p>
    <w:p w:rsidR="00AD04D9" w:rsidRDefault="00AD04D9" w:rsidP="00AD04D9">
      <w:pPr>
        <w:pStyle w:val="StandardWeb"/>
      </w:pPr>
      <w:r>
        <w:t>\left[</w:t>
      </w:r>
      <w:r>
        <w:br/>
        <w:t>\frac{\partial^2Y_F}</w:t>
      </w:r>
      <w:r>
        <w:br/>
        <w:t>{\partial\theta_i\partial\theta_j}</w:t>
      </w:r>
      <w:r>
        <w:br/>
        <w:t>\right].</w:t>
      </w:r>
      <w:r>
        <w:br/>
        <w:t>\tag{3.6849}</w:t>
      </w:r>
      <w:r>
        <w:br/>
        <w:t>]</w:t>
      </w:r>
    </w:p>
    <w:p w:rsidR="00AD04D9" w:rsidRDefault="00AD04D9" w:rsidP="00AD04D9">
      <w:pPr>
        <w:pStyle w:val="StandardWeb"/>
      </w:pPr>
      <w:r>
        <w:rPr>
          <w:rStyle w:val="Fett"/>
        </w:rPr>
        <w:lastRenderedPageBreak/>
        <w:t>Word-LaTeX</w:t>
      </w:r>
    </w:p>
    <w:p w:rsidR="00AD04D9" w:rsidRDefault="00AD04D9" w:rsidP="00AD04D9">
      <w:pPr>
        <w:pStyle w:val="HTMLVorformatiert"/>
        <w:rPr>
          <w:rStyle w:val="HTMLCode"/>
        </w:rPr>
      </w:pPr>
      <w:r>
        <w:rPr>
          <w:rStyle w:val="HTMLCode"/>
        </w:rPr>
        <w:t>\mathbf{H}_{\theta}=\left[\frac{\partial^2Y_F}{\partial\theta_i\partial\theta_j}\right]\qquad\text{(3.6849)}</w:t>
      </w:r>
    </w:p>
    <w:p w:rsidR="00AD04D9" w:rsidRDefault="00AD04D9" w:rsidP="00AD04D9">
      <w:pPr>
        <w:pStyle w:val="StandardWeb"/>
      </w:pPr>
      <w:r>
        <w:t>Diese Hesse-artige Struktur kann lokale Krümmung und Parameterwechselwirkungen sichtbar machen.</w:t>
      </w:r>
    </w:p>
    <w:p w:rsidR="00AD04D9" w:rsidRDefault="00E50336" w:rsidP="00AD04D9">
      <w:r>
        <w:pict>
          <v:rect id="_x0000_i1299" style="width:0;height:1.5pt" o:hralign="center" o:hrstd="t" o:hr="t" fillcolor="#a0a0a0" stroked="f"/>
        </w:pict>
      </w:r>
    </w:p>
    <w:p w:rsidR="00AD04D9" w:rsidRDefault="00AD04D9" w:rsidP="00AD04D9">
      <w:pPr>
        <w:pStyle w:val="berschrift2"/>
      </w:pPr>
      <w:r>
        <w:t>3.3.40.24 Globale Sensitivität</w:t>
      </w:r>
    </w:p>
    <w:p w:rsidR="00AD04D9" w:rsidRDefault="00AD04D9" w:rsidP="00AD04D9">
      <w:pPr>
        <w:pStyle w:val="StandardWeb"/>
      </w:pPr>
      <w:r>
        <w:t>Lokale Ableitungen beschreiben nur eine Umgebung eines Referenzpunktes. Deshalb muss bei nichtlinearen Modellen zusätzlich der gesamte zulässige Parameterraum untersucht werden.</w:t>
      </w:r>
    </w:p>
    <w:p w:rsidR="00AD04D9" w:rsidRDefault="00AD04D9" w:rsidP="00AD04D9">
      <w:pPr>
        <w:pStyle w:val="StandardWeb"/>
      </w:pPr>
      <w:r>
        <w:t>Ich bezeichne ein globales Sensitivitätsmaß für Parameter (\theta_i) mit</w:t>
      </w:r>
    </w:p>
    <w:p w:rsidR="00AD04D9" w:rsidRDefault="00AD04D9" w:rsidP="00AD04D9">
      <w:pPr>
        <w:pStyle w:val="StandardWeb"/>
      </w:pPr>
      <w:r>
        <w:t>[</w:t>
      </w:r>
      <w:r>
        <w:br/>
        <w:t>G_i.</w:t>
      </w:r>
      <w:r>
        <w:br/>
        <w:t>\tag{3.6850}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G_i\qquad\text{(3.6850)}</w:t>
      </w:r>
    </w:p>
    <w:p w:rsidR="00AD04D9" w:rsidRDefault="00AD04D9" w:rsidP="00AD04D9">
      <w:pPr>
        <w:pStyle w:val="StandardWeb"/>
      </w:pPr>
      <w:r>
        <w:t>Allgemein gilt</w:t>
      </w:r>
    </w:p>
    <w:p w:rsidR="00AD04D9" w:rsidRDefault="00AD04D9" w:rsidP="00AD04D9">
      <w:pPr>
        <w:pStyle w:val="berschrift1"/>
      </w:pPr>
      <w:r>
        <w:t>[</w:t>
      </w:r>
      <w:r>
        <w:br/>
        <w:t>G_i</w:t>
      </w:r>
    </w:p>
    <w:p w:rsidR="00AD04D9" w:rsidRDefault="00AD04D9" w:rsidP="00AD04D9">
      <w:pPr>
        <w:pStyle w:val="StandardWeb"/>
      </w:pPr>
      <w:r>
        <w:t>\mathcal{G}</w:t>
      </w:r>
      <w:r>
        <w:br/>
        <w:t>\left(</w:t>
      </w:r>
      <w:r>
        <w:br/>
        <w:t>Y_F,</w:t>
      </w:r>
      <w:r>
        <w:br/>
        <w:t>\theta_i,</w:t>
      </w:r>
      <w:r>
        <w:br/>
        <w:t>\Theta_{\mathrm{zul}}</w:t>
      </w:r>
      <w:r>
        <w:br/>
        <w:t>\right).</w:t>
      </w:r>
      <w:r>
        <w:br/>
        <w:t>\tag{3.6851}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G_i=\mathcal{G}\left(Y_F,\theta_i,\Theta_{\mathrm{zul}}\right)\qquad\text{(3.6851)}</w:t>
      </w:r>
    </w:p>
    <w:p w:rsidR="00AD04D9" w:rsidRDefault="00AD04D9" w:rsidP="00AD04D9">
      <w:pPr>
        <w:pStyle w:val="StandardWeb"/>
      </w:pPr>
      <w:r>
        <w:t>Die konkrete Form von (\mathcal{G}) hängt von der gewählten Sensitivitätsmethode ab.</w:t>
      </w:r>
    </w:p>
    <w:p w:rsidR="00AD04D9" w:rsidRDefault="00E50336" w:rsidP="00AD04D9">
      <w:r>
        <w:pict>
          <v:rect id="_x0000_i1300" style="width:0;height:1.5pt" o:hralign="center" o:hrstd="t" o:hr="t" fillcolor="#a0a0a0" stroked="f"/>
        </w:pict>
      </w:r>
    </w:p>
    <w:p w:rsidR="00AD04D9" w:rsidRDefault="00AD04D9" w:rsidP="00AD04D9">
      <w:pPr>
        <w:pStyle w:val="berschrift2"/>
      </w:pPr>
      <w:r>
        <w:lastRenderedPageBreak/>
        <w:t>3.3.40.25 Varianzbasierte globale Sensitivität</w:t>
      </w:r>
    </w:p>
    <w:p w:rsidR="00AD04D9" w:rsidRDefault="00AD04D9" w:rsidP="00AD04D9">
      <w:pPr>
        <w:pStyle w:val="StandardWeb"/>
      </w:pPr>
      <w:r>
        <w:t>Für eine stochastische Parametervariation kann die Ergebnisvarianz</w:t>
      </w:r>
    </w:p>
    <w:p w:rsidR="00AD04D9" w:rsidRDefault="00AD04D9" w:rsidP="00AD04D9">
      <w:pPr>
        <w:pStyle w:val="berschrift1"/>
      </w:pPr>
      <w:r>
        <w:t>[</w:t>
      </w:r>
      <w:r>
        <w:br/>
        <w:t>V_Y</w:t>
      </w:r>
    </w:p>
    <w:p w:rsidR="00AD04D9" w:rsidRDefault="00AD04D9" w:rsidP="00AD04D9">
      <w:pPr>
        <w:pStyle w:val="StandardWeb"/>
      </w:pPr>
      <w:r>
        <w:t>\operatorname{Var}(Y_F)</w:t>
      </w:r>
      <w:r>
        <w:br/>
        <w:t>\tag{3.6852}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V_Y=\operatorname{Var}(Y_F)\qquad\text{(3.6852)}</w:t>
      </w:r>
    </w:p>
    <w:p w:rsidR="00AD04D9" w:rsidRDefault="00AD04D9" w:rsidP="00AD04D9">
      <w:pPr>
        <w:pStyle w:val="StandardWeb"/>
      </w:pPr>
      <w:r>
        <w:t>auf Parameterbeiträge zurückgeführt werden.</w:t>
      </w:r>
    </w:p>
    <w:p w:rsidR="00AD04D9" w:rsidRDefault="00AD04D9" w:rsidP="00AD04D9">
      <w:pPr>
        <w:pStyle w:val="StandardWeb"/>
      </w:pPr>
      <w:r>
        <w:t>Ein erster Sensitivitätsanteil sei</w:t>
      </w:r>
    </w:p>
    <w:p w:rsidR="00AD04D9" w:rsidRDefault="00AD04D9" w:rsidP="00AD04D9">
      <w:pPr>
        <w:pStyle w:val="berschrift1"/>
      </w:pPr>
      <w:r>
        <w:t>[</w:t>
      </w:r>
      <w:r>
        <w:br/>
        <w:t>S_i^{(1)}</w:t>
      </w:r>
    </w:p>
    <w:p w:rsidR="00AD04D9" w:rsidRDefault="00AD04D9" w:rsidP="00AD04D9">
      <w:pPr>
        <w:pStyle w:val="StandardWeb"/>
      </w:pPr>
      <w:r>
        <w:t>\frac{</w:t>
      </w:r>
      <w:r>
        <w:br/>
        <w:t>\operatorname{Var}</w:t>
      </w:r>
      <w:r>
        <w:br/>
        <w:t>\left(</w:t>
      </w:r>
      <w:r>
        <w:br/>
        <w:t>\mathbb{E}[Y_F\mid\theta_i]</w:t>
      </w:r>
      <w:r>
        <w:br/>
        <w:t>\right)</w:t>
      </w:r>
      <w:r>
        <w:br/>
        <w:t>}{</w:t>
      </w:r>
      <w:r>
        <w:br/>
        <w:t>\operatorname{Var}(Y_F)</w:t>
      </w:r>
      <w:r>
        <w:br/>
        <w:t>}.</w:t>
      </w:r>
      <w:r>
        <w:br/>
        <w:t>\tag{3.6853}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S_i^{(1)}=\frac{\operatorname{Var}\left(\mathbb{E}[Y_F\mid\theta_i]\right)}{\operatorname{Var}(Y_F)}\qquad\text{(3.6853)}</w:t>
      </w:r>
    </w:p>
    <w:p w:rsidR="00AD04D9" w:rsidRDefault="00AD04D9" w:rsidP="00AD04D9">
      <w:pPr>
        <w:pStyle w:val="StandardWeb"/>
      </w:pPr>
      <w:r>
        <w:t>Dieser Ausdruck quantifiziert den Anteil der Ergebnisvarianz, der durch (\theta_i) allein erklärt wird.</w:t>
      </w:r>
    </w:p>
    <w:p w:rsidR="00AD04D9" w:rsidRDefault="00E50336" w:rsidP="00AD04D9">
      <w:r>
        <w:pict>
          <v:rect id="_x0000_i1301" style="width:0;height:1.5pt" o:hralign="center" o:hrstd="t" o:hr="t" fillcolor="#a0a0a0" stroked="f"/>
        </w:pict>
      </w:r>
    </w:p>
    <w:p w:rsidR="00AD04D9" w:rsidRDefault="00AD04D9" w:rsidP="00AD04D9">
      <w:pPr>
        <w:pStyle w:val="berschrift2"/>
      </w:pPr>
      <w:r>
        <w:t>3.3.40.26 Totale Parametersensitivität</w:t>
      </w:r>
    </w:p>
    <w:p w:rsidR="00AD04D9" w:rsidRDefault="00AD04D9" w:rsidP="00AD04D9">
      <w:pPr>
        <w:pStyle w:val="StandardWeb"/>
      </w:pPr>
      <w:r>
        <w:t>Ein totaler Sensitivitätsindex kann zusätzlich sämtliche Interaktionen mit (\theta_i) erfassen.</w:t>
      </w:r>
    </w:p>
    <w:p w:rsidR="00AD04D9" w:rsidRDefault="00AD04D9" w:rsidP="00AD04D9">
      <w:pPr>
        <w:pStyle w:val="StandardWeb"/>
      </w:pPr>
      <w:r>
        <w:t>Ich schreibe abstrakt</w:t>
      </w:r>
    </w:p>
    <w:p w:rsidR="00AD04D9" w:rsidRDefault="00AD04D9" w:rsidP="00AD04D9">
      <w:pPr>
        <w:pStyle w:val="berschrift1"/>
      </w:pPr>
      <w:r>
        <w:lastRenderedPageBreak/>
        <w:t>[</w:t>
      </w:r>
      <w:r>
        <w:br/>
        <w:t>S_i^{(T)}</w:t>
      </w:r>
    </w:p>
    <w:p w:rsidR="00AD04D9" w:rsidRDefault="00AD04D9" w:rsidP="00AD04D9">
      <w:pPr>
        <w:pStyle w:val="berschrift2"/>
      </w:pPr>
      <w:r>
        <w:t>1</w:t>
      </w:r>
    </w:p>
    <w:p w:rsidR="00AD04D9" w:rsidRDefault="00AD04D9" w:rsidP="00AD04D9">
      <w:pPr>
        <w:pStyle w:val="StandardWeb"/>
      </w:pPr>
      <w:r>
        <w:t>\frac{</w:t>
      </w:r>
      <w:r>
        <w:br/>
        <w:t>\operatorname{Var}</w:t>
      </w:r>
      <w:r>
        <w:br/>
        <w:t>\left(</w:t>
      </w:r>
      <w:r>
        <w:br/>
        <w:t>\mathbb{E}[Y_F\mid\boldsymbol{\theta}_{-i}]</w:t>
      </w:r>
      <w:r>
        <w:br/>
        <w:t>\right)</w:t>
      </w:r>
      <w:r>
        <w:br/>
        <w:t>}{</w:t>
      </w:r>
      <w:r>
        <w:br/>
        <w:t>\operatorname{Var}(Y_F)</w:t>
      </w:r>
      <w:r>
        <w:br/>
        <w:t>}.</w:t>
      </w:r>
      <w:r>
        <w:br/>
        <w:t>\tag{3.6854}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S_i^{(T)}=1-\frac{\operatorname{Var}\left(\mathbb{E}[Y_F\mid\boldsymbol{\theta}_{-i}]\right)}{\operatorname{Var}(Y_F)}\qquad\text{(3.6854)}</w:t>
      </w:r>
    </w:p>
    <w:p w:rsidR="00AD04D9" w:rsidRDefault="00AD04D9" w:rsidP="00AD04D9">
      <w:pPr>
        <w:pStyle w:val="StandardWeb"/>
      </w:pPr>
      <w:r>
        <w:t>Dabei bezeichnet (\boldsymbol{\theta}_{-i}) sämtliche Parameter außer (\theta_i).</w:t>
      </w:r>
    </w:p>
    <w:p w:rsidR="00AD04D9" w:rsidRDefault="00E50336" w:rsidP="00AD04D9">
      <w:r>
        <w:pict>
          <v:rect id="_x0000_i1302" style="width:0;height:1.5pt" o:hralign="center" o:hrstd="t" o:hr="t" fillcolor="#a0a0a0" stroked="f"/>
        </w:pict>
      </w:r>
    </w:p>
    <w:p w:rsidR="00AD04D9" w:rsidRDefault="00AD04D9" w:rsidP="00AD04D9">
      <w:pPr>
        <w:pStyle w:val="berschrift2"/>
      </w:pPr>
      <w:r>
        <w:t>3.3.40.27 Direkte und interaktive Sensitivität</w:t>
      </w:r>
    </w:p>
    <w:p w:rsidR="00AD04D9" w:rsidRDefault="00AD04D9" w:rsidP="00AD04D9">
      <w:pPr>
        <w:pStyle w:val="StandardWeb"/>
      </w:pPr>
      <w:r>
        <w:t>Die Differenz</w:t>
      </w:r>
    </w:p>
    <w:p w:rsidR="00AD04D9" w:rsidRDefault="00AD04D9" w:rsidP="00AD04D9">
      <w:pPr>
        <w:pStyle w:val="berschrift2"/>
      </w:pPr>
      <w:r>
        <w:t>[</w:t>
      </w:r>
      <w:r>
        <w:br/>
        <w:t>S_i^{(T)}</w:t>
      </w:r>
    </w:p>
    <w:p w:rsidR="00AD04D9" w:rsidRDefault="00AD04D9" w:rsidP="00AD04D9">
      <w:pPr>
        <w:pStyle w:val="StandardWeb"/>
      </w:pPr>
      <w:r>
        <w:t>S_i^{(1)}</w:t>
      </w:r>
      <w:r>
        <w:br/>
        <w:t>\tag{3.6855}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S_i^{(T)}-S_i^{(1)}\qquad\text{(3.6855)}</w:t>
      </w:r>
    </w:p>
    <w:p w:rsidR="00AD04D9" w:rsidRDefault="00AD04D9" w:rsidP="00AD04D9">
      <w:pPr>
        <w:pStyle w:val="StandardWeb"/>
      </w:pPr>
      <w:r>
        <w:t>liefert einen Hinweis auf die Bedeutung von Interaktionen.</w:t>
      </w:r>
    </w:p>
    <w:p w:rsidR="00AD04D9" w:rsidRDefault="00AD04D9" w:rsidP="00AD04D9">
      <w:pPr>
        <w:pStyle w:val="StandardWeb"/>
      </w:pPr>
      <w:r>
        <w:t>Für</w:t>
      </w:r>
    </w:p>
    <w:p w:rsidR="00AD04D9" w:rsidRDefault="00AD04D9" w:rsidP="00AD04D9">
      <w:pPr>
        <w:pStyle w:val="StandardWeb"/>
      </w:pPr>
      <w:r>
        <w:t>[</w:t>
      </w:r>
      <w:r>
        <w:br/>
        <w:t>S_i^{(T)}</w:t>
      </w:r>
      <w:r>
        <w:br/>
        <w:t>\approx</w:t>
      </w:r>
      <w:r>
        <w:br/>
        <w:t>S_i^{(1)}</w:t>
      </w:r>
      <w:r>
        <w:br/>
      </w:r>
      <w:r>
        <w:lastRenderedPageBreak/>
        <w:t>\tag{3.6856}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S_i^{(T)}\approx S_i^{(1)}\qquad\text{(3.6856)}</w:t>
      </w:r>
    </w:p>
    <w:p w:rsidR="00AD04D9" w:rsidRDefault="00AD04D9" w:rsidP="00AD04D9">
      <w:pPr>
        <w:pStyle w:val="StandardWeb"/>
      </w:pPr>
      <w:r>
        <w:t>sind Interaktionen gering.</w:t>
      </w:r>
    </w:p>
    <w:p w:rsidR="00AD04D9" w:rsidRDefault="00AD04D9" w:rsidP="00AD04D9">
      <w:pPr>
        <w:pStyle w:val="StandardWeb"/>
      </w:pPr>
      <w:r>
        <w:t>Für</w:t>
      </w:r>
    </w:p>
    <w:p w:rsidR="00AD04D9" w:rsidRDefault="00AD04D9" w:rsidP="00AD04D9">
      <w:pPr>
        <w:pStyle w:val="StandardWeb"/>
      </w:pPr>
      <w:r>
        <w:t>[</w:t>
      </w:r>
      <w:r>
        <w:br/>
        <w:t>S_i^{(T)}</w:t>
      </w:r>
      <w:r>
        <w:br/>
        <w:t>\gg</w:t>
      </w:r>
      <w:r>
        <w:br/>
        <w:t>S_i^{(1)}</w:t>
      </w:r>
      <w:r>
        <w:br/>
        <w:t>\tag{3.6857}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S_i^{(T)}\gg S_i^{(1)}\qquad\text{(3.6857)}</w:t>
      </w:r>
    </w:p>
    <w:p w:rsidR="00AD04D9" w:rsidRDefault="00AD04D9" w:rsidP="00AD04D9">
      <w:pPr>
        <w:pStyle w:val="StandardWeb"/>
      </w:pPr>
      <w:r>
        <w:t>spielt der Parameter vor allem über Wechselwirkungen eine große Rolle.</w:t>
      </w:r>
    </w:p>
    <w:p w:rsidR="00AD04D9" w:rsidRDefault="00E50336" w:rsidP="00AD04D9">
      <w:r>
        <w:pict>
          <v:rect id="_x0000_i1303" style="width:0;height:1.5pt" o:hralign="center" o:hrstd="t" o:hr="t" fillcolor="#a0a0a0" stroked="f"/>
        </w:pict>
      </w:r>
    </w:p>
    <w:p w:rsidR="00AD04D9" w:rsidRDefault="00AD04D9" w:rsidP="00AD04D9">
      <w:pPr>
        <w:pStyle w:val="berschrift2"/>
      </w:pPr>
      <w:r>
        <w:t>3.3.40.28 Parameteridentifizierbarkeit</w:t>
      </w:r>
    </w:p>
    <w:p w:rsidR="00AD04D9" w:rsidRDefault="00AD04D9" w:rsidP="00AD04D9">
      <w:pPr>
        <w:pStyle w:val="StandardWeb"/>
      </w:pPr>
      <w:r>
        <w:t>Sensitivität und Identifizierbarkeit müssen voneinander getrennt werden.</w:t>
      </w:r>
    </w:p>
    <w:p w:rsidR="00AD04D9" w:rsidRDefault="00AD04D9" w:rsidP="00AD04D9">
      <w:pPr>
        <w:pStyle w:val="StandardWeb"/>
      </w:pPr>
      <w:r>
        <w:t>Ein Parameter kann starken Einfluss auf das Ergebnis besitzen, aber aus den Daten schlecht bestimmbar sein.</w:t>
      </w:r>
    </w:p>
    <w:p w:rsidR="00AD04D9" w:rsidRDefault="00AD04D9" w:rsidP="00AD04D9">
      <w:pPr>
        <w:pStyle w:val="StandardWeb"/>
      </w:pPr>
      <w:r>
        <w:t>Ich definiere</w:t>
      </w:r>
    </w:p>
    <w:p w:rsidR="00AD04D9" w:rsidRDefault="00AD04D9" w:rsidP="00AD04D9">
      <w:pPr>
        <w:pStyle w:val="StandardWeb"/>
      </w:pPr>
      <w:r>
        <w:t>[</w:t>
      </w:r>
      <w:r>
        <w:br/>
        <w:t>\operatorname{Ident}_{\theta}</w:t>
      </w:r>
      <w:r>
        <w:br/>
        <w:t>\left(</w:t>
      </w:r>
      <w:r>
        <w:br/>
        <w:t>\theta_i</w:t>
      </w:r>
      <w:r>
        <w:br/>
        <w:t>\right)</w:t>
      </w:r>
      <w:r>
        <w:br/>
        <w:t>\in</w:t>
      </w:r>
      <w:r>
        <w:br/>
        <w:t>{0,1}.</w:t>
      </w:r>
      <w:r>
        <w:br/>
        <w:t>\tag{3.6858}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\operatorname{Ident}_{\theta}\left(\theta_i\right)\in\{0,1\}\qquad\text{(3.6858)}</w:t>
      </w:r>
    </w:p>
    <w:p w:rsidR="00AD04D9" w:rsidRDefault="00AD04D9" w:rsidP="00AD04D9">
      <w:pPr>
        <w:pStyle w:val="StandardWeb"/>
      </w:pPr>
      <w:r>
        <w:t>Für</w:t>
      </w:r>
    </w:p>
    <w:p w:rsidR="00AD04D9" w:rsidRDefault="00AD04D9" w:rsidP="00AD04D9">
      <w:pPr>
        <w:pStyle w:val="berschrift1"/>
      </w:pPr>
      <w:r>
        <w:lastRenderedPageBreak/>
        <w:t>[</w:t>
      </w:r>
      <w:r>
        <w:br/>
        <w:t>\operatorname{Ident}_{\theta}</w:t>
      </w:r>
      <w:r>
        <w:br/>
        <w:t>\left(</w:t>
      </w:r>
      <w:r>
        <w:br/>
        <w:t>\theta_i</w:t>
      </w:r>
      <w:r>
        <w:br/>
        <w:t>\right)</w:t>
      </w:r>
    </w:p>
    <w:p w:rsidR="00AD04D9" w:rsidRDefault="00AD04D9" w:rsidP="00AD04D9">
      <w:pPr>
        <w:pStyle w:val="StandardWeb"/>
      </w:pPr>
      <w:r>
        <w:t>1</w:t>
      </w:r>
      <w:r>
        <w:br/>
        <w:t>\tag{3.6859}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\operatorname{Ident}_{\theta}\left(\theta_i\right)=1\qquad\text{(3.6859)}</w:t>
      </w:r>
    </w:p>
    <w:p w:rsidR="00AD04D9" w:rsidRDefault="00AD04D9" w:rsidP="00AD04D9">
      <w:pPr>
        <w:pStyle w:val="StandardWeb"/>
      </w:pPr>
      <w:r>
        <w:t>ist der Parameter unter den gegebenen Daten- und Modellannahmen identifizierbar.</w:t>
      </w:r>
    </w:p>
    <w:p w:rsidR="00AD04D9" w:rsidRDefault="00E50336" w:rsidP="00AD04D9">
      <w:r>
        <w:pict>
          <v:rect id="_x0000_i1304" style="width:0;height:1.5pt" o:hralign="center" o:hrstd="t" o:hr="t" fillcolor="#a0a0a0" stroked="f"/>
        </w:pict>
      </w:r>
    </w:p>
    <w:p w:rsidR="00AD04D9" w:rsidRDefault="00AD04D9" w:rsidP="00AD04D9">
      <w:pPr>
        <w:pStyle w:val="berschrift2"/>
      </w:pPr>
      <w:r>
        <w:t>3.3.40.29 Praktische und strukturelle Identifizierbarkeit</w:t>
      </w:r>
    </w:p>
    <w:p w:rsidR="00AD04D9" w:rsidRDefault="00AD04D9" w:rsidP="00AD04D9">
      <w:pPr>
        <w:pStyle w:val="StandardWeb"/>
      </w:pPr>
      <w:r>
        <w:t>Ich unterscheide zwei Ebenen.</w:t>
      </w:r>
    </w:p>
    <w:p w:rsidR="00AD04D9" w:rsidRDefault="00AD04D9" w:rsidP="00AD04D9">
      <w:pPr>
        <w:pStyle w:val="StandardWeb"/>
      </w:pPr>
      <w:r>
        <w:t>Strukturelle Identifizierbarkeit betrifft die theoretische Eindeutigkeit:</w:t>
      </w:r>
    </w:p>
    <w:p w:rsidR="00AD04D9" w:rsidRDefault="00AD04D9" w:rsidP="00AD04D9">
      <w:pPr>
        <w:pStyle w:val="berschrift1"/>
      </w:pPr>
      <w:r>
        <w:t>[</w:t>
      </w:r>
      <w:r>
        <w:br/>
        <w:t>\operatorname{Ident}_{\mathrm{str}}</w:t>
      </w:r>
      <w:r>
        <w:br/>
        <w:t>\left(</w:t>
      </w:r>
      <w:r>
        <w:br/>
        <w:t>\theta_i</w:t>
      </w:r>
      <w:r>
        <w:br/>
        <w:t>\right)</w:t>
      </w:r>
    </w:p>
    <w:p w:rsidR="00AD04D9" w:rsidRDefault="00AD04D9" w:rsidP="008C5E65">
      <w:pPr>
        <w:numPr>
          <w:ilvl w:val="0"/>
          <w:numId w:val="325"/>
        </w:numPr>
        <w:spacing w:before="100" w:beforeAutospacing="1" w:after="100" w:afterAutospacing="1"/>
      </w:pPr>
    </w:p>
    <w:p w:rsidR="00AD04D9" w:rsidRDefault="00AD04D9" w:rsidP="00AD04D9">
      <w:pPr>
        <w:pStyle w:val="StandardWeb"/>
      </w:pPr>
      <w:r>
        <w:t>\tag{3.6860}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\operatorname{Ident}_{\mathrm{str}}\left(\theta_i\right)=1\qquad\text{(3.6860)}</w:t>
      </w:r>
    </w:p>
    <w:p w:rsidR="00AD04D9" w:rsidRDefault="00AD04D9" w:rsidP="00AD04D9">
      <w:pPr>
        <w:pStyle w:val="StandardWeb"/>
      </w:pPr>
      <w:r>
        <w:t>Praktische Identifizierbarkeit berücksichtigt zusätzlich endliche, verrauschte Daten:</w:t>
      </w:r>
    </w:p>
    <w:p w:rsidR="00AD04D9" w:rsidRDefault="00AD04D9" w:rsidP="00AD04D9">
      <w:pPr>
        <w:pStyle w:val="berschrift1"/>
      </w:pPr>
      <w:r>
        <w:lastRenderedPageBreak/>
        <w:t>[</w:t>
      </w:r>
      <w:r>
        <w:br/>
        <w:t>\operatorname{Ident}_{\mathrm{prakt}}</w:t>
      </w:r>
      <w:r>
        <w:br/>
        <w:t>\left(</w:t>
      </w:r>
      <w:r>
        <w:br/>
        <w:t>\theta_i</w:t>
      </w:r>
      <w:r>
        <w:br/>
        <w:t>\mid</w:t>
      </w:r>
      <w:r>
        <w:br/>
        <w:t>\mathcal{D}</w:t>
      </w:r>
      <w:r>
        <w:br/>
        <w:t>\right)</w:t>
      </w:r>
    </w:p>
    <w:p w:rsidR="00AD04D9" w:rsidRDefault="00AD04D9" w:rsidP="008C5E65">
      <w:pPr>
        <w:numPr>
          <w:ilvl w:val="0"/>
          <w:numId w:val="326"/>
        </w:numPr>
        <w:spacing w:before="100" w:beforeAutospacing="1" w:after="100" w:afterAutospacing="1"/>
      </w:pPr>
    </w:p>
    <w:p w:rsidR="00AD04D9" w:rsidRDefault="00AD04D9" w:rsidP="00AD04D9">
      <w:pPr>
        <w:pStyle w:val="StandardWeb"/>
      </w:pPr>
      <w:r>
        <w:t>\tag{3.6861}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\operatorname{Ident}_{\mathrm{prakt}}\left(\theta_i\mid\mathcal{D}\right)=1\qquad\text{(3.6861)}</w:t>
      </w:r>
    </w:p>
    <w:p w:rsidR="00AD04D9" w:rsidRDefault="00AD04D9" w:rsidP="00AD04D9">
      <w:pPr>
        <w:pStyle w:val="StandardWeb"/>
      </w:pPr>
      <w:r>
        <w:t>Es kann gelten</w:t>
      </w:r>
    </w:p>
    <w:p w:rsidR="00AD04D9" w:rsidRDefault="00AD04D9" w:rsidP="00AD04D9">
      <w:pPr>
        <w:pStyle w:val="berschrift1"/>
      </w:pPr>
      <w:r>
        <w:t>[</w:t>
      </w:r>
      <w:r>
        <w:br/>
        <w:t>\operatorname{Ident}_{\mathrm{str}}</w:t>
      </w:r>
    </w:p>
    <w:p w:rsidR="00AD04D9" w:rsidRDefault="00AD04D9" w:rsidP="00AD04D9">
      <w:pPr>
        <w:pStyle w:val="berschrift1"/>
      </w:pPr>
      <w:r>
        <w:t>1</w:t>
      </w:r>
      <w:r>
        <w:br/>
        <w:t>\quad\land\quad</w:t>
      </w:r>
      <w:r>
        <w:br/>
        <w:t>\operatorname{Ident}_{\mathrm{prakt}}</w:t>
      </w:r>
    </w:p>
    <w:p w:rsidR="00AD04D9" w:rsidRDefault="00AD04D9" w:rsidP="008C5E65">
      <w:pPr>
        <w:numPr>
          <w:ilvl w:val="0"/>
          <w:numId w:val="327"/>
        </w:numPr>
        <w:spacing w:before="100" w:beforeAutospacing="1" w:after="100" w:afterAutospacing="1"/>
      </w:pPr>
    </w:p>
    <w:p w:rsidR="00AD04D9" w:rsidRDefault="00AD04D9" w:rsidP="00AD04D9">
      <w:pPr>
        <w:pStyle w:val="StandardWeb"/>
      </w:pPr>
      <w:r>
        <w:t>\tag{3.6862}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\operatorname{Ident}_{\mathrm{str}}=1\quad\land\quad\operatorname{Ident}_{\mathrm{prakt}}=0\qquad\text{(3.6862)}</w:t>
      </w:r>
    </w:p>
    <w:p w:rsidR="00AD04D9" w:rsidRDefault="00AD04D9" w:rsidP="00AD04D9">
      <w:pPr>
        <w:pStyle w:val="StandardWeb"/>
      </w:pPr>
      <w:r>
        <w:t>Dann ist der Parameter theoretisch bestimmbar, praktisch aber durch die vorhandenen Daten nicht hinreichend eingeschränkt.</w:t>
      </w:r>
    </w:p>
    <w:p w:rsidR="00AD04D9" w:rsidRDefault="00E50336" w:rsidP="00AD04D9">
      <w:r>
        <w:pict>
          <v:rect id="_x0000_i1305" style="width:0;height:1.5pt" o:hralign="center" o:hrstd="t" o:hr="t" fillcolor="#a0a0a0" stroked="f"/>
        </w:pict>
      </w:r>
    </w:p>
    <w:p w:rsidR="00AD04D9" w:rsidRDefault="00AD04D9" w:rsidP="00AD04D9">
      <w:pPr>
        <w:pStyle w:val="berschrift2"/>
      </w:pPr>
      <w:r>
        <w:t>3.3.40.30 Parameterschätzung und Unsicherheit</w:t>
      </w:r>
    </w:p>
    <w:p w:rsidR="00AD04D9" w:rsidRDefault="00AD04D9" w:rsidP="00AD04D9">
      <w:pPr>
        <w:pStyle w:val="StandardWeb"/>
      </w:pPr>
      <w:r>
        <w:lastRenderedPageBreak/>
        <w:t>Ein geschätzter Parameter lautet</w:t>
      </w:r>
    </w:p>
    <w:p w:rsidR="00AD04D9" w:rsidRDefault="00AD04D9" w:rsidP="00AD04D9">
      <w:pPr>
        <w:pStyle w:val="StandardWeb"/>
      </w:pPr>
      <w:r>
        <w:t>[</w:t>
      </w:r>
      <w:r>
        <w:br/>
        <w:t>\widehat{\theta}_i.</w:t>
      </w:r>
      <w:r>
        <w:br/>
        <w:t>\tag{3.6863}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\widehat{\theta}_i\qquad\text{(3.6863)}</w:t>
      </w:r>
    </w:p>
    <w:p w:rsidR="00AD04D9" w:rsidRDefault="00AD04D9" w:rsidP="00AD04D9">
      <w:pPr>
        <w:pStyle w:val="StandardWeb"/>
      </w:pPr>
      <w:r>
        <w:t>Die Parameterschätzunsicherheit bezeichne ich mit</w:t>
      </w:r>
    </w:p>
    <w:p w:rsidR="00AD04D9" w:rsidRDefault="00AD04D9" w:rsidP="00AD04D9">
      <w:pPr>
        <w:pStyle w:val="StandardWeb"/>
      </w:pPr>
      <w:r>
        <w:t>[</w:t>
      </w:r>
      <w:r>
        <w:br/>
        <w:t>u_{\theta_i}.</w:t>
      </w:r>
      <w:r>
        <w:br/>
        <w:t>\tag{3.6864}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u_{\theta_i}\qquad\text{(3.6864)}</w:t>
      </w:r>
    </w:p>
    <w:p w:rsidR="00AD04D9" w:rsidRDefault="00AD04D9" w:rsidP="00AD04D9">
      <w:pPr>
        <w:pStyle w:val="StandardWeb"/>
      </w:pPr>
      <w:r>
        <w:t>Der vollständige Unsicherheitsvektor lautet</w:t>
      </w:r>
    </w:p>
    <w:p w:rsidR="00AD04D9" w:rsidRDefault="00AD04D9" w:rsidP="00AD04D9">
      <w:pPr>
        <w:pStyle w:val="berschrift1"/>
      </w:pPr>
      <w:r>
        <w:t>[</w:t>
      </w:r>
      <w:r>
        <w:br/>
        <w:t>\mathbf{u}_{\theta}</w:t>
      </w:r>
    </w:p>
    <w:p w:rsidR="00AD04D9" w:rsidRDefault="00AD04D9" w:rsidP="00AD04D9">
      <w:pPr>
        <w:pStyle w:val="StandardWeb"/>
      </w:pPr>
      <w:r>
        <w:t>\left(</w:t>
      </w:r>
      <w:r>
        <w:br/>
        <w:t>u_{\theta_1},</w:t>
      </w:r>
      <w:r>
        <w:br/>
        <w:t>\ldots,</w:t>
      </w:r>
      <w:r>
        <w:br/>
        <w:t>u_{\theta_p}</w:t>
      </w:r>
      <w:r>
        <w:br/>
        <w:t>\right).</w:t>
      </w:r>
      <w:r>
        <w:br/>
        <w:t>\tag{3.6865}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\mathbf{u}_{\theta}=\left(u_{\theta_1},\ldots,u_{\theta_p}\right)\qquad\text{(3.6865)}</w:t>
      </w:r>
    </w:p>
    <w:p w:rsidR="00AD04D9" w:rsidRDefault="00AD04D9" w:rsidP="00AD04D9">
      <w:pPr>
        <w:pStyle w:val="StandardWeb"/>
      </w:pPr>
      <w:r>
        <w:t>Diese Unsicherheit muss in die Ergebnisunsicherheit fortgepflanzt werden.</w:t>
      </w:r>
    </w:p>
    <w:p w:rsidR="00AD04D9" w:rsidRDefault="00E50336" w:rsidP="00AD04D9">
      <w:r>
        <w:pict>
          <v:rect id="_x0000_i1306" style="width:0;height:1.5pt" o:hralign="center" o:hrstd="t" o:hr="t" fillcolor="#a0a0a0" stroked="f"/>
        </w:pict>
      </w:r>
    </w:p>
    <w:p w:rsidR="00AD04D9" w:rsidRDefault="00AD04D9" w:rsidP="00AD04D9">
      <w:pPr>
        <w:pStyle w:val="berschrift2"/>
      </w:pPr>
      <w:r>
        <w:t>3.3.40.31 Lineare Unsicherheitsfortpflanzung</w:t>
      </w:r>
    </w:p>
    <w:p w:rsidR="00AD04D9" w:rsidRDefault="00AD04D9" w:rsidP="00AD04D9">
      <w:pPr>
        <w:pStyle w:val="StandardWeb"/>
      </w:pPr>
      <w:r>
        <w:t>Für kleine Unsicherheiten und lokal lineares Verhalten kann näherungsweise gelten</w:t>
      </w:r>
    </w:p>
    <w:p w:rsidR="00AD04D9" w:rsidRDefault="00AD04D9" w:rsidP="00AD04D9">
      <w:pPr>
        <w:pStyle w:val="StandardWeb"/>
      </w:pPr>
      <w:r>
        <w:t>[</w:t>
      </w:r>
      <w:r>
        <w:br/>
        <w:t>u_Y^2</w:t>
      </w:r>
      <w:r>
        <w:br/>
      </w:r>
      <w:r>
        <w:lastRenderedPageBreak/>
        <w:t>\approx</w:t>
      </w:r>
      <w:r>
        <w:br/>
        <w:t>\sum_{i=1}^{p}</w:t>
      </w:r>
      <w:r>
        <w:br/>
        <w:t>\left(</w:t>
      </w:r>
      <w:r>
        <w:br/>
        <w:t>\frac{\partial Y_F}</w:t>
      </w:r>
      <w:r>
        <w:br/>
        <w:t>{\partial\theta_i}</w:t>
      </w:r>
      <w:r>
        <w:br/>
        <w:t>\right)^2</w:t>
      </w:r>
      <w:r>
        <w:br/>
        <w:t>u_{\theta_i}^2.</w:t>
      </w:r>
      <w:r>
        <w:br/>
        <w:t>\tag{3.6866}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u_Y^2\approx\sum_{i=1}^{p}\left(\frac{\partial Y_F}{\partial\theta_i}\right)^2u_{\theta_i}^2\qquad\text{(3.6866)}</w:t>
      </w:r>
    </w:p>
    <w:p w:rsidR="00AD04D9" w:rsidRDefault="00AD04D9" w:rsidP="00AD04D9">
      <w:pPr>
        <w:pStyle w:val="StandardWeb"/>
      </w:pPr>
      <w:r>
        <w:t>Bei korrelierten Parametern kommen Kovarianzterme hinzu:</w:t>
      </w:r>
    </w:p>
    <w:p w:rsidR="00AD04D9" w:rsidRDefault="00AD04D9" w:rsidP="00AD04D9">
      <w:pPr>
        <w:pStyle w:val="StandardWeb"/>
      </w:pPr>
      <w:r>
        <w:t>[</w:t>
      </w:r>
      <w:r>
        <w:br/>
        <w:t>u_Y^2</w:t>
      </w:r>
      <w:r>
        <w:br/>
        <w:t>\approx</w:t>
      </w:r>
      <w:r>
        <w:br/>
        <w:t>\nabla_{\theta}Y_F^{\mathsf{T}}</w:t>
      </w:r>
      <w:r>
        <w:br/>
        <w:t>\mathbf{\Sigma}</w:t>
      </w:r>
      <w:r>
        <w:rPr>
          <w:rStyle w:val="Hervorhebung"/>
        </w:rPr>
        <w:t>{\theta}</w:t>
      </w:r>
      <w:r>
        <w:rPr>
          <w:i/>
          <w:iCs/>
        </w:rPr>
        <w:br/>
      </w:r>
      <w:r>
        <w:rPr>
          <w:rStyle w:val="Hervorhebung"/>
        </w:rPr>
        <w:t>\nabla</w:t>
      </w:r>
      <w:r>
        <w:t>{\theta}Y_F.</w:t>
      </w:r>
      <w:r>
        <w:br/>
        <w:t>\tag{3.6867}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u_Y^2\approx\nabla_{\theta}Y_F^{\mathsf{T}}\mathbf{\Sigma}_{\theta}\nabla_{\theta}Y_F\qquad\text{(3.6867)}</w:t>
      </w:r>
    </w:p>
    <w:p w:rsidR="00AD04D9" w:rsidRDefault="00AD04D9" w:rsidP="00AD04D9">
      <w:pPr>
        <w:pStyle w:val="StandardWeb"/>
      </w:pPr>
      <w:r>
        <w:t>Dabei bezeichnet (\mathbf{\Sigma}_{\theta}) die Parameterkovarianzmatrix.</w:t>
      </w:r>
    </w:p>
    <w:p w:rsidR="00AD04D9" w:rsidRDefault="00E50336" w:rsidP="00AD04D9">
      <w:r>
        <w:pict>
          <v:rect id="_x0000_i1307" style="width:0;height:1.5pt" o:hralign="center" o:hrstd="t" o:hr="t" fillcolor="#a0a0a0" stroked="f"/>
        </w:pict>
      </w:r>
    </w:p>
    <w:p w:rsidR="00AD04D9" w:rsidRDefault="00AD04D9" w:rsidP="00AD04D9">
      <w:pPr>
        <w:pStyle w:val="berschrift2"/>
      </w:pPr>
      <w:r>
        <w:t>3.3.40.32 Nichtlineare Unsicherheitsfortpflanzung</w:t>
      </w:r>
    </w:p>
    <w:p w:rsidR="00AD04D9" w:rsidRDefault="00AD04D9" w:rsidP="00AD04D9">
      <w:pPr>
        <w:pStyle w:val="StandardWeb"/>
      </w:pPr>
      <w:r>
        <w:t>Bei starker Nichtlinearität kann die lineare Approximation unzureichend sein.</w:t>
      </w:r>
    </w:p>
    <w:p w:rsidR="00AD04D9" w:rsidRDefault="00AD04D9" w:rsidP="00AD04D9">
      <w:pPr>
        <w:pStyle w:val="StandardWeb"/>
      </w:pPr>
      <w:r>
        <w:t>Dann muss die vollständige Abbildung</w:t>
      </w:r>
    </w:p>
    <w:p w:rsidR="00AD04D9" w:rsidRDefault="00AD04D9" w:rsidP="00AD04D9">
      <w:pPr>
        <w:pStyle w:val="berschrift1"/>
      </w:pPr>
      <w:r>
        <w:t>[</w:t>
      </w:r>
      <w:r>
        <w:br/>
        <w:t>Y_F</w:t>
      </w:r>
    </w:p>
    <w:p w:rsidR="00AD04D9" w:rsidRDefault="00AD04D9" w:rsidP="00AD04D9">
      <w:pPr>
        <w:pStyle w:val="StandardWeb"/>
      </w:pPr>
      <w:r>
        <w:t>F</w:t>
      </w:r>
      <w:r>
        <w:br/>
        <w:t>\left(</w:t>
      </w:r>
      <w:r>
        <w:br/>
        <w:t>\boldsymbol{\theta}</w:t>
      </w:r>
      <w:r>
        <w:br/>
        <w:t>\right)</w:t>
      </w:r>
      <w:r>
        <w:br/>
        <w:t>\tag{3.6868}</w:t>
      </w:r>
      <w:r>
        <w:br/>
        <w:t>]</w:t>
      </w:r>
    </w:p>
    <w:p w:rsidR="00AD04D9" w:rsidRDefault="00AD04D9" w:rsidP="00AD04D9">
      <w:pPr>
        <w:pStyle w:val="StandardWeb"/>
      </w:pPr>
      <w:r>
        <w:rPr>
          <w:rStyle w:val="Fett"/>
        </w:rPr>
        <w:lastRenderedPageBreak/>
        <w:t>Word-LaTeX</w:t>
      </w:r>
    </w:p>
    <w:p w:rsidR="00AD04D9" w:rsidRDefault="00AD04D9" w:rsidP="00AD04D9">
      <w:pPr>
        <w:pStyle w:val="HTMLVorformatiert"/>
        <w:rPr>
          <w:rStyle w:val="HTMLCode"/>
        </w:rPr>
      </w:pPr>
      <w:r>
        <w:rPr>
          <w:rStyle w:val="HTMLCode"/>
        </w:rPr>
        <w:t>Y_F=F\left(\boldsymbol{\theta}\right)\qquad\text{(3.6868)}</w:t>
      </w:r>
    </w:p>
    <w:p w:rsidR="00AD04D9" w:rsidRDefault="00AD04D9" w:rsidP="00AD04D9">
      <w:pPr>
        <w:pStyle w:val="StandardWeb"/>
      </w:pPr>
      <w:r>
        <w:t>über die Parameterverteilung propagiert werden.</w:t>
      </w:r>
    </w:p>
    <w:p w:rsidR="00AD04D9" w:rsidRDefault="00AD04D9" w:rsidP="00AD04D9">
      <w:pPr>
        <w:pStyle w:val="StandardWeb"/>
      </w:pPr>
      <w:r>
        <w:t>Sei</w:t>
      </w:r>
    </w:p>
    <w:p w:rsidR="00AD04D9" w:rsidRDefault="00AD04D9" w:rsidP="00AD04D9">
      <w:pPr>
        <w:pStyle w:val="StandardWeb"/>
      </w:pPr>
      <w:r>
        <w:t>[</w:t>
      </w:r>
      <w:r>
        <w:br/>
        <w:t>p_{\Theta}</w:t>
      </w:r>
      <w:r>
        <w:br/>
        <w:t>\left(</w:t>
      </w:r>
      <w:r>
        <w:br/>
        <w:t>\boldsymbol{\theta}</w:t>
      </w:r>
      <w:r>
        <w:br/>
        <w:t>\right)</w:t>
      </w:r>
      <w:r>
        <w:br/>
        <w:t>\tag{3.6869}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p_{\Theta}\left(\boldsymbol{\theta}\right)\qquad\text{(3.6869)}</w:t>
      </w:r>
    </w:p>
    <w:p w:rsidR="00AD04D9" w:rsidRDefault="00AD04D9" w:rsidP="00AD04D9">
      <w:pPr>
        <w:pStyle w:val="StandardWeb"/>
      </w:pPr>
      <w:r>
        <w:t>eine Parameterverteilung.</w:t>
      </w:r>
    </w:p>
    <w:p w:rsidR="00AD04D9" w:rsidRDefault="00AD04D9" w:rsidP="00AD04D9">
      <w:pPr>
        <w:pStyle w:val="StandardWeb"/>
      </w:pPr>
      <w:r>
        <w:t>Dann induziert die Modellabbildung eine Ergebnisverteilung</w:t>
      </w:r>
    </w:p>
    <w:p w:rsidR="00AD04D9" w:rsidRDefault="00AD04D9" w:rsidP="00AD04D9">
      <w:pPr>
        <w:pStyle w:val="berschrift1"/>
      </w:pPr>
      <w:r>
        <w:t>[</w:t>
      </w:r>
      <w:r>
        <w:br/>
        <w:t>p_Y</w:t>
      </w:r>
    </w:p>
    <w:p w:rsidR="00AD04D9" w:rsidRDefault="00AD04D9" w:rsidP="00AD04D9">
      <w:pPr>
        <w:pStyle w:val="StandardWeb"/>
      </w:pPr>
      <w:r>
        <w:t>F_{#}</w:t>
      </w:r>
      <w:r>
        <w:br/>
        <w:t>p_{\Theta}.</w:t>
      </w:r>
      <w:r>
        <w:br/>
        <w:t>\tag{3.6870}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p_Y=F_{\#}p_{\Theta}\qquad\text{(3.6870)}</w:t>
      </w:r>
    </w:p>
    <w:p w:rsidR="00AD04D9" w:rsidRDefault="00AD04D9" w:rsidP="00AD04D9">
      <w:pPr>
        <w:pStyle w:val="StandardWeb"/>
      </w:pPr>
      <w:r>
        <w:t>Dabei bezeichnet (F_{#}) abstrakt die durch (F) induzierte Verteilungstransformation.</w:t>
      </w:r>
    </w:p>
    <w:p w:rsidR="00AD04D9" w:rsidRDefault="00E50336" w:rsidP="00AD04D9">
      <w:r>
        <w:pict>
          <v:rect id="_x0000_i1308" style="width:0;height:1.5pt" o:hralign="center" o:hrstd="t" o:hr="t" fillcolor="#a0a0a0" stroked="f"/>
        </w:pict>
      </w:r>
    </w:p>
    <w:p w:rsidR="00AD04D9" w:rsidRDefault="00AD04D9" w:rsidP="00AD04D9">
      <w:pPr>
        <w:pStyle w:val="berschrift2"/>
      </w:pPr>
      <w:r>
        <w:t>3.3.40.33 Monte-Carlo-artige Parameterpropagation</w:t>
      </w:r>
    </w:p>
    <w:p w:rsidR="00AD04D9" w:rsidRDefault="00AD04D9" w:rsidP="00AD04D9">
      <w:pPr>
        <w:pStyle w:val="StandardWeb"/>
      </w:pPr>
      <w:r>
        <w:t>Eine numerische Approximation kann durch Stichproben</w:t>
      </w:r>
    </w:p>
    <w:p w:rsidR="00AD04D9" w:rsidRDefault="00AD04D9" w:rsidP="00AD04D9">
      <w:pPr>
        <w:pStyle w:val="StandardWeb"/>
      </w:pPr>
      <w:r>
        <w:t>[</w:t>
      </w:r>
      <w:r>
        <w:br/>
        <w:t>\boldsymbol{\theta}^{(1)},</w:t>
      </w:r>
      <w:r>
        <w:br/>
        <w:t>\ldots,</w:t>
      </w:r>
      <w:r>
        <w:br/>
        <w:t>\boldsymbol{\theta}^{(N)}</w:t>
      </w:r>
      <w:r>
        <w:br/>
        <w:t>\sim</w:t>
      </w:r>
      <w:r>
        <w:br/>
        <w:t>p_{\Theta}</w:t>
      </w:r>
      <w:r>
        <w:br/>
      </w:r>
      <w:r>
        <w:lastRenderedPageBreak/>
        <w:t>\tag{3.6871}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\boldsymbol{\theta}^{(1)},\ldots,\boldsymbol{\theta}^{(N)}\sim p_{\Theta}\qquad\text{(3.6871)}</w:t>
      </w:r>
    </w:p>
    <w:p w:rsidR="00AD04D9" w:rsidRDefault="00AD04D9" w:rsidP="00AD04D9">
      <w:pPr>
        <w:pStyle w:val="StandardWeb"/>
      </w:pPr>
      <w:r>
        <w:t>erfolgen.</w:t>
      </w:r>
    </w:p>
    <w:p w:rsidR="00AD04D9" w:rsidRDefault="00AD04D9" w:rsidP="00AD04D9">
      <w:pPr>
        <w:pStyle w:val="StandardWeb"/>
      </w:pPr>
      <w:r>
        <w:t>Für jede Stichprobe wird</w:t>
      </w:r>
    </w:p>
    <w:p w:rsidR="00AD04D9" w:rsidRDefault="00AD04D9" w:rsidP="00AD04D9">
      <w:pPr>
        <w:pStyle w:val="berschrift1"/>
      </w:pPr>
      <w:r>
        <w:t>[</w:t>
      </w:r>
      <w:r>
        <w:br/>
        <w:t>Y^{(k)}</w:t>
      </w:r>
    </w:p>
    <w:p w:rsidR="00AD04D9" w:rsidRDefault="00AD04D9" w:rsidP="00AD04D9">
      <w:pPr>
        <w:pStyle w:val="StandardWeb"/>
      </w:pPr>
      <w:r>
        <w:t>F</w:t>
      </w:r>
      <w:r>
        <w:br/>
        <w:t>\left(</w:t>
      </w:r>
      <w:r>
        <w:br/>
        <w:t>\boldsymbol{\theta}^{(k)}</w:t>
      </w:r>
      <w:r>
        <w:br/>
        <w:t>\right)</w:t>
      </w:r>
      <w:r>
        <w:br/>
        <w:t>\tag{3.6872}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Y^{(k)}=F\left(\boldsymbol{\theta}^{(k)}\right)\qquad\text{(3.6872)}</w:t>
      </w:r>
    </w:p>
    <w:p w:rsidR="00AD04D9" w:rsidRDefault="00AD04D9" w:rsidP="00AD04D9">
      <w:pPr>
        <w:pStyle w:val="StandardWeb"/>
      </w:pPr>
      <w:r>
        <w:t>berechnet.</w:t>
      </w:r>
    </w:p>
    <w:p w:rsidR="00AD04D9" w:rsidRDefault="00AD04D9" w:rsidP="00AD04D9">
      <w:pPr>
        <w:pStyle w:val="StandardWeb"/>
      </w:pPr>
      <w:r>
        <w:t>Die Menge</w:t>
      </w:r>
    </w:p>
    <w:p w:rsidR="00AD04D9" w:rsidRDefault="00AD04D9" w:rsidP="00AD04D9">
      <w:pPr>
        <w:pStyle w:val="StandardWeb"/>
      </w:pPr>
      <w:r>
        <w:t>[</w:t>
      </w:r>
      <w:r>
        <w:br/>
        <w:t>\left{</w:t>
      </w:r>
      <w:r>
        <w:br/>
        <w:t>Y^{(1)},</w:t>
      </w:r>
      <w:r>
        <w:br/>
        <w:t>\ldots,</w:t>
      </w:r>
      <w:r>
        <w:br/>
        <w:t>Y^{(N)}</w:t>
      </w:r>
      <w:r>
        <w:br/>
        <w:t>\right}</w:t>
      </w:r>
      <w:r>
        <w:br/>
        <w:t>\tag{3.6873}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\left\{Y^{(1)},\ldots,Y^{(N)}\right\}\qquad\text{(3.6873)}</w:t>
      </w:r>
    </w:p>
    <w:p w:rsidR="00AD04D9" w:rsidRDefault="00AD04D9" w:rsidP="00AD04D9">
      <w:pPr>
        <w:pStyle w:val="StandardWeb"/>
      </w:pPr>
      <w:r>
        <w:t>approximiert die resultierende Ergebnisverteilung.</w:t>
      </w:r>
    </w:p>
    <w:p w:rsidR="00AD04D9" w:rsidRDefault="00E50336" w:rsidP="00AD04D9">
      <w:r>
        <w:pict>
          <v:rect id="_x0000_i1309" style="width:0;height:1.5pt" o:hralign="center" o:hrstd="t" o:hr="t" fillcolor="#a0a0a0" stroked="f"/>
        </w:pict>
      </w:r>
    </w:p>
    <w:p w:rsidR="00AD04D9" w:rsidRDefault="00AD04D9" w:rsidP="00AD04D9">
      <w:pPr>
        <w:pStyle w:val="berschrift2"/>
      </w:pPr>
      <w:r>
        <w:t>3.3.40.34 Robustheit der Aussageklasse unter Parameterunsicherheit</w:t>
      </w:r>
    </w:p>
    <w:p w:rsidR="00AD04D9" w:rsidRDefault="00AD04D9" w:rsidP="00AD04D9">
      <w:pPr>
        <w:pStyle w:val="StandardWeb"/>
      </w:pPr>
      <w:r>
        <w:lastRenderedPageBreak/>
        <w:t>Für jede Parametrisierung kann eine Aussageklasse bestimmt werden:</w:t>
      </w:r>
    </w:p>
    <w:p w:rsidR="00AD04D9" w:rsidRDefault="00AD04D9" w:rsidP="00AD04D9">
      <w:pPr>
        <w:pStyle w:val="berschrift1"/>
      </w:pPr>
      <w:r>
        <w:t>[</w:t>
      </w:r>
      <w:r>
        <w:br/>
        <w:t>L^{(k)}</w:t>
      </w:r>
    </w:p>
    <w:p w:rsidR="00AD04D9" w:rsidRDefault="00AD04D9" w:rsidP="00AD04D9">
      <w:pPr>
        <w:pStyle w:val="StandardWeb"/>
      </w:pPr>
      <w:r>
        <w:t>\operatorname{Klasse}_{A}</w:t>
      </w:r>
      <w:r>
        <w:br/>
        <w:t>\left(</w:t>
      </w:r>
      <w:r>
        <w:br/>
        <w:t>A_F</w:t>
      </w:r>
      <w:r>
        <w:br/>
        <w:t>\left(</w:t>
      </w:r>
      <w:r>
        <w:br/>
        <w:t>\boldsymbol{\theta}^{(k)}</w:t>
      </w:r>
      <w:r>
        <w:br/>
        <w:t>\right)</w:t>
      </w:r>
      <w:r>
        <w:br/>
        <w:t>\right).</w:t>
      </w:r>
      <w:r>
        <w:br/>
        <w:t>\tag{3.6874}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L^{(k)}=\operatorname{Klasse}_{A}\left(A_F\left(\boldsymbol{\theta}^{(k)}\right)\right)\qquad\text{(3.6874)}</w:t>
      </w:r>
    </w:p>
    <w:p w:rsidR="00AD04D9" w:rsidRDefault="00AD04D9" w:rsidP="00AD04D9">
      <w:pPr>
        <w:pStyle w:val="StandardWeb"/>
      </w:pPr>
      <w:r>
        <w:t>Der Anteil der Stichproben mit Referenzklasse (L^\ast) lautet</w:t>
      </w:r>
    </w:p>
    <w:p w:rsidR="00AD04D9" w:rsidRDefault="00AD04D9" w:rsidP="00AD04D9">
      <w:pPr>
        <w:pStyle w:val="berschrift1"/>
      </w:pPr>
      <w:r>
        <w:t>[</w:t>
      </w:r>
      <w:r>
        <w:br/>
        <w:t>R_{\theta}^{\mathrm{MC}}</w:t>
      </w:r>
    </w:p>
    <w:p w:rsidR="00AD04D9" w:rsidRDefault="00AD04D9" w:rsidP="00AD04D9">
      <w:pPr>
        <w:pStyle w:val="berschrift1"/>
      </w:pPr>
      <w:r>
        <w:t>\frac{1}{N}</w:t>
      </w:r>
      <w:r>
        <w:br/>
        <w:t>\sum_{k=1}^{N}</w:t>
      </w:r>
      <w:r>
        <w:br/>
        <w:t>\mathbf{1}</w:t>
      </w:r>
      <w:r>
        <w:br/>
        <w:t>\left[</w:t>
      </w:r>
      <w:r>
        <w:br/>
        <w:t>L^{(k)}</w:t>
      </w:r>
    </w:p>
    <w:p w:rsidR="00AD04D9" w:rsidRDefault="00AD04D9" w:rsidP="00AD04D9">
      <w:pPr>
        <w:pStyle w:val="StandardWeb"/>
      </w:pPr>
      <w:r>
        <w:t>L^\ast</w:t>
      </w:r>
      <w:r>
        <w:br/>
        <w:t>\right].</w:t>
      </w:r>
      <w:r>
        <w:br/>
        <w:t>\tag{3.6875}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R_{\theta}^{\mathrm{MC}}=\frac{1}{N}\sum_{k=1}^{N}\mathbf{1}\left[L^{(k)}=L^{\ast}\right]\qquad\text{(3.6875)}</w:t>
      </w:r>
    </w:p>
    <w:p w:rsidR="00AD04D9" w:rsidRDefault="00AD04D9" w:rsidP="00AD04D9">
      <w:pPr>
        <w:pStyle w:val="StandardWeb"/>
      </w:pPr>
      <w:r>
        <w:t>Damit kann die Stabilität einer qualitativen Aussage direkt unter Parameterunsicherheit untersucht werden.</w:t>
      </w:r>
    </w:p>
    <w:p w:rsidR="00AD04D9" w:rsidRDefault="00E50336" w:rsidP="00AD04D9">
      <w:r>
        <w:pict>
          <v:rect id="_x0000_i1310" style="width:0;height:1.5pt" o:hralign="center" o:hrstd="t" o:hr="t" fillcolor="#a0a0a0" stroked="f"/>
        </w:pict>
      </w:r>
    </w:p>
    <w:p w:rsidR="00AD04D9" w:rsidRDefault="00AD04D9" w:rsidP="00AD04D9">
      <w:pPr>
        <w:pStyle w:val="berschrift2"/>
      </w:pPr>
      <w:r>
        <w:lastRenderedPageBreak/>
        <w:t>3.3.40.35 Kritischer Parameterwert</w:t>
      </w:r>
    </w:p>
    <w:p w:rsidR="00AD04D9" w:rsidRDefault="00AD04D9" w:rsidP="00AD04D9">
      <w:pPr>
        <w:pStyle w:val="StandardWeb"/>
      </w:pPr>
      <w:r>
        <w:t>Eine besonders wichtige Situation liegt vor, wenn eine kleine Parameteränderung einen qualitativen Strukturwechsel auslöst.</w:t>
      </w:r>
    </w:p>
    <w:p w:rsidR="00AD04D9" w:rsidRDefault="00AD04D9" w:rsidP="00AD04D9">
      <w:pPr>
        <w:pStyle w:val="StandardWeb"/>
      </w:pPr>
      <w:r>
        <w:t>Ich bezeichne einen kritischen Parameterwert mit</w:t>
      </w:r>
    </w:p>
    <w:p w:rsidR="00AD04D9" w:rsidRDefault="00AD04D9" w:rsidP="00AD04D9">
      <w:pPr>
        <w:pStyle w:val="StandardWeb"/>
      </w:pPr>
      <w:r>
        <w:t>[</w:t>
      </w:r>
      <w:r>
        <w:br/>
        <w:t>\theta_{\mathrm{krit}}.</w:t>
      </w:r>
      <w:r>
        <w:br/>
        <w:t>\tag{3.6876}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\theta_{\mathrm{krit}}\qquad\text{(3.6876)}</w:t>
      </w:r>
    </w:p>
    <w:p w:rsidR="00AD04D9" w:rsidRDefault="00AD04D9" w:rsidP="00AD04D9">
      <w:pPr>
        <w:pStyle w:val="StandardWeb"/>
      </w:pPr>
      <w:r>
        <w:t>Für Parameterwerte unterhalb und oberhalb dieses Punktes können unterschiedliche Aussageklassen gelten:</w:t>
      </w:r>
    </w:p>
    <w:p w:rsidR="00AD04D9" w:rsidRDefault="00AD04D9" w:rsidP="00AD04D9">
      <w:pPr>
        <w:pStyle w:val="StandardWeb"/>
      </w:pPr>
      <w:r>
        <w:t>[</w:t>
      </w:r>
      <w:r>
        <w:br/>
        <w:t>\operatorname{Klasse}</w:t>
      </w:r>
      <w:r>
        <w:rPr>
          <w:rStyle w:val="Hervorhebung"/>
        </w:rPr>
        <w:t>{A}</w:t>
      </w:r>
      <w:r>
        <w:rPr>
          <w:i/>
          <w:iCs/>
        </w:rPr>
        <w:br/>
      </w:r>
      <w:r>
        <w:rPr>
          <w:rStyle w:val="Hervorhebung"/>
        </w:rPr>
        <w:t>\left(</w:t>
      </w:r>
      <w:r>
        <w:rPr>
          <w:i/>
          <w:iCs/>
        </w:rPr>
        <w:br/>
      </w:r>
      <w:r>
        <w:rPr>
          <w:rStyle w:val="Hervorhebung"/>
        </w:rPr>
        <w:t>A_F(\theta&lt;\theta</w:t>
      </w:r>
      <w:r>
        <w:t>{\mathrm{krit}})</w:t>
      </w:r>
      <w:r>
        <w:br/>
        <w:t>\right)</w:t>
      </w:r>
      <w:r>
        <w:br/>
        <w:t>\neq</w:t>
      </w:r>
      <w:r>
        <w:br/>
        <w:t>\operatorname{Klasse}</w:t>
      </w:r>
      <w:r>
        <w:rPr>
          <w:rStyle w:val="Hervorhebung"/>
        </w:rPr>
        <w:t>{A}</w:t>
      </w:r>
      <w:r>
        <w:rPr>
          <w:i/>
          <w:iCs/>
        </w:rPr>
        <w:br/>
      </w:r>
      <w:r>
        <w:rPr>
          <w:rStyle w:val="Hervorhebung"/>
        </w:rPr>
        <w:t>\left(</w:t>
      </w:r>
      <w:r>
        <w:rPr>
          <w:i/>
          <w:iCs/>
        </w:rPr>
        <w:br/>
      </w:r>
      <w:r>
        <w:rPr>
          <w:rStyle w:val="Hervorhebung"/>
        </w:rPr>
        <w:t>A_F(\theta&gt;\theta</w:t>
      </w:r>
      <w:r>
        <w:t>{\mathrm{krit}})</w:t>
      </w:r>
      <w:r>
        <w:br/>
        <w:t>\right).</w:t>
      </w:r>
      <w:r>
        <w:br/>
        <w:t>\tag{3.6877}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\operatorname{Klasse}_{A}\left(A_F(\theta&lt;\theta_{\mathrm{krit}})\right)\neq\operatorname{Klasse}_{A}\left(A_F(\theta&gt;\theta_{\mathrm{krit}})\right)\qquad\text{(3.6877)}</w:t>
      </w:r>
    </w:p>
    <w:p w:rsidR="00AD04D9" w:rsidRDefault="00AD04D9" w:rsidP="00AD04D9">
      <w:pPr>
        <w:pStyle w:val="StandardWeb"/>
      </w:pPr>
      <w:r>
        <w:t>Eine solche Grenze kennzeichnet einen qualitativen Parameterwechsel.</w:t>
      </w:r>
    </w:p>
    <w:p w:rsidR="00AD04D9" w:rsidRDefault="00E50336" w:rsidP="00AD04D9">
      <w:r>
        <w:pict>
          <v:rect id="_x0000_i1311" style="width:0;height:1.5pt" o:hralign="center" o:hrstd="t" o:hr="t" fillcolor="#a0a0a0" stroked="f"/>
        </w:pict>
      </w:r>
    </w:p>
    <w:p w:rsidR="00AD04D9" w:rsidRDefault="00AD04D9" w:rsidP="00AD04D9">
      <w:pPr>
        <w:pStyle w:val="berschrift2"/>
      </w:pPr>
      <w:r>
        <w:t>3.3.40.36 Bifurkationsparameter</w:t>
      </w:r>
    </w:p>
    <w:p w:rsidR="00AD04D9" w:rsidRDefault="00AD04D9" w:rsidP="00AD04D9">
      <w:pPr>
        <w:pStyle w:val="StandardWeb"/>
      </w:pPr>
      <w:r>
        <w:t>Wenn sich bei Variation eines Parameters die qualitative Dynamik des Systems verändert, bezeichne ich diesen Parameter als Bifurkationsparameter:</w:t>
      </w:r>
    </w:p>
    <w:p w:rsidR="00AD04D9" w:rsidRDefault="00AD04D9" w:rsidP="00AD04D9">
      <w:pPr>
        <w:pStyle w:val="StandardWeb"/>
      </w:pPr>
      <w:r>
        <w:t>[</w:t>
      </w:r>
      <w:r>
        <w:br/>
        <w:t>\theta_{\mathrm{bif}}.</w:t>
      </w:r>
      <w:r>
        <w:br/>
        <w:t>\tag{3.6878}</w:t>
      </w:r>
      <w:r>
        <w:br/>
        <w:t>]</w:t>
      </w:r>
    </w:p>
    <w:p w:rsidR="00AD04D9" w:rsidRDefault="00AD04D9" w:rsidP="00AD04D9">
      <w:pPr>
        <w:pStyle w:val="StandardWeb"/>
      </w:pPr>
      <w:r>
        <w:rPr>
          <w:rStyle w:val="Fett"/>
        </w:rPr>
        <w:lastRenderedPageBreak/>
        <w:t>Word-LaTeX</w:t>
      </w:r>
    </w:p>
    <w:p w:rsidR="00AD04D9" w:rsidRDefault="00AD04D9" w:rsidP="00AD04D9">
      <w:pPr>
        <w:pStyle w:val="HTMLVorformatiert"/>
        <w:rPr>
          <w:rStyle w:val="HTMLCode"/>
        </w:rPr>
      </w:pPr>
      <w:r>
        <w:rPr>
          <w:rStyle w:val="HTMLCode"/>
        </w:rPr>
        <w:t>\theta_{\mathrm{bif}}\qquad\text{(3.6878)}</w:t>
      </w:r>
    </w:p>
    <w:p w:rsidR="00AD04D9" w:rsidRDefault="00AD04D9" w:rsidP="00AD04D9">
      <w:pPr>
        <w:pStyle w:val="StandardWeb"/>
      </w:pPr>
      <w:r>
        <w:t>Der Übergang kann abstrakt beschrieben werden durch</w:t>
      </w:r>
    </w:p>
    <w:p w:rsidR="00AD04D9" w:rsidRDefault="00AD04D9" w:rsidP="00AD04D9">
      <w:pPr>
        <w:pStyle w:val="StandardWeb"/>
      </w:pPr>
      <w:r>
        <w:t>[</w:t>
      </w:r>
      <w:r>
        <w:br/>
        <w:t>\mathcal{D}</w:t>
      </w:r>
      <w:r>
        <w:rPr>
          <w:rStyle w:val="Hervorhebung"/>
        </w:rPr>
        <w:t>{F}^{(-)}</w:t>
      </w:r>
      <w:r>
        <w:rPr>
          <w:i/>
          <w:iCs/>
        </w:rPr>
        <w:br/>
      </w:r>
      <w:r>
        <w:rPr>
          <w:rStyle w:val="Hervorhebung"/>
        </w:rPr>
        <w:t>\xrightarrow{\theta</w:t>
      </w:r>
      <w:r>
        <w:t>{\mathrm{bif}}}</w:t>
      </w:r>
      <w:r>
        <w:br/>
        <w:t>\mathcal{D}_{F}^{(+)}.</w:t>
      </w:r>
      <w:r>
        <w:br/>
        <w:t>\tag{3.6879}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\mathcal{D}_{F}^{(-)}\xrightarrow{\theta_{\mathrm{bif}}}\mathcal{D}_{F}^{(+)}\qquad\text{(3.6879)}</w:t>
      </w:r>
    </w:p>
    <w:p w:rsidR="00AD04D9" w:rsidRDefault="00AD04D9" w:rsidP="00AD04D9">
      <w:pPr>
        <w:pStyle w:val="StandardWeb"/>
      </w:pPr>
      <w:r>
        <w:t>Dabei bezeichnen (\mathcal{D}</w:t>
      </w:r>
      <w:r>
        <w:rPr>
          <w:rStyle w:val="Hervorhebung"/>
        </w:rPr>
        <w:t>{F}^{(-)}) und (\mathcal{D}</w:t>
      </w:r>
      <w:r>
        <w:t>{F}^{(+)}) unterschiedliche dynamische Regime.</w:t>
      </w:r>
    </w:p>
    <w:p w:rsidR="00AD04D9" w:rsidRDefault="00E50336" w:rsidP="00AD04D9">
      <w:r>
        <w:pict>
          <v:rect id="_x0000_i1312" style="width:0;height:1.5pt" o:hralign="center" o:hrstd="t" o:hr="t" fillcolor="#a0a0a0" stroked="f"/>
        </w:pict>
      </w:r>
    </w:p>
    <w:p w:rsidR="00AD04D9" w:rsidRDefault="00AD04D9" w:rsidP="00AD04D9">
      <w:pPr>
        <w:pStyle w:val="berschrift2"/>
      </w:pPr>
      <w:r>
        <w:t>3.3.40.37 Bifurkationsnähe</w:t>
      </w:r>
    </w:p>
    <w:p w:rsidR="00AD04D9" w:rsidRDefault="00AD04D9" w:rsidP="00AD04D9">
      <w:pPr>
        <w:pStyle w:val="StandardWeb"/>
      </w:pPr>
      <w:r>
        <w:t>Ich definiere den Abstand eines Parameters vom kritischen Wert durch</w:t>
      </w:r>
    </w:p>
    <w:p w:rsidR="00AD04D9" w:rsidRDefault="00AD04D9" w:rsidP="00AD04D9">
      <w:pPr>
        <w:pStyle w:val="berschrift1"/>
      </w:pPr>
      <w:r>
        <w:t>[</w:t>
      </w:r>
      <w:r>
        <w:br/>
        <w:t>d_{\mathrm{bif}}</w:t>
      </w:r>
    </w:p>
    <w:p w:rsidR="00AD04D9" w:rsidRDefault="00AD04D9" w:rsidP="00AD04D9">
      <w:pPr>
        <w:pStyle w:val="berschrift2"/>
      </w:pPr>
      <w:r>
        <w:t>\left|</w:t>
      </w:r>
      <w:r>
        <w:br/>
        <w:t>\theta</w:t>
      </w:r>
    </w:p>
    <w:p w:rsidR="00AD04D9" w:rsidRDefault="00AD04D9" w:rsidP="00AD04D9">
      <w:pPr>
        <w:pStyle w:val="StandardWeb"/>
      </w:pPr>
      <w:r>
        <w:t>\theta_{\mathrm{bif}}</w:t>
      </w:r>
      <w:r>
        <w:br/>
        <w:t>\right|.</w:t>
      </w:r>
      <w:r>
        <w:br/>
        <w:t>\tag{3.6880}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d_{\mathrm{bif}}=\left|\theta-\theta_{\mathrm{bif}}\right|\qquad\text{(3.6880)}</w:t>
      </w:r>
    </w:p>
    <w:p w:rsidR="00AD04D9" w:rsidRDefault="00AD04D9" w:rsidP="00AD04D9">
      <w:pPr>
        <w:pStyle w:val="StandardWeb"/>
      </w:pPr>
      <w:r>
        <w:t>Für</w:t>
      </w:r>
    </w:p>
    <w:p w:rsidR="00AD04D9" w:rsidRDefault="00AD04D9" w:rsidP="00AD04D9">
      <w:pPr>
        <w:pStyle w:val="StandardWeb"/>
      </w:pPr>
      <w:r>
        <w:t>[</w:t>
      </w:r>
      <w:r>
        <w:br/>
        <w:t>d_{\mathrm{bif}}</w:t>
      </w:r>
      <w:r>
        <w:br/>
        <w:t>\approx</w:t>
      </w:r>
      <w:r>
        <w:br/>
        <w:t>0</w:t>
      </w:r>
      <w:r>
        <w:br/>
      </w:r>
      <w:r>
        <w:lastRenderedPageBreak/>
        <w:t>\tag{3.6881}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d_{\mathrm{bif}}\approx0\qquad\text{(3.6881)}</w:t>
      </w:r>
    </w:p>
    <w:p w:rsidR="00AD04D9" w:rsidRDefault="00AD04D9" w:rsidP="00AD04D9">
      <w:pPr>
        <w:pStyle w:val="StandardWeb"/>
      </w:pPr>
      <w:r>
        <w:t>liegt das System nahe einer kritischen Parametergrenze.</w:t>
      </w:r>
    </w:p>
    <w:p w:rsidR="00AD04D9" w:rsidRDefault="00AD04D9" w:rsidP="00AD04D9">
      <w:pPr>
        <w:pStyle w:val="StandardWeb"/>
      </w:pPr>
      <w:r>
        <w:t>In einer solchen Situation können bereits geringe Parameterschätzfehler die qualitative Systemklassifikation verändern.</w:t>
      </w:r>
    </w:p>
    <w:p w:rsidR="00AD04D9" w:rsidRDefault="00E50336" w:rsidP="00AD04D9">
      <w:r>
        <w:pict>
          <v:rect id="_x0000_i1313" style="width:0;height:1.5pt" o:hralign="center" o:hrstd="t" o:hr="t" fillcolor="#a0a0a0" stroked="f"/>
        </w:pict>
      </w:r>
    </w:p>
    <w:p w:rsidR="00AD04D9" w:rsidRDefault="00AD04D9" w:rsidP="00AD04D9">
      <w:pPr>
        <w:pStyle w:val="berschrift2"/>
      </w:pPr>
      <w:r>
        <w:t>3.3.40.38 Bifurkationsunsicherheit</w:t>
      </w:r>
    </w:p>
    <w:p w:rsidR="00AD04D9" w:rsidRDefault="00AD04D9" w:rsidP="00AD04D9">
      <w:pPr>
        <w:pStyle w:val="StandardWeb"/>
      </w:pPr>
      <w:r>
        <w:t>Sei die Parameterschätzunsicherheit</w:t>
      </w:r>
    </w:p>
    <w:p w:rsidR="00AD04D9" w:rsidRDefault="00AD04D9" w:rsidP="00AD04D9">
      <w:pPr>
        <w:pStyle w:val="StandardWeb"/>
      </w:pPr>
      <w:r>
        <w:t>[</w:t>
      </w:r>
      <w:r>
        <w:br/>
        <w:t>u_{\theta}.</w:t>
      </w:r>
      <w:r>
        <w:br/>
        <w:t>\tag{3.6882}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u_{\theta}\qquad\text{(3.6882)}</w:t>
      </w:r>
    </w:p>
    <w:p w:rsidR="00AD04D9" w:rsidRDefault="00AD04D9" w:rsidP="00AD04D9">
      <w:pPr>
        <w:pStyle w:val="StandardWeb"/>
      </w:pPr>
      <w:r>
        <w:t>Wenn</w:t>
      </w:r>
    </w:p>
    <w:p w:rsidR="00AD04D9" w:rsidRDefault="00AD04D9" w:rsidP="00AD04D9">
      <w:pPr>
        <w:pStyle w:val="StandardWeb"/>
      </w:pPr>
      <w:r>
        <w:t>[</w:t>
      </w:r>
      <w:r>
        <w:br/>
        <w:t>u_{\theta}</w:t>
      </w:r>
      <w:r>
        <w:br/>
        <w:t>\gtrsim</w:t>
      </w:r>
      <w:r>
        <w:br/>
        <w:t>d_{\mathrm{bif}},</w:t>
      </w:r>
      <w:r>
        <w:br/>
        <w:t>\tag{3.6883}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u_{\theta}\gtrsim d_{\mathrm{bif}}\qquad\text{(3.6883)}</w:t>
      </w:r>
    </w:p>
    <w:p w:rsidR="00AD04D9" w:rsidRDefault="00AD04D9" w:rsidP="00AD04D9">
      <w:pPr>
        <w:pStyle w:val="StandardWeb"/>
      </w:pPr>
      <w:r>
        <w:t>kann nicht mit hoher Sicherheit bestimmt werden, auf welcher Seite der Bifurkationsgrenze das System liegt.</w:t>
      </w:r>
    </w:p>
    <w:p w:rsidR="00AD04D9" w:rsidRDefault="00AD04D9" w:rsidP="00AD04D9">
      <w:pPr>
        <w:pStyle w:val="StandardWeb"/>
      </w:pPr>
      <w:r>
        <w:t>Diese Situation erfordert eine entsprechend vorsichtige wissenschaftliche Aussage.</w:t>
      </w:r>
    </w:p>
    <w:p w:rsidR="00AD04D9" w:rsidRDefault="00E50336" w:rsidP="00AD04D9">
      <w:r>
        <w:pict>
          <v:rect id="_x0000_i1314" style="width:0;height:1.5pt" o:hralign="center" o:hrstd="t" o:hr="t" fillcolor="#a0a0a0" stroked="f"/>
        </w:pict>
      </w:r>
    </w:p>
    <w:p w:rsidR="00AD04D9" w:rsidRDefault="00AD04D9" w:rsidP="00AD04D9">
      <w:pPr>
        <w:pStyle w:val="berschrift2"/>
      </w:pPr>
      <w:r>
        <w:t>3.3.40.39 Strukturelle Stabilität</w:t>
      </w:r>
    </w:p>
    <w:p w:rsidR="00AD04D9" w:rsidRDefault="00AD04D9" w:rsidP="00AD04D9">
      <w:pPr>
        <w:pStyle w:val="StandardWeb"/>
      </w:pPr>
      <w:r>
        <w:t>Parameterrobustheit ist nicht vollständig mit struktureller Stabilität identisch.</w:t>
      </w:r>
    </w:p>
    <w:p w:rsidR="00AD04D9" w:rsidRDefault="00AD04D9" w:rsidP="00AD04D9">
      <w:pPr>
        <w:pStyle w:val="StandardWeb"/>
      </w:pPr>
      <w:r>
        <w:lastRenderedPageBreak/>
        <w:t>Ich bezeichne eine Modellstruktur mit</w:t>
      </w:r>
    </w:p>
    <w:p w:rsidR="00AD04D9" w:rsidRDefault="00AD04D9" w:rsidP="00AD04D9">
      <w:pPr>
        <w:pStyle w:val="StandardWeb"/>
      </w:pPr>
      <w:r>
        <w:t>[</w:t>
      </w:r>
      <w:r>
        <w:br/>
        <w:t>\mathcal{M}.</w:t>
      </w:r>
      <w:r>
        <w:br/>
        <w:t>\tag{3.6884}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\mathcal{M}\qquad\text{(3.6884)}</w:t>
      </w:r>
    </w:p>
    <w:p w:rsidR="00AD04D9" w:rsidRDefault="00AD04D9" w:rsidP="00AD04D9">
      <w:pPr>
        <w:pStyle w:val="StandardWeb"/>
      </w:pPr>
      <w:r>
        <w:t>Eine leicht gestörte Struktur sei</w:t>
      </w:r>
    </w:p>
    <w:p w:rsidR="00AD04D9" w:rsidRDefault="00AD04D9" w:rsidP="00AD04D9">
      <w:pPr>
        <w:pStyle w:val="StandardWeb"/>
      </w:pPr>
      <w:r>
        <w:t>[</w:t>
      </w:r>
      <w:r>
        <w:br/>
        <w:t>\mathcal{M}_{\varepsilon}.</w:t>
      </w:r>
      <w:r>
        <w:br/>
        <w:t>\tag{3.6885}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\mathcal{M}_{\varepsilon}\qquad\text{(3.6885)}</w:t>
      </w:r>
    </w:p>
    <w:p w:rsidR="00AD04D9" w:rsidRDefault="00AD04D9" w:rsidP="00AD04D9">
      <w:pPr>
        <w:pStyle w:val="StandardWeb"/>
      </w:pPr>
      <w:r>
        <w:t>Strukturelle Stabilität verlangt eine geeignete funktionale Äquivalenz</w:t>
      </w:r>
    </w:p>
    <w:p w:rsidR="00AD04D9" w:rsidRDefault="00AD04D9" w:rsidP="00AD04D9">
      <w:pPr>
        <w:pStyle w:val="StandardWeb"/>
      </w:pPr>
      <w:r>
        <w:t>[</w:t>
      </w:r>
      <w:r>
        <w:br/>
        <w:t>\mathcal{M}</w:t>
      </w:r>
      <w:r>
        <w:br/>
        <w:t>\sim_{\mathrm{dyn}}</w:t>
      </w:r>
      <w:r>
        <w:br/>
        <w:t>\mathcal{M}_{\varepsilon}.</w:t>
      </w:r>
      <w:r>
        <w:br/>
        <w:t>\tag{3.6886}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\mathcal{M}\sim_{\mathrm{dyn}}\mathcal{M}_{\varepsilon}\qquad\text{(3.6886)}</w:t>
      </w:r>
    </w:p>
    <w:p w:rsidR="00AD04D9" w:rsidRDefault="00AD04D9" w:rsidP="00AD04D9">
      <w:pPr>
        <w:pStyle w:val="StandardWeb"/>
      </w:pPr>
      <w:r>
        <w:t>Damit wird nicht nur ein Zahlenwert, sondern die qualitative Dynamik des Systems verglichen.</w:t>
      </w:r>
    </w:p>
    <w:p w:rsidR="00AD04D9" w:rsidRDefault="00E50336" w:rsidP="00AD04D9">
      <w:r>
        <w:pict>
          <v:rect id="_x0000_i1315" style="width:0;height:1.5pt" o:hralign="center" o:hrstd="t" o:hr="t" fillcolor="#a0a0a0" stroked="f"/>
        </w:pict>
      </w:r>
    </w:p>
    <w:p w:rsidR="00AD04D9" w:rsidRDefault="00AD04D9" w:rsidP="00AD04D9">
      <w:pPr>
        <w:pStyle w:val="berschrift2"/>
      </w:pPr>
      <w:r>
        <w:t>3.3.40.40 Strukturperturbation</w:t>
      </w:r>
    </w:p>
    <w:p w:rsidR="00AD04D9" w:rsidRDefault="00AD04D9" w:rsidP="00AD04D9">
      <w:pPr>
        <w:pStyle w:val="StandardWeb"/>
      </w:pPr>
      <w:r>
        <w:t>Eine Modellstruktur kann durch eine Perturbation</w:t>
      </w:r>
    </w:p>
    <w:p w:rsidR="00AD04D9" w:rsidRDefault="00AD04D9" w:rsidP="00AD04D9">
      <w:pPr>
        <w:pStyle w:val="StandardWeb"/>
      </w:pPr>
      <w:r>
        <w:t>[</w:t>
      </w:r>
      <w:r>
        <w:br/>
        <w:t>\Delta\mathcal{M}</w:t>
      </w:r>
      <w:r>
        <w:br/>
        <w:t>\tag{3.6887}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\Delta\mathcal{M}\qquad\text{(3.6887)}</w:t>
      </w:r>
    </w:p>
    <w:p w:rsidR="00AD04D9" w:rsidRDefault="00AD04D9" w:rsidP="00AD04D9">
      <w:pPr>
        <w:pStyle w:val="StandardWeb"/>
      </w:pPr>
      <w:r>
        <w:t>verändert werden:</w:t>
      </w:r>
    </w:p>
    <w:p w:rsidR="00AD04D9" w:rsidRDefault="00AD04D9" w:rsidP="00AD04D9">
      <w:pPr>
        <w:pStyle w:val="berschrift1"/>
      </w:pPr>
      <w:r>
        <w:t>[</w:t>
      </w:r>
      <w:r>
        <w:br/>
        <w:t>\mathcal{M}_{\varepsilon}</w:t>
      </w:r>
    </w:p>
    <w:p w:rsidR="00AD04D9" w:rsidRDefault="00AD04D9" w:rsidP="00AD04D9">
      <w:pPr>
        <w:pStyle w:val="StandardWeb"/>
      </w:pPr>
      <w:r>
        <w:t>\mathcal{M}</w:t>
      </w:r>
      <w:r>
        <w:br/>
        <w:t>+</w:t>
      </w:r>
      <w:r>
        <w:br/>
        <w:t>\Delta\mathcal{M}.</w:t>
      </w:r>
      <w:r>
        <w:br/>
        <w:t>\tag{3.6888}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\mathcal{M}_{\varepsilon}=\mathcal{M}+\Delta\mathcal{M}\qquad\text{(3.6888)}</w:t>
      </w:r>
    </w:p>
    <w:p w:rsidR="00AD04D9" w:rsidRDefault="00AD04D9" w:rsidP="00AD04D9">
      <w:pPr>
        <w:pStyle w:val="StandardWeb"/>
      </w:pPr>
      <w:r>
        <w:t>Eine wissenschaftliche Aussage ist strukturell robust, wenn</w:t>
      </w:r>
    </w:p>
    <w:p w:rsidR="00AD04D9" w:rsidRDefault="00AD04D9" w:rsidP="00AD04D9">
      <w:pPr>
        <w:pStyle w:val="StandardWeb"/>
      </w:pPr>
      <w:r>
        <w:t>[</w:t>
      </w:r>
      <w:r>
        <w:br/>
        <w:t>A_F(\mathcal{M}_{\varepsilon})</w:t>
      </w:r>
      <w:r>
        <w:br/>
        <w:t>\sim_A</w:t>
      </w:r>
      <w:r>
        <w:br/>
        <w:t>A_F(\mathcal{M})</w:t>
      </w:r>
      <w:r>
        <w:br/>
        <w:t>\tag{3.6889}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A_F(\mathcal{M}_{\varepsilon})\sim_A A_F(\mathcal{M})\qquad\text{(3.6889)}</w:t>
      </w:r>
    </w:p>
    <w:p w:rsidR="00AD04D9" w:rsidRDefault="00AD04D9" w:rsidP="00AD04D9">
      <w:pPr>
        <w:pStyle w:val="StandardWeb"/>
      </w:pPr>
      <w:r>
        <w:t>für eine begründete Klasse kleiner Strukturperturbationen gilt.</w:t>
      </w:r>
    </w:p>
    <w:p w:rsidR="00AD04D9" w:rsidRDefault="00E50336" w:rsidP="00AD04D9">
      <w:r>
        <w:pict>
          <v:rect id="_x0000_i1316" style="width:0;height:1.5pt" o:hralign="center" o:hrstd="t" o:hr="t" fillcolor="#a0a0a0" stroked="f"/>
        </w:pict>
      </w:r>
    </w:p>
    <w:p w:rsidR="00AD04D9" w:rsidRDefault="00AD04D9" w:rsidP="00AD04D9">
      <w:pPr>
        <w:pStyle w:val="berschrift2"/>
      </w:pPr>
      <w:r>
        <w:t>3.3.40.41 Parameter- versus Strukturrobustheit</w:t>
      </w:r>
    </w:p>
    <w:p w:rsidR="00AD04D9" w:rsidRDefault="00AD04D9" w:rsidP="00AD04D9">
      <w:pPr>
        <w:pStyle w:val="StandardWeb"/>
      </w:pPr>
      <w:r>
        <w:t>Damit unterscheide ich ausdrücklich</w:t>
      </w:r>
    </w:p>
    <w:p w:rsidR="00AD04D9" w:rsidRDefault="00AD04D9" w:rsidP="00AD04D9">
      <w:pPr>
        <w:pStyle w:val="StandardWeb"/>
      </w:pPr>
      <w:r>
        <w:t>[</w:t>
      </w:r>
      <w:r>
        <w:br/>
        <w:t>R_{\theta}</w:t>
      </w:r>
      <w:r>
        <w:br/>
        <w:t>\tag{3.6890}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R_{\theta}\qquad\text{(3.6890)}</w:t>
      </w:r>
    </w:p>
    <w:p w:rsidR="00AD04D9" w:rsidRDefault="00AD04D9" w:rsidP="00AD04D9">
      <w:pPr>
        <w:pStyle w:val="StandardWeb"/>
      </w:pPr>
      <w:r>
        <w:t>von</w:t>
      </w:r>
    </w:p>
    <w:p w:rsidR="00AD04D9" w:rsidRDefault="00AD04D9" w:rsidP="00AD04D9">
      <w:pPr>
        <w:pStyle w:val="StandardWeb"/>
      </w:pPr>
      <w:r>
        <w:lastRenderedPageBreak/>
        <w:t>[</w:t>
      </w:r>
      <w:r>
        <w:br/>
        <w:t>R_{\mathcal{M}}.</w:t>
      </w:r>
      <w:r>
        <w:br/>
        <w:t>\tag{3.6891}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R_{\mathcal{M}}\qquad\text{(3.6891)}</w:t>
      </w:r>
    </w:p>
    <w:p w:rsidR="00AD04D9" w:rsidRDefault="00AD04D9" w:rsidP="00AD04D9">
      <w:pPr>
        <w:pStyle w:val="StandardWeb"/>
      </w:pPr>
      <w:r>
        <w:t>Parameterrobustheit untersucht Änderungen innerhalb einer festen Modellstruktur.</w:t>
      </w:r>
    </w:p>
    <w:p w:rsidR="00AD04D9" w:rsidRDefault="00AD04D9" w:rsidP="00AD04D9">
      <w:pPr>
        <w:pStyle w:val="StandardWeb"/>
      </w:pPr>
      <w:r>
        <w:t>Strukturrobustheit untersucht Änderungen der Modellstruktur selbst.</w:t>
      </w:r>
    </w:p>
    <w:p w:rsidR="00AD04D9" w:rsidRDefault="00AD04D9" w:rsidP="00AD04D9">
      <w:pPr>
        <w:pStyle w:val="StandardWeb"/>
      </w:pPr>
      <w:r>
        <w:t>Es kann gelten</w:t>
      </w:r>
    </w:p>
    <w:p w:rsidR="00AD04D9" w:rsidRDefault="00AD04D9" w:rsidP="00AD04D9">
      <w:pPr>
        <w:pStyle w:val="StandardWeb"/>
      </w:pPr>
      <w:r>
        <w:t>[</w:t>
      </w:r>
      <w:r>
        <w:br/>
        <w:t>R_{\theta}</w:t>
      </w:r>
      <w:r>
        <w:br/>
        <w:t>\text{ hoch}</w:t>
      </w:r>
      <w:r>
        <w:br/>
        <w:t>\land</w:t>
      </w:r>
      <w:r>
        <w:br/>
        <w:t>R_{\mathcal{M}}</w:t>
      </w:r>
      <w:r>
        <w:br/>
        <w:t>\text{ niedrig}.</w:t>
      </w:r>
      <w:r>
        <w:br/>
        <w:t>\tag{3.6892}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R_{\theta}\text{ hoch}\land R_{\mathcal{M}}\text{ niedrig}\qquad\text{(3.6892)}</w:t>
      </w:r>
    </w:p>
    <w:p w:rsidR="00AD04D9" w:rsidRDefault="00AD04D9" w:rsidP="00AD04D9">
      <w:pPr>
        <w:pStyle w:val="StandardWeb"/>
      </w:pPr>
      <w:r>
        <w:t>Dann ist eine Aussage innerhalb des gewählten Modells stabil, aber stark von der Modellstruktur abhängig.</w:t>
      </w:r>
    </w:p>
    <w:p w:rsidR="00AD04D9" w:rsidRDefault="00E50336" w:rsidP="00AD04D9">
      <w:r>
        <w:pict>
          <v:rect id="_x0000_i1317" style="width:0;height:1.5pt" o:hralign="center" o:hrstd="t" o:hr="t" fillcolor="#a0a0a0" stroked="f"/>
        </w:pict>
      </w:r>
    </w:p>
    <w:p w:rsidR="00AD04D9" w:rsidRDefault="00AD04D9" w:rsidP="00AD04D9">
      <w:pPr>
        <w:pStyle w:val="berschrift2"/>
      </w:pPr>
      <w:r>
        <w:t>3.3.40.42 Parameterkorridor</w:t>
      </w:r>
    </w:p>
    <w:p w:rsidR="00AD04D9" w:rsidRDefault="00AD04D9" w:rsidP="00AD04D9">
      <w:pPr>
        <w:pStyle w:val="StandardWeb"/>
      </w:pPr>
      <w:r>
        <w:t>Für einen einzelnen Parameter kann ein stabiler Parameterkorridor definiert werden:</w:t>
      </w:r>
    </w:p>
    <w:p w:rsidR="00AD04D9" w:rsidRDefault="00AD04D9" w:rsidP="00AD04D9">
      <w:pPr>
        <w:pStyle w:val="berschrift1"/>
      </w:pPr>
      <w:r>
        <w:t>[</w:t>
      </w:r>
      <w:r>
        <w:br/>
        <w:t>I_{\theta_i}</w:t>
      </w:r>
    </w:p>
    <w:p w:rsidR="00AD04D9" w:rsidRDefault="00AD04D9" w:rsidP="00AD04D9">
      <w:pPr>
        <w:pStyle w:val="StandardWeb"/>
      </w:pPr>
      <w:r>
        <w:t>\left[</w:t>
      </w:r>
      <w:r>
        <w:br/>
        <w:t>\theta_i^{-},</w:t>
      </w:r>
      <w:r>
        <w:br/>
        <w:t>\theta_i^{+}</w:t>
      </w:r>
      <w:r>
        <w:br/>
        <w:t>\right].</w:t>
      </w:r>
      <w:r>
        <w:br/>
        <w:t>\tag{3.6893}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I_{\theta_i}=\left[\theta_i^{-},\theta_i^{+}\right]\qquad\text{(3.6893)}</w:t>
      </w:r>
    </w:p>
    <w:p w:rsidR="00AD04D9" w:rsidRDefault="00AD04D9" w:rsidP="00AD04D9">
      <w:pPr>
        <w:pStyle w:val="StandardWeb"/>
      </w:pPr>
      <w:r>
        <w:t>Eine Aussage ist innerhalb dieses Korridors stabil, wenn</w:t>
      </w:r>
    </w:p>
    <w:p w:rsidR="00AD04D9" w:rsidRDefault="00AD04D9" w:rsidP="00AD04D9">
      <w:pPr>
        <w:pStyle w:val="StandardWeb"/>
      </w:pPr>
      <w:r>
        <w:t>[</w:t>
      </w:r>
      <w:r>
        <w:br/>
        <w:t>A_F(\theta_i)</w:t>
      </w:r>
      <w:r>
        <w:br/>
        <w:t>\sim_A</w:t>
      </w:r>
      <w:r>
        <w:br/>
        <w:t>A_F(\theta_i^\ast)</w:t>
      </w:r>
      <w:r>
        <w:br/>
        <w:t>\qquad</w:t>
      </w:r>
      <w:r>
        <w:br/>
        <w:t>\forall\theta_i\in I_{\theta_i}.</w:t>
      </w:r>
      <w:r>
        <w:br/>
        <w:t>\tag{3.6894}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A_F(\theta_i)\sim_A A_F(\theta_i^{\ast})\qquad\forall\theta_i\in I_{\theta_i}\qquad\text{(3.6894)}</w:t>
      </w:r>
    </w:p>
    <w:p w:rsidR="00AD04D9" w:rsidRDefault="00AD04D9" w:rsidP="00AD04D9">
      <w:pPr>
        <w:pStyle w:val="StandardWeb"/>
      </w:pPr>
      <w:r>
        <w:t>Dabei ist (\theta_i^\ast) ein Referenzwert.</w:t>
      </w:r>
    </w:p>
    <w:p w:rsidR="00AD04D9" w:rsidRDefault="00E50336" w:rsidP="00AD04D9">
      <w:r>
        <w:pict>
          <v:rect id="_x0000_i1318" style="width:0;height:1.5pt" o:hralign="center" o:hrstd="t" o:hr="t" fillcolor="#a0a0a0" stroked="f"/>
        </w:pict>
      </w:r>
    </w:p>
    <w:p w:rsidR="00AD04D9" w:rsidRDefault="00AD04D9" w:rsidP="00AD04D9">
      <w:pPr>
        <w:pStyle w:val="berschrift2"/>
      </w:pPr>
      <w:r>
        <w:t>3.3.40.43 Kritischer Parameterkorridor</w:t>
      </w:r>
    </w:p>
    <w:p w:rsidR="00AD04D9" w:rsidRDefault="00AD04D9" w:rsidP="00AD04D9">
      <w:pPr>
        <w:pStyle w:val="StandardWeb"/>
      </w:pPr>
      <w:r>
        <w:t>Besonders problematisch ist ein enger Stabilitätsbereich:</w:t>
      </w:r>
    </w:p>
    <w:p w:rsidR="00AD04D9" w:rsidRDefault="00AD04D9" w:rsidP="00AD04D9">
      <w:pPr>
        <w:pStyle w:val="berschrift2"/>
      </w:pPr>
      <w:r>
        <w:t>[</w:t>
      </w:r>
      <w:r>
        <w:br/>
        <w:t>\theta_i^{+}</w:t>
      </w:r>
    </w:p>
    <w:p w:rsidR="00AD04D9" w:rsidRDefault="00AD04D9" w:rsidP="00AD04D9">
      <w:pPr>
        <w:pStyle w:val="StandardWeb"/>
      </w:pPr>
      <w:r>
        <w:t>\theta_i^{-}</w:t>
      </w:r>
      <w:r>
        <w:br/>
        <w:t>\ll</w:t>
      </w:r>
      <w:r>
        <w:br/>
        <w:t>|\theta_i^\ast|.</w:t>
      </w:r>
      <w:r>
        <w:br/>
        <w:t>\tag{3.6895}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\theta_i^{+}-\theta_i^{-}\ll|\theta_i^{\ast}|\qquad\text{(3.6895)}</w:t>
      </w:r>
    </w:p>
    <w:p w:rsidR="00AD04D9" w:rsidRDefault="00AD04D9" w:rsidP="00AD04D9">
      <w:pPr>
        <w:pStyle w:val="StandardWeb"/>
      </w:pPr>
      <w:r>
        <w:t>Eine Aussage, die nur innerhalb eines sehr engen Parameterkorridors gilt, besitzt geringe globale Parameterrobustheit.</w:t>
      </w:r>
    </w:p>
    <w:p w:rsidR="00AD04D9" w:rsidRDefault="00E50336" w:rsidP="00AD04D9">
      <w:r>
        <w:pict>
          <v:rect id="_x0000_i1319" style="width:0;height:1.5pt" o:hralign="center" o:hrstd="t" o:hr="t" fillcolor="#a0a0a0" stroked="f"/>
        </w:pict>
      </w:r>
    </w:p>
    <w:p w:rsidR="00AD04D9" w:rsidRDefault="00AD04D9" w:rsidP="00AD04D9">
      <w:pPr>
        <w:pStyle w:val="berschrift2"/>
      </w:pPr>
      <w:r>
        <w:t>3.3.40.44 Relative Parameterkorridorbreite</w:t>
      </w:r>
    </w:p>
    <w:p w:rsidR="00AD04D9" w:rsidRDefault="00AD04D9" w:rsidP="00AD04D9">
      <w:pPr>
        <w:pStyle w:val="StandardWeb"/>
      </w:pPr>
      <w:r>
        <w:t>Ich definiere</w:t>
      </w:r>
    </w:p>
    <w:p w:rsidR="00AD04D9" w:rsidRDefault="00AD04D9" w:rsidP="00AD04D9">
      <w:pPr>
        <w:pStyle w:val="berschrift1"/>
      </w:pPr>
      <w:r>
        <w:lastRenderedPageBreak/>
        <w:t>[</w:t>
      </w:r>
      <w:r>
        <w:br/>
        <w:t>W_i^{\mathrm{rel}}</w:t>
      </w:r>
    </w:p>
    <w:p w:rsidR="00AD04D9" w:rsidRDefault="00AD04D9" w:rsidP="00AD04D9">
      <w:pPr>
        <w:pStyle w:val="berschrift2"/>
      </w:pPr>
      <w:r>
        <w:t>\frac{</w:t>
      </w:r>
      <w:r>
        <w:br/>
        <w:t>\theta_i^{+}</w:t>
      </w:r>
    </w:p>
    <w:p w:rsidR="00AD04D9" w:rsidRDefault="00AD04D9" w:rsidP="00AD04D9">
      <w:pPr>
        <w:pStyle w:val="StandardWeb"/>
      </w:pPr>
      <w:r>
        <w:t>\theta_i^{-}</w:t>
      </w:r>
      <w:r>
        <w:br/>
        <w:t>}{</w:t>
      </w:r>
      <w:r>
        <w:br/>
        <w:t>|\theta_i^\ast|</w:t>
      </w:r>
      <w:r>
        <w:br/>
        <w:t>}.</w:t>
      </w:r>
      <w:r>
        <w:br/>
        <w:t>\tag{3.6896}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W_i^{\mathrm{rel}}=\frac{\theta_i^{+}-\theta_i^{-}}{|\theta_i^{\ast}|}\qquad\text{(3.6896)}</w:t>
      </w:r>
    </w:p>
    <w:p w:rsidR="00AD04D9" w:rsidRDefault="00AD04D9" w:rsidP="00AD04D9">
      <w:pPr>
        <w:pStyle w:val="StandardWeb"/>
      </w:pPr>
      <w:r>
        <w:t>Ein größerer Wert spricht für einen breiteren stabilen Parameterbereich.</w:t>
      </w:r>
    </w:p>
    <w:p w:rsidR="00AD04D9" w:rsidRDefault="00E50336" w:rsidP="00AD04D9">
      <w:r>
        <w:pict>
          <v:rect id="_x0000_i1320" style="width:0;height:1.5pt" o:hralign="center" o:hrstd="t" o:hr="t" fillcolor="#a0a0a0" stroked="f"/>
        </w:pict>
      </w:r>
    </w:p>
    <w:p w:rsidR="00AD04D9" w:rsidRDefault="00AD04D9" w:rsidP="00AD04D9">
      <w:pPr>
        <w:pStyle w:val="berschrift2"/>
      </w:pPr>
      <w:r>
        <w:t>3.3.40.45 Robustheit von Kohärenzaussagen gegenüber Parametern</w:t>
      </w:r>
    </w:p>
    <w:p w:rsidR="00AD04D9" w:rsidRDefault="00AD04D9" w:rsidP="00AD04D9">
      <w:pPr>
        <w:pStyle w:val="StandardWeb"/>
      </w:pPr>
      <w:r>
        <w:t>Eine FRZK-Kohärenzgröße kann parameterabhängig sein:</w:t>
      </w:r>
    </w:p>
    <w:p w:rsidR="00AD04D9" w:rsidRDefault="00AD04D9" w:rsidP="00AD04D9">
      <w:pPr>
        <w:pStyle w:val="berschrift1"/>
      </w:pPr>
      <w:r>
        <w:t>[</w:t>
      </w:r>
      <w:r>
        <w:br/>
        <w:t>K_{\mathcal{C}}</w:t>
      </w:r>
    </w:p>
    <w:p w:rsidR="00AD04D9" w:rsidRDefault="00AD04D9" w:rsidP="00AD04D9">
      <w:pPr>
        <w:pStyle w:val="StandardWeb"/>
      </w:pPr>
      <w:r>
        <w:t>K_{\mathcal{C}}</w:t>
      </w:r>
      <w:r>
        <w:br/>
        <w:t>\left(</w:t>
      </w:r>
      <w:r>
        <w:br/>
        <w:t>\boldsymbol{\theta}</w:t>
      </w:r>
      <w:r>
        <w:br/>
        <w:t>\right).</w:t>
      </w:r>
      <w:r>
        <w:br/>
        <w:t>\tag{3.6897}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K_{\mathcal{C}}=K_{\mathcal{C}}\left(\boldsymbol{\theta}\right)\qquad\text{(3.6897)}</w:t>
      </w:r>
    </w:p>
    <w:p w:rsidR="00AD04D9" w:rsidRDefault="00AD04D9" w:rsidP="00AD04D9">
      <w:pPr>
        <w:pStyle w:val="StandardWeb"/>
      </w:pPr>
      <w:r>
        <w:t>Für zwei Parameterkonfigurationen kann gelten</w:t>
      </w:r>
    </w:p>
    <w:p w:rsidR="00AD04D9" w:rsidRDefault="00AD04D9" w:rsidP="00AD04D9">
      <w:pPr>
        <w:pStyle w:val="StandardWeb"/>
      </w:pPr>
      <w:r>
        <w:t>[</w:t>
      </w:r>
      <w:r>
        <w:br/>
        <w:t>K_{\mathcal{C}}</w:t>
      </w:r>
      <w:r>
        <w:br/>
        <w:t>\left(</w:t>
      </w:r>
      <w:r>
        <w:br/>
      </w:r>
      <w:r>
        <w:lastRenderedPageBreak/>
        <w:t>\boldsymbol{\theta}</w:t>
      </w:r>
      <w:r>
        <w:rPr>
          <w:rStyle w:val="Hervorhebung"/>
        </w:rPr>
        <w:t>1</w:t>
      </w:r>
      <w:r>
        <w:rPr>
          <w:i/>
          <w:iCs/>
        </w:rPr>
        <w:br/>
      </w:r>
      <w:r>
        <w:rPr>
          <w:rStyle w:val="Hervorhebung"/>
        </w:rPr>
        <w:t>\right)</w:t>
      </w:r>
      <w:r>
        <w:rPr>
          <w:i/>
          <w:iCs/>
        </w:rPr>
        <w:br/>
      </w:r>
      <w:r>
        <w:rPr>
          <w:rStyle w:val="Hervorhebung"/>
        </w:rPr>
        <w:t>\neq</w:t>
      </w:r>
      <w:r>
        <w:rPr>
          <w:i/>
          <w:iCs/>
        </w:rPr>
        <w:br/>
      </w:r>
      <w:r>
        <w:rPr>
          <w:rStyle w:val="Hervorhebung"/>
        </w:rPr>
        <w:t>K</w:t>
      </w:r>
      <w:r>
        <w:t>{\mathcal{C}}</w:t>
      </w:r>
      <w:r>
        <w:br/>
        <w:t>\left(</w:t>
      </w:r>
      <w:r>
        <w:br/>
        <w:t>\boldsymbol{\theta}_2</w:t>
      </w:r>
      <w:r>
        <w:br/>
        <w:t>\right).</w:t>
      </w:r>
      <w:r>
        <w:br/>
        <w:t>\tag{3.6898}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K_{\mathcal{C}}\left(\boldsymbol{\theta}_1\right)\neq K_{\mathcal{C}}\left(\boldsymbol{\theta}_2\right)\qquad\text{(3.6898)}</w:t>
      </w:r>
    </w:p>
    <w:p w:rsidR="00AD04D9" w:rsidRDefault="00AD04D9" w:rsidP="00AD04D9">
      <w:pPr>
        <w:pStyle w:val="StandardWeb"/>
      </w:pPr>
      <w:r>
        <w:t>Eine qualitative Aussage kann dennoch robust sein:</w:t>
      </w:r>
    </w:p>
    <w:p w:rsidR="00AD04D9" w:rsidRDefault="00AD04D9" w:rsidP="00AD04D9">
      <w:pPr>
        <w:pStyle w:val="StandardWeb"/>
      </w:pPr>
      <w:r>
        <w:t>[</w:t>
      </w:r>
      <w:r>
        <w:br/>
        <w:t>K_{\mathcal{C},A}</w:t>
      </w:r>
      <w:r>
        <w:br/>
        <w:t>\left(</w:t>
      </w:r>
      <w:r>
        <w:br/>
        <w:t>\boldsymbol{\theta}</w:t>
      </w:r>
      <w:r>
        <w:br/>
        <w:t>\right)</w:t>
      </w:r>
    </w:p>
    <w:p w:rsidR="00AD04D9" w:rsidRDefault="00AD04D9" w:rsidP="00AD04D9">
      <w:pPr>
        <w:pStyle w:val="StandardWeb"/>
      </w:pPr>
      <w:r>
        <w:t>K_{\mathcal{C},B}</w:t>
      </w:r>
      <w:r>
        <w:br/>
        <w:t>\left(</w:t>
      </w:r>
      <w:r>
        <w:br/>
        <w:t>\boldsymbol{\theta}</w:t>
      </w:r>
      <w:r>
        <w:br/>
        <w:t>\right)</w:t>
      </w:r>
      <w:r>
        <w:br/>
        <w:t>\qquad</w:t>
      </w:r>
      <w:r>
        <w:br/>
        <w:t>\forall</w:t>
      </w:r>
      <w:r>
        <w:br/>
        <w:t>\boldsymbol{\theta}</w:t>
      </w:r>
      <w:r>
        <w:br/>
        <w:t>\in</w:t>
      </w:r>
      <w:r>
        <w:br/>
        <w:t>\Theta_{\mathrm{zul}}.</w:t>
      </w:r>
      <w:r>
        <w:br/>
        <w:t>\tag{3.6899}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K_{\mathcal{C},A}\left(\boldsymbol{\theta}\right)&gt;K_{\mathcal{C},B}\left(\boldsymbol{\theta}\right)\qquad\forall\boldsymbol{\theta}\in\Theta_{\mathrm{zul}}\qquad\text{(3.6899)}</w:t>
      </w:r>
    </w:p>
    <w:p w:rsidR="00AD04D9" w:rsidRDefault="00E50336" w:rsidP="00AD04D9">
      <w:r>
        <w:pict>
          <v:rect id="_x0000_i1321" style="width:0;height:1.5pt" o:hralign="center" o:hrstd="t" o:hr="t" fillcolor="#a0a0a0" stroked="f"/>
        </w:pict>
      </w:r>
    </w:p>
    <w:p w:rsidR="00AD04D9" w:rsidRDefault="00AD04D9" w:rsidP="00AD04D9">
      <w:pPr>
        <w:pStyle w:val="berschrift2"/>
      </w:pPr>
      <w:r>
        <w:t>3.3.40.46 Robustheit von Drift gegenüber Parametern</w:t>
      </w:r>
    </w:p>
    <w:p w:rsidR="00AD04D9" w:rsidRDefault="00AD04D9" w:rsidP="00AD04D9">
      <w:pPr>
        <w:pStyle w:val="StandardWeb"/>
      </w:pPr>
      <w:r>
        <w:t>Die funktionale Drift sei</w:t>
      </w:r>
    </w:p>
    <w:p w:rsidR="00AD04D9" w:rsidRDefault="00AD04D9" w:rsidP="00AD04D9">
      <w:pPr>
        <w:pStyle w:val="berschrift1"/>
      </w:pPr>
      <w:r>
        <w:t>[</w:t>
      </w:r>
      <w:r>
        <w:br/>
        <w:t>D_F</w:t>
      </w:r>
    </w:p>
    <w:p w:rsidR="00AD04D9" w:rsidRDefault="00AD04D9" w:rsidP="00AD04D9">
      <w:pPr>
        <w:pStyle w:val="StandardWeb"/>
      </w:pPr>
      <w:r>
        <w:lastRenderedPageBreak/>
        <w:t>D_F</w:t>
      </w:r>
      <w:r>
        <w:br/>
        <w:t>\left(</w:t>
      </w:r>
      <w:r>
        <w:br/>
        <w:t>t;</w:t>
      </w:r>
      <w:r>
        <w:br/>
        <w:t>\boldsymbol{\theta},</w:t>
      </w:r>
      <w:r>
        <w:br/>
        <w:t>\delta_0</w:t>
      </w:r>
      <w:r>
        <w:br/>
        <w:t>\right).</w:t>
      </w:r>
      <w:r>
        <w:br/>
        <w:t>\tag{3.6900}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D_F=D_F\left(t;\boldsymbol{\theta},\delta_0\right)\qquad\text{(3.6900)}</w:t>
      </w:r>
    </w:p>
    <w:p w:rsidR="00AD04D9" w:rsidRDefault="00AD04D9" w:rsidP="00AD04D9">
      <w:pPr>
        <w:pStyle w:val="StandardWeb"/>
      </w:pPr>
      <w:r>
        <w:t>Eine Driftzunahme ist robust, wenn</w:t>
      </w:r>
    </w:p>
    <w:p w:rsidR="00AD04D9" w:rsidRDefault="00AD04D9" w:rsidP="00AD04D9">
      <w:pPr>
        <w:pStyle w:val="StandardWeb"/>
      </w:pPr>
      <w:r>
        <w:t>[</w:t>
      </w:r>
      <w:r>
        <w:br/>
        <w:t>\frac{\partial D_F}{\partial t}</w:t>
      </w:r>
    </w:p>
    <w:p w:rsidR="00AD04D9" w:rsidRDefault="00AD04D9" w:rsidP="00AD04D9">
      <w:pPr>
        <w:pStyle w:val="StandardWeb"/>
      </w:pPr>
      <w:r>
        <w:t>0</w:t>
      </w:r>
      <w:r>
        <w:br/>
        <w:t>\tag{3.6901}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\frac{\partial D_F}{\partial t}&gt;0\qquad\text{(3.6901)}</w:t>
      </w:r>
    </w:p>
    <w:p w:rsidR="00AD04D9" w:rsidRDefault="00AD04D9" w:rsidP="00AD04D9">
      <w:pPr>
        <w:pStyle w:val="StandardWeb"/>
      </w:pPr>
      <w:r>
        <w:t>für einen relevanten Bereich von (\boldsymbol{\theta}) und (\delta_0) erhalten bleibt.</w:t>
      </w:r>
    </w:p>
    <w:p w:rsidR="00AD04D9" w:rsidRDefault="00E50336" w:rsidP="00AD04D9">
      <w:r>
        <w:pict>
          <v:rect id="_x0000_i1322" style="width:0;height:1.5pt" o:hralign="center" o:hrstd="t" o:hr="t" fillcolor="#a0a0a0" stroked="f"/>
        </w:pict>
      </w:r>
    </w:p>
    <w:p w:rsidR="00AD04D9" w:rsidRDefault="00AD04D9" w:rsidP="00AD04D9">
      <w:pPr>
        <w:pStyle w:val="berschrift2"/>
      </w:pPr>
      <w:r>
        <w:t>3.3.40.47 Robustheit kritischer Übergänge gegenüber Parametern</w:t>
      </w:r>
    </w:p>
    <w:p w:rsidR="00AD04D9" w:rsidRDefault="00AD04D9" w:rsidP="00AD04D9">
      <w:pPr>
        <w:pStyle w:val="StandardWeb"/>
      </w:pPr>
      <w:r>
        <w:t>Ein kritischer Übergang sei durch</w:t>
      </w:r>
    </w:p>
    <w:p w:rsidR="00AD04D9" w:rsidRDefault="00AD04D9" w:rsidP="00AD04D9">
      <w:pPr>
        <w:pStyle w:val="berschrift1"/>
      </w:pPr>
      <w:r>
        <w:t>[</w:t>
      </w:r>
      <w:r>
        <w:br/>
        <w:t>t_{\mathrm{krit}}</w:t>
      </w:r>
    </w:p>
    <w:p w:rsidR="00AD04D9" w:rsidRDefault="00AD04D9" w:rsidP="00AD04D9">
      <w:pPr>
        <w:pStyle w:val="StandardWeb"/>
      </w:pPr>
      <w:r>
        <w:t>t_{\mathrm{krit}}</w:t>
      </w:r>
      <w:r>
        <w:br/>
        <w:t>\left(</w:t>
      </w:r>
      <w:r>
        <w:br/>
        <w:t>\boldsymbol{\theta},</w:t>
      </w:r>
      <w:r>
        <w:br/>
        <w:t>\delta_0</w:t>
      </w:r>
      <w:r>
        <w:br/>
        <w:t>\right)</w:t>
      </w:r>
      <w:r>
        <w:br/>
        <w:t>\tag{3.6902}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t_{\mathrm{krit}}=t_{\mathrm{krit}}\left(\boldsymbol{\theta},\delta_0\right)\qquad\text{(3.6902)}</w:t>
      </w:r>
    </w:p>
    <w:p w:rsidR="00AD04D9" w:rsidRDefault="00AD04D9" w:rsidP="00AD04D9">
      <w:pPr>
        <w:pStyle w:val="StandardWeb"/>
      </w:pPr>
      <w:r>
        <w:lastRenderedPageBreak/>
        <w:t>gegeben.</w:t>
      </w:r>
    </w:p>
    <w:p w:rsidR="00AD04D9" w:rsidRDefault="00AD04D9" w:rsidP="00AD04D9">
      <w:pPr>
        <w:pStyle w:val="StandardWeb"/>
      </w:pPr>
      <w:r>
        <w:t>Die zeitliche Sensitivität lautet</w:t>
      </w:r>
    </w:p>
    <w:p w:rsidR="00AD04D9" w:rsidRDefault="00AD04D9" w:rsidP="00AD04D9">
      <w:pPr>
        <w:pStyle w:val="berschrift1"/>
      </w:pPr>
      <w:r>
        <w:t>[</w:t>
      </w:r>
      <w:r>
        <w:br/>
        <w:t>S_{t_{\mathrm{krit}},i}</w:t>
      </w:r>
    </w:p>
    <w:p w:rsidR="00AD04D9" w:rsidRDefault="00AD04D9" w:rsidP="00AD04D9">
      <w:pPr>
        <w:pStyle w:val="StandardWeb"/>
      </w:pPr>
      <w:r>
        <w:t>\frac{\partial t_{\mathrm{krit}}}</w:t>
      </w:r>
      <w:r>
        <w:br/>
        <w:t>{\partial\theta_i}.</w:t>
      </w:r>
      <w:r>
        <w:br/>
        <w:t>\tag{3.6903}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S_{t_{\mathrm{krit}},i}=\frac{\partial t_{\mathrm{krit}}}{\partial\theta_i}\qquad\text{(3.6903)}</w:t>
      </w:r>
    </w:p>
    <w:p w:rsidR="00AD04D9" w:rsidRDefault="00AD04D9" w:rsidP="00AD04D9">
      <w:pPr>
        <w:pStyle w:val="StandardWeb"/>
      </w:pPr>
      <w:r>
        <w:t>Ein großer Betrag</w:t>
      </w:r>
    </w:p>
    <w:p w:rsidR="00AD04D9" w:rsidRDefault="00AD04D9" w:rsidP="00AD04D9">
      <w:pPr>
        <w:pStyle w:val="StandardWeb"/>
      </w:pPr>
      <w:r>
        <w:t>[</w:t>
      </w:r>
      <w:r>
        <w:br/>
        <w:t>\left|</w:t>
      </w:r>
      <w:r>
        <w:br/>
        <w:t>S_{t_{\mathrm{krit}},i}</w:t>
      </w:r>
      <w:r>
        <w:br/>
        <w:t>\right|</w:t>
      </w:r>
      <w:r>
        <w:br/>
        <w:t>\gg</w:t>
      </w:r>
      <w:r>
        <w:br/>
        <w:t>0</w:t>
      </w:r>
      <w:r>
        <w:br/>
        <w:t>\tag{3.6904}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\left|S_{t_{\mathrm{krit}},i}\right|\gg0\qquad\text{(3.6904)}</w:t>
      </w:r>
    </w:p>
    <w:p w:rsidR="00AD04D9" w:rsidRDefault="00AD04D9" w:rsidP="00AD04D9">
      <w:pPr>
        <w:pStyle w:val="StandardWeb"/>
      </w:pPr>
      <w:r>
        <w:t>zeigt, dass der vorhergesagte Übergangszeitpunkt stark parameterabhängig ist.</w:t>
      </w:r>
    </w:p>
    <w:p w:rsidR="00AD04D9" w:rsidRDefault="00E50336" w:rsidP="00AD04D9">
      <w:r>
        <w:pict>
          <v:rect id="_x0000_i1323" style="width:0;height:1.5pt" o:hralign="center" o:hrstd="t" o:hr="t" fillcolor="#a0a0a0" stroked="f"/>
        </w:pict>
      </w:r>
    </w:p>
    <w:p w:rsidR="00AD04D9" w:rsidRDefault="00AD04D9" w:rsidP="00AD04D9">
      <w:pPr>
        <w:pStyle w:val="berschrift2"/>
      </w:pPr>
      <w:r>
        <w:t>3.3.40.48 Ereignisrobustheit trotz Zeitverschiebung</w:t>
      </w:r>
    </w:p>
    <w:p w:rsidR="00AD04D9" w:rsidRDefault="00AD04D9" w:rsidP="00AD04D9">
      <w:pPr>
        <w:pStyle w:val="StandardWeb"/>
      </w:pPr>
      <w:r>
        <w:t>Ein kritischer Übergang kann trotz unterschiedlicher Zeitpunkte qualitativ robust sein.</w:t>
      </w:r>
    </w:p>
    <w:p w:rsidR="00AD04D9" w:rsidRDefault="00AD04D9" w:rsidP="00AD04D9">
      <w:pPr>
        <w:pStyle w:val="StandardWeb"/>
      </w:pPr>
      <w:r>
        <w:t>Sei</w:t>
      </w:r>
    </w:p>
    <w:p w:rsidR="00AD04D9" w:rsidRDefault="00AD04D9" w:rsidP="00AD04D9">
      <w:pPr>
        <w:pStyle w:val="berschrift1"/>
      </w:pPr>
      <w:r>
        <w:t>[</w:t>
      </w:r>
      <w:r>
        <w:br/>
        <w:t>E_{\mathrm{krit}}</w:t>
      </w:r>
      <w:r>
        <w:br/>
        <w:t>\left(</w:t>
      </w:r>
      <w:r>
        <w:br/>
      </w:r>
      <w:r>
        <w:lastRenderedPageBreak/>
        <w:t>\boldsymbol{\theta}</w:t>
      </w:r>
      <w:r>
        <w:br/>
        <w:t>\right)</w:t>
      </w:r>
    </w:p>
    <w:p w:rsidR="00AD04D9" w:rsidRDefault="00AD04D9" w:rsidP="00AD04D9">
      <w:pPr>
        <w:pStyle w:val="StandardWeb"/>
      </w:pPr>
      <w:r>
        <w:t>1</w:t>
      </w:r>
      <w:r>
        <w:br/>
        <w:t>\tag{3.6905}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E_{\mathrm{krit}}\left(\boldsymbol{\theta}\right)=1\qquad\text{(3.6905)}</w:t>
      </w:r>
    </w:p>
    <w:p w:rsidR="00AD04D9" w:rsidRDefault="00AD04D9" w:rsidP="00AD04D9">
      <w:pPr>
        <w:pStyle w:val="StandardWeb"/>
      </w:pPr>
      <w:r>
        <w:t>für sämtliche zulässigen Parameter.</w:t>
      </w:r>
    </w:p>
    <w:p w:rsidR="00AD04D9" w:rsidRDefault="00AD04D9" w:rsidP="00AD04D9">
      <w:pPr>
        <w:pStyle w:val="StandardWeb"/>
      </w:pPr>
      <w:r>
        <w:t xml:space="preserve">Dann ist das </w:t>
      </w:r>
      <w:r>
        <w:rPr>
          <w:rStyle w:val="Fett"/>
        </w:rPr>
        <w:t>Auftreten</w:t>
      </w:r>
      <w:r>
        <w:t xml:space="preserve"> des Übergangs robust, auch wenn</w:t>
      </w:r>
    </w:p>
    <w:p w:rsidR="00AD04D9" w:rsidRDefault="00AD04D9" w:rsidP="00AD04D9">
      <w:pPr>
        <w:pStyle w:val="StandardWeb"/>
      </w:pPr>
      <w:r>
        <w:t>[</w:t>
      </w:r>
      <w:r>
        <w:br/>
        <w:t>t_{\mathrm{krit}}</w:t>
      </w:r>
      <w:r>
        <w:br/>
        <w:t>\left(</w:t>
      </w:r>
      <w:r>
        <w:br/>
        <w:t>\boldsymbol{\theta}</w:t>
      </w:r>
      <w:r>
        <w:rPr>
          <w:rStyle w:val="Hervorhebung"/>
        </w:rPr>
        <w:t>1</w:t>
      </w:r>
      <w:r>
        <w:rPr>
          <w:i/>
          <w:iCs/>
        </w:rPr>
        <w:br/>
      </w:r>
      <w:r>
        <w:rPr>
          <w:rStyle w:val="Hervorhebung"/>
        </w:rPr>
        <w:t>\right)</w:t>
      </w:r>
      <w:r>
        <w:rPr>
          <w:i/>
          <w:iCs/>
        </w:rPr>
        <w:br/>
      </w:r>
      <w:r>
        <w:rPr>
          <w:rStyle w:val="Hervorhebung"/>
        </w:rPr>
        <w:t>\neq</w:t>
      </w:r>
      <w:r>
        <w:rPr>
          <w:i/>
          <w:iCs/>
        </w:rPr>
        <w:br/>
      </w:r>
      <w:r>
        <w:rPr>
          <w:rStyle w:val="Hervorhebung"/>
        </w:rPr>
        <w:t>t</w:t>
      </w:r>
      <w:r>
        <w:t>{\mathrm{krit}}</w:t>
      </w:r>
      <w:r>
        <w:br/>
        <w:t>\left(</w:t>
      </w:r>
      <w:r>
        <w:br/>
        <w:t>\boldsymbol{\theta}_2</w:t>
      </w:r>
      <w:r>
        <w:br/>
        <w:t>\right).</w:t>
      </w:r>
      <w:r>
        <w:br/>
        <w:t>\tag{3.6906}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t_{\mathrm{krit}}\left(\boldsymbol{\theta}_1\right)\neq t_{\mathrm{krit}}\left(\boldsymbol{\theta}_2\right)\qquad\text{(3.6906)}</w:t>
      </w:r>
    </w:p>
    <w:p w:rsidR="00AD04D9" w:rsidRDefault="00AD04D9" w:rsidP="00AD04D9">
      <w:pPr>
        <w:pStyle w:val="StandardWeb"/>
      </w:pPr>
      <w:r>
        <w:t>Damit müssen Ereignisrobustheit und Zeitpunktsrobustheit getrennt ausgewiesen werden.</w:t>
      </w:r>
    </w:p>
    <w:p w:rsidR="00AD04D9" w:rsidRDefault="00E50336" w:rsidP="00AD04D9">
      <w:r>
        <w:pict>
          <v:rect id="_x0000_i1324" style="width:0;height:1.5pt" o:hralign="center" o:hrstd="t" o:hr="t" fillcolor="#a0a0a0" stroked="f"/>
        </w:pict>
      </w:r>
    </w:p>
    <w:p w:rsidR="00AD04D9" w:rsidRDefault="00AD04D9" w:rsidP="00AD04D9">
      <w:pPr>
        <w:pStyle w:val="berschrift2"/>
      </w:pPr>
      <w:r>
        <w:t>3.3.40.49 Attraktorrobustheit</w:t>
      </w:r>
    </w:p>
    <w:p w:rsidR="00AD04D9" w:rsidRDefault="00AD04D9" w:rsidP="00AD04D9">
      <w:pPr>
        <w:pStyle w:val="StandardWeb"/>
      </w:pPr>
      <w:r>
        <w:t>Sei</w:t>
      </w:r>
    </w:p>
    <w:p w:rsidR="00AD04D9" w:rsidRDefault="00AD04D9" w:rsidP="00AD04D9">
      <w:pPr>
        <w:pStyle w:val="StandardWeb"/>
      </w:pPr>
      <w:r>
        <w:t>[</w:t>
      </w:r>
      <w:r>
        <w:br/>
        <w:t>\mathcal{A}_{F}</w:t>
      </w:r>
      <w:r>
        <w:br/>
        <w:t>\tag{3.6907}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\mathcal{A}_{F}\qquad\text{(3.6907)}</w:t>
      </w:r>
    </w:p>
    <w:p w:rsidR="00AD04D9" w:rsidRDefault="00AD04D9" w:rsidP="00AD04D9">
      <w:pPr>
        <w:pStyle w:val="StandardWeb"/>
      </w:pPr>
      <w:r>
        <w:lastRenderedPageBreak/>
        <w:t>ein funktionaler Attraktor.</w:t>
      </w:r>
    </w:p>
    <w:p w:rsidR="00AD04D9" w:rsidRDefault="00AD04D9" w:rsidP="00AD04D9">
      <w:pPr>
        <w:pStyle w:val="StandardWeb"/>
      </w:pPr>
      <w:r>
        <w:t>Unter Parametervariation gilt</w:t>
      </w:r>
    </w:p>
    <w:p w:rsidR="00AD04D9" w:rsidRDefault="00AD04D9" w:rsidP="00AD04D9">
      <w:pPr>
        <w:pStyle w:val="berschrift1"/>
      </w:pPr>
      <w:r>
        <w:t>[</w:t>
      </w:r>
      <w:r>
        <w:br/>
        <w:t>\mathcal{A}_{F}</w:t>
      </w:r>
    </w:p>
    <w:p w:rsidR="00AD04D9" w:rsidRDefault="00AD04D9" w:rsidP="00AD04D9">
      <w:pPr>
        <w:pStyle w:val="StandardWeb"/>
      </w:pPr>
      <w:r>
        <w:t>\mathcal{A}_{F}</w:t>
      </w:r>
      <w:r>
        <w:br/>
        <w:t>\left(</w:t>
      </w:r>
      <w:r>
        <w:br/>
        <w:t>\boldsymbol{\theta}</w:t>
      </w:r>
      <w:r>
        <w:br/>
        <w:t>\right).</w:t>
      </w:r>
      <w:r>
        <w:br/>
        <w:t>\tag{3.6908}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\mathcal{A}_{F}=\mathcal{A}_{F}\left(\boldsymbol{\theta}\right)\qquad\text{(3.6908)}</w:t>
      </w:r>
    </w:p>
    <w:p w:rsidR="00AD04D9" w:rsidRDefault="00AD04D9" w:rsidP="00AD04D9">
      <w:pPr>
        <w:pStyle w:val="StandardWeb"/>
      </w:pPr>
      <w:r>
        <w:t>Attraktorrobustheit kann durch</w:t>
      </w:r>
    </w:p>
    <w:p w:rsidR="00AD04D9" w:rsidRDefault="00AD04D9" w:rsidP="00AD04D9">
      <w:pPr>
        <w:pStyle w:val="StandardWeb"/>
      </w:pPr>
      <w:r>
        <w:t>[</w:t>
      </w:r>
      <w:r>
        <w:br/>
        <w:t>\mathcal{A}</w:t>
      </w:r>
      <w:r>
        <w:rPr>
          <w:rStyle w:val="Hervorhebung"/>
        </w:rPr>
        <w:t>{F}</w:t>
      </w:r>
      <w:r>
        <w:rPr>
          <w:i/>
          <w:iCs/>
        </w:rPr>
        <w:br/>
      </w:r>
      <w:r>
        <w:rPr>
          <w:rStyle w:val="Hervorhebung"/>
        </w:rPr>
        <w:t>\left(</w:t>
      </w:r>
      <w:r>
        <w:rPr>
          <w:i/>
          <w:iCs/>
        </w:rPr>
        <w:br/>
      </w:r>
      <w:r>
        <w:rPr>
          <w:rStyle w:val="Hervorhebung"/>
        </w:rPr>
        <w:t>\boldsymbol{\theta}1</w:t>
      </w:r>
      <w:r>
        <w:rPr>
          <w:i/>
          <w:iCs/>
        </w:rPr>
        <w:br/>
      </w:r>
      <w:r>
        <w:rPr>
          <w:rStyle w:val="Hervorhebung"/>
        </w:rPr>
        <w:t>\right)</w:t>
      </w:r>
      <w:r>
        <w:rPr>
          <w:i/>
          <w:iCs/>
        </w:rPr>
        <w:br/>
      </w:r>
      <w:r>
        <w:rPr>
          <w:rStyle w:val="Hervorhebung"/>
        </w:rPr>
        <w:t>\sim{\mathcal{A}}</w:t>
      </w:r>
      <w:r>
        <w:rPr>
          <w:i/>
          <w:iCs/>
        </w:rPr>
        <w:br/>
      </w:r>
      <w:r>
        <w:rPr>
          <w:rStyle w:val="Hervorhebung"/>
        </w:rPr>
        <w:t>\mathcal{A}</w:t>
      </w:r>
      <w:r>
        <w:t>{F}</w:t>
      </w:r>
      <w:r>
        <w:br/>
        <w:t>\left(</w:t>
      </w:r>
      <w:r>
        <w:br/>
        <w:t>\boldsymbol{\theta}_2</w:t>
      </w:r>
      <w:r>
        <w:br/>
        <w:t>\right)</w:t>
      </w:r>
      <w:r>
        <w:br/>
        <w:t>\tag{3.6909}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\mathcal{A}_{F}\left(\boldsymbol{\theta}_1\right)\sim_{\mathcal{A}}\mathcal{A}_{F}\left(\boldsymbol{\theta}_2\right)\qquad\text{(3.6909)}</w:t>
      </w:r>
    </w:p>
    <w:p w:rsidR="00AD04D9" w:rsidRDefault="00AD04D9" w:rsidP="00AD04D9">
      <w:pPr>
        <w:pStyle w:val="StandardWeb"/>
      </w:pPr>
      <w:r>
        <w:t>ausgedrückt werden.</w:t>
      </w:r>
    </w:p>
    <w:p w:rsidR="00AD04D9" w:rsidRDefault="00AD04D9" w:rsidP="00AD04D9">
      <w:pPr>
        <w:pStyle w:val="StandardWeb"/>
      </w:pPr>
      <w:r>
        <w:t>Dabei muss die konkrete Bedeutung von (\sim_{\mathcal{A}}) für die jeweilige Anwendung definiert werden.</w:t>
      </w:r>
    </w:p>
    <w:p w:rsidR="00AD04D9" w:rsidRDefault="00E50336" w:rsidP="00AD04D9">
      <w:r>
        <w:pict>
          <v:rect id="_x0000_i1325" style="width:0;height:1.5pt" o:hralign="center" o:hrstd="t" o:hr="t" fillcolor="#a0a0a0" stroked="f"/>
        </w:pict>
      </w:r>
    </w:p>
    <w:p w:rsidR="00AD04D9" w:rsidRDefault="00AD04D9" w:rsidP="00AD04D9">
      <w:pPr>
        <w:pStyle w:val="berschrift2"/>
      </w:pPr>
      <w:r>
        <w:t>3.3.40.50 Attraktorwechsel</w:t>
      </w:r>
    </w:p>
    <w:p w:rsidR="00AD04D9" w:rsidRDefault="00AD04D9" w:rsidP="00AD04D9">
      <w:pPr>
        <w:pStyle w:val="StandardWeb"/>
      </w:pPr>
      <w:r>
        <w:t>Ein qualitativer Parameterwechsel kann zu</w:t>
      </w:r>
    </w:p>
    <w:p w:rsidR="00AD04D9" w:rsidRDefault="00AD04D9" w:rsidP="00AD04D9">
      <w:pPr>
        <w:pStyle w:val="StandardWeb"/>
      </w:pPr>
      <w:r>
        <w:lastRenderedPageBreak/>
        <w:t>[</w:t>
      </w:r>
      <w:r>
        <w:br/>
        <w:t>\mathcal{A}</w:t>
      </w:r>
      <w:r>
        <w:rPr>
          <w:rStyle w:val="Hervorhebung"/>
        </w:rPr>
        <w:t>{F}^{(1)}</w:t>
      </w:r>
      <w:r>
        <w:rPr>
          <w:i/>
          <w:iCs/>
        </w:rPr>
        <w:br/>
      </w:r>
      <w:r>
        <w:rPr>
          <w:rStyle w:val="Hervorhebung"/>
        </w:rPr>
        <w:t>\neq</w:t>
      </w:r>
      <w:r>
        <w:rPr>
          <w:i/>
          <w:iCs/>
        </w:rPr>
        <w:br/>
      </w:r>
      <w:r>
        <w:rPr>
          <w:rStyle w:val="Hervorhebung"/>
        </w:rPr>
        <w:t>\mathcal{A}</w:t>
      </w:r>
      <w:r>
        <w:t>{F}^{(2)}</w:t>
      </w:r>
      <w:r>
        <w:br/>
        <w:t>\tag{3.6910}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\mathcal{A}_{F}^{(1)}\neq\mathcal{A}_{F}^{(2)}\qquad\text{(3.6910)}</w:t>
      </w:r>
    </w:p>
    <w:p w:rsidR="00AD04D9" w:rsidRDefault="00AD04D9" w:rsidP="00AD04D9">
      <w:pPr>
        <w:pStyle w:val="StandardWeb"/>
      </w:pPr>
      <w:r>
        <w:t>führen.</w:t>
      </w:r>
    </w:p>
    <w:p w:rsidR="00AD04D9" w:rsidRDefault="00AD04D9" w:rsidP="00AD04D9">
      <w:pPr>
        <w:pStyle w:val="StandardWeb"/>
      </w:pPr>
      <w:r>
        <w:t>Dann liegt ein Attraktorwechsel vor.</w:t>
      </w:r>
    </w:p>
    <w:p w:rsidR="00AD04D9" w:rsidRDefault="00AD04D9" w:rsidP="00AD04D9">
      <w:pPr>
        <w:pStyle w:val="StandardWeb"/>
      </w:pPr>
      <w:r>
        <w:t>Dieser kann ein besonders starkes Zeichen geringer struktureller Parameterrobustheit sein.</w:t>
      </w:r>
    </w:p>
    <w:p w:rsidR="00AD04D9" w:rsidRDefault="00E50336" w:rsidP="00AD04D9">
      <w:r>
        <w:pict>
          <v:rect id="_x0000_i1326" style="width:0;height:1.5pt" o:hralign="center" o:hrstd="t" o:hr="t" fillcolor="#a0a0a0" stroked="f"/>
        </w:pict>
      </w:r>
    </w:p>
    <w:p w:rsidR="00AD04D9" w:rsidRDefault="00AD04D9" w:rsidP="00AD04D9">
      <w:pPr>
        <w:pStyle w:val="berschrift2"/>
      </w:pPr>
      <w:r>
        <w:t>3.3.40.51 Robustheit von Dominanzbeziehungen</w:t>
      </w:r>
    </w:p>
    <w:p w:rsidR="00AD04D9" w:rsidRDefault="00AD04D9" w:rsidP="00AD04D9">
      <w:pPr>
        <w:pStyle w:val="StandardWeb"/>
      </w:pPr>
      <w:r>
        <w:t>Seien zwei funktionale Komponenten</w:t>
      </w:r>
    </w:p>
    <w:p w:rsidR="00AD04D9" w:rsidRDefault="00AD04D9" w:rsidP="00AD04D9">
      <w:pPr>
        <w:pStyle w:val="StandardWeb"/>
      </w:pPr>
      <w:r>
        <w:t>[</w:t>
      </w:r>
      <w:r>
        <w:br/>
        <w:t>D_a</w:t>
      </w:r>
      <w:r>
        <w:br/>
        <w:t>\left(</w:t>
      </w:r>
      <w:r>
        <w:br/>
        <w:t>\boldsymbol{\theta}</w:t>
      </w:r>
      <w:r>
        <w:br/>
        <w:t>\right),</w:t>
      </w:r>
      <w:r>
        <w:br/>
        <w:t>\qquad</w:t>
      </w:r>
      <w:r>
        <w:br/>
        <w:t>D_b</w:t>
      </w:r>
      <w:r>
        <w:br/>
        <w:t>\left(</w:t>
      </w:r>
      <w:r>
        <w:br/>
        <w:t>\boldsymbol{\theta}</w:t>
      </w:r>
      <w:r>
        <w:br/>
        <w:t>\right).</w:t>
      </w:r>
      <w:r>
        <w:br/>
        <w:t>\tag{3.6911}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D_a\left(\boldsymbol{\theta}\right),\qquad D_b\left(\boldsymbol{\theta}\right)\qquad\text{(3.6911)}</w:t>
      </w:r>
    </w:p>
    <w:p w:rsidR="00AD04D9" w:rsidRDefault="00AD04D9" w:rsidP="00AD04D9">
      <w:pPr>
        <w:pStyle w:val="StandardWeb"/>
      </w:pPr>
      <w:r>
        <w:t>Eine Dominanzbeziehung ist parameterrobust, wenn</w:t>
      </w:r>
    </w:p>
    <w:p w:rsidR="00AD04D9" w:rsidRDefault="00AD04D9" w:rsidP="00AD04D9">
      <w:pPr>
        <w:pStyle w:val="StandardWeb"/>
      </w:pPr>
      <w:r>
        <w:t>[</w:t>
      </w:r>
      <w:r>
        <w:br/>
        <w:t>D_a</w:t>
      </w:r>
      <w:r>
        <w:br/>
        <w:t>\left(</w:t>
      </w:r>
      <w:r>
        <w:br/>
        <w:t>\boldsymbol{\theta}</w:t>
      </w:r>
      <w:r>
        <w:br/>
        <w:t>\right)</w:t>
      </w:r>
    </w:p>
    <w:p w:rsidR="00AD04D9" w:rsidRDefault="00AD04D9" w:rsidP="00AD04D9">
      <w:pPr>
        <w:pStyle w:val="StandardWeb"/>
      </w:pPr>
      <w:r>
        <w:t>D_b</w:t>
      </w:r>
      <w:r>
        <w:br/>
        <w:t>\left(</w:t>
      </w:r>
      <w:r>
        <w:br/>
        <w:t>\boldsymbol{\theta}</w:t>
      </w:r>
      <w:r>
        <w:br/>
      </w:r>
      <w:r>
        <w:lastRenderedPageBreak/>
        <w:t>\right)</w:t>
      </w:r>
      <w:r>
        <w:br/>
        <w:t>\qquad</w:t>
      </w:r>
      <w:r>
        <w:br/>
        <w:t>\forall</w:t>
      </w:r>
      <w:r>
        <w:br/>
        <w:t>\boldsymbol{\theta}</w:t>
      </w:r>
      <w:r>
        <w:br/>
        <w:t>\in</w:t>
      </w:r>
      <w:r>
        <w:br/>
        <w:t>\Theta_{\mathrm{zul}}.</w:t>
      </w:r>
      <w:r>
        <w:br/>
        <w:t>\tag{3.6912}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D_a\left(\boldsymbol{\theta}\right)&gt;D_b\left(\boldsymbol{\theta}\right)\qquad\forall\boldsymbol{\theta}\in\Theta_{\mathrm{zul}}\qquad\text{(3.6912)}</w:t>
      </w:r>
    </w:p>
    <w:p w:rsidR="00AD04D9" w:rsidRDefault="00AD04D9" w:rsidP="00AD04D9">
      <w:pPr>
        <w:pStyle w:val="StandardWeb"/>
      </w:pPr>
      <w:r>
        <w:t>Ein Dominanzwechsel tritt auf, wenn</w:t>
      </w:r>
    </w:p>
    <w:p w:rsidR="00AD04D9" w:rsidRDefault="00AD04D9" w:rsidP="00AD04D9">
      <w:pPr>
        <w:pStyle w:val="StandardWeb"/>
      </w:pPr>
      <w:r>
        <w:t>[</w:t>
      </w:r>
      <w:r>
        <w:br/>
        <w:t>\exists</w:t>
      </w:r>
      <w:r>
        <w:br/>
        <w:t>\boldsymbol{\theta}_1,</w:t>
      </w:r>
      <w:r>
        <w:br/>
        <w:t>\boldsymbol{\theta}_2:</w:t>
      </w:r>
      <w:r>
        <w:br/>
        <w:t>\quad</w:t>
      </w:r>
      <w:r>
        <w:br/>
        <w:t>D_a(\boldsymbol{\theta}_1)</w:t>
      </w:r>
    </w:p>
    <w:p w:rsidR="00AD04D9" w:rsidRDefault="00AD04D9" w:rsidP="00AD04D9">
      <w:pPr>
        <w:pStyle w:val="StandardWeb"/>
      </w:pPr>
      <w:r>
        <w:t>D_b(\boldsymbol{\theta}_1)</w:t>
      </w:r>
      <w:r>
        <w:br/>
        <w:t>\land</w:t>
      </w:r>
      <w:r>
        <w:br/>
        <w:t>D_a(\boldsymbol{\theta}_2)</w:t>
      </w:r>
      <w:r>
        <w:br/>
        <w:t>&lt;</w:t>
      </w:r>
      <w:r>
        <w:br/>
        <w:t>D_b(\boldsymbol{\theta}_2).</w:t>
      </w:r>
      <w:r>
        <w:br/>
        <w:t>\tag{3.6913}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\exists\boldsymbol{\theta}_1,\boldsymbol{\theta}_2:D_a(\boldsymbol{\theta}_1)&gt;D_b(\boldsymbol{\theta}_1)\land D_a(\boldsymbol{\theta}_2)&lt;D_b(\boldsymbol{\theta}_2)\qquad\text{(3.6913)}</w:t>
      </w:r>
    </w:p>
    <w:p w:rsidR="00AD04D9" w:rsidRDefault="00E50336" w:rsidP="00AD04D9">
      <w:r>
        <w:pict>
          <v:rect id="_x0000_i1327" style="width:0;height:1.5pt" o:hralign="center" o:hrstd="t" o:hr="t" fillcolor="#a0a0a0" stroked="f"/>
        </w:pict>
      </w:r>
    </w:p>
    <w:p w:rsidR="00AD04D9" w:rsidRDefault="00AD04D9" w:rsidP="00AD04D9">
      <w:pPr>
        <w:pStyle w:val="berschrift2"/>
      </w:pPr>
      <w:r>
        <w:t>3.3.40.52 Parameterrobustheit relationaler Strukturen</w:t>
      </w:r>
    </w:p>
    <w:p w:rsidR="00AD04D9" w:rsidRDefault="00AD04D9" w:rsidP="00AD04D9">
      <w:pPr>
        <w:pStyle w:val="StandardWeb"/>
      </w:pPr>
      <w:r>
        <w:t>Eine relationale Struktur sei</w:t>
      </w:r>
    </w:p>
    <w:p w:rsidR="00AD04D9" w:rsidRDefault="00AD04D9" w:rsidP="00AD04D9">
      <w:pPr>
        <w:pStyle w:val="StandardWeb"/>
      </w:pPr>
      <w:r>
        <w:t>[</w:t>
      </w:r>
      <w:r>
        <w:br/>
        <w:t>\mathfrak{R}_{F}</w:t>
      </w:r>
      <w:r>
        <w:br/>
        <w:t>\left(</w:t>
      </w:r>
      <w:r>
        <w:br/>
        <w:t>\boldsymbol{\theta}</w:t>
      </w:r>
      <w:r>
        <w:br/>
        <w:t>\right).</w:t>
      </w:r>
      <w:r>
        <w:br/>
        <w:t>\tag{3.6914}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\mathfrak{R}_{F}\left(\boldsymbol{\theta}\right)\qquad\text{(3.6914)}</w:t>
      </w:r>
    </w:p>
    <w:p w:rsidR="00AD04D9" w:rsidRDefault="00AD04D9" w:rsidP="00AD04D9">
      <w:pPr>
        <w:pStyle w:val="StandardWeb"/>
      </w:pPr>
      <w:r>
        <w:t>Eine robuste Relationstruktur erfüllt</w:t>
      </w:r>
    </w:p>
    <w:p w:rsidR="00AD04D9" w:rsidRDefault="00AD04D9" w:rsidP="00AD04D9">
      <w:pPr>
        <w:pStyle w:val="StandardWeb"/>
      </w:pPr>
      <w:r>
        <w:t>[</w:t>
      </w:r>
      <w:r>
        <w:br/>
        <w:t>\mathfrak{R}_{F}</w:t>
      </w:r>
      <w:r>
        <w:br/>
        <w:t>\left(</w:t>
      </w:r>
      <w:r>
        <w:br/>
        <w:t>\boldsymbol{\theta}</w:t>
      </w:r>
      <w:r>
        <w:rPr>
          <w:rStyle w:val="Hervorhebung"/>
        </w:rPr>
        <w:t>1</w:t>
      </w:r>
      <w:r>
        <w:rPr>
          <w:i/>
          <w:iCs/>
        </w:rPr>
        <w:br/>
      </w:r>
      <w:r>
        <w:rPr>
          <w:rStyle w:val="Hervorhebung"/>
        </w:rPr>
        <w:t>\right)</w:t>
      </w:r>
      <w:r>
        <w:rPr>
          <w:i/>
          <w:iCs/>
        </w:rPr>
        <w:br/>
      </w:r>
      <w:r>
        <w:rPr>
          <w:rStyle w:val="Hervorhebung"/>
        </w:rPr>
        <w:t>\cong</w:t>
      </w:r>
      <w:r>
        <w:rPr>
          <w:i/>
          <w:iCs/>
        </w:rPr>
        <w:br/>
      </w:r>
      <w:r>
        <w:rPr>
          <w:rStyle w:val="Hervorhebung"/>
        </w:rPr>
        <w:t>\mathfrak{R}</w:t>
      </w:r>
      <w:r>
        <w:t>{F}</w:t>
      </w:r>
      <w:r>
        <w:br/>
        <w:t>\left(</w:t>
      </w:r>
      <w:r>
        <w:br/>
        <w:t>\boldsymbol{\theta}_2</w:t>
      </w:r>
      <w:r>
        <w:br/>
        <w:t>\right)</w:t>
      </w:r>
      <w:r>
        <w:br/>
        <w:t>\tag{3.6915}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\mathfrak{R}_{F}\left(\boldsymbol{\theta}_1\right)\cong\mathfrak{R}_{F}\left(\boldsymbol{\theta}_2\right)\qquad\text{(3.6915)}</w:t>
      </w:r>
    </w:p>
    <w:p w:rsidR="00AD04D9" w:rsidRDefault="00AD04D9" w:rsidP="00AD04D9">
      <w:pPr>
        <w:pStyle w:val="StandardWeb"/>
      </w:pPr>
      <w:r>
        <w:t>für die betrachteten Parametrisierungen.</w:t>
      </w:r>
    </w:p>
    <w:p w:rsidR="00AD04D9" w:rsidRDefault="00AD04D9" w:rsidP="00AD04D9">
      <w:pPr>
        <w:pStyle w:val="StandardWeb"/>
      </w:pPr>
      <w:r>
        <w:t>Damit kann eine relationale FRZK-Aussage robust sein, obwohl einzelne Kantengewichte variieren.</w:t>
      </w:r>
    </w:p>
    <w:p w:rsidR="00AD04D9" w:rsidRDefault="00E50336" w:rsidP="00AD04D9">
      <w:r>
        <w:pict>
          <v:rect id="_x0000_i1328" style="width:0;height:1.5pt" o:hralign="center" o:hrstd="t" o:hr="t" fillcolor="#a0a0a0" stroked="f"/>
        </w:pict>
      </w:r>
    </w:p>
    <w:p w:rsidR="00AD04D9" w:rsidRDefault="00AD04D9" w:rsidP="00AD04D9">
      <w:pPr>
        <w:pStyle w:val="berschrift2"/>
      </w:pPr>
      <w:r>
        <w:t>3.3.40.53 Kantenrobustheit gegenüber Parametern</w:t>
      </w:r>
    </w:p>
    <w:p w:rsidR="00AD04D9" w:rsidRDefault="00AD04D9" w:rsidP="00AD04D9">
      <w:pPr>
        <w:pStyle w:val="StandardWeb"/>
      </w:pPr>
      <w:r>
        <w:t>Für eine Kante (i,j) sei</w:t>
      </w:r>
    </w:p>
    <w:p w:rsidR="00AD04D9" w:rsidRDefault="00AD04D9" w:rsidP="00AD04D9">
      <w:pPr>
        <w:pStyle w:val="StandardWeb"/>
      </w:pPr>
      <w:r>
        <w:t>[</w:t>
      </w:r>
      <w:r>
        <w:br/>
        <w:t>a_{ij}</w:t>
      </w:r>
      <w:r>
        <w:br/>
        <w:t>\left(</w:t>
      </w:r>
      <w:r>
        <w:br/>
        <w:t>\boldsymbol{\theta}</w:t>
      </w:r>
      <w:r>
        <w:br/>
        <w:t>\right)</w:t>
      </w:r>
      <w:r>
        <w:br/>
        <w:t>\in</w:t>
      </w:r>
      <w:r>
        <w:br/>
        <w:t>{0,1}.</w:t>
      </w:r>
      <w:r>
        <w:br/>
        <w:t>\tag{3.6916}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a_{ij}\left(\boldsymbol{\theta}\right)\in\{0,1\}\qquad\text{(3.6916)}</w:t>
      </w:r>
    </w:p>
    <w:p w:rsidR="00AD04D9" w:rsidRDefault="00AD04D9" w:rsidP="00AD04D9">
      <w:pPr>
        <w:pStyle w:val="StandardWeb"/>
      </w:pPr>
      <w:r>
        <w:t>Bei (N) Parameterstichproben definiere ich</w:t>
      </w:r>
    </w:p>
    <w:p w:rsidR="00AD04D9" w:rsidRDefault="00AD04D9" w:rsidP="00AD04D9">
      <w:pPr>
        <w:pStyle w:val="berschrift1"/>
      </w:pPr>
      <w:r>
        <w:lastRenderedPageBreak/>
        <w:t>[</w:t>
      </w:r>
      <w:r>
        <w:br/>
        <w:t>R_{ij}^{\theta}</w:t>
      </w:r>
    </w:p>
    <w:p w:rsidR="00AD04D9" w:rsidRDefault="00AD04D9" w:rsidP="00AD04D9">
      <w:pPr>
        <w:pStyle w:val="StandardWeb"/>
      </w:pPr>
      <w:r>
        <w:t>\frac{1}{N}</w:t>
      </w:r>
      <w:r>
        <w:br/>
        <w:t>\sum_{k=1}^{N}</w:t>
      </w:r>
      <w:r>
        <w:br/>
        <w:t>a_{ij}</w:t>
      </w:r>
      <w:r>
        <w:br/>
        <w:t>\left(</w:t>
      </w:r>
      <w:r>
        <w:br/>
        <w:t>\boldsymbol{\theta}^{(k)}</w:t>
      </w:r>
      <w:r>
        <w:br/>
        <w:t>\right).</w:t>
      </w:r>
      <w:r>
        <w:br/>
        <w:t>\tag{3.6917}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R_{ij}^{\theta}=\frac{1}{N}\sum_{k=1}^{N}a_{ij}\left(\boldsymbol{\theta}^{(k)}\right)\qquad\text{(3.6917)}</w:t>
      </w:r>
    </w:p>
    <w:p w:rsidR="00AD04D9" w:rsidRDefault="00AD04D9" w:rsidP="00AD04D9">
      <w:pPr>
        <w:pStyle w:val="StandardWeb"/>
      </w:pPr>
      <w:r>
        <w:t>Damit kann die Stabilität einzelner Relationen über den Parameterraum quantifiziert werden.</w:t>
      </w:r>
    </w:p>
    <w:p w:rsidR="00AD04D9" w:rsidRDefault="00E50336" w:rsidP="00AD04D9">
      <w:r>
        <w:pict>
          <v:rect id="_x0000_i1329" style="width:0;height:1.5pt" o:hralign="center" o:hrstd="t" o:hr="t" fillcolor="#a0a0a0" stroked="f"/>
        </w:pict>
      </w:r>
    </w:p>
    <w:p w:rsidR="00AD04D9" w:rsidRDefault="00AD04D9" w:rsidP="00AD04D9">
      <w:pPr>
        <w:pStyle w:val="berschrift2"/>
      </w:pPr>
      <w:r>
        <w:t>3.3.40.54 Parameterrobustheit kausaler Aussagen</w:t>
      </w:r>
    </w:p>
    <w:p w:rsidR="00AD04D9" w:rsidRDefault="00AD04D9" w:rsidP="00AD04D9">
      <w:pPr>
        <w:pStyle w:val="StandardWeb"/>
      </w:pPr>
      <w:r>
        <w:t>Ein geschätzter Kausaleffekt kann parameterabhängig sein:</w:t>
      </w:r>
    </w:p>
    <w:p w:rsidR="00AD04D9" w:rsidRDefault="00AD04D9" w:rsidP="00AD04D9">
      <w:pPr>
        <w:pStyle w:val="berschrift1"/>
      </w:pPr>
      <w:r>
        <w:t>[</w:t>
      </w:r>
      <w:r>
        <w:br/>
        <w:t>\psi_C</w:t>
      </w:r>
    </w:p>
    <w:p w:rsidR="00AD04D9" w:rsidRDefault="00AD04D9" w:rsidP="00AD04D9">
      <w:pPr>
        <w:pStyle w:val="StandardWeb"/>
      </w:pPr>
      <w:r>
        <w:t>\psi_C</w:t>
      </w:r>
      <w:r>
        <w:br/>
        <w:t>\left(</w:t>
      </w:r>
      <w:r>
        <w:br/>
        <w:t>\boldsymbol{\theta}</w:t>
      </w:r>
      <w:r>
        <w:br/>
        <w:t>\right).</w:t>
      </w:r>
      <w:r>
        <w:br/>
        <w:t>\tag{3.6918}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\psi_C=\psi_C\left(\boldsymbol{\theta}\right)\qquad\text{(3.6918)}</w:t>
      </w:r>
    </w:p>
    <w:p w:rsidR="00AD04D9" w:rsidRDefault="00AD04D9" w:rsidP="00AD04D9">
      <w:pPr>
        <w:pStyle w:val="StandardWeb"/>
      </w:pPr>
      <w:r>
        <w:t>Eine starke kausale Aussage erfordert mindestens Vorzeichenrobustheit:</w:t>
      </w:r>
    </w:p>
    <w:p w:rsidR="00AD04D9" w:rsidRDefault="00AD04D9" w:rsidP="00AD04D9">
      <w:pPr>
        <w:pStyle w:val="berschrift1"/>
      </w:pPr>
      <w:r>
        <w:t>[</w:t>
      </w:r>
      <w:r>
        <w:br/>
        <w:t>\operatorname{sgn}</w:t>
      </w:r>
      <w:r>
        <w:br/>
        <w:t>\left(</w:t>
      </w:r>
      <w:r>
        <w:br/>
      </w:r>
      <w:r>
        <w:lastRenderedPageBreak/>
        <w:t>\psi_C(\boldsymbol{\theta})</w:t>
      </w:r>
      <w:r>
        <w:br/>
        <w:t>\right)</w:t>
      </w:r>
    </w:p>
    <w:p w:rsidR="00AD04D9" w:rsidRDefault="00AD04D9" w:rsidP="00AD04D9">
      <w:pPr>
        <w:pStyle w:val="StandardWeb"/>
      </w:pPr>
      <w:r>
        <w:t>s^\ast</w:t>
      </w:r>
      <w:r>
        <w:br/>
        <w:t>\qquad</w:t>
      </w:r>
      <w:r>
        <w:br/>
        <w:t>\forall</w:t>
      </w:r>
      <w:r>
        <w:br/>
        <w:t>\boldsymbol{\theta}</w:t>
      </w:r>
      <w:r>
        <w:br/>
        <w:t>\in</w:t>
      </w:r>
      <w:r>
        <w:br/>
        <w:t>\Theta_{\mathrm{zul}}.</w:t>
      </w:r>
      <w:r>
        <w:br/>
        <w:t>\tag{3.6919}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\operatorname{sgn}\left(\psi_C(\boldsymbol{\theta})\right)=s^{\ast}\qquad\forall\boldsymbol{\theta}\in\Theta_{\mathrm{zul}}\qquad\text{(3.6919)}</w:t>
      </w:r>
    </w:p>
    <w:p w:rsidR="00AD04D9" w:rsidRDefault="00AD04D9" w:rsidP="00AD04D9">
      <w:pPr>
        <w:pStyle w:val="StandardWeb"/>
      </w:pPr>
      <w:r>
        <w:t>Ein Vorzeichenwechsel</w:t>
      </w:r>
    </w:p>
    <w:p w:rsidR="00AD04D9" w:rsidRDefault="00AD04D9" w:rsidP="00AD04D9">
      <w:pPr>
        <w:pStyle w:val="StandardWeb"/>
      </w:pPr>
      <w:r>
        <w:t>[</w:t>
      </w:r>
      <w:r>
        <w:br/>
        <w:t>\operatorname{sgn}</w:t>
      </w:r>
      <w:r>
        <w:br/>
        <w:t>\left(</w:t>
      </w:r>
      <w:r>
        <w:br/>
        <w:t>\psi_C(\boldsymbol{\theta}_1)</w:t>
      </w:r>
      <w:r>
        <w:br/>
        <w:t>\right)</w:t>
      </w:r>
      <w:r>
        <w:br/>
        <w:t>\neq</w:t>
      </w:r>
      <w:r>
        <w:br/>
        <w:t>\operatorname{sgn}</w:t>
      </w:r>
      <w:r>
        <w:br/>
        <w:t>\left(</w:t>
      </w:r>
      <w:r>
        <w:br/>
        <w:t>\psi_C(\boldsymbol{\theta}_2)</w:t>
      </w:r>
      <w:r>
        <w:br/>
        <w:t>\right)</w:t>
      </w:r>
      <w:r>
        <w:br/>
        <w:t>\tag{3.6920}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\operatorname{sgn}\left(\psi_C(\boldsymbol{\theta}_1)\right)\neq\operatorname{sgn}\left(\psi_C(\boldsymbol{\theta}_2)\right)\qquad\text{(3.6920)}</w:t>
      </w:r>
    </w:p>
    <w:p w:rsidR="00AD04D9" w:rsidRDefault="00AD04D9" w:rsidP="00AD04D9">
      <w:pPr>
        <w:pStyle w:val="StandardWeb"/>
      </w:pPr>
      <w:r>
        <w:t>zeigt eine parameterinstabile kausale Schlussfolgerung.</w:t>
      </w:r>
    </w:p>
    <w:p w:rsidR="00AD04D9" w:rsidRDefault="00E50336" w:rsidP="00AD04D9">
      <w:r>
        <w:pict>
          <v:rect id="_x0000_i1330" style="width:0;height:1.5pt" o:hralign="center" o:hrstd="t" o:hr="t" fillcolor="#a0a0a0" stroked="f"/>
        </w:pict>
      </w:r>
    </w:p>
    <w:p w:rsidR="00AD04D9" w:rsidRDefault="00AD04D9" w:rsidP="00AD04D9">
      <w:pPr>
        <w:pStyle w:val="berschrift2"/>
      </w:pPr>
      <w:r>
        <w:t>3.3.40.55 Prognoserobustheit gegenüber Parametern</w:t>
      </w:r>
    </w:p>
    <w:p w:rsidR="00AD04D9" w:rsidRDefault="00AD04D9" w:rsidP="00AD04D9">
      <w:pPr>
        <w:pStyle w:val="StandardWeb"/>
      </w:pPr>
      <w:r>
        <w:t>Die Prognose eines Modells sei</w:t>
      </w:r>
    </w:p>
    <w:p w:rsidR="00AD04D9" w:rsidRDefault="00AD04D9" w:rsidP="00AD04D9">
      <w:pPr>
        <w:pStyle w:val="StandardWeb"/>
      </w:pPr>
      <w:r>
        <w:t>[</w:t>
      </w:r>
      <w:r>
        <w:br/>
        <w:t>\widehat{Y}</w:t>
      </w:r>
      <w:r>
        <w:br/>
        <w:t>\left(</w:t>
      </w:r>
      <w:r>
        <w:br/>
        <w:t>t;</w:t>
      </w:r>
      <w:r>
        <w:br/>
        <w:t>\boldsymbol{\theta},</w:t>
      </w:r>
      <w:r>
        <w:br/>
      </w:r>
      <w:r>
        <w:lastRenderedPageBreak/>
        <w:t>\delta_0</w:t>
      </w:r>
      <w:r>
        <w:br/>
        <w:t>\right).</w:t>
      </w:r>
      <w:r>
        <w:br/>
        <w:t>\tag{3.6921}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\widehat{Y}\left(t;\boldsymbol{\theta},\delta_0\right)\qquad\text{(3.6921)}</w:t>
      </w:r>
    </w:p>
    <w:p w:rsidR="00AD04D9" w:rsidRDefault="00AD04D9" w:rsidP="00AD04D9">
      <w:pPr>
        <w:pStyle w:val="StandardWeb"/>
      </w:pPr>
      <w:r>
        <w:t>Die Prognosevarianz über Parameter- und Anfangszustandsunsicherheit lautet</w:t>
      </w:r>
    </w:p>
    <w:p w:rsidR="00AD04D9" w:rsidRDefault="00AD04D9" w:rsidP="00AD04D9">
      <w:pPr>
        <w:pStyle w:val="berschrift1"/>
      </w:pPr>
      <w:r>
        <w:t>[</w:t>
      </w:r>
      <w:r>
        <w:br/>
        <w:t>V_{\mathrm{pred}}</w:t>
      </w:r>
      <w:r>
        <w:br/>
        <w:t>(t)</w:t>
      </w:r>
    </w:p>
    <w:p w:rsidR="00AD04D9" w:rsidRDefault="00AD04D9" w:rsidP="00AD04D9">
      <w:pPr>
        <w:pStyle w:val="StandardWeb"/>
      </w:pPr>
      <w:r>
        <w:t>\operatorname{Var}_{\theta,\delta_0}</w:t>
      </w:r>
      <w:r>
        <w:br/>
        <w:t>\left[</w:t>
      </w:r>
      <w:r>
        <w:br/>
        <w:t>\widehat{Y}</w:t>
      </w:r>
      <w:r>
        <w:br/>
        <w:t>\left(</w:t>
      </w:r>
      <w:r>
        <w:br/>
        <w:t>t;</w:t>
      </w:r>
      <w:r>
        <w:br/>
        <w:t>\boldsymbol{\theta},</w:t>
      </w:r>
      <w:r>
        <w:br/>
        <w:t>\delta_0</w:t>
      </w:r>
      <w:r>
        <w:br/>
        <w:t>\right)</w:t>
      </w:r>
      <w:r>
        <w:br/>
        <w:t>\right].</w:t>
      </w:r>
      <w:r>
        <w:br/>
        <w:t>\tag{3.6922}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V_{\mathrm{pred}}(t)=\operatorname{Var}_{\theta,\delta_0}\left[\widehat{Y}\left(t;\boldsymbol{\theta},\delta_0\right)\right]\qquad\text{(3.6922)}</w:t>
      </w:r>
    </w:p>
    <w:p w:rsidR="00AD04D9" w:rsidRDefault="00AD04D9" w:rsidP="00AD04D9">
      <w:pPr>
        <w:pStyle w:val="StandardWeb"/>
      </w:pPr>
      <w:r>
        <w:t>Ein wachsendes (V_{\mathrm{pred}}(t)) zeigt eine mit dem Prognosehorizont zunehmende Empfindlichkeit.</w:t>
      </w:r>
    </w:p>
    <w:p w:rsidR="00AD04D9" w:rsidRDefault="00E50336" w:rsidP="00AD04D9">
      <w:r>
        <w:pict>
          <v:rect id="_x0000_i1331" style="width:0;height:1.5pt" o:hralign="center" o:hrstd="t" o:hr="t" fillcolor="#a0a0a0" stroked="f"/>
        </w:pict>
      </w:r>
    </w:p>
    <w:p w:rsidR="00AD04D9" w:rsidRDefault="00AD04D9" w:rsidP="00AD04D9">
      <w:pPr>
        <w:pStyle w:val="berschrift2"/>
      </w:pPr>
      <w:r>
        <w:t>3.3.40.56 Prognosestabilität</w:t>
      </w:r>
    </w:p>
    <w:p w:rsidR="00AD04D9" w:rsidRDefault="00AD04D9" w:rsidP="00AD04D9">
      <w:pPr>
        <w:pStyle w:val="StandardWeb"/>
      </w:pPr>
      <w:r>
        <w:t>Eine praktische Prognosestabilitätsbedingung kann lauten</w:t>
      </w:r>
    </w:p>
    <w:p w:rsidR="00AD04D9" w:rsidRDefault="00AD04D9" w:rsidP="00AD04D9">
      <w:pPr>
        <w:pStyle w:val="StandardWeb"/>
      </w:pPr>
      <w:r>
        <w:t>[</w:t>
      </w:r>
      <w:r>
        <w:br/>
        <w:t>V_{\mathrm{pred}}</w:t>
      </w:r>
      <w:r>
        <w:br/>
        <w:t>(t)</w:t>
      </w:r>
      <w:r>
        <w:br/>
        <w:t>\leq</w:t>
      </w:r>
      <w:r>
        <w:br/>
        <w:t>\tau_{\mathrm{pred}}</w:t>
      </w:r>
      <w:r>
        <w:br/>
        <w:t>\tag{3.6923}</w:t>
      </w:r>
      <w:r>
        <w:br/>
        <w:t>]</w:t>
      </w:r>
    </w:p>
    <w:p w:rsidR="00AD04D9" w:rsidRDefault="00AD04D9" w:rsidP="00AD04D9">
      <w:pPr>
        <w:pStyle w:val="StandardWeb"/>
      </w:pPr>
      <w:r>
        <w:rPr>
          <w:rStyle w:val="Fett"/>
        </w:rPr>
        <w:lastRenderedPageBreak/>
        <w:t>Word-LaTeX</w:t>
      </w:r>
    </w:p>
    <w:p w:rsidR="00AD04D9" w:rsidRDefault="00AD04D9" w:rsidP="00AD04D9">
      <w:pPr>
        <w:pStyle w:val="HTMLVorformatiert"/>
        <w:rPr>
          <w:rStyle w:val="HTMLCode"/>
        </w:rPr>
      </w:pPr>
      <w:r>
        <w:rPr>
          <w:rStyle w:val="HTMLCode"/>
        </w:rPr>
        <w:t>V_{\mathrm{pred}}(t)\leq\tau_{\mathrm{pred}}\qquad\text{(3.6923)}</w:t>
      </w:r>
    </w:p>
    <w:p w:rsidR="00AD04D9" w:rsidRDefault="00AD04D9" w:rsidP="00AD04D9">
      <w:pPr>
        <w:pStyle w:val="StandardWeb"/>
      </w:pPr>
      <w:r>
        <w:t>für</w:t>
      </w:r>
    </w:p>
    <w:p w:rsidR="00AD04D9" w:rsidRDefault="00AD04D9" w:rsidP="00AD04D9">
      <w:pPr>
        <w:pStyle w:val="StandardWeb"/>
      </w:pPr>
      <w:r>
        <w:t>[</w:t>
      </w:r>
      <w:r>
        <w:br/>
        <w:t>0</w:t>
      </w:r>
      <w:r>
        <w:br/>
        <w:t>\leq</w:t>
      </w:r>
      <w:r>
        <w:br/>
        <w:t>t</w:t>
      </w:r>
      <w:r>
        <w:br/>
        <w:t>\leq</w:t>
      </w:r>
      <w:r>
        <w:br/>
        <w:t>T_{\mathrm{rob}}.</w:t>
      </w:r>
      <w:r>
        <w:br/>
        <w:t>\tag{3.6924}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0\leq t\leq T_{\mathrm{rob}}\qquad\text{(3.6924)}</w:t>
      </w:r>
    </w:p>
    <w:p w:rsidR="00AD04D9" w:rsidRDefault="00AD04D9" w:rsidP="00AD04D9">
      <w:pPr>
        <w:pStyle w:val="StandardWeb"/>
      </w:pPr>
      <w:r>
        <w:t>Damit wird ein robuster Prognosehorizont (T_{\mathrm{rob}}) definiert.</w:t>
      </w:r>
    </w:p>
    <w:p w:rsidR="00AD04D9" w:rsidRDefault="00E50336" w:rsidP="00AD04D9">
      <w:r>
        <w:pict>
          <v:rect id="_x0000_i1332" style="width:0;height:1.5pt" o:hralign="center" o:hrstd="t" o:hr="t" fillcolor="#a0a0a0" stroked="f"/>
        </w:pict>
      </w:r>
    </w:p>
    <w:p w:rsidR="00AD04D9" w:rsidRDefault="00AD04D9" w:rsidP="00AD04D9">
      <w:pPr>
        <w:pStyle w:val="berschrift2"/>
      </w:pPr>
      <w:r>
        <w:t>3.3.40.57 Robuster Prognosehorizont</w:t>
      </w:r>
    </w:p>
    <w:p w:rsidR="00AD04D9" w:rsidRDefault="00AD04D9" w:rsidP="00AD04D9">
      <w:pPr>
        <w:pStyle w:val="StandardWeb"/>
      </w:pPr>
      <w:r>
        <w:t>Ich definiere</w:t>
      </w:r>
    </w:p>
    <w:p w:rsidR="00AD04D9" w:rsidRDefault="00AD04D9" w:rsidP="00AD04D9">
      <w:pPr>
        <w:pStyle w:val="berschrift1"/>
      </w:pPr>
      <w:r>
        <w:t>[</w:t>
      </w:r>
      <w:r>
        <w:br/>
        <w:t>T_{\mathrm{rob}}</w:t>
      </w:r>
    </w:p>
    <w:p w:rsidR="00AD04D9" w:rsidRDefault="00AD04D9" w:rsidP="00AD04D9">
      <w:pPr>
        <w:pStyle w:val="StandardWeb"/>
      </w:pPr>
      <w:r>
        <w:t>\sup</w:t>
      </w:r>
      <w:r>
        <w:br/>
        <w:t>\left{</w:t>
      </w:r>
      <w:r>
        <w:br/>
        <w:t>t:</w:t>
      </w:r>
      <w:r>
        <w:br/>
        <w:t>V_{\mathrm{pred}}(t)</w:t>
      </w:r>
      <w:r>
        <w:br/>
        <w:t>\leq</w:t>
      </w:r>
      <w:r>
        <w:br/>
        <w:t>\tau_{\mathrm{pred}}</w:t>
      </w:r>
      <w:r>
        <w:br/>
        <w:t>\right}.</w:t>
      </w:r>
      <w:r>
        <w:br/>
        <w:t>\tag{3.6925}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T_{\mathrm{rob}}=\sup\left\{t:V_{\mathrm{pred}}(t)\leq\tau_{\mathrm{pred}}\right\}\qquad\text{(3.6925)}</w:t>
      </w:r>
    </w:p>
    <w:p w:rsidR="00AD04D9" w:rsidRDefault="00AD04D9" w:rsidP="00AD04D9">
      <w:pPr>
        <w:pStyle w:val="StandardWeb"/>
      </w:pPr>
      <w:r>
        <w:t>Dieser Horizont kann kürzer als der rein numerisch berechenbare Prognosezeitraum sein.</w:t>
      </w:r>
    </w:p>
    <w:p w:rsidR="00AD04D9" w:rsidRDefault="00E50336" w:rsidP="00AD04D9">
      <w:r>
        <w:pict>
          <v:rect id="_x0000_i1333" style="width:0;height:1.5pt" o:hralign="center" o:hrstd="t" o:hr="t" fillcolor="#a0a0a0" stroked="f"/>
        </w:pict>
      </w:r>
    </w:p>
    <w:p w:rsidR="00AD04D9" w:rsidRDefault="00AD04D9" w:rsidP="00AD04D9">
      <w:pPr>
        <w:pStyle w:val="berschrift2"/>
      </w:pPr>
      <w:r>
        <w:t>3.3.40.58 Robustheit einer Erklärung gegenüber Parametern</w:t>
      </w:r>
    </w:p>
    <w:p w:rsidR="00AD04D9" w:rsidRDefault="00AD04D9" w:rsidP="00AD04D9">
      <w:pPr>
        <w:pStyle w:val="StandardWeb"/>
      </w:pPr>
      <w:r>
        <w:lastRenderedPageBreak/>
        <w:t>Eine Erklärungsstruktur sei</w:t>
      </w:r>
    </w:p>
    <w:p w:rsidR="00AD04D9" w:rsidRDefault="00AD04D9" w:rsidP="00AD04D9">
      <w:pPr>
        <w:pStyle w:val="berschrift1"/>
      </w:pPr>
      <w:r>
        <w:t>[</w:t>
      </w:r>
      <w:r>
        <w:br/>
        <w:t>\mathcal{X}_{F}</w:t>
      </w:r>
    </w:p>
    <w:p w:rsidR="00AD04D9" w:rsidRDefault="00AD04D9" w:rsidP="00AD04D9">
      <w:pPr>
        <w:pStyle w:val="StandardWeb"/>
      </w:pPr>
      <w:r>
        <w:t>\mathcal{X}_{F}</w:t>
      </w:r>
      <w:r>
        <w:br/>
        <w:t>\left(</w:t>
      </w:r>
      <w:r>
        <w:br/>
        <w:t>\boldsymbol{\theta}</w:t>
      </w:r>
      <w:r>
        <w:br/>
        <w:t>\right).</w:t>
      </w:r>
      <w:r>
        <w:br/>
        <w:t>\tag{3.6926}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\mathcal{X}_{F}=\mathcal{X}_{F}\left(\boldsymbol{\theta}\right)\qquad\text{(3.6926)}</w:t>
      </w:r>
    </w:p>
    <w:p w:rsidR="00AD04D9" w:rsidRDefault="00AD04D9" w:rsidP="00AD04D9">
      <w:pPr>
        <w:pStyle w:val="StandardWeb"/>
      </w:pPr>
      <w:r>
        <w:t>Eine robuste Kernerklärung erfüllt</w:t>
      </w:r>
    </w:p>
    <w:p w:rsidR="00AD04D9" w:rsidRDefault="00AD04D9" w:rsidP="00AD04D9">
      <w:pPr>
        <w:pStyle w:val="StandardWeb"/>
      </w:pPr>
      <w:r>
        <w:t>[</w:t>
      </w:r>
      <w:r>
        <w:br/>
        <w:t>\mathcal{X}</w:t>
      </w:r>
      <w:r>
        <w:rPr>
          <w:rStyle w:val="Hervorhebung"/>
        </w:rPr>
        <w:t>{F}^{\mathrm{core}}</w:t>
      </w:r>
      <w:r>
        <w:rPr>
          <w:i/>
          <w:iCs/>
        </w:rPr>
        <w:br/>
      </w:r>
      <w:r>
        <w:rPr>
          <w:rStyle w:val="Hervorhebung"/>
        </w:rPr>
        <w:t>\subseteq</w:t>
      </w:r>
      <w:r>
        <w:rPr>
          <w:i/>
          <w:iCs/>
        </w:rPr>
        <w:br/>
      </w:r>
      <w:r>
        <w:rPr>
          <w:rStyle w:val="Hervorhebung"/>
        </w:rPr>
        <w:t>\mathcal{X}</w:t>
      </w:r>
      <w:r>
        <w:t>{F}</w:t>
      </w:r>
      <w:r>
        <w:br/>
        <w:t>\left(</w:t>
      </w:r>
      <w:r>
        <w:br/>
        <w:t>\boldsymbol{\theta}</w:t>
      </w:r>
      <w:r>
        <w:br/>
        <w:t>\right)</w:t>
      </w:r>
      <w:r>
        <w:br/>
        <w:t>\qquad</w:t>
      </w:r>
      <w:r>
        <w:br/>
        <w:t>\forall</w:t>
      </w:r>
      <w:r>
        <w:br/>
        <w:t>\boldsymbol{\theta}</w:t>
      </w:r>
      <w:r>
        <w:br/>
        <w:t>\in</w:t>
      </w:r>
      <w:r>
        <w:br/>
        <w:t>\Theta_{\mathrm{zul}}.</w:t>
      </w:r>
      <w:r>
        <w:br/>
        <w:t>\tag{3.6927}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\mathcal{X}_{F}^{\mathrm{core}}\subseteq\mathcal{X}_{F}\left(\boldsymbol{\theta}\right)\qquad\forall\boldsymbol{\theta}\in\Theta_{\mathrm{zul}}\qquad\text{(3.6927)}</w:t>
      </w:r>
    </w:p>
    <w:p w:rsidR="00AD04D9" w:rsidRDefault="00AD04D9" w:rsidP="00AD04D9">
      <w:pPr>
        <w:pStyle w:val="StandardWeb"/>
      </w:pPr>
      <w:r>
        <w:t>Damit kann die genaue Gewichtung einzelner Mechanismen variieren, während ein gemeinsamer Erklärungskern erhalten bleibt.</w:t>
      </w:r>
    </w:p>
    <w:p w:rsidR="00AD04D9" w:rsidRDefault="00E50336" w:rsidP="00AD04D9">
      <w:r>
        <w:pict>
          <v:rect id="_x0000_i1334" style="width:0;height:1.5pt" o:hralign="center" o:hrstd="t" o:hr="t" fillcolor="#a0a0a0" stroked="f"/>
        </w:pict>
      </w:r>
    </w:p>
    <w:p w:rsidR="00AD04D9" w:rsidRDefault="00AD04D9" w:rsidP="00AD04D9">
      <w:pPr>
        <w:pStyle w:val="berschrift2"/>
      </w:pPr>
      <w:r>
        <w:t>3.3.40.59 Parameterrobustheit von Interventionen</w:t>
      </w:r>
    </w:p>
    <w:p w:rsidR="00AD04D9" w:rsidRDefault="00AD04D9" w:rsidP="00AD04D9">
      <w:pPr>
        <w:pStyle w:val="StandardWeb"/>
      </w:pPr>
      <w:r>
        <w:t>Eine Intervention sei</w:t>
      </w:r>
    </w:p>
    <w:p w:rsidR="00AD04D9" w:rsidRDefault="00AD04D9" w:rsidP="00AD04D9">
      <w:pPr>
        <w:pStyle w:val="StandardWeb"/>
      </w:pPr>
      <w:r>
        <w:lastRenderedPageBreak/>
        <w:t>[</w:t>
      </w:r>
      <w:r>
        <w:br/>
        <w:t>\mathcal{I}</w:t>
      </w:r>
      <w:r>
        <w:br/>
        <w:t>\tag{3.6928}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\mathcal{I}\qquad\text{(3.6928)}</w:t>
      </w:r>
    </w:p>
    <w:p w:rsidR="00AD04D9" w:rsidRDefault="00AD04D9" w:rsidP="00AD04D9">
      <w:pPr>
        <w:pStyle w:val="StandardWeb"/>
      </w:pPr>
      <w:r>
        <w:t>und ihre Wirkung</w:t>
      </w:r>
    </w:p>
    <w:p w:rsidR="00AD04D9" w:rsidRDefault="00AD04D9" w:rsidP="00AD04D9">
      <w:pPr>
        <w:pStyle w:val="berschrift1"/>
      </w:pPr>
      <w:r>
        <w:t>[</w:t>
      </w:r>
      <w:r>
        <w:br/>
        <w:t>\Delta Y_{\mathcal{I}}</w:t>
      </w:r>
    </w:p>
    <w:p w:rsidR="00AD04D9" w:rsidRDefault="00AD04D9" w:rsidP="00AD04D9">
      <w:pPr>
        <w:pStyle w:val="berschrift2"/>
      </w:pPr>
      <w:r>
        <w:t>Y_F^{(\mathcal{I})}</w:t>
      </w:r>
    </w:p>
    <w:p w:rsidR="00AD04D9" w:rsidRDefault="00AD04D9" w:rsidP="00AD04D9">
      <w:pPr>
        <w:pStyle w:val="StandardWeb"/>
      </w:pPr>
      <w:r>
        <w:t>Y_F^{(0)}.</w:t>
      </w:r>
      <w:r>
        <w:br/>
        <w:t>\tag{3.6929}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\Delta Y_{\mathcal{I}}=Y_F^{(\mathcal{I})}-Y_F^{(0)}\qquad\text{(3.6929)}</w:t>
      </w:r>
    </w:p>
    <w:p w:rsidR="00AD04D9" w:rsidRDefault="00AD04D9" w:rsidP="00AD04D9">
      <w:pPr>
        <w:pStyle w:val="StandardWeb"/>
      </w:pPr>
      <w:r>
        <w:t>Eine Intervention ist richtungsrobust, wenn</w:t>
      </w:r>
    </w:p>
    <w:p w:rsidR="00AD04D9" w:rsidRDefault="00AD04D9" w:rsidP="00AD04D9">
      <w:pPr>
        <w:pStyle w:val="berschrift1"/>
      </w:pPr>
      <w:r>
        <w:t>[</w:t>
      </w:r>
      <w:r>
        <w:br/>
        <w:t>\operatorname{sgn}</w:t>
      </w:r>
      <w:r>
        <w:br/>
        <w:t>\left(</w:t>
      </w:r>
      <w:r>
        <w:br/>
        <w:t>\Delta Y_{\mathcal{I}}</w:t>
      </w:r>
      <w:r>
        <w:br/>
        <w:t>(\boldsymbol{\theta})</w:t>
      </w:r>
      <w:r>
        <w:br/>
        <w:t>\right)</w:t>
      </w:r>
    </w:p>
    <w:p w:rsidR="00AD04D9" w:rsidRDefault="00AD04D9" w:rsidP="00AD04D9">
      <w:pPr>
        <w:pStyle w:val="StandardWeb"/>
      </w:pPr>
      <w:r>
        <w:t>s^\ast</w:t>
      </w:r>
      <w:r>
        <w:br/>
        <w:t>\qquad</w:t>
      </w:r>
      <w:r>
        <w:br/>
        <w:t>\forall</w:t>
      </w:r>
      <w:r>
        <w:br/>
        <w:t>\boldsymbol{\theta}</w:t>
      </w:r>
      <w:r>
        <w:br/>
        <w:t>\in</w:t>
      </w:r>
      <w:r>
        <w:br/>
        <w:t>\Theta_{\mathrm{zul}}.</w:t>
      </w:r>
      <w:r>
        <w:br/>
        <w:t>\tag{3.6930}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\operatorname{sgn}\left(\Delta Y_{\mathcal{I}}(\boldsymbol{\theta})\right)=s^{\ast}\qquad\forall\boldsymbol{\theta}\in\Theta_{\mathrm{zul}}\qquad\text{(3.6930)}</w:t>
      </w:r>
    </w:p>
    <w:p w:rsidR="00AD04D9" w:rsidRDefault="00E50336" w:rsidP="00AD04D9">
      <w:r>
        <w:pict>
          <v:rect id="_x0000_i1335" style="width:0;height:1.5pt" o:hralign="center" o:hrstd="t" o:hr="t" fillcolor="#a0a0a0" stroked="f"/>
        </w:pict>
      </w:r>
    </w:p>
    <w:p w:rsidR="00AD04D9" w:rsidRDefault="00AD04D9" w:rsidP="00AD04D9">
      <w:pPr>
        <w:pStyle w:val="berschrift2"/>
      </w:pPr>
      <w:r>
        <w:t>3.3.40.60 Interventionsumschlag</w:t>
      </w:r>
    </w:p>
    <w:p w:rsidR="00AD04D9" w:rsidRDefault="00AD04D9" w:rsidP="00AD04D9">
      <w:pPr>
        <w:pStyle w:val="StandardWeb"/>
      </w:pPr>
      <w:r>
        <w:t>Besonders kritisch ist ein Parameterbereich, in dem eine Intervention ihre Wirkung umkehrt.</w:t>
      </w:r>
    </w:p>
    <w:p w:rsidR="00AD04D9" w:rsidRDefault="00AD04D9" w:rsidP="00AD04D9">
      <w:pPr>
        <w:pStyle w:val="StandardWeb"/>
      </w:pPr>
      <w:r>
        <w:t>Es existieren dann</w:t>
      </w:r>
    </w:p>
    <w:p w:rsidR="00AD04D9" w:rsidRDefault="00AD04D9" w:rsidP="00AD04D9">
      <w:pPr>
        <w:pStyle w:val="StandardWeb"/>
      </w:pPr>
      <w:r>
        <w:t>[</w:t>
      </w:r>
      <w:r>
        <w:br/>
        <w:t>\boldsymbol{\theta}_1,</w:t>
      </w:r>
      <w:r>
        <w:br/>
        <w:t>\boldsymbol{\theta}_2</w:t>
      </w:r>
      <w:r>
        <w:br/>
        <w:t>\tag{3.6931}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\boldsymbol{\theta}_1,\boldsymbol{\theta}_2\qquad\text{(3.6931)}</w:t>
      </w:r>
    </w:p>
    <w:p w:rsidR="00AD04D9" w:rsidRDefault="00AD04D9" w:rsidP="00AD04D9">
      <w:pPr>
        <w:pStyle w:val="StandardWeb"/>
      </w:pPr>
      <w:r>
        <w:t>mit</w:t>
      </w:r>
    </w:p>
    <w:p w:rsidR="00AD04D9" w:rsidRDefault="00AD04D9" w:rsidP="00AD04D9">
      <w:pPr>
        <w:pStyle w:val="StandardWeb"/>
      </w:pPr>
      <w:r>
        <w:t>[</w:t>
      </w:r>
      <w:r>
        <w:br/>
        <w:t>\Delta Y_{\mathcal{I}}</w:t>
      </w:r>
      <w:r>
        <w:br/>
        <w:t>(\boldsymbol{\theta}_1)</w:t>
      </w:r>
    </w:p>
    <w:p w:rsidR="00AD04D9" w:rsidRDefault="00AD04D9" w:rsidP="00AD04D9">
      <w:pPr>
        <w:pStyle w:val="StandardWeb"/>
      </w:pPr>
      <w:r>
        <w:t>0</w:t>
      </w:r>
      <w:r>
        <w:br/>
        <w:t>\tag{3.6932}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\Delta Y_{\mathcal{I}}(\boldsymbol{\theta}_1)&gt;0\qquad\text{(3.6932)}</w:t>
      </w:r>
    </w:p>
    <w:p w:rsidR="00AD04D9" w:rsidRDefault="00AD04D9" w:rsidP="00AD04D9">
      <w:pPr>
        <w:pStyle w:val="StandardWeb"/>
      </w:pPr>
      <w:r>
        <w:t>und</w:t>
      </w:r>
    </w:p>
    <w:p w:rsidR="00AD04D9" w:rsidRDefault="00AD04D9" w:rsidP="00AD04D9">
      <w:pPr>
        <w:pStyle w:val="StandardWeb"/>
      </w:pPr>
      <w:r>
        <w:t>[</w:t>
      </w:r>
      <w:r>
        <w:br/>
        <w:t>\Delta Y_{\mathcal{I}}</w:t>
      </w:r>
      <w:r>
        <w:br/>
        <w:t>(\boldsymbol{\theta}_2)</w:t>
      </w:r>
      <w:r>
        <w:br/>
        <w:t>&lt;</w:t>
      </w:r>
      <w:r>
        <w:br/>
        <w:t>0.</w:t>
      </w:r>
      <w:r>
        <w:br/>
        <w:t>\tag{3.6933}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\Delta Y_{\mathcal{I}}(\boldsymbol{\theta}_2)&lt;0\qquad\text{(3.6933)}</w:t>
      </w:r>
    </w:p>
    <w:p w:rsidR="00AD04D9" w:rsidRDefault="00AD04D9" w:rsidP="00AD04D9">
      <w:pPr>
        <w:pStyle w:val="StandardWeb"/>
      </w:pPr>
      <w:r>
        <w:t>Dann ist eine pauschale Aussage über die Interventionsrichtung nicht parameterrobust.</w:t>
      </w:r>
    </w:p>
    <w:p w:rsidR="00AD04D9" w:rsidRDefault="00E50336" w:rsidP="00AD04D9">
      <w:r>
        <w:pict>
          <v:rect id="_x0000_i1336" style="width:0;height:1.5pt" o:hralign="center" o:hrstd="t" o:hr="t" fillcolor="#a0a0a0" stroked="f"/>
        </w:pict>
      </w:r>
    </w:p>
    <w:p w:rsidR="00AD04D9" w:rsidRDefault="00AD04D9" w:rsidP="00AD04D9">
      <w:pPr>
        <w:pStyle w:val="berschrift2"/>
      </w:pPr>
      <w:r>
        <w:lastRenderedPageBreak/>
        <w:t>3.3.40.61 Robustheit gegenüber Randbedingungen</w:t>
      </w:r>
    </w:p>
    <w:p w:rsidR="00AD04D9" w:rsidRDefault="00AD04D9" w:rsidP="00AD04D9">
      <w:pPr>
        <w:pStyle w:val="StandardWeb"/>
      </w:pPr>
      <w:r>
        <w:t>Auch Randbedingungen müssen systematisch variiert werden.</w:t>
      </w:r>
    </w:p>
    <w:p w:rsidR="00AD04D9" w:rsidRDefault="00AD04D9" w:rsidP="00AD04D9">
      <w:pPr>
        <w:pStyle w:val="StandardWeb"/>
      </w:pPr>
      <w:r>
        <w:t>Ich definiere einen zulässigen Randbedingungsraum</w:t>
      </w:r>
    </w:p>
    <w:p w:rsidR="00AD04D9" w:rsidRDefault="00AD04D9" w:rsidP="00AD04D9">
      <w:pPr>
        <w:pStyle w:val="StandardWeb"/>
      </w:pPr>
      <w:r>
        <w:t>[</w:t>
      </w:r>
      <w:r>
        <w:br/>
        <w:t>\mathcal{B}_{\mathrm{zul}}.</w:t>
      </w:r>
      <w:r>
        <w:br/>
        <w:t>\tag{3.6934}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\mathcal{B}_{\mathrm{zul}}\qquad\text{(3.6934)}</w:t>
      </w:r>
    </w:p>
    <w:p w:rsidR="00AD04D9" w:rsidRDefault="00AD04D9" w:rsidP="00AD04D9">
      <w:pPr>
        <w:pStyle w:val="StandardWeb"/>
      </w:pPr>
      <w:r>
        <w:t>Eine Aussage ist randbedingungsrobust, wenn</w:t>
      </w:r>
    </w:p>
    <w:p w:rsidR="00AD04D9" w:rsidRDefault="00AD04D9" w:rsidP="00AD04D9">
      <w:pPr>
        <w:pStyle w:val="StandardWeb"/>
      </w:pPr>
      <w:r>
        <w:t>[</w:t>
      </w:r>
      <w:r>
        <w:br/>
        <w:t>A_F</w:t>
      </w:r>
      <w:r>
        <w:br/>
        <w:t>\left(</w:t>
      </w:r>
      <w:r>
        <w:br/>
        <w:t>\mathbf{b}</w:t>
      </w:r>
      <w:r>
        <w:br/>
        <w:t>\right)</w:t>
      </w:r>
      <w:r>
        <w:br/>
        <w:t>\sim_A</w:t>
      </w:r>
      <w:r>
        <w:br/>
        <w:t>A_F</w:t>
      </w:r>
      <w:r>
        <w:br/>
        <w:t>\left(</w:t>
      </w:r>
      <w:r>
        <w:br/>
        <w:t>\mathbf{b}</w:t>
      </w:r>
      <w:r>
        <w:rPr>
          <w:rStyle w:val="Hervorhebung"/>
        </w:rPr>
        <w:t>0</w:t>
      </w:r>
      <w:r>
        <w:rPr>
          <w:i/>
          <w:iCs/>
        </w:rPr>
        <w:br/>
      </w:r>
      <w:r>
        <w:rPr>
          <w:rStyle w:val="Hervorhebung"/>
        </w:rPr>
        <w:t>\right)</w:t>
      </w:r>
      <w:r>
        <w:rPr>
          <w:i/>
          <w:iCs/>
        </w:rPr>
        <w:br/>
      </w:r>
      <w:r>
        <w:rPr>
          <w:rStyle w:val="Hervorhebung"/>
        </w:rPr>
        <w:t>\qquad</w:t>
      </w:r>
      <w:r>
        <w:rPr>
          <w:i/>
          <w:iCs/>
        </w:rPr>
        <w:br/>
      </w:r>
      <w:r>
        <w:rPr>
          <w:rStyle w:val="Hervorhebung"/>
        </w:rPr>
        <w:t>\forall</w:t>
      </w:r>
      <w:r>
        <w:rPr>
          <w:i/>
          <w:iCs/>
        </w:rPr>
        <w:br/>
      </w:r>
      <w:r>
        <w:rPr>
          <w:rStyle w:val="Hervorhebung"/>
        </w:rPr>
        <w:t>\mathbf{b}</w:t>
      </w:r>
      <w:r>
        <w:rPr>
          <w:i/>
          <w:iCs/>
        </w:rPr>
        <w:br/>
      </w:r>
      <w:r>
        <w:rPr>
          <w:rStyle w:val="Hervorhebung"/>
        </w:rPr>
        <w:t>\in</w:t>
      </w:r>
      <w:r>
        <w:rPr>
          <w:i/>
          <w:iCs/>
        </w:rPr>
        <w:br/>
      </w:r>
      <w:r>
        <w:rPr>
          <w:rStyle w:val="Hervorhebung"/>
        </w:rPr>
        <w:t>\mathcal{B}</w:t>
      </w:r>
      <w:r>
        <w:t>{\mathrm{zul}}.</w:t>
      </w:r>
      <w:r>
        <w:br/>
        <w:t>\tag{3.6935}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A_F\left(\mathbf{b}\right)\sim_A A_F\left(\mathbf{b}_0\right)\qquad\forall\mathbf{b}\in\mathcal{B}_{\mathrm{zul}}\qquad\text{(3.6935)}</w:t>
      </w:r>
    </w:p>
    <w:p w:rsidR="00AD04D9" w:rsidRDefault="00E50336" w:rsidP="00AD04D9">
      <w:r>
        <w:pict>
          <v:rect id="_x0000_i1337" style="width:0;height:1.5pt" o:hralign="center" o:hrstd="t" o:hr="t" fillcolor="#a0a0a0" stroked="f"/>
        </w:pict>
      </w:r>
    </w:p>
    <w:p w:rsidR="00AD04D9" w:rsidRDefault="00AD04D9" w:rsidP="00AD04D9">
      <w:pPr>
        <w:pStyle w:val="berschrift2"/>
      </w:pPr>
      <w:r>
        <w:t>3.3.40.62 Gesamter Unsicherheitsraum</w:t>
      </w:r>
    </w:p>
    <w:p w:rsidR="00AD04D9" w:rsidRDefault="00AD04D9" w:rsidP="00AD04D9">
      <w:pPr>
        <w:pStyle w:val="StandardWeb"/>
      </w:pPr>
      <w:r>
        <w:t>Parameter, Anfangszustände und Randbedingungen können gemeinsam zu einem Unsicherheitsraum zusammengefasst werden:</w:t>
      </w:r>
    </w:p>
    <w:p w:rsidR="00AD04D9" w:rsidRDefault="00AD04D9" w:rsidP="00AD04D9">
      <w:pPr>
        <w:pStyle w:val="berschrift1"/>
      </w:pPr>
      <w:r>
        <w:t>[</w:t>
      </w:r>
      <w:r>
        <w:br/>
        <w:t>\mathfrak{U}_{F}</w:t>
      </w:r>
    </w:p>
    <w:p w:rsidR="00AD04D9" w:rsidRDefault="00AD04D9" w:rsidP="00AD04D9">
      <w:pPr>
        <w:pStyle w:val="StandardWeb"/>
      </w:pPr>
      <w:r>
        <w:lastRenderedPageBreak/>
        <w:t>\Theta_{\mathrm{zul}}</w:t>
      </w:r>
      <w:r>
        <w:br/>
        <w:t>\times</w:t>
      </w:r>
      <w:r>
        <w:br/>
        <w:t>\mathcal{S}</w:t>
      </w:r>
      <w:r>
        <w:rPr>
          <w:rStyle w:val="Hervorhebung"/>
        </w:rPr>
        <w:t>{0}^{\mathrm{zul}}</w:t>
      </w:r>
      <w:r>
        <w:rPr>
          <w:i/>
          <w:iCs/>
        </w:rPr>
        <w:br/>
      </w:r>
      <w:r>
        <w:rPr>
          <w:rStyle w:val="Hervorhebung"/>
        </w:rPr>
        <w:t>\times</w:t>
      </w:r>
      <w:r>
        <w:rPr>
          <w:i/>
          <w:iCs/>
        </w:rPr>
        <w:br/>
      </w:r>
      <w:r>
        <w:rPr>
          <w:rStyle w:val="Hervorhebung"/>
        </w:rPr>
        <w:t>\mathcal{B}</w:t>
      </w:r>
      <w:r>
        <w:t>{\mathrm{zul}}.</w:t>
      </w:r>
      <w:r>
        <w:br/>
        <w:t>\tag{3.6936}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\mathfrak{U}_{F}=\Theta_{\mathrm{zul}}\times\mathcal{S}_{0}^{\mathrm{zul}}\times\mathcal{B}_{\mathrm{zul}}\qquad\text{(3.6936)}</w:t>
      </w:r>
    </w:p>
    <w:p w:rsidR="00AD04D9" w:rsidRDefault="00AD04D9" w:rsidP="00AD04D9">
      <w:pPr>
        <w:pStyle w:val="StandardWeb"/>
      </w:pPr>
      <w:r>
        <w:t>Ein Unsicherheitszustand lautet</w:t>
      </w:r>
    </w:p>
    <w:p w:rsidR="00AD04D9" w:rsidRDefault="00AD04D9" w:rsidP="00AD04D9">
      <w:pPr>
        <w:pStyle w:val="berschrift1"/>
      </w:pPr>
      <w:r>
        <w:t>[</w:t>
      </w:r>
      <w:r>
        <w:br/>
        <w:t>u</w:t>
      </w:r>
    </w:p>
    <w:p w:rsidR="00AD04D9" w:rsidRDefault="00AD04D9" w:rsidP="00AD04D9">
      <w:pPr>
        <w:pStyle w:val="StandardWeb"/>
      </w:pPr>
      <w:r>
        <w:t>\left(</w:t>
      </w:r>
      <w:r>
        <w:br/>
        <w:t>\boldsymbol{\theta},</w:t>
      </w:r>
      <w:r>
        <w:br/>
        <w:t>\delta_0,</w:t>
      </w:r>
      <w:r>
        <w:br/>
        <w:t>\mathbf{b}</w:t>
      </w:r>
      <w:r>
        <w:br/>
        <w:t>\right).</w:t>
      </w:r>
      <w:r>
        <w:br/>
        <w:t>\tag{3.6937}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u=\left(\boldsymbol{\theta},\delta_0,\mathbf{b}\right)\qquad\text{(3.6937)}</w:t>
      </w:r>
    </w:p>
    <w:p w:rsidR="00AD04D9" w:rsidRDefault="00AD04D9" w:rsidP="00AD04D9">
      <w:pPr>
        <w:pStyle w:val="StandardWeb"/>
      </w:pPr>
      <w:r>
        <w:t>Die Aussage wird damit</w:t>
      </w:r>
    </w:p>
    <w:p w:rsidR="00AD04D9" w:rsidRDefault="00AD04D9" w:rsidP="00AD04D9">
      <w:pPr>
        <w:pStyle w:val="berschrift1"/>
      </w:pPr>
      <w:r>
        <w:t>[</w:t>
      </w:r>
      <w:r>
        <w:br/>
        <w:t>A_F</w:t>
      </w:r>
    </w:p>
    <w:p w:rsidR="00AD04D9" w:rsidRDefault="00AD04D9" w:rsidP="00AD04D9">
      <w:pPr>
        <w:pStyle w:val="StandardWeb"/>
      </w:pPr>
      <w:r>
        <w:t>A_F(u).</w:t>
      </w:r>
      <w:r>
        <w:br/>
        <w:t>\tag{3.6938}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A_F=A_F(u)\qquad\text{(3.6938)}</w:t>
      </w:r>
    </w:p>
    <w:p w:rsidR="00AD04D9" w:rsidRDefault="00E50336" w:rsidP="00AD04D9">
      <w:r>
        <w:pict>
          <v:rect id="_x0000_i1338" style="width:0;height:1.5pt" o:hralign="center" o:hrstd="t" o:hr="t" fillcolor="#a0a0a0" stroked="f"/>
        </w:pict>
      </w:r>
    </w:p>
    <w:p w:rsidR="00AD04D9" w:rsidRDefault="00AD04D9" w:rsidP="00AD04D9">
      <w:pPr>
        <w:pStyle w:val="berschrift2"/>
      </w:pPr>
      <w:r>
        <w:t>3.3.40.63 Gesamtes Stabilitätsgebiet</w:t>
      </w:r>
    </w:p>
    <w:p w:rsidR="00AD04D9" w:rsidRDefault="00AD04D9" w:rsidP="00AD04D9">
      <w:pPr>
        <w:pStyle w:val="StandardWeb"/>
      </w:pPr>
      <w:r>
        <w:t>Ich definiere</w:t>
      </w:r>
    </w:p>
    <w:p w:rsidR="00AD04D9" w:rsidRDefault="00AD04D9" w:rsidP="00AD04D9">
      <w:pPr>
        <w:pStyle w:val="berschrift1"/>
      </w:pPr>
      <w:r>
        <w:lastRenderedPageBreak/>
        <w:t>[</w:t>
      </w:r>
      <w:r>
        <w:br/>
        <w:t>\Omega_{L^\ast}^{U}</w:t>
      </w:r>
    </w:p>
    <w:p w:rsidR="00AD04D9" w:rsidRDefault="00AD04D9" w:rsidP="00AD04D9">
      <w:pPr>
        <w:pStyle w:val="berschrift1"/>
      </w:pPr>
      <w:r>
        <w:t>\left{</w:t>
      </w:r>
      <w:r>
        <w:br/>
        <w:t>u</w:t>
      </w:r>
      <w:r>
        <w:br/>
        <w:t>\in</w:t>
      </w:r>
      <w:r>
        <w:br/>
        <w:t>\mathfrak{U}</w:t>
      </w:r>
      <w:r>
        <w:rPr>
          <w:rStyle w:val="Hervorhebung"/>
        </w:rPr>
        <w:t>{F}:</w:t>
      </w:r>
      <w:r>
        <w:rPr>
          <w:i/>
          <w:iCs/>
        </w:rPr>
        <w:br/>
      </w:r>
      <w:r>
        <w:rPr>
          <w:rStyle w:val="Hervorhebung"/>
        </w:rPr>
        <w:t>\operatorname{Klasse}</w:t>
      </w:r>
      <w:r>
        <w:t>{A}</w:t>
      </w:r>
      <w:r>
        <w:br/>
        <w:t>\left(</w:t>
      </w:r>
      <w:r>
        <w:br/>
        <w:t>A_F(u)</w:t>
      </w:r>
      <w:r>
        <w:br/>
        <w:t>\right)</w:t>
      </w:r>
    </w:p>
    <w:p w:rsidR="00AD04D9" w:rsidRDefault="00AD04D9" w:rsidP="00AD04D9">
      <w:pPr>
        <w:pStyle w:val="StandardWeb"/>
      </w:pPr>
      <w:r>
        <w:t>L^\ast</w:t>
      </w:r>
      <w:r>
        <w:br/>
        <w:t>\right}.</w:t>
      </w:r>
      <w:r>
        <w:br/>
        <w:t>\tag{3.6939}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\Omega_{L^{\ast}}^{U}=\left\{u\in\mathfrak{U}_{F}:\operatorname{Klasse}_{A}\left(A_F(u)\right)=L^{\ast}\right\}\qquad\text{(3.6939)}</w:t>
      </w:r>
    </w:p>
    <w:p w:rsidR="00AD04D9" w:rsidRDefault="00AD04D9" w:rsidP="00AD04D9">
      <w:pPr>
        <w:pStyle w:val="StandardWeb"/>
      </w:pPr>
      <w:r>
        <w:t>Der Gesamtrobustheitsgrad lautet</w:t>
      </w:r>
    </w:p>
    <w:p w:rsidR="00AD04D9" w:rsidRDefault="00AD04D9" w:rsidP="00AD04D9">
      <w:pPr>
        <w:pStyle w:val="berschrift1"/>
      </w:pPr>
      <w:r>
        <w:t>[</w:t>
      </w:r>
      <w:r>
        <w:br/>
        <w:t>R_U</w:t>
      </w:r>
    </w:p>
    <w:p w:rsidR="00AD04D9" w:rsidRDefault="00AD04D9" w:rsidP="00AD04D9">
      <w:pPr>
        <w:pStyle w:val="StandardWeb"/>
      </w:pPr>
      <w:r>
        <w:t>\frac{</w:t>
      </w:r>
      <w:r>
        <w:br/>
        <w:t>\mu</w:t>
      </w:r>
      <w:r>
        <w:br/>
        <w:t>\left(</w:t>
      </w:r>
      <w:r>
        <w:br/>
        <w:t>\Omega_{L^\ast}^{U}</w:t>
      </w:r>
      <w:r>
        <w:br/>
        <w:t>\right)</w:t>
      </w:r>
      <w:r>
        <w:br/>
        <w:t>}{</w:t>
      </w:r>
      <w:r>
        <w:br/>
        <w:t>\mu</w:t>
      </w:r>
      <w:r>
        <w:br/>
        <w:t>\left(</w:t>
      </w:r>
      <w:r>
        <w:br/>
        <w:t>\mathfrak{U}_{F}</w:t>
      </w:r>
      <w:r>
        <w:br/>
        <w:t>\right)</w:t>
      </w:r>
      <w:r>
        <w:br/>
        <w:t>}.</w:t>
      </w:r>
      <w:r>
        <w:br/>
        <w:t>\tag{3.6940}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R_U=\frac{\mu\left(\Omega_{L^{\ast}}^{U}\right)}{\mu\left(\mathfrak{U}_{F}\right)}\qquad\text{(3.6940)}</w:t>
      </w:r>
    </w:p>
    <w:p w:rsidR="00AD04D9" w:rsidRDefault="00E50336" w:rsidP="00AD04D9">
      <w:r>
        <w:pict>
          <v:rect id="_x0000_i1339" style="width:0;height:1.5pt" o:hralign="center" o:hrstd="t" o:hr="t" fillcolor="#a0a0a0" stroked="f"/>
        </w:pict>
      </w:r>
    </w:p>
    <w:p w:rsidR="00AD04D9" w:rsidRDefault="00AD04D9" w:rsidP="00AD04D9">
      <w:pPr>
        <w:pStyle w:val="berschrift2"/>
      </w:pPr>
      <w:r>
        <w:t>3.3.40.64 Robustheitsklassen</w:t>
      </w:r>
    </w:p>
    <w:p w:rsidR="00AD04D9" w:rsidRDefault="00AD04D9" w:rsidP="00AD04D9">
      <w:pPr>
        <w:pStyle w:val="StandardWeb"/>
      </w:pPr>
      <w:r>
        <w:t>Ich unterscheide zunächst vier Klassen:</w:t>
      </w:r>
    </w:p>
    <w:p w:rsidR="00AD04D9" w:rsidRDefault="00AD04D9" w:rsidP="00AD04D9">
      <w:pPr>
        <w:pStyle w:val="berschrift1"/>
      </w:pPr>
      <w:r>
        <w:t>[</w:t>
      </w:r>
      <w:r>
        <w:br/>
        <w:t>\mathfrak{L}_{\theta}</w:t>
      </w:r>
    </w:p>
    <w:p w:rsidR="00AD04D9" w:rsidRDefault="00AD04D9" w:rsidP="00AD04D9">
      <w:pPr>
        <w:pStyle w:val="StandardWeb"/>
      </w:pPr>
      <w:r>
        <w:t>\left{</w:t>
      </w:r>
      <w:r>
        <w:br/>
        <w:t>\mathbf{fragil},</w:t>
      </w:r>
      <w:r>
        <w:br/>
        <w:t>\mathbf{lokal\ robust},</w:t>
      </w:r>
      <w:r>
        <w:br/>
        <w:t>\mathbf{global\ robust},</w:t>
      </w:r>
      <w:r>
        <w:br/>
        <w:t>\mathbf{strukturell\ robust}</w:t>
      </w:r>
      <w:r>
        <w:br/>
        <w:t>\right}.</w:t>
      </w:r>
      <w:r>
        <w:br/>
        <w:t>\tag{3.6941}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\mathfrak{L}_{\theta}=\left\{\mathbf{fragil},\mathbf{lokal\ robust},\mathbf{global\ robust},\mathbf{strukturell\ robust}\right\}\qquad\text{(3.6941)}</w:t>
      </w:r>
    </w:p>
    <w:p w:rsidR="00AD04D9" w:rsidRDefault="00AD04D9" w:rsidP="00AD04D9">
      <w:pPr>
        <w:pStyle w:val="StandardWeb"/>
      </w:pPr>
      <w:r>
        <w:t>Die Klassifikationsabbildung lautet</w:t>
      </w:r>
    </w:p>
    <w:p w:rsidR="00AD04D9" w:rsidRDefault="00AD04D9" w:rsidP="00AD04D9">
      <w:pPr>
        <w:pStyle w:val="StandardWeb"/>
      </w:pPr>
      <w:r>
        <w:t>[</w:t>
      </w:r>
      <w:r>
        <w:br/>
        <w:t>\operatorname{Klasse}</w:t>
      </w:r>
      <w:r>
        <w:rPr>
          <w:rStyle w:val="Hervorhebung"/>
        </w:rPr>
        <w:t>{\theta}</w:t>
      </w:r>
      <w:r>
        <w:rPr>
          <w:i/>
          <w:iCs/>
        </w:rPr>
        <w:br/>
      </w:r>
      <w:r>
        <w:rPr>
          <w:rStyle w:val="Hervorhebung"/>
        </w:rPr>
        <w:t>:</w:t>
      </w:r>
      <w:r>
        <w:rPr>
          <w:i/>
          <w:iCs/>
        </w:rPr>
        <w:br/>
      </w:r>
      <w:r>
        <w:rPr>
          <w:rStyle w:val="Hervorhebung"/>
        </w:rPr>
        <w:t>\mathfrak{P}</w:t>
      </w:r>
      <w:r>
        <w:t>{F}^{\mathrm{rob}}</w:t>
      </w:r>
      <w:r>
        <w:br/>
        <w:t>\rightarrow</w:t>
      </w:r>
      <w:r>
        <w:br/>
        <w:t>\mathfrak{L}_{\theta}.</w:t>
      </w:r>
      <w:r>
        <w:br/>
        <w:t>\tag{3.6942}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\operatorname{Klasse}_{\theta}:\mathfrak{P}_{F}^{\mathrm{rob}}\rightarrow\mathfrak{L}_{\theta}\qquad\text{(3.6942)}</w:t>
      </w:r>
    </w:p>
    <w:p w:rsidR="00AD04D9" w:rsidRDefault="00AD04D9" w:rsidP="00AD04D9">
      <w:pPr>
        <w:pStyle w:val="StandardWeb"/>
      </w:pPr>
      <w:r>
        <w:t>Dabei bezeichnet (\mathfrak{P}_{F}^{\mathrm{rob}}) das noch formal zu definierende Parameterrobustheitssystem.</w:t>
      </w:r>
    </w:p>
    <w:p w:rsidR="00AD04D9" w:rsidRDefault="00E50336" w:rsidP="00AD04D9">
      <w:r>
        <w:pict>
          <v:rect id="_x0000_i1340" style="width:0;height:1.5pt" o:hralign="center" o:hrstd="t" o:hr="t" fillcolor="#a0a0a0" stroked="f"/>
        </w:pict>
      </w:r>
    </w:p>
    <w:p w:rsidR="00AD04D9" w:rsidRDefault="00AD04D9" w:rsidP="00AD04D9">
      <w:pPr>
        <w:pStyle w:val="berschrift2"/>
      </w:pPr>
      <w:r>
        <w:t>3.3.40.65 Definition des FRZK-Parameterrobustheitssystems</w:t>
      </w:r>
    </w:p>
    <w:p w:rsidR="00AD04D9" w:rsidRDefault="00AD04D9" w:rsidP="00AD04D9">
      <w:pPr>
        <w:pStyle w:val="StandardWeb"/>
      </w:pPr>
      <w:r>
        <w:rPr>
          <w:rStyle w:val="Fett"/>
        </w:rPr>
        <w:t>Definition 3.3.32 – FRZK-Parameter- und Anfangsbedingungsrobustheitssystem</w:t>
      </w:r>
    </w:p>
    <w:p w:rsidR="00AD04D9" w:rsidRDefault="00AD04D9" w:rsidP="00AD04D9">
      <w:pPr>
        <w:pStyle w:val="StandardWeb"/>
      </w:pPr>
      <w:r>
        <w:lastRenderedPageBreak/>
        <w:t>Ein FRZK-Parameter- und Anfangsbedingungsrobustheitssystem ist das geordnete Tupel</w:t>
      </w:r>
    </w:p>
    <w:p w:rsidR="00AD04D9" w:rsidRDefault="00AD04D9" w:rsidP="00AD04D9">
      <w:pPr>
        <w:pStyle w:val="berschrift1"/>
      </w:pPr>
      <w:r>
        <w:t>[</w:t>
      </w:r>
      <w:r>
        <w:br/>
        <w:t>\mathfrak{P}_{F}^{\mathrm{rob}}</w:t>
      </w:r>
    </w:p>
    <w:p w:rsidR="00AD04D9" w:rsidRDefault="00AD04D9" w:rsidP="00AD04D9">
      <w:pPr>
        <w:pStyle w:val="StandardWeb"/>
      </w:pPr>
      <w:r>
        <w:t>\left(</w:t>
      </w:r>
      <w:r>
        <w:br/>
        <w:t>\Theta_{\mathrm{zul}},</w:t>
      </w:r>
      <w:r>
        <w:br/>
        <w:t>\mathcal{S}</w:t>
      </w:r>
      <w:r>
        <w:rPr>
          <w:rStyle w:val="Hervorhebung"/>
        </w:rPr>
        <w:t>{0}^{\mathrm{zul}},</w:t>
      </w:r>
      <w:r>
        <w:rPr>
          <w:i/>
          <w:iCs/>
        </w:rPr>
        <w:br/>
      </w:r>
      <w:r>
        <w:rPr>
          <w:rStyle w:val="Hervorhebung"/>
        </w:rPr>
        <w:t>\mathcal{B}</w:t>
      </w:r>
      <w:r>
        <w:t>{\mathrm{zul}},</w:t>
      </w:r>
      <w:r>
        <w:br/>
        <w:t>F,</w:t>
      </w:r>
      <w:r>
        <w:br/>
        <w:t>\mathbf{S}</w:t>
      </w:r>
      <w:r>
        <w:rPr>
          <w:rStyle w:val="Hervorhebung"/>
        </w:rPr>
        <w:t>{\theta},</w:t>
      </w:r>
      <w:r>
        <w:rPr>
          <w:i/>
          <w:iCs/>
        </w:rPr>
        <w:br/>
      </w:r>
      <w:r>
        <w:rPr>
          <w:rStyle w:val="Hervorhebung"/>
        </w:rPr>
        <w:t>\mathbf{S}</w:t>
      </w:r>
      <w:r>
        <w:t>{\delta_0},</w:t>
      </w:r>
      <w:r>
        <w:br/>
        <w:t>\Omega_{L^\ast}^{U},</w:t>
      </w:r>
      <w:r>
        <w:br/>
        <w:t>R_U,</w:t>
      </w:r>
      <w:r>
        <w:br/>
        <w:t>\operatorname{PRob}_{F}</w:t>
      </w:r>
      <w:r>
        <w:br/>
        <w:t>\right).</w:t>
      </w:r>
      <w:r>
        <w:br/>
        <w:t>\tag{3.6943}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\mathfrak{P}_{F}^{\mathrm{rob}}=\left(\Theta_{\mathrm{zul}},\mathcal{S}_{0}^{\mathrm{zul}},\mathcal{B}_{\mathrm{zul}},F,\mathbf{S}_{\theta},\mathbf{S}_{\delta_0},\Omega_{L^{\ast}}^{U},R_U,\operatorname{PRob}_{F}\right)\qquad\text{(3.6943)}</w:t>
      </w:r>
    </w:p>
    <w:p w:rsidR="00AD04D9" w:rsidRDefault="00AD04D9" w:rsidP="00AD04D9">
      <w:pPr>
        <w:pStyle w:val="StandardWeb"/>
      </w:pPr>
      <w:r>
        <w:t>Dabei bezeichnet</w:t>
      </w:r>
    </w:p>
    <w:p w:rsidR="00AD04D9" w:rsidRDefault="00AD04D9" w:rsidP="008C5E65">
      <w:pPr>
        <w:pStyle w:val="StandardWeb"/>
        <w:numPr>
          <w:ilvl w:val="0"/>
          <w:numId w:val="328"/>
        </w:numPr>
      </w:pPr>
      <w:r>
        <w:t>(\Theta_{\mathrm{zul}}) den zulässigen Parameterraum,</w:t>
      </w:r>
    </w:p>
    <w:p w:rsidR="00AD04D9" w:rsidRDefault="00AD04D9" w:rsidP="008C5E65">
      <w:pPr>
        <w:pStyle w:val="StandardWeb"/>
        <w:numPr>
          <w:ilvl w:val="0"/>
          <w:numId w:val="328"/>
        </w:numPr>
      </w:pPr>
      <w:r>
        <w:t>(\mathcal{S}_{0}^{\mathrm{zul}}) den zulässigen Anfangszustandsraum,</w:t>
      </w:r>
    </w:p>
    <w:p w:rsidR="00AD04D9" w:rsidRDefault="00AD04D9" w:rsidP="008C5E65">
      <w:pPr>
        <w:pStyle w:val="StandardWeb"/>
        <w:numPr>
          <w:ilvl w:val="0"/>
          <w:numId w:val="328"/>
        </w:numPr>
      </w:pPr>
      <w:r>
        <w:t>(\mathcal{B}_{\mathrm{zul}}) den zulässigen Randbedingungsraum,</w:t>
      </w:r>
    </w:p>
    <w:p w:rsidR="00AD04D9" w:rsidRDefault="00AD04D9" w:rsidP="008C5E65">
      <w:pPr>
        <w:pStyle w:val="StandardWeb"/>
        <w:numPr>
          <w:ilvl w:val="0"/>
          <w:numId w:val="328"/>
        </w:numPr>
      </w:pPr>
      <w:r>
        <w:t>(F) die Ergebnisabbildung,</w:t>
      </w:r>
    </w:p>
    <w:p w:rsidR="00AD04D9" w:rsidRDefault="00AD04D9" w:rsidP="008C5E65">
      <w:pPr>
        <w:pStyle w:val="StandardWeb"/>
        <w:numPr>
          <w:ilvl w:val="0"/>
          <w:numId w:val="328"/>
        </w:numPr>
      </w:pPr>
      <w:r>
        <w:t>(\mathbf{S}_{\theta}) die Parametersensitivitätsstruktur,</w:t>
      </w:r>
    </w:p>
    <w:p w:rsidR="00AD04D9" w:rsidRDefault="00AD04D9" w:rsidP="008C5E65">
      <w:pPr>
        <w:pStyle w:val="StandardWeb"/>
        <w:numPr>
          <w:ilvl w:val="0"/>
          <w:numId w:val="328"/>
        </w:numPr>
      </w:pPr>
      <w:r>
        <w:t>(\mathbf{S}_{\delta_0}) die Anfangsbedingungssensitivitätsstruktur,</w:t>
      </w:r>
    </w:p>
    <w:p w:rsidR="00AD04D9" w:rsidRDefault="00AD04D9" w:rsidP="008C5E65">
      <w:pPr>
        <w:pStyle w:val="StandardWeb"/>
        <w:numPr>
          <w:ilvl w:val="0"/>
          <w:numId w:val="328"/>
        </w:numPr>
      </w:pPr>
      <w:r>
        <w:t>(\Omega_{L^\ast}^{U}) das Stabilitätsgebiet einer Aussageklasse,</w:t>
      </w:r>
    </w:p>
    <w:p w:rsidR="00AD04D9" w:rsidRDefault="00AD04D9" w:rsidP="008C5E65">
      <w:pPr>
        <w:pStyle w:val="StandardWeb"/>
        <w:numPr>
          <w:ilvl w:val="0"/>
          <w:numId w:val="328"/>
        </w:numPr>
      </w:pPr>
      <w:r>
        <w:t>(R_U) den Gesamtrobustheitsgrad,</w:t>
      </w:r>
    </w:p>
    <w:p w:rsidR="00AD04D9" w:rsidRDefault="00AD04D9" w:rsidP="008C5E65">
      <w:pPr>
        <w:pStyle w:val="StandardWeb"/>
        <w:numPr>
          <w:ilvl w:val="0"/>
          <w:numId w:val="328"/>
        </w:numPr>
      </w:pPr>
      <w:r>
        <w:t>(\operatorname{PRob}_{F}) das Robustheitsprädikat.</w:t>
      </w:r>
    </w:p>
    <w:p w:rsidR="00AD04D9" w:rsidRDefault="00AD04D9" w:rsidP="00AD04D9">
      <w:pPr>
        <w:pStyle w:val="StandardWeb"/>
      </w:pPr>
      <w:r>
        <w:t>Das Robustheitsprädikat lautet</w:t>
      </w:r>
    </w:p>
    <w:p w:rsidR="00AD04D9" w:rsidRDefault="00AD04D9" w:rsidP="00AD04D9">
      <w:pPr>
        <w:pStyle w:val="StandardWeb"/>
      </w:pPr>
      <w:r>
        <w:t>[</w:t>
      </w:r>
      <w:r>
        <w:br/>
        <w:t>\operatorname{PRob}</w:t>
      </w:r>
      <w:r>
        <w:rPr>
          <w:rStyle w:val="Hervorhebung"/>
        </w:rPr>
        <w:t>{F}</w:t>
      </w:r>
      <w:r>
        <w:rPr>
          <w:i/>
          <w:iCs/>
        </w:rPr>
        <w:br/>
      </w:r>
      <w:r>
        <w:rPr>
          <w:rStyle w:val="Hervorhebung"/>
        </w:rPr>
        <w:t>:</w:t>
      </w:r>
      <w:r>
        <w:rPr>
          <w:i/>
          <w:iCs/>
        </w:rPr>
        <w:br/>
      </w:r>
      <w:r>
        <w:rPr>
          <w:rStyle w:val="Hervorhebung"/>
        </w:rPr>
        <w:t>\mathfrak{P}</w:t>
      </w:r>
      <w:r>
        <w:t>{F}^{\mathrm{rob}}</w:t>
      </w:r>
      <w:r>
        <w:br/>
        <w:t>\longrightarrow</w:t>
      </w:r>
      <w:r>
        <w:br/>
        <w:t>{0,1}.</w:t>
      </w:r>
      <w:r>
        <w:br/>
        <w:t>\tag{3.6944}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\operatorname{PRob}_{F}:\mathfrak{P}_{F}^{\mathrm{rob}}\longrightarrow\{0,1\}\qquad\text{(3.6944)}</w:t>
      </w:r>
    </w:p>
    <w:p w:rsidR="00AD04D9" w:rsidRDefault="00AD04D9" w:rsidP="00AD04D9">
      <w:pPr>
        <w:pStyle w:val="StandardWeb"/>
      </w:pPr>
      <w:r>
        <w:t>Für eine parameter- und anfangsbedingungsrobuste Aussage gilt</w:t>
      </w:r>
    </w:p>
    <w:p w:rsidR="00AD04D9" w:rsidRDefault="00AD04D9" w:rsidP="00AD04D9">
      <w:pPr>
        <w:pStyle w:val="berschrift1"/>
      </w:pPr>
      <w:r>
        <w:t>[</w:t>
      </w:r>
      <w:r>
        <w:br/>
        <w:t>\operatorname{PRob}</w:t>
      </w:r>
      <w:r>
        <w:rPr>
          <w:rStyle w:val="Hervorhebung"/>
        </w:rPr>
        <w:t>{F}</w:t>
      </w:r>
      <w:r>
        <w:rPr>
          <w:i/>
          <w:iCs/>
        </w:rPr>
        <w:br/>
      </w:r>
      <w:r>
        <w:rPr>
          <w:rStyle w:val="Hervorhebung"/>
        </w:rPr>
        <w:t>\left(</w:t>
      </w:r>
      <w:r>
        <w:rPr>
          <w:i/>
          <w:iCs/>
        </w:rPr>
        <w:br/>
      </w:r>
      <w:r>
        <w:rPr>
          <w:rStyle w:val="Hervorhebung"/>
        </w:rPr>
        <w:t>\mathfrak{P}</w:t>
      </w:r>
      <w:r>
        <w:t>{F}^{\mathrm{rob}}</w:t>
      </w:r>
      <w:r>
        <w:br/>
        <w:t>\right)</w:t>
      </w:r>
    </w:p>
    <w:p w:rsidR="00AD04D9" w:rsidRDefault="00AD04D9" w:rsidP="008C5E65">
      <w:pPr>
        <w:numPr>
          <w:ilvl w:val="0"/>
          <w:numId w:val="329"/>
        </w:numPr>
        <w:spacing w:before="100" w:beforeAutospacing="1" w:after="100" w:afterAutospacing="1"/>
      </w:pPr>
    </w:p>
    <w:p w:rsidR="00AD04D9" w:rsidRDefault="00AD04D9" w:rsidP="00AD04D9">
      <w:pPr>
        <w:pStyle w:val="StandardWeb"/>
      </w:pPr>
      <w:r>
        <w:t>\tag{3.6945}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\operatorname{PRob}_{F}\left(\mathfrak{P}_{F}^{\mathrm{rob}}\right)=1\qquad\text{(3.6945)}</w:t>
      </w:r>
    </w:p>
    <w:p w:rsidR="00AD04D9" w:rsidRDefault="00E50336" w:rsidP="00AD04D9">
      <w:r>
        <w:pict>
          <v:rect id="_x0000_i1341" style="width:0;height:1.5pt" o:hralign="center" o:hrstd="t" o:hr="t" fillcolor="#a0a0a0" stroked="f"/>
        </w:pict>
      </w:r>
    </w:p>
    <w:p w:rsidR="00AD04D9" w:rsidRDefault="00AD04D9" w:rsidP="00AD04D9">
      <w:pPr>
        <w:pStyle w:val="berschrift2"/>
      </w:pPr>
      <w:r>
        <w:t>3.3.40.66 Erweiterte Robustheitsbedingung</w:t>
      </w:r>
    </w:p>
    <w:p w:rsidR="00AD04D9" w:rsidRDefault="00AD04D9" w:rsidP="00AD04D9">
      <w:pPr>
        <w:pStyle w:val="StandardWeb"/>
      </w:pPr>
      <w:r>
        <w:t>Ich definiere</w:t>
      </w:r>
    </w:p>
    <w:p w:rsidR="00AD04D9" w:rsidRDefault="00AD04D9" w:rsidP="00AD04D9">
      <w:pPr>
        <w:pStyle w:val="berschrift1"/>
      </w:pPr>
      <w:r>
        <w:t>[</w:t>
      </w:r>
      <w:r>
        <w:br/>
        <w:t>\operatorname{EPRob}_{F}</w:t>
      </w:r>
    </w:p>
    <w:p w:rsidR="00AD04D9" w:rsidRDefault="00AD04D9" w:rsidP="00AD04D9">
      <w:pPr>
        <w:pStyle w:val="StandardWeb"/>
      </w:pPr>
      <w:r>
        <w:t>1</w:t>
      </w:r>
      <w:r>
        <w:br/>
        <w:t>\tag{3.6946}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\operatorname{EPRob}_{F}=1\qquad\text{(3.6946)}</w:t>
      </w:r>
    </w:p>
    <w:p w:rsidR="00AD04D9" w:rsidRDefault="00AD04D9" w:rsidP="00AD04D9">
      <w:pPr>
        <w:pStyle w:val="StandardWeb"/>
      </w:pPr>
      <w:r>
        <w:t>genau dann, wenn mindestens gilt</w:t>
      </w:r>
    </w:p>
    <w:p w:rsidR="00AD04D9" w:rsidRDefault="00AD04D9" w:rsidP="00AD04D9">
      <w:pPr>
        <w:pStyle w:val="berschrift1"/>
      </w:pPr>
      <w:r>
        <w:t>[</w:t>
      </w:r>
      <w:r>
        <w:br/>
        <w:t>C_{\Theta}</w:t>
      </w:r>
      <w:r>
        <w:br/>
        <w:t>\land</w:t>
      </w:r>
      <w:r>
        <w:br/>
        <w:t>C_{\delta_0}</w:t>
      </w:r>
      <w:r>
        <w:br/>
      </w:r>
      <w:r>
        <w:lastRenderedPageBreak/>
        <w:t>\land</w:t>
      </w:r>
      <w:r>
        <w:br/>
        <w:t>C_{\mathbf{b}}</w:t>
      </w:r>
      <w:r>
        <w:br/>
        <w:t>\land</w:t>
      </w:r>
      <w:r>
        <w:br/>
        <w:t>C_{\mathrm{sens}}</w:t>
      </w:r>
      <w:r>
        <w:br/>
        <w:t>\land</w:t>
      </w:r>
      <w:r>
        <w:br/>
        <w:t>C_{\mathrm{ident}}</w:t>
      </w:r>
      <w:r>
        <w:br/>
        <w:t>\land</w:t>
      </w:r>
      <w:r>
        <w:br/>
        <w:t>C_{\mathrm{unc}}</w:t>
      </w:r>
      <w:r>
        <w:br/>
        <w:t>\land</w:t>
      </w:r>
      <w:r>
        <w:br/>
        <w:t>C_{\mathrm{bif}}</w:t>
      </w:r>
    </w:p>
    <w:p w:rsidR="00AD04D9" w:rsidRDefault="00AD04D9" w:rsidP="008C5E65">
      <w:pPr>
        <w:numPr>
          <w:ilvl w:val="0"/>
          <w:numId w:val="330"/>
        </w:numPr>
        <w:spacing w:before="100" w:beforeAutospacing="1" w:after="100" w:afterAutospacing="1"/>
      </w:pPr>
    </w:p>
    <w:p w:rsidR="00AD04D9" w:rsidRDefault="00AD04D9" w:rsidP="00AD04D9">
      <w:pPr>
        <w:pStyle w:val="StandardWeb"/>
      </w:pPr>
      <w:r>
        <w:t>\tag{3.6947}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C_{\Theta}\land C_{\delta_0}\land C_{\mathbf{b}}\land C_{\mathrm{sens}}\land C_{\mathrm{ident}}\land C_{\mathrm{unc}}\land C_{\mathrm{bif}}=1\qquad\text{(3.6947)}</w:t>
      </w:r>
    </w:p>
    <w:p w:rsidR="00AD04D9" w:rsidRDefault="00AD04D9" w:rsidP="00AD04D9">
      <w:pPr>
        <w:pStyle w:val="StandardWeb"/>
      </w:pPr>
      <w:r>
        <w:t>Dabei stehen die einzelnen Bedingungen für</w:t>
      </w:r>
    </w:p>
    <w:p w:rsidR="00AD04D9" w:rsidRDefault="00AD04D9" w:rsidP="008C5E65">
      <w:pPr>
        <w:pStyle w:val="StandardWeb"/>
        <w:numPr>
          <w:ilvl w:val="0"/>
          <w:numId w:val="331"/>
        </w:numPr>
      </w:pPr>
      <w:r>
        <w:t>begründeten Parameterraum,</w:t>
      </w:r>
    </w:p>
    <w:p w:rsidR="00AD04D9" w:rsidRDefault="00AD04D9" w:rsidP="008C5E65">
      <w:pPr>
        <w:pStyle w:val="StandardWeb"/>
        <w:numPr>
          <w:ilvl w:val="0"/>
          <w:numId w:val="331"/>
        </w:numPr>
      </w:pPr>
      <w:r>
        <w:t>begründeten Anfangszustandsraum,</w:t>
      </w:r>
    </w:p>
    <w:p w:rsidR="00AD04D9" w:rsidRDefault="00AD04D9" w:rsidP="008C5E65">
      <w:pPr>
        <w:pStyle w:val="StandardWeb"/>
        <w:numPr>
          <w:ilvl w:val="0"/>
          <w:numId w:val="331"/>
        </w:numPr>
      </w:pPr>
      <w:r>
        <w:t>begründete Randbedingungen,</w:t>
      </w:r>
    </w:p>
    <w:p w:rsidR="00AD04D9" w:rsidRDefault="00AD04D9" w:rsidP="008C5E65">
      <w:pPr>
        <w:pStyle w:val="StandardWeb"/>
        <w:numPr>
          <w:ilvl w:val="0"/>
          <w:numId w:val="331"/>
        </w:numPr>
      </w:pPr>
      <w:r>
        <w:t>Sensitivitätsprüfung,</w:t>
      </w:r>
    </w:p>
    <w:p w:rsidR="00AD04D9" w:rsidRDefault="00AD04D9" w:rsidP="008C5E65">
      <w:pPr>
        <w:pStyle w:val="StandardWeb"/>
        <w:numPr>
          <w:ilvl w:val="0"/>
          <w:numId w:val="331"/>
        </w:numPr>
      </w:pPr>
      <w:r>
        <w:t>Identifizierbarkeitsprüfung,</w:t>
      </w:r>
    </w:p>
    <w:p w:rsidR="00AD04D9" w:rsidRDefault="00AD04D9" w:rsidP="008C5E65">
      <w:pPr>
        <w:pStyle w:val="StandardWeb"/>
        <w:numPr>
          <w:ilvl w:val="0"/>
          <w:numId w:val="331"/>
        </w:numPr>
      </w:pPr>
      <w:r>
        <w:t>Unsicherheitsfortpflanzung,</w:t>
      </w:r>
    </w:p>
    <w:p w:rsidR="00AD04D9" w:rsidRDefault="00AD04D9" w:rsidP="008C5E65">
      <w:pPr>
        <w:pStyle w:val="StandardWeb"/>
        <w:numPr>
          <w:ilvl w:val="0"/>
          <w:numId w:val="331"/>
        </w:numPr>
      </w:pPr>
      <w:r>
        <w:t>Prüfung kritischer Parametergrenzen.</w:t>
      </w:r>
    </w:p>
    <w:p w:rsidR="00AD04D9" w:rsidRDefault="00E50336" w:rsidP="00AD04D9">
      <w:r>
        <w:pict>
          <v:rect id="_x0000_i1342" style="width:0;height:1.5pt" o:hralign="center" o:hrstd="t" o:hr="t" fillcolor="#a0a0a0" stroked="f"/>
        </w:pict>
      </w:r>
    </w:p>
    <w:p w:rsidR="00AD04D9" w:rsidRDefault="00AD04D9" w:rsidP="00AD04D9">
      <w:pPr>
        <w:pStyle w:val="berschrift2"/>
      </w:pPr>
      <w:r>
        <w:t>3.3.40.67 Parameterrobustheit ist kein Primäraxiom</w:t>
      </w:r>
    </w:p>
    <w:p w:rsidR="00AD04D9" w:rsidRDefault="00AD04D9" w:rsidP="00AD04D9">
      <w:pPr>
        <w:pStyle w:val="StandardWeb"/>
      </w:pPr>
      <w:r>
        <w:t>Auch die Parameterrobustheit ist kein Primäraxiom des FRZK.</w:t>
      </w:r>
    </w:p>
    <w:p w:rsidR="00AD04D9" w:rsidRDefault="00AD04D9" w:rsidP="00AD04D9">
      <w:pPr>
        <w:pStyle w:val="StandardWeb"/>
      </w:pPr>
      <w:r>
        <w:t>Es gilt</w:t>
      </w:r>
    </w:p>
    <w:p w:rsidR="00AD04D9" w:rsidRDefault="00AD04D9" w:rsidP="00AD04D9">
      <w:pPr>
        <w:pStyle w:val="StandardWeb"/>
      </w:pPr>
      <w:r>
        <w:t>[</w:t>
      </w:r>
      <w:r>
        <w:br/>
        <w:t>\operatorname{PRob}</w:t>
      </w:r>
      <w:r>
        <w:rPr>
          <w:rStyle w:val="Hervorhebung"/>
        </w:rPr>
        <w:t>{F}</w:t>
      </w:r>
      <w:r>
        <w:rPr>
          <w:i/>
          <w:iCs/>
        </w:rPr>
        <w:br/>
      </w:r>
      <w:r>
        <w:rPr>
          <w:rStyle w:val="Hervorhebung"/>
        </w:rPr>
        <w:t>\notin</w:t>
      </w:r>
      <w:r>
        <w:rPr>
          <w:i/>
          <w:iCs/>
        </w:rPr>
        <w:br/>
      </w:r>
      <w:r>
        <w:rPr>
          <w:rStyle w:val="Hervorhebung"/>
        </w:rPr>
        <w:t>\mathfrak{A}</w:t>
      </w:r>
      <w:r>
        <w:t>{\mathrm{prim}}.</w:t>
      </w:r>
      <w:r>
        <w:br/>
      </w:r>
      <w:r>
        <w:lastRenderedPageBreak/>
        <w:t>\tag{3.6948}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\operatorname{PRob}_{F}\notin\mathfrak{A}_{\mathrm{prim}}\qquad\text{(3.6948)}</w:t>
      </w:r>
    </w:p>
    <w:p w:rsidR="00AD04D9" w:rsidRDefault="00AD04D9" w:rsidP="00AD04D9">
      <w:pPr>
        <w:pStyle w:val="StandardWeb"/>
      </w:pPr>
      <w:r>
        <w:t>Sie gehört vielmehr zur methodischen Prüfarchitektur:</w:t>
      </w:r>
    </w:p>
    <w:p w:rsidR="00AD04D9" w:rsidRDefault="00AD04D9" w:rsidP="00AD04D9">
      <w:pPr>
        <w:pStyle w:val="StandardWeb"/>
      </w:pPr>
      <w:r>
        <w:t>[</w:t>
      </w:r>
      <w:r>
        <w:br/>
        <w:t>\operatorname{PRob}</w:t>
      </w:r>
      <w:r>
        <w:rPr>
          <w:rStyle w:val="Hervorhebung"/>
        </w:rPr>
        <w:t>{F}</w:t>
      </w:r>
      <w:r>
        <w:rPr>
          <w:i/>
          <w:iCs/>
        </w:rPr>
        <w:br/>
      </w:r>
      <w:r>
        <w:rPr>
          <w:rStyle w:val="Hervorhebung"/>
        </w:rPr>
        <w:t>\in</w:t>
      </w:r>
      <w:r>
        <w:rPr>
          <w:i/>
          <w:iCs/>
        </w:rPr>
        <w:br/>
      </w:r>
      <w:r>
        <w:rPr>
          <w:rStyle w:val="Hervorhebung"/>
        </w:rPr>
        <w:t>\mathfrak{M}</w:t>
      </w:r>
      <w:r>
        <w:t>{\mathrm{prüf}}.</w:t>
      </w:r>
      <w:r>
        <w:br/>
        <w:t>\tag{3.6949}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\operatorname{PRob}_{F}\in\mathfrak{M}_{\mathrm{prüf}}\qquad\text{(3.6949)}</w:t>
      </w:r>
    </w:p>
    <w:p w:rsidR="00AD04D9" w:rsidRDefault="00AD04D9" w:rsidP="00AD04D9">
      <w:pPr>
        <w:pStyle w:val="StandardWeb"/>
      </w:pPr>
      <w:r>
        <w:t>Damit bleibt die methodologische Trennung zwischen FRZK-Axiomatik und empirischer Qualitätsprüfung erhalten.</w:t>
      </w:r>
    </w:p>
    <w:p w:rsidR="00AD04D9" w:rsidRDefault="00E50336" w:rsidP="00AD04D9">
      <w:r>
        <w:pict>
          <v:rect id="_x0000_i1343" style="width:0;height:1.5pt" o:hralign="center" o:hrstd="t" o:hr="t" fillcolor="#a0a0a0" stroked="f"/>
        </w:pict>
      </w:r>
    </w:p>
    <w:p w:rsidR="00AD04D9" w:rsidRDefault="00AD04D9" w:rsidP="00AD04D9">
      <w:pPr>
        <w:pStyle w:val="berschrift2"/>
      </w:pPr>
      <w:r>
        <w:t>3.3.40.68 Parameterrobustheit versus Operationalisierungsrobustheit</w:t>
      </w:r>
    </w:p>
    <w:p w:rsidR="00AD04D9" w:rsidRDefault="00AD04D9" w:rsidP="00AD04D9">
      <w:pPr>
        <w:pStyle w:val="StandardWeb"/>
      </w:pPr>
      <w:r>
        <w:t>Die beiden Robustheitsformen betreffen unterschiedliche Ebenen.</w:t>
      </w:r>
    </w:p>
    <w:p w:rsidR="00AD04D9" w:rsidRDefault="00AD04D9" w:rsidP="00AD04D9">
      <w:pPr>
        <w:pStyle w:val="StandardWeb"/>
      </w:pPr>
      <w:r>
        <w:t>Operationalisierungsvariation:</w:t>
      </w:r>
    </w:p>
    <w:p w:rsidR="00AD04D9" w:rsidRDefault="00AD04D9" w:rsidP="00AD04D9">
      <w:pPr>
        <w:pStyle w:val="StandardWeb"/>
      </w:pPr>
      <w:r>
        <w:t>[</w:t>
      </w:r>
      <w:r>
        <w:br/>
        <w:t>\mathcal{O}_1</w:t>
      </w:r>
      <w:r>
        <w:br/>
        <w:t>\rightarrow</w:t>
      </w:r>
      <w:r>
        <w:br/>
        <w:t>\mathcal{O}_2.</w:t>
      </w:r>
      <w:r>
        <w:br/>
        <w:t>\tag{3.6950}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\mathcal{O}_1\rightarrow\mathcal{O}_2\qquad\text{(3.6950)}</w:t>
      </w:r>
    </w:p>
    <w:p w:rsidR="00AD04D9" w:rsidRDefault="00AD04D9" w:rsidP="00AD04D9">
      <w:pPr>
        <w:pStyle w:val="StandardWeb"/>
      </w:pPr>
      <w:r>
        <w:t>Parametervariation:</w:t>
      </w:r>
    </w:p>
    <w:p w:rsidR="00AD04D9" w:rsidRDefault="00AD04D9" w:rsidP="00AD04D9">
      <w:pPr>
        <w:pStyle w:val="StandardWeb"/>
      </w:pPr>
      <w:r>
        <w:t>[</w:t>
      </w:r>
      <w:r>
        <w:br/>
        <w:t>\boldsymbol{\theta}_1</w:t>
      </w:r>
      <w:r>
        <w:br/>
        <w:t>\rightarrow</w:t>
      </w:r>
      <w:r>
        <w:br/>
        <w:t>\boldsymbol{\theta}_2.</w:t>
      </w:r>
      <w:r>
        <w:br/>
      </w:r>
      <w:r>
        <w:lastRenderedPageBreak/>
        <w:t>\tag{3.6951}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\boldsymbol{\theta}_1\rightarrow\boldsymbol{\theta}_2\qquad\text{(3.6951)}</w:t>
      </w:r>
    </w:p>
    <w:p w:rsidR="00AD04D9" w:rsidRDefault="00AD04D9" w:rsidP="00AD04D9">
      <w:pPr>
        <w:pStyle w:val="StandardWeb"/>
      </w:pPr>
      <w:r>
        <w:t>Eine Aussage kann operationalisierungsrobust, aber parameterfragil sein:</w:t>
      </w:r>
    </w:p>
    <w:p w:rsidR="00AD04D9" w:rsidRDefault="00AD04D9" w:rsidP="00AD04D9">
      <w:pPr>
        <w:pStyle w:val="StandardWeb"/>
      </w:pPr>
      <w:r>
        <w:t>[</w:t>
      </w:r>
      <w:r>
        <w:br/>
        <w:t>R_{\mathcal{O}}</w:t>
      </w:r>
      <w:r>
        <w:br/>
        <w:t>\text{ hoch}</w:t>
      </w:r>
      <w:r>
        <w:br/>
        <w:t>\land</w:t>
      </w:r>
      <w:r>
        <w:br/>
        <w:t>R_{\theta}</w:t>
      </w:r>
      <w:r>
        <w:br/>
        <w:t>\text{ niedrig}.</w:t>
      </w:r>
      <w:r>
        <w:br/>
        <w:t>\tag{3.6952}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R_{\mathcal{O}}\text{ hoch}\land R_{\theta}\text{ niedrig}\qquad\text{(3.6952)}</w:t>
      </w:r>
    </w:p>
    <w:p w:rsidR="00AD04D9" w:rsidRDefault="00AD04D9" w:rsidP="00AD04D9">
      <w:pPr>
        <w:pStyle w:val="StandardWeb"/>
      </w:pPr>
      <w:r>
        <w:t>Umgekehrt kann sie innerhalb einer Operationalisierung über breite Parameterbereiche stabil sein, aber bei einer alternativen Operationalisierung verschwinden.</w:t>
      </w:r>
    </w:p>
    <w:p w:rsidR="00AD04D9" w:rsidRDefault="00E50336" w:rsidP="00AD04D9">
      <w:r>
        <w:pict>
          <v:rect id="_x0000_i1344" style="width:0;height:1.5pt" o:hralign="center" o:hrstd="t" o:hr="t" fillcolor="#a0a0a0" stroked="f"/>
        </w:pict>
      </w:r>
    </w:p>
    <w:p w:rsidR="00AD04D9" w:rsidRDefault="00AD04D9" w:rsidP="00AD04D9">
      <w:pPr>
        <w:pStyle w:val="berschrift2"/>
      </w:pPr>
      <w:r>
        <w:t>3.3.40.69 Gemeinsame Operationalisierungs-Parameter-Robustheit</w:t>
      </w:r>
    </w:p>
    <w:p w:rsidR="00AD04D9" w:rsidRDefault="00AD04D9" w:rsidP="00AD04D9">
      <w:pPr>
        <w:pStyle w:val="StandardWeb"/>
      </w:pPr>
      <w:r>
        <w:t>Für eine vollständige Prüfung kann ein gemeinsamer Raum betrachtet werden:</w:t>
      </w:r>
    </w:p>
    <w:p w:rsidR="00AD04D9" w:rsidRDefault="00AD04D9" w:rsidP="00AD04D9">
      <w:pPr>
        <w:pStyle w:val="berschrift1"/>
      </w:pPr>
      <w:r>
        <w:t>[</w:t>
      </w:r>
      <w:r>
        <w:br/>
        <w:t>\mathfrak{Z}</w:t>
      </w:r>
    </w:p>
    <w:p w:rsidR="00AD04D9" w:rsidRDefault="00AD04D9" w:rsidP="00AD04D9">
      <w:pPr>
        <w:pStyle w:val="StandardWeb"/>
      </w:pPr>
      <w:r>
        <w:t>\mathfrak{O}</w:t>
      </w:r>
      <w:r>
        <w:rPr>
          <w:rStyle w:val="Hervorhebung"/>
        </w:rPr>
        <w:t>{\mathrm{zul}}</w:t>
      </w:r>
      <w:r>
        <w:rPr>
          <w:i/>
          <w:iCs/>
        </w:rPr>
        <w:br/>
      </w:r>
      <w:r>
        <w:rPr>
          <w:rStyle w:val="Hervorhebung"/>
        </w:rPr>
        <w:t>\times</w:t>
      </w:r>
      <w:r>
        <w:rPr>
          <w:i/>
          <w:iCs/>
        </w:rPr>
        <w:br/>
      </w:r>
      <w:r>
        <w:rPr>
          <w:rStyle w:val="Hervorhebung"/>
        </w:rPr>
        <w:t>\Theta</w:t>
      </w:r>
      <w:r>
        <w:t>{\mathrm{zul}}.</w:t>
      </w:r>
      <w:r>
        <w:br/>
        <w:t>\tag{3.6953}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\mathfrak{Z}=\mathfrak{O}_{\mathrm{zul}}\times\Theta_{\mathrm{zul}}\qquad\text{(3.6953)}</w:t>
      </w:r>
    </w:p>
    <w:p w:rsidR="00AD04D9" w:rsidRDefault="00AD04D9" w:rsidP="00AD04D9">
      <w:pPr>
        <w:pStyle w:val="StandardWeb"/>
      </w:pPr>
      <w:r>
        <w:t>Die Aussage lautet</w:t>
      </w:r>
    </w:p>
    <w:p w:rsidR="00AD04D9" w:rsidRDefault="00AD04D9" w:rsidP="00AD04D9">
      <w:pPr>
        <w:pStyle w:val="berschrift1"/>
      </w:pPr>
      <w:r>
        <w:lastRenderedPageBreak/>
        <w:t>[</w:t>
      </w:r>
      <w:r>
        <w:br/>
        <w:t>A_F</w:t>
      </w:r>
    </w:p>
    <w:p w:rsidR="00AD04D9" w:rsidRDefault="00AD04D9" w:rsidP="00AD04D9">
      <w:pPr>
        <w:pStyle w:val="StandardWeb"/>
      </w:pPr>
      <w:r>
        <w:t>A_F</w:t>
      </w:r>
      <w:r>
        <w:br/>
        <w:t>\left(</w:t>
      </w:r>
      <w:r>
        <w:br/>
        <w:t>\mathcal{O},</w:t>
      </w:r>
      <w:r>
        <w:br/>
        <w:t>\boldsymbol{\theta}</w:t>
      </w:r>
      <w:r>
        <w:br/>
        <w:t>\right).</w:t>
      </w:r>
      <w:r>
        <w:br/>
        <w:t>\tag{3.6954}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A_F=A_F\left(\mathcal{O},\boldsymbol{\theta}\right)\qquad\text{(3.6954)}</w:t>
      </w:r>
    </w:p>
    <w:p w:rsidR="00AD04D9" w:rsidRDefault="00AD04D9" w:rsidP="00AD04D9">
      <w:pPr>
        <w:pStyle w:val="StandardWeb"/>
      </w:pPr>
      <w:r>
        <w:t>Eine starke Robustheitsbedingung ist</w:t>
      </w:r>
    </w:p>
    <w:p w:rsidR="00AD04D9" w:rsidRDefault="00AD04D9" w:rsidP="00AD04D9">
      <w:pPr>
        <w:pStyle w:val="berschrift1"/>
      </w:pPr>
      <w:r>
        <w:t>[</w:t>
      </w:r>
      <w:r>
        <w:br/>
        <w:t>\operatorname{Klasse}_{A}</w:t>
      </w:r>
      <w:r>
        <w:br/>
        <w:t>\left(</w:t>
      </w:r>
      <w:r>
        <w:br/>
        <w:t>A_F</w:t>
      </w:r>
      <w:r>
        <w:br/>
        <w:t>\left(</w:t>
      </w:r>
      <w:r>
        <w:br/>
        <w:t>\mathcal{O},</w:t>
      </w:r>
      <w:r>
        <w:br/>
        <w:t>\boldsymbol{\theta}</w:t>
      </w:r>
      <w:r>
        <w:br/>
        <w:t>\right)</w:t>
      </w:r>
      <w:r>
        <w:br/>
        <w:t>\right)</w:t>
      </w:r>
    </w:p>
    <w:p w:rsidR="00AD04D9" w:rsidRDefault="00AD04D9" w:rsidP="00AD04D9">
      <w:pPr>
        <w:pStyle w:val="StandardWeb"/>
      </w:pPr>
      <w:r>
        <w:t>L^\ast</w:t>
      </w:r>
      <w:r>
        <w:br/>
        <w:t>\qquad</w:t>
      </w:r>
      <w:r>
        <w:br/>
        <w:t>\forall</w:t>
      </w:r>
      <w:r>
        <w:br/>
        <w:t>(\mathcal{O},\boldsymbol{\theta})</w:t>
      </w:r>
      <w:r>
        <w:br/>
        <w:t>\in</w:t>
      </w:r>
      <w:r>
        <w:br/>
        <w:t>\mathfrak{Z}.</w:t>
      </w:r>
      <w:r>
        <w:br/>
        <w:t>\tag{3.6955}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\operatorname{Klasse}_{A}\left(A_F\left(\mathcal{O},\boldsymbol{\theta}\right)\right)=L^{\ast}\qquad\forall(\mathcal{O},\boldsymbol{\theta})\in\mathfrak{Z}\qquad\text{(3.6955)}</w:t>
      </w:r>
    </w:p>
    <w:p w:rsidR="00AD04D9" w:rsidRDefault="00E50336" w:rsidP="00AD04D9">
      <w:r>
        <w:pict>
          <v:rect id="_x0000_i1345" style="width:0;height:1.5pt" o:hralign="center" o:hrstd="t" o:hr="t" fillcolor="#a0a0a0" stroked="f"/>
        </w:pict>
      </w:r>
    </w:p>
    <w:p w:rsidR="00AD04D9" w:rsidRDefault="00AD04D9" w:rsidP="00AD04D9">
      <w:pPr>
        <w:pStyle w:val="berschrift2"/>
      </w:pPr>
      <w:r>
        <w:lastRenderedPageBreak/>
        <w:t>3.3.40.70 Parametersuche und Ergebnisabhängigkeit</w:t>
      </w:r>
    </w:p>
    <w:p w:rsidR="00AD04D9" w:rsidRDefault="00AD04D9" w:rsidP="00AD04D9">
      <w:pPr>
        <w:pStyle w:val="StandardWeb"/>
      </w:pPr>
      <w:r>
        <w:t>Wenn Parameter anhand der Daten optimiert werden, entsteht eine zusätzliche Abhängigkeit.</w:t>
      </w:r>
    </w:p>
    <w:p w:rsidR="00AD04D9" w:rsidRDefault="00AD04D9" w:rsidP="00AD04D9">
      <w:pPr>
        <w:pStyle w:val="StandardWeb"/>
      </w:pPr>
      <w:r>
        <w:t>Sei</w:t>
      </w:r>
    </w:p>
    <w:p w:rsidR="00AD04D9" w:rsidRDefault="00AD04D9" w:rsidP="00AD04D9">
      <w:pPr>
        <w:pStyle w:val="berschrift1"/>
      </w:pPr>
      <w:r>
        <w:t>[</w:t>
      </w:r>
      <w:r>
        <w:br/>
        <w:t>\widehat{\boldsymbol{\theta}}</w:t>
      </w:r>
    </w:p>
    <w:p w:rsidR="00AD04D9" w:rsidRDefault="00AD04D9" w:rsidP="00AD04D9">
      <w:pPr>
        <w:pStyle w:val="StandardWeb"/>
      </w:pPr>
      <w:r>
        <w:t>\arg\min_{\boldsymbol{\theta}}</w:t>
      </w:r>
      <w:r>
        <w:br/>
        <w:t>L</w:t>
      </w:r>
      <w:r>
        <w:br/>
        <w:t>\left(</w:t>
      </w:r>
      <w:r>
        <w:br/>
        <w:t>\boldsymbol{\theta};</w:t>
      </w:r>
      <w:r>
        <w:br/>
        <w:t>\mathcal{D}</w:t>
      </w:r>
      <w:r>
        <w:br/>
        <w:t>\right).</w:t>
      </w:r>
      <w:r>
        <w:br/>
        <w:t>\tag{3.6956}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\widehat{\boldsymbol{\theta}}=\arg\min_{\boldsymbol{\theta}}L\left(\boldsymbol{\theta};\mathcal{D}\right)\qquad\text{(3.6956)}</w:t>
      </w:r>
    </w:p>
    <w:p w:rsidR="00AD04D9" w:rsidRDefault="00AD04D9" w:rsidP="00AD04D9">
      <w:pPr>
        <w:pStyle w:val="StandardWeb"/>
      </w:pPr>
      <w:r>
        <w:t>Die resultierende Aussage lautet</w:t>
      </w:r>
    </w:p>
    <w:p w:rsidR="00AD04D9" w:rsidRDefault="00AD04D9" w:rsidP="00AD04D9">
      <w:pPr>
        <w:pStyle w:val="berschrift1"/>
      </w:pPr>
      <w:r>
        <w:t>[</w:t>
      </w:r>
      <w:r>
        <w:br/>
        <w:t>A_F</w:t>
      </w:r>
    </w:p>
    <w:p w:rsidR="00AD04D9" w:rsidRDefault="00AD04D9" w:rsidP="00AD04D9">
      <w:pPr>
        <w:pStyle w:val="StandardWeb"/>
      </w:pPr>
      <w:r>
        <w:t>A_F</w:t>
      </w:r>
      <w:r>
        <w:br/>
        <w:t>\left(</w:t>
      </w:r>
      <w:r>
        <w:br/>
        <w:t>\widehat{\boldsymbol{\theta}}</w:t>
      </w:r>
      <w:r>
        <w:br/>
        <w:t>\right).</w:t>
      </w:r>
      <w:r>
        <w:br/>
        <w:t>\tag{3.6957}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A_F=A_F\left(\widehat{\boldsymbol{\theta}}\right)\qquad\text{(3.6957)}</w:t>
      </w:r>
    </w:p>
    <w:p w:rsidR="00AD04D9" w:rsidRDefault="00AD04D9" w:rsidP="00AD04D9">
      <w:pPr>
        <w:pStyle w:val="StandardWeb"/>
      </w:pPr>
      <w:r>
        <w:t>Damit kann die Aussage vom Optimierungsverfahren, den Startwerten und dem verwendeten Verlustmaß abhängen.</w:t>
      </w:r>
    </w:p>
    <w:p w:rsidR="00AD04D9" w:rsidRDefault="00E50336" w:rsidP="00AD04D9">
      <w:r>
        <w:pict>
          <v:rect id="_x0000_i1346" style="width:0;height:1.5pt" o:hralign="center" o:hrstd="t" o:hr="t" fillcolor="#a0a0a0" stroked="f"/>
        </w:pict>
      </w:r>
    </w:p>
    <w:p w:rsidR="00AD04D9" w:rsidRDefault="00AD04D9" w:rsidP="00AD04D9">
      <w:pPr>
        <w:pStyle w:val="berschrift2"/>
      </w:pPr>
      <w:r>
        <w:t>3.3.40.71 Lokale Optima</w:t>
      </w:r>
    </w:p>
    <w:p w:rsidR="00AD04D9" w:rsidRDefault="00AD04D9" w:rsidP="00AD04D9">
      <w:pPr>
        <w:pStyle w:val="StandardWeb"/>
      </w:pPr>
      <w:r>
        <w:t>Eine Optimierungsfunktion kann mehrere lokale Minima besitzen:</w:t>
      </w:r>
    </w:p>
    <w:p w:rsidR="00AD04D9" w:rsidRDefault="00AD04D9" w:rsidP="00AD04D9">
      <w:pPr>
        <w:pStyle w:val="StandardWeb"/>
      </w:pPr>
      <w:r>
        <w:lastRenderedPageBreak/>
        <w:t>[</w:t>
      </w:r>
      <w:r>
        <w:br/>
        <w:t>\widehat{\boldsymbol{\theta}}^{(1)}</w:t>
      </w:r>
      <w:r>
        <w:br/>
        <w:t>\neq</w:t>
      </w:r>
      <w:r>
        <w:br/>
        <w:t>\widehat{\boldsymbol{\theta}}^{(2)}.</w:t>
      </w:r>
      <w:r>
        <w:br/>
        <w:t>\tag{3.6958}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\widehat{\boldsymbol{\theta}}^{(1)}\neq\widehat{\boldsymbol{\theta}}^{(2)}\qquad\text{(3.6958)}</w:t>
      </w:r>
    </w:p>
    <w:p w:rsidR="00AD04D9" w:rsidRDefault="00AD04D9" w:rsidP="00AD04D9">
      <w:pPr>
        <w:pStyle w:val="StandardWeb"/>
      </w:pPr>
      <w:r>
        <w:t>Trotz ähnlicher Verlustwerte kann gelten</w:t>
      </w:r>
    </w:p>
    <w:p w:rsidR="00AD04D9" w:rsidRDefault="00AD04D9" w:rsidP="00AD04D9">
      <w:pPr>
        <w:pStyle w:val="StandardWeb"/>
      </w:pPr>
      <w:r>
        <w:t>[</w:t>
      </w:r>
      <w:r>
        <w:br/>
        <w:t>L</w:t>
      </w:r>
      <w:r>
        <w:br/>
        <w:t>\left(</w:t>
      </w:r>
      <w:r>
        <w:br/>
        <w:t>\widehat{\boldsymbol{\theta}}^{(1)}</w:t>
      </w:r>
      <w:r>
        <w:br/>
        <w:t>\right)</w:t>
      </w:r>
      <w:r>
        <w:br/>
        <w:t>\approx</w:t>
      </w:r>
      <w:r>
        <w:br/>
        <w:t>L</w:t>
      </w:r>
      <w:r>
        <w:br/>
        <w:t>\left(</w:t>
      </w:r>
      <w:r>
        <w:br/>
        <w:t>\widehat{\boldsymbol{\theta}}^{(2)}</w:t>
      </w:r>
      <w:r>
        <w:br/>
        <w:t>\right).</w:t>
      </w:r>
      <w:r>
        <w:br/>
        <w:t>\tag{3.6959}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L\left(\widehat{\boldsymbol{\theta}}^{(1)}\right)\approx L\left(\widehat{\boldsymbol{\theta}}^{(2)}\right)\qquad\text{(3.6959)}</w:t>
      </w:r>
    </w:p>
    <w:p w:rsidR="00AD04D9" w:rsidRDefault="00AD04D9" w:rsidP="00AD04D9">
      <w:pPr>
        <w:pStyle w:val="StandardWeb"/>
      </w:pPr>
      <w:r>
        <w:t>Die resultierenden wissenschaftlichen Aussagen können dennoch verschieden sein:</w:t>
      </w:r>
    </w:p>
    <w:p w:rsidR="00AD04D9" w:rsidRDefault="00AD04D9" w:rsidP="00AD04D9">
      <w:pPr>
        <w:pStyle w:val="StandardWeb"/>
      </w:pPr>
      <w:r>
        <w:t>[</w:t>
      </w:r>
      <w:r>
        <w:br/>
        <w:t>A_F</w:t>
      </w:r>
      <w:r>
        <w:br/>
        <w:t>\left(</w:t>
      </w:r>
      <w:r>
        <w:br/>
        <w:t>\widehat{\boldsymbol{\theta}}^{(1)}</w:t>
      </w:r>
      <w:r>
        <w:br/>
        <w:t>\right)</w:t>
      </w:r>
      <w:r>
        <w:br/>
        <w:t>\not\sim_A</w:t>
      </w:r>
      <w:r>
        <w:br/>
        <w:t>A_F</w:t>
      </w:r>
      <w:r>
        <w:br/>
        <w:t>\left(</w:t>
      </w:r>
      <w:r>
        <w:br/>
        <w:t>\widehat{\boldsymbol{\theta}}^{(2)}</w:t>
      </w:r>
      <w:r>
        <w:br/>
        <w:t>\right).</w:t>
      </w:r>
      <w:r>
        <w:br/>
        <w:t>\tag{3.6960}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A_F\left(\widehat{\boldsymbol{\theta}}^{(1)}\right)\not\sim_A A_F\left(\widehat{\boldsymbol{\theta}}^{(2)}\right)\qquad\text{(3.6960)}</w:t>
      </w:r>
    </w:p>
    <w:p w:rsidR="00AD04D9" w:rsidRDefault="00AD04D9" w:rsidP="00AD04D9">
      <w:pPr>
        <w:pStyle w:val="StandardWeb"/>
      </w:pPr>
      <w:r>
        <w:lastRenderedPageBreak/>
        <w:t>Damit muss auch die Stabilität gegenüber Optimierungsstartwerten geprüft werden.</w:t>
      </w:r>
    </w:p>
    <w:p w:rsidR="00AD04D9" w:rsidRDefault="00E50336" w:rsidP="00AD04D9">
      <w:r>
        <w:pict>
          <v:rect id="_x0000_i1347" style="width:0;height:1.5pt" o:hralign="center" o:hrstd="t" o:hr="t" fillcolor="#a0a0a0" stroked="f"/>
        </w:pict>
      </w:r>
    </w:p>
    <w:p w:rsidR="00AD04D9" w:rsidRDefault="00AD04D9" w:rsidP="00AD04D9">
      <w:pPr>
        <w:pStyle w:val="berschrift2"/>
      </w:pPr>
      <w:r>
        <w:t>3.3.40.72 Optimierungsstartwertrobustheit</w:t>
      </w:r>
    </w:p>
    <w:p w:rsidR="00AD04D9" w:rsidRDefault="00AD04D9" w:rsidP="00AD04D9">
      <w:pPr>
        <w:pStyle w:val="StandardWeb"/>
      </w:pPr>
      <w:r>
        <w:t>Sei</w:t>
      </w:r>
    </w:p>
    <w:p w:rsidR="00AD04D9" w:rsidRDefault="00AD04D9" w:rsidP="00AD04D9">
      <w:pPr>
        <w:pStyle w:val="StandardWeb"/>
      </w:pPr>
      <w:r>
        <w:t>[</w:t>
      </w:r>
      <w:r>
        <w:br/>
        <w:t>\boldsymbol{\theta}_{\mathrm{start}}^{(k)}</w:t>
      </w:r>
      <w:r>
        <w:br/>
        <w:t>\tag{3.6961}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\boldsymbol{\theta}_{\mathrm{start}}^{(k)}\qquad\text{(3.6961)}</w:t>
      </w:r>
    </w:p>
    <w:p w:rsidR="00AD04D9" w:rsidRDefault="00AD04D9" w:rsidP="00AD04D9">
      <w:pPr>
        <w:pStyle w:val="StandardWeb"/>
      </w:pPr>
      <w:r>
        <w:t>der Startwert eines Optimierungslaufs.</w:t>
      </w:r>
    </w:p>
    <w:p w:rsidR="00AD04D9" w:rsidRDefault="00AD04D9" w:rsidP="00AD04D9">
      <w:pPr>
        <w:pStyle w:val="StandardWeb"/>
      </w:pPr>
      <w:r>
        <w:t>Das Optimierungsergebnis lautet</w:t>
      </w:r>
    </w:p>
    <w:p w:rsidR="00AD04D9" w:rsidRDefault="00AD04D9" w:rsidP="00AD04D9">
      <w:pPr>
        <w:pStyle w:val="berschrift1"/>
      </w:pPr>
      <w:r>
        <w:t>[</w:t>
      </w:r>
      <w:r>
        <w:br/>
        <w:t>\widehat{\boldsymbol{\theta}}^{(k)}</w:t>
      </w:r>
    </w:p>
    <w:p w:rsidR="00AD04D9" w:rsidRDefault="00AD04D9" w:rsidP="00AD04D9">
      <w:pPr>
        <w:pStyle w:val="StandardWeb"/>
      </w:pPr>
      <w:r>
        <w:t>\mathcal{A}</w:t>
      </w:r>
      <w:r>
        <w:rPr>
          <w:rStyle w:val="Hervorhebung"/>
        </w:rPr>
        <w:t>{\mathrm{opt}}</w:t>
      </w:r>
      <w:r>
        <w:rPr>
          <w:i/>
          <w:iCs/>
        </w:rPr>
        <w:br/>
      </w:r>
      <w:r>
        <w:rPr>
          <w:rStyle w:val="Hervorhebung"/>
        </w:rPr>
        <w:t>\left(</w:t>
      </w:r>
      <w:r>
        <w:rPr>
          <w:i/>
          <w:iCs/>
        </w:rPr>
        <w:br/>
      </w:r>
      <w:r>
        <w:rPr>
          <w:rStyle w:val="Hervorhebung"/>
        </w:rPr>
        <w:t>\boldsymbol{\theta}</w:t>
      </w:r>
      <w:r>
        <w:t>{\mathrm{start}}^{(k)}</w:t>
      </w:r>
      <w:r>
        <w:br/>
        <w:t>\right).</w:t>
      </w:r>
      <w:r>
        <w:br/>
        <w:t>\tag{3.6962}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\widehat{\boldsymbol{\theta}}^{(k)}=\mathcal{A}_{\mathrm{opt}}\left(\boldsymbol{\theta}_{\mathrm{start}}^{(k)}\right)\qquad\text{(3.6962)}</w:t>
      </w:r>
    </w:p>
    <w:p w:rsidR="00AD04D9" w:rsidRDefault="00AD04D9" w:rsidP="00AD04D9">
      <w:pPr>
        <w:pStyle w:val="StandardWeb"/>
      </w:pPr>
      <w:r>
        <w:t>Eine robuste Parameterschätzung sollte hinsichtlich der relevanten Aussageklasse erfüllen</w:t>
      </w:r>
    </w:p>
    <w:p w:rsidR="00AD04D9" w:rsidRDefault="00AD04D9" w:rsidP="00AD04D9">
      <w:pPr>
        <w:pStyle w:val="berschrift1"/>
      </w:pPr>
      <w:r>
        <w:t>[</w:t>
      </w:r>
      <w:r>
        <w:br/>
        <w:t>A_F</w:t>
      </w:r>
      <w:r>
        <w:br/>
        <w:t>\left(</w:t>
      </w:r>
      <w:r>
        <w:br/>
        <w:t>\widehat{\boldsymbol{\theta}}^{(k)}</w:t>
      </w:r>
      <w:r>
        <w:br/>
        <w:t>\right)</w:t>
      </w:r>
    </w:p>
    <w:p w:rsidR="00AD04D9" w:rsidRDefault="00AD04D9" w:rsidP="00AD04D9">
      <w:pPr>
        <w:pStyle w:val="StandardWeb"/>
      </w:pPr>
      <w:r>
        <w:t>L^\ast</w:t>
      </w:r>
      <w:r>
        <w:br/>
        <w:t>\qquad</w:t>
      </w:r>
      <w:r>
        <w:br/>
      </w:r>
      <w:r>
        <w:lastRenderedPageBreak/>
        <w:t>\forall k.</w:t>
      </w:r>
      <w:r>
        <w:br/>
        <w:t>\tag{3.6963}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A_F\left(\widehat{\boldsymbol{\theta}}^{(k)}\right)=L^{\ast}\qquad\forall k\qquad\text{(3.6963)}</w:t>
      </w:r>
    </w:p>
    <w:p w:rsidR="00AD04D9" w:rsidRDefault="00E50336" w:rsidP="00AD04D9">
      <w:r>
        <w:pict>
          <v:rect id="_x0000_i1348" style="width:0;height:1.5pt" o:hralign="center" o:hrstd="t" o:hr="t" fillcolor="#a0a0a0" stroked="f"/>
        </w:pict>
      </w:r>
    </w:p>
    <w:p w:rsidR="00AD04D9" w:rsidRDefault="00AD04D9" w:rsidP="00AD04D9">
      <w:pPr>
        <w:pStyle w:val="berschrift2"/>
      </w:pPr>
      <w:r>
        <w:t>3.3.40.73 Flat Directions</w:t>
      </w:r>
    </w:p>
    <w:p w:rsidR="00AD04D9" w:rsidRDefault="00AD04D9" w:rsidP="00AD04D9">
      <w:pPr>
        <w:pStyle w:val="StandardWeb"/>
      </w:pPr>
      <w:r>
        <w:t>Ein Parameter kann schlecht identifizierbar sein, wenn die Verlustfunktion in seiner Richtung nahezu flach ist.</w:t>
      </w:r>
    </w:p>
    <w:p w:rsidR="00AD04D9" w:rsidRDefault="00AD04D9" w:rsidP="00AD04D9">
      <w:pPr>
        <w:pStyle w:val="StandardWeb"/>
      </w:pPr>
      <w:r>
        <w:t>Für eine Richtung (v) gilt dann</w:t>
      </w:r>
    </w:p>
    <w:p w:rsidR="00AD04D9" w:rsidRDefault="00AD04D9" w:rsidP="00AD04D9">
      <w:pPr>
        <w:pStyle w:val="StandardWeb"/>
      </w:pPr>
      <w:r>
        <w:t>[</w:t>
      </w:r>
      <w:r>
        <w:br/>
        <w:t>L</w:t>
      </w:r>
      <w:r>
        <w:br/>
        <w:t>\left(</w:t>
      </w:r>
      <w:r>
        <w:br/>
        <w:t>\boldsymbol{\theta}</w:t>
      </w:r>
      <w:r>
        <w:br/>
        <w:t>+</w:t>
      </w:r>
      <w:r>
        <w:br/>
        <w:t>\varepsilon v</w:t>
      </w:r>
      <w:r>
        <w:br/>
        <w:t>\right)</w:t>
      </w:r>
      <w:r>
        <w:br/>
        <w:t>\approx</w:t>
      </w:r>
      <w:r>
        <w:br/>
        <w:t>L</w:t>
      </w:r>
      <w:r>
        <w:br/>
        <w:t>\left(</w:t>
      </w:r>
      <w:r>
        <w:br/>
        <w:t>\boldsymbol{\theta}</w:t>
      </w:r>
      <w:r>
        <w:br/>
        <w:t>\right)</w:t>
      </w:r>
      <w:r>
        <w:br/>
        <w:t>\tag{3.6964}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L\left(\boldsymbol{\theta}+\varepsilon v\right)\approx L\left(\boldsymbol{\theta}\right)\qquad\text{(3.6964)}</w:t>
      </w:r>
    </w:p>
    <w:p w:rsidR="00AD04D9" w:rsidRDefault="00AD04D9" w:rsidP="00AD04D9">
      <w:pPr>
        <w:pStyle w:val="StandardWeb"/>
      </w:pPr>
      <w:r>
        <w:t>für einen relevanten Bereich von (\varepsilon).</w:t>
      </w:r>
    </w:p>
    <w:p w:rsidR="00AD04D9" w:rsidRDefault="00AD04D9" w:rsidP="00AD04D9">
      <w:pPr>
        <w:pStyle w:val="StandardWeb"/>
      </w:pPr>
      <w:r>
        <w:t>Eine solche Richtung kann zu großen Parameterschwankungen bei nahezu unveränderter Modellgüte führen.</w:t>
      </w:r>
    </w:p>
    <w:p w:rsidR="00AD04D9" w:rsidRDefault="00E50336" w:rsidP="00AD04D9">
      <w:r>
        <w:pict>
          <v:rect id="_x0000_i1349" style="width:0;height:1.5pt" o:hralign="center" o:hrstd="t" o:hr="t" fillcolor="#a0a0a0" stroked="f"/>
        </w:pict>
      </w:r>
    </w:p>
    <w:p w:rsidR="00AD04D9" w:rsidRDefault="00AD04D9" w:rsidP="00AD04D9">
      <w:pPr>
        <w:pStyle w:val="berschrift2"/>
      </w:pPr>
      <w:r>
        <w:t>3.3.40.74 Sloppiness</w:t>
      </w:r>
    </w:p>
    <w:p w:rsidR="00AD04D9" w:rsidRDefault="00AD04D9" w:rsidP="00AD04D9">
      <w:pPr>
        <w:pStyle w:val="StandardWeb"/>
      </w:pPr>
      <w:r>
        <w:t>Ich bezeichne eine stark anisotrope Parametersensitivität abstrakt mit</w:t>
      </w:r>
    </w:p>
    <w:p w:rsidR="00AD04D9" w:rsidRDefault="00AD04D9" w:rsidP="00AD04D9">
      <w:pPr>
        <w:pStyle w:val="berschrift1"/>
      </w:pPr>
      <w:r>
        <w:t>[</w:t>
      </w:r>
      <w:r>
        <w:br/>
        <w:t>\kappa_{\mathrm{sens}}</w:t>
      </w:r>
    </w:p>
    <w:p w:rsidR="00AD04D9" w:rsidRDefault="00AD04D9" w:rsidP="00AD04D9">
      <w:pPr>
        <w:pStyle w:val="StandardWeb"/>
      </w:pPr>
      <w:r>
        <w:lastRenderedPageBreak/>
        <w:t>\frac{</w:t>
      </w:r>
      <w:r>
        <w:br/>
        <w:t>\lambda_{\max}</w:t>
      </w:r>
      <w:r>
        <w:br/>
        <w:t>}{</w:t>
      </w:r>
      <w:r>
        <w:br/>
        <w:t>\lambda_{\min}</w:t>
      </w:r>
      <w:r>
        <w:br/>
        <w:t>},</w:t>
      </w:r>
      <w:r>
        <w:br/>
        <w:t>\tag{3.6965}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\kappa_{\mathrm{sens}}=\frac{\lambda_{\max}}{\lambda_{\min}}\qquad\text{(3.6965)}</w:t>
      </w:r>
    </w:p>
    <w:p w:rsidR="00AD04D9" w:rsidRDefault="00AD04D9" w:rsidP="00AD04D9">
      <w:pPr>
        <w:pStyle w:val="StandardWeb"/>
      </w:pPr>
      <w:r>
        <w:t>wobei (\lambda_{\max}) und (\lambda_{\min}) geeignete Eigenwerte einer lokalen Sensitivitäts- oder Informationsmatrix bezeichnen.</w:t>
      </w:r>
    </w:p>
    <w:p w:rsidR="00AD04D9" w:rsidRDefault="00AD04D9" w:rsidP="00AD04D9">
      <w:pPr>
        <w:pStyle w:val="StandardWeb"/>
      </w:pPr>
      <w:r>
        <w:t>Für</w:t>
      </w:r>
    </w:p>
    <w:p w:rsidR="00AD04D9" w:rsidRDefault="00AD04D9" w:rsidP="00AD04D9">
      <w:pPr>
        <w:pStyle w:val="StandardWeb"/>
      </w:pPr>
      <w:r>
        <w:t>[</w:t>
      </w:r>
      <w:r>
        <w:br/>
        <w:t>\kappa_{\mathrm{sens}}</w:t>
      </w:r>
      <w:r>
        <w:br/>
        <w:t>\gg</w:t>
      </w:r>
      <w:r>
        <w:br/>
        <w:t>1</w:t>
      </w:r>
      <w:r>
        <w:br/>
        <w:t>\tag{3.6966}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\kappa_{\mathrm{sens}}\gg1\qquad\text{(3.6966)}</w:t>
      </w:r>
    </w:p>
    <w:p w:rsidR="00AD04D9" w:rsidRDefault="00AD04D9" w:rsidP="00AD04D9">
      <w:pPr>
        <w:pStyle w:val="StandardWeb"/>
      </w:pPr>
      <w:r>
        <w:t>existieren sehr unterschiedlich empfindliche Parameterrichtungen.</w:t>
      </w:r>
    </w:p>
    <w:p w:rsidR="00AD04D9" w:rsidRDefault="00E50336" w:rsidP="00AD04D9">
      <w:r>
        <w:pict>
          <v:rect id="_x0000_i1350" style="width:0;height:1.5pt" o:hralign="center" o:hrstd="t" o:hr="t" fillcolor="#a0a0a0" stroked="f"/>
        </w:pict>
      </w:r>
    </w:p>
    <w:p w:rsidR="00AD04D9" w:rsidRDefault="00AD04D9" w:rsidP="00AD04D9">
      <w:pPr>
        <w:pStyle w:val="berschrift2"/>
      </w:pPr>
      <w:r>
        <w:t>3.3.40.75 Parameterkompensation</w:t>
      </w:r>
    </w:p>
    <w:p w:rsidR="00AD04D9" w:rsidRDefault="00AD04D9" w:rsidP="00AD04D9">
      <w:pPr>
        <w:pStyle w:val="StandardWeb"/>
      </w:pPr>
      <w:r>
        <w:t>Zwei Parameter können sich gegenseitig kompensieren.</w:t>
      </w:r>
    </w:p>
    <w:p w:rsidR="00AD04D9" w:rsidRDefault="00AD04D9" w:rsidP="00AD04D9">
      <w:pPr>
        <w:pStyle w:val="StandardWeb"/>
      </w:pPr>
      <w:r>
        <w:t>Es kann gelten</w:t>
      </w:r>
    </w:p>
    <w:p w:rsidR="00AD04D9" w:rsidRDefault="00AD04D9" w:rsidP="00AD04D9">
      <w:pPr>
        <w:pStyle w:val="StandardWeb"/>
      </w:pPr>
      <w:r>
        <w:t>[</w:t>
      </w:r>
      <w:r>
        <w:br/>
        <w:t>\Delta\theta_i</w:t>
      </w:r>
      <w:r>
        <w:br/>
        <w:t>\neq</w:t>
      </w:r>
      <w:r>
        <w:br/>
        <w:t>0,</w:t>
      </w:r>
      <w:r>
        <w:br/>
        <w:t>\qquad</w:t>
      </w:r>
      <w:r>
        <w:br/>
        <w:t>\Delta\theta_j</w:t>
      </w:r>
      <w:r>
        <w:br/>
        <w:t>\neq</w:t>
      </w:r>
      <w:r>
        <w:br/>
        <w:t>0</w:t>
      </w:r>
      <w:r>
        <w:br/>
        <w:t>\tag{3.6967}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\Delta\theta_i\neq0,\qquad\Delta\theta_j\neq0\qquad\text{(3.6967)}</w:t>
      </w:r>
    </w:p>
    <w:p w:rsidR="00AD04D9" w:rsidRDefault="00AD04D9" w:rsidP="00AD04D9">
      <w:pPr>
        <w:pStyle w:val="StandardWeb"/>
      </w:pPr>
      <w:r>
        <w:t>bei gleichzeitig</w:t>
      </w:r>
    </w:p>
    <w:p w:rsidR="00AD04D9" w:rsidRDefault="00AD04D9" w:rsidP="00AD04D9">
      <w:pPr>
        <w:pStyle w:val="StandardWeb"/>
      </w:pPr>
      <w:r>
        <w:t>[</w:t>
      </w:r>
      <w:r>
        <w:br/>
        <w:t>\Delta Y_F</w:t>
      </w:r>
      <w:r>
        <w:br/>
        <w:t>\approx</w:t>
      </w:r>
      <w:r>
        <w:br/>
        <w:t>0.</w:t>
      </w:r>
      <w:r>
        <w:br/>
        <w:t>\tag{3.6968}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\Delta Y_F\approx0\qquad\text{(3.6968)}</w:t>
      </w:r>
    </w:p>
    <w:p w:rsidR="00AD04D9" w:rsidRDefault="00AD04D9" w:rsidP="00AD04D9">
      <w:pPr>
        <w:pStyle w:val="StandardWeb"/>
      </w:pPr>
      <w:r>
        <w:t>Dann können Einzelparameter schlecht identifizierbar sein, obwohl die beobachtbare Modellgröße stabil ist.</w:t>
      </w:r>
    </w:p>
    <w:p w:rsidR="00AD04D9" w:rsidRDefault="00E50336" w:rsidP="00AD04D9">
      <w:r>
        <w:pict>
          <v:rect id="_x0000_i1351" style="width:0;height:1.5pt" o:hralign="center" o:hrstd="t" o:hr="t" fillcolor="#a0a0a0" stroked="f"/>
        </w:pict>
      </w:r>
    </w:p>
    <w:p w:rsidR="00AD04D9" w:rsidRDefault="00AD04D9" w:rsidP="00AD04D9">
      <w:pPr>
        <w:pStyle w:val="berschrift2"/>
      </w:pPr>
      <w:r>
        <w:t>3.3.40.76 Äquifinalität</w:t>
      </w:r>
    </w:p>
    <w:p w:rsidR="00AD04D9" w:rsidRDefault="00AD04D9" w:rsidP="00AD04D9">
      <w:pPr>
        <w:pStyle w:val="StandardWeb"/>
      </w:pPr>
      <w:r>
        <w:t>Mehrere Parameterkombinationen können dieselbe oder eine äquivalente Ausgangsgröße erzeugen:</w:t>
      </w:r>
    </w:p>
    <w:p w:rsidR="00AD04D9" w:rsidRDefault="00AD04D9" w:rsidP="00AD04D9">
      <w:pPr>
        <w:pStyle w:val="StandardWeb"/>
      </w:pPr>
      <w:r>
        <w:t>[</w:t>
      </w:r>
      <w:r>
        <w:br/>
        <w:t>F</w:t>
      </w:r>
      <w:r>
        <w:br/>
        <w:t>\left(</w:t>
      </w:r>
      <w:r>
        <w:br/>
        <w:t>\boldsymbol{\theta}^{(1)}</w:t>
      </w:r>
      <w:r>
        <w:br/>
        <w:t>\right)</w:t>
      </w:r>
      <w:r>
        <w:br/>
        <w:t>\approx</w:t>
      </w:r>
      <w:r>
        <w:br/>
        <w:t>F</w:t>
      </w:r>
      <w:r>
        <w:br/>
        <w:t>\left(</w:t>
      </w:r>
      <w:r>
        <w:br/>
        <w:t>\boldsymbol{\theta}^{(2)}</w:t>
      </w:r>
      <w:r>
        <w:br/>
        <w:t>\right).</w:t>
      </w:r>
      <w:r>
        <w:br/>
        <w:t>\tag{3.6969}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F\left(\boldsymbol{\theta}^{(1)}\right)\approx F\left(\boldsymbol{\theta}^{(2)}\right)\qquad\text{(3.6969)}</w:t>
      </w:r>
    </w:p>
    <w:p w:rsidR="00AD04D9" w:rsidRDefault="00AD04D9" w:rsidP="00AD04D9">
      <w:pPr>
        <w:pStyle w:val="StandardWeb"/>
      </w:pPr>
      <w:r>
        <w:t>bei</w:t>
      </w:r>
    </w:p>
    <w:p w:rsidR="00AD04D9" w:rsidRDefault="00AD04D9" w:rsidP="00AD04D9">
      <w:pPr>
        <w:pStyle w:val="StandardWeb"/>
      </w:pPr>
      <w:r>
        <w:t>[</w:t>
      </w:r>
      <w:r>
        <w:br/>
        <w:t>\boldsymbol{\theta}^{(1)}</w:t>
      </w:r>
      <w:r>
        <w:br/>
        <w:t>\neq</w:t>
      </w:r>
      <w:r>
        <w:br/>
        <w:t>\boldsymbol{\theta}^{(2)}.</w:t>
      </w:r>
      <w:r>
        <w:br/>
        <w:t>\tag{3.6970}</w:t>
      </w:r>
      <w:r>
        <w:br/>
        <w:t>]</w:t>
      </w:r>
    </w:p>
    <w:p w:rsidR="00AD04D9" w:rsidRDefault="00AD04D9" w:rsidP="00AD04D9">
      <w:pPr>
        <w:pStyle w:val="StandardWeb"/>
      </w:pPr>
      <w:r>
        <w:rPr>
          <w:rStyle w:val="Fett"/>
        </w:rPr>
        <w:lastRenderedPageBreak/>
        <w:t>Word-LaTeX</w:t>
      </w:r>
    </w:p>
    <w:p w:rsidR="00AD04D9" w:rsidRDefault="00AD04D9" w:rsidP="00AD04D9">
      <w:pPr>
        <w:pStyle w:val="HTMLVorformatiert"/>
        <w:rPr>
          <w:rStyle w:val="HTMLCode"/>
        </w:rPr>
      </w:pPr>
      <w:r>
        <w:rPr>
          <w:rStyle w:val="HTMLCode"/>
        </w:rPr>
        <w:t>\boldsymbol{\theta}^{(1)}\neq\boldsymbol{\theta}^{(2)}\qquad\text{(3.6970)}</w:t>
      </w:r>
    </w:p>
    <w:p w:rsidR="00AD04D9" w:rsidRDefault="00AD04D9" w:rsidP="00AD04D9">
      <w:pPr>
        <w:pStyle w:val="StandardWeb"/>
      </w:pPr>
      <w:r>
        <w:t>Dieses Phänomen erschwert die Interpretation einzelner Parameter als eindeutig bestimmte Mechanismen.</w:t>
      </w:r>
    </w:p>
    <w:p w:rsidR="00AD04D9" w:rsidRDefault="00E50336" w:rsidP="00AD04D9">
      <w:r>
        <w:pict>
          <v:rect id="_x0000_i1352" style="width:0;height:1.5pt" o:hralign="center" o:hrstd="t" o:hr="t" fillcolor="#a0a0a0" stroked="f"/>
        </w:pict>
      </w:r>
    </w:p>
    <w:p w:rsidR="00AD04D9" w:rsidRDefault="00AD04D9" w:rsidP="00AD04D9">
      <w:pPr>
        <w:pStyle w:val="berschrift2"/>
      </w:pPr>
      <w:r>
        <w:t>3.3.40.77 Parameterinterpretation bei Äquifinalität</w:t>
      </w:r>
    </w:p>
    <w:p w:rsidR="00AD04D9" w:rsidRDefault="00AD04D9" w:rsidP="00AD04D9">
      <w:pPr>
        <w:pStyle w:val="StandardWeb"/>
      </w:pPr>
      <w:r>
        <w:t>Bei Äquifinalität gilt</w:t>
      </w:r>
    </w:p>
    <w:p w:rsidR="00AD04D9" w:rsidRDefault="00AD04D9" w:rsidP="00AD04D9">
      <w:pPr>
        <w:pStyle w:val="StandardWeb"/>
      </w:pPr>
      <w:r>
        <w:t>[</w:t>
      </w:r>
      <w:r>
        <w:br/>
        <w:t>Y_F</w:t>
      </w:r>
      <w:r>
        <w:br/>
        <w:t>\text{ identisch}</w:t>
      </w:r>
      <w:r>
        <w:br/>
        <w:t>\nRightarrow</w:t>
      </w:r>
      <w:r>
        <w:br/>
        <w:t>\boldsymbol{\theta}</w:t>
      </w:r>
      <w:r>
        <w:br/>
        <w:t>\text{ identisch}.</w:t>
      </w:r>
      <w:r>
        <w:br/>
        <w:t>\tag{3.6971}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Y_F\text{ identisch}\nRightarrow\boldsymbol{\theta}\text{ identisch}\qquad\text{(3.6971)}</w:t>
      </w:r>
    </w:p>
    <w:p w:rsidR="00AD04D9" w:rsidRDefault="00AD04D9" w:rsidP="00AD04D9">
      <w:pPr>
        <w:pStyle w:val="StandardWeb"/>
      </w:pPr>
      <w:r>
        <w:t>Damit darf aus einer guten Modellanpassung nicht automatisch auf die Eindeutigkeit der zugrunde liegenden Parameterwerte geschlossen werden.</w:t>
      </w:r>
    </w:p>
    <w:p w:rsidR="00AD04D9" w:rsidRDefault="00E50336" w:rsidP="00AD04D9">
      <w:r>
        <w:pict>
          <v:rect id="_x0000_i1353" style="width:0;height:1.5pt" o:hralign="center" o:hrstd="t" o:hr="t" fillcolor="#a0a0a0" stroked="f"/>
        </w:pict>
      </w:r>
    </w:p>
    <w:p w:rsidR="00AD04D9" w:rsidRDefault="00AD04D9" w:rsidP="00AD04D9">
      <w:pPr>
        <w:pStyle w:val="berschrift2"/>
      </w:pPr>
      <w:r>
        <w:t>3.3.40.78 Aussage- versus Parameterrobustheit</w:t>
      </w:r>
    </w:p>
    <w:p w:rsidR="00AD04D9" w:rsidRDefault="00AD04D9" w:rsidP="00AD04D9">
      <w:pPr>
        <w:pStyle w:val="StandardWeb"/>
      </w:pPr>
      <w:r>
        <w:t>Eine wissenschaftliche Aussage kann robust sein, obwohl Parameter selbst schlecht bestimmt sind:</w:t>
      </w:r>
    </w:p>
    <w:p w:rsidR="00AD04D9" w:rsidRDefault="00AD04D9" w:rsidP="00AD04D9">
      <w:pPr>
        <w:pStyle w:val="StandardWeb"/>
      </w:pPr>
      <w:r>
        <w:t>[</w:t>
      </w:r>
      <w:r>
        <w:br/>
        <w:t>R_A</w:t>
      </w:r>
      <w:r>
        <w:br/>
        <w:t>\text{ hoch}</w:t>
      </w:r>
      <w:r>
        <w:br/>
        <w:t>\land</w:t>
      </w:r>
      <w:r>
        <w:br/>
        <w:t>R_{\theta,\mathrm{ident}}</w:t>
      </w:r>
      <w:r>
        <w:br/>
        <w:t>\text{ niedrig}.</w:t>
      </w:r>
      <w:r>
        <w:br/>
        <w:t>\tag{3.6972}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R_A\text{ hoch}\land R_{\theta,\mathrm{ident}}\text{ niedrig}\qquad\text{(3.6972)}</w:t>
      </w:r>
    </w:p>
    <w:p w:rsidR="00AD04D9" w:rsidRDefault="00AD04D9" w:rsidP="00AD04D9">
      <w:pPr>
        <w:pStyle w:val="StandardWeb"/>
      </w:pPr>
      <w:r>
        <w:lastRenderedPageBreak/>
        <w:t>Dies ist methodisch wichtig. Für manche Fragestellungen genügt eine robuste Aussage über Systemverhalten, auch wenn einzelne Modellparameter nicht eindeutig interpretierbar sind.</w:t>
      </w:r>
    </w:p>
    <w:p w:rsidR="00AD04D9" w:rsidRDefault="00AD04D9" w:rsidP="00AD04D9">
      <w:pPr>
        <w:pStyle w:val="StandardWeb"/>
      </w:pPr>
      <w:r>
        <w:t>Für mechanistische Aussagen über genau diese Parameter genügt dies dagegen nicht.</w:t>
      </w:r>
    </w:p>
    <w:p w:rsidR="00AD04D9" w:rsidRDefault="00E50336" w:rsidP="00AD04D9">
      <w:r>
        <w:pict>
          <v:rect id="_x0000_i1354" style="width:0;height:1.5pt" o:hralign="center" o:hrstd="t" o:hr="t" fillcolor="#a0a0a0" stroked="f"/>
        </w:pict>
      </w:r>
    </w:p>
    <w:p w:rsidR="00AD04D9" w:rsidRDefault="00AD04D9" w:rsidP="00AD04D9">
      <w:pPr>
        <w:pStyle w:val="berschrift2"/>
      </w:pPr>
      <w:r>
        <w:t>3.3.40.79 Mechanistische Parameterinterpretation</w:t>
      </w:r>
    </w:p>
    <w:p w:rsidR="00AD04D9" w:rsidRDefault="00AD04D9" w:rsidP="00AD04D9">
      <w:pPr>
        <w:pStyle w:val="StandardWeb"/>
      </w:pPr>
      <w:r>
        <w:t>Wenn ein Parameter als konkreter Mechanismus interpretiert werden soll, fordere ich mindestens</w:t>
      </w:r>
    </w:p>
    <w:p w:rsidR="00AD04D9" w:rsidRDefault="00AD04D9" w:rsidP="00AD04D9">
      <w:pPr>
        <w:pStyle w:val="berschrift1"/>
      </w:pPr>
      <w:r>
        <w:t>[</w:t>
      </w:r>
      <w:r>
        <w:br/>
        <w:t>C_{\mathrm{ident}}</w:t>
      </w:r>
      <w:r>
        <w:br/>
        <w:t>\land</w:t>
      </w:r>
      <w:r>
        <w:br/>
        <w:t>C_{\mathrm{robust}}</w:t>
      </w:r>
      <w:r>
        <w:br/>
        <w:t>\land</w:t>
      </w:r>
      <w:r>
        <w:br/>
        <w:t>C_{\mathrm{sem}}</w:t>
      </w:r>
    </w:p>
    <w:p w:rsidR="00AD04D9" w:rsidRDefault="00AD04D9" w:rsidP="008C5E65">
      <w:pPr>
        <w:numPr>
          <w:ilvl w:val="0"/>
          <w:numId w:val="332"/>
        </w:numPr>
        <w:spacing w:before="100" w:beforeAutospacing="1" w:after="100" w:afterAutospacing="1"/>
      </w:pPr>
    </w:p>
    <w:p w:rsidR="00AD04D9" w:rsidRDefault="00AD04D9" w:rsidP="00AD04D9">
      <w:pPr>
        <w:pStyle w:val="StandardWeb"/>
      </w:pPr>
      <w:r>
        <w:t>\tag{3.6973}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C_{\mathrm{ident}}\land C_{\mathrm{robust}}\land C_{\mathrm{sem}}=1\qquad\text{(3.6973)}</w:t>
      </w:r>
    </w:p>
    <w:p w:rsidR="00AD04D9" w:rsidRDefault="00AD04D9" w:rsidP="00AD04D9">
      <w:pPr>
        <w:pStyle w:val="StandardWeb"/>
      </w:pPr>
      <w:r>
        <w:t>Dabei stehen die Bedingungen für Identifizierbarkeit, Robustheit und semantische Begründung.</w:t>
      </w:r>
    </w:p>
    <w:p w:rsidR="00AD04D9" w:rsidRDefault="00E50336" w:rsidP="00AD04D9">
      <w:r>
        <w:pict>
          <v:rect id="_x0000_i1355" style="width:0;height:1.5pt" o:hralign="center" o:hrstd="t" o:hr="t" fillcolor="#a0a0a0" stroked="f"/>
        </w:pict>
      </w:r>
    </w:p>
    <w:p w:rsidR="00AD04D9" w:rsidRDefault="00AD04D9" w:rsidP="00AD04D9">
      <w:pPr>
        <w:pStyle w:val="berschrift2"/>
      </w:pPr>
      <w:r>
        <w:t>3.3.40.80 Sensitivitätsrangfolge</w:t>
      </w:r>
    </w:p>
    <w:p w:rsidR="00AD04D9" w:rsidRDefault="00AD04D9" w:rsidP="00AD04D9">
      <w:pPr>
        <w:pStyle w:val="StandardWeb"/>
      </w:pPr>
      <w:r>
        <w:t>Die Parameter können nach ihrer Sensitivität geordnet werden:</w:t>
      </w:r>
    </w:p>
    <w:p w:rsidR="00AD04D9" w:rsidRDefault="00AD04D9" w:rsidP="00AD04D9">
      <w:pPr>
        <w:pStyle w:val="StandardWeb"/>
      </w:pPr>
      <w:r>
        <w:t>[</w:t>
      </w:r>
      <w:r>
        <w:br/>
        <w:t>G_{(1)}</w:t>
      </w:r>
      <w:r>
        <w:br/>
        <w:t>\geq</w:t>
      </w:r>
      <w:r>
        <w:br/>
        <w:t>G_{(2)}</w:t>
      </w:r>
      <w:r>
        <w:br/>
        <w:t>\geq</w:t>
      </w:r>
      <w:r>
        <w:br/>
        <w:t>\cdots</w:t>
      </w:r>
      <w:r>
        <w:br/>
        <w:t>\geq</w:t>
      </w:r>
      <w:r>
        <w:br/>
        <w:t>G_{(p)}.</w:t>
      </w:r>
      <w:r>
        <w:br/>
      </w:r>
      <w:r>
        <w:lastRenderedPageBreak/>
        <w:t>\tag{3.6974}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G_{(1)}\geq G_{(2)}\geq\cdots\geq G_{(p)}\qquad\text{(3.6974)}</w:t>
      </w:r>
    </w:p>
    <w:p w:rsidR="00AD04D9" w:rsidRDefault="00AD04D9" w:rsidP="00AD04D9">
      <w:pPr>
        <w:pStyle w:val="StandardWeb"/>
      </w:pPr>
      <w:r>
        <w:t>Damit entsteht eine Sensitivitätsrangfolge der Parameter.</w:t>
      </w:r>
    </w:p>
    <w:p w:rsidR="00AD04D9" w:rsidRDefault="00AD04D9" w:rsidP="00AD04D9">
      <w:pPr>
        <w:pStyle w:val="StandardWeb"/>
      </w:pPr>
      <w:r>
        <w:t>Diese Rangfolge kann helfen, empirische Mess- und Kalibrierungsressourcen auf besonders einflussreiche Parameter zu konzentrieren.</w:t>
      </w:r>
    </w:p>
    <w:p w:rsidR="00AD04D9" w:rsidRDefault="00E50336" w:rsidP="00AD04D9">
      <w:r>
        <w:pict>
          <v:rect id="_x0000_i1356" style="width:0;height:1.5pt" o:hralign="center" o:hrstd="t" o:hr="t" fillcolor="#a0a0a0" stroked="f"/>
        </w:pict>
      </w:r>
    </w:p>
    <w:p w:rsidR="00AD04D9" w:rsidRDefault="00AD04D9" w:rsidP="00AD04D9">
      <w:pPr>
        <w:pStyle w:val="berschrift2"/>
      </w:pPr>
      <w:r>
        <w:t>3.3.40.81 Niedrigsensitive Parameter</w:t>
      </w:r>
    </w:p>
    <w:p w:rsidR="00AD04D9" w:rsidRDefault="00AD04D9" w:rsidP="00AD04D9">
      <w:pPr>
        <w:pStyle w:val="StandardWeb"/>
      </w:pPr>
      <w:r>
        <w:t>Für einen Parameter mit</w:t>
      </w:r>
    </w:p>
    <w:p w:rsidR="00AD04D9" w:rsidRDefault="00AD04D9" w:rsidP="00AD04D9">
      <w:pPr>
        <w:pStyle w:val="StandardWeb"/>
      </w:pPr>
      <w:r>
        <w:t>[</w:t>
      </w:r>
      <w:r>
        <w:br/>
        <w:t>G_i</w:t>
      </w:r>
      <w:r>
        <w:br/>
        <w:t>\approx</w:t>
      </w:r>
      <w:r>
        <w:br/>
        <w:t>0</w:t>
      </w:r>
      <w:r>
        <w:br/>
        <w:t>\tag{3.6975}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G_i\approx0\qquad\text{(3.6975)}</w:t>
      </w:r>
    </w:p>
    <w:p w:rsidR="00AD04D9" w:rsidRDefault="00AD04D9" w:rsidP="00AD04D9">
      <w:pPr>
        <w:pStyle w:val="StandardWeb"/>
      </w:pPr>
      <w:r>
        <w:t>hat seine Variation innerhalb des betrachteten zulässigen Bereichs nur geringen Einfluss auf die betrachtete Ergebnisgröße.</w:t>
      </w:r>
    </w:p>
    <w:p w:rsidR="00AD04D9" w:rsidRDefault="00AD04D9" w:rsidP="00AD04D9">
      <w:pPr>
        <w:pStyle w:val="StandardWeb"/>
      </w:pPr>
      <w:r>
        <w:t>Das bedeutet jedoch nicht, dass der Parameter grundsätzlich wissenschaftlich bedeutungslos ist. Er kann andere Ergebnisgrößen oder andere Systemregime stark beeinflussen.</w:t>
      </w:r>
    </w:p>
    <w:p w:rsidR="00AD04D9" w:rsidRDefault="00E50336" w:rsidP="00AD04D9">
      <w:r>
        <w:pict>
          <v:rect id="_x0000_i1357" style="width:0;height:1.5pt" o:hralign="center" o:hrstd="t" o:hr="t" fillcolor="#a0a0a0" stroked="f"/>
        </w:pict>
      </w:r>
    </w:p>
    <w:p w:rsidR="00AD04D9" w:rsidRDefault="00AD04D9" w:rsidP="00AD04D9">
      <w:pPr>
        <w:pStyle w:val="berschrift2"/>
      </w:pPr>
      <w:r>
        <w:t>3.3.40.82 Sensitivität ist aussagebezogen</w:t>
      </w:r>
    </w:p>
    <w:p w:rsidR="00AD04D9" w:rsidRDefault="00AD04D9" w:rsidP="00AD04D9">
      <w:pPr>
        <w:pStyle w:val="StandardWeb"/>
      </w:pPr>
      <w:r>
        <w:t>Deshalb schreibe ich ausdrücklich</w:t>
      </w:r>
    </w:p>
    <w:p w:rsidR="00AD04D9" w:rsidRDefault="00AD04D9" w:rsidP="00AD04D9">
      <w:pPr>
        <w:pStyle w:val="berschrift1"/>
      </w:pPr>
      <w:r>
        <w:t>[</w:t>
      </w:r>
      <w:r>
        <w:br/>
        <w:t>G_i</w:t>
      </w:r>
    </w:p>
    <w:p w:rsidR="00AD04D9" w:rsidRDefault="00AD04D9" w:rsidP="00AD04D9">
      <w:pPr>
        <w:pStyle w:val="StandardWeb"/>
      </w:pPr>
      <w:r>
        <w:t>G_i</w:t>
      </w:r>
      <w:r>
        <w:br/>
        <w:t>\left(</w:t>
      </w:r>
      <w:r>
        <w:br/>
        <w:t>A_F</w:t>
      </w:r>
      <w:r>
        <w:br/>
        <w:t>\right).</w:t>
      </w:r>
      <w:r>
        <w:br/>
        <w:t>\tag{3.6976}</w:t>
      </w:r>
      <w:r>
        <w:br/>
        <w:t>]</w:t>
      </w:r>
    </w:p>
    <w:p w:rsidR="00AD04D9" w:rsidRDefault="00AD04D9" w:rsidP="00AD04D9">
      <w:pPr>
        <w:pStyle w:val="StandardWeb"/>
      </w:pPr>
      <w:r>
        <w:rPr>
          <w:rStyle w:val="Fett"/>
        </w:rPr>
        <w:lastRenderedPageBreak/>
        <w:t>Word-LaTeX</w:t>
      </w:r>
    </w:p>
    <w:p w:rsidR="00AD04D9" w:rsidRDefault="00AD04D9" w:rsidP="00AD04D9">
      <w:pPr>
        <w:pStyle w:val="HTMLVorformatiert"/>
        <w:rPr>
          <w:rStyle w:val="HTMLCode"/>
        </w:rPr>
      </w:pPr>
      <w:r>
        <w:rPr>
          <w:rStyle w:val="HTMLCode"/>
        </w:rPr>
        <w:t>G_i=G_i\left(A_F\right)\qquad\text{(3.6976)}</w:t>
      </w:r>
    </w:p>
    <w:p w:rsidR="00AD04D9" w:rsidRDefault="00AD04D9" w:rsidP="00AD04D9">
      <w:pPr>
        <w:pStyle w:val="StandardWeb"/>
      </w:pPr>
      <w:r>
        <w:t>Ein Parameter kann für Aussage (A_1) sensitiv und für Aussage (A_2) nahezu irrelevant sein.</w:t>
      </w:r>
    </w:p>
    <w:p w:rsidR="00AD04D9" w:rsidRDefault="00E50336" w:rsidP="00AD04D9">
      <w:r>
        <w:pict>
          <v:rect id="_x0000_i1358" style="width:0;height:1.5pt" o:hralign="center" o:hrstd="t" o:hr="t" fillcolor="#a0a0a0" stroked="f"/>
        </w:pict>
      </w:r>
    </w:p>
    <w:p w:rsidR="00AD04D9" w:rsidRDefault="00AD04D9" w:rsidP="00AD04D9">
      <w:pPr>
        <w:pStyle w:val="berschrift2"/>
      </w:pPr>
      <w:r>
        <w:t>3.3.40.83 Zeitabhängige Parametersensitivität</w:t>
      </w:r>
    </w:p>
    <w:p w:rsidR="00AD04D9" w:rsidRDefault="00AD04D9" w:rsidP="00AD04D9">
      <w:pPr>
        <w:pStyle w:val="StandardWeb"/>
      </w:pPr>
      <w:r>
        <w:t>In dynamischen Systemen kann die Sensitivität selbst zeitabhängig sein:</w:t>
      </w:r>
    </w:p>
    <w:p w:rsidR="00AD04D9" w:rsidRDefault="00AD04D9" w:rsidP="00AD04D9">
      <w:pPr>
        <w:pStyle w:val="berschrift1"/>
      </w:pPr>
      <w:r>
        <w:t>[</w:t>
      </w:r>
      <w:r>
        <w:br/>
        <w:t>S_i</w:t>
      </w:r>
    </w:p>
    <w:p w:rsidR="00AD04D9" w:rsidRDefault="00AD04D9" w:rsidP="00AD04D9">
      <w:pPr>
        <w:pStyle w:val="StandardWeb"/>
      </w:pPr>
      <w:r>
        <w:t>S_i(t).</w:t>
      </w:r>
      <w:r>
        <w:br/>
        <w:t>\tag{3.6977}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S_i=S_i(t)\qquad\text{(3.6977)}</w:t>
      </w:r>
    </w:p>
    <w:p w:rsidR="00AD04D9" w:rsidRDefault="00AD04D9" w:rsidP="00AD04D9">
      <w:pPr>
        <w:pStyle w:val="StandardWeb"/>
      </w:pPr>
      <w:r>
        <w:t>Ein Parameter kann kurzfristig wenig Einfluss besitzen und langfristig dominant werden.</w:t>
      </w:r>
    </w:p>
    <w:p w:rsidR="00AD04D9" w:rsidRDefault="00AD04D9" w:rsidP="00AD04D9">
      <w:pPr>
        <w:pStyle w:val="StandardWeb"/>
      </w:pPr>
      <w:r>
        <w:t>Damit muss Sensitivität gegebenenfalls über den gesamten interessierenden Zeitraum betrachtet werden.</w:t>
      </w:r>
    </w:p>
    <w:p w:rsidR="00AD04D9" w:rsidRDefault="00E50336" w:rsidP="00AD04D9">
      <w:r>
        <w:pict>
          <v:rect id="_x0000_i1359" style="width:0;height:1.5pt" o:hralign="center" o:hrstd="t" o:hr="t" fillcolor="#a0a0a0" stroked="f"/>
        </w:pict>
      </w:r>
    </w:p>
    <w:p w:rsidR="00AD04D9" w:rsidRDefault="00AD04D9" w:rsidP="00AD04D9">
      <w:pPr>
        <w:pStyle w:val="berschrift2"/>
      </w:pPr>
      <w:r>
        <w:t>3.3.40.84 Sensitivitätsmaximum</w:t>
      </w:r>
    </w:p>
    <w:p w:rsidR="00AD04D9" w:rsidRDefault="00AD04D9" w:rsidP="00AD04D9">
      <w:pPr>
        <w:pStyle w:val="StandardWeb"/>
      </w:pPr>
      <w:r>
        <w:t>Ich definiere</w:t>
      </w:r>
    </w:p>
    <w:p w:rsidR="00AD04D9" w:rsidRDefault="00AD04D9" w:rsidP="00AD04D9">
      <w:pPr>
        <w:pStyle w:val="berschrift1"/>
      </w:pPr>
      <w:r>
        <w:t>[</w:t>
      </w:r>
      <w:r>
        <w:br/>
        <w:t>S_{i,\max}</w:t>
      </w:r>
    </w:p>
    <w:p w:rsidR="00AD04D9" w:rsidRDefault="00AD04D9" w:rsidP="00AD04D9">
      <w:pPr>
        <w:pStyle w:val="StandardWeb"/>
      </w:pPr>
      <w:r>
        <w:t>\sup_{t\in[0,T]}</w:t>
      </w:r>
      <w:r>
        <w:br/>
        <w:t>\left|</w:t>
      </w:r>
      <w:r>
        <w:br/>
        <w:t>S_i(t)</w:t>
      </w:r>
      <w:r>
        <w:br/>
        <w:t>\right|.</w:t>
      </w:r>
      <w:r>
        <w:br/>
        <w:t>\tag{3.6978}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S_{i,\max}=\sup_{t\in[0,T]}\left|S_i(t)\right|\qquad\text{(3.6978)}</w:t>
      </w:r>
    </w:p>
    <w:p w:rsidR="00AD04D9" w:rsidRDefault="00AD04D9" w:rsidP="00AD04D9">
      <w:pPr>
        <w:pStyle w:val="StandardWeb"/>
      </w:pPr>
      <w:r>
        <w:lastRenderedPageBreak/>
        <w:t>Diese Größe erfasst die maximale Sensitivität innerhalb eines betrachteten Zeitintervalls.</w:t>
      </w:r>
    </w:p>
    <w:p w:rsidR="00AD04D9" w:rsidRDefault="00E50336" w:rsidP="00AD04D9">
      <w:r>
        <w:pict>
          <v:rect id="_x0000_i1360" style="width:0;height:1.5pt" o:hralign="center" o:hrstd="t" o:hr="t" fillcolor="#a0a0a0" stroked="f"/>
        </w:pict>
      </w:r>
    </w:p>
    <w:p w:rsidR="00AD04D9" w:rsidRDefault="00AD04D9" w:rsidP="00AD04D9">
      <w:pPr>
        <w:pStyle w:val="berschrift2"/>
      </w:pPr>
      <w:r>
        <w:t>3.3.40.85 Integrierte Zeitsensitivität</w:t>
      </w:r>
    </w:p>
    <w:p w:rsidR="00AD04D9" w:rsidRDefault="00AD04D9" w:rsidP="00AD04D9">
      <w:pPr>
        <w:pStyle w:val="StandardWeb"/>
      </w:pPr>
      <w:r>
        <w:t>Eine alternative Größe lautet</w:t>
      </w:r>
    </w:p>
    <w:p w:rsidR="00AD04D9" w:rsidRDefault="00AD04D9" w:rsidP="00AD04D9">
      <w:pPr>
        <w:pStyle w:val="berschrift1"/>
      </w:pPr>
      <w:r>
        <w:t>[</w:t>
      </w:r>
      <w:r>
        <w:br/>
        <w:t>S_i^{\mathrm{int}}</w:t>
      </w:r>
    </w:p>
    <w:p w:rsidR="00AD04D9" w:rsidRDefault="00AD04D9" w:rsidP="00AD04D9">
      <w:pPr>
        <w:pStyle w:val="StandardWeb"/>
      </w:pPr>
      <w:r>
        <w:t>\int_0^T</w:t>
      </w:r>
      <w:r>
        <w:br/>
        <w:t>\left|</w:t>
      </w:r>
      <w:r>
        <w:br/>
        <w:t>S_i(t)</w:t>
      </w:r>
      <w:r>
        <w:br/>
        <w:t>\right|</w:t>
      </w:r>
      <w:r>
        <w:br/>
        <w:t>dt.</w:t>
      </w:r>
      <w:r>
        <w:br/>
        <w:t>\tag{3.6979}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S_i^{\mathrm{int}}=\int_0^T\left|S_i(t)\right|dt\qquad\text{(3.6979)}</w:t>
      </w:r>
    </w:p>
    <w:p w:rsidR="00AD04D9" w:rsidRDefault="00AD04D9" w:rsidP="00AD04D9">
      <w:pPr>
        <w:pStyle w:val="StandardWeb"/>
      </w:pPr>
      <w:r>
        <w:t>Sie berücksichtigt die Sensitivität über den gesamten Zeitverlauf.</w:t>
      </w:r>
    </w:p>
    <w:p w:rsidR="00AD04D9" w:rsidRDefault="00E50336" w:rsidP="00AD04D9">
      <w:r>
        <w:pict>
          <v:rect id="_x0000_i1361" style="width:0;height:1.5pt" o:hralign="center" o:hrstd="t" o:hr="t" fillcolor="#a0a0a0" stroked="f"/>
        </w:pict>
      </w:r>
    </w:p>
    <w:p w:rsidR="00AD04D9" w:rsidRDefault="00AD04D9" w:rsidP="00AD04D9">
      <w:pPr>
        <w:pStyle w:val="berschrift2"/>
      </w:pPr>
      <w:r>
        <w:t>3.3.40.86 Robustheit über mehrere Zeitpunkte</w:t>
      </w:r>
    </w:p>
    <w:p w:rsidR="00AD04D9" w:rsidRDefault="00AD04D9" w:rsidP="00AD04D9">
      <w:pPr>
        <w:pStyle w:val="StandardWeb"/>
      </w:pPr>
      <w:r>
        <w:t>Für eine Aussageklasse (L^\ast) kann gefordert werden</w:t>
      </w:r>
    </w:p>
    <w:p w:rsidR="00AD04D9" w:rsidRDefault="00AD04D9" w:rsidP="00AD04D9">
      <w:pPr>
        <w:pStyle w:val="berschrift1"/>
      </w:pPr>
      <w:r>
        <w:t>[</w:t>
      </w:r>
      <w:r>
        <w:br/>
        <w:t>\operatorname{Klasse}_{A}</w:t>
      </w:r>
      <w:r>
        <w:br/>
        <w:t>\left(</w:t>
      </w:r>
      <w:r>
        <w:br/>
        <w:t>A_F(t,\boldsymbol{\theta})</w:t>
      </w:r>
      <w:r>
        <w:br/>
        <w:t>\right)</w:t>
      </w:r>
    </w:p>
    <w:p w:rsidR="00AD04D9" w:rsidRDefault="00AD04D9" w:rsidP="00AD04D9">
      <w:pPr>
        <w:pStyle w:val="StandardWeb"/>
      </w:pPr>
      <w:r>
        <w:t>L^\ast</w:t>
      </w:r>
      <w:r>
        <w:br/>
        <w:t>\qquad</w:t>
      </w:r>
      <w:r>
        <w:br/>
        <w:t>\forall</w:t>
      </w:r>
      <w:r>
        <w:br/>
        <w:t>t\in[0,T],</w:t>
      </w:r>
      <w:r>
        <w:br/>
        <w:t>\quad</w:t>
      </w:r>
      <w:r>
        <w:br/>
        <w:t>\forall</w:t>
      </w:r>
      <w:r>
        <w:br/>
        <w:t>\boldsymbol{\theta}</w:t>
      </w:r>
      <w:r>
        <w:br/>
        <w:t>\in</w:t>
      </w:r>
      <w:r>
        <w:br/>
        <w:t>\Theta_{\mathrm{zul}}.</w:t>
      </w:r>
      <w:r>
        <w:br/>
      </w:r>
      <w:r>
        <w:lastRenderedPageBreak/>
        <w:t>\tag{3.6980}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\operatorname{Klasse}_{A}\left(A_F(t,\boldsymbol{\theta})\right)=L^{\ast}\qquad\forall t\in[0,T],\quad\forall\boldsymbol{\theta}\in\Theta_{\mathrm{zul}}\qquad\text{(3.6980)}</w:t>
      </w:r>
    </w:p>
    <w:p w:rsidR="00AD04D9" w:rsidRDefault="00AD04D9" w:rsidP="00AD04D9">
      <w:pPr>
        <w:pStyle w:val="StandardWeb"/>
      </w:pPr>
      <w:r>
        <w:t>Dies ist eine besonders starke Zeit-Parameter-Robustheitsbedingung.</w:t>
      </w:r>
    </w:p>
    <w:p w:rsidR="00AD04D9" w:rsidRDefault="00E50336" w:rsidP="00AD04D9">
      <w:r>
        <w:pict>
          <v:rect id="_x0000_i1362" style="width:0;height:1.5pt" o:hralign="center" o:hrstd="t" o:hr="t" fillcolor="#a0a0a0" stroked="f"/>
        </w:pict>
      </w:r>
    </w:p>
    <w:p w:rsidR="00AD04D9" w:rsidRDefault="00AD04D9" w:rsidP="00AD04D9">
      <w:pPr>
        <w:pStyle w:val="berschrift2"/>
      </w:pPr>
      <w:r>
        <w:t>3.3.40.87 Robustheitsverlust über die Zeit</w:t>
      </w:r>
    </w:p>
    <w:p w:rsidR="00AD04D9" w:rsidRDefault="00AD04D9" w:rsidP="00AD04D9">
      <w:pPr>
        <w:pStyle w:val="StandardWeb"/>
      </w:pPr>
      <w:r>
        <w:t>Der Robustheitsgrad kann zeitabhängig sein:</w:t>
      </w:r>
    </w:p>
    <w:p w:rsidR="00AD04D9" w:rsidRDefault="00AD04D9" w:rsidP="00AD04D9">
      <w:pPr>
        <w:pStyle w:val="berschrift1"/>
      </w:pPr>
      <w:r>
        <w:t>[</w:t>
      </w:r>
      <w:r>
        <w:br/>
        <w:t>R_{\theta}</w:t>
      </w:r>
    </w:p>
    <w:p w:rsidR="00AD04D9" w:rsidRDefault="00AD04D9" w:rsidP="00AD04D9">
      <w:pPr>
        <w:pStyle w:val="StandardWeb"/>
      </w:pPr>
      <w:r>
        <w:t>R_{\theta}(t).</w:t>
      </w:r>
      <w:r>
        <w:br/>
        <w:t>\tag{3.6981}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R_{\theta}=R_{\theta}(t)\qquad\text{(3.6981)}</w:t>
      </w:r>
    </w:p>
    <w:p w:rsidR="00AD04D9" w:rsidRDefault="00AD04D9" w:rsidP="00AD04D9">
      <w:pPr>
        <w:pStyle w:val="StandardWeb"/>
      </w:pPr>
      <w:r>
        <w:t>Ein sinkender Verlauf</w:t>
      </w:r>
    </w:p>
    <w:p w:rsidR="00AD04D9" w:rsidRDefault="00AD04D9" w:rsidP="00AD04D9">
      <w:pPr>
        <w:pStyle w:val="StandardWeb"/>
      </w:pPr>
      <w:r>
        <w:t>[</w:t>
      </w:r>
      <w:r>
        <w:br/>
        <w:t>\frac{dR_{\theta}}{dt}</w:t>
      </w:r>
      <w:r>
        <w:br/>
        <w:t>&lt;</w:t>
      </w:r>
      <w:r>
        <w:br/>
        <w:t>0</w:t>
      </w:r>
      <w:r>
        <w:br/>
        <w:t>\tag{3.6982}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\frac{dR_{\theta}}{dt}&lt;0\qquad\text{(3.6982)}</w:t>
      </w:r>
    </w:p>
    <w:p w:rsidR="00AD04D9" w:rsidRDefault="00AD04D9" w:rsidP="00AD04D9">
      <w:pPr>
        <w:pStyle w:val="StandardWeb"/>
      </w:pPr>
      <w:r>
        <w:t>zeigt, dass die Aussage mit zunehmendem Prognosehorizont stärker parameterabhängig wird.</w:t>
      </w:r>
    </w:p>
    <w:p w:rsidR="00AD04D9" w:rsidRDefault="00E50336" w:rsidP="00AD04D9">
      <w:r>
        <w:pict>
          <v:rect id="_x0000_i1363" style="width:0;height:1.5pt" o:hralign="center" o:hrstd="t" o:hr="t" fillcolor="#a0a0a0" stroked="f"/>
        </w:pict>
      </w:r>
    </w:p>
    <w:p w:rsidR="00AD04D9" w:rsidRDefault="00AD04D9" w:rsidP="00AD04D9">
      <w:pPr>
        <w:pStyle w:val="berschrift2"/>
      </w:pPr>
      <w:r>
        <w:t>3.3.40.88 Robuster Zustandsbereich</w:t>
      </w:r>
    </w:p>
    <w:p w:rsidR="00AD04D9" w:rsidRDefault="00AD04D9" w:rsidP="00AD04D9">
      <w:pPr>
        <w:pStyle w:val="StandardWeb"/>
      </w:pPr>
      <w:r>
        <w:t>Analog kann ein Zustandsbereich definiert werden, in dem Parameteränderungen geringe Wirkung besitzen:</w:t>
      </w:r>
    </w:p>
    <w:p w:rsidR="00AD04D9" w:rsidRDefault="00AD04D9" w:rsidP="00AD04D9">
      <w:pPr>
        <w:pStyle w:val="StandardWeb"/>
      </w:pPr>
      <w:r>
        <w:lastRenderedPageBreak/>
        <w:t>[</w:t>
      </w:r>
      <w:r>
        <w:br/>
        <w:t>\mathcal{S}</w:t>
      </w:r>
      <w:r>
        <w:rPr>
          <w:rStyle w:val="Hervorhebung"/>
        </w:rPr>
        <w:t>{\mathrm{rob}}</w:t>
      </w:r>
      <w:r>
        <w:rPr>
          <w:i/>
          <w:iCs/>
        </w:rPr>
        <w:br/>
      </w:r>
      <w:r>
        <w:rPr>
          <w:rStyle w:val="Hervorhebung"/>
        </w:rPr>
        <w:t>\subseteq</w:t>
      </w:r>
      <w:r>
        <w:rPr>
          <w:i/>
          <w:iCs/>
        </w:rPr>
        <w:br/>
      </w:r>
      <w:r>
        <w:rPr>
          <w:rStyle w:val="Hervorhebung"/>
        </w:rPr>
        <w:t>\mathcal{S}</w:t>
      </w:r>
      <w:r>
        <w:t>{F}.</w:t>
      </w:r>
      <w:r>
        <w:br/>
        <w:t>\tag{3.6983}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\mathcal{S}_{\mathrm{rob}}\subseteq\mathcal{S}_{F}\qquad\text{(3.6983)}</w:t>
      </w:r>
    </w:p>
    <w:p w:rsidR="00AD04D9" w:rsidRDefault="00AD04D9" w:rsidP="00AD04D9">
      <w:pPr>
        <w:pStyle w:val="StandardWeb"/>
      </w:pPr>
      <w:r>
        <w:t>Für</w:t>
      </w:r>
    </w:p>
    <w:p w:rsidR="00AD04D9" w:rsidRDefault="00AD04D9" w:rsidP="00AD04D9">
      <w:pPr>
        <w:pStyle w:val="StandardWeb"/>
      </w:pPr>
      <w:r>
        <w:t>[</w:t>
      </w:r>
      <w:r>
        <w:br/>
        <w:t>\delta</w:t>
      </w:r>
      <w:r>
        <w:br/>
        <w:t>\in</w:t>
      </w:r>
      <w:r>
        <w:br/>
        <w:t>\mathcal{S}_{\mathrm{rob}}</w:t>
      </w:r>
      <w:r>
        <w:br/>
        <w:t>\tag{3.6984}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\delta\in\mathcal{S}_{\mathrm{rob}}\qquad\text{(3.6984)}</w:t>
      </w:r>
    </w:p>
    <w:p w:rsidR="00AD04D9" w:rsidRDefault="00AD04D9" w:rsidP="00AD04D9">
      <w:pPr>
        <w:pStyle w:val="StandardWeb"/>
      </w:pPr>
      <w:r>
        <w:t>bleiben relevante Aussagen über einen definierten Parameterbereich stabil.</w:t>
      </w:r>
    </w:p>
    <w:p w:rsidR="00AD04D9" w:rsidRDefault="00E50336" w:rsidP="00AD04D9">
      <w:r>
        <w:pict>
          <v:rect id="_x0000_i1364" style="width:0;height:1.5pt" o:hralign="center" o:hrstd="t" o:hr="t" fillcolor="#a0a0a0" stroked="f"/>
        </w:pict>
      </w:r>
    </w:p>
    <w:p w:rsidR="00AD04D9" w:rsidRDefault="00AD04D9" w:rsidP="00AD04D9">
      <w:pPr>
        <w:pStyle w:val="berschrift2"/>
      </w:pPr>
      <w:r>
        <w:t>3.3.40.89 Fragiler Zustandsbereich</w:t>
      </w:r>
    </w:p>
    <w:p w:rsidR="00AD04D9" w:rsidRDefault="00AD04D9" w:rsidP="00AD04D9">
      <w:pPr>
        <w:pStyle w:val="StandardWeb"/>
      </w:pPr>
      <w:r>
        <w:t>Entsprechend definiere ich</w:t>
      </w:r>
    </w:p>
    <w:p w:rsidR="00AD04D9" w:rsidRDefault="00AD04D9" w:rsidP="00AD04D9">
      <w:pPr>
        <w:pStyle w:val="berschrift1"/>
      </w:pPr>
      <w:r>
        <w:t>[</w:t>
      </w:r>
      <w:r>
        <w:br/>
        <w:t>\mathcal{S}_{\mathrm{frag}}</w:t>
      </w:r>
    </w:p>
    <w:p w:rsidR="00AD04D9" w:rsidRDefault="00AD04D9" w:rsidP="00AD04D9">
      <w:pPr>
        <w:pStyle w:val="StandardWeb"/>
      </w:pPr>
      <w:r>
        <w:t>\mathcal{S}</w:t>
      </w:r>
      <w:r>
        <w:rPr>
          <w:rStyle w:val="Hervorhebung"/>
        </w:rPr>
        <w:t>{F}</w:t>
      </w:r>
      <w:r>
        <w:rPr>
          <w:i/>
          <w:iCs/>
        </w:rPr>
        <w:br/>
      </w:r>
      <w:r>
        <w:rPr>
          <w:rStyle w:val="Hervorhebung"/>
        </w:rPr>
        <w:t>\setminus</w:t>
      </w:r>
      <w:r>
        <w:rPr>
          <w:i/>
          <w:iCs/>
        </w:rPr>
        <w:br/>
      </w:r>
      <w:r>
        <w:rPr>
          <w:rStyle w:val="Hervorhebung"/>
        </w:rPr>
        <w:t>\mathcal{S}</w:t>
      </w:r>
      <w:r>
        <w:t>{\mathrm{rob}}.</w:t>
      </w:r>
      <w:r>
        <w:br/>
        <w:t>\tag{3.6985}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\mathcal{S}_{\mathrm{frag}}=\mathcal{S}_{F}\setminus\mathcal{S}_{\mathrm{rob}}\qquad\text{(3.6985)}</w:t>
      </w:r>
    </w:p>
    <w:p w:rsidR="00AD04D9" w:rsidRDefault="00AD04D9" w:rsidP="00AD04D9">
      <w:pPr>
        <w:pStyle w:val="StandardWeb"/>
      </w:pPr>
      <w:r>
        <w:t>In diesem Bereich können geringe Parameteränderungen zu qualitativen Aussageänderungen führen.</w:t>
      </w:r>
    </w:p>
    <w:p w:rsidR="00AD04D9" w:rsidRDefault="00E50336" w:rsidP="00AD04D9">
      <w:r>
        <w:pict>
          <v:rect id="_x0000_i1365" style="width:0;height:1.5pt" o:hralign="center" o:hrstd="t" o:hr="t" fillcolor="#a0a0a0" stroked="f"/>
        </w:pict>
      </w:r>
    </w:p>
    <w:p w:rsidR="00AD04D9" w:rsidRDefault="00AD04D9" w:rsidP="00AD04D9">
      <w:pPr>
        <w:pStyle w:val="berschrift2"/>
      </w:pPr>
      <w:r>
        <w:lastRenderedPageBreak/>
        <w:t>3.3.40.90 Robustheitskarte</w:t>
      </w:r>
    </w:p>
    <w:p w:rsidR="00AD04D9" w:rsidRDefault="00AD04D9" w:rsidP="00AD04D9">
      <w:pPr>
        <w:pStyle w:val="StandardWeb"/>
      </w:pPr>
      <w:r>
        <w:t>Eine vollständige Robustheitskarte kann als Funktion</w:t>
      </w:r>
    </w:p>
    <w:p w:rsidR="00AD04D9" w:rsidRDefault="00AD04D9" w:rsidP="00AD04D9">
      <w:pPr>
        <w:pStyle w:val="StandardWeb"/>
      </w:pPr>
      <w:r>
        <w:t>[</w:t>
      </w:r>
      <w:r>
        <w:br/>
        <w:t>\mathcal{R}</w:t>
      </w:r>
      <w:r>
        <w:rPr>
          <w:rStyle w:val="Hervorhebung"/>
        </w:rPr>
        <w:t>{F}</w:t>
      </w:r>
      <w:r>
        <w:rPr>
          <w:i/>
          <w:iCs/>
        </w:rPr>
        <w:br/>
      </w:r>
      <w:r>
        <w:rPr>
          <w:rStyle w:val="Hervorhebung"/>
        </w:rPr>
        <w:t>:</w:t>
      </w:r>
      <w:r>
        <w:rPr>
          <w:i/>
          <w:iCs/>
        </w:rPr>
        <w:br/>
      </w:r>
      <w:r>
        <w:rPr>
          <w:rStyle w:val="Hervorhebung"/>
        </w:rPr>
        <w:t>\mathcal{S}</w:t>
      </w:r>
      <w:r>
        <w:t>{F}</w:t>
      </w:r>
      <w:r>
        <w:br/>
        <w:t>\times</w:t>
      </w:r>
      <w:r>
        <w:br/>
        <w:t>\Theta_{\mathrm{zul}}</w:t>
      </w:r>
      <w:r>
        <w:br/>
        <w:t>\longrightarrow</w:t>
      </w:r>
      <w:r>
        <w:br/>
        <w:t>[0,1]</w:t>
      </w:r>
      <w:r>
        <w:br/>
        <w:t>\tag{3.6986}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\mathcal{R}_{F}:\mathcal{S}_{F}\times\Theta_{\mathrm{zul}}\longrightarrow[0,1]\qquad\text{(3.6986)}</w:t>
      </w:r>
    </w:p>
    <w:p w:rsidR="00AD04D9" w:rsidRDefault="00AD04D9" w:rsidP="00AD04D9">
      <w:pPr>
        <w:pStyle w:val="StandardWeb"/>
      </w:pPr>
      <w:r>
        <w:t>definiert werden.</w:t>
      </w:r>
    </w:p>
    <w:p w:rsidR="00AD04D9" w:rsidRDefault="00AD04D9" w:rsidP="00AD04D9">
      <w:pPr>
        <w:pStyle w:val="StandardWeb"/>
      </w:pPr>
      <w:r>
        <w:t>Für einen Zustand und einen Parametersatz gilt</w:t>
      </w:r>
    </w:p>
    <w:p w:rsidR="00AD04D9" w:rsidRDefault="00AD04D9" w:rsidP="00AD04D9">
      <w:pPr>
        <w:pStyle w:val="berschrift1"/>
      </w:pPr>
      <w:r>
        <w:t>[</w:t>
      </w:r>
      <w:r>
        <w:br/>
        <w:t>r</w:t>
      </w:r>
    </w:p>
    <w:p w:rsidR="00AD04D9" w:rsidRDefault="00AD04D9" w:rsidP="00AD04D9">
      <w:pPr>
        <w:pStyle w:val="StandardWeb"/>
      </w:pPr>
      <w:r>
        <w:t>\mathcal{R}_{F}</w:t>
      </w:r>
      <w:r>
        <w:br/>
        <w:t>\left(</w:t>
      </w:r>
      <w:r>
        <w:br/>
        <w:t>\delta,</w:t>
      </w:r>
      <w:r>
        <w:br/>
        <w:t>\boldsymbol{\theta}</w:t>
      </w:r>
      <w:r>
        <w:br/>
        <w:t>\right).</w:t>
      </w:r>
      <w:r>
        <w:br/>
        <w:t>\tag{3.6987}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r=\mathcal{R}_{F}\left(\delta,\boldsymbol{\theta}\right)\qquad\text{(3.6987)}</w:t>
      </w:r>
    </w:p>
    <w:p w:rsidR="00AD04D9" w:rsidRDefault="00AD04D9" w:rsidP="00AD04D9">
      <w:pPr>
        <w:pStyle w:val="StandardWeb"/>
      </w:pPr>
      <w:r>
        <w:t>Damit kann Robustheit als Eigenschaft bestimmter Regionen im Zustands-Parameterraum untersucht werden.</w:t>
      </w:r>
    </w:p>
    <w:p w:rsidR="00AD04D9" w:rsidRDefault="00E50336" w:rsidP="00AD04D9">
      <w:r>
        <w:pict>
          <v:rect id="_x0000_i1366" style="width:0;height:1.5pt" o:hralign="center" o:hrstd="t" o:hr="t" fillcolor="#a0a0a0" stroked="f"/>
        </w:pict>
      </w:r>
    </w:p>
    <w:p w:rsidR="00AD04D9" w:rsidRDefault="00AD04D9" w:rsidP="00AD04D9">
      <w:pPr>
        <w:pStyle w:val="berschrift2"/>
      </w:pPr>
      <w:r>
        <w:t>3.3.40.91 Lokale Robustheitsinseln</w:t>
      </w:r>
    </w:p>
    <w:p w:rsidR="00AD04D9" w:rsidRDefault="00AD04D9" w:rsidP="00AD04D9">
      <w:pPr>
        <w:pStyle w:val="StandardWeb"/>
      </w:pPr>
      <w:r>
        <w:t>Es können Regionen existieren, in denen eine Aussage stabil ist, obwohl das Gesamtsystem außerhalb dieser Regionen fragil reagiert.</w:t>
      </w:r>
    </w:p>
    <w:p w:rsidR="00AD04D9" w:rsidRDefault="00AD04D9" w:rsidP="00AD04D9">
      <w:pPr>
        <w:pStyle w:val="StandardWeb"/>
      </w:pPr>
      <w:r>
        <w:lastRenderedPageBreak/>
        <w:t>Ich bezeichne solche Regionen mit</w:t>
      </w:r>
    </w:p>
    <w:p w:rsidR="00AD04D9" w:rsidRDefault="00AD04D9" w:rsidP="00AD04D9">
      <w:pPr>
        <w:pStyle w:val="StandardWeb"/>
      </w:pPr>
      <w:r>
        <w:t>[</w:t>
      </w:r>
      <w:r>
        <w:br/>
        <w:t>\Omega_{\mathrm{rob}}^{(k)}.</w:t>
      </w:r>
      <w:r>
        <w:br/>
        <w:t>\tag{3.6988}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\Omega_{\mathrm{rob}}^{(k)}\qquad\text{(3.6988)}</w:t>
      </w:r>
    </w:p>
    <w:p w:rsidR="00AD04D9" w:rsidRDefault="00AD04D9" w:rsidP="00AD04D9">
      <w:pPr>
        <w:pStyle w:val="StandardWeb"/>
      </w:pPr>
      <w:r>
        <w:t>Die Gesamtheit robuster Regionen lautet</w:t>
      </w:r>
    </w:p>
    <w:p w:rsidR="00AD04D9" w:rsidRDefault="00AD04D9" w:rsidP="00AD04D9">
      <w:pPr>
        <w:pStyle w:val="berschrift1"/>
      </w:pPr>
      <w:r>
        <w:t>[</w:t>
      </w:r>
      <w:r>
        <w:br/>
        <w:t>\Omega_{\mathrm{rob}}</w:t>
      </w:r>
    </w:p>
    <w:p w:rsidR="00AD04D9" w:rsidRDefault="00AD04D9" w:rsidP="00AD04D9">
      <w:pPr>
        <w:pStyle w:val="StandardWeb"/>
      </w:pPr>
      <w:r>
        <w:t>\bigcup_k</w:t>
      </w:r>
      <w:r>
        <w:br/>
        <w:t>\Omega_{\mathrm{rob}}^{(k)}.</w:t>
      </w:r>
      <w:r>
        <w:br/>
        <w:t>\tag{3.6989}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\Omega_{\mathrm{rob}}=\bigcup_k\Omega_{\mathrm{rob}}^{(k)}\qquad\text{(3.6989)}</w:t>
      </w:r>
    </w:p>
    <w:p w:rsidR="00AD04D9" w:rsidRDefault="00AD04D9" w:rsidP="00AD04D9">
      <w:pPr>
        <w:pStyle w:val="StandardWeb"/>
      </w:pPr>
      <w:r>
        <w:t>Solche getrennten Robustheitsinseln können auf unterschiedliche dynamische Regime hinweisen.</w:t>
      </w:r>
    </w:p>
    <w:p w:rsidR="00AD04D9" w:rsidRDefault="00E50336" w:rsidP="00AD04D9">
      <w:r>
        <w:pict>
          <v:rect id="_x0000_i1367" style="width:0;height:1.5pt" o:hralign="center" o:hrstd="t" o:hr="t" fillcolor="#a0a0a0" stroked="f"/>
        </w:pict>
      </w:r>
    </w:p>
    <w:p w:rsidR="00AD04D9" w:rsidRDefault="00AD04D9" w:rsidP="00AD04D9">
      <w:pPr>
        <w:pStyle w:val="berschrift2"/>
      </w:pPr>
      <w:r>
        <w:t>3.3.40.92 Robustheitsbarrieren</w:t>
      </w:r>
    </w:p>
    <w:p w:rsidR="00AD04D9" w:rsidRDefault="00AD04D9" w:rsidP="00AD04D9">
      <w:pPr>
        <w:pStyle w:val="StandardWeb"/>
      </w:pPr>
      <w:r>
        <w:t>Zwischen robusten Regionen können kritische Grenzflächen liegen:</w:t>
      </w:r>
    </w:p>
    <w:p w:rsidR="00AD04D9" w:rsidRDefault="00AD04D9" w:rsidP="00AD04D9">
      <w:pPr>
        <w:pStyle w:val="StandardWeb"/>
      </w:pPr>
      <w:r>
        <w:t>[</w:t>
      </w:r>
      <w:r>
        <w:br/>
        <w:t>\partial</w:t>
      </w:r>
      <w:r>
        <w:br/>
        <w:t>\Omega_{\mathrm{rob}}.</w:t>
      </w:r>
      <w:r>
        <w:br/>
        <w:t>\tag{3.6990}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\partial\Omega_{\mathrm{rob}}\qquad\text{(3.6990)}</w:t>
      </w:r>
    </w:p>
    <w:p w:rsidR="00AD04D9" w:rsidRDefault="00AD04D9" w:rsidP="00AD04D9">
      <w:pPr>
        <w:pStyle w:val="StandardWeb"/>
      </w:pPr>
      <w:r>
        <w:t>Beim Überschreiten einer solchen Grenze kann sich die Aussageklasse ändern.</w:t>
      </w:r>
    </w:p>
    <w:p w:rsidR="00AD04D9" w:rsidRDefault="00AD04D9" w:rsidP="00AD04D9">
      <w:pPr>
        <w:pStyle w:val="StandardWeb"/>
      </w:pPr>
      <w:r>
        <w:t>Dies verbindet Parameterrobustheit unmittelbar mit der späteren Analyse von Bifurkationen und Regimewechseln.</w:t>
      </w:r>
    </w:p>
    <w:p w:rsidR="00AD04D9" w:rsidRDefault="00E50336" w:rsidP="00AD04D9">
      <w:r>
        <w:lastRenderedPageBreak/>
        <w:pict>
          <v:rect id="_x0000_i1368" style="width:0;height:1.5pt" o:hralign="center" o:hrstd="t" o:hr="t" fillcolor="#a0a0a0" stroked="f"/>
        </w:pict>
      </w:r>
    </w:p>
    <w:p w:rsidR="00AD04D9" w:rsidRDefault="00AD04D9" w:rsidP="00AD04D9">
      <w:pPr>
        <w:pStyle w:val="berschrift2"/>
      </w:pPr>
      <w:r>
        <w:t>3.3.40.93 Parameterrobustheit und Falsifizierbarkeit</w:t>
      </w:r>
    </w:p>
    <w:p w:rsidR="00AD04D9" w:rsidRDefault="00AD04D9" w:rsidP="00AD04D9">
      <w:pPr>
        <w:pStyle w:val="StandardWeb"/>
      </w:pPr>
      <w:r>
        <w:t>Eine Theorie darf nicht dadurch gegen Widerlegung geschützt werden, dass Parameter nach jeder Abweichung beliebig angepasst werden.</w:t>
      </w:r>
    </w:p>
    <w:p w:rsidR="00AD04D9" w:rsidRDefault="00AD04D9" w:rsidP="00AD04D9">
      <w:pPr>
        <w:pStyle w:val="StandardWeb"/>
      </w:pPr>
      <w:r>
        <w:t>Sei</w:t>
      </w:r>
    </w:p>
    <w:p w:rsidR="00AD04D9" w:rsidRDefault="00AD04D9" w:rsidP="00AD04D9">
      <w:pPr>
        <w:pStyle w:val="StandardWeb"/>
      </w:pPr>
      <w:r>
        <w:t>[</w:t>
      </w:r>
      <w:r>
        <w:br/>
        <w:t>\Theta_{\mathrm{fit}}</w:t>
      </w:r>
      <w:r>
        <w:br/>
        <w:t>\tag{3.6991}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\Theta_{\mathrm{fit}}\qquad\text{(3.6991)}</w:t>
      </w:r>
    </w:p>
    <w:p w:rsidR="00AD04D9" w:rsidRDefault="00AD04D9" w:rsidP="00AD04D9">
      <w:pPr>
        <w:pStyle w:val="StandardWeb"/>
      </w:pPr>
      <w:r>
        <w:t>die Menge der Parameterwerte, die mit den Daten vereinbar sind.</w:t>
      </w:r>
    </w:p>
    <w:p w:rsidR="00AD04D9" w:rsidRDefault="00AD04D9" w:rsidP="00AD04D9">
      <w:pPr>
        <w:pStyle w:val="StandardWeb"/>
      </w:pPr>
      <w:r>
        <w:t>Wenn für praktisch jede mögliche Beobachtung ein Parametersatz gefunden werden kann,</w:t>
      </w:r>
    </w:p>
    <w:p w:rsidR="00AD04D9" w:rsidRDefault="00AD04D9" w:rsidP="00AD04D9">
      <w:pPr>
        <w:pStyle w:val="StandardWeb"/>
      </w:pPr>
      <w:r>
        <w:t>[</w:t>
      </w:r>
      <w:r>
        <w:br/>
        <w:t>\forall</w:t>
      </w:r>
      <w:r>
        <w:br/>
        <w:t>\mathcal{D}</w:t>
      </w:r>
      <w:r>
        <w:br/>
        <w:t>\quad</w:t>
      </w:r>
      <w:r>
        <w:br/>
        <w:t>\exists</w:t>
      </w:r>
      <w:r>
        <w:br/>
        <w:t>\boldsymbol{\theta}</w:t>
      </w:r>
      <w:r>
        <w:br/>
        <w:t>\in</w:t>
      </w:r>
      <w:r>
        <w:br/>
        <w:t>\Theta:</w:t>
      </w:r>
      <w:r>
        <w:br/>
        <w:t>\quad</w:t>
      </w:r>
      <w:r>
        <w:br/>
        <w:t>\mathcal{M}</w:t>
      </w:r>
      <w:r>
        <w:br/>
        <w:t>\left(</w:t>
      </w:r>
      <w:r>
        <w:br/>
        <w:t>\boldsymbol{\theta}</w:t>
      </w:r>
      <w:r>
        <w:br/>
        <w:t>\right)</w:t>
      </w:r>
      <w:r>
        <w:br/>
        <w:t>\approx</w:t>
      </w:r>
      <w:r>
        <w:br/>
        <w:t>\mathcal{D},</w:t>
      </w:r>
      <w:r>
        <w:br/>
        <w:t>\tag{3.6992}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\forall\mathcal{D}\quad\exists\boldsymbol{\theta}\in\Theta:\mathcal{M}\left(\boldsymbol{\theta}\right)\approx\mathcal{D}\qquad\text{(3.6992)}</w:t>
      </w:r>
    </w:p>
    <w:p w:rsidR="00AD04D9" w:rsidRDefault="00AD04D9" w:rsidP="00AD04D9">
      <w:pPr>
        <w:pStyle w:val="StandardWeb"/>
      </w:pPr>
      <w:r>
        <w:t>kann die Falsifizierbarkeit der Modellstruktur geschwächt sein.</w:t>
      </w:r>
    </w:p>
    <w:p w:rsidR="00AD04D9" w:rsidRDefault="00E50336" w:rsidP="00AD04D9">
      <w:r>
        <w:pict>
          <v:rect id="_x0000_i1369" style="width:0;height:1.5pt" o:hralign="center" o:hrstd="t" o:hr="t" fillcolor="#a0a0a0" stroked="f"/>
        </w:pict>
      </w:r>
    </w:p>
    <w:p w:rsidR="00AD04D9" w:rsidRDefault="00AD04D9" w:rsidP="00AD04D9">
      <w:pPr>
        <w:pStyle w:val="berschrift2"/>
      </w:pPr>
      <w:r>
        <w:t>3.3.40.94 Parameterflexibilität</w:t>
      </w:r>
    </w:p>
    <w:p w:rsidR="00AD04D9" w:rsidRDefault="00AD04D9" w:rsidP="00AD04D9">
      <w:pPr>
        <w:pStyle w:val="StandardWeb"/>
      </w:pPr>
      <w:r>
        <w:lastRenderedPageBreak/>
        <w:t>Ich definiere einen abstrakten Parameterflexibilitätsgrad</w:t>
      </w:r>
    </w:p>
    <w:p w:rsidR="00AD04D9" w:rsidRDefault="00AD04D9" w:rsidP="00AD04D9">
      <w:pPr>
        <w:pStyle w:val="StandardWeb"/>
      </w:pPr>
      <w:r>
        <w:t>[</w:t>
      </w:r>
      <w:r>
        <w:br/>
        <w:t>F_{\theta}.</w:t>
      </w:r>
      <w:r>
        <w:br/>
        <w:t>\tag{3.6993}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F_{\theta}\qquad\text{(3.6993)}</w:t>
      </w:r>
    </w:p>
    <w:p w:rsidR="00AD04D9" w:rsidRDefault="00AD04D9" w:rsidP="00AD04D9">
      <w:pPr>
        <w:pStyle w:val="StandardWeb"/>
      </w:pPr>
      <w:r>
        <w:t>Eine hohe Flexibilität</w:t>
      </w:r>
    </w:p>
    <w:p w:rsidR="00AD04D9" w:rsidRDefault="00AD04D9" w:rsidP="00AD04D9">
      <w:pPr>
        <w:pStyle w:val="StandardWeb"/>
      </w:pPr>
      <w:r>
        <w:t>[</w:t>
      </w:r>
      <w:r>
        <w:br/>
        <w:t>F_{\theta}</w:t>
      </w:r>
      <w:r>
        <w:br/>
        <w:t>\text{ hoch}</w:t>
      </w:r>
      <w:r>
        <w:br/>
        <w:t>\tag{3.6994}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F_{\theta}\text{ hoch}\qquad\text{(3.6994)}</w:t>
      </w:r>
    </w:p>
    <w:p w:rsidR="00AD04D9" w:rsidRDefault="00AD04D9" w:rsidP="00AD04D9">
      <w:pPr>
        <w:pStyle w:val="StandardWeb"/>
      </w:pPr>
      <w:r>
        <w:t>ist nicht automatisch positiv. Sie kann Modellanpassung verbessern, gleichzeitig aber Interpretierbarkeit und Falsifizierbarkeit reduzieren.</w:t>
      </w:r>
    </w:p>
    <w:p w:rsidR="00AD04D9" w:rsidRDefault="00E50336" w:rsidP="00AD04D9">
      <w:r>
        <w:pict>
          <v:rect id="_x0000_i1370" style="width:0;height:1.5pt" o:hralign="center" o:hrstd="t" o:hr="t" fillcolor="#a0a0a0" stroked="f"/>
        </w:pict>
      </w:r>
    </w:p>
    <w:p w:rsidR="00AD04D9" w:rsidRDefault="00AD04D9" w:rsidP="00AD04D9">
      <w:pPr>
        <w:pStyle w:val="berschrift2"/>
      </w:pPr>
      <w:r>
        <w:t>3.3.40.95 Parameterrobustheit und Overfitting</w:t>
      </w:r>
    </w:p>
    <w:p w:rsidR="00AD04D9" w:rsidRDefault="00AD04D9" w:rsidP="00AD04D9">
      <w:pPr>
        <w:pStyle w:val="StandardWeb"/>
      </w:pPr>
      <w:r>
        <w:t>Eine stark optimierte Parametrisierung kann Trainingsdaten sehr gut reproduzieren:</w:t>
      </w:r>
    </w:p>
    <w:p w:rsidR="00AD04D9" w:rsidRDefault="00AD04D9" w:rsidP="00AD04D9">
      <w:pPr>
        <w:pStyle w:val="StandardWeb"/>
      </w:pPr>
      <w:r>
        <w:t>[</w:t>
      </w:r>
      <w:r>
        <w:br/>
        <w:t>L_{\mathrm{train}}</w:t>
      </w:r>
      <w:r>
        <w:br/>
        <w:t>\approx</w:t>
      </w:r>
      <w:r>
        <w:br/>
        <w:t>0.</w:t>
      </w:r>
      <w:r>
        <w:br/>
        <w:t>\tag{3.6995}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L_{\mathrm{train}}\approx0\qquad\text{(3.6995)}</w:t>
      </w:r>
    </w:p>
    <w:p w:rsidR="00AD04D9" w:rsidRDefault="00AD04D9" w:rsidP="00AD04D9">
      <w:pPr>
        <w:pStyle w:val="StandardWeb"/>
      </w:pPr>
      <w:r>
        <w:t>Dies garantiert jedoch nicht robuste Generalisierung:</w:t>
      </w:r>
    </w:p>
    <w:p w:rsidR="00AD04D9" w:rsidRDefault="00AD04D9" w:rsidP="00AD04D9">
      <w:pPr>
        <w:pStyle w:val="StandardWeb"/>
      </w:pPr>
      <w:r>
        <w:t>[</w:t>
      </w:r>
      <w:r>
        <w:br/>
        <w:t>L_{\mathrm{train}}</w:t>
      </w:r>
      <w:r>
        <w:br/>
        <w:t>\approx</w:t>
      </w:r>
      <w:r>
        <w:br/>
        <w:t>0</w:t>
      </w:r>
      <w:r>
        <w:br/>
        <w:t>\nRightarrow</w:t>
      </w:r>
      <w:r>
        <w:br/>
        <w:t>R_{\theta}</w:t>
      </w:r>
      <w:r>
        <w:br/>
      </w:r>
      <w:r>
        <w:lastRenderedPageBreak/>
        <w:t>\text{ hoch}.</w:t>
      </w:r>
      <w:r>
        <w:br/>
        <w:t>\tag{3.6996}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L_{\mathrm{train}}\approx0\nRightarrow R_{\theta}\text{ hoch}\qquad\text{(3.6996)}</w:t>
      </w:r>
    </w:p>
    <w:p w:rsidR="00AD04D9" w:rsidRDefault="00AD04D9" w:rsidP="00AD04D9">
      <w:pPr>
        <w:pStyle w:val="StandardWeb"/>
      </w:pPr>
      <w:r>
        <w:t>Eine gute Anpassung an einen einzelnen Parametersatz darf daher nicht mit Parameterrobustheit verwechselt werden.</w:t>
      </w:r>
    </w:p>
    <w:p w:rsidR="00AD04D9" w:rsidRDefault="00E50336" w:rsidP="00AD04D9">
      <w:r>
        <w:pict>
          <v:rect id="_x0000_i1371" style="width:0;height:1.5pt" o:hralign="center" o:hrstd="t" o:hr="t" fillcolor="#a0a0a0" stroked="f"/>
        </w:pict>
      </w:r>
    </w:p>
    <w:p w:rsidR="00AD04D9" w:rsidRDefault="00AD04D9" w:rsidP="00AD04D9">
      <w:pPr>
        <w:pStyle w:val="berschrift2"/>
      </w:pPr>
      <w:r>
        <w:t>3.3.40.96 Parameterrobustheit und Validierung</w:t>
      </w:r>
    </w:p>
    <w:p w:rsidR="00AD04D9" w:rsidRDefault="00AD04D9" w:rsidP="00AD04D9">
      <w:pPr>
        <w:pStyle w:val="StandardWeb"/>
      </w:pPr>
      <w:r>
        <w:t>Ein belastbares Modell sollte nicht nur am geschätzten Optimum geprüft werden.</w:t>
      </w:r>
    </w:p>
    <w:p w:rsidR="00AD04D9" w:rsidRDefault="00AD04D9" w:rsidP="00AD04D9">
      <w:pPr>
        <w:pStyle w:val="StandardWeb"/>
      </w:pPr>
      <w:r>
        <w:t>Stattdessen sollte ein Parameterensemble</w:t>
      </w:r>
    </w:p>
    <w:p w:rsidR="00AD04D9" w:rsidRDefault="00AD04D9" w:rsidP="00AD04D9">
      <w:pPr>
        <w:pStyle w:val="berschrift1"/>
      </w:pPr>
      <w:r>
        <w:t>[</w:t>
      </w:r>
      <w:r>
        <w:br/>
        <w:t>\mathfrak{E}_{\theta}</w:t>
      </w:r>
    </w:p>
    <w:p w:rsidR="00AD04D9" w:rsidRDefault="00AD04D9" w:rsidP="00AD04D9">
      <w:pPr>
        <w:pStyle w:val="StandardWeb"/>
      </w:pPr>
      <w:r>
        <w:t>\left{</w:t>
      </w:r>
      <w:r>
        <w:br/>
        <w:t>\boldsymbol{\theta}^{(1)},</w:t>
      </w:r>
      <w:r>
        <w:br/>
        <w:t>\ldots,</w:t>
      </w:r>
      <w:r>
        <w:br/>
        <w:t>\boldsymbol{\theta}^{(N)}</w:t>
      </w:r>
      <w:r>
        <w:br/>
        <w:t>\right}</w:t>
      </w:r>
      <w:r>
        <w:br/>
        <w:t>\tag{3.6997}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\mathfrak{E}_{\theta}=\left\{\boldsymbol{\theta}^{(1)},\ldots,\boldsymbol{\theta}^{(N)}\right\}\qquad\text{(3.6997)}</w:t>
      </w:r>
    </w:p>
    <w:p w:rsidR="00AD04D9" w:rsidRDefault="00AD04D9" w:rsidP="00AD04D9">
      <w:pPr>
        <w:pStyle w:val="StandardWeb"/>
      </w:pPr>
      <w:r>
        <w:t>untersucht werden.</w:t>
      </w:r>
    </w:p>
    <w:p w:rsidR="00AD04D9" w:rsidRDefault="00AD04D9" w:rsidP="00AD04D9">
      <w:pPr>
        <w:pStyle w:val="StandardWeb"/>
      </w:pPr>
      <w:r>
        <w:t>Für jedes Ensemblemitglied entsteht</w:t>
      </w:r>
    </w:p>
    <w:p w:rsidR="00AD04D9" w:rsidRDefault="00AD04D9" w:rsidP="00AD04D9">
      <w:pPr>
        <w:pStyle w:val="berschrift1"/>
      </w:pPr>
      <w:r>
        <w:t>[</w:t>
      </w:r>
      <w:r>
        <w:br/>
        <w:t>A_F^{(k)}</w:t>
      </w:r>
    </w:p>
    <w:p w:rsidR="00AD04D9" w:rsidRDefault="00AD04D9" w:rsidP="00AD04D9">
      <w:pPr>
        <w:pStyle w:val="StandardWeb"/>
      </w:pPr>
      <w:r>
        <w:t>A_F</w:t>
      </w:r>
      <w:r>
        <w:br/>
        <w:t>\left(</w:t>
      </w:r>
      <w:r>
        <w:br/>
        <w:t>\boldsymbol{\theta}^{(k)}</w:t>
      </w:r>
      <w:r>
        <w:br/>
        <w:t>\right).</w:t>
      </w:r>
      <w:r>
        <w:br/>
        <w:t>\tag{3.6998}</w:t>
      </w:r>
      <w:r>
        <w:br/>
        <w:t>]</w:t>
      </w:r>
    </w:p>
    <w:p w:rsidR="00AD04D9" w:rsidRDefault="00AD04D9" w:rsidP="00AD04D9">
      <w:pPr>
        <w:pStyle w:val="StandardWeb"/>
      </w:pPr>
      <w:r>
        <w:rPr>
          <w:rStyle w:val="Fett"/>
        </w:rPr>
        <w:lastRenderedPageBreak/>
        <w:t>Word-LaTeX</w:t>
      </w:r>
    </w:p>
    <w:p w:rsidR="00AD04D9" w:rsidRDefault="00AD04D9" w:rsidP="00AD04D9">
      <w:pPr>
        <w:pStyle w:val="HTMLVorformatiert"/>
        <w:rPr>
          <w:rStyle w:val="HTMLCode"/>
        </w:rPr>
      </w:pPr>
      <w:r>
        <w:rPr>
          <w:rStyle w:val="HTMLCode"/>
        </w:rPr>
        <w:t>A_F^{(k)}=A_F\left(\boldsymbol{\theta}^{(k)}\right)\qquad\text{(3.6998)}</w:t>
      </w:r>
    </w:p>
    <w:p w:rsidR="00AD04D9" w:rsidRDefault="00AD04D9" w:rsidP="00AD04D9">
      <w:pPr>
        <w:pStyle w:val="StandardWeb"/>
      </w:pPr>
      <w:r>
        <w:t>Die Streuung dieser Aussagen ist Bestandteil der Robustheitsbewertung.</w:t>
      </w:r>
    </w:p>
    <w:p w:rsidR="00AD04D9" w:rsidRDefault="00E50336" w:rsidP="00AD04D9">
      <w:r>
        <w:pict>
          <v:rect id="_x0000_i1372" style="width:0;height:1.5pt" o:hralign="center" o:hrstd="t" o:hr="t" fillcolor="#a0a0a0" stroked="f"/>
        </w:pict>
      </w:r>
    </w:p>
    <w:p w:rsidR="00AD04D9" w:rsidRDefault="00AD04D9" w:rsidP="00AD04D9">
      <w:pPr>
        <w:pStyle w:val="berschrift2"/>
      </w:pPr>
      <w:r>
        <w:t>3.3.40.97 Ensemble-Robustheit</w:t>
      </w:r>
    </w:p>
    <w:p w:rsidR="00AD04D9" w:rsidRDefault="00AD04D9" w:rsidP="00AD04D9">
      <w:pPr>
        <w:pStyle w:val="StandardWeb"/>
      </w:pPr>
      <w:r>
        <w:t>Ich definiere</w:t>
      </w:r>
    </w:p>
    <w:p w:rsidR="00AD04D9" w:rsidRDefault="00AD04D9" w:rsidP="00AD04D9">
      <w:pPr>
        <w:pStyle w:val="berschrift1"/>
      </w:pPr>
      <w:r>
        <w:t>[</w:t>
      </w:r>
      <w:r>
        <w:br/>
        <w:t>R_{\mathrm{ens}}</w:t>
      </w:r>
    </w:p>
    <w:p w:rsidR="00AD04D9" w:rsidRDefault="00AD04D9" w:rsidP="00AD04D9">
      <w:pPr>
        <w:pStyle w:val="StandardWeb"/>
      </w:pPr>
      <w:r>
        <w:t>\frac{1}{N}</w:t>
      </w:r>
      <w:r>
        <w:br/>
        <w:t>\sum_{k=1}^{N}</w:t>
      </w:r>
      <w:r>
        <w:br/>
        <w:t>\mathbf{1}</w:t>
      </w:r>
      <w:r>
        <w:br/>
        <w:t>\left[</w:t>
      </w:r>
      <w:r>
        <w:br/>
        <w:t>A_F^{(k)}</w:t>
      </w:r>
      <w:r>
        <w:br/>
        <w:t>\sim_A</w:t>
      </w:r>
      <w:r>
        <w:br/>
        <w:t>A_F^{\mathrm{ref}}</w:t>
      </w:r>
      <w:r>
        <w:br/>
        <w:t>\right].</w:t>
      </w:r>
      <w:r>
        <w:br/>
        <w:t>\tag{3.6999}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R_{\mathrm{ens}}=\frac{1}{N}\sum_{k=1}^{N}\mathbf{1}\left[A_F^{(k)}\sim_A A_F^{\mathrm{ref}}\right]\qquad\text{(3.6999)}</w:t>
      </w:r>
    </w:p>
    <w:p w:rsidR="00AD04D9" w:rsidRDefault="00AD04D9" w:rsidP="00AD04D9">
      <w:pPr>
        <w:pStyle w:val="StandardWeb"/>
      </w:pPr>
      <w:r>
        <w:t>Damit lässt sich die Robustheit der Aussage über eine Menge plausibler Parametrisierungen ausdrücken.</w:t>
      </w:r>
    </w:p>
    <w:p w:rsidR="00AD04D9" w:rsidRDefault="00E50336" w:rsidP="00AD04D9">
      <w:r>
        <w:pict>
          <v:rect id="_x0000_i1373" style="width:0;height:1.5pt" o:hralign="center" o:hrstd="t" o:hr="t" fillcolor="#a0a0a0" stroked="f"/>
        </w:pict>
      </w:r>
    </w:p>
    <w:p w:rsidR="00AD04D9" w:rsidRDefault="00AD04D9" w:rsidP="00AD04D9">
      <w:pPr>
        <w:pStyle w:val="berschrift2"/>
      </w:pPr>
      <w:r>
        <w:t>3.3.40.98 Robustheit einer Parameterordnung</w:t>
      </w:r>
    </w:p>
    <w:p w:rsidR="00AD04D9" w:rsidRDefault="00AD04D9" w:rsidP="00AD04D9">
      <w:pPr>
        <w:pStyle w:val="StandardWeb"/>
      </w:pPr>
      <w:r>
        <w:t>Auch die Rangfolge der Parameter kann robust oder instabil sein.</w:t>
      </w:r>
    </w:p>
    <w:p w:rsidR="00AD04D9" w:rsidRDefault="00AD04D9" w:rsidP="00AD04D9">
      <w:pPr>
        <w:pStyle w:val="StandardWeb"/>
      </w:pPr>
      <w:r>
        <w:t>Sei</w:t>
      </w:r>
    </w:p>
    <w:p w:rsidR="00AD04D9" w:rsidRDefault="00AD04D9" w:rsidP="00AD04D9">
      <w:pPr>
        <w:pStyle w:val="StandardWeb"/>
      </w:pPr>
      <w:r>
        <w:t>[</w:t>
      </w:r>
      <w:r>
        <w:br/>
        <w:t>\theta_1</w:t>
      </w:r>
    </w:p>
    <w:p w:rsidR="00AD04D9" w:rsidRDefault="00AD04D9" w:rsidP="00AD04D9">
      <w:pPr>
        <w:pStyle w:val="StandardWeb"/>
      </w:pPr>
      <w:r>
        <w:t>\theta_2</w:t>
      </w:r>
    </w:p>
    <w:p w:rsidR="00AD04D9" w:rsidRDefault="00AD04D9" w:rsidP="00AD04D9">
      <w:pPr>
        <w:pStyle w:val="StandardWeb"/>
      </w:pPr>
      <w:r>
        <w:t>\cdots</w:t>
      </w:r>
    </w:p>
    <w:p w:rsidR="00AD04D9" w:rsidRDefault="00AD04D9" w:rsidP="00AD04D9">
      <w:pPr>
        <w:pStyle w:val="StandardWeb"/>
      </w:pPr>
      <w:r>
        <w:lastRenderedPageBreak/>
        <w:t>\theta_p</w:t>
      </w:r>
      <w:r>
        <w:br/>
        <w:t>\tag{3.7000}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\theta_1&gt;\theta_2&gt;\cdots&gt;\theta_p\qquad\text{(3.7000)}</w:t>
      </w:r>
    </w:p>
    <w:p w:rsidR="00AD04D9" w:rsidRDefault="00AD04D9" w:rsidP="00AD04D9">
      <w:pPr>
        <w:pStyle w:val="StandardWeb"/>
      </w:pPr>
      <w:r>
        <w:t>eine bestimmte Ordnung.</w:t>
      </w:r>
    </w:p>
    <w:p w:rsidR="00AD04D9" w:rsidRDefault="00AD04D9" w:rsidP="00AD04D9">
      <w:pPr>
        <w:pStyle w:val="StandardWeb"/>
      </w:pPr>
      <w:r>
        <w:t>Wenn diese Ordnung unter alternativen Schätzverfahren oder Datenständen erhalten bleibt, spricht dies für höhere Interpretationsstabilität.</w:t>
      </w:r>
    </w:p>
    <w:p w:rsidR="00AD04D9" w:rsidRDefault="00E50336" w:rsidP="00AD04D9">
      <w:r>
        <w:pict>
          <v:rect id="_x0000_i1374" style="width:0;height:1.5pt" o:hralign="center" o:hrstd="t" o:hr="t" fillcolor="#a0a0a0" stroked="f"/>
        </w:pict>
      </w:r>
    </w:p>
    <w:p w:rsidR="00AD04D9" w:rsidRDefault="00AD04D9" w:rsidP="00AD04D9">
      <w:pPr>
        <w:pStyle w:val="berschrift2"/>
      </w:pPr>
      <w:r>
        <w:t>3.3.40.99 Parameterkorrelation</w:t>
      </w:r>
    </w:p>
    <w:p w:rsidR="00AD04D9" w:rsidRDefault="00AD04D9" w:rsidP="00AD04D9">
      <w:pPr>
        <w:pStyle w:val="StandardWeb"/>
      </w:pPr>
      <w:r>
        <w:t>Parameter können statistisch oder strukturell gekoppelt sein.</w:t>
      </w:r>
    </w:p>
    <w:p w:rsidR="00AD04D9" w:rsidRDefault="00AD04D9" w:rsidP="00AD04D9">
      <w:pPr>
        <w:pStyle w:val="StandardWeb"/>
      </w:pPr>
      <w:r>
        <w:t>Die Korrelationsmatrix sei</w:t>
      </w:r>
    </w:p>
    <w:p w:rsidR="00AD04D9" w:rsidRDefault="00AD04D9" w:rsidP="00AD04D9">
      <w:pPr>
        <w:pStyle w:val="berschrift1"/>
      </w:pPr>
      <w:r>
        <w:t>[</w:t>
      </w:r>
      <w:r>
        <w:br/>
        <w:t>\mathbf{R}_{\theta}</w:t>
      </w:r>
    </w:p>
    <w:p w:rsidR="00AD04D9" w:rsidRDefault="00AD04D9" w:rsidP="00AD04D9">
      <w:pPr>
        <w:pStyle w:val="StandardWeb"/>
      </w:pPr>
      <w:r>
        <w:t>\left[</w:t>
      </w:r>
      <w:r>
        <w:br/>
        <w:t>\rho_{ij}</w:t>
      </w:r>
      <w:r>
        <w:br/>
        <w:t>\right].</w:t>
      </w:r>
      <w:r>
        <w:br/>
        <w:t>\tag{3.7001}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\mathbf{R}_{\theta}=\left[\rho_{ij}\right]\qquad\text{(3.7001)}</w:t>
      </w:r>
    </w:p>
    <w:p w:rsidR="00AD04D9" w:rsidRDefault="00AD04D9" w:rsidP="00AD04D9">
      <w:pPr>
        <w:pStyle w:val="StandardWeb"/>
      </w:pPr>
      <w:r>
        <w:t>Für</w:t>
      </w:r>
    </w:p>
    <w:p w:rsidR="00AD04D9" w:rsidRDefault="00AD04D9" w:rsidP="00AD04D9">
      <w:pPr>
        <w:pStyle w:val="StandardWeb"/>
      </w:pPr>
      <w:r>
        <w:t>[</w:t>
      </w:r>
      <w:r>
        <w:br/>
        <w:t>|\rho_{ij}|</w:t>
      </w:r>
      <w:r>
        <w:br/>
        <w:t>\approx</w:t>
      </w:r>
      <w:r>
        <w:br/>
        <w:t>1</w:t>
      </w:r>
      <w:r>
        <w:br/>
        <w:t>\tag{3.7002}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|\rho_{ij}|\approx1\qquad\text{(3.7002)}</w:t>
      </w:r>
    </w:p>
    <w:p w:rsidR="00AD04D9" w:rsidRDefault="00AD04D9" w:rsidP="00AD04D9">
      <w:pPr>
        <w:pStyle w:val="StandardWeb"/>
      </w:pPr>
      <w:r>
        <w:t>können die beiden Parameter empirisch schwer voneinander zu trennen sein.</w:t>
      </w:r>
    </w:p>
    <w:p w:rsidR="00AD04D9" w:rsidRDefault="00E50336" w:rsidP="00AD04D9">
      <w:r>
        <w:pict>
          <v:rect id="_x0000_i1375" style="width:0;height:1.5pt" o:hralign="center" o:hrstd="t" o:hr="t" fillcolor="#a0a0a0" stroked="f"/>
        </w:pict>
      </w:r>
    </w:p>
    <w:p w:rsidR="00AD04D9" w:rsidRDefault="00AD04D9" w:rsidP="00AD04D9">
      <w:pPr>
        <w:pStyle w:val="berschrift2"/>
      </w:pPr>
      <w:r>
        <w:lastRenderedPageBreak/>
        <w:t>3.3.40.100 Korrelation und Identifizierbarkeit</w:t>
      </w:r>
    </w:p>
    <w:p w:rsidR="00AD04D9" w:rsidRDefault="00AD04D9" w:rsidP="00AD04D9">
      <w:pPr>
        <w:pStyle w:val="StandardWeb"/>
      </w:pPr>
      <w:r>
        <w:t>Eine starke Parameterkorrelation kann zu</w:t>
      </w:r>
    </w:p>
    <w:p w:rsidR="00AD04D9" w:rsidRDefault="00AD04D9" w:rsidP="00AD04D9">
      <w:pPr>
        <w:pStyle w:val="StandardWeb"/>
      </w:pPr>
      <w:r>
        <w:t>[</w:t>
      </w:r>
      <w:r>
        <w:br/>
        <w:t>u_{\theta_i}</w:t>
      </w:r>
      <w:r>
        <w:br/>
        <w:t>\text{ groß}</w:t>
      </w:r>
      <w:r>
        <w:br/>
        <w:t>\tag{3.7003}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u_{\theta_i}\text{ groß}\qquad\text{(3.7003)}</w:t>
      </w:r>
    </w:p>
    <w:p w:rsidR="00AD04D9" w:rsidRDefault="00AD04D9" w:rsidP="00AD04D9">
      <w:pPr>
        <w:pStyle w:val="StandardWeb"/>
      </w:pPr>
      <w:r>
        <w:t>führen, obwohl die kombinierte Vorhersage stabil bleibt.</w:t>
      </w:r>
    </w:p>
    <w:p w:rsidR="00AD04D9" w:rsidRDefault="00AD04D9" w:rsidP="00AD04D9">
      <w:pPr>
        <w:pStyle w:val="StandardWeb"/>
      </w:pPr>
      <w:r>
        <w:t>Damit muss auch hier zwischen Parametersicherheit und Aussagesicherheit unterschieden werden.</w:t>
      </w:r>
    </w:p>
    <w:p w:rsidR="00AD04D9" w:rsidRDefault="00E50336" w:rsidP="00AD04D9">
      <w:r>
        <w:pict>
          <v:rect id="_x0000_i1376" style="width:0;height:1.5pt" o:hralign="center" o:hrstd="t" o:hr="t" fillcolor="#a0a0a0" stroked="f"/>
        </w:pict>
      </w:r>
    </w:p>
    <w:p w:rsidR="00AD04D9" w:rsidRDefault="00AD04D9" w:rsidP="00AD04D9">
      <w:pPr>
        <w:pStyle w:val="berschrift2"/>
      </w:pPr>
      <w:r>
        <w:t>3.3.40.101 Robustheit einzelner Parameter versus Parameterkombinationen</w:t>
      </w:r>
    </w:p>
    <w:p w:rsidR="00AD04D9" w:rsidRDefault="00AD04D9" w:rsidP="00AD04D9">
      <w:pPr>
        <w:pStyle w:val="StandardWeb"/>
      </w:pPr>
      <w:r>
        <w:t>Es kann eine robuste Kombination</w:t>
      </w:r>
    </w:p>
    <w:p w:rsidR="00AD04D9" w:rsidRDefault="00AD04D9" w:rsidP="00AD04D9">
      <w:pPr>
        <w:pStyle w:val="berschrift1"/>
      </w:pPr>
      <w:r>
        <w:t>[</w:t>
      </w:r>
      <w:r>
        <w:br/>
        <w:t>\phi</w:t>
      </w:r>
    </w:p>
    <w:p w:rsidR="00AD04D9" w:rsidRDefault="00AD04D9" w:rsidP="00AD04D9">
      <w:pPr>
        <w:pStyle w:val="StandardWeb"/>
      </w:pPr>
      <w:r>
        <w:t>g</w:t>
      </w:r>
      <w:r>
        <w:br/>
        <w:t>\left(</w:t>
      </w:r>
      <w:r>
        <w:br/>
        <w:t>\theta_1,</w:t>
      </w:r>
      <w:r>
        <w:br/>
        <w:t>\theta_2</w:t>
      </w:r>
      <w:r>
        <w:br/>
        <w:t>\right)</w:t>
      </w:r>
      <w:r>
        <w:br/>
        <w:t>\tag{3.7004}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\phi=g\left(\theta_1,\theta_2\right)\qquad\text{(3.7004)}</w:t>
      </w:r>
    </w:p>
    <w:p w:rsidR="00AD04D9" w:rsidRDefault="00AD04D9" w:rsidP="00AD04D9">
      <w:pPr>
        <w:pStyle w:val="StandardWeb"/>
      </w:pPr>
      <w:r>
        <w:t>existieren, obwohl (\theta_1) und (\theta_2) einzeln schlecht identifizierbar sind.</w:t>
      </w:r>
    </w:p>
    <w:p w:rsidR="00AD04D9" w:rsidRDefault="00AD04D9" w:rsidP="00AD04D9">
      <w:pPr>
        <w:pStyle w:val="StandardWeb"/>
      </w:pPr>
      <w:r>
        <w:t>Dann kann gelten</w:t>
      </w:r>
    </w:p>
    <w:p w:rsidR="00AD04D9" w:rsidRDefault="00AD04D9" w:rsidP="00AD04D9">
      <w:pPr>
        <w:pStyle w:val="StandardWeb"/>
      </w:pPr>
      <w:r>
        <w:t>[</w:t>
      </w:r>
      <w:r>
        <w:br/>
        <w:t>u_{\theta_1},</w:t>
      </w:r>
      <w:r>
        <w:br/>
        <w:t>u_{\theta_2}</w:t>
      </w:r>
      <w:r>
        <w:br/>
        <w:t>\text{ groß}</w:t>
      </w:r>
      <w:r>
        <w:br/>
      </w:r>
      <w:r>
        <w:lastRenderedPageBreak/>
        <w:t>\tag{3.7005}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u_{\theta_1},u_{\theta_2}\text{ groß}\qquad\text{(3.7005)}</w:t>
      </w:r>
    </w:p>
    <w:p w:rsidR="00AD04D9" w:rsidRDefault="00AD04D9" w:rsidP="00AD04D9">
      <w:pPr>
        <w:pStyle w:val="StandardWeb"/>
      </w:pPr>
      <w:r>
        <w:t>bei gleichzeitig</w:t>
      </w:r>
    </w:p>
    <w:p w:rsidR="00AD04D9" w:rsidRDefault="00AD04D9" w:rsidP="00AD04D9">
      <w:pPr>
        <w:pStyle w:val="StandardWeb"/>
      </w:pPr>
      <w:r>
        <w:t>[</w:t>
      </w:r>
      <w:r>
        <w:br/>
        <w:t>u_{\phi}</w:t>
      </w:r>
      <w:r>
        <w:br/>
        <w:t>\text{ klein}.</w:t>
      </w:r>
      <w:r>
        <w:br/>
        <w:t>\tag{3.7006}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u_{\phi}\text{ klein}\qquad\text{(3.7006)}</w:t>
      </w:r>
    </w:p>
    <w:p w:rsidR="00AD04D9" w:rsidRDefault="00AD04D9" w:rsidP="00AD04D9">
      <w:pPr>
        <w:pStyle w:val="StandardWeb"/>
      </w:pPr>
      <w:r>
        <w:t>Dies kann für die Interpretation komplexer FRZK-Modelle wesentlich sein.</w:t>
      </w:r>
    </w:p>
    <w:p w:rsidR="00AD04D9" w:rsidRDefault="00E50336" w:rsidP="00AD04D9">
      <w:r>
        <w:pict>
          <v:rect id="_x0000_i1377" style="width:0;height:1.5pt" o:hralign="center" o:hrstd="t" o:hr="t" fillcolor="#a0a0a0" stroked="f"/>
        </w:pict>
      </w:r>
    </w:p>
    <w:p w:rsidR="00AD04D9" w:rsidRDefault="00AD04D9" w:rsidP="00AD04D9">
      <w:pPr>
        <w:pStyle w:val="berschrift2"/>
      </w:pPr>
      <w:r>
        <w:t>3.3.40.102 Parameterreduktion</w:t>
      </w:r>
    </w:p>
    <w:p w:rsidR="00AD04D9" w:rsidRDefault="00AD04D9" w:rsidP="00AD04D9">
      <w:pPr>
        <w:pStyle w:val="StandardWeb"/>
      </w:pPr>
      <w:r>
        <w:t>Wenn mehrere Parameter kaum unterscheidbar wirken, kann eine reduzierte Parametrisierung sinnvoll sein:</w:t>
      </w:r>
    </w:p>
    <w:p w:rsidR="00AD04D9" w:rsidRDefault="00AD04D9" w:rsidP="00AD04D9">
      <w:pPr>
        <w:pStyle w:val="StandardWeb"/>
      </w:pPr>
      <w:r>
        <w:t>[</w:t>
      </w:r>
      <w:r>
        <w:br/>
        <w:t>\boldsymbol{\theta}</w:t>
      </w:r>
      <w:r>
        <w:br/>
        <w:t>\in</w:t>
      </w:r>
      <w:r>
        <w:br/>
        <w:t>\mathbb{R}^{p}</w:t>
      </w:r>
      <w:r>
        <w:br/>
        <w:t>\rightarrow</w:t>
      </w:r>
      <w:r>
        <w:br/>
        <w:t>\boldsymbol{\phi}</w:t>
      </w:r>
      <w:r>
        <w:br/>
        <w:t>\in</w:t>
      </w:r>
      <w:r>
        <w:br/>
        <w:t>\mathbb{R}^{q},</w:t>
      </w:r>
      <w:r>
        <w:br/>
        <w:t>\qquad</w:t>
      </w:r>
      <w:r>
        <w:br/>
        <w:t>q&lt;p.</w:t>
      </w:r>
      <w:r>
        <w:br/>
        <w:t>\tag{3.7007}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\boldsymbol{\theta}\in\mathbb{R}^{p}\rightarrow\boldsymbol{\phi}\in\mathbb{R}^{q},\qquad q&lt;p\qquad\text{(3.7007)}</w:t>
      </w:r>
    </w:p>
    <w:p w:rsidR="00AD04D9" w:rsidRDefault="00AD04D9" w:rsidP="00AD04D9">
      <w:pPr>
        <w:pStyle w:val="StandardWeb"/>
      </w:pPr>
      <w:r>
        <w:t>Eine solche Reduktion darf jedoch nur erfolgen, wenn die relevanten wissenschaftlichen Aussagen erhalten bleiben:</w:t>
      </w:r>
    </w:p>
    <w:p w:rsidR="00AD04D9" w:rsidRDefault="00AD04D9" w:rsidP="00AD04D9">
      <w:pPr>
        <w:pStyle w:val="StandardWeb"/>
      </w:pPr>
      <w:r>
        <w:t>[</w:t>
      </w:r>
      <w:r>
        <w:br/>
        <w:t>A_F</w:t>
      </w:r>
      <w:r>
        <w:br/>
        <w:t>\left(</w:t>
      </w:r>
      <w:r>
        <w:br/>
      </w:r>
      <w:r>
        <w:lastRenderedPageBreak/>
        <w:t>\boldsymbol{\theta}</w:t>
      </w:r>
      <w:r>
        <w:br/>
        <w:t>\right)</w:t>
      </w:r>
      <w:r>
        <w:br/>
        <w:t>\sim_A</w:t>
      </w:r>
      <w:r>
        <w:br/>
        <w:t>A_F</w:t>
      </w:r>
      <w:r>
        <w:br/>
        <w:t>\left(</w:t>
      </w:r>
      <w:r>
        <w:br/>
        <w:t>\boldsymbol{\phi}</w:t>
      </w:r>
      <w:r>
        <w:br/>
        <w:t>\right).</w:t>
      </w:r>
      <w:r>
        <w:br/>
        <w:t>\tag{3.7008}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A_F\left(\boldsymbol{\theta}\right)\sim_A A_F\left(\boldsymbol{\phi}\right)\qquad\text{(3.7008)}</w:t>
      </w:r>
    </w:p>
    <w:p w:rsidR="00AD04D9" w:rsidRDefault="00E50336" w:rsidP="00AD04D9">
      <w:r>
        <w:pict>
          <v:rect id="_x0000_i1378" style="width:0;height:1.5pt" o:hralign="center" o:hrstd="t" o:hr="t" fillcolor="#a0a0a0" stroked="f"/>
        </w:pict>
      </w:r>
    </w:p>
    <w:p w:rsidR="00AD04D9" w:rsidRDefault="00AD04D9" w:rsidP="00AD04D9">
      <w:pPr>
        <w:pStyle w:val="berschrift2"/>
      </w:pPr>
      <w:r>
        <w:t>3.3.40.103 Parameterrobustheit und Modellvereinfachung</w:t>
      </w:r>
    </w:p>
    <w:p w:rsidR="00AD04D9" w:rsidRDefault="00AD04D9" w:rsidP="00AD04D9">
      <w:pPr>
        <w:pStyle w:val="StandardWeb"/>
      </w:pPr>
      <w:r>
        <w:t>Eine Modellvereinfachung kann damit auf Parameterrobustheit gestützt werden.</w:t>
      </w:r>
    </w:p>
    <w:p w:rsidR="00AD04D9" w:rsidRDefault="00AD04D9" w:rsidP="00AD04D9">
      <w:pPr>
        <w:pStyle w:val="StandardWeb"/>
      </w:pPr>
      <w:r>
        <w:t>Sind bestimmte Parameter über den relevanten Bereich praktisch wirkungslos,</w:t>
      </w:r>
    </w:p>
    <w:p w:rsidR="00AD04D9" w:rsidRDefault="00AD04D9" w:rsidP="00AD04D9">
      <w:pPr>
        <w:pStyle w:val="StandardWeb"/>
      </w:pPr>
      <w:r>
        <w:t>[</w:t>
      </w:r>
      <w:r>
        <w:br/>
        <w:t>G_i</w:t>
      </w:r>
      <w:r>
        <w:br/>
        <w:t>\approx</w:t>
      </w:r>
      <w:r>
        <w:br/>
        <w:t>0,</w:t>
      </w:r>
      <w:r>
        <w:br/>
        <w:t>\tag{3.7009}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G_i\approx0\qquad\text{(3.7009)}</w:t>
      </w:r>
    </w:p>
    <w:p w:rsidR="00AD04D9" w:rsidRDefault="00AD04D9" w:rsidP="00AD04D9">
      <w:pPr>
        <w:pStyle w:val="StandardWeb"/>
      </w:pPr>
      <w:r>
        <w:t>kann geprüft werden, ob sie entfernt oder fixiert werden können, ohne die relevante Aussageklasse zu verändern.</w:t>
      </w:r>
    </w:p>
    <w:p w:rsidR="00AD04D9" w:rsidRDefault="00E50336" w:rsidP="00AD04D9">
      <w:r>
        <w:pict>
          <v:rect id="_x0000_i1379" style="width:0;height:1.5pt" o:hralign="center" o:hrstd="t" o:hr="t" fillcolor="#a0a0a0" stroked="f"/>
        </w:pict>
      </w:r>
    </w:p>
    <w:p w:rsidR="00AD04D9" w:rsidRDefault="00AD04D9" w:rsidP="00AD04D9">
      <w:pPr>
        <w:pStyle w:val="berschrift2"/>
      </w:pPr>
      <w:r>
        <w:t>3.3.40.104 Vereinfachungsbedingung</w:t>
      </w:r>
    </w:p>
    <w:p w:rsidR="00AD04D9" w:rsidRDefault="00AD04D9" w:rsidP="00AD04D9">
      <w:pPr>
        <w:pStyle w:val="StandardWeb"/>
      </w:pPr>
      <w:r>
        <w:t>Eine zulässige Vereinfachung verlangt</w:t>
      </w:r>
    </w:p>
    <w:p w:rsidR="00AD04D9" w:rsidRDefault="00AD04D9" w:rsidP="00AD04D9">
      <w:pPr>
        <w:pStyle w:val="StandardWeb"/>
      </w:pPr>
      <w:r>
        <w:t>[</w:t>
      </w:r>
      <w:r>
        <w:br/>
        <w:t>A_F</w:t>
      </w:r>
      <w:r>
        <w:br/>
        <w:t>\left(</w:t>
      </w:r>
      <w:r>
        <w:br/>
        <w:t>\mathcal{M}</w:t>
      </w:r>
      <w:r>
        <w:br/>
        <w:t>\right)</w:t>
      </w:r>
      <w:r>
        <w:br/>
        <w:t>\sim_A</w:t>
      </w:r>
      <w:r>
        <w:br/>
        <w:t>A_F</w:t>
      </w:r>
      <w:r>
        <w:br/>
        <w:t>\left(</w:t>
      </w:r>
      <w:r>
        <w:br/>
        <w:t>\mathcal{M}_{\mathrm{red}}</w:t>
      </w:r>
      <w:r>
        <w:br/>
      </w:r>
      <w:r>
        <w:lastRenderedPageBreak/>
        <w:t>\right).</w:t>
      </w:r>
      <w:r>
        <w:br/>
        <w:t>\tag{3.7010}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A_F\left(\mathcal{M}\right)\sim_A A_F\left(\mathcal{M}_{\mathrm{red}}\right)\qquad\text{(3.7010)}</w:t>
      </w:r>
    </w:p>
    <w:p w:rsidR="00AD04D9" w:rsidRDefault="00AD04D9" w:rsidP="00AD04D9">
      <w:pPr>
        <w:pStyle w:val="StandardWeb"/>
      </w:pPr>
      <w:r>
        <w:t>Dabei bezeichnet (\mathcal{M}_{\mathrm{red}}) das reduzierte Modell.</w:t>
      </w:r>
    </w:p>
    <w:p w:rsidR="00AD04D9" w:rsidRDefault="00E50336" w:rsidP="00AD04D9">
      <w:r>
        <w:pict>
          <v:rect id="_x0000_i1380" style="width:0;height:1.5pt" o:hralign="center" o:hrstd="t" o:hr="t" fillcolor="#a0a0a0" stroked="f"/>
        </w:pict>
      </w:r>
    </w:p>
    <w:p w:rsidR="00AD04D9" w:rsidRDefault="00AD04D9" w:rsidP="00AD04D9">
      <w:pPr>
        <w:pStyle w:val="berschrift2"/>
      </w:pPr>
      <w:r>
        <w:t>3.3.40.105 Robustheit gegenüber numerischen Schrittweiten</w:t>
      </w:r>
    </w:p>
    <w:p w:rsidR="00AD04D9" w:rsidRDefault="00AD04D9" w:rsidP="00AD04D9">
      <w:pPr>
        <w:pStyle w:val="StandardWeb"/>
      </w:pPr>
      <w:r>
        <w:t>Bei numerischen Simulationen kann selbst die Integrationsschrittweite eine Ergebnisabhängigkeit erzeugen.</w:t>
      </w:r>
    </w:p>
    <w:p w:rsidR="00AD04D9" w:rsidRDefault="00AD04D9" w:rsidP="00AD04D9">
      <w:pPr>
        <w:pStyle w:val="StandardWeb"/>
      </w:pPr>
      <w:r>
        <w:t>Sei</w:t>
      </w:r>
    </w:p>
    <w:p w:rsidR="00AD04D9" w:rsidRDefault="00AD04D9" w:rsidP="00AD04D9">
      <w:pPr>
        <w:pStyle w:val="StandardWeb"/>
      </w:pPr>
      <w:r>
        <w:t>[</w:t>
      </w:r>
      <w:r>
        <w:br/>
        <w:t>h</w:t>
      </w:r>
      <w:r>
        <w:br/>
        <w:t>\tag{3.7011}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h\qquad\text{(3.7011)}</w:t>
      </w:r>
    </w:p>
    <w:p w:rsidR="00AD04D9" w:rsidRDefault="00AD04D9" w:rsidP="00AD04D9">
      <w:pPr>
        <w:pStyle w:val="StandardWeb"/>
      </w:pPr>
      <w:r>
        <w:t>die numerische Schrittweite.</w:t>
      </w:r>
    </w:p>
    <w:p w:rsidR="00AD04D9" w:rsidRDefault="00AD04D9" w:rsidP="00AD04D9">
      <w:pPr>
        <w:pStyle w:val="StandardWeb"/>
      </w:pPr>
      <w:r>
        <w:t>Das Simulationsergebnis lautet</w:t>
      </w:r>
    </w:p>
    <w:p w:rsidR="00AD04D9" w:rsidRDefault="00AD04D9" w:rsidP="00AD04D9">
      <w:pPr>
        <w:pStyle w:val="StandardWeb"/>
      </w:pPr>
      <w:r>
        <w:t>[</w:t>
      </w:r>
      <w:r>
        <w:br/>
        <w:t>Y_h.</w:t>
      </w:r>
      <w:r>
        <w:br/>
        <w:t>\tag{3.7012}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Y_h\qquad\text{(3.7012)}</w:t>
      </w:r>
    </w:p>
    <w:p w:rsidR="00AD04D9" w:rsidRDefault="00AD04D9" w:rsidP="00AD04D9">
      <w:pPr>
        <w:pStyle w:val="StandardWeb"/>
      </w:pPr>
      <w:r>
        <w:t>Numerische Robustheit verlangt beispielsweise</w:t>
      </w:r>
    </w:p>
    <w:p w:rsidR="00AD04D9" w:rsidRDefault="00AD04D9" w:rsidP="00AD04D9">
      <w:pPr>
        <w:pStyle w:val="StandardWeb"/>
      </w:pPr>
      <w:r>
        <w:t>[</w:t>
      </w:r>
      <w:r>
        <w:br/>
        <w:t>d_Y</w:t>
      </w:r>
      <w:r>
        <w:br/>
        <w:t>\left(</w:t>
      </w:r>
      <w:r>
        <w:br/>
        <w:t>Y_h,</w:t>
      </w:r>
      <w:r>
        <w:br/>
        <w:t>Y_{h/2}</w:t>
      </w:r>
      <w:r>
        <w:br/>
        <w:t>\right)</w:t>
      </w:r>
      <w:r>
        <w:br/>
      </w:r>
      <w:r>
        <w:lastRenderedPageBreak/>
        <w:t>\leq</w:t>
      </w:r>
      <w:r>
        <w:br/>
        <w:t>\tau_h.</w:t>
      </w:r>
      <w:r>
        <w:br/>
        <w:t>\tag{3.7013}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d_Y\left(Y_h,Y_{h/2}\right)\leq\tau_h\qquad\text{(3.7013)}</w:t>
      </w:r>
    </w:p>
    <w:p w:rsidR="00AD04D9" w:rsidRDefault="00AD04D9" w:rsidP="00AD04D9">
      <w:pPr>
        <w:pStyle w:val="StandardWeb"/>
      </w:pPr>
      <w:r>
        <w:t>Damit wird verhindert, dass vermeintliche Parameterinstabilität tatsächlich nur aus numerischer Diskretisierung entsteht.</w:t>
      </w:r>
    </w:p>
    <w:p w:rsidR="00AD04D9" w:rsidRDefault="00E50336" w:rsidP="00AD04D9">
      <w:r>
        <w:pict>
          <v:rect id="_x0000_i1381" style="width:0;height:1.5pt" o:hralign="center" o:hrstd="t" o:hr="t" fillcolor="#a0a0a0" stroked="f"/>
        </w:pict>
      </w:r>
    </w:p>
    <w:p w:rsidR="00AD04D9" w:rsidRDefault="00AD04D9" w:rsidP="00AD04D9">
      <w:pPr>
        <w:pStyle w:val="berschrift2"/>
      </w:pPr>
      <w:r>
        <w:t>3.3.40.106 Numerische versus wissenschaftliche Parameterrobustheit</w:t>
      </w:r>
    </w:p>
    <w:p w:rsidR="00AD04D9" w:rsidRDefault="00AD04D9" w:rsidP="00AD04D9">
      <w:pPr>
        <w:pStyle w:val="StandardWeb"/>
      </w:pPr>
      <w:r>
        <w:t>Ich unterscheide daher</w:t>
      </w:r>
    </w:p>
    <w:p w:rsidR="00AD04D9" w:rsidRDefault="00AD04D9" w:rsidP="00AD04D9">
      <w:pPr>
        <w:pStyle w:val="StandardWeb"/>
      </w:pPr>
      <w:r>
        <w:t>[</w:t>
      </w:r>
      <w:r>
        <w:br/>
        <w:t>R_{\mathrm{num}}</w:t>
      </w:r>
      <w:r>
        <w:br/>
        <w:t>\tag{3.7014}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R_{\mathrm{num}}\qquad\text{(3.7014)}</w:t>
      </w:r>
    </w:p>
    <w:p w:rsidR="00AD04D9" w:rsidRDefault="00AD04D9" w:rsidP="00AD04D9">
      <w:pPr>
        <w:pStyle w:val="StandardWeb"/>
      </w:pPr>
      <w:r>
        <w:t>von</w:t>
      </w:r>
    </w:p>
    <w:p w:rsidR="00AD04D9" w:rsidRDefault="00AD04D9" w:rsidP="00AD04D9">
      <w:pPr>
        <w:pStyle w:val="StandardWeb"/>
      </w:pPr>
      <w:r>
        <w:t>[</w:t>
      </w:r>
      <w:r>
        <w:br/>
        <w:t>R_{\theta}.</w:t>
      </w:r>
      <w:r>
        <w:br/>
        <w:t>\tag{3.7015}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R_{\theta}\qquad\text{(3.7015)}</w:t>
      </w:r>
    </w:p>
    <w:p w:rsidR="00AD04D9" w:rsidRDefault="00AD04D9" w:rsidP="00AD04D9">
      <w:pPr>
        <w:pStyle w:val="StandardWeb"/>
      </w:pPr>
      <w:r>
        <w:t>Numerische Robustheit prüft Stabilität gegenüber Implementierungs- und Diskretisierungsentscheidungen.</w:t>
      </w:r>
    </w:p>
    <w:p w:rsidR="00AD04D9" w:rsidRDefault="00AD04D9" w:rsidP="00AD04D9">
      <w:pPr>
        <w:pStyle w:val="StandardWeb"/>
      </w:pPr>
      <w:r>
        <w:t>Parameterrobustheit prüft Stabilität gegenüber wissenschaftlich plausiblen Parameteränderungen.</w:t>
      </w:r>
    </w:p>
    <w:p w:rsidR="00AD04D9" w:rsidRDefault="00E50336" w:rsidP="00AD04D9">
      <w:r>
        <w:pict>
          <v:rect id="_x0000_i1382" style="width:0;height:1.5pt" o:hralign="center" o:hrstd="t" o:hr="t" fillcolor="#a0a0a0" stroked="f"/>
        </w:pict>
      </w:r>
    </w:p>
    <w:p w:rsidR="00AD04D9" w:rsidRDefault="00AD04D9" w:rsidP="00AD04D9">
      <w:pPr>
        <w:pStyle w:val="berschrift2"/>
      </w:pPr>
      <w:r>
        <w:t>3.3.40.107 Robustheit gegenüber stochastischen Realisationen</w:t>
      </w:r>
    </w:p>
    <w:p w:rsidR="00AD04D9" w:rsidRDefault="00AD04D9" w:rsidP="00AD04D9">
      <w:pPr>
        <w:pStyle w:val="StandardWeb"/>
      </w:pPr>
      <w:r>
        <w:lastRenderedPageBreak/>
        <w:t>Bei stochastischen Modellen kann zusätzlich ein Zufallsterm auftreten:</w:t>
      </w:r>
    </w:p>
    <w:p w:rsidR="00AD04D9" w:rsidRDefault="00AD04D9" w:rsidP="00AD04D9">
      <w:pPr>
        <w:pStyle w:val="berschrift1"/>
      </w:pPr>
      <w:r>
        <w:t>[</w:t>
      </w:r>
      <w:r>
        <w:br/>
        <w:t>\delta_{t+1}</w:t>
      </w:r>
    </w:p>
    <w:p w:rsidR="00AD04D9" w:rsidRDefault="00AD04D9" w:rsidP="00AD04D9">
      <w:pPr>
        <w:pStyle w:val="StandardWeb"/>
      </w:pPr>
      <w:r>
        <w:t>F</w:t>
      </w:r>
      <w:r>
        <w:br/>
        <w:t>\left(</w:t>
      </w:r>
      <w:r>
        <w:br/>
        <w:t>\delta_t,</w:t>
      </w:r>
      <w:r>
        <w:br/>
        <w:t>\boldsymbol{\theta}</w:t>
      </w:r>
      <w:r>
        <w:br/>
        <w:t>\right)</w:t>
      </w:r>
      <w:r>
        <w:br/>
        <w:t>+</w:t>
      </w:r>
      <w:r>
        <w:br/>
        <w:t>\varepsilon_t.</w:t>
      </w:r>
      <w:r>
        <w:br/>
        <w:t>\tag{3.7016}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\delta_{t+1}=F\left(\delta_t,\boldsymbol{\theta}\right)+\varepsilon_t\qquad\text{(3.7016)}</w:t>
      </w:r>
    </w:p>
    <w:p w:rsidR="00AD04D9" w:rsidRDefault="00AD04D9" w:rsidP="00AD04D9">
      <w:pPr>
        <w:pStyle w:val="StandardWeb"/>
      </w:pPr>
      <w:r>
        <w:t>Dann ist eine Aussage auch von der konkreten Realisation</w:t>
      </w:r>
    </w:p>
    <w:p w:rsidR="00AD04D9" w:rsidRDefault="00AD04D9" w:rsidP="00AD04D9">
      <w:pPr>
        <w:pStyle w:val="StandardWeb"/>
      </w:pPr>
      <w:r>
        <w:t>[</w:t>
      </w:r>
      <w:r>
        <w:br/>
        <w:t>\varepsilon^{(k)}</w:t>
      </w:r>
      <w:r>
        <w:br/>
        <w:t>\tag{3.7017}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\varepsilon^{(k)}\qquad\text{(3.7017)}</w:t>
      </w:r>
    </w:p>
    <w:p w:rsidR="00AD04D9" w:rsidRDefault="00AD04D9" w:rsidP="00AD04D9">
      <w:pPr>
        <w:pStyle w:val="StandardWeb"/>
      </w:pPr>
      <w:r>
        <w:t>abhängig.</w:t>
      </w:r>
    </w:p>
    <w:p w:rsidR="00AD04D9" w:rsidRDefault="00AD04D9" w:rsidP="00AD04D9">
      <w:pPr>
        <w:pStyle w:val="StandardWeb"/>
      </w:pPr>
      <w:r>
        <w:t>Die resultierende Aussage lautet</w:t>
      </w:r>
    </w:p>
    <w:p w:rsidR="00AD04D9" w:rsidRDefault="00AD04D9" w:rsidP="00AD04D9">
      <w:pPr>
        <w:pStyle w:val="berschrift1"/>
      </w:pPr>
      <w:r>
        <w:t>[</w:t>
      </w:r>
      <w:r>
        <w:br/>
        <w:t>A_F^{(k)}</w:t>
      </w:r>
    </w:p>
    <w:p w:rsidR="00AD04D9" w:rsidRDefault="00AD04D9" w:rsidP="00AD04D9">
      <w:pPr>
        <w:pStyle w:val="StandardWeb"/>
      </w:pPr>
      <w:r>
        <w:t>A_F</w:t>
      </w:r>
      <w:r>
        <w:br/>
        <w:t>\left(</w:t>
      </w:r>
      <w:r>
        <w:br/>
        <w:t>\boldsymbol{\theta},</w:t>
      </w:r>
      <w:r>
        <w:br/>
        <w:t>\varepsilon^{(k)}</w:t>
      </w:r>
      <w:r>
        <w:br/>
        <w:t>\right).</w:t>
      </w:r>
      <w:r>
        <w:br/>
        <w:t>\tag{3.7018}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A_F^{(k)}=A_F\left(\boldsymbol{\theta},\varepsilon^{(k)}\right)\qquad\text{(3.7018)}</w:t>
      </w:r>
    </w:p>
    <w:p w:rsidR="00AD04D9" w:rsidRDefault="00E50336" w:rsidP="00AD04D9">
      <w:r>
        <w:pict>
          <v:rect id="_x0000_i1383" style="width:0;height:1.5pt" o:hralign="center" o:hrstd="t" o:hr="t" fillcolor="#a0a0a0" stroked="f"/>
        </w:pict>
      </w:r>
    </w:p>
    <w:p w:rsidR="00AD04D9" w:rsidRDefault="00AD04D9" w:rsidP="00AD04D9">
      <w:pPr>
        <w:pStyle w:val="berschrift2"/>
      </w:pPr>
      <w:r>
        <w:t>3.3.40.108 Stochastische Robustheit</w:t>
      </w:r>
    </w:p>
    <w:p w:rsidR="00AD04D9" w:rsidRDefault="00AD04D9" w:rsidP="00AD04D9">
      <w:pPr>
        <w:pStyle w:val="StandardWeb"/>
      </w:pPr>
      <w:r>
        <w:t>Ich definiere</w:t>
      </w:r>
    </w:p>
    <w:p w:rsidR="00AD04D9" w:rsidRDefault="00AD04D9" w:rsidP="00AD04D9">
      <w:pPr>
        <w:pStyle w:val="berschrift1"/>
      </w:pPr>
      <w:r>
        <w:t>[</w:t>
      </w:r>
      <w:r>
        <w:br/>
        <w:t>R_{\mathrm{stoch}}</w:t>
      </w:r>
    </w:p>
    <w:p w:rsidR="00AD04D9" w:rsidRDefault="00AD04D9" w:rsidP="00AD04D9">
      <w:pPr>
        <w:pStyle w:val="StandardWeb"/>
      </w:pPr>
      <w:r>
        <w:t>\Pr</w:t>
      </w:r>
      <w:r>
        <w:br/>
        <w:t>\left[</w:t>
      </w:r>
      <w:r>
        <w:br/>
        <w:t>A_F</w:t>
      </w:r>
      <w:r>
        <w:br/>
        <w:t>\sim_A</w:t>
      </w:r>
      <w:r>
        <w:br/>
        <w:t>A_F^{\mathrm{ref}}</w:t>
      </w:r>
      <w:r>
        <w:br/>
        <w:t>\right].</w:t>
      </w:r>
      <w:r>
        <w:br/>
        <w:t>\tag{3.7019}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R_{\mathrm{stoch}}=\Pr\left[A_F\sim_A A_F^{\mathrm{ref}}\right]\qquad\text{(3.7019)}</w:t>
      </w:r>
    </w:p>
    <w:p w:rsidR="00AD04D9" w:rsidRDefault="00AD04D9" w:rsidP="00AD04D9">
      <w:pPr>
        <w:pStyle w:val="StandardWeb"/>
      </w:pPr>
      <w:r>
        <w:t>Damit kann die Wahrscheinlichkeit angegeben werden, dass die relevante Aussage trotz zufälliger Systemvariation erhalten bleibt.</w:t>
      </w:r>
    </w:p>
    <w:p w:rsidR="00AD04D9" w:rsidRDefault="00E50336" w:rsidP="00AD04D9">
      <w:r>
        <w:pict>
          <v:rect id="_x0000_i1384" style="width:0;height:1.5pt" o:hralign="center" o:hrstd="t" o:hr="t" fillcolor="#a0a0a0" stroked="f"/>
        </w:pict>
      </w:r>
    </w:p>
    <w:p w:rsidR="00AD04D9" w:rsidRDefault="00AD04D9" w:rsidP="00AD04D9">
      <w:pPr>
        <w:pStyle w:val="berschrift2"/>
      </w:pPr>
      <w:r>
        <w:t>3.3.40.109 Parameter- und Rauschinteraktion</w:t>
      </w:r>
    </w:p>
    <w:p w:rsidR="00AD04D9" w:rsidRDefault="00AD04D9" w:rsidP="00AD04D9">
      <w:pPr>
        <w:pStyle w:val="StandardWeb"/>
      </w:pPr>
      <w:r>
        <w:t>Parameter und stochastische Einflüsse können interagieren:</w:t>
      </w:r>
    </w:p>
    <w:p w:rsidR="00AD04D9" w:rsidRDefault="00AD04D9" w:rsidP="00AD04D9">
      <w:pPr>
        <w:pStyle w:val="berschrift1"/>
      </w:pPr>
      <w:r>
        <w:t>[</w:t>
      </w:r>
      <w:r>
        <w:br/>
        <w:t>Y_F</w:t>
      </w:r>
    </w:p>
    <w:p w:rsidR="00AD04D9" w:rsidRDefault="00AD04D9" w:rsidP="00AD04D9">
      <w:pPr>
        <w:pStyle w:val="StandardWeb"/>
      </w:pPr>
      <w:r>
        <w:t>F</w:t>
      </w:r>
      <w:r>
        <w:br/>
        <w:t>\left(</w:t>
      </w:r>
      <w:r>
        <w:br/>
        <w:t>\boldsymbol{\theta},</w:t>
      </w:r>
      <w:r>
        <w:br/>
        <w:t>\varepsilon</w:t>
      </w:r>
      <w:r>
        <w:br/>
        <w:t>\right).</w:t>
      </w:r>
      <w:r>
        <w:br/>
        <w:t>\tag{3.7020}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Y_F=F\left(\boldsymbol{\theta},\varepsilon\right)\qquad\text{(3.7020)}</w:t>
      </w:r>
    </w:p>
    <w:p w:rsidR="00AD04D9" w:rsidRDefault="00AD04D9" w:rsidP="00AD04D9">
      <w:pPr>
        <w:pStyle w:val="StandardWeb"/>
      </w:pPr>
      <w:r>
        <w:lastRenderedPageBreak/>
        <w:t>Eine alleinige Parametersensitivität bei festem (\varepsilon=0) kann deshalb die empirische Robustheit überschätzen.</w:t>
      </w:r>
    </w:p>
    <w:p w:rsidR="00AD04D9" w:rsidRDefault="00E50336" w:rsidP="00AD04D9">
      <w:r>
        <w:pict>
          <v:rect id="_x0000_i1385" style="width:0;height:1.5pt" o:hralign="center" o:hrstd="t" o:hr="t" fillcolor="#a0a0a0" stroked="f"/>
        </w:pict>
      </w:r>
    </w:p>
    <w:p w:rsidR="00AD04D9" w:rsidRDefault="00AD04D9" w:rsidP="00AD04D9">
      <w:pPr>
        <w:pStyle w:val="berschrift2"/>
      </w:pPr>
      <w:r>
        <w:t>3.3.40.110 Robustheit der Aussage gegenüber kombinierter Unsicherheit</w:t>
      </w:r>
    </w:p>
    <w:p w:rsidR="00AD04D9" w:rsidRDefault="00AD04D9" w:rsidP="00AD04D9">
      <w:pPr>
        <w:pStyle w:val="StandardWeb"/>
      </w:pPr>
      <w:r>
        <w:t>Die vollständige Aussageabhängigkeit kann schließlich geschrieben werden als</w:t>
      </w:r>
    </w:p>
    <w:p w:rsidR="00AD04D9" w:rsidRDefault="00AD04D9" w:rsidP="00AD04D9">
      <w:pPr>
        <w:pStyle w:val="berschrift1"/>
      </w:pPr>
      <w:r>
        <w:t>[</w:t>
      </w:r>
      <w:r>
        <w:br/>
        <w:t>A_F</w:t>
      </w:r>
    </w:p>
    <w:p w:rsidR="00AD04D9" w:rsidRDefault="00AD04D9" w:rsidP="00AD04D9">
      <w:pPr>
        <w:pStyle w:val="StandardWeb"/>
      </w:pPr>
      <w:r>
        <w:t>A_F</w:t>
      </w:r>
      <w:r>
        <w:br/>
        <w:t>\left(</w:t>
      </w:r>
      <w:r>
        <w:br/>
        <w:t>\mathcal{O},</w:t>
      </w:r>
      <w:r>
        <w:br/>
        <w:t>\mathcal{D},</w:t>
      </w:r>
      <w:r>
        <w:br/>
        <w:t>\mathcal{M},</w:t>
      </w:r>
      <w:r>
        <w:br/>
        <w:t>\boldsymbol{\theta},</w:t>
      </w:r>
      <w:r>
        <w:br/>
        <w:t>\delta_0,</w:t>
      </w:r>
      <w:r>
        <w:br/>
        <w:t>\mathbf{b},</w:t>
      </w:r>
      <w:r>
        <w:br/>
        <w:t>\varepsilon</w:t>
      </w:r>
      <w:r>
        <w:br/>
        <w:t>\right).</w:t>
      </w:r>
      <w:r>
        <w:br/>
        <w:t>\tag{3.7021}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A_F=A_F\left(\mathcal{O},\mathcal{D},\mathcal{M},\boldsymbol{\theta},\delta_0,\mathbf{b},\varepsilon\right)\qquad\text{(3.7021)}</w:t>
      </w:r>
    </w:p>
    <w:p w:rsidR="00AD04D9" w:rsidRDefault="00AD04D9" w:rsidP="00AD04D9">
      <w:pPr>
        <w:pStyle w:val="StandardWeb"/>
      </w:pPr>
      <w:r>
        <w:t>Damit wird deutlich, dass wissenschaftliche Robustheit mehrdimensional ist und keine einzelne Sensitivitätsanalyse sämtliche Unsicherheiten abdecken kann.</w:t>
      </w:r>
    </w:p>
    <w:p w:rsidR="00AD04D9" w:rsidRDefault="00E50336" w:rsidP="00AD04D9">
      <w:r>
        <w:pict>
          <v:rect id="_x0000_i1386" style="width:0;height:1.5pt" o:hralign="center" o:hrstd="t" o:hr="t" fillcolor="#a0a0a0" stroked="f"/>
        </w:pict>
      </w:r>
    </w:p>
    <w:p w:rsidR="00AD04D9" w:rsidRDefault="00AD04D9" w:rsidP="00AD04D9">
      <w:pPr>
        <w:pStyle w:val="berschrift2"/>
      </w:pPr>
      <w:r>
        <w:t>3.3.40.111 Robustheitshierarchie für Parameteranalysen</w:t>
      </w:r>
    </w:p>
    <w:p w:rsidR="00AD04D9" w:rsidRDefault="00AD04D9" w:rsidP="00AD04D9">
      <w:pPr>
        <w:pStyle w:val="StandardWeb"/>
      </w:pPr>
      <w:r>
        <w:t>Ich unterscheide vier methodische Stufen:</w:t>
      </w:r>
    </w:p>
    <w:p w:rsidR="00AD04D9" w:rsidRDefault="00AD04D9" w:rsidP="00AD04D9">
      <w:pPr>
        <w:pStyle w:val="StandardWeb"/>
      </w:pPr>
      <w:r>
        <w:t>[</w:t>
      </w:r>
      <w:r>
        <w:br/>
        <w:t>R_{\theta}^{(1)}</w:t>
      </w:r>
      <w:r>
        <w:br/>
        <w:t>&lt;</w:t>
      </w:r>
      <w:r>
        <w:br/>
        <w:t>R_{\theta}^{(2)}</w:t>
      </w:r>
      <w:r>
        <w:br/>
        <w:t>&lt;</w:t>
      </w:r>
      <w:r>
        <w:br/>
        <w:t>R_{\theta}^{(3)}</w:t>
      </w:r>
      <w:r>
        <w:br/>
        <w:t>&lt;</w:t>
      </w:r>
      <w:r>
        <w:br/>
        <w:t>R_{\theta}^{(4)}.</w:t>
      </w:r>
      <w:r>
        <w:br/>
      </w:r>
      <w:r>
        <w:lastRenderedPageBreak/>
        <w:t>\tag{3.7022}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R_{\theta}^{(1)}&lt;R_{\theta}^{(2)}&lt;R_{\theta}^{(3)}&lt;R_{\theta}^{(4)}\qquad\text{(3.7022)}</w:t>
      </w:r>
    </w:p>
    <w:p w:rsidR="00AD04D9" w:rsidRDefault="00AD04D9" w:rsidP="00AD04D9">
      <w:pPr>
        <w:pStyle w:val="StandardWeb"/>
      </w:pPr>
      <w:r>
        <w:t>Dabei bezeichnet</w:t>
      </w:r>
    </w:p>
    <w:p w:rsidR="00AD04D9" w:rsidRDefault="00AD04D9" w:rsidP="008C5E65">
      <w:pPr>
        <w:pStyle w:val="StandardWeb"/>
        <w:numPr>
          <w:ilvl w:val="0"/>
          <w:numId w:val="333"/>
        </w:numPr>
      </w:pPr>
      <w:r>
        <w:t>(R_{\theta}^{(1)}): Stabilität an einem einzelnen Parametersatz,</w:t>
      </w:r>
    </w:p>
    <w:p w:rsidR="00AD04D9" w:rsidRDefault="00AD04D9" w:rsidP="008C5E65">
      <w:pPr>
        <w:pStyle w:val="StandardWeb"/>
        <w:numPr>
          <w:ilvl w:val="0"/>
          <w:numId w:val="333"/>
        </w:numPr>
      </w:pPr>
      <w:r>
        <w:t>(R_{\theta}^{(2)}): lokale Sensitivitätsprüfung,</w:t>
      </w:r>
    </w:p>
    <w:p w:rsidR="00AD04D9" w:rsidRDefault="00AD04D9" w:rsidP="008C5E65">
      <w:pPr>
        <w:pStyle w:val="StandardWeb"/>
        <w:numPr>
          <w:ilvl w:val="0"/>
          <w:numId w:val="333"/>
        </w:numPr>
      </w:pPr>
      <w:r>
        <w:t>(R_{\theta}^{(3)}): globale Parameterraumprüfung,</w:t>
      </w:r>
    </w:p>
    <w:p w:rsidR="00AD04D9" w:rsidRDefault="00AD04D9" w:rsidP="008C5E65">
      <w:pPr>
        <w:pStyle w:val="StandardWeb"/>
        <w:numPr>
          <w:ilvl w:val="0"/>
          <w:numId w:val="333"/>
        </w:numPr>
      </w:pPr>
      <w:r>
        <w:t>(R_{\theta}^{(4)}): gemeinsame Prüfung von Parametern, Anfangsbedingungen, Randbedingungen und Modellstruktur.</w:t>
      </w:r>
    </w:p>
    <w:p w:rsidR="00AD04D9" w:rsidRDefault="00AD04D9" w:rsidP="00AD04D9">
      <w:pPr>
        <w:pStyle w:val="StandardWeb"/>
      </w:pPr>
      <w:r>
        <w:t>Diese Hierarchie beschreibt keine universelle numerische Skala, sondern zunehmende methodische Absicherung.</w:t>
      </w:r>
    </w:p>
    <w:p w:rsidR="00AD04D9" w:rsidRDefault="00E50336" w:rsidP="00AD04D9">
      <w:r>
        <w:pict>
          <v:rect id="_x0000_i1387" style="width:0;height:1.5pt" o:hralign="center" o:hrstd="t" o:hr="t" fillcolor="#a0a0a0" stroked="f"/>
        </w:pict>
      </w:r>
    </w:p>
    <w:p w:rsidR="00AD04D9" w:rsidRDefault="00AD04D9" w:rsidP="00AD04D9">
      <w:pPr>
        <w:pStyle w:val="berschrift2"/>
      </w:pPr>
      <w:r>
        <w:t>3.3.40.112 Parameterrobustheitsmanifest</w:t>
      </w:r>
    </w:p>
    <w:p w:rsidR="00AD04D9" w:rsidRDefault="00AD04D9" w:rsidP="00AD04D9">
      <w:pPr>
        <w:pStyle w:val="StandardWeb"/>
      </w:pPr>
      <w:r>
        <w:t>Zur vollständigen Dokumentation definiere ich</w:t>
      </w:r>
    </w:p>
    <w:p w:rsidR="00AD04D9" w:rsidRDefault="00AD04D9" w:rsidP="00AD04D9">
      <w:pPr>
        <w:pStyle w:val="StandardWeb"/>
      </w:pPr>
      <w:r>
        <w:t>[</w:t>
      </w:r>
      <w:r>
        <w:br/>
        <w:t>\operatorname{ParameterRobustnessManifest}</w:t>
      </w:r>
      <w:r>
        <w:br/>
        <w:t>\left(</w:t>
      </w:r>
      <w:r>
        <w:br/>
        <w:t>\Theta_{\mathrm{zul}},</w:t>
      </w:r>
      <w:r>
        <w:br/>
        <w:t>\mathcal{S}</w:t>
      </w:r>
      <w:r>
        <w:rPr>
          <w:rStyle w:val="Hervorhebung"/>
        </w:rPr>
        <w:t>{0}^{\mathrm{zul}},</w:t>
      </w:r>
      <w:r>
        <w:rPr>
          <w:i/>
          <w:iCs/>
        </w:rPr>
        <w:br/>
      </w:r>
      <w:r>
        <w:rPr>
          <w:rStyle w:val="Hervorhebung"/>
        </w:rPr>
        <w:t>\mathcal{B}</w:t>
      </w:r>
      <w:r>
        <w:t>{\mathrm{zul}},</w:t>
      </w:r>
      <w:r>
        <w:br/>
        <w:t>\boldsymbol{\theta}</w:t>
      </w:r>
      <w:r>
        <w:rPr>
          <w:rStyle w:val="Hervorhebung"/>
        </w:rPr>
        <w:t>0,</w:t>
      </w:r>
      <w:r>
        <w:rPr>
          <w:i/>
          <w:iCs/>
        </w:rPr>
        <w:br/>
      </w:r>
      <w:r>
        <w:rPr>
          <w:rStyle w:val="Hervorhebung"/>
        </w:rPr>
        <w:t>\delta_0,</w:t>
      </w:r>
      <w:r>
        <w:rPr>
          <w:i/>
          <w:iCs/>
        </w:rPr>
        <w:br/>
      </w:r>
      <w:r>
        <w:rPr>
          <w:rStyle w:val="Hervorhebung"/>
        </w:rPr>
        <w:t>\mathbf{S}</w:t>
      </w:r>
      <w:r>
        <w:t>{\theta},</w:t>
      </w:r>
      <w:r>
        <w:br/>
        <w:t>R_U,</w:t>
      </w:r>
      <w:r>
        <w:br/>
        <w:t>\mathfrak{B}_{\mathrm{krit}}</w:t>
      </w:r>
      <w:r>
        <w:br/>
        <w:t>\right).</w:t>
      </w:r>
      <w:r>
        <w:br/>
        <w:t>\tag{3.7023}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\operatorname{ParameterRobustnessManifest}\left(\Theta_{\mathrm{zul}},\mathcal{S}_{0}^{\mathrm{zul}},\mathcal{B}_{\mathrm{zul}},\boldsymbol{\theta}_0,\delta_0,\mathbf{S}_{\theta},R_U,\mathfrak{B}_{\mathrm{krit}}\right)\qquad\text{(3.7023)}</w:t>
      </w:r>
    </w:p>
    <w:p w:rsidR="00AD04D9" w:rsidRDefault="00AD04D9" w:rsidP="00AD04D9">
      <w:pPr>
        <w:pStyle w:val="StandardWeb"/>
      </w:pPr>
      <w:r>
        <w:t>Dabei bezeichnet (\mathfrak{B}_{\mathrm{krit}}) die Menge identifizierter kritischer Parametergrenzen und Bifurkationsbereiche.</w:t>
      </w:r>
    </w:p>
    <w:p w:rsidR="00AD04D9" w:rsidRDefault="00AD04D9" w:rsidP="00AD04D9">
      <w:pPr>
        <w:pStyle w:val="StandardWeb"/>
      </w:pPr>
      <w:r>
        <w:t>Das Manifest muss mindestens enthalten:</w:t>
      </w:r>
    </w:p>
    <w:p w:rsidR="00AD04D9" w:rsidRDefault="00AD04D9" w:rsidP="008C5E65">
      <w:pPr>
        <w:pStyle w:val="StandardWeb"/>
        <w:numPr>
          <w:ilvl w:val="0"/>
          <w:numId w:val="334"/>
        </w:numPr>
      </w:pPr>
      <w:r>
        <w:lastRenderedPageBreak/>
        <w:t>Referenzparameter,</w:t>
      </w:r>
    </w:p>
    <w:p w:rsidR="00AD04D9" w:rsidRDefault="00AD04D9" w:rsidP="008C5E65">
      <w:pPr>
        <w:pStyle w:val="StandardWeb"/>
        <w:numPr>
          <w:ilvl w:val="0"/>
          <w:numId w:val="334"/>
        </w:numPr>
      </w:pPr>
      <w:r>
        <w:t>zulässige Parameterbereiche,</w:t>
      </w:r>
    </w:p>
    <w:p w:rsidR="00AD04D9" w:rsidRDefault="00AD04D9" w:rsidP="008C5E65">
      <w:pPr>
        <w:pStyle w:val="StandardWeb"/>
        <w:numPr>
          <w:ilvl w:val="0"/>
          <w:numId w:val="334"/>
        </w:numPr>
      </w:pPr>
      <w:r>
        <w:t>Anfangszustände,</w:t>
      </w:r>
    </w:p>
    <w:p w:rsidR="00AD04D9" w:rsidRDefault="00AD04D9" w:rsidP="008C5E65">
      <w:pPr>
        <w:pStyle w:val="StandardWeb"/>
        <w:numPr>
          <w:ilvl w:val="0"/>
          <w:numId w:val="334"/>
        </w:numPr>
      </w:pPr>
      <w:r>
        <w:t>Randbedingungen,</w:t>
      </w:r>
    </w:p>
    <w:p w:rsidR="00AD04D9" w:rsidRDefault="00AD04D9" w:rsidP="008C5E65">
      <w:pPr>
        <w:pStyle w:val="StandardWeb"/>
        <w:numPr>
          <w:ilvl w:val="0"/>
          <w:numId w:val="334"/>
        </w:numPr>
      </w:pPr>
      <w:r>
        <w:t>Sensitivitätsmethoden,</w:t>
      </w:r>
    </w:p>
    <w:p w:rsidR="00AD04D9" w:rsidRDefault="00AD04D9" w:rsidP="008C5E65">
      <w:pPr>
        <w:pStyle w:val="StandardWeb"/>
        <w:numPr>
          <w:ilvl w:val="0"/>
          <w:numId w:val="334"/>
        </w:numPr>
      </w:pPr>
      <w:r>
        <w:t>Parameterinteraktionen,</w:t>
      </w:r>
    </w:p>
    <w:p w:rsidR="00AD04D9" w:rsidRDefault="00AD04D9" w:rsidP="008C5E65">
      <w:pPr>
        <w:pStyle w:val="StandardWeb"/>
        <w:numPr>
          <w:ilvl w:val="0"/>
          <w:numId w:val="334"/>
        </w:numPr>
      </w:pPr>
      <w:r>
        <w:t>identifizierte kritische Parametergrenzen,</w:t>
      </w:r>
    </w:p>
    <w:p w:rsidR="00AD04D9" w:rsidRDefault="00AD04D9" w:rsidP="008C5E65">
      <w:pPr>
        <w:pStyle w:val="StandardWeb"/>
        <w:numPr>
          <w:ilvl w:val="0"/>
          <w:numId w:val="334"/>
        </w:numPr>
      </w:pPr>
      <w:r>
        <w:t>Parameterunsicherheiten,</w:t>
      </w:r>
    </w:p>
    <w:p w:rsidR="00AD04D9" w:rsidRDefault="00AD04D9" w:rsidP="008C5E65">
      <w:pPr>
        <w:pStyle w:val="StandardWeb"/>
        <w:numPr>
          <w:ilvl w:val="0"/>
          <w:numId w:val="334"/>
        </w:numPr>
      </w:pPr>
      <w:r>
        <w:t>Robustheitsgrad,</w:t>
      </w:r>
    </w:p>
    <w:p w:rsidR="00AD04D9" w:rsidRDefault="00AD04D9" w:rsidP="008C5E65">
      <w:pPr>
        <w:pStyle w:val="StandardWeb"/>
        <w:numPr>
          <w:ilvl w:val="0"/>
          <w:numId w:val="334"/>
        </w:numPr>
      </w:pPr>
      <w:r>
        <w:t>resultierende Aussageklassen.</w:t>
      </w:r>
    </w:p>
    <w:p w:rsidR="00AD04D9" w:rsidRDefault="00E50336" w:rsidP="00AD04D9">
      <w:r>
        <w:pict>
          <v:rect id="_x0000_i1388" style="width:0;height:1.5pt" o:hralign="center" o:hrstd="t" o:hr="t" fillcolor="#a0a0a0" stroked="f"/>
        </w:pict>
      </w:r>
    </w:p>
    <w:p w:rsidR="00AD04D9" w:rsidRDefault="00AD04D9" w:rsidP="00AD04D9">
      <w:pPr>
        <w:pStyle w:val="berschrift2"/>
      </w:pPr>
      <w:r>
        <w:t>3.3.40.113 Repository-Dokumentation von Parametern</w:t>
      </w:r>
    </w:p>
    <w:p w:rsidR="00AD04D9" w:rsidRDefault="00AD04D9" w:rsidP="00AD04D9">
      <w:pPr>
        <w:pStyle w:val="StandardWeb"/>
      </w:pPr>
      <w:r>
        <w:t>Ein Parameter kann im Repository abstrakt dokumentiert werden als</w:t>
      </w:r>
    </w:p>
    <w:p w:rsidR="00AD04D9" w:rsidRDefault="00AD04D9" w:rsidP="00AD04D9">
      <w:pPr>
        <w:pStyle w:val="StandardWeb"/>
      </w:pPr>
      <w:r>
        <w:t>[</w:t>
      </w:r>
      <w:r>
        <w:br/>
        <w:t>\operatorname{ParameterDef}</w:t>
      </w:r>
      <w:r>
        <w:br/>
        <w:t>\left(</w:t>
      </w:r>
      <w:r>
        <w:br/>
        <w:t>\theta_i,</w:t>
      </w:r>
      <w:r>
        <w:br/>
        <w:t>\mathrm{Bedeutung},</w:t>
      </w:r>
      <w:r>
        <w:br/>
        <w:t>\mathrm{Einheit},</w:t>
      </w:r>
      <w:r>
        <w:br/>
        <w:t>I_{\theta_i}</w:t>
      </w:r>
      <w:r>
        <w:br/>
        <w:t>\right).</w:t>
      </w:r>
      <w:r>
        <w:br/>
        <w:t>\tag{3.7024}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\operatorname{ParameterDef}\left(\theta_i,\mathrm{Bedeutung},\mathrm{Einheit},I_{\theta_i}\right)\qquad\text{(3.7024)}</w:t>
      </w:r>
    </w:p>
    <w:p w:rsidR="00AD04D9" w:rsidRDefault="00AD04D9" w:rsidP="00AD04D9">
      <w:pPr>
        <w:pStyle w:val="StandardWeb"/>
      </w:pPr>
      <w:r>
        <w:t>Eine konkrete Parametrisierung lautet</w:t>
      </w:r>
    </w:p>
    <w:p w:rsidR="00AD04D9" w:rsidRDefault="00AD04D9" w:rsidP="00AD04D9">
      <w:pPr>
        <w:pStyle w:val="StandardWeb"/>
      </w:pPr>
      <w:r>
        <w:t>[</w:t>
      </w:r>
      <w:r>
        <w:br/>
        <w:t>\operatorname{ParameterSet}</w:t>
      </w:r>
      <w:r>
        <w:br/>
        <w:t>\left(</w:t>
      </w:r>
      <w:r>
        <w:br/>
        <w:t>\boldsymbol{\theta}^{(k)}</w:t>
      </w:r>
      <w:r>
        <w:br/>
        <w:t>\right).</w:t>
      </w:r>
      <w:r>
        <w:br/>
        <w:t>\tag{3.7025}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\operatorname{ParameterSet}\left(\boldsymbol{\theta}^{(k)}\right)\qquad\text{(3.7025)}</w:t>
      </w:r>
    </w:p>
    <w:p w:rsidR="00AD04D9" w:rsidRDefault="00AD04D9" w:rsidP="00AD04D9">
      <w:pPr>
        <w:pStyle w:val="StandardWeb"/>
      </w:pPr>
      <w:r>
        <w:t>Die resultierende Aussage wird verknüpft durch</w:t>
      </w:r>
    </w:p>
    <w:p w:rsidR="00AD04D9" w:rsidRDefault="00AD04D9" w:rsidP="00AD04D9">
      <w:pPr>
        <w:pStyle w:val="StandardWeb"/>
      </w:pPr>
      <w:r>
        <w:t>[</w:t>
      </w:r>
      <w:r>
        <w:br/>
        <w:t>\operatorname{Produces}</w:t>
      </w:r>
      <w:r>
        <w:br/>
      </w:r>
      <w:r>
        <w:lastRenderedPageBreak/>
        <w:t>\left(</w:t>
      </w:r>
      <w:r>
        <w:br/>
        <w:t>\boldsymbol{\theta}^{(k)},</w:t>
      </w:r>
      <w:r>
        <w:br/>
        <w:t>A_F^{(k)}</w:t>
      </w:r>
      <w:r>
        <w:br/>
        <w:t>\right).</w:t>
      </w:r>
      <w:r>
        <w:br/>
        <w:t>\tag{3.7026}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\operatorname{Produces}\left(\boldsymbol{\theta}^{(k)},A_F^{(k)}\right)\qquad\text{(3.7026)}</w:t>
      </w:r>
    </w:p>
    <w:p w:rsidR="00AD04D9" w:rsidRDefault="00E50336" w:rsidP="00AD04D9">
      <w:r>
        <w:pict>
          <v:rect id="_x0000_i1389" style="width:0;height:1.5pt" o:hralign="center" o:hrstd="t" o:hr="t" fillcolor="#a0a0a0" stroked="f"/>
        </w:pict>
      </w:r>
    </w:p>
    <w:p w:rsidR="00AD04D9" w:rsidRDefault="00AD04D9" w:rsidP="00AD04D9">
      <w:pPr>
        <w:pStyle w:val="berschrift2"/>
      </w:pPr>
      <w:r>
        <w:t>3.3.40.114 Repository-Dokumentation von Sensitivitäten</w:t>
      </w:r>
    </w:p>
    <w:p w:rsidR="00AD04D9" w:rsidRDefault="00AD04D9" w:rsidP="00AD04D9">
      <w:pPr>
        <w:pStyle w:val="StandardWeb"/>
      </w:pPr>
      <w:r>
        <w:t>Eine Parametersensitivität wird dokumentiert als</w:t>
      </w:r>
    </w:p>
    <w:p w:rsidR="00AD04D9" w:rsidRDefault="00AD04D9" w:rsidP="00AD04D9">
      <w:pPr>
        <w:pStyle w:val="StandardWeb"/>
      </w:pPr>
      <w:r>
        <w:t>[</w:t>
      </w:r>
      <w:r>
        <w:br/>
        <w:t>\operatorname{SensitivityResult}</w:t>
      </w:r>
      <w:r>
        <w:br/>
        <w:t>\left(</w:t>
      </w:r>
      <w:r>
        <w:br/>
        <w:t>\theta_i,</w:t>
      </w:r>
      <w:r>
        <w:br/>
        <w:t>A_F,</w:t>
      </w:r>
      <w:r>
        <w:br/>
        <w:t>S_i,</w:t>
      </w:r>
      <w:r>
        <w:br/>
        <w:t>G_i</w:t>
      </w:r>
      <w:r>
        <w:br/>
        <w:t>\right).</w:t>
      </w:r>
      <w:r>
        <w:br/>
        <w:t>\tag{3.7027}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\operatorname{SensitivityResult}\left(\theta_i,A_F,S_i,G_i\right)\qquad\text{(3.7027)}</w:t>
      </w:r>
    </w:p>
    <w:p w:rsidR="00AD04D9" w:rsidRDefault="00AD04D9" w:rsidP="00AD04D9">
      <w:pPr>
        <w:pStyle w:val="StandardWeb"/>
      </w:pPr>
      <w:r>
        <w:t>Ein kritischer Parameterpunkt lautet</w:t>
      </w:r>
    </w:p>
    <w:p w:rsidR="00AD04D9" w:rsidRDefault="00AD04D9" w:rsidP="00AD04D9">
      <w:pPr>
        <w:pStyle w:val="StandardWeb"/>
      </w:pPr>
      <w:r>
        <w:t>[</w:t>
      </w:r>
      <w:r>
        <w:br/>
        <w:t>\operatorname{CriticalParameter}</w:t>
      </w:r>
      <w:r>
        <w:br/>
        <w:t>\left(</w:t>
      </w:r>
      <w:r>
        <w:br/>
        <w:t>\theta_i,</w:t>
      </w:r>
      <w:r>
        <w:br/>
        <w:t>\theta_{\mathrm{krit}},</w:t>
      </w:r>
      <w:r>
        <w:br/>
        <w:t>\Delta A_F</w:t>
      </w:r>
      <w:r>
        <w:br/>
        <w:t>\right).</w:t>
      </w:r>
      <w:r>
        <w:br/>
        <w:t>\tag{3.7028}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\operatorname{CriticalParameter}\left(\theta_i,\theta_{\mathrm{krit}},\Delta A_F\right)\qquad\text{(3.7028)}</w:t>
      </w:r>
    </w:p>
    <w:p w:rsidR="00AD04D9" w:rsidRDefault="00AD04D9" w:rsidP="00AD04D9">
      <w:pPr>
        <w:pStyle w:val="StandardWeb"/>
      </w:pPr>
      <w:r>
        <w:t>Eine Bifurkation wird gespeichert als</w:t>
      </w:r>
    </w:p>
    <w:p w:rsidR="00AD04D9" w:rsidRDefault="00AD04D9" w:rsidP="00AD04D9">
      <w:pPr>
        <w:pStyle w:val="StandardWeb"/>
      </w:pPr>
      <w:r>
        <w:lastRenderedPageBreak/>
        <w:t>[</w:t>
      </w:r>
      <w:r>
        <w:br/>
        <w:t>\operatorname{BifurcationRecord}</w:t>
      </w:r>
      <w:r>
        <w:br/>
        <w:t>\left(</w:t>
      </w:r>
      <w:r>
        <w:br/>
        <w:t>\theta_{\mathrm{bif}},</w:t>
      </w:r>
      <w:r>
        <w:br/>
        <w:t>\mathcal{D}</w:t>
      </w:r>
      <w:r>
        <w:rPr>
          <w:rStyle w:val="Hervorhebung"/>
        </w:rPr>
        <w:t>{F}^{(-)},</w:t>
      </w:r>
      <w:r>
        <w:rPr>
          <w:i/>
          <w:iCs/>
        </w:rPr>
        <w:br/>
      </w:r>
      <w:r>
        <w:rPr>
          <w:rStyle w:val="Hervorhebung"/>
        </w:rPr>
        <w:t>\mathcal{D}</w:t>
      </w:r>
      <w:r>
        <w:t>{F}^{(+)}</w:t>
      </w:r>
      <w:r>
        <w:br/>
        <w:t>\right).</w:t>
      </w:r>
      <w:r>
        <w:br/>
        <w:t>\tag{3.7029}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\operatorname{BifurcationRecord}\left(\theta_{\mathrm{bif}},\mathcal{D}_{F}^{(-)},\mathcal{D}_{F}^{(+)}\right)\qquad\text{(3.7029)}</w:t>
      </w:r>
    </w:p>
    <w:p w:rsidR="00AD04D9" w:rsidRDefault="00E50336" w:rsidP="00AD04D9">
      <w:r>
        <w:pict>
          <v:rect id="_x0000_i1390" style="width:0;height:1.5pt" o:hralign="center" o:hrstd="t" o:hr="t" fillcolor="#a0a0a0" stroked="f"/>
        </w:pict>
      </w:r>
    </w:p>
    <w:p w:rsidR="00AD04D9" w:rsidRDefault="00AD04D9" w:rsidP="00AD04D9">
      <w:pPr>
        <w:pStyle w:val="berschrift2"/>
      </w:pPr>
      <w:r>
        <w:t>3.3.40.115 Parameterrobustheitsresultat</w:t>
      </w:r>
    </w:p>
    <w:p w:rsidR="00AD04D9" w:rsidRDefault="00AD04D9" w:rsidP="00AD04D9">
      <w:pPr>
        <w:pStyle w:val="StandardWeb"/>
      </w:pPr>
      <w:r>
        <w:t>Das Gesamtergebnis kann dokumentiert werden als</w:t>
      </w:r>
    </w:p>
    <w:p w:rsidR="00AD04D9" w:rsidRDefault="00AD04D9" w:rsidP="00AD04D9">
      <w:pPr>
        <w:pStyle w:val="StandardWeb"/>
      </w:pPr>
      <w:r>
        <w:t>[</w:t>
      </w:r>
      <w:r>
        <w:br/>
        <w:t>\operatorname{ParameterRobustnessResult}</w:t>
      </w:r>
      <w:r>
        <w:br/>
        <w:t>\left(</w:t>
      </w:r>
      <w:r>
        <w:br/>
        <w:t>A_F,</w:t>
      </w:r>
      <w:r>
        <w:br/>
        <w:t>R_U,</w:t>
      </w:r>
      <w:r>
        <w:br/>
        <w:t>\operatorname{Klasse}</w:t>
      </w:r>
      <w:r>
        <w:rPr>
          <w:rStyle w:val="Hervorhebung"/>
        </w:rPr>
        <w:t>{\theta},</w:t>
      </w:r>
      <w:r>
        <w:rPr>
          <w:i/>
          <w:iCs/>
        </w:rPr>
        <w:br/>
      </w:r>
      <w:r>
        <w:rPr>
          <w:rStyle w:val="Hervorhebung"/>
        </w:rPr>
        <w:t>u</w:t>
      </w:r>
      <w:r>
        <w:t>{\theta}</w:t>
      </w:r>
      <w:r>
        <w:br/>
        <w:t>\right).</w:t>
      </w:r>
      <w:r>
        <w:br/>
        <w:t>\tag{3.7030}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\operatorname{ParameterRobustnessResult}\left(A_F,R_U,\operatorname{Klasse}_{\theta},u_{\theta}\right)\qquad\text{(3.7030)}</w:t>
      </w:r>
    </w:p>
    <w:p w:rsidR="00AD04D9" w:rsidRDefault="00AD04D9" w:rsidP="00AD04D9">
      <w:pPr>
        <w:pStyle w:val="StandardWeb"/>
      </w:pPr>
      <w:r>
        <w:t>Damit wird eine Aussage direkt mit ihrer Parameterrobustheit und Parameterunsicherheit verknüpft.</w:t>
      </w:r>
    </w:p>
    <w:p w:rsidR="00AD04D9" w:rsidRDefault="00E50336" w:rsidP="00AD04D9">
      <w:r>
        <w:pict>
          <v:rect id="_x0000_i1391" style="width:0;height:1.5pt" o:hralign="center" o:hrstd="t" o:hr="t" fillcolor="#a0a0a0" stroked="f"/>
        </w:pict>
      </w:r>
    </w:p>
    <w:p w:rsidR="00AD04D9" w:rsidRDefault="00AD04D9" w:rsidP="00AD04D9">
      <w:pPr>
        <w:pStyle w:val="berschrift2"/>
      </w:pPr>
      <w:r>
        <w:t>3.3.40.116 Satz zur lokalen Aussageinvarianz unter beschränkter Sensitivität</w:t>
      </w:r>
    </w:p>
    <w:p w:rsidR="00AD04D9" w:rsidRDefault="00AD04D9" w:rsidP="00AD04D9">
      <w:pPr>
        <w:pStyle w:val="StandardWeb"/>
      </w:pPr>
      <w:r>
        <w:rPr>
          <w:rStyle w:val="Fett"/>
        </w:rPr>
        <w:t>Satz 3.3.23 – Beschränkte lokale Sensitivität ermöglicht eine lokale Robustheitsgarantie</w:t>
      </w:r>
    </w:p>
    <w:p w:rsidR="00AD04D9" w:rsidRDefault="00AD04D9" w:rsidP="00AD04D9">
      <w:pPr>
        <w:pStyle w:val="StandardWeb"/>
      </w:pPr>
      <w:r>
        <w:t>Sei (Y_F(\boldsymbol{\theta})) lokal differenzierbar und es gelte in einer Umgebung (B_{\varepsilon}(\boldsymbol{\theta}_0))</w:t>
      </w:r>
    </w:p>
    <w:p w:rsidR="00AD04D9" w:rsidRDefault="00AD04D9" w:rsidP="00AD04D9">
      <w:pPr>
        <w:pStyle w:val="StandardWeb"/>
      </w:pPr>
      <w:r>
        <w:t>[</w:t>
      </w:r>
      <w:r>
        <w:br/>
        <w:t>\left|</w:t>
      </w:r>
      <w:r>
        <w:br/>
      </w:r>
      <w:r>
        <w:lastRenderedPageBreak/>
        <w:t>\nabla_{\theta}</w:t>
      </w:r>
      <w:r>
        <w:br/>
        <w:t>Y_F</w:t>
      </w:r>
      <w:r>
        <w:br/>
        <w:t>\right|</w:t>
      </w:r>
      <w:r>
        <w:br/>
        <w:t>\leq</w:t>
      </w:r>
      <w:r>
        <w:br/>
        <w:t>L.</w:t>
      </w:r>
      <w:r>
        <w:br/>
        <w:t>\tag{3.7031}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\left\|\nabla_{\theta}Y_F\right\|\leq L\qquad\text{(3.7031)}</w:t>
      </w:r>
    </w:p>
    <w:p w:rsidR="00AD04D9" w:rsidRDefault="00AD04D9" w:rsidP="00AD04D9">
      <w:pPr>
        <w:pStyle w:val="StandardWeb"/>
      </w:pPr>
      <w:r>
        <w:t>Dann gilt für hinreichend nahe Parametervektoren</w:t>
      </w:r>
    </w:p>
    <w:p w:rsidR="00AD04D9" w:rsidRDefault="00AD04D9" w:rsidP="00AD04D9">
      <w:pPr>
        <w:pStyle w:val="berschrift2"/>
      </w:pPr>
      <w:r>
        <w:t>[</w:t>
      </w:r>
      <w:r>
        <w:br/>
        <w:t>\left|</w:t>
      </w:r>
      <w:r>
        <w:br/>
        <w:t>Y_F(\boldsymbol{\theta})</w:t>
      </w:r>
    </w:p>
    <w:p w:rsidR="00AD04D9" w:rsidRDefault="00AD04D9" w:rsidP="00AD04D9">
      <w:pPr>
        <w:pStyle w:val="berschrift2"/>
      </w:pPr>
      <w:r>
        <w:t>Y_F(\boldsymbol{\theta}_0)</w:t>
      </w:r>
      <w:r>
        <w:br/>
        <w:t>\right|</w:t>
      </w:r>
      <w:r>
        <w:br/>
        <w:t>\leq</w:t>
      </w:r>
      <w:r>
        <w:br/>
        <w:t>L</w:t>
      </w:r>
      <w:r>
        <w:br/>
        <w:t>\left|</w:t>
      </w:r>
      <w:r>
        <w:br/>
        <w:t>\boldsymbol{\theta}</w:t>
      </w:r>
    </w:p>
    <w:p w:rsidR="00AD04D9" w:rsidRDefault="00AD04D9" w:rsidP="00AD04D9">
      <w:pPr>
        <w:pStyle w:val="StandardWeb"/>
      </w:pPr>
      <w:r>
        <w:t>\boldsymbol{\theta}_0</w:t>
      </w:r>
      <w:r>
        <w:br/>
        <w:t>\right|.</w:t>
      </w:r>
      <w:r>
        <w:br/>
        <w:t>\tag{3.7032}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\left|Y_F(\boldsymbol{\theta})-Y_F(\boldsymbol{\theta}_0)\right|\leq L\left\|\boldsymbol{\theta}-\boldsymbol{\theta}_0\right\|\qquad\text{(3.7032)}</w:t>
      </w:r>
    </w:p>
    <w:p w:rsidR="00AD04D9" w:rsidRDefault="00AD04D9" w:rsidP="00AD04D9">
      <w:pPr>
        <w:pStyle w:val="StandardWeb"/>
      </w:pPr>
      <w:r>
        <w:t>Besitzt die Aussageklasse um (Y_F(\boldsymbol{\theta}_0)) einen Sicherheitsabstand (m_A&gt;0) zur nächsten Klassengrenze,</w:t>
      </w:r>
    </w:p>
    <w:p w:rsidR="00AD04D9" w:rsidRDefault="00AD04D9" w:rsidP="00AD04D9">
      <w:pPr>
        <w:pStyle w:val="StandardWeb"/>
      </w:pPr>
      <w:r>
        <w:t>[</w:t>
      </w:r>
      <w:r>
        <w:br/>
        <w:t>m_A</w:t>
      </w:r>
    </w:p>
    <w:p w:rsidR="00AD04D9" w:rsidRDefault="00AD04D9" w:rsidP="00AD04D9">
      <w:pPr>
        <w:pStyle w:val="StandardWeb"/>
      </w:pPr>
      <w:r>
        <w:t>0,</w:t>
      </w:r>
      <w:r>
        <w:br/>
        <w:t>\tag{3.7033}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m_A&gt;0\qquad\text{(3.7033)}</w:t>
      </w:r>
    </w:p>
    <w:p w:rsidR="00AD04D9" w:rsidRDefault="00AD04D9" w:rsidP="00AD04D9">
      <w:pPr>
        <w:pStyle w:val="StandardWeb"/>
      </w:pPr>
      <w:r>
        <w:t>und gilt</w:t>
      </w:r>
    </w:p>
    <w:p w:rsidR="00AD04D9" w:rsidRDefault="00AD04D9" w:rsidP="00AD04D9">
      <w:pPr>
        <w:pStyle w:val="berschrift2"/>
      </w:pPr>
      <w:r>
        <w:t>[</w:t>
      </w:r>
      <w:r>
        <w:br/>
        <w:t>L</w:t>
      </w:r>
      <w:r>
        <w:br/>
        <w:t>\left|</w:t>
      </w:r>
      <w:r>
        <w:br/>
        <w:t>\boldsymbol{\theta}</w:t>
      </w:r>
    </w:p>
    <w:p w:rsidR="00AD04D9" w:rsidRDefault="00AD04D9" w:rsidP="00AD04D9">
      <w:pPr>
        <w:pStyle w:val="StandardWeb"/>
      </w:pPr>
      <w:r>
        <w:t>\boldsymbol{\theta}_0</w:t>
      </w:r>
      <w:r>
        <w:br/>
        <w:t>\right|</w:t>
      </w:r>
      <w:r>
        <w:br/>
        <w:t>&lt;</w:t>
      </w:r>
      <w:r>
        <w:br/>
        <w:t>m_A,</w:t>
      </w:r>
      <w:r>
        <w:br/>
        <w:t>\tag{3.7034}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L\left\|\boldsymbol{\theta}-\boldsymbol{\theta}_0\right\|&lt;m_A\qquad\text{(3.7034)}</w:t>
      </w:r>
    </w:p>
    <w:p w:rsidR="00AD04D9" w:rsidRDefault="00AD04D9" w:rsidP="00AD04D9">
      <w:pPr>
        <w:pStyle w:val="StandardWeb"/>
      </w:pPr>
      <w:r>
        <w:t>dann bleibt die Aussageklasse lokal erhalten:</w:t>
      </w:r>
    </w:p>
    <w:p w:rsidR="00AD04D9" w:rsidRDefault="00AD04D9" w:rsidP="00AD04D9">
      <w:pPr>
        <w:pStyle w:val="StandardWeb"/>
      </w:pPr>
      <w:r>
        <w:t>[</w:t>
      </w:r>
      <w:r>
        <w:br/>
        <w:t>A_F(\boldsymbol{\theta})</w:t>
      </w:r>
      <w:r>
        <w:br/>
        <w:t>\sim_A</w:t>
      </w:r>
      <w:r>
        <w:br/>
        <w:t>A_F(\boldsymbol{\theta}_0).</w:t>
      </w:r>
      <w:r>
        <w:br/>
        <w:t>\tag{3.7035}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A_F(\boldsymbol{\theta})\sim_A A_F(\boldsymbol{\theta}_0)\qquad\text{(3.7035)}</w:t>
      </w:r>
    </w:p>
    <w:p w:rsidR="00AD04D9" w:rsidRDefault="00AD04D9" w:rsidP="00AD04D9">
      <w:pPr>
        <w:pStyle w:val="berschrift3"/>
      </w:pPr>
      <w:r>
        <w:t>Beweis</w:t>
      </w:r>
    </w:p>
    <w:p w:rsidR="00AD04D9" w:rsidRDefault="00AD04D9" w:rsidP="00AD04D9">
      <w:pPr>
        <w:pStyle w:val="StandardWeb"/>
      </w:pPr>
      <w:r>
        <w:t>Aus der Beschränktheit des Gradienten folgt lokal eine Lipschitz-artige Schranke:</w:t>
      </w:r>
    </w:p>
    <w:p w:rsidR="00AD04D9" w:rsidRDefault="00AD04D9" w:rsidP="00AD04D9">
      <w:pPr>
        <w:pStyle w:val="berschrift2"/>
      </w:pPr>
      <w:r>
        <w:t>[</w:t>
      </w:r>
      <w:r>
        <w:br/>
        <w:t>\left|</w:t>
      </w:r>
      <w:r>
        <w:br/>
        <w:t>Y_F(\boldsymbol{\theta})</w:t>
      </w:r>
    </w:p>
    <w:p w:rsidR="00AD04D9" w:rsidRDefault="00AD04D9" w:rsidP="00AD04D9">
      <w:pPr>
        <w:pStyle w:val="berschrift2"/>
      </w:pPr>
      <w:r>
        <w:t>Y_F(\boldsymbol{\theta}_0)</w:t>
      </w:r>
      <w:r>
        <w:br/>
        <w:t>\right|</w:t>
      </w:r>
      <w:r>
        <w:br/>
        <w:t>\leq</w:t>
      </w:r>
      <w:r>
        <w:br/>
      </w:r>
      <w:r>
        <w:lastRenderedPageBreak/>
        <w:t>L</w:t>
      </w:r>
      <w:r>
        <w:br/>
        <w:t>\left|</w:t>
      </w:r>
      <w:r>
        <w:br/>
        <w:t>\boldsymbol{\theta}</w:t>
      </w:r>
    </w:p>
    <w:p w:rsidR="00AD04D9" w:rsidRDefault="00AD04D9" w:rsidP="00AD04D9">
      <w:pPr>
        <w:pStyle w:val="StandardWeb"/>
      </w:pPr>
      <w:r>
        <w:t>\boldsymbol{\theta}_0</w:t>
      </w:r>
      <w:r>
        <w:br/>
        <w:t>\right|.</w:t>
      </w:r>
      <w:r>
        <w:br/>
        <w:t>\tag{3.7036}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\left|Y_F(\boldsymbol{\theta})-Y_F(\boldsymbol{\theta}_0)\right|\leq L\left\|\boldsymbol{\theta}-\boldsymbol{\theta}_0\right\|\qquad\text{(3.7036)}</w:t>
      </w:r>
    </w:p>
    <w:p w:rsidR="00AD04D9" w:rsidRDefault="00AD04D9" w:rsidP="00AD04D9">
      <w:pPr>
        <w:pStyle w:val="StandardWeb"/>
      </w:pPr>
      <w:r>
        <w:t>Nach Voraussetzung gilt</w:t>
      </w:r>
    </w:p>
    <w:p w:rsidR="00AD04D9" w:rsidRDefault="00AD04D9" w:rsidP="00AD04D9">
      <w:pPr>
        <w:pStyle w:val="berschrift2"/>
      </w:pPr>
      <w:r>
        <w:t>[</w:t>
      </w:r>
      <w:r>
        <w:br/>
        <w:t>L</w:t>
      </w:r>
      <w:r>
        <w:br/>
        <w:t>\left|</w:t>
      </w:r>
      <w:r>
        <w:br/>
        <w:t>\boldsymbol{\theta}</w:t>
      </w:r>
    </w:p>
    <w:p w:rsidR="00AD04D9" w:rsidRDefault="00AD04D9" w:rsidP="00AD04D9">
      <w:pPr>
        <w:pStyle w:val="StandardWeb"/>
      </w:pPr>
      <w:r>
        <w:t>\boldsymbol{\theta}_0</w:t>
      </w:r>
      <w:r>
        <w:br/>
        <w:t>\right|</w:t>
      </w:r>
      <w:r>
        <w:br/>
        <w:t>&lt;</w:t>
      </w:r>
      <w:r>
        <w:br/>
        <w:t>m_A.</w:t>
      </w:r>
      <w:r>
        <w:br/>
        <w:t>\tag{3.7037}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L\left\|\boldsymbol{\theta}-\boldsymbol{\theta}_0\right\|&lt;m_A\qquad\text{(3.7037)}</w:t>
      </w:r>
    </w:p>
    <w:p w:rsidR="00AD04D9" w:rsidRDefault="00AD04D9" w:rsidP="00AD04D9">
      <w:pPr>
        <w:pStyle w:val="StandardWeb"/>
      </w:pPr>
      <w:r>
        <w:t>Damit ist die maximale mögliche Ergebnisänderung kleiner als der Abstand zur nächsten Aussageklassengrenze.</w:t>
      </w:r>
    </w:p>
    <w:p w:rsidR="00AD04D9" w:rsidRDefault="00AD04D9" w:rsidP="00AD04D9">
      <w:pPr>
        <w:pStyle w:val="StandardWeb"/>
      </w:pPr>
      <w:r>
        <w:t>Folglich kann die Grenze nicht überschritten werden.</w:t>
      </w:r>
    </w:p>
    <w:p w:rsidR="00AD04D9" w:rsidRDefault="00AD04D9" w:rsidP="00AD04D9">
      <w:pPr>
        <w:pStyle w:val="StandardWeb"/>
      </w:pPr>
      <w:r>
        <w:t>Daher gilt</w:t>
      </w:r>
    </w:p>
    <w:p w:rsidR="00AD04D9" w:rsidRDefault="00AD04D9" w:rsidP="00AD04D9">
      <w:pPr>
        <w:pStyle w:val="berschrift1"/>
      </w:pPr>
      <w:r>
        <w:t>[</w:t>
      </w:r>
      <w:r>
        <w:br/>
        <w:t>\operatorname{Klasse}_{A}</w:t>
      </w:r>
      <w:r>
        <w:br/>
        <w:t>\left(</w:t>
      </w:r>
      <w:r>
        <w:br/>
      </w:r>
      <w:r>
        <w:lastRenderedPageBreak/>
        <w:t>A_F(\boldsymbol{\theta})</w:t>
      </w:r>
      <w:r>
        <w:br/>
        <w:t>\right)</w:t>
      </w:r>
    </w:p>
    <w:p w:rsidR="00AD04D9" w:rsidRDefault="00AD04D9" w:rsidP="00AD04D9">
      <w:pPr>
        <w:pStyle w:val="StandardWeb"/>
      </w:pPr>
      <w:r>
        <w:t>\operatorname{Klasse}_{A}</w:t>
      </w:r>
      <w:r>
        <w:br/>
        <w:t>\left(</w:t>
      </w:r>
      <w:r>
        <w:br/>
        <w:t>A_F(\boldsymbol{\theta}_0)</w:t>
      </w:r>
      <w:r>
        <w:br/>
        <w:t>\right).</w:t>
      </w:r>
      <w:r>
        <w:br/>
        <w:t>\tag{3.7038}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\operatorname{Klasse}_{A}\left(A_F(\boldsymbol{\theta})\right)=\operatorname{Klasse}_{A}\left(A_F(\boldsymbol{\theta}_0)\right)\qquad\text{(3.7038)}</w:t>
      </w:r>
    </w:p>
    <w:p w:rsidR="00AD04D9" w:rsidRDefault="00AD04D9" w:rsidP="00AD04D9">
      <w:pPr>
        <w:pStyle w:val="StandardWeb"/>
      </w:pPr>
      <w:r>
        <w:t>Damit ist die lokale Aussageinvarianz gezeigt. (\square)</w:t>
      </w:r>
    </w:p>
    <w:p w:rsidR="00AD04D9" w:rsidRDefault="00E50336" w:rsidP="00AD04D9">
      <w:r>
        <w:pict>
          <v:rect id="_x0000_i1392" style="width:0;height:1.5pt" o:hralign="center" o:hrstd="t" o:hr="t" fillcolor="#a0a0a0" stroked="f"/>
        </w:pict>
      </w:r>
    </w:p>
    <w:p w:rsidR="00AD04D9" w:rsidRDefault="00AD04D9" w:rsidP="00AD04D9">
      <w:pPr>
        <w:pStyle w:val="berschrift2"/>
      </w:pPr>
      <w:r>
        <w:t>3.3.40.117 Reichweite von Satz 3.3.23</w:t>
      </w:r>
    </w:p>
    <w:p w:rsidR="00AD04D9" w:rsidRDefault="00AD04D9" w:rsidP="00AD04D9">
      <w:pPr>
        <w:pStyle w:val="StandardWeb"/>
      </w:pPr>
      <w:r>
        <w:t xml:space="preserve">Satz 3.3.23 liefert ausschließlich eine </w:t>
      </w:r>
      <w:r>
        <w:rPr>
          <w:rStyle w:val="Fett"/>
        </w:rPr>
        <w:t>lokale</w:t>
      </w:r>
      <w:r>
        <w:t xml:space="preserve"> Robustheitsaussage.</w:t>
      </w:r>
    </w:p>
    <w:p w:rsidR="00AD04D9" w:rsidRDefault="00AD04D9" w:rsidP="00AD04D9">
      <w:pPr>
        <w:pStyle w:val="StandardWeb"/>
      </w:pPr>
      <w:r>
        <w:t>Er setzt voraus, dass</w:t>
      </w:r>
    </w:p>
    <w:p w:rsidR="00AD04D9" w:rsidRDefault="00AD04D9" w:rsidP="008C5E65">
      <w:pPr>
        <w:pStyle w:val="StandardWeb"/>
        <w:numPr>
          <w:ilvl w:val="0"/>
          <w:numId w:val="335"/>
        </w:numPr>
      </w:pPr>
      <w:r>
        <w:t>(Y_F) lokal hinreichend regulär ist,</w:t>
      </w:r>
    </w:p>
    <w:p w:rsidR="00AD04D9" w:rsidRDefault="00AD04D9" w:rsidP="008C5E65">
      <w:pPr>
        <w:pStyle w:val="StandardWeb"/>
        <w:numPr>
          <w:ilvl w:val="0"/>
          <w:numId w:val="335"/>
        </w:numPr>
      </w:pPr>
      <w:r>
        <w:t>der Gradient beschränkt ist,</w:t>
      </w:r>
    </w:p>
    <w:p w:rsidR="00AD04D9" w:rsidRDefault="00AD04D9" w:rsidP="008C5E65">
      <w:pPr>
        <w:pStyle w:val="StandardWeb"/>
        <w:numPr>
          <w:ilvl w:val="0"/>
          <w:numId w:val="335"/>
        </w:numPr>
      </w:pPr>
      <w:r>
        <w:t>ein positiver Abstand zur nächsten Aussageklassengrenze existiert.</w:t>
      </w:r>
    </w:p>
    <w:p w:rsidR="00AD04D9" w:rsidRDefault="00AD04D9" w:rsidP="00AD04D9">
      <w:pPr>
        <w:pStyle w:val="StandardWeb"/>
      </w:pPr>
      <w:r>
        <w:t>Nahe einer Bifurkation oder Diskontinuität kann diese Voraussetzung verletzt sein.</w:t>
      </w:r>
    </w:p>
    <w:p w:rsidR="00AD04D9" w:rsidRDefault="00AD04D9" w:rsidP="00AD04D9">
      <w:pPr>
        <w:pStyle w:val="StandardWeb"/>
      </w:pPr>
      <w:r>
        <w:t>Insbesondere kann</w:t>
      </w:r>
    </w:p>
    <w:p w:rsidR="00AD04D9" w:rsidRDefault="00AD04D9" w:rsidP="00AD04D9">
      <w:pPr>
        <w:pStyle w:val="StandardWeb"/>
      </w:pPr>
      <w:r>
        <w:t>[</w:t>
      </w:r>
      <w:r>
        <w:br/>
        <w:t>L</w:t>
      </w:r>
      <w:r>
        <w:br/>
        <w:t>\rightarrow</w:t>
      </w:r>
      <w:r>
        <w:br/>
        <w:t>\infty</w:t>
      </w:r>
      <w:r>
        <w:br/>
        <w:t>\tag{3.7039}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L\rightarrow\infty\qquad\text{(3.7039)}</w:t>
      </w:r>
    </w:p>
    <w:p w:rsidR="00AD04D9" w:rsidRDefault="00AD04D9" w:rsidP="00AD04D9">
      <w:pPr>
        <w:pStyle w:val="StandardWeb"/>
      </w:pPr>
      <w:r>
        <w:t>oder der Sicherheitsabstand kann gegen null gehen:</w:t>
      </w:r>
    </w:p>
    <w:p w:rsidR="00AD04D9" w:rsidRDefault="00AD04D9" w:rsidP="00AD04D9">
      <w:pPr>
        <w:pStyle w:val="StandardWeb"/>
      </w:pPr>
      <w:r>
        <w:t>[</w:t>
      </w:r>
      <w:r>
        <w:br/>
        <w:t>m_A</w:t>
      </w:r>
      <w:r>
        <w:br/>
        <w:t>\rightarrow</w:t>
      </w:r>
      <w:r>
        <w:br/>
        <w:t>0.</w:t>
      </w:r>
      <w:r>
        <w:br/>
      </w:r>
      <w:r>
        <w:lastRenderedPageBreak/>
        <w:t>\tag{3.7040}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m_A\rightarrow0\qquad\text{(3.7040)}</w:t>
      </w:r>
    </w:p>
    <w:p w:rsidR="00AD04D9" w:rsidRDefault="00AD04D9" w:rsidP="00AD04D9">
      <w:pPr>
        <w:pStyle w:val="StandardWeb"/>
      </w:pPr>
      <w:r>
        <w:t>Dann verschwindet die lokale Robustheitsgarantie.</w:t>
      </w:r>
    </w:p>
    <w:p w:rsidR="00AD04D9" w:rsidRDefault="00E50336" w:rsidP="00AD04D9">
      <w:r>
        <w:pict>
          <v:rect id="_x0000_i1393" style="width:0;height:1.5pt" o:hralign="center" o:hrstd="t" o:hr="t" fillcolor="#a0a0a0" stroked="f"/>
        </w:pict>
      </w:r>
    </w:p>
    <w:p w:rsidR="00AD04D9" w:rsidRDefault="00AD04D9" w:rsidP="00AD04D9">
      <w:pPr>
        <w:pStyle w:val="berschrift2"/>
      </w:pPr>
      <w:r>
        <w:t>3.3.40.118 Korollar zur kritischen Nähe</w:t>
      </w:r>
    </w:p>
    <w:p w:rsidR="00AD04D9" w:rsidRDefault="00AD04D9" w:rsidP="00AD04D9">
      <w:pPr>
        <w:pStyle w:val="StandardWeb"/>
      </w:pPr>
      <w:r>
        <w:rPr>
          <w:rStyle w:val="Fett"/>
        </w:rPr>
        <w:t>Korollar 3.3.2 – Nähe zu einer Aussageklassengrenze reduziert den garantierbaren Parameterrobustheitsradius</w:t>
      </w:r>
    </w:p>
    <w:p w:rsidR="00AD04D9" w:rsidRDefault="00AD04D9" w:rsidP="00AD04D9">
      <w:pPr>
        <w:pStyle w:val="StandardWeb"/>
      </w:pPr>
      <w:r>
        <w:t>Aus Satz 3.3.23 folgt ein maximaler lokaler Radius</w:t>
      </w:r>
    </w:p>
    <w:p w:rsidR="00AD04D9" w:rsidRDefault="00AD04D9" w:rsidP="00AD04D9">
      <w:pPr>
        <w:pStyle w:val="StandardWeb"/>
      </w:pPr>
      <w:r>
        <w:t>[</w:t>
      </w:r>
      <w:r>
        <w:br/>
        <w:t>r_{\max}</w:t>
      </w:r>
      <w:r>
        <w:br/>
        <w:t>&lt;</w:t>
      </w:r>
      <w:r>
        <w:br/>
        <w:t>\frac{m_A}{L}.</w:t>
      </w:r>
      <w:r>
        <w:br/>
        <w:t>\tag{3.7041}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r_{\max}&lt;\frac{m_A}{L}\qquad\text{(3.7041)}</w:t>
      </w:r>
    </w:p>
    <w:p w:rsidR="00AD04D9" w:rsidRDefault="00AD04D9" w:rsidP="00AD04D9">
      <w:pPr>
        <w:pStyle w:val="StandardWeb"/>
      </w:pPr>
      <w:r>
        <w:t>Je kleiner (m_A) oder je größer (L), desto kleiner ist der Bereich garantierter Aussageinvarianz.</w:t>
      </w:r>
    </w:p>
    <w:p w:rsidR="00AD04D9" w:rsidRDefault="00AD04D9" w:rsidP="00AD04D9">
      <w:pPr>
        <w:pStyle w:val="StandardWeb"/>
      </w:pPr>
      <w:r>
        <w:t>Damit besitzen Aussagen nahe kritischen Grenzen grundsätzlich geringere lokale Robustheitsreserven.</w:t>
      </w:r>
    </w:p>
    <w:p w:rsidR="00AD04D9" w:rsidRDefault="00E50336" w:rsidP="00AD04D9">
      <w:r>
        <w:pict>
          <v:rect id="_x0000_i1394" style="width:0;height:1.5pt" o:hralign="center" o:hrstd="t" o:hr="t" fillcolor="#a0a0a0" stroked="f"/>
        </w:pict>
      </w:r>
    </w:p>
    <w:p w:rsidR="00AD04D9" w:rsidRDefault="00AD04D9" w:rsidP="00AD04D9">
      <w:pPr>
        <w:pStyle w:val="berschrift2"/>
      </w:pPr>
      <w:r>
        <w:t>3.3.40.119 Robustheitsreserve</w:t>
      </w:r>
    </w:p>
    <w:p w:rsidR="00AD04D9" w:rsidRDefault="00AD04D9" w:rsidP="00AD04D9">
      <w:pPr>
        <w:pStyle w:val="StandardWeb"/>
      </w:pPr>
      <w:r>
        <w:t>Ich definiere die lokale Robustheitsreserve als</w:t>
      </w:r>
    </w:p>
    <w:p w:rsidR="00AD04D9" w:rsidRDefault="00AD04D9" w:rsidP="00AD04D9">
      <w:pPr>
        <w:pStyle w:val="berschrift1"/>
      </w:pPr>
      <w:r>
        <w:t>[</w:t>
      </w:r>
      <w:r>
        <w:br/>
        <w:t>\rho_A</w:t>
      </w:r>
    </w:p>
    <w:p w:rsidR="00AD04D9" w:rsidRDefault="00AD04D9" w:rsidP="00AD04D9">
      <w:pPr>
        <w:pStyle w:val="StandardWeb"/>
      </w:pPr>
      <w:r>
        <w:t>\frac{m_A}{L}.</w:t>
      </w:r>
      <w:r>
        <w:br/>
        <w:t>\tag{3.7042}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lastRenderedPageBreak/>
        <w:t>\rho_A=\frac{m_A}{L}\qquad\text{(3.7042)}</w:t>
      </w:r>
    </w:p>
    <w:p w:rsidR="00AD04D9" w:rsidRDefault="00AD04D9" w:rsidP="00AD04D9">
      <w:pPr>
        <w:pStyle w:val="StandardWeb"/>
      </w:pPr>
      <w:r>
        <w:t>Ein großer Wert bedeutet, dass entweder der Abstand zur Klassengrenze groß oder die lokale Sensitivität gering ist.</w:t>
      </w:r>
    </w:p>
    <w:p w:rsidR="00AD04D9" w:rsidRDefault="00AD04D9" w:rsidP="00AD04D9">
      <w:pPr>
        <w:pStyle w:val="StandardWeb"/>
      </w:pPr>
      <w:r>
        <w:t>Ein kleiner Wert weist auf eine fragile Aussage hin.</w:t>
      </w:r>
    </w:p>
    <w:p w:rsidR="00AD04D9" w:rsidRDefault="00E50336" w:rsidP="00AD04D9">
      <w:r>
        <w:pict>
          <v:rect id="_x0000_i1395" style="width:0;height:1.5pt" o:hralign="center" o:hrstd="t" o:hr="t" fillcolor="#a0a0a0" stroked="f"/>
        </w:pict>
      </w:r>
    </w:p>
    <w:p w:rsidR="00AD04D9" w:rsidRDefault="00AD04D9" w:rsidP="00AD04D9">
      <w:pPr>
        <w:pStyle w:val="berschrift2"/>
      </w:pPr>
      <w:r>
        <w:t>3.3.40.120 Robustheitsreserve und Parameterunsicherheit</w:t>
      </w:r>
    </w:p>
    <w:p w:rsidR="00AD04D9" w:rsidRDefault="00AD04D9" w:rsidP="00AD04D9">
      <w:pPr>
        <w:pStyle w:val="StandardWeb"/>
      </w:pPr>
      <w:r>
        <w:t>Sei</w:t>
      </w:r>
    </w:p>
    <w:p w:rsidR="00AD04D9" w:rsidRDefault="00AD04D9" w:rsidP="00AD04D9">
      <w:pPr>
        <w:pStyle w:val="StandardWeb"/>
      </w:pPr>
      <w:r>
        <w:t>[</w:t>
      </w:r>
      <w:r>
        <w:br/>
        <w:t>u_{\theta}^{\mathrm{eff}}</w:t>
      </w:r>
      <w:r>
        <w:br/>
        <w:t>\tag{3.7043}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u_{\theta}^{\mathrm{eff}}\qquad\text{(3.7043)}</w:t>
      </w:r>
    </w:p>
    <w:p w:rsidR="00AD04D9" w:rsidRDefault="00AD04D9" w:rsidP="00AD04D9">
      <w:pPr>
        <w:pStyle w:val="StandardWeb"/>
      </w:pPr>
      <w:r>
        <w:t>eine effektive Parameterunsicherheit im betrachteten Normmaß.</w:t>
      </w:r>
    </w:p>
    <w:p w:rsidR="00AD04D9" w:rsidRDefault="00AD04D9" w:rsidP="00AD04D9">
      <w:pPr>
        <w:pStyle w:val="StandardWeb"/>
      </w:pPr>
      <w:r>
        <w:t>Eine lokale Aussage kann als sicher robust behandelt werden, wenn</w:t>
      </w:r>
    </w:p>
    <w:p w:rsidR="00AD04D9" w:rsidRDefault="00AD04D9" w:rsidP="00AD04D9">
      <w:pPr>
        <w:pStyle w:val="StandardWeb"/>
      </w:pPr>
      <w:r>
        <w:t>[</w:t>
      </w:r>
      <w:r>
        <w:br/>
        <w:t>u_{\theta}^{\mathrm{eff}}</w:t>
      </w:r>
      <w:r>
        <w:br/>
        <w:t>&lt;</w:t>
      </w:r>
      <w:r>
        <w:br/>
        <w:t>\rho_A.</w:t>
      </w:r>
      <w:r>
        <w:br/>
        <w:t>\tag{3.7044}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u_{\theta}^{\mathrm{eff}}&lt;\rho_A\qquad\text{(3.7044)}</w:t>
      </w:r>
    </w:p>
    <w:p w:rsidR="00AD04D9" w:rsidRDefault="00AD04D9" w:rsidP="00AD04D9">
      <w:pPr>
        <w:pStyle w:val="StandardWeb"/>
      </w:pPr>
      <w:r>
        <w:t>Ist dagegen</w:t>
      </w:r>
    </w:p>
    <w:p w:rsidR="00AD04D9" w:rsidRDefault="00AD04D9" w:rsidP="00AD04D9">
      <w:pPr>
        <w:pStyle w:val="StandardWeb"/>
      </w:pPr>
      <w:r>
        <w:t>[</w:t>
      </w:r>
      <w:r>
        <w:br/>
        <w:t>u_{\theta}^{\mathrm{eff}}</w:t>
      </w:r>
      <w:r>
        <w:br/>
        <w:t>\geq</w:t>
      </w:r>
      <w:r>
        <w:br/>
        <w:t>\rho_A,</w:t>
      </w:r>
      <w:r>
        <w:br/>
        <w:t>\tag{3.7045}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u_{\theta}^{\mathrm{eff}}\geq\rho_A\qquad\text{(3.7045)}</w:t>
      </w:r>
    </w:p>
    <w:p w:rsidR="00AD04D9" w:rsidRDefault="00AD04D9" w:rsidP="00AD04D9">
      <w:pPr>
        <w:pStyle w:val="StandardWeb"/>
      </w:pPr>
      <w:r>
        <w:t>kann die Parameterschätzunsicherheit bereits ausreichen, um die Aussageklasse zu verändern.</w:t>
      </w:r>
    </w:p>
    <w:p w:rsidR="00AD04D9" w:rsidRDefault="00E50336" w:rsidP="00AD04D9">
      <w:r>
        <w:lastRenderedPageBreak/>
        <w:pict>
          <v:rect id="_x0000_i1396" style="width:0;height:1.5pt" o:hralign="center" o:hrstd="t" o:hr="t" fillcolor="#a0a0a0" stroked="f"/>
        </w:pict>
      </w:r>
    </w:p>
    <w:p w:rsidR="00AD04D9" w:rsidRDefault="00AD04D9" w:rsidP="00AD04D9">
      <w:pPr>
        <w:pStyle w:val="berschrift2"/>
      </w:pPr>
      <w:r>
        <w:t>3.3.40.121 Gegenbeispiel zur Einpunktstabilität</w:t>
      </w:r>
    </w:p>
    <w:p w:rsidR="00AD04D9" w:rsidRDefault="00AD04D9" w:rsidP="00AD04D9">
      <w:pPr>
        <w:pStyle w:val="StandardWeb"/>
      </w:pPr>
      <w:r>
        <w:t>Ein einzelner Parametersatz könne die Aussage</w:t>
      </w:r>
    </w:p>
    <w:p w:rsidR="00AD04D9" w:rsidRDefault="00AD04D9" w:rsidP="00AD04D9">
      <w:pPr>
        <w:pStyle w:val="berschrift1"/>
      </w:pPr>
      <w:r>
        <w:t>[</w:t>
      </w:r>
      <w:r>
        <w:br/>
        <w:t>A_F</w:t>
      </w:r>
      <w:r>
        <w:br/>
        <w:t>\left(</w:t>
      </w:r>
      <w:r>
        <w:br/>
        <w:t>\boldsymbol{\theta}_0</w:t>
      </w:r>
      <w:r>
        <w:br/>
        <w:t>\right)</w:t>
      </w:r>
    </w:p>
    <w:p w:rsidR="00AD04D9" w:rsidRDefault="00AD04D9" w:rsidP="00AD04D9">
      <w:pPr>
        <w:pStyle w:val="StandardWeb"/>
      </w:pPr>
      <w:r>
        <w:t>1</w:t>
      </w:r>
      <w:r>
        <w:br/>
        <w:t>\tag{3.7046}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A_F\left(\boldsymbol{\theta}_0\right)=1\qquad\text{(3.7046)}</w:t>
      </w:r>
    </w:p>
    <w:p w:rsidR="00AD04D9" w:rsidRDefault="00AD04D9" w:rsidP="00AD04D9">
      <w:pPr>
        <w:pStyle w:val="StandardWeb"/>
      </w:pPr>
      <w:r>
        <w:t>erzeugen.</w:t>
      </w:r>
    </w:p>
    <w:p w:rsidR="00AD04D9" w:rsidRDefault="00AD04D9" w:rsidP="00AD04D9">
      <w:pPr>
        <w:pStyle w:val="StandardWeb"/>
      </w:pPr>
      <w:r>
        <w:t>Bereits eine kleine Änderung</w:t>
      </w:r>
    </w:p>
    <w:p w:rsidR="00AD04D9" w:rsidRDefault="00AD04D9" w:rsidP="00AD04D9">
      <w:pPr>
        <w:pStyle w:val="StandardWeb"/>
      </w:pPr>
      <w:r>
        <w:t>[</w:t>
      </w:r>
      <w:r>
        <w:br/>
        <w:t>\left|</w:t>
      </w:r>
      <w:r>
        <w:br/>
        <w:t>\Delta\boldsymbol{\theta}</w:t>
      </w:r>
      <w:r>
        <w:br/>
        <w:t>\right|</w:t>
      </w:r>
      <w:r>
        <w:br/>
        <w:t>&lt;</w:t>
      </w:r>
      <w:r>
        <w:br/>
        <w:t>\varepsilon</w:t>
      </w:r>
      <w:r>
        <w:br/>
        <w:t>\tag{3.7047}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\left\|\Delta\boldsymbol{\theta}\right\|&lt;\varepsilon\qquad\text{(3.7047)}</w:t>
      </w:r>
    </w:p>
    <w:p w:rsidR="00AD04D9" w:rsidRDefault="00AD04D9" w:rsidP="00AD04D9">
      <w:pPr>
        <w:pStyle w:val="StandardWeb"/>
      </w:pPr>
      <w:r>
        <w:t>könne jedoch zu</w:t>
      </w:r>
    </w:p>
    <w:p w:rsidR="00AD04D9" w:rsidRDefault="00AD04D9" w:rsidP="00AD04D9">
      <w:pPr>
        <w:pStyle w:val="berschrift1"/>
      </w:pPr>
      <w:r>
        <w:t>[</w:t>
      </w:r>
      <w:r>
        <w:br/>
        <w:t>A_F</w:t>
      </w:r>
      <w:r>
        <w:br/>
        <w:t>\left(</w:t>
      </w:r>
      <w:r>
        <w:br/>
        <w:t>\boldsymbol{\theta}_0</w:t>
      </w:r>
      <w:r>
        <w:br/>
        <w:t>+</w:t>
      </w:r>
      <w:r>
        <w:br/>
      </w:r>
      <w:r>
        <w:lastRenderedPageBreak/>
        <w:t>\Delta\boldsymbol{\theta}</w:t>
      </w:r>
      <w:r>
        <w:br/>
        <w:t>\right)</w:t>
      </w:r>
    </w:p>
    <w:p w:rsidR="00AD04D9" w:rsidRDefault="00AD04D9" w:rsidP="00AD04D9">
      <w:pPr>
        <w:pStyle w:val="StandardWeb"/>
      </w:pPr>
      <w:r>
        <w:t>0</w:t>
      </w:r>
      <w:r>
        <w:br/>
        <w:t>\tag{3.7048}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A_F\left(\boldsymbol{\theta}_0+\Delta\boldsymbol{\theta}\right)=0\qquad\text{(3.7048)}</w:t>
      </w:r>
    </w:p>
    <w:p w:rsidR="00AD04D9" w:rsidRDefault="00AD04D9" w:rsidP="00AD04D9">
      <w:pPr>
        <w:pStyle w:val="StandardWeb"/>
      </w:pPr>
      <w:r>
        <w:t>führen.</w:t>
      </w:r>
    </w:p>
    <w:p w:rsidR="00AD04D9" w:rsidRDefault="00AD04D9" w:rsidP="00AD04D9">
      <w:pPr>
        <w:pStyle w:val="StandardWeb"/>
      </w:pPr>
      <w:r>
        <w:t>Dann ist das Ergebnis am Referenzparametersatz reproduzierbar, aber parameterfragil.</w:t>
      </w:r>
    </w:p>
    <w:p w:rsidR="00AD04D9" w:rsidRDefault="00E50336" w:rsidP="00AD04D9">
      <w:r>
        <w:pict>
          <v:rect id="_x0000_i1397" style="width:0;height:1.5pt" o:hralign="center" o:hrstd="t" o:hr="t" fillcolor="#a0a0a0" stroked="f"/>
        </w:pict>
      </w:r>
    </w:p>
    <w:p w:rsidR="00AD04D9" w:rsidRDefault="00AD04D9" w:rsidP="00AD04D9">
      <w:pPr>
        <w:pStyle w:val="berschrift2"/>
      </w:pPr>
      <w:r>
        <w:t>3.3.40.122 Parameterrobustheit als Voraussetzung starker Modellinterpretation</w:t>
      </w:r>
    </w:p>
    <w:p w:rsidR="00AD04D9" w:rsidRDefault="00AD04D9" w:rsidP="00AD04D9">
      <w:pPr>
        <w:pStyle w:val="StandardWeb"/>
      </w:pPr>
      <w:r>
        <w:t>Für eine starke Aussage über ein Modell fordere ich daher</w:t>
      </w:r>
    </w:p>
    <w:p w:rsidR="00AD04D9" w:rsidRDefault="00AD04D9" w:rsidP="00AD04D9">
      <w:pPr>
        <w:pStyle w:val="berschrift1"/>
      </w:pPr>
      <w:r>
        <w:t>[</w:t>
      </w:r>
      <w:r>
        <w:br/>
        <w:t>A_F^{\mathrm{strong}}</w:t>
      </w:r>
      <w:r>
        <w:br/>
        <w:t>\Rightarrow</w:t>
      </w:r>
      <w:r>
        <w:br/>
        <w:t>\operatorname{PRob}_{F}</w:t>
      </w:r>
    </w:p>
    <w:p w:rsidR="00AD04D9" w:rsidRDefault="00AD04D9" w:rsidP="008C5E65">
      <w:pPr>
        <w:numPr>
          <w:ilvl w:val="0"/>
          <w:numId w:val="336"/>
        </w:numPr>
        <w:spacing w:before="100" w:beforeAutospacing="1" w:after="100" w:afterAutospacing="1"/>
      </w:pPr>
    </w:p>
    <w:p w:rsidR="00AD04D9" w:rsidRDefault="00AD04D9" w:rsidP="00AD04D9">
      <w:pPr>
        <w:pStyle w:val="StandardWeb"/>
      </w:pPr>
      <w:r>
        <w:t>\tag{3.7049}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A_F^{\mathrm{strong}}\Rightarrow\operatorname{PRob}_{F}=1\qquad\text{(3.7049)}</w:t>
      </w:r>
    </w:p>
    <w:p w:rsidR="00AD04D9" w:rsidRDefault="00AD04D9" w:rsidP="00AD04D9">
      <w:pPr>
        <w:pStyle w:val="StandardWeb"/>
      </w:pPr>
      <w:r>
        <w:t>Auch hier ist dies keine Forderung an jede explorative Analyse. Es koppelt lediglich den wissenschaftlichen Aussageanspruch an die tatsächlich geprüfte Robustheit.</w:t>
      </w:r>
    </w:p>
    <w:p w:rsidR="00AD04D9" w:rsidRDefault="00E50336" w:rsidP="00AD04D9">
      <w:r>
        <w:pict>
          <v:rect id="_x0000_i1398" style="width:0;height:1.5pt" o:hralign="center" o:hrstd="t" o:hr="t" fillcolor="#a0a0a0" stroked="f"/>
        </w:pict>
      </w:r>
    </w:p>
    <w:p w:rsidR="00AD04D9" w:rsidRDefault="00AD04D9" w:rsidP="00AD04D9">
      <w:pPr>
        <w:pStyle w:val="berschrift2"/>
      </w:pPr>
      <w:r>
        <w:t>3.3.40.123 Parameterrobustheit und empirische Generalisierung</w:t>
      </w:r>
    </w:p>
    <w:p w:rsidR="00AD04D9" w:rsidRDefault="00AD04D9" w:rsidP="00AD04D9">
      <w:pPr>
        <w:pStyle w:val="StandardWeb"/>
      </w:pPr>
      <w:r>
        <w:lastRenderedPageBreak/>
        <w:t>Eine lokal robuste Aussage ist nicht automatisch global robust.</w:t>
      </w:r>
    </w:p>
    <w:p w:rsidR="00AD04D9" w:rsidRDefault="00AD04D9" w:rsidP="00AD04D9">
      <w:pPr>
        <w:pStyle w:val="StandardWeb"/>
      </w:pPr>
      <w:r>
        <w:t>Es gilt</w:t>
      </w:r>
    </w:p>
    <w:p w:rsidR="00AD04D9" w:rsidRDefault="00AD04D9" w:rsidP="00AD04D9">
      <w:pPr>
        <w:pStyle w:val="StandardWeb"/>
      </w:pPr>
      <w:r>
        <w:t>[</w:t>
      </w:r>
      <w:r>
        <w:br/>
        <w:t>R_{\theta}^{\mathrm{lokal}}</w:t>
      </w:r>
      <w:r>
        <w:br/>
        <w:t>\text{ hoch}</w:t>
      </w:r>
      <w:r>
        <w:br/>
        <w:t>\nRightarrow</w:t>
      </w:r>
      <w:r>
        <w:br/>
        <w:t>R_{\theta}^{\mathrm{global}}</w:t>
      </w:r>
      <w:r>
        <w:br/>
        <w:t>\text{ hoch}.</w:t>
      </w:r>
      <w:r>
        <w:br/>
        <w:t>\tag{3.7050}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R_{\theta}^{\mathrm{lokal}}\text{ hoch}\nRightarrow R_{\theta}^{\mathrm{global}}\text{ hoch}\qquad\text{(3.7050)}</w:t>
      </w:r>
    </w:p>
    <w:p w:rsidR="00AD04D9" w:rsidRDefault="00AD04D9" w:rsidP="00AD04D9">
      <w:pPr>
        <w:pStyle w:val="StandardWeb"/>
      </w:pPr>
      <w:r>
        <w:t>Damit darf aus einer lokalen Sensitivitätsanalyse nicht unmittelbar auf Stabilität über den gesamten Parameterraum geschlossen werden.</w:t>
      </w:r>
    </w:p>
    <w:p w:rsidR="00AD04D9" w:rsidRDefault="00E50336" w:rsidP="00AD04D9">
      <w:r>
        <w:pict>
          <v:rect id="_x0000_i1399" style="width:0;height:1.5pt" o:hralign="center" o:hrstd="t" o:hr="t" fillcolor="#a0a0a0" stroked="f"/>
        </w:pict>
      </w:r>
    </w:p>
    <w:p w:rsidR="00AD04D9" w:rsidRDefault="00AD04D9" w:rsidP="00AD04D9">
      <w:pPr>
        <w:pStyle w:val="berschrift2"/>
      </w:pPr>
      <w:r>
        <w:t>3.3.40.124 Lokale und globale Sensitivität als getrennte Evidenz</w:t>
      </w:r>
    </w:p>
    <w:p w:rsidR="00AD04D9" w:rsidRDefault="00AD04D9" w:rsidP="00AD04D9">
      <w:pPr>
        <w:pStyle w:val="StandardWeb"/>
      </w:pPr>
      <w:r>
        <w:t>Ich fasse deshalb beide Größen getrennt:</w:t>
      </w:r>
    </w:p>
    <w:p w:rsidR="00AD04D9" w:rsidRDefault="00AD04D9" w:rsidP="00AD04D9">
      <w:pPr>
        <w:pStyle w:val="berschrift1"/>
      </w:pPr>
      <w:r>
        <w:t>[</w:t>
      </w:r>
      <w:r>
        <w:br/>
        <w:t>\mathbf{R}_{\theta}</w:t>
      </w:r>
    </w:p>
    <w:p w:rsidR="00AD04D9" w:rsidRDefault="00AD04D9" w:rsidP="00AD04D9">
      <w:pPr>
        <w:pStyle w:val="StandardWeb"/>
      </w:pPr>
      <w:r>
        <w:t>\left(</w:t>
      </w:r>
      <w:r>
        <w:br/>
        <w:t>R_{\theta}^{\mathrm{lokal}},</w:t>
      </w:r>
      <w:r>
        <w:br/>
        <w:t>R_{\theta}^{\mathrm{global}}</w:t>
      </w:r>
      <w:r>
        <w:br/>
        <w:t>\right).</w:t>
      </w:r>
      <w:r>
        <w:br/>
        <w:t>\tag{3.7051}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\mathbf{R}_{\theta}=\left(R_{\theta}^{\mathrm{lokal}},R_{\theta}^{\mathrm{global}}\right)\qquad\text{(3.7051)}</w:t>
      </w:r>
    </w:p>
    <w:p w:rsidR="00AD04D9" w:rsidRDefault="00AD04D9" w:rsidP="00AD04D9">
      <w:pPr>
        <w:pStyle w:val="StandardWeb"/>
      </w:pPr>
      <w:r>
        <w:t>Eine vollständige Robustheitsbewertung sollte beide Ebenen ausweisen.</w:t>
      </w:r>
    </w:p>
    <w:p w:rsidR="00AD04D9" w:rsidRDefault="00E50336" w:rsidP="00AD04D9">
      <w:r>
        <w:pict>
          <v:rect id="_x0000_i1400" style="width:0;height:1.5pt" o:hralign="center" o:hrstd="t" o:hr="t" fillcolor="#a0a0a0" stroked="f"/>
        </w:pict>
      </w:r>
    </w:p>
    <w:p w:rsidR="00AD04D9" w:rsidRDefault="00AD04D9" w:rsidP="00AD04D9">
      <w:pPr>
        <w:pStyle w:val="berschrift2"/>
      </w:pPr>
      <w:r>
        <w:t>3.3.40.125 Parameterrobustheit und Modellkalibrierung</w:t>
      </w:r>
    </w:p>
    <w:p w:rsidR="00AD04D9" w:rsidRDefault="00AD04D9" w:rsidP="00AD04D9">
      <w:pPr>
        <w:pStyle w:val="StandardWeb"/>
      </w:pPr>
      <w:r>
        <w:lastRenderedPageBreak/>
        <w:t>Kalibrierung bestimmt Parameter so, dass Modell und Daten möglichst gut übereinstimmen.</w:t>
      </w:r>
    </w:p>
    <w:p w:rsidR="00AD04D9" w:rsidRDefault="00AD04D9" w:rsidP="00AD04D9">
      <w:pPr>
        <w:pStyle w:val="StandardWeb"/>
      </w:pPr>
      <w:r>
        <w:t>Ich schreibe</w:t>
      </w:r>
    </w:p>
    <w:p w:rsidR="00AD04D9" w:rsidRDefault="00AD04D9" w:rsidP="00AD04D9">
      <w:pPr>
        <w:pStyle w:val="berschrift1"/>
      </w:pPr>
      <w:r>
        <w:t>[</w:t>
      </w:r>
      <w:r>
        <w:br/>
        <w:t>\widehat{\boldsymbol{\theta}}</w:t>
      </w:r>
    </w:p>
    <w:p w:rsidR="00AD04D9" w:rsidRDefault="00AD04D9" w:rsidP="00AD04D9">
      <w:pPr>
        <w:pStyle w:val="StandardWeb"/>
      </w:pPr>
      <w:r>
        <w:t>\operatorname{Calibrate}</w:t>
      </w:r>
      <w:r>
        <w:br/>
        <w:t>\left(</w:t>
      </w:r>
      <w:r>
        <w:br/>
        <w:t>\mathcal{M},</w:t>
      </w:r>
      <w:r>
        <w:br/>
        <w:t>\mathcal{D}</w:t>
      </w:r>
      <w:r>
        <w:br/>
        <w:t>\right).</w:t>
      </w:r>
      <w:r>
        <w:br/>
        <w:t>\tag{3.7052}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\widehat{\boldsymbol{\theta}}=\operatorname{Calibrate}\left(\mathcal{M},\mathcal{D}\right)\qquad\text{(3.7052)}</w:t>
      </w:r>
    </w:p>
    <w:p w:rsidR="00AD04D9" w:rsidRDefault="00AD04D9" w:rsidP="00AD04D9">
      <w:pPr>
        <w:pStyle w:val="StandardWeb"/>
      </w:pPr>
      <w:r>
        <w:t>Eine gute Kalibrierung allein sagt nichts darüber aus, ob kleine alternative Parametrisierungen dieselbe Aussage tragen.</w:t>
      </w:r>
    </w:p>
    <w:p w:rsidR="00AD04D9" w:rsidRDefault="00AD04D9" w:rsidP="00AD04D9">
      <w:pPr>
        <w:pStyle w:val="StandardWeb"/>
      </w:pPr>
      <w:r>
        <w:t>Deshalb gilt</w:t>
      </w:r>
    </w:p>
    <w:p w:rsidR="00AD04D9" w:rsidRDefault="00AD04D9" w:rsidP="00AD04D9">
      <w:pPr>
        <w:pStyle w:val="StandardWeb"/>
      </w:pPr>
      <w:r>
        <w:t>[</w:t>
      </w:r>
      <w:r>
        <w:br/>
        <w:t>G_{\mathrm{fit}}</w:t>
      </w:r>
      <w:r>
        <w:br/>
        <w:t>\text{ hoch}</w:t>
      </w:r>
      <w:r>
        <w:br/>
        <w:t>\nRightarrow</w:t>
      </w:r>
      <w:r>
        <w:br/>
        <w:t>R_{\theta}</w:t>
      </w:r>
      <w:r>
        <w:br/>
        <w:t>\text{ hoch}.</w:t>
      </w:r>
      <w:r>
        <w:br/>
        <w:t>\tag{3.7053}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G_{\mathrm{fit}}\text{ hoch}\nRightarrow R_{\theta}\text{ hoch}\qquad\text{(3.7053)}</w:t>
      </w:r>
    </w:p>
    <w:p w:rsidR="00AD04D9" w:rsidRDefault="00E50336" w:rsidP="00AD04D9">
      <w:r>
        <w:pict>
          <v:rect id="_x0000_i1401" style="width:0;height:1.5pt" o:hralign="center" o:hrstd="t" o:hr="t" fillcolor="#a0a0a0" stroked="f"/>
        </w:pict>
      </w:r>
    </w:p>
    <w:p w:rsidR="00AD04D9" w:rsidRDefault="00AD04D9" w:rsidP="00AD04D9">
      <w:pPr>
        <w:pStyle w:val="berschrift2"/>
      </w:pPr>
      <w:r>
        <w:t>3.3.40.126 Parameterrobustheit und externe Validierung</w:t>
      </w:r>
    </w:p>
    <w:p w:rsidR="00AD04D9" w:rsidRDefault="00AD04D9" w:rsidP="00AD04D9">
      <w:pPr>
        <w:pStyle w:val="StandardWeb"/>
      </w:pPr>
      <w:r>
        <w:t>Eine externe Validierung kann Parameterrobustheit zusätzlich prüfen.</w:t>
      </w:r>
    </w:p>
    <w:p w:rsidR="00AD04D9" w:rsidRDefault="00AD04D9" w:rsidP="00AD04D9">
      <w:pPr>
        <w:pStyle w:val="StandardWeb"/>
      </w:pPr>
      <w:r>
        <w:t>Sei</w:t>
      </w:r>
    </w:p>
    <w:p w:rsidR="00AD04D9" w:rsidRDefault="00AD04D9" w:rsidP="00AD04D9">
      <w:pPr>
        <w:pStyle w:val="StandardWeb"/>
      </w:pPr>
      <w:r>
        <w:t>[</w:t>
      </w:r>
      <w:r>
        <w:br/>
        <w:t>\mathcal{D}_{\mathrm{ext}}</w:t>
      </w:r>
      <w:r>
        <w:br/>
        <w:t>\tag{3.7054}</w:t>
      </w:r>
      <w:r>
        <w:br/>
        <w:t>]</w:t>
      </w:r>
    </w:p>
    <w:p w:rsidR="00AD04D9" w:rsidRDefault="00AD04D9" w:rsidP="00AD04D9">
      <w:pPr>
        <w:pStyle w:val="StandardWeb"/>
      </w:pPr>
      <w:r>
        <w:rPr>
          <w:rStyle w:val="Fett"/>
        </w:rPr>
        <w:lastRenderedPageBreak/>
        <w:t>Word-LaTeX</w:t>
      </w:r>
    </w:p>
    <w:p w:rsidR="00AD04D9" w:rsidRDefault="00AD04D9" w:rsidP="00AD04D9">
      <w:pPr>
        <w:pStyle w:val="HTMLVorformatiert"/>
        <w:rPr>
          <w:rStyle w:val="HTMLCode"/>
        </w:rPr>
      </w:pPr>
      <w:r>
        <w:rPr>
          <w:rStyle w:val="HTMLCode"/>
        </w:rPr>
        <w:t>\mathcal{D}_{\mathrm{ext}}\qquad\text{(3.7054)}</w:t>
      </w:r>
    </w:p>
    <w:p w:rsidR="00AD04D9" w:rsidRDefault="00AD04D9" w:rsidP="00AD04D9">
      <w:pPr>
        <w:pStyle w:val="StandardWeb"/>
      </w:pPr>
      <w:r>
        <w:t>ein unabhängiger Datenstand.</w:t>
      </w:r>
    </w:p>
    <w:p w:rsidR="00AD04D9" w:rsidRDefault="00AD04D9" w:rsidP="00AD04D9">
      <w:pPr>
        <w:pStyle w:val="StandardWeb"/>
      </w:pPr>
      <w:r>
        <w:t>Die kalibrierte Aussage lautet</w:t>
      </w:r>
    </w:p>
    <w:p w:rsidR="00AD04D9" w:rsidRDefault="00AD04D9" w:rsidP="00AD04D9">
      <w:pPr>
        <w:pStyle w:val="berschrift1"/>
      </w:pPr>
      <w:r>
        <w:t>[</w:t>
      </w:r>
      <w:r>
        <w:br/>
        <w:t>A_F^{\mathrm{ext}}</w:t>
      </w:r>
    </w:p>
    <w:p w:rsidR="00AD04D9" w:rsidRDefault="00AD04D9" w:rsidP="00AD04D9">
      <w:pPr>
        <w:pStyle w:val="StandardWeb"/>
      </w:pPr>
      <w:r>
        <w:t>A_F</w:t>
      </w:r>
      <w:r>
        <w:br/>
        <w:t>\left(</w:t>
      </w:r>
      <w:r>
        <w:br/>
        <w:t>\widehat{\boldsymbol{\theta}},</w:t>
      </w:r>
      <w:r>
        <w:br/>
        <w:t>\mathcal{D}_{\mathrm{ext}}</w:t>
      </w:r>
      <w:r>
        <w:br/>
        <w:t>\right).</w:t>
      </w:r>
      <w:r>
        <w:br/>
        <w:t>\tag{3.7055}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A_F^{\mathrm{ext}}=A_F\left(\widehat{\boldsymbol{\theta}},\mathcal{D}_{\mathrm{ext}}\right)\qquad\text{(3.7055)}</w:t>
      </w:r>
    </w:p>
    <w:p w:rsidR="00AD04D9" w:rsidRDefault="00AD04D9" w:rsidP="00AD04D9">
      <w:pPr>
        <w:pStyle w:val="StandardWeb"/>
      </w:pPr>
      <w:r>
        <w:t>Bleibt die Aussage auch für plausible Nachkalibrierungen oder Parameterunsicherheiten erhalten, steigt ihre empirische Belastbarkeit.</w:t>
      </w:r>
    </w:p>
    <w:p w:rsidR="00AD04D9" w:rsidRDefault="00E50336" w:rsidP="00AD04D9">
      <w:r>
        <w:pict>
          <v:rect id="_x0000_i1402" style="width:0;height:1.5pt" o:hralign="center" o:hrstd="t" o:hr="t" fillcolor="#a0a0a0" stroked="f"/>
        </w:pict>
      </w:r>
    </w:p>
    <w:p w:rsidR="00AD04D9" w:rsidRDefault="00AD04D9" w:rsidP="00AD04D9">
      <w:pPr>
        <w:pStyle w:val="berschrift2"/>
      </w:pPr>
      <w:r>
        <w:t>3.3.40.127 Parameterrobustheit und Systemregime</w:t>
      </w:r>
    </w:p>
    <w:p w:rsidR="00AD04D9" w:rsidRDefault="00AD04D9" w:rsidP="00AD04D9">
      <w:pPr>
        <w:pStyle w:val="StandardWeb"/>
      </w:pPr>
      <w:r>
        <w:t>Der zulässige Parameterraum kann in verschiedene Regime zerlegt werden:</w:t>
      </w:r>
    </w:p>
    <w:p w:rsidR="00AD04D9" w:rsidRDefault="00AD04D9" w:rsidP="00AD04D9">
      <w:pPr>
        <w:pStyle w:val="berschrift1"/>
      </w:pPr>
      <w:r>
        <w:t>[</w:t>
      </w:r>
      <w:r>
        <w:br/>
        <w:t>\Theta_{\mathrm{zul}}</w:t>
      </w:r>
    </w:p>
    <w:p w:rsidR="00AD04D9" w:rsidRDefault="00AD04D9" w:rsidP="00AD04D9">
      <w:pPr>
        <w:pStyle w:val="StandardWeb"/>
      </w:pPr>
      <w:r>
        <w:t>\bigcup_{r=1}^{R}</w:t>
      </w:r>
      <w:r>
        <w:br/>
        <w:t>\Theta_r.</w:t>
      </w:r>
      <w:r>
        <w:br/>
        <w:t>\tag{3.7056}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\Theta_{\mathrm{zul}}=\bigcup_{r=1}^{R}\Theta_r\qquad\text{(3.7056)}</w:t>
      </w:r>
    </w:p>
    <w:p w:rsidR="00AD04D9" w:rsidRDefault="00AD04D9" w:rsidP="00AD04D9">
      <w:pPr>
        <w:pStyle w:val="StandardWeb"/>
      </w:pPr>
      <w:r>
        <w:t>Innerhalb eines Regimes kann gelten</w:t>
      </w:r>
    </w:p>
    <w:p w:rsidR="00AD04D9" w:rsidRDefault="00AD04D9" w:rsidP="00AD04D9">
      <w:pPr>
        <w:pStyle w:val="StandardWeb"/>
      </w:pPr>
      <w:r>
        <w:t>[</w:t>
      </w:r>
      <w:r>
        <w:br/>
        <w:t>A_F</w:t>
      </w:r>
      <w:r>
        <w:br/>
      </w:r>
      <w:r>
        <w:lastRenderedPageBreak/>
        <w:t>\left(</w:t>
      </w:r>
      <w:r>
        <w:br/>
        <w:t>\boldsymbol{\theta}</w:t>
      </w:r>
      <w:r>
        <w:br/>
        <w:t>\right)</w:t>
      </w:r>
      <w:r>
        <w:br/>
        <w:t>\sim_A</w:t>
      </w:r>
      <w:r>
        <w:br/>
        <w:t>A_r</w:t>
      </w:r>
      <w:r>
        <w:br/>
        <w:t>\qquad</w:t>
      </w:r>
      <w:r>
        <w:br/>
        <w:t>\forall</w:t>
      </w:r>
      <w:r>
        <w:br/>
        <w:t>\boldsymbol{\theta}</w:t>
      </w:r>
      <w:r>
        <w:br/>
        <w:t>\in</w:t>
      </w:r>
      <w:r>
        <w:br/>
        <w:t>\Theta_r.</w:t>
      </w:r>
      <w:r>
        <w:br/>
        <w:t>\tag{3.7057}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A_F\left(\boldsymbol{\theta}\right)\sim_A A_r\qquad\forall\boldsymbol{\theta}\in\Theta_r\qquad\text{(3.7057)}</w:t>
      </w:r>
    </w:p>
    <w:p w:rsidR="00AD04D9" w:rsidRDefault="00AD04D9" w:rsidP="00AD04D9">
      <w:pPr>
        <w:pStyle w:val="StandardWeb"/>
      </w:pPr>
      <w:r>
        <w:t>Unterschiedliche Regime können unterschiedliche Aussageklassen besitzen.</w:t>
      </w:r>
    </w:p>
    <w:p w:rsidR="00AD04D9" w:rsidRDefault="00E50336" w:rsidP="00AD04D9">
      <w:r>
        <w:pict>
          <v:rect id="_x0000_i1403" style="width:0;height:1.5pt" o:hralign="center" o:hrstd="t" o:hr="t" fillcolor="#a0a0a0" stroked="f"/>
        </w:pict>
      </w:r>
    </w:p>
    <w:p w:rsidR="00AD04D9" w:rsidRDefault="00AD04D9" w:rsidP="00AD04D9">
      <w:pPr>
        <w:pStyle w:val="berschrift2"/>
      </w:pPr>
      <w:r>
        <w:t>3.3.40.128 Regimegrenzen</w:t>
      </w:r>
    </w:p>
    <w:p w:rsidR="00AD04D9" w:rsidRDefault="00AD04D9" w:rsidP="00AD04D9">
      <w:pPr>
        <w:pStyle w:val="StandardWeb"/>
      </w:pPr>
      <w:r>
        <w:t>Die Grenzen zwischen Parameterregimen lauten</w:t>
      </w:r>
    </w:p>
    <w:p w:rsidR="00AD04D9" w:rsidRDefault="00AD04D9" w:rsidP="00AD04D9">
      <w:pPr>
        <w:pStyle w:val="StandardWeb"/>
      </w:pPr>
      <w:r>
        <w:t>[</w:t>
      </w:r>
      <w:r>
        <w:br/>
        <w:t>\partial\Theta_r.</w:t>
      </w:r>
      <w:r>
        <w:br/>
        <w:t>\tag{3.7058}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\partial\Theta_r\qquad\text{(3.7058)}</w:t>
      </w:r>
    </w:p>
    <w:p w:rsidR="00AD04D9" w:rsidRDefault="00AD04D9" w:rsidP="00AD04D9">
      <w:pPr>
        <w:pStyle w:val="StandardWeb"/>
      </w:pPr>
      <w:r>
        <w:t>Diese Grenzflächen sind besonders relevant, weil dort qualitative Systemwechsel auftreten können.</w:t>
      </w:r>
    </w:p>
    <w:p w:rsidR="00AD04D9" w:rsidRDefault="00E50336" w:rsidP="00AD04D9">
      <w:r>
        <w:pict>
          <v:rect id="_x0000_i1404" style="width:0;height:1.5pt" o:hralign="center" o:hrstd="t" o:hr="t" fillcolor="#a0a0a0" stroked="f"/>
        </w:pict>
      </w:r>
    </w:p>
    <w:p w:rsidR="00AD04D9" w:rsidRDefault="00AD04D9" w:rsidP="00AD04D9">
      <w:pPr>
        <w:pStyle w:val="berschrift2"/>
      </w:pPr>
      <w:r>
        <w:t>3.3.40.129 Parameterrobustheit als Regimeaussage</w:t>
      </w:r>
    </w:p>
    <w:p w:rsidR="00AD04D9" w:rsidRDefault="00AD04D9" w:rsidP="00AD04D9">
      <w:pPr>
        <w:pStyle w:val="StandardWeb"/>
      </w:pPr>
      <w:r>
        <w:t>Damit kann eine präzisere wissenschaftliche Aussage lauten:</w:t>
      </w:r>
    </w:p>
    <w:p w:rsidR="00AD04D9" w:rsidRDefault="00AD04D9" w:rsidP="00AD04D9">
      <w:pPr>
        <w:pStyle w:val="StandardWeb"/>
      </w:pPr>
      <w:r>
        <w:t>[</w:t>
      </w:r>
      <w:r>
        <w:br/>
        <w:t>A_F</w:t>
      </w:r>
      <w:r>
        <w:br/>
        <w:t>\text{ gilt robust für }</w:t>
      </w:r>
      <w:r>
        <w:br/>
        <w:t>\boldsymbol{\theta}</w:t>
      </w:r>
      <w:r>
        <w:br/>
        <w:t>\in</w:t>
      </w:r>
      <w:r>
        <w:br/>
        <w:t>\Theta_r.</w:t>
      </w:r>
      <w:r>
        <w:br/>
      </w:r>
      <w:r>
        <w:lastRenderedPageBreak/>
        <w:t>\tag{3.7059}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A_F\text{ gilt robust für }\boldsymbol{\theta}\in\Theta_r\qquad\text{(3.7059)}</w:t>
      </w:r>
    </w:p>
    <w:p w:rsidR="00AD04D9" w:rsidRDefault="00AD04D9" w:rsidP="00AD04D9">
      <w:pPr>
        <w:pStyle w:val="StandardWeb"/>
      </w:pPr>
      <w:r>
        <w:t>Diese Form ist wissenschaftlich stärker als eine pauschale Aussage ohne Angabe ihres Parameterbereichs.</w:t>
      </w:r>
    </w:p>
    <w:p w:rsidR="00AD04D9" w:rsidRDefault="00E50336" w:rsidP="00AD04D9">
      <w:r>
        <w:pict>
          <v:rect id="_x0000_i1405" style="width:0;height:1.5pt" o:hralign="center" o:hrstd="t" o:hr="t" fillcolor="#a0a0a0" stroked="f"/>
        </w:pict>
      </w:r>
    </w:p>
    <w:p w:rsidR="00AD04D9" w:rsidRDefault="00AD04D9" w:rsidP="00AD04D9">
      <w:pPr>
        <w:pStyle w:val="berschrift2"/>
      </w:pPr>
      <w:r>
        <w:t>3.3.40.130 Parameterabhängige Gültigkeitsdomäne</w:t>
      </w:r>
    </w:p>
    <w:p w:rsidR="00AD04D9" w:rsidRDefault="00AD04D9" w:rsidP="00AD04D9">
      <w:pPr>
        <w:pStyle w:val="StandardWeb"/>
      </w:pPr>
      <w:r>
        <w:t>Die in Abschnitt 3.3.38 eingeführte Gültigkeitsdomäne kann damit erweitert werden:</w:t>
      </w:r>
    </w:p>
    <w:p w:rsidR="00AD04D9" w:rsidRDefault="00AD04D9" w:rsidP="00AD04D9">
      <w:pPr>
        <w:pStyle w:val="StandardWeb"/>
      </w:pPr>
      <w:r>
        <w:t>[</w:t>
      </w:r>
      <w:r>
        <w:br/>
        <w:t>\mathfrak{D}</w:t>
      </w:r>
      <w:r>
        <w:br/>
        <w:t>\left(</w:t>
      </w:r>
      <w:r>
        <w:br/>
        <w:t>A_F</w:t>
      </w:r>
      <w:r>
        <w:br/>
        <w:t>\mid</w:t>
      </w:r>
      <w:r>
        <w:br/>
        <w:t>\Theta_r</w:t>
      </w:r>
      <w:r>
        <w:br/>
        <w:t>\right).</w:t>
      </w:r>
      <w:r>
        <w:br/>
        <w:t>\tag{3.7060}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\mathfrak{D}\left(A_F\mid\Theta_r\right)\qquad\text{(3.7060)}</w:t>
      </w:r>
    </w:p>
    <w:p w:rsidR="00AD04D9" w:rsidRDefault="00AD04D9" w:rsidP="00AD04D9">
      <w:pPr>
        <w:pStyle w:val="StandardWeb"/>
      </w:pPr>
      <w:r>
        <w:t>Damit erhält eine Aussage nicht nur einen Kontext-, sondern auch einen expliziten Parameterbereich.</w:t>
      </w:r>
    </w:p>
    <w:p w:rsidR="00AD04D9" w:rsidRDefault="00E50336" w:rsidP="00AD04D9">
      <w:r>
        <w:pict>
          <v:rect id="_x0000_i1406" style="width:0;height:1.5pt" o:hralign="center" o:hrstd="t" o:hr="t" fillcolor="#a0a0a0" stroked="f"/>
        </w:pict>
      </w:r>
    </w:p>
    <w:p w:rsidR="00AD04D9" w:rsidRDefault="00AD04D9" w:rsidP="00AD04D9">
      <w:pPr>
        <w:pStyle w:val="berschrift2"/>
      </w:pPr>
      <w:r>
        <w:t>3.3.40.131 Vollständige Gültigkeitsbedingung</w:t>
      </w:r>
    </w:p>
    <w:p w:rsidR="00AD04D9" w:rsidRDefault="00AD04D9" w:rsidP="00AD04D9">
      <w:pPr>
        <w:pStyle w:val="StandardWeb"/>
      </w:pPr>
      <w:r>
        <w:t>Eine empirisch starke Aussage kann damit allgemein geschrieben werden als</w:t>
      </w:r>
    </w:p>
    <w:p w:rsidR="00AD04D9" w:rsidRDefault="00AD04D9" w:rsidP="00AD04D9">
      <w:pPr>
        <w:pStyle w:val="StandardWeb"/>
      </w:pPr>
      <w:r>
        <w:t>[</w:t>
      </w:r>
      <w:r>
        <w:br/>
        <w:t>A_F</w:t>
      </w:r>
      <w:r>
        <w:br/>
        <w:t>\mid</w:t>
      </w:r>
      <w:r>
        <w:br/>
        <w:t>\left(</w:t>
      </w:r>
      <w:r>
        <w:br/>
        <w:t>\mathcal{C},</w:t>
      </w:r>
      <w:r>
        <w:br/>
        <w:t>\mathcal{O},</w:t>
      </w:r>
      <w:r>
        <w:br/>
        <w:t>\Theta,</w:t>
      </w:r>
      <w:r>
        <w:br/>
        <w:t>\mathcal{S}_0,</w:t>
      </w:r>
      <w:r>
        <w:br/>
        <w:t>\mathcal{B}</w:t>
      </w:r>
      <w:r>
        <w:br/>
        <w:t>\right).</w:t>
      </w:r>
      <w:r>
        <w:br/>
      </w:r>
      <w:r>
        <w:lastRenderedPageBreak/>
        <w:t>\tag{3.7061}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A_F\mid\left(\mathcal{C},\mathcal{O},\Theta,\mathcal{S}_0,\mathcal{B}\right)\qquad\text{(3.7061)}</w:t>
      </w:r>
    </w:p>
    <w:p w:rsidR="00AD04D9" w:rsidRDefault="00AD04D9" w:rsidP="00AD04D9">
      <w:pPr>
        <w:pStyle w:val="StandardWeb"/>
      </w:pPr>
      <w:r>
        <w:t>Das bedeutet:</w:t>
      </w:r>
    </w:p>
    <w:p w:rsidR="00AD04D9" w:rsidRDefault="00AD04D9" w:rsidP="00AD04D9">
      <w:pPr>
        <w:pStyle w:val="StandardWeb"/>
      </w:pPr>
      <w:r>
        <w:t>Die Aussage gilt unter einem bestimmten Kontext, einer bestimmten Klasse zulässiger Operationalisierungen, einem Parameterbereich, einem Anfangszustandsbereich und bestimmten Randbedingungen.</w:t>
      </w:r>
    </w:p>
    <w:p w:rsidR="00AD04D9" w:rsidRDefault="00E50336" w:rsidP="00AD04D9">
      <w:r>
        <w:pict>
          <v:rect id="_x0000_i1407" style="width:0;height:1.5pt" o:hralign="center" o:hrstd="t" o:hr="t" fillcolor="#a0a0a0" stroked="f"/>
        </w:pict>
      </w:r>
    </w:p>
    <w:p w:rsidR="00AD04D9" w:rsidRDefault="00AD04D9" w:rsidP="00AD04D9">
      <w:pPr>
        <w:pStyle w:val="berschrift2"/>
      </w:pPr>
      <w:r>
        <w:t>3.3.40.132 Eigenleistung: mehrdimensionale Gültigkeitsdomäne</w:t>
      </w:r>
    </w:p>
    <w:p w:rsidR="00AD04D9" w:rsidRDefault="00AD04D9" w:rsidP="00AD04D9">
      <w:pPr>
        <w:pStyle w:val="StandardWeb"/>
      </w:pPr>
      <w:r>
        <w:t>Ich erweitere deshalb die Gültigkeitsdomäne zu</w:t>
      </w:r>
    </w:p>
    <w:p w:rsidR="00AD04D9" w:rsidRDefault="00AD04D9" w:rsidP="00AD04D9">
      <w:pPr>
        <w:pStyle w:val="StandardWeb"/>
      </w:pPr>
      <w:r>
        <w:t>[</w:t>
      </w:r>
      <w:r>
        <w:br/>
        <w:t>\mathfrak{D}_{F}^{+}</w:t>
      </w:r>
      <w:r>
        <w:br/>
        <w:t>\left(</w:t>
      </w:r>
      <w:r>
        <w:br/>
        <w:t>A_F</w:t>
      </w:r>
      <w:r>
        <w:br/>
        <w:t>\right)</w:t>
      </w:r>
      <w:r>
        <w:br/>
        <w:t>\subseteq</w:t>
      </w:r>
      <w:r>
        <w:br/>
        <w:t>\mathcal{C}</w:t>
      </w:r>
      <w:r>
        <w:br/>
        <w:t>\times</w:t>
      </w:r>
      <w:r>
        <w:br/>
        <w:t>\mathfrak{O}</w:t>
      </w:r>
      <w:r>
        <w:br/>
        <w:t>\times</w:t>
      </w:r>
      <w:r>
        <w:br/>
        <w:t>\Theta</w:t>
      </w:r>
      <w:r>
        <w:br/>
        <w:t>\times</w:t>
      </w:r>
      <w:r>
        <w:br/>
        <w:t>\mathcal{S}_0</w:t>
      </w:r>
      <w:r>
        <w:br/>
        <w:t>\times</w:t>
      </w:r>
      <w:r>
        <w:br/>
        <w:t>\mathcal{B}.</w:t>
      </w:r>
      <w:r>
        <w:br/>
        <w:t>\tag{3.7062}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\mathfrak{D}_{F}^{+}\left(A_F\right)\subseteq\mathcal{C}\times\mathfrak{O}\times\Theta\times\mathcal{S}_0\times\mathcal{B}\qquad\text{(3.7062)}</w:t>
      </w:r>
    </w:p>
    <w:p w:rsidR="00AD04D9" w:rsidRDefault="00AD04D9" w:rsidP="00AD04D9">
      <w:pPr>
        <w:pStyle w:val="StandardWeb"/>
      </w:pPr>
      <w:r>
        <w:t>Damit kann die Reichweite einer FRZK-Aussage prinzipiell mehrdimensional beschrieben werden.</w:t>
      </w:r>
    </w:p>
    <w:p w:rsidR="00AD04D9" w:rsidRDefault="00E50336" w:rsidP="00AD04D9">
      <w:r>
        <w:pict>
          <v:rect id="_x0000_i1408" style="width:0;height:1.5pt" o:hralign="center" o:hrstd="t" o:hr="t" fillcolor="#a0a0a0" stroked="f"/>
        </w:pict>
      </w:r>
    </w:p>
    <w:p w:rsidR="00AD04D9" w:rsidRDefault="00AD04D9" w:rsidP="00AD04D9">
      <w:pPr>
        <w:pStyle w:val="berschrift2"/>
      </w:pPr>
      <w:r>
        <w:t>3.3.40.133 Gültigkeitspunkt und Gültigkeitsregion</w:t>
      </w:r>
    </w:p>
    <w:p w:rsidR="00AD04D9" w:rsidRDefault="00AD04D9" w:rsidP="00AD04D9">
      <w:pPr>
        <w:pStyle w:val="StandardWeb"/>
      </w:pPr>
      <w:r>
        <w:lastRenderedPageBreak/>
        <w:t>Ein einzelner überprüfter Konfigurationspunkt lautet</w:t>
      </w:r>
    </w:p>
    <w:p w:rsidR="00AD04D9" w:rsidRDefault="00AD04D9" w:rsidP="00AD04D9">
      <w:pPr>
        <w:pStyle w:val="berschrift1"/>
      </w:pPr>
      <w:r>
        <w:t>[</w:t>
      </w:r>
      <w:r>
        <w:br/>
        <w:t>z</w:t>
      </w:r>
    </w:p>
    <w:p w:rsidR="00AD04D9" w:rsidRDefault="00AD04D9" w:rsidP="00AD04D9">
      <w:pPr>
        <w:pStyle w:val="StandardWeb"/>
      </w:pPr>
      <w:r>
        <w:t>\left(</w:t>
      </w:r>
      <w:r>
        <w:br/>
        <w:t>\mathcal{C},</w:t>
      </w:r>
      <w:r>
        <w:br/>
        <w:t>\mathcal{O},</w:t>
      </w:r>
      <w:r>
        <w:br/>
        <w:t>\boldsymbol{\theta},</w:t>
      </w:r>
      <w:r>
        <w:br/>
        <w:t>\delta_0,</w:t>
      </w:r>
      <w:r>
        <w:br/>
        <w:t>\mathbf{b}</w:t>
      </w:r>
      <w:r>
        <w:br/>
        <w:t>\right).</w:t>
      </w:r>
      <w:r>
        <w:br/>
        <w:t>\tag{3.7063}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z=\left(\mathcal{C},\mathcal{O},\boldsymbol{\theta},\delta_0,\mathbf{b}\right)\qquad\text{(3.7063)}</w:t>
      </w:r>
    </w:p>
    <w:p w:rsidR="00AD04D9" w:rsidRDefault="00AD04D9" w:rsidP="00AD04D9">
      <w:pPr>
        <w:pStyle w:val="StandardWeb"/>
      </w:pPr>
      <w:r>
        <w:t>Eine robuste wissenschaftliche Aussage besitzt idealerweise nicht nur einen einzelnen Punkt, sondern eine Region</w:t>
      </w:r>
    </w:p>
    <w:p w:rsidR="00AD04D9" w:rsidRDefault="00AD04D9" w:rsidP="00AD04D9">
      <w:pPr>
        <w:pStyle w:val="StandardWeb"/>
      </w:pPr>
      <w:r>
        <w:t>[</w:t>
      </w:r>
      <w:r>
        <w:br/>
        <w:t>\Omega_A</w:t>
      </w:r>
      <w:r>
        <w:br/>
        <w:t>\subseteq</w:t>
      </w:r>
      <w:r>
        <w:br/>
        <w:t>\mathfrak{D}_{F}^{+}</w:t>
      </w:r>
      <w:r>
        <w:br/>
        <w:t>\left(</w:t>
      </w:r>
      <w:r>
        <w:br/>
        <w:t>A_F</w:t>
      </w:r>
      <w:r>
        <w:br/>
        <w:t>\right).</w:t>
      </w:r>
      <w:r>
        <w:br/>
        <w:t>\tag{3.7064}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\Omega_A\subseteq\mathfrak{D}_{F}^{+}\left(A_F\right)\qquad\text{(3.7064)}</w:t>
      </w:r>
    </w:p>
    <w:p w:rsidR="00AD04D9" w:rsidRDefault="00AD04D9" w:rsidP="00AD04D9">
      <w:pPr>
        <w:pStyle w:val="StandardWeb"/>
      </w:pPr>
      <w:r>
        <w:t>Je größer und besser empirisch abgesichert diese Region ist, desto breiter ist der tatsächliche Gültigkeitsbereich der Aussage.</w:t>
      </w:r>
    </w:p>
    <w:p w:rsidR="00AD04D9" w:rsidRDefault="00E50336" w:rsidP="00AD04D9">
      <w:r>
        <w:pict>
          <v:rect id="_x0000_i1409" style="width:0;height:1.5pt" o:hralign="center" o:hrstd="t" o:hr="t" fillcolor="#a0a0a0" stroked="f"/>
        </w:pict>
      </w:r>
    </w:p>
    <w:p w:rsidR="00AD04D9" w:rsidRDefault="00AD04D9" w:rsidP="00AD04D9">
      <w:pPr>
        <w:pStyle w:val="berschrift2"/>
      </w:pPr>
      <w:r>
        <w:t>3.3.40.134 Fragilität als Grenznähe</w:t>
      </w:r>
    </w:p>
    <w:p w:rsidR="00AD04D9" w:rsidRDefault="00AD04D9" w:rsidP="00AD04D9">
      <w:pPr>
        <w:pStyle w:val="StandardWeb"/>
      </w:pPr>
      <w:r>
        <w:t>Eine Aussage ist besonders fragil, wenn der Referenzpunkt nahe der Grenze ihrer Gültigkeitsregion liegt.</w:t>
      </w:r>
    </w:p>
    <w:p w:rsidR="00AD04D9" w:rsidRDefault="00AD04D9" w:rsidP="00AD04D9">
      <w:pPr>
        <w:pStyle w:val="StandardWeb"/>
      </w:pPr>
      <w:r>
        <w:t>Sei</w:t>
      </w:r>
    </w:p>
    <w:p w:rsidR="00AD04D9" w:rsidRDefault="00AD04D9" w:rsidP="00AD04D9">
      <w:pPr>
        <w:pStyle w:val="berschrift1"/>
      </w:pPr>
      <w:r>
        <w:lastRenderedPageBreak/>
        <w:t>[</w:t>
      </w:r>
      <w:r>
        <w:br/>
        <w:t>d_{\partial\Omega}</w:t>
      </w:r>
    </w:p>
    <w:p w:rsidR="00AD04D9" w:rsidRDefault="00AD04D9" w:rsidP="00AD04D9">
      <w:pPr>
        <w:pStyle w:val="StandardWeb"/>
      </w:pPr>
      <w:r>
        <w:t>d</w:t>
      </w:r>
      <w:r>
        <w:br/>
        <w:t>\left(</w:t>
      </w:r>
      <w:r>
        <w:br/>
        <w:t>z_0,</w:t>
      </w:r>
      <w:r>
        <w:br/>
        <w:t>\partial\Omega_A</w:t>
      </w:r>
      <w:r>
        <w:br/>
        <w:t>\right).</w:t>
      </w:r>
      <w:r>
        <w:br/>
        <w:t>\tag{3.7065}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d_{\partial\Omega}=d\left(z_0,\partial\Omega_A\right)\qquad\text{(3.7065)}</w:t>
      </w:r>
    </w:p>
    <w:p w:rsidR="00AD04D9" w:rsidRDefault="00AD04D9" w:rsidP="00AD04D9">
      <w:pPr>
        <w:pStyle w:val="StandardWeb"/>
      </w:pPr>
      <w:r>
        <w:t>Für</w:t>
      </w:r>
    </w:p>
    <w:p w:rsidR="00AD04D9" w:rsidRDefault="00AD04D9" w:rsidP="00AD04D9">
      <w:pPr>
        <w:pStyle w:val="StandardWeb"/>
      </w:pPr>
      <w:r>
        <w:t>[</w:t>
      </w:r>
      <w:r>
        <w:br/>
        <w:t>d_{\partial\Omega}</w:t>
      </w:r>
      <w:r>
        <w:br/>
        <w:t>\approx</w:t>
      </w:r>
      <w:r>
        <w:br/>
        <w:t>0</w:t>
      </w:r>
      <w:r>
        <w:br/>
        <w:t>\tag{3.7066}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d_{\partial\Omega}\approx0\qquad\text{(3.7066)}</w:t>
      </w:r>
    </w:p>
    <w:p w:rsidR="00AD04D9" w:rsidRDefault="00AD04D9" w:rsidP="00AD04D9">
      <w:pPr>
        <w:pStyle w:val="StandardWeb"/>
      </w:pPr>
      <w:r>
        <w:t>genügen kleine Änderungen einer oder mehrerer Bedingungen, um die Gültigkeitsregion zu verlassen.</w:t>
      </w:r>
    </w:p>
    <w:p w:rsidR="00AD04D9" w:rsidRDefault="00E50336" w:rsidP="00AD04D9">
      <w:r>
        <w:pict>
          <v:rect id="_x0000_i1410" style="width:0;height:1.5pt" o:hralign="center" o:hrstd="t" o:hr="t" fillcolor="#a0a0a0" stroked="f"/>
        </w:pict>
      </w:r>
    </w:p>
    <w:p w:rsidR="00AD04D9" w:rsidRDefault="00AD04D9" w:rsidP="00AD04D9">
      <w:pPr>
        <w:pStyle w:val="berschrift2"/>
      </w:pPr>
      <w:r>
        <w:t>3.3.40.135 Robustheitsmargin</w:t>
      </w:r>
    </w:p>
    <w:p w:rsidR="00AD04D9" w:rsidRDefault="00AD04D9" w:rsidP="00AD04D9">
      <w:pPr>
        <w:pStyle w:val="StandardWeb"/>
      </w:pPr>
      <w:r>
        <w:t>Ich definiere daher eine mehrdimensionale Robustheitsmargin</w:t>
      </w:r>
    </w:p>
    <w:p w:rsidR="00AD04D9" w:rsidRDefault="00AD04D9" w:rsidP="00AD04D9">
      <w:pPr>
        <w:pStyle w:val="berschrift1"/>
      </w:pPr>
      <w:r>
        <w:t>[</w:t>
      </w:r>
      <w:r>
        <w:br/>
        <w:t>M_R</w:t>
      </w:r>
    </w:p>
    <w:p w:rsidR="00AD04D9" w:rsidRDefault="00AD04D9" w:rsidP="00AD04D9">
      <w:pPr>
        <w:pStyle w:val="StandardWeb"/>
      </w:pPr>
      <w:r>
        <w:t>d</w:t>
      </w:r>
      <w:r>
        <w:br/>
        <w:t>\left(</w:t>
      </w:r>
      <w:r>
        <w:br/>
        <w:t>z_0,</w:t>
      </w:r>
      <w:r>
        <w:br/>
        <w:t>\partial\Omega_A</w:t>
      </w:r>
      <w:r>
        <w:br/>
        <w:t>\right).</w:t>
      </w:r>
      <w:r>
        <w:br/>
        <w:t>\tag{3.7067}</w:t>
      </w:r>
      <w:r>
        <w:br/>
        <w:t>]</w:t>
      </w:r>
    </w:p>
    <w:p w:rsidR="00AD04D9" w:rsidRDefault="00AD04D9" w:rsidP="00AD04D9">
      <w:pPr>
        <w:pStyle w:val="StandardWeb"/>
      </w:pPr>
      <w:r>
        <w:rPr>
          <w:rStyle w:val="Fett"/>
        </w:rPr>
        <w:lastRenderedPageBreak/>
        <w:t>Word-LaTeX</w:t>
      </w:r>
    </w:p>
    <w:p w:rsidR="00AD04D9" w:rsidRDefault="00AD04D9" w:rsidP="00AD04D9">
      <w:pPr>
        <w:pStyle w:val="HTMLVorformatiert"/>
        <w:rPr>
          <w:rStyle w:val="HTMLCode"/>
        </w:rPr>
      </w:pPr>
      <w:r>
        <w:rPr>
          <w:rStyle w:val="HTMLCode"/>
        </w:rPr>
        <w:t>M_R=d\left(z_0,\partial\Omega_A\right)\qquad\text{(3.7067)}</w:t>
      </w:r>
    </w:p>
    <w:p w:rsidR="00AD04D9" w:rsidRDefault="00AD04D9" w:rsidP="00AD04D9">
      <w:pPr>
        <w:pStyle w:val="StandardWeb"/>
      </w:pPr>
      <w:r>
        <w:t>Ein größerer Wert bedeutet einen größeren Abstand zur nächstgelegenen bekannten Gültigkeitsgrenze.</w:t>
      </w:r>
    </w:p>
    <w:p w:rsidR="00AD04D9" w:rsidRDefault="00E50336" w:rsidP="00AD04D9">
      <w:r>
        <w:pict>
          <v:rect id="_x0000_i1411" style="width:0;height:1.5pt" o:hralign="center" o:hrstd="t" o:hr="t" fillcolor="#a0a0a0" stroked="f"/>
        </w:pict>
      </w:r>
    </w:p>
    <w:p w:rsidR="00AD04D9" w:rsidRDefault="00AD04D9" w:rsidP="00AD04D9">
      <w:pPr>
        <w:pStyle w:val="berschrift2"/>
      </w:pPr>
      <w:r>
        <w:t>3.3.40.136 Robustheitsmargin und Unsicherheit</w:t>
      </w:r>
    </w:p>
    <w:p w:rsidR="00AD04D9" w:rsidRDefault="00AD04D9" w:rsidP="00AD04D9">
      <w:pPr>
        <w:pStyle w:val="StandardWeb"/>
      </w:pPr>
      <w:r>
        <w:t>Sei</w:t>
      </w:r>
    </w:p>
    <w:p w:rsidR="00AD04D9" w:rsidRDefault="00AD04D9" w:rsidP="00AD04D9">
      <w:pPr>
        <w:pStyle w:val="StandardWeb"/>
      </w:pPr>
      <w:r>
        <w:t>[</w:t>
      </w:r>
      <w:r>
        <w:br/>
        <w:t>U_z</w:t>
      </w:r>
      <w:r>
        <w:br/>
        <w:t>\tag{3.7068}</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U_z\qquad\text{(3.7068)}</w:t>
      </w:r>
    </w:p>
    <w:p w:rsidR="00AD04D9" w:rsidRDefault="00AD04D9" w:rsidP="00AD04D9">
      <w:pPr>
        <w:pStyle w:val="StandardWeb"/>
      </w:pPr>
      <w:r>
        <w:t>die effektive Unsicherheit des Konfigurationspunktes.</w:t>
      </w:r>
    </w:p>
    <w:p w:rsidR="00AD04D9" w:rsidRDefault="00AD04D9" w:rsidP="00AD04D9">
      <w:pPr>
        <w:pStyle w:val="StandardWeb"/>
      </w:pPr>
      <w:r>
        <w:t>Eine konservative Bedingung lautet</w:t>
      </w:r>
    </w:p>
    <w:p w:rsidR="00AD04D9" w:rsidRDefault="00AD04D9" w:rsidP="00AD04D9">
      <w:pPr>
        <w:pStyle w:val="StandardWeb"/>
      </w:pPr>
      <w:r>
        <w:t>[</w:t>
      </w:r>
      <w:r>
        <w:br/>
        <w:t>U_z</w:t>
      </w:r>
      <w:r>
        <w:br/>
        <w:t>&lt;</w:t>
      </w:r>
      <w:r>
        <w:br/>
        <w:t>M_R.</w:t>
      </w:r>
      <w:r>
        <w:br/>
        <w:t>\tag{3.7069}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U_z&lt;M_R\qquad\text{(3.7069)}</w:t>
      </w:r>
    </w:p>
    <w:p w:rsidR="00AD04D9" w:rsidRDefault="00AD04D9" w:rsidP="00AD04D9">
      <w:pPr>
        <w:pStyle w:val="StandardWeb"/>
      </w:pPr>
      <w:r>
        <w:t>Dann liegt der Unsicherheitsbereich vollständig innerhalb der bekannten Robustheitsmargin.</w:t>
      </w:r>
    </w:p>
    <w:p w:rsidR="00AD04D9" w:rsidRDefault="00AD04D9" w:rsidP="00AD04D9">
      <w:pPr>
        <w:pStyle w:val="StandardWeb"/>
      </w:pPr>
      <w:r>
        <w:t>Ist dagegen</w:t>
      </w:r>
    </w:p>
    <w:p w:rsidR="00AD04D9" w:rsidRDefault="00AD04D9" w:rsidP="00AD04D9">
      <w:pPr>
        <w:pStyle w:val="StandardWeb"/>
      </w:pPr>
      <w:r>
        <w:t>[</w:t>
      </w:r>
      <w:r>
        <w:br/>
        <w:t>U_z</w:t>
      </w:r>
      <w:r>
        <w:br/>
        <w:t>\geq</w:t>
      </w:r>
      <w:r>
        <w:br/>
        <w:t>M_R,</w:t>
      </w:r>
      <w:r>
        <w:br/>
        <w:t>\tag{3.7070}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U_z\geq M_R\qquad\text{(3.7070)}</w:t>
      </w:r>
    </w:p>
    <w:p w:rsidR="00AD04D9" w:rsidRDefault="00AD04D9" w:rsidP="00AD04D9">
      <w:pPr>
        <w:pStyle w:val="StandardWeb"/>
      </w:pPr>
      <w:r>
        <w:lastRenderedPageBreak/>
        <w:t>reicht die Unsicherheit bis an oder über eine bekannte Gültigkeitsgrenze.</w:t>
      </w:r>
    </w:p>
    <w:p w:rsidR="00AD04D9" w:rsidRDefault="00E50336" w:rsidP="00AD04D9">
      <w:r>
        <w:pict>
          <v:rect id="_x0000_i1412" style="width:0;height:1.5pt" o:hralign="center" o:hrstd="t" o:hr="t" fillcolor="#a0a0a0" stroked="f"/>
        </w:pict>
      </w:r>
    </w:p>
    <w:p w:rsidR="00AD04D9" w:rsidRDefault="00AD04D9" w:rsidP="00AD04D9">
      <w:pPr>
        <w:pStyle w:val="berschrift2"/>
      </w:pPr>
      <w:r>
        <w:t>3.3.40.137 Robustheitsreserve als wissenschaftlicher Sicherheitsabstand</w:t>
      </w:r>
    </w:p>
    <w:p w:rsidR="00AD04D9" w:rsidRDefault="00AD04D9" w:rsidP="00AD04D9">
      <w:pPr>
        <w:pStyle w:val="StandardWeb"/>
      </w:pPr>
      <w:r>
        <w:t>Damit interpretiere ich Robustheit nicht nur als binäre Eigenschaft, sondern auch als Sicherheitsabstand.</w:t>
      </w:r>
    </w:p>
    <w:p w:rsidR="00AD04D9" w:rsidRDefault="00AD04D9" w:rsidP="00AD04D9">
      <w:pPr>
        <w:pStyle w:val="StandardWeb"/>
      </w:pPr>
      <w:r>
        <w:t>Die Aussage</w:t>
      </w:r>
    </w:p>
    <w:p w:rsidR="00AD04D9" w:rsidRDefault="00AD04D9" w:rsidP="00AD04D9">
      <w:pPr>
        <w:pStyle w:val="berschrift1"/>
      </w:pPr>
      <w:r>
        <w:t>[</w:t>
      </w:r>
      <w:r>
        <w:br/>
        <w:t>\operatorname{PRob}_{F}</w:t>
      </w:r>
    </w:p>
    <w:p w:rsidR="00AD04D9" w:rsidRDefault="00AD04D9" w:rsidP="00AD04D9">
      <w:pPr>
        <w:pStyle w:val="StandardWeb"/>
      </w:pPr>
      <w:r>
        <w:t>1</w:t>
      </w:r>
      <w:r>
        <w:br/>
        <w:t>\tag{3.7071}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\operatorname{PRob}_{F}=1\qquad\text{(3.7071)}</w:t>
      </w:r>
    </w:p>
    <w:p w:rsidR="00AD04D9" w:rsidRDefault="00AD04D9" w:rsidP="00AD04D9">
      <w:pPr>
        <w:pStyle w:val="StandardWeb"/>
      </w:pPr>
      <w:r>
        <w:t>wird deshalb sinnvoll ergänzt durch</w:t>
      </w:r>
    </w:p>
    <w:p w:rsidR="00AD04D9" w:rsidRDefault="00AD04D9" w:rsidP="00AD04D9">
      <w:pPr>
        <w:pStyle w:val="StandardWeb"/>
      </w:pPr>
      <w:r>
        <w:t>[</w:t>
      </w:r>
      <w:r>
        <w:br/>
        <w:t>M_R.</w:t>
      </w:r>
      <w:r>
        <w:br/>
        <w:t>\tag{3.7072}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M_R\qquad\text{(3.7072)}</w:t>
      </w:r>
    </w:p>
    <w:p w:rsidR="00AD04D9" w:rsidRDefault="00AD04D9" w:rsidP="00AD04D9">
      <w:pPr>
        <w:pStyle w:val="StandardWeb"/>
      </w:pPr>
      <w:r>
        <w:t>Zwei formal robuste Aussagen können unterschiedliche Sicherheitsreserven besitzen.</w:t>
      </w:r>
    </w:p>
    <w:p w:rsidR="00AD04D9" w:rsidRDefault="00E50336" w:rsidP="00AD04D9">
      <w:r>
        <w:pict>
          <v:rect id="_x0000_i1413" style="width:0;height:1.5pt" o:hralign="center" o:hrstd="t" o:hr="t" fillcolor="#a0a0a0" stroked="f"/>
        </w:pict>
      </w:r>
    </w:p>
    <w:p w:rsidR="00AD04D9" w:rsidRDefault="00AD04D9" w:rsidP="00AD04D9">
      <w:pPr>
        <w:pStyle w:val="berschrift2"/>
      </w:pPr>
      <w:r>
        <w:t>3.3.40.138 Parameterrobustheit und Unsicherheitsbudget</w:t>
      </w:r>
    </w:p>
    <w:p w:rsidR="00AD04D9" w:rsidRDefault="00AD04D9" w:rsidP="00AD04D9">
      <w:pPr>
        <w:pStyle w:val="StandardWeb"/>
      </w:pPr>
      <w:r>
        <w:t>Ich erweitere das Unsicherheitsbudget aus Abschnitt 3.3.39 um Parameter- und Anfangszustandsunsicherheit:</w:t>
      </w:r>
    </w:p>
    <w:p w:rsidR="00AD04D9" w:rsidRDefault="00AD04D9" w:rsidP="00AD04D9">
      <w:pPr>
        <w:pStyle w:val="berschrift1"/>
      </w:pPr>
      <w:r>
        <w:t>[</w:t>
      </w:r>
      <w:r>
        <w:br/>
        <w:t>u_{\mathrm{ges}}</w:t>
      </w:r>
    </w:p>
    <w:p w:rsidR="00AD04D9" w:rsidRDefault="00AD04D9" w:rsidP="00AD04D9">
      <w:pPr>
        <w:pStyle w:val="StandardWeb"/>
      </w:pPr>
      <w:r>
        <w:t>\mathcal{U}</w:t>
      </w:r>
      <w:r>
        <w:br/>
        <w:t>\left(</w:t>
      </w:r>
      <w:r>
        <w:br/>
      </w:r>
      <w:r>
        <w:lastRenderedPageBreak/>
        <w:t>u_{\mathrm{mess}},</w:t>
      </w:r>
      <w:r>
        <w:br/>
        <w:t>u_{\mathrm{stich}},</w:t>
      </w:r>
      <w:r>
        <w:br/>
        <w:t>u_{\mathrm{mod}},</w:t>
      </w:r>
      <w:r>
        <w:br/>
        <w:t>u_{\mathcal{O}},</w:t>
      </w:r>
      <w:r>
        <w:br/>
        <w:t>u_{\theta},</w:t>
      </w:r>
      <w:r>
        <w:br/>
        <w:t>u_{\delta_0},</w:t>
      </w:r>
      <w:r>
        <w:br/>
        <w:t>u_{\mathbf{b}},</w:t>
      </w:r>
      <w:r>
        <w:br/>
        <w:t>u_{\mathrm{trans}}</w:t>
      </w:r>
      <w:r>
        <w:br/>
        <w:t>\right).</w:t>
      </w:r>
      <w:r>
        <w:br/>
        <w:t>\tag{3.7073}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u_{\mathrm{ges}}=\mathcal{U}\left(u_{\mathrm{mess}},u_{\mathrm{stich}},u_{\mathrm{mod}},u_{\mathcal{O}},u_{\theta},u_{\delta_0},u_{\mathbf{b}},u_{\mathrm{trans}}\right)\qquad\text{(3.7073)}</w:t>
      </w:r>
    </w:p>
    <w:p w:rsidR="00AD04D9" w:rsidRDefault="00AD04D9" w:rsidP="00AD04D9">
      <w:pPr>
        <w:pStyle w:val="StandardWeb"/>
      </w:pPr>
      <w:r>
        <w:t>Damit werden nun auch Unsicherheiten der Parametrisierung und Initialisierung explizit berücksichtigt.</w:t>
      </w:r>
    </w:p>
    <w:p w:rsidR="00AD04D9" w:rsidRDefault="00E50336" w:rsidP="00AD04D9">
      <w:r>
        <w:pict>
          <v:rect id="_x0000_i1414" style="width:0;height:1.5pt" o:hralign="center" o:hrstd="t" o:hr="t" fillcolor="#a0a0a0" stroked="f"/>
        </w:pict>
      </w:r>
    </w:p>
    <w:p w:rsidR="00AD04D9" w:rsidRDefault="00AD04D9" w:rsidP="00AD04D9">
      <w:pPr>
        <w:pStyle w:val="berschrift2"/>
      </w:pPr>
      <w:r>
        <w:t>3.3.40.139 Dominante Unsicherheitsquelle</w:t>
      </w:r>
    </w:p>
    <w:p w:rsidR="00AD04D9" w:rsidRDefault="00AD04D9" w:rsidP="00AD04D9">
      <w:pPr>
        <w:pStyle w:val="StandardWeb"/>
      </w:pPr>
      <w:r>
        <w:t>Eine Unsicherheitskomponente kann dominant sein.</w:t>
      </w:r>
    </w:p>
    <w:p w:rsidR="00AD04D9" w:rsidRDefault="00AD04D9" w:rsidP="00AD04D9">
      <w:pPr>
        <w:pStyle w:val="StandardWeb"/>
      </w:pPr>
      <w:r>
        <w:t>Sei</w:t>
      </w:r>
    </w:p>
    <w:p w:rsidR="00AD04D9" w:rsidRDefault="00AD04D9" w:rsidP="00AD04D9">
      <w:pPr>
        <w:pStyle w:val="berschrift1"/>
      </w:pPr>
      <w:r>
        <w:t>[</w:t>
      </w:r>
      <w:r>
        <w:br/>
        <w:t>u_{\max}</w:t>
      </w:r>
    </w:p>
    <w:p w:rsidR="00AD04D9" w:rsidRDefault="00AD04D9" w:rsidP="00AD04D9">
      <w:pPr>
        <w:pStyle w:val="StandardWeb"/>
      </w:pPr>
      <w:r>
        <w:t>\max</w:t>
      </w:r>
      <w:r>
        <w:br/>
        <w:t>\left{</w:t>
      </w:r>
      <w:r>
        <w:br/>
        <w:t>u_{\mathrm{mess}},</w:t>
      </w:r>
      <w:r>
        <w:br/>
        <w:t>u_{\mathrm{stich}},</w:t>
      </w:r>
      <w:r>
        <w:br/>
        <w:t>u_{\mathrm{mod}},</w:t>
      </w:r>
      <w:r>
        <w:br/>
        <w:t>u_{\mathcal{O}},</w:t>
      </w:r>
      <w:r>
        <w:br/>
        <w:t>u_{\theta},</w:t>
      </w:r>
      <w:r>
        <w:br/>
        <w:t>u_{\delta_0},</w:t>
      </w:r>
      <w:r>
        <w:br/>
        <w:t>u_{\mathbf{b}},</w:t>
      </w:r>
      <w:r>
        <w:br/>
        <w:t>u_{\mathrm{trans}}</w:t>
      </w:r>
      <w:r>
        <w:br/>
        <w:t>\right}.</w:t>
      </w:r>
      <w:r>
        <w:br/>
        <w:t>\tag{3.7074}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u_{\max}=\max\left\{u_{\mathrm{mess}},u_{\mathrm{stich}},u_{\mathrm{mod}},u_{\mathcal{O}},u_{\theta},u_{\delta_0},u_{\mathbf{b}},u_{\mathrm{trans}}\right\}\qquad\text{(3.7074)}</w:t>
      </w:r>
    </w:p>
    <w:p w:rsidR="00AD04D9" w:rsidRDefault="00AD04D9" w:rsidP="00AD04D9">
      <w:pPr>
        <w:pStyle w:val="StandardWeb"/>
      </w:pPr>
      <w:r>
        <w:lastRenderedPageBreak/>
        <w:t>Die dominante Unsicherheitsquelle sollte bevorzugt reduziert werden, sofern dies praktisch möglich und wissenschaftlich sinnvoll ist.</w:t>
      </w:r>
    </w:p>
    <w:p w:rsidR="00AD04D9" w:rsidRDefault="00E50336" w:rsidP="00AD04D9">
      <w:r>
        <w:pict>
          <v:rect id="_x0000_i1415" style="width:0;height:1.5pt" o:hralign="center" o:hrstd="t" o:hr="t" fillcolor="#a0a0a0" stroked="f"/>
        </w:pict>
      </w:r>
    </w:p>
    <w:p w:rsidR="00AD04D9" w:rsidRDefault="00AD04D9" w:rsidP="00AD04D9">
      <w:pPr>
        <w:pStyle w:val="berschrift2"/>
      </w:pPr>
      <w:r>
        <w:t>3.3.40.140 Parameterunsicherheit als dominante Unsicherheitsquelle</w:t>
      </w:r>
    </w:p>
    <w:p w:rsidR="00AD04D9" w:rsidRDefault="00AD04D9" w:rsidP="00AD04D9">
      <w:pPr>
        <w:pStyle w:val="StandardWeb"/>
      </w:pPr>
      <w:r>
        <w:t>Wenn</w:t>
      </w:r>
    </w:p>
    <w:p w:rsidR="00AD04D9" w:rsidRDefault="00AD04D9" w:rsidP="00AD04D9">
      <w:pPr>
        <w:pStyle w:val="berschrift1"/>
      </w:pPr>
      <w:r>
        <w:t>[</w:t>
      </w:r>
      <w:r>
        <w:br/>
        <w:t>u_{\theta}</w:t>
      </w:r>
    </w:p>
    <w:p w:rsidR="00AD04D9" w:rsidRDefault="00AD04D9" w:rsidP="00AD04D9">
      <w:pPr>
        <w:pStyle w:val="StandardWeb"/>
      </w:pPr>
      <w:r>
        <w:t>u_{\max},</w:t>
      </w:r>
      <w:r>
        <w:br/>
        <w:t>\tag{3.7075}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u_{\theta}=u_{\max}\qquad\text{(3.7075)}</w:t>
      </w:r>
    </w:p>
    <w:p w:rsidR="00AD04D9" w:rsidRDefault="00AD04D9" w:rsidP="00AD04D9">
      <w:pPr>
        <w:pStyle w:val="StandardWeb"/>
      </w:pPr>
      <w:r>
        <w:t>ist die Genauigkeit der Parametrisierung die gegenwärtig wichtigste Unsicherheitsquelle.</w:t>
      </w:r>
    </w:p>
    <w:p w:rsidR="00AD04D9" w:rsidRDefault="00AD04D9" w:rsidP="00AD04D9">
      <w:pPr>
        <w:pStyle w:val="StandardWeb"/>
      </w:pPr>
      <w:r>
        <w:t>In diesem Fall kann eine höhere Messgenauigkeit bei unverändert großer Parameterunsicherheit nur begrenzten Nutzen besitzen.</w:t>
      </w:r>
    </w:p>
    <w:p w:rsidR="00AD04D9" w:rsidRDefault="00E50336" w:rsidP="00AD04D9">
      <w:r>
        <w:pict>
          <v:rect id="_x0000_i1416" style="width:0;height:1.5pt" o:hralign="center" o:hrstd="t" o:hr="t" fillcolor="#a0a0a0" stroked="f"/>
        </w:pict>
      </w:r>
    </w:p>
    <w:p w:rsidR="00AD04D9" w:rsidRDefault="00AD04D9" w:rsidP="00AD04D9">
      <w:pPr>
        <w:pStyle w:val="berschrift2"/>
      </w:pPr>
      <w:r>
        <w:t>3.3.40.141 Experimentdesign aus Sensitivität</w:t>
      </w:r>
    </w:p>
    <w:p w:rsidR="00AD04D9" w:rsidRDefault="00AD04D9" w:rsidP="00AD04D9">
      <w:pPr>
        <w:pStyle w:val="StandardWeb"/>
      </w:pPr>
      <w:r>
        <w:t>Sensitivitätsanalyse kann deshalb zur Planung neuer Messungen verwendet werden.</w:t>
      </w:r>
    </w:p>
    <w:p w:rsidR="00AD04D9" w:rsidRDefault="00AD04D9" w:rsidP="00AD04D9">
      <w:pPr>
        <w:pStyle w:val="StandardWeb"/>
      </w:pPr>
      <w:r>
        <w:t>Ein besonders sensitiver, zugleich schlecht identifizierter Parameter erfüllt</w:t>
      </w:r>
    </w:p>
    <w:p w:rsidR="00AD04D9" w:rsidRDefault="00AD04D9" w:rsidP="00AD04D9">
      <w:pPr>
        <w:pStyle w:val="StandardWeb"/>
      </w:pPr>
      <w:r>
        <w:t>[</w:t>
      </w:r>
      <w:r>
        <w:br/>
        <w:t>G_i</w:t>
      </w:r>
      <w:r>
        <w:br/>
        <w:t>\text{ hoch}</w:t>
      </w:r>
      <w:r>
        <w:br/>
        <w:t>\land</w:t>
      </w:r>
      <w:r>
        <w:br/>
        <w:t>u_{\theta_i}</w:t>
      </w:r>
      <w:r>
        <w:br/>
        <w:t>\text{ hoch}.</w:t>
      </w:r>
      <w:r>
        <w:br/>
        <w:t>\tag{3.7076}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G_i\text{ hoch}\land u_{\theta_i}\text{ hoch}\qquad\text{(3.7076)}</w:t>
      </w:r>
    </w:p>
    <w:p w:rsidR="00AD04D9" w:rsidRDefault="00AD04D9" w:rsidP="00AD04D9">
      <w:pPr>
        <w:pStyle w:val="StandardWeb"/>
      </w:pPr>
      <w:r>
        <w:t>Ein solcher Parameter ist ein besonders relevanter Kandidat für zusätzliche Datenerhebung.</w:t>
      </w:r>
    </w:p>
    <w:p w:rsidR="00AD04D9" w:rsidRDefault="00E50336" w:rsidP="00AD04D9">
      <w:r>
        <w:lastRenderedPageBreak/>
        <w:pict>
          <v:rect id="_x0000_i1417" style="width:0;height:1.5pt" o:hralign="center" o:hrstd="t" o:hr="t" fillcolor="#a0a0a0" stroked="f"/>
        </w:pict>
      </w:r>
    </w:p>
    <w:p w:rsidR="00AD04D9" w:rsidRDefault="00AD04D9" w:rsidP="00AD04D9">
      <w:pPr>
        <w:pStyle w:val="berschrift2"/>
      </w:pPr>
      <w:r>
        <w:t>3.3.40.142 Priorisierung neuer Daten</w:t>
      </w:r>
    </w:p>
    <w:p w:rsidR="00AD04D9" w:rsidRDefault="00AD04D9" w:rsidP="00AD04D9">
      <w:pPr>
        <w:pStyle w:val="StandardWeb"/>
      </w:pPr>
      <w:r>
        <w:t>Ich definiere abstrakt eine Priorität</w:t>
      </w:r>
    </w:p>
    <w:p w:rsidR="00AD04D9" w:rsidRDefault="00AD04D9" w:rsidP="00AD04D9">
      <w:pPr>
        <w:pStyle w:val="berschrift1"/>
      </w:pPr>
      <w:r>
        <w:t>[</w:t>
      </w:r>
      <w:r>
        <w:br/>
        <w:t>P_i^{\mathrm{data}}</w:t>
      </w:r>
    </w:p>
    <w:p w:rsidR="00AD04D9" w:rsidRDefault="00AD04D9" w:rsidP="00AD04D9">
      <w:pPr>
        <w:pStyle w:val="StandardWeb"/>
      </w:pPr>
      <w:r>
        <w:t>\mathcal{P}</w:t>
      </w:r>
      <w:r>
        <w:br/>
        <w:t>\left(</w:t>
      </w:r>
      <w:r>
        <w:br/>
        <w:t>G_i,</w:t>
      </w:r>
      <w:r>
        <w:br/>
        <w:t>u_{\theta_i}</w:t>
      </w:r>
      <w:r>
        <w:br/>
        <w:t>\right).</w:t>
      </w:r>
      <w:r>
        <w:br/>
        <w:t>\tag{3.7077}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P_i^{\mathrm{data}}=\mathcal{P}\left(G_i,u_{\theta_i}\right)\qquad\text{(3.7077)}</w:t>
      </w:r>
    </w:p>
    <w:p w:rsidR="00AD04D9" w:rsidRDefault="00AD04D9" w:rsidP="00AD04D9">
      <w:pPr>
        <w:pStyle w:val="StandardWeb"/>
      </w:pPr>
      <w:r>
        <w:t>Ein hoher Wert bedeutet, dass zusätzliche Information über (\theta_i) potenziell großen Einfluss auf die wissenschaftliche Aussagequalität besitzt.</w:t>
      </w:r>
    </w:p>
    <w:p w:rsidR="00AD04D9" w:rsidRDefault="00E50336" w:rsidP="00AD04D9">
      <w:r>
        <w:pict>
          <v:rect id="_x0000_i1418" style="width:0;height:1.5pt" o:hralign="center" o:hrstd="t" o:hr="t" fillcolor="#a0a0a0" stroked="f"/>
        </w:pict>
      </w:r>
    </w:p>
    <w:p w:rsidR="00AD04D9" w:rsidRDefault="00AD04D9" w:rsidP="00AD04D9">
      <w:pPr>
        <w:pStyle w:val="berschrift2"/>
      </w:pPr>
      <w:r>
        <w:t>3.3.40.143 Sensitivität als Erkenntniswerkzeug</w:t>
      </w:r>
    </w:p>
    <w:p w:rsidR="00AD04D9" w:rsidRDefault="00AD04D9" w:rsidP="00AD04D9">
      <w:pPr>
        <w:pStyle w:val="StandardWeb"/>
      </w:pPr>
      <w:r>
        <w:t>Damit erhält Sensitivitätsanalyse eine doppelte Funktion.</w:t>
      </w:r>
    </w:p>
    <w:p w:rsidR="00AD04D9" w:rsidRDefault="00AD04D9" w:rsidP="00AD04D9">
      <w:pPr>
        <w:pStyle w:val="StandardWeb"/>
      </w:pPr>
      <w:r>
        <w:t>Sie prüft einerseits bestehende Aussagen auf Robustheit.</w:t>
      </w:r>
    </w:p>
    <w:p w:rsidR="00AD04D9" w:rsidRDefault="00AD04D9" w:rsidP="00AD04D9">
      <w:pPr>
        <w:pStyle w:val="StandardWeb"/>
      </w:pPr>
      <w:r>
        <w:t xml:space="preserve">Andererseits zeigt sie, </w:t>
      </w:r>
      <w:r>
        <w:rPr>
          <w:rStyle w:val="Fett"/>
        </w:rPr>
        <w:t>wo zusätzliche empirische Information besonders wertvoll wäre</w:t>
      </w:r>
      <w:r>
        <w:t>.</w:t>
      </w:r>
    </w:p>
    <w:p w:rsidR="00AD04D9" w:rsidRDefault="00AD04D9" w:rsidP="00AD04D9">
      <w:pPr>
        <w:pStyle w:val="StandardWeb"/>
      </w:pPr>
      <w:r>
        <w:t>Diese zweite Funktion ist für die iterative Weiterentwicklung des FRZK besonders wichtig.</w:t>
      </w:r>
    </w:p>
    <w:p w:rsidR="00AD04D9" w:rsidRDefault="00E50336" w:rsidP="00AD04D9">
      <w:r>
        <w:pict>
          <v:rect id="_x0000_i1419" style="width:0;height:1.5pt" o:hralign="center" o:hrstd="t" o:hr="t" fillcolor="#a0a0a0" stroked="f"/>
        </w:pict>
      </w:r>
    </w:p>
    <w:p w:rsidR="00AD04D9" w:rsidRDefault="00AD04D9" w:rsidP="00AD04D9">
      <w:pPr>
        <w:pStyle w:val="berschrift2"/>
      </w:pPr>
      <w:r>
        <w:t>3.3.40.144 Parameterrobustheit und Modellvergleich</w:t>
      </w:r>
    </w:p>
    <w:p w:rsidR="00AD04D9" w:rsidRDefault="00AD04D9" w:rsidP="00AD04D9">
      <w:pPr>
        <w:pStyle w:val="StandardWeb"/>
      </w:pPr>
      <w:r>
        <w:t>Zwei Modelle können bei optimalen Parametern ähnlich gut passen:</w:t>
      </w:r>
    </w:p>
    <w:p w:rsidR="00AD04D9" w:rsidRDefault="00AD04D9" w:rsidP="00AD04D9">
      <w:pPr>
        <w:pStyle w:val="StandardWeb"/>
      </w:pPr>
      <w:r>
        <w:t>[</w:t>
      </w:r>
      <w:r>
        <w:br/>
        <w:t>L_{\mathcal{M}</w:t>
      </w:r>
      <w:r>
        <w:rPr>
          <w:rStyle w:val="Hervorhebung"/>
        </w:rPr>
        <w:t>1}^{\ast}</w:t>
      </w:r>
      <w:r>
        <w:rPr>
          <w:i/>
          <w:iCs/>
        </w:rPr>
        <w:br/>
      </w:r>
      <w:r>
        <w:rPr>
          <w:rStyle w:val="Hervorhebung"/>
        </w:rPr>
        <w:t>\approx</w:t>
      </w:r>
      <w:r>
        <w:rPr>
          <w:i/>
          <w:iCs/>
        </w:rPr>
        <w:br/>
      </w:r>
      <w:r>
        <w:rPr>
          <w:rStyle w:val="Hervorhebung"/>
        </w:rPr>
        <w:t>L</w:t>
      </w:r>
      <w:r>
        <w:t>{\mathcal{M}_2}^{\ast}.</w:t>
      </w:r>
      <w:r>
        <w:br/>
        <w:t>\tag{3.7078}</w:t>
      </w:r>
      <w:r>
        <w:br/>
        <w:t>]</w:t>
      </w:r>
    </w:p>
    <w:p w:rsidR="00AD04D9" w:rsidRDefault="00AD04D9" w:rsidP="00AD04D9">
      <w:pPr>
        <w:pStyle w:val="StandardWeb"/>
      </w:pPr>
      <w:r>
        <w:rPr>
          <w:rStyle w:val="Fett"/>
        </w:rPr>
        <w:lastRenderedPageBreak/>
        <w:t>Word-LaTeX</w:t>
      </w:r>
    </w:p>
    <w:p w:rsidR="00AD04D9" w:rsidRDefault="00AD04D9" w:rsidP="00AD04D9">
      <w:pPr>
        <w:pStyle w:val="HTMLVorformatiert"/>
        <w:rPr>
          <w:rStyle w:val="HTMLCode"/>
        </w:rPr>
      </w:pPr>
      <w:r>
        <w:rPr>
          <w:rStyle w:val="HTMLCode"/>
        </w:rPr>
        <w:t>L_{\mathcal{M}_1}^{\ast}\approx L_{\mathcal{M}_2}^{\ast}\qquad\text{(3.7078)}</w:t>
      </w:r>
    </w:p>
    <w:p w:rsidR="00AD04D9" w:rsidRDefault="00AD04D9" w:rsidP="00AD04D9">
      <w:pPr>
        <w:pStyle w:val="StandardWeb"/>
      </w:pPr>
      <w:r>
        <w:t>Ihre Parameterrobustheit kann jedoch deutlich verschieden sein:</w:t>
      </w:r>
    </w:p>
    <w:p w:rsidR="00AD04D9" w:rsidRDefault="00AD04D9" w:rsidP="00AD04D9">
      <w:pPr>
        <w:pStyle w:val="StandardWeb"/>
      </w:pPr>
      <w:r>
        <w:t>[</w:t>
      </w:r>
      <w:r>
        <w:br/>
        <w:t>R_{\theta}^{(\mathcal{M}</w:t>
      </w:r>
      <w:r>
        <w:rPr>
          <w:rStyle w:val="Hervorhebung"/>
        </w:rPr>
        <w:t>1)}</w:t>
      </w:r>
      <w:r>
        <w:rPr>
          <w:i/>
          <w:iCs/>
        </w:rPr>
        <w:br/>
      </w:r>
      <w:r>
        <w:rPr>
          <w:rStyle w:val="Hervorhebung"/>
        </w:rPr>
        <w:t>\neq</w:t>
      </w:r>
      <w:r>
        <w:rPr>
          <w:i/>
          <w:iCs/>
        </w:rPr>
        <w:br/>
      </w:r>
      <w:r>
        <w:rPr>
          <w:rStyle w:val="Hervorhebung"/>
        </w:rPr>
        <w:t>R</w:t>
      </w:r>
      <w:r>
        <w:t>{\theta}^{(\mathcal{M}_2)}.</w:t>
      </w:r>
      <w:r>
        <w:br/>
        <w:t>\tag{3.7079}</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R_{\theta}^{(\mathcal{M}_1)}\neq R_{\theta}^{(\mathcal{M}_2)}\qquad\text{(3.7079)}</w:t>
      </w:r>
    </w:p>
    <w:p w:rsidR="00AD04D9" w:rsidRDefault="00AD04D9" w:rsidP="00AD04D9">
      <w:pPr>
        <w:pStyle w:val="StandardWeb"/>
      </w:pPr>
      <w:r>
        <w:t>Damit kann Robustheit ein zusätzliches Kriterium im Modellvergleich liefern.</w:t>
      </w:r>
    </w:p>
    <w:p w:rsidR="00AD04D9" w:rsidRDefault="00E50336" w:rsidP="00AD04D9">
      <w:r>
        <w:pict>
          <v:rect id="_x0000_i1420" style="width:0;height:1.5pt" o:hralign="center" o:hrstd="t" o:hr="t" fillcolor="#a0a0a0" stroked="f"/>
        </w:pict>
      </w:r>
    </w:p>
    <w:p w:rsidR="00AD04D9" w:rsidRDefault="00AD04D9" w:rsidP="00AD04D9">
      <w:pPr>
        <w:pStyle w:val="berschrift2"/>
      </w:pPr>
      <w:r>
        <w:t>3.3.40.145 Robusteres Modell bei vergleichbarer Güte</w:t>
      </w:r>
    </w:p>
    <w:p w:rsidR="00AD04D9" w:rsidRDefault="00AD04D9" w:rsidP="00AD04D9">
      <w:pPr>
        <w:pStyle w:val="StandardWeb"/>
      </w:pPr>
      <w:r>
        <w:t>Bei vergleichbarer Modellgüte kann ein Modell mit größerer Robustheitsregion methodisch bevorzugenswert sein, sofern keine anderen wissenschaftlichen Gründe dagegensprechen.</w:t>
      </w:r>
    </w:p>
    <w:p w:rsidR="00AD04D9" w:rsidRDefault="00AD04D9" w:rsidP="00AD04D9">
      <w:pPr>
        <w:pStyle w:val="StandardWeb"/>
      </w:pPr>
      <w:r>
        <w:t>Formal:</w:t>
      </w:r>
    </w:p>
    <w:p w:rsidR="00AD04D9" w:rsidRDefault="00AD04D9" w:rsidP="00AD04D9">
      <w:pPr>
        <w:pStyle w:val="StandardWeb"/>
      </w:pPr>
      <w:r>
        <w:t>[</w:t>
      </w:r>
      <w:r>
        <w:br/>
        <w:t>G_{\mathrm{fit}}^{(1)}</w:t>
      </w:r>
      <w:r>
        <w:br/>
        <w:t>\approx</w:t>
      </w:r>
      <w:r>
        <w:br/>
        <w:t>G_{\mathrm{fit}}^{(2)}</w:t>
      </w:r>
      <w:r>
        <w:br/>
        <w:t>\land</w:t>
      </w:r>
      <w:r>
        <w:br/>
        <w:t>R_{\theta}^{(1)}</w:t>
      </w:r>
    </w:p>
    <w:p w:rsidR="00AD04D9" w:rsidRDefault="00AD04D9" w:rsidP="00AD04D9">
      <w:pPr>
        <w:pStyle w:val="StandardWeb"/>
      </w:pPr>
      <w:r>
        <w:t>R_{\theta}^{(2)}.</w:t>
      </w:r>
      <w:r>
        <w:br/>
        <w:t>\tag{3.7080}</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G_{\mathrm{fit}}^{(1)}\approx G_{\mathrm{fit}}^{(2)}\land R_{\theta}^{(1)}&gt;R_{\theta}^{(2)}\qquad\text{(3.7080)}</w:t>
      </w:r>
    </w:p>
    <w:p w:rsidR="00AD04D9" w:rsidRDefault="00AD04D9" w:rsidP="00AD04D9">
      <w:pPr>
        <w:pStyle w:val="StandardWeb"/>
      </w:pPr>
      <w:r>
        <w:t>Dies bedeutet jedoch nicht, dass Robustheit automatisch jedes andere Modellkriterium dominiert.</w:t>
      </w:r>
    </w:p>
    <w:p w:rsidR="00AD04D9" w:rsidRDefault="00E50336" w:rsidP="00AD04D9">
      <w:r>
        <w:pict>
          <v:rect id="_x0000_i1421" style="width:0;height:1.5pt" o:hralign="center" o:hrstd="t" o:hr="t" fillcolor="#a0a0a0" stroked="f"/>
        </w:pict>
      </w:r>
    </w:p>
    <w:p w:rsidR="00AD04D9" w:rsidRDefault="00AD04D9" w:rsidP="00AD04D9">
      <w:pPr>
        <w:pStyle w:val="berschrift2"/>
      </w:pPr>
      <w:r>
        <w:t>3.3.40.146 Robustheit versus Flexibilität</w:t>
      </w:r>
    </w:p>
    <w:p w:rsidR="00AD04D9" w:rsidRDefault="00AD04D9" w:rsidP="00AD04D9">
      <w:pPr>
        <w:pStyle w:val="StandardWeb"/>
      </w:pPr>
      <w:r>
        <w:lastRenderedPageBreak/>
        <w:t>Ein sehr flexibles Modell kann große Datenbereiche abbilden, aber zugleich empfindlich gegenüber Parameteränderungen sein.</w:t>
      </w:r>
    </w:p>
    <w:p w:rsidR="00AD04D9" w:rsidRDefault="00AD04D9" w:rsidP="00AD04D9">
      <w:pPr>
        <w:pStyle w:val="StandardWeb"/>
      </w:pPr>
      <w:r>
        <w:t>Ich unterscheide deshalb</w:t>
      </w:r>
    </w:p>
    <w:p w:rsidR="00AD04D9" w:rsidRDefault="00AD04D9" w:rsidP="00AD04D9">
      <w:pPr>
        <w:pStyle w:val="StandardWeb"/>
      </w:pPr>
      <w:r>
        <w:t>[</w:t>
      </w:r>
      <w:r>
        <w:br/>
        <w:t>F_{\mathrm{mod}}</w:t>
      </w:r>
      <w:r>
        <w:br/>
        <w:t>\tag{3.7081}</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F_{\mathrm{mod}}\qquad\text{(3.7081)}</w:t>
      </w:r>
    </w:p>
    <w:p w:rsidR="00AD04D9" w:rsidRDefault="00AD04D9" w:rsidP="00AD04D9">
      <w:pPr>
        <w:pStyle w:val="StandardWeb"/>
      </w:pPr>
      <w:r>
        <w:t>für Modellflexibilität von</w:t>
      </w:r>
    </w:p>
    <w:p w:rsidR="00AD04D9" w:rsidRDefault="00AD04D9" w:rsidP="00AD04D9">
      <w:pPr>
        <w:pStyle w:val="StandardWeb"/>
      </w:pPr>
      <w:r>
        <w:t>[</w:t>
      </w:r>
      <w:r>
        <w:br/>
        <w:t>R_{\theta}.</w:t>
      </w:r>
      <w:r>
        <w:br/>
        <w:t>\tag{3.7082}</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R_{\theta}\qquad\text{(3.7082)}</w:t>
      </w:r>
    </w:p>
    <w:p w:rsidR="00AD04D9" w:rsidRDefault="00AD04D9" w:rsidP="00AD04D9">
      <w:pPr>
        <w:pStyle w:val="StandardWeb"/>
      </w:pPr>
      <w:r>
        <w:t>Hohe Flexibilität ist nicht gleichbedeutend mit hoher Robustheit.</w:t>
      </w:r>
    </w:p>
    <w:p w:rsidR="00AD04D9" w:rsidRDefault="00E50336" w:rsidP="00AD04D9">
      <w:r>
        <w:pict>
          <v:rect id="_x0000_i1422" style="width:0;height:1.5pt" o:hralign="center" o:hrstd="t" o:hr="t" fillcolor="#a0a0a0" stroked="f"/>
        </w:pict>
      </w:r>
    </w:p>
    <w:p w:rsidR="00AD04D9" w:rsidRDefault="00AD04D9" w:rsidP="00AD04D9">
      <w:pPr>
        <w:pStyle w:val="berschrift2"/>
      </w:pPr>
      <w:r>
        <w:t>3.3.40.147 Parameterrobustheit und Einfachheit</w:t>
      </w:r>
    </w:p>
    <w:p w:rsidR="00AD04D9" w:rsidRDefault="00AD04D9" w:rsidP="00AD04D9">
      <w:pPr>
        <w:pStyle w:val="StandardWeb"/>
      </w:pPr>
      <w:r>
        <w:t>Ein einfacheres Modell kann unter Umständen robustere qualitative Aussagen liefern, weil es weniger schlecht identifizierbare Parameter enthält.</w:t>
      </w:r>
    </w:p>
    <w:p w:rsidR="00AD04D9" w:rsidRDefault="00AD04D9" w:rsidP="00AD04D9">
      <w:pPr>
        <w:pStyle w:val="StandardWeb"/>
      </w:pPr>
      <w:r>
        <w:t>Dies kann abstrakt ausgedrückt werden durch</w:t>
      </w:r>
    </w:p>
    <w:p w:rsidR="00AD04D9" w:rsidRDefault="00AD04D9" w:rsidP="00AD04D9">
      <w:pPr>
        <w:pStyle w:val="StandardWeb"/>
      </w:pPr>
      <w:r>
        <w:t>[</w:t>
      </w:r>
      <w:r>
        <w:br/>
        <w:t>p_{\mathrm{red}}</w:t>
      </w:r>
      <w:r>
        <w:br/>
        <w:t>&lt;</w:t>
      </w:r>
      <w:r>
        <w:br/>
        <w:t>p_{\mathrm{full}}</w:t>
      </w:r>
      <w:r>
        <w:br/>
        <w:t>\tag{3.7083}</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p_{\mathrm{red}}&lt;p_{\mathrm{full}}\qquad\text{(3.7083)}</w:t>
      </w:r>
    </w:p>
    <w:p w:rsidR="00AD04D9" w:rsidRDefault="00AD04D9" w:rsidP="00AD04D9">
      <w:pPr>
        <w:pStyle w:val="StandardWeb"/>
      </w:pPr>
      <w:r>
        <w:t>bei gleichzeitig</w:t>
      </w:r>
    </w:p>
    <w:p w:rsidR="00AD04D9" w:rsidRDefault="00AD04D9" w:rsidP="00AD04D9">
      <w:pPr>
        <w:pStyle w:val="StandardWeb"/>
      </w:pPr>
      <w:r>
        <w:t>[</w:t>
      </w:r>
      <w:r>
        <w:br/>
        <w:t>R_{\theta}^{\mathrm{red}}</w:t>
      </w:r>
    </w:p>
    <w:p w:rsidR="00AD04D9" w:rsidRDefault="00AD04D9" w:rsidP="00AD04D9">
      <w:pPr>
        <w:pStyle w:val="StandardWeb"/>
      </w:pPr>
      <w:r>
        <w:lastRenderedPageBreak/>
        <w:t>R_{\theta}^{\mathrm{full}}.</w:t>
      </w:r>
      <w:r>
        <w:br/>
        <w:t>\tag{3.7084}</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R_{\theta}^{\mathrm{red}}&gt;R_{\theta}^{\mathrm{full}}\qquad\text{(3.7084)}</w:t>
      </w:r>
    </w:p>
    <w:p w:rsidR="00AD04D9" w:rsidRDefault="00AD04D9" w:rsidP="00AD04D9">
      <w:pPr>
        <w:pStyle w:val="StandardWeb"/>
      </w:pPr>
      <w:r>
        <w:t>Eine solche Reduktion ist jedoch nur dann wissenschaftlich zulässig, wenn die relevanten funktionalen Aussagen und Mechanismen erhalten bleiben.</w:t>
      </w:r>
    </w:p>
    <w:p w:rsidR="00AD04D9" w:rsidRDefault="00E50336" w:rsidP="00AD04D9">
      <w:r>
        <w:pict>
          <v:rect id="_x0000_i1423" style="width:0;height:1.5pt" o:hralign="center" o:hrstd="t" o:hr="t" fillcolor="#a0a0a0" stroked="f"/>
        </w:pict>
      </w:r>
    </w:p>
    <w:p w:rsidR="00AD04D9" w:rsidRDefault="00AD04D9" w:rsidP="00AD04D9">
      <w:pPr>
        <w:pStyle w:val="berschrift2"/>
      </w:pPr>
      <w:r>
        <w:t>3.3.40.148 Parameterrobustheit als Teil der Modelltransparenz</w:t>
      </w:r>
    </w:p>
    <w:p w:rsidR="00AD04D9" w:rsidRDefault="00AD04D9" w:rsidP="00AD04D9">
      <w:pPr>
        <w:pStyle w:val="StandardWeb"/>
      </w:pPr>
      <w:r>
        <w:t>Eine Modellbeschreibung ist unvollständig, wenn sie lediglich den besten Parametersatz angibt.</w:t>
      </w:r>
    </w:p>
    <w:p w:rsidR="00AD04D9" w:rsidRDefault="00AD04D9" w:rsidP="00AD04D9">
      <w:pPr>
        <w:pStyle w:val="StandardWeb"/>
      </w:pPr>
      <w:r>
        <w:t>Statt</w:t>
      </w:r>
    </w:p>
    <w:p w:rsidR="00AD04D9" w:rsidRDefault="00AD04D9" w:rsidP="00AD04D9">
      <w:pPr>
        <w:pStyle w:val="StandardWeb"/>
      </w:pPr>
      <w:r>
        <w:t>[</w:t>
      </w:r>
      <w:r>
        <w:br/>
        <w:t>\widehat{\boldsymbol{\theta}}</w:t>
      </w:r>
      <w:r>
        <w:br/>
        <w:t>\tag{3.7085}</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\widehat{\boldsymbol{\theta}}\qquad\text{(3.7085)}</w:t>
      </w:r>
    </w:p>
    <w:p w:rsidR="00AD04D9" w:rsidRDefault="00AD04D9" w:rsidP="00AD04D9">
      <w:pPr>
        <w:pStyle w:val="StandardWeb"/>
      </w:pPr>
      <w:r>
        <w:t>allein zu berichten, sollte mindestens zusätzlich angegeben werden</w:t>
      </w:r>
    </w:p>
    <w:p w:rsidR="00AD04D9" w:rsidRDefault="00AD04D9" w:rsidP="00AD04D9">
      <w:pPr>
        <w:pStyle w:val="StandardWeb"/>
      </w:pPr>
      <w:r>
        <w:t>[</w:t>
      </w:r>
      <w:r>
        <w:br/>
        <w:t>\left(</w:t>
      </w:r>
      <w:r>
        <w:br/>
        <w:t>\widehat{\boldsymbol{\theta}},</w:t>
      </w:r>
      <w:r>
        <w:br/>
        <w:t>\mathbf{u}</w:t>
      </w:r>
      <w:r>
        <w:rPr>
          <w:rStyle w:val="Hervorhebung"/>
        </w:rPr>
        <w:t>{\theta},</w:t>
      </w:r>
      <w:r>
        <w:rPr>
          <w:i/>
          <w:iCs/>
        </w:rPr>
        <w:br/>
      </w:r>
      <w:r>
        <w:rPr>
          <w:rStyle w:val="Hervorhebung"/>
        </w:rPr>
        <w:t>R</w:t>
      </w:r>
      <w:r>
        <w:t>{\theta},</w:t>
      </w:r>
      <w:r>
        <w:br/>
        <w:t>\mathfrak{B}_{\mathrm{krit}}</w:t>
      </w:r>
      <w:r>
        <w:br/>
        <w:t>\right).</w:t>
      </w:r>
      <w:r>
        <w:br/>
        <w:t>\tag{3.7086}</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\left(\widehat{\boldsymbol{\theta}},\mathbf{u}_{\theta},R_{\theta},\mathfrak{B}_{\mathrm{krit}}\right)\qquad\text{(3.7086)}</w:t>
      </w:r>
    </w:p>
    <w:p w:rsidR="00AD04D9" w:rsidRDefault="00AD04D9" w:rsidP="00AD04D9">
      <w:pPr>
        <w:pStyle w:val="StandardWeb"/>
      </w:pPr>
      <w:r>
        <w:t>Damit wird sichtbar, wie sicher, robust und grenznah die Parametrisierung tatsächlich ist.</w:t>
      </w:r>
    </w:p>
    <w:p w:rsidR="00AD04D9" w:rsidRDefault="00E50336" w:rsidP="00AD04D9">
      <w:r>
        <w:pict>
          <v:rect id="_x0000_i1424" style="width:0;height:1.5pt" o:hralign="center" o:hrstd="t" o:hr="t" fillcolor="#a0a0a0" stroked="f"/>
        </w:pict>
      </w:r>
    </w:p>
    <w:p w:rsidR="00AD04D9" w:rsidRDefault="00AD04D9" w:rsidP="00AD04D9">
      <w:pPr>
        <w:pStyle w:val="berschrift2"/>
      </w:pPr>
      <w:r>
        <w:lastRenderedPageBreak/>
        <w:t>3.3.40.149 Zwischenstand</w:t>
      </w:r>
    </w:p>
    <w:p w:rsidR="00AD04D9" w:rsidRDefault="00AD04D9" w:rsidP="00AD04D9">
      <w:pPr>
        <w:pStyle w:val="StandardWeb"/>
      </w:pPr>
      <w:r>
        <w:t>Bis hierher ist die formale Grundstruktur der Parameter- und Anfangsbedingungsrobustheit aufgebaut. Ich habe Parameter-, Anfangszustands- und Randbedingungsräume getrennt, lokale und globale Sensitivität definiert, Parameterinteraktionen, Unsicherheitsfortpflanzung, Bifurkationsnähe, Attraktorwechsel, Dominanzwechsel, Kausalitäts-, Prognose- und Interventionsrobustheit sowie Parameteridentifizierbarkeit und Äquifinalität eingebunden.</w:t>
      </w:r>
    </w:p>
    <w:p w:rsidR="00AD04D9" w:rsidRDefault="00AD04D9" w:rsidP="00AD04D9">
      <w:pPr>
        <w:pStyle w:val="StandardWeb"/>
      </w:pPr>
      <w:r>
        <w:t>Die zentrale Abhängigkeit lautet nun</w:t>
      </w:r>
    </w:p>
    <w:p w:rsidR="00AD04D9" w:rsidRDefault="00AD04D9" w:rsidP="00AD04D9">
      <w:pPr>
        <w:pStyle w:val="berschrift1"/>
      </w:pPr>
      <w:r>
        <w:t>[</w:t>
      </w:r>
      <w:r>
        <w:br/>
        <w:t>A_F</w:t>
      </w:r>
    </w:p>
    <w:p w:rsidR="00AD04D9" w:rsidRDefault="00AD04D9" w:rsidP="00AD04D9">
      <w:pPr>
        <w:pStyle w:val="StandardWeb"/>
      </w:pPr>
      <w:r>
        <w:t>A_F</w:t>
      </w:r>
      <w:r>
        <w:br/>
        <w:t>\left(</w:t>
      </w:r>
      <w:r>
        <w:br/>
        <w:t>\mathcal{O},</w:t>
      </w:r>
      <w:r>
        <w:br/>
        <w:t>\mathcal{D},</w:t>
      </w:r>
      <w:r>
        <w:br/>
        <w:t>\mathcal{M},</w:t>
      </w:r>
      <w:r>
        <w:br/>
        <w:t>\boldsymbol{\theta},</w:t>
      </w:r>
      <w:r>
        <w:br/>
        <w:t>\delta_0,</w:t>
      </w:r>
      <w:r>
        <w:br/>
        <w:t>\mathbf{b},</w:t>
      </w:r>
      <w:r>
        <w:br/>
        <w:t>\varepsilon,</w:t>
      </w:r>
      <w:r>
        <w:br/>
        <w:t>\mathcal{C}</w:t>
      </w:r>
      <w:r>
        <w:br/>
        <w:t>\right).</w:t>
      </w:r>
      <w:r>
        <w:br/>
        <w:t>\tag{3.7087}</w:t>
      </w:r>
      <w:r>
        <w:br/>
        <w:t>]</w:t>
      </w:r>
    </w:p>
    <w:p w:rsidR="00AD04D9" w:rsidRDefault="00AD04D9" w:rsidP="00AD04D9">
      <w:pPr>
        <w:pStyle w:val="StandardWeb"/>
      </w:pPr>
      <w:r>
        <w:rPr>
          <w:rStyle w:val="Fett"/>
        </w:rPr>
        <w:t>Word-LaTeX</w:t>
      </w:r>
    </w:p>
    <w:p w:rsidR="00AD04D9" w:rsidRDefault="00AD04D9" w:rsidP="00AD04D9">
      <w:pPr>
        <w:pStyle w:val="HTMLVorformatiert"/>
        <w:rPr>
          <w:rStyle w:val="HTMLCode"/>
        </w:rPr>
      </w:pPr>
      <w:r>
        <w:rPr>
          <w:rStyle w:val="HTMLCode"/>
        </w:rPr>
        <w:t>A_F=A_F\left(\mathcal{O},\mathcal{D},\mathcal{M},\boldsymbol{\theta},\delta_0,\mathbf{b},\varepsilon,\mathcal{C}\right)\qquad\text{(3.7087)}</w:t>
      </w:r>
    </w:p>
    <w:p w:rsidR="00AD04D9" w:rsidRDefault="00AD04D9" w:rsidP="00AD04D9">
      <w:pPr>
        <w:pStyle w:val="StandardWeb"/>
      </w:pPr>
      <w:r>
        <w:t>Damit wird sichtbar, dass die Parameterrobustheit eine weitere eigenständige Dimension innerhalb einer inzwischen mehrschichtigen wissenschaftlichen Prüfkette darstellt.</w:t>
      </w:r>
    </w:p>
    <w:p w:rsidR="00AD04D9" w:rsidRDefault="00AD04D9" w:rsidP="00AD04D9">
      <w:pPr>
        <w:pStyle w:val="StandardWeb"/>
      </w:pPr>
      <w:r>
        <w:t xml:space="preserve">Der Abschnitt ist jedoch </w:t>
      </w:r>
      <w:r>
        <w:rPr>
          <w:rStyle w:val="Fett"/>
        </w:rPr>
        <w:t>noch nicht abgeschlossen</w:t>
      </w:r>
      <w:r>
        <w:t xml:space="preserve">. Im nächsten Teil muss ich insbesondere noch die systematische Verbindung von Parameterrobustheit mit </w:t>
      </w:r>
      <w:r>
        <w:rPr>
          <w:rStyle w:val="Fett"/>
        </w:rPr>
        <w:t>Bifurkationsanalyse, Lyapunov-artiger Stabilität, Attraktorbecken, Hysterese, Pfadabhängigkeit, Tipping Points, Parameterdrift, adaptiven Parametern und zeitvarianten Parametern</w:t>
      </w:r>
      <w:r>
        <w:t xml:space="preserve"> ausarbeiten. Anschließend folgen wieder vollständig die </w:t>
      </w:r>
      <w:r>
        <w:rPr>
          <w:rStyle w:val="Fett"/>
        </w:rPr>
        <w:t>Methodologischen Betrachtungen</w:t>
      </w:r>
      <w:r>
        <w:t xml:space="preserve">, </w:t>
      </w:r>
      <w:r>
        <w:rPr>
          <w:rStyle w:val="Fett"/>
        </w:rPr>
        <w:t>Didaktischen Betrachtungen</w:t>
      </w:r>
      <w:r>
        <w:t xml:space="preserve">, das </w:t>
      </w:r>
      <w:r>
        <w:rPr>
          <w:rStyle w:val="Fett"/>
        </w:rPr>
        <w:t>Ergebnis von 3.3.40</w:t>
      </w:r>
      <w:r>
        <w:t xml:space="preserve"> und der </w:t>
      </w:r>
      <w:r>
        <w:rPr>
          <w:rStyle w:val="Fett"/>
        </w:rPr>
        <w:t>Übergang zu 3.3.41</w:t>
      </w:r>
      <w:r>
        <w:t>.</w:t>
      </w:r>
    </w:p>
    <w:p w:rsidR="00C961E8" w:rsidRDefault="00C961E8" w:rsidP="00C961E8">
      <w:pPr>
        <w:pStyle w:val="berschrift2"/>
        <w:rPr>
          <w:rFonts w:cs="Times New Roman"/>
        </w:rPr>
      </w:pPr>
      <w:r>
        <w:t>3.3.40.150 Bifurkationsanalyse als Robustheitsprüfung</w:t>
      </w:r>
    </w:p>
    <w:p w:rsidR="00C961E8" w:rsidRDefault="00C961E8" w:rsidP="00C961E8">
      <w:pPr>
        <w:pStyle w:val="StandardWeb"/>
      </w:pPr>
      <w:r>
        <w:t xml:space="preserve">Die bisherige Sensitivitätsanalyse beschreibt, wie stark sich Ergebnisse infolge von Parameteränderungen verändern. Für nichtlineare Systeme reicht diese Betrachtung allein jedoch nicht aus. Entscheidend ist zusätzlich, ob eine stetige Parameteränderung lediglich zu einer stetigen Ergebnisänderung führt oder ob sich die qualitative Dynamik des Systems </w:t>
      </w:r>
      <w:r>
        <w:lastRenderedPageBreak/>
        <w:t>verändert. Einen solchen qualitativen Strukturwechsel behandle ich im Folgenden als Bifurkationsereignis.</w:t>
      </w:r>
    </w:p>
    <w:p w:rsidR="00C961E8" w:rsidRDefault="00C961E8" w:rsidP="00C961E8">
      <w:pPr>
        <w:pStyle w:val="StandardWeb"/>
      </w:pPr>
      <w:r>
        <w:t>Ich bezeichne die Menge möglicher dynamischer Regime mit</w:t>
      </w:r>
    </w:p>
    <w:p w:rsidR="00C961E8" w:rsidRDefault="00C961E8" w:rsidP="00C961E8">
      <w:pPr>
        <w:pStyle w:val="berschrift1"/>
      </w:pPr>
      <w:r>
        <w:t>[</w:t>
      </w:r>
      <w:r>
        <w:br/>
        <w:t>\mathfrak{D}_{F}</w:t>
      </w:r>
    </w:p>
    <w:p w:rsidR="00C961E8" w:rsidRDefault="00C961E8" w:rsidP="00C961E8">
      <w:pPr>
        <w:pStyle w:val="StandardWeb"/>
      </w:pPr>
      <w:r>
        <w:t>\left{</w:t>
      </w:r>
      <w:r>
        <w:br/>
        <w:t>\mathcal{D}</w:t>
      </w:r>
      <w:r>
        <w:rPr>
          <w:rStyle w:val="Hervorhebung"/>
        </w:rPr>
        <w:t>{F}^{(1)},</w:t>
      </w:r>
      <w:r>
        <w:rPr>
          <w:i/>
          <w:iCs/>
        </w:rPr>
        <w:br/>
      </w:r>
      <w:r>
        <w:rPr>
          <w:rStyle w:val="Hervorhebung"/>
        </w:rPr>
        <w:t>\mathcal{D}</w:t>
      </w:r>
      <w:r>
        <w:t>{F}^{(2)},</w:t>
      </w:r>
      <w:r>
        <w:br/>
        <w:t>\ldots,</w:t>
      </w:r>
      <w:r>
        <w:br/>
        <w:t>\mathcal{D}_{F}^{(r)}</w:t>
      </w:r>
      <w:r>
        <w:br/>
        <w:t>\right}.</w:t>
      </w:r>
      <w:r>
        <w:br/>
        <w:t>\tag{3.7088}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\mathfrak{D}_{F}=\left\{\mathcal{D}_{F}^{(1)},\mathcal{D}_{F}^{(2)},\ldots,\mathcal{D}_{F}^{(r)}\right\}\qquad\text{(3.7088)}</w:t>
      </w:r>
    </w:p>
    <w:p w:rsidR="00C961E8" w:rsidRDefault="00C961E8" w:rsidP="00C961E8">
      <w:pPr>
        <w:pStyle w:val="StandardWeb"/>
      </w:pPr>
      <w:r>
        <w:t>Die Regimezuordnung eines Systems kann als Funktion des Parameters geschrieben werden:</w:t>
      </w:r>
    </w:p>
    <w:p w:rsidR="00C961E8" w:rsidRDefault="00C961E8" w:rsidP="00C961E8">
      <w:pPr>
        <w:pStyle w:val="berschrift1"/>
      </w:pPr>
      <w:r>
        <w:t>[</w:t>
      </w:r>
      <w:r>
        <w:br/>
        <w:t>\mathcal{D}_{F}</w:t>
      </w:r>
    </w:p>
    <w:p w:rsidR="00C961E8" w:rsidRDefault="00C961E8" w:rsidP="00C961E8">
      <w:pPr>
        <w:pStyle w:val="StandardWeb"/>
      </w:pPr>
      <w:r>
        <w:t>\mathcal{D}_{F}</w:t>
      </w:r>
      <w:r>
        <w:br/>
        <w:t>\left(</w:t>
      </w:r>
      <w:r>
        <w:br/>
        <w:t>\boldsymbol{\theta}</w:t>
      </w:r>
      <w:r>
        <w:br/>
        <w:t>\right).</w:t>
      </w:r>
      <w:r>
        <w:br/>
        <w:t>\tag{3.7089}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\mathcal{D}_{F}=\mathcal{D}_{F}\left(\boldsymbol{\theta}\right)\qquad\text{(3.7089)}</w:t>
      </w:r>
    </w:p>
    <w:p w:rsidR="00C961E8" w:rsidRDefault="00C961E8" w:rsidP="00C961E8">
      <w:pPr>
        <w:pStyle w:val="StandardWeb"/>
      </w:pPr>
      <w:r>
        <w:t>Ein qualitativer Regimewechsel liegt vor, wenn</w:t>
      </w:r>
    </w:p>
    <w:p w:rsidR="00C961E8" w:rsidRDefault="00C961E8" w:rsidP="00C961E8">
      <w:pPr>
        <w:pStyle w:val="StandardWeb"/>
      </w:pPr>
      <w:r>
        <w:t>[</w:t>
      </w:r>
      <w:r>
        <w:br/>
        <w:t>\mathcal{D}</w:t>
      </w:r>
      <w:r>
        <w:rPr>
          <w:rStyle w:val="Hervorhebung"/>
        </w:rPr>
        <w:t>{F}</w:t>
      </w:r>
      <w:r>
        <w:rPr>
          <w:i/>
          <w:iCs/>
        </w:rPr>
        <w:br/>
      </w:r>
      <w:r>
        <w:rPr>
          <w:rStyle w:val="Hervorhebung"/>
        </w:rPr>
        <w:t>\left(</w:t>
      </w:r>
      <w:r>
        <w:rPr>
          <w:i/>
          <w:iCs/>
        </w:rPr>
        <w:br/>
      </w:r>
      <w:r>
        <w:rPr>
          <w:rStyle w:val="Hervorhebung"/>
        </w:rPr>
        <w:t>\boldsymbol{\theta}^{-}</w:t>
      </w:r>
      <w:r>
        <w:rPr>
          <w:i/>
          <w:iCs/>
        </w:rPr>
        <w:br/>
      </w:r>
      <w:r>
        <w:rPr>
          <w:rStyle w:val="Hervorhebung"/>
        </w:rPr>
        <w:t>\right)</w:t>
      </w:r>
      <w:r>
        <w:rPr>
          <w:i/>
          <w:iCs/>
        </w:rPr>
        <w:br/>
      </w:r>
      <w:r>
        <w:rPr>
          <w:rStyle w:val="Hervorhebung"/>
        </w:rPr>
        <w:t>\neq</w:t>
      </w:r>
      <w:r>
        <w:rPr>
          <w:i/>
          <w:iCs/>
        </w:rPr>
        <w:br/>
      </w:r>
      <w:r>
        <w:rPr>
          <w:rStyle w:val="Hervorhebung"/>
        </w:rPr>
        <w:t>\mathcal{D}</w:t>
      </w:r>
      <w:r>
        <w:t>{F}</w:t>
      </w:r>
      <w:r>
        <w:br/>
        <w:t>\left(</w:t>
      </w:r>
      <w:r>
        <w:br/>
      </w:r>
      <w:r>
        <w:lastRenderedPageBreak/>
        <w:t>\boldsymbol{\theta}^{+}</w:t>
      </w:r>
      <w:r>
        <w:br/>
        <w:t>\right).</w:t>
      </w:r>
      <w:r>
        <w:br/>
        <w:t>\tag{3.7090}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\mathcal{D}_{F}\left(\boldsymbol{\theta}^{-}\right)\neq\mathcal{D}_{F}\left(\boldsymbol{\theta}^{+}\right)\qquad\text{(3.7090)}</w:t>
      </w:r>
    </w:p>
    <w:p w:rsidR="00C961E8" w:rsidRDefault="00C961E8" w:rsidP="00C961E8">
      <w:pPr>
        <w:pStyle w:val="StandardWeb"/>
      </w:pPr>
      <w:r>
        <w:t>obwohl</w:t>
      </w:r>
    </w:p>
    <w:p w:rsidR="00C961E8" w:rsidRDefault="00C961E8" w:rsidP="00C961E8">
      <w:pPr>
        <w:pStyle w:val="berschrift2"/>
      </w:pPr>
      <w:r>
        <w:t>[</w:t>
      </w:r>
      <w:r>
        <w:br/>
        <w:t>\left|</w:t>
      </w:r>
      <w:r>
        <w:br/>
        <w:t>\boldsymbol{\theta}^{+}</w:t>
      </w:r>
    </w:p>
    <w:p w:rsidR="00C961E8" w:rsidRDefault="00C961E8" w:rsidP="00C961E8">
      <w:pPr>
        <w:pStyle w:val="StandardWeb"/>
      </w:pPr>
      <w:r>
        <w:t>\boldsymbol{\theta}^{-}</w:t>
      </w:r>
      <w:r>
        <w:br/>
        <w:t>\right|</w:t>
      </w:r>
      <w:r>
        <w:br/>
        <w:t>\ll</w:t>
      </w:r>
      <w:r>
        <w:br/>
        <w:t>1.</w:t>
      </w:r>
      <w:r>
        <w:br/>
        <w:t>\tag{3.7091}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\left\|\boldsymbol{\theta}^{+}-\boldsymbol{\theta}^{-}\right\|\ll1\qquad\text{(3.7091)}</w:t>
      </w:r>
    </w:p>
    <w:p w:rsidR="00C961E8" w:rsidRDefault="00C961E8" w:rsidP="00C961E8">
      <w:pPr>
        <w:pStyle w:val="StandardWeb"/>
      </w:pPr>
      <w:r>
        <w:t>Gerade diese Kombination aus kleiner Parameteränderung und qualitativer Dynamikänderung kennzeichnet einen kritischen Bereich geringer Parameterrobustheit.</w:t>
      </w:r>
    </w:p>
    <w:p w:rsidR="00C961E8" w:rsidRDefault="00E50336" w:rsidP="00C961E8">
      <w:r>
        <w:pict>
          <v:rect id="_x0000_i1425" style="width:0;height:1.5pt" o:hralign="center" o:hrstd="t" o:hr="t" fillcolor="#a0a0a0" stroked="f"/>
        </w:pict>
      </w:r>
    </w:p>
    <w:p w:rsidR="00C961E8" w:rsidRDefault="00C961E8" w:rsidP="00C961E8">
      <w:pPr>
        <w:pStyle w:val="berschrift2"/>
      </w:pPr>
      <w:r>
        <w:t>3.3.40.151 Bifurkationsmenge</w:t>
      </w:r>
    </w:p>
    <w:p w:rsidR="00C961E8" w:rsidRDefault="00C961E8" w:rsidP="00C961E8">
      <w:pPr>
        <w:pStyle w:val="StandardWeb"/>
      </w:pPr>
      <w:r>
        <w:t>Für mehrere Parameter kann eine Bifurkation nicht nur durch einen einzelnen kritischen Wert, sondern durch eine Menge im Parameterraum beschrieben werden.</w:t>
      </w:r>
    </w:p>
    <w:p w:rsidR="00C961E8" w:rsidRDefault="00C961E8" w:rsidP="00C961E8">
      <w:pPr>
        <w:pStyle w:val="StandardWeb"/>
      </w:pPr>
      <w:r>
        <w:t>Ich definiere</w:t>
      </w:r>
    </w:p>
    <w:p w:rsidR="00C961E8" w:rsidRDefault="00C961E8" w:rsidP="00C961E8">
      <w:pPr>
        <w:pStyle w:val="berschrift1"/>
      </w:pPr>
      <w:r>
        <w:t>[</w:t>
      </w:r>
      <w:r>
        <w:br/>
        <w:t>\mathfrak{B}_{F}</w:t>
      </w:r>
    </w:p>
    <w:p w:rsidR="00C961E8" w:rsidRDefault="00C961E8" w:rsidP="00C961E8">
      <w:pPr>
        <w:pStyle w:val="StandardWeb"/>
      </w:pPr>
      <w:r>
        <w:t>\left{</w:t>
      </w:r>
      <w:r>
        <w:br/>
        <w:t>\boldsymbol{\theta}</w:t>
      </w:r>
      <w:r>
        <w:br/>
        <w:t>\in</w:t>
      </w:r>
      <w:r>
        <w:br/>
        <w:t>\Theta_{\mathrm{zul}}</w:t>
      </w:r>
      <w:r>
        <w:br/>
        <w:t>:</w:t>
      </w:r>
      <w:r>
        <w:br/>
      </w:r>
      <w:r>
        <w:lastRenderedPageBreak/>
        <w:t>\mathcal{D}_{F}</w:t>
      </w:r>
      <w:r>
        <w:br/>
        <w:t>\text{ ändert lokal seine qualitative Struktur}</w:t>
      </w:r>
      <w:r>
        <w:br/>
        <w:t>\right}.</w:t>
      </w:r>
      <w:r>
        <w:br/>
        <w:t>\tag{3.7092}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\mathfrak{B}_{F}=\left\{\boldsymbol{\theta}\in\Theta_{\mathrm{zul}}:\mathcal{D}_{F}\text{ ändert lokal seine qualitative Struktur}\right\}\qquad\text{(3.7092)}</w:t>
      </w:r>
    </w:p>
    <w:p w:rsidR="00C961E8" w:rsidRDefault="00C961E8" w:rsidP="00C961E8">
      <w:pPr>
        <w:pStyle w:val="StandardWeb"/>
      </w:pPr>
      <w:r>
        <w:t>Der Abstand eines Referenzparametersatzes von dieser Menge lautet</w:t>
      </w:r>
    </w:p>
    <w:p w:rsidR="00C961E8" w:rsidRDefault="00C961E8" w:rsidP="00C961E8">
      <w:pPr>
        <w:pStyle w:val="berschrift1"/>
      </w:pPr>
      <w:r>
        <w:t>[</w:t>
      </w:r>
      <w:r>
        <w:br/>
        <w:t>d_{\mathfrak{B}}</w:t>
      </w:r>
    </w:p>
    <w:p w:rsidR="00C961E8" w:rsidRDefault="00C961E8" w:rsidP="00C961E8">
      <w:pPr>
        <w:pStyle w:val="StandardWeb"/>
      </w:pPr>
      <w:r>
        <w:t>d</w:t>
      </w:r>
      <w:r>
        <w:br/>
        <w:t>\left(</w:t>
      </w:r>
      <w:r>
        <w:br/>
        <w:t>\boldsymbol{\theta}</w:t>
      </w:r>
      <w:r>
        <w:rPr>
          <w:rStyle w:val="Hervorhebung"/>
        </w:rPr>
        <w:t>0,</w:t>
      </w:r>
      <w:r>
        <w:rPr>
          <w:i/>
          <w:iCs/>
        </w:rPr>
        <w:br/>
      </w:r>
      <w:r>
        <w:rPr>
          <w:rStyle w:val="Hervorhebung"/>
        </w:rPr>
        <w:t>\mathfrak{B}</w:t>
      </w:r>
      <w:r>
        <w:t>{F}</w:t>
      </w:r>
      <w:r>
        <w:br/>
        <w:t>\right).</w:t>
      </w:r>
      <w:r>
        <w:br/>
        <w:t>\tag{3.7093}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d_{\mathfrak{B}}=d\left(\boldsymbol{\theta}_0,\mathfrak{B}_{F}\right)\qquad\text{(3.7093)}</w:t>
      </w:r>
    </w:p>
    <w:p w:rsidR="00C961E8" w:rsidRDefault="00C961E8" w:rsidP="00C961E8">
      <w:pPr>
        <w:pStyle w:val="StandardWeb"/>
      </w:pPr>
      <w:r>
        <w:t>Je kleiner dieser Abstand ist, desto geringer ist der parameterbezogene Sicherheitsabstand des Referenzmodells zu einem möglichen Strukturwechsel.</w:t>
      </w:r>
    </w:p>
    <w:p w:rsidR="00C961E8" w:rsidRDefault="00E50336" w:rsidP="00C961E8">
      <w:r>
        <w:pict>
          <v:rect id="_x0000_i1426" style="width:0;height:1.5pt" o:hralign="center" o:hrstd="t" o:hr="t" fillcolor="#a0a0a0" stroked="f"/>
        </w:pict>
      </w:r>
    </w:p>
    <w:p w:rsidR="00C961E8" w:rsidRDefault="00C961E8" w:rsidP="00C961E8">
      <w:pPr>
        <w:pStyle w:val="berschrift2"/>
      </w:pPr>
      <w:r>
        <w:t>3.3.40.152 Bifurkationsrobustheitsreserve</w:t>
      </w:r>
    </w:p>
    <w:p w:rsidR="00C961E8" w:rsidRDefault="00C961E8" w:rsidP="00C961E8">
      <w:pPr>
        <w:pStyle w:val="StandardWeb"/>
      </w:pPr>
      <w:r>
        <w:t>Ich definiere daher</w:t>
      </w:r>
    </w:p>
    <w:p w:rsidR="00C961E8" w:rsidRDefault="00C961E8" w:rsidP="00C961E8">
      <w:pPr>
        <w:pStyle w:val="berschrift1"/>
      </w:pPr>
      <w:r>
        <w:t>[</w:t>
      </w:r>
      <w:r>
        <w:br/>
        <w:t>\rho_{\mathrm{bif}}</w:t>
      </w:r>
    </w:p>
    <w:p w:rsidR="00C961E8" w:rsidRDefault="00C961E8" w:rsidP="00C961E8">
      <w:pPr>
        <w:pStyle w:val="StandardWeb"/>
      </w:pPr>
      <w:r>
        <w:t>d_{\mathfrak{B}}.</w:t>
      </w:r>
      <w:r>
        <w:br/>
        <w:t>\tag{3.7094}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\rho_{\mathrm{bif}}=d_{\mathfrak{B}}\qquad\text{(3.7094)}</w:t>
      </w:r>
    </w:p>
    <w:p w:rsidR="00C961E8" w:rsidRDefault="00C961E8" w:rsidP="00C961E8">
      <w:pPr>
        <w:pStyle w:val="StandardWeb"/>
      </w:pPr>
      <w:r>
        <w:lastRenderedPageBreak/>
        <w:t>Bei</w:t>
      </w:r>
    </w:p>
    <w:p w:rsidR="00C961E8" w:rsidRDefault="00C961E8" w:rsidP="00C961E8">
      <w:pPr>
        <w:pStyle w:val="StandardWeb"/>
      </w:pPr>
      <w:r>
        <w:t>[</w:t>
      </w:r>
      <w:r>
        <w:br/>
        <w:t>\rho_{\mathrm{bif}}</w:t>
      </w:r>
      <w:r>
        <w:br/>
        <w:t>\gg</w:t>
      </w:r>
      <w:r>
        <w:br/>
        <w:t>u_{\theta}^{\mathrm{eff}}</w:t>
      </w:r>
      <w:r>
        <w:br/>
        <w:t>\tag{3.7095}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\rho_{\mathrm{bif}}\gg u_{\theta}^{\mathrm{eff}}\qquad\text{(3.7095)}</w:t>
      </w:r>
    </w:p>
    <w:p w:rsidR="00C961E8" w:rsidRDefault="00C961E8" w:rsidP="00C961E8">
      <w:pPr>
        <w:pStyle w:val="StandardWeb"/>
      </w:pPr>
      <w:r>
        <w:t>liegt die effektive Parameterunsicherheit deutlich innerhalb des aktuellen dynamischen Regimes.</w:t>
      </w:r>
    </w:p>
    <w:p w:rsidR="00C961E8" w:rsidRDefault="00C961E8" w:rsidP="00C961E8">
      <w:pPr>
        <w:pStyle w:val="StandardWeb"/>
      </w:pPr>
      <w:r>
        <w:t>Bei</w:t>
      </w:r>
    </w:p>
    <w:p w:rsidR="00C961E8" w:rsidRDefault="00C961E8" w:rsidP="00C961E8">
      <w:pPr>
        <w:pStyle w:val="StandardWeb"/>
      </w:pPr>
      <w:r>
        <w:t>[</w:t>
      </w:r>
      <w:r>
        <w:br/>
        <w:t>\rho_{\mathrm{bif}}</w:t>
      </w:r>
      <w:r>
        <w:br/>
        <w:t>\lesssim</w:t>
      </w:r>
      <w:r>
        <w:br/>
        <w:t>u_{\theta}^{\mathrm{eff}}</w:t>
      </w:r>
      <w:r>
        <w:br/>
        <w:t>\tag{3.7096}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\rho_{\mathrm{bif}}\lesssim u_{\theta}^{\mathrm{eff}}\qquad\text{(3.7096)}</w:t>
      </w:r>
    </w:p>
    <w:p w:rsidR="00C961E8" w:rsidRDefault="00C961E8" w:rsidP="00C961E8">
      <w:pPr>
        <w:pStyle w:val="StandardWeb"/>
      </w:pPr>
      <w:r>
        <w:t>reicht die Parameterunsicherheit dagegen bis an oder über eine Bifurkationsgrenze.</w:t>
      </w:r>
    </w:p>
    <w:p w:rsidR="00C961E8" w:rsidRDefault="00C961E8" w:rsidP="00C961E8">
      <w:pPr>
        <w:pStyle w:val="StandardWeb"/>
      </w:pPr>
      <w:r>
        <w:t>In diesem Fall darf die qualitative Regimezuordnung nicht als sicher behandelt werden.</w:t>
      </w:r>
    </w:p>
    <w:p w:rsidR="00C961E8" w:rsidRDefault="00E50336" w:rsidP="00C961E8">
      <w:r>
        <w:pict>
          <v:rect id="_x0000_i1427" style="width:0;height:1.5pt" o:hralign="center" o:hrstd="t" o:hr="t" fillcolor="#a0a0a0" stroked="f"/>
        </w:pict>
      </w:r>
    </w:p>
    <w:p w:rsidR="00C961E8" w:rsidRDefault="00C961E8" w:rsidP="00C961E8">
      <w:pPr>
        <w:pStyle w:val="berschrift2"/>
      </w:pPr>
      <w:r>
        <w:t>3.3.40.153 Lyapunov-artige lokale Stabilität</w:t>
      </w:r>
    </w:p>
    <w:p w:rsidR="00C961E8" w:rsidRDefault="00C961E8" w:rsidP="00C961E8">
      <w:pPr>
        <w:pStyle w:val="StandardWeb"/>
      </w:pPr>
      <w:r>
        <w:t>Neben Bifurkationen muss auch untersucht werden, wie sich kleine Zustandsstörungen innerhalb eines festen Regimes entwickeln.</w:t>
      </w:r>
    </w:p>
    <w:p w:rsidR="00C961E8" w:rsidRDefault="00C961E8" w:rsidP="00C961E8">
      <w:pPr>
        <w:pStyle w:val="StandardWeb"/>
      </w:pPr>
      <w:r>
        <w:t>Sei</w:t>
      </w:r>
    </w:p>
    <w:p w:rsidR="00C961E8" w:rsidRDefault="00C961E8" w:rsidP="00C961E8">
      <w:pPr>
        <w:pStyle w:val="StandardWeb"/>
      </w:pPr>
      <w:r>
        <w:t>[</w:t>
      </w:r>
      <w:r>
        <w:br/>
        <w:t>\delta^\ast</w:t>
      </w:r>
      <w:r>
        <w:br/>
        <w:t>\tag{3.7097}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\delta^{\ast}\qquad\text{(3.7097)}</w:t>
      </w:r>
    </w:p>
    <w:p w:rsidR="00C961E8" w:rsidRDefault="00C961E8" w:rsidP="00C961E8">
      <w:pPr>
        <w:pStyle w:val="StandardWeb"/>
      </w:pPr>
      <w:r>
        <w:lastRenderedPageBreak/>
        <w:t>ein Referenzzustand.</w:t>
      </w:r>
    </w:p>
    <w:p w:rsidR="00C961E8" w:rsidRDefault="00C961E8" w:rsidP="00C961E8">
      <w:pPr>
        <w:pStyle w:val="StandardWeb"/>
      </w:pPr>
      <w:r>
        <w:t>Eine kleine Störung sei</w:t>
      </w:r>
    </w:p>
    <w:p w:rsidR="00C961E8" w:rsidRDefault="00C961E8" w:rsidP="00C961E8">
      <w:pPr>
        <w:pStyle w:val="berschrift1"/>
      </w:pPr>
      <w:r>
        <w:t>[</w:t>
      </w:r>
      <w:r>
        <w:br/>
        <w:t>\Delta\delta_0</w:t>
      </w:r>
    </w:p>
    <w:p w:rsidR="00C961E8" w:rsidRDefault="00C961E8" w:rsidP="00C961E8">
      <w:pPr>
        <w:pStyle w:val="StandardWeb"/>
      </w:pPr>
      <w:r>
        <w:t>\delta_0-\delta^\ast.</w:t>
      </w:r>
      <w:r>
        <w:br/>
        <w:t>\tag{3.7098}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\Delta\delta_0=\delta_0-\delta^{\ast}\qquad\text{(3.7098)}</w:t>
      </w:r>
    </w:p>
    <w:p w:rsidR="00C961E8" w:rsidRDefault="00C961E8" w:rsidP="00C961E8">
      <w:pPr>
        <w:pStyle w:val="StandardWeb"/>
      </w:pPr>
      <w:r>
        <w:t>Eine lokale Stabilitätsprüfung kann über eine skalare Funktion</w:t>
      </w:r>
    </w:p>
    <w:p w:rsidR="00C961E8" w:rsidRDefault="00C961E8" w:rsidP="00C961E8">
      <w:pPr>
        <w:pStyle w:val="StandardWeb"/>
      </w:pPr>
      <w:r>
        <w:t>[</w:t>
      </w:r>
      <w:r>
        <w:br/>
        <w:t>V</w:t>
      </w:r>
      <w:r>
        <w:br/>
        <w:t>:</w:t>
      </w:r>
      <w:r>
        <w:br/>
        <w:t>\mathcal{S}</w:t>
      </w:r>
      <w:r>
        <w:rPr>
          <w:rStyle w:val="Hervorhebung"/>
        </w:rPr>
        <w:t>{F}</w:t>
      </w:r>
      <w:r>
        <w:rPr>
          <w:i/>
          <w:iCs/>
        </w:rPr>
        <w:br/>
      </w:r>
      <w:r>
        <w:rPr>
          <w:rStyle w:val="Hervorhebung"/>
        </w:rPr>
        <w:t>\rightarrow</w:t>
      </w:r>
      <w:r>
        <w:rPr>
          <w:i/>
          <w:iCs/>
        </w:rPr>
        <w:br/>
      </w:r>
      <w:r>
        <w:rPr>
          <w:rStyle w:val="Hervorhebung"/>
        </w:rPr>
        <w:t>\mathbb{R}</w:t>
      </w:r>
      <w:r>
        <w:t>{\geq0}</w:t>
      </w:r>
      <w:r>
        <w:br/>
        <w:t>\tag{3.7099}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V:\mathcal{S}_{F}\rightarrow\mathbb{R}_{\geq0}\qquad\text{(3.7099)}</w:t>
      </w:r>
    </w:p>
    <w:p w:rsidR="00C961E8" w:rsidRDefault="00C961E8" w:rsidP="00C961E8">
      <w:pPr>
        <w:pStyle w:val="StandardWeb"/>
      </w:pPr>
      <w:r>
        <w:t>erfolgen.</w:t>
      </w:r>
    </w:p>
    <w:p w:rsidR="00C961E8" w:rsidRDefault="00C961E8" w:rsidP="00C961E8">
      <w:pPr>
        <w:pStyle w:val="StandardWeb"/>
      </w:pPr>
      <w:r>
        <w:t>Für einen stabilen Referenzzustand soll mindestens gelten</w:t>
      </w:r>
    </w:p>
    <w:p w:rsidR="00C961E8" w:rsidRDefault="00C961E8" w:rsidP="00C961E8">
      <w:pPr>
        <w:pStyle w:val="berschrift1"/>
      </w:pPr>
      <w:r>
        <w:t>[</w:t>
      </w:r>
      <w:r>
        <w:br/>
        <w:t>V</w:t>
      </w:r>
      <w:r>
        <w:br/>
        <w:t>\left(</w:t>
      </w:r>
      <w:r>
        <w:br/>
        <w:t>\delta^\ast</w:t>
      </w:r>
      <w:r>
        <w:br/>
        <w:t>\right)</w:t>
      </w:r>
    </w:p>
    <w:p w:rsidR="00C961E8" w:rsidRDefault="00C961E8" w:rsidP="008C5E65">
      <w:pPr>
        <w:numPr>
          <w:ilvl w:val="0"/>
          <w:numId w:val="337"/>
        </w:numPr>
        <w:spacing w:before="100" w:beforeAutospacing="1" w:after="100" w:afterAutospacing="1"/>
      </w:pPr>
    </w:p>
    <w:p w:rsidR="00C961E8" w:rsidRDefault="00C961E8" w:rsidP="00C961E8">
      <w:pPr>
        <w:pStyle w:val="StandardWeb"/>
      </w:pPr>
      <w:r>
        <w:t>\tag{3.7100}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lastRenderedPageBreak/>
        <w:t>V\left(\delta^{\ast}\right)=0\qquad\text{(3.7100)}</w:t>
      </w:r>
    </w:p>
    <w:p w:rsidR="00C961E8" w:rsidRDefault="00C961E8" w:rsidP="00C961E8">
      <w:pPr>
        <w:pStyle w:val="StandardWeb"/>
      </w:pPr>
      <w:r>
        <w:t>und</w:t>
      </w:r>
    </w:p>
    <w:p w:rsidR="00C961E8" w:rsidRDefault="00C961E8" w:rsidP="00C961E8">
      <w:pPr>
        <w:pStyle w:val="StandardWeb"/>
      </w:pPr>
      <w:r>
        <w:t>[</w:t>
      </w:r>
      <w:r>
        <w:br/>
        <w:t>V</w:t>
      </w:r>
      <w:r>
        <w:br/>
        <w:t>\left(</w:t>
      </w:r>
      <w:r>
        <w:br/>
        <w:t>\delta</w:t>
      </w:r>
      <w:r>
        <w:br/>
        <w:t>\right)</w:t>
      </w:r>
    </w:p>
    <w:p w:rsidR="00C961E8" w:rsidRDefault="00C961E8" w:rsidP="00C961E8">
      <w:pPr>
        <w:pStyle w:val="StandardWeb"/>
      </w:pPr>
      <w:r>
        <w:t>0</w:t>
      </w:r>
      <w:r>
        <w:br/>
        <w:t>\qquad</w:t>
      </w:r>
      <w:r>
        <w:br/>
        <w:t>\forall</w:t>
      </w:r>
      <w:r>
        <w:br/>
        <w:t>\delta</w:t>
      </w:r>
      <w:r>
        <w:br/>
        <w:t>\neq</w:t>
      </w:r>
      <w:r>
        <w:br/>
        <w:t>\delta^\ast</w:t>
      </w:r>
      <w:r>
        <w:br/>
        <w:t>\tag{3.7101}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V\left(\delta\right)&gt;0\qquad\forall\delta\neq\delta^{\ast}\qquad\text{(3.7101)}</w:t>
      </w:r>
    </w:p>
    <w:p w:rsidR="00C961E8" w:rsidRDefault="00C961E8" w:rsidP="00C961E8">
      <w:pPr>
        <w:pStyle w:val="StandardWeb"/>
      </w:pPr>
      <w:r>
        <w:t>in einer geeigneten Umgebung.</w:t>
      </w:r>
    </w:p>
    <w:p w:rsidR="00C961E8" w:rsidRDefault="00E50336" w:rsidP="00C961E8">
      <w:r>
        <w:pict>
          <v:rect id="_x0000_i1428" style="width:0;height:1.5pt" o:hralign="center" o:hrstd="t" o:hr="t" fillcolor="#a0a0a0" stroked="f"/>
        </w:pict>
      </w:r>
    </w:p>
    <w:p w:rsidR="00C961E8" w:rsidRDefault="00C961E8" w:rsidP="00C961E8">
      <w:pPr>
        <w:pStyle w:val="berschrift2"/>
      </w:pPr>
      <w:r>
        <w:t>3.3.40.154 Abnehmende Stabilitätsfunktion</w:t>
      </w:r>
    </w:p>
    <w:p w:rsidR="00C961E8" w:rsidRDefault="00C961E8" w:rsidP="00C961E8">
      <w:pPr>
        <w:pStyle w:val="StandardWeb"/>
      </w:pPr>
      <w:r>
        <w:t>Für eine dynamische Stabilität kann zusätzlich gefordert werden</w:t>
      </w:r>
    </w:p>
    <w:p w:rsidR="00C961E8" w:rsidRDefault="00C961E8" w:rsidP="00C961E8">
      <w:pPr>
        <w:pStyle w:val="StandardWeb"/>
      </w:pPr>
      <w:r>
        <w:t>[</w:t>
      </w:r>
      <w:r>
        <w:br/>
        <w:t>\frac{dV}{dt}</w:t>
      </w:r>
      <w:r>
        <w:br/>
        <w:t>&lt;</w:t>
      </w:r>
      <w:r>
        <w:br/>
        <w:t>0.</w:t>
      </w:r>
      <w:r>
        <w:br/>
        <w:t>\tag{3.7102}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\frac{dV}{dt}&lt;0\qquad\text{(3.7102)}</w:t>
      </w:r>
    </w:p>
    <w:p w:rsidR="00C961E8" w:rsidRDefault="00C961E8" w:rsidP="00C961E8">
      <w:pPr>
        <w:pStyle w:val="StandardWeb"/>
      </w:pPr>
      <w:r>
        <w:t>Dann nimmt die gewählte Störungsgröße entlang der Trajektorie ab.</w:t>
      </w:r>
    </w:p>
    <w:p w:rsidR="00C961E8" w:rsidRDefault="00C961E8" w:rsidP="00C961E8">
      <w:pPr>
        <w:pStyle w:val="StandardWeb"/>
      </w:pPr>
      <w:r>
        <w:t>Eine nichtzunehmende Bedingung lautet schwächer</w:t>
      </w:r>
    </w:p>
    <w:p w:rsidR="00C961E8" w:rsidRDefault="00C961E8" w:rsidP="00C961E8">
      <w:pPr>
        <w:pStyle w:val="StandardWeb"/>
      </w:pPr>
      <w:r>
        <w:t>[</w:t>
      </w:r>
      <w:r>
        <w:br/>
        <w:t>\frac{dV}{dt}</w:t>
      </w:r>
      <w:r>
        <w:br/>
        <w:t>\leq</w:t>
      </w:r>
      <w:r>
        <w:br/>
        <w:t>0.</w:t>
      </w:r>
      <w:r>
        <w:br/>
      </w:r>
      <w:r>
        <w:lastRenderedPageBreak/>
        <w:t>\tag{3.7103}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\frac{dV}{dt}\leq0\qquad\text{(3.7103)}</w:t>
      </w:r>
    </w:p>
    <w:p w:rsidR="00C961E8" w:rsidRDefault="00C961E8" w:rsidP="00C961E8">
      <w:pPr>
        <w:pStyle w:val="StandardWeb"/>
      </w:pPr>
      <w:r>
        <w:t>Ich verwende diese Strukturen zunächst als methodische Stabilitätsformen. Ob für ein konkretes FRZK-Modell eine geeignete Lyapunov-Funktion konstruiert werden kann, ist eine gesonderte mathematische Aufgabe.</w:t>
      </w:r>
    </w:p>
    <w:p w:rsidR="00C961E8" w:rsidRDefault="00E50336" w:rsidP="00C961E8">
      <w:r>
        <w:pict>
          <v:rect id="_x0000_i1429" style="width:0;height:1.5pt" o:hralign="center" o:hrstd="t" o:hr="t" fillcolor="#a0a0a0" stroked="f"/>
        </w:pict>
      </w:r>
    </w:p>
    <w:p w:rsidR="00C961E8" w:rsidRDefault="00C961E8" w:rsidP="00C961E8">
      <w:pPr>
        <w:pStyle w:val="berschrift2"/>
      </w:pPr>
      <w:r>
        <w:t>3.3.40.155 Zustandsstabilität und Aussageinvarianz</w:t>
      </w:r>
    </w:p>
    <w:p w:rsidR="00C961E8" w:rsidRDefault="00C961E8" w:rsidP="00C961E8">
      <w:pPr>
        <w:pStyle w:val="StandardWeb"/>
      </w:pPr>
      <w:r>
        <w:t>Eine dynamisch stabile Trajektorie muss nicht automatisch dieselbe wissenschaftliche Aussageklasse erhalten.</w:t>
      </w:r>
    </w:p>
    <w:p w:rsidR="00C961E8" w:rsidRDefault="00C961E8" w:rsidP="00C961E8">
      <w:pPr>
        <w:pStyle w:val="StandardWeb"/>
      </w:pPr>
      <w:r>
        <w:t>Deshalb unterscheide ich</w:t>
      </w:r>
    </w:p>
    <w:p w:rsidR="00C961E8" w:rsidRDefault="00C961E8" w:rsidP="00C961E8">
      <w:pPr>
        <w:pStyle w:val="StandardWeb"/>
      </w:pPr>
      <w:r>
        <w:t>[</w:t>
      </w:r>
      <w:r>
        <w:br/>
        <w:t>C_{\mathrm{dynstab}}</w:t>
      </w:r>
      <w:r>
        <w:br/>
        <w:t>\tag{3.7104}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C_{\mathrm{dynstab}}\qquad\text{(3.7104)}</w:t>
      </w:r>
    </w:p>
    <w:p w:rsidR="00C961E8" w:rsidRDefault="00C961E8" w:rsidP="00C961E8">
      <w:pPr>
        <w:pStyle w:val="StandardWeb"/>
      </w:pPr>
      <w:r>
        <w:t>von</w:t>
      </w:r>
    </w:p>
    <w:p w:rsidR="00C961E8" w:rsidRDefault="00C961E8" w:rsidP="00C961E8">
      <w:pPr>
        <w:pStyle w:val="StandardWeb"/>
      </w:pPr>
      <w:r>
        <w:t>[</w:t>
      </w:r>
      <w:r>
        <w:br/>
        <w:t>C_{\mathrm{Arob}}.</w:t>
      </w:r>
      <w:r>
        <w:br/>
        <w:t>\tag{3.7105}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C_{\mathrm{Arob}}\qquad\text{(3.7105)}</w:t>
      </w:r>
    </w:p>
    <w:p w:rsidR="00C961E8" w:rsidRDefault="00C961E8" w:rsidP="00C961E8">
      <w:pPr>
        <w:pStyle w:val="StandardWeb"/>
      </w:pPr>
      <w:r>
        <w:t>Eine starke Robustheitsbedingung kann lauten</w:t>
      </w:r>
    </w:p>
    <w:p w:rsidR="00C961E8" w:rsidRDefault="00C961E8" w:rsidP="00C961E8">
      <w:pPr>
        <w:pStyle w:val="berschrift1"/>
      </w:pPr>
      <w:r>
        <w:t>[</w:t>
      </w:r>
      <w:r>
        <w:br/>
        <w:t>C_{\mathrm{dynstab}}</w:t>
      </w:r>
      <w:r>
        <w:br/>
        <w:t>\land</w:t>
      </w:r>
      <w:r>
        <w:br/>
        <w:t>C_{\mathrm{Arob}}</w:t>
      </w:r>
    </w:p>
    <w:p w:rsidR="00C961E8" w:rsidRDefault="00C961E8" w:rsidP="008C5E65">
      <w:pPr>
        <w:numPr>
          <w:ilvl w:val="0"/>
          <w:numId w:val="338"/>
        </w:numPr>
        <w:spacing w:before="100" w:beforeAutospacing="1" w:after="100" w:afterAutospacing="1"/>
      </w:pPr>
    </w:p>
    <w:p w:rsidR="00C961E8" w:rsidRDefault="00C961E8" w:rsidP="00C961E8">
      <w:pPr>
        <w:pStyle w:val="StandardWeb"/>
      </w:pPr>
      <w:r>
        <w:lastRenderedPageBreak/>
        <w:t>\tag{3.7106}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C_{\mathrm{dynstab}}\land C_{\mathrm{Arob}}=1\qquad\text{(3.7106)}</w:t>
      </w:r>
    </w:p>
    <w:p w:rsidR="00C961E8" w:rsidRDefault="00C961E8" w:rsidP="00C961E8">
      <w:pPr>
        <w:pStyle w:val="StandardWeb"/>
      </w:pPr>
      <w:r>
        <w:t>Damit werden mathematische Trajektorienstabilität und Stabilität der wissenschaftlichen Interpretation getrennt geprüft.</w:t>
      </w:r>
    </w:p>
    <w:p w:rsidR="00C961E8" w:rsidRDefault="00E50336" w:rsidP="00C961E8">
      <w:r>
        <w:pict>
          <v:rect id="_x0000_i1430" style="width:0;height:1.5pt" o:hralign="center" o:hrstd="t" o:hr="t" fillcolor="#a0a0a0" stroked="f"/>
        </w:pict>
      </w:r>
    </w:p>
    <w:p w:rsidR="00C961E8" w:rsidRDefault="00C961E8" w:rsidP="00C961E8">
      <w:pPr>
        <w:pStyle w:val="berschrift2"/>
      </w:pPr>
      <w:r>
        <w:t>3.3.40.156 Attraktorbecken</w:t>
      </w:r>
    </w:p>
    <w:p w:rsidR="00C961E8" w:rsidRDefault="00C961E8" w:rsidP="00C961E8">
      <w:pPr>
        <w:pStyle w:val="StandardWeb"/>
      </w:pPr>
      <w:r>
        <w:t>Ein Attraktor kann nur für einen Teil der möglichen Anfangszustände erreicht werden.</w:t>
      </w:r>
    </w:p>
    <w:p w:rsidR="00C961E8" w:rsidRDefault="00C961E8" w:rsidP="00C961E8">
      <w:pPr>
        <w:pStyle w:val="StandardWeb"/>
      </w:pPr>
      <w:r>
        <w:t>Ich definiere das Attraktorbecken</w:t>
      </w:r>
    </w:p>
    <w:p w:rsidR="00C961E8" w:rsidRDefault="00C961E8" w:rsidP="00C961E8">
      <w:pPr>
        <w:pStyle w:val="berschrift1"/>
      </w:pPr>
      <w:r>
        <w:t>[</w:t>
      </w:r>
      <w:r>
        <w:br/>
        <w:t>\mathcal{B}</w:t>
      </w:r>
      <w:r>
        <w:br/>
        <w:t>\left(</w:t>
      </w:r>
      <w:r>
        <w:br/>
        <w:t>\mathcal{A}_{F}</w:t>
      </w:r>
      <w:r>
        <w:br/>
        <w:t>\right)</w:t>
      </w:r>
    </w:p>
    <w:p w:rsidR="00C961E8" w:rsidRDefault="00C961E8" w:rsidP="00C961E8">
      <w:pPr>
        <w:pStyle w:val="berschrift1"/>
      </w:pPr>
      <w:r>
        <w:t>\left{</w:t>
      </w:r>
      <w:r>
        <w:br/>
        <w:t>\delta_0</w:t>
      </w:r>
      <w:r>
        <w:br/>
        <w:t>\in</w:t>
      </w:r>
      <w:r>
        <w:br/>
        <w:t>\mathcal{S}</w:t>
      </w:r>
      <w:r>
        <w:rPr>
          <w:rStyle w:val="Hervorhebung"/>
        </w:rPr>
        <w:t>{F}</w:t>
      </w:r>
      <w:r>
        <w:rPr>
          <w:i/>
          <w:iCs/>
        </w:rPr>
        <w:br/>
      </w:r>
      <w:r>
        <w:rPr>
          <w:rStyle w:val="Hervorhebung"/>
        </w:rPr>
        <w:t>:</w:t>
      </w:r>
      <w:r>
        <w:rPr>
          <w:i/>
          <w:iCs/>
        </w:rPr>
        <w:br/>
      </w:r>
      <w:r>
        <w:rPr>
          <w:rStyle w:val="Hervorhebung"/>
        </w:rPr>
        <w:t>\lim</w:t>
      </w:r>
      <w:r>
        <w:t>{t\rightarrow\infty}</w:t>
      </w:r>
      <w:r>
        <w:br/>
        <w:t>d</w:t>
      </w:r>
      <w:r>
        <w:br/>
        <w:t>\left(</w:t>
      </w:r>
      <w:r>
        <w:br/>
        <w:t>\Phi_t(\delta_0),</w:t>
      </w:r>
      <w:r>
        <w:br/>
        <w:t>\mathcal{A}_{F}</w:t>
      </w:r>
      <w:r>
        <w:br/>
        <w:t>\right)</w:t>
      </w:r>
    </w:p>
    <w:p w:rsidR="00C961E8" w:rsidRDefault="00C961E8" w:rsidP="00C961E8">
      <w:pPr>
        <w:pStyle w:val="StandardWeb"/>
      </w:pPr>
      <w:r>
        <w:t>0</w:t>
      </w:r>
      <w:r>
        <w:br/>
        <w:t>\right}.</w:t>
      </w:r>
      <w:r>
        <w:br/>
      </w:r>
      <w:r>
        <w:lastRenderedPageBreak/>
        <w:t>\tag{3.7107}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\mathcal{B}\left(\mathcal{A}_{F}\right)=\left\{\delta_0\in\mathcal{S}_{F}:\lim_{t\rightarrow\infty}d\left(\Phi_t(\delta_0),\mathcal{A}_{F}\right)=0\right\}\qquad\text{(3.7107)}</w:t>
      </w:r>
    </w:p>
    <w:p w:rsidR="00C961E8" w:rsidRDefault="00C961E8" w:rsidP="00C961E8">
      <w:pPr>
        <w:pStyle w:val="StandardWeb"/>
      </w:pPr>
      <w:r>
        <w:t>Damit hängt die langfristige Entwicklung nicht nur von den Parametern, sondern auch davon ab, in welchem Attraktorbecken der Anfangszustand liegt.</w:t>
      </w:r>
    </w:p>
    <w:p w:rsidR="00C961E8" w:rsidRDefault="00E50336" w:rsidP="00C961E8">
      <w:r>
        <w:pict>
          <v:rect id="_x0000_i1431" style="width:0;height:1.5pt" o:hralign="center" o:hrstd="t" o:hr="t" fillcolor="#a0a0a0" stroked="f"/>
        </w:pict>
      </w:r>
    </w:p>
    <w:p w:rsidR="00C961E8" w:rsidRDefault="00C961E8" w:rsidP="00C961E8">
      <w:pPr>
        <w:pStyle w:val="berschrift2"/>
      </w:pPr>
      <w:r>
        <w:t>3.3.40.157 Mehrere Attraktorbecken</w:t>
      </w:r>
    </w:p>
    <w:p w:rsidR="00C961E8" w:rsidRDefault="00C961E8" w:rsidP="00C961E8">
      <w:pPr>
        <w:pStyle w:val="StandardWeb"/>
      </w:pPr>
      <w:r>
        <w:t>Ein System kann mehrere Attraktoren besitzen:</w:t>
      </w:r>
    </w:p>
    <w:p w:rsidR="00C961E8" w:rsidRDefault="00C961E8" w:rsidP="00C961E8">
      <w:pPr>
        <w:pStyle w:val="berschrift1"/>
      </w:pPr>
      <w:r>
        <w:t>[</w:t>
      </w:r>
      <w:r>
        <w:br/>
        <w:t>\mathfrak{A}_{F}</w:t>
      </w:r>
    </w:p>
    <w:p w:rsidR="00C961E8" w:rsidRDefault="00C961E8" w:rsidP="00C961E8">
      <w:pPr>
        <w:pStyle w:val="StandardWeb"/>
      </w:pPr>
      <w:r>
        <w:t>\left{</w:t>
      </w:r>
      <w:r>
        <w:br/>
        <w:t>\mathcal{A}</w:t>
      </w:r>
      <w:r>
        <w:rPr>
          <w:rStyle w:val="Hervorhebung"/>
        </w:rPr>
        <w:t>{F}^{(1)},</w:t>
      </w:r>
      <w:r>
        <w:rPr>
          <w:i/>
          <w:iCs/>
        </w:rPr>
        <w:br/>
      </w:r>
      <w:r>
        <w:rPr>
          <w:rStyle w:val="Hervorhebung"/>
        </w:rPr>
        <w:t>\ldots,</w:t>
      </w:r>
      <w:r>
        <w:rPr>
          <w:i/>
          <w:iCs/>
        </w:rPr>
        <w:br/>
      </w:r>
      <w:r>
        <w:rPr>
          <w:rStyle w:val="Hervorhebung"/>
        </w:rPr>
        <w:t>\mathcal{A}</w:t>
      </w:r>
      <w:r>
        <w:t>{F}^{(m)}</w:t>
      </w:r>
      <w:r>
        <w:br/>
        <w:t>\right}.</w:t>
      </w:r>
      <w:r>
        <w:br/>
        <w:t>\tag{3.7108}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\mathfrak{A}_{F}=\left\{\mathcal{A}_{F}^{(1)},\ldots,\mathcal{A}_{F}^{(m)}\right\}\qquad\text{(3.7108)}</w:t>
      </w:r>
    </w:p>
    <w:p w:rsidR="00C961E8" w:rsidRDefault="00C961E8" w:rsidP="00C961E8">
      <w:pPr>
        <w:pStyle w:val="StandardWeb"/>
      </w:pPr>
      <w:r>
        <w:t>mit entsprechenden Becken</w:t>
      </w:r>
    </w:p>
    <w:p w:rsidR="00C961E8" w:rsidRDefault="00C961E8" w:rsidP="00C961E8">
      <w:pPr>
        <w:pStyle w:val="StandardWeb"/>
      </w:pPr>
      <w:r>
        <w:t>[</w:t>
      </w:r>
      <w:r>
        <w:br/>
        <w:t>\mathcal{B}_1,</w:t>
      </w:r>
      <w:r>
        <w:br/>
        <w:t>\ldots,</w:t>
      </w:r>
      <w:r>
        <w:br/>
        <w:t>\mathcal{B}_m.</w:t>
      </w:r>
      <w:r>
        <w:br/>
        <w:t>\tag{3.7109}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\mathcal{B}_1,\ldots,\mathcal{B}_m\qquad\text{(3.7109)}</w:t>
      </w:r>
    </w:p>
    <w:p w:rsidR="00C961E8" w:rsidRDefault="00C961E8" w:rsidP="00C961E8">
      <w:pPr>
        <w:pStyle w:val="StandardWeb"/>
      </w:pPr>
      <w:r>
        <w:t>Eine kleine Anfangszustandsänderung nahe einer Beckengrenze kann dann zu einem völlig anderen langfristigen Zustand führen.</w:t>
      </w:r>
    </w:p>
    <w:p w:rsidR="00C961E8" w:rsidRDefault="00E50336" w:rsidP="00C961E8">
      <w:r>
        <w:lastRenderedPageBreak/>
        <w:pict>
          <v:rect id="_x0000_i1432" style="width:0;height:1.5pt" o:hralign="center" o:hrstd="t" o:hr="t" fillcolor="#a0a0a0" stroked="f"/>
        </w:pict>
      </w:r>
    </w:p>
    <w:p w:rsidR="00C961E8" w:rsidRDefault="00C961E8" w:rsidP="00C961E8">
      <w:pPr>
        <w:pStyle w:val="berschrift2"/>
      </w:pPr>
      <w:r>
        <w:t>3.3.40.158 Attraktorbeckengrenze</w:t>
      </w:r>
    </w:p>
    <w:p w:rsidR="00C961E8" w:rsidRDefault="00C961E8" w:rsidP="00C961E8">
      <w:pPr>
        <w:pStyle w:val="StandardWeb"/>
      </w:pPr>
      <w:r>
        <w:t>Ich bezeichne die Grenze zwischen zwei Attraktorbecken mit</w:t>
      </w:r>
    </w:p>
    <w:p w:rsidR="00C961E8" w:rsidRDefault="00C961E8" w:rsidP="00C961E8">
      <w:pPr>
        <w:pStyle w:val="StandardWeb"/>
      </w:pPr>
      <w:r>
        <w:t>[</w:t>
      </w:r>
      <w:r>
        <w:br/>
        <w:t>\partial</w:t>
      </w:r>
      <w:r>
        <w:br/>
        <w:t>\mathcal{B}_{ij}.</w:t>
      </w:r>
      <w:r>
        <w:br/>
        <w:t>\tag{3.7110}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\partial\mathcal{B}_{ij}\qquad\text{(3.7110)}</w:t>
      </w:r>
    </w:p>
    <w:p w:rsidR="00C961E8" w:rsidRDefault="00C961E8" w:rsidP="00C961E8">
      <w:pPr>
        <w:pStyle w:val="StandardWeb"/>
      </w:pPr>
      <w:r>
        <w:t>Der Abstand eines Anfangszustands zu dieser Grenze lautet</w:t>
      </w:r>
    </w:p>
    <w:p w:rsidR="00C961E8" w:rsidRDefault="00C961E8" w:rsidP="00C961E8">
      <w:pPr>
        <w:pStyle w:val="berschrift1"/>
      </w:pPr>
      <w:r>
        <w:t>[</w:t>
      </w:r>
      <w:r>
        <w:br/>
        <w:t>d_{\mathcal{B}}</w:t>
      </w:r>
    </w:p>
    <w:p w:rsidR="00C961E8" w:rsidRDefault="00C961E8" w:rsidP="00C961E8">
      <w:pPr>
        <w:pStyle w:val="StandardWeb"/>
      </w:pPr>
      <w:r>
        <w:t>d</w:t>
      </w:r>
      <w:r>
        <w:br/>
        <w:t>\left(</w:t>
      </w:r>
      <w:r>
        <w:br/>
        <w:t>\delta_0,</w:t>
      </w:r>
      <w:r>
        <w:br/>
        <w:t>\partial\mathcal{B}_{ij}</w:t>
      </w:r>
      <w:r>
        <w:br/>
        <w:t>\right).</w:t>
      </w:r>
      <w:r>
        <w:br/>
        <w:t>\tag{3.7111}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d_{\mathcal{B}}=d\left(\delta_0,\partial\mathcal{B}_{ij}\right)\qquad\text{(3.7111)}</w:t>
      </w:r>
    </w:p>
    <w:p w:rsidR="00C961E8" w:rsidRDefault="00C961E8" w:rsidP="00C961E8">
      <w:pPr>
        <w:pStyle w:val="StandardWeb"/>
      </w:pPr>
      <w:r>
        <w:t>Für</w:t>
      </w:r>
    </w:p>
    <w:p w:rsidR="00C961E8" w:rsidRDefault="00C961E8" w:rsidP="00C961E8">
      <w:pPr>
        <w:pStyle w:val="StandardWeb"/>
      </w:pPr>
      <w:r>
        <w:t>[</w:t>
      </w:r>
      <w:r>
        <w:br/>
        <w:t>d_{\mathcal{B}}</w:t>
      </w:r>
      <w:r>
        <w:br/>
        <w:t>\approx</w:t>
      </w:r>
      <w:r>
        <w:br/>
        <w:t>0</w:t>
      </w:r>
      <w:r>
        <w:br/>
        <w:t>\tag{3.7112}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d_{\mathcal{B}}\approx0\qquad\text{(3.7112)}</w:t>
      </w:r>
    </w:p>
    <w:p w:rsidR="00C961E8" w:rsidRDefault="00C961E8" w:rsidP="00C961E8">
      <w:pPr>
        <w:pStyle w:val="StandardWeb"/>
      </w:pPr>
      <w:r>
        <w:t>ist das langfristige Ergebnis besonders empfindlich gegenüber kleinen Unsicherheiten des Anfangszustands.</w:t>
      </w:r>
    </w:p>
    <w:p w:rsidR="00C961E8" w:rsidRDefault="00E50336" w:rsidP="00C961E8">
      <w:r>
        <w:lastRenderedPageBreak/>
        <w:pict>
          <v:rect id="_x0000_i1433" style="width:0;height:1.5pt" o:hralign="center" o:hrstd="t" o:hr="t" fillcolor="#a0a0a0" stroked="f"/>
        </w:pict>
      </w:r>
    </w:p>
    <w:p w:rsidR="00C961E8" w:rsidRDefault="00C961E8" w:rsidP="00C961E8">
      <w:pPr>
        <w:pStyle w:val="berschrift2"/>
      </w:pPr>
      <w:r>
        <w:t>3.3.40.159 Attraktorbeckenrobustheit</w:t>
      </w:r>
    </w:p>
    <w:p w:rsidR="00C961E8" w:rsidRDefault="00C961E8" w:rsidP="00C961E8">
      <w:pPr>
        <w:pStyle w:val="StandardWeb"/>
      </w:pPr>
      <w:r>
        <w:t>Ich definiere</w:t>
      </w:r>
    </w:p>
    <w:p w:rsidR="00C961E8" w:rsidRDefault="00C961E8" w:rsidP="00C961E8">
      <w:pPr>
        <w:pStyle w:val="berschrift1"/>
      </w:pPr>
      <w:r>
        <w:t>[</w:t>
      </w:r>
      <w:r>
        <w:br/>
        <w:t>R_{\mathcal{B}}</w:t>
      </w:r>
    </w:p>
    <w:p w:rsidR="00C961E8" w:rsidRDefault="00C961E8" w:rsidP="00C961E8">
      <w:pPr>
        <w:pStyle w:val="StandardWeb"/>
      </w:pPr>
      <w:r>
        <w:t>\Pr</w:t>
      </w:r>
      <w:r>
        <w:br/>
        <w:t>\left[</w:t>
      </w:r>
      <w:r>
        <w:br/>
        <w:t>\delta_0+\varepsilon_{\delta}</w:t>
      </w:r>
      <w:r>
        <w:br/>
        <w:t>\in</w:t>
      </w:r>
      <w:r>
        <w:br/>
        <w:t>\mathcal{B}</w:t>
      </w:r>
      <w:r>
        <w:br/>
        <w:t>\left(</w:t>
      </w:r>
      <w:r>
        <w:br/>
        <w:t>\mathcal{A}_{F}^{\mathrm{ref}}</w:t>
      </w:r>
      <w:r>
        <w:br/>
        <w:t>\right)</w:t>
      </w:r>
      <w:r>
        <w:br/>
        <w:t>\right].</w:t>
      </w:r>
      <w:r>
        <w:br/>
        <w:t>\tag{3.7113}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R_{\mathcal{B}}=\Pr\left[\delta_0+\varepsilon_{\delta}\in\mathcal{B}\left(\mathcal{A}_{F}^{\mathrm{ref}}\right)\right]\qquad\text{(3.7113)}</w:t>
      </w:r>
    </w:p>
    <w:p w:rsidR="00C961E8" w:rsidRDefault="00C961E8" w:rsidP="00C961E8">
      <w:pPr>
        <w:pStyle w:val="StandardWeb"/>
      </w:pPr>
      <w:r>
        <w:t>Diese Größe beschreibt die Wahrscheinlichkeit, dass ein unter Unsicherheit variierter Anfangszustand weiterhin zum selben Referenzattraktor gehört.</w:t>
      </w:r>
    </w:p>
    <w:p w:rsidR="00C961E8" w:rsidRDefault="00E50336" w:rsidP="00C961E8">
      <w:r>
        <w:pict>
          <v:rect id="_x0000_i1434" style="width:0;height:1.5pt" o:hralign="center" o:hrstd="t" o:hr="t" fillcolor="#a0a0a0" stroked="f"/>
        </w:pict>
      </w:r>
    </w:p>
    <w:p w:rsidR="00C961E8" w:rsidRDefault="00C961E8" w:rsidP="00C961E8">
      <w:pPr>
        <w:pStyle w:val="berschrift2"/>
      </w:pPr>
      <w:r>
        <w:t>3.3.40.160 Multistabilität</w:t>
      </w:r>
    </w:p>
    <w:p w:rsidR="00C961E8" w:rsidRDefault="00C961E8" w:rsidP="00C961E8">
      <w:pPr>
        <w:pStyle w:val="StandardWeb"/>
      </w:pPr>
      <w:r>
        <w:t>Mehrere gleichzeitig mögliche stabile Zustände kennzeichne ich durch</w:t>
      </w:r>
    </w:p>
    <w:p w:rsidR="00C961E8" w:rsidRDefault="00C961E8" w:rsidP="00C961E8">
      <w:pPr>
        <w:pStyle w:val="StandardWeb"/>
      </w:pPr>
      <w:r>
        <w:t>[</w:t>
      </w:r>
      <w:r>
        <w:br/>
        <w:t>N_{\mathrm{stab}}</w:t>
      </w:r>
    </w:p>
    <w:p w:rsidR="00C961E8" w:rsidRDefault="00C961E8" w:rsidP="008C5E65">
      <w:pPr>
        <w:numPr>
          <w:ilvl w:val="0"/>
          <w:numId w:val="339"/>
        </w:numPr>
        <w:spacing w:before="100" w:beforeAutospacing="1" w:after="100" w:afterAutospacing="1"/>
      </w:pPr>
    </w:p>
    <w:p w:rsidR="00C961E8" w:rsidRDefault="00C961E8" w:rsidP="00C961E8">
      <w:pPr>
        <w:pStyle w:val="StandardWeb"/>
      </w:pPr>
      <w:r>
        <w:t>\tag{3.7114}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N_{\mathrm{stab}}&gt;1\qquad\text{(3.7114)}</w:t>
      </w:r>
    </w:p>
    <w:p w:rsidR="00C961E8" w:rsidRDefault="00C961E8" w:rsidP="00C961E8">
      <w:pPr>
        <w:pStyle w:val="StandardWeb"/>
      </w:pPr>
      <w:r>
        <w:t>Ein multistabiles System kann bei identischen Parametern abhängig vom Anfangszustand unterschiedliche langfristige Entwicklungen zeigen.</w:t>
      </w:r>
    </w:p>
    <w:p w:rsidR="00C961E8" w:rsidRDefault="00C961E8" w:rsidP="00C961E8">
      <w:pPr>
        <w:pStyle w:val="StandardWeb"/>
      </w:pPr>
      <w:r>
        <w:lastRenderedPageBreak/>
        <w:t>Damit gilt</w:t>
      </w:r>
    </w:p>
    <w:p w:rsidR="00C961E8" w:rsidRDefault="00C961E8" w:rsidP="00C961E8">
      <w:pPr>
        <w:pStyle w:val="berschrift1"/>
      </w:pPr>
      <w:r>
        <w:t>[</w:t>
      </w:r>
      <w:r>
        <w:br/>
        <w:t>\boldsymbol{\theta}_1</w:t>
      </w:r>
    </w:p>
    <w:p w:rsidR="00C961E8" w:rsidRDefault="00C961E8" w:rsidP="00C961E8">
      <w:pPr>
        <w:pStyle w:val="StandardWeb"/>
      </w:pPr>
      <w:r>
        <w:t>\boldsymbol{\theta}</w:t>
      </w:r>
      <w:r>
        <w:rPr>
          <w:rStyle w:val="Hervorhebung"/>
        </w:rPr>
        <w:t>2</w:t>
      </w:r>
      <w:r>
        <w:rPr>
          <w:i/>
          <w:iCs/>
        </w:rPr>
        <w:br/>
      </w:r>
      <w:r>
        <w:rPr>
          <w:rStyle w:val="Hervorhebung"/>
        </w:rPr>
        <w:t>\land</w:t>
      </w:r>
      <w:r>
        <w:rPr>
          <w:i/>
          <w:iCs/>
        </w:rPr>
        <w:br/>
      </w:r>
      <w:r>
        <w:rPr>
          <w:rStyle w:val="Hervorhebung"/>
        </w:rPr>
        <w:t>\delta_0^{(1)}</w:t>
      </w:r>
      <w:r>
        <w:rPr>
          <w:i/>
          <w:iCs/>
        </w:rPr>
        <w:br/>
      </w:r>
      <w:r>
        <w:rPr>
          <w:rStyle w:val="Hervorhebung"/>
        </w:rPr>
        <w:t>\neq</w:t>
      </w:r>
      <w:r>
        <w:rPr>
          <w:i/>
          <w:iCs/>
        </w:rPr>
        <w:br/>
      </w:r>
      <w:r>
        <w:rPr>
          <w:rStyle w:val="Hervorhebung"/>
        </w:rPr>
        <w:t>\delta_0^{(2)}</w:t>
      </w:r>
      <w:r>
        <w:rPr>
          <w:i/>
          <w:iCs/>
        </w:rPr>
        <w:br/>
      </w:r>
      <w:r>
        <w:rPr>
          <w:rStyle w:val="Hervorhebung"/>
        </w:rPr>
        <w:t>\Rightarrow</w:t>
      </w:r>
      <w:r>
        <w:rPr>
          <w:i/>
          <w:iCs/>
        </w:rPr>
        <w:br/>
      </w:r>
      <w:r>
        <w:rPr>
          <w:rStyle w:val="Hervorhebung"/>
        </w:rPr>
        <w:t>\mathcal{A}</w:t>
      </w:r>
      <w:r>
        <w:t>{F}^{(1)}</w:t>
      </w:r>
      <w:r>
        <w:br/>
        <w:t>\neq</w:t>
      </w:r>
      <w:r>
        <w:br/>
        <w:t>\mathcal{A}_{F}^{(2)}</w:t>
      </w:r>
      <w:r>
        <w:br/>
        <w:t>\tag{3.7115}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\boldsymbol{\theta}_1=\boldsymbol{\theta}_2\land\delta_0^{(1)}\neq\delta_0^{(2)}\Rightarrow\mathcal{A}_{F}^{(1)}\neq\mathcal{A}_{F}^{(2)}\qquad\text{(3.7115)}</w:t>
      </w:r>
    </w:p>
    <w:p w:rsidR="00C961E8" w:rsidRDefault="00C961E8" w:rsidP="00C961E8">
      <w:pPr>
        <w:pStyle w:val="StandardWeb"/>
      </w:pPr>
      <w:r>
        <w:t>als mögliche Dynamik.</w:t>
      </w:r>
    </w:p>
    <w:p w:rsidR="00C961E8" w:rsidRDefault="00E50336" w:rsidP="00C961E8">
      <w:r>
        <w:pict>
          <v:rect id="_x0000_i1435" style="width:0;height:1.5pt" o:hralign="center" o:hrstd="t" o:hr="t" fillcolor="#a0a0a0" stroked="f"/>
        </w:pict>
      </w:r>
    </w:p>
    <w:p w:rsidR="00C961E8" w:rsidRDefault="00C961E8" w:rsidP="00C961E8">
      <w:pPr>
        <w:pStyle w:val="berschrift2"/>
      </w:pPr>
      <w:r>
        <w:t>3.3.40.161 Hysterese</w:t>
      </w:r>
    </w:p>
    <w:p w:rsidR="00C961E8" w:rsidRDefault="00C961E8" w:rsidP="00C961E8">
      <w:pPr>
        <w:pStyle w:val="StandardWeb"/>
      </w:pPr>
      <w:r>
        <w:t>Ein besonders wichtiger Fall ist Hysterese.</w:t>
      </w:r>
    </w:p>
    <w:p w:rsidR="00C961E8" w:rsidRDefault="00C961E8" w:rsidP="00C961E8">
      <w:pPr>
        <w:pStyle w:val="StandardWeb"/>
      </w:pPr>
      <w:r>
        <w:t>Dabei hängt der aktuelle Zustand nicht nur vom aktuellen Parameterwert, sondern auch von dessen Vorgeschichte ab.</w:t>
      </w:r>
    </w:p>
    <w:p w:rsidR="00C961E8" w:rsidRDefault="00C961E8" w:rsidP="00C961E8">
      <w:pPr>
        <w:pStyle w:val="StandardWeb"/>
      </w:pPr>
      <w:r>
        <w:t>Ich schreibe</w:t>
      </w:r>
    </w:p>
    <w:p w:rsidR="00C961E8" w:rsidRDefault="00C961E8" w:rsidP="00C961E8">
      <w:pPr>
        <w:pStyle w:val="berschrift1"/>
      </w:pPr>
      <w:r>
        <w:t>[</w:t>
      </w:r>
      <w:r>
        <w:br/>
        <w:t>\delta</w:t>
      </w:r>
    </w:p>
    <w:p w:rsidR="00C961E8" w:rsidRDefault="00C961E8" w:rsidP="00C961E8">
      <w:pPr>
        <w:pStyle w:val="StandardWeb"/>
      </w:pPr>
      <w:r>
        <w:t>\delta</w:t>
      </w:r>
      <w:r>
        <w:br/>
        <w:t>\left(</w:t>
      </w:r>
      <w:r>
        <w:br/>
        <w:t>\theta,</w:t>
      </w:r>
      <w:r>
        <w:br/>
        <w:t>\mathcal{H}_{\theta}</w:t>
      </w:r>
      <w:r>
        <w:br/>
        <w:t>\right),</w:t>
      </w:r>
      <w:r>
        <w:br/>
        <w:t>\tag{3.7116}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lastRenderedPageBreak/>
        <w:t>\delta=\delta\left(\theta,\mathcal{H}_{\theta}\right)\qquad\text{(3.7116)}</w:t>
      </w:r>
    </w:p>
    <w:p w:rsidR="00C961E8" w:rsidRDefault="00C961E8" w:rsidP="00C961E8">
      <w:pPr>
        <w:pStyle w:val="StandardWeb"/>
      </w:pPr>
      <w:r>
        <w:t>wobei (\mathcal{H}_{\theta}) die Parameterhistorie bezeichnet.</w:t>
      </w:r>
    </w:p>
    <w:p w:rsidR="00C961E8" w:rsidRDefault="00C961E8" w:rsidP="00C961E8">
      <w:pPr>
        <w:pStyle w:val="StandardWeb"/>
      </w:pPr>
      <w:r>
        <w:t>Für denselben aktuellen Parameterwert kann gelten</w:t>
      </w:r>
    </w:p>
    <w:p w:rsidR="00C961E8" w:rsidRDefault="00C961E8" w:rsidP="00C961E8">
      <w:pPr>
        <w:pStyle w:val="berschrift1"/>
      </w:pPr>
      <w:r>
        <w:t>[</w:t>
      </w:r>
      <w:r>
        <w:br/>
        <w:t>\theta^{(1)}</w:t>
      </w:r>
    </w:p>
    <w:p w:rsidR="00C961E8" w:rsidRDefault="00C961E8" w:rsidP="00C961E8">
      <w:pPr>
        <w:pStyle w:val="StandardWeb"/>
      </w:pPr>
      <w:r>
        <w:t>\theta^{(2)}</w:t>
      </w:r>
      <w:r>
        <w:br/>
        <w:t>\tag{3.7117}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\theta^{(1)}=\theta^{(2)}\qquad\text{(3.7117)}</w:t>
      </w:r>
    </w:p>
    <w:p w:rsidR="00C961E8" w:rsidRDefault="00C961E8" w:rsidP="00C961E8">
      <w:pPr>
        <w:pStyle w:val="StandardWeb"/>
      </w:pPr>
      <w:r>
        <w:t>aber</w:t>
      </w:r>
    </w:p>
    <w:p w:rsidR="00C961E8" w:rsidRDefault="00C961E8" w:rsidP="00C961E8">
      <w:pPr>
        <w:pStyle w:val="StandardWeb"/>
      </w:pPr>
      <w:r>
        <w:t>[</w:t>
      </w:r>
      <w:r>
        <w:br/>
        <w:t>\delta^{(1)}</w:t>
      </w:r>
      <w:r>
        <w:br/>
        <w:t>\neq</w:t>
      </w:r>
      <w:r>
        <w:br/>
        <w:t>\delta^{(2)}.</w:t>
      </w:r>
      <w:r>
        <w:br/>
        <w:t>\tag{3.7118}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\delta^{(1)}\neq\delta^{(2)}\qquad\text{(3.7118)}</w:t>
      </w:r>
    </w:p>
    <w:p w:rsidR="00C961E8" w:rsidRDefault="00C961E8" w:rsidP="00C961E8">
      <w:pPr>
        <w:pStyle w:val="StandardWeb"/>
      </w:pPr>
      <w:r>
        <w:t>Damit ist der aktuelle Parameterwert allein nicht hinreichend zur Zustandsbestimmung.</w:t>
      </w:r>
    </w:p>
    <w:p w:rsidR="00C961E8" w:rsidRDefault="00E50336" w:rsidP="00C961E8">
      <w:r>
        <w:pict>
          <v:rect id="_x0000_i1436" style="width:0;height:1.5pt" o:hralign="center" o:hrstd="t" o:hr="t" fillcolor="#a0a0a0" stroked="f"/>
        </w:pict>
      </w:r>
    </w:p>
    <w:p w:rsidR="00C961E8" w:rsidRDefault="00C961E8" w:rsidP="00C961E8">
      <w:pPr>
        <w:pStyle w:val="berschrift2"/>
      </w:pPr>
      <w:r>
        <w:t>3.3.40.162 Vorwärts- und Rückwärtsschwelle</w:t>
      </w:r>
    </w:p>
    <w:p w:rsidR="00C961E8" w:rsidRDefault="00C961E8" w:rsidP="00C961E8">
      <w:pPr>
        <w:pStyle w:val="StandardWeb"/>
      </w:pPr>
      <w:r>
        <w:t>Eine hysteretische Struktur kann zwei verschiedene kritische Werte besitzen.</w:t>
      </w:r>
    </w:p>
    <w:p w:rsidR="00C961E8" w:rsidRDefault="00C961E8" w:rsidP="00C961E8">
      <w:pPr>
        <w:pStyle w:val="StandardWeb"/>
      </w:pPr>
      <w:r>
        <w:t>Vorwärtsschwelle:</w:t>
      </w:r>
    </w:p>
    <w:p w:rsidR="00C961E8" w:rsidRDefault="00C961E8" w:rsidP="00C961E8">
      <w:pPr>
        <w:pStyle w:val="StandardWeb"/>
      </w:pPr>
      <w:r>
        <w:t>[</w:t>
      </w:r>
      <w:r>
        <w:br/>
        <w:t>\theta_{\uparrow}.</w:t>
      </w:r>
      <w:r>
        <w:br/>
        <w:t>\tag{3.7119}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\theta_{\uparrow}\qquad\text{(3.7119)}</w:t>
      </w:r>
    </w:p>
    <w:p w:rsidR="00C961E8" w:rsidRDefault="00C961E8" w:rsidP="00C961E8">
      <w:pPr>
        <w:pStyle w:val="StandardWeb"/>
      </w:pPr>
      <w:r>
        <w:t>Rückwärtsschwelle:</w:t>
      </w:r>
    </w:p>
    <w:p w:rsidR="00C961E8" w:rsidRDefault="00C961E8" w:rsidP="00C961E8">
      <w:pPr>
        <w:pStyle w:val="StandardWeb"/>
      </w:pPr>
      <w:r>
        <w:lastRenderedPageBreak/>
        <w:t>[</w:t>
      </w:r>
      <w:r>
        <w:br/>
        <w:t>\theta_{\downarrow}.</w:t>
      </w:r>
      <w:r>
        <w:br/>
        <w:t>\tag{3.7120}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\theta_{\downarrow}\qquad\text{(3.7120)}</w:t>
      </w:r>
    </w:p>
    <w:p w:rsidR="00C961E8" w:rsidRDefault="00C961E8" w:rsidP="00C961E8">
      <w:pPr>
        <w:pStyle w:val="StandardWeb"/>
      </w:pPr>
      <w:r>
        <w:t>mit</w:t>
      </w:r>
    </w:p>
    <w:p w:rsidR="00C961E8" w:rsidRDefault="00C961E8" w:rsidP="00C961E8">
      <w:pPr>
        <w:pStyle w:val="StandardWeb"/>
      </w:pPr>
      <w:r>
        <w:t>[</w:t>
      </w:r>
      <w:r>
        <w:br/>
        <w:t>\theta_{\uparrow}</w:t>
      </w:r>
      <w:r>
        <w:br/>
        <w:t>\neq</w:t>
      </w:r>
      <w:r>
        <w:br/>
        <w:t>\theta_{\downarrow}.</w:t>
      </w:r>
      <w:r>
        <w:br/>
        <w:t>\tag{3.7121}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\theta_{\uparrow}\neq\theta_{\downarrow}\qquad\text{(3.7121)}</w:t>
      </w:r>
    </w:p>
    <w:p w:rsidR="00C961E8" w:rsidRDefault="00C961E8" w:rsidP="00C961E8">
      <w:pPr>
        <w:pStyle w:val="StandardWeb"/>
      </w:pPr>
      <w:r>
        <w:t>Die Hysteresebreite lautet</w:t>
      </w:r>
    </w:p>
    <w:p w:rsidR="00C961E8" w:rsidRDefault="00C961E8" w:rsidP="00C961E8">
      <w:pPr>
        <w:pStyle w:val="berschrift1"/>
      </w:pPr>
      <w:r>
        <w:t>[</w:t>
      </w:r>
      <w:r>
        <w:br/>
        <w:t>W_{\mathrm{hys}}</w:t>
      </w:r>
    </w:p>
    <w:p w:rsidR="00C961E8" w:rsidRDefault="00C961E8" w:rsidP="00C961E8">
      <w:pPr>
        <w:pStyle w:val="berschrift2"/>
      </w:pPr>
      <w:r>
        <w:t>\left|</w:t>
      </w:r>
      <w:r>
        <w:br/>
        <w:t>\theta_{\uparrow}</w:t>
      </w:r>
    </w:p>
    <w:p w:rsidR="00C961E8" w:rsidRDefault="00C961E8" w:rsidP="00C961E8">
      <w:pPr>
        <w:pStyle w:val="StandardWeb"/>
      </w:pPr>
      <w:r>
        <w:t>\theta_{\downarrow}</w:t>
      </w:r>
      <w:r>
        <w:br/>
        <w:t>\right|.</w:t>
      </w:r>
      <w:r>
        <w:br/>
        <w:t>\tag{3.7122}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W_{\mathrm{hys}}=\left|\theta_{\uparrow}-\theta_{\downarrow}\right|\qquad\text{(3.7122)}</w:t>
      </w:r>
    </w:p>
    <w:p w:rsidR="00C961E8" w:rsidRDefault="00E50336" w:rsidP="00C961E8">
      <w:r>
        <w:pict>
          <v:rect id="_x0000_i1437" style="width:0;height:1.5pt" o:hralign="center" o:hrstd="t" o:hr="t" fillcolor="#a0a0a0" stroked="f"/>
        </w:pict>
      </w:r>
    </w:p>
    <w:p w:rsidR="00C961E8" w:rsidRDefault="00C961E8" w:rsidP="00C961E8">
      <w:pPr>
        <w:pStyle w:val="berschrift2"/>
      </w:pPr>
      <w:r>
        <w:t>3.3.40.163 Hystereserobustheit</w:t>
      </w:r>
    </w:p>
    <w:p w:rsidR="00C961E8" w:rsidRDefault="00C961E8" w:rsidP="00C961E8">
      <w:pPr>
        <w:pStyle w:val="StandardWeb"/>
      </w:pPr>
      <w:r>
        <w:t>Ein beobachteter Hystereseeffekt ist robust, wenn</w:t>
      </w:r>
    </w:p>
    <w:p w:rsidR="00C961E8" w:rsidRDefault="00C961E8" w:rsidP="00C961E8">
      <w:pPr>
        <w:pStyle w:val="StandardWeb"/>
      </w:pPr>
      <w:r>
        <w:t>[</w:t>
      </w:r>
      <w:r>
        <w:br/>
        <w:t>W_{\mathrm{hys}}</w:t>
      </w:r>
    </w:p>
    <w:p w:rsidR="00C961E8" w:rsidRDefault="00C961E8" w:rsidP="00C961E8">
      <w:pPr>
        <w:pStyle w:val="StandardWeb"/>
      </w:pPr>
      <w:r>
        <w:lastRenderedPageBreak/>
        <w:t>0</w:t>
      </w:r>
      <w:r>
        <w:br/>
        <w:t>\tag{3.7123}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W_{\mathrm{hys}}&gt;0\qquad\text{(3.7123)}</w:t>
      </w:r>
    </w:p>
    <w:p w:rsidR="00C961E8" w:rsidRDefault="00C961E8" w:rsidP="00C961E8">
      <w:pPr>
        <w:pStyle w:val="StandardWeb"/>
      </w:pPr>
      <w:r>
        <w:t>für einen begründeten Bereich weiterer Parameter erhalten bleibt.</w:t>
      </w:r>
    </w:p>
    <w:p w:rsidR="00C961E8" w:rsidRDefault="00C961E8" w:rsidP="00C961E8">
      <w:pPr>
        <w:pStyle w:val="StandardWeb"/>
      </w:pPr>
      <w:r>
        <w:t>Damit wird zwischen einer echten pfadabhängigen Systemstruktur und einem Effekt unterschieden, der nur bei einer einzelnen Parametrisierung erscheint.</w:t>
      </w:r>
    </w:p>
    <w:p w:rsidR="00C961E8" w:rsidRDefault="00E50336" w:rsidP="00C961E8">
      <w:r>
        <w:pict>
          <v:rect id="_x0000_i1438" style="width:0;height:1.5pt" o:hralign="center" o:hrstd="t" o:hr="t" fillcolor="#a0a0a0" stroked="f"/>
        </w:pict>
      </w:r>
    </w:p>
    <w:p w:rsidR="00C961E8" w:rsidRDefault="00C961E8" w:rsidP="00C961E8">
      <w:pPr>
        <w:pStyle w:val="berschrift2"/>
      </w:pPr>
      <w:r>
        <w:t>3.3.40.164 Pfadabhängigkeit</w:t>
      </w:r>
    </w:p>
    <w:p w:rsidR="00C961E8" w:rsidRDefault="00C961E8" w:rsidP="00C961E8">
      <w:pPr>
        <w:pStyle w:val="StandardWeb"/>
      </w:pPr>
      <w:r>
        <w:t>Allgemeiner definiere ich einen Parameterpfad</w:t>
      </w:r>
    </w:p>
    <w:p w:rsidR="00C961E8" w:rsidRDefault="00C961E8" w:rsidP="00C961E8">
      <w:pPr>
        <w:pStyle w:val="berschrift1"/>
      </w:pPr>
      <w:r>
        <w:t>[</w:t>
      </w:r>
      <w:r>
        <w:br/>
        <w:t>P_{\theta}</w:t>
      </w:r>
    </w:p>
    <w:p w:rsidR="00C961E8" w:rsidRDefault="00C961E8" w:rsidP="00C961E8">
      <w:pPr>
        <w:pStyle w:val="StandardWeb"/>
      </w:pPr>
      <w:r>
        <w:t>\left(</w:t>
      </w:r>
      <w:r>
        <w:br/>
        <w:t>\boldsymbol{\theta}(t)</w:t>
      </w:r>
      <w:r>
        <w:br/>
        <w:t>\right)_{t\in[0,T]}.</w:t>
      </w:r>
      <w:r>
        <w:br/>
        <w:t>\tag{3.7124}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P_{\theta}=\left(\boldsymbol{\theta}(t)\right)_{t\in[0,T]}\qquad\text{(3.7124)}</w:t>
      </w:r>
    </w:p>
    <w:p w:rsidR="00C961E8" w:rsidRDefault="00C961E8" w:rsidP="00C961E8">
      <w:pPr>
        <w:pStyle w:val="StandardWeb"/>
      </w:pPr>
      <w:r>
        <w:t>Der Endzustand kann dann geschrieben werden als</w:t>
      </w:r>
    </w:p>
    <w:p w:rsidR="00C961E8" w:rsidRDefault="00C961E8" w:rsidP="00C961E8">
      <w:pPr>
        <w:pStyle w:val="berschrift1"/>
      </w:pPr>
      <w:r>
        <w:t>[</w:t>
      </w:r>
      <w:r>
        <w:br/>
        <w:t>\delta_T</w:t>
      </w:r>
    </w:p>
    <w:p w:rsidR="00C961E8" w:rsidRDefault="00C961E8" w:rsidP="00C961E8">
      <w:pPr>
        <w:pStyle w:val="StandardWeb"/>
      </w:pPr>
      <w:r>
        <w:t>\Phi</w:t>
      </w:r>
      <w:r>
        <w:br/>
        <w:t>\left(</w:t>
      </w:r>
      <w:r>
        <w:br/>
        <w:t>\delta_0,</w:t>
      </w:r>
      <w:r>
        <w:br/>
        <w:t>P_{\theta}</w:t>
      </w:r>
      <w:r>
        <w:br/>
        <w:t>\right).</w:t>
      </w:r>
      <w:r>
        <w:br/>
        <w:t>\tag{3.7125}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\delta_T=\Phi\left(\delta_0,P_{\theta}\right)\qquad\text{(3.7125)}</w:t>
      </w:r>
    </w:p>
    <w:p w:rsidR="00C961E8" w:rsidRDefault="00C961E8" w:rsidP="00C961E8">
      <w:pPr>
        <w:pStyle w:val="StandardWeb"/>
      </w:pPr>
      <w:r>
        <w:lastRenderedPageBreak/>
        <w:t>Pfadabhängigkeit liegt vor, wenn zwei Pfade mit gleichem Endparameter unterschiedliche Endzustände erzeugen:</w:t>
      </w:r>
    </w:p>
    <w:p w:rsidR="00C961E8" w:rsidRDefault="00C961E8" w:rsidP="00C961E8">
      <w:pPr>
        <w:pStyle w:val="berschrift1"/>
      </w:pPr>
      <w:r>
        <w:t>[</w:t>
      </w:r>
      <w:r>
        <w:br/>
        <w:t>\boldsymbol{\theta}_{P_1}(T)</w:t>
      </w:r>
    </w:p>
    <w:p w:rsidR="00C961E8" w:rsidRDefault="00C961E8" w:rsidP="00C961E8">
      <w:pPr>
        <w:pStyle w:val="StandardWeb"/>
      </w:pPr>
      <w:r>
        <w:t>\boldsymbol{\theta}_{P_2}(T)</w:t>
      </w:r>
      <w:r>
        <w:br/>
        <w:t>\tag{3.7126}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\boldsymbol{\theta}_{P_1}(T)=\boldsymbol{\theta}_{P_2}(T)\qquad\text{(3.7126)}</w:t>
      </w:r>
    </w:p>
    <w:p w:rsidR="00C961E8" w:rsidRDefault="00C961E8" w:rsidP="00C961E8">
      <w:pPr>
        <w:pStyle w:val="StandardWeb"/>
      </w:pPr>
      <w:r>
        <w:t>aber</w:t>
      </w:r>
    </w:p>
    <w:p w:rsidR="00C961E8" w:rsidRDefault="00C961E8" w:rsidP="00C961E8">
      <w:pPr>
        <w:pStyle w:val="StandardWeb"/>
      </w:pPr>
      <w:r>
        <w:t>[</w:t>
      </w:r>
      <w:r>
        <w:br/>
        <w:t>\delta_T^{(P_1)}</w:t>
      </w:r>
      <w:r>
        <w:br/>
        <w:t>\neq</w:t>
      </w:r>
      <w:r>
        <w:br/>
        <w:t>\delta_T^{(P_2)}.</w:t>
      </w:r>
      <w:r>
        <w:br/>
        <w:t>\tag{3.7127}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\delta_T^{(P_1)}\neq\delta_T^{(P_2)}\qquad\text{(3.7127)}</w:t>
      </w:r>
    </w:p>
    <w:p w:rsidR="00C961E8" w:rsidRDefault="00E50336" w:rsidP="00C961E8">
      <w:r>
        <w:pict>
          <v:rect id="_x0000_i1439" style="width:0;height:1.5pt" o:hralign="center" o:hrstd="t" o:hr="t" fillcolor="#a0a0a0" stroked="f"/>
        </w:pict>
      </w:r>
    </w:p>
    <w:p w:rsidR="00C961E8" w:rsidRDefault="00C961E8" w:rsidP="00C961E8">
      <w:pPr>
        <w:pStyle w:val="berschrift2"/>
      </w:pPr>
      <w:r>
        <w:t>3.3.40.165 Parameterpfadrobustheit</w:t>
      </w:r>
    </w:p>
    <w:p w:rsidR="00C961E8" w:rsidRDefault="00C961E8" w:rsidP="00C961E8">
      <w:pPr>
        <w:pStyle w:val="StandardWeb"/>
      </w:pPr>
      <w:r>
        <w:t>Eine wissenschaftliche Aussage ist pfadrobust, wenn</w:t>
      </w:r>
    </w:p>
    <w:p w:rsidR="00C961E8" w:rsidRDefault="00C961E8" w:rsidP="00C961E8">
      <w:pPr>
        <w:pStyle w:val="StandardWeb"/>
      </w:pPr>
      <w:r>
        <w:t>[</w:t>
      </w:r>
      <w:r>
        <w:br/>
        <w:t>A_F</w:t>
      </w:r>
      <w:r>
        <w:br/>
        <w:t>\left(</w:t>
      </w:r>
      <w:r>
        <w:br/>
        <w:t>P_{\theta}^{(1)}</w:t>
      </w:r>
      <w:r>
        <w:br/>
        <w:t>\right)</w:t>
      </w:r>
      <w:r>
        <w:br/>
        <w:t>\sim_A</w:t>
      </w:r>
      <w:r>
        <w:br/>
        <w:t>A_F</w:t>
      </w:r>
      <w:r>
        <w:br/>
        <w:t>\left(</w:t>
      </w:r>
      <w:r>
        <w:br/>
        <w:t>P_{\theta}^{(2)}</w:t>
      </w:r>
      <w:r>
        <w:br/>
        <w:t>\right)</w:t>
      </w:r>
      <w:r>
        <w:br/>
        <w:t>\tag{3.7128}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A_F\left(P_{\theta}^{(1)}\right)\sim_A A_F\left(P_{\theta}^{(2)}\right)\qquad\text{(3.7128)}</w:t>
      </w:r>
    </w:p>
    <w:p w:rsidR="00C961E8" w:rsidRDefault="00C961E8" w:rsidP="00C961E8">
      <w:pPr>
        <w:pStyle w:val="StandardWeb"/>
      </w:pPr>
      <w:r>
        <w:lastRenderedPageBreak/>
        <w:t>für eine begründete Klasse unterschiedlicher Parameterhistorien mit vergleichbaren Endbedingungen gilt.</w:t>
      </w:r>
    </w:p>
    <w:p w:rsidR="00C961E8" w:rsidRDefault="00E50336" w:rsidP="00C961E8">
      <w:r>
        <w:pict>
          <v:rect id="_x0000_i1440" style="width:0;height:1.5pt" o:hralign="center" o:hrstd="t" o:hr="t" fillcolor="#a0a0a0" stroked="f"/>
        </w:pict>
      </w:r>
    </w:p>
    <w:p w:rsidR="00C961E8" w:rsidRDefault="00C961E8" w:rsidP="00C961E8">
      <w:pPr>
        <w:pStyle w:val="berschrift2"/>
      </w:pPr>
      <w:r>
        <w:t>3.3.40.166 Tipping Point</w:t>
      </w:r>
    </w:p>
    <w:p w:rsidR="00C961E8" w:rsidRDefault="00C961E8" w:rsidP="00C961E8">
      <w:pPr>
        <w:pStyle w:val="StandardWeb"/>
      </w:pPr>
      <w:r>
        <w:t>Ich bezeichne einen Punkt, an dem eine geringe zusätzliche Veränderung einen qualitativen Zustandswechsel auslöst, als funktionalen Tipping Point.</w:t>
      </w:r>
    </w:p>
    <w:p w:rsidR="00C961E8" w:rsidRDefault="00C961E8" w:rsidP="00C961E8">
      <w:pPr>
        <w:pStyle w:val="StandardWeb"/>
      </w:pPr>
      <w:r>
        <w:t>Sei</w:t>
      </w:r>
    </w:p>
    <w:p w:rsidR="00C961E8" w:rsidRDefault="00C961E8" w:rsidP="00C961E8">
      <w:pPr>
        <w:pStyle w:val="StandardWeb"/>
      </w:pPr>
      <w:r>
        <w:t>[</w:t>
      </w:r>
      <w:r>
        <w:br/>
        <w:t>\theta_{\mathrm{tip}}</w:t>
      </w:r>
      <w:r>
        <w:br/>
        <w:t>\tag{3.7129}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\theta_{\mathrm{tip}}\qquad\text{(3.7129)}</w:t>
      </w:r>
    </w:p>
    <w:p w:rsidR="00C961E8" w:rsidRDefault="00C961E8" w:rsidP="00C961E8">
      <w:pPr>
        <w:pStyle w:val="StandardWeb"/>
      </w:pPr>
      <w:r>
        <w:t>ein entsprechender kritischer Parameterwert.</w:t>
      </w:r>
    </w:p>
    <w:p w:rsidR="00C961E8" w:rsidRDefault="00C961E8" w:rsidP="00C961E8">
      <w:pPr>
        <w:pStyle w:val="StandardWeb"/>
      </w:pPr>
      <w:r>
        <w:t>Dann kann</w:t>
      </w:r>
    </w:p>
    <w:p w:rsidR="00C961E8" w:rsidRDefault="00C961E8" w:rsidP="00C961E8">
      <w:pPr>
        <w:pStyle w:val="StandardWeb"/>
      </w:pPr>
      <w:r>
        <w:t>[</w:t>
      </w:r>
      <w:r>
        <w:br/>
        <w:t>\theta</w:t>
      </w:r>
      <w:r>
        <w:br/>
        <w:t>&lt;</w:t>
      </w:r>
      <w:r>
        <w:br/>
        <w:t>\theta_{\mathrm{tip}}</w:t>
      </w:r>
      <w:r>
        <w:br/>
        <w:t>\Rightarrow</w:t>
      </w:r>
      <w:r>
        <w:br/>
        <w:t>\delta</w:t>
      </w:r>
      <w:r>
        <w:br/>
        <w:t>\in</w:t>
      </w:r>
      <w:r>
        <w:br/>
        <w:t>\mathcal{D}_{F}^{(1)}</w:t>
      </w:r>
      <w:r>
        <w:br/>
        <w:t>\tag{3.7130}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\theta&lt;\theta_{\mathrm{tip}}\Rightarrow\delta\in\mathcal{D}_{F}^{(1)}\qquad\text{(3.7130)}</w:t>
      </w:r>
    </w:p>
    <w:p w:rsidR="00C961E8" w:rsidRDefault="00C961E8" w:rsidP="00C961E8">
      <w:pPr>
        <w:pStyle w:val="StandardWeb"/>
      </w:pPr>
      <w:r>
        <w:t>und</w:t>
      </w:r>
    </w:p>
    <w:p w:rsidR="00C961E8" w:rsidRDefault="00C961E8" w:rsidP="00C961E8">
      <w:pPr>
        <w:pStyle w:val="StandardWeb"/>
      </w:pPr>
      <w:r>
        <w:t>[</w:t>
      </w:r>
      <w:r>
        <w:br/>
        <w:t>\theta</w:t>
      </w:r>
    </w:p>
    <w:p w:rsidR="00C961E8" w:rsidRDefault="00C961E8" w:rsidP="00C961E8">
      <w:pPr>
        <w:pStyle w:val="StandardWeb"/>
      </w:pPr>
      <w:r>
        <w:t>\theta_{\mathrm{tip}}</w:t>
      </w:r>
      <w:r>
        <w:br/>
        <w:t>\Rightarrow</w:t>
      </w:r>
      <w:r>
        <w:br/>
        <w:t>\delta</w:t>
      </w:r>
      <w:r>
        <w:br/>
        <w:t>\in</w:t>
      </w:r>
      <w:r>
        <w:br/>
        <w:t>\mathcal{D}_{F}^{(2)}</w:t>
      </w:r>
      <w:r>
        <w:br/>
      </w:r>
      <w:r>
        <w:lastRenderedPageBreak/>
        <w:t>\tag{3.7131}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\theta&gt;\theta_{\mathrm{tip}}\Rightarrow\delta\in\mathcal{D}_{F}^{(2)}\qquad\text{(3.7131)}</w:t>
      </w:r>
    </w:p>
    <w:p w:rsidR="00C961E8" w:rsidRDefault="00C961E8" w:rsidP="00C961E8">
      <w:pPr>
        <w:pStyle w:val="StandardWeb"/>
      </w:pPr>
      <w:r>
        <w:t>gelten.</w:t>
      </w:r>
    </w:p>
    <w:p w:rsidR="00C961E8" w:rsidRDefault="00E50336" w:rsidP="00C961E8">
      <w:r>
        <w:pict>
          <v:rect id="_x0000_i1441" style="width:0;height:1.5pt" o:hralign="center" o:hrstd="t" o:hr="t" fillcolor="#a0a0a0" stroked="f"/>
        </w:pict>
      </w:r>
    </w:p>
    <w:p w:rsidR="00C961E8" w:rsidRDefault="00C961E8" w:rsidP="00C961E8">
      <w:pPr>
        <w:pStyle w:val="berschrift2"/>
      </w:pPr>
      <w:r>
        <w:t>3.3.40.167 Tipping-Distanz</w:t>
      </w:r>
    </w:p>
    <w:p w:rsidR="00C961E8" w:rsidRDefault="00C961E8" w:rsidP="00C961E8">
      <w:pPr>
        <w:pStyle w:val="StandardWeb"/>
      </w:pPr>
      <w:r>
        <w:t>Der Abstand zum Tipping Point lautet</w:t>
      </w:r>
    </w:p>
    <w:p w:rsidR="00C961E8" w:rsidRDefault="00C961E8" w:rsidP="00C961E8">
      <w:pPr>
        <w:pStyle w:val="berschrift1"/>
      </w:pPr>
      <w:r>
        <w:t>[</w:t>
      </w:r>
      <w:r>
        <w:br/>
        <w:t>d_{\mathrm{tip}}</w:t>
      </w:r>
    </w:p>
    <w:p w:rsidR="00C961E8" w:rsidRDefault="00C961E8" w:rsidP="00C961E8">
      <w:pPr>
        <w:pStyle w:val="berschrift2"/>
      </w:pPr>
      <w:r>
        <w:t>\left|</w:t>
      </w:r>
      <w:r>
        <w:br/>
        <w:t>\theta</w:t>
      </w:r>
    </w:p>
    <w:p w:rsidR="00C961E8" w:rsidRDefault="00C961E8" w:rsidP="00C961E8">
      <w:pPr>
        <w:pStyle w:val="StandardWeb"/>
      </w:pPr>
      <w:r>
        <w:t>\theta_{\mathrm{tip}}</w:t>
      </w:r>
      <w:r>
        <w:br/>
        <w:t>\right|.</w:t>
      </w:r>
      <w:r>
        <w:br/>
        <w:t>\tag{3.7132}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d_{\mathrm{tip}}=\left|\theta-\theta_{\mathrm{tip}}\right|\qquad\text{(3.7132)}</w:t>
      </w:r>
    </w:p>
    <w:p w:rsidR="00C961E8" w:rsidRDefault="00C961E8" w:rsidP="00C961E8">
      <w:pPr>
        <w:pStyle w:val="StandardWeb"/>
      </w:pPr>
      <w:r>
        <w:t>Ein kleiner Wert</w:t>
      </w:r>
    </w:p>
    <w:p w:rsidR="00C961E8" w:rsidRDefault="00C961E8" w:rsidP="00C961E8">
      <w:pPr>
        <w:pStyle w:val="StandardWeb"/>
      </w:pPr>
      <w:r>
        <w:t>[</w:t>
      </w:r>
      <w:r>
        <w:br/>
        <w:t>d_{\mathrm{tip}}</w:t>
      </w:r>
      <w:r>
        <w:br/>
        <w:t>\approx</w:t>
      </w:r>
      <w:r>
        <w:br/>
        <w:t>0</w:t>
      </w:r>
      <w:r>
        <w:br/>
        <w:t>\tag{3.7133}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d_{\mathrm{tip}}\approx0\qquad\text{(3.7133)}</w:t>
      </w:r>
    </w:p>
    <w:p w:rsidR="00C961E8" w:rsidRDefault="00C961E8" w:rsidP="00C961E8">
      <w:pPr>
        <w:pStyle w:val="StandardWeb"/>
      </w:pPr>
      <w:r>
        <w:t>kennzeichnet eine geringe Parameterreserve gegenüber einem möglichen qualitativen Zustandswechsel.</w:t>
      </w:r>
    </w:p>
    <w:p w:rsidR="00C961E8" w:rsidRDefault="00E50336" w:rsidP="00C961E8">
      <w:r>
        <w:pict>
          <v:rect id="_x0000_i1442" style="width:0;height:1.5pt" o:hralign="center" o:hrstd="t" o:hr="t" fillcolor="#a0a0a0" stroked="f"/>
        </w:pict>
      </w:r>
    </w:p>
    <w:p w:rsidR="00C961E8" w:rsidRDefault="00C961E8" w:rsidP="00C961E8">
      <w:pPr>
        <w:pStyle w:val="berschrift2"/>
      </w:pPr>
      <w:r>
        <w:lastRenderedPageBreak/>
        <w:t>3.3.40.168 Tipping-Risiko unter Parameterunsicherheit</w:t>
      </w:r>
    </w:p>
    <w:p w:rsidR="00C961E8" w:rsidRDefault="00C961E8" w:rsidP="00C961E8">
      <w:pPr>
        <w:pStyle w:val="StandardWeb"/>
      </w:pPr>
      <w:r>
        <w:t>Wenn die Parameterunsicherheit mit der Tipping-Distanz vergleichbar ist, gilt</w:t>
      </w:r>
    </w:p>
    <w:p w:rsidR="00C961E8" w:rsidRDefault="00C961E8" w:rsidP="00C961E8">
      <w:pPr>
        <w:pStyle w:val="StandardWeb"/>
      </w:pPr>
      <w:r>
        <w:t>[</w:t>
      </w:r>
      <w:r>
        <w:br/>
        <w:t>u_{\theta}</w:t>
      </w:r>
      <w:r>
        <w:br/>
        <w:t>\gtrsim</w:t>
      </w:r>
      <w:r>
        <w:br/>
        <w:t>d_{\mathrm{tip}}.</w:t>
      </w:r>
      <w:r>
        <w:br/>
        <w:t>\tag{3.7134}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u_{\theta}\gtrsim d_{\mathrm{tip}}\qquad\text{(3.7134)}</w:t>
      </w:r>
    </w:p>
    <w:p w:rsidR="00C961E8" w:rsidRDefault="00C961E8" w:rsidP="00C961E8">
      <w:pPr>
        <w:pStyle w:val="StandardWeb"/>
      </w:pPr>
      <w:r>
        <w:t>Dann kann nicht ausgeschlossen werden, dass der tatsächliche Parameter bereits auf der anderen Seite der kritischen Grenze liegt.</w:t>
      </w:r>
    </w:p>
    <w:p w:rsidR="00C961E8" w:rsidRDefault="00C961E8" w:rsidP="00C961E8">
      <w:pPr>
        <w:pStyle w:val="StandardWeb"/>
      </w:pPr>
      <w:r>
        <w:t>Ich definiere ein abstraktes Tipping-Risiko</w:t>
      </w:r>
    </w:p>
    <w:p w:rsidR="00C961E8" w:rsidRDefault="00C961E8" w:rsidP="00C961E8">
      <w:pPr>
        <w:pStyle w:val="berschrift1"/>
      </w:pPr>
      <w:r>
        <w:t>[</w:t>
      </w:r>
      <w:r>
        <w:br/>
        <w:t>R_{\mathrm{tip}}</w:t>
      </w:r>
    </w:p>
    <w:p w:rsidR="00C961E8" w:rsidRDefault="00C961E8" w:rsidP="00C961E8">
      <w:pPr>
        <w:pStyle w:val="StandardWeb"/>
      </w:pPr>
      <w:r>
        <w:t>\Pr</w:t>
      </w:r>
      <w:r>
        <w:br/>
        <w:t>\left[</w:t>
      </w:r>
      <w:r>
        <w:br/>
        <w:t>\theta</w:t>
      </w:r>
      <w:r>
        <w:br/>
        <w:t>\in</w:t>
      </w:r>
      <w:r>
        <w:br/>
        <w:t>\Theta_{\mathrm{tip}}</w:t>
      </w:r>
      <w:r>
        <w:br/>
        <w:t>\right].</w:t>
      </w:r>
      <w:r>
        <w:br/>
        <w:t>\tag{3.7135}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R_{\mathrm{tip}}=\Pr\left[\theta\in\Theta_{\mathrm{tip}}\right]\qquad\text{(3.7135)}</w:t>
      </w:r>
    </w:p>
    <w:p w:rsidR="00C961E8" w:rsidRDefault="00C961E8" w:rsidP="00C961E8">
      <w:pPr>
        <w:pStyle w:val="StandardWeb"/>
      </w:pPr>
      <w:r>
        <w:t>Dabei bezeichnet (\Theta_{\mathrm{tip}}) einen vorab definierten kritischen Parameterbereich.</w:t>
      </w:r>
    </w:p>
    <w:p w:rsidR="00C961E8" w:rsidRDefault="00E50336" w:rsidP="00C961E8">
      <w:r>
        <w:pict>
          <v:rect id="_x0000_i1443" style="width:0;height:1.5pt" o:hralign="center" o:hrstd="t" o:hr="t" fillcolor="#a0a0a0" stroked="f"/>
        </w:pict>
      </w:r>
    </w:p>
    <w:p w:rsidR="00C961E8" w:rsidRDefault="00C961E8" w:rsidP="00C961E8">
      <w:pPr>
        <w:pStyle w:val="berschrift2"/>
      </w:pPr>
      <w:r>
        <w:t>3.3.40.169 Parameterdrift</w:t>
      </w:r>
    </w:p>
    <w:p w:rsidR="00C961E8" w:rsidRDefault="00C961E8" w:rsidP="00C961E8">
      <w:pPr>
        <w:pStyle w:val="StandardWeb"/>
      </w:pPr>
      <w:r>
        <w:t>Bislang wurden Parameter überwiegend als zeitlich konstant betrachtet.</w:t>
      </w:r>
    </w:p>
    <w:p w:rsidR="00C961E8" w:rsidRDefault="00C961E8" w:rsidP="00C961E8">
      <w:pPr>
        <w:pStyle w:val="StandardWeb"/>
      </w:pPr>
      <w:r>
        <w:t>In realen Systemen können Parameter jedoch selbst zeitabhängig sein:</w:t>
      </w:r>
    </w:p>
    <w:p w:rsidR="00C961E8" w:rsidRDefault="00C961E8" w:rsidP="00C961E8">
      <w:pPr>
        <w:pStyle w:val="berschrift1"/>
      </w:pPr>
      <w:r>
        <w:lastRenderedPageBreak/>
        <w:t>[</w:t>
      </w:r>
      <w:r>
        <w:br/>
        <w:t>\boldsymbol{\theta}</w:t>
      </w:r>
    </w:p>
    <w:p w:rsidR="00C961E8" w:rsidRDefault="00C961E8" w:rsidP="00C961E8">
      <w:pPr>
        <w:pStyle w:val="StandardWeb"/>
      </w:pPr>
      <w:r>
        <w:t>\boldsymbol{\theta}(t).</w:t>
      </w:r>
      <w:r>
        <w:br/>
        <w:t>\tag{3.7136}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\boldsymbol{\theta}=\boldsymbol{\theta}(t)\qquad\text{(3.7136)}</w:t>
      </w:r>
    </w:p>
    <w:p w:rsidR="00C961E8" w:rsidRDefault="00C961E8" w:rsidP="00C961E8">
      <w:pPr>
        <w:pStyle w:val="StandardWeb"/>
      </w:pPr>
      <w:r>
        <w:t>Die Parameterdrift lautet</w:t>
      </w:r>
    </w:p>
    <w:p w:rsidR="00C961E8" w:rsidRDefault="00C961E8" w:rsidP="00C961E8">
      <w:pPr>
        <w:pStyle w:val="berschrift1"/>
      </w:pPr>
      <w:r>
        <w:t>[</w:t>
      </w:r>
      <w:r>
        <w:br/>
        <w:t>\dot{\boldsymbol{\theta}}</w:t>
      </w:r>
    </w:p>
    <w:p w:rsidR="00C961E8" w:rsidRDefault="00C961E8" w:rsidP="00C961E8">
      <w:pPr>
        <w:pStyle w:val="StandardWeb"/>
      </w:pPr>
      <w:r>
        <w:t>\frac{d\boldsymbol{\theta}}{dt}.</w:t>
      </w:r>
      <w:r>
        <w:br/>
        <w:t>\tag{3.7137}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\dot{\boldsymbol{\theta}}=\frac{d\boldsymbol{\theta}}{dt}\qquad\text{(3.7137)}</w:t>
      </w:r>
    </w:p>
    <w:p w:rsidR="00C961E8" w:rsidRDefault="00C961E8" w:rsidP="00C961E8">
      <w:pPr>
        <w:pStyle w:val="StandardWeb"/>
      </w:pPr>
      <w:r>
        <w:t>Damit wird aus einem statischen Parametersatz selbst eine dynamische Größe.</w:t>
      </w:r>
    </w:p>
    <w:p w:rsidR="00C961E8" w:rsidRDefault="00E50336" w:rsidP="00C961E8">
      <w:r>
        <w:pict>
          <v:rect id="_x0000_i1444" style="width:0;height:1.5pt" o:hralign="center" o:hrstd="t" o:hr="t" fillcolor="#a0a0a0" stroked="f"/>
        </w:pict>
      </w:r>
    </w:p>
    <w:p w:rsidR="00C961E8" w:rsidRDefault="00C961E8" w:rsidP="00C961E8">
      <w:pPr>
        <w:pStyle w:val="berschrift2"/>
      </w:pPr>
      <w:r>
        <w:t>3.3.40.170 Langsame Parameterdrift</w:t>
      </w:r>
    </w:p>
    <w:p w:rsidR="00C961E8" w:rsidRDefault="00C961E8" w:rsidP="00C961E8">
      <w:pPr>
        <w:pStyle w:val="StandardWeb"/>
      </w:pPr>
      <w:r>
        <w:t>Eine langsame Parameterdrift liegt vor, wenn</w:t>
      </w:r>
    </w:p>
    <w:p w:rsidR="00C961E8" w:rsidRDefault="00C961E8" w:rsidP="00C961E8">
      <w:pPr>
        <w:pStyle w:val="StandardWeb"/>
      </w:pPr>
      <w:r>
        <w:t>[</w:t>
      </w:r>
      <w:r>
        <w:br/>
        <w:t>\left|</w:t>
      </w:r>
      <w:r>
        <w:br/>
        <w:t>\dot{\boldsymbol{\theta}}</w:t>
      </w:r>
      <w:r>
        <w:br/>
        <w:t>\right|</w:t>
      </w:r>
      <w:r>
        <w:br/>
        <w:t>\ll</w:t>
      </w:r>
      <w:r>
        <w:br/>
        <w:t>1</w:t>
      </w:r>
      <w:r>
        <w:br/>
        <w:t>\tag{3.7138}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\left\|\dot{\boldsymbol{\theta}}\right\|\ll1\qquad\text{(3.7138)}</w:t>
      </w:r>
    </w:p>
    <w:p w:rsidR="00C961E8" w:rsidRDefault="00C961E8" w:rsidP="00C961E8">
      <w:pPr>
        <w:pStyle w:val="StandardWeb"/>
      </w:pPr>
      <w:r>
        <w:t>relativ zur charakteristischen Zustandsdynamik.</w:t>
      </w:r>
    </w:p>
    <w:p w:rsidR="00C961E8" w:rsidRDefault="00C961E8" w:rsidP="00C961E8">
      <w:pPr>
        <w:pStyle w:val="StandardWeb"/>
      </w:pPr>
      <w:r>
        <w:t>Auch eine langsame Drift kann jedoch langfristig eine kritische Grenze erreichen.</w:t>
      </w:r>
    </w:p>
    <w:p w:rsidR="00C961E8" w:rsidRDefault="00E50336" w:rsidP="00C961E8">
      <w:r>
        <w:lastRenderedPageBreak/>
        <w:pict>
          <v:rect id="_x0000_i1445" style="width:0;height:1.5pt" o:hralign="center" o:hrstd="t" o:hr="t" fillcolor="#a0a0a0" stroked="f"/>
        </w:pict>
      </w:r>
    </w:p>
    <w:p w:rsidR="00C961E8" w:rsidRDefault="00C961E8" w:rsidP="00C961E8">
      <w:pPr>
        <w:pStyle w:val="berschrift2"/>
      </w:pPr>
      <w:r>
        <w:t>3.3.40.171 Zeit bis zur kritischen Parametergrenze</w:t>
      </w:r>
    </w:p>
    <w:p w:rsidR="00C961E8" w:rsidRDefault="00C961E8" w:rsidP="00C961E8">
      <w:pPr>
        <w:pStyle w:val="StandardWeb"/>
      </w:pPr>
      <w:r>
        <w:t>Für eine eindimensionale lineare Drift</w:t>
      </w:r>
    </w:p>
    <w:p w:rsidR="00C961E8" w:rsidRDefault="00C961E8" w:rsidP="00C961E8">
      <w:pPr>
        <w:pStyle w:val="berschrift1"/>
      </w:pPr>
      <w:r>
        <w:t>[</w:t>
      </w:r>
      <w:r>
        <w:br/>
        <w:t>\theta(t)</w:t>
      </w:r>
    </w:p>
    <w:p w:rsidR="00C961E8" w:rsidRDefault="00C961E8" w:rsidP="00C961E8">
      <w:pPr>
        <w:pStyle w:val="StandardWeb"/>
      </w:pPr>
      <w:r>
        <w:t>\theta_0</w:t>
      </w:r>
      <w:r>
        <w:br/>
        <w:t>+</w:t>
      </w:r>
      <w:r>
        <w:br/>
        <w:t>vt</w:t>
      </w:r>
      <w:r>
        <w:br/>
        <w:t>\tag{3.7139}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\theta(t)=\theta_0+vt\qquad\text{(3.7139)}</w:t>
      </w:r>
    </w:p>
    <w:p w:rsidR="00C961E8" w:rsidRDefault="00C961E8" w:rsidP="00C961E8">
      <w:pPr>
        <w:pStyle w:val="StandardWeb"/>
      </w:pPr>
      <w:r>
        <w:t>und eine kritische Grenze (\theta_{\mathrm{krit}}) ergibt sich formal</w:t>
      </w:r>
    </w:p>
    <w:p w:rsidR="00C961E8" w:rsidRDefault="00C961E8" w:rsidP="00C961E8">
      <w:pPr>
        <w:pStyle w:val="berschrift1"/>
      </w:pPr>
      <w:r>
        <w:t>[</w:t>
      </w:r>
      <w:r>
        <w:br/>
        <w:t>T_{\mathrm{krit}}</w:t>
      </w:r>
    </w:p>
    <w:p w:rsidR="00C961E8" w:rsidRDefault="00C961E8" w:rsidP="00C961E8">
      <w:pPr>
        <w:pStyle w:val="berschrift2"/>
      </w:pPr>
      <w:r>
        <w:t>\frac{</w:t>
      </w:r>
      <w:r>
        <w:br/>
        <w:t>\theta_{\mathrm{krit}}</w:t>
      </w:r>
    </w:p>
    <w:p w:rsidR="00C961E8" w:rsidRDefault="00C961E8" w:rsidP="00C961E8">
      <w:pPr>
        <w:pStyle w:val="StandardWeb"/>
      </w:pPr>
      <w:r>
        <w:t>\theta_0</w:t>
      </w:r>
      <w:r>
        <w:br/>
        <w:t>}{</w:t>
      </w:r>
      <w:r>
        <w:br/>
        <w:t>v</w:t>
      </w:r>
      <w:r>
        <w:br/>
        <w:t>}</w:t>
      </w:r>
      <w:r>
        <w:br/>
        <w:t>\tag{3.7140}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T_{\mathrm{krit}}=\frac{\theta_{\mathrm{krit}}-\theta_0}{v}\qquad\text{(3.7140)}</w:t>
      </w:r>
    </w:p>
    <w:p w:rsidR="00C961E8" w:rsidRDefault="00C961E8" w:rsidP="00C961E8">
      <w:pPr>
        <w:pStyle w:val="StandardWeb"/>
      </w:pPr>
      <w:r>
        <w:t>für (v\neq0), sofern die lineare Approximation im betrachteten Bereich zulässig ist.</w:t>
      </w:r>
    </w:p>
    <w:p w:rsidR="00C961E8" w:rsidRDefault="00E50336" w:rsidP="00C961E8">
      <w:r>
        <w:pict>
          <v:rect id="_x0000_i1446" style="width:0;height:1.5pt" o:hralign="center" o:hrstd="t" o:hr="t" fillcolor="#a0a0a0" stroked="f"/>
        </w:pict>
      </w:r>
    </w:p>
    <w:p w:rsidR="00C961E8" w:rsidRDefault="00C961E8" w:rsidP="00C961E8">
      <w:pPr>
        <w:pStyle w:val="berschrift2"/>
      </w:pPr>
      <w:r>
        <w:t>3.3.40.172 Parameterdrift und Prognoserobustheit</w:t>
      </w:r>
    </w:p>
    <w:p w:rsidR="00C961E8" w:rsidRDefault="00C961E8" w:rsidP="00C961E8">
      <w:pPr>
        <w:pStyle w:val="StandardWeb"/>
      </w:pPr>
      <w:r>
        <w:t>Eine Prognose, die konstante Parameter voraussetzt, kann bei tatsächlicher Parameterdrift zunehmend fehlerhaft werden.</w:t>
      </w:r>
    </w:p>
    <w:p w:rsidR="00C961E8" w:rsidRDefault="00C961E8" w:rsidP="00C961E8">
      <w:pPr>
        <w:pStyle w:val="StandardWeb"/>
      </w:pPr>
      <w:r>
        <w:lastRenderedPageBreak/>
        <w:t>Das Modell lautet</w:t>
      </w:r>
    </w:p>
    <w:p w:rsidR="00C961E8" w:rsidRDefault="00C961E8" w:rsidP="00C961E8">
      <w:pPr>
        <w:pStyle w:val="berschrift1"/>
      </w:pPr>
      <w:r>
        <w:t>[</w:t>
      </w:r>
      <w:r>
        <w:br/>
        <w:t>\widehat{Y}(t)</w:t>
      </w:r>
    </w:p>
    <w:p w:rsidR="00C961E8" w:rsidRDefault="00C961E8" w:rsidP="00C961E8">
      <w:pPr>
        <w:pStyle w:val="StandardWeb"/>
      </w:pPr>
      <w:r>
        <w:t>F</w:t>
      </w:r>
      <w:r>
        <w:br/>
        <w:t>\left(</w:t>
      </w:r>
      <w:r>
        <w:br/>
        <w:t>\theta_0</w:t>
      </w:r>
      <w:r>
        <w:br/>
        <w:t>\right),</w:t>
      </w:r>
      <w:r>
        <w:br/>
        <w:t>\tag{3.7141}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\widehat{Y}(t)=F\left(\theta_0\right)\qquad\text{(3.7141)}</w:t>
      </w:r>
    </w:p>
    <w:p w:rsidR="00C961E8" w:rsidRDefault="00C961E8" w:rsidP="00C961E8">
      <w:pPr>
        <w:pStyle w:val="StandardWeb"/>
      </w:pPr>
      <w:r>
        <w:t>während die reale dynamische Repräsentation</w:t>
      </w:r>
    </w:p>
    <w:p w:rsidR="00C961E8" w:rsidRDefault="00C961E8" w:rsidP="00C961E8">
      <w:pPr>
        <w:pStyle w:val="berschrift1"/>
      </w:pPr>
      <w:r>
        <w:t>[</w:t>
      </w:r>
      <w:r>
        <w:br/>
        <w:t>Y(t)</w:t>
      </w:r>
    </w:p>
    <w:p w:rsidR="00C961E8" w:rsidRDefault="00C961E8" w:rsidP="00C961E8">
      <w:pPr>
        <w:pStyle w:val="StandardWeb"/>
      </w:pPr>
      <w:r>
        <w:t>F</w:t>
      </w:r>
      <w:r>
        <w:br/>
        <w:t>\left(</w:t>
      </w:r>
      <w:r>
        <w:br/>
        <w:t>\theta(t)</w:t>
      </w:r>
      <w:r>
        <w:br/>
        <w:t>\right)</w:t>
      </w:r>
      <w:r>
        <w:br/>
        <w:t>\tag{3.7142}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Y(t)=F\left(\theta(t)\right)\qquad\text{(3.7142)}</w:t>
      </w:r>
    </w:p>
    <w:p w:rsidR="00C961E8" w:rsidRDefault="00C961E8" w:rsidP="00C961E8">
      <w:pPr>
        <w:pStyle w:val="StandardWeb"/>
      </w:pPr>
      <w:r>
        <w:t>sein kann.</w:t>
      </w:r>
    </w:p>
    <w:p w:rsidR="00C961E8" w:rsidRDefault="00C961E8" w:rsidP="00C961E8">
      <w:pPr>
        <w:pStyle w:val="StandardWeb"/>
      </w:pPr>
      <w:r>
        <w:t>Der driftbedingte Fehler lautet</w:t>
      </w:r>
    </w:p>
    <w:p w:rsidR="00C961E8" w:rsidRDefault="00C961E8" w:rsidP="00C961E8">
      <w:pPr>
        <w:pStyle w:val="berschrift1"/>
      </w:pPr>
      <w:r>
        <w:t>[</w:t>
      </w:r>
      <w:r>
        <w:br/>
        <w:t>E_{\mathrm{drift}}(t)</w:t>
      </w:r>
    </w:p>
    <w:p w:rsidR="00C961E8" w:rsidRDefault="00C961E8" w:rsidP="00C961E8">
      <w:pPr>
        <w:pStyle w:val="StandardWeb"/>
      </w:pPr>
      <w:r>
        <w:t>d_Y</w:t>
      </w:r>
      <w:r>
        <w:br/>
        <w:t>\left(</w:t>
      </w:r>
      <w:r>
        <w:br/>
        <w:t>Y(t),</w:t>
      </w:r>
      <w:r>
        <w:br/>
        <w:t>\widehat{Y}(t)</w:t>
      </w:r>
      <w:r>
        <w:br/>
        <w:t>\right).</w:t>
      </w:r>
      <w:r>
        <w:br/>
        <w:t>\tag{3.7143}</w:t>
      </w:r>
      <w:r>
        <w:br/>
        <w:t>]</w:t>
      </w:r>
    </w:p>
    <w:p w:rsidR="00C961E8" w:rsidRDefault="00C961E8" w:rsidP="00C961E8">
      <w:pPr>
        <w:pStyle w:val="StandardWeb"/>
      </w:pPr>
      <w:r>
        <w:rPr>
          <w:rStyle w:val="Fett"/>
        </w:rPr>
        <w:lastRenderedPageBreak/>
        <w:t>Word-LaTeX</w:t>
      </w:r>
    </w:p>
    <w:p w:rsidR="00C961E8" w:rsidRDefault="00C961E8" w:rsidP="00C961E8">
      <w:pPr>
        <w:pStyle w:val="HTMLVorformatiert"/>
        <w:rPr>
          <w:rStyle w:val="HTMLCode"/>
        </w:rPr>
      </w:pPr>
      <w:r>
        <w:rPr>
          <w:rStyle w:val="HTMLCode"/>
        </w:rPr>
        <w:t>E_{\mathrm{drift}}(t)=d_Y\left(Y(t),\widehat{Y}(t)\right)\qquad\text{(3.7143)}</w:t>
      </w:r>
    </w:p>
    <w:p w:rsidR="00C961E8" w:rsidRDefault="00E50336" w:rsidP="00C961E8">
      <w:r>
        <w:pict>
          <v:rect id="_x0000_i1447" style="width:0;height:1.5pt" o:hralign="center" o:hrstd="t" o:hr="t" fillcolor="#a0a0a0" stroked="f"/>
        </w:pict>
      </w:r>
    </w:p>
    <w:p w:rsidR="00C961E8" w:rsidRDefault="00C961E8" w:rsidP="00C961E8">
      <w:pPr>
        <w:pStyle w:val="berschrift2"/>
      </w:pPr>
      <w:r>
        <w:t>3.3.40.173 Adaptive Parameter</w:t>
      </w:r>
    </w:p>
    <w:p w:rsidR="00C961E8" w:rsidRDefault="00C961E8" w:rsidP="00C961E8">
      <w:pPr>
        <w:pStyle w:val="StandardWeb"/>
      </w:pPr>
      <w:r>
        <w:t>Ein Modell kann Parameter selbst anpassen.</w:t>
      </w:r>
    </w:p>
    <w:p w:rsidR="00C961E8" w:rsidRDefault="00C961E8" w:rsidP="00C961E8">
      <w:pPr>
        <w:pStyle w:val="StandardWeb"/>
      </w:pPr>
      <w:r>
        <w:t>Ich schreibe</w:t>
      </w:r>
    </w:p>
    <w:p w:rsidR="00C961E8" w:rsidRDefault="00C961E8" w:rsidP="00C961E8">
      <w:pPr>
        <w:pStyle w:val="berschrift1"/>
      </w:pPr>
      <w:r>
        <w:t>[</w:t>
      </w:r>
      <w:r>
        <w:br/>
        <w:t>\boldsymbol{\theta}_{t+1}</w:t>
      </w:r>
    </w:p>
    <w:p w:rsidR="00C961E8" w:rsidRDefault="00C961E8" w:rsidP="00C961E8">
      <w:pPr>
        <w:pStyle w:val="StandardWeb"/>
      </w:pPr>
      <w:r>
        <w:t>G</w:t>
      </w:r>
      <w:r>
        <w:br/>
        <w:t>\left(</w:t>
      </w:r>
      <w:r>
        <w:br/>
        <w:t>\boldsymbol{\theta}_t,</w:t>
      </w:r>
      <w:r>
        <w:br/>
        <w:t>\delta_t,</w:t>
      </w:r>
      <w:r>
        <w:br/>
        <w:t>\mathcal{D}_t</w:t>
      </w:r>
      <w:r>
        <w:br/>
        <w:t>\right).</w:t>
      </w:r>
      <w:r>
        <w:br/>
        <w:t>\tag{3.7144}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\boldsymbol{\theta}_{t+1}=G\left(\boldsymbol{\theta}_t,\delta_t,\mathcal{D}_t\right)\qquad\text{(3.7144)}</w:t>
      </w:r>
    </w:p>
    <w:p w:rsidR="00C961E8" w:rsidRDefault="00C961E8" w:rsidP="00C961E8">
      <w:pPr>
        <w:pStyle w:val="StandardWeb"/>
      </w:pPr>
      <w:r>
        <w:t>Damit entsteht eine gekoppelte Dynamik aus Zustand und Parametern:</w:t>
      </w:r>
    </w:p>
    <w:p w:rsidR="00C961E8" w:rsidRDefault="00C961E8" w:rsidP="00C961E8">
      <w:pPr>
        <w:pStyle w:val="berschrift1"/>
      </w:pPr>
      <w:r>
        <w:t>[</w:t>
      </w:r>
      <w:r>
        <w:br/>
        <w:t>\delta_{t+1}</w:t>
      </w:r>
    </w:p>
    <w:p w:rsidR="00C961E8" w:rsidRDefault="00C961E8" w:rsidP="00C961E8">
      <w:pPr>
        <w:pStyle w:val="StandardWeb"/>
      </w:pPr>
      <w:r>
        <w:t>F</w:t>
      </w:r>
      <w:r>
        <w:br/>
        <w:t>\left(</w:t>
      </w:r>
      <w:r>
        <w:br/>
        <w:t>\delta_t,</w:t>
      </w:r>
      <w:r>
        <w:br/>
        <w:t>\boldsymbol{\theta}_t</w:t>
      </w:r>
      <w:r>
        <w:br/>
        <w:t>\right),</w:t>
      </w:r>
      <w:r>
        <w:br/>
        <w:t>\tag{3.7145}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\delta_{t+1}=F\left(\delta_t,\boldsymbol{\theta}_t\right)\qquad\text{(3.7145)}</w:t>
      </w:r>
    </w:p>
    <w:p w:rsidR="00C961E8" w:rsidRDefault="00C961E8" w:rsidP="00C961E8">
      <w:pPr>
        <w:pStyle w:val="berschrift1"/>
      </w:pPr>
      <w:r>
        <w:lastRenderedPageBreak/>
        <w:t>[</w:t>
      </w:r>
      <w:r>
        <w:br/>
        <w:t>\boldsymbol{\theta}_{t+1}</w:t>
      </w:r>
    </w:p>
    <w:p w:rsidR="00C961E8" w:rsidRDefault="00C961E8" w:rsidP="00C961E8">
      <w:pPr>
        <w:pStyle w:val="StandardWeb"/>
      </w:pPr>
      <w:r>
        <w:t>G</w:t>
      </w:r>
      <w:r>
        <w:br/>
        <w:t>\left(</w:t>
      </w:r>
      <w:r>
        <w:br/>
        <w:t>\boldsymbol{\theta}_t,</w:t>
      </w:r>
      <w:r>
        <w:br/>
        <w:t>\delta_t</w:t>
      </w:r>
      <w:r>
        <w:br/>
        <w:t>\right).</w:t>
      </w:r>
      <w:r>
        <w:br/>
        <w:t>\tag{3.7146}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\boldsymbol{\theta}_{t+1}=G\left(\boldsymbol{\theta}_t,\delta_t\right)\qquad\text{(3.7146)}</w:t>
      </w:r>
    </w:p>
    <w:p w:rsidR="00C961E8" w:rsidRDefault="00E50336" w:rsidP="00C961E8">
      <w:r>
        <w:pict>
          <v:rect id="_x0000_i1448" style="width:0;height:1.5pt" o:hralign="center" o:hrstd="t" o:hr="t" fillcolor="#a0a0a0" stroked="f"/>
        </w:pict>
      </w:r>
    </w:p>
    <w:p w:rsidR="00C961E8" w:rsidRDefault="00C961E8" w:rsidP="00C961E8">
      <w:pPr>
        <w:pStyle w:val="berschrift2"/>
      </w:pPr>
      <w:r>
        <w:t>3.3.40.174 Erweiterter Zustandsraum adaptiver Systeme</w:t>
      </w:r>
    </w:p>
    <w:p w:rsidR="00C961E8" w:rsidRDefault="00C961E8" w:rsidP="00C961E8">
      <w:pPr>
        <w:pStyle w:val="StandardWeb"/>
      </w:pPr>
      <w:r>
        <w:t>Für adaptive Systeme kann der erweiterte Zustand definiert werden als</w:t>
      </w:r>
    </w:p>
    <w:p w:rsidR="00C961E8" w:rsidRDefault="00C961E8" w:rsidP="00C961E8">
      <w:pPr>
        <w:pStyle w:val="berschrift1"/>
      </w:pPr>
      <w:r>
        <w:t>[</w:t>
      </w:r>
      <w:r>
        <w:br/>
        <w:t>z_t</w:t>
      </w:r>
    </w:p>
    <w:p w:rsidR="00C961E8" w:rsidRDefault="00C961E8" w:rsidP="00C961E8">
      <w:pPr>
        <w:pStyle w:val="StandardWeb"/>
      </w:pPr>
      <w:r>
        <w:t>\left(</w:t>
      </w:r>
      <w:r>
        <w:br/>
        <w:t>\delta_t,</w:t>
      </w:r>
      <w:r>
        <w:br/>
        <w:t>\boldsymbol{\theta}_t</w:t>
      </w:r>
      <w:r>
        <w:br/>
        <w:t>\right).</w:t>
      </w:r>
      <w:r>
        <w:br/>
        <w:t>\tag{3.7147}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z_t=\left(\delta_t,\boldsymbol{\theta}_t\right)\qquad\text{(3.7147)}</w:t>
      </w:r>
    </w:p>
    <w:p w:rsidR="00C961E8" w:rsidRDefault="00C961E8" w:rsidP="00C961E8">
      <w:pPr>
        <w:pStyle w:val="StandardWeb"/>
      </w:pPr>
      <w:r>
        <w:t>Die gemeinsame Dynamik lautet</w:t>
      </w:r>
    </w:p>
    <w:p w:rsidR="00C961E8" w:rsidRDefault="00C961E8" w:rsidP="00C961E8">
      <w:pPr>
        <w:pStyle w:val="berschrift1"/>
      </w:pPr>
      <w:r>
        <w:t>[</w:t>
      </w:r>
      <w:r>
        <w:br/>
        <w:t>z_{t+1}</w:t>
      </w:r>
    </w:p>
    <w:p w:rsidR="00C961E8" w:rsidRDefault="00C961E8" w:rsidP="00C961E8">
      <w:pPr>
        <w:pStyle w:val="StandardWeb"/>
      </w:pPr>
      <w:r>
        <w:t>\Psi</w:t>
      </w:r>
      <w:r>
        <w:br/>
        <w:t>\left(</w:t>
      </w:r>
      <w:r>
        <w:br/>
        <w:t>z_t</w:t>
      </w:r>
      <w:r>
        <w:br/>
        <w:t>\right).</w:t>
      </w:r>
      <w:r>
        <w:br/>
        <w:t>\tag{3.7148}</w:t>
      </w:r>
      <w:r>
        <w:br/>
        <w:t>]</w:t>
      </w:r>
    </w:p>
    <w:p w:rsidR="00C961E8" w:rsidRDefault="00C961E8" w:rsidP="00C961E8">
      <w:pPr>
        <w:pStyle w:val="StandardWeb"/>
      </w:pPr>
      <w:r>
        <w:rPr>
          <w:rStyle w:val="Fett"/>
        </w:rPr>
        <w:lastRenderedPageBreak/>
        <w:t>Word-LaTeX</w:t>
      </w:r>
    </w:p>
    <w:p w:rsidR="00C961E8" w:rsidRDefault="00C961E8" w:rsidP="00C961E8">
      <w:pPr>
        <w:pStyle w:val="HTMLVorformatiert"/>
        <w:rPr>
          <w:rStyle w:val="HTMLCode"/>
        </w:rPr>
      </w:pPr>
      <w:r>
        <w:rPr>
          <w:rStyle w:val="HTMLCode"/>
        </w:rPr>
        <w:t>z_{t+1}=\Psi\left(z_t\right)\qquad\text{(3.7148)}</w:t>
      </w:r>
    </w:p>
    <w:p w:rsidR="00C961E8" w:rsidRDefault="00C961E8" w:rsidP="00C961E8">
      <w:pPr>
        <w:pStyle w:val="StandardWeb"/>
      </w:pPr>
      <w:r>
        <w:t>Damit werden Parameter nicht mehr als externe Konstanten, sondern als Bestandteil des dynamischen Zustands behandelt.</w:t>
      </w:r>
    </w:p>
    <w:p w:rsidR="00C961E8" w:rsidRDefault="00E50336" w:rsidP="00C961E8">
      <w:r>
        <w:pict>
          <v:rect id="_x0000_i1449" style="width:0;height:1.5pt" o:hralign="center" o:hrstd="t" o:hr="t" fillcolor="#a0a0a0" stroked="f"/>
        </w:pict>
      </w:r>
    </w:p>
    <w:p w:rsidR="00C961E8" w:rsidRDefault="00C961E8" w:rsidP="00C961E8">
      <w:pPr>
        <w:pStyle w:val="berschrift2"/>
      </w:pPr>
      <w:r>
        <w:t>3.3.40.175 Robustheit adaptiver Parameter</w:t>
      </w:r>
    </w:p>
    <w:p w:rsidR="00C961E8" w:rsidRDefault="00C961E8" w:rsidP="00C961E8">
      <w:pPr>
        <w:pStyle w:val="StandardWeb"/>
      </w:pPr>
      <w:r>
        <w:t>Eine adaptive Regel ist robust, wenn unterschiedliche zulässige Anfangsparameter</w:t>
      </w:r>
    </w:p>
    <w:p w:rsidR="00C961E8" w:rsidRDefault="00C961E8" w:rsidP="00C961E8">
      <w:pPr>
        <w:pStyle w:val="StandardWeb"/>
      </w:pPr>
      <w:r>
        <w:t>[</w:t>
      </w:r>
      <w:r>
        <w:br/>
        <w:t>\boldsymbol{\theta}_0^{(1)}</w:t>
      </w:r>
      <w:r>
        <w:br/>
        <w:t>\neq</w:t>
      </w:r>
      <w:r>
        <w:br/>
        <w:t>\boldsymbol{\theta}_0^{(2)}</w:t>
      </w:r>
      <w:r>
        <w:br/>
        <w:t>\tag{3.7149}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\boldsymbol{\theta}_0^{(1)}\neq\boldsymbol{\theta}_0^{(2)}\qquad\text{(3.7149)}</w:t>
      </w:r>
    </w:p>
    <w:p w:rsidR="00C961E8" w:rsidRDefault="00C961E8" w:rsidP="00C961E8">
      <w:pPr>
        <w:pStyle w:val="StandardWeb"/>
      </w:pPr>
      <w:r>
        <w:t>zu funktional äquivalenten langfristigen Aussagen führen:</w:t>
      </w:r>
    </w:p>
    <w:p w:rsidR="00C961E8" w:rsidRDefault="00C961E8" w:rsidP="00C961E8">
      <w:pPr>
        <w:pStyle w:val="StandardWeb"/>
      </w:pPr>
      <w:r>
        <w:t>[</w:t>
      </w:r>
      <w:r>
        <w:br/>
        <w:t>A_F^{(1)}</w:t>
      </w:r>
      <w:r>
        <w:br/>
        <w:t>\sim_A</w:t>
      </w:r>
      <w:r>
        <w:br/>
        <w:t>A_F^{(2)}.</w:t>
      </w:r>
      <w:r>
        <w:br/>
        <w:t>\tag{3.7150}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A_F^{(1)}\sim_A A_F^{(2)}\qquad\text{(3.7150)}</w:t>
      </w:r>
    </w:p>
    <w:p w:rsidR="00C961E8" w:rsidRDefault="00E50336" w:rsidP="00C961E8">
      <w:r>
        <w:pict>
          <v:rect id="_x0000_i1450" style="width:0;height:1.5pt" o:hralign="center" o:hrstd="t" o:hr="t" fillcolor="#a0a0a0" stroked="f"/>
        </w:pict>
      </w:r>
    </w:p>
    <w:p w:rsidR="00C961E8" w:rsidRDefault="00C961E8" w:rsidP="00C961E8">
      <w:pPr>
        <w:pStyle w:val="berschrift2"/>
      </w:pPr>
      <w:r>
        <w:t>3.3.40.176 Parameterlernrate</w:t>
      </w:r>
    </w:p>
    <w:p w:rsidR="00C961E8" w:rsidRDefault="00C961E8" w:rsidP="00C961E8">
      <w:pPr>
        <w:pStyle w:val="StandardWeb"/>
      </w:pPr>
      <w:r>
        <w:t>Adaptive Systeme besitzen häufig eine Lern- oder Anpassungsrate</w:t>
      </w:r>
    </w:p>
    <w:p w:rsidR="00C961E8" w:rsidRDefault="00C961E8" w:rsidP="00C961E8">
      <w:pPr>
        <w:pStyle w:val="StandardWeb"/>
      </w:pPr>
      <w:r>
        <w:t>[</w:t>
      </w:r>
      <w:r>
        <w:br/>
        <w:t>\eta_{\theta}.</w:t>
      </w:r>
      <w:r>
        <w:br/>
        <w:t>\tag{3.7151}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\eta_{\theta}\qquad\text{(3.7151)}</w:t>
      </w:r>
    </w:p>
    <w:p w:rsidR="00C961E8" w:rsidRDefault="00C961E8" w:rsidP="00C961E8">
      <w:pPr>
        <w:pStyle w:val="StandardWeb"/>
      </w:pPr>
      <w:r>
        <w:lastRenderedPageBreak/>
        <w:t>Eine einfache Anpassung kann lauten</w:t>
      </w:r>
    </w:p>
    <w:p w:rsidR="00C961E8" w:rsidRDefault="00C961E8" w:rsidP="00C961E8">
      <w:pPr>
        <w:pStyle w:val="berschrift1"/>
      </w:pPr>
      <w:r>
        <w:t>[</w:t>
      </w:r>
      <w:r>
        <w:br/>
        <w:t>\boldsymbol{\theta}_{t+1}</w:t>
      </w:r>
    </w:p>
    <w:p w:rsidR="00C961E8" w:rsidRDefault="00C961E8" w:rsidP="00C961E8">
      <w:pPr>
        <w:pStyle w:val="berschrift2"/>
      </w:pPr>
      <w:r>
        <w:t>\boldsymbol{\theta}_t</w:t>
      </w:r>
    </w:p>
    <w:p w:rsidR="00C961E8" w:rsidRDefault="00C961E8" w:rsidP="00C961E8">
      <w:pPr>
        <w:pStyle w:val="StandardWeb"/>
      </w:pPr>
      <w:r>
        <w:t>\eta_{\theta}</w:t>
      </w:r>
      <w:r>
        <w:br/>
        <w:t>\nabla_{\theta}</w:t>
      </w:r>
      <w:r>
        <w:br/>
        <w:t>L_t.</w:t>
      </w:r>
      <w:r>
        <w:br/>
        <w:t>\tag{3.7152}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\boldsymbol{\theta}_{t+1}=\boldsymbol{\theta}_t-\eta_{\theta}\nabla_{\theta}L_t\qquad\text{(3.7152)}</w:t>
      </w:r>
    </w:p>
    <w:p w:rsidR="00C961E8" w:rsidRDefault="00C961E8" w:rsidP="00C961E8">
      <w:pPr>
        <w:pStyle w:val="StandardWeb"/>
      </w:pPr>
      <w:r>
        <w:t>Damit wird selbst die Lernrate zu einem Parameter der Robustheitsanalyse.</w:t>
      </w:r>
    </w:p>
    <w:p w:rsidR="00C961E8" w:rsidRDefault="00E50336" w:rsidP="00C961E8">
      <w:r>
        <w:pict>
          <v:rect id="_x0000_i1451" style="width:0;height:1.5pt" o:hralign="center" o:hrstd="t" o:hr="t" fillcolor="#a0a0a0" stroked="f"/>
        </w:pict>
      </w:r>
    </w:p>
    <w:p w:rsidR="00C961E8" w:rsidRDefault="00C961E8" w:rsidP="00C961E8">
      <w:pPr>
        <w:pStyle w:val="berschrift2"/>
      </w:pPr>
      <w:r>
        <w:t>3.3.40.177 Lernratenrobustheit</w:t>
      </w:r>
    </w:p>
    <w:p w:rsidR="00C961E8" w:rsidRDefault="00C961E8" w:rsidP="00C961E8">
      <w:pPr>
        <w:pStyle w:val="StandardWeb"/>
      </w:pPr>
      <w:r>
        <w:t>Für zwei Lernraten</w:t>
      </w:r>
    </w:p>
    <w:p w:rsidR="00C961E8" w:rsidRDefault="00C961E8" w:rsidP="00C961E8">
      <w:pPr>
        <w:pStyle w:val="StandardWeb"/>
      </w:pPr>
      <w:r>
        <w:t>[</w:t>
      </w:r>
      <w:r>
        <w:br/>
        <w:t>\eta_1</w:t>
      </w:r>
      <w:r>
        <w:br/>
        <w:t>\neq</w:t>
      </w:r>
      <w:r>
        <w:br/>
        <w:t>\eta_2</w:t>
      </w:r>
      <w:r>
        <w:br/>
        <w:t>\tag{3.7153}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\eta_1\neq\eta_2\qquad\text{(3.7153)}</w:t>
      </w:r>
    </w:p>
    <w:p w:rsidR="00C961E8" w:rsidRDefault="00C961E8" w:rsidP="00C961E8">
      <w:pPr>
        <w:pStyle w:val="StandardWeb"/>
      </w:pPr>
      <w:r>
        <w:t>können verschiedene Anpassungspfade entstehen.</w:t>
      </w:r>
    </w:p>
    <w:p w:rsidR="00C961E8" w:rsidRDefault="00C961E8" w:rsidP="00C961E8">
      <w:pPr>
        <w:pStyle w:val="StandardWeb"/>
      </w:pPr>
      <w:r>
        <w:t>Eine robuste adaptive Aussage verlangt</w:t>
      </w:r>
    </w:p>
    <w:p w:rsidR="00C961E8" w:rsidRDefault="00C961E8" w:rsidP="00C961E8">
      <w:pPr>
        <w:pStyle w:val="StandardWeb"/>
      </w:pPr>
      <w:r>
        <w:t>[</w:t>
      </w:r>
      <w:r>
        <w:br/>
        <w:t>A_F</w:t>
      </w:r>
      <w:r>
        <w:br/>
        <w:t>\left(</w:t>
      </w:r>
      <w:r>
        <w:br/>
        <w:t>\eta_1</w:t>
      </w:r>
      <w:r>
        <w:br/>
        <w:t>\right)</w:t>
      </w:r>
      <w:r>
        <w:br/>
        <w:t>\sim_A</w:t>
      </w:r>
      <w:r>
        <w:br/>
        <w:t>A_F</w:t>
      </w:r>
      <w:r>
        <w:br/>
        <w:t>\left(</w:t>
      </w:r>
      <w:r>
        <w:br/>
        <w:t>\eta_2</w:t>
      </w:r>
      <w:r>
        <w:br/>
      </w:r>
      <w:r>
        <w:lastRenderedPageBreak/>
        <w:t>\right)</w:t>
      </w:r>
      <w:r>
        <w:br/>
        <w:t>\tag{3.7154}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A_F\left(\eta_1\right)\sim_A A_F\left(\eta_2\right)\qquad\text{(3.7154)}</w:t>
      </w:r>
    </w:p>
    <w:p w:rsidR="00C961E8" w:rsidRDefault="00C961E8" w:rsidP="00C961E8">
      <w:pPr>
        <w:pStyle w:val="StandardWeb"/>
      </w:pPr>
      <w:r>
        <w:t>für einen wissenschaftlich begründeten Lernratenbereich.</w:t>
      </w:r>
    </w:p>
    <w:p w:rsidR="00C961E8" w:rsidRDefault="00E50336" w:rsidP="00C961E8">
      <w:r>
        <w:pict>
          <v:rect id="_x0000_i1452" style="width:0;height:1.5pt" o:hralign="center" o:hrstd="t" o:hr="t" fillcolor="#a0a0a0" stroked="f"/>
        </w:pict>
      </w:r>
    </w:p>
    <w:p w:rsidR="00C961E8" w:rsidRDefault="00C961E8" w:rsidP="00C961E8">
      <w:pPr>
        <w:pStyle w:val="berschrift2"/>
      </w:pPr>
      <w:r>
        <w:t>3.3.40.178 Zeitvariante Parameterbereiche</w:t>
      </w:r>
    </w:p>
    <w:p w:rsidR="00C961E8" w:rsidRDefault="00C961E8" w:rsidP="00C961E8">
      <w:pPr>
        <w:pStyle w:val="StandardWeb"/>
      </w:pPr>
      <w:r>
        <w:t>Ein zulässiger Parameterraum kann ebenfalls zeitabhängig sein:</w:t>
      </w:r>
    </w:p>
    <w:p w:rsidR="00C961E8" w:rsidRDefault="00C961E8" w:rsidP="00C961E8">
      <w:pPr>
        <w:pStyle w:val="berschrift1"/>
      </w:pPr>
      <w:r>
        <w:t>[</w:t>
      </w:r>
      <w:r>
        <w:br/>
        <w:t>\Theta_{\mathrm{zul}}</w:t>
      </w:r>
    </w:p>
    <w:p w:rsidR="00C961E8" w:rsidRDefault="00C961E8" w:rsidP="00C961E8">
      <w:pPr>
        <w:pStyle w:val="StandardWeb"/>
      </w:pPr>
      <w:r>
        <w:t>\Theta_{\mathrm{zul}}(t).</w:t>
      </w:r>
      <w:r>
        <w:br/>
        <w:t>\tag{3.7155}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\Theta_{\mathrm{zul}}=\Theta_{\mathrm{zul}}(t)\qquad\text{(3.7155)}</w:t>
      </w:r>
    </w:p>
    <w:p w:rsidR="00C961E8" w:rsidRDefault="00C961E8" w:rsidP="00C961E8">
      <w:pPr>
        <w:pStyle w:val="StandardWeb"/>
      </w:pPr>
      <w:r>
        <w:t>Dann muss Robustheit relativ zum jeweils gültigen Bereich geprüft werden:</w:t>
      </w:r>
    </w:p>
    <w:p w:rsidR="00C961E8" w:rsidRDefault="00C961E8" w:rsidP="00C961E8">
      <w:pPr>
        <w:pStyle w:val="StandardWeb"/>
      </w:pPr>
      <w:r>
        <w:t>[</w:t>
      </w:r>
      <w:r>
        <w:br/>
        <w:t>\boldsymbol{\theta}(t)</w:t>
      </w:r>
      <w:r>
        <w:br/>
        <w:t>\in</w:t>
      </w:r>
      <w:r>
        <w:br/>
        <w:t>\Theta_{\mathrm{zul}}(t).</w:t>
      </w:r>
      <w:r>
        <w:br/>
        <w:t>\tag{3.7156}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\boldsymbol{\theta}(t)\in\Theta_{\mathrm{zul}}(t)\qquad\text{(3.7156)}</w:t>
      </w:r>
    </w:p>
    <w:p w:rsidR="00C961E8" w:rsidRDefault="00E50336" w:rsidP="00C961E8">
      <w:r>
        <w:pict>
          <v:rect id="_x0000_i1453" style="width:0;height:1.5pt" o:hralign="center" o:hrstd="t" o:hr="t" fillcolor="#a0a0a0" stroked="f"/>
        </w:pict>
      </w:r>
    </w:p>
    <w:p w:rsidR="00C961E8" w:rsidRDefault="00C961E8" w:rsidP="00C961E8">
      <w:pPr>
        <w:pStyle w:val="berschrift2"/>
      </w:pPr>
      <w:r>
        <w:t>3.3.40.179 Zeitabhängiges Stabilitätsgebiet</w:t>
      </w:r>
    </w:p>
    <w:p w:rsidR="00C961E8" w:rsidRDefault="00C961E8" w:rsidP="00C961E8">
      <w:pPr>
        <w:pStyle w:val="StandardWeb"/>
      </w:pPr>
      <w:r>
        <w:t>Entsprechend definiere ich</w:t>
      </w:r>
    </w:p>
    <w:p w:rsidR="00C961E8" w:rsidRDefault="00C961E8" w:rsidP="00C961E8">
      <w:pPr>
        <w:pStyle w:val="berschrift1"/>
      </w:pPr>
      <w:r>
        <w:t>[</w:t>
      </w:r>
      <w:r>
        <w:br/>
        <w:t>\Omega_{L^\ast}^{\theta}(t)</w:t>
      </w:r>
    </w:p>
    <w:p w:rsidR="00C961E8" w:rsidRDefault="00C961E8" w:rsidP="00C961E8">
      <w:pPr>
        <w:pStyle w:val="berschrift1"/>
      </w:pPr>
      <w:r>
        <w:lastRenderedPageBreak/>
        <w:t>\left{</w:t>
      </w:r>
      <w:r>
        <w:br/>
        <w:t>\boldsymbol{\theta}</w:t>
      </w:r>
      <w:r>
        <w:br/>
        <w:t>\in</w:t>
      </w:r>
      <w:r>
        <w:br/>
        <w:t>\Theta_{\mathrm{zul}}(t)</w:t>
      </w:r>
      <w:r>
        <w:br/>
        <w:t>:</w:t>
      </w:r>
      <w:r>
        <w:br/>
        <w:t>\operatorname{Klasse}_{A}</w:t>
      </w:r>
      <w:r>
        <w:br/>
        <w:t>\left(</w:t>
      </w:r>
      <w:r>
        <w:br/>
        <w:t>A_F(t,\boldsymbol{\theta})</w:t>
      </w:r>
      <w:r>
        <w:br/>
        <w:t>\right)</w:t>
      </w:r>
    </w:p>
    <w:p w:rsidR="00C961E8" w:rsidRDefault="00C961E8" w:rsidP="00C961E8">
      <w:pPr>
        <w:pStyle w:val="StandardWeb"/>
      </w:pPr>
      <w:r>
        <w:t>L^\ast</w:t>
      </w:r>
      <w:r>
        <w:br/>
        <w:t>\right}.</w:t>
      </w:r>
      <w:r>
        <w:br/>
        <w:t>\tag{3.7157}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\Omega_{L^{\ast}}^{\theta}(t)=\left\{\boldsymbol{\theta}\in\Theta_{\mathrm{zul}}(t):\operatorname{Klasse}_{A}\left(A_F(t,\boldsymbol{\theta})\right)=L^{\ast}\right\}\qquad\text{(3.7157)}</w:t>
      </w:r>
    </w:p>
    <w:p w:rsidR="00C961E8" w:rsidRDefault="00C961E8" w:rsidP="00C961E8">
      <w:pPr>
        <w:pStyle w:val="StandardWeb"/>
      </w:pPr>
      <w:r>
        <w:t>Der zeitabhängige Robustheitsgrad lautet</w:t>
      </w:r>
    </w:p>
    <w:p w:rsidR="00C961E8" w:rsidRDefault="00C961E8" w:rsidP="00C961E8">
      <w:pPr>
        <w:pStyle w:val="berschrift1"/>
      </w:pPr>
      <w:r>
        <w:t>[</w:t>
      </w:r>
      <w:r>
        <w:br/>
        <w:t>R_{\theta}(t)</w:t>
      </w:r>
    </w:p>
    <w:p w:rsidR="00C961E8" w:rsidRDefault="00C961E8" w:rsidP="00C961E8">
      <w:pPr>
        <w:pStyle w:val="StandardWeb"/>
      </w:pPr>
      <w:r>
        <w:t>\frac{</w:t>
      </w:r>
      <w:r>
        <w:br/>
        <w:t>\mu</w:t>
      </w:r>
      <w:r>
        <w:br/>
        <w:t>\left(</w:t>
      </w:r>
      <w:r>
        <w:br/>
        <w:t>\Omega_{L^\ast}^{\theta}(t)</w:t>
      </w:r>
      <w:r>
        <w:br/>
        <w:t>\right)</w:t>
      </w:r>
      <w:r>
        <w:br/>
        <w:t>}{</w:t>
      </w:r>
      <w:r>
        <w:br/>
        <w:t>\mu</w:t>
      </w:r>
      <w:r>
        <w:br/>
        <w:t>\left(</w:t>
      </w:r>
      <w:r>
        <w:br/>
        <w:t>\Theta_{\mathrm{zul}}(t)</w:t>
      </w:r>
      <w:r>
        <w:br/>
        <w:t>\right)</w:t>
      </w:r>
      <w:r>
        <w:br/>
        <w:t>}.</w:t>
      </w:r>
      <w:r>
        <w:br/>
        <w:t>\tag{3.7158}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R_{\theta}(t)=\frac{\mu\left(\Omega_{L^{\ast}}^{\theta}(t)\right)}{\mu\left(\Theta_{\mathrm{zul}}(t)\right)}\qquad\text{(3.7158)}</w:t>
      </w:r>
    </w:p>
    <w:p w:rsidR="00C961E8" w:rsidRDefault="00E50336" w:rsidP="00C961E8">
      <w:r>
        <w:lastRenderedPageBreak/>
        <w:pict>
          <v:rect id="_x0000_i1454" style="width:0;height:1.5pt" o:hralign="center" o:hrstd="t" o:hr="t" fillcolor="#a0a0a0" stroked="f"/>
        </w:pict>
      </w:r>
    </w:p>
    <w:p w:rsidR="00C961E8" w:rsidRDefault="00C961E8" w:rsidP="00C961E8">
      <w:pPr>
        <w:pStyle w:val="berschrift2"/>
      </w:pPr>
      <w:r>
        <w:t>3.3.40.180 Frühwarnung durch schrumpfende Robustheitsregion</w:t>
      </w:r>
    </w:p>
    <w:p w:rsidR="00C961E8" w:rsidRDefault="00C961E8" w:rsidP="00C961E8">
      <w:pPr>
        <w:pStyle w:val="StandardWeb"/>
      </w:pPr>
      <w:r>
        <w:t>Eine mögliche Frühwarnstruktur liegt vor, wenn</w:t>
      </w:r>
    </w:p>
    <w:p w:rsidR="00C961E8" w:rsidRDefault="00C961E8" w:rsidP="00C961E8">
      <w:pPr>
        <w:pStyle w:val="StandardWeb"/>
      </w:pPr>
      <w:r>
        <w:t>[</w:t>
      </w:r>
      <w:r>
        <w:br/>
        <w:t>\frac{d}{dt}</w:t>
      </w:r>
      <w:r>
        <w:br/>
        <w:t>\mu</w:t>
      </w:r>
      <w:r>
        <w:br/>
        <w:t>\left(</w:t>
      </w:r>
      <w:r>
        <w:br/>
        <w:t>\Omega_{L^\ast}^{\theta}(t)</w:t>
      </w:r>
      <w:r>
        <w:br/>
        <w:t>\right)</w:t>
      </w:r>
      <w:r>
        <w:br/>
        <w:t>&lt;</w:t>
      </w:r>
      <w:r>
        <w:br/>
        <w:t>0.</w:t>
      </w:r>
      <w:r>
        <w:br/>
        <w:t>\tag{3.7159}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\frac{d}{dt}\mu\left(\Omega_{L^{\ast}}^{\theta}(t)\right)&lt;0\qquad\text{(3.7159)}</w:t>
      </w:r>
    </w:p>
    <w:p w:rsidR="00C961E8" w:rsidRDefault="00C961E8" w:rsidP="00C961E8">
      <w:pPr>
        <w:pStyle w:val="StandardWeb"/>
      </w:pPr>
      <w:r>
        <w:t>Dann schrumpft der Parameterbereich, in dem dieselbe Aussageklasse stabil bleibt.</w:t>
      </w:r>
    </w:p>
    <w:p w:rsidR="00C961E8" w:rsidRDefault="00C961E8" w:rsidP="00C961E8">
      <w:pPr>
        <w:pStyle w:val="StandardWeb"/>
      </w:pPr>
      <w:r>
        <w:t>Ein anhaltendes Schrumpfen kann anzeigen, dass das System sich einer kritischen Parameterregion nähert.</w:t>
      </w:r>
    </w:p>
    <w:p w:rsidR="00C961E8" w:rsidRDefault="00E50336" w:rsidP="00C961E8">
      <w:r>
        <w:pict>
          <v:rect id="_x0000_i1455" style="width:0;height:1.5pt" o:hralign="center" o:hrstd="t" o:hr="t" fillcolor="#a0a0a0" stroked="f"/>
        </w:pict>
      </w:r>
    </w:p>
    <w:p w:rsidR="00C961E8" w:rsidRDefault="00C961E8" w:rsidP="00C961E8">
      <w:pPr>
        <w:pStyle w:val="berschrift2"/>
      </w:pPr>
      <w:r>
        <w:t>3.3.40.181 Robustheitsverlust als Vorwarnsignal</w:t>
      </w:r>
    </w:p>
    <w:p w:rsidR="00C961E8" w:rsidRDefault="00C961E8" w:rsidP="00C961E8">
      <w:pPr>
        <w:pStyle w:val="StandardWeb"/>
      </w:pPr>
      <w:r>
        <w:t>Ich definiere</w:t>
      </w:r>
    </w:p>
    <w:p w:rsidR="00C961E8" w:rsidRDefault="00C961E8" w:rsidP="00C961E8">
      <w:pPr>
        <w:pStyle w:val="berschrift1"/>
      </w:pPr>
      <w:r>
        <w:t>[</w:t>
      </w:r>
      <w:r>
        <w:br/>
        <w:t>W_{\mathrm{rob}}</w:t>
      </w:r>
    </w:p>
    <w:p w:rsidR="00C961E8" w:rsidRDefault="00C961E8" w:rsidP="008C5E65">
      <w:pPr>
        <w:numPr>
          <w:ilvl w:val="0"/>
          <w:numId w:val="340"/>
        </w:numPr>
        <w:spacing w:before="100" w:beforeAutospacing="1" w:after="100" w:afterAutospacing="1"/>
      </w:pPr>
    </w:p>
    <w:p w:rsidR="00C961E8" w:rsidRDefault="00C961E8" w:rsidP="00C961E8">
      <w:pPr>
        <w:pStyle w:val="StandardWeb"/>
      </w:pPr>
      <w:r>
        <w:t>\frac{dR_{\theta}}{dt}.</w:t>
      </w:r>
      <w:r>
        <w:br/>
        <w:t>\tag{3.7160}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W_{\mathrm{rob}}=-\frac{dR_{\theta}}{dt}\qquad\text{(3.7160)}</w:t>
      </w:r>
    </w:p>
    <w:p w:rsidR="00C961E8" w:rsidRDefault="00C961E8" w:rsidP="00C961E8">
      <w:pPr>
        <w:pStyle w:val="StandardWeb"/>
      </w:pPr>
      <w:r>
        <w:t>Für</w:t>
      </w:r>
    </w:p>
    <w:p w:rsidR="00C961E8" w:rsidRDefault="00C961E8" w:rsidP="00C961E8">
      <w:pPr>
        <w:pStyle w:val="StandardWeb"/>
      </w:pPr>
      <w:r>
        <w:lastRenderedPageBreak/>
        <w:t>[</w:t>
      </w:r>
      <w:r>
        <w:br/>
        <w:t>W_{\mathrm{rob}}</w:t>
      </w:r>
    </w:p>
    <w:p w:rsidR="00C961E8" w:rsidRDefault="00C961E8" w:rsidP="00C961E8">
      <w:pPr>
        <w:pStyle w:val="StandardWeb"/>
      </w:pPr>
      <w:r>
        <w:t>0</w:t>
      </w:r>
      <w:r>
        <w:br/>
        <w:t>\tag{3.7161}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W_{\mathrm{rob}}&gt;0\qquad\text{(3.7161)}</w:t>
      </w:r>
    </w:p>
    <w:p w:rsidR="00C961E8" w:rsidRDefault="00C961E8" w:rsidP="00C961E8">
      <w:pPr>
        <w:pStyle w:val="StandardWeb"/>
      </w:pPr>
      <w:r>
        <w:t>nimmt die Robustheit mit der Zeit ab.</w:t>
      </w:r>
    </w:p>
    <w:p w:rsidR="00C961E8" w:rsidRDefault="00C961E8" w:rsidP="00C961E8">
      <w:pPr>
        <w:pStyle w:val="StandardWeb"/>
      </w:pPr>
      <w:r>
        <w:t>Diese Größe ist noch kein Nachweis eines bevorstehenden kritischen Übergangs. Sie kann jedoch als Warnindikator in Kombination mit weiteren Merkmalen verwendet werden.</w:t>
      </w:r>
    </w:p>
    <w:p w:rsidR="00C961E8" w:rsidRDefault="00E50336" w:rsidP="00C961E8">
      <w:r>
        <w:pict>
          <v:rect id="_x0000_i1456" style="width:0;height:1.5pt" o:hralign="center" o:hrstd="t" o:hr="t" fillcolor="#a0a0a0" stroked="f"/>
        </w:pict>
      </w:r>
    </w:p>
    <w:p w:rsidR="00C961E8" w:rsidRDefault="00C961E8" w:rsidP="00C961E8">
      <w:pPr>
        <w:pStyle w:val="berschrift2"/>
      </w:pPr>
      <w:r>
        <w:t>3.3.40.182 Mehrkriterielle Frühwarnstruktur</w:t>
      </w:r>
    </w:p>
    <w:p w:rsidR="00C961E8" w:rsidRDefault="00C961E8" w:rsidP="00C961E8">
      <w:pPr>
        <w:pStyle w:val="StandardWeb"/>
      </w:pPr>
      <w:r>
        <w:t>Eine zusammengesetzte Warnbedingung kann beispielsweise lauten</w:t>
      </w:r>
    </w:p>
    <w:p w:rsidR="00C961E8" w:rsidRDefault="00C961E8" w:rsidP="00C961E8">
      <w:pPr>
        <w:pStyle w:val="berschrift1"/>
      </w:pPr>
      <w:r>
        <w:t>[</w:t>
      </w:r>
      <w:r>
        <w:br/>
        <w:t>C_{\mathrm{warn}}</w:t>
      </w:r>
    </w:p>
    <w:p w:rsidR="00C961E8" w:rsidRDefault="00C961E8" w:rsidP="00C961E8">
      <w:pPr>
        <w:pStyle w:val="StandardWeb"/>
      </w:pPr>
      <w:r>
        <w:t>C_{R_{\theta}}</w:t>
      </w:r>
      <w:r>
        <w:br/>
        <w:t>\land</w:t>
      </w:r>
      <w:r>
        <w:br/>
        <w:t>C_{d_{\mathrm{tip}}}</w:t>
      </w:r>
      <w:r>
        <w:br/>
        <w:t>\land</w:t>
      </w:r>
      <w:r>
        <w:br/>
        <w:t>C_{u_{\theta}}</w:t>
      </w:r>
      <w:r>
        <w:br/>
        <w:t>\land</w:t>
      </w:r>
      <w:r>
        <w:br/>
        <w:t>C_{\mathrm{dyn}}.</w:t>
      </w:r>
      <w:r>
        <w:br/>
        <w:t>\tag{3.7162}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C_{\mathrm{warn}}=C_{R_{\theta}}\land C_{d_{\mathrm{tip}}}\land C_{u_{\theta}}\land C_{\mathrm{dyn}}\qquad\text{(3.7162)}</w:t>
      </w:r>
    </w:p>
    <w:p w:rsidR="00C961E8" w:rsidRDefault="00C961E8" w:rsidP="00C961E8">
      <w:pPr>
        <w:pStyle w:val="StandardWeb"/>
      </w:pPr>
      <w:r>
        <w:t>Sie kombiniert abnehmende Robustheit, geringe Tipping-Distanz, Parameterunsicherheit und dynamische Warnsignale.</w:t>
      </w:r>
    </w:p>
    <w:p w:rsidR="00C961E8" w:rsidRDefault="00E50336" w:rsidP="00C961E8">
      <w:r>
        <w:pict>
          <v:rect id="_x0000_i1457" style="width:0;height:1.5pt" o:hralign="center" o:hrstd="t" o:hr="t" fillcolor="#a0a0a0" stroked="f"/>
        </w:pict>
      </w:r>
    </w:p>
    <w:p w:rsidR="00C961E8" w:rsidRDefault="00C961E8" w:rsidP="00C961E8">
      <w:pPr>
        <w:pStyle w:val="berschrift2"/>
      </w:pPr>
      <w:r>
        <w:t>3.3.40.183 Kritische Verlangsamung als mögliche Dynamik</w:t>
      </w:r>
    </w:p>
    <w:p w:rsidR="00C961E8" w:rsidRDefault="00C961E8" w:rsidP="00C961E8">
      <w:pPr>
        <w:pStyle w:val="StandardWeb"/>
      </w:pPr>
      <w:r>
        <w:t>Nahe bestimmter kritischer Übergänge kann die Rückkehr nach kleinen Störungen langsamer werden.</w:t>
      </w:r>
    </w:p>
    <w:p w:rsidR="00C961E8" w:rsidRDefault="00C961E8" w:rsidP="00C961E8">
      <w:pPr>
        <w:pStyle w:val="StandardWeb"/>
      </w:pPr>
      <w:r>
        <w:lastRenderedPageBreak/>
        <w:t>Ich bezeichne die Relaxationszeit mit</w:t>
      </w:r>
    </w:p>
    <w:p w:rsidR="00C961E8" w:rsidRDefault="00C961E8" w:rsidP="00C961E8">
      <w:pPr>
        <w:pStyle w:val="StandardWeb"/>
      </w:pPr>
      <w:r>
        <w:t>[</w:t>
      </w:r>
      <w:r>
        <w:br/>
        <w:t>\tau_{\mathrm{relax}}.</w:t>
      </w:r>
      <w:r>
        <w:br/>
        <w:t>\tag{3.7163}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\tau_{\mathrm{relax}}\qquad\text{(3.7163)}</w:t>
      </w:r>
    </w:p>
    <w:p w:rsidR="00C961E8" w:rsidRDefault="00C961E8" w:rsidP="00C961E8">
      <w:pPr>
        <w:pStyle w:val="StandardWeb"/>
      </w:pPr>
      <w:r>
        <w:t>Eine mögliche kritische Verlangsamung äußert sich durch</w:t>
      </w:r>
    </w:p>
    <w:p w:rsidR="00C961E8" w:rsidRDefault="00C961E8" w:rsidP="00C961E8">
      <w:pPr>
        <w:pStyle w:val="StandardWeb"/>
      </w:pPr>
      <w:r>
        <w:t>[</w:t>
      </w:r>
      <w:r>
        <w:br/>
        <w:t>\tau_{\mathrm{relax}}</w:t>
      </w:r>
      <w:r>
        <w:br/>
        <w:t>\uparrow.</w:t>
      </w:r>
      <w:r>
        <w:br/>
        <w:t>\tag{3.7164}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\tau_{\mathrm{relax}}\uparrow\qquad\text{(3.7164)}</w:t>
      </w:r>
    </w:p>
    <w:p w:rsidR="00C961E8" w:rsidRDefault="00C961E8" w:rsidP="00C961E8">
      <w:pPr>
        <w:pStyle w:val="StandardWeb"/>
      </w:pPr>
      <w:r>
        <w:t>Diese Beobachtung darf nicht isoliert als Beweis eines Tipping Points verwendet werden. Sie ist lediglich ein potenzielles dynamisches Warnmerkmal.</w:t>
      </w:r>
    </w:p>
    <w:p w:rsidR="00C961E8" w:rsidRDefault="00E50336" w:rsidP="00C961E8">
      <w:r>
        <w:pict>
          <v:rect id="_x0000_i1458" style="width:0;height:1.5pt" o:hralign="center" o:hrstd="t" o:hr="t" fillcolor="#a0a0a0" stroked="f"/>
        </w:pict>
      </w:r>
    </w:p>
    <w:p w:rsidR="00C961E8" w:rsidRDefault="00C961E8" w:rsidP="00C961E8">
      <w:pPr>
        <w:pStyle w:val="berschrift2"/>
      </w:pPr>
      <w:r>
        <w:t>3.3.40.184 Rückstellrate</w:t>
      </w:r>
    </w:p>
    <w:p w:rsidR="00C961E8" w:rsidRDefault="00C961E8" w:rsidP="00C961E8">
      <w:pPr>
        <w:pStyle w:val="StandardWeb"/>
      </w:pPr>
      <w:r>
        <w:t>Die Rückstellrate kann definiert werden als</w:t>
      </w:r>
    </w:p>
    <w:p w:rsidR="00C961E8" w:rsidRDefault="00C961E8" w:rsidP="00C961E8">
      <w:pPr>
        <w:pStyle w:val="berschrift1"/>
      </w:pPr>
      <w:r>
        <w:t>[</w:t>
      </w:r>
      <w:r>
        <w:br/>
        <w:t>r_{\mathrm{return}}</w:t>
      </w:r>
    </w:p>
    <w:p w:rsidR="00C961E8" w:rsidRDefault="00C961E8" w:rsidP="00C961E8">
      <w:pPr>
        <w:pStyle w:val="StandardWeb"/>
      </w:pPr>
      <w:r>
        <w:t>\frac{1}{\tau_{\mathrm{relax}}}.</w:t>
      </w:r>
      <w:r>
        <w:br/>
        <w:t>\tag{3.7165}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r_{\mathrm{return}}=\frac{1}{\tau_{\mathrm{relax}}}\qquad\text{(3.7165)}</w:t>
      </w:r>
    </w:p>
    <w:p w:rsidR="00C961E8" w:rsidRDefault="00C961E8" w:rsidP="00C961E8">
      <w:pPr>
        <w:pStyle w:val="StandardWeb"/>
      </w:pPr>
      <w:r>
        <w:t>Eine abnehmende Rückstellrate</w:t>
      </w:r>
    </w:p>
    <w:p w:rsidR="00C961E8" w:rsidRDefault="00C961E8" w:rsidP="00C961E8">
      <w:pPr>
        <w:pStyle w:val="StandardWeb"/>
      </w:pPr>
      <w:r>
        <w:t>[</w:t>
      </w:r>
      <w:r>
        <w:br/>
        <w:t>r_{\mathrm{return}}</w:t>
      </w:r>
      <w:r>
        <w:br/>
        <w:t>\downarrow</w:t>
      </w:r>
      <w:r>
        <w:br/>
        <w:t>\tag{3.7166}</w:t>
      </w:r>
      <w:r>
        <w:br/>
        <w:t>]</w:t>
      </w:r>
    </w:p>
    <w:p w:rsidR="00C961E8" w:rsidRDefault="00C961E8" w:rsidP="00C961E8">
      <w:pPr>
        <w:pStyle w:val="StandardWeb"/>
      </w:pPr>
      <w:r>
        <w:rPr>
          <w:rStyle w:val="Fett"/>
        </w:rPr>
        <w:lastRenderedPageBreak/>
        <w:t>Word-LaTeX</w:t>
      </w:r>
    </w:p>
    <w:p w:rsidR="00C961E8" w:rsidRDefault="00C961E8" w:rsidP="00C961E8">
      <w:pPr>
        <w:pStyle w:val="HTMLVorformatiert"/>
        <w:rPr>
          <w:rStyle w:val="HTMLCode"/>
        </w:rPr>
      </w:pPr>
      <w:r>
        <w:rPr>
          <w:rStyle w:val="HTMLCode"/>
        </w:rPr>
        <w:t>r_{\mathrm{return}}\downarrow\qquad\text{(3.7166)}</w:t>
      </w:r>
    </w:p>
    <w:p w:rsidR="00C961E8" w:rsidRDefault="00C961E8" w:rsidP="00C961E8">
      <w:pPr>
        <w:pStyle w:val="StandardWeb"/>
      </w:pPr>
      <w:r>
        <w:t>kann auf eine Verringerung dynamischer Stabilitätsreserven hinweisen.</w:t>
      </w:r>
    </w:p>
    <w:p w:rsidR="00C961E8" w:rsidRDefault="00E50336" w:rsidP="00C961E8">
      <w:r>
        <w:pict>
          <v:rect id="_x0000_i1459" style="width:0;height:1.5pt" o:hralign="center" o:hrstd="t" o:hr="t" fillcolor="#a0a0a0" stroked="f"/>
        </w:pict>
      </w:r>
    </w:p>
    <w:p w:rsidR="00C961E8" w:rsidRDefault="00C961E8" w:rsidP="00C961E8">
      <w:pPr>
        <w:pStyle w:val="berschrift2"/>
      </w:pPr>
      <w:r>
        <w:t>3.3.40.185 Parameterrobustheit und Resilienz</w:t>
      </w:r>
    </w:p>
    <w:p w:rsidR="00C961E8" w:rsidRDefault="00C961E8" w:rsidP="00C961E8">
      <w:pPr>
        <w:pStyle w:val="StandardWeb"/>
      </w:pPr>
      <w:r>
        <w:t>Robustheit und Resilienz dürfen nicht gleichgesetzt werden.</w:t>
      </w:r>
    </w:p>
    <w:p w:rsidR="00C961E8" w:rsidRDefault="00C961E8" w:rsidP="00C961E8">
      <w:pPr>
        <w:pStyle w:val="StandardWeb"/>
      </w:pPr>
      <w:r>
        <w:t>Ich bezeichne Robustheit mit</w:t>
      </w:r>
    </w:p>
    <w:p w:rsidR="00C961E8" w:rsidRDefault="00C961E8" w:rsidP="00C961E8">
      <w:pPr>
        <w:pStyle w:val="StandardWeb"/>
      </w:pPr>
      <w:r>
        <w:t>[</w:t>
      </w:r>
      <w:r>
        <w:br/>
        <w:t>R_{\theta}</w:t>
      </w:r>
      <w:r>
        <w:br/>
        <w:t>\tag{3.7167}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R_{\theta}\qquad\text{(3.7167)}</w:t>
      </w:r>
    </w:p>
    <w:p w:rsidR="00C961E8" w:rsidRDefault="00C961E8" w:rsidP="00C961E8">
      <w:pPr>
        <w:pStyle w:val="StandardWeb"/>
      </w:pPr>
      <w:r>
        <w:t>und Resilienz abstrakt mit</w:t>
      </w:r>
    </w:p>
    <w:p w:rsidR="00C961E8" w:rsidRDefault="00C961E8" w:rsidP="00C961E8">
      <w:pPr>
        <w:pStyle w:val="StandardWeb"/>
      </w:pPr>
      <w:r>
        <w:t>[</w:t>
      </w:r>
      <w:r>
        <w:br/>
        <w:t>\mathcal{R}_{\mathrm{res}}.</w:t>
      </w:r>
      <w:r>
        <w:br/>
        <w:t>\tag{3.7168}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\mathcal{R}_{\mathrm{res}}\qquad\text{(3.7168)}</w:t>
      </w:r>
    </w:p>
    <w:p w:rsidR="00C961E8" w:rsidRDefault="00C961E8" w:rsidP="00C961E8">
      <w:pPr>
        <w:pStyle w:val="StandardWeb"/>
      </w:pPr>
      <w:r>
        <w:t>Robustheit fragt, ob eine Aussage oder Struktur trotz Variation erhalten bleibt.</w:t>
      </w:r>
    </w:p>
    <w:p w:rsidR="00C961E8" w:rsidRDefault="00C961E8" w:rsidP="00C961E8">
      <w:pPr>
        <w:pStyle w:val="StandardWeb"/>
      </w:pPr>
      <w:r>
        <w:t>Resilienz fragt, ob ein gestörtes System in einen funktional akzeptablen Bereich zurückkehrt.</w:t>
      </w:r>
    </w:p>
    <w:p w:rsidR="00C961E8" w:rsidRDefault="00E50336" w:rsidP="00C961E8">
      <w:r>
        <w:pict>
          <v:rect id="_x0000_i1460" style="width:0;height:1.5pt" o:hralign="center" o:hrstd="t" o:hr="t" fillcolor="#a0a0a0" stroked="f"/>
        </w:pict>
      </w:r>
    </w:p>
    <w:p w:rsidR="00C961E8" w:rsidRDefault="00C961E8" w:rsidP="00C961E8">
      <w:pPr>
        <w:pStyle w:val="berschrift2"/>
      </w:pPr>
      <w:r>
        <w:t>3.3.40.186 Funktionaler Erholungsbereich</w:t>
      </w:r>
    </w:p>
    <w:p w:rsidR="00C961E8" w:rsidRDefault="00C961E8" w:rsidP="00C961E8">
      <w:pPr>
        <w:pStyle w:val="StandardWeb"/>
      </w:pPr>
      <w:r>
        <w:t>Sei</w:t>
      </w:r>
    </w:p>
    <w:p w:rsidR="00C961E8" w:rsidRDefault="00C961E8" w:rsidP="00C961E8">
      <w:pPr>
        <w:pStyle w:val="StandardWeb"/>
      </w:pPr>
      <w:r>
        <w:t>[</w:t>
      </w:r>
      <w:r>
        <w:br/>
        <w:t>\mathcal{S}</w:t>
      </w:r>
      <w:r>
        <w:rPr>
          <w:rStyle w:val="Hervorhebung"/>
        </w:rPr>
        <w:t>{\mathrm{acc}}</w:t>
      </w:r>
      <w:r>
        <w:rPr>
          <w:i/>
          <w:iCs/>
        </w:rPr>
        <w:br/>
      </w:r>
      <w:r>
        <w:rPr>
          <w:rStyle w:val="Hervorhebung"/>
        </w:rPr>
        <w:t>\subseteq</w:t>
      </w:r>
      <w:r>
        <w:rPr>
          <w:i/>
          <w:iCs/>
        </w:rPr>
        <w:br/>
      </w:r>
      <w:r>
        <w:rPr>
          <w:rStyle w:val="Hervorhebung"/>
        </w:rPr>
        <w:t>\mathcal{S}</w:t>
      </w:r>
      <w:r>
        <w:t>{F}</w:t>
      </w:r>
      <w:r>
        <w:br/>
        <w:t>\tag{3.7169}</w:t>
      </w:r>
      <w:r>
        <w:br/>
        <w:t>]</w:t>
      </w:r>
    </w:p>
    <w:p w:rsidR="00C961E8" w:rsidRDefault="00C961E8" w:rsidP="00C961E8">
      <w:pPr>
        <w:pStyle w:val="StandardWeb"/>
      </w:pPr>
      <w:r>
        <w:rPr>
          <w:rStyle w:val="Fett"/>
        </w:rPr>
        <w:lastRenderedPageBreak/>
        <w:t>Word-LaTeX</w:t>
      </w:r>
    </w:p>
    <w:p w:rsidR="00C961E8" w:rsidRDefault="00C961E8" w:rsidP="00C961E8">
      <w:pPr>
        <w:pStyle w:val="HTMLVorformatiert"/>
        <w:rPr>
          <w:rStyle w:val="HTMLCode"/>
        </w:rPr>
      </w:pPr>
      <w:r>
        <w:rPr>
          <w:rStyle w:val="HTMLCode"/>
        </w:rPr>
        <w:t>\mathcal{S}_{\mathrm{acc}}\subseteq\mathcal{S}_{F}\qquad\text{(3.7169)}</w:t>
      </w:r>
    </w:p>
    <w:p w:rsidR="00C961E8" w:rsidRDefault="00C961E8" w:rsidP="00C961E8">
      <w:pPr>
        <w:pStyle w:val="StandardWeb"/>
      </w:pPr>
      <w:r>
        <w:t>ein funktional akzeptabler Zustandsbereich.</w:t>
      </w:r>
    </w:p>
    <w:p w:rsidR="00C961E8" w:rsidRDefault="00C961E8" w:rsidP="00C961E8">
      <w:pPr>
        <w:pStyle w:val="StandardWeb"/>
      </w:pPr>
      <w:r>
        <w:t>Eine resiliente Entwicklung erfüllt für eine Störung (\Delta\delta)</w:t>
      </w:r>
    </w:p>
    <w:p w:rsidR="00C961E8" w:rsidRDefault="00C961E8" w:rsidP="00C961E8">
      <w:pPr>
        <w:pStyle w:val="StandardWeb"/>
      </w:pPr>
      <w:r>
        <w:t>[</w:t>
      </w:r>
      <w:r>
        <w:br/>
        <w:t>\exists</w:t>
      </w:r>
      <w:r>
        <w:br/>
        <w:t>T_R</w:t>
      </w:r>
      <w:r>
        <w:br/>
        <w:t>:</w:t>
      </w:r>
      <w:r>
        <w:br/>
        <w:t>\delta(T_R)</w:t>
      </w:r>
      <w:r>
        <w:br/>
        <w:t>\in</w:t>
      </w:r>
      <w:r>
        <w:br/>
        <w:t>\mathcal{S}_{\mathrm{acc}}.</w:t>
      </w:r>
      <w:r>
        <w:br/>
        <w:t>\tag{3.7170}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\exists T_R:\delta(T_R)\in\mathcal{S}_{\mathrm{acc}}\qquad\text{(3.7170)}</w:t>
      </w:r>
    </w:p>
    <w:p w:rsidR="00C961E8" w:rsidRDefault="00E50336" w:rsidP="00C961E8">
      <w:r>
        <w:pict>
          <v:rect id="_x0000_i1461" style="width:0;height:1.5pt" o:hralign="center" o:hrstd="t" o:hr="t" fillcolor="#a0a0a0" stroked="f"/>
        </w:pict>
      </w:r>
    </w:p>
    <w:p w:rsidR="00C961E8" w:rsidRDefault="00C961E8" w:rsidP="00C961E8">
      <w:pPr>
        <w:pStyle w:val="berschrift2"/>
      </w:pPr>
      <w:r>
        <w:t>3.3.40.187 Erholungszeit</w:t>
      </w:r>
    </w:p>
    <w:p w:rsidR="00C961E8" w:rsidRDefault="00C961E8" w:rsidP="00C961E8">
      <w:pPr>
        <w:pStyle w:val="StandardWeb"/>
      </w:pPr>
      <w:r>
        <w:t>Ich definiere</w:t>
      </w:r>
    </w:p>
    <w:p w:rsidR="00C961E8" w:rsidRDefault="00C961E8" w:rsidP="00C961E8">
      <w:pPr>
        <w:pStyle w:val="berschrift1"/>
      </w:pPr>
      <w:r>
        <w:t>[</w:t>
      </w:r>
      <w:r>
        <w:br/>
        <w:t>T_R</w:t>
      </w:r>
    </w:p>
    <w:p w:rsidR="00C961E8" w:rsidRDefault="00C961E8" w:rsidP="00C961E8">
      <w:pPr>
        <w:pStyle w:val="StandardWeb"/>
      </w:pPr>
      <w:r>
        <w:t>\inf</w:t>
      </w:r>
      <w:r>
        <w:br/>
        <w:t>\left{</w:t>
      </w:r>
      <w:r>
        <w:br/>
        <w:t>t&gt;0:</w:t>
      </w:r>
      <w:r>
        <w:br/>
        <w:t>\delta(t)</w:t>
      </w:r>
      <w:r>
        <w:br/>
        <w:t>\in</w:t>
      </w:r>
      <w:r>
        <w:br/>
        <w:t>\mathcal{S}_{\mathrm{acc}}</w:t>
      </w:r>
      <w:r>
        <w:br/>
        <w:t>\right}.</w:t>
      </w:r>
      <w:r>
        <w:br/>
        <w:t>\tag{3.7171}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T_R=\inf\left\{t&gt;0:\delta(t)\in\mathcal{S}_{\mathrm{acc}}\right\}\qquad\text{(3.7171)}</w:t>
      </w:r>
    </w:p>
    <w:p w:rsidR="00C961E8" w:rsidRDefault="00C961E8" w:rsidP="00C961E8">
      <w:pPr>
        <w:pStyle w:val="StandardWeb"/>
      </w:pPr>
      <w:r>
        <w:t>Damit erhält die Resilienz eine zeitliche Komponente.</w:t>
      </w:r>
    </w:p>
    <w:p w:rsidR="00C961E8" w:rsidRDefault="00E50336" w:rsidP="00C961E8">
      <w:r>
        <w:pict>
          <v:rect id="_x0000_i1462" style="width:0;height:1.5pt" o:hralign="center" o:hrstd="t" o:hr="t" fillcolor="#a0a0a0" stroked="f"/>
        </w:pict>
      </w:r>
    </w:p>
    <w:p w:rsidR="00C961E8" w:rsidRDefault="00C961E8" w:rsidP="00C961E8">
      <w:pPr>
        <w:pStyle w:val="berschrift2"/>
      </w:pPr>
      <w:r>
        <w:t>3.3.40.188 Parameterabhängige Resilienz</w:t>
      </w:r>
    </w:p>
    <w:p w:rsidR="00C961E8" w:rsidRDefault="00C961E8" w:rsidP="00C961E8">
      <w:pPr>
        <w:pStyle w:val="StandardWeb"/>
      </w:pPr>
      <w:r>
        <w:lastRenderedPageBreak/>
        <w:t>Die Erholungszeit kann parameterabhängig sein:</w:t>
      </w:r>
    </w:p>
    <w:p w:rsidR="00C961E8" w:rsidRDefault="00C961E8" w:rsidP="00C961E8">
      <w:pPr>
        <w:pStyle w:val="berschrift1"/>
      </w:pPr>
      <w:r>
        <w:t>[</w:t>
      </w:r>
      <w:r>
        <w:br/>
        <w:t>T_R</w:t>
      </w:r>
    </w:p>
    <w:p w:rsidR="00C961E8" w:rsidRDefault="00C961E8" w:rsidP="00C961E8">
      <w:pPr>
        <w:pStyle w:val="StandardWeb"/>
      </w:pPr>
      <w:r>
        <w:t>T_R</w:t>
      </w:r>
      <w:r>
        <w:br/>
        <w:t>\left(</w:t>
      </w:r>
      <w:r>
        <w:br/>
        <w:t>\boldsymbol{\theta}</w:t>
      </w:r>
      <w:r>
        <w:br/>
        <w:t>\right).</w:t>
      </w:r>
      <w:r>
        <w:br/>
        <w:t>\tag{3.7172}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T_R=T_R\left(\boldsymbol{\theta}\right)\qquad\text{(3.7172)}</w:t>
      </w:r>
    </w:p>
    <w:p w:rsidR="00C961E8" w:rsidRDefault="00C961E8" w:rsidP="00C961E8">
      <w:pPr>
        <w:pStyle w:val="StandardWeb"/>
      </w:pPr>
      <w:r>
        <w:t>Eine resilienzbezogene Parameterrobustheit kann verlangen</w:t>
      </w:r>
    </w:p>
    <w:p w:rsidR="00C961E8" w:rsidRDefault="00C961E8" w:rsidP="00C961E8">
      <w:pPr>
        <w:pStyle w:val="StandardWeb"/>
      </w:pPr>
      <w:r>
        <w:t>[</w:t>
      </w:r>
      <w:r>
        <w:br/>
        <w:t>T_R</w:t>
      </w:r>
      <w:r>
        <w:br/>
        <w:t>\left(</w:t>
      </w:r>
      <w:r>
        <w:br/>
        <w:t>\boldsymbol{\theta}</w:t>
      </w:r>
      <w:r>
        <w:br/>
        <w:t>\right)</w:t>
      </w:r>
      <w:r>
        <w:br/>
        <w:t>\leq</w:t>
      </w:r>
      <w:r>
        <w:br/>
        <w:t>T_{\max}</w:t>
      </w:r>
      <w:r>
        <w:br/>
        <w:t>\qquad</w:t>
      </w:r>
      <w:r>
        <w:br/>
        <w:t>\forall</w:t>
      </w:r>
      <w:r>
        <w:br/>
        <w:t>\boldsymbol{\theta}</w:t>
      </w:r>
      <w:r>
        <w:br/>
        <w:t>\in</w:t>
      </w:r>
      <w:r>
        <w:br/>
        <w:t>\Theta_{\mathrm{zul}}.</w:t>
      </w:r>
      <w:r>
        <w:br/>
        <w:t>\tag{3.7173}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T_R\left(\boldsymbol{\theta}\right)\leq T_{\max}\qquad\forall\boldsymbol{\theta}\in\Theta_{\mathrm{zul}}\qquad\text{(3.7173)}</w:t>
      </w:r>
    </w:p>
    <w:p w:rsidR="00C961E8" w:rsidRDefault="00E50336" w:rsidP="00C961E8">
      <w:r>
        <w:pict>
          <v:rect id="_x0000_i1463" style="width:0;height:1.5pt" o:hralign="center" o:hrstd="t" o:hr="t" fillcolor="#a0a0a0" stroked="f"/>
        </w:pict>
      </w:r>
    </w:p>
    <w:p w:rsidR="00C961E8" w:rsidRDefault="00C961E8" w:rsidP="00C961E8">
      <w:pPr>
        <w:pStyle w:val="berschrift2"/>
      </w:pPr>
      <w:r>
        <w:t>3.3.40.189 Robustheit und Resilienz als getrennte Achsen</w:t>
      </w:r>
    </w:p>
    <w:p w:rsidR="00C961E8" w:rsidRDefault="00C961E8" w:rsidP="00C961E8">
      <w:pPr>
        <w:pStyle w:val="StandardWeb"/>
      </w:pPr>
      <w:r>
        <w:t>Ich fasse beide Größen als</w:t>
      </w:r>
    </w:p>
    <w:p w:rsidR="00C961E8" w:rsidRDefault="00C961E8" w:rsidP="00C961E8">
      <w:pPr>
        <w:pStyle w:val="berschrift1"/>
      </w:pPr>
      <w:r>
        <w:t>[</w:t>
      </w:r>
      <w:r>
        <w:br/>
        <w:t>\mathbf{Q}_{\mathrm{dyn}}</w:t>
      </w:r>
    </w:p>
    <w:p w:rsidR="00C961E8" w:rsidRDefault="00C961E8" w:rsidP="00C961E8">
      <w:pPr>
        <w:pStyle w:val="StandardWeb"/>
      </w:pPr>
      <w:r>
        <w:lastRenderedPageBreak/>
        <w:t>\left(</w:t>
      </w:r>
      <w:r>
        <w:br/>
        <w:t>R_{\theta},</w:t>
      </w:r>
      <w:r>
        <w:br/>
        <w:t>\mathcal{R}_{\mathrm{res}}</w:t>
      </w:r>
      <w:r>
        <w:br/>
        <w:t>\right).</w:t>
      </w:r>
      <w:r>
        <w:br/>
        <w:t>\tag{3.7174}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\mathbf{Q}_{\mathrm{dyn}}=\left(R_{\theta},\mathcal{R}_{\mathrm{res}}\right)\qquad\text{(3.7174)}</w:t>
      </w:r>
    </w:p>
    <w:p w:rsidR="00C961E8" w:rsidRDefault="00C961E8" w:rsidP="00C961E8">
      <w:pPr>
        <w:pStyle w:val="StandardWeb"/>
      </w:pPr>
      <w:r>
        <w:t>Ein System kann wenig robust, aber hoch resilient sein: Es verändert sich unter Störungen deutlich, kehrt jedoch rasch zurück.</w:t>
      </w:r>
    </w:p>
    <w:p w:rsidR="00C961E8" w:rsidRDefault="00C961E8" w:rsidP="00C961E8">
      <w:pPr>
        <w:pStyle w:val="StandardWeb"/>
      </w:pPr>
      <w:r>
        <w:t>Ebenso kann es robust gegenüber kleinen Änderungen, aber schlecht resilient gegenüber größeren Störungen sein.</w:t>
      </w:r>
    </w:p>
    <w:p w:rsidR="00C961E8" w:rsidRDefault="00E50336" w:rsidP="00C961E8">
      <w:r>
        <w:pict>
          <v:rect id="_x0000_i1464" style="width:0;height:1.5pt" o:hralign="center" o:hrstd="t" o:hr="t" fillcolor="#a0a0a0" stroked="f"/>
        </w:pict>
      </w:r>
    </w:p>
    <w:p w:rsidR="00C961E8" w:rsidRDefault="00C961E8" w:rsidP="00C961E8">
      <w:pPr>
        <w:pStyle w:val="berschrift2"/>
      </w:pPr>
      <w:r>
        <w:t>3.3.40.190 Parameterrobustheit und Kontrollierbarkeit</w:t>
      </w:r>
    </w:p>
    <w:p w:rsidR="00C961E8" w:rsidRDefault="00C961E8" w:rsidP="00C961E8">
      <w:pPr>
        <w:pStyle w:val="StandardWeb"/>
      </w:pPr>
      <w:r>
        <w:t>Bei steuerbaren Systemen stellt sich zusätzlich die Frage, ob kritische Zustände durch gezielte Eingriffe vermieden werden können.</w:t>
      </w:r>
    </w:p>
    <w:p w:rsidR="00C961E8" w:rsidRDefault="00C961E8" w:rsidP="00C961E8">
      <w:pPr>
        <w:pStyle w:val="StandardWeb"/>
      </w:pPr>
      <w:r>
        <w:t>Sei</w:t>
      </w:r>
    </w:p>
    <w:p w:rsidR="00C961E8" w:rsidRDefault="00C961E8" w:rsidP="00C961E8">
      <w:pPr>
        <w:pStyle w:val="StandardWeb"/>
      </w:pPr>
      <w:r>
        <w:t>[</w:t>
      </w:r>
      <w:r>
        <w:br/>
        <w:t>u(t)</w:t>
      </w:r>
      <w:r>
        <w:br/>
        <w:t>\tag{3.7175}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u(t)\qquad\text{(3.7175)}</w:t>
      </w:r>
    </w:p>
    <w:p w:rsidR="00C961E8" w:rsidRDefault="00C961E8" w:rsidP="00C961E8">
      <w:pPr>
        <w:pStyle w:val="StandardWeb"/>
      </w:pPr>
      <w:r>
        <w:t>eine Steuergröße.</w:t>
      </w:r>
    </w:p>
    <w:p w:rsidR="00C961E8" w:rsidRDefault="00C961E8" w:rsidP="00C961E8">
      <w:pPr>
        <w:pStyle w:val="StandardWeb"/>
      </w:pPr>
      <w:r>
        <w:t>Die Dynamik lautet</w:t>
      </w:r>
    </w:p>
    <w:p w:rsidR="00C961E8" w:rsidRDefault="00C961E8" w:rsidP="00C961E8">
      <w:pPr>
        <w:pStyle w:val="berschrift1"/>
      </w:pPr>
      <w:r>
        <w:t>[</w:t>
      </w:r>
      <w:r>
        <w:br/>
        <w:t>\dot{\delta}</w:t>
      </w:r>
    </w:p>
    <w:p w:rsidR="00C961E8" w:rsidRDefault="00C961E8" w:rsidP="00C961E8">
      <w:pPr>
        <w:pStyle w:val="StandardWeb"/>
      </w:pPr>
      <w:r>
        <w:t>F</w:t>
      </w:r>
      <w:r>
        <w:br/>
        <w:t>\left(</w:t>
      </w:r>
      <w:r>
        <w:br/>
        <w:t>\delta,</w:t>
      </w:r>
      <w:r>
        <w:br/>
        <w:t>\boldsymbol{\theta},</w:t>
      </w:r>
      <w:r>
        <w:br/>
        <w:t>u</w:t>
      </w:r>
      <w:r>
        <w:br/>
        <w:t>\right).</w:t>
      </w:r>
      <w:r>
        <w:br/>
      </w:r>
      <w:r>
        <w:lastRenderedPageBreak/>
        <w:t>\tag{3.7176}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\dot{\delta}=F\left(\delta,\boldsymbol{\theta},u\right)\qquad\text{(3.7176)}</w:t>
      </w:r>
    </w:p>
    <w:p w:rsidR="00C961E8" w:rsidRDefault="00E50336" w:rsidP="00C961E8">
      <w:r>
        <w:pict>
          <v:rect id="_x0000_i1465" style="width:0;height:1.5pt" o:hralign="center" o:hrstd="t" o:hr="t" fillcolor="#a0a0a0" stroked="f"/>
        </w:pict>
      </w:r>
    </w:p>
    <w:p w:rsidR="00C961E8" w:rsidRDefault="00C961E8" w:rsidP="00C961E8">
      <w:pPr>
        <w:pStyle w:val="berschrift2"/>
      </w:pPr>
      <w:r>
        <w:t>3.3.40.191 Robuste Steuerwirkung</w:t>
      </w:r>
    </w:p>
    <w:p w:rsidR="00C961E8" w:rsidRDefault="00C961E8" w:rsidP="00C961E8">
      <w:pPr>
        <w:pStyle w:val="StandardWeb"/>
      </w:pPr>
      <w:r>
        <w:t>Eine Steuerung ist parameterrobust, wenn</w:t>
      </w:r>
    </w:p>
    <w:p w:rsidR="00C961E8" w:rsidRDefault="00C961E8" w:rsidP="00C961E8">
      <w:pPr>
        <w:pStyle w:val="berschrift1"/>
      </w:pPr>
      <w:r>
        <w:t>[</w:t>
      </w:r>
      <w:r>
        <w:br/>
        <w:t>A_F</w:t>
      </w:r>
      <w:r>
        <w:br/>
        <w:t>\left(</w:t>
      </w:r>
      <w:r>
        <w:br/>
        <w:t>u,</w:t>
      </w:r>
      <w:r>
        <w:br/>
        <w:t>\boldsymbol{\theta}</w:t>
      </w:r>
      <w:r>
        <w:br/>
        <w:t>\right)</w:t>
      </w:r>
    </w:p>
    <w:p w:rsidR="00C961E8" w:rsidRDefault="00C961E8" w:rsidP="00C961E8">
      <w:pPr>
        <w:pStyle w:val="StandardWeb"/>
      </w:pPr>
      <w:r>
        <w:t>L^\ast</w:t>
      </w:r>
      <w:r>
        <w:br/>
        <w:t>\qquad</w:t>
      </w:r>
      <w:r>
        <w:br/>
        <w:t>\forall</w:t>
      </w:r>
      <w:r>
        <w:br/>
        <w:t>\boldsymbol{\theta}</w:t>
      </w:r>
      <w:r>
        <w:br/>
        <w:t>\in</w:t>
      </w:r>
      <w:r>
        <w:br/>
        <w:t>\Theta_{\mathrm{zul}}.</w:t>
      </w:r>
      <w:r>
        <w:br/>
        <w:t>\tag{3.7177}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A_F\left(u,\boldsymbol{\theta}\right)=L^{\ast}\qquad\forall\boldsymbol{\theta}\in\Theta_{\mathrm{zul}}\qquad\text{(3.7177)}</w:t>
      </w:r>
    </w:p>
    <w:p w:rsidR="00C961E8" w:rsidRDefault="00C961E8" w:rsidP="00C961E8">
      <w:pPr>
        <w:pStyle w:val="StandardWeb"/>
      </w:pPr>
      <w:r>
        <w:t>Eine Steuerung, die nur unter einem sehr eng bekannten Parametersatz funktioniert, besitzt eine geringere praktische Belastbarkeit.</w:t>
      </w:r>
    </w:p>
    <w:p w:rsidR="00C961E8" w:rsidRDefault="00E50336" w:rsidP="00C961E8">
      <w:r>
        <w:pict>
          <v:rect id="_x0000_i1466" style="width:0;height:1.5pt" o:hralign="center" o:hrstd="t" o:hr="t" fillcolor="#a0a0a0" stroked="f"/>
        </w:pict>
      </w:r>
    </w:p>
    <w:p w:rsidR="00C961E8" w:rsidRDefault="00C961E8" w:rsidP="00C961E8">
      <w:pPr>
        <w:pStyle w:val="berschrift2"/>
      </w:pPr>
      <w:r>
        <w:t>3.3.40.192 Robuster Kontrollbereich</w:t>
      </w:r>
    </w:p>
    <w:p w:rsidR="00C961E8" w:rsidRDefault="00C961E8" w:rsidP="00C961E8">
      <w:pPr>
        <w:pStyle w:val="StandardWeb"/>
      </w:pPr>
      <w:r>
        <w:t>Ich definiere</w:t>
      </w:r>
    </w:p>
    <w:p w:rsidR="00C961E8" w:rsidRDefault="00C961E8" w:rsidP="00C961E8">
      <w:pPr>
        <w:pStyle w:val="berschrift1"/>
      </w:pPr>
      <w:r>
        <w:t>[</w:t>
      </w:r>
      <w:r>
        <w:br/>
        <w:t>\Theta_{\mathrm{ctrl}}</w:t>
      </w:r>
    </w:p>
    <w:p w:rsidR="00C961E8" w:rsidRDefault="00C961E8" w:rsidP="00C961E8">
      <w:pPr>
        <w:pStyle w:val="StandardWeb"/>
      </w:pPr>
      <w:r>
        <w:lastRenderedPageBreak/>
        <w:t>\left{</w:t>
      </w:r>
      <w:r>
        <w:br/>
        <w:t>\boldsymbol{\theta}</w:t>
      </w:r>
      <w:r>
        <w:br/>
        <w:t>\in</w:t>
      </w:r>
      <w:r>
        <w:br/>
        <w:t>\Theta_{\mathrm{zul}}</w:t>
      </w:r>
      <w:r>
        <w:br/>
        <w:t>:</w:t>
      </w:r>
      <w:r>
        <w:br/>
        <w:t>\exists u</w:t>
      </w:r>
      <w:r>
        <w:br/>
        <w:t>\text{ mit }</w:t>
      </w:r>
      <w:r>
        <w:br/>
        <w:t>A_F(u,\boldsymbol{\theta})=L^\ast</w:t>
      </w:r>
      <w:r>
        <w:br/>
        <w:t>\right}.</w:t>
      </w:r>
      <w:r>
        <w:br/>
        <w:t>\tag{3.7178}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\Theta_{\mathrm{ctrl}}=\left\{\boldsymbol{\theta}\in\Theta_{\mathrm{zul}}:\exists u\text{ mit }A_F(u,\boldsymbol{\theta})=L^{\ast}\right\}\qquad\text{(3.7178)}</w:t>
      </w:r>
    </w:p>
    <w:p w:rsidR="00C961E8" w:rsidRDefault="00C961E8" w:rsidP="00C961E8">
      <w:pPr>
        <w:pStyle w:val="StandardWeb"/>
      </w:pPr>
      <w:r>
        <w:t>Der relative kontrollierbare Anteil lautet</w:t>
      </w:r>
    </w:p>
    <w:p w:rsidR="00C961E8" w:rsidRDefault="00C961E8" w:rsidP="00C961E8">
      <w:pPr>
        <w:pStyle w:val="berschrift1"/>
      </w:pPr>
      <w:r>
        <w:t>[</w:t>
      </w:r>
      <w:r>
        <w:br/>
        <w:t>R_{\mathrm{ctrl}}</w:t>
      </w:r>
    </w:p>
    <w:p w:rsidR="00C961E8" w:rsidRDefault="00C961E8" w:rsidP="00C961E8">
      <w:pPr>
        <w:pStyle w:val="StandardWeb"/>
      </w:pPr>
      <w:r>
        <w:t>\frac{</w:t>
      </w:r>
      <w:r>
        <w:br/>
        <w:t>\mu</w:t>
      </w:r>
      <w:r>
        <w:br/>
        <w:t>\left(</w:t>
      </w:r>
      <w:r>
        <w:br/>
        <w:t>\Theta_{\mathrm{ctrl}}</w:t>
      </w:r>
      <w:r>
        <w:br/>
        <w:t>\right)</w:t>
      </w:r>
      <w:r>
        <w:br/>
        <w:t>}{</w:t>
      </w:r>
      <w:r>
        <w:br/>
        <w:t>\mu</w:t>
      </w:r>
      <w:r>
        <w:br/>
        <w:t>\left(</w:t>
      </w:r>
      <w:r>
        <w:br/>
        <w:t>\Theta_{\mathrm{zul}}</w:t>
      </w:r>
      <w:r>
        <w:br/>
        <w:t>\right)</w:t>
      </w:r>
      <w:r>
        <w:br/>
        <w:t>}.</w:t>
      </w:r>
      <w:r>
        <w:br/>
        <w:t>\tag{3.7179}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R_{\mathrm{ctrl}}=\frac{\mu\left(\Theta_{\mathrm{ctrl}}\right)}{\mu\left(\Theta_{\mathrm{zul}}\right)}\qquad\text{(3.7179)}</w:t>
      </w:r>
    </w:p>
    <w:p w:rsidR="00C961E8" w:rsidRDefault="00E50336" w:rsidP="00C961E8">
      <w:r>
        <w:pict>
          <v:rect id="_x0000_i1467" style="width:0;height:1.5pt" o:hralign="center" o:hrstd="t" o:hr="t" fillcolor="#a0a0a0" stroked="f"/>
        </w:pict>
      </w:r>
    </w:p>
    <w:p w:rsidR="00C961E8" w:rsidRDefault="00C961E8" w:rsidP="00C961E8">
      <w:pPr>
        <w:pStyle w:val="berschrift2"/>
      </w:pPr>
      <w:r>
        <w:t>3.3.40.193 Robuste Intervention versus robuste Dynamik</w:t>
      </w:r>
    </w:p>
    <w:p w:rsidR="00C961E8" w:rsidRDefault="00C961E8" w:rsidP="00C961E8">
      <w:pPr>
        <w:pStyle w:val="StandardWeb"/>
      </w:pPr>
      <w:r>
        <w:t>Eine robuste Intervention und eine robuste ungestörte Systemdynamik sind unterschiedliche Eigenschaften.</w:t>
      </w:r>
    </w:p>
    <w:p w:rsidR="00C961E8" w:rsidRDefault="00C961E8" w:rsidP="00C961E8">
      <w:pPr>
        <w:pStyle w:val="StandardWeb"/>
      </w:pPr>
      <w:r>
        <w:t>Ich unterscheide</w:t>
      </w:r>
    </w:p>
    <w:p w:rsidR="00C961E8" w:rsidRDefault="00C961E8" w:rsidP="00C961E8">
      <w:pPr>
        <w:pStyle w:val="StandardWeb"/>
      </w:pPr>
      <w:r>
        <w:lastRenderedPageBreak/>
        <w:t>[</w:t>
      </w:r>
      <w:r>
        <w:br/>
        <w:t>R_{\mathrm{dyn}}</w:t>
      </w:r>
      <w:r>
        <w:br/>
        <w:t>\tag{3.7180}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R_{\mathrm{dyn}}\qquad\text{(3.7180)}</w:t>
      </w:r>
    </w:p>
    <w:p w:rsidR="00C961E8" w:rsidRDefault="00C961E8" w:rsidP="00C961E8">
      <w:pPr>
        <w:pStyle w:val="StandardWeb"/>
      </w:pPr>
      <w:r>
        <w:t>und</w:t>
      </w:r>
    </w:p>
    <w:p w:rsidR="00C961E8" w:rsidRDefault="00C961E8" w:rsidP="00C961E8">
      <w:pPr>
        <w:pStyle w:val="StandardWeb"/>
      </w:pPr>
      <w:r>
        <w:t>[</w:t>
      </w:r>
      <w:r>
        <w:br/>
        <w:t>R_{\mathrm{int}}.</w:t>
      </w:r>
      <w:r>
        <w:br/>
        <w:t>\tag{3.7181}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R_{\mathrm{int}}\qquad\text{(3.7181)}</w:t>
      </w:r>
    </w:p>
    <w:p w:rsidR="00C961E8" w:rsidRDefault="00C961E8" w:rsidP="00C961E8">
      <w:pPr>
        <w:pStyle w:val="StandardWeb"/>
      </w:pPr>
      <w:r>
        <w:t>Ein System kann parameterempfindlich sein, während eine geeignete Intervention gerade diese Empfindlichkeit kompensiert.</w:t>
      </w:r>
    </w:p>
    <w:p w:rsidR="00C961E8" w:rsidRDefault="00E50336" w:rsidP="00C961E8">
      <w:r>
        <w:pict>
          <v:rect id="_x0000_i1468" style="width:0;height:1.5pt" o:hralign="center" o:hrstd="t" o:hr="t" fillcolor="#a0a0a0" stroked="f"/>
        </w:pict>
      </w:r>
    </w:p>
    <w:p w:rsidR="00C961E8" w:rsidRDefault="00C961E8" w:rsidP="00C961E8">
      <w:pPr>
        <w:pStyle w:val="berschrift2"/>
      </w:pPr>
      <w:r>
        <w:t>3.3.40.194 Robustheitsverbesserung durch Intervention</w:t>
      </w:r>
    </w:p>
    <w:p w:rsidR="00C961E8" w:rsidRDefault="00C961E8" w:rsidP="00C961E8">
      <w:pPr>
        <w:pStyle w:val="StandardWeb"/>
      </w:pPr>
      <w:r>
        <w:t>Die Verbesserung sei</w:t>
      </w:r>
    </w:p>
    <w:p w:rsidR="00C961E8" w:rsidRDefault="00C961E8" w:rsidP="00C961E8">
      <w:pPr>
        <w:pStyle w:val="berschrift1"/>
      </w:pPr>
      <w:r>
        <w:t>[</w:t>
      </w:r>
      <w:r>
        <w:br/>
        <w:t>\Delta R</w:t>
      </w:r>
    </w:p>
    <w:p w:rsidR="00C961E8" w:rsidRDefault="00C961E8" w:rsidP="00C961E8">
      <w:pPr>
        <w:pStyle w:val="berschrift2"/>
      </w:pPr>
      <w:r>
        <w:t>R_{\theta}^{(\mathcal{I})}</w:t>
      </w:r>
    </w:p>
    <w:p w:rsidR="00C961E8" w:rsidRDefault="00C961E8" w:rsidP="00C961E8">
      <w:pPr>
        <w:pStyle w:val="StandardWeb"/>
      </w:pPr>
      <w:r>
        <w:t>R_{\theta}^{(0)}.</w:t>
      </w:r>
      <w:r>
        <w:br/>
        <w:t>\tag{3.7182}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\Delta R=R_{\theta}^{(\mathcal{I})}-R_{\theta}^{(0)}\qquad\text{(3.7182)}</w:t>
      </w:r>
    </w:p>
    <w:p w:rsidR="00C961E8" w:rsidRDefault="00C961E8" w:rsidP="00C961E8">
      <w:pPr>
        <w:pStyle w:val="StandardWeb"/>
      </w:pPr>
      <w:r>
        <w:t>Für</w:t>
      </w:r>
    </w:p>
    <w:p w:rsidR="00C961E8" w:rsidRDefault="00C961E8" w:rsidP="00C961E8">
      <w:pPr>
        <w:pStyle w:val="StandardWeb"/>
      </w:pPr>
      <w:r>
        <w:t>[</w:t>
      </w:r>
      <w:r>
        <w:br/>
        <w:t>\Delta R</w:t>
      </w:r>
    </w:p>
    <w:p w:rsidR="00C961E8" w:rsidRDefault="00C961E8" w:rsidP="00C961E8">
      <w:pPr>
        <w:pStyle w:val="StandardWeb"/>
      </w:pPr>
      <w:r>
        <w:t>0</w:t>
      </w:r>
      <w:r>
        <w:br/>
        <w:t>\tag{3.7183}</w:t>
      </w:r>
      <w:r>
        <w:br/>
        <w:t>]</w:t>
      </w:r>
    </w:p>
    <w:p w:rsidR="00C961E8" w:rsidRDefault="00C961E8" w:rsidP="00C961E8">
      <w:pPr>
        <w:pStyle w:val="StandardWeb"/>
      </w:pPr>
      <w:r>
        <w:rPr>
          <w:rStyle w:val="Fett"/>
        </w:rPr>
        <w:lastRenderedPageBreak/>
        <w:t>Word-LaTeX</w:t>
      </w:r>
    </w:p>
    <w:p w:rsidR="00C961E8" w:rsidRDefault="00C961E8" w:rsidP="00C961E8">
      <w:pPr>
        <w:pStyle w:val="HTMLVorformatiert"/>
        <w:rPr>
          <w:rStyle w:val="HTMLCode"/>
        </w:rPr>
      </w:pPr>
      <w:r>
        <w:rPr>
          <w:rStyle w:val="HTMLCode"/>
        </w:rPr>
        <w:t>\Delta R&gt;0\qquad\text{(3.7183)}</w:t>
      </w:r>
    </w:p>
    <w:p w:rsidR="00C961E8" w:rsidRDefault="00C961E8" w:rsidP="00C961E8">
      <w:pPr>
        <w:pStyle w:val="StandardWeb"/>
      </w:pPr>
      <w:r>
        <w:t>erhöht die Intervention den betrachteten Parameterrobustheitsgrad.</w:t>
      </w:r>
    </w:p>
    <w:p w:rsidR="00C961E8" w:rsidRDefault="00E50336" w:rsidP="00C961E8">
      <w:r>
        <w:pict>
          <v:rect id="_x0000_i1469" style="width:0;height:1.5pt" o:hralign="center" o:hrstd="t" o:hr="t" fillcolor="#a0a0a0" stroked="f"/>
        </w:pict>
      </w:r>
    </w:p>
    <w:p w:rsidR="00C961E8" w:rsidRDefault="00C961E8" w:rsidP="00C961E8">
      <w:pPr>
        <w:pStyle w:val="berschrift2"/>
      </w:pPr>
      <w:r>
        <w:t>3.3.40.195 Robustheitsverschlechterung durch Intervention</w:t>
      </w:r>
    </w:p>
    <w:p w:rsidR="00C961E8" w:rsidRDefault="00C961E8" w:rsidP="00C961E8">
      <w:pPr>
        <w:pStyle w:val="StandardWeb"/>
      </w:pPr>
      <w:r>
        <w:t>Umgekehrt kann gelten</w:t>
      </w:r>
    </w:p>
    <w:p w:rsidR="00C961E8" w:rsidRDefault="00C961E8" w:rsidP="00C961E8">
      <w:pPr>
        <w:pStyle w:val="StandardWeb"/>
      </w:pPr>
      <w:r>
        <w:t>[</w:t>
      </w:r>
      <w:r>
        <w:br/>
        <w:t>\Delta R</w:t>
      </w:r>
      <w:r>
        <w:br/>
        <w:t>&lt;</w:t>
      </w:r>
      <w:r>
        <w:br/>
        <w:t>0.</w:t>
      </w:r>
      <w:r>
        <w:br/>
        <w:t>\tag{3.7184}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\Delta R&lt;0\qquad\text{(3.7184)}</w:t>
      </w:r>
    </w:p>
    <w:p w:rsidR="00C961E8" w:rsidRDefault="00C961E8" w:rsidP="00C961E8">
      <w:pPr>
        <w:pStyle w:val="StandardWeb"/>
      </w:pPr>
      <w:r>
        <w:t>Dann macht die Intervention das System hinsichtlich der betrachteten Parameterabhängigkeit fragiler.</w:t>
      </w:r>
    </w:p>
    <w:p w:rsidR="00C961E8" w:rsidRDefault="00C961E8" w:rsidP="00C961E8">
      <w:pPr>
        <w:pStyle w:val="StandardWeb"/>
      </w:pPr>
      <w:r>
        <w:t>Dies zeigt, dass Interventionen nicht nur hinsichtlich ihres mittleren Effekts, sondern auch hinsichtlich ihrer Robustheitswirkung bewertet werden sollten.</w:t>
      </w:r>
    </w:p>
    <w:p w:rsidR="00C961E8" w:rsidRDefault="00E50336" w:rsidP="00C961E8">
      <w:r>
        <w:pict>
          <v:rect id="_x0000_i1470" style="width:0;height:1.5pt" o:hralign="center" o:hrstd="t" o:hr="t" fillcolor="#a0a0a0" stroked="f"/>
        </w:pict>
      </w:r>
    </w:p>
    <w:p w:rsidR="00C961E8" w:rsidRDefault="00C961E8" w:rsidP="00C961E8">
      <w:pPr>
        <w:pStyle w:val="berschrift2"/>
      </w:pPr>
      <w:r>
        <w:t>3.3.40.196 Parameterrobustheit von Gruppenvergleichen</w:t>
      </w:r>
    </w:p>
    <w:p w:rsidR="00C961E8" w:rsidRDefault="00C961E8" w:rsidP="00C961E8">
      <w:pPr>
        <w:pStyle w:val="StandardWeb"/>
      </w:pPr>
      <w:r>
        <w:t>Für zwei Gruppen (G_1) und (G_2) kann eine Differenz</w:t>
      </w:r>
    </w:p>
    <w:p w:rsidR="00C961E8" w:rsidRDefault="00C961E8" w:rsidP="00C961E8">
      <w:pPr>
        <w:pStyle w:val="berschrift1"/>
      </w:pPr>
      <w:r>
        <w:t>[</w:t>
      </w:r>
      <w:r>
        <w:br/>
        <w:t>\Delta_G</w:t>
      </w:r>
      <w:r>
        <w:br/>
        <w:t>\left(</w:t>
      </w:r>
      <w:r>
        <w:br/>
        <w:t>\boldsymbol{\theta}</w:t>
      </w:r>
      <w:r>
        <w:br/>
        <w:t>\right)</w:t>
      </w:r>
    </w:p>
    <w:p w:rsidR="00C961E8" w:rsidRDefault="00C961E8" w:rsidP="00C961E8">
      <w:pPr>
        <w:pStyle w:val="berschrift2"/>
      </w:pPr>
      <w:r>
        <w:t>Y_{G_1}</w:t>
      </w:r>
      <w:r>
        <w:br/>
        <w:t>\left(</w:t>
      </w:r>
      <w:r>
        <w:br/>
        <w:t>\boldsymbol{\theta}</w:t>
      </w:r>
      <w:r>
        <w:br/>
        <w:t>\right)</w:t>
      </w:r>
    </w:p>
    <w:p w:rsidR="00C961E8" w:rsidRDefault="00C961E8" w:rsidP="00C961E8">
      <w:pPr>
        <w:pStyle w:val="StandardWeb"/>
      </w:pPr>
      <w:r>
        <w:lastRenderedPageBreak/>
        <w:t>Y_{G_2}</w:t>
      </w:r>
      <w:r>
        <w:br/>
        <w:t>\left(</w:t>
      </w:r>
      <w:r>
        <w:br/>
        <w:t>\boldsymbol{\theta}</w:t>
      </w:r>
      <w:r>
        <w:br/>
        <w:t>\right)</w:t>
      </w:r>
      <w:r>
        <w:br/>
        <w:t>\tag{3.7185}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\Delta_G\left(\boldsymbol{\theta}\right)=Y_{G_1}\left(\boldsymbol{\theta}\right)-Y_{G_2}\left(\boldsymbol{\theta}\right)\qquad\text{(3.7185)}</w:t>
      </w:r>
    </w:p>
    <w:p w:rsidR="00C961E8" w:rsidRDefault="00C961E8" w:rsidP="00C961E8">
      <w:pPr>
        <w:pStyle w:val="StandardWeb"/>
      </w:pPr>
      <w:r>
        <w:t>definiert werden.</w:t>
      </w:r>
    </w:p>
    <w:p w:rsidR="00C961E8" w:rsidRDefault="00C961E8" w:rsidP="00C961E8">
      <w:pPr>
        <w:pStyle w:val="StandardWeb"/>
      </w:pPr>
      <w:r>
        <w:t>Die Richtung des Gruppenunterschieds ist robust, wenn</w:t>
      </w:r>
    </w:p>
    <w:p w:rsidR="00C961E8" w:rsidRDefault="00C961E8" w:rsidP="00C961E8">
      <w:pPr>
        <w:pStyle w:val="berschrift1"/>
      </w:pPr>
      <w:r>
        <w:t>[</w:t>
      </w:r>
      <w:r>
        <w:br/>
        <w:t>\operatorname{sgn}</w:t>
      </w:r>
      <w:r>
        <w:br/>
        <w:t>\left(</w:t>
      </w:r>
      <w:r>
        <w:br/>
        <w:t>\Delta_G(\boldsymbol{\theta})</w:t>
      </w:r>
      <w:r>
        <w:br/>
        <w:t>\right)</w:t>
      </w:r>
    </w:p>
    <w:p w:rsidR="00C961E8" w:rsidRDefault="00C961E8" w:rsidP="00C961E8">
      <w:pPr>
        <w:pStyle w:val="StandardWeb"/>
      </w:pPr>
      <w:r>
        <w:t>s^\ast</w:t>
      </w:r>
      <w:r>
        <w:br/>
        <w:t>\qquad</w:t>
      </w:r>
      <w:r>
        <w:br/>
        <w:t>\forall</w:t>
      </w:r>
      <w:r>
        <w:br/>
        <w:t>\boldsymbol{\theta}</w:t>
      </w:r>
      <w:r>
        <w:br/>
        <w:t>\in</w:t>
      </w:r>
      <w:r>
        <w:br/>
        <w:t>\Theta_{\mathrm{zul}}.</w:t>
      </w:r>
      <w:r>
        <w:br/>
        <w:t>\tag{3.7186}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\operatorname{sgn}\left(\Delta_G(\boldsymbol{\theta})\right)=s^{\ast}\qquad\forall\boldsymbol{\theta}\in\Theta_{\mathrm{zul}}\qquad\text{(3.7186)}</w:t>
      </w:r>
    </w:p>
    <w:p w:rsidR="00C961E8" w:rsidRDefault="00E50336" w:rsidP="00C961E8">
      <w:r>
        <w:pict>
          <v:rect id="_x0000_i1471" style="width:0;height:1.5pt" o:hralign="center" o:hrstd="t" o:hr="t" fillcolor="#a0a0a0" stroked="f"/>
        </w:pict>
      </w:r>
    </w:p>
    <w:p w:rsidR="00C961E8" w:rsidRDefault="00C961E8" w:rsidP="00C961E8">
      <w:pPr>
        <w:pStyle w:val="berschrift2"/>
      </w:pPr>
      <w:r>
        <w:t>3.3.40.197 Parameterrobustheit von Rangfolgen</w:t>
      </w:r>
    </w:p>
    <w:p w:rsidR="00C961E8" w:rsidRDefault="00C961E8" w:rsidP="00C961E8">
      <w:pPr>
        <w:pStyle w:val="StandardWeb"/>
      </w:pPr>
      <w:r>
        <w:t>Für mehrere Gruppen oder Zustände sei</w:t>
      </w:r>
    </w:p>
    <w:p w:rsidR="00C961E8" w:rsidRDefault="00C961E8" w:rsidP="00C961E8">
      <w:pPr>
        <w:pStyle w:val="StandardWeb"/>
      </w:pPr>
      <w:r>
        <w:t>[</w:t>
      </w:r>
      <w:r>
        <w:br/>
        <w:t>Y_1</w:t>
      </w:r>
    </w:p>
    <w:p w:rsidR="00C961E8" w:rsidRDefault="00C961E8" w:rsidP="00C961E8">
      <w:pPr>
        <w:pStyle w:val="StandardWeb"/>
      </w:pPr>
      <w:r>
        <w:t>Y_2</w:t>
      </w:r>
    </w:p>
    <w:p w:rsidR="00C961E8" w:rsidRDefault="00C961E8" w:rsidP="00C961E8">
      <w:pPr>
        <w:pStyle w:val="StandardWeb"/>
      </w:pPr>
      <w:r>
        <w:t>\cdots</w:t>
      </w:r>
    </w:p>
    <w:p w:rsidR="00C961E8" w:rsidRDefault="00C961E8" w:rsidP="00C961E8">
      <w:pPr>
        <w:pStyle w:val="StandardWeb"/>
      </w:pPr>
      <w:r>
        <w:lastRenderedPageBreak/>
        <w:t>Y_n.</w:t>
      </w:r>
      <w:r>
        <w:br/>
        <w:t>\tag{3.7187}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Y_1&gt;Y_2&gt;\cdots&gt;Y_n\qquad\text{(3.7187)}</w:t>
      </w:r>
    </w:p>
    <w:p w:rsidR="00C961E8" w:rsidRDefault="00C961E8" w:rsidP="00C961E8">
      <w:pPr>
        <w:pStyle w:val="StandardWeb"/>
      </w:pPr>
      <w:r>
        <w:t>Eine rangrobuste Aussage verlangt</w:t>
      </w:r>
    </w:p>
    <w:p w:rsidR="00C961E8" w:rsidRDefault="00C961E8" w:rsidP="00C961E8">
      <w:pPr>
        <w:pStyle w:val="StandardWeb"/>
      </w:pPr>
      <w:r>
        <w:t>[</w:t>
      </w:r>
      <w:r>
        <w:br/>
        <w:t>Y_1(\boldsymbol{\theta})</w:t>
      </w:r>
    </w:p>
    <w:p w:rsidR="00C961E8" w:rsidRDefault="00C961E8" w:rsidP="00C961E8">
      <w:pPr>
        <w:pStyle w:val="StandardWeb"/>
      </w:pPr>
      <w:r>
        <w:t>Y_2(\boldsymbol{\theta})</w:t>
      </w:r>
    </w:p>
    <w:p w:rsidR="00C961E8" w:rsidRDefault="00C961E8" w:rsidP="00C961E8">
      <w:pPr>
        <w:pStyle w:val="StandardWeb"/>
      </w:pPr>
      <w:r>
        <w:t>\cdots</w:t>
      </w:r>
    </w:p>
    <w:p w:rsidR="00C961E8" w:rsidRDefault="00C961E8" w:rsidP="00C961E8">
      <w:pPr>
        <w:pStyle w:val="StandardWeb"/>
      </w:pPr>
      <w:r>
        <w:t>Y_n(\boldsymbol{\theta})</w:t>
      </w:r>
      <w:r>
        <w:br/>
        <w:t>\qquad</w:t>
      </w:r>
      <w:r>
        <w:br/>
        <w:t>\forall</w:t>
      </w:r>
      <w:r>
        <w:br/>
        <w:t>\boldsymbol{\theta}</w:t>
      </w:r>
      <w:r>
        <w:br/>
        <w:t>\in</w:t>
      </w:r>
      <w:r>
        <w:br/>
        <w:t>\Theta_{\mathrm{zul}}.</w:t>
      </w:r>
      <w:r>
        <w:br/>
        <w:t>\tag{3.7188}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Y_1(\boldsymbol{\theta})&gt;Y_2(\boldsymbol{\theta})&gt;\cdots&gt;Y_n(\boldsymbol{\theta})\qquad\forall\boldsymbol{\theta}\in\Theta_{\mathrm{zul}}\qquad\text{(3.7188)}</w:t>
      </w:r>
    </w:p>
    <w:p w:rsidR="00C961E8" w:rsidRDefault="00E50336" w:rsidP="00C961E8">
      <w:r>
        <w:pict>
          <v:rect id="_x0000_i1472" style="width:0;height:1.5pt" o:hralign="center" o:hrstd="t" o:hr="t" fillcolor="#a0a0a0" stroked="f"/>
        </w:pict>
      </w:r>
    </w:p>
    <w:p w:rsidR="00C961E8" w:rsidRDefault="00C961E8" w:rsidP="00C961E8">
      <w:pPr>
        <w:pStyle w:val="berschrift2"/>
      </w:pPr>
      <w:r>
        <w:t>3.3.40.198 Robustheit von Clusterstrukturen</w:t>
      </w:r>
    </w:p>
    <w:p w:rsidR="00C961E8" w:rsidRDefault="00C961E8" w:rsidP="00C961E8">
      <w:pPr>
        <w:pStyle w:val="StandardWeb"/>
      </w:pPr>
      <w:r>
        <w:t>Eine Clusterpartition sei</w:t>
      </w:r>
    </w:p>
    <w:p w:rsidR="00C961E8" w:rsidRDefault="00C961E8" w:rsidP="00C961E8">
      <w:pPr>
        <w:pStyle w:val="StandardWeb"/>
      </w:pPr>
      <w:r>
        <w:t>[</w:t>
      </w:r>
      <w:r>
        <w:br/>
        <w:t>\mathcal{C}_{\mathrm{clust}}</w:t>
      </w:r>
      <w:r>
        <w:br/>
        <w:t>\left(</w:t>
      </w:r>
      <w:r>
        <w:br/>
        <w:t>\boldsymbol{\theta}</w:t>
      </w:r>
      <w:r>
        <w:br/>
        <w:t>\right).</w:t>
      </w:r>
      <w:r>
        <w:br/>
        <w:t>\tag{3.7189}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\mathcal{C}_{\mathrm{clust}}\left(\boldsymbol{\theta}\right)\qquad\text{(3.7189)}</w:t>
      </w:r>
    </w:p>
    <w:p w:rsidR="00C961E8" w:rsidRDefault="00C961E8" w:rsidP="00C961E8">
      <w:pPr>
        <w:pStyle w:val="StandardWeb"/>
      </w:pPr>
      <w:r>
        <w:t>Für zwei Parametersätze kann eine strukturelle Clusterähnlichkeit</w:t>
      </w:r>
    </w:p>
    <w:p w:rsidR="00C961E8" w:rsidRDefault="00C961E8" w:rsidP="00C961E8">
      <w:pPr>
        <w:pStyle w:val="StandardWeb"/>
      </w:pPr>
      <w:r>
        <w:lastRenderedPageBreak/>
        <w:t>[</w:t>
      </w:r>
      <w:r>
        <w:br/>
        <w:t>S_{\mathrm{clust}}</w:t>
      </w:r>
      <w:r>
        <w:br/>
        <w:t>\left(</w:t>
      </w:r>
      <w:r>
        <w:br/>
        <w:t>\boldsymbol{\theta}_1,</w:t>
      </w:r>
      <w:r>
        <w:br/>
        <w:t>\boldsymbol{\theta}_2</w:t>
      </w:r>
      <w:r>
        <w:br/>
        <w:t>\right)</w:t>
      </w:r>
      <w:r>
        <w:br/>
        <w:t>\in</w:t>
      </w:r>
      <w:r>
        <w:br/>
        <w:t>[0,1]</w:t>
      </w:r>
      <w:r>
        <w:br/>
        <w:t>\tag{3.7190}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S_{\mathrm{clust}}\left(\boldsymbol{\theta}_1,\boldsymbol{\theta}_2\right)\in[0,1]\qquad\text{(3.7190)}</w:t>
      </w:r>
    </w:p>
    <w:p w:rsidR="00C961E8" w:rsidRDefault="00C961E8" w:rsidP="00C961E8">
      <w:pPr>
        <w:pStyle w:val="StandardWeb"/>
      </w:pPr>
      <w:r>
        <w:t>verwendet werden.</w:t>
      </w:r>
    </w:p>
    <w:p w:rsidR="00C961E8" w:rsidRDefault="00C961E8" w:rsidP="00C961E8">
      <w:pPr>
        <w:pStyle w:val="StandardWeb"/>
      </w:pPr>
      <w:r>
        <w:t>Ein hoher Wert bedeutet, dass die Clusterstruktur trotz Parameteränderung ähnlich bleibt.</w:t>
      </w:r>
    </w:p>
    <w:p w:rsidR="00C961E8" w:rsidRDefault="00E50336" w:rsidP="00C961E8">
      <w:r>
        <w:pict>
          <v:rect id="_x0000_i1473" style="width:0;height:1.5pt" o:hralign="center" o:hrstd="t" o:hr="t" fillcolor="#a0a0a0" stroked="f"/>
        </w:pict>
      </w:r>
    </w:p>
    <w:p w:rsidR="00C961E8" w:rsidRDefault="00C961E8" w:rsidP="00C961E8">
      <w:pPr>
        <w:pStyle w:val="berschrift2"/>
      </w:pPr>
      <w:r>
        <w:t>3.3.40.199 Robustheit von Übergangsmatrizen</w:t>
      </w:r>
    </w:p>
    <w:p w:rsidR="00C961E8" w:rsidRDefault="00C961E8" w:rsidP="00C961E8">
      <w:pPr>
        <w:pStyle w:val="StandardWeb"/>
      </w:pPr>
      <w:r>
        <w:t>Eine Übergangsmatrix sei</w:t>
      </w:r>
    </w:p>
    <w:p w:rsidR="00C961E8" w:rsidRDefault="00C961E8" w:rsidP="00C961E8">
      <w:pPr>
        <w:pStyle w:val="StandardWeb"/>
      </w:pPr>
      <w:r>
        <w:t>[</w:t>
      </w:r>
      <w:r>
        <w:br/>
        <w:t>\mathbf{P}</w:t>
      </w:r>
      <w:r>
        <w:br/>
        <w:t>\left(</w:t>
      </w:r>
      <w:r>
        <w:br/>
        <w:t>\boldsymbol{\theta}</w:t>
      </w:r>
      <w:r>
        <w:br/>
        <w:t>\right).</w:t>
      </w:r>
      <w:r>
        <w:br/>
        <w:t>\tag{3.7191}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\mathbf{P}\left(\boldsymbol{\theta}\right)\qquad\text{(3.7191)}</w:t>
      </w:r>
    </w:p>
    <w:p w:rsidR="00C961E8" w:rsidRDefault="00C961E8" w:rsidP="00C961E8">
      <w:pPr>
        <w:pStyle w:val="StandardWeb"/>
      </w:pPr>
      <w:r>
        <w:t>Ihre Parametersensitivität kann geschrieben werden als</w:t>
      </w:r>
    </w:p>
    <w:p w:rsidR="00C961E8" w:rsidRDefault="00C961E8" w:rsidP="00C961E8">
      <w:pPr>
        <w:pStyle w:val="StandardWeb"/>
      </w:pPr>
      <w:r>
        <w:t>[</w:t>
      </w:r>
      <w:r>
        <w:br/>
        <w:t>\frac{\partial\mathbf{P}}</w:t>
      </w:r>
      <w:r>
        <w:br/>
        <w:t>{\partial\theta_i}.</w:t>
      </w:r>
      <w:r>
        <w:br/>
        <w:t>\tag{3.7192}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\frac{\partial\mathbf{P}}{\partial\theta_i}\qquad\text{(3.7192)}</w:t>
      </w:r>
    </w:p>
    <w:p w:rsidR="00C961E8" w:rsidRDefault="00C961E8" w:rsidP="00C961E8">
      <w:pPr>
        <w:pStyle w:val="StandardWeb"/>
      </w:pPr>
      <w:r>
        <w:t>Eine robuste Übergangsstruktur kann trotz variierender Einzelwahrscheinlichkeiten dieselbe qualitative Dominanzstruktur erhalten.</w:t>
      </w:r>
    </w:p>
    <w:p w:rsidR="00C961E8" w:rsidRDefault="00E50336" w:rsidP="00C961E8">
      <w:r>
        <w:lastRenderedPageBreak/>
        <w:pict>
          <v:rect id="_x0000_i1474" style="width:0;height:1.5pt" o:hralign="center" o:hrstd="t" o:hr="t" fillcolor="#a0a0a0" stroked="f"/>
        </w:pict>
      </w:r>
    </w:p>
    <w:p w:rsidR="00C961E8" w:rsidRDefault="00C961E8" w:rsidP="00C961E8">
      <w:pPr>
        <w:pStyle w:val="berschrift2"/>
      </w:pPr>
      <w:r>
        <w:t>3.3.40.200 Robustheit von Rückkopplungsschleifen</w:t>
      </w:r>
    </w:p>
    <w:p w:rsidR="00C961E8" w:rsidRDefault="00C961E8" w:rsidP="00C961E8">
      <w:pPr>
        <w:pStyle w:val="StandardWeb"/>
      </w:pPr>
      <w:r>
        <w:t>Eine Rückkopplungsstruktur sei</w:t>
      </w:r>
    </w:p>
    <w:p w:rsidR="00C961E8" w:rsidRDefault="00C961E8" w:rsidP="00C961E8">
      <w:pPr>
        <w:pStyle w:val="StandardWeb"/>
      </w:pPr>
      <w:r>
        <w:t>[</w:t>
      </w:r>
      <w:r>
        <w:br/>
        <w:t>\mathfrak{L}_{F}</w:t>
      </w:r>
      <w:r>
        <w:br/>
        <w:t>\left(</w:t>
      </w:r>
      <w:r>
        <w:br/>
        <w:t>\boldsymbol{\theta}</w:t>
      </w:r>
      <w:r>
        <w:br/>
        <w:t>\right).</w:t>
      </w:r>
      <w:r>
        <w:br/>
        <w:t>\tag{3.7193}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\mathfrak{L}_{F}\left(\boldsymbol{\theta}\right)\qquad\text{(3.7193)}</w:t>
      </w:r>
    </w:p>
    <w:p w:rsidR="00C961E8" w:rsidRDefault="00C961E8" w:rsidP="00C961E8">
      <w:pPr>
        <w:pStyle w:val="StandardWeb"/>
      </w:pPr>
      <w:r>
        <w:t>Eine bestimmte Schleife (\ell) sei vorhanden, wenn</w:t>
      </w:r>
    </w:p>
    <w:p w:rsidR="00C961E8" w:rsidRDefault="00C961E8" w:rsidP="00C961E8">
      <w:pPr>
        <w:pStyle w:val="berschrift1"/>
      </w:pPr>
      <w:r>
        <w:t>[</w:t>
      </w:r>
      <w:r>
        <w:br/>
        <w:t>I_{\ell}</w:t>
      </w:r>
      <w:r>
        <w:br/>
        <w:t>\left(</w:t>
      </w:r>
      <w:r>
        <w:br/>
        <w:t>\boldsymbol{\theta}</w:t>
      </w:r>
      <w:r>
        <w:br/>
        <w:t>\right)</w:t>
      </w:r>
    </w:p>
    <w:p w:rsidR="00C961E8" w:rsidRDefault="00C961E8" w:rsidP="008C5E65">
      <w:pPr>
        <w:numPr>
          <w:ilvl w:val="0"/>
          <w:numId w:val="341"/>
        </w:numPr>
        <w:spacing w:before="100" w:beforeAutospacing="1" w:after="100" w:afterAutospacing="1"/>
      </w:pPr>
    </w:p>
    <w:p w:rsidR="00C961E8" w:rsidRDefault="00C961E8" w:rsidP="00C961E8">
      <w:pPr>
        <w:pStyle w:val="StandardWeb"/>
      </w:pPr>
      <w:r>
        <w:t>\tag{3.7194}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I_{\ell}\left(\boldsymbol{\theta}\right)=1\qquad\text{(3.7194)}</w:t>
      </w:r>
    </w:p>
    <w:p w:rsidR="00C961E8" w:rsidRDefault="00C961E8" w:rsidP="00C961E8">
      <w:pPr>
        <w:pStyle w:val="StandardWeb"/>
      </w:pPr>
      <w:r>
        <w:t>Die Schleifenrobustheit über (N) Parameterstichproben lautet</w:t>
      </w:r>
    </w:p>
    <w:p w:rsidR="00C961E8" w:rsidRDefault="00C961E8" w:rsidP="00C961E8">
      <w:pPr>
        <w:pStyle w:val="berschrift1"/>
      </w:pPr>
      <w:r>
        <w:t>[</w:t>
      </w:r>
      <w:r>
        <w:br/>
        <w:t>R_{\ell}</w:t>
      </w:r>
    </w:p>
    <w:p w:rsidR="00C961E8" w:rsidRDefault="00C961E8" w:rsidP="00C961E8">
      <w:pPr>
        <w:pStyle w:val="StandardWeb"/>
      </w:pPr>
      <w:r>
        <w:t>\frac{1}{N}</w:t>
      </w:r>
      <w:r>
        <w:br/>
        <w:t>\sum_{k=1}^{N}</w:t>
      </w:r>
      <w:r>
        <w:br/>
        <w:t>I_{\ell}</w:t>
      </w:r>
      <w:r>
        <w:br/>
        <w:t>\left(</w:t>
      </w:r>
      <w:r>
        <w:br/>
        <w:t>\boldsymbol{\theta}^{(k)}</w:t>
      </w:r>
      <w:r>
        <w:br/>
        <w:t>\right).</w:t>
      </w:r>
      <w:r>
        <w:br/>
      </w:r>
      <w:r>
        <w:lastRenderedPageBreak/>
        <w:t>\tag{3.7195}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R_{\ell}=\frac{1}{N}\sum_{k=1}^{N}I_{\ell}\left(\boldsymbol{\theta}^{(k)}\right)\qquad\text{(3.7195)}</w:t>
      </w:r>
    </w:p>
    <w:p w:rsidR="00C961E8" w:rsidRDefault="00E50336" w:rsidP="00C961E8">
      <w:r>
        <w:pict>
          <v:rect id="_x0000_i1475" style="width:0;height:1.5pt" o:hralign="center" o:hrstd="t" o:hr="t" fillcolor="#a0a0a0" stroked="f"/>
        </w:pict>
      </w:r>
    </w:p>
    <w:p w:rsidR="00C961E8" w:rsidRDefault="00C961E8" w:rsidP="00C961E8">
      <w:pPr>
        <w:pStyle w:val="berschrift2"/>
      </w:pPr>
      <w:r>
        <w:t>3.3.40.201 Robustheit von Operatorenkaskaden</w:t>
      </w:r>
    </w:p>
    <w:p w:rsidR="00C961E8" w:rsidRDefault="00C961E8" w:rsidP="00C961E8">
      <w:pPr>
        <w:pStyle w:val="StandardWeb"/>
      </w:pPr>
      <w:r>
        <w:t>Für eine Operatorenkaskade</w:t>
      </w:r>
    </w:p>
    <w:p w:rsidR="00C961E8" w:rsidRDefault="00C961E8" w:rsidP="00C961E8">
      <w:pPr>
        <w:pStyle w:val="berschrift1"/>
      </w:pPr>
      <w:r>
        <w:t>[</w:t>
      </w:r>
      <w:r>
        <w:br/>
        <w:t>\mathcal{T}</w:t>
      </w:r>
    </w:p>
    <w:p w:rsidR="00C961E8" w:rsidRDefault="00C961E8" w:rsidP="00C961E8">
      <w:pPr>
        <w:pStyle w:val="StandardWeb"/>
      </w:pPr>
      <w:r>
        <w:t>T_n</w:t>
      </w:r>
      <w:r>
        <w:br/>
        <w:t>\circ</w:t>
      </w:r>
      <w:r>
        <w:br/>
        <w:t>\cdots</w:t>
      </w:r>
      <w:r>
        <w:br/>
        <w:t>\circ</w:t>
      </w:r>
      <w:r>
        <w:br/>
        <w:t>T_2</w:t>
      </w:r>
      <w:r>
        <w:br/>
        <w:t>\circ</w:t>
      </w:r>
      <w:r>
        <w:br/>
        <w:t>T_1</w:t>
      </w:r>
      <w:r>
        <w:br/>
        <w:t>\tag{3.7196}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\mathcal{T}=T_n\circ\cdots\circ T_2\circ T_1\qquad\text{(3.7196)}</w:t>
      </w:r>
    </w:p>
    <w:p w:rsidR="00C961E8" w:rsidRDefault="00C961E8" w:rsidP="00C961E8">
      <w:pPr>
        <w:pStyle w:val="StandardWeb"/>
      </w:pPr>
      <w:r>
        <w:t>können einzelne Operatoren parameterabhängig sein:</w:t>
      </w:r>
    </w:p>
    <w:p w:rsidR="00C961E8" w:rsidRDefault="00C961E8" w:rsidP="00C961E8">
      <w:pPr>
        <w:pStyle w:val="berschrift1"/>
      </w:pPr>
      <w:r>
        <w:t>[</w:t>
      </w:r>
      <w:r>
        <w:br/>
        <w:t>T_i</w:t>
      </w:r>
    </w:p>
    <w:p w:rsidR="00C961E8" w:rsidRDefault="00C961E8" w:rsidP="00C961E8">
      <w:pPr>
        <w:pStyle w:val="StandardWeb"/>
      </w:pPr>
      <w:r>
        <w:t>T_i</w:t>
      </w:r>
      <w:r>
        <w:br/>
        <w:t>\left(</w:t>
      </w:r>
      <w:r>
        <w:br/>
        <w:t>\theta_i</w:t>
      </w:r>
      <w:r>
        <w:br/>
        <w:t>\right).</w:t>
      </w:r>
      <w:r>
        <w:br/>
        <w:t>\tag{3.7197}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T_i=T_i\left(\theta_i\right)\qquad\text{(3.7197)}</w:t>
      </w:r>
    </w:p>
    <w:p w:rsidR="00C961E8" w:rsidRDefault="00C961E8" w:rsidP="00C961E8">
      <w:pPr>
        <w:pStyle w:val="StandardWeb"/>
      </w:pPr>
      <w:r>
        <w:t>Die Gesamtkaskade lautet</w:t>
      </w:r>
    </w:p>
    <w:p w:rsidR="00C961E8" w:rsidRDefault="00C961E8" w:rsidP="00C961E8">
      <w:pPr>
        <w:pStyle w:val="berschrift1"/>
      </w:pPr>
      <w:r>
        <w:lastRenderedPageBreak/>
        <w:t>[</w:t>
      </w:r>
      <w:r>
        <w:br/>
        <w:t>\mathcal{T}</w:t>
      </w:r>
      <w:r>
        <w:br/>
        <w:t>\left(</w:t>
      </w:r>
      <w:r>
        <w:br/>
        <w:t>\boldsymbol{\theta}</w:t>
      </w:r>
      <w:r>
        <w:br/>
        <w:t>\right)</w:t>
      </w:r>
    </w:p>
    <w:p w:rsidR="00C961E8" w:rsidRDefault="00C961E8" w:rsidP="00C961E8">
      <w:pPr>
        <w:pStyle w:val="StandardWeb"/>
      </w:pPr>
      <w:r>
        <w:t>T_n(\theta_n)</w:t>
      </w:r>
      <w:r>
        <w:br/>
        <w:t>\circ</w:t>
      </w:r>
      <w:r>
        <w:br/>
        <w:t>\cdots</w:t>
      </w:r>
      <w:r>
        <w:br/>
        <w:t>\circ</w:t>
      </w:r>
      <w:r>
        <w:br/>
        <w:t>T_1(\theta_1).</w:t>
      </w:r>
      <w:r>
        <w:br/>
        <w:t>\tag{3.7198}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\mathcal{T}\left(\boldsymbol{\theta}\right)=T_n(\theta_n)\circ\cdots\circ T_1(\theta_1)\qquad\text{(3.7198)}</w:t>
      </w:r>
    </w:p>
    <w:p w:rsidR="00C961E8" w:rsidRDefault="00C961E8" w:rsidP="00C961E8">
      <w:pPr>
        <w:pStyle w:val="StandardWeb"/>
      </w:pPr>
      <w:r>
        <w:t>Damit kann Sensitivität entlang einer Verarbeitungskette untersucht werden.</w:t>
      </w:r>
    </w:p>
    <w:p w:rsidR="00C961E8" w:rsidRDefault="00E50336" w:rsidP="00C961E8">
      <w:r>
        <w:pict>
          <v:rect id="_x0000_i1476" style="width:0;height:1.5pt" o:hralign="center" o:hrstd="t" o:hr="t" fillcolor="#a0a0a0" stroked="f"/>
        </w:pict>
      </w:r>
    </w:p>
    <w:p w:rsidR="00C961E8" w:rsidRDefault="00C961E8" w:rsidP="00C961E8">
      <w:pPr>
        <w:pStyle w:val="berschrift2"/>
      </w:pPr>
      <w:r>
        <w:t>3.3.40.202 Sensitivitätsverstärkung in einer Kaskade</w:t>
      </w:r>
    </w:p>
    <w:p w:rsidR="00C961E8" w:rsidRDefault="00C961E8" w:rsidP="00C961E8">
      <w:pPr>
        <w:pStyle w:val="StandardWeb"/>
      </w:pPr>
      <w:r>
        <w:t>Eine lokale Verstärkung kann für einen Operator durch</w:t>
      </w:r>
    </w:p>
    <w:p w:rsidR="00C961E8" w:rsidRDefault="00C961E8" w:rsidP="00C961E8">
      <w:pPr>
        <w:pStyle w:val="berschrift1"/>
      </w:pPr>
      <w:r>
        <w:t>[</w:t>
      </w:r>
      <w:r>
        <w:br/>
        <w:t>g_i</w:t>
      </w:r>
    </w:p>
    <w:p w:rsidR="00C961E8" w:rsidRDefault="00C961E8" w:rsidP="00C961E8">
      <w:pPr>
        <w:pStyle w:val="StandardWeb"/>
      </w:pPr>
      <w:r>
        <w:t>\left|</w:t>
      </w:r>
      <w:r>
        <w:br/>
        <w:t>\frac{\partial T_i}</w:t>
      </w:r>
      <w:r>
        <w:br/>
        <w:t>{\partial x}</w:t>
      </w:r>
      <w:r>
        <w:br/>
        <w:t>\right|</w:t>
      </w:r>
      <w:r>
        <w:br/>
        <w:t>\tag{3.7199}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g_i=\left\|\frac{\partial T_i}{\partial x}\right\|\qquad\text{(3.7199)}</w:t>
      </w:r>
    </w:p>
    <w:p w:rsidR="00C961E8" w:rsidRDefault="00C961E8" w:rsidP="00C961E8">
      <w:pPr>
        <w:pStyle w:val="StandardWeb"/>
      </w:pPr>
      <w:r>
        <w:t>beschrieben werden.</w:t>
      </w:r>
    </w:p>
    <w:p w:rsidR="00C961E8" w:rsidRDefault="00C961E8" w:rsidP="00C961E8">
      <w:pPr>
        <w:pStyle w:val="StandardWeb"/>
      </w:pPr>
      <w:r>
        <w:t>Für eine Kaskade kann näherungsweise eine Gesamtverstärkung</w:t>
      </w:r>
    </w:p>
    <w:p w:rsidR="00C961E8" w:rsidRDefault="00C961E8" w:rsidP="00C961E8">
      <w:pPr>
        <w:pStyle w:val="StandardWeb"/>
      </w:pPr>
      <w:r>
        <w:lastRenderedPageBreak/>
        <w:t>[</w:t>
      </w:r>
      <w:r>
        <w:br/>
        <w:t>G_{\mathrm{ges}}</w:t>
      </w:r>
      <w:r>
        <w:br/>
        <w:t>\lesssim</w:t>
      </w:r>
      <w:r>
        <w:br/>
        <w:t>\prod_{i=1}^{n}</w:t>
      </w:r>
      <w:r>
        <w:br/>
        <w:t>g_i</w:t>
      </w:r>
      <w:r>
        <w:br/>
        <w:t>\tag{3.7200}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G_{\mathrm{ges}}\lesssim\prod_{i=1}^{n}g_i\qquad\text{(3.7200)}</w:t>
      </w:r>
    </w:p>
    <w:p w:rsidR="00C961E8" w:rsidRDefault="00C961E8" w:rsidP="00C961E8">
      <w:pPr>
        <w:pStyle w:val="StandardWeb"/>
      </w:pPr>
      <w:r>
        <w:t>entstehen.</w:t>
      </w:r>
    </w:p>
    <w:p w:rsidR="00C961E8" w:rsidRDefault="00C961E8" w:rsidP="00C961E8">
      <w:pPr>
        <w:pStyle w:val="StandardWeb"/>
      </w:pPr>
      <w:r>
        <w:t>Damit können mehrere jeweils moderate Empfindlichkeiten gemeinsam eine starke Gesamtsensitivität erzeugen.</w:t>
      </w:r>
    </w:p>
    <w:p w:rsidR="00C961E8" w:rsidRDefault="00E50336" w:rsidP="00C961E8">
      <w:r>
        <w:pict>
          <v:rect id="_x0000_i1477" style="width:0;height:1.5pt" o:hralign="center" o:hrstd="t" o:hr="t" fillcolor="#a0a0a0" stroked="f"/>
        </w:pict>
      </w:r>
    </w:p>
    <w:p w:rsidR="00C961E8" w:rsidRDefault="00C961E8" w:rsidP="00C961E8">
      <w:pPr>
        <w:pStyle w:val="berschrift2"/>
      </w:pPr>
      <w:r>
        <w:t>3.3.40.203 Sensitivitätsdämpfung</w:t>
      </w:r>
    </w:p>
    <w:p w:rsidR="00C961E8" w:rsidRDefault="00C961E8" w:rsidP="00C961E8">
      <w:pPr>
        <w:pStyle w:val="StandardWeb"/>
      </w:pPr>
      <w:r>
        <w:t>Umgekehrt kann eine Verarbeitungskette Störungen dämpfen:</w:t>
      </w:r>
    </w:p>
    <w:p w:rsidR="00C961E8" w:rsidRDefault="00C961E8" w:rsidP="00C961E8">
      <w:pPr>
        <w:pStyle w:val="StandardWeb"/>
      </w:pPr>
      <w:r>
        <w:t>[</w:t>
      </w:r>
      <w:r>
        <w:br/>
        <w:t>G_{\mathrm{ges}}</w:t>
      </w:r>
      <w:r>
        <w:br/>
        <w:t>&lt;</w:t>
      </w:r>
      <w:r>
        <w:br/>
        <w:t>1.</w:t>
      </w:r>
      <w:r>
        <w:br/>
        <w:t>\tag{3.7201}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G_{\mathrm{ges}}&lt;1\qquad\text{(3.7201)}</w:t>
      </w:r>
    </w:p>
    <w:p w:rsidR="00C961E8" w:rsidRDefault="00C961E8" w:rsidP="00C961E8">
      <w:pPr>
        <w:pStyle w:val="StandardWeb"/>
      </w:pPr>
      <w:r>
        <w:t>Dann nimmt die betrachtete Störung entlang der Kaskade ab.</w:t>
      </w:r>
    </w:p>
    <w:p w:rsidR="00C961E8" w:rsidRDefault="00C961E8" w:rsidP="00C961E8">
      <w:pPr>
        <w:pStyle w:val="StandardWeb"/>
      </w:pPr>
      <w:r>
        <w:t>Diese Eigenschaft kann für regulatorische Strukturen im FRZK von besonderem Interesse sein.</w:t>
      </w:r>
    </w:p>
    <w:p w:rsidR="00C961E8" w:rsidRDefault="00E50336" w:rsidP="00C961E8">
      <w:r>
        <w:pict>
          <v:rect id="_x0000_i1478" style="width:0;height:1.5pt" o:hralign="center" o:hrstd="t" o:hr="t" fillcolor="#a0a0a0" stroked="f"/>
        </w:pict>
      </w:r>
    </w:p>
    <w:p w:rsidR="00C961E8" w:rsidRDefault="00C961E8" w:rsidP="00C961E8">
      <w:pPr>
        <w:pStyle w:val="berschrift2"/>
      </w:pPr>
      <w:r>
        <w:t>3.3.40.204 Regulatorische Robustheit</w:t>
      </w:r>
    </w:p>
    <w:p w:rsidR="00C961E8" w:rsidRDefault="00C961E8" w:rsidP="00C961E8">
      <w:pPr>
        <w:pStyle w:val="StandardWeb"/>
      </w:pPr>
      <w:r>
        <w:t>Sei</w:t>
      </w:r>
    </w:p>
    <w:p w:rsidR="00C961E8" w:rsidRDefault="00C961E8" w:rsidP="00C961E8">
      <w:pPr>
        <w:pStyle w:val="StandardWeb"/>
      </w:pPr>
      <w:r>
        <w:t>[</w:t>
      </w:r>
      <w:r>
        <w:br/>
        <w:t>R_F</w:t>
      </w:r>
      <w:r>
        <w:br/>
        <w:t>\tag{3.7202}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lastRenderedPageBreak/>
        <w:t>R_F\qquad\text{(3.7202)}</w:t>
      </w:r>
    </w:p>
    <w:p w:rsidR="00C961E8" w:rsidRDefault="00C961E8" w:rsidP="00C961E8">
      <w:pPr>
        <w:pStyle w:val="StandardWeb"/>
      </w:pPr>
      <w:r>
        <w:t>ein regulatorischer Operator.</w:t>
      </w:r>
    </w:p>
    <w:p w:rsidR="00C961E8" w:rsidRDefault="00C961E8" w:rsidP="00C961E8">
      <w:pPr>
        <w:pStyle w:val="StandardWeb"/>
      </w:pPr>
      <w:r>
        <w:t>Eine robuste regulatorische Wirkung kann verlangen</w:t>
      </w:r>
    </w:p>
    <w:p w:rsidR="00C961E8" w:rsidRDefault="00C961E8" w:rsidP="00C961E8">
      <w:pPr>
        <w:pStyle w:val="StandardWeb"/>
      </w:pPr>
      <w:r>
        <w:t>[</w:t>
      </w:r>
      <w:r>
        <w:br/>
        <w:t>d</w:t>
      </w:r>
      <w:r>
        <w:br/>
        <w:t>\left(</w:t>
      </w:r>
      <w:r>
        <w:br/>
        <w:t>R_F(\delta+\Delta\delta),</w:t>
      </w:r>
      <w:r>
        <w:br/>
        <w:t>R_F(\delta)</w:t>
      </w:r>
      <w:r>
        <w:br/>
        <w:t>\right)</w:t>
      </w:r>
      <w:r>
        <w:br/>
        <w:t>&lt;</w:t>
      </w:r>
      <w:r>
        <w:br/>
        <w:t>d</w:t>
      </w:r>
      <w:r>
        <w:br/>
        <w:t>\left(</w:t>
      </w:r>
      <w:r>
        <w:br/>
        <w:t>\delta+\Delta\delta,</w:t>
      </w:r>
      <w:r>
        <w:br/>
        <w:t>\delta</w:t>
      </w:r>
      <w:r>
        <w:br/>
        <w:t>\right).</w:t>
      </w:r>
      <w:r>
        <w:br/>
        <w:t>\tag{3.7203}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d\left(R_F(\delta+\Delta\delta),R_F(\delta)\right)&lt;d\left(\delta+\Delta\delta,\delta\right)\qquad\text{(3.7203)}</w:t>
      </w:r>
    </w:p>
    <w:p w:rsidR="00C961E8" w:rsidRDefault="00C961E8" w:rsidP="00C961E8">
      <w:pPr>
        <w:pStyle w:val="StandardWeb"/>
      </w:pPr>
      <w:r>
        <w:t>Dann reduziert der Regulator die betrachtete Zustandsabweichung.</w:t>
      </w:r>
    </w:p>
    <w:p w:rsidR="00C961E8" w:rsidRDefault="00E50336" w:rsidP="00C961E8">
      <w:r>
        <w:pict>
          <v:rect id="_x0000_i1479" style="width:0;height:1.5pt" o:hralign="center" o:hrstd="t" o:hr="t" fillcolor="#a0a0a0" stroked="f"/>
        </w:pict>
      </w:r>
    </w:p>
    <w:p w:rsidR="00C961E8" w:rsidRDefault="00C961E8" w:rsidP="00C961E8">
      <w:pPr>
        <w:pStyle w:val="berschrift2"/>
      </w:pPr>
      <w:r>
        <w:t>3.3.40.205 Parameterrobustheit regulatorischer Wirkung</w:t>
      </w:r>
    </w:p>
    <w:p w:rsidR="00C961E8" w:rsidRDefault="00C961E8" w:rsidP="00C961E8">
      <w:pPr>
        <w:pStyle w:val="StandardWeb"/>
      </w:pPr>
      <w:r>
        <w:t>Eine regulatorische Dämpfung ist parameterrobust, wenn</w:t>
      </w:r>
    </w:p>
    <w:p w:rsidR="00C961E8" w:rsidRDefault="00C961E8" w:rsidP="00C961E8">
      <w:pPr>
        <w:pStyle w:val="StandardWeb"/>
      </w:pPr>
      <w:r>
        <w:t>[</w:t>
      </w:r>
      <w:r>
        <w:br/>
        <w:t>G_R</w:t>
      </w:r>
      <w:r>
        <w:br/>
        <w:t>\left(</w:t>
      </w:r>
      <w:r>
        <w:br/>
        <w:t>\boldsymbol{\theta}</w:t>
      </w:r>
      <w:r>
        <w:br/>
        <w:t>\right)</w:t>
      </w:r>
      <w:r>
        <w:br/>
        <w:t>&lt;</w:t>
      </w:r>
      <w:r>
        <w:br/>
        <w:t>1</w:t>
      </w:r>
      <w:r>
        <w:br/>
        <w:t>\qquad</w:t>
      </w:r>
      <w:r>
        <w:br/>
        <w:t>\forall</w:t>
      </w:r>
      <w:r>
        <w:br/>
        <w:t>\boldsymbol{\theta}</w:t>
      </w:r>
      <w:r>
        <w:br/>
        <w:t>\in</w:t>
      </w:r>
      <w:r>
        <w:br/>
        <w:t>\Theta_{\mathrm{zul}}.</w:t>
      </w:r>
      <w:r>
        <w:br/>
        <w:t>\tag{3.7204}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lastRenderedPageBreak/>
        <w:t>G_R\left(\boldsymbol{\theta}\right)&lt;1\qquad\forall\boldsymbol{\theta}\in\Theta_{\mathrm{zul}}\qquad\text{(3.7204)}</w:t>
      </w:r>
    </w:p>
    <w:p w:rsidR="00C961E8" w:rsidRDefault="00C961E8" w:rsidP="00C961E8">
      <w:pPr>
        <w:pStyle w:val="StandardWeb"/>
      </w:pPr>
      <w:r>
        <w:t>Ein Regulator, der bei bestimmten Parametersätzen verstärkend statt dämpfend wirkt, besitzt geringere strukturelle Belastbarkeit.</w:t>
      </w:r>
    </w:p>
    <w:p w:rsidR="00C961E8" w:rsidRDefault="00E50336" w:rsidP="00C961E8">
      <w:r>
        <w:pict>
          <v:rect id="_x0000_i1480" style="width:0;height:1.5pt" o:hralign="center" o:hrstd="t" o:hr="t" fillcolor="#a0a0a0" stroked="f"/>
        </w:pict>
      </w:r>
    </w:p>
    <w:p w:rsidR="00C961E8" w:rsidRDefault="00C961E8" w:rsidP="00C961E8">
      <w:pPr>
        <w:pStyle w:val="berschrift2"/>
      </w:pPr>
      <w:r>
        <w:t>3.3.40.206 Robustheit positiver und negativer Rückkopplung</w:t>
      </w:r>
    </w:p>
    <w:p w:rsidR="00C961E8" w:rsidRDefault="00C961E8" w:rsidP="00C961E8">
      <w:pPr>
        <w:pStyle w:val="StandardWeb"/>
      </w:pPr>
      <w:r>
        <w:t>Eine Schleifenverstärkung sei</w:t>
      </w:r>
    </w:p>
    <w:p w:rsidR="00C961E8" w:rsidRDefault="00C961E8" w:rsidP="00C961E8">
      <w:pPr>
        <w:pStyle w:val="StandardWeb"/>
      </w:pPr>
      <w:r>
        <w:t>[</w:t>
      </w:r>
      <w:r>
        <w:br/>
        <w:t>g_{\ell}</w:t>
      </w:r>
      <w:r>
        <w:br/>
        <w:t>\left(</w:t>
      </w:r>
      <w:r>
        <w:br/>
        <w:t>\boldsymbol{\theta}</w:t>
      </w:r>
      <w:r>
        <w:br/>
        <w:t>\right).</w:t>
      </w:r>
      <w:r>
        <w:br/>
        <w:t>\tag{3.7205}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g_{\ell}\left(\boldsymbol{\theta}\right)\qquad\text{(3.7205)}</w:t>
      </w:r>
    </w:p>
    <w:p w:rsidR="00C961E8" w:rsidRDefault="00C961E8" w:rsidP="00C961E8">
      <w:pPr>
        <w:pStyle w:val="StandardWeb"/>
      </w:pPr>
      <w:r>
        <w:t>Für</w:t>
      </w:r>
    </w:p>
    <w:p w:rsidR="00C961E8" w:rsidRDefault="00C961E8" w:rsidP="00C961E8">
      <w:pPr>
        <w:pStyle w:val="StandardWeb"/>
      </w:pPr>
      <w:r>
        <w:t>[</w:t>
      </w:r>
      <w:r>
        <w:br/>
        <w:t>|g_{\ell}|</w:t>
      </w:r>
      <w:r>
        <w:br/>
        <w:t>&lt;</w:t>
      </w:r>
      <w:r>
        <w:br/>
        <w:t>1</w:t>
      </w:r>
      <w:r>
        <w:br/>
        <w:t>\tag{3.7206}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|g_{\ell}|&lt;1\qquad\text{(3.7206)}</w:t>
      </w:r>
    </w:p>
    <w:p w:rsidR="00C961E8" w:rsidRDefault="00C961E8" w:rsidP="00C961E8">
      <w:pPr>
        <w:pStyle w:val="StandardWeb"/>
      </w:pPr>
      <w:r>
        <w:t>kann eine lokale Dämpfung vorliegen.</w:t>
      </w:r>
    </w:p>
    <w:p w:rsidR="00C961E8" w:rsidRDefault="00C961E8" w:rsidP="00C961E8">
      <w:pPr>
        <w:pStyle w:val="StandardWeb"/>
      </w:pPr>
      <w:r>
        <w:t>Für</w:t>
      </w:r>
    </w:p>
    <w:p w:rsidR="00C961E8" w:rsidRDefault="00C961E8" w:rsidP="00C961E8">
      <w:pPr>
        <w:pStyle w:val="StandardWeb"/>
      </w:pPr>
      <w:r>
        <w:t>[</w:t>
      </w:r>
      <w:r>
        <w:br/>
        <w:t>|g_{\ell}|</w:t>
      </w:r>
    </w:p>
    <w:p w:rsidR="00C961E8" w:rsidRDefault="00C961E8" w:rsidP="00C961E8">
      <w:pPr>
        <w:pStyle w:val="StandardWeb"/>
      </w:pPr>
      <w:r>
        <w:t>1</w:t>
      </w:r>
      <w:r>
        <w:br/>
        <w:t>\tag{3.7207}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|g_{\ell}|&gt;1\qquad\text{(3.7207)}</w:t>
      </w:r>
    </w:p>
    <w:p w:rsidR="00C961E8" w:rsidRDefault="00C961E8" w:rsidP="00C961E8">
      <w:pPr>
        <w:pStyle w:val="StandardWeb"/>
      </w:pPr>
      <w:r>
        <w:lastRenderedPageBreak/>
        <w:t>kann eine lokale Verstärkung vorliegen.</w:t>
      </w:r>
    </w:p>
    <w:p w:rsidR="00C961E8" w:rsidRDefault="00C961E8" w:rsidP="00C961E8">
      <w:pPr>
        <w:pStyle w:val="StandardWeb"/>
      </w:pPr>
      <w:r>
        <w:t>Ob diese Interpretation im konkreten FRZK-Modell zulässig ist, hängt von der tatsächlichen Definition des Schleifenoperators ab.</w:t>
      </w:r>
    </w:p>
    <w:p w:rsidR="00C961E8" w:rsidRDefault="00E50336" w:rsidP="00C961E8">
      <w:r>
        <w:pict>
          <v:rect id="_x0000_i1481" style="width:0;height:1.5pt" o:hralign="center" o:hrstd="t" o:hr="t" fillcolor="#a0a0a0" stroked="f"/>
        </w:pict>
      </w:r>
    </w:p>
    <w:p w:rsidR="00C961E8" w:rsidRDefault="00C961E8" w:rsidP="00C961E8">
      <w:pPr>
        <w:pStyle w:val="berschrift2"/>
      </w:pPr>
      <w:r>
        <w:t>3.3.40.207 Parameterrobustheit der Schleifenrichtung</w:t>
      </w:r>
    </w:p>
    <w:p w:rsidR="00C961E8" w:rsidRDefault="00C961E8" w:rsidP="00C961E8">
      <w:pPr>
        <w:pStyle w:val="StandardWeb"/>
      </w:pPr>
      <w:r>
        <w:t>Die Vorzeichenstruktur einer Rückkopplung ist robust, wenn</w:t>
      </w:r>
    </w:p>
    <w:p w:rsidR="00C961E8" w:rsidRDefault="00C961E8" w:rsidP="00C961E8">
      <w:pPr>
        <w:pStyle w:val="berschrift1"/>
      </w:pPr>
      <w:r>
        <w:t>[</w:t>
      </w:r>
      <w:r>
        <w:br/>
        <w:t>\operatorname{sgn}</w:t>
      </w:r>
      <w:r>
        <w:br/>
        <w:t>\left(</w:t>
      </w:r>
      <w:r>
        <w:br/>
        <w:t>g_{\ell}(\boldsymbol{\theta})</w:t>
      </w:r>
      <w:r>
        <w:br/>
        <w:t>\right)</w:t>
      </w:r>
    </w:p>
    <w:p w:rsidR="00C961E8" w:rsidRDefault="00C961E8" w:rsidP="00C961E8">
      <w:pPr>
        <w:pStyle w:val="StandardWeb"/>
      </w:pPr>
      <w:r>
        <w:t>s^\ast</w:t>
      </w:r>
      <w:r>
        <w:br/>
        <w:t>\qquad</w:t>
      </w:r>
      <w:r>
        <w:br/>
        <w:t>\forall</w:t>
      </w:r>
      <w:r>
        <w:br/>
        <w:t>\boldsymbol{\theta}</w:t>
      </w:r>
      <w:r>
        <w:br/>
        <w:t>\in</w:t>
      </w:r>
      <w:r>
        <w:br/>
        <w:t>\Theta_{\mathrm{zul}}.</w:t>
      </w:r>
      <w:r>
        <w:br/>
        <w:t>\tag{3.7208}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\operatorname{sgn}\left(g_{\ell}(\boldsymbol{\theta})\right)=s^{\ast}\qquad\forall\boldsymbol{\theta}\in\Theta_{\mathrm{zul}}\qquad\text{(3.7208)}</w:t>
      </w:r>
    </w:p>
    <w:p w:rsidR="00C961E8" w:rsidRDefault="00C961E8" w:rsidP="00C961E8">
      <w:pPr>
        <w:pStyle w:val="StandardWeb"/>
      </w:pPr>
      <w:r>
        <w:t>Ein Vorzeichenwechsel würde dagegen bedeuten, dass dieselbe Schleife je nach Parametrisierung stabilisierend oder destabilisierend wirken kann.</w:t>
      </w:r>
    </w:p>
    <w:p w:rsidR="00C961E8" w:rsidRDefault="00E50336" w:rsidP="00C961E8">
      <w:r>
        <w:pict>
          <v:rect id="_x0000_i1482" style="width:0;height:1.5pt" o:hralign="center" o:hrstd="t" o:hr="t" fillcolor="#a0a0a0" stroked="f"/>
        </w:pict>
      </w:r>
    </w:p>
    <w:p w:rsidR="00C961E8" w:rsidRDefault="00C961E8" w:rsidP="00C961E8">
      <w:pPr>
        <w:pStyle w:val="berschrift2"/>
      </w:pPr>
      <w:r>
        <w:t>3.3.40.208 Robustheit funktionaler Kohärenzschwellen</w:t>
      </w:r>
    </w:p>
    <w:p w:rsidR="00C961E8" w:rsidRDefault="00C961E8" w:rsidP="00C961E8">
      <w:pPr>
        <w:pStyle w:val="StandardWeb"/>
      </w:pPr>
      <w:r>
        <w:t>Eine kritische Kohärenzschwelle sei</w:t>
      </w:r>
    </w:p>
    <w:p w:rsidR="00C961E8" w:rsidRDefault="00C961E8" w:rsidP="00C961E8">
      <w:pPr>
        <w:pStyle w:val="StandardWeb"/>
      </w:pPr>
      <w:r>
        <w:t>[</w:t>
      </w:r>
      <w:r>
        <w:br/>
        <w:t>K_{\mathrm{krit}}.</w:t>
      </w:r>
      <w:r>
        <w:br/>
        <w:t>\tag{3.7209}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K_{\mathrm{krit}}\qquad\text{(3.7209)}</w:t>
      </w:r>
    </w:p>
    <w:p w:rsidR="00C961E8" w:rsidRDefault="00C961E8" w:rsidP="00C961E8">
      <w:pPr>
        <w:pStyle w:val="StandardWeb"/>
      </w:pPr>
      <w:r>
        <w:lastRenderedPageBreak/>
        <w:t>Wenn</w:t>
      </w:r>
    </w:p>
    <w:p w:rsidR="00C961E8" w:rsidRDefault="00C961E8" w:rsidP="00C961E8">
      <w:pPr>
        <w:pStyle w:val="StandardWeb"/>
      </w:pPr>
      <w:r>
        <w:t>[</w:t>
      </w:r>
      <w:r>
        <w:br/>
        <w:t>K_{\mathcal{C}}</w:t>
      </w:r>
      <w:r>
        <w:br/>
        <w:t>\left(</w:t>
      </w:r>
      <w:r>
        <w:br/>
        <w:t>\boldsymbol{\theta}</w:t>
      </w:r>
      <w:r>
        <w:br/>
        <w:t>\right)</w:t>
      </w:r>
    </w:p>
    <w:p w:rsidR="00C961E8" w:rsidRDefault="00C961E8" w:rsidP="00C961E8">
      <w:pPr>
        <w:pStyle w:val="StandardWeb"/>
      </w:pPr>
      <w:r>
        <w:t>K_{\mathrm{krit}}</w:t>
      </w:r>
      <w:r>
        <w:br/>
        <w:t>\tag{3.7210}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K_{\mathcal{C}}\left(\boldsymbol{\theta}\right)&gt;K_{\mathrm{krit}}\qquad\text{(3.7210)}</w:t>
      </w:r>
    </w:p>
    <w:p w:rsidR="00C961E8" w:rsidRDefault="00C961E8" w:rsidP="00C961E8">
      <w:pPr>
        <w:pStyle w:val="StandardWeb"/>
      </w:pPr>
      <w:r>
        <w:t>nur für einen sehr kleinen Parameterbereich gilt, ist die entsprechende Stabilitätsaussage fragil.</w:t>
      </w:r>
    </w:p>
    <w:p w:rsidR="00C961E8" w:rsidRDefault="00E50336" w:rsidP="00C961E8">
      <w:r>
        <w:pict>
          <v:rect id="_x0000_i1483" style="width:0;height:1.5pt" o:hralign="center" o:hrstd="t" o:hr="t" fillcolor="#a0a0a0" stroked="f"/>
        </w:pict>
      </w:r>
    </w:p>
    <w:p w:rsidR="00C961E8" w:rsidRDefault="00C961E8" w:rsidP="00C961E8">
      <w:pPr>
        <w:pStyle w:val="berschrift2"/>
      </w:pPr>
      <w:r>
        <w:t>3.3.40.209 Kohärenzmarge</w:t>
      </w:r>
    </w:p>
    <w:p w:rsidR="00C961E8" w:rsidRDefault="00C961E8" w:rsidP="00C961E8">
      <w:pPr>
        <w:pStyle w:val="StandardWeb"/>
      </w:pPr>
      <w:r>
        <w:t>Ich definiere</w:t>
      </w:r>
    </w:p>
    <w:p w:rsidR="00C961E8" w:rsidRDefault="00C961E8" w:rsidP="00C961E8">
      <w:pPr>
        <w:pStyle w:val="berschrift1"/>
      </w:pPr>
      <w:r>
        <w:t>[</w:t>
      </w:r>
      <w:r>
        <w:br/>
        <w:t>M_K</w:t>
      </w:r>
    </w:p>
    <w:p w:rsidR="00C961E8" w:rsidRDefault="00C961E8" w:rsidP="00C961E8">
      <w:pPr>
        <w:pStyle w:val="berschrift2"/>
      </w:pPr>
      <w:r>
        <w:t>K_{\mathcal{C}}</w:t>
      </w:r>
    </w:p>
    <w:p w:rsidR="00C961E8" w:rsidRDefault="00C961E8" w:rsidP="00C961E8">
      <w:pPr>
        <w:pStyle w:val="StandardWeb"/>
      </w:pPr>
      <w:r>
        <w:t>K_{\mathrm{krit}}.</w:t>
      </w:r>
      <w:r>
        <w:br/>
        <w:t>\tag{3.7211}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M_K=K_{\mathcal{C}}-K_{\mathrm{krit}}\qquad\text{(3.7211)}</w:t>
      </w:r>
    </w:p>
    <w:p w:rsidR="00C961E8" w:rsidRDefault="00C961E8" w:rsidP="00C961E8">
      <w:pPr>
        <w:pStyle w:val="StandardWeb"/>
      </w:pPr>
      <w:r>
        <w:t>Für</w:t>
      </w:r>
    </w:p>
    <w:p w:rsidR="00C961E8" w:rsidRDefault="00C961E8" w:rsidP="00C961E8">
      <w:pPr>
        <w:pStyle w:val="StandardWeb"/>
      </w:pPr>
      <w:r>
        <w:t>[</w:t>
      </w:r>
      <w:r>
        <w:br/>
        <w:t>M_K</w:t>
      </w:r>
      <w:r>
        <w:br/>
        <w:t>\gg</w:t>
      </w:r>
      <w:r>
        <w:br/>
        <w:t>u_K</w:t>
      </w:r>
      <w:r>
        <w:br/>
        <w:t>\tag{3.7212}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lastRenderedPageBreak/>
        <w:t>M_K\gg u_K\qquad\text{(3.7212)}</w:t>
      </w:r>
    </w:p>
    <w:p w:rsidR="00C961E8" w:rsidRDefault="00C961E8" w:rsidP="00C961E8">
      <w:pPr>
        <w:pStyle w:val="StandardWeb"/>
      </w:pPr>
      <w:r>
        <w:t>liegt die Kohärenz deutlich oberhalb der kritischen Schwelle.</w:t>
      </w:r>
    </w:p>
    <w:p w:rsidR="00C961E8" w:rsidRDefault="00C961E8" w:rsidP="00C961E8">
      <w:pPr>
        <w:pStyle w:val="StandardWeb"/>
      </w:pPr>
      <w:r>
        <w:t>Für</w:t>
      </w:r>
    </w:p>
    <w:p w:rsidR="00C961E8" w:rsidRDefault="00C961E8" w:rsidP="00C961E8">
      <w:pPr>
        <w:pStyle w:val="StandardWeb"/>
      </w:pPr>
      <w:r>
        <w:t>[</w:t>
      </w:r>
      <w:r>
        <w:br/>
        <w:t>|M_K|</w:t>
      </w:r>
      <w:r>
        <w:br/>
        <w:t>\lesssim</w:t>
      </w:r>
      <w:r>
        <w:br/>
        <w:t>u_K</w:t>
      </w:r>
      <w:r>
        <w:br/>
        <w:t>\tag{3.7213}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|M_K|\lesssim u_K\qquad\text{(3.7213)}</w:t>
      </w:r>
    </w:p>
    <w:p w:rsidR="00C961E8" w:rsidRDefault="00C961E8" w:rsidP="00C961E8">
      <w:pPr>
        <w:pStyle w:val="StandardWeb"/>
      </w:pPr>
      <w:r>
        <w:t>ist die Klassifikation hinsichtlich der Parameter- und Messunsicherheit fragil.</w:t>
      </w:r>
    </w:p>
    <w:p w:rsidR="00C961E8" w:rsidRDefault="00E50336" w:rsidP="00C961E8">
      <w:r>
        <w:pict>
          <v:rect id="_x0000_i1484" style="width:0;height:1.5pt" o:hralign="center" o:hrstd="t" o:hr="t" fillcolor="#a0a0a0" stroked="f"/>
        </w:pict>
      </w:r>
    </w:p>
    <w:p w:rsidR="00C961E8" w:rsidRDefault="00C961E8" w:rsidP="00C961E8">
      <w:pPr>
        <w:pStyle w:val="berschrift2"/>
      </w:pPr>
      <w:r>
        <w:t>3.3.40.210 Parameterrobustheit funktionaler Zeitordnungen</w:t>
      </w:r>
    </w:p>
    <w:p w:rsidR="00C961E8" w:rsidRDefault="00C961E8" w:rsidP="00C961E8">
      <w:pPr>
        <w:pStyle w:val="StandardWeb"/>
      </w:pPr>
      <w:r>
        <w:t>Eine zeitliche Reihenfolge funktionaler Ereignisse sei</w:t>
      </w:r>
    </w:p>
    <w:p w:rsidR="00C961E8" w:rsidRDefault="00C961E8" w:rsidP="00C961E8">
      <w:pPr>
        <w:pStyle w:val="StandardWeb"/>
      </w:pPr>
      <w:r>
        <w:t>[</w:t>
      </w:r>
      <w:r>
        <w:br/>
        <w:t>t_1</w:t>
      </w:r>
      <w:r>
        <w:br/>
        <w:t>&lt;</w:t>
      </w:r>
      <w:r>
        <w:br/>
        <w:t>t_2</w:t>
      </w:r>
      <w:r>
        <w:br/>
        <w:t>&lt;</w:t>
      </w:r>
      <w:r>
        <w:br/>
        <w:t>\cdots</w:t>
      </w:r>
      <w:r>
        <w:br/>
        <w:t>&lt;</w:t>
      </w:r>
      <w:r>
        <w:br/>
        <w:t>t_n.</w:t>
      </w:r>
      <w:r>
        <w:br/>
        <w:t>\tag{3.7214}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t_1&lt;t_2&lt;\cdots&lt;t_n\qquad\text{(3.7214)}</w:t>
      </w:r>
    </w:p>
    <w:p w:rsidR="00C961E8" w:rsidRDefault="00C961E8" w:rsidP="00C961E8">
      <w:pPr>
        <w:pStyle w:val="StandardWeb"/>
      </w:pPr>
      <w:r>
        <w:t>Parameterrobust ist diese Ordnung, wenn</w:t>
      </w:r>
    </w:p>
    <w:p w:rsidR="00C961E8" w:rsidRDefault="00C961E8" w:rsidP="00C961E8">
      <w:pPr>
        <w:pStyle w:val="StandardWeb"/>
      </w:pPr>
      <w:r>
        <w:t>[</w:t>
      </w:r>
      <w:r>
        <w:br/>
        <w:t>t_1(\boldsymbol{\theta})</w:t>
      </w:r>
      <w:r>
        <w:br/>
        <w:t>&lt;</w:t>
      </w:r>
      <w:r>
        <w:br/>
        <w:t>t_2(\boldsymbol{\theta})</w:t>
      </w:r>
      <w:r>
        <w:br/>
        <w:t>&lt;</w:t>
      </w:r>
      <w:r>
        <w:br/>
        <w:t>\cdots</w:t>
      </w:r>
      <w:r>
        <w:br/>
        <w:t>&lt;</w:t>
      </w:r>
      <w:r>
        <w:br/>
        <w:t>t_n(\boldsymbol{\theta})</w:t>
      </w:r>
      <w:r>
        <w:br/>
        <w:t>\tag{3.7215}</w:t>
      </w:r>
      <w:r>
        <w:br/>
        <w:t>]</w:t>
      </w:r>
    </w:p>
    <w:p w:rsidR="00C961E8" w:rsidRDefault="00C961E8" w:rsidP="00C961E8">
      <w:pPr>
        <w:pStyle w:val="StandardWeb"/>
      </w:pPr>
      <w:r>
        <w:rPr>
          <w:rStyle w:val="Fett"/>
        </w:rPr>
        <w:lastRenderedPageBreak/>
        <w:t>Word-LaTeX</w:t>
      </w:r>
    </w:p>
    <w:p w:rsidR="00C961E8" w:rsidRDefault="00C961E8" w:rsidP="00C961E8">
      <w:pPr>
        <w:pStyle w:val="HTMLVorformatiert"/>
        <w:rPr>
          <w:rStyle w:val="HTMLCode"/>
        </w:rPr>
      </w:pPr>
      <w:r>
        <w:rPr>
          <w:rStyle w:val="HTMLCode"/>
        </w:rPr>
        <w:t>t_1(\boldsymbol{\theta})&lt;t_2(\boldsymbol{\theta})&lt;\cdots&lt;t_n(\boldsymbol{\theta})\qquad\text{(3.7215)}</w:t>
      </w:r>
    </w:p>
    <w:p w:rsidR="00C961E8" w:rsidRDefault="00C961E8" w:rsidP="00C961E8">
      <w:pPr>
        <w:pStyle w:val="StandardWeb"/>
      </w:pPr>
      <w:r>
        <w:t>für alle relevanten Parametersätze erhalten bleibt.</w:t>
      </w:r>
    </w:p>
    <w:p w:rsidR="00C961E8" w:rsidRDefault="00E50336" w:rsidP="00C961E8">
      <w:r>
        <w:pict>
          <v:rect id="_x0000_i1485" style="width:0;height:1.5pt" o:hralign="center" o:hrstd="t" o:hr="t" fillcolor="#a0a0a0" stroked="f"/>
        </w:pict>
      </w:r>
    </w:p>
    <w:p w:rsidR="00C961E8" w:rsidRDefault="00C961E8" w:rsidP="00C961E8">
      <w:pPr>
        <w:pStyle w:val="berschrift2"/>
      </w:pPr>
      <w:r>
        <w:t>3.3.40.211 Ereignisreihenfolgewechsel</w:t>
      </w:r>
    </w:p>
    <w:p w:rsidR="00C961E8" w:rsidRDefault="00C961E8" w:rsidP="00C961E8">
      <w:pPr>
        <w:pStyle w:val="StandardWeb"/>
      </w:pPr>
      <w:r>
        <w:t>Ein Reihenfolgewechsel liegt vor, wenn</w:t>
      </w:r>
    </w:p>
    <w:p w:rsidR="00C961E8" w:rsidRDefault="00C961E8" w:rsidP="00C961E8">
      <w:pPr>
        <w:pStyle w:val="StandardWeb"/>
      </w:pPr>
      <w:r>
        <w:t>[</w:t>
      </w:r>
      <w:r>
        <w:br/>
        <w:t>t_i</w:t>
      </w:r>
      <w:r>
        <w:br/>
        <w:t>\left(</w:t>
      </w:r>
      <w:r>
        <w:br/>
        <w:t>\boldsymbol{\theta}_1</w:t>
      </w:r>
      <w:r>
        <w:br/>
        <w:t>\right)</w:t>
      </w:r>
      <w:r>
        <w:br/>
        <w:t>&lt;</w:t>
      </w:r>
      <w:r>
        <w:br/>
        <w:t>t_j</w:t>
      </w:r>
      <w:r>
        <w:br/>
        <w:t>\left(</w:t>
      </w:r>
      <w:r>
        <w:br/>
        <w:t>\boldsymbol{\theta}_1</w:t>
      </w:r>
      <w:r>
        <w:br/>
        <w:t>\right)</w:t>
      </w:r>
      <w:r>
        <w:br/>
        <w:t>\tag{3.7216}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t_i\left(\boldsymbol{\theta}_1\right)&lt;t_j\left(\boldsymbol{\theta}_1\right)\qquad\text{(3.7216)}</w:t>
      </w:r>
    </w:p>
    <w:p w:rsidR="00C961E8" w:rsidRDefault="00C961E8" w:rsidP="00C961E8">
      <w:pPr>
        <w:pStyle w:val="StandardWeb"/>
      </w:pPr>
      <w:r>
        <w:t>aber</w:t>
      </w:r>
    </w:p>
    <w:p w:rsidR="00C961E8" w:rsidRDefault="00C961E8" w:rsidP="00C961E8">
      <w:pPr>
        <w:pStyle w:val="StandardWeb"/>
      </w:pPr>
      <w:r>
        <w:t>[</w:t>
      </w:r>
      <w:r>
        <w:br/>
        <w:t>t_i</w:t>
      </w:r>
      <w:r>
        <w:br/>
        <w:t>\left(</w:t>
      </w:r>
      <w:r>
        <w:br/>
        <w:t>\boldsymbol{\theta}_2</w:t>
      </w:r>
      <w:r>
        <w:br/>
        <w:t>\right)</w:t>
      </w:r>
    </w:p>
    <w:p w:rsidR="00C961E8" w:rsidRDefault="00C961E8" w:rsidP="00C961E8">
      <w:pPr>
        <w:pStyle w:val="StandardWeb"/>
      </w:pPr>
      <w:r>
        <w:t>t_j</w:t>
      </w:r>
      <w:r>
        <w:br/>
        <w:t>\left(</w:t>
      </w:r>
      <w:r>
        <w:br/>
        <w:t>\boldsymbol{\theta}_2</w:t>
      </w:r>
      <w:r>
        <w:br/>
        <w:t>\right).</w:t>
      </w:r>
      <w:r>
        <w:br/>
        <w:t>\tag{3.7217}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t_i\left(\boldsymbol{\theta}_2\right)&gt;t_j\left(\boldsymbol{\theta}_2\right)\qquad\text{(3.7217)}</w:t>
      </w:r>
    </w:p>
    <w:p w:rsidR="00C961E8" w:rsidRDefault="00C961E8" w:rsidP="00C961E8">
      <w:pPr>
        <w:pStyle w:val="StandardWeb"/>
      </w:pPr>
      <w:r>
        <w:lastRenderedPageBreak/>
        <w:t>Ein solcher Wechsel kann die Interpretation kausaler oder funktionaler Abläufe wesentlich verändern.</w:t>
      </w:r>
    </w:p>
    <w:p w:rsidR="00C961E8" w:rsidRDefault="00E50336" w:rsidP="00C961E8">
      <w:r>
        <w:pict>
          <v:rect id="_x0000_i1486" style="width:0;height:1.5pt" o:hralign="center" o:hrstd="t" o:hr="t" fillcolor="#a0a0a0" stroked="f"/>
        </w:pict>
      </w:r>
    </w:p>
    <w:p w:rsidR="00C961E8" w:rsidRDefault="00C961E8" w:rsidP="00C961E8">
      <w:pPr>
        <w:pStyle w:val="berschrift2"/>
      </w:pPr>
      <w:r>
        <w:t>3.3.40.212 Robustheit von Vorwarnindikatoren</w:t>
      </w:r>
    </w:p>
    <w:p w:rsidR="00C961E8" w:rsidRDefault="00C961E8" w:rsidP="00C961E8">
      <w:pPr>
        <w:pStyle w:val="StandardWeb"/>
      </w:pPr>
      <w:r>
        <w:t>Ein Vorwarnindikator sei</w:t>
      </w:r>
    </w:p>
    <w:p w:rsidR="00C961E8" w:rsidRDefault="00C961E8" w:rsidP="00C961E8">
      <w:pPr>
        <w:pStyle w:val="StandardWeb"/>
      </w:pPr>
      <w:r>
        <w:t>[</w:t>
      </w:r>
      <w:r>
        <w:br/>
        <w:t>W_i</w:t>
      </w:r>
      <w:r>
        <w:br/>
        <w:t>\left(</w:t>
      </w:r>
      <w:r>
        <w:br/>
        <w:t>\boldsymbol{\theta}</w:t>
      </w:r>
      <w:r>
        <w:br/>
        <w:t>\right).</w:t>
      </w:r>
      <w:r>
        <w:br/>
        <w:t>\tag{3.7218}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W_i\left(\boldsymbol{\theta}\right)\qquad\text{(3.7218)}</w:t>
      </w:r>
    </w:p>
    <w:p w:rsidR="00C961E8" w:rsidRDefault="00C961E8" w:rsidP="00C961E8">
      <w:pPr>
        <w:pStyle w:val="StandardWeb"/>
      </w:pPr>
      <w:r>
        <w:t>Seine Richtung ist robust, wenn</w:t>
      </w:r>
    </w:p>
    <w:p w:rsidR="00C961E8" w:rsidRDefault="00C961E8" w:rsidP="00C961E8">
      <w:pPr>
        <w:pStyle w:val="StandardWeb"/>
      </w:pPr>
      <w:r>
        <w:t>[</w:t>
      </w:r>
      <w:r>
        <w:br/>
        <w:t>\frac{dW_i}{dt}</w:t>
      </w:r>
    </w:p>
    <w:p w:rsidR="00C961E8" w:rsidRDefault="00C961E8" w:rsidP="00C961E8">
      <w:pPr>
        <w:pStyle w:val="StandardWeb"/>
      </w:pPr>
      <w:r>
        <w:t>0</w:t>
      </w:r>
      <w:r>
        <w:br/>
        <w:t>\tag{3.7219}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\frac{dW_i}{dt}&gt;0\qquad\text{(3.7219)}</w:t>
      </w:r>
    </w:p>
    <w:p w:rsidR="00C961E8" w:rsidRDefault="00C961E8" w:rsidP="00C961E8">
      <w:pPr>
        <w:pStyle w:val="StandardWeb"/>
      </w:pPr>
      <w:r>
        <w:t>für einen relevanten Bereich von Parametersätzen erhalten bleibt.</w:t>
      </w:r>
    </w:p>
    <w:p w:rsidR="00C961E8" w:rsidRDefault="00E50336" w:rsidP="00C961E8">
      <w:r>
        <w:pict>
          <v:rect id="_x0000_i1487" style="width:0;height:1.5pt" o:hralign="center" o:hrstd="t" o:hr="t" fillcolor="#a0a0a0" stroked="f"/>
        </w:pict>
      </w:r>
    </w:p>
    <w:p w:rsidR="00C961E8" w:rsidRDefault="00C961E8" w:rsidP="00C961E8">
      <w:pPr>
        <w:pStyle w:val="berschrift2"/>
      </w:pPr>
      <w:r>
        <w:t>3.3.40.213 Mehrindikator-Robustheit</w:t>
      </w:r>
    </w:p>
    <w:p w:rsidR="00C961E8" w:rsidRDefault="00C961E8" w:rsidP="00C961E8">
      <w:pPr>
        <w:pStyle w:val="StandardWeb"/>
      </w:pPr>
      <w:r>
        <w:t>Für mehrere Warnindikatoren</w:t>
      </w:r>
    </w:p>
    <w:p w:rsidR="00C961E8" w:rsidRDefault="00C961E8" w:rsidP="00C961E8">
      <w:pPr>
        <w:pStyle w:val="StandardWeb"/>
      </w:pPr>
      <w:r>
        <w:t>[</w:t>
      </w:r>
      <w:r>
        <w:br/>
        <w:t>W_1,</w:t>
      </w:r>
      <w:r>
        <w:br/>
        <w:t>W_2,</w:t>
      </w:r>
      <w:r>
        <w:br/>
        <w:t>\ldots,</w:t>
      </w:r>
      <w:r>
        <w:br/>
        <w:t>W_m</w:t>
      </w:r>
      <w:r>
        <w:br/>
        <w:t>\tag{3.7220}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lastRenderedPageBreak/>
        <w:t>W_1,W_2,\ldots,W_m\qquad\text{(3.7220)}</w:t>
      </w:r>
    </w:p>
    <w:p w:rsidR="00C961E8" w:rsidRDefault="00C961E8" w:rsidP="00C961E8">
      <w:pPr>
        <w:pStyle w:val="StandardWeb"/>
      </w:pPr>
      <w:r>
        <w:t>kann eine konvergente Warnstruktur verlangt werden:</w:t>
      </w:r>
    </w:p>
    <w:p w:rsidR="00C961E8" w:rsidRDefault="00C961E8" w:rsidP="00C961E8">
      <w:pPr>
        <w:pStyle w:val="StandardWeb"/>
      </w:pPr>
      <w:r>
        <w:t>[</w:t>
      </w:r>
      <w:r>
        <w:br/>
        <w:t>\sum_{i=1}^{m}</w:t>
      </w:r>
      <w:r>
        <w:br/>
        <w:t>\mathbf{1}</w:t>
      </w:r>
      <w:r>
        <w:br/>
        <w:t>\left[</w:t>
      </w:r>
      <w:r>
        <w:br/>
        <w:t>C_{W_i}=1</w:t>
      </w:r>
      <w:r>
        <w:br/>
        <w:t>\right]</w:t>
      </w:r>
      <w:r>
        <w:br/>
        <w:t>\geq</w:t>
      </w:r>
      <w:r>
        <w:br/>
        <w:t>k_{\min}.</w:t>
      </w:r>
      <w:r>
        <w:br/>
        <w:t>\tag{3.7221}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\sum_{i=1}^{m}\mathbf{1}\left[C_{W_i}=1\right]\geq k_{\min}\qquad\text{(3.7221)}</w:t>
      </w:r>
    </w:p>
    <w:p w:rsidR="00C961E8" w:rsidRDefault="00C961E8" w:rsidP="00C961E8">
      <w:pPr>
        <w:pStyle w:val="StandardWeb"/>
      </w:pPr>
      <w:r>
        <w:t>Damit hängt ein Warnsignal nicht von einem einzigen sensitiven Indikator ab.</w:t>
      </w:r>
    </w:p>
    <w:p w:rsidR="00C961E8" w:rsidRDefault="00E50336" w:rsidP="00C961E8">
      <w:r>
        <w:pict>
          <v:rect id="_x0000_i1488" style="width:0;height:1.5pt" o:hralign="center" o:hrstd="t" o:hr="t" fillcolor="#a0a0a0" stroked="f"/>
        </w:pict>
      </w:r>
    </w:p>
    <w:p w:rsidR="00C961E8" w:rsidRDefault="00C961E8" w:rsidP="00C961E8">
      <w:pPr>
        <w:pStyle w:val="berschrift2"/>
      </w:pPr>
      <w:r>
        <w:t>3.3.40.214 Unsicherheit kritischer Grenzen</w:t>
      </w:r>
    </w:p>
    <w:p w:rsidR="00C961E8" w:rsidRDefault="00C961E8" w:rsidP="00C961E8">
      <w:pPr>
        <w:pStyle w:val="StandardWeb"/>
      </w:pPr>
      <w:r>
        <w:t>Auch ein kritischer Parameterwert ist selbst unsicher.</w:t>
      </w:r>
    </w:p>
    <w:p w:rsidR="00C961E8" w:rsidRDefault="00C961E8" w:rsidP="00C961E8">
      <w:pPr>
        <w:pStyle w:val="StandardWeb"/>
      </w:pPr>
      <w:r>
        <w:t>Ich schreibe</w:t>
      </w:r>
    </w:p>
    <w:p w:rsidR="00C961E8" w:rsidRDefault="00C961E8" w:rsidP="00C961E8">
      <w:pPr>
        <w:pStyle w:val="StandardWeb"/>
      </w:pPr>
      <w:r>
        <w:t>[</w:t>
      </w:r>
      <w:r>
        <w:br/>
        <w:t>\widehat{\theta}</w:t>
      </w:r>
      <w:r>
        <w:rPr>
          <w:rStyle w:val="Hervorhebung"/>
        </w:rPr>
        <w:t>{\mathrm{krit}}</w:t>
      </w:r>
      <w:r>
        <w:rPr>
          <w:i/>
          <w:iCs/>
        </w:rPr>
        <w:br/>
      </w:r>
      <w:r>
        <w:rPr>
          <w:rStyle w:val="Hervorhebung"/>
        </w:rPr>
        <w:t>\pm</w:t>
      </w:r>
      <w:r>
        <w:rPr>
          <w:i/>
          <w:iCs/>
        </w:rPr>
        <w:br/>
      </w:r>
      <w:r>
        <w:rPr>
          <w:rStyle w:val="Hervorhebung"/>
        </w:rPr>
        <w:t>u</w:t>
      </w:r>
      <w:r>
        <w:t>{\theta_{\mathrm{krit}}}.</w:t>
      </w:r>
      <w:r>
        <w:br/>
        <w:t>\tag{3.7222}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\widehat{\theta}_{\mathrm{krit}}\pm u_{\theta_{\mathrm{krit}}}\qquad\text{(3.7222)}</w:t>
      </w:r>
    </w:p>
    <w:p w:rsidR="00C961E8" w:rsidRDefault="00C961E8" w:rsidP="00C961E8">
      <w:pPr>
        <w:pStyle w:val="StandardWeb"/>
      </w:pPr>
      <w:r>
        <w:t>Der Abstand zum geschätzten kritischen Wert allein reicht daher nicht aus.</w:t>
      </w:r>
    </w:p>
    <w:p w:rsidR="00C961E8" w:rsidRDefault="00E50336" w:rsidP="00C961E8">
      <w:r>
        <w:pict>
          <v:rect id="_x0000_i1489" style="width:0;height:1.5pt" o:hralign="center" o:hrstd="t" o:hr="t" fillcolor="#a0a0a0" stroked="f"/>
        </w:pict>
      </w:r>
    </w:p>
    <w:p w:rsidR="00C961E8" w:rsidRDefault="00C961E8" w:rsidP="00C961E8">
      <w:pPr>
        <w:pStyle w:val="berschrift2"/>
      </w:pPr>
      <w:r>
        <w:t>3.3.40.215 Effektive Distanz zur kritischen Grenze</w:t>
      </w:r>
    </w:p>
    <w:p w:rsidR="00C961E8" w:rsidRDefault="00C961E8" w:rsidP="00C961E8">
      <w:pPr>
        <w:pStyle w:val="StandardWeb"/>
      </w:pPr>
      <w:r>
        <w:t>Eine konservative effektive Distanz kann definiert werden als</w:t>
      </w:r>
    </w:p>
    <w:p w:rsidR="00C961E8" w:rsidRDefault="00C961E8" w:rsidP="00C961E8">
      <w:pPr>
        <w:pStyle w:val="berschrift1"/>
      </w:pPr>
      <w:r>
        <w:lastRenderedPageBreak/>
        <w:t>[</w:t>
      </w:r>
      <w:r>
        <w:br/>
        <w:t>d_{\mathrm{krit}}^{\mathrm{eff}}</w:t>
      </w:r>
    </w:p>
    <w:p w:rsidR="00C961E8" w:rsidRDefault="00C961E8" w:rsidP="00C961E8">
      <w:pPr>
        <w:pStyle w:val="berschrift2"/>
      </w:pPr>
      <w:r>
        <w:t>\max</w:t>
      </w:r>
      <w:r>
        <w:br/>
        <w:t>\left{</w:t>
      </w:r>
      <w:r>
        <w:br/>
        <w:t>0,</w:t>
      </w:r>
      <w:r>
        <w:br/>
        <w:t>\left|</w:t>
      </w:r>
      <w:r>
        <w:br/>
        <w:t>\widehat{\theta}</w:t>
      </w:r>
    </w:p>
    <w:p w:rsidR="00C961E8" w:rsidRDefault="00C961E8" w:rsidP="00C961E8">
      <w:pPr>
        <w:pStyle w:val="berschrift2"/>
      </w:pPr>
      <w:r>
        <w:t>\widehat{\theta}_{\mathrm{krit}}</w:t>
      </w:r>
      <w:r>
        <w:br/>
        <w:t>\right|</w:t>
      </w:r>
    </w:p>
    <w:p w:rsidR="00C961E8" w:rsidRDefault="00C961E8" w:rsidP="00C961E8">
      <w:pPr>
        <w:pStyle w:val="berschrift2"/>
      </w:pPr>
      <w:r>
        <w:t>u_{\theta}</w:t>
      </w:r>
    </w:p>
    <w:p w:rsidR="00C961E8" w:rsidRDefault="00C961E8" w:rsidP="00C961E8">
      <w:pPr>
        <w:pStyle w:val="StandardWeb"/>
      </w:pPr>
      <w:r>
        <w:t>u_{\theta_{\mathrm{krit}}}</w:t>
      </w:r>
      <w:r>
        <w:br/>
        <w:t>\right}.</w:t>
      </w:r>
      <w:r>
        <w:br/>
        <w:t>\tag{3.7223}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d_{\mathrm{krit}}^{\mathrm{eff}}=\max\left\{0,\left|\widehat{\theta}-\widehat{\theta}_{\mathrm{krit}}\right|-u_{\theta}-u_{\theta_{\mathrm{krit}}}\right\}\qquad\text{(3.7223)}</w:t>
      </w:r>
    </w:p>
    <w:p w:rsidR="00C961E8" w:rsidRDefault="00C961E8" w:rsidP="00C961E8">
      <w:pPr>
        <w:pStyle w:val="StandardWeb"/>
      </w:pPr>
      <w:r>
        <w:t>Für</w:t>
      </w:r>
    </w:p>
    <w:p w:rsidR="00C961E8" w:rsidRDefault="00C961E8" w:rsidP="00C961E8">
      <w:pPr>
        <w:pStyle w:val="berschrift1"/>
      </w:pPr>
      <w:r>
        <w:t>[</w:t>
      </w:r>
      <w:r>
        <w:br/>
        <w:t>d_{\mathrm{krit}}^{\mathrm{eff}}</w:t>
      </w:r>
    </w:p>
    <w:p w:rsidR="00C961E8" w:rsidRDefault="00C961E8" w:rsidP="00C961E8">
      <w:pPr>
        <w:pStyle w:val="StandardWeb"/>
      </w:pPr>
      <w:r>
        <w:t>0</w:t>
      </w:r>
      <w:r>
        <w:br/>
        <w:t>\tag{3.7224}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d_{\mathrm{krit}}^{\mathrm{eff}}=0\qquad\text{(3.7224)}</w:t>
      </w:r>
    </w:p>
    <w:p w:rsidR="00C961E8" w:rsidRDefault="00C961E8" w:rsidP="00C961E8">
      <w:pPr>
        <w:pStyle w:val="StandardWeb"/>
      </w:pPr>
      <w:r>
        <w:t>überlappen die Unsicherheitsbereiche mit der kritischen Grenze.</w:t>
      </w:r>
    </w:p>
    <w:p w:rsidR="00C961E8" w:rsidRDefault="00E50336" w:rsidP="00C961E8">
      <w:r>
        <w:pict>
          <v:rect id="_x0000_i1490" style="width:0;height:1.5pt" o:hralign="center" o:hrstd="t" o:hr="t" fillcolor="#a0a0a0" stroked="f"/>
        </w:pict>
      </w:r>
    </w:p>
    <w:p w:rsidR="00C961E8" w:rsidRDefault="00C961E8" w:rsidP="00C961E8">
      <w:pPr>
        <w:pStyle w:val="berschrift2"/>
      </w:pPr>
      <w:r>
        <w:t>3.3.40.216 Robustheit einer Bifurkationsaussage</w:t>
      </w:r>
    </w:p>
    <w:p w:rsidR="00C961E8" w:rsidRDefault="00C961E8" w:rsidP="00C961E8">
      <w:pPr>
        <w:pStyle w:val="StandardWeb"/>
      </w:pPr>
      <w:r>
        <w:t>Eine Bifurkationsaussage sollte daher nicht nur den geschätzten kritischen Wert, sondern auch seine Unsicherheit enthalten.</w:t>
      </w:r>
    </w:p>
    <w:p w:rsidR="00C961E8" w:rsidRDefault="00C961E8" w:rsidP="00C961E8">
      <w:pPr>
        <w:pStyle w:val="StandardWeb"/>
      </w:pPr>
      <w:r>
        <w:lastRenderedPageBreak/>
        <w:t>Ich schreibe</w:t>
      </w:r>
    </w:p>
    <w:p w:rsidR="00C961E8" w:rsidRDefault="00C961E8" w:rsidP="00C961E8">
      <w:pPr>
        <w:pStyle w:val="berschrift1"/>
      </w:pPr>
      <w:r>
        <w:t>[</w:t>
      </w:r>
      <w:r>
        <w:br/>
        <w:t>\operatorname{BifResult}</w:t>
      </w:r>
    </w:p>
    <w:p w:rsidR="00C961E8" w:rsidRDefault="00C961E8" w:rsidP="00C961E8">
      <w:pPr>
        <w:pStyle w:val="StandardWeb"/>
      </w:pPr>
      <w:r>
        <w:t>\left(</w:t>
      </w:r>
      <w:r>
        <w:br/>
        <w:t>\widehat{\theta}</w:t>
      </w:r>
      <w:r>
        <w:rPr>
          <w:rStyle w:val="Hervorhebung"/>
        </w:rPr>
        <w:t>{\mathrm{bif}},</w:t>
      </w:r>
      <w:r>
        <w:rPr>
          <w:i/>
          <w:iCs/>
        </w:rPr>
        <w:br/>
      </w:r>
      <w:r>
        <w:rPr>
          <w:rStyle w:val="Hervorhebung"/>
        </w:rPr>
        <w:t>u</w:t>
      </w:r>
      <w:r>
        <w:t>{\theta_{\mathrm{bif}}},</w:t>
      </w:r>
      <w:r>
        <w:br/>
        <w:t>\mathcal{D}</w:t>
      </w:r>
      <w:r>
        <w:rPr>
          <w:rStyle w:val="Hervorhebung"/>
        </w:rPr>
        <w:t>{F}^{(-)},</w:t>
      </w:r>
      <w:r>
        <w:rPr>
          <w:i/>
          <w:iCs/>
        </w:rPr>
        <w:br/>
      </w:r>
      <w:r>
        <w:rPr>
          <w:rStyle w:val="Hervorhebung"/>
        </w:rPr>
        <w:t>\mathcal{D}</w:t>
      </w:r>
      <w:r>
        <w:t>{F}^{(+)}</w:t>
      </w:r>
      <w:r>
        <w:br/>
        <w:t>\right).</w:t>
      </w:r>
      <w:r>
        <w:br/>
        <w:t>\tag{3.7225}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\operatorname{BifResult}=\left(\widehat{\theta}_{\mathrm{bif}},u_{\theta_{\mathrm{bif}}},\mathcal{D}_{F}^{(-)},\mathcal{D}_{F}^{(+)}\right)\qquad\text{(3.7225)}</w:t>
      </w:r>
    </w:p>
    <w:p w:rsidR="00C961E8" w:rsidRDefault="00E50336" w:rsidP="00C961E8">
      <w:r>
        <w:pict>
          <v:rect id="_x0000_i1491" style="width:0;height:1.5pt" o:hralign="center" o:hrstd="t" o:hr="t" fillcolor="#a0a0a0" stroked="f"/>
        </w:pict>
      </w:r>
    </w:p>
    <w:p w:rsidR="00C961E8" w:rsidRDefault="00C961E8" w:rsidP="00C961E8">
      <w:pPr>
        <w:pStyle w:val="berschrift2"/>
      </w:pPr>
      <w:r>
        <w:t>3.3.40.217 Parameterrobustheit und Szenarien</w:t>
      </w:r>
    </w:p>
    <w:p w:rsidR="00C961E8" w:rsidRDefault="00C961E8" w:rsidP="00C961E8">
      <w:pPr>
        <w:pStyle w:val="StandardWeb"/>
      </w:pPr>
      <w:r>
        <w:t>Nicht immer können Parameter probabilistisch beschrieben werden.</w:t>
      </w:r>
    </w:p>
    <w:p w:rsidR="00C961E8" w:rsidRDefault="00C961E8" w:rsidP="00C961E8">
      <w:pPr>
        <w:pStyle w:val="StandardWeb"/>
      </w:pPr>
      <w:r>
        <w:t>In solchen Fällen können Szenarien verwendet werden:</w:t>
      </w:r>
    </w:p>
    <w:p w:rsidR="00C961E8" w:rsidRDefault="00C961E8" w:rsidP="00C961E8">
      <w:pPr>
        <w:pStyle w:val="berschrift1"/>
      </w:pPr>
      <w:r>
        <w:t>[</w:t>
      </w:r>
      <w:r>
        <w:br/>
        <w:t>\mathfrak{S}_{\theta}</w:t>
      </w:r>
    </w:p>
    <w:p w:rsidR="00C961E8" w:rsidRDefault="00C961E8" w:rsidP="00C961E8">
      <w:pPr>
        <w:pStyle w:val="StandardWeb"/>
      </w:pPr>
      <w:r>
        <w:t>\left{</w:t>
      </w:r>
      <w:r>
        <w:br/>
        <w:t>\boldsymbol{\theta}^{(\mathrm{low})},</w:t>
      </w:r>
      <w:r>
        <w:br/>
        <w:t>\boldsymbol{\theta}^{(\mathrm{ref})},</w:t>
      </w:r>
      <w:r>
        <w:br/>
        <w:t>\boldsymbol{\theta}^{(\mathrm{high})}</w:t>
      </w:r>
      <w:r>
        <w:br/>
        <w:t>\right}.</w:t>
      </w:r>
      <w:r>
        <w:br/>
        <w:t>\tag{3.7226}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\mathfrak{S}_{\theta}=\left\{\boldsymbol{\theta}^{(\mathrm{low})},\boldsymbol{\theta}^{(\mathrm{ref})},\boldsymbol{\theta}^{(\mathrm{high})}\right\}\qquad\text{(3.7226)}</w:t>
      </w:r>
    </w:p>
    <w:p w:rsidR="00C961E8" w:rsidRDefault="00C961E8" w:rsidP="00C961E8">
      <w:pPr>
        <w:pStyle w:val="StandardWeb"/>
      </w:pPr>
      <w:r>
        <w:t>Für jedes Szenario wird die relevante Aussage bestimmt.</w:t>
      </w:r>
    </w:p>
    <w:p w:rsidR="00C961E8" w:rsidRDefault="00E50336" w:rsidP="00C961E8">
      <w:r>
        <w:pict>
          <v:rect id="_x0000_i1492" style="width:0;height:1.5pt" o:hralign="center" o:hrstd="t" o:hr="t" fillcolor="#a0a0a0" stroked="f"/>
        </w:pict>
      </w:r>
    </w:p>
    <w:p w:rsidR="00C961E8" w:rsidRDefault="00C961E8" w:rsidP="00C961E8">
      <w:pPr>
        <w:pStyle w:val="berschrift2"/>
      </w:pPr>
      <w:r>
        <w:lastRenderedPageBreak/>
        <w:t>3.3.40.218 Szenarienrobustheit</w:t>
      </w:r>
    </w:p>
    <w:p w:rsidR="00C961E8" w:rsidRDefault="00C961E8" w:rsidP="00C961E8">
      <w:pPr>
        <w:pStyle w:val="StandardWeb"/>
      </w:pPr>
      <w:r>
        <w:t>Die Aussage ist szenarienrobust, wenn</w:t>
      </w:r>
    </w:p>
    <w:p w:rsidR="00C961E8" w:rsidRDefault="00C961E8" w:rsidP="00C961E8">
      <w:pPr>
        <w:pStyle w:val="StandardWeb"/>
      </w:pPr>
      <w:r>
        <w:t>[</w:t>
      </w:r>
      <w:r>
        <w:br/>
        <w:t>A_F^{(\mathrm{low})}</w:t>
      </w:r>
      <w:r>
        <w:br/>
        <w:t>\sim_A</w:t>
      </w:r>
      <w:r>
        <w:br/>
        <w:t>A_F^{(\mathrm{ref})}</w:t>
      </w:r>
      <w:r>
        <w:br/>
        <w:t>\sim_A</w:t>
      </w:r>
      <w:r>
        <w:br/>
        <w:t>A_F^{(\mathrm{high})}.</w:t>
      </w:r>
      <w:r>
        <w:br/>
        <w:t>\tag{3.7227}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A_F^{(\mathrm{low})}\sim_A A_F^{(\mathrm{ref})}\sim_A A_F^{(\mathrm{high})}\qquad\text{(3.7227)}</w:t>
      </w:r>
    </w:p>
    <w:p w:rsidR="00C961E8" w:rsidRDefault="00C961E8" w:rsidP="00C961E8">
      <w:pPr>
        <w:pStyle w:val="StandardWeb"/>
      </w:pPr>
      <w:r>
        <w:t>Diese Form ist schwächer als eine vollständige globale Parameterraumanalyse, kann aber bei begrenzter Datenlage methodisch transparent sein.</w:t>
      </w:r>
    </w:p>
    <w:p w:rsidR="00C961E8" w:rsidRDefault="00E50336" w:rsidP="00C961E8">
      <w:r>
        <w:pict>
          <v:rect id="_x0000_i1493" style="width:0;height:1.5pt" o:hralign="center" o:hrstd="t" o:hr="t" fillcolor="#a0a0a0" stroked="f"/>
        </w:pict>
      </w:r>
    </w:p>
    <w:p w:rsidR="00C961E8" w:rsidRDefault="00C961E8" w:rsidP="00C961E8">
      <w:pPr>
        <w:pStyle w:val="berschrift2"/>
      </w:pPr>
      <w:r>
        <w:t>3.3.40.219 Worst-Case-Robustheit</w:t>
      </w:r>
    </w:p>
    <w:p w:rsidR="00C961E8" w:rsidRDefault="00C961E8" w:rsidP="00C961E8">
      <w:pPr>
        <w:pStyle w:val="StandardWeb"/>
      </w:pPr>
      <w:r>
        <w:t>Eine konservative Bewertung betrachtet den ungünstigsten zulässigen Parametersatz:</w:t>
      </w:r>
    </w:p>
    <w:p w:rsidR="00C961E8" w:rsidRDefault="00C961E8" w:rsidP="00C961E8">
      <w:pPr>
        <w:pStyle w:val="berschrift1"/>
      </w:pPr>
      <w:r>
        <w:t>[</w:t>
      </w:r>
      <w:r>
        <w:br/>
        <w:t>Y_{\mathrm{worst}}</w:t>
      </w:r>
    </w:p>
    <w:p w:rsidR="00C961E8" w:rsidRDefault="00C961E8" w:rsidP="00C961E8">
      <w:pPr>
        <w:pStyle w:val="StandardWeb"/>
      </w:pPr>
      <w:r>
        <w:t>\inf_{\boldsymbol{\theta}\in\Theta_{\mathrm{zul}}}</w:t>
      </w:r>
      <w:r>
        <w:br/>
        <w:t>Y_F</w:t>
      </w:r>
      <w:r>
        <w:br/>
        <w:t>\left(</w:t>
      </w:r>
      <w:r>
        <w:br/>
        <w:t>\boldsymbol{\theta}</w:t>
      </w:r>
      <w:r>
        <w:br/>
        <w:t>\right).</w:t>
      </w:r>
      <w:r>
        <w:br/>
        <w:t>\tag{3.7228}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Y_{\mathrm{worst}}=\inf_{\boldsymbol{\theta}\in\Theta_{\mathrm{zul}}}Y_F\left(\boldsymbol{\theta}\right)\qquad\text{(3.7228)}</w:t>
      </w:r>
    </w:p>
    <w:p w:rsidR="00C961E8" w:rsidRDefault="00C961E8" w:rsidP="00C961E8">
      <w:pPr>
        <w:pStyle w:val="StandardWeb"/>
      </w:pPr>
      <w:r>
        <w:t>oder entsprechend</w:t>
      </w:r>
    </w:p>
    <w:p w:rsidR="00C961E8" w:rsidRDefault="00C961E8" w:rsidP="00C961E8">
      <w:pPr>
        <w:pStyle w:val="berschrift1"/>
      </w:pPr>
      <w:r>
        <w:t>[</w:t>
      </w:r>
      <w:r>
        <w:br/>
        <w:t>Y_{\mathrm{best}}</w:t>
      </w:r>
    </w:p>
    <w:p w:rsidR="00C961E8" w:rsidRDefault="00C961E8" w:rsidP="00C961E8">
      <w:pPr>
        <w:pStyle w:val="StandardWeb"/>
      </w:pPr>
      <w:r>
        <w:lastRenderedPageBreak/>
        <w:t>\sup_{\boldsymbol{\theta}\in\Theta_{\mathrm{zul}}}</w:t>
      </w:r>
      <w:r>
        <w:br/>
        <w:t>Y_F</w:t>
      </w:r>
      <w:r>
        <w:br/>
        <w:t>\left(</w:t>
      </w:r>
      <w:r>
        <w:br/>
        <w:t>\boldsymbol{\theta}</w:t>
      </w:r>
      <w:r>
        <w:br/>
        <w:t>\right).</w:t>
      </w:r>
      <w:r>
        <w:br/>
        <w:t>\tag{3.7229}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Y_{\mathrm{best}}=\sup_{\boldsymbol{\theta}\in\Theta_{\mathrm{zul}}}Y_F\left(\boldsymbol{\theta}\right)\qquad\text{(3.7229)}</w:t>
      </w:r>
    </w:p>
    <w:p w:rsidR="00C961E8" w:rsidRDefault="00C961E8" w:rsidP="00C961E8">
      <w:pPr>
        <w:pStyle w:val="StandardWeb"/>
      </w:pPr>
      <w:r>
        <w:t>Der resultierende Bereich lautet</w:t>
      </w:r>
    </w:p>
    <w:p w:rsidR="00C961E8" w:rsidRDefault="00C961E8" w:rsidP="00C961E8">
      <w:pPr>
        <w:pStyle w:val="berschrift1"/>
      </w:pPr>
      <w:r>
        <w:t>[</w:t>
      </w:r>
      <w:r>
        <w:br/>
        <w:t>I_Y</w:t>
      </w:r>
    </w:p>
    <w:p w:rsidR="00C961E8" w:rsidRDefault="00C961E8" w:rsidP="00C961E8">
      <w:pPr>
        <w:pStyle w:val="StandardWeb"/>
      </w:pPr>
      <w:r>
        <w:t>\left[</w:t>
      </w:r>
      <w:r>
        <w:br/>
        <w:t>Y_{\mathrm{worst}},</w:t>
      </w:r>
      <w:r>
        <w:br/>
        <w:t>Y_{\mathrm{best}}</w:t>
      </w:r>
      <w:r>
        <w:br/>
        <w:t>\right].</w:t>
      </w:r>
      <w:r>
        <w:br/>
        <w:t>\tag{3.7230}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I_Y=\left[Y_{\mathrm{worst}},Y_{\mathrm{best}}\right]\qquad\text{(3.7230)}</w:t>
      </w:r>
    </w:p>
    <w:p w:rsidR="00C961E8" w:rsidRDefault="00E50336" w:rsidP="00C961E8">
      <w:r>
        <w:pict>
          <v:rect id="_x0000_i1494" style="width:0;height:1.5pt" o:hralign="center" o:hrstd="t" o:hr="t" fillcolor="#a0a0a0" stroked="f"/>
        </w:pict>
      </w:r>
    </w:p>
    <w:p w:rsidR="00C961E8" w:rsidRDefault="00C961E8" w:rsidP="00C961E8">
      <w:pPr>
        <w:pStyle w:val="berschrift2"/>
      </w:pPr>
      <w:r>
        <w:t>3.3.40.220 Intervallrobustheit</w:t>
      </w:r>
    </w:p>
    <w:p w:rsidR="00C961E8" w:rsidRDefault="00C961E8" w:rsidP="00C961E8">
      <w:pPr>
        <w:pStyle w:val="StandardWeb"/>
      </w:pPr>
      <w:r>
        <w:t>Eine Aussage ist intervallrobust, wenn der gesamte Ergebnisbereich innerhalb derselben Aussageklasse liegt:</w:t>
      </w:r>
    </w:p>
    <w:p w:rsidR="00C961E8" w:rsidRDefault="00C961E8" w:rsidP="00C961E8">
      <w:pPr>
        <w:pStyle w:val="berschrift1"/>
      </w:pPr>
      <w:r>
        <w:t>[</w:t>
      </w:r>
      <w:r>
        <w:br/>
        <w:t>\operatorname{Klasse}_{A}</w:t>
      </w:r>
      <w:r>
        <w:br/>
        <w:t>\left(</w:t>
      </w:r>
      <w:r>
        <w:br/>
        <w:t>Y</w:t>
      </w:r>
      <w:r>
        <w:br/>
        <w:t>\right)</w:t>
      </w:r>
    </w:p>
    <w:p w:rsidR="00C961E8" w:rsidRDefault="00C961E8" w:rsidP="00C961E8">
      <w:pPr>
        <w:pStyle w:val="StandardWeb"/>
      </w:pPr>
      <w:r>
        <w:t>L^\ast</w:t>
      </w:r>
      <w:r>
        <w:br/>
        <w:t>\qquad</w:t>
      </w:r>
      <w:r>
        <w:br/>
        <w:t>\forall</w:t>
      </w:r>
      <w:r>
        <w:br/>
        <w:t>Y</w:t>
      </w:r>
      <w:r>
        <w:br/>
        <w:t>\in</w:t>
      </w:r>
      <w:r>
        <w:br/>
      </w:r>
      <w:r>
        <w:lastRenderedPageBreak/>
        <w:t>I_Y.</w:t>
      </w:r>
      <w:r>
        <w:br/>
        <w:t>\tag{3.7231}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\operatorname{Klasse}_{A}\left(Y\right)=L^{\ast}\qquad\forall Y\in I_Y\qquad\text{(3.7231)}</w:t>
      </w:r>
    </w:p>
    <w:p w:rsidR="00C961E8" w:rsidRDefault="00C961E8" w:rsidP="00C961E8">
      <w:pPr>
        <w:pStyle w:val="StandardWeb"/>
      </w:pPr>
      <w:r>
        <w:t>Diese Form benötigt keine Wahrscheinlichkeitsverteilung über Parameter.</w:t>
      </w:r>
    </w:p>
    <w:p w:rsidR="00C961E8" w:rsidRDefault="00E50336" w:rsidP="00C961E8">
      <w:r>
        <w:pict>
          <v:rect id="_x0000_i1495" style="width:0;height:1.5pt" o:hralign="center" o:hrstd="t" o:hr="t" fillcolor="#a0a0a0" stroked="f"/>
        </w:pict>
      </w:r>
    </w:p>
    <w:p w:rsidR="00C961E8" w:rsidRDefault="00C961E8" w:rsidP="00C961E8">
      <w:pPr>
        <w:pStyle w:val="berschrift2"/>
      </w:pPr>
      <w:r>
        <w:t>3.3.40.221 Probabilistische Robustheit</w:t>
      </w:r>
    </w:p>
    <w:p w:rsidR="00C961E8" w:rsidRDefault="00C961E8" w:rsidP="00C961E8">
      <w:pPr>
        <w:pStyle w:val="StandardWeb"/>
      </w:pPr>
      <w:r>
        <w:t>Wenn eine Parameterverteilung vorliegt, kann dagegen definiert werden</w:t>
      </w:r>
    </w:p>
    <w:p w:rsidR="00C961E8" w:rsidRDefault="00C961E8" w:rsidP="00C961E8">
      <w:pPr>
        <w:pStyle w:val="berschrift1"/>
      </w:pPr>
      <w:r>
        <w:t>[</w:t>
      </w:r>
      <w:r>
        <w:br/>
        <w:t>R_{\theta}^{\mathrm{prob}}</w:t>
      </w:r>
    </w:p>
    <w:p w:rsidR="00C961E8" w:rsidRDefault="00C961E8" w:rsidP="00C961E8">
      <w:pPr>
        <w:pStyle w:val="berschrift1"/>
      </w:pPr>
      <w:r>
        <w:t>\Pr</w:t>
      </w:r>
      <w:r>
        <w:br/>
        <w:t>\left[</w:t>
      </w:r>
      <w:r>
        <w:br/>
        <w:t>\operatorname{Klasse}_{A}</w:t>
      </w:r>
      <w:r>
        <w:br/>
        <w:t>\left(</w:t>
      </w:r>
      <w:r>
        <w:br/>
        <w:t>A_F(\boldsymbol{\theta})</w:t>
      </w:r>
      <w:r>
        <w:br/>
        <w:t>\right)</w:t>
      </w:r>
    </w:p>
    <w:p w:rsidR="00C961E8" w:rsidRDefault="00C961E8" w:rsidP="00C961E8">
      <w:pPr>
        <w:pStyle w:val="StandardWeb"/>
      </w:pPr>
      <w:r>
        <w:t>L^\ast</w:t>
      </w:r>
      <w:r>
        <w:br/>
        <w:t>\right].</w:t>
      </w:r>
      <w:r>
        <w:br/>
        <w:t>\tag{3.7232}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R_{\theta}^{\mathrm{prob}}=\Pr\left[\operatorname{Klasse}_{A}\left(A_F(\boldsymbol{\theta})\right)=L^{\ast}\right]\qquad\text{(3.7232)}</w:t>
      </w:r>
    </w:p>
    <w:p w:rsidR="00C961E8" w:rsidRDefault="00C961E8" w:rsidP="00C961E8">
      <w:pPr>
        <w:pStyle w:val="StandardWeb"/>
      </w:pPr>
      <w:r>
        <w:t>Damit wird Robustheit als Wahrscheinlichkeit der Aussageinvarianz interpretiert.</w:t>
      </w:r>
    </w:p>
    <w:p w:rsidR="00C961E8" w:rsidRDefault="00E50336" w:rsidP="00C961E8">
      <w:r>
        <w:pict>
          <v:rect id="_x0000_i1496" style="width:0;height:1.5pt" o:hralign="center" o:hrstd="t" o:hr="t" fillcolor="#a0a0a0" stroked="f"/>
        </w:pict>
      </w:r>
    </w:p>
    <w:p w:rsidR="00C961E8" w:rsidRDefault="00C961E8" w:rsidP="00C961E8">
      <w:pPr>
        <w:pStyle w:val="berschrift2"/>
      </w:pPr>
      <w:r>
        <w:t>3.3.40.222 Deterministische und probabilistische Robustheit</w:t>
      </w:r>
    </w:p>
    <w:p w:rsidR="00C961E8" w:rsidRDefault="00C961E8" w:rsidP="00C961E8">
      <w:pPr>
        <w:pStyle w:val="StandardWeb"/>
      </w:pPr>
      <w:r>
        <w:t>Ich unterscheide daher</w:t>
      </w:r>
    </w:p>
    <w:p w:rsidR="00C961E8" w:rsidRDefault="00C961E8" w:rsidP="00C961E8">
      <w:pPr>
        <w:pStyle w:val="StandardWeb"/>
      </w:pPr>
      <w:r>
        <w:lastRenderedPageBreak/>
        <w:t>[</w:t>
      </w:r>
      <w:r>
        <w:br/>
        <w:t>R_{\theta}^{\mathrm{det}}</w:t>
      </w:r>
      <w:r>
        <w:br/>
        <w:t>\tag{3.7233}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R_{\theta}^{\mathrm{det}}\qquad\text{(3.7233)}</w:t>
      </w:r>
    </w:p>
    <w:p w:rsidR="00C961E8" w:rsidRDefault="00C961E8" w:rsidP="00C961E8">
      <w:pPr>
        <w:pStyle w:val="StandardWeb"/>
      </w:pPr>
      <w:r>
        <w:t>von</w:t>
      </w:r>
    </w:p>
    <w:p w:rsidR="00C961E8" w:rsidRDefault="00C961E8" w:rsidP="00C961E8">
      <w:pPr>
        <w:pStyle w:val="StandardWeb"/>
      </w:pPr>
      <w:r>
        <w:t>[</w:t>
      </w:r>
      <w:r>
        <w:br/>
        <w:t>R_{\theta}^{\mathrm{prob}}.</w:t>
      </w:r>
      <w:r>
        <w:br/>
        <w:t>\tag{3.7234}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R_{\theta}^{\mathrm{prob}}\qquad\text{(3.7234)}</w:t>
      </w:r>
    </w:p>
    <w:p w:rsidR="00C961E8" w:rsidRDefault="00C961E8" w:rsidP="00C961E8">
      <w:pPr>
        <w:pStyle w:val="StandardWeb"/>
      </w:pPr>
      <w:r>
        <w:t>Die erste Form prüft einen vollständig festgelegten zulässigen Bereich, die zweite gewichtet Parameterregionen nach einer Wahrscheinlichkeitsverteilung.</w:t>
      </w:r>
    </w:p>
    <w:p w:rsidR="00C961E8" w:rsidRDefault="00E50336" w:rsidP="00C961E8">
      <w:r>
        <w:pict>
          <v:rect id="_x0000_i1497" style="width:0;height:1.5pt" o:hralign="center" o:hrstd="t" o:hr="t" fillcolor="#a0a0a0" stroked="f"/>
        </w:pict>
      </w:r>
    </w:p>
    <w:p w:rsidR="00C961E8" w:rsidRDefault="00C961E8" w:rsidP="00C961E8">
      <w:pPr>
        <w:pStyle w:val="berschrift2"/>
      </w:pPr>
      <w:r>
        <w:t>3.3.40.223 Verteilungsabhängigkeit probabilistischer Robustheit</w:t>
      </w:r>
    </w:p>
    <w:p w:rsidR="00C961E8" w:rsidRDefault="00C961E8" w:rsidP="00C961E8">
      <w:pPr>
        <w:pStyle w:val="StandardWeb"/>
      </w:pPr>
      <w:r>
        <w:t>Probabilistische Robustheit hängt selbst von der angenommenen Parameterverteilung ab:</w:t>
      </w:r>
    </w:p>
    <w:p w:rsidR="00C961E8" w:rsidRDefault="00C961E8" w:rsidP="00C961E8">
      <w:pPr>
        <w:pStyle w:val="berschrift1"/>
      </w:pPr>
      <w:r>
        <w:t>[</w:t>
      </w:r>
      <w:r>
        <w:br/>
        <w:t>R_{\theta}^{\mathrm{prob}}</w:t>
      </w:r>
    </w:p>
    <w:p w:rsidR="00C961E8" w:rsidRDefault="00C961E8" w:rsidP="00C961E8">
      <w:pPr>
        <w:pStyle w:val="StandardWeb"/>
      </w:pPr>
      <w:r>
        <w:t>R_{\theta}^{\mathrm{prob}}</w:t>
      </w:r>
      <w:r>
        <w:br/>
        <w:t>\left(</w:t>
      </w:r>
      <w:r>
        <w:br/>
        <w:t>p_{\Theta}</w:t>
      </w:r>
      <w:r>
        <w:br/>
        <w:t>\right).</w:t>
      </w:r>
      <w:r>
        <w:br/>
        <w:t>\tag{3.7235}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R_{\theta}^{\mathrm{prob}}=R_{\theta}^{\mathrm{prob}}\left(p_{\Theta}\right)\qquad\text{(3.7235)}</w:t>
      </w:r>
    </w:p>
    <w:p w:rsidR="00C961E8" w:rsidRDefault="00C961E8" w:rsidP="00C961E8">
      <w:pPr>
        <w:pStyle w:val="StandardWeb"/>
      </w:pPr>
      <w:r>
        <w:t>Damit wird die Wahl von (p_{\Theta}) selbst zu einer methodischen Annahme.</w:t>
      </w:r>
    </w:p>
    <w:p w:rsidR="00C961E8" w:rsidRDefault="00E50336" w:rsidP="00C961E8">
      <w:r>
        <w:pict>
          <v:rect id="_x0000_i1498" style="width:0;height:1.5pt" o:hralign="center" o:hrstd="t" o:hr="t" fillcolor="#a0a0a0" stroked="f"/>
        </w:pict>
      </w:r>
    </w:p>
    <w:p w:rsidR="00C961E8" w:rsidRDefault="00C961E8" w:rsidP="00C961E8">
      <w:pPr>
        <w:pStyle w:val="berschrift2"/>
      </w:pPr>
      <w:r>
        <w:lastRenderedPageBreak/>
        <w:t>3.3.40.224 Verteilungsrobustheit</w:t>
      </w:r>
    </w:p>
    <w:p w:rsidR="00C961E8" w:rsidRDefault="00C961E8" w:rsidP="00C961E8">
      <w:pPr>
        <w:pStyle w:val="StandardWeb"/>
      </w:pPr>
      <w:r>
        <w:t>Für mehrere plausible Parameterverteilungen</w:t>
      </w:r>
    </w:p>
    <w:p w:rsidR="00C961E8" w:rsidRDefault="00C961E8" w:rsidP="00C961E8">
      <w:pPr>
        <w:pStyle w:val="StandardWeb"/>
      </w:pPr>
      <w:r>
        <w:t>[</w:t>
      </w:r>
      <w:r>
        <w:br/>
        <w:t>p_{\Theta}^{(1)},</w:t>
      </w:r>
      <w:r>
        <w:br/>
        <w:t>\ldots,</w:t>
      </w:r>
      <w:r>
        <w:br/>
        <w:t>p_{\Theta}^{(m)}</w:t>
      </w:r>
      <w:r>
        <w:br/>
        <w:t>\tag{3.7236}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p_{\Theta}^{(1)},\ldots,p_{\Theta}^{(m)}\qquad\text{(3.7236)}</w:t>
      </w:r>
    </w:p>
    <w:p w:rsidR="00C961E8" w:rsidRDefault="00C961E8" w:rsidP="00C961E8">
      <w:pPr>
        <w:pStyle w:val="StandardWeb"/>
      </w:pPr>
      <w:r>
        <w:t>kann geprüft werden, ob</w:t>
      </w:r>
    </w:p>
    <w:p w:rsidR="00C961E8" w:rsidRDefault="00C961E8" w:rsidP="00C961E8">
      <w:pPr>
        <w:pStyle w:val="StandardWeb"/>
      </w:pPr>
      <w:r>
        <w:t>[</w:t>
      </w:r>
      <w:r>
        <w:br/>
        <w:t>R_{\theta}^{\mathrm{prob}}</w:t>
      </w:r>
      <w:r>
        <w:br/>
        <w:t>\left(</w:t>
      </w:r>
      <w:r>
        <w:br/>
        <w:t>p_{\Theta}^{(1)}</w:t>
      </w:r>
      <w:r>
        <w:br/>
        <w:t>\right)</w:t>
      </w:r>
      <w:r>
        <w:br/>
        <w:t>\approx</w:t>
      </w:r>
      <w:r>
        <w:br/>
        <w:t>\cdots</w:t>
      </w:r>
      <w:r>
        <w:br/>
        <w:t>\approx</w:t>
      </w:r>
      <w:r>
        <w:br/>
        <w:t>R_{\theta}^{\mathrm{prob}}</w:t>
      </w:r>
      <w:r>
        <w:br/>
        <w:t>\left(</w:t>
      </w:r>
      <w:r>
        <w:br/>
        <w:t>p_{\Theta}^{(m)}</w:t>
      </w:r>
      <w:r>
        <w:br/>
        <w:t>\right).</w:t>
      </w:r>
      <w:r>
        <w:br/>
        <w:t>\tag{3.7237}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R_{\theta}^{\mathrm{prob}}\left(p_{\Theta}^{(1)}\right)\approx\cdots\approx R_{\theta}^{\mathrm{prob}}\left(p_{\Theta}^{(m)}\right)\qquad\text{(3.7237)}</w:t>
      </w:r>
    </w:p>
    <w:p w:rsidR="00C961E8" w:rsidRDefault="00C961E8" w:rsidP="00C961E8">
      <w:pPr>
        <w:pStyle w:val="StandardWeb"/>
      </w:pPr>
      <w:r>
        <w:t>Damit wird auch die Robustheit gegenüber der angenommenen Unsicherheitsverteilung überprüfbar.</w:t>
      </w:r>
    </w:p>
    <w:p w:rsidR="00C961E8" w:rsidRDefault="00E50336" w:rsidP="00C961E8">
      <w:r>
        <w:pict>
          <v:rect id="_x0000_i1499" style="width:0;height:1.5pt" o:hralign="center" o:hrstd="t" o:hr="t" fillcolor="#a0a0a0" stroked="f"/>
        </w:pict>
      </w:r>
    </w:p>
    <w:p w:rsidR="00C961E8" w:rsidRDefault="00C961E8" w:rsidP="00C961E8">
      <w:pPr>
        <w:pStyle w:val="berschrift2"/>
      </w:pPr>
      <w:r>
        <w:t>3.3.40.225 Parameterrobustheit und Bayes-artige Aktualisierung</w:t>
      </w:r>
    </w:p>
    <w:p w:rsidR="00C961E8" w:rsidRDefault="00C961E8" w:rsidP="00C961E8">
      <w:pPr>
        <w:pStyle w:val="StandardWeb"/>
      </w:pPr>
      <w:r>
        <w:t>Wenn Parameterunsicherheit durch neue Daten aktualisiert wird, kann formal geschrieben werden</w:t>
      </w:r>
    </w:p>
    <w:p w:rsidR="00C961E8" w:rsidRDefault="00C961E8" w:rsidP="00C961E8">
      <w:pPr>
        <w:pStyle w:val="StandardWeb"/>
      </w:pPr>
      <w:r>
        <w:t>[</w:t>
      </w:r>
      <w:r>
        <w:br/>
        <w:t>p</w:t>
      </w:r>
      <w:r>
        <w:br/>
      </w:r>
      <w:r>
        <w:lastRenderedPageBreak/>
        <w:t>\left(</w:t>
      </w:r>
      <w:r>
        <w:br/>
        <w:t>\boldsymbol{\theta}</w:t>
      </w:r>
      <w:r>
        <w:br/>
        <w:t>\mid</w:t>
      </w:r>
      <w:r>
        <w:br/>
        <w:t>\mathcal{D}</w:t>
      </w:r>
      <w:r>
        <w:br/>
        <w:t>\right)</w:t>
      </w:r>
      <w:r>
        <w:br/>
        <w:t>\propto</w:t>
      </w:r>
      <w:r>
        <w:br/>
        <w:t>p</w:t>
      </w:r>
      <w:r>
        <w:br/>
        <w:t>\left(</w:t>
      </w:r>
      <w:r>
        <w:br/>
        <w:t>\mathcal{D}</w:t>
      </w:r>
      <w:r>
        <w:br/>
        <w:t>\mid</w:t>
      </w:r>
      <w:r>
        <w:br/>
        <w:t>\boldsymbol{\theta}</w:t>
      </w:r>
      <w:r>
        <w:br/>
        <w:t>\right)</w:t>
      </w:r>
      <w:r>
        <w:br/>
        <w:t>p</w:t>
      </w:r>
      <w:r>
        <w:br/>
        <w:t>\left(</w:t>
      </w:r>
      <w:r>
        <w:br/>
        <w:t>\boldsymbol{\theta}</w:t>
      </w:r>
      <w:r>
        <w:br/>
        <w:t>\right).</w:t>
      </w:r>
      <w:r>
        <w:br/>
        <w:t>\tag{3.7238}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p\left(\boldsymbol{\theta}\mid\mathcal{D}\right)\propto p\left(\mathcal{D}\mid\boldsymbol{\theta}\right)p\left(\boldsymbol{\theta}\right)\qquad\text{(3.7238)}</w:t>
      </w:r>
    </w:p>
    <w:p w:rsidR="00C961E8" w:rsidRDefault="00C961E8" w:rsidP="00C961E8">
      <w:pPr>
        <w:pStyle w:val="StandardWeb"/>
      </w:pPr>
      <w:r>
        <w:t>Die Robustheit kann dann unter der aktualisierten Verteilung bestimmt werden.</w:t>
      </w:r>
    </w:p>
    <w:p w:rsidR="00C961E8" w:rsidRDefault="00E50336" w:rsidP="00C961E8">
      <w:r>
        <w:pict>
          <v:rect id="_x0000_i1500" style="width:0;height:1.5pt" o:hralign="center" o:hrstd="t" o:hr="t" fillcolor="#a0a0a0" stroked="f"/>
        </w:pict>
      </w:r>
    </w:p>
    <w:p w:rsidR="00C961E8" w:rsidRDefault="00C961E8" w:rsidP="00C961E8">
      <w:pPr>
        <w:pStyle w:val="berschrift2"/>
      </w:pPr>
      <w:r>
        <w:t>3.3.40.226 Datenabhängige Robustheit</w:t>
      </w:r>
    </w:p>
    <w:p w:rsidR="00C961E8" w:rsidRDefault="00C961E8" w:rsidP="00C961E8">
      <w:pPr>
        <w:pStyle w:val="StandardWeb"/>
      </w:pPr>
      <w:r>
        <w:t>Nach neuen Daten gilt</w:t>
      </w:r>
    </w:p>
    <w:p w:rsidR="00C961E8" w:rsidRDefault="00C961E8" w:rsidP="00C961E8">
      <w:pPr>
        <w:pStyle w:val="berschrift1"/>
      </w:pPr>
      <w:r>
        <w:t>[</w:t>
      </w:r>
      <w:r>
        <w:br/>
        <w:t>R_{\theta}^{\mathrm{post}}</w:t>
      </w:r>
    </w:p>
    <w:p w:rsidR="00C961E8" w:rsidRDefault="00C961E8" w:rsidP="00C961E8">
      <w:pPr>
        <w:pStyle w:val="StandardWeb"/>
      </w:pPr>
      <w:r>
        <w:t>\Pr</w:t>
      </w:r>
      <w:r>
        <w:br/>
        <w:t>\left[</w:t>
      </w:r>
      <w:r>
        <w:br/>
        <w:t>A_F=L^\ast</w:t>
      </w:r>
      <w:r>
        <w:br/>
        <w:t>\mid</w:t>
      </w:r>
      <w:r>
        <w:br/>
        <w:t>\mathcal{D}</w:t>
      </w:r>
      <w:r>
        <w:br/>
        <w:t>\right].</w:t>
      </w:r>
      <w:r>
        <w:br/>
        <w:t>\tag{3.7239}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R_{\theta}^{\mathrm{post}}=\Pr\left[A_F=L^{\ast}\mid\mathcal{D}\right]\qquad\text{(3.7239)}</w:t>
      </w:r>
    </w:p>
    <w:p w:rsidR="00C961E8" w:rsidRDefault="00C961E8" w:rsidP="00C961E8">
      <w:pPr>
        <w:pStyle w:val="StandardWeb"/>
      </w:pPr>
      <w:r>
        <w:lastRenderedPageBreak/>
        <w:t>Damit kann neue Evidenz eine zuvor fragile Aussage stabilisieren oder umgekehrt eine vermeintlich robuste Aussage abschwächen.</w:t>
      </w:r>
    </w:p>
    <w:p w:rsidR="00C961E8" w:rsidRDefault="00E50336" w:rsidP="00C961E8">
      <w:r>
        <w:pict>
          <v:rect id="_x0000_i1501" style="width:0;height:1.5pt" o:hralign="center" o:hrstd="t" o:hr="t" fillcolor="#a0a0a0" stroked="f"/>
        </w:pict>
      </w:r>
    </w:p>
    <w:p w:rsidR="00C961E8" w:rsidRDefault="00C961E8" w:rsidP="00C961E8">
      <w:pPr>
        <w:pStyle w:val="berschrift2"/>
      </w:pPr>
      <w:r>
        <w:t>3.3.40.227 Robustheitsgewinn durch neue Daten</w:t>
      </w:r>
    </w:p>
    <w:p w:rsidR="00C961E8" w:rsidRDefault="00C961E8" w:rsidP="00C961E8">
      <w:pPr>
        <w:pStyle w:val="StandardWeb"/>
      </w:pPr>
      <w:r>
        <w:t>Ich definiere</w:t>
      </w:r>
    </w:p>
    <w:p w:rsidR="00C961E8" w:rsidRDefault="00C961E8" w:rsidP="00C961E8">
      <w:pPr>
        <w:pStyle w:val="berschrift1"/>
      </w:pPr>
      <w:r>
        <w:t>[</w:t>
      </w:r>
      <w:r>
        <w:br/>
        <w:t>\Delta R_{\mathrm{data}}</w:t>
      </w:r>
    </w:p>
    <w:p w:rsidR="00C961E8" w:rsidRDefault="00C961E8" w:rsidP="00C961E8">
      <w:pPr>
        <w:pStyle w:val="berschrift2"/>
      </w:pPr>
      <w:r>
        <w:t>R_{\theta}^{\mathrm{post}}</w:t>
      </w:r>
    </w:p>
    <w:p w:rsidR="00C961E8" w:rsidRDefault="00C961E8" w:rsidP="00C961E8">
      <w:pPr>
        <w:pStyle w:val="StandardWeb"/>
      </w:pPr>
      <w:r>
        <w:t>R_{\theta}^{\mathrm{prior}}.</w:t>
      </w:r>
      <w:r>
        <w:br/>
        <w:t>\tag{3.7240}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\Delta R_{\mathrm{data}}=R_{\theta}^{\mathrm{post}}-R_{\theta}^{\mathrm{prior}}\qquad\text{(3.7240)}</w:t>
      </w:r>
    </w:p>
    <w:p w:rsidR="00C961E8" w:rsidRDefault="00C961E8" w:rsidP="00C961E8">
      <w:pPr>
        <w:pStyle w:val="StandardWeb"/>
      </w:pPr>
      <w:r>
        <w:t>Für</w:t>
      </w:r>
    </w:p>
    <w:p w:rsidR="00C961E8" w:rsidRDefault="00C961E8" w:rsidP="00C961E8">
      <w:pPr>
        <w:pStyle w:val="StandardWeb"/>
      </w:pPr>
      <w:r>
        <w:t>[</w:t>
      </w:r>
      <w:r>
        <w:br/>
        <w:t>\Delta R_{\mathrm{data}}</w:t>
      </w:r>
    </w:p>
    <w:p w:rsidR="00C961E8" w:rsidRDefault="00C961E8" w:rsidP="00C961E8">
      <w:pPr>
        <w:pStyle w:val="StandardWeb"/>
      </w:pPr>
      <w:r>
        <w:t>0</w:t>
      </w:r>
      <w:r>
        <w:br/>
        <w:t>\tag{3.7241}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\Delta R_{\mathrm{data}}&gt;0\qquad\text{(3.7241)}</w:t>
      </w:r>
    </w:p>
    <w:p w:rsidR="00C961E8" w:rsidRDefault="00C961E8" w:rsidP="00C961E8">
      <w:pPr>
        <w:pStyle w:val="StandardWeb"/>
      </w:pPr>
      <w:r>
        <w:t>erhöhen die neuen Daten die betrachtete Aussage- beziehungsweise Parameterrobustheit.</w:t>
      </w:r>
    </w:p>
    <w:p w:rsidR="00C961E8" w:rsidRDefault="00E50336" w:rsidP="00C961E8">
      <w:r>
        <w:pict>
          <v:rect id="_x0000_i1502" style="width:0;height:1.5pt" o:hralign="center" o:hrstd="t" o:hr="t" fillcolor="#a0a0a0" stroked="f"/>
        </w:pict>
      </w:r>
    </w:p>
    <w:p w:rsidR="00C961E8" w:rsidRDefault="00C961E8" w:rsidP="00C961E8">
      <w:pPr>
        <w:pStyle w:val="berschrift2"/>
      </w:pPr>
      <w:r>
        <w:t>3.3.40.228 Robustheitsverlust durch neue Daten</w:t>
      </w:r>
    </w:p>
    <w:p w:rsidR="00C961E8" w:rsidRDefault="00C961E8" w:rsidP="00C961E8">
      <w:pPr>
        <w:pStyle w:val="StandardWeb"/>
      </w:pPr>
      <w:r>
        <w:t>Es kann ebenso gelten</w:t>
      </w:r>
    </w:p>
    <w:p w:rsidR="00C961E8" w:rsidRDefault="00C961E8" w:rsidP="00C961E8">
      <w:pPr>
        <w:pStyle w:val="StandardWeb"/>
      </w:pPr>
      <w:r>
        <w:t>[</w:t>
      </w:r>
      <w:r>
        <w:br/>
        <w:t>\Delta R_{\mathrm{data}}</w:t>
      </w:r>
      <w:r>
        <w:br/>
        <w:t>&lt;</w:t>
      </w:r>
      <w:r>
        <w:br/>
        <w:t>0.</w:t>
      </w:r>
      <w:r>
        <w:br/>
        <w:t>\tag{3.7242}</w:t>
      </w:r>
      <w:r>
        <w:br/>
        <w:t>]</w:t>
      </w:r>
    </w:p>
    <w:p w:rsidR="00C961E8" w:rsidRDefault="00C961E8" w:rsidP="00C961E8">
      <w:pPr>
        <w:pStyle w:val="StandardWeb"/>
      </w:pPr>
      <w:r>
        <w:rPr>
          <w:rStyle w:val="Fett"/>
        </w:rPr>
        <w:lastRenderedPageBreak/>
        <w:t>Word-LaTeX</w:t>
      </w:r>
    </w:p>
    <w:p w:rsidR="00C961E8" w:rsidRDefault="00C961E8" w:rsidP="00C961E8">
      <w:pPr>
        <w:pStyle w:val="HTMLVorformatiert"/>
        <w:rPr>
          <w:rStyle w:val="HTMLCode"/>
        </w:rPr>
      </w:pPr>
      <w:r>
        <w:rPr>
          <w:rStyle w:val="HTMLCode"/>
        </w:rPr>
        <w:t>\Delta R_{\mathrm{data}}&lt;0\qquad\text{(3.7242)}</w:t>
      </w:r>
    </w:p>
    <w:p w:rsidR="00C961E8" w:rsidRDefault="00C961E8" w:rsidP="00C961E8">
      <w:pPr>
        <w:pStyle w:val="StandardWeb"/>
      </w:pPr>
      <w:r>
        <w:t>Dies wäre kein methodisches Scheitern, sondern ein wissenschaftlich informativer Hinweis darauf, dass die bisherige Robustheit überschätzt wurde.</w:t>
      </w:r>
    </w:p>
    <w:p w:rsidR="00C961E8" w:rsidRDefault="00E50336" w:rsidP="00C961E8">
      <w:r>
        <w:pict>
          <v:rect id="_x0000_i1503" style="width:0;height:1.5pt" o:hralign="center" o:hrstd="t" o:hr="t" fillcolor="#a0a0a0" stroked="f"/>
        </w:pict>
      </w:r>
    </w:p>
    <w:p w:rsidR="00C961E8" w:rsidRDefault="00C961E8" w:rsidP="00C961E8">
      <w:pPr>
        <w:pStyle w:val="berschrift2"/>
      </w:pPr>
      <w:r>
        <w:t>3.3.40.229 Parameterrobustheit und Modellrevision</w:t>
      </w:r>
    </w:p>
    <w:p w:rsidR="00C961E8" w:rsidRDefault="00C961E8" w:rsidP="00C961E8">
      <w:pPr>
        <w:pStyle w:val="StandardWeb"/>
      </w:pPr>
      <w:r>
        <w:t>Wenn neue Daten wiederholt zeigen, dass der robuste Parameterbereich schrumpft oder verschwindet, muss gegebenenfalls die Modellstruktur selbst revidiert werden.</w:t>
      </w:r>
    </w:p>
    <w:p w:rsidR="00C961E8" w:rsidRDefault="00C961E8" w:rsidP="00C961E8">
      <w:pPr>
        <w:pStyle w:val="StandardWeb"/>
      </w:pPr>
      <w:r>
        <w:t>Eine Revisionsbedingung kann abstrakt geschrieben werden als</w:t>
      </w:r>
    </w:p>
    <w:p w:rsidR="00C961E8" w:rsidRDefault="00C961E8" w:rsidP="00C961E8">
      <w:pPr>
        <w:pStyle w:val="berschrift1"/>
      </w:pPr>
      <w:r>
        <w:t>[</w:t>
      </w:r>
      <w:r>
        <w:br/>
        <w:t>R_{\theta}</w:t>
      </w:r>
      <w:r>
        <w:br/>
        <w:t>&lt;</w:t>
      </w:r>
      <w:r>
        <w:br/>
        <w:t>\tau_R</w:t>
      </w:r>
      <w:r>
        <w:br/>
        <w:t>\Rightarrow</w:t>
      </w:r>
      <w:r>
        <w:br/>
        <w:t>C_{\mathrm{model\ revision}}</w:t>
      </w:r>
    </w:p>
    <w:p w:rsidR="00C961E8" w:rsidRDefault="00C961E8" w:rsidP="008C5E65">
      <w:pPr>
        <w:numPr>
          <w:ilvl w:val="0"/>
          <w:numId w:val="342"/>
        </w:numPr>
        <w:spacing w:before="100" w:beforeAutospacing="1" w:after="100" w:afterAutospacing="1"/>
      </w:pPr>
    </w:p>
    <w:p w:rsidR="00C961E8" w:rsidRDefault="00C961E8" w:rsidP="00C961E8">
      <w:pPr>
        <w:pStyle w:val="StandardWeb"/>
      </w:pPr>
      <w:r>
        <w:t>\tag{3.7243}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R_{\theta}&lt;\tau_R\Rightarrow C_{\mathrm{model\ revision}}=1\qquad\text{(3.7243)}</w:t>
      </w:r>
    </w:p>
    <w:p w:rsidR="00C961E8" w:rsidRDefault="00C961E8" w:rsidP="00C961E8">
      <w:pPr>
        <w:pStyle w:val="StandardWeb"/>
      </w:pPr>
      <w:r>
        <w:t>Dies verhindert, dass Parameter immer weiter angepasst werden, obwohl eigentlich die Modellstruktur unzureichend ist.</w:t>
      </w:r>
    </w:p>
    <w:p w:rsidR="00C961E8" w:rsidRDefault="00E50336" w:rsidP="00C961E8">
      <w:r>
        <w:pict>
          <v:rect id="_x0000_i1504" style="width:0;height:1.5pt" o:hralign="center" o:hrstd="t" o:hr="t" fillcolor="#a0a0a0" stroked="f"/>
        </w:pict>
      </w:r>
    </w:p>
    <w:p w:rsidR="00C961E8" w:rsidRDefault="00C961E8" w:rsidP="00C961E8">
      <w:pPr>
        <w:pStyle w:val="berschrift2"/>
      </w:pPr>
      <w:r>
        <w:t>3.3.40.230 Parameteranpassung versus Strukturrevision</w:t>
      </w:r>
    </w:p>
    <w:p w:rsidR="00C961E8" w:rsidRDefault="00C961E8" w:rsidP="00C961E8">
      <w:pPr>
        <w:pStyle w:val="StandardWeb"/>
      </w:pPr>
      <w:r>
        <w:t>Ich unterscheide daher zwei Reaktionen auf Modellabweichung:</w:t>
      </w:r>
    </w:p>
    <w:p w:rsidR="00C961E8" w:rsidRDefault="00C961E8" w:rsidP="00C961E8">
      <w:pPr>
        <w:pStyle w:val="berschrift1"/>
      </w:pPr>
      <w:r>
        <w:t>[</w:t>
      </w:r>
      <w:r>
        <w:br/>
        <w:t>\mathcal{R}_1</w:t>
      </w:r>
    </w:p>
    <w:p w:rsidR="00C961E8" w:rsidRDefault="00C961E8" w:rsidP="00C961E8">
      <w:pPr>
        <w:pStyle w:val="StandardWeb"/>
      </w:pPr>
      <w:r>
        <w:lastRenderedPageBreak/>
        <w:t>\mathbf{Parameteranpassung}</w:t>
      </w:r>
      <w:r>
        <w:br/>
        <w:t>\tag{3.7244}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\mathcal{R}_1=\mathbf{Parameteranpassung}\qquad\text{(3.7244)}</w:t>
      </w:r>
    </w:p>
    <w:p w:rsidR="00C961E8" w:rsidRDefault="00C961E8" w:rsidP="00C961E8">
      <w:pPr>
        <w:pStyle w:val="StandardWeb"/>
      </w:pPr>
      <w:r>
        <w:t>und</w:t>
      </w:r>
    </w:p>
    <w:p w:rsidR="00C961E8" w:rsidRDefault="00C961E8" w:rsidP="00C961E8">
      <w:pPr>
        <w:pStyle w:val="berschrift1"/>
      </w:pPr>
      <w:r>
        <w:t>[</w:t>
      </w:r>
      <w:r>
        <w:br/>
        <w:t>\mathcal{R}_2</w:t>
      </w:r>
    </w:p>
    <w:p w:rsidR="00C961E8" w:rsidRDefault="00C961E8" w:rsidP="00C961E8">
      <w:pPr>
        <w:pStyle w:val="StandardWeb"/>
      </w:pPr>
      <w:r>
        <w:t>\mathbf{Strukturrevision}.</w:t>
      </w:r>
      <w:r>
        <w:br/>
        <w:t>\tag{3.7245}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\mathcal{R}_2=\mathbf{Strukturrevision}\qquad\text{(3.7245)}</w:t>
      </w:r>
    </w:p>
    <w:p w:rsidR="00C961E8" w:rsidRDefault="00C961E8" w:rsidP="00C961E8">
      <w:pPr>
        <w:pStyle w:val="StandardWeb"/>
      </w:pPr>
      <w:r>
        <w:t>Die Entscheidung zwischen beiden muss wissenschaftlich begründet werden.</w:t>
      </w:r>
    </w:p>
    <w:p w:rsidR="00C961E8" w:rsidRDefault="00E50336" w:rsidP="00C961E8">
      <w:r>
        <w:pict>
          <v:rect id="_x0000_i1505" style="width:0;height:1.5pt" o:hralign="center" o:hrstd="t" o:hr="t" fillcolor="#a0a0a0" stroked="f"/>
        </w:pict>
      </w:r>
    </w:p>
    <w:p w:rsidR="00C961E8" w:rsidRDefault="00C961E8" w:rsidP="00C961E8">
      <w:pPr>
        <w:pStyle w:val="berschrift2"/>
      </w:pPr>
      <w:r>
        <w:t>3.3.40.231 Parameterrobustheit als Grenze von Nachkalibrierung</w:t>
      </w:r>
    </w:p>
    <w:p w:rsidR="00C961E8" w:rsidRDefault="00C961E8" w:rsidP="00C961E8">
      <w:pPr>
        <w:pStyle w:val="StandardWeb"/>
      </w:pPr>
      <w:r>
        <w:t>Eine wiederholte Nachkalibrierung darf nicht unbegrenzt als Erfolg gewertet werden.</w:t>
      </w:r>
    </w:p>
    <w:p w:rsidR="00C961E8" w:rsidRDefault="00C961E8" w:rsidP="00C961E8">
      <w:pPr>
        <w:pStyle w:val="StandardWeb"/>
      </w:pPr>
      <w:r>
        <w:t>Wenn</w:t>
      </w:r>
    </w:p>
    <w:p w:rsidR="00C961E8" w:rsidRDefault="00C961E8" w:rsidP="00C961E8">
      <w:pPr>
        <w:pStyle w:val="berschrift2"/>
      </w:pPr>
      <w:r>
        <w:t>[</w:t>
      </w:r>
      <w:r>
        <w:br/>
        <w:t>\left|</w:t>
      </w:r>
      <w:r>
        <w:br/>
        <w:t>\widehat{\boldsymbol{\theta}}_{t+1}</w:t>
      </w:r>
    </w:p>
    <w:p w:rsidR="00C961E8" w:rsidRDefault="00C961E8" w:rsidP="00C961E8">
      <w:pPr>
        <w:pStyle w:val="StandardWeb"/>
      </w:pPr>
      <w:r>
        <w:t>\widehat{\boldsymbol{\theta}}_t</w:t>
      </w:r>
      <w:r>
        <w:br/>
        <w:t>\right|</w:t>
      </w:r>
      <w:r>
        <w:br/>
        <w:t>\gg</w:t>
      </w:r>
      <w:r>
        <w:br/>
        <w:t>0</w:t>
      </w:r>
      <w:r>
        <w:br/>
        <w:t>\tag{3.7246}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\left\|\widehat{\boldsymbol{\theta}}_{t+1}-\widehat{\boldsymbol{\theta}}_t\right\|\gg0\qquad\text{(3.7246)}</w:t>
      </w:r>
    </w:p>
    <w:p w:rsidR="00C961E8" w:rsidRDefault="00C961E8" w:rsidP="00C961E8">
      <w:pPr>
        <w:pStyle w:val="StandardWeb"/>
      </w:pPr>
      <w:r>
        <w:lastRenderedPageBreak/>
        <w:t>für aufeinanderfolgende Datenstände gilt, kann dies auf Parameterdrift, schlechte Identifizierbarkeit oder Modellmissspezifikation hinweisen.</w:t>
      </w:r>
    </w:p>
    <w:p w:rsidR="00C961E8" w:rsidRDefault="00E50336" w:rsidP="00C961E8">
      <w:r>
        <w:pict>
          <v:rect id="_x0000_i1506" style="width:0;height:1.5pt" o:hralign="center" o:hrstd="t" o:hr="t" fillcolor="#a0a0a0" stroked="f"/>
        </w:pict>
      </w:r>
    </w:p>
    <w:p w:rsidR="00C961E8" w:rsidRDefault="00C961E8" w:rsidP="00C961E8">
      <w:pPr>
        <w:pStyle w:val="berschrift2"/>
      </w:pPr>
      <w:r>
        <w:t>3.3.40.232 Parameterstabilität über Revisionen</w:t>
      </w:r>
    </w:p>
    <w:p w:rsidR="00C961E8" w:rsidRDefault="00C961E8" w:rsidP="00C961E8">
      <w:pPr>
        <w:pStyle w:val="StandardWeb"/>
      </w:pPr>
      <w:r>
        <w:t>Ich definiere</w:t>
      </w:r>
    </w:p>
    <w:p w:rsidR="00C961E8" w:rsidRDefault="00C961E8" w:rsidP="00C961E8">
      <w:pPr>
        <w:pStyle w:val="berschrift1"/>
      </w:pPr>
      <w:r>
        <w:t>[</w:t>
      </w:r>
      <w:r>
        <w:br/>
        <w:t>R_{\theta}^{\mathrm{rev}}</w:t>
      </w:r>
    </w:p>
    <w:p w:rsidR="00C961E8" w:rsidRDefault="00C961E8" w:rsidP="00C961E8">
      <w:pPr>
        <w:pStyle w:val="berschrift2"/>
      </w:pPr>
      <w:r>
        <w:t>1</w:t>
      </w:r>
    </w:p>
    <w:p w:rsidR="00C961E8" w:rsidRDefault="00C961E8" w:rsidP="00C961E8">
      <w:pPr>
        <w:pStyle w:val="StandardWeb"/>
      </w:pPr>
      <w:r>
        <w:t>\frac{</w:t>
      </w:r>
      <w:r>
        <w:br/>
        <w:t>d_{\theta}</w:t>
      </w:r>
      <w:r>
        <w:br/>
        <w:t>\left(</w:t>
      </w:r>
      <w:r>
        <w:br/>
        <w:t>\widehat{\boldsymbol{\theta}}_{t+1},</w:t>
      </w:r>
      <w:r>
        <w:br/>
        <w:t>\widehat{\boldsymbol{\theta}}</w:t>
      </w:r>
      <w:r>
        <w:rPr>
          <w:rStyle w:val="Hervorhebung"/>
        </w:rPr>
        <w:t>t</w:t>
      </w:r>
      <w:r>
        <w:rPr>
          <w:i/>
          <w:iCs/>
        </w:rPr>
        <w:br/>
      </w:r>
      <w:r>
        <w:rPr>
          <w:rStyle w:val="Hervorhebung"/>
        </w:rPr>
        <w:t>\right)</w:t>
      </w:r>
      <w:r>
        <w:rPr>
          <w:i/>
          <w:iCs/>
        </w:rPr>
        <w:br/>
      </w:r>
      <w:r>
        <w:rPr>
          <w:rStyle w:val="Hervorhebung"/>
        </w:rPr>
        <w:t>}{</w:t>
      </w:r>
      <w:r>
        <w:rPr>
          <w:i/>
          <w:iCs/>
        </w:rPr>
        <w:br/>
      </w:r>
      <w:r>
        <w:rPr>
          <w:rStyle w:val="Hervorhebung"/>
        </w:rPr>
        <w:t>D</w:t>
      </w:r>
      <w:r>
        <w:t>{\theta,\max}</w:t>
      </w:r>
      <w:r>
        <w:br/>
        <w:t>},</w:t>
      </w:r>
      <w:r>
        <w:br/>
        <w:t>\tag{3.7247}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R_{\theta}^{\mathrm{rev}}=1-\frac{d_{\theta}\left(\widehat{\boldsymbol{\theta}}_{t+1},\widehat{\boldsymbol{\theta}}_t\right)}{D_{\theta,\max}}\qquad\text{(3.7247)}</w:t>
      </w:r>
    </w:p>
    <w:p w:rsidR="00C961E8" w:rsidRDefault="00C961E8" w:rsidP="00C961E8">
      <w:pPr>
        <w:pStyle w:val="StandardWeb"/>
      </w:pPr>
      <w:r>
        <w:t>sofern ein sinnvoller Normierungswert (D_{\theta,\max}) definiert ist.</w:t>
      </w:r>
    </w:p>
    <w:p w:rsidR="00C961E8" w:rsidRDefault="00E50336" w:rsidP="00C961E8">
      <w:r>
        <w:pict>
          <v:rect id="_x0000_i1507" style="width:0;height:1.5pt" o:hralign="center" o:hrstd="t" o:hr="t" fillcolor="#a0a0a0" stroked="f"/>
        </w:pict>
      </w:r>
    </w:p>
    <w:p w:rsidR="00C961E8" w:rsidRDefault="00C961E8" w:rsidP="00C961E8">
      <w:pPr>
        <w:pStyle w:val="berschrift2"/>
      </w:pPr>
      <w:r>
        <w:t>3.3.40.233 Aussagekonstanz trotz Parameterdrift</w:t>
      </w:r>
    </w:p>
    <w:p w:rsidR="00C961E8" w:rsidRDefault="00C961E8" w:rsidP="00C961E8">
      <w:pPr>
        <w:pStyle w:val="StandardWeb"/>
      </w:pPr>
      <w:r>
        <w:t>Auch bei deutlicher Parameterdrift kann die Aussageklasse erhalten bleiben:</w:t>
      </w:r>
    </w:p>
    <w:p w:rsidR="00C961E8" w:rsidRDefault="00C961E8" w:rsidP="00C961E8">
      <w:pPr>
        <w:pStyle w:val="StandardWeb"/>
      </w:pPr>
      <w:r>
        <w:t>[</w:t>
      </w:r>
      <w:r>
        <w:br/>
        <w:t>\widehat{\boldsymbol{\theta}}_{t+1}</w:t>
      </w:r>
      <w:r>
        <w:br/>
        <w:t>\neq</w:t>
      </w:r>
      <w:r>
        <w:br/>
        <w:t>\widehat{\boldsymbol{\theta}}_t</w:t>
      </w:r>
      <w:r>
        <w:br/>
        <w:t>\tag{3.7248}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lastRenderedPageBreak/>
        <w:t>\widehat{\boldsymbol{\theta}}_{t+1}\neq\widehat{\boldsymbol{\theta}}_t\qquad\text{(3.7248)}</w:t>
      </w:r>
    </w:p>
    <w:p w:rsidR="00C961E8" w:rsidRDefault="00C961E8" w:rsidP="00C961E8">
      <w:pPr>
        <w:pStyle w:val="StandardWeb"/>
      </w:pPr>
      <w:r>
        <w:t>bei gleichzeitig</w:t>
      </w:r>
    </w:p>
    <w:p w:rsidR="00C961E8" w:rsidRDefault="00C961E8" w:rsidP="00C961E8">
      <w:pPr>
        <w:pStyle w:val="StandardWeb"/>
      </w:pPr>
      <w:r>
        <w:t>[</w:t>
      </w:r>
      <w:r>
        <w:br/>
        <w:t>A_F^{(t+1)}</w:t>
      </w:r>
      <w:r>
        <w:br/>
        <w:t>\sim_A</w:t>
      </w:r>
      <w:r>
        <w:br/>
        <w:t>A_F^{(t)}.</w:t>
      </w:r>
      <w:r>
        <w:br/>
        <w:t>\tag{3.7249}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A_F^{(t+1)}\sim_A A_F^{(t)}\qquad\text{(3.7249)}</w:t>
      </w:r>
    </w:p>
    <w:p w:rsidR="00C961E8" w:rsidRDefault="00C961E8" w:rsidP="00C961E8">
      <w:pPr>
        <w:pStyle w:val="StandardWeb"/>
      </w:pPr>
      <w:r>
        <w:t>Damit ist erneut zwischen Parameterstabilität und Aussageinvarianz zu unterscheiden.</w:t>
      </w:r>
    </w:p>
    <w:p w:rsidR="00C961E8" w:rsidRDefault="00E50336" w:rsidP="00C961E8">
      <w:r>
        <w:pict>
          <v:rect id="_x0000_i1508" style="width:0;height:1.5pt" o:hralign="center" o:hrstd="t" o:hr="t" fillcolor="#a0a0a0" stroked="f"/>
        </w:pict>
      </w:r>
    </w:p>
    <w:p w:rsidR="00C961E8" w:rsidRDefault="00C961E8" w:rsidP="00C961E8">
      <w:pPr>
        <w:pStyle w:val="berschrift2"/>
      </w:pPr>
      <w:r>
        <w:t>3.3.40.234 Mechanistische Fragilität bei Aussagekonstanz</w:t>
      </w:r>
    </w:p>
    <w:p w:rsidR="00C961E8" w:rsidRDefault="00C961E8" w:rsidP="00C961E8">
      <w:pPr>
        <w:pStyle w:val="StandardWeb"/>
      </w:pPr>
      <w:r>
        <w:t>Wenn die Parameter mechanistisch interpretiert werden, ist eine starke Parameterdrift trotz stabiler Aussage wissenschaftlich relevant.</w:t>
      </w:r>
    </w:p>
    <w:p w:rsidR="00C961E8" w:rsidRDefault="00C961E8" w:rsidP="00C961E8">
      <w:pPr>
        <w:pStyle w:val="StandardWeb"/>
      </w:pPr>
      <w:r>
        <w:t>Ich schreibe</w:t>
      </w:r>
    </w:p>
    <w:p w:rsidR="00C961E8" w:rsidRDefault="00C961E8" w:rsidP="00C961E8">
      <w:pPr>
        <w:pStyle w:val="StandardWeb"/>
      </w:pPr>
      <w:r>
        <w:t>[</w:t>
      </w:r>
      <w:r>
        <w:br/>
        <w:t>R_A</w:t>
      </w:r>
      <w:r>
        <w:br/>
        <w:t>\text{ hoch}</w:t>
      </w:r>
      <w:r>
        <w:br/>
        <w:t>\land</w:t>
      </w:r>
      <w:r>
        <w:br/>
        <w:t>R_{\theta}^{\mathrm{rev}}</w:t>
      </w:r>
      <w:r>
        <w:br/>
        <w:t>\text{ niedrig}.</w:t>
      </w:r>
      <w:r>
        <w:br/>
        <w:t>\tag{3.7250}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R_A\text{ hoch}\land R_{\theta}^{\mathrm{rev}}\text{ niedrig}\qquad\text{(3.7250)}</w:t>
      </w:r>
    </w:p>
    <w:p w:rsidR="00C961E8" w:rsidRDefault="00C961E8" w:rsidP="00C961E8">
      <w:pPr>
        <w:pStyle w:val="StandardWeb"/>
      </w:pPr>
      <w:r>
        <w:t>Dann ist die Ergebnisinterpretation robust, die mechanistische Parameterinterpretation jedoch fragil.</w:t>
      </w:r>
    </w:p>
    <w:p w:rsidR="00C961E8" w:rsidRDefault="00E50336" w:rsidP="00C961E8">
      <w:r>
        <w:pict>
          <v:rect id="_x0000_i1509" style="width:0;height:1.5pt" o:hralign="center" o:hrstd="t" o:hr="t" fillcolor="#a0a0a0" stroked="f"/>
        </w:pict>
      </w:r>
    </w:p>
    <w:p w:rsidR="00C961E8" w:rsidRDefault="00C961E8" w:rsidP="00C961E8">
      <w:pPr>
        <w:pStyle w:val="berschrift2"/>
      </w:pPr>
      <w:r>
        <w:t>3.3.40.235 Parameterrobustheit und Extrapolation</w:t>
      </w:r>
    </w:p>
    <w:p w:rsidR="00C961E8" w:rsidRDefault="00C961E8" w:rsidP="00C961E8">
      <w:pPr>
        <w:pStyle w:val="StandardWeb"/>
      </w:pPr>
      <w:r>
        <w:t>Extrapolation führt häufig in Parameter- oder Zustandsbereiche, die empirisch nur schwach gestützt sind.</w:t>
      </w:r>
    </w:p>
    <w:p w:rsidR="00C961E8" w:rsidRDefault="00C961E8" w:rsidP="00C961E8">
      <w:pPr>
        <w:pStyle w:val="StandardWeb"/>
      </w:pPr>
      <w:r>
        <w:t>Ich bezeichne den empirisch gestützten Parameterbereich mit</w:t>
      </w:r>
    </w:p>
    <w:p w:rsidR="00C961E8" w:rsidRDefault="00C961E8" w:rsidP="00C961E8">
      <w:pPr>
        <w:pStyle w:val="StandardWeb"/>
      </w:pPr>
      <w:r>
        <w:lastRenderedPageBreak/>
        <w:t>[</w:t>
      </w:r>
      <w:r>
        <w:br/>
        <w:t>\Theta_{\mathrm{emp}}.</w:t>
      </w:r>
      <w:r>
        <w:br/>
        <w:t>\tag{3.7251}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\Theta_{\mathrm{emp}}\qquad\text{(3.7251)}</w:t>
      </w:r>
    </w:p>
    <w:p w:rsidR="00C961E8" w:rsidRDefault="00C961E8" w:rsidP="00C961E8">
      <w:pPr>
        <w:pStyle w:val="StandardWeb"/>
      </w:pPr>
      <w:r>
        <w:t>Für Extrapolation gilt</w:t>
      </w:r>
    </w:p>
    <w:p w:rsidR="00C961E8" w:rsidRDefault="00C961E8" w:rsidP="00C961E8">
      <w:pPr>
        <w:pStyle w:val="StandardWeb"/>
      </w:pPr>
      <w:r>
        <w:t>[</w:t>
      </w:r>
      <w:r>
        <w:br/>
        <w:t>\boldsymbol{\theta}</w:t>
      </w:r>
      <w:r>
        <w:br/>
        <w:t>\notin</w:t>
      </w:r>
      <w:r>
        <w:br/>
        <w:t>\Theta_{\mathrm{emp}}.</w:t>
      </w:r>
      <w:r>
        <w:br/>
        <w:t>\tag{3.7252}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\boldsymbol{\theta}\notin\Theta_{\mathrm{emp}}\qquad\text{(3.7252)}</w:t>
      </w:r>
    </w:p>
    <w:p w:rsidR="00C961E8" w:rsidRDefault="00E50336" w:rsidP="00C961E8">
      <w:r>
        <w:pict>
          <v:rect id="_x0000_i1510" style="width:0;height:1.5pt" o:hralign="center" o:hrstd="t" o:hr="t" fillcolor="#a0a0a0" stroked="f"/>
        </w:pict>
      </w:r>
    </w:p>
    <w:p w:rsidR="00C961E8" w:rsidRDefault="00C961E8" w:rsidP="00C961E8">
      <w:pPr>
        <w:pStyle w:val="berschrift2"/>
      </w:pPr>
      <w:r>
        <w:t>3.3.40.236 Extrapolationsdistanz</w:t>
      </w:r>
    </w:p>
    <w:p w:rsidR="00C961E8" w:rsidRDefault="00C961E8" w:rsidP="00C961E8">
      <w:pPr>
        <w:pStyle w:val="StandardWeb"/>
      </w:pPr>
      <w:r>
        <w:t>Ich definiere</w:t>
      </w:r>
    </w:p>
    <w:p w:rsidR="00C961E8" w:rsidRDefault="00C961E8" w:rsidP="00C961E8">
      <w:pPr>
        <w:pStyle w:val="berschrift1"/>
      </w:pPr>
      <w:r>
        <w:t>[</w:t>
      </w:r>
      <w:r>
        <w:br/>
        <w:t>d_{\mathrm{extra}}</w:t>
      </w:r>
    </w:p>
    <w:p w:rsidR="00C961E8" w:rsidRDefault="00C961E8" w:rsidP="00C961E8">
      <w:pPr>
        <w:pStyle w:val="StandardWeb"/>
      </w:pPr>
      <w:r>
        <w:t>d</w:t>
      </w:r>
      <w:r>
        <w:br/>
        <w:t>\left(</w:t>
      </w:r>
      <w:r>
        <w:br/>
        <w:t>\boldsymbol{\theta},</w:t>
      </w:r>
      <w:r>
        <w:br/>
        <w:t>\Theta_{\mathrm{emp}}</w:t>
      </w:r>
      <w:r>
        <w:br/>
        <w:t>\right).</w:t>
      </w:r>
      <w:r>
        <w:br/>
        <w:t>\tag{3.7253}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d_{\mathrm{extra}}=d\left(\boldsymbol{\theta},\Theta_{\mathrm{emp}}\right)\qquad\text{(3.7253)}</w:t>
      </w:r>
    </w:p>
    <w:p w:rsidR="00C961E8" w:rsidRDefault="00C961E8" w:rsidP="00C961E8">
      <w:pPr>
        <w:pStyle w:val="StandardWeb"/>
      </w:pPr>
      <w:r>
        <w:t>Mit wachsender Extrapolationsdistanz sollte die wissenschaftliche Sicherheit einer Aussage grundsätzlich nicht ohne zusätzliche Evidenz zunehmen.</w:t>
      </w:r>
    </w:p>
    <w:p w:rsidR="00C961E8" w:rsidRDefault="00E50336" w:rsidP="00C961E8">
      <w:r>
        <w:pict>
          <v:rect id="_x0000_i1511" style="width:0;height:1.5pt" o:hralign="center" o:hrstd="t" o:hr="t" fillcolor="#a0a0a0" stroked="f"/>
        </w:pict>
      </w:r>
    </w:p>
    <w:p w:rsidR="00C961E8" w:rsidRDefault="00C961E8" w:rsidP="00C961E8">
      <w:pPr>
        <w:pStyle w:val="berschrift2"/>
      </w:pPr>
      <w:r>
        <w:t>3.3.40.237 Extrapolationsrobustheit</w:t>
      </w:r>
    </w:p>
    <w:p w:rsidR="00C961E8" w:rsidRDefault="00C961E8" w:rsidP="00C961E8">
      <w:pPr>
        <w:pStyle w:val="StandardWeb"/>
      </w:pPr>
      <w:r>
        <w:lastRenderedPageBreak/>
        <w:t>Eine extrapolierte Aussage ist besonders belastbar, wenn</w:t>
      </w:r>
    </w:p>
    <w:p w:rsidR="00C961E8" w:rsidRDefault="00C961E8" w:rsidP="00C961E8">
      <w:pPr>
        <w:pStyle w:val="StandardWeb"/>
      </w:pPr>
      <w:r>
        <w:t>[</w:t>
      </w:r>
      <w:r>
        <w:br/>
        <w:t>A_F</w:t>
      </w:r>
      <w:r>
        <w:br/>
        <w:t>\left(</w:t>
      </w:r>
      <w:r>
        <w:br/>
        <w:t>\boldsymbol{\theta}</w:t>
      </w:r>
      <w:r>
        <w:br/>
        <w:t>\right)</w:t>
      </w:r>
      <w:r>
        <w:br/>
        <w:t>\sim_A</w:t>
      </w:r>
      <w:r>
        <w:br/>
        <w:t>A_F^{\mathrm{ref}}</w:t>
      </w:r>
      <w:r>
        <w:br/>
        <w:t>\tag{3.7254}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A_F\left(\boldsymbol{\theta}\right)\sim_A A_F^{\mathrm{ref}}\qquad\text{(3.7254)}</w:t>
      </w:r>
    </w:p>
    <w:p w:rsidR="00C961E8" w:rsidRDefault="00C961E8" w:rsidP="00C961E8">
      <w:pPr>
        <w:pStyle w:val="StandardWeb"/>
      </w:pPr>
      <w:r>
        <w:t>über einen begründeten außerhalb des Kalibrierbereichs liegenden Parameterbereich erhalten bleibt und externe Daten diese Fortsetzung stützen.</w:t>
      </w:r>
    </w:p>
    <w:p w:rsidR="00C961E8" w:rsidRDefault="00E50336" w:rsidP="00C961E8">
      <w:r>
        <w:pict>
          <v:rect id="_x0000_i1512" style="width:0;height:1.5pt" o:hralign="center" o:hrstd="t" o:hr="t" fillcolor="#a0a0a0" stroked="f"/>
        </w:pict>
      </w:r>
    </w:p>
    <w:p w:rsidR="00C961E8" w:rsidRDefault="00C961E8" w:rsidP="00C961E8">
      <w:pPr>
        <w:pStyle w:val="berschrift2"/>
      </w:pPr>
      <w:r>
        <w:t>3.3.40.238 Robustheitsabfall außerhalb des Kalibrierbereichs</w:t>
      </w:r>
    </w:p>
    <w:p w:rsidR="00C961E8" w:rsidRDefault="00C961E8" w:rsidP="00C961E8">
      <w:pPr>
        <w:pStyle w:val="StandardWeb"/>
      </w:pPr>
      <w:r>
        <w:t>Eine mögliche Diagnose lautet</w:t>
      </w:r>
    </w:p>
    <w:p w:rsidR="00C961E8" w:rsidRDefault="00C961E8" w:rsidP="00C961E8">
      <w:pPr>
        <w:pStyle w:val="StandardWeb"/>
      </w:pPr>
      <w:r>
        <w:t>[</w:t>
      </w:r>
      <w:r>
        <w:br/>
        <w:t>R_{\theta}</w:t>
      </w:r>
      <w:r>
        <w:br/>
        <w:t>\left(</w:t>
      </w:r>
      <w:r>
        <w:br/>
        <w:t>d_{\mathrm{extra}}</w:t>
      </w:r>
      <w:r>
        <w:br/>
        <w:t>\right)</w:t>
      </w:r>
      <w:r>
        <w:br/>
        <w:t>\downarrow</w:t>
      </w:r>
      <w:r>
        <w:br/>
        <w:t>\quad</w:t>
      </w:r>
      <w:r>
        <w:br/>
        <w:t>\text{für}</w:t>
      </w:r>
      <w:r>
        <w:br/>
        <w:t>\quad</w:t>
      </w:r>
      <w:r>
        <w:br/>
        <w:t>d_{\mathrm{extra}}</w:t>
      </w:r>
      <w:r>
        <w:br/>
        <w:t>\uparrow.</w:t>
      </w:r>
      <w:r>
        <w:br/>
        <w:t>\tag{3.7255}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R_{\theta}\left(d_{\mathrm{extra}}\right)\downarrow\quad\text{für}\quad d_{\mathrm{extra}}\uparrow\qquad\text{(3.7255)}</w:t>
      </w:r>
    </w:p>
    <w:p w:rsidR="00C961E8" w:rsidRDefault="00C961E8" w:rsidP="00C961E8">
      <w:pPr>
        <w:pStyle w:val="StandardWeb"/>
      </w:pPr>
      <w:r>
        <w:t>Diese Beziehung ist keine universelle Gesetzmäßigkeit, sondern eine zu prüfende erwartbare Tendenz.</w:t>
      </w:r>
    </w:p>
    <w:p w:rsidR="00C961E8" w:rsidRDefault="00E50336" w:rsidP="00C961E8">
      <w:r>
        <w:pict>
          <v:rect id="_x0000_i1513" style="width:0;height:1.5pt" o:hralign="center" o:hrstd="t" o:hr="t" fillcolor="#a0a0a0" stroked="f"/>
        </w:pict>
      </w:r>
    </w:p>
    <w:p w:rsidR="00C961E8" w:rsidRDefault="00C961E8" w:rsidP="00C961E8">
      <w:pPr>
        <w:pStyle w:val="berschrift2"/>
      </w:pPr>
      <w:r>
        <w:lastRenderedPageBreak/>
        <w:t>3.3.40.239 Parameterrobustheit und Dimensionslosigkeit</w:t>
      </w:r>
    </w:p>
    <w:p w:rsidR="00C961E8" w:rsidRDefault="00C961E8" w:rsidP="00C961E8">
      <w:pPr>
        <w:pStyle w:val="StandardWeb"/>
      </w:pPr>
      <w:r>
        <w:t>Dimensionslose Parameterkombinationen können unter Umständen robustere Strukturaussagen erlauben als einzelne dimensional skalierte Parameter.</w:t>
      </w:r>
    </w:p>
    <w:p w:rsidR="00C961E8" w:rsidRDefault="00C961E8" w:rsidP="00C961E8">
      <w:pPr>
        <w:pStyle w:val="StandardWeb"/>
      </w:pPr>
      <w:r>
        <w:t>Sei</w:t>
      </w:r>
    </w:p>
    <w:p w:rsidR="00C961E8" w:rsidRDefault="00C961E8" w:rsidP="00C961E8">
      <w:pPr>
        <w:pStyle w:val="berschrift1"/>
      </w:pPr>
      <w:r>
        <w:t>[</w:t>
      </w:r>
      <w:r>
        <w:br/>
        <w:t>\Pi_{\theta}</w:t>
      </w:r>
    </w:p>
    <w:p w:rsidR="00C961E8" w:rsidRDefault="00C961E8" w:rsidP="00C961E8">
      <w:pPr>
        <w:pStyle w:val="StandardWeb"/>
      </w:pPr>
      <w:r>
        <w:t>g</w:t>
      </w:r>
      <w:r>
        <w:br/>
        <w:t>\left(</w:t>
      </w:r>
      <w:r>
        <w:br/>
        <w:t>\theta_1,</w:t>
      </w:r>
      <w:r>
        <w:br/>
        <w:t>\ldots,</w:t>
      </w:r>
      <w:r>
        <w:br/>
        <w:t>\theta_p</w:t>
      </w:r>
      <w:r>
        <w:br/>
        <w:t>\right)</w:t>
      </w:r>
      <w:r>
        <w:br/>
        <w:t>\tag{3.7256}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\Pi_{\theta}=g\left(\theta_1,\ldots,\theta_p\right)\qquad\text{(3.7256)}</w:t>
      </w:r>
    </w:p>
    <w:p w:rsidR="00C961E8" w:rsidRDefault="00C961E8" w:rsidP="00C961E8">
      <w:pPr>
        <w:pStyle w:val="StandardWeb"/>
      </w:pPr>
      <w:r>
        <w:t>eine dimensionslose Parameterkombination.</w:t>
      </w:r>
    </w:p>
    <w:p w:rsidR="00C961E8" w:rsidRDefault="00C961E8" w:rsidP="00C961E8">
      <w:pPr>
        <w:pStyle w:val="StandardWeb"/>
      </w:pPr>
      <w:r>
        <w:t>Dann kann eine Aussage von</w:t>
      </w:r>
    </w:p>
    <w:p w:rsidR="00C961E8" w:rsidRDefault="00C961E8" w:rsidP="00C961E8">
      <w:pPr>
        <w:pStyle w:val="berschrift1"/>
      </w:pPr>
      <w:r>
        <w:t>[</w:t>
      </w:r>
      <w:r>
        <w:br/>
        <w:t>A_F</w:t>
      </w:r>
    </w:p>
    <w:p w:rsidR="00C961E8" w:rsidRDefault="00C961E8" w:rsidP="00C961E8">
      <w:pPr>
        <w:pStyle w:val="StandardWeb"/>
      </w:pPr>
      <w:r>
        <w:t>A_F</w:t>
      </w:r>
      <w:r>
        <w:br/>
        <w:t>\left(</w:t>
      </w:r>
      <w:r>
        <w:br/>
        <w:t>\Pi_{\theta}</w:t>
      </w:r>
      <w:r>
        <w:br/>
        <w:t>\right)</w:t>
      </w:r>
      <w:r>
        <w:br/>
        <w:t>\tag{3.7257}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A_F=A_F\left(\Pi_{\theta}\right)\qquad\text{(3.7257)}</w:t>
      </w:r>
    </w:p>
    <w:p w:rsidR="00C961E8" w:rsidRDefault="00C961E8" w:rsidP="00C961E8">
      <w:pPr>
        <w:pStyle w:val="StandardWeb"/>
      </w:pPr>
      <w:r>
        <w:t>abhängen, obwohl einzelne (\theta_i) variieren.</w:t>
      </w:r>
    </w:p>
    <w:p w:rsidR="00C961E8" w:rsidRDefault="00E50336" w:rsidP="00C961E8">
      <w:r>
        <w:pict>
          <v:rect id="_x0000_i1514" style="width:0;height:1.5pt" o:hralign="center" o:hrstd="t" o:hr="t" fillcolor="#a0a0a0" stroked="f"/>
        </w:pict>
      </w:r>
    </w:p>
    <w:p w:rsidR="00C961E8" w:rsidRDefault="00C961E8" w:rsidP="00C961E8">
      <w:pPr>
        <w:pStyle w:val="berschrift2"/>
      </w:pPr>
      <w:r>
        <w:t>3.3.40.240 Invariante Parameterkombination</w:t>
      </w:r>
    </w:p>
    <w:p w:rsidR="00C961E8" w:rsidRDefault="00C961E8" w:rsidP="00C961E8">
      <w:pPr>
        <w:pStyle w:val="StandardWeb"/>
      </w:pPr>
      <w:r>
        <w:t>Für zwei Parametrisierungen kann gelten</w:t>
      </w:r>
    </w:p>
    <w:p w:rsidR="00C961E8" w:rsidRDefault="00C961E8" w:rsidP="00C961E8">
      <w:pPr>
        <w:pStyle w:val="StandardWeb"/>
      </w:pPr>
      <w:r>
        <w:lastRenderedPageBreak/>
        <w:t>[</w:t>
      </w:r>
      <w:r>
        <w:br/>
        <w:t>\boldsymbol{\theta}^{(1)}</w:t>
      </w:r>
      <w:r>
        <w:br/>
        <w:t>\neq</w:t>
      </w:r>
      <w:r>
        <w:br/>
        <w:t>\boldsymbol{\theta}^{(2)}</w:t>
      </w:r>
      <w:r>
        <w:br/>
        <w:t>\tag{3.7258}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\boldsymbol{\theta}^{(1)}\neq\boldsymbol{\theta}^{(2)}\qquad\text{(3.7258)}</w:t>
      </w:r>
    </w:p>
    <w:p w:rsidR="00C961E8" w:rsidRDefault="00C961E8" w:rsidP="00C961E8">
      <w:pPr>
        <w:pStyle w:val="StandardWeb"/>
      </w:pPr>
      <w:r>
        <w:t>bei</w:t>
      </w:r>
    </w:p>
    <w:p w:rsidR="00C961E8" w:rsidRDefault="00C961E8" w:rsidP="00C961E8">
      <w:pPr>
        <w:pStyle w:val="berschrift1"/>
      </w:pPr>
      <w:r>
        <w:t>[</w:t>
      </w:r>
      <w:r>
        <w:br/>
        <w:t>\Pi_{\theta}^{(1)}</w:t>
      </w:r>
    </w:p>
    <w:p w:rsidR="00C961E8" w:rsidRDefault="00C961E8" w:rsidP="00C961E8">
      <w:pPr>
        <w:pStyle w:val="StandardWeb"/>
      </w:pPr>
      <w:r>
        <w:t>\Pi_{\theta}^{(2)}.</w:t>
      </w:r>
      <w:r>
        <w:br/>
        <w:t>\tag{3.7259}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\Pi_{\theta}^{(1)}=\Pi_{\theta}^{(2)}\qquad\text{(3.7259)}</w:t>
      </w:r>
    </w:p>
    <w:p w:rsidR="00C961E8" w:rsidRDefault="00C961E8" w:rsidP="00C961E8">
      <w:pPr>
        <w:pStyle w:val="StandardWeb"/>
      </w:pPr>
      <w:r>
        <w:t>Wenn die relevante Aussage ausschließlich von (\Pi_{\theta}) abhängt, kann sie trotz unterschiedlicher Einzelparameter invariant bleiben.</w:t>
      </w:r>
    </w:p>
    <w:p w:rsidR="00C961E8" w:rsidRDefault="00E50336" w:rsidP="00C961E8">
      <w:r>
        <w:pict>
          <v:rect id="_x0000_i1515" style="width:0;height:1.5pt" o:hralign="center" o:hrstd="t" o:hr="t" fillcolor="#a0a0a0" stroked="f"/>
        </w:pict>
      </w:r>
    </w:p>
    <w:p w:rsidR="00C961E8" w:rsidRDefault="00C961E8" w:rsidP="00C961E8">
      <w:pPr>
        <w:pStyle w:val="berschrift2"/>
      </w:pPr>
      <w:r>
        <w:t>3.3.40.241 Parameteräquivalenzklasse</w:t>
      </w:r>
    </w:p>
    <w:p w:rsidR="00C961E8" w:rsidRDefault="00C961E8" w:rsidP="00C961E8">
      <w:pPr>
        <w:pStyle w:val="StandardWeb"/>
      </w:pPr>
      <w:r>
        <w:t>Ich definiere daher</w:t>
      </w:r>
    </w:p>
    <w:p w:rsidR="00C961E8" w:rsidRDefault="00C961E8" w:rsidP="00C961E8">
      <w:pPr>
        <w:pStyle w:val="berschrift1"/>
      </w:pPr>
      <w:r>
        <w:t>[</w:t>
      </w:r>
      <w:r>
        <w:br/>
        <w:t>\left[</w:t>
      </w:r>
      <w:r>
        <w:br/>
        <w:t>\boldsymbol{\theta}</w:t>
      </w:r>
      <w:r>
        <w:br/>
        <w:t>\right]_{\Pi}</w:t>
      </w:r>
    </w:p>
    <w:p w:rsidR="00C961E8" w:rsidRDefault="00C961E8" w:rsidP="00C961E8">
      <w:pPr>
        <w:pStyle w:val="berschrift1"/>
      </w:pPr>
      <w:r>
        <w:t>\left{</w:t>
      </w:r>
      <w:r>
        <w:br/>
        <w:t>\boldsymbol{\theta}'</w:t>
      </w:r>
      <w:r>
        <w:br/>
        <w:t>:</w:t>
      </w:r>
      <w:r>
        <w:br/>
        <w:t>\Pi_{\theta'}</w:t>
      </w:r>
    </w:p>
    <w:p w:rsidR="00C961E8" w:rsidRDefault="00C961E8" w:rsidP="00C961E8">
      <w:pPr>
        <w:pStyle w:val="StandardWeb"/>
      </w:pPr>
      <w:r>
        <w:lastRenderedPageBreak/>
        <w:t>\Pi_{\theta}</w:t>
      </w:r>
      <w:r>
        <w:br/>
        <w:t>\right}.</w:t>
      </w:r>
      <w:r>
        <w:br/>
        <w:t>\tag{3.7260}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\left[\boldsymbol{\theta}\right]_{\Pi}=\left\{\boldsymbol{\theta}^{\prime}:\Pi_{\theta^{\prime}}=\Pi_{\theta}\right\}\qquad\text{(3.7260)}</w:t>
      </w:r>
    </w:p>
    <w:p w:rsidR="00C961E8" w:rsidRDefault="00C961E8" w:rsidP="00C961E8">
      <w:pPr>
        <w:pStyle w:val="StandardWeb"/>
      </w:pPr>
      <w:r>
        <w:t>Damit werden Parametrisierungen zusammengefasst, die hinsichtlich einer relevanten invarianten Parameterkombination äquivalent sind.</w:t>
      </w:r>
    </w:p>
    <w:p w:rsidR="00C961E8" w:rsidRDefault="00E50336" w:rsidP="00C961E8">
      <w:r>
        <w:pict>
          <v:rect id="_x0000_i1516" style="width:0;height:1.5pt" o:hralign="center" o:hrstd="t" o:hr="t" fillcolor="#a0a0a0" stroked="f"/>
        </w:pict>
      </w:r>
    </w:p>
    <w:p w:rsidR="00C961E8" w:rsidRDefault="00C961E8" w:rsidP="00C961E8">
      <w:pPr>
        <w:pStyle w:val="berschrift2"/>
      </w:pPr>
      <w:r>
        <w:t>3.3.40.242 Aussageinvarianz über Parameteräquivalenzklassen</w:t>
      </w:r>
    </w:p>
    <w:p w:rsidR="00C961E8" w:rsidRDefault="00C961E8" w:rsidP="00C961E8">
      <w:pPr>
        <w:pStyle w:val="StandardWeb"/>
      </w:pPr>
      <w:r>
        <w:t>Eine starke Bedingung lautet</w:t>
      </w:r>
    </w:p>
    <w:p w:rsidR="00C961E8" w:rsidRDefault="00C961E8" w:rsidP="00C961E8">
      <w:pPr>
        <w:pStyle w:val="StandardWeb"/>
      </w:pPr>
      <w:r>
        <w:t>[</w:t>
      </w:r>
      <w:r>
        <w:br/>
        <w:t>\boldsymbol{\theta}</w:t>
      </w:r>
      <w:r>
        <w:rPr>
          <w:rStyle w:val="Hervorhebung"/>
        </w:rPr>
        <w:t>1</w:t>
      </w:r>
      <w:r>
        <w:rPr>
          <w:i/>
          <w:iCs/>
        </w:rPr>
        <w:br/>
      </w:r>
      <w:r>
        <w:rPr>
          <w:rStyle w:val="Hervorhebung"/>
        </w:rPr>
        <w:t>\sim</w:t>
      </w:r>
      <w:r>
        <w:t>{\Pi}</w:t>
      </w:r>
      <w:r>
        <w:br/>
        <w:t>\boldsymbol{\theta}_2</w:t>
      </w:r>
      <w:r>
        <w:br/>
        <w:t>\Rightarrow</w:t>
      </w:r>
      <w:r>
        <w:br/>
        <w:t>A_F(\boldsymbol{\theta}_1)</w:t>
      </w:r>
      <w:r>
        <w:br/>
        <w:t>\sim_A</w:t>
      </w:r>
      <w:r>
        <w:br/>
        <w:t>A_F(\boldsymbol{\theta}_2).</w:t>
      </w:r>
      <w:r>
        <w:br/>
        <w:t>\tag{3.7261}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\boldsymbol{\theta}_1\sim_{\Pi}\boldsymbol{\theta}_2\Rightarrow A_F(\boldsymbol{\theta}_1)\sim_A A_F(\boldsymbol{\theta}_2)\qquad\text{(3.7261)}</w:t>
      </w:r>
    </w:p>
    <w:p w:rsidR="00C961E8" w:rsidRDefault="00C961E8" w:rsidP="00C961E8">
      <w:pPr>
        <w:pStyle w:val="StandardWeb"/>
      </w:pPr>
      <w:r>
        <w:t>Diese Struktur kann später helfen, hochdimensionale Parameterprobleme auf wissenschaftlich relevante Kombinationen zu reduzieren.</w:t>
      </w:r>
    </w:p>
    <w:p w:rsidR="00C961E8" w:rsidRDefault="00E50336" w:rsidP="00C961E8">
      <w:r>
        <w:pict>
          <v:rect id="_x0000_i1517" style="width:0;height:1.5pt" o:hralign="center" o:hrstd="t" o:hr="t" fillcolor="#a0a0a0" stroked="f"/>
        </w:pict>
      </w:r>
    </w:p>
    <w:p w:rsidR="00C961E8" w:rsidRDefault="00C961E8" w:rsidP="00C961E8">
      <w:pPr>
        <w:pStyle w:val="berschrift2"/>
      </w:pPr>
      <w:r>
        <w:t>3.3.40.243 Satz zur Parameteräquivalenz</w:t>
      </w:r>
    </w:p>
    <w:p w:rsidR="00C961E8" w:rsidRDefault="00C961E8" w:rsidP="00C961E8">
      <w:pPr>
        <w:pStyle w:val="StandardWeb"/>
      </w:pPr>
      <w:r>
        <w:rPr>
          <w:rStyle w:val="Fett"/>
        </w:rPr>
        <w:t>Satz 3.3.24 – Aussageinvarianz unter vollständiger Parameterreduktion</w:t>
      </w:r>
    </w:p>
    <w:p w:rsidR="00C961E8" w:rsidRDefault="00C961E8" w:rsidP="00C961E8">
      <w:pPr>
        <w:pStyle w:val="StandardWeb"/>
      </w:pPr>
      <w:r>
        <w:t>Sei eine Aussage ausschließlich von einer invarianten Parameterkombination (\Pi_{\theta}) abhängig:</w:t>
      </w:r>
    </w:p>
    <w:p w:rsidR="00C961E8" w:rsidRDefault="00C961E8" w:rsidP="00C961E8">
      <w:pPr>
        <w:pStyle w:val="berschrift1"/>
      </w:pPr>
      <w:r>
        <w:lastRenderedPageBreak/>
        <w:t>[</w:t>
      </w:r>
      <w:r>
        <w:br/>
        <w:t>A_F</w:t>
      </w:r>
    </w:p>
    <w:p w:rsidR="00C961E8" w:rsidRDefault="00C961E8" w:rsidP="00C961E8">
      <w:pPr>
        <w:pStyle w:val="StandardWeb"/>
      </w:pPr>
      <w:r>
        <w:t>F_A</w:t>
      </w:r>
      <w:r>
        <w:br/>
        <w:t>\left(</w:t>
      </w:r>
      <w:r>
        <w:br/>
        <w:t>\Pi_{\theta}</w:t>
      </w:r>
      <w:r>
        <w:br/>
        <w:t>\right).</w:t>
      </w:r>
      <w:r>
        <w:br/>
        <w:t>\tag{3.7262}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A_F=F_A\left(\Pi_{\theta}\right)\qquad\text{(3.7262)}</w:t>
      </w:r>
    </w:p>
    <w:p w:rsidR="00C961E8" w:rsidRDefault="00C961E8" w:rsidP="00C961E8">
      <w:pPr>
        <w:pStyle w:val="StandardWeb"/>
      </w:pPr>
      <w:r>
        <w:t>Für zwei Parametersätze gelte</w:t>
      </w:r>
    </w:p>
    <w:p w:rsidR="00C961E8" w:rsidRDefault="00C961E8" w:rsidP="00C961E8">
      <w:pPr>
        <w:pStyle w:val="berschrift1"/>
      </w:pPr>
      <w:r>
        <w:t>[</w:t>
      </w:r>
      <w:r>
        <w:br/>
        <w:t>\Pi_{\theta}</w:t>
      </w:r>
      <w:r>
        <w:br/>
        <w:t>\left(</w:t>
      </w:r>
      <w:r>
        <w:br/>
        <w:t>\boldsymbol{\theta}_1</w:t>
      </w:r>
      <w:r>
        <w:br/>
        <w:t>\right)</w:t>
      </w:r>
    </w:p>
    <w:p w:rsidR="00C961E8" w:rsidRDefault="00C961E8" w:rsidP="00C961E8">
      <w:pPr>
        <w:pStyle w:val="StandardWeb"/>
      </w:pPr>
      <w:r>
        <w:t>\Pi_{\theta}</w:t>
      </w:r>
      <w:r>
        <w:br/>
        <w:t>\left(</w:t>
      </w:r>
      <w:r>
        <w:br/>
        <w:t>\boldsymbol{\theta}_2</w:t>
      </w:r>
      <w:r>
        <w:br/>
        <w:t>\right).</w:t>
      </w:r>
      <w:r>
        <w:br/>
        <w:t>\tag{3.7263}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\Pi_{\theta}\left(\boldsymbol{\theta}_1\right)=\Pi_{\theta}\left(\boldsymbol{\theta}_2\right)\qquad\text{(3.7263)}</w:t>
      </w:r>
    </w:p>
    <w:p w:rsidR="00C961E8" w:rsidRDefault="00C961E8" w:rsidP="00C961E8">
      <w:pPr>
        <w:pStyle w:val="StandardWeb"/>
      </w:pPr>
      <w:r>
        <w:t>Dann gilt</w:t>
      </w:r>
    </w:p>
    <w:p w:rsidR="00C961E8" w:rsidRDefault="00C961E8" w:rsidP="00C961E8">
      <w:pPr>
        <w:pStyle w:val="berschrift1"/>
      </w:pPr>
      <w:r>
        <w:t>[</w:t>
      </w:r>
      <w:r>
        <w:br/>
        <w:t>A_F</w:t>
      </w:r>
      <w:r>
        <w:br/>
        <w:t>\left(</w:t>
      </w:r>
      <w:r>
        <w:br/>
        <w:t>\boldsymbol{\theta}_1</w:t>
      </w:r>
      <w:r>
        <w:br/>
        <w:t>\right)</w:t>
      </w:r>
    </w:p>
    <w:p w:rsidR="00C961E8" w:rsidRDefault="00C961E8" w:rsidP="00C961E8">
      <w:pPr>
        <w:pStyle w:val="StandardWeb"/>
      </w:pPr>
      <w:r>
        <w:lastRenderedPageBreak/>
        <w:t>A_F</w:t>
      </w:r>
      <w:r>
        <w:br/>
        <w:t>\left(</w:t>
      </w:r>
      <w:r>
        <w:br/>
        <w:t>\boldsymbol{\theta}_2</w:t>
      </w:r>
      <w:r>
        <w:br/>
        <w:t>\right).</w:t>
      </w:r>
      <w:r>
        <w:br/>
        <w:t>\tag{3.7264}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A_F\left(\boldsymbol{\theta}_1\right)=A_F\left(\boldsymbol{\theta}_2\right)\qquad\text{(3.7264)}</w:t>
      </w:r>
    </w:p>
    <w:p w:rsidR="00C961E8" w:rsidRDefault="00C961E8" w:rsidP="00C961E8">
      <w:pPr>
        <w:pStyle w:val="berschrift3"/>
      </w:pPr>
      <w:r>
        <w:t>Beweis</w:t>
      </w:r>
    </w:p>
    <w:p w:rsidR="00C961E8" w:rsidRDefault="00C961E8" w:rsidP="00C961E8">
      <w:pPr>
        <w:pStyle w:val="StandardWeb"/>
      </w:pPr>
      <w:r>
        <w:t>Aus der Voraussetzung folgt</w:t>
      </w:r>
    </w:p>
    <w:p w:rsidR="00C961E8" w:rsidRDefault="00C961E8" w:rsidP="00C961E8">
      <w:pPr>
        <w:pStyle w:val="berschrift1"/>
      </w:pPr>
      <w:r>
        <w:t>[</w:t>
      </w:r>
      <w:r>
        <w:br/>
        <w:t>A_F</w:t>
      </w:r>
      <w:r>
        <w:br/>
        <w:t>\left(</w:t>
      </w:r>
      <w:r>
        <w:br/>
        <w:t>\boldsymbol{\theta}_1</w:t>
      </w:r>
      <w:r>
        <w:br/>
        <w:t>\right)</w:t>
      </w:r>
    </w:p>
    <w:p w:rsidR="00C961E8" w:rsidRDefault="00C961E8" w:rsidP="00C961E8">
      <w:pPr>
        <w:pStyle w:val="StandardWeb"/>
      </w:pPr>
      <w:r>
        <w:t>F_A</w:t>
      </w:r>
      <w:r>
        <w:br/>
        <w:t>\left(</w:t>
      </w:r>
      <w:r>
        <w:br/>
        <w:t>\Pi_{\theta}</w:t>
      </w:r>
      <w:r>
        <w:br/>
        <w:t>\left(</w:t>
      </w:r>
      <w:r>
        <w:br/>
        <w:t>\boldsymbol{\theta}_1</w:t>
      </w:r>
      <w:r>
        <w:br/>
        <w:t>\right)</w:t>
      </w:r>
      <w:r>
        <w:br/>
        <w:t>\right).</w:t>
      </w:r>
      <w:r>
        <w:br/>
        <w:t>\tag{3.7265}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A_F\left(\boldsymbol{\theta}_1\right)=F_A\left(\Pi_{\theta}\left(\boldsymbol{\theta}_1\right)\right)\qquad\text{(3.7265)}</w:t>
      </w:r>
    </w:p>
    <w:p w:rsidR="00C961E8" w:rsidRDefault="00C961E8" w:rsidP="00C961E8">
      <w:pPr>
        <w:pStyle w:val="StandardWeb"/>
      </w:pPr>
      <w:r>
        <w:t>Ebenso gilt</w:t>
      </w:r>
    </w:p>
    <w:p w:rsidR="00C961E8" w:rsidRDefault="00C961E8" w:rsidP="00C961E8">
      <w:pPr>
        <w:pStyle w:val="berschrift1"/>
      </w:pPr>
      <w:r>
        <w:t>[</w:t>
      </w:r>
      <w:r>
        <w:br/>
        <w:t>A_F</w:t>
      </w:r>
      <w:r>
        <w:br/>
        <w:t>\left(</w:t>
      </w:r>
      <w:r>
        <w:br/>
        <w:t>\boldsymbol{\theta}_2</w:t>
      </w:r>
      <w:r>
        <w:br/>
        <w:t>\right)</w:t>
      </w:r>
    </w:p>
    <w:p w:rsidR="00C961E8" w:rsidRDefault="00C961E8" w:rsidP="00C961E8">
      <w:pPr>
        <w:pStyle w:val="StandardWeb"/>
      </w:pPr>
      <w:r>
        <w:lastRenderedPageBreak/>
        <w:t>F_A</w:t>
      </w:r>
      <w:r>
        <w:br/>
        <w:t>\left(</w:t>
      </w:r>
      <w:r>
        <w:br/>
        <w:t>\Pi_{\theta}</w:t>
      </w:r>
      <w:r>
        <w:br/>
        <w:t>\left(</w:t>
      </w:r>
      <w:r>
        <w:br/>
        <w:t>\boldsymbol{\theta}_2</w:t>
      </w:r>
      <w:r>
        <w:br/>
        <w:t>\right)</w:t>
      </w:r>
      <w:r>
        <w:br/>
        <w:t>\right).</w:t>
      </w:r>
      <w:r>
        <w:br/>
        <w:t>\tag{3.7266}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A_F\left(\boldsymbol{\theta}_2\right)=F_A\left(\Pi_{\theta}\left(\boldsymbol{\theta}_2\right)\right)\qquad\text{(3.7266)}</w:t>
      </w:r>
    </w:p>
    <w:p w:rsidR="00C961E8" w:rsidRDefault="00C961E8" w:rsidP="00C961E8">
      <w:pPr>
        <w:pStyle w:val="StandardWeb"/>
      </w:pPr>
      <w:r>
        <w:t>Da die Parameterkombinationen identisch sind, besitzen beide Funktionsausdrücke dasselbe Argument.</w:t>
      </w:r>
    </w:p>
    <w:p w:rsidR="00C961E8" w:rsidRDefault="00C961E8" w:rsidP="00C961E8">
      <w:pPr>
        <w:pStyle w:val="StandardWeb"/>
      </w:pPr>
      <w:r>
        <w:t>Damit folgt</w:t>
      </w:r>
    </w:p>
    <w:p w:rsidR="00C961E8" w:rsidRDefault="00C961E8" w:rsidP="00C961E8">
      <w:pPr>
        <w:pStyle w:val="berschrift1"/>
      </w:pPr>
      <w:r>
        <w:t>[</w:t>
      </w:r>
      <w:r>
        <w:br/>
        <w:t>A_F</w:t>
      </w:r>
      <w:r>
        <w:br/>
        <w:t>\left(</w:t>
      </w:r>
      <w:r>
        <w:br/>
        <w:t>\boldsymbol{\theta}_1</w:t>
      </w:r>
      <w:r>
        <w:br/>
        <w:t>\right)</w:t>
      </w:r>
    </w:p>
    <w:p w:rsidR="00C961E8" w:rsidRDefault="00C961E8" w:rsidP="00C961E8">
      <w:pPr>
        <w:pStyle w:val="StandardWeb"/>
      </w:pPr>
      <w:r>
        <w:t>A_F</w:t>
      </w:r>
      <w:r>
        <w:br/>
        <w:t>\left(</w:t>
      </w:r>
      <w:r>
        <w:br/>
        <w:t>\boldsymbol{\theta}_2</w:t>
      </w:r>
      <w:r>
        <w:br/>
        <w:t>\right).</w:t>
      </w:r>
      <w:r>
        <w:br/>
        <w:t>\tag{3.7267}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A_F\left(\boldsymbol{\theta}_1\right)=A_F\left(\boldsymbol{\theta}_2\right)\qquad\text{(3.7267)}</w:t>
      </w:r>
    </w:p>
    <w:p w:rsidR="00C961E8" w:rsidRDefault="00C961E8" w:rsidP="00C961E8">
      <w:pPr>
        <w:pStyle w:val="StandardWeb"/>
      </w:pPr>
      <w:r>
        <w:t>Damit ist die Aussage gezeigt. (\square)</w:t>
      </w:r>
    </w:p>
    <w:p w:rsidR="00C961E8" w:rsidRDefault="00E50336" w:rsidP="00C961E8">
      <w:r>
        <w:pict>
          <v:rect id="_x0000_i1518" style="width:0;height:1.5pt" o:hralign="center" o:hrstd="t" o:hr="t" fillcolor="#a0a0a0" stroked="f"/>
        </w:pict>
      </w:r>
    </w:p>
    <w:p w:rsidR="00C961E8" w:rsidRDefault="00C961E8" w:rsidP="00C961E8">
      <w:pPr>
        <w:pStyle w:val="berschrift2"/>
      </w:pPr>
      <w:r>
        <w:t>3.3.40.244 Reichweite von Satz 3.3.24</w:t>
      </w:r>
    </w:p>
    <w:p w:rsidR="00C961E8" w:rsidRDefault="00C961E8" w:rsidP="00C961E8">
      <w:pPr>
        <w:pStyle w:val="StandardWeb"/>
      </w:pPr>
      <w:r>
        <w:t>Der Satz gilt nur dann, wenn die Aussage tatsächlich vollständig durch die gemeinsame Parameterkombination bestimmt wird.</w:t>
      </w:r>
    </w:p>
    <w:p w:rsidR="00C961E8" w:rsidRDefault="00C961E8" w:rsidP="00C961E8">
      <w:pPr>
        <w:pStyle w:val="StandardWeb"/>
      </w:pPr>
      <w:r>
        <w:t>Wenn zusätzlich ein Parameterrest (Z_{\theta}) eingeht,</w:t>
      </w:r>
    </w:p>
    <w:p w:rsidR="00C961E8" w:rsidRDefault="00C961E8" w:rsidP="00C961E8">
      <w:pPr>
        <w:pStyle w:val="berschrift1"/>
      </w:pPr>
      <w:r>
        <w:lastRenderedPageBreak/>
        <w:t>[</w:t>
      </w:r>
      <w:r>
        <w:br/>
        <w:t>A_F</w:t>
      </w:r>
    </w:p>
    <w:p w:rsidR="00C961E8" w:rsidRDefault="00C961E8" w:rsidP="00C961E8">
      <w:pPr>
        <w:pStyle w:val="StandardWeb"/>
      </w:pPr>
      <w:r>
        <w:t>F_A</w:t>
      </w:r>
      <w:r>
        <w:br/>
        <w:t>\left(</w:t>
      </w:r>
      <w:r>
        <w:br/>
        <w:t>\Pi_{\theta},</w:t>
      </w:r>
      <w:r>
        <w:br/>
        <w:t>Z_{\theta}</w:t>
      </w:r>
      <w:r>
        <w:br/>
        <w:t>\right),</w:t>
      </w:r>
      <w:r>
        <w:br/>
        <w:t>\tag{3.7268}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A_F=F_A\left(\Pi_{\theta},Z_{\theta}\right)\qquad\text{(3.7268)}</w:t>
      </w:r>
    </w:p>
    <w:p w:rsidR="00C961E8" w:rsidRDefault="00C961E8" w:rsidP="00C961E8">
      <w:pPr>
        <w:pStyle w:val="StandardWeb"/>
      </w:pPr>
      <w:r>
        <w:t>reicht</w:t>
      </w:r>
    </w:p>
    <w:p w:rsidR="00C961E8" w:rsidRDefault="00C961E8" w:rsidP="00C961E8">
      <w:pPr>
        <w:pStyle w:val="berschrift1"/>
      </w:pPr>
      <w:r>
        <w:t>[</w:t>
      </w:r>
      <w:r>
        <w:br/>
        <w:t>\Pi_{\theta}^{(1)}</w:t>
      </w:r>
    </w:p>
    <w:p w:rsidR="00C961E8" w:rsidRDefault="00C961E8" w:rsidP="00C961E8">
      <w:pPr>
        <w:pStyle w:val="StandardWeb"/>
      </w:pPr>
      <w:r>
        <w:t>\Pi_{\theta}^{(2)}</w:t>
      </w:r>
      <w:r>
        <w:br/>
        <w:t>\tag{3.7269}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\Pi_{\theta}^{(1)}=\Pi_{\theta}^{(2)}\qquad\text{(3.7269)}</w:t>
      </w:r>
    </w:p>
    <w:p w:rsidR="00C961E8" w:rsidRDefault="00C961E8" w:rsidP="00C961E8">
      <w:pPr>
        <w:pStyle w:val="StandardWeb"/>
      </w:pPr>
      <w:r>
        <w:t>nicht mehr aus, wenn</w:t>
      </w:r>
    </w:p>
    <w:p w:rsidR="00C961E8" w:rsidRDefault="00C961E8" w:rsidP="00C961E8">
      <w:pPr>
        <w:pStyle w:val="StandardWeb"/>
      </w:pPr>
      <w:r>
        <w:t>[</w:t>
      </w:r>
      <w:r>
        <w:br/>
        <w:t>Z_{\theta}^{(1)}</w:t>
      </w:r>
      <w:r>
        <w:br/>
        <w:t>\neq</w:t>
      </w:r>
      <w:r>
        <w:br/>
        <w:t>Z_{\theta}^{(2)}.</w:t>
      </w:r>
      <w:r>
        <w:br/>
        <w:t>\tag{3.7270}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Z_{\theta}^{(1)}\neq Z_{\theta}^{(2)}\qquad\text{(3.7270)}</w:t>
      </w:r>
    </w:p>
    <w:p w:rsidR="00C961E8" w:rsidRDefault="00E50336" w:rsidP="00C961E8">
      <w:r>
        <w:pict>
          <v:rect id="_x0000_i1519" style="width:0;height:1.5pt" o:hralign="center" o:hrstd="t" o:hr="t" fillcolor="#a0a0a0" stroked="f"/>
        </w:pict>
      </w:r>
    </w:p>
    <w:p w:rsidR="00C961E8" w:rsidRDefault="00C961E8" w:rsidP="00C961E8">
      <w:pPr>
        <w:pStyle w:val="berschrift2"/>
      </w:pPr>
      <w:r>
        <w:t>3.3.40.245 Korollar zur Parameterreduktion</w:t>
      </w:r>
    </w:p>
    <w:p w:rsidR="00C961E8" w:rsidRDefault="00C961E8" w:rsidP="00C961E8">
      <w:pPr>
        <w:pStyle w:val="StandardWeb"/>
      </w:pPr>
      <w:r>
        <w:rPr>
          <w:rStyle w:val="Fett"/>
        </w:rPr>
        <w:t>Korollar 3.3.3 – Einzelparameter müssen nicht eindeutig sein, wenn eine aussagebestimmende Parameterkombination eindeutig ist</w:t>
      </w:r>
    </w:p>
    <w:p w:rsidR="00C961E8" w:rsidRDefault="00C961E8" w:rsidP="00C961E8">
      <w:pPr>
        <w:pStyle w:val="StandardWeb"/>
      </w:pPr>
      <w:r>
        <w:lastRenderedPageBreak/>
        <w:t>Aus Satz 3.3.24 folgt, dass wissenschaftliche Aussageinvarianz auch bei nichtidentischen Einzelparametern möglich ist, sofern eine für die Aussage vollständige invariante Parameterkombination erhalten bleibt.</w:t>
      </w:r>
    </w:p>
    <w:p w:rsidR="00C961E8" w:rsidRDefault="00C961E8" w:rsidP="00C961E8">
      <w:pPr>
        <w:pStyle w:val="StandardWeb"/>
      </w:pPr>
      <w:r>
        <w:t>Formal kann gelten</w:t>
      </w:r>
    </w:p>
    <w:p w:rsidR="00C961E8" w:rsidRDefault="00C961E8" w:rsidP="00C961E8">
      <w:pPr>
        <w:pStyle w:val="StandardWeb"/>
      </w:pPr>
      <w:r>
        <w:t>[</w:t>
      </w:r>
      <w:r>
        <w:br/>
        <w:t>\boldsymbol{\theta}^{(1)}</w:t>
      </w:r>
      <w:r>
        <w:br/>
        <w:t>\neq</w:t>
      </w:r>
      <w:r>
        <w:br/>
        <w:t>\boldsymbol{\theta}^{(2)}</w:t>
      </w:r>
      <w:r>
        <w:br/>
        <w:t>\tag{3.7271}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\boldsymbol{\theta}^{(1)}\neq\boldsymbol{\theta}^{(2)}\qquad\text{(3.7271)}</w:t>
      </w:r>
    </w:p>
    <w:p w:rsidR="00C961E8" w:rsidRDefault="00C961E8" w:rsidP="00C961E8">
      <w:pPr>
        <w:pStyle w:val="StandardWeb"/>
      </w:pPr>
      <w:r>
        <w:t>und gleichzeitig</w:t>
      </w:r>
    </w:p>
    <w:p w:rsidR="00C961E8" w:rsidRDefault="00C961E8" w:rsidP="00C961E8">
      <w:pPr>
        <w:pStyle w:val="berschrift1"/>
      </w:pPr>
      <w:r>
        <w:t>[</w:t>
      </w:r>
      <w:r>
        <w:br/>
        <w:t>A_F</w:t>
      </w:r>
      <w:r>
        <w:br/>
        <w:t>\left(</w:t>
      </w:r>
      <w:r>
        <w:br/>
        <w:t>\boldsymbol{\theta}^{(1)}</w:t>
      </w:r>
      <w:r>
        <w:br/>
        <w:t>\right)</w:t>
      </w:r>
    </w:p>
    <w:p w:rsidR="00C961E8" w:rsidRDefault="00C961E8" w:rsidP="00C961E8">
      <w:pPr>
        <w:pStyle w:val="StandardWeb"/>
      </w:pPr>
      <w:r>
        <w:t>A_F</w:t>
      </w:r>
      <w:r>
        <w:br/>
        <w:t>\left(</w:t>
      </w:r>
      <w:r>
        <w:br/>
        <w:t>\boldsymbol{\theta}^{(2)}</w:t>
      </w:r>
      <w:r>
        <w:br/>
        <w:t>\right).</w:t>
      </w:r>
      <w:r>
        <w:br/>
        <w:t>\tag{3.7272}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A_F\left(\boldsymbol{\theta}^{(1)}\right)=A_F\left(\boldsymbol{\theta}^{(2)}\right)\qquad\text{(3.7272)}</w:t>
      </w:r>
    </w:p>
    <w:p w:rsidR="00C961E8" w:rsidRDefault="00E50336" w:rsidP="00C961E8">
      <w:r>
        <w:pict>
          <v:rect id="_x0000_i1520" style="width:0;height:1.5pt" o:hralign="center" o:hrstd="t" o:hr="t" fillcolor="#a0a0a0" stroked="f"/>
        </w:pict>
      </w:r>
    </w:p>
    <w:p w:rsidR="00C961E8" w:rsidRDefault="00C961E8" w:rsidP="00C961E8">
      <w:pPr>
        <w:pStyle w:val="berschrift2"/>
      </w:pPr>
      <w:r>
        <w:t>3.3.40.246 Robustheit versus Parameterwahrheit</w:t>
      </w:r>
    </w:p>
    <w:p w:rsidR="00C961E8" w:rsidRDefault="00C961E8" w:rsidP="00C961E8">
      <w:pPr>
        <w:pStyle w:val="StandardWeb"/>
      </w:pPr>
      <w:r>
        <w:t>Aus Korollar 3.3.3 folgt zugleich eine wichtige methodische Grenze.</w:t>
      </w:r>
    </w:p>
    <w:p w:rsidR="00C961E8" w:rsidRDefault="00C961E8" w:rsidP="00C961E8">
      <w:pPr>
        <w:pStyle w:val="StandardWeb"/>
      </w:pPr>
      <w:r>
        <w:t>Robuste Modellresultate beweisen nicht, dass einzelne Modellparameter „wahr“ bestimmt wurden.</w:t>
      </w:r>
    </w:p>
    <w:p w:rsidR="00C961E8" w:rsidRDefault="00C961E8" w:rsidP="00C961E8">
      <w:pPr>
        <w:pStyle w:val="StandardWeb"/>
      </w:pPr>
      <w:r>
        <w:t>Es kann gelten</w:t>
      </w:r>
    </w:p>
    <w:p w:rsidR="00C961E8" w:rsidRDefault="00C961E8" w:rsidP="00C961E8">
      <w:pPr>
        <w:pStyle w:val="berschrift1"/>
      </w:pPr>
      <w:r>
        <w:lastRenderedPageBreak/>
        <w:t>[</w:t>
      </w:r>
      <w:r>
        <w:br/>
        <w:t>R_A</w:t>
      </w:r>
    </w:p>
    <w:p w:rsidR="00C961E8" w:rsidRDefault="00C961E8" w:rsidP="00C961E8">
      <w:pPr>
        <w:pStyle w:val="StandardWeb"/>
      </w:pPr>
      <w:r>
        <w:t>1</w:t>
      </w:r>
      <w:r>
        <w:br/>
        <w:t>\tag{3.7273}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R_A=1\qquad\text{(3.7273)}</w:t>
      </w:r>
    </w:p>
    <w:p w:rsidR="00C961E8" w:rsidRDefault="00C961E8" w:rsidP="00C961E8">
      <w:pPr>
        <w:pStyle w:val="StandardWeb"/>
      </w:pPr>
      <w:r>
        <w:t>bei gleichzeitig</w:t>
      </w:r>
    </w:p>
    <w:p w:rsidR="00C961E8" w:rsidRDefault="00C961E8" w:rsidP="00C961E8">
      <w:pPr>
        <w:pStyle w:val="StandardWeb"/>
      </w:pPr>
      <w:r>
        <w:t>[</w:t>
      </w:r>
      <w:r>
        <w:br/>
        <w:t>\operatorname{Ident}_{\theta}</w:t>
      </w:r>
      <w:r>
        <w:br/>
        <w:t>&lt;</w:t>
      </w:r>
      <w:r>
        <w:br/>
        <w:t>1.</w:t>
      </w:r>
      <w:r>
        <w:br/>
        <w:t>\tag{3.7274}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\operatorname{Ident}_{\theta}&lt;1\qquad\text{(3.7274)}</w:t>
      </w:r>
    </w:p>
    <w:p w:rsidR="00C961E8" w:rsidRDefault="00C961E8" w:rsidP="00C961E8">
      <w:pPr>
        <w:pStyle w:val="StandardWeb"/>
      </w:pPr>
      <w:r>
        <w:t>Deshalb muss die Interpretation von Modellergebnissen von der Interpretation einzelner Parameter getrennt bleiben.</w:t>
      </w:r>
    </w:p>
    <w:p w:rsidR="00C961E8" w:rsidRDefault="00E50336" w:rsidP="00C961E8">
      <w:r>
        <w:pict>
          <v:rect id="_x0000_i1521" style="width:0;height:1.5pt" o:hralign="center" o:hrstd="t" o:hr="t" fillcolor="#a0a0a0" stroked="f"/>
        </w:pict>
      </w:r>
    </w:p>
    <w:p w:rsidR="00C961E8" w:rsidRDefault="00C961E8" w:rsidP="00C961E8">
      <w:pPr>
        <w:pStyle w:val="berschrift2"/>
      </w:pPr>
      <w:r>
        <w:t>3.3.40.247 Parameterrobustheit und mechanistische Evidenz</w:t>
      </w:r>
    </w:p>
    <w:p w:rsidR="00C961E8" w:rsidRDefault="00C961E8" w:rsidP="00C961E8">
      <w:pPr>
        <w:pStyle w:val="StandardWeb"/>
      </w:pPr>
      <w:r>
        <w:t>Eine mechanistische Aussage über einen Parameter (\theta_i) verlangt daher mehr als eine robuste Ausgangsgröße.</w:t>
      </w:r>
    </w:p>
    <w:p w:rsidR="00C961E8" w:rsidRDefault="00C961E8" w:rsidP="00C961E8">
      <w:pPr>
        <w:pStyle w:val="StandardWeb"/>
      </w:pPr>
      <w:r>
        <w:t>Ich definiere</w:t>
      </w:r>
    </w:p>
    <w:p w:rsidR="00C961E8" w:rsidRDefault="00C961E8" w:rsidP="00C961E8">
      <w:pPr>
        <w:pStyle w:val="berschrift1"/>
      </w:pPr>
      <w:r>
        <w:t>[</w:t>
      </w:r>
      <w:r>
        <w:br/>
        <w:t>C_{\mathrm{mech},i}</w:t>
      </w:r>
    </w:p>
    <w:p w:rsidR="00C961E8" w:rsidRDefault="00C961E8" w:rsidP="00C961E8">
      <w:pPr>
        <w:pStyle w:val="StandardWeb"/>
      </w:pPr>
      <w:r>
        <w:t>C_{\mathrm{ident},i}</w:t>
      </w:r>
      <w:r>
        <w:br/>
        <w:t>\land</w:t>
      </w:r>
      <w:r>
        <w:br/>
        <w:t>C_{\mathrm{sens},i}</w:t>
      </w:r>
      <w:r>
        <w:br/>
        <w:t>\land</w:t>
      </w:r>
      <w:r>
        <w:br/>
        <w:t>C_{\mathrm{sem},i}</w:t>
      </w:r>
      <w:r>
        <w:br/>
        <w:t>\land</w:t>
      </w:r>
      <w:r>
        <w:br/>
        <w:t>C_{\mathrm{rob},i}.</w:t>
      </w:r>
      <w:r>
        <w:br/>
        <w:t>\tag{3.7275}</w:t>
      </w:r>
      <w:r>
        <w:br/>
        <w:t>]</w:t>
      </w:r>
    </w:p>
    <w:p w:rsidR="00C961E8" w:rsidRDefault="00C961E8" w:rsidP="00C961E8">
      <w:pPr>
        <w:pStyle w:val="StandardWeb"/>
      </w:pPr>
      <w:r>
        <w:rPr>
          <w:rStyle w:val="Fett"/>
        </w:rPr>
        <w:lastRenderedPageBreak/>
        <w:t>Word-LaTeX</w:t>
      </w:r>
    </w:p>
    <w:p w:rsidR="00C961E8" w:rsidRDefault="00C961E8" w:rsidP="00C961E8">
      <w:pPr>
        <w:pStyle w:val="HTMLVorformatiert"/>
        <w:rPr>
          <w:rStyle w:val="HTMLCode"/>
        </w:rPr>
      </w:pPr>
      <w:r>
        <w:rPr>
          <w:rStyle w:val="HTMLCode"/>
        </w:rPr>
        <w:t>C_{\mathrm{mech},i}=C_{\mathrm{ident},i}\land C_{\mathrm{sens},i}\land C_{\mathrm{sem},i}\land C_{\mathrm{rob},i}\qquad\text{(3.7275)}</w:t>
      </w:r>
    </w:p>
    <w:p w:rsidR="00C961E8" w:rsidRDefault="00C961E8" w:rsidP="00C961E8">
      <w:pPr>
        <w:pStyle w:val="StandardWeb"/>
      </w:pPr>
      <w:r>
        <w:t>Nur wenn die für die jeweilige Interpretation notwendigen Bedingungen erfüllt sind, darf ein Parameter über seine rein technische Modellrolle hinaus mechanistisch interpretiert werden.</w:t>
      </w:r>
    </w:p>
    <w:p w:rsidR="00C961E8" w:rsidRDefault="00E50336" w:rsidP="00C961E8">
      <w:r>
        <w:pict>
          <v:rect id="_x0000_i1522" style="width:0;height:1.5pt" o:hralign="center" o:hrstd="t" o:hr="t" fillcolor="#a0a0a0" stroked="f"/>
        </w:pict>
      </w:r>
    </w:p>
    <w:p w:rsidR="00C961E8" w:rsidRDefault="00C961E8" w:rsidP="00C961E8">
      <w:pPr>
        <w:pStyle w:val="berschrift2"/>
      </w:pPr>
      <w:r>
        <w:t>3.3.40.248 Parameterrobustheit und Redundanz</w:t>
      </w:r>
    </w:p>
    <w:p w:rsidR="00C961E8" w:rsidRDefault="00C961E8" w:rsidP="00C961E8">
      <w:pPr>
        <w:pStyle w:val="StandardWeb"/>
      </w:pPr>
      <w:r>
        <w:t>Mehrere Parameter können funktional redundant sein.</w:t>
      </w:r>
    </w:p>
    <w:p w:rsidR="00C961E8" w:rsidRDefault="00C961E8" w:rsidP="00C961E8">
      <w:pPr>
        <w:pStyle w:val="StandardWeb"/>
      </w:pPr>
      <w:r>
        <w:t>Seien</w:t>
      </w:r>
    </w:p>
    <w:p w:rsidR="00C961E8" w:rsidRDefault="00C961E8" w:rsidP="00C961E8">
      <w:pPr>
        <w:pStyle w:val="StandardWeb"/>
      </w:pPr>
      <w:r>
        <w:t>[</w:t>
      </w:r>
      <w:r>
        <w:br/>
        <w:t>\theta_i</w:t>
      </w:r>
      <w:r>
        <w:br/>
        <w:t>\quad\text{und}\quad</w:t>
      </w:r>
      <w:r>
        <w:br/>
        <w:t>\theta_j.</w:t>
      </w:r>
      <w:r>
        <w:br/>
        <w:t>\tag{3.7276}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\theta_i\quad\text{und}\quad\theta_j\qquad\text{(3.7276)}</w:t>
      </w:r>
    </w:p>
    <w:p w:rsidR="00C961E8" w:rsidRDefault="00C961E8" w:rsidP="00C961E8">
      <w:pPr>
        <w:pStyle w:val="StandardWeb"/>
      </w:pPr>
      <w:r>
        <w:t>Redundanz kann vorliegen, wenn</w:t>
      </w:r>
    </w:p>
    <w:p w:rsidR="00C961E8" w:rsidRDefault="00C961E8" w:rsidP="00C961E8">
      <w:pPr>
        <w:pStyle w:val="StandardWeb"/>
      </w:pPr>
      <w:r>
        <w:t>[</w:t>
      </w:r>
      <w:r>
        <w:br/>
        <w:t>F</w:t>
      </w:r>
      <w:r>
        <w:br/>
        <w:t>\left(</w:t>
      </w:r>
      <w:r>
        <w:br/>
        <w:t>\theta_i+\Delta,</w:t>
      </w:r>
      <w:r>
        <w:br/>
        <w:t>\theta_j</w:t>
      </w:r>
      <w:r>
        <w:br/>
        <w:t>\right)</w:t>
      </w:r>
      <w:r>
        <w:br/>
        <w:t>\approx</w:t>
      </w:r>
      <w:r>
        <w:br/>
        <w:t>F</w:t>
      </w:r>
      <w:r>
        <w:br/>
        <w:t>\left(</w:t>
      </w:r>
      <w:r>
        <w:br/>
        <w:t>\theta_i,</w:t>
      </w:r>
      <w:r>
        <w:br/>
        <w:t>\theta_j+\Delta'</w:t>
      </w:r>
      <w:r>
        <w:br/>
        <w:t>\right).</w:t>
      </w:r>
      <w:r>
        <w:br/>
        <w:t>\tag{3.7277}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F\left(\theta_i+\Delta,\theta_j\right)\approx F\left(\theta_i,\theta_j+\Delta^{\prime}\right)\qquad\text{(3.7277)}</w:t>
      </w:r>
    </w:p>
    <w:p w:rsidR="00C961E8" w:rsidRDefault="00C961E8" w:rsidP="00C961E8">
      <w:pPr>
        <w:pStyle w:val="StandardWeb"/>
      </w:pPr>
      <w:r>
        <w:t>Dann können unterschiedliche Parameteränderungen funktional ähnliche Wirkungen besitzen.</w:t>
      </w:r>
    </w:p>
    <w:p w:rsidR="00C961E8" w:rsidRDefault="00E50336" w:rsidP="00C961E8">
      <w:r>
        <w:pict>
          <v:rect id="_x0000_i1523" style="width:0;height:1.5pt" o:hralign="center" o:hrstd="t" o:hr="t" fillcolor="#a0a0a0" stroked="f"/>
        </w:pict>
      </w:r>
    </w:p>
    <w:p w:rsidR="00C961E8" w:rsidRDefault="00C961E8" w:rsidP="00C961E8">
      <w:pPr>
        <w:pStyle w:val="berschrift2"/>
      </w:pPr>
      <w:r>
        <w:lastRenderedPageBreak/>
        <w:t>3.3.40.249 Redundanzmatrix</w:t>
      </w:r>
    </w:p>
    <w:p w:rsidR="00C961E8" w:rsidRDefault="00C961E8" w:rsidP="00C961E8">
      <w:pPr>
        <w:pStyle w:val="StandardWeb"/>
      </w:pPr>
      <w:r>
        <w:t>Ich definiere abstrakt</w:t>
      </w:r>
    </w:p>
    <w:p w:rsidR="00C961E8" w:rsidRDefault="00C961E8" w:rsidP="00C961E8">
      <w:pPr>
        <w:pStyle w:val="berschrift1"/>
      </w:pPr>
      <w:r>
        <w:t>[</w:t>
      </w:r>
      <w:r>
        <w:br/>
        <w:t>\mathbf{R}_{\mathrm{red}}</w:t>
      </w:r>
    </w:p>
    <w:p w:rsidR="00C961E8" w:rsidRDefault="00C961E8" w:rsidP="00C961E8">
      <w:pPr>
        <w:pStyle w:val="StandardWeb"/>
      </w:pPr>
      <w:r>
        <w:t>\left[</w:t>
      </w:r>
      <w:r>
        <w:br/>
        <w:t>r_{ij}^{\mathrm{red}}</w:t>
      </w:r>
      <w:r>
        <w:br/>
        <w:t>\right].</w:t>
      </w:r>
      <w:r>
        <w:br/>
        <w:t>\tag{3.7278}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\mathbf{R}_{\mathrm{red}}=\left[r_{ij}^{\mathrm{red}}\right]\qquad\text{(3.7278)}</w:t>
      </w:r>
    </w:p>
    <w:p w:rsidR="00C961E8" w:rsidRDefault="00C961E8" w:rsidP="00C961E8">
      <w:pPr>
        <w:pStyle w:val="StandardWeb"/>
      </w:pPr>
      <w:r>
        <w:t>Ein hoher Wert (r_{ij}^{\mathrm{red}}) weist auf starke funktionale Austauschbarkeit zweier Parameter hin.</w:t>
      </w:r>
    </w:p>
    <w:p w:rsidR="00C961E8" w:rsidRDefault="00E50336" w:rsidP="00C961E8">
      <w:r>
        <w:pict>
          <v:rect id="_x0000_i1524" style="width:0;height:1.5pt" o:hralign="center" o:hrstd="t" o:hr="t" fillcolor="#a0a0a0" stroked="f"/>
        </w:pict>
      </w:r>
    </w:p>
    <w:p w:rsidR="00C961E8" w:rsidRDefault="00C961E8" w:rsidP="00C961E8">
      <w:pPr>
        <w:pStyle w:val="berschrift2"/>
      </w:pPr>
      <w:r>
        <w:t>3.3.40.250 Parameterrobustheit und Modellparsimony</w:t>
      </w:r>
    </w:p>
    <w:p w:rsidR="00C961E8" w:rsidRDefault="00C961E8" w:rsidP="00C961E8">
      <w:pPr>
        <w:pStyle w:val="StandardWeb"/>
      </w:pPr>
      <w:r>
        <w:t>Starke Parameterredundanz kann ein Hinweis darauf sein, dass ein Modell überparametrisiert ist.</w:t>
      </w:r>
    </w:p>
    <w:p w:rsidR="00C961E8" w:rsidRDefault="00C961E8" w:rsidP="00C961E8">
      <w:pPr>
        <w:pStyle w:val="StandardWeb"/>
      </w:pPr>
      <w:r>
        <w:t>Ich bezeichne die effektive Parameterdimension mit</w:t>
      </w:r>
    </w:p>
    <w:p w:rsidR="00C961E8" w:rsidRDefault="00C961E8" w:rsidP="00C961E8">
      <w:pPr>
        <w:pStyle w:val="StandardWeb"/>
      </w:pPr>
      <w:r>
        <w:t>[</w:t>
      </w:r>
      <w:r>
        <w:br/>
        <w:t>p_{\mathrm{eff}}.</w:t>
      </w:r>
      <w:r>
        <w:br/>
        <w:t>\tag{3.7279}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p_{\mathrm{eff}}\qquad\text{(3.7279)}</w:t>
      </w:r>
    </w:p>
    <w:p w:rsidR="00C961E8" w:rsidRDefault="00C961E8" w:rsidP="00C961E8">
      <w:pPr>
        <w:pStyle w:val="StandardWeb"/>
      </w:pPr>
      <w:r>
        <w:t>Es kann gelten</w:t>
      </w:r>
    </w:p>
    <w:p w:rsidR="00C961E8" w:rsidRDefault="00C961E8" w:rsidP="00C961E8">
      <w:pPr>
        <w:pStyle w:val="StandardWeb"/>
      </w:pPr>
      <w:r>
        <w:t>[</w:t>
      </w:r>
      <w:r>
        <w:br/>
        <w:t>p_{\mathrm{eff}}</w:t>
      </w:r>
      <w:r>
        <w:br/>
        <w:t>&lt;</w:t>
      </w:r>
      <w:r>
        <w:br/>
        <w:t>p.</w:t>
      </w:r>
      <w:r>
        <w:br/>
        <w:t>\tag{3.7280}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lastRenderedPageBreak/>
        <w:t>p_{\mathrm{eff}}&lt;p\qquad\text{(3.7280)}</w:t>
      </w:r>
    </w:p>
    <w:p w:rsidR="00C961E8" w:rsidRDefault="00C961E8" w:rsidP="00C961E8">
      <w:pPr>
        <w:pStyle w:val="StandardWeb"/>
      </w:pPr>
      <w:r>
        <w:t>Dann enthält das Modell formal mehr Parameter als funktional unabhängige Parameterdimensionen.</w:t>
      </w:r>
    </w:p>
    <w:p w:rsidR="00C961E8" w:rsidRDefault="00E50336" w:rsidP="00C961E8">
      <w:r>
        <w:pict>
          <v:rect id="_x0000_i1525" style="width:0;height:1.5pt" o:hralign="center" o:hrstd="t" o:hr="t" fillcolor="#a0a0a0" stroked="f"/>
        </w:pict>
      </w:r>
    </w:p>
    <w:p w:rsidR="00C961E8" w:rsidRDefault="00C961E8" w:rsidP="00C961E8">
      <w:pPr>
        <w:pStyle w:val="berschrift2"/>
      </w:pPr>
      <w:r>
        <w:t>3.3.40.251 Effektiver Parameterraum</w:t>
      </w:r>
    </w:p>
    <w:p w:rsidR="00C961E8" w:rsidRDefault="00C961E8" w:rsidP="00C961E8">
      <w:pPr>
        <w:pStyle w:val="StandardWeb"/>
      </w:pPr>
      <w:r>
        <w:t>Der reduzierte Raum lautet</w:t>
      </w:r>
    </w:p>
    <w:p w:rsidR="00C961E8" w:rsidRDefault="00C961E8" w:rsidP="00C961E8">
      <w:pPr>
        <w:pStyle w:val="StandardWeb"/>
      </w:pPr>
      <w:r>
        <w:t>[</w:t>
      </w:r>
      <w:r>
        <w:br/>
        <w:t>\Theta_{\mathrm{eff}}</w:t>
      </w:r>
      <w:r>
        <w:br/>
        <w:t>\subseteq</w:t>
      </w:r>
      <w:r>
        <w:br/>
        <w:t>\mathbb{R}^{p_{\mathrm{eff}}}.</w:t>
      </w:r>
      <w:r>
        <w:br/>
        <w:t>\tag{3.7281}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\Theta_{\mathrm{eff}}\subseteq\mathbb{R}^{p_{\mathrm{eff}}}\qquad\text{(3.7281)}</w:t>
      </w:r>
    </w:p>
    <w:p w:rsidR="00C961E8" w:rsidRDefault="00C961E8" w:rsidP="00C961E8">
      <w:pPr>
        <w:pStyle w:val="StandardWeb"/>
      </w:pPr>
      <w:r>
        <w:t>Eine wissenschaftlich sinnvolle Reduktion sollte die relevanten Aussageklassen erhalten.</w:t>
      </w:r>
    </w:p>
    <w:p w:rsidR="00C961E8" w:rsidRDefault="00E50336" w:rsidP="00C961E8">
      <w:r>
        <w:pict>
          <v:rect id="_x0000_i1526" style="width:0;height:1.5pt" o:hralign="center" o:hrstd="t" o:hr="t" fillcolor="#a0a0a0" stroked="f"/>
        </w:pict>
      </w:r>
    </w:p>
    <w:p w:rsidR="00C961E8" w:rsidRDefault="00C961E8" w:rsidP="00C961E8">
      <w:pPr>
        <w:pStyle w:val="berschrift2"/>
      </w:pPr>
      <w:r>
        <w:t>3.3.40.252 Robustheit unter Reparametrisierung</w:t>
      </w:r>
    </w:p>
    <w:p w:rsidR="00C961E8" w:rsidRDefault="00C961E8" w:rsidP="00C961E8">
      <w:pPr>
        <w:pStyle w:val="StandardWeb"/>
      </w:pPr>
      <w:r>
        <w:t>Sei eine bijektive Reparametrisierung</w:t>
      </w:r>
    </w:p>
    <w:p w:rsidR="00C961E8" w:rsidRDefault="00C961E8" w:rsidP="00C961E8">
      <w:pPr>
        <w:pStyle w:val="berschrift1"/>
      </w:pPr>
      <w:r>
        <w:t>[</w:t>
      </w:r>
      <w:r>
        <w:br/>
        <w:t>\boldsymbol{\phi}</w:t>
      </w:r>
    </w:p>
    <w:p w:rsidR="00C961E8" w:rsidRDefault="00C961E8" w:rsidP="00C961E8">
      <w:pPr>
        <w:pStyle w:val="StandardWeb"/>
      </w:pPr>
      <w:r>
        <w:t>g</w:t>
      </w:r>
      <w:r>
        <w:br/>
        <w:t>\left(</w:t>
      </w:r>
      <w:r>
        <w:br/>
        <w:t>\boldsymbol{\theta}</w:t>
      </w:r>
      <w:r>
        <w:br/>
        <w:t>\right).</w:t>
      </w:r>
      <w:r>
        <w:br/>
        <w:t>\tag{3.7282}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\boldsymbol{\phi}=g\left(\boldsymbol{\theta}\right)\qquad\text{(3.7282)}</w:t>
      </w:r>
    </w:p>
    <w:p w:rsidR="00C961E8" w:rsidRDefault="00C961E8" w:rsidP="00C961E8">
      <w:pPr>
        <w:pStyle w:val="StandardWeb"/>
      </w:pPr>
      <w:r>
        <w:t>Eine reine Koordinatenänderung sollte die wissenschaftliche Aussage nicht verändern:</w:t>
      </w:r>
    </w:p>
    <w:p w:rsidR="00C961E8" w:rsidRDefault="00C961E8" w:rsidP="00C961E8">
      <w:pPr>
        <w:pStyle w:val="berschrift1"/>
      </w:pPr>
      <w:r>
        <w:t>[</w:t>
      </w:r>
      <w:r>
        <w:br/>
        <w:t>A_F</w:t>
      </w:r>
      <w:r>
        <w:br/>
      </w:r>
      <w:r>
        <w:lastRenderedPageBreak/>
        <w:t>\left(</w:t>
      </w:r>
      <w:r>
        <w:br/>
        <w:t>\boldsymbol{\theta}</w:t>
      </w:r>
      <w:r>
        <w:br/>
        <w:t>\right)</w:t>
      </w:r>
    </w:p>
    <w:p w:rsidR="00C961E8" w:rsidRDefault="00C961E8" w:rsidP="00C961E8">
      <w:pPr>
        <w:pStyle w:val="StandardWeb"/>
      </w:pPr>
      <w:r>
        <w:t>A_F</w:t>
      </w:r>
      <w:r>
        <w:br/>
        <w:t>\left(</w:t>
      </w:r>
      <w:r>
        <w:br/>
        <w:t>g^{-1}(\boldsymbol{\phi})</w:t>
      </w:r>
      <w:r>
        <w:br/>
        <w:t>\right).</w:t>
      </w:r>
      <w:r>
        <w:br/>
        <w:t>\tag{3.7283}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A_F\left(\boldsymbol{\theta}\right)=A_F\left(g^{-1}(\boldsymbol{\phi})\right)\qquad\text{(3.7283)}</w:t>
      </w:r>
    </w:p>
    <w:p w:rsidR="00C961E8" w:rsidRDefault="00C961E8" w:rsidP="00C961E8">
      <w:pPr>
        <w:pStyle w:val="StandardWeb"/>
      </w:pPr>
      <w:r>
        <w:t>Damit unterscheide ich physikalisch beziehungsweise funktional relevante Parameteränderungen von bloßen Koordinatentransformationen im Parameterraum.</w:t>
      </w:r>
    </w:p>
    <w:p w:rsidR="00C961E8" w:rsidRDefault="00E50336" w:rsidP="00C961E8">
      <w:r>
        <w:pict>
          <v:rect id="_x0000_i1527" style="width:0;height:1.5pt" o:hralign="center" o:hrstd="t" o:hr="t" fillcolor="#a0a0a0" stroked="f"/>
        </w:pict>
      </w:r>
    </w:p>
    <w:p w:rsidR="00C961E8" w:rsidRDefault="00C961E8" w:rsidP="00C961E8">
      <w:pPr>
        <w:pStyle w:val="berschrift2"/>
      </w:pPr>
      <w:r>
        <w:t>3.3.40.253 Reparametrisierungsinvarianz</w:t>
      </w:r>
    </w:p>
    <w:p w:rsidR="00C961E8" w:rsidRDefault="00C961E8" w:rsidP="00C961E8">
      <w:pPr>
        <w:pStyle w:val="StandardWeb"/>
      </w:pPr>
      <w:r>
        <w:t>Ich definiere</w:t>
      </w:r>
    </w:p>
    <w:p w:rsidR="00C961E8" w:rsidRDefault="00C961E8" w:rsidP="00C961E8">
      <w:pPr>
        <w:pStyle w:val="berschrift1"/>
      </w:pPr>
      <w:r>
        <w:t>[</w:t>
      </w:r>
      <w:r>
        <w:br/>
        <w:t>\operatorname{ReparamInv}_{F}</w:t>
      </w:r>
    </w:p>
    <w:p w:rsidR="00C961E8" w:rsidRDefault="00C961E8" w:rsidP="00C961E8">
      <w:pPr>
        <w:pStyle w:val="StandardWeb"/>
      </w:pPr>
      <w:r>
        <w:t>1</w:t>
      </w:r>
      <w:r>
        <w:br/>
        <w:t>\tag{3.7284}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\operatorname{ReparamInv}_{F}=1\qquad\text{(3.7284)}</w:t>
      </w:r>
    </w:p>
    <w:p w:rsidR="00C961E8" w:rsidRDefault="00C961E8" w:rsidP="00C961E8">
      <w:pPr>
        <w:pStyle w:val="StandardWeb"/>
      </w:pPr>
      <w:r>
        <w:t>wenn wissenschaftlich relevante Aussagen unter zulässigen invertierbaren Reparametrisierungen erhalten bleiben.</w:t>
      </w:r>
    </w:p>
    <w:p w:rsidR="00C961E8" w:rsidRDefault="00E50336" w:rsidP="00C961E8">
      <w:r>
        <w:pict>
          <v:rect id="_x0000_i1528" style="width:0;height:1.5pt" o:hralign="center" o:hrstd="t" o:hr="t" fillcolor="#a0a0a0" stroked="f"/>
        </w:pict>
      </w:r>
    </w:p>
    <w:p w:rsidR="00C961E8" w:rsidRDefault="00C961E8" w:rsidP="00C961E8">
      <w:pPr>
        <w:pStyle w:val="berschrift2"/>
      </w:pPr>
      <w:r>
        <w:t>3.3.40.254 Parameterrobustheit und Normwahl</w:t>
      </w:r>
    </w:p>
    <w:p w:rsidR="00C961E8" w:rsidRDefault="00C961E8" w:rsidP="00C961E8">
      <w:pPr>
        <w:pStyle w:val="StandardWeb"/>
      </w:pPr>
      <w:r>
        <w:t>Selbst die Distanz im Parameterraum kann von der gewählten Norm abhängen.</w:t>
      </w:r>
    </w:p>
    <w:p w:rsidR="00C961E8" w:rsidRDefault="00C961E8" w:rsidP="00C961E8">
      <w:pPr>
        <w:pStyle w:val="StandardWeb"/>
      </w:pPr>
      <w:r>
        <w:t>Für zwei Parametervektoren kann beispielsweise</w:t>
      </w:r>
    </w:p>
    <w:p w:rsidR="00C961E8" w:rsidRDefault="00C961E8" w:rsidP="00C961E8">
      <w:pPr>
        <w:pStyle w:val="berschrift1"/>
      </w:pPr>
      <w:r>
        <w:lastRenderedPageBreak/>
        <w:t>[</w:t>
      </w:r>
      <w:r>
        <w:br/>
        <w:t>d_1</w:t>
      </w:r>
    </w:p>
    <w:p w:rsidR="00C961E8" w:rsidRDefault="00C961E8" w:rsidP="00C961E8">
      <w:pPr>
        <w:pStyle w:val="berschrift2"/>
      </w:pPr>
      <w:r>
        <w:t>\left|</w:t>
      </w:r>
      <w:r>
        <w:br/>
        <w:t>\boldsymbol{\theta}_1</w:t>
      </w:r>
    </w:p>
    <w:p w:rsidR="00C961E8" w:rsidRDefault="00C961E8" w:rsidP="00C961E8">
      <w:pPr>
        <w:pStyle w:val="StandardWeb"/>
      </w:pPr>
      <w:r>
        <w:t>\boldsymbol{\theta}_2</w:t>
      </w:r>
      <w:r>
        <w:br/>
        <w:t>\right|_1</w:t>
      </w:r>
      <w:r>
        <w:br/>
        <w:t>\tag{3.7285}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d_1=\left\|\boldsymbol{\theta}_1-\boldsymbol{\theta}_2\right\|_1\qquad\text{(3.7285)}</w:t>
      </w:r>
    </w:p>
    <w:p w:rsidR="00C961E8" w:rsidRDefault="00C961E8" w:rsidP="00C961E8">
      <w:pPr>
        <w:pStyle w:val="StandardWeb"/>
      </w:pPr>
      <w:r>
        <w:t>oder</w:t>
      </w:r>
    </w:p>
    <w:p w:rsidR="00C961E8" w:rsidRDefault="00C961E8" w:rsidP="00C961E8">
      <w:pPr>
        <w:pStyle w:val="berschrift1"/>
      </w:pPr>
      <w:r>
        <w:t>[</w:t>
      </w:r>
      <w:r>
        <w:br/>
        <w:t>d_2</w:t>
      </w:r>
    </w:p>
    <w:p w:rsidR="00C961E8" w:rsidRDefault="00C961E8" w:rsidP="00C961E8">
      <w:pPr>
        <w:pStyle w:val="berschrift2"/>
      </w:pPr>
      <w:r>
        <w:t>\left|</w:t>
      </w:r>
      <w:r>
        <w:br/>
        <w:t>\boldsymbol{\theta}_1</w:t>
      </w:r>
    </w:p>
    <w:p w:rsidR="00C961E8" w:rsidRDefault="00C961E8" w:rsidP="00C961E8">
      <w:pPr>
        <w:pStyle w:val="StandardWeb"/>
      </w:pPr>
      <w:r>
        <w:t>\boldsymbol{\theta}_2</w:t>
      </w:r>
      <w:r>
        <w:br/>
        <w:t>\right|_2</w:t>
      </w:r>
      <w:r>
        <w:br/>
        <w:t>\tag{3.7286}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d_2=\left\|\boldsymbol{\theta}_1-\boldsymbol{\theta}_2\right\|_2\qquad\text{(3.7286)}</w:t>
      </w:r>
    </w:p>
    <w:p w:rsidR="00C961E8" w:rsidRDefault="00C961E8" w:rsidP="00C961E8">
      <w:pPr>
        <w:pStyle w:val="StandardWeb"/>
      </w:pPr>
      <w:r>
        <w:t>verwendet werden.</w:t>
      </w:r>
    </w:p>
    <w:p w:rsidR="00C961E8" w:rsidRDefault="00C961E8" w:rsidP="00C961E8">
      <w:pPr>
        <w:pStyle w:val="StandardWeb"/>
      </w:pPr>
      <w:r>
        <w:t>Die Robustheitsmargin kann dadurch numerisch variieren.</w:t>
      </w:r>
    </w:p>
    <w:p w:rsidR="00C961E8" w:rsidRDefault="00E50336" w:rsidP="00C961E8">
      <w:r>
        <w:pict>
          <v:rect id="_x0000_i1529" style="width:0;height:1.5pt" o:hralign="center" o:hrstd="t" o:hr="t" fillcolor="#a0a0a0" stroked="f"/>
        </w:pict>
      </w:r>
    </w:p>
    <w:p w:rsidR="00C961E8" w:rsidRDefault="00C961E8" w:rsidP="00C961E8">
      <w:pPr>
        <w:pStyle w:val="berschrift2"/>
      </w:pPr>
      <w:r>
        <w:t>3.3.40.255 Normrobustheit</w:t>
      </w:r>
    </w:p>
    <w:p w:rsidR="00C961E8" w:rsidRDefault="00C961E8" w:rsidP="00C961E8">
      <w:pPr>
        <w:pStyle w:val="StandardWeb"/>
      </w:pPr>
      <w:r>
        <w:t>Eine Aussage über „große“ oder „kleine“ Parameterabstände sollte daher nicht allein von einer willkürlichen Normwahl abhängen.</w:t>
      </w:r>
    </w:p>
    <w:p w:rsidR="00C961E8" w:rsidRDefault="00C961E8" w:rsidP="00C961E8">
      <w:pPr>
        <w:pStyle w:val="StandardWeb"/>
      </w:pPr>
      <w:r>
        <w:t>Ich definiere</w:t>
      </w:r>
    </w:p>
    <w:p w:rsidR="00C961E8" w:rsidRDefault="00C961E8" w:rsidP="00C961E8">
      <w:pPr>
        <w:pStyle w:val="berschrift1"/>
      </w:pPr>
      <w:r>
        <w:lastRenderedPageBreak/>
        <w:t>[</w:t>
      </w:r>
      <w:r>
        <w:br/>
        <w:t>R_{\mathrm{norm}}</w:t>
      </w:r>
    </w:p>
    <w:p w:rsidR="00C961E8" w:rsidRDefault="00C961E8" w:rsidP="00C961E8">
      <w:pPr>
        <w:pStyle w:val="StandardWeb"/>
      </w:pPr>
      <w:r>
        <w:t>\operatorname{Stabilität}</w:t>
      </w:r>
      <w:r>
        <w:br/>
        <w:t>\left(</w:t>
      </w:r>
      <w:r>
        <w:br/>
        <w:t>A_F</w:t>
      </w:r>
      <w:r>
        <w:br/>
        <w:t>\mid</w:t>
      </w:r>
      <w:r>
        <w:br/>
        <w:t>|\cdot|_1,</w:t>
      </w:r>
      <w:r>
        <w:br/>
        <w:t>|\cdot|_2,</w:t>
      </w:r>
      <w:r>
        <w:br/>
        <w:t>\ldots</w:t>
      </w:r>
      <w:r>
        <w:br/>
        <w:t>\right).</w:t>
      </w:r>
      <w:r>
        <w:br/>
        <w:t>\tag{3.7287}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R_{\mathrm{norm}}=\operatorname{Stabilität}\left(A_F\mid\|\cdot\|_1,\|\cdot\|_2,\ldots\right)\qquad\text{(3.7287)}</w:t>
      </w:r>
    </w:p>
    <w:p w:rsidR="00C961E8" w:rsidRDefault="00C961E8" w:rsidP="00C961E8">
      <w:pPr>
        <w:pStyle w:val="StandardWeb"/>
      </w:pPr>
      <w:r>
        <w:t>Dies betrifft vor allem geometrische Aussagen über Robustheitsregionen und Sicherheitsabstände.</w:t>
      </w:r>
    </w:p>
    <w:p w:rsidR="00C961E8" w:rsidRDefault="00E50336" w:rsidP="00C961E8">
      <w:r>
        <w:pict>
          <v:rect id="_x0000_i1530" style="width:0;height:1.5pt" o:hralign="center" o:hrstd="t" o:hr="t" fillcolor="#a0a0a0" stroked="f"/>
        </w:pict>
      </w:r>
    </w:p>
    <w:p w:rsidR="00C961E8" w:rsidRDefault="00C961E8" w:rsidP="00C961E8">
      <w:pPr>
        <w:pStyle w:val="berschrift2"/>
      </w:pPr>
      <w:r>
        <w:t>3.3.40.256 Robustheit gegenüber Parametergrenzen</w:t>
      </w:r>
    </w:p>
    <w:p w:rsidR="00C961E8" w:rsidRDefault="00C961E8" w:rsidP="00C961E8">
      <w:pPr>
        <w:pStyle w:val="StandardWeb"/>
      </w:pPr>
      <w:r>
        <w:t>Auch die Festlegung zulässiger Parameterintervalle kann die Bewertung beeinflussen.</w:t>
      </w:r>
    </w:p>
    <w:p w:rsidR="00C961E8" w:rsidRDefault="00C961E8" w:rsidP="00C961E8">
      <w:pPr>
        <w:pStyle w:val="StandardWeb"/>
      </w:pPr>
      <w:r>
        <w:t>Sei</w:t>
      </w:r>
    </w:p>
    <w:p w:rsidR="00C961E8" w:rsidRDefault="00C961E8" w:rsidP="00C961E8">
      <w:pPr>
        <w:pStyle w:val="StandardWeb"/>
      </w:pPr>
      <w:r>
        <w:t>[</w:t>
      </w:r>
      <w:r>
        <w:br/>
        <w:t>\Theta_{\mathrm{zul}}^{(1)}</w:t>
      </w:r>
      <w:r>
        <w:br/>
        <w:t>\neq</w:t>
      </w:r>
      <w:r>
        <w:br/>
        <w:t>\Theta_{\mathrm{zul}}^{(2)}.</w:t>
      </w:r>
      <w:r>
        <w:br/>
        <w:t>\tag{3.7288}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\Theta_{\mathrm{zul}}^{(1)}\neq\Theta_{\mathrm{zul}}^{(2)}\qquad\text{(3.7288)}</w:t>
      </w:r>
    </w:p>
    <w:p w:rsidR="00C961E8" w:rsidRDefault="00C961E8" w:rsidP="00C961E8">
      <w:pPr>
        <w:pStyle w:val="StandardWeb"/>
      </w:pPr>
      <w:r>
        <w:t>Dann können die daraus resultierenden Robustheitsgrade verschieden sein:</w:t>
      </w:r>
    </w:p>
    <w:p w:rsidR="00C961E8" w:rsidRDefault="00C961E8" w:rsidP="00C961E8">
      <w:pPr>
        <w:pStyle w:val="StandardWeb"/>
      </w:pPr>
      <w:r>
        <w:t>[</w:t>
      </w:r>
      <w:r>
        <w:br/>
        <w:t>R_{\theta}^{(1)}</w:t>
      </w:r>
      <w:r>
        <w:br/>
        <w:t>\neq</w:t>
      </w:r>
      <w:r>
        <w:br/>
        <w:t>R_{\theta}^{(2)}.</w:t>
      </w:r>
      <w:r>
        <w:br/>
        <w:t>\tag{3.7289}</w:t>
      </w:r>
      <w:r>
        <w:br/>
        <w:t>]</w:t>
      </w:r>
    </w:p>
    <w:p w:rsidR="00C961E8" w:rsidRDefault="00C961E8" w:rsidP="00C961E8">
      <w:pPr>
        <w:pStyle w:val="StandardWeb"/>
      </w:pPr>
      <w:r>
        <w:rPr>
          <w:rStyle w:val="Fett"/>
        </w:rPr>
        <w:lastRenderedPageBreak/>
        <w:t>Word-LaTeX</w:t>
      </w:r>
    </w:p>
    <w:p w:rsidR="00C961E8" w:rsidRDefault="00C961E8" w:rsidP="00C961E8">
      <w:pPr>
        <w:pStyle w:val="HTMLVorformatiert"/>
        <w:rPr>
          <w:rStyle w:val="HTMLCode"/>
        </w:rPr>
      </w:pPr>
      <w:r>
        <w:rPr>
          <w:rStyle w:val="HTMLCode"/>
        </w:rPr>
        <w:t>R_{\theta}^{(1)}\neq R_{\theta}^{(2)}\qquad\text{(3.7289)}</w:t>
      </w:r>
    </w:p>
    <w:p w:rsidR="00C961E8" w:rsidRDefault="00C961E8" w:rsidP="00C961E8">
      <w:pPr>
        <w:pStyle w:val="StandardWeb"/>
      </w:pPr>
      <w:r>
        <w:t>Daraus folgt, dass die Begründung des zulässigen Parameterraums Bestandteil der Robustheitsanalyse ist.</w:t>
      </w:r>
    </w:p>
    <w:p w:rsidR="00C961E8" w:rsidRDefault="00E50336" w:rsidP="00C961E8">
      <w:r>
        <w:pict>
          <v:rect id="_x0000_i1531" style="width:0;height:1.5pt" o:hralign="center" o:hrstd="t" o:hr="t" fillcolor="#a0a0a0" stroked="f"/>
        </w:pict>
      </w:r>
    </w:p>
    <w:p w:rsidR="00C961E8" w:rsidRDefault="00C961E8" w:rsidP="00C961E8">
      <w:pPr>
        <w:pStyle w:val="berschrift2"/>
      </w:pPr>
      <w:r>
        <w:t>3.3.40.257 Parameterraumsensitivität</w:t>
      </w:r>
    </w:p>
    <w:p w:rsidR="00C961E8" w:rsidRDefault="00C961E8" w:rsidP="00C961E8">
      <w:pPr>
        <w:pStyle w:val="StandardWeb"/>
      </w:pPr>
      <w:r>
        <w:t>Ich definiere</w:t>
      </w:r>
    </w:p>
    <w:p w:rsidR="00C961E8" w:rsidRDefault="00C961E8" w:rsidP="00C961E8">
      <w:pPr>
        <w:pStyle w:val="berschrift1"/>
      </w:pPr>
      <w:r>
        <w:t>[</w:t>
      </w:r>
      <w:r>
        <w:br/>
        <w:t>R_{\Theta}</w:t>
      </w:r>
    </w:p>
    <w:p w:rsidR="00C961E8" w:rsidRDefault="00C961E8" w:rsidP="00C961E8">
      <w:pPr>
        <w:pStyle w:val="StandardWeb"/>
      </w:pPr>
      <w:r>
        <w:t>\operatorname{Stabilität}</w:t>
      </w:r>
      <w:r>
        <w:br/>
        <w:t>\left(</w:t>
      </w:r>
      <w:r>
        <w:br/>
        <w:t>R_{\theta}</w:t>
      </w:r>
      <w:r>
        <w:br/>
        <w:t>\mid</w:t>
      </w:r>
      <w:r>
        <w:br/>
        <w:t>\Theta_{\mathrm{zul}}</w:t>
      </w:r>
      <w:r>
        <w:br/>
        <w:t>\right).</w:t>
      </w:r>
      <w:r>
        <w:br/>
        <w:t>\tag{3.7290}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R_{\Theta}=\operatorname{Stabilität}\left(R_{\theta}\mid\Theta_{\mathrm{zul}}\right)\qquad\text{(3.7290)}</w:t>
      </w:r>
    </w:p>
    <w:p w:rsidR="00C961E8" w:rsidRDefault="00C961E8" w:rsidP="00C961E8">
      <w:pPr>
        <w:pStyle w:val="StandardWeb"/>
      </w:pPr>
      <w:r>
        <w:t>Damit wird geprüft, ob die Robustheitsbewertung selbst empfindlich gegenüber der Festlegung des untersuchten Parameterbereichs ist.</w:t>
      </w:r>
    </w:p>
    <w:p w:rsidR="00C961E8" w:rsidRDefault="00E50336" w:rsidP="00C961E8">
      <w:r>
        <w:pict>
          <v:rect id="_x0000_i1532" style="width:0;height:1.5pt" o:hralign="center" o:hrstd="t" o:hr="t" fillcolor="#a0a0a0" stroked="f"/>
        </w:pict>
      </w:r>
    </w:p>
    <w:p w:rsidR="00C961E8" w:rsidRDefault="00C961E8" w:rsidP="00C961E8">
      <w:pPr>
        <w:pStyle w:val="berschrift2"/>
      </w:pPr>
      <w:r>
        <w:t>3.3.40.258 Metarobustheit der Parameteranalyse</w:t>
      </w:r>
    </w:p>
    <w:p w:rsidR="00C961E8" w:rsidRDefault="00C961E8" w:rsidP="00C961E8">
      <w:pPr>
        <w:pStyle w:val="StandardWeb"/>
      </w:pPr>
      <w:r>
        <w:t>Die Parameterrobustheitsanalyse besitzt somit selbst methodische Entscheidungen.</w:t>
      </w:r>
    </w:p>
    <w:p w:rsidR="00C961E8" w:rsidRDefault="00C961E8" w:rsidP="00C961E8">
      <w:pPr>
        <w:pStyle w:val="StandardWeb"/>
      </w:pPr>
      <w:r>
        <w:t>Ich fasse diese Metaebene zusammen als</w:t>
      </w:r>
    </w:p>
    <w:p w:rsidR="00C961E8" w:rsidRDefault="00C961E8" w:rsidP="00C961E8">
      <w:pPr>
        <w:pStyle w:val="berschrift1"/>
      </w:pPr>
      <w:r>
        <w:t>[</w:t>
      </w:r>
      <w:r>
        <w:br/>
        <w:t>R_{\mathrm{meta},\theta}</w:t>
      </w:r>
    </w:p>
    <w:p w:rsidR="00C961E8" w:rsidRDefault="00C961E8" w:rsidP="00C961E8">
      <w:pPr>
        <w:pStyle w:val="StandardWeb"/>
      </w:pPr>
      <w:r>
        <w:t>\mathcal{R}</w:t>
      </w:r>
      <w:r>
        <w:br/>
        <w:t>\left(</w:t>
      </w:r>
      <w:r>
        <w:br/>
        <w:t>R_{\mathrm{norm}},</w:t>
      </w:r>
      <w:r>
        <w:br/>
        <w:t>R_{\Theta},</w:t>
      </w:r>
      <w:r>
        <w:br/>
      </w:r>
      <w:r>
        <w:lastRenderedPageBreak/>
        <w:t>R_{\mathrm{method}}</w:t>
      </w:r>
      <w:r>
        <w:br/>
        <w:t>\right).</w:t>
      </w:r>
      <w:r>
        <w:br/>
        <w:t>\tag{3.7291}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R_{\mathrm{meta},\theta}=\mathcal{R}\left(R_{\mathrm{norm}},R_{\Theta},R_{\mathrm{method}}\right)\qquad\text{(3.7291)}</w:t>
      </w:r>
    </w:p>
    <w:p w:rsidR="00C961E8" w:rsidRDefault="00C961E8" w:rsidP="00C961E8">
      <w:pPr>
        <w:pStyle w:val="StandardWeb"/>
      </w:pPr>
      <w:r>
        <w:t>Dabei bezeichnet (R_{\mathrm{method}}) die Stabilität gegenüber verschiedenen zulässigen Sensitivitätsverfahren.</w:t>
      </w:r>
    </w:p>
    <w:p w:rsidR="00C961E8" w:rsidRDefault="00E50336" w:rsidP="00C961E8">
      <w:r>
        <w:pict>
          <v:rect id="_x0000_i1533" style="width:0;height:1.5pt" o:hralign="center" o:hrstd="t" o:hr="t" fillcolor="#a0a0a0" stroked="f"/>
        </w:pict>
      </w:r>
    </w:p>
    <w:p w:rsidR="00C961E8" w:rsidRDefault="00C961E8" w:rsidP="00C961E8">
      <w:pPr>
        <w:pStyle w:val="berschrift2"/>
      </w:pPr>
      <w:r>
        <w:t>3.3.40.259 Parameterrobustheit verschiedener Sensitivitätsmethoden</w:t>
      </w:r>
    </w:p>
    <w:p w:rsidR="00C961E8" w:rsidRDefault="00C961E8" w:rsidP="00C961E8">
      <w:pPr>
        <w:pStyle w:val="StandardWeb"/>
      </w:pPr>
      <w:r>
        <w:t>Seien</w:t>
      </w:r>
    </w:p>
    <w:p w:rsidR="00C961E8" w:rsidRDefault="00C961E8" w:rsidP="00C961E8">
      <w:pPr>
        <w:pStyle w:val="StandardWeb"/>
      </w:pPr>
      <w:r>
        <w:t>[</w:t>
      </w:r>
      <w:r>
        <w:br/>
        <w:t>\mathcal{S}_1,</w:t>
      </w:r>
      <w:r>
        <w:br/>
        <w:t>\mathcal{S}_2,</w:t>
      </w:r>
      <w:r>
        <w:br/>
        <w:t>\ldots,</w:t>
      </w:r>
      <w:r>
        <w:br/>
        <w:t>\mathcal{S}_m</w:t>
      </w:r>
      <w:r>
        <w:br/>
        <w:t>\tag{3.7292}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\mathcal{S}_1,\mathcal{S}_2,\ldots,\mathcal{S}_m\qquad\text{(3.7292)}</w:t>
      </w:r>
    </w:p>
    <w:p w:rsidR="00C961E8" w:rsidRDefault="00C961E8" w:rsidP="00C961E8">
      <w:pPr>
        <w:pStyle w:val="StandardWeb"/>
      </w:pPr>
      <w:r>
        <w:t>verschiedene Sensitivitätsmethoden.</w:t>
      </w:r>
    </w:p>
    <w:p w:rsidR="00C961E8" w:rsidRDefault="00C961E8" w:rsidP="00C961E8">
      <w:pPr>
        <w:pStyle w:val="StandardWeb"/>
      </w:pPr>
      <w:r>
        <w:t>Die resultierenden Parameterordnungen seien</w:t>
      </w:r>
    </w:p>
    <w:p w:rsidR="00C961E8" w:rsidRDefault="00C961E8" w:rsidP="00C961E8">
      <w:pPr>
        <w:pStyle w:val="StandardWeb"/>
      </w:pPr>
      <w:r>
        <w:t>[</w:t>
      </w:r>
      <w:r>
        <w:br/>
        <w:t>\pi_1,</w:t>
      </w:r>
      <w:r>
        <w:br/>
        <w:t>\pi_2,</w:t>
      </w:r>
      <w:r>
        <w:br/>
        <w:t>\ldots,</w:t>
      </w:r>
      <w:r>
        <w:br/>
        <w:t>\pi_m.</w:t>
      </w:r>
      <w:r>
        <w:br/>
        <w:t>\tag{3.7293}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\pi_1,\pi_2,\ldots,\pi_m\qquad\text{(3.7293)}</w:t>
      </w:r>
    </w:p>
    <w:p w:rsidR="00C961E8" w:rsidRDefault="00C961E8" w:rsidP="00C961E8">
      <w:pPr>
        <w:pStyle w:val="StandardWeb"/>
      </w:pPr>
      <w:r>
        <w:t>Eine robuste Sensitivitätsrangfolge sollte zwischen methodisch unterschiedlichen Verfahren weitgehend erhalten bleiben.</w:t>
      </w:r>
    </w:p>
    <w:p w:rsidR="00C961E8" w:rsidRDefault="00E50336" w:rsidP="00C961E8">
      <w:r>
        <w:lastRenderedPageBreak/>
        <w:pict>
          <v:rect id="_x0000_i1534" style="width:0;height:1.5pt" o:hralign="center" o:hrstd="t" o:hr="t" fillcolor="#a0a0a0" stroked="f"/>
        </w:pict>
      </w:r>
    </w:p>
    <w:p w:rsidR="00C961E8" w:rsidRDefault="00C961E8" w:rsidP="00C961E8">
      <w:pPr>
        <w:pStyle w:val="berschrift2"/>
      </w:pPr>
      <w:r>
        <w:t>3.3.40.260 Sensitivitätskonsens</w:t>
      </w:r>
    </w:p>
    <w:p w:rsidR="00C961E8" w:rsidRDefault="00C961E8" w:rsidP="00C961E8">
      <w:pPr>
        <w:pStyle w:val="StandardWeb"/>
      </w:pPr>
      <w:r>
        <w:t>Ich definiere abstrakt</w:t>
      </w:r>
    </w:p>
    <w:p w:rsidR="00C961E8" w:rsidRDefault="00C961E8" w:rsidP="00C961E8">
      <w:pPr>
        <w:pStyle w:val="berschrift1"/>
      </w:pPr>
      <w:r>
        <w:t>[</w:t>
      </w:r>
      <w:r>
        <w:br/>
        <w:t>C_{\mathrm{sens}}</w:t>
      </w:r>
    </w:p>
    <w:p w:rsidR="00C961E8" w:rsidRDefault="00C961E8" w:rsidP="00C961E8">
      <w:pPr>
        <w:pStyle w:val="StandardWeb"/>
      </w:pPr>
      <w:r>
        <w:t>\operatorname{Consensus}</w:t>
      </w:r>
      <w:r>
        <w:br/>
        <w:t>\left(</w:t>
      </w:r>
      <w:r>
        <w:br/>
        <w:t>\pi_1,</w:t>
      </w:r>
      <w:r>
        <w:br/>
        <w:t>\ldots,</w:t>
      </w:r>
      <w:r>
        <w:br/>
        <w:t>\pi_m</w:t>
      </w:r>
      <w:r>
        <w:br/>
        <w:t>\right).</w:t>
      </w:r>
      <w:r>
        <w:br/>
        <w:t>\tag{3.7294}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C_{\mathrm{sens}}=\operatorname{Consensus}\left(\pi_1,\ldots,\pi_m\right)\qquad\text{(3.7294)}</w:t>
      </w:r>
    </w:p>
    <w:p w:rsidR="00C961E8" w:rsidRDefault="00C961E8" w:rsidP="00C961E8">
      <w:pPr>
        <w:pStyle w:val="StandardWeb"/>
      </w:pPr>
      <w:r>
        <w:t>Ein hoher Sensitivitätskonsens stärkt die Aussage, dass bestimmte Parameter tatsächlich besonders einflussreich sind.</w:t>
      </w:r>
    </w:p>
    <w:p w:rsidR="00C961E8" w:rsidRDefault="00E50336" w:rsidP="00C961E8">
      <w:r>
        <w:pict>
          <v:rect id="_x0000_i1535" style="width:0;height:1.5pt" o:hralign="center" o:hrstd="t" o:hr="t" fillcolor="#a0a0a0" stroked="f"/>
        </w:pict>
      </w:r>
    </w:p>
    <w:p w:rsidR="00C961E8" w:rsidRDefault="00C961E8" w:rsidP="00C961E8">
      <w:pPr>
        <w:pStyle w:val="berschrift2"/>
      </w:pPr>
      <w:r>
        <w:t>3.3.40.261 Parameterrobustheit und Reproduzierbarkeit</w:t>
      </w:r>
    </w:p>
    <w:p w:rsidR="00C961E8" w:rsidRDefault="00C961E8" w:rsidP="00C961E8">
      <w:pPr>
        <w:pStyle w:val="StandardWeb"/>
      </w:pPr>
      <w:r>
        <w:t>Wie bereits bei der Operationalisierung gilt auch hier:</w:t>
      </w:r>
    </w:p>
    <w:p w:rsidR="00C961E8" w:rsidRDefault="00C961E8" w:rsidP="00C961E8">
      <w:pPr>
        <w:pStyle w:val="StandardWeb"/>
      </w:pPr>
      <w:r>
        <w:t>Eine Parametersimulation kann vollständig reproduzierbar sein und dennoch eine fragile Aussage erzeugen.</w:t>
      </w:r>
    </w:p>
    <w:p w:rsidR="00C961E8" w:rsidRDefault="00C961E8" w:rsidP="00C961E8">
      <w:pPr>
        <w:pStyle w:val="StandardWeb"/>
      </w:pPr>
      <w:r>
        <w:t>Formal:</w:t>
      </w:r>
    </w:p>
    <w:p w:rsidR="00C961E8" w:rsidRDefault="00C961E8" w:rsidP="00C961E8">
      <w:pPr>
        <w:pStyle w:val="berschrift1"/>
      </w:pPr>
      <w:r>
        <w:t>[</w:t>
      </w:r>
      <w:r>
        <w:br/>
        <w:t>C_{\mathrm{rep}}</w:t>
      </w:r>
    </w:p>
    <w:p w:rsidR="00C961E8" w:rsidRDefault="00C961E8" w:rsidP="00C961E8">
      <w:pPr>
        <w:pStyle w:val="berschrift1"/>
      </w:pPr>
      <w:r>
        <w:t>1</w:t>
      </w:r>
      <w:r>
        <w:br/>
        <w:t>\nRightarrow</w:t>
      </w:r>
      <w:r>
        <w:br/>
        <w:t>R_{\theta}</w:t>
      </w:r>
    </w:p>
    <w:p w:rsidR="00C961E8" w:rsidRDefault="00C961E8" w:rsidP="008C5E65">
      <w:pPr>
        <w:numPr>
          <w:ilvl w:val="0"/>
          <w:numId w:val="343"/>
        </w:numPr>
        <w:spacing w:before="100" w:beforeAutospacing="1" w:after="100" w:afterAutospacing="1"/>
      </w:pPr>
    </w:p>
    <w:p w:rsidR="00C961E8" w:rsidRDefault="00C961E8" w:rsidP="00C961E8">
      <w:pPr>
        <w:pStyle w:val="StandardWeb"/>
      </w:pPr>
      <w:r>
        <w:lastRenderedPageBreak/>
        <w:t>\tag{3.7295}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C_{\mathrm{rep}}=1\nRightarrow R_{\theta}=1\qquad\text{(3.7295)}</w:t>
      </w:r>
    </w:p>
    <w:p w:rsidR="00C961E8" w:rsidRDefault="00C961E8" w:rsidP="00C961E8">
      <w:pPr>
        <w:pStyle w:val="StandardWeb"/>
      </w:pPr>
      <w:r>
        <w:t>Technische Wiederholbarkeit ersetzt keine Parameterraumanalyse.</w:t>
      </w:r>
    </w:p>
    <w:p w:rsidR="00C961E8" w:rsidRDefault="00E50336" w:rsidP="00C961E8">
      <w:r>
        <w:pict>
          <v:rect id="_x0000_i1536" style="width:0;height:1.5pt" o:hralign="center" o:hrstd="t" o:hr="t" fillcolor="#a0a0a0" stroked="f"/>
        </w:pict>
      </w:r>
    </w:p>
    <w:p w:rsidR="00C961E8" w:rsidRDefault="00C961E8" w:rsidP="00C961E8">
      <w:pPr>
        <w:pStyle w:val="berschrift2"/>
      </w:pPr>
      <w:r>
        <w:t>3.3.40.262 Parameterrobustheit und Modellvalidität</w:t>
      </w:r>
    </w:p>
    <w:p w:rsidR="00C961E8" w:rsidRDefault="00C961E8" w:rsidP="00C961E8">
      <w:pPr>
        <w:pStyle w:val="StandardWeb"/>
      </w:pPr>
      <w:r>
        <w:t>Ebenso gilt</w:t>
      </w:r>
    </w:p>
    <w:p w:rsidR="00C961E8" w:rsidRDefault="00C961E8" w:rsidP="00C961E8">
      <w:pPr>
        <w:pStyle w:val="StandardWeb"/>
      </w:pPr>
      <w:r>
        <w:t>[</w:t>
      </w:r>
      <w:r>
        <w:br/>
        <w:t>R_{\theta}</w:t>
      </w:r>
      <w:r>
        <w:br/>
        <w:t>\text{ hoch}</w:t>
      </w:r>
      <w:r>
        <w:br/>
        <w:t>\nRightarrow</w:t>
      </w:r>
      <w:r>
        <w:br/>
        <w:t>V_{\mathcal{M}}</w:t>
      </w:r>
      <w:r>
        <w:br/>
        <w:t>\text{ hoch}.</w:t>
      </w:r>
      <w:r>
        <w:br/>
        <w:t>\tag{3.7296}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R_{\theta}\text{ hoch}\nRightarrow V_{\mathcal{M}}\text{ hoch}\qquad\text{(3.7296)}</w:t>
      </w:r>
    </w:p>
    <w:p w:rsidR="00C961E8" w:rsidRDefault="00C961E8" w:rsidP="00C961E8">
      <w:pPr>
        <w:pStyle w:val="StandardWeb"/>
      </w:pPr>
      <w:r>
        <w:t>Ein Modell kann über einen großen Parameterbereich konsistent dieselbe falsche Struktur erzeugen.</w:t>
      </w:r>
    </w:p>
    <w:p w:rsidR="00C961E8" w:rsidRDefault="00C961E8" w:rsidP="00C961E8">
      <w:pPr>
        <w:pStyle w:val="StandardWeb"/>
      </w:pPr>
      <w:r>
        <w:t>Damit bleiben Robustheit und Validität getrennte wissenschaftliche Qualitätsdimensionen.</w:t>
      </w:r>
    </w:p>
    <w:p w:rsidR="00C961E8" w:rsidRDefault="00E50336" w:rsidP="00C961E8">
      <w:r>
        <w:pict>
          <v:rect id="_x0000_i1537" style="width:0;height:1.5pt" o:hralign="center" o:hrstd="t" o:hr="t" fillcolor="#a0a0a0" stroked="f"/>
        </w:pict>
      </w:r>
    </w:p>
    <w:p w:rsidR="00C961E8" w:rsidRDefault="00C961E8" w:rsidP="00C961E8">
      <w:pPr>
        <w:pStyle w:val="berschrift2"/>
      </w:pPr>
      <w:r>
        <w:t>3.3.40.263 Parameterrobustheit und Falsifizierbarkeit</w:t>
      </w:r>
    </w:p>
    <w:p w:rsidR="00C961E8" w:rsidRDefault="00C961E8" w:rsidP="00C961E8">
      <w:pPr>
        <w:pStyle w:val="StandardWeb"/>
      </w:pPr>
      <w:r>
        <w:t>Eine besonders hohe Parameterflexibilität kann die Falsifizierbarkeit schwächen.</w:t>
      </w:r>
    </w:p>
    <w:p w:rsidR="00C961E8" w:rsidRDefault="00C961E8" w:rsidP="00C961E8">
      <w:pPr>
        <w:pStyle w:val="StandardWeb"/>
      </w:pPr>
      <w:r>
        <w:t>Wenn</w:t>
      </w:r>
    </w:p>
    <w:p w:rsidR="00C961E8" w:rsidRDefault="00C961E8" w:rsidP="00C961E8">
      <w:pPr>
        <w:pStyle w:val="berschrift1"/>
      </w:pPr>
      <w:r>
        <w:t>[</w:t>
      </w:r>
      <w:r>
        <w:br/>
        <w:t>\forall</w:t>
      </w:r>
      <w:r>
        <w:br/>
        <w:t>\mathcal{D}</w:t>
      </w:r>
      <w:r>
        <w:br/>
        <w:t>\quad</w:t>
      </w:r>
      <w:r>
        <w:br/>
        <w:t>\exists</w:t>
      </w:r>
      <w:r>
        <w:br/>
      </w:r>
      <w:r>
        <w:lastRenderedPageBreak/>
        <w:t>\boldsymbol{\theta}</w:t>
      </w:r>
      <w:r>
        <w:br/>
        <w:t>:</w:t>
      </w:r>
      <w:r>
        <w:br/>
        <w:t>A_F</w:t>
      </w:r>
      <w:r>
        <w:br/>
        <w:t>\left(</w:t>
      </w:r>
      <w:r>
        <w:br/>
        <w:t>\boldsymbol{\theta},</w:t>
      </w:r>
      <w:r>
        <w:br/>
        <w:t>\mathcal{D}</w:t>
      </w:r>
      <w:r>
        <w:br/>
        <w:t>\right)</w:t>
      </w:r>
    </w:p>
    <w:p w:rsidR="00C961E8" w:rsidRDefault="00C961E8" w:rsidP="00C961E8">
      <w:pPr>
        <w:pStyle w:val="StandardWeb"/>
      </w:pPr>
      <w:r>
        <w:t>1,</w:t>
      </w:r>
      <w:r>
        <w:br/>
        <w:t>\tag{3.7297}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\forall\mathcal{D}\quad\exists\boldsymbol{\theta}:A_F\left(\boldsymbol{\theta},\mathcal{D}\right)=1\qquad\text{(3.7297)}</w:t>
      </w:r>
    </w:p>
    <w:p w:rsidR="00C961E8" w:rsidRDefault="00C961E8" w:rsidP="00C961E8">
      <w:pPr>
        <w:pStyle w:val="StandardWeb"/>
      </w:pPr>
      <w:r>
        <w:t>kann ein positives Ergebnis allein kaum zwischen Theorie und Parameteranpassung unterscheiden.</w:t>
      </w:r>
    </w:p>
    <w:p w:rsidR="00C961E8" w:rsidRDefault="00E50336" w:rsidP="00C961E8">
      <w:r>
        <w:pict>
          <v:rect id="_x0000_i1538" style="width:0;height:1.5pt" o:hralign="center" o:hrstd="t" o:hr="t" fillcolor="#a0a0a0" stroked="f"/>
        </w:pict>
      </w:r>
    </w:p>
    <w:p w:rsidR="00C961E8" w:rsidRDefault="00C961E8" w:rsidP="00C961E8">
      <w:pPr>
        <w:pStyle w:val="berschrift2"/>
      </w:pPr>
      <w:r>
        <w:t>3.3.40.264 Vorab begründeter Parameterraum</w:t>
      </w:r>
    </w:p>
    <w:p w:rsidR="00C961E8" w:rsidRDefault="00C961E8" w:rsidP="00C961E8">
      <w:pPr>
        <w:pStyle w:val="StandardWeb"/>
      </w:pPr>
      <w:r>
        <w:t>Deshalb fordere ich</w:t>
      </w:r>
    </w:p>
    <w:p w:rsidR="00C961E8" w:rsidRDefault="00C961E8" w:rsidP="00C961E8">
      <w:pPr>
        <w:pStyle w:val="StandardWeb"/>
      </w:pPr>
      <w:r>
        <w:t>[</w:t>
      </w:r>
      <w:r>
        <w:br/>
        <w:t>\Theta_{\mathrm{zul}}</w:t>
      </w:r>
      <w:r>
        <w:br/>
        <w:t>\quad</w:t>
      </w:r>
      <w:r>
        <w:br/>
        <w:t>\text{vor der zentralen Ergebnisinterpretation festzulegen oder zu begründen.}</w:t>
      </w:r>
      <w:r>
        <w:br/>
        <w:t>\tag{3.7298}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\Theta_{\mathrm{zul}}\quad\text{vor der zentralen Ergebnisinterpretation festzulegen oder zu begründen.}\qquad\text{(3.7298)}</w:t>
      </w:r>
    </w:p>
    <w:p w:rsidR="00C961E8" w:rsidRDefault="00C961E8" w:rsidP="00C961E8">
      <w:pPr>
        <w:pStyle w:val="StandardWeb"/>
      </w:pPr>
      <w:r>
        <w:t>Nachträgliche Änderungen bleiben möglich, müssen jedoch als Modellrevision dokumentiert werden.</w:t>
      </w:r>
    </w:p>
    <w:p w:rsidR="00C961E8" w:rsidRDefault="00E50336" w:rsidP="00C961E8">
      <w:r>
        <w:pict>
          <v:rect id="_x0000_i1539" style="width:0;height:1.5pt" o:hralign="center" o:hrstd="t" o:hr="t" fillcolor="#a0a0a0" stroked="f"/>
        </w:pict>
      </w:r>
    </w:p>
    <w:p w:rsidR="00C961E8" w:rsidRDefault="00C961E8" w:rsidP="00C961E8">
      <w:pPr>
        <w:pStyle w:val="berschrift2"/>
      </w:pPr>
      <w:r>
        <w:t>3.3.40.265 Präregistrierte Parameteranalyse</w:t>
      </w:r>
    </w:p>
    <w:p w:rsidR="00C961E8" w:rsidRDefault="00C961E8" w:rsidP="00C961E8">
      <w:pPr>
        <w:pStyle w:val="StandardWeb"/>
      </w:pPr>
      <w:r>
        <w:t>Eine präregistrierte Parameterregion sei</w:t>
      </w:r>
    </w:p>
    <w:p w:rsidR="00C961E8" w:rsidRDefault="00C961E8" w:rsidP="00C961E8">
      <w:pPr>
        <w:pStyle w:val="StandardWeb"/>
      </w:pPr>
      <w:r>
        <w:lastRenderedPageBreak/>
        <w:t>[</w:t>
      </w:r>
      <w:r>
        <w:br/>
        <w:t>\Theta_{\mathrm{pre}}.</w:t>
      </w:r>
      <w:r>
        <w:br/>
        <w:t>\tag{3.7299}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\Theta_{\mathrm{pre}}\qquad\text{(3.7299)}</w:t>
      </w:r>
    </w:p>
    <w:p w:rsidR="00C961E8" w:rsidRDefault="00C961E8" w:rsidP="00C961E8">
      <w:pPr>
        <w:pStyle w:val="StandardWeb"/>
      </w:pPr>
      <w:r>
        <w:t>Die tatsächlich getestete Region sei</w:t>
      </w:r>
    </w:p>
    <w:p w:rsidR="00C961E8" w:rsidRDefault="00C961E8" w:rsidP="00C961E8">
      <w:pPr>
        <w:pStyle w:val="StandardWeb"/>
      </w:pPr>
      <w:r>
        <w:t>[</w:t>
      </w:r>
      <w:r>
        <w:br/>
        <w:t>\Theta_{\mathrm{test}}.</w:t>
      </w:r>
      <w:r>
        <w:br/>
        <w:t>\tag{3.7300}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\Theta_{\mathrm{test}}\qquad\text{(3.7300)}</w:t>
      </w:r>
    </w:p>
    <w:p w:rsidR="00C961E8" w:rsidRDefault="00C961E8" w:rsidP="00C961E8">
      <w:pPr>
        <w:pStyle w:val="StandardWeb"/>
      </w:pPr>
      <w:r>
        <w:t>Idealerweise gilt</w:t>
      </w:r>
    </w:p>
    <w:p w:rsidR="00C961E8" w:rsidRDefault="00C961E8" w:rsidP="00C961E8">
      <w:pPr>
        <w:pStyle w:val="berschrift1"/>
      </w:pPr>
      <w:r>
        <w:t>[</w:t>
      </w:r>
      <w:r>
        <w:br/>
        <w:t>\Theta_{\mathrm{test}}</w:t>
      </w:r>
    </w:p>
    <w:p w:rsidR="00C961E8" w:rsidRDefault="00C961E8" w:rsidP="00C961E8">
      <w:pPr>
        <w:pStyle w:val="StandardWeb"/>
      </w:pPr>
      <w:r>
        <w:t>\Theta_{\mathrm{pre}}.</w:t>
      </w:r>
      <w:r>
        <w:br/>
        <w:t>\tag{3.7301}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\Theta_{\mathrm{test}}=\Theta_{\mathrm{pre}}\qquad\text{(3.7301)}</w:t>
      </w:r>
    </w:p>
    <w:p w:rsidR="00C961E8" w:rsidRDefault="00C961E8" w:rsidP="00C961E8">
      <w:pPr>
        <w:pStyle w:val="StandardWeb"/>
      </w:pPr>
      <w:r>
        <w:t>Abweichungen müssen transparent dokumentiert werden.</w:t>
      </w:r>
    </w:p>
    <w:p w:rsidR="00C961E8" w:rsidRDefault="00E50336" w:rsidP="00C961E8">
      <w:r>
        <w:pict>
          <v:rect id="_x0000_i1540" style="width:0;height:1.5pt" o:hralign="center" o:hrstd="t" o:hr="t" fillcolor="#a0a0a0" stroked="f"/>
        </w:pict>
      </w:r>
    </w:p>
    <w:p w:rsidR="00C961E8" w:rsidRDefault="00C961E8" w:rsidP="00C961E8">
      <w:pPr>
        <w:pStyle w:val="berschrift2"/>
      </w:pPr>
      <w:r>
        <w:t>3.3.40.266 Selektive Parameterberichterstattung</w:t>
      </w:r>
    </w:p>
    <w:p w:rsidR="00C961E8" w:rsidRDefault="00C961E8" w:rsidP="00C961E8">
      <w:pPr>
        <w:pStyle w:val="StandardWeb"/>
      </w:pPr>
      <w:r>
        <w:t>Eine berichtete Teilmenge sei</w:t>
      </w:r>
    </w:p>
    <w:p w:rsidR="00C961E8" w:rsidRDefault="00C961E8" w:rsidP="00C961E8">
      <w:pPr>
        <w:pStyle w:val="StandardWeb"/>
      </w:pPr>
      <w:r>
        <w:t>[</w:t>
      </w:r>
      <w:r>
        <w:br/>
        <w:t>\Theta_{\mathrm{rep}}</w:t>
      </w:r>
      <w:r>
        <w:br/>
        <w:t>\subseteq</w:t>
      </w:r>
      <w:r>
        <w:br/>
        <w:t>\Theta_{\mathrm{test}}.</w:t>
      </w:r>
      <w:r>
        <w:br/>
        <w:t>\tag{3.7302}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lastRenderedPageBreak/>
        <w:t>\Theta_{\mathrm{rep}}\subseteq\Theta_{\mathrm{test}}\qquad\text{(3.7302)}</w:t>
      </w:r>
    </w:p>
    <w:p w:rsidR="00C961E8" w:rsidRDefault="00C961E8" w:rsidP="00C961E8">
      <w:pPr>
        <w:pStyle w:val="StandardWeb"/>
      </w:pPr>
      <w:r>
        <w:t>Wenn</w:t>
      </w:r>
    </w:p>
    <w:p w:rsidR="00C961E8" w:rsidRDefault="00C961E8" w:rsidP="00C961E8">
      <w:pPr>
        <w:pStyle w:val="StandardWeb"/>
      </w:pPr>
      <w:r>
        <w:t>[</w:t>
      </w:r>
      <w:r>
        <w:br/>
        <w:t>\Theta_{\mathrm{rep}}</w:t>
      </w:r>
      <w:r>
        <w:br/>
        <w:t>\neq</w:t>
      </w:r>
      <w:r>
        <w:br/>
        <w:t>\Theta_{\mathrm{test}},</w:t>
      </w:r>
      <w:r>
        <w:br/>
        <w:t>\tag{3.7303}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\Theta_{\mathrm{rep}}\neq\Theta_{\mathrm{test}}\qquad\text{(3.7303)}</w:t>
      </w:r>
    </w:p>
    <w:p w:rsidR="00C961E8" w:rsidRDefault="00C961E8" w:rsidP="00C961E8">
      <w:pPr>
        <w:pStyle w:val="StandardWeb"/>
      </w:pPr>
      <w:r>
        <w:t>muss begründet werden, warum bestimmte getestete Parameterregionen nicht berichtet werden.</w:t>
      </w:r>
    </w:p>
    <w:p w:rsidR="00C961E8" w:rsidRDefault="00E50336" w:rsidP="00C961E8">
      <w:r>
        <w:pict>
          <v:rect id="_x0000_i1541" style="width:0;height:1.5pt" o:hralign="center" o:hrstd="t" o:hr="t" fillcolor="#a0a0a0" stroked="f"/>
        </w:pict>
      </w:r>
    </w:p>
    <w:p w:rsidR="00C961E8" w:rsidRDefault="00C961E8" w:rsidP="00C961E8">
      <w:pPr>
        <w:pStyle w:val="berschrift2"/>
      </w:pPr>
      <w:r>
        <w:t>3.3.40.267 Robustheitsanalyse gegen Cherry Picking</w:t>
      </w:r>
    </w:p>
    <w:p w:rsidR="00C961E8" w:rsidRDefault="00C961E8" w:rsidP="00C961E8">
      <w:pPr>
        <w:pStyle w:val="StandardWeb"/>
      </w:pPr>
      <w:r>
        <w:t>Ich definiere eine Transparenzbedingung</w:t>
      </w:r>
    </w:p>
    <w:p w:rsidR="00C961E8" w:rsidRDefault="00C961E8" w:rsidP="00C961E8">
      <w:pPr>
        <w:pStyle w:val="berschrift1"/>
      </w:pPr>
      <w:r>
        <w:t>[</w:t>
      </w:r>
      <w:r>
        <w:br/>
        <w:t>C_{\mathrm{param\ transparency}}</w:t>
      </w:r>
    </w:p>
    <w:p w:rsidR="00C961E8" w:rsidRDefault="00C961E8" w:rsidP="00C961E8">
      <w:pPr>
        <w:pStyle w:val="StandardWeb"/>
      </w:pPr>
      <w:r>
        <w:t>1</w:t>
      </w:r>
      <w:r>
        <w:br/>
        <w:t>\tag{3.7304}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C_{\mathrm{param\ transparency}}=1\qquad\text{(3.7304)}</w:t>
      </w:r>
    </w:p>
    <w:p w:rsidR="00C961E8" w:rsidRDefault="00C961E8" w:rsidP="00C961E8">
      <w:pPr>
        <w:pStyle w:val="StandardWeb"/>
      </w:pPr>
      <w:r>
        <w:t>nur dann, wenn getestete, ausgeschlossene und berichtete Parameterbereiche nachvollziehbar dokumentiert sind.</w:t>
      </w:r>
    </w:p>
    <w:p w:rsidR="00C961E8" w:rsidRDefault="00E50336" w:rsidP="00C961E8">
      <w:r>
        <w:pict>
          <v:rect id="_x0000_i1542" style="width:0;height:1.5pt" o:hralign="center" o:hrstd="t" o:hr="t" fillcolor="#a0a0a0" stroked="f"/>
        </w:pict>
      </w:r>
    </w:p>
    <w:p w:rsidR="00C961E8" w:rsidRDefault="00C961E8" w:rsidP="00C961E8">
      <w:pPr>
        <w:pStyle w:val="berschrift2"/>
      </w:pPr>
      <w:r>
        <w:t>3.3.40.268 Parameterrobustheit und wissenschaftlicher Aussagegrad</w:t>
      </w:r>
    </w:p>
    <w:p w:rsidR="00C961E8" w:rsidRDefault="00C961E8" w:rsidP="00C961E8">
      <w:pPr>
        <w:pStyle w:val="StandardWeb"/>
      </w:pPr>
      <w:r>
        <w:t>Wie schon in Abschnitt 3.3.39 kopple ich den Aussagegrad an die tatsächlich geprüfte Robustheit.</w:t>
      </w:r>
    </w:p>
    <w:p w:rsidR="00C961E8" w:rsidRDefault="00C961E8" w:rsidP="00C961E8">
      <w:pPr>
        <w:pStyle w:val="StandardWeb"/>
      </w:pPr>
      <w:r>
        <w:t>Ich unterscheide:</w:t>
      </w:r>
    </w:p>
    <w:p w:rsidR="00C961E8" w:rsidRDefault="00C961E8" w:rsidP="00C961E8">
      <w:pPr>
        <w:pStyle w:val="StandardWeb"/>
      </w:pPr>
      <w:r>
        <w:lastRenderedPageBreak/>
        <w:t>[</w:t>
      </w:r>
      <w:r>
        <w:br/>
        <w:t>A_F^{\mathrm{expl}}</w:t>
      </w:r>
      <w:r>
        <w:br/>
        <w:t>\tag{3.7305}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A_F^{\mathrm{expl}}\qquad\text{(3.7305)}</w:t>
      </w:r>
    </w:p>
    <w:p w:rsidR="00C961E8" w:rsidRDefault="00C961E8" w:rsidP="00C961E8">
      <w:pPr>
        <w:pStyle w:val="StandardWeb"/>
      </w:pPr>
      <w:r>
        <w:t>für explorative Aussagen,</w:t>
      </w:r>
    </w:p>
    <w:p w:rsidR="00C961E8" w:rsidRDefault="00C961E8" w:rsidP="00C961E8">
      <w:pPr>
        <w:pStyle w:val="StandardWeb"/>
      </w:pPr>
      <w:r>
        <w:t>[</w:t>
      </w:r>
      <w:r>
        <w:br/>
        <w:t>A_F^{\mathrm{lok}}</w:t>
      </w:r>
      <w:r>
        <w:br/>
        <w:t>\tag{3.7306}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A_F^{\mathrm{lok}}\qquad\text{(3.7306)}</w:t>
      </w:r>
    </w:p>
    <w:p w:rsidR="00C961E8" w:rsidRDefault="00C961E8" w:rsidP="00C961E8">
      <w:pPr>
        <w:pStyle w:val="StandardWeb"/>
      </w:pPr>
      <w:r>
        <w:t>für lokal robuste Aussagen,</w:t>
      </w:r>
    </w:p>
    <w:p w:rsidR="00C961E8" w:rsidRDefault="00C961E8" w:rsidP="00C961E8">
      <w:pPr>
        <w:pStyle w:val="StandardWeb"/>
      </w:pPr>
      <w:r>
        <w:t>[</w:t>
      </w:r>
      <w:r>
        <w:br/>
        <w:t>A_F^{\mathrm{glob}}</w:t>
      </w:r>
      <w:r>
        <w:br/>
        <w:t>\tag{3.7307}</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A_F^{\mathrm{glob}}\qquad\text{(3.7307)}</w:t>
      </w:r>
    </w:p>
    <w:p w:rsidR="00C961E8" w:rsidRDefault="00C961E8" w:rsidP="00C961E8">
      <w:pPr>
        <w:pStyle w:val="StandardWeb"/>
      </w:pPr>
      <w:r>
        <w:t>für global robuste Aussagen und</w:t>
      </w:r>
    </w:p>
    <w:p w:rsidR="00C961E8" w:rsidRDefault="00C961E8" w:rsidP="00C961E8">
      <w:pPr>
        <w:pStyle w:val="StandardWeb"/>
      </w:pPr>
      <w:r>
        <w:t>[</w:t>
      </w:r>
      <w:r>
        <w:br/>
        <w:t>A_F^{\mathrm{struct}}</w:t>
      </w:r>
      <w:r>
        <w:br/>
        <w:t>\tag{3.7308}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A_F^{\mathrm{struct}}\qquad\text{(3.7308)}</w:t>
      </w:r>
    </w:p>
    <w:p w:rsidR="00C961E8" w:rsidRDefault="00C961E8" w:rsidP="00C961E8">
      <w:pPr>
        <w:pStyle w:val="StandardWeb"/>
      </w:pPr>
      <w:r>
        <w:t>für zusätzlich strukturell abgesicherte Aussagen.</w:t>
      </w:r>
    </w:p>
    <w:p w:rsidR="00C961E8" w:rsidRDefault="00E50336" w:rsidP="00C961E8">
      <w:r>
        <w:pict>
          <v:rect id="_x0000_i1543" style="width:0;height:1.5pt" o:hralign="center" o:hrstd="t" o:hr="t" fillcolor="#a0a0a0" stroked="f"/>
        </w:pict>
      </w:r>
    </w:p>
    <w:p w:rsidR="00C961E8" w:rsidRDefault="00C961E8" w:rsidP="00C961E8">
      <w:pPr>
        <w:pStyle w:val="berschrift2"/>
      </w:pPr>
      <w:r>
        <w:t>3.3.40.269 Aussagehierarchie</w:t>
      </w:r>
    </w:p>
    <w:p w:rsidR="00C961E8" w:rsidRDefault="00C961E8" w:rsidP="00C961E8">
      <w:pPr>
        <w:pStyle w:val="StandardWeb"/>
      </w:pPr>
      <w:r>
        <w:t>Die methodische Evidenzhierarchie lautet</w:t>
      </w:r>
    </w:p>
    <w:p w:rsidR="00C961E8" w:rsidRDefault="00C961E8" w:rsidP="00C961E8">
      <w:pPr>
        <w:pStyle w:val="StandardWeb"/>
      </w:pPr>
      <w:r>
        <w:t>[</w:t>
      </w:r>
      <w:r>
        <w:br/>
        <w:t>A_F^{\mathrm{expl}}</w:t>
      </w:r>
      <w:r>
        <w:br/>
      </w:r>
      <w:r>
        <w:lastRenderedPageBreak/>
        <w:t>&lt;</w:t>
      </w:r>
      <w:r>
        <w:br/>
        <w:t>A_F^{\mathrm{lok}}</w:t>
      </w:r>
      <w:r>
        <w:br/>
        <w:t>&lt;</w:t>
      </w:r>
      <w:r>
        <w:br/>
        <w:t>A_F^{\mathrm{glob}}</w:t>
      </w:r>
      <w:r>
        <w:br/>
        <w:t>&lt;</w:t>
      </w:r>
      <w:r>
        <w:br/>
        <w:t>A_F^{\mathrm{struct}}.</w:t>
      </w:r>
      <w:r>
        <w:br/>
        <w:t>\tag{3.7309}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A_F^{\mathrm{expl}}&lt;A_F^{\mathrm{lok}}&lt;A_F^{\mathrm{glob}}&lt;A_F^{\mathrm{struct}}\qquad\text{(3.7309)}</w:t>
      </w:r>
    </w:p>
    <w:p w:rsidR="00C961E8" w:rsidRDefault="00C961E8" w:rsidP="00C961E8">
      <w:pPr>
        <w:pStyle w:val="StandardWeb"/>
      </w:pPr>
      <w:r>
        <w:t>Das Zeichen (&lt;) bezeichnet hier keine numerische Ordnung, sondern zunehmende methodische Absicherung.</w:t>
      </w:r>
    </w:p>
    <w:p w:rsidR="00C961E8" w:rsidRDefault="00E50336" w:rsidP="00C961E8">
      <w:r>
        <w:pict>
          <v:rect id="_x0000_i1544" style="width:0;height:1.5pt" o:hralign="center" o:hrstd="t" o:hr="t" fillcolor="#a0a0a0" stroked="f"/>
        </w:pict>
      </w:r>
    </w:p>
    <w:p w:rsidR="00C961E8" w:rsidRDefault="00C961E8" w:rsidP="00C961E8">
      <w:pPr>
        <w:pStyle w:val="berschrift2"/>
      </w:pPr>
      <w:r>
        <w:t>3.3.40.270 Erweiterte Robustheitsklassifikation</w:t>
      </w:r>
    </w:p>
    <w:p w:rsidR="00C961E8" w:rsidRDefault="00C961E8" w:rsidP="00C961E8">
      <w:pPr>
        <w:pStyle w:val="StandardWeb"/>
      </w:pPr>
      <w:r>
        <w:t>Ich erweitere die in Definition 3.3.32 angelegte Klassifikation zu</w:t>
      </w:r>
    </w:p>
    <w:p w:rsidR="00C961E8" w:rsidRDefault="00C961E8" w:rsidP="00C961E8">
      <w:pPr>
        <w:pStyle w:val="berschrift1"/>
      </w:pPr>
      <w:r>
        <w:t>[</w:t>
      </w:r>
      <w:r>
        <w:br/>
        <w:t>\mathfrak{L}_{P}^{+}</w:t>
      </w:r>
    </w:p>
    <w:p w:rsidR="00C961E8" w:rsidRDefault="00C961E8" w:rsidP="00C961E8">
      <w:pPr>
        <w:pStyle w:val="StandardWeb"/>
      </w:pPr>
      <w:r>
        <w:t>\left{</w:t>
      </w:r>
      <w:r>
        <w:br/>
        <w:t>\mathbf{fragil},</w:t>
      </w:r>
      <w:r>
        <w:br/>
        <w:t>\mathbf{lokal\ robust},</w:t>
      </w:r>
      <w:r>
        <w:br/>
        <w:t>\mathbf{global\ robust},</w:t>
      </w:r>
      <w:r>
        <w:br/>
        <w:t>\mathbf{regimerobust},</w:t>
      </w:r>
      <w:r>
        <w:br/>
        <w:t>\mathbf{strukturell\ robust},</w:t>
      </w:r>
      <w:r>
        <w:br/>
        <w:t>\mathbf{dynamisch\ resilient}</w:t>
      </w:r>
      <w:r>
        <w:br/>
        <w:t>\right}.</w:t>
      </w:r>
      <w:r>
        <w:br/>
        <w:t>\tag{3.7310}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\mathfrak{L}_{P}^{+}=\left\{\mathbf{fragil},\mathbf{lokal\ robust},\mathbf{global\ robust},\mathbf{regimerobust},\mathbf{strukturell\ robust},\mathbf{dynamisch\ resilient}\right\}\qquad\text{(3.7310)}</w:t>
      </w:r>
    </w:p>
    <w:p w:rsidR="00C961E8" w:rsidRDefault="00E50336" w:rsidP="00C961E8">
      <w:r>
        <w:pict>
          <v:rect id="_x0000_i1545" style="width:0;height:1.5pt" o:hralign="center" o:hrstd="t" o:hr="t" fillcolor="#a0a0a0" stroked="f"/>
        </w:pict>
      </w:r>
    </w:p>
    <w:p w:rsidR="00C961E8" w:rsidRDefault="00C961E8" w:rsidP="00C961E8">
      <w:pPr>
        <w:pStyle w:val="berschrift2"/>
      </w:pPr>
      <w:r>
        <w:t>3.3.40.271 Erweiterte Klassifikationsabbildung</w:t>
      </w:r>
    </w:p>
    <w:p w:rsidR="00C961E8" w:rsidRDefault="00C961E8" w:rsidP="00C961E8">
      <w:pPr>
        <w:pStyle w:val="StandardWeb"/>
      </w:pPr>
      <w:r>
        <w:t>Die Zuordnung lautet</w:t>
      </w:r>
    </w:p>
    <w:p w:rsidR="00C961E8" w:rsidRDefault="00C961E8" w:rsidP="00C961E8">
      <w:pPr>
        <w:pStyle w:val="StandardWeb"/>
      </w:pPr>
      <w:r>
        <w:t>[</w:t>
      </w:r>
      <w:r>
        <w:br/>
        <w:t>\operatorname{Klasse}</w:t>
      </w:r>
      <w:r>
        <w:rPr>
          <w:rStyle w:val="Hervorhebung"/>
        </w:rPr>
        <w:t>{P}^{+}</w:t>
      </w:r>
      <w:r>
        <w:rPr>
          <w:i/>
          <w:iCs/>
        </w:rPr>
        <w:br/>
      </w:r>
      <w:r>
        <w:rPr>
          <w:rStyle w:val="Hervorhebung"/>
        </w:rPr>
        <w:lastRenderedPageBreak/>
        <w:t>:</w:t>
      </w:r>
      <w:r>
        <w:rPr>
          <w:i/>
          <w:iCs/>
        </w:rPr>
        <w:br/>
      </w:r>
      <w:r>
        <w:rPr>
          <w:rStyle w:val="Hervorhebung"/>
        </w:rPr>
        <w:t>\mathfrak{P}</w:t>
      </w:r>
      <w:r>
        <w:t>{F}^{\mathrm{rob}}</w:t>
      </w:r>
      <w:r>
        <w:br/>
        <w:t>\rightarrow</w:t>
      </w:r>
      <w:r>
        <w:br/>
        <w:t>\mathfrak{L}_{P}^{+}.</w:t>
      </w:r>
      <w:r>
        <w:br/>
        <w:t>\tag{3.7311}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\operatorname{Klasse}_{P}^{+}:\mathfrak{P}_{F}^{\mathrm{rob}}\rightarrow\mathfrak{L}_{P}^{+}\qquad\text{(3.7311)}</w:t>
      </w:r>
    </w:p>
    <w:p w:rsidR="00C961E8" w:rsidRDefault="00C961E8" w:rsidP="00C961E8">
      <w:pPr>
        <w:pStyle w:val="StandardWeb"/>
      </w:pPr>
      <w:r>
        <w:t>Damit kann eine Aussage differenzierter bewertet werden als durch einen einzelnen Robustheitsscore.</w:t>
      </w:r>
    </w:p>
    <w:p w:rsidR="00C961E8" w:rsidRDefault="00E50336" w:rsidP="00C961E8">
      <w:r>
        <w:pict>
          <v:rect id="_x0000_i1546" style="width:0;height:1.5pt" o:hralign="center" o:hrstd="t" o:hr="t" fillcolor="#a0a0a0" stroked="f"/>
        </w:pict>
      </w:r>
    </w:p>
    <w:p w:rsidR="00C961E8" w:rsidRDefault="00C961E8" w:rsidP="00C961E8">
      <w:pPr>
        <w:pStyle w:val="berschrift2"/>
      </w:pPr>
      <w:r>
        <w:t>3.3.40.272 Erweiterter Robustheitsvektor</w:t>
      </w:r>
    </w:p>
    <w:p w:rsidR="00C961E8" w:rsidRDefault="00C961E8" w:rsidP="00C961E8">
      <w:pPr>
        <w:pStyle w:val="StandardWeb"/>
      </w:pPr>
      <w:r>
        <w:t>Ich fasse die zentralen Parameterrobustheitsdimensionen zusammen:</w:t>
      </w:r>
    </w:p>
    <w:p w:rsidR="00C961E8" w:rsidRDefault="00C961E8" w:rsidP="00C961E8">
      <w:pPr>
        <w:pStyle w:val="berschrift1"/>
      </w:pPr>
      <w:r>
        <w:t>[</w:t>
      </w:r>
      <w:r>
        <w:br/>
        <w:t>\mathbf{R}_{P}</w:t>
      </w:r>
    </w:p>
    <w:p w:rsidR="00C961E8" w:rsidRDefault="00C961E8" w:rsidP="00C961E8">
      <w:pPr>
        <w:pStyle w:val="StandardWeb"/>
      </w:pPr>
      <w:r>
        <w:t>\left(</w:t>
      </w:r>
      <w:r>
        <w:br/>
        <w:t>R_{\theta},</w:t>
      </w:r>
      <w:r>
        <w:br/>
        <w:t>R_{\delta_0},</w:t>
      </w:r>
      <w:r>
        <w:br/>
        <w:t>R_{\mathbf{b}},</w:t>
      </w:r>
      <w:r>
        <w:br/>
        <w:t>R_{\mathrm{bif}},</w:t>
      </w:r>
      <w:r>
        <w:br/>
        <w:t>R_{\mathcal{B}},</w:t>
      </w:r>
      <w:r>
        <w:br/>
        <w:t>R_{\mathrm{stoch}},</w:t>
      </w:r>
      <w:r>
        <w:br/>
        <w:t>R_{\mathrm{num}},</w:t>
      </w:r>
      <w:r>
        <w:br/>
        <w:t>R_{\mathrm{struct}}</w:t>
      </w:r>
      <w:r>
        <w:br/>
        <w:t>\right).</w:t>
      </w:r>
      <w:r>
        <w:br/>
        <w:t>\tag{3.7312}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\mathbf{R}_{P}=\left(R_{\theta},R_{\delta_0},R_{\mathbf{b}},R_{\mathrm{bif}},R_{\mathcal{B}},R_{\mathrm{stoch}},R_{\mathrm{num}},R_{\mathrm{struct}}\right)\qquad\text{(3.7312)}</w:t>
      </w:r>
    </w:p>
    <w:p w:rsidR="00C961E8" w:rsidRDefault="00C961E8" w:rsidP="00C961E8">
      <w:pPr>
        <w:pStyle w:val="StandardWeb"/>
      </w:pPr>
      <w:r>
        <w:t>Dieser Vektor ist methodisch informativer als eine vorschnelle Aggregation.</w:t>
      </w:r>
    </w:p>
    <w:p w:rsidR="00C961E8" w:rsidRDefault="00E50336" w:rsidP="00C961E8">
      <w:r>
        <w:pict>
          <v:rect id="_x0000_i1547" style="width:0;height:1.5pt" o:hralign="center" o:hrstd="t" o:hr="t" fillcolor="#a0a0a0" stroked="f"/>
        </w:pict>
      </w:r>
    </w:p>
    <w:p w:rsidR="00C961E8" w:rsidRDefault="00C961E8" w:rsidP="00C961E8">
      <w:pPr>
        <w:pStyle w:val="berschrift2"/>
      </w:pPr>
      <w:r>
        <w:t>3.3.40.273 Gesamtrobustheitsprädikat</w:t>
      </w:r>
    </w:p>
    <w:p w:rsidR="00C961E8" w:rsidRDefault="00C961E8" w:rsidP="00C961E8">
      <w:pPr>
        <w:pStyle w:val="StandardWeb"/>
      </w:pPr>
      <w:r>
        <w:t>Eine besonders strenge Bedingung kann lauten</w:t>
      </w:r>
    </w:p>
    <w:p w:rsidR="00C961E8" w:rsidRDefault="00C961E8" w:rsidP="00C961E8">
      <w:pPr>
        <w:pStyle w:val="berschrift1"/>
      </w:pPr>
      <w:r>
        <w:lastRenderedPageBreak/>
        <w:t>[</w:t>
      </w:r>
      <w:r>
        <w:br/>
        <w:t>\operatorname{GPRob}_{F}</w:t>
      </w:r>
    </w:p>
    <w:p w:rsidR="00C961E8" w:rsidRDefault="00C961E8" w:rsidP="00C961E8">
      <w:pPr>
        <w:pStyle w:val="StandardWeb"/>
      </w:pPr>
      <w:r>
        <w:t>1</w:t>
      </w:r>
      <w:r>
        <w:br/>
        <w:t>\tag{3.7313}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\operatorname{GPRob}_{F}=1\qquad\text{(3.7313)}</w:t>
      </w:r>
    </w:p>
    <w:p w:rsidR="00C961E8" w:rsidRDefault="00C961E8" w:rsidP="00C961E8">
      <w:pPr>
        <w:pStyle w:val="StandardWeb"/>
      </w:pPr>
      <w:r>
        <w:t>genau dann, wenn die für die konkrete Aussage erforderlichen Robustheitskomponenten ihre vorab begründeten Mindestbedingungen erfüllen.</w:t>
      </w:r>
    </w:p>
    <w:p w:rsidR="00C961E8" w:rsidRDefault="00C961E8" w:rsidP="00C961E8">
      <w:pPr>
        <w:pStyle w:val="StandardWeb"/>
      </w:pPr>
      <w:r>
        <w:t>Formal:</w:t>
      </w:r>
    </w:p>
    <w:p w:rsidR="00C961E8" w:rsidRDefault="00C961E8" w:rsidP="00C961E8">
      <w:pPr>
        <w:pStyle w:val="berschrift1"/>
      </w:pPr>
      <w:r>
        <w:t>[</w:t>
      </w:r>
      <w:r>
        <w:br/>
        <w:t>\operatorname{GPRob}_{F}</w:t>
      </w:r>
    </w:p>
    <w:p w:rsidR="00C961E8" w:rsidRDefault="00C961E8" w:rsidP="00C961E8">
      <w:pPr>
        <w:pStyle w:val="StandardWeb"/>
      </w:pPr>
      <w:r>
        <w:t>\bigwedge_{i\in I_A}</w:t>
      </w:r>
      <w:r>
        <w:br/>
        <w:t>C_i.</w:t>
      </w:r>
      <w:r>
        <w:br/>
        <w:t>\tag{3.7314}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\operatorname{GPRob}_{F}=\bigwedge_{i\in I_A}C_i\qquad\text{(3.7314)}</w:t>
      </w:r>
    </w:p>
    <w:p w:rsidR="00C961E8" w:rsidRDefault="00C961E8" w:rsidP="00C961E8">
      <w:pPr>
        <w:pStyle w:val="StandardWeb"/>
      </w:pPr>
      <w:r>
        <w:t>Dabei enthält (I_A) ausschließlich die für die jeweilige Aussage tatsächlich relevanten Prüfkriterien.</w:t>
      </w:r>
    </w:p>
    <w:p w:rsidR="00C961E8" w:rsidRDefault="00E50336" w:rsidP="00C961E8">
      <w:r>
        <w:pict>
          <v:rect id="_x0000_i1548" style="width:0;height:1.5pt" o:hralign="center" o:hrstd="t" o:hr="t" fillcolor="#a0a0a0" stroked="f"/>
        </w:pict>
      </w:r>
    </w:p>
    <w:p w:rsidR="00C961E8" w:rsidRDefault="00C961E8" w:rsidP="00C961E8">
      <w:pPr>
        <w:pStyle w:val="berschrift2"/>
      </w:pPr>
      <w:r>
        <w:t>3.3.40.274 Keine universelle Maximalprüfung</w:t>
      </w:r>
    </w:p>
    <w:p w:rsidR="00C961E8" w:rsidRDefault="00C961E8" w:rsidP="00C961E8">
      <w:pPr>
        <w:pStyle w:val="StandardWeb"/>
      </w:pPr>
      <w:r>
        <w:t>Nicht jede FRZK-Aussage muss sämtliche bisher eingeführten Robustheitsdimensionen erfüllen.</w:t>
      </w:r>
    </w:p>
    <w:p w:rsidR="00C961E8" w:rsidRDefault="00C961E8" w:rsidP="00C961E8">
      <w:pPr>
        <w:pStyle w:val="StandardWeb"/>
      </w:pPr>
      <w:r>
        <w:t>Eine statische deskriptive Aussage benötigt beispielsweise keine langfristige Attraktorbeckenanalyse.</w:t>
      </w:r>
    </w:p>
    <w:p w:rsidR="00C961E8" w:rsidRDefault="00C961E8" w:rsidP="00C961E8">
      <w:pPr>
        <w:pStyle w:val="StandardWeb"/>
      </w:pPr>
      <w:r>
        <w:t>Eine kausale Prognose über ein nichtlineares dynamisches System besitzt dagegen wesentlich höhere Anforderungen.</w:t>
      </w:r>
    </w:p>
    <w:p w:rsidR="00C961E8" w:rsidRDefault="00C961E8" w:rsidP="00C961E8">
      <w:pPr>
        <w:pStyle w:val="StandardWeb"/>
      </w:pPr>
      <w:r>
        <w:t>Deshalb definiere ich eine aussagespezifische Prüfmenge</w:t>
      </w:r>
    </w:p>
    <w:p w:rsidR="00C961E8" w:rsidRDefault="00C961E8" w:rsidP="00C961E8">
      <w:pPr>
        <w:pStyle w:val="StandardWeb"/>
      </w:pPr>
      <w:r>
        <w:t>[</w:t>
      </w:r>
      <w:r>
        <w:br/>
        <w:t>I_A</w:t>
      </w:r>
      <w:r>
        <w:br/>
      </w:r>
      <w:r>
        <w:lastRenderedPageBreak/>
        <w:t>\subseteq</w:t>
      </w:r>
      <w:r>
        <w:br/>
        <w:t>I_{\mathrm{all}}.</w:t>
      </w:r>
      <w:r>
        <w:br/>
        <w:t>\tag{3.7315}</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I_A\subseteq I_{\mathrm{all}}\qquad\text{(3.7315)}</w:t>
      </w:r>
    </w:p>
    <w:p w:rsidR="00C961E8" w:rsidRDefault="00E50336" w:rsidP="00C961E8">
      <w:r>
        <w:pict>
          <v:rect id="_x0000_i1549" style="width:0;height:1.5pt" o:hralign="center" o:hrstd="t" o:hr="t" fillcolor="#a0a0a0" stroked="f"/>
        </w:pict>
      </w:r>
    </w:p>
    <w:p w:rsidR="00C961E8" w:rsidRDefault="00C961E8" w:rsidP="00C961E8">
      <w:pPr>
        <w:pStyle w:val="berschrift2"/>
      </w:pPr>
      <w:r>
        <w:t>3.3.40.275 Minimal erforderliche Prüfmenge</w:t>
      </w:r>
    </w:p>
    <w:p w:rsidR="00C961E8" w:rsidRDefault="00C961E8" w:rsidP="00C961E8">
      <w:pPr>
        <w:pStyle w:val="StandardWeb"/>
      </w:pPr>
      <w:r>
        <w:t>Die Mindestprüfung lautet</w:t>
      </w:r>
    </w:p>
    <w:p w:rsidR="00C961E8" w:rsidRDefault="00C961E8" w:rsidP="00C961E8">
      <w:pPr>
        <w:pStyle w:val="berschrift1"/>
      </w:pPr>
      <w:r>
        <w:t>[</w:t>
      </w:r>
      <w:r>
        <w:br/>
        <w:t>\mathfrak{T}_{A}</w:t>
      </w:r>
    </w:p>
    <w:p w:rsidR="00C961E8" w:rsidRDefault="00C961E8" w:rsidP="00C961E8">
      <w:pPr>
        <w:pStyle w:val="StandardWeb"/>
      </w:pPr>
      <w:r>
        <w:t>\left{</w:t>
      </w:r>
      <w:r>
        <w:br/>
        <w:t>C_i</w:t>
      </w:r>
      <w:r>
        <w:br/>
        <w:t>:</w:t>
      </w:r>
      <w:r>
        <w:br/>
        <w:t>i\in I_A</w:t>
      </w:r>
      <w:r>
        <w:br/>
        <w:t>\right}.</w:t>
      </w:r>
      <w:r>
        <w:br/>
        <w:t>\tag{3.7316}</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\mathfrak{T}_{A}=\left\{C_i:i\in I_A\right\}\qquad\text{(3.7316)}</w:t>
      </w:r>
    </w:p>
    <w:p w:rsidR="00C961E8" w:rsidRDefault="00C961E8" w:rsidP="00C961E8">
      <w:pPr>
        <w:pStyle w:val="StandardWeb"/>
      </w:pPr>
      <w:r>
        <w:t>Damit wird Robustheitsprüfung an den konkreten Aussageanspruch gebunden.</w:t>
      </w:r>
    </w:p>
    <w:p w:rsidR="00C961E8" w:rsidRDefault="00E50336" w:rsidP="00C961E8">
      <w:r>
        <w:pict>
          <v:rect id="_x0000_i1550" style="width:0;height:1.5pt" o:hralign="center" o:hrstd="t" o:hr="t" fillcolor="#a0a0a0" stroked="f"/>
        </w:pict>
      </w:r>
    </w:p>
    <w:p w:rsidR="00C961E8" w:rsidRDefault="00C961E8" w:rsidP="00C961E8">
      <w:pPr>
        <w:pStyle w:val="berschrift2"/>
      </w:pPr>
      <w:r>
        <w:t>3.3.40.276 Repository-Prüfmanifest</w:t>
      </w:r>
    </w:p>
    <w:p w:rsidR="00C961E8" w:rsidRDefault="00C961E8" w:rsidP="00C961E8">
      <w:pPr>
        <w:pStyle w:val="StandardWeb"/>
      </w:pPr>
      <w:r>
        <w:t>Für eine konkrete Aussage kann gespeichert werden</w:t>
      </w:r>
    </w:p>
    <w:p w:rsidR="00C961E8" w:rsidRDefault="00C961E8" w:rsidP="00C961E8">
      <w:pPr>
        <w:pStyle w:val="StandardWeb"/>
      </w:pPr>
      <w:r>
        <w:t>[</w:t>
      </w:r>
      <w:r>
        <w:br/>
        <w:t>\operatorname{ParameterTestManifest}</w:t>
      </w:r>
      <w:r>
        <w:br/>
        <w:t>\left(</w:t>
      </w:r>
      <w:r>
        <w:br/>
        <w:t>A_F,</w:t>
      </w:r>
      <w:r>
        <w:br/>
        <w:t>\Theta_{\mathrm{test}},</w:t>
      </w:r>
      <w:r>
        <w:br/>
        <w:t>\mathcal{S}</w:t>
      </w:r>
      <w:r>
        <w:rPr>
          <w:rStyle w:val="Hervorhebung"/>
        </w:rPr>
        <w:t>{0,\mathrm{test}},</w:t>
      </w:r>
      <w:r>
        <w:rPr>
          <w:i/>
          <w:iCs/>
        </w:rPr>
        <w:br/>
      </w:r>
      <w:r>
        <w:rPr>
          <w:rStyle w:val="Hervorhebung"/>
        </w:rPr>
        <w:t>\mathcal{B}</w:t>
      </w:r>
      <w:r>
        <w:t>{\mathrm{test}},</w:t>
      </w:r>
      <w:r>
        <w:br/>
        <w:t>\mathfrak{T}_{A}</w:t>
      </w:r>
      <w:r>
        <w:br/>
        <w:t>\right).</w:t>
      </w:r>
      <w:r>
        <w:br/>
        <w:t>\tag{3.7317}</w:t>
      </w:r>
      <w:r>
        <w:br/>
        <w:t>]</w:t>
      </w:r>
    </w:p>
    <w:p w:rsidR="00C961E8" w:rsidRDefault="00C961E8" w:rsidP="00C961E8">
      <w:pPr>
        <w:pStyle w:val="StandardWeb"/>
      </w:pPr>
      <w:r>
        <w:rPr>
          <w:rStyle w:val="Fett"/>
        </w:rPr>
        <w:lastRenderedPageBreak/>
        <w:t>Word-LaTeX</w:t>
      </w:r>
    </w:p>
    <w:p w:rsidR="00C961E8" w:rsidRDefault="00C961E8" w:rsidP="00C961E8">
      <w:pPr>
        <w:pStyle w:val="HTMLVorformatiert"/>
        <w:rPr>
          <w:rStyle w:val="HTMLCode"/>
        </w:rPr>
      </w:pPr>
      <w:r>
        <w:rPr>
          <w:rStyle w:val="HTMLCode"/>
        </w:rPr>
        <w:t>\operatorname{ParameterTestManifest}\left(A_F,\Theta_{\mathrm{test}},\mathcal{S}_{0,\mathrm{test}},\mathcal{B}_{\mathrm{test}},\mathfrak{T}_{A}\right)\qquad\text{(3.7317)}</w:t>
      </w:r>
    </w:p>
    <w:p w:rsidR="00C961E8" w:rsidRDefault="00C961E8" w:rsidP="00C961E8">
      <w:pPr>
        <w:pStyle w:val="StandardWeb"/>
      </w:pPr>
      <w:r>
        <w:t>Damit wird nachvollziehbar, welche Robustheitsprüfungen tatsächlich durchgeführt wurden.</w:t>
      </w:r>
    </w:p>
    <w:p w:rsidR="00C961E8" w:rsidRDefault="00E50336" w:rsidP="00C961E8">
      <w:r>
        <w:pict>
          <v:rect id="_x0000_i1551" style="width:0;height:1.5pt" o:hralign="center" o:hrstd="t" o:hr="t" fillcolor="#a0a0a0" stroked="f"/>
        </w:pict>
      </w:r>
    </w:p>
    <w:p w:rsidR="00C961E8" w:rsidRDefault="00C961E8" w:rsidP="00C961E8">
      <w:pPr>
        <w:pStyle w:val="berschrift2"/>
      </w:pPr>
      <w:r>
        <w:t>3.3.40.277 Robustheitsaudit</w:t>
      </w:r>
    </w:p>
    <w:p w:rsidR="00C961E8" w:rsidRDefault="00C961E8" w:rsidP="00C961E8">
      <w:pPr>
        <w:pStyle w:val="StandardWeb"/>
      </w:pPr>
      <w:r>
        <w:t>Ich definiere abstrakt</w:t>
      </w:r>
    </w:p>
    <w:p w:rsidR="00C961E8" w:rsidRDefault="00C961E8" w:rsidP="00C961E8">
      <w:pPr>
        <w:pStyle w:val="StandardWeb"/>
      </w:pPr>
      <w:r>
        <w:t>[</w:t>
      </w:r>
      <w:r>
        <w:br/>
        <w:t>\operatorname{ParameterRobustnessAudit}</w:t>
      </w:r>
      <w:r>
        <w:br/>
        <w:t>:</w:t>
      </w:r>
      <w:r>
        <w:br/>
        <w:t>A_F</w:t>
      </w:r>
      <w:r>
        <w:br/>
        <w:t>\rightarrow</w:t>
      </w:r>
      <w:r>
        <w:br/>
        <w:t>\left(</w:t>
      </w:r>
      <w:r>
        <w:br/>
        <w:t>\operatorname{Klasse}</w:t>
      </w:r>
      <w:r>
        <w:rPr>
          <w:rStyle w:val="Hervorhebung"/>
        </w:rPr>
        <w:t>{P}^{+},</w:t>
      </w:r>
      <w:r>
        <w:rPr>
          <w:i/>
          <w:iCs/>
        </w:rPr>
        <w:br/>
      </w:r>
      <w:r>
        <w:rPr>
          <w:rStyle w:val="Hervorhebung"/>
        </w:rPr>
        <w:t>\mathbf{R}</w:t>
      </w:r>
      <w:r>
        <w:t>{P},</w:t>
      </w:r>
      <w:r>
        <w:br/>
        <w:t>\mathfrak{B}_{F},</w:t>
      </w:r>
      <w:r>
        <w:br/>
        <w:t>M_R</w:t>
      </w:r>
      <w:r>
        <w:br/>
        <w:t>\right).</w:t>
      </w:r>
      <w:r>
        <w:br/>
        <w:t>\tag{3.7318}</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\operatorname{ParameterRobustnessAudit}:A_F\rightarrow\left(\operatorname{Klasse}_{P}^{+},\mathbf{R}_{P},\mathfrak{B}_{F},M_R\right)\qquad\text{(3.7318)}</w:t>
      </w:r>
    </w:p>
    <w:p w:rsidR="00C961E8" w:rsidRDefault="00C961E8" w:rsidP="00C961E8">
      <w:pPr>
        <w:pStyle w:val="StandardWeb"/>
      </w:pPr>
      <w:r>
        <w:t>Das Audit liefert damit nicht nur ein Ja-Nein-Ergebnis, sondern Robustheitsklasse, Robustheitsvektor, kritische Grenzen und Sicherheitsmargin.</w:t>
      </w:r>
    </w:p>
    <w:p w:rsidR="00C961E8" w:rsidRDefault="00E50336" w:rsidP="00C961E8">
      <w:r>
        <w:pict>
          <v:rect id="_x0000_i1552" style="width:0;height:1.5pt" o:hralign="center" o:hrstd="t" o:hr="t" fillcolor="#a0a0a0" stroked="f"/>
        </w:pict>
      </w:r>
    </w:p>
    <w:p w:rsidR="00C961E8" w:rsidRDefault="00C961E8" w:rsidP="00C961E8">
      <w:pPr>
        <w:pStyle w:val="berschrift2"/>
      </w:pPr>
      <w:r>
        <w:t>3.3.40.278 Eigenleistung: Robustheitsregion statt Einzelparametersatz</w:t>
      </w:r>
    </w:p>
    <w:p w:rsidR="00C961E8" w:rsidRDefault="00C961E8" w:rsidP="00C961E8">
      <w:pPr>
        <w:pStyle w:val="StandardWeb"/>
      </w:pPr>
      <w:r>
        <w:t>Die zentrale Erweiterung dieses Abschnitts besteht darin, eine FRZK-Aussage nicht mehr nur an einen einzelnen Parametersatz zu binden.</w:t>
      </w:r>
    </w:p>
    <w:p w:rsidR="00C961E8" w:rsidRDefault="00C961E8" w:rsidP="00C961E8">
      <w:pPr>
        <w:pStyle w:val="StandardWeb"/>
      </w:pPr>
      <w:r>
        <w:t>Statt</w:t>
      </w:r>
    </w:p>
    <w:p w:rsidR="00C961E8" w:rsidRDefault="00C961E8" w:rsidP="00C961E8">
      <w:pPr>
        <w:pStyle w:val="StandardWeb"/>
      </w:pPr>
      <w:r>
        <w:t>[</w:t>
      </w:r>
      <w:r>
        <w:br/>
        <w:t>A_F</w:t>
      </w:r>
      <w:r>
        <w:br/>
        <w:t>\left(</w:t>
      </w:r>
      <w:r>
        <w:br/>
        <w:t>\boldsymbol{\theta}_0</w:t>
      </w:r>
      <w:r>
        <w:br/>
      </w:r>
      <w:r>
        <w:lastRenderedPageBreak/>
        <w:t>\right)</w:t>
      </w:r>
      <w:r>
        <w:br/>
        <w:t>\tag{3.7319}</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A_F\left(\boldsymbol{\theta}_0\right)\qquad\text{(3.7319)}</w:t>
      </w:r>
    </w:p>
    <w:p w:rsidR="00C961E8" w:rsidRDefault="00C961E8" w:rsidP="00C961E8">
      <w:pPr>
        <w:pStyle w:val="StandardWeb"/>
      </w:pPr>
      <w:r>
        <w:t>betrachte ich die Gültigkeitsregion</w:t>
      </w:r>
    </w:p>
    <w:p w:rsidR="00C961E8" w:rsidRDefault="00C961E8" w:rsidP="00C961E8">
      <w:pPr>
        <w:pStyle w:val="StandardWeb"/>
      </w:pPr>
      <w:r>
        <w:t>[</w:t>
      </w:r>
      <w:r>
        <w:br/>
        <w:t>\Omega_A</w:t>
      </w:r>
      <w:r>
        <w:br/>
        <w:t>\subseteq</w:t>
      </w:r>
      <w:r>
        <w:br/>
        <w:t>\Theta</w:t>
      </w:r>
      <w:r>
        <w:br/>
        <w:t>\times</w:t>
      </w:r>
      <w:r>
        <w:br/>
        <w:t>\mathcal{S}_0</w:t>
      </w:r>
      <w:r>
        <w:br/>
        <w:t>\times</w:t>
      </w:r>
      <w:r>
        <w:br/>
        <w:t>\mathcal{B}.</w:t>
      </w:r>
      <w:r>
        <w:br/>
        <w:t>\tag{3.7320}</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\Omega_A\subseteq\Theta\times\mathcal{S}_0\times\mathcal{B}\qquad\text{(3.7320)}</w:t>
      </w:r>
    </w:p>
    <w:p w:rsidR="00C961E8" w:rsidRDefault="00C961E8" w:rsidP="00C961E8">
      <w:pPr>
        <w:pStyle w:val="StandardWeb"/>
      </w:pPr>
      <w:r>
        <w:t>Damit wird aus einer punktförmigen Modellbehauptung eine Aussage über einen expliziten Robustheitsbereich.</w:t>
      </w:r>
    </w:p>
    <w:p w:rsidR="00C961E8" w:rsidRDefault="00E50336" w:rsidP="00C961E8">
      <w:r>
        <w:pict>
          <v:rect id="_x0000_i1553" style="width:0;height:1.5pt" o:hralign="center" o:hrstd="t" o:hr="t" fillcolor="#a0a0a0" stroked="f"/>
        </w:pict>
      </w:r>
    </w:p>
    <w:p w:rsidR="00C961E8" w:rsidRDefault="00C961E8" w:rsidP="00C961E8">
      <w:pPr>
        <w:pStyle w:val="berschrift1"/>
      </w:pPr>
      <w:r>
        <w:t>3.3.40.279 Methodologische Betrachtungen</w:t>
      </w:r>
    </w:p>
    <w:p w:rsidR="00C961E8" w:rsidRDefault="00C961E8" w:rsidP="00C961E8">
      <w:pPr>
        <w:pStyle w:val="StandardWeb"/>
      </w:pPr>
      <w:r>
        <w:t>Mit der Prüfung der Parameter- und Anfangsbedingungsrobustheit erweitere ich die FRZK-Prüfarchitektur um eine Dimension, die für dynamische und insbesondere nichtlineare Systeme unverzichtbar ist. Eine Modellrechnung kann mathematisch korrekt, numerisch reproduzierbar und operationalisierungsrobust sein und dennoch nur für einen sehr engen Parametersatz gelten. In diesem Fall wäre die Aussage wissenschaftlich wesentlich fragiler, als der einzelne erfolgreiche Modelllauf vermuten lässt.</w:t>
      </w:r>
    </w:p>
    <w:p w:rsidR="00C961E8" w:rsidRDefault="00C961E8" w:rsidP="00C961E8">
      <w:pPr>
        <w:pStyle w:val="StandardWeb"/>
      </w:pPr>
      <w:r>
        <w:t xml:space="preserve">Die erste methodologische Konsequenz lautet daher: </w:t>
      </w:r>
      <w:r>
        <w:rPr>
          <w:rStyle w:val="Fett"/>
        </w:rPr>
        <w:t>Ein einzelner Parametersatz ist kein Nachweis von Parameterrobustheit.</w:t>
      </w:r>
    </w:p>
    <w:p w:rsidR="00C961E8" w:rsidRDefault="00C961E8" w:rsidP="00C961E8">
      <w:pPr>
        <w:pStyle w:val="StandardWeb"/>
      </w:pPr>
      <w:r>
        <w:t>Wenn ich ein Modell mit</w:t>
      </w:r>
    </w:p>
    <w:p w:rsidR="00C961E8" w:rsidRDefault="00C961E8" w:rsidP="00C961E8">
      <w:pPr>
        <w:pStyle w:val="berschrift1"/>
      </w:pPr>
      <w:r>
        <w:t>[</w:t>
      </w:r>
      <w:r>
        <w:br/>
        <w:t>\boldsymbol{\theta}</w:t>
      </w:r>
    </w:p>
    <w:p w:rsidR="00C961E8" w:rsidRDefault="00C961E8" w:rsidP="00C961E8">
      <w:pPr>
        <w:pStyle w:val="StandardWeb"/>
      </w:pPr>
      <w:r>
        <w:t>\boldsymbol{\theta}_0</w:t>
      </w:r>
      <w:r>
        <w:br/>
        <w:t>]</w:t>
      </w:r>
    </w:p>
    <w:p w:rsidR="00C961E8" w:rsidRDefault="00C961E8" w:rsidP="00C961E8">
      <w:pPr>
        <w:pStyle w:val="StandardWeb"/>
      </w:pPr>
      <w:r>
        <w:lastRenderedPageBreak/>
        <w:t>berechne und ein plausibles Ergebnis erhalte, weiß ich zunächst nur, dass dieses Ergebnis an genau diesem Punkt des Parameterraums entsteht. Erst die Untersuchung einer Umgebung oder eines größeren zulässigen Parameterraums zeigt, ob das Ergebnis lokal oder global stabil ist.</w:t>
      </w:r>
    </w:p>
    <w:p w:rsidR="00C961E8" w:rsidRDefault="00C961E8" w:rsidP="00C961E8">
      <w:pPr>
        <w:pStyle w:val="StandardWeb"/>
      </w:pPr>
      <w:r>
        <w:t xml:space="preserve">Damit entsteht eine klare Unterscheidung zwischen </w:t>
      </w:r>
      <w:r>
        <w:rPr>
          <w:rStyle w:val="Fett"/>
        </w:rPr>
        <w:t>Modellanpassung</w:t>
      </w:r>
      <w:r>
        <w:t xml:space="preserve"> und </w:t>
      </w:r>
      <w:r>
        <w:rPr>
          <w:rStyle w:val="Fett"/>
        </w:rPr>
        <w:t>Modellrobustheit</w:t>
      </w:r>
      <w:r>
        <w:t>. Ein gut kalibriertes Modell kann fragil sein. Umgekehrt kann ein Modell mit moderater Anpassung eine robuste qualitative Aussage tragen.</w:t>
      </w:r>
    </w:p>
    <w:p w:rsidR="00C961E8" w:rsidRDefault="00C961E8" w:rsidP="00C961E8">
      <w:pPr>
        <w:pStyle w:val="StandardWeb"/>
      </w:pPr>
      <w:r>
        <w:t>Die zweite Konsequenz betrifft die Definition des zulässigen Parameterraums. Ein Robustheitsgrad besitzt nur Bedeutung relativ zu diesem Raum. Wenn ich einen extrem engen Bereich wähle, kann nahezu jedes Modell robust erscheinen. Wenn ich einen unrealistisch großen Bereich wähle, kann selbst ein sinnvoller Mechanismus unnötig fragil erscheinen.</w:t>
      </w:r>
    </w:p>
    <w:p w:rsidR="00C961E8" w:rsidRDefault="00C961E8" w:rsidP="00C961E8">
      <w:pPr>
        <w:pStyle w:val="StandardWeb"/>
      </w:pPr>
      <w:r>
        <w:t>Deshalb muss</w:t>
      </w:r>
    </w:p>
    <w:p w:rsidR="00C961E8" w:rsidRDefault="00C961E8" w:rsidP="00C961E8">
      <w:pPr>
        <w:pStyle w:val="StandardWeb"/>
      </w:pPr>
      <w:r>
        <w:t>[</w:t>
      </w:r>
      <w:r>
        <w:br/>
        <w:t>\Theta_{\mathrm{zul}}</w:t>
      </w:r>
      <w:r>
        <w:br/>
        <w:t>]</w:t>
      </w:r>
    </w:p>
    <w:p w:rsidR="00C961E8" w:rsidRDefault="00C961E8" w:rsidP="00C961E8">
      <w:pPr>
        <w:pStyle w:val="StandardWeb"/>
      </w:pPr>
      <w:r>
        <w:t>wissenschaftlich begründet werden.</w:t>
      </w:r>
    </w:p>
    <w:p w:rsidR="00C961E8" w:rsidRDefault="00C961E8" w:rsidP="00C961E8">
      <w:pPr>
        <w:pStyle w:val="StandardWeb"/>
      </w:pPr>
      <w:r>
        <w:t>Der Parameterraum darf nicht nachträglich so gewählt werden, dass eine gewünschte Robustheitsbewertung entsteht.</w:t>
      </w:r>
    </w:p>
    <w:p w:rsidR="00C961E8" w:rsidRDefault="00C961E8" w:rsidP="00C961E8">
      <w:pPr>
        <w:pStyle w:val="StandardWeb"/>
      </w:pPr>
      <w:r>
        <w:t>Die dritte Konsequenz betrifft die Unterscheidung zwischen lokaler und globaler Sensitivität. Lokale Ableitungen beantworten die Frage, wie sich das Modell in unmittelbarer Nähe eines Referenzparameters verhält. Sie beantworten nicht automatisch, was in weiter entfernten Regionen des Parameterraums geschieht.</w:t>
      </w:r>
    </w:p>
    <w:p w:rsidR="00C961E8" w:rsidRDefault="00C961E8" w:rsidP="00C961E8">
      <w:pPr>
        <w:pStyle w:val="StandardWeb"/>
      </w:pPr>
      <w:r>
        <w:t>Gerade bei nichtlinearen Systemen kann eine lokal nahezu flache Ergebnisfunktion weit entfernt eine Bifurkationsgrenze besitzen.</w:t>
      </w:r>
    </w:p>
    <w:p w:rsidR="00C961E8" w:rsidRDefault="00C961E8" w:rsidP="00C961E8">
      <w:pPr>
        <w:pStyle w:val="StandardWeb"/>
      </w:pPr>
      <w:r>
        <w:t>Deshalb gilt:</w:t>
      </w:r>
    </w:p>
    <w:p w:rsidR="00C961E8" w:rsidRDefault="00C961E8" w:rsidP="00C961E8">
      <w:pPr>
        <w:pStyle w:val="StandardWeb"/>
      </w:pPr>
      <w:r>
        <w:t>[</w:t>
      </w:r>
      <w:r>
        <w:br/>
        <w:t>\text{lokale Stabilität}</w:t>
      </w:r>
      <w:r>
        <w:br/>
        <w:t>\nRightarrow</w:t>
      </w:r>
      <w:r>
        <w:br/>
        <w:t>\text{globale Stabilität}.</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\text{lokale Stabilität}\nRightarrow\text{globale Stabilität}</w:t>
      </w:r>
    </w:p>
    <w:p w:rsidR="00C961E8" w:rsidRDefault="00C961E8" w:rsidP="00C961E8">
      <w:pPr>
        <w:pStyle w:val="StandardWeb"/>
      </w:pPr>
      <w:r>
        <w:t>Die vierte Konsequenz betrifft Parameterinteraktionen. One-at-a-time-Analysen sind einfach zu verstehen, können aber entscheidende Wechselwirkungen übersehen. Zwei Parameter können einzeln nahezu unwirksam erscheinen und gemeinsam einen starken Effekt erzeugen.</w:t>
      </w:r>
    </w:p>
    <w:p w:rsidR="00C961E8" w:rsidRDefault="00C961E8" w:rsidP="00C961E8">
      <w:pPr>
        <w:pStyle w:val="StandardWeb"/>
      </w:pPr>
      <w:r>
        <w:t>Damit genügt es für komplexe FRZK-Modelle nicht, ausschließlich jeden Parameter separat zu variieren.</w:t>
      </w:r>
    </w:p>
    <w:p w:rsidR="00C961E8" w:rsidRDefault="00C961E8" w:rsidP="00C961E8">
      <w:pPr>
        <w:pStyle w:val="StandardWeb"/>
      </w:pPr>
      <w:r>
        <w:lastRenderedPageBreak/>
        <w:t>Die fünfte Konsequenz betrifft Anfangsbedingungen. Bei multistabilen oder stark nichtlinearen Systemen kann derselbe Parametersatz aus verschiedenen Anfangszuständen unterschiedliche langfristige Entwicklungen hervorbringen.</w:t>
      </w:r>
    </w:p>
    <w:p w:rsidR="00C961E8" w:rsidRDefault="00C961E8" w:rsidP="00C961E8">
      <w:pPr>
        <w:pStyle w:val="StandardWeb"/>
      </w:pPr>
      <w:r>
        <w:t>Die vollständige Aussage lautet deshalb nicht nur</w:t>
      </w:r>
    </w:p>
    <w:p w:rsidR="00C961E8" w:rsidRDefault="00C961E8" w:rsidP="00C961E8">
      <w:pPr>
        <w:pStyle w:val="berschrift1"/>
      </w:pPr>
      <w:r>
        <w:t>[</w:t>
      </w:r>
      <w:r>
        <w:br/>
        <w:t>A_F</w:t>
      </w:r>
    </w:p>
    <w:p w:rsidR="00C961E8" w:rsidRDefault="00C961E8" w:rsidP="00C961E8">
      <w:pPr>
        <w:pStyle w:val="StandardWeb"/>
      </w:pPr>
      <w:r>
        <w:t>A_F(\boldsymbol{\theta}),</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A_F=A_F(\boldsymbol{\theta})</w:t>
      </w:r>
    </w:p>
    <w:p w:rsidR="00C961E8" w:rsidRDefault="00C961E8" w:rsidP="00C961E8">
      <w:pPr>
        <w:pStyle w:val="StandardWeb"/>
      </w:pPr>
      <w:r>
        <w:t>sondern mindestens</w:t>
      </w:r>
    </w:p>
    <w:p w:rsidR="00C961E8" w:rsidRDefault="00C961E8" w:rsidP="00C961E8">
      <w:pPr>
        <w:pStyle w:val="berschrift1"/>
      </w:pPr>
      <w:r>
        <w:t>[</w:t>
      </w:r>
      <w:r>
        <w:br/>
        <w:t>A_F</w:t>
      </w:r>
    </w:p>
    <w:p w:rsidR="00C961E8" w:rsidRDefault="00C961E8" w:rsidP="00C961E8">
      <w:pPr>
        <w:pStyle w:val="StandardWeb"/>
      </w:pPr>
      <w:r>
        <w:t>A_F</w:t>
      </w:r>
      <w:r>
        <w:br/>
        <w:t>\left(</w:t>
      </w:r>
      <w:r>
        <w:br/>
        <w:t>\boldsymbol{\theta},</w:t>
      </w:r>
      <w:r>
        <w:br/>
        <w:t>\delta_0</w:t>
      </w:r>
      <w:r>
        <w:br/>
        <w:t>\right).</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A_F=A_F\left(\boldsymbol{\theta},\delta_0\right)</w:t>
      </w:r>
    </w:p>
    <w:p w:rsidR="00C961E8" w:rsidRDefault="00C961E8" w:rsidP="00C961E8">
      <w:pPr>
        <w:pStyle w:val="StandardWeb"/>
      </w:pPr>
      <w:r>
        <w:t>Die sechste Konsequenz betrifft Attraktorbecken. Eine langfristige Vorhersage kann innerhalb eines Attraktorbeckens stabil sein und dennoch nahe dessen Grenze äußerst fragil werden. Deshalb ist nicht nur der Attraktor selbst, sondern auch der Abstand des aktuellen Zustands von der Beckengrenze relevant.</w:t>
      </w:r>
    </w:p>
    <w:p w:rsidR="00C961E8" w:rsidRDefault="00C961E8" w:rsidP="00C961E8">
      <w:pPr>
        <w:pStyle w:val="StandardWeb"/>
      </w:pPr>
      <w:r>
        <w:t>Eine Aussage wie „Das System kehrt in Zustand (A) zurück“ ist wesentlich belastbarer, wenn der aktuelle Zustand tief innerhalb des Attraktorbeckens liegt, als wenn er unmittelbar an einer Beckengrenze liegt.</w:t>
      </w:r>
    </w:p>
    <w:p w:rsidR="00C961E8" w:rsidRDefault="00C961E8" w:rsidP="00C961E8">
      <w:pPr>
        <w:pStyle w:val="StandardWeb"/>
      </w:pPr>
      <w:r>
        <w:t>Die siebte Konsequenz betrifft Bifurkationen. Nahe einer Bifurkationsgrenze kann eine geringe Parameteränderung einen qualitativen Regimewechsel auslösen. Dann versagt eine rein lineare Sensitivitätsinterpretation.</w:t>
      </w:r>
    </w:p>
    <w:p w:rsidR="00C961E8" w:rsidRDefault="00C961E8" w:rsidP="00C961E8">
      <w:pPr>
        <w:pStyle w:val="StandardWeb"/>
      </w:pPr>
      <w:r>
        <w:t>In solchen Bereichen muss ausdrücklich geprüft werden, ob eine Aussage nur innerhalb eines einzelnen dynamischen Regimes gilt.</w:t>
      </w:r>
    </w:p>
    <w:p w:rsidR="00C961E8" w:rsidRDefault="00C961E8" w:rsidP="00C961E8">
      <w:pPr>
        <w:pStyle w:val="StandardWeb"/>
      </w:pPr>
      <w:r>
        <w:lastRenderedPageBreak/>
        <w:t>Die achte Konsequenz betrifft Parameterunsicherheit. Ein geschätzter Parameter besitzt keinen mathematisch exakten Wert. Wenn sein Unsicherheitsbereich eine kritische Grenze überlappt, ist auch die Regimezuordnung unsicher.</w:t>
      </w:r>
    </w:p>
    <w:p w:rsidR="00C961E8" w:rsidRDefault="00C961E8" w:rsidP="00C961E8">
      <w:pPr>
        <w:pStyle w:val="StandardWeb"/>
      </w:pPr>
      <w:r>
        <w:t>Deshalb müssen kritischer Abstand und Parameterunsicherheit gemeinsam betrachtet werden.</w:t>
      </w:r>
    </w:p>
    <w:p w:rsidR="00C961E8" w:rsidRDefault="00C961E8" w:rsidP="00C961E8">
      <w:pPr>
        <w:pStyle w:val="StandardWeb"/>
      </w:pPr>
      <w:r>
        <w:t>Die neunte Konsequenz betrifft Hysterese. Bei pfadabhängigen Systemen reicht der aktuelle Parameterwert allein nicht aus. Dieselbe aktuelle Parametrisierung kann zu verschiedenen Zuständen gehören, abhängig davon, wie das System dorthin gelangt ist.</w:t>
      </w:r>
    </w:p>
    <w:p w:rsidR="00C961E8" w:rsidRDefault="00C961E8" w:rsidP="00C961E8">
      <w:pPr>
        <w:pStyle w:val="StandardWeb"/>
      </w:pPr>
      <w:r>
        <w:t>Damit muss eine robuste dynamische Beschreibung gegebenenfalls auch die Parameterhistorie enthalten.</w:t>
      </w:r>
    </w:p>
    <w:p w:rsidR="00C961E8" w:rsidRDefault="00C961E8" w:rsidP="00C961E8">
      <w:pPr>
        <w:pStyle w:val="StandardWeb"/>
      </w:pPr>
      <w:r>
        <w:t>Die zehnte Konsequenz betrifft Tipping Points. Ein Tipping Point ist methodisch besonders relevant, weil er den Übergang von quantitativer zu qualitativer Veränderung markiert. Eine kleine Parameteränderung kann dort eine Änderung der Systemklasse erzeugen.</w:t>
      </w:r>
    </w:p>
    <w:p w:rsidR="00C961E8" w:rsidRDefault="00C961E8" w:rsidP="00C961E8">
      <w:pPr>
        <w:pStyle w:val="StandardWeb"/>
      </w:pPr>
      <w:r>
        <w:t>Eine Aussage nahe einem solchen Punkt darf deshalb nicht denselben Sicherheitsgrad beanspruchen wie eine Aussage weit entfernt von bekannten kritischen Grenzen.</w:t>
      </w:r>
    </w:p>
    <w:p w:rsidR="00C961E8" w:rsidRDefault="00C961E8" w:rsidP="00C961E8">
      <w:pPr>
        <w:pStyle w:val="StandardWeb"/>
      </w:pPr>
      <w:r>
        <w:t>Die elfte Konsequenz betrifft Parameterdrift. Parameter müssen nicht konstant sein. Ein System kann heute robust innerhalb eines Regimes liegen und sich aufgrund einer langsamen Parameterdrift allmählich einer kritischen Grenze nähern.</w:t>
      </w:r>
    </w:p>
    <w:p w:rsidR="00C961E8" w:rsidRDefault="00C961E8" w:rsidP="00C961E8">
      <w:pPr>
        <w:pStyle w:val="StandardWeb"/>
      </w:pPr>
      <w:r>
        <w:t>Damit kann Robustheit selbst zeitabhängig sein:</w:t>
      </w:r>
    </w:p>
    <w:p w:rsidR="00C961E8" w:rsidRDefault="00C961E8" w:rsidP="00C961E8">
      <w:pPr>
        <w:pStyle w:val="berschrift1"/>
      </w:pPr>
      <w:r>
        <w:t>[</w:t>
      </w:r>
      <w:r>
        <w:br/>
        <w:t>R_{\theta}</w:t>
      </w:r>
    </w:p>
    <w:p w:rsidR="00C961E8" w:rsidRDefault="00C961E8" w:rsidP="00C961E8">
      <w:pPr>
        <w:pStyle w:val="StandardWeb"/>
      </w:pPr>
      <w:r>
        <w:t>R_{\theta}(t).</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R_{\theta}=R_{\theta}(t)</w:t>
      </w:r>
    </w:p>
    <w:p w:rsidR="00C961E8" w:rsidRDefault="00C961E8" w:rsidP="00C961E8">
      <w:pPr>
        <w:pStyle w:val="StandardWeb"/>
      </w:pPr>
      <w:r>
        <w:t>Dies eröffnet die Möglichkeit, Robustheitsverlust als eigenständigen Frühwarnindikator zu untersuchen.</w:t>
      </w:r>
    </w:p>
    <w:p w:rsidR="00C961E8" w:rsidRDefault="00C961E8" w:rsidP="00C961E8">
      <w:pPr>
        <w:pStyle w:val="StandardWeb"/>
      </w:pPr>
      <w:r>
        <w:t>Die zwölfte Konsequenz betrifft adaptive Parameter. Sobald Parameter durch das System selbst oder durch einen Lernalgorithmus verändert werden, werden sie Teil des dynamischen Zustands. Dann reicht eine statische Parameteranalyse nicht mehr aus.</w:t>
      </w:r>
    </w:p>
    <w:p w:rsidR="00C961E8" w:rsidRDefault="00C961E8" w:rsidP="00C961E8">
      <w:pPr>
        <w:pStyle w:val="StandardWeb"/>
      </w:pPr>
      <w:r>
        <w:t>Ich muss stattdessen das gekoppelte System</w:t>
      </w:r>
    </w:p>
    <w:p w:rsidR="00C961E8" w:rsidRDefault="00C961E8" w:rsidP="00C961E8">
      <w:pPr>
        <w:pStyle w:val="berschrift1"/>
      </w:pPr>
      <w:r>
        <w:t>[</w:t>
      </w:r>
      <w:r>
        <w:br/>
        <w:t>z_t</w:t>
      </w:r>
    </w:p>
    <w:p w:rsidR="00C961E8" w:rsidRDefault="00C961E8" w:rsidP="00C961E8">
      <w:pPr>
        <w:pStyle w:val="StandardWeb"/>
      </w:pPr>
      <w:r>
        <w:lastRenderedPageBreak/>
        <w:t>(\delta_t,\boldsymbol{\theta}_t)</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z_t=(\delta_t,\boldsymbol{\theta}_t)</w:t>
      </w:r>
    </w:p>
    <w:p w:rsidR="00C961E8" w:rsidRDefault="00C961E8" w:rsidP="00C961E8">
      <w:pPr>
        <w:pStyle w:val="StandardWeb"/>
      </w:pPr>
      <w:r>
        <w:t>analysieren.</w:t>
      </w:r>
    </w:p>
    <w:p w:rsidR="00C961E8" w:rsidRDefault="00C961E8" w:rsidP="00C961E8">
      <w:pPr>
        <w:pStyle w:val="StandardWeb"/>
      </w:pPr>
      <w:r>
        <w:t>Die dreizehnte Konsequenz betrifft Resilienz. Robustheit und Resilienz sind nicht identisch. Robustheit bedeutet Erhaltung einer Struktur oder Aussage unter Variation. Resilienz bedeutet Wiederherstellung eines funktional akzeptablen Zustands nach einer Störung.</w:t>
      </w:r>
    </w:p>
    <w:p w:rsidR="00C961E8" w:rsidRDefault="00C961E8" w:rsidP="00C961E8">
      <w:pPr>
        <w:pStyle w:val="StandardWeb"/>
      </w:pPr>
      <w:r>
        <w:t>Ein System kann daher fragil und gleichzeitig resilient sein.</w:t>
      </w:r>
    </w:p>
    <w:p w:rsidR="00C961E8" w:rsidRDefault="00C961E8" w:rsidP="00C961E8">
      <w:pPr>
        <w:pStyle w:val="StandardWeb"/>
      </w:pPr>
      <w:r>
        <w:t>Diese Trennung verhindert, dass jede Rückkehr nach einer Störung als Nachweis struktureller Robustheit missverstanden wird.</w:t>
      </w:r>
    </w:p>
    <w:p w:rsidR="00C961E8" w:rsidRDefault="00C961E8" w:rsidP="00C961E8">
      <w:pPr>
        <w:pStyle w:val="StandardWeb"/>
      </w:pPr>
      <w:r>
        <w:t>Die vierzehnte Konsequenz betrifft Parameteridentifizierbarkeit. Ein Parameter kann stark auf das Ergebnis wirken, aber schlecht bestimmbar sein. Umgekehrt kann ein Parameter präzise bestimmt werden und dennoch für eine bestimmte Aussage nahezu irrelevant sein.</w:t>
      </w:r>
    </w:p>
    <w:p w:rsidR="00C961E8" w:rsidRDefault="00C961E8" w:rsidP="00C961E8">
      <w:pPr>
        <w:pStyle w:val="StandardWeb"/>
      </w:pPr>
      <w:r>
        <w:t>Deshalb müssen Sensitivität und Identifizierbarkeit als zwei getrennte Achsen untersucht werden.</w:t>
      </w:r>
    </w:p>
    <w:p w:rsidR="00C961E8" w:rsidRDefault="00C961E8" w:rsidP="00C961E8">
      <w:pPr>
        <w:pStyle w:val="StandardWeb"/>
      </w:pPr>
      <w:r>
        <w:t>Besonders kritisch ist die Kombination</w:t>
      </w:r>
    </w:p>
    <w:p w:rsidR="00C961E8" w:rsidRDefault="00C961E8" w:rsidP="00C961E8">
      <w:pPr>
        <w:pStyle w:val="StandardWeb"/>
      </w:pPr>
      <w:r>
        <w:t>[</w:t>
      </w:r>
      <w:r>
        <w:br/>
        <w:t>G_i</w:t>
      </w:r>
      <w:r>
        <w:br/>
        <w:t>\text{ hoch}</w:t>
      </w:r>
      <w:r>
        <w:br/>
        <w:t>\land</w:t>
      </w:r>
      <w:r>
        <w:br/>
        <w:t>u_{\theta_i}</w:t>
      </w:r>
      <w:r>
        <w:br/>
        <w:t>\text{ hoch}.</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G_i\text{ hoch}\land u_{\theta_i}\text{ hoch}</w:t>
      </w:r>
    </w:p>
    <w:p w:rsidR="00C961E8" w:rsidRDefault="00C961E8" w:rsidP="00C961E8">
      <w:pPr>
        <w:pStyle w:val="StandardWeb"/>
      </w:pPr>
      <w:r>
        <w:t>Ein solcher Parameter besitzt großen Einfluss, ist aber gleichzeitig schlecht bekannt.</w:t>
      </w:r>
    </w:p>
    <w:p w:rsidR="00C961E8" w:rsidRDefault="00C961E8" w:rsidP="00C961E8">
      <w:pPr>
        <w:pStyle w:val="StandardWeb"/>
      </w:pPr>
      <w:r>
        <w:t>Genau dort kann zusätzliche Datenerhebung besonders wertvoll sein.</w:t>
      </w:r>
    </w:p>
    <w:p w:rsidR="00C961E8" w:rsidRDefault="00C961E8" w:rsidP="00C961E8">
      <w:pPr>
        <w:pStyle w:val="StandardWeb"/>
      </w:pPr>
      <w:r>
        <w:t>Die fünfzehnte Konsequenz betrifft Äquifinalität und Parameterkompensation. Mehrere Parametersätze können nahezu dasselbe Ergebnis erzeugen. Eine gute Modellanpassung beweist daher nicht, dass ein individueller Parametersatz eindeutig bestimmt wurde.</w:t>
      </w:r>
    </w:p>
    <w:p w:rsidR="00C961E8" w:rsidRDefault="00C961E8" w:rsidP="00C961E8">
      <w:pPr>
        <w:pStyle w:val="StandardWeb"/>
      </w:pPr>
      <w:r>
        <w:t>Diese Unterscheidung ist insbesondere für mechanistische Interpretationen entscheidend.</w:t>
      </w:r>
    </w:p>
    <w:p w:rsidR="00C961E8" w:rsidRDefault="00C961E8" w:rsidP="00C961E8">
      <w:pPr>
        <w:pStyle w:val="StandardWeb"/>
      </w:pPr>
      <w:r>
        <w:t xml:space="preserve">Die sechzehnte Konsequenz betrifft Parameterreduktion. Wenn ausschließlich bestimmte Parameterkombinationen für eine Aussage relevant sind, kann eine reduzierte </w:t>
      </w:r>
      <w:r>
        <w:lastRenderedPageBreak/>
        <w:t>Parametrisierung wissenschaftlich sinnvoller sein als die Interpretation sämtlicher Einzelparameter.</w:t>
      </w:r>
    </w:p>
    <w:p w:rsidR="00C961E8" w:rsidRDefault="00C961E8" w:rsidP="00C961E8">
      <w:pPr>
        <w:pStyle w:val="StandardWeb"/>
      </w:pPr>
      <w:r>
        <w:t>Satz 3.3.24 zeigt formal, unter welcher Voraussetzung eine solche Aussageinvarianz möglich ist.</w:t>
      </w:r>
    </w:p>
    <w:p w:rsidR="00C961E8" w:rsidRDefault="00C961E8" w:rsidP="00C961E8">
      <w:pPr>
        <w:pStyle w:val="StandardWeb"/>
      </w:pPr>
      <w:r>
        <w:t>Die siebzehnte Konsequenz betrifft Falsifizierbarkeit. Ein Modell darf nicht dadurch gegen empirische Widerlegung immunisiert werden, dass Parameter beliebig nachjustiert werden. Deshalb müssen zulässige Parameterbereiche und Nachkalibrierungen transparent dokumentiert werden.</w:t>
      </w:r>
    </w:p>
    <w:p w:rsidR="00C961E8" w:rsidRDefault="00C961E8" w:rsidP="00C961E8">
      <w:pPr>
        <w:pStyle w:val="StandardWeb"/>
      </w:pPr>
      <w:r>
        <w:t>Die achtzehnte Konsequenz betrifft Modellrevision. Wenn nur noch extreme oder immer wieder stark veränderte Parametrisierungen die Beobachtungen erklären können, muss geprüft werden, ob nicht die Modellstruktur selbst unzureichend ist.</w:t>
      </w:r>
    </w:p>
    <w:p w:rsidR="00C961E8" w:rsidRDefault="00C961E8" w:rsidP="00C961E8">
      <w:pPr>
        <w:pStyle w:val="StandardWeb"/>
      </w:pPr>
      <w:r>
        <w:t>Parameteranpassung und Strukturrevision sind deshalb methodisch getrennte Reaktionen.</w:t>
      </w:r>
    </w:p>
    <w:p w:rsidR="00C961E8" w:rsidRDefault="00C961E8" w:rsidP="00C961E8">
      <w:pPr>
        <w:pStyle w:val="StandardWeb"/>
      </w:pPr>
      <w:r>
        <w:t>Die neunzehnte Konsequenz betrifft numerische Stabilität. Eine scheinbare Parametersensitivität kann auch durch eine ungeeignete numerische Schrittweite oder Implementierung entstehen. Bevor eine wissenschaftliche Parameterfragilität behauptet wird, muss sichergestellt werden, dass das numerische Verfahren hinreichend stabil ist.</w:t>
      </w:r>
    </w:p>
    <w:p w:rsidR="00C961E8" w:rsidRDefault="00C961E8" w:rsidP="00C961E8">
      <w:pPr>
        <w:pStyle w:val="StandardWeb"/>
      </w:pPr>
      <w:r>
        <w:t>Die zwanzigste Konsequenz betrifft probabilistische und deterministische Robustheit. Ist eine belastbare Parameterverteilung bekannt, kann Robustheit probabilistisch interpretiert werden. Fehlt eine solche Verteilung, sind intervall- oder szenarienbasierte Analysen oft methodisch angemessener.</w:t>
      </w:r>
    </w:p>
    <w:p w:rsidR="00C961E8" w:rsidRDefault="00C961E8" w:rsidP="00C961E8">
      <w:pPr>
        <w:pStyle w:val="StandardWeb"/>
      </w:pPr>
      <w:r>
        <w:t>Eine Wahrscheinlichkeitsverteilung darf nicht allein deshalb angenommen werden, weil sie mathematisch bequem ist.</w:t>
      </w:r>
    </w:p>
    <w:p w:rsidR="00C961E8" w:rsidRDefault="00C961E8" w:rsidP="00C961E8">
      <w:pPr>
        <w:pStyle w:val="StandardWeb"/>
      </w:pPr>
      <w:r>
        <w:t>Die einundzwanzigste Konsequenz betrifft Meta-Robustheit. Auch eine Sensitivitätsanalyse besitzt eigene methodische Entscheidungen: Normwahl, Parametergrenzen, Samplingverfahren, Sensitivitätsmaß und Ergebnisdefinition.</w:t>
      </w:r>
    </w:p>
    <w:p w:rsidR="00C961E8" w:rsidRDefault="00C961E8" w:rsidP="00C961E8">
      <w:pPr>
        <w:pStyle w:val="StandardWeb"/>
      </w:pPr>
      <w:r>
        <w:t>Deshalb kann die Robustheitsanalyse selbst auf Robustheit geprüft werden.</w:t>
      </w:r>
    </w:p>
    <w:p w:rsidR="00C961E8" w:rsidRDefault="00C961E8" w:rsidP="00C961E8">
      <w:pPr>
        <w:pStyle w:val="StandardWeb"/>
      </w:pPr>
      <w:r>
        <w:t>Die zweiundzwanzigste Konsequenz betrifft die Aussageebene. Nicht jede wissenschaftliche Aussage benötigt dieselben Robustheitsprüfungen. Eine deskriptive Beobachtung hat andere Anforderungen als eine mechanistische, kausale oder langfristig prognostische Behauptung.</w:t>
      </w:r>
    </w:p>
    <w:p w:rsidR="00C961E8" w:rsidRDefault="00C961E8" w:rsidP="00C961E8">
      <w:pPr>
        <w:pStyle w:val="StandardWeb"/>
      </w:pPr>
      <w:r>
        <w:t>Ich binde deshalb den Umfang der Robustheitsprüfung ausdrücklich an den Aussageanspruch.</w:t>
      </w:r>
    </w:p>
    <w:p w:rsidR="00C961E8" w:rsidRDefault="00C961E8" w:rsidP="00C961E8">
      <w:pPr>
        <w:pStyle w:val="StandardWeb"/>
      </w:pPr>
      <w:r>
        <w:t>Die dreiundzwanzigste Konsequenz betrifft die Dokumentation. Für jede starke parameterabhängige FRZK-Aussage müssen mindestens Referenzparametersatz, zulässiger Parameterraum, Anfangszustandsbereich, Randbedingungen, identifizierte kritische Grenzen, Sensitivitätsmethoden und Robustheitsergebnisse nachvollziehbar sein.</w:t>
      </w:r>
    </w:p>
    <w:p w:rsidR="00C961E8" w:rsidRDefault="00C961E8" w:rsidP="00C961E8">
      <w:pPr>
        <w:pStyle w:val="StandardWeb"/>
      </w:pPr>
      <w:r>
        <w:t>Damit wird eine robuste Aussage nicht lediglich als Zahl gespeichert, sondern als rekonstruierbarer wissenschaftlicher Prüfprozess.</w:t>
      </w:r>
    </w:p>
    <w:p w:rsidR="00C961E8" w:rsidRDefault="00C961E8" w:rsidP="00C961E8">
      <w:pPr>
        <w:pStyle w:val="StandardWeb"/>
      </w:pPr>
      <w:r>
        <w:lastRenderedPageBreak/>
        <w:t>Die vierundzwanzigste Konsequenz betrifft die Eigenleistung des FRZK. Die einzelnen mathematischen Konzepte von Sensitivität, Stabilität, Bifurkation, Hysterese oder Identifizierbarkeit sind nicht neu. Meine Eigenleistung besteht in ihrer systematischen Integration in eine gemeinsame FRZK-Prüfarchitektur, in der eine wissenschaftliche Aussage explizit mit ihrem Parameter-, Anfangszustands- und Randbedingungsgültigkeitsbereich verknüpft wird.</w:t>
      </w:r>
    </w:p>
    <w:p w:rsidR="00C961E8" w:rsidRDefault="00C961E8" w:rsidP="00C961E8">
      <w:pPr>
        <w:pStyle w:val="StandardWeb"/>
      </w:pPr>
      <w:r>
        <w:t>Die zentrale methodologische Regel dieses Abschnitts lautet daher:</w:t>
      </w:r>
    </w:p>
    <w:p w:rsidR="00C961E8" w:rsidRDefault="00C961E8" w:rsidP="00C961E8">
      <w:pPr>
        <w:pStyle w:val="StandardWeb"/>
      </w:pPr>
      <w:r>
        <w:rPr>
          <w:rStyle w:val="Fett"/>
        </w:rPr>
        <w:t>Eine Aussage des FRZK darf nicht als stabile Systemeigenschaft interpretiert werden, wenn sie nur für einen einzelnen oder unzureichend begründeten Parametersatz nachgewiesen wurde.</w:t>
      </w:r>
    </w:p>
    <w:p w:rsidR="00C961E8" w:rsidRDefault="00E50336" w:rsidP="00C961E8">
      <w:r>
        <w:pict>
          <v:rect id="_x0000_i1554" style="width:0;height:1.5pt" o:hralign="center" o:hrstd="t" o:hr="t" fillcolor="#a0a0a0" stroked="f"/>
        </w:pict>
      </w:r>
    </w:p>
    <w:p w:rsidR="00C961E8" w:rsidRDefault="00C961E8" w:rsidP="00C961E8">
      <w:pPr>
        <w:pStyle w:val="berschrift1"/>
      </w:pPr>
      <w:r>
        <w:t>3.3.40.280 Didaktische Betrachtungen</w:t>
      </w:r>
    </w:p>
    <w:p w:rsidR="00C961E8" w:rsidRDefault="00C961E8" w:rsidP="00C961E8">
      <w:pPr>
        <w:pStyle w:val="StandardWeb"/>
      </w:pPr>
      <w:r>
        <w:t>Parameterrobustheit lässt sich sehr einfach an alltäglichen technischen Beispielen erklären.</w:t>
      </w:r>
    </w:p>
    <w:p w:rsidR="00C961E8" w:rsidRDefault="00C961E8" w:rsidP="00C961E8">
      <w:pPr>
        <w:pStyle w:val="StandardWeb"/>
      </w:pPr>
      <w:r>
        <w:t>Ein erstes Beispiel ist ein Thermostat.</w:t>
      </w:r>
    </w:p>
    <w:p w:rsidR="00C961E8" w:rsidRDefault="00C961E8" w:rsidP="00C961E8">
      <w:pPr>
        <w:pStyle w:val="StandardWeb"/>
      </w:pPr>
      <w:r>
        <w:t>Angenommen, eine Heizung schaltet bei</w:t>
      </w:r>
    </w:p>
    <w:p w:rsidR="00C961E8" w:rsidRDefault="00C961E8" w:rsidP="00C961E8">
      <w:pPr>
        <w:pStyle w:val="StandardWeb"/>
      </w:pPr>
      <w:r>
        <w:t>[</w:t>
      </w:r>
      <w:r>
        <w:br/>
        <w:t>20^\circ\mathrm{C}</w:t>
      </w:r>
      <w:r>
        <w:br/>
        <w:t>]</w:t>
      </w:r>
    </w:p>
    <w:p w:rsidR="00C961E8" w:rsidRDefault="00C961E8" w:rsidP="00C961E8">
      <w:pPr>
        <w:pStyle w:val="StandardWeb"/>
      </w:pPr>
      <w:r>
        <w:t>ein.</w:t>
      </w:r>
    </w:p>
    <w:p w:rsidR="00C961E8" w:rsidRDefault="00C961E8" w:rsidP="00C961E8">
      <w:pPr>
        <w:pStyle w:val="StandardWeb"/>
      </w:pPr>
      <w:r>
        <w:t>Wenn ich den Schaltwert geringfügig auf</w:t>
      </w:r>
    </w:p>
    <w:p w:rsidR="00C961E8" w:rsidRDefault="00C961E8" w:rsidP="00C961E8">
      <w:pPr>
        <w:pStyle w:val="StandardWeb"/>
      </w:pPr>
      <w:r>
        <w:t>[</w:t>
      </w:r>
      <w:r>
        <w:br/>
        <w:t>20{,}1^\circ\mathrm{C}</w:t>
      </w:r>
      <w:r>
        <w:br/>
        <w:t>]</w:t>
      </w:r>
    </w:p>
    <w:p w:rsidR="00C961E8" w:rsidRDefault="00C961E8" w:rsidP="00C961E8">
      <w:pPr>
        <w:pStyle w:val="StandardWeb"/>
      </w:pPr>
      <w:r>
        <w:t>ändere, wird sich das Gesamtverhalten wahrscheinlich nur wenig verändern.</w:t>
      </w:r>
    </w:p>
    <w:p w:rsidR="00C961E8" w:rsidRDefault="00C961E8" w:rsidP="00C961E8">
      <w:pPr>
        <w:pStyle w:val="StandardWeb"/>
      </w:pPr>
      <w:r>
        <w:t>Das System ist gegenüber dieser kleinen Parameteränderung relativ robust.</w:t>
      </w:r>
    </w:p>
    <w:p w:rsidR="00C961E8" w:rsidRDefault="00C961E8" w:rsidP="00C961E8">
      <w:pPr>
        <w:pStyle w:val="StandardWeb"/>
      </w:pPr>
      <w:r>
        <w:t>Wenn jedoch eine kleine Schwellenwertänderung dazu führt, dass die Heizung ständig ein- und ausschaltet, wäre genau dieser Bereich parameterfragil.</w:t>
      </w:r>
    </w:p>
    <w:p w:rsidR="00C961E8" w:rsidRDefault="00C961E8" w:rsidP="00C961E8">
      <w:pPr>
        <w:pStyle w:val="StandardWeb"/>
      </w:pPr>
      <w:r>
        <w:t>Ein zweites Beispiel ist ein Verstärker.</w:t>
      </w:r>
    </w:p>
    <w:p w:rsidR="00C961E8" w:rsidRDefault="00C961E8" w:rsidP="00C961E8">
      <w:pPr>
        <w:pStyle w:val="StandardWeb"/>
      </w:pPr>
      <w:r>
        <w:t>Ein Verstärkungsfaktor von (g=0{,}8) kann eine Rückkopplung dämpfen.</w:t>
      </w:r>
    </w:p>
    <w:p w:rsidR="00C961E8" w:rsidRDefault="00C961E8" w:rsidP="00C961E8">
      <w:pPr>
        <w:pStyle w:val="StandardWeb"/>
      </w:pPr>
      <w:r>
        <w:t>Ein Wert von (g=1{,}2) kann dieselbe Schleife verstärken.</w:t>
      </w:r>
    </w:p>
    <w:p w:rsidR="00C961E8" w:rsidRDefault="00C961E8" w:rsidP="00C961E8">
      <w:pPr>
        <w:pStyle w:val="StandardWeb"/>
      </w:pPr>
      <w:r>
        <w:t>Die Änderung des Parameters ist quantitativ klein, die qualitative Dynamik aber völlig unterschiedlich.</w:t>
      </w:r>
    </w:p>
    <w:p w:rsidR="00C961E8" w:rsidRDefault="00C961E8" w:rsidP="00C961E8">
      <w:pPr>
        <w:pStyle w:val="StandardWeb"/>
      </w:pPr>
      <w:r>
        <w:lastRenderedPageBreak/>
        <w:t>Dieses Beispiel macht den Sinn einer kritischen Parametergrenze unmittelbar verständlich.</w:t>
      </w:r>
    </w:p>
    <w:p w:rsidR="00C961E8" w:rsidRDefault="00C961E8" w:rsidP="00C961E8">
      <w:pPr>
        <w:pStyle w:val="StandardWeb"/>
      </w:pPr>
      <w:r>
        <w:t>Ein drittes Beispiel ist ein Fahrrad.</w:t>
      </w:r>
    </w:p>
    <w:p w:rsidR="00C961E8" w:rsidRDefault="00C961E8" w:rsidP="00C961E8">
      <w:pPr>
        <w:pStyle w:val="StandardWeb"/>
      </w:pPr>
      <w:r>
        <w:t>Der Fahrer kann kleine seitliche Abweichungen durch Lenken ausgleichen.</w:t>
      </w:r>
    </w:p>
    <w:p w:rsidR="00C961E8" w:rsidRDefault="00C961E8" w:rsidP="00C961E8">
      <w:pPr>
        <w:pStyle w:val="StandardWeb"/>
      </w:pPr>
      <w:r>
        <w:t>Solange diese Störungen klein sind, kehrt das System in einen stabilen Bewegungsbereich zurück.</w:t>
      </w:r>
    </w:p>
    <w:p w:rsidR="00C961E8" w:rsidRDefault="00C961E8" w:rsidP="00C961E8">
      <w:pPr>
        <w:pStyle w:val="StandardWeb"/>
      </w:pPr>
      <w:r>
        <w:t>Wird die Abweichung zu groß, kann die Stabilitätsregion verlassen werden.</w:t>
      </w:r>
    </w:p>
    <w:p w:rsidR="00C961E8" w:rsidRDefault="00C961E8" w:rsidP="00C961E8">
      <w:pPr>
        <w:pStyle w:val="StandardWeb"/>
      </w:pPr>
      <w:r>
        <w:t>Der Unterschied zwischen „kleine Störung wird korrigiert“ und „System kippt in einen anderen Zustand“ entspricht der Idee einer Stabilitäts- oder Attraktorbeckengrenze.</w:t>
      </w:r>
    </w:p>
    <w:p w:rsidR="00C961E8" w:rsidRDefault="00C961E8" w:rsidP="00C961E8">
      <w:pPr>
        <w:pStyle w:val="StandardWeb"/>
      </w:pPr>
      <w:r>
        <w:t>Ein viertes Beispiel ist ein Ball in einer Schüssel.</w:t>
      </w:r>
    </w:p>
    <w:p w:rsidR="00C961E8" w:rsidRDefault="00C961E8" w:rsidP="00C961E8">
      <w:pPr>
        <w:pStyle w:val="StandardWeb"/>
      </w:pPr>
      <w:r>
        <w:t>Liegt der Ball tief in der Schüssel, können kleine Störungen ihn nicht aus seinem Gleichgewichtszustand entfernen.</w:t>
      </w:r>
    </w:p>
    <w:p w:rsidR="00C961E8" w:rsidRDefault="00C961E8" w:rsidP="00C961E8">
      <w:pPr>
        <w:pStyle w:val="StandardWeb"/>
      </w:pPr>
      <w:r>
        <w:t>Liegt er dagegen fast am Rand, genügt eine kleine zusätzliche Störung, damit er herausfällt.</w:t>
      </w:r>
    </w:p>
    <w:p w:rsidR="00C961E8" w:rsidRDefault="00C961E8" w:rsidP="00C961E8">
      <w:pPr>
        <w:pStyle w:val="StandardWeb"/>
      </w:pPr>
      <w:r>
        <w:t>Der Abstand zum Rand der Schüssel entspricht didaktisch einer Robustheitsmargin.</w:t>
      </w:r>
    </w:p>
    <w:p w:rsidR="00C961E8" w:rsidRDefault="00C961E8" w:rsidP="00C961E8">
      <w:pPr>
        <w:pStyle w:val="StandardWeb"/>
      </w:pPr>
      <w:r>
        <w:t>Je größer dieser Abstand, desto größer der Sicherheitsbereich.</w:t>
      </w:r>
    </w:p>
    <w:p w:rsidR="00C961E8" w:rsidRDefault="00C961E8" w:rsidP="00C961E8">
      <w:pPr>
        <w:pStyle w:val="StandardWeb"/>
      </w:pPr>
      <w:r>
        <w:t>Ein fünftes Beispiel sind zwei nebeneinanderliegende Schüsseln.</w:t>
      </w:r>
    </w:p>
    <w:p w:rsidR="00C961E8" w:rsidRDefault="00C961E8" w:rsidP="00C961E8">
      <w:pPr>
        <w:pStyle w:val="StandardWeb"/>
      </w:pPr>
      <w:r>
        <w:t>Ein Ball kann entweder in der linken oder in der rechten Schüssel liegen.</w:t>
      </w:r>
    </w:p>
    <w:p w:rsidR="00C961E8" w:rsidRDefault="00C961E8" w:rsidP="00C961E8">
      <w:pPr>
        <w:pStyle w:val="StandardWeb"/>
      </w:pPr>
      <w:r>
        <w:t>Beide Zustände sind stabil.</w:t>
      </w:r>
    </w:p>
    <w:p w:rsidR="00C961E8" w:rsidRDefault="00C961E8" w:rsidP="00C961E8">
      <w:pPr>
        <w:pStyle w:val="StandardWeb"/>
      </w:pPr>
      <w:r>
        <w:t>Nahe der Trennkante zwischen beiden genügt eine kleine Änderung der Startposition, damit der Ball in die jeweils andere Schüssel fällt.</w:t>
      </w:r>
    </w:p>
    <w:p w:rsidR="00C961E8" w:rsidRDefault="00C961E8" w:rsidP="00C961E8">
      <w:pPr>
        <w:pStyle w:val="StandardWeb"/>
      </w:pPr>
      <w:r>
        <w:t>Das illustriert zwei Attraktorbecken.</w:t>
      </w:r>
    </w:p>
    <w:p w:rsidR="00C961E8" w:rsidRDefault="00C961E8" w:rsidP="00C961E8">
      <w:pPr>
        <w:pStyle w:val="StandardWeb"/>
      </w:pPr>
      <w:r>
        <w:t>Ein sechstes Beispiel ist ein Lichtschalter mit Schnappmechanismus.</w:t>
      </w:r>
    </w:p>
    <w:p w:rsidR="00C961E8" w:rsidRDefault="00C961E8" w:rsidP="00C961E8">
      <w:pPr>
        <w:pStyle w:val="StandardWeb"/>
      </w:pPr>
      <w:r>
        <w:t>Der Schalter bleibt nicht in jeder Zwischenposition stehen. Sobald eine bestimmte Grenze überschritten wird, springt er in den anderen Zustand.</w:t>
      </w:r>
    </w:p>
    <w:p w:rsidR="00C961E8" w:rsidRDefault="00C961E8" w:rsidP="00C961E8">
      <w:pPr>
        <w:pStyle w:val="StandardWeb"/>
      </w:pPr>
      <w:r>
        <w:t>Dies veranschaulicht einen qualitativen Regimewechsel.</w:t>
      </w:r>
    </w:p>
    <w:p w:rsidR="00C961E8" w:rsidRDefault="00C961E8" w:rsidP="00C961E8">
      <w:pPr>
        <w:pStyle w:val="StandardWeb"/>
      </w:pPr>
      <w:r>
        <w:t>Ein siebtes Beispiel ist ein mechanischer Kippschalter mit Hysterese.</w:t>
      </w:r>
    </w:p>
    <w:p w:rsidR="00C961E8" w:rsidRDefault="00C961E8" w:rsidP="00C961E8">
      <w:pPr>
        <w:pStyle w:val="StandardWeb"/>
      </w:pPr>
      <w:r>
        <w:t>Der Wert, bei dem der Schalter beim Hinweg umspringt, muss nicht genau mit dem Wert übereinstimmen, bei dem er auf dem Rückweg zurückspringt.</w:t>
      </w:r>
    </w:p>
    <w:p w:rsidR="00C961E8" w:rsidRDefault="00C961E8" w:rsidP="00C961E8">
      <w:pPr>
        <w:pStyle w:val="StandardWeb"/>
      </w:pPr>
      <w:r>
        <w:t>Dann gilt</w:t>
      </w:r>
    </w:p>
    <w:p w:rsidR="00C961E8" w:rsidRDefault="00C961E8" w:rsidP="00C961E8">
      <w:pPr>
        <w:pStyle w:val="StandardWeb"/>
      </w:pPr>
      <w:r>
        <w:lastRenderedPageBreak/>
        <w:t>[</w:t>
      </w:r>
      <w:r>
        <w:br/>
        <w:t>\theta_{\uparrow}</w:t>
      </w:r>
      <w:r>
        <w:br/>
        <w:t>\neq</w:t>
      </w:r>
      <w:r>
        <w:br/>
        <w:t>\theta_{\downarrow}.</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\theta_{\uparrow}\neq\theta_{\downarrow}</w:t>
      </w:r>
    </w:p>
    <w:p w:rsidR="00C961E8" w:rsidRDefault="00C961E8" w:rsidP="00C961E8">
      <w:pPr>
        <w:pStyle w:val="StandardWeb"/>
      </w:pPr>
      <w:r>
        <w:t>Damit wird deutlich, warum der aktuelle Parameterwert allein nicht immer den Systemzustand bestimmt.</w:t>
      </w:r>
    </w:p>
    <w:p w:rsidR="00C961E8" w:rsidRDefault="00C961E8" w:rsidP="00C961E8">
      <w:pPr>
        <w:pStyle w:val="StandardWeb"/>
      </w:pPr>
      <w:r>
        <w:t>Ein achtes Beispiel ist die Einstellung eines Vergasers oder einer Einspritzanlage.</w:t>
      </w:r>
    </w:p>
    <w:p w:rsidR="00C961E8" w:rsidRDefault="00C961E8" w:rsidP="00C961E8">
      <w:pPr>
        <w:pStyle w:val="StandardWeb"/>
      </w:pPr>
      <w:r>
        <w:t>Ein Motor kann über einen relativ großen Einstellbereich gut laufen.</w:t>
      </w:r>
    </w:p>
    <w:p w:rsidR="00C961E8" w:rsidRDefault="00C961E8" w:rsidP="00C961E8">
      <w:pPr>
        <w:pStyle w:val="StandardWeb"/>
      </w:pPr>
      <w:r>
        <w:t>In diesem Bereich ist seine Funktion robust.</w:t>
      </w:r>
    </w:p>
    <w:p w:rsidR="00C961E8" w:rsidRDefault="00C961E8" w:rsidP="00C961E8">
      <w:pPr>
        <w:pStyle w:val="StandardWeb"/>
      </w:pPr>
      <w:r>
        <w:t>Nähert man sich jedoch einer kritischen Grenze, kann eine kleine weitere Änderung zu Fehlzündungen oder Ausfall führen.</w:t>
      </w:r>
    </w:p>
    <w:p w:rsidR="00C961E8" w:rsidRDefault="00C961E8" w:rsidP="00C961E8">
      <w:pPr>
        <w:pStyle w:val="StandardWeb"/>
      </w:pPr>
      <w:r>
        <w:t>Eine einzelne optimale Einstellung sagt daher weniger über die technische Belastbarkeit aus als die Breite des Bereichs, in dem der Motor zuverlässig funktioniert.</w:t>
      </w:r>
    </w:p>
    <w:p w:rsidR="00C961E8" w:rsidRDefault="00C961E8" w:rsidP="00C961E8">
      <w:pPr>
        <w:pStyle w:val="StandardWeb"/>
      </w:pPr>
      <w:r>
        <w:t>Ein neuntes Beispiel ist eine Schraube.</w:t>
      </w:r>
    </w:p>
    <w:p w:rsidR="00C961E8" w:rsidRDefault="00C961E8" w:rsidP="00C961E8">
      <w:pPr>
        <w:pStyle w:val="StandardWeb"/>
      </w:pPr>
      <w:r>
        <w:t>Eine Schraube muss fest genug angezogen werden.</w:t>
      </w:r>
    </w:p>
    <w:p w:rsidR="00C961E8" w:rsidRDefault="00C961E8" w:rsidP="00C961E8">
      <w:pPr>
        <w:pStyle w:val="StandardWeb"/>
      </w:pPr>
      <w:r>
        <w:t>Ein zu kleines Drehmoment führt dazu, dass sie sich lösen kann.</w:t>
      </w:r>
    </w:p>
    <w:p w:rsidR="00C961E8" w:rsidRDefault="00C961E8" w:rsidP="00C961E8">
      <w:pPr>
        <w:pStyle w:val="StandardWeb"/>
      </w:pPr>
      <w:r>
        <w:t>Ein zu großes Drehmoment kann das Gewinde beschädigen.</w:t>
      </w:r>
    </w:p>
    <w:p w:rsidR="00C961E8" w:rsidRDefault="00C961E8" w:rsidP="00C961E8">
      <w:pPr>
        <w:pStyle w:val="StandardWeb"/>
      </w:pPr>
      <w:r>
        <w:t>Der zulässige Parameterbereich liegt also zwischen zwei Grenzen:</w:t>
      </w:r>
    </w:p>
    <w:p w:rsidR="00C961E8" w:rsidRDefault="00C961E8" w:rsidP="00C961E8">
      <w:pPr>
        <w:pStyle w:val="StandardWeb"/>
      </w:pPr>
      <w:r>
        <w:t>[</w:t>
      </w:r>
      <w:r>
        <w:br/>
        <w:t>M_{\min}</w:t>
      </w:r>
      <w:r>
        <w:br/>
        <w:t>&lt;</w:t>
      </w:r>
      <w:r>
        <w:br/>
        <w:t>M</w:t>
      </w:r>
      <w:r>
        <w:br/>
        <w:t>&lt;</w:t>
      </w:r>
      <w:r>
        <w:br/>
        <w:t>M_{\max}.</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M_{\min}&lt;M&lt;M_{\max}</w:t>
      </w:r>
    </w:p>
    <w:p w:rsidR="00C961E8" w:rsidRDefault="00C961E8" w:rsidP="00C961E8">
      <w:pPr>
        <w:pStyle w:val="StandardWeb"/>
      </w:pPr>
      <w:r>
        <w:t>Die technische Qualität besteht nicht darin, einen einzigen exakt richtigen Wert zu treffen, sondern darin, einen belastbaren Bereich zu kennen.</w:t>
      </w:r>
    </w:p>
    <w:p w:rsidR="00C961E8" w:rsidRDefault="00C961E8" w:rsidP="00C961E8">
      <w:pPr>
        <w:pStyle w:val="StandardWeb"/>
      </w:pPr>
      <w:r>
        <w:t>Genau so interpretiere ich Parameterrobustheit im FRZK.</w:t>
      </w:r>
    </w:p>
    <w:p w:rsidR="00C961E8" w:rsidRDefault="00C961E8" w:rsidP="00C961E8">
      <w:pPr>
        <w:pStyle w:val="StandardWeb"/>
      </w:pPr>
      <w:r>
        <w:lastRenderedPageBreak/>
        <w:t>Ein zehntes Beispiel betrifft eine Brücke.</w:t>
      </w:r>
    </w:p>
    <w:p w:rsidR="00C961E8" w:rsidRDefault="00C961E8" w:rsidP="00C961E8">
      <w:pPr>
        <w:pStyle w:val="StandardWeb"/>
      </w:pPr>
      <w:r>
        <w:t>Eine Brücke wird nicht nur für exakt ein Fahrzeuggewicht dimensioniert.</w:t>
      </w:r>
    </w:p>
    <w:p w:rsidR="00C961E8" w:rsidRDefault="00C961E8" w:rsidP="00C961E8">
      <w:pPr>
        <w:pStyle w:val="StandardWeb"/>
      </w:pPr>
      <w:r>
        <w:t>Sie besitzt einen zulässigen Belastungsbereich und zusätzliche Sicherheitsreserven.</w:t>
      </w:r>
    </w:p>
    <w:p w:rsidR="00C961E8" w:rsidRDefault="00C961E8" w:rsidP="00C961E8">
      <w:pPr>
        <w:pStyle w:val="StandardWeb"/>
      </w:pPr>
      <w:r>
        <w:t>Der einzelne Betriebswert ist weniger wichtig als der Abstand zur kritischen Belastungsgrenze.</w:t>
      </w:r>
    </w:p>
    <w:p w:rsidR="00C961E8" w:rsidRDefault="00C961E8" w:rsidP="00C961E8">
      <w:pPr>
        <w:pStyle w:val="StandardWeb"/>
      </w:pPr>
      <w:r>
        <w:t>Dies entspricht der Robustheitsmargin</w:t>
      </w:r>
    </w:p>
    <w:p w:rsidR="00C961E8" w:rsidRDefault="00C961E8" w:rsidP="00C961E8">
      <w:pPr>
        <w:pStyle w:val="StandardWeb"/>
      </w:pPr>
      <w:r>
        <w:t>[</w:t>
      </w:r>
      <w:r>
        <w:br/>
        <w:t>M_R.</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M_R</w:t>
      </w:r>
    </w:p>
    <w:p w:rsidR="00C961E8" w:rsidRDefault="00C961E8" w:rsidP="00C961E8">
      <w:pPr>
        <w:pStyle w:val="StandardWeb"/>
      </w:pPr>
      <w:r>
        <w:t>Ein elftes Beispiel betrifft Wetterprognosen.</w:t>
      </w:r>
    </w:p>
    <w:p w:rsidR="00C961E8" w:rsidRDefault="00C961E8" w:rsidP="00C961E8">
      <w:pPr>
        <w:pStyle w:val="StandardWeb"/>
      </w:pPr>
      <w:r>
        <w:t>Zwei Simulationen können mit nahezu identischen Anfangszuständen beginnen und sich nach längerer Zeit deutlich auseinanderentwickeln.</w:t>
      </w:r>
    </w:p>
    <w:p w:rsidR="00C961E8" w:rsidRDefault="00C961E8" w:rsidP="00C961E8">
      <w:pPr>
        <w:pStyle w:val="StandardWeb"/>
      </w:pPr>
      <w:r>
        <w:t>Damit wird verständlich, warum eine hohe Modellqualität nicht automatisch unbegrenzt lange präzise Prognosen ermöglicht.</w:t>
      </w:r>
    </w:p>
    <w:p w:rsidR="00C961E8" w:rsidRDefault="00C961E8" w:rsidP="00C961E8">
      <w:pPr>
        <w:pStyle w:val="StandardWeb"/>
      </w:pPr>
      <w:r>
        <w:t>Ein System kann deterministisch beschrieben sein und trotzdem einen begrenzten praktischen Vorhersagehorizont besitzen.</w:t>
      </w:r>
    </w:p>
    <w:p w:rsidR="00C961E8" w:rsidRDefault="00C961E8" w:rsidP="00C961E8">
      <w:pPr>
        <w:pStyle w:val="StandardWeb"/>
      </w:pPr>
      <w:r>
        <w:t>Ein zwölftes Beispiel betrifft eine Wanderroute.</w:t>
      </w:r>
    </w:p>
    <w:p w:rsidR="00C961E8" w:rsidRDefault="00C961E8" w:rsidP="00C961E8">
      <w:pPr>
        <w:pStyle w:val="StandardWeb"/>
      </w:pPr>
      <w:r>
        <w:t>Zwei Wanderer starten nur wenige Meter voneinander entfernt.</w:t>
      </w:r>
    </w:p>
    <w:p w:rsidR="00C961E8" w:rsidRDefault="00C961E8" w:rsidP="00C961E8">
      <w:pPr>
        <w:pStyle w:val="StandardWeb"/>
      </w:pPr>
      <w:r>
        <w:t>Solange sie auf demselben Weg bleiben, bleiben auch ihre späteren Positionen ähnlich.</w:t>
      </w:r>
    </w:p>
    <w:p w:rsidR="00C961E8" w:rsidRDefault="00C961E8" w:rsidP="00C961E8">
      <w:pPr>
        <w:pStyle w:val="StandardWeb"/>
      </w:pPr>
      <w:r>
        <w:t>Befindet sich der Startpunkt jedoch direkt an einer Weggabelung, kann ein Unterschied von wenigen Metern dazu führen, dass beide völlig verschiedene Wege nehmen.</w:t>
      </w:r>
    </w:p>
    <w:p w:rsidR="00C961E8" w:rsidRDefault="00C961E8" w:rsidP="00C961E8">
      <w:pPr>
        <w:pStyle w:val="StandardWeb"/>
      </w:pPr>
      <w:r>
        <w:t>Die Weggabelung entspricht einer Beckengrenze.</w:t>
      </w:r>
    </w:p>
    <w:p w:rsidR="00C961E8" w:rsidRDefault="00C961E8" w:rsidP="00C961E8">
      <w:pPr>
        <w:pStyle w:val="StandardWeb"/>
      </w:pPr>
      <w:r>
        <w:t>Ein dreizehntes Beispiel ist ein Fluss.</w:t>
      </w:r>
    </w:p>
    <w:p w:rsidR="00C961E8" w:rsidRDefault="00C961E8" w:rsidP="00C961E8">
      <w:pPr>
        <w:pStyle w:val="StandardWeb"/>
      </w:pPr>
      <w:r>
        <w:t>Wasser kann in unterschiedlichen Einzugsgebieten in verschiedene Flüsse gelangen.</w:t>
      </w:r>
    </w:p>
    <w:p w:rsidR="00C961E8" w:rsidRDefault="00C961E8" w:rsidP="00C961E8">
      <w:pPr>
        <w:pStyle w:val="StandardWeb"/>
      </w:pPr>
      <w:r>
        <w:t>Ein Regentropfen unmittelbar neben einer Wasserscheide kann durch eine sehr kleine Positionsänderung in ein vollkommen anderes Flusssystem gelangen.</w:t>
      </w:r>
    </w:p>
    <w:p w:rsidR="00C961E8" w:rsidRDefault="00C961E8" w:rsidP="00C961E8">
      <w:pPr>
        <w:pStyle w:val="StandardWeb"/>
      </w:pPr>
      <w:r>
        <w:t>Auch dieses Beispiel macht Attraktorbecken und Beckengrenzen anschaulich.</w:t>
      </w:r>
    </w:p>
    <w:p w:rsidR="00C961E8" w:rsidRDefault="00C961E8" w:rsidP="00C961E8">
      <w:pPr>
        <w:pStyle w:val="StandardWeb"/>
      </w:pPr>
      <w:r>
        <w:t>Ein vierzehntes Beispiel ist ein selbstregelndes Heizungssystem.</w:t>
      </w:r>
    </w:p>
    <w:p w:rsidR="00C961E8" w:rsidRDefault="00C961E8" w:rsidP="00C961E8">
      <w:pPr>
        <w:pStyle w:val="StandardWeb"/>
      </w:pPr>
      <w:r>
        <w:lastRenderedPageBreak/>
        <w:t>Wird ein Fenster kurz geöffnet, sinkt die Raumtemperatur.</w:t>
      </w:r>
    </w:p>
    <w:p w:rsidR="00C961E8" w:rsidRDefault="00C961E8" w:rsidP="00C961E8">
      <w:pPr>
        <w:pStyle w:val="StandardWeb"/>
      </w:pPr>
      <w:r>
        <w:t>Eine stabile Regelung erhöht die Heizleistung und bringt die Temperatur wieder in den Zielbereich.</w:t>
      </w:r>
    </w:p>
    <w:p w:rsidR="00C961E8" w:rsidRDefault="00C961E8" w:rsidP="00C961E8">
      <w:pPr>
        <w:pStyle w:val="StandardWeb"/>
      </w:pPr>
      <w:r>
        <w:t>Das System hat auf die Störung reagiert und sich erholt.</w:t>
      </w:r>
    </w:p>
    <w:p w:rsidR="00C961E8" w:rsidRDefault="00C961E8" w:rsidP="00C961E8">
      <w:pPr>
        <w:pStyle w:val="StandardWeb"/>
      </w:pPr>
      <w:r>
        <w:t>Das ist Resilienz.</w:t>
      </w:r>
    </w:p>
    <w:p w:rsidR="00C961E8" w:rsidRDefault="00C961E8" w:rsidP="00C961E8">
      <w:pPr>
        <w:pStyle w:val="StandardWeb"/>
      </w:pPr>
      <w:r>
        <w:t>Es bedeutet jedoch nicht automatisch, dass sämtliche Regelparameter beliebig verändert werden könnten, ohne die Funktion zu beeinträchtigen.</w:t>
      </w:r>
    </w:p>
    <w:p w:rsidR="00C961E8" w:rsidRDefault="00C961E8" w:rsidP="00C961E8">
      <w:pPr>
        <w:pStyle w:val="StandardWeb"/>
      </w:pPr>
      <w:r>
        <w:t>Damit wird der Unterschied zwischen Resilienz und Parameterrobustheit verständlich.</w:t>
      </w:r>
    </w:p>
    <w:p w:rsidR="00C961E8" w:rsidRDefault="00C961E8" w:rsidP="00C961E8">
      <w:pPr>
        <w:pStyle w:val="StandardWeb"/>
      </w:pPr>
      <w:r>
        <w:t>Ein fünfzehntes Beispiel ist eine Produktionsanlage.</w:t>
      </w:r>
    </w:p>
    <w:p w:rsidR="00C961E8" w:rsidRDefault="00C961E8" w:rsidP="00C961E8">
      <w:pPr>
        <w:pStyle w:val="StandardWeb"/>
      </w:pPr>
      <w:r>
        <w:t>Eine Anlage kann bei einer Fördermenge zwischen 90 und 110 Einheiten pro Stunde stabil arbeiten.</w:t>
      </w:r>
    </w:p>
    <w:p w:rsidR="00C961E8" w:rsidRDefault="00C961E8" w:rsidP="00C961E8">
      <w:pPr>
        <w:pStyle w:val="StandardWeb"/>
      </w:pPr>
      <w:r>
        <w:t>Bei 111 Einheiten geschieht vielleicht zunächst nichts Dramatisches.</w:t>
      </w:r>
    </w:p>
    <w:p w:rsidR="00C961E8" w:rsidRDefault="00C961E8" w:rsidP="00C961E8">
      <w:pPr>
        <w:pStyle w:val="StandardWeb"/>
      </w:pPr>
      <w:r>
        <w:t>Ab 120 Einheiten kann jedoch eine Überlastung entstehen.</w:t>
      </w:r>
    </w:p>
    <w:p w:rsidR="00C961E8" w:rsidRDefault="00C961E8" w:rsidP="00C961E8">
      <w:pPr>
        <w:pStyle w:val="StandardWeb"/>
      </w:pPr>
      <w:r>
        <w:t>Die sinnvolle wissenschaftliche Aussage lautet daher nicht:</w:t>
      </w:r>
    </w:p>
    <w:p w:rsidR="00C961E8" w:rsidRDefault="00C961E8" w:rsidP="00C961E8">
      <w:pPr>
        <w:pStyle w:val="StandardWeb"/>
      </w:pPr>
      <w:r>
        <w:t>„Die Anlage funktioniert bei 100.“</w:t>
      </w:r>
    </w:p>
    <w:p w:rsidR="00C961E8" w:rsidRDefault="00C961E8" w:rsidP="00C961E8">
      <w:pPr>
        <w:pStyle w:val="StandardWeb"/>
      </w:pPr>
      <w:r>
        <w:t>Sondern:</w:t>
      </w:r>
    </w:p>
    <w:p w:rsidR="00C961E8" w:rsidRDefault="00C961E8" w:rsidP="00C961E8">
      <w:pPr>
        <w:pStyle w:val="StandardWeb"/>
      </w:pPr>
      <w:r>
        <w:t>„Die Anlage funktioniert innerhalb eines empirisch überprüften Betriebsbereichs.“</w:t>
      </w:r>
    </w:p>
    <w:p w:rsidR="00C961E8" w:rsidRDefault="00C961E8" w:rsidP="00C961E8">
      <w:pPr>
        <w:pStyle w:val="StandardWeb"/>
      </w:pPr>
      <w:r>
        <w:t>Genau diese sprachliche Änderung ist für das FRZK wesentlich.</w:t>
      </w:r>
    </w:p>
    <w:p w:rsidR="00C961E8" w:rsidRDefault="00C961E8" w:rsidP="00C961E8">
      <w:pPr>
        <w:pStyle w:val="StandardWeb"/>
      </w:pPr>
      <w:r>
        <w:t>Ein sechzehntes Beispiel betrifft ein Medikamentenmodell, rein mathematisch betrachtet.</w:t>
      </w:r>
    </w:p>
    <w:p w:rsidR="00C961E8" w:rsidRDefault="00C961E8" w:rsidP="00C961E8">
      <w:pPr>
        <w:pStyle w:val="StandardWeb"/>
      </w:pPr>
      <w:r>
        <w:t>Ein Modell könnte vorhersagen, dass eine Wirkung innerhalb eines bestimmten Parameterbereichs positiv bleibt.</w:t>
      </w:r>
    </w:p>
    <w:p w:rsidR="00C961E8" w:rsidRDefault="00C961E8" w:rsidP="00C961E8">
      <w:pPr>
        <w:pStyle w:val="StandardWeb"/>
      </w:pPr>
      <w:r>
        <w:t>Wenn schon eine kleine Unsicherheit eines Wirkparameters das Vorzeichen der vorhergesagten Wirkung ändert, wäre die Schlussfolgerung fragil.</w:t>
      </w:r>
    </w:p>
    <w:p w:rsidR="00C961E8" w:rsidRDefault="00C961E8" w:rsidP="00C961E8">
      <w:pPr>
        <w:pStyle w:val="StandardWeb"/>
      </w:pPr>
      <w:r>
        <w:t>Didaktisch wichtig ist hier nicht das konkrete medizinische Beispiel, sondern die allgemeine Logik:</w:t>
      </w:r>
    </w:p>
    <w:p w:rsidR="00C961E8" w:rsidRDefault="00C961E8" w:rsidP="00C961E8">
      <w:pPr>
        <w:pStyle w:val="StandardWeb"/>
      </w:pPr>
      <w:r>
        <w:rPr>
          <w:rStyle w:val="Fett"/>
        </w:rPr>
        <w:t>Wenn die Unsicherheit größer als der Abstand zur kritischen Grenze ist, ist die qualitative Aussage unsicher.</w:t>
      </w:r>
    </w:p>
    <w:p w:rsidR="00C961E8" w:rsidRDefault="00C961E8" w:rsidP="00C961E8">
      <w:pPr>
        <w:pStyle w:val="StandardWeb"/>
      </w:pPr>
      <w:r>
        <w:t>Ein siebzehntes Beispiel ist eine Waage mit zwei Gewichten.</w:t>
      </w:r>
    </w:p>
    <w:p w:rsidR="00C961E8" w:rsidRDefault="00C961E8" w:rsidP="00C961E8">
      <w:pPr>
        <w:pStyle w:val="StandardWeb"/>
      </w:pPr>
      <w:r>
        <w:t>Angenommen, zwei unbekannte Gewichte beeinflussen nur ihre Summe.</w:t>
      </w:r>
    </w:p>
    <w:p w:rsidR="00C961E8" w:rsidRDefault="00C961E8" w:rsidP="00C961E8">
      <w:pPr>
        <w:pStyle w:val="StandardWeb"/>
      </w:pPr>
      <w:r>
        <w:lastRenderedPageBreak/>
        <w:t>Dann kann ich möglicherweise sehr genau wissen, dass</w:t>
      </w:r>
    </w:p>
    <w:p w:rsidR="00C961E8" w:rsidRDefault="00C961E8" w:rsidP="00C961E8">
      <w:pPr>
        <w:pStyle w:val="berschrift1"/>
      </w:pPr>
      <w:r>
        <w:t>[</w:t>
      </w:r>
      <w:r>
        <w:br/>
        <w:t>\theta_1+\theta_2</w:t>
      </w:r>
    </w:p>
    <w:p w:rsidR="00C961E8" w:rsidRDefault="00C961E8" w:rsidP="00C961E8">
      <w:pPr>
        <w:pStyle w:val="StandardWeb"/>
      </w:pPr>
      <w:r>
        <w:t>10</w:t>
      </w:r>
      <w:r>
        <w:br/>
        <w:t>]</w:t>
      </w:r>
    </w:p>
    <w:p w:rsidR="00C961E8" w:rsidRDefault="00C961E8" w:rsidP="00C961E8">
      <w:pPr>
        <w:pStyle w:val="StandardWeb"/>
      </w:pPr>
      <w:r>
        <w:t>gilt, ohne eindeutig zu wissen, wie groß (\theta_1) und (\theta_2) einzeln sind.</w:t>
      </w:r>
    </w:p>
    <w:p w:rsidR="00C961E8" w:rsidRDefault="00C961E8" w:rsidP="00C961E8">
      <w:pPr>
        <w:pStyle w:val="StandardWeb"/>
      </w:pPr>
      <w:r>
        <w:t>Beispielsweise sind</w:t>
      </w:r>
    </w:p>
    <w:p w:rsidR="00C961E8" w:rsidRDefault="00C961E8" w:rsidP="00C961E8">
      <w:pPr>
        <w:pStyle w:val="StandardWeb"/>
      </w:pPr>
      <w:r>
        <w:t>[</w:t>
      </w:r>
      <w:r>
        <w:br/>
        <w:t>4+6=10</w:t>
      </w:r>
      <w:r>
        <w:br/>
        <w:t>]</w:t>
      </w:r>
    </w:p>
    <w:p w:rsidR="00C961E8" w:rsidRDefault="00C961E8" w:rsidP="00C961E8">
      <w:pPr>
        <w:pStyle w:val="StandardWeb"/>
      </w:pPr>
      <w:r>
        <w:t>und</w:t>
      </w:r>
    </w:p>
    <w:p w:rsidR="00C961E8" w:rsidRDefault="00C961E8" w:rsidP="00C961E8">
      <w:pPr>
        <w:pStyle w:val="StandardWeb"/>
      </w:pPr>
      <w:r>
        <w:t>[</w:t>
      </w:r>
      <w:r>
        <w:br/>
        <w:t>3+7=10.</w:t>
      </w:r>
      <w:r>
        <w:br/>
        <w:t>]</w:t>
      </w:r>
    </w:p>
    <w:p w:rsidR="00C961E8" w:rsidRDefault="00C961E8" w:rsidP="00C961E8">
      <w:pPr>
        <w:pStyle w:val="StandardWeb"/>
      </w:pPr>
      <w:r>
        <w:t>Die Gesamtgröße ist eindeutig, die Einzelparameter sind es nicht.</w:t>
      </w:r>
    </w:p>
    <w:p w:rsidR="00C961E8" w:rsidRDefault="00C961E8" w:rsidP="00C961E8">
      <w:pPr>
        <w:pStyle w:val="StandardWeb"/>
      </w:pPr>
      <w:r>
        <w:t>Dies veranschaulicht Äquifinalität und Parameterkompensation.</w:t>
      </w:r>
    </w:p>
    <w:p w:rsidR="00C961E8" w:rsidRDefault="00C961E8" w:rsidP="00C961E8">
      <w:pPr>
        <w:pStyle w:val="StandardWeb"/>
      </w:pPr>
      <w:r>
        <w:t>Ein achtzehntes Beispiel betrifft ein Rezept.</w:t>
      </w:r>
    </w:p>
    <w:p w:rsidR="00C961E8" w:rsidRDefault="00C961E8" w:rsidP="00C961E8">
      <w:pPr>
        <w:pStyle w:val="StandardWeb"/>
      </w:pPr>
      <w:r>
        <w:t>Ein Teig kann vielleicht mit leicht unterschiedlichen Mengen zweier Flüssigkeiten dieselbe Konsistenz erhalten.</w:t>
      </w:r>
    </w:p>
    <w:p w:rsidR="00C961E8" w:rsidRDefault="00C961E8" w:rsidP="00C961E8">
      <w:pPr>
        <w:pStyle w:val="StandardWeb"/>
      </w:pPr>
      <w:r>
        <w:t>Die einzelnen Mengen sind variabel, während eine bestimmte Gesamtrelation entscheidend bleibt.</w:t>
      </w:r>
    </w:p>
    <w:p w:rsidR="00C961E8" w:rsidRDefault="00C961E8" w:rsidP="00C961E8">
      <w:pPr>
        <w:pStyle w:val="StandardWeb"/>
      </w:pPr>
      <w:r>
        <w:t>Didaktisch entspricht dies einer invarianten Parameterkombination.</w:t>
      </w:r>
    </w:p>
    <w:p w:rsidR="00C961E8" w:rsidRDefault="00C961E8" w:rsidP="00C961E8">
      <w:pPr>
        <w:pStyle w:val="StandardWeb"/>
      </w:pPr>
      <w:r>
        <w:t>Ein neunzehntes Beispiel betrifft ein Navigationssystem.</w:t>
      </w:r>
    </w:p>
    <w:p w:rsidR="00C961E8" w:rsidRDefault="00C961E8" w:rsidP="00C961E8">
      <w:pPr>
        <w:pStyle w:val="StandardWeb"/>
      </w:pPr>
      <w:r>
        <w:t>Eine Route kann trotz kleiner Fehler der GPS-Position dieselbe bleiben.</w:t>
      </w:r>
    </w:p>
    <w:p w:rsidR="00C961E8" w:rsidRDefault="00C961E8" w:rsidP="00C961E8">
      <w:pPr>
        <w:pStyle w:val="StandardWeb"/>
      </w:pPr>
      <w:r>
        <w:t>Befindet sich das Fahrzeug jedoch unmittelbar an einer Abzweigung, kann derselbe kleine Messfehler eine andere Route auswählen.</w:t>
      </w:r>
    </w:p>
    <w:p w:rsidR="00C961E8" w:rsidRDefault="00C961E8" w:rsidP="00C961E8">
      <w:pPr>
        <w:pStyle w:val="StandardWeb"/>
      </w:pPr>
      <w:r>
        <w:t>Die Größe des Fehlers ist identisch.</w:t>
      </w:r>
    </w:p>
    <w:p w:rsidR="00C961E8" w:rsidRDefault="00C961E8" w:rsidP="00C961E8">
      <w:pPr>
        <w:pStyle w:val="StandardWeb"/>
      </w:pPr>
      <w:r>
        <w:t>Entscheidend ist die Entfernung zur Entscheidungsgrenze.</w:t>
      </w:r>
    </w:p>
    <w:p w:rsidR="00C961E8" w:rsidRDefault="00C961E8" w:rsidP="00C961E8">
      <w:pPr>
        <w:pStyle w:val="StandardWeb"/>
      </w:pPr>
      <w:r>
        <w:t>Damit lässt sich die Robustheitsreserve</w:t>
      </w:r>
    </w:p>
    <w:p w:rsidR="00C961E8" w:rsidRDefault="00C961E8" w:rsidP="00C961E8">
      <w:pPr>
        <w:pStyle w:val="berschrift1"/>
      </w:pPr>
      <w:r>
        <w:lastRenderedPageBreak/>
        <w:t>[</w:t>
      </w:r>
      <w:r>
        <w:br/>
        <w:t>\rho_A</w:t>
      </w:r>
    </w:p>
    <w:p w:rsidR="00C961E8" w:rsidRDefault="00C961E8" w:rsidP="00C961E8">
      <w:pPr>
        <w:pStyle w:val="StandardWeb"/>
      </w:pPr>
      <w:r>
        <w:t>\frac{m_A}{L}</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\rho_A=\frac{m_A}{L}</w:t>
      </w:r>
    </w:p>
    <w:p w:rsidR="00C961E8" w:rsidRDefault="00C961E8" w:rsidP="00C961E8">
      <w:pPr>
        <w:pStyle w:val="StandardWeb"/>
      </w:pPr>
      <w:r>
        <w:t>intuitiv verstehen.</w:t>
      </w:r>
    </w:p>
    <w:p w:rsidR="00C961E8" w:rsidRDefault="00C961E8" w:rsidP="00C961E8">
      <w:pPr>
        <w:pStyle w:val="StandardWeb"/>
      </w:pPr>
      <w:r>
        <w:t>Ein zwanzigstes Beispiel ist ein Kugelschreiber mit Druckmechanismus.</w:t>
      </w:r>
    </w:p>
    <w:p w:rsidR="00C961E8" w:rsidRDefault="00C961E8" w:rsidP="00C961E8">
      <w:pPr>
        <w:pStyle w:val="StandardWeb"/>
      </w:pPr>
      <w:r>
        <w:t>Ein langsames Drücken verändert zunächst nur die Federposition.</w:t>
      </w:r>
    </w:p>
    <w:p w:rsidR="00C961E8" w:rsidRDefault="00C961E8" w:rsidP="00C961E8">
      <w:pPr>
        <w:pStyle w:val="StandardWeb"/>
      </w:pPr>
      <w:r>
        <w:t>Ab einer bestimmten Grenze springt der Mechanismus plötzlich um.</w:t>
      </w:r>
    </w:p>
    <w:p w:rsidR="00C961E8" w:rsidRDefault="00C961E8" w:rsidP="00C961E8">
      <w:pPr>
        <w:pStyle w:val="StandardWeb"/>
      </w:pPr>
      <w:r>
        <w:t>Eine kontinuierliche Parameteränderung erzeugt einen diskreten Zustandswechsel.</w:t>
      </w:r>
    </w:p>
    <w:p w:rsidR="00C961E8" w:rsidRDefault="00C961E8" w:rsidP="00C961E8">
      <w:pPr>
        <w:pStyle w:val="StandardWeb"/>
      </w:pPr>
      <w:r>
        <w:t>Das ist eine sehr anschauliche Form eines Tipping- beziehungsweise Bifurkationsereignisses.</w:t>
      </w:r>
    </w:p>
    <w:p w:rsidR="00C961E8" w:rsidRDefault="00C961E8" w:rsidP="00C961E8">
      <w:pPr>
        <w:pStyle w:val="StandardWeb"/>
      </w:pPr>
      <w:r>
        <w:t>Ein einundzwanzigstes Beispiel betrifft Parameterdrift.</w:t>
      </w:r>
    </w:p>
    <w:p w:rsidR="00C961E8" w:rsidRDefault="00C961E8" w:rsidP="00C961E8">
      <w:pPr>
        <w:pStyle w:val="StandardWeb"/>
      </w:pPr>
      <w:r>
        <w:t>Eine Maschine kann über Jahre hinweg durch Verschleiß langsam ihre Eigenschaften verändern.</w:t>
      </w:r>
    </w:p>
    <w:p w:rsidR="00C961E8" w:rsidRDefault="00C961E8" w:rsidP="00C961E8">
      <w:pPr>
        <w:pStyle w:val="StandardWeb"/>
      </w:pPr>
      <w:r>
        <w:t>Jede tägliche Änderung ist minimal.</w:t>
      </w:r>
    </w:p>
    <w:p w:rsidR="00C961E8" w:rsidRDefault="00C961E8" w:rsidP="00C961E8">
      <w:pPr>
        <w:pStyle w:val="StandardWeb"/>
      </w:pPr>
      <w:r>
        <w:t>Über einen langen Zeitraum kann der Parameter jedoch einen kritischen Wert erreichen.</w:t>
      </w:r>
    </w:p>
    <w:p w:rsidR="00C961E8" w:rsidRDefault="00C961E8" w:rsidP="00C961E8">
      <w:pPr>
        <w:pStyle w:val="StandardWeb"/>
      </w:pPr>
      <w:r>
        <w:t>Damit wird klar:</w:t>
      </w:r>
    </w:p>
    <w:p w:rsidR="00C961E8" w:rsidRDefault="00C961E8" w:rsidP="00C961E8">
      <w:pPr>
        <w:pStyle w:val="StandardWeb"/>
      </w:pPr>
      <w:r>
        <w:rPr>
          <w:rStyle w:val="Fett"/>
        </w:rPr>
        <w:t>Langsame Veränderung bedeutet nicht automatisch geringe langfristige Bedeutung.</w:t>
      </w:r>
    </w:p>
    <w:p w:rsidR="00C961E8" w:rsidRDefault="00C961E8" w:rsidP="00C961E8">
      <w:pPr>
        <w:pStyle w:val="StandardWeb"/>
      </w:pPr>
      <w:r>
        <w:t>Ein zweiundzwanzigstes Beispiel betrifft adaptive Systeme.</w:t>
      </w:r>
    </w:p>
    <w:p w:rsidR="00C961E8" w:rsidRDefault="00C961E8" w:rsidP="00C961E8">
      <w:pPr>
        <w:pStyle w:val="StandardWeb"/>
      </w:pPr>
      <w:r>
        <w:t>Ein Fahrer passt seine Fahrweise an die Straßenbedingungen an.</w:t>
      </w:r>
    </w:p>
    <w:p w:rsidR="00C961E8" w:rsidRDefault="00C961E8" w:rsidP="00C961E8">
      <w:pPr>
        <w:pStyle w:val="StandardWeb"/>
      </w:pPr>
      <w:r>
        <w:t>Der „Parameter Fahrverhalten“ ist also nicht konstant, sondern verändert sich abhängig vom aktuellen Zustand.</w:t>
      </w:r>
    </w:p>
    <w:p w:rsidR="00C961E8" w:rsidRDefault="00C961E8" w:rsidP="00C961E8">
      <w:pPr>
        <w:pStyle w:val="StandardWeb"/>
      </w:pPr>
      <w:r>
        <w:t>Eine statische Beschreibung mit genau einem festen Parameterwert wäre dann unvollständig.</w:t>
      </w:r>
    </w:p>
    <w:p w:rsidR="00C961E8" w:rsidRDefault="00C961E8" w:rsidP="00C961E8">
      <w:pPr>
        <w:pStyle w:val="StandardWeb"/>
      </w:pPr>
      <w:r>
        <w:t>Ein dreiundzwanzigstes Beispiel betrifft Lernraten.</w:t>
      </w:r>
    </w:p>
    <w:p w:rsidR="00C961E8" w:rsidRDefault="00C961E8" w:rsidP="00C961E8">
      <w:pPr>
        <w:pStyle w:val="StandardWeb"/>
      </w:pPr>
      <w:r>
        <w:t>Wird ein Regelalgorithmus zu langsam angepasst, reagiert er möglicherweise nicht rechtzeitig.</w:t>
      </w:r>
    </w:p>
    <w:p w:rsidR="00C961E8" w:rsidRDefault="00C961E8" w:rsidP="00C961E8">
      <w:pPr>
        <w:pStyle w:val="StandardWeb"/>
      </w:pPr>
      <w:r>
        <w:t>Wird er zu schnell angepasst, kann er überschwingen oder instabil werden.</w:t>
      </w:r>
    </w:p>
    <w:p w:rsidR="00C961E8" w:rsidRDefault="00C961E8" w:rsidP="00C961E8">
      <w:pPr>
        <w:pStyle w:val="StandardWeb"/>
      </w:pPr>
      <w:r>
        <w:lastRenderedPageBreak/>
        <w:t>Die Lernrate besitzt damit selbst einen zulässigen Bereich.</w:t>
      </w:r>
    </w:p>
    <w:p w:rsidR="00C961E8" w:rsidRDefault="00C961E8" w:rsidP="00C961E8">
      <w:pPr>
        <w:pStyle w:val="StandardWeb"/>
      </w:pPr>
      <w:r>
        <w:t>Ein vierundzwanzigstes Beispiel betrifft eine Rangfolge.</w:t>
      </w:r>
    </w:p>
    <w:p w:rsidR="00C961E8" w:rsidRDefault="00C961E8" w:rsidP="00C961E8">
      <w:pPr>
        <w:pStyle w:val="StandardWeb"/>
      </w:pPr>
      <w:r>
        <w:t>Angenommen, zwei Maschinen werden hinsichtlich ihrer Energieeffizienz verglichen.</w:t>
      </w:r>
    </w:p>
    <w:p w:rsidR="00C961E8" w:rsidRDefault="00C961E8" w:rsidP="00C961E8">
      <w:pPr>
        <w:pStyle w:val="StandardWeb"/>
      </w:pPr>
      <w:r>
        <w:t>Maschine A ist bei nahezu allen realistischen Parametereinstellungen effizienter als Maschine B.</w:t>
      </w:r>
    </w:p>
    <w:p w:rsidR="00C961E8" w:rsidRDefault="00C961E8" w:rsidP="00C961E8">
      <w:pPr>
        <w:pStyle w:val="StandardWeb"/>
      </w:pPr>
      <w:r>
        <w:t>Dann ist die Rangfolge robust.</w:t>
      </w:r>
    </w:p>
    <w:p w:rsidR="00C961E8" w:rsidRDefault="00C961E8" w:rsidP="00C961E8">
      <w:pPr>
        <w:pStyle w:val="StandardWeb"/>
      </w:pPr>
      <w:r>
        <w:t>Wenn die Rangfolge dagegen bei jeder kleinen Parameteränderung wechselt, ist die Aussage „A ist besser als B“ wissenschaftlich schwach.</w:t>
      </w:r>
    </w:p>
    <w:p w:rsidR="00C961E8" w:rsidRDefault="00C961E8" w:rsidP="00C961E8">
      <w:pPr>
        <w:pStyle w:val="StandardWeb"/>
      </w:pPr>
      <w:r>
        <w:t>Ein fünfundzwanzigstes Beispiel betrifft ein Clusterverfahren.</w:t>
      </w:r>
    </w:p>
    <w:p w:rsidR="00C961E8" w:rsidRDefault="00C961E8" w:rsidP="00C961E8">
      <w:pPr>
        <w:pStyle w:val="StandardWeb"/>
      </w:pPr>
      <w:r>
        <w:t>Eine Gruppe von Punkten kann bei leicht unterschiedlichen Parametereinstellungen immer wieder in dieselben drei Cluster zerfallen.</w:t>
      </w:r>
    </w:p>
    <w:p w:rsidR="00C961E8" w:rsidRDefault="00C961E8" w:rsidP="00C961E8">
      <w:pPr>
        <w:pStyle w:val="StandardWeb"/>
      </w:pPr>
      <w:r>
        <w:t>Dann ist die Clusterstruktur robust.</w:t>
      </w:r>
    </w:p>
    <w:p w:rsidR="00C961E8" w:rsidRDefault="00C961E8" w:rsidP="00C961E8">
      <w:pPr>
        <w:pStyle w:val="StandardWeb"/>
      </w:pPr>
      <w:r>
        <w:t>Wenn bereits eine geringe Parameteränderung völlig andere Gruppen erzeugt, muss die Interpretation vorsichtiger ausfallen.</w:t>
      </w:r>
    </w:p>
    <w:p w:rsidR="00C961E8" w:rsidRDefault="00C961E8" w:rsidP="00C961E8">
      <w:pPr>
        <w:pStyle w:val="StandardWeb"/>
      </w:pPr>
      <w:r>
        <w:t>Ein sechsundzwanzigstes Beispiel betrifft technische Simulationen.</w:t>
      </w:r>
    </w:p>
    <w:p w:rsidR="00C961E8" w:rsidRDefault="00C961E8" w:rsidP="00C961E8">
      <w:pPr>
        <w:pStyle w:val="StandardWeb"/>
      </w:pPr>
      <w:r>
        <w:t>Wenn ein Simulationsergebnis bei einer Schrittweite (h) anders aussieht als bei (h/2), ist zunächst nicht klar, ob das reale Modell sensitiv ist oder lediglich das numerische Verfahren unzureichend.</w:t>
      </w:r>
    </w:p>
    <w:p w:rsidR="00C961E8" w:rsidRDefault="00C961E8" w:rsidP="00C961E8">
      <w:pPr>
        <w:pStyle w:val="StandardWeb"/>
      </w:pPr>
      <w:r>
        <w:t>Daraus folgt die didaktisch wichtige Reihenfolge:</w:t>
      </w:r>
    </w:p>
    <w:p w:rsidR="00C961E8" w:rsidRDefault="00C961E8" w:rsidP="00C961E8">
      <w:pPr>
        <w:pStyle w:val="StandardWeb"/>
      </w:pPr>
      <w:r>
        <w:rPr>
          <w:rStyle w:val="Fett"/>
        </w:rPr>
        <w:t>Zuerst numerische Stabilität prüfen, dann wissenschaftliche Parametersensitivität interpretieren.</w:t>
      </w:r>
    </w:p>
    <w:p w:rsidR="00C961E8" w:rsidRDefault="00C961E8" w:rsidP="00C961E8">
      <w:pPr>
        <w:pStyle w:val="StandardWeb"/>
      </w:pPr>
      <w:r>
        <w:t>Ein siebenundzwanzigstes Beispiel betrifft einen Parameterscan.</w:t>
      </w:r>
    </w:p>
    <w:p w:rsidR="00C961E8" w:rsidRDefault="00C961E8" w:rsidP="00C961E8">
      <w:pPr>
        <w:pStyle w:val="StandardWeb"/>
      </w:pPr>
      <w:r>
        <w:t>Statt nur einen einzigen Wert zu testen, kann ich einen Parameter systematisch von klein nach groß verändern und das Ergebnis beobachten.</w:t>
      </w:r>
    </w:p>
    <w:p w:rsidR="00C961E8" w:rsidRDefault="00C961E8" w:rsidP="00C961E8">
      <w:pPr>
        <w:pStyle w:val="StandardWeb"/>
      </w:pPr>
      <w:r>
        <w:t>So entsteht nicht nur eine Zahl, sondern eine Landschaft.</w:t>
      </w:r>
    </w:p>
    <w:p w:rsidR="00C961E8" w:rsidRDefault="00C961E8" w:rsidP="00C961E8">
      <w:pPr>
        <w:pStyle w:val="StandardWeb"/>
      </w:pPr>
      <w:r>
        <w:t>Diese Landschaft zeigt stabile Bereiche, Übergangszonen und kritische Grenzen.</w:t>
      </w:r>
    </w:p>
    <w:p w:rsidR="00C961E8" w:rsidRDefault="00C961E8" w:rsidP="00C961E8">
      <w:pPr>
        <w:pStyle w:val="StandardWeb"/>
      </w:pPr>
      <w:r>
        <w:t>Genau deshalb ist eine Robustheitskarte oft informativer als ein einzelner optimierter Parameterwert.</w:t>
      </w:r>
    </w:p>
    <w:p w:rsidR="00C961E8" w:rsidRDefault="00C961E8" w:rsidP="00C961E8">
      <w:pPr>
        <w:pStyle w:val="StandardWeb"/>
      </w:pPr>
      <w:r>
        <w:t>Ein achtundzwanzigstes Beispiel betrifft die Wahl des Parameterbereichs.</w:t>
      </w:r>
    </w:p>
    <w:p w:rsidR="00C961E8" w:rsidRDefault="00C961E8" w:rsidP="00C961E8">
      <w:pPr>
        <w:pStyle w:val="StandardWeb"/>
      </w:pPr>
      <w:r>
        <w:t>Wenn ich nur Werte zwischen 0,99 und 1,01 untersuche, kann ein Modell sehr robust aussehen.</w:t>
      </w:r>
    </w:p>
    <w:p w:rsidR="00C961E8" w:rsidRDefault="00C961E8" w:rsidP="00C961E8">
      <w:pPr>
        <w:pStyle w:val="StandardWeb"/>
      </w:pPr>
      <w:r>
        <w:lastRenderedPageBreak/>
        <w:t>Wenn wissenschaftlich jedoch Werte zwischen 0,5 und 2 plausibel sind, wäre diese Prüfung irreführend.</w:t>
      </w:r>
    </w:p>
    <w:p w:rsidR="00C961E8" w:rsidRDefault="00C961E8" w:rsidP="00C961E8">
      <w:pPr>
        <w:pStyle w:val="StandardWeb"/>
      </w:pPr>
      <w:r>
        <w:t>Der untersuchte Parameterbereich ist daher selbst Teil der wissenschaftlichen Aussage.</w:t>
      </w:r>
    </w:p>
    <w:p w:rsidR="00C961E8" w:rsidRDefault="00C961E8" w:rsidP="00C961E8">
      <w:pPr>
        <w:pStyle w:val="StandardWeb"/>
      </w:pPr>
      <w:r>
        <w:t>Ein neunundzwanzigstes Beispiel betrifft Worst-Case-Analysen.</w:t>
      </w:r>
    </w:p>
    <w:p w:rsidR="00C961E8" w:rsidRDefault="00C961E8" w:rsidP="00C961E8">
      <w:pPr>
        <w:pStyle w:val="StandardWeb"/>
      </w:pPr>
      <w:r>
        <w:t>Statt zu fragen:</w:t>
      </w:r>
    </w:p>
    <w:p w:rsidR="00C961E8" w:rsidRDefault="00C961E8" w:rsidP="00C961E8">
      <w:pPr>
        <w:pStyle w:val="StandardWeb"/>
      </w:pPr>
      <w:r>
        <w:t>„Was passiert durchschnittlich?“</w:t>
      </w:r>
    </w:p>
    <w:p w:rsidR="00C961E8" w:rsidRDefault="00C961E8" w:rsidP="00C961E8">
      <w:pPr>
        <w:pStyle w:val="StandardWeb"/>
      </w:pPr>
      <w:r>
        <w:t>kann gefragt werden:</w:t>
      </w:r>
    </w:p>
    <w:p w:rsidR="00C961E8" w:rsidRDefault="00C961E8" w:rsidP="00C961E8">
      <w:pPr>
        <w:pStyle w:val="StandardWeb"/>
      </w:pPr>
      <w:r>
        <w:t>„Was ist das schlechteste Ergebnis innerhalb aller wissenschaftlich zulässigen Parameterwerte?“</w:t>
      </w:r>
    </w:p>
    <w:p w:rsidR="00C961E8" w:rsidRDefault="00C961E8" w:rsidP="00C961E8">
      <w:pPr>
        <w:pStyle w:val="StandardWeb"/>
      </w:pPr>
      <w:r>
        <w:t>Diese Frage ist besonders wichtig, wenn kritische Zustände vermieden werden sollen.</w:t>
      </w:r>
    </w:p>
    <w:p w:rsidR="00C961E8" w:rsidRDefault="00C961E8" w:rsidP="00C961E8">
      <w:pPr>
        <w:pStyle w:val="StandardWeb"/>
      </w:pPr>
      <w:r>
        <w:t>Ein dreißigstes Beispiel betrifft neue Daten.</w:t>
      </w:r>
    </w:p>
    <w:p w:rsidR="00C961E8" w:rsidRDefault="00C961E8" w:rsidP="00C961E8">
      <w:pPr>
        <w:pStyle w:val="StandardWeb"/>
      </w:pPr>
      <w:r>
        <w:t>Angenommen, ein Modell scheint zunächst nur für einen engen Parameterbereich zu funktionieren.</w:t>
      </w:r>
    </w:p>
    <w:p w:rsidR="00C961E8" w:rsidRDefault="00C961E8" w:rsidP="00C961E8">
      <w:pPr>
        <w:pStyle w:val="StandardWeb"/>
      </w:pPr>
      <w:r>
        <w:t>Neue Messdaten schränken die Parameterunsicherheit genau auf diesen Bereich ein.</w:t>
      </w:r>
    </w:p>
    <w:p w:rsidR="00C961E8" w:rsidRDefault="00C961E8" w:rsidP="00C961E8">
      <w:pPr>
        <w:pStyle w:val="StandardWeb"/>
      </w:pPr>
      <w:r>
        <w:t>Dann steigt die wissenschaftliche Robustheit der Aussage.</w:t>
      </w:r>
    </w:p>
    <w:p w:rsidR="00C961E8" w:rsidRDefault="00C961E8" w:rsidP="00C961E8">
      <w:pPr>
        <w:pStyle w:val="StandardWeb"/>
      </w:pPr>
      <w:r>
        <w:t>Neue Daten können also nicht nur Mittelwerte ändern, sondern auch Robustheitsregionen vergrößern oder verkleinern.</w:t>
      </w:r>
    </w:p>
    <w:p w:rsidR="00C961E8" w:rsidRDefault="00C961E8" w:rsidP="00C961E8">
      <w:pPr>
        <w:pStyle w:val="StandardWeb"/>
      </w:pPr>
      <w:r>
        <w:t>Aus diesen Beispielen ergibt sich ein didaktischer Grundsatz:</w:t>
      </w:r>
    </w:p>
    <w:p w:rsidR="00C961E8" w:rsidRDefault="00C961E8" w:rsidP="00C961E8">
      <w:pPr>
        <w:pStyle w:val="StandardWeb"/>
      </w:pPr>
      <w:r>
        <w:rPr>
          <w:rStyle w:val="Fett"/>
        </w:rPr>
        <w:t>Ein guter Parametersatz ist ein Punkt. Eine robuste wissenschaftliche Aussage benötigt einen Bereich.</w:t>
      </w:r>
    </w:p>
    <w:p w:rsidR="00C961E8" w:rsidRDefault="00C961E8" w:rsidP="00C961E8">
      <w:pPr>
        <w:pStyle w:val="StandardWeb"/>
      </w:pPr>
      <w:r>
        <w:t>Ein zweiter Grundsatz lautet:</w:t>
      </w:r>
    </w:p>
    <w:p w:rsidR="00C961E8" w:rsidRDefault="00C961E8" w:rsidP="00C961E8">
      <w:pPr>
        <w:pStyle w:val="StandardWeb"/>
      </w:pPr>
      <w:r>
        <w:rPr>
          <w:rStyle w:val="Fett"/>
        </w:rPr>
        <w:t>Je näher ein System an einer kritischen Grenze liegt, desto wichtiger wird die Unsicherheit seiner Parameter und Anfangsbedingungen.</w:t>
      </w:r>
    </w:p>
    <w:p w:rsidR="00C961E8" w:rsidRDefault="00C961E8" w:rsidP="00C961E8">
      <w:pPr>
        <w:pStyle w:val="StandardWeb"/>
      </w:pPr>
      <w:r>
        <w:t>Ein dritter lautet:</w:t>
      </w:r>
    </w:p>
    <w:p w:rsidR="00C961E8" w:rsidRDefault="00C961E8" w:rsidP="00C961E8">
      <w:pPr>
        <w:pStyle w:val="StandardWeb"/>
      </w:pPr>
      <w:r>
        <w:rPr>
          <w:rStyle w:val="Fett"/>
        </w:rPr>
        <w:t>Ein stabiles Ergebnis beweist nicht automatisch stabile Einzelparameter.</w:t>
      </w:r>
    </w:p>
    <w:p w:rsidR="00C961E8" w:rsidRDefault="00C961E8" w:rsidP="00C961E8">
      <w:pPr>
        <w:pStyle w:val="StandardWeb"/>
      </w:pPr>
      <w:r>
        <w:t>Und ein vierter:</w:t>
      </w:r>
    </w:p>
    <w:p w:rsidR="00C961E8" w:rsidRDefault="00C961E8" w:rsidP="00C961E8">
      <w:pPr>
        <w:pStyle w:val="StandardWeb"/>
      </w:pPr>
      <w:r>
        <w:rPr>
          <w:rStyle w:val="Fett"/>
        </w:rPr>
        <w:t>Nicht jede Parameteränderung ist gleich wichtig; entscheidend ist, ob sich dadurch die wissenschaftliche Aussage oder die qualitative Dynamik verändert.</w:t>
      </w:r>
    </w:p>
    <w:p w:rsidR="00C961E8" w:rsidRDefault="00C961E8" w:rsidP="00C961E8">
      <w:pPr>
        <w:pStyle w:val="StandardWeb"/>
      </w:pPr>
      <w:r>
        <w:t>Für die spätere Darstellung empirischer FRZK-Ergebnisse werde ich deshalb sprachlich unterscheiden zwischen:</w:t>
      </w:r>
    </w:p>
    <w:p w:rsidR="00C961E8" w:rsidRDefault="00C961E8" w:rsidP="00C961E8">
      <w:pPr>
        <w:pStyle w:val="StandardWeb"/>
      </w:pPr>
      <w:r>
        <w:rPr>
          <w:rStyle w:val="Fett"/>
        </w:rPr>
        <w:lastRenderedPageBreak/>
        <w:t>„für den Referenzparametersatz beobachtet“</w:t>
      </w:r>
    </w:p>
    <w:p w:rsidR="00C961E8" w:rsidRDefault="00C961E8" w:rsidP="00C961E8">
      <w:pPr>
        <w:pStyle w:val="StandardWeb"/>
      </w:pPr>
      <w:r>
        <w:t>wenn nur ein einzelner Parametersatz untersucht wurde;</w:t>
      </w:r>
    </w:p>
    <w:p w:rsidR="00C961E8" w:rsidRDefault="00C961E8" w:rsidP="00C961E8">
      <w:pPr>
        <w:pStyle w:val="StandardWeb"/>
      </w:pPr>
      <w:r>
        <w:rPr>
          <w:rStyle w:val="Fett"/>
        </w:rPr>
        <w:t>„lokal parameterrobust“</w:t>
      </w:r>
    </w:p>
    <w:p w:rsidR="00C961E8" w:rsidRDefault="00C961E8" w:rsidP="00C961E8">
      <w:pPr>
        <w:pStyle w:val="StandardWeb"/>
      </w:pPr>
      <w:r>
        <w:t>wenn eine begründete Umgebung untersucht wurde;</w:t>
      </w:r>
    </w:p>
    <w:p w:rsidR="00C961E8" w:rsidRDefault="00C961E8" w:rsidP="00C961E8">
      <w:pPr>
        <w:pStyle w:val="StandardWeb"/>
      </w:pPr>
      <w:r>
        <w:rPr>
          <w:rStyle w:val="Fett"/>
        </w:rPr>
        <w:t>„global parameterrobust“</w:t>
      </w:r>
    </w:p>
    <w:p w:rsidR="00C961E8" w:rsidRDefault="00C961E8" w:rsidP="00C961E8">
      <w:pPr>
        <w:pStyle w:val="StandardWeb"/>
      </w:pPr>
      <w:r>
        <w:t>wenn die Aussage über einen umfassenden zulässigen Parameterraum stabil bleibt;</w:t>
      </w:r>
    </w:p>
    <w:p w:rsidR="00C961E8" w:rsidRDefault="00C961E8" w:rsidP="00C961E8">
      <w:pPr>
        <w:pStyle w:val="StandardWeb"/>
      </w:pPr>
      <w:r>
        <w:rPr>
          <w:rStyle w:val="Fett"/>
        </w:rPr>
        <w:t>„regimerobust“</w:t>
      </w:r>
    </w:p>
    <w:p w:rsidR="00C961E8" w:rsidRDefault="00C961E8" w:rsidP="00C961E8">
      <w:pPr>
        <w:pStyle w:val="StandardWeb"/>
      </w:pPr>
      <w:r>
        <w:t>wenn sie innerhalb eines vollständigen dynamischen Regimes erhalten bleibt;</w:t>
      </w:r>
    </w:p>
    <w:p w:rsidR="00C961E8" w:rsidRDefault="00C961E8" w:rsidP="00C961E8">
      <w:pPr>
        <w:pStyle w:val="StandardWeb"/>
      </w:pPr>
      <w:r>
        <w:rPr>
          <w:rStyle w:val="Fett"/>
        </w:rPr>
        <w:t>„strukturell robust“</w:t>
      </w:r>
    </w:p>
    <w:p w:rsidR="00C961E8" w:rsidRDefault="00C961E8" w:rsidP="00C961E8">
      <w:pPr>
        <w:pStyle w:val="StandardWeb"/>
      </w:pPr>
      <w:r>
        <w:t>wenn zusätzlich kleinere Modellstrukturänderungen die relevante Aussage nicht verändern;</w:t>
      </w:r>
    </w:p>
    <w:p w:rsidR="00C961E8" w:rsidRDefault="00C961E8" w:rsidP="00C961E8">
      <w:pPr>
        <w:pStyle w:val="StandardWeb"/>
      </w:pPr>
      <w:r>
        <w:rPr>
          <w:rStyle w:val="Fett"/>
        </w:rPr>
        <w:t>„dynamisch resilient“</w:t>
      </w:r>
    </w:p>
    <w:p w:rsidR="00C961E8" w:rsidRDefault="00C961E8" w:rsidP="00C961E8">
      <w:pPr>
        <w:pStyle w:val="StandardWeb"/>
      </w:pPr>
      <w:r>
        <w:t>wenn das System nach zulässigen Störungen wieder in einen funktional akzeptablen Bereich zurückkehrt.</w:t>
      </w:r>
    </w:p>
    <w:p w:rsidR="00C961E8" w:rsidRDefault="00C961E8" w:rsidP="00C961E8">
      <w:pPr>
        <w:pStyle w:val="StandardWeb"/>
      </w:pPr>
      <w:r>
        <w:t>Diese abgestufte Sprache verhindert, dass eine einzelne erfolgreiche Simulation mit einer umfassend robusten Systemeigenschaft verwechselt wird.</w:t>
      </w:r>
    </w:p>
    <w:p w:rsidR="00C961E8" w:rsidRDefault="00E50336" w:rsidP="00C961E8">
      <w:r>
        <w:pict>
          <v:rect id="_x0000_i1555" style="width:0;height:1.5pt" o:hralign="center" o:hrstd="t" o:hr="t" fillcolor="#a0a0a0" stroked="f"/>
        </w:pict>
      </w:r>
    </w:p>
    <w:p w:rsidR="00C961E8" w:rsidRDefault="00C961E8" w:rsidP="00C961E8">
      <w:pPr>
        <w:pStyle w:val="berschrift1"/>
      </w:pPr>
      <w:r>
        <w:t>3.3.40.281 Ergebnis der Prüfung der Parameter- und Anfangsbedingungsrobustheit</w:t>
      </w:r>
    </w:p>
    <w:p w:rsidR="00C961E8" w:rsidRDefault="00C961E8" w:rsidP="00C961E8">
      <w:pPr>
        <w:pStyle w:val="StandardWeb"/>
      </w:pPr>
      <w:r>
        <w:t>Die Prüfung zeigt, dass eine empirische oder modellbasierte FRZK-Aussage grundsätzlich nicht nur von Daten, Operationalisierung und Modellstruktur abhängt, sondern zusätzlich von Parametern, Anfangszuständen, Randbedingungen und gegebenenfalls stochastischen Einflüssen.</w:t>
      </w:r>
    </w:p>
    <w:p w:rsidR="00C961E8" w:rsidRDefault="00C961E8" w:rsidP="00C961E8">
      <w:pPr>
        <w:pStyle w:val="StandardWeb"/>
      </w:pPr>
      <w:r>
        <w:t>Die vollständige Abhängigkeit kann nun erweitert geschrieben werden als</w:t>
      </w:r>
    </w:p>
    <w:p w:rsidR="00C961E8" w:rsidRDefault="00C961E8" w:rsidP="00C961E8">
      <w:pPr>
        <w:pStyle w:val="berschrift1"/>
      </w:pPr>
      <w:r>
        <w:t>[</w:t>
      </w:r>
      <w:r>
        <w:br/>
        <w:t>A_F</w:t>
      </w:r>
    </w:p>
    <w:p w:rsidR="00C961E8" w:rsidRDefault="00C961E8" w:rsidP="00C961E8">
      <w:pPr>
        <w:pStyle w:val="StandardWeb"/>
      </w:pPr>
      <w:r>
        <w:t>A_F</w:t>
      </w:r>
      <w:r>
        <w:br/>
        <w:t>\left(</w:t>
      </w:r>
      <w:r>
        <w:br/>
        <w:t>\mathcal{C},</w:t>
      </w:r>
      <w:r>
        <w:br/>
        <w:t>\mathcal{O},</w:t>
      </w:r>
      <w:r>
        <w:br/>
        <w:t>\mathcal{D},</w:t>
      </w:r>
      <w:r>
        <w:br/>
      </w:r>
      <w:r>
        <w:lastRenderedPageBreak/>
        <w:t>\mathcal{M},</w:t>
      </w:r>
      <w:r>
        <w:br/>
        <w:t>\boldsymbol{\theta},</w:t>
      </w:r>
      <w:r>
        <w:br/>
        <w:t>\delta_0,</w:t>
      </w:r>
      <w:r>
        <w:br/>
        <w:t>\mathbf{b},</w:t>
      </w:r>
      <w:r>
        <w:br/>
        <w:t>\varepsilon,</w:t>
      </w:r>
      <w:r>
        <w:br/>
        <w:t>P_{\theta}</w:t>
      </w:r>
      <w:r>
        <w:br/>
        <w:t>\right).</w:t>
      </w:r>
      <w:r>
        <w:br/>
        <w:t>\tag{3.7321}</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A_F=A_F\left(\mathcal{C},\mathcal{O},\mathcal{D},\mathcal{M},\boldsymbol{\theta},\delta_0,\mathbf{b},\varepsilon,P_{\theta}\right)\qquad\text{(3.7321)}</w:t>
      </w:r>
    </w:p>
    <w:p w:rsidR="00C961E8" w:rsidRDefault="00C961E8" w:rsidP="00C961E8">
      <w:pPr>
        <w:pStyle w:val="StandardWeb"/>
      </w:pPr>
      <w:r>
        <w:t>Dabei bezeichnet (P_{\theta}) gegebenenfalls die Parameterhistorie.</w:t>
      </w:r>
    </w:p>
    <w:p w:rsidR="00C961E8" w:rsidRDefault="00C961E8" w:rsidP="00C961E8">
      <w:pPr>
        <w:pStyle w:val="StandardWeb"/>
      </w:pPr>
      <w:r>
        <w:t>Definition 3.3.32 stellt hierfür das FRZK-Parameter- und Anfangsbedingungsrobustheitssystem bereit.</w:t>
      </w:r>
    </w:p>
    <w:p w:rsidR="00C961E8" w:rsidRDefault="00C961E8" w:rsidP="00C961E8">
      <w:pPr>
        <w:pStyle w:val="StandardWeb"/>
      </w:pPr>
      <w:r>
        <w:t>Satz 3.3.23 zeigt, dass eine beschränkte lokale Sensitivität zusammen mit einem positiven Abstand zur Aussageklassengrenze eine lokale Robustheitsgarantie ermöglicht.</w:t>
      </w:r>
    </w:p>
    <w:p w:rsidR="00C961E8" w:rsidRDefault="00C961E8" w:rsidP="00C961E8">
      <w:pPr>
        <w:pStyle w:val="StandardWeb"/>
      </w:pPr>
      <w:r>
        <w:t>Korollar 3.3.2 zeigt, dass diese garantierbare Robustheitsregion kleiner wird, wenn die Aussage näher an einer Klassengrenze liegt oder die Sensitivität steigt.</w:t>
      </w:r>
    </w:p>
    <w:p w:rsidR="00C961E8" w:rsidRDefault="00C961E8" w:rsidP="00C961E8">
      <w:pPr>
        <w:pStyle w:val="StandardWeb"/>
      </w:pPr>
      <w:r>
        <w:t>Satz 3.3.24 zeigt, dass einzelne Parameterwerte nicht identisch sein müssen, wenn eine für die Aussage vollständige invariante Parameterkombination erhalten bleibt.</w:t>
      </w:r>
    </w:p>
    <w:p w:rsidR="00C961E8" w:rsidRDefault="00C961E8" w:rsidP="00C961E8">
      <w:pPr>
        <w:pStyle w:val="StandardWeb"/>
      </w:pPr>
      <w:r>
        <w:t>Korollar 3.3.3 zeigt daraus, dass robuste wissenschaftliche Aussagen auch bei nicht eindeutig bestimmbaren Einzelparametern möglich sind.</w:t>
      </w:r>
    </w:p>
    <w:p w:rsidR="00C961E8" w:rsidRDefault="00C961E8" w:rsidP="00C961E8">
      <w:pPr>
        <w:pStyle w:val="StandardWeb"/>
      </w:pPr>
      <w:r>
        <w:t>Damit müssen mindestens fünf unterschiedliche Fragen getrennt werden:</w:t>
      </w:r>
    </w:p>
    <w:p w:rsidR="00C961E8" w:rsidRDefault="00C961E8" w:rsidP="00C961E8">
      <w:pPr>
        <w:pStyle w:val="StandardWeb"/>
      </w:pPr>
      <w:r>
        <w:t>[</w:t>
      </w:r>
      <w:r>
        <w:br/>
        <w:t>\text{Ist das Ergebnis sensitiv?}</w:t>
      </w:r>
      <w:r>
        <w:br/>
        <w:t>]</w:t>
      </w:r>
    </w:p>
    <w:p w:rsidR="00C961E8" w:rsidRDefault="00C961E8" w:rsidP="00C961E8">
      <w:pPr>
        <w:pStyle w:val="StandardWeb"/>
      </w:pPr>
      <w:r>
        <w:t>[</w:t>
      </w:r>
      <w:r>
        <w:br/>
        <w:t>\text{Sind die Parameter identifizierbar?}</w:t>
      </w:r>
      <w:r>
        <w:br/>
        <w:t>]</w:t>
      </w:r>
    </w:p>
    <w:p w:rsidR="00C961E8" w:rsidRDefault="00C961E8" w:rsidP="00C961E8">
      <w:pPr>
        <w:pStyle w:val="StandardWeb"/>
      </w:pPr>
      <w:r>
        <w:t>[</w:t>
      </w:r>
      <w:r>
        <w:br/>
        <w:t>\text{Bleibt die Aussageklasse stabil?}</w:t>
      </w:r>
      <w:r>
        <w:br/>
        <w:t>]</w:t>
      </w:r>
    </w:p>
    <w:p w:rsidR="00C961E8" w:rsidRDefault="00C961E8" w:rsidP="00C961E8">
      <w:pPr>
        <w:pStyle w:val="StandardWeb"/>
      </w:pPr>
      <w:r>
        <w:t>[</w:t>
      </w:r>
      <w:r>
        <w:br/>
        <w:t>\text{Bleibt das dynamische Regime stabil?}</w:t>
      </w:r>
      <w:r>
        <w:br/>
        <w:t>]</w:t>
      </w:r>
    </w:p>
    <w:p w:rsidR="00C961E8" w:rsidRDefault="00C961E8" w:rsidP="00C961E8">
      <w:pPr>
        <w:pStyle w:val="StandardWeb"/>
      </w:pPr>
      <w:r>
        <w:lastRenderedPageBreak/>
        <w:t>[</w:t>
      </w:r>
      <w:r>
        <w:br/>
        <w:t>\text{Bleibt die Modellstruktur selbst belastbar?}</w:t>
      </w:r>
      <w:r>
        <w:br/>
        <w:t>]</w:t>
      </w:r>
    </w:p>
    <w:p w:rsidR="00C961E8" w:rsidRDefault="00C961E8" w:rsidP="00C961E8">
      <w:pPr>
        <w:pStyle w:val="StandardWeb"/>
      </w:pPr>
      <w:r>
        <w:t>Keine dieser Fragen kann allgemein durch eine andere ersetzt werden.</w:t>
      </w:r>
    </w:p>
    <w:p w:rsidR="00C961E8" w:rsidRDefault="00C961E8" w:rsidP="00C961E8">
      <w:pPr>
        <w:pStyle w:val="StandardWeb"/>
      </w:pPr>
      <w:r>
        <w:t>Die zentrale Robustheitsstruktur lautet nun</w:t>
      </w:r>
    </w:p>
    <w:p w:rsidR="00C961E8" w:rsidRDefault="00C961E8" w:rsidP="00C961E8">
      <w:pPr>
        <w:pStyle w:val="berschrift1"/>
      </w:pPr>
      <w:r>
        <w:t>[</w:t>
      </w:r>
      <w:r>
        <w:br/>
        <w:t>\mathbf{R}_{P}</w:t>
      </w:r>
    </w:p>
    <w:p w:rsidR="00C961E8" w:rsidRDefault="00C961E8" w:rsidP="00C961E8">
      <w:pPr>
        <w:pStyle w:val="StandardWeb"/>
      </w:pPr>
      <w:r>
        <w:t>\left(</w:t>
      </w:r>
      <w:r>
        <w:br/>
        <w:t>R_{\theta},</w:t>
      </w:r>
      <w:r>
        <w:br/>
        <w:t>R_{\delta_0},</w:t>
      </w:r>
      <w:r>
        <w:br/>
        <w:t>R_{\mathbf{b}},</w:t>
      </w:r>
      <w:r>
        <w:br/>
        <w:t>R_{\mathrm{bif}},</w:t>
      </w:r>
      <w:r>
        <w:br/>
        <w:t>R_{\mathcal{B}},</w:t>
      </w:r>
      <w:r>
        <w:br/>
        <w:t>R_{\mathrm{stoch}},</w:t>
      </w:r>
      <w:r>
        <w:br/>
        <w:t>R_{\mathrm{num}},</w:t>
      </w:r>
      <w:r>
        <w:br/>
        <w:t>R_{\mathrm{struct}}</w:t>
      </w:r>
      <w:r>
        <w:br/>
        <w:t>\right).</w:t>
      </w:r>
      <w:r>
        <w:br/>
        <w:t>\tag{3.7322}</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\mathbf{R}_{P}=\left(R_{\theta},R_{\delta_0},R_{\mathbf{b}},R_{\mathrm{bif}},R_{\mathcal{B}},R_{\mathrm{stoch}},R_{\mathrm{num}},R_{\mathrm{struct}}\right)\qquad\text{(3.7322)}</w:t>
      </w:r>
    </w:p>
    <w:p w:rsidR="00C961E8" w:rsidRDefault="00C961E8" w:rsidP="00C961E8">
      <w:pPr>
        <w:pStyle w:val="StandardWeb"/>
      </w:pPr>
      <w:r>
        <w:t>Eine wissenschaftlich starke FRZK-Aussage wird deshalb nicht mehr nur einem einzelnen Parametersatz zugeordnet, sondern einer Gültigkeitsregion</w:t>
      </w:r>
    </w:p>
    <w:p w:rsidR="00C961E8" w:rsidRDefault="00C961E8" w:rsidP="00C961E8">
      <w:pPr>
        <w:pStyle w:val="StandardWeb"/>
      </w:pPr>
      <w:r>
        <w:t>[</w:t>
      </w:r>
      <w:r>
        <w:br/>
        <w:t>\Omega_A</w:t>
      </w:r>
      <w:r>
        <w:br/>
        <w:t>\subseteq</w:t>
      </w:r>
      <w:r>
        <w:br/>
        <w:t>\mathcal{C}</w:t>
      </w:r>
      <w:r>
        <w:br/>
        <w:t>\times</w:t>
      </w:r>
      <w:r>
        <w:br/>
        <w:t>\mathfrak{O}</w:t>
      </w:r>
      <w:r>
        <w:br/>
        <w:t>\times</w:t>
      </w:r>
      <w:r>
        <w:br/>
        <w:t>\Theta</w:t>
      </w:r>
      <w:r>
        <w:br/>
        <w:t>\times</w:t>
      </w:r>
      <w:r>
        <w:br/>
        <w:t>\mathcal{S}_0</w:t>
      </w:r>
      <w:r>
        <w:br/>
        <w:t>\times</w:t>
      </w:r>
      <w:r>
        <w:br/>
        <w:t>\mathcal{B}.</w:t>
      </w:r>
      <w:r>
        <w:br/>
        <w:t>\tag{3.7323}</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lastRenderedPageBreak/>
        <w:t>\Omega_A\subseteq\mathcal{C}\times\mathfrak{O}\times\Theta\times\mathcal{S}_0\times\mathcal{B}\qquad\text{(3.7323)}</w:t>
      </w:r>
    </w:p>
    <w:p w:rsidR="00C961E8" w:rsidRDefault="00C961E8" w:rsidP="00C961E8">
      <w:pPr>
        <w:pStyle w:val="StandardWeb"/>
      </w:pPr>
      <w:r>
        <w:t>Diese Region beschreibt, unter welchen Kombinationen aus Kontext, Operationalisierung, Parametrisierung, Anfangszustand und Randbedingungen die relevante Aussage erhalten bleibt.</w:t>
      </w:r>
    </w:p>
    <w:p w:rsidR="00C961E8" w:rsidRDefault="00C961E8" w:rsidP="00C961E8">
      <w:pPr>
        <w:pStyle w:val="StandardWeb"/>
      </w:pPr>
      <w:r>
        <w:t>Die Robustheitsmargin</w:t>
      </w:r>
    </w:p>
    <w:p w:rsidR="00C961E8" w:rsidRDefault="00C961E8" w:rsidP="00C961E8">
      <w:pPr>
        <w:pStyle w:val="berschrift1"/>
      </w:pPr>
      <w:r>
        <w:t>[</w:t>
      </w:r>
      <w:r>
        <w:br/>
        <w:t>M_R</w:t>
      </w:r>
    </w:p>
    <w:p w:rsidR="00C961E8" w:rsidRDefault="00C961E8" w:rsidP="00C961E8">
      <w:pPr>
        <w:pStyle w:val="StandardWeb"/>
      </w:pPr>
      <w:r>
        <w:t>d</w:t>
      </w:r>
      <w:r>
        <w:br/>
        <w:t>\left(</w:t>
      </w:r>
      <w:r>
        <w:br/>
        <w:t>z_0,</w:t>
      </w:r>
      <w:r>
        <w:br/>
        <w:t>\partial\Omega_A</w:t>
      </w:r>
      <w:r>
        <w:br/>
        <w:t>\right)</w:t>
      </w:r>
      <w:r>
        <w:br/>
        <w:t>\tag{3.7324}</w:t>
      </w:r>
      <w:r>
        <w:br/>
        <w:t>]</w:t>
      </w:r>
    </w:p>
    <w:p w:rsidR="00C961E8" w:rsidRDefault="00C961E8" w:rsidP="00C961E8">
      <w:pPr>
        <w:pStyle w:val="StandardWeb"/>
      </w:pPr>
      <w:r>
        <w:rPr>
          <w:rStyle w:val="Fett"/>
        </w:rPr>
        <w:t>Word-LaTeX</w:t>
      </w:r>
    </w:p>
    <w:p w:rsidR="00C961E8" w:rsidRDefault="00C961E8" w:rsidP="00C961E8">
      <w:pPr>
        <w:pStyle w:val="HTMLVorformatiert"/>
        <w:rPr>
          <w:rStyle w:val="HTMLCode"/>
        </w:rPr>
      </w:pPr>
      <w:r>
        <w:rPr>
          <w:rStyle w:val="HTMLCode"/>
        </w:rPr>
        <w:t>M_R=d\left(z_0,\partial\Omega_A\right)\qquad\text{(3.7324)}</w:t>
      </w:r>
    </w:p>
    <w:p w:rsidR="00C961E8" w:rsidRDefault="00C961E8" w:rsidP="00C961E8">
      <w:pPr>
        <w:pStyle w:val="StandardWeb"/>
      </w:pPr>
      <w:r>
        <w:t>liefert zusätzlich einen Sicherheitsabstand zur nächstgelegenen bekannten Gültigkeitsgrenze.</w:t>
      </w:r>
    </w:p>
    <w:p w:rsidR="00C961E8" w:rsidRDefault="00C961E8" w:rsidP="00C961E8">
      <w:pPr>
        <w:pStyle w:val="StandardWeb"/>
      </w:pPr>
      <w:r>
        <w:t>Damit unterscheidet die FRZK-Prüfarchitektur künftig zwischen einer Aussage, die lediglich an einem einzelnen Punkt funktioniert, und einer Aussage, die in einer explizit beschriebenen Region stabil bleibt.</w:t>
      </w:r>
    </w:p>
    <w:p w:rsidR="00C961E8" w:rsidRDefault="00C961E8" w:rsidP="00C961E8">
      <w:pPr>
        <w:pStyle w:val="StandardWeb"/>
      </w:pPr>
      <w:r>
        <w:rPr>
          <w:rStyle w:val="Fett"/>
        </w:rPr>
        <w:t>Eigenleistung des FRZK</w:t>
      </w:r>
    </w:p>
    <w:p w:rsidR="00C961E8" w:rsidRDefault="00C961E8" w:rsidP="00C961E8">
      <w:pPr>
        <w:pStyle w:val="StandardWeb"/>
      </w:pPr>
      <w:r>
        <w:t>Meine Eigenleistung besteht in diesem Abschnitt nicht in der Einführung der mathematischen Grundbegriffe von Sensitivität, Stabilität, Bifurkation oder Identifizierbarkeit. Sie besteht in ihrer systematischen Verbindung mit den zuvor entwickelten FRZK-Prüfebenen und in der expliziten Darstellung einer wissenschaftlichen Aussage als regional gültige Struktur innerhalb eines mehrdimensionalen Kontext-, Operationalisierungs-, Parameter- und Zustandsraums.</w:t>
      </w:r>
    </w:p>
    <w:p w:rsidR="00C961E8" w:rsidRDefault="00C961E8" w:rsidP="00C961E8">
      <w:pPr>
        <w:pStyle w:val="StandardWeb"/>
      </w:pPr>
      <w:r>
        <w:t>Die zentrale Schlussfolgerung lautet:</w:t>
      </w:r>
    </w:p>
    <w:p w:rsidR="00C961E8" w:rsidRDefault="00C961E8" w:rsidP="00C961E8">
      <w:pPr>
        <w:pStyle w:val="StandardWeb"/>
      </w:pPr>
      <w:r>
        <w:t>[</w:t>
      </w:r>
      <w:r>
        <w:br/>
        <w:t>\boxed{</w:t>
      </w:r>
      <w:r>
        <w:br/>
        <w:t>\text{Ein erfolgreicher Parametersatz}</w:t>
      </w:r>
      <w:r>
        <w:br/>
        <w:t>\neq</w:t>
      </w:r>
      <w:r>
        <w:br/>
        <w:t>\text{eine robuste Systemeigenschaft}</w:t>
      </w:r>
      <w:r>
        <w:br/>
        <w:t>}</w:t>
      </w:r>
      <w:r>
        <w:br/>
        <w:t>\tag{3.7325}</w:t>
      </w:r>
      <w:r>
        <w:br/>
        <w:t>]</w:t>
      </w:r>
    </w:p>
    <w:p w:rsidR="00C961E8" w:rsidRDefault="00C961E8" w:rsidP="00C961E8">
      <w:pPr>
        <w:pStyle w:val="StandardWeb"/>
      </w:pPr>
      <w:r>
        <w:rPr>
          <w:rStyle w:val="Fett"/>
        </w:rPr>
        <w:lastRenderedPageBreak/>
        <w:t>Word-LaTeX</w:t>
      </w:r>
    </w:p>
    <w:p w:rsidR="00C961E8" w:rsidRDefault="00C961E8" w:rsidP="00C961E8">
      <w:pPr>
        <w:pStyle w:val="HTMLVorformatiert"/>
        <w:rPr>
          <w:rStyle w:val="HTMLCode"/>
        </w:rPr>
      </w:pPr>
      <w:r>
        <w:rPr>
          <w:rStyle w:val="HTMLCode"/>
        </w:rPr>
        <w:t>\boxed{\text{Ein erfolgreicher Parametersatz}\neq\text{eine robuste Systemeigenschaft}}\qquad\text{(3.7325)}</w:t>
      </w:r>
    </w:p>
    <w:p w:rsidR="00C961E8" w:rsidRDefault="00C961E8" w:rsidP="00C961E8">
      <w:pPr>
        <w:pStyle w:val="StandardWeb"/>
      </w:pPr>
      <w:r>
        <w:t>Eine starke Systemeigenschaft erfordert vielmehr einen nachgewiesenen und wissenschaftlich begründeten Robustheitsbereich.</w:t>
      </w:r>
    </w:p>
    <w:p w:rsidR="00C961E8" w:rsidRDefault="00E50336" w:rsidP="00C961E8">
      <w:r>
        <w:pict>
          <v:rect id="_x0000_i1556" style="width:0;height:1.5pt" o:hralign="center" o:hrstd="t" o:hr="t" fillcolor="#a0a0a0" stroked="f"/>
        </w:pict>
      </w:r>
    </w:p>
    <w:p w:rsidR="00C961E8" w:rsidRDefault="00C961E8" w:rsidP="00C961E8">
      <w:pPr>
        <w:pStyle w:val="berschrift1"/>
      </w:pPr>
      <w:r>
        <w:t>3.3.40.282 Übergang zu Abschnitt 3.3.41</w:t>
      </w:r>
    </w:p>
    <w:p w:rsidR="00C961E8" w:rsidRDefault="00C961E8" w:rsidP="00C961E8">
      <w:pPr>
        <w:pStyle w:val="StandardWeb"/>
      </w:pPr>
      <w:r>
        <w:t>Mit der Prüfung der Parameter- und Anfangsbedingungsrobustheit ist nun geklärt, wie empfindlich FRZK-Aussagen gegenüber Parametern, Initialisierung, Randbedingungen, Parameterhistorien und dynamischen Regimegrenzen sein können.</w:t>
      </w:r>
    </w:p>
    <w:p w:rsidR="00C961E8" w:rsidRDefault="00C961E8" w:rsidP="00C961E8">
      <w:pPr>
        <w:pStyle w:val="StandardWeb"/>
      </w:pPr>
      <w:r>
        <w:t>Damit ist jedoch eine weitere zentrale Frage noch offen.</w:t>
      </w:r>
    </w:p>
    <w:p w:rsidR="00C961E8" w:rsidRDefault="00C961E8" w:rsidP="00C961E8">
      <w:pPr>
        <w:pStyle w:val="StandardWeb"/>
      </w:pPr>
      <w:r>
        <w:t>Auch wenn eine Aussage</w:t>
      </w:r>
    </w:p>
    <w:p w:rsidR="00C961E8" w:rsidRDefault="00C961E8" w:rsidP="008C5E65">
      <w:pPr>
        <w:pStyle w:val="StandardWeb"/>
        <w:numPr>
          <w:ilvl w:val="0"/>
          <w:numId w:val="344"/>
        </w:numPr>
      </w:pPr>
      <w:r>
        <w:t>reproduzierbar,</w:t>
      </w:r>
    </w:p>
    <w:p w:rsidR="00C961E8" w:rsidRDefault="00C961E8" w:rsidP="008C5E65">
      <w:pPr>
        <w:pStyle w:val="StandardWeb"/>
        <w:numPr>
          <w:ilvl w:val="0"/>
          <w:numId w:val="344"/>
        </w:numPr>
      </w:pPr>
      <w:r>
        <w:t>operationalisierungsrobust,</w:t>
      </w:r>
    </w:p>
    <w:p w:rsidR="00C961E8" w:rsidRDefault="00C961E8" w:rsidP="008C5E65">
      <w:pPr>
        <w:pStyle w:val="StandardWeb"/>
        <w:numPr>
          <w:ilvl w:val="0"/>
          <w:numId w:val="344"/>
        </w:numPr>
      </w:pPr>
      <w:r>
        <w:t>parameterrobust,</w:t>
      </w:r>
    </w:p>
    <w:p w:rsidR="00C961E8" w:rsidRDefault="00C961E8" w:rsidP="008C5E65">
      <w:pPr>
        <w:pStyle w:val="StandardWeb"/>
        <w:numPr>
          <w:ilvl w:val="0"/>
          <w:numId w:val="344"/>
        </w:numPr>
      </w:pPr>
      <w:r>
        <w:t>strukturell stabil,</w:t>
      </w:r>
    </w:p>
    <w:p w:rsidR="00C961E8" w:rsidRDefault="00C961E8" w:rsidP="008C5E65">
      <w:pPr>
        <w:pStyle w:val="StandardWeb"/>
        <w:numPr>
          <w:ilvl w:val="0"/>
          <w:numId w:val="344"/>
        </w:numPr>
      </w:pPr>
      <w:r>
        <w:t>innerhalb eines definierten Kontextes transportierbar</w:t>
      </w:r>
    </w:p>
    <w:p w:rsidR="00C961E8" w:rsidRDefault="00C961E8" w:rsidP="008C5E65">
      <w:pPr>
        <w:pStyle w:val="StandardWeb"/>
        <w:numPr>
          <w:ilvl w:val="0"/>
          <w:numId w:val="344"/>
        </w:numPr>
      </w:pPr>
      <w:r>
        <w:t>und hinsichtlich ihrer Unsicherheit transparent</w:t>
      </w:r>
    </w:p>
    <w:p w:rsidR="00C961E8" w:rsidRDefault="00C961E8" w:rsidP="00C961E8">
      <w:pPr>
        <w:pStyle w:val="StandardWeb"/>
      </w:pPr>
      <w:r>
        <w:t xml:space="preserve">ist, bleibt zu prüfen, ob die </w:t>
      </w:r>
      <w:r>
        <w:rPr>
          <w:rStyle w:val="Fett"/>
        </w:rPr>
        <w:t>verschiedenen bisher eingeführten Prüfdimensionen miteinander konsistent sind</w:t>
      </w:r>
      <w:r>
        <w:t>.</w:t>
      </w:r>
    </w:p>
    <w:p w:rsidR="00C961E8" w:rsidRDefault="00C961E8" w:rsidP="00C961E8">
      <w:pPr>
        <w:pStyle w:val="StandardWeb"/>
      </w:pPr>
      <w:r>
        <w:t>Eine Theorie könnte beispielsweise eine hohe Prognosegüte besitzen, gleichzeitig aber eine Erklärung verwenden, die mit ihrer kausalen Interpretation nicht vereinbar ist. Ebenso könnten unterschiedliche robuste Teilmodelle widersprüchliche Aussagen über denselben Zustand erzeugen.</w:t>
      </w:r>
    </w:p>
    <w:p w:rsidR="00C961E8" w:rsidRDefault="00C961E8" w:rsidP="00C961E8">
      <w:pPr>
        <w:pStyle w:val="StandardWeb"/>
      </w:pPr>
      <w:r>
        <w:t xml:space="preserve">Damit entsteht als nächster methodischer Schritt die Prüfung der </w:t>
      </w:r>
      <w:r>
        <w:rPr>
          <w:rStyle w:val="Fett"/>
        </w:rPr>
        <w:t>internen wissenschaftlichen Konsistenz und Widerspruchsfreiheit der gesamten FRZK-Prüfarchitektur</w:t>
      </w:r>
      <w:r>
        <w:t>.</w:t>
      </w:r>
    </w:p>
    <w:p w:rsidR="00C961E8" w:rsidRDefault="00C961E8" w:rsidP="00C961E8">
      <w:pPr>
        <w:pStyle w:val="StandardWeb"/>
      </w:pPr>
      <w:r>
        <w:t>Der nächste Abschnitt lautet daher:</w:t>
      </w:r>
    </w:p>
    <w:p w:rsidR="00C961E8" w:rsidRDefault="00C961E8" w:rsidP="00C961E8">
      <w:pPr>
        <w:pStyle w:val="berschrift1"/>
      </w:pPr>
      <w:r>
        <w:t>3.3.41 Prüfung der theorieinternen Konsistenz und Widerspruchsfreiheit</w:t>
      </w:r>
    </w:p>
    <w:p w:rsidR="00C961E8" w:rsidRDefault="00C961E8" w:rsidP="00C961E8">
      <w:pPr>
        <w:pStyle w:val="StandardWeb"/>
      </w:pPr>
      <w:r>
        <w:t>Dort werde ich insbesondere untersuchen:</w:t>
      </w:r>
    </w:p>
    <w:p w:rsidR="00C961E8" w:rsidRDefault="00C961E8" w:rsidP="008C5E65">
      <w:pPr>
        <w:pStyle w:val="StandardWeb"/>
        <w:numPr>
          <w:ilvl w:val="0"/>
          <w:numId w:val="345"/>
        </w:numPr>
      </w:pPr>
      <w:r>
        <w:t>logische Konsistenz,</w:t>
      </w:r>
    </w:p>
    <w:p w:rsidR="00C961E8" w:rsidRDefault="00C961E8" w:rsidP="008C5E65">
      <w:pPr>
        <w:pStyle w:val="StandardWeb"/>
        <w:numPr>
          <w:ilvl w:val="0"/>
          <w:numId w:val="345"/>
        </w:numPr>
      </w:pPr>
      <w:r>
        <w:t>Definitionenkonsistenz,</w:t>
      </w:r>
    </w:p>
    <w:p w:rsidR="00C961E8" w:rsidRDefault="00C961E8" w:rsidP="008C5E65">
      <w:pPr>
        <w:pStyle w:val="StandardWeb"/>
        <w:numPr>
          <w:ilvl w:val="0"/>
          <w:numId w:val="345"/>
        </w:numPr>
      </w:pPr>
      <w:r>
        <w:t>Gleichungskonsistenz,</w:t>
      </w:r>
    </w:p>
    <w:p w:rsidR="00C961E8" w:rsidRDefault="00C961E8" w:rsidP="008C5E65">
      <w:pPr>
        <w:pStyle w:val="StandardWeb"/>
        <w:numPr>
          <w:ilvl w:val="0"/>
          <w:numId w:val="345"/>
        </w:numPr>
      </w:pPr>
      <w:r>
        <w:t>Konsistenz zwischen Axiomen, Definitionen, Sätzen und empirischen Regeln,</w:t>
      </w:r>
    </w:p>
    <w:p w:rsidR="00C961E8" w:rsidRDefault="00C961E8" w:rsidP="008C5E65">
      <w:pPr>
        <w:pStyle w:val="StandardWeb"/>
        <w:numPr>
          <w:ilvl w:val="0"/>
          <w:numId w:val="345"/>
        </w:numPr>
      </w:pPr>
      <w:r>
        <w:lastRenderedPageBreak/>
        <w:t>lokale und globale Widerspruchsfreiheit,</w:t>
      </w:r>
    </w:p>
    <w:p w:rsidR="00C961E8" w:rsidRDefault="00C961E8" w:rsidP="008C5E65">
      <w:pPr>
        <w:pStyle w:val="StandardWeb"/>
        <w:numPr>
          <w:ilvl w:val="0"/>
          <w:numId w:val="345"/>
        </w:numPr>
      </w:pPr>
      <w:r>
        <w:t>Abhängigkeitszyklen,</w:t>
      </w:r>
    </w:p>
    <w:p w:rsidR="00C961E8" w:rsidRDefault="00C961E8" w:rsidP="008C5E65">
      <w:pPr>
        <w:pStyle w:val="StandardWeb"/>
        <w:numPr>
          <w:ilvl w:val="0"/>
          <w:numId w:val="345"/>
        </w:numPr>
      </w:pPr>
      <w:r>
        <w:t>kollidierende Gültigkeitsdomänen,</w:t>
      </w:r>
    </w:p>
    <w:p w:rsidR="00C961E8" w:rsidRDefault="00C961E8" w:rsidP="008C5E65">
      <w:pPr>
        <w:pStyle w:val="StandardWeb"/>
        <w:numPr>
          <w:ilvl w:val="0"/>
          <w:numId w:val="345"/>
        </w:numPr>
      </w:pPr>
      <w:r>
        <w:t>widersprüchliche robuste Aussagen,</w:t>
      </w:r>
    </w:p>
    <w:p w:rsidR="00C961E8" w:rsidRDefault="00C961E8" w:rsidP="008C5E65">
      <w:pPr>
        <w:pStyle w:val="StandardWeb"/>
        <w:numPr>
          <w:ilvl w:val="0"/>
          <w:numId w:val="345"/>
        </w:numPr>
      </w:pPr>
      <w:r>
        <w:t>Priorisierung bei Modellkonflikten,</w:t>
      </w:r>
    </w:p>
    <w:p w:rsidR="00C961E8" w:rsidRDefault="00C961E8" w:rsidP="008C5E65">
      <w:pPr>
        <w:pStyle w:val="StandardWeb"/>
        <w:numPr>
          <w:ilvl w:val="0"/>
          <w:numId w:val="345"/>
        </w:numPr>
      </w:pPr>
      <w:r>
        <w:t>Konsistenz von Prognose, Erklärung und Kausalität,</w:t>
      </w:r>
    </w:p>
    <w:p w:rsidR="00C961E8" w:rsidRDefault="00C961E8" w:rsidP="008C5E65">
      <w:pPr>
        <w:pStyle w:val="StandardWeb"/>
        <w:numPr>
          <w:ilvl w:val="0"/>
          <w:numId w:val="345"/>
        </w:numPr>
      </w:pPr>
      <w:r>
        <w:t>Repository-seitige Konsistenzprüfungen.</w:t>
      </w:r>
    </w:p>
    <w:p w:rsidR="00C961E8" w:rsidRDefault="00C961E8" w:rsidP="00C961E8">
      <w:pPr>
        <w:pStyle w:val="StandardWeb"/>
      </w:pPr>
      <w:r>
        <w:t xml:space="preserve">Auch Abschnitt </w:t>
      </w:r>
      <w:r>
        <w:rPr>
          <w:rStyle w:val="Fett"/>
        </w:rPr>
        <w:t>3.3.41</w:t>
      </w:r>
      <w:r>
        <w:t xml:space="preserve"> wird wieder vollständig mit </w:t>
      </w:r>
      <w:r>
        <w:rPr>
          <w:rStyle w:val="Fett"/>
        </w:rPr>
        <w:t>Methodologischen Betrachtungen</w:t>
      </w:r>
      <w:r>
        <w:t xml:space="preserve">, </w:t>
      </w:r>
      <w:r>
        <w:rPr>
          <w:rStyle w:val="Fett"/>
        </w:rPr>
        <w:t>Didaktischen Betrachtungen</w:t>
      </w:r>
      <w:r>
        <w:t xml:space="preserve">, </w:t>
      </w:r>
      <w:r>
        <w:rPr>
          <w:rStyle w:val="Fett"/>
        </w:rPr>
        <w:t>Ergebnis</w:t>
      </w:r>
      <w:r>
        <w:t xml:space="preserve"> und </w:t>
      </w:r>
      <w:r>
        <w:rPr>
          <w:rStyle w:val="Fett"/>
        </w:rPr>
        <w:t>Übergang</w:t>
      </w:r>
      <w:r>
        <w:t xml:space="preserve"> abgeschlossen.</w:t>
      </w:r>
    </w:p>
    <w:p w:rsidR="00937413" w:rsidRDefault="00937413" w:rsidP="00937413">
      <w:pPr>
        <w:pStyle w:val="StandardWeb"/>
        <w:rPr>
          <w:rFonts w:cs="Times New Roman"/>
          <w:bCs w:val="0"/>
        </w:rPr>
      </w:pPr>
      <w:r>
        <w:t xml:space="preserve">Kein Problem. Dann setzen wir mit </w:t>
      </w:r>
      <w:r>
        <w:rPr>
          <w:rStyle w:val="Fett"/>
        </w:rPr>
        <w:t>3.3.41</w:t>
      </w:r>
      <w:r>
        <w:t xml:space="preserve"> fort. Aufgrund des bisherigen Umfangs der Abschnitte (ab 3.3.38 jeweils etwa 10–15 Seiten) beginne ich jetzt mit dem </w:t>
      </w:r>
      <w:r>
        <w:rPr>
          <w:rStyle w:val="Fett"/>
        </w:rPr>
        <w:t>ersten Teil</w:t>
      </w:r>
      <w:r>
        <w:t xml:space="preserve"> von </w:t>
      </w:r>
      <w:r>
        <w:rPr>
          <w:rStyle w:val="Fett"/>
        </w:rPr>
        <w:t>3.3.41</w:t>
      </w:r>
      <w:r>
        <w:t xml:space="preserve"> und schöpfe den Platz vollständig aus.</w:t>
      </w:r>
    </w:p>
    <w:p w:rsidR="00937413" w:rsidRDefault="00E50336" w:rsidP="00937413">
      <w:r>
        <w:pict>
          <v:rect id="_x0000_i1557" style="width:0;height:1.5pt" o:hralign="center" o:hrstd="t" o:hr="t" fillcolor="#a0a0a0" stroked="f"/>
        </w:pict>
      </w:r>
    </w:p>
    <w:p w:rsidR="00937413" w:rsidRDefault="00937413" w:rsidP="00937413">
      <w:pPr>
        <w:pStyle w:val="berschrift1"/>
      </w:pPr>
      <w:r>
        <w:t>3.3.41 Funktionale Stabilitätsklassen wissenschaftlicher Aussagen</w:t>
      </w:r>
    </w:p>
    <w:p w:rsidR="00937413" w:rsidRDefault="00937413" w:rsidP="00937413">
      <w:pPr>
        <w:pStyle w:val="StandardWeb"/>
      </w:pPr>
      <w:r>
        <w:t>Die bisherigen Abschnitte haben gezeigt, dass wissenschaftliche Aussagen nicht allein durch ihre mathematische Form bestimmt werden. Bereits die Einführung funktionaler Aussageklassen, der verschiedenen Robustheitsdimensionen sowie der Parameter- und Anfangsbedingungsanalysen hat deutlich gemacht, dass die wissenschaftliche Belastbarkeit einer Aussage aus einer Vielzahl voneinander unabhängiger Eigenschaften besteht. Eine Aussage kann beispielsweise reproduzierbar sein, ohne gegenüber Parameteränderungen robust zu sein. Ebenso kann sie innerhalb eines begrenzten Parameterbereiches stabil bleiben, jedoch bereits bei einer geringfügigen Änderung der Randbedingungen ihre Aussageklasse wechseln.</w:t>
      </w:r>
    </w:p>
    <w:p w:rsidR="00937413" w:rsidRDefault="00937413" w:rsidP="00937413">
      <w:pPr>
        <w:pStyle w:val="StandardWeb"/>
      </w:pPr>
      <w:r>
        <w:t xml:space="preserve">Aus diesem Grund genügt es nicht, wissenschaftliche Aussagen lediglich als „stabil“ oder „instabil“ zu klassifizieren. Eine derartige binäre Einteilung würde die tatsächliche Struktur wissenschaftlicher Aussagen verschleiern und unterschiedliche Stabilitätsursachen miteinander vermischen. Ich führe deshalb im Funktionalen Raum-Zeit-Kohärenzsystem (FRZK) den Begriff der </w:t>
      </w:r>
      <w:r>
        <w:rPr>
          <w:rStyle w:val="Fett"/>
        </w:rPr>
        <w:t>funktionalen Stabilitätsklasse</w:t>
      </w:r>
      <w:r>
        <w:t xml:space="preserve"> ein. Sie beschreibt nicht eine einzelne Eigenschaft einer Aussage, sondern den vollständigen Satz derjenigen Stabilitätsmerkmale, die ihre wissenschaftliche Belastbarkeit bestimmen.</w:t>
      </w:r>
    </w:p>
    <w:p w:rsidR="00937413" w:rsidRDefault="00937413" w:rsidP="00937413">
      <w:pPr>
        <w:pStyle w:val="StandardWeb"/>
      </w:pPr>
      <w:r>
        <w:t>Damit erfolgt ein weiterer Schritt weg von einer ausschließlich mathematischen Beschreibung hin zu einer wissenschaftstheoretischen Charakterisierung. Stabilität wird nicht länger als Eigenschaft eines Modells verstanden, sondern als Eigenschaft einer wissenschaftlichen Aussage innerhalb eines definierten Erkenntniskontextes.</w:t>
      </w:r>
    </w:p>
    <w:p w:rsidR="00937413" w:rsidRDefault="00E50336" w:rsidP="00937413">
      <w:r>
        <w:pict>
          <v:rect id="_x0000_i1558" style="width:0;height:1.5pt" o:hralign="center" o:hrstd="t" o:hr="t" fillcolor="#a0a0a0" stroked="f"/>
        </w:pict>
      </w:r>
    </w:p>
    <w:p w:rsidR="00937413" w:rsidRDefault="00937413" w:rsidP="00937413">
      <w:pPr>
        <w:pStyle w:val="berschrift1"/>
      </w:pPr>
      <w:r>
        <w:t>3.3.41.1 Wissenschaftlicher Hintergrund</w:t>
      </w:r>
    </w:p>
    <w:p w:rsidR="00937413" w:rsidRDefault="00937413" w:rsidP="00937413">
      <w:pPr>
        <w:pStyle w:val="StandardWeb"/>
      </w:pPr>
      <w:r>
        <w:t xml:space="preserve">In nahezu allen wissenschaftlichen Disziplinen existieren Stabilitätsbegriffe. In der klassischen Mechanik wird Stabilität häufig durch kleine Störungen um einen Gleichgewichtszustand beschrieben. Die Regelungstechnik untersucht die Rückkehr eines </w:t>
      </w:r>
      <w:r>
        <w:lastRenderedPageBreak/>
        <w:t>Systems nach einer Störung. Die numerische Mathematik betrachtet die Fehlerfortpflanzung von Algorithmen. Die Systembiologie analysiert Attraktoren biologischer Netzwerke, während die Statistik die Robustheit von Schätzverfahren gegenüber Ausreißern untersucht.</w:t>
      </w:r>
    </w:p>
    <w:p w:rsidR="00937413" w:rsidRDefault="00937413" w:rsidP="00937413">
      <w:pPr>
        <w:pStyle w:val="StandardWeb"/>
      </w:pPr>
      <w:r>
        <w:t>Obwohl diese Begriffe ähnliche mathematische Werkzeuge verwenden, beschreiben sie unterschiedliche wissenschaftliche Eigenschaften. Eine numerisch stabile Berechnung garantiert beispielsweise nicht, dass das zugrunde liegende Modell reproduzierbar ist. Ebenso impliziert eine reproduzierbare Beobachtung nicht automatisch eine robuste Operationalisierung oder eine stabile Modellstruktur.</w:t>
      </w:r>
    </w:p>
    <w:p w:rsidR="00937413" w:rsidRDefault="00937413" w:rsidP="00937413">
      <w:pPr>
        <w:pStyle w:val="StandardWeb"/>
      </w:pPr>
      <w:r>
        <w:t>Diese Unterscheidung besitzt erhebliche wissenschaftstheoretische Konsequenzen. Wird sie nicht vorgenommen, entstehen häufig Fehlinterpretationen experimenteller Ergebnisse. Insbesondere kann der Eindruck entstehen, eine erfolgreiche numerische Simulation bestätige automatisch die zugrunde liegende Theorie. Tatsächlich bestätigt sie jedoch zunächst lediglich die Stabilität einer konkreten mathematischen Implementierung innerhalb eines begrenzten Parameterbereiches.</w:t>
      </w:r>
    </w:p>
    <w:p w:rsidR="00937413" w:rsidRDefault="00937413" w:rsidP="00937413">
      <w:pPr>
        <w:pStyle w:val="StandardWeb"/>
      </w:pPr>
      <w:r>
        <w:t>Ich unterscheide deshalb verschiedene Ebenen wissenschaftlicher Stabilität und fasse sie anschließend zu einer gemeinsamen funktionalen Stabilitätsklasse zusammen.</w:t>
      </w:r>
    </w:p>
    <w:p w:rsidR="00937413" w:rsidRDefault="00E50336" w:rsidP="00937413">
      <w:r>
        <w:pict>
          <v:rect id="_x0000_i1559" style="width:0;height:1.5pt" o:hralign="center" o:hrstd="t" o:hr="t" fillcolor="#a0a0a0" stroked="f"/>
        </w:pict>
      </w:r>
    </w:p>
    <w:p w:rsidR="00937413" w:rsidRDefault="00937413" w:rsidP="00937413">
      <w:pPr>
        <w:pStyle w:val="berschrift1"/>
      </w:pPr>
      <w:r>
        <w:t>3.3.41.2 Definition der funktionalen Stabilitätsklasse</w:t>
      </w:r>
    </w:p>
    <w:p w:rsidR="00937413" w:rsidRDefault="00937413" w:rsidP="00937413">
      <w:pPr>
        <w:pStyle w:val="StandardWeb"/>
      </w:pPr>
      <w:r>
        <w:t>Sei</w:t>
      </w:r>
    </w:p>
    <w:p w:rsidR="00937413" w:rsidRDefault="00937413" w:rsidP="00937413">
      <w:pPr>
        <w:pStyle w:val="StandardWeb"/>
      </w:pPr>
      <w:r>
        <w:t>[</w:t>
      </w:r>
      <w:r>
        <w:br/>
        <w:t>A_F</w:t>
      </w:r>
      <w:r>
        <w:br/>
        <w:t>]</w:t>
      </w:r>
    </w:p>
    <w:p w:rsidR="00937413" w:rsidRDefault="00937413" w:rsidP="00937413">
      <w:pPr>
        <w:pStyle w:val="StandardWeb"/>
      </w:pPr>
      <w:r>
        <w:t>eine funktionale wissenschaftliche Aussage im Sinne der bisherigen Kapitel.</w:t>
      </w:r>
    </w:p>
    <w:p w:rsidR="00937413" w:rsidRDefault="00937413" w:rsidP="00937413">
      <w:pPr>
        <w:pStyle w:val="StandardWeb"/>
      </w:pPr>
      <w:r>
        <w:t>Ich definiere ihre funktionale Stabilitätsklasse durch den Vektor</w:t>
      </w:r>
    </w:p>
    <w:p w:rsidR="00937413" w:rsidRDefault="00937413" w:rsidP="00937413">
      <w:pPr>
        <w:pStyle w:val="StandardWeb"/>
      </w:pPr>
      <w:r>
        <w:t>[</w:t>
      </w:r>
      <w:r>
        <w:br/>
        <w:t>\boxed{</w:t>
      </w:r>
      <w:r>
        <w:br/>
        <w:t>\mathcal{K}_{S}(A_F)=</w:t>
      </w:r>
      <w:r>
        <w:br/>
        <w:t>\left(</w:t>
      </w:r>
      <w:r>
        <w:br/>
        <w:t>S_L,</w:t>
      </w:r>
      <w:r>
        <w:br/>
        <w:t>S_G,</w:t>
      </w:r>
      <w:r>
        <w:br/>
        <w:t>S_P,</w:t>
      </w:r>
      <w:r>
        <w:br/>
        <w:t>S_R,</w:t>
      </w:r>
      <w:r>
        <w:br/>
        <w:t>S_O,</w:t>
      </w:r>
      <w:r>
        <w:br/>
        <w:t>S_M,</w:t>
      </w:r>
      <w:r>
        <w:br/>
        <w:t>S_N,</w:t>
      </w:r>
      <w:r>
        <w:br/>
        <w:t>S_T</w:t>
      </w:r>
      <w:r>
        <w:br/>
        <w:t>\right)</w:t>
      </w:r>
      <w:r>
        <w:br/>
        <w:t>}</w:t>
      </w:r>
      <w:r>
        <w:br/>
        <w:t>\tag{3.7326}</w:t>
      </w:r>
      <w:r>
        <w:br/>
        <w:t>]</w:t>
      </w:r>
    </w:p>
    <w:p w:rsidR="00937413" w:rsidRDefault="00937413" w:rsidP="00937413">
      <w:pPr>
        <w:pStyle w:val="StandardWeb"/>
      </w:pPr>
      <w:r>
        <w:rPr>
          <w:rStyle w:val="Fett"/>
        </w:rPr>
        <w:lastRenderedPageBreak/>
        <w:t>Word-LaTeX</w:t>
      </w:r>
    </w:p>
    <w:p w:rsidR="00937413" w:rsidRDefault="00937413" w:rsidP="00937413">
      <w:pPr>
        <w:pStyle w:val="HTMLVorformatiert"/>
        <w:rPr>
          <w:rStyle w:val="HTMLCode"/>
        </w:rPr>
      </w:pPr>
      <w:r>
        <w:rPr>
          <w:rStyle w:val="HTMLCode"/>
        </w:rPr>
        <w:t>\boxed{\mathcal{K}_{S}(A_F)=\left(S_L,S_G,S_P,S_R,S_O,S_M,S_N,S_T\right)}</w:t>
      </w:r>
    </w:p>
    <w:p w:rsidR="00937413" w:rsidRDefault="00937413" w:rsidP="00937413">
      <w:pPr>
        <w:pStyle w:val="StandardWeb"/>
      </w:pPr>
      <w:r>
        <w:t>Dabei bezeichnen</w:t>
      </w:r>
    </w:p>
    <w:p w:rsidR="00937413" w:rsidRDefault="00937413" w:rsidP="008C5E65">
      <w:pPr>
        <w:pStyle w:val="StandardWeb"/>
        <w:numPr>
          <w:ilvl w:val="0"/>
          <w:numId w:val="346"/>
        </w:numPr>
      </w:pPr>
      <w:r>
        <w:t>(S_L) die lokale Stabilität,</w:t>
      </w:r>
    </w:p>
    <w:p w:rsidR="00937413" w:rsidRDefault="00937413" w:rsidP="008C5E65">
      <w:pPr>
        <w:pStyle w:val="StandardWeb"/>
        <w:numPr>
          <w:ilvl w:val="0"/>
          <w:numId w:val="346"/>
        </w:numPr>
      </w:pPr>
      <w:r>
        <w:t>(S_G) die globale Stabilität,</w:t>
      </w:r>
    </w:p>
    <w:p w:rsidR="00937413" w:rsidRDefault="00937413" w:rsidP="008C5E65">
      <w:pPr>
        <w:pStyle w:val="StandardWeb"/>
        <w:numPr>
          <w:ilvl w:val="0"/>
          <w:numId w:val="346"/>
        </w:numPr>
      </w:pPr>
      <w:r>
        <w:t>(S_P) die Parameterstabilität,</w:t>
      </w:r>
    </w:p>
    <w:p w:rsidR="00937413" w:rsidRDefault="00937413" w:rsidP="008C5E65">
      <w:pPr>
        <w:pStyle w:val="StandardWeb"/>
        <w:numPr>
          <w:ilvl w:val="0"/>
          <w:numId w:val="346"/>
        </w:numPr>
      </w:pPr>
      <w:r>
        <w:t>(S_R) die Reproduzierbarkeitsstabilität,</w:t>
      </w:r>
    </w:p>
    <w:p w:rsidR="00937413" w:rsidRDefault="00937413" w:rsidP="008C5E65">
      <w:pPr>
        <w:pStyle w:val="StandardWeb"/>
        <w:numPr>
          <w:ilvl w:val="0"/>
          <w:numId w:val="346"/>
        </w:numPr>
      </w:pPr>
      <w:r>
        <w:t>(S_O) die Operationalisierungsstabilität,</w:t>
      </w:r>
    </w:p>
    <w:p w:rsidR="00937413" w:rsidRDefault="00937413" w:rsidP="008C5E65">
      <w:pPr>
        <w:pStyle w:val="StandardWeb"/>
        <w:numPr>
          <w:ilvl w:val="0"/>
          <w:numId w:val="346"/>
        </w:numPr>
      </w:pPr>
      <w:r>
        <w:t>(S_M) die Modellstabilität,</w:t>
      </w:r>
    </w:p>
    <w:p w:rsidR="00937413" w:rsidRDefault="00937413" w:rsidP="008C5E65">
      <w:pPr>
        <w:pStyle w:val="StandardWeb"/>
        <w:numPr>
          <w:ilvl w:val="0"/>
          <w:numId w:val="346"/>
        </w:numPr>
      </w:pPr>
      <w:r>
        <w:t>(S_N) die numerische Stabilität,</w:t>
      </w:r>
    </w:p>
    <w:p w:rsidR="00937413" w:rsidRDefault="00937413" w:rsidP="008C5E65">
      <w:pPr>
        <w:pStyle w:val="StandardWeb"/>
        <w:numPr>
          <w:ilvl w:val="0"/>
          <w:numId w:val="346"/>
        </w:numPr>
      </w:pPr>
      <w:r>
        <w:t>(S_T) die zeitliche Stabilität.</w:t>
      </w:r>
    </w:p>
    <w:p w:rsidR="00937413" w:rsidRDefault="00937413" w:rsidP="00937413">
      <w:pPr>
        <w:pStyle w:val="StandardWeb"/>
      </w:pPr>
      <w:r>
        <w:t>Der Stabilitätsvektor besitzt bewusst keine Rangfolge. Jede seiner Komponenten beschreibt eine eigenständige wissenschaftliche Eigenschaft, deren Bedeutung nicht durch die übrigen Komponenten ersetzt werden kann.</w:t>
      </w:r>
    </w:p>
    <w:p w:rsidR="00937413" w:rsidRDefault="00E50336" w:rsidP="00937413">
      <w:r>
        <w:pict>
          <v:rect id="_x0000_i1560" style="width:0;height:1.5pt" o:hralign="center" o:hrstd="t" o:hr="t" fillcolor="#a0a0a0" stroked="f"/>
        </w:pict>
      </w:r>
    </w:p>
    <w:p w:rsidR="00937413" w:rsidRDefault="00937413" w:rsidP="00937413">
      <w:pPr>
        <w:pStyle w:val="berschrift1"/>
      </w:pPr>
      <w:r>
        <w:t>3.3.41.3 Eigenschaften der Stabilitätsklasse</w:t>
      </w:r>
    </w:p>
    <w:p w:rsidR="00937413" w:rsidRDefault="00937413" w:rsidP="00937413">
      <w:pPr>
        <w:pStyle w:val="StandardWeb"/>
      </w:pPr>
      <w:r>
        <w:t>Die Stabilitätsklasse besitzt mehrere grundlegende Eigenschaften.</w:t>
      </w:r>
    </w:p>
    <w:p w:rsidR="00937413" w:rsidRDefault="00937413" w:rsidP="00937413">
      <w:pPr>
        <w:pStyle w:val="StandardWeb"/>
      </w:pPr>
      <w:r>
        <w:rPr>
          <w:rStyle w:val="Fett"/>
        </w:rPr>
        <w:t>1. Mehrdimensionalität</w:t>
      </w:r>
    </w:p>
    <w:p w:rsidR="00937413" w:rsidRDefault="00937413" w:rsidP="00937413">
      <w:pPr>
        <w:pStyle w:val="StandardWeb"/>
      </w:pPr>
      <w:r>
        <w:t>Keine der Komponenten kann vollständig aus einer anderen berechnet werden. Numerische Stabilität impliziert beispielsweise weder Reproduzierbarkeit noch Modellstabilität.</w:t>
      </w:r>
    </w:p>
    <w:p w:rsidR="00937413" w:rsidRDefault="00937413" w:rsidP="00937413">
      <w:pPr>
        <w:pStyle w:val="StandardWeb"/>
      </w:pPr>
      <w:r>
        <w:rPr>
          <w:rStyle w:val="Fett"/>
        </w:rPr>
        <w:t>2. Erweiterbarkeit</w:t>
      </w:r>
    </w:p>
    <w:p w:rsidR="00937413" w:rsidRDefault="00937413" w:rsidP="00937413">
      <w:pPr>
        <w:pStyle w:val="StandardWeb"/>
      </w:pPr>
      <w:r>
        <w:t>Neue Stabilitätsdimensionen können ergänzt werden, ohne die bisherigen Definitionen zu verändern.</w:t>
      </w:r>
    </w:p>
    <w:p w:rsidR="00937413" w:rsidRDefault="00937413" w:rsidP="00937413">
      <w:pPr>
        <w:pStyle w:val="StandardWeb"/>
      </w:pPr>
      <w:r>
        <w:t>Formal gilt</w:t>
      </w:r>
    </w:p>
    <w:p w:rsidR="00937413" w:rsidRDefault="00937413" w:rsidP="00937413">
      <w:pPr>
        <w:pStyle w:val="berschrift1"/>
      </w:pPr>
      <w:r>
        <w:t>[</w:t>
      </w:r>
      <w:r>
        <w:br/>
        <w:t>\mathcal{K}_{S}^{,\prime}</w:t>
      </w:r>
    </w:p>
    <w:p w:rsidR="00937413" w:rsidRDefault="00937413" w:rsidP="00937413">
      <w:pPr>
        <w:pStyle w:val="StandardWeb"/>
      </w:pPr>
      <w:r>
        <w:t>\left(</w:t>
      </w:r>
      <w:r>
        <w:br/>
        <w:t>\mathcal{K}</w:t>
      </w:r>
      <w:r>
        <w:rPr>
          <w:rStyle w:val="Hervorhebung"/>
        </w:rPr>
        <w:t>{S},</w:t>
      </w:r>
      <w:r>
        <w:rPr>
          <w:i/>
          <w:iCs/>
        </w:rPr>
        <w:br/>
      </w:r>
      <w:r>
        <w:rPr>
          <w:rStyle w:val="Hervorhebung"/>
        </w:rPr>
        <w:t>S</w:t>
      </w:r>
      <w:r>
        <w:t>{neu}</w:t>
      </w:r>
      <w:r>
        <w:br/>
        <w:t>\right)</w:t>
      </w:r>
      <w:r>
        <w:br/>
        <w:t>\tag{3.7327}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\mathcal{K}_{S}^{\,\prime}=\left(\mathcal{K}_{S},S_{neu}\right)</w:t>
      </w:r>
    </w:p>
    <w:p w:rsidR="00937413" w:rsidRDefault="00937413" w:rsidP="00937413">
      <w:pPr>
        <w:pStyle w:val="StandardWeb"/>
      </w:pPr>
      <w:r>
        <w:lastRenderedPageBreak/>
        <w:t>Dadurch bleibt die Struktur des FRZK offen für zukünftige wissenschaftliche Erweiterungen.</w:t>
      </w:r>
    </w:p>
    <w:p w:rsidR="00937413" w:rsidRDefault="00937413" w:rsidP="00937413">
      <w:pPr>
        <w:pStyle w:val="StandardWeb"/>
      </w:pPr>
      <w:r>
        <w:rPr>
          <w:rStyle w:val="Fett"/>
        </w:rPr>
        <w:t>3. Kontextabhängigkeit</w:t>
      </w:r>
    </w:p>
    <w:p w:rsidR="00937413" w:rsidRDefault="00937413" w:rsidP="00937413">
      <w:pPr>
        <w:pStyle w:val="StandardWeb"/>
      </w:pPr>
      <w:r>
        <w:t>Die Stabilitätsklasse bezieht sich immer auf einen explizit definierten wissenschaftlichen Kontext</w:t>
      </w:r>
    </w:p>
    <w:p w:rsidR="00937413" w:rsidRDefault="00937413" w:rsidP="00937413">
      <w:pPr>
        <w:pStyle w:val="StandardWeb"/>
      </w:pPr>
      <w:r>
        <w:t>[</w:t>
      </w:r>
      <w:r>
        <w:br/>
        <w:t>\mathcal{C}</w:t>
      </w:r>
      <w:r>
        <w:br/>
        <w:t>]</w:t>
      </w:r>
    </w:p>
    <w:p w:rsidR="00937413" w:rsidRDefault="00937413" w:rsidP="00937413">
      <w:pPr>
        <w:pStyle w:val="StandardWeb"/>
      </w:pPr>
      <w:r>
        <w:t>Somit gilt</w:t>
      </w:r>
    </w:p>
    <w:p w:rsidR="00937413" w:rsidRDefault="00937413" w:rsidP="00937413">
      <w:pPr>
        <w:pStyle w:val="berschrift1"/>
      </w:pPr>
      <w:r>
        <w:t>[</w:t>
      </w:r>
      <w:r>
        <w:br/>
        <w:t>\mathcal{K}_{S}</w:t>
      </w:r>
    </w:p>
    <w:p w:rsidR="00937413" w:rsidRDefault="00937413" w:rsidP="00937413">
      <w:pPr>
        <w:pStyle w:val="StandardWeb"/>
      </w:pPr>
      <w:r>
        <w:t>\mathcal{K}_{S}(A_F,\mathcal{C})</w:t>
      </w:r>
      <w:r>
        <w:br/>
        <w:t>\tag{3.7328}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\mathcal{K}_{S}=\mathcal{K}_{S}(A_F,\mathcal{C})</w:t>
      </w:r>
    </w:p>
    <w:p w:rsidR="00937413" w:rsidRDefault="00937413" w:rsidP="00937413">
      <w:pPr>
        <w:pStyle w:val="StandardWeb"/>
      </w:pPr>
      <w:r>
        <w:t>Eine Aussage kann daher in unterschiedlichen Kontexten unterschiedliche Stabilitätsklassen besitzen.</w:t>
      </w:r>
    </w:p>
    <w:p w:rsidR="00937413" w:rsidRDefault="00E50336" w:rsidP="00937413">
      <w:r>
        <w:pict>
          <v:rect id="_x0000_i1561" style="width:0;height:1.5pt" o:hralign="center" o:hrstd="t" o:hr="t" fillcolor="#a0a0a0" stroked="f"/>
        </w:pict>
      </w:r>
    </w:p>
    <w:p w:rsidR="00937413" w:rsidRDefault="00937413" w:rsidP="00937413">
      <w:pPr>
        <w:pStyle w:val="berschrift1"/>
      </w:pPr>
      <w:r>
        <w:t>3.3.41.4 Lokale Stabilität</w:t>
      </w:r>
    </w:p>
    <w:p w:rsidR="00937413" w:rsidRDefault="00937413" w:rsidP="00937413">
      <w:pPr>
        <w:pStyle w:val="StandardWeb"/>
      </w:pPr>
      <w:r>
        <w:t>Die einfachste Stabilitätsform ist die lokale Stabilität. Sie beschreibt, ob kleine Änderungen der Einflussgrößen innerhalb einer Umgebung dieselbe wissenschaftliche Aussageklasse liefern.</w:t>
      </w:r>
    </w:p>
    <w:p w:rsidR="00937413" w:rsidRDefault="00937413" w:rsidP="00937413">
      <w:pPr>
        <w:pStyle w:val="StandardWeb"/>
      </w:pPr>
      <w:r>
        <w:t>Sei</w:t>
      </w:r>
    </w:p>
    <w:p w:rsidR="00937413" w:rsidRDefault="00937413" w:rsidP="00937413">
      <w:pPr>
        <w:pStyle w:val="StandardWeb"/>
      </w:pPr>
      <w:r>
        <w:t>[</w:t>
      </w:r>
      <w:r>
        <w:br/>
        <w:t>U(\boldsymbol{\theta})</w:t>
      </w:r>
      <w:r>
        <w:br/>
        <w:t>]</w:t>
      </w:r>
    </w:p>
    <w:p w:rsidR="00937413" w:rsidRDefault="00937413" w:rsidP="00937413">
      <w:pPr>
        <w:pStyle w:val="StandardWeb"/>
      </w:pPr>
      <w:r>
        <w:t>eine Umgebung des Parametervektors.</w:t>
      </w:r>
    </w:p>
    <w:p w:rsidR="00937413" w:rsidRDefault="00937413" w:rsidP="00937413">
      <w:pPr>
        <w:pStyle w:val="StandardWeb"/>
      </w:pPr>
      <w:r>
        <w:t>Dann definiere ich</w:t>
      </w:r>
    </w:p>
    <w:p w:rsidR="00937413" w:rsidRDefault="00937413" w:rsidP="00937413">
      <w:pPr>
        <w:pStyle w:val="berschrift1"/>
      </w:pPr>
      <w:r>
        <w:t>[</w:t>
      </w:r>
      <w:r>
        <w:br/>
        <w:t>S_L=</w:t>
      </w:r>
      <w:r>
        <w:br/>
      </w:r>
      <w:r>
        <w:lastRenderedPageBreak/>
        <w:t>1</w:t>
      </w:r>
      <w:r>
        <w:br/>
        <w:t>\Longleftrightarrow</w:t>
      </w:r>
      <w:r>
        <w:br/>
        <w:t>\forall</w:t>
      </w:r>
      <w:r>
        <w:br/>
        <w:t>\boldsymbol{\theta}'</w:t>
      </w:r>
      <w:r>
        <w:br/>
        <w:t>\in</w:t>
      </w:r>
      <w:r>
        <w:br/>
        <w:t>U(\boldsymbol{\theta})</w:t>
      </w:r>
      <w:r>
        <w:br/>
        <w:t>:</w:t>
      </w:r>
      <w:r>
        <w:br/>
        <w:t>L(\boldsymbol{\theta}')</w:t>
      </w:r>
    </w:p>
    <w:p w:rsidR="00937413" w:rsidRDefault="00937413" w:rsidP="00937413">
      <w:pPr>
        <w:pStyle w:val="StandardWeb"/>
      </w:pPr>
      <w:r>
        <w:t>L(\boldsymbol{\theta})</w:t>
      </w:r>
      <w:r>
        <w:br/>
        <w:t>\tag{3.7329}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S_L=1\Longleftrightarrow\forall\boldsymbol{\theta}'\in U(\boldsymbol{\theta}):L(\boldsymbol{\theta}')=L(\boldsymbol{\theta})</w:t>
      </w:r>
    </w:p>
    <w:p w:rsidR="00937413" w:rsidRDefault="00937413" w:rsidP="00937413">
      <w:pPr>
        <w:pStyle w:val="StandardWeb"/>
      </w:pPr>
      <w:r>
        <w:t>Lokale Stabilität bedeutet somit nicht, dass sämtliche numerischen Ergebnisse identisch bleiben. Entscheidend ist ausschließlich, dass die wissenschaftliche Aussageklasse unverändert bleibt.</w:t>
      </w:r>
    </w:p>
    <w:p w:rsidR="00937413" w:rsidRDefault="00937413" w:rsidP="00937413">
      <w:pPr>
        <w:pStyle w:val="StandardWeb"/>
      </w:pPr>
      <w:r>
        <w:t>Damit unterscheidet sich das FRZK bewusst von klassischen Fehleranalysen, die überwiegend numerische Abweichungen betrachten.</w:t>
      </w:r>
    </w:p>
    <w:p w:rsidR="00937413" w:rsidRDefault="00E50336" w:rsidP="00937413">
      <w:r>
        <w:pict>
          <v:rect id="_x0000_i1562" style="width:0;height:1.5pt" o:hralign="center" o:hrstd="t" o:hr="t" fillcolor="#a0a0a0" stroked="f"/>
        </w:pict>
      </w:r>
    </w:p>
    <w:p w:rsidR="00937413" w:rsidRDefault="00937413" w:rsidP="00937413">
      <w:pPr>
        <w:pStyle w:val="StandardWeb"/>
      </w:pPr>
      <w:r>
        <w:rPr>
          <w:rStyle w:val="Hervorhebung"/>
        </w:rPr>
        <w:t>(Fortsetzung mit 3.3.41.5 „Globale Stabilität“, Satz 3.3.25, Beweis, Korollar, umfangreichen methodologischen und didaktischen Betrachtungen sowie Repository-Skript folgt im nächsten Schritt.)</w:t>
      </w:r>
    </w:p>
    <w:p w:rsidR="00937413" w:rsidRDefault="00937413" w:rsidP="00937413">
      <w:pPr>
        <w:pStyle w:val="berschrift2"/>
        <w:rPr>
          <w:rFonts w:cs="Times New Roman"/>
        </w:rPr>
      </w:pPr>
      <w:r>
        <w:t>3.3.41.5 Globale Stabilität</w:t>
      </w:r>
    </w:p>
    <w:p w:rsidR="00937413" w:rsidRDefault="00937413" w:rsidP="00937413">
      <w:pPr>
        <w:pStyle w:val="StandardWeb"/>
      </w:pPr>
      <w:r>
        <w:t>Während die lokale Stabilität nur eine Umgebung eines Referenzzustands oder Referenzparameters betrachtet, beschreibt die globale Stabilität die Erhaltung einer wissenschaftlichen Aussageklasse über einen wesentlich größeren, vorab begründeten Gültigkeitsraum. Diese Unterscheidung ist für das FRZK zentral, weil ein Modell lokal sehr stabil erscheinen kann und dennoch außerhalb seiner unmittelbaren Umgebung qualitative Strukturwechsel zeigen kann.</w:t>
      </w:r>
    </w:p>
    <w:p w:rsidR="00937413" w:rsidRDefault="00937413" w:rsidP="00937413">
      <w:pPr>
        <w:pStyle w:val="StandardWeb"/>
      </w:pPr>
      <w:r>
        <w:t>Ich definiere globale Stabilität zunächst bezüglich des zulässigen Parameterraums</w:t>
      </w:r>
    </w:p>
    <w:p w:rsidR="00937413" w:rsidRDefault="00937413" w:rsidP="00937413">
      <w:pPr>
        <w:pStyle w:val="StandardWeb"/>
      </w:pPr>
      <w:r>
        <w:t>[</w:t>
      </w:r>
      <w:r>
        <w:br/>
        <w:t>\Theta_{\mathrm{zul}}</w:t>
      </w:r>
      <w:r>
        <w:br/>
        <w:t>\subseteq</w:t>
      </w:r>
      <w:r>
        <w:br/>
      </w:r>
      <w:r>
        <w:lastRenderedPageBreak/>
        <w:t>\Theta.</w:t>
      </w:r>
      <w:r>
        <w:br/>
        <w:t>\tag{3.7330}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\Theta_{\mathrm{zul}}\subseteq\Theta\qquad\text{(3.7330)}</w:t>
      </w:r>
    </w:p>
    <w:p w:rsidR="00937413" w:rsidRDefault="00937413" w:rsidP="00937413">
      <w:pPr>
        <w:pStyle w:val="StandardWeb"/>
      </w:pPr>
      <w:r>
        <w:t>Eine wissenschaftliche Aussage besitzt globale Parameterstabilität, wenn ihre Aussageklasse im gesamten zulässigen Parameterraum unverändert bleibt:</w:t>
      </w:r>
    </w:p>
    <w:p w:rsidR="00937413" w:rsidRDefault="00937413" w:rsidP="00937413">
      <w:pPr>
        <w:pStyle w:val="berschrift1"/>
      </w:pPr>
      <w:r>
        <w:t>[</w:t>
      </w:r>
      <w:r>
        <w:br/>
        <w:t>S_G</w:t>
      </w:r>
    </w:p>
    <w:p w:rsidR="00937413" w:rsidRDefault="00937413" w:rsidP="00937413">
      <w:pPr>
        <w:pStyle w:val="berschrift1"/>
      </w:pPr>
      <w:r>
        <w:t>1</w:t>
      </w:r>
      <w:r>
        <w:br/>
        <w:t>\Longleftrightarrow</w:t>
      </w:r>
      <w:r>
        <w:br/>
        <w:t>\forall</w:t>
      </w:r>
      <w:r>
        <w:br/>
        <w:t>\boldsymbol{\theta}</w:t>
      </w:r>
      <w:r>
        <w:br/>
        <w:t>\in</w:t>
      </w:r>
      <w:r>
        <w:br/>
        <w:t>\Theta_{\mathrm{zul}}</w:t>
      </w:r>
      <w:r>
        <w:br/>
        <w:t>:</w:t>
      </w:r>
      <w:r>
        <w:br/>
        <w:t>L</w:t>
      </w:r>
      <w:r>
        <w:br/>
        <w:t>\left(</w:t>
      </w:r>
      <w:r>
        <w:br/>
        <w:t>\boldsymbol{\theta}</w:t>
      </w:r>
      <w:r>
        <w:br/>
        <w:t>\right)</w:t>
      </w:r>
    </w:p>
    <w:p w:rsidR="00937413" w:rsidRDefault="00937413" w:rsidP="00937413">
      <w:pPr>
        <w:pStyle w:val="StandardWeb"/>
      </w:pPr>
      <w:r>
        <w:t>L^\ast.</w:t>
      </w:r>
      <w:r>
        <w:br/>
        <w:t>\tag{3.7331}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S_G=1\Longleftrightarrow\forall\boldsymbol{\theta}\in\Theta_{\mathrm{zul}}:L\left(\boldsymbol{\theta}\right)=L^{\ast}\qquad\text{(3.7331)}</w:t>
      </w:r>
    </w:p>
    <w:p w:rsidR="00937413" w:rsidRDefault="00937413" w:rsidP="00937413">
      <w:pPr>
        <w:pStyle w:val="StandardWeb"/>
      </w:pPr>
      <w:r>
        <w:t>Dabei bezeichnet (L^\ast) die Referenzaussageklasse.</w:t>
      </w:r>
    </w:p>
    <w:p w:rsidR="00937413" w:rsidRDefault="00937413" w:rsidP="00937413">
      <w:pPr>
        <w:pStyle w:val="StandardWeb"/>
      </w:pPr>
      <w:r>
        <w:t>Diese Bedingung ist stärker als lokale Stabilität. Aus globaler Stabilität folgt innerhalb des betrachteten Parameterraums lokale Stabilität, sofern die lokale Umgebung vollständig in (\Theta_{\mathrm{zul}}) enthalten ist:</w:t>
      </w:r>
    </w:p>
    <w:p w:rsidR="00937413" w:rsidRDefault="00937413" w:rsidP="00937413">
      <w:pPr>
        <w:pStyle w:val="berschrift1"/>
      </w:pPr>
      <w:r>
        <w:lastRenderedPageBreak/>
        <w:t>[</w:t>
      </w:r>
      <w:r>
        <w:br/>
        <w:t>S_G</w:t>
      </w:r>
    </w:p>
    <w:p w:rsidR="00937413" w:rsidRDefault="00937413" w:rsidP="00937413">
      <w:pPr>
        <w:pStyle w:val="berschrift1"/>
      </w:pPr>
      <w:r>
        <w:t>1</w:t>
      </w:r>
      <w:r>
        <w:br/>
        <w:t>\Rightarrow</w:t>
      </w:r>
      <w:r>
        <w:br/>
        <w:t>S_L</w:t>
      </w:r>
    </w:p>
    <w:p w:rsidR="00937413" w:rsidRDefault="00937413" w:rsidP="008C5E65">
      <w:pPr>
        <w:numPr>
          <w:ilvl w:val="0"/>
          <w:numId w:val="347"/>
        </w:numPr>
        <w:spacing w:before="100" w:beforeAutospacing="1" w:after="100" w:afterAutospacing="1"/>
      </w:pPr>
    </w:p>
    <w:p w:rsidR="00937413" w:rsidRDefault="00937413" w:rsidP="00937413">
      <w:pPr>
        <w:pStyle w:val="StandardWeb"/>
      </w:pPr>
      <w:r>
        <w:t>\tag{3.7332}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S_G=1\Rightarrow S_L=1\qquad\text{(3.7332)}</w:t>
      </w:r>
    </w:p>
    <w:p w:rsidR="00937413" w:rsidRDefault="00937413" w:rsidP="00937413">
      <w:pPr>
        <w:pStyle w:val="StandardWeb"/>
      </w:pPr>
      <w:r>
        <w:t>Die Umkehrung gilt im Allgemeinen nicht:</w:t>
      </w:r>
    </w:p>
    <w:p w:rsidR="00937413" w:rsidRDefault="00937413" w:rsidP="00937413">
      <w:pPr>
        <w:pStyle w:val="berschrift1"/>
      </w:pPr>
      <w:r>
        <w:t>[</w:t>
      </w:r>
      <w:r>
        <w:br/>
        <w:t>S_L</w:t>
      </w:r>
    </w:p>
    <w:p w:rsidR="00937413" w:rsidRDefault="00937413" w:rsidP="00937413">
      <w:pPr>
        <w:pStyle w:val="berschrift1"/>
      </w:pPr>
      <w:r>
        <w:t>1</w:t>
      </w:r>
      <w:r>
        <w:br/>
        <w:t>\nRightarrow</w:t>
      </w:r>
      <w:r>
        <w:br/>
        <w:t>S_G</w:t>
      </w:r>
    </w:p>
    <w:p w:rsidR="00937413" w:rsidRDefault="00937413" w:rsidP="008C5E65">
      <w:pPr>
        <w:numPr>
          <w:ilvl w:val="0"/>
          <w:numId w:val="348"/>
        </w:numPr>
        <w:spacing w:before="100" w:beforeAutospacing="1" w:after="100" w:afterAutospacing="1"/>
      </w:pPr>
    </w:p>
    <w:p w:rsidR="00937413" w:rsidRDefault="00937413" w:rsidP="00937413">
      <w:pPr>
        <w:pStyle w:val="StandardWeb"/>
      </w:pPr>
      <w:r>
        <w:t>\tag{3.7333}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S_L=1\nRightarrow S_G=1\qquad\text{(3.7333)}</w:t>
      </w:r>
    </w:p>
    <w:p w:rsidR="00937413" w:rsidRDefault="00937413" w:rsidP="00937413">
      <w:pPr>
        <w:pStyle w:val="StandardWeb"/>
      </w:pPr>
      <w:r>
        <w:t>Damit wird die bereits in Abschnitt 3.3.40 entwickelte Trennung zwischen lokaler und globaler Robustheit nun in die allgemeine Stabilitätsklassifikation integriert.</w:t>
      </w:r>
    </w:p>
    <w:p w:rsidR="00937413" w:rsidRDefault="00E50336" w:rsidP="00937413">
      <w:r>
        <w:pict>
          <v:rect id="_x0000_i1563" style="width:0;height:1.5pt" o:hralign="center" o:hrstd="t" o:hr="t" fillcolor="#a0a0a0" stroked="f"/>
        </w:pict>
      </w:r>
    </w:p>
    <w:p w:rsidR="00937413" w:rsidRDefault="00937413" w:rsidP="00937413">
      <w:pPr>
        <w:pStyle w:val="berschrift2"/>
      </w:pPr>
      <w:r>
        <w:t>3.3.41.6 Globale Stabilität als Aussage über Gültigkeitsregionen</w:t>
      </w:r>
    </w:p>
    <w:p w:rsidR="00937413" w:rsidRDefault="00937413" w:rsidP="00937413">
      <w:pPr>
        <w:pStyle w:val="StandardWeb"/>
      </w:pPr>
      <w:r>
        <w:lastRenderedPageBreak/>
        <w:t>Die globale Stabilität muss nicht notwendigerweise den gesamten mathematisch möglichen Parameterraum umfassen. Wissenschaftlich entscheidend ist vielmehr derjenige Raum, der aufgrund theoretischer, empirischer oder physikalischer Bedingungen als zulässig gilt.</w:t>
      </w:r>
    </w:p>
    <w:p w:rsidR="00937413" w:rsidRDefault="00937413" w:rsidP="00937413">
      <w:pPr>
        <w:pStyle w:val="StandardWeb"/>
      </w:pPr>
      <w:r>
        <w:t>Ich definiere deshalb die Gültigkeitsregion einer Aussageklasse (L^\ast) als</w:t>
      </w:r>
    </w:p>
    <w:p w:rsidR="00937413" w:rsidRDefault="00937413" w:rsidP="00937413">
      <w:pPr>
        <w:pStyle w:val="berschrift1"/>
      </w:pPr>
      <w:r>
        <w:t>[</w:t>
      </w:r>
      <w:r>
        <w:br/>
        <w:t>\Omega_{L^\ast}</w:t>
      </w:r>
    </w:p>
    <w:p w:rsidR="00937413" w:rsidRDefault="00937413" w:rsidP="00937413">
      <w:pPr>
        <w:pStyle w:val="berschrift1"/>
      </w:pPr>
      <w:r>
        <w:t>\left{</w:t>
      </w:r>
      <w:r>
        <w:br/>
        <w:t>\boldsymbol{\theta}</w:t>
      </w:r>
      <w:r>
        <w:br/>
        <w:t>\in</w:t>
      </w:r>
      <w:r>
        <w:br/>
        <w:t>\Theta_{\mathrm{zul}}</w:t>
      </w:r>
      <w:r>
        <w:br/>
        <w:t>:</w:t>
      </w:r>
      <w:r>
        <w:br/>
        <w:t>L(\boldsymbol{\theta})</w:t>
      </w:r>
    </w:p>
    <w:p w:rsidR="00937413" w:rsidRDefault="00937413" w:rsidP="00937413">
      <w:pPr>
        <w:pStyle w:val="StandardWeb"/>
      </w:pPr>
      <w:r>
        <w:t>L^\ast</w:t>
      </w:r>
      <w:r>
        <w:br/>
        <w:t>\right}.</w:t>
      </w:r>
      <w:r>
        <w:br/>
        <w:t>\tag{3.7334}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\Omega_{L^{\ast}}=\left\{\boldsymbol{\theta}\in\Theta_{\mathrm{zul}}:L(\boldsymbol{\theta})=L^{\ast}\right\}\qquad\text{(3.7334)}</w:t>
      </w:r>
    </w:p>
    <w:p w:rsidR="00937413" w:rsidRDefault="00937413" w:rsidP="00937413">
      <w:pPr>
        <w:pStyle w:val="StandardWeb"/>
      </w:pPr>
      <w:r>
        <w:t>Globale Stabilität liegt genau dann vor, wenn</w:t>
      </w:r>
    </w:p>
    <w:p w:rsidR="00937413" w:rsidRDefault="00937413" w:rsidP="00937413">
      <w:pPr>
        <w:pStyle w:val="berschrift1"/>
      </w:pPr>
      <w:r>
        <w:t>[</w:t>
      </w:r>
      <w:r>
        <w:br/>
        <w:t>\Omega_{L^\ast}</w:t>
      </w:r>
    </w:p>
    <w:p w:rsidR="00937413" w:rsidRDefault="00937413" w:rsidP="00937413">
      <w:pPr>
        <w:pStyle w:val="StandardWeb"/>
      </w:pPr>
      <w:r>
        <w:t>\Theta_{\mathrm{zul}}.</w:t>
      </w:r>
      <w:r>
        <w:br/>
        <w:t>\tag{3.7335}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\Omega_{L^{\ast}}=\Theta_{\mathrm{zul}}\qquad\text{(3.7335)}</w:t>
      </w:r>
    </w:p>
    <w:p w:rsidR="00937413" w:rsidRDefault="00937413" w:rsidP="00937413">
      <w:pPr>
        <w:pStyle w:val="StandardWeb"/>
      </w:pPr>
      <w:r>
        <w:t>Damit lässt sich globale Stabilität geometrisch als vollständige Überdeckung des zulässigen Parameterraums durch eine einzige Aussageklasse interpretieren.</w:t>
      </w:r>
    </w:p>
    <w:p w:rsidR="00937413" w:rsidRDefault="00E50336" w:rsidP="00937413">
      <w:r>
        <w:pict>
          <v:rect id="_x0000_i1564" style="width:0;height:1.5pt" o:hralign="center" o:hrstd="t" o:hr="t" fillcolor="#a0a0a0" stroked="f"/>
        </w:pict>
      </w:r>
    </w:p>
    <w:p w:rsidR="00937413" w:rsidRDefault="00937413" w:rsidP="00937413">
      <w:pPr>
        <w:pStyle w:val="berschrift2"/>
      </w:pPr>
      <w:r>
        <w:lastRenderedPageBreak/>
        <w:t>3.3.41.7 Partielle globale Stabilität</w:t>
      </w:r>
    </w:p>
    <w:p w:rsidR="00937413" w:rsidRDefault="00937413" w:rsidP="00937413">
      <w:pPr>
        <w:pStyle w:val="StandardWeb"/>
      </w:pPr>
      <w:r>
        <w:t>In empirischen Anwendungen wird vollständige globale Stabilität häufig zu streng sein. Deshalb führe ich zusätzlich einen Grad globaler Stabilität ein.</w:t>
      </w:r>
    </w:p>
    <w:p w:rsidR="00937413" w:rsidRDefault="00937413" w:rsidP="00937413">
      <w:pPr>
        <w:pStyle w:val="StandardWeb"/>
      </w:pPr>
      <w:r>
        <w:t>Sei (\mu) ein geeignetes Maß auf (\Theta_{\mathrm{zul}}). Dann definiere ich</w:t>
      </w:r>
    </w:p>
    <w:p w:rsidR="00937413" w:rsidRDefault="00937413" w:rsidP="00937413">
      <w:pPr>
        <w:pStyle w:val="berschrift1"/>
      </w:pPr>
      <w:r>
        <w:t>[</w:t>
      </w:r>
      <w:r>
        <w:br/>
        <w:t>R_G</w:t>
      </w:r>
    </w:p>
    <w:p w:rsidR="00937413" w:rsidRDefault="00937413" w:rsidP="00937413">
      <w:pPr>
        <w:pStyle w:val="StandardWeb"/>
      </w:pPr>
      <w:r>
        <w:t>\frac{</w:t>
      </w:r>
      <w:r>
        <w:br/>
        <w:t>\mu</w:t>
      </w:r>
      <w:r>
        <w:br/>
        <w:t>\left(</w:t>
      </w:r>
      <w:r>
        <w:br/>
        <w:t>\Omega_{L^\ast}</w:t>
      </w:r>
      <w:r>
        <w:br/>
        <w:t>\right)</w:t>
      </w:r>
      <w:r>
        <w:br/>
        <w:t>}{</w:t>
      </w:r>
      <w:r>
        <w:br/>
        <w:t>\mu</w:t>
      </w:r>
      <w:r>
        <w:br/>
        <w:t>\left(</w:t>
      </w:r>
      <w:r>
        <w:br/>
        <w:t>\Theta_{\mathrm{zul}}</w:t>
      </w:r>
      <w:r>
        <w:br/>
        <w:t>\right)</w:t>
      </w:r>
      <w:r>
        <w:br/>
        <w:t>}.</w:t>
      </w:r>
      <w:r>
        <w:br/>
        <w:t>\tag{3.7336}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R_G=\frac{\mu\left(\Omega_{L^{\ast}}\right)}{\mu\left(\Theta_{\mathrm{zul}}\right)}\qquad\text{(3.7336)}</w:t>
      </w:r>
    </w:p>
    <w:p w:rsidR="00937413" w:rsidRDefault="00937413" w:rsidP="00937413">
      <w:pPr>
        <w:pStyle w:val="StandardWeb"/>
      </w:pPr>
      <w:r>
        <w:t>Es gilt</w:t>
      </w:r>
    </w:p>
    <w:p w:rsidR="00937413" w:rsidRDefault="00937413" w:rsidP="00937413">
      <w:pPr>
        <w:pStyle w:val="StandardWeb"/>
      </w:pPr>
      <w:r>
        <w:t>[</w:t>
      </w:r>
      <w:r>
        <w:br/>
        <w:t>0</w:t>
      </w:r>
      <w:r>
        <w:br/>
        <w:t>\leq</w:t>
      </w:r>
      <w:r>
        <w:br/>
        <w:t>R_G</w:t>
      </w:r>
      <w:r>
        <w:br/>
        <w:t>\leq</w:t>
      </w:r>
      <w:r>
        <w:br/>
        <w:t>1.</w:t>
      </w:r>
      <w:r>
        <w:br/>
        <w:t>\tag{3.7337}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0\leq R_G\leq1\qquad\text{(3.7337)}</w:t>
      </w:r>
    </w:p>
    <w:p w:rsidR="00937413" w:rsidRDefault="00937413" w:rsidP="00937413">
      <w:pPr>
        <w:pStyle w:val="StandardWeb"/>
      </w:pPr>
      <w:r>
        <w:t>Für</w:t>
      </w:r>
    </w:p>
    <w:p w:rsidR="00937413" w:rsidRDefault="00937413" w:rsidP="00937413">
      <w:pPr>
        <w:pStyle w:val="berschrift1"/>
      </w:pPr>
      <w:r>
        <w:t>[</w:t>
      </w:r>
      <w:r>
        <w:br/>
        <w:t>R_G</w:t>
      </w:r>
    </w:p>
    <w:p w:rsidR="00937413" w:rsidRDefault="00937413" w:rsidP="00937413">
      <w:pPr>
        <w:pStyle w:val="StandardWeb"/>
      </w:pPr>
      <w:r>
        <w:lastRenderedPageBreak/>
        <w:t>1</w:t>
      </w:r>
      <w:r>
        <w:br/>
        <w:t>\tag{3.7338}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R_G=1\qquad\text{(3.7338)}</w:t>
      </w:r>
    </w:p>
    <w:p w:rsidR="00937413" w:rsidRDefault="00937413" w:rsidP="00937413">
      <w:pPr>
        <w:pStyle w:val="StandardWeb"/>
      </w:pPr>
      <w:r>
        <w:t>liegt vollständige globale Stabilität vor.</w:t>
      </w:r>
    </w:p>
    <w:p w:rsidR="00937413" w:rsidRDefault="00937413" w:rsidP="00937413">
      <w:pPr>
        <w:pStyle w:val="StandardWeb"/>
      </w:pPr>
      <w:r>
        <w:t>Für</w:t>
      </w:r>
    </w:p>
    <w:p w:rsidR="00937413" w:rsidRDefault="00937413" w:rsidP="00937413">
      <w:pPr>
        <w:pStyle w:val="StandardWeb"/>
      </w:pPr>
      <w:r>
        <w:t>[</w:t>
      </w:r>
      <w:r>
        <w:br/>
        <w:t>0</w:t>
      </w:r>
      <w:r>
        <w:br/>
        <w:t>&lt;</w:t>
      </w:r>
      <w:r>
        <w:br/>
        <w:t>R_G</w:t>
      </w:r>
      <w:r>
        <w:br/>
        <w:t>&lt;</w:t>
      </w:r>
      <w:r>
        <w:br/>
        <w:t>1</w:t>
      </w:r>
      <w:r>
        <w:br/>
        <w:t>\tag{3.7339}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0&lt;R_G&lt;1\qquad\text{(3.7339)}</w:t>
      </w:r>
    </w:p>
    <w:p w:rsidR="00937413" w:rsidRDefault="00937413" w:rsidP="00937413">
      <w:pPr>
        <w:pStyle w:val="StandardWeb"/>
      </w:pPr>
      <w:r>
        <w:t>ist die Aussage nur in einem Teil des zulässigen Parameterraums stabil.</w:t>
      </w:r>
    </w:p>
    <w:p w:rsidR="00937413" w:rsidRDefault="00E50336" w:rsidP="00937413">
      <w:r>
        <w:pict>
          <v:rect id="_x0000_i1565" style="width:0;height:1.5pt" o:hralign="center" o:hrstd="t" o:hr="t" fillcolor="#a0a0a0" stroked="f"/>
        </w:pict>
      </w:r>
    </w:p>
    <w:p w:rsidR="00937413" w:rsidRDefault="00937413" w:rsidP="00937413">
      <w:pPr>
        <w:pStyle w:val="berschrift2"/>
      </w:pPr>
      <w:r>
        <w:t>3.3.41.8 Stabilitätskern</w:t>
      </w:r>
    </w:p>
    <w:p w:rsidR="00937413" w:rsidRDefault="00937413" w:rsidP="00937413">
      <w:pPr>
        <w:pStyle w:val="StandardWeb"/>
      </w:pPr>
      <w:r>
        <w:t>Auch bei unvollständiger globaler Stabilität kann eine zusammenhängende Region hoher Stabilität existieren.</w:t>
      </w:r>
    </w:p>
    <w:p w:rsidR="00937413" w:rsidRDefault="00937413" w:rsidP="00937413">
      <w:pPr>
        <w:pStyle w:val="StandardWeb"/>
      </w:pPr>
      <w:r>
        <w:t>Ich bezeichne sie mit</w:t>
      </w:r>
    </w:p>
    <w:p w:rsidR="00937413" w:rsidRDefault="00937413" w:rsidP="00937413">
      <w:pPr>
        <w:pStyle w:val="StandardWeb"/>
      </w:pPr>
      <w:r>
        <w:t>[</w:t>
      </w:r>
      <w:r>
        <w:br/>
        <w:t>\Omega_{\mathrm{core}}</w:t>
      </w:r>
      <w:r>
        <w:br/>
        <w:t>\subseteq</w:t>
      </w:r>
      <w:r>
        <w:br/>
        <w:t>\Omega_{L^\ast}.</w:t>
      </w:r>
      <w:r>
        <w:br/>
        <w:t>\tag{3.7340}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\Omega_{\mathrm{core}}\subseteq\Omega_{L^{\ast}}\qquad\text{(3.7340)}</w:t>
      </w:r>
    </w:p>
    <w:p w:rsidR="00937413" w:rsidRDefault="00937413" w:rsidP="00937413">
      <w:pPr>
        <w:pStyle w:val="StandardWeb"/>
      </w:pPr>
      <w:r>
        <w:t>Der Stabilitätskern soll jene Parameterregion umfassen, in der die Aussage nicht nur formal erhalten bleibt, sondern zusätzlich einen ausreichenden Abstand zu bekannten Klassengrenzen besitzt.</w:t>
      </w:r>
    </w:p>
    <w:p w:rsidR="00937413" w:rsidRDefault="00937413" w:rsidP="00937413">
      <w:pPr>
        <w:pStyle w:val="StandardWeb"/>
      </w:pPr>
      <w:r>
        <w:lastRenderedPageBreak/>
        <w:t>Dafür definiere ich</w:t>
      </w:r>
    </w:p>
    <w:p w:rsidR="00937413" w:rsidRDefault="00937413" w:rsidP="00937413">
      <w:pPr>
        <w:pStyle w:val="berschrift1"/>
      </w:pPr>
      <w:r>
        <w:t>[</w:t>
      </w:r>
      <w:r>
        <w:br/>
        <w:t>d_{\partial}</w:t>
      </w:r>
      <w:r>
        <w:br/>
        <w:t>\left(</w:t>
      </w:r>
      <w:r>
        <w:br/>
        <w:t>\boldsymbol{\theta}</w:t>
      </w:r>
      <w:r>
        <w:br/>
        <w:t>\right)</w:t>
      </w:r>
    </w:p>
    <w:p w:rsidR="00937413" w:rsidRDefault="00937413" w:rsidP="00937413">
      <w:pPr>
        <w:pStyle w:val="StandardWeb"/>
      </w:pPr>
      <w:r>
        <w:t>d</w:t>
      </w:r>
      <w:r>
        <w:br/>
        <w:t>\left(</w:t>
      </w:r>
      <w:r>
        <w:br/>
        <w:t>\boldsymbol{\theta},</w:t>
      </w:r>
      <w:r>
        <w:br/>
        <w:t>\partial</w:t>
      </w:r>
      <w:r>
        <w:br/>
        <w:t>\Omega_{L^\ast}</w:t>
      </w:r>
      <w:r>
        <w:br/>
        <w:t>\right).</w:t>
      </w:r>
      <w:r>
        <w:br/>
        <w:t>\tag{3.7341}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d_{\partial}\left(\boldsymbol{\theta}\right)=d\left(\boldsymbol{\theta},\partial\Omega_{L^{\ast}}\right)\qquad\text{(3.7341)}</w:t>
      </w:r>
    </w:p>
    <w:p w:rsidR="00937413" w:rsidRDefault="00937413" w:rsidP="00937413">
      <w:pPr>
        <w:pStyle w:val="StandardWeb"/>
      </w:pPr>
      <w:r>
        <w:t>Der Stabilitätskern kann dann beispielsweise durch eine Mindestmargin (\tau_d) definiert werden:</w:t>
      </w:r>
    </w:p>
    <w:p w:rsidR="00937413" w:rsidRDefault="00937413" w:rsidP="00937413">
      <w:pPr>
        <w:pStyle w:val="berschrift1"/>
      </w:pPr>
      <w:r>
        <w:t>[</w:t>
      </w:r>
      <w:r>
        <w:br/>
        <w:t>\Omega_{\mathrm{core}}</w:t>
      </w:r>
    </w:p>
    <w:p w:rsidR="00937413" w:rsidRDefault="00937413" w:rsidP="00937413">
      <w:pPr>
        <w:pStyle w:val="StandardWeb"/>
      </w:pPr>
      <w:r>
        <w:t>\left{</w:t>
      </w:r>
      <w:r>
        <w:br/>
        <w:t>\boldsymbol{\theta}</w:t>
      </w:r>
      <w:r>
        <w:br/>
        <w:t>\in</w:t>
      </w:r>
      <w:r>
        <w:br/>
        <w:t>\Omega_{L^\ast}</w:t>
      </w:r>
      <w:r>
        <w:br/>
        <w:t>:</w:t>
      </w:r>
      <w:r>
        <w:br/>
        <w:t>d_{\partial}</w:t>
      </w:r>
      <w:r>
        <w:br/>
        <w:t>\left(</w:t>
      </w:r>
      <w:r>
        <w:br/>
        <w:t>\boldsymbol{\theta}</w:t>
      </w:r>
      <w:r>
        <w:br/>
        <w:t>\right)</w:t>
      </w:r>
      <w:r>
        <w:br/>
        <w:t>\geq</w:t>
      </w:r>
      <w:r>
        <w:br/>
        <w:t>\tau_d</w:t>
      </w:r>
      <w:r>
        <w:br/>
        <w:t>\right}.</w:t>
      </w:r>
      <w:r>
        <w:br/>
        <w:t>\tag{3.7342}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lastRenderedPageBreak/>
        <w:t>\Omega_{\mathrm{core}}=\left\{\boldsymbol{\theta}\in\Omega_{L^{\ast}}:d_{\partial}\left(\boldsymbol{\theta}\right)\geq\tau_d\right\}\qquad\text{(3.7342)}</w:t>
      </w:r>
    </w:p>
    <w:p w:rsidR="00937413" w:rsidRDefault="00937413" w:rsidP="00937413">
      <w:pPr>
        <w:pStyle w:val="StandardWeb"/>
      </w:pPr>
      <w:r>
        <w:t>Damit unterscheide ich zwischen bloßer Zugehörigkeit zu einer stabilen Region und einer Lage mit ausreichendem Sicherheitsabstand zu ihrer Grenze.</w:t>
      </w:r>
    </w:p>
    <w:p w:rsidR="00937413" w:rsidRDefault="00E50336" w:rsidP="00937413">
      <w:r>
        <w:pict>
          <v:rect id="_x0000_i1566" style="width:0;height:1.5pt" o:hralign="center" o:hrstd="t" o:hr="t" fillcolor="#a0a0a0" stroked="f"/>
        </w:pict>
      </w:r>
    </w:p>
    <w:p w:rsidR="00937413" w:rsidRDefault="00937413" w:rsidP="00937413">
      <w:pPr>
        <w:pStyle w:val="berschrift2"/>
      </w:pPr>
      <w:r>
        <w:t>3.3.41.9 Randstabilität</w:t>
      </w:r>
    </w:p>
    <w:p w:rsidR="00937413" w:rsidRDefault="00937413" w:rsidP="00937413">
      <w:pPr>
        <w:pStyle w:val="StandardWeb"/>
      </w:pPr>
      <w:r>
        <w:t>Eine Aussage kann formal noch derselben Klasse angehören, aber bereits unmittelbar an ihrer Gültigkeitsgrenze liegen.</w:t>
      </w:r>
    </w:p>
    <w:p w:rsidR="00937413" w:rsidRDefault="00937413" w:rsidP="00937413">
      <w:pPr>
        <w:pStyle w:val="StandardWeb"/>
      </w:pPr>
      <w:r>
        <w:t>Ich definiere eine Randzone</w:t>
      </w:r>
    </w:p>
    <w:p w:rsidR="00937413" w:rsidRDefault="00937413" w:rsidP="00937413">
      <w:pPr>
        <w:pStyle w:val="berschrift1"/>
      </w:pPr>
      <w:r>
        <w:t>[</w:t>
      </w:r>
      <w:r>
        <w:br/>
        <w:t>\Omega_{\mathrm{edge}}</w:t>
      </w:r>
    </w:p>
    <w:p w:rsidR="00937413" w:rsidRDefault="00937413" w:rsidP="00937413">
      <w:pPr>
        <w:pStyle w:val="StandardWeb"/>
      </w:pPr>
      <w:r>
        <w:t>\left{</w:t>
      </w:r>
      <w:r>
        <w:br/>
        <w:t>\boldsymbol{\theta}</w:t>
      </w:r>
      <w:r>
        <w:br/>
        <w:t>\in</w:t>
      </w:r>
      <w:r>
        <w:br/>
        <w:t>\Omega_{L^\ast}</w:t>
      </w:r>
      <w:r>
        <w:br/>
        <w:t>:</w:t>
      </w:r>
      <w:r>
        <w:br/>
        <w:t>0</w:t>
      </w:r>
      <w:r>
        <w:br/>
        <w:t>&lt;</w:t>
      </w:r>
      <w:r>
        <w:br/>
        <w:t>d_{\partial}</w:t>
      </w:r>
      <w:r>
        <w:br/>
        <w:t>\left(</w:t>
      </w:r>
      <w:r>
        <w:br/>
        <w:t>\boldsymbol{\theta}</w:t>
      </w:r>
      <w:r>
        <w:br/>
        <w:t>\right)</w:t>
      </w:r>
      <w:r>
        <w:br/>
        <w:t>&lt;</w:t>
      </w:r>
      <w:r>
        <w:br/>
        <w:t>\tau_d</w:t>
      </w:r>
      <w:r>
        <w:br/>
        <w:t>\right}.</w:t>
      </w:r>
      <w:r>
        <w:br/>
        <w:t>\tag{3.7343}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\Omega_{\mathrm{edge}}=\left\{\boldsymbol{\theta}\in\Omega_{L^{\ast}}:0&lt;d_{\partial}\left(\boldsymbol{\theta}\right)&lt;\tau_d\right\}\qquad\text{(3.7343)}</w:t>
      </w:r>
    </w:p>
    <w:p w:rsidR="00937413" w:rsidRDefault="00937413" w:rsidP="00937413">
      <w:pPr>
        <w:pStyle w:val="StandardWeb"/>
      </w:pPr>
      <w:r>
        <w:t>Eine Aussage in dieser Zone ist formal stabil, besitzt jedoch geringe Robustheitsreserve.</w:t>
      </w:r>
    </w:p>
    <w:p w:rsidR="00937413" w:rsidRDefault="00937413" w:rsidP="00937413">
      <w:pPr>
        <w:pStyle w:val="StandardWeb"/>
      </w:pPr>
      <w:r>
        <w:t>Das ist wissenschaftlich ein anderer Zustand als eine Aussage tief innerhalb des Stabilitätskerns.</w:t>
      </w:r>
    </w:p>
    <w:p w:rsidR="00937413" w:rsidRDefault="00E50336" w:rsidP="00937413">
      <w:r>
        <w:pict>
          <v:rect id="_x0000_i1567" style="width:0;height:1.5pt" o:hralign="center" o:hrstd="t" o:hr="t" fillcolor="#a0a0a0" stroked="f"/>
        </w:pict>
      </w:r>
    </w:p>
    <w:p w:rsidR="00937413" w:rsidRDefault="00937413" w:rsidP="00937413">
      <w:pPr>
        <w:pStyle w:val="berschrift2"/>
      </w:pPr>
      <w:r>
        <w:t>3.3.41.10 Parameterstabilität</w:t>
      </w:r>
    </w:p>
    <w:p w:rsidR="00937413" w:rsidRDefault="00937413" w:rsidP="00937413">
      <w:pPr>
        <w:pStyle w:val="StandardWeb"/>
      </w:pPr>
      <w:r>
        <w:lastRenderedPageBreak/>
        <w:t>Die in Abschnitt 3.3.40 entwickelte Parameterrobustheit wird nun als eigenständige Komponente (S_P) der Stabilitätsklasse formalisiert.</w:t>
      </w:r>
    </w:p>
    <w:p w:rsidR="00937413" w:rsidRDefault="00937413" w:rsidP="00937413">
      <w:pPr>
        <w:pStyle w:val="StandardWeb"/>
      </w:pPr>
      <w:r>
        <w:t>Ich definiere</w:t>
      </w:r>
    </w:p>
    <w:p w:rsidR="00937413" w:rsidRDefault="00937413" w:rsidP="00937413">
      <w:pPr>
        <w:pStyle w:val="berschrift1"/>
      </w:pPr>
      <w:r>
        <w:t>[</w:t>
      </w:r>
      <w:r>
        <w:br/>
        <w:t>S_P</w:t>
      </w:r>
    </w:p>
    <w:p w:rsidR="00937413" w:rsidRDefault="00937413" w:rsidP="00937413">
      <w:pPr>
        <w:pStyle w:val="StandardWeb"/>
      </w:pPr>
      <w:r>
        <w:t>\mathcal{S}</w:t>
      </w:r>
      <w:r>
        <w:rPr>
          <w:rStyle w:val="Hervorhebung"/>
        </w:rPr>
        <w:t>{P}</w:t>
      </w:r>
      <w:r>
        <w:rPr>
          <w:i/>
          <w:iCs/>
        </w:rPr>
        <w:br/>
      </w:r>
      <w:r>
        <w:rPr>
          <w:rStyle w:val="Hervorhebung"/>
        </w:rPr>
        <w:t>\left(</w:t>
      </w:r>
      <w:r>
        <w:rPr>
          <w:i/>
          <w:iCs/>
        </w:rPr>
        <w:br/>
      </w:r>
      <w:r>
        <w:rPr>
          <w:rStyle w:val="Hervorhebung"/>
        </w:rPr>
        <w:t>A_F,</w:t>
      </w:r>
      <w:r>
        <w:rPr>
          <w:i/>
          <w:iCs/>
        </w:rPr>
        <w:br/>
      </w:r>
      <w:r>
        <w:rPr>
          <w:rStyle w:val="Hervorhebung"/>
        </w:rPr>
        <w:t>\Theta</w:t>
      </w:r>
      <w:r>
        <w:t>{\mathrm{zul}}</w:t>
      </w:r>
      <w:r>
        <w:br/>
        <w:t>\right).</w:t>
      </w:r>
      <w:r>
        <w:br/>
        <w:t>\tag{3.7344}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S_P=\mathcal{S}_{P}\left(A_F,\Theta_{\mathrm{zul}}\right)\qquad\text{(3.7344)}</w:t>
      </w:r>
    </w:p>
    <w:p w:rsidR="00937413" w:rsidRDefault="00937413" w:rsidP="00937413">
      <w:pPr>
        <w:pStyle w:val="StandardWeb"/>
      </w:pPr>
      <w:r>
        <w:t>Für eine binäre Klassifikation gilt</w:t>
      </w:r>
    </w:p>
    <w:p w:rsidR="00937413" w:rsidRDefault="00937413" w:rsidP="00937413">
      <w:pPr>
        <w:pStyle w:val="berschrift1"/>
      </w:pPr>
      <w:r>
        <w:t>[</w:t>
      </w:r>
      <w:r>
        <w:br/>
        <w:t>S_P</w:t>
      </w:r>
    </w:p>
    <w:p w:rsidR="00937413" w:rsidRDefault="00937413" w:rsidP="00937413">
      <w:pPr>
        <w:pStyle w:val="StandardWeb"/>
      </w:pPr>
      <w:r>
        <w:t>1</w:t>
      </w:r>
      <w:r>
        <w:br/>
        <w:t>\Longleftrightarrow</w:t>
      </w:r>
      <w:r>
        <w:br/>
        <w:t>R_{\theta}</w:t>
      </w:r>
      <w:r>
        <w:br/>
        <w:t>\geq</w:t>
      </w:r>
      <w:r>
        <w:br/>
        <w:t>\tau_{\theta}.</w:t>
      </w:r>
      <w:r>
        <w:br/>
        <w:t>\tag{3.7345}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S_P=1\Longleftrightarrow R_{\theta}\geq\tau_{\theta}\qquad\text{(3.7345)}</w:t>
      </w:r>
    </w:p>
    <w:p w:rsidR="00937413" w:rsidRDefault="00937413" w:rsidP="00937413">
      <w:pPr>
        <w:pStyle w:val="StandardWeb"/>
      </w:pPr>
      <w:r>
        <w:t>Dabei bezeichnet (\tau_{\theta}) eine vorab begründete Mindestanforderung an den Parameterrobustheitsgrad.</w:t>
      </w:r>
    </w:p>
    <w:p w:rsidR="00937413" w:rsidRDefault="00E50336" w:rsidP="00937413">
      <w:r>
        <w:pict>
          <v:rect id="_x0000_i1568" style="width:0;height:1.5pt" o:hralign="center" o:hrstd="t" o:hr="t" fillcolor="#a0a0a0" stroked="f"/>
        </w:pict>
      </w:r>
    </w:p>
    <w:p w:rsidR="00937413" w:rsidRDefault="00937413" w:rsidP="00937413">
      <w:pPr>
        <w:pStyle w:val="berschrift2"/>
      </w:pPr>
      <w:r>
        <w:t>3.3.41.11 Reproduzierbarkeitsstabilität</w:t>
      </w:r>
    </w:p>
    <w:p w:rsidR="00937413" w:rsidRDefault="00937413" w:rsidP="00937413">
      <w:pPr>
        <w:pStyle w:val="StandardWeb"/>
      </w:pPr>
      <w:r>
        <w:t>Eine wissenschaftliche Aussage besitzt Reproduzierbarkeitsstabilität, wenn sie unter hinreichend vergleichbaren Bedingungen bei wiederholter Analyse wiedergewonnen wird.</w:t>
      </w:r>
    </w:p>
    <w:p w:rsidR="00937413" w:rsidRDefault="00937413" w:rsidP="00937413">
      <w:pPr>
        <w:pStyle w:val="StandardWeb"/>
      </w:pPr>
      <w:r>
        <w:lastRenderedPageBreak/>
        <w:t>Seien</w:t>
      </w:r>
    </w:p>
    <w:p w:rsidR="00937413" w:rsidRDefault="00937413" w:rsidP="00937413">
      <w:pPr>
        <w:pStyle w:val="StandardWeb"/>
      </w:pPr>
      <w:r>
        <w:t>[</w:t>
      </w:r>
      <w:r>
        <w:br/>
        <w:t>A_F^{(1)},</w:t>
      </w:r>
      <w:r>
        <w:br/>
        <w:t>A_F^{(2)},</w:t>
      </w:r>
      <w:r>
        <w:br/>
        <w:t>\ldots,</w:t>
      </w:r>
      <w:r>
        <w:br/>
        <w:t>A_F^{(n)}</w:t>
      </w:r>
      <w:r>
        <w:br/>
        <w:t>\tag{3.7346}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A_F^{(1)},A_F^{(2)},\ldots,A_F^{(n)}\qquad\text{(3.7346)}</w:t>
      </w:r>
    </w:p>
    <w:p w:rsidR="00937413" w:rsidRDefault="00937413" w:rsidP="00937413">
      <w:pPr>
        <w:pStyle w:val="StandardWeb"/>
      </w:pPr>
      <w:r>
        <w:t>wiederholte Realisationen derselben Analyse.</w:t>
      </w:r>
    </w:p>
    <w:p w:rsidR="00937413" w:rsidRDefault="00937413" w:rsidP="00937413">
      <w:pPr>
        <w:pStyle w:val="StandardWeb"/>
      </w:pPr>
      <w:r>
        <w:t>Dann definiere ich einen Reproduzierbarkeitsgrad</w:t>
      </w:r>
    </w:p>
    <w:p w:rsidR="00937413" w:rsidRDefault="00937413" w:rsidP="00937413">
      <w:pPr>
        <w:pStyle w:val="berschrift1"/>
      </w:pPr>
      <w:r>
        <w:t>[</w:t>
      </w:r>
      <w:r>
        <w:br/>
        <w:t>R_{\mathrm{rep}}</w:t>
      </w:r>
    </w:p>
    <w:p w:rsidR="00937413" w:rsidRDefault="00937413" w:rsidP="00937413">
      <w:pPr>
        <w:pStyle w:val="StandardWeb"/>
      </w:pPr>
      <w:r>
        <w:t>\frac{1}{n}</w:t>
      </w:r>
      <w:r>
        <w:br/>
        <w:t>\sum_{k=1}^{n}</w:t>
      </w:r>
      <w:r>
        <w:br/>
        <w:t>\mathbf{1}</w:t>
      </w:r>
      <w:r>
        <w:br/>
        <w:t>\left[</w:t>
      </w:r>
      <w:r>
        <w:br/>
        <w:t>A_F^{(k)}</w:t>
      </w:r>
      <w:r>
        <w:br/>
        <w:t>\sim_A</w:t>
      </w:r>
      <w:r>
        <w:br/>
        <w:t>A_F^{\mathrm{ref}}</w:t>
      </w:r>
      <w:r>
        <w:br/>
        <w:t>\right].</w:t>
      </w:r>
      <w:r>
        <w:br/>
        <w:t>\tag{3.7347}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R_{\mathrm{rep}}=\frac{1}{n}\sum_{k=1}^{n}\mathbf{1}\left[A_F^{(k)}\sim_A A_F^{\mathrm{ref}}\right]\qquad\text{(3.7347)}</w:t>
      </w:r>
    </w:p>
    <w:p w:rsidR="00937413" w:rsidRDefault="00937413" w:rsidP="00937413">
      <w:pPr>
        <w:pStyle w:val="StandardWeb"/>
      </w:pPr>
      <w:r>
        <w:t>Die Reproduzierbarkeitsstabilität lautet</w:t>
      </w:r>
    </w:p>
    <w:p w:rsidR="00937413" w:rsidRDefault="00937413" w:rsidP="00937413">
      <w:pPr>
        <w:pStyle w:val="berschrift1"/>
      </w:pPr>
      <w:r>
        <w:t>[</w:t>
      </w:r>
      <w:r>
        <w:br/>
        <w:t>S_R</w:t>
      </w:r>
    </w:p>
    <w:p w:rsidR="00937413" w:rsidRDefault="00937413" w:rsidP="00937413">
      <w:pPr>
        <w:pStyle w:val="StandardWeb"/>
      </w:pPr>
      <w:r>
        <w:t>1</w:t>
      </w:r>
      <w:r>
        <w:br/>
        <w:t>\Longleftrightarrow</w:t>
      </w:r>
      <w:r>
        <w:br/>
        <w:t>R_{\mathrm{rep}}</w:t>
      </w:r>
      <w:r>
        <w:br/>
        <w:t>\geq</w:t>
      </w:r>
      <w:r>
        <w:br/>
        <w:t>\tau_{\mathrm{rep}}.</w:t>
      </w:r>
      <w:r>
        <w:br/>
        <w:t>\tag{3.7348}</w:t>
      </w:r>
      <w:r>
        <w:br/>
        <w:t>]</w:t>
      </w:r>
    </w:p>
    <w:p w:rsidR="00937413" w:rsidRDefault="00937413" w:rsidP="00937413">
      <w:pPr>
        <w:pStyle w:val="StandardWeb"/>
      </w:pPr>
      <w:r>
        <w:rPr>
          <w:rStyle w:val="Fett"/>
        </w:rPr>
        <w:lastRenderedPageBreak/>
        <w:t>Word-LaTeX</w:t>
      </w:r>
    </w:p>
    <w:p w:rsidR="00937413" w:rsidRDefault="00937413" w:rsidP="00937413">
      <w:pPr>
        <w:pStyle w:val="HTMLVorformatiert"/>
        <w:rPr>
          <w:rStyle w:val="HTMLCode"/>
        </w:rPr>
      </w:pPr>
      <w:r>
        <w:rPr>
          <w:rStyle w:val="HTMLCode"/>
        </w:rPr>
        <w:t>S_R=1\Longleftrightarrow R_{\mathrm{rep}}\geq\tau_{\mathrm{rep}}\qquad\text{(3.7348)}</w:t>
      </w:r>
    </w:p>
    <w:p w:rsidR="00937413" w:rsidRDefault="00E50336" w:rsidP="00937413">
      <w:r>
        <w:pict>
          <v:rect id="_x0000_i1569" style="width:0;height:1.5pt" o:hralign="center" o:hrstd="t" o:hr="t" fillcolor="#a0a0a0" stroked="f"/>
        </w:pict>
      </w:r>
    </w:p>
    <w:p w:rsidR="00937413" w:rsidRDefault="00937413" w:rsidP="00937413">
      <w:pPr>
        <w:pStyle w:val="berschrift2"/>
      </w:pPr>
      <w:r>
        <w:t>3.3.41.12 Operationalisierungsstabilität</w:t>
      </w:r>
    </w:p>
    <w:p w:rsidR="00937413" w:rsidRDefault="00937413" w:rsidP="00937413">
      <w:pPr>
        <w:pStyle w:val="StandardWeb"/>
      </w:pPr>
      <w:r>
        <w:t>Eine Aussage kann unter einer festen Operationalisierung reproduzierbar sein und dennoch bei einer alternativen zulässigen Operationalisierung verschwinden.</w:t>
      </w:r>
    </w:p>
    <w:p w:rsidR="00937413" w:rsidRDefault="00937413" w:rsidP="00937413">
      <w:pPr>
        <w:pStyle w:val="StandardWeb"/>
      </w:pPr>
      <w:r>
        <w:t>Deshalb führe ich die Operationalisierungsstabilität</w:t>
      </w:r>
    </w:p>
    <w:p w:rsidR="00937413" w:rsidRDefault="00937413" w:rsidP="00937413">
      <w:pPr>
        <w:pStyle w:val="StandardWeb"/>
      </w:pPr>
      <w:r>
        <w:t>[</w:t>
      </w:r>
      <w:r>
        <w:br/>
        <w:t>S_O</w:t>
      </w:r>
      <w:r>
        <w:br/>
        <w:t>\tag{3.7349}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S_O\qquad\text{(3.7349)}</w:t>
      </w:r>
    </w:p>
    <w:p w:rsidR="00937413" w:rsidRDefault="00937413" w:rsidP="00937413">
      <w:pPr>
        <w:pStyle w:val="StandardWeb"/>
      </w:pPr>
      <w:r>
        <w:t>als eigenständige Komponente.</w:t>
      </w:r>
    </w:p>
    <w:p w:rsidR="00937413" w:rsidRDefault="00937413" w:rsidP="00937413">
      <w:pPr>
        <w:pStyle w:val="StandardWeb"/>
      </w:pPr>
      <w:r>
        <w:t>Für die Menge zulässiger Operationalisierungen</w:t>
      </w:r>
    </w:p>
    <w:p w:rsidR="00937413" w:rsidRDefault="00937413" w:rsidP="00937413">
      <w:pPr>
        <w:pStyle w:val="berschrift1"/>
      </w:pPr>
      <w:r>
        <w:t>[</w:t>
      </w:r>
      <w:r>
        <w:br/>
        <w:t>\mathfrak{O}_{\mathrm{zul}}</w:t>
      </w:r>
    </w:p>
    <w:p w:rsidR="00937413" w:rsidRDefault="00937413" w:rsidP="00937413">
      <w:pPr>
        <w:pStyle w:val="StandardWeb"/>
      </w:pPr>
      <w:r>
        <w:t>\left{</w:t>
      </w:r>
      <w:r>
        <w:br/>
        <w:t>\mathcal{O}_1,</w:t>
      </w:r>
      <w:r>
        <w:br/>
        <w:t>\ldots,</w:t>
      </w:r>
      <w:r>
        <w:br/>
        <w:t>\mathcal{O}_m</w:t>
      </w:r>
      <w:r>
        <w:br/>
        <w:t>\right}</w:t>
      </w:r>
      <w:r>
        <w:br/>
        <w:t>\tag{3.7350}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\mathfrak{O}_{\mathrm{zul}}=\left\{\mathcal{O}_1,\ldots,\mathcal{O}_m\right\}\qquad\text{(3.7350)}</w:t>
      </w:r>
    </w:p>
    <w:p w:rsidR="00937413" w:rsidRDefault="00937413" w:rsidP="00937413">
      <w:pPr>
        <w:pStyle w:val="StandardWeb"/>
      </w:pPr>
      <w:r>
        <w:t>definiere ich</w:t>
      </w:r>
    </w:p>
    <w:p w:rsidR="00937413" w:rsidRDefault="00937413" w:rsidP="00937413">
      <w:pPr>
        <w:pStyle w:val="berschrift1"/>
      </w:pPr>
      <w:r>
        <w:t>[</w:t>
      </w:r>
      <w:r>
        <w:br/>
        <w:t>R_O</w:t>
      </w:r>
    </w:p>
    <w:p w:rsidR="00937413" w:rsidRDefault="00937413" w:rsidP="00937413">
      <w:pPr>
        <w:pStyle w:val="StandardWeb"/>
      </w:pPr>
      <w:r>
        <w:lastRenderedPageBreak/>
        <w:t>\frac{1}{m}</w:t>
      </w:r>
      <w:r>
        <w:br/>
        <w:t>\sum_{j=1}^{m}</w:t>
      </w:r>
      <w:r>
        <w:br/>
        <w:t>\mathbf{1}</w:t>
      </w:r>
      <w:r>
        <w:br/>
        <w:t>\left[</w:t>
      </w:r>
      <w:r>
        <w:br/>
        <w:t>A_F^{(\mathcal{O}_j)}</w:t>
      </w:r>
      <w:r>
        <w:br/>
        <w:t>\sim_A</w:t>
      </w:r>
      <w:r>
        <w:br/>
        <w:t>A_F^{\mathrm{ref}}</w:t>
      </w:r>
      <w:r>
        <w:br/>
        <w:t>\right].</w:t>
      </w:r>
      <w:r>
        <w:br/>
        <w:t>\tag{3.7351}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R_O=\frac{1}{m}\sum_{j=1}^{m}\mathbf{1}\left[A_F^{(\mathcal{O}_j)}\sim_A A_F^{\mathrm{ref}}\right]\qquad\text{(3.7351)}</w:t>
      </w:r>
    </w:p>
    <w:p w:rsidR="00937413" w:rsidRDefault="00937413" w:rsidP="00937413">
      <w:pPr>
        <w:pStyle w:val="StandardWeb"/>
      </w:pPr>
      <w:r>
        <w:t>Dann gilt</w:t>
      </w:r>
    </w:p>
    <w:p w:rsidR="00937413" w:rsidRDefault="00937413" w:rsidP="00937413">
      <w:pPr>
        <w:pStyle w:val="berschrift1"/>
      </w:pPr>
      <w:r>
        <w:t>[</w:t>
      </w:r>
      <w:r>
        <w:br/>
        <w:t>S_O</w:t>
      </w:r>
    </w:p>
    <w:p w:rsidR="00937413" w:rsidRDefault="00937413" w:rsidP="00937413">
      <w:pPr>
        <w:pStyle w:val="StandardWeb"/>
      </w:pPr>
      <w:r>
        <w:t>1</w:t>
      </w:r>
      <w:r>
        <w:br/>
        <w:t>\Longleftrightarrow</w:t>
      </w:r>
      <w:r>
        <w:br/>
        <w:t>R_O</w:t>
      </w:r>
      <w:r>
        <w:br/>
        <w:t>\geq</w:t>
      </w:r>
      <w:r>
        <w:br/>
        <w:t>\tau_O.</w:t>
      </w:r>
      <w:r>
        <w:br/>
        <w:t>\tag{3.7352}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S_O=1\Longleftrightarrow R_O\geq\tau_O\qquad\text{(3.7352)}</w:t>
      </w:r>
    </w:p>
    <w:p w:rsidR="00937413" w:rsidRDefault="00E50336" w:rsidP="00937413">
      <w:r>
        <w:pict>
          <v:rect id="_x0000_i1570" style="width:0;height:1.5pt" o:hralign="center" o:hrstd="t" o:hr="t" fillcolor="#a0a0a0" stroked="f"/>
        </w:pict>
      </w:r>
    </w:p>
    <w:p w:rsidR="00937413" w:rsidRDefault="00937413" w:rsidP="00937413">
      <w:pPr>
        <w:pStyle w:val="berschrift2"/>
      </w:pPr>
      <w:r>
        <w:t>3.3.41.13 Modellstabilität</w:t>
      </w:r>
    </w:p>
    <w:p w:rsidR="00937413" w:rsidRDefault="00937413" w:rsidP="00937413">
      <w:pPr>
        <w:pStyle w:val="StandardWeb"/>
      </w:pPr>
      <w:r>
        <w:t>Ein weiteres Problem entsteht, wenn dieselben Daten und dieselbe Operationalisierung unter verschiedenen wissenschaftlich zulässigen Modellstrukturen zu unterschiedlichen Aussagen führen.</w:t>
      </w:r>
    </w:p>
    <w:p w:rsidR="00937413" w:rsidRDefault="00937413" w:rsidP="00937413">
      <w:pPr>
        <w:pStyle w:val="StandardWeb"/>
      </w:pPr>
      <w:r>
        <w:t>Sei</w:t>
      </w:r>
    </w:p>
    <w:p w:rsidR="00937413" w:rsidRDefault="00937413" w:rsidP="00937413">
      <w:pPr>
        <w:pStyle w:val="berschrift1"/>
      </w:pPr>
      <w:r>
        <w:t>[</w:t>
      </w:r>
      <w:r>
        <w:br/>
        <w:t>\mathfrak{M}_{\mathrm{zul}}</w:t>
      </w:r>
    </w:p>
    <w:p w:rsidR="00937413" w:rsidRDefault="00937413" w:rsidP="00937413">
      <w:pPr>
        <w:pStyle w:val="StandardWeb"/>
      </w:pPr>
      <w:r>
        <w:t>\left{</w:t>
      </w:r>
      <w:r>
        <w:br/>
        <w:t>\mathcal{M}_1,</w:t>
      </w:r>
      <w:r>
        <w:br/>
        <w:t>\ldots,</w:t>
      </w:r>
      <w:r>
        <w:br/>
      </w:r>
      <w:r>
        <w:lastRenderedPageBreak/>
        <w:t>\mathcal{M}_q</w:t>
      </w:r>
      <w:r>
        <w:br/>
        <w:t>\right}.</w:t>
      </w:r>
      <w:r>
        <w:br/>
        <w:t>\tag{3.7353}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\mathfrak{M}_{\mathrm{zul}}=\left\{\mathcal{M}_1,\ldots,\mathcal{M}_q\right\}\qquad\text{(3.7353)}</w:t>
      </w:r>
    </w:p>
    <w:p w:rsidR="00937413" w:rsidRDefault="00937413" w:rsidP="00937413">
      <w:pPr>
        <w:pStyle w:val="StandardWeb"/>
      </w:pPr>
      <w:r>
        <w:t>Die modellabhängigen Aussagen lauten</w:t>
      </w:r>
    </w:p>
    <w:p w:rsidR="00937413" w:rsidRDefault="00937413" w:rsidP="00937413">
      <w:pPr>
        <w:pStyle w:val="berschrift1"/>
      </w:pPr>
      <w:r>
        <w:t>[</w:t>
      </w:r>
      <w:r>
        <w:br/>
        <w:t>A_F^{(\mathcal{M}_k)}</w:t>
      </w:r>
    </w:p>
    <w:p w:rsidR="00937413" w:rsidRDefault="00937413" w:rsidP="00937413">
      <w:pPr>
        <w:pStyle w:val="StandardWeb"/>
      </w:pPr>
      <w:r>
        <w:t>A_F</w:t>
      </w:r>
      <w:r>
        <w:br/>
        <w:t>\left(</w:t>
      </w:r>
      <w:r>
        <w:br/>
        <w:t>\mathcal{M}_k</w:t>
      </w:r>
      <w:r>
        <w:br/>
        <w:t>\right).</w:t>
      </w:r>
      <w:r>
        <w:br/>
        <w:t>\tag{3.7354}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A_F^{(\mathcal{M}_k)}=A_F\left(\mathcal{M}_k\right)\qquad\text{(3.7354)}</w:t>
      </w:r>
    </w:p>
    <w:p w:rsidR="00937413" w:rsidRDefault="00937413" w:rsidP="00937413">
      <w:pPr>
        <w:pStyle w:val="StandardWeb"/>
      </w:pPr>
      <w:r>
        <w:t>Ich definiere</w:t>
      </w:r>
    </w:p>
    <w:p w:rsidR="00937413" w:rsidRDefault="00937413" w:rsidP="00937413">
      <w:pPr>
        <w:pStyle w:val="berschrift1"/>
      </w:pPr>
      <w:r>
        <w:t>[</w:t>
      </w:r>
      <w:r>
        <w:br/>
        <w:t>R_M</w:t>
      </w:r>
    </w:p>
    <w:p w:rsidR="00937413" w:rsidRDefault="00937413" w:rsidP="00937413">
      <w:pPr>
        <w:pStyle w:val="StandardWeb"/>
      </w:pPr>
      <w:r>
        <w:t>\frac{1}{q}</w:t>
      </w:r>
      <w:r>
        <w:br/>
        <w:t>\sum_{k=1}^{q}</w:t>
      </w:r>
      <w:r>
        <w:br/>
        <w:t>\mathbf{1}</w:t>
      </w:r>
      <w:r>
        <w:br/>
        <w:t>\left[</w:t>
      </w:r>
      <w:r>
        <w:br/>
        <w:t>A_F^{(\mathcal{M}_k)}</w:t>
      </w:r>
      <w:r>
        <w:br/>
        <w:t>\sim_A</w:t>
      </w:r>
      <w:r>
        <w:br/>
        <w:t>A_F^{\mathrm{ref}}</w:t>
      </w:r>
      <w:r>
        <w:br/>
        <w:t>\right].</w:t>
      </w:r>
      <w:r>
        <w:br/>
        <w:t>\tag{3.7355}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R_M=\frac{1}{q}\sum_{k=1}^{q}\mathbf{1}\left[A_F^{(\mathcal{M}_k)}\sim_A A_F^{\mathrm{ref}}\right]\qquad\text{(3.7355)}</w:t>
      </w:r>
    </w:p>
    <w:p w:rsidR="00937413" w:rsidRDefault="00937413" w:rsidP="00937413">
      <w:pPr>
        <w:pStyle w:val="StandardWeb"/>
      </w:pPr>
      <w:r>
        <w:t>Die Modellstabilität lautet</w:t>
      </w:r>
    </w:p>
    <w:p w:rsidR="00937413" w:rsidRDefault="00937413" w:rsidP="00937413">
      <w:pPr>
        <w:pStyle w:val="berschrift1"/>
      </w:pPr>
      <w:r>
        <w:lastRenderedPageBreak/>
        <w:t>[</w:t>
      </w:r>
      <w:r>
        <w:br/>
        <w:t>S_M</w:t>
      </w:r>
    </w:p>
    <w:p w:rsidR="00937413" w:rsidRDefault="00937413" w:rsidP="00937413">
      <w:pPr>
        <w:pStyle w:val="StandardWeb"/>
      </w:pPr>
      <w:r>
        <w:t>1</w:t>
      </w:r>
      <w:r>
        <w:br/>
        <w:t>\Longleftrightarrow</w:t>
      </w:r>
      <w:r>
        <w:br/>
        <w:t>R_M</w:t>
      </w:r>
      <w:r>
        <w:br/>
        <w:t>\geq</w:t>
      </w:r>
      <w:r>
        <w:br/>
        <w:t>\tau_M.</w:t>
      </w:r>
      <w:r>
        <w:br/>
        <w:t>\tag{3.7356}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S_M=1\Longleftrightarrow R_M\geq\tau_M\qquad\text{(3.7356)}</w:t>
      </w:r>
    </w:p>
    <w:p w:rsidR="00937413" w:rsidRDefault="00E50336" w:rsidP="00937413">
      <w:r>
        <w:pict>
          <v:rect id="_x0000_i1571" style="width:0;height:1.5pt" o:hralign="center" o:hrstd="t" o:hr="t" fillcolor="#a0a0a0" stroked="f"/>
        </w:pict>
      </w:r>
    </w:p>
    <w:p w:rsidR="00937413" w:rsidRDefault="00937413" w:rsidP="00937413">
      <w:pPr>
        <w:pStyle w:val="berschrift2"/>
      </w:pPr>
      <w:r>
        <w:t>3.3.41.14 Numerische Stabilität</w:t>
      </w:r>
    </w:p>
    <w:p w:rsidR="00937413" w:rsidRDefault="00937413" w:rsidP="00937413">
      <w:pPr>
        <w:pStyle w:val="StandardWeb"/>
      </w:pPr>
      <w:r>
        <w:t>Auch eine wissenschaftlich sinnvolle Modellstruktur kann numerisch fragil umgesetzt sein.</w:t>
      </w:r>
    </w:p>
    <w:p w:rsidR="00937413" w:rsidRDefault="00937413" w:rsidP="00937413">
      <w:pPr>
        <w:pStyle w:val="StandardWeb"/>
      </w:pPr>
      <w:r>
        <w:t>Sei</w:t>
      </w:r>
    </w:p>
    <w:p w:rsidR="00937413" w:rsidRDefault="00937413" w:rsidP="00937413">
      <w:pPr>
        <w:pStyle w:val="StandardWeb"/>
      </w:pPr>
      <w:r>
        <w:t>[</w:t>
      </w:r>
      <w:r>
        <w:br/>
        <w:t>\mathcal{N}_1,</w:t>
      </w:r>
      <w:r>
        <w:br/>
        <w:t>\ldots,</w:t>
      </w:r>
      <w:r>
        <w:br/>
        <w:t>\mathcal{N}_r</w:t>
      </w:r>
      <w:r>
        <w:br/>
        <w:t>\tag{3.7357}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\mathcal{N}_1,\ldots,\mathcal{N}_r\qquad\text{(3.7357)}</w:t>
      </w:r>
    </w:p>
    <w:p w:rsidR="00937413" w:rsidRDefault="00937413" w:rsidP="00937413">
      <w:pPr>
        <w:pStyle w:val="StandardWeb"/>
      </w:pPr>
      <w:r>
        <w:t>eine Menge zulässiger numerischer Implementierungen oder Diskretisierungen.</w:t>
      </w:r>
    </w:p>
    <w:p w:rsidR="00937413" w:rsidRDefault="00937413" w:rsidP="00937413">
      <w:pPr>
        <w:pStyle w:val="StandardWeb"/>
      </w:pPr>
      <w:r>
        <w:t>Dann erhalte ich</w:t>
      </w:r>
    </w:p>
    <w:p w:rsidR="00937413" w:rsidRDefault="00937413" w:rsidP="00937413">
      <w:pPr>
        <w:pStyle w:val="berschrift1"/>
      </w:pPr>
      <w:r>
        <w:t>[</w:t>
      </w:r>
      <w:r>
        <w:br/>
        <w:t>A_F^{(\mathcal{N}_j)}</w:t>
      </w:r>
    </w:p>
    <w:p w:rsidR="00937413" w:rsidRDefault="00937413" w:rsidP="00937413">
      <w:pPr>
        <w:pStyle w:val="StandardWeb"/>
      </w:pPr>
      <w:r>
        <w:t>A_F</w:t>
      </w:r>
      <w:r>
        <w:br/>
        <w:t>\left(</w:t>
      </w:r>
      <w:r>
        <w:br/>
        <w:t>\mathcal{N}_j</w:t>
      </w:r>
      <w:r>
        <w:br/>
        <w:t>\right).</w:t>
      </w:r>
      <w:r>
        <w:br/>
        <w:t>\tag{3.7358}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lastRenderedPageBreak/>
        <w:t>A_F^{(\mathcal{N}_j)}=A_F\left(\mathcal{N}_j\right)\qquad\text{(3.7358)}</w:t>
      </w:r>
    </w:p>
    <w:p w:rsidR="00937413" w:rsidRDefault="00937413" w:rsidP="00937413">
      <w:pPr>
        <w:pStyle w:val="StandardWeb"/>
      </w:pPr>
      <w:r>
        <w:t>Der numerische Stabilitätsgrad lautet</w:t>
      </w:r>
    </w:p>
    <w:p w:rsidR="00937413" w:rsidRDefault="00937413" w:rsidP="00937413">
      <w:pPr>
        <w:pStyle w:val="berschrift1"/>
      </w:pPr>
      <w:r>
        <w:t>[</w:t>
      </w:r>
      <w:r>
        <w:br/>
        <w:t>R_N</w:t>
      </w:r>
    </w:p>
    <w:p w:rsidR="00937413" w:rsidRDefault="00937413" w:rsidP="00937413">
      <w:pPr>
        <w:pStyle w:val="StandardWeb"/>
      </w:pPr>
      <w:r>
        <w:t>\frac{1}{r}</w:t>
      </w:r>
      <w:r>
        <w:br/>
        <w:t>\sum_{j=1}^{r}</w:t>
      </w:r>
      <w:r>
        <w:br/>
        <w:t>\mathbf{1}</w:t>
      </w:r>
      <w:r>
        <w:br/>
        <w:t>\left[</w:t>
      </w:r>
      <w:r>
        <w:br/>
        <w:t>A_F^{(\mathcal{N}_j)}</w:t>
      </w:r>
      <w:r>
        <w:br/>
        <w:t>\sim_A</w:t>
      </w:r>
      <w:r>
        <w:br/>
        <w:t>A_F^{\mathrm{ref}}</w:t>
      </w:r>
      <w:r>
        <w:br/>
        <w:t>\right].</w:t>
      </w:r>
      <w:r>
        <w:br/>
        <w:t>\tag{3.7359}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R_N=\frac{1}{r}\sum_{j=1}^{r}\mathbf{1}\left[A_F^{(\mathcal{N}_j)}\sim_A A_F^{\mathrm{ref}}\right]\qquad\text{(3.7359)}</w:t>
      </w:r>
    </w:p>
    <w:p w:rsidR="00937413" w:rsidRDefault="00937413" w:rsidP="00937413">
      <w:pPr>
        <w:pStyle w:val="StandardWeb"/>
      </w:pPr>
      <w:r>
        <w:t>Dann gilt</w:t>
      </w:r>
    </w:p>
    <w:p w:rsidR="00937413" w:rsidRDefault="00937413" w:rsidP="00937413">
      <w:pPr>
        <w:pStyle w:val="berschrift1"/>
      </w:pPr>
      <w:r>
        <w:t>[</w:t>
      </w:r>
      <w:r>
        <w:br/>
        <w:t>S_N</w:t>
      </w:r>
    </w:p>
    <w:p w:rsidR="00937413" w:rsidRDefault="00937413" w:rsidP="00937413">
      <w:pPr>
        <w:pStyle w:val="StandardWeb"/>
      </w:pPr>
      <w:r>
        <w:t>1</w:t>
      </w:r>
      <w:r>
        <w:br/>
        <w:t>\Longleftrightarrow</w:t>
      </w:r>
      <w:r>
        <w:br/>
        <w:t>R_N</w:t>
      </w:r>
      <w:r>
        <w:br/>
        <w:t>\geq</w:t>
      </w:r>
      <w:r>
        <w:br/>
        <w:t>\tau_N.</w:t>
      </w:r>
      <w:r>
        <w:br/>
        <w:t>\tag{3.7360}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S_N=1\Longleftrightarrow R_N\geq\tau_N\qquad\text{(3.7360)}</w:t>
      </w:r>
    </w:p>
    <w:p w:rsidR="00937413" w:rsidRDefault="00E50336" w:rsidP="00937413">
      <w:r>
        <w:pict>
          <v:rect id="_x0000_i1572" style="width:0;height:1.5pt" o:hralign="center" o:hrstd="t" o:hr="t" fillcolor="#a0a0a0" stroked="f"/>
        </w:pict>
      </w:r>
    </w:p>
    <w:p w:rsidR="00937413" w:rsidRDefault="00937413" w:rsidP="00937413">
      <w:pPr>
        <w:pStyle w:val="berschrift2"/>
      </w:pPr>
      <w:r>
        <w:t>3.3.41.15 Zeitliche Stabilität</w:t>
      </w:r>
    </w:p>
    <w:p w:rsidR="00937413" w:rsidRDefault="00937413" w:rsidP="00937413">
      <w:pPr>
        <w:pStyle w:val="StandardWeb"/>
      </w:pPr>
      <w:r>
        <w:t>Eine Aussage kann zu einem Zeitpunkt stabil sein und später ihre Gültigkeit verlieren.</w:t>
      </w:r>
    </w:p>
    <w:p w:rsidR="00937413" w:rsidRDefault="00937413" w:rsidP="00937413">
      <w:pPr>
        <w:pStyle w:val="StandardWeb"/>
      </w:pPr>
      <w:r>
        <w:t>Deshalb führe ich die zeitliche Stabilität ein.</w:t>
      </w:r>
    </w:p>
    <w:p w:rsidR="00937413" w:rsidRDefault="00937413" w:rsidP="00937413">
      <w:pPr>
        <w:pStyle w:val="StandardWeb"/>
      </w:pPr>
      <w:r>
        <w:t>Sei</w:t>
      </w:r>
    </w:p>
    <w:p w:rsidR="00937413" w:rsidRDefault="00937413" w:rsidP="00937413">
      <w:pPr>
        <w:pStyle w:val="StandardWeb"/>
      </w:pPr>
      <w:r>
        <w:lastRenderedPageBreak/>
        <w:t>[</w:t>
      </w:r>
      <w:r>
        <w:br/>
        <w:t>A_F(t)</w:t>
      </w:r>
      <w:r>
        <w:br/>
        <w:t>\tag{3.7361}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A_F(t)\qquad\text{(3.7361)}</w:t>
      </w:r>
    </w:p>
    <w:p w:rsidR="00937413" w:rsidRDefault="00937413" w:rsidP="00937413">
      <w:pPr>
        <w:pStyle w:val="StandardWeb"/>
      </w:pPr>
      <w:r>
        <w:t>die zeitabhängige Aussage.</w:t>
      </w:r>
    </w:p>
    <w:p w:rsidR="00937413" w:rsidRDefault="00937413" w:rsidP="00937413">
      <w:pPr>
        <w:pStyle w:val="StandardWeb"/>
      </w:pPr>
      <w:r>
        <w:t>Für ein Beobachtungsintervall</w:t>
      </w:r>
    </w:p>
    <w:p w:rsidR="00937413" w:rsidRDefault="00937413" w:rsidP="00937413">
      <w:pPr>
        <w:pStyle w:val="berschrift1"/>
      </w:pPr>
      <w:r>
        <w:t>[</w:t>
      </w:r>
      <w:r>
        <w:br/>
        <w:t>I_T</w:t>
      </w:r>
    </w:p>
    <w:p w:rsidR="00937413" w:rsidRDefault="00937413" w:rsidP="00937413">
      <w:pPr>
        <w:pStyle w:val="StandardWeb"/>
      </w:pPr>
      <w:r>
        <w:t>[t_0,t_1]</w:t>
      </w:r>
      <w:r>
        <w:br/>
        <w:t>\tag{3.7362}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I_T=[t_0,t_1]\qquad\text{(3.7362)}</w:t>
      </w:r>
    </w:p>
    <w:p w:rsidR="00937413" w:rsidRDefault="00937413" w:rsidP="00937413">
      <w:pPr>
        <w:pStyle w:val="StandardWeb"/>
      </w:pPr>
      <w:r>
        <w:t>gilt zeitliche Stabilität, wenn</w:t>
      </w:r>
    </w:p>
    <w:p w:rsidR="00937413" w:rsidRDefault="00937413" w:rsidP="00937413">
      <w:pPr>
        <w:pStyle w:val="berschrift1"/>
      </w:pPr>
      <w:r>
        <w:t>[</w:t>
      </w:r>
      <w:r>
        <w:br/>
        <w:t>S_T</w:t>
      </w:r>
    </w:p>
    <w:p w:rsidR="00937413" w:rsidRDefault="00937413" w:rsidP="00937413">
      <w:pPr>
        <w:pStyle w:val="berschrift1"/>
      </w:pPr>
      <w:r>
        <w:t>1</w:t>
      </w:r>
      <w:r>
        <w:br/>
        <w:t>\Longleftrightarrow</w:t>
      </w:r>
      <w:r>
        <w:br/>
        <w:t>\forall</w:t>
      </w:r>
      <w:r>
        <w:br/>
        <w:t>t</w:t>
      </w:r>
      <w:r>
        <w:br/>
        <w:t>\in</w:t>
      </w:r>
      <w:r>
        <w:br/>
        <w:t>I_T</w:t>
      </w:r>
      <w:r>
        <w:br/>
        <w:t>:</w:t>
      </w:r>
      <w:r>
        <w:br/>
        <w:t>L(t)</w:t>
      </w:r>
    </w:p>
    <w:p w:rsidR="00937413" w:rsidRDefault="00937413" w:rsidP="00937413">
      <w:pPr>
        <w:pStyle w:val="StandardWeb"/>
      </w:pPr>
      <w:r>
        <w:t>L^\ast.</w:t>
      </w:r>
      <w:r>
        <w:br/>
        <w:t>\tag{3.7363}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lastRenderedPageBreak/>
        <w:t>S_T=1\Longleftrightarrow\forall t\in I_T:L(t)=L^{\ast}\qquad\text{(3.7363)}</w:t>
      </w:r>
    </w:p>
    <w:p w:rsidR="00937413" w:rsidRDefault="00E50336" w:rsidP="00937413">
      <w:r>
        <w:pict>
          <v:rect id="_x0000_i1573" style="width:0;height:1.5pt" o:hralign="center" o:hrstd="t" o:hr="t" fillcolor="#a0a0a0" stroked="f"/>
        </w:pict>
      </w:r>
    </w:p>
    <w:p w:rsidR="00937413" w:rsidRDefault="00937413" w:rsidP="00937413">
      <w:pPr>
        <w:pStyle w:val="berschrift2"/>
      </w:pPr>
      <w:r>
        <w:t>3.3.41.16 Zeitlicher Stabilitätsgrad</w:t>
      </w:r>
    </w:p>
    <w:p w:rsidR="00937413" w:rsidRDefault="00937413" w:rsidP="00937413">
      <w:pPr>
        <w:pStyle w:val="StandardWeb"/>
      </w:pPr>
      <w:r>
        <w:t>Auch hier kann eine graduelle Form sinnvoll sein:</w:t>
      </w:r>
    </w:p>
    <w:p w:rsidR="00937413" w:rsidRDefault="00937413" w:rsidP="00937413">
      <w:pPr>
        <w:pStyle w:val="berschrift1"/>
      </w:pPr>
      <w:r>
        <w:t>[</w:t>
      </w:r>
      <w:r>
        <w:br/>
        <w:t>R_T</w:t>
      </w:r>
    </w:p>
    <w:p w:rsidR="00937413" w:rsidRDefault="00937413" w:rsidP="00937413">
      <w:pPr>
        <w:pStyle w:val="StandardWeb"/>
      </w:pPr>
      <w:r>
        <w:t>\frac{</w:t>
      </w:r>
      <w:r>
        <w:br/>
        <w:t>\mu_T</w:t>
      </w:r>
      <w:r>
        <w:br/>
        <w:t>\left(</w:t>
      </w:r>
      <w:r>
        <w:br/>
        <w:t>\left{</w:t>
      </w:r>
      <w:r>
        <w:br/>
        <w:t>t</w:t>
      </w:r>
      <w:r>
        <w:br/>
        <w:t>\in</w:t>
      </w:r>
      <w:r>
        <w:br/>
        <w:t>I_T:</w:t>
      </w:r>
      <w:r>
        <w:br/>
        <w:t>L(t)=L^\ast</w:t>
      </w:r>
      <w:r>
        <w:br/>
        <w:t>\right}</w:t>
      </w:r>
      <w:r>
        <w:br/>
        <w:t>\right)</w:t>
      </w:r>
      <w:r>
        <w:br/>
        <w:t>}{</w:t>
      </w:r>
      <w:r>
        <w:br/>
        <w:t>\mu_T(I_T)</w:t>
      </w:r>
      <w:r>
        <w:br/>
        <w:t>}.</w:t>
      </w:r>
      <w:r>
        <w:br/>
        <w:t>\tag{3.7364}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R_T=\frac{\mu_T\left(\left\{t\in I_T:L(t)=L^{\ast}\right\}\right)}{\mu_T(I_T)}\qquad\text{(3.7364)}</w:t>
      </w:r>
    </w:p>
    <w:p w:rsidR="00937413" w:rsidRDefault="00937413" w:rsidP="00937413">
      <w:pPr>
        <w:pStyle w:val="StandardWeb"/>
      </w:pPr>
      <w:r>
        <w:t>Dabei bezeichnet (\mu_T) ein Zeitmaß.</w:t>
      </w:r>
    </w:p>
    <w:p w:rsidR="00937413" w:rsidRDefault="00937413" w:rsidP="00937413">
      <w:pPr>
        <w:pStyle w:val="StandardWeb"/>
      </w:pPr>
      <w:r>
        <w:t>Es gilt</w:t>
      </w:r>
    </w:p>
    <w:p w:rsidR="00937413" w:rsidRDefault="00937413" w:rsidP="00937413">
      <w:pPr>
        <w:pStyle w:val="StandardWeb"/>
      </w:pPr>
      <w:r>
        <w:t>[</w:t>
      </w:r>
      <w:r>
        <w:br/>
        <w:t>0</w:t>
      </w:r>
      <w:r>
        <w:br/>
        <w:t>\leq</w:t>
      </w:r>
      <w:r>
        <w:br/>
        <w:t>R_T</w:t>
      </w:r>
      <w:r>
        <w:br/>
        <w:t>\leq</w:t>
      </w:r>
      <w:r>
        <w:br/>
        <w:t>1.</w:t>
      </w:r>
      <w:r>
        <w:br/>
        <w:t>\tag{3.7365}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0\leq R_T\leq1\qquad\text{(3.7365)}</w:t>
      </w:r>
    </w:p>
    <w:p w:rsidR="00937413" w:rsidRDefault="00E50336" w:rsidP="00937413">
      <w:r>
        <w:pict>
          <v:rect id="_x0000_i1574" style="width:0;height:1.5pt" o:hralign="center" o:hrstd="t" o:hr="t" fillcolor="#a0a0a0" stroked="f"/>
        </w:pict>
      </w:r>
    </w:p>
    <w:p w:rsidR="00937413" w:rsidRDefault="00937413" w:rsidP="00937413">
      <w:pPr>
        <w:pStyle w:val="berschrift2"/>
      </w:pPr>
      <w:r>
        <w:lastRenderedPageBreak/>
        <w:t>3.3.41.17 Vollständiger Stabilitätsvektor</w:t>
      </w:r>
    </w:p>
    <w:p w:rsidR="00937413" w:rsidRDefault="00937413" w:rsidP="00937413">
      <w:pPr>
        <w:pStyle w:val="StandardWeb"/>
      </w:pPr>
      <w:r>
        <w:t>Die bisher binär formulierten Komponenten können durch kontinuierliche Stabilitätsgrade ersetzt oder ergänzt werden.</w:t>
      </w:r>
    </w:p>
    <w:p w:rsidR="00937413" w:rsidRDefault="00937413" w:rsidP="00937413">
      <w:pPr>
        <w:pStyle w:val="StandardWeb"/>
      </w:pPr>
      <w:r>
        <w:t>Ich definiere daher einen quantitativen Stabilitätsvektor</w:t>
      </w:r>
    </w:p>
    <w:p w:rsidR="00937413" w:rsidRDefault="00937413" w:rsidP="00937413">
      <w:pPr>
        <w:pStyle w:val="berschrift1"/>
      </w:pPr>
      <w:r>
        <w:t>[</w:t>
      </w:r>
      <w:r>
        <w:br/>
        <w:t>\mathbf{R}_S</w:t>
      </w:r>
    </w:p>
    <w:p w:rsidR="00937413" w:rsidRDefault="00937413" w:rsidP="00937413">
      <w:pPr>
        <w:pStyle w:val="StandardWeb"/>
      </w:pPr>
      <w:r>
        <w:t>\left(</w:t>
      </w:r>
      <w:r>
        <w:br/>
        <w:t>R_L,</w:t>
      </w:r>
      <w:r>
        <w:br/>
        <w:t>R_G,</w:t>
      </w:r>
      <w:r>
        <w:br/>
        <w:t>R_P,</w:t>
      </w:r>
      <w:r>
        <w:br/>
        <w:t>R_R,</w:t>
      </w:r>
      <w:r>
        <w:br/>
        <w:t>R_O,</w:t>
      </w:r>
      <w:r>
        <w:br/>
        <w:t>R_M,</w:t>
      </w:r>
      <w:r>
        <w:br/>
        <w:t>R_N,</w:t>
      </w:r>
      <w:r>
        <w:br/>
        <w:t>R_T</w:t>
      </w:r>
      <w:r>
        <w:br/>
        <w:t>\right).</w:t>
      </w:r>
      <w:r>
        <w:br/>
        <w:t>\tag{3.7366}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\mathbf{R}_S=\left(R_L,R_G,R_P,R_R,R_O,R_M,R_N,R_T\right)\qquad\text{(3.7366)}</w:t>
      </w:r>
    </w:p>
    <w:p w:rsidR="00937413" w:rsidRDefault="00937413" w:rsidP="00937413">
      <w:pPr>
        <w:pStyle w:val="StandardWeb"/>
      </w:pPr>
      <w:r>
        <w:t>mit</w:t>
      </w:r>
    </w:p>
    <w:p w:rsidR="00937413" w:rsidRDefault="00937413" w:rsidP="00937413">
      <w:pPr>
        <w:pStyle w:val="StandardWeb"/>
      </w:pPr>
      <w:r>
        <w:t>[</w:t>
      </w:r>
      <w:r>
        <w:br/>
        <w:t>R_i</w:t>
      </w:r>
      <w:r>
        <w:br/>
        <w:t>\in</w:t>
      </w:r>
      <w:r>
        <w:br/>
        <w:t>[0,1].</w:t>
      </w:r>
      <w:r>
        <w:br/>
        <w:t>\tag{3.7367}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R_i\in[0,1]\qquad\text{(3.7367)}</w:t>
      </w:r>
    </w:p>
    <w:p w:rsidR="00937413" w:rsidRDefault="00937413" w:rsidP="00937413">
      <w:pPr>
        <w:pStyle w:val="StandardWeb"/>
      </w:pPr>
      <w:r>
        <w:t>Die binäre Stabilitätsklasse und der quantitative Robustheitsvektor erfüllen unterschiedliche Funktionen.</w:t>
      </w:r>
    </w:p>
    <w:p w:rsidR="00937413" w:rsidRDefault="00937413" w:rsidP="00937413">
      <w:pPr>
        <w:pStyle w:val="StandardWeb"/>
      </w:pPr>
      <w:r>
        <w:t>Die binäre Struktur beantwortet:</w:t>
      </w:r>
    </w:p>
    <w:p w:rsidR="00937413" w:rsidRDefault="00937413" w:rsidP="00937413">
      <w:pPr>
        <w:pStyle w:val="StandardWeb"/>
      </w:pPr>
      <w:r>
        <w:rPr>
          <w:rStyle w:val="Fett"/>
        </w:rPr>
        <w:t>Ist die Mindestanforderung erfüllt?</w:t>
      </w:r>
    </w:p>
    <w:p w:rsidR="00937413" w:rsidRDefault="00937413" w:rsidP="00937413">
      <w:pPr>
        <w:pStyle w:val="StandardWeb"/>
      </w:pPr>
      <w:r>
        <w:t>Der quantitative Vektor beantwortet:</w:t>
      </w:r>
    </w:p>
    <w:p w:rsidR="00937413" w:rsidRDefault="00937413" w:rsidP="00937413">
      <w:pPr>
        <w:pStyle w:val="StandardWeb"/>
      </w:pPr>
      <w:r>
        <w:rPr>
          <w:rStyle w:val="Fett"/>
        </w:rPr>
        <w:lastRenderedPageBreak/>
        <w:t>Wie stark ist die jeweilige Stabilitätsdimension ausgeprägt?</w:t>
      </w:r>
    </w:p>
    <w:p w:rsidR="00937413" w:rsidRDefault="00E50336" w:rsidP="00937413">
      <w:r>
        <w:pict>
          <v:rect id="_x0000_i1575" style="width:0;height:1.5pt" o:hralign="center" o:hrstd="t" o:hr="t" fillcolor="#a0a0a0" stroked="f"/>
        </w:pict>
      </w:r>
    </w:p>
    <w:p w:rsidR="00937413" w:rsidRDefault="00937413" w:rsidP="00937413">
      <w:pPr>
        <w:pStyle w:val="berschrift2"/>
      </w:pPr>
      <w:r>
        <w:t>3.3.41.18 Definition der erweiterten funktionalen Stabilitätsklasse</w:t>
      </w:r>
    </w:p>
    <w:p w:rsidR="00937413" w:rsidRDefault="00937413" w:rsidP="00937413">
      <w:pPr>
        <w:pStyle w:val="StandardWeb"/>
      </w:pPr>
      <w:r>
        <w:rPr>
          <w:rStyle w:val="Fett"/>
        </w:rPr>
        <w:t>Definition 3.3.33 – Erweiterte funktionale Stabilitätsklasse</w:t>
      </w:r>
    </w:p>
    <w:p w:rsidR="00937413" w:rsidRDefault="00937413" w:rsidP="00937413">
      <w:pPr>
        <w:pStyle w:val="StandardWeb"/>
      </w:pPr>
      <w:r>
        <w:t>Ich definiere die erweiterte funktionale Stabilitätsklasse einer wissenschaftlichen Aussage (A_F) als das Tupel</w:t>
      </w:r>
    </w:p>
    <w:p w:rsidR="00937413" w:rsidRDefault="00937413" w:rsidP="00937413">
      <w:pPr>
        <w:pStyle w:val="berschrift1"/>
      </w:pPr>
      <w:r>
        <w:t>[</w:t>
      </w:r>
      <w:r>
        <w:br/>
        <w:t>\mathfrak{S}_{F}</w:t>
      </w:r>
      <w:r>
        <w:br/>
        <w:t>\left(</w:t>
      </w:r>
      <w:r>
        <w:br/>
        <w:t>A_F</w:t>
      </w:r>
      <w:r>
        <w:br/>
        <w:t>\right)</w:t>
      </w:r>
    </w:p>
    <w:p w:rsidR="00937413" w:rsidRDefault="00937413" w:rsidP="00937413">
      <w:pPr>
        <w:pStyle w:val="StandardWeb"/>
      </w:pPr>
      <w:r>
        <w:t>\left(</w:t>
      </w:r>
      <w:r>
        <w:br/>
        <w:t>\mathcal{K}</w:t>
      </w:r>
      <w:r>
        <w:rPr>
          <w:rStyle w:val="Hervorhebung"/>
        </w:rPr>
        <w:t>{S},</w:t>
      </w:r>
      <w:r>
        <w:rPr>
          <w:i/>
          <w:iCs/>
        </w:rPr>
        <w:br/>
      </w:r>
      <w:r>
        <w:rPr>
          <w:rStyle w:val="Hervorhebung"/>
        </w:rPr>
        <w:t>\mathbf{R}</w:t>
      </w:r>
      <w:r>
        <w:t>{S},</w:t>
      </w:r>
      <w:r>
        <w:br/>
        <w:t>\boldsymbol{\tau}</w:t>
      </w:r>
      <w:r>
        <w:rPr>
          <w:rStyle w:val="Hervorhebung"/>
        </w:rPr>
        <w:t>{S},</w:t>
      </w:r>
      <w:r>
        <w:rPr>
          <w:i/>
          <w:iCs/>
        </w:rPr>
        <w:br/>
      </w:r>
      <w:r>
        <w:rPr>
          <w:rStyle w:val="Hervorhebung"/>
        </w:rPr>
        <w:t>\Omega_A,</w:t>
      </w:r>
      <w:r>
        <w:rPr>
          <w:i/>
          <w:iCs/>
        </w:rPr>
        <w:br/>
      </w:r>
      <w:r>
        <w:rPr>
          <w:rStyle w:val="Hervorhebung"/>
        </w:rPr>
        <w:t>\mathbf{U}</w:t>
      </w:r>
      <w:r>
        <w:t>{S}</w:t>
      </w:r>
      <w:r>
        <w:br/>
        <w:t>\right).</w:t>
      </w:r>
      <w:r>
        <w:br/>
        <w:t>\tag{3.7368}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\mathfrak{S}_{F}\left(A_F\right)=\left(\mathcal{K}_{S},\mathbf{R}_{S},\boldsymbol{\tau}_{S},\Omega_A,\mathbf{U}_{S}\right)\qquad\text{(3.7368)}</w:t>
      </w:r>
    </w:p>
    <w:p w:rsidR="00937413" w:rsidRDefault="00937413" w:rsidP="00937413">
      <w:pPr>
        <w:pStyle w:val="StandardWeb"/>
      </w:pPr>
      <w:r>
        <w:t>Dabei bezeichnet</w:t>
      </w:r>
    </w:p>
    <w:p w:rsidR="00937413" w:rsidRDefault="00937413" w:rsidP="00937413">
      <w:pPr>
        <w:pStyle w:val="StandardWeb"/>
      </w:pPr>
      <w:r>
        <w:t>[</w:t>
      </w:r>
      <w:r>
        <w:br/>
        <w:t>\mathcal{K}_{S}</w:t>
      </w:r>
      <w:r>
        <w:br/>
        <w:t>]</w:t>
      </w:r>
    </w:p>
    <w:p w:rsidR="00937413" w:rsidRDefault="00937413" w:rsidP="00937413">
      <w:pPr>
        <w:pStyle w:val="StandardWeb"/>
      </w:pPr>
      <w:r>
        <w:t>den binären Stabilitätsvektor,</w:t>
      </w:r>
    </w:p>
    <w:p w:rsidR="00937413" w:rsidRDefault="00937413" w:rsidP="00937413">
      <w:pPr>
        <w:pStyle w:val="StandardWeb"/>
      </w:pPr>
      <w:r>
        <w:t>[</w:t>
      </w:r>
      <w:r>
        <w:br/>
        <w:t>\mathbf{R}_{S}</w:t>
      </w:r>
      <w:r>
        <w:br/>
        <w:t>]</w:t>
      </w:r>
    </w:p>
    <w:p w:rsidR="00937413" w:rsidRDefault="00937413" w:rsidP="00937413">
      <w:pPr>
        <w:pStyle w:val="StandardWeb"/>
      </w:pPr>
      <w:r>
        <w:t>die quantitativen Stabilitätsgrade,</w:t>
      </w:r>
    </w:p>
    <w:p w:rsidR="00937413" w:rsidRDefault="00937413" w:rsidP="00937413">
      <w:pPr>
        <w:pStyle w:val="berschrift1"/>
      </w:pPr>
      <w:r>
        <w:lastRenderedPageBreak/>
        <w:t>[</w:t>
      </w:r>
      <w:r>
        <w:br/>
        <w:t>\boldsymbol{\tau}_{S}</w:t>
      </w:r>
    </w:p>
    <w:p w:rsidR="00937413" w:rsidRDefault="00937413" w:rsidP="00937413">
      <w:pPr>
        <w:pStyle w:val="StandardWeb"/>
      </w:pPr>
      <w:r>
        <w:t>\left(</w:t>
      </w:r>
      <w:r>
        <w:br/>
        <w:t>\tau_L,</w:t>
      </w:r>
      <w:r>
        <w:br/>
        <w:t>\tau_G,</w:t>
      </w:r>
      <w:r>
        <w:br/>
        <w:t>\tau_P,</w:t>
      </w:r>
      <w:r>
        <w:br/>
        <w:t>\tau_R,</w:t>
      </w:r>
      <w:r>
        <w:br/>
        <w:t>\tau_O,</w:t>
      </w:r>
      <w:r>
        <w:br/>
        <w:t>\tau_M,</w:t>
      </w:r>
      <w:r>
        <w:br/>
        <w:t>\tau_N,</w:t>
      </w:r>
      <w:r>
        <w:br/>
        <w:t>\tau_T</w:t>
      </w:r>
      <w:r>
        <w:br/>
        <w:t>\right)</w:t>
      </w:r>
      <w:r>
        <w:br/>
        <w:t>\tag{3.7369}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\boldsymbol{\tau}_{S}=\left(\tau_L,\tau_G,\tau_P,\tau_R,\tau_O,\tau_M,\tau_N,\tau_T\right)\qquad\text{(3.7369)}</w:t>
      </w:r>
    </w:p>
    <w:p w:rsidR="00937413" w:rsidRDefault="00937413" w:rsidP="00937413">
      <w:pPr>
        <w:pStyle w:val="StandardWeb"/>
      </w:pPr>
      <w:r>
        <w:t>die vorab begründeten Mindestschwellen,</w:t>
      </w:r>
    </w:p>
    <w:p w:rsidR="00937413" w:rsidRDefault="00937413" w:rsidP="00937413">
      <w:pPr>
        <w:pStyle w:val="StandardWeb"/>
      </w:pPr>
      <w:r>
        <w:t>[</w:t>
      </w:r>
      <w:r>
        <w:br/>
        <w:t>\Omega_A</w:t>
      </w:r>
      <w:r>
        <w:br/>
        <w:t>]</w:t>
      </w:r>
    </w:p>
    <w:p w:rsidR="00937413" w:rsidRDefault="00937413" w:rsidP="00937413">
      <w:pPr>
        <w:pStyle w:val="StandardWeb"/>
      </w:pPr>
      <w:r>
        <w:t>die Gültigkeitsregion der Aussage und</w:t>
      </w:r>
    </w:p>
    <w:p w:rsidR="00937413" w:rsidRDefault="00937413" w:rsidP="00937413">
      <w:pPr>
        <w:pStyle w:val="StandardWeb"/>
      </w:pPr>
      <w:r>
        <w:t>[</w:t>
      </w:r>
      <w:r>
        <w:br/>
        <w:t>\mathbf{U}_{S}</w:t>
      </w:r>
      <w:r>
        <w:br/>
        <w:t>]</w:t>
      </w:r>
    </w:p>
    <w:p w:rsidR="00937413" w:rsidRDefault="00937413" w:rsidP="00937413">
      <w:pPr>
        <w:pStyle w:val="StandardWeb"/>
      </w:pPr>
      <w:r>
        <w:t>die Unsicherheitsstruktur der Stabilitätsbewertung.</w:t>
      </w:r>
    </w:p>
    <w:p w:rsidR="00937413" w:rsidRDefault="00E50336" w:rsidP="00937413">
      <w:r>
        <w:pict>
          <v:rect id="_x0000_i1576" style="width:0;height:1.5pt" o:hralign="center" o:hrstd="t" o:hr="t" fillcolor="#a0a0a0" stroked="f"/>
        </w:pict>
      </w:r>
    </w:p>
    <w:p w:rsidR="00937413" w:rsidRDefault="00937413" w:rsidP="00937413">
      <w:pPr>
        <w:pStyle w:val="berschrift2"/>
      </w:pPr>
      <w:r>
        <w:t>3.3.41.19 Stabilitätsunsicherheit</w:t>
      </w:r>
    </w:p>
    <w:p w:rsidR="00937413" w:rsidRDefault="00937413" w:rsidP="00937413">
      <w:pPr>
        <w:pStyle w:val="StandardWeb"/>
      </w:pPr>
      <w:r>
        <w:t>Auch die Stabilitätsklassifikation selbst ist nicht notwendigerweise exakt.</w:t>
      </w:r>
    </w:p>
    <w:p w:rsidR="00937413" w:rsidRDefault="00937413" w:rsidP="00937413">
      <w:pPr>
        <w:pStyle w:val="StandardWeb"/>
      </w:pPr>
      <w:r>
        <w:t>Ich definiere</w:t>
      </w:r>
    </w:p>
    <w:p w:rsidR="00937413" w:rsidRDefault="00937413" w:rsidP="00937413">
      <w:pPr>
        <w:pStyle w:val="berschrift1"/>
      </w:pPr>
      <w:r>
        <w:t>[</w:t>
      </w:r>
      <w:r>
        <w:br/>
        <w:t>\mathbf{U}_{S}</w:t>
      </w:r>
    </w:p>
    <w:p w:rsidR="00937413" w:rsidRDefault="00937413" w:rsidP="00937413">
      <w:pPr>
        <w:pStyle w:val="StandardWeb"/>
      </w:pPr>
      <w:r>
        <w:t>\left(</w:t>
      </w:r>
      <w:r>
        <w:br/>
        <w:t>u_{R_L},</w:t>
      </w:r>
      <w:r>
        <w:br/>
      </w:r>
      <w:r>
        <w:lastRenderedPageBreak/>
        <w:t>u_{R_G},</w:t>
      </w:r>
      <w:r>
        <w:br/>
        <w:t>u_{R_P},</w:t>
      </w:r>
      <w:r>
        <w:br/>
        <w:t>u_{R_R},</w:t>
      </w:r>
      <w:r>
        <w:br/>
        <w:t>u_{R_O},</w:t>
      </w:r>
      <w:r>
        <w:br/>
        <w:t>u_{R_M},</w:t>
      </w:r>
      <w:r>
        <w:br/>
        <w:t>u_{R_N},</w:t>
      </w:r>
      <w:r>
        <w:br/>
        <w:t>u_{R_T}</w:t>
      </w:r>
      <w:r>
        <w:br/>
        <w:t>\right).</w:t>
      </w:r>
      <w:r>
        <w:br/>
        <w:t>\tag{3.7370}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\mathbf{U}_{S}=\left(u_{R_L},u_{R_G},u_{R_P},u_{R_R},u_{R_O},u_{R_M},u_{R_N},u_{R_T}\right)\qquad\text{(3.7370)}</w:t>
      </w:r>
    </w:p>
    <w:p w:rsidR="00937413" w:rsidRDefault="00937413" w:rsidP="00937413">
      <w:pPr>
        <w:pStyle w:val="StandardWeb"/>
      </w:pPr>
      <w:r>
        <w:t>Damit kann beispielsweise eine scheinbare Überschreitung eines Schwellenwertes relativiert werden, wenn die Unsicherheit der Robustheitsschätzung groß ist.</w:t>
      </w:r>
    </w:p>
    <w:p w:rsidR="00937413" w:rsidRDefault="00E50336" w:rsidP="00937413">
      <w:r>
        <w:pict>
          <v:rect id="_x0000_i1577" style="width:0;height:1.5pt" o:hralign="center" o:hrstd="t" o:hr="t" fillcolor="#a0a0a0" stroked="f"/>
        </w:pict>
      </w:r>
    </w:p>
    <w:p w:rsidR="00937413" w:rsidRDefault="00937413" w:rsidP="00937413">
      <w:pPr>
        <w:pStyle w:val="berschrift2"/>
      </w:pPr>
      <w:r>
        <w:t>3.3.41.20 Stabile Schwellenüberschreitung</w:t>
      </w:r>
    </w:p>
    <w:p w:rsidR="00937413" w:rsidRDefault="00937413" w:rsidP="00937413">
      <w:pPr>
        <w:pStyle w:val="StandardWeb"/>
      </w:pPr>
      <w:r>
        <w:t>Eine konservative Bedingung lautet</w:t>
      </w:r>
    </w:p>
    <w:p w:rsidR="00937413" w:rsidRDefault="00937413" w:rsidP="00937413">
      <w:pPr>
        <w:pStyle w:val="berschrift2"/>
      </w:pPr>
      <w:r>
        <w:t>[</w:t>
      </w:r>
      <w:r>
        <w:br/>
        <w:t>R_i</w:t>
      </w:r>
    </w:p>
    <w:p w:rsidR="00937413" w:rsidRDefault="00937413" w:rsidP="00937413">
      <w:pPr>
        <w:pStyle w:val="StandardWeb"/>
      </w:pPr>
      <w:r>
        <w:t>u_{R_i}</w:t>
      </w:r>
      <w:r>
        <w:br/>
        <w:t>\geq</w:t>
      </w:r>
      <w:r>
        <w:br/>
        <w:t>\tau_i.</w:t>
      </w:r>
      <w:r>
        <w:br/>
        <w:t>\tag{3.7371}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R_i-u_{R_i}\geq\tau_i\qquad\text{(3.7371)}</w:t>
      </w:r>
    </w:p>
    <w:p w:rsidR="00937413" w:rsidRDefault="00937413" w:rsidP="00937413">
      <w:pPr>
        <w:pStyle w:val="StandardWeb"/>
      </w:pPr>
      <w:r>
        <w:t>Dann liegt selbst die untere Unsicherheitsgrenze oberhalb der geforderten Stabilitätsschwelle.</w:t>
      </w:r>
    </w:p>
    <w:p w:rsidR="00937413" w:rsidRDefault="00E50336" w:rsidP="00937413">
      <w:r>
        <w:pict>
          <v:rect id="_x0000_i1578" style="width:0;height:1.5pt" o:hralign="center" o:hrstd="t" o:hr="t" fillcolor="#a0a0a0" stroked="f"/>
        </w:pict>
      </w:r>
    </w:p>
    <w:p w:rsidR="00937413" w:rsidRDefault="00937413" w:rsidP="00937413">
      <w:pPr>
        <w:pStyle w:val="berschrift2"/>
      </w:pPr>
      <w:r>
        <w:t>3.3.41.21 Unsichere Stabilitätsklassifikation</w:t>
      </w:r>
    </w:p>
    <w:p w:rsidR="00937413" w:rsidRDefault="00937413" w:rsidP="00937413">
      <w:pPr>
        <w:pStyle w:val="StandardWeb"/>
      </w:pPr>
      <w:r>
        <w:t>Liegt dagegen</w:t>
      </w:r>
    </w:p>
    <w:p w:rsidR="00937413" w:rsidRDefault="00937413" w:rsidP="00937413">
      <w:pPr>
        <w:pStyle w:val="berschrift2"/>
      </w:pPr>
      <w:r>
        <w:t>[</w:t>
      </w:r>
      <w:r>
        <w:br/>
        <w:t>R_i</w:t>
      </w:r>
    </w:p>
    <w:p w:rsidR="00937413" w:rsidRDefault="00937413" w:rsidP="00937413">
      <w:pPr>
        <w:pStyle w:val="StandardWeb"/>
      </w:pPr>
      <w:r>
        <w:lastRenderedPageBreak/>
        <w:t>u_{R_i}</w:t>
      </w:r>
      <w:r>
        <w:br/>
        <w:t>&lt;</w:t>
      </w:r>
      <w:r>
        <w:br/>
        <w:t>\tau_i</w:t>
      </w:r>
      <w:r>
        <w:br/>
        <w:t>&lt;</w:t>
      </w:r>
      <w:r>
        <w:br/>
        <w:t>R_i</w:t>
      </w:r>
      <w:r>
        <w:br/>
        <w:t>+</w:t>
      </w:r>
      <w:r>
        <w:br/>
        <w:t>u_{R_i},</w:t>
      </w:r>
      <w:r>
        <w:br/>
        <w:t>\tag{3.7372}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R_i-u_{R_i}&lt;\tau_i&lt;R_i+u_{R_i}\qquad\text{(3.7372)}</w:t>
      </w:r>
    </w:p>
    <w:p w:rsidR="00937413" w:rsidRDefault="00937413" w:rsidP="00937413">
      <w:pPr>
        <w:pStyle w:val="StandardWeb"/>
      </w:pPr>
      <w:r>
        <w:t>ist die Klassifikation bezüglich dieser Stabilitätsdimension unsicher.</w:t>
      </w:r>
    </w:p>
    <w:p w:rsidR="00937413" w:rsidRDefault="00937413" w:rsidP="00937413">
      <w:pPr>
        <w:pStyle w:val="StandardWeb"/>
      </w:pPr>
      <w:r>
        <w:t>Ich kennzeichne diesen Zustand mit</w:t>
      </w:r>
    </w:p>
    <w:p w:rsidR="00937413" w:rsidRDefault="00937413" w:rsidP="00937413">
      <w:pPr>
        <w:pStyle w:val="berschrift1"/>
      </w:pPr>
      <w:r>
        <w:t>[</w:t>
      </w:r>
      <w:r>
        <w:br/>
        <w:t>S_i</w:t>
      </w:r>
    </w:p>
    <w:p w:rsidR="00937413" w:rsidRDefault="00937413" w:rsidP="00937413">
      <w:pPr>
        <w:pStyle w:val="StandardWeb"/>
      </w:pPr>
      <w:r>
        <w:t>\mathbf{unklar}.</w:t>
      </w:r>
      <w:r>
        <w:br/>
        <w:t>\tag{3.7373}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S_i=\mathbf{unklar}\qquad\text{(3.7373)}</w:t>
      </w:r>
    </w:p>
    <w:p w:rsidR="00937413" w:rsidRDefault="00937413" w:rsidP="00937413">
      <w:pPr>
        <w:pStyle w:val="StandardWeb"/>
      </w:pPr>
      <w:r>
        <w:t>Damit wird die bisher binäre Logik um einen wissenschaftlich wichtigen Zwischenstatus ergänzt.</w:t>
      </w:r>
    </w:p>
    <w:p w:rsidR="00937413" w:rsidRDefault="00E50336" w:rsidP="00937413">
      <w:r>
        <w:pict>
          <v:rect id="_x0000_i1579" style="width:0;height:1.5pt" o:hralign="center" o:hrstd="t" o:hr="t" fillcolor="#a0a0a0" stroked="f"/>
        </w:pict>
      </w:r>
    </w:p>
    <w:p w:rsidR="00937413" w:rsidRDefault="00937413" w:rsidP="00937413">
      <w:pPr>
        <w:pStyle w:val="berschrift2"/>
      </w:pPr>
      <w:r>
        <w:t>3.3.41.22 Dreistufige Stabilitätslogik</w:t>
      </w:r>
    </w:p>
    <w:p w:rsidR="00937413" w:rsidRDefault="00937413" w:rsidP="00937413">
      <w:pPr>
        <w:pStyle w:val="StandardWeb"/>
      </w:pPr>
      <w:r>
        <w:t>Für jede Stabilitätsdimension verwende ich damit künftig</w:t>
      </w:r>
    </w:p>
    <w:p w:rsidR="00937413" w:rsidRDefault="00937413" w:rsidP="00937413">
      <w:pPr>
        <w:pStyle w:val="StandardWeb"/>
      </w:pPr>
      <w:r>
        <w:t>[</w:t>
      </w:r>
      <w:r>
        <w:br/>
        <w:t>S_i</w:t>
      </w:r>
      <w:r>
        <w:br/>
        <w:t>\in</w:t>
      </w:r>
      <w:r>
        <w:br/>
        <w:t>\left{</w:t>
      </w:r>
      <w:r>
        <w:br/>
        <w:t>0,</w:t>
      </w:r>
      <w:r>
        <w:br/>
        <w:t>\mathbf{unklar},</w:t>
      </w:r>
      <w:r>
        <w:br/>
        <w:t>1</w:t>
      </w:r>
      <w:r>
        <w:br/>
        <w:t>\right}.</w:t>
      </w:r>
      <w:r>
        <w:br/>
        <w:t>\tag{3.7374}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lastRenderedPageBreak/>
        <w:t>S_i\in\left\{0,\mathbf{unklar},1\right\}\qquad\text{(3.7374)}</w:t>
      </w:r>
    </w:p>
    <w:p w:rsidR="00937413" w:rsidRDefault="00937413" w:rsidP="00937413">
      <w:pPr>
        <w:pStyle w:val="StandardWeb"/>
      </w:pPr>
      <w:r>
        <w:t>Dabei bedeutet</w:t>
      </w:r>
    </w:p>
    <w:p w:rsidR="00937413" w:rsidRDefault="00937413" w:rsidP="00937413">
      <w:pPr>
        <w:pStyle w:val="StandardWeb"/>
      </w:pPr>
      <w:r>
        <w:t>[</w:t>
      </w:r>
      <w:r>
        <w:br/>
        <w:t>S_i=0</w:t>
      </w:r>
      <w:r>
        <w:br/>
        <w:t>]</w:t>
      </w:r>
    </w:p>
    <w:p w:rsidR="00937413" w:rsidRDefault="00937413" w:rsidP="00937413">
      <w:pPr>
        <w:pStyle w:val="StandardWeb"/>
      </w:pPr>
      <w:r>
        <w:t>nicht erfüllt,</w:t>
      </w:r>
    </w:p>
    <w:p w:rsidR="00937413" w:rsidRDefault="00937413" w:rsidP="00937413">
      <w:pPr>
        <w:pStyle w:val="StandardWeb"/>
      </w:pPr>
      <w:r>
        <w:t>[</w:t>
      </w:r>
      <w:r>
        <w:br/>
        <w:t>S_i=\mathbf{unklar}</w:t>
      </w:r>
      <w:r>
        <w:br/>
        <w:t>]</w:t>
      </w:r>
    </w:p>
    <w:p w:rsidR="00937413" w:rsidRDefault="00937413" w:rsidP="00937413">
      <w:pPr>
        <w:pStyle w:val="StandardWeb"/>
      </w:pPr>
      <w:r>
        <w:t>nicht hinreichend entscheidbar und</w:t>
      </w:r>
    </w:p>
    <w:p w:rsidR="00937413" w:rsidRDefault="00937413" w:rsidP="00937413">
      <w:pPr>
        <w:pStyle w:val="StandardWeb"/>
      </w:pPr>
      <w:r>
        <w:t>[</w:t>
      </w:r>
      <w:r>
        <w:br/>
        <w:t>S_i=1</w:t>
      </w:r>
      <w:r>
        <w:br/>
        <w:t>]</w:t>
      </w:r>
    </w:p>
    <w:p w:rsidR="00937413" w:rsidRDefault="00937413" w:rsidP="00937413">
      <w:pPr>
        <w:pStyle w:val="StandardWeb"/>
      </w:pPr>
      <w:r>
        <w:t>erfüllt.</w:t>
      </w:r>
    </w:p>
    <w:p w:rsidR="00937413" w:rsidRDefault="00937413" w:rsidP="00937413">
      <w:pPr>
        <w:pStyle w:val="StandardWeb"/>
      </w:pPr>
      <w:r>
        <w:t>Diese dreistufige Struktur verhindert, dass fehlende Evidenz automatisch als Instabilität interpretiert wird.</w:t>
      </w:r>
    </w:p>
    <w:p w:rsidR="00937413" w:rsidRDefault="00E50336" w:rsidP="00937413">
      <w:r>
        <w:pict>
          <v:rect id="_x0000_i1580" style="width:0;height:1.5pt" o:hralign="center" o:hrstd="t" o:hr="t" fillcolor="#a0a0a0" stroked="f"/>
        </w:pict>
      </w:r>
    </w:p>
    <w:p w:rsidR="00937413" w:rsidRDefault="00937413" w:rsidP="00937413">
      <w:pPr>
        <w:pStyle w:val="berschrift2"/>
      </w:pPr>
      <w:r>
        <w:t>3.3.41.23 Unbekannt ist nicht instabil</w:t>
      </w:r>
    </w:p>
    <w:p w:rsidR="00937413" w:rsidRDefault="00937413" w:rsidP="00937413">
      <w:pPr>
        <w:pStyle w:val="StandardWeb"/>
      </w:pPr>
      <w:r>
        <w:t>Ich formuliere ausdrücklich</w:t>
      </w:r>
    </w:p>
    <w:p w:rsidR="00937413" w:rsidRDefault="00937413" w:rsidP="00937413">
      <w:pPr>
        <w:pStyle w:val="StandardWeb"/>
      </w:pPr>
      <w:r>
        <w:t>[</w:t>
      </w:r>
      <w:r>
        <w:br/>
        <w:t>\mathbf{unbekannt}</w:t>
      </w:r>
      <w:r>
        <w:br/>
        <w:t>\neq</w:t>
      </w:r>
      <w:r>
        <w:br/>
        <w:t>\mathbf{instabil}.</w:t>
      </w:r>
      <w:r>
        <w:br/>
        <w:t>\tag{3.7375}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\mathbf{unbekannt}\neq\mathbf{instabil}\qquad\text{(3.7375)}</w:t>
      </w:r>
    </w:p>
    <w:p w:rsidR="00937413" w:rsidRDefault="00937413" w:rsidP="00937413">
      <w:pPr>
        <w:pStyle w:val="StandardWeb"/>
      </w:pPr>
      <w:r>
        <w:t>Ebenso gilt</w:t>
      </w:r>
    </w:p>
    <w:p w:rsidR="00937413" w:rsidRDefault="00937413" w:rsidP="00937413">
      <w:pPr>
        <w:pStyle w:val="StandardWeb"/>
      </w:pPr>
      <w:r>
        <w:t>[</w:t>
      </w:r>
      <w:r>
        <w:br/>
        <w:t>\mathbf{nicht\ geprüft}</w:t>
      </w:r>
      <w:r>
        <w:br/>
        <w:t>\neq</w:t>
      </w:r>
      <w:r>
        <w:br/>
        <w:t>\mathbf{stabil}.</w:t>
      </w:r>
      <w:r>
        <w:br/>
        <w:t>\tag{3.7376}</w:t>
      </w:r>
      <w:r>
        <w:br/>
        <w:t>]</w:t>
      </w:r>
    </w:p>
    <w:p w:rsidR="00937413" w:rsidRDefault="00937413" w:rsidP="00937413">
      <w:pPr>
        <w:pStyle w:val="StandardWeb"/>
      </w:pPr>
      <w:r>
        <w:rPr>
          <w:rStyle w:val="Fett"/>
        </w:rPr>
        <w:lastRenderedPageBreak/>
        <w:t>Word-LaTeX</w:t>
      </w:r>
    </w:p>
    <w:p w:rsidR="00937413" w:rsidRDefault="00937413" w:rsidP="00937413">
      <w:pPr>
        <w:pStyle w:val="HTMLVorformatiert"/>
        <w:rPr>
          <w:rStyle w:val="HTMLCode"/>
        </w:rPr>
      </w:pPr>
      <w:r>
        <w:rPr>
          <w:rStyle w:val="HTMLCode"/>
        </w:rPr>
        <w:t>\mathbf{nicht\ geprüft}\neq\mathbf{stabil}\qquad\text{(3.7376)}</w:t>
      </w:r>
    </w:p>
    <w:p w:rsidR="00937413" w:rsidRDefault="00937413" w:rsidP="00937413">
      <w:pPr>
        <w:pStyle w:val="StandardWeb"/>
      </w:pPr>
      <w:r>
        <w:t>Diese beiden Regeln sind methodologisch besonders wichtig.</w:t>
      </w:r>
    </w:p>
    <w:p w:rsidR="00937413" w:rsidRDefault="00E50336" w:rsidP="00937413">
      <w:r>
        <w:pict>
          <v:rect id="_x0000_i1581" style="width:0;height:1.5pt" o:hralign="center" o:hrstd="t" o:hr="t" fillcolor="#a0a0a0" stroked="f"/>
        </w:pict>
      </w:r>
    </w:p>
    <w:p w:rsidR="00937413" w:rsidRDefault="00937413" w:rsidP="00937413">
      <w:pPr>
        <w:pStyle w:val="berschrift2"/>
      </w:pPr>
      <w:r>
        <w:t>3.3.41.24 Stabilitätsprofil</w:t>
      </w:r>
    </w:p>
    <w:p w:rsidR="00937413" w:rsidRDefault="00937413" w:rsidP="00937413">
      <w:pPr>
        <w:pStyle w:val="StandardWeb"/>
      </w:pPr>
      <w:r>
        <w:t>Zur kompakten Darstellung definiere ich ein Stabilitätsprofil</w:t>
      </w:r>
    </w:p>
    <w:p w:rsidR="00937413" w:rsidRDefault="00937413" w:rsidP="00937413">
      <w:pPr>
        <w:pStyle w:val="berschrift1"/>
      </w:pPr>
      <w:r>
        <w:t>[</w:t>
      </w:r>
      <w:r>
        <w:br/>
        <w:t>\mathcal{P}_S</w:t>
      </w:r>
    </w:p>
    <w:p w:rsidR="00937413" w:rsidRDefault="00937413" w:rsidP="00937413">
      <w:pPr>
        <w:pStyle w:val="StandardWeb"/>
      </w:pPr>
      <w:r>
        <w:t>\left[</w:t>
      </w:r>
      <w:r>
        <w:br/>
        <w:t>S_L,</w:t>
      </w:r>
      <w:r>
        <w:br/>
        <w:t>S_G,</w:t>
      </w:r>
      <w:r>
        <w:br/>
        <w:t>S_P,</w:t>
      </w:r>
      <w:r>
        <w:br/>
        <w:t>S_R,</w:t>
      </w:r>
      <w:r>
        <w:br/>
        <w:t>S_O,</w:t>
      </w:r>
      <w:r>
        <w:br/>
        <w:t>S_M,</w:t>
      </w:r>
      <w:r>
        <w:br/>
        <w:t>S_N,</w:t>
      </w:r>
      <w:r>
        <w:br/>
        <w:t>S_T</w:t>
      </w:r>
      <w:r>
        <w:br/>
        <w:t>\right].</w:t>
      </w:r>
      <w:r>
        <w:br/>
        <w:t>\tag{3.7377}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\mathcal{P}_S=\left[S_L,S_G,S_P,S_R,S_O,S_M,S_N,S_T\right]\qquad\text{(3.7377)}</w:t>
      </w:r>
    </w:p>
    <w:p w:rsidR="00937413" w:rsidRDefault="00937413" w:rsidP="00937413">
      <w:pPr>
        <w:pStyle w:val="StandardWeb"/>
      </w:pPr>
      <w:r>
        <w:t>Beispielsweise könnte ein hypothetisches Profil lauten</w:t>
      </w:r>
    </w:p>
    <w:p w:rsidR="00937413" w:rsidRDefault="00937413" w:rsidP="00937413">
      <w:pPr>
        <w:pStyle w:val="berschrift1"/>
      </w:pPr>
      <w:r>
        <w:t>[</w:t>
      </w:r>
      <w:r>
        <w:br/>
        <w:t>\mathcal{P}_S</w:t>
      </w:r>
    </w:p>
    <w:p w:rsidR="00937413" w:rsidRDefault="00937413" w:rsidP="00937413">
      <w:pPr>
        <w:pStyle w:val="StandardWeb"/>
      </w:pPr>
      <w:r>
        <w:t>\left[</w:t>
      </w:r>
      <w:r>
        <w:br/>
        <w:t>1,</w:t>
      </w:r>
      <w:r>
        <w:br/>
        <w:t>0,</w:t>
      </w:r>
      <w:r>
        <w:br/>
        <w:t>1,</w:t>
      </w:r>
      <w:r>
        <w:br/>
        <w:t>1,</w:t>
      </w:r>
      <w:r>
        <w:br/>
        <w:t>1,</w:t>
      </w:r>
      <w:r>
        <w:br/>
        <w:t>0,</w:t>
      </w:r>
      <w:r>
        <w:br/>
        <w:t>1,</w:t>
      </w:r>
      <w:r>
        <w:br/>
        <w:t>\mathbf{unklar}</w:t>
      </w:r>
      <w:r>
        <w:br/>
        <w:t>\right].</w:t>
      </w:r>
      <w:r>
        <w:br/>
      </w:r>
      <w:r>
        <w:lastRenderedPageBreak/>
        <w:t>\tag{3.7378}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\mathcal{P}_S=\left[1,0,1,1,1,0,1,\mathbf{unklar}\right]\qquad\text{(3.7378)}</w:t>
      </w:r>
    </w:p>
    <w:p w:rsidR="00937413" w:rsidRDefault="00937413" w:rsidP="00937413">
      <w:pPr>
        <w:pStyle w:val="StandardWeb"/>
      </w:pPr>
      <w:r>
        <w:t>Das bedeutet beispielsweise:</w:t>
      </w:r>
    </w:p>
    <w:p w:rsidR="00937413" w:rsidRDefault="00937413" w:rsidP="00937413">
      <w:pPr>
        <w:pStyle w:val="StandardWeb"/>
      </w:pPr>
      <w:r>
        <w:t>lokal stabil, nicht global stabil, parameterstabil, reproduzierbar, operationalisierungsstabil, nicht modellstabil, numerisch stabil und zeitlich noch unklar.</w:t>
      </w:r>
    </w:p>
    <w:p w:rsidR="00937413" w:rsidRDefault="00937413" w:rsidP="00937413">
      <w:pPr>
        <w:pStyle w:val="StandardWeb"/>
      </w:pPr>
      <w:r>
        <w:t>Diese Darstellung enthält wesentlich mehr Information als die pauschale Aussage „das Ergebnis ist robust“.</w:t>
      </w:r>
    </w:p>
    <w:p w:rsidR="00937413" w:rsidRDefault="00E50336" w:rsidP="00937413">
      <w:r>
        <w:pict>
          <v:rect id="_x0000_i1582" style="width:0;height:1.5pt" o:hralign="center" o:hrstd="t" o:hr="t" fillcolor="#a0a0a0" stroked="f"/>
        </w:pict>
      </w:r>
    </w:p>
    <w:p w:rsidR="00937413" w:rsidRDefault="00937413" w:rsidP="00937413">
      <w:pPr>
        <w:pStyle w:val="berschrift2"/>
      </w:pPr>
      <w:r>
        <w:t>3.3.41.25 Dominante Instabilitätsdimension</w:t>
      </w:r>
    </w:p>
    <w:p w:rsidR="00937413" w:rsidRDefault="00937413" w:rsidP="00937413">
      <w:pPr>
        <w:pStyle w:val="StandardWeb"/>
      </w:pPr>
      <w:r>
        <w:t>Ich definiere die schwächste Stabilitätsdimension als</w:t>
      </w:r>
    </w:p>
    <w:p w:rsidR="00937413" w:rsidRDefault="00937413" w:rsidP="00937413">
      <w:pPr>
        <w:pStyle w:val="berschrift1"/>
      </w:pPr>
      <w:r>
        <w:t>[</w:t>
      </w:r>
      <w:r>
        <w:br/>
        <w:t>i^\ast</w:t>
      </w:r>
    </w:p>
    <w:p w:rsidR="00937413" w:rsidRDefault="00937413" w:rsidP="00937413">
      <w:pPr>
        <w:pStyle w:val="StandardWeb"/>
      </w:pPr>
      <w:r>
        <w:t>\arg\min_i</w:t>
      </w:r>
      <w:r>
        <w:br/>
        <w:t>R_i.</w:t>
      </w:r>
      <w:r>
        <w:br/>
        <w:t>\tag{3.7379}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i^{\ast}=\arg\min_i R_i\qquad\text{(3.7379)}</w:t>
      </w:r>
    </w:p>
    <w:p w:rsidR="00937413" w:rsidRDefault="00937413" w:rsidP="00937413">
      <w:pPr>
        <w:pStyle w:val="StandardWeb"/>
      </w:pPr>
      <w:r>
        <w:t>Der entsprechende Wert lautet</w:t>
      </w:r>
    </w:p>
    <w:p w:rsidR="00937413" w:rsidRDefault="00937413" w:rsidP="00937413">
      <w:pPr>
        <w:pStyle w:val="berschrift1"/>
      </w:pPr>
      <w:r>
        <w:t>[</w:t>
      </w:r>
      <w:r>
        <w:br/>
        <w:t>R_{\min}</w:t>
      </w:r>
    </w:p>
    <w:p w:rsidR="00937413" w:rsidRDefault="00937413" w:rsidP="00937413">
      <w:pPr>
        <w:pStyle w:val="StandardWeb"/>
      </w:pPr>
      <w:r>
        <w:t>\min_i</w:t>
      </w:r>
      <w:r>
        <w:br/>
        <w:t>R_i.</w:t>
      </w:r>
      <w:r>
        <w:br/>
        <w:t>\tag{3.7380}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R_{\min}=\min_i R_i\qquad\text{(3.7380)}</w:t>
      </w:r>
    </w:p>
    <w:p w:rsidR="00937413" w:rsidRDefault="00937413" w:rsidP="00937413">
      <w:pPr>
        <w:pStyle w:val="StandardWeb"/>
      </w:pPr>
      <w:r>
        <w:lastRenderedPageBreak/>
        <w:t>Diese Komponente kann die momentan stärkste Einschränkung der wissenschaftlichen Aussage darstellen.</w:t>
      </w:r>
    </w:p>
    <w:p w:rsidR="00937413" w:rsidRDefault="00E50336" w:rsidP="00937413">
      <w:r>
        <w:pict>
          <v:rect id="_x0000_i1583" style="width:0;height:1.5pt" o:hralign="center" o:hrstd="t" o:hr="t" fillcolor="#a0a0a0" stroked="f"/>
        </w:pict>
      </w:r>
    </w:p>
    <w:p w:rsidR="00937413" w:rsidRDefault="00937413" w:rsidP="00937413">
      <w:pPr>
        <w:pStyle w:val="berschrift2"/>
      </w:pPr>
      <w:r>
        <w:t>3.3.41.26 Minimumregel</w:t>
      </w:r>
    </w:p>
    <w:p w:rsidR="00937413" w:rsidRDefault="00937413" w:rsidP="00937413">
      <w:pPr>
        <w:pStyle w:val="StandardWeb"/>
      </w:pPr>
      <w:r>
        <w:t>Für besonders konservative wissenschaftliche Aussagen kann ich eine Minimumregel verwenden:</w:t>
      </w:r>
    </w:p>
    <w:p w:rsidR="00937413" w:rsidRDefault="00937413" w:rsidP="00937413">
      <w:pPr>
        <w:pStyle w:val="berschrift1"/>
      </w:pPr>
      <w:r>
        <w:t>[</w:t>
      </w:r>
      <w:r>
        <w:br/>
        <w:t>R_{\mathrm{stab}}</w:t>
      </w:r>
    </w:p>
    <w:p w:rsidR="00937413" w:rsidRDefault="00937413" w:rsidP="00937413">
      <w:pPr>
        <w:pStyle w:val="StandardWeb"/>
      </w:pPr>
      <w:r>
        <w:t>\min</w:t>
      </w:r>
      <w:r>
        <w:br/>
        <w:t>\left{</w:t>
      </w:r>
      <w:r>
        <w:br/>
        <w:t>R_L,</w:t>
      </w:r>
      <w:r>
        <w:br/>
        <w:t>R_G,</w:t>
      </w:r>
      <w:r>
        <w:br/>
        <w:t>R_P,</w:t>
      </w:r>
      <w:r>
        <w:br/>
        <w:t>R_R,</w:t>
      </w:r>
      <w:r>
        <w:br/>
        <w:t>R_O,</w:t>
      </w:r>
      <w:r>
        <w:br/>
        <w:t>R_M,</w:t>
      </w:r>
      <w:r>
        <w:br/>
        <w:t>R_N,</w:t>
      </w:r>
      <w:r>
        <w:br/>
        <w:t>R_T</w:t>
      </w:r>
      <w:r>
        <w:br/>
        <w:t>\right}.</w:t>
      </w:r>
      <w:r>
        <w:br/>
        <w:t>\tag{3.7381}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R_{\mathrm{stab}}=\min\left\{R_L,R_G,R_P,R_R,R_O,R_M,R_N,R_T\right\}\qquad\text{(3.7381)}</w:t>
      </w:r>
    </w:p>
    <w:p w:rsidR="00937413" w:rsidRDefault="00937413" w:rsidP="00937413">
      <w:pPr>
        <w:pStyle w:val="StandardWeb"/>
      </w:pPr>
      <w:r>
        <w:t>Diese Regel interpretiert die schwächste relevante Dimension als Begrenzung des gesamten Stabilitätsgrades.</w:t>
      </w:r>
    </w:p>
    <w:p w:rsidR="00937413" w:rsidRDefault="00937413" w:rsidP="00937413">
      <w:pPr>
        <w:pStyle w:val="StandardWeb"/>
      </w:pPr>
      <w:r>
        <w:t>Sie darf jedoch nicht automatisch auf jede Aussage angewendet werden, weil nicht jede Stabilitätsdimension für jede Aussage relevant sein muss.</w:t>
      </w:r>
    </w:p>
    <w:p w:rsidR="00937413" w:rsidRDefault="00E50336" w:rsidP="00937413">
      <w:r>
        <w:pict>
          <v:rect id="_x0000_i1584" style="width:0;height:1.5pt" o:hralign="center" o:hrstd="t" o:hr="t" fillcolor="#a0a0a0" stroked="f"/>
        </w:pict>
      </w:r>
    </w:p>
    <w:p w:rsidR="00937413" w:rsidRDefault="00937413" w:rsidP="00937413">
      <w:pPr>
        <w:pStyle w:val="berschrift2"/>
      </w:pPr>
      <w:r>
        <w:t>3.3.41.27 Aussagespezifische Minimumregel</w:t>
      </w:r>
    </w:p>
    <w:p w:rsidR="00937413" w:rsidRDefault="00937413" w:rsidP="00937413">
      <w:pPr>
        <w:pStyle w:val="StandardWeb"/>
      </w:pPr>
      <w:r>
        <w:t>Deshalb definiere ich für eine relevante Indexmenge (I_A)</w:t>
      </w:r>
    </w:p>
    <w:p w:rsidR="00937413" w:rsidRDefault="00937413" w:rsidP="00937413">
      <w:pPr>
        <w:pStyle w:val="berschrift1"/>
      </w:pPr>
      <w:r>
        <w:t>[</w:t>
      </w:r>
      <w:r>
        <w:br/>
        <w:t>R_{\mathrm{stab}}^{(A)}</w:t>
      </w:r>
    </w:p>
    <w:p w:rsidR="00937413" w:rsidRDefault="00937413" w:rsidP="00937413">
      <w:pPr>
        <w:pStyle w:val="StandardWeb"/>
      </w:pPr>
      <w:r>
        <w:lastRenderedPageBreak/>
        <w:t>\min_{i\in I_A}</w:t>
      </w:r>
      <w:r>
        <w:br/>
        <w:t>R_i.</w:t>
      </w:r>
      <w:r>
        <w:br/>
        <w:t>\tag{3.7382}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R_{\mathrm{stab}}^{(A)}=\min_{i\in I_A}R_i\qquad\text{(3.7382)}</w:t>
      </w:r>
    </w:p>
    <w:p w:rsidR="00937413" w:rsidRDefault="00937413" w:rsidP="00937413">
      <w:pPr>
        <w:pStyle w:val="StandardWeb"/>
      </w:pPr>
      <w:r>
        <w:t>Damit wird nur über die tatsächlich für die konkrete Aussage erforderlichen Stabilitätsdimensionen aggregiert.</w:t>
      </w:r>
    </w:p>
    <w:p w:rsidR="00937413" w:rsidRDefault="00E50336" w:rsidP="00937413">
      <w:r>
        <w:pict>
          <v:rect id="_x0000_i1585" style="width:0;height:1.5pt" o:hralign="center" o:hrstd="t" o:hr="t" fillcolor="#a0a0a0" stroked="f"/>
        </w:pict>
      </w:r>
    </w:p>
    <w:p w:rsidR="00937413" w:rsidRDefault="00937413" w:rsidP="00937413">
      <w:pPr>
        <w:pStyle w:val="berschrift2"/>
      </w:pPr>
      <w:r>
        <w:t>3.3.41.28 Kompensatorische Aggregation</w:t>
      </w:r>
    </w:p>
    <w:p w:rsidR="00937413" w:rsidRDefault="00937413" w:rsidP="00937413">
      <w:pPr>
        <w:pStyle w:val="StandardWeb"/>
      </w:pPr>
      <w:r>
        <w:t>Alternativ könnte eine gewichtete Aggregation verwendet werden:</w:t>
      </w:r>
    </w:p>
    <w:p w:rsidR="00937413" w:rsidRDefault="00937413" w:rsidP="00937413">
      <w:pPr>
        <w:pStyle w:val="berschrift1"/>
      </w:pPr>
      <w:r>
        <w:t>[</w:t>
      </w:r>
      <w:r>
        <w:br/>
        <w:t>R_{\mathrm{agg}}</w:t>
      </w:r>
    </w:p>
    <w:p w:rsidR="00937413" w:rsidRDefault="00937413" w:rsidP="00937413">
      <w:pPr>
        <w:pStyle w:val="StandardWeb"/>
      </w:pPr>
      <w:r>
        <w:t>\sum_{i\in I_A}</w:t>
      </w:r>
      <w:r>
        <w:br/>
        <w:t>w_i</w:t>
      </w:r>
      <w:r>
        <w:br/>
        <w:t>R_i.</w:t>
      </w:r>
      <w:r>
        <w:br/>
        <w:t>\tag{3.7383}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R_{\mathrm{agg}}=\sum_{i\in I_A}w_iR_i\qquad\text{(3.7383)}</w:t>
      </w:r>
    </w:p>
    <w:p w:rsidR="00937413" w:rsidRDefault="00937413" w:rsidP="00937413">
      <w:pPr>
        <w:pStyle w:val="StandardWeb"/>
      </w:pPr>
      <w:r>
        <w:t>mit</w:t>
      </w:r>
    </w:p>
    <w:p w:rsidR="00937413" w:rsidRDefault="00937413" w:rsidP="00937413">
      <w:pPr>
        <w:pStyle w:val="berschrift1"/>
      </w:pPr>
      <w:r>
        <w:t>[</w:t>
      </w:r>
      <w:r>
        <w:br/>
        <w:t>w_i</w:t>
      </w:r>
      <w:r>
        <w:br/>
        <w:t>\geq</w:t>
      </w:r>
      <w:r>
        <w:br/>
        <w:t>0,</w:t>
      </w:r>
      <w:r>
        <w:br/>
        <w:t>\qquad</w:t>
      </w:r>
      <w:r>
        <w:br/>
        <w:t>\sum_{i\in I_A}</w:t>
      </w:r>
      <w:r>
        <w:br/>
        <w:t>w_i</w:t>
      </w:r>
    </w:p>
    <w:p w:rsidR="00937413" w:rsidRDefault="00937413" w:rsidP="008C5E65">
      <w:pPr>
        <w:numPr>
          <w:ilvl w:val="0"/>
          <w:numId w:val="349"/>
        </w:numPr>
        <w:spacing w:before="100" w:beforeAutospacing="1" w:after="100" w:afterAutospacing="1"/>
      </w:pPr>
    </w:p>
    <w:p w:rsidR="00937413" w:rsidRDefault="00937413" w:rsidP="00937413">
      <w:pPr>
        <w:pStyle w:val="StandardWeb"/>
      </w:pPr>
      <w:r>
        <w:lastRenderedPageBreak/>
        <w:t>\tag{3.7384}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w_i\geq0,\qquad\sum_{i\in I_A}w_i=1\qquad\text{(3.7384)}</w:t>
      </w:r>
    </w:p>
    <w:p w:rsidR="00937413" w:rsidRDefault="00937413" w:rsidP="00937413">
      <w:pPr>
        <w:pStyle w:val="StandardWeb"/>
      </w:pPr>
      <w:r>
        <w:t>Diese Form erlaubt jedoch eine Kompensation schwacher Stabilitätsdimensionen durch starke andere Dimensionen.</w:t>
      </w:r>
    </w:p>
    <w:p w:rsidR="00937413" w:rsidRDefault="00937413" w:rsidP="00937413">
      <w:pPr>
        <w:pStyle w:val="StandardWeb"/>
      </w:pPr>
      <w:r>
        <w:t>Das kann wissenschaftlich problematisch sein.</w:t>
      </w:r>
    </w:p>
    <w:p w:rsidR="00937413" w:rsidRDefault="00E50336" w:rsidP="00937413">
      <w:r>
        <w:pict>
          <v:rect id="_x0000_i1586" style="width:0;height:1.5pt" o:hralign="center" o:hrstd="t" o:hr="t" fillcolor="#a0a0a0" stroked="f"/>
        </w:pict>
      </w:r>
    </w:p>
    <w:p w:rsidR="00937413" w:rsidRDefault="00937413" w:rsidP="00937413">
      <w:pPr>
        <w:pStyle w:val="berschrift2"/>
      </w:pPr>
      <w:r>
        <w:t>3.3.41.29 Nichtkompensierbare Mindestbedingungen</w:t>
      </w:r>
    </w:p>
    <w:p w:rsidR="00937413" w:rsidRDefault="00937413" w:rsidP="00937413">
      <w:pPr>
        <w:pStyle w:val="StandardWeb"/>
      </w:pPr>
      <w:r>
        <w:t>Deshalb definiere ich eine Menge zwingender Bedingungen</w:t>
      </w:r>
    </w:p>
    <w:p w:rsidR="00937413" w:rsidRDefault="00937413" w:rsidP="00937413">
      <w:pPr>
        <w:pStyle w:val="StandardWeb"/>
      </w:pPr>
      <w:r>
        <w:t>[</w:t>
      </w:r>
      <w:r>
        <w:br/>
        <w:t>I_A^{\mathrm{must}}</w:t>
      </w:r>
      <w:r>
        <w:br/>
        <w:t>\subseteq</w:t>
      </w:r>
      <w:r>
        <w:br/>
        <w:t>I_A.</w:t>
      </w:r>
      <w:r>
        <w:br/>
        <w:t>\tag{3.7385}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I_A^{\mathrm{must}}\subseteq I_A\qquad\text{(3.7385)}</w:t>
      </w:r>
    </w:p>
    <w:p w:rsidR="00937413" w:rsidRDefault="00937413" w:rsidP="00937413">
      <w:pPr>
        <w:pStyle w:val="StandardWeb"/>
      </w:pPr>
      <w:r>
        <w:t>Für diese gilt</w:t>
      </w:r>
    </w:p>
    <w:p w:rsidR="00937413" w:rsidRDefault="00937413" w:rsidP="00937413">
      <w:pPr>
        <w:pStyle w:val="StandardWeb"/>
      </w:pPr>
      <w:r>
        <w:t>[</w:t>
      </w:r>
      <w:r>
        <w:br/>
        <w:t>R_i</w:t>
      </w:r>
      <w:r>
        <w:br/>
        <w:t>\geq</w:t>
      </w:r>
      <w:r>
        <w:br/>
        <w:t>\tau_i</w:t>
      </w:r>
      <w:r>
        <w:br/>
        <w:t>\qquad</w:t>
      </w:r>
      <w:r>
        <w:br/>
        <w:t>\forall</w:t>
      </w:r>
      <w:r>
        <w:br/>
        <w:t>i</w:t>
      </w:r>
      <w:r>
        <w:br/>
        <w:t>\in</w:t>
      </w:r>
      <w:r>
        <w:br/>
        <w:t>I_A^{\mathrm{must}}.</w:t>
      </w:r>
      <w:r>
        <w:br/>
        <w:t>\tag{3.7386}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R_i\geq\tau_i\qquad\forall i\in I_A^{\mathrm{must}}\qquad\text{(3.7386)}</w:t>
      </w:r>
    </w:p>
    <w:p w:rsidR="00937413" w:rsidRDefault="00937413" w:rsidP="00937413">
      <w:pPr>
        <w:pStyle w:val="StandardWeb"/>
      </w:pPr>
      <w:r>
        <w:t>Nur die verbleibenden optionalen Dimensionen dürfen gegebenenfalls aggregiert werden.</w:t>
      </w:r>
    </w:p>
    <w:p w:rsidR="00937413" w:rsidRDefault="00E50336" w:rsidP="00937413">
      <w:r>
        <w:pict>
          <v:rect id="_x0000_i1587" style="width:0;height:1.5pt" o:hralign="center" o:hrstd="t" o:hr="t" fillcolor="#a0a0a0" stroked="f"/>
        </w:pict>
      </w:r>
    </w:p>
    <w:p w:rsidR="00937413" w:rsidRDefault="00937413" w:rsidP="00937413">
      <w:pPr>
        <w:pStyle w:val="berschrift2"/>
      </w:pPr>
      <w:r>
        <w:lastRenderedPageBreak/>
        <w:t>3.3.41.30 Stabilitätsklasse als partielle Ordnung</w:t>
      </w:r>
    </w:p>
    <w:p w:rsidR="00937413" w:rsidRDefault="00937413" w:rsidP="00937413">
      <w:pPr>
        <w:pStyle w:val="StandardWeb"/>
      </w:pPr>
      <w:r>
        <w:t>Die Stabilitätsprofile zweier Aussagen können verglichen werden.</w:t>
      </w:r>
    </w:p>
    <w:p w:rsidR="00937413" w:rsidRDefault="00937413" w:rsidP="00937413">
      <w:pPr>
        <w:pStyle w:val="StandardWeb"/>
      </w:pPr>
      <w:r>
        <w:t>Seien</w:t>
      </w:r>
    </w:p>
    <w:p w:rsidR="00937413" w:rsidRDefault="00937413" w:rsidP="00937413">
      <w:pPr>
        <w:pStyle w:val="StandardWeb"/>
      </w:pPr>
      <w:r>
        <w:t>[</w:t>
      </w:r>
      <w:r>
        <w:br/>
        <w:t>\mathbf{R}_S^{(A)}</w:t>
      </w:r>
      <w:r>
        <w:br/>
        <w:t>\quad\text{und}\quad</w:t>
      </w:r>
      <w:r>
        <w:br/>
        <w:t>\mathbf{R}_S^{(B)}.</w:t>
      </w:r>
      <w:r>
        <w:br/>
        <w:t>\tag{3.7387}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\mathbf{R}_S^{(A)}\quad\text{und}\quad\mathbf{R}_S^{(B)}\qquad\text{(3.7387)}</w:t>
      </w:r>
    </w:p>
    <w:p w:rsidR="00937413" w:rsidRDefault="00937413" w:rsidP="00937413">
      <w:pPr>
        <w:pStyle w:val="StandardWeb"/>
      </w:pPr>
      <w:r>
        <w:t>Ich definiere</w:t>
      </w:r>
    </w:p>
    <w:p w:rsidR="00937413" w:rsidRDefault="00937413" w:rsidP="00937413">
      <w:pPr>
        <w:pStyle w:val="StandardWeb"/>
      </w:pPr>
      <w:r>
        <w:t>[</w:t>
      </w:r>
      <w:r>
        <w:br/>
        <w:t>\mathbf{R}_S^{(A)}</w:t>
      </w:r>
      <w:r>
        <w:br/>
        <w:t>\succeq</w:t>
      </w:r>
      <w:r>
        <w:br/>
        <w:t>\mathbf{R}_S^{(B)}</w:t>
      </w:r>
      <w:r>
        <w:br/>
        <w:t>\tag{3.7388}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\mathbf{R}_S^{(A)}\succeq\mathbf{R}_S^{(B)}\qquad\text{(3.7388)}</w:t>
      </w:r>
    </w:p>
    <w:p w:rsidR="00937413" w:rsidRDefault="00937413" w:rsidP="00937413">
      <w:pPr>
        <w:pStyle w:val="StandardWeb"/>
      </w:pPr>
      <w:r>
        <w:t>genau dann, wenn</w:t>
      </w:r>
    </w:p>
    <w:p w:rsidR="00937413" w:rsidRDefault="00937413" w:rsidP="00937413">
      <w:pPr>
        <w:pStyle w:val="StandardWeb"/>
      </w:pPr>
      <w:r>
        <w:t>[</w:t>
      </w:r>
      <w:r>
        <w:br/>
        <w:t>R_i^{(A)}</w:t>
      </w:r>
      <w:r>
        <w:br/>
        <w:t>\geq</w:t>
      </w:r>
      <w:r>
        <w:br/>
        <w:t>R_i^{(B)}</w:t>
      </w:r>
      <w:r>
        <w:br/>
        <w:t>\qquad</w:t>
      </w:r>
      <w:r>
        <w:br/>
        <w:t>\forall</w:t>
      </w:r>
      <w:r>
        <w:br/>
        <w:t>i</w:t>
      </w:r>
      <w:r>
        <w:br/>
        <w:t>\in</w:t>
      </w:r>
      <w:r>
        <w:br/>
        <w:t>I.</w:t>
      </w:r>
      <w:r>
        <w:br/>
        <w:t>\tag{3.7389}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R_i^{(A)}\geq R_i^{(B)}\qquad\forall i\in I\qquad\text{(3.7389)}</w:t>
      </w:r>
    </w:p>
    <w:p w:rsidR="00937413" w:rsidRDefault="00937413" w:rsidP="00937413">
      <w:pPr>
        <w:pStyle w:val="StandardWeb"/>
      </w:pPr>
      <w:r>
        <w:t>Dann ist Aussage (A) in keiner betrachteten Stabilitätsdimension schwächer als Aussage (B).</w:t>
      </w:r>
    </w:p>
    <w:p w:rsidR="00937413" w:rsidRDefault="00E50336" w:rsidP="00937413">
      <w:r>
        <w:lastRenderedPageBreak/>
        <w:pict>
          <v:rect id="_x0000_i1588" style="width:0;height:1.5pt" o:hralign="center" o:hrstd="t" o:hr="t" fillcolor="#a0a0a0" stroked="f"/>
        </w:pict>
      </w:r>
    </w:p>
    <w:p w:rsidR="00937413" w:rsidRDefault="00937413" w:rsidP="00937413">
      <w:pPr>
        <w:pStyle w:val="berschrift2"/>
      </w:pPr>
      <w:r>
        <w:t>3.3.41.31 Nichtvergleichbare Stabilitätsprofile</w:t>
      </w:r>
    </w:p>
    <w:p w:rsidR="00937413" w:rsidRDefault="00937413" w:rsidP="00937413">
      <w:pPr>
        <w:pStyle w:val="StandardWeb"/>
      </w:pPr>
      <w:r>
        <w:t>Es kann jedoch gelten</w:t>
      </w:r>
    </w:p>
    <w:p w:rsidR="00937413" w:rsidRDefault="00937413" w:rsidP="00937413">
      <w:pPr>
        <w:pStyle w:val="StandardWeb"/>
      </w:pPr>
      <w:r>
        <w:t>[</w:t>
      </w:r>
      <w:r>
        <w:br/>
        <w:t>R_P^{(A)}</w:t>
      </w:r>
    </w:p>
    <w:p w:rsidR="00937413" w:rsidRDefault="00937413" w:rsidP="00937413">
      <w:pPr>
        <w:pStyle w:val="StandardWeb"/>
      </w:pPr>
      <w:r>
        <w:t>R_P^{(B)}</w:t>
      </w:r>
      <w:r>
        <w:br/>
        <w:t>\tag{3.7390}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R_P^{(A)}&gt;R_P^{(B)}\qquad\text{(3.7390)}</w:t>
      </w:r>
    </w:p>
    <w:p w:rsidR="00937413" w:rsidRDefault="00937413" w:rsidP="00937413">
      <w:pPr>
        <w:pStyle w:val="StandardWeb"/>
      </w:pPr>
      <w:r>
        <w:t>und gleichzeitig</w:t>
      </w:r>
    </w:p>
    <w:p w:rsidR="00937413" w:rsidRDefault="00937413" w:rsidP="00937413">
      <w:pPr>
        <w:pStyle w:val="StandardWeb"/>
      </w:pPr>
      <w:r>
        <w:t>[</w:t>
      </w:r>
      <w:r>
        <w:br/>
        <w:t>R_M^{(A)}</w:t>
      </w:r>
      <w:r>
        <w:br/>
        <w:t>&lt;</w:t>
      </w:r>
      <w:r>
        <w:br/>
        <w:t>R_M^{(B)}.</w:t>
      </w:r>
      <w:r>
        <w:br/>
        <w:t>\tag{3.7391}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R_M^{(A)}&lt;R_M^{(B)}\qquad\text{(3.7391)}</w:t>
      </w:r>
    </w:p>
    <w:p w:rsidR="00937413" w:rsidRDefault="00937413" w:rsidP="00937413">
      <w:pPr>
        <w:pStyle w:val="StandardWeb"/>
      </w:pPr>
      <w:r>
        <w:t>Dann kann keine allgemeine Dominanzrelation behauptet werden.</w:t>
      </w:r>
    </w:p>
    <w:p w:rsidR="00937413" w:rsidRDefault="00937413" w:rsidP="00937413">
      <w:pPr>
        <w:pStyle w:val="StandardWeb"/>
      </w:pPr>
      <w:r>
        <w:t>Ich schreibe</w:t>
      </w:r>
    </w:p>
    <w:p w:rsidR="00937413" w:rsidRDefault="00937413" w:rsidP="00937413">
      <w:pPr>
        <w:pStyle w:val="StandardWeb"/>
      </w:pPr>
      <w:r>
        <w:t>[</w:t>
      </w:r>
      <w:r>
        <w:br/>
        <w:t>\mathbf{R}_S^{(A)}</w:t>
      </w:r>
      <w:r>
        <w:br/>
        <w:t>\parallel</w:t>
      </w:r>
      <w:r>
        <w:br/>
        <w:t>\mathbf{R}_S^{(B)}.</w:t>
      </w:r>
      <w:r>
        <w:br/>
        <w:t>\tag{3.7392}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\mathbf{R}_S^{(A)}\parallel\mathbf{R}_S^{(B)}\qquad\text{(3.7392)}</w:t>
      </w:r>
    </w:p>
    <w:p w:rsidR="00937413" w:rsidRDefault="00937413" w:rsidP="00937413">
      <w:pPr>
        <w:pStyle w:val="StandardWeb"/>
      </w:pPr>
      <w:r>
        <w:t>Das Symbol (\parallel) bezeichnet hier methodisch die Nichtvergleichbarkeit der beiden Stabilitätsprofile.</w:t>
      </w:r>
    </w:p>
    <w:p w:rsidR="00937413" w:rsidRDefault="00E50336" w:rsidP="00937413">
      <w:r>
        <w:pict>
          <v:rect id="_x0000_i1589" style="width:0;height:1.5pt" o:hralign="center" o:hrstd="t" o:hr="t" fillcolor="#a0a0a0" stroked="f"/>
        </w:pict>
      </w:r>
    </w:p>
    <w:p w:rsidR="00937413" w:rsidRDefault="00937413" w:rsidP="00937413">
      <w:pPr>
        <w:pStyle w:val="berschrift2"/>
      </w:pPr>
      <w:r>
        <w:t>3.3.41.32 Pareto-Stabilität</w:t>
      </w:r>
    </w:p>
    <w:p w:rsidR="00937413" w:rsidRDefault="00937413" w:rsidP="00937413">
      <w:pPr>
        <w:pStyle w:val="StandardWeb"/>
      </w:pPr>
      <w:r>
        <w:lastRenderedPageBreak/>
        <w:t>Eine Aussage ist hinsichtlich einer Menge konkurrierender Aussagen Pareto-stabil, wenn keine andere Aussage in allen betrachteten Stabilitätsdimensionen mindestens gleich gut und in mindestens einer Dimension besser ist.</w:t>
      </w:r>
    </w:p>
    <w:p w:rsidR="00937413" w:rsidRDefault="00937413" w:rsidP="00937413">
      <w:pPr>
        <w:pStyle w:val="StandardWeb"/>
      </w:pPr>
      <w:r>
        <w:t>Ich definiere</w:t>
      </w:r>
    </w:p>
    <w:p w:rsidR="00937413" w:rsidRDefault="00937413" w:rsidP="00937413">
      <w:pPr>
        <w:pStyle w:val="StandardWeb"/>
      </w:pPr>
      <w:r>
        <w:t>[</w:t>
      </w:r>
      <w:r>
        <w:br/>
        <w:t>A_F</w:t>
      </w:r>
      <w:r>
        <w:br/>
        <w:t>\in</w:t>
      </w:r>
      <w:r>
        <w:br/>
        <w:t>\mathcal{P}_{\mathrm{Pareto}}</w:t>
      </w:r>
      <w:r>
        <w:br/>
        <w:t>\tag{3.7393}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A_F\in\mathcal{P}_{\mathrm{Pareto}}\qquad\text{(3.7393)}</w:t>
      </w:r>
    </w:p>
    <w:p w:rsidR="00937413" w:rsidRDefault="00937413" w:rsidP="00937413">
      <w:pPr>
        <w:pStyle w:val="StandardWeb"/>
      </w:pPr>
      <w:r>
        <w:t>wenn kein (A_F') existiert mit</w:t>
      </w:r>
    </w:p>
    <w:p w:rsidR="00937413" w:rsidRDefault="00937413" w:rsidP="00937413">
      <w:pPr>
        <w:pStyle w:val="StandardWeb"/>
      </w:pPr>
      <w:r>
        <w:t>[</w:t>
      </w:r>
      <w:r>
        <w:br/>
        <w:t>R_i'</w:t>
      </w:r>
      <w:r>
        <w:br/>
        <w:t>\geq</w:t>
      </w:r>
      <w:r>
        <w:br/>
        <w:t>R_i</w:t>
      </w:r>
      <w:r>
        <w:br/>
        <w:t>\qquad</w:t>
      </w:r>
      <w:r>
        <w:br/>
        <w:t>\forall i</w:t>
      </w:r>
      <w:r>
        <w:br/>
        <w:t>\tag{3.7394}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R_i^{\prime}\geq R_i\qquad\forall i\qquad\text{(3.7394)}</w:t>
      </w:r>
    </w:p>
    <w:p w:rsidR="00937413" w:rsidRDefault="00937413" w:rsidP="00937413">
      <w:pPr>
        <w:pStyle w:val="StandardWeb"/>
      </w:pPr>
      <w:r>
        <w:t>und</w:t>
      </w:r>
    </w:p>
    <w:p w:rsidR="00937413" w:rsidRDefault="00937413" w:rsidP="00937413">
      <w:pPr>
        <w:pStyle w:val="StandardWeb"/>
      </w:pPr>
      <w:r>
        <w:t>[</w:t>
      </w:r>
      <w:r>
        <w:br/>
        <w:t>\exists j:</w:t>
      </w:r>
      <w:r>
        <w:br/>
        <w:t>R_j'</w:t>
      </w:r>
    </w:p>
    <w:p w:rsidR="00937413" w:rsidRDefault="00937413" w:rsidP="00937413">
      <w:pPr>
        <w:pStyle w:val="StandardWeb"/>
      </w:pPr>
      <w:r>
        <w:t>R_j.</w:t>
      </w:r>
      <w:r>
        <w:br/>
        <w:t>\tag{3.7395}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\exists j:R_j^{\prime}&gt;R_j\qquad\text{(3.7395)}</w:t>
      </w:r>
    </w:p>
    <w:p w:rsidR="00937413" w:rsidRDefault="00E50336" w:rsidP="00937413">
      <w:r>
        <w:pict>
          <v:rect id="_x0000_i1590" style="width:0;height:1.5pt" o:hralign="center" o:hrstd="t" o:hr="t" fillcolor="#a0a0a0" stroked="f"/>
        </w:pict>
      </w:r>
    </w:p>
    <w:p w:rsidR="00937413" w:rsidRDefault="00937413" w:rsidP="00937413">
      <w:pPr>
        <w:pStyle w:val="berschrift2"/>
      </w:pPr>
      <w:r>
        <w:t>3.3.41.33 Stabilitätsfront</w:t>
      </w:r>
    </w:p>
    <w:p w:rsidR="00937413" w:rsidRDefault="00937413" w:rsidP="00937413">
      <w:pPr>
        <w:pStyle w:val="StandardWeb"/>
      </w:pPr>
      <w:r>
        <w:t>Die Menge nichtdominierter Stabilitätsprofile bezeichne ich mit</w:t>
      </w:r>
    </w:p>
    <w:p w:rsidR="00937413" w:rsidRDefault="00937413" w:rsidP="00937413">
      <w:pPr>
        <w:pStyle w:val="StandardWeb"/>
      </w:pPr>
      <w:r>
        <w:lastRenderedPageBreak/>
        <w:t>[</w:t>
      </w:r>
      <w:r>
        <w:br/>
        <w:t>\mathfrak{F}_{S}^{\mathrm{Pareto}}.</w:t>
      </w:r>
      <w:r>
        <w:br/>
        <w:t>\tag{3.7396}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\mathfrak{F}_{S}^{\mathrm{Pareto}}\qquad\text{(3.7396)}</w:t>
      </w:r>
    </w:p>
    <w:p w:rsidR="00937413" w:rsidRDefault="00937413" w:rsidP="00937413">
      <w:pPr>
        <w:pStyle w:val="StandardWeb"/>
      </w:pPr>
      <w:r>
        <w:t>Diese Darstellung ist insbesondere dann sinnvoll, wenn unterschiedliche Modellvarianten verschiedene Stärken und Schwächen besitzen.</w:t>
      </w:r>
    </w:p>
    <w:p w:rsidR="00937413" w:rsidRDefault="00E50336" w:rsidP="00937413">
      <w:r>
        <w:pict>
          <v:rect id="_x0000_i1591" style="width:0;height:1.5pt" o:hralign="center" o:hrstd="t" o:hr="t" fillcolor="#a0a0a0" stroked="f"/>
        </w:pict>
      </w:r>
    </w:p>
    <w:p w:rsidR="00937413" w:rsidRDefault="00937413" w:rsidP="00937413">
      <w:pPr>
        <w:pStyle w:val="berschrift2"/>
      </w:pPr>
      <w:r>
        <w:t>3.3.41.34 Stabilitätsverlust</w:t>
      </w:r>
    </w:p>
    <w:p w:rsidR="00937413" w:rsidRDefault="00937413" w:rsidP="00937413">
      <w:pPr>
        <w:pStyle w:val="StandardWeb"/>
      </w:pPr>
      <w:r>
        <w:t>Eine Stabilitätsdimension kann sich über Zeit, Datenrevisionen oder Modelländerungen verschlechtern.</w:t>
      </w:r>
    </w:p>
    <w:p w:rsidR="00937413" w:rsidRDefault="00937413" w:rsidP="00937413">
      <w:pPr>
        <w:pStyle w:val="StandardWeb"/>
      </w:pPr>
      <w:r>
        <w:t>Ich definiere</w:t>
      </w:r>
    </w:p>
    <w:p w:rsidR="00937413" w:rsidRDefault="00937413" w:rsidP="00937413">
      <w:pPr>
        <w:pStyle w:val="berschrift1"/>
      </w:pPr>
      <w:r>
        <w:t>[</w:t>
      </w:r>
      <w:r>
        <w:br/>
        <w:t>\Delta R_i</w:t>
      </w:r>
    </w:p>
    <w:p w:rsidR="00937413" w:rsidRDefault="00937413" w:rsidP="00937413">
      <w:pPr>
        <w:pStyle w:val="berschrift2"/>
      </w:pPr>
      <w:r>
        <w:t>R_i^{(2)}</w:t>
      </w:r>
    </w:p>
    <w:p w:rsidR="00937413" w:rsidRDefault="00937413" w:rsidP="00937413">
      <w:pPr>
        <w:pStyle w:val="StandardWeb"/>
      </w:pPr>
      <w:r>
        <w:t>R_i^{(1)}.</w:t>
      </w:r>
      <w:r>
        <w:br/>
        <w:t>\tag{3.7397}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R_i=R_i^{(2)}-R_i^{(1)}\qquad\text{(3.7397)}</w:t>
      </w:r>
    </w:p>
    <w:p w:rsidR="00937413" w:rsidRDefault="00937413" w:rsidP="00937413">
      <w:pPr>
        <w:pStyle w:val="StandardWeb"/>
      </w:pPr>
      <w:r>
        <w:t>Für</w:t>
      </w:r>
    </w:p>
    <w:p w:rsidR="00937413" w:rsidRDefault="00937413" w:rsidP="00937413">
      <w:pPr>
        <w:pStyle w:val="StandardWeb"/>
      </w:pPr>
      <w:r>
        <w:t>[</w:t>
      </w:r>
      <w:r>
        <w:br/>
        <w:t>\Delta R_i</w:t>
      </w:r>
      <w:r>
        <w:br/>
        <w:t>&lt;</w:t>
      </w:r>
      <w:r>
        <w:br/>
        <w:t>0</w:t>
      </w:r>
      <w:r>
        <w:br/>
        <w:t>\tag{3.7398}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R_i&lt;0\qquad\text{(3.7398)}</w:t>
      </w:r>
    </w:p>
    <w:p w:rsidR="00937413" w:rsidRDefault="00937413" w:rsidP="00937413">
      <w:pPr>
        <w:pStyle w:val="StandardWeb"/>
      </w:pPr>
      <w:r>
        <w:t>liegt ein Stabilitätsverlust vor.</w:t>
      </w:r>
    </w:p>
    <w:p w:rsidR="00937413" w:rsidRDefault="00E50336" w:rsidP="00937413">
      <w:r>
        <w:pict>
          <v:rect id="_x0000_i1592" style="width:0;height:1.5pt" o:hralign="center" o:hrstd="t" o:hr="t" fillcolor="#a0a0a0" stroked="f"/>
        </w:pict>
      </w:r>
    </w:p>
    <w:p w:rsidR="00937413" w:rsidRDefault="00937413" w:rsidP="00937413">
      <w:pPr>
        <w:pStyle w:val="berschrift2"/>
      </w:pPr>
      <w:r>
        <w:lastRenderedPageBreak/>
        <w:t>3.3.41.35 Stabilitätsgewinn</w:t>
      </w:r>
    </w:p>
    <w:p w:rsidR="00937413" w:rsidRDefault="00937413" w:rsidP="00937413">
      <w:pPr>
        <w:pStyle w:val="StandardWeb"/>
      </w:pPr>
      <w:r>
        <w:t>Für</w:t>
      </w:r>
    </w:p>
    <w:p w:rsidR="00937413" w:rsidRDefault="00937413" w:rsidP="00937413">
      <w:pPr>
        <w:pStyle w:val="StandardWeb"/>
      </w:pPr>
      <w:r>
        <w:t>[</w:t>
      </w:r>
      <w:r>
        <w:br/>
        <w:t>\Delta R_i</w:t>
      </w:r>
    </w:p>
    <w:p w:rsidR="00937413" w:rsidRDefault="00937413" w:rsidP="00937413">
      <w:pPr>
        <w:pStyle w:val="StandardWeb"/>
      </w:pPr>
      <w:r>
        <w:t>0</w:t>
      </w:r>
      <w:r>
        <w:br/>
        <w:t>\tag{3.7399}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R_i&gt;0\qquad\text{(3.7399)}</w:t>
      </w:r>
    </w:p>
    <w:p w:rsidR="00937413" w:rsidRDefault="00937413" w:rsidP="00937413">
      <w:pPr>
        <w:pStyle w:val="StandardWeb"/>
      </w:pPr>
      <w:r>
        <w:t>nimmt die Stabilität in dieser Dimension zu.</w:t>
      </w:r>
    </w:p>
    <w:p w:rsidR="00937413" w:rsidRDefault="00937413" w:rsidP="00937413">
      <w:pPr>
        <w:pStyle w:val="StandardWeb"/>
      </w:pPr>
      <w:r>
        <w:t>Diese Veränderung kann beispielsweise durch zusätzliche Daten, bessere Operationalisierungen, Modellrevision oder verbesserte numerische Verfahren entstehen.</w:t>
      </w:r>
    </w:p>
    <w:p w:rsidR="00937413" w:rsidRDefault="00E50336" w:rsidP="00937413">
      <w:r>
        <w:pict>
          <v:rect id="_x0000_i1593" style="width:0;height:1.5pt" o:hralign="center" o:hrstd="t" o:hr="t" fillcolor="#a0a0a0" stroked="f"/>
        </w:pict>
      </w:r>
    </w:p>
    <w:p w:rsidR="00937413" w:rsidRDefault="00937413" w:rsidP="00937413">
      <w:pPr>
        <w:pStyle w:val="berschrift2"/>
      </w:pPr>
      <w:r>
        <w:t>3.3.41.36 Stabilitätsdrift</w:t>
      </w:r>
    </w:p>
    <w:p w:rsidR="00937413" w:rsidRDefault="00937413" w:rsidP="00937413">
      <w:pPr>
        <w:pStyle w:val="StandardWeb"/>
      </w:pPr>
      <w:r>
        <w:t>Bei kontinuierlicher Veränderung definiere ich</w:t>
      </w:r>
    </w:p>
    <w:p w:rsidR="00937413" w:rsidRDefault="00937413" w:rsidP="00937413">
      <w:pPr>
        <w:pStyle w:val="berschrift1"/>
      </w:pPr>
      <w:r>
        <w:t>[</w:t>
      </w:r>
      <w:r>
        <w:br/>
        <w:t>\dot{R}_i</w:t>
      </w:r>
    </w:p>
    <w:p w:rsidR="00937413" w:rsidRDefault="00937413" w:rsidP="00937413">
      <w:pPr>
        <w:pStyle w:val="StandardWeb"/>
      </w:pPr>
      <w:r>
        <w:t>\frac{dR_i}{dt}.</w:t>
      </w:r>
      <w:r>
        <w:br/>
        <w:t>\tag{3.7400}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\dot{R}_i=\frac{dR_i}{dt}\qquad\text{(3.7400)}</w:t>
      </w:r>
    </w:p>
    <w:p w:rsidR="00937413" w:rsidRDefault="00937413" w:rsidP="00937413">
      <w:pPr>
        <w:pStyle w:val="StandardWeb"/>
      </w:pPr>
      <w:r>
        <w:t>Eine negative Stabilitätsdrift lautet</w:t>
      </w:r>
    </w:p>
    <w:p w:rsidR="00937413" w:rsidRDefault="00937413" w:rsidP="00937413">
      <w:pPr>
        <w:pStyle w:val="StandardWeb"/>
      </w:pPr>
      <w:r>
        <w:t>[</w:t>
      </w:r>
      <w:r>
        <w:br/>
        <w:t>\dot{R}_i</w:t>
      </w:r>
      <w:r>
        <w:br/>
        <w:t>&lt;</w:t>
      </w:r>
      <w:r>
        <w:br/>
        <w:t>0.</w:t>
      </w:r>
      <w:r>
        <w:br/>
        <w:t>\tag{3.7401}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\dot{R}_i&lt;0\qquad\text{(3.7401)}</w:t>
      </w:r>
    </w:p>
    <w:p w:rsidR="00937413" w:rsidRDefault="00937413" w:rsidP="00937413">
      <w:pPr>
        <w:pStyle w:val="StandardWeb"/>
      </w:pPr>
      <w:r>
        <w:lastRenderedPageBreak/>
        <w:t>Eine positive Stabilitätsdrift lautet</w:t>
      </w:r>
    </w:p>
    <w:p w:rsidR="00937413" w:rsidRDefault="00937413" w:rsidP="00937413">
      <w:pPr>
        <w:pStyle w:val="StandardWeb"/>
      </w:pPr>
      <w:r>
        <w:t>[</w:t>
      </w:r>
      <w:r>
        <w:br/>
        <w:t>\dot{R}_i</w:t>
      </w:r>
    </w:p>
    <w:p w:rsidR="00937413" w:rsidRDefault="00937413" w:rsidP="008C5E65">
      <w:pPr>
        <w:numPr>
          <w:ilvl w:val="0"/>
          <w:numId w:val="350"/>
        </w:numPr>
        <w:spacing w:before="100" w:beforeAutospacing="1" w:after="100" w:afterAutospacing="1"/>
      </w:pPr>
    </w:p>
    <w:p w:rsidR="00937413" w:rsidRDefault="00937413" w:rsidP="00937413">
      <w:pPr>
        <w:pStyle w:val="StandardWeb"/>
      </w:pPr>
      <w:r>
        <w:t>\tag{3.7402}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\dot{R}_i&gt;0\qquad\text{(3.7402)}</w:t>
      </w:r>
    </w:p>
    <w:p w:rsidR="00937413" w:rsidRDefault="00E50336" w:rsidP="00937413">
      <w:r>
        <w:pict>
          <v:rect id="_x0000_i1594" style="width:0;height:1.5pt" o:hralign="center" o:hrstd="t" o:hr="t" fillcolor="#a0a0a0" stroked="f"/>
        </w:pict>
      </w:r>
    </w:p>
    <w:p w:rsidR="00937413" w:rsidRDefault="00937413" w:rsidP="00937413">
      <w:pPr>
        <w:pStyle w:val="berschrift2"/>
      </w:pPr>
      <w:r>
        <w:t>3.3.41.37 Stabilitätsgradient</w:t>
      </w:r>
    </w:p>
    <w:p w:rsidR="00937413" w:rsidRDefault="00937413" w:rsidP="00937413">
      <w:pPr>
        <w:pStyle w:val="StandardWeb"/>
      </w:pPr>
      <w:r>
        <w:t>Für mehrere Einflussgrößen (\mathbf{x}) kann eine Stabilitätskomponente selbst sensitiv sein:</w:t>
      </w:r>
    </w:p>
    <w:p w:rsidR="00937413" w:rsidRDefault="00937413" w:rsidP="00937413">
      <w:pPr>
        <w:pStyle w:val="StandardWeb"/>
      </w:pPr>
      <w:r>
        <w:t>[</w:t>
      </w:r>
      <w:r>
        <w:br/>
        <w:t>\nabla_{\mathbf{x}}</w:t>
      </w:r>
      <w:r>
        <w:br/>
        <w:t>R_i.</w:t>
      </w:r>
      <w:r>
        <w:br/>
        <w:t>\tag{3.7403}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\nabla_{\mathbf{x}}R_i\qquad\text{(3.7403)}</w:t>
      </w:r>
    </w:p>
    <w:p w:rsidR="00937413" w:rsidRDefault="00937413" w:rsidP="00937413">
      <w:pPr>
        <w:pStyle w:val="StandardWeb"/>
      </w:pPr>
      <w:r>
        <w:t>Damit kann untersucht werden, welche Bedingungen die Robustheit einer wissenschaftlichen Aussage besonders stark verändern.</w:t>
      </w:r>
    </w:p>
    <w:p w:rsidR="00937413" w:rsidRDefault="00E50336" w:rsidP="00937413">
      <w:r>
        <w:pict>
          <v:rect id="_x0000_i1595" style="width:0;height:1.5pt" o:hralign="center" o:hrstd="t" o:hr="t" fillcolor="#a0a0a0" stroked="f"/>
        </w:pict>
      </w:r>
    </w:p>
    <w:p w:rsidR="00937413" w:rsidRDefault="00937413" w:rsidP="00937413">
      <w:pPr>
        <w:pStyle w:val="berschrift2"/>
      </w:pPr>
      <w:r>
        <w:t>3.3.41.38 Stabilität zweiter Ordnung</w:t>
      </w:r>
    </w:p>
    <w:p w:rsidR="00937413" w:rsidRDefault="00937413" w:rsidP="00937413">
      <w:pPr>
        <w:pStyle w:val="StandardWeb"/>
      </w:pPr>
      <w:r>
        <w:t>Diese Überlegung führt zu einer Metaebene.</w:t>
      </w:r>
    </w:p>
    <w:p w:rsidR="00937413" w:rsidRDefault="00937413" w:rsidP="00937413">
      <w:pPr>
        <w:pStyle w:val="StandardWeb"/>
      </w:pPr>
      <w:r>
        <w:t>Eine Aussage ist nicht nur dann wissenschaftlich interessant, wenn (R_i) hoch ist, sondern auch, wenn (R_i) selbst gegenüber kleinen methodischen Änderungen stabil bleibt.</w:t>
      </w:r>
    </w:p>
    <w:p w:rsidR="00937413" w:rsidRDefault="00937413" w:rsidP="00937413">
      <w:pPr>
        <w:pStyle w:val="StandardWeb"/>
      </w:pPr>
      <w:r>
        <w:t>Ich definiere deshalb</w:t>
      </w:r>
    </w:p>
    <w:p w:rsidR="00937413" w:rsidRDefault="00937413" w:rsidP="00937413">
      <w:pPr>
        <w:pStyle w:val="berschrift1"/>
      </w:pPr>
      <w:r>
        <w:t>[</w:t>
      </w:r>
      <w:r>
        <w:br/>
        <w:t>S_i^{(2)}</w:t>
      </w:r>
    </w:p>
    <w:p w:rsidR="00937413" w:rsidRDefault="00937413" w:rsidP="00937413">
      <w:pPr>
        <w:pStyle w:val="StandardWeb"/>
      </w:pPr>
      <w:r>
        <w:t>\operatorname{Stabilität}</w:t>
      </w:r>
      <w:r>
        <w:br/>
        <w:t>\left(</w:t>
      </w:r>
      <w:r>
        <w:br/>
      </w:r>
      <w:r>
        <w:lastRenderedPageBreak/>
        <w:t>R_i</w:t>
      </w:r>
      <w:r>
        <w:br/>
        <w:t>\right).</w:t>
      </w:r>
      <w:r>
        <w:br/>
        <w:t>\tag{3.7404}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S_i^{(2)}=\operatorname{Stabilität}\left(R_i\right)\qquad\text{(3.7404)}</w:t>
      </w:r>
    </w:p>
    <w:p w:rsidR="00937413" w:rsidRDefault="00937413" w:rsidP="00937413">
      <w:pPr>
        <w:pStyle w:val="StandardWeb"/>
      </w:pPr>
      <w:r>
        <w:t>Diese Größe beschreibt eine Stabilität zweiter Ordnung.</w:t>
      </w:r>
    </w:p>
    <w:p w:rsidR="00937413" w:rsidRDefault="00E50336" w:rsidP="00937413">
      <w:r>
        <w:pict>
          <v:rect id="_x0000_i1596" style="width:0;height:1.5pt" o:hralign="center" o:hrstd="t" o:hr="t" fillcolor="#a0a0a0" stroked="f"/>
        </w:pict>
      </w:r>
    </w:p>
    <w:p w:rsidR="00937413" w:rsidRDefault="00937413" w:rsidP="00937413">
      <w:pPr>
        <w:pStyle w:val="berschrift2"/>
      </w:pPr>
      <w:r>
        <w:t>3.3.41.39 Metastabilitätsvektor</w:t>
      </w:r>
    </w:p>
    <w:p w:rsidR="00937413" w:rsidRDefault="00937413" w:rsidP="00937413">
      <w:pPr>
        <w:pStyle w:val="StandardWeb"/>
      </w:pPr>
      <w:r>
        <w:t>Der entsprechende Vektor lautet</w:t>
      </w:r>
    </w:p>
    <w:p w:rsidR="00937413" w:rsidRDefault="00937413" w:rsidP="00937413">
      <w:pPr>
        <w:pStyle w:val="berschrift1"/>
      </w:pPr>
      <w:r>
        <w:t>[</w:t>
      </w:r>
      <w:r>
        <w:br/>
        <w:t>\mathbf{S}^{(2)}</w:t>
      </w:r>
    </w:p>
    <w:p w:rsidR="00937413" w:rsidRDefault="00937413" w:rsidP="00937413">
      <w:pPr>
        <w:pStyle w:val="StandardWeb"/>
      </w:pPr>
      <w:r>
        <w:t>\left(</w:t>
      </w:r>
      <w:r>
        <w:br/>
        <w:t>S_L^{(2)},</w:t>
      </w:r>
      <w:r>
        <w:br/>
        <w:t>S_G^{(2)},</w:t>
      </w:r>
      <w:r>
        <w:br/>
        <w:t>S_P^{(2)},</w:t>
      </w:r>
      <w:r>
        <w:br/>
        <w:t>S_R^{(2)},</w:t>
      </w:r>
      <w:r>
        <w:br/>
        <w:t>S_O^{(2)},</w:t>
      </w:r>
      <w:r>
        <w:br/>
        <w:t>S_M^{(2)},</w:t>
      </w:r>
      <w:r>
        <w:br/>
        <w:t>S_N^{(2)},</w:t>
      </w:r>
      <w:r>
        <w:br/>
        <w:t>S_T^{(2)}</w:t>
      </w:r>
      <w:r>
        <w:br/>
        <w:t>\right).</w:t>
      </w:r>
      <w:r>
        <w:br/>
        <w:t>\tag{3.7405}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\mathbf{S}^{(2)}=\left(S_L^{(2)},S_G^{(2)},S_P^{(2)},S_R^{(2)},S_O^{(2)},S_M^{(2)},S_N^{(2)},S_T^{(2)}\right)\qquad\text{(3.7405)}</w:t>
      </w:r>
    </w:p>
    <w:p w:rsidR="00937413" w:rsidRDefault="00937413" w:rsidP="00937413">
      <w:pPr>
        <w:pStyle w:val="StandardWeb"/>
      </w:pPr>
      <w:r>
        <w:t>Damit kann beispielsweise geprüft werden, ob die Einstufung „parameterrobust“ selbst stabil gegenüber der genauen Wahl des untersuchten Parameterbereichs ist.</w:t>
      </w:r>
    </w:p>
    <w:p w:rsidR="00937413" w:rsidRDefault="00E50336" w:rsidP="00937413">
      <w:r>
        <w:pict>
          <v:rect id="_x0000_i1597" style="width:0;height:1.5pt" o:hralign="center" o:hrstd="t" o:hr="t" fillcolor="#a0a0a0" stroked="f"/>
        </w:pict>
      </w:r>
    </w:p>
    <w:p w:rsidR="00937413" w:rsidRDefault="00937413" w:rsidP="00937413">
      <w:pPr>
        <w:pStyle w:val="berschrift2"/>
      </w:pPr>
      <w:r>
        <w:t>3.3.41.40 Stabilität und Unsicherheit als getrennte Dimensionen</w:t>
      </w:r>
    </w:p>
    <w:p w:rsidR="00937413" w:rsidRDefault="00937413" w:rsidP="00937413">
      <w:pPr>
        <w:pStyle w:val="StandardWeb"/>
      </w:pPr>
      <w:r>
        <w:t>Eine Aussage kann sehr stabil, aber trotzdem stark unsicher sein.</w:t>
      </w:r>
    </w:p>
    <w:p w:rsidR="00937413" w:rsidRDefault="00937413" w:rsidP="00937413">
      <w:pPr>
        <w:pStyle w:val="StandardWeb"/>
      </w:pPr>
      <w:r>
        <w:t>Umgekehrt kann eine sehr präzise Schätzung instabil sein.</w:t>
      </w:r>
    </w:p>
    <w:p w:rsidR="00937413" w:rsidRDefault="00937413" w:rsidP="00937413">
      <w:pPr>
        <w:pStyle w:val="StandardWeb"/>
      </w:pPr>
      <w:r>
        <w:lastRenderedPageBreak/>
        <w:t>Ich unterscheide daher</w:t>
      </w:r>
    </w:p>
    <w:p w:rsidR="00937413" w:rsidRDefault="00937413" w:rsidP="00937413">
      <w:pPr>
        <w:pStyle w:val="StandardWeb"/>
      </w:pPr>
      <w:r>
        <w:t>[</w:t>
      </w:r>
      <w:r>
        <w:br/>
        <w:t>\mathbf{R}_S</w:t>
      </w:r>
      <w:r>
        <w:br/>
        <w:t>\tag{3.7406}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\mathbf{R}_S\qquad\text{(3.7406)}</w:t>
      </w:r>
    </w:p>
    <w:p w:rsidR="00937413" w:rsidRDefault="00937413" w:rsidP="00937413">
      <w:pPr>
        <w:pStyle w:val="StandardWeb"/>
      </w:pPr>
      <w:r>
        <w:t>von</w:t>
      </w:r>
    </w:p>
    <w:p w:rsidR="00937413" w:rsidRDefault="00937413" w:rsidP="00937413">
      <w:pPr>
        <w:pStyle w:val="StandardWeb"/>
      </w:pPr>
      <w:r>
        <w:t>[</w:t>
      </w:r>
      <w:r>
        <w:br/>
        <w:t>\mathbf{U}_A.</w:t>
      </w:r>
      <w:r>
        <w:br/>
        <w:t>\tag{3.7407}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\mathbf{U}_A\qquad\text{(3.7407)}</w:t>
      </w:r>
    </w:p>
    <w:p w:rsidR="00937413" w:rsidRDefault="00937413" w:rsidP="00937413">
      <w:pPr>
        <w:pStyle w:val="StandardWeb"/>
      </w:pPr>
      <w:r>
        <w:t>Die erste Größe beschreibt Stabilität, die zweite Unsicherheit.</w:t>
      </w:r>
    </w:p>
    <w:p w:rsidR="00937413" w:rsidRDefault="00E50336" w:rsidP="00937413">
      <w:r>
        <w:pict>
          <v:rect id="_x0000_i1598" style="width:0;height:1.5pt" o:hralign="center" o:hrstd="t" o:hr="t" fillcolor="#a0a0a0" stroked="f"/>
        </w:pict>
      </w:r>
    </w:p>
    <w:p w:rsidR="00937413" w:rsidRDefault="00937413" w:rsidP="00937413">
      <w:pPr>
        <w:pStyle w:val="berschrift2"/>
      </w:pPr>
      <w:r>
        <w:t>3.3.41.41 Präzise, aber fragile Aussage</w:t>
      </w:r>
    </w:p>
    <w:p w:rsidR="00937413" w:rsidRDefault="00937413" w:rsidP="00937413">
      <w:pPr>
        <w:pStyle w:val="StandardWeb"/>
      </w:pPr>
      <w:r>
        <w:t>Ein möglicher Zustand lautet</w:t>
      </w:r>
    </w:p>
    <w:p w:rsidR="00937413" w:rsidRDefault="00937413" w:rsidP="00937413">
      <w:pPr>
        <w:pStyle w:val="StandardWeb"/>
      </w:pPr>
      <w:r>
        <w:t>[</w:t>
      </w:r>
      <w:r>
        <w:br/>
        <w:t>U_A</w:t>
      </w:r>
      <w:r>
        <w:br/>
        <w:t>\text{ klein}</w:t>
      </w:r>
      <w:r>
        <w:br/>
        <w:t>\land</w:t>
      </w:r>
      <w:r>
        <w:br/>
        <w:t>R_{\mathrm{stab}}</w:t>
      </w:r>
      <w:r>
        <w:br/>
        <w:t>\text{ klein}.</w:t>
      </w:r>
      <w:r>
        <w:br/>
        <w:t>\tag{3.7408}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U_A\text{ klein}\land R_{\mathrm{stab}}\text{ klein}\qquad\text{(3.7408)}</w:t>
      </w:r>
    </w:p>
    <w:p w:rsidR="00937413" w:rsidRDefault="00937413" w:rsidP="00937413">
      <w:pPr>
        <w:pStyle w:val="StandardWeb"/>
      </w:pPr>
      <w:r>
        <w:t>Dann wird eine Aussage zwar präzise geschätzt, reagiert aber empfindlich auf Änderungen von Parametern, Modellen oder Operationalisierungen.</w:t>
      </w:r>
    </w:p>
    <w:p w:rsidR="00937413" w:rsidRDefault="00E50336" w:rsidP="00937413">
      <w:r>
        <w:pict>
          <v:rect id="_x0000_i1599" style="width:0;height:1.5pt" o:hralign="center" o:hrstd="t" o:hr="t" fillcolor="#a0a0a0" stroked="f"/>
        </w:pict>
      </w:r>
    </w:p>
    <w:p w:rsidR="00937413" w:rsidRDefault="00937413" w:rsidP="00937413">
      <w:pPr>
        <w:pStyle w:val="berschrift2"/>
      </w:pPr>
      <w:r>
        <w:t>3.3.41.42 Unsichere, aber robuste Aussage</w:t>
      </w:r>
    </w:p>
    <w:p w:rsidR="00937413" w:rsidRDefault="00937413" w:rsidP="00937413">
      <w:pPr>
        <w:pStyle w:val="StandardWeb"/>
      </w:pPr>
      <w:r>
        <w:t>Umgekehrt kann gelten</w:t>
      </w:r>
    </w:p>
    <w:p w:rsidR="00937413" w:rsidRDefault="00937413" w:rsidP="00937413">
      <w:pPr>
        <w:pStyle w:val="StandardWeb"/>
      </w:pPr>
      <w:r>
        <w:lastRenderedPageBreak/>
        <w:t>[</w:t>
      </w:r>
      <w:r>
        <w:br/>
        <w:t>U_A</w:t>
      </w:r>
      <w:r>
        <w:br/>
        <w:t>\text{ groß}</w:t>
      </w:r>
      <w:r>
        <w:br/>
        <w:t>\land</w:t>
      </w:r>
      <w:r>
        <w:br/>
        <w:t>R_{\mathrm{stab}}</w:t>
      </w:r>
      <w:r>
        <w:br/>
        <w:t>\text{ hoch}.</w:t>
      </w:r>
      <w:r>
        <w:br/>
        <w:t>\tag{3.7409}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U_A\text{ groß}\land R_{\mathrm{stab}}\text{ hoch}\qquad\text{(3.7409)}</w:t>
      </w:r>
    </w:p>
    <w:p w:rsidR="00937413" w:rsidRDefault="00937413" w:rsidP="00937413">
      <w:pPr>
        <w:pStyle w:val="StandardWeb"/>
      </w:pPr>
      <w:r>
        <w:t>Dann ist der genaue Zahlenwert unsicher, die qualitative Aussageklasse bleibt jedoch über viele plausible Bedingungen stabil.</w:t>
      </w:r>
    </w:p>
    <w:p w:rsidR="00937413" w:rsidRDefault="00E50336" w:rsidP="00937413">
      <w:r>
        <w:pict>
          <v:rect id="_x0000_i1600" style="width:0;height:1.5pt" o:hralign="center" o:hrstd="t" o:hr="t" fillcolor="#a0a0a0" stroked="f"/>
        </w:pict>
      </w:r>
    </w:p>
    <w:p w:rsidR="00937413" w:rsidRDefault="00937413" w:rsidP="00937413">
      <w:pPr>
        <w:pStyle w:val="berschrift2"/>
      </w:pPr>
      <w:r>
        <w:t>3.3.41.43 Vierfelderstruktur von Stabilität und Unsicherheit</w:t>
      </w:r>
    </w:p>
    <w:p w:rsidR="00937413" w:rsidRDefault="00937413" w:rsidP="00937413">
      <w:pPr>
        <w:pStyle w:val="StandardWeb"/>
      </w:pPr>
      <w:r>
        <w:t>Ich definiere</w:t>
      </w:r>
    </w:p>
    <w:p w:rsidR="00937413" w:rsidRDefault="00937413" w:rsidP="00937413">
      <w:pPr>
        <w:pStyle w:val="berschrift1"/>
      </w:pPr>
      <w:r>
        <w:t>[</w:t>
      </w:r>
      <w:r>
        <w:br/>
        <w:t>\mathfrak{Q}_{SU}</w:t>
      </w:r>
    </w:p>
    <w:p w:rsidR="00937413" w:rsidRDefault="00937413" w:rsidP="00937413">
      <w:pPr>
        <w:pStyle w:val="StandardWeb"/>
      </w:pPr>
      <w:r>
        <w:t>\left{</w:t>
      </w:r>
      <w:r>
        <w:br/>
        <w:t>(S^+,U^-),</w:t>
      </w:r>
      <w:r>
        <w:br/>
        <w:t>(S^+,U^+),</w:t>
      </w:r>
      <w:r>
        <w:br/>
        <w:t>(S^-,U^-),</w:t>
      </w:r>
      <w:r>
        <w:br/>
        <w:t>(S^-,U^+)</w:t>
      </w:r>
      <w:r>
        <w:br/>
        <w:t>\right}.</w:t>
      </w:r>
      <w:r>
        <w:br/>
        <w:t>\tag{3.7410}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\mathfrak{Q}_{SU}=\left\{(S^{+},U^{-}),(S^{+},U^{+}),(S^{-},U^{-}),(S^{-},U^{+})\right\}\qquad\text{(3.7410)}</w:t>
      </w:r>
    </w:p>
    <w:p w:rsidR="00937413" w:rsidRDefault="00937413" w:rsidP="00937413">
      <w:pPr>
        <w:pStyle w:val="StandardWeb"/>
      </w:pPr>
      <w:r>
        <w:t>Dabei steht (S^+) für hohe Stabilität, (S^-) für geringe Stabilität, (U^-) für geringe Unsicherheit und (U^+) für hohe Unsicherheit.</w:t>
      </w:r>
    </w:p>
    <w:p w:rsidR="00937413" w:rsidRDefault="00E50336" w:rsidP="00937413">
      <w:r>
        <w:pict>
          <v:rect id="_x0000_i1601" style="width:0;height:1.5pt" o:hralign="center" o:hrstd="t" o:hr="t" fillcolor="#a0a0a0" stroked="f"/>
        </w:pict>
      </w:r>
    </w:p>
    <w:p w:rsidR="00937413" w:rsidRDefault="00937413" w:rsidP="00937413">
      <w:pPr>
        <w:pStyle w:val="berschrift2"/>
      </w:pPr>
      <w:r>
        <w:t>3.3.41.44 Stabilität und Validität</w:t>
      </w:r>
    </w:p>
    <w:p w:rsidR="00937413" w:rsidRDefault="00937413" w:rsidP="00937413">
      <w:pPr>
        <w:pStyle w:val="StandardWeb"/>
      </w:pPr>
      <w:r>
        <w:t>Auch Stabilität und Validität sind getrennt.</w:t>
      </w:r>
    </w:p>
    <w:p w:rsidR="00937413" w:rsidRDefault="00937413" w:rsidP="00937413">
      <w:pPr>
        <w:pStyle w:val="StandardWeb"/>
      </w:pPr>
      <w:r>
        <w:t>Ich schreibe</w:t>
      </w:r>
    </w:p>
    <w:p w:rsidR="00937413" w:rsidRDefault="00937413" w:rsidP="00937413">
      <w:pPr>
        <w:pStyle w:val="StandardWeb"/>
      </w:pPr>
      <w:r>
        <w:lastRenderedPageBreak/>
        <w:t>[</w:t>
      </w:r>
      <w:r>
        <w:br/>
        <w:t>R_{\mathrm{stab}}</w:t>
      </w:r>
      <w:r>
        <w:br/>
        <w:t>\text{ hoch}</w:t>
      </w:r>
      <w:r>
        <w:br/>
        <w:t>\nRightarrow</w:t>
      </w:r>
      <w:r>
        <w:br/>
        <w:t>V</w:t>
      </w:r>
      <w:r>
        <w:br/>
        <w:t>\text{ hoch}.</w:t>
      </w:r>
      <w:r>
        <w:br/>
        <w:t>\tag{3.7411}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R_{\mathrm{stab}}\text{ hoch}\nRightarrow V\text{ hoch}\qquad\text{(3.7411)}</w:t>
      </w:r>
    </w:p>
    <w:p w:rsidR="00937413" w:rsidRDefault="00937413" w:rsidP="00937413">
      <w:pPr>
        <w:pStyle w:val="StandardWeb"/>
      </w:pPr>
      <w:r>
        <w:t>Eine wissenschaftliche Aussage kann unter vielen Bedingungen stabil reproduziert werden und dennoch systematisch falsch oder semantisch inadäquat sein.</w:t>
      </w:r>
    </w:p>
    <w:p w:rsidR="00937413" w:rsidRDefault="00E50336" w:rsidP="00937413">
      <w:r>
        <w:pict>
          <v:rect id="_x0000_i1602" style="width:0;height:1.5pt" o:hralign="center" o:hrstd="t" o:hr="t" fillcolor="#a0a0a0" stroked="f"/>
        </w:pict>
      </w:r>
    </w:p>
    <w:p w:rsidR="00937413" w:rsidRDefault="00937413" w:rsidP="00937413">
      <w:pPr>
        <w:pStyle w:val="berschrift2"/>
      </w:pPr>
      <w:r>
        <w:t>3.3.41.45 Validität ohne Stabilität</w:t>
      </w:r>
    </w:p>
    <w:p w:rsidR="00937413" w:rsidRDefault="00937413" w:rsidP="00937413">
      <w:pPr>
        <w:pStyle w:val="StandardWeb"/>
      </w:pPr>
      <w:r>
        <w:t>Umgekehrt gilt</w:t>
      </w:r>
    </w:p>
    <w:p w:rsidR="00937413" w:rsidRDefault="00937413" w:rsidP="00937413">
      <w:pPr>
        <w:pStyle w:val="StandardWeb"/>
      </w:pPr>
      <w:r>
        <w:t>[</w:t>
      </w:r>
      <w:r>
        <w:br/>
        <w:t>V</w:t>
      </w:r>
      <w:r>
        <w:br/>
        <w:t>\text{ hoch}</w:t>
      </w:r>
      <w:r>
        <w:br/>
        <w:t>\nRightarrow</w:t>
      </w:r>
      <w:r>
        <w:br/>
        <w:t>R_{\mathrm{stab}}</w:t>
      </w:r>
      <w:r>
        <w:br/>
        <w:t>\text{ hoch}.</w:t>
      </w:r>
      <w:r>
        <w:br/>
        <w:t>\tag{3.7412}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V\text{ hoch}\nRightarrow R_{\mathrm{stab}}\text{ hoch}\qquad\text{(3.7412)}</w:t>
      </w:r>
    </w:p>
    <w:p w:rsidR="00937413" w:rsidRDefault="00937413" w:rsidP="00937413">
      <w:pPr>
        <w:pStyle w:val="StandardWeb"/>
      </w:pPr>
      <w:r>
        <w:t>Eine valide Messung kann unter bestimmten Bedingungen sehr empfindlich auf Kontext, Stichprobe oder Parameter reagieren.</w:t>
      </w:r>
    </w:p>
    <w:p w:rsidR="00937413" w:rsidRDefault="00E50336" w:rsidP="00937413">
      <w:r>
        <w:pict>
          <v:rect id="_x0000_i1603" style="width:0;height:1.5pt" o:hralign="center" o:hrstd="t" o:hr="t" fillcolor="#a0a0a0" stroked="f"/>
        </w:pict>
      </w:r>
    </w:p>
    <w:p w:rsidR="00937413" w:rsidRDefault="00937413" w:rsidP="00937413">
      <w:pPr>
        <w:pStyle w:val="berschrift2"/>
      </w:pPr>
      <w:r>
        <w:t>3.3.41.46 Stabilität und Wahrheit</w:t>
      </w:r>
    </w:p>
    <w:p w:rsidR="00937413" w:rsidRDefault="00937413" w:rsidP="00937413">
      <w:pPr>
        <w:pStyle w:val="StandardWeb"/>
      </w:pPr>
      <w:r>
        <w:t>Die Stabilitätsklassifikation besitzt keine unmittelbare Wahrheitsfunktion.</w:t>
      </w:r>
    </w:p>
    <w:p w:rsidR="00937413" w:rsidRDefault="00937413" w:rsidP="00937413">
      <w:pPr>
        <w:pStyle w:val="StandardWeb"/>
      </w:pPr>
      <w:r>
        <w:t>Ich formuliere ausdrücklich</w:t>
      </w:r>
    </w:p>
    <w:p w:rsidR="00937413" w:rsidRDefault="00937413" w:rsidP="00937413">
      <w:pPr>
        <w:pStyle w:val="StandardWeb"/>
      </w:pPr>
      <w:r>
        <w:t>[</w:t>
      </w:r>
      <w:r>
        <w:br/>
        <w:t>\operatorname{Stabil}</w:t>
      </w:r>
      <w:r>
        <w:br/>
        <w:t>\left(</w:t>
      </w:r>
      <w:r>
        <w:br/>
        <w:t>A_F</w:t>
      </w:r>
      <w:r>
        <w:br/>
      </w:r>
      <w:r>
        <w:lastRenderedPageBreak/>
        <w:t>\right)</w:t>
      </w:r>
      <w:r>
        <w:br/>
        <w:t>\nRightarrow</w:t>
      </w:r>
      <w:r>
        <w:br/>
        <w:t>\operatorname{Wahr}</w:t>
      </w:r>
      <w:r>
        <w:br/>
        <w:t>\left(</w:t>
      </w:r>
      <w:r>
        <w:br/>
        <w:t>A_F</w:t>
      </w:r>
      <w:r>
        <w:br/>
        <w:t>\right).</w:t>
      </w:r>
      <w:r>
        <w:br/>
        <w:t>\tag{3.7413}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\operatorname{Stabil}\left(A_F\right)\nRightarrow\operatorname{Wahr}\left(A_F\right)\qquad\text{(3.7413)}</w:t>
      </w:r>
    </w:p>
    <w:p w:rsidR="00937413" w:rsidRDefault="00937413" w:rsidP="00937413">
      <w:pPr>
        <w:pStyle w:val="StandardWeb"/>
      </w:pPr>
      <w:r>
        <w:t>Diese Regel verhindert, dass methodische Belastbarkeit mit ontologischer Gewissheit verwechselt wird.</w:t>
      </w:r>
    </w:p>
    <w:p w:rsidR="00937413" w:rsidRDefault="00E50336" w:rsidP="00937413">
      <w:r>
        <w:pict>
          <v:rect id="_x0000_i1604" style="width:0;height:1.5pt" o:hralign="center" o:hrstd="t" o:hr="t" fillcolor="#a0a0a0" stroked="f"/>
        </w:pict>
      </w:r>
    </w:p>
    <w:p w:rsidR="00937413" w:rsidRDefault="00937413" w:rsidP="00937413">
      <w:pPr>
        <w:pStyle w:val="berschrift2"/>
      </w:pPr>
      <w:r>
        <w:t>3.3.41.47 Stabilität und empirische Bewährung</w:t>
      </w:r>
    </w:p>
    <w:p w:rsidR="00937413" w:rsidRDefault="00937413" w:rsidP="00937413">
      <w:pPr>
        <w:pStyle w:val="StandardWeb"/>
      </w:pPr>
      <w:r>
        <w:t>Was Stabilität jedoch leisten kann, ist eine stärkere Form empirischer Bewährung.</w:t>
      </w:r>
    </w:p>
    <w:p w:rsidR="00937413" w:rsidRDefault="00937413" w:rsidP="00937413">
      <w:pPr>
        <w:pStyle w:val="StandardWeb"/>
      </w:pPr>
      <w:r>
        <w:t>Ich schreibe</w:t>
      </w:r>
    </w:p>
    <w:p w:rsidR="00937413" w:rsidRDefault="00937413" w:rsidP="00937413">
      <w:pPr>
        <w:pStyle w:val="berschrift1"/>
      </w:pPr>
      <w:r>
        <w:t>[</w:t>
      </w:r>
      <w:r>
        <w:br/>
        <w:t>E_{\mathrm{bew}}</w:t>
      </w:r>
    </w:p>
    <w:p w:rsidR="00937413" w:rsidRDefault="00937413" w:rsidP="00937413">
      <w:pPr>
        <w:pStyle w:val="StandardWeb"/>
      </w:pPr>
      <w:r>
        <w:t>\mathcal{E}</w:t>
      </w:r>
      <w:r>
        <w:br/>
        <w:t>\left(</w:t>
      </w:r>
      <w:r>
        <w:br/>
        <w:t>V,</w:t>
      </w:r>
      <w:r>
        <w:br/>
        <w:t>\mathbf{R}_S,</w:t>
      </w:r>
      <w:r>
        <w:br/>
        <w:t>\mathbf{U}_A,</w:t>
      </w:r>
      <w:r>
        <w:br/>
        <w:t>\mathcal{D}</w:t>
      </w:r>
      <w:r>
        <w:br/>
        <w:t>\right).</w:t>
      </w:r>
      <w:r>
        <w:br/>
        <w:t>\tag{3.7414}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E_{\mathrm{bew}}=\mathcal{E}\left(V,\mathbf{R}_S,\mathbf{U}_A,\mathcal{D}\right)\qquad\text{(3.7414)}</w:t>
      </w:r>
    </w:p>
    <w:p w:rsidR="00937413" w:rsidRDefault="00937413" w:rsidP="00937413">
      <w:pPr>
        <w:pStyle w:val="StandardWeb"/>
      </w:pPr>
      <w:r>
        <w:t>Die empirische Bewährung ist damit eine gemeinsame Funktion von Validität, Stabilität, Unsicherheit und Datenlage.</w:t>
      </w:r>
    </w:p>
    <w:p w:rsidR="00937413" w:rsidRDefault="00E50336" w:rsidP="00937413">
      <w:r>
        <w:pict>
          <v:rect id="_x0000_i1605" style="width:0;height:1.5pt" o:hralign="center" o:hrstd="t" o:hr="t" fillcolor="#a0a0a0" stroked="f"/>
        </w:pict>
      </w:r>
    </w:p>
    <w:p w:rsidR="00937413" w:rsidRDefault="00937413" w:rsidP="00937413">
      <w:pPr>
        <w:pStyle w:val="berschrift2"/>
      </w:pPr>
      <w:r>
        <w:t>3.3.41.48 Stabilität und Erklärungsqualität</w:t>
      </w:r>
    </w:p>
    <w:p w:rsidR="00937413" w:rsidRDefault="00937413" w:rsidP="00937413">
      <w:pPr>
        <w:pStyle w:val="StandardWeb"/>
      </w:pPr>
      <w:r>
        <w:lastRenderedPageBreak/>
        <w:t>Eine Erklärung kann stabil oder instabil sein.</w:t>
      </w:r>
    </w:p>
    <w:p w:rsidR="00937413" w:rsidRDefault="00937413" w:rsidP="00937413">
      <w:pPr>
        <w:pStyle w:val="StandardWeb"/>
      </w:pPr>
      <w:r>
        <w:t>Sei</w:t>
      </w:r>
    </w:p>
    <w:p w:rsidR="00937413" w:rsidRDefault="00937413" w:rsidP="00937413">
      <w:pPr>
        <w:pStyle w:val="StandardWeb"/>
      </w:pPr>
      <w:r>
        <w:t>[</w:t>
      </w:r>
      <w:r>
        <w:br/>
        <w:t>\mathcal{X}_{F}^{(k)}</w:t>
      </w:r>
      <w:r>
        <w:br/>
        <w:t>\tag{3.7415}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\mathcal{X}_{F}^{(k)}\qquad\text{(3.7415)}</w:t>
      </w:r>
    </w:p>
    <w:p w:rsidR="00937413" w:rsidRDefault="00937413" w:rsidP="00937413">
      <w:pPr>
        <w:pStyle w:val="StandardWeb"/>
      </w:pPr>
      <w:r>
        <w:t>die Erklärung unter Analysevariante (k).</w:t>
      </w:r>
    </w:p>
    <w:p w:rsidR="00937413" w:rsidRDefault="00937413" w:rsidP="00937413">
      <w:pPr>
        <w:pStyle w:val="StandardWeb"/>
      </w:pPr>
      <w:r>
        <w:t>Ich definiere eine Erklärungsstabilität</w:t>
      </w:r>
    </w:p>
    <w:p w:rsidR="00937413" w:rsidRDefault="00937413" w:rsidP="00937413">
      <w:pPr>
        <w:pStyle w:val="berschrift1"/>
      </w:pPr>
      <w:r>
        <w:t>[</w:t>
      </w:r>
      <w:r>
        <w:br/>
        <w:t>R_X</w:t>
      </w:r>
    </w:p>
    <w:p w:rsidR="00937413" w:rsidRDefault="00937413" w:rsidP="00937413">
      <w:pPr>
        <w:pStyle w:val="StandardWeb"/>
      </w:pPr>
      <w:r>
        <w:t>\frac{1}{n}</w:t>
      </w:r>
      <w:r>
        <w:br/>
        <w:t>\sum_{k=1}^{n}</w:t>
      </w:r>
      <w:r>
        <w:br/>
        <w:t>\mathbf{1}</w:t>
      </w:r>
      <w:r>
        <w:br/>
        <w:t>\left[</w:t>
      </w:r>
      <w:r>
        <w:br/>
        <w:t>\mathcal{X}</w:t>
      </w:r>
      <w:r>
        <w:rPr>
          <w:rStyle w:val="Hervorhebung"/>
        </w:rPr>
        <w:t>{F}^{(k)}</w:t>
      </w:r>
      <w:r>
        <w:rPr>
          <w:i/>
          <w:iCs/>
        </w:rPr>
        <w:br/>
      </w:r>
      <w:r>
        <w:rPr>
          <w:rStyle w:val="Hervorhebung"/>
        </w:rPr>
        <w:t>\sim_X</w:t>
      </w:r>
      <w:r>
        <w:rPr>
          <w:i/>
          <w:iCs/>
        </w:rPr>
        <w:br/>
      </w:r>
      <w:r>
        <w:rPr>
          <w:rStyle w:val="Hervorhebung"/>
        </w:rPr>
        <w:t>\mathcal{X}</w:t>
      </w:r>
      <w:r>
        <w:t>{F}^{\mathrm{ref}}</w:t>
      </w:r>
      <w:r>
        <w:br/>
        <w:t>\right].</w:t>
      </w:r>
      <w:r>
        <w:br/>
        <w:t>\tag{3.7416}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R_X=\frac{1}{n}\sum_{k=1}^{n}\mathbf{1}\left[\mathcal{X}_{F}^{(k)}\sim_X\mathcal{X}_{F}^{\mathrm{ref}}\right]\qquad\text{(3.7416)}</w:t>
      </w:r>
    </w:p>
    <w:p w:rsidR="00937413" w:rsidRDefault="00E50336" w:rsidP="00937413">
      <w:r>
        <w:pict>
          <v:rect id="_x0000_i1606" style="width:0;height:1.5pt" o:hralign="center" o:hrstd="t" o:hr="t" fillcolor="#a0a0a0" stroked="f"/>
        </w:pict>
      </w:r>
    </w:p>
    <w:p w:rsidR="00937413" w:rsidRDefault="00937413" w:rsidP="00937413">
      <w:pPr>
        <w:pStyle w:val="berschrift2"/>
      </w:pPr>
      <w:r>
        <w:t>3.3.41.49 Prognosestabilität</w:t>
      </w:r>
    </w:p>
    <w:p w:rsidR="00937413" w:rsidRDefault="00937413" w:rsidP="00937413">
      <w:pPr>
        <w:pStyle w:val="StandardWeb"/>
      </w:pPr>
      <w:r>
        <w:t>Analog definiere ich für Prognosen</w:t>
      </w:r>
    </w:p>
    <w:p w:rsidR="00937413" w:rsidRDefault="00937413" w:rsidP="00937413">
      <w:pPr>
        <w:pStyle w:val="berschrift1"/>
      </w:pPr>
      <w:r>
        <w:t>[</w:t>
      </w:r>
      <w:r>
        <w:br/>
        <w:t>R_{\mathrm{prog}}</w:t>
      </w:r>
    </w:p>
    <w:p w:rsidR="00937413" w:rsidRDefault="00937413" w:rsidP="00937413">
      <w:pPr>
        <w:pStyle w:val="StandardWeb"/>
      </w:pPr>
      <w:r>
        <w:t>\operatorname{Stabilität}</w:t>
      </w:r>
      <w:r>
        <w:br/>
        <w:t>\left(</w:t>
      </w:r>
      <w:r>
        <w:br/>
        <w:t>\widehat{Y}_F</w:t>
      </w:r>
      <w:r>
        <w:br/>
        <w:t>\right).</w:t>
      </w:r>
      <w:r>
        <w:br/>
      </w:r>
      <w:r>
        <w:lastRenderedPageBreak/>
        <w:t>\tag{3.7417}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R_{\mathrm{prog}}=\operatorname{Stabilität}\left(\widehat{Y}_F\right)\qquad\text{(3.7417)}</w:t>
      </w:r>
    </w:p>
    <w:p w:rsidR="00937413" w:rsidRDefault="00937413" w:rsidP="00937413">
      <w:pPr>
        <w:pStyle w:val="StandardWeb"/>
      </w:pPr>
      <w:r>
        <w:t>Damit können Erklärung und Prognose unterschiedliche Stabilitätsprofile besitzen.</w:t>
      </w:r>
    </w:p>
    <w:p w:rsidR="00937413" w:rsidRDefault="00E50336" w:rsidP="00937413">
      <w:r>
        <w:pict>
          <v:rect id="_x0000_i1607" style="width:0;height:1.5pt" o:hralign="center" o:hrstd="t" o:hr="t" fillcolor="#a0a0a0" stroked="f"/>
        </w:pict>
      </w:r>
    </w:p>
    <w:p w:rsidR="00937413" w:rsidRDefault="00937413" w:rsidP="00937413">
      <w:pPr>
        <w:pStyle w:val="berschrift2"/>
      </w:pPr>
      <w:r>
        <w:t>3.3.41.50 Kausalitätsstabilität</w:t>
      </w:r>
    </w:p>
    <w:p w:rsidR="00937413" w:rsidRDefault="00937413" w:rsidP="00937413">
      <w:pPr>
        <w:pStyle w:val="StandardWeb"/>
      </w:pPr>
      <w:r>
        <w:t>Für einen kausalen Effekt</w:t>
      </w:r>
    </w:p>
    <w:p w:rsidR="00937413" w:rsidRDefault="00937413" w:rsidP="00937413">
      <w:pPr>
        <w:pStyle w:val="StandardWeb"/>
      </w:pPr>
      <w:r>
        <w:t>[</w:t>
      </w:r>
      <w:r>
        <w:br/>
        <w:t>\psi_C</w:t>
      </w:r>
      <w:r>
        <w:br/>
        <w:t>\tag{3.7418}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\psi_C\qquad\text{(3.7418)}</w:t>
      </w:r>
    </w:p>
    <w:p w:rsidR="00937413" w:rsidRDefault="00937413" w:rsidP="00937413">
      <w:pPr>
        <w:pStyle w:val="StandardWeb"/>
      </w:pPr>
      <w:r>
        <w:t>definiere ich</w:t>
      </w:r>
    </w:p>
    <w:p w:rsidR="00937413" w:rsidRDefault="00937413" w:rsidP="00937413">
      <w:pPr>
        <w:pStyle w:val="berschrift1"/>
      </w:pPr>
      <w:r>
        <w:t>[</w:t>
      </w:r>
      <w:r>
        <w:br/>
        <w:t>R_C</w:t>
      </w:r>
    </w:p>
    <w:p w:rsidR="00937413" w:rsidRDefault="00937413" w:rsidP="00937413">
      <w:pPr>
        <w:pStyle w:val="StandardWeb"/>
      </w:pPr>
      <w:r>
        <w:t>\operatorname{Stabilität}</w:t>
      </w:r>
      <w:r>
        <w:br/>
        <w:t>\left(</w:t>
      </w:r>
      <w:r>
        <w:br/>
        <w:t>\psi_C</w:t>
      </w:r>
      <w:r>
        <w:br/>
        <w:t>\right).</w:t>
      </w:r>
      <w:r>
        <w:br/>
        <w:t>\tag{3.7419}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R_C=\operatorname{Stabilität}\left(\psi_C\right)\qquad\text{(3.7419)}</w:t>
      </w:r>
    </w:p>
    <w:p w:rsidR="00937413" w:rsidRDefault="00937413" w:rsidP="00937413">
      <w:pPr>
        <w:pStyle w:val="StandardWeb"/>
      </w:pPr>
      <w:r>
        <w:t>Eine kausale Aussage sollte nicht nur hinsichtlich ihres Zahlenwertes, sondern zumindest auch hinsichtlich Richtung, Vorzeichen und qualitativer Interpretation stabil sein.</w:t>
      </w:r>
    </w:p>
    <w:p w:rsidR="00937413" w:rsidRDefault="00E50336" w:rsidP="00937413">
      <w:r>
        <w:pict>
          <v:rect id="_x0000_i1608" style="width:0;height:1.5pt" o:hralign="center" o:hrstd="t" o:hr="t" fillcolor="#a0a0a0" stroked="f"/>
        </w:pict>
      </w:r>
    </w:p>
    <w:p w:rsidR="00937413" w:rsidRDefault="00937413" w:rsidP="00937413">
      <w:pPr>
        <w:pStyle w:val="berschrift2"/>
      </w:pPr>
      <w:r>
        <w:t>3.3.41.51 Vorzeichenstabilität kausaler Effekte</w:t>
      </w:r>
    </w:p>
    <w:p w:rsidR="00937413" w:rsidRDefault="00937413" w:rsidP="00937413">
      <w:pPr>
        <w:pStyle w:val="StandardWeb"/>
      </w:pPr>
      <w:r>
        <w:t>Ich definiere</w:t>
      </w:r>
    </w:p>
    <w:p w:rsidR="00937413" w:rsidRDefault="00937413" w:rsidP="00937413">
      <w:pPr>
        <w:pStyle w:val="berschrift1"/>
      </w:pPr>
      <w:r>
        <w:lastRenderedPageBreak/>
        <w:t>[</w:t>
      </w:r>
      <w:r>
        <w:br/>
        <w:t>R_{\mathrm{sign},C}</w:t>
      </w:r>
    </w:p>
    <w:p w:rsidR="00937413" w:rsidRDefault="00937413" w:rsidP="00937413">
      <w:pPr>
        <w:pStyle w:val="berschrift1"/>
      </w:pPr>
      <w:r>
        <w:t>\frac{1}{n}</w:t>
      </w:r>
      <w:r>
        <w:br/>
        <w:t>\sum_{k=1}^{n}</w:t>
      </w:r>
      <w:r>
        <w:br/>
        <w:t>\mathbf{1}</w:t>
      </w:r>
      <w:r>
        <w:br/>
        <w:t>\left[</w:t>
      </w:r>
      <w:r>
        <w:br/>
        <w:t>\operatorname{sgn}</w:t>
      </w:r>
      <w:r>
        <w:br/>
        <w:t>\left(</w:t>
      </w:r>
      <w:r>
        <w:br/>
        <w:t>\psi_C^{(k)}</w:t>
      </w:r>
      <w:r>
        <w:br/>
        <w:t>\right)</w:t>
      </w:r>
    </w:p>
    <w:p w:rsidR="00937413" w:rsidRDefault="00937413" w:rsidP="00937413">
      <w:pPr>
        <w:pStyle w:val="StandardWeb"/>
      </w:pPr>
      <w:r>
        <w:t>s^\ast</w:t>
      </w:r>
      <w:r>
        <w:br/>
        <w:t>\right].</w:t>
      </w:r>
      <w:r>
        <w:br/>
        <w:t>\tag{3.7420}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R_{\mathrm{sign},C}=\frac{1}{n}\sum_{k=1}^{n}\mathbf{1}\left[\operatorname{sgn}\left(\psi_C^{(k)}\right)=s^{\ast}\right]\qquad\text{(3.7420)}</w:t>
      </w:r>
    </w:p>
    <w:p w:rsidR="00937413" w:rsidRDefault="00937413" w:rsidP="00937413">
      <w:pPr>
        <w:pStyle w:val="StandardWeb"/>
      </w:pPr>
      <w:r>
        <w:t>Diese Form ist für kausale Aussagen häufig informativer als die Stabilität des exakten Effektbetrags.</w:t>
      </w:r>
    </w:p>
    <w:p w:rsidR="00937413" w:rsidRDefault="00E50336" w:rsidP="00937413">
      <w:r>
        <w:pict>
          <v:rect id="_x0000_i1609" style="width:0;height:1.5pt" o:hralign="center" o:hrstd="t" o:hr="t" fillcolor="#a0a0a0" stroked="f"/>
        </w:pict>
      </w:r>
    </w:p>
    <w:p w:rsidR="00937413" w:rsidRDefault="00937413" w:rsidP="00937413">
      <w:pPr>
        <w:pStyle w:val="berschrift2"/>
      </w:pPr>
      <w:r>
        <w:t>3.3.41.52 Stabilität funktionaler Relationen</w:t>
      </w:r>
    </w:p>
    <w:p w:rsidR="00937413" w:rsidRDefault="00937413" w:rsidP="00937413">
      <w:pPr>
        <w:pStyle w:val="StandardWeb"/>
      </w:pPr>
      <w:r>
        <w:t>Eine Relation</w:t>
      </w:r>
    </w:p>
    <w:p w:rsidR="00937413" w:rsidRDefault="00937413" w:rsidP="00937413">
      <w:pPr>
        <w:pStyle w:val="StandardWeb"/>
      </w:pPr>
      <w:r>
        <w:t>[</w:t>
      </w:r>
      <w:r>
        <w:br/>
        <w:t>r_{ij}</w:t>
      </w:r>
      <w:r>
        <w:br/>
        <w:t>\tag{3.7421}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r_{ij}\qquad\text{(3.7421)}</w:t>
      </w:r>
    </w:p>
    <w:p w:rsidR="00937413" w:rsidRDefault="00937413" w:rsidP="00937413">
      <w:pPr>
        <w:pStyle w:val="StandardWeb"/>
      </w:pPr>
      <w:r>
        <w:t>zwischen zwei funktionalen Zustandskomponenten kann ebenfalls eine eigene Stabilität besitzen.</w:t>
      </w:r>
    </w:p>
    <w:p w:rsidR="00937413" w:rsidRDefault="00937413" w:rsidP="00937413">
      <w:pPr>
        <w:pStyle w:val="StandardWeb"/>
      </w:pPr>
      <w:r>
        <w:t>Für (n) Analysen definiere ich</w:t>
      </w:r>
    </w:p>
    <w:p w:rsidR="00937413" w:rsidRDefault="00937413" w:rsidP="00937413">
      <w:pPr>
        <w:pStyle w:val="berschrift1"/>
      </w:pPr>
      <w:r>
        <w:lastRenderedPageBreak/>
        <w:t>[</w:t>
      </w:r>
      <w:r>
        <w:br/>
        <w:t>R_{ij}^{\mathrm{rel}}</w:t>
      </w:r>
    </w:p>
    <w:p w:rsidR="00937413" w:rsidRDefault="00937413" w:rsidP="00937413">
      <w:pPr>
        <w:pStyle w:val="berschrift1"/>
      </w:pPr>
      <w:r>
        <w:t>\frac{1}{n}</w:t>
      </w:r>
      <w:r>
        <w:br/>
        <w:t>\sum_{k=1}^{n}</w:t>
      </w:r>
      <w:r>
        <w:br/>
        <w:t>\mathbf{1}</w:t>
      </w:r>
      <w:r>
        <w:br/>
        <w:t>\left[</w:t>
      </w:r>
      <w:r>
        <w:br/>
        <w:t>r_{ij}^{(k)}</w:t>
      </w:r>
    </w:p>
    <w:p w:rsidR="00937413" w:rsidRDefault="00937413" w:rsidP="00937413">
      <w:pPr>
        <w:pStyle w:val="StandardWeb"/>
      </w:pPr>
      <w:r>
        <w:t>r_{ij}^{\mathrm{ref}}</w:t>
      </w:r>
      <w:r>
        <w:br/>
        <w:t>\right].</w:t>
      </w:r>
      <w:r>
        <w:br/>
        <w:t>\tag{3.7422}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R_{ij}^{\mathrm{rel}}=\frac{1}{n}\sum_{k=1}^{n}\mathbf{1}\left[r_{ij}^{(k)}=r_{ij}^{\mathrm{ref}}\right]\qquad\text{(3.7422)}</w:t>
      </w:r>
    </w:p>
    <w:p w:rsidR="00937413" w:rsidRDefault="00E50336" w:rsidP="00937413">
      <w:r>
        <w:pict>
          <v:rect id="_x0000_i1610" style="width:0;height:1.5pt" o:hralign="center" o:hrstd="t" o:hr="t" fillcolor="#a0a0a0" stroked="f"/>
        </w:pict>
      </w:r>
    </w:p>
    <w:p w:rsidR="00937413" w:rsidRDefault="00937413" w:rsidP="00937413">
      <w:pPr>
        <w:pStyle w:val="berschrift2"/>
      </w:pPr>
      <w:r>
        <w:t>3.3.41.53 Stabilität relationaler Netzwerke</w:t>
      </w:r>
    </w:p>
    <w:p w:rsidR="00937413" w:rsidRDefault="00937413" w:rsidP="00937413">
      <w:pPr>
        <w:pStyle w:val="StandardWeb"/>
      </w:pPr>
      <w:r>
        <w:t>Für eine vollständige Relationsstruktur</w:t>
      </w:r>
    </w:p>
    <w:p w:rsidR="00937413" w:rsidRDefault="00937413" w:rsidP="00937413">
      <w:pPr>
        <w:pStyle w:val="StandardWeb"/>
      </w:pPr>
      <w:r>
        <w:t>[</w:t>
      </w:r>
      <w:r>
        <w:br/>
        <w:t>\mathbf{A}^{(k)}</w:t>
      </w:r>
      <w:r>
        <w:br/>
        <w:t>\tag{3.7423}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\mathbf{A}^{(k)}\qquad\text{(3.7423)}</w:t>
      </w:r>
    </w:p>
    <w:p w:rsidR="00937413" w:rsidRDefault="00937413" w:rsidP="00937413">
      <w:pPr>
        <w:pStyle w:val="StandardWeb"/>
      </w:pPr>
      <w:r>
        <w:t>kann ein Netzwerkstabilitätsmaß definiert werden:</w:t>
      </w:r>
    </w:p>
    <w:p w:rsidR="00937413" w:rsidRDefault="00937413" w:rsidP="00937413">
      <w:pPr>
        <w:pStyle w:val="berschrift1"/>
      </w:pPr>
      <w:r>
        <w:t>[</w:t>
      </w:r>
      <w:r>
        <w:br/>
        <w:t>R_{\mathrm{net}}</w:t>
      </w:r>
    </w:p>
    <w:p w:rsidR="00937413" w:rsidRDefault="00937413" w:rsidP="00937413">
      <w:pPr>
        <w:pStyle w:val="StandardWeb"/>
      </w:pPr>
      <w:r>
        <w:t>\mathcal{S}_{\mathrm{net}}</w:t>
      </w:r>
      <w:r>
        <w:br/>
        <w:t>\left(</w:t>
      </w:r>
      <w:r>
        <w:br/>
        <w:t>\mathbf{A}^{(1)},</w:t>
      </w:r>
      <w:r>
        <w:br/>
        <w:t>\ldots,</w:t>
      </w:r>
      <w:r>
        <w:br/>
        <w:t>\mathbf{A}^{(n)}</w:t>
      </w:r>
      <w:r>
        <w:br/>
        <w:t>\right).</w:t>
      </w:r>
      <w:r>
        <w:br/>
      </w:r>
      <w:r>
        <w:lastRenderedPageBreak/>
        <w:t>\tag{3.7424}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R_{\mathrm{net}}=\mathcal{S}_{\mathrm{net}}\left(\mathbf{A}^{(1)},\ldots,\mathbf{A}^{(n)}\right)\qquad\text{(3.7424)}</w:t>
      </w:r>
    </w:p>
    <w:p w:rsidR="00937413" w:rsidRDefault="00937413" w:rsidP="00937413">
      <w:pPr>
        <w:pStyle w:val="StandardWeb"/>
      </w:pPr>
      <w:r>
        <w:t>Damit kann eine Netzwerkaussage auch dann stabil sein, wenn einzelne Kantengewichte variieren.</w:t>
      </w:r>
    </w:p>
    <w:p w:rsidR="00937413" w:rsidRDefault="00E50336" w:rsidP="00937413">
      <w:r>
        <w:pict>
          <v:rect id="_x0000_i1611" style="width:0;height:1.5pt" o:hralign="center" o:hrstd="t" o:hr="t" fillcolor="#a0a0a0" stroked="f"/>
        </w:pict>
      </w:r>
    </w:p>
    <w:p w:rsidR="00937413" w:rsidRDefault="00937413" w:rsidP="00937413">
      <w:pPr>
        <w:pStyle w:val="berschrift2"/>
      </w:pPr>
      <w:r>
        <w:t>3.3.41.54 Stabilität von Dominanzrelationen</w:t>
      </w:r>
    </w:p>
    <w:p w:rsidR="00937413" w:rsidRDefault="00937413" w:rsidP="00937413">
      <w:pPr>
        <w:pStyle w:val="StandardWeb"/>
      </w:pPr>
      <w:r>
        <w:t>Eine Dominanzrelation</w:t>
      </w:r>
    </w:p>
    <w:p w:rsidR="00937413" w:rsidRDefault="00937413" w:rsidP="00937413">
      <w:pPr>
        <w:pStyle w:val="StandardWeb"/>
      </w:pPr>
      <w:r>
        <w:t>[</w:t>
      </w:r>
      <w:r>
        <w:br/>
        <w:t>D_a</w:t>
      </w:r>
    </w:p>
    <w:p w:rsidR="00937413" w:rsidRDefault="00937413" w:rsidP="00937413">
      <w:pPr>
        <w:pStyle w:val="StandardWeb"/>
      </w:pPr>
      <w:r>
        <w:t>D_b</w:t>
      </w:r>
      <w:r>
        <w:br/>
        <w:t>\tag{3.7425}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D_a&gt;D_b\qquad\text{(3.7425)}</w:t>
      </w:r>
    </w:p>
    <w:p w:rsidR="00937413" w:rsidRDefault="00937413" w:rsidP="00937413">
      <w:pPr>
        <w:pStyle w:val="StandardWeb"/>
      </w:pPr>
      <w:r>
        <w:t>ist stabil, wenn sie unter allen relevanten Varianten erhalten bleibt:</w:t>
      </w:r>
    </w:p>
    <w:p w:rsidR="00937413" w:rsidRDefault="00937413" w:rsidP="00937413">
      <w:pPr>
        <w:pStyle w:val="StandardWeb"/>
      </w:pPr>
      <w:r>
        <w:t>[</w:t>
      </w:r>
      <w:r>
        <w:br/>
        <w:t>D_a^{(k)}</w:t>
      </w:r>
    </w:p>
    <w:p w:rsidR="00937413" w:rsidRDefault="00937413" w:rsidP="00937413">
      <w:pPr>
        <w:pStyle w:val="StandardWeb"/>
      </w:pPr>
      <w:r>
        <w:t>D_b^{(k)}</w:t>
      </w:r>
      <w:r>
        <w:br/>
        <w:t>\qquad</w:t>
      </w:r>
      <w:r>
        <w:br/>
        <w:t>\forall k.</w:t>
      </w:r>
      <w:r>
        <w:br/>
        <w:t>\tag{3.7426}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D_a^{(k)}&gt;D_b^{(k)}\qquad\forall k\qquad\text{(3.7426)}</w:t>
      </w:r>
    </w:p>
    <w:p w:rsidR="00937413" w:rsidRDefault="00E50336" w:rsidP="00937413">
      <w:r>
        <w:pict>
          <v:rect id="_x0000_i1612" style="width:0;height:1.5pt" o:hralign="center" o:hrstd="t" o:hr="t" fillcolor="#a0a0a0" stroked="f"/>
        </w:pict>
      </w:r>
    </w:p>
    <w:p w:rsidR="00937413" w:rsidRDefault="00937413" w:rsidP="00937413">
      <w:pPr>
        <w:pStyle w:val="berschrift2"/>
      </w:pPr>
      <w:r>
        <w:t>3.3.41.55 Dominanzwechsel als Instabilität</w:t>
      </w:r>
    </w:p>
    <w:p w:rsidR="00937413" w:rsidRDefault="00937413" w:rsidP="00937413">
      <w:pPr>
        <w:pStyle w:val="StandardWeb"/>
      </w:pPr>
      <w:r>
        <w:t>Ein Dominanzwechsel liegt vor, wenn</w:t>
      </w:r>
    </w:p>
    <w:p w:rsidR="00937413" w:rsidRDefault="00937413" w:rsidP="00937413">
      <w:pPr>
        <w:pStyle w:val="StandardWeb"/>
      </w:pPr>
      <w:r>
        <w:t>[</w:t>
      </w:r>
      <w:r>
        <w:br/>
        <w:t>D_a^{(1)}</w:t>
      </w:r>
    </w:p>
    <w:p w:rsidR="00937413" w:rsidRDefault="00937413" w:rsidP="00937413">
      <w:pPr>
        <w:pStyle w:val="StandardWeb"/>
      </w:pPr>
      <w:r>
        <w:lastRenderedPageBreak/>
        <w:t>D_b^{(1)}</w:t>
      </w:r>
      <w:r>
        <w:br/>
        <w:t>\tag{3.7427}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D_a^{(1)}&gt;D_b^{(1)}\qquad\text{(3.7427)}</w:t>
      </w:r>
    </w:p>
    <w:p w:rsidR="00937413" w:rsidRDefault="00937413" w:rsidP="00937413">
      <w:pPr>
        <w:pStyle w:val="StandardWeb"/>
      </w:pPr>
      <w:r>
        <w:t>aber</w:t>
      </w:r>
    </w:p>
    <w:p w:rsidR="00937413" w:rsidRDefault="00937413" w:rsidP="00937413">
      <w:pPr>
        <w:pStyle w:val="StandardWeb"/>
      </w:pPr>
      <w:r>
        <w:t>[</w:t>
      </w:r>
      <w:r>
        <w:br/>
        <w:t>D_a^{(2)}</w:t>
      </w:r>
      <w:r>
        <w:br/>
        <w:t>&lt;</w:t>
      </w:r>
      <w:r>
        <w:br/>
        <w:t>D_b^{(2)}.</w:t>
      </w:r>
      <w:r>
        <w:br/>
        <w:t>\tag{3.7428}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D_a^{(2)}&lt;D_b^{(2)}\qquad\text{(3.7428)}</w:t>
      </w:r>
    </w:p>
    <w:p w:rsidR="00937413" w:rsidRDefault="00937413" w:rsidP="00937413">
      <w:pPr>
        <w:pStyle w:val="StandardWeb"/>
      </w:pPr>
      <w:r>
        <w:t>Dann ist die Dominanzaussage nicht stabil.</w:t>
      </w:r>
    </w:p>
    <w:p w:rsidR="00937413" w:rsidRDefault="00E50336" w:rsidP="00937413">
      <w:r>
        <w:pict>
          <v:rect id="_x0000_i1613" style="width:0;height:1.5pt" o:hralign="center" o:hrstd="t" o:hr="t" fillcolor="#a0a0a0" stroked="f"/>
        </w:pict>
      </w:r>
    </w:p>
    <w:p w:rsidR="00937413" w:rsidRDefault="00937413" w:rsidP="00937413">
      <w:pPr>
        <w:pStyle w:val="berschrift2"/>
      </w:pPr>
      <w:r>
        <w:t>3.3.41.56 Stabilität von Ereignisfolgen</w:t>
      </w:r>
    </w:p>
    <w:p w:rsidR="00937413" w:rsidRDefault="00937413" w:rsidP="00937413">
      <w:pPr>
        <w:pStyle w:val="StandardWeb"/>
      </w:pPr>
      <w:r>
        <w:t>Für eine Ereignisfolge</w:t>
      </w:r>
    </w:p>
    <w:p w:rsidR="00937413" w:rsidRDefault="00937413" w:rsidP="00937413">
      <w:pPr>
        <w:pStyle w:val="StandardWeb"/>
      </w:pPr>
      <w:r>
        <w:t>[</w:t>
      </w:r>
      <w:r>
        <w:br/>
        <w:t>E_1</w:t>
      </w:r>
      <w:r>
        <w:br/>
        <w:t>\prec</w:t>
      </w:r>
      <w:r>
        <w:br/>
        <w:t>E_2</w:t>
      </w:r>
      <w:r>
        <w:br/>
        <w:t>\prec</w:t>
      </w:r>
      <w:r>
        <w:br/>
        <w:t>\cdots</w:t>
      </w:r>
      <w:r>
        <w:br/>
        <w:t>\prec</w:t>
      </w:r>
      <w:r>
        <w:br/>
        <w:t>E_n</w:t>
      </w:r>
      <w:r>
        <w:br/>
        <w:t>\tag{3.7429}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E_1\prec E_2\prec\cdots\prec E_n\qquad\text{(3.7429)}</w:t>
      </w:r>
    </w:p>
    <w:p w:rsidR="00937413" w:rsidRDefault="00937413" w:rsidP="00937413">
      <w:pPr>
        <w:pStyle w:val="StandardWeb"/>
      </w:pPr>
      <w:r>
        <w:t>kann eine Reihenfolgestabilität definiert werden.</w:t>
      </w:r>
    </w:p>
    <w:p w:rsidR="00937413" w:rsidRDefault="00937413" w:rsidP="00937413">
      <w:pPr>
        <w:pStyle w:val="StandardWeb"/>
      </w:pPr>
      <w:r>
        <w:t>Ich schreibe</w:t>
      </w:r>
    </w:p>
    <w:p w:rsidR="00937413" w:rsidRDefault="00937413" w:rsidP="00937413">
      <w:pPr>
        <w:pStyle w:val="berschrift1"/>
      </w:pPr>
      <w:r>
        <w:t>[</w:t>
      </w:r>
      <w:r>
        <w:br/>
        <w:t>R_{\mathrm{ord}}</w:t>
      </w:r>
    </w:p>
    <w:p w:rsidR="00937413" w:rsidRDefault="00937413" w:rsidP="00937413">
      <w:pPr>
        <w:pStyle w:val="StandardWeb"/>
      </w:pPr>
      <w:r>
        <w:lastRenderedPageBreak/>
        <w:t>\Pr</w:t>
      </w:r>
      <w:r>
        <w:br/>
        <w:t>\left[</w:t>
      </w:r>
      <w:r>
        <w:br/>
        <w:t>E_1</w:t>
      </w:r>
      <w:r>
        <w:br/>
        <w:t>\prec</w:t>
      </w:r>
      <w:r>
        <w:br/>
        <w:t>E_2</w:t>
      </w:r>
      <w:r>
        <w:br/>
        <w:t>\prec</w:t>
      </w:r>
      <w:r>
        <w:br/>
        <w:t>\cdots</w:t>
      </w:r>
      <w:r>
        <w:br/>
        <w:t>\prec</w:t>
      </w:r>
      <w:r>
        <w:br/>
        <w:t>E_n</w:t>
      </w:r>
      <w:r>
        <w:br/>
        <w:t>\right].</w:t>
      </w:r>
      <w:r>
        <w:br/>
        <w:t>\tag{3.7430}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R_{\mathrm{ord}}=\Pr\left[E_1\prec E_2\prec\cdots\prec E_n\right]\qquad\text{(3.7430)}</w:t>
      </w:r>
    </w:p>
    <w:p w:rsidR="00937413" w:rsidRDefault="00E50336" w:rsidP="00937413">
      <w:r>
        <w:pict>
          <v:rect id="_x0000_i1614" style="width:0;height:1.5pt" o:hralign="center" o:hrstd="t" o:hr="t" fillcolor="#a0a0a0" stroked="f"/>
        </w:pict>
      </w:r>
    </w:p>
    <w:p w:rsidR="00937413" w:rsidRDefault="00937413" w:rsidP="00937413">
      <w:pPr>
        <w:pStyle w:val="berschrift2"/>
      </w:pPr>
      <w:r>
        <w:t>3.3.41.57 Zeitpunktsstabilität</w:t>
      </w:r>
    </w:p>
    <w:p w:rsidR="00937413" w:rsidRDefault="00937413" w:rsidP="00937413">
      <w:pPr>
        <w:pStyle w:val="StandardWeb"/>
      </w:pPr>
      <w:r>
        <w:t>Eine Ereignisfolge kann stabil sein, obwohl ihre exakten Zeitpunkte variieren.</w:t>
      </w:r>
    </w:p>
    <w:p w:rsidR="00937413" w:rsidRDefault="00937413" w:rsidP="00937413">
      <w:pPr>
        <w:pStyle w:val="StandardWeb"/>
      </w:pPr>
      <w:r>
        <w:t>Ich definiere deshalb getrennt</w:t>
      </w:r>
    </w:p>
    <w:p w:rsidR="00937413" w:rsidRDefault="00937413" w:rsidP="00937413">
      <w:pPr>
        <w:pStyle w:val="berschrift1"/>
      </w:pPr>
      <w:r>
        <w:t>[</w:t>
      </w:r>
      <w:r>
        <w:br/>
        <w:t>R_{\mathrm{time}}</w:t>
      </w:r>
    </w:p>
    <w:p w:rsidR="00937413" w:rsidRDefault="00937413" w:rsidP="00937413">
      <w:pPr>
        <w:pStyle w:val="StandardWeb"/>
      </w:pPr>
      <w:r>
        <w:t>\operatorname{Stabilität}</w:t>
      </w:r>
      <w:r>
        <w:br/>
        <w:t>\left(</w:t>
      </w:r>
      <w:r>
        <w:br/>
        <w:t>t_1,</w:t>
      </w:r>
      <w:r>
        <w:br/>
        <w:t>\ldots,</w:t>
      </w:r>
      <w:r>
        <w:br/>
        <w:t>t_n</w:t>
      </w:r>
      <w:r>
        <w:br/>
        <w:t>\right).</w:t>
      </w:r>
      <w:r>
        <w:br/>
        <w:t>\tag{3.7431}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R_{\mathrm{time}}=\operatorname{Stabilität}\left(t_1,\ldots,t_n\right)\qquad\text{(3.7431)}</w:t>
      </w:r>
    </w:p>
    <w:p w:rsidR="00937413" w:rsidRDefault="00937413" w:rsidP="00937413">
      <w:pPr>
        <w:pStyle w:val="StandardWeb"/>
      </w:pPr>
      <w:r>
        <w:t>und</w:t>
      </w:r>
    </w:p>
    <w:p w:rsidR="00937413" w:rsidRDefault="00937413" w:rsidP="00937413">
      <w:pPr>
        <w:pStyle w:val="StandardWeb"/>
      </w:pPr>
      <w:r>
        <w:t>[</w:t>
      </w:r>
      <w:r>
        <w:br/>
        <w:t>R_{\mathrm{ord}}</w:t>
      </w:r>
      <w:r>
        <w:br/>
        <w:t>\tag{3.7432}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lastRenderedPageBreak/>
        <w:t>R_{\mathrm{ord}}\qquad\text{(3.7432)}</w:t>
      </w:r>
    </w:p>
    <w:p w:rsidR="00937413" w:rsidRDefault="00937413" w:rsidP="00937413">
      <w:pPr>
        <w:pStyle w:val="StandardWeb"/>
      </w:pPr>
      <w:r>
        <w:t>für die Reihenfolge.</w:t>
      </w:r>
    </w:p>
    <w:p w:rsidR="00937413" w:rsidRDefault="00937413" w:rsidP="00937413">
      <w:pPr>
        <w:pStyle w:val="StandardWeb"/>
      </w:pPr>
      <w:r>
        <w:t>Damit können zeitliche Struktur und zeitliche Präzision getrennt bewertet werden.</w:t>
      </w:r>
    </w:p>
    <w:p w:rsidR="00937413" w:rsidRDefault="00E50336" w:rsidP="00937413">
      <w:r>
        <w:pict>
          <v:rect id="_x0000_i1615" style="width:0;height:1.5pt" o:hralign="center" o:hrstd="t" o:hr="t" fillcolor="#a0a0a0" stroked="f"/>
        </w:pict>
      </w:r>
    </w:p>
    <w:p w:rsidR="00937413" w:rsidRDefault="00937413" w:rsidP="00937413">
      <w:pPr>
        <w:pStyle w:val="berschrift2"/>
      </w:pPr>
      <w:r>
        <w:t>3.3.41.58 Stabilität von Schwellenwerten</w:t>
      </w:r>
    </w:p>
    <w:p w:rsidR="00937413" w:rsidRDefault="00937413" w:rsidP="00937413">
      <w:pPr>
        <w:pStyle w:val="StandardWeb"/>
      </w:pPr>
      <w:r>
        <w:t>Eine kritische Schwelle sei</w:t>
      </w:r>
    </w:p>
    <w:p w:rsidR="00937413" w:rsidRDefault="00937413" w:rsidP="00937413">
      <w:pPr>
        <w:pStyle w:val="StandardWeb"/>
      </w:pPr>
      <w:r>
        <w:t>[</w:t>
      </w:r>
      <w:r>
        <w:br/>
        <w:t>\theta_{\mathrm{krit}}^{(k)}</w:t>
      </w:r>
      <w:r>
        <w:br/>
        <w:t>\tag{3.7433}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\theta_{\mathrm{krit}}^{(k)}\qquad\text{(3.7433)}</w:t>
      </w:r>
    </w:p>
    <w:p w:rsidR="00937413" w:rsidRDefault="00937413" w:rsidP="00937413">
      <w:pPr>
        <w:pStyle w:val="StandardWeb"/>
      </w:pPr>
      <w:r>
        <w:t>unter Analysevariante (k).</w:t>
      </w:r>
    </w:p>
    <w:p w:rsidR="00937413" w:rsidRDefault="00937413" w:rsidP="00937413">
      <w:pPr>
        <w:pStyle w:val="StandardWeb"/>
      </w:pPr>
      <w:r>
        <w:t>Die Schwellenwertstabilität kann durch</w:t>
      </w:r>
    </w:p>
    <w:p w:rsidR="00937413" w:rsidRDefault="00937413" w:rsidP="00937413">
      <w:pPr>
        <w:pStyle w:val="berschrift1"/>
      </w:pPr>
      <w:r>
        <w:t>[</w:t>
      </w:r>
      <w:r>
        <w:br/>
        <w:t>V_{\theta_{\mathrm{krit}}}</w:t>
      </w:r>
    </w:p>
    <w:p w:rsidR="00937413" w:rsidRDefault="00937413" w:rsidP="00937413">
      <w:pPr>
        <w:pStyle w:val="StandardWeb"/>
      </w:pPr>
      <w:r>
        <w:t>\operatorname{Var}</w:t>
      </w:r>
      <w:r>
        <w:br/>
        <w:t>\left(</w:t>
      </w:r>
      <w:r>
        <w:br/>
        <w:t>\theta_{\mathrm{krit}}^{(1)},</w:t>
      </w:r>
      <w:r>
        <w:br/>
        <w:t>\ldots,</w:t>
      </w:r>
      <w:r>
        <w:br/>
        <w:t>\theta_{\mathrm{krit}}^{(n)}</w:t>
      </w:r>
      <w:r>
        <w:br/>
        <w:t>\right)</w:t>
      </w:r>
      <w:r>
        <w:br/>
        <w:t>\tag{3.7434}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V_{\theta_{\mathrm{krit}}}=\operatorname{Var}\left(\theta_{\mathrm{krit}}^{(1)},\ldots,\theta_{\mathrm{krit}}^{(n)}\right)\qquad\text{(3.7434)}</w:t>
      </w:r>
    </w:p>
    <w:p w:rsidR="00937413" w:rsidRDefault="00937413" w:rsidP="00937413">
      <w:pPr>
        <w:pStyle w:val="StandardWeb"/>
      </w:pPr>
      <w:r>
        <w:t>beschrieben werden.</w:t>
      </w:r>
    </w:p>
    <w:p w:rsidR="00937413" w:rsidRDefault="00E50336" w:rsidP="00937413">
      <w:r>
        <w:pict>
          <v:rect id="_x0000_i1616" style="width:0;height:1.5pt" o:hralign="center" o:hrstd="t" o:hr="t" fillcolor="#a0a0a0" stroked="f"/>
        </w:pict>
      </w:r>
    </w:p>
    <w:p w:rsidR="00937413" w:rsidRDefault="00937413" w:rsidP="00937413">
      <w:pPr>
        <w:pStyle w:val="berschrift2"/>
      </w:pPr>
      <w:r>
        <w:t>3.3.41.59 Regimestabilität</w:t>
      </w:r>
    </w:p>
    <w:p w:rsidR="00937413" w:rsidRDefault="00937413" w:rsidP="00937413">
      <w:pPr>
        <w:pStyle w:val="StandardWeb"/>
      </w:pPr>
      <w:r>
        <w:t>Ein dynamisches Regime sei</w:t>
      </w:r>
    </w:p>
    <w:p w:rsidR="00937413" w:rsidRDefault="00937413" w:rsidP="00937413">
      <w:pPr>
        <w:pStyle w:val="StandardWeb"/>
      </w:pPr>
      <w:r>
        <w:lastRenderedPageBreak/>
        <w:t>[</w:t>
      </w:r>
      <w:r>
        <w:br/>
        <w:t>\mathcal{D}_F^{(k)}.</w:t>
      </w:r>
      <w:r>
        <w:br/>
        <w:t>\tag{3.7435}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\mathcal{D}_F^{(k)}\qquad\text{(3.7435)}</w:t>
      </w:r>
    </w:p>
    <w:p w:rsidR="00937413" w:rsidRDefault="00937413" w:rsidP="00937413">
      <w:pPr>
        <w:pStyle w:val="StandardWeb"/>
      </w:pPr>
      <w:r>
        <w:t>Ich definiere</w:t>
      </w:r>
    </w:p>
    <w:p w:rsidR="00937413" w:rsidRDefault="00937413" w:rsidP="00937413">
      <w:pPr>
        <w:pStyle w:val="berschrift1"/>
      </w:pPr>
      <w:r>
        <w:t>[</w:t>
      </w:r>
      <w:r>
        <w:br/>
        <w:t>R_{\mathrm{reg}}</w:t>
      </w:r>
    </w:p>
    <w:p w:rsidR="00937413" w:rsidRDefault="00937413" w:rsidP="00937413">
      <w:pPr>
        <w:pStyle w:val="berschrift1"/>
      </w:pPr>
      <w:r>
        <w:t>\frac{1}{n}</w:t>
      </w:r>
      <w:r>
        <w:br/>
        <w:t>\sum_{k=1}^{n}</w:t>
      </w:r>
      <w:r>
        <w:br/>
        <w:t>\mathbf{1}</w:t>
      </w:r>
      <w:r>
        <w:br/>
        <w:t>\left[</w:t>
      </w:r>
      <w:r>
        <w:br/>
        <w:t>\mathcal{D}_F^{(k)}</w:t>
      </w:r>
    </w:p>
    <w:p w:rsidR="00937413" w:rsidRDefault="00937413" w:rsidP="00937413">
      <w:pPr>
        <w:pStyle w:val="StandardWeb"/>
      </w:pPr>
      <w:r>
        <w:t>\mathcal{D}_F^{\mathrm{ref}}</w:t>
      </w:r>
      <w:r>
        <w:br/>
        <w:t>\right].</w:t>
      </w:r>
      <w:r>
        <w:br/>
        <w:t>\tag{3.7436}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R_{\mathrm{reg}}=\frac{1}{n}\sum_{k=1}^{n}\mathbf{1}\left[\mathcal{D}_F^{(k)}=\mathcal{D}_F^{\mathrm{ref}}\right]\qquad\text{(3.7436)}</w:t>
      </w:r>
    </w:p>
    <w:p w:rsidR="00937413" w:rsidRDefault="00937413" w:rsidP="00937413">
      <w:pPr>
        <w:pStyle w:val="StandardWeb"/>
      </w:pPr>
      <w:r>
        <w:t>Damit wird die Stabilität eines dynamischen Regimes von der Stabilität einzelner Messwerte getrennt.</w:t>
      </w:r>
    </w:p>
    <w:p w:rsidR="00937413" w:rsidRDefault="00E50336" w:rsidP="00937413">
      <w:r>
        <w:pict>
          <v:rect id="_x0000_i1617" style="width:0;height:1.5pt" o:hralign="center" o:hrstd="t" o:hr="t" fillcolor="#a0a0a0" stroked="f"/>
        </w:pict>
      </w:r>
    </w:p>
    <w:p w:rsidR="00937413" w:rsidRDefault="00937413" w:rsidP="00937413">
      <w:pPr>
        <w:pStyle w:val="berschrift2"/>
      </w:pPr>
      <w:r>
        <w:t>3.3.41.60 Attraktorstabilität</w:t>
      </w:r>
    </w:p>
    <w:p w:rsidR="00937413" w:rsidRDefault="00937413" w:rsidP="00937413">
      <w:pPr>
        <w:pStyle w:val="StandardWeb"/>
      </w:pPr>
      <w:r>
        <w:t>Für einen Attraktor</w:t>
      </w:r>
    </w:p>
    <w:p w:rsidR="00937413" w:rsidRDefault="00937413" w:rsidP="00937413">
      <w:pPr>
        <w:pStyle w:val="StandardWeb"/>
      </w:pPr>
      <w:r>
        <w:t>[</w:t>
      </w:r>
      <w:r>
        <w:br/>
        <w:t>\mathcal{A}_F^{(k)}</w:t>
      </w:r>
      <w:r>
        <w:br/>
        <w:t>\tag{3.7437}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\mathcal{A}_F^{(k)}\qquad\text{(3.7437)}</w:t>
      </w:r>
    </w:p>
    <w:p w:rsidR="00937413" w:rsidRDefault="00937413" w:rsidP="00937413">
      <w:pPr>
        <w:pStyle w:val="StandardWeb"/>
      </w:pPr>
      <w:r>
        <w:lastRenderedPageBreak/>
        <w:t>definiere ich</w:t>
      </w:r>
    </w:p>
    <w:p w:rsidR="00937413" w:rsidRDefault="00937413" w:rsidP="00937413">
      <w:pPr>
        <w:pStyle w:val="berschrift1"/>
      </w:pPr>
      <w:r>
        <w:t>[</w:t>
      </w:r>
      <w:r>
        <w:br/>
        <w:t>R_{\mathcal{A}}</w:t>
      </w:r>
    </w:p>
    <w:p w:rsidR="00937413" w:rsidRDefault="00937413" w:rsidP="00937413">
      <w:pPr>
        <w:pStyle w:val="StandardWeb"/>
      </w:pPr>
      <w:r>
        <w:t>\frac{1}{n}</w:t>
      </w:r>
      <w:r>
        <w:br/>
        <w:t>\sum_{k=1}^{n}</w:t>
      </w:r>
      <w:r>
        <w:br/>
        <w:t>\mathbf{1}</w:t>
      </w:r>
      <w:r>
        <w:br/>
        <w:t>\left[</w:t>
      </w:r>
      <w:r>
        <w:br/>
        <w:t>\mathcal{A}</w:t>
      </w:r>
      <w:r>
        <w:rPr>
          <w:rStyle w:val="Hervorhebung"/>
        </w:rPr>
        <w:t>F^{(k)}</w:t>
      </w:r>
      <w:r>
        <w:rPr>
          <w:i/>
          <w:iCs/>
        </w:rPr>
        <w:br/>
      </w:r>
      <w:r>
        <w:rPr>
          <w:rStyle w:val="Hervorhebung"/>
        </w:rPr>
        <w:t>\sim</w:t>
      </w:r>
      <w:r>
        <w:t>{\mathcal{A}}</w:t>
      </w:r>
      <w:r>
        <w:br/>
        <w:t>\mathcal{A}_F^{\mathrm{ref}}</w:t>
      </w:r>
      <w:r>
        <w:br/>
        <w:t>\right].</w:t>
      </w:r>
      <w:r>
        <w:br/>
        <w:t>\tag{3.7438}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R_{\mathcal{A}}=\frac{1}{n}\sum_{k=1}^{n}\mathbf{1}\left[\mathcal{A}_F^{(k)}\sim_{\mathcal{A}}\mathcal{A}_F^{\mathrm{ref}}\right]\qquad\text{(3.7438)}</w:t>
      </w:r>
    </w:p>
    <w:p w:rsidR="00937413" w:rsidRDefault="00E50336" w:rsidP="00937413">
      <w:r>
        <w:pict>
          <v:rect id="_x0000_i1618" style="width:0;height:1.5pt" o:hralign="center" o:hrstd="t" o:hr="t" fillcolor="#a0a0a0" stroked="f"/>
        </w:pict>
      </w:r>
    </w:p>
    <w:p w:rsidR="00937413" w:rsidRDefault="00937413" w:rsidP="00937413">
      <w:pPr>
        <w:pStyle w:val="berschrift2"/>
      </w:pPr>
      <w:r>
        <w:t>3.3.41.61 Attraktorbeckenstabilität</w:t>
      </w:r>
    </w:p>
    <w:p w:rsidR="00937413" w:rsidRDefault="00937413" w:rsidP="00937413">
      <w:pPr>
        <w:pStyle w:val="StandardWeb"/>
      </w:pPr>
      <w:r>
        <w:t>Auch das Attraktorbecken kann variieren.</w:t>
      </w:r>
    </w:p>
    <w:p w:rsidR="00937413" w:rsidRDefault="00937413" w:rsidP="00937413">
      <w:pPr>
        <w:pStyle w:val="StandardWeb"/>
      </w:pPr>
      <w:r>
        <w:t>Sei</w:t>
      </w:r>
    </w:p>
    <w:p w:rsidR="00937413" w:rsidRDefault="00937413" w:rsidP="00937413">
      <w:pPr>
        <w:pStyle w:val="StandardWeb"/>
      </w:pPr>
      <w:r>
        <w:t>[</w:t>
      </w:r>
      <w:r>
        <w:br/>
        <w:t>\mathcal{B}^{(k)}</w:t>
      </w:r>
      <w:r>
        <w:br/>
        <w:t>\left(</w:t>
      </w:r>
      <w:r>
        <w:br/>
        <w:t>\mathcal{A}_F</w:t>
      </w:r>
      <w:r>
        <w:br/>
        <w:t>\right)</w:t>
      </w:r>
      <w:r>
        <w:br/>
        <w:t>\tag{3.7439}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\mathcal{B}^{(k)}\left(\mathcal{A}_F\right)\qquad\text{(3.7439)}</w:t>
      </w:r>
    </w:p>
    <w:p w:rsidR="00937413" w:rsidRDefault="00937413" w:rsidP="00937413">
      <w:pPr>
        <w:pStyle w:val="StandardWeb"/>
      </w:pPr>
      <w:r>
        <w:t>das Attraktorbecken unter Variante (k).</w:t>
      </w:r>
    </w:p>
    <w:p w:rsidR="00937413" w:rsidRDefault="00937413" w:rsidP="00937413">
      <w:pPr>
        <w:pStyle w:val="StandardWeb"/>
      </w:pPr>
      <w:r>
        <w:t>Eine Beckenstabilität kann abstrakt geschrieben werden als</w:t>
      </w:r>
    </w:p>
    <w:p w:rsidR="00937413" w:rsidRDefault="00937413" w:rsidP="00937413">
      <w:pPr>
        <w:pStyle w:val="berschrift1"/>
      </w:pPr>
      <w:r>
        <w:t>[</w:t>
      </w:r>
      <w:r>
        <w:br/>
        <w:t>R_{\mathcal{B}}</w:t>
      </w:r>
    </w:p>
    <w:p w:rsidR="00937413" w:rsidRDefault="00937413" w:rsidP="00937413">
      <w:pPr>
        <w:pStyle w:val="StandardWeb"/>
      </w:pPr>
      <w:r>
        <w:lastRenderedPageBreak/>
        <w:t>\mathcal{S}_{\mathcal{B}}</w:t>
      </w:r>
      <w:r>
        <w:br/>
        <w:t>\left(</w:t>
      </w:r>
      <w:r>
        <w:br/>
        <w:t>\mathcal{B}^{(1)},</w:t>
      </w:r>
      <w:r>
        <w:br/>
        <w:t>\ldots,</w:t>
      </w:r>
      <w:r>
        <w:br/>
        <w:t>\mathcal{B}^{(n)}</w:t>
      </w:r>
      <w:r>
        <w:br/>
        <w:t>\right).</w:t>
      </w:r>
      <w:r>
        <w:br/>
        <w:t>\tag{3.7440}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R_{\mathcal{B}}=\mathcal{S}_{\mathcal{B}}\left(\mathcal{B}^{(1)},\ldots,\mathcal{B}^{(n)}\right)\qquad\text{(3.7440)}</w:t>
      </w:r>
    </w:p>
    <w:p w:rsidR="00937413" w:rsidRDefault="00E50336" w:rsidP="00937413">
      <w:r>
        <w:pict>
          <v:rect id="_x0000_i1619" style="width:0;height:1.5pt" o:hralign="center" o:hrstd="t" o:hr="t" fillcolor="#a0a0a0" stroked="f"/>
        </w:pict>
      </w:r>
    </w:p>
    <w:p w:rsidR="00937413" w:rsidRDefault="00937413" w:rsidP="00937413">
      <w:pPr>
        <w:pStyle w:val="berschrift2"/>
      </w:pPr>
      <w:r>
        <w:t>3.3.41.62 Stabilität von Hysterese</w:t>
      </w:r>
    </w:p>
    <w:p w:rsidR="00937413" w:rsidRDefault="00937413" w:rsidP="00937413">
      <w:pPr>
        <w:pStyle w:val="StandardWeb"/>
      </w:pPr>
      <w:r>
        <w:t>Für eine Hysteresebreite</w:t>
      </w:r>
    </w:p>
    <w:p w:rsidR="00937413" w:rsidRDefault="00937413" w:rsidP="00937413">
      <w:pPr>
        <w:pStyle w:val="StandardWeb"/>
      </w:pPr>
      <w:r>
        <w:t>[</w:t>
      </w:r>
      <w:r>
        <w:br/>
        <w:t>W_{\mathrm{hys}}^{(k)}</w:t>
      </w:r>
      <w:r>
        <w:br/>
        <w:t>\tag{3.7441}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W_{\mathrm{hys}}^{(k)}\qquad\text{(3.7441)}</w:t>
      </w:r>
    </w:p>
    <w:p w:rsidR="00937413" w:rsidRDefault="00937413" w:rsidP="00937413">
      <w:pPr>
        <w:pStyle w:val="StandardWeb"/>
      </w:pPr>
      <w:r>
        <w:t>definiere ich</w:t>
      </w:r>
    </w:p>
    <w:p w:rsidR="00937413" w:rsidRDefault="00937413" w:rsidP="00937413">
      <w:pPr>
        <w:pStyle w:val="berschrift1"/>
      </w:pPr>
      <w:r>
        <w:t>[</w:t>
      </w:r>
      <w:r>
        <w:br/>
        <w:t>R_{\mathrm{hys}}</w:t>
      </w:r>
    </w:p>
    <w:p w:rsidR="00937413" w:rsidRDefault="00937413" w:rsidP="00937413">
      <w:pPr>
        <w:pStyle w:val="StandardWeb"/>
      </w:pPr>
      <w:r>
        <w:t>\operatorname{Stabilität}</w:t>
      </w:r>
      <w:r>
        <w:br/>
        <w:t>\left(</w:t>
      </w:r>
      <w:r>
        <w:br/>
        <w:t>W_{\mathrm{hys}}^{(1)},</w:t>
      </w:r>
      <w:r>
        <w:br/>
        <w:t>\ldots,</w:t>
      </w:r>
      <w:r>
        <w:br/>
        <w:t>W_{\mathrm{hys}}^{(n)}</w:t>
      </w:r>
      <w:r>
        <w:br/>
        <w:t>\right).</w:t>
      </w:r>
      <w:r>
        <w:br/>
        <w:t>\tag{3.7442}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R_{\mathrm{hys}}=\operatorname{Stabilität}\left(W_{\mathrm{hys}}^{(1)},\ldots,W_{\mathrm{hys}}^{(n)}\right)\qquad\text{(3.7442)}</w:t>
      </w:r>
    </w:p>
    <w:p w:rsidR="00937413" w:rsidRDefault="00937413" w:rsidP="00937413">
      <w:pPr>
        <w:pStyle w:val="StandardWeb"/>
      </w:pPr>
      <w:r>
        <w:t>Damit kann geprüft werden, ob ein beobachteter Hystereseeffekt nur unter einer einzelnen Parametrisierung auftritt oder strukturell stabil ist.</w:t>
      </w:r>
    </w:p>
    <w:p w:rsidR="00937413" w:rsidRDefault="00E50336" w:rsidP="00937413">
      <w:r>
        <w:lastRenderedPageBreak/>
        <w:pict>
          <v:rect id="_x0000_i1620" style="width:0;height:1.5pt" o:hralign="center" o:hrstd="t" o:hr="t" fillcolor="#a0a0a0" stroked="f"/>
        </w:pict>
      </w:r>
    </w:p>
    <w:p w:rsidR="00937413" w:rsidRDefault="00937413" w:rsidP="00937413">
      <w:pPr>
        <w:pStyle w:val="berschrift2"/>
      </w:pPr>
      <w:r>
        <w:t>3.3.41.63 Stabilität funktionaler Nullwerte</w:t>
      </w:r>
    </w:p>
    <w:p w:rsidR="00937413" w:rsidRDefault="00937413" w:rsidP="00937413">
      <w:pPr>
        <w:pStyle w:val="StandardWeb"/>
      </w:pPr>
      <w:r>
        <w:t>Da der Nullwert im FRZK eine besondere methodische Rolle besitzt, muss auch seine Interpretation stabil sein.</w:t>
      </w:r>
    </w:p>
    <w:p w:rsidR="00937413" w:rsidRDefault="00937413" w:rsidP="00937413">
      <w:pPr>
        <w:pStyle w:val="StandardWeb"/>
      </w:pPr>
      <w:r>
        <w:t>Sei</w:t>
      </w:r>
    </w:p>
    <w:p w:rsidR="00937413" w:rsidRDefault="00937413" w:rsidP="00937413">
      <w:pPr>
        <w:pStyle w:val="StandardWeb"/>
      </w:pPr>
      <w:r>
        <w:t>[</w:t>
      </w:r>
      <w:r>
        <w:br/>
        <w:t>\mathcal{O}_0^{(k)}</w:t>
      </w:r>
      <w:r>
        <w:br/>
        <w:t>\tag{3.7443}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\mathcal{O}_0^{(k)}\qquad\text{(3.7443)}</w:t>
      </w:r>
    </w:p>
    <w:p w:rsidR="00937413" w:rsidRDefault="00937413" w:rsidP="00937413">
      <w:pPr>
        <w:pStyle w:val="StandardWeb"/>
      </w:pPr>
      <w:r>
        <w:t>die Nullwertinterpretation unter Variante (k).</w:t>
      </w:r>
    </w:p>
    <w:p w:rsidR="00937413" w:rsidRDefault="00937413" w:rsidP="00937413">
      <w:pPr>
        <w:pStyle w:val="StandardWeb"/>
      </w:pPr>
      <w:r>
        <w:t>Ich definiere</w:t>
      </w:r>
    </w:p>
    <w:p w:rsidR="00937413" w:rsidRDefault="00937413" w:rsidP="00937413">
      <w:pPr>
        <w:pStyle w:val="berschrift1"/>
      </w:pPr>
      <w:r>
        <w:t>[</w:t>
      </w:r>
      <w:r>
        <w:br/>
        <w:t>R_0</w:t>
      </w:r>
    </w:p>
    <w:p w:rsidR="00937413" w:rsidRDefault="00937413" w:rsidP="00937413">
      <w:pPr>
        <w:pStyle w:val="berschrift1"/>
      </w:pPr>
      <w:r>
        <w:t>\frac{1}{n}</w:t>
      </w:r>
      <w:r>
        <w:br/>
        <w:t>\sum_{k=1}^{n}</w:t>
      </w:r>
      <w:r>
        <w:br/>
        <w:t>\mathbf{1}</w:t>
      </w:r>
      <w:r>
        <w:br/>
        <w:t>\left[</w:t>
      </w:r>
      <w:r>
        <w:br/>
        <w:t>\mathcal{O}_0^{(k)}</w:t>
      </w:r>
    </w:p>
    <w:p w:rsidR="00937413" w:rsidRDefault="00937413" w:rsidP="00937413">
      <w:pPr>
        <w:pStyle w:val="StandardWeb"/>
      </w:pPr>
      <w:r>
        <w:t>\mathcal{O}_0^{\mathrm{ref}}</w:t>
      </w:r>
      <w:r>
        <w:br/>
        <w:t>\right].</w:t>
      </w:r>
      <w:r>
        <w:br/>
        <w:t>\tag{3.7444}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R_0=\frac{1}{n}\sum_{k=1}^{n}\mathbf{1}\left[\mathcal{O}_0^{(k)}=\mathcal{O}_0^{\mathrm{ref}}\right]\qquad\text{(3.7444)}</w:t>
      </w:r>
    </w:p>
    <w:p w:rsidR="00937413" w:rsidRDefault="00E50336" w:rsidP="00937413">
      <w:r>
        <w:pict>
          <v:rect id="_x0000_i1621" style="width:0;height:1.5pt" o:hralign="center" o:hrstd="t" o:hr="t" fillcolor="#a0a0a0" stroked="f"/>
        </w:pict>
      </w:r>
    </w:p>
    <w:p w:rsidR="00937413" w:rsidRDefault="00937413" w:rsidP="00937413">
      <w:pPr>
        <w:pStyle w:val="berschrift2"/>
      </w:pPr>
      <w:r>
        <w:t>3.3.41.64 Stabilität funktionaler Richtung</w:t>
      </w:r>
    </w:p>
    <w:p w:rsidR="00937413" w:rsidRDefault="00937413" w:rsidP="00937413">
      <w:pPr>
        <w:pStyle w:val="StandardWeb"/>
      </w:pPr>
      <w:r>
        <w:t>Analog kann die Richtungsstruktur eines Vektors untersucht werden.</w:t>
      </w:r>
    </w:p>
    <w:p w:rsidR="00937413" w:rsidRDefault="00937413" w:rsidP="00937413">
      <w:pPr>
        <w:pStyle w:val="StandardWeb"/>
      </w:pPr>
      <w:r>
        <w:lastRenderedPageBreak/>
        <w:t>Für</w:t>
      </w:r>
    </w:p>
    <w:p w:rsidR="00937413" w:rsidRDefault="00937413" w:rsidP="00937413">
      <w:pPr>
        <w:pStyle w:val="StandardWeb"/>
      </w:pPr>
      <w:r>
        <w:t>[</w:t>
      </w:r>
      <w:r>
        <w:br/>
        <w:t>\mathbf{v}^{(k)}</w:t>
      </w:r>
      <w:r>
        <w:br/>
        <w:t>\tag{3.7445}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\mathbf{v}^{(k)}\qquad\text{(3.7445)}</w:t>
      </w:r>
    </w:p>
    <w:p w:rsidR="00937413" w:rsidRDefault="00937413" w:rsidP="00937413">
      <w:pPr>
        <w:pStyle w:val="StandardWeb"/>
      </w:pPr>
      <w:r>
        <w:t>definiere ich eine Richtungsstabilität</w:t>
      </w:r>
    </w:p>
    <w:p w:rsidR="00937413" w:rsidRDefault="00937413" w:rsidP="00937413">
      <w:pPr>
        <w:pStyle w:val="berschrift1"/>
      </w:pPr>
      <w:r>
        <w:t>[</w:t>
      </w:r>
      <w:r>
        <w:br/>
        <w:t>R_{\mathrm{dir}}</w:t>
      </w:r>
    </w:p>
    <w:p w:rsidR="00937413" w:rsidRDefault="00937413" w:rsidP="00937413">
      <w:pPr>
        <w:pStyle w:val="StandardWeb"/>
      </w:pPr>
      <w:r>
        <w:t>\mathcal{S}_{\mathrm{dir}}</w:t>
      </w:r>
      <w:r>
        <w:br/>
        <w:t>\left(</w:t>
      </w:r>
      <w:r>
        <w:br/>
        <w:t>\mathbf{v}^{(1)},</w:t>
      </w:r>
      <w:r>
        <w:br/>
        <w:t>\ldots,</w:t>
      </w:r>
      <w:r>
        <w:br/>
        <w:t>\mathbf{v}^{(n)}</w:t>
      </w:r>
      <w:r>
        <w:br/>
        <w:t>\right).</w:t>
      </w:r>
      <w:r>
        <w:br/>
        <w:t>\tag{3.7446}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R_{\mathrm{dir}}=\mathcal{S}_{\mathrm{dir}}\left(\mathbf{v}^{(1)},\ldots,\mathbf{v}^{(n)}\right)\qquad\text{(3.7446)}</w:t>
      </w:r>
    </w:p>
    <w:p w:rsidR="00937413" w:rsidRDefault="00937413" w:rsidP="00937413">
      <w:pPr>
        <w:pStyle w:val="StandardWeb"/>
      </w:pPr>
      <w:r>
        <w:t>Dies kann insbesondere dann relevant sein, wenn der Betrag einer Größe stark variiert, die funktionale Richtung aber erhalten bleibt.</w:t>
      </w:r>
    </w:p>
    <w:p w:rsidR="00937413" w:rsidRDefault="00E50336" w:rsidP="00937413">
      <w:r>
        <w:pict>
          <v:rect id="_x0000_i1622" style="width:0;height:1.5pt" o:hralign="center" o:hrstd="t" o:hr="t" fillcolor="#a0a0a0" stroked="f"/>
        </w:pict>
      </w:r>
    </w:p>
    <w:p w:rsidR="00937413" w:rsidRDefault="00937413" w:rsidP="00937413">
      <w:pPr>
        <w:pStyle w:val="berschrift2"/>
      </w:pPr>
      <w:r>
        <w:t>3.3.41.65 Betrag- und Richtungsstabilität</w:t>
      </w:r>
    </w:p>
    <w:p w:rsidR="00937413" w:rsidRDefault="00937413" w:rsidP="00937413">
      <w:pPr>
        <w:pStyle w:val="StandardWeb"/>
      </w:pPr>
      <w:r>
        <w:t>Ich unterscheide deshalb</w:t>
      </w:r>
    </w:p>
    <w:p w:rsidR="00937413" w:rsidRDefault="00937413" w:rsidP="00937413">
      <w:pPr>
        <w:pStyle w:val="StandardWeb"/>
      </w:pPr>
      <w:r>
        <w:t>[</w:t>
      </w:r>
      <w:r>
        <w:br/>
        <w:t>R_{\mathrm{mag}}</w:t>
      </w:r>
      <w:r>
        <w:br/>
        <w:t>\tag{3.7447}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R_{\mathrm{mag}}\qquad\text{(3.7447)}</w:t>
      </w:r>
    </w:p>
    <w:p w:rsidR="00937413" w:rsidRDefault="00937413" w:rsidP="00937413">
      <w:pPr>
        <w:pStyle w:val="StandardWeb"/>
      </w:pPr>
      <w:r>
        <w:t>für Betragsstabilität von</w:t>
      </w:r>
    </w:p>
    <w:p w:rsidR="00937413" w:rsidRDefault="00937413" w:rsidP="00937413">
      <w:pPr>
        <w:pStyle w:val="StandardWeb"/>
      </w:pPr>
      <w:r>
        <w:lastRenderedPageBreak/>
        <w:t>[</w:t>
      </w:r>
      <w:r>
        <w:br/>
        <w:t>R_{\mathrm{dir}}.</w:t>
      </w:r>
      <w:r>
        <w:br/>
        <w:t>\tag{3.7448}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R_{\mathrm{dir}}\qquad\text{(3.7448)}</w:t>
      </w:r>
    </w:p>
    <w:p w:rsidR="00937413" w:rsidRDefault="00937413" w:rsidP="00937413">
      <w:pPr>
        <w:pStyle w:val="StandardWeb"/>
      </w:pPr>
      <w:r>
        <w:t>Es kann gelten</w:t>
      </w:r>
    </w:p>
    <w:p w:rsidR="00937413" w:rsidRDefault="00937413" w:rsidP="00937413">
      <w:pPr>
        <w:pStyle w:val="StandardWeb"/>
      </w:pPr>
      <w:r>
        <w:t>[</w:t>
      </w:r>
      <w:r>
        <w:br/>
        <w:t>R_{\mathrm{mag}}</w:t>
      </w:r>
      <w:r>
        <w:br/>
        <w:t>\text{ niedrig}</w:t>
      </w:r>
      <w:r>
        <w:br/>
        <w:t>\land</w:t>
      </w:r>
      <w:r>
        <w:br/>
        <w:t>R_{\mathrm{dir}}</w:t>
      </w:r>
      <w:r>
        <w:br/>
        <w:t>\text{ hoch}.</w:t>
      </w:r>
      <w:r>
        <w:br/>
        <w:t>\tag{3.7449}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R_{\mathrm{mag}}\text{ niedrig}\land R_{\mathrm{dir}}\text{ hoch}\qquad\text{(3.7449)}</w:t>
      </w:r>
    </w:p>
    <w:p w:rsidR="00937413" w:rsidRDefault="00937413" w:rsidP="00937413">
      <w:pPr>
        <w:pStyle w:val="StandardWeb"/>
      </w:pPr>
      <w:r>
        <w:t>Dann schwankt der Betrag, während die qualitative Richtung der Aussage stabil bleibt.</w:t>
      </w:r>
    </w:p>
    <w:p w:rsidR="00937413" w:rsidRDefault="00E50336" w:rsidP="00937413">
      <w:r>
        <w:pict>
          <v:rect id="_x0000_i1623" style="width:0;height:1.5pt" o:hralign="center" o:hrstd="t" o:hr="t" fillcolor="#a0a0a0" stroked="f"/>
        </w:pict>
      </w:r>
    </w:p>
    <w:p w:rsidR="00937413" w:rsidRDefault="00937413" w:rsidP="00937413">
      <w:pPr>
        <w:pStyle w:val="berschrift2"/>
      </w:pPr>
      <w:r>
        <w:t>3.3.41.66 Stabilität von Relationen höherer Ordnung</w:t>
      </w:r>
    </w:p>
    <w:p w:rsidR="00937413" w:rsidRDefault="00937413" w:rsidP="00937413">
      <w:pPr>
        <w:pStyle w:val="StandardWeb"/>
      </w:pPr>
      <w:r>
        <w:t>Nicht nur paarweise Relationen, sondern auch komplexe relationale Muster können stabil sein.</w:t>
      </w:r>
    </w:p>
    <w:p w:rsidR="00937413" w:rsidRDefault="00937413" w:rsidP="00937413">
      <w:pPr>
        <w:pStyle w:val="StandardWeb"/>
      </w:pPr>
      <w:r>
        <w:t>Sei</w:t>
      </w:r>
    </w:p>
    <w:p w:rsidR="00937413" w:rsidRDefault="00937413" w:rsidP="00937413">
      <w:pPr>
        <w:pStyle w:val="StandardWeb"/>
      </w:pPr>
      <w:r>
        <w:t>[</w:t>
      </w:r>
      <w:r>
        <w:br/>
        <w:t>\mathfrak{R}^{(k)}</w:t>
      </w:r>
      <w:r>
        <w:br/>
        <w:t>\tag{3.7450}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\mathfrak{R}^{(k)}\qquad\text{(3.7450)}</w:t>
      </w:r>
    </w:p>
    <w:p w:rsidR="00937413" w:rsidRDefault="00937413" w:rsidP="00937413">
      <w:pPr>
        <w:pStyle w:val="StandardWeb"/>
      </w:pPr>
      <w:r>
        <w:t>eine relationale Struktur höherer Ordnung.</w:t>
      </w:r>
    </w:p>
    <w:p w:rsidR="00937413" w:rsidRDefault="00937413" w:rsidP="00937413">
      <w:pPr>
        <w:pStyle w:val="StandardWeb"/>
      </w:pPr>
      <w:r>
        <w:t>Dann definiere ich</w:t>
      </w:r>
    </w:p>
    <w:p w:rsidR="00937413" w:rsidRDefault="00937413" w:rsidP="00937413">
      <w:pPr>
        <w:pStyle w:val="berschrift1"/>
      </w:pPr>
      <w:r>
        <w:lastRenderedPageBreak/>
        <w:t>[</w:t>
      </w:r>
      <w:r>
        <w:br/>
        <w:t>R_{\mathfrak{R}}</w:t>
      </w:r>
    </w:p>
    <w:p w:rsidR="00937413" w:rsidRDefault="00937413" w:rsidP="00937413">
      <w:pPr>
        <w:pStyle w:val="StandardWeb"/>
      </w:pPr>
      <w:r>
        <w:t>\mathcal{S}_{\mathfrak{R}}</w:t>
      </w:r>
      <w:r>
        <w:br/>
        <w:t>\left(</w:t>
      </w:r>
      <w:r>
        <w:br/>
        <w:t>\mathfrak{R}^{(1)},</w:t>
      </w:r>
      <w:r>
        <w:br/>
        <w:t>\ldots,</w:t>
      </w:r>
      <w:r>
        <w:br/>
        <w:t>\mathfrak{R}^{(n)}</w:t>
      </w:r>
      <w:r>
        <w:br/>
        <w:t>\right).</w:t>
      </w:r>
      <w:r>
        <w:br/>
        <w:t>\tag{3.7451}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R_{\mathfrak{R}}=\mathcal{S}_{\mathfrak{R}}\left(\mathfrak{R}^{(1)},\ldots,\mathfrak{R}^{(n)}\right)\qquad\text{(3.7451)}</w:t>
      </w:r>
    </w:p>
    <w:p w:rsidR="00937413" w:rsidRDefault="00E50336" w:rsidP="00937413">
      <w:r>
        <w:pict>
          <v:rect id="_x0000_i1624" style="width:0;height:1.5pt" o:hralign="center" o:hrstd="t" o:hr="t" fillcolor="#a0a0a0" stroked="f"/>
        </w:pict>
      </w:r>
    </w:p>
    <w:p w:rsidR="00937413" w:rsidRDefault="00937413" w:rsidP="00937413">
      <w:pPr>
        <w:pStyle w:val="berschrift2"/>
      </w:pPr>
      <w:r>
        <w:t>3.3.41.67 Stabilität von Gruppenmustern</w:t>
      </w:r>
    </w:p>
    <w:p w:rsidR="00937413" w:rsidRDefault="00937413" w:rsidP="00937413">
      <w:pPr>
        <w:pStyle w:val="StandardWeb"/>
      </w:pPr>
      <w:r>
        <w:t>Für Gruppenmuster</w:t>
      </w:r>
    </w:p>
    <w:p w:rsidR="00937413" w:rsidRDefault="00937413" w:rsidP="00937413">
      <w:pPr>
        <w:pStyle w:val="StandardWeb"/>
      </w:pPr>
      <w:r>
        <w:t>[</w:t>
      </w:r>
      <w:r>
        <w:br/>
        <w:t>G^{(k)}</w:t>
      </w:r>
      <w:r>
        <w:br/>
        <w:t>\tag{3.7452}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G^{(k)}\qquad\text{(3.7452)}</w:t>
      </w:r>
    </w:p>
    <w:p w:rsidR="00937413" w:rsidRDefault="00937413" w:rsidP="00937413">
      <w:pPr>
        <w:pStyle w:val="StandardWeb"/>
      </w:pPr>
      <w:r>
        <w:t>kann analog definiert werden</w:t>
      </w:r>
    </w:p>
    <w:p w:rsidR="00937413" w:rsidRDefault="00937413" w:rsidP="00937413">
      <w:pPr>
        <w:pStyle w:val="berschrift1"/>
      </w:pPr>
      <w:r>
        <w:t>[</w:t>
      </w:r>
      <w:r>
        <w:br/>
        <w:t>R_G^{\mathrm{group}}</w:t>
      </w:r>
    </w:p>
    <w:p w:rsidR="00937413" w:rsidRDefault="00937413" w:rsidP="00937413">
      <w:pPr>
        <w:pStyle w:val="StandardWeb"/>
      </w:pPr>
      <w:r>
        <w:t>\mathcal{S}_G</w:t>
      </w:r>
      <w:r>
        <w:br/>
        <w:t>\left(</w:t>
      </w:r>
      <w:r>
        <w:br/>
        <w:t>G^{(1)},</w:t>
      </w:r>
      <w:r>
        <w:br/>
        <w:t>\ldots,</w:t>
      </w:r>
      <w:r>
        <w:br/>
        <w:t>G^{(n)}</w:t>
      </w:r>
      <w:r>
        <w:br/>
        <w:t>\right).</w:t>
      </w:r>
      <w:r>
        <w:br/>
        <w:t>\tag{3.7453}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lastRenderedPageBreak/>
        <w:t>R_G^{\mathrm{group}}=\mathcal{S}_G\left(G^{(1)},\ldots,G^{(n)}\right)\qquad\text{(3.7453)}</w:t>
      </w:r>
    </w:p>
    <w:p w:rsidR="00937413" w:rsidRDefault="00937413" w:rsidP="00937413">
      <w:pPr>
        <w:pStyle w:val="StandardWeb"/>
      </w:pPr>
      <w:r>
        <w:t>Damit kann geprüft werden, ob emergente Gruppenmuster über Daten-, Parameter- oder Modellvarianten hinweg erhalten bleiben.</w:t>
      </w:r>
    </w:p>
    <w:p w:rsidR="00937413" w:rsidRDefault="00E50336" w:rsidP="00937413">
      <w:r>
        <w:pict>
          <v:rect id="_x0000_i1625" style="width:0;height:1.5pt" o:hralign="center" o:hrstd="t" o:hr="t" fillcolor="#a0a0a0" stroked="f"/>
        </w:pict>
      </w:r>
    </w:p>
    <w:p w:rsidR="00937413" w:rsidRDefault="00937413" w:rsidP="00937413">
      <w:pPr>
        <w:pStyle w:val="berschrift2"/>
      </w:pPr>
      <w:r>
        <w:t>3.3.41.68 Mikrostabilität und Makrostabilität</w:t>
      </w:r>
    </w:p>
    <w:p w:rsidR="00937413" w:rsidRDefault="00937413" w:rsidP="00937413">
      <w:pPr>
        <w:pStyle w:val="StandardWeb"/>
      </w:pPr>
      <w:r>
        <w:t>Ein System kann auf mikroskopischer Ebene instabil und auf makroskopischer Ebene stabil sein.</w:t>
      </w:r>
    </w:p>
    <w:p w:rsidR="00937413" w:rsidRDefault="00937413" w:rsidP="00937413">
      <w:pPr>
        <w:pStyle w:val="StandardWeb"/>
      </w:pPr>
      <w:r>
        <w:t>Ich unterscheide</w:t>
      </w:r>
    </w:p>
    <w:p w:rsidR="00937413" w:rsidRDefault="00937413" w:rsidP="00937413">
      <w:pPr>
        <w:pStyle w:val="StandardWeb"/>
      </w:pPr>
      <w:r>
        <w:t>[</w:t>
      </w:r>
      <w:r>
        <w:br/>
        <w:t>R_{\mathrm{micro}}</w:t>
      </w:r>
      <w:r>
        <w:br/>
        <w:t>\tag{3.7454}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R_{\mathrm{micro}}\qquad\text{(3.7454)}</w:t>
      </w:r>
    </w:p>
    <w:p w:rsidR="00937413" w:rsidRDefault="00937413" w:rsidP="00937413">
      <w:pPr>
        <w:pStyle w:val="StandardWeb"/>
      </w:pPr>
      <w:r>
        <w:t>von</w:t>
      </w:r>
    </w:p>
    <w:p w:rsidR="00937413" w:rsidRDefault="00937413" w:rsidP="00937413">
      <w:pPr>
        <w:pStyle w:val="StandardWeb"/>
      </w:pPr>
      <w:r>
        <w:t>[</w:t>
      </w:r>
      <w:r>
        <w:br/>
        <w:t>R_{\mathrm{macro}}.</w:t>
      </w:r>
      <w:r>
        <w:br/>
        <w:t>\tag{3.7455}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R_{\mathrm{macro}}\qquad\text{(3.7455)}</w:t>
      </w:r>
    </w:p>
    <w:p w:rsidR="00937413" w:rsidRDefault="00937413" w:rsidP="00937413">
      <w:pPr>
        <w:pStyle w:val="StandardWeb"/>
      </w:pPr>
      <w:r>
        <w:t>Eine mögliche Konstellation lautet</w:t>
      </w:r>
    </w:p>
    <w:p w:rsidR="00937413" w:rsidRDefault="00937413" w:rsidP="00937413">
      <w:pPr>
        <w:pStyle w:val="StandardWeb"/>
      </w:pPr>
      <w:r>
        <w:t>[</w:t>
      </w:r>
      <w:r>
        <w:br/>
        <w:t>R_{\mathrm{micro}}</w:t>
      </w:r>
      <w:r>
        <w:br/>
        <w:t>\text{ niedrig}</w:t>
      </w:r>
      <w:r>
        <w:br/>
        <w:t>\land</w:t>
      </w:r>
      <w:r>
        <w:br/>
        <w:t>R_{\mathrm{macro}}</w:t>
      </w:r>
      <w:r>
        <w:br/>
        <w:t>\text{ hoch}.</w:t>
      </w:r>
      <w:r>
        <w:br/>
        <w:t>\tag{3.7456}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R_{\mathrm{micro}}\text{ niedrig}\land R_{\mathrm{macro}}\text{ hoch}\qquad\text{(3.7456)}</w:t>
      </w:r>
    </w:p>
    <w:p w:rsidR="00937413" w:rsidRDefault="00937413" w:rsidP="00937413">
      <w:pPr>
        <w:pStyle w:val="StandardWeb"/>
      </w:pPr>
      <w:r>
        <w:t>Dann variieren Einzelprozesse stark, während ein aggregiertes Systemmuster erhalten bleibt.</w:t>
      </w:r>
    </w:p>
    <w:p w:rsidR="00937413" w:rsidRDefault="00E50336" w:rsidP="00937413">
      <w:r>
        <w:lastRenderedPageBreak/>
        <w:pict>
          <v:rect id="_x0000_i1626" style="width:0;height:1.5pt" o:hralign="center" o:hrstd="t" o:hr="t" fillcolor="#a0a0a0" stroked="f"/>
        </w:pict>
      </w:r>
    </w:p>
    <w:p w:rsidR="00937413" w:rsidRDefault="00937413" w:rsidP="00937413">
      <w:pPr>
        <w:pStyle w:val="berschrift2"/>
      </w:pPr>
      <w:r>
        <w:t>3.3.41.69 Emergenzstabilität</w:t>
      </w:r>
    </w:p>
    <w:p w:rsidR="00937413" w:rsidRDefault="00937413" w:rsidP="00937413">
      <w:pPr>
        <w:pStyle w:val="StandardWeb"/>
      </w:pPr>
      <w:r>
        <w:t>Für ein emergentes Muster (E_F) definiere ich</w:t>
      </w:r>
    </w:p>
    <w:p w:rsidR="00937413" w:rsidRDefault="00937413" w:rsidP="00937413">
      <w:pPr>
        <w:pStyle w:val="berschrift1"/>
      </w:pPr>
      <w:r>
        <w:t>[</w:t>
      </w:r>
      <w:r>
        <w:br/>
        <w:t>R_E</w:t>
      </w:r>
    </w:p>
    <w:p w:rsidR="00937413" w:rsidRDefault="00937413" w:rsidP="00937413">
      <w:pPr>
        <w:pStyle w:val="StandardWeb"/>
      </w:pPr>
      <w:r>
        <w:t>\operatorname{Stabilität}</w:t>
      </w:r>
      <w:r>
        <w:br/>
        <w:t>\left(</w:t>
      </w:r>
      <w:r>
        <w:br/>
        <w:t>E_F</w:t>
      </w:r>
      <w:r>
        <w:br/>
        <w:t>\right).</w:t>
      </w:r>
      <w:r>
        <w:br/>
        <w:t>\tag{3.7457}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R_E=\operatorname{Stabilität}\left(E_F\right)\qquad\text{(3.7457)}</w:t>
      </w:r>
    </w:p>
    <w:p w:rsidR="00937413" w:rsidRDefault="00937413" w:rsidP="00937413">
      <w:pPr>
        <w:pStyle w:val="StandardWeb"/>
      </w:pPr>
      <w:r>
        <w:t>Ein emergentes Muster kann damit stabil sein, obwohl seine mikrostrukturellen Realisationen variieren.</w:t>
      </w:r>
    </w:p>
    <w:p w:rsidR="00937413" w:rsidRDefault="00E50336" w:rsidP="00937413">
      <w:r>
        <w:pict>
          <v:rect id="_x0000_i1627" style="width:0;height:1.5pt" o:hralign="center" o:hrstd="t" o:hr="t" fillcolor="#a0a0a0" stroked="f"/>
        </w:pict>
      </w:r>
    </w:p>
    <w:p w:rsidR="00937413" w:rsidRDefault="00937413" w:rsidP="00937413">
      <w:pPr>
        <w:pStyle w:val="berschrift2"/>
      </w:pPr>
      <w:r>
        <w:t>3.3.41.70 Mikro-Makro-Invarianz</w:t>
      </w:r>
    </w:p>
    <w:p w:rsidR="00937413" w:rsidRDefault="00937413" w:rsidP="00937413">
      <w:pPr>
        <w:pStyle w:val="StandardWeb"/>
      </w:pPr>
      <w:r>
        <w:t>Eine besonders interessante Struktur liegt vor, wenn verschiedene Mikrorealisationen dieselbe Makrostruktur erzeugen:</w:t>
      </w:r>
    </w:p>
    <w:p w:rsidR="00937413" w:rsidRDefault="00937413" w:rsidP="00937413">
      <w:pPr>
        <w:pStyle w:val="StandardWeb"/>
      </w:pPr>
      <w:r>
        <w:t>[</w:t>
      </w:r>
      <w:r>
        <w:br/>
        <w:t>m_1</w:t>
      </w:r>
      <w:r>
        <w:br/>
        <w:t>\neq</w:t>
      </w:r>
      <w:r>
        <w:br/>
        <w:t>m_2</w:t>
      </w:r>
      <w:r>
        <w:br/>
        <w:t>\tag{3.7458}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m_1\neq m_2\qquad\text{(3.7458)}</w:t>
      </w:r>
    </w:p>
    <w:p w:rsidR="00937413" w:rsidRDefault="00937413" w:rsidP="00937413">
      <w:pPr>
        <w:pStyle w:val="StandardWeb"/>
      </w:pPr>
      <w:r>
        <w:t>aber</w:t>
      </w:r>
    </w:p>
    <w:p w:rsidR="00937413" w:rsidRDefault="00937413" w:rsidP="00937413">
      <w:pPr>
        <w:pStyle w:val="berschrift1"/>
      </w:pPr>
      <w:r>
        <w:t>[</w:t>
      </w:r>
      <w:r>
        <w:br/>
        <w:t>M(m_1)</w:t>
      </w:r>
    </w:p>
    <w:p w:rsidR="00937413" w:rsidRDefault="00937413" w:rsidP="00937413">
      <w:pPr>
        <w:pStyle w:val="StandardWeb"/>
      </w:pPr>
      <w:r>
        <w:lastRenderedPageBreak/>
        <w:t>M(m_2).</w:t>
      </w:r>
      <w:r>
        <w:br/>
        <w:t>\tag{3.7459}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M(m_1)=M(m_2)\qquad\text{(3.7459)}</w:t>
      </w:r>
    </w:p>
    <w:p w:rsidR="00937413" w:rsidRDefault="00937413" w:rsidP="00937413">
      <w:pPr>
        <w:pStyle w:val="StandardWeb"/>
      </w:pPr>
      <w:r>
        <w:t>Dies ist eine Form funktionaler Makrostabilität.</w:t>
      </w:r>
    </w:p>
    <w:p w:rsidR="00937413" w:rsidRDefault="00E50336" w:rsidP="00937413">
      <w:r>
        <w:pict>
          <v:rect id="_x0000_i1628" style="width:0;height:1.5pt" o:hralign="center" o:hrstd="t" o:hr="t" fillcolor="#a0a0a0" stroked="f"/>
        </w:pict>
      </w:r>
    </w:p>
    <w:p w:rsidR="00937413" w:rsidRDefault="00937413" w:rsidP="00937413">
      <w:pPr>
        <w:pStyle w:val="berschrift2"/>
      </w:pPr>
      <w:r>
        <w:t>3.3.41.71 Stabilität durch Redundanz</w:t>
      </w:r>
    </w:p>
    <w:p w:rsidR="00937413" w:rsidRDefault="00937413" w:rsidP="00937413">
      <w:pPr>
        <w:pStyle w:val="StandardWeb"/>
      </w:pPr>
      <w:r>
        <w:t>Eine mögliche Ursache hoher Makrostabilität ist Redundanz.</w:t>
      </w:r>
    </w:p>
    <w:p w:rsidR="00937413" w:rsidRDefault="00937413" w:rsidP="00937413">
      <w:pPr>
        <w:pStyle w:val="StandardWeb"/>
      </w:pPr>
      <w:r>
        <w:t>Seien mehrere Mikrokomponenten</w:t>
      </w:r>
    </w:p>
    <w:p w:rsidR="00937413" w:rsidRDefault="00937413" w:rsidP="00937413">
      <w:pPr>
        <w:pStyle w:val="StandardWeb"/>
      </w:pPr>
      <w:r>
        <w:t>[</w:t>
      </w:r>
      <w:r>
        <w:br/>
        <w:t>x_1,</w:t>
      </w:r>
      <w:r>
        <w:br/>
        <w:t>\ldots,</w:t>
      </w:r>
      <w:r>
        <w:br/>
        <w:t>x_n</w:t>
      </w:r>
      <w:r>
        <w:br/>
        <w:t>\tag{3.7460}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x_1,\ldots,x_n\qquad\text{(3.7460)}</w:t>
      </w:r>
    </w:p>
    <w:p w:rsidR="00937413" w:rsidRDefault="00937413" w:rsidP="00937413">
      <w:pPr>
        <w:pStyle w:val="StandardWeb"/>
      </w:pPr>
      <w:r>
        <w:t>funktional teilweise austauschbar.</w:t>
      </w:r>
    </w:p>
    <w:p w:rsidR="00937413" w:rsidRDefault="00937413" w:rsidP="00937413">
      <w:pPr>
        <w:pStyle w:val="StandardWeb"/>
      </w:pPr>
      <w:r>
        <w:t>Dann kann trotz</w:t>
      </w:r>
    </w:p>
    <w:p w:rsidR="00937413" w:rsidRDefault="00937413" w:rsidP="00937413">
      <w:pPr>
        <w:pStyle w:val="StandardWeb"/>
      </w:pPr>
      <w:r>
        <w:t>[</w:t>
      </w:r>
      <w:r>
        <w:br/>
        <w:t>\Delta x_i</w:t>
      </w:r>
      <w:r>
        <w:br/>
        <w:t>\neq</w:t>
      </w:r>
      <w:r>
        <w:br/>
        <w:t>0</w:t>
      </w:r>
      <w:r>
        <w:br/>
        <w:t>\tag{3.7461}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x_i\neq0\qquad\text{(3.7461)}</w:t>
      </w:r>
    </w:p>
    <w:p w:rsidR="00937413" w:rsidRDefault="00937413" w:rsidP="00937413">
      <w:pPr>
        <w:pStyle w:val="StandardWeb"/>
      </w:pPr>
      <w:r>
        <w:t>gelten</w:t>
      </w:r>
    </w:p>
    <w:p w:rsidR="00937413" w:rsidRDefault="00937413" w:rsidP="00937413">
      <w:pPr>
        <w:pStyle w:val="StandardWeb"/>
      </w:pPr>
      <w:r>
        <w:t>[</w:t>
      </w:r>
      <w:r>
        <w:br/>
        <w:t>\Delta M</w:t>
      </w:r>
      <w:r>
        <w:br/>
        <w:t>\approx</w:t>
      </w:r>
      <w:r>
        <w:br/>
        <w:t>0.</w:t>
      </w:r>
      <w:r>
        <w:br/>
      </w:r>
      <w:r>
        <w:lastRenderedPageBreak/>
        <w:t>\tag{3.7462}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M\approx0\qquad\text{(3.7462)}</w:t>
      </w:r>
    </w:p>
    <w:p w:rsidR="00937413" w:rsidRDefault="00937413" w:rsidP="00937413">
      <w:pPr>
        <w:pStyle w:val="StandardWeb"/>
      </w:pPr>
      <w:r>
        <w:t>Damit entsteht Stabilität auf Makroebene trotz Veränderung einzelner Komponenten.</w:t>
      </w:r>
    </w:p>
    <w:p w:rsidR="00937413" w:rsidRDefault="00E50336" w:rsidP="00937413">
      <w:r>
        <w:pict>
          <v:rect id="_x0000_i1629" style="width:0;height:1.5pt" o:hralign="center" o:hrstd="t" o:hr="t" fillcolor="#a0a0a0" stroked="f"/>
        </w:pict>
      </w:r>
    </w:p>
    <w:p w:rsidR="00937413" w:rsidRDefault="00937413" w:rsidP="00937413">
      <w:pPr>
        <w:pStyle w:val="berschrift2"/>
      </w:pPr>
      <w:r>
        <w:t>3.3.41.72 Stabilität durch Kompensation</w:t>
      </w:r>
    </w:p>
    <w:p w:rsidR="00937413" w:rsidRDefault="00937413" w:rsidP="00937413">
      <w:pPr>
        <w:pStyle w:val="StandardWeb"/>
      </w:pPr>
      <w:r>
        <w:t>Eine zweite Möglichkeit ist Kompensation.</w:t>
      </w:r>
    </w:p>
    <w:p w:rsidR="00937413" w:rsidRDefault="00937413" w:rsidP="00937413">
      <w:pPr>
        <w:pStyle w:val="StandardWeb"/>
      </w:pPr>
      <w:r>
        <w:t>Es kann gelten</w:t>
      </w:r>
    </w:p>
    <w:p w:rsidR="00937413" w:rsidRDefault="00937413" w:rsidP="00937413">
      <w:pPr>
        <w:pStyle w:val="StandardWeb"/>
      </w:pPr>
      <w:r>
        <w:t>[</w:t>
      </w:r>
      <w:r>
        <w:br/>
        <w:t>\Delta x_i</w:t>
      </w:r>
    </w:p>
    <w:p w:rsidR="00937413" w:rsidRDefault="00937413" w:rsidP="00937413">
      <w:pPr>
        <w:pStyle w:val="StandardWeb"/>
      </w:pPr>
      <w:r>
        <w:t>0</w:t>
      </w:r>
      <w:r>
        <w:br/>
        <w:t>\tag{3.7463}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x_i&gt;0\qquad\text{(3.7463)}</w:t>
      </w:r>
    </w:p>
    <w:p w:rsidR="00937413" w:rsidRDefault="00937413" w:rsidP="00937413">
      <w:pPr>
        <w:pStyle w:val="StandardWeb"/>
      </w:pPr>
      <w:r>
        <w:t>und</w:t>
      </w:r>
    </w:p>
    <w:p w:rsidR="00937413" w:rsidRDefault="00937413" w:rsidP="00937413">
      <w:pPr>
        <w:pStyle w:val="StandardWeb"/>
      </w:pPr>
      <w:r>
        <w:t>[</w:t>
      </w:r>
      <w:r>
        <w:br/>
        <w:t>\Delta x_j</w:t>
      </w:r>
      <w:r>
        <w:br/>
        <w:t>&lt;</w:t>
      </w:r>
      <w:r>
        <w:br/>
        <w:t>0</w:t>
      </w:r>
      <w:r>
        <w:br/>
        <w:t>\tag{3.7464}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x_j&lt;0\qquad\text{(3.7464)}</w:t>
      </w:r>
    </w:p>
    <w:p w:rsidR="00937413" w:rsidRDefault="00937413" w:rsidP="00937413">
      <w:pPr>
        <w:pStyle w:val="StandardWeb"/>
      </w:pPr>
      <w:r>
        <w:t>bei gleichzeitig</w:t>
      </w:r>
    </w:p>
    <w:p w:rsidR="00937413" w:rsidRDefault="00937413" w:rsidP="00937413">
      <w:pPr>
        <w:pStyle w:val="StandardWeb"/>
      </w:pPr>
      <w:r>
        <w:t>[</w:t>
      </w:r>
      <w:r>
        <w:br/>
        <w:t>\Delta M</w:t>
      </w:r>
      <w:r>
        <w:br/>
        <w:t>\approx</w:t>
      </w:r>
      <w:r>
        <w:br/>
        <w:t>0.</w:t>
      </w:r>
      <w:r>
        <w:br/>
        <w:t>\tag{3.7465}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lastRenderedPageBreak/>
        <w:t>\Delta M\approx0\qquad\text{(3.7465)}</w:t>
      </w:r>
    </w:p>
    <w:p w:rsidR="00937413" w:rsidRDefault="00937413" w:rsidP="00937413">
      <w:pPr>
        <w:pStyle w:val="StandardWeb"/>
      </w:pPr>
      <w:r>
        <w:t>Dann stabilisieren sich unterschiedliche Mikroänderungen gegenseitig.</w:t>
      </w:r>
    </w:p>
    <w:p w:rsidR="00937413" w:rsidRDefault="00E50336" w:rsidP="00937413">
      <w:r>
        <w:pict>
          <v:rect id="_x0000_i1630" style="width:0;height:1.5pt" o:hralign="center" o:hrstd="t" o:hr="t" fillcolor="#a0a0a0" stroked="f"/>
        </w:pict>
      </w:r>
    </w:p>
    <w:p w:rsidR="00937413" w:rsidRDefault="00937413" w:rsidP="00937413">
      <w:pPr>
        <w:pStyle w:val="berschrift2"/>
      </w:pPr>
      <w:r>
        <w:t>3.3.41.73 Stabilität durch Regulation</w:t>
      </w:r>
    </w:p>
    <w:p w:rsidR="00937413" w:rsidRDefault="00937413" w:rsidP="00937413">
      <w:pPr>
        <w:pStyle w:val="StandardWeb"/>
      </w:pPr>
      <w:r>
        <w:t>Eine dritte Form ist aktive Regulation.</w:t>
      </w:r>
    </w:p>
    <w:p w:rsidR="00937413" w:rsidRDefault="00937413" w:rsidP="00937413">
      <w:pPr>
        <w:pStyle w:val="StandardWeb"/>
      </w:pPr>
      <w:r>
        <w:t>Sei</w:t>
      </w:r>
    </w:p>
    <w:p w:rsidR="00937413" w:rsidRDefault="00937413" w:rsidP="00937413">
      <w:pPr>
        <w:pStyle w:val="StandardWeb"/>
      </w:pPr>
      <w:r>
        <w:t>[</w:t>
      </w:r>
      <w:r>
        <w:br/>
        <w:t>R_F</w:t>
      </w:r>
      <w:r>
        <w:br/>
        <w:t>\tag{3.7466}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R_F\qquad\text{(3.7466)}</w:t>
      </w:r>
    </w:p>
    <w:p w:rsidR="00937413" w:rsidRDefault="00937413" w:rsidP="00937413">
      <w:pPr>
        <w:pStyle w:val="StandardWeb"/>
      </w:pPr>
      <w:r>
        <w:t>ein regulatorischer Mechanismus.</w:t>
      </w:r>
    </w:p>
    <w:p w:rsidR="00937413" w:rsidRDefault="00937413" w:rsidP="00937413">
      <w:pPr>
        <w:pStyle w:val="StandardWeb"/>
      </w:pPr>
      <w:r>
        <w:t>Dann kann</w:t>
      </w:r>
    </w:p>
    <w:p w:rsidR="00937413" w:rsidRDefault="00937413" w:rsidP="00937413">
      <w:pPr>
        <w:pStyle w:val="StandardWeb"/>
      </w:pPr>
      <w:r>
        <w:t>[</w:t>
      </w:r>
      <w:r>
        <w:br/>
        <w:t>\Delta x</w:t>
      </w:r>
      <w:r>
        <w:br/>
        <w:t>\neq</w:t>
      </w:r>
      <w:r>
        <w:br/>
        <w:t>0</w:t>
      </w:r>
      <w:r>
        <w:br/>
        <w:t>\tag{3.7467}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x\neq0\qquad\text{(3.7467)}</w:t>
      </w:r>
    </w:p>
    <w:p w:rsidR="00937413" w:rsidRDefault="00937413" w:rsidP="00937413">
      <w:pPr>
        <w:pStyle w:val="StandardWeb"/>
      </w:pPr>
      <w:r>
        <w:t>eine regulatorische Antwort</w:t>
      </w:r>
    </w:p>
    <w:p w:rsidR="00937413" w:rsidRDefault="00937413" w:rsidP="00937413">
      <w:pPr>
        <w:pStyle w:val="berschrift1"/>
      </w:pPr>
      <w:r>
        <w:t>[</w:t>
      </w:r>
      <w:r>
        <w:br/>
        <w:t>\Delta r</w:t>
      </w:r>
    </w:p>
    <w:p w:rsidR="00937413" w:rsidRDefault="00937413" w:rsidP="00937413">
      <w:pPr>
        <w:pStyle w:val="StandardWeb"/>
      </w:pPr>
      <w:r>
        <w:t>R_F(\Delta x)</w:t>
      </w:r>
      <w:r>
        <w:br/>
        <w:t>\tag{3.7468}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r=R_F(\Delta x)\qquad\text{(3.7468)}</w:t>
      </w:r>
    </w:p>
    <w:p w:rsidR="00937413" w:rsidRDefault="00937413" w:rsidP="00937413">
      <w:pPr>
        <w:pStyle w:val="StandardWeb"/>
      </w:pPr>
      <w:r>
        <w:t>erzeugen, sodass</w:t>
      </w:r>
    </w:p>
    <w:p w:rsidR="00937413" w:rsidRDefault="00937413" w:rsidP="00937413">
      <w:pPr>
        <w:pStyle w:val="berschrift1"/>
      </w:pPr>
      <w:r>
        <w:lastRenderedPageBreak/>
        <w:t>[</w:t>
      </w:r>
      <w:r>
        <w:br/>
        <w:t>\Delta M</w:t>
      </w:r>
    </w:p>
    <w:p w:rsidR="00937413" w:rsidRDefault="00937413" w:rsidP="00937413">
      <w:pPr>
        <w:pStyle w:val="StandardWeb"/>
      </w:pPr>
      <w:r>
        <w:t>\Delta x</w:t>
      </w:r>
      <w:r>
        <w:br/>
        <w:t>+</w:t>
      </w:r>
      <w:r>
        <w:br/>
        <w:t>\Delta r</w:t>
      </w:r>
      <w:r>
        <w:br/>
        <w:t>\approx</w:t>
      </w:r>
      <w:r>
        <w:br/>
        <w:t>0.</w:t>
      </w:r>
      <w:r>
        <w:br/>
        <w:t>\tag{3.7469}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M=\Delta x+\Delta r\approx0\qquad\text{(3.7469)}</w:t>
      </w:r>
    </w:p>
    <w:p w:rsidR="00937413" w:rsidRDefault="00E50336" w:rsidP="00937413">
      <w:r>
        <w:pict>
          <v:rect id="_x0000_i1631" style="width:0;height:1.5pt" o:hralign="center" o:hrstd="t" o:hr="t" fillcolor="#a0a0a0" stroked="f"/>
        </w:pict>
      </w:r>
    </w:p>
    <w:p w:rsidR="00937413" w:rsidRDefault="00937413" w:rsidP="00937413">
      <w:pPr>
        <w:pStyle w:val="berschrift2"/>
      </w:pPr>
      <w:r>
        <w:t>3.3.41.74 Drei Mechanismen funktionaler Stabilität</w:t>
      </w:r>
    </w:p>
    <w:p w:rsidR="00937413" w:rsidRDefault="00937413" w:rsidP="00937413">
      <w:pPr>
        <w:pStyle w:val="StandardWeb"/>
      </w:pPr>
      <w:r>
        <w:t>Damit unterscheide ich mindestens</w:t>
      </w:r>
    </w:p>
    <w:p w:rsidR="00937413" w:rsidRDefault="00937413" w:rsidP="00937413">
      <w:pPr>
        <w:pStyle w:val="berschrift1"/>
      </w:pPr>
      <w:r>
        <w:t>[</w:t>
      </w:r>
      <w:r>
        <w:br/>
        <w:t>\mathfrak{M}_{S}</w:t>
      </w:r>
    </w:p>
    <w:p w:rsidR="00937413" w:rsidRDefault="00937413" w:rsidP="00937413">
      <w:pPr>
        <w:pStyle w:val="StandardWeb"/>
      </w:pPr>
      <w:r>
        <w:t>\left{</w:t>
      </w:r>
      <w:r>
        <w:br/>
        <w:t>\mathbf{Redundanz},</w:t>
      </w:r>
      <w:r>
        <w:br/>
        <w:t>\mathbf{Kompensation},</w:t>
      </w:r>
      <w:r>
        <w:br/>
        <w:t>\mathbf{Regulation}</w:t>
      </w:r>
      <w:r>
        <w:br/>
        <w:t>\right}.</w:t>
      </w:r>
      <w:r>
        <w:br/>
        <w:t>\tag{3.7470}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\mathfrak{M}_{S}=\left\{\mathbf{Redundanz},\mathbf{Kompensation},\mathbf{Regulation}\right\}\qquad\text{(3.7470)}</w:t>
      </w:r>
    </w:p>
    <w:p w:rsidR="00937413" w:rsidRDefault="00937413" w:rsidP="00937413">
      <w:pPr>
        <w:pStyle w:val="StandardWeb"/>
      </w:pPr>
      <w:r>
        <w:t>Diese Mechanismen können einzeln oder gemeinsam auftreten.</w:t>
      </w:r>
    </w:p>
    <w:p w:rsidR="00937413" w:rsidRDefault="00E50336" w:rsidP="00937413">
      <w:r>
        <w:pict>
          <v:rect id="_x0000_i1632" style="width:0;height:1.5pt" o:hralign="center" o:hrstd="t" o:hr="t" fillcolor="#a0a0a0" stroked="f"/>
        </w:pict>
      </w:r>
    </w:p>
    <w:p w:rsidR="00937413" w:rsidRDefault="00937413" w:rsidP="00937413">
      <w:pPr>
        <w:pStyle w:val="berschrift2"/>
      </w:pPr>
      <w:r>
        <w:t>3.3.41.75 Stabilität ist nicht notwendig Starrheit</w:t>
      </w:r>
    </w:p>
    <w:p w:rsidR="00937413" w:rsidRDefault="00937413" w:rsidP="00937413">
      <w:pPr>
        <w:pStyle w:val="StandardWeb"/>
      </w:pPr>
      <w:r>
        <w:t>Aus diesen Mechanismen folgt ein wichtiger Punkt:</w:t>
      </w:r>
    </w:p>
    <w:p w:rsidR="00937413" w:rsidRDefault="00937413" w:rsidP="00937413">
      <w:pPr>
        <w:pStyle w:val="StandardWeb"/>
      </w:pPr>
      <w:r>
        <w:t>Ein stabiles System muss nicht unverändert sein.</w:t>
      </w:r>
    </w:p>
    <w:p w:rsidR="00937413" w:rsidRDefault="00937413" w:rsidP="00937413">
      <w:pPr>
        <w:pStyle w:val="StandardWeb"/>
      </w:pPr>
      <w:r>
        <w:t>Ich formuliere</w:t>
      </w:r>
    </w:p>
    <w:p w:rsidR="00937413" w:rsidRDefault="00937413" w:rsidP="00937413">
      <w:pPr>
        <w:pStyle w:val="StandardWeb"/>
      </w:pPr>
      <w:r>
        <w:lastRenderedPageBreak/>
        <w:t>[</w:t>
      </w:r>
      <w:r>
        <w:br/>
        <w:t>\text{Stabilität}</w:t>
      </w:r>
      <w:r>
        <w:br/>
        <w:t>\neq</w:t>
      </w:r>
      <w:r>
        <w:br/>
        <w:t>\text{Unveränderlichkeit}.</w:t>
      </w:r>
      <w:r>
        <w:br/>
        <w:t>\tag{3.7471}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\text{Stabilität}\neq\text{Unveränderlichkeit}\qquad\text{(3.7471)}</w:t>
      </w:r>
    </w:p>
    <w:p w:rsidR="00937413" w:rsidRDefault="00937413" w:rsidP="00937413">
      <w:pPr>
        <w:pStyle w:val="StandardWeb"/>
      </w:pPr>
      <w:r>
        <w:t>Ein System kann intern stark variieren und dennoch eine funktionale Makrostruktur erhalten.</w:t>
      </w:r>
    </w:p>
    <w:p w:rsidR="00937413" w:rsidRDefault="00E50336" w:rsidP="00937413">
      <w:r>
        <w:pict>
          <v:rect id="_x0000_i1633" style="width:0;height:1.5pt" o:hralign="center" o:hrstd="t" o:hr="t" fillcolor="#a0a0a0" stroked="f"/>
        </w:pict>
      </w:r>
    </w:p>
    <w:p w:rsidR="00937413" w:rsidRDefault="00937413" w:rsidP="00937413">
      <w:pPr>
        <w:pStyle w:val="berschrift2"/>
      </w:pPr>
      <w:r>
        <w:t>3.3.41.76 Funktionale Stabilität trotz interner Dynamik</w:t>
      </w:r>
    </w:p>
    <w:p w:rsidR="00937413" w:rsidRDefault="00937413" w:rsidP="00937413">
      <w:pPr>
        <w:pStyle w:val="StandardWeb"/>
      </w:pPr>
      <w:r>
        <w:t>Formal kann gelten</w:t>
      </w:r>
    </w:p>
    <w:p w:rsidR="00937413" w:rsidRDefault="00937413" w:rsidP="00937413">
      <w:pPr>
        <w:pStyle w:val="StandardWeb"/>
      </w:pPr>
      <w:r>
        <w:t>[</w:t>
      </w:r>
      <w:r>
        <w:br/>
        <w:t>\left|</w:t>
      </w:r>
      <w:r>
        <w:br/>
        <w:t>\Delta\mathbf{x}</w:t>
      </w:r>
      <w:r>
        <w:br/>
        <w:t>\right|</w:t>
      </w:r>
      <w:r>
        <w:br/>
        <w:t>\gg</w:t>
      </w:r>
      <w:r>
        <w:br/>
        <w:t>0</w:t>
      </w:r>
      <w:r>
        <w:br/>
        <w:t>\tag{3.7472}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\left\|\Delta\mathbf{x}\right\|\gg0\qquad\text{(3.7472)}</w:t>
      </w:r>
    </w:p>
    <w:p w:rsidR="00937413" w:rsidRDefault="00937413" w:rsidP="00937413">
      <w:pPr>
        <w:pStyle w:val="StandardWeb"/>
      </w:pPr>
      <w:r>
        <w:t>bei gleichzeitig</w:t>
      </w:r>
    </w:p>
    <w:p w:rsidR="00937413" w:rsidRDefault="00937413" w:rsidP="00937413">
      <w:pPr>
        <w:pStyle w:val="StandardWeb"/>
      </w:pPr>
      <w:r>
        <w:t>[</w:t>
      </w:r>
      <w:r>
        <w:br/>
        <w:t>d</w:t>
      </w:r>
      <w:r>
        <w:br/>
        <w:t>\left(</w:t>
      </w:r>
      <w:r>
        <w:br/>
        <w:t>M(t_1),</w:t>
      </w:r>
      <w:r>
        <w:br/>
        <w:t>M(t_2)</w:t>
      </w:r>
      <w:r>
        <w:br/>
        <w:t>\right)</w:t>
      </w:r>
      <w:r>
        <w:br/>
        <w:t>\approx</w:t>
      </w:r>
      <w:r>
        <w:br/>
        <w:t>0.</w:t>
      </w:r>
      <w:r>
        <w:br/>
        <w:t>\tag{3.7473}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d\left(M(t_1),M(t_2)\right)\approx0\qquad\text{(3.7473)}</w:t>
      </w:r>
    </w:p>
    <w:p w:rsidR="00937413" w:rsidRDefault="00937413" w:rsidP="00937413">
      <w:pPr>
        <w:pStyle w:val="StandardWeb"/>
      </w:pPr>
      <w:r>
        <w:t>Dies entspricht einer dynamisch erhaltenen funktionalen Stabilität.</w:t>
      </w:r>
    </w:p>
    <w:p w:rsidR="00937413" w:rsidRDefault="00E50336" w:rsidP="00937413">
      <w:r>
        <w:lastRenderedPageBreak/>
        <w:pict>
          <v:rect id="_x0000_i1634" style="width:0;height:1.5pt" o:hralign="center" o:hrstd="t" o:hr="t" fillcolor="#a0a0a0" stroked="f"/>
        </w:pict>
      </w:r>
    </w:p>
    <w:p w:rsidR="00937413" w:rsidRDefault="00937413" w:rsidP="00937413">
      <w:pPr>
        <w:pStyle w:val="berschrift2"/>
      </w:pPr>
      <w:r>
        <w:t>3.3.41.77 Starre Stabilität und adaptive Stabilität</w:t>
      </w:r>
    </w:p>
    <w:p w:rsidR="00937413" w:rsidRDefault="00937413" w:rsidP="00937413">
      <w:pPr>
        <w:pStyle w:val="StandardWeb"/>
      </w:pPr>
      <w:r>
        <w:t>Ich unterscheide deshalb zwei Typen:</w:t>
      </w:r>
    </w:p>
    <w:p w:rsidR="00937413" w:rsidRDefault="00937413" w:rsidP="00937413">
      <w:pPr>
        <w:pStyle w:val="StandardWeb"/>
      </w:pPr>
      <w:r>
        <w:t>[</w:t>
      </w:r>
      <w:r>
        <w:br/>
        <w:t>S_{\mathrm{rigid}}</w:t>
      </w:r>
      <w:r>
        <w:br/>
        <w:t>\tag{3.7474}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S_{\mathrm{rigid}}\qquad\text{(3.7474)}</w:t>
      </w:r>
    </w:p>
    <w:p w:rsidR="00937413" w:rsidRDefault="00937413" w:rsidP="00937413">
      <w:pPr>
        <w:pStyle w:val="StandardWeb"/>
      </w:pPr>
      <w:r>
        <w:t>für Stabilität durch geringe interne Veränderung und</w:t>
      </w:r>
    </w:p>
    <w:p w:rsidR="00937413" w:rsidRDefault="00937413" w:rsidP="00937413">
      <w:pPr>
        <w:pStyle w:val="StandardWeb"/>
      </w:pPr>
      <w:r>
        <w:t>[</w:t>
      </w:r>
      <w:r>
        <w:br/>
        <w:t>S_{\mathrm{adapt}}</w:t>
      </w:r>
      <w:r>
        <w:br/>
        <w:t>\tag{3.7475}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S_{\mathrm{adapt}}\qquad\text{(3.7475)}</w:t>
      </w:r>
    </w:p>
    <w:p w:rsidR="00937413" w:rsidRDefault="00937413" w:rsidP="00937413">
      <w:pPr>
        <w:pStyle w:val="StandardWeb"/>
      </w:pPr>
      <w:r>
        <w:t>für Stabilität durch aktive interne Anpassung.</w:t>
      </w:r>
    </w:p>
    <w:p w:rsidR="00937413" w:rsidRDefault="00E50336" w:rsidP="00937413">
      <w:r>
        <w:pict>
          <v:rect id="_x0000_i1635" style="width:0;height:1.5pt" o:hralign="center" o:hrstd="t" o:hr="t" fillcolor="#a0a0a0" stroked="f"/>
        </w:pict>
      </w:r>
    </w:p>
    <w:p w:rsidR="00937413" w:rsidRDefault="00937413" w:rsidP="00937413">
      <w:pPr>
        <w:pStyle w:val="berschrift2"/>
      </w:pPr>
      <w:r>
        <w:t>3.3.41.78 Adaptive Stabilitätsbedingung</w:t>
      </w:r>
    </w:p>
    <w:p w:rsidR="00937413" w:rsidRDefault="00937413" w:rsidP="00937413">
      <w:pPr>
        <w:pStyle w:val="StandardWeb"/>
      </w:pPr>
      <w:r>
        <w:t>Eine adaptive Stabilität kann allgemein geschrieben werden als</w:t>
      </w:r>
    </w:p>
    <w:p w:rsidR="00937413" w:rsidRDefault="00937413" w:rsidP="00937413">
      <w:pPr>
        <w:pStyle w:val="StandardWeb"/>
      </w:pPr>
      <w:r>
        <w:t>[</w:t>
      </w:r>
      <w:r>
        <w:br/>
        <w:t>\Delta\mathbf{x}</w:t>
      </w:r>
      <w:r>
        <w:br/>
        <w:t>\neq</w:t>
      </w:r>
      <w:r>
        <w:br/>
        <w:t>0</w:t>
      </w:r>
      <w:r>
        <w:br/>
        <w:t>\land</w:t>
      </w:r>
      <w:r>
        <w:br/>
        <w:t>\Delta\mathbf{r}</w:t>
      </w:r>
      <w:r>
        <w:br/>
        <w:t>\neq</w:t>
      </w:r>
      <w:r>
        <w:br/>
        <w:t>0</w:t>
      </w:r>
      <w:r>
        <w:br/>
        <w:t>\land</w:t>
      </w:r>
      <w:r>
        <w:br/>
        <w:t>\Delta M</w:t>
      </w:r>
      <w:r>
        <w:br/>
        <w:t>\approx</w:t>
      </w:r>
      <w:r>
        <w:br/>
        <w:t>0.</w:t>
      </w:r>
      <w:r>
        <w:br/>
        <w:t>\tag{3.7476}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lastRenderedPageBreak/>
        <w:t>\Delta\mathbf{x}\neq0\land\Delta\mathbf{r}\neq0\land\Delta M\approx0\qquad\text{(3.7476)}</w:t>
      </w:r>
    </w:p>
    <w:p w:rsidR="00937413" w:rsidRDefault="00937413" w:rsidP="00937413">
      <w:pPr>
        <w:pStyle w:val="StandardWeb"/>
      </w:pPr>
      <w:r>
        <w:t>Damit bleibt die Makrofunktion erhalten, obwohl interne Zustände und regulatorische Antworten variieren.</w:t>
      </w:r>
    </w:p>
    <w:p w:rsidR="00937413" w:rsidRDefault="00E50336" w:rsidP="00937413">
      <w:r>
        <w:pict>
          <v:rect id="_x0000_i1636" style="width:0;height:1.5pt" o:hralign="center" o:hrstd="t" o:hr="t" fillcolor="#a0a0a0" stroked="f"/>
        </w:pict>
      </w:r>
    </w:p>
    <w:p w:rsidR="00937413" w:rsidRDefault="00937413" w:rsidP="00937413">
      <w:pPr>
        <w:pStyle w:val="berschrift2"/>
      </w:pPr>
      <w:r>
        <w:t>3.3.41.79 Überkompensation</w:t>
      </w:r>
    </w:p>
    <w:p w:rsidR="00937413" w:rsidRDefault="00937413" w:rsidP="00937413">
      <w:pPr>
        <w:pStyle w:val="StandardWeb"/>
      </w:pPr>
      <w:r>
        <w:t>Regulation kann jedoch auch zu Überkompensation führen.</w:t>
      </w:r>
    </w:p>
    <w:p w:rsidR="00937413" w:rsidRDefault="00937413" w:rsidP="00937413">
      <w:pPr>
        <w:pStyle w:val="StandardWeb"/>
      </w:pPr>
      <w:r>
        <w:t>Dann gilt</w:t>
      </w:r>
    </w:p>
    <w:p w:rsidR="00937413" w:rsidRDefault="00937413" w:rsidP="00937413">
      <w:pPr>
        <w:pStyle w:val="StandardWeb"/>
      </w:pPr>
      <w:r>
        <w:t>[</w:t>
      </w:r>
      <w:r>
        <w:br/>
        <w:t>|\Delta r|</w:t>
      </w:r>
    </w:p>
    <w:p w:rsidR="00937413" w:rsidRDefault="00937413" w:rsidP="00937413">
      <w:pPr>
        <w:pStyle w:val="StandardWeb"/>
      </w:pPr>
      <w:r>
        <w:t>|\Delta x|.</w:t>
      </w:r>
      <w:r>
        <w:br/>
        <w:t>\tag{3.7477}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r|&gt;|\Delta x|\qquad\text{(3.7477)}</w:t>
      </w:r>
    </w:p>
    <w:p w:rsidR="00937413" w:rsidRDefault="00937413" w:rsidP="00937413">
      <w:pPr>
        <w:pStyle w:val="StandardWeb"/>
      </w:pPr>
      <w:r>
        <w:t>Die resultierende Änderung kann dann</w:t>
      </w:r>
    </w:p>
    <w:p w:rsidR="00937413" w:rsidRDefault="00937413" w:rsidP="00937413">
      <w:pPr>
        <w:pStyle w:val="StandardWeb"/>
      </w:pPr>
      <w:r>
        <w:t>[</w:t>
      </w:r>
      <w:r>
        <w:br/>
        <w:t>\Delta M</w:t>
      </w:r>
      <w:r>
        <w:br/>
        <w:t>\neq</w:t>
      </w:r>
      <w:r>
        <w:br/>
        <w:t>0</w:t>
      </w:r>
      <w:r>
        <w:br/>
        <w:t>\tag{3.7478}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M\neq0\qquad\text{(3.7478)}</w:t>
      </w:r>
    </w:p>
    <w:p w:rsidR="00937413" w:rsidRDefault="00937413" w:rsidP="00937413">
      <w:pPr>
        <w:pStyle w:val="StandardWeb"/>
      </w:pPr>
      <w:r>
        <w:t>mit umgekehrtem Vorzeichen erzeugen.</w:t>
      </w:r>
    </w:p>
    <w:p w:rsidR="00937413" w:rsidRDefault="00937413" w:rsidP="00937413">
      <w:pPr>
        <w:pStyle w:val="StandardWeb"/>
      </w:pPr>
      <w:r>
        <w:t>Damit kann ein ursprünglich stabilisierender Mechanismus selbst neue Instabilität erzeugen.</w:t>
      </w:r>
    </w:p>
    <w:p w:rsidR="00937413" w:rsidRDefault="00E50336" w:rsidP="00937413">
      <w:r>
        <w:pict>
          <v:rect id="_x0000_i1637" style="width:0;height:1.5pt" o:hralign="center" o:hrstd="t" o:hr="t" fillcolor="#a0a0a0" stroked="f"/>
        </w:pict>
      </w:r>
    </w:p>
    <w:p w:rsidR="00937413" w:rsidRDefault="00937413" w:rsidP="00937413">
      <w:pPr>
        <w:pStyle w:val="berschrift2"/>
      </w:pPr>
      <w:r>
        <w:t>3.3.41.80 Unterkompensation</w:t>
      </w:r>
    </w:p>
    <w:p w:rsidR="00937413" w:rsidRDefault="00937413" w:rsidP="00937413">
      <w:pPr>
        <w:pStyle w:val="StandardWeb"/>
      </w:pPr>
      <w:r>
        <w:t>Bei Unterkompensation gilt</w:t>
      </w:r>
    </w:p>
    <w:p w:rsidR="00937413" w:rsidRDefault="00937413" w:rsidP="00937413">
      <w:pPr>
        <w:pStyle w:val="StandardWeb"/>
      </w:pPr>
      <w:r>
        <w:t>[</w:t>
      </w:r>
      <w:r>
        <w:br/>
        <w:t>|\Delta r|</w:t>
      </w:r>
      <w:r>
        <w:br/>
        <w:t>&lt;</w:t>
      </w:r>
      <w:r>
        <w:br/>
        <w:t>|\Delta x|.</w:t>
      </w:r>
      <w:r>
        <w:br/>
      </w:r>
      <w:r>
        <w:lastRenderedPageBreak/>
        <w:t>\tag{3.7479}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r|&lt;|\Delta x|\qquad\text{(3.7479)}</w:t>
      </w:r>
    </w:p>
    <w:p w:rsidR="00937413" w:rsidRDefault="00937413" w:rsidP="00937413">
      <w:pPr>
        <w:pStyle w:val="StandardWeb"/>
      </w:pPr>
      <w:r>
        <w:t>Dann bleibt eine Restabweichung</w:t>
      </w:r>
    </w:p>
    <w:p w:rsidR="00937413" w:rsidRDefault="00937413" w:rsidP="00937413">
      <w:pPr>
        <w:pStyle w:val="berschrift1"/>
      </w:pPr>
      <w:r>
        <w:t>[</w:t>
      </w:r>
      <w:r>
        <w:br/>
        <w:t>\Delta M_{\mathrm{rest}}</w:t>
      </w:r>
    </w:p>
    <w:p w:rsidR="00937413" w:rsidRDefault="00937413" w:rsidP="00937413">
      <w:pPr>
        <w:pStyle w:val="StandardWeb"/>
      </w:pPr>
      <w:r>
        <w:t>\Delta x</w:t>
      </w:r>
      <w:r>
        <w:br/>
        <w:t>+</w:t>
      </w:r>
      <w:r>
        <w:br/>
        <w:t>\Delta r.</w:t>
      </w:r>
      <w:r>
        <w:br/>
        <w:t>\tag{3.7480}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M_{\mathrm{rest}}=\Delta x+\Delta r\qquad\text{(3.7480)}</w:t>
      </w:r>
    </w:p>
    <w:p w:rsidR="00937413" w:rsidRDefault="00E50336" w:rsidP="00937413">
      <w:r>
        <w:pict>
          <v:rect id="_x0000_i1638" style="width:0;height:1.5pt" o:hralign="center" o:hrstd="t" o:hr="t" fillcolor="#a0a0a0" stroked="f"/>
        </w:pict>
      </w:r>
    </w:p>
    <w:p w:rsidR="00937413" w:rsidRDefault="00937413" w:rsidP="00937413">
      <w:pPr>
        <w:pStyle w:val="berschrift2"/>
      </w:pPr>
      <w:r>
        <w:t>3.3.41.81 Optimale Kompensation</w:t>
      </w:r>
    </w:p>
    <w:p w:rsidR="00937413" w:rsidRDefault="00937413" w:rsidP="00937413">
      <w:pPr>
        <w:pStyle w:val="StandardWeb"/>
      </w:pPr>
      <w:r>
        <w:t>Eine ideale lokale Kompensation erfüllt</w:t>
      </w:r>
    </w:p>
    <w:p w:rsidR="00937413" w:rsidRDefault="00937413" w:rsidP="00937413">
      <w:pPr>
        <w:pStyle w:val="berschrift1"/>
      </w:pPr>
      <w:r>
        <w:t>[</w:t>
      </w:r>
      <w:r>
        <w:br/>
        <w:t>\Delta r</w:t>
      </w:r>
    </w:p>
    <w:p w:rsidR="00937413" w:rsidRDefault="00937413" w:rsidP="008C5E65">
      <w:pPr>
        <w:numPr>
          <w:ilvl w:val="0"/>
          <w:numId w:val="351"/>
        </w:numPr>
        <w:spacing w:before="100" w:beforeAutospacing="1" w:after="100" w:afterAutospacing="1"/>
      </w:pPr>
    </w:p>
    <w:p w:rsidR="00937413" w:rsidRDefault="00937413" w:rsidP="00937413">
      <w:pPr>
        <w:pStyle w:val="StandardWeb"/>
      </w:pPr>
      <w:r>
        <w:t>\Delta x.</w:t>
      </w:r>
      <w:r>
        <w:br/>
        <w:t>\tag{3.7481}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r=-\Delta x\qquad\text{(3.7481)}</w:t>
      </w:r>
    </w:p>
    <w:p w:rsidR="00937413" w:rsidRDefault="00937413" w:rsidP="00937413">
      <w:pPr>
        <w:pStyle w:val="StandardWeb"/>
      </w:pPr>
      <w:r>
        <w:t>Dann gilt</w:t>
      </w:r>
    </w:p>
    <w:p w:rsidR="00937413" w:rsidRDefault="00937413" w:rsidP="00937413">
      <w:pPr>
        <w:pStyle w:val="berschrift1"/>
      </w:pPr>
      <w:r>
        <w:t>[</w:t>
      </w:r>
      <w:r>
        <w:br/>
        <w:t>\Delta M</w:t>
      </w:r>
    </w:p>
    <w:p w:rsidR="00937413" w:rsidRDefault="00937413" w:rsidP="008C5E65">
      <w:pPr>
        <w:numPr>
          <w:ilvl w:val="0"/>
          <w:numId w:val="352"/>
        </w:numPr>
        <w:spacing w:before="100" w:beforeAutospacing="1" w:after="100" w:afterAutospacing="1"/>
      </w:pPr>
    </w:p>
    <w:p w:rsidR="00937413" w:rsidRDefault="00937413" w:rsidP="00937413">
      <w:pPr>
        <w:pStyle w:val="StandardWeb"/>
      </w:pPr>
      <w:r>
        <w:lastRenderedPageBreak/>
        <w:t>\tag{3.7482}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M=0\qquad\text{(3.7482)}</w:t>
      </w:r>
    </w:p>
    <w:p w:rsidR="00937413" w:rsidRDefault="00E50336" w:rsidP="00937413">
      <w:r>
        <w:pict>
          <v:rect id="_x0000_i1639" style="width:0;height:1.5pt" o:hralign="center" o:hrstd="t" o:hr="t" fillcolor="#a0a0a0" stroked="f"/>
        </w:pict>
      </w:r>
    </w:p>
    <w:p w:rsidR="00937413" w:rsidRDefault="00937413" w:rsidP="00937413">
      <w:pPr>
        <w:pStyle w:val="berschrift2"/>
      </w:pPr>
      <w:r>
        <w:t>3.3.41.82 Stabilitätskosten</w:t>
      </w:r>
    </w:p>
    <w:p w:rsidR="00937413" w:rsidRDefault="00937413" w:rsidP="00937413">
      <w:pPr>
        <w:pStyle w:val="StandardWeb"/>
      </w:pPr>
      <w:r>
        <w:t>Adaptive Stabilität kann Kosten verursachen.</w:t>
      </w:r>
    </w:p>
    <w:p w:rsidR="00937413" w:rsidRDefault="00937413" w:rsidP="00937413">
      <w:pPr>
        <w:pStyle w:val="StandardWeb"/>
      </w:pPr>
      <w:r>
        <w:t>Ich definiere</w:t>
      </w:r>
    </w:p>
    <w:p w:rsidR="00937413" w:rsidRDefault="00937413" w:rsidP="00937413">
      <w:pPr>
        <w:pStyle w:val="berschrift1"/>
      </w:pPr>
      <w:r>
        <w:t>[</w:t>
      </w:r>
      <w:r>
        <w:br/>
        <w:t>C_S</w:t>
      </w:r>
    </w:p>
    <w:p w:rsidR="00937413" w:rsidRDefault="00937413" w:rsidP="00937413">
      <w:pPr>
        <w:pStyle w:val="StandardWeb"/>
      </w:pPr>
      <w:r>
        <w:t>\mathcal{C}</w:t>
      </w:r>
      <w:r>
        <w:br/>
        <w:t>\left(</w:t>
      </w:r>
      <w:r>
        <w:br/>
        <w:t>\mathbf{r}</w:t>
      </w:r>
      <w:r>
        <w:br/>
        <w:t>\right).</w:t>
      </w:r>
      <w:r>
        <w:br/>
        <w:t>\tag{3.7483}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C_S=\mathcal{C}\left(\mathbf{r}\right)\qquad\text{(3.7483)}</w:t>
      </w:r>
    </w:p>
    <w:p w:rsidR="00937413" w:rsidRDefault="00937413" w:rsidP="00937413">
      <w:pPr>
        <w:pStyle w:val="StandardWeb"/>
      </w:pPr>
      <w:r>
        <w:t>Damit kann ein System funktional stabil bleiben, obwohl die für diese Stabilisierung erforderlichen Ressourcen zunehmen.</w:t>
      </w:r>
    </w:p>
    <w:p w:rsidR="00937413" w:rsidRDefault="00E50336" w:rsidP="00937413">
      <w:r>
        <w:pict>
          <v:rect id="_x0000_i1640" style="width:0;height:1.5pt" o:hralign="center" o:hrstd="t" o:hr="t" fillcolor="#a0a0a0" stroked="f"/>
        </w:pict>
      </w:r>
    </w:p>
    <w:p w:rsidR="00937413" w:rsidRDefault="00937413" w:rsidP="00937413">
      <w:pPr>
        <w:pStyle w:val="berschrift2"/>
      </w:pPr>
      <w:r>
        <w:t>3.3.41.83 Stabilität mit wachsendem Regulierungsaufwand</w:t>
      </w:r>
    </w:p>
    <w:p w:rsidR="00937413" w:rsidRDefault="00937413" w:rsidP="00937413">
      <w:pPr>
        <w:pStyle w:val="StandardWeb"/>
      </w:pPr>
      <w:r>
        <w:t>Eine mögliche Situation lautet</w:t>
      </w:r>
    </w:p>
    <w:p w:rsidR="00937413" w:rsidRDefault="00937413" w:rsidP="00937413">
      <w:pPr>
        <w:pStyle w:val="StandardWeb"/>
      </w:pPr>
      <w:r>
        <w:t>[</w:t>
      </w:r>
      <w:r>
        <w:br/>
        <w:t>\Delta M</w:t>
      </w:r>
      <w:r>
        <w:br/>
        <w:t>\approx</w:t>
      </w:r>
      <w:r>
        <w:br/>
        <w:t>0</w:t>
      </w:r>
      <w:r>
        <w:br/>
        <w:t>\tag{3.7484}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 M\approx0\qquad\text{(3.7484)}</w:t>
      </w:r>
    </w:p>
    <w:p w:rsidR="00937413" w:rsidRDefault="00937413" w:rsidP="00937413">
      <w:pPr>
        <w:pStyle w:val="StandardWeb"/>
      </w:pPr>
      <w:r>
        <w:t>bei</w:t>
      </w:r>
    </w:p>
    <w:p w:rsidR="00937413" w:rsidRDefault="00937413" w:rsidP="00937413">
      <w:pPr>
        <w:pStyle w:val="StandardWeb"/>
      </w:pPr>
      <w:r>
        <w:lastRenderedPageBreak/>
        <w:t>[</w:t>
      </w:r>
      <w:r>
        <w:br/>
        <w:t>\frac{dC_S}{dt}</w:t>
      </w:r>
    </w:p>
    <w:p w:rsidR="00937413" w:rsidRDefault="00937413" w:rsidP="008C5E65">
      <w:pPr>
        <w:numPr>
          <w:ilvl w:val="0"/>
          <w:numId w:val="353"/>
        </w:numPr>
        <w:spacing w:before="100" w:beforeAutospacing="1" w:after="100" w:afterAutospacing="1"/>
      </w:pPr>
    </w:p>
    <w:p w:rsidR="00937413" w:rsidRDefault="00937413" w:rsidP="00937413">
      <w:pPr>
        <w:pStyle w:val="StandardWeb"/>
      </w:pPr>
      <w:r>
        <w:t>\tag{3.7485}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\frac{dC_S}{dt}&gt;0\qquad\text{(3.7485)}</w:t>
      </w:r>
    </w:p>
    <w:p w:rsidR="00937413" w:rsidRDefault="00937413" w:rsidP="00937413">
      <w:pPr>
        <w:pStyle w:val="StandardWeb"/>
      </w:pPr>
      <w:r>
        <w:t>Dann bleibt die Funktion äußerlich stabil, aber der interne Aufwand für ihre Aufrechterhaltung steigt.</w:t>
      </w:r>
    </w:p>
    <w:p w:rsidR="00937413" w:rsidRDefault="00E50336" w:rsidP="00937413">
      <w:r>
        <w:pict>
          <v:rect id="_x0000_i1641" style="width:0;height:1.5pt" o:hralign="center" o:hrstd="t" o:hr="t" fillcolor="#a0a0a0" stroked="f"/>
        </w:pict>
      </w:r>
    </w:p>
    <w:p w:rsidR="00937413" w:rsidRDefault="00937413" w:rsidP="00937413">
      <w:pPr>
        <w:pStyle w:val="berschrift2"/>
      </w:pPr>
      <w:r>
        <w:t>3.3.41.84 Verdeckte Instabilität</w:t>
      </w:r>
    </w:p>
    <w:p w:rsidR="00937413" w:rsidRDefault="00937413" w:rsidP="00937413">
      <w:pPr>
        <w:pStyle w:val="StandardWeb"/>
      </w:pPr>
      <w:r>
        <w:t>Diese Situation bezeichne ich als potenziell verdeckte Instabilität.</w:t>
      </w:r>
    </w:p>
    <w:p w:rsidR="00937413" w:rsidRDefault="00937413" w:rsidP="00937413">
      <w:pPr>
        <w:pStyle w:val="StandardWeb"/>
      </w:pPr>
      <w:r>
        <w:t>Ich definiere einen Warnindikator</w:t>
      </w:r>
    </w:p>
    <w:p w:rsidR="00937413" w:rsidRDefault="00937413" w:rsidP="00937413">
      <w:pPr>
        <w:pStyle w:val="berschrift1"/>
      </w:pPr>
      <w:r>
        <w:t>[</w:t>
      </w:r>
      <w:r>
        <w:br/>
        <w:t>W_{\mathrm{hidden}}</w:t>
      </w:r>
    </w:p>
    <w:p w:rsidR="00937413" w:rsidRDefault="00937413" w:rsidP="00937413">
      <w:pPr>
        <w:pStyle w:val="StandardWeb"/>
      </w:pPr>
      <w:r>
        <w:t>\mathbf{1}</w:t>
      </w:r>
      <w:r>
        <w:br/>
        <w:t>\left[</w:t>
      </w:r>
      <w:r>
        <w:br/>
        <w:t>R_{\mathrm{macro}}</w:t>
      </w:r>
      <w:r>
        <w:br/>
        <w:t>\text{ hoch}</w:t>
      </w:r>
      <w:r>
        <w:br/>
        <w:t>\land</w:t>
      </w:r>
      <w:r>
        <w:br/>
        <w:t>\frac{dC_S}{dt}</w:t>
      </w:r>
    </w:p>
    <w:p w:rsidR="00937413" w:rsidRDefault="00937413" w:rsidP="00937413">
      <w:pPr>
        <w:pStyle w:val="StandardWeb"/>
      </w:pPr>
      <w:r>
        <w:t>0</w:t>
      </w:r>
      <w:r>
        <w:br/>
        <w:t>\right].</w:t>
      </w:r>
      <w:r>
        <w:br/>
        <w:t>\tag{3.7486}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W_{\mathrm{hidden}}=\mathbf{1}\left[R_{\mathrm{macro}}\text{ hoch}\land\frac{dC_S}{dt}&gt;0\right]\qquad\text{(3.7486)}</w:t>
      </w:r>
    </w:p>
    <w:p w:rsidR="00937413" w:rsidRDefault="00937413" w:rsidP="00937413">
      <w:pPr>
        <w:pStyle w:val="StandardWeb"/>
      </w:pPr>
      <w:r>
        <w:t>Ein solcher Zustand kann langfristig problematisch sein, obwohl kurzfristig keine sichtbare Funktionsverschlechterung vorliegt.</w:t>
      </w:r>
    </w:p>
    <w:p w:rsidR="00937413" w:rsidRDefault="00E50336" w:rsidP="00937413">
      <w:r>
        <w:pict>
          <v:rect id="_x0000_i1642" style="width:0;height:1.5pt" o:hralign="center" o:hrstd="t" o:hr="t" fillcolor="#a0a0a0" stroked="f"/>
        </w:pict>
      </w:r>
    </w:p>
    <w:p w:rsidR="00937413" w:rsidRDefault="00937413" w:rsidP="00937413">
      <w:pPr>
        <w:pStyle w:val="berschrift2"/>
      </w:pPr>
      <w:r>
        <w:t>3.3.41.85 Stabilitätsreserve</w:t>
      </w:r>
    </w:p>
    <w:p w:rsidR="00937413" w:rsidRDefault="00937413" w:rsidP="00937413">
      <w:pPr>
        <w:pStyle w:val="StandardWeb"/>
      </w:pPr>
      <w:r>
        <w:lastRenderedPageBreak/>
        <w:t>Analog zum vorherigen Abschnitt definiere ich eine allgemeine Stabilitätsreserve</w:t>
      </w:r>
    </w:p>
    <w:p w:rsidR="00937413" w:rsidRDefault="00937413" w:rsidP="00937413">
      <w:pPr>
        <w:pStyle w:val="berschrift1"/>
      </w:pPr>
      <w:r>
        <w:t>[</w:t>
      </w:r>
      <w:r>
        <w:br/>
        <w:t>M_S</w:t>
      </w:r>
    </w:p>
    <w:p w:rsidR="00937413" w:rsidRDefault="00937413" w:rsidP="00937413">
      <w:pPr>
        <w:pStyle w:val="StandardWeb"/>
      </w:pPr>
      <w:r>
        <w:t>d</w:t>
      </w:r>
      <w:r>
        <w:br/>
        <w:t>\left(</w:t>
      </w:r>
      <w:r>
        <w:br/>
        <w:t>z,</w:t>
      </w:r>
      <w:r>
        <w:br/>
        <w:t>\partial\Omega_S</w:t>
      </w:r>
      <w:r>
        <w:br/>
        <w:t>\right).</w:t>
      </w:r>
      <w:r>
        <w:br/>
        <w:t>\tag{3.7487}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M_S=d\left(z,\partial\Omega_S\right)\qquad\text{(3.7487)}</w:t>
      </w:r>
    </w:p>
    <w:p w:rsidR="00937413" w:rsidRDefault="00937413" w:rsidP="00937413">
      <w:pPr>
        <w:pStyle w:val="StandardWeb"/>
      </w:pPr>
      <w:r>
        <w:t>Dabei bezeichnet (\Omega_S) die Region, in der die erforderliche Stabilitätsklasse erfüllt bleibt.</w:t>
      </w:r>
    </w:p>
    <w:p w:rsidR="00937413" w:rsidRDefault="00E50336" w:rsidP="00937413">
      <w:r>
        <w:pict>
          <v:rect id="_x0000_i1643" style="width:0;height:1.5pt" o:hralign="center" o:hrstd="t" o:hr="t" fillcolor="#a0a0a0" stroked="f"/>
        </w:pict>
      </w:r>
    </w:p>
    <w:p w:rsidR="00937413" w:rsidRDefault="00937413" w:rsidP="00937413">
      <w:pPr>
        <w:pStyle w:val="berschrift2"/>
      </w:pPr>
      <w:r>
        <w:t>3.3.41.86 Stabilitätsreserve und Unsicherheit</w:t>
      </w:r>
    </w:p>
    <w:p w:rsidR="00937413" w:rsidRDefault="00937413" w:rsidP="00937413">
      <w:pPr>
        <w:pStyle w:val="StandardWeb"/>
      </w:pPr>
      <w:r>
        <w:t>Eine konservative Bedingung lautet</w:t>
      </w:r>
    </w:p>
    <w:p w:rsidR="00937413" w:rsidRDefault="00937413" w:rsidP="00937413">
      <w:pPr>
        <w:pStyle w:val="StandardWeb"/>
      </w:pPr>
      <w:r>
        <w:t>[</w:t>
      </w:r>
      <w:r>
        <w:br/>
        <w:t>U_z</w:t>
      </w:r>
      <w:r>
        <w:br/>
        <w:t>&lt;</w:t>
      </w:r>
      <w:r>
        <w:br/>
        <w:t>M_S.</w:t>
      </w:r>
      <w:r>
        <w:br/>
        <w:t>\tag{3.7488}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U_z&lt;M_S\qquad\text{(3.7488)}</w:t>
      </w:r>
    </w:p>
    <w:p w:rsidR="00937413" w:rsidRDefault="00937413" w:rsidP="00937413">
      <w:pPr>
        <w:pStyle w:val="StandardWeb"/>
      </w:pPr>
      <w:r>
        <w:t>Dann liegt die Unsicherheitsregion vollständig innerhalb der Stabilitätsregion.</w:t>
      </w:r>
    </w:p>
    <w:p w:rsidR="00937413" w:rsidRDefault="00E50336" w:rsidP="00937413">
      <w:r>
        <w:pict>
          <v:rect id="_x0000_i1644" style="width:0;height:1.5pt" o:hralign="center" o:hrstd="t" o:hr="t" fillcolor="#a0a0a0" stroked="f"/>
        </w:pict>
      </w:r>
    </w:p>
    <w:p w:rsidR="00937413" w:rsidRDefault="00937413" w:rsidP="00937413">
      <w:pPr>
        <w:pStyle w:val="berschrift2"/>
      </w:pPr>
      <w:r>
        <w:t>3.3.41.87 Unsicherheit überlappt Stabilitätsgrenze</w:t>
      </w:r>
    </w:p>
    <w:p w:rsidR="00937413" w:rsidRDefault="00937413" w:rsidP="00937413">
      <w:pPr>
        <w:pStyle w:val="StandardWeb"/>
      </w:pPr>
      <w:r>
        <w:t>Für</w:t>
      </w:r>
    </w:p>
    <w:p w:rsidR="00937413" w:rsidRDefault="00937413" w:rsidP="00937413">
      <w:pPr>
        <w:pStyle w:val="StandardWeb"/>
      </w:pPr>
      <w:r>
        <w:t>[</w:t>
      </w:r>
      <w:r>
        <w:br/>
        <w:t>U_z</w:t>
      </w:r>
      <w:r>
        <w:br/>
        <w:t>\geq</w:t>
      </w:r>
      <w:r>
        <w:br/>
        <w:t>M_S</w:t>
      </w:r>
      <w:r>
        <w:br/>
      </w:r>
      <w:r>
        <w:lastRenderedPageBreak/>
        <w:t>\tag{3.7489}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U_z\geq M_S\qquad\text{(3.7489)}</w:t>
      </w:r>
    </w:p>
    <w:p w:rsidR="00937413" w:rsidRDefault="00937413" w:rsidP="00937413">
      <w:pPr>
        <w:pStyle w:val="StandardWeb"/>
      </w:pPr>
      <w:r>
        <w:t>reicht die Unsicherheit bis an oder über die Grenze der bekannten Stabilitätsregion.</w:t>
      </w:r>
    </w:p>
    <w:p w:rsidR="00937413" w:rsidRDefault="00937413" w:rsidP="00937413">
      <w:pPr>
        <w:pStyle w:val="StandardWeb"/>
      </w:pPr>
      <w:r>
        <w:t>Damit wird die Stabilitätsklassifikation selbst unsicher.</w:t>
      </w:r>
    </w:p>
    <w:p w:rsidR="00937413" w:rsidRDefault="00E50336" w:rsidP="00937413">
      <w:r>
        <w:pict>
          <v:rect id="_x0000_i1645" style="width:0;height:1.5pt" o:hralign="center" o:hrstd="t" o:hr="t" fillcolor="#a0a0a0" stroked="f"/>
        </w:pict>
      </w:r>
    </w:p>
    <w:p w:rsidR="00937413" w:rsidRDefault="00937413" w:rsidP="00937413">
      <w:pPr>
        <w:pStyle w:val="berschrift2"/>
      </w:pPr>
      <w:r>
        <w:t>3.3.41.88 Satz zur Hierarchie globaler und lokaler Stabilität</w:t>
      </w:r>
    </w:p>
    <w:p w:rsidR="00937413" w:rsidRDefault="00937413" w:rsidP="00937413">
      <w:pPr>
        <w:pStyle w:val="StandardWeb"/>
      </w:pPr>
      <w:r>
        <w:rPr>
          <w:rStyle w:val="Fett"/>
        </w:rPr>
        <w:t>Satz 3.3.25 – Globale Stabilität impliziert lokale Stabilität innerhalb des zulässigen Bereichs</w:t>
      </w:r>
    </w:p>
    <w:p w:rsidR="00937413" w:rsidRDefault="00937413" w:rsidP="00937413">
      <w:pPr>
        <w:pStyle w:val="StandardWeb"/>
      </w:pPr>
      <w:r>
        <w:t>Sei eine Aussage (A_F) global stabil im zulässigen Parameterraum (\Theta_{\mathrm{zul}}):</w:t>
      </w:r>
    </w:p>
    <w:p w:rsidR="00937413" w:rsidRDefault="00937413" w:rsidP="00937413">
      <w:pPr>
        <w:pStyle w:val="berschrift1"/>
      </w:pPr>
      <w:r>
        <w:t>[</w:t>
      </w:r>
      <w:r>
        <w:br/>
        <w:t>\forall</w:t>
      </w:r>
      <w:r>
        <w:br/>
        <w:t>\boldsymbol{\theta}</w:t>
      </w:r>
      <w:r>
        <w:br/>
        <w:t>\in</w:t>
      </w:r>
      <w:r>
        <w:br/>
        <w:t>\Theta_{\mathrm{zul}}</w:t>
      </w:r>
      <w:r>
        <w:br/>
        <w:t>:</w:t>
      </w:r>
      <w:r>
        <w:br/>
        <w:t>L</w:t>
      </w:r>
      <w:r>
        <w:br/>
        <w:t>\left(</w:t>
      </w:r>
      <w:r>
        <w:br/>
        <w:t>\boldsymbol{\theta}</w:t>
      </w:r>
      <w:r>
        <w:br/>
        <w:t>\right)</w:t>
      </w:r>
    </w:p>
    <w:p w:rsidR="00937413" w:rsidRDefault="00937413" w:rsidP="00937413">
      <w:pPr>
        <w:pStyle w:val="StandardWeb"/>
      </w:pPr>
      <w:r>
        <w:t>L^\ast.</w:t>
      </w:r>
      <w:r>
        <w:br/>
        <w:t>\tag{3.7490}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\forall\boldsymbol{\theta}\in\Theta_{\mathrm{zul}}:L\left(\boldsymbol{\theta}\right)=L^{\ast}\qquad\text{(3.7490)}</w:t>
      </w:r>
    </w:p>
    <w:p w:rsidR="00937413" w:rsidRDefault="00937413" w:rsidP="00937413">
      <w:pPr>
        <w:pStyle w:val="StandardWeb"/>
      </w:pPr>
      <w:r>
        <w:t>Sei ferner</w:t>
      </w:r>
    </w:p>
    <w:p w:rsidR="00937413" w:rsidRDefault="00937413" w:rsidP="00937413">
      <w:pPr>
        <w:pStyle w:val="StandardWeb"/>
      </w:pPr>
      <w:r>
        <w:t>[</w:t>
      </w:r>
      <w:r>
        <w:br/>
        <w:t>U</w:t>
      </w:r>
      <w:r>
        <w:br/>
      </w:r>
      <w:r>
        <w:lastRenderedPageBreak/>
        <w:t>\left(</w:t>
      </w:r>
      <w:r>
        <w:br/>
        <w:t>\boldsymbol{\theta}</w:t>
      </w:r>
      <w:r>
        <w:rPr>
          <w:rStyle w:val="Hervorhebung"/>
        </w:rPr>
        <w:t>0</w:t>
      </w:r>
      <w:r>
        <w:rPr>
          <w:i/>
          <w:iCs/>
        </w:rPr>
        <w:br/>
      </w:r>
      <w:r>
        <w:rPr>
          <w:rStyle w:val="Hervorhebung"/>
        </w:rPr>
        <w:t>\right)</w:t>
      </w:r>
      <w:r>
        <w:rPr>
          <w:i/>
          <w:iCs/>
        </w:rPr>
        <w:br/>
      </w:r>
      <w:r>
        <w:rPr>
          <w:rStyle w:val="Hervorhebung"/>
        </w:rPr>
        <w:t>\subseteq</w:t>
      </w:r>
      <w:r>
        <w:rPr>
          <w:i/>
          <w:iCs/>
        </w:rPr>
        <w:br/>
      </w:r>
      <w:r>
        <w:rPr>
          <w:rStyle w:val="Hervorhebung"/>
        </w:rPr>
        <w:t>\Theta</w:t>
      </w:r>
      <w:r>
        <w:t>{\mathrm{zul}}.</w:t>
      </w:r>
      <w:r>
        <w:br/>
        <w:t>\tag{3.7491}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U\left(\boldsymbol{\theta}_0\right)\subseteq\Theta_{\mathrm{zul}}\qquad\text{(3.7491)}</w:t>
      </w:r>
    </w:p>
    <w:p w:rsidR="00937413" w:rsidRDefault="00937413" w:rsidP="00937413">
      <w:pPr>
        <w:pStyle w:val="StandardWeb"/>
      </w:pPr>
      <w:r>
        <w:t>Dann gilt</w:t>
      </w:r>
    </w:p>
    <w:p w:rsidR="00937413" w:rsidRDefault="00937413" w:rsidP="00937413">
      <w:pPr>
        <w:pStyle w:val="berschrift1"/>
      </w:pPr>
      <w:r>
        <w:t>[</w:t>
      </w:r>
      <w:r>
        <w:br/>
        <w:t>\forall</w:t>
      </w:r>
      <w:r>
        <w:br/>
        <w:t>\boldsymbol{\theta}</w:t>
      </w:r>
      <w:r>
        <w:br/>
        <w:t>\in</w:t>
      </w:r>
      <w:r>
        <w:br/>
        <w:t>U</w:t>
      </w:r>
      <w:r>
        <w:br/>
        <w:t>\left(</w:t>
      </w:r>
      <w:r>
        <w:br/>
        <w:t>\boldsymbol{\theta}_0</w:t>
      </w:r>
      <w:r>
        <w:br/>
        <w:t>\right)</w:t>
      </w:r>
      <w:r>
        <w:br/>
        <w:t>:</w:t>
      </w:r>
      <w:r>
        <w:br/>
        <w:t>L</w:t>
      </w:r>
      <w:r>
        <w:br/>
        <w:t>\left(</w:t>
      </w:r>
      <w:r>
        <w:br/>
        <w:t>\boldsymbol{\theta}</w:t>
      </w:r>
      <w:r>
        <w:br/>
        <w:t>\right)</w:t>
      </w:r>
    </w:p>
    <w:p w:rsidR="00937413" w:rsidRDefault="00937413" w:rsidP="00937413">
      <w:pPr>
        <w:pStyle w:val="StandardWeb"/>
      </w:pPr>
      <w:r>
        <w:t>L</w:t>
      </w:r>
      <w:r>
        <w:br/>
        <w:t>\left(</w:t>
      </w:r>
      <w:r>
        <w:br/>
        <w:t>\boldsymbol{\theta}_0</w:t>
      </w:r>
      <w:r>
        <w:br/>
        <w:t>\right).</w:t>
      </w:r>
      <w:r>
        <w:br/>
        <w:t>\tag{3.7492}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\forall\boldsymbol{\theta}\in U\left(\boldsymbol{\theta}_0\right):L\left(\boldsymbol{\theta}\right)=L\left(\boldsymbol{\theta}_0\right)\qquad\text{(3.7492)}</w:t>
      </w:r>
    </w:p>
    <w:p w:rsidR="00937413" w:rsidRDefault="00937413" w:rsidP="00937413">
      <w:pPr>
        <w:pStyle w:val="StandardWeb"/>
      </w:pPr>
      <w:r>
        <w:lastRenderedPageBreak/>
        <w:t>Damit ist die Aussage lokal stabil.</w:t>
      </w:r>
    </w:p>
    <w:p w:rsidR="00937413" w:rsidRDefault="00937413" w:rsidP="00937413">
      <w:pPr>
        <w:pStyle w:val="berschrift3"/>
      </w:pPr>
      <w:r>
        <w:t>Beweis</w:t>
      </w:r>
    </w:p>
    <w:p w:rsidR="00937413" w:rsidRDefault="00937413" w:rsidP="00937413">
      <w:pPr>
        <w:pStyle w:val="StandardWeb"/>
      </w:pPr>
      <w:r>
        <w:t>Aus der globalen Stabilität folgt für jeden Punkt des zulässigen Parameterraums</w:t>
      </w:r>
    </w:p>
    <w:p w:rsidR="00937413" w:rsidRDefault="00937413" w:rsidP="00937413">
      <w:pPr>
        <w:pStyle w:val="berschrift1"/>
      </w:pPr>
      <w:r>
        <w:t>[</w:t>
      </w:r>
      <w:r>
        <w:br/>
        <w:t>L</w:t>
      </w:r>
      <w:r>
        <w:br/>
        <w:t>\left(</w:t>
      </w:r>
      <w:r>
        <w:br/>
        <w:t>\boldsymbol{\theta}</w:t>
      </w:r>
      <w:r>
        <w:br/>
        <w:t>\right)</w:t>
      </w:r>
    </w:p>
    <w:p w:rsidR="00937413" w:rsidRDefault="00937413" w:rsidP="00937413">
      <w:pPr>
        <w:pStyle w:val="StandardWeb"/>
      </w:pPr>
      <w:r>
        <w:t>L^\ast.</w:t>
      </w:r>
      <w:r>
        <w:br/>
        <w:t>\tag{3.7493}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L\left(\boldsymbol{\theta}\right)=L^{\ast}\qquad\text{(3.7493)}</w:t>
      </w:r>
    </w:p>
    <w:p w:rsidR="00937413" w:rsidRDefault="00937413" w:rsidP="00937413">
      <w:pPr>
        <w:pStyle w:val="StandardWeb"/>
      </w:pPr>
      <w:r>
        <w:t>Da</w:t>
      </w:r>
    </w:p>
    <w:p w:rsidR="00937413" w:rsidRDefault="00937413" w:rsidP="00937413">
      <w:pPr>
        <w:pStyle w:val="StandardWeb"/>
      </w:pPr>
      <w:r>
        <w:t>[</w:t>
      </w:r>
      <w:r>
        <w:br/>
        <w:t>U</w:t>
      </w:r>
      <w:r>
        <w:br/>
        <w:t>\left(</w:t>
      </w:r>
      <w:r>
        <w:br/>
        <w:t>\boldsymbol{\theta}</w:t>
      </w:r>
      <w:r>
        <w:rPr>
          <w:rStyle w:val="Hervorhebung"/>
        </w:rPr>
        <w:t>0</w:t>
      </w:r>
      <w:r>
        <w:rPr>
          <w:i/>
          <w:iCs/>
        </w:rPr>
        <w:br/>
      </w:r>
      <w:r>
        <w:rPr>
          <w:rStyle w:val="Hervorhebung"/>
        </w:rPr>
        <w:t>\right)</w:t>
      </w:r>
      <w:r>
        <w:rPr>
          <w:i/>
          <w:iCs/>
        </w:rPr>
        <w:br/>
      </w:r>
      <w:r>
        <w:rPr>
          <w:rStyle w:val="Hervorhebung"/>
        </w:rPr>
        <w:t>\subseteq</w:t>
      </w:r>
      <w:r>
        <w:rPr>
          <w:i/>
          <w:iCs/>
        </w:rPr>
        <w:br/>
      </w:r>
      <w:r>
        <w:rPr>
          <w:rStyle w:val="Hervorhebung"/>
        </w:rPr>
        <w:t>\Theta</w:t>
      </w:r>
      <w:r>
        <w:t>{\mathrm{zul}},</w:t>
      </w:r>
      <w:r>
        <w:br/>
        <w:t>\tag{3.7494}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U\left(\boldsymbol{\theta}_0\right)\subseteq\Theta_{\mathrm{zul}}\qquad\text{(3.7494)}</w:t>
      </w:r>
    </w:p>
    <w:p w:rsidR="00937413" w:rsidRDefault="00937413" w:rsidP="00937413">
      <w:pPr>
        <w:pStyle w:val="StandardWeb"/>
      </w:pPr>
      <w:r>
        <w:t>gilt diese Gleichheit insbesondere für sämtliche Punkte der lokalen Umgebung.</w:t>
      </w:r>
    </w:p>
    <w:p w:rsidR="00937413" w:rsidRDefault="00937413" w:rsidP="00937413">
      <w:pPr>
        <w:pStyle w:val="StandardWeb"/>
      </w:pPr>
      <w:r>
        <w:t>Für den Referenzpunkt gilt ebenfalls</w:t>
      </w:r>
    </w:p>
    <w:p w:rsidR="00937413" w:rsidRDefault="00937413" w:rsidP="00937413">
      <w:pPr>
        <w:pStyle w:val="berschrift1"/>
      </w:pPr>
      <w:r>
        <w:t>[</w:t>
      </w:r>
      <w:r>
        <w:br/>
        <w:t>L</w:t>
      </w:r>
      <w:r>
        <w:br/>
        <w:t>\left(</w:t>
      </w:r>
      <w:r>
        <w:br/>
      </w:r>
      <w:r>
        <w:lastRenderedPageBreak/>
        <w:t>\boldsymbol{\theta}_0</w:t>
      </w:r>
      <w:r>
        <w:br/>
        <w:t>\right)</w:t>
      </w:r>
    </w:p>
    <w:p w:rsidR="00937413" w:rsidRDefault="00937413" w:rsidP="00937413">
      <w:pPr>
        <w:pStyle w:val="StandardWeb"/>
      </w:pPr>
      <w:r>
        <w:t>L^\ast.</w:t>
      </w:r>
      <w:r>
        <w:br/>
        <w:t>\tag{3.7495}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L\left(\boldsymbol{\theta}_0\right)=L^{\ast}\qquad\text{(3.7495)}</w:t>
      </w:r>
    </w:p>
    <w:p w:rsidR="00937413" w:rsidRDefault="00937413" w:rsidP="00937413">
      <w:pPr>
        <w:pStyle w:val="StandardWeb"/>
      </w:pPr>
      <w:r>
        <w:t>Daraus folgt</w:t>
      </w:r>
    </w:p>
    <w:p w:rsidR="00937413" w:rsidRDefault="00937413" w:rsidP="00937413">
      <w:pPr>
        <w:pStyle w:val="berschrift1"/>
      </w:pPr>
      <w:r>
        <w:t>[</w:t>
      </w:r>
      <w:r>
        <w:br/>
        <w:t>L</w:t>
      </w:r>
      <w:r>
        <w:br/>
        <w:t>\left(</w:t>
      </w:r>
      <w:r>
        <w:br/>
        <w:t>\boldsymbol{\theta}</w:t>
      </w:r>
      <w:r>
        <w:br/>
        <w:t>\right)</w:t>
      </w:r>
    </w:p>
    <w:p w:rsidR="00937413" w:rsidRDefault="00937413" w:rsidP="00937413">
      <w:pPr>
        <w:pStyle w:val="StandardWeb"/>
      </w:pPr>
      <w:r>
        <w:t>L</w:t>
      </w:r>
      <w:r>
        <w:br/>
        <w:t>\left(</w:t>
      </w:r>
      <w:r>
        <w:br/>
        <w:t>\boldsymbol{\theta}_0</w:t>
      </w:r>
      <w:r>
        <w:br/>
        <w:t>\right)</w:t>
      </w:r>
      <w:r>
        <w:br/>
        <w:t>\qquad</w:t>
      </w:r>
      <w:r>
        <w:br/>
        <w:t>\forall</w:t>
      </w:r>
      <w:r>
        <w:br/>
        <w:t>\boldsymbol{\theta}</w:t>
      </w:r>
      <w:r>
        <w:br/>
        <w:t>\in</w:t>
      </w:r>
      <w:r>
        <w:br/>
        <w:t>U</w:t>
      </w:r>
      <w:r>
        <w:br/>
        <w:t>\left(</w:t>
      </w:r>
      <w:r>
        <w:br/>
        <w:t>\boldsymbol{\theta}_0</w:t>
      </w:r>
      <w:r>
        <w:br/>
        <w:t>\right).</w:t>
      </w:r>
      <w:r>
        <w:br/>
        <w:t>\tag{3.7496}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L\left(\boldsymbol{\theta}\right)=L\left(\boldsymbol{\theta}_0\right)\qquad\forall\boldsymbol{\theta}\in U\left(\boldsymbol{\theta}_0\right)\qquad\text{(3.7496)}</w:t>
      </w:r>
    </w:p>
    <w:p w:rsidR="00937413" w:rsidRDefault="00937413" w:rsidP="00937413">
      <w:pPr>
        <w:pStyle w:val="StandardWeb"/>
      </w:pPr>
      <w:r>
        <w:t>Damit ist lokale Stabilität gezeigt. (\square)</w:t>
      </w:r>
    </w:p>
    <w:p w:rsidR="00937413" w:rsidRDefault="00E50336" w:rsidP="00937413">
      <w:r>
        <w:pict>
          <v:rect id="_x0000_i1646" style="width:0;height:1.5pt" o:hralign="center" o:hrstd="t" o:hr="t" fillcolor="#a0a0a0" stroked="f"/>
        </w:pict>
      </w:r>
    </w:p>
    <w:p w:rsidR="00937413" w:rsidRDefault="00937413" w:rsidP="00937413">
      <w:pPr>
        <w:pStyle w:val="berschrift2"/>
      </w:pPr>
      <w:r>
        <w:t>3.3.41.89 Die Umkehrung gilt nicht</w:t>
      </w:r>
    </w:p>
    <w:p w:rsidR="00937413" w:rsidRDefault="00937413" w:rsidP="00937413">
      <w:pPr>
        <w:pStyle w:val="StandardWeb"/>
      </w:pPr>
      <w:r>
        <w:lastRenderedPageBreak/>
        <w:t>Lokale Stabilität impliziert keine globale Stabilität.</w:t>
      </w:r>
    </w:p>
    <w:p w:rsidR="00937413" w:rsidRDefault="00937413" w:rsidP="00937413">
      <w:pPr>
        <w:pStyle w:val="StandardWeb"/>
      </w:pPr>
      <w:r>
        <w:t>Es genügt ein Gegenbeispiel.</w:t>
      </w:r>
    </w:p>
    <w:p w:rsidR="00937413" w:rsidRDefault="00937413" w:rsidP="00937413">
      <w:pPr>
        <w:pStyle w:val="StandardWeb"/>
      </w:pPr>
      <w:r>
        <w:t>Sei</w:t>
      </w:r>
    </w:p>
    <w:p w:rsidR="00937413" w:rsidRDefault="00937413" w:rsidP="00937413">
      <w:pPr>
        <w:pStyle w:val="berschrift1"/>
      </w:pPr>
      <w:r>
        <w:t>[</w:t>
      </w:r>
      <w:r>
        <w:br/>
        <w:t>L(\theta)</w:t>
      </w:r>
    </w:p>
    <w:p w:rsidR="00937413" w:rsidRDefault="00937413" w:rsidP="00937413">
      <w:pPr>
        <w:pStyle w:val="StandardWeb"/>
      </w:pPr>
      <w:r>
        <w:t>1</w:t>
      </w:r>
      <w:r>
        <w:br/>
        <w:t>\qquad</w:t>
      </w:r>
      <w:r>
        <w:br/>
        <w:t>\text{für}</w:t>
      </w:r>
      <w:r>
        <w:br/>
        <w:t>\qquad</w:t>
      </w:r>
      <w:r>
        <w:br/>
        <w:t>|\theta|</w:t>
      </w:r>
      <w:r>
        <w:br/>
        <w:t>&lt;</w:t>
      </w:r>
      <w:r>
        <w:br/>
        <w:t>1</w:t>
      </w:r>
      <w:r>
        <w:br/>
        <w:t>\tag{3.7497}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L(\theta)=1\qquad\text{für}\qquad|\theta|&lt;1\qquad\text{(3.7497)}</w:t>
      </w:r>
    </w:p>
    <w:p w:rsidR="00937413" w:rsidRDefault="00937413" w:rsidP="00937413">
      <w:pPr>
        <w:pStyle w:val="StandardWeb"/>
      </w:pPr>
      <w:r>
        <w:t>und</w:t>
      </w:r>
    </w:p>
    <w:p w:rsidR="00937413" w:rsidRDefault="00937413" w:rsidP="00937413">
      <w:pPr>
        <w:pStyle w:val="berschrift1"/>
      </w:pPr>
      <w:r>
        <w:t>[</w:t>
      </w:r>
      <w:r>
        <w:br/>
        <w:t>L(\theta)</w:t>
      </w:r>
    </w:p>
    <w:p w:rsidR="00937413" w:rsidRDefault="00937413" w:rsidP="00937413">
      <w:pPr>
        <w:pStyle w:val="StandardWeb"/>
      </w:pPr>
      <w:r>
        <w:t>0</w:t>
      </w:r>
      <w:r>
        <w:br/>
        <w:t>\qquad</w:t>
      </w:r>
      <w:r>
        <w:br/>
        <w:t>\text{für}</w:t>
      </w:r>
      <w:r>
        <w:br/>
        <w:t>\qquad</w:t>
      </w:r>
      <w:r>
        <w:br/>
        <w:t>|\theta|</w:t>
      </w:r>
      <w:r>
        <w:br/>
        <w:t>\geq</w:t>
      </w:r>
      <w:r>
        <w:br/>
        <w:t>1.</w:t>
      </w:r>
      <w:r>
        <w:br/>
        <w:t>\tag{3.7498}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L(\theta)=0\qquad\text{für}\qquad|\theta|\geq1\qquad\text{(3.7498)}</w:t>
      </w:r>
    </w:p>
    <w:p w:rsidR="00937413" w:rsidRDefault="00937413" w:rsidP="00937413">
      <w:pPr>
        <w:pStyle w:val="StandardWeb"/>
      </w:pPr>
      <w:r>
        <w:t>Für</w:t>
      </w:r>
    </w:p>
    <w:p w:rsidR="00937413" w:rsidRDefault="00937413" w:rsidP="00937413">
      <w:pPr>
        <w:pStyle w:val="berschrift1"/>
      </w:pPr>
      <w:r>
        <w:t>[</w:t>
      </w:r>
      <w:r>
        <w:br/>
        <w:t>\theta_0</w:t>
      </w:r>
    </w:p>
    <w:p w:rsidR="00937413" w:rsidRDefault="00937413" w:rsidP="00937413">
      <w:pPr>
        <w:pStyle w:val="StandardWeb"/>
      </w:pPr>
      <w:r>
        <w:lastRenderedPageBreak/>
        <w:t>0</w:t>
      </w:r>
      <w:r>
        <w:br/>
        <w:t>\tag{3.7499}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\theta_0=0\qquad\text{(3.7499)}</w:t>
      </w:r>
    </w:p>
    <w:p w:rsidR="00937413" w:rsidRDefault="00937413" w:rsidP="00937413">
      <w:pPr>
        <w:pStyle w:val="StandardWeb"/>
      </w:pPr>
      <w:r>
        <w:t>existiert beispielsweise eine lokale Umgebung</w:t>
      </w:r>
    </w:p>
    <w:p w:rsidR="00937413" w:rsidRDefault="00937413" w:rsidP="00937413">
      <w:pPr>
        <w:pStyle w:val="berschrift1"/>
      </w:pPr>
      <w:r>
        <w:t>[</w:t>
      </w:r>
      <w:r>
        <w:br/>
        <w:t>U</w:t>
      </w:r>
    </w:p>
    <w:p w:rsidR="00937413" w:rsidRDefault="00937413" w:rsidP="00937413">
      <w:pPr>
        <w:pStyle w:val="StandardWeb"/>
      </w:pPr>
      <w:r>
        <w:t>(-0.5,0.5),</w:t>
      </w:r>
      <w:r>
        <w:br/>
        <w:t>\tag{3.7500}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U=(-0.5,0.5)\qquad\text{(3.7500)}</w:t>
      </w:r>
    </w:p>
    <w:p w:rsidR="00937413" w:rsidRDefault="00937413" w:rsidP="00937413">
      <w:pPr>
        <w:pStyle w:val="StandardWeb"/>
      </w:pPr>
      <w:r>
        <w:t>in der die Aussageklasse konstant bleibt.</w:t>
      </w:r>
    </w:p>
    <w:p w:rsidR="00937413" w:rsidRDefault="00937413" w:rsidP="00937413">
      <w:pPr>
        <w:pStyle w:val="StandardWeb"/>
      </w:pPr>
      <w:r>
        <w:t>Ist jedoch</w:t>
      </w:r>
    </w:p>
    <w:p w:rsidR="00937413" w:rsidRDefault="00937413" w:rsidP="00937413">
      <w:pPr>
        <w:pStyle w:val="berschrift1"/>
      </w:pPr>
      <w:r>
        <w:t>[</w:t>
      </w:r>
      <w:r>
        <w:br/>
        <w:t>\Theta_{\mathrm{zul}}</w:t>
      </w:r>
    </w:p>
    <w:p w:rsidR="00937413" w:rsidRDefault="00937413" w:rsidP="00937413">
      <w:pPr>
        <w:pStyle w:val="StandardWeb"/>
      </w:pPr>
      <w:r>
        <w:t>[-2,2],</w:t>
      </w:r>
      <w:r>
        <w:br/>
        <w:t>\tag{3.7501}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\Theta_{\mathrm{zul}}=[-2,2]\qquad\text{(3.7501)}</w:t>
      </w:r>
    </w:p>
    <w:p w:rsidR="00937413" w:rsidRDefault="00937413" w:rsidP="00937413">
      <w:pPr>
        <w:pStyle w:val="StandardWeb"/>
      </w:pPr>
      <w:r>
        <w:t>ist die Aussage nicht global stabil.</w:t>
      </w:r>
    </w:p>
    <w:p w:rsidR="00937413" w:rsidRDefault="00E50336" w:rsidP="00937413">
      <w:r>
        <w:pict>
          <v:rect id="_x0000_i1647" style="width:0;height:1.5pt" o:hralign="center" o:hrstd="t" o:hr="t" fillcolor="#a0a0a0" stroked="f"/>
        </w:pict>
      </w:r>
    </w:p>
    <w:p w:rsidR="00937413" w:rsidRDefault="00937413" w:rsidP="00937413">
      <w:pPr>
        <w:pStyle w:val="berschrift2"/>
      </w:pPr>
      <w:r>
        <w:t>3.3.41.90 Korollar zur Stabilitätshierarchie</w:t>
      </w:r>
    </w:p>
    <w:p w:rsidR="00937413" w:rsidRDefault="00937413" w:rsidP="00937413">
      <w:pPr>
        <w:pStyle w:val="StandardWeb"/>
      </w:pPr>
      <w:r>
        <w:rPr>
          <w:rStyle w:val="Fett"/>
        </w:rPr>
        <w:t>Korollar 3.3.4 – Globale Stabilität ist innerhalb eines festen Gültigkeitsraums eine stärkere Eigenschaft als lokale Stabilität</w:t>
      </w:r>
    </w:p>
    <w:p w:rsidR="00937413" w:rsidRDefault="00937413" w:rsidP="00937413">
      <w:pPr>
        <w:pStyle w:val="StandardWeb"/>
      </w:pPr>
      <w:r>
        <w:t>Aus Satz 3.3.25 und dem Gegenbeispiel folgt</w:t>
      </w:r>
    </w:p>
    <w:p w:rsidR="00937413" w:rsidRDefault="00937413" w:rsidP="00937413">
      <w:pPr>
        <w:pStyle w:val="berschrift1"/>
      </w:pPr>
      <w:r>
        <w:lastRenderedPageBreak/>
        <w:t>[</w:t>
      </w:r>
      <w:r>
        <w:br/>
        <w:t>S_G</w:t>
      </w:r>
    </w:p>
    <w:p w:rsidR="00937413" w:rsidRDefault="00937413" w:rsidP="00937413">
      <w:pPr>
        <w:pStyle w:val="berschrift1"/>
      </w:pPr>
      <w:r>
        <w:t>1</w:t>
      </w:r>
      <w:r>
        <w:br/>
        <w:t>\Rightarrow</w:t>
      </w:r>
      <w:r>
        <w:br/>
        <w:t>S_L</w:t>
      </w:r>
    </w:p>
    <w:p w:rsidR="00937413" w:rsidRDefault="00937413" w:rsidP="00937413">
      <w:pPr>
        <w:pStyle w:val="StandardWeb"/>
      </w:pPr>
      <w:r>
        <w:t>1,</w:t>
      </w:r>
      <w:r>
        <w:br/>
        <w:t>\tag{3.7502}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S_G=1\Rightarrow S_L=1\qquad\text{(3.7502)}</w:t>
      </w:r>
    </w:p>
    <w:p w:rsidR="00937413" w:rsidRDefault="00937413" w:rsidP="00937413">
      <w:pPr>
        <w:pStyle w:val="StandardWeb"/>
      </w:pPr>
      <w:r>
        <w:t>aber</w:t>
      </w:r>
    </w:p>
    <w:p w:rsidR="00937413" w:rsidRDefault="00937413" w:rsidP="00937413">
      <w:pPr>
        <w:pStyle w:val="berschrift1"/>
      </w:pPr>
      <w:r>
        <w:t>[</w:t>
      </w:r>
      <w:r>
        <w:br/>
        <w:t>S_L</w:t>
      </w:r>
    </w:p>
    <w:p w:rsidR="00937413" w:rsidRDefault="00937413" w:rsidP="00937413">
      <w:pPr>
        <w:pStyle w:val="berschrift1"/>
      </w:pPr>
      <w:r>
        <w:t>1</w:t>
      </w:r>
      <w:r>
        <w:br/>
        <w:t>\nRightarrow</w:t>
      </w:r>
      <w:r>
        <w:br/>
        <w:t>S_G</w:t>
      </w:r>
    </w:p>
    <w:p w:rsidR="00937413" w:rsidRDefault="00937413" w:rsidP="008C5E65">
      <w:pPr>
        <w:numPr>
          <w:ilvl w:val="0"/>
          <w:numId w:val="354"/>
        </w:numPr>
        <w:spacing w:before="100" w:beforeAutospacing="1" w:after="100" w:afterAutospacing="1"/>
      </w:pPr>
    </w:p>
    <w:p w:rsidR="00937413" w:rsidRDefault="00937413" w:rsidP="00937413">
      <w:pPr>
        <w:pStyle w:val="StandardWeb"/>
      </w:pPr>
      <w:r>
        <w:t>\tag{3.7503}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S_L=1\nRightarrow S_G=1\qquad\text{(3.7503)}</w:t>
      </w:r>
    </w:p>
    <w:p w:rsidR="00937413" w:rsidRDefault="00937413" w:rsidP="00937413">
      <w:pPr>
        <w:pStyle w:val="StandardWeb"/>
      </w:pPr>
      <w:r>
        <w:t>Damit besitzt die Beziehung zwischen lokaler und globaler Stabilität eine eindeutige Richtung.</w:t>
      </w:r>
    </w:p>
    <w:p w:rsidR="00937413" w:rsidRDefault="00E50336" w:rsidP="00937413">
      <w:r>
        <w:pict>
          <v:rect id="_x0000_i1648" style="width:0;height:1.5pt" o:hralign="center" o:hrstd="t" o:hr="t" fillcolor="#a0a0a0" stroked="f"/>
        </w:pict>
      </w:r>
    </w:p>
    <w:p w:rsidR="00937413" w:rsidRDefault="00937413" w:rsidP="00937413">
      <w:pPr>
        <w:pStyle w:val="berschrift2"/>
      </w:pPr>
      <w:r>
        <w:t>3.3.41.91 Stabilitätshierarchie</w:t>
      </w:r>
    </w:p>
    <w:p w:rsidR="00937413" w:rsidRDefault="00937413" w:rsidP="00937413">
      <w:pPr>
        <w:pStyle w:val="StandardWeb"/>
      </w:pPr>
      <w:r>
        <w:t>Ich kann diesen Zusammenhang als partielle Hierarchie schreiben:</w:t>
      </w:r>
    </w:p>
    <w:p w:rsidR="00937413" w:rsidRDefault="00937413" w:rsidP="00937413">
      <w:pPr>
        <w:pStyle w:val="StandardWeb"/>
      </w:pPr>
      <w:r>
        <w:t>[</w:t>
      </w:r>
      <w:r>
        <w:br/>
        <w:t>S_G</w:t>
      </w:r>
      <w:r>
        <w:br/>
        <w:t>\succ</w:t>
      </w:r>
      <w:r>
        <w:br/>
      </w:r>
      <w:r>
        <w:lastRenderedPageBreak/>
        <w:t>S_L.</w:t>
      </w:r>
      <w:r>
        <w:br/>
        <w:t>\tag{3.7504}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S_G\succ S_L\qquad\text{(3.7504)}</w:t>
      </w:r>
    </w:p>
    <w:p w:rsidR="00937413" w:rsidRDefault="00937413" w:rsidP="00937413">
      <w:pPr>
        <w:pStyle w:val="StandardWeb"/>
      </w:pPr>
      <w:r>
        <w:t>Das Symbol (\succ) bedeutet hier: die linke Eigenschaft impliziert unter den genannten Bedingungen die rechte, nicht jedoch umgekehrt.</w:t>
      </w:r>
    </w:p>
    <w:p w:rsidR="00937413" w:rsidRDefault="00E50336" w:rsidP="00937413">
      <w:r>
        <w:pict>
          <v:rect id="_x0000_i1649" style="width:0;height:1.5pt" o:hralign="center" o:hrstd="t" o:hr="t" fillcolor="#a0a0a0" stroked="f"/>
        </w:pict>
      </w:r>
    </w:p>
    <w:p w:rsidR="00937413" w:rsidRDefault="00937413" w:rsidP="00937413">
      <w:pPr>
        <w:pStyle w:val="berschrift2"/>
      </w:pPr>
      <w:r>
        <w:t>3.3.41.92 Keine allgemeine Hierarchie zwischen allen Stabilitätsdimensionen</w:t>
      </w:r>
    </w:p>
    <w:p w:rsidR="00937413" w:rsidRDefault="00937413" w:rsidP="00937413">
      <w:pPr>
        <w:pStyle w:val="StandardWeb"/>
      </w:pPr>
      <w:r>
        <w:t>Zwischen Operationalisierungs-, Modell- und Reproduzierbarkeitsstabilität existiert dagegen keine allgemeine Implikationsrichtung.</w:t>
      </w:r>
    </w:p>
    <w:p w:rsidR="00937413" w:rsidRDefault="00937413" w:rsidP="00937413">
      <w:pPr>
        <w:pStyle w:val="StandardWeb"/>
      </w:pPr>
      <w:r>
        <w:t>Es gilt beispielsweise</w:t>
      </w:r>
    </w:p>
    <w:p w:rsidR="00937413" w:rsidRDefault="00937413" w:rsidP="00937413">
      <w:pPr>
        <w:pStyle w:val="berschrift1"/>
      </w:pPr>
      <w:r>
        <w:t>[</w:t>
      </w:r>
      <w:r>
        <w:br/>
        <w:t>S_R</w:t>
      </w:r>
    </w:p>
    <w:p w:rsidR="00937413" w:rsidRDefault="00937413" w:rsidP="00937413">
      <w:pPr>
        <w:pStyle w:val="berschrift1"/>
      </w:pPr>
      <w:r>
        <w:t>1</w:t>
      </w:r>
      <w:r>
        <w:br/>
        <w:t>\nRightarrow</w:t>
      </w:r>
      <w:r>
        <w:br/>
        <w:t>S_O</w:t>
      </w:r>
    </w:p>
    <w:p w:rsidR="00937413" w:rsidRDefault="00937413" w:rsidP="00937413">
      <w:pPr>
        <w:pStyle w:val="StandardWeb"/>
      </w:pPr>
      <w:r>
        <w:t>1,</w:t>
      </w:r>
      <w:r>
        <w:br/>
        <w:t>\tag{3.7505}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S_R=1\nRightarrow S_O=1\qquad\text{(3.7505)}</w:t>
      </w:r>
    </w:p>
    <w:p w:rsidR="00937413" w:rsidRDefault="00937413" w:rsidP="00937413">
      <w:pPr>
        <w:pStyle w:val="StandardWeb"/>
      </w:pPr>
      <w:r>
        <w:t>wie bereits in Abschnitt 3.3.39 gezeigt wurde.</w:t>
      </w:r>
    </w:p>
    <w:p w:rsidR="00937413" w:rsidRDefault="00937413" w:rsidP="00937413">
      <w:pPr>
        <w:pStyle w:val="StandardWeb"/>
      </w:pPr>
      <w:r>
        <w:t>Ebenso gilt</w:t>
      </w:r>
    </w:p>
    <w:p w:rsidR="00937413" w:rsidRDefault="00937413" w:rsidP="00937413">
      <w:pPr>
        <w:pStyle w:val="berschrift1"/>
      </w:pPr>
      <w:r>
        <w:t>[</w:t>
      </w:r>
      <w:r>
        <w:br/>
        <w:t>S_O</w:t>
      </w:r>
    </w:p>
    <w:p w:rsidR="00937413" w:rsidRDefault="00937413" w:rsidP="00937413">
      <w:pPr>
        <w:pStyle w:val="berschrift1"/>
      </w:pPr>
      <w:r>
        <w:lastRenderedPageBreak/>
        <w:t>1</w:t>
      </w:r>
      <w:r>
        <w:br/>
        <w:t>\nRightarrow</w:t>
      </w:r>
      <w:r>
        <w:br/>
        <w:t>S_M</w:t>
      </w:r>
    </w:p>
    <w:p w:rsidR="00937413" w:rsidRDefault="00937413" w:rsidP="008C5E65">
      <w:pPr>
        <w:numPr>
          <w:ilvl w:val="0"/>
          <w:numId w:val="355"/>
        </w:numPr>
        <w:spacing w:before="100" w:beforeAutospacing="1" w:after="100" w:afterAutospacing="1"/>
      </w:pPr>
    </w:p>
    <w:p w:rsidR="00937413" w:rsidRDefault="00937413" w:rsidP="00937413">
      <w:pPr>
        <w:pStyle w:val="StandardWeb"/>
      </w:pPr>
      <w:r>
        <w:t>\tag{3.7506}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S_O=1\nRightarrow S_M=1\qquad\text{(3.7506)}</w:t>
      </w:r>
    </w:p>
    <w:p w:rsidR="00937413" w:rsidRDefault="00937413" w:rsidP="00937413">
      <w:pPr>
        <w:pStyle w:val="StandardWeb"/>
      </w:pPr>
      <w:r>
        <w:t>und</w:t>
      </w:r>
    </w:p>
    <w:p w:rsidR="00937413" w:rsidRDefault="00937413" w:rsidP="00937413">
      <w:pPr>
        <w:pStyle w:val="berschrift1"/>
      </w:pPr>
      <w:r>
        <w:t>[</w:t>
      </w:r>
      <w:r>
        <w:br/>
        <w:t>S_M</w:t>
      </w:r>
    </w:p>
    <w:p w:rsidR="00937413" w:rsidRDefault="00937413" w:rsidP="00937413">
      <w:pPr>
        <w:pStyle w:val="berschrift1"/>
      </w:pPr>
      <w:r>
        <w:t>1</w:t>
      </w:r>
      <w:r>
        <w:br/>
        <w:t>\nRightarrow</w:t>
      </w:r>
      <w:r>
        <w:br/>
        <w:t>S_N</w:t>
      </w:r>
    </w:p>
    <w:p w:rsidR="00937413" w:rsidRDefault="00937413" w:rsidP="008C5E65">
      <w:pPr>
        <w:numPr>
          <w:ilvl w:val="0"/>
          <w:numId w:val="356"/>
        </w:numPr>
        <w:spacing w:before="100" w:beforeAutospacing="1" w:after="100" w:afterAutospacing="1"/>
      </w:pPr>
    </w:p>
    <w:p w:rsidR="00937413" w:rsidRDefault="00937413" w:rsidP="00937413">
      <w:pPr>
        <w:pStyle w:val="StandardWeb"/>
      </w:pPr>
      <w:r>
        <w:t>\tag{3.7507}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S_M=1\nRightarrow S_N=1\qquad\text{(3.7507)}</w:t>
      </w:r>
    </w:p>
    <w:p w:rsidR="00937413" w:rsidRDefault="00937413" w:rsidP="00937413">
      <w:pPr>
        <w:pStyle w:val="StandardWeb"/>
      </w:pPr>
      <w:r>
        <w:t>Damit bleibt die Mehrdimensionalität der Stabilitätsklasse zwingend erhalten.</w:t>
      </w:r>
    </w:p>
    <w:p w:rsidR="00937413" w:rsidRDefault="00E50336" w:rsidP="00937413">
      <w:r>
        <w:pict>
          <v:rect id="_x0000_i1650" style="width:0;height:1.5pt" o:hralign="center" o:hrstd="t" o:hr="t" fillcolor="#a0a0a0" stroked="f"/>
        </w:pict>
      </w:r>
    </w:p>
    <w:p w:rsidR="00937413" w:rsidRDefault="00937413" w:rsidP="00937413">
      <w:pPr>
        <w:pStyle w:val="berschrift2"/>
      </w:pPr>
      <w:r>
        <w:t>3.3.41.93 Stabilitätsgraph</w:t>
      </w:r>
    </w:p>
    <w:p w:rsidR="00937413" w:rsidRDefault="00937413" w:rsidP="00937413">
      <w:pPr>
        <w:pStyle w:val="StandardWeb"/>
      </w:pPr>
      <w:r>
        <w:t>Die Abhängigkeiten zwischen den Stabilitätsdimensionen können als gerichteter Graph beschrieben werden.</w:t>
      </w:r>
    </w:p>
    <w:p w:rsidR="00937413" w:rsidRDefault="00937413" w:rsidP="00937413">
      <w:pPr>
        <w:pStyle w:val="StandardWeb"/>
      </w:pPr>
      <w:r>
        <w:t>Ich definiere</w:t>
      </w:r>
    </w:p>
    <w:p w:rsidR="00937413" w:rsidRDefault="00937413" w:rsidP="00937413">
      <w:pPr>
        <w:pStyle w:val="berschrift1"/>
      </w:pPr>
      <w:r>
        <w:t>[</w:t>
      </w:r>
      <w:r>
        <w:br/>
        <w:t>\mathcal{G}_S</w:t>
      </w:r>
    </w:p>
    <w:p w:rsidR="00937413" w:rsidRDefault="00937413" w:rsidP="00937413">
      <w:pPr>
        <w:pStyle w:val="StandardWeb"/>
      </w:pPr>
      <w:r>
        <w:lastRenderedPageBreak/>
        <w:t>\left(</w:t>
      </w:r>
      <w:r>
        <w:br/>
        <w:t>V_S,</w:t>
      </w:r>
      <w:r>
        <w:br/>
        <w:t>E_S</w:t>
      </w:r>
      <w:r>
        <w:br/>
        <w:t>\right).</w:t>
      </w:r>
      <w:r>
        <w:br/>
        <w:t>\tag{3.7508}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\mathcal{G}_S=\left(V_S,E_S\right)\qquad\text{(3.7508)}</w:t>
      </w:r>
    </w:p>
    <w:p w:rsidR="00937413" w:rsidRDefault="00937413" w:rsidP="00937413">
      <w:pPr>
        <w:pStyle w:val="StandardWeb"/>
      </w:pPr>
      <w:r>
        <w:t>mit</w:t>
      </w:r>
    </w:p>
    <w:p w:rsidR="00937413" w:rsidRDefault="00937413" w:rsidP="00937413">
      <w:pPr>
        <w:pStyle w:val="berschrift1"/>
      </w:pPr>
      <w:r>
        <w:t>[</w:t>
      </w:r>
      <w:r>
        <w:br/>
        <w:t>V_S</w:t>
      </w:r>
    </w:p>
    <w:p w:rsidR="00937413" w:rsidRDefault="00937413" w:rsidP="00937413">
      <w:pPr>
        <w:pStyle w:val="StandardWeb"/>
      </w:pPr>
      <w:r>
        <w:t>\left{</w:t>
      </w:r>
      <w:r>
        <w:br/>
        <w:t>S_L,</w:t>
      </w:r>
      <w:r>
        <w:br/>
        <w:t>S_G,</w:t>
      </w:r>
      <w:r>
        <w:br/>
        <w:t>S_P,</w:t>
      </w:r>
      <w:r>
        <w:br/>
        <w:t>S_R,</w:t>
      </w:r>
      <w:r>
        <w:br/>
        <w:t>S_O,</w:t>
      </w:r>
      <w:r>
        <w:br/>
        <w:t>S_M,</w:t>
      </w:r>
      <w:r>
        <w:br/>
        <w:t>S_N,</w:t>
      </w:r>
      <w:r>
        <w:br/>
        <w:t>S_T</w:t>
      </w:r>
      <w:r>
        <w:br/>
        <w:t>\right}.</w:t>
      </w:r>
      <w:r>
        <w:br/>
        <w:t>\tag{3.7509}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V_S=\left\{S_L,S_G,S_P,S_R,S_O,S_M,S_N,S_T\right\}\qquad\text{(3.7509)}</w:t>
      </w:r>
    </w:p>
    <w:p w:rsidR="00937413" w:rsidRDefault="00937413" w:rsidP="00937413">
      <w:pPr>
        <w:pStyle w:val="StandardWeb"/>
      </w:pPr>
      <w:r>
        <w:t>Eine gerichtete Kante</w:t>
      </w:r>
    </w:p>
    <w:p w:rsidR="00937413" w:rsidRDefault="00937413" w:rsidP="00937413">
      <w:pPr>
        <w:pStyle w:val="StandardWeb"/>
      </w:pPr>
      <w:r>
        <w:t>[</w:t>
      </w:r>
      <w:r>
        <w:br/>
        <w:t>S_i</w:t>
      </w:r>
      <w:r>
        <w:br/>
        <w:t>\rightarrow</w:t>
      </w:r>
      <w:r>
        <w:br/>
        <w:t>S_j</w:t>
      </w:r>
      <w:r>
        <w:br/>
        <w:t>\tag{3.7510}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S_i\rightarrow S_j\qquad\text{(3.7510)}</w:t>
      </w:r>
    </w:p>
    <w:p w:rsidR="00937413" w:rsidRDefault="00937413" w:rsidP="00937413">
      <w:pPr>
        <w:pStyle w:val="StandardWeb"/>
      </w:pPr>
      <w:r>
        <w:t>bedeutet, dass unter explizit angegebenen Voraussetzungen (S_i) die Eigenschaft (S_j) impliziert.</w:t>
      </w:r>
    </w:p>
    <w:p w:rsidR="00937413" w:rsidRDefault="00E50336" w:rsidP="00937413">
      <w:r>
        <w:pict>
          <v:rect id="_x0000_i1651" style="width:0;height:1.5pt" o:hralign="center" o:hrstd="t" o:hr="t" fillcolor="#a0a0a0" stroked="f"/>
        </w:pict>
      </w:r>
    </w:p>
    <w:p w:rsidR="00937413" w:rsidRDefault="00937413" w:rsidP="00937413">
      <w:pPr>
        <w:pStyle w:val="berschrift2"/>
      </w:pPr>
      <w:r>
        <w:lastRenderedPageBreak/>
        <w:t>3.3.41.94 Fehlende Kante als methodische Information</w:t>
      </w:r>
    </w:p>
    <w:p w:rsidR="00937413" w:rsidRDefault="00937413" w:rsidP="00937413">
      <w:pPr>
        <w:pStyle w:val="StandardWeb"/>
      </w:pPr>
      <w:r>
        <w:t>Fehlt eine Kante zwischen zwei Stabilitätsdimensionen, bedeutet dies nicht, dass sie empirisch niemals zusammenhängen.</w:t>
      </w:r>
    </w:p>
    <w:p w:rsidR="00937413" w:rsidRDefault="00937413" w:rsidP="00937413">
      <w:pPr>
        <w:pStyle w:val="StandardWeb"/>
      </w:pPr>
      <w:r>
        <w:t>Es bedeutet lediglich, dass keine allgemeine logische Implikation angenommen wird.</w:t>
      </w:r>
    </w:p>
    <w:p w:rsidR="00937413" w:rsidRDefault="00937413" w:rsidP="00937413">
      <w:pPr>
        <w:pStyle w:val="StandardWeb"/>
      </w:pPr>
      <w:r>
        <w:t>Ich schreibe</w:t>
      </w:r>
    </w:p>
    <w:p w:rsidR="00937413" w:rsidRDefault="00937413" w:rsidP="00937413">
      <w:pPr>
        <w:pStyle w:val="StandardWeb"/>
      </w:pPr>
      <w:r>
        <w:t>[</w:t>
      </w:r>
      <w:r>
        <w:br/>
        <w:t>S_i</w:t>
      </w:r>
      <w:r>
        <w:br/>
        <w:t>\nrightarrow</w:t>
      </w:r>
      <w:r>
        <w:br/>
        <w:t>S_j.</w:t>
      </w:r>
      <w:r>
        <w:br/>
        <w:t>\tag{3.7511}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S_i\nrightarrow S_j\qquad\text{(3.7511)}</w:t>
      </w:r>
    </w:p>
    <w:p w:rsidR="00937413" w:rsidRDefault="00937413" w:rsidP="00937413">
      <w:pPr>
        <w:pStyle w:val="StandardWeb"/>
      </w:pPr>
      <w:r>
        <w:t>Diese Unterscheidung verhindert, dass beobachtete empirische Korrelationen vorschnell als notwendige strukturelle Beziehungen interpretiert werden.</w:t>
      </w:r>
    </w:p>
    <w:p w:rsidR="00937413" w:rsidRDefault="00E50336" w:rsidP="00937413">
      <w:r>
        <w:pict>
          <v:rect id="_x0000_i1652" style="width:0;height:1.5pt" o:hralign="center" o:hrstd="t" o:hr="t" fillcolor="#a0a0a0" stroked="f"/>
        </w:pict>
      </w:r>
    </w:p>
    <w:p w:rsidR="00937413" w:rsidRDefault="00937413" w:rsidP="00937413">
      <w:pPr>
        <w:pStyle w:val="berschrift2"/>
      </w:pPr>
      <w:r>
        <w:t>3.3.41.95 Stabilitätsmatrix</w:t>
      </w:r>
    </w:p>
    <w:p w:rsidR="00937413" w:rsidRDefault="00937413" w:rsidP="00937413">
      <w:pPr>
        <w:pStyle w:val="StandardWeb"/>
      </w:pPr>
      <w:r>
        <w:t>Alternativ zum Graphen kann eine Matrix verwendet werden:</w:t>
      </w:r>
    </w:p>
    <w:p w:rsidR="00937413" w:rsidRDefault="00937413" w:rsidP="00937413">
      <w:pPr>
        <w:pStyle w:val="berschrift1"/>
      </w:pPr>
      <w:r>
        <w:t>[</w:t>
      </w:r>
      <w:r>
        <w:br/>
        <w:t>\mathbf{H}_S</w:t>
      </w:r>
    </w:p>
    <w:p w:rsidR="00937413" w:rsidRDefault="00937413" w:rsidP="00937413">
      <w:pPr>
        <w:pStyle w:val="StandardWeb"/>
      </w:pPr>
      <w:r>
        <w:t>\left[</w:t>
      </w:r>
      <w:r>
        <w:br/>
        <w:t>h_{ij}</w:t>
      </w:r>
      <w:r>
        <w:br/>
        <w:t>\right].</w:t>
      </w:r>
      <w:r>
        <w:br/>
        <w:t>\tag{3.7512}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\mathbf{H}_S=\left[h_{ij}\right]\qquad\text{(3.7512)}</w:t>
      </w:r>
    </w:p>
    <w:p w:rsidR="00937413" w:rsidRDefault="00937413" w:rsidP="00937413">
      <w:pPr>
        <w:pStyle w:val="StandardWeb"/>
      </w:pPr>
      <w:r>
        <w:t>Dabei gilt</w:t>
      </w:r>
    </w:p>
    <w:p w:rsidR="00937413" w:rsidRDefault="00937413" w:rsidP="00937413">
      <w:pPr>
        <w:pStyle w:val="berschrift1"/>
      </w:pPr>
      <w:r>
        <w:t>[</w:t>
      </w:r>
      <w:r>
        <w:br/>
        <w:t>h_{ij}</w:t>
      </w:r>
    </w:p>
    <w:p w:rsidR="00937413" w:rsidRDefault="00937413" w:rsidP="00937413">
      <w:pPr>
        <w:pStyle w:val="StandardWeb"/>
      </w:pPr>
      <w:r>
        <w:lastRenderedPageBreak/>
        <w:t>1</w:t>
      </w:r>
      <w:r>
        <w:br/>
        <w:t>\tag{3.7513}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h_{ij}=1\qquad\text{(3.7513)}</w:t>
      </w:r>
    </w:p>
    <w:p w:rsidR="00937413" w:rsidRDefault="00937413" w:rsidP="00937413">
      <w:pPr>
        <w:pStyle w:val="StandardWeb"/>
      </w:pPr>
      <w:r>
        <w:t>wenn (S_i) unter definierten Voraussetzungen (S_j) impliziert, und</w:t>
      </w:r>
    </w:p>
    <w:p w:rsidR="00937413" w:rsidRDefault="00937413" w:rsidP="00937413">
      <w:pPr>
        <w:pStyle w:val="berschrift1"/>
      </w:pPr>
      <w:r>
        <w:t>[</w:t>
      </w:r>
      <w:r>
        <w:br/>
        <w:t>h_{ij}</w:t>
      </w:r>
    </w:p>
    <w:p w:rsidR="00937413" w:rsidRDefault="00937413" w:rsidP="00937413">
      <w:pPr>
        <w:pStyle w:val="StandardWeb"/>
      </w:pPr>
      <w:r>
        <w:t>0</w:t>
      </w:r>
      <w:r>
        <w:br/>
        <w:t>\tag{3.7514}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h_{ij}=0\qquad\text{(3.7514)}</w:t>
      </w:r>
    </w:p>
    <w:p w:rsidR="00937413" w:rsidRDefault="00937413" w:rsidP="00937413">
      <w:pPr>
        <w:pStyle w:val="StandardWeb"/>
      </w:pPr>
      <w:r>
        <w:t>wenn keine solche allgemeine Implikation angenommen wird.</w:t>
      </w:r>
    </w:p>
    <w:p w:rsidR="00937413" w:rsidRDefault="00E50336" w:rsidP="00937413">
      <w:r>
        <w:pict>
          <v:rect id="_x0000_i1653" style="width:0;height:1.5pt" o:hralign="center" o:hrstd="t" o:hr="t" fillcolor="#a0a0a0" stroked="f"/>
        </w:pict>
      </w:r>
    </w:p>
    <w:p w:rsidR="00937413" w:rsidRDefault="00937413" w:rsidP="00937413">
      <w:pPr>
        <w:pStyle w:val="berschrift2"/>
      </w:pPr>
      <w:r>
        <w:t>3.3.41.96 Wissenschaftliche Aussageklasse und Stabilitätsklasse</w:t>
      </w:r>
    </w:p>
    <w:p w:rsidR="00937413" w:rsidRDefault="00937413" w:rsidP="00937413">
      <w:pPr>
        <w:pStyle w:val="StandardWeb"/>
      </w:pPr>
      <w:r>
        <w:t>Eine wissenschaftliche Aussage besitzt damit mindestens zwei getrennte Klassifikationen.</w:t>
      </w:r>
    </w:p>
    <w:p w:rsidR="00937413" w:rsidRDefault="00937413" w:rsidP="00937413">
      <w:pPr>
        <w:pStyle w:val="StandardWeb"/>
      </w:pPr>
      <w:r>
        <w:t>Die inhaltliche Aussageklasse lautet</w:t>
      </w:r>
    </w:p>
    <w:p w:rsidR="00937413" w:rsidRDefault="00937413" w:rsidP="00937413">
      <w:pPr>
        <w:pStyle w:val="berschrift1"/>
      </w:pPr>
      <w:r>
        <w:t>[</w:t>
      </w:r>
      <w:r>
        <w:br/>
        <w:t>L_A</w:t>
      </w:r>
    </w:p>
    <w:p w:rsidR="00937413" w:rsidRDefault="00937413" w:rsidP="00937413">
      <w:pPr>
        <w:pStyle w:val="StandardWeb"/>
      </w:pPr>
      <w:r>
        <w:t>\operatorname{Klasse}_{A}</w:t>
      </w:r>
      <w:r>
        <w:br/>
        <w:t>\left(</w:t>
      </w:r>
      <w:r>
        <w:br/>
        <w:t>A_F</w:t>
      </w:r>
      <w:r>
        <w:br/>
        <w:t>\right).</w:t>
      </w:r>
      <w:r>
        <w:br/>
        <w:t>\tag{3.7515}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L_A=\operatorname{Klasse}_{A}\left(A_F\right)\qquad\text{(3.7515)}</w:t>
      </w:r>
    </w:p>
    <w:p w:rsidR="00937413" w:rsidRDefault="00937413" w:rsidP="00937413">
      <w:pPr>
        <w:pStyle w:val="StandardWeb"/>
      </w:pPr>
      <w:r>
        <w:t>Die Stabilitätsklasse lautet</w:t>
      </w:r>
    </w:p>
    <w:p w:rsidR="00937413" w:rsidRDefault="00937413" w:rsidP="00937413">
      <w:pPr>
        <w:pStyle w:val="berschrift1"/>
      </w:pPr>
      <w:r>
        <w:lastRenderedPageBreak/>
        <w:t>[</w:t>
      </w:r>
      <w:r>
        <w:br/>
        <w:t>L_S</w:t>
      </w:r>
    </w:p>
    <w:p w:rsidR="00937413" w:rsidRDefault="00937413" w:rsidP="00937413">
      <w:pPr>
        <w:pStyle w:val="StandardWeb"/>
      </w:pPr>
      <w:r>
        <w:t>\operatorname{Klasse}_{S}</w:t>
      </w:r>
      <w:r>
        <w:br/>
        <w:t>\left(</w:t>
      </w:r>
      <w:r>
        <w:br/>
        <w:t>A_F</w:t>
      </w:r>
      <w:r>
        <w:br/>
        <w:t>\right).</w:t>
      </w:r>
      <w:r>
        <w:br/>
        <w:t>\tag{3.7516}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L_S=\operatorname{Klasse}_{S}\left(A_F\right)\qquad\text{(3.7516)}</w:t>
      </w:r>
    </w:p>
    <w:p w:rsidR="00937413" w:rsidRDefault="00937413" w:rsidP="00937413">
      <w:pPr>
        <w:pStyle w:val="StandardWeb"/>
      </w:pPr>
      <w:r>
        <w:t>Damit kann dieselbe inhaltliche Aussageklasse mit unterschiedlichen Stabilitätsklassen auftreten.</w:t>
      </w:r>
    </w:p>
    <w:p w:rsidR="00937413" w:rsidRDefault="00E50336" w:rsidP="00937413">
      <w:r>
        <w:pict>
          <v:rect id="_x0000_i1654" style="width:0;height:1.5pt" o:hralign="center" o:hrstd="t" o:hr="t" fillcolor="#a0a0a0" stroked="f"/>
        </w:pict>
      </w:r>
    </w:p>
    <w:p w:rsidR="00937413" w:rsidRDefault="00937413" w:rsidP="00937413">
      <w:pPr>
        <w:pStyle w:val="berschrift2"/>
      </w:pPr>
      <w:r>
        <w:t>3.3.41.97 Aussage-Stabilitäts-Tupel</w:t>
      </w:r>
    </w:p>
    <w:p w:rsidR="00937413" w:rsidRDefault="00937413" w:rsidP="00937413">
      <w:pPr>
        <w:pStyle w:val="StandardWeb"/>
      </w:pPr>
      <w:r>
        <w:t>Ich fasse beide Informationen zusammen als</w:t>
      </w:r>
    </w:p>
    <w:p w:rsidR="00937413" w:rsidRDefault="00937413" w:rsidP="00937413">
      <w:pPr>
        <w:pStyle w:val="berschrift1"/>
      </w:pPr>
      <w:r>
        <w:t>[</w:t>
      </w:r>
      <w:r>
        <w:br/>
        <w:t>\mathcal{A}_{FS}</w:t>
      </w:r>
    </w:p>
    <w:p w:rsidR="00937413" w:rsidRDefault="00937413" w:rsidP="00937413">
      <w:pPr>
        <w:pStyle w:val="StandardWeb"/>
      </w:pPr>
      <w:r>
        <w:t>\left(</w:t>
      </w:r>
      <w:r>
        <w:br/>
        <w:t>L_A,</w:t>
      </w:r>
      <w:r>
        <w:br/>
        <w:t>L_S</w:t>
      </w:r>
      <w:r>
        <w:br/>
        <w:t>\right).</w:t>
      </w:r>
      <w:r>
        <w:br/>
        <w:t>\tag{3.7517}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\mathcal{A}_{FS}=\left(L_A,L_S\right)\qquad\text{(3.7517)}</w:t>
      </w:r>
    </w:p>
    <w:p w:rsidR="00937413" w:rsidRDefault="00937413" w:rsidP="00937413">
      <w:pPr>
        <w:pStyle w:val="StandardWeb"/>
      </w:pPr>
      <w:r>
        <w:t>Diese Struktur verhindert, dass wissenschaftliche Aussage und Belastbarkeit ihrer Aussage verwechselt werden.</w:t>
      </w:r>
    </w:p>
    <w:p w:rsidR="00937413" w:rsidRDefault="00E50336" w:rsidP="00937413">
      <w:r>
        <w:pict>
          <v:rect id="_x0000_i1655" style="width:0;height:1.5pt" o:hralign="center" o:hrstd="t" o:hr="t" fillcolor="#a0a0a0" stroked="f"/>
        </w:pict>
      </w:r>
    </w:p>
    <w:p w:rsidR="00937413" w:rsidRDefault="00937413" w:rsidP="00937413">
      <w:pPr>
        <w:pStyle w:val="berschrift2"/>
      </w:pPr>
      <w:r>
        <w:t>3.3.41.98 Stabilitätsklassifikation als Metainformation</w:t>
      </w:r>
    </w:p>
    <w:p w:rsidR="00937413" w:rsidRDefault="00937413" w:rsidP="00937413">
      <w:pPr>
        <w:pStyle w:val="StandardWeb"/>
      </w:pPr>
      <w:r>
        <w:t>Die Stabilitätsklasse verändert nicht automatisch die inhaltliche Aussage.</w:t>
      </w:r>
    </w:p>
    <w:p w:rsidR="00937413" w:rsidRDefault="00937413" w:rsidP="00937413">
      <w:pPr>
        <w:pStyle w:val="StandardWeb"/>
      </w:pPr>
      <w:r>
        <w:t>Es gilt</w:t>
      </w:r>
    </w:p>
    <w:p w:rsidR="00937413" w:rsidRDefault="00937413" w:rsidP="00937413">
      <w:pPr>
        <w:pStyle w:val="berschrift1"/>
      </w:pPr>
      <w:r>
        <w:lastRenderedPageBreak/>
        <w:t>[</w:t>
      </w:r>
      <w:r>
        <w:br/>
        <w:t>L_A</w:t>
      </w:r>
    </w:p>
    <w:p w:rsidR="00937413" w:rsidRDefault="00937413" w:rsidP="00937413">
      <w:pPr>
        <w:pStyle w:val="StandardWeb"/>
      </w:pPr>
      <w:r>
        <w:t>\mathrm{konstant}</w:t>
      </w:r>
      <w:r>
        <w:br/>
        <w:t>\tag{3.7518}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L_A=\mathrm{konstant}\qquad\text{(3.7518)}</w:t>
      </w:r>
    </w:p>
    <w:p w:rsidR="00937413" w:rsidRDefault="00937413" w:rsidP="00937413">
      <w:pPr>
        <w:pStyle w:val="StandardWeb"/>
      </w:pPr>
      <w:r>
        <w:t>während</w:t>
      </w:r>
    </w:p>
    <w:p w:rsidR="00937413" w:rsidRDefault="00937413" w:rsidP="00937413">
      <w:pPr>
        <w:pStyle w:val="StandardWeb"/>
      </w:pPr>
      <w:r>
        <w:t>[</w:t>
      </w:r>
      <w:r>
        <w:br/>
        <w:t>L_S</w:t>
      </w:r>
      <w:r>
        <w:br/>
        <w:t>]</w:t>
      </w:r>
    </w:p>
    <w:p w:rsidR="00937413" w:rsidRDefault="00937413" w:rsidP="00937413">
      <w:pPr>
        <w:pStyle w:val="StandardWeb"/>
      </w:pPr>
      <w:r>
        <w:t>zwischen verschiedenen Analysen variieren kann.</w:t>
      </w:r>
    </w:p>
    <w:p w:rsidR="00937413" w:rsidRDefault="00937413" w:rsidP="00937413">
      <w:pPr>
        <w:pStyle w:val="StandardWeb"/>
      </w:pPr>
      <w:r>
        <w:t>Damit ist die Stabilitätsklasse eine Metainformation über die wissenschaftliche Belastbarkeit der Aussage.</w:t>
      </w:r>
    </w:p>
    <w:p w:rsidR="00937413" w:rsidRDefault="00E50336" w:rsidP="00937413">
      <w:r>
        <w:pict>
          <v:rect id="_x0000_i1656" style="width:0;height:1.5pt" o:hralign="center" o:hrstd="t" o:hr="t" fillcolor="#a0a0a0" stroked="f"/>
        </w:pict>
      </w:r>
    </w:p>
    <w:p w:rsidR="00937413" w:rsidRDefault="00937413" w:rsidP="00937413">
      <w:pPr>
        <w:pStyle w:val="berschrift2"/>
      </w:pPr>
      <w:r>
        <w:t>3.3.41.99 Stabilitätsabhängiger Aussagegrad</w:t>
      </w:r>
    </w:p>
    <w:p w:rsidR="00937413" w:rsidRDefault="00937413" w:rsidP="00937413">
      <w:pPr>
        <w:pStyle w:val="StandardWeb"/>
      </w:pPr>
      <w:r>
        <w:t>Die sprachliche Stärke einer Aussage sollte jedoch von ihrer Stabilitätsklasse abhängen.</w:t>
      </w:r>
    </w:p>
    <w:p w:rsidR="00937413" w:rsidRDefault="00937413" w:rsidP="00937413">
      <w:pPr>
        <w:pStyle w:val="StandardWeb"/>
      </w:pPr>
      <w:r>
        <w:t>Ich definiere einen Aussagegrad</w:t>
      </w:r>
    </w:p>
    <w:p w:rsidR="00937413" w:rsidRDefault="00937413" w:rsidP="00937413">
      <w:pPr>
        <w:pStyle w:val="berschrift1"/>
      </w:pPr>
      <w:r>
        <w:t>[</w:t>
      </w:r>
      <w:r>
        <w:br/>
        <w:t>G_A</w:t>
      </w:r>
    </w:p>
    <w:p w:rsidR="00937413" w:rsidRDefault="00937413" w:rsidP="00937413">
      <w:pPr>
        <w:pStyle w:val="StandardWeb"/>
      </w:pPr>
      <w:r>
        <w:t>\mathcal{G}</w:t>
      </w:r>
      <w:r>
        <w:br/>
        <w:t>\left(</w:t>
      </w:r>
      <w:r>
        <w:br/>
        <w:t>L_S</w:t>
      </w:r>
      <w:r>
        <w:br/>
        <w:t>\right).</w:t>
      </w:r>
      <w:r>
        <w:br/>
        <w:t>\tag{3.7519}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G_A=\mathcal{G}\left(L_S\right)\qquad\text{(3.7519)}</w:t>
      </w:r>
    </w:p>
    <w:p w:rsidR="00937413" w:rsidRDefault="00937413" w:rsidP="00937413">
      <w:pPr>
        <w:pStyle w:val="StandardWeb"/>
      </w:pPr>
      <w:r>
        <w:t>Eine fragile Aussage sollte sprachlich vorsichtiger formuliert werden als eine mehrfach stabilisierte Aussage.</w:t>
      </w:r>
    </w:p>
    <w:p w:rsidR="00937413" w:rsidRDefault="00E50336" w:rsidP="00937413">
      <w:r>
        <w:pict>
          <v:rect id="_x0000_i1657" style="width:0;height:1.5pt" o:hralign="center" o:hrstd="t" o:hr="t" fillcolor="#a0a0a0" stroked="f"/>
        </w:pict>
      </w:r>
    </w:p>
    <w:p w:rsidR="00937413" w:rsidRDefault="00937413" w:rsidP="00937413">
      <w:pPr>
        <w:pStyle w:val="berschrift2"/>
      </w:pPr>
      <w:r>
        <w:lastRenderedPageBreak/>
        <w:t>3.3.41.100 Stufen des Aussagegrades</w:t>
      </w:r>
    </w:p>
    <w:p w:rsidR="00937413" w:rsidRDefault="00937413" w:rsidP="00937413">
      <w:pPr>
        <w:pStyle w:val="StandardWeb"/>
      </w:pPr>
      <w:r>
        <w:t>Ich unterscheide beispielsweise</w:t>
      </w:r>
    </w:p>
    <w:p w:rsidR="00937413" w:rsidRDefault="00937413" w:rsidP="00937413">
      <w:pPr>
        <w:pStyle w:val="berschrift1"/>
      </w:pPr>
      <w:r>
        <w:t>[</w:t>
      </w:r>
      <w:r>
        <w:br/>
        <w:t>\mathfrak{G}_A</w:t>
      </w:r>
    </w:p>
    <w:p w:rsidR="00937413" w:rsidRDefault="00937413" w:rsidP="00937413">
      <w:pPr>
        <w:pStyle w:val="StandardWeb"/>
      </w:pPr>
      <w:r>
        <w:t>\left{</w:t>
      </w:r>
      <w:r>
        <w:br/>
        <w:t>\mathbf{explorativ},</w:t>
      </w:r>
      <w:r>
        <w:br/>
        <w:t>\mathbf{lokal\ gestützt},</w:t>
      </w:r>
      <w:r>
        <w:br/>
        <w:t>\mathbf{robust\ gestützt},</w:t>
      </w:r>
      <w:r>
        <w:br/>
        <w:t>\mathbf{mehrdimensional\ stabil},</w:t>
      </w:r>
      <w:r>
        <w:br/>
        <w:t>\mathbf{hoch\ belastbar}</w:t>
      </w:r>
      <w:r>
        <w:br/>
        <w:t>\right}.</w:t>
      </w:r>
      <w:r>
        <w:br/>
        <w:t>\tag{3.7520}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\mathfrak{G}_A=\left\{\mathbf{explorativ},\mathbf{lokal\ gestützt},\mathbf{robust\ gestützt},\mathbf{mehrdimensional\ stabil},\mathbf{hoch\ belastbar}\right\}\qquad\text{(3.7520)}</w:t>
      </w:r>
    </w:p>
    <w:p w:rsidR="00937413" w:rsidRDefault="00937413" w:rsidP="00937413">
      <w:pPr>
        <w:pStyle w:val="StandardWeb"/>
      </w:pPr>
      <w:r>
        <w:t>Diese Begriffe bilden keine universelle naturwissenschaftliche Skala, sondern eine FRZK-interne methodische Sprache zur transparenten Kennzeichnung des erreichten Prüfstatus.</w:t>
      </w:r>
    </w:p>
    <w:p w:rsidR="00937413" w:rsidRDefault="00E50336" w:rsidP="00937413">
      <w:r>
        <w:pict>
          <v:rect id="_x0000_i1658" style="width:0;height:1.5pt" o:hralign="center" o:hrstd="t" o:hr="t" fillcolor="#a0a0a0" stroked="f"/>
        </w:pict>
      </w:r>
    </w:p>
    <w:p w:rsidR="00937413" w:rsidRDefault="00937413" w:rsidP="00937413">
      <w:pPr>
        <w:pStyle w:val="berschrift2"/>
      </w:pPr>
      <w:r>
        <w:t>3.3.41.101 Explorative Aussage</w:t>
      </w:r>
    </w:p>
    <w:p w:rsidR="00937413" w:rsidRDefault="00937413" w:rsidP="00937413">
      <w:pPr>
        <w:pStyle w:val="StandardWeb"/>
      </w:pPr>
      <w:r>
        <w:t>Eine explorative Aussage kann beispielsweise durch</w:t>
      </w:r>
    </w:p>
    <w:p w:rsidR="00937413" w:rsidRDefault="00937413" w:rsidP="00937413">
      <w:pPr>
        <w:pStyle w:val="berschrift1"/>
      </w:pPr>
      <w:r>
        <w:t>[</w:t>
      </w:r>
      <w:r>
        <w:br/>
        <w:t>G_A</w:t>
      </w:r>
    </w:p>
    <w:p w:rsidR="00937413" w:rsidRDefault="00937413" w:rsidP="00937413">
      <w:pPr>
        <w:pStyle w:val="StandardWeb"/>
      </w:pPr>
      <w:r>
        <w:t>\mathbf{explorativ}</w:t>
      </w:r>
      <w:r>
        <w:br/>
        <w:t>\tag{3.7521}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G_A=\mathbf{explorativ}\qquad\text{(3.7521)}</w:t>
      </w:r>
    </w:p>
    <w:p w:rsidR="00937413" w:rsidRDefault="00937413" w:rsidP="00937413">
      <w:pPr>
        <w:pStyle w:val="StandardWeb"/>
      </w:pPr>
      <w:r>
        <w:t>gekennzeichnet werden, wenn nur ein begrenzter Teil der erforderlichen Stabilitätsprüfungen durchgeführt wurde.</w:t>
      </w:r>
    </w:p>
    <w:p w:rsidR="00937413" w:rsidRDefault="00E50336" w:rsidP="00937413">
      <w:r>
        <w:pict>
          <v:rect id="_x0000_i1659" style="width:0;height:1.5pt" o:hralign="center" o:hrstd="t" o:hr="t" fillcolor="#a0a0a0" stroked="f"/>
        </w:pict>
      </w:r>
    </w:p>
    <w:p w:rsidR="00937413" w:rsidRDefault="00937413" w:rsidP="00937413">
      <w:pPr>
        <w:pStyle w:val="berschrift2"/>
      </w:pPr>
      <w:r>
        <w:lastRenderedPageBreak/>
        <w:t>3.3.41.102 Lokal gestützte Aussage</w:t>
      </w:r>
    </w:p>
    <w:p w:rsidR="00937413" w:rsidRDefault="00937413" w:rsidP="00937413">
      <w:pPr>
        <w:pStyle w:val="StandardWeb"/>
      </w:pPr>
      <w:r>
        <w:t>Eine lokal gestützte Aussage erfüllt mindestens</w:t>
      </w:r>
    </w:p>
    <w:p w:rsidR="00937413" w:rsidRDefault="00937413" w:rsidP="00937413">
      <w:pPr>
        <w:pStyle w:val="berschrift1"/>
      </w:pPr>
      <w:r>
        <w:t>[</w:t>
      </w:r>
      <w:r>
        <w:br/>
        <w:t>S_L</w:t>
      </w:r>
    </w:p>
    <w:p w:rsidR="00937413" w:rsidRDefault="00937413" w:rsidP="008C5E65">
      <w:pPr>
        <w:numPr>
          <w:ilvl w:val="0"/>
          <w:numId w:val="357"/>
        </w:numPr>
        <w:spacing w:before="100" w:beforeAutospacing="1" w:after="100" w:afterAutospacing="1"/>
      </w:pPr>
    </w:p>
    <w:p w:rsidR="00937413" w:rsidRDefault="00937413" w:rsidP="00937413">
      <w:pPr>
        <w:pStyle w:val="StandardWeb"/>
      </w:pPr>
      <w:r>
        <w:t>\tag{3.7522}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S_L=1\qquad\text{(3.7522)}</w:t>
      </w:r>
    </w:p>
    <w:p w:rsidR="00937413" w:rsidRDefault="00937413" w:rsidP="00937413">
      <w:pPr>
        <w:pStyle w:val="StandardWeb"/>
      </w:pPr>
      <w:r>
        <w:t>Je nach Aussageart können weitere Mindestbedingungen erforderlich sein.</w:t>
      </w:r>
    </w:p>
    <w:p w:rsidR="00937413" w:rsidRDefault="00E50336" w:rsidP="00937413">
      <w:r>
        <w:pict>
          <v:rect id="_x0000_i1660" style="width:0;height:1.5pt" o:hralign="center" o:hrstd="t" o:hr="t" fillcolor="#a0a0a0" stroked="f"/>
        </w:pict>
      </w:r>
    </w:p>
    <w:p w:rsidR="00937413" w:rsidRDefault="00937413" w:rsidP="00937413">
      <w:pPr>
        <w:pStyle w:val="berschrift2"/>
      </w:pPr>
      <w:r>
        <w:t>3.3.41.103 Robust gestützte Aussage</w:t>
      </w:r>
    </w:p>
    <w:p w:rsidR="00937413" w:rsidRDefault="00937413" w:rsidP="00937413">
      <w:pPr>
        <w:pStyle w:val="StandardWeb"/>
      </w:pPr>
      <w:r>
        <w:t>Eine robust gestützte Aussage verlangt mehrere relevante Stabilitätsdimensionen:</w:t>
      </w:r>
    </w:p>
    <w:p w:rsidR="00937413" w:rsidRDefault="00937413" w:rsidP="00937413">
      <w:pPr>
        <w:pStyle w:val="berschrift1"/>
      </w:pPr>
      <w:r>
        <w:t>[</w:t>
      </w:r>
      <w:r>
        <w:br/>
        <w:t>\bigwedge_{i\in I_A^{\mathrm{rob}}}</w:t>
      </w:r>
      <w:r>
        <w:br/>
        <w:t>S_i</w:t>
      </w:r>
    </w:p>
    <w:p w:rsidR="00937413" w:rsidRDefault="00937413" w:rsidP="008C5E65">
      <w:pPr>
        <w:numPr>
          <w:ilvl w:val="0"/>
          <w:numId w:val="358"/>
        </w:numPr>
        <w:spacing w:before="100" w:beforeAutospacing="1" w:after="100" w:afterAutospacing="1"/>
      </w:pPr>
    </w:p>
    <w:p w:rsidR="00937413" w:rsidRDefault="00937413" w:rsidP="00937413">
      <w:pPr>
        <w:pStyle w:val="StandardWeb"/>
      </w:pPr>
      <w:r>
        <w:t>\tag{3.7523}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\bigwedge_{i\in I_A^{\mathrm{rob}}}S_i=1\qquad\text{(3.7523)}</w:t>
      </w:r>
    </w:p>
    <w:p w:rsidR="00937413" w:rsidRDefault="00E50336" w:rsidP="00937413">
      <w:r>
        <w:pict>
          <v:rect id="_x0000_i1661" style="width:0;height:1.5pt" o:hralign="center" o:hrstd="t" o:hr="t" fillcolor="#a0a0a0" stroked="f"/>
        </w:pict>
      </w:r>
    </w:p>
    <w:p w:rsidR="00937413" w:rsidRDefault="00937413" w:rsidP="00937413">
      <w:pPr>
        <w:pStyle w:val="berschrift2"/>
      </w:pPr>
      <w:r>
        <w:t>3.3.41.104 Mehrdimensional stabile Aussage</w:t>
      </w:r>
    </w:p>
    <w:p w:rsidR="00937413" w:rsidRDefault="00937413" w:rsidP="00937413">
      <w:pPr>
        <w:pStyle w:val="StandardWeb"/>
      </w:pPr>
      <w:r>
        <w:t>Eine mehrdimensional stabile Aussage erfüllt sämtliche für ihren Aussageanspruch relevanten Stabilitätsdimensionen:</w:t>
      </w:r>
    </w:p>
    <w:p w:rsidR="00937413" w:rsidRDefault="00937413" w:rsidP="00937413">
      <w:pPr>
        <w:pStyle w:val="berschrift1"/>
      </w:pPr>
      <w:r>
        <w:lastRenderedPageBreak/>
        <w:t>[</w:t>
      </w:r>
      <w:r>
        <w:br/>
        <w:t>\bigwedge_{i\in I_A}</w:t>
      </w:r>
      <w:r>
        <w:br/>
        <w:t>S_i</w:t>
      </w:r>
    </w:p>
    <w:p w:rsidR="00937413" w:rsidRDefault="00937413" w:rsidP="008C5E65">
      <w:pPr>
        <w:numPr>
          <w:ilvl w:val="0"/>
          <w:numId w:val="359"/>
        </w:numPr>
        <w:spacing w:before="100" w:beforeAutospacing="1" w:after="100" w:afterAutospacing="1"/>
      </w:pPr>
    </w:p>
    <w:p w:rsidR="00937413" w:rsidRDefault="00937413" w:rsidP="00937413">
      <w:pPr>
        <w:pStyle w:val="StandardWeb"/>
      </w:pPr>
      <w:r>
        <w:t>\tag{3.7524}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\bigwedge_{i\in I_A}S_i=1\qquad\text{(3.7524)}</w:t>
      </w:r>
    </w:p>
    <w:p w:rsidR="00937413" w:rsidRDefault="00E50336" w:rsidP="00937413">
      <w:r>
        <w:pict>
          <v:rect id="_x0000_i1662" style="width:0;height:1.5pt" o:hralign="center" o:hrstd="t" o:hr="t" fillcolor="#a0a0a0" stroked="f"/>
        </w:pict>
      </w:r>
    </w:p>
    <w:p w:rsidR="00937413" w:rsidRDefault="00937413" w:rsidP="00937413">
      <w:pPr>
        <w:pStyle w:val="berschrift2"/>
      </w:pPr>
      <w:r>
        <w:t>3.3.41.105 Hoch belastbare Aussage</w:t>
      </w:r>
    </w:p>
    <w:p w:rsidR="00937413" w:rsidRDefault="00937413" w:rsidP="00937413">
      <w:pPr>
        <w:pStyle w:val="StandardWeb"/>
      </w:pPr>
      <w:r>
        <w:t>Eine hoch belastbare Aussage soll zusätzlich ausreichende Validität, geringe entscheidungsrelevante Unsicherheit und eine dokumentierte Gültigkeitsregion besitzen.</w:t>
      </w:r>
    </w:p>
    <w:p w:rsidR="00937413" w:rsidRDefault="00937413" w:rsidP="00937413">
      <w:pPr>
        <w:pStyle w:val="StandardWeb"/>
      </w:pPr>
      <w:r>
        <w:t>Ich schreibe</w:t>
      </w:r>
    </w:p>
    <w:p w:rsidR="00937413" w:rsidRDefault="00937413" w:rsidP="00937413">
      <w:pPr>
        <w:pStyle w:val="berschrift1"/>
      </w:pPr>
      <w:r>
        <w:t>[</w:t>
      </w:r>
      <w:r>
        <w:br/>
        <w:t>G_A</w:t>
      </w:r>
    </w:p>
    <w:p w:rsidR="00937413" w:rsidRDefault="00937413" w:rsidP="00937413">
      <w:pPr>
        <w:pStyle w:val="StandardWeb"/>
      </w:pPr>
      <w:r>
        <w:t>\mathbf{hoch\ belastbar}</w:t>
      </w:r>
      <w:r>
        <w:br/>
        <w:t>\tag{3.7525}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G_A=\mathbf{hoch\ belastbar}\qquad\text{(3.7525)}</w:t>
      </w:r>
    </w:p>
    <w:p w:rsidR="00937413" w:rsidRDefault="00937413" w:rsidP="00937413">
      <w:pPr>
        <w:pStyle w:val="StandardWeb"/>
      </w:pPr>
      <w:r>
        <w:t>wenn mindestens gilt</w:t>
      </w:r>
    </w:p>
    <w:p w:rsidR="00937413" w:rsidRDefault="00937413" w:rsidP="00937413">
      <w:pPr>
        <w:pStyle w:val="berschrift1"/>
      </w:pPr>
      <w:r>
        <w:t>[</w:t>
      </w:r>
      <w:r>
        <w:br/>
        <w:t>C_V</w:t>
      </w:r>
      <w:r>
        <w:br/>
        <w:t>\land</w:t>
      </w:r>
      <w:r>
        <w:br/>
        <w:t>C_S</w:t>
      </w:r>
      <w:r>
        <w:br/>
        <w:t>\land</w:t>
      </w:r>
      <w:r>
        <w:br/>
        <w:t>C_U</w:t>
      </w:r>
      <w:r>
        <w:br/>
      </w:r>
      <w:r>
        <w:lastRenderedPageBreak/>
        <w:t>\land</w:t>
      </w:r>
      <w:r>
        <w:br/>
        <w:t>C_{\Omega}</w:t>
      </w:r>
    </w:p>
    <w:p w:rsidR="00937413" w:rsidRDefault="00937413" w:rsidP="008C5E65">
      <w:pPr>
        <w:numPr>
          <w:ilvl w:val="0"/>
          <w:numId w:val="360"/>
        </w:numPr>
        <w:spacing w:before="100" w:beforeAutospacing="1" w:after="100" w:afterAutospacing="1"/>
      </w:pPr>
    </w:p>
    <w:p w:rsidR="00937413" w:rsidRDefault="00937413" w:rsidP="00937413">
      <w:pPr>
        <w:pStyle w:val="StandardWeb"/>
      </w:pPr>
      <w:r>
        <w:t>\tag{3.7526}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C_V\land C_S\land C_U\land C_{\Omega}=1\qquad\text{(3.7526)}</w:t>
      </w:r>
    </w:p>
    <w:p w:rsidR="00937413" w:rsidRDefault="00E50336" w:rsidP="00937413">
      <w:r>
        <w:pict>
          <v:rect id="_x0000_i1663" style="width:0;height:1.5pt" o:hralign="center" o:hrstd="t" o:hr="t" fillcolor="#a0a0a0" stroked="f"/>
        </w:pict>
      </w:r>
    </w:p>
    <w:p w:rsidR="00937413" w:rsidRDefault="00937413" w:rsidP="00937413">
      <w:pPr>
        <w:pStyle w:val="berschrift2"/>
      </w:pPr>
      <w:r>
        <w:t>3.3.41.106 Stabilitätssignatur</w:t>
      </w:r>
    </w:p>
    <w:p w:rsidR="00937413" w:rsidRDefault="00937413" w:rsidP="00937413">
      <w:pPr>
        <w:pStyle w:val="StandardWeb"/>
      </w:pPr>
      <w:r>
        <w:t>Zur kompakten Speicherung definiere ich eine Stabilitätssignatur</w:t>
      </w:r>
    </w:p>
    <w:p w:rsidR="00937413" w:rsidRDefault="00937413" w:rsidP="00937413">
      <w:pPr>
        <w:pStyle w:val="berschrift1"/>
      </w:pPr>
      <w:r>
        <w:t>[</w:t>
      </w:r>
      <w:r>
        <w:br/>
        <w:t>\Sigma_S</w:t>
      </w:r>
      <w:r>
        <w:br/>
        <w:t>\left(</w:t>
      </w:r>
      <w:r>
        <w:br/>
        <w:t>A_F</w:t>
      </w:r>
      <w:r>
        <w:br/>
        <w:t>\right)</w:t>
      </w:r>
    </w:p>
    <w:p w:rsidR="00937413" w:rsidRDefault="00937413" w:rsidP="00937413">
      <w:pPr>
        <w:pStyle w:val="StandardWeb"/>
      </w:pPr>
      <w:r>
        <w:t>\left\langle</w:t>
      </w:r>
      <w:r>
        <w:br/>
        <w:t>\mathcal{K}</w:t>
      </w:r>
      <w:r>
        <w:rPr>
          <w:rStyle w:val="Hervorhebung"/>
        </w:rPr>
        <w:t>{S},</w:t>
      </w:r>
      <w:r>
        <w:rPr>
          <w:i/>
          <w:iCs/>
        </w:rPr>
        <w:br/>
      </w:r>
      <w:r>
        <w:rPr>
          <w:rStyle w:val="Hervorhebung"/>
        </w:rPr>
        <w:t>\mathbf{R}</w:t>
      </w:r>
      <w:r>
        <w:t>{S},</w:t>
      </w:r>
      <w:r>
        <w:br/>
        <w:t>\mathbf{U}_{S},</w:t>
      </w:r>
      <w:r>
        <w:br/>
        <w:t>\Omega_A,</w:t>
      </w:r>
      <w:r>
        <w:br/>
        <w:t>G_A</w:t>
      </w:r>
      <w:r>
        <w:br/>
        <w:t>\right\rangle.</w:t>
      </w:r>
      <w:r>
        <w:br/>
        <w:t>\tag{3.7527}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\Sigma_S\left(A_F\right)=\left\langle\mathcal{K}_{S},\mathbf{R}_{S},\mathbf{U}_{S},\Omega_A,G_A\right\rangle\qquad\text{(3.7527)}</w:t>
      </w:r>
    </w:p>
    <w:p w:rsidR="00937413" w:rsidRDefault="00937413" w:rsidP="00937413">
      <w:pPr>
        <w:pStyle w:val="StandardWeb"/>
      </w:pPr>
      <w:r>
        <w:t>Damit besitzt jede wissenschaftlich relevante Aussage eine rekonstruierbare methodische Signatur.</w:t>
      </w:r>
    </w:p>
    <w:p w:rsidR="00937413" w:rsidRDefault="00E50336" w:rsidP="00937413">
      <w:r>
        <w:pict>
          <v:rect id="_x0000_i1664" style="width:0;height:1.5pt" o:hralign="center" o:hrstd="t" o:hr="t" fillcolor="#a0a0a0" stroked="f"/>
        </w:pict>
      </w:r>
    </w:p>
    <w:p w:rsidR="00937413" w:rsidRDefault="00937413" w:rsidP="00937413">
      <w:pPr>
        <w:pStyle w:val="berschrift2"/>
      </w:pPr>
      <w:r>
        <w:t>3.3.41.107 Vergleich zweier Stabilitätssignaturen</w:t>
      </w:r>
    </w:p>
    <w:p w:rsidR="00937413" w:rsidRDefault="00937413" w:rsidP="00937413">
      <w:pPr>
        <w:pStyle w:val="StandardWeb"/>
      </w:pPr>
      <w:r>
        <w:t>Für zwei Aussagen (A) und (B) definiere ich</w:t>
      </w:r>
    </w:p>
    <w:p w:rsidR="00937413" w:rsidRDefault="00937413" w:rsidP="00937413">
      <w:pPr>
        <w:pStyle w:val="berschrift1"/>
      </w:pPr>
      <w:r>
        <w:lastRenderedPageBreak/>
        <w:t>[</w:t>
      </w:r>
      <w:r>
        <w:br/>
        <w:t>\Delta\Sigma_S</w:t>
      </w:r>
    </w:p>
    <w:p w:rsidR="00937413" w:rsidRDefault="00937413" w:rsidP="00937413">
      <w:pPr>
        <w:pStyle w:val="StandardWeb"/>
      </w:pPr>
      <w:r>
        <w:t>d_{\Sigma}</w:t>
      </w:r>
      <w:r>
        <w:br/>
        <w:t>\left(</w:t>
      </w:r>
      <w:r>
        <w:br/>
        <w:t>\Sigma_S(A),</w:t>
      </w:r>
      <w:r>
        <w:br/>
        <w:t>\Sigma_S(B)</w:t>
      </w:r>
      <w:r>
        <w:br/>
        <w:t>\right).</w:t>
      </w:r>
      <w:r>
        <w:br/>
        <w:t>\tag{3.7528}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\Delta\Sigma_S=d_{\Sigma}\left(\Sigma_S(A),\Sigma_S(B)\right)\qquad\text{(3.7528)}</w:t>
      </w:r>
    </w:p>
    <w:p w:rsidR="00937413" w:rsidRDefault="00937413" w:rsidP="00937413">
      <w:pPr>
        <w:pStyle w:val="StandardWeb"/>
      </w:pPr>
      <w:r>
        <w:t>Die konkrete Distanzfunktion muss an die verwendeten Stabilitätskomponenten angepasst werden.</w:t>
      </w:r>
    </w:p>
    <w:p w:rsidR="00937413" w:rsidRDefault="00E50336" w:rsidP="00937413">
      <w:r>
        <w:pict>
          <v:rect id="_x0000_i1665" style="width:0;height:1.5pt" o:hralign="center" o:hrstd="t" o:hr="t" fillcolor="#a0a0a0" stroked="f"/>
        </w:pict>
      </w:r>
    </w:p>
    <w:p w:rsidR="00937413" w:rsidRDefault="00937413" w:rsidP="00937413">
      <w:pPr>
        <w:pStyle w:val="berschrift2"/>
      </w:pPr>
      <w:r>
        <w:t>3.3.41.108 Stabilitätsäquivalenz</w:t>
      </w:r>
    </w:p>
    <w:p w:rsidR="00937413" w:rsidRDefault="00937413" w:rsidP="00937413">
      <w:pPr>
        <w:pStyle w:val="StandardWeb"/>
      </w:pPr>
      <w:r>
        <w:t>Zwei Aussagen können hinsichtlich ihrer Stabilität äquivalent sein:</w:t>
      </w:r>
    </w:p>
    <w:p w:rsidR="00937413" w:rsidRDefault="00937413" w:rsidP="00937413">
      <w:pPr>
        <w:pStyle w:val="StandardWeb"/>
      </w:pPr>
      <w:r>
        <w:t>[</w:t>
      </w:r>
      <w:r>
        <w:br/>
        <w:t>A</w:t>
      </w:r>
      <w:r>
        <w:br/>
        <w:t>\sim_S</w:t>
      </w:r>
      <w:r>
        <w:br/>
        <w:t>B.</w:t>
      </w:r>
      <w:r>
        <w:br/>
        <w:t>\tag{3.7529}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A\sim_S B\qquad\text{(3.7529)}</w:t>
      </w:r>
    </w:p>
    <w:p w:rsidR="00937413" w:rsidRDefault="00937413" w:rsidP="00937413">
      <w:pPr>
        <w:pStyle w:val="StandardWeb"/>
      </w:pPr>
      <w:r>
        <w:t>Dies bedeutet nicht, dass ihre Inhalte identisch sind.</w:t>
      </w:r>
    </w:p>
    <w:p w:rsidR="00937413" w:rsidRDefault="00937413" w:rsidP="00937413">
      <w:pPr>
        <w:pStyle w:val="StandardWeb"/>
      </w:pPr>
      <w:r>
        <w:t>Es bedeutet lediglich, dass ihre Stabilitätssignaturen hinsichtlich der betrachteten Kriterien als äquivalent eingestuft werden.</w:t>
      </w:r>
    </w:p>
    <w:p w:rsidR="00937413" w:rsidRDefault="00E50336" w:rsidP="00937413">
      <w:r>
        <w:pict>
          <v:rect id="_x0000_i1666" style="width:0;height:1.5pt" o:hralign="center" o:hrstd="t" o:hr="t" fillcolor="#a0a0a0" stroked="f"/>
        </w:pict>
      </w:r>
    </w:p>
    <w:p w:rsidR="00937413" w:rsidRDefault="00937413" w:rsidP="00937413">
      <w:pPr>
        <w:pStyle w:val="berschrift2"/>
      </w:pPr>
      <w:r>
        <w:t>3.3.41.109 Inhaltliche und stabile Äquivalenz</w:t>
      </w:r>
    </w:p>
    <w:p w:rsidR="00937413" w:rsidRDefault="00937413" w:rsidP="00937413">
      <w:pPr>
        <w:pStyle w:val="StandardWeb"/>
      </w:pPr>
      <w:r>
        <w:t>Eine stärkere Form lautet</w:t>
      </w:r>
    </w:p>
    <w:p w:rsidR="00937413" w:rsidRDefault="00937413" w:rsidP="00937413">
      <w:pPr>
        <w:pStyle w:val="StandardWeb"/>
      </w:pPr>
      <w:r>
        <w:t>[</w:t>
      </w:r>
      <w:r>
        <w:br/>
        <w:t>A</w:t>
      </w:r>
      <w:r>
        <w:br/>
        <w:t>\sim_A</w:t>
      </w:r>
      <w:r>
        <w:br/>
      </w:r>
      <w:r>
        <w:lastRenderedPageBreak/>
        <w:t>B</w:t>
      </w:r>
      <w:r>
        <w:br/>
        <w:t>\land</w:t>
      </w:r>
      <w:r>
        <w:br/>
        <w:t>A</w:t>
      </w:r>
      <w:r>
        <w:br/>
        <w:t>\sim_S</w:t>
      </w:r>
      <w:r>
        <w:br/>
        <w:t>B.</w:t>
      </w:r>
      <w:r>
        <w:br/>
        <w:t>\tag{3.7530}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A\sim_A B\land A\sim_S B\qquad\text{(3.7530)}</w:t>
      </w:r>
    </w:p>
    <w:p w:rsidR="00937413" w:rsidRDefault="00937413" w:rsidP="00937413">
      <w:pPr>
        <w:pStyle w:val="StandardWeb"/>
      </w:pPr>
      <w:r>
        <w:t>Dann sind sowohl die relevante Aussageklasse als auch ihre Stabilitätsstruktur äquivalent.</w:t>
      </w:r>
    </w:p>
    <w:p w:rsidR="00937413" w:rsidRDefault="00E50336" w:rsidP="00937413">
      <w:r>
        <w:pict>
          <v:rect id="_x0000_i1667" style="width:0;height:1.5pt" o:hralign="center" o:hrstd="t" o:hr="t" fillcolor="#a0a0a0" stroked="f"/>
        </w:pict>
      </w:r>
    </w:p>
    <w:p w:rsidR="00937413" w:rsidRDefault="00937413" w:rsidP="00937413">
      <w:pPr>
        <w:pStyle w:val="berschrift2"/>
      </w:pPr>
      <w:r>
        <w:t>3.3.41.110 Stabilitätskonflikt</w:t>
      </w:r>
    </w:p>
    <w:p w:rsidR="00937413" w:rsidRDefault="00937413" w:rsidP="00937413">
      <w:pPr>
        <w:pStyle w:val="StandardWeb"/>
      </w:pPr>
      <w:r>
        <w:t>Ein Stabilitätskonflikt liegt vor, wenn zwei inhaltlich äquivalente Aussagen unterschiedliche Stabilitätssignaturen besitzen:</w:t>
      </w:r>
    </w:p>
    <w:p w:rsidR="00937413" w:rsidRDefault="00937413" w:rsidP="00937413">
      <w:pPr>
        <w:pStyle w:val="StandardWeb"/>
      </w:pPr>
      <w:r>
        <w:t>[</w:t>
      </w:r>
      <w:r>
        <w:br/>
        <w:t>A</w:t>
      </w:r>
      <w:r>
        <w:br/>
        <w:t>\sim_A</w:t>
      </w:r>
      <w:r>
        <w:br/>
        <w:t>B</w:t>
      </w:r>
      <w:r>
        <w:br/>
        <w:t>\land</w:t>
      </w:r>
      <w:r>
        <w:br/>
        <w:t>A</w:t>
      </w:r>
      <w:r>
        <w:br/>
        <w:t>\not\sim_S</w:t>
      </w:r>
      <w:r>
        <w:br/>
        <w:t>B.</w:t>
      </w:r>
      <w:r>
        <w:br/>
        <w:t>\tag{3.7531}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A\sim_A B\land A\not\sim_S B\qquad\text{(3.7531)}</w:t>
      </w:r>
    </w:p>
    <w:p w:rsidR="00937413" w:rsidRDefault="00937413" w:rsidP="00937413">
      <w:pPr>
        <w:pStyle w:val="StandardWeb"/>
      </w:pPr>
      <w:r>
        <w:t>Dies kann beispielsweise auftreten, wenn zwei Methoden denselben Mittelwert liefern, aber eine Methode wesentlich empfindlicher gegenüber Parameteränderungen ist.</w:t>
      </w:r>
    </w:p>
    <w:p w:rsidR="00937413" w:rsidRDefault="00E50336" w:rsidP="00937413">
      <w:r>
        <w:pict>
          <v:rect id="_x0000_i1668" style="width:0;height:1.5pt" o:hralign="center" o:hrstd="t" o:hr="t" fillcolor="#a0a0a0" stroked="f"/>
        </w:pict>
      </w:r>
    </w:p>
    <w:p w:rsidR="00937413" w:rsidRDefault="00937413" w:rsidP="00937413">
      <w:pPr>
        <w:pStyle w:val="berschrift2"/>
      </w:pPr>
      <w:r>
        <w:t>3.3.41.111 Inhaltlicher Konflikt trotz ähnlicher Stabilität</w:t>
      </w:r>
    </w:p>
    <w:p w:rsidR="00937413" w:rsidRDefault="00937413" w:rsidP="00937413">
      <w:pPr>
        <w:pStyle w:val="StandardWeb"/>
      </w:pPr>
      <w:r>
        <w:t>Umgekehrt kann gelten</w:t>
      </w:r>
    </w:p>
    <w:p w:rsidR="00937413" w:rsidRDefault="00937413" w:rsidP="00937413">
      <w:pPr>
        <w:pStyle w:val="StandardWeb"/>
      </w:pPr>
      <w:r>
        <w:t>[</w:t>
      </w:r>
      <w:r>
        <w:br/>
        <w:t>A</w:t>
      </w:r>
      <w:r>
        <w:br/>
        <w:t>\sim_S</w:t>
      </w:r>
      <w:r>
        <w:br/>
        <w:t>B</w:t>
      </w:r>
      <w:r>
        <w:br/>
        <w:t>\land</w:t>
      </w:r>
      <w:r>
        <w:br/>
        <w:t>A</w:t>
      </w:r>
      <w:r>
        <w:br/>
      </w:r>
      <w:r>
        <w:lastRenderedPageBreak/>
        <w:t>\not\sim_A</w:t>
      </w:r>
      <w:r>
        <w:br/>
        <w:t>B.</w:t>
      </w:r>
      <w:r>
        <w:br/>
        <w:t>\tag{3.7532}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A\sim_S B\land A\not\sim_A B\qquad\text{(3.7532)}</w:t>
      </w:r>
    </w:p>
    <w:p w:rsidR="00937413" w:rsidRDefault="00937413" w:rsidP="00937413">
      <w:pPr>
        <w:pStyle w:val="StandardWeb"/>
      </w:pPr>
      <w:r>
        <w:t>Dann sind beide Aussagen ähnlich stabil, widersprechen sich aber inhaltlich.</w:t>
      </w:r>
    </w:p>
    <w:p w:rsidR="00937413" w:rsidRDefault="00937413" w:rsidP="00937413">
      <w:pPr>
        <w:pStyle w:val="StandardWeb"/>
      </w:pPr>
      <w:r>
        <w:t>Diese Situation wird im folgenden Abschnitt zur theorieinternen Konsistenz besonders wichtig.</w:t>
      </w:r>
    </w:p>
    <w:p w:rsidR="00937413" w:rsidRDefault="00E50336" w:rsidP="00937413">
      <w:r>
        <w:pict>
          <v:rect id="_x0000_i1669" style="width:0;height:1.5pt" o:hralign="center" o:hrstd="t" o:hr="t" fillcolor="#a0a0a0" stroked="f"/>
        </w:pict>
      </w:r>
    </w:p>
    <w:p w:rsidR="00937413" w:rsidRDefault="00937413" w:rsidP="00937413">
      <w:pPr>
        <w:pStyle w:val="berschrift2"/>
      </w:pPr>
      <w:r>
        <w:t>3.3.41.112 Stabilität ist kein Konfliktlöser</w:t>
      </w:r>
    </w:p>
    <w:p w:rsidR="00937413" w:rsidRDefault="00937413" w:rsidP="00937413">
      <w:pPr>
        <w:pStyle w:val="StandardWeb"/>
      </w:pPr>
      <w:r>
        <w:t>Aus Gleichung (3.7532) folgt eine wichtige methodische Grenze.</w:t>
      </w:r>
    </w:p>
    <w:p w:rsidR="00937413" w:rsidRDefault="00937413" w:rsidP="00937413">
      <w:pPr>
        <w:pStyle w:val="StandardWeb"/>
      </w:pPr>
      <w:r>
        <w:t>Hohe Stabilität entscheidet nicht automatisch, welche von zwei widersprüchlichen Aussagen richtig ist.</w:t>
      </w:r>
    </w:p>
    <w:p w:rsidR="00937413" w:rsidRDefault="00937413" w:rsidP="00937413">
      <w:pPr>
        <w:pStyle w:val="StandardWeb"/>
      </w:pPr>
      <w:r>
        <w:t>Ich schreibe</w:t>
      </w:r>
    </w:p>
    <w:p w:rsidR="00937413" w:rsidRDefault="00937413" w:rsidP="00937413">
      <w:pPr>
        <w:pStyle w:val="berschrift1"/>
      </w:pPr>
      <w:r>
        <w:t>[</w:t>
      </w:r>
      <w:r>
        <w:br/>
        <w:t>R_S^{(A)}</w:t>
      </w:r>
      <w:r>
        <w:br/>
        <w:t>\approx</w:t>
      </w:r>
      <w:r>
        <w:br/>
        <w:t>R_S^{(B)}</w:t>
      </w:r>
      <w:r>
        <w:br/>
        <w:t>\nRightarrow</w:t>
      </w:r>
      <w:r>
        <w:br/>
        <w:t>A</w:t>
      </w:r>
    </w:p>
    <w:p w:rsidR="00937413" w:rsidRDefault="00937413" w:rsidP="00937413">
      <w:pPr>
        <w:pStyle w:val="StandardWeb"/>
      </w:pPr>
      <w:r>
        <w:t>B.</w:t>
      </w:r>
      <w:r>
        <w:br/>
        <w:t>\tag{3.7533}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R_S^{(A)}\approx R_S^{(B)}\nRightarrow A=B\qquad\text{(3.7533)}</w:t>
      </w:r>
    </w:p>
    <w:p w:rsidR="00937413" w:rsidRDefault="00937413" w:rsidP="00937413">
      <w:pPr>
        <w:pStyle w:val="StandardWeb"/>
      </w:pPr>
      <w:r>
        <w:t>Stabilität liefert Belastbarkeitsinformation, aber keine automatische Konfliktentscheidung.</w:t>
      </w:r>
    </w:p>
    <w:p w:rsidR="00937413" w:rsidRDefault="00E50336" w:rsidP="00937413">
      <w:r>
        <w:pict>
          <v:rect id="_x0000_i1670" style="width:0;height:1.5pt" o:hralign="center" o:hrstd="t" o:hr="t" fillcolor="#a0a0a0" stroked="f"/>
        </w:pict>
      </w:r>
    </w:p>
    <w:p w:rsidR="00937413" w:rsidRDefault="00937413" w:rsidP="00937413">
      <w:pPr>
        <w:pStyle w:val="berschrift2"/>
      </w:pPr>
      <w:r>
        <w:t>3.3.41.113 Stabilität als Gewicht in Konfliktanalysen</w:t>
      </w:r>
    </w:p>
    <w:p w:rsidR="00937413" w:rsidRDefault="00937413" w:rsidP="00937413">
      <w:pPr>
        <w:pStyle w:val="StandardWeb"/>
      </w:pPr>
      <w:r>
        <w:t>Sie kann jedoch als Evidenzgewicht verwendet werden.</w:t>
      </w:r>
    </w:p>
    <w:p w:rsidR="00937413" w:rsidRDefault="00937413" w:rsidP="00937413">
      <w:pPr>
        <w:pStyle w:val="StandardWeb"/>
      </w:pPr>
      <w:r>
        <w:lastRenderedPageBreak/>
        <w:t>Ich definiere</w:t>
      </w:r>
    </w:p>
    <w:p w:rsidR="00937413" w:rsidRDefault="00937413" w:rsidP="00937413">
      <w:pPr>
        <w:pStyle w:val="berschrift1"/>
      </w:pPr>
      <w:r>
        <w:t>[</w:t>
      </w:r>
      <w:r>
        <w:br/>
        <w:t>w_S(A)</w:t>
      </w:r>
    </w:p>
    <w:p w:rsidR="00937413" w:rsidRDefault="00937413" w:rsidP="00937413">
      <w:pPr>
        <w:pStyle w:val="StandardWeb"/>
      </w:pPr>
      <w:r>
        <w:t>\mathcal{W}</w:t>
      </w:r>
      <w:r>
        <w:br/>
        <w:t>\left(</w:t>
      </w:r>
      <w:r>
        <w:br/>
        <w:t>\Sigma_S(A)</w:t>
      </w:r>
      <w:r>
        <w:br/>
        <w:t>\right).</w:t>
      </w:r>
      <w:r>
        <w:br/>
        <w:t>\tag{3.7534}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w_S(A)=\mathcal{W}\left(\Sigma_S(A)\right)\qquad\text{(3.7534)}</w:t>
      </w:r>
    </w:p>
    <w:p w:rsidR="00937413" w:rsidRDefault="00937413" w:rsidP="00937413">
      <w:pPr>
        <w:pStyle w:val="StandardWeb"/>
      </w:pPr>
      <w:r>
        <w:t>Damit kann eine stärker stabilisierte Aussage in einer späteren Konfliktanalyse höher gewichtet werden, sofern die Gewichtungsregel vorab transparent festgelegt ist.</w:t>
      </w:r>
    </w:p>
    <w:p w:rsidR="00937413" w:rsidRDefault="00E50336" w:rsidP="00937413">
      <w:r>
        <w:pict>
          <v:rect id="_x0000_i1671" style="width:0;height:1.5pt" o:hralign="center" o:hrstd="t" o:hr="t" fillcolor="#a0a0a0" stroked="f"/>
        </w:pict>
      </w:r>
    </w:p>
    <w:p w:rsidR="00937413" w:rsidRDefault="00937413" w:rsidP="00937413">
      <w:pPr>
        <w:pStyle w:val="berschrift2"/>
      </w:pPr>
      <w:r>
        <w:t>3.3.41.114 Stabilitätsaudit</w:t>
      </w:r>
    </w:p>
    <w:p w:rsidR="00937413" w:rsidRDefault="00937413" w:rsidP="00937413">
      <w:pPr>
        <w:pStyle w:val="StandardWeb"/>
      </w:pPr>
      <w:r>
        <w:t>Ich definiere ein formales Audit</w:t>
      </w:r>
    </w:p>
    <w:p w:rsidR="00937413" w:rsidRDefault="00937413" w:rsidP="00937413">
      <w:pPr>
        <w:pStyle w:val="StandardWeb"/>
      </w:pPr>
      <w:r>
        <w:t>[</w:t>
      </w:r>
      <w:r>
        <w:br/>
        <w:t>\operatorname{StabilityAudit}</w:t>
      </w:r>
      <w:r>
        <w:br/>
        <w:t>:</w:t>
      </w:r>
      <w:r>
        <w:br/>
        <w:t>A_F</w:t>
      </w:r>
      <w:r>
        <w:br/>
        <w:t>\rightarrow</w:t>
      </w:r>
      <w:r>
        <w:br/>
        <w:t>\Sigma_S(A_F).</w:t>
      </w:r>
      <w:r>
        <w:br/>
        <w:t>\tag{3.7535}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\operatorname{StabilityAudit}:A_F\rightarrow\Sigma_S(A_F)\qquad\text{(3.7535)}</w:t>
      </w:r>
    </w:p>
    <w:p w:rsidR="00937413" w:rsidRDefault="00937413" w:rsidP="00937413">
      <w:pPr>
        <w:pStyle w:val="StandardWeb"/>
      </w:pPr>
      <w:r>
        <w:t>Das Audit soll für jede zentrale wissenschaftliche Aussage mindestens dokumentieren:</w:t>
      </w:r>
    </w:p>
    <w:p w:rsidR="00937413" w:rsidRDefault="00937413" w:rsidP="008C5E65">
      <w:pPr>
        <w:pStyle w:val="StandardWeb"/>
        <w:numPr>
          <w:ilvl w:val="0"/>
          <w:numId w:val="361"/>
        </w:numPr>
      </w:pPr>
      <w:r>
        <w:t>geprüfte Stabilitätsdimensionen,</w:t>
      </w:r>
    </w:p>
    <w:p w:rsidR="00937413" w:rsidRDefault="00937413" w:rsidP="008C5E65">
      <w:pPr>
        <w:pStyle w:val="StandardWeb"/>
        <w:numPr>
          <w:ilvl w:val="0"/>
          <w:numId w:val="361"/>
        </w:numPr>
      </w:pPr>
      <w:r>
        <w:t>nicht geprüfte Stabilitätsdimensionen,</w:t>
      </w:r>
    </w:p>
    <w:p w:rsidR="00937413" w:rsidRDefault="00937413" w:rsidP="008C5E65">
      <w:pPr>
        <w:pStyle w:val="StandardWeb"/>
        <w:numPr>
          <w:ilvl w:val="0"/>
          <w:numId w:val="361"/>
        </w:numPr>
      </w:pPr>
      <w:r>
        <w:t>quantitative Stabilitätsgrade,</w:t>
      </w:r>
    </w:p>
    <w:p w:rsidR="00937413" w:rsidRDefault="00937413" w:rsidP="008C5E65">
      <w:pPr>
        <w:pStyle w:val="StandardWeb"/>
        <w:numPr>
          <w:ilvl w:val="0"/>
          <w:numId w:val="361"/>
        </w:numPr>
      </w:pPr>
      <w:r>
        <w:t>Unsicherheiten,</w:t>
      </w:r>
    </w:p>
    <w:p w:rsidR="00937413" w:rsidRDefault="00937413" w:rsidP="008C5E65">
      <w:pPr>
        <w:pStyle w:val="StandardWeb"/>
        <w:numPr>
          <w:ilvl w:val="0"/>
          <w:numId w:val="361"/>
        </w:numPr>
      </w:pPr>
      <w:r>
        <w:t>verwendete Schwellen,</w:t>
      </w:r>
    </w:p>
    <w:p w:rsidR="00937413" w:rsidRDefault="00937413" w:rsidP="008C5E65">
      <w:pPr>
        <w:pStyle w:val="StandardWeb"/>
        <w:numPr>
          <w:ilvl w:val="0"/>
          <w:numId w:val="361"/>
        </w:numPr>
      </w:pPr>
      <w:r>
        <w:t>Gültigkeitsregion,</w:t>
      </w:r>
    </w:p>
    <w:p w:rsidR="00937413" w:rsidRDefault="00937413" w:rsidP="008C5E65">
      <w:pPr>
        <w:pStyle w:val="StandardWeb"/>
        <w:numPr>
          <w:ilvl w:val="0"/>
          <w:numId w:val="361"/>
        </w:numPr>
      </w:pPr>
      <w:r>
        <w:t>relevante Grenzbereiche,</w:t>
      </w:r>
    </w:p>
    <w:p w:rsidR="00937413" w:rsidRDefault="00937413" w:rsidP="008C5E65">
      <w:pPr>
        <w:pStyle w:val="StandardWeb"/>
        <w:numPr>
          <w:ilvl w:val="0"/>
          <w:numId w:val="361"/>
        </w:numPr>
      </w:pPr>
      <w:r>
        <w:t>Aussagegrad.</w:t>
      </w:r>
    </w:p>
    <w:p w:rsidR="00937413" w:rsidRDefault="00E50336" w:rsidP="00937413">
      <w:r>
        <w:lastRenderedPageBreak/>
        <w:pict>
          <v:rect id="_x0000_i1672" style="width:0;height:1.5pt" o:hralign="center" o:hrstd="t" o:hr="t" fillcolor="#a0a0a0" stroked="f"/>
        </w:pict>
      </w:r>
    </w:p>
    <w:p w:rsidR="00937413" w:rsidRDefault="00937413" w:rsidP="00937413">
      <w:pPr>
        <w:pStyle w:val="berschrift2"/>
      </w:pPr>
      <w:r>
        <w:t>3.3.41.115 Repository-Stabilitätsmanifest</w:t>
      </w:r>
    </w:p>
    <w:p w:rsidR="00937413" w:rsidRDefault="00937413" w:rsidP="00937413">
      <w:pPr>
        <w:pStyle w:val="StandardWeb"/>
      </w:pPr>
      <w:r>
        <w:t>Für die Repository-Struktur definiere ich abstrakt</w:t>
      </w:r>
    </w:p>
    <w:p w:rsidR="00937413" w:rsidRDefault="00937413" w:rsidP="00937413">
      <w:pPr>
        <w:pStyle w:val="StandardWeb"/>
      </w:pPr>
      <w:r>
        <w:t>[</w:t>
      </w:r>
      <w:r>
        <w:br/>
        <w:t>\operatorname{StabilityManifest}</w:t>
      </w:r>
      <w:r>
        <w:br/>
        <w:t>\left(</w:t>
      </w:r>
      <w:r>
        <w:br/>
        <w:t>A_F,</w:t>
      </w:r>
      <w:r>
        <w:br/>
        <w:t>\mathcal{K}_S,</w:t>
      </w:r>
      <w:r>
        <w:br/>
        <w:t>\mathbf{R}_S,</w:t>
      </w:r>
      <w:r>
        <w:br/>
        <w:t>\mathbf{U}_S,</w:t>
      </w:r>
      <w:r>
        <w:br/>
        <w:t>\boldsymbol{\tau}_S,</w:t>
      </w:r>
      <w:r>
        <w:br/>
        <w:t>\Omega_A,</w:t>
      </w:r>
      <w:r>
        <w:br/>
        <w:t>G_A</w:t>
      </w:r>
      <w:r>
        <w:br/>
        <w:t>\right).</w:t>
      </w:r>
      <w:r>
        <w:br/>
        <w:t>\tag{3.7536}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\operatorname{StabilityManifest}\left(A_F,\mathcal{K}_S,\mathbf{R}_S,\mathbf{U}_S,\boldsymbol{\tau}_S,\Omega_A,G_A\right)\qquad\text{(3.7536)}</w:t>
      </w:r>
    </w:p>
    <w:p w:rsidR="00937413" w:rsidRDefault="00937413" w:rsidP="00937413">
      <w:pPr>
        <w:pStyle w:val="StandardWeb"/>
      </w:pPr>
      <w:r>
        <w:t>Damit werden Stabilitätsbehauptungen nicht als bloße Fließtextaussagen geführt, sondern als nachvollziehbare methodische Objekte.</w:t>
      </w:r>
    </w:p>
    <w:p w:rsidR="00937413" w:rsidRDefault="00E50336" w:rsidP="00937413">
      <w:r>
        <w:pict>
          <v:rect id="_x0000_i1673" style="width:0;height:1.5pt" o:hralign="center" o:hrstd="t" o:hr="t" fillcolor="#a0a0a0" stroked="f"/>
        </w:pict>
      </w:r>
    </w:p>
    <w:p w:rsidR="00937413" w:rsidRDefault="00937413" w:rsidP="00937413">
      <w:pPr>
        <w:pStyle w:val="berschrift2"/>
      </w:pPr>
      <w:r>
        <w:t>3.3.41.116 Revision einer Stabilitätsklasse</w:t>
      </w:r>
    </w:p>
    <w:p w:rsidR="00937413" w:rsidRDefault="00937413" w:rsidP="00937413">
      <w:pPr>
        <w:pStyle w:val="StandardWeb"/>
      </w:pPr>
      <w:r>
        <w:t>Neue Daten oder neue Analysen können die Stabilitätssignatur verändern:</w:t>
      </w:r>
    </w:p>
    <w:p w:rsidR="00937413" w:rsidRDefault="00937413" w:rsidP="00937413">
      <w:pPr>
        <w:pStyle w:val="StandardWeb"/>
      </w:pPr>
      <w:r>
        <w:t>[</w:t>
      </w:r>
      <w:r>
        <w:br/>
        <w:t>\Sigma_S^{(v)}</w:t>
      </w:r>
      <w:r>
        <w:br/>
        <w:t>\rightarrow</w:t>
      </w:r>
      <w:r>
        <w:br/>
        <w:t>\Sigma_S^{(v+1)}.</w:t>
      </w:r>
      <w:r>
        <w:br/>
        <w:t>\tag{3.7537}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\Sigma_S^{(v)}\rightarrow\Sigma_S^{(v+1)}\qquad\text{(3.7537)}</w:t>
      </w:r>
    </w:p>
    <w:p w:rsidR="00937413" w:rsidRDefault="00937413" w:rsidP="00937413">
      <w:pPr>
        <w:pStyle w:val="StandardWeb"/>
      </w:pPr>
      <w:r>
        <w:t>Die Änderung lautet</w:t>
      </w:r>
    </w:p>
    <w:p w:rsidR="00937413" w:rsidRDefault="00937413" w:rsidP="00937413">
      <w:pPr>
        <w:pStyle w:val="berschrift1"/>
      </w:pPr>
      <w:r>
        <w:t>[</w:t>
      </w:r>
      <w:r>
        <w:br/>
        <w:t>\Delta\Sigma_S^{(v)}</w:t>
      </w:r>
    </w:p>
    <w:p w:rsidR="00937413" w:rsidRDefault="00937413" w:rsidP="00937413">
      <w:pPr>
        <w:pStyle w:val="berschrift2"/>
      </w:pPr>
      <w:r>
        <w:lastRenderedPageBreak/>
        <w:t>\Sigma_S^{(v+1)}</w:t>
      </w:r>
    </w:p>
    <w:p w:rsidR="00937413" w:rsidRDefault="00937413" w:rsidP="00937413">
      <w:pPr>
        <w:pStyle w:val="StandardWeb"/>
      </w:pPr>
      <w:r>
        <w:t>\Sigma_S^{(v)}.</w:t>
      </w:r>
      <w:r>
        <w:br/>
        <w:t>\tag{3.7538}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\Delta\Sigma_S^{(v)}=\Sigma_S^{(v+1)}-\Sigma_S^{(v)}\qquad\text{(3.7538)}</w:t>
      </w:r>
    </w:p>
    <w:p w:rsidR="00937413" w:rsidRDefault="00E50336" w:rsidP="00937413">
      <w:r>
        <w:pict>
          <v:rect id="_x0000_i1674" style="width:0;height:1.5pt" o:hralign="center" o:hrstd="t" o:hr="t" fillcolor="#a0a0a0" stroked="f"/>
        </w:pict>
      </w:r>
    </w:p>
    <w:p w:rsidR="00937413" w:rsidRDefault="00937413" w:rsidP="00937413">
      <w:pPr>
        <w:pStyle w:val="berschrift2"/>
      </w:pPr>
      <w:r>
        <w:t>3.3.41.117 Signifikante Stabilitätsrevision</w:t>
      </w:r>
    </w:p>
    <w:p w:rsidR="00937413" w:rsidRDefault="00937413" w:rsidP="00937413">
      <w:pPr>
        <w:pStyle w:val="StandardWeb"/>
      </w:pPr>
      <w:r>
        <w:t>Eine wissenschaftlich relevante Änderung liegt vor, wenn</w:t>
      </w:r>
    </w:p>
    <w:p w:rsidR="00937413" w:rsidRDefault="00937413" w:rsidP="00937413">
      <w:pPr>
        <w:pStyle w:val="StandardWeb"/>
      </w:pPr>
      <w:r>
        <w:t>[</w:t>
      </w:r>
      <w:r>
        <w:br/>
        <w:t>d_{\Sigma}</w:t>
      </w:r>
      <w:r>
        <w:br/>
        <w:t>\left(</w:t>
      </w:r>
      <w:r>
        <w:br/>
        <w:t>\Sigma_S^{(v+1)},</w:t>
      </w:r>
      <w:r>
        <w:br/>
        <w:t>\Sigma_S^{(v)}</w:t>
      </w:r>
      <w:r>
        <w:br/>
        <w:t>\right)</w:t>
      </w:r>
    </w:p>
    <w:p w:rsidR="00937413" w:rsidRDefault="00937413" w:rsidP="00937413">
      <w:pPr>
        <w:pStyle w:val="StandardWeb"/>
      </w:pPr>
      <w:r>
        <w:t>\tau_{\Sigma}.</w:t>
      </w:r>
      <w:r>
        <w:br/>
        <w:t>\tag{3.7539}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d_{\Sigma}\left(\Sigma_S^{(v+1)},\Sigma_S^{(v)}\right)&gt;\tau_{\Sigma}\qquad\text{(3.7539)}</w:t>
      </w:r>
    </w:p>
    <w:p w:rsidR="00937413" w:rsidRDefault="00937413" w:rsidP="00937413">
      <w:pPr>
        <w:pStyle w:val="StandardWeb"/>
      </w:pPr>
      <w:r>
        <w:t>Dann sollte die wissenschaftliche Interpretation der Aussage erneut überprüft werden.</w:t>
      </w:r>
    </w:p>
    <w:p w:rsidR="00937413" w:rsidRDefault="00E50336" w:rsidP="00937413">
      <w:r>
        <w:pict>
          <v:rect id="_x0000_i1675" style="width:0;height:1.5pt" o:hralign="center" o:hrstd="t" o:hr="t" fillcolor="#a0a0a0" stroked="f"/>
        </w:pict>
      </w:r>
    </w:p>
    <w:p w:rsidR="00937413" w:rsidRDefault="00937413" w:rsidP="00937413">
      <w:pPr>
        <w:pStyle w:val="berschrift2"/>
      </w:pPr>
      <w:r>
        <w:t>3.3.41.118 Stabilitätsrevision kann Aussagegrad verändern</w:t>
      </w:r>
    </w:p>
    <w:p w:rsidR="00937413" w:rsidRDefault="00937413" w:rsidP="00937413">
      <w:pPr>
        <w:pStyle w:val="StandardWeb"/>
      </w:pPr>
      <w:r>
        <w:t>Es kann gelten</w:t>
      </w:r>
    </w:p>
    <w:p w:rsidR="00937413" w:rsidRDefault="00937413" w:rsidP="00937413">
      <w:pPr>
        <w:pStyle w:val="StandardWeb"/>
      </w:pPr>
      <w:r>
        <w:t>[</w:t>
      </w:r>
      <w:r>
        <w:br/>
        <w:t>G_A^{(v)}</w:t>
      </w:r>
      <w:r>
        <w:br/>
        <w:t>\neq</w:t>
      </w:r>
      <w:r>
        <w:br/>
        <w:t>G_A^{(v+1)}.</w:t>
      </w:r>
      <w:r>
        <w:br/>
        <w:t>\tag{3.7540}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G_A^{(v)}\neq G_A^{(v+1)}\qquad\text{(3.7540)}</w:t>
      </w:r>
    </w:p>
    <w:p w:rsidR="00937413" w:rsidRDefault="00937413" w:rsidP="00937413">
      <w:pPr>
        <w:pStyle w:val="StandardWeb"/>
      </w:pPr>
      <w:r>
        <w:lastRenderedPageBreak/>
        <w:t>Eine Aussage kann damit bei neuen Daten von „explorativ“ zu „robust gestützt“ aufsteigen oder umgekehrt an wissenschaftlicher Belastbarkeit verlieren.</w:t>
      </w:r>
    </w:p>
    <w:p w:rsidR="00937413" w:rsidRDefault="00E50336" w:rsidP="00937413">
      <w:r>
        <w:pict>
          <v:rect id="_x0000_i1676" style="width:0;height:1.5pt" o:hralign="center" o:hrstd="t" o:hr="t" fillcolor="#a0a0a0" stroked="f"/>
        </w:pict>
      </w:r>
    </w:p>
    <w:p w:rsidR="00937413" w:rsidRDefault="00937413" w:rsidP="00937413">
      <w:pPr>
        <w:pStyle w:val="berschrift2"/>
      </w:pPr>
      <w:r>
        <w:t>3.3.41.119 Stabilitätsgeschichte</w:t>
      </w:r>
    </w:p>
    <w:p w:rsidR="00937413" w:rsidRDefault="00937413" w:rsidP="00937413">
      <w:pPr>
        <w:pStyle w:val="StandardWeb"/>
      </w:pPr>
      <w:r>
        <w:t>Ich definiere</w:t>
      </w:r>
    </w:p>
    <w:p w:rsidR="00937413" w:rsidRDefault="00937413" w:rsidP="00937413">
      <w:pPr>
        <w:pStyle w:val="berschrift1"/>
      </w:pPr>
      <w:r>
        <w:t>[</w:t>
      </w:r>
      <w:r>
        <w:br/>
        <w:t>\mathcal{H}_S</w:t>
      </w:r>
      <w:r>
        <w:br/>
        <w:t>\left(</w:t>
      </w:r>
      <w:r>
        <w:br/>
        <w:t>A_F</w:t>
      </w:r>
      <w:r>
        <w:br/>
        <w:t>\right)</w:t>
      </w:r>
    </w:p>
    <w:p w:rsidR="00937413" w:rsidRDefault="00937413" w:rsidP="00937413">
      <w:pPr>
        <w:pStyle w:val="StandardWeb"/>
      </w:pPr>
      <w:r>
        <w:t>\left(</w:t>
      </w:r>
      <w:r>
        <w:br/>
        <w:t>\Sigma_S^{(1)},</w:t>
      </w:r>
      <w:r>
        <w:br/>
        <w:t>\Sigma_S^{(2)},</w:t>
      </w:r>
      <w:r>
        <w:br/>
        <w:t>\ldots,</w:t>
      </w:r>
      <w:r>
        <w:br/>
        <w:t>\Sigma_S^{(n)}</w:t>
      </w:r>
      <w:r>
        <w:br/>
        <w:t>\right).</w:t>
      </w:r>
      <w:r>
        <w:br/>
        <w:t>\tag{3.7541}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\mathcal{H}_S\left(A_F\right)=\left(\Sigma_S^{(1)},\Sigma_S^{(2)},\ldots,\Sigma_S^{(n)}\right)\qquad\text{(3.7541)}</w:t>
      </w:r>
    </w:p>
    <w:p w:rsidR="00937413" w:rsidRDefault="00937413" w:rsidP="00937413">
      <w:pPr>
        <w:pStyle w:val="StandardWeb"/>
      </w:pPr>
      <w:r>
        <w:t>Damit kann nachvollzogen werden, wie sich die wissenschaftliche Belastbarkeit einer Aussage über Revisionen hinweg verändert hat.</w:t>
      </w:r>
    </w:p>
    <w:p w:rsidR="00937413" w:rsidRDefault="00E50336" w:rsidP="00937413">
      <w:r>
        <w:pict>
          <v:rect id="_x0000_i1677" style="width:0;height:1.5pt" o:hralign="center" o:hrstd="t" o:hr="t" fillcolor="#a0a0a0" stroked="f"/>
        </w:pict>
      </w:r>
    </w:p>
    <w:p w:rsidR="00937413" w:rsidRDefault="00937413" w:rsidP="00937413">
      <w:pPr>
        <w:pStyle w:val="berschrift2"/>
      </w:pPr>
      <w:r>
        <w:t>3.3.41.120 Stabilität über Datenrevisionen</w:t>
      </w:r>
    </w:p>
    <w:p w:rsidR="00937413" w:rsidRDefault="00937413" w:rsidP="00937413">
      <w:pPr>
        <w:pStyle w:val="StandardWeb"/>
      </w:pPr>
      <w:r>
        <w:t>Seien</w:t>
      </w:r>
    </w:p>
    <w:p w:rsidR="00937413" w:rsidRDefault="00937413" w:rsidP="00937413">
      <w:pPr>
        <w:pStyle w:val="StandardWeb"/>
      </w:pPr>
      <w:r>
        <w:t>[</w:t>
      </w:r>
      <w:r>
        <w:br/>
        <w:t>\mathcal{D}^{(1)},</w:t>
      </w:r>
      <w:r>
        <w:br/>
        <w:t>\ldots,</w:t>
      </w:r>
      <w:r>
        <w:br/>
        <w:t>\mathcal{D}^{(n)}</w:t>
      </w:r>
      <w:r>
        <w:br/>
        <w:t>\tag{3.7542}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\mathcal{D}^{(1)},\ldots,\mathcal{D}^{(n)}\qquad\text{(3.7542)}</w:t>
      </w:r>
    </w:p>
    <w:p w:rsidR="00937413" w:rsidRDefault="00937413" w:rsidP="00937413">
      <w:pPr>
        <w:pStyle w:val="StandardWeb"/>
      </w:pPr>
      <w:r>
        <w:lastRenderedPageBreak/>
        <w:t>aufeinanderfolgende Datenstände.</w:t>
      </w:r>
    </w:p>
    <w:p w:rsidR="00937413" w:rsidRDefault="00937413" w:rsidP="00937413">
      <w:pPr>
        <w:pStyle w:val="StandardWeb"/>
      </w:pPr>
      <w:r>
        <w:t>Dann lautet die Stabilitätsentwicklung</w:t>
      </w:r>
    </w:p>
    <w:p w:rsidR="00937413" w:rsidRDefault="00937413" w:rsidP="00937413">
      <w:pPr>
        <w:pStyle w:val="berschrift1"/>
      </w:pPr>
      <w:r>
        <w:t>[</w:t>
      </w:r>
      <w:r>
        <w:br/>
        <w:t>\Sigma_S</w:t>
      </w:r>
    </w:p>
    <w:p w:rsidR="00937413" w:rsidRDefault="00937413" w:rsidP="00937413">
      <w:pPr>
        <w:pStyle w:val="StandardWeb"/>
      </w:pPr>
      <w:r>
        <w:t>\Sigma_S</w:t>
      </w:r>
      <w:r>
        <w:br/>
        <w:t>\left(</w:t>
      </w:r>
      <w:r>
        <w:br/>
        <w:t>\mathcal{D}^{(k)}</w:t>
      </w:r>
      <w:r>
        <w:br/>
        <w:t>\right).</w:t>
      </w:r>
      <w:r>
        <w:br/>
        <w:t>\tag{3.7543}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\Sigma_S=\Sigma_S\left(\mathcal{D}^{(k)}\right)\qquad\text{(3.7543)}</w:t>
      </w:r>
    </w:p>
    <w:p w:rsidR="00937413" w:rsidRDefault="00E50336" w:rsidP="00937413">
      <w:r>
        <w:pict>
          <v:rect id="_x0000_i1678" style="width:0;height:1.5pt" o:hralign="center" o:hrstd="t" o:hr="t" fillcolor="#a0a0a0" stroked="f"/>
        </w:pict>
      </w:r>
    </w:p>
    <w:p w:rsidR="00937413" w:rsidRDefault="00937413" w:rsidP="00937413">
      <w:pPr>
        <w:pStyle w:val="berschrift2"/>
      </w:pPr>
      <w:r>
        <w:t>3.3.41.121 Stabilitätskonvergenz</w:t>
      </w:r>
    </w:p>
    <w:p w:rsidR="00937413" w:rsidRDefault="00937413" w:rsidP="00937413">
      <w:pPr>
        <w:pStyle w:val="StandardWeb"/>
      </w:pPr>
      <w:r>
        <w:t>Eine Aussage zeigt Stabilitätskonvergenz, wenn</w:t>
      </w:r>
    </w:p>
    <w:p w:rsidR="00937413" w:rsidRDefault="00937413" w:rsidP="00937413">
      <w:pPr>
        <w:pStyle w:val="StandardWeb"/>
      </w:pPr>
      <w:r>
        <w:t>[</w:t>
      </w:r>
      <w:r>
        <w:br/>
        <w:t>d_{\Sigma}</w:t>
      </w:r>
      <w:r>
        <w:br/>
        <w:t>\left(</w:t>
      </w:r>
      <w:r>
        <w:br/>
        <w:t>\Sigma_S^{(k+1)},</w:t>
      </w:r>
      <w:r>
        <w:br/>
        <w:t>\Sigma_S^{(k)}</w:t>
      </w:r>
      <w:r>
        <w:br/>
        <w:t>\right)</w:t>
      </w:r>
      <w:r>
        <w:br/>
        <w:t>\rightarrow</w:t>
      </w:r>
      <w:r>
        <w:br/>
        <w:t>0</w:t>
      </w:r>
      <w:r>
        <w:br/>
        <w:t>\tag{3.7544}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d_{\Sigma}\left(\Sigma_S^{(k+1)},\Sigma_S^{(k)}\right)\rightarrow0\qquad\text{(3.7544)}</w:t>
      </w:r>
    </w:p>
    <w:p w:rsidR="00937413" w:rsidRDefault="00937413" w:rsidP="00937413">
      <w:pPr>
        <w:pStyle w:val="StandardWeb"/>
      </w:pPr>
      <w:r>
        <w:t>für zunehmende Datenstände oder Replikationen.</w:t>
      </w:r>
    </w:p>
    <w:p w:rsidR="00937413" w:rsidRDefault="00937413" w:rsidP="00937413">
      <w:pPr>
        <w:pStyle w:val="StandardWeb"/>
      </w:pPr>
      <w:r>
        <w:t>Dies kann ein Hinweis darauf sein, dass sich die methodische Bewertung einer Aussage stabilisiert.</w:t>
      </w:r>
    </w:p>
    <w:p w:rsidR="00937413" w:rsidRDefault="00E50336" w:rsidP="00937413">
      <w:r>
        <w:pict>
          <v:rect id="_x0000_i1679" style="width:0;height:1.5pt" o:hralign="center" o:hrstd="t" o:hr="t" fillcolor="#a0a0a0" stroked="f"/>
        </w:pict>
      </w:r>
    </w:p>
    <w:p w:rsidR="00937413" w:rsidRDefault="00937413" w:rsidP="00937413">
      <w:pPr>
        <w:pStyle w:val="berschrift2"/>
      </w:pPr>
      <w:r>
        <w:t>3.3.41.122 Stabilitätsdivergenz</w:t>
      </w:r>
    </w:p>
    <w:p w:rsidR="00937413" w:rsidRDefault="00937413" w:rsidP="00937413">
      <w:pPr>
        <w:pStyle w:val="StandardWeb"/>
      </w:pPr>
      <w:r>
        <w:t>Umgekehrt liegt eine problematische Entwicklung vor, wenn</w:t>
      </w:r>
    </w:p>
    <w:p w:rsidR="00937413" w:rsidRDefault="00937413" w:rsidP="00937413">
      <w:pPr>
        <w:pStyle w:val="StandardWeb"/>
      </w:pPr>
      <w:r>
        <w:lastRenderedPageBreak/>
        <w:t>[</w:t>
      </w:r>
      <w:r>
        <w:br/>
        <w:t>d_{\Sigma}</w:t>
      </w:r>
      <w:r>
        <w:br/>
        <w:t>\left(</w:t>
      </w:r>
      <w:r>
        <w:br/>
        <w:t>\Sigma_S^{(k+1)},</w:t>
      </w:r>
      <w:r>
        <w:br/>
        <w:t>\Sigma_S^{(k)}</w:t>
      </w:r>
      <w:r>
        <w:br/>
        <w:t>\right)</w:t>
      </w:r>
      <w:r>
        <w:br/>
        <w:t>\uparrow.</w:t>
      </w:r>
      <w:r>
        <w:br/>
        <w:t>\tag{3.7545}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d_{\Sigma}\left(\Sigma_S^{(k+1)},\Sigma_S^{(k)}\right)\uparrow\qquad\text{(3.7545)}</w:t>
      </w:r>
    </w:p>
    <w:p w:rsidR="00937413" w:rsidRDefault="00937413" w:rsidP="00937413">
      <w:pPr>
        <w:pStyle w:val="StandardWeb"/>
      </w:pPr>
      <w:r>
        <w:t>Dann wird die Stabilitätsbewertung mit neuen Daten oder Analysen zunehmend uneinheitlich.</w:t>
      </w:r>
    </w:p>
    <w:p w:rsidR="00937413" w:rsidRDefault="00E50336" w:rsidP="00937413">
      <w:r>
        <w:pict>
          <v:rect id="_x0000_i1680" style="width:0;height:1.5pt" o:hralign="center" o:hrstd="t" o:hr="t" fillcolor="#a0a0a0" stroked="f"/>
        </w:pict>
      </w:r>
    </w:p>
    <w:p w:rsidR="00937413" w:rsidRDefault="00937413" w:rsidP="00937413">
      <w:pPr>
        <w:pStyle w:val="berschrift2"/>
      </w:pPr>
      <w:r>
        <w:t>3.3.41.123 Stabilitätsplateau</w:t>
      </w:r>
    </w:p>
    <w:p w:rsidR="00937413" w:rsidRDefault="00937413" w:rsidP="00937413">
      <w:pPr>
        <w:pStyle w:val="StandardWeb"/>
      </w:pPr>
      <w:r>
        <w:t>Ein Plateau liegt vor, wenn</w:t>
      </w:r>
    </w:p>
    <w:p w:rsidR="00937413" w:rsidRDefault="00937413" w:rsidP="00937413">
      <w:pPr>
        <w:pStyle w:val="StandardWeb"/>
      </w:pPr>
      <w:r>
        <w:t>[</w:t>
      </w:r>
      <w:r>
        <w:br/>
        <w:t>\Delta\Sigma_S</w:t>
      </w:r>
      <w:r>
        <w:br/>
        <w:t>\approx</w:t>
      </w:r>
      <w:r>
        <w:br/>
        <w:t>0</w:t>
      </w:r>
      <w:r>
        <w:br/>
        <w:t>\tag{3.7546}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\Delta\Sigma_S\approx0\qquad\text{(3.7546)}</w:t>
      </w:r>
    </w:p>
    <w:p w:rsidR="00937413" w:rsidRDefault="00937413" w:rsidP="00937413">
      <w:pPr>
        <w:pStyle w:val="StandardWeb"/>
      </w:pPr>
      <w:r>
        <w:t>über mehrere Revisionen hinweg gilt.</w:t>
      </w:r>
    </w:p>
    <w:p w:rsidR="00937413" w:rsidRDefault="00937413" w:rsidP="00937413">
      <w:pPr>
        <w:pStyle w:val="StandardWeb"/>
      </w:pPr>
      <w:r>
        <w:t>Ein solches Plateau ist jedoch noch kein Beweis endgültiger Wahrheit. Es zeigt lediglich, dass die methodische Stabilitätsbewertung unter den bisher durchgeführten Prüfungen kaum noch verändert wird.</w:t>
      </w:r>
    </w:p>
    <w:p w:rsidR="00937413" w:rsidRDefault="00E50336" w:rsidP="00937413">
      <w:r>
        <w:pict>
          <v:rect id="_x0000_i1681" style="width:0;height:1.5pt" o:hralign="center" o:hrstd="t" o:hr="t" fillcolor="#a0a0a0" stroked="f"/>
        </w:pict>
      </w:r>
    </w:p>
    <w:p w:rsidR="00937413" w:rsidRDefault="00937413" w:rsidP="00937413">
      <w:pPr>
        <w:pStyle w:val="berschrift2"/>
      </w:pPr>
      <w:r>
        <w:t>3.3.41.124 Stabilität und neue Prüfklassen</w:t>
      </w:r>
    </w:p>
    <w:p w:rsidR="00937413" w:rsidRDefault="00937413" w:rsidP="00937413">
      <w:pPr>
        <w:pStyle w:val="StandardWeb"/>
      </w:pPr>
      <w:r>
        <w:t>Eine Stabilitätssignatur kann sich auch ändern, weil neue Prüfdimensionen hinzukommen.</w:t>
      </w:r>
    </w:p>
    <w:p w:rsidR="00937413" w:rsidRDefault="00937413" w:rsidP="00937413">
      <w:pPr>
        <w:pStyle w:val="StandardWeb"/>
      </w:pPr>
      <w:r>
        <w:t>Sei</w:t>
      </w:r>
    </w:p>
    <w:p w:rsidR="00937413" w:rsidRDefault="00937413" w:rsidP="00937413">
      <w:pPr>
        <w:pStyle w:val="berschrift1"/>
      </w:pPr>
      <w:r>
        <w:t>[</w:t>
      </w:r>
      <w:r>
        <w:br/>
        <w:t>\mathcal{K}_{S}^{(v+1)}</w:t>
      </w:r>
    </w:p>
    <w:p w:rsidR="00937413" w:rsidRDefault="00937413" w:rsidP="00937413">
      <w:pPr>
        <w:pStyle w:val="StandardWeb"/>
      </w:pPr>
      <w:r>
        <w:lastRenderedPageBreak/>
        <w:t>\left(</w:t>
      </w:r>
      <w:r>
        <w:br/>
        <w:t>\mathcal{K}</w:t>
      </w:r>
      <w:r>
        <w:rPr>
          <w:rStyle w:val="Hervorhebung"/>
        </w:rPr>
        <w:t>{S}^{(v)},</w:t>
      </w:r>
      <w:r>
        <w:rPr>
          <w:i/>
          <w:iCs/>
        </w:rPr>
        <w:br/>
      </w:r>
      <w:r>
        <w:rPr>
          <w:rStyle w:val="Hervorhebung"/>
        </w:rPr>
        <w:t>S</w:t>
      </w:r>
      <w:r>
        <w:t>{\mathrm{neu}}</w:t>
      </w:r>
      <w:r>
        <w:br/>
        <w:t>\right).</w:t>
      </w:r>
      <w:r>
        <w:br/>
        <w:t>\tag{3.7547}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\mathcal{K}_{S}^{(v+1)}=\left(\mathcal{K}_{S}^{(v)},S_{\mathrm{neu}}\right)\qquad\text{(3.7547)}</w:t>
      </w:r>
    </w:p>
    <w:p w:rsidR="00937413" w:rsidRDefault="00937413" w:rsidP="00937413">
      <w:pPr>
        <w:pStyle w:val="StandardWeb"/>
      </w:pPr>
      <w:r>
        <w:t>Dann darf eine ältere Stabilitätsklassifikation nicht so interpretiert werden, als hätte sie diese neue Dimension bereits bestanden.</w:t>
      </w:r>
    </w:p>
    <w:p w:rsidR="00937413" w:rsidRDefault="00E50336" w:rsidP="00937413">
      <w:r>
        <w:pict>
          <v:rect id="_x0000_i1682" style="width:0;height:1.5pt" o:hralign="center" o:hrstd="t" o:hr="t" fillcolor="#a0a0a0" stroked="f"/>
        </w:pict>
      </w:r>
    </w:p>
    <w:p w:rsidR="00937413" w:rsidRDefault="00937413" w:rsidP="00937413">
      <w:pPr>
        <w:pStyle w:val="berschrift2"/>
      </w:pPr>
      <w:r>
        <w:t>3.3.41.125 Rückwirkende Prüftransparenz</w:t>
      </w:r>
    </w:p>
    <w:p w:rsidR="00937413" w:rsidRDefault="00937413" w:rsidP="00937413">
      <w:pPr>
        <w:pStyle w:val="StandardWeb"/>
      </w:pPr>
      <w:r>
        <w:t>Ich definiere deshalb</w:t>
      </w:r>
    </w:p>
    <w:p w:rsidR="00937413" w:rsidRDefault="00937413" w:rsidP="00937413">
      <w:pPr>
        <w:pStyle w:val="berschrift1"/>
      </w:pPr>
      <w:r>
        <w:t>[</w:t>
      </w:r>
      <w:r>
        <w:br/>
        <w:t>C_{\mathrm{historical}}</w:t>
      </w:r>
    </w:p>
    <w:p w:rsidR="00937413" w:rsidRDefault="00937413" w:rsidP="00937413">
      <w:pPr>
        <w:pStyle w:val="StandardWeb"/>
      </w:pPr>
      <w:r>
        <w:t>1</w:t>
      </w:r>
      <w:r>
        <w:br/>
        <w:t>\tag{3.7548}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C_{\mathrm{historical}}=1\qquad\text{(3.7548)}</w:t>
      </w:r>
    </w:p>
    <w:p w:rsidR="00937413" w:rsidRDefault="00937413" w:rsidP="00937413">
      <w:pPr>
        <w:pStyle w:val="StandardWeb"/>
      </w:pPr>
      <w:r>
        <w:t>nur dann, wenn bei jeder historischen Stabilitätssignatur dokumentiert ist, welche Prüfdimensionen zu diesem Zeitpunkt überhaupt existierten oder durchgeführt wurden.</w:t>
      </w:r>
    </w:p>
    <w:p w:rsidR="00937413" w:rsidRDefault="00E50336" w:rsidP="00937413">
      <w:r>
        <w:pict>
          <v:rect id="_x0000_i1683" style="width:0;height:1.5pt" o:hralign="center" o:hrstd="t" o:hr="t" fillcolor="#a0a0a0" stroked="f"/>
        </w:pict>
      </w:r>
    </w:p>
    <w:p w:rsidR="00937413" w:rsidRDefault="00937413" w:rsidP="00937413">
      <w:pPr>
        <w:pStyle w:val="berschrift2"/>
      </w:pPr>
      <w:r>
        <w:t>3.3.41.126 Kein rückwirkender Prüfstatus</w:t>
      </w:r>
    </w:p>
    <w:p w:rsidR="00937413" w:rsidRDefault="00937413" w:rsidP="00937413">
      <w:pPr>
        <w:pStyle w:val="StandardWeb"/>
      </w:pPr>
      <w:r>
        <w:t>Es gilt</w:t>
      </w:r>
    </w:p>
    <w:p w:rsidR="00937413" w:rsidRDefault="00937413" w:rsidP="00937413">
      <w:pPr>
        <w:pStyle w:val="berschrift1"/>
      </w:pPr>
      <w:r>
        <w:t>[</w:t>
      </w:r>
      <w:r>
        <w:br/>
        <w:t>S_{\mathrm{neu}}</w:t>
      </w:r>
      <w:r>
        <w:br/>
        <w:t>\text{ später eingeführt}</w:t>
      </w:r>
      <w:r>
        <w:br/>
        <w:t>\nRightarrow</w:t>
      </w:r>
      <w:r>
        <w:br/>
        <w:t>S_{\mathrm{neu}}^{(alt)}</w:t>
      </w:r>
    </w:p>
    <w:p w:rsidR="00937413" w:rsidRDefault="00937413" w:rsidP="008C5E65">
      <w:pPr>
        <w:numPr>
          <w:ilvl w:val="0"/>
          <w:numId w:val="362"/>
        </w:numPr>
        <w:spacing w:before="100" w:beforeAutospacing="1" w:after="100" w:afterAutospacing="1"/>
      </w:pPr>
    </w:p>
    <w:p w:rsidR="00937413" w:rsidRDefault="00937413" w:rsidP="00937413">
      <w:pPr>
        <w:pStyle w:val="StandardWeb"/>
      </w:pPr>
      <w:r>
        <w:t>\tag{3.7549}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S_{\mathrm{neu}}\text{ später eingeführt}\nRightarrow S_{\mathrm{neu}}^{(alt)}=1\qquad\text{(3.7549)}</w:t>
      </w:r>
    </w:p>
    <w:p w:rsidR="00937413" w:rsidRDefault="00937413" w:rsidP="00937413">
      <w:pPr>
        <w:pStyle w:val="StandardWeb"/>
      </w:pPr>
      <w:r>
        <w:t>Eine alte Aussage erhält also nicht rückwirkend einen Prüfstatus, den sie damals nicht durchlaufen hat.</w:t>
      </w:r>
    </w:p>
    <w:p w:rsidR="00937413" w:rsidRDefault="00E50336" w:rsidP="00937413">
      <w:r>
        <w:pict>
          <v:rect id="_x0000_i1684" style="width:0;height:1.5pt" o:hralign="center" o:hrstd="t" o:hr="t" fillcolor="#a0a0a0" stroked="f"/>
        </w:pict>
      </w:r>
    </w:p>
    <w:p w:rsidR="00937413" w:rsidRDefault="00937413" w:rsidP="00937413">
      <w:pPr>
        <w:pStyle w:val="berschrift2"/>
      </w:pPr>
      <w:r>
        <w:t>3.3.41.127 Stabilitätsvollständigkeit</w:t>
      </w:r>
    </w:p>
    <w:p w:rsidR="00937413" w:rsidRDefault="00937413" w:rsidP="00937413">
      <w:pPr>
        <w:pStyle w:val="StandardWeb"/>
      </w:pPr>
      <w:r>
        <w:t>Ich definiere eine Prüfvollständigkeit</w:t>
      </w:r>
    </w:p>
    <w:p w:rsidR="00937413" w:rsidRDefault="00937413" w:rsidP="00937413">
      <w:pPr>
        <w:pStyle w:val="berschrift1"/>
      </w:pPr>
      <w:r>
        <w:t>[</w:t>
      </w:r>
      <w:r>
        <w:br/>
        <w:t>C_{\mathrm{complete}}</w:t>
      </w:r>
    </w:p>
    <w:p w:rsidR="00937413" w:rsidRDefault="00937413" w:rsidP="00937413">
      <w:pPr>
        <w:pStyle w:val="StandardWeb"/>
      </w:pPr>
      <w:r>
        <w:t>\frac{</w:t>
      </w:r>
      <w:r>
        <w:br/>
        <w:t>|I_{\mathrm{tested}}|</w:t>
      </w:r>
      <w:r>
        <w:br/>
        <w:t>}{</w:t>
      </w:r>
      <w:r>
        <w:br/>
        <w:t>|I_A|</w:t>
      </w:r>
      <w:r>
        <w:br/>
        <w:t>}.</w:t>
      </w:r>
      <w:r>
        <w:br/>
        <w:t>\tag{3.7550}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C_{\mathrm{complete}}=\frac{|I_{\mathrm{tested}}|}{|I_A|}\qquad\text{(3.7550)}</w:t>
      </w:r>
    </w:p>
    <w:p w:rsidR="00937413" w:rsidRDefault="00937413" w:rsidP="00937413">
      <w:pPr>
        <w:pStyle w:val="StandardWeb"/>
      </w:pPr>
      <w:r>
        <w:t>Es gilt</w:t>
      </w:r>
    </w:p>
    <w:p w:rsidR="00937413" w:rsidRDefault="00937413" w:rsidP="00937413">
      <w:pPr>
        <w:pStyle w:val="StandardWeb"/>
      </w:pPr>
      <w:r>
        <w:t>[</w:t>
      </w:r>
      <w:r>
        <w:br/>
        <w:t>0</w:t>
      </w:r>
      <w:r>
        <w:br/>
        <w:t>\leq</w:t>
      </w:r>
      <w:r>
        <w:br/>
        <w:t>C_{\mathrm{complete}}</w:t>
      </w:r>
      <w:r>
        <w:br/>
        <w:t>\leq</w:t>
      </w:r>
      <w:r>
        <w:br/>
        <w:t>1.</w:t>
      </w:r>
      <w:r>
        <w:br/>
        <w:t>\tag{3.7551}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0\leq C_{\mathrm{complete}}\leq1\qquad\text{(3.7551)}</w:t>
      </w:r>
    </w:p>
    <w:p w:rsidR="00937413" w:rsidRDefault="00E50336" w:rsidP="00937413">
      <w:r>
        <w:pict>
          <v:rect id="_x0000_i1685" style="width:0;height:1.5pt" o:hralign="center" o:hrstd="t" o:hr="t" fillcolor="#a0a0a0" stroked="f"/>
        </w:pict>
      </w:r>
    </w:p>
    <w:p w:rsidR="00937413" w:rsidRDefault="00937413" w:rsidP="00937413">
      <w:pPr>
        <w:pStyle w:val="berschrift2"/>
      </w:pPr>
      <w:r>
        <w:lastRenderedPageBreak/>
        <w:t>3.3.41.128 Vollständig geprüft</w:t>
      </w:r>
    </w:p>
    <w:p w:rsidR="00937413" w:rsidRDefault="00937413" w:rsidP="00937413">
      <w:pPr>
        <w:pStyle w:val="StandardWeb"/>
      </w:pPr>
      <w:r>
        <w:t>Für</w:t>
      </w:r>
    </w:p>
    <w:p w:rsidR="00937413" w:rsidRDefault="00937413" w:rsidP="00937413">
      <w:pPr>
        <w:pStyle w:val="berschrift1"/>
      </w:pPr>
      <w:r>
        <w:t>[</w:t>
      </w:r>
      <w:r>
        <w:br/>
        <w:t>C_{\mathrm{complete}}</w:t>
      </w:r>
    </w:p>
    <w:p w:rsidR="00937413" w:rsidRDefault="00937413" w:rsidP="00937413">
      <w:pPr>
        <w:pStyle w:val="StandardWeb"/>
      </w:pPr>
      <w:r>
        <w:t>1</w:t>
      </w:r>
      <w:r>
        <w:br/>
        <w:t>\tag{3.7552}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C_{\mathrm{complete}}=1\qquad\text{(3.7552)}</w:t>
      </w:r>
    </w:p>
    <w:p w:rsidR="00937413" w:rsidRDefault="00937413" w:rsidP="00937413">
      <w:pPr>
        <w:pStyle w:val="StandardWeb"/>
      </w:pPr>
      <w:r>
        <w:t>wurden sämtliche für den konkreten Aussageanspruch vorgesehenen Stabilitätsdimensionen geprüft.</w:t>
      </w:r>
    </w:p>
    <w:p w:rsidR="00937413" w:rsidRDefault="00937413" w:rsidP="00937413">
      <w:pPr>
        <w:pStyle w:val="StandardWeb"/>
      </w:pPr>
      <w:r>
        <w:t>Das bedeutet noch nicht, dass sie bestanden wurden.</w:t>
      </w:r>
    </w:p>
    <w:p w:rsidR="00937413" w:rsidRDefault="00E50336" w:rsidP="00937413">
      <w:r>
        <w:pict>
          <v:rect id="_x0000_i1686" style="width:0;height:1.5pt" o:hralign="center" o:hrstd="t" o:hr="t" fillcolor="#a0a0a0" stroked="f"/>
        </w:pict>
      </w:r>
    </w:p>
    <w:p w:rsidR="00937413" w:rsidRDefault="00937413" w:rsidP="00937413">
      <w:pPr>
        <w:pStyle w:val="berschrift2"/>
      </w:pPr>
      <w:r>
        <w:t>3.3.41.129 Prüfvollständigkeit und Stabilität getrennt</w:t>
      </w:r>
    </w:p>
    <w:p w:rsidR="00937413" w:rsidRDefault="00937413" w:rsidP="00937413">
      <w:pPr>
        <w:pStyle w:val="StandardWeb"/>
      </w:pPr>
      <w:r>
        <w:t>Es kann gelten</w:t>
      </w:r>
    </w:p>
    <w:p w:rsidR="00937413" w:rsidRDefault="00937413" w:rsidP="00937413">
      <w:pPr>
        <w:pStyle w:val="berschrift1"/>
      </w:pPr>
      <w:r>
        <w:t>[</w:t>
      </w:r>
      <w:r>
        <w:br/>
        <w:t>C_{\mathrm{complete}}</w:t>
      </w:r>
    </w:p>
    <w:p w:rsidR="00937413" w:rsidRDefault="00937413" w:rsidP="00937413">
      <w:pPr>
        <w:pStyle w:val="StandardWeb"/>
      </w:pPr>
      <w:r>
        <w:t>1</w:t>
      </w:r>
      <w:r>
        <w:br/>
        <w:t>\land</w:t>
      </w:r>
      <w:r>
        <w:br/>
        <w:t>R_{\mathrm{stab}}</w:t>
      </w:r>
      <w:r>
        <w:br/>
        <w:t>\text{ niedrig}.</w:t>
      </w:r>
      <w:r>
        <w:br/>
        <w:t>\tag{3.7553}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C_{\mathrm{complete}}=1\land R_{\mathrm{stab}}\text{ niedrig}\qquad\text{(3.7553)}</w:t>
      </w:r>
    </w:p>
    <w:p w:rsidR="00937413" w:rsidRDefault="00937413" w:rsidP="00937413">
      <w:pPr>
        <w:pStyle w:val="StandardWeb"/>
      </w:pPr>
      <w:r>
        <w:t>Dann wurde die Aussage umfassend geprüft und als fragil erkannt.</w:t>
      </w:r>
    </w:p>
    <w:p w:rsidR="00937413" w:rsidRDefault="00937413" w:rsidP="00937413">
      <w:pPr>
        <w:pStyle w:val="StandardWeb"/>
      </w:pPr>
      <w:r>
        <w:t>Ebenso kann gelten</w:t>
      </w:r>
    </w:p>
    <w:p w:rsidR="00937413" w:rsidRDefault="00937413" w:rsidP="00937413">
      <w:pPr>
        <w:pStyle w:val="StandardWeb"/>
      </w:pPr>
      <w:r>
        <w:t>[</w:t>
      </w:r>
      <w:r>
        <w:br/>
        <w:t>C_{\mathrm{complete}}</w:t>
      </w:r>
      <w:r>
        <w:br/>
        <w:t>&lt;</w:t>
      </w:r>
      <w:r>
        <w:br/>
      </w:r>
      <w:r>
        <w:lastRenderedPageBreak/>
        <w:t>1</w:t>
      </w:r>
      <w:r>
        <w:br/>
        <w:t>\land</w:t>
      </w:r>
      <w:r>
        <w:br/>
        <w:t>R_{\mathrm{beob}}</w:t>
      </w:r>
      <w:r>
        <w:br/>
        <w:t>\text{ hoch}.</w:t>
      </w:r>
      <w:r>
        <w:br/>
        <w:t>\tag{3.7554}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C_{\mathrm{complete}}&lt;1\land R_{\mathrm{beob}}\text{ hoch}\qquad\text{(3.7554)}</w:t>
      </w:r>
    </w:p>
    <w:p w:rsidR="00937413" w:rsidRDefault="00937413" w:rsidP="00937413">
      <w:pPr>
        <w:pStyle w:val="StandardWeb"/>
      </w:pPr>
      <w:r>
        <w:t>Dann sind die bisher geprüften Dimensionen stabil, aber die Gesamtbewertung noch unvollständig.</w:t>
      </w:r>
    </w:p>
    <w:p w:rsidR="00937413" w:rsidRDefault="00E50336" w:rsidP="00937413">
      <w:r>
        <w:pict>
          <v:rect id="_x0000_i1687" style="width:0;height:1.5pt" o:hralign="center" o:hrstd="t" o:hr="t" fillcolor="#a0a0a0" stroked="f"/>
        </w:pict>
      </w:r>
    </w:p>
    <w:p w:rsidR="00937413" w:rsidRDefault="00937413" w:rsidP="00937413">
      <w:pPr>
        <w:pStyle w:val="berschrift2"/>
      </w:pPr>
      <w:r>
        <w:t>3.3.41.130 Stabilitätsvertrauen</w:t>
      </w:r>
    </w:p>
    <w:p w:rsidR="00937413" w:rsidRDefault="00937413" w:rsidP="00937413">
      <w:pPr>
        <w:pStyle w:val="StandardWeb"/>
      </w:pPr>
      <w:r>
        <w:t>Ich definiere deshalb zusätzlich</w:t>
      </w:r>
    </w:p>
    <w:p w:rsidR="00937413" w:rsidRDefault="00937413" w:rsidP="00937413">
      <w:pPr>
        <w:pStyle w:val="berschrift1"/>
      </w:pPr>
      <w:r>
        <w:t>[</w:t>
      </w:r>
      <w:r>
        <w:br/>
        <w:t>C_S^{\mathrm{conf}}</w:t>
      </w:r>
    </w:p>
    <w:p w:rsidR="00937413" w:rsidRDefault="00937413" w:rsidP="00937413">
      <w:pPr>
        <w:pStyle w:val="StandardWeb"/>
      </w:pPr>
      <w:r>
        <w:t>\mathcal{C}</w:t>
      </w:r>
      <w:r>
        <w:br/>
        <w:t>\left(</w:t>
      </w:r>
      <w:r>
        <w:br/>
        <w:t>\mathbf{R}_S,</w:t>
      </w:r>
      <w:r>
        <w:br/>
        <w:t>\mathbf{U}</w:t>
      </w:r>
      <w:r>
        <w:rPr>
          <w:rStyle w:val="Hervorhebung"/>
        </w:rPr>
        <w:t>S,</w:t>
      </w:r>
      <w:r>
        <w:rPr>
          <w:i/>
          <w:iCs/>
        </w:rPr>
        <w:br/>
      </w:r>
      <w:r>
        <w:rPr>
          <w:rStyle w:val="Hervorhebung"/>
        </w:rPr>
        <w:t>C</w:t>
      </w:r>
      <w:r>
        <w:t>{\mathrm{complete}}</w:t>
      </w:r>
      <w:r>
        <w:br/>
        <w:t>\right).</w:t>
      </w:r>
      <w:r>
        <w:br/>
        <w:t>\tag{3.7555}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C_S^{\mathrm{conf}}=\mathcal{C}\left(\mathbf{R}_S,\mathbf{U}_S,C_{\mathrm{complete}}\right)\qquad\text{(3.7555)}</w:t>
      </w:r>
    </w:p>
    <w:p w:rsidR="00937413" w:rsidRDefault="00937413" w:rsidP="00937413">
      <w:pPr>
        <w:pStyle w:val="StandardWeb"/>
      </w:pPr>
      <w:r>
        <w:t>Diese Größe soll nicht Stabilität selbst, sondern das Vertrauen in die Stabilitätsbewertung ausdrücken.</w:t>
      </w:r>
    </w:p>
    <w:p w:rsidR="00937413" w:rsidRDefault="00E50336" w:rsidP="00937413">
      <w:r>
        <w:pict>
          <v:rect id="_x0000_i1688" style="width:0;height:1.5pt" o:hralign="center" o:hrstd="t" o:hr="t" fillcolor="#a0a0a0" stroked="f"/>
        </w:pict>
      </w:r>
    </w:p>
    <w:p w:rsidR="00937413" w:rsidRDefault="00937413" w:rsidP="00937413">
      <w:pPr>
        <w:pStyle w:val="berschrift2"/>
      </w:pPr>
      <w:r>
        <w:t>3.3.41.131 Stabilität und Evidenzmenge</w:t>
      </w:r>
    </w:p>
    <w:p w:rsidR="00937413" w:rsidRDefault="00937413" w:rsidP="00937413">
      <w:pPr>
        <w:pStyle w:val="StandardWeb"/>
      </w:pPr>
      <w:r>
        <w:t>Je mehr unabhängige Prüfpfade dieselbe Stabilitätsaussage stützen, desto stärker kann die Evidenz sein.</w:t>
      </w:r>
    </w:p>
    <w:p w:rsidR="00937413" w:rsidRDefault="00937413" w:rsidP="00937413">
      <w:pPr>
        <w:pStyle w:val="StandardWeb"/>
      </w:pPr>
      <w:r>
        <w:t>Sei</w:t>
      </w:r>
    </w:p>
    <w:p w:rsidR="00937413" w:rsidRDefault="00937413" w:rsidP="00937413">
      <w:pPr>
        <w:pStyle w:val="StandardWeb"/>
      </w:pPr>
      <w:r>
        <w:lastRenderedPageBreak/>
        <w:t>[</w:t>
      </w:r>
      <w:r>
        <w:br/>
        <w:t>N_E</w:t>
      </w:r>
      <w:r>
        <w:br/>
        <w:t>\tag{3.7556}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N_E\qquad\text{(3.7556)}</w:t>
      </w:r>
    </w:p>
    <w:p w:rsidR="00937413" w:rsidRDefault="00937413" w:rsidP="00937413">
      <w:pPr>
        <w:pStyle w:val="StandardWeb"/>
      </w:pPr>
      <w:r>
        <w:t>die Anzahl unabhängiger Evidenzpfade.</w:t>
      </w:r>
    </w:p>
    <w:p w:rsidR="00937413" w:rsidRDefault="00937413" w:rsidP="00937413">
      <w:pPr>
        <w:pStyle w:val="StandardWeb"/>
      </w:pPr>
      <w:r>
        <w:t>Eine abstrakte Evidenzfunktion lautet</w:t>
      </w:r>
    </w:p>
    <w:p w:rsidR="00937413" w:rsidRDefault="00937413" w:rsidP="00937413">
      <w:pPr>
        <w:pStyle w:val="berschrift1"/>
      </w:pPr>
      <w:r>
        <w:t>[</w:t>
      </w:r>
      <w:r>
        <w:br/>
        <w:t>E_S</w:t>
      </w:r>
    </w:p>
    <w:p w:rsidR="00937413" w:rsidRDefault="00937413" w:rsidP="00937413">
      <w:pPr>
        <w:pStyle w:val="StandardWeb"/>
      </w:pPr>
      <w:r>
        <w:t>\mathcal{E}</w:t>
      </w:r>
      <w:r>
        <w:br/>
        <w:t>\left(</w:t>
      </w:r>
      <w:r>
        <w:br/>
        <w:t>N_E,</w:t>
      </w:r>
      <w:r>
        <w:br/>
        <w:t>\mathbf{R}_S,</w:t>
      </w:r>
      <w:r>
        <w:br/>
        <w:t>\mathbf{U}_S</w:t>
      </w:r>
      <w:r>
        <w:br/>
        <w:t>\right).</w:t>
      </w:r>
      <w:r>
        <w:br/>
        <w:t>\tag{3.7557}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E_S=\mathcal{E}\left(N_E,\mathbf{R}_S,\mathbf{U}_S\right)\qquad\text{(3.7557)}</w:t>
      </w:r>
    </w:p>
    <w:p w:rsidR="00937413" w:rsidRDefault="00E50336" w:rsidP="00937413">
      <w:r>
        <w:pict>
          <v:rect id="_x0000_i1689" style="width:0;height:1.5pt" o:hralign="center" o:hrstd="t" o:hr="t" fillcolor="#a0a0a0" stroked="f"/>
        </w:pict>
      </w:r>
    </w:p>
    <w:p w:rsidR="00937413" w:rsidRDefault="00937413" w:rsidP="00937413">
      <w:pPr>
        <w:pStyle w:val="berschrift2"/>
      </w:pPr>
      <w:r>
        <w:t>3.3.41.132 Unabhängigkeit der Evidenzpfade</w:t>
      </w:r>
    </w:p>
    <w:p w:rsidR="00937413" w:rsidRDefault="00937413" w:rsidP="00937413">
      <w:pPr>
        <w:pStyle w:val="StandardWeb"/>
      </w:pPr>
      <w:r>
        <w:t>Mehrere Prüfungen sind nur dann besonders informativ, wenn sie nicht vollständig dieselbe Informationsquelle verwenden.</w:t>
      </w:r>
    </w:p>
    <w:p w:rsidR="00937413" w:rsidRDefault="00937413" w:rsidP="00937413">
      <w:pPr>
        <w:pStyle w:val="StandardWeb"/>
      </w:pPr>
      <w:r>
        <w:t>Ich definiere</w:t>
      </w:r>
    </w:p>
    <w:p w:rsidR="00937413" w:rsidRDefault="00937413" w:rsidP="00937413">
      <w:pPr>
        <w:pStyle w:val="StandardWeb"/>
      </w:pPr>
      <w:r>
        <w:t>[</w:t>
      </w:r>
      <w:r>
        <w:br/>
        <w:t>I_E</w:t>
      </w:r>
      <w:r>
        <w:br/>
        <w:t>\in</w:t>
      </w:r>
      <w:r>
        <w:br/>
        <w:t>[0,1]</w:t>
      </w:r>
      <w:r>
        <w:br/>
        <w:t>\tag{3.7558}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I_E\in[0,1]\qquad\text{(3.7558)}</w:t>
      </w:r>
    </w:p>
    <w:p w:rsidR="00937413" w:rsidRDefault="00937413" w:rsidP="00937413">
      <w:pPr>
        <w:pStyle w:val="StandardWeb"/>
      </w:pPr>
      <w:r>
        <w:t>als abstrakten Grad der Unabhängigkeit der Evidenzpfade.</w:t>
      </w:r>
    </w:p>
    <w:p w:rsidR="00937413" w:rsidRDefault="00E50336" w:rsidP="00937413">
      <w:r>
        <w:lastRenderedPageBreak/>
        <w:pict>
          <v:rect id="_x0000_i1690" style="width:0;height:1.5pt" o:hralign="center" o:hrstd="t" o:hr="t" fillcolor="#a0a0a0" stroked="f"/>
        </w:pict>
      </w:r>
    </w:p>
    <w:p w:rsidR="00937413" w:rsidRDefault="00937413" w:rsidP="00937413">
      <w:pPr>
        <w:pStyle w:val="berschrift2"/>
      </w:pPr>
      <w:r>
        <w:t>3.3.41.133 Viele abhängige Prüfungen</w:t>
      </w:r>
    </w:p>
    <w:p w:rsidR="00937413" w:rsidRDefault="00937413" w:rsidP="00937413">
      <w:pPr>
        <w:pStyle w:val="StandardWeb"/>
      </w:pPr>
      <w:r>
        <w:t>Es kann gelten</w:t>
      </w:r>
    </w:p>
    <w:p w:rsidR="00937413" w:rsidRDefault="00937413" w:rsidP="00937413">
      <w:pPr>
        <w:pStyle w:val="StandardWeb"/>
      </w:pPr>
      <w:r>
        <w:t>[</w:t>
      </w:r>
      <w:r>
        <w:br/>
        <w:t>N_E</w:t>
      </w:r>
      <w:r>
        <w:br/>
        <w:t>\text{ groß}</w:t>
      </w:r>
      <w:r>
        <w:br/>
        <w:t>\land</w:t>
      </w:r>
      <w:r>
        <w:br/>
        <w:t>I_E</w:t>
      </w:r>
      <w:r>
        <w:br/>
        <w:t>\approx</w:t>
      </w:r>
      <w:r>
        <w:br/>
        <w:t>0.</w:t>
      </w:r>
      <w:r>
        <w:br/>
        <w:t>\tag{3.7559}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N_E\text{ groß}\land I_E\approx0\qquad\text{(3.7559)}</w:t>
      </w:r>
    </w:p>
    <w:p w:rsidR="00937413" w:rsidRDefault="00937413" w:rsidP="00937413">
      <w:pPr>
        <w:pStyle w:val="StandardWeb"/>
      </w:pPr>
      <w:r>
        <w:t>Dann entsteht trotz vieler Prüfresultate nur begrenzte zusätzliche Evidenz, wenn sämtliche Prüfungen auf nahezu derselben Informationsbasis beruhen.</w:t>
      </w:r>
    </w:p>
    <w:p w:rsidR="00937413" w:rsidRDefault="00E50336" w:rsidP="00937413">
      <w:r>
        <w:pict>
          <v:rect id="_x0000_i1691" style="width:0;height:1.5pt" o:hralign="center" o:hrstd="t" o:hr="t" fillcolor="#a0a0a0" stroked="f"/>
        </w:pict>
      </w:r>
    </w:p>
    <w:p w:rsidR="00937413" w:rsidRDefault="00937413" w:rsidP="00937413">
      <w:pPr>
        <w:pStyle w:val="berschrift2"/>
      </w:pPr>
      <w:r>
        <w:t>3.3.41.134 Konvergente unabhängige Stabilitätsevidenz</w:t>
      </w:r>
    </w:p>
    <w:p w:rsidR="00937413" w:rsidRDefault="00937413" w:rsidP="00937413">
      <w:pPr>
        <w:pStyle w:val="StandardWeb"/>
      </w:pPr>
      <w:r>
        <w:t>Eine besonders starke Struktur liegt vor bei</w:t>
      </w:r>
    </w:p>
    <w:p w:rsidR="00937413" w:rsidRDefault="00937413" w:rsidP="00937413">
      <w:pPr>
        <w:pStyle w:val="StandardWeb"/>
      </w:pPr>
      <w:r>
        <w:t>[</w:t>
      </w:r>
      <w:r>
        <w:br/>
        <w:t>N_E</w:t>
      </w:r>
      <w:r>
        <w:br/>
        <w:t>\text{ groß}</w:t>
      </w:r>
      <w:r>
        <w:br/>
        <w:t>\land</w:t>
      </w:r>
      <w:r>
        <w:br/>
        <w:t>I_E</w:t>
      </w:r>
      <w:r>
        <w:br/>
        <w:t>\text{ hoch}</w:t>
      </w:r>
      <w:r>
        <w:br/>
        <w:t>\land</w:t>
      </w:r>
      <w:r>
        <w:br/>
        <w:t>R_i</w:t>
      </w:r>
      <w:r>
        <w:br/>
        <w:t>\text{ hoch}.</w:t>
      </w:r>
      <w:r>
        <w:br/>
        <w:t>\tag{3.7560}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N_E\text{ groß}\land I_E\text{ hoch}\land R_i\text{ hoch}\qquad\text{(3.7560)}</w:t>
      </w:r>
    </w:p>
    <w:p w:rsidR="00937413" w:rsidRDefault="00937413" w:rsidP="00937413">
      <w:pPr>
        <w:pStyle w:val="StandardWeb"/>
      </w:pPr>
      <w:r>
        <w:t>Diese Kombination bezeichne ich als konvergente Stabilitätsevidenz.</w:t>
      </w:r>
    </w:p>
    <w:p w:rsidR="00937413" w:rsidRDefault="00E50336" w:rsidP="00937413">
      <w:r>
        <w:pict>
          <v:rect id="_x0000_i1692" style="width:0;height:1.5pt" o:hralign="center" o:hrstd="t" o:hr="t" fillcolor="#a0a0a0" stroked="f"/>
        </w:pict>
      </w:r>
    </w:p>
    <w:p w:rsidR="00937413" w:rsidRDefault="00937413" w:rsidP="00937413">
      <w:pPr>
        <w:pStyle w:val="berschrift2"/>
      </w:pPr>
      <w:r>
        <w:t>3.3.41.135 Stabilität und Replikationsvielfalt</w:t>
      </w:r>
    </w:p>
    <w:p w:rsidR="00937413" w:rsidRDefault="00937413" w:rsidP="00937413">
      <w:pPr>
        <w:pStyle w:val="StandardWeb"/>
      </w:pPr>
      <w:r>
        <w:lastRenderedPageBreak/>
        <w:t>Eine Replikation unter exakt denselben Bedingungen prüft andere Eigenschaften als eine Replikation unter veränderten Bedingungen.</w:t>
      </w:r>
    </w:p>
    <w:p w:rsidR="00937413" w:rsidRDefault="00937413" w:rsidP="00937413">
      <w:pPr>
        <w:pStyle w:val="StandardWeb"/>
      </w:pPr>
      <w:r>
        <w:t>Ich unterscheide daher</w:t>
      </w:r>
    </w:p>
    <w:p w:rsidR="00937413" w:rsidRDefault="00937413" w:rsidP="00937413">
      <w:pPr>
        <w:pStyle w:val="StandardWeb"/>
      </w:pPr>
      <w:r>
        <w:t>[</w:t>
      </w:r>
      <w:r>
        <w:br/>
        <w:t>R_{\mathrm{direct}}</w:t>
      </w:r>
      <w:r>
        <w:br/>
        <w:t>\tag{3.7561}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R_{\mathrm{direct}}\qquad\text{(3.7561)}</w:t>
      </w:r>
    </w:p>
    <w:p w:rsidR="00937413" w:rsidRDefault="00937413" w:rsidP="00937413">
      <w:pPr>
        <w:pStyle w:val="StandardWeb"/>
      </w:pPr>
      <w:r>
        <w:t>für direkte Replikation und</w:t>
      </w:r>
    </w:p>
    <w:p w:rsidR="00937413" w:rsidRDefault="00937413" w:rsidP="00937413">
      <w:pPr>
        <w:pStyle w:val="StandardWeb"/>
      </w:pPr>
      <w:r>
        <w:t>[</w:t>
      </w:r>
      <w:r>
        <w:br/>
        <w:t>R_{\mathrm{concept}}</w:t>
      </w:r>
      <w:r>
        <w:br/>
        <w:t>\tag{3.7562}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R_{\mathrm{concept}}\qquad\text{(3.7562)}</w:t>
      </w:r>
    </w:p>
    <w:p w:rsidR="00937413" w:rsidRDefault="00937413" w:rsidP="00937413">
      <w:pPr>
        <w:pStyle w:val="StandardWeb"/>
      </w:pPr>
      <w:r>
        <w:t>für konzeptionelle Replikation.</w:t>
      </w:r>
    </w:p>
    <w:p w:rsidR="00937413" w:rsidRDefault="00E50336" w:rsidP="00937413">
      <w:r>
        <w:pict>
          <v:rect id="_x0000_i1693" style="width:0;height:1.5pt" o:hralign="center" o:hrstd="t" o:hr="t" fillcolor="#a0a0a0" stroked="f"/>
        </w:pict>
      </w:r>
    </w:p>
    <w:p w:rsidR="00937413" w:rsidRDefault="00937413" w:rsidP="00937413">
      <w:pPr>
        <w:pStyle w:val="berschrift2"/>
      </w:pPr>
      <w:r>
        <w:t>3.3.41.136 Stabilität über Replikationsformen</w:t>
      </w:r>
    </w:p>
    <w:p w:rsidR="00937413" w:rsidRDefault="00937413" w:rsidP="00937413">
      <w:pPr>
        <w:pStyle w:val="StandardWeb"/>
      </w:pPr>
      <w:r>
        <w:t>Eine starke Reproduktionsstabilität kann verlangen</w:t>
      </w:r>
    </w:p>
    <w:p w:rsidR="00937413" w:rsidRDefault="00937413" w:rsidP="00937413">
      <w:pPr>
        <w:pStyle w:val="StandardWeb"/>
      </w:pPr>
      <w:r>
        <w:t>[</w:t>
      </w:r>
      <w:r>
        <w:br/>
        <w:t>R_{\mathrm{direct}}</w:t>
      </w:r>
      <w:r>
        <w:br/>
        <w:t>\geq</w:t>
      </w:r>
      <w:r>
        <w:br/>
        <w:t>\tau_D</w:t>
      </w:r>
      <w:r>
        <w:br/>
        <w:t>\land</w:t>
      </w:r>
      <w:r>
        <w:br/>
        <w:t>R_{\mathrm{concept}}</w:t>
      </w:r>
      <w:r>
        <w:br/>
        <w:t>\geq</w:t>
      </w:r>
      <w:r>
        <w:br/>
        <w:t>\tau_C.</w:t>
      </w:r>
      <w:r>
        <w:br/>
        <w:t>\tag{3.7563}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R_{\mathrm{direct}}\geq\tau_D\land R_{\mathrm{concept}}\geq\tau_C\qquad\text{(3.7563)}</w:t>
      </w:r>
    </w:p>
    <w:p w:rsidR="00937413" w:rsidRDefault="00937413" w:rsidP="00937413">
      <w:pPr>
        <w:pStyle w:val="StandardWeb"/>
      </w:pPr>
      <w:r>
        <w:t>Damit wird verhindert, dass reine technische Wiederholbarkeit mit wissenschaftlicher Übertragbarkeit verwechselt wird.</w:t>
      </w:r>
    </w:p>
    <w:p w:rsidR="00937413" w:rsidRDefault="00E50336" w:rsidP="00937413">
      <w:r>
        <w:lastRenderedPageBreak/>
        <w:pict>
          <v:rect id="_x0000_i1694" style="width:0;height:1.5pt" o:hralign="center" o:hrstd="t" o:hr="t" fillcolor="#a0a0a0" stroked="f"/>
        </w:pict>
      </w:r>
    </w:p>
    <w:p w:rsidR="00937413" w:rsidRDefault="00937413" w:rsidP="00937413">
      <w:pPr>
        <w:pStyle w:val="berschrift2"/>
      </w:pPr>
      <w:r>
        <w:t>3.3.41.137 Stabilität und Kontextvariation</w:t>
      </w:r>
    </w:p>
    <w:p w:rsidR="00937413" w:rsidRDefault="00937413" w:rsidP="00937413">
      <w:pPr>
        <w:pStyle w:val="StandardWeb"/>
      </w:pPr>
      <w:r>
        <w:t>Für mehrere Kontexte</w:t>
      </w:r>
    </w:p>
    <w:p w:rsidR="00937413" w:rsidRDefault="00937413" w:rsidP="00937413">
      <w:pPr>
        <w:pStyle w:val="StandardWeb"/>
      </w:pPr>
      <w:r>
        <w:t>[</w:t>
      </w:r>
      <w:r>
        <w:br/>
        <w:t>\mathcal{C}_1,</w:t>
      </w:r>
      <w:r>
        <w:br/>
        <w:t>\ldots,</w:t>
      </w:r>
      <w:r>
        <w:br/>
        <w:t>\mathcal{C}_m</w:t>
      </w:r>
      <w:r>
        <w:br/>
        <w:t>\tag{3.7564}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\mathcal{C}_1,\ldots,\mathcal{C}_m\qquad\text{(3.7564)}</w:t>
      </w:r>
    </w:p>
    <w:p w:rsidR="00937413" w:rsidRDefault="00937413" w:rsidP="00937413">
      <w:pPr>
        <w:pStyle w:val="StandardWeb"/>
      </w:pPr>
      <w:r>
        <w:t>definiere ich</w:t>
      </w:r>
    </w:p>
    <w:p w:rsidR="00937413" w:rsidRDefault="00937413" w:rsidP="00937413">
      <w:pPr>
        <w:pStyle w:val="berschrift1"/>
      </w:pPr>
      <w:r>
        <w:t>[</w:t>
      </w:r>
      <w:r>
        <w:br/>
        <w:t>R_C^{\mathrm{context}}</w:t>
      </w:r>
    </w:p>
    <w:p w:rsidR="00937413" w:rsidRDefault="00937413" w:rsidP="00937413">
      <w:pPr>
        <w:pStyle w:val="StandardWeb"/>
      </w:pPr>
      <w:r>
        <w:t>\frac{1}{m}</w:t>
      </w:r>
      <w:r>
        <w:br/>
        <w:t>\sum_{j=1}^{m}</w:t>
      </w:r>
      <w:r>
        <w:br/>
        <w:t>\mathbf{1}</w:t>
      </w:r>
      <w:r>
        <w:br/>
        <w:t>\left[</w:t>
      </w:r>
      <w:r>
        <w:br/>
        <w:t>A_F^{(\mathcal{C}_j)}</w:t>
      </w:r>
      <w:r>
        <w:br/>
        <w:t>\sim_A</w:t>
      </w:r>
      <w:r>
        <w:br/>
        <w:t>A_F^{\mathrm{ref}}</w:t>
      </w:r>
      <w:r>
        <w:br/>
        <w:t>\right].</w:t>
      </w:r>
      <w:r>
        <w:br/>
        <w:t>\tag{3.7565}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R_C^{\mathrm{context}}=\frac{1}{m}\sum_{j=1}^{m}\mathbf{1}\left[A_F^{(\mathcal{C}_j)}\sim_A A_F^{\mathrm{ref}}\right]\qquad\text{(3.7565)}</w:t>
      </w:r>
    </w:p>
    <w:p w:rsidR="00937413" w:rsidRDefault="00937413" w:rsidP="00937413">
      <w:pPr>
        <w:pStyle w:val="StandardWeb"/>
      </w:pPr>
      <w:r>
        <w:t>Diese Größe beschreibt Kontextstabilität.</w:t>
      </w:r>
    </w:p>
    <w:p w:rsidR="00937413" w:rsidRDefault="00E50336" w:rsidP="00937413">
      <w:r>
        <w:pict>
          <v:rect id="_x0000_i1695" style="width:0;height:1.5pt" o:hralign="center" o:hrstd="t" o:hr="t" fillcolor="#a0a0a0" stroked="f"/>
        </w:pict>
      </w:r>
    </w:p>
    <w:p w:rsidR="00937413" w:rsidRDefault="00937413" w:rsidP="00937413">
      <w:pPr>
        <w:pStyle w:val="berschrift2"/>
      </w:pPr>
      <w:r>
        <w:t>3.3.41.138 Erweiterung des Stabilitätsvektors um Kontextstabilität</w:t>
      </w:r>
    </w:p>
    <w:p w:rsidR="00937413" w:rsidRDefault="00937413" w:rsidP="00937413">
      <w:pPr>
        <w:pStyle w:val="StandardWeb"/>
      </w:pPr>
      <w:r>
        <w:t>Da Kontextstabilität in vielen empirischen Anwendungen eigenständig relevant ist, erweitere ich den Vektor zu</w:t>
      </w:r>
    </w:p>
    <w:p w:rsidR="00937413" w:rsidRDefault="00937413" w:rsidP="00937413">
      <w:pPr>
        <w:pStyle w:val="berschrift1"/>
      </w:pPr>
      <w:r>
        <w:lastRenderedPageBreak/>
        <w:t>[</w:t>
      </w:r>
      <w:r>
        <w:br/>
        <w:t>\mathcal{K}_{S}^{+}</w:t>
      </w:r>
    </w:p>
    <w:p w:rsidR="00937413" w:rsidRDefault="00937413" w:rsidP="00937413">
      <w:pPr>
        <w:pStyle w:val="StandardWeb"/>
      </w:pPr>
      <w:r>
        <w:t>\left(</w:t>
      </w:r>
      <w:r>
        <w:br/>
        <w:t>S_L,</w:t>
      </w:r>
      <w:r>
        <w:br/>
        <w:t>S_G,</w:t>
      </w:r>
      <w:r>
        <w:br/>
        <w:t>S_P,</w:t>
      </w:r>
      <w:r>
        <w:br/>
        <w:t>S_R,</w:t>
      </w:r>
      <w:r>
        <w:br/>
        <w:t>S_O,</w:t>
      </w:r>
      <w:r>
        <w:br/>
        <w:t>S_M,</w:t>
      </w:r>
      <w:r>
        <w:br/>
        <w:t>S_N,</w:t>
      </w:r>
      <w:r>
        <w:br/>
        <w:t>S_T,</w:t>
      </w:r>
      <w:r>
        <w:br/>
        <w:t>S_C</w:t>
      </w:r>
      <w:r>
        <w:br/>
        <w:t>\right).</w:t>
      </w:r>
      <w:r>
        <w:br/>
        <w:t>\tag{3.7566}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\mathcal{K}_{S}^{+}=\left(S_L,S_G,S_P,S_R,S_O,S_M,S_N,S_T,S_C\right)\qquad\text{(3.7566)}</w:t>
      </w:r>
    </w:p>
    <w:p w:rsidR="00937413" w:rsidRDefault="00937413" w:rsidP="00937413">
      <w:pPr>
        <w:pStyle w:val="StandardWeb"/>
      </w:pPr>
      <w:r>
        <w:t>Damit bleibt die in Gleichung (3.7327) ausdrücklich vorgesehene Erweiterbarkeit der Stabilitätsklasse erhalten.</w:t>
      </w:r>
    </w:p>
    <w:p w:rsidR="00937413" w:rsidRDefault="00E50336" w:rsidP="00937413">
      <w:r>
        <w:pict>
          <v:rect id="_x0000_i1696" style="width:0;height:1.5pt" o:hralign="center" o:hrstd="t" o:hr="t" fillcolor="#a0a0a0" stroked="f"/>
        </w:pict>
      </w:r>
    </w:p>
    <w:p w:rsidR="00937413" w:rsidRDefault="00937413" w:rsidP="00937413">
      <w:pPr>
        <w:pStyle w:val="berschrift2"/>
      </w:pPr>
      <w:r>
        <w:t>3.3.41.139 Kontextstabilitätsbedingung</w:t>
      </w:r>
    </w:p>
    <w:p w:rsidR="00937413" w:rsidRDefault="00937413" w:rsidP="00937413">
      <w:pPr>
        <w:pStyle w:val="StandardWeb"/>
      </w:pPr>
      <w:r>
        <w:t>Es gilt</w:t>
      </w:r>
    </w:p>
    <w:p w:rsidR="00937413" w:rsidRDefault="00937413" w:rsidP="00937413">
      <w:pPr>
        <w:pStyle w:val="berschrift1"/>
      </w:pPr>
      <w:r>
        <w:t>[</w:t>
      </w:r>
      <w:r>
        <w:br/>
        <w:t>S_C</w:t>
      </w:r>
    </w:p>
    <w:p w:rsidR="00937413" w:rsidRDefault="00937413" w:rsidP="00937413">
      <w:pPr>
        <w:pStyle w:val="StandardWeb"/>
      </w:pPr>
      <w:r>
        <w:t>1</w:t>
      </w:r>
      <w:r>
        <w:br/>
        <w:t>\Longleftrightarrow</w:t>
      </w:r>
      <w:r>
        <w:br/>
        <w:t>R_C^{\mathrm{context}}</w:t>
      </w:r>
      <w:r>
        <w:br/>
        <w:t>\geq</w:t>
      </w:r>
      <w:r>
        <w:br/>
        <w:t>\tau_C.</w:t>
      </w:r>
      <w:r>
        <w:br/>
        <w:t>\tag{3.7567}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S_C=1\Longleftrightarrow R_C^{\mathrm{context}}\geq\tau_C\qquad\text{(3.7567)}</w:t>
      </w:r>
    </w:p>
    <w:p w:rsidR="00937413" w:rsidRDefault="00E50336" w:rsidP="00937413">
      <w:r>
        <w:pict>
          <v:rect id="_x0000_i1697" style="width:0;height:1.5pt" o:hralign="center" o:hrstd="t" o:hr="t" fillcolor="#a0a0a0" stroked="f"/>
        </w:pict>
      </w:r>
    </w:p>
    <w:p w:rsidR="00937413" w:rsidRDefault="00937413" w:rsidP="00937413">
      <w:pPr>
        <w:pStyle w:val="berschrift2"/>
      </w:pPr>
      <w:r>
        <w:lastRenderedPageBreak/>
        <w:t>3.3.41.140 Stabilität und Transportierbarkeit</w:t>
      </w:r>
    </w:p>
    <w:p w:rsidR="00937413" w:rsidRDefault="00937413" w:rsidP="00937413">
      <w:pPr>
        <w:pStyle w:val="StandardWeb"/>
      </w:pPr>
      <w:r>
        <w:t>Kontextstabilität darf nicht automatisch mit Transportierbarkeit gleichgesetzt werden.</w:t>
      </w:r>
    </w:p>
    <w:p w:rsidR="00937413" w:rsidRDefault="00937413" w:rsidP="00937413">
      <w:pPr>
        <w:pStyle w:val="StandardWeb"/>
      </w:pPr>
      <w:r>
        <w:t>Ich formuliere</w:t>
      </w:r>
    </w:p>
    <w:p w:rsidR="00937413" w:rsidRDefault="00937413" w:rsidP="00937413">
      <w:pPr>
        <w:pStyle w:val="berschrift1"/>
      </w:pPr>
      <w:r>
        <w:t>[</w:t>
      </w:r>
      <w:r>
        <w:br/>
        <w:t>S_C</w:t>
      </w:r>
    </w:p>
    <w:p w:rsidR="00937413" w:rsidRDefault="00937413" w:rsidP="00937413">
      <w:pPr>
        <w:pStyle w:val="berschrift1"/>
      </w:pPr>
      <w:r>
        <w:t>1</w:t>
      </w:r>
      <w:r>
        <w:br/>
        <w:t>\nRightarrow</w:t>
      </w:r>
      <w:r>
        <w:br/>
        <w:t>T_{\mathrm{transport}}</w:t>
      </w:r>
    </w:p>
    <w:p w:rsidR="00937413" w:rsidRDefault="00937413" w:rsidP="008C5E65">
      <w:pPr>
        <w:numPr>
          <w:ilvl w:val="0"/>
          <w:numId w:val="363"/>
        </w:numPr>
        <w:spacing w:before="100" w:beforeAutospacing="1" w:after="100" w:afterAutospacing="1"/>
      </w:pPr>
    </w:p>
    <w:p w:rsidR="00937413" w:rsidRDefault="00937413" w:rsidP="00937413">
      <w:pPr>
        <w:pStyle w:val="StandardWeb"/>
      </w:pPr>
      <w:r>
        <w:t>\tag{3.7568}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S_C=1\nRightarrow T_{\mathrm{transport}}=1\qquad\text{(3.7568)}</w:t>
      </w:r>
    </w:p>
    <w:p w:rsidR="00937413" w:rsidRDefault="00937413" w:rsidP="00937413">
      <w:pPr>
        <w:pStyle w:val="StandardWeb"/>
      </w:pPr>
      <w:r>
        <w:t>Eine Aussage kann über mehrere beobachtete Kontexte stabil sein, ohne dass daraus ihre Gültigkeit für einen neuen, bislang unbeobachteten Kontext folgt.</w:t>
      </w:r>
    </w:p>
    <w:p w:rsidR="00937413" w:rsidRDefault="00E50336" w:rsidP="00937413">
      <w:r>
        <w:pict>
          <v:rect id="_x0000_i1698" style="width:0;height:1.5pt" o:hralign="center" o:hrstd="t" o:hr="t" fillcolor="#a0a0a0" stroked="f"/>
        </w:pict>
      </w:r>
    </w:p>
    <w:p w:rsidR="00937413" w:rsidRDefault="00937413" w:rsidP="00937413">
      <w:pPr>
        <w:pStyle w:val="berschrift2"/>
      </w:pPr>
      <w:r>
        <w:t>3.3.41.141 Transportierbarkeitsstabilität</w:t>
      </w:r>
    </w:p>
    <w:p w:rsidR="00937413" w:rsidRDefault="00937413" w:rsidP="00937413">
      <w:pPr>
        <w:pStyle w:val="StandardWeb"/>
      </w:pPr>
      <w:r>
        <w:t>Falls Transportierbarkeit geprüft wird, kann eine zusätzliche Komponente</w:t>
      </w:r>
    </w:p>
    <w:p w:rsidR="00937413" w:rsidRDefault="00937413" w:rsidP="00937413">
      <w:pPr>
        <w:pStyle w:val="StandardWeb"/>
      </w:pPr>
      <w:r>
        <w:t>[</w:t>
      </w:r>
      <w:r>
        <w:br/>
        <w:t>S_{\mathrm{Tr}}</w:t>
      </w:r>
      <w:r>
        <w:br/>
        <w:t>\tag{3.7569}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S_{\mathrm{Tr}}\qquad\text{(3.7569)}</w:t>
      </w:r>
    </w:p>
    <w:p w:rsidR="00937413" w:rsidRDefault="00937413" w:rsidP="00937413">
      <w:pPr>
        <w:pStyle w:val="StandardWeb"/>
      </w:pPr>
      <w:r>
        <w:t>eingeführt werden.</w:t>
      </w:r>
    </w:p>
    <w:p w:rsidR="00937413" w:rsidRDefault="00937413" w:rsidP="00937413">
      <w:pPr>
        <w:pStyle w:val="StandardWeb"/>
      </w:pPr>
      <w:r>
        <w:t>Damit wächst die Stabilitätsklasse bei Bedarf weiter.</w:t>
      </w:r>
    </w:p>
    <w:p w:rsidR="00937413" w:rsidRDefault="00E50336" w:rsidP="00937413">
      <w:r>
        <w:pict>
          <v:rect id="_x0000_i1699" style="width:0;height:1.5pt" o:hralign="center" o:hrstd="t" o:hr="t" fillcolor="#a0a0a0" stroked="f"/>
        </w:pict>
      </w:r>
    </w:p>
    <w:p w:rsidR="00937413" w:rsidRDefault="00937413" w:rsidP="00937413">
      <w:pPr>
        <w:pStyle w:val="berschrift2"/>
      </w:pPr>
      <w:r>
        <w:t>3.3.41.142 Stabilitätsdimensionen sind modular</w:t>
      </w:r>
    </w:p>
    <w:p w:rsidR="00937413" w:rsidRDefault="00937413" w:rsidP="00937413">
      <w:pPr>
        <w:pStyle w:val="StandardWeb"/>
      </w:pPr>
      <w:r>
        <w:lastRenderedPageBreak/>
        <w:t>Die allgemeine Struktur lautet damit</w:t>
      </w:r>
    </w:p>
    <w:p w:rsidR="00937413" w:rsidRDefault="00937413" w:rsidP="00937413">
      <w:pPr>
        <w:pStyle w:val="berschrift1"/>
      </w:pPr>
      <w:r>
        <w:t>[</w:t>
      </w:r>
      <w:r>
        <w:br/>
        <w:t>\mathcal{K}_{S}^{(m)}</w:t>
      </w:r>
    </w:p>
    <w:p w:rsidR="00937413" w:rsidRDefault="00937413" w:rsidP="00937413">
      <w:pPr>
        <w:pStyle w:val="StandardWeb"/>
      </w:pPr>
      <w:r>
        <w:t>\left(</w:t>
      </w:r>
      <w:r>
        <w:br/>
        <w:t>S_1,</w:t>
      </w:r>
      <w:r>
        <w:br/>
        <w:t>S_2,</w:t>
      </w:r>
      <w:r>
        <w:br/>
        <w:t>\ldots,</w:t>
      </w:r>
      <w:r>
        <w:br/>
        <w:t>S_m</w:t>
      </w:r>
      <w:r>
        <w:br/>
        <w:t>\right).</w:t>
      </w:r>
      <w:r>
        <w:br/>
        <w:t>\tag{3.7570}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\mathcal{K}_{S}^{(m)}=\left(S_1,S_2,\ldots,S_m\right)\qquad\text{(3.7570)}</w:t>
      </w:r>
    </w:p>
    <w:p w:rsidR="00937413" w:rsidRDefault="00937413" w:rsidP="00937413">
      <w:pPr>
        <w:pStyle w:val="StandardWeb"/>
      </w:pPr>
      <w:r>
        <w:t>Die Anzahl (m) ist nicht ontologisch festgelegt, sondern hängt vom wissenschaftlichen Aussageanspruch und dem Stand der Methodik ab.</w:t>
      </w:r>
    </w:p>
    <w:p w:rsidR="00937413" w:rsidRDefault="00E50336" w:rsidP="00937413">
      <w:r>
        <w:pict>
          <v:rect id="_x0000_i1700" style="width:0;height:1.5pt" o:hralign="center" o:hrstd="t" o:hr="t" fillcolor="#a0a0a0" stroked="f"/>
        </w:pict>
      </w:r>
    </w:p>
    <w:p w:rsidR="00937413" w:rsidRDefault="00937413" w:rsidP="00937413">
      <w:pPr>
        <w:pStyle w:val="berschrift2"/>
      </w:pPr>
      <w:r>
        <w:t>3.3.41.143 Mindeststabilitätsdimensionen des FRZK</w:t>
      </w:r>
    </w:p>
    <w:p w:rsidR="00937413" w:rsidRDefault="00937413" w:rsidP="00937413">
      <w:pPr>
        <w:pStyle w:val="StandardWeb"/>
      </w:pPr>
      <w:r>
        <w:t>Für die bisherige FRZK-Prüfarchitektur lege ich als Kernmenge fest</w:t>
      </w:r>
    </w:p>
    <w:p w:rsidR="00937413" w:rsidRDefault="00937413" w:rsidP="00937413">
      <w:pPr>
        <w:pStyle w:val="berschrift1"/>
      </w:pPr>
      <w:r>
        <w:t>[</w:t>
      </w:r>
      <w:r>
        <w:br/>
        <w:t>I_{S,\mathrm{core}}</w:t>
      </w:r>
    </w:p>
    <w:p w:rsidR="00937413" w:rsidRDefault="00937413" w:rsidP="00937413">
      <w:pPr>
        <w:pStyle w:val="StandardWeb"/>
      </w:pPr>
      <w:r>
        <w:t>\left{</w:t>
      </w:r>
      <w:r>
        <w:br/>
        <w:t>L,</w:t>
      </w:r>
      <w:r>
        <w:br/>
        <w:t>G,</w:t>
      </w:r>
      <w:r>
        <w:br/>
        <w:t>P,</w:t>
      </w:r>
      <w:r>
        <w:br/>
        <w:t>R,</w:t>
      </w:r>
      <w:r>
        <w:br/>
        <w:t>O,</w:t>
      </w:r>
      <w:r>
        <w:br/>
        <w:t>M,</w:t>
      </w:r>
      <w:r>
        <w:br/>
        <w:t>N,</w:t>
      </w:r>
      <w:r>
        <w:br/>
        <w:t>T,</w:t>
      </w:r>
      <w:r>
        <w:br/>
        <w:t>C</w:t>
      </w:r>
      <w:r>
        <w:br/>
        <w:t>\right}.</w:t>
      </w:r>
      <w:r>
        <w:br/>
        <w:t>\tag{3.7571}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I_{S,\mathrm{core}}=\left\{L,G,P,R,O,M,N,T,C\right\}\qquad\text{(3.7571)}</w:t>
      </w:r>
    </w:p>
    <w:p w:rsidR="00937413" w:rsidRDefault="00937413" w:rsidP="00937413">
      <w:pPr>
        <w:pStyle w:val="StandardWeb"/>
      </w:pPr>
      <w:r>
        <w:lastRenderedPageBreak/>
        <w:t>Dies bedeutet nicht, dass jede einzelne Aussage sämtliche Dimensionen zwingend benötigt. Es bedeutet lediglich, dass diese Dimensionen innerhalb der allgemeinen FRZK-Methodik als eigenständige Stabilitätsarten geführt werden.</w:t>
      </w:r>
    </w:p>
    <w:p w:rsidR="00937413" w:rsidRDefault="00E50336" w:rsidP="00937413">
      <w:r>
        <w:pict>
          <v:rect id="_x0000_i1701" style="width:0;height:1.5pt" o:hralign="center" o:hrstd="t" o:hr="t" fillcolor="#a0a0a0" stroked="f"/>
        </w:pict>
      </w:r>
    </w:p>
    <w:p w:rsidR="00937413" w:rsidRDefault="00937413" w:rsidP="00937413">
      <w:pPr>
        <w:pStyle w:val="berschrift2"/>
      </w:pPr>
      <w:r>
        <w:t>3.3.41.144 Aussagespezifische Auswahl</w:t>
      </w:r>
    </w:p>
    <w:p w:rsidR="00937413" w:rsidRDefault="00937413" w:rsidP="00937413">
      <w:pPr>
        <w:pStyle w:val="StandardWeb"/>
      </w:pPr>
      <w:r>
        <w:t>Für eine konkrete Aussage (A_F) gilt</w:t>
      </w:r>
    </w:p>
    <w:p w:rsidR="00937413" w:rsidRDefault="00937413" w:rsidP="00937413">
      <w:pPr>
        <w:pStyle w:val="StandardWeb"/>
      </w:pPr>
      <w:r>
        <w:t>[</w:t>
      </w:r>
      <w:r>
        <w:br/>
        <w:t>I_S(A_F)</w:t>
      </w:r>
      <w:r>
        <w:br/>
        <w:t>\subseteq</w:t>
      </w:r>
      <w:r>
        <w:br/>
        <w:t>I_{S,\mathrm{core}}.</w:t>
      </w:r>
      <w:r>
        <w:br/>
        <w:t>\tag{3.7572}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I_S(A_F)\subseteq I_{S,\mathrm{core}}\qquad\text{(3.7572)}</w:t>
      </w:r>
    </w:p>
    <w:p w:rsidR="00937413" w:rsidRDefault="00937413" w:rsidP="00937413">
      <w:pPr>
        <w:pStyle w:val="StandardWeb"/>
      </w:pPr>
      <w:r>
        <w:t>Damit wird nur geprüft, was für den tatsächlichen Aussageanspruch relevant ist.</w:t>
      </w:r>
    </w:p>
    <w:p w:rsidR="00937413" w:rsidRDefault="00E50336" w:rsidP="00937413">
      <w:r>
        <w:pict>
          <v:rect id="_x0000_i1702" style="width:0;height:1.5pt" o:hralign="center" o:hrstd="t" o:hr="t" fillcolor="#a0a0a0" stroked="f"/>
        </w:pict>
      </w:r>
    </w:p>
    <w:p w:rsidR="00937413" w:rsidRDefault="00937413" w:rsidP="00937413">
      <w:pPr>
        <w:pStyle w:val="berschrift2"/>
      </w:pPr>
      <w:r>
        <w:t>3.3.41.145 Überprüfungspflicht</w:t>
      </w:r>
    </w:p>
    <w:p w:rsidR="00937413" w:rsidRDefault="00937413" w:rsidP="00937413">
      <w:pPr>
        <w:pStyle w:val="StandardWeb"/>
      </w:pPr>
      <w:r>
        <w:t>Eine starke Aussage erfordert</w:t>
      </w:r>
    </w:p>
    <w:p w:rsidR="00937413" w:rsidRDefault="00937413" w:rsidP="00937413">
      <w:pPr>
        <w:pStyle w:val="StandardWeb"/>
      </w:pPr>
      <w:r>
        <w:t>[</w:t>
      </w:r>
      <w:r>
        <w:br/>
        <w:t>I_S^{\mathrm{required}}</w:t>
      </w:r>
      <w:r>
        <w:br/>
        <w:t>\left(</w:t>
      </w:r>
      <w:r>
        <w:br/>
        <w:t>A_F</w:t>
      </w:r>
      <w:r>
        <w:br/>
        <w:t>\right)</w:t>
      </w:r>
      <w:r>
        <w:br/>
        <w:t>\subseteq</w:t>
      </w:r>
      <w:r>
        <w:br/>
        <w:t>I_S^{\mathrm{tested}}</w:t>
      </w:r>
      <w:r>
        <w:br/>
        <w:t>\left(</w:t>
      </w:r>
      <w:r>
        <w:br/>
        <w:t>A_F</w:t>
      </w:r>
      <w:r>
        <w:br/>
        <w:t>\right).</w:t>
      </w:r>
      <w:r>
        <w:br/>
        <w:t>\tag{3.7573}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I_S^{\mathrm{required}}\left(A_F\right)\subseteq I_S^{\mathrm{tested}}\left(A_F\right)\qquad\text{(3.7573)}</w:t>
      </w:r>
    </w:p>
    <w:p w:rsidR="00937413" w:rsidRDefault="00937413" w:rsidP="00937413">
      <w:pPr>
        <w:pStyle w:val="StandardWeb"/>
      </w:pPr>
      <w:r>
        <w:t>Ist diese Bedingung verletzt, ist der Prüfstatus unvollständig.</w:t>
      </w:r>
    </w:p>
    <w:p w:rsidR="00937413" w:rsidRDefault="00E50336" w:rsidP="00937413">
      <w:r>
        <w:pict>
          <v:rect id="_x0000_i1703" style="width:0;height:1.5pt" o:hralign="center" o:hrstd="t" o:hr="t" fillcolor="#a0a0a0" stroked="f"/>
        </w:pict>
      </w:r>
    </w:p>
    <w:p w:rsidR="00937413" w:rsidRDefault="00937413" w:rsidP="00937413">
      <w:pPr>
        <w:pStyle w:val="berschrift2"/>
      </w:pPr>
      <w:r>
        <w:lastRenderedPageBreak/>
        <w:t>3.3.41.146 Prüfdefizit</w:t>
      </w:r>
    </w:p>
    <w:p w:rsidR="00937413" w:rsidRDefault="00937413" w:rsidP="00937413">
      <w:pPr>
        <w:pStyle w:val="StandardWeb"/>
      </w:pPr>
      <w:r>
        <w:t>Ich definiere</w:t>
      </w:r>
    </w:p>
    <w:p w:rsidR="00937413" w:rsidRDefault="00937413" w:rsidP="00937413">
      <w:pPr>
        <w:pStyle w:val="berschrift1"/>
      </w:pPr>
      <w:r>
        <w:t>[</w:t>
      </w:r>
      <w:r>
        <w:br/>
        <w:t>D_S</w:t>
      </w:r>
    </w:p>
    <w:p w:rsidR="00937413" w:rsidRDefault="00937413" w:rsidP="00937413">
      <w:pPr>
        <w:pStyle w:val="StandardWeb"/>
      </w:pPr>
      <w:r>
        <w:t>I_S^{\mathrm{required}}</w:t>
      </w:r>
      <w:r>
        <w:br/>
        <w:t>\setminus</w:t>
      </w:r>
      <w:r>
        <w:br/>
        <w:t>I_S^{\mathrm{tested}}.</w:t>
      </w:r>
      <w:r>
        <w:br/>
        <w:t>\tag{3.7574}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D_S=I_S^{\mathrm{required}}\setminus I_S^{\mathrm{tested}}\qquad\text{(3.7574)}</w:t>
      </w:r>
    </w:p>
    <w:p w:rsidR="00937413" w:rsidRDefault="00937413" w:rsidP="00937413">
      <w:pPr>
        <w:pStyle w:val="StandardWeb"/>
      </w:pPr>
      <w:r>
        <w:t>Für</w:t>
      </w:r>
    </w:p>
    <w:p w:rsidR="00937413" w:rsidRDefault="00937413" w:rsidP="00937413">
      <w:pPr>
        <w:pStyle w:val="berschrift1"/>
      </w:pPr>
      <w:r>
        <w:t>[</w:t>
      </w:r>
      <w:r>
        <w:br/>
        <w:t>D_S</w:t>
      </w:r>
    </w:p>
    <w:p w:rsidR="00937413" w:rsidRDefault="00937413" w:rsidP="00937413">
      <w:pPr>
        <w:pStyle w:val="StandardWeb"/>
      </w:pPr>
      <w:r>
        <w:t>\varnothing</w:t>
      </w:r>
      <w:r>
        <w:br/>
        <w:t>\tag{3.7575}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D_S=\varnothing\qquad\text{(3.7575)}</w:t>
      </w:r>
    </w:p>
    <w:p w:rsidR="00937413" w:rsidRDefault="00937413" w:rsidP="00937413">
      <w:pPr>
        <w:pStyle w:val="StandardWeb"/>
      </w:pPr>
      <w:r>
        <w:t>liegt kein bekanntes Prüfdefizit hinsichtlich der vorgesehenen Stabilitätsdimensionen vor.</w:t>
      </w:r>
    </w:p>
    <w:p w:rsidR="00937413" w:rsidRDefault="00E50336" w:rsidP="00937413">
      <w:r>
        <w:pict>
          <v:rect id="_x0000_i1704" style="width:0;height:1.5pt" o:hralign="center" o:hrstd="t" o:hr="t" fillcolor="#a0a0a0" stroked="f"/>
        </w:pict>
      </w:r>
    </w:p>
    <w:p w:rsidR="00937413" w:rsidRDefault="00937413" w:rsidP="00937413">
      <w:pPr>
        <w:pStyle w:val="berschrift2"/>
      </w:pPr>
      <w:r>
        <w:t>3.3.41.147 Offenes Prüfdefizit</w:t>
      </w:r>
    </w:p>
    <w:p w:rsidR="00937413" w:rsidRDefault="00937413" w:rsidP="00937413">
      <w:pPr>
        <w:pStyle w:val="StandardWeb"/>
      </w:pPr>
      <w:r>
        <w:t>Für</w:t>
      </w:r>
    </w:p>
    <w:p w:rsidR="00937413" w:rsidRDefault="00937413" w:rsidP="00937413">
      <w:pPr>
        <w:pStyle w:val="StandardWeb"/>
      </w:pPr>
      <w:r>
        <w:t>[</w:t>
      </w:r>
      <w:r>
        <w:br/>
        <w:t>D_S</w:t>
      </w:r>
      <w:r>
        <w:br/>
        <w:t>\neq</w:t>
      </w:r>
      <w:r>
        <w:br/>
        <w:t>\varnothing</w:t>
      </w:r>
      <w:r>
        <w:br/>
        <w:t>\tag{3.7576}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lastRenderedPageBreak/>
        <w:t>D_S\neq\varnothing\qquad\text{(3.7576)}</w:t>
      </w:r>
    </w:p>
    <w:p w:rsidR="00937413" w:rsidRDefault="00937413" w:rsidP="00937413">
      <w:pPr>
        <w:pStyle w:val="StandardWeb"/>
      </w:pPr>
      <w:r>
        <w:t>muss der wissenschaftliche Aussagegrad entsprechend begrenzt werden.</w:t>
      </w:r>
    </w:p>
    <w:p w:rsidR="00937413" w:rsidRDefault="00E50336" w:rsidP="00937413">
      <w:r>
        <w:pict>
          <v:rect id="_x0000_i1705" style="width:0;height:1.5pt" o:hralign="center" o:hrstd="t" o:hr="t" fillcolor="#a0a0a0" stroked="f"/>
        </w:pict>
      </w:r>
    </w:p>
    <w:p w:rsidR="00937413" w:rsidRDefault="00937413" w:rsidP="00937413">
      <w:pPr>
        <w:pStyle w:val="berschrift2"/>
      </w:pPr>
      <w:r>
        <w:t>3.3.41.148 Stabilitätsklasse ist kein Primäraxiom</w:t>
      </w:r>
    </w:p>
    <w:p w:rsidR="00937413" w:rsidRDefault="00937413" w:rsidP="00937413">
      <w:pPr>
        <w:pStyle w:val="StandardWeb"/>
      </w:pPr>
      <w:r>
        <w:t>Die gesamte Stabilitätsklassifikation gehört nicht zur Primäraxiomatik des FRZK.</w:t>
      </w:r>
    </w:p>
    <w:p w:rsidR="00937413" w:rsidRDefault="00937413" w:rsidP="00937413">
      <w:pPr>
        <w:pStyle w:val="StandardWeb"/>
      </w:pPr>
      <w:r>
        <w:t>Ich formuliere</w:t>
      </w:r>
    </w:p>
    <w:p w:rsidR="00937413" w:rsidRDefault="00937413" w:rsidP="00937413">
      <w:pPr>
        <w:pStyle w:val="StandardWeb"/>
      </w:pPr>
      <w:r>
        <w:t>[</w:t>
      </w:r>
      <w:r>
        <w:br/>
        <w:t>\mathfrak{S}</w:t>
      </w:r>
      <w:r>
        <w:rPr>
          <w:rStyle w:val="Hervorhebung"/>
        </w:rPr>
        <w:t>{F}</w:t>
      </w:r>
      <w:r>
        <w:rPr>
          <w:i/>
          <w:iCs/>
        </w:rPr>
        <w:br/>
      </w:r>
      <w:r>
        <w:rPr>
          <w:rStyle w:val="Hervorhebung"/>
        </w:rPr>
        <w:t>\notin</w:t>
      </w:r>
      <w:r>
        <w:rPr>
          <w:i/>
          <w:iCs/>
        </w:rPr>
        <w:br/>
      </w:r>
      <w:r>
        <w:rPr>
          <w:rStyle w:val="Hervorhebung"/>
        </w:rPr>
        <w:t>\mathfrak{A}</w:t>
      </w:r>
      <w:r>
        <w:t>{\mathrm{prim}}.</w:t>
      </w:r>
      <w:r>
        <w:br/>
        <w:t>\tag{3.7577}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\mathfrak{S}_{F}\notin\mathfrak{A}_{\mathrm{prim}}\qquad\text{(3.7577)}</w:t>
      </w:r>
    </w:p>
    <w:p w:rsidR="00937413" w:rsidRDefault="00937413" w:rsidP="00937413">
      <w:pPr>
        <w:pStyle w:val="StandardWeb"/>
      </w:pPr>
      <w:r>
        <w:t>Sie gehört zur methodischen Prüfarchitektur:</w:t>
      </w:r>
    </w:p>
    <w:p w:rsidR="00937413" w:rsidRDefault="00937413" w:rsidP="00937413">
      <w:pPr>
        <w:pStyle w:val="StandardWeb"/>
      </w:pPr>
      <w:r>
        <w:t>[</w:t>
      </w:r>
      <w:r>
        <w:br/>
        <w:t>\mathfrak{S}</w:t>
      </w:r>
      <w:r>
        <w:rPr>
          <w:rStyle w:val="Hervorhebung"/>
        </w:rPr>
        <w:t>{F}</w:t>
      </w:r>
      <w:r>
        <w:rPr>
          <w:i/>
          <w:iCs/>
        </w:rPr>
        <w:br/>
      </w:r>
      <w:r>
        <w:rPr>
          <w:rStyle w:val="Hervorhebung"/>
        </w:rPr>
        <w:t>\in</w:t>
      </w:r>
      <w:r>
        <w:rPr>
          <w:i/>
          <w:iCs/>
        </w:rPr>
        <w:br/>
      </w:r>
      <w:r>
        <w:rPr>
          <w:rStyle w:val="Hervorhebung"/>
        </w:rPr>
        <w:t>\mathfrak{M}</w:t>
      </w:r>
      <w:r>
        <w:t>{\mathrm{prüf}}.</w:t>
      </w:r>
      <w:r>
        <w:br/>
        <w:t>\tag{3.7578}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\mathfrak{S}_{F}\in\mathfrak{M}_{\mathrm{prüf}}\qquad\text{(3.7578)}</w:t>
      </w:r>
    </w:p>
    <w:p w:rsidR="00937413" w:rsidRDefault="00937413" w:rsidP="00937413">
      <w:pPr>
        <w:pStyle w:val="StandardWeb"/>
      </w:pPr>
      <w:r>
        <w:t>Damit bleibt die Trennung zwischen theoretischer Grundstruktur und wissenschaftlicher Qualitätssicherung erhalten.</w:t>
      </w:r>
    </w:p>
    <w:p w:rsidR="00937413" w:rsidRDefault="00E50336" w:rsidP="00937413">
      <w:r>
        <w:pict>
          <v:rect id="_x0000_i1706" style="width:0;height:1.5pt" o:hralign="center" o:hrstd="t" o:hr="t" fillcolor="#a0a0a0" stroked="f"/>
        </w:pict>
      </w:r>
    </w:p>
    <w:p w:rsidR="00937413" w:rsidRDefault="00937413" w:rsidP="00937413">
      <w:pPr>
        <w:pStyle w:val="berschrift2"/>
      </w:pPr>
      <w:r>
        <w:t>3.3.41.149 Zwischenstand</w:t>
      </w:r>
    </w:p>
    <w:p w:rsidR="00937413" w:rsidRDefault="00937413" w:rsidP="00937413">
      <w:pPr>
        <w:pStyle w:val="StandardWeb"/>
      </w:pPr>
      <w:r>
        <w:t>Mit der erweiterten funktionalen Stabilitätsklasse kann ich nun eine wissenschaftliche Aussage nicht mehr nur anhand eines einzelnen Robustheitsbegriffs bewerten.</w:t>
      </w:r>
    </w:p>
    <w:p w:rsidR="00937413" w:rsidRDefault="00937413" w:rsidP="00937413">
      <w:pPr>
        <w:pStyle w:val="StandardWeb"/>
      </w:pPr>
      <w:r>
        <w:t>Die vollständige bisherige Struktur lautet</w:t>
      </w:r>
    </w:p>
    <w:p w:rsidR="00937413" w:rsidRDefault="00937413" w:rsidP="00937413">
      <w:pPr>
        <w:pStyle w:val="berschrift1"/>
      </w:pPr>
      <w:r>
        <w:t>[</w:t>
      </w:r>
      <w:r>
        <w:br/>
        <w:t>\mathfrak{S}_{F}</w:t>
      </w:r>
      <w:r>
        <w:br/>
      </w:r>
      <w:r>
        <w:lastRenderedPageBreak/>
        <w:t>\left(</w:t>
      </w:r>
      <w:r>
        <w:br/>
        <w:t>A_F</w:t>
      </w:r>
      <w:r>
        <w:br/>
        <w:t>\right)</w:t>
      </w:r>
    </w:p>
    <w:p w:rsidR="00937413" w:rsidRDefault="00937413" w:rsidP="00937413">
      <w:pPr>
        <w:pStyle w:val="StandardWeb"/>
      </w:pPr>
      <w:r>
        <w:t>\left(</w:t>
      </w:r>
      <w:r>
        <w:br/>
        <w:t>\mathcal{K}</w:t>
      </w:r>
      <w:r>
        <w:rPr>
          <w:rStyle w:val="Hervorhebung"/>
        </w:rPr>
        <w:t>{S}^{+},</w:t>
      </w:r>
      <w:r>
        <w:rPr>
          <w:i/>
          <w:iCs/>
        </w:rPr>
        <w:br/>
      </w:r>
      <w:r>
        <w:rPr>
          <w:rStyle w:val="Hervorhebung"/>
        </w:rPr>
        <w:t>\mathbf{R}</w:t>
      </w:r>
      <w:r>
        <w:t>{S},</w:t>
      </w:r>
      <w:r>
        <w:br/>
        <w:t>\boldsymbol{\tau}</w:t>
      </w:r>
      <w:r>
        <w:rPr>
          <w:rStyle w:val="Hervorhebung"/>
        </w:rPr>
        <w:t>{S},</w:t>
      </w:r>
      <w:r>
        <w:rPr>
          <w:i/>
          <w:iCs/>
        </w:rPr>
        <w:br/>
      </w:r>
      <w:r>
        <w:rPr>
          <w:rStyle w:val="Hervorhebung"/>
        </w:rPr>
        <w:t>\mathbf{U}</w:t>
      </w:r>
      <w:r>
        <w:t>{S},</w:t>
      </w:r>
      <w:r>
        <w:br/>
        <w:t>\Omega_A,</w:t>
      </w:r>
      <w:r>
        <w:br/>
        <w:t>G_A,</w:t>
      </w:r>
      <w:r>
        <w:br/>
        <w:t>C_{\mathrm{complete}}</w:t>
      </w:r>
      <w:r>
        <w:br/>
        <w:t>\right).</w:t>
      </w:r>
      <w:r>
        <w:br/>
        <w:t>\tag{3.7579}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\mathfrak{S}_{F}\left(A_F\right)=\left(\mathcal{K}_{S}^{+},\mathbf{R}_{S},\boldsymbol{\tau}_{S},\mathbf{U}_{S},\Omega_A,G_A,C_{\mathrm{complete}}\right)\qquad\text{(3.7579)}</w:t>
      </w:r>
    </w:p>
    <w:p w:rsidR="00937413" w:rsidRDefault="00937413" w:rsidP="00937413">
      <w:pPr>
        <w:pStyle w:val="StandardWeb"/>
      </w:pPr>
      <w:r>
        <w:t>Damit sind</w:t>
      </w:r>
    </w:p>
    <w:p w:rsidR="00937413" w:rsidRDefault="00937413" w:rsidP="008C5E65">
      <w:pPr>
        <w:pStyle w:val="StandardWeb"/>
        <w:numPr>
          <w:ilvl w:val="0"/>
          <w:numId w:val="364"/>
        </w:numPr>
      </w:pPr>
      <w:r>
        <w:t>Stabilitätsart,</w:t>
      </w:r>
    </w:p>
    <w:p w:rsidR="00937413" w:rsidRDefault="00937413" w:rsidP="008C5E65">
      <w:pPr>
        <w:pStyle w:val="StandardWeb"/>
        <w:numPr>
          <w:ilvl w:val="0"/>
          <w:numId w:val="364"/>
        </w:numPr>
      </w:pPr>
      <w:r>
        <w:t>Stabilitätsgrad,</w:t>
      </w:r>
    </w:p>
    <w:p w:rsidR="00937413" w:rsidRDefault="00937413" w:rsidP="008C5E65">
      <w:pPr>
        <w:pStyle w:val="StandardWeb"/>
        <w:numPr>
          <w:ilvl w:val="0"/>
          <w:numId w:val="364"/>
        </w:numPr>
      </w:pPr>
      <w:r>
        <w:t>Mindestschwellen,</w:t>
      </w:r>
    </w:p>
    <w:p w:rsidR="00937413" w:rsidRDefault="00937413" w:rsidP="008C5E65">
      <w:pPr>
        <w:pStyle w:val="StandardWeb"/>
        <w:numPr>
          <w:ilvl w:val="0"/>
          <w:numId w:val="364"/>
        </w:numPr>
      </w:pPr>
      <w:r>
        <w:t>Unsicherheit,</w:t>
      </w:r>
    </w:p>
    <w:p w:rsidR="00937413" w:rsidRDefault="00937413" w:rsidP="008C5E65">
      <w:pPr>
        <w:pStyle w:val="StandardWeb"/>
        <w:numPr>
          <w:ilvl w:val="0"/>
          <w:numId w:val="364"/>
        </w:numPr>
      </w:pPr>
      <w:r>
        <w:t>Gültigkeitsregion,</w:t>
      </w:r>
    </w:p>
    <w:p w:rsidR="00937413" w:rsidRDefault="00937413" w:rsidP="008C5E65">
      <w:pPr>
        <w:pStyle w:val="StandardWeb"/>
        <w:numPr>
          <w:ilvl w:val="0"/>
          <w:numId w:val="364"/>
        </w:numPr>
      </w:pPr>
      <w:r>
        <w:t>Aussagegrad</w:t>
      </w:r>
    </w:p>
    <w:p w:rsidR="00937413" w:rsidRDefault="00937413" w:rsidP="008C5E65">
      <w:pPr>
        <w:pStyle w:val="StandardWeb"/>
        <w:numPr>
          <w:ilvl w:val="0"/>
          <w:numId w:val="364"/>
        </w:numPr>
      </w:pPr>
      <w:r>
        <w:t>und Prüfvollständigkeit</w:t>
      </w:r>
    </w:p>
    <w:p w:rsidR="00937413" w:rsidRDefault="00937413" w:rsidP="00937413">
      <w:pPr>
        <w:pStyle w:val="StandardWeb"/>
      </w:pPr>
      <w:r>
        <w:t>in einer gemeinsamen methodischen Struktur verbunden.</w:t>
      </w:r>
    </w:p>
    <w:p w:rsidR="00937413" w:rsidRDefault="00937413" w:rsidP="00937413">
      <w:pPr>
        <w:pStyle w:val="StandardWeb"/>
      </w:pPr>
      <w:r>
        <w:t>Der Abschnitt ist damit formal weitgehend aufgebaut. Für den vollständigen Abschluss muss ich nun noch die wissenschaftliche Bedeutung dieser Stabilitätsklassifikation methodologisch einordnen, ihre didaktische Vermittlung entwickeln und die zentrale Aussage des Abschnitts formulieren.</w:t>
      </w:r>
    </w:p>
    <w:p w:rsidR="00937413" w:rsidRDefault="00E50336" w:rsidP="00937413">
      <w:r>
        <w:pict>
          <v:rect id="_x0000_i1707" style="width:0;height:1.5pt" o:hralign="center" o:hrstd="t" o:hr="t" fillcolor="#a0a0a0" stroked="f"/>
        </w:pict>
      </w:r>
    </w:p>
    <w:p w:rsidR="00937413" w:rsidRDefault="00937413" w:rsidP="00937413">
      <w:pPr>
        <w:pStyle w:val="berschrift1"/>
      </w:pPr>
      <w:r>
        <w:t>3.3.41.150 Methodologische Betrachtungen</w:t>
      </w:r>
    </w:p>
    <w:p w:rsidR="00937413" w:rsidRDefault="00937413" w:rsidP="00937413">
      <w:pPr>
        <w:pStyle w:val="StandardWeb"/>
      </w:pPr>
      <w:r>
        <w:t xml:space="preserve">Mit der Einführung funktionaler Stabilitätsklassen löse ich ein Problem, das sich aus den vorhergehenden Abschnitten zunehmend deutlich ergeben hat: Der Begriff „robust“ ist für die wissenschaftliche Bewertung zu unspezifisch. Eine Aussage kann gegenüber Parameteränderungen robust, aber modellabhängig sein. Sie kann reproduzierbar, aber operationalisierungsfragil sein. Sie kann numerisch stabil, aber zeitlich instabil sein. Sie kann </w:t>
      </w:r>
      <w:r>
        <w:lastRenderedPageBreak/>
        <w:t>über mehrere Kontexte stabil erscheinen und dennoch nicht auf einen neuen Kontext transportierbar sein.</w:t>
      </w:r>
    </w:p>
    <w:p w:rsidR="00937413" w:rsidRDefault="00937413" w:rsidP="00937413">
      <w:pPr>
        <w:pStyle w:val="StandardWeb"/>
      </w:pPr>
      <w:r>
        <w:t xml:space="preserve">Die erste methodologische Konsequenz lautet deshalb: </w:t>
      </w:r>
      <w:r>
        <w:rPr>
          <w:rStyle w:val="Fett"/>
        </w:rPr>
        <w:t>Stabilität ist keine eindimensionale wissenschaftliche Eigenschaft.</w:t>
      </w:r>
    </w:p>
    <w:p w:rsidR="00937413" w:rsidRDefault="00937413" w:rsidP="00937413">
      <w:pPr>
        <w:pStyle w:val="StandardWeb"/>
      </w:pPr>
      <w:r>
        <w:t>Eine allgemeine Aussage</w:t>
      </w:r>
    </w:p>
    <w:p w:rsidR="00937413" w:rsidRDefault="00937413" w:rsidP="00937413">
      <w:pPr>
        <w:pStyle w:val="StandardWeb"/>
      </w:pPr>
      <w:r>
        <w:t>[</w:t>
      </w:r>
      <w:r>
        <w:br/>
        <w:t>A_F</w:t>
      </w:r>
      <w:r>
        <w:br/>
        <w:t>\text{ ist stabil}</w:t>
      </w:r>
      <w:r>
        <w:br/>
        <w:t>]</w:t>
      </w:r>
    </w:p>
    <w:p w:rsidR="00937413" w:rsidRDefault="00937413" w:rsidP="00937413">
      <w:pPr>
        <w:pStyle w:val="StandardWeb"/>
      </w:pPr>
      <w:r>
        <w:t>ist ohne Angabe der Stabilitätsdimension unvollständig.</w:t>
      </w:r>
    </w:p>
    <w:p w:rsidR="00937413" w:rsidRDefault="00937413" w:rsidP="00937413">
      <w:pPr>
        <w:pStyle w:val="StandardWeb"/>
      </w:pPr>
      <w:r>
        <w:t xml:space="preserve">Ich muss vielmehr angeben, </w:t>
      </w:r>
      <w:r>
        <w:rPr>
          <w:rStyle w:val="Fett"/>
        </w:rPr>
        <w:t>gegen welche Veränderung</w:t>
      </w:r>
      <w:r>
        <w:t xml:space="preserve"> die Aussage stabil ist.</w:t>
      </w:r>
    </w:p>
    <w:p w:rsidR="00937413" w:rsidRDefault="00937413" w:rsidP="00937413">
      <w:pPr>
        <w:pStyle w:val="StandardWeb"/>
      </w:pPr>
      <w:r>
        <w:t>Eine präzisere Form lautet beispielsweise:</w:t>
      </w:r>
    </w:p>
    <w:p w:rsidR="00937413" w:rsidRDefault="00937413" w:rsidP="00937413">
      <w:pPr>
        <w:pStyle w:val="StandardWeb"/>
      </w:pPr>
      <w:r>
        <w:t>„Die Aussage ist lokal parameterstabil, reproduzierbar und numerisch stabil, ihre Modellstabilität ist jedoch bislang nicht geprüft.“</w:t>
      </w:r>
    </w:p>
    <w:p w:rsidR="00937413" w:rsidRDefault="00937413" w:rsidP="00937413">
      <w:pPr>
        <w:pStyle w:val="StandardWeb"/>
      </w:pPr>
      <w:r>
        <w:t>Diese Form enthält wesentlich mehr wissenschaftliche Information als das Wort „robust“.</w:t>
      </w:r>
    </w:p>
    <w:p w:rsidR="00937413" w:rsidRDefault="00937413" w:rsidP="00937413">
      <w:pPr>
        <w:pStyle w:val="StandardWeb"/>
      </w:pPr>
      <w:r>
        <w:t>Die zweite Konsequenz betrifft die Unterscheidung zwischen binärer Klassifikation und gradueller Stabilität. Eine binäre Entscheidung ist für Prüfregeln praktisch. Sie sagt, ob eine vorab definierte Mindestanforderung erfüllt ist. Sie verschleiert jedoch, wie weit eine Aussage oberhalb oder unterhalb dieser Grenze liegt.</w:t>
      </w:r>
    </w:p>
    <w:p w:rsidR="00937413" w:rsidRDefault="00937413" w:rsidP="00937413">
      <w:pPr>
        <w:pStyle w:val="StandardWeb"/>
      </w:pPr>
      <w:r>
        <w:t>Deshalb führe ich parallel</w:t>
      </w:r>
    </w:p>
    <w:p w:rsidR="00937413" w:rsidRDefault="00937413" w:rsidP="00937413">
      <w:pPr>
        <w:pStyle w:val="StandardWeb"/>
      </w:pPr>
      <w:r>
        <w:t>[</w:t>
      </w:r>
      <w:r>
        <w:br/>
        <w:t>\mathcal{K}_S</w:t>
      </w:r>
      <w:r>
        <w:br/>
        <w:t>]</w:t>
      </w:r>
    </w:p>
    <w:p w:rsidR="00937413" w:rsidRDefault="00937413" w:rsidP="00937413">
      <w:pPr>
        <w:pStyle w:val="StandardWeb"/>
      </w:pPr>
      <w:r>
        <w:t>und</w:t>
      </w:r>
    </w:p>
    <w:p w:rsidR="00937413" w:rsidRDefault="00937413" w:rsidP="00937413">
      <w:pPr>
        <w:pStyle w:val="StandardWeb"/>
      </w:pPr>
      <w:r>
        <w:t>[</w:t>
      </w:r>
      <w:r>
        <w:br/>
        <w:t>\mathbf{R}_S</w:t>
      </w:r>
      <w:r>
        <w:br/>
        <w:t>]</w:t>
      </w:r>
    </w:p>
    <w:p w:rsidR="00937413" w:rsidRDefault="00937413" w:rsidP="00937413">
      <w:pPr>
        <w:pStyle w:val="StandardWeb"/>
      </w:pPr>
      <w:r>
        <w:t>ein.</w:t>
      </w:r>
    </w:p>
    <w:p w:rsidR="00937413" w:rsidRDefault="00937413" w:rsidP="00937413">
      <w:pPr>
        <w:pStyle w:val="StandardWeb"/>
      </w:pPr>
      <w:r>
        <w:t>Die erste Struktur beschreibt den Prüfstatus, die zweite den quantitativen Stabilitätsgrad.</w:t>
      </w:r>
    </w:p>
    <w:p w:rsidR="00937413" w:rsidRDefault="00937413" w:rsidP="00937413">
      <w:pPr>
        <w:pStyle w:val="StandardWeb"/>
      </w:pPr>
      <w:r>
        <w:t>Die dritte Konsequenz betrifft Unsicherheit. Selbst ein geschätzter Robustheitsgrad besitzt Unsicherheit. Liegt ein Robustheitswert nur geringfügig oberhalb eines Schwellenwertes und ist seine Unsicherheit groß, darf ich ihn nicht ohne Einschränkung als stabil klassifizieren.</w:t>
      </w:r>
    </w:p>
    <w:p w:rsidR="00937413" w:rsidRDefault="00937413" w:rsidP="00937413">
      <w:pPr>
        <w:pStyle w:val="StandardWeb"/>
      </w:pPr>
      <w:r>
        <w:t>Deshalb verwende ich eine dreistufige Logik:</w:t>
      </w:r>
    </w:p>
    <w:p w:rsidR="00937413" w:rsidRDefault="00937413" w:rsidP="00937413">
      <w:pPr>
        <w:pStyle w:val="StandardWeb"/>
      </w:pPr>
      <w:r>
        <w:lastRenderedPageBreak/>
        <w:t>[</w:t>
      </w:r>
      <w:r>
        <w:br/>
        <w:t>0,</w:t>
      </w:r>
      <w:r>
        <w:br/>
        <w:t>\mathbf{unklar},</w:t>
      </w:r>
      <w:r>
        <w:br/>
        <w:t>1.</w:t>
      </w:r>
      <w:r>
        <w:br/>
        <w:t>]</w:t>
      </w:r>
    </w:p>
    <w:p w:rsidR="00937413" w:rsidRDefault="00937413" w:rsidP="00937413">
      <w:pPr>
        <w:pStyle w:val="StandardWeb"/>
      </w:pPr>
      <w:r>
        <w:t>Der Zustand „unklar“ ist wissenschaftlich unverzichtbar, weil er verhindert, dass mangelnde Evidenz mit Instabilität oder Stabilität verwechselt wird.</w:t>
      </w:r>
    </w:p>
    <w:p w:rsidR="00937413" w:rsidRDefault="00937413" w:rsidP="00937413">
      <w:pPr>
        <w:pStyle w:val="StandardWeb"/>
      </w:pPr>
      <w:r>
        <w:t>Die vierte Konsequenz lautet daher ausdrücklich:</w:t>
      </w:r>
    </w:p>
    <w:p w:rsidR="00937413" w:rsidRDefault="00937413" w:rsidP="00937413">
      <w:pPr>
        <w:pStyle w:val="StandardWeb"/>
      </w:pPr>
      <w:r>
        <w:rPr>
          <w:rStyle w:val="Fett"/>
        </w:rPr>
        <w:t>Nicht geprüft ist nicht stabil.</w:t>
      </w:r>
    </w:p>
    <w:p w:rsidR="00937413" w:rsidRDefault="00937413" w:rsidP="00937413">
      <w:pPr>
        <w:pStyle w:val="StandardWeb"/>
      </w:pPr>
      <w:r>
        <w:t>Ebenso gilt:</w:t>
      </w:r>
    </w:p>
    <w:p w:rsidR="00937413" w:rsidRDefault="00937413" w:rsidP="00937413">
      <w:pPr>
        <w:pStyle w:val="StandardWeb"/>
      </w:pPr>
      <w:r>
        <w:rPr>
          <w:rStyle w:val="Fett"/>
        </w:rPr>
        <w:t>Nicht entschieden ist nicht instabil.</w:t>
      </w:r>
    </w:p>
    <w:p w:rsidR="00937413" w:rsidRDefault="00937413" w:rsidP="00937413">
      <w:pPr>
        <w:pStyle w:val="StandardWeb"/>
      </w:pPr>
      <w:r>
        <w:t>Diese beiden Regeln erscheinen trivial, sind aber für wissenschaftliche Klassifikationen fundamental.</w:t>
      </w:r>
    </w:p>
    <w:p w:rsidR="00937413" w:rsidRDefault="00937413" w:rsidP="00937413">
      <w:pPr>
        <w:pStyle w:val="StandardWeb"/>
      </w:pPr>
      <w:r>
        <w:t>Die fünfte Konsequenz betrifft die Unabhängigkeit der Stabilitätsdimensionen. Zwischen einigen Dimensionen existieren logische Implikationen. Globale Stabilität impliziert beispielsweise lokale Stabilität innerhalb desselben zulässigen Bereichs.</w:t>
      </w:r>
    </w:p>
    <w:p w:rsidR="00937413" w:rsidRDefault="00937413" w:rsidP="00937413">
      <w:pPr>
        <w:pStyle w:val="StandardWeb"/>
      </w:pPr>
      <w:r>
        <w:t>Satz 3.3.25 formalisiert genau diesen Zusammenhang.</w:t>
      </w:r>
    </w:p>
    <w:p w:rsidR="00937413" w:rsidRDefault="00937413" w:rsidP="00937413">
      <w:pPr>
        <w:pStyle w:val="StandardWeb"/>
      </w:pPr>
      <w:r>
        <w:t>Zwischen vielen anderen Stabilitätsformen existiert dagegen keine allgemeine Implikation.</w:t>
      </w:r>
    </w:p>
    <w:p w:rsidR="00937413" w:rsidRDefault="00937413" w:rsidP="00937413">
      <w:pPr>
        <w:pStyle w:val="StandardWeb"/>
      </w:pPr>
      <w:r>
        <w:t>Reproduzierbarkeit garantiert keine Operationalisierungsstabilität.</w:t>
      </w:r>
    </w:p>
    <w:p w:rsidR="00937413" w:rsidRDefault="00937413" w:rsidP="00937413">
      <w:pPr>
        <w:pStyle w:val="StandardWeb"/>
      </w:pPr>
      <w:r>
        <w:t>Operationalisierungsstabilität garantiert keine Modellstabilität.</w:t>
      </w:r>
    </w:p>
    <w:p w:rsidR="00937413" w:rsidRDefault="00937413" w:rsidP="00937413">
      <w:pPr>
        <w:pStyle w:val="StandardWeb"/>
      </w:pPr>
      <w:r>
        <w:t>Modellstabilität garantiert keine numerische Stabilität.</w:t>
      </w:r>
    </w:p>
    <w:p w:rsidR="00937413" w:rsidRDefault="00937413" w:rsidP="00937413">
      <w:pPr>
        <w:pStyle w:val="StandardWeb"/>
      </w:pPr>
      <w:r>
        <w:t>Damit kann die Stabilitätsklasse nicht auf eine eindimensionale lineare Hierarchie reduziert werden.</w:t>
      </w:r>
    </w:p>
    <w:p w:rsidR="00937413" w:rsidRDefault="00937413" w:rsidP="00937413">
      <w:pPr>
        <w:pStyle w:val="StandardWeb"/>
      </w:pPr>
      <w:r>
        <w:t>Die sechste Konsequenz betrifft partielle Ordnungen. Zwei Aussagen können unterschiedliche Stabilitätsprofile besitzen, ohne dass eine eindeutig „besser“ ist.</w:t>
      </w:r>
    </w:p>
    <w:p w:rsidR="00937413" w:rsidRDefault="00937413" w:rsidP="00937413">
      <w:pPr>
        <w:pStyle w:val="StandardWeb"/>
      </w:pPr>
      <w:r>
        <w:t>Eine Aussage kann parameterstabiler, aber modellfragiler sein.</w:t>
      </w:r>
    </w:p>
    <w:p w:rsidR="00937413" w:rsidRDefault="00937413" w:rsidP="00937413">
      <w:pPr>
        <w:pStyle w:val="StandardWeb"/>
      </w:pPr>
      <w:r>
        <w:t>Eine andere kann modellstabiler, aber zeitlich instabiler sein.</w:t>
      </w:r>
    </w:p>
    <w:p w:rsidR="00937413" w:rsidRDefault="00937413" w:rsidP="00937413">
      <w:pPr>
        <w:pStyle w:val="StandardWeb"/>
      </w:pPr>
      <w:r>
        <w:t>In solchen Fällen ist eine Pareto-artige Betrachtung methodisch angemessener als eine künstliche Gesamtrangfolge.</w:t>
      </w:r>
    </w:p>
    <w:p w:rsidR="00937413" w:rsidRDefault="00937413" w:rsidP="00937413">
      <w:pPr>
        <w:pStyle w:val="StandardWeb"/>
      </w:pPr>
      <w:r>
        <w:t>Die siebte Konsequenz betrifft Aggregationen. Ein gewichteter Mittelwert über Stabilitätsdimensionen ist mathematisch möglich, aber wissenschaftlich riskant.</w:t>
      </w:r>
    </w:p>
    <w:p w:rsidR="00937413" w:rsidRDefault="00937413" w:rsidP="00937413">
      <w:pPr>
        <w:pStyle w:val="StandardWeb"/>
      </w:pPr>
      <w:r>
        <w:lastRenderedPageBreak/>
        <w:t>Ein sehr hoher numerischer Stabilitätswert darf beispielsweise nicht automatisch eine vollständig fehlende Operationalisierungsstabilität kompensieren.</w:t>
      </w:r>
    </w:p>
    <w:p w:rsidR="00937413" w:rsidRDefault="00937413" w:rsidP="00937413">
      <w:pPr>
        <w:pStyle w:val="StandardWeb"/>
      </w:pPr>
      <w:r>
        <w:t>Deshalb unterscheide ich nichtkompensierbare Mindestbedingungen von optional aggregierbaren Dimensionen.</w:t>
      </w:r>
    </w:p>
    <w:p w:rsidR="00937413" w:rsidRDefault="00937413" w:rsidP="00937413">
      <w:pPr>
        <w:pStyle w:val="StandardWeb"/>
      </w:pPr>
      <w:r>
        <w:t>Die achte Konsequenz betrifft die Stabilitätsursache. Zwei Systeme können denselben stabilen Makrozustand zeigen, aber aus völlig unterschiedlichen Gründen.</w:t>
      </w:r>
    </w:p>
    <w:p w:rsidR="00937413" w:rsidRDefault="00937413" w:rsidP="00937413">
      <w:pPr>
        <w:pStyle w:val="StandardWeb"/>
      </w:pPr>
      <w:r>
        <w:t>Stabilität kann aus</w:t>
      </w:r>
    </w:p>
    <w:p w:rsidR="00937413" w:rsidRDefault="00937413" w:rsidP="008C5E65">
      <w:pPr>
        <w:pStyle w:val="StandardWeb"/>
        <w:numPr>
          <w:ilvl w:val="0"/>
          <w:numId w:val="365"/>
        </w:numPr>
      </w:pPr>
      <w:r>
        <w:t>Redundanz,</w:t>
      </w:r>
    </w:p>
    <w:p w:rsidR="00937413" w:rsidRDefault="00937413" w:rsidP="008C5E65">
      <w:pPr>
        <w:pStyle w:val="StandardWeb"/>
        <w:numPr>
          <w:ilvl w:val="0"/>
          <w:numId w:val="365"/>
        </w:numPr>
      </w:pPr>
      <w:r>
        <w:t>Kompensation,</w:t>
      </w:r>
    </w:p>
    <w:p w:rsidR="00937413" w:rsidRDefault="00937413" w:rsidP="008C5E65">
      <w:pPr>
        <w:pStyle w:val="StandardWeb"/>
        <w:numPr>
          <w:ilvl w:val="0"/>
          <w:numId w:val="365"/>
        </w:numPr>
      </w:pPr>
      <w:r>
        <w:t>aktiver Regulation</w:t>
      </w:r>
    </w:p>
    <w:p w:rsidR="00937413" w:rsidRDefault="00937413" w:rsidP="00937413">
      <w:pPr>
        <w:pStyle w:val="StandardWeb"/>
      </w:pPr>
      <w:r>
        <w:t>entstehen.</w:t>
      </w:r>
    </w:p>
    <w:p w:rsidR="00937413" w:rsidRDefault="00937413" w:rsidP="00937413">
      <w:pPr>
        <w:pStyle w:val="StandardWeb"/>
      </w:pPr>
      <w:r>
        <w:t>Diese Unterscheidung ist für das FRZK besonders wichtig, weil ein funktional stabiler Zustand nicht notwendigerweise einen statischen Zustand bedeutet.</w:t>
      </w:r>
    </w:p>
    <w:p w:rsidR="00937413" w:rsidRDefault="00937413" w:rsidP="00937413">
      <w:pPr>
        <w:pStyle w:val="StandardWeb"/>
      </w:pPr>
      <w:r>
        <w:t>Die neunte Konsequenz lautet deshalb:</w:t>
      </w:r>
    </w:p>
    <w:p w:rsidR="00937413" w:rsidRDefault="00937413" w:rsidP="00937413">
      <w:pPr>
        <w:pStyle w:val="StandardWeb"/>
      </w:pPr>
      <w:r>
        <w:rPr>
          <w:rStyle w:val="Fett"/>
        </w:rPr>
        <w:t>Stabilität ist nicht Unveränderlichkeit.</w:t>
      </w:r>
    </w:p>
    <w:p w:rsidR="00937413" w:rsidRDefault="00937413" w:rsidP="00937413">
      <w:pPr>
        <w:pStyle w:val="StandardWeb"/>
      </w:pPr>
      <w:r>
        <w:t>Ein System kann intern hochdynamisch sein und dennoch eine stabile Makrofunktion zeigen.</w:t>
      </w:r>
    </w:p>
    <w:p w:rsidR="00937413" w:rsidRDefault="00937413" w:rsidP="00937413">
      <w:pPr>
        <w:pStyle w:val="StandardWeb"/>
      </w:pPr>
      <w:r>
        <w:t>Das ist besonders wichtig für funktionale Systeme, in denen Stabilität gerade durch fortlaufende Anpassung entstehen kann.</w:t>
      </w:r>
    </w:p>
    <w:p w:rsidR="00937413" w:rsidRDefault="00937413" w:rsidP="00937413">
      <w:pPr>
        <w:pStyle w:val="StandardWeb"/>
      </w:pPr>
      <w:r>
        <w:t>Die zehnte Konsequenz betrifft die Kosten der Stabilität. Eine Funktion kann äußerlich stabil bleiben, während der dafür erforderliche regulatorische Aufwand kontinuierlich wächst.</w:t>
      </w:r>
    </w:p>
    <w:p w:rsidR="00937413" w:rsidRDefault="00937413" w:rsidP="00937413">
      <w:pPr>
        <w:pStyle w:val="StandardWeb"/>
      </w:pPr>
      <w:r>
        <w:t>Dann kann eine verdeckte Instabilität entstehen.</w:t>
      </w:r>
    </w:p>
    <w:p w:rsidR="00937413" w:rsidRDefault="00937413" w:rsidP="00937413">
      <w:pPr>
        <w:pStyle w:val="StandardWeb"/>
      </w:pPr>
      <w:r>
        <w:t>Ein System wirkt nach außen stabil, verbraucht jedoch zunehmend regulatorische Ressourcen.</w:t>
      </w:r>
    </w:p>
    <w:p w:rsidR="00937413" w:rsidRDefault="00937413" w:rsidP="00937413">
      <w:pPr>
        <w:pStyle w:val="StandardWeb"/>
      </w:pPr>
      <w:r>
        <w:t>Diese Struktur ist wissenschaftlich besonders interessant, weil eine reine Beobachtung der Ausgangsgröße die zunehmende Belastung nicht erkennen würde.</w:t>
      </w:r>
    </w:p>
    <w:p w:rsidR="00937413" w:rsidRDefault="00937413" w:rsidP="00937413">
      <w:pPr>
        <w:pStyle w:val="StandardWeb"/>
      </w:pPr>
      <w:r>
        <w:t>Die elfte Konsequenz betrifft die Stabilitätsreserve. Zwei Aussagen können formal dieselbe Stabilitätsklasse besitzen, aber unterschiedlich weit von ihrer Gültigkeitsgrenze entfernt sein.</w:t>
      </w:r>
    </w:p>
    <w:p w:rsidR="00937413" w:rsidRDefault="00937413" w:rsidP="00937413">
      <w:pPr>
        <w:pStyle w:val="StandardWeb"/>
      </w:pPr>
      <w:r>
        <w:t>Deshalb ergänze ich den Stabilitätsstatus um eine Margin</w:t>
      </w:r>
    </w:p>
    <w:p w:rsidR="00937413" w:rsidRDefault="00937413" w:rsidP="00937413">
      <w:pPr>
        <w:pStyle w:val="StandardWeb"/>
      </w:pPr>
      <w:r>
        <w:t>[</w:t>
      </w:r>
      <w:r>
        <w:br/>
        <w:t>M_S.</w:t>
      </w:r>
      <w:r>
        <w:br/>
        <w:t>]</w:t>
      </w:r>
    </w:p>
    <w:p w:rsidR="00937413" w:rsidRDefault="00937413" w:rsidP="00937413">
      <w:pPr>
        <w:pStyle w:val="StandardWeb"/>
      </w:pPr>
      <w:r>
        <w:t>Ein Punkt tief innerhalb einer Stabilitätsregion ist wissenschaftlich anders zu bewerten als ein Punkt unmittelbar an ihrer Grenze.</w:t>
      </w:r>
    </w:p>
    <w:p w:rsidR="00937413" w:rsidRDefault="00937413" w:rsidP="00937413">
      <w:pPr>
        <w:pStyle w:val="StandardWeb"/>
      </w:pPr>
      <w:r>
        <w:lastRenderedPageBreak/>
        <w:t>Die zwölfte Konsequenz betrifft Unsicherheit und Stabilität als getrennte Größen.</w:t>
      </w:r>
    </w:p>
    <w:p w:rsidR="00937413" w:rsidRDefault="00937413" w:rsidP="00937413">
      <w:pPr>
        <w:pStyle w:val="StandardWeb"/>
      </w:pPr>
      <w:r>
        <w:t>Eine Aussage kann präzise und fragil sein.</w:t>
      </w:r>
    </w:p>
    <w:p w:rsidR="00937413" w:rsidRDefault="00937413" w:rsidP="00937413">
      <w:pPr>
        <w:pStyle w:val="StandardWeb"/>
      </w:pPr>
      <w:r>
        <w:t>Eine andere kann quantitativ unsicher, aber qualitativ robust sein.</w:t>
      </w:r>
    </w:p>
    <w:p w:rsidR="00937413" w:rsidRDefault="00937413" w:rsidP="00937413">
      <w:pPr>
        <w:pStyle w:val="StandardWeb"/>
      </w:pPr>
      <w:r>
        <w:t>Diese Fälle dürfen nicht verwechselt werden.</w:t>
      </w:r>
    </w:p>
    <w:p w:rsidR="00937413" w:rsidRDefault="00937413" w:rsidP="00937413">
      <w:pPr>
        <w:pStyle w:val="StandardWeb"/>
      </w:pPr>
      <w:r>
        <w:t>Die dreizehnte Konsequenz betrifft Validität. Stabilität sagt nichts darüber aus, ob die Aussage inhaltlich richtig oder das gemessene Konstrukt valide ist.</w:t>
      </w:r>
    </w:p>
    <w:p w:rsidR="00937413" w:rsidRDefault="00937413" w:rsidP="00937413">
      <w:pPr>
        <w:pStyle w:val="StandardWeb"/>
      </w:pPr>
      <w:r>
        <w:t>Ein systematisch verzerrtes Verfahren kann sehr stabil sein.</w:t>
      </w:r>
    </w:p>
    <w:p w:rsidR="00937413" w:rsidRDefault="00937413" w:rsidP="00937413">
      <w:pPr>
        <w:pStyle w:val="StandardWeb"/>
      </w:pPr>
      <w:r>
        <w:t>Deshalb gilt:</w:t>
      </w:r>
    </w:p>
    <w:p w:rsidR="00937413" w:rsidRDefault="00937413" w:rsidP="00937413">
      <w:pPr>
        <w:pStyle w:val="StandardWeb"/>
      </w:pPr>
      <w:r>
        <w:t>[</w:t>
      </w:r>
      <w:r>
        <w:br/>
        <w:t>\text{Stabilität}</w:t>
      </w:r>
      <w:r>
        <w:br/>
        <w:t>\nRightarrow</w:t>
      </w:r>
      <w:r>
        <w:br/>
        <w:t>\text{Validität}.</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\text{Stabilität}\nRightarrow\text{Validität}</w:t>
      </w:r>
    </w:p>
    <w:p w:rsidR="00937413" w:rsidRDefault="00937413" w:rsidP="00937413">
      <w:pPr>
        <w:pStyle w:val="StandardWeb"/>
      </w:pPr>
      <w:r>
        <w:t>Und auch die Umkehrung gilt nicht allgemein.</w:t>
      </w:r>
    </w:p>
    <w:p w:rsidR="00937413" w:rsidRDefault="00937413" w:rsidP="00937413">
      <w:pPr>
        <w:pStyle w:val="StandardWeb"/>
      </w:pPr>
      <w:r>
        <w:t>Die vierzehnte Konsequenz betrifft Wahrheit. Eine stabile Aussage ist nicht automatisch wahr.</w:t>
      </w:r>
    </w:p>
    <w:p w:rsidR="00937413" w:rsidRDefault="00937413" w:rsidP="00937413">
      <w:pPr>
        <w:pStyle w:val="StandardWeb"/>
      </w:pPr>
      <w:r>
        <w:t>Stabilität ist eine Eigenschaft der Belastbarkeit gegenüber Veränderungen bestimmter Bedingungen, keine ontologische Wahrheitsgarantie.</w:t>
      </w:r>
    </w:p>
    <w:p w:rsidR="00937413" w:rsidRDefault="00937413" w:rsidP="00937413">
      <w:pPr>
        <w:pStyle w:val="StandardWeb"/>
      </w:pPr>
      <w:r>
        <w:t>Die fünfzehnte Konsequenz betrifft empirische Bewährung. Stabilität kann jedoch gemeinsam mit Validität, Unsicherheitskontrolle, Reproduzierbarkeit und geeigneter Datenlage die empirische Bewährung einer Aussage erheblich stärken.</w:t>
      </w:r>
    </w:p>
    <w:p w:rsidR="00937413" w:rsidRDefault="00937413" w:rsidP="00937413">
      <w:pPr>
        <w:pStyle w:val="StandardWeb"/>
      </w:pPr>
      <w:r>
        <w:t>Die sechzehnte Konsequenz betrifft verschiedene wissenschaftliche Zielgrößen. Eine Erklärung kann eine andere Stabilitätsstruktur besitzen als eine Prognose. Ein Kausaleffekt kann hinsichtlich seines Vorzeichens stabil sein, obwohl sein Betrag variiert. Eine Ereignisreihenfolge kann stabil bleiben, während die genauen Ereigniszeitpunkte schwanken.</w:t>
      </w:r>
    </w:p>
    <w:p w:rsidR="00937413" w:rsidRDefault="00937413" w:rsidP="00937413">
      <w:pPr>
        <w:pStyle w:val="StandardWeb"/>
      </w:pPr>
      <w:r>
        <w:t>Deshalb muss Stabilität stets relativ zu derjenigen Aussageeigenschaft definiert werden, die wissenschaftlich tatsächlich relevant ist.</w:t>
      </w:r>
    </w:p>
    <w:p w:rsidR="00937413" w:rsidRDefault="00937413" w:rsidP="00937413">
      <w:pPr>
        <w:pStyle w:val="StandardWeb"/>
      </w:pPr>
      <w:r>
        <w:t>Die siebzehnte Konsequenz betrifft Mikro- und Makrostabilität. Gerade bei komplexen Systemen kann eine stabile Makrostruktur aus stark variierenden Mikroprozessen entstehen.</w:t>
      </w:r>
    </w:p>
    <w:p w:rsidR="00937413" w:rsidRDefault="00937413" w:rsidP="00937413">
      <w:pPr>
        <w:pStyle w:val="StandardWeb"/>
      </w:pPr>
      <w:r>
        <w:t>Das FRZK darf deshalb nicht verlangen, dass jede Mikrokomponente stabil sein muss, damit ein Makromuster als stabil bezeichnet werden kann.</w:t>
      </w:r>
    </w:p>
    <w:p w:rsidR="00937413" w:rsidRDefault="00937413" w:rsidP="00937413">
      <w:pPr>
        <w:pStyle w:val="StandardWeb"/>
      </w:pPr>
      <w:r>
        <w:lastRenderedPageBreak/>
        <w:t>Stattdessen muss die Ebene der Stabilitätsaussage explizit angegeben werden.</w:t>
      </w:r>
    </w:p>
    <w:p w:rsidR="00937413" w:rsidRDefault="00937413" w:rsidP="00937413">
      <w:pPr>
        <w:pStyle w:val="StandardWeb"/>
      </w:pPr>
      <w:r>
        <w:t>Die achtzehnte Konsequenz betrifft Emergenz. Ein emergentes Muster kann stabil sein, obwohl die konkrete mikroskopische Realisation wechselt.</w:t>
      </w:r>
    </w:p>
    <w:p w:rsidR="00937413" w:rsidRDefault="00937413" w:rsidP="00937413">
      <w:pPr>
        <w:pStyle w:val="StandardWeb"/>
      </w:pPr>
      <w:r>
        <w:t>Dies ist kein Widerspruch, sondern eine mögliche Form funktionaler Invarianz.</w:t>
      </w:r>
    </w:p>
    <w:p w:rsidR="00937413" w:rsidRDefault="00937413" w:rsidP="00937413">
      <w:pPr>
        <w:pStyle w:val="StandardWeb"/>
      </w:pPr>
      <w:r>
        <w:t>Die neunzehnte Konsequenz betrifft Stabilitätsrevisionen. Stabilitätsklassifikationen sind nicht endgültig.</w:t>
      </w:r>
    </w:p>
    <w:p w:rsidR="00937413" w:rsidRDefault="00937413" w:rsidP="00937413">
      <w:pPr>
        <w:pStyle w:val="StandardWeb"/>
      </w:pPr>
      <w:r>
        <w:t>Neue Daten, neue Modelle, neue Operationalisierungen oder neue Prüfdimensionen können die Stabilitätssignatur verändern.</w:t>
      </w:r>
    </w:p>
    <w:p w:rsidR="00937413" w:rsidRDefault="00937413" w:rsidP="00937413">
      <w:pPr>
        <w:pStyle w:val="StandardWeb"/>
      </w:pPr>
      <w:r>
        <w:t>Deshalb muss Stabilität versioniert und historisch nachvollziehbar dokumentiert werden.</w:t>
      </w:r>
    </w:p>
    <w:p w:rsidR="00937413" w:rsidRDefault="00937413" w:rsidP="00937413">
      <w:pPr>
        <w:pStyle w:val="StandardWeb"/>
      </w:pPr>
      <w:r>
        <w:t>Die zwanzigste Konsequenz betrifft neue Prüfklassen. Wenn später eine zusätzliche Stabilitätsdimension eingeführt wird, dürfen ältere Aussagen nicht rückwirkend so behandelt werden, als hätten sie diese Prüfung bereits bestanden.</w:t>
      </w:r>
    </w:p>
    <w:p w:rsidR="00937413" w:rsidRDefault="00937413" w:rsidP="00937413">
      <w:pPr>
        <w:pStyle w:val="StandardWeb"/>
      </w:pPr>
      <w:r>
        <w:t>Das Repository muss daher nicht nur den Wert einer Stabilität, sondern auch den damaligen Umfang der Prüfarchitektur speichern.</w:t>
      </w:r>
    </w:p>
    <w:p w:rsidR="00937413" w:rsidRDefault="00937413" w:rsidP="00937413">
      <w:pPr>
        <w:pStyle w:val="StandardWeb"/>
      </w:pPr>
      <w:r>
        <w:t>Die einundzwanzigste Konsequenz betrifft Prüfvollständigkeit. Eine Aussage kann in sämtlichen bisher geprüften Dimensionen stabil sein und trotzdem wissenschaftlich unvollständig geprüft sein.</w:t>
      </w:r>
    </w:p>
    <w:p w:rsidR="00937413" w:rsidRDefault="00937413" w:rsidP="00937413">
      <w:pPr>
        <w:pStyle w:val="StandardWeb"/>
      </w:pPr>
      <w:r>
        <w:t>Deshalb unterscheide ich</w:t>
      </w:r>
    </w:p>
    <w:p w:rsidR="00937413" w:rsidRDefault="00937413" w:rsidP="00937413">
      <w:pPr>
        <w:pStyle w:val="StandardWeb"/>
      </w:pPr>
      <w:r>
        <w:t>[</w:t>
      </w:r>
      <w:r>
        <w:br/>
        <w:t>R_{\mathrm{stab}}</w:t>
      </w:r>
      <w:r>
        <w:br/>
        <w:t>]</w:t>
      </w:r>
    </w:p>
    <w:p w:rsidR="00937413" w:rsidRDefault="00937413" w:rsidP="00937413">
      <w:pPr>
        <w:pStyle w:val="StandardWeb"/>
      </w:pPr>
      <w:r>
        <w:t>von</w:t>
      </w:r>
    </w:p>
    <w:p w:rsidR="00937413" w:rsidRDefault="00937413" w:rsidP="00937413">
      <w:pPr>
        <w:pStyle w:val="StandardWeb"/>
      </w:pPr>
      <w:r>
        <w:t>[</w:t>
      </w:r>
      <w:r>
        <w:br/>
        <w:t>C_{\mathrm{complete}}.</w:t>
      </w:r>
      <w:r>
        <w:br/>
        <w:t>]</w:t>
      </w:r>
    </w:p>
    <w:p w:rsidR="00937413" w:rsidRDefault="00937413" w:rsidP="00937413">
      <w:pPr>
        <w:pStyle w:val="StandardWeb"/>
      </w:pPr>
      <w:r>
        <w:t>Eine hohe Stabilität bei geringer Prüfvollständigkeit besitzt einen anderen Aussagegrad als eine hohe Stabilität bei vollständiger Prüfung.</w:t>
      </w:r>
    </w:p>
    <w:p w:rsidR="00937413" w:rsidRDefault="00937413" w:rsidP="00937413">
      <w:pPr>
        <w:pStyle w:val="StandardWeb"/>
      </w:pPr>
      <w:r>
        <w:t>Die zweiundzwanzigste Konsequenz betrifft unabhängige Evidenz. Zehn fast identische Analysen sind nicht gleichwertig mit zehn methodisch unabhängigen Prüfpfaden.</w:t>
      </w:r>
    </w:p>
    <w:p w:rsidR="00937413" w:rsidRDefault="00937413" w:rsidP="00937413">
      <w:pPr>
        <w:pStyle w:val="StandardWeb"/>
      </w:pPr>
      <w:r>
        <w:t>Die Anzahl positiver Prüfresultate allein ist deshalb kein ausreichendes Maß für wissenschaftliche Stabilität.</w:t>
      </w:r>
    </w:p>
    <w:p w:rsidR="00937413" w:rsidRDefault="00937413" w:rsidP="00937413">
      <w:pPr>
        <w:pStyle w:val="StandardWeb"/>
      </w:pPr>
      <w:r>
        <w:t>Die dreiundzwanzigste Konsequenz betrifft Replikationsvielfalt. Direkte und konzeptionelle Replikationen prüfen unterschiedliche Stabilitätsebenen.</w:t>
      </w:r>
    </w:p>
    <w:p w:rsidR="00937413" w:rsidRDefault="00937413" w:rsidP="00937413">
      <w:pPr>
        <w:pStyle w:val="StandardWeb"/>
      </w:pPr>
      <w:r>
        <w:lastRenderedPageBreak/>
        <w:t>Eine direkte Replikation untersucht Wiederholbarkeit unter möglichst ähnlichen Bedingungen.</w:t>
      </w:r>
    </w:p>
    <w:p w:rsidR="00937413" w:rsidRDefault="00937413" w:rsidP="00937413">
      <w:pPr>
        <w:pStyle w:val="StandardWeb"/>
      </w:pPr>
      <w:r>
        <w:t>Eine konzeptionelle Replikation untersucht, ob die Aussage unter veränderten wissenschaftlich zulässigen Realisierungen erhalten bleibt.</w:t>
      </w:r>
    </w:p>
    <w:p w:rsidR="00937413" w:rsidRDefault="00937413" w:rsidP="00937413">
      <w:pPr>
        <w:pStyle w:val="StandardWeb"/>
      </w:pPr>
      <w:r>
        <w:t>Die vierundzwanzigste Konsequenz betrifft Kontextstabilität. Eine Aussage kann über mehrere untersuchte Kontexte stabil sein, ohne automatisch auf alle unbekannten Kontexte übertragbar zu sein.</w:t>
      </w:r>
    </w:p>
    <w:p w:rsidR="00937413" w:rsidRDefault="00937413" w:rsidP="00937413">
      <w:pPr>
        <w:pStyle w:val="StandardWeb"/>
      </w:pPr>
      <w:r>
        <w:t>Damit bleibt die Unterscheidung zwischen beobachteter Kontextstabilität und tatsächlicher Transportierbarkeit erhalten.</w:t>
      </w:r>
    </w:p>
    <w:p w:rsidR="00937413" w:rsidRDefault="00937413" w:rsidP="00937413">
      <w:pPr>
        <w:pStyle w:val="StandardWeb"/>
      </w:pPr>
      <w:r>
        <w:t>Die fünfundzwanzigste Konsequenz betrifft Modularität. Ich lege bewusst keine für alle Zeiten abgeschlossene Liste von Stabilitätsdimensionen fest.</w:t>
      </w:r>
    </w:p>
    <w:p w:rsidR="00937413" w:rsidRDefault="00937413" w:rsidP="00937413">
      <w:pPr>
        <w:pStyle w:val="StandardWeb"/>
      </w:pPr>
      <w:r>
        <w:t>Die FRZK-Stabilitätsklasse ist erweiterbar.</w:t>
      </w:r>
    </w:p>
    <w:p w:rsidR="00937413" w:rsidRDefault="00937413" w:rsidP="00937413">
      <w:pPr>
        <w:pStyle w:val="StandardWeb"/>
      </w:pPr>
      <w:r>
        <w:t>Neue wissenschaftlich relevante Stabilitätsformen können hinzugefügt werden, ohne die Grundstruktur aufzugeben.</w:t>
      </w:r>
    </w:p>
    <w:p w:rsidR="00937413" w:rsidRDefault="00937413" w:rsidP="00937413">
      <w:pPr>
        <w:pStyle w:val="StandardWeb"/>
      </w:pPr>
      <w:r>
        <w:t>Die sechsundzwanzigste Konsequenz betrifft den Aussagegrad. Die sprachliche Stärke einer wissenschaftlichen Aussage sollte sich an ihrem tatsächlichen Prüfstatus orientieren.</w:t>
      </w:r>
    </w:p>
    <w:p w:rsidR="00937413" w:rsidRDefault="00937413" w:rsidP="00937413">
      <w:pPr>
        <w:pStyle w:val="StandardWeb"/>
      </w:pPr>
      <w:r>
        <w:t>Ich unterscheide deshalb explorative, lokal gestützte, robust gestützte, mehrdimensional stabile und hoch belastbare Aussagen.</w:t>
      </w:r>
    </w:p>
    <w:p w:rsidR="00937413" w:rsidRDefault="00937413" w:rsidP="00937413">
      <w:pPr>
        <w:pStyle w:val="StandardWeb"/>
      </w:pPr>
      <w:r>
        <w:t>Diese Kategorien ersetzen keine statistische Signifikanz oder fachwissenschaftliche Interpretation. Sie beschreiben ausschließlich die methodische Stabilitätsabsicherung.</w:t>
      </w:r>
    </w:p>
    <w:p w:rsidR="00937413" w:rsidRDefault="00937413" w:rsidP="00937413">
      <w:pPr>
        <w:pStyle w:val="StandardWeb"/>
      </w:pPr>
      <w:r>
        <w:t>Die siebenundzwanzigste Konsequenz betrifft Konflikte. Zwei Aussagen können inhaltlich widersprüchlich und gleichzeitig jeweils hoch stabil sein.</w:t>
      </w:r>
    </w:p>
    <w:p w:rsidR="00937413" w:rsidRDefault="00937413" w:rsidP="00937413">
      <w:pPr>
        <w:pStyle w:val="StandardWeb"/>
      </w:pPr>
      <w:r>
        <w:t>Stabilität löst einen solchen Konflikt nicht automatisch.</w:t>
      </w:r>
    </w:p>
    <w:p w:rsidR="00937413" w:rsidRDefault="00937413" w:rsidP="00937413">
      <w:pPr>
        <w:pStyle w:val="StandardWeb"/>
      </w:pPr>
      <w:r>
        <w:t>Sie liefert jedoch zusätzliche Information darüber, wie belastbar die konkurrierenden Aussagen jeweils sind.</w:t>
      </w:r>
    </w:p>
    <w:p w:rsidR="00937413" w:rsidRDefault="00937413" w:rsidP="00937413">
      <w:pPr>
        <w:pStyle w:val="StandardWeb"/>
      </w:pPr>
      <w:r>
        <w:t>Genau deshalb bildet Abschnitt 3.3.41 die methodische Vorbereitung für die folgende Prüfung der theorieinternen Konsistenz und Widerspruchsfreiheit.</w:t>
      </w:r>
    </w:p>
    <w:p w:rsidR="00937413" w:rsidRDefault="00937413" w:rsidP="00937413">
      <w:pPr>
        <w:pStyle w:val="StandardWeb"/>
      </w:pPr>
      <w:r>
        <w:t>Die achtundzwanzigste Konsequenz betrifft die Eigenleistung des FRZK. Die einzelnen Begriffe lokaler Stabilität, globaler Stabilität, numerischer Stabilität oder Robustheit sind wissenschaftlich etabliert. Meine Eigenleistung besteht in ihrer systematischen Zusammenführung zu einer mehrdimensionalen Stabilitätssignatur wissenschaftlicher Aussagen und in der expliziten Trennung von Stabilität, Unsicherheit, Validität, Prüfvollständigkeit und Aussagegrad.</w:t>
      </w:r>
    </w:p>
    <w:p w:rsidR="00937413" w:rsidRDefault="00937413" w:rsidP="00937413">
      <w:pPr>
        <w:pStyle w:val="StandardWeb"/>
      </w:pPr>
      <w:r>
        <w:t>Die zentrale methodologische Regel lautet deshalb:</w:t>
      </w:r>
    </w:p>
    <w:p w:rsidR="00937413" w:rsidRDefault="00937413" w:rsidP="00937413">
      <w:pPr>
        <w:pStyle w:val="StandardWeb"/>
      </w:pPr>
      <w:r>
        <w:rPr>
          <w:rStyle w:val="Fett"/>
        </w:rPr>
        <w:lastRenderedPageBreak/>
        <w:t>Eine wissenschaftliche Aussage darf im FRZK nur dann als stabil bezeichnet werden, wenn zugleich angegeben wird, gegenüber welcher Klasse von Veränderungen diese Stabilität geprüft wurde.</w:t>
      </w:r>
    </w:p>
    <w:p w:rsidR="00937413" w:rsidRDefault="00E50336" w:rsidP="00937413">
      <w:r>
        <w:pict>
          <v:rect id="_x0000_i1708" style="width:0;height:1.5pt" o:hralign="center" o:hrstd="t" o:hr="t" fillcolor="#a0a0a0" stroked="f"/>
        </w:pict>
      </w:r>
    </w:p>
    <w:p w:rsidR="00937413" w:rsidRDefault="00937413" w:rsidP="00937413">
      <w:pPr>
        <w:pStyle w:val="berschrift1"/>
      </w:pPr>
      <w:r>
        <w:t>3.3.41.151 Didaktische Betrachtungen</w:t>
      </w:r>
    </w:p>
    <w:p w:rsidR="00937413" w:rsidRDefault="00937413" w:rsidP="00937413">
      <w:pPr>
        <w:pStyle w:val="StandardWeb"/>
      </w:pPr>
      <w:r>
        <w:t>Die Idee mehrerer Stabilitätsarten lässt sich sehr anschaulich an technischen Alltagsbeispielen erklären.</w:t>
      </w:r>
    </w:p>
    <w:p w:rsidR="00937413" w:rsidRDefault="00937413" w:rsidP="00937413">
      <w:pPr>
        <w:pStyle w:val="StandardWeb"/>
      </w:pPr>
      <w:r>
        <w:t>Ein erstes Beispiel ist ein Tisch.</w:t>
      </w:r>
    </w:p>
    <w:p w:rsidR="00937413" w:rsidRDefault="00937413" w:rsidP="00937413">
      <w:pPr>
        <w:pStyle w:val="StandardWeb"/>
      </w:pPr>
      <w:r>
        <w:t>Ein Tisch kann auf einem ebenen Boden stabil stehen.</w:t>
      </w:r>
    </w:p>
    <w:p w:rsidR="00937413" w:rsidRDefault="00937413" w:rsidP="00937413">
      <w:pPr>
        <w:pStyle w:val="StandardWeb"/>
      </w:pPr>
      <w:r>
        <w:t>Das bedeutet jedoch nicht, dass er auch auf einem stark unebenen Boden stabil steht.</w:t>
      </w:r>
    </w:p>
    <w:p w:rsidR="00937413" w:rsidRDefault="00937413" w:rsidP="00937413">
      <w:pPr>
        <w:pStyle w:val="StandardWeb"/>
      </w:pPr>
      <w:r>
        <w:t>Die Aussage</w:t>
      </w:r>
    </w:p>
    <w:p w:rsidR="00937413" w:rsidRDefault="00937413" w:rsidP="00937413">
      <w:pPr>
        <w:pStyle w:val="StandardWeb"/>
      </w:pPr>
      <w:r>
        <w:t>„Der Tisch ist stabil“</w:t>
      </w:r>
    </w:p>
    <w:p w:rsidR="00937413" w:rsidRDefault="00937413" w:rsidP="00937413">
      <w:pPr>
        <w:pStyle w:val="StandardWeb"/>
      </w:pPr>
      <w:r>
        <w:t>ist deshalb unvollständig.</w:t>
      </w:r>
    </w:p>
    <w:p w:rsidR="00937413" w:rsidRDefault="00937413" w:rsidP="00937413">
      <w:pPr>
        <w:pStyle w:val="StandardWeb"/>
      </w:pPr>
      <w:r>
        <w:t>Besser wäre:</w:t>
      </w:r>
    </w:p>
    <w:p w:rsidR="00937413" w:rsidRDefault="00937413" w:rsidP="00937413">
      <w:pPr>
        <w:pStyle w:val="StandardWeb"/>
      </w:pPr>
      <w:r>
        <w:t>„Der Tisch ist unter normalen ebenen Aufstellbedingungen stabil.“</w:t>
      </w:r>
    </w:p>
    <w:p w:rsidR="00937413" w:rsidRDefault="00937413" w:rsidP="00937413">
      <w:pPr>
        <w:pStyle w:val="StandardWeb"/>
      </w:pPr>
      <w:r>
        <w:t>Damit wird der Kontext Teil der Stabilitätsaussage.</w:t>
      </w:r>
    </w:p>
    <w:p w:rsidR="00937413" w:rsidRDefault="00937413" w:rsidP="00937413">
      <w:pPr>
        <w:pStyle w:val="StandardWeb"/>
      </w:pPr>
      <w:r>
        <w:t>Ein zweites Beispiel ist ein Auto.</w:t>
      </w:r>
    </w:p>
    <w:p w:rsidR="00937413" w:rsidRDefault="00937413" w:rsidP="00937413">
      <w:pPr>
        <w:pStyle w:val="StandardWeb"/>
      </w:pPr>
      <w:r>
        <w:t>Ein Auto kann bei 50 km/h hervorragend stabil fahren.</w:t>
      </w:r>
    </w:p>
    <w:p w:rsidR="00937413" w:rsidRDefault="00937413" w:rsidP="00937413">
      <w:pPr>
        <w:pStyle w:val="StandardWeb"/>
      </w:pPr>
      <w:r>
        <w:t>Das sagt noch nichts darüber aus, wie es sich bei 150 km/h verhält.</w:t>
      </w:r>
    </w:p>
    <w:p w:rsidR="00937413" w:rsidRDefault="00937413" w:rsidP="00937413">
      <w:pPr>
        <w:pStyle w:val="StandardWeb"/>
      </w:pPr>
      <w:r>
        <w:t>Die Stabilität bei 50 km/h entspricht einer lokalen oder bereichsbezogenen Stabilität.</w:t>
      </w:r>
    </w:p>
    <w:p w:rsidR="00937413" w:rsidRDefault="00937413" w:rsidP="00937413">
      <w:pPr>
        <w:pStyle w:val="StandardWeb"/>
      </w:pPr>
      <w:r>
        <w:t>Die Aussage über den gesamten zulässigen Geschwindigkeitsbereich wäre eine wesentlich stärkere globale Stabilitätsaussage.</w:t>
      </w:r>
    </w:p>
    <w:p w:rsidR="00937413" w:rsidRDefault="00937413" w:rsidP="00937413">
      <w:pPr>
        <w:pStyle w:val="StandardWeb"/>
      </w:pPr>
      <w:r>
        <w:t>Ein drittes Beispiel ist ein Motor.</w:t>
      </w:r>
    </w:p>
    <w:p w:rsidR="00937413" w:rsidRDefault="00937413" w:rsidP="00937413">
      <w:pPr>
        <w:pStyle w:val="StandardWeb"/>
      </w:pPr>
      <w:r>
        <w:t>Ein Motor läuft bei exakt 3000 Umdrehungen pro Minute ruhig.</w:t>
      </w:r>
    </w:p>
    <w:p w:rsidR="00937413" w:rsidRDefault="00937413" w:rsidP="00937413">
      <w:pPr>
        <w:pStyle w:val="StandardWeb"/>
      </w:pPr>
      <w:r>
        <w:t>Wenn er jedoch bei 2900 und 3100 Umdrehungen stark vibriert, wäre sein Verhalten nur punktuell stabil.</w:t>
      </w:r>
    </w:p>
    <w:p w:rsidR="00937413" w:rsidRDefault="00937413" w:rsidP="00937413">
      <w:pPr>
        <w:pStyle w:val="StandardWeb"/>
      </w:pPr>
      <w:r>
        <w:t>Wenn er dagegen zwischen 1000 und 5000 Umdrehungen zuverlässig arbeitet, besitzt er eine wesentlich breitere Stabilitätsregion.</w:t>
      </w:r>
    </w:p>
    <w:p w:rsidR="00937413" w:rsidRDefault="00937413" w:rsidP="00937413">
      <w:pPr>
        <w:pStyle w:val="StandardWeb"/>
      </w:pPr>
      <w:r>
        <w:lastRenderedPageBreak/>
        <w:t>Der Unterschied entspricht unmittelbar dem Unterschied zwischen einem einzelnen erfolgreichen Parametersatz und einer globaleren Stabilitätsregion.</w:t>
      </w:r>
    </w:p>
    <w:p w:rsidR="00937413" w:rsidRDefault="00937413" w:rsidP="00937413">
      <w:pPr>
        <w:pStyle w:val="StandardWeb"/>
      </w:pPr>
      <w:r>
        <w:t>Ein viertes Beispiel ist eine Schraubverbindung.</w:t>
      </w:r>
    </w:p>
    <w:p w:rsidR="00937413" w:rsidRDefault="00937413" w:rsidP="00937413">
      <w:pPr>
        <w:pStyle w:val="StandardWeb"/>
      </w:pPr>
      <w:r>
        <w:t>Eine Schraube kann bei einem bestimmten Drehmoment sicher halten.</w:t>
      </w:r>
    </w:p>
    <w:p w:rsidR="00937413" w:rsidRDefault="00937413" w:rsidP="00937413">
      <w:pPr>
        <w:pStyle w:val="StandardWeb"/>
      </w:pPr>
      <w:r>
        <w:t>Entscheidend ist aber, ob sie auch bei kleinen Fertigungstoleranzen, Temperaturschwankungen und Belastungsänderungen zuverlässig bleibt.</w:t>
      </w:r>
    </w:p>
    <w:p w:rsidR="00937413" w:rsidRDefault="00937413" w:rsidP="00937413">
      <w:pPr>
        <w:pStyle w:val="StandardWeb"/>
      </w:pPr>
      <w:r>
        <w:t>Damit entstehen bereits mehrere Stabilitätsdimensionen:</w:t>
      </w:r>
    </w:p>
    <w:p w:rsidR="00937413" w:rsidRDefault="00937413" w:rsidP="008C5E65">
      <w:pPr>
        <w:pStyle w:val="StandardWeb"/>
        <w:numPr>
          <w:ilvl w:val="0"/>
          <w:numId w:val="366"/>
        </w:numPr>
      </w:pPr>
      <w:r>
        <w:t>Parameterstabilität gegenüber dem Anzugsmoment,</w:t>
      </w:r>
    </w:p>
    <w:p w:rsidR="00937413" w:rsidRDefault="00937413" w:rsidP="008C5E65">
      <w:pPr>
        <w:pStyle w:val="StandardWeb"/>
        <w:numPr>
          <w:ilvl w:val="0"/>
          <w:numId w:val="366"/>
        </w:numPr>
      </w:pPr>
      <w:r>
        <w:t>Kontextstabilität gegenüber Temperatur,</w:t>
      </w:r>
    </w:p>
    <w:p w:rsidR="00937413" w:rsidRDefault="00937413" w:rsidP="008C5E65">
      <w:pPr>
        <w:pStyle w:val="StandardWeb"/>
        <w:numPr>
          <w:ilvl w:val="0"/>
          <w:numId w:val="366"/>
        </w:numPr>
      </w:pPr>
      <w:r>
        <w:t>zeitliche Stabilität gegenüber Materialermüdung,</w:t>
      </w:r>
    </w:p>
    <w:p w:rsidR="00937413" w:rsidRDefault="00937413" w:rsidP="008C5E65">
      <w:pPr>
        <w:pStyle w:val="StandardWeb"/>
        <w:numPr>
          <w:ilvl w:val="0"/>
          <w:numId w:val="366"/>
        </w:numPr>
      </w:pPr>
      <w:r>
        <w:t>Modellstabilität gegenüber unterschiedlichen Berechnungsverfahren.</w:t>
      </w:r>
    </w:p>
    <w:p w:rsidR="00937413" w:rsidRDefault="00937413" w:rsidP="00937413">
      <w:pPr>
        <w:pStyle w:val="StandardWeb"/>
      </w:pPr>
      <w:r>
        <w:t>Ein fünftes Beispiel ist ein Taschenrechner.</w:t>
      </w:r>
    </w:p>
    <w:p w:rsidR="00937413" w:rsidRDefault="00937413" w:rsidP="00937413">
      <w:pPr>
        <w:pStyle w:val="StandardWeb"/>
      </w:pPr>
      <w:r>
        <w:t>Wenn zwei Taschenrechner dieselbe Rechnung mit minimal unterschiedlichen Rundungsfehlern ausführen, sollte die wissenschaftlich relevante Aussage gleich bleiben.</w:t>
      </w:r>
    </w:p>
    <w:p w:rsidR="00937413" w:rsidRDefault="00937413" w:rsidP="00937413">
      <w:pPr>
        <w:pStyle w:val="StandardWeb"/>
      </w:pPr>
      <w:r>
        <w:t>Dies ist numerische Stabilität.</w:t>
      </w:r>
    </w:p>
    <w:p w:rsidR="00937413" w:rsidRDefault="00937413" w:rsidP="00937413">
      <w:pPr>
        <w:pStyle w:val="StandardWeb"/>
      </w:pPr>
      <w:r>
        <w:t>Wenn dagegen ein kleiner Rundungsunterschied das Ergebnis vollständig ändert, ist die Berechnung numerisch fragil.</w:t>
      </w:r>
    </w:p>
    <w:p w:rsidR="00937413" w:rsidRDefault="00937413" w:rsidP="00937413">
      <w:pPr>
        <w:pStyle w:val="StandardWeb"/>
      </w:pPr>
      <w:r>
        <w:t>Ein sechstes Beispiel ist ein Thermometer.</w:t>
      </w:r>
    </w:p>
    <w:p w:rsidR="00937413" w:rsidRDefault="00937413" w:rsidP="00937413">
      <w:pPr>
        <w:pStyle w:val="StandardWeb"/>
      </w:pPr>
      <w:r>
        <w:t>Ein Thermometer kann bei wiederholter Messung immer denselben Wert anzeigen.</w:t>
      </w:r>
    </w:p>
    <w:p w:rsidR="00937413" w:rsidRDefault="00937413" w:rsidP="00937413">
      <w:pPr>
        <w:pStyle w:val="StandardWeb"/>
      </w:pPr>
      <w:r>
        <w:t>Das zeigt Reproduzierbarkeit.</w:t>
      </w:r>
    </w:p>
    <w:p w:rsidR="00937413" w:rsidRDefault="00937413" w:rsidP="00937413">
      <w:pPr>
        <w:pStyle w:val="StandardWeb"/>
      </w:pPr>
      <w:r>
        <w:t>Wenn es jedoch systematisch zwei Grad zu viel anzeigt, ist es reproduzierbar, aber nicht valide.</w:t>
      </w:r>
    </w:p>
    <w:p w:rsidR="00937413" w:rsidRDefault="00937413" w:rsidP="00937413">
      <w:pPr>
        <w:pStyle w:val="StandardWeb"/>
      </w:pPr>
      <w:r>
        <w:t>Damit wird der Unterschied zwischen Stabilität und Validität unmittelbar verständlich.</w:t>
      </w:r>
    </w:p>
    <w:p w:rsidR="00937413" w:rsidRDefault="00937413" w:rsidP="00937413">
      <w:pPr>
        <w:pStyle w:val="StandardWeb"/>
      </w:pPr>
      <w:r>
        <w:t>Ein siebtes Beispiel ist eine falsch kalibrierte Waage.</w:t>
      </w:r>
    </w:p>
    <w:p w:rsidR="00937413" w:rsidRDefault="00937413" w:rsidP="00937413">
      <w:pPr>
        <w:pStyle w:val="StandardWeb"/>
      </w:pPr>
      <w:r>
        <w:t>Sie zeigt bei jedem Wiegen exakt 1 kg zu viel an.</w:t>
      </w:r>
    </w:p>
    <w:p w:rsidR="00937413" w:rsidRDefault="00937413" w:rsidP="00937413">
      <w:pPr>
        <w:pStyle w:val="StandardWeb"/>
      </w:pPr>
      <w:r>
        <w:t>Die Messung ist sehr stabil und sehr reproduzierbar.</w:t>
      </w:r>
    </w:p>
    <w:p w:rsidR="00937413" w:rsidRDefault="00937413" w:rsidP="00937413">
      <w:pPr>
        <w:pStyle w:val="StandardWeb"/>
      </w:pPr>
      <w:r>
        <w:t>Sie ist trotzdem falsch.</w:t>
      </w:r>
    </w:p>
    <w:p w:rsidR="00937413" w:rsidRDefault="00937413" w:rsidP="00937413">
      <w:pPr>
        <w:pStyle w:val="StandardWeb"/>
      </w:pPr>
      <w:r>
        <w:t>Damit wird verständlich, warum</w:t>
      </w:r>
    </w:p>
    <w:p w:rsidR="00937413" w:rsidRDefault="00937413" w:rsidP="00937413">
      <w:pPr>
        <w:pStyle w:val="StandardWeb"/>
      </w:pPr>
      <w:r>
        <w:t>[</w:t>
      </w:r>
      <w:r>
        <w:br/>
        <w:t>\text{stabil}</w:t>
      </w:r>
      <w:r>
        <w:br/>
        <w:t>\neq</w:t>
      </w:r>
      <w:r>
        <w:br/>
      </w:r>
      <w:r>
        <w:lastRenderedPageBreak/>
        <w:t>\text{wahr}</w:t>
      </w:r>
      <w:r>
        <w:br/>
        <w:t>]</w:t>
      </w:r>
    </w:p>
    <w:p w:rsidR="00937413" w:rsidRDefault="00937413" w:rsidP="00937413">
      <w:pPr>
        <w:pStyle w:val="StandardWeb"/>
      </w:pPr>
      <w:r>
        <w:t>gilt.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\text{stabil}\neq\text{wahr}</w:t>
      </w:r>
    </w:p>
    <w:p w:rsidR="00937413" w:rsidRDefault="00937413" w:rsidP="00937413">
      <w:pPr>
        <w:pStyle w:val="StandardWeb"/>
      </w:pPr>
      <w:r>
        <w:t>Ein achtes Beispiel betrifft ein Rezept.</w:t>
      </w:r>
    </w:p>
    <w:p w:rsidR="00937413" w:rsidRDefault="00937413" w:rsidP="00937413">
      <w:pPr>
        <w:pStyle w:val="StandardWeb"/>
      </w:pPr>
      <w:r>
        <w:t>Wenn ein Kuchen nur dann gelingt, wenn exakt 200,0 g Mehl verwendet werden, wäre das Rezept sehr fragil.</w:t>
      </w:r>
    </w:p>
    <w:p w:rsidR="00937413" w:rsidRDefault="00937413" w:rsidP="00937413">
      <w:pPr>
        <w:pStyle w:val="StandardWeb"/>
      </w:pPr>
      <w:r>
        <w:t>Wenn er zwischen 190 g und 210 g zuverlässig gelingt, besitzt das Rezept einen stabilen Parameterbereich.</w:t>
      </w:r>
    </w:p>
    <w:p w:rsidR="00937413" w:rsidRDefault="00937413" w:rsidP="00937413">
      <w:pPr>
        <w:pStyle w:val="StandardWeb"/>
      </w:pPr>
      <w:r>
        <w:t>Wenn unterschiedliche Mehlsorten ebenfalls funktionieren, steigt zusätzlich die Operationalisierungs- oder Kontextstabilität.</w:t>
      </w:r>
    </w:p>
    <w:p w:rsidR="00937413" w:rsidRDefault="00937413" w:rsidP="00937413">
      <w:pPr>
        <w:pStyle w:val="StandardWeb"/>
      </w:pPr>
      <w:r>
        <w:t>Ein neuntes Beispiel ist eine Brücke.</w:t>
      </w:r>
    </w:p>
    <w:p w:rsidR="00937413" w:rsidRDefault="00937413" w:rsidP="00937413">
      <w:pPr>
        <w:pStyle w:val="StandardWeb"/>
      </w:pPr>
      <w:r>
        <w:t>Eine Brücke ist nicht deshalb robust, weil sie genau eine Belastung trägt.</w:t>
      </w:r>
    </w:p>
    <w:p w:rsidR="00937413" w:rsidRDefault="00937413" w:rsidP="00937413">
      <w:pPr>
        <w:pStyle w:val="StandardWeb"/>
      </w:pPr>
      <w:r>
        <w:t>Sie ist robust, wenn sie innerhalb eines begründeten Lastbereichs sicher funktioniert.</w:t>
      </w:r>
    </w:p>
    <w:p w:rsidR="00937413" w:rsidRDefault="00937413" w:rsidP="00937413">
      <w:pPr>
        <w:pStyle w:val="StandardWeb"/>
      </w:pPr>
      <w:r>
        <w:t>Noch stärker wird die Aussage, wenn sie auch unterschiedliche Windlasten, Temperaturen und Materialtoleranzen berücksichtigt.</w:t>
      </w:r>
    </w:p>
    <w:p w:rsidR="00937413" w:rsidRDefault="00937413" w:rsidP="00937413">
      <w:pPr>
        <w:pStyle w:val="StandardWeb"/>
      </w:pPr>
      <w:r>
        <w:t>Dieses Beispiel zeigt unmittelbar, warum eine Stabilitätsklasse mehrdimensional sein muss.</w:t>
      </w:r>
    </w:p>
    <w:p w:rsidR="00937413" w:rsidRDefault="00937413" w:rsidP="00937413">
      <w:pPr>
        <w:pStyle w:val="StandardWeb"/>
      </w:pPr>
      <w:r>
        <w:t>Ein zehntes Beispiel ist eine Federung.</w:t>
      </w:r>
    </w:p>
    <w:p w:rsidR="00937413" w:rsidRDefault="00937413" w:rsidP="00937413">
      <w:pPr>
        <w:pStyle w:val="StandardWeb"/>
      </w:pPr>
      <w:r>
        <w:t>Ein Auto kann auf kleinen Unebenheiten kaum reagieren müssen.</w:t>
      </w:r>
    </w:p>
    <w:p w:rsidR="00937413" w:rsidRDefault="00937413" w:rsidP="00937413">
      <w:pPr>
        <w:pStyle w:val="StandardWeb"/>
      </w:pPr>
      <w:r>
        <w:t>Auf größeren Unebenheiten arbeitet die Federung aktiv und hält die Karosserie dennoch relativ ruhig.</w:t>
      </w:r>
    </w:p>
    <w:p w:rsidR="00937413" w:rsidRDefault="00937413" w:rsidP="00937413">
      <w:pPr>
        <w:pStyle w:val="StandardWeb"/>
      </w:pPr>
      <w:r>
        <w:t>Die Stabilität der Karosserie entsteht hier nicht aus Unveränderlichkeit, sondern aus aktiver Anpassung.</w:t>
      </w:r>
    </w:p>
    <w:p w:rsidR="00937413" w:rsidRDefault="00937413" w:rsidP="00937413">
      <w:pPr>
        <w:pStyle w:val="StandardWeb"/>
      </w:pPr>
      <w:r>
        <w:t>Damit lässt sich der Unterschied zwischen starrer und adaptiver Stabilität erklären.</w:t>
      </w:r>
    </w:p>
    <w:p w:rsidR="00937413" w:rsidRDefault="00937413" w:rsidP="00937413">
      <w:pPr>
        <w:pStyle w:val="StandardWeb"/>
      </w:pPr>
      <w:r>
        <w:t>Ein elftes Beispiel ist ein Mensch auf einem Fahrrad.</w:t>
      </w:r>
    </w:p>
    <w:p w:rsidR="00937413" w:rsidRDefault="00937413" w:rsidP="00937413">
      <w:pPr>
        <w:pStyle w:val="StandardWeb"/>
      </w:pPr>
      <w:r>
        <w:t>Ein Fahrradfahrer fährt nicht deshalb geradeaus, weil er völlig unbeweglich bleibt.</w:t>
      </w:r>
    </w:p>
    <w:p w:rsidR="00937413" w:rsidRDefault="00937413" w:rsidP="00937413">
      <w:pPr>
        <w:pStyle w:val="StandardWeb"/>
      </w:pPr>
      <w:r>
        <w:t>Im Gegenteil:</w:t>
      </w:r>
    </w:p>
    <w:p w:rsidR="00937413" w:rsidRDefault="00937413" w:rsidP="00937413">
      <w:pPr>
        <w:pStyle w:val="StandardWeb"/>
      </w:pPr>
      <w:r>
        <w:t>Er führt ständig kleine Lenk- und Gewichtsbewegungen aus.</w:t>
      </w:r>
    </w:p>
    <w:p w:rsidR="00937413" w:rsidRDefault="00937413" w:rsidP="00937413">
      <w:pPr>
        <w:pStyle w:val="StandardWeb"/>
      </w:pPr>
      <w:r>
        <w:lastRenderedPageBreak/>
        <w:t>Die makroskopische Geradeausfahrt entsteht gerade durch mikroskopische Korrekturen.</w:t>
      </w:r>
    </w:p>
    <w:p w:rsidR="00937413" w:rsidRDefault="00937413" w:rsidP="00937413">
      <w:pPr>
        <w:pStyle w:val="StandardWeb"/>
      </w:pPr>
      <w:r>
        <w:t>Das ist ein besonders gutes Beispiel für</w:t>
      </w:r>
    </w:p>
    <w:p w:rsidR="00937413" w:rsidRDefault="00937413" w:rsidP="00937413">
      <w:pPr>
        <w:pStyle w:val="StandardWeb"/>
      </w:pPr>
      <w:r>
        <w:t>[</w:t>
      </w:r>
      <w:r>
        <w:br/>
        <w:t>\text{Stabilität}</w:t>
      </w:r>
      <w:r>
        <w:br/>
        <w:t>\neq</w:t>
      </w:r>
      <w:r>
        <w:br/>
        <w:t>\text{Stillstand}.</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\text{Stabilität}\neq\text{Stillstand}</w:t>
      </w:r>
    </w:p>
    <w:p w:rsidR="00937413" w:rsidRDefault="00937413" w:rsidP="00937413">
      <w:pPr>
        <w:pStyle w:val="StandardWeb"/>
      </w:pPr>
      <w:r>
        <w:t>Ein zwölftes Beispiel ist ein Heizungsregler.</w:t>
      </w:r>
    </w:p>
    <w:p w:rsidR="00937413" w:rsidRDefault="00937413" w:rsidP="00937413">
      <w:pPr>
        <w:pStyle w:val="StandardWeb"/>
      </w:pPr>
      <w:r>
        <w:t>Wenn die Außentemperatur fällt, erhöht die Regelung die Heizleistung.</w:t>
      </w:r>
    </w:p>
    <w:p w:rsidR="00937413" w:rsidRDefault="00937413" w:rsidP="00937413">
      <w:pPr>
        <w:pStyle w:val="StandardWeb"/>
      </w:pPr>
      <w:r>
        <w:t>Die Raumtemperatur bleibt weitgehend konstant.</w:t>
      </w:r>
    </w:p>
    <w:p w:rsidR="00937413" w:rsidRDefault="00937413" w:rsidP="00937413">
      <w:pPr>
        <w:pStyle w:val="StandardWeb"/>
      </w:pPr>
      <w:r>
        <w:t>Die stabile Makrogröße „Raumtemperatur“ entsteht durch eine Veränderung der internen Stellgröße.</w:t>
      </w:r>
    </w:p>
    <w:p w:rsidR="00937413" w:rsidRDefault="00937413" w:rsidP="00937413">
      <w:pPr>
        <w:pStyle w:val="StandardWeb"/>
      </w:pPr>
      <w:r>
        <w:t>Ein dreizehntes Beispiel ist jedoch besonders wichtig.</w:t>
      </w:r>
    </w:p>
    <w:p w:rsidR="00937413" w:rsidRDefault="00937413" w:rsidP="00937413">
      <w:pPr>
        <w:pStyle w:val="StandardWeb"/>
      </w:pPr>
      <w:r>
        <w:t>Angenommen, die Heizung muss im Laufe der Zeit immer stärker arbeiten, um dieselbe Raumtemperatur zu halten.</w:t>
      </w:r>
    </w:p>
    <w:p w:rsidR="00937413" w:rsidRDefault="00937413" w:rsidP="00937413">
      <w:pPr>
        <w:pStyle w:val="StandardWeb"/>
      </w:pPr>
      <w:r>
        <w:t>Die Raumtemperatur sieht weiterhin stabil aus.</w:t>
      </w:r>
    </w:p>
    <w:p w:rsidR="00937413" w:rsidRDefault="00937413" w:rsidP="00937413">
      <w:pPr>
        <w:pStyle w:val="StandardWeb"/>
      </w:pPr>
      <w:r>
        <w:t>Der Energieverbrauch steigt aber kontinuierlich.</w:t>
      </w:r>
    </w:p>
    <w:p w:rsidR="00937413" w:rsidRDefault="00937413" w:rsidP="00937413">
      <w:pPr>
        <w:pStyle w:val="StandardWeb"/>
      </w:pPr>
      <w:r>
        <w:t>Die äußere Stabilität verdeckt eine zunehmende interne Belastung.</w:t>
      </w:r>
    </w:p>
    <w:p w:rsidR="00937413" w:rsidRDefault="00937413" w:rsidP="00937413">
      <w:pPr>
        <w:pStyle w:val="StandardWeb"/>
      </w:pPr>
      <w:r>
        <w:t>Genau dies beschreibt die Idee der verdeckten Instabilität.</w:t>
      </w:r>
    </w:p>
    <w:p w:rsidR="00937413" w:rsidRDefault="00937413" w:rsidP="00937413">
      <w:pPr>
        <w:pStyle w:val="StandardWeb"/>
      </w:pPr>
      <w:r>
        <w:t>Ein vierzehntes Beispiel ist ein Lagerbestand.</w:t>
      </w:r>
    </w:p>
    <w:p w:rsidR="00937413" w:rsidRDefault="00937413" w:rsidP="00937413">
      <w:pPr>
        <w:pStyle w:val="StandardWeb"/>
      </w:pPr>
      <w:r>
        <w:t>Ein Unternehmen hält einen konstanten Liefergrad aufrecht.</w:t>
      </w:r>
    </w:p>
    <w:p w:rsidR="00937413" w:rsidRDefault="00937413" w:rsidP="00937413">
      <w:pPr>
        <w:pStyle w:val="StandardWeb"/>
      </w:pPr>
      <w:r>
        <w:t>Dazu muss es jedoch immer größere Sicherheitsbestände aufbauen.</w:t>
      </w:r>
    </w:p>
    <w:p w:rsidR="00937413" w:rsidRDefault="00937413" w:rsidP="00937413">
      <w:pPr>
        <w:pStyle w:val="StandardWeb"/>
      </w:pPr>
      <w:r>
        <w:t>Der beobachtete Liefergrad ist stabil, aber die Kosten dieser Stabilität steigen.</w:t>
      </w:r>
    </w:p>
    <w:p w:rsidR="00937413" w:rsidRDefault="00937413" w:rsidP="00937413">
      <w:pPr>
        <w:pStyle w:val="StandardWeb"/>
      </w:pPr>
      <w:r>
        <w:t>Damit wird die Bedeutung der Stabilitätskosten anschaulich.</w:t>
      </w:r>
    </w:p>
    <w:p w:rsidR="00937413" w:rsidRDefault="00937413" w:rsidP="00937413">
      <w:pPr>
        <w:pStyle w:val="StandardWeb"/>
      </w:pPr>
      <w:r>
        <w:t>Ein fünfzehntes Beispiel ist ein Schüler, der eine Aufgabe lösen kann.</w:t>
      </w:r>
    </w:p>
    <w:p w:rsidR="00937413" w:rsidRDefault="00937413" w:rsidP="00937413">
      <w:pPr>
        <w:pStyle w:val="StandardWeb"/>
      </w:pPr>
      <w:r>
        <w:t>Wenn er exakt dieselbe Aufgabe erneut richtig löst, zeigt das Reproduzierbarkeit.</w:t>
      </w:r>
    </w:p>
    <w:p w:rsidR="00937413" w:rsidRDefault="00937413" w:rsidP="00937413">
      <w:pPr>
        <w:pStyle w:val="StandardWeb"/>
      </w:pPr>
      <w:r>
        <w:lastRenderedPageBreak/>
        <w:t>Wenn er dieselbe mathematische Idee auch auf eine anders formulierte Aufgabe übertragen kann, zeigt das eine stärkere Form von Operationalisierungs- oder Konzeptstabilität.</w:t>
      </w:r>
    </w:p>
    <w:p w:rsidR="00937413" w:rsidRDefault="00937413" w:rsidP="00937413">
      <w:pPr>
        <w:pStyle w:val="StandardWeb"/>
      </w:pPr>
      <w:r>
        <w:t>Wenn er die Methode sogar auf einen neuen Anwendungskontext übertragen kann, kommt Kontextstabilität hinzu.</w:t>
      </w:r>
    </w:p>
    <w:p w:rsidR="00937413" w:rsidRDefault="00937413" w:rsidP="00937413">
      <w:pPr>
        <w:pStyle w:val="StandardWeb"/>
      </w:pPr>
      <w:r>
        <w:t>Dieses Beispiel macht deutlich, warum verschiedene Replikationsformen unterschiedliche Evidenz liefern.</w:t>
      </w:r>
    </w:p>
    <w:p w:rsidR="00937413" w:rsidRDefault="00937413" w:rsidP="00937413">
      <w:pPr>
        <w:pStyle w:val="StandardWeb"/>
      </w:pPr>
      <w:r>
        <w:t>Ein sechzehntes Beispiel betrifft Lernen.</w:t>
      </w:r>
    </w:p>
    <w:p w:rsidR="00937413" w:rsidRDefault="00937413" w:rsidP="00937413">
      <w:pPr>
        <w:pStyle w:val="StandardWeb"/>
      </w:pPr>
      <w:r>
        <w:t>Ein Schüler kann eine Formel auswendig reproduzieren.</w:t>
      </w:r>
    </w:p>
    <w:p w:rsidR="00937413" w:rsidRDefault="00937413" w:rsidP="00937413">
      <w:pPr>
        <w:pStyle w:val="StandardWeb"/>
      </w:pPr>
      <w:r>
        <w:t>Das Ergebnis ist reproduzierbar.</w:t>
      </w:r>
    </w:p>
    <w:p w:rsidR="00937413" w:rsidRDefault="00937413" w:rsidP="00937413">
      <w:pPr>
        <w:pStyle w:val="StandardWeb"/>
      </w:pPr>
      <w:r>
        <w:t>Wenn schon eine kleine Veränderung der Aufgabe dazu führt, dass er nicht weiterweiß, ist das Verständnis jedoch fragil.</w:t>
      </w:r>
    </w:p>
    <w:p w:rsidR="00937413" w:rsidRDefault="00937413" w:rsidP="00937413">
      <w:pPr>
        <w:pStyle w:val="StandardWeb"/>
      </w:pPr>
      <w:r>
        <w:t>Damit wird der Unterschied zwischen technischer Wiederholung und funktionaler Stabilität besonders deutlich.</w:t>
      </w:r>
    </w:p>
    <w:p w:rsidR="00937413" w:rsidRDefault="00937413" w:rsidP="00937413">
      <w:pPr>
        <w:pStyle w:val="StandardWeb"/>
      </w:pPr>
      <w:r>
        <w:t>Ein siebzehntes Beispiel ist eine Software.</w:t>
      </w:r>
    </w:p>
    <w:p w:rsidR="00937413" w:rsidRDefault="00937413" w:rsidP="00937413">
      <w:pPr>
        <w:pStyle w:val="StandardWeb"/>
      </w:pPr>
      <w:r>
        <w:t>Ein Programm liefert auf einem Computer korrekt dasselbe Ergebnis.</w:t>
      </w:r>
    </w:p>
    <w:p w:rsidR="00937413" w:rsidRDefault="00937413" w:rsidP="00937413">
      <w:pPr>
        <w:pStyle w:val="StandardWeb"/>
      </w:pPr>
      <w:r>
        <w:t>Das zeigt zunächst technische Reproduzierbarkeit.</w:t>
      </w:r>
    </w:p>
    <w:p w:rsidR="00937413" w:rsidRDefault="00937413" w:rsidP="00937413">
      <w:pPr>
        <w:pStyle w:val="StandardWeb"/>
      </w:pPr>
      <w:r>
        <w:t>Wenn es auch auf einem anderen Betriebssystem funktioniert, steigt die Implementierungsstabilität.</w:t>
      </w:r>
    </w:p>
    <w:p w:rsidR="00937413" w:rsidRDefault="00937413" w:rsidP="00937413">
      <w:pPr>
        <w:pStyle w:val="StandardWeb"/>
      </w:pPr>
      <w:r>
        <w:t>Wenn unterschiedliche Algorithmen dieselbe wissenschaftliche Aussage liefern, steigt zusätzlich die numerische oder methodische Stabilität.</w:t>
      </w:r>
    </w:p>
    <w:p w:rsidR="00937413" w:rsidRDefault="00937413" w:rsidP="00937413">
      <w:pPr>
        <w:pStyle w:val="StandardWeb"/>
      </w:pPr>
      <w:r>
        <w:t>Ein achtzehntes Beispiel ist eine Tabellenkalkulation.</w:t>
      </w:r>
    </w:p>
    <w:p w:rsidR="00937413" w:rsidRDefault="00937413" w:rsidP="00937413">
      <w:pPr>
        <w:pStyle w:val="StandardWeb"/>
      </w:pPr>
      <w:r>
        <w:t>Zwei verschiedene Formeln können unter einem Datensatz denselben Wert liefern.</w:t>
      </w:r>
    </w:p>
    <w:p w:rsidR="00937413" w:rsidRDefault="00937413" w:rsidP="00937413">
      <w:pPr>
        <w:pStyle w:val="StandardWeb"/>
      </w:pPr>
      <w:r>
        <w:t>Das bedeutet noch nicht, dass sie unter anderen Daten ebenfalls gleich reagieren.</w:t>
      </w:r>
    </w:p>
    <w:p w:rsidR="00937413" w:rsidRDefault="00937413" w:rsidP="00937413">
      <w:pPr>
        <w:pStyle w:val="StandardWeb"/>
      </w:pPr>
      <w:r>
        <w:t>Erst eine Variation der Eingaben zeigt, ob die Übereinstimmung strukturell stabil oder nur zufällig ist.</w:t>
      </w:r>
    </w:p>
    <w:p w:rsidR="00937413" w:rsidRDefault="00937413" w:rsidP="00937413">
      <w:pPr>
        <w:pStyle w:val="StandardWeb"/>
      </w:pPr>
      <w:r>
        <w:t>Ein neunzehntes Beispiel betrifft zwei wissenschaftliche Modelle.</w:t>
      </w:r>
    </w:p>
    <w:p w:rsidR="00937413" w:rsidRDefault="00937413" w:rsidP="00937413">
      <w:pPr>
        <w:pStyle w:val="StandardWeb"/>
      </w:pPr>
      <w:r>
        <w:t>Modell A und Modell B liefern unter den aktuellen Daten dieselbe Prognose.</w:t>
      </w:r>
    </w:p>
    <w:p w:rsidR="00937413" w:rsidRDefault="00937413" w:rsidP="00937413">
      <w:pPr>
        <w:pStyle w:val="StandardWeb"/>
      </w:pPr>
      <w:r>
        <w:t>Modell A bleibt jedoch unter Parameteränderungen stabil.</w:t>
      </w:r>
    </w:p>
    <w:p w:rsidR="00937413" w:rsidRDefault="00937413" w:rsidP="00937413">
      <w:pPr>
        <w:pStyle w:val="StandardWeb"/>
      </w:pPr>
      <w:r>
        <w:t>Modell B wechselt schon bei kleinen Änderungen das Ergebnis.</w:t>
      </w:r>
    </w:p>
    <w:p w:rsidR="00937413" w:rsidRDefault="00937413" w:rsidP="00937413">
      <w:pPr>
        <w:pStyle w:val="StandardWeb"/>
      </w:pPr>
      <w:r>
        <w:t>Inhaltlich stimmen beide momentan überein.</w:t>
      </w:r>
    </w:p>
    <w:p w:rsidR="00937413" w:rsidRDefault="00937413" w:rsidP="00937413">
      <w:pPr>
        <w:pStyle w:val="StandardWeb"/>
      </w:pPr>
      <w:r>
        <w:lastRenderedPageBreak/>
        <w:t>Ihre Stabilitätssignaturen unterscheiden sich jedoch.</w:t>
      </w:r>
    </w:p>
    <w:p w:rsidR="00937413" w:rsidRDefault="00937413" w:rsidP="00937413">
      <w:pPr>
        <w:pStyle w:val="StandardWeb"/>
      </w:pPr>
      <w:r>
        <w:t>Ein zwanzigstes Beispiel betrifft Wettervorhersagen.</w:t>
      </w:r>
    </w:p>
    <w:p w:rsidR="00937413" w:rsidRDefault="00937413" w:rsidP="00937413">
      <w:pPr>
        <w:pStyle w:val="StandardWeb"/>
      </w:pPr>
      <w:r>
        <w:t>Mehrere Modelle können denselben Wettertrend vorhersagen.</w:t>
      </w:r>
    </w:p>
    <w:p w:rsidR="00937413" w:rsidRDefault="00937413" w:rsidP="00937413">
      <w:pPr>
        <w:pStyle w:val="StandardWeb"/>
      </w:pPr>
      <w:r>
        <w:t>Wenn dieser Trend trotz verschiedener Anfangsbedingungen, Modellvarianten und numerischer Verfahren erhalten bleibt, ist er stärker stabilisiert als eine Prognose, die nur in einem Modelllauf erscheint.</w:t>
      </w:r>
    </w:p>
    <w:p w:rsidR="00937413" w:rsidRDefault="00937413" w:rsidP="00937413">
      <w:pPr>
        <w:pStyle w:val="StandardWeb"/>
      </w:pPr>
      <w:r>
        <w:t>Ein einundzwanzigstes Beispiel betrifft Rangfolgen.</w:t>
      </w:r>
    </w:p>
    <w:p w:rsidR="00937413" w:rsidRDefault="00937413" w:rsidP="00937413">
      <w:pPr>
        <w:pStyle w:val="StandardWeb"/>
      </w:pPr>
      <w:r>
        <w:t>Drei Maschinen werden hinsichtlich ihrer Effizienz bewertet.</w:t>
      </w:r>
    </w:p>
    <w:p w:rsidR="00937413" w:rsidRDefault="00937413" w:rsidP="00937413">
      <w:pPr>
        <w:pStyle w:val="StandardWeb"/>
      </w:pPr>
      <w:r>
        <w:t>Die exakten Messwerte können zwischen unterschiedlichen Analysen schwanken.</w:t>
      </w:r>
    </w:p>
    <w:p w:rsidR="00937413" w:rsidRDefault="00937413" w:rsidP="00937413">
      <w:pPr>
        <w:pStyle w:val="StandardWeb"/>
      </w:pPr>
      <w:r>
        <w:t>Wenn jedoch immer</w:t>
      </w:r>
    </w:p>
    <w:p w:rsidR="00937413" w:rsidRDefault="00937413" w:rsidP="00937413">
      <w:pPr>
        <w:pStyle w:val="StandardWeb"/>
      </w:pPr>
      <w:r>
        <w:t>[</w:t>
      </w:r>
      <w:r>
        <w:br/>
        <w:t>A&gt;B&gt;C</w:t>
      </w:r>
      <w:r>
        <w:br/>
        <w:t>]</w:t>
      </w:r>
    </w:p>
    <w:p w:rsidR="00937413" w:rsidRDefault="00937413" w:rsidP="00937413">
      <w:pPr>
        <w:pStyle w:val="StandardWeb"/>
      </w:pPr>
      <w:r>
        <w:t>gilt, ist die Rangfolge stabil.</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A&gt;B&gt;C</w:t>
      </w:r>
    </w:p>
    <w:p w:rsidR="00937413" w:rsidRDefault="00937413" w:rsidP="00937413">
      <w:pPr>
        <w:pStyle w:val="StandardWeb"/>
      </w:pPr>
      <w:r>
        <w:t>Damit kann eine qualitative Aussage stabil sein, obwohl quantitative Werte schwanken.</w:t>
      </w:r>
    </w:p>
    <w:p w:rsidR="00937413" w:rsidRDefault="00937413" w:rsidP="00937413">
      <w:pPr>
        <w:pStyle w:val="StandardWeb"/>
      </w:pPr>
      <w:r>
        <w:t>Ein zweiundzwanzigstes Beispiel betrifft einen Wettkampf.</w:t>
      </w:r>
    </w:p>
    <w:p w:rsidR="00937413" w:rsidRDefault="00937413" w:rsidP="00937413">
      <w:pPr>
        <w:pStyle w:val="StandardWeb"/>
      </w:pPr>
      <w:r>
        <w:t>Ein Läufer gewinnt mehrfach mit unterschiedlichen Zeiten.</w:t>
      </w:r>
    </w:p>
    <w:p w:rsidR="00937413" w:rsidRDefault="00937413" w:rsidP="00937413">
      <w:pPr>
        <w:pStyle w:val="StandardWeb"/>
      </w:pPr>
      <w:r>
        <w:t>Die exakte Zeit ist instabiler als die Rangposition.</w:t>
      </w:r>
    </w:p>
    <w:p w:rsidR="00937413" w:rsidRDefault="00937413" w:rsidP="00937413">
      <w:pPr>
        <w:pStyle w:val="StandardWeb"/>
      </w:pPr>
      <w:r>
        <w:t>Damit wird verständlich, warum Betragsstabilität und Rangstabilität getrennt werden müssen.</w:t>
      </w:r>
    </w:p>
    <w:p w:rsidR="00937413" w:rsidRDefault="00937413" w:rsidP="00937413">
      <w:pPr>
        <w:pStyle w:val="StandardWeb"/>
      </w:pPr>
      <w:r>
        <w:t>Ein dreiundzwanzigstes Beispiel betrifft einen Kompass.</w:t>
      </w:r>
    </w:p>
    <w:p w:rsidR="00937413" w:rsidRDefault="00937413" w:rsidP="00937413">
      <w:pPr>
        <w:pStyle w:val="StandardWeb"/>
      </w:pPr>
      <w:r>
        <w:t>Die exakte Winkelanzeige kann leicht schwanken.</w:t>
      </w:r>
    </w:p>
    <w:p w:rsidR="00937413" w:rsidRDefault="00937413" w:rsidP="00937413">
      <w:pPr>
        <w:pStyle w:val="StandardWeb"/>
      </w:pPr>
      <w:r>
        <w:t>Wenn sie aber immer nach Norden weist, bleibt die Richtung stabil.</w:t>
      </w:r>
    </w:p>
    <w:p w:rsidR="00937413" w:rsidRDefault="00937413" w:rsidP="00937413">
      <w:pPr>
        <w:pStyle w:val="StandardWeb"/>
      </w:pPr>
      <w:r>
        <w:t>Das entspricht der Trennung von</w:t>
      </w:r>
    </w:p>
    <w:p w:rsidR="00937413" w:rsidRDefault="00937413" w:rsidP="00937413">
      <w:pPr>
        <w:pStyle w:val="StandardWeb"/>
      </w:pPr>
      <w:r>
        <w:t>[</w:t>
      </w:r>
      <w:r>
        <w:br/>
        <w:t>R_{\mathrm{mag}}</w:t>
      </w:r>
      <w:r>
        <w:br/>
        <w:t>]</w:t>
      </w:r>
    </w:p>
    <w:p w:rsidR="00937413" w:rsidRDefault="00937413" w:rsidP="00937413">
      <w:pPr>
        <w:pStyle w:val="StandardWeb"/>
      </w:pPr>
      <w:r>
        <w:t>und</w:t>
      </w:r>
    </w:p>
    <w:p w:rsidR="00937413" w:rsidRDefault="00937413" w:rsidP="00937413">
      <w:pPr>
        <w:pStyle w:val="StandardWeb"/>
      </w:pPr>
      <w:r>
        <w:lastRenderedPageBreak/>
        <w:t>[</w:t>
      </w:r>
      <w:r>
        <w:br/>
        <w:t>R_{\mathrm{dir}}.</w:t>
      </w:r>
      <w:r>
        <w:br/>
        <w:t>]</w:t>
      </w:r>
    </w:p>
    <w:p w:rsidR="00937413" w:rsidRDefault="00937413" w:rsidP="00937413">
      <w:pPr>
        <w:pStyle w:val="StandardWeb"/>
      </w:pPr>
      <w:r>
        <w:t>Ein vierundzwanzigstes Beispiel betrifft ein Netzwerk.</w:t>
      </w:r>
    </w:p>
    <w:p w:rsidR="00937413" w:rsidRDefault="00937413" w:rsidP="00937413">
      <w:pPr>
        <w:pStyle w:val="StandardWeb"/>
      </w:pPr>
      <w:r>
        <w:t>Die genaue Stärke einzelner Verbindungen kann variieren.</w:t>
      </w:r>
    </w:p>
    <w:p w:rsidR="00937413" w:rsidRDefault="00937413" w:rsidP="00937413">
      <w:pPr>
        <w:pStyle w:val="StandardWeb"/>
      </w:pPr>
      <w:r>
        <w:t>Wenn jedoch dieselben Hauptgruppen, Rückkopplungsschleifen oder zentralen Knoten erhalten bleiben, kann die Netzwerkstruktur funktional stabil sein.</w:t>
      </w:r>
    </w:p>
    <w:p w:rsidR="00937413" w:rsidRDefault="00937413" w:rsidP="00937413">
      <w:pPr>
        <w:pStyle w:val="StandardWeb"/>
      </w:pPr>
      <w:r>
        <w:t>Ein fünfundzwanzigstes Beispiel betrifft einen Verkehrsfluss.</w:t>
      </w:r>
    </w:p>
    <w:p w:rsidR="00937413" w:rsidRDefault="00937413" w:rsidP="00937413">
      <w:pPr>
        <w:pStyle w:val="StandardWeb"/>
      </w:pPr>
      <w:r>
        <w:t>Einzelne Fahrzeuge wechseln ständig ihre Position.</w:t>
      </w:r>
    </w:p>
    <w:p w:rsidR="00937413" w:rsidRDefault="00937413" w:rsidP="00937413">
      <w:pPr>
        <w:pStyle w:val="StandardWeb"/>
      </w:pPr>
      <w:r>
        <w:t>Trotzdem kann das makroskopische Muster „fließender Verkehr“ stabil bleiben.</w:t>
      </w:r>
    </w:p>
    <w:p w:rsidR="00937413" w:rsidRDefault="00937413" w:rsidP="00937413">
      <w:pPr>
        <w:pStyle w:val="StandardWeb"/>
      </w:pPr>
      <w:r>
        <w:t>Die Mikrostruktur ist dynamisch, die Makrostruktur stabil.</w:t>
      </w:r>
    </w:p>
    <w:p w:rsidR="00937413" w:rsidRDefault="00937413" w:rsidP="00937413">
      <w:pPr>
        <w:pStyle w:val="StandardWeb"/>
      </w:pPr>
      <w:r>
        <w:t>Ein sechsundzwanzigstes Beispiel ist ein Ameisenstaat.</w:t>
      </w:r>
    </w:p>
    <w:p w:rsidR="00937413" w:rsidRDefault="00937413" w:rsidP="00937413">
      <w:pPr>
        <w:pStyle w:val="StandardWeb"/>
      </w:pPr>
      <w:r>
        <w:t>Einzelne Ameisen bewegen sich ständig und übernehmen unterschiedliche Aufgaben.</w:t>
      </w:r>
    </w:p>
    <w:p w:rsidR="00937413" w:rsidRDefault="00937413" w:rsidP="00937413">
      <w:pPr>
        <w:pStyle w:val="StandardWeb"/>
      </w:pPr>
      <w:r>
        <w:t>Die Gesamtfunktion des Staates kann trotzdem stabil bleiben.</w:t>
      </w:r>
    </w:p>
    <w:p w:rsidR="00937413" w:rsidRDefault="00937413" w:rsidP="00937413">
      <w:pPr>
        <w:pStyle w:val="StandardWeb"/>
      </w:pPr>
      <w:r>
        <w:t>Dies veranschaulicht Mikroinstabilität bei Makrostabilität.</w:t>
      </w:r>
    </w:p>
    <w:p w:rsidR="00937413" w:rsidRDefault="00937413" w:rsidP="00937413">
      <w:pPr>
        <w:pStyle w:val="StandardWeb"/>
      </w:pPr>
      <w:r>
        <w:t>Ein siebenundzwanzigstes Beispiel betrifft Redundanz.</w:t>
      </w:r>
    </w:p>
    <w:p w:rsidR="00937413" w:rsidRDefault="00937413" w:rsidP="00937413">
      <w:pPr>
        <w:pStyle w:val="StandardWeb"/>
      </w:pPr>
      <w:r>
        <w:t>Ein Servercluster besitzt mehrere Server.</w:t>
      </w:r>
    </w:p>
    <w:p w:rsidR="00937413" w:rsidRDefault="00937413" w:rsidP="00937413">
      <w:pPr>
        <w:pStyle w:val="StandardWeb"/>
      </w:pPr>
      <w:r>
        <w:t>Fällt einer aus, übernehmen andere seine Aufgaben.</w:t>
      </w:r>
    </w:p>
    <w:p w:rsidR="00937413" w:rsidRDefault="00937413" w:rsidP="00937413">
      <w:pPr>
        <w:pStyle w:val="StandardWeb"/>
      </w:pPr>
      <w:r>
        <w:t>Die Gesamtfunktion bleibt erhalten.</w:t>
      </w:r>
    </w:p>
    <w:p w:rsidR="00937413" w:rsidRDefault="00937413" w:rsidP="00937413">
      <w:pPr>
        <w:pStyle w:val="StandardWeb"/>
      </w:pPr>
      <w:r>
        <w:t>Die Stabilität entsteht durch Redundanz.</w:t>
      </w:r>
    </w:p>
    <w:p w:rsidR="00937413" w:rsidRDefault="00937413" w:rsidP="00937413">
      <w:pPr>
        <w:pStyle w:val="StandardWeb"/>
      </w:pPr>
      <w:r>
        <w:t>Ein achtundzwanzigstes Beispiel betrifft Kompensation.</w:t>
      </w:r>
    </w:p>
    <w:p w:rsidR="00937413" w:rsidRDefault="00937413" w:rsidP="00937413">
      <w:pPr>
        <w:pStyle w:val="StandardWeb"/>
      </w:pPr>
      <w:r>
        <w:t>Wenn ein Produktionsschritt langsamer wird, kann ein anderer beschleunigt werden.</w:t>
      </w:r>
    </w:p>
    <w:p w:rsidR="00937413" w:rsidRDefault="00937413" w:rsidP="00937413">
      <w:pPr>
        <w:pStyle w:val="StandardWeb"/>
      </w:pPr>
      <w:r>
        <w:t>Die Gesamtproduktion bleibt konstant.</w:t>
      </w:r>
    </w:p>
    <w:p w:rsidR="00937413" w:rsidRDefault="00937413" w:rsidP="00937413">
      <w:pPr>
        <w:pStyle w:val="StandardWeb"/>
      </w:pPr>
      <w:r>
        <w:t>Die Stabilität entsteht durch Kompensation.</w:t>
      </w:r>
    </w:p>
    <w:p w:rsidR="00937413" w:rsidRDefault="00937413" w:rsidP="00937413">
      <w:pPr>
        <w:pStyle w:val="StandardWeb"/>
      </w:pPr>
      <w:r>
        <w:t>Ein neunundzwanzigstes Beispiel betrifft Regulation.</w:t>
      </w:r>
    </w:p>
    <w:p w:rsidR="00937413" w:rsidRDefault="00937413" w:rsidP="00937413">
      <w:pPr>
        <w:pStyle w:val="StandardWeb"/>
      </w:pPr>
      <w:r>
        <w:t>Ein Tempomat misst eine sinkende Geschwindigkeit am Berg und erhöht die Motorleistung.</w:t>
      </w:r>
    </w:p>
    <w:p w:rsidR="00937413" w:rsidRDefault="00937413" w:rsidP="00937413">
      <w:pPr>
        <w:pStyle w:val="StandardWeb"/>
      </w:pPr>
      <w:r>
        <w:t>Die Geschwindigkeit bleibt stabil.</w:t>
      </w:r>
    </w:p>
    <w:p w:rsidR="00937413" w:rsidRDefault="00937413" w:rsidP="00937413">
      <w:pPr>
        <w:pStyle w:val="StandardWeb"/>
      </w:pPr>
      <w:r>
        <w:lastRenderedPageBreak/>
        <w:t>Die Stabilität entsteht durch aktive Regulation.</w:t>
      </w:r>
    </w:p>
    <w:p w:rsidR="00937413" w:rsidRDefault="00937413" w:rsidP="00937413">
      <w:pPr>
        <w:pStyle w:val="StandardWeb"/>
      </w:pPr>
      <w:r>
        <w:t>Damit werden die drei Mechanismen</w:t>
      </w:r>
    </w:p>
    <w:p w:rsidR="00937413" w:rsidRDefault="00937413" w:rsidP="00937413">
      <w:pPr>
        <w:pStyle w:val="StandardWeb"/>
      </w:pPr>
      <w:r>
        <w:t>[</w:t>
      </w:r>
      <w:r>
        <w:br/>
        <w:t>\mathbf{Redundanz},</w:t>
      </w:r>
      <w:r>
        <w:br/>
        <w:t>\mathbf{Kompensation},</w:t>
      </w:r>
      <w:r>
        <w:br/>
        <w:t>\mathbf{Regulation}</w:t>
      </w:r>
      <w:r>
        <w:br/>
        <w:t>]</w:t>
      </w:r>
    </w:p>
    <w:p w:rsidR="00937413" w:rsidRDefault="00937413" w:rsidP="00937413">
      <w:pPr>
        <w:pStyle w:val="StandardWeb"/>
      </w:pPr>
      <w:r>
        <w:t>anschaulich unterscheidbar.</w:t>
      </w:r>
    </w:p>
    <w:p w:rsidR="00937413" w:rsidRDefault="00937413" w:rsidP="00937413">
      <w:pPr>
        <w:pStyle w:val="StandardWeb"/>
      </w:pPr>
      <w:r>
        <w:t>Ein dreißigstes Beispiel betrifft Prüfvollständigkeit.</w:t>
      </w:r>
    </w:p>
    <w:p w:rsidR="00937413" w:rsidRDefault="00937413" w:rsidP="00937413">
      <w:pPr>
        <w:pStyle w:val="StandardWeb"/>
      </w:pPr>
      <w:r>
        <w:t>Angenommen, ein Auto wurde nur bei trockener Straße getestet.</w:t>
      </w:r>
    </w:p>
    <w:p w:rsidR="00937413" w:rsidRDefault="00937413" w:rsidP="00937413">
      <w:pPr>
        <w:pStyle w:val="StandardWeb"/>
      </w:pPr>
      <w:r>
        <w:t>Es war dort vollständig stabil.</w:t>
      </w:r>
    </w:p>
    <w:p w:rsidR="00937413" w:rsidRDefault="00937413" w:rsidP="00937413">
      <w:pPr>
        <w:pStyle w:val="StandardWeb"/>
      </w:pPr>
      <w:r>
        <w:t>Daraus darf nicht geschlossen werden, dass es auch auf Schnee stabil ist.</w:t>
      </w:r>
    </w:p>
    <w:p w:rsidR="00937413" w:rsidRDefault="00937413" w:rsidP="00937413">
      <w:pPr>
        <w:pStyle w:val="StandardWeb"/>
      </w:pPr>
      <w:r>
        <w:t>Die bisherigen Tests können vollständig bestanden sein, aber die relevante Prüfmenge war unvollständig.</w:t>
      </w:r>
    </w:p>
    <w:p w:rsidR="00937413" w:rsidRDefault="00937413" w:rsidP="00937413">
      <w:pPr>
        <w:pStyle w:val="StandardWeb"/>
      </w:pPr>
      <w:r>
        <w:t>Damit wird der Unterschied zwischen</w:t>
      </w:r>
    </w:p>
    <w:p w:rsidR="00937413" w:rsidRDefault="00937413" w:rsidP="00937413">
      <w:pPr>
        <w:pStyle w:val="StandardWeb"/>
      </w:pPr>
      <w:r>
        <w:t>[</w:t>
      </w:r>
      <w:r>
        <w:br/>
        <w:t>R_{\mathrm{stab}}</w:t>
      </w:r>
      <w:r>
        <w:br/>
        <w:t>]</w:t>
      </w:r>
    </w:p>
    <w:p w:rsidR="00937413" w:rsidRDefault="00937413" w:rsidP="00937413">
      <w:pPr>
        <w:pStyle w:val="StandardWeb"/>
      </w:pPr>
      <w:r>
        <w:t>und</w:t>
      </w:r>
    </w:p>
    <w:p w:rsidR="00937413" w:rsidRDefault="00937413" w:rsidP="00937413">
      <w:pPr>
        <w:pStyle w:val="StandardWeb"/>
      </w:pPr>
      <w:r>
        <w:t>[</w:t>
      </w:r>
      <w:r>
        <w:br/>
        <w:t>C_{\mathrm{complete}}</w:t>
      </w:r>
      <w:r>
        <w:br/>
        <w:t>]</w:t>
      </w:r>
    </w:p>
    <w:p w:rsidR="00937413" w:rsidRDefault="00937413" w:rsidP="00937413">
      <w:pPr>
        <w:pStyle w:val="StandardWeb"/>
      </w:pPr>
      <w:r>
        <w:t>verständlich.</w:t>
      </w:r>
    </w:p>
    <w:p w:rsidR="00937413" w:rsidRDefault="00937413" w:rsidP="00937413">
      <w:pPr>
        <w:pStyle w:val="StandardWeb"/>
      </w:pPr>
      <w:r>
        <w:t>Ein einunddreißigstes Beispiel betrifft neue Prüfverfahren.</w:t>
      </w:r>
    </w:p>
    <w:p w:rsidR="00937413" w:rsidRDefault="00937413" w:rsidP="00937413">
      <w:pPr>
        <w:pStyle w:val="StandardWeb"/>
      </w:pPr>
      <w:r>
        <w:t>Ein Produkt wurde vor zwanzig Jahren nach den damaligen Sicherheitsstandards geprüft.</w:t>
      </w:r>
    </w:p>
    <w:p w:rsidR="00937413" w:rsidRDefault="00937413" w:rsidP="00937413">
      <w:pPr>
        <w:pStyle w:val="StandardWeb"/>
      </w:pPr>
      <w:r>
        <w:t>Heute existieren zusätzliche Prüfverfahren.</w:t>
      </w:r>
    </w:p>
    <w:p w:rsidR="00937413" w:rsidRDefault="00937413" w:rsidP="00937413">
      <w:pPr>
        <w:pStyle w:val="StandardWeb"/>
      </w:pPr>
      <w:r>
        <w:t>Man darf nicht behaupten, das alte Produkt habe diese neuen Prüfungen bereits bestanden.</w:t>
      </w:r>
    </w:p>
    <w:p w:rsidR="00937413" w:rsidRDefault="00937413" w:rsidP="00937413">
      <w:pPr>
        <w:pStyle w:val="StandardWeb"/>
      </w:pPr>
      <w:r>
        <w:t>Genauso darf eine alte wissenschaftliche Aussage nicht rückwirkend einen Stabilitätsstatus erhalten, der damals gar nicht geprüft wurde.</w:t>
      </w:r>
    </w:p>
    <w:p w:rsidR="00937413" w:rsidRDefault="00937413" w:rsidP="00937413">
      <w:pPr>
        <w:pStyle w:val="StandardWeb"/>
      </w:pPr>
      <w:r>
        <w:t>Ein zweiunddreißigstes Beispiel betrifft mehrere unabhängige Prüfungen.</w:t>
      </w:r>
    </w:p>
    <w:p w:rsidR="00937413" w:rsidRDefault="00937413" w:rsidP="00937413">
      <w:pPr>
        <w:pStyle w:val="StandardWeb"/>
      </w:pPr>
      <w:r>
        <w:lastRenderedPageBreak/>
        <w:t>Wenn zehn Personen dieselbe fehlerhafte Vorlage benutzen und zum selben Ergebnis kommen, sind zehn übereinstimmende Ergebnisse weniger überzeugend als zehn voneinander unabhängige Verfahren.</w:t>
      </w:r>
    </w:p>
    <w:p w:rsidR="00937413" w:rsidRDefault="00937413" w:rsidP="00937413">
      <w:pPr>
        <w:pStyle w:val="StandardWeb"/>
      </w:pPr>
      <w:r>
        <w:t>Damit wird verständlich, warum die Anzahl von Evidenzpfaden und ihre Unabhängigkeit getrennt bewertet werden müssen.</w:t>
      </w:r>
    </w:p>
    <w:p w:rsidR="00937413" w:rsidRDefault="00937413" w:rsidP="00937413">
      <w:pPr>
        <w:pStyle w:val="StandardWeb"/>
      </w:pPr>
      <w:r>
        <w:t>Ein dreiunddreißigstes Beispiel betrifft die Stabilität zweiter Ordnung.</w:t>
      </w:r>
    </w:p>
    <w:p w:rsidR="00937413" w:rsidRDefault="00937413" w:rsidP="00937413">
      <w:pPr>
        <w:pStyle w:val="StandardWeb"/>
      </w:pPr>
      <w:r>
        <w:t>Angenommen, ein Ergebnis wird als robust eingestuft.</w:t>
      </w:r>
    </w:p>
    <w:p w:rsidR="00937413" w:rsidRDefault="00937413" w:rsidP="00937413">
      <w:pPr>
        <w:pStyle w:val="StandardWeb"/>
      </w:pPr>
      <w:r>
        <w:t>Wenn diese Einstufung jedoch schon davon abhängt, ob ich den Parameterbereich minimal größer oder kleiner wähle, ist die Robustheitsbewertung selbst fragil.</w:t>
      </w:r>
    </w:p>
    <w:p w:rsidR="00937413" w:rsidRDefault="00937413" w:rsidP="00937413">
      <w:pPr>
        <w:pStyle w:val="StandardWeb"/>
      </w:pPr>
      <w:r>
        <w:t>Dann ist nicht nur die Aussage, sondern sogar ihre Stabilitätseinstufung instabil.</w:t>
      </w:r>
    </w:p>
    <w:p w:rsidR="00937413" w:rsidRDefault="00937413" w:rsidP="00937413">
      <w:pPr>
        <w:pStyle w:val="StandardWeb"/>
      </w:pPr>
      <w:r>
        <w:t>Ein vierunddreißigstes Beispiel betrifft wissenschaftliche Sprache.</w:t>
      </w:r>
    </w:p>
    <w:p w:rsidR="00937413" w:rsidRDefault="00937413" w:rsidP="00937413">
      <w:pPr>
        <w:pStyle w:val="StandardWeb"/>
      </w:pPr>
      <w:r>
        <w:t>Die Aussage</w:t>
      </w:r>
    </w:p>
    <w:p w:rsidR="00937413" w:rsidRDefault="00937413" w:rsidP="00937413">
      <w:pPr>
        <w:pStyle w:val="StandardWeb"/>
      </w:pPr>
      <w:r>
        <w:t>„Dieser Effekt existiert“</w:t>
      </w:r>
    </w:p>
    <w:p w:rsidR="00937413" w:rsidRDefault="00937413" w:rsidP="00937413">
      <w:pPr>
        <w:pStyle w:val="StandardWeb"/>
      </w:pPr>
      <w:r>
        <w:t>ist stärker als</w:t>
      </w:r>
    </w:p>
    <w:p w:rsidR="00937413" w:rsidRDefault="00937413" w:rsidP="00937413">
      <w:pPr>
        <w:pStyle w:val="StandardWeb"/>
      </w:pPr>
      <w:r>
        <w:t>„Unter den untersuchten Bedingungen zeigt sich dieser Effekt“.</w:t>
      </w:r>
    </w:p>
    <w:p w:rsidR="00937413" w:rsidRDefault="00937413" w:rsidP="00937413">
      <w:pPr>
        <w:pStyle w:val="StandardWeb"/>
      </w:pPr>
      <w:r>
        <w:t>Noch vorsichtiger wäre</w:t>
      </w:r>
    </w:p>
    <w:p w:rsidR="00937413" w:rsidRDefault="00937413" w:rsidP="00937413">
      <w:pPr>
        <w:pStyle w:val="StandardWeb"/>
      </w:pPr>
      <w:r>
        <w:t>„Unter der verwendeten Operationalisierung und innerhalb des untersuchten Parameterbereichs zeigt sich ein stabiler positiver Effekt.“</w:t>
      </w:r>
    </w:p>
    <w:p w:rsidR="00937413" w:rsidRDefault="00937413" w:rsidP="00937413">
      <w:pPr>
        <w:pStyle w:val="StandardWeb"/>
      </w:pPr>
      <w:r>
        <w:t>Je mehr Stabilitätsinformation bekannt ist, desto präziser kann die wissenschaftliche Sprache werden.</w:t>
      </w:r>
    </w:p>
    <w:p w:rsidR="00937413" w:rsidRDefault="00937413" w:rsidP="00937413">
      <w:pPr>
        <w:pStyle w:val="StandardWeb"/>
      </w:pPr>
      <w:r>
        <w:t>Ein fünfunddreißigstes Beispiel betrifft zwei widersprüchliche Modelle.</w:t>
      </w:r>
    </w:p>
    <w:p w:rsidR="00937413" w:rsidRDefault="00937413" w:rsidP="00937413">
      <w:pPr>
        <w:pStyle w:val="StandardWeb"/>
      </w:pPr>
      <w:r>
        <w:t>Modell A sagt eine Zunahme voraus.</w:t>
      </w:r>
    </w:p>
    <w:p w:rsidR="00937413" w:rsidRDefault="00937413" w:rsidP="00937413">
      <w:pPr>
        <w:pStyle w:val="StandardWeb"/>
      </w:pPr>
      <w:r>
        <w:t>Modell B sagt eine Abnahme voraus.</w:t>
      </w:r>
    </w:p>
    <w:p w:rsidR="00937413" w:rsidRDefault="00937413" w:rsidP="00937413">
      <w:pPr>
        <w:pStyle w:val="StandardWeb"/>
      </w:pPr>
      <w:r>
        <w:t>Beide Aussagen können jeweils innerhalb ihres eigenen Modells stabil sein.</w:t>
      </w:r>
    </w:p>
    <w:p w:rsidR="00937413" w:rsidRDefault="00937413" w:rsidP="00937413">
      <w:pPr>
        <w:pStyle w:val="StandardWeb"/>
      </w:pPr>
      <w:r>
        <w:t>Stabilität allein entscheidet dann nicht, welches Modell richtig ist.</w:t>
      </w:r>
    </w:p>
    <w:p w:rsidR="00937413" w:rsidRDefault="00937413" w:rsidP="00937413">
      <w:pPr>
        <w:pStyle w:val="StandardWeb"/>
      </w:pPr>
      <w:r>
        <w:t>Genau hier beginnt die Aufgabe des nächsten Abschnitts:</w:t>
      </w:r>
    </w:p>
    <w:p w:rsidR="00937413" w:rsidRDefault="00937413" w:rsidP="00937413">
      <w:pPr>
        <w:pStyle w:val="StandardWeb"/>
      </w:pPr>
      <w:r>
        <w:t>die Prüfung von Konsistenz und Widerspruchsfreiheit.</w:t>
      </w:r>
    </w:p>
    <w:p w:rsidR="00937413" w:rsidRDefault="00937413" w:rsidP="00937413">
      <w:pPr>
        <w:pStyle w:val="StandardWeb"/>
      </w:pPr>
      <w:r>
        <w:t>Die didaktische Kernregel dieses Abschnitts lautet deshalb:</w:t>
      </w:r>
    </w:p>
    <w:p w:rsidR="00937413" w:rsidRDefault="00937413" w:rsidP="00937413">
      <w:pPr>
        <w:pStyle w:val="StandardWeb"/>
      </w:pPr>
      <w:r>
        <w:rPr>
          <w:rStyle w:val="Fett"/>
        </w:rPr>
        <w:lastRenderedPageBreak/>
        <w:t>Die Frage lautet nicht nur: „Ist die Aussage stabil?“, sondern immer: „Wogegen ist sie stabil?“</w:t>
      </w:r>
    </w:p>
    <w:p w:rsidR="00937413" w:rsidRDefault="00937413" w:rsidP="00937413">
      <w:pPr>
        <w:pStyle w:val="StandardWeb"/>
      </w:pPr>
      <w:r>
        <w:t>Eine zweite Kernregel lautet:</w:t>
      </w:r>
    </w:p>
    <w:p w:rsidR="00937413" w:rsidRDefault="00937413" w:rsidP="00937413">
      <w:pPr>
        <w:pStyle w:val="StandardWeb"/>
      </w:pPr>
      <w:r>
        <w:rPr>
          <w:rStyle w:val="Fett"/>
        </w:rPr>
        <w:t>Stabilität kann durch Stillstand, Redundanz, Kompensation oder aktive Regulation entstehen.</w:t>
      </w:r>
    </w:p>
    <w:p w:rsidR="00937413" w:rsidRDefault="00937413" w:rsidP="00937413">
      <w:pPr>
        <w:pStyle w:val="StandardWeb"/>
      </w:pPr>
      <w:r>
        <w:t>Eine dritte lautet:</w:t>
      </w:r>
    </w:p>
    <w:p w:rsidR="00937413" w:rsidRDefault="00937413" w:rsidP="00937413">
      <w:pPr>
        <w:pStyle w:val="StandardWeb"/>
      </w:pPr>
      <w:r>
        <w:rPr>
          <w:rStyle w:val="Fett"/>
        </w:rPr>
        <w:t>Ein stabiles Ergebnis kann falsch sein, und ein richtiges Ergebnis kann fragil sein.</w:t>
      </w:r>
    </w:p>
    <w:p w:rsidR="00937413" w:rsidRDefault="00937413" w:rsidP="00937413">
      <w:pPr>
        <w:pStyle w:val="StandardWeb"/>
      </w:pPr>
      <w:r>
        <w:t>Eine vierte lautet:</w:t>
      </w:r>
    </w:p>
    <w:p w:rsidR="00937413" w:rsidRDefault="00937413" w:rsidP="00937413">
      <w:pPr>
        <w:pStyle w:val="StandardWeb"/>
      </w:pPr>
      <w:r>
        <w:rPr>
          <w:rStyle w:val="Fett"/>
        </w:rPr>
        <w:t>Nicht geprüft ist weder stabil noch instabil, sondern zunächst unbekannt.</w:t>
      </w:r>
    </w:p>
    <w:p w:rsidR="00937413" w:rsidRDefault="00937413" w:rsidP="00937413">
      <w:pPr>
        <w:pStyle w:val="StandardWeb"/>
      </w:pPr>
      <w:r>
        <w:t>Und eine fünfte:</w:t>
      </w:r>
    </w:p>
    <w:p w:rsidR="00937413" w:rsidRDefault="00937413" w:rsidP="00937413">
      <w:pPr>
        <w:pStyle w:val="StandardWeb"/>
      </w:pPr>
      <w:r>
        <w:rPr>
          <w:rStyle w:val="Fett"/>
        </w:rPr>
        <w:t>Je mehr unterschiedliche Stabilitätsdimensionen eine Aussage erfolgreich durchläuft, desto genauer kann ihre wissenschaftliche Belastbarkeit beschrieben werden.</w:t>
      </w:r>
    </w:p>
    <w:p w:rsidR="00937413" w:rsidRDefault="00E50336" w:rsidP="00937413">
      <w:r>
        <w:pict>
          <v:rect id="_x0000_i1709" style="width:0;height:1.5pt" o:hralign="center" o:hrstd="t" o:hr="t" fillcolor="#a0a0a0" stroked="f"/>
        </w:pict>
      </w:r>
    </w:p>
    <w:p w:rsidR="00937413" w:rsidRDefault="00937413" w:rsidP="00937413">
      <w:pPr>
        <w:pStyle w:val="berschrift1"/>
      </w:pPr>
      <w:r>
        <w:t>3.3.41.152 Ergebnis der funktionalen Stabilitätsklassifikation</w:t>
      </w:r>
    </w:p>
    <w:p w:rsidR="00937413" w:rsidRDefault="00937413" w:rsidP="00937413">
      <w:pPr>
        <w:pStyle w:val="StandardWeb"/>
      </w:pPr>
      <w:r>
        <w:t>Mit Abschnitt 3.3.41 wird die Stabilität wissenschaftlicher FRZK-Aussagen erstmals als systematisch mehrdimensionale Eigenschaft formalisiert.</w:t>
      </w:r>
    </w:p>
    <w:p w:rsidR="00937413" w:rsidRDefault="00937413" w:rsidP="00937413">
      <w:pPr>
        <w:pStyle w:val="StandardWeb"/>
      </w:pPr>
      <w:r>
        <w:t>Die zentrale Struktur lautet</w:t>
      </w:r>
    </w:p>
    <w:p w:rsidR="00937413" w:rsidRDefault="00937413" w:rsidP="00937413">
      <w:pPr>
        <w:pStyle w:val="berschrift1"/>
      </w:pPr>
      <w:r>
        <w:t>[</w:t>
      </w:r>
      <w:r>
        <w:br/>
        <w:t>\boxed{</w:t>
      </w:r>
      <w:r>
        <w:br/>
        <w:t>\mathfrak{S}_{F}</w:t>
      </w:r>
      <w:r>
        <w:br/>
        <w:t>\left(</w:t>
      </w:r>
      <w:r>
        <w:br/>
        <w:t>A_F</w:t>
      </w:r>
      <w:r>
        <w:br/>
        <w:t>\right)</w:t>
      </w:r>
    </w:p>
    <w:p w:rsidR="00937413" w:rsidRDefault="00937413" w:rsidP="00937413">
      <w:pPr>
        <w:pStyle w:val="StandardWeb"/>
      </w:pPr>
      <w:r>
        <w:t>\left(</w:t>
      </w:r>
      <w:r>
        <w:br/>
        <w:t>\mathcal{K}</w:t>
      </w:r>
      <w:r>
        <w:rPr>
          <w:rStyle w:val="Hervorhebung"/>
        </w:rPr>
        <w:t>{S}^{+},</w:t>
      </w:r>
      <w:r>
        <w:rPr>
          <w:i/>
          <w:iCs/>
        </w:rPr>
        <w:br/>
      </w:r>
      <w:r>
        <w:rPr>
          <w:rStyle w:val="Hervorhebung"/>
        </w:rPr>
        <w:t>\mathbf{R}</w:t>
      </w:r>
      <w:r>
        <w:t>{S},</w:t>
      </w:r>
      <w:r>
        <w:br/>
        <w:t>\boldsymbol{\tau}</w:t>
      </w:r>
      <w:r>
        <w:rPr>
          <w:rStyle w:val="Hervorhebung"/>
        </w:rPr>
        <w:t>{S},</w:t>
      </w:r>
      <w:r>
        <w:rPr>
          <w:i/>
          <w:iCs/>
        </w:rPr>
        <w:br/>
      </w:r>
      <w:r>
        <w:rPr>
          <w:rStyle w:val="Hervorhebung"/>
        </w:rPr>
        <w:t>\mathbf{U}</w:t>
      </w:r>
      <w:r>
        <w:t>{S},</w:t>
      </w:r>
      <w:r>
        <w:br/>
        <w:t>\Omega_A,</w:t>
      </w:r>
      <w:r>
        <w:br/>
        <w:t>G_A,</w:t>
      </w:r>
      <w:r>
        <w:br/>
      </w:r>
      <w:r>
        <w:lastRenderedPageBreak/>
        <w:t>C_{\mathrm{complete}}</w:t>
      </w:r>
      <w:r>
        <w:br/>
        <w:t>\right)</w:t>
      </w:r>
      <w:r>
        <w:br/>
        <w:t>}</w:t>
      </w:r>
      <w:r>
        <w:br/>
        <w:t>\tag{3.7580}</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\boxed{\mathfrak{S}_{F}\left(A_F\right)=\left(\mathcal{K}_{S}^{+},\mathbf{R}_{S},\boldsymbol{\tau}_{S},\mathbf{U}_{S},\Omega_A,G_A,C_{\mathrm{complete}}\right)}\qquad\text{(3.7580)}</w:t>
      </w:r>
    </w:p>
    <w:p w:rsidR="00937413" w:rsidRDefault="00937413" w:rsidP="00937413">
      <w:pPr>
        <w:pStyle w:val="StandardWeb"/>
      </w:pPr>
      <w:r>
        <w:t>Damit besitzt eine wissenschaftliche Aussage nun nicht nur einen Inhalt, sondern zusätzlich einen expliziten Stabilitätsstatus.</w:t>
      </w:r>
    </w:p>
    <w:p w:rsidR="00937413" w:rsidRDefault="00937413" w:rsidP="00937413">
      <w:pPr>
        <w:pStyle w:val="StandardWeb"/>
      </w:pPr>
      <w:r>
        <w:t>Der erweiterte Stabilitätsvektor lautet</w:t>
      </w:r>
    </w:p>
    <w:p w:rsidR="00937413" w:rsidRDefault="00937413" w:rsidP="00937413">
      <w:pPr>
        <w:pStyle w:val="berschrift1"/>
      </w:pPr>
      <w:r>
        <w:t>[</w:t>
      </w:r>
      <w:r>
        <w:br/>
        <w:t>\mathcal{K}_{S}^{+}</w:t>
      </w:r>
    </w:p>
    <w:p w:rsidR="00937413" w:rsidRDefault="00937413" w:rsidP="00937413">
      <w:pPr>
        <w:pStyle w:val="StandardWeb"/>
      </w:pPr>
      <w:r>
        <w:t>\left(</w:t>
      </w:r>
      <w:r>
        <w:br/>
        <w:t>S_L,</w:t>
      </w:r>
      <w:r>
        <w:br/>
        <w:t>S_G,</w:t>
      </w:r>
      <w:r>
        <w:br/>
        <w:t>S_P,</w:t>
      </w:r>
      <w:r>
        <w:br/>
        <w:t>S_R,</w:t>
      </w:r>
      <w:r>
        <w:br/>
        <w:t>S_O,</w:t>
      </w:r>
      <w:r>
        <w:br/>
        <w:t>S_M,</w:t>
      </w:r>
      <w:r>
        <w:br/>
        <w:t>S_N,</w:t>
      </w:r>
      <w:r>
        <w:br/>
        <w:t>S_T,</w:t>
      </w:r>
      <w:r>
        <w:br/>
        <w:t>S_C</w:t>
      </w:r>
      <w:r>
        <w:br/>
        <w:t>\right).</w:t>
      </w:r>
      <w:r>
        <w:br/>
        <w:t>\tag{3.7581}</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\mathcal{K}_{S}^{+}=\left(S_L,S_G,S_P,S_R,S_O,S_M,S_N,S_T,S_C\right)\qquad\text{(3.7581)}</w:t>
      </w:r>
    </w:p>
    <w:p w:rsidR="00937413" w:rsidRDefault="00937413" w:rsidP="00937413">
      <w:pPr>
        <w:pStyle w:val="StandardWeb"/>
      </w:pPr>
      <w:r>
        <w:t>Die zugehörigen quantitativen Stabilitätsgrade werden in</w:t>
      </w:r>
    </w:p>
    <w:p w:rsidR="00937413" w:rsidRDefault="00937413" w:rsidP="00937413">
      <w:pPr>
        <w:pStyle w:val="berschrift1"/>
      </w:pPr>
      <w:r>
        <w:t>[</w:t>
      </w:r>
      <w:r>
        <w:br/>
        <w:t>\mathbf{R}_{S}</w:t>
      </w:r>
    </w:p>
    <w:p w:rsidR="00937413" w:rsidRDefault="00937413" w:rsidP="00937413">
      <w:pPr>
        <w:pStyle w:val="StandardWeb"/>
      </w:pPr>
      <w:r>
        <w:t>\left(</w:t>
      </w:r>
      <w:r>
        <w:br/>
        <w:t>R_L,</w:t>
      </w:r>
      <w:r>
        <w:br/>
        <w:t>R_G,</w:t>
      </w:r>
      <w:r>
        <w:br/>
        <w:t>R_P,</w:t>
      </w:r>
      <w:r>
        <w:br/>
        <w:t>R_R,</w:t>
      </w:r>
      <w:r>
        <w:br/>
      </w:r>
      <w:r>
        <w:lastRenderedPageBreak/>
        <w:t>R_O,</w:t>
      </w:r>
      <w:r>
        <w:br/>
        <w:t>R_M,</w:t>
      </w:r>
      <w:r>
        <w:br/>
        <w:t>R_N,</w:t>
      </w:r>
      <w:r>
        <w:br/>
        <w:t>R_T,</w:t>
      </w:r>
      <w:r>
        <w:br/>
        <w:t>R_C</w:t>
      </w:r>
      <w:r>
        <w:br/>
        <w:t>\right)</w:t>
      </w:r>
      <w:r>
        <w:br/>
        <w:t>\tag{3.7582}</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\mathbf{R}_{S}=\left(R_L,R_G,R_P,R_R,R_O,R_M,R_N,R_T,R_C\right)\qquad\text{(3.7582)}</w:t>
      </w:r>
    </w:p>
    <w:p w:rsidR="00937413" w:rsidRDefault="00937413" w:rsidP="00937413">
      <w:pPr>
        <w:pStyle w:val="StandardWeb"/>
      </w:pPr>
      <w:r>
        <w:t>geführt.</w:t>
      </w:r>
    </w:p>
    <w:p w:rsidR="00937413" w:rsidRDefault="00937413" w:rsidP="00937413">
      <w:pPr>
        <w:pStyle w:val="StandardWeb"/>
      </w:pPr>
      <w:r>
        <w:t>Die Stabilitätsklassifikation bleibt von Unsicherheit getrennt:</w:t>
      </w:r>
    </w:p>
    <w:p w:rsidR="00937413" w:rsidRDefault="00937413" w:rsidP="00937413">
      <w:pPr>
        <w:pStyle w:val="StandardWeb"/>
      </w:pPr>
      <w:r>
        <w:t>[</w:t>
      </w:r>
      <w:r>
        <w:br/>
        <w:t>\mathbf{R}</w:t>
      </w:r>
      <w:r>
        <w:rPr>
          <w:rStyle w:val="Hervorhebung"/>
        </w:rPr>
        <w:t>{S}</w:t>
      </w:r>
      <w:r>
        <w:rPr>
          <w:i/>
          <w:iCs/>
        </w:rPr>
        <w:br/>
      </w:r>
      <w:r>
        <w:rPr>
          <w:rStyle w:val="Hervorhebung"/>
        </w:rPr>
        <w:t>\neq</w:t>
      </w:r>
      <w:r>
        <w:rPr>
          <w:i/>
          <w:iCs/>
        </w:rPr>
        <w:br/>
      </w:r>
      <w:r>
        <w:rPr>
          <w:rStyle w:val="Hervorhebung"/>
        </w:rPr>
        <w:t>\mathbf{U}</w:t>
      </w:r>
      <w:r>
        <w:t>{S}.</w:t>
      </w:r>
      <w:r>
        <w:br/>
        <w:t>\tag{3.7583}</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\mathbf{R}_{S}\neq\mathbf{U}_{S}\qquad\text{(3.7583)}</w:t>
      </w:r>
    </w:p>
    <w:p w:rsidR="00937413" w:rsidRDefault="00937413" w:rsidP="00937413">
      <w:pPr>
        <w:pStyle w:val="StandardWeb"/>
      </w:pPr>
      <w:r>
        <w:t>Ebenso bleiben Stabilität und Validität getrennt:</w:t>
      </w:r>
    </w:p>
    <w:p w:rsidR="00937413" w:rsidRDefault="00937413" w:rsidP="00937413">
      <w:pPr>
        <w:pStyle w:val="StandardWeb"/>
      </w:pPr>
      <w:r>
        <w:t>[</w:t>
      </w:r>
      <w:r>
        <w:br/>
        <w:t>\mathbf{R}_{S}</w:t>
      </w:r>
      <w:r>
        <w:br/>
        <w:t>\neq</w:t>
      </w:r>
      <w:r>
        <w:br/>
        <w:t>V.</w:t>
      </w:r>
      <w:r>
        <w:br/>
        <w:t>\tag{3.7584}</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\mathbf{R}_{S}\neq V\qquad\text{(3.7584)}</w:t>
      </w:r>
    </w:p>
    <w:p w:rsidR="00937413" w:rsidRDefault="00937413" w:rsidP="00937413">
      <w:pPr>
        <w:pStyle w:val="StandardWeb"/>
      </w:pPr>
      <w:r>
        <w:t>und Stabilität ist keine Wahrheitsgarantie:</w:t>
      </w:r>
    </w:p>
    <w:p w:rsidR="00937413" w:rsidRDefault="00937413" w:rsidP="00937413">
      <w:pPr>
        <w:pStyle w:val="StandardWeb"/>
      </w:pPr>
      <w:r>
        <w:t>[</w:t>
      </w:r>
      <w:r>
        <w:br/>
        <w:t>\operatorname{Stabil}</w:t>
      </w:r>
      <w:r>
        <w:br/>
        <w:t>\left(</w:t>
      </w:r>
      <w:r>
        <w:br/>
        <w:t>A_F</w:t>
      </w:r>
      <w:r>
        <w:br/>
        <w:t>\right)</w:t>
      </w:r>
      <w:r>
        <w:br/>
        <w:t>\nRightarrow</w:t>
      </w:r>
      <w:r>
        <w:br/>
        <w:t>\operatorname{Wahr}</w:t>
      </w:r>
      <w:r>
        <w:br/>
        <w:t>\left(</w:t>
      </w:r>
      <w:r>
        <w:br/>
      </w:r>
      <w:r>
        <w:lastRenderedPageBreak/>
        <w:t>A_F</w:t>
      </w:r>
      <w:r>
        <w:br/>
        <w:t>\right).</w:t>
      </w:r>
      <w:r>
        <w:br/>
        <w:t>\tag{3.7585}</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\operatorname{Stabil}\left(A_F\right)\nRightarrow\operatorname{Wahr}\left(A_F\right)\qquad\text{(3.7585)}</w:t>
      </w:r>
    </w:p>
    <w:p w:rsidR="00937413" w:rsidRDefault="00937413" w:rsidP="00937413">
      <w:pPr>
        <w:pStyle w:val="StandardWeb"/>
      </w:pPr>
      <w:r>
        <w:t>Die zentrale wissenschaftliche Aussage des Abschnitts lautet:</w:t>
      </w:r>
    </w:p>
    <w:p w:rsidR="00937413" w:rsidRDefault="00937413" w:rsidP="00937413">
      <w:pPr>
        <w:pStyle w:val="StandardWeb"/>
      </w:pPr>
      <w:r>
        <w:t>[</w:t>
      </w:r>
      <w:r>
        <w:br/>
        <w:t>\boxed{</w:t>
      </w:r>
      <w:r>
        <w:br/>
        <w:t>\text{Wissenschaftliche Stabilität ist eine Signatur, keine einzelne Zahl.}</w:t>
      </w:r>
      <w:r>
        <w:br/>
        <w:t>}</w:t>
      </w:r>
      <w:r>
        <w:br/>
        <w:t>\tag{3.7586}</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\boxed{\text{Wissenschaftliche Stabilität ist eine Signatur, keine einzelne Zahl.}}\qquad\text{(3.7586)}</w:t>
      </w:r>
    </w:p>
    <w:p w:rsidR="00937413" w:rsidRDefault="00937413" w:rsidP="00937413">
      <w:pPr>
        <w:pStyle w:val="StandardWeb"/>
      </w:pPr>
      <w:r>
        <w:t>Eine starke FRZK-Aussage muss deshalb künftig nicht nur inhaltlich angegeben werden. Sie muss zugleich erkennen lassen,</w:t>
      </w:r>
    </w:p>
    <w:p w:rsidR="00937413" w:rsidRDefault="00937413" w:rsidP="008C5E65">
      <w:pPr>
        <w:pStyle w:val="StandardWeb"/>
        <w:numPr>
          <w:ilvl w:val="0"/>
          <w:numId w:val="367"/>
        </w:numPr>
      </w:pPr>
      <w:r>
        <w:t>welche Stabilitätsdimensionen geprüft wurden,</w:t>
      </w:r>
    </w:p>
    <w:p w:rsidR="00937413" w:rsidRDefault="00937413" w:rsidP="008C5E65">
      <w:pPr>
        <w:pStyle w:val="StandardWeb"/>
        <w:numPr>
          <w:ilvl w:val="0"/>
          <w:numId w:val="367"/>
        </w:numPr>
      </w:pPr>
      <w:r>
        <w:t>welche davon erfüllt sind,</w:t>
      </w:r>
    </w:p>
    <w:p w:rsidR="00937413" w:rsidRDefault="00937413" w:rsidP="008C5E65">
      <w:pPr>
        <w:pStyle w:val="StandardWeb"/>
        <w:numPr>
          <w:ilvl w:val="0"/>
          <w:numId w:val="367"/>
        </w:numPr>
      </w:pPr>
      <w:r>
        <w:t>welche unklar sind,</w:t>
      </w:r>
    </w:p>
    <w:p w:rsidR="00937413" w:rsidRDefault="00937413" w:rsidP="008C5E65">
      <w:pPr>
        <w:pStyle w:val="StandardWeb"/>
        <w:numPr>
          <w:ilvl w:val="0"/>
          <w:numId w:val="367"/>
        </w:numPr>
      </w:pPr>
      <w:r>
        <w:t>welche nicht erfüllt sind,</w:t>
      </w:r>
    </w:p>
    <w:p w:rsidR="00937413" w:rsidRDefault="00937413" w:rsidP="008C5E65">
      <w:pPr>
        <w:pStyle w:val="StandardWeb"/>
        <w:numPr>
          <w:ilvl w:val="0"/>
          <w:numId w:val="367"/>
        </w:numPr>
      </w:pPr>
      <w:r>
        <w:t>wie groß die entsprechenden Robustheitsgrade sind,</w:t>
      </w:r>
    </w:p>
    <w:p w:rsidR="00937413" w:rsidRDefault="00937413" w:rsidP="008C5E65">
      <w:pPr>
        <w:pStyle w:val="StandardWeb"/>
        <w:numPr>
          <w:ilvl w:val="0"/>
          <w:numId w:val="367"/>
        </w:numPr>
      </w:pPr>
      <w:r>
        <w:t>wie unsicher diese Robustheitsgrade sind,</w:t>
      </w:r>
    </w:p>
    <w:p w:rsidR="00937413" w:rsidRDefault="00937413" w:rsidP="008C5E65">
      <w:pPr>
        <w:pStyle w:val="StandardWeb"/>
        <w:numPr>
          <w:ilvl w:val="0"/>
          <w:numId w:val="367"/>
        </w:numPr>
      </w:pPr>
      <w:r>
        <w:t>welche Gültigkeitsregion untersucht wurde</w:t>
      </w:r>
    </w:p>
    <w:p w:rsidR="00937413" w:rsidRDefault="00937413" w:rsidP="008C5E65">
      <w:pPr>
        <w:pStyle w:val="StandardWeb"/>
        <w:numPr>
          <w:ilvl w:val="0"/>
          <w:numId w:val="367"/>
        </w:numPr>
      </w:pPr>
      <w:r>
        <w:t>und wie vollständig die Prüfung bezogen auf den Aussageanspruch ist.</w:t>
      </w:r>
    </w:p>
    <w:p w:rsidR="00937413" w:rsidRDefault="00937413" w:rsidP="00937413">
      <w:pPr>
        <w:pStyle w:val="StandardWeb"/>
      </w:pPr>
      <w:r>
        <w:rPr>
          <w:rStyle w:val="Fett"/>
        </w:rPr>
        <w:t>Eigenleistung des FRZK</w:t>
      </w:r>
    </w:p>
    <w:p w:rsidR="00937413" w:rsidRDefault="00937413" w:rsidP="00937413">
      <w:pPr>
        <w:pStyle w:val="StandardWeb"/>
      </w:pPr>
      <w:r>
        <w:t>Meine Eigenleistung besteht darin, die zuvor getrennt entwickelten Robustheits- und Stabilitätskonzepte zu einer gemeinsamen, erweiterbaren Stabilitätssignatur wissenschaftlicher Aussagen zusammenzuführen. Dabei behandle ich Stabilität ausdrücklich als Metainformation über eine Aussage und trenne sie von Aussageinhalt, Validität, Unsicherheit, Wahrheit und Prüfvollständigkeit.</w:t>
      </w:r>
    </w:p>
    <w:p w:rsidR="00937413" w:rsidRDefault="00937413" w:rsidP="00937413">
      <w:pPr>
        <w:pStyle w:val="StandardWeb"/>
      </w:pPr>
      <w:r>
        <w:t xml:space="preserve">Damit entsteht innerhalb des FRZK eine strukturierte Sprache dafür, </w:t>
      </w:r>
      <w:r>
        <w:rPr>
          <w:rStyle w:val="Fett"/>
        </w:rPr>
        <w:t>wie belastbar eine wissenschaftliche Aussage unter verschiedenen Klassen zulässiger Veränderungen tatsächlich ist</w:t>
      </w:r>
      <w:r>
        <w:t>.</w:t>
      </w:r>
    </w:p>
    <w:p w:rsidR="00937413" w:rsidRDefault="00E50336" w:rsidP="00937413">
      <w:r>
        <w:pict>
          <v:rect id="_x0000_i1710" style="width:0;height:1.5pt" o:hralign="center" o:hrstd="t" o:hr="t" fillcolor="#a0a0a0" stroked="f"/>
        </w:pict>
      </w:r>
    </w:p>
    <w:p w:rsidR="00937413" w:rsidRDefault="00937413" w:rsidP="00937413">
      <w:pPr>
        <w:pStyle w:val="berschrift1"/>
      </w:pPr>
      <w:r>
        <w:t>3.3.41.153 Übergang zu Abschnitt 3.3.42</w:t>
      </w:r>
    </w:p>
    <w:p w:rsidR="00937413" w:rsidRDefault="00937413" w:rsidP="00937413">
      <w:pPr>
        <w:pStyle w:val="StandardWeb"/>
      </w:pPr>
      <w:r>
        <w:lastRenderedPageBreak/>
        <w:t>Mit der funktionalen Stabilitätsklassifikation ist nun festgelegt, wie die Belastbarkeit einzelner wissenschaftlicher Aussagen beschrieben werden kann.</w:t>
      </w:r>
    </w:p>
    <w:p w:rsidR="00937413" w:rsidRDefault="00937413" w:rsidP="00937413">
      <w:pPr>
        <w:pStyle w:val="StandardWeb"/>
      </w:pPr>
      <w:r>
        <w:t>Damit entsteht jedoch unmittelbar ein neues Problem.</w:t>
      </w:r>
    </w:p>
    <w:p w:rsidR="00937413" w:rsidRDefault="00937413" w:rsidP="00937413">
      <w:pPr>
        <w:pStyle w:val="StandardWeb"/>
      </w:pPr>
      <w:r>
        <w:t>Zwei Aussagen können jeweils eine hohe Stabilität besitzen und sich trotzdem gegenseitig widersprechen.</w:t>
      </w:r>
    </w:p>
    <w:p w:rsidR="00937413" w:rsidRDefault="00937413" w:rsidP="00937413">
      <w:pPr>
        <w:pStyle w:val="StandardWeb"/>
      </w:pPr>
      <w:r>
        <w:t>Es kann beispielsweise gelten</w:t>
      </w:r>
    </w:p>
    <w:p w:rsidR="00937413" w:rsidRDefault="00937413" w:rsidP="00937413">
      <w:pPr>
        <w:pStyle w:val="StandardWeb"/>
      </w:pPr>
      <w:r>
        <w:t>[</w:t>
      </w:r>
      <w:r>
        <w:br/>
        <w:t>R_S^{(A)}</w:t>
      </w:r>
      <w:r>
        <w:br/>
        <w:t>\text{ hoch}</w:t>
      </w:r>
      <w:r>
        <w:br/>
        <w:t>\tag{3.7587}</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R_S^{(A)}\text{ hoch}\qquad\text{(3.7587)}</w:t>
      </w:r>
    </w:p>
    <w:p w:rsidR="00937413" w:rsidRDefault="00937413" w:rsidP="00937413">
      <w:pPr>
        <w:pStyle w:val="StandardWeb"/>
      </w:pPr>
      <w:r>
        <w:t>und</w:t>
      </w:r>
    </w:p>
    <w:p w:rsidR="00937413" w:rsidRDefault="00937413" w:rsidP="00937413">
      <w:pPr>
        <w:pStyle w:val="StandardWeb"/>
      </w:pPr>
      <w:r>
        <w:t>[</w:t>
      </w:r>
      <w:r>
        <w:br/>
        <w:t>R_S^{(B)}</w:t>
      </w:r>
      <w:r>
        <w:br/>
        <w:t>\text{ hoch},</w:t>
      </w:r>
      <w:r>
        <w:br/>
        <w:t>\tag{3.7588}</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R_S^{(B)}\text{ hoch}\qquad\text{(3.7588)}</w:t>
      </w:r>
    </w:p>
    <w:p w:rsidR="00937413" w:rsidRDefault="00937413" w:rsidP="00937413">
      <w:pPr>
        <w:pStyle w:val="StandardWeb"/>
      </w:pPr>
      <w:r>
        <w:t>während gleichzeitig</w:t>
      </w:r>
    </w:p>
    <w:p w:rsidR="00937413" w:rsidRDefault="00937413" w:rsidP="00937413">
      <w:pPr>
        <w:pStyle w:val="StandardWeb"/>
      </w:pPr>
      <w:r>
        <w:t>[</w:t>
      </w:r>
      <w:r>
        <w:br/>
        <w:t>A</w:t>
      </w:r>
      <w:r>
        <w:br/>
        <w:t>\bot</w:t>
      </w:r>
      <w:r>
        <w:br/>
        <w:t>B</w:t>
      </w:r>
      <w:r>
        <w:br/>
        <w:t>\tag{3.7589}</w:t>
      </w:r>
      <w:r>
        <w:br/>
        <w:t>]</w:t>
      </w:r>
    </w:p>
    <w:p w:rsidR="00937413" w:rsidRDefault="00937413" w:rsidP="00937413">
      <w:pPr>
        <w:pStyle w:val="StandardWeb"/>
      </w:pPr>
      <w:r>
        <w:rPr>
          <w:rStyle w:val="Fett"/>
        </w:rPr>
        <w:t>Word-LaTeX</w:t>
      </w:r>
    </w:p>
    <w:p w:rsidR="00937413" w:rsidRDefault="00937413" w:rsidP="00937413">
      <w:pPr>
        <w:pStyle w:val="HTMLVorformatiert"/>
        <w:rPr>
          <w:rStyle w:val="HTMLCode"/>
        </w:rPr>
      </w:pPr>
      <w:r>
        <w:rPr>
          <w:rStyle w:val="HTMLCode"/>
        </w:rPr>
        <w:t>A\bot B\qquad\text{(3.7589)}</w:t>
      </w:r>
    </w:p>
    <w:p w:rsidR="00937413" w:rsidRDefault="00937413" w:rsidP="00937413">
      <w:pPr>
        <w:pStyle w:val="StandardWeb"/>
      </w:pPr>
      <w:r>
        <w:t>gilt.</w:t>
      </w:r>
    </w:p>
    <w:p w:rsidR="00937413" w:rsidRDefault="00937413" w:rsidP="00937413">
      <w:pPr>
        <w:pStyle w:val="StandardWeb"/>
      </w:pPr>
      <w:r>
        <w:t>Dabei bezeichnet (\bot) einen wissenschaftlich relevanten Widerspruch.</w:t>
      </w:r>
    </w:p>
    <w:p w:rsidR="00937413" w:rsidRDefault="00937413" w:rsidP="00937413">
      <w:pPr>
        <w:pStyle w:val="StandardWeb"/>
      </w:pPr>
      <w:r>
        <w:t>Hohe Stabilität beseitigt diesen Widerspruch nicht.</w:t>
      </w:r>
    </w:p>
    <w:p w:rsidR="00937413" w:rsidRDefault="00937413" w:rsidP="00937413">
      <w:pPr>
        <w:pStyle w:val="StandardWeb"/>
      </w:pPr>
      <w:r>
        <w:lastRenderedPageBreak/>
        <w:t>Sie macht ihn im Gegenteil methodisch bedeutsamer, weil nicht mehr nur zwei zufällige Einzelresultate kollidieren, sondern zwei jeweils belastbare Aussagekomplexe.</w:t>
      </w:r>
    </w:p>
    <w:p w:rsidR="00937413" w:rsidRDefault="00937413" w:rsidP="00937413">
      <w:pPr>
        <w:pStyle w:val="StandardWeb"/>
      </w:pPr>
      <w:r>
        <w:t>Damit verschiebt sich die nächste wissenschaftliche Aufgabe von der Frage</w:t>
      </w:r>
    </w:p>
    <w:p w:rsidR="00937413" w:rsidRDefault="00937413" w:rsidP="00937413">
      <w:pPr>
        <w:pStyle w:val="StandardWeb"/>
      </w:pPr>
      <w:r>
        <w:rPr>
          <w:rStyle w:val="Fett"/>
        </w:rPr>
        <w:t>„Wie stabil ist eine einzelne Aussage?“</w:t>
      </w:r>
    </w:p>
    <w:p w:rsidR="00937413" w:rsidRDefault="00937413" w:rsidP="00937413">
      <w:pPr>
        <w:pStyle w:val="StandardWeb"/>
      </w:pPr>
      <w:r>
        <w:t>zu der Frage</w:t>
      </w:r>
    </w:p>
    <w:p w:rsidR="00937413" w:rsidRDefault="00937413" w:rsidP="00937413">
      <w:pPr>
        <w:pStyle w:val="StandardWeb"/>
      </w:pPr>
      <w:r>
        <w:rPr>
          <w:rStyle w:val="Fett"/>
        </w:rPr>
        <w:t>„Sind mehrere stabile Aussagen innerhalb des FRZK miteinander konsistent?“</w:t>
      </w:r>
    </w:p>
    <w:p w:rsidR="00937413" w:rsidRDefault="00937413" w:rsidP="00937413">
      <w:pPr>
        <w:pStyle w:val="StandardWeb"/>
      </w:pPr>
      <w:r>
        <w:t>Der folgende Abschnitt behandelt deshalb die systematische Prüfung der theorieinternen Konsistenz.</w:t>
      </w:r>
    </w:p>
    <w:p w:rsidR="00937413" w:rsidRDefault="00937413" w:rsidP="00937413">
      <w:pPr>
        <w:pStyle w:val="berschrift1"/>
      </w:pPr>
      <w:r>
        <w:t>3.3.42 Prüfung der theorieinternen Konsistenz und Widerspruchsfreiheit</w:t>
      </w:r>
    </w:p>
    <w:p w:rsidR="00937413" w:rsidRDefault="00937413" w:rsidP="00937413">
      <w:pPr>
        <w:pStyle w:val="StandardWeb"/>
      </w:pPr>
      <w:r>
        <w:t>Dort werde ich insbesondere zwischen</w:t>
      </w:r>
    </w:p>
    <w:p w:rsidR="00937413" w:rsidRDefault="00937413" w:rsidP="008C5E65">
      <w:pPr>
        <w:pStyle w:val="StandardWeb"/>
        <w:numPr>
          <w:ilvl w:val="0"/>
          <w:numId w:val="368"/>
        </w:numPr>
      </w:pPr>
      <w:r>
        <w:t>syntaktischer Konsistenz,</w:t>
      </w:r>
    </w:p>
    <w:p w:rsidR="00937413" w:rsidRDefault="00937413" w:rsidP="008C5E65">
      <w:pPr>
        <w:pStyle w:val="StandardWeb"/>
        <w:numPr>
          <w:ilvl w:val="0"/>
          <w:numId w:val="368"/>
        </w:numPr>
      </w:pPr>
      <w:r>
        <w:t>semantischer Konsistenz,</w:t>
      </w:r>
    </w:p>
    <w:p w:rsidR="00937413" w:rsidRDefault="00937413" w:rsidP="008C5E65">
      <w:pPr>
        <w:pStyle w:val="StandardWeb"/>
        <w:numPr>
          <w:ilvl w:val="0"/>
          <w:numId w:val="368"/>
        </w:numPr>
      </w:pPr>
      <w:r>
        <w:t>Definitionskonsistenz,</w:t>
      </w:r>
    </w:p>
    <w:p w:rsidR="00937413" w:rsidRDefault="00937413" w:rsidP="008C5E65">
      <w:pPr>
        <w:pStyle w:val="StandardWeb"/>
        <w:numPr>
          <w:ilvl w:val="0"/>
          <w:numId w:val="368"/>
        </w:numPr>
      </w:pPr>
      <w:r>
        <w:t>Gleichungskonsistenz,</w:t>
      </w:r>
    </w:p>
    <w:p w:rsidR="00937413" w:rsidRDefault="00937413" w:rsidP="008C5E65">
      <w:pPr>
        <w:pStyle w:val="StandardWeb"/>
        <w:numPr>
          <w:ilvl w:val="0"/>
          <w:numId w:val="368"/>
        </w:numPr>
      </w:pPr>
      <w:r>
        <w:t>Axiomkonsistenz,</w:t>
      </w:r>
    </w:p>
    <w:p w:rsidR="00937413" w:rsidRDefault="00937413" w:rsidP="008C5E65">
      <w:pPr>
        <w:pStyle w:val="StandardWeb"/>
        <w:numPr>
          <w:ilvl w:val="0"/>
          <w:numId w:val="368"/>
        </w:numPr>
      </w:pPr>
      <w:r>
        <w:t>Satz- und Beweiskonsistenz,</w:t>
      </w:r>
    </w:p>
    <w:p w:rsidR="00937413" w:rsidRDefault="00937413" w:rsidP="008C5E65">
      <w:pPr>
        <w:pStyle w:val="StandardWeb"/>
        <w:numPr>
          <w:ilvl w:val="0"/>
          <w:numId w:val="368"/>
        </w:numPr>
      </w:pPr>
      <w:r>
        <w:t>empirischer Aussagekonsistenz,</w:t>
      </w:r>
    </w:p>
    <w:p w:rsidR="00937413" w:rsidRDefault="00937413" w:rsidP="008C5E65">
      <w:pPr>
        <w:pStyle w:val="StandardWeb"/>
        <w:numPr>
          <w:ilvl w:val="0"/>
          <w:numId w:val="368"/>
        </w:numPr>
      </w:pPr>
      <w:r>
        <w:t>lokaler und globaler Widerspruchsfreiheit,</w:t>
      </w:r>
    </w:p>
    <w:p w:rsidR="00937413" w:rsidRDefault="00937413" w:rsidP="008C5E65">
      <w:pPr>
        <w:pStyle w:val="StandardWeb"/>
        <w:numPr>
          <w:ilvl w:val="0"/>
          <w:numId w:val="368"/>
        </w:numPr>
      </w:pPr>
      <w:r>
        <w:t>direkten und indirekten Widersprüchen,</w:t>
      </w:r>
    </w:p>
    <w:p w:rsidR="00937413" w:rsidRDefault="00937413" w:rsidP="008C5E65">
      <w:pPr>
        <w:pStyle w:val="StandardWeb"/>
        <w:numPr>
          <w:ilvl w:val="0"/>
          <w:numId w:val="368"/>
        </w:numPr>
      </w:pPr>
      <w:r>
        <w:t>Abhängigkeitszyklen,</w:t>
      </w:r>
    </w:p>
    <w:p w:rsidR="00937413" w:rsidRDefault="00937413" w:rsidP="008C5E65">
      <w:pPr>
        <w:pStyle w:val="StandardWeb"/>
        <w:numPr>
          <w:ilvl w:val="0"/>
          <w:numId w:val="368"/>
        </w:numPr>
      </w:pPr>
      <w:r>
        <w:t>kollidierenden Gültigkeitsdomänen,</w:t>
      </w:r>
    </w:p>
    <w:p w:rsidR="00937413" w:rsidRDefault="00937413" w:rsidP="008C5E65">
      <w:pPr>
        <w:pStyle w:val="StandardWeb"/>
        <w:numPr>
          <w:ilvl w:val="0"/>
          <w:numId w:val="368"/>
        </w:numPr>
      </w:pPr>
      <w:r>
        <w:t>widersprüchlichen Stabilitätssignaturen,</w:t>
      </w:r>
    </w:p>
    <w:p w:rsidR="00937413" w:rsidRDefault="00937413" w:rsidP="008C5E65">
      <w:pPr>
        <w:pStyle w:val="StandardWeb"/>
        <w:numPr>
          <w:ilvl w:val="0"/>
          <w:numId w:val="368"/>
        </w:numPr>
      </w:pPr>
      <w:r>
        <w:t>Konflikten zwischen Prognose und Erklärung,</w:t>
      </w:r>
    </w:p>
    <w:p w:rsidR="00937413" w:rsidRDefault="00937413" w:rsidP="008C5E65">
      <w:pPr>
        <w:pStyle w:val="StandardWeb"/>
        <w:numPr>
          <w:ilvl w:val="0"/>
          <w:numId w:val="368"/>
        </w:numPr>
      </w:pPr>
      <w:r>
        <w:t>Konflikten zwischen Korrelation und Kausalität,</w:t>
      </w:r>
    </w:p>
    <w:p w:rsidR="00937413" w:rsidRDefault="00937413" w:rsidP="008C5E65">
      <w:pPr>
        <w:pStyle w:val="StandardWeb"/>
        <w:numPr>
          <w:ilvl w:val="0"/>
          <w:numId w:val="368"/>
        </w:numPr>
      </w:pPr>
      <w:r>
        <w:t>zeitlich entstehenden Widersprüchen,</w:t>
      </w:r>
    </w:p>
    <w:p w:rsidR="00937413" w:rsidRDefault="00937413" w:rsidP="008C5E65">
      <w:pPr>
        <w:pStyle w:val="StandardWeb"/>
        <w:numPr>
          <w:ilvl w:val="0"/>
          <w:numId w:val="368"/>
        </w:numPr>
      </w:pPr>
      <w:r>
        <w:t>revisionsbedingten Widersprüchen</w:t>
      </w:r>
    </w:p>
    <w:p w:rsidR="00937413" w:rsidRDefault="00937413" w:rsidP="008C5E65">
      <w:pPr>
        <w:pStyle w:val="StandardWeb"/>
        <w:numPr>
          <w:ilvl w:val="0"/>
          <w:numId w:val="368"/>
        </w:numPr>
      </w:pPr>
      <w:r>
        <w:t>sowie Repository-seitigen Konsistenzprüfungen</w:t>
      </w:r>
    </w:p>
    <w:p w:rsidR="00937413" w:rsidRDefault="00937413" w:rsidP="00937413">
      <w:pPr>
        <w:pStyle w:val="StandardWeb"/>
      </w:pPr>
      <w:r>
        <w:t>unterscheiden.</w:t>
      </w:r>
    </w:p>
    <w:p w:rsidR="00937413" w:rsidRDefault="00937413" w:rsidP="00937413">
      <w:pPr>
        <w:pStyle w:val="StandardWeb"/>
      </w:pPr>
      <w:r>
        <w:t xml:space="preserve">Damit ist </w:t>
      </w:r>
      <w:r>
        <w:rPr>
          <w:rStyle w:val="Fett"/>
        </w:rPr>
        <w:t>3.3.41 vollständig abgeschlossen</w:t>
      </w:r>
      <w:r>
        <w:t>.</w:t>
      </w:r>
    </w:p>
    <w:p w:rsidR="00937413" w:rsidRDefault="00937413" w:rsidP="00937413">
      <w:pPr>
        <w:pStyle w:val="HTMLVorformatiert"/>
        <w:rPr>
          <w:rStyle w:val="HTMLCode"/>
        </w:rPr>
      </w:pPr>
      <w:r>
        <w:rPr>
          <w:rStyle w:val="HTMLCode"/>
        </w:rPr>
        <w:t>Letzte Definition:   3.3.33</w:t>
      </w:r>
    </w:p>
    <w:p w:rsidR="00937413" w:rsidRDefault="00937413" w:rsidP="00937413">
      <w:pPr>
        <w:pStyle w:val="HTMLVorformatiert"/>
        <w:rPr>
          <w:rStyle w:val="HTMLCode"/>
        </w:rPr>
      </w:pPr>
      <w:r>
        <w:rPr>
          <w:rStyle w:val="HTMLCode"/>
        </w:rPr>
        <w:t>Nächste Definition:  3.3.34</w:t>
      </w:r>
    </w:p>
    <w:p w:rsidR="00937413" w:rsidRDefault="00937413" w:rsidP="00937413">
      <w:pPr>
        <w:pStyle w:val="HTMLVorformatiert"/>
        <w:rPr>
          <w:rStyle w:val="HTMLCode"/>
        </w:rPr>
      </w:pPr>
      <w:r>
        <w:rPr>
          <w:rStyle w:val="HTMLCode"/>
        </w:rPr>
        <w:t>Letzter Satz:        3.3.25</w:t>
      </w:r>
    </w:p>
    <w:p w:rsidR="00937413" w:rsidRDefault="00937413" w:rsidP="00937413">
      <w:pPr>
        <w:pStyle w:val="HTMLVorformatiert"/>
        <w:rPr>
          <w:rStyle w:val="HTMLCode"/>
        </w:rPr>
      </w:pPr>
      <w:r>
        <w:rPr>
          <w:rStyle w:val="HTMLCode"/>
        </w:rPr>
        <w:t>Nächster Satz:       3.3.26</w:t>
      </w:r>
    </w:p>
    <w:p w:rsidR="00937413" w:rsidRDefault="00937413" w:rsidP="00937413">
      <w:pPr>
        <w:pStyle w:val="HTMLVorformatiert"/>
        <w:rPr>
          <w:rStyle w:val="HTMLCode"/>
        </w:rPr>
      </w:pPr>
      <w:r>
        <w:rPr>
          <w:rStyle w:val="HTMLCode"/>
        </w:rPr>
        <w:t>Letztes Korollar:    3.3.4</w:t>
      </w:r>
    </w:p>
    <w:p w:rsidR="00937413" w:rsidRDefault="00937413" w:rsidP="00937413">
      <w:pPr>
        <w:pStyle w:val="HTMLVorformatiert"/>
        <w:rPr>
          <w:rStyle w:val="HTMLCode"/>
        </w:rPr>
      </w:pPr>
      <w:r>
        <w:rPr>
          <w:rStyle w:val="HTMLCode"/>
        </w:rPr>
        <w:t>Nächstes Korollar:   3.3.5</w:t>
      </w:r>
    </w:p>
    <w:p w:rsidR="00937413" w:rsidRDefault="00937413" w:rsidP="00937413">
      <w:pPr>
        <w:pStyle w:val="HTMLVorformatiert"/>
        <w:rPr>
          <w:rStyle w:val="HTMLCode"/>
        </w:rPr>
      </w:pPr>
      <w:r>
        <w:rPr>
          <w:rStyle w:val="HTMLCode"/>
        </w:rPr>
        <w:t>Letzte Gleichung:    3.7589</w:t>
      </w:r>
    </w:p>
    <w:p w:rsidR="00937413" w:rsidRDefault="00937413" w:rsidP="00937413">
      <w:pPr>
        <w:pStyle w:val="HTMLVorformatiert"/>
        <w:rPr>
          <w:rStyle w:val="HTMLCode"/>
        </w:rPr>
      </w:pPr>
      <w:r>
        <w:rPr>
          <w:rStyle w:val="HTMLCode"/>
        </w:rPr>
        <w:lastRenderedPageBreak/>
        <w:t>Nächste Gleichung:   3.7590</w:t>
      </w:r>
    </w:p>
    <w:p w:rsidR="00937413" w:rsidRDefault="00937413" w:rsidP="00937413">
      <w:pPr>
        <w:pStyle w:val="HTMLVorformatiert"/>
        <w:rPr>
          <w:rStyle w:val="HTMLCode"/>
        </w:rPr>
      </w:pPr>
      <w:r>
        <w:rPr>
          <w:rStyle w:val="HTMLCode"/>
        </w:rPr>
        <w:t>Nächster Abschnitt:  3.3.42</w:t>
      </w:r>
    </w:p>
    <w:p w:rsidR="00AF744E" w:rsidRDefault="00AF744E" w:rsidP="00AF744E">
      <w:pPr>
        <w:pStyle w:val="StandardWeb"/>
        <w:rPr>
          <w:rFonts w:cs="Times New Roman"/>
          <w:bCs w:val="0"/>
        </w:rPr>
      </w:pPr>
      <w:r>
        <w:t xml:space="preserve">Einverstanden. Ab </w:t>
      </w:r>
      <w:r>
        <w:rPr>
          <w:rStyle w:val="Fett"/>
        </w:rPr>
        <w:t>3.3.42</w:t>
      </w:r>
      <w:r>
        <w:t xml:space="preserve"> kehre ich wieder zum ursprünglichen Ausbauniveau zurück. Das bedeutet:</w:t>
      </w:r>
    </w:p>
    <w:p w:rsidR="00AF744E" w:rsidRDefault="00AF744E" w:rsidP="008C5E65">
      <w:pPr>
        <w:pStyle w:val="StandardWeb"/>
        <w:numPr>
          <w:ilvl w:val="0"/>
          <w:numId w:val="369"/>
        </w:numPr>
      </w:pPr>
      <w:r>
        <w:t>vollständiger wissenschaftlicher Großabschnitt,</w:t>
      </w:r>
    </w:p>
    <w:p w:rsidR="00AF744E" w:rsidRDefault="00AF744E" w:rsidP="008C5E65">
      <w:pPr>
        <w:pStyle w:val="StandardWeb"/>
        <w:numPr>
          <w:ilvl w:val="0"/>
          <w:numId w:val="369"/>
        </w:numPr>
      </w:pPr>
      <w:r>
        <w:t xml:space="preserve">konsequente </w:t>
      </w:r>
      <w:r>
        <w:rPr>
          <w:rStyle w:val="Fett"/>
        </w:rPr>
        <w:t>Ich-Form</w:t>
      </w:r>
      <w:r>
        <w:t>,</w:t>
      </w:r>
    </w:p>
    <w:p w:rsidR="00AF744E" w:rsidRDefault="00AF744E" w:rsidP="008C5E65">
      <w:pPr>
        <w:pStyle w:val="StandardWeb"/>
        <w:numPr>
          <w:ilvl w:val="0"/>
          <w:numId w:val="369"/>
        </w:numPr>
      </w:pPr>
      <w:r>
        <w:t>jeder fachliche Absatz mit Quellen,</w:t>
      </w:r>
    </w:p>
    <w:p w:rsidR="00AF744E" w:rsidRDefault="00AF744E" w:rsidP="008C5E65">
      <w:pPr>
        <w:pStyle w:val="StandardWeb"/>
        <w:numPr>
          <w:ilvl w:val="0"/>
          <w:numId w:val="369"/>
        </w:numPr>
      </w:pPr>
      <w:r>
        <w:rPr>
          <w:rStyle w:val="Fett"/>
        </w:rPr>
        <w:t>jede Gleichung sofort mit Word-LaTeX</w:t>
      </w:r>
      <w:r>
        <w:t>,</w:t>
      </w:r>
    </w:p>
    <w:p w:rsidR="00AF744E" w:rsidRDefault="00AF744E" w:rsidP="008C5E65">
      <w:pPr>
        <w:pStyle w:val="StandardWeb"/>
        <w:numPr>
          <w:ilvl w:val="0"/>
          <w:numId w:val="369"/>
        </w:numPr>
      </w:pPr>
      <w:r>
        <w:t>mehrere Definitionen, Lemmata, Sätze, Beweise und Korollare,</w:t>
      </w:r>
    </w:p>
    <w:p w:rsidR="00AF744E" w:rsidRDefault="00AF744E" w:rsidP="008C5E65">
      <w:pPr>
        <w:pStyle w:val="StandardWeb"/>
        <w:numPr>
          <w:ilvl w:val="0"/>
          <w:numId w:val="369"/>
        </w:numPr>
      </w:pPr>
      <w:r>
        <w:t xml:space="preserve">umfangreiche </w:t>
      </w:r>
      <w:r>
        <w:rPr>
          <w:rStyle w:val="Fett"/>
        </w:rPr>
        <w:t>methodologische</w:t>
      </w:r>
      <w:r>
        <w:t xml:space="preserve"> und </w:t>
      </w:r>
      <w:r>
        <w:rPr>
          <w:rStyle w:val="Fett"/>
        </w:rPr>
        <w:t>didaktische Betrachtungen</w:t>
      </w:r>
      <w:r>
        <w:t xml:space="preserve"> am Ende jedes Unterabschnitts,</w:t>
      </w:r>
    </w:p>
    <w:p w:rsidR="00AF744E" w:rsidRDefault="00AF744E" w:rsidP="008C5E65">
      <w:pPr>
        <w:pStyle w:val="StandardWeb"/>
        <w:numPr>
          <w:ilvl w:val="0"/>
          <w:numId w:val="369"/>
        </w:numPr>
      </w:pPr>
      <w:r>
        <w:t>Repository-kompatibler Abschluss.</w:t>
      </w:r>
    </w:p>
    <w:p w:rsidR="00AF744E" w:rsidRDefault="00E50336" w:rsidP="00AF744E">
      <w:r>
        <w:pict>
          <v:rect id="_x0000_i1711" style="width:0;height:1.5pt" o:hralign="center" o:hrstd="t" o:hr="t" fillcolor="#a0a0a0" stroked="f"/>
        </w:pict>
      </w:r>
    </w:p>
    <w:p w:rsidR="00AF744E" w:rsidRDefault="00AF744E" w:rsidP="00AF744E">
      <w:pPr>
        <w:pStyle w:val="berschrift1"/>
      </w:pPr>
      <w:r>
        <w:t>3.3.42 Funktionale Konsistenz wissenschaftlicher Aussagen</w:t>
      </w:r>
    </w:p>
    <w:p w:rsidR="00AF744E" w:rsidRDefault="00AF744E" w:rsidP="00AF744E">
      <w:pPr>
        <w:pStyle w:val="berschrift2"/>
      </w:pPr>
      <w:r>
        <w:t>3.3.42.0 Einordnung</w:t>
      </w:r>
    </w:p>
    <w:p w:rsidR="00AF744E" w:rsidRDefault="00AF744E" w:rsidP="00AF744E">
      <w:pPr>
        <w:pStyle w:val="StandardWeb"/>
      </w:pPr>
      <w:r>
        <w:t>Mit Abschnitt 3.3.41 habe ich gezeigt, dass sich wissenschaftliche Aussagen hinsichtlich ihrer funktionalen Stabilität klassifizieren lassen. Diese Stabilitätsklassifikation beantwortet jedoch ausschließlich die Frage, ob eine Aussage gegenüber Variationen ihrer Randbedingungen erhalten bleibt. Daraus folgt noch nicht, dass mehrere Aussagen innerhalb desselben wissenschaftlichen Modells widerspruchsfrei miteinander vereinbar sind.</w:t>
      </w:r>
    </w:p>
    <w:p w:rsidR="00AF744E" w:rsidRDefault="00AF744E" w:rsidP="00AF744E">
      <w:pPr>
        <w:pStyle w:val="StandardWeb"/>
      </w:pPr>
      <w:r>
        <w:t xml:space="preserve">Ich betrachte deshalb nun eine zweite, davon unabhängige Eigenschaft wissenschaftlicher Modelle: ihre </w:t>
      </w:r>
      <w:r>
        <w:rPr>
          <w:rStyle w:val="Fett"/>
        </w:rPr>
        <w:t>funktionale Konsistenz</w:t>
      </w:r>
      <w:r>
        <w:t>.</w:t>
      </w:r>
    </w:p>
    <w:p w:rsidR="00AF744E" w:rsidRDefault="00AF744E" w:rsidP="00AF744E">
      <w:pPr>
        <w:pStyle w:val="StandardWeb"/>
      </w:pPr>
      <w:r>
        <w:t>In der klassischen mathematischen Logik wird Konsistenz üblicherweise als Widerspruchsfreiheit eines formalen Systems definiert. Diese Definition genügt für das Funktionale Raum-Zeit-Kohärenzsystem jedoch nicht. Wissenschaftliche Aussagen besitzen unterschiedliche Gültigkeitsbereiche, verschiedene Modellannahmen, voneinander abweichende Parameterbereiche sowie unterschiedliche experimentelle Voraussetzungen. Zwei Aussagen können daher logisch widerspruchsfrei erscheinen und dennoch funktional unvereinbar sein. Umgekehrt können scheinbare logische Widersprüche allein durch unterschiedliche Definitionsbereiche entstehen und sich bei korrekter funktionaler Einordnung vollständig auflösen.</w:t>
      </w:r>
    </w:p>
    <w:p w:rsidR="00AF744E" w:rsidRDefault="00AF744E" w:rsidP="00AF744E">
      <w:pPr>
        <w:pStyle w:val="StandardWeb"/>
      </w:pPr>
      <w:r>
        <w:t xml:space="preserve">Ich führe deshalb den Begriff der </w:t>
      </w:r>
      <w:r>
        <w:rPr>
          <w:rStyle w:val="Fett"/>
        </w:rPr>
        <w:t>funktionalen Konsistenz</w:t>
      </w:r>
      <w:r>
        <w:t xml:space="preserve"> ein. Er beschreibt nicht lediglich das Fehlen logischer Widersprüche, sondern die Fähigkeit mehrerer wissenschaftlicher Aussagen, innerhalb desselben funktionalen Zustandsraumes gleichzeitig gültig zu bleiben. Erst diese Eigenschaft erlaubt es, komplexe wissenschaftliche Modelle als zusammenhängende funktionale Systeme zu rekonstruieren.</w:t>
      </w:r>
    </w:p>
    <w:p w:rsidR="00AF744E" w:rsidRDefault="00AF744E" w:rsidP="00AF744E">
      <w:pPr>
        <w:pStyle w:val="StandardWeb"/>
      </w:pPr>
      <w:r>
        <w:t>Damit erweitert sich das FRZK um eine weitere fundamentale Beschreibungsebene. Nach den Axiomen, den funktionalen Zuständen, den Transformationen und den Stabilitätsklassen folgt nun die Untersuchung der gegenseitigen Verträglichkeit wissenschaftlicher Aussagen.</w:t>
      </w:r>
    </w:p>
    <w:p w:rsidR="00AF744E" w:rsidRDefault="00E50336" w:rsidP="00AF744E">
      <w:r>
        <w:lastRenderedPageBreak/>
        <w:pict>
          <v:rect id="_x0000_i1712" style="width:0;height:1.5pt" o:hralign="center" o:hrstd="t" o:hr="t" fillcolor="#a0a0a0" stroked="f"/>
        </w:pict>
      </w:r>
    </w:p>
    <w:p w:rsidR="00AF744E" w:rsidRDefault="00AF744E" w:rsidP="00AF744E">
      <w:pPr>
        <w:pStyle w:val="berschrift2"/>
      </w:pPr>
      <w:r>
        <w:t>Wissenschaftliche Motivation</w:t>
      </w:r>
    </w:p>
    <w:p w:rsidR="00AF744E" w:rsidRDefault="00AF744E" w:rsidP="00AF744E">
      <w:pPr>
        <w:pStyle w:val="StandardWeb"/>
      </w:pPr>
      <w:r>
        <w:t>Die Geschichte der Wissenschaft zeigt zahlreiche Beispiele dafür, dass einzelne Modelle jeweils erfolgreich waren, ihre Kombination jedoch zu erheblichen Problemen führte. Newtonsche Mechanik und spezielle Relativitätstheorie liefern in ihren jeweiligen Gültigkeitsbereichen äußerst stabile Ergebnisse. Werden jedoch ihre Voraussetzungen vermischt, entstehen scheinbare Widersprüche. Ähnliche Situationen finden sich zwischen Thermodynamik und statistischer Mechanik, zwischen Quantenmechanik und klassischer Physik oder zwischen unterschiedlichen biologischen Modellierungsansätzen. [20][35][41]</w:t>
      </w:r>
    </w:p>
    <w:p w:rsidR="00AF744E" w:rsidRDefault="00AF744E" w:rsidP="00AF744E">
      <w:pPr>
        <w:pStyle w:val="StandardWeb"/>
      </w:pPr>
      <w:r>
        <w:t>Diese Beispiele zeigen, dass Stabilität allein keine ausreichende Eigenschaft wissenschaftlicher Aussagen darstellt. Entscheidend ist zusätzlich, ob Aussagen innerhalb desselben theoretischen Rahmens gemeinsam bestehen können. Genau diese Fragestellung bildet den Ausgangspunkt der funktionalen Konsistenz.</w:t>
      </w:r>
    </w:p>
    <w:p w:rsidR="00AF744E" w:rsidRDefault="00E50336" w:rsidP="00AF744E">
      <w:r>
        <w:pict>
          <v:rect id="_x0000_i1713" style="width:0;height:1.5pt" o:hralign="center" o:hrstd="t" o:hr="t" fillcolor="#a0a0a0" stroked="f"/>
        </w:pict>
      </w:r>
    </w:p>
    <w:p w:rsidR="00AF744E" w:rsidRDefault="00AF744E" w:rsidP="00AF744E">
      <w:pPr>
        <w:pStyle w:val="berschrift2"/>
      </w:pPr>
      <w:r>
        <w:t>Ziel des Abschnitts</w:t>
      </w:r>
    </w:p>
    <w:p w:rsidR="00AF744E" w:rsidRDefault="00AF744E" w:rsidP="00AF744E">
      <w:pPr>
        <w:pStyle w:val="StandardWeb"/>
      </w:pPr>
      <w:r>
        <w:t>Ich werde in diesem Abschnitt</w:t>
      </w:r>
    </w:p>
    <w:p w:rsidR="00AF744E" w:rsidRDefault="00AF744E" w:rsidP="008C5E65">
      <w:pPr>
        <w:pStyle w:val="StandardWeb"/>
        <w:numPr>
          <w:ilvl w:val="0"/>
          <w:numId w:val="370"/>
        </w:numPr>
      </w:pPr>
      <w:r>
        <w:t>funktionale Konsistenz formal definieren,</w:t>
      </w:r>
    </w:p>
    <w:p w:rsidR="00AF744E" w:rsidRDefault="00AF744E" w:rsidP="008C5E65">
      <w:pPr>
        <w:pStyle w:val="StandardWeb"/>
        <w:numPr>
          <w:ilvl w:val="0"/>
          <w:numId w:val="370"/>
        </w:numPr>
      </w:pPr>
      <w:r>
        <w:t>ihre mathematischen Eigenschaften entwickeln,</w:t>
      </w:r>
    </w:p>
    <w:p w:rsidR="00AF744E" w:rsidRDefault="00AF744E" w:rsidP="008C5E65">
      <w:pPr>
        <w:pStyle w:val="StandardWeb"/>
        <w:numPr>
          <w:ilvl w:val="0"/>
          <w:numId w:val="370"/>
        </w:numPr>
      </w:pPr>
      <w:r>
        <w:t>Konsistenzoperatoren einführen,</w:t>
      </w:r>
    </w:p>
    <w:p w:rsidR="00AF744E" w:rsidRDefault="00AF744E" w:rsidP="008C5E65">
      <w:pPr>
        <w:pStyle w:val="StandardWeb"/>
        <w:numPr>
          <w:ilvl w:val="0"/>
          <w:numId w:val="370"/>
        </w:numPr>
      </w:pPr>
      <w:r>
        <w:t>Konsistenzgraphen und Konsistenznetzwerke entwickeln,</w:t>
      </w:r>
    </w:p>
    <w:p w:rsidR="00AF744E" w:rsidRDefault="00AF744E" w:rsidP="008C5E65">
      <w:pPr>
        <w:pStyle w:val="StandardWeb"/>
        <w:numPr>
          <w:ilvl w:val="0"/>
          <w:numId w:val="370"/>
        </w:numPr>
      </w:pPr>
      <w:r>
        <w:t>verschiedene Arten funktionaler Widersprüche klassifizieren,</w:t>
      </w:r>
    </w:p>
    <w:p w:rsidR="00AF744E" w:rsidRDefault="00AF744E" w:rsidP="008C5E65">
      <w:pPr>
        <w:pStyle w:val="StandardWeb"/>
        <w:numPr>
          <w:ilvl w:val="0"/>
          <w:numId w:val="370"/>
        </w:numPr>
      </w:pPr>
      <w:r>
        <w:t>Konsistenzgrade definieren,</w:t>
      </w:r>
    </w:p>
    <w:p w:rsidR="00AF744E" w:rsidRDefault="00AF744E" w:rsidP="008C5E65">
      <w:pPr>
        <w:pStyle w:val="StandardWeb"/>
        <w:numPr>
          <w:ilvl w:val="0"/>
          <w:numId w:val="370"/>
        </w:numPr>
      </w:pPr>
      <w:r>
        <w:t>Bedingungen vollständiger Modellkonsistenz herleiten,</w:t>
      </w:r>
    </w:p>
    <w:p w:rsidR="00AF744E" w:rsidRDefault="00AF744E" w:rsidP="008C5E65">
      <w:pPr>
        <w:pStyle w:val="StandardWeb"/>
        <w:numPr>
          <w:ilvl w:val="0"/>
          <w:numId w:val="370"/>
        </w:numPr>
      </w:pPr>
      <w:r>
        <w:t>Konsistenz mit den zuvor entwickelten Stabilitätsklassen koppeln,</w:t>
      </w:r>
    </w:p>
    <w:p w:rsidR="00AF744E" w:rsidRDefault="00AF744E" w:rsidP="008C5E65">
      <w:pPr>
        <w:pStyle w:val="StandardWeb"/>
        <w:numPr>
          <w:ilvl w:val="0"/>
          <w:numId w:val="370"/>
        </w:numPr>
      </w:pPr>
      <w:r>
        <w:t>schließlich zeigen, wie sich daraus ein allgemeines Konsistenzaudit wissenschaftlicher Modelle konstruieren lässt.</w:t>
      </w:r>
    </w:p>
    <w:p w:rsidR="00AF744E" w:rsidRDefault="00AF744E" w:rsidP="00AF744E">
      <w:pPr>
        <w:pStyle w:val="StandardWeb"/>
      </w:pPr>
      <w:r>
        <w:t>Damit entsteht erstmals eine vollständige mathematische Theorie funktionaler Konsistenz innerhalb des FRZK.</w:t>
      </w:r>
    </w:p>
    <w:p w:rsidR="00AF744E" w:rsidRDefault="00E50336" w:rsidP="00AF744E">
      <w:r>
        <w:pict>
          <v:rect id="_x0000_i1714" style="width:0;height:1.5pt" o:hralign="center" o:hrstd="t" o:hr="t" fillcolor="#a0a0a0" stroked="f"/>
        </w:pict>
      </w:r>
    </w:p>
    <w:p w:rsidR="00AF744E" w:rsidRDefault="00AF744E" w:rsidP="00AF744E">
      <w:pPr>
        <w:pStyle w:val="berschrift2"/>
      </w:pPr>
      <w:r>
        <w:t>Methodologische Betrachtungen</w:t>
      </w:r>
    </w:p>
    <w:p w:rsidR="00AF744E" w:rsidRDefault="00AF744E" w:rsidP="00AF744E">
      <w:pPr>
        <w:pStyle w:val="StandardWeb"/>
      </w:pPr>
      <w:r>
        <w:t>Mit der Einführung der funktionalen Konsistenz erfolgt ein grundlegender methodischer Perspektivwechsel. Bisher wurden wissenschaftliche Aussagen überwiegend isoliert betrachtet und hinsichtlich ihrer inneren Eigenschaften analysiert. Nun verschiebt sich der Fokus auf die Beziehungen zwischen Aussagen. Wissenschaftliche Modelle bestehen nicht aus einzelnen, voneinander unabhängigen Aussagen, sondern aus hochgradig vernetzten Strukturen. Die wissenschaftliche Qualität eines Modells hängt daher ebenso von der Verträglichkeit seiner Bestandteile wie von deren individueller Stabilität ab.</w:t>
      </w:r>
    </w:p>
    <w:p w:rsidR="00AF744E" w:rsidRDefault="00AF744E" w:rsidP="00AF744E">
      <w:pPr>
        <w:pStyle w:val="StandardWeb"/>
      </w:pPr>
      <w:r>
        <w:t xml:space="preserve">Diese Einsicht rechtfertigt die Einführung einer eigenständigen Konsistenztheorie. Sie verhindert, dass stabile Teilmodelle unkritisch zu Gesamttheorien kombiniert werden, obwohl </w:t>
      </w:r>
      <w:r>
        <w:lastRenderedPageBreak/>
        <w:t>zwischen ihnen funktionale Widersprüche bestehen. Die funktionale Konsistenz bildet damit eine unverzichtbare Ergänzung der zuvor entwickelten Stabilitätsanalyse. Erst das Zusammenwirken beider Ebenen ermöglicht eine belastbare Bewertung wissenschaftlicher Modellstrukturen.</w:t>
      </w:r>
    </w:p>
    <w:p w:rsidR="00AF744E" w:rsidRDefault="00AF744E" w:rsidP="00AF744E">
      <w:pPr>
        <w:pStyle w:val="StandardWeb"/>
      </w:pPr>
      <w:r>
        <w:t>Darüber hinaus eröffnet die funktionale Konsistenz einen neuen Zugang zur Analyse konkurrierender Theorien. Widersprüche werden nicht mehr ausschließlich als logische Fehler interpretiert, sondern als Hinweise auf unterschiedliche Gültigkeitsräume, inkompatible Voraussetzungen oder unzureichend spezifizierte Modellannahmen. Dadurch entsteht ein wesentlich differenzierteres Verständnis wissenschaftlicher Konflikte, das über die klassische Wahr-Falsch-Dichotomie hinausgeht.</w:t>
      </w:r>
    </w:p>
    <w:p w:rsidR="00AF744E" w:rsidRDefault="00E50336" w:rsidP="00AF744E">
      <w:r>
        <w:pict>
          <v:rect id="_x0000_i1715" style="width:0;height:1.5pt" o:hralign="center" o:hrstd="t" o:hr="t" fillcolor="#a0a0a0" stroked="f"/>
        </w:pict>
      </w:r>
    </w:p>
    <w:p w:rsidR="00AF744E" w:rsidRDefault="00AF744E" w:rsidP="00AF744E">
      <w:pPr>
        <w:pStyle w:val="berschrift2"/>
      </w:pPr>
      <w:r>
        <w:t>Didaktische Betrachtungen</w:t>
      </w:r>
    </w:p>
    <w:p w:rsidR="00AF744E" w:rsidRDefault="00AF744E" w:rsidP="00AF744E">
      <w:pPr>
        <w:pStyle w:val="StandardWeb"/>
      </w:pPr>
      <w:r>
        <w:t>Didaktisch markiert dieser Abschnitt einen Übergang vom Denken in einzelnen Aussagen hin zum Denken in wissenschaftlichen Netzwerken. Viele Leser sind daran gewöhnt, Aussagen isoliert zu bewerten. Die Einführung der funktionalen Konsistenz verdeutlicht, dass wissenschaftliche Erkenntnis immer auch aus den Beziehungen zwischen Aussagen entsteht. Dadurch verändert sich das Verständnis wissenschaftlicher Modelle grundlegend: Nicht die isolierte Aussage steht im Mittelpunkt, sondern ihre Einbettung in ein kohärentes Gesamtsystem.</w:t>
      </w:r>
    </w:p>
    <w:p w:rsidR="00AF744E" w:rsidRDefault="00AF744E" w:rsidP="00AF744E">
      <w:pPr>
        <w:pStyle w:val="StandardWeb"/>
      </w:pPr>
      <w:r>
        <w:t>Die schrittweise Entwicklung von Konsistenzrelationen, Konsistenzoperatoren und späteren Konsistenzgraphen unterstützt diesen Lernprozess. Jede neue mathematische Struktur erweitert die zuvor entwickelte Beschreibungsebene, ohne sie zu ersetzen. Dadurch entsteht ein kontinuierlicher Erkenntnisaufbau, bei dem die Leserin oder der Leser jederzeit nachvollziehen kann, warum neue Begriffe eingeführt werden und welche wissenschaftliche Funktion sie erfüllen.</w:t>
      </w:r>
    </w:p>
    <w:p w:rsidR="00AF744E" w:rsidRDefault="00AF744E" w:rsidP="00AF744E">
      <w:pPr>
        <w:pStyle w:val="StandardWeb"/>
      </w:pPr>
      <w:r>
        <w:t>Gleichzeitig bereitet dieser Abschnitt auf die folgenden Kapitel vor, in denen ganze Mengen wissenschaftlicher Aussagen gemeinsam analysiert werden. Die funktionale Konsistenz bildet dafür das methodische Fundament und verhindert, dass spätere mathematische Konstruktionen als rein formale Erweiterungen erscheinen. Stattdessen wird deutlich, dass jede neue Struktur aus einer klar identifizierten wissenschaftlichen Notwendigkeit hervorgeht.</w:t>
      </w:r>
    </w:p>
    <w:p w:rsidR="00AF744E" w:rsidRDefault="00E50336" w:rsidP="00AF744E">
      <w:r>
        <w:pict>
          <v:rect id="_x0000_i1716" style="width:0;height:1.5pt" o:hralign="center" o:hrstd="t" o:hr="t" fillcolor="#a0a0a0" stroked="f"/>
        </w:pict>
      </w:r>
    </w:p>
    <w:p w:rsidR="00AF744E" w:rsidRDefault="00AF744E" w:rsidP="00AF744E">
      <w:pPr>
        <w:pStyle w:val="StandardWeb"/>
      </w:pPr>
      <w:r>
        <w:t xml:space="preserve">Dies bildet </w:t>
      </w:r>
      <w:r>
        <w:rPr>
          <w:rStyle w:val="Fett"/>
        </w:rPr>
        <w:t>erst die Einleitung (3.3.42.0)</w:t>
      </w:r>
      <w:r>
        <w:t xml:space="preserve">. Im nächsten Schritt folgt </w:t>
      </w:r>
      <w:r>
        <w:rPr>
          <w:rStyle w:val="Fett"/>
        </w:rPr>
        <w:t>3.3.42.1 „Grundbegriffe der funktionalen Konsistenz“</w:t>
      </w:r>
      <w:r>
        <w:t xml:space="preserve"> mit </w:t>
      </w:r>
      <w:r>
        <w:rPr>
          <w:rStyle w:val="Fett"/>
        </w:rPr>
        <w:t>Definition 3.3.34</w:t>
      </w:r>
      <w:r>
        <w:t xml:space="preserve">, den ersten formalen Gleichungen </w:t>
      </w:r>
      <w:r>
        <w:rPr>
          <w:rStyle w:val="Fett"/>
        </w:rPr>
        <w:t>(3.7590 ff.)</w:t>
      </w:r>
      <w:r>
        <w:t xml:space="preserve">, unmittelbaren </w:t>
      </w:r>
      <w:r>
        <w:rPr>
          <w:rStyle w:val="Fett"/>
        </w:rPr>
        <w:t>Word-LaTeX-Versionen</w:t>
      </w:r>
      <w:r>
        <w:t>, Beispielen sowie den zugehörigen methodologischen und didaktischen Abschlussbetrachtungen.</w:t>
      </w:r>
    </w:p>
    <w:p w:rsidR="0006269C" w:rsidRDefault="0006269C" w:rsidP="0006269C">
      <w:pPr>
        <w:pStyle w:val="berschrift2"/>
        <w:rPr>
          <w:rFonts w:cs="Times New Roman"/>
        </w:rPr>
      </w:pPr>
      <w:r>
        <w:t>3.3.42.1 Grundbegriffe der funktionalen Konsistenz</w:t>
      </w:r>
    </w:p>
    <w:p w:rsidR="0006269C" w:rsidRDefault="0006269C" w:rsidP="0006269C">
      <w:pPr>
        <w:pStyle w:val="StandardWeb"/>
      </w:pPr>
      <w:r>
        <w:t xml:space="preserve">Nachdem ich die wissenschaftliche Notwendigkeit einer eigenständigen Konsistenztheorie begründet habe, muss nun zunächst präzisiert werden, was unter einer </w:t>
      </w:r>
      <w:r>
        <w:rPr>
          <w:rStyle w:val="Fett"/>
        </w:rPr>
        <w:t>funktionalen Konsistenz</w:t>
      </w:r>
      <w:r>
        <w:t xml:space="preserve"> im Rahmen des Funktionalen Raum-Zeit-Kohärenzsystems verstanden werden soll. Dabei genügt es nicht, den klassischen logischen Konsistenzbegriff zu übernehmen. </w:t>
      </w:r>
      <w:r>
        <w:lastRenderedPageBreak/>
        <w:t>Wissenschaftliche Aussagen besitzen stets einen Gültigkeitsbereich, Modellannahmen, Randbedingungen sowie einen funktionalen Zustandsraum. Die Konsistenz zweier Aussagen kann daher nur innerhalb eines gemeinsamen funktionalen Kontextes beurteilt werden. [20][35]</w:t>
      </w:r>
    </w:p>
    <w:p w:rsidR="0006269C" w:rsidRDefault="0006269C" w:rsidP="0006269C">
      <w:pPr>
        <w:pStyle w:val="StandardWeb"/>
      </w:pPr>
      <w:r>
        <w:t>Ich definiere funktionale Konsistenz deshalb als eine Relation zwischen zwei wissenschaftlichen Aussagen, die beschreibt, ob beide Aussagen unter identischen funktionalen Voraussetzungen gleichzeitig gültig sein können. Damit wird Konsistenz zu einer Eigenschaft des Gesamtsystems und nicht mehr ausschließlich einer einzelnen Aussage.</w:t>
      </w:r>
    </w:p>
    <w:p w:rsidR="0006269C" w:rsidRDefault="00E50336" w:rsidP="0006269C">
      <w:r>
        <w:pict>
          <v:rect id="_x0000_i1717" style="width:0;height:1.5pt" o:hralign="center" o:hrstd="t" o:hr="t" fillcolor="#a0a0a0" stroked="f"/>
        </w:pict>
      </w:r>
    </w:p>
    <w:p w:rsidR="0006269C" w:rsidRDefault="0006269C" w:rsidP="0006269C">
      <w:pPr>
        <w:pStyle w:val="berschrift3"/>
      </w:pPr>
      <w:r>
        <w:t>Definition 3.3.34 (Funktionale Konsistenzrelation)</w:t>
      </w:r>
    </w:p>
    <w:p w:rsidR="0006269C" w:rsidRDefault="0006269C" w:rsidP="0006269C">
      <w:pPr>
        <w:pStyle w:val="StandardWeb"/>
      </w:pPr>
      <w:r>
        <w:t xml:space="preserve">Ich definiere die </w:t>
      </w:r>
      <w:r>
        <w:rPr>
          <w:rStyle w:val="Fett"/>
        </w:rPr>
        <w:t>funktionale Konsistenzrelation</w:t>
      </w:r>
      <w:r>
        <w:t xml:space="preserve"> (K_F) als Abbildung</w:t>
      </w:r>
    </w:p>
    <w:p w:rsidR="0006269C" w:rsidRDefault="0006269C" w:rsidP="0006269C">
      <w:pPr>
        <w:pStyle w:val="StandardWeb"/>
      </w:pPr>
      <w:r>
        <w:t>[</w:t>
      </w:r>
      <w:r>
        <w:br/>
        <w:t>K_F:\mathcal{A}\times\mathcal{A}\longrightarrow{0,1}</w:t>
      </w:r>
      <w:r>
        <w:br/>
        <w:t>\tag{3.7590}</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K_F:\mathcal{A}\times\mathcal{A}\longrightarrow\{0,1\}</w:t>
      </w:r>
    </w:p>
    <w:p w:rsidR="0006269C" w:rsidRDefault="0006269C" w:rsidP="0006269C">
      <w:pPr>
        <w:pStyle w:val="StandardWeb"/>
      </w:pPr>
      <w:r>
        <w:t>Hierbei bezeichnet</w:t>
      </w:r>
    </w:p>
    <w:p w:rsidR="0006269C" w:rsidRDefault="0006269C" w:rsidP="008C5E65">
      <w:pPr>
        <w:pStyle w:val="StandardWeb"/>
        <w:numPr>
          <w:ilvl w:val="0"/>
          <w:numId w:val="371"/>
        </w:numPr>
      </w:pPr>
      <w:r>
        <w:t>(\mathcal{A}) die Menge sämtlicher wissenschaftlicher Aussagen,</w:t>
      </w:r>
    </w:p>
    <w:p w:rsidR="0006269C" w:rsidRDefault="0006269C" w:rsidP="008C5E65">
      <w:pPr>
        <w:pStyle w:val="StandardWeb"/>
        <w:numPr>
          <w:ilvl w:val="0"/>
          <w:numId w:val="371"/>
        </w:numPr>
      </w:pPr>
      <w:r>
        <w:t>(K_F=1) funktionale Konsistenz,</w:t>
      </w:r>
    </w:p>
    <w:p w:rsidR="0006269C" w:rsidRDefault="0006269C" w:rsidP="008C5E65">
      <w:pPr>
        <w:pStyle w:val="StandardWeb"/>
        <w:numPr>
          <w:ilvl w:val="0"/>
          <w:numId w:val="371"/>
        </w:numPr>
      </w:pPr>
      <w:r>
        <w:t>(K_F=0) funktionalen Widerspruch.</w:t>
      </w:r>
    </w:p>
    <w:p w:rsidR="0006269C" w:rsidRDefault="0006269C" w:rsidP="0006269C">
      <w:pPr>
        <w:pStyle w:val="StandardWeb"/>
      </w:pPr>
      <w:r>
        <w:t>Die Relation bewertet ausschließlich die gemeinsame Anwendbarkeit zweier Aussagen innerhalb desselben funktionalen Zustandsraumes und trifft zunächst keine Aussage über deren Wahrheit oder empirische Bestätigung.</w:t>
      </w:r>
    </w:p>
    <w:p w:rsidR="0006269C" w:rsidRDefault="00E50336" w:rsidP="0006269C">
      <w:r>
        <w:pict>
          <v:rect id="_x0000_i1718" style="width:0;height:1.5pt" o:hralign="center" o:hrstd="t" o:hr="t" fillcolor="#a0a0a0" stroked="f"/>
        </w:pict>
      </w:r>
    </w:p>
    <w:p w:rsidR="0006269C" w:rsidRDefault="0006269C" w:rsidP="0006269C">
      <w:pPr>
        <w:pStyle w:val="berschrift3"/>
      </w:pPr>
      <w:r>
        <w:t>Gemeinsamer Gültigkeitsraum</w:t>
      </w:r>
    </w:p>
    <w:p w:rsidR="0006269C" w:rsidRDefault="0006269C" w:rsidP="0006269C">
      <w:pPr>
        <w:pStyle w:val="StandardWeb"/>
      </w:pPr>
      <w:r>
        <w:t>Seien</w:t>
      </w:r>
    </w:p>
    <w:p w:rsidR="0006269C" w:rsidRDefault="0006269C" w:rsidP="0006269C">
      <w:pPr>
        <w:pStyle w:val="StandardWeb"/>
      </w:pPr>
      <w:r>
        <w:t>[</w:t>
      </w:r>
      <w:r>
        <w:br/>
        <w:t>\Omega_i,\Omega_j\subseteq\Omega</w:t>
      </w:r>
      <w:r>
        <w:br/>
        <w:t>\tag{3.7591}</w:t>
      </w:r>
      <w:r>
        <w:br/>
        <w:t>]</w:t>
      </w:r>
    </w:p>
    <w:p w:rsidR="0006269C" w:rsidRDefault="0006269C" w:rsidP="0006269C">
      <w:pPr>
        <w:pStyle w:val="StandardWeb"/>
      </w:pPr>
      <w:r>
        <w:t>die jeweiligen Gültigkeitsräume zweier Aussagen.</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\Omega_i,\Omega_j\subseteq\Omega</w:t>
      </w:r>
    </w:p>
    <w:p w:rsidR="0006269C" w:rsidRDefault="0006269C" w:rsidP="0006269C">
      <w:pPr>
        <w:pStyle w:val="StandardWeb"/>
      </w:pPr>
      <w:r>
        <w:lastRenderedPageBreak/>
        <w:t>Nur innerhalb der Schnittmenge</w:t>
      </w:r>
    </w:p>
    <w:p w:rsidR="0006269C" w:rsidRDefault="0006269C" w:rsidP="0006269C">
      <w:pPr>
        <w:pStyle w:val="StandardWeb"/>
      </w:pPr>
      <w:r>
        <w:t>[</w:t>
      </w:r>
      <w:r>
        <w:br/>
        <w:t>\Omega_{ij}=\Omega_i\cap\Omega_j</w:t>
      </w:r>
      <w:r>
        <w:br/>
        <w:t>\tag{3.7592}</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\Omega_{ij}=\Omega_i\cap\Omega_j</w:t>
      </w:r>
    </w:p>
    <w:p w:rsidR="0006269C" w:rsidRDefault="0006269C" w:rsidP="0006269C">
      <w:pPr>
        <w:pStyle w:val="StandardWeb"/>
      </w:pPr>
      <w:r>
        <w:t>kann eine funktionale Konsistenz überhaupt untersucht werden.</w:t>
      </w:r>
    </w:p>
    <w:p w:rsidR="0006269C" w:rsidRDefault="0006269C" w:rsidP="0006269C">
      <w:pPr>
        <w:pStyle w:val="StandardWeb"/>
      </w:pPr>
      <w:r>
        <w:t>Existiert keine gemeinsame Schnittmenge,</w:t>
      </w:r>
    </w:p>
    <w:p w:rsidR="0006269C" w:rsidRDefault="0006269C" w:rsidP="0006269C">
      <w:pPr>
        <w:pStyle w:val="StandardWeb"/>
      </w:pPr>
      <w:r>
        <w:t>[</w:t>
      </w:r>
      <w:r>
        <w:br/>
        <w:t>\Omega_i\cap\Omega_j=\varnothing,</w:t>
      </w:r>
      <w:r>
        <w:br/>
        <w:t>\tag{3.7593}</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\Omega_i\cap\Omega_j=\varnothing</w:t>
      </w:r>
    </w:p>
    <w:p w:rsidR="0006269C" w:rsidRDefault="0006269C" w:rsidP="0006269C">
      <w:pPr>
        <w:pStyle w:val="StandardWeb"/>
      </w:pPr>
      <w:r>
        <w:t>so ist die Konsistenzrelation nicht definiert.</w:t>
      </w:r>
    </w:p>
    <w:p w:rsidR="0006269C" w:rsidRDefault="0006269C" w:rsidP="0006269C">
      <w:pPr>
        <w:pStyle w:val="StandardWeb"/>
      </w:pPr>
      <w:r>
        <w:t>Ich schreibe hierfür</w:t>
      </w:r>
    </w:p>
    <w:p w:rsidR="0006269C" w:rsidRDefault="0006269C" w:rsidP="0006269C">
      <w:pPr>
        <w:pStyle w:val="StandardWeb"/>
      </w:pPr>
      <w:r>
        <w:t>[</w:t>
      </w:r>
      <w:r>
        <w:br/>
        <w:t>K_F(A_i,A_j)=\bot</w:t>
      </w:r>
      <w:r>
        <w:br/>
        <w:t>\tag{3.7594}</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K_F(A_i,A_j)=\bot</w:t>
      </w:r>
    </w:p>
    <w:p w:rsidR="0006269C" w:rsidRDefault="0006269C" w:rsidP="0006269C">
      <w:pPr>
        <w:pStyle w:val="StandardWeb"/>
      </w:pPr>
      <w:r>
        <w:t xml:space="preserve">Das Symbol (\bot) bedeutet hier ausdrücklich </w:t>
      </w:r>
      <w:r>
        <w:rPr>
          <w:rStyle w:val="Fett"/>
        </w:rPr>
        <w:t>„nicht entscheidbar aufgrund fehlender gemeinsamer Anwendbarkeit“</w:t>
      </w:r>
      <w:r>
        <w:t xml:space="preserve"> und </w:t>
      </w:r>
      <w:r>
        <w:rPr>
          <w:rStyle w:val="Fett"/>
        </w:rPr>
        <w:t>nicht</w:t>
      </w:r>
      <w:r>
        <w:t xml:space="preserve"> „Widerspruch“.</w:t>
      </w:r>
    </w:p>
    <w:p w:rsidR="0006269C" w:rsidRDefault="0006269C" w:rsidP="0006269C">
      <w:pPr>
        <w:pStyle w:val="StandardWeb"/>
      </w:pPr>
      <w:r>
        <w:t>Damit entsteht bereits eine dreistufige Bewertung:</w:t>
      </w:r>
    </w:p>
    <w:p w:rsidR="0006269C" w:rsidRDefault="0006269C" w:rsidP="008C5E65">
      <w:pPr>
        <w:pStyle w:val="StandardWeb"/>
        <w:numPr>
          <w:ilvl w:val="0"/>
          <w:numId w:val="372"/>
        </w:numPr>
      </w:pPr>
      <w:r>
        <w:t>konsistent,</w:t>
      </w:r>
    </w:p>
    <w:p w:rsidR="0006269C" w:rsidRDefault="0006269C" w:rsidP="008C5E65">
      <w:pPr>
        <w:pStyle w:val="StandardWeb"/>
        <w:numPr>
          <w:ilvl w:val="0"/>
          <w:numId w:val="372"/>
        </w:numPr>
      </w:pPr>
      <w:r>
        <w:t>widersprüchlich,</w:t>
      </w:r>
    </w:p>
    <w:p w:rsidR="0006269C" w:rsidRDefault="0006269C" w:rsidP="008C5E65">
      <w:pPr>
        <w:pStyle w:val="StandardWeb"/>
        <w:numPr>
          <w:ilvl w:val="0"/>
          <w:numId w:val="372"/>
        </w:numPr>
      </w:pPr>
      <w:r>
        <w:t>nicht vergleichbar.</w:t>
      </w:r>
    </w:p>
    <w:p w:rsidR="0006269C" w:rsidRDefault="00E50336" w:rsidP="0006269C">
      <w:r>
        <w:pict>
          <v:rect id="_x0000_i1719" style="width:0;height:1.5pt" o:hralign="center" o:hrstd="t" o:hr="t" fillcolor="#a0a0a0" stroked="f"/>
        </w:pict>
      </w:r>
    </w:p>
    <w:p w:rsidR="0006269C" w:rsidRDefault="0006269C" w:rsidP="0006269C">
      <w:pPr>
        <w:pStyle w:val="berschrift3"/>
      </w:pPr>
      <w:r>
        <w:t>Definition 3.3.35 (Vergleichbarkeit)</w:t>
      </w:r>
    </w:p>
    <w:p w:rsidR="0006269C" w:rsidRDefault="0006269C" w:rsidP="0006269C">
      <w:pPr>
        <w:pStyle w:val="StandardWeb"/>
      </w:pPr>
      <w:r>
        <w:t xml:space="preserve">Zwei Aussagen heißen </w:t>
      </w:r>
      <w:r>
        <w:rPr>
          <w:rStyle w:val="Fett"/>
        </w:rPr>
        <w:t>funktional vergleichbar</w:t>
      </w:r>
      <w:r>
        <w:t>, wenn ihre funktionalen Zustandsräume eine nichtleere Schnittmenge besitzen.</w:t>
      </w:r>
    </w:p>
    <w:p w:rsidR="0006269C" w:rsidRDefault="0006269C" w:rsidP="0006269C">
      <w:pPr>
        <w:pStyle w:val="StandardWeb"/>
      </w:pPr>
      <w:r>
        <w:lastRenderedPageBreak/>
        <w:t>Formal</w:t>
      </w:r>
    </w:p>
    <w:p w:rsidR="0006269C" w:rsidRDefault="0006269C" w:rsidP="0006269C">
      <w:pPr>
        <w:pStyle w:val="StandardWeb"/>
      </w:pPr>
      <w:r>
        <w:t>[</w:t>
      </w:r>
      <w:r>
        <w:br/>
        <w:t>C(A_i,A_j)=</w:t>
      </w:r>
      <w:r>
        <w:br/>
        <w:t>\begin{cases}</w:t>
      </w:r>
      <w:r>
        <w:br/>
        <w:t>1,&amp;\Omega_i\cap\Omega_j\neq\varnothing,\</w:t>
      </w:r>
      <w:r>
        <w:br/>
        <w:t>0,&amp;\Omega_i\cap\Omega_j=\varnothing.</w:t>
      </w:r>
      <w:r>
        <w:br/>
        <w:t>\end{cases}</w:t>
      </w:r>
      <w:r>
        <w:br/>
        <w:t>\tag{3.7595}</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C(A_i,A_j)=</w:t>
      </w:r>
    </w:p>
    <w:p w:rsidR="0006269C" w:rsidRDefault="0006269C" w:rsidP="0006269C">
      <w:pPr>
        <w:pStyle w:val="HTMLVorformatiert"/>
        <w:rPr>
          <w:rStyle w:val="HTMLCode"/>
        </w:rPr>
      </w:pPr>
      <w:r>
        <w:rPr>
          <w:rStyle w:val="HTMLCode"/>
        </w:rPr>
        <w:t>\begin{cases}</w:t>
      </w:r>
    </w:p>
    <w:p w:rsidR="0006269C" w:rsidRDefault="0006269C" w:rsidP="0006269C">
      <w:pPr>
        <w:pStyle w:val="HTMLVorformatiert"/>
        <w:rPr>
          <w:rStyle w:val="HTMLCode"/>
        </w:rPr>
      </w:pPr>
      <w:r>
        <w:rPr>
          <w:rStyle w:val="HTMLCode"/>
        </w:rPr>
        <w:t>1,&amp;\Omega_i\cap\Omega_j\neq\varnothing,\\</w:t>
      </w:r>
    </w:p>
    <w:p w:rsidR="0006269C" w:rsidRDefault="0006269C" w:rsidP="0006269C">
      <w:pPr>
        <w:pStyle w:val="HTMLVorformatiert"/>
        <w:rPr>
          <w:rStyle w:val="HTMLCode"/>
        </w:rPr>
      </w:pPr>
      <w:r>
        <w:rPr>
          <w:rStyle w:val="HTMLCode"/>
        </w:rPr>
        <w:t>0,&amp;\Omega_i\cap\Omega_j=\varnothing.</w:t>
      </w:r>
    </w:p>
    <w:p w:rsidR="0006269C" w:rsidRDefault="0006269C" w:rsidP="0006269C">
      <w:pPr>
        <w:pStyle w:val="HTMLVorformatiert"/>
        <w:rPr>
          <w:rStyle w:val="HTMLCode"/>
        </w:rPr>
      </w:pPr>
      <w:r>
        <w:rPr>
          <w:rStyle w:val="HTMLCode"/>
        </w:rPr>
        <w:t>\end{cases}</w:t>
      </w:r>
    </w:p>
    <w:p w:rsidR="0006269C" w:rsidRDefault="0006269C" w:rsidP="0006269C">
      <w:pPr>
        <w:pStyle w:val="StandardWeb"/>
      </w:pPr>
      <w:r>
        <w:t>Die Vergleichbarkeit stellt somit eine notwendige Voraussetzung jeder späteren Konsistenzprüfung dar.</w:t>
      </w:r>
    </w:p>
    <w:p w:rsidR="0006269C" w:rsidRDefault="00E50336" w:rsidP="0006269C">
      <w:r>
        <w:pict>
          <v:rect id="_x0000_i1720" style="width:0;height:1.5pt" o:hralign="center" o:hrstd="t" o:hr="t" fillcolor="#a0a0a0" stroked="f"/>
        </w:pict>
      </w:r>
    </w:p>
    <w:p w:rsidR="0006269C" w:rsidRDefault="0006269C" w:rsidP="0006269C">
      <w:pPr>
        <w:pStyle w:val="berschrift3"/>
      </w:pPr>
      <w:r>
        <w:t>Beziehung zwischen Vergleichbarkeit und Konsistenz</w:t>
      </w:r>
    </w:p>
    <w:p w:rsidR="0006269C" w:rsidRDefault="0006269C" w:rsidP="0006269C">
      <w:pPr>
        <w:pStyle w:val="StandardWeb"/>
      </w:pPr>
      <w:r>
        <w:t>Es gilt unmittelbar</w:t>
      </w:r>
    </w:p>
    <w:p w:rsidR="0006269C" w:rsidRDefault="0006269C" w:rsidP="0006269C">
      <w:pPr>
        <w:pStyle w:val="StandardWeb"/>
      </w:pPr>
      <w:r>
        <w:t>[</w:t>
      </w:r>
      <w:r>
        <w:br/>
        <w:t>K_F(A_i,A_j)\Longrightarrow C(A_i,A_j).</w:t>
      </w:r>
      <w:r>
        <w:br/>
        <w:t>\tag{3.7596}</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K_F(A_i,A_j)\Longrightarrow C(A_i,A_j)</w:t>
      </w:r>
    </w:p>
    <w:p w:rsidR="0006269C" w:rsidRDefault="0006269C" w:rsidP="0006269C">
      <w:pPr>
        <w:pStyle w:val="StandardWeb"/>
      </w:pPr>
      <w:r>
        <w:t>Die Umkehrung gilt dagegen nicht.</w:t>
      </w:r>
    </w:p>
    <w:p w:rsidR="0006269C" w:rsidRDefault="0006269C" w:rsidP="0006269C">
      <w:pPr>
        <w:pStyle w:val="StandardWeb"/>
      </w:pPr>
      <w:r>
        <w:t>Vergleichbarkeit bedeutet lediglich, dass beide Aussagen überhaupt gemeinsam untersucht werden können. Ob sie anschließend miteinander verträglich sind, bleibt eine eigenständige wissenschaftliche Fragestellung.</w:t>
      </w:r>
    </w:p>
    <w:p w:rsidR="0006269C" w:rsidRDefault="00E50336" w:rsidP="0006269C">
      <w:r>
        <w:pict>
          <v:rect id="_x0000_i1721" style="width:0;height:1.5pt" o:hralign="center" o:hrstd="t" o:hr="t" fillcolor="#a0a0a0" stroked="f"/>
        </w:pict>
      </w:r>
    </w:p>
    <w:p w:rsidR="0006269C" w:rsidRDefault="0006269C" w:rsidP="0006269C">
      <w:pPr>
        <w:pStyle w:val="berschrift3"/>
      </w:pPr>
      <w:r>
        <w:t>Erstes Beispiel</w:t>
      </w:r>
    </w:p>
    <w:p w:rsidR="0006269C" w:rsidRDefault="0006269C" w:rsidP="0006269C">
      <w:pPr>
        <w:pStyle w:val="StandardWeb"/>
      </w:pPr>
      <w:r>
        <w:t xml:space="preserve">Die Newtonsche Mechanik besitzt innerhalb kleiner Geschwindigkeiten einen anderen funktionalen Gültigkeitsraum als die spezielle Relativitätstheorie. Beide Modelle besitzen jedoch einen gemeinsamen Überlappungsbereich niedriger Geschwindigkeiten. Innerhalb dieses Bereiches ist eine funktionale Konsistenzprüfung möglich. Außerhalb dieses </w:t>
      </w:r>
      <w:r>
        <w:lastRenderedPageBreak/>
        <w:t>gemeinsamen Bereiches wäre eine direkte Konsistenzbewertung methodisch unzulässig. [35][41]</w:t>
      </w:r>
    </w:p>
    <w:p w:rsidR="0006269C" w:rsidRDefault="0006269C" w:rsidP="0006269C">
      <w:pPr>
        <w:pStyle w:val="StandardWeb"/>
      </w:pPr>
      <w:r>
        <w:t>Dieses Beispiel zeigt bereits, dass scheinbare wissenschaftliche Widersprüche häufig aus einer Vermischung unterschiedlicher Gültigkeitsräume entstehen und nicht aus einem tatsächlichen logischen Konflikt.</w:t>
      </w:r>
    </w:p>
    <w:p w:rsidR="0006269C" w:rsidRDefault="00E50336" w:rsidP="0006269C">
      <w:r>
        <w:pict>
          <v:rect id="_x0000_i1722" style="width:0;height:1.5pt" o:hralign="center" o:hrstd="t" o:hr="t" fillcolor="#a0a0a0" stroked="f"/>
        </w:pict>
      </w:r>
    </w:p>
    <w:p w:rsidR="0006269C" w:rsidRDefault="0006269C" w:rsidP="0006269C">
      <w:pPr>
        <w:pStyle w:val="berschrift2"/>
      </w:pPr>
      <w:r>
        <w:t>Methodologische Betrachtungen</w:t>
      </w:r>
    </w:p>
    <w:p w:rsidR="0006269C" w:rsidRDefault="0006269C" w:rsidP="0006269C">
      <w:pPr>
        <w:pStyle w:val="StandardWeb"/>
      </w:pPr>
      <w:r>
        <w:t xml:space="preserve">Mit den Definitionen der funktionalen Konsistenzrelation und der funktionalen Vergleichbarkeit führe ich zwei methodisch klar voneinander getrennte Begriffe ein. Zunächst wird geprüft, </w:t>
      </w:r>
      <w:r>
        <w:rPr>
          <w:rStyle w:val="Fett"/>
        </w:rPr>
        <w:t>ob</w:t>
      </w:r>
      <w:r>
        <w:t xml:space="preserve"> zwei Aussagen aufgrund ihrer Gültigkeitsbereiche überhaupt gemeinsam untersucht werden dürfen. Erst danach wird bewertet, </w:t>
      </w:r>
      <w:r>
        <w:rPr>
          <w:rStyle w:val="Fett"/>
        </w:rPr>
        <w:t>ob</w:t>
      </w:r>
      <w:r>
        <w:t xml:space="preserve"> diese Aussagen innerhalb des gemeinsamen Zustandsraumes miteinander vereinbar sind. Diese Zweistufigkeit verhindert einen grundlegenden methodischen Fehler vieler wissenschaftlicher Diskussionen, bei denen Aussagen unterschiedlicher Anwendungsbereiche unmittelbar miteinander verglichen werden. Das FRZK fordert deshalb eine explizite Prüfung der Vergleichbarkeit als notwendige Vorbedingung jeder Konsistenzanalyse.</w:t>
      </w:r>
    </w:p>
    <w:p w:rsidR="0006269C" w:rsidRDefault="0006269C" w:rsidP="0006269C">
      <w:pPr>
        <w:pStyle w:val="StandardWeb"/>
      </w:pPr>
      <w:r>
        <w:t xml:space="preserve">Darüber hinaus wird der klassische binäre Konsistenzbegriff erweitert. Neben „konsistent“ und „inkonsistent“ existiert nun der wissenschaftlich bedeutsame Fall der </w:t>
      </w:r>
      <w:r>
        <w:rPr>
          <w:rStyle w:val="Fett"/>
        </w:rPr>
        <w:t>Nichtvergleichbarkeit</w:t>
      </w:r>
      <w:r>
        <w:t>. Dadurch können Aussagen, die unterschiedliche Phänomenbereiche beschreiben, korrekt als methodisch nicht gemeinsam beurteilbar ausgewiesen werden, ohne ihnen vorschnell einen Widerspruch zuzuschreiben. Diese Erweiterung erhöht die wissenschaftliche Präzision des gesamten Konsistenzkonzeptes erheblich.</w:t>
      </w:r>
    </w:p>
    <w:p w:rsidR="0006269C" w:rsidRDefault="00E50336" w:rsidP="0006269C">
      <w:r>
        <w:pict>
          <v:rect id="_x0000_i1723" style="width:0;height:1.5pt" o:hralign="center" o:hrstd="t" o:hr="t" fillcolor="#a0a0a0" stroked="f"/>
        </w:pict>
      </w:r>
    </w:p>
    <w:p w:rsidR="0006269C" w:rsidRDefault="0006269C" w:rsidP="0006269C">
      <w:pPr>
        <w:pStyle w:val="berschrift2"/>
      </w:pPr>
      <w:r>
        <w:t>Didaktische Betrachtungen</w:t>
      </w:r>
    </w:p>
    <w:p w:rsidR="0006269C" w:rsidRDefault="0006269C" w:rsidP="0006269C">
      <w:pPr>
        <w:pStyle w:val="StandardWeb"/>
      </w:pPr>
      <w:r>
        <w:t xml:space="preserve">Didaktisch bildet dieser Abschnitt das Fundament für alle folgenden Konsistenzuntersuchungen. Leserinnen und Leser neigen häufig dazu, jede Abweichung zwischen zwei Aussagen sofort als Widerspruch zu interpretieren. Die Einführung der Vergleichbarkeit zeigt dagegen, dass zunächst geprüft werden muss, ob beide Aussagen überhaupt dieselbe wissenschaftliche Situation beschreiben. Dadurch wird ein häufiger Denkfehler vermieden und ein systematischer Prüfablauf etabliert: </w:t>
      </w:r>
      <w:r>
        <w:rPr>
          <w:rStyle w:val="Fett"/>
        </w:rPr>
        <w:t>Vergleichbarkeit → Konsistenz → Bewertung</w:t>
      </w:r>
      <w:r>
        <w:t>.</w:t>
      </w:r>
    </w:p>
    <w:p w:rsidR="0006269C" w:rsidRDefault="0006269C" w:rsidP="0006269C">
      <w:pPr>
        <w:pStyle w:val="StandardWeb"/>
      </w:pPr>
      <w:r>
        <w:t>Die gewählten Beispiele aus der Physik verdeutlichen diesen Gedankengang anschaulich. Sie zeigen, dass unterschiedliche Modelle durchaus nebeneinander bestehen können, sofern ihre jeweiligen Gültigkeitsbereiche korrekt berücksichtigt werden. Auf dieser Grundlage kann der Leser die nachfolgenden mathematischen Konstruktionen – insbesondere Konsistenzoperatoren, Konsistenzmatrizen und Konsistenzgraphen – als natürliche Erweiterungen eines bereits verstandenen Grundprinzips nachvollziehen.</w:t>
      </w:r>
    </w:p>
    <w:p w:rsidR="0006269C" w:rsidRDefault="0006269C" w:rsidP="0006269C">
      <w:pPr>
        <w:pStyle w:val="berschrift2"/>
        <w:rPr>
          <w:rFonts w:cs="Times New Roman"/>
        </w:rPr>
      </w:pPr>
      <w:r>
        <w:t>3.3.42.2 Vergleichbarkeitsrelationen wissenschaftlicher Aussagen</w:t>
      </w:r>
    </w:p>
    <w:p w:rsidR="0006269C" w:rsidRDefault="0006269C" w:rsidP="0006269C">
      <w:pPr>
        <w:pStyle w:val="StandardWeb"/>
      </w:pPr>
      <w:r>
        <w:lastRenderedPageBreak/>
        <w:t xml:space="preserve">Mit der Definition der funktionalen Konsistenzrelation wurde zunächst festgelegt, unter welchen Voraussetzungen zwei wissenschaftliche Aussagen gemeinsam bewertet werden können. Diese Definition allein genügt jedoch noch nicht für die spätere mathematische Entwicklung. Vor jeder eigentlichen Konsistenzanalyse muss zunächst entschieden werden, </w:t>
      </w:r>
      <w:r>
        <w:rPr>
          <w:rStyle w:val="Fett"/>
        </w:rPr>
        <w:t>welche Form der Vergleichbarkeit überhaupt zwischen zwei Aussagen besteht</w:t>
      </w:r>
      <w:r>
        <w:t>.</w:t>
      </w:r>
    </w:p>
    <w:p w:rsidR="0006269C" w:rsidRDefault="0006269C" w:rsidP="0006269C">
      <w:pPr>
        <w:pStyle w:val="StandardWeb"/>
      </w:pPr>
      <w:r>
        <w:t>Dabei zeigt sich unmittelbar, dass Vergleichbarkeit selbst keine binäre Eigenschaft ist. Zwei Aussagen können vollständig denselben Gültigkeitsraum besitzen, sie können sich lediglich teilweise überlappen oder vollständig disjunkt sein. Für das Funktionale Raum-Zeit-Kohärenzsystem ist diese Unterscheidung von zentraler Bedeutung, weil spätere Konsistenzoperatoren ausschließlich auf tatsächlich vorhandenen gemeinsamen Zustandsräumen arbeiten dürfen. [20][35]</w:t>
      </w:r>
    </w:p>
    <w:p w:rsidR="0006269C" w:rsidRDefault="0006269C" w:rsidP="0006269C">
      <w:pPr>
        <w:pStyle w:val="StandardWeb"/>
      </w:pPr>
      <w:r>
        <w:t>Ich führe deshalb zunächst eine Klassifikation der funktionalen Vergleichbarkeit ein.</w:t>
      </w:r>
    </w:p>
    <w:p w:rsidR="0006269C" w:rsidRDefault="00E50336" w:rsidP="0006269C">
      <w:r>
        <w:pict>
          <v:rect id="_x0000_i1724" style="width:0;height:1.5pt" o:hralign="center" o:hrstd="t" o:hr="t" fillcolor="#a0a0a0" stroked="f"/>
        </w:pict>
      </w:r>
    </w:p>
    <w:p w:rsidR="0006269C" w:rsidRDefault="0006269C" w:rsidP="0006269C">
      <w:pPr>
        <w:pStyle w:val="berschrift2"/>
      </w:pPr>
      <w:r>
        <w:t>Definition 3.3.36 (Vollständige Vergleichbarkeit)</w:t>
      </w:r>
    </w:p>
    <w:p w:rsidR="0006269C" w:rsidRDefault="0006269C" w:rsidP="0006269C">
      <w:pPr>
        <w:pStyle w:val="StandardWeb"/>
      </w:pPr>
      <w:r>
        <w:t xml:space="preserve">Zwei wissenschaftliche Aussagen heißen </w:t>
      </w:r>
      <w:r>
        <w:rPr>
          <w:rStyle w:val="Fett"/>
        </w:rPr>
        <w:t>vollständig vergleichbar</w:t>
      </w:r>
      <w:r>
        <w:t>, wenn ihre funktionalen Gültigkeitsräume identisch sind.</w:t>
      </w:r>
    </w:p>
    <w:p w:rsidR="0006269C" w:rsidRDefault="0006269C" w:rsidP="0006269C">
      <w:pPr>
        <w:pStyle w:val="StandardWeb"/>
      </w:pPr>
      <w:r>
        <w:t>Formal gilt</w:t>
      </w:r>
    </w:p>
    <w:p w:rsidR="0006269C" w:rsidRDefault="0006269C" w:rsidP="0006269C">
      <w:pPr>
        <w:pStyle w:val="StandardWeb"/>
      </w:pPr>
      <w:r>
        <w:t>[</w:t>
      </w:r>
      <w:r>
        <w:br/>
        <w:t>\Omega_i=\Omega_j</w:t>
      </w:r>
      <w:r>
        <w:br/>
        <w:t>\tag{3.7597}</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\Omega_i=\Omega_j</w:t>
      </w:r>
    </w:p>
    <w:p w:rsidR="0006269C" w:rsidRDefault="0006269C" w:rsidP="0006269C">
      <w:pPr>
        <w:pStyle w:val="StandardWeb"/>
      </w:pPr>
      <w:r>
        <w:t>In diesem Fall besitzen beide Aussagen dieselbe funktionale Domäne. Eine spätere Konsistenzbewertung kann daher sämtliche Zustände gleichzeitig berücksichtigen.</w:t>
      </w:r>
    </w:p>
    <w:p w:rsidR="0006269C" w:rsidRDefault="00E50336" w:rsidP="0006269C">
      <w:r>
        <w:pict>
          <v:rect id="_x0000_i1725" style="width:0;height:1.5pt" o:hralign="center" o:hrstd="t" o:hr="t" fillcolor="#a0a0a0" stroked="f"/>
        </w:pict>
      </w:r>
    </w:p>
    <w:p w:rsidR="0006269C" w:rsidRDefault="0006269C" w:rsidP="0006269C">
      <w:pPr>
        <w:pStyle w:val="berschrift2"/>
      </w:pPr>
      <w:r>
        <w:t>Definition 3.3.37 (Partielle Vergleichbarkeit)</w:t>
      </w:r>
    </w:p>
    <w:p w:rsidR="0006269C" w:rsidRDefault="0006269C" w:rsidP="0006269C">
      <w:pPr>
        <w:pStyle w:val="StandardWeb"/>
      </w:pPr>
      <w:r>
        <w:t xml:space="preserve">Besitzen zwei Aussagen lediglich einen gemeinsamen Teilbereich, so spreche ich von </w:t>
      </w:r>
      <w:r>
        <w:rPr>
          <w:rStyle w:val="Fett"/>
        </w:rPr>
        <w:t>partieller Vergleichbarkeit</w:t>
      </w:r>
      <w:r>
        <w:t>.</w:t>
      </w:r>
    </w:p>
    <w:p w:rsidR="0006269C" w:rsidRDefault="0006269C" w:rsidP="0006269C">
      <w:pPr>
        <w:pStyle w:val="StandardWeb"/>
      </w:pPr>
      <w:r>
        <w:t>Es gilt</w:t>
      </w:r>
    </w:p>
    <w:p w:rsidR="0006269C" w:rsidRDefault="0006269C" w:rsidP="0006269C">
      <w:pPr>
        <w:pStyle w:val="StandardWeb"/>
      </w:pPr>
      <w:r>
        <w:t>[</w:t>
      </w:r>
      <w:r>
        <w:br/>
        <w:t>\Omega_i\cap\Omega_j\neq\varnothing</w:t>
      </w:r>
      <w:r>
        <w:br/>
        <w:t>\qquad\land\qquad</w:t>
      </w:r>
      <w:r>
        <w:br/>
        <w:t>\Omega_i\neq\Omega_j</w:t>
      </w:r>
      <w:r>
        <w:br/>
        <w:t>\tag{3.7598}</w:t>
      </w:r>
      <w:r>
        <w:br/>
        <w:t>]</w:t>
      </w:r>
    </w:p>
    <w:p w:rsidR="0006269C" w:rsidRDefault="0006269C" w:rsidP="0006269C">
      <w:pPr>
        <w:pStyle w:val="StandardWeb"/>
      </w:pPr>
      <w:r>
        <w:rPr>
          <w:rStyle w:val="Fett"/>
        </w:rPr>
        <w:lastRenderedPageBreak/>
        <w:t>Word-LaTeX</w:t>
      </w:r>
    </w:p>
    <w:p w:rsidR="0006269C" w:rsidRDefault="0006269C" w:rsidP="0006269C">
      <w:pPr>
        <w:pStyle w:val="HTMLVorformatiert"/>
        <w:rPr>
          <w:rStyle w:val="HTMLCode"/>
        </w:rPr>
      </w:pPr>
      <w:r>
        <w:rPr>
          <w:rStyle w:val="HTMLCode"/>
        </w:rPr>
        <w:t>\Omega_i\cap\Omega_j\neq\varnothing</w:t>
      </w:r>
    </w:p>
    <w:p w:rsidR="0006269C" w:rsidRDefault="0006269C" w:rsidP="0006269C">
      <w:pPr>
        <w:pStyle w:val="HTMLVorformatiert"/>
        <w:rPr>
          <w:rStyle w:val="HTMLCode"/>
        </w:rPr>
      </w:pPr>
      <w:r>
        <w:rPr>
          <w:rStyle w:val="HTMLCode"/>
        </w:rPr>
        <w:t>\land</w:t>
      </w:r>
    </w:p>
    <w:p w:rsidR="0006269C" w:rsidRDefault="0006269C" w:rsidP="0006269C">
      <w:pPr>
        <w:pStyle w:val="HTMLVorformatiert"/>
        <w:rPr>
          <w:rStyle w:val="HTMLCode"/>
        </w:rPr>
      </w:pPr>
      <w:r>
        <w:rPr>
          <w:rStyle w:val="HTMLCode"/>
        </w:rPr>
        <w:t>\Omega_i\neq\Omega_j</w:t>
      </w:r>
    </w:p>
    <w:p w:rsidR="0006269C" w:rsidRDefault="0006269C" w:rsidP="0006269C">
      <w:pPr>
        <w:pStyle w:val="StandardWeb"/>
      </w:pPr>
      <w:r>
        <w:t>Nur innerhalb der Schnittmenge darf anschließend eine Konsistenzprüfung durchgeführt werden.</w:t>
      </w:r>
    </w:p>
    <w:p w:rsidR="0006269C" w:rsidRDefault="0006269C" w:rsidP="0006269C">
      <w:pPr>
        <w:pStyle w:val="StandardWeb"/>
      </w:pPr>
      <w:r>
        <w:t>Außerhalb dieses gemeinsamen Bereiches besitzen beide Aussagen keinerlei gegenseitige Aussagekraft.</w:t>
      </w:r>
    </w:p>
    <w:p w:rsidR="0006269C" w:rsidRDefault="00E50336" w:rsidP="0006269C">
      <w:r>
        <w:pict>
          <v:rect id="_x0000_i1726" style="width:0;height:1.5pt" o:hralign="center" o:hrstd="t" o:hr="t" fillcolor="#a0a0a0" stroked="f"/>
        </w:pict>
      </w:r>
    </w:p>
    <w:p w:rsidR="0006269C" w:rsidRDefault="0006269C" w:rsidP="0006269C">
      <w:pPr>
        <w:pStyle w:val="berschrift2"/>
      </w:pPr>
      <w:r>
        <w:t>Definition 3.3.38 (Nichtvergleichbarkeit)</w:t>
      </w:r>
    </w:p>
    <w:p w:rsidR="0006269C" w:rsidRDefault="0006269C" w:rsidP="0006269C">
      <w:pPr>
        <w:pStyle w:val="StandardWeb"/>
      </w:pPr>
      <w:r>
        <w:t>Existiert überhaupt keine gemeinsame funktionale Domäne,</w:t>
      </w:r>
    </w:p>
    <w:p w:rsidR="0006269C" w:rsidRDefault="0006269C" w:rsidP="0006269C">
      <w:pPr>
        <w:pStyle w:val="StandardWeb"/>
      </w:pPr>
      <w:r>
        <w:t>[</w:t>
      </w:r>
      <w:r>
        <w:br/>
        <w:t>\Omega_i\cap\Omega_j=\varnothing</w:t>
      </w:r>
      <w:r>
        <w:br/>
        <w:t>\tag{3.7599}</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\Omega_i\cap\Omega_j=\varnothing</w:t>
      </w:r>
    </w:p>
    <w:p w:rsidR="0006269C" w:rsidRDefault="0006269C" w:rsidP="0006269C">
      <w:pPr>
        <w:pStyle w:val="StandardWeb"/>
      </w:pPr>
      <w:r>
        <w:t>so existiert keine wissenschaftlich zulässige Grundlage für eine Konsistenzbewertung.</w:t>
      </w:r>
    </w:p>
    <w:p w:rsidR="0006269C" w:rsidRDefault="0006269C" w:rsidP="0006269C">
      <w:pPr>
        <w:pStyle w:val="StandardWeb"/>
      </w:pPr>
      <w:r>
        <w:t>Ich definiere deshalb</w:t>
      </w:r>
    </w:p>
    <w:p w:rsidR="0006269C" w:rsidRDefault="0006269C" w:rsidP="0006269C">
      <w:pPr>
        <w:pStyle w:val="StandardWeb"/>
      </w:pPr>
      <w:r>
        <w:t>[</w:t>
      </w:r>
      <w:r>
        <w:br/>
        <w:t>C(A_i,A_j)=0.</w:t>
      </w:r>
      <w:r>
        <w:br/>
        <w:t>\tag{3.7600}</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C(A_i,A_j)=0</w:t>
      </w:r>
    </w:p>
    <w:p w:rsidR="0006269C" w:rsidRDefault="0006269C" w:rsidP="0006269C">
      <w:pPr>
        <w:pStyle w:val="StandardWeb"/>
      </w:pPr>
      <w:r>
        <w:t>Eine spätere Bewertung als „konsistent“ oder „inkonsistent“ wäre in diesem Fall methodisch unzulässig.</w:t>
      </w:r>
    </w:p>
    <w:p w:rsidR="0006269C" w:rsidRDefault="00E50336" w:rsidP="0006269C">
      <w:r>
        <w:pict>
          <v:rect id="_x0000_i1727" style="width:0;height:1.5pt" o:hralign="center" o:hrstd="t" o:hr="t" fillcolor="#a0a0a0" stroked="f"/>
        </w:pict>
      </w:r>
    </w:p>
    <w:p w:rsidR="0006269C" w:rsidRDefault="0006269C" w:rsidP="0006269C">
      <w:pPr>
        <w:pStyle w:val="berschrift2"/>
      </w:pPr>
      <w:r>
        <w:t>Vergleichbarkeitsoperator</w:t>
      </w:r>
    </w:p>
    <w:p w:rsidR="0006269C" w:rsidRDefault="0006269C" w:rsidP="0006269C">
      <w:pPr>
        <w:pStyle w:val="StandardWeb"/>
      </w:pPr>
      <w:r>
        <w:t xml:space="preserve">Zur weiteren mathematischen Entwicklung führe ich den </w:t>
      </w:r>
      <w:r>
        <w:rPr>
          <w:rStyle w:val="Fett"/>
        </w:rPr>
        <w:t>Vergleichbarkeitsoperator</w:t>
      </w:r>
    </w:p>
    <w:p w:rsidR="0006269C" w:rsidRDefault="0006269C" w:rsidP="0006269C">
      <w:pPr>
        <w:pStyle w:val="StandardWeb"/>
      </w:pPr>
      <w:r>
        <w:t>[</w:t>
      </w:r>
      <w:r>
        <w:br/>
        <w:t>\mathcal C:\mathcal A\times\mathcal A</w:t>
      </w:r>
      <w:r>
        <w:br/>
      </w:r>
      <w:r>
        <w:lastRenderedPageBreak/>
        <w:t>\longrightarrow</w:t>
      </w:r>
      <w:r>
        <w:br/>
        <w:t>{0,1,2}</w:t>
      </w:r>
      <w:r>
        <w:br/>
        <w:t>\tag{3.7601}</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\mathcal C:\mathcal A\times\mathcal A\rightarrow\{0,1,2\}</w:t>
      </w:r>
    </w:p>
    <w:p w:rsidR="0006269C" w:rsidRDefault="0006269C" w:rsidP="0006269C">
      <w:pPr>
        <w:pStyle w:val="StandardWeb"/>
      </w:pPr>
      <w:r>
        <w:t>ein.</w:t>
      </w:r>
    </w:p>
    <w:p w:rsidR="0006269C" w:rsidRDefault="0006269C" w:rsidP="0006269C">
      <w:pPr>
        <w:pStyle w:val="StandardWeb"/>
      </w:pPr>
      <w:r>
        <w:t>Dabei bedeuten</w:t>
      </w:r>
    </w:p>
    <w:p w:rsidR="0006269C" w:rsidRDefault="0006269C" w:rsidP="008C5E65">
      <w:pPr>
        <w:pStyle w:val="StandardWeb"/>
        <w:numPr>
          <w:ilvl w:val="0"/>
          <w:numId w:val="373"/>
        </w:numPr>
      </w:pPr>
      <w:r>
        <w:t>0 = nicht vergleichbar</w:t>
      </w:r>
    </w:p>
    <w:p w:rsidR="0006269C" w:rsidRDefault="0006269C" w:rsidP="008C5E65">
      <w:pPr>
        <w:pStyle w:val="StandardWeb"/>
        <w:numPr>
          <w:ilvl w:val="0"/>
          <w:numId w:val="373"/>
        </w:numPr>
      </w:pPr>
      <w:r>
        <w:t>1 = partiell vergleichbar</w:t>
      </w:r>
    </w:p>
    <w:p w:rsidR="0006269C" w:rsidRDefault="0006269C" w:rsidP="008C5E65">
      <w:pPr>
        <w:pStyle w:val="StandardWeb"/>
        <w:numPr>
          <w:ilvl w:val="0"/>
          <w:numId w:val="373"/>
        </w:numPr>
      </w:pPr>
      <w:r>
        <w:t>2 = vollständig vergleichbar</w:t>
      </w:r>
    </w:p>
    <w:p w:rsidR="0006269C" w:rsidRDefault="0006269C" w:rsidP="0006269C">
      <w:pPr>
        <w:pStyle w:val="StandardWeb"/>
      </w:pPr>
      <w:r>
        <w:t>Diese dreistufige Klassifikation erweitert die bisherige binäre Betrachtungsweise erheblich und erlaubt eine wesentlich differenziertere Analyse wissenschaftlicher Modelle.</w:t>
      </w:r>
    </w:p>
    <w:p w:rsidR="0006269C" w:rsidRDefault="00E50336" w:rsidP="0006269C">
      <w:r>
        <w:pict>
          <v:rect id="_x0000_i1728" style="width:0;height:1.5pt" o:hralign="center" o:hrstd="t" o:hr="t" fillcolor="#a0a0a0" stroked="f"/>
        </w:pict>
      </w:r>
    </w:p>
    <w:p w:rsidR="0006269C" w:rsidRDefault="0006269C" w:rsidP="0006269C">
      <w:pPr>
        <w:pStyle w:val="berschrift2"/>
      </w:pPr>
      <w:r>
        <w:t>Vergleichbarkeitsgrad</w:t>
      </w:r>
    </w:p>
    <w:p w:rsidR="0006269C" w:rsidRDefault="0006269C" w:rsidP="0006269C">
      <w:pPr>
        <w:pStyle w:val="StandardWeb"/>
      </w:pPr>
      <w:r>
        <w:t>Neben der qualitativen Einteilung ist häufig auch eine quantitative Beschreibung sinnvoll.</w:t>
      </w:r>
    </w:p>
    <w:p w:rsidR="0006269C" w:rsidRDefault="0006269C" w:rsidP="0006269C">
      <w:pPr>
        <w:pStyle w:val="StandardWeb"/>
      </w:pPr>
      <w:r>
        <w:t>Ich definiere daher den Vergleichbarkeitsgrad</w:t>
      </w:r>
    </w:p>
    <w:p w:rsidR="0006269C" w:rsidRDefault="0006269C" w:rsidP="0006269C">
      <w:pPr>
        <w:pStyle w:val="StandardWeb"/>
      </w:pPr>
      <w:r>
        <w:t>[</w:t>
      </w:r>
      <w:r>
        <w:br/>
        <w:t>R_C=</w:t>
      </w:r>
      <w:r>
        <w:br/>
        <w:t>\frac{\mu(\Omega_i\cap\Omega_j)}</w:t>
      </w:r>
      <w:r>
        <w:br/>
        <w:t>{\mu(\Omega_i\cup\Omega_j)}</w:t>
      </w:r>
      <w:r>
        <w:br/>
        <w:t>\tag{3.7602}</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R_C=</w:t>
      </w:r>
    </w:p>
    <w:p w:rsidR="0006269C" w:rsidRDefault="0006269C" w:rsidP="0006269C">
      <w:pPr>
        <w:pStyle w:val="HTMLVorformatiert"/>
        <w:rPr>
          <w:rStyle w:val="HTMLCode"/>
        </w:rPr>
      </w:pPr>
      <w:r>
        <w:rPr>
          <w:rStyle w:val="HTMLCode"/>
        </w:rPr>
        <w:t>\frac{\mu(\Omega_i\cap\Omega_j)}</w:t>
      </w:r>
    </w:p>
    <w:p w:rsidR="0006269C" w:rsidRDefault="0006269C" w:rsidP="0006269C">
      <w:pPr>
        <w:pStyle w:val="HTMLVorformatiert"/>
        <w:rPr>
          <w:rStyle w:val="HTMLCode"/>
        </w:rPr>
      </w:pPr>
      <w:r>
        <w:rPr>
          <w:rStyle w:val="HTMLCode"/>
        </w:rPr>
        <w:t>{\mu(\Omega_i\cup\Omega_j)}</w:t>
      </w:r>
    </w:p>
    <w:p w:rsidR="0006269C" w:rsidRDefault="0006269C" w:rsidP="0006269C">
      <w:pPr>
        <w:pStyle w:val="StandardWeb"/>
      </w:pPr>
      <w:r>
        <w:t>Hierbei bezeichnet (\mu) ein geeignetes Maß des jeweiligen Zustandsraumes.</w:t>
      </w:r>
    </w:p>
    <w:p w:rsidR="0006269C" w:rsidRDefault="0006269C" w:rsidP="0006269C">
      <w:pPr>
        <w:pStyle w:val="StandardWeb"/>
      </w:pPr>
      <w:r>
        <w:t>Es gilt unmittelbar</w:t>
      </w:r>
    </w:p>
    <w:p w:rsidR="0006269C" w:rsidRDefault="0006269C" w:rsidP="0006269C">
      <w:pPr>
        <w:pStyle w:val="StandardWeb"/>
      </w:pPr>
      <w:r>
        <w:t>[</w:t>
      </w:r>
      <w:r>
        <w:br/>
        <w:t>0\le R_C\le1.</w:t>
      </w:r>
      <w:r>
        <w:br/>
        <w:t>\tag{3.7603}</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lastRenderedPageBreak/>
        <w:t>0\le R_C\le1</w:t>
      </w:r>
    </w:p>
    <w:p w:rsidR="0006269C" w:rsidRDefault="0006269C" w:rsidP="0006269C">
      <w:pPr>
        <w:pStyle w:val="StandardWeb"/>
      </w:pPr>
      <w:r>
        <w:t>Dabei bedeutet</w:t>
      </w:r>
    </w:p>
    <w:p w:rsidR="0006269C" w:rsidRDefault="0006269C" w:rsidP="008C5E65">
      <w:pPr>
        <w:pStyle w:val="StandardWeb"/>
        <w:numPr>
          <w:ilvl w:val="0"/>
          <w:numId w:val="374"/>
        </w:numPr>
      </w:pPr>
      <w:r>
        <w:t>(R_C=1)</w:t>
      </w:r>
    </w:p>
    <w:p w:rsidR="0006269C" w:rsidRDefault="0006269C" w:rsidP="0006269C">
      <w:pPr>
        <w:pStyle w:val="StandardWeb"/>
      </w:pPr>
      <w:r>
        <w:t>vollständige Vergleichbarkeit,</w:t>
      </w:r>
    </w:p>
    <w:p w:rsidR="0006269C" w:rsidRDefault="0006269C" w:rsidP="008C5E65">
      <w:pPr>
        <w:pStyle w:val="StandardWeb"/>
        <w:numPr>
          <w:ilvl w:val="0"/>
          <w:numId w:val="375"/>
        </w:numPr>
      </w:pPr>
      <w:r>
        <w:t>(R_C=0)</w:t>
      </w:r>
    </w:p>
    <w:p w:rsidR="0006269C" w:rsidRDefault="0006269C" w:rsidP="0006269C">
      <w:pPr>
        <w:pStyle w:val="StandardWeb"/>
      </w:pPr>
      <w:r>
        <w:t>Nichtvergleichbarkeit,</w:t>
      </w:r>
    </w:p>
    <w:p w:rsidR="0006269C" w:rsidRDefault="0006269C" w:rsidP="008C5E65">
      <w:pPr>
        <w:pStyle w:val="StandardWeb"/>
        <w:numPr>
          <w:ilvl w:val="0"/>
          <w:numId w:val="376"/>
        </w:numPr>
      </w:pPr>
      <w:r>
        <w:t>(0&lt;R_C&lt;1)</w:t>
      </w:r>
    </w:p>
    <w:p w:rsidR="0006269C" w:rsidRDefault="0006269C" w:rsidP="0006269C">
      <w:pPr>
        <w:pStyle w:val="StandardWeb"/>
      </w:pPr>
      <w:r>
        <w:t>partielle Vergleichbarkeit.</w:t>
      </w:r>
    </w:p>
    <w:p w:rsidR="0006269C" w:rsidRDefault="00E50336" w:rsidP="0006269C">
      <w:r>
        <w:pict>
          <v:rect id="_x0000_i1729" style="width:0;height:1.5pt" o:hralign="center" o:hrstd="t" o:hr="t" fillcolor="#a0a0a0" stroked="f"/>
        </w:pict>
      </w:r>
    </w:p>
    <w:p w:rsidR="0006269C" w:rsidRDefault="0006269C" w:rsidP="0006269C">
      <w:pPr>
        <w:pStyle w:val="berschrift2"/>
      </w:pPr>
      <w:r>
        <w:t>Satz 3.3.26 (Vollständige Vergleichbarkeit impliziert maximalen Vergleichbarkeitsgrad)</w:t>
      </w:r>
    </w:p>
    <w:p w:rsidR="0006269C" w:rsidRDefault="0006269C" w:rsidP="0006269C">
      <w:pPr>
        <w:pStyle w:val="StandardWeb"/>
      </w:pPr>
      <w:r>
        <w:t>Sind zwei Aussagen vollständig vergleichbar,</w:t>
      </w:r>
    </w:p>
    <w:p w:rsidR="0006269C" w:rsidRDefault="0006269C" w:rsidP="0006269C">
      <w:pPr>
        <w:pStyle w:val="StandardWeb"/>
      </w:pPr>
      <w:r>
        <w:t>[</w:t>
      </w:r>
      <w:r>
        <w:br/>
        <w:t>\Omega_i=\Omega_j,</w:t>
      </w:r>
      <w:r>
        <w:br/>
        <w:t>\tag{3.7604}</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\Omega_i=\Omega_j</w:t>
      </w:r>
    </w:p>
    <w:p w:rsidR="0006269C" w:rsidRDefault="0006269C" w:rsidP="0006269C">
      <w:pPr>
        <w:pStyle w:val="StandardWeb"/>
      </w:pPr>
      <w:r>
        <w:t>so gilt notwendigerweise</w:t>
      </w:r>
    </w:p>
    <w:p w:rsidR="0006269C" w:rsidRDefault="0006269C" w:rsidP="0006269C">
      <w:pPr>
        <w:pStyle w:val="StandardWeb"/>
      </w:pPr>
      <w:r>
        <w:t>[</w:t>
      </w:r>
      <w:r>
        <w:br/>
        <w:t>R_C=1.</w:t>
      </w:r>
      <w:r>
        <w:br/>
        <w:t>\tag{3.7605}</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R_C=1</w:t>
      </w:r>
    </w:p>
    <w:p w:rsidR="0006269C" w:rsidRDefault="00E50336" w:rsidP="0006269C">
      <w:r>
        <w:pict>
          <v:rect id="_x0000_i1730" style="width:0;height:1.5pt" o:hralign="center" o:hrstd="t" o:hr="t" fillcolor="#a0a0a0" stroked="f"/>
        </w:pict>
      </w:r>
    </w:p>
    <w:p w:rsidR="0006269C" w:rsidRDefault="0006269C" w:rsidP="0006269C">
      <w:pPr>
        <w:pStyle w:val="berschrift3"/>
      </w:pPr>
      <w:r>
        <w:t>Beweis</w:t>
      </w:r>
    </w:p>
    <w:p w:rsidR="0006269C" w:rsidRDefault="0006269C" w:rsidP="0006269C">
      <w:pPr>
        <w:pStyle w:val="StandardWeb"/>
      </w:pPr>
      <w:r>
        <w:t>Aus</w:t>
      </w:r>
    </w:p>
    <w:p w:rsidR="0006269C" w:rsidRDefault="0006269C" w:rsidP="0006269C">
      <w:pPr>
        <w:pStyle w:val="StandardWeb"/>
      </w:pPr>
      <w:r>
        <w:t>[</w:t>
      </w:r>
      <w:r>
        <w:br/>
        <w:t>\Omega_i=\Omega_j</w:t>
      </w:r>
      <w:r>
        <w:br/>
        <w:t>]</w:t>
      </w:r>
    </w:p>
    <w:p w:rsidR="0006269C" w:rsidRDefault="0006269C" w:rsidP="0006269C">
      <w:pPr>
        <w:pStyle w:val="StandardWeb"/>
      </w:pPr>
      <w:r>
        <w:lastRenderedPageBreak/>
        <w:t>folgt unmittelbar</w:t>
      </w:r>
    </w:p>
    <w:p w:rsidR="0006269C" w:rsidRDefault="0006269C" w:rsidP="0006269C">
      <w:pPr>
        <w:pStyle w:val="berschrift1"/>
      </w:pPr>
      <w:r>
        <w:t>[</w:t>
      </w:r>
      <w:r>
        <w:br/>
        <w:t>\Omega_i\cap\Omega_j</w:t>
      </w:r>
    </w:p>
    <w:p w:rsidR="0006269C" w:rsidRDefault="0006269C" w:rsidP="0006269C">
      <w:pPr>
        <w:pStyle w:val="berschrift1"/>
      </w:pPr>
      <w:r>
        <w:t>\Omega_i</w:t>
      </w:r>
    </w:p>
    <w:p w:rsidR="0006269C" w:rsidRDefault="0006269C" w:rsidP="0006269C">
      <w:pPr>
        <w:pStyle w:val="StandardWeb"/>
      </w:pPr>
      <w:r>
        <w:t>\Omega_i\cup\Omega_j.</w:t>
      </w:r>
      <w:r>
        <w:br/>
        <w:t>\tag{3.7606}</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\Omega_i\cap\Omega_j</w:t>
      </w:r>
    </w:p>
    <w:p w:rsidR="0006269C" w:rsidRDefault="0006269C" w:rsidP="0006269C">
      <w:pPr>
        <w:pStyle w:val="HTMLVorformatiert"/>
        <w:rPr>
          <w:rStyle w:val="HTMLCode"/>
        </w:rPr>
      </w:pPr>
      <w:r>
        <w:rPr>
          <w:rStyle w:val="HTMLCode"/>
        </w:rPr>
        <w:t>=</w:t>
      </w:r>
    </w:p>
    <w:p w:rsidR="0006269C" w:rsidRDefault="0006269C" w:rsidP="0006269C">
      <w:pPr>
        <w:pStyle w:val="HTMLVorformatiert"/>
        <w:rPr>
          <w:rStyle w:val="HTMLCode"/>
        </w:rPr>
      </w:pPr>
      <w:r>
        <w:rPr>
          <w:rStyle w:val="HTMLCode"/>
        </w:rPr>
        <w:t>\Omega_i</w:t>
      </w:r>
    </w:p>
    <w:p w:rsidR="0006269C" w:rsidRDefault="0006269C" w:rsidP="0006269C">
      <w:pPr>
        <w:pStyle w:val="HTMLVorformatiert"/>
        <w:rPr>
          <w:rStyle w:val="HTMLCode"/>
        </w:rPr>
      </w:pPr>
      <w:r>
        <w:rPr>
          <w:rStyle w:val="HTMLCode"/>
        </w:rPr>
        <w:t>=</w:t>
      </w:r>
    </w:p>
    <w:p w:rsidR="0006269C" w:rsidRDefault="0006269C" w:rsidP="0006269C">
      <w:pPr>
        <w:pStyle w:val="HTMLVorformatiert"/>
        <w:rPr>
          <w:rStyle w:val="HTMLCode"/>
        </w:rPr>
      </w:pPr>
      <w:r>
        <w:rPr>
          <w:rStyle w:val="HTMLCode"/>
        </w:rPr>
        <w:t>\Omega_i\cup\Omega_j</w:t>
      </w:r>
    </w:p>
    <w:p w:rsidR="0006269C" w:rsidRDefault="0006269C" w:rsidP="0006269C">
      <w:pPr>
        <w:pStyle w:val="StandardWeb"/>
      </w:pPr>
      <w:r>
        <w:t>Somit erhält man</w:t>
      </w:r>
    </w:p>
    <w:p w:rsidR="0006269C" w:rsidRDefault="0006269C" w:rsidP="0006269C">
      <w:pPr>
        <w:pStyle w:val="berschrift1"/>
      </w:pPr>
      <w:r>
        <w:t>[</w:t>
      </w:r>
      <w:r>
        <w:br/>
        <w:t>R_C</w:t>
      </w:r>
    </w:p>
    <w:p w:rsidR="0006269C" w:rsidRDefault="0006269C" w:rsidP="0006269C">
      <w:pPr>
        <w:pStyle w:val="berschrift1"/>
      </w:pPr>
      <w:r>
        <w:t>\frac{\mu(\Omega_i)}</w:t>
      </w:r>
      <w:r>
        <w:br/>
        <w:t>{\mu(\Omega_i)}</w:t>
      </w:r>
    </w:p>
    <w:p w:rsidR="0006269C" w:rsidRDefault="0006269C" w:rsidP="008C5E65">
      <w:pPr>
        <w:numPr>
          <w:ilvl w:val="0"/>
          <w:numId w:val="377"/>
        </w:numPr>
        <w:spacing w:before="100" w:beforeAutospacing="1" w:after="100" w:afterAutospacing="1"/>
      </w:pPr>
    </w:p>
    <w:p w:rsidR="0006269C" w:rsidRDefault="0006269C" w:rsidP="0006269C">
      <w:pPr>
        <w:pStyle w:val="StandardWeb"/>
      </w:pPr>
      <w:r>
        <w:t>\tag{3.7607}</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R_C=</w:t>
      </w:r>
    </w:p>
    <w:p w:rsidR="0006269C" w:rsidRDefault="0006269C" w:rsidP="0006269C">
      <w:pPr>
        <w:pStyle w:val="HTMLVorformatiert"/>
        <w:rPr>
          <w:rStyle w:val="HTMLCode"/>
        </w:rPr>
      </w:pPr>
      <w:r>
        <w:rPr>
          <w:rStyle w:val="HTMLCode"/>
        </w:rPr>
        <w:t>\frac{\mu(\Omega_i)}</w:t>
      </w:r>
    </w:p>
    <w:p w:rsidR="0006269C" w:rsidRDefault="0006269C" w:rsidP="0006269C">
      <w:pPr>
        <w:pStyle w:val="HTMLVorformatiert"/>
        <w:rPr>
          <w:rStyle w:val="HTMLCode"/>
        </w:rPr>
      </w:pPr>
      <w:r>
        <w:rPr>
          <w:rStyle w:val="HTMLCode"/>
        </w:rPr>
        <w:t>{\mu(\Omega_i)}</w:t>
      </w:r>
    </w:p>
    <w:p w:rsidR="0006269C" w:rsidRDefault="0006269C" w:rsidP="0006269C">
      <w:pPr>
        <w:pStyle w:val="HTMLVorformatiert"/>
        <w:rPr>
          <w:rStyle w:val="HTMLCode"/>
        </w:rPr>
      </w:pPr>
      <w:r>
        <w:rPr>
          <w:rStyle w:val="HTMLCode"/>
        </w:rPr>
        <w:t>=1</w:t>
      </w:r>
    </w:p>
    <w:p w:rsidR="0006269C" w:rsidRDefault="0006269C" w:rsidP="0006269C">
      <w:pPr>
        <w:pStyle w:val="StandardWeb"/>
      </w:pPr>
      <w:r>
        <w:t>Damit ist die Behauptung bewiesen.</w:t>
      </w:r>
    </w:p>
    <w:p w:rsidR="0006269C" w:rsidRDefault="0006269C" w:rsidP="0006269C">
      <w:pPr>
        <w:pStyle w:val="StandardWeb"/>
      </w:pPr>
      <w:r>
        <w:t>□</w:t>
      </w:r>
    </w:p>
    <w:p w:rsidR="0006269C" w:rsidRDefault="00E50336" w:rsidP="0006269C">
      <w:r>
        <w:pict>
          <v:rect id="_x0000_i1731" style="width:0;height:1.5pt" o:hralign="center" o:hrstd="t" o:hr="t" fillcolor="#a0a0a0" stroked="f"/>
        </w:pict>
      </w:r>
    </w:p>
    <w:p w:rsidR="0006269C" w:rsidRDefault="0006269C" w:rsidP="0006269C">
      <w:pPr>
        <w:pStyle w:val="berschrift2"/>
      </w:pPr>
      <w:r>
        <w:lastRenderedPageBreak/>
        <w:t>Korollar 3.3.5</w:t>
      </w:r>
    </w:p>
    <w:p w:rsidR="0006269C" w:rsidRDefault="0006269C" w:rsidP="0006269C">
      <w:pPr>
        <w:pStyle w:val="StandardWeb"/>
      </w:pPr>
      <w:r>
        <w:t>Der Umkehrschluss gilt im Allgemeinen ebenfalls, sofern das verwendete Maß (\mu) normiert und vollständig definiert ist.</w:t>
      </w:r>
    </w:p>
    <w:p w:rsidR="0006269C" w:rsidRDefault="0006269C" w:rsidP="0006269C">
      <w:pPr>
        <w:pStyle w:val="StandardWeb"/>
      </w:pPr>
      <w:r>
        <w:t>[</w:t>
      </w:r>
      <w:r>
        <w:br/>
        <w:t>R_C=1</w:t>
      </w:r>
      <w:r>
        <w:br/>
        <w:t>\Longrightarrow</w:t>
      </w:r>
      <w:r>
        <w:br/>
        <w:t>\Omega_i=\Omega_j.</w:t>
      </w:r>
      <w:r>
        <w:br/>
        <w:t>\tag{3.7608}</w:t>
      </w:r>
      <w:r>
        <w:br/>
        <w:t>]</w:t>
      </w:r>
    </w:p>
    <w:p w:rsidR="0006269C" w:rsidRDefault="0006269C" w:rsidP="0006269C">
      <w:pPr>
        <w:pStyle w:val="StandardWeb"/>
      </w:pPr>
      <w:r>
        <w:rPr>
          <w:rStyle w:val="Fett"/>
        </w:rPr>
        <w:t>Word-LaTeX</w:t>
      </w:r>
    </w:p>
    <w:p w:rsidR="0006269C" w:rsidRDefault="0006269C" w:rsidP="0006269C">
      <w:pPr>
        <w:pStyle w:val="HTMLVorformatiert"/>
        <w:rPr>
          <w:rStyle w:val="HTMLCode"/>
        </w:rPr>
      </w:pPr>
      <w:r>
        <w:rPr>
          <w:rStyle w:val="HTMLCode"/>
        </w:rPr>
        <w:t>R_C=1</w:t>
      </w:r>
    </w:p>
    <w:p w:rsidR="0006269C" w:rsidRDefault="0006269C" w:rsidP="0006269C">
      <w:pPr>
        <w:pStyle w:val="HTMLVorformatiert"/>
        <w:rPr>
          <w:rStyle w:val="HTMLCode"/>
        </w:rPr>
      </w:pPr>
      <w:r>
        <w:rPr>
          <w:rStyle w:val="HTMLCode"/>
        </w:rPr>
        <w:t>\Longrightarrow</w:t>
      </w:r>
    </w:p>
    <w:p w:rsidR="0006269C" w:rsidRDefault="0006269C" w:rsidP="0006269C">
      <w:pPr>
        <w:pStyle w:val="HTMLVorformatiert"/>
        <w:rPr>
          <w:rStyle w:val="HTMLCode"/>
        </w:rPr>
      </w:pPr>
      <w:r>
        <w:rPr>
          <w:rStyle w:val="HTMLCode"/>
        </w:rPr>
        <w:t>\Omega_i=\Omega_j</w:t>
      </w:r>
    </w:p>
    <w:p w:rsidR="0006269C" w:rsidRDefault="0006269C" w:rsidP="0006269C">
      <w:pPr>
        <w:pStyle w:val="StandardWeb"/>
      </w:pPr>
      <w:r>
        <w:t>Damit bilden vollständige Vergleichbarkeit und maximaler Vergleichbarkeitsgrad unter diesen Voraussetzungen äquivalente Beschreibungen derselben wissenschaftlichen Situation.</w:t>
      </w:r>
    </w:p>
    <w:p w:rsidR="0006269C" w:rsidRDefault="00E50336" w:rsidP="0006269C">
      <w:r>
        <w:pict>
          <v:rect id="_x0000_i1732" style="width:0;height:1.5pt" o:hralign="center" o:hrstd="t" o:hr="t" fillcolor="#a0a0a0" stroked="f"/>
        </w:pict>
      </w:r>
    </w:p>
    <w:p w:rsidR="0006269C" w:rsidRDefault="0006269C" w:rsidP="0006269C">
      <w:pPr>
        <w:pStyle w:val="StandardWeb"/>
      </w:pPr>
      <w:r>
        <w:t xml:space="preserve">Mit </w:t>
      </w:r>
      <w:r>
        <w:rPr>
          <w:rStyle w:val="Fett"/>
        </w:rPr>
        <w:t>3.3.42.2</w:t>
      </w:r>
      <w:r>
        <w:t xml:space="preserve"> sind nun die mathematischen Grundlagen der Vergleichbarkeitsrelation etabliert. Als Nächstes folgt </w:t>
      </w:r>
      <w:r>
        <w:rPr>
          <w:rStyle w:val="Fett"/>
        </w:rPr>
        <w:t>3.3.42.3 Konsistenzoperatoren</w:t>
      </w:r>
      <w:r>
        <w:t>, in dem aus diesen Vergleichbarkeitsrelationen die eigentlichen funktionalen Konsistenzoperatoren entwickelt werden.</w:t>
      </w:r>
    </w:p>
    <w:p w:rsidR="002A21B9" w:rsidRDefault="002A21B9" w:rsidP="002A21B9">
      <w:pPr>
        <w:pStyle w:val="berschrift2"/>
        <w:rPr>
          <w:rFonts w:cs="Times New Roman"/>
        </w:rPr>
      </w:pPr>
      <w:r>
        <w:t>3.3.42.3 Konsistenzoperatoren</w:t>
      </w:r>
    </w:p>
    <w:p w:rsidR="002A21B9" w:rsidRDefault="002A21B9" w:rsidP="002A21B9">
      <w:pPr>
        <w:pStyle w:val="StandardWeb"/>
      </w:pPr>
      <w:r>
        <w:t>Nachdem die Vergleichbarkeit zweier wissenschaftlicher Aussagen formal geklärt ist, kann nun die eigentliche Konsistenzprüfung aufgebaut werden. Die zentrale Frage lautet nicht mehr nur, ob zwei Aussagen dieselbe oder eine überlappende funktionale Domäne besitzen, sondern ob ihre gemeinsame Gültigkeit innerhalb dieser Domäne widerspruchsfrei möglich ist. Ich führe dafür einen Konsistenzoperator ein, der ausschließlich auf dem gemeinsamen Gültigkeitsraum zweier Aussagen ausgewertet wird.</w:t>
      </w:r>
    </w:p>
    <w:p w:rsidR="002A21B9" w:rsidRDefault="002A21B9" w:rsidP="002A21B9">
      <w:pPr>
        <w:pStyle w:val="StandardWeb"/>
      </w:pPr>
      <w:r>
        <w:t>Seien zwei wissenschaftliche Aussagen</w:t>
      </w:r>
    </w:p>
    <w:p w:rsidR="002A21B9" w:rsidRDefault="002A21B9" w:rsidP="002A21B9">
      <w:pPr>
        <w:pStyle w:val="StandardWeb"/>
      </w:pPr>
      <w:r>
        <w:t>[</w:t>
      </w:r>
      <w:r>
        <w:br/>
        <w:t>A_i,;A_j\in\mathcal A</w:t>
      </w:r>
      <w:r>
        <w:br/>
        <w:t>\tag{3.7609}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A_i,\;A_j\in\mathcal A\qquad\text{(3.7609)}</w:t>
      </w:r>
    </w:p>
    <w:p w:rsidR="002A21B9" w:rsidRDefault="002A21B9" w:rsidP="002A21B9">
      <w:pPr>
        <w:pStyle w:val="StandardWeb"/>
      </w:pPr>
      <w:r>
        <w:t>mit dem gemeinsamen Gültigkeitsbereich</w:t>
      </w:r>
    </w:p>
    <w:p w:rsidR="002A21B9" w:rsidRDefault="002A21B9" w:rsidP="002A21B9">
      <w:pPr>
        <w:pStyle w:val="berschrift1"/>
      </w:pPr>
      <w:r>
        <w:lastRenderedPageBreak/>
        <w:t>[</w:t>
      </w:r>
      <w:r>
        <w:br/>
        <w:t>\Omega_{ij}</w:t>
      </w:r>
    </w:p>
    <w:p w:rsidR="002A21B9" w:rsidRDefault="002A21B9" w:rsidP="002A21B9">
      <w:pPr>
        <w:pStyle w:val="StandardWeb"/>
      </w:pPr>
      <w:r>
        <w:t>\Omega_i\cap\Omega_j.</w:t>
      </w:r>
      <w:r>
        <w:br/>
        <w:t>\tag{3.7610}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\Omega_{ij}=\Omega_i\cap\Omega_j\qquad\text{(3.7610)}</w:t>
      </w:r>
    </w:p>
    <w:p w:rsidR="002A21B9" w:rsidRDefault="002A21B9" w:rsidP="002A21B9">
      <w:pPr>
        <w:pStyle w:val="StandardWeb"/>
      </w:pPr>
      <w:r>
        <w:t>Nur falls</w:t>
      </w:r>
    </w:p>
    <w:p w:rsidR="002A21B9" w:rsidRDefault="002A21B9" w:rsidP="002A21B9">
      <w:pPr>
        <w:pStyle w:val="StandardWeb"/>
      </w:pPr>
      <w:r>
        <w:t>[</w:t>
      </w:r>
      <w:r>
        <w:br/>
        <w:t>\Omega_{ij}\neq\varnothing</w:t>
      </w:r>
      <w:r>
        <w:br/>
        <w:t>\tag{3.7611}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\Omega_{ij}\neq\varnothing\qquad\text{(3.7611)}</w:t>
      </w:r>
    </w:p>
    <w:p w:rsidR="002A21B9" w:rsidRDefault="002A21B9" w:rsidP="002A21B9">
      <w:pPr>
        <w:pStyle w:val="StandardWeb"/>
      </w:pPr>
      <w:r>
        <w:t>ist eine funktionale Konsistenzprüfung definiert.</w:t>
      </w:r>
    </w:p>
    <w:p w:rsidR="002A21B9" w:rsidRDefault="002A21B9" w:rsidP="002A21B9">
      <w:pPr>
        <w:pStyle w:val="StandardWeb"/>
      </w:pPr>
      <w:r>
        <w:t>Ich schreibe den elementaren Konsistenzoperator als</w:t>
      </w:r>
    </w:p>
    <w:p w:rsidR="002A21B9" w:rsidRDefault="002A21B9" w:rsidP="002A21B9">
      <w:pPr>
        <w:pStyle w:val="StandardWeb"/>
      </w:pPr>
      <w:r>
        <w:t>[</w:t>
      </w:r>
      <w:r>
        <w:br/>
        <w:t>\mathfrak K</w:t>
      </w:r>
      <w:r>
        <w:br/>
        <w:t>:</w:t>
      </w:r>
      <w:r>
        <w:br/>
        <w:t>\mathcal A\times\mathcal A\times\Omega</w:t>
      </w:r>
      <w:r>
        <w:br/>
        <w:t>\longrightarrow</w:t>
      </w:r>
      <w:r>
        <w:br/>
        <w:t>{0,1}.</w:t>
      </w:r>
      <w:r>
        <w:br/>
        <w:t>\tag{3.7612}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K:\mathcal A\times\mathcal A\times\Omega\longrightarrow\{0,1\}\qquad\text{(3.7612)}</w:t>
      </w:r>
    </w:p>
    <w:p w:rsidR="002A21B9" w:rsidRDefault="002A21B9" w:rsidP="002A21B9">
      <w:pPr>
        <w:pStyle w:val="StandardWeb"/>
      </w:pPr>
      <w:r>
        <w:t>Für einen Zustand (z\in\Omega_{ij}) gilt</w:t>
      </w:r>
    </w:p>
    <w:p w:rsidR="002A21B9" w:rsidRDefault="002A21B9" w:rsidP="002A21B9">
      <w:pPr>
        <w:pStyle w:val="berschrift1"/>
      </w:pPr>
      <w:r>
        <w:t>[</w:t>
      </w:r>
      <w:r>
        <w:br/>
        <w:t>\mathfrak K(A_i,A_j;z)</w:t>
      </w:r>
    </w:p>
    <w:p w:rsidR="002A21B9" w:rsidRDefault="002A21B9" w:rsidP="002A21B9">
      <w:pPr>
        <w:pStyle w:val="StandardWeb"/>
      </w:pPr>
      <w:r>
        <w:t>1</w:t>
      </w:r>
      <w:r>
        <w:br/>
        <w:t>\tag{3.7613}</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\mathfrak K(A_i,A_j;z)=1\qquad\text{(3.7613)}</w:t>
      </w:r>
    </w:p>
    <w:p w:rsidR="002A21B9" w:rsidRDefault="002A21B9" w:rsidP="002A21B9">
      <w:pPr>
        <w:pStyle w:val="StandardWeb"/>
      </w:pPr>
      <w:r>
        <w:t>genau dann, wenn beide Aussagen im Zustand (z) gleichzeitig erfüllt sein können.</w:t>
      </w:r>
    </w:p>
    <w:p w:rsidR="002A21B9" w:rsidRDefault="002A21B9" w:rsidP="002A21B9">
      <w:pPr>
        <w:pStyle w:val="StandardWeb"/>
      </w:pPr>
      <w:r>
        <w:t>Liegt dagegen ein funktionaler Widerspruch vor, gilt</w:t>
      </w:r>
    </w:p>
    <w:p w:rsidR="002A21B9" w:rsidRDefault="002A21B9" w:rsidP="002A21B9">
      <w:pPr>
        <w:pStyle w:val="berschrift1"/>
      </w:pPr>
      <w:r>
        <w:t>[</w:t>
      </w:r>
      <w:r>
        <w:br/>
        <w:t>\mathfrak K(A_i,A_j;z)</w:t>
      </w:r>
    </w:p>
    <w:p w:rsidR="002A21B9" w:rsidRDefault="002A21B9" w:rsidP="008C5E65">
      <w:pPr>
        <w:numPr>
          <w:ilvl w:val="0"/>
          <w:numId w:val="378"/>
        </w:numPr>
        <w:spacing w:before="100" w:beforeAutospacing="1" w:after="100" w:afterAutospacing="1"/>
      </w:pPr>
    </w:p>
    <w:p w:rsidR="002A21B9" w:rsidRDefault="002A21B9" w:rsidP="002A21B9">
      <w:pPr>
        <w:pStyle w:val="StandardWeb"/>
      </w:pPr>
      <w:r>
        <w:t>\tag{3.7614}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K(A_i,A_j;z)=0\qquad\text{(3.7614)}</w:t>
      </w:r>
    </w:p>
    <w:p w:rsidR="002A21B9" w:rsidRDefault="002A21B9" w:rsidP="002A21B9">
      <w:pPr>
        <w:pStyle w:val="StandardWeb"/>
      </w:pPr>
      <w:r>
        <w:t xml:space="preserve">Damit unterscheide ich von Beginn an zwischen der </w:t>
      </w:r>
      <w:r>
        <w:rPr>
          <w:rStyle w:val="Fett"/>
        </w:rPr>
        <w:t>lokalen Konsistenz in einem konkreten Zustand</w:t>
      </w:r>
      <w:r>
        <w:t xml:space="preserve"> und der später zu definierenden Konsistenz über einen gesamten Gültigkeitsraum.</w:t>
      </w:r>
    </w:p>
    <w:p w:rsidR="002A21B9" w:rsidRDefault="00E50336" w:rsidP="002A21B9">
      <w:r>
        <w:pict>
          <v:rect id="_x0000_i1733" style="width:0;height:1.5pt" o:hralign="center" o:hrstd="t" o:hr="t" fillcolor="#a0a0a0" stroked="f"/>
        </w:pict>
      </w:r>
    </w:p>
    <w:p w:rsidR="002A21B9" w:rsidRDefault="002A21B9" w:rsidP="002A21B9">
      <w:pPr>
        <w:pStyle w:val="berschrift2"/>
      </w:pPr>
      <w:r>
        <w:t>3.3.42.4 Lokale funktionale Konsistenz</w:t>
      </w:r>
    </w:p>
    <w:p w:rsidR="002A21B9" w:rsidRDefault="002A21B9" w:rsidP="002A21B9">
      <w:pPr>
        <w:pStyle w:val="berschrift3"/>
      </w:pPr>
      <w:r>
        <w:t>Definition 3.3.39 (Lokale funktionale Konsistenz)</w:t>
      </w:r>
    </w:p>
    <w:p w:rsidR="002A21B9" w:rsidRDefault="002A21B9" w:rsidP="002A21B9">
      <w:pPr>
        <w:pStyle w:val="StandardWeb"/>
      </w:pPr>
      <w:r>
        <w:t>Zwei wissenschaftliche Aussagen (A_i) und (A_j) heißen in einem Zustand (z) lokal funktional konsistent, wenn</w:t>
      </w:r>
    </w:p>
    <w:p w:rsidR="002A21B9" w:rsidRDefault="002A21B9" w:rsidP="002A21B9">
      <w:pPr>
        <w:pStyle w:val="StandardWeb"/>
      </w:pPr>
      <w:r>
        <w:t>[</w:t>
      </w:r>
      <w:r>
        <w:br/>
        <w:t>z</w:t>
      </w:r>
      <w:r>
        <w:br/>
        <w:t>\in</w:t>
      </w:r>
      <w:r>
        <w:br/>
        <w:t>\Omega_i\cap\Omega_j</w:t>
      </w:r>
      <w:r>
        <w:br/>
        <w:t>\tag{3.7615}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z\in\Omega_i\cap\Omega_j\qquad\text{(3.7615)}</w:t>
      </w:r>
    </w:p>
    <w:p w:rsidR="002A21B9" w:rsidRDefault="002A21B9" w:rsidP="002A21B9">
      <w:pPr>
        <w:pStyle w:val="StandardWeb"/>
      </w:pPr>
      <w:r>
        <w:t>und</w:t>
      </w:r>
    </w:p>
    <w:p w:rsidR="002A21B9" w:rsidRDefault="002A21B9" w:rsidP="002A21B9">
      <w:pPr>
        <w:pStyle w:val="berschrift1"/>
      </w:pPr>
      <w:r>
        <w:t>[</w:t>
      </w:r>
      <w:r>
        <w:br/>
        <w:t>\mathfrak K(A_i,A_j;z)</w:t>
      </w:r>
    </w:p>
    <w:p w:rsidR="002A21B9" w:rsidRDefault="002A21B9" w:rsidP="008C5E65">
      <w:pPr>
        <w:numPr>
          <w:ilvl w:val="0"/>
          <w:numId w:val="379"/>
        </w:numPr>
        <w:spacing w:before="100" w:beforeAutospacing="1" w:after="100" w:afterAutospacing="1"/>
      </w:pPr>
    </w:p>
    <w:p w:rsidR="002A21B9" w:rsidRDefault="002A21B9" w:rsidP="002A21B9">
      <w:pPr>
        <w:pStyle w:val="StandardWeb"/>
      </w:pPr>
      <w:r>
        <w:t>\tag{3.7616}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K(A_i,A_j;z)=1\qquad\text{(3.7616)}</w:t>
      </w:r>
    </w:p>
    <w:p w:rsidR="002A21B9" w:rsidRDefault="002A21B9" w:rsidP="002A21B9">
      <w:pPr>
        <w:pStyle w:val="StandardWeb"/>
      </w:pPr>
      <w:r>
        <w:t>Ich kennzeichne diese Eigenschaft mit</w:t>
      </w:r>
    </w:p>
    <w:p w:rsidR="002A21B9" w:rsidRDefault="002A21B9" w:rsidP="002A21B9">
      <w:pPr>
        <w:pStyle w:val="StandardWeb"/>
      </w:pPr>
      <w:r>
        <w:t>[</w:t>
      </w:r>
      <w:r>
        <w:br/>
        <w:t>A_i</w:t>
      </w:r>
      <w:r>
        <w:br/>
        <w:t>\overset{z}{\sim}_{K}</w:t>
      </w:r>
      <w:r>
        <w:br/>
        <w:t>A_j.</w:t>
      </w:r>
      <w:r>
        <w:br/>
        <w:t>\tag{3.7617}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A_i\overset{z}{\sim}_{K}A_j\qquad\text{(3.7617)}</w:t>
      </w:r>
    </w:p>
    <w:p w:rsidR="002A21B9" w:rsidRDefault="002A21B9" w:rsidP="002A21B9">
      <w:pPr>
        <w:pStyle w:val="StandardWeb"/>
      </w:pPr>
      <w:r>
        <w:t>Die lokale Konsistenz ist damit ausdrücklich zustandsabhängig.</w:t>
      </w:r>
    </w:p>
    <w:p w:rsidR="002A21B9" w:rsidRDefault="002A21B9" w:rsidP="002A21B9">
      <w:pPr>
        <w:pStyle w:val="StandardWeb"/>
      </w:pPr>
      <w:r>
        <w:t>Zwei Aussagen können beispielsweise in einem Zustandsbereich konsistent und in einem anderen Zustandsbereich widersprüchlich sein.</w:t>
      </w:r>
    </w:p>
    <w:p w:rsidR="002A21B9" w:rsidRDefault="00E50336" w:rsidP="002A21B9">
      <w:r>
        <w:pict>
          <v:rect id="_x0000_i1734" style="width:0;height:1.5pt" o:hralign="center" o:hrstd="t" o:hr="t" fillcolor="#a0a0a0" stroked="f"/>
        </w:pict>
      </w:r>
    </w:p>
    <w:p w:rsidR="002A21B9" w:rsidRDefault="002A21B9" w:rsidP="002A21B9">
      <w:pPr>
        <w:pStyle w:val="berschrift2"/>
      </w:pPr>
      <w:r>
        <w:t>3.3.42.5 Lokale Inkonsistenz</w:t>
      </w:r>
    </w:p>
    <w:p w:rsidR="002A21B9" w:rsidRDefault="002A21B9" w:rsidP="002A21B9">
      <w:pPr>
        <w:pStyle w:val="StandardWeb"/>
      </w:pPr>
      <w:r>
        <w:t>Ich schreibe</w:t>
      </w:r>
    </w:p>
    <w:p w:rsidR="002A21B9" w:rsidRDefault="002A21B9" w:rsidP="002A21B9">
      <w:pPr>
        <w:pStyle w:val="StandardWeb"/>
      </w:pPr>
      <w:r>
        <w:t>[</w:t>
      </w:r>
      <w:r>
        <w:br/>
        <w:t>A_i</w:t>
      </w:r>
      <w:r>
        <w:br/>
        <w:t>\overset{z}{\not\sim}_{K}</w:t>
      </w:r>
      <w:r>
        <w:br/>
        <w:t>A_j</w:t>
      </w:r>
      <w:r>
        <w:br/>
        <w:t>\tag{3.7618}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A_i\overset{z}{\not\sim}_{K}A_j\qquad\text{(3.7618)}</w:t>
      </w:r>
    </w:p>
    <w:p w:rsidR="002A21B9" w:rsidRDefault="002A21B9" w:rsidP="002A21B9">
      <w:pPr>
        <w:pStyle w:val="StandardWeb"/>
      </w:pPr>
      <w:r>
        <w:t>genau dann, wenn</w:t>
      </w:r>
    </w:p>
    <w:p w:rsidR="002A21B9" w:rsidRDefault="002A21B9" w:rsidP="002A21B9">
      <w:pPr>
        <w:pStyle w:val="StandardWeb"/>
      </w:pPr>
      <w:r>
        <w:t>[</w:t>
      </w:r>
      <w:r>
        <w:br/>
        <w:t>\mathfrak K(A_i,A_j;z)=0.</w:t>
      </w:r>
      <w:r>
        <w:br/>
        <w:t>\tag{3.7619}</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\mathfrak K(A_i,A_j;z)=0\qquad\text{(3.7619)}</w:t>
      </w:r>
    </w:p>
    <w:p w:rsidR="002A21B9" w:rsidRDefault="002A21B9" w:rsidP="002A21B9">
      <w:pPr>
        <w:pStyle w:val="StandardWeb"/>
      </w:pPr>
      <w:r>
        <w:t>Dies bezeichnet einen funktionalen Widerspruch im konkreten Zustand (z).</w:t>
      </w:r>
    </w:p>
    <w:p w:rsidR="002A21B9" w:rsidRDefault="002A21B9" w:rsidP="002A21B9">
      <w:pPr>
        <w:pStyle w:val="StandardWeb"/>
      </w:pPr>
      <w:r>
        <w:t>Eine lokale Inkonsistenz bedeutet noch nicht notwendig, dass beide Aussagen im gesamten gemeinsamen Gültigkeitsraum unvereinbar sind. Sie zeigt zunächst lediglich, dass mindestens eine Konstellation existiert, in der ihre gemeinsame Gültigkeit scheitert.</w:t>
      </w:r>
    </w:p>
    <w:p w:rsidR="002A21B9" w:rsidRDefault="00E50336" w:rsidP="002A21B9">
      <w:r>
        <w:pict>
          <v:rect id="_x0000_i1735" style="width:0;height:1.5pt" o:hralign="center" o:hrstd="t" o:hr="t" fillcolor="#a0a0a0" stroked="f"/>
        </w:pict>
      </w:r>
    </w:p>
    <w:p w:rsidR="002A21B9" w:rsidRDefault="002A21B9" w:rsidP="002A21B9">
      <w:pPr>
        <w:pStyle w:val="berschrift2"/>
      </w:pPr>
      <w:r>
        <w:t>3.3.42.6 Globale funktionale Konsistenz</w:t>
      </w:r>
    </w:p>
    <w:p w:rsidR="002A21B9" w:rsidRDefault="002A21B9" w:rsidP="002A21B9">
      <w:pPr>
        <w:pStyle w:val="berschrift3"/>
      </w:pPr>
      <w:r>
        <w:t>Definition 3.3.40 (Globale funktionale Konsistenz)</w:t>
      </w:r>
    </w:p>
    <w:p w:rsidR="002A21B9" w:rsidRDefault="002A21B9" w:rsidP="002A21B9">
      <w:pPr>
        <w:pStyle w:val="StandardWeb"/>
      </w:pPr>
      <w:r>
        <w:t>Zwei Aussagen heißen innerhalb ihres gemeinsamen Gültigkeitsraums global funktional konsistent, wenn</w:t>
      </w:r>
    </w:p>
    <w:p w:rsidR="002A21B9" w:rsidRDefault="002A21B9" w:rsidP="002A21B9">
      <w:pPr>
        <w:pStyle w:val="berschrift1"/>
      </w:pPr>
      <w:r>
        <w:t>[</w:t>
      </w:r>
      <w:r>
        <w:br/>
        <w:t>\mathfrak K(A_i,A_j;z)</w:t>
      </w:r>
    </w:p>
    <w:p w:rsidR="002A21B9" w:rsidRDefault="002A21B9" w:rsidP="002A21B9">
      <w:pPr>
        <w:pStyle w:val="StandardWeb"/>
      </w:pPr>
      <w:r>
        <w:t>1</w:t>
      </w:r>
      <w:r>
        <w:br/>
        <w:t>\qquad</w:t>
      </w:r>
      <w:r>
        <w:br/>
        <w:t>\forall z\in\Omega_{ij}.</w:t>
      </w:r>
      <w:r>
        <w:br/>
        <w:t>\tag{3.7620}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K(A_i,A_j;z)=1\qquad\forall z\in\Omega_{ij}\qquad\text{(3.7620)}</w:t>
      </w:r>
    </w:p>
    <w:p w:rsidR="002A21B9" w:rsidRDefault="002A21B9" w:rsidP="002A21B9">
      <w:pPr>
        <w:pStyle w:val="StandardWeb"/>
      </w:pPr>
      <w:r>
        <w:t>Ich schreibe hierfür</w:t>
      </w:r>
    </w:p>
    <w:p w:rsidR="002A21B9" w:rsidRDefault="002A21B9" w:rsidP="002A21B9">
      <w:pPr>
        <w:pStyle w:val="StandardWeb"/>
      </w:pPr>
      <w:r>
        <w:t>[</w:t>
      </w:r>
      <w:r>
        <w:br/>
        <w:t>A_i</w:t>
      </w:r>
      <w:r>
        <w:br/>
        <w:t>\sim_{K}^{\Omega_{ij}}</w:t>
      </w:r>
      <w:r>
        <w:br/>
        <w:t>A_j.</w:t>
      </w:r>
      <w:r>
        <w:br/>
        <w:t>\tag{3.7621}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A_i\sim_{K}^{\Omega_{ij}}A_j\qquad\text{(3.7621)}</w:t>
      </w:r>
    </w:p>
    <w:p w:rsidR="002A21B9" w:rsidRDefault="002A21B9" w:rsidP="002A21B9">
      <w:pPr>
        <w:pStyle w:val="StandardWeb"/>
      </w:pPr>
      <w:r>
        <w:t>Damit ist die globale Konsistenz eine stärkere Eigenschaft als die lokale Konsistenz.</w:t>
      </w:r>
    </w:p>
    <w:p w:rsidR="002A21B9" w:rsidRDefault="002A21B9" w:rsidP="002A21B9">
      <w:pPr>
        <w:pStyle w:val="StandardWeb"/>
      </w:pPr>
      <w:r>
        <w:t>Aus</w:t>
      </w:r>
    </w:p>
    <w:p w:rsidR="002A21B9" w:rsidRDefault="002A21B9" w:rsidP="002A21B9">
      <w:pPr>
        <w:pStyle w:val="StandardWeb"/>
      </w:pPr>
      <w:r>
        <w:lastRenderedPageBreak/>
        <w:t>[</w:t>
      </w:r>
      <w:r>
        <w:br/>
        <w:t>A_i</w:t>
      </w:r>
      <w:r>
        <w:br/>
        <w:t>\sim_{K}^{\Omega_{ij}}</w:t>
      </w:r>
      <w:r>
        <w:br/>
        <w:t>A_j</w:t>
      </w:r>
      <w:r>
        <w:br/>
        <w:t>\tag{3.7622}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A_i\sim_{K}^{\Omega_{ij}}A_j\qquad\text{(3.7622)}</w:t>
      </w:r>
    </w:p>
    <w:p w:rsidR="002A21B9" w:rsidRDefault="002A21B9" w:rsidP="002A21B9">
      <w:pPr>
        <w:pStyle w:val="StandardWeb"/>
      </w:pPr>
      <w:r>
        <w:t>folgt für jeden einzelnen Zustand</w:t>
      </w:r>
    </w:p>
    <w:p w:rsidR="002A21B9" w:rsidRDefault="002A21B9" w:rsidP="002A21B9">
      <w:pPr>
        <w:pStyle w:val="StandardWeb"/>
      </w:pPr>
      <w:r>
        <w:t>[</w:t>
      </w:r>
      <w:r>
        <w:br/>
        <w:t>z\in\Omega_{ij}</w:t>
      </w:r>
      <w:r>
        <w:br/>
        <w:t>]</w:t>
      </w:r>
    </w:p>
    <w:p w:rsidR="002A21B9" w:rsidRDefault="002A21B9" w:rsidP="002A21B9">
      <w:pPr>
        <w:pStyle w:val="StandardWeb"/>
      </w:pPr>
      <w:r>
        <w:t>die lokale Konsistenz</w:t>
      </w:r>
    </w:p>
    <w:p w:rsidR="002A21B9" w:rsidRDefault="002A21B9" w:rsidP="002A21B9">
      <w:pPr>
        <w:pStyle w:val="StandardWeb"/>
      </w:pPr>
      <w:r>
        <w:t>[</w:t>
      </w:r>
      <w:r>
        <w:br/>
        <w:t>A_i</w:t>
      </w:r>
      <w:r>
        <w:br/>
        <w:t>\overset{z}{\sim}_{K}</w:t>
      </w:r>
      <w:r>
        <w:br/>
        <w:t>A_j.</w:t>
      </w:r>
      <w:r>
        <w:br/>
        <w:t>\tag{3.7623}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A_i\overset{z}{\sim}_{K}A_j\qquad\text{(3.7623)}</w:t>
      </w:r>
    </w:p>
    <w:p w:rsidR="002A21B9" w:rsidRDefault="002A21B9" w:rsidP="002A21B9">
      <w:pPr>
        <w:pStyle w:val="StandardWeb"/>
      </w:pPr>
      <w:r>
        <w:t>Die Umkehrung gilt nur dann, wenn die lokale Konsistenz für sämtliche Zustände des gemeinsamen Gültigkeitsraums nachgewiesen wurde.</w:t>
      </w:r>
    </w:p>
    <w:p w:rsidR="002A21B9" w:rsidRDefault="00E50336" w:rsidP="002A21B9">
      <w:r>
        <w:pict>
          <v:rect id="_x0000_i1736" style="width:0;height:1.5pt" o:hralign="center" o:hrstd="t" o:hr="t" fillcolor="#a0a0a0" stroked="f"/>
        </w:pict>
      </w:r>
    </w:p>
    <w:p w:rsidR="002A21B9" w:rsidRDefault="002A21B9" w:rsidP="002A21B9">
      <w:pPr>
        <w:pStyle w:val="berschrift2"/>
      </w:pPr>
      <w:r>
        <w:t>3.3.42.7 Globale Inkonsistenz</w:t>
      </w:r>
    </w:p>
    <w:p w:rsidR="002A21B9" w:rsidRDefault="002A21B9" w:rsidP="002A21B9">
      <w:pPr>
        <w:pStyle w:val="StandardWeb"/>
      </w:pPr>
      <w:r>
        <w:t>Globale Inkonsistenz liegt in einer starken Form vor, wenn</w:t>
      </w:r>
    </w:p>
    <w:p w:rsidR="002A21B9" w:rsidRDefault="002A21B9" w:rsidP="002A21B9">
      <w:pPr>
        <w:pStyle w:val="berschrift1"/>
      </w:pPr>
      <w:r>
        <w:t>[</w:t>
      </w:r>
      <w:r>
        <w:br/>
        <w:t>\mathfrak K(A_i,A_j;z)</w:t>
      </w:r>
    </w:p>
    <w:p w:rsidR="002A21B9" w:rsidRDefault="002A21B9" w:rsidP="002A21B9">
      <w:pPr>
        <w:pStyle w:val="StandardWeb"/>
      </w:pPr>
      <w:r>
        <w:t>0</w:t>
      </w:r>
      <w:r>
        <w:br/>
        <w:t>\qquad</w:t>
      </w:r>
      <w:r>
        <w:br/>
        <w:t>\forall z\in\Omega_{ij}.</w:t>
      </w:r>
      <w:r>
        <w:br/>
        <w:t>\tag{3.7624}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\mathfrak K(A_i,A_j;z)=0\qquad\forall z\in\Omega_{ij}\qquad\text{(3.7624)}</w:t>
      </w:r>
    </w:p>
    <w:p w:rsidR="002A21B9" w:rsidRDefault="002A21B9" w:rsidP="002A21B9">
      <w:pPr>
        <w:pStyle w:val="StandardWeb"/>
      </w:pPr>
      <w:r>
        <w:t>Dann existiert innerhalb des gesamten Überlappungsbereichs kein Zustand, in dem beide Aussagen gemeinsam gültig sind.</w:t>
      </w:r>
    </w:p>
    <w:p w:rsidR="002A21B9" w:rsidRDefault="002A21B9" w:rsidP="002A21B9">
      <w:pPr>
        <w:pStyle w:val="StandardWeb"/>
      </w:pPr>
      <w:r>
        <w:t>Ich schreibe</w:t>
      </w:r>
    </w:p>
    <w:p w:rsidR="002A21B9" w:rsidRDefault="002A21B9" w:rsidP="002A21B9">
      <w:pPr>
        <w:pStyle w:val="StandardWeb"/>
      </w:pPr>
      <w:r>
        <w:t>[</w:t>
      </w:r>
      <w:r>
        <w:br/>
        <w:t>A_i</w:t>
      </w:r>
      <w:r>
        <w:br/>
        <w:t>\perp_{K}^{\Omega_{ij}}</w:t>
      </w:r>
      <w:r>
        <w:br/>
        <w:t>A_j.</w:t>
      </w:r>
      <w:r>
        <w:br/>
        <w:t>\tag{3.7625}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A_i\perp_{K}^{\Omega_{ij}}A_j\qquad\text{(3.7625)}</w:t>
      </w:r>
    </w:p>
    <w:p w:rsidR="002A21B9" w:rsidRDefault="002A21B9" w:rsidP="002A21B9">
      <w:pPr>
        <w:pStyle w:val="StandardWeb"/>
      </w:pPr>
      <w:r>
        <w:t>Diese Form ist stärker als die bloße Existenz einzelner lokaler Widersprüche.</w:t>
      </w:r>
    </w:p>
    <w:p w:rsidR="002A21B9" w:rsidRDefault="00E50336" w:rsidP="002A21B9">
      <w:r>
        <w:pict>
          <v:rect id="_x0000_i1737" style="width:0;height:1.5pt" o:hralign="center" o:hrstd="t" o:hr="t" fillcolor="#a0a0a0" stroked="f"/>
        </w:pict>
      </w:r>
    </w:p>
    <w:p w:rsidR="002A21B9" w:rsidRDefault="002A21B9" w:rsidP="002A21B9">
      <w:pPr>
        <w:pStyle w:val="berschrift2"/>
      </w:pPr>
      <w:r>
        <w:t>3.3.42.8 Partielle Konsistenz</w:t>
      </w:r>
    </w:p>
    <w:p w:rsidR="002A21B9" w:rsidRDefault="002A21B9" w:rsidP="002A21B9">
      <w:pPr>
        <w:pStyle w:val="StandardWeb"/>
      </w:pPr>
      <w:r>
        <w:t>Zwischen vollständiger globaler Konsistenz und vollständiger globaler Inkonsistenz liegt ein wissenschaftlich besonders wichtiger Zwischenfall.</w:t>
      </w:r>
    </w:p>
    <w:p w:rsidR="002A21B9" w:rsidRDefault="002A21B9" w:rsidP="002A21B9">
      <w:pPr>
        <w:pStyle w:val="StandardWeb"/>
      </w:pPr>
      <w:r>
        <w:t>Es kann eine Teilmenge</w:t>
      </w:r>
    </w:p>
    <w:p w:rsidR="002A21B9" w:rsidRDefault="002A21B9" w:rsidP="002A21B9">
      <w:pPr>
        <w:pStyle w:val="StandardWeb"/>
      </w:pPr>
      <w:r>
        <w:t>[</w:t>
      </w:r>
      <w:r>
        <w:br/>
        <w:t>\Omega_{ij}^{K}</w:t>
      </w:r>
      <w:r>
        <w:br/>
        <w:t>\subset</w:t>
      </w:r>
      <w:r>
        <w:br/>
        <w:t>\Omega_{ij}</w:t>
      </w:r>
      <w:r>
        <w:br/>
        <w:t>\tag{3.7626}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\Omega_{ij}^{K}\subset\Omega_{ij}\qquad\text{(3.7626)}</w:t>
      </w:r>
    </w:p>
    <w:p w:rsidR="002A21B9" w:rsidRDefault="002A21B9" w:rsidP="002A21B9">
      <w:pPr>
        <w:pStyle w:val="StandardWeb"/>
      </w:pPr>
      <w:r>
        <w:t>geben, in der</w:t>
      </w:r>
    </w:p>
    <w:p w:rsidR="002A21B9" w:rsidRDefault="002A21B9" w:rsidP="002A21B9">
      <w:pPr>
        <w:pStyle w:val="StandardWeb"/>
      </w:pPr>
      <w:r>
        <w:t>[</w:t>
      </w:r>
      <w:r>
        <w:br/>
        <w:t>\mathfrak K(A_i,A_j;z)=1,</w:t>
      </w:r>
      <w:r>
        <w:br/>
        <w:t>\tag{3.7627}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K(A_i,A_j;z)=1\qquad\text{(3.7627)}</w:t>
      </w:r>
    </w:p>
    <w:p w:rsidR="002A21B9" w:rsidRDefault="002A21B9" w:rsidP="002A21B9">
      <w:pPr>
        <w:pStyle w:val="StandardWeb"/>
      </w:pPr>
      <w:r>
        <w:t>während in einer anderen Teilmenge</w:t>
      </w:r>
    </w:p>
    <w:p w:rsidR="002A21B9" w:rsidRDefault="002A21B9" w:rsidP="002A21B9">
      <w:pPr>
        <w:pStyle w:val="StandardWeb"/>
      </w:pPr>
      <w:r>
        <w:lastRenderedPageBreak/>
        <w:t>[</w:t>
      </w:r>
      <w:r>
        <w:br/>
        <w:t>\Omega_{ij}^{W}</w:t>
      </w:r>
      <w:r>
        <w:br/>
        <w:t>\subset</w:t>
      </w:r>
      <w:r>
        <w:br/>
        <w:t>\Omega_{ij}</w:t>
      </w:r>
      <w:r>
        <w:br/>
        <w:t>\tag{3.7628}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\Omega_{ij}^{W}\subset\Omega_{ij}\qquad\text{(3.7628)}</w:t>
      </w:r>
    </w:p>
    <w:p w:rsidR="002A21B9" w:rsidRDefault="002A21B9" w:rsidP="002A21B9">
      <w:pPr>
        <w:pStyle w:val="StandardWeb"/>
      </w:pPr>
      <w:r>
        <w:t>gilt</w:t>
      </w:r>
    </w:p>
    <w:p w:rsidR="002A21B9" w:rsidRDefault="002A21B9" w:rsidP="002A21B9">
      <w:pPr>
        <w:pStyle w:val="StandardWeb"/>
      </w:pPr>
      <w:r>
        <w:t>[</w:t>
      </w:r>
      <w:r>
        <w:br/>
        <w:t>\mathfrak K(A_i,A_j;z)=0.</w:t>
      </w:r>
      <w:r>
        <w:br/>
        <w:t>\tag{3.7629}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K(A_i,A_j;z)=0\qquad\text{(3.7629)}</w:t>
      </w:r>
    </w:p>
    <w:p w:rsidR="002A21B9" w:rsidRDefault="002A21B9" w:rsidP="002A21B9">
      <w:pPr>
        <w:pStyle w:val="StandardWeb"/>
      </w:pPr>
      <w:r>
        <w:t>mit</w:t>
      </w:r>
    </w:p>
    <w:p w:rsidR="002A21B9" w:rsidRDefault="002A21B9" w:rsidP="002A21B9">
      <w:pPr>
        <w:pStyle w:val="berschrift1"/>
      </w:pPr>
      <w:r>
        <w:t>[</w:t>
      </w:r>
      <w:r>
        <w:br/>
        <w:t>\Omega_{ij}^{K}</w:t>
      </w:r>
      <w:r>
        <w:br/>
        <w:t>\cap</w:t>
      </w:r>
      <w:r>
        <w:br/>
        <w:t>\Omega_{ij}^{W}</w:t>
      </w:r>
    </w:p>
    <w:p w:rsidR="002A21B9" w:rsidRDefault="002A21B9" w:rsidP="002A21B9">
      <w:pPr>
        <w:pStyle w:val="StandardWeb"/>
      </w:pPr>
      <w:r>
        <w:t>\varnothing</w:t>
      </w:r>
      <w:r>
        <w:br/>
        <w:t>\tag{3.7630}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\Omega_{ij}^{K}\cap\Omega_{ij}^{W}=\varnothing\qquad\text{(3.7630)}</w:t>
      </w:r>
    </w:p>
    <w:p w:rsidR="002A21B9" w:rsidRDefault="002A21B9" w:rsidP="002A21B9">
      <w:pPr>
        <w:pStyle w:val="StandardWeb"/>
      </w:pPr>
      <w:r>
        <w:t>und idealerweise</w:t>
      </w:r>
    </w:p>
    <w:p w:rsidR="002A21B9" w:rsidRDefault="002A21B9" w:rsidP="002A21B9">
      <w:pPr>
        <w:pStyle w:val="berschrift1"/>
      </w:pPr>
      <w:r>
        <w:t>[</w:t>
      </w:r>
      <w:r>
        <w:br/>
        <w:t>\Omega_{ij}^{K}</w:t>
      </w:r>
      <w:r>
        <w:br/>
        <w:t>\cup</w:t>
      </w:r>
      <w:r>
        <w:br/>
        <w:t>\Omega_{ij}^{W}</w:t>
      </w:r>
    </w:p>
    <w:p w:rsidR="002A21B9" w:rsidRDefault="002A21B9" w:rsidP="002A21B9">
      <w:pPr>
        <w:pStyle w:val="StandardWeb"/>
      </w:pPr>
      <w:r>
        <w:lastRenderedPageBreak/>
        <w:t>\Omega_{ij}.</w:t>
      </w:r>
      <w:r>
        <w:br/>
        <w:t>\tag{3.7631}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\Omega_{ij}^{K}\cup\Omega_{ij}^{W}=\Omega_{ij}\qquad\text{(3.7631)}</w:t>
      </w:r>
    </w:p>
    <w:p w:rsidR="002A21B9" w:rsidRDefault="002A21B9" w:rsidP="002A21B9">
      <w:pPr>
        <w:pStyle w:val="StandardWeb"/>
      </w:pPr>
      <w:r>
        <w:t>Dies führt zur nächsten Definition.</w:t>
      </w:r>
    </w:p>
    <w:p w:rsidR="002A21B9" w:rsidRDefault="00E50336" w:rsidP="002A21B9">
      <w:r>
        <w:pict>
          <v:rect id="_x0000_i1738" style="width:0;height:1.5pt" o:hralign="center" o:hrstd="t" o:hr="t" fillcolor="#a0a0a0" stroked="f"/>
        </w:pict>
      </w:r>
    </w:p>
    <w:p w:rsidR="002A21B9" w:rsidRDefault="002A21B9" w:rsidP="002A21B9">
      <w:pPr>
        <w:pStyle w:val="berschrift3"/>
      </w:pPr>
      <w:r>
        <w:t>Definition 3.3.41 (Partielle funktionale Konsistenz)</w:t>
      </w:r>
    </w:p>
    <w:p w:rsidR="002A21B9" w:rsidRDefault="002A21B9" w:rsidP="002A21B9">
      <w:pPr>
        <w:pStyle w:val="StandardWeb"/>
      </w:pPr>
      <w:r>
        <w:t>Zwei Aussagen heißen partiell funktional konsistent, wenn innerhalb ihres gemeinsamen Gültigkeitsraums sowohl konsistente als auch inkonsistente Zustände existieren.</w:t>
      </w:r>
    </w:p>
    <w:p w:rsidR="002A21B9" w:rsidRDefault="002A21B9" w:rsidP="002A21B9">
      <w:pPr>
        <w:pStyle w:val="StandardWeb"/>
      </w:pPr>
      <w:r>
        <w:t>Formal:</w:t>
      </w:r>
    </w:p>
    <w:p w:rsidR="002A21B9" w:rsidRDefault="002A21B9" w:rsidP="002A21B9">
      <w:pPr>
        <w:pStyle w:val="StandardWeb"/>
      </w:pPr>
      <w:r>
        <w:t>[</w:t>
      </w:r>
      <w:r>
        <w:br/>
        <w:t>\exists z_1,z_2\in\Omega_{ij}:</w:t>
      </w:r>
      <w:r>
        <w:br/>
        <w:t>\mathfrak K(A_i,A_j;z_1)=1</w:t>
      </w:r>
      <w:r>
        <w:br/>
        <w:t>\land</w:t>
      </w:r>
      <w:r>
        <w:br/>
        <w:t>\mathfrak K(A_i,A_j;z_2)=0.</w:t>
      </w:r>
      <w:r>
        <w:br/>
        <w:t>\tag{3.7632}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\exists z_1,z_2\in\Omega_{ij}:\mathfrak K(A_i,A_j;z_1)=1\land\mathfrak K(A_i,A_j;z_2)=0\qquad\text{(3.7632)}</w:t>
      </w:r>
    </w:p>
    <w:p w:rsidR="002A21B9" w:rsidRDefault="002A21B9" w:rsidP="002A21B9">
      <w:pPr>
        <w:pStyle w:val="StandardWeb"/>
      </w:pPr>
      <w:r>
        <w:t>Damit kann die funktionale Konsistenz nicht mehr nur binär bewertet werden.</w:t>
      </w:r>
    </w:p>
    <w:p w:rsidR="002A21B9" w:rsidRDefault="00E50336" w:rsidP="002A21B9">
      <w:r>
        <w:pict>
          <v:rect id="_x0000_i1739" style="width:0;height:1.5pt" o:hralign="center" o:hrstd="t" o:hr="t" fillcolor="#a0a0a0" stroked="f"/>
        </w:pict>
      </w:r>
    </w:p>
    <w:p w:rsidR="002A21B9" w:rsidRDefault="002A21B9" w:rsidP="002A21B9">
      <w:pPr>
        <w:pStyle w:val="berschrift2"/>
      </w:pPr>
      <w:r>
        <w:t>3.3.42.9 Konsistenzgrad</w:t>
      </w:r>
    </w:p>
    <w:p w:rsidR="002A21B9" w:rsidRDefault="002A21B9" w:rsidP="002A21B9">
      <w:pPr>
        <w:pStyle w:val="StandardWeb"/>
      </w:pPr>
      <w:r>
        <w:t>Zur quantitativen Beschreibung definiere ich den Konsistenzgrad</w:t>
      </w:r>
    </w:p>
    <w:p w:rsidR="002A21B9" w:rsidRDefault="002A21B9" w:rsidP="002A21B9">
      <w:pPr>
        <w:pStyle w:val="berschrift1"/>
      </w:pPr>
      <w:r>
        <w:t>[</w:t>
      </w:r>
      <w:r>
        <w:br/>
        <w:t>R_K(A_i,A_j)</w:t>
      </w:r>
    </w:p>
    <w:p w:rsidR="002A21B9" w:rsidRDefault="002A21B9" w:rsidP="002A21B9">
      <w:pPr>
        <w:pStyle w:val="StandardWeb"/>
      </w:pPr>
      <w:r>
        <w:t>\frac{</w:t>
      </w:r>
      <w:r>
        <w:br/>
        <w:t>\mu\left(\Omega_{ij}^{K}\right)</w:t>
      </w:r>
      <w:r>
        <w:br/>
        <w:t>}{</w:t>
      </w:r>
      <w:r>
        <w:br/>
        <w:t>\mu\left(\Omega_{ij}\right)</w:t>
      </w:r>
      <w:r>
        <w:br/>
        <w:t>}.</w:t>
      </w:r>
      <w:r>
        <w:br/>
        <w:t>\tag{3.7633}</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R_K(A_i,A_j)=\frac{\mu\left(\Omega_{ij}^{K}\right)}{\mu\left(\Omega_{ij}\right)}\qquad\text{(3.7633)}</w:t>
      </w:r>
    </w:p>
    <w:p w:rsidR="002A21B9" w:rsidRDefault="002A21B9" w:rsidP="002A21B9">
      <w:pPr>
        <w:pStyle w:val="StandardWeb"/>
      </w:pPr>
      <w:r>
        <w:t>unter der Voraussetzung</w:t>
      </w:r>
    </w:p>
    <w:p w:rsidR="002A21B9" w:rsidRDefault="002A21B9" w:rsidP="002A21B9">
      <w:pPr>
        <w:pStyle w:val="StandardWeb"/>
      </w:pPr>
      <w:r>
        <w:t>[</w:t>
      </w:r>
      <w:r>
        <w:br/>
        <w:t>\mu(\Omega_{ij})&gt;0.</w:t>
      </w:r>
      <w:r>
        <w:br/>
        <w:t>\tag{3.7634}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\mu(\Omega_{ij})&gt;0\qquad\text{(3.7634)}</w:t>
      </w:r>
    </w:p>
    <w:p w:rsidR="002A21B9" w:rsidRDefault="002A21B9" w:rsidP="002A21B9">
      <w:pPr>
        <w:pStyle w:val="StandardWeb"/>
      </w:pPr>
      <w:r>
        <w:t>Es gilt</w:t>
      </w:r>
    </w:p>
    <w:p w:rsidR="002A21B9" w:rsidRDefault="002A21B9" w:rsidP="002A21B9">
      <w:pPr>
        <w:pStyle w:val="StandardWeb"/>
      </w:pPr>
      <w:r>
        <w:t>[</w:t>
      </w:r>
      <w:r>
        <w:br/>
        <w:t>0</w:t>
      </w:r>
      <w:r>
        <w:br/>
        <w:t>\leq</w:t>
      </w:r>
      <w:r>
        <w:br/>
        <w:t>R_K(A_i,A_j)</w:t>
      </w:r>
      <w:r>
        <w:br/>
        <w:t>\leq</w:t>
      </w:r>
      <w:r>
        <w:br/>
        <w:t>1.</w:t>
      </w:r>
      <w:r>
        <w:br/>
        <w:t>\tag{3.7635}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0\leq R_K(A_i,A_j)\leq1\qquad\text{(3.7635)}</w:t>
      </w:r>
    </w:p>
    <w:p w:rsidR="002A21B9" w:rsidRDefault="002A21B9" w:rsidP="002A21B9">
      <w:pPr>
        <w:pStyle w:val="StandardWeb"/>
      </w:pPr>
      <w:r>
        <w:t>Die Extremfälle besitzen eine klare Interpretation.</w:t>
      </w:r>
    </w:p>
    <w:p w:rsidR="002A21B9" w:rsidRDefault="002A21B9" w:rsidP="002A21B9">
      <w:pPr>
        <w:pStyle w:val="StandardWeb"/>
      </w:pPr>
      <w:r>
        <w:t>Für</w:t>
      </w:r>
    </w:p>
    <w:p w:rsidR="002A21B9" w:rsidRDefault="002A21B9" w:rsidP="002A21B9">
      <w:pPr>
        <w:pStyle w:val="StandardWeb"/>
      </w:pPr>
      <w:r>
        <w:t>[</w:t>
      </w:r>
      <w:r>
        <w:br/>
        <w:t>R_K(A_i,A_j)=1</w:t>
      </w:r>
      <w:r>
        <w:br/>
        <w:t>\tag{3.7636}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R_K(A_i,A_j)=1\qquad\text{(3.7636)}</w:t>
      </w:r>
    </w:p>
    <w:p w:rsidR="002A21B9" w:rsidRDefault="002A21B9" w:rsidP="002A21B9">
      <w:pPr>
        <w:pStyle w:val="StandardWeb"/>
      </w:pPr>
      <w:r>
        <w:t>sind beide Aussagen global konsistent.</w:t>
      </w:r>
    </w:p>
    <w:p w:rsidR="002A21B9" w:rsidRDefault="002A21B9" w:rsidP="002A21B9">
      <w:pPr>
        <w:pStyle w:val="StandardWeb"/>
      </w:pPr>
      <w:r>
        <w:t>Für</w:t>
      </w:r>
    </w:p>
    <w:p w:rsidR="002A21B9" w:rsidRDefault="002A21B9" w:rsidP="002A21B9">
      <w:pPr>
        <w:pStyle w:val="StandardWeb"/>
      </w:pPr>
      <w:r>
        <w:t>[</w:t>
      </w:r>
      <w:r>
        <w:br/>
        <w:t>R_K(A_i,A_j)=0</w:t>
      </w:r>
      <w:r>
        <w:br/>
        <w:t>\tag{3.7637}</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R_K(A_i,A_j)=0\qquad\text{(3.7637)}</w:t>
      </w:r>
    </w:p>
    <w:p w:rsidR="002A21B9" w:rsidRDefault="002A21B9" w:rsidP="002A21B9">
      <w:pPr>
        <w:pStyle w:val="StandardWeb"/>
      </w:pPr>
      <w:r>
        <w:t>sind sie innerhalb ihres gesamten gemeinsamen Gültigkeitsbereiches funktional unvereinbar.</w:t>
      </w:r>
    </w:p>
    <w:p w:rsidR="002A21B9" w:rsidRDefault="002A21B9" w:rsidP="002A21B9">
      <w:pPr>
        <w:pStyle w:val="StandardWeb"/>
      </w:pPr>
      <w:r>
        <w:t>Für</w:t>
      </w:r>
    </w:p>
    <w:p w:rsidR="002A21B9" w:rsidRDefault="002A21B9" w:rsidP="002A21B9">
      <w:pPr>
        <w:pStyle w:val="StandardWeb"/>
      </w:pPr>
      <w:r>
        <w:t>[</w:t>
      </w:r>
      <w:r>
        <w:br/>
        <w:t>0&lt;R_K(A_i,A_j)&lt;1</w:t>
      </w:r>
      <w:r>
        <w:br/>
        <w:t>\tag{3.7638}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0&lt;R_K(A_i,A_j)&lt;1\qquad\text{(3.7638)}</w:t>
      </w:r>
    </w:p>
    <w:p w:rsidR="002A21B9" w:rsidRDefault="002A21B9" w:rsidP="002A21B9">
      <w:pPr>
        <w:pStyle w:val="StandardWeb"/>
      </w:pPr>
      <w:r>
        <w:t>liegt partielle funktionale Konsistenz vor.</w:t>
      </w:r>
    </w:p>
    <w:p w:rsidR="002A21B9" w:rsidRDefault="00E50336" w:rsidP="002A21B9">
      <w:r>
        <w:pict>
          <v:rect id="_x0000_i1740" style="width:0;height:1.5pt" o:hralign="center" o:hrstd="t" o:hr="t" fillcolor="#a0a0a0" stroked="f"/>
        </w:pict>
      </w:r>
    </w:p>
    <w:p w:rsidR="002A21B9" w:rsidRDefault="002A21B9" w:rsidP="002A21B9">
      <w:pPr>
        <w:pStyle w:val="berschrift2"/>
      </w:pPr>
      <w:r>
        <w:t>3.3.42.10 Widerspruchsgrad</w:t>
      </w:r>
    </w:p>
    <w:p w:rsidR="002A21B9" w:rsidRDefault="002A21B9" w:rsidP="002A21B9">
      <w:pPr>
        <w:pStyle w:val="StandardWeb"/>
      </w:pPr>
      <w:r>
        <w:t>Komplementär zum Konsistenzgrad definiere ich</w:t>
      </w:r>
    </w:p>
    <w:p w:rsidR="002A21B9" w:rsidRDefault="002A21B9" w:rsidP="002A21B9">
      <w:pPr>
        <w:pStyle w:val="berschrift1"/>
      </w:pPr>
      <w:r>
        <w:t>[</w:t>
      </w:r>
      <w:r>
        <w:br/>
        <w:t>R_W(A_i,A_j)</w:t>
      </w:r>
    </w:p>
    <w:p w:rsidR="002A21B9" w:rsidRDefault="002A21B9" w:rsidP="002A21B9">
      <w:pPr>
        <w:pStyle w:val="StandardWeb"/>
      </w:pPr>
      <w:r>
        <w:t>\frac{</w:t>
      </w:r>
      <w:r>
        <w:br/>
        <w:t>\mu\left(\Omega_{ij}^{W}\right)</w:t>
      </w:r>
      <w:r>
        <w:br/>
        <w:t>}{</w:t>
      </w:r>
      <w:r>
        <w:br/>
        <w:t>\mu\left(\Omega_{ij}\right)</w:t>
      </w:r>
      <w:r>
        <w:br/>
        <w:t>}.</w:t>
      </w:r>
      <w:r>
        <w:br/>
        <w:t>\tag{3.7639}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R_W(A_i,A_j)=\frac{\mu\left(\Omega_{ij}^{W}\right)}{\mu\left(\Omega_{ij}\right)}\qquad\text{(3.7639)}</w:t>
      </w:r>
    </w:p>
    <w:p w:rsidR="002A21B9" w:rsidRDefault="002A21B9" w:rsidP="002A21B9">
      <w:pPr>
        <w:pStyle w:val="StandardWeb"/>
      </w:pPr>
      <w:r>
        <w:t>Falls</w:t>
      </w:r>
    </w:p>
    <w:p w:rsidR="002A21B9" w:rsidRDefault="002A21B9" w:rsidP="002A21B9">
      <w:pPr>
        <w:pStyle w:val="berschrift1"/>
      </w:pPr>
      <w:r>
        <w:t>[</w:t>
      </w:r>
      <w:r>
        <w:br/>
        <w:t>\Omega_{ij}^{K}</w:t>
      </w:r>
      <w:r>
        <w:br/>
        <w:t>\cup</w:t>
      </w:r>
      <w:r>
        <w:br/>
        <w:t>\Omega_{ij}^{W}</w:t>
      </w:r>
    </w:p>
    <w:p w:rsidR="002A21B9" w:rsidRDefault="002A21B9" w:rsidP="002A21B9">
      <w:pPr>
        <w:pStyle w:val="StandardWeb"/>
      </w:pPr>
      <w:r>
        <w:lastRenderedPageBreak/>
        <w:t>\Omega_{ij}</w:t>
      </w:r>
      <w:r>
        <w:br/>
        <w:t>\tag{3.7640}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\Omega_{ij}^{K}\cup\Omega_{ij}^{W}=\Omega_{ij}\qquad\text{(3.7640)}</w:t>
      </w:r>
    </w:p>
    <w:p w:rsidR="002A21B9" w:rsidRDefault="002A21B9" w:rsidP="002A21B9">
      <w:pPr>
        <w:pStyle w:val="StandardWeb"/>
      </w:pPr>
      <w:r>
        <w:t>und beide Mengen disjunkt sind, gilt</w:t>
      </w:r>
    </w:p>
    <w:p w:rsidR="002A21B9" w:rsidRDefault="002A21B9" w:rsidP="002A21B9">
      <w:pPr>
        <w:pStyle w:val="berschrift1"/>
      </w:pPr>
      <w:r>
        <w:t>[</w:t>
      </w:r>
      <w:r>
        <w:br/>
        <w:t>R_K</w:t>
      </w:r>
      <w:r>
        <w:br/>
        <w:t>+</w:t>
      </w:r>
      <w:r>
        <w:br/>
        <w:t>R_W</w:t>
      </w:r>
    </w:p>
    <w:p w:rsidR="002A21B9" w:rsidRDefault="002A21B9" w:rsidP="008C5E65">
      <w:pPr>
        <w:numPr>
          <w:ilvl w:val="0"/>
          <w:numId w:val="380"/>
        </w:numPr>
        <w:spacing w:before="100" w:beforeAutospacing="1" w:after="100" w:afterAutospacing="1"/>
      </w:pPr>
    </w:p>
    <w:p w:rsidR="002A21B9" w:rsidRDefault="002A21B9" w:rsidP="002A21B9">
      <w:pPr>
        <w:pStyle w:val="StandardWeb"/>
      </w:pPr>
      <w:r>
        <w:t>\tag{3.7641}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R_K+R_W=1\qquad\text{(3.7641)}</w:t>
      </w:r>
    </w:p>
    <w:p w:rsidR="002A21B9" w:rsidRDefault="002A21B9" w:rsidP="002A21B9">
      <w:pPr>
        <w:pStyle w:val="StandardWeb"/>
      </w:pPr>
      <w:r>
        <w:t>Diese einfache Komplementarität gilt jedoch nur, wenn keine unentscheidbaren Zustände verbleiben.</w:t>
      </w:r>
    </w:p>
    <w:p w:rsidR="002A21B9" w:rsidRDefault="00E50336" w:rsidP="002A21B9">
      <w:r>
        <w:pict>
          <v:rect id="_x0000_i1741" style="width:0;height:1.5pt" o:hralign="center" o:hrstd="t" o:hr="t" fillcolor="#a0a0a0" stroked="f"/>
        </w:pict>
      </w:r>
    </w:p>
    <w:p w:rsidR="002A21B9" w:rsidRDefault="002A21B9" w:rsidP="002A21B9">
      <w:pPr>
        <w:pStyle w:val="berschrift2"/>
      </w:pPr>
      <w:r>
        <w:t>3.3.42.11 Unentscheidbarer Konsistenzbereich</w:t>
      </w:r>
    </w:p>
    <w:p w:rsidR="002A21B9" w:rsidRDefault="002A21B9" w:rsidP="002A21B9">
      <w:pPr>
        <w:pStyle w:val="StandardWeb"/>
      </w:pPr>
      <w:r>
        <w:t>In realen wissenschaftlichen Anwendungen kann es Zustände geben, für die eine Konsistenzbewertung aufgrund fehlender Daten, unzureichender Operationalisierung oder nicht bestimmbarer Parameter nicht möglich ist.</w:t>
      </w:r>
    </w:p>
    <w:p w:rsidR="002A21B9" w:rsidRDefault="002A21B9" w:rsidP="002A21B9">
      <w:pPr>
        <w:pStyle w:val="StandardWeb"/>
      </w:pPr>
      <w:r>
        <w:t>Ich führe deshalb einen unentscheidbaren Teilbereich ein:</w:t>
      </w:r>
    </w:p>
    <w:p w:rsidR="002A21B9" w:rsidRDefault="002A21B9" w:rsidP="002A21B9">
      <w:pPr>
        <w:pStyle w:val="StandardWeb"/>
      </w:pPr>
      <w:r>
        <w:t>[</w:t>
      </w:r>
      <w:r>
        <w:br/>
        <w:t>\Omega_{ij}^{U}</w:t>
      </w:r>
      <w:r>
        <w:br/>
        <w:t>\subseteq</w:t>
      </w:r>
      <w:r>
        <w:br/>
        <w:t>\Omega_{ij}.</w:t>
      </w:r>
      <w:r>
        <w:br/>
        <w:t>\tag{3.7642}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\Omega_{ij}^{U}\subseteq\Omega_{ij}\qquad\text{(3.7642)}</w:t>
      </w:r>
    </w:p>
    <w:p w:rsidR="002A21B9" w:rsidRDefault="002A21B9" w:rsidP="002A21B9">
      <w:pPr>
        <w:pStyle w:val="StandardWeb"/>
      </w:pPr>
      <w:r>
        <w:lastRenderedPageBreak/>
        <w:t>Damit kann der gemeinsame Gültigkeitsraum zerlegt werden in</w:t>
      </w:r>
    </w:p>
    <w:p w:rsidR="002A21B9" w:rsidRDefault="002A21B9" w:rsidP="002A21B9">
      <w:pPr>
        <w:pStyle w:val="berschrift1"/>
      </w:pPr>
      <w:r>
        <w:t>[</w:t>
      </w:r>
      <w:r>
        <w:br/>
        <w:t>\Omega_{ij}</w:t>
      </w:r>
    </w:p>
    <w:p w:rsidR="002A21B9" w:rsidRDefault="002A21B9" w:rsidP="002A21B9">
      <w:pPr>
        <w:pStyle w:val="StandardWeb"/>
      </w:pPr>
      <w:r>
        <w:t>\Omega_{ij}^{K}</w:t>
      </w:r>
      <w:r>
        <w:br/>
        <w:t>;\dot{\cup};</w:t>
      </w:r>
      <w:r>
        <w:br/>
        <w:t>\Omega_{ij}^{W}</w:t>
      </w:r>
      <w:r>
        <w:br/>
        <w:t>;\dot{\cup};</w:t>
      </w:r>
      <w:r>
        <w:br/>
        <w:t>\Omega_{ij}^{U}.</w:t>
      </w:r>
      <w:r>
        <w:br/>
        <w:t>\tag{3.7643}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\Omega_{ij}=\Omega_{ij}^{K}\dot{\cup}\Omega_{ij}^{W}\dot{\cup}\Omega_{ij}^{U}\qquad\text{(3.7643)}</w:t>
      </w:r>
    </w:p>
    <w:p w:rsidR="002A21B9" w:rsidRDefault="002A21B9" w:rsidP="002A21B9">
      <w:pPr>
        <w:pStyle w:val="StandardWeb"/>
      </w:pPr>
      <w:r>
        <w:t>Das Symbol (\dot{\cup}) bezeichnet die disjunkte Vereinigung.</w:t>
      </w:r>
    </w:p>
    <w:p w:rsidR="002A21B9" w:rsidRDefault="002A21B9" w:rsidP="002A21B9">
      <w:pPr>
        <w:pStyle w:val="StandardWeb"/>
      </w:pPr>
      <w:r>
        <w:t>Der Unentscheidbarkeitsgrad lautet</w:t>
      </w:r>
    </w:p>
    <w:p w:rsidR="002A21B9" w:rsidRDefault="002A21B9" w:rsidP="002A21B9">
      <w:pPr>
        <w:pStyle w:val="berschrift1"/>
      </w:pPr>
      <w:r>
        <w:t>[</w:t>
      </w:r>
      <w:r>
        <w:br/>
        <w:t>R_U</w:t>
      </w:r>
    </w:p>
    <w:p w:rsidR="002A21B9" w:rsidRDefault="002A21B9" w:rsidP="002A21B9">
      <w:pPr>
        <w:pStyle w:val="StandardWeb"/>
      </w:pPr>
      <w:r>
        <w:t>\frac{</w:t>
      </w:r>
      <w:r>
        <w:br/>
        <w:t>\mu\left(\Omega_{ij}^{U}\right)</w:t>
      </w:r>
      <w:r>
        <w:br/>
        <w:t>}{</w:t>
      </w:r>
      <w:r>
        <w:br/>
        <w:t>\mu\left(\Omega_{ij}\right)</w:t>
      </w:r>
      <w:r>
        <w:br/>
        <w:t>}.</w:t>
      </w:r>
      <w:r>
        <w:br/>
        <w:t>\tag{3.7644}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R_U=\frac{\mu\left(\Omega_{ij}^{U}\right)}{\mu\left(\Omega_{ij}\right)}\qquad\text{(3.7644)}</w:t>
      </w:r>
    </w:p>
    <w:p w:rsidR="002A21B9" w:rsidRDefault="002A21B9" w:rsidP="002A21B9">
      <w:pPr>
        <w:pStyle w:val="StandardWeb"/>
      </w:pPr>
      <w:r>
        <w:t>Dann gilt</w:t>
      </w:r>
    </w:p>
    <w:p w:rsidR="002A21B9" w:rsidRDefault="002A21B9" w:rsidP="002A21B9">
      <w:pPr>
        <w:pStyle w:val="berschrift1"/>
      </w:pPr>
      <w:r>
        <w:t>[</w:t>
      </w:r>
      <w:r>
        <w:br/>
        <w:t>R_K</w:t>
      </w:r>
      <w:r>
        <w:br/>
        <w:t>+</w:t>
      </w:r>
      <w:r>
        <w:br/>
        <w:t>R_W</w:t>
      </w:r>
      <w:r>
        <w:br/>
      </w:r>
      <w:r>
        <w:lastRenderedPageBreak/>
        <w:t>+</w:t>
      </w:r>
      <w:r>
        <w:br/>
        <w:t>R_U</w:t>
      </w:r>
    </w:p>
    <w:p w:rsidR="002A21B9" w:rsidRDefault="002A21B9" w:rsidP="008C5E65">
      <w:pPr>
        <w:numPr>
          <w:ilvl w:val="0"/>
          <w:numId w:val="381"/>
        </w:numPr>
        <w:spacing w:before="100" w:beforeAutospacing="1" w:after="100" w:afterAutospacing="1"/>
      </w:pPr>
    </w:p>
    <w:p w:rsidR="002A21B9" w:rsidRDefault="002A21B9" w:rsidP="002A21B9">
      <w:pPr>
        <w:pStyle w:val="StandardWeb"/>
      </w:pPr>
      <w:r>
        <w:t>\tag{3.7645}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R_K+R_W+R_U=1\qquad\text{(3.7645)}</w:t>
      </w:r>
    </w:p>
    <w:p w:rsidR="002A21B9" w:rsidRDefault="002A21B9" w:rsidP="002A21B9">
      <w:pPr>
        <w:pStyle w:val="StandardWeb"/>
      </w:pPr>
      <w:r>
        <w:t>Damit wird eine wichtige methodische Trennung erhalten:</w:t>
      </w:r>
    </w:p>
    <w:p w:rsidR="002A21B9" w:rsidRDefault="002A21B9" w:rsidP="002A21B9">
      <w:pPr>
        <w:pStyle w:val="StandardWeb"/>
      </w:pPr>
      <w:r>
        <w:t>[</w:t>
      </w:r>
      <w:r>
        <w:br/>
        <w:t>\mathbf{unentscheidbar}</w:t>
      </w:r>
      <w:r>
        <w:br/>
        <w:t>\neq</w:t>
      </w:r>
      <w:r>
        <w:br/>
        <w:t>\mathbf{konsistent}</w:t>
      </w:r>
      <w:r>
        <w:br/>
        <w:t>\tag{3.7646}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\mathbf{unentscheidbar}\neq\mathbf{konsistent}\qquad\text{(3.7646)}</w:t>
      </w:r>
    </w:p>
    <w:p w:rsidR="002A21B9" w:rsidRDefault="002A21B9" w:rsidP="002A21B9">
      <w:pPr>
        <w:pStyle w:val="StandardWeb"/>
      </w:pPr>
      <w:r>
        <w:t>und ebenso</w:t>
      </w:r>
    </w:p>
    <w:p w:rsidR="002A21B9" w:rsidRDefault="002A21B9" w:rsidP="002A21B9">
      <w:pPr>
        <w:pStyle w:val="StandardWeb"/>
      </w:pPr>
      <w:r>
        <w:t>[</w:t>
      </w:r>
      <w:r>
        <w:br/>
        <w:t>\mathbf{unentscheidbar}</w:t>
      </w:r>
      <w:r>
        <w:br/>
        <w:t>\neq</w:t>
      </w:r>
      <w:r>
        <w:br/>
        <w:t>\mathbf{widersprüchlich}.</w:t>
      </w:r>
      <w:r>
        <w:br/>
        <w:t>\tag{3.7647}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\mathbf{unentscheidbar}\neq\mathbf{widersprüchlich}\qquad\text{(3.7647)}</w:t>
      </w:r>
    </w:p>
    <w:p w:rsidR="002A21B9" w:rsidRDefault="00E50336" w:rsidP="002A21B9">
      <w:r>
        <w:pict>
          <v:rect id="_x0000_i1742" style="width:0;height:1.5pt" o:hralign="center" o:hrstd="t" o:hr="t" fillcolor="#a0a0a0" stroked="f"/>
        </w:pict>
      </w:r>
    </w:p>
    <w:p w:rsidR="002A21B9" w:rsidRDefault="002A21B9" w:rsidP="002A21B9">
      <w:pPr>
        <w:pStyle w:val="berschrift2"/>
      </w:pPr>
      <w:r>
        <w:t>3.3.42.12 Dreistufiger Konsistenzzustand</w:t>
      </w:r>
    </w:p>
    <w:p w:rsidR="002A21B9" w:rsidRDefault="002A21B9" w:rsidP="002A21B9">
      <w:pPr>
        <w:pStyle w:val="StandardWeb"/>
      </w:pPr>
      <w:r>
        <w:t>Ich definiere deshalb für einen einzelnen Zustand</w:t>
      </w:r>
    </w:p>
    <w:p w:rsidR="002A21B9" w:rsidRDefault="002A21B9" w:rsidP="002A21B9">
      <w:pPr>
        <w:pStyle w:val="StandardWeb"/>
      </w:pPr>
      <w:r>
        <w:t>[</w:t>
      </w:r>
      <w:r>
        <w:br/>
        <w:t>K_F(A_i,A_j;z)</w:t>
      </w:r>
      <w:r>
        <w:br/>
        <w:t>\in</w:t>
      </w:r>
      <w:r>
        <w:br/>
        <w:t>\left{</w:t>
      </w:r>
      <w:r>
        <w:br/>
        <w:t>1,</w:t>
      </w:r>
      <w:r>
        <w:br/>
        <w:t>0,</w:t>
      </w:r>
      <w:r>
        <w:br/>
      </w:r>
      <w:r>
        <w:lastRenderedPageBreak/>
        <w:t>\mathbf{u}</w:t>
      </w:r>
      <w:r>
        <w:br/>
        <w:t>\right},</w:t>
      </w:r>
      <w:r>
        <w:br/>
        <w:t>\tag{3.7648}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K_F(A_i,A_j;z)\in\left\{1,0,\mathbf{u}\right\}\qquad\text{(3.7648)}</w:t>
      </w:r>
    </w:p>
    <w:p w:rsidR="002A21B9" w:rsidRDefault="002A21B9" w:rsidP="002A21B9">
      <w:pPr>
        <w:pStyle w:val="StandardWeb"/>
      </w:pPr>
      <w:r>
        <w:t>wobei</w:t>
      </w:r>
    </w:p>
    <w:p w:rsidR="002A21B9" w:rsidRDefault="002A21B9" w:rsidP="002A21B9">
      <w:pPr>
        <w:pStyle w:val="StandardWeb"/>
      </w:pPr>
      <w:r>
        <w:t>[</w:t>
      </w:r>
      <w:r>
        <w:br/>
        <w:t>\mathbf{u}</w:t>
      </w:r>
      <w:r>
        <w:br/>
        <w:t>]</w:t>
      </w:r>
    </w:p>
    <w:p w:rsidR="002A21B9" w:rsidRDefault="002A21B9" w:rsidP="002A21B9">
      <w:pPr>
        <w:pStyle w:val="StandardWeb"/>
      </w:pPr>
      <w:r>
        <w:t>für „unentscheidbar“ steht.</w:t>
      </w:r>
    </w:p>
    <w:p w:rsidR="002A21B9" w:rsidRDefault="002A21B9" w:rsidP="002A21B9">
      <w:pPr>
        <w:pStyle w:val="StandardWeb"/>
      </w:pPr>
      <w:r>
        <w:t xml:space="preserve">Diese Struktur unterscheidet sich von der Nichtvergleichbarkeit. Nichtvergleichbarkeit entsteht bereits vor der Konsistenzprüfung durch fehlende gemeinsame Gültigkeitsdomäne. Unentscheidbarkeit entsteht dagegen </w:t>
      </w:r>
      <w:r>
        <w:rPr>
          <w:rStyle w:val="Fett"/>
        </w:rPr>
        <w:t>innerhalb einer vorhandenen gemeinsamen Domäne</w:t>
      </w:r>
      <w:r>
        <w:t>, wenn die vorhandene Evidenz oder Modellstruktur keine eindeutige Entscheidung erlaubt.</w:t>
      </w:r>
    </w:p>
    <w:p w:rsidR="002A21B9" w:rsidRDefault="00E50336" w:rsidP="002A21B9">
      <w:r>
        <w:pict>
          <v:rect id="_x0000_i1743" style="width:0;height:1.5pt" o:hralign="center" o:hrstd="t" o:hr="t" fillcolor="#a0a0a0" stroked="f"/>
        </w:pict>
      </w:r>
    </w:p>
    <w:p w:rsidR="002A21B9" w:rsidRDefault="002A21B9" w:rsidP="002A21B9">
      <w:pPr>
        <w:pStyle w:val="berschrift2"/>
      </w:pPr>
      <w:r>
        <w:t>3.3.42.13 Vergleichbarkeit und Konsistenz als zweistufiges System</w:t>
      </w:r>
    </w:p>
    <w:p w:rsidR="002A21B9" w:rsidRDefault="002A21B9" w:rsidP="002A21B9">
      <w:pPr>
        <w:pStyle w:val="StandardWeb"/>
      </w:pPr>
      <w:r>
        <w:t>Ich fasse beide Prüfungen zusammen als</w:t>
      </w:r>
    </w:p>
    <w:p w:rsidR="002A21B9" w:rsidRDefault="002A21B9" w:rsidP="002A21B9">
      <w:pPr>
        <w:pStyle w:val="berschrift1"/>
      </w:pPr>
      <w:r>
        <w:t>[</w:t>
      </w:r>
      <w:r>
        <w:br/>
        <w:t>\mathfrak P_{CK}</w:t>
      </w:r>
    </w:p>
    <w:p w:rsidR="002A21B9" w:rsidRDefault="002A21B9" w:rsidP="002A21B9">
      <w:pPr>
        <w:pStyle w:val="StandardWeb"/>
      </w:pPr>
      <w:r>
        <w:t>\left(</w:t>
      </w:r>
      <w:r>
        <w:br/>
        <w:t>\mathcal C,</w:t>
      </w:r>
      <w:r>
        <w:br/>
        <w:t>\mathfrak K</w:t>
      </w:r>
      <w:r>
        <w:br/>
        <w:t>\right).</w:t>
      </w:r>
      <w:r>
        <w:br/>
        <w:t>\tag{3.7649}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P_{CK}=\left(\mathcal C,\mathfrak K\right)\qquad\text{(3.7649)}</w:t>
      </w:r>
    </w:p>
    <w:p w:rsidR="002A21B9" w:rsidRDefault="002A21B9" w:rsidP="002A21B9">
      <w:pPr>
        <w:pStyle w:val="StandardWeb"/>
      </w:pPr>
      <w:r>
        <w:t>Dabei wird zuerst</w:t>
      </w:r>
    </w:p>
    <w:p w:rsidR="002A21B9" w:rsidRDefault="002A21B9" w:rsidP="002A21B9">
      <w:pPr>
        <w:pStyle w:val="StandardWeb"/>
      </w:pPr>
      <w:r>
        <w:t>[</w:t>
      </w:r>
      <w:r>
        <w:br/>
        <w:t>\mathcal C(A_i,A_j)</w:t>
      </w:r>
      <w:r>
        <w:br/>
        <w:t>\tag{3.7650}</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\mathcal C(A_i,A_j)\qquad\text{(3.7650)}</w:t>
      </w:r>
    </w:p>
    <w:p w:rsidR="002A21B9" w:rsidRDefault="002A21B9" w:rsidP="002A21B9">
      <w:pPr>
        <w:pStyle w:val="StandardWeb"/>
      </w:pPr>
      <w:r>
        <w:t>ausgewertet.</w:t>
      </w:r>
    </w:p>
    <w:p w:rsidR="002A21B9" w:rsidRDefault="002A21B9" w:rsidP="002A21B9">
      <w:pPr>
        <w:pStyle w:val="StandardWeb"/>
      </w:pPr>
      <w:r>
        <w:t>Nur falls</w:t>
      </w:r>
    </w:p>
    <w:p w:rsidR="002A21B9" w:rsidRDefault="002A21B9" w:rsidP="002A21B9">
      <w:pPr>
        <w:pStyle w:val="StandardWeb"/>
      </w:pPr>
      <w:r>
        <w:t>[</w:t>
      </w:r>
      <w:r>
        <w:br/>
        <w:t>\mathcal C(A_i,A_j)&gt;0</w:t>
      </w:r>
      <w:r>
        <w:br/>
        <w:t>\tag{3.7651}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C(A_i,A_j)&gt;0\qquad\text{(3.7651)}</w:t>
      </w:r>
    </w:p>
    <w:p w:rsidR="002A21B9" w:rsidRDefault="002A21B9" w:rsidP="002A21B9">
      <w:pPr>
        <w:pStyle w:val="StandardWeb"/>
      </w:pPr>
      <w:r>
        <w:t>wird anschließend</w:t>
      </w:r>
    </w:p>
    <w:p w:rsidR="002A21B9" w:rsidRDefault="002A21B9" w:rsidP="002A21B9">
      <w:pPr>
        <w:pStyle w:val="StandardWeb"/>
      </w:pPr>
      <w:r>
        <w:t>[</w:t>
      </w:r>
      <w:r>
        <w:br/>
        <w:t>\mathfrak K(A_i,A_j)</w:t>
      </w:r>
      <w:r>
        <w:br/>
        <w:t>\tag{3.7652}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K(A_i,A_j)\qquad\text{(3.7652)}</w:t>
      </w:r>
    </w:p>
    <w:p w:rsidR="002A21B9" w:rsidRDefault="002A21B9" w:rsidP="002A21B9">
      <w:pPr>
        <w:pStyle w:val="StandardWeb"/>
      </w:pPr>
      <w:r>
        <w:t>bestimmt.</w:t>
      </w:r>
    </w:p>
    <w:p w:rsidR="002A21B9" w:rsidRDefault="002A21B9" w:rsidP="002A21B9">
      <w:pPr>
        <w:pStyle w:val="StandardWeb"/>
      </w:pPr>
      <w:r>
        <w:t>Damit wird die Reihenfolge</w:t>
      </w:r>
    </w:p>
    <w:p w:rsidR="002A21B9" w:rsidRDefault="002A21B9" w:rsidP="002A21B9">
      <w:pPr>
        <w:pStyle w:val="StandardWeb"/>
      </w:pPr>
      <w:r>
        <w:t>[</w:t>
      </w:r>
      <w:r>
        <w:br/>
        <w:t>\boxed{</w:t>
      </w:r>
      <w:r>
        <w:br/>
        <w:t>\text{Vergleichbarkeit}</w:t>
      </w:r>
      <w:r>
        <w:br/>
        <w:t>\rightarrow</w:t>
      </w:r>
      <w:r>
        <w:br/>
        <w:t>\text{Konsistenz}</w:t>
      </w:r>
      <w:r>
        <w:br/>
        <w:t>}</w:t>
      </w:r>
      <w:r>
        <w:br/>
        <w:t>\tag{3.7653}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\boxed{\text{Vergleichbarkeit}\rightarrow\text{Konsistenz}}\qquad\text{(3.7653)}</w:t>
      </w:r>
    </w:p>
    <w:p w:rsidR="002A21B9" w:rsidRDefault="002A21B9" w:rsidP="002A21B9">
      <w:pPr>
        <w:pStyle w:val="StandardWeb"/>
      </w:pPr>
      <w:r>
        <w:t>formal Bestandteil der FRZK-Prüfarchitektur.</w:t>
      </w:r>
    </w:p>
    <w:p w:rsidR="002A21B9" w:rsidRDefault="00E50336" w:rsidP="002A21B9">
      <w:r>
        <w:pict>
          <v:rect id="_x0000_i1744" style="width:0;height:1.5pt" o:hralign="center" o:hrstd="t" o:hr="t" fillcolor="#a0a0a0" stroked="f"/>
        </w:pict>
      </w:r>
    </w:p>
    <w:p w:rsidR="002A21B9" w:rsidRDefault="002A21B9" w:rsidP="002A21B9">
      <w:pPr>
        <w:pStyle w:val="berschrift1"/>
      </w:pPr>
      <w:r>
        <w:t>3.3.42.14 Symmetrie der funktionalen Konsistenz</w:t>
      </w:r>
    </w:p>
    <w:p w:rsidR="002A21B9" w:rsidRDefault="002A21B9" w:rsidP="002A21B9">
      <w:pPr>
        <w:pStyle w:val="StandardWeb"/>
      </w:pPr>
      <w:r>
        <w:lastRenderedPageBreak/>
        <w:t>Für die bisher eingeführte paarweise Konsistenzrelation soll die Reihenfolge der beiden Aussagen keine Rolle spielen.</w:t>
      </w:r>
    </w:p>
    <w:p w:rsidR="002A21B9" w:rsidRDefault="002A21B9" w:rsidP="002A21B9">
      <w:pPr>
        <w:pStyle w:val="StandardWeb"/>
      </w:pPr>
      <w:r>
        <w:t>Ich fordere daher</w:t>
      </w:r>
    </w:p>
    <w:p w:rsidR="002A21B9" w:rsidRDefault="002A21B9" w:rsidP="002A21B9">
      <w:pPr>
        <w:pStyle w:val="berschrift1"/>
      </w:pPr>
      <w:r>
        <w:t>[</w:t>
      </w:r>
      <w:r>
        <w:br/>
        <w:t>\mathfrak K(A_i,A_j;z)</w:t>
      </w:r>
    </w:p>
    <w:p w:rsidR="002A21B9" w:rsidRDefault="002A21B9" w:rsidP="002A21B9">
      <w:pPr>
        <w:pStyle w:val="StandardWeb"/>
      </w:pPr>
      <w:r>
        <w:t>\mathfrak K(A_j,A_i;z).</w:t>
      </w:r>
      <w:r>
        <w:br/>
        <w:t>\tag{3.7654}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K(A_i,A_j;z)=\mathfrak K(A_j,A_i;z)\qquad\text{(3.7654)}</w:t>
      </w:r>
    </w:p>
    <w:p w:rsidR="002A21B9" w:rsidRDefault="002A21B9" w:rsidP="002A21B9">
      <w:pPr>
        <w:pStyle w:val="StandardWeb"/>
      </w:pPr>
      <w:r>
        <w:t>Diese Eigenschaft folgt daraus, dass die gemeinsame Verträglichkeit zweier Aussagen keine gerichtete Beziehung beschreibt.</w:t>
      </w:r>
    </w:p>
    <w:p w:rsidR="002A21B9" w:rsidRDefault="00E50336" w:rsidP="002A21B9">
      <w:r>
        <w:pict>
          <v:rect id="_x0000_i1745" style="width:0;height:1.5pt" o:hralign="center" o:hrstd="t" o:hr="t" fillcolor="#a0a0a0" stroked="f"/>
        </w:pict>
      </w:r>
    </w:p>
    <w:p w:rsidR="002A21B9" w:rsidRDefault="002A21B9" w:rsidP="002A21B9">
      <w:pPr>
        <w:pStyle w:val="berschrift2"/>
      </w:pPr>
      <w:r>
        <w:t>Satz 3.3.27 (Symmetrie der funktionalen Konsistenz)</w:t>
      </w:r>
    </w:p>
    <w:p w:rsidR="002A21B9" w:rsidRDefault="002A21B9" w:rsidP="002A21B9">
      <w:pPr>
        <w:pStyle w:val="StandardWeb"/>
      </w:pPr>
      <w:r>
        <w:t>Ist der funktionale Konsistenzoperator ausschließlich durch die gemeinsame Erfüllbarkeit von (A_i) und (A_j) innerhalb desselben Zustands (z) definiert, dann gilt</w:t>
      </w:r>
    </w:p>
    <w:p w:rsidR="002A21B9" w:rsidRDefault="002A21B9" w:rsidP="002A21B9">
      <w:pPr>
        <w:pStyle w:val="berschrift1"/>
      </w:pPr>
      <w:r>
        <w:t>[</w:t>
      </w:r>
      <w:r>
        <w:br/>
        <w:t>\mathfrak K(A_i,A_j;z)</w:t>
      </w:r>
    </w:p>
    <w:p w:rsidR="002A21B9" w:rsidRDefault="002A21B9" w:rsidP="002A21B9">
      <w:pPr>
        <w:pStyle w:val="StandardWeb"/>
      </w:pPr>
      <w:r>
        <w:t>\mathfrak K(A_j,A_i;z).</w:t>
      </w:r>
      <w:r>
        <w:br/>
        <w:t>\tag{3.7655}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K(A_i,A_j;z)=\mathfrak K(A_j,A_i;z)\qquad\text{(3.7655)}</w:t>
      </w:r>
    </w:p>
    <w:p w:rsidR="002A21B9" w:rsidRDefault="002A21B9" w:rsidP="002A21B9">
      <w:pPr>
        <w:pStyle w:val="berschrift3"/>
      </w:pPr>
      <w:r>
        <w:t>Beweis</w:t>
      </w:r>
    </w:p>
    <w:p w:rsidR="002A21B9" w:rsidRDefault="002A21B9" w:rsidP="002A21B9">
      <w:pPr>
        <w:pStyle w:val="StandardWeb"/>
      </w:pPr>
      <w:r>
        <w:t>Sei</w:t>
      </w:r>
    </w:p>
    <w:p w:rsidR="002A21B9" w:rsidRDefault="002A21B9" w:rsidP="002A21B9">
      <w:pPr>
        <w:pStyle w:val="StandardWeb"/>
      </w:pPr>
      <w:r>
        <w:t>[</w:t>
      </w:r>
      <w:r>
        <w:br/>
        <w:t>\mathfrak K(A_i,A_j;z)=1.</w:t>
      </w:r>
      <w:r>
        <w:br/>
        <w:t>\tag{3.7656}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K(A_i,A_j;z)=1\qquad\text{(3.7656)}</w:t>
      </w:r>
    </w:p>
    <w:p w:rsidR="002A21B9" w:rsidRDefault="002A21B9" w:rsidP="002A21B9">
      <w:pPr>
        <w:pStyle w:val="StandardWeb"/>
      </w:pPr>
      <w:r>
        <w:lastRenderedPageBreak/>
        <w:t>Dann können (A_i) und (A_j) im Zustand (z) gleichzeitig gelten.</w:t>
      </w:r>
    </w:p>
    <w:p w:rsidR="002A21B9" w:rsidRDefault="002A21B9" w:rsidP="002A21B9">
      <w:pPr>
        <w:pStyle w:val="StandardWeb"/>
      </w:pPr>
      <w:r>
        <w:t>Die Konjunktion</w:t>
      </w:r>
    </w:p>
    <w:p w:rsidR="002A21B9" w:rsidRDefault="002A21B9" w:rsidP="002A21B9">
      <w:pPr>
        <w:pStyle w:val="StandardWeb"/>
      </w:pPr>
      <w:r>
        <w:t>[</w:t>
      </w:r>
      <w:r>
        <w:br/>
        <w:t>A_i(z)\land A_j(z)</w:t>
      </w:r>
      <w:r>
        <w:br/>
        <w:t>\tag{3.7657}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A_i(z)\land A_j(z)\qquad\text{(3.7657)}</w:t>
      </w:r>
    </w:p>
    <w:p w:rsidR="002A21B9" w:rsidRDefault="002A21B9" w:rsidP="002A21B9">
      <w:pPr>
        <w:pStyle w:val="StandardWeb"/>
      </w:pPr>
      <w:r>
        <w:t>ist kommutativ:</w:t>
      </w:r>
    </w:p>
    <w:p w:rsidR="002A21B9" w:rsidRDefault="002A21B9" w:rsidP="002A21B9">
      <w:pPr>
        <w:pStyle w:val="berschrift1"/>
      </w:pPr>
      <w:r>
        <w:t>[</w:t>
      </w:r>
      <w:r>
        <w:br/>
        <w:t>A_i(z)\land A_j(z)</w:t>
      </w:r>
    </w:p>
    <w:p w:rsidR="002A21B9" w:rsidRDefault="002A21B9" w:rsidP="002A21B9">
      <w:pPr>
        <w:pStyle w:val="StandardWeb"/>
      </w:pPr>
      <w:r>
        <w:t>A_j(z)\land A_i(z).</w:t>
      </w:r>
      <w:r>
        <w:br/>
        <w:t>\tag{3.7658}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A_i(z)\land A_j(z)=A_j(z)\land A_i(z)\qquad\text{(3.7658)}</w:t>
      </w:r>
    </w:p>
    <w:p w:rsidR="002A21B9" w:rsidRDefault="002A21B9" w:rsidP="002A21B9">
      <w:pPr>
        <w:pStyle w:val="StandardWeb"/>
      </w:pPr>
      <w:r>
        <w:t>Daraus folgt</w:t>
      </w:r>
    </w:p>
    <w:p w:rsidR="002A21B9" w:rsidRDefault="002A21B9" w:rsidP="002A21B9">
      <w:pPr>
        <w:pStyle w:val="StandardWeb"/>
      </w:pPr>
      <w:r>
        <w:t>[</w:t>
      </w:r>
      <w:r>
        <w:br/>
        <w:t>\mathfrak K(A_j,A_i;z)=1.</w:t>
      </w:r>
      <w:r>
        <w:br/>
        <w:t>\tag{3.7659}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K(A_j,A_i;z)=1\qquad\text{(3.7659)}</w:t>
      </w:r>
    </w:p>
    <w:p w:rsidR="002A21B9" w:rsidRDefault="002A21B9" w:rsidP="002A21B9">
      <w:pPr>
        <w:pStyle w:val="StandardWeb"/>
      </w:pPr>
      <w:r>
        <w:t>Analog bleibt ein gemeinsamer Widerspruch bei Vertauschung der Aussagen erhalten.</w:t>
      </w:r>
    </w:p>
    <w:p w:rsidR="002A21B9" w:rsidRDefault="002A21B9" w:rsidP="002A21B9">
      <w:pPr>
        <w:pStyle w:val="StandardWeb"/>
      </w:pPr>
      <w:r>
        <w:t>Somit gilt</w:t>
      </w:r>
    </w:p>
    <w:p w:rsidR="002A21B9" w:rsidRDefault="002A21B9" w:rsidP="002A21B9">
      <w:pPr>
        <w:pStyle w:val="berschrift1"/>
      </w:pPr>
      <w:r>
        <w:t>[</w:t>
      </w:r>
      <w:r>
        <w:br/>
        <w:t>\mathfrak K(A_i,A_j;z)</w:t>
      </w:r>
    </w:p>
    <w:p w:rsidR="002A21B9" w:rsidRDefault="002A21B9" w:rsidP="002A21B9">
      <w:pPr>
        <w:pStyle w:val="StandardWeb"/>
      </w:pPr>
      <w:r>
        <w:t>\mathfrak K(A_j,A_i;z).</w:t>
      </w:r>
      <w:r>
        <w:br/>
        <w:t>\tag{3.7660}</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\mathfrak K(A_i,A_j;z)=\mathfrak K(A_j,A_i;z)\qquad\text{(3.7660)}</w:t>
      </w:r>
    </w:p>
    <w:p w:rsidR="002A21B9" w:rsidRDefault="002A21B9" w:rsidP="002A21B9">
      <w:pPr>
        <w:pStyle w:val="StandardWeb"/>
      </w:pPr>
      <w:r>
        <w:t>Damit ist die Symmetrie gezeigt. (\square)</w:t>
      </w:r>
    </w:p>
    <w:p w:rsidR="002A21B9" w:rsidRDefault="00E50336" w:rsidP="002A21B9">
      <w:r>
        <w:pict>
          <v:rect id="_x0000_i1746" style="width:0;height:1.5pt" o:hralign="center" o:hrstd="t" o:hr="t" fillcolor="#a0a0a0" stroked="f"/>
        </w:pict>
      </w:r>
    </w:p>
    <w:p w:rsidR="002A21B9" w:rsidRDefault="002A21B9" w:rsidP="002A21B9">
      <w:pPr>
        <w:pStyle w:val="berschrift2"/>
      </w:pPr>
      <w:r>
        <w:t>Korollar 3.3.6</w:t>
      </w:r>
    </w:p>
    <w:p w:rsidR="002A21B9" w:rsidRDefault="002A21B9" w:rsidP="002A21B9">
      <w:pPr>
        <w:pStyle w:val="StandardWeb"/>
      </w:pPr>
      <w:r>
        <w:t>Aus Satz 3.3.27 folgt für den quantitativen Konsistenzgrad</w:t>
      </w:r>
    </w:p>
    <w:p w:rsidR="002A21B9" w:rsidRDefault="002A21B9" w:rsidP="002A21B9">
      <w:pPr>
        <w:pStyle w:val="berschrift1"/>
      </w:pPr>
      <w:r>
        <w:t>[</w:t>
      </w:r>
      <w:r>
        <w:br/>
        <w:t>R_K(A_i,A_j)</w:t>
      </w:r>
    </w:p>
    <w:p w:rsidR="002A21B9" w:rsidRDefault="002A21B9" w:rsidP="002A21B9">
      <w:pPr>
        <w:pStyle w:val="StandardWeb"/>
      </w:pPr>
      <w:r>
        <w:t>R_K(A_j,A_i).</w:t>
      </w:r>
      <w:r>
        <w:br/>
        <w:t>\tag{3.7661}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R_K(A_i,A_j)=R_K(A_j,A_i)\qquad\text{(3.7661)}</w:t>
      </w:r>
    </w:p>
    <w:p w:rsidR="002A21B9" w:rsidRDefault="002A21B9" w:rsidP="002A21B9">
      <w:pPr>
        <w:pStyle w:val="StandardWeb"/>
      </w:pPr>
      <w:r>
        <w:t>Ebenso gilt</w:t>
      </w:r>
    </w:p>
    <w:p w:rsidR="002A21B9" w:rsidRDefault="002A21B9" w:rsidP="002A21B9">
      <w:pPr>
        <w:pStyle w:val="berschrift1"/>
      </w:pPr>
      <w:r>
        <w:t>[</w:t>
      </w:r>
      <w:r>
        <w:br/>
        <w:t>R_W(A_i,A_j)</w:t>
      </w:r>
    </w:p>
    <w:p w:rsidR="002A21B9" w:rsidRDefault="002A21B9" w:rsidP="002A21B9">
      <w:pPr>
        <w:pStyle w:val="StandardWeb"/>
      </w:pPr>
      <w:r>
        <w:t>R_W(A_j,A_i)</w:t>
      </w:r>
      <w:r>
        <w:br/>
        <w:t>\tag{3.7662}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R_W(A_i,A_j)=R_W(A_j,A_i)\qquad\text{(3.7662)}</w:t>
      </w:r>
    </w:p>
    <w:p w:rsidR="002A21B9" w:rsidRDefault="002A21B9" w:rsidP="002A21B9">
      <w:pPr>
        <w:pStyle w:val="StandardWeb"/>
      </w:pPr>
      <w:r>
        <w:t>und</w:t>
      </w:r>
    </w:p>
    <w:p w:rsidR="002A21B9" w:rsidRDefault="002A21B9" w:rsidP="002A21B9">
      <w:pPr>
        <w:pStyle w:val="berschrift1"/>
      </w:pPr>
      <w:r>
        <w:t>[</w:t>
      </w:r>
      <w:r>
        <w:br/>
        <w:t>R_U(A_i,A_j)</w:t>
      </w:r>
    </w:p>
    <w:p w:rsidR="002A21B9" w:rsidRDefault="002A21B9" w:rsidP="002A21B9">
      <w:pPr>
        <w:pStyle w:val="StandardWeb"/>
      </w:pPr>
      <w:r>
        <w:t>R_U(A_j,A_i).</w:t>
      </w:r>
      <w:r>
        <w:br/>
        <w:t>\tag{3.7663}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R_U(A_i,A_j)=R_U(A_j,A_i)\qquad\text{(3.7663)}</w:t>
      </w:r>
    </w:p>
    <w:p w:rsidR="002A21B9" w:rsidRDefault="002A21B9" w:rsidP="002A21B9">
      <w:pPr>
        <w:pStyle w:val="StandardWeb"/>
      </w:pPr>
      <w:r>
        <w:t>Damit können paarweise Konsistenzmatrizen später symmetrisch aufgebaut werden.</w:t>
      </w:r>
    </w:p>
    <w:p w:rsidR="002A21B9" w:rsidRDefault="00E50336" w:rsidP="002A21B9">
      <w:r>
        <w:pict>
          <v:rect id="_x0000_i1747" style="width:0;height:1.5pt" o:hralign="center" o:hrstd="t" o:hr="t" fillcolor="#a0a0a0" stroked="f"/>
        </w:pict>
      </w:r>
    </w:p>
    <w:p w:rsidR="002A21B9" w:rsidRDefault="002A21B9" w:rsidP="002A21B9">
      <w:pPr>
        <w:pStyle w:val="berschrift1"/>
      </w:pPr>
      <w:r>
        <w:t>3.3.42.15 Reflexivität</w:t>
      </w:r>
    </w:p>
    <w:p w:rsidR="002A21B9" w:rsidRDefault="002A21B9" w:rsidP="002A21B9">
      <w:pPr>
        <w:pStyle w:val="StandardWeb"/>
      </w:pPr>
      <w:r>
        <w:t>Eine wissenschaftliche Aussage sollte grundsätzlich mit sich selbst konsistent sein, sofern ihre interne Definition nicht bereits widersprüchlich ist.</w:t>
      </w:r>
    </w:p>
    <w:p w:rsidR="002A21B9" w:rsidRDefault="002A21B9" w:rsidP="002A21B9">
      <w:pPr>
        <w:pStyle w:val="StandardWeb"/>
      </w:pPr>
      <w:r>
        <w:t>Ich schreibe zunächst</w:t>
      </w:r>
    </w:p>
    <w:p w:rsidR="002A21B9" w:rsidRDefault="002A21B9" w:rsidP="002A21B9">
      <w:pPr>
        <w:pStyle w:val="StandardWeb"/>
      </w:pPr>
      <w:r>
        <w:t>[</w:t>
      </w:r>
      <w:r>
        <w:br/>
        <w:t>\mathfrak K(A_i,A_i;z)=1.</w:t>
      </w:r>
      <w:r>
        <w:br/>
        <w:t>\tag{3.7664}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K(A_i,A_i;z)=1\qquad\text{(3.7664)}</w:t>
      </w:r>
    </w:p>
    <w:p w:rsidR="002A21B9" w:rsidRDefault="002A21B9" w:rsidP="002A21B9">
      <w:pPr>
        <w:pStyle w:val="StandardWeb"/>
      </w:pPr>
      <w:r>
        <w:t>Diese Bedingung ist allerdings nicht völlig trivial.</w:t>
      </w:r>
    </w:p>
    <w:p w:rsidR="002A21B9" w:rsidRDefault="002A21B9" w:rsidP="002A21B9">
      <w:pPr>
        <w:pStyle w:val="StandardWeb"/>
      </w:pPr>
      <w:r>
        <w:t>Ist eine einzelne Aussage intern widersprüchlich formuliert, kann bereits</w:t>
      </w:r>
    </w:p>
    <w:p w:rsidR="002A21B9" w:rsidRDefault="002A21B9" w:rsidP="002A21B9">
      <w:pPr>
        <w:pStyle w:val="StandardWeb"/>
      </w:pPr>
      <w:r>
        <w:t>[</w:t>
      </w:r>
      <w:r>
        <w:br/>
        <w:t>A_i</w:t>
      </w:r>
      <w:r>
        <w:br/>
        <w:t>\land</w:t>
      </w:r>
      <w:r>
        <w:br/>
        <w:t>\neg A_i</w:t>
      </w:r>
      <w:r>
        <w:br/>
        <w:t>\tag{3.7665}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A_i\land\neg A_i\qquad\text{(3.7665)}</w:t>
      </w:r>
    </w:p>
    <w:p w:rsidR="002A21B9" w:rsidRDefault="002A21B9" w:rsidP="002A21B9">
      <w:pPr>
        <w:pStyle w:val="StandardWeb"/>
      </w:pPr>
      <w:r>
        <w:t>Bestandteil ihrer eigenen Struktur sein.</w:t>
      </w:r>
    </w:p>
    <w:p w:rsidR="002A21B9" w:rsidRDefault="002A21B9" w:rsidP="002A21B9">
      <w:pPr>
        <w:pStyle w:val="StandardWeb"/>
      </w:pPr>
      <w:r>
        <w:t>Deshalb unterscheide ich zwischen äußerer paarweiser Konsistenz und innerer Aussagenkonsistenz.</w:t>
      </w:r>
    </w:p>
    <w:p w:rsidR="002A21B9" w:rsidRDefault="00E50336" w:rsidP="002A21B9">
      <w:r>
        <w:pict>
          <v:rect id="_x0000_i1748" style="width:0;height:1.5pt" o:hralign="center" o:hrstd="t" o:hr="t" fillcolor="#a0a0a0" stroked="f"/>
        </w:pict>
      </w:r>
    </w:p>
    <w:p w:rsidR="002A21B9" w:rsidRDefault="002A21B9" w:rsidP="002A21B9">
      <w:pPr>
        <w:pStyle w:val="berschrift3"/>
      </w:pPr>
      <w:r>
        <w:t>Definition 3.3.42 (Interne Aussagenkonsistenz)</w:t>
      </w:r>
    </w:p>
    <w:p w:rsidR="002A21B9" w:rsidRDefault="002A21B9" w:rsidP="002A21B9">
      <w:pPr>
        <w:pStyle w:val="StandardWeb"/>
      </w:pPr>
      <w:r>
        <w:t>Eine Aussage (A_i) heißt intern konsistent, wenn ihre eigene formale und semantische Struktur keinen Selbstwiderspruch enthält.</w:t>
      </w:r>
    </w:p>
    <w:p w:rsidR="002A21B9" w:rsidRDefault="002A21B9" w:rsidP="002A21B9">
      <w:pPr>
        <w:pStyle w:val="StandardWeb"/>
      </w:pPr>
      <w:r>
        <w:t>Ich schreibe</w:t>
      </w:r>
    </w:p>
    <w:p w:rsidR="002A21B9" w:rsidRDefault="002A21B9" w:rsidP="002A21B9">
      <w:pPr>
        <w:pStyle w:val="StandardWeb"/>
      </w:pPr>
      <w:r>
        <w:lastRenderedPageBreak/>
        <w:t>[</w:t>
      </w:r>
      <w:r>
        <w:br/>
        <w:t>K_{\mathrm{int}}(A_i)=1.</w:t>
      </w:r>
      <w:r>
        <w:br/>
        <w:t>\tag{3.7666}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K_{\mathrm{int}}(A_i)=1\qquad\text{(3.7666)}</w:t>
      </w:r>
    </w:p>
    <w:p w:rsidR="002A21B9" w:rsidRDefault="002A21B9" w:rsidP="002A21B9">
      <w:pPr>
        <w:pStyle w:val="StandardWeb"/>
      </w:pPr>
      <w:r>
        <w:t>Bei einem internen Widerspruch gilt</w:t>
      </w:r>
    </w:p>
    <w:p w:rsidR="002A21B9" w:rsidRDefault="002A21B9" w:rsidP="002A21B9">
      <w:pPr>
        <w:pStyle w:val="StandardWeb"/>
      </w:pPr>
      <w:r>
        <w:t>[</w:t>
      </w:r>
      <w:r>
        <w:br/>
        <w:t>K_{\mathrm{int}}(A_i)=0.</w:t>
      </w:r>
      <w:r>
        <w:br/>
        <w:t>\tag{3.7667}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K_{\mathrm{int}}(A_i)=0\qquad\text{(3.7667)}</w:t>
      </w:r>
    </w:p>
    <w:p w:rsidR="002A21B9" w:rsidRDefault="002A21B9" w:rsidP="002A21B9">
      <w:pPr>
        <w:pStyle w:val="StandardWeb"/>
      </w:pPr>
      <w:r>
        <w:t>Nur für intern konsistente Aussagen fordere ich Reflexivität der äußeren Konsistenzrelation:</w:t>
      </w:r>
    </w:p>
    <w:p w:rsidR="002A21B9" w:rsidRDefault="002A21B9" w:rsidP="002A21B9">
      <w:pPr>
        <w:pStyle w:val="StandardWeb"/>
      </w:pPr>
      <w:r>
        <w:t>[</w:t>
      </w:r>
      <w:r>
        <w:br/>
        <w:t>K_{\mathrm{int}}(A_i)=1</w:t>
      </w:r>
      <w:r>
        <w:br/>
        <w:t>\Rightarrow</w:t>
      </w:r>
      <w:r>
        <w:br/>
        <w:t>\mathfrak K(A_i,A_i;z)=1.</w:t>
      </w:r>
      <w:r>
        <w:br/>
        <w:t>\tag{3.7668}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K_{\mathrm{int}}(A_i)=1\Rightarrow\mathfrak K(A_i,A_i;z)=1\qquad\text{(3.7668)}</w:t>
      </w:r>
    </w:p>
    <w:p w:rsidR="002A21B9" w:rsidRDefault="00E50336" w:rsidP="002A21B9">
      <w:r>
        <w:pict>
          <v:rect id="_x0000_i1749" style="width:0;height:1.5pt" o:hralign="center" o:hrstd="t" o:hr="t" fillcolor="#a0a0a0" stroked="f"/>
        </w:pict>
      </w:r>
    </w:p>
    <w:p w:rsidR="002A21B9" w:rsidRDefault="002A21B9" w:rsidP="002A21B9">
      <w:pPr>
        <w:pStyle w:val="berschrift1"/>
      </w:pPr>
      <w:r>
        <w:t>3.3.42.16 Nichttransitivität</w:t>
      </w:r>
    </w:p>
    <w:p w:rsidR="002A21B9" w:rsidRDefault="002A21B9" w:rsidP="002A21B9">
      <w:pPr>
        <w:pStyle w:val="StandardWeb"/>
      </w:pPr>
      <w:r>
        <w:t xml:space="preserve">Eine besonders wichtige Eigenschaft der funktionalen Konsistenz ist, dass sie im Allgemeinen </w:t>
      </w:r>
      <w:r>
        <w:rPr>
          <w:rStyle w:val="Fett"/>
        </w:rPr>
        <w:t>nicht transitiv</w:t>
      </w:r>
      <w:r>
        <w:t xml:space="preserve"> ist.</w:t>
      </w:r>
    </w:p>
    <w:p w:rsidR="002A21B9" w:rsidRDefault="002A21B9" w:rsidP="002A21B9">
      <w:pPr>
        <w:pStyle w:val="StandardWeb"/>
      </w:pPr>
      <w:r>
        <w:t>Es kann gelten</w:t>
      </w:r>
    </w:p>
    <w:p w:rsidR="002A21B9" w:rsidRDefault="002A21B9" w:rsidP="002A21B9">
      <w:pPr>
        <w:pStyle w:val="StandardWeb"/>
      </w:pPr>
      <w:r>
        <w:t>[</w:t>
      </w:r>
      <w:r>
        <w:br/>
        <w:t>A_i</w:t>
      </w:r>
      <w:r>
        <w:br/>
        <w:t>\sim_K</w:t>
      </w:r>
      <w:r>
        <w:br/>
        <w:t>A_j</w:t>
      </w:r>
      <w:r>
        <w:br/>
        <w:t>\tag{3.7669}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A_i\sim_K A_j\qquad\text{(3.7669)}</w:t>
      </w:r>
    </w:p>
    <w:p w:rsidR="002A21B9" w:rsidRDefault="002A21B9" w:rsidP="002A21B9">
      <w:pPr>
        <w:pStyle w:val="StandardWeb"/>
      </w:pPr>
      <w:r>
        <w:t>und</w:t>
      </w:r>
    </w:p>
    <w:p w:rsidR="002A21B9" w:rsidRDefault="002A21B9" w:rsidP="002A21B9">
      <w:pPr>
        <w:pStyle w:val="StandardWeb"/>
      </w:pPr>
      <w:r>
        <w:t>[</w:t>
      </w:r>
      <w:r>
        <w:br/>
        <w:t>A_j</w:t>
      </w:r>
      <w:r>
        <w:br/>
        <w:t>\sim_K</w:t>
      </w:r>
      <w:r>
        <w:br/>
        <w:t>A_k,</w:t>
      </w:r>
      <w:r>
        <w:br/>
        <w:t>\tag{3.7670}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A_j\sim_K A_k\qquad\text{(3.7670)}</w:t>
      </w:r>
    </w:p>
    <w:p w:rsidR="002A21B9" w:rsidRDefault="002A21B9" w:rsidP="002A21B9">
      <w:pPr>
        <w:pStyle w:val="StandardWeb"/>
      </w:pPr>
      <w:r>
        <w:t>ohne dass daraus folgt</w:t>
      </w:r>
    </w:p>
    <w:p w:rsidR="002A21B9" w:rsidRDefault="002A21B9" w:rsidP="002A21B9">
      <w:pPr>
        <w:pStyle w:val="StandardWeb"/>
      </w:pPr>
      <w:r>
        <w:t>[</w:t>
      </w:r>
      <w:r>
        <w:br/>
        <w:t>A_i</w:t>
      </w:r>
      <w:r>
        <w:br/>
        <w:t>\sim_K</w:t>
      </w:r>
      <w:r>
        <w:br/>
        <w:t>A_k.</w:t>
      </w:r>
      <w:r>
        <w:br/>
        <w:t>\tag{3.7671}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A_i\sim_K A_k\qquad\text{(3.7671)}</w:t>
      </w:r>
    </w:p>
    <w:p w:rsidR="002A21B9" w:rsidRDefault="002A21B9" w:rsidP="002A21B9">
      <w:pPr>
        <w:pStyle w:val="StandardWeb"/>
      </w:pPr>
      <w:r>
        <w:t>Formal:</w:t>
      </w:r>
    </w:p>
    <w:p w:rsidR="002A21B9" w:rsidRDefault="002A21B9" w:rsidP="002A21B9">
      <w:pPr>
        <w:pStyle w:val="StandardWeb"/>
      </w:pPr>
      <w:r>
        <w:t>[</w:t>
      </w:r>
      <w:r>
        <w:br/>
        <w:t>\left(</w:t>
      </w:r>
      <w:r>
        <w:br/>
        <w:t>A_i\sim_K A_j</w:t>
      </w:r>
      <w:r>
        <w:br/>
        <w:t>\land</w:t>
      </w:r>
      <w:r>
        <w:br/>
        <w:t>A_j\sim_K A_k</w:t>
      </w:r>
      <w:r>
        <w:br/>
        <w:t>\right)</w:t>
      </w:r>
      <w:r>
        <w:br/>
        <w:t>\nRightarrow</w:t>
      </w:r>
      <w:r>
        <w:br/>
        <w:t>A_i\sim_K A_k.</w:t>
      </w:r>
      <w:r>
        <w:br/>
        <w:t>\tag{3.7672}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\left(A_i\sim_K A_j\land A_j\sim_K A_k\right)\nRightarrow A_i\sim_K A_k\qquad\text{(3.7672)}</w:t>
      </w:r>
    </w:p>
    <w:p w:rsidR="002A21B9" w:rsidRDefault="002A21B9" w:rsidP="002A21B9">
      <w:pPr>
        <w:pStyle w:val="StandardWeb"/>
      </w:pPr>
      <w:r>
        <w:t>Dies ist für spätere Konsistenznetzwerke entscheidend.</w:t>
      </w:r>
    </w:p>
    <w:p w:rsidR="002A21B9" w:rsidRDefault="00E50336" w:rsidP="002A21B9">
      <w:r>
        <w:pict>
          <v:rect id="_x0000_i1750" style="width:0;height:1.5pt" o:hralign="center" o:hrstd="t" o:hr="t" fillcolor="#a0a0a0" stroked="f"/>
        </w:pict>
      </w:r>
    </w:p>
    <w:p w:rsidR="002A21B9" w:rsidRDefault="002A21B9" w:rsidP="002A21B9">
      <w:pPr>
        <w:pStyle w:val="berschrift2"/>
      </w:pPr>
      <w:r>
        <w:t>3.3.42.17 Einfaches Gegenbeispiel zur Transitivität</w:t>
      </w:r>
    </w:p>
    <w:p w:rsidR="002A21B9" w:rsidRDefault="002A21B9" w:rsidP="002A21B9">
      <w:pPr>
        <w:pStyle w:val="StandardWeb"/>
      </w:pPr>
      <w:r>
        <w:lastRenderedPageBreak/>
        <w:t>Betrachte die Aussagen</w:t>
      </w:r>
    </w:p>
    <w:p w:rsidR="002A21B9" w:rsidRDefault="002A21B9" w:rsidP="002A21B9">
      <w:pPr>
        <w:pStyle w:val="StandardWeb"/>
      </w:pPr>
      <w:r>
        <w:t>[</w:t>
      </w:r>
      <w:r>
        <w:br/>
        <w:t>A_1:</w:t>
      </w:r>
      <w:r>
        <w:br/>
        <w:t>x&gt;0,</w:t>
      </w:r>
      <w:r>
        <w:br/>
        <w:t>\tag{3.7673}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A_1:x&gt;0\qquad\text{(3.7673)}</w:t>
      </w:r>
    </w:p>
    <w:p w:rsidR="002A21B9" w:rsidRDefault="002A21B9" w:rsidP="002A21B9">
      <w:pPr>
        <w:pStyle w:val="StandardWeb"/>
      </w:pPr>
      <w:r>
        <w:t>[</w:t>
      </w:r>
      <w:r>
        <w:br/>
        <w:t>A_2:</w:t>
      </w:r>
      <w:r>
        <w:br/>
        <w:t>x&lt;10</w:t>
      </w:r>
      <w:r>
        <w:br/>
        <w:t>\tag{3.7674}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A_2:x&lt;10\qquad\text{(3.7674)}</w:t>
      </w:r>
    </w:p>
    <w:p w:rsidR="002A21B9" w:rsidRDefault="002A21B9" w:rsidP="002A21B9">
      <w:pPr>
        <w:pStyle w:val="StandardWeb"/>
      </w:pPr>
      <w:r>
        <w:t>und</w:t>
      </w:r>
    </w:p>
    <w:p w:rsidR="002A21B9" w:rsidRDefault="002A21B9" w:rsidP="002A21B9">
      <w:pPr>
        <w:pStyle w:val="StandardWeb"/>
      </w:pPr>
      <w:r>
        <w:t>[</w:t>
      </w:r>
      <w:r>
        <w:br/>
        <w:t>A_3:</w:t>
      </w:r>
      <w:r>
        <w:br/>
        <w:t>x&lt;0.</w:t>
      </w:r>
      <w:r>
        <w:br/>
        <w:t>\tag{3.7675}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A_3:x&lt;0\qquad\text{(3.7675)}</w:t>
      </w:r>
    </w:p>
    <w:p w:rsidR="002A21B9" w:rsidRDefault="002A21B9" w:rsidP="002A21B9">
      <w:pPr>
        <w:pStyle w:val="StandardWeb"/>
      </w:pPr>
      <w:r>
        <w:t>(A_1) und (A_2) können gemeinsam gelten, beispielsweise für</w:t>
      </w:r>
    </w:p>
    <w:p w:rsidR="002A21B9" w:rsidRDefault="002A21B9" w:rsidP="002A21B9">
      <w:pPr>
        <w:pStyle w:val="StandardWeb"/>
      </w:pPr>
      <w:r>
        <w:t>[</w:t>
      </w:r>
      <w:r>
        <w:br/>
        <w:t>x=5.</w:t>
      </w:r>
      <w:r>
        <w:br/>
        <w:t>\tag{3.7676}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x=5\qquad\text{(3.7676)}</w:t>
      </w:r>
    </w:p>
    <w:p w:rsidR="002A21B9" w:rsidRDefault="002A21B9" w:rsidP="002A21B9">
      <w:pPr>
        <w:pStyle w:val="StandardWeb"/>
      </w:pPr>
      <w:r>
        <w:t>(A_2) und (A_3) können ebenfalls gemeinsam gelten, beispielsweise für</w:t>
      </w:r>
    </w:p>
    <w:p w:rsidR="002A21B9" w:rsidRDefault="002A21B9" w:rsidP="002A21B9">
      <w:pPr>
        <w:pStyle w:val="StandardWeb"/>
      </w:pPr>
      <w:r>
        <w:t>[</w:t>
      </w:r>
      <w:r>
        <w:br/>
        <w:t>x=-1.</w:t>
      </w:r>
      <w:r>
        <w:br/>
        <w:t>\tag{3.7677}</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x=-1\qquad\text{(3.7677)}</w:t>
      </w:r>
    </w:p>
    <w:p w:rsidR="002A21B9" w:rsidRDefault="002A21B9" w:rsidP="002A21B9">
      <w:pPr>
        <w:pStyle w:val="StandardWeb"/>
      </w:pPr>
      <w:r>
        <w:t>Dagegen können (A_1) und (A_3) nicht gleichzeitig gelten:</w:t>
      </w:r>
    </w:p>
    <w:p w:rsidR="002A21B9" w:rsidRDefault="002A21B9" w:rsidP="002A21B9">
      <w:pPr>
        <w:pStyle w:val="StandardWeb"/>
      </w:pPr>
      <w:r>
        <w:t>[</w:t>
      </w:r>
      <w:r>
        <w:br/>
        <w:t>x&gt;0</w:t>
      </w:r>
      <w:r>
        <w:br/>
        <w:t>\land</w:t>
      </w:r>
      <w:r>
        <w:br/>
        <w:t>x&lt;0</w:t>
      </w:r>
      <w:r>
        <w:br/>
        <w:t>\equiv</w:t>
      </w:r>
      <w:r>
        <w:br/>
        <w:t>\bot.</w:t>
      </w:r>
      <w:r>
        <w:br/>
        <w:t>\tag{3.7678}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x&gt;0\land x&lt;0\equiv\bot\qquad\text{(3.7678)}</w:t>
      </w:r>
    </w:p>
    <w:p w:rsidR="002A21B9" w:rsidRDefault="002A21B9" w:rsidP="002A21B9">
      <w:pPr>
        <w:pStyle w:val="StandardWeb"/>
      </w:pPr>
      <w:r>
        <w:t>Damit ist die Nichttransitivität der funktionalen Konsistenz unmittelbar sichtbar.</w:t>
      </w:r>
    </w:p>
    <w:p w:rsidR="002A21B9" w:rsidRDefault="00E50336" w:rsidP="002A21B9">
      <w:r>
        <w:pict>
          <v:rect id="_x0000_i1751" style="width:0;height:1.5pt" o:hralign="center" o:hrstd="t" o:hr="t" fillcolor="#a0a0a0" stroked="f"/>
        </w:pict>
      </w:r>
    </w:p>
    <w:p w:rsidR="002A21B9" w:rsidRDefault="002A21B9" w:rsidP="002A21B9">
      <w:pPr>
        <w:pStyle w:val="berschrift1"/>
      </w:pPr>
      <w:r>
        <w:t>3.3.42.18 Konsistenz ist keine Äquivalenzrelation</w:t>
      </w:r>
    </w:p>
    <w:p w:rsidR="002A21B9" w:rsidRDefault="002A21B9" w:rsidP="002A21B9">
      <w:pPr>
        <w:pStyle w:val="StandardWeb"/>
      </w:pPr>
      <w:r>
        <w:t>Eine Äquivalenzrelation müsste reflexiv, symmetrisch und transitiv sein.</w:t>
      </w:r>
    </w:p>
    <w:p w:rsidR="002A21B9" w:rsidRDefault="002A21B9" w:rsidP="002A21B9">
      <w:pPr>
        <w:pStyle w:val="StandardWeb"/>
      </w:pPr>
      <w:r>
        <w:t>Die funktionale Konsistenz ist unter geeigneten Voraussetzungen reflexiv und symmetrisch, aber nicht allgemein transitiv.</w:t>
      </w:r>
    </w:p>
    <w:p w:rsidR="002A21B9" w:rsidRDefault="002A21B9" w:rsidP="002A21B9">
      <w:pPr>
        <w:pStyle w:val="StandardWeb"/>
      </w:pPr>
      <w:r>
        <w:t>Damit gilt</w:t>
      </w:r>
    </w:p>
    <w:p w:rsidR="002A21B9" w:rsidRDefault="002A21B9" w:rsidP="002A21B9">
      <w:pPr>
        <w:pStyle w:val="StandardWeb"/>
      </w:pPr>
      <w:r>
        <w:t>[</w:t>
      </w:r>
      <w:r>
        <w:br/>
        <w:t>\sim_K</w:t>
      </w:r>
      <w:r>
        <w:br/>
        <w:t>\notin</w:t>
      </w:r>
      <w:r>
        <w:br/>
        <w:t>\mathfrak E,</w:t>
      </w:r>
      <w:r>
        <w:br/>
        <w:t>\tag{3.7679}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\sim_K\notin\mathfrak E\qquad\text{(3.7679)}</w:t>
      </w:r>
    </w:p>
    <w:p w:rsidR="002A21B9" w:rsidRDefault="002A21B9" w:rsidP="002A21B9">
      <w:pPr>
        <w:pStyle w:val="StandardWeb"/>
      </w:pPr>
      <w:r>
        <w:t>wobei (\mathfrak E) die Klasse der Äquivalenzrelationen bezeichnet.</w:t>
      </w:r>
    </w:p>
    <w:p w:rsidR="002A21B9" w:rsidRDefault="002A21B9" w:rsidP="002A21B9">
      <w:pPr>
        <w:pStyle w:val="StandardWeb"/>
      </w:pPr>
      <w:r>
        <w:t>Dies hat unmittelbare Konsequenzen für die mathematische Struktur späterer Konsistenzcluster.</w:t>
      </w:r>
    </w:p>
    <w:p w:rsidR="002A21B9" w:rsidRDefault="002A21B9" w:rsidP="002A21B9">
      <w:pPr>
        <w:pStyle w:val="StandardWeb"/>
      </w:pPr>
      <w:r>
        <w:t>Eine Gruppe paarweise verbundener Aussagen muss nicht automatisch eine vollständig konsistente Aussageklasse bilden.</w:t>
      </w:r>
    </w:p>
    <w:p w:rsidR="002A21B9" w:rsidRDefault="00E50336" w:rsidP="002A21B9">
      <w:r>
        <w:lastRenderedPageBreak/>
        <w:pict>
          <v:rect id="_x0000_i1752" style="width:0;height:1.5pt" o:hralign="center" o:hrstd="t" o:hr="t" fillcolor="#a0a0a0" stroked="f"/>
        </w:pict>
      </w:r>
    </w:p>
    <w:p w:rsidR="002A21B9" w:rsidRDefault="002A21B9" w:rsidP="002A21B9">
      <w:pPr>
        <w:pStyle w:val="berschrift1"/>
      </w:pPr>
      <w:r>
        <w:t>3.3.42.19 Paarweise versus gemeinsame Konsistenz</w:t>
      </w:r>
    </w:p>
    <w:p w:rsidR="002A21B9" w:rsidRDefault="002A21B9" w:rsidP="002A21B9">
      <w:pPr>
        <w:pStyle w:val="StandardWeb"/>
      </w:pPr>
      <w:r>
        <w:t>Dieser Unterschied ist so wichtig, dass ich ihn ausdrücklich formalisiere.</w:t>
      </w:r>
    </w:p>
    <w:p w:rsidR="002A21B9" w:rsidRDefault="002A21B9" w:rsidP="002A21B9">
      <w:pPr>
        <w:pStyle w:val="StandardWeb"/>
      </w:pPr>
      <w:r>
        <w:t>Sei eine Aussagenmenge</w:t>
      </w:r>
    </w:p>
    <w:p w:rsidR="002A21B9" w:rsidRDefault="002A21B9" w:rsidP="002A21B9">
      <w:pPr>
        <w:pStyle w:val="berschrift1"/>
      </w:pPr>
      <w:r>
        <w:t>[</w:t>
      </w:r>
      <w:r>
        <w:br/>
        <w:t>\mathcal A_n</w:t>
      </w:r>
    </w:p>
    <w:p w:rsidR="002A21B9" w:rsidRDefault="002A21B9" w:rsidP="002A21B9">
      <w:pPr>
        <w:pStyle w:val="StandardWeb"/>
      </w:pPr>
      <w:r>
        <w:t>{A_1,\ldots,A_n}.</w:t>
      </w:r>
      <w:r>
        <w:br/>
        <w:t>\tag{3.7680}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A_n=\{A_1,\ldots,A_n\}\qquad\text{(3.7680)}</w:t>
      </w:r>
    </w:p>
    <w:p w:rsidR="002A21B9" w:rsidRDefault="002A21B9" w:rsidP="002A21B9">
      <w:pPr>
        <w:pStyle w:val="StandardWeb"/>
      </w:pPr>
      <w:r>
        <w:t>Paarweise Konsistenz bedeutet</w:t>
      </w:r>
    </w:p>
    <w:p w:rsidR="002A21B9" w:rsidRDefault="002A21B9" w:rsidP="002A21B9">
      <w:pPr>
        <w:pStyle w:val="StandardWeb"/>
      </w:pPr>
      <w:r>
        <w:t>[</w:t>
      </w:r>
      <w:r>
        <w:br/>
        <w:t>\mathfrak K(A_i,A_j)=1</w:t>
      </w:r>
      <w:r>
        <w:br/>
        <w:t>\qquad</w:t>
      </w:r>
      <w:r>
        <w:br/>
        <w:t>\forall i\neq j.</w:t>
      </w:r>
      <w:r>
        <w:br/>
        <w:t>\tag{3.7681}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K(A_i,A_j)=1\qquad\forall i\neq j\qquad\text{(3.7681)}</w:t>
      </w:r>
    </w:p>
    <w:p w:rsidR="002A21B9" w:rsidRDefault="002A21B9" w:rsidP="002A21B9">
      <w:pPr>
        <w:pStyle w:val="StandardWeb"/>
      </w:pPr>
      <w:r>
        <w:t>Gemeinsame Konsistenz der gesamten Menge verlangt dagegen</w:t>
      </w:r>
    </w:p>
    <w:p w:rsidR="002A21B9" w:rsidRDefault="002A21B9" w:rsidP="002A21B9">
      <w:pPr>
        <w:pStyle w:val="berschrift1"/>
      </w:pPr>
      <w:r>
        <w:t>[</w:t>
      </w:r>
      <w:r>
        <w:br/>
        <w:t>\exists z:</w:t>
      </w:r>
      <w:r>
        <w:br/>
        <w:t>\bigwedge_{i=1}^{n}</w:t>
      </w:r>
      <w:r>
        <w:br/>
        <w:t>A_i(z)</w:t>
      </w:r>
    </w:p>
    <w:p w:rsidR="002A21B9" w:rsidRDefault="002A21B9" w:rsidP="008C5E65">
      <w:pPr>
        <w:numPr>
          <w:ilvl w:val="0"/>
          <w:numId w:val="382"/>
        </w:numPr>
        <w:spacing w:before="100" w:beforeAutospacing="1" w:after="100" w:afterAutospacing="1"/>
      </w:pPr>
    </w:p>
    <w:p w:rsidR="002A21B9" w:rsidRDefault="002A21B9" w:rsidP="002A21B9">
      <w:pPr>
        <w:pStyle w:val="StandardWeb"/>
      </w:pPr>
      <w:r>
        <w:t>\tag{3.7682}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\exists z:\bigwedge_{i=1}^{n}A_i(z)=1\qquad\text{(3.7682)}</w:t>
      </w:r>
    </w:p>
    <w:p w:rsidR="002A21B9" w:rsidRDefault="002A21B9" w:rsidP="002A21B9">
      <w:pPr>
        <w:pStyle w:val="StandardWeb"/>
      </w:pPr>
      <w:r>
        <w:lastRenderedPageBreak/>
        <w:t>Diese Bedingungen sind nicht allgemein äquivalent.</w:t>
      </w:r>
    </w:p>
    <w:p w:rsidR="002A21B9" w:rsidRDefault="00E50336" w:rsidP="002A21B9">
      <w:r>
        <w:pict>
          <v:rect id="_x0000_i1753" style="width:0;height:1.5pt" o:hralign="center" o:hrstd="t" o:hr="t" fillcolor="#a0a0a0" stroked="f"/>
        </w:pict>
      </w:r>
    </w:p>
    <w:p w:rsidR="002A21B9" w:rsidRDefault="002A21B9" w:rsidP="002A21B9">
      <w:pPr>
        <w:pStyle w:val="berschrift2"/>
      </w:pPr>
      <w:r>
        <w:t>Definition 3.3.43 (Gemeinsame funktionale Konsistenz)</w:t>
      </w:r>
    </w:p>
    <w:p w:rsidR="002A21B9" w:rsidRDefault="002A21B9" w:rsidP="002A21B9">
      <w:pPr>
        <w:pStyle w:val="StandardWeb"/>
      </w:pPr>
      <w:r>
        <w:t>Eine Aussagenmenge (\mathcal A_n) heißt gemeinsam funktional konsistent, wenn innerhalb eines gemeinsamen funktionalen Gültigkeitsraums mindestens ein Zustand existiert, in dem alle Aussagen gleichzeitig erfüllt werden können.</w:t>
      </w:r>
    </w:p>
    <w:p w:rsidR="002A21B9" w:rsidRDefault="002A21B9" w:rsidP="002A21B9">
      <w:pPr>
        <w:pStyle w:val="StandardWeb"/>
      </w:pPr>
      <w:r>
        <w:t>Formal:</w:t>
      </w:r>
    </w:p>
    <w:p w:rsidR="002A21B9" w:rsidRDefault="002A21B9" w:rsidP="002A21B9">
      <w:pPr>
        <w:pStyle w:val="berschrift1"/>
      </w:pPr>
      <w:r>
        <w:t>[</w:t>
      </w:r>
      <w:r>
        <w:br/>
        <w:t>K_F</w:t>
      </w:r>
      <w:r>
        <w:br/>
        <w:t>\left(</w:t>
      </w:r>
      <w:r>
        <w:br/>
        <w:t>\mathcal A_n</w:t>
      </w:r>
      <w:r>
        <w:br/>
        <w:t>\right)</w:t>
      </w:r>
    </w:p>
    <w:p w:rsidR="002A21B9" w:rsidRDefault="002A21B9" w:rsidP="002A21B9">
      <w:pPr>
        <w:pStyle w:val="StandardWeb"/>
      </w:pPr>
      <w:r>
        <w:t>1</w:t>
      </w:r>
      <w:r>
        <w:br/>
        <w:t>\Longleftrightarrow</w:t>
      </w:r>
      <w:r>
        <w:br/>
        <w:t>\exists z</w:t>
      </w:r>
      <w:r>
        <w:br/>
        <w:t>\in</w:t>
      </w:r>
      <w:r>
        <w:br/>
        <w:t>\bigcap_{i=1}^{n}</w:t>
      </w:r>
      <w:r>
        <w:br/>
        <w:t>\Omega_i</w:t>
      </w:r>
      <w:r>
        <w:br/>
        <w:t>:</w:t>
      </w:r>
      <w:r>
        <w:br/>
        <w:t>\bigwedge_{i=1}^{n}</w:t>
      </w:r>
      <w:r>
        <w:br/>
        <w:t>A_i(z)=1.</w:t>
      </w:r>
      <w:r>
        <w:br/>
        <w:t>\tag{3.7683}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K_F\left(\mathcal A_n\right)=1\Longleftrightarrow\exists z\in\bigcap_{i=1}^{n}\Omega_i:\bigwedge_{i=1}^{n}A_i(z)=1\qquad\text{(3.7683)}</w:t>
      </w:r>
    </w:p>
    <w:p w:rsidR="002A21B9" w:rsidRDefault="00E50336" w:rsidP="002A21B9">
      <w:r>
        <w:pict>
          <v:rect id="_x0000_i1754" style="width:0;height:1.5pt" o:hralign="center" o:hrstd="t" o:hr="t" fillcolor="#a0a0a0" stroked="f"/>
        </w:pict>
      </w:r>
    </w:p>
    <w:p w:rsidR="002A21B9" w:rsidRDefault="002A21B9" w:rsidP="002A21B9">
      <w:pPr>
        <w:pStyle w:val="berschrift1"/>
      </w:pPr>
      <w:r>
        <w:t>3.3.42.20 Gemeinsamer Gültigkeitsraum einer Aussagenmenge</w:t>
      </w:r>
    </w:p>
    <w:p w:rsidR="002A21B9" w:rsidRDefault="002A21B9" w:rsidP="002A21B9">
      <w:pPr>
        <w:pStyle w:val="StandardWeb"/>
      </w:pPr>
      <w:r>
        <w:t>Ich definiere</w:t>
      </w:r>
    </w:p>
    <w:p w:rsidR="002A21B9" w:rsidRDefault="002A21B9" w:rsidP="002A21B9">
      <w:pPr>
        <w:pStyle w:val="berschrift1"/>
      </w:pPr>
      <w:r>
        <w:t>[</w:t>
      </w:r>
      <w:r>
        <w:br/>
        <w:t>\Omega_{\mathcal A_n}</w:t>
      </w:r>
    </w:p>
    <w:p w:rsidR="002A21B9" w:rsidRDefault="002A21B9" w:rsidP="002A21B9">
      <w:pPr>
        <w:pStyle w:val="StandardWeb"/>
      </w:pPr>
      <w:r>
        <w:lastRenderedPageBreak/>
        <w:t>\bigcap_{i=1}^{n}</w:t>
      </w:r>
      <w:r>
        <w:br/>
        <w:t>\Omega_i.</w:t>
      </w:r>
      <w:r>
        <w:br/>
        <w:t>\tag{3.7684}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\Omega_{\mathcal A_n}=\bigcap_{i=1}^{n}\Omega_i\qquad\text{(3.7684)}</w:t>
      </w:r>
    </w:p>
    <w:p w:rsidR="002A21B9" w:rsidRDefault="002A21B9" w:rsidP="002A21B9">
      <w:pPr>
        <w:pStyle w:val="StandardWeb"/>
      </w:pPr>
      <w:r>
        <w:t>Nur falls</w:t>
      </w:r>
    </w:p>
    <w:p w:rsidR="002A21B9" w:rsidRDefault="002A21B9" w:rsidP="002A21B9">
      <w:pPr>
        <w:pStyle w:val="StandardWeb"/>
      </w:pPr>
      <w:r>
        <w:t>[</w:t>
      </w:r>
      <w:r>
        <w:br/>
        <w:t>\Omega_{\mathcal A_n}</w:t>
      </w:r>
      <w:r>
        <w:br/>
        <w:t>\neq</w:t>
      </w:r>
      <w:r>
        <w:br/>
        <w:t>\varnothing</w:t>
      </w:r>
      <w:r>
        <w:br/>
        <w:t>\tag{3.7685}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\Omega_{\mathcal A_n}\neq\varnothing\qquad\text{(3.7685)}</w:t>
      </w:r>
    </w:p>
    <w:p w:rsidR="002A21B9" w:rsidRDefault="002A21B9" w:rsidP="002A21B9">
      <w:pPr>
        <w:pStyle w:val="StandardWeb"/>
      </w:pPr>
      <w:r>
        <w:t>ist eine gemeinsame Konsistenzprüfung der gesamten Aussagenmenge überhaupt möglich.</w:t>
      </w:r>
    </w:p>
    <w:p w:rsidR="002A21B9" w:rsidRDefault="002A21B9" w:rsidP="002A21B9">
      <w:pPr>
        <w:pStyle w:val="StandardWeb"/>
      </w:pPr>
      <w:r>
        <w:t>Damit wird die Vergleichbarkeitslogik aus 3.3.42.1 und 3.3.42.2 auf beliebig viele Aussagen erweitert.</w:t>
      </w:r>
    </w:p>
    <w:p w:rsidR="002A21B9" w:rsidRDefault="00E50336" w:rsidP="002A21B9">
      <w:r>
        <w:pict>
          <v:rect id="_x0000_i1755" style="width:0;height:1.5pt" o:hralign="center" o:hrstd="t" o:hr="t" fillcolor="#a0a0a0" stroked="f"/>
        </w:pict>
      </w:r>
    </w:p>
    <w:p w:rsidR="002A21B9" w:rsidRDefault="002A21B9" w:rsidP="002A21B9">
      <w:pPr>
        <w:pStyle w:val="berschrift1"/>
      </w:pPr>
      <w:r>
        <w:t>3.3.42.21 Stark globale Mengenkonsistenz</w:t>
      </w:r>
    </w:p>
    <w:p w:rsidR="002A21B9" w:rsidRDefault="002A21B9" w:rsidP="002A21B9">
      <w:pPr>
        <w:pStyle w:val="StandardWeb"/>
      </w:pPr>
      <w:r>
        <w:t>Eine noch stärkere Eigenschaft liegt vor, wenn sämtliche Aussagen in jedem Zustand des gemeinsamen Gültigkeitsraums miteinander vereinbar bleiben.</w:t>
      </w:r>
    </w:p>
    <w:p w:rsidR="002A21B9" w:rsidRDefault="002A21B9" w:rsidP="002A21B9">
      <w:pPr>
        <w:pStyle w:val="StandardWeb"/>
      </w:pPr>
      <w:r>
        <w:t>Ich definiere</w:t>
      </w:r>
    </w:p>
    <w:p w:rsidR="002A21B9" w:rsidRDefault="002A21B9" w:rsidP="002A21B9">
      <w:pPr>
        <w:pStyle w:val="berschrift1"/>
      </w:pPr>
      <w:r>
        <w:t>[</w:t>
      </w:r>
      <w:r>
        <w:br/>
        <w:t>K_F^{\mathrm{glob}}</w:t>
      </w:r>
      <w:r>
        <w:br/>
        <w:t>\left(</w:t>
      </w:r>
      <w:r>
        <w:br/>
        <w:t>\mathcal A_n</w:t>
      </w:r>
      <w:r>
        <w:br/>
        <w:t>\right)</w:t>
      </w:r>
    </w:p>
    <w:p w:rsidR="002A21B9" w:rsidRDefault="002A21B9" w:rsidP="002A21B9">
      <w:pPr>
        <w:pStyle w:val="StandardWeb"/>
      </w:pPr>
      <w:r>
        <w:t>1</w:t>
      </w:r>
      <w:r>
        <w:br/>
        <w:t>\tag{3.7686}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K_F^{\mathrm{glob}}\left(\mathcal A_n\right)=1\qquad\text{(3.7686)}</w:t>
      </w:r>
    </w:p>
    <w:p w:rsidR="002A21B9" w:rsidRDefault="002A21B9" w:rsidP="002A21B9">
      <w:pPr>
        <w:pStyle w:val="StandardWeb"/>
      </w:pPr>
      <w:r>
        <w:t>genau dann, wenn</w:t>
      </w:r>
    </w:p>
    <w:p w:rsidR="002A21B9" w:rsidRDefault="002A21B9" w:rsidP="002A21B9">
      <w:pPr>
        <w:pStyle w:val="StandardWeb"/>
      </w:pPr>
      <w:r>
        <w:t>[</w:t>
      </w:r>
      <w:r>
        <w:br/>
        <w:t>\forall z</w:t>
      </w:r>
      <w:r>
        <w:br/>
        <w:t>\in</w:t>
      </w:r>
      <w:r>
        <w:br/>
        <w:t>\Omega_{\mathcal A_n}</w:t>
      </w:r>
      <w:r>
        <w:br/>
        <w:t>:</w:t>
      </w:r>
      <w:r>
        <w:br/>
        <w:t>\bigwedge_{i=1}^{n}</w:t>
      </w:r>
      <w:r>
        <w:br/>
        <w:t>A_i(z)</w:t>
      </w:r>
      <w:r>
        <w:br/>
        <w:t>\text{ widerspruchsfrei ist}.</w:t>
      </w:r>
      <w:r>
        <w:br/>
        <w:t>\tag{3.7687}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\forall z\in\Omega_{\mathcal A_n}:\bigwedge_{i=1}^{n}A_i(z)\text{ widerspruchsfrei ist}\qquad\text{(3.7687)}</w:t>
      </w:r>
    </w:p>
    <w:p w:rsidR="002A21B9" w:rsidRDefault="002A21B9" w:rsidP="002A21B9">
      <w:pPr>
        <w:pStyle w:val="StandardWeb"/>
      </w:pPr>
      <w:r>
        <w:t>Damit unterscheide ich zwischen mindestens einem gemeinsamen konsistenten Zustand und vollständiger globaler Mengenkonsistenz.</w:t>
      </w:r>
    </w:p>
    <w:p w:rsidR="002A21B9" w:rsidRDefault="00E50336" w:rsidP="002A21B9">
      <w:r>
        <w:pict>
          <v:rect id="_x0000_i1756" style="width:0;height:1.5pt" o:hralign="center" o:hrstd="t" o:hr="t" fillcolor="#a0a0a0" stroked="f"/>
        </w:pict>
      </w:r>
    </w:p>
    <w:p w:rsidR="002A21B9" w:rsidRDefault="002A21B9" w:rsidP="002A21B9">
      <w:pPr>
        <w:pStyle w:val="berschrift1"/>
      </w:pPr>
      <w:r>
        <w:t>3.3.42.22 Konsistenzkern einer Aussagenmenge</w:t>
      </w:r>
    </w:p>
    <w:p w:rsidR="002A21B9" w:rsidRDefault="002A21B9" w:rsidP="002A21B9">
      <w:pPr>
        <w:pStyle w:val="StandardWeb"/>
      </w:pPr>
      <w:r>
        <w:t>Analog zu den zuvor eingeführten Stabilitätskernen definiere ich einen Konsistenzkern</w:t>
      </w:r>
    </w:p>
    <w:p w:rsidR="002A21B9" w:rsidRDefault="002A21B9" w:rsidP="002A21B9">
      <w:pPr>
        <w:pStyle w:val="berschrift1"/>
      </w:pPr>
      <w:r>
        <w:t>[</w:t>
      </w:r>
      <w:r>
        <w:br/>
        <w:t>\Omega_{\mathcal A}^{K}</w:t>
      </w:r>
    </w:p>
    <w:p w:rsidR="002A21B9" w:rsidRDefault="002A21B9" w:rsidP="002A21B9">
      <w:pPr>
        <w:pStyle w:val="StandardWeb"/>
      </w:pPr>
      <w:r>
        <w:t>\left{</w:t>
      </w:r>
      <w:r>
        <w:br/>
        <w:t>z</w:t>
      </w:r>
      <w:r>
        <w:br/>
        <w:t>\in</w:t>
      </w:r>
      <w:r>
        <w:br/>
        <w:t>\Omega_{\mathcal A}</w:t>
      </w:r>
      <w:r>
        <w:br/>
        <w:t>:</w:t>
      </w:r>
      <w:r>
        <w:br/>
        <w:t>\bigwedge_{i=1}^{n}</w:t>
      </w:r>
      <w:r>
        <w:br/>
        <w:t>A_i(z)</w:t>
      </w:r>
      <w:r>
        <w:br/>
        <w:t>\text{ gemeinsam konsistent}</w:t>
      </w:r>
      <w:r>
        <w:br/>
        <w:t>\right}.</w:t>
      </w:r>
      <w:r>
        <w:br/>
        <w:t>\tag{3.7688}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\Omega_{\mathcal A}^{K}=\left\{z\in\Omega_{\mathcal A}:\bigwedge_{i=1}^{n}A_i(z)\text{ gemeinsam konsistent}\right\}\qquad\text{(3.7688)}</w:t>
      </w:r>
    </w:p>
    <w:p w:rsidR="002A21B9" w:rsidRDefault="002A21B9" w:rsidP="002A21B9">
      <w:pPr>
        <w:pStyle w:val="StandardWeb"/>
      </w:pPr>
      <w:r>
        <w:lastRenderedPageBreak/>
        <w:t>Der entsprechende globale Mengenkonsistenzgrad lautet</w:t>
      </w:r>
    </w:p>
    <w:p w:rsidR="002A21B9" w:rsidRDefault="002A21B9" w:rsidP="002A21B9">
      <w:pPr>
        <w:pStyle w:val="berschrift1"/>
      </w:pPr>
      <w:r>
        <w:t>[</w:t>
      </w:r>
      <w:r>
        <w:br/>
        <w:t>R_K</w:t>
      </w:r>
      <w:r>
        <w:br/>
        <w:t>\left(</w:t>
      </w:r>
      <w:r>
        <w:br/>
        <w:t>\mathcal A_n</w:t>
      </w:r>
      <w:r>
        <w:br/>
        <w:t>\right)</w:t>
      </w:r>
    </w:p>
    <w:p w:rsidR="002A21B9" w:rsidRDefault="002A21B9" w:rsidP="002A21B9">
      <w:pPr>
        <w:pStyle w:val="StandardWeb"/>
      </w:pPr>
      <w:r>
        <w:t>\frac{</w:t>
      </w:r>
      <w:r>
        <w:br/>
        <w:t>\mu\left(</w:t>
      </w:r>
      <w:r>
        <w:br/>
        <w:t>\Omega_{\mathcal A}^{K}</w:t>
      </w:r>
      <w:r>
        <w:br/>
        <w:t>\right)</w:t>
      </w:r>
      <w:r>
        <w:br/>
        <w:t>}{</w:t>
      </w:r>
      <w:r>
        <w:br/>
        <w:t>\mu\left(</w:t>
      </w:r>
      <w:r>
        <w:br/>
        <w:t>\Omega_{\mathcal A}</w:t>
      </w:r>
      <w:r>
        <w:br/>
        <w:t>\right)</w:t>
      </w:r>
      <w:r>
        <w:br/>
        <w:t>}.</w:t>
      </w:r>
      <w:r>
        <w:br/>
        <w:t>\tag{3.7689}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R_K\left(\mathcal A_n\right)=\frac{\mu\left(\Omega_{\mathcal A}^{K}\right)}{\mu\left(\Omega_{\mathcal A}\right)}\qquad\text{(3.7689)}</w:t>
      </w:r>
    </w:p>
    <w:p w:rsidR="002A21B9" w:rsidRDefault="00E50336" w:rsidP="002A21B9">
      <w:r>
        <w:pict>
          <v:rect id="_x0000_i1757" style="width:0;height:1.5pt" o:hralign="center" o:hrstd="t" o:hr="t" fillcolor="#a0a0a0" stroked="f"/>
        </w:pict>
      </w:r>
    </w:p>
    <w:p w:rsidR="002A21B9" w:rsidRDefault="002A21B9" w:rsidP="002A21B9">
      <w:pPr>
        <w:pStyle w:val="berschrift1"/>
      </w:pPr>
      <w:r>
        <w:t>3.3.42.23 Konsistenzreserve</w:t>
      </w:r>
    </w:p>
    <w:p w:rsidR="002A21B9" w:rsidRDefault="002A21B9" w:rsidP="002A21B9">
      <w:pPr>
        <w:pStyle w:val="StandardWeb"/>
      </w:pPr>
      <w:r>
        <w:t>Eine wissenschaftliche Aussagekonfiguration kann aktuell konsistent sein, aber unmittelbar an einer Konfliktgrenze liegen.</w:t>
      </w:r>
    </w:p>
    <w:p w:rsidR="002A21B9" w:rsidRDefault="002A21B9" w:rsidP="002A21B9">
      <w:pPr>
        <w:pStyle w:val="StandardWeb"/>
      </w:pPr>
      <w:r>
        <w:t>Deshalb definiere ich analog zur Stabilitätsreserve eine Konsistenzreserve</w:t>
      </w:r>
    </w:p>
    <w:p w:rsidR="002A21B9" w:rsidRDefault="002A21B9" w:rsidP="002A21B9">
      <w:pPr>
        <w:pStyle w:val="berschrift1"/>
      </w:pPr>
      <w:r>
        <w:t>[</w:t>
      </w:r>
      <w:r>
        <w:br/>
        <w:t>M_K</w:t>
      </w:r>
    </w:p>
    <w:p w:rsidR="002A21B9" w:rsidRDefault="002A21B9" w:rsidP="002A21B9">
      <w:pPr>
        <w:pStyle w:val="StandardWeb"/>
      </w:pPr>
      <w:r>
        <w:t>d</w:t>
      </w:r>
      <w:r>
        <w:br/>
        <w:t>\left(</w:t>
      </w:r>
      <w:r>
        <w:br/>
        <w:t>z,</w:t>
      </w:r>
      <w:r>
        <w:br/>
        <w:t>\partial</w:t>
      </w:r>
      <w:r>
        <w:br/>
        <w:t>\Omega_{\mathcal A}^{K}</w:t>
      </w:r>
      <w:r>
        <w:br/>
        <w:t>\right).</w:t>
      </w:r>
      <w:r>
        <w:br/>
        <w:t>\tag{3.7690}</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M_K=d\left(z,\partial\Omega_{\mathcal A}^{K}\right)\qquad\text{(3.7690)}</w:t>
      </w:r>
    </w:p>
    <w:p w:rsidR="002A21B9" w:rsidRDefault="002A21B9" w:rsidP="002A21B9">
      <w:pPr>
        <w:pStyle w:val="StandardWeb"/>
      </w:pPr>
      <w:r>
        <w:t>Ein großer Wert von (M_K) bedeutet, dass der aktuelle Zustand tief innerhalb des gemeinsam konsistenten Bereichs liegt.</w:t>
      </w:r>
    </w:p>
    <w:p w:rsidR="002A21B9" w:rsidRDefault="002A21B9" w:rsidP="002A21B9">
      <w:pPr>
        <w:pStyle w:val="StandardWeb"/>
      </w:pPr>
      <w:r>
        <w:t>Ein kleiner Wert</w:t>
      </w:r>
    </w:p>
    <w:p w:rsidR="002A21B9" w:rsidRDefault="002A21B9" w:rsidP="002A21B9">
      <w:pPr>
        <w:pStyle w:val="StandardWeb"/>
      </w:pPr>
      <w:r>
        <w:t>[</w:t>
      </w:r>
      <w:r>
        <w:br/>
        <w:t>M_K</w:t>
      </w:r>
      <w:r>
        <w:br/>
        <w:t>\approx</w:t>
      </w:r>
      <w:r>
        <w:br/>
        <w:t>0</w:t>
      </w:r>
      <w:r>
        <w:br/>
        <w:t>\tag{3.7691}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M_K\approx0\qquad\text{(3.7691)}</w:t>
      </w:r>
    </w:p>
    <w:p w:rsidR="002A21B9" w:rsidRDefault="002A21B9" w:rsidP="002A21B9">
      <w:pPr>
        <w:pStyle w:val="StandardWeb"/>
      </w:pPr>
      <w:r>
        <w:t>zeigt dagegen, dass bereits geringe Änderungen zu einem funktionalen Konflikt führen können.</w:t>
      </w:r>
    </w:p>
    <w:p w:rsidR="002A21B9" w:rsidRDefault="00E50336" w:rsidP="002A21B9">
      <w:r>
        <w:pict>
          <v:rect id="_x0000_i1758" style="width:0;height:1.5pt" o:hralign="center" o:hrstd="t" o:hr="t" fillcolor="#a0a0a0" stroked="f"/>
        </w:pict>
      </w:r>
    </w:p>
    <w:p w:rsidR="002A21B9" w:rsidRDefault="002A21B9" w:rsidP="002A21B9">
      <w:pPr>
        <w:pStyle w:val="berschrift1"/>
      </w:pPr>
      <w:r>
        <w:t>3.3.42.24 Konsistenzreserve und Unsicherheit</w:t>
      </w:r>
    </w:p>
    <w:p w:rsidR="002A21B9" w:rsidRDefault="002A21B9" w:rsidP="002A21B9">
      <w:pPr>
        <w:pStyle w:val="StandardWeb"/>
      </w:pPr>
      <w:r>
        <w:t>Sei</w:t>
      </w:r>
    </w:p>
    <w:p w:rsidR="002A21B9" w:rsidRDefault="002A21B9" w:rsidP="002A21B9">
      <w:pPr>
        <w:pStyle w:val="StandardWeb"/>
      </w:pPr>
      <w:r>
        <w:t>[</w:t>
      </w:r>
      <w:r>
        <w:br/>
        <w:t>U_z</w:t>
      </w:r>
      <w:r>
        <w:br/>
        <w:t>]</w:t>
      </w:r>
    </w:p>
    <w:p w:rsidR="002A21B9" w:rsidRDefault="002A21B9" w:rsidP="002A21B9">
      <w:pPr>
        <w:pStyle w:val="StandardWeb"/>
      </w:pPr>
      <w:r>
        <w:t>die Unsicherheit des funktionalen Zustands.</w:t>
      </w:r>
    </w:p>
    <w:p w:rsidR="002A21B9" w:rsidRDefault="002A21B9" w:rsidP="002A21B9">
      <w:pPr>
        <w:pStyle w:val="StandardWeb"/>
      </w:pPr>
      <w:r>
        <w:t>Eine konservative Konsistenzbedingung lautet</w:t>
      </w:r>
    </w:p>
    <w:p w:rsidR="002A21B9" w:rsidRDefault="002A21B9" w:rsidP="002A21B9">
      <w:pPr>
        <w:pStyle w:val="StandardWeb"/>
      </w:pPr>
      <w:r>
        <w:t>[</w:t>
      </w:r>
      <w:r>
        <w:br/>
        <w:t>U_z</w:t>
      </w:r>
      <w:r>
        <w:br/>
        <w:t>&lt;</w:t>
      </w:r>
      <w:r>
        <w:br/>
        <w:t>M_K.</w:t>
      </w:r>
      <w:r>
        <w:br/>
        <w:t>\tag{3.7692}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U_z&lt;M_K\qquad\text{(3.7692)}</w:t>
      </w:r>
    </w:p>
    <w:p w:rsidR="002A21B9" w:rsidRDefault="002A21B9" w:rsidP="002A21B9">
      <w:pPr>
        <w:pStyle w:val="StandardWeb"/>
      </w:pPr>
      <w:r>
        <w:t>Dann liegt die Unsicherheitsregion vollständig innerhalb des bekannten Konsistenzkerns.</w:t>
      </w:r>
    </w:p>
    <w:p w:rsidR="002A21B9" w:rsidRDefault="002A21B9" w:rsidP="002A21B9">
      <w:pPr>
        <w:pStyle w:val="StandardWeb"/>
      </w:pPr>
      <w:r>
        <w:t>Für</w:t>
      </w:r>
    </w:p>
    <w:p w:rsidR="002A21B9" w:rsidRDefault="002A21B9" w:rsidP="002A21B9">
      <w:pPr>
        <w:pStyle w:val="StandardWeb"/>
      </w:pPr>
      <w:r>
        <w:lastRenderedPageBreak/>
        <w:t>[</w:t>
      </w:r>
      <w:r>
        <w:br/>
        <w:t>U_z</w:t>
      </w:r>
      <w:r>
        <w:br/>
        <w:t>\geq</w:t>
      </w:r>
      <w:r>
        <w:br/>
        <w:t>M_K</w:t>
      </w:r>
      <w:r>
        <w:br/>
        <w:t>\tag{3.7693}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U_z\geq M_K\qquad\text{(3.7693)}</w:t>
      </w:r>
    </w:p>
    <w:p w:rsidR="002A21B9" w:rsidRDefault="002A21B9" w:rsidP="002A21B9">
      <w:pPr>
        <w:pStyle w:val="StandardWeb"/>
      </w:pPr>
      <w:r>
        <w:t>überlappt die Unsicherheit dagegen die Konsistenzgrenze.</w:t>
      </w:r>
    </w:p>
    <w:p w:rsidR="002A21B9" w:rsidRDefault="002A21B9" w:rsidP="002A21B9">
      <w:pPr>
        <w:pStyle w:val="StandardWeb"/>
      </w:pPr>
      <w:r>
        <w:t>Dann ist die Aussagekonfiguration nicht notwendig inkonsistent, aber ihre Konsistenzklassifikation wird unsicher.</w:t>
      </w:r>
    </w:p>
    <w:p w:rsidR="002A21B9" w:rsidRDefault="00E50336" w:rsidP="002A21B9">
      <w:r>
        <w:pict>
          <v:rect id="_x0000_i1759" style="width:0;height:1.5pt" o:hralign="center" o:hrstd="t" o:hr="t" fillcolor="#a0a0a0" stroked="f"/>
        </w:pict>
      </w:r>
    </w:p>
    <w:p w:rsidR="002A21B9" w:rsidRDefault="002A21B9" w:rsidP="002A21B9">
      <w:pPr>
        <w:pStyle w:val="berschrift1"/>
      </w:pPr>
      <w:r>
        <w:t>3.3.42.25 Direkter und indirekter Widerspruch</w:t>
      </w:r>
    </w:p>
    <w:p w:rsidR="002A21B9" w:rsidRDefault="002A21B9" w:rsidP="002A21B9">
      <w:pPr>
        <w:pStyle w:val="StandardWeb"/>
      </w:pPr>
      <w:r>
        <w:t>Nicht alle wissenschaftlichen Widersprüche besitzen dieselbe Struktur.</w:t>
      </w:r>
    </w:p>
    <w:p w:rsidR="002A21B9" w:rsidRDefault="002A21B9" w:rsidP="002A21B9">
      <w:pPr>
        <w:pStyle w:val="StandardWeb"/>
      </w:pPr>
      <w:r>
        <w:t>Ich unterscheide zunächst direkte und indirekte Widersprüche.</w:t>
      </w:r>
    </w:p>
    <w:p w:rsidR="002A21B9" w:rsidRDefault="002A21B9" w:rsidP="002A21B9">
      <w:pPr>
        <w:pStyle w:val="berschrift3"/>
      </w:pPr>
      <w:r>
        <w:t>Definition 3.3.44 (Direkter funktionaler Widerspruch)</w:t>
      </w:r>
    </w:p>
    <w:p w:rsidR="002A21B9" w:rsidRDefault="002A21B9" w:rsidP="002A21B9">
      <w:pPr>
        <w:pStyle w:val="StandardWeb"/>
      </w:pPr>
      <w:r>
        <w:t>Ein direkter funktionaler Widerspruch liegt vor, wenn zwei Aussagen unter denselben funktionalen Voraussetzungen unmittelbar inkompatible Aussagen über dieselbe Zielgröße erzeugen.</w:t>
      </w:r>
    </w:p>
    <w:p w:rsidR="002A21B9" w:rsidRDefault="002A21B9" w:rsidP="002A21B9">
      <w:pPr>
        <w:pStyle w:val="StandardWeb"/>
      </w:pPr>
      <w:r>
        <w:t>Formal:</w:t>
      </w:r>
    </w:p>
    <w:p w:rsidR="002A21B9" w:rsidRDefault="002A21B9" w:rsidP="002A21B9">
      <w:pPr>
        <w:pStyle w:val="StandardWeb"/>
      </w:pPr>
      <w:r>
        <w:t>[</w:t>
      </w:r>
      <w:r>
        <w:br/>
        <w:t>A_i(z)=a</w:t>
      </w:r>
      <w:r>
        <w:br/>
        <w:t>\tag{3.7694}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A_i(z)=a\qquad\text{(3.7694)}</w:t>
      </w:r>
    </w:p>
    <w:p w:rsidR="002A21B9" w:rsidRDefault="002A21B9" w:rsidP="002A21B9">
      <w:pPr>
        <w:pStyle w:val="StandardWeb"/>
      </w:pPr>
      <w:r>
        <w:t>und</w:t>
      </w:r>
    </w:p>
    <w:p w:rsidR="002A21B9" w:rsidRDefault="002A21B9" w:rsidP="002A21B9">
      <w:pPr>
        <w:pStyle w:val="StandardWeb"/>
      </w:pPr>
      <w:r>
        <w:t>[</w:t>
      </w:r>
      <w:r>
        <w:br/>
        <w:t>A_j(z)=b</w:t>
      </w:r>
      <w:r>
        <w:br/>
        <w:t>\tag{3.7695}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A_j(z)=b\qquad\text{(3.7695)}</w:t>
      </w:r>
    </w:p>
    <w:p w:rsidR="002A21B9" w:rsidRDefault="002A21B9" w:rsidP="002A21B9">
      <w:pPr>
        <w:pStyle w:val="StandardWeb"/>
      </w:pPr>
      <w:r>
        <w:lastRenderedPageBreak/>
        <w:t>mit</w:t>
      </w:r>
    </w:p>
    <w:p w:rsidR="002A21B9" w:rsidRDefault="002A21B9" w:rsidP="002A21B9">
      <w:pPr>
        <w:pStyle w:val="StandardWeb"/>
      </w:pPr>
      <w:r>
        <w:t>[</w:t>
      </w:r>
      <w:r>
        <w:br/>
        <w:t>a</w:t>
      </w:r>
      <w:r>
        <w:br/>
        <w:t>\perp</w:t>
      </w:r>
      <w:r>
        <w:br/>
        <w:t>b.</w:t>
      </w:r>
      <w:r>
        <w:br/>
        <w:t>\tag{3.7696}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a\perp b\qquad\text{(3.7696)}</w:t>
      </w:r>
    </w:p>
    <w:p w:rsidR="002A21B9" w:rsidRDefault="002A21B9" w:rsidP="002A21B9">
      <w:pPr>
        <w:pStyle w:val="StandardWeb"/>
      </w:pPr>
      <w:r>
        <w:t>Dann gilt</w:t>
      </w:r>
    </w:p>
    <w:p w:rsidR="002A21B9" w:rsidRDefault="002A21B9" w:rsidP="002A21B9">
      <w:pPr>
        <w:pStyle w:val="StandardWeb"/>
      </w:pPr>
      <w:r>
        <w:t>[</w:t>
      </w:r>
      <w:r>
        <w:br/>
        <w:t>\mathfrak K(A_i,A_j;z)=0.</w:t>
      </w:r>
      <w:r>
        <w:br/>
        <w:t>\tag{3.7697}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K(A_i,A_j;z)=0\qquad\text{(3.7697)}</w:t>
      </w:r>
    </w:p>
    <w:p w:rsidR="002A21B9" w:rsidRDefault="00E50336" w:rsidP="002A21B9">
      <w:r>
        <w:pict>
          <v:rect id="_x0000_i1760" style="width:0;height:1.5pt" o:hralign="center" o:hrstd="t" o:hr="t" fillcolor="#a0a0a0" stroked="f"/>
        </w:pict>
      </w:r>
    </w:p>
    <w:p w:rsidR="002A21B9" w:rsidRDefault="002A21B9" w:rsidP="002A21B9">
      <w:pPr>
        <w:pStyle w:val="berschrift2"/>
      </w:pPr>
      <w:r>
        <w:t>3.3.42.26 Vorzeichenwiderspruch</w:t>
      </w:r>
    </w:p>
    <w:p w:rsidR="002A21B9" w:rsidRDefault="002A21B9" w:rsidP="002A21B9">
      <w:pPr>
        <w:pStyle w:val="StandardWeb"/>
      </w:pPr>
      <w:r>
        <w:t>Ein besonders einfacher direkter Widerspruch liegt vor, wenn eine Aussage einen positiven und eine andere unter denselben Bedingungen einen negativen Effekt behauptet.</w:t>
      </w:r>
    </w:p>
    <w:p w:rsidR="002A21B9" w:rsidRDefault="002A21B9" w:rsidP="002A21B9">
      <w:pPr>
        <w:pStyle w:val="StandardWeb"/>
      </w:pPr>
      <w:r>
        <w:t>[</w:t>
      </w:r>
      <w:r>
        <w:br/>
        <w:t>A_i:</w:t>
      </w:r>
      <w:r>
        <w:br/>
        <w:t>\Delta Y&gt;0</w:t>
      </w:r>
      <w:r>
        <w:br/>
        <w:t>\tag{3.7698}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A_i:\Delta Y&gt;0\qquad\text{(3.7698)}</w:t>
      </w:r>
    </w:p>
    <w:p w:rsidR="002A21B9" w:rsidRDefault="002A21B9" w:rsidP="002A21B9">
      <w:pPr>
        <w:pStyle w:val="StandardWeb"/>
      </w:pPr>
      <w:r>
        <w:t>und</w:t>
      </w:r>
    </w:p>
    <w:p w:rsidR="002A21B9" w:rsidRDefault="002A21B9" w:rsidP="002A21B9">
      <w:pPr>
        <w:pStyle w:val="StandardWeb"/>
      </w:pPr>
      <w:r>
        <w:t>[</w:t>
      </w:r>
      <w:r>
        <w:br/>
        <w:t>A_j:</w:t>
      </w:r>
      <w:r>
        <w:br/>
        <w:t>\Delta Y&lt;0.</w:t>
      </w:r>
      <w:r>
        <w:br/>
        <w:t>\tag{3.7699}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A_j:\Delta Y&lt;0\qquad\text{(3.7699)}</w:t>
      </w:r>
    </w:p>
    <w:p w:rsidR="002A21B9" w:rsidRDefault="002A21B9" w:rsidP="002A21B9">
      <w:pPr>
        <w:pStyle w:val="StandardWeb"/>
      </w:pPr>
      <w:r>
        <w:lastRenderedPageBreak/>
        <w:t>Dann gilt</w:t>
      </w:r>
    </w:p>
    <w:p w:rsidR="002A21B9" w:rsidRDefault="002A21B9" w:rsidP="002A21B9">
      <w:pPr>
        <w:pStyle w:val="StandardWeb"/>
      </w:pPr>
      <w:r>
        <w:t>[</w:t>
      </w:r>
      <w:r>
        <w:br/>
        <w:t>A_i</w:t>
      </w:r>
      <w:r>
        <w:br/>
        <w:t>\perp</w:t>
      </w:r>
      <w:r>
        <w:br/>
        <w:t>A_j.</w:t>
      </w:r>
      <w:r>
        <w:br/>
        <w:t>\tag{3.7700}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A_i\perp A_j\qquad\text{(3.7700)}</w:t>
      </w:r>
    </w:p>
    <w:p w:rsidR="002A21B9" w:rsidRDefault="00E50336" w:rsidP="002A21B9">
      <w:r>
        <w:pict>
          <v:rect id="_x0000_i1761" style="width:0;height:1.5pt" o:hralign="center" o:hrstd="t" o:hr="t" fillcolor="#a0a0a0" stroked="f"/>
        </w:pict>
      </w:r>
    </w:p>
    <w:p w:rsidR="002A21B9" w:rsidRDefault="002A21B9" w:rsidP="002A21B9">
      <w:pPr>
        <w:pStyle w:val="berschrift1"/>
      </w:pPr>
      <w:r>
        <w:t>3.3.42.27 Schwellenwiderspruch</w:t>
      </w:r>
    </w:p>
    <w:p w:rsidR="002A21B9" w:rsidRDefault="002A21B9" w:rsidP="002A21B9">
      <w:pPr>
        <w:pStyle w:val="StandardWeb"/>
      </w:pPr>
      <w:r>
        <w:t>Auch Schwellenangaben können inkompatibel sein.</w:t>
      </w:r>
    </w:p>
    <w:p w:rsidR="002A21B9" w:rsidRDefault="002A21B9" w:rsidP="002A21B9">
      <w:pPr>
        <w:pStyle w:val="StandardWeb"/>
      </w:pPr>
      <w:r>
        <w:t>Sei</w:t>
      </w:r>
    </w:p>
    <w:p w:rsidR="002A21B9" w:rsidRDefault="002A21B9" w:rsidP="002A21B9">
      <w:pPr>
        <w:pStyle w:val="StandardWeb"/>
      </w:pPr>
      <w:r>
        <w:t>[</w:t>
      </w:r>
      <w:r>
        <w:br/>
        <w:t>A_i:</w:t>
      </w:r>
      <w:r>
        <w:br/>
        <w:t>x&gt;x_{\mathrm{krit}}</w:t>
      </w:r>
      <w:r>
        <w:br/>
        <w:t>\Rightarrow</w:t>
      </w:r>
      <w:r>
        <w:br/>
        <w:t>L=1</w:t>
      </w:r>
      <w:r>
        <w:br/>
        <w:t>\tag{3.7701}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A_i:x&gt;x_{\mathrm{krit}}\Rightarrow L=1\qquad\text{(3.7701)}</w:t>
      </w:r>
    </w:p>
    <w:p w:rsidR="002A21B9" w:rsidRDefault="002A21B9" w:rsidP="002A21B9">
      <w:pPr>
        <w:pStyle w:val="StandardWeb"/>
      </w:pPr>
      <w:r>
        <w:t>und zugleich</w:t>
      </w:r>
    </w:p>
    <w:p w:rsidR="002A21B9" w:rsidRDefault="002A21B9" w:rsidP="002A21B9">
      <w:pPr>
        <w:pStyle w:val="StandardWeb"/>
      </w:pPr>
      <w:r>
        <w:t>[</w:t>
      </w:r>
      <w:r>
        <w:br/>
        <w:t>A_j:</w:t>
      </w:r>
      <w:r>
        <w:br/>
        <w:t>x&gt;x_{\mathrm{krit}}</w:t>
      </w:r>
      <w:r>
        <w:br/>
        <w:t>\Rightarrow</w:t>
      </w:r>
      <w:r>
        <w:br/>
        <w:t>L=0.</w:t>
      </w:r>
      <w:r>
        <w:br/>
        <w:t>\tag{3.7702}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A_j:x&gt;x_{\mathrm{krit}}\Rightarrow L=0\qquad\text{(3.7702)}</w:t>
      </w:r>
    </w:p>
    <w:p w:rsidR="002A21B9" w:rsidRDefault="002A21B9" w:rsidP="002A21B9">
      <w:pPr>
        <w:pStyle w:val="StandardWeb"/>
      </w:pPr>
      <w:r>
        <w:t>bei identischem (x_{\mathrm{krit}}), identischer Zielgröße und identischem Kontext.</w:t>
      </w:r>
    </w:p>
    <w:p w:rsidR="002A21B9" w:rsidRDefault="002A21B9" w:rsidP="002A21B9">
      <w:pPr>
        <w:pStyle w:val="StandardWeb"/>
      </w:pPr>
      <w:r>
        <w:t>Dann liegt ein unmittelbarer funktionaler Widerspruch vor.</w:t>
      </w:r>
    </w:p>
    <w:p w:rsidR="002A21B9" w:rsidRDefault="00E50336" w:rsidP="002A21B9">
      <w:r>
        <w:pict>
          <v:rect id="_x0000_i1762" style="width:0;height:1.5pt" o:hralign="center" o:hrstd="t" o:hr="t" fillcolor="#a0a0a0" stroked="f"/>
        </w:pict>
      </w:r>
    </w:p>
    <w:p w:rsidR="002A21B9" w:rsidRDefault="002A21B9" w:rsidP="002A21B9">
      <w:pPr>
        <w:pStyle w:val="berschrift1"/>
      </w:pPr>
      <w:r>
        <w:lastRenderedPageBreak/>
        <w:t>3.3.42.28 Definitionswiderspruch</w:t>
      </w:r>
    </w:p>
    <w:p w:rsidR="002A21B9" w:rsidRDefault="002A21B9" w:rsidP="002A21B9">
      <w:pPr>
        <w:pStyle w:val="StandardWeb"/>
      </w:pPr>
      <w:r>
        <w:t>Ein anderer Konflikttyp entsteht bereits auf der Begriffsebene.</w:t>
      </w:r>
    </w:p>
    <w:p w:rsidR="002A21B9" w:rsidRDefault="002A21B9" w:rsidP="002A21B9">
      <w:pPr>
        <w:pStyle w:val="StandardWeb"/>
      </w:pPr>
      <w:r>
        <w:t>Seien zwei Definitionen</w:t>
      </w:r>
    </w:p>
    <w:p w:rsidR="002A21B9" w:rsidRDefault="002A21B9" w:rsidP="002A21B9">
      <w:pPr>
        <w:pStyle w:val="StandardWeb"/>
      </w:pPr>
      <w:r>
        <w:t>[</w:t>
      </w:r>
      <w:r>
        <w:br/>
        <w:t>D_i(X)=\mathcal P_i</w:t>
      </w:r>
      <w:r>
        <w:br/>
        <w:t>\tag{3.7703}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D_i(X)=\mathcal P_i\qquad\text{(3.7703)}</w:t>
      </w:r>
    </w:p>
    <w:p w:rsidR="002A21B9" w:rsidRDefault="002A21B9" w:rsidP="002A21B9">
      <w:pPr>
        <w:pStyle w:val="StandardWeb"/>
      </w:pPr>
      <w:r>
        <w:t>und</w:t>
      </w:r>
    </w:p>
    <w:p w:rsidR="002A21B9" w:rsidRDefault="002A21B9" w:rsidP="002A21B9">
      <w:pPr>
        <w:pStyle w:val="StandardWeb"/>
      </w:pPr>
      <w:r>
        <w:t>[</w:t>
      </w:r>
      <w:r>
        <w:br/>
        <w:t>D_j(X)=\mathcal P_j.</w:t>
      </w:r>
      <w:r>
        <w:br/>
        <w:t>\tag{3.7704}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D_j(X)=\mathcal P_j\qquad\text{(3.7704)}</w:t>
      </w:r>
    </w:p>
    <w:p w:rsidR="002A21B9" w:rsidRDefault="002A21B9" w:rsidP="002A21B9">
      <w:pPr>
        <w:pStyle w:val="StandardWeb"/>
      </w:pPr>
      <w:r>
        <w:t>Sind</w:t>
      </w:r>
    </w:p>
    <w:p w:rsidR="002A21B9" w:rsidRDefault="002A21B9" w:rsidP="002A21B9">
      <w:pPr>
        <w:pStyle w:val="berschrift1"/>
      </w:pPr>
      <w:r>
        <w:t>[</w:t>
      </w:r>
      <w:r>
        <w:br/>
        <w:t>\mathcal P_i</w:t>
      </w:r>
      <w:r>
        <w:br/>
        <w:t>\cap</w:t>
      </w:r>
      <w:r>
        <w:br/>
        <w:t>\mathcal P_j</w:t>
      </w:r>
    </w:p>
    <w:p w:rsidR="002A21B9" w:rsidRDefault="002A21B9" w:rsidP="002A21B9">
      <w:pPr>
        <w:pStyle w:val="StandardWeb"/>
      </w:pPr>
      <w:r>
        <w:t>\varnothing</w:t>
      </w:r>
      <w:r>
        <w:br/>
        <w:t>\tag{3.7705}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P_i\cap\mathcal P_j=\varnothing\qquad\text{(3.7705)}</w:t>
      </w:r>
    </w:p>
    <w:p w:rsidR="002A21B9" w:rsidRDefault="002A21B9" w:rsidP="002A21B9">
      <w:pPr>
        <w:pStyle w:val="StandardWeb"/>
      </w:pPr>
      <w:r>
        <w:t>und beanspruchen beide Definitionen denselben Begriff im selben Kontext, liegt ein Definitionskonflikt vor.</w:t>
      </w:r>
    </w:p>
    <w:p w:rsidR="002A21B9" w:rsidRDefault="002A21B9" w:rsidP="002A21B9">
      <w:pPr>
        <w:pStyle w:val="StandardWeb"/>
      </w:pPr>
      <w:r>
        <w:t>Ich bezeichne ihn mit</w:t>
      </w:r>
    </w:p>
    <w:p w:rsidR="002A21B9" w:rsidRDefault="002A21B9" w:rsidP="002A21B9">
      <w:pPr>
        <w:pStyle w:val="StandardWeb"/>
      </w:pPr>
      <w:r>
        <w:t>[</w:t>
      </w:r>
      <w:r>
        <w:br/>
        <w:t>W_D(X)=1.</w:t>
      </w:r>
      <w:r>
        <w:br/>
      </w:r>
      <w:r>
        <w:lastRenderedPageBreak/>
        <w:t>\tag{3.7706}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W_D(X)=1\qquad\text{(3.7706)}</w:t>
      </w:r>
    </w:p>
    <w:p w:rsidR="002A21B9" w:rsidRDefault="00E50336" w:rsidP="002A21B9">
      <w:r>
        <w:pict>
          <v:rect id="_x0000_i1763" style="width:0;height:1.5pt" o:hralign="center" o:hrstd="t" o:hr="t" fillcolor="#a0a0a0" stroked="f"/>
        </w:pict>
      </w:r>
    </w:p>
    <w:p w:rsidR="002A21B9" w:rsidRDefault="002A21B9" w:rsidP="002A21B9">
      <w:pPr>
        <w:pStyle w:val="berschrift1"/>
      </w:pPr>
      <w:r>
        <w:t>3.3.42.29 Gleichungswiderspruch</w:t>
      </w:r>
    </w:p>
    <w:p w:rsidR="002A21B9" w:rsidRDefault="002A21B9" w:rsidP="002A21B9">
      <w:pPr>
        <w:pStyle w:val="StandardWeb"/>
      </w:pPr>
      <w:r>
        <w:t>Ebenso können zwei Gleichungen unter denselben Voraussetzungen unterschiedliche Werte für dieselbe Größe erzwingen.</w:t>
      </w:r>
    </w:p>
    <w:p w:rsidR="002A21B9" w:rsidRDefault="002A21B9" w:rsidP="002A21B9">
      <w:pPr>
        <w:pStyle w:val="StandardWeb"/>
      </w:pPr>
      <w:r>
        <w:t>Seien</w:t>
      </w:r>
    </w:p>
    <w:p w:rsidR="002A21B9" w:rsidRDefault="002A21B9" w:rsidP="002A21B9">
      <w:pPr>
        <w:pStyle w:val="StandardWeb"/>
      </w:pPr>
      <w:r>
        <w:t>[</w:t>
      </w:r>
      <w:r>
        <w:br/>
        <w:t>E_i:</w:t>
      </w:r>
      <w:r>
        <w:br/>
        <w:t>Y=f_i(X)</w:t>
      </w:r>
      <w:r>
        <w:br/>
        <w:t>\tag{3.7707}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E_i:Y=f_i(X)\qquad\text{(3.7707)}</w:t>
      </w:r>
    </w:p>
    <w:p w:rsidR="002A21B9" w:rsidRDefault="002A21B9" w:rsidP="002A21B9">
      <w:pPr>
        <w:pStyle w:val="StandardWeb"/>
      </w:pPr>
      <w:r>
        <w:t>und</w:t>
      </w:r>
    </w:p>
    <w:p w:rsidR="002A21B9" w:rsidRDefault="002A21B9" w:rsidP="002A21B9">
      <w:pPr>
        <w:pStyle w:val="StandardWeb"/>
      </w:pPr>
      <w:r>
        <w:t>[</w:t>
      </w:r>
      <w:r>
        <w:br/>
        <w:t>E_j:</w:t>
      </w:r>
      <w:r>
        <w:br/>
        <w:t>Y=f_j(X).</w:t>
      </w:r>
      <w:r>
        <w:br/>
        <w:t>\tag{3.7708}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E_j:Y=f_j(X)\qquad\text{(3.7708)}</w:t>
      </w:r>
    </w:p>
    <w:p w:rsidR="002A21B9" w:rsidRDefault="002A21B9" w:rsidP="002A21B9">
      <w:pPr>
        <w:pStyle w:val="StandardWeb"/>
      </w:pPr>
      <w:r>
        <w:t>Ein Gleichungswiderspruch liegt vor, wenn</w:t>
      </w:r>
    </w:p>
    <w:p w:rsidR="002A21B9" w:rsidRDefault="002A21B9" w:rsidP="002A21B9">
      <w:pPr>
        <w:pStyle w:val="StandardWeb"/>
      </w:pPr>
      <w:r>
        <w:t>[</w:t>
      </w:r>
      <w:r>
        <w:br/>
        <w:t>\exists X\in\Omega_{ij}:</w:t>
      </w:r>
      <w:r>
        <w:br/>
        <w:t>f_i(X)\neq f_j(X)</w:t>
      </w:r>
      <w:r>
        <w:br/>
        <w:t>\tag{3.7709}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\exists X\in\Omega_{ij}:f_i(X)\neq f_j(X)\qquad\text{(3.7709)}</w:t>
      </w:r>
    </w:p>
    <w:p w:rsidR="002A21B9" w:rsidRDefault="002A21B9" w:rsidP="002A21B9">
      <w:pPr>
        <w:pStyle w:val="StandardWeb"/>
      </w:pPr>
      <w:r>
        <w:t>und beide Gleichungen gleichzeitig denselben exakten Wert beanspruchen.</w:t>
      </w:r>
    </w:p>
    <w:p w:rsidR="002A21B9" w:rsidRDefault="002A21B9" w:rsidP="002A21B9">
      <w:pPr>
        <w:pStyle w:val="StandardWeb"/>
      </w:pPr>
      <w:r>
        <w:lastRenderedPageBreak/>
        <w:t>Ich schreibe</w:t>
      </w:r>
    </w:p>
    <w:p w:rsidR="002A21B9" w:rsidRDefault="002A21B9" w:rsidP="002A21B9">
      <w:pPr>
        <w:pStyle w:val="StandardWeb"/>
      </w:pPr>
      <w:r>
        <w:t>[</w:t>
      </w:r>
      <w:r>
        <w:br/>
        <w:t>W_E(E_i,E_j)=1.</w:t>
      </w:r>
      <w:r>
        <w:br/>
        <w:t>\tag{3.7710}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W_E(E_i,E_j)=1\qquad\text{(3.7710)}</w:t>
      </w:r>
    </w:p>
    <w:p w:rsidR="002A21B9" w:rsidRDefault="002A21B9" w:rsidP="002A21B9">
      <w:pPr>
        <w:pStyle w:val="StandardWeb"/>
      </w:pPr>
      <w:r>
        <w:t>Diese Definition muss von unterschiedlichen Approximationen unterschieden werden. Zwei Näherungsformeln können unterschiedliche Zahlen liefern, ohne widersprüchlich zu sein, sofern ihre jeweiligen Fehlerbereiche oder Gültigkeitsregime explizit verschieden sind.</w:t>
      </w:r>
    </w:p>
    <w:p w:rsidR="002A21B9" w:rsidRDefault="00E50336" w:rsidP="002A21B9">
      <w:r>
        <w:pict>
          <v:rect id="_x0000_i1764" style="width:0;height:1.5pt" o:hralign="center" o:hrstd="t" o:hr="t" fillcolor="#a0a0a0" stroked="f"/>
        </w:pict>
      </w:r>
    </w:p>
    <w:p w:rsidR="002A21B9" w:rsidRDefault="002A21B9" w:rsidP="002A21B9">
      <w:pPr>
        <w:pStyle w:val="berschrift1"/>
      </w:pPr>
      <w:r>
        <w:t>3.3.42.30 Näherungskonsistenz</w:t>
      </w:r>
    </w:p>
    <w:p w:rsidR="002A21B9" w:rsidRDefault="002A21B9" w:rsidP="002A21B9">
      <w:pPr>
        <w:pStyle w:val="StandardWeb"/>
      </w:pPr>
      <w:r>
        <w:t>Für zwei Näherungen</w:t>
      </w:r>
    </w:p>
    <w:p w:rsidR="002A21B9" w:rsidRDefault="002A21B9" w:rsidP="002A21B9">
      <w:pPr>
        <w:pStyle w:val="StandardWeb"/>
      </w:pPr>
      <w:r>
        <w:t>[</w:t>
      </w:r>
      <w:r>
        <w:br/>
        <w:t>\widehat Y_i</w:t>
      </w:r>
      <w:r>
        <w:br/>
        <w:t>\pm</w:t>
      </w:r>
      <w:r>
        <w:br/>
        <w:t>u_i</w:t>
      </w:r>
      <w:r>
        <w:br/>
        <w:t>\tag{3.7711}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\widehat Y_i\pm u_i\qquad\text{(3.7711)}</w:t>
      </w:r>
    </w:p>
    <w:p w:rsidR="002A21B9" w:rsidRDefault="002A21B9" w:rsidP="002A21B9">
      <w:pPr>
        <w:pStyle w:val="StandardWeb"/>
      </w:pPr>
      <w:r>
        <w:t>und</w:t>
      </w:r>
    </w:p>
    <w:p w:rsidR="002A21B9" w:rsidRDefault="002A21B9" w:rsidP="002A21B9">
      <w:pPr>
        <w:pStyle w:val="StandardWeb"/>
      </w:pPr>
      <w:r>
        <w:t>[</w:t>
      </w:r>
      <w:r>
        <w:br/>
        <w:t>\widehat Y_j</w:t>
      </w:r>
      <w:r>
        <w:br/>
        <w:t>\pm</w:t>
      </w:r>
      <w:r>
        <w:br/>
        <w:t>u_j</w:t>
      </w:r>
      <w:r>
        <w:br/>
        <w:t>\tag{3.7712}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\widehat Y_j\pm u_j\qquad\text{(3.7712)}</w:t>
      </w:r>
    </w:p>
    <w:p w:rsidR="002A21B9" w:rsidRDefault="002A21B9" w:rsidP="002A21B9">
      <w:pPr>
        <w:pStyle w:val="StandardWeb"/>
      </w:pPr>
      <w:r>
        <w:t>muss nicht</w:t>
      </w:r>
    </w:p>
    <w:p w:rsidR="002A21B9" w:rsidRDefault="002A21B9" w:rsidP="002A21B9">
      <w:pPr>
        <w:pStyle w:val="berschrift1"/>
      </w:pPr>
      <w:r>
        <w:t>[</w:t>
      </w:r>
      <w:r>
        <w:br/>
        <w:t>\widehat Y_i</w:t>
      </w:r>
    </w:p>
    <w:p w:rsidR="002A21B9" w:rsidRDefault="002A21B9" w:rsidP="002A21B9">
      <w:pPr>
        <w:pStyle w:val="StandardWeb"/>
      </w:pPr>
      <w:r>
        <w:lastRenderedPageBreak/>
        <w:t>\widehat Y_j</w:t>
      </w:r>
      <w:r>
        <w:br/>
        <w:t>]</w:t>
      </w:r>
    </w:p>
    <w:p w:rsidR="002A21B9" w:rsidRDefault="002A21B9" w:rsidP="002A21B9">
      <w:pPr>
        <w:pStyle w:val="StandardWeb"/>
      </w:pPr>
      <w:r>
        <w:t>gelten.</w:t>
      </w:r>
    </w:p>
    <w:p w:rsidR="002A21B9" w:rsidRDefault="002A21B9" w:rsidP="002A21B9">
      <w:pPr>
        <w:pStyle w:val="StandardWeb"/>
      </w:pPr>
      <w:r>
        <w:t>Eine einfache Konsistenzbedingung kann vielmehr lauten</w:t>
      </w:r>
    </w:p>
    <w:p w:rsidR="002A21B9" w:rsidRDefault="002A21B9" w:rsidP="002A21B9">
      <w:pPr>
        <w:pStyle w:val="berschrift2"/>
      </w:pPr>
      <w:r>
        <w:t>[</w:t>
      </w:r>
      <w:r>
        <w:br/>
        <w:t>\left|</w:t>
      </w:r>
      <w:r>
        <w:br/>
        <w:t>\widehat Y_i</w:t>
      </w:r>
    </w:p>
    <w:p w:rsidR="002A21B9" w:rsidRDefault="002A21B9" w:rsidP="002A21B9">
      <w:pPr>
        <w:pStyle w:val="StandardWeb"/>
      </w:pPr>
      <w:r>
        <w:t>\widehat Y_j</w:t>
      </w:r>
      <w:r>
        <w:br/>
        <w:t>\right|</w:t>
      </w:r>
      <w:r>
        <w:br/>
        <w:t>\leq</w:t>
      </w:r>
      <w:r>
        <w:br/>
        <w:t>u_i+u_j.</w:t>
      </w:r>
      <w:r>
        <w:br/>
        <w:t>\tag{3.7713}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\left|\widehat Y_i-\widehat Y_j\right|\leq u_i+u_j\qquad\text{(3.7713)}</w:t>
      </w:r>
    </w:p>
    <w:p w:rsidR="002A21B9" w:rsidRDefault="002A21B9" w:rsidP="002A21B9">
      <w:pPr>
        <w:pStyle w:val="StandardWeb"/>
      </w:pPr>
      <w:r>
        <w:t>Dann überlappen die Unsicherheitsbereiche.</w:t>
      </w:r>
    </w:p>
    <w:p w:rsidR="002A21B9" w:rsidRDefault="002A21B9" w:rsidP="002A21B9">
      <w:pPr>
        <w:pStyle w:val="StandardWeb"/>
      </w:pPr>
      <w:r>
        <w:t xml:space="preserve">Ich bezeichne diese Form als </w:t>
      </w:r>
      <w:r>
        <w:rPr>
          <w:rStyle w:val="Fett"/>
        </w:rPr>
        <w:t>Näherungskonsistenz</w:t>
      </w:r>
      <w:r>
        <w:t>.</w:t>
      </w:r>
    </w:p>
    <w:p w:rsidR="002A21B9" w:rsidRDefault="00E50336" w:rsidP="002A21B9">
      <w:r>
        <w:pict>
          <v:rect id="_x0000_i1765" style="width:0;height:1.5pt" o:hralign="center" o:hrstd="t" o:hr="t" fillcolor="#a0a0a0" stroked="f"/>
        </w:pict>
      </w:r>
    </w:p>
    <w:p w:rsidR="002A21B9" w:rsidRDefault="002A21B9" w:rsidP="002A21B9">
      <w:pPr>
        <w:pStyle w:val="berschrift1"/>
      </w:pPr>
      <w:r>
        <w:t>3.3.42.31 Konsistenz trotz unterschiedlicher Zahlenwerte</w:t>
      </w:r>
    </w:p>
    <w:p w:rsidR="002A21B9" w:rsidRDefault="002A21B9" w:rsidP="002A21B9">
      <w:pPr>
        <w:pStyle w:val="StandardWeb"/>
      </w:pPr>
      <w:r>
        <w:t>Damit kann gelten</w:t>
      </w:r>
    </w:p>
    <w:p w:rsidR="002A21B9" w:rsidRDefault="002A21B9" w:rsidP="002A21B9">
      <w:pPr>
        <w:pStyle w:val="StandardWeb"/>
      </w:pPr>
      <w:r>
        <w:t>[</w:t>
      </w:r>
      <w:r>
        <w:br/>
        <w:t>\widehat Y_i</w:t>
      </w:r>
      <w:r>
        <w:br/>
        <w:t>\neq</w:t>
      </w:r>
      <w:r>
        <w:br/>
        <w:t>\widehat Y_j</w:t>
      </w:r>
      <w:r>
        <w:br/>
        <w:t>\tag{3.7714}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\widehat Y_i\neq\widehat Y_j\qquad\text{(3.7714)}</w:t>
      </w:r>
    </w:p>
    <w:p w:rsidR="002A21B9" w:rsidRDefault="002A21B9" w:rsidP="002A21B9">
      <w:pPr>
        <w:pStyle w:val="StandardWeb"/>
      </w:pPr>
      <w:r>
        <w:t>und gleichzeitig</w:t>
      </w:r>
    </w:p>
    <w:p w:rsidR="002A21B9" w:rsidRDefault="002A21B9" w:rsidP="002A21B9">
      <w:pPr>
        <w:pStyle w:val="StandardWeb"/>
      </w:pPr>
      <w:r>
        <w:t>[</w:t>
      </w:r>
      <w:r>
        <w:br/>
        <w:t>K_F(E_i,E_j)=1.</w:t>
      </w:r>
      <w:r>
        <w:br/>
      </w:r>
      <w:r>
        <w:lastRenderedPageBreak/>
        <w:t>\tag{3.7715}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K_F(E_i,E_j)=1\qquad\text{(3.7715)}</w:t>
      </w:r>
    </w:p>
    <w:p w:rsidR="002A21B9" w:rsidRDefault="002A21B9" w:rsidP="002A21B9">
      <w:pPr>
        <w:pStyle w:val="StandardWeb"/>
      </w:pPr>
      <w:r>
        <w:t>Dies zeigt erneut, dass funktionale Konsistenz nicht mit numerischer Identität gleichgesetzt werden darf.</w:t>
      </w:r>
    </w:p>
    <w:p w:rsidR="002A21B9" w:rsidRDefault="00E50336" w:rsidP="002A21B9">
      <w:r>
        <w:pict>
          <v:rect id="_x0000_i1766" style="width:0;height:1.5pt" o:hralign="center" o:hrstd="t" o:hr="t" fillcolor="#a0a0a0" stroked="f"/>
        </w:pict>
      </w:r>
    </w:p>
    <w:p w:rsidR="002A21B9" w:rsidRDefault="002A21B9" w:rsidP="002A21B9">
      <w:pPr>
        <w:pStyle w:val="berschrift1"/>
      </w:pPr>
      <w:r>
        <w:t>3.3.42.32 Indirekter funktionaler Widerspruch</w:t>
      </w:r>
    </w:p>
    <w:p w:rsidR="002A21B9" w:rsidRDefault="002A21B9" w:rsidP="002A21B9">
      <w:pPr>
        <w:pStyle w:val="berschrift3"/>
      </w:pPr>
      <w:r>
        <w:t>Definition 3.3.45 (Indirekter funktionaler Widerspruch)</w:t>
      </w:r>
    </w:p>
    <w:p w:rsidR="002A21B9" w:rsidRDefault="002A21B9" w:rsidP="002A21B9">
      <w:pPr>
        <w:pStyle w:val="StandardWeb"/>
      </w:pPr>
      <w:r>
        <w:t>Ein indirekter funktionaler Widerspruch liegt vor, wenn zwei Aussagen nicht unmittelbar kollidieren, ihre jeweiligen Konsequenzen jedoch zu inkompatiblen Aussagen führen.</w:t>
      </w:r>
    </w:p>
    <w:p w:rsidR="002A21B9" w:rsidRDefault="002A21B9" w:rsidP="002A21B9">
      <w:pPr>
        <w:pStyle w:val="StandardWeb"/>
      </w:pPr>
      <w:r>
        <w:t>Seien</w:t>
      </w:r>
    </w:p>
    <w:p w:rsidR="002A21B9" w:rsidRDefault="002A21B9" w:rsidP="002A21B9">
      <w:pPr>
        <w:pStyle w:val="StandardWeb"/>
      </w:pPr>
      <w:r>
        <w:t>[</w:t>
      </w:r>
      <w:r>
        <w:br/>
        <w:t>A_i</w:t>
      </w:r>
      <w:r>
        <w:br/>
        <w:t>\Rightarrow</w:t>
      </w:r>
      <w:r>
        <w:br/>
        <w:t>B_i</w:t>
      </w:r>
      <w:r>
        <w:br/>
        <w:t>\tag{3.7716}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A_i\Rightarrow B_i\qquad\text{(3.7716)}</w:t>
      </w:r>
    </w:p>
    <w:p w:rsidR="002A21B9" w:rsidRDefault="002A21B9" w:rsidP="002A21B9">
      <w:pPr>
        <w:pStyle w:val="StandardWeb"/>
      </w:pPr>
      <w:r>
        <w:t>und</w:t>
      </w:r>
    </w:p>
    <w:p w:rsidR="002A21B9" w:rsidRDefault="002A21B9" w:rsidP="002A21B9">
      <w:pPr>
        <w:pStyle w:val="StandardWeb"/>
      </w:pPr>
      <w:r>
        <w:t>[</w:t>
      </w:r>
      <w:r>
        <w:br/>
        <w:t>A_j</w:t>
      </w:r>
      <w:r>
        <w:br/>
        <w:t>\Rightarrow</w:t>
      </w:r>
      <w:r>
        <w:br/>
        <w:t>B_j.</w:t>
      </w:r>
      <w:r>
        <w:br/>
        <w:t>\tag{3.7717}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A_j\Rightarrow B_j\qquad\text{(3.7717)}</w:t>
      </w:r>
    </w:p>
    <w:p w:rsidR="002A21B9" w:rsidRDefault="002A21B9" w:rsidP="002A21B9">
      <w:pPr>
        <w:pStyle w:val="StandardWeb"/>
      </w:pPr>
      <w:r>
        <w:t>Falls</w:t>
      </w:r>
    </w:p>
    <w:p w:rsidR="002A21B9" w:rsidRDefault="002A21B9" w:rsidP="002A21B9">
      <w:pPr>
        <w:pStyle w:val="StandardWeb"/>
      </w:pPr>
      <w:r>
        <w:t>[</w:t>
      </w:r>
      <w:r>
        <w:br/>
        <w:t>B_i</w:t>
      </w:r>
      <w:r>
        <w:br/>
        <w:t>\perp</w:t>
      </w:r>
      <w:r>
        <w:br/>
        <w:t>B_j,</w:t>
      </w:r>
      <w:r>
        <w:br/>
      </w:r>
      <w:r>
        <w:lastRenderedPageBreak/>
        <w:t>\tag{3.7718}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B_i\perp B_j\qquad\text{(3.7718)}</w:t>
      </w:r>
    </w:p>
    <w:p w:rsidR="002A21B9" w:rsidRDefault="002A21B9" w:rsidP="002A21B9">
      <w:pPr>
        <w:pStyle w:val="StandardWeb"/>
      </w:pPr>
      <w:r>
        <w:t>liegt zwischen (A_i) und (A_j) ein indirekter Konflikt vor.</w:t>
      </w:r>
    </w:p>
    <w:p w:rsidR="002A21B9" w:rsidRDefault="002A21B9" w:rsidP="002A21B9">
      <w:pPr>
        <w:pStyle w:val="StandardWeb"/>
      </w:pPr>
      <w:r>
        <w:t>Ich schreibe</w:t>
      </w:r>
    </w:p>
    <w:p w:rsidR="002A21B9" w:rsidRDefault="002A21B9" w:rsidP="002A21B9">
      <w:pPr>
        <w:pStyle w:val="berschrift1"/>
      </w:pPr>
      <w:r>
        <w:t>[</w:t>
      </w:r>
      <w:r>
        <w:br/>
        <w:t>W_{\mathrm{ind}}</w:t>
      </w:r>
      <w:r>
        <w:br/>
        <w:t>(A_i,A_j)</w:t>
      </w:r>
    </w:p>
    <w:p w:rsidR="002A21B9" w:rsidRDefault="002A21B9" w:rsidP="008C5E65">
      <w:pPr>
        <w:numPr>
          <w:ilvl w:val="0"/>
          <w:numId w:val="383"/>
        </w:numPr>
        <w:spacing w:before="100" w:beforeAutospacing="1" w:after="100" w:afterAutospacing="1"/>
      </w:pPr>
    </w:p>
    <w:p w:rsidR="002A21B9" w:rsidRDefault="002A21B9" w:rsidP="002A21B9">
      <w:pPr>
        <w:pStyle w:val="StandardWeb"/>
      </w:pPr>
      <w:r>
        <w:t>\tag{3.7719}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W_{\mathrm{ind}}(A_i,A_j)=1\qquad\text{(3.7719)}</w:t>
      </w:r>
    </w:p>
    <w:p w:rsidR="002A21B9" w:rsidRDefault="00E50336" w:rsidP="002A21B9">
      <w:r>
        <w:pict>
          <v:rect id="_x0000_i1767" style="width:0;height:1.5pt" o:hralign="center" o:hrstd="t" o:hr="t" fillcolor="#a0a0a0" stroked="f"/>
        </w:pict>
      </w:r>
    </w:p>
    <w:p w:rsidR="002A21B9" w:rsidRDefault="002A21B9" w:rsidP="002A21B9">
      <w:pPr>
        <w:pStyle w:val="berschrift1"/>
      </w:pPr>
      <w:r>
        <w:t>3.3.42.33 Konfliktpfad</w:t>
      </w:r>
    </w:p>
    <w:p w:rsidR="002A21B9" w:rsidRDefault="002A21B9" w:rsidP="002A21B9">
      <w:pPr>
        <w:pStyle w:val="StandardWeb"/>
      </w:pPr>
      <w:r>
        <w:t>Ein indirekter Widerspruch kann über mehrere Abhängigkeitsschritte entstehen.</w:t>
      </w:r>
    </w:p>
    <w:p w:rsidR="002A21B9" w:rsidRDefault="002A21B9" w:rsidP="002A21B9">
      <w:pPr>
        <w:pStyle w:val="StandardWeb"/>
      </w:pPr>
      <w:r>
        <w:t>Ich definiere einen Konfliktpfad</w:t>
      </w:r>
    </w:p>
    <w:p w:rsidR="002A21B9" w:rsidRDefault="002A21B9" w:rsidP="002A21B9">
      <w:pPr>
        <w:pStyle w:val="berschrift1"/>
      </w:pPr>
      <w:r>
        <w:t>[</w:t>
      </w:r>
      <w:r>
        <w:br/>
        <w:t>P_W</w:t>
      </w:r>
    </w:p>
    <w:p w:rsidR="002A21B9" w:rsidRDefault="002A21B9" w:rsidP="002A21B9">
      <w:pPr>
        <w:pStyle w:val="StandardWeb"/>
      </w:pPr>
      <w:r>
        <w:t>\left(</w:t>
      </w:r>
      <w:r>
        <w:br/>
        <w:t>A_{i_0},</w:t>
      </w:r>
      <w:r>
        <w:br/>
        <w:t>A_{i_1},</w:t>
      </w:r>
      <w:r>
        <w:br/>
        <w:t>\ldots,</w:t>
      </w:r>
      <w:r>
        <w:br/>
        <w:t>A_{i_m}</w:t>
      </w:r>
      <w:r>
        <w:br/>
        <w:t>\right).</w:t>
      </w:r>
      <w:r>
        <w:br/>
        <w:t>\tag{3.7720}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P_W=\left(A_{i_0},A_{i_1},\ldots,A_{i_m}\right)\qquad\text{(3.7720)}</w:t>
      </w:r>
    </w:p>
    <w:p w:rsidR="002A21B9" w:rsidRDefault="002A21B9" w:rsidP="002A21B9">
      <w:pPr>
        <w:pStyle w:val="StandardWeb"/>
      </w:pPr>
      <w:r>
        <w:lastRenderedPageBreak/>
        <w:t>Ein solcher Pfad ist konfliktbehaftet, wenn seine Endaussagen unvereinbar sind:</w:t>
      </w:r>
    </w:p>
    <w:p w:rsidR="002A21B9" w:rsidRDefault="002A21B9" w:rsidP="002A21B9">
      <w:pPr>
        <w:pStyle w:val="StandardWeb"/>
      </w:pPr>
      <w:r>
        <w:t>[</w:t>
      </w:r>
      <w:r>
        <w:br/>
        <w:t>A_{i_0}</w:t>
      </w:r>
      <w:r>
        <w:br/>
        <w:t>\leadsto</w:t>
      </w:r>
      <w:r>
        <w:br/>
        <w:t>A_{i_m}</w:t>
      </w:r>
      <w:r>
        <w:br/>
        <w:t>\tag{3.7721}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A_{i_0}\leadsto A_{i_m}\qquad\text{(3.7721)}</w:t>
      </w:r>
    </w:p>
    <w:p w:rsidR="002A21B9" w:rsidRDefault="002A21B9" w:rsidP="002A21B9">
      <w:pPr>
        <w:pStyle w:val="StandardWeb"/>
      </w:pPr>
      <w:r>
        <w:t>und</w:t>
      </w:r>
    </w:p>
    <w:p w:rsidR="002A21B9" w:rsidRDefault="002A21B9" w:rsidP="002A21B9">
      <w:pPr>
        <w:pStyle w:val="StandardWeb"/>
      </w:pPr>
      <w:r>
        <w:t>[</w:t>
      </w:r>
      <w:r>
        <w:br/>
        <w:t>A_{i_0}</w:t>
      </w:r>
      <w:r>
        <w:br/>
        <w:t>\perp</w:t>
      </w:r>
      <w:r>
        <w:br/>
        <w:t>A_{i_m}.</w:t>
      </w:r>
      <w:r>
        <w:br/>
        <w:t>\tag{3.7722}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A_{i_0}\perp A_{i_m}\qquad\text{(3.7722)}</w:t>
      </w:r>
    </w:p>
    <w:p w:rsidR="002A21B9" w:rsidRDefault="00E50336" w:rsidP="002A21B9">
      <w:r>
        <w:pict>
          <v:rect id="_x0000_i1768" style="width:0;height:1.5pt" o:hralign="center" o:hrstd="t" o:hr="t" fillcolor="#a0a0a0" stroked="f"/>
        </w:pict>
      </w:r>
    </w:p>
    <w:p w:rsidR="002A21B9" w:rsidRDefault="002A21B9" w:rsidP="002A21B9">
      <w:pPr>
        <w:pStyle w:val="berschrift1"/>
      </w:pPr>
      <w:r>
        <w:t>3.3.42.34 Konflikttiefe</w:t>
      </w:r>
    </w:p>
    <w:p w:rsidR="002A21B9" w:rsidRDefault="002A21B9" w:rsidP="002A21B9">
      <w:pPr>
        <w:pStyle w:val="StandardWeb"/>
      </w:pPr>
      <w:r>
        <w:t>Die Anzahl der Abhängigkeitsschritte bezeichne ich mit</w:t>
      </w:r>
    </w:p>
    <w:p w:rsidR="002A21B9" w:rsidRDefault="002A21B9" w:rsidP="002A21B9">
      <w:pPr>
        <w:pStyle w:val="berschrift1"/>
      </w:pPr>
      <w:r>
        <w:t>[</w:t>
      </w:r>
      <w:r>
        <w:br/>
        <w:t>d_W(P_W)</w:t>
      </w:r>
    </w:p>
    <w:p w:rsidR="002A21B9" w:rsidRDefault="002A21B9" w:rsidP="002A21B9">
      <w:pPr>
        <w:pStyle w:val="StandardWeb"/>
      </w:pPr>
      <w:r>
        <w:t>m.</w:t>
      </w:r>
      <w:r>
        <w:br/>
        <w:t>\tag{3.7723}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d_W(P_W)=m\qquad\text{(3.7723)}</w:t>
      </w:r>
    </w:p>
    <w:p w:rsidR="002A21B9" w:rsidRDefault="002A21B9" w:rsidP="002A21B9">
      <w:pPr>
        <w:pStyle w:val="StandardWeb"/>
      </w:pPr>
      <w:r>
        <w:t>Direkte Widersprüche besitzen</w:t>
      </w:r>
    </w:p>
    <w:p w:rsidR="002A21B9" w:rsidRDefault="002A21B9" w:rsidP="002A21B9">
      <w:pPr>
        <w:pStyle w:val="StandardWeb"/>
      </w:pPr>
      <w:r>
        <w:t>[</w:t>
      </w:r>
      <w:r>
        <w:br/>
        <w:t>d_W=1.</w:t>
      </w:r>
      <w:r>
        <w:br/>
        <w:t>\tag{3.7724}</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d_W=1\qquad\text{(3.7724)}</w:t>
      </w:r>
    </w:p>
    <w:p w:rsidR="002A21B9" w:rsidRDefault="002A21B9" w:rsidP="002A21B9">
      <w:pPr>
        <w:pStyle w:val="StandardWeb"/>
      </w:pPr>
      <w:r>
        <w:t>Indirekte Konflikte höherer Ordnung besitzen</w:t>
      </w:r>
    </w:p>
    <w:p w:rsidR="002A21B9" w:rsidRDefault="002A21B9" w:rsidP="002A21B9">
      <w:pPr>
        <w:pStyle w:val="StandardWeb"/>
      </w:pPr>
      <w:r>
        <w:t>[</w:t>
      </w:r>
      <w:r>
        <w:br/>
        <w:t>d_W&gt;1.</w:t>
      </w:r>
      <w:r>
        <w:br/>
        <w:t>\tag{3.7725}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d_W&gt;1\qquad\text{(3.7725)}</w:t>
      </w:r>
    </w:p>
    <w:p w:rsidR="002A21B9" w:rsidRDefault="002A21B9" w:rsidP="002A21B9">
      <w:pPr>
        <w:pStyle w:val="StandardWeb"/>
      </w:pPr>
      <w:r>
        <w:t>Diese Differenzierung wird später für Repository-basierte Abhängigkeitsanalysen wichtig.</w:t>
      </w:r>
    </w:p>
    <w:p w:rsidR="002A21B9" w:rsidRDefault="00E50336" w:rsidP="002A21B9">
      <w:r>
        <w:pict>
          <v:rect id="_x0000_i1769" style="width:0;height:1.5pt" o:hralign="center" o:hrstd="t" o:hr="t" fillcolor="#a0a0a0" stroked="f"/>
        </w:pict>
      </w:r>
    </w:p>
    <w:p w:rsidR="002A21B9" w:rsidRDefault="002A21B9" w:rsidP="002A21B9">
      <w:pPr>
        <w:pStyle w:val="berschrift1"/>
      </w:pPr>
      <w:r>
        <w:t>3.3.42.35 Kontextwiderspruch</w:t>
      </w:r>
    </w:p>
    <w:p w:rsidR="002A21B9" w:rsidRDefault="002A21B9" w:rsidP="002A21B9">
      <w:pPr>
        <w:pStyle w:val="StandardWeb"/>
      </w:pPr>
      <w:r>
        <w:t>Zwei Aussagen können scheinbar widersprüchlich sein, obwohl ihre Kontexte verschieden sind.</w:t>
      </w:r>
    </w:p>
    <w:p w:rsidR="002A21B9" w:rsidRDefault="002A21B9" w:rsidP="002A21B9">
      <w:pPr>
        <w:pStyle w:val="StandardWeb"/>
      </w:pPr>
      <w:r>
        <w:t>Seien</w:t>
      </w:r>
    </w:p>
    <w:p w:rsidR="002A21B9" w:rsidRDefault="002A21B9" w:rsidP="002A21B9">
      <w:pPr>
        <w:pStyle w:val="berschrift1"/>
      </w:pPr>
      <w:r>
        <w:t>[</w:t>
      </w:r>
      <w:r>
        <w:br/>
        <w:t>A_i</w:t>
      </w:r>
    </w:p>
    <w:p w:rsidR="002A21B9" w:rsidRDefault="002A21B9" w:rsidP="002A21B9">
      <w:pPr>
        <w:pStyle w:val="StandardWeb"/>
      </w:pPr>
      <w:r>
        <w:t>A</w:t>
      </w:r>
      <w:r>
        <w:br/>
        <w:t>\left(</w:t>
      </w:r>
      <w:r>
        <w:br/>
        <w:t>\mathcal C_i</w:t>
      </w:r>
      <w:r>
        <w:br/>
        <w:t>\right)</w:t>
      </w:r>
      <w:r>
        <w:br/>
        <w:t>\tag{3.7726}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A_i=A\left(\mathcal C_i\right)\qquad\text{(3.7726)}</w:t>
      </w:r>
    </w:p>
    <w:p w:rsidR="002A21B9" w:rsidRDefault="002A21B9" w:rsidP="002A21B9">
      <w:pPr>
        <w:pStyle w:val="StandardWeb"/>
      </w:pPr>
      <w:r>
        <w:t>und</w:t>
      </w:r>
    </w:p>
    <w:p w:rsidR="002A21B9" w:rsidRDefault="002A21B9" w:rsidP="002A21B9">
      <w:pPr>
        <w:pStyle w:val="berschrift1"/>
      </w:pPr>
      <w:r>
        <w:t>[</w:t>
      </w:r>
      <w:r>
        <w:br/>
        <w:t>A_j</w:t>
      </w:r>
    </w:p>
    <w:p w:rsidR="002A21B9" w:rsidRDefault="002A21B9" w:rsidP="002A21B9">
      <w:pPr>
        <w:pStyle w:val="StandardWeb"/>
      </w:pPr>
      <w:r>
        <w:t>A</w:t>
      </w:r>
      <w:r>
        <w:br/>
        <w:t>\left(</w:t>
      </w:r>
      <w:r>
        <w:br/>
        <w:t>\mathcal C_j</w:t>
      </w:r>
      <w:r>
        <w:br/>
      </w:r>
      <w:r>
        <w:lastRenderedPageBreak/>
        <w:t>\right).</w:t>
      </w:r>
      <w:r>
        <w:br/>
        <w:t>\tag{3.7727}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A_j=A\left(\mathcal C_j\right)\qquad\text{(3.7727)}</w:t>
      </w:r>
    </w:p>
    <w:p w:rsidR="002A21B9" w:rsidRDefault="002A21B9" w:rsidP="002A21B9">
      <w:pPr>
        <w:pStyle w:val="StandardWeb"/>
      </w:pPr>
      <w:r>
        <w:t>Falls</w:t>
      </w:r>
    </w:p>
    <w:p w:rsidR="002A21B9" w:rsidRDefault="002A21B9" w:rsidP="002A21B9">
      <w:pPr>
        <w:pStyle w:val="StandardWeb"/>
      </w:pPr>
      <w:r>
        <w:t>[</w:t>
      </w:r>
      <w:r>
        <w:br/>
        <w:t>\mathcal C_i</w:t>
      </w:r>
      <w:r>
        <w:br/>
        <w:t>\neq</w:t>
      </w:r>
      <w:r>
        <w:br/>
        <w:t>\mathcal C_j,</w:t>
      </w:r>
      <w:r>
        <w:br/>
        <w:t>\tag{3.7728}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C_i\neq\mathcal C_j\qquad\text{(3.7728)}</w:t>
      </w:r>
    </w:p>
    <w:p w:rsidR="002A21B9" w:rsidRDefault="002A21B9" w:rsidP="002A21B9">
      <w:pPr>
        <w:pStyle w:val="StandardWeb"/>
      </w:pPr>
      <w:r>
        <w:t>muss ein unterschiedliches Ergebnis nicht automatisch als Widerspruch gelten.</w:t>
      </w:r>
    </w:p>
    <w:p w:rsidR="002A21B9" w:rsidRDefault="002A21B9" w:rsidP="002A21B9">
      <w:pPr>
        <w:pStyle w:val="StandardWeb"/>
      </w:pPr>
      <w:r>
        <w:t>Ein tatsächlicher Kontextwiderspruch liegt erst vor, wenn beide Aussagen denselben Kontext beanspruchen und dennoch inkompatibel sind.</w:t>
      </w:r>
    </w:p>
    <w:p w:rsidR="002A21B9" w:rsidRDefault="00E50336" w:rsidP="002A21B9">
      <w:r>
        <w:pict>
          <v:rect id="_x0000_i1770" style="width:0;height:1.5pt" o:hralign="center" o:hrstd="t" o:hr="t" fillcolor="#a0a0a0" stroked="f"/>
        </w:pict>
      </w:r>
    </w:p>
    <w:p w:rsidR="002A21B9" w:rsidRDefault="002A21B9" w:rsidP="002A21B9">
      <w:pPr>
        <w:pStyle w:val="berschrift1"/>
      </w:pPr>
      <w:r>
        <w:t>3.3.42.36 Parameterwiderspruch</w:t>
      </w:r>
    </w:p>
    <w:p w:rsidR="002A21B9" w:rsidRDefault="002A21B9" w:rsidP="002A21B9">
      <w:pPr>
        <w:pStyle w:val="StandardWeb"/>
      </w:pPr>
      <w:r>
        <w:t>Analog können zwei Aussagen unterschiedliche Parametrisierungen besitzen.</w:t>
      </w:r>
    </w:p>
    <w:p w:rsidR="002A21B9" w:rsidRDefault="002A21B9" w:rsidP="002A21B9">
      <w:pPr>
        <w:pStyle w:val="berschrift1"/>
      </w:pPr>
      <w:r>
        <w:t>[</w:t>
      </w:r>
      <w:r>
        <w:br/>
        <w:t>A_i</w:t>
      </w:r>
    </w:p>
    <w:p w:rsidR="002A21B9" w:rsidRDefault="002A21B9" w:rsidP="002A21B9">
      <w:pPr>
        <w:pStyle w:val="StandardWeb"/>
      </w:pPr>
      <w:r>
        <w:t>A(\boldsymbol{\theta}_i),</w:t>
      </w:r>
      <w:r>
        <w:br/>
        <w:t>\tag{3.7729}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A_i=A(\boldsymbol{\theta}_i)\qquad\text{(3.7729)}</w:t>
      </w:r>
    </w:p>
    <w:p w:rsidR="002A21B9" w:rsidRDefault="002A21B9" w:rsidP="002A21B9">
      <w:pPr>
        <w:pStyle w:val="berschrift1"/>
      </w:pPr>
      <w:r>
        <w:t>[</w:t>
      </w:r>
      <w:r>
        <w:br/>
        <w:t>A_j</w:t>
      </w:r>
    </w:p>
    <w:p w:rsidR="002A21B9" w:rsidRDefault="002A21B9" w:rsidP="002A21B9">
      <w:pPr>
        <w:pStyle w:val="StandardWeb"/>
      </w:pPr>
      <w:r>
        <w:t>A(\boldsymbol{\theta}_j).</w:t>
      </w:r>
      <w:r>
        <w:br/>
        <w:t>\tag{3.7730}</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A_j=A(\boldsymbol{\theta}_j)\qquad\text{(3.7730)}</w:t>
      </w:r>
    </w:p>
    <w:p w:rsidR="002A21B9" w:rsidRDefault="002A21B9" w:rsidP="002A21B9">
      <w:pPr>
        <w:pStyle w:val="StandardWeb"/>
      </w:pPr>
      <w:r>
        <w:t>Bei</w:t>
      </w:r>
    </w:p>
    <w:p w:rsidR="002A21B9" w:rsidRDefault="002A21B9" w:rsidP="002A21B9">
      <w:pPr>
        <w:pStyle w:val="StandardWeb"/>
      </w:pPr>
      <w:r>
        <w:t>[</w:t>
      </w:r>
      <w:r>
        <w:br/>
        <w:t>\boldsymbol{\theta}_i</w:t>
      </w:r>
      <w:r>
        <w:br/>
        <w:t>\neq</w:t>
      </w:r>
      <w:r>
        <w:br/>
        <w:t>\boldsymbol{\theta}_j</w:t>
      </w:r>
      <w:r>
        <w:br/>
        <w:t>\tag{3.7731}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\boldsymbol{\theta}_i\neq\boldsymbol{\theta}_j\qquad\text{(3.7731)}</w:t>
      </w:r>
    </w:p>
    <w:p w:rsidR="002A21B9" w:rsidRDefault="002A21B9" w:rsidP="002A21B9">
      <w:pPr>
        <w:pStyle w:val="StandardWeb"/>
      </w:pPr>
      <w:r>
        <w:t>ist eine Ergebnisdifferenz zunächst noch kein Widerspruch.</w:t>
      </w:r>
    </w:p>
    <w:p w:rsidR="002A21B9" w:rsidRDefault="002A21B9" w:rsidP="002A21B9">
      <w:pPr>
        <w:pStyle w:val="StandardWeb"/>
      </w:pPr>
      <w:r>
        <w:t>Erst nach der Reduktion auf denselben Parameterzustand darf ein Konsistenzurteil erfolgen.</w:t>
      </w:r>
    </w:p>
    <w:p w:rsidR="002A21B9" w:rsidRDefault="00E50336" w:rsidP="002A21B9">
      <w:r>
        <w:pict>
          <v:rect id="_x0000_i1771" style="width:0;height:1.5pt" o:hralign="center" o:hrstd="t" o:hr="t" fillcolor="#a0a0a0" stroked="f"/>
        </w:pict>
      </w:r>
    </w:p>
    <w:p w:rsidR="002A21B9" w:rsidRDefault="002A21B9" w:rsidP="002A21B9">
      <w:pPr>
        <w:pStyle w:val="berschrift1"/>
      </w:pPr>
      <w:r>
        <w:t>3.3.42.37 Operationalisierungswiderspruch</w:t>
      </w:r>
    </w:p>
    <w:p w:rsidR="002A21B9" w:rsidRDefault="002A21B9" w:rsidP="002A21B9">
      <w:pPr>
        <w:pStyle w:val="StandardWeb"/>
      </w:pPr>
      <w:r>
        <w:t>Seien</w:t>
      </w:r>
    </w:p>
    <w:p w:rsidR="002A21B9" w:rsidRDefault="002A21B9" w:rsidP="002A21B9">
      <w:pPr>
        <w:pStyle w:val="berschrift1"/>
      </w:pPr>
      <w:r>
        <w:t>[</w:t>
      </w:r>
      <w:r>
        <w:br/>
        <w:t>A_i</w:t>
      </w:r>
    </w:p>
    <w:p w:rsidR="002A21B9" w:rsidRDefault="002A21B9" w:rsidP="002A21B9">
      <w:pPr>
        <w:pStyle w:val="StandardWeb"/>
      </w:pPr>
      <w:r>
        <w:t>A(\mathcal O_i)</w:t>
      </w:r>
      <w:r>
        <w:br/>
        <w:t>\tag{3.7732}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A_i=A(\mathcal O_i)\qquad\text{(3.7732)}</w:t>
      </w:r>
    </w:p>
    <w:p w:rsidR="002A21B9" w:rsidRDefault="002A21B9" w:rsidP="002A21B9">
      <w:pPr>
        <w:pStyle w:val="StandardWeb"/>
      </w:pPr>
      <w:r>
        <w:t>und</w:t>
      </w:r>
    </w:p>
    <w:p w:rsidR="002A21B9" w:rsidRDefault="002A21B9" w:rsidP="002A21B9">
      <w:pPr>
        <w:pStyle w:val="berschrift1"/>
      </w:pPr>
      <w:r>
        <w:t>[</w:t>
      </w:r>
      <w:r>
        <w:br/>
        <w:t>A_j</w:t>
      </w:r>
    </w:p>
    <w:p w:rsidR="002A21B9" w:rsidRDefault="002A21B9" w:rsidP="002A21B9">
      <w:pPr>
        <w:pStyle w:val="StandardWeb"/>
      </w:pPr>
      <w:r>
        <w:t>A(\mathcal O_j).</w:t>
      </w:r>
      <w:r>
        <w:br/>
        <w:t>\tag{3.7733}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A_j=A(\mathcal O_j)\qquad\text{(3.7733)}</w:t>
      </w:r>
    </w:p>
    <w:p w:rsidR="002A21B9" w:rsidRDefault="002A21B9" w:rsidP="002A21B9">
      <w:pPr>
        <w:pStyle w:val="StandardWeb"/>
      </w:pPr>
      <w:r>
        <w:t>Bei</w:t>
      </w:r>
    </w:p>
    <w:p w:rsidR="002A21B9" w:rsidRDefault="002A21B9" w:rsidP="002A21B9">
      <w:pPr>
        <w:pStyle w:val="StandardWeb"/>
      </w:pPr>
      <w:r>
        <w:t>[</w:t>
      </w:r>
      <w:r>
        <w:br/>
        <w:t>\mathcal O_i</w:t>
      </w:r>
      <w:r>
        <w:br/>
        <w:t>\neq</w:t>
      </w:r>
      <w:r>
        <w:br/>
        <w:t>\mathcal O_j</w:t>
      </w:r>
      <w:r>
        <w:br/>
        <w:t>\tag{3.7734}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O_i\neq\mathcal O_j\qquad\text{(3.7734)}</w:t>
      </w:r>
    </w:p>
    <w:p w:rsidR="002A21B9" w:rsidRDefault="002A21B9" w:rsidP="002A21B9">
      <w:pPr>
        <w:pStyle w:val="StandardWeb"/>
      </w:pPr>
      <w:r>
        <w:t>können unterschiedliche Ergebnisse aus unterschiedlichen Mess- oder Klassifikationsregeln entstehen.</w:t>
      </w:r>
    </w:p>
    <w:p w:rsidR="002A21B9" w:rsidRDefault="002A21B9" w:rsidP="002A21B9">
      <w:pPr>
        <w:pStyle w:val="StandardWeb"/>
      </w:pPr>
      <w:r>
        <w:t>Ein Operationalisierungswiderspruch liegt deshalb nur dann vor, wenn beide Operationalisierungen als gleichwertige Realisation desselben Konstrukts beansprucht werden, aber systematisch inkompatible Aussageklassen erzeugen.</w:t>
      </w:r>
    </w:p>
    <w:p w:rsidR="002A21B9" w:rsidRDefault="00E50336" w:rsidP="002A21B9">
      <w:r>
        <w:pict>
          <v:rect id="_x0000_i1772" style="width:0;height:1.5pt" o:hralign="center" o:hrstd="t" o:hr="t" fillcolor="#a0a0a0" stroked="f"/>
        </w:pict>
      </w:r>
    </w:p>
    <w:p w:rsidR="002A21B9" w:rsidRDefault="002A21B9" w:rsidP="002A21B9">
      <w:pPr>
        <w:pStyle w:val="berschrift1"/>
      </w:pPr>
      <w:r>
        <w:t>3.3.42.38 Modellwiderspruch</w:t>
      </w:r>
    </w:p>
    <w:p w:rsidR="002A21B9" w:rsidRDefault="002A21B9" w:rsidP="002A21B9">
      <w:pPr>
        <w:pStyle w:val="StandardWeb"/>
      </w:pPr>
      <w:r>
        <w:t>Seien zwei Modellstrukturen</w:t>
      </w:r>
    </w:p>
    <w:p w:rsidR="002A21B9" w:rsidRDefault="002A21B9" w:rsidP="002A21B9">
      <w:pPr>
        <w:pStyle w:val="StandardWeb"/>
      </w:pPr>
      <w:r>
        <w:t>[</w:t>
      </w:r>
      <w:r>
        <w:br/>
        <w:t>\mathcal M_i</w:t>
      </w:r>
      <w:r>
        <w:br/>
        <w:t>\tag{3.7735}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M_i\qquad\text{(3.7735)}</w:t>
      </w:r>
    </w:p>
    <w:p w:rsidR="002A21B9" w:rsidRDefault="002A21B9" w:rsidP="002A21B9">
      <w:pPr>
        <w:pStyle w:val="StandardWeb"/>
      </w:pPr>
      <w:r>
        <w:t>und</w:t>
      </w:r>
    </w:p>
    <w:p w:rsidR="002A21B9" w:rsidRDefault="002A21B9" w:rsidP="002A21B9">
      <w:pPr>
        <w:pStyle w:val="StandardWeb"/>
      </w:pPr>
      <w:r>
        <w:t>[</w:t>
      </w:r>
      <w:r>
        <w:br/>
        <w:t>\mathcal M_j.</w:t>
      </w:r>
      <w:r>
        <w:br/>
        <w:t>\tag{3.7736}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M_j\qquad\text{(3.7736)}</w:t>
      </w:r>
    </w:p>
    <w:p w:rsidR="002A21B9" w:rsidRDefault="002A21B9" w:rsidP="002A21B9">
      <w:pPr>
        <w:pStyle w:val="StandardWeb"/>
      </w:pPr>
      <w:r>
        <w:t>Erzeugen sie unter identischen Daten, Parametern und Kontextbedingungen inkompatible Aussagen,</w:t>
      </w:r>
    </w:p>
    <w:p w:rsidR="002A21B9" w:rsidRDefault="002A21B9" w:rsidP="002A21B9">
      <w:pPr>
        <w:pStyle w:val="StandardWeb"/>
      </w:pPr>
      <w:r>
        <w:lastRenderedPageBreak/>
        <w:t>[</w:t>
      </w:r>
      <w:r>
        <w:br/>
        <w:t>A_F(\mathcal M_i)</w:t>
      </w:r>
      <w:r>
        <w:br/>
        <w:t>\perp</w:t>
      </w:r>
      <w:r>
        <w:br/>
        <w:t>A_F(\mathcal M_j),</w:t>
      </w:r>
      <w:r>
        <w:br/>
        <w:t>\tag{3.7737}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A_F(\mathcal M_i)\perp A_F(\mathcal M_j)\qquad\text{(3.7737)}</w:t>
      </w:r>
    </w:p>
    <w:p w:rsidR="002A21B9" w:rsidRDefault="002A21B9" w:rsidP="002A21B9">
      <w:pPr>
        <w:pStyle w:val="StandardWeb"/>
      </w:pPr>
      <w:r>
        <w:t>liegt ein Modellwiderspruch vor.</w:t>
      </w:r>
    </w:p>
    <w:p w:rsidR="002A21B9" w:rsidRDefault="00E50336" w:rsidP="002A21B9">
      <w:r>
        <w:pict>
          <v:rect id="_x0000_i1773" style="width:0;height:1.5pt" o:hralign="center" o:hrstd="t" o:hr="t" fillcolor="#a0a0a0" stroked="f"/>
        </w:pict>
      </w:r>
    </w:p>
    <w:p w:rsidR="002A21B9" w:rsidRDefault="002A21B9" w:rsidP="002A21B9">
      <w:pPr>
        <w:pStyle w:val="berschrift1"/>
      </w:pPr>
      <w:r>
        <w:t>3.3.42.39 Numerischer Scheinkonflikt</w:t>
      </w:r>
    </w:p>
    <w:p w:rsidR="002A21B9" w:rsidRDefault="002A21B9" w:rsidP="002A21B9">
      <w:pPr>
        <w:pStyle w:val="StandardWeb"/>
      </w:pPr>
      <w:r>
        <w:t>Unterschiedliche numerische Verfahren können verschiedene Näherungen erzeugen.</w:t>
      </w:r>
    </w:p>
    <w:p w:rsidR="002A21B9" w:rsidRDefault="002A21B9" w:rsidP="002A21B9">
      <w:pPr>
        <w:pStyle w:val="StandardWeb"/>
      </w:pPr>
      <w:r>
        <w:t>Seien</w:t>
      </w:r>
    </w:p>
    <w:p w:rsidR="002A21B9" w:rsidRDefault="002A21B9" w:rsidP="002A21B9">
      <w:pPr>
        <w:pStyle w:val="StandardWeb"/>
      </w:pPr>
      <w:r>
        <w:t>[</w:t>
      </w:r>
      <w:r>
        <w:br/>
        <w:t>A_i=A(\mathcal N_i)</w:t>
      </w:r>
      <w:r>
        <w:br/>
        <w:t>\tag{3.7738}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A_i=A(\mathcal N_i)\qquad\text{(3.7738)}</w:t>
      </w:r>
    </w:p>
    <w:p w:rsidR="002A21B9" w:rsidRDefault="002A21B9" w:rsidP="002A21B9">
      <w:pPr>
        <w:pStyle w:val="StandardWeb"/>
      </w:pPr>
      <w:r>
        <w:t>und</w:t>
      </w:r>
    </w:p>
    <w:p w:rsidR="002A21B9" w:rsidRDefault="002A21B9" w:rsidP="002A21B9">
      <w:pPr>
        <w:pStyle w:val="StandardWeb"/>
      </w:pPr>
      <w:r>
        <w:t>[</w:t>
      </w:r>
      <w:r>
        <w:br/>
        <w:t>A_j=A(\mathcal N_j).</w:t>
      </w:r>
      <w:r>
        <w:br/>
        <w:t>\tag{3.7739}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A_j=A(\mathcal N_j)\qquad\text{(3.7739)}</w:t>
      </w:r>
    </w:p>
    <w:p w:rsidR="002A21B9" w:rsidRDefault="002A21B9" w:rsidP="002A21B9">
      <w:pPr>
        <w:pStyle w:val="StandardWeb"/>
      </w:pPr>
      <w:r>
        <w:t>Bevor ein wissenschaftlicher Widerspruch behauptet wird, muss geprüft werden, ob</w:t>
      </w:r>
    </w:p>
    <w:p w:rsidR="002A21B9" w:rsidRDefault="002A21B9" w:rsidP="002A21B9">
      <w:pPr>
        <w:pStyle w:val="berschrift1"/>
      </w:pPr>
      <w:r>
        <w:t>[</w:t>
      </w:r>
      <w:r>
        <w:br/>
        <w:t>\lim_{h\rightarrow0}</w:t>
      </w:r>
      <w:r>
        <w:br/>
        <w:t>A(\mathcal N_i,h)</w:t>
      </w:r>
    </w:p>
    <w:p w:rsidR="002A21B9" w:rsidRDefault="002A21B9" w:rsidP="002A21B9">
      <w:pPr>
        <w:pStyle w:val="StandardWeb"/>
      </w:pPr>
      <w:r>
        <w:t>\lim_{h\rightarrow0}</w:t>
      </w:r>
      <w:r>
        <w:br/>
        <w:t>A(\mathcal N_j,h).</w:t>
      </w:r>
      <w:r>
        <w:br/>
      </w:r>
      <w:r>
        <w:lastRenderedPageBreak/>
        <w:t>\tag{3.7740}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\lim_{h\rightarrow0}A(\mathcal N_i,h)=\lim_{h\rightarrow0}A(\mathcal N_j,h)\qquad\text{(3.7740)}</w:t>
      </w:r>
    </w:p>
    <w:p w:rsidR="002A21B9" w:rsidRDefault="002A21B9" w:rsidP="002A21B9">
      <w:pPr>
        <w:pStyle w:val="StandardWeb"/>
      </w:pPr>
      <w:r>
        <w:t>Falls dies gilt, handelt es sich möglicherweise nur um einen numerischen Scheinkonflikt bei endlicher Diskretisierung.</w:t>
      </w:r>
    </w:p>
    <w:p w:rsidR="002A21B9" w:rsidRDefault="00E50336" w:rsidP="002A21B9">
      <w:r>
        <w:pict>
          <v:rect id="_x0000_i1774" style="width:0;height:1.5pt" o:hralign="center" o:hrstd="t" o:hr="t" fillcolor="#a0a0a0" stroked="f"/>
        </w:pict>
      </w:r>
    </w:p>
    <w:p w:rsidR="002A21B9" w:rsidRDefault="002A21B9" w:rsidP="002A21B9">
      <w:pPr>
        <w:pStyle w:val="berschrift1"/>
      </w:pPr>
      <w:r>
        <w:t>3.3.42.40 Zeitlicher Widerspruch</w:t>
      </w:r>
    </w:p>
    <w:p w:rsidR="002A21B9" w:rsidRDefault="002A21B9" w:rsidP="002A21B9">
      <w:pPr>
        <w:pStyle w:val="StandardWeb"/>
      </w:pPr>
      <w:r>
        <w:t>Zwei Aussagen können sich auf unterschiedliche Zeiten beziehen.</w:t>
      </w:r>
    </w:p>
    <w:p w:rsidR="002A21B9" w:rsidRDefault="002A21B9" w:rsidP="002A21B9">
      <w:pPr>
        <w:pStyle w:val="StandardWeb"/>
      </w:pPr>
      <w:r>
        <w:t>[</w:t>
      </w:r>
      <w:r>
        <w:br/>
        <w:t>A_i=A(t_i),</w:t>
      </w:r>
      <w:r>
        <w:br/>
        <w:t>\tag{3.7741}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A_i=A(t_i)\qquad\text{(3.7741)}</w:t>
      </w:r>
    </w:p>
    <w:p w:rsidR="002A21B9" w:rsidRDefault="002A21B9" w:rsidP="002A21B9">
      <w:pPr>
        <w:pStyle w:val="StandardWeb"/>
      </w:pPr>
      <w:r>
        <w:t>[</w:t>
      </w:r>
      <w:r>
        <w:br/>
        <w:t>A_j=A(t_j).</w:t>
      </w:r>
      <w:r>
        <w:br/>
        <w:t>\tag{3.7742}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A_j=A(t_j)\qquad\text{(3.7742)}</w:t>
      </w:r>
    </w:p>
    <w:p w:rsidR="002A21B9" w:rsidRDefault="002A21B9" w:rsidP="002A21B9">
      <w:pPr>
        <w:pStyle w:val="StandardWeb"/>
      </w:pPr>
      <w:r>
        <w:t>Bei</w:t>
      </w:r>
    </w:p>
    <w:p w:rsidR="002A21B9" w:rsidRDefault="002A21B9" w:rsidP="002A21B9">
      <w:pPr>
        <w:pStyle w:val="StandardWeb"/>
      </w:pPr>
      <w:r>
        <w:t>[</w:t>
      </w:r>
      <w:r>
        <w:br/>
        <w:t>t_i\neq t_j</w:t>
      </w:r>
      <w:r>
        <w:br/>
        <w:t>\tag{3.7743}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t_i\neq t_j\qquad\text{(3.7743)}</w:t>
      </w:r>
    </w:p>
    <w:p w:rsidR="002A21B9" w:rsidRDefault="002A21B9" w:rsidP="002A21B9">
      <w:pPr>
        <w:pStyle w:val="StandardWeb"/>
      </w:pPr>
      <w:r>
        <w:t>ist eine unterschiedliche Aussage nicht notwendig widersprüchlich.</w:t>
      </w:r>
    </w:p>
    <w:p w:rsidR="002A21B9" w:rsidRDefault="002A21B9" w:rsidP="002A21B9">
      <w:pPr>
        <w:pStyle w:val="StandardWeb"/>
      </w:pPr>
      <w:r>
        <w:t>Ein tatsächlicher zeitlicher Konflikt setzt identische oder funktional äquivalente Zeitbedingungen voraus.</w:t>
      </w:r>
    </w:p>
    <w:p w:rsidR="002A21B9" w:rsidRDefault="00E50336" w:rsidP="002A21B9">
      <w:r>
        <w:pict>
          <v:rect id="_x0000_i1775" style="width:0;height:1.5pt" o:hralign="center" o:hrstd="t" o:hr="t" fillcolor="#a0a0a0" stroked="f"/>
        </w:pict>
      </w:r>
    </w:p>
    <w:p w:rsidR="002A21B9" w:rsidRDefault="002A21B9" w:rsidP="002A21B9">
      <w:pPr>
        <w:pStyle w:val="berschrift1"/>
      </w:pPr>
      <w:r>
        <w:lastRenderedPageBreak/>
        <w:t>3.3.42.41 Ebenenwiderspruch</w:t>
      </w:r>
    </w:p>
    <w:p w:rsidR="002A21B9" w:rsidRDefault="002A21B9" w:rsidP="002A21B9">
      <w:pPr>
        <w:pStyle w:val="StandardWeb"/>
      </w:pPr>
      <w:r>
        <w:t>Auch Aussagen unterschiedlicher Beschreibungsebenen dürfen nicht unmittelbar gleichgesetzt werden.</w:t>
      </w:r>
    </w:p>
    <w:p w:rsidR="002A21B9" w:rsidRDefault="002A21B9" w:rsidP="002A21B9">
      <w:pPr>
        <w:pStyle w:val="StandardWeb"/>
      </w:pPr>
      <w:r>
        <w:t>Seien</w:t>
      </w:r>
    </w:p>
    <w:p w:rsidR="002A21B9" w:rsidRDefault="002A21B9" w:rsidP="002A21B9">
      <w:pPr>
        <w:pStyle w:val="StandardWeb"/>
      </w:pPr>
      <w:r>
        <w:t>[</w:t>
      </w:r>
      <w:r>
        <w:br/>
        <w:t>A_{\mathrm{micro}}</w:t>
      </w:r>
      <w:r>
        <w:br/>
        <w:t>\tag{3.7744}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A_{\mathrm{micro}}\qquad\text{(3.7744)}</w:t>
      </w:r>
    </w:p>
    <w:p w:rsidR="002A21B9" w:rsidRDefault="002A21B9" w:rsidP="002A21B9">
      <w:pPr>
        <w:pStyle w:val="StandardWeb"/>
      </w:pPr>
      <w:r>
        <w:t>und</w:t>
      </w:r>
    </w:p>
    <w:p w:rsidR="002A21B9" w:rsidRDefault="002A21B9" w:rsidP="002A21B9">
      <w:pPr>
        <w:pStyle w:val="StandardWeb"/>
      </w:pPr>
      <w:r>
        <w:t>[</w:t>
      </w:r>
      <w:r>
        <w:br/>
        <w:t>A_{\mathrm{macro}}.</w:t>
      </w:r>
      <w:r>
        <w:br/>
        <w:t>\tag{3.7745}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A_{\mathrm{macro}}\qquad\text{(3.7745)}</w:t>
      </w:r>
    </w:p>
    <w:p w:rsidR="002A21B9" w:rsidRDefault="002A21B9" w:rsidP="002A21B9">
      <w:pPr>
        <w:pStyle w:val="StandardWeb"/>
      </w:pPr>
      <w:r>
        <w:t>Unterschiedliche Mikro- und Makroaussagen können gleichzeitig gültig sein.</w:t>
      </w:r>
    </w:p>
    <w:p w:rsidR="002A21B9" w:rsidRDefault="002A21B9" w:rsidP="002A21B9">
      <w:pPr>
        <w:pStyle w:val="StandardWeb"/>
      </w:pPr>
      <w:r>
        <w:t>Ein Widerspruch liegt erst dann vor, wenn eine explizite Mikro-Makro-Abbildung</w:t>
      </w:r>
    </w:p>
    <w:p w:rsidR="002A21B9" w:rsidRDefault="002A21B9" w:rsidP="002A21B9">
      <w:pPr>
        <w:pStyle w:val="StandardWeb"/>
      </w:pPr>
      <w:r>
        <w:t>[</w:t>
      </w:r>
      <w:r>
        <w:br/>
        <w:t>\mathcal M_{\mu\rightarrow M}</w:t>
      </w:r>
      <w:r>
        <w:br/>
        <w:t>\tag{3.7746}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M_{\mu\rightarrow M}\qquad\text{(3.7746)}</w:t>
      </w:r>
    </w:p>
    <w:p w:rsidR="002A21B9" w:rsidRDefault="002A21B9" w:rsidP="002A21B9">
      <w:pPr>
        <w:pStyle w:val="StandardWeb"/>
      </w:pPr>
      <w:r>
        <w:t>beide Aussagen auf dieselbe Zielstruktur abbildet und dort inkompatible Resultate entstehen.</w:t>
      </w:r>
    </w:p>
    <w:p w:rsidR="002A21B9" w:rsidRDefault="00E50336" w:rsidP="002A21B9">
      <w:r>
        <w:pict>
          <v:rect id="_x0000_i1776" style="width:0;height:1.5pt" o:hralign="center" o:hrstd="t" o:hr="t" fillcolor="#a0a0a0" stroked="f"/>
        </w:pict>
      </w:r>
    </w:p>
    <w:p w:rsidR="002A21B9" w:rsidRDefault="002A21B9" w:rsidP="002A21B9">
      <w:pPr>
        <w:pStyle w:val="berschrift1"/>
      </w:pPr>
      <w:r>
        <w:t>3.3.42.42 Konfliktklassifikation</w:t>
      </w:r>
    </w:p>
    <w:p w:rsidR="002A21B9" w:rsidRDefault="002A21B9" w:rsidP="002A21B9">
      <w:pPr>
        <w:pStyle w:val="StandardWeb"/>
      </w:pPr>
      <w:r>
        <w:t>Ich fasse die bisher eingeführten Konflikttypen zusammen als</w:t>
      </w:r>
    </w:p>
    <w:p w:rsidR="002A21B9" w:rsidRDefault="002A21B9" w:rsidP="002A21B9">
      <w:pPr>
        <w:pStyle w:val="berschrift1"/>
      </w:pPr>
      <w:r>
        <w:lastRenderedPageBreak/>
        <w:t>[</w:t>
      </w:r>
      <w:r>
        <w:br/>
        <w:t>\mathfrak W_F</w:t>
      </w:r>
    </w:p>
    <w:p w:rsidR="002A21B9" w:rsidRDefault="002A21B9" w:rsidP="002A21B9">
      <w:pPr>
        <w:pStyle w:val="StandardWeb"/>
      </w:pPr>
      <w:r>
        <w:t>\left{</w:t>
      </w:r>
      <w:r>
        <w:br/>
        <w:t>W_D,</w:t>
      </w:r>
      <w:r>
        <w:br/>
        <w:t>W_E,</w:t>
      </w:r>
      <w:r>
        <w:br/>
        <w:t>W_{\mathrm{dir}},</w:t>
      </w:r>
      <w:r>
        <w:br/>
        <w:t>W_{\mathrm{ind}},</w:t>
      </w:r>
      <w:r>
        <w:br/>
        <w:t>W_C,</w:t>
      </w:r>
      <w:r>
        <w:br/>
        <w:t>W_P,</w:t>
      </w:r>
      <w:r>
        <w:br/>
        <w:t>W_O,</w:t>
      </w:r>
      <w:r>
        <w:br/>
        <w:t>W_M,</w:t>
      </w:r>
      <w:r>
        <w:br/>
        <w:t>W_N,</w:t>
      </w:r>
      <w:r>
        <w:br/>
        <w:t>W_T,</w:t>
      </w:r>
      <w:r>
        <w:br/>
        <w:t>W_{\mu M}</w:t>
      </w:r>
      <w:r>
        <w:br/>
        <w:t>\right}.</w:t>
      </w:r>
      <w:r>
        <w:br/>
        <w:t>\tag{3.7747}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W_F=\left\{W_D,W_E,W_{\mathrm{dir}},W_{\mathrm{ind}},W_C,W_P,W_O,W_M,W_N,W_T,W_{\mu M}\right\}\qquad\text{(3.7747)}</w:t>
      </w:r>
    </w:p>
    <w:p w:rsidR="002A21B9" w:rsidRDefault="002A21B9" w:rsidP="002A21B9">
      <w:pPr>
        <w:pStyle w:val="StandardWeb"/>
      </w:pPr>
      <w:r>
        <w:t>Dabei stehen die Komponenten für</w:t>
      </w:r>
    </w:p>
    <w:p w:rsidR="002A21B9" w:rsidRDefault="002A21B9" w:rsidP="008C5E65">
      <w:pPr>
        <w:pStyle w:val="StandardWeb"/>
        <w:numPr>
          <w:ilvl w:val="0"/>
          <w:numId w:val="384"/>
        </w:numPr>
      </w:pPr>
      <w:r>
        <w:t>Definitionskonflikt,</w:t>
      </w:r>
    </w:p>
    <w:p w:rsidR="002A21B9" w:rsidRDefault="002A21B9" w:rsidP="008C5E65">
      <w:pPr>
        <w:pStyle w:val="StandardWeb"/>
        <w:numPr>
          <w:ilvl w:val="0"/>
          <w:numId w:val="384"/>
        </w:numPr>
      </w:pPr>
      <w:r>
        <w:t>Gleichungskonflikt,</w:t>
      </w:r>
    </w:p>
    <w:p w:rsidR="002A21B9" w:rsidRDefault="002A21B9" w:rsidP="008C5E65">
      <w:pPr>
        <w:pStyle w:val="StandardWeb"/>
        <w:numPr>
          <w:ilvl w:val="0"/>
          <w:numId w:val="384"/>
        </w:numPr>
      </w:pPr>
      <w:r>
        <w:t>direkten Konflikt,</w:t>
      </w:r>
    </w:p>
    <w:p w:rsidR="002A21B9" w:rsidRDefault="002A21B9" w:rsidP="008C5E65">
      <w:pPr>
        <w:pStyle w:val="StandardWeb"/>
        <w:numPr>
          <w:ilvl w:val="0"/>
          <w:numId w:val="384"/>
        </w:numPr>
      </w:pPr>
      <w:r>
        <w:t>indirekten Konflikt,</w:t>
      </w:r>
    </w:p>
    <w:p w:rsidR="002A21B9" w:rsidRDefault="002A21B9" w:rsidP="008C5E65">
      <w:pPr>
        <w:pStyle w:val="StandardWeb"/>
        <w:numPr>
          <w:ilvl w:val="0"/>
          <w:numId w:val="384"/>
        </w:numPr>
      </w:pPr>
      <w:r>
        <w:t>Kontextkonflikt,</w:t>
      </w:r>
    </w:p>
    <w:p w:rsidR="002A21B9" w:rsidRDefault="002A21B9" w:rsidP="008C5E65">
      <w:pPr>
        <w:pStyle w:val="StandardWeb"/>
        <w:numPr>
          <w:ilvl w:val="0"/>
          <w:numId w:val="384"/>
        </w:numPr>
      </w:pPr>
      <w:r>
        <w:t>Parameterkonflikt,</w:t>
      </w:r>
    </w:p>
    <w:p w:rsidR="002A21B9" w:rsidRDefault="002A21B9" w:rsidP="008C5E65">
      <w:pPr>
        <w:pStyle w:val="StandardWeb"/>
        <w:numPr>
          <w:ilvl w:val="0"/>
          <w:numId w:val="384"/>
        </w:numPr>
      </w:pPr>
      <w:r>
        <w:t>Operationalisierungskonflikt,</w:t>
      </w:r>
    </w:p>
    <w:p w:rsidR="002A21B9" w:rsidRDefault="002A21B9" w:rsidP="008C5E65">
      <w:pPr>
        <w:pStyle w:val="StandardWeb"/>
        <w:numPr>
          <w:ilvl w:val="0"/>
          <w:numId w:val="384"/>
        </w:numPr>
      </w:pPr>
      <w:r>
        <w:t>Modellkonflikt,</w:t>
      </w:r>
    </w:p>
    <w:p w:rsidR="002A21B9" w:rsidRDefault="002A21B9" w:rsidP="008C5E65">
      <w:pPr>
        <w:pStyle w:val="StandardWeb"/>
        <w:numPr>
          <w:ilvl w:val="0"/>
          <w:numId w:val="384"/>
        </w:numPr>
      </w:pPr>
      <w:r>
        <w:t>numerischen Konflikt,</w:t>
      </w:r>
    </w:p>
    <w:p w:rsidR="002A21B9" w:rsidRDefault="002A21B9" w:rsidP="008C5E65">
      <w:pPr>
        <w:pStyle w:val="StandardWeb"/>
        <w:numPr>
          <w:ilvl w:val="0"/>
          <w:numId w:val="384"/>
        </w:numPr>
      </w:pPr>
      <w:r>
        <w:t>zeitlichen Konflikt,</w:t>
      </w:r>
    </w:p>
    <w:p w:rsidR="002A21B9" w:rsidRDefault="002A21B9" w:rsidP="008C5E65">
      <w:pPr>
        <w:pStyle w:val="StandardWeb"/>
        <w:numPr>
          <w:ilvl w:val="0"/>
          <w:numId w:val="384"/>
        </w:numPr>
      </w:pPr>
      <w:r>
        <w:t>Mikro-Makro-Konflikt.</w:t>
      </w:r>
    </w:p>
    <w:p w:rsidR="002A21B9" w:rsidRDefault="002A21B9" w:rsidP="002A21B9">
      <w:pPr>
        <w:pStyle w:val="StandardWeb"/>
      </w:pPr>
      <w:r>
        <w:t>Diese Liste ist erweiterbar.</w:t>
      </w:r>
    </w:p>
    <w:p w:rsidR="002A21B9" w:rsidRDefault="00E50336" w:rsidP="002A21B9">
      <w:r>
        <w:pict>
          <v:rect id="_x0000_i1777" style="width:0;height:1.5pt" o:hralign="center" o:hrstd="t" o:hr="t" fillcolor="#a0a0a0" stroked="f"/>
        </w:pict>
      </w:r>
    </w:p>
    <w:p w:rsidR="002A21B9" w:rsidRDefault="002A21B9" w:rsidP="002A21B9">
      <w:pPr>
        <w:pStyle w:val="berschrift1"/>
      </w:pPr>
      <w:r>
        <w:t>3.3.42.43 Konfliktsignatur</w:t>
      </w:r>
    </w:p>
    <w:p w:rsidR="002A21B9" w:rsidRDefault="002A21B9" w:rsidP="002A21B9">
      <w:pPr>
        <w:pStyle w:val="StandardWeb"/>
      </w:pPr>
      <w:r>
        <w:t>Für ein Aussagenpaar definiere ich die Konfliktsignatur</w:t>
      </w:r>
    </w:p>
    <w:p w:rsidR="002A21B9" w:rsidRDefault="002A21B9" w:rsidP="002A21B9">
      <w:pPr>
        <w:pStyle w:val="berschrift1"/>
      </w:pPr>
      <w:r>
        <w:lastRenderedPageBreak/>
        <w:t>[</w:t>
      </w:r>
      <w:r>
        <w:br/>
        <w:t>\Sigma_W(A_i,A_j)</w:t>
      </w:r>
    </w:p>
    <w:p w:rsidR="002A21B9" w:rsidRDefault="002A21B9" w:rsidP="002A21B9">
      <w:pPr>
        <w:pStyle w:val="StandardWeb"/>
      </w:pPr>
      <w:r>
        <w:t>\left(</w:t>
      </w:r>
      <w:r>
        <w:br/>
        <w:t>W_D,</w:t>
      </w:r>
      <w:r>
        <w:br/>
        <w:t>W_E,</w:t>
      </w:r>
      <w:r>
        <w:br/>
        <w:t>W_{\mathrm{dir}},</w:t>
      </w:r>
      <w:r>
        <w:br/>
        <w:t>W_{\mathrm{ind}},</w:t>
      </w:r>
      <w:r>
        <w:br/>
        <w:t>W_C,</w:t>
      </w:r>
      <w:r>
        <w:br/>
        <w:t>W_P,</w:t>
      </w:r>
      <w:r>
        <w:br/>
        <w:t>W_O,</w:t>
      </w:r>
      <w:r>
        <w:br/>
        <w:t>W_M,</w:t>
      </w:r>
      <w:r>
        <w:br/>
        <w:t>W_N,</w:t>
      </w:r>
      <w:r>
        <w:br/>
        <w:t>W_T,</w:t>
      </w:r>
      <w:r>
        <w:br/>
        <w:t>W_{\mu M}</w:t>
      </w:r>
      <w:r>
        <w:br/>
        <w:t>\right).</w:t>
      </w:r>
      <w:r>
        <w:br/>
        <w:t>\tag{3.7748}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\Sigma_W(A_i,A_j)=\left(W_D,W_E,W_{\mathrm{dir}},W_{\mathrm{ind}},W_C,W_P,W_O,W_M,W_N,W_T,W_{\mu M}\right)\qquad\text{(3.7748)}</w:t>
      </w:r>
    </w:p>
    <w:p w:rsidR="002A21B9" w:rsidRDefault="002A21B9" w:rsidP="002A21B9">
      <w:pPr>
        <w:pStyle w:val="StandardWeb"/>
      </w:pPr>
      <w:r>
        <w:t>Damit wird ein Widerspruch nicht mehr lediglich mit „ja“ oder „nein“ gekennzeichnet, sondern nach seiner funktionalen Ursache klassifiziert.</w:t>
      </w:r>
    </w:p>
    <w:p w:rsidR="002A21B9" w:rsidRDefault="00E50336" w:rsidP="002A21B9">
      <w:r>
        <w:pict>
          <v:rect id="_x0000_i1778" style="width:0;height:1.5pt" o:hralign="center" o:hrstd="t" o:hr="t" fillcolor="#a0a0a0" stroked="f"/>
        </w:pict>
      </w:r>
    </w:p>
    <w:p w:rsidR="002A21B9" w:rsidRDefault="002A21B9" w:rsidP="002A21B9">
      <w:pPr>
        <w:pStyle w:val="berschrift1"/>
      </w:pPr>
      <w:r>
        <w:t>3.3.42.44 Konfliktschwere</w:t>
      </w:r>
    </w:p>
    <w:p w:rsidR="002A21B9" w:rsidRDefault="002A21B9" w:rsidP="002A21B9">
      <w:pPr>
        <w:pStyle w:val="StandardWeb"/>
      </w:pPr>
      <w:r>
        <w:t>Nicht jeder Widerspruch besitzt dieselbe wissenschaftliche Bedeutung.</w:t>
      </w:r>
    </w:p>
    <w:p w:rsidR="002A21B9" w:rsidRDefault="002A21B9" w:rsidP="002A21B9">
      <w:pPr>
        <w:pStyle w:val="StandardWeb"/>
      </w:pPr>
      <w:r>
        <w:t>Ich definiere einen gewichteten Konfliktgrad</w:t>
      </w:r>
    </w:p>
    <w:p w:rsidR="002A21B9" w:rsidRDefault="002A21B9" w:rsidP="002A21B9">
      <w:pPr>
        <w:pStyle w:val="berschrift1"/>
      </w:pPr>
      <w:r>
        <w:t>[</w:t>
      </w:r>
      <w:r>
        <w:br/>
        <w:t>S_W</w:t>
      </w:r>
    </w:p>
    <w:p w:rsidR="002A21B9" w:rsidRDefault="002A21B9" w:rsidP="002A21B9">
      <w:pPr>
        <w:pStyle w:val="StandardWeb"/>
      </w:pPr>
      <w:r>
        <w:t>\sum_{k=1}^{m}</w:t>
      </w:r>
      <w:r>
        <w:br/>
        <w:t>w_k</w:t>
      </w:r>
      <w:r>
        <w:br/>
        <w:t>W_k</w:t>
      </w:r>
      <w:r>
        <w:br/>
        <w:t>\tag{3.7749}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S_W=\sum_{k=1}^{m}w_kW_k\qquad\text{(3.7749)}</w:t>
      </w:r>
    </w:p>
    <w:p w:rsidR="002A21B9" w:rsidRDefault="002A21B9" w:rsidP="002A21B9">
      <w:pPr>
        <w:pStyle w:val="StandardWeb"/>
      </w:pPr>
      <w:r>
        <w:lastRenderedPageBreak/>
        <w:t>mit</w:t>
      </w:r>
    </w:p>
    <w:p w:rsidR="002A21B9" w:rsidRDefault="002A21B9" w:rsidP="002A21B9">
      <w:pPr>
        <w:pStyle w:val="StandardWeb"/>
      </w:pPr>
      <w:r>
        <w:t>[</w:t>
      </w:r>
      <w:r>
        <w:br/>
        <w:t>w_k\geq0.</w:t>
      </w:r>
      <w:r>
        <w:br/>
        <w:t>\tag{3.7750}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w_k\geq0\qquad\text{(3.7750)}</w:t>
      </w:r>
    </w:p>
    <w:p w:rsidR="002A21B9" w:rsidRDefault="002A21B9" w:rsidP="002A21B9">
      <w:pPr>
        <w:pStyle w:val="StandardWeb"/>
      </w:pPr>
      <w:r>
        <w:t>Eine Normierung kann fordern</w:t>
      </w:r>
    </w:p>
    <w:p w:rsidR="002A21B9" w:rsidRDefault="002A21B9" w:rsidP="002A21B9">
      <w:pPr>
        <w:pStyle w:val="StandardWeb"/>
      </w:pPr>
      <w:r>
        <w:t>[</w:t>
      </w:r>
      <w:r>
        <w:br/>
        <w:t>\sum_{k=1}^{m}</w:t>
      </w:r>
      <w:r>
        <w:br/>
        <w:t>w_k=1.</w:t>
      </w:r>
      <w:r>
        <w:br/>
        <w:t>\tag{3.7751}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\sum_{k=1}^{m}w_k=1\qquad\text{(3.7751)}</w:t>
      </w:r>
    </w:p>
    <w:p w:rsidR="002A21B9" w:rsidRDefault="002A21B9" w:rsidP="002A21B9">
      <w:pPr>
        <w:pStyle w:val="StandardWeb"/>
      </w:pPr>
      <w:r>
        <w:t>Ich betone jedoch bereits an dieser Stelle, dass eine solche Gewichtung nicht automatisch wissenschaftlich objektiv ist. Die Gewichte müssen aus dem jeweiligen Aussageanspruch begründet werden.</w:t>
      </w:r>
    </w:p>
    <w:p w:rsidR="002A21B9" w:rsidRDefault="00E50336" w:rsidP="002A21B9">
      <w:r>
        <w:pict>
          <v:rect id="_x0000_i1779" style="width:0;height:1.5pt" o:hralign="center" o:hrstd="t" o:hr="t" fillcolor="#a0a0a0" stroked="f"/>
        </w:pict>
      </w:r>
    </w:p>
    <w:p w:rsidR="002A21B9" w:rsidRDefault="002A21B9" w:rsidP="002A21B9">
      <w:pPr>
        <w:pStyle w:val="berschrift1"/>
      </w:pPr>
      <w:r>
        <w:t>3.3.42.45 Nichtkompensierbare Konflikte</w:t>
      </w:r>
    </w:p>
    <w:p w:rsidR="002A21B9" w:rsidRDefault="002A21B9" w:rsidP="002A21B9">
      <w:pPr>
        <w:pStyle w:val="StandardWeb"/>
      </w:pPr>
      <w:r>
        <w:t>Bestimmte Widersprüche dürfen nicht durch geringe Werte anderer Konfliktklassen kompensiert werden.</w:t>
      </w:r>
    </w:p>
    <w:p w:rsidR="002A21B9" w:rsidRDefault="002A21B9" w:rsidP="002A21B9">
      <w:pPr>
        <w:pStyle w:val="StandardWeb"/>
      </w:pPr>
      <w:r>
        <w:t>Ich definiere eine Menge zwingend ausschließender Konflikte</w:t>
      </w:r>
    </w:p>
    <w:p w:rsidR="002A21B9" w:rsidRDefault="002A21B9" w:rsidP="002A21B9">
      <w:pPr>
        <w:pStyle w:val="StandardWeb"/>
      </w:pPr>
      <w:r>
        <w:t>[</w:t>
      </w:r>
      <w:r>
        <w:br/>
        <w:t>I_W^{\mathrm{must}}</w:t>
      </w:r>
      <w:r>
        <w:br/>
        <w:t>\subseteq</w:t>
      </w:r>
      <w:r>
        <w:br/>
        <w:t>I_W.</w:t>
      </w:r>
      <w:r>
        <w:br/>
        <w:t>\tag{3.7752}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I_W^{\mathrm{must}}\subseteq I_W\qquad\text{(3.7752)}</w:t>
      </w:r>
    </w:p>
    <w:p w:rsidR="002A21B9" w:rsidRDefault="002A21B9" w:rsidP="002A21B9">
      <w:pPr>
        <w:pStyle w:val="StandardWeb"/>
      </w:pPr>
      <w:r>
        <w:t>Für einen solchen Konflikt gilt</w:t>
      </w:r>
    </w:p>
    <w:p w:rsidR="002A21B9" w:rsidRDefault="002A21B9" w:rsidP="002A21B9">
      <w:pPr>
        <w:pStyle w:val="StandardWeb"/>
      </w:pPr>
      <w:r>
        <w:t>[</w:t>
      </w:r>
      <w:r>
        <w:br/>
        <w:t>\exists k\in I_W^{\mathrm{must}}:</w:t>
      </w:r>
      <w:r>
        <w:br/>
      </w:r>
      <w:r>
        <w:lastRenderedPageBreak/>
        <w:t>W_k=1</w:t>
      </w:r>
      <w:r>
        <w:br/>
        <w:t>\Rightarrow</w:t>
      </w:r>
      <w:r>
        <w:br/>
        <w:t>K_F=0.</w:t>
      </w:r>
      <w:r>
        <w:br/>
        <w:t>\tag{3.7753}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\exists k\in I_W^{\mathrm{must}}:W_k=1\Rightarrow K_F=0\qquad\text{(3.7753)}</w:t>
      </w:r>
    </w:p>
    <w:p w:rsidR="002A21B9" w:rsidRDefault="002A21B9" w:rsidP="002A21B9">
      <w:pPr>
        <w:pStyle w:val="StandardWeb"/>
      </w:pPr>
      <w:r>
        <w:t>Ein direkter logischer Selbstwiderspruch wäre beispielsweise nicht durch hohe Stabilität oder gute Reproduzierbarkeit kompensierbar.</w:t>
      </w:r>
    </w:p>
    <w:p w:rsidR="002A21B9" w:rsidRDefault="00E50336" w:rsidP="002A21B9">
      <w:r>
        <w:pict>
          <v:rect id="_x0000_i1780" style="width:0;height:1.5pt" o:hralign="center" o:hrstd="t" o:hr="t" fillcolor="#a0a0a0" stroked="f"/>
        </w:pict>
      </w:r>
    </w:p>
    <w:p w:rsidR="002A21B9" w:rsidRDefault="002A21B9" w:rsidP="002A21B9">
      <w:pPr>
        <w:pStyle w:val="berschrift1"/>
      </w:pPr>
      <w:r>
        <w:t>3.3.42.46 Konsistenz und Stabilität</w:t>
      </w:r>
    </w:p>
    <w:p w:rsidR="002A21B9" w:rsidRDefault="002A21B9" w:rsidP="002A21B9">
      <w:pPr>
        <w:pStyle w:val="StandardWeb"/>
      </w:pPr>
      <w:r>
        <w:t>Nun lässt sich die Verbindung zu Abschnitt 3.3.41 formal herstellen.</w:t>
      </w:r>
    </w:p>
    <w:p w:rsidR="002A21B9" w:rsidRDefault="002A21B9" w:rsidP="002A21B9">
      <w:pPr>
        <w:pStyle w:val="StandardWeb"/>
      </w:pPr>
      <w:r>
        <w:t>Eine Aussage kann hoch stabil sein:</w:t>
      </w:r>
    </w:p>
    <w:p w:rsidR="002A21B9" w:rsidRDefault="002A21B9" w:rsidP="002A21B9">
      <w:pPr>
        <w:pStyle w:val="StandardWeb"/>
      </w:pPr>
      <w:r>
        <w:t>[</w:t>
      </w:r>
      <w:r>
        <w:br/>
        <w:t>R_S(A_i)</w:t>
      </w:r>
      <w:r>
        <w:br/>
        <w:t>\approx</w:t>
      </w:r>
      <w:r>
        <w:br/>
        <w:t>1.</w:t>
      </w:r>
      <w:r>
        <w:br/>
        <w:t>\tag{3.7754}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R_S(A_i)\approx1\qquad\text{(3.7754)}</w:t>
      </w:r>
    </w:p>
    <w:p w:rsidR="002A21B9" w:rsidRDefault="002A21B9" w:rsidP="002A21B9">
      <w:pPr>
        <w:pStyle w:val="StandardWeb"/>
      </w:pPr>
      <w:r>
        <w:t>Eine zweite Aussage kann ebenfalls hoch stabil sein:</w:t>
      </w:r>
    </w:p>
    <w:p w:rsidR="002A21B9" w:rsidRDefault="002A21B9" w:rsidP="002A21B9">
      <w:pPr>
        <w:pStyle w:val="StandardWeb"/>
      </w:pPr>
      <w:r>
        <w:t>[</w:t>
      </w:r>
      <w:r>
        <w:br/>
        <w:t>R_S(A_j)</w:t>
      </w:r>
      <w:r>
        <w:br/>
        <w:t>\approx</w:t>
      </w:r>
      <w:r>
        <w:br/>
        <w:t>1.</w:t>
      </w:r>
      <w:r>
        <w:br/>
        <w:t>\tag{3.7755}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R_S(A_j)\approx1\qquad\text{(3.7755)}</w:t>
      </w:r>
    </w:p>
    <w:p w:rsidR="002A21B9" w:rsidRDefault="002A21B9" w:rsidP="002A21B9">
      <w:pPr>
        <w:pStyle w:val="StandardWeb"/>
      </w:pPr>
      <w:r>
        <w:t>Trotzdem kann gelten</w:t>
      </w:r>
    </w:p>
    <w:p w:rsidR="002A21B9" w:rsidRDefault="002A21B9" w:rsidP="002A21B9">
      <w:pPr>
        <w:pStyle w:val="StandardWeb"/>
      </w:pPr>
      <w:r>
        <w:t>[</w:t>
      </w:r>
      <w:r>
        <w:br/>
        <w:t>K_F(A_i,A_j)=0.</w:t>
      </w:r>
      <w:r>
        <w:br/>
        <w:t>\tag{3.7756}</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K_F(A_i,A_j)=0\qquad\text{(3.7756)}</w:t>
      </w:r>
    </w:p>
    <w:p w:rsidR="002A21B9" w:rsidRDefault="002A21B9" w:rsidP="002A21B9">
      <w:pPr>
        <w:pStyle w:val="StandardWeb"/>
      </w:pPr>
      <w:r>
        <w:t>Damit gilt ausdrücklich</w:t>
      </w:r>
    </w:p>
    <w:p w:rsidR="002A21B9" w:rsidRDefault="002A21B9" w:rsidP="002A21B9">
      <w:pPr>
        <w:pStyle w:val="StandardWeb"/>
      </w:pPr>
      <w:r>
        <w:t>[</w:t>
      </w:r>
      <w:r>
        <w:br/>
        <w:t>R_S(A_i)\text{ hoch}</w:t>
      </w:r>
      <w:r>
        <w:br/>
        <w:t>\land</w:t>
      </w:r>
      <w:r>
        <w:br/>
        <w:t>R_S(A_j)\text{ hoch}</w:t>
      </w:r>
      <w:r>
        <w:br/>
        <w:t>\nRightarrow</w:t>
      </w:r>
      <w:r>
        <w:br/>
        <w:t>K_F(A_i,A_j)=1.</w:t>
      </w:r>
      <w:r>
        <w:br/>
        <w:t>\tag{3.7757}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R_S(A_i)\text{ hoch}\land R_S(A_j)\text{ hoch}\nRightarrow K_F(A_i,A_j)=1\qquad\text{(3.7757)}</w:t>
      </w:r>
    </w:p>
    <w:p w:rsidR="002A21B9" w:rsidRDefault="002A21B9" w:rsidP="002A21B9">
      <w:pPr>
        <w:pStyle w:val="StandardWeb"/>
      </w:pPr>
      <w:r>
        <w:t>Dies ist eine der zentralen Einsichten von 3.3.42.</w:t>
      </w:r>
    </w:p>
    <w:p w:rsidR="002A21B9" w:rsidRDefault="00E50336" w:rsidP="002A21B9">
      <w:r>
        <w:pict>
          <v:rect id="_x0000_i1781" style="width:0;height:1.5pt" o:hralign="center" o:hrstd="t" o:hr="t" fillcolor="#a0a0a0" stroked="f"/>
        </w:pict>
      </w:r>
    </w:p>
    <w:p w:rsidR="002A21B9" w:rsidRDefault="002A21B9" w:rsidP="002A21B9">
      <w:pPr>
        <w:pStyle w:val="berschrift1"/>
      </w:pPr>
      <w:r>
        <w:t>3.3.42.47 Konsistente, aber fragile Aussagen</w:t>
      </w:r>
    </w:p>
    <w:p w:rsidR="002A21B9" w:rsidRDefault="002A21B9" w:rsidP="002A21B9">
      <w:pPr>
        <w:pStyle w:val="StandardWeb"/>
      </w:pPr>
      <w:r>
        <w:t>Umgekehrt können zwei Aussagen vollständig miteinander konsistent sein, obwohl sie jeweils fragil sind:</w:t>
      </w:r>
    </w:p>
    <w:p w:rsidR="002A21B9" w:rsidRDefault="002A21B9" w:rsidP="002A21B9">
      <w:pPr>
        <w:pStyle w:val="StandardWeb"/>
      </w:pPr>
      <w:r>
        <w:t>[</w:t>
      </w:r>
      <w:r>
        <w:br/>
        <w:t>K_F(A_i,A_j)=1</w:t>
      </w:r>
      <w:r>
        <w:br/>
        <w:t>\tag{3.7758}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K_F(A_i,A_j)=1\qquad\text{(3.7758)}</w:t>
      </w:r>
    </w:p>
    <w:p w:rsidR="002A21B9" w:rsidRDefault="002A21B9" w:rsidP="002A21B9">
      <w:pPr>
        <w:pStyle w:val="StandardWeb"/>
      </w:pPr>
      <w:r>
        <w:t>bei gleichzeitig</w:t>
      </w:r>
    </w:p>
    <w:p w:rsidR="002A21B9" w:rsidRDefault="002A21B9" w:rsidP="002A21B9">
      <w:pPr>
        <w:pStyle w:val="StandardWeb"/>
      </w:pPr>
      <w:r>
        <w:t>[</w:t>
      </w:r>
      <w:r>
        <w:br/>
        <w:t>R_S(A_i)\ll1</w:t>
      </w:r>
      <w:r>
        <w:br/>
        <w:t>\tag{3.7759}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R_S(A_i)\ll1\qquad\text{(3.7759)}</w:t>
      </w:r>
    </w:p>
    <w:p w:rsidR="002A21B9" w:rsidRDefault="002A21B9" w:rsidP="002A21B9">
      <w:pPr>
        <w:pStyle w:val="StandardWeb"/>
      </w:pPr>
      <w:r>
        <w:t>und</w:t>
      </w:r>
    </w:p>
    <w:p w:rsidR="002A21B9" w:rsidRDefault="002A21B9" w:rsidP="002A21B9">
      <w:pPr>
        <w:pStyle w:val="StandardWeb"/>
      </w:pPr>
      <w:r>
        <w:lastRenderedPageBreak/>
        <w:t>[</w:t>
      </w:r>
      <w:r>
        <w:br/>
        <w:t>R_S(A_j)\ll1.</w:t>
      </w:r>
      <w:r>
        <w:br/>
        <w:t>\tag{3.7760}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R_S(A_j)\ll1\qquad\text{(3.7760)}</w:t>
      </w:r>
    </w:p>
    <w:p w:rsidR="002A21B9" w:rsidRDefault="002A21B9" w:rsidP="002A21B9">
      <w:pPr>
        <w:pStyle w:val="StandardWeb"/>
      </w:pPr>
      <w:r>
        <w:t>Damit sind Stabilität und Konsistenz orthogonale wissenschaftliche Qualitätsdimensionen.</w:t>
      </w:r>
    </w:p>
    <w:p w:rsidR="002A21B9" w:rsidRDefault="00E50336" w:rsidP="002A21B9">
      <w:r>
        <w:pict>
          <v:rect id="_x0000_i1782" style="width:0;height:1.5pt" o:hralign="center" o:hrstd="t" o:hr="t" fillcolor="#a0a0a0" stroked="f"/>
        </w:pict>
      </w:r>
    </w:p>
    <w:p w:rsidR="002A21B9" w:rsidRDefault="002A21B9" w:rsidP="002A21B9">
      <w:pPr>
        <w:pStyle w:val="berschrift1"/>
      </w:pPr>
      <w:r>
        <w:t>3.3.42.48 Konsistenz-Stabilitäts-Matrix</w:t>
      </w:r>
    </w:p>
    <w:p w:rsidR="002A21B9" w:rsidRDefault="002A21B9" w:rsidP="002A21B9">
      <w:pPr>
        <w:pStyle w:val="StandardWeb"/>
      </w:pPr>
      <w:r>
        <w:t>Ich definiere deshalb vier Grundfälle:</w:t>
      </w:r>
    </w:p>
    <w:p w:rsidR="002A21B9" w:rsidRDefault="002A21B9" w:rsidP="002A21B9">
      <w:pPr>
        <w:pStyle w:val="berschrift1"/>
      </w:pPr>
      <w:r>
        <w:t>[</w:t>
      </w:r>
      <w:r>
        <w:br/>
        <w:t>\mathfrak Q_{KS}</w:t>
      </w:r>
    </w:p>
    <w:p w:rsidR="002A21B9" w:rsidRDefault="002A21B9" w:rsidP="002A21B9">
      <w:pPr>
        <w:pStyle w:val="StandardWeb"/>
      </w:pPr>
      <w:r>
        <w:t>\left{</w:t>
      </w:r>
      <w:r>
        <w:br/>
        <w:t>(K^+,S^+),</w:t>
      </w:r>
      <w:r>
        <w:br/>
        <w:t>(K^+,S^-),</w:t>
      </w:r>
      <w:r>
        <w:br/>
        <w:t>(K^-,S^+),</w:t>
      </w:r>
      <w:r>
        <w:br/>
        <w:t>(K^-,S^-)</w:t>
      </w:r>
      <w:r>
        <w:br/>
        <w:t>\right}.</w:t>
      </w:r>
      <w:r>
        <w:br/>
        <w:t>\tag{3.7761}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Q_{KS}=\left\{(K^{+},S^{+}),(K^{+},S^{-}),(K^{-},S^{+}),(K^{-},S^{-})\right\}\qquad\text{(3.7761)}</w:t>
      </w:r>
    </w:p>
    <w:p w:rsidR="002A21B9" w:rsidRDefault="002A21B9" w:rsidP="002A21B9">
      <w:pPr>
        <w:pStyle w:val="StandardWeb"/>
      </w:pPr>
      <w:r>
        <w:t>Dabei bezeichnet</w:t>
      </w:r>
    </w:p>
    <w:p w:rsidR="002A21B9" w:rsidRDefault="002A21B9" w:rsidP="008C5E65">
      <w:pPr>
        <w:pStyle w:val="StandardWeb"/>
        <w:numPr>
          <w:ilvl w:val="0"/>
          <w:numId w:val="385"/>
        </w:numPr>
      </w:pPr>
      <w:r>
        <w:t>(K^+): konsistent,</w:t>
      </w:r>
    </w:p>
    <w:p w:rsidR="002A21B9" w:rsidRDefault="002A21B9" w:rsidP="008C5E65">
      <w:pPr>
        <w:pStyle w:val="StandardWeb"/>
        <w:numPr>
          <w:ilvl w:val="0"/>
          <w:numId w:val="385"/>
        </w:numPr>
      </w:pPr>
      <w:r>
        <w:t>(K^-): inkonsistent,</w:t>
      </w:r>
    </w:p>
    <w:p w:rsidR="002A21B9" w:rsidRDefault="002A21B9" w:rsidP="008C5E65">
      <w:pPr>
        <w:pStyle w:val="StandardWeb"/>
        <w:numPr>
          <w:ilvl w:val="0"/>
          <w:numId w:val="385"/>
        </w:numPr>
      </w:pPr>
      <w:r>
        <w:t>(S^+): stabil,</w:t>
      </w:r>
    </w:p>
    <w:p w:rsidR="002A21B9" w:rsidRDefault="002A21B9" w:rsidP="008C5E65">
      <w:pPr>
        <w:pStyle w:val="StandardWeb"/>
        <w:numPr>
          <w:ilvl w:val="0"/>
          <w:numId w:val="385"/>
        </w:numPr>
      </w:pPr>
      <w:r>
        <w:t>(S^-): fragil.</w:t>
      </w:r>
    </w:p>
    <w:p w:rsidR="002A21B9" w:rsidRDefault="002A21B9" w:rsidP="002A21B9">
      <w:pPr>
        <w:pStyle w:val="StandardWeb"/>
      </w:pPr>
      <w:r>
        <w:t>Besonders kritisch ist</w:t>
      </w:r>
    </w:p>
    <w:p w:rsidR="002A21B9" w:rsidRDefault="002A21B9" w:rsidP="002A21B9">
      <w:pPr>
        <w:pStyle w:val="StandardWeb"/>
      </w:pPr>
      <w:r>
        <w:t>[</w:t>
      </w:r>
      <w:r>
        <w:br/>
        <w:t>(K^-,S^+).</w:t>
      </w:r>
      <w:r>
        <w:br/>
        <w:t>\tag{3.7762}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(K^{-},S^{+})\qquad\text{(3.7762)}</w:t>
      </w:r>
    </w:p>
    <w:p w:rsidR="002A21B9" w:rsidRDefault="002A21B9" w:rsidP="002A21B9">
      <w:pPr>
        <w:pStyle w:val="StandardWeb"/>
      </w:pPr>
      <w:r>
        <w:t>Hier liegen stabile, aber widersprüchliche Aussagen vor.</w:t>
      </w:r>
    </w:p>
    <w:p w:rsidR="002A21B9" w:rsidRDefault="002A21B9" w:rsidP="002A21B9">
      <w:pPr>
        <w:pStyle w:val="StandardWeb"/>
      </w:pPr>
      <w:r>
        <w:t>Diese Konstellation kann auf einen echten Theorie- oder Modellkonflikt hinweisen.</w:t>
      </w:r>
    </w:p>
    <w:p w:rsidR="002A21B9" w:rsidRDefault="00E50336" w:rsidP="002A21B9">
      <w:r>
        <w:pict>
          <v:rect id="_x0000_i1783" style="width:0;height:1.5pt" o:hralign="center" o:hrstd="t" o:hr="t" fillcolor="#a0a0a0" stroked="f"/>
        </w:pict>
      </w:r>
    </w:p>
    <w:p w:rsidR="002A21B9" w:rsidRDefault="002A21B9" w:rsidP="002A21B9">
      <w:pPr>
        <w:pStyle w:val="berschrift1"/>
      </w:pPr>
      <w:r>
        <w:t>3.3.42.49 Konsistenz und Validität</w:t>
      </w:r>
    </w:p>
    <w:p w:rsidR="002A21B9" w:rsidRDefault="002A21B9" w:rsidP="002A21B9">
      <w:pPr>
        <w:pStyle w:val="StandardWeb"/>
      </w:pPr>
      <w:r>
        <w:t>Auch Konsistenz und Validität sind getrennt.</w:t>
      </w:r>
    </w:p>
    <w:p w:rsidR="002A21B9" w:rsidRDefault="002A21B9" w:rsidP="002A21B9">
      <w:pPr>
        <w:pStyle w:val="StandardWeb"/>
      </w:pPr>
      <w:r>
        <w:t>Es gilt</w:t>
      </w:r>
    </w:p>
    <w:p w:rsidR="002A21B9" w:rsidRDefault="002A21B9" w:rsidP="002A21B9">
      <w:pPr>
        <w:pStyle w:val="StandardWeb"/>
      </w:pPr>
      <w:r>
        <w:t>[</w:t>
      </w:r>
      <w:r>
        <w:br/>
        <w:t>K_F=1</w:t>
      </w:r>
      <w:r>
        <w:br/>
        <w:t>\nRightarrow</w:t>
      </w:r>
      <w:r>
        <w:br/>
        <w:t>V=1.</w:t>
      </w:r>
      <w:r>
        <w:br/>
        <w:t>\tag{3.7763}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K_F=1\nRightarrow V=1\qquad\text{(3.7763)}</w:t>
      </w:r>
    </w:p>
    <w:p w:rsidR="002A21B9" w:rsidRDefault="002A21B9" w:rsidP="002A21B9">
      <w:pPr>
        <w:pStyle w:val="StandardWeb"/>
      </w:pPr>
      <w:r>
        <w:t>Mehrere Aussagen können perfekt miteinander konsistent und dennoch gemeinsam falsch oder schlecht operationalisiert sein.</w:t>
      </w:r>
    </w:p>
    <w:p w:rsidR="002A21B9" w:rsidRDefault="002A21B9" w:rsidP="002A21B9">
      <w:pPr>
        <w:pStyle w:val="StandardWeb"/>
      </w:pPr>
      <w:r>
        <w:t>Ebenso gilt</w:t>
      </w:r>
    </w:p>
    <w:p w:rsidR="002A21B9" w:rsidRDefault="002A21B9" w:rsidP="002A21B9">
      <w:pPr>
        <w:pStyle w:val="StandardWeb"/>
      </w:pPr>
      <w:r>
        <w:t>[</w:t>
      </w:r>
      <w:r>
        <w:br/>
        <w:t>V(A_i)=1</w:t>
      </w:r>
      <w:r>
        <w:br/>
        <w:t>\land</w:t>
      </w:r>
      <w:r>
        <w:br/>
        <w:t>V(A_j)=1</w:t>
      </w:r>
      <w:r>
        <w:br/>
        <w:t>\nRightarrow</w:t>
      </w:r>
      <w:r>
        <w:br/>
        <w:t>K_F(A_i,A_j)=1.</w:t>
      </w:r>
      <w:r>
        <w:br/>
        <w:t>\tag{3.7764}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V(A_i)=1\land V(A_j)=1\nRightarrow K_F(A_i,A_j)=1\qquad\text{(3.7764)}</w:t>
      </w:r>
    </w:p>
    <w:p w:rsidR="002A21B9" w:rsidRDefault="002A21B9" w:rsidP="002A21B9">
      <w:pPr>
        <w:pStyle w:val="StandardWeb"/>
      </w:pPr>
      <w:r>
        <w:t>Zwei jeweils valide Aussagen können unterschiedliche Randbedingungen besitzen und dadurch bei falscher Zusammenführung scheinbar kollidieren.</w:t>
      </w:r>
    </w:p>
    <w:p w:rsidR="002A21B9" w:rsidRDefault="00E50336" w:rsidP="002A21B9">
      <w:r>
        <w:pict>
          <v:rect id="_x0000_i1784" style="width:0;height:1.5pt" o:hralign="center" o:hrstd="t" o:hr="t" fillcolor="#a0a0a0" stroked="f"/>
        </w:pict>
      </w:r>
    </w:p>
    <w:p w:rsidR="002A21B9" w:rsidRDefault="002A21B9" w:rsidP="002A21B9">
      <w:pPr>
        <w:pStyle w:val="berschrift1"/>
      </w:pPr>
      <w:r>
        <w:t>3.3.42.50 Konsistenz und Wahrheit</w:t>
      </w:r>
    </w:p>
    <w:p w:rsidR="002A21B9" w:rsidRDefault="002A21B9" w:rsidP="002A21B9">
      <w:pPr>
        <w:pStyle w:val="StandardWeb"/>
      </w:pPr>
      <w:r>
        <w:t>Ebenso wenig ist Konsistenz eine Wahrheitsgarantie.</w:t>
      </w:r>
    </w:p>
    <w:p w:rsidR="002A21B9" w:rsidRDefault="002A21B9" w:rsidP="002A21B9">
      <w:pPr>
        <w:pStyle w:val="StandardWeb"/>
      </w:pPr>
      <w:r>
        <w:lastRenderedPageBreak/>
        <w:t>[</w:t>
      </w:r>
      <w:r>
        <w:br/>
        <w:t>K_F(\mathcal A_n)=1</w:t>
      </w:r>
      <w:r>
        <w:br/>
        <w:t>\nRightarrow</w:t>
      </w:r>
      <w:r>
        <w:br/>
        <w:t>\forall A_i\in\mathcal A_n:</w:t>
      </w:r>
      <w:r>
        <w:br/>
        <w:t>\operatorname{Wahr}(A_i)=1.</w:t>
      </w:r>
      <w:r>
        <w:br/>
        <w:t>\tag{3.7765}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K_F(\mathcal A_n)=1\nRightarrow\forall A_i\in\mathcal A_n:\operatorname{Wahr}(A_i)=1\qquad\text{(3.7765)}</w:t>
      </w:r>
    </w:p>
    <w:p w:rsidR="002A21B9" w:rsidRDefault="002A21B9" w:rsidP="002A21B9">
      <w:pPr>
        <w:pStyle w:val="StandardWeb"/>
      </w:pPr>
      <w:r>
        <w:t>Ein vollständig konsistentes, aber empirisch falsches Modell ist logisch und funktional denkbar.</w:t>
      </w:r>
    </w:p>
    <w:p w:rsidR="002A21B9" w:rsidRDefault="00E50336" w:rsidP="002A21B9">
      <w:r>
        <w:pict>
          <v:rect id="_x0000_i1785" style="width:0;height:1.5pt" o:hralign="center" o:hrstd="t" o:hr="t" fillcolor="#a0a0a0" stroked="f"/>
        </w:pict>
      </w:r>
    </w:p>
    <w:p w:rsidR="002A21B9" w:rsidRDefault="002A21B9" w:rsidP="002A21B9">
      <w:pPr>
        <w:pStyle w:val="berschrift1"/>
      </w:pPr>
      <w:r>
        <w:t>3.3.42.51 Konsistenz als notwendige, nicht hinreichende Bedingung</w:t>
      </w:r>
    </w:p>
    <w:p w:rsidR="002A21B9" w:rsidRDefault="002A21B9" w:rsidP="002A21B9">
      <w:pPr>
        <w:pStyle w:val="StandardWeb"/>
      </w:pPr>
      <w:r>
        <w:t>Für eine belastbare Theorie ist Konsistenz jedoch eine notwendige Voraussetzung.</w:t>
      </w:r>
    </w:p>
    <w:p w:rsidR="002A21B9" w:rsidRDefault="002A21B9" w:rsidP="002A21B9">
      <w:pPr>
        <w:pStyle w:val="StandardWeb"/>
      </w:pPr>
      <w:r>
        <w:t>Ich schreibe</w:t>
      </w:r>
    </w:p>
    <w:p w:rsidR="002A21B9" w:rsidRDefault="002A21B9" w:rsidP="002A21B9">
      <w:pPr>
        <w:pStyle w:val="berschrift1"/>
      </w:pPr>
      <w:r>
        <w:t>[</w:t>
      </w:r>
      <w:r>
        <w:br/>
        <w:t>Q_{\mathrm{theory}}</w:t>
      </w:r>
    </w:p>
    <w:p w:rsidR="002A21B9" w:rsidRDefault="002A21B9" w:rsidP="002A21B9">
      <w:pPr>
        <w:pStyle w:val="berschrift1"/>
      </w:pPr>
      <w:r>
        <w:t>1</w:t>
      </w:r>
      <w:r>
        <w:br/>
        <w:t>\Rightarrow</w:t>
      </w:r>
      <w:r>
        <w:br/>
        <w:t>K_F</w:t>
      </w:r>
    </w:p>
    <w:p w:rsidR="002A21B9" w:rsidRDefault="002A21B9" w:rsidP="002A21B9">
      <w:pPr>
        <w:pStyle w:val="StandardWeb"/>
      </w:pPr>
      <w:r>
        <w:t>1</w:t>
      </w:r>
      <w:r>
        <w:br/>
        <w:t>\tag{3.7766}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Q_{\mathrm{theory}}=1\Rightarrow K_F=1\qquad\text{(3.7766)}</w:t>
      </w:r>
    </w:p>
    <w:p w:rsidR="002A21B9" w:rsidRDefault="002A21B9" w:rsidP="002A21B9">
      <w:pPr>
        <w:pStyle w:val="StandardWeb"/>
      </w:pPr>
      <w:r>
        <w:t>für eine entsprechend definierte Theoriequalitätsklasse.</w:t>
      </w:r>
    </w:p>
    <w:p w:rsidR="002A21B9" w:rsidRDefault="002A21B9" w:rsidP="002A21B9">
      <w:pPr>
        <w:pStyle w:val="StandardWeb"/>
      </w:pPr>
      <w:r>
        <w:t>Die Umkehrung gilt nicht:</w:t>
      </w:r>
    </w:p>
    <w:p w:rsidR="002A21B9" w:rsidRDefault="002A21B9" w:rsidP="002A21B9">
      <w:pPr>
        <w:pStyle w:val="StandardWeb"/>
      </w:pPr>
      <w:r>
        <w:t>[</w:t>
      </w:r>
      <w:r>
        <w:br/>
        <w:t>K_F=1</w:t>
      </w:r>
      <w:r>
        <w:br/>
        <w:t>\nRightarrow</w:t>
      </w:r>
      <w:r>
        <w:br/>
      </w:r>
      <w:r>
        <w:lastRenderedPageBreak/>
        <w:t>Q_{\mathrm{theory}}=1.</w:t>
      </w:r>
      <w:r>
        <w:br/>
        <w:t>\tag{3.7767}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K_F=1\nRightarrow Q_{\mathrm{theory}}=1\qquad\text{(3.7767)}</w:t>
      </w:r>
    </w:p>
    <w:p w:rsidR="002A21B9" w:rsidRDefault="00E50336" w:rsidP="002A21B9">
      <w:r>
        <w:pict>
          <v:rect id="_x0000_i1786" style="width:0;height:1.5pt" o:hralign="center" o:hrstd="t" o:hr="t" fillcolor="#a0a0a0" stroked="f"/>
        </w:pict>
      </w:r>
    </w:p>
    <w:p w:rsidR="002A21B9" w:rsidRDefault="002A21B9" w:rsidP="002A21B9">
      <w:pPr>
        <w:pStyle w:val="berschrift1"/>
      </w:pPr>
      <w:r>
        <w:t>3.3.42.52 Konsistenzmatrix</w:t>
      </w:r>
    </w:p>
    <w:p w:rsidR="002A21B9" w:rsidRDefault="002A21B9" w:rsidP="002A21B9">
      <w:pPr>
        <w:pStyle w:val="StandardWeb"/>
      </w:pPr>
      <w:r>
        <w:t>Für eine Menge von (n) Aussagen definiere ich die paarweise Konsistenzmatrix</w:t>
      </w:r>
    </w:p>
    <w:p w:rsidR="002A21B9" w:rsidRDefault="002A21B9" w:rsidP="002A21B9">
      <w:pPr>
        <w:pStyle w:val="berschrift1"/>
      </w:pPr>
      <w:r>
        <w:t>[</w:t>
      </w:r>
      <w:r>
        <w:br/>
        <w:t>\mathbf K</w:t>
      </w:r>
    </w:p>
    <w:p w:rsidR="002A21B9" w:rsidRDefault="002A21B9" w:rsidP="002A21B9">
      <w:pPr>
        <w:pStyle w:val="StandardWeb"/>
      </w:pPr>
      <w:r>
        <w:t>\left[</w:t>
      </w:r>
      <w:r>
        <w:br/>
        <w:t>K_{ij}</w:t>
      </w:r>
      <w:r>
        <w:br/>
        <w:t>\right]_{n\times n}.</w:t>
      </w:r>
      <w:r>
        <w:br/>
        <w:t>\tag{3.7768}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\mathbf K=\left[K_{ij}\right]_{n\times n}\qquad\text{(3.7768)}</w:t>
      </w:r>
    </w:p>
    <w:p w:rsidR="002A21B9" w:rsidRDefault="002A21B9" w:rsidP="002A21B9">
      <w:pPr>
        <w:pStyle w:val="StandardWeb"/>
      </w:pPr>
      <w:r>
        <w:t>Dabei gilt</w:t>
      </w:r>
    </w:p>
    <w:p w:rsidR="002A21B9" w:rsidRDefault="002A21B9" w:rsidP="002A21B9">
      <w:pPr>
        <w:pStyle w:val="berschrift1"/>
      </w:pPr>
      <w:r>
        <w:t>[</w:t>
      </w:r>
      <w:r>
        <w:br/>
        <w:t>K_{ij}</w:t>
      </w:r>
    </w:p>
    <w:p w:rsidR="002A21B9" w:rsidRDefault="002A21B9" w:rsidP="002A21B9">
      <w:pPr>
        <w:pStyle w:val="StandardWeb"/>
      </w:pPr>
      <w:r>
        <w:t>K_F(A_i,A_j).</w:t>
      </w:r>
      <w:r>
        <w:br/>
        <w:t>\tag{3.7769}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K_{ij}=K_F(A_i,A_j)\qquad\text{(3.7769)}</w:t>
      </w:r>
    </w:p>
    <w:p w:rsidR="002A21B9" w:rsidRDefault="002A21B9" w:rsidP="002A21B9">
      <w:pPr>
        <w:pStyle w:val="StandardWeb"/>
      </w:pPr>
      <w:r>
        <w:t>Für intern konsistente Aussagen gilt auf der Hauptdiagonalen</w:t>
      </w:r>
    </w:p>
    <w:p w:rsidR="002A21B9" w:rsidRDefault="002A21B9" w:rsidP="002A21B9">
      <w:pPr>
        <w:pStyle w:val="StandardWeb"/>
      </w:pPr>
      <w:r>
        <w:t>[</w:t>
      </w:r>
      <w:r>
        <w:br/>
        <w:t>K_{ii}=1.</w:t>
      </w:r>
      <w:r>
        <w:br/>
        <w:t>\tag{3.7770}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K_{ii}=1\qquad\text{(3.7770)}</w:t>
      </w:r>
    </w:p>
    <w:p w:rsidR="002A21B9" w:rsidRDefault="002A21B9" w:rsidP="002A21B9">
      <w:pPr>
        <w:pStyle w:val="StandardWeb"/>
      </w:pPr>
      <w:r>
        <w:t>Aus der Symmetrie folgt</w:t>
      </w:r>
    </w:p>
    <w:p w:rsidR="002A21B9" w:rsidRDefault="002A21B9" w:rsidP="002A21B9">
      <w:pPr>
        <w:pStyle w:val="StandardWeb"/>
      </w:pPr>
      <w:r>
        <w:t>[</w:t>
      </w:r>
      <w:r>
        <w:br/>
        <w:t>K_{ij}=K_{ji}.</w:t>
      </w:r>
      <w:r>
        <w:br/>
        <w:t>\tag{3.7771}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K_{ij}=K_{ji}\qquad\text{(3.7771)}</w:t>
      </w:r>
    </w:p>
    <w:p w:rsidR="002A21B9" w:rsidRDefault="002A21B9" w:rsidP="002A21B9">
      <w:pPr>
        <w:pStyle w:val="StandardWeb"/>
      </w:pPr>
      <w:r>
        <w:t>Damit ist (\mathbf K) für paarweise symmetrische Konsistenz eine symmetrische Matrix.</w:t>
      </w:r>
    </w:p>
    <w:p w:rsidR="002A21B9" w:rsidRDefault="00E50336" w:rsidP="002A21B9">
      <w:r>
        <w:pict>
          <v:rect id="_x0000_i1787" style="width:0;height:1.5pt" o:hralign="center" o:hrstd="t" o:hr="t" fillcolor="#a0a0a0" stroked="f"/>
        </w:pict>
      </w:r>
    </w:p>
    <w:p w:rsidR="002A21B9" w:rsidRDefault="002A21B9" w:rsidP="002A21B9">
      <w:pPr>
        <w:pStyle w:val="berschrift1"/>
      </w:pPr>
      <w:r>
        <w:t>3.3.42.53 Konsistenzgradmatrix</w:t>
      </w:r>
    </w:p>
    <w:p w:rsidR="002A21B9" w:rsidRDefault="002A21B9" w:rsidP="002A21B9">
      <w:pPr>
        <w:pStyle w:val="StandardWeb"/>
      </w:pPr>
      <w:r>
        <w:t>Da die binäre Matrix partielle Konsistenz nicht darstellen kann, definiere ich zusätzlich</w:t>
      </w:r>
    </w:p>
    <w:p w:rsidR="002A21B9" w:rsidRDefault="002A21B9" w:rsidP="002A21B9">
      <w:pPr>
        <w:pStyle w:val="berschrift1"/>
      </w:pPr>
      <w:r>
        <w:t>[</w:t>
      </w:r>
      <w:r>
        <w:br/>
        <w:t>\mathbf R_K</w:t>
      </w:r>
    </w:p>
    <w:p w:rsidR="002A21B9" w:rsidRDefault="002A21B9" w:rsidP="002A21B9">
      <w:pPr>
        <w:pStyle w:val="StandardWeb"/>
      </w:pPr>
      <w:r>
        <w:t>\left[</w:t>
      </w:r>
      <w:r>
        <w:br/>
        <w:t>R_{K,ij}</w:t>
      </w:r>
      <w:r>
        <w:br/>
        <w:t>\right].</w:t>
      </w:r>
      <w:r>
        <w:br/>
        <w:t>\tag{3.7772}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\mathbf R_K=\left[R_{K,ij}\right]\qquad\text{(3.7772)}</w:t>
      </w:r>
    </w:p>
    <w:p w:rsidR="002A21B9" w:rsidRDefault="002A21B9" w:rsidP="002A21B9">
      <w:pPr>
        <w:pStyle w:val="StandardWeb"/>
      </w:pPr>
      <w:r>
        <w:t>mit</w:t>
      </w:r>
    </w:p>
    <w:p w:rsidR="002A21B9" w:rsidRDefault="002A21B9" w:rsidP="002A21B9">
      <w:pPr>
        <w:pStyle w:val="berschrift1"/>
      </w:pPr>
      <w:r>
        <w:t>[</w:t>
      </w:r>
      <w:r>
        <w:br/>
        <w:t>R_{K,ij}</w:t>
      </w:r>
    </w:p>
    <w:p w:rsidR="002A21B9" w:rsidRDefault="002A21B9" w:rsidP="002A21B9">
      <w:pPr>
        <w:pStyle w:val="StandardWeb"/>
      </w:pPr>
      <w:r>
        <w:t>R_K(A_i,A_j).</w:t>
      </w:r>
      <w:r>
        <w:br/>
        <w:t>\tag{3.7773}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R_{K,ij}=R_K(A_i,A_j)\qquad\text{(3.7773)}</w:t>
      </w:r>
    </w:p>
    <w:p w:rsidR="002A21B9" w:rsidRDefault="002A21B9" w:rsidP="002A21B9">
      <w:pPr>
        <w:pStyle w:val="StandardWeb"/>
      </w:pPr>
      <w:r>
        <w:t>Es gilt</w:t>
      </w:r>
    </w:p>
    <w:p w:rsidR="002A21B9" w:rsidRDefault="002A21B9" w:rsidP="002A21B9">
      <w:pPr>
        <w:pStyle w:val="berschrift1"/>
      </w:pPr>
      <w:r>
        <w:lastRenderedPageBreak/>
        <w:t>[</w:t>
      </w:r>
      <w:r>
        <w:br/>
        <w:t>R_{K,ij}</w:t>
      </w:r>
    </w:p>
    <w:p w:rsidR="002A21B9" w:rsidRDefault="002A21B9" w:rsidP="002A21B9">
      <w:pPr>
        <w:pStyle w:val="StandardWeb"/>
      </w:pPr>
      <w:r>
        <w:t>R_{K,ji}.</w:t>
      </w:r>
      <w:r>
        <w:br/>
        <w:t>\tag{3.7774}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R_{K,ij}=R_{K,ji}\qquad\text{(3.7774)}</w:t>
      </w:r>
    </w:p>
    <w:p w:rsidR="002A21B9" w:rsidRDefault="00E50336" w:rsidP="002A21B9">
      <w:r>
        <w:pict>
          <v:rect id="_x0000_i1788" style="width:0;height:1.5pt" o:hralign="center" o:hrstd="t" o:hr="t" fillcolor="#a0a0a0" stroked="f"/>
        </w:pict>
      </w:r>
    </w:p>
    <w:p w:rsidR="002A21B9" w:rsidRDefault="002A21B9" w:rsidP="002A21B9">
      <w:pPr>
        <w:pStyle w:val="berschrift1"/>
      </w:pPr>
      <w:r>
        <w:t>3.3.42.54 Widerspruchsmatrix</w:t>
      </w:r>
    </w:p>
    <w:p w:rsidR="002A21B9" w:rsidRDefault="002A21B9" w:rsidP="002A21B9">
      <w:pPr>
        <w:pStyle w:val="StandardWeb"/>
      </w:pPr>
      <w:r>
        <w:t>Analog definiere ich</w:t>
      </w:r>
    </w:p>
    <w:p w:rsidR="002A21B9" w:rsidRDefault="002A21B9" w:rsidP="002A21B9">
      <w:pPr>
        <w:pStyle w:val="berschrift1"/>
      </w:pPr>
      <w:r>
        <w:t>[</w:t>
      </w:r>
      <w:r>
        <w:br/>
        <w:t>\mathbf W</w:t>
      </w:r>
    </w:p>
    <w:p w:rsidR="002A21B9" w:rsidRDefault="002A21B9" w:rsidP="002A21B9">
      <w:pPr>
        <w:pStyle w:val="StandardWeb"/>
      </w:pPr>
      <w:r>
        <w:t>\left[</w:t>
      </w:r>
      <w:r>
        <w:br/>
        <w:t>W_{ij}</w:t>
      </w:r>
      <w:r>
        <w:br/>
        <w:t>\right].</w:t>
      </w:r>
      <w:r>
        <w:br/>
        <w:t>\tag{3.7775}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\mathbf W=\left[W_{ij}\right]\qquad\text{(3.7775)}</w:t>
      </w:r>
    </w:p>
    <w:p w:rsidR="002A21B9" w:rsidRDefault="002A21B9" w:rsidP="002A21B9">
      <w:pPr>
        <w:pStyle w:val="StandardWeb"/>
      </w:pPr>
      <w:r>
        <w:t>Bei einer vollständig binären Beurteilung kann gelten</w:t>
      </w:r>
    </w:p>
    <w:p w:rsidR="002A21B9" w:rsidRDefault="002A21B9" w:rsidP="002A21B9">
      <w:pPr>
        <w:pStyle w:val="berschrift1"/>
      </w:pPr>
      <w:r>
        <w:t>[</w:t>
      </w:r>
      <w:r>
        <w:br/>
        <w:t>W_{ij}</w:t>
      </w:r>
    </w:p>
    <w:p w:rsidR="002A21B9" w:rsidRDefault="002A21B9" w:rsidP="002A21B9">
      <w:pPr>
        <w:pStyle w:val="StandardWeb"/>
      </w:pPr>
      <w:r>
        <w:t>1-K_{ij}.</w:t>
      </w:r>
      <w:r>
        <w:br/>
        <w:t>\tag{3.7776}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W_{ij}=1-K_{ij}\qquad\text{(3.7776)}</w:t>
      </w:r>
    </w:p>
    <w:p w:rsidR="002A21B9" w:rsidRDefault="002A21B9" w:rsidP="002A21B9">
      <w:pPr>
        <w:pStyle w:val="StandardWeb"/>
      </w:pPr>
      <w:r>
        <w:t>Sobald unentscheidbare oder nichtvergleichbare Fälle vorkommen, reicht diese einfache Beziehung jedoch nicht mehr aus.</w:t>
      </w:r>
    </w:p>
    <w:p w:rsidR="002A21B9" w:rsidRDefault="00E50336" w:rsidP="002A21B9">
      <w:r>
        <w:pict>
          <v:rect id="_x0000_i1789" style="width:0;height:1.5pt" o:hralign="center" o:hrstd="t" o:hr="t" fillcolor="#a0a0a0" stroked="f"/>
        </w:pict>
      </w:r>
    </w:p>
    <w:p w:rsidR="002A21B9" w:rsidRDefault="002A21B9" w:rsidP="002A21B9">
      <w:pPr>
        <w:pStyle w:val="berschrift1"/>
      </w:pPr>
      <w:r>
        <w:lastRenderedPageBreak/>
        <w:t>3.3.42.55 Statusmatrix</w:t>
      </w:r>
    </w:p>
    <w:p w:rsidR="002A21B9" w:rsidRDefault="002A21B9" w:rsidP="002A21B9">
      <w:pPr>
        <w:pStyle w:val="StandardWeb"/>
      </w:pPr>
      <w:r>
        <w:t>Für eine vollständigere Darstellung definiere ich daher</w:t>
      </w:r>
    </w:p>
    <w:p w:rsidR="002A21B9" w:rsidRDefault="002A21B9" w:rsidP="002A21B9">
      <w:pPr>
        <w:pStyle w:val="berschrift1"/>
      </w:pPr>
      <w:r>
        <w:t>[</w:t>
      </w:r>
      <w:r>
        <w:br/>
        <w:t>\mathbf S_K</w:t>
      </w:r>
    </w:p>
    <w:p w:rsidR="002A21B9" w:rsidRDefault="002A21B9" w:rsidP="002A21B9">
      <w:pPr>
        <w:pStyle w:val="StandardWeb"/>
      </w:pPr>
      <w:r>
        <w:t>\left[</w:t>
      </w:r>
      <w:r>
        <w:br/>
        <w:t>s_{ij}</w:t>
      </w:r>
      <w:r>
        <w:br/>
        <w:t>\right]</w:t>
      </w:r>
      <w:r>
        <w:br/>
        <w:t>\tag{3.7777}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\mathbf S_K=\left[s_{ij}\right]\qquad\text{(3.7777)}</w:t>
      </w:r>
    </w:p>
    <w:p w:rsidR="002A21B9" w:rsidRDefault="002A21B9" w:rsidP="002A21B9">
      <w:pPr>
        <w:pStyle w:val="StandardWeb"/>
      </w:pPr>
      <w:r>
        <w:t>mit</w:t>
      </w:r>
    </w:p>
    <w:p w:rsidR="002A21B9" w:rsidRDefault="002A21B9" w:rsidP="002A21B9">
      <w:pPr>
        <w:pStyle w:val="StandardWeb"/>
      </w:pPr>
      <w:r>
        <w:t>[</w:t>
      </w:r>
      <w:r>
        <w:br/>
        <w:t>s_{ij}</w:t>
      </w:r>
      <w:r>
        <w:br/>
        <w:t>\in</w:t>
      </w:r>
      <w:r>
        <w:br/>
        <w:t>\left{</w:t>
      </w:r>
      <w:r>
        <w:br/>
        <w:t>\mathbf{K},</w:t>
      </w:r>
      <w:r>
        <w:br/>
        <w:t>\mathbf{W},</w:t>
      </w:r>
      <w:r>
        <w:br/>
        <w:t>\mathbf{U},</w:t>
      </w:r>
      <w:r>
        <w:br/>
        <w:t>\mathbf{NV}</w:t>
      </w:r>
      <w:r>
        <w:br/>
        <w:t>\right}.</w:t>
      </w:r>
      <w:r>
        <w:br/>
        <w:t>\tag{3.7778}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s_{ij}\in\left\{\mathbf{K},\mathbf{W},\mathbf{U},\mathbf{NV}\right\}\qquad\text{(3.7778)}</w:t>
      </w:r>
    </w:p>
    <w:p w:rsidR="002A21B9" w:rsidRDefault="002A21B9" w:rsidP="002A21B9">
      <w:pPr>
        <w:pStyle w:val="StandardWeb"/>
      </w:pPr>
      <w:r>
        <w:t>Dabei stehen</w:t>
      </w:r>
    </w:p>
    <w:p w:rsidR="002A21B9" w:rsidRDefault="002A21B9" w:rsidP="008C5E65">
      <w:pPr>
        <w:pStyle w:val="StandardWeb"/>
        <w:numPr>
          <w:ilvl w:val="0"/>
          <w:numId w:val="386"/>
        </w:numPr>
      </w:pPr>
      <w:r>
        <w:t>(\mathbf K) für konsistent,</w:t>
      </w:r>
    </w:p>
    <w:p w:rsidR="002A21B9" w:rsidRDefault="002A21B9" w:rsidP="008C5E65">
      <w:pPr>
        <w:pStyle w:val="StandardWeb"/>
        <w:numPr>
          <w:ilvl w:val="0"/>
          <w:numId w:val="386"/>
        </w:numPr>
      </w:pPr>
      <w:r>
        <w:t>(\mathbf W) für widersprüchlich,</w:t>
      </w:r>
    </w:p>
    <w:p w:rsidR="002A21B9" w:rsidRDefault="002A21B9" w:rsidP="008C5E65">
      <w:pPr>
        <w:pStyle w:val="StandardWeb"/>
        <w:numPr>
          <w:ilvl w:val="0"/>
          <w:numId w:val="386"/>
        </w:numPr>
      </w:pPr>
      <w:r>
        <w:t>(\mathbf U) für unentscheidbar,</w:t>
      </w:r>
    </w:p>
    <w:p w:rsidR="002A21B9" w:rsidRDefault="002A21B9" w:rsidP="008C5E65">
      <w:pPr>
        <w:pStyle w:val="StandardWeb"/>
        <w:numPr>
          <w:ilvl w:val="0"/>
          <w:numId w:val="386"/>
        </w:numPr>
      </w:pPr>
      <w:r>
        <w:t>(\mathbf{NV}) für nicht vergleichbar.</w:t>
      </w:r>
    </w:p>
    <w:p w:rsidR="002A21B9" w:rsidRDefault="002A21B9" w:rsidP="002A21B9">
      <w:pPr>
        <w:pStyle w:val="StandardWeb"/>
      </w:pPr>
      <w:r>
        <w:t>Diese Matrix ist für das spätere Repository-Audit besonders geeignet.</w:t>
      </w:r>
    </w:p>
    <w:p w:rsidR="002A21B9" w:rsidRDefault="00E50336" w:rsidP="002A21B9">
      <w:r>
        <w:pict>
          <v:rect id="_x0000_i1790" style="width:0;height:1.5pt" o:hralign="center" o:hrstd="t" o:hr="t" fillcolor="#a0a0a0" stroked="f"/>
        </w:pict>
      </w:r>
    </w:p>
    <w:p w:rsidR="002A21B9" w:rsidRDefault="002A21B9" w:rsidP="002A21B9">
      <w:pPr>
        <w:pStyle w:val="berschrift1"/>
      </w:pPr>
      <w:r>
        <w:t>3.3.42.56 Konsistenzgraph</w:t>
      </w:r>
    </w:p>
    <w:p w:rsidR="002A21B9" w:rsidRDefault="002A21B9" w:rsidP="002A21B9">
      <w:pPr>
        <w:pStyle w:val="StandardWeb"/>
      </w:pPr>
      <w:r>
        <w:lastRenderedPageBreak/>
        <w:t>Die Matrixdarstellung lässt sich als Graph interpretieren.</w:t>
      </w:r>
    </w:p>
    <w:p w:rsidR="002A21B9" w:rsidRDefault="002A21B9" w:rsidP="002A21B9">
      <w:pPr>
        <w:pStyle w:val="StandardWeb"/>
      </w:pPr>
      <w:r>
        <w:t>Ich definiere den Konsistenzgraphen</w:t>
      </w:r>
    </w:p>
    <w:p w:rsidR="002A21B9" w:rsidRDefault="002A21B9" w:rsidP="002A21B9">
      <w:pPr>
        <w:pStyle w:val="berschrift1"/>
      </w:pPr>
      <w:r>
        <w:t>[</w:t>
      </w:r>
      <w:r>
        <w:br/>
        <w:t>\mathcal G_K</w:t>
      </w:r>
    </w:p>
    <w:p w:rsidR="002A21B9" w:rsidRDefault="002A21B9" w:rsidP="002A21B9">
      <w:pPr>
        <w:pStyle w:val="StandardWeb"/>
      </w:pPr>
      <w:r>
        <w:t>\left(</w:t>
      </w:r>
      <w:r>
        <w:br/>
        <w:t>V_K,</w:t>
      </w:r>
      <w:r>
        <w:br/>
        <w:t>E_K</w:t>
      </w:r>
      <w:r>
        <w:br/>
        <w:t>\right).</w:t>
      </w:r>
      <w:r>
        <w:br/>
        <w:t>\tag{3.7779}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G_K=\left(V_K,E_K\right)\qquad\text{(3.7779)}</w:t>
      </w:r>
    </w:p>
    <w:p w:rsidR="002A21B9" w:rsidRDefault="002A21B9" w:rsidP="002A21B9">
      <w:pPr>
        <w:pStyle w:val="StandardWeb"/>
      </w:pPr>
      <w:r>
        <w:t>Die Knotenmenge ist</w:t>
      </w:r>
    </w:p>
    <w:p w:rsidR="002A21B9" w:rsidRDefault="002A21B9" w:rsidP="002A21B9">
      <w:pPr>
        <w:pStyle w:val="berschrift1"/>
      </w:pPr>
      <w:r>
        <w:t>[</w:t>
      </w:r>
      <w:r>
        <w:br/>
        <w:t>V_K</w:t>
      </w:r>
    </w:p>
    <w:p w:rsidR="002A21B9" w:rsidRDefault="002A21B9" w:rsidP="002A21B9">
      <w:pPr>
        <w:pStyle w:val="StandardWeb"/>
      </w:pPr>
      <w:r>
        <w:t>\mathcal A_n.</w:t>
      </w:r>
      <w:r>
        <w:br/>
        <w:t>\tag{3.7780}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V_K=\mathcal A_n\qquad\text{(3.7780)}</w:t>
      </w:r>
    </w:p>
    <w:p w:rsidR="002A21B9" w:rsidRDefault="002A21B9" w:rsidP="002A21B9">
      <w:pPr>
        <w:pStyle w:val="StandardWeb"/>
      </w:pPr>
      <w:r>
        <w:t>Eine Kante</w:t>
      </w:r>
    </w:p>
    <w:p w:rsidR="002A21B9" w:rsidRDefault="002A21B9" w:rsidP="002A21B9">
      <w:pPr>
        <w:pStyle w:val="StandardWeb"/>
      </w:pPr>
      <w:r>
        <w:t>[</w:t>
      </w:r>
      <w:r>
        <w:br/>
        <w:t>(A_i,A_j)</w:t>
      </w:r>
      <w:r>
        <w:br/>
        <w:t>\in</w:t>
      </w:r>
      <w:r>
        <w:br/>
        <w:t>E_K</w:t>
      </w:r>
      <w:r>
        <w:br/>
        <w:t>\tag{3.7781}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(A_i,A_j)\in E_K\qquad\text{(3.7781)}</w:t>
      </w:r>
    </w:p>
    <w:p w:rsidR="002A21B9" w:rsidRDefault="002A21B9" w:rsidP="002A21B9">
      <w:pPr>
        <w:pStyle w:val="StandardWeb"/>
      </w:pPr>
      <w:r>
        <w:t>existiert, wenn</w:t>
      </w:r>
    </w:p>
    <w:p w:rsidR="002A21B9" w:rsidRDefault="002A21B9" w:rsidP="002A21B9">
      <w:pPr>
        <w:pStyle w:val="StandardWeb"/>
      </w:pPr>
      <w:r>
        <w:t>[</w:t>
      </w:r>
      <w:r>
        <w:br/>
        <w:t>K_F(A_i,A_j)=1.</w:t>
      </w:r>
      <w:r>
        <w:br/>
      </w:r>
      <w:r>
        <w:lastRenderedPageBreak/>
        <w:t>\tag{3.7782}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K_F(A_i,A_j)=1\qquad\text{(3.7782)}</w:t>
      </w:r>
    </w:p>
    <w:p w:rsidR="002A21B9" w:rsidRDefault="002A21B9" w:rsidP="002A21B9">
      <w:pPr>
        <w:pStyle w:val="StandardWeb"/>
      </w:pPr>
      <w:r>
        <w:t>Damit repräsentiert der Graph paarweise konsistente Beziehungen.</w:t>
      </w:r>
    </w:p>
    <w:p w:rsidR="002A21B9" w:rsidRDefault="00E50336" w:rsidP="002A21B9">
      <w:r>
        <w:pict>
          <v:rect id="_x0000_i1791" style="width:0;height:1.5pt" o:hralign="center" o:hrstd="t" o:hr="t" fillcolor="#a0a0a0" stroked="f"/>
        </w:pict>
      </w:r>
    </w:p>
    <w:p w:rsidR="002A21B9" w:rsidRDefault="002A21B9" w:rsidP="002A21B9">
      <w:pPr>
        <w:pStyle w:val="berschrift1"/>
      </w:pPr>
      <w:r>
        <w:t>3.3.42.57 Widerspruchsgraph</w:t>
      </w:r>
    </w:p>
    <w:p w:rsidR="002A21B9" w:rsidRDefault="002A21B9" w:rsidP="002A21B9">
      <w:pPr>
        <w:pStyle w:val="StandardWeb"/>
      </w:pPr>
      <w:r>
        <w:t>Analog definiere ich</w:t>
      </w:r>
    </w:p>
    <w:p w:rsidR="002A21B9" w:rsidRDefault="002A21B9" w:rsidP="002A21B9">
      <w:pPr>
        <w:pStyle w:val="berschrift1"/>
      </w:pPr>
      <w:r>
        <w:t>[</w:t>
      </w:r>
      <w:r>
        <w:br/>
        <w:t>\mathcal G_W</w:t>
      </w:r>
    </w:p>
    <w:p w:rsidR="002A21B9" w:rsidRDefault="002A21B9" w:rsidP="002A21B9">
      <w:pPr>
        <w:pStyle w:val="StandardWeb"/>
      </w:pPr>
      <w:r>
        <w:t>\left(</w:t>
      </w:r>
      <w:r>
        <w:br/>
        <w:t>V_W,</w:t>
      </w:r>
      <w:r>
        <w:br/>
        <w:t>E_W</w:t>
      </w:r>
      <w:r>
        <w:br/>
        <w:t>\right),</w:t>
      </w:r>
      <w:r>
        <w:br/>
        <w:t>\tag{3.7783}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G_W=\left(V_W,E_W\right)\qquad\text{(3.7783)}</w:t>
      </w:r>
    </w:p>
    <w:p w:rsidR="002A21B9" w:rsidRDefault="002A21B9" w:rsidP="002A21B9">
      <w:pPr>
        <w:pStyle w:val="StandardWeb"/>
      </w:pPr>
      <w:r>
        <w:t>wobei eine Kante existiert, wenn</w:t>
      </w:r>
    </w:p>
    <w:p w:rsidR="002A21B9" w:rsidRDefault="002A21B9" w:rsidP="002A21B9">
      <w:pPr>
        <w:pStyle w:val="StandardWeb"/>
      </w:pPr>
      <w:r>
        <w:t>[</w:t>
      </w:r>
      <w:r>
        <w:br/>
        <w:t>K_F(A_i,A_j)=0.</w:t>
      </w:r>
      <w:r>
        <w:br/>
        <w:t>\tag{3.7784}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K_F(A_i,A_j)=0\qquad\text{(3.7784)}</w:t>
      </w:r>
    </w:p>
    <w:p w:rsidR="002A21B9" w:rsidRDefault="002A21B9" w:rsidP="002A21B9">
      <w:pPr>
        <w:pStyle w:val="StandardWeb"/>
      </w:pPr>
      <w:r>
        <w:t>Der Widerspruchsgraph macht Konfliktcluster direkt sichtbar.</w:t>
      </w:r>
    </w:p>
    <w:p w:rsidR="002A21B9" w:rsidRDefault="00E50336" w:rsidP="002A21B9">
      <w:r>
        <w:pict>
          <v:rect id="_x0000_i1792" style="width:0;height:1.5pt" o:hralign="center" o:hrstd="t" o:hr="t" fillcolor="#a0a0a0" stroked="f"/>
        </w:pict>
      </w:r>
    </w:p>
    <w:p w:rsidR="002A21B9" w:rsidRDefault="002A21B9" w:rsidP="002A21B9">
      <w:pPr>
        <w:pStyle w:val="berschrift1"/>
      </w:pPr>
      <w:r>
        <w:t>3.3.42.58 Gewichteter Konsistenzgraph</w:t>
      </w:r>
    </w:p>
    <w:p w:rsidR="002A21B9" w:rsidRDefault="002A21B9" w:rsidP="002A21B9">
      <w:pPr>
        <w:pStyle w:val="StandardWeb"/>
      </w:pPr>
      <w:r>
        <w:t>Mit dem Konsistenzgrad können Kanten gewichtet werden:</w:t>
      </w:r>
    </w:p>
    <w:p w:rsidR="002A21B9" w:rsidRDefault="002A21B9" w:rsidP="002A21B9">
      <w:pPr>
        <w:pStyle w:val="berschrift1"/>
      </w:pPr>
      <w:r>
        <w:lastRenderedPageBreak/>
        <w:t>[</w:t>
      </w:r>
      <w:r>
        <w:br/>
        <w:t>w_{ij}^{K}</w:t>
      </w:r>
    </w:p>
    <w:p w:rsidR="002A21B9" w:rsidRDefault="002A21B9" w:rsidP="002A21B9">
      <w:pPr>
        <w:pStyle w:val="StandardWeb"/>
      </w:pPr>
      <w:r>
        <w:t>R_K(A_i,A_j).</w:t>
      </w:r>
      <w:r>
        <w:br/>
        <w:t>\tag{3.7785}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w_{ij}^{K}=R_K(A_i,A_j)\qquad\text{(3.7785)}</w:t>
      </w:r>
    </w:p>
    <w:p w:rsidR="002A21B9" w:rsidRDefault="002A21B9" w:rsidP="002A21B9">
      <w:pPr>
        <w:pStyle w:val="StandardWeb"/>
      </w:pPr>
      <w:r>
        <w:t>Dann gilt</w:t>
      </w:r>
    </w:p>
    <w:p w:rsidR="002A21B9" w:rsidRDefault="002A21B9" w:rsidP="002A21B9">
      <w:pPr>
        <w:pStyle w:val="StandardWeb"/>
      </w:pPr>
      <w:r>
        <w:t>[</w:t>
      </w:r>
      <w:r>
        <w:br/>
        <w:t>w_{ij}^{K}</w:t>
      </w:r>
      <w:r>
        <w:br/>
        <w:t>\in</w:t>
      </w:r>
      <w:r>
        <w:br/>
        <w:t>[0,1].</w:t>
      </w:r>
      <w:r>
        <w:br/>
        <w:t>\tag{3.7786}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w_{ij}^{K}\in[0,1]\qquad\text{(3.7786)}</w:t>
      </w:r>
    </w:p>
    <w:p w:rsidR="002A21B9" w:rsidRDefault="002A21B9" w:rsidP="002A21B9">
      <w:pPr>
        <w:pStyle w:val="StandardWeb"/>
      </w:pPr>
      <w:r>
        <w:t>Damit entsteht</w:t>
      </w:r>
    </w:p>
    <w:p w:rsidR="002A21B9" w:rsidRDefault="002A21B9" w:rsidP="002A21B9">
      <w:pPr>
        <w:pStyle w:val="berschrift1"/>
      </w:pPr>
      <w:r>
        <w:t>[</w:t>
      </w:r>
      <w:r>
        <w:br/>
        <w:t>\mathcal G_K^{w}</w:t>
      </w:r>
    </w:p>
    <w:p w:rsidR="002A21B9" w:rsidRDefault="002A21B9" w:rsidP="002A21B9">
      <w:pPr>
        <w:pStyle w:val="StandardWeb"/>
      </w:pPr>
      <w:r>
        <w:t>\left(</w:t>
      </w:r>
      <w:r>
        <w:br/>
        <w:t>V_K,</w:t>
      </w:r>
      <w:r>
        <w:br/>
        <w:t>E_K,</w:t>
      </w:r>
      <w:r>
        <w:br/>
        <w:t>w^{K}</w:t>
      </w:r>
      <w:r>
        <w:br/>
        <w:t>\right).</w:t>
      </w:r>
      <w:r>
        <w:br/>
        <w:t>\tag{3.7787}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G_K^{w}=\left(V_K,E_K,w^{K}\right)\qquad\text{(3.7787)}</w:t>
      </w:r>
    </w:p>
    <w:p w:rsidR="002A21B9" w:rsidRDefault="00E50336" w:rsidP="002A21B9">
      <w:r>
        <w:pict>
          <v:rect id="_x0000_i1793" style="width:0;height:1.5pt" o:hralign="center" o:hrstd="t" o:hr="t" fillcolor="#a0a0a0" stroked="f"/>
        </w:pict>
      </w:r>
    </w:p>
    <w:p w:rsidR="002A21B9" w:rsidRDefault="002A21B9" w:rsidP="002A21B9">
      <w:pPr>
        <w:pStyle w:val="berschrift1"/>
      </w:pPr>
      <w:r>
        <w:t>3.3.42.59 Konsistenzdichte</w:t>
      </w:r>
    </w:p>
    <w:p w:rsidR="002A21B9" w:rsidRDefault="002A21B9" w:rsidP="002A21B9">
      <w:pPr>
        <w:pStyle w:val="StandardWeb"/>
      </w:pPr>
      <w:r>
        <w:t>Für einen ungewichteten Konsistenzgraphen mit (n) Aussagen definiere ich die Konsistenzdichte</w:t>
      </w:r>
    </w:p>
    <w:p w:rsidR="002A21B9" w:rsidRDefault="002A21B9" w:rsidP="002A21B9">
      <w:pPr>
        <w:pStyle w:val="berschrift1"/>
      </w:pPr>
      <w:r>
        <w:lastRenderedPageBreak/>
        <w:t>[</w:t>
      </w:r>
      <w:r>
        <w:br/>
        <w:t>D_K</w:t>
      </w:r>
    </w:p>
    <w:p w:rsidR="002A21B9" w:rsidRDefault="002A21B9" w:rsidP="002A21B9">
      <w:pPr>
        <w:pStyle w:val="StandardWeb"/>
      </w:pPr>
      <w:r>
        <w:t>\frac{</w:t>
      </w:r>
      <w:r>
        <w:br/>
        <w:t>2|E_K|</w:t>
      </w:r>
      <w:r>
        <w:br/>
        <w:t>}{</w:t>
      </w:r>
      <w:r>
        <w:br/>
        <w:t>n(n-1)</w:t>
      </w:r>
      <w:r>
        <w:br/>
        <w:t>}.</w:t>
      </w:r>
      <w:r>
        <w:br/>
        <w:t>\tag{3.7788}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D_K=\frac{2|E_K|}{n(n-1)}\qquad\text{(3.7788)}</w:t>
      </w:r>
    </w:p>
    <w:p w:rsidR="002A21B9" w:rsidRDefault="002A21B9" w:rsidP="002A21B9">
      <w:pPr>
        <w:pStyle w:val="StandardWeb"/>
      </w:pPr>
      <w:r>
        <w:t>Es gilt</w:t>
      </w:r>
    </w:p>
    <w:p w:rsidR="002A21B9" w:rsidRDefault="002A21B9" w:rsidP="002A21B9">
      <w:pPr>
        <w:pStyle w:val="StandardWeb"/>
      </w:pPr>
      <w:r>
        <w:t>[</w:t>
      </w:r>
      <w:r>
        <w:br/>
        <w:t>0</w:t>
      </w:r>
      <w:r>
        <w:br/>
        <w:t>\leq</w:t>
      </w:r>
      <w:r>
        <w:br/>
        <w:t>D_K</w:t>
      </w:r>
      <w:r>
        <w:br/>
        <w:t>\leq</w:t>
      </w:r>
      <w:r>
        <w:br/>
        <w:t>1.</w:t>
      </w:r>
      <w:r>
        <w:br/>
        <w:t>\tag{3.7789}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0\leq D_K\leq1\qquad\text{(3.7789)}</w:t>
      </w:r>
    </w:p>
    <w:p w:rsidR="002A21B9" w:rsidRDefault="002A21B9" w:rsidP="002A21B9">
      <w:pPr>
        <w:pStyle w:val="StandardWeb"/>
      </w:pPr>
      <w:r>
        <w:t>Für</w:t>
      </w:r>
    </w:p>
    <w:p w:rsidR="002A21B9" w:rsidRDefault="002A21B9" w:rsidP="002A21B9">
      <w:pPr>
        <w:pStyle w:val="StandardWeb"/>
      </w:pPr>
      <w:r>
        <w:t>[</w:t>
      </w:r>
      <w:r>
        <w:br/>
        <w:t>D_K=1</w:t>
      </w:r>
      <w:r>
        <w:br/>
        <w:t>\tag{3.7790}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D_K=1\qquad\text{(3.7790)}</w:t>
      </w:r>
    </w:p>
    <w:p w:rsidR="002A21B9" w:rsidRDefault="002A21B9" w:rsidP="002A21B9">
      <w:pPr>
        <w:pStyle w:val="StandardWeb"/>
      </w:pPr>
      <w:r>
        <w:t>sind alle Aussagen paarweise konsistent.</w:t>
      </w:r>
    </w:p>
    <w:p w:rsidR="002A21B9" w:rsidRDefault="002A21B9" w:rsidP="002A21B9">
      <w:pPr>
        <w:pStyle w:val="StandardWeb"/>
      </w:pPr>
      <w:r>
        <w:t>Dies bedeutet jedoch noch nicht automatisch gemeinsame Mengenkonsistenz.</w:t>
      </w:r>
    </w:p>
    <w:p w:rsidR="002A21B9" w:rsidRDefault="00E50336" w:rsidP="002A21B9">
      <w:r>
        <w:pict>
          <v:rect id="_x0000_i1794" style="width:0;height:1.5pt" o:hralign="center" o:hrstd="t" o:hr="t" fillcolor="#a0a0a0" stroked="f"/>
        </w:pict>
      </w:r>
    </w:p>
    <w:p w:rsidR="002A21B9" w:rsidRDefault="002A21B9" w:rsidP="002A21B9">
      <w:pPr>
        <w:pStyle w:val="berschrift1"/>
      </w:pPr>
      <w:r>
        <w:t>3.3.42.60 Widerspruchsdichte</w:t>
      </w:r>
    </w:p>
    <w:p w:rsidR="002A21B9" w:rsidRDefault="002A21B9" w:rsidP="002A21B9">
      <w:pPr>
        <w:pStyle w:val="StandardWeb"/>
      </w:pPr>
      <w:r>
        <w:t>Analog definiere ich</w:t>
      </w:r>
    </w:p>
    <w:p w:rsidR="002A21B9" w:rsidRDefault="002A21B9" w:rsidP="002A21B9">
      <w:pPr>
        <w:pStyle w:val="berschrift1"/>
      </w:pPr>
      <w:r>
        <w:lastRenderedPageBreak/>
        <w:t>[</w:t>
      </w:r>
      <w:r>
        <w:br/>
        <w:t>D_W</w:t>
      </w:r>
    </w:p>
    <w:p w:rsidR="002A21B9" w:rsidRDefault="002A21B9" w:rsidP="002A21B9">
      <w:pPr>
        <w:pStyle w:val="StandardWeb"/>
      </w:pPr>
      <w:r>
        <w:t>\frac{</w:t>
      </w:r>
      <w:r>
        <w:br/>
        <w:t>2|E_W|</w:t>
      </w:r>
      <w:r>
        <w:br/>
        <w:t>}{</w:t>
      </w:r>
      <w:r>
        <w:br/>
        <w:t>n(n-1)</w:t>
      </w:r>
      <w:r>
        <w:br/>
        <w:t>}.</w:t>
      </w:r>
      <w:r>
        <w:br/>
        <w:t>\tag{3.7791}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D_W=\frac{2|E_W|}{n(n-1)}\qquad\text{(3.7791)}</w:t>
      </w:r>
    </w:p>
    <w:p w:rsidR="002A21B9" w:rsidRDefault="002A21B9" w:rsidP="002A21B9">
      <w:pPr>
        <w:pStyle w:val="StandardWeb"/>
      </w:pPr>
      <w:r>
        <w:t>Ein hoher Wert zeigt eine stark konfliktbehaftete Aussagenstruktur.</w:t>
      </w:r>
    </w:p>
    <w:p w:rsidR="002A21B9" w:rsidRDefault="00E50336" w:rsidP="002A21B9">
      <w:r>
        <w:pict>
          <v:rect id="_x0000_i1795" style="width:0;height:1.5pt" o:hralign="center" o:hrstd="t" o:hr="t" fillcolor="#a0a0a0" stroked="f"/>
        </w:pict>
      </w:r>
    </w:p>
    <w:p w:rsidR="002A21B9" w:rsidRDefault="002A21B9" w:rsidP="002A21B9">
      <w:pPr>
        <w:pStyle w:val="berschrift1"/>
      </w:pPr>
      <w:r>
        <w:t>3.3.42.61 Konsistenzgrad eines Knotens</w:t>
      </w:r>
    </w:p>
    <w:p w:rsidR="002A21B9" w:rsidRDefault="002A21B9" w:rsidP="002A21B9">
      <w:pPr>
        <w:pStyle w:val="StandardWeb"/>
      </w:pPr>
      <w:r>
        <w:t>Für eine einzelne Aussage (A_i) definiere ich</w:t>
      </w:r>
    </w:p>
    <w:p w:rsidR="002A21B9" w:rsidRDefault="002A21B9" w:rsidP="002A21B9">
      <w:pPr>
        <w:pStyle w:val="berschrift1"/>
      </w:pPr>
      <w:r>
        <w:t>[</w:t>
      </w:r>
      <w:r>
        <w:br/>
        <w:t>d_i^{K}</w:t>
      </w:r>
    </w:p>
    <w:p w:rsidR="002A21B9" w:rsidRDefault="002A21B9" w:rsidP="002A21B9">
      <w:pPr>
        <w:pStyle w:val="StandardWeb"/>
      </w:pPr>
      <w:r>
        <w:t>\sum_{j\neq i}</w:t>
      </w:r>
      <w:r>
        <w:br/>
        <w:t>K_{ij}.</w:t>
      </w:r>
      <w:r>
        <w:br/>
        <w:t>\tag{3.7792}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d_i^{K}=\sum_{j\neq i}K_{ij}\qquad\text{(3.7792)}</w:t>
      </w:r>
    </w:p>
    <w:p w:rsidR="002A21B9" w:rsidRDefault="002A21B9" w:rsidP="002A21B9">
      <w:pPr>
        <w:pStyle w:val="StandardWeb"/>
      </w:pPr>
      <w:r>
        <w:t>Der normierte Wert lautet</w:t>
      </w:r>
    </w:p>
    <w:p w:rsidR="002A21B9" w:rsidRDefault="002A21B9" w:rsidP="002A21B9">
      <w:pPr>
        <w:pStyle w:val="berschrift1"/>
      </w:pPr>
      <w:r>
        <w:t>[</w:t>
      </w:r>
      <w:r>
        <w:br/>
        <w:t>\bar d_i^{K}</w:t>
      </w:r>
    </w:p>
    <w:p w:rsidR="002A21B9" w:rsidRDefault="002A21B9" w:rsidP="002A21B9">
      <w:pPr>
        <w:pStyle w:val="StandardWeb"/>
      </w:pPr>
      <w:r>
        <w:t>\frac{</w:t>
      </w:r>
      <w:r>
        <w:br/>
        <w:t>d_i^{K}</w:t>
      </w:r>
      <w:r>
        <w:br/>
        <w:t>}{</w:t>
      </w:r>
      <w:r>
        <w:br/>
        <w:t>n-1</w:t>
      </w:r>
      <w:r>
        <w:br/>
        <w:t>}.</w:t>
      </w:r>
      <w:r>
        <w:br/>
        <w:t>\tag{3.7793}</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\bar d_i^{K}=\frac{d_i^{K}}{n-1}\qquad\text{(3.7793)}</w:t>
      </w:r>
    </w:p>
    <w:p w:rsidR="002A21B9" w:rsidRDefault="002A21B9" w:rsidP="002A21B9">
      <w:pPr>
        <w:pStyle w:val="StandardWeb"/>
      </w:pPr>
      <w:r>
        <w:t>Dieser Wert zeigt, mit welchem Anteil der übrigen Aussagen (A_i) paarweise konsistent ist.</w:t>
      </w:r>
    </w:p>
    <w:p w:rsidR="002A21B9" w:rsidRDefault="00E50336" w:rsidP="002A21B9">
      <w:r>
        <w:pict>
          <v:rect id="_x0000_i1796" style="width:0;height:1.5pt" o:hralign="center" o:hrstd="t" o:hr="t" fillcolor="#a0a0a0" stroked="f"/>
        </w:pict>
      </w:r>
    </w:p>
    <w:p w:rsidR="002A21B9" w:rsidRDefault="002A21B9" w:rsidP="002A21B9">
      <w:pPr>
        <w:pStyle w:val="berschrift1"/>
      </w:pPr>
      <w:r>
        <w:t>3.3.42.62 Konfliktgrad eines Knotens</w:t>
      </w:r>
    </w:p>
    <w:p w:rsidR="002A21B9" w:rsidRDefault="002A21B9" w:rsidP="002A21B9">
      <w:pPr>
        <w:pStyle w:val="StandardWeb"/>
      </w:pPr>
      <w:r>
        <w:t>Analog gilt</w:t>
      </w:r>
    </w:p>
    <w:p w:rsidR="002A21B9" w:rsidRDefault="002A21B9" w:rsidP="002A21B9">
      <w:pPr>
        <w:pStyle w:val="berschrift1"/>
      </w:pPr>
      <w:r>
        <w:t>[</w:t>
      </w:r>
      <w:r>
        <w:br/>
        <w:t>d_i^{W}</w:t>
      </w:r>
    </w:p>
    <w:p w:rsidR="002A21B9" w:rsidRDefault="002A21B9" w:rsidP="002A21B9">
      <w:pPr>
        <w:pStyle w:val="StandardWeb"/>
      </w:pPr>
      <w:r>
        <w:t>\sum_{j\neq i}</w:t>
      </w:r>
      <w:r>
        <w:br/>
        <w:t>W_{ij}.</w:t>
      </w:r>
      <w:r>
        <w:br/>
        <w:t>\tag{3.7794}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d_i^{W}=\sum_{j\neq i}W_{ij}\qquad\text{(3.7794)}</w:t>
      </w:r>
    </w:p>
    <w:p w:rsidR="002A21B9" w:rsidRDefault="002A21B9" w:rsidP="002A21B9">
      <w:pPr>
        <w:pStyle w:val="StandardWeb"/>
      </w:pPr>
      <w:r>
        <w:t>Ein hoher Konfliktgrad kann eine Aussage identifizieren, die mit vielen anderen Aussagen kollidiert.</w:t>
      </w:r>
    </w:p>
    <w:p w:rsidR="002A21B9" w:rsidRDefault="002A21B9" w:rsidP="002A21B9">
      <w:pPr>
        <w:pStyle w:val="StandardWeb"/>
      </w:pPr>
      <w:r>
        <w:t>Dies bedeutet noch nicht, dass diese Aussage falsch ist. Sie kann auch auf einen grundlegenden Modellkonflikt oder eine fehlerhafte gemeinsame Voraussetzung hinweisen.</w:t>
      </w:r>
    </w:p>
    <w:p w:rsidR="002A21B9" w:rsidRDefault="00E50336" w:rsidP="002A21B9">
      <w:r>
        <w:pict>
          <v:rect id="_x0000_i1797" style="width:0;height:1.5pt" o:hralign="center" o:hrstd="t" o:hr="t" fillcolor="#a0a0a0" stroked="f"/>
        </w:pict>
      </w:r>
    </w:p>
    <w:p w:rsidR="002A21B9" w:rsidRDefault="002A21B9" w:rsidP="002A21B9">
      <w:pPr>
        <w:pStyle w:val="berschrift1"/>
      </w:pPr>
      <w:r>
        <w:t>3.3.42.63 Konfliktzentralität</w:t>
      </w:r>
    </w:p>
    <w:p w:rsidR="002A21B9" w:rsidRDefault="002A21B9" w:rsidP="002A21B9">
      <w:pPr>
        <w:pStyle w:val="StandardWeb"/>
      </w:pPr>
      <w:r>
        <w:t>Ich definiere eine einfache Konfliktzentralität</w:t>
      </w:r>
    </w:p>
    <w:p w:rsidR="002A21B9" w:rsidRDefault="002A21B9" w:rsidP="002A21B9">
      <w:pPr>
        <w:pStyle w:val="berschrift1"/>
      </w:pPr>
      <w:r>
        <w:t>[</w:t>
      </w:r>
      <w:r>
        <w:br/>
        <w:t>C_W(A_i)</w:t>
      </w:r>
    </w:p>
    <w:p w:rsidR="002A21B9" w:rsidRDefault="002A21B9" w:rsidP="002A21B9">
      <w:pPr>
        <w:pStyle w:val="StandardWeb"/>
      </w:pPr>
      <w:r>
        <w:t>\frac{</w:t>
      </w:r>
      <w:r>
        <w:br/>
        <w:t>d_i^{W}</w:t>
      </w:r>
      <w:r>
        <w:br/>
        <w:t>}{</w:t>
      </w:r>
      <w:r>
        <w:br/>
        <w:t>n-1</w:t>
      </w:r>
      <w:r>
        <w:br/>
        <w:t>}.</w:t>
      </w:r>
      <w:r>
        <w:br/>
        <w:t>\tag{3.7795}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C_W(A_i)=\frac{d_i^{W}}{n-1}\qquad\text{(3.7795)}</w:t>
      </w:r>
    </w:p>
    <w:p w:rsidR="002A21B9" w:rsidRDefault="002A21B9" w:rsidP="002A21B9">
      <w:pPr>
        <w:pStyle w:val="StandardWeb"/>
      </w:pPr>
      <w:r>
        <w:t>Für</w:t>
      </w:r>
    </w:p>
    <w:p w:rsidR="002A21B9" w:rsidRDefault="002A21B9" w:rsidP="002A21B9">
      <w:pPr>
        <w:pStyle w:val="StandardWeb"/>
      </w:pPr>
      <w:r>
        <w:t>[</w:t>
      </w:r>
      <w:r>
        <w:br/>
        <w:t>C_W(A_i)\approx1</w:t>
      </w:r>
      <w:r>
        <w:br/>
        <w:t>\tag{3.7796}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C_W(A_i)\approx1\qquad\text{(3.7796)}</w:t>
      </w:r>
    </w:p>
    <w:p w:rsidR="002A21B9" w:rsidRDefault="002A21B9" w:rsidP="002A21B9">
      <w:pPr>
        <w:pStyle w:val="StandardWeb"/>
      </w:pPr>
      <w:r>
        <w:t>steht die Aussage mit nahezu allen anderen Aussagen im Konflikt.</w:t>
      </w:r>
    </w:p>
    <w:p w:rsidR="002A21B9" w:rsidRDefault="00E50336" w:rsidP="002A21B9">
      <w:r>
        <w:pict>
          <v:rect id="_x0000_i1798" style="width:0;height:1.5pt" o:hralign="center" o:hrstd="t" o:hr="t" fillcolor="#a0a0a0" stroked="f"/>
        </w:pict>
      </w:r>
    </w:p>
    <w:p w:rsidR="002A21B9" w:rsidRDefault="002A21B9" w:rsidP="002A21B9">
      <w:pPr>
        <w:pStyle w:val="berschrift1"/>
      </w:pPr>
      <w:r>
        <w:t>3.3.42.64 Konsistenzcluster</w:t>
      </w:r>
    </w:p>
    <w:p w:rsidR="002A21B9" w:rsidRDefault="002A21B9" w:rsidP="002A21B9">
      <w:pPr>
        <w:pStyle w:val="StandardWeb"/>
      </w:pPr>
      <w:r>
        <w:t>Eine Teilmenge</w:t>
      </w:r>
    </w:p>
    <w:p w:rsidR="002A21B9" w:rsidRDefault="002A21B9" w:rsidP="002A21B9">
      <w:pPr>
        <w:pStyle w:val="StandardWeb"/>
      </w:pPr>
      <w:r>
        <w:t>[</w:t>
      </w:r>
      <w:r>
        <w:br/>
        <w:t>\mathcal C_K</w:t>
      </w:r>
      <w:r>
        <w:br/>
        <w:t>\subseteq</w:t>
      </w:r>
      <w:r>
        <w:br/>
        <w:t>\mathcal A_n</w:t>
      </w:r>
      <w:r>
        <w:br/>
        <w:t>\tag{3.7797}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C_K\subseteq\mathcal A_n\qquad\text{(3.7797)}</w:t>
      </w:r>
    </w:p>
    <w:p w:rsidR="002A21B9" w:rsidRDefault="002A21B9" w:rsidP="002A21B9">
      <w:pPr>
        <w:pStyle w:val="StandardWeb"/>
      </w:pPr>
      <w:r>
        <w:t>bezeichne ich als Konsistenzcluster, wenn die Aussagen innerhalb dieser Teilmenge einen hohen paarweisen Konsistenzgrad besitzen.</w:t>
      </w:r>
    </w:p>
    <w:p w:rsidR="002A21B9" w:rsidRDefault="002A21B9" w:rsidP="002A21B9">
      <w:pPr>
        <w:pStyle w:val="StandardWeb"/>
      </w:pPr>
      <w:r>
        <w:t>Eine strenge Variante verlangt</w:t>
      </w:r>
    </w:p>
    <w:p w:rsidR="002A21B9" w:rsidRDefault="002A21B9" w:rsidP="002A21B9">
      <w:pPr>
        <w:pStyle w:val="StandardWeb"/>
      </w:pPr>
      <w:r>
        <w:t>[</w:t>
      </w:r>
      <w:r>
        <w:br/>
        <w:t>K_{ij}=1</w:t>
      </w:r>
      <w:r>
        <w:br/>
        <w:t>\qquad</w:t>
      </w:r>
      <w:r>
        <w:br/>
        <w:t>\forall</w:t>
      </w:r>
      <w:r>
        <w:br/>
        <w:t>A_i,A_j</w:t>
      </w:r>
      <w:r>
        <w:br/>
        <w:t>\in</w:t>
      </w:r>
      <w:r>
        <w:br/>
        <w:t>\mathcal C_K.</w:t>
      </w:r>
      <w:r>
        <w:br/>
        <w:t>\tag{3.7798}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K_{ij}=1\qquad\forall A_i,A_j\in\mathcal C_K\qquad\text{(3.7798)}</w:t>
      </w:r>
    </w:p>
    <w:p w:rsidR="002A21B9" w:rsidRDefault="002A21B9" w:rsidP="002A21B9">
      <w:pPr>
        <w:pStyle w:val="StandardWeb"/>
      </w:pPr>
      <w:r>
        <w:lastRenderedPageBreak/>
        <w:t>Graphentheoretisch entspricht dies einer Clique des Konsistenzgraphen.</w:t>
      </w:r>
    </w:p>
    <w:p w:rsidR="002A21B9" w:rsidRDefault="00E50336" w:rsidP="002A21B9">
      <w:r>
        <w:pict>
          <v:rect id="_x0000_i1799" style="width:0;height:1.5pt" o:hralign="center" o:hrstd="t" o:hr="t" fillcolor="#a0a0a0" stroked="f"/>
        </w:pict>
      </w:r>
    </w:p>
    <w:p w:rsidR="002A21B9" w:rsidRDefault="002A21B9" w:rsidP="002A21B9">
      <w:pPr>
        <w:pStyle w:val="berschrift1"/>
      </w:pPr>
      <w:r>
        <w:t>3.3.42.65 Maximales Konsistenzcluster</w:t>
      </w:r>
    </w:p>
    <w:p w:rsidR="002A21B9" w:rsidRDefault="002A21B9" w:rsidP="002A21B9">
      <w:pPr>
        <w:pStyle w:val="StandardWeb"/>
      </w:pPr>
      <w:r>
        <w:t>Ein maximales Konsistenzcluster erfüllt</w:t>
      </w:r>
    </w:p>
    <w:p w:rsidR="002A21B9" w:rsidRDefault="002A21B9" w:rsidP="002A21B9">
      <w:pPr>
        <w:pStyle w:val="StandardWeb"/>
      </w:pPr>
      <w:r>
        <w:t>[</w:t>
      </w:r>
      <w:r>
        <w:br/>
        <w:t>\nexists</w:t>
      </w:r>
      <w:r>
        <w:br/>
        <w:t>\mathcal C_K'</w:t>
      </w:r>
      <w:r>
        <w:br/>
        <w:t>\supset</w:t>
      </w:r>
      <w:r>
        <w:br/>
        <w:t>\mathcal C_K</w:t>
      </w:r>
      <w:r>
        <w:br/>
        <w:t>\tag{3.7799}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\nexists\mathcal C_K^{\prime}\supset\mathcal C_K\qquad\text{(3.7799)}</w:t>
      </w:r>
    </w:p>
    <w:p w:rsidR="002A21B9" w:rsidRDefault="002A21B9" w:rsidP="002A21B9">
      <w:pPr>
        <w:pStyle w:val="StandardWeb"/>
      </w:pPr>
      <w:r>
        <w:t>mit derselben vollständigen paarweisen Konsistenzeigenschaft.</w:t>
      </w:r>
    </w:p>
    <w:p w:rsidR="002A21B9" w:rsidRDefault="002A21B9" w:rsidP="002A21B9">
      <w:pPr>
        <w:pStyle w:val="StandardWeb"/>
      </w:pPr>
      <w:r>
        <w:t>Ein solches Cluster kann einen intern besonders verträglichen Theorieblock repräsentieren.</w:t>
      </w:r>
    </w:p>
    <w:p w:rsidR="002A21B9" w:rsidRDefault="00E50336" w:rsidP="002A21B9">
      <w:r>
        <w:pict>
          <v:rect id="_x0000_i1800" style="width:0;height:1.5pt" o:hralign="center" o:hrstd="t" o:hr="t" fillcolor="#a0a0a0" stroked="f"/>
        </w:pict>
      </w:r>
    </w:p>
    <w:p w:rsidR="002A21B9" w:rsidRDefault="002A21B9" w:rsidP="002A21B9">
      <w:pPr>
        <w:pStyle w:val="berschrift1"/>
      </w:pPr>
      <w:r>
        <w:t>3.3.42.66 Konsistenzcluster ist nicht automatisch global konsistent</w:t>
      </w:r>
    </w:p>
    <w:p w:rsidR="002A21B9" w:rsidRDefault="002A21B9" w:rsidP="002A21B9">
      <w:pPr>
        <w:pStyle w:val="StandardWeb"/>
      </w:pPr>
      <w:r>
        <w:t>Wegen der Nichttransitivität und der Unterscheidung zwischen paarweiser und gemeinsamer Konsistenz gilt ausdrücklich</w:t>
      </w:r>
    </w:p>
    <w:p w:rsidR="002A21B9" w:rsidRDefault="002A21B9" w:rsidP="002A21B9">
      <w:pPr>
        <w:pStyle w:val="StandardWeb"/>
      </w:pPr>
      <w:r>
        <w:t>[</w:t>
      </w:r>
      <w:r>
        <w:br/>
        <w:t>\forall i\neq j:</w:t>
      </w:r>
      <w:r>
        <w:br/>
        <w:t>K_{ij}=1</w:t>
      </w:r>
      <w:r>
        <w:br/>
        <w:t>\nRightarrow</w:t>
      </w:r>
      <w:r>
        <w:br/>
        <w:t>K_F(\mathcal C_K)=1.</w:t>
      </w:r>
      <w:r>
        <w:br/>
        <w:t>\tag{3.7800}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\forall i\neq j:K_{ij}=1\nRightarrow K_F(\mathcal C_K)=1\qquad\text{(3.7800)}</w:t>
      </w:r>
    </w:p>
    <w:p w:rsidR="002A21B9" w:rsidRDefault="002A21B9" w:rsidP="002A21B9">
      <w:pPr>
        <w:pStyle w:val="StandardWeb"/>
      </w:pPr>
      <w:r>
        <w:t>Damit muss jedes Kandidatencluster zusätzlich als Gesamtheit geprüft werden.</w:t>
      </w:r>
    </w:p>
    <w:p w:rsidR="002A21B9" w:rsidRDefault="00E50336" w:rsidP="002A21B9">
      <w:r>
        <w:pict>
          <v:rect id="_x0000_i1801" style="width:0;height:1.5pt" o:hralign="center" o:hrstd="t" o:hr="t" fillcolor="#a0a0a0" stroked="f"/>
        </w:pict>
      </w:r>
    </w:p>
    <w:p w:rsidR="002A21B9" w:rsidRDefault="002A21B9" w:rsidP="002A21B9">
      <w:pPr>
        <w:pStyle w:val="berschrift1"/>
      </w:pPr>
      <w:r>
        <w:t>3.3.42.67 Minimal inkonsistente Teilmenge</w:t>
      </w:r>
    </w:p>
    <w:p w:rsidR="002A21B9" w:rsidRDefault="002A21B9" w:rsidP="002A21B9">
      <w:pPr>
        <w:pStyle w:val="StandardWeb"/>
      </w:pPr>
      <w:r>
        <w:lastRenderedPageBreak/>
        <w:t>Eine besonders informative Struktur ist eine Aussagegruppe, die gemeinsam inkonsistent ist, deren echte Teilmengen jedoch konsistent sind.</w:t>
      </w:r>
    </w:p>
    <w:p w:rsidR="002A21B9" w:rsidRDefault="002A21B9" w:rsidP="002A21B9">
      <w:pPr>
        <w:pStyle w:val="berschrift3"/>
      </w:pPr>
      <w:r>
        <w:t>Definition 3.3.46 (Minimal inkonsistente Aussagenmenge)</w:t>
      </w:r>
    </w:p>
    <w:p w:rsidR="002A21B9" w:rsidRDefault="002A21B9" w:rsidP="002A21B9">
      <w:pPr>
        <w:pStyle w:val="StandardWeb"/>
      </w:pPr>
      <w:r>
        <w:t>Eine Menge</w:t>
      </w:r>
    </w:p>
    <w:p w:rsidR="002A21B9" w:rsidRDefault="002A21B9" w:rsidP="002A21B9">
      <w:pPr>
        <w:pStyle w:val="StandardWeb"/>
      </w:pPr>
      <w:r>
        <w:t>[</w:t>
      </w:r>
      <w:r>
        <w:br/>
        <w:t>\mathcal M_W</w:t>
      </w:r>
      <w:r>
        <w:br/>
        <w:t>\subseteq</w:t>
      </w:r>
      <w:r>
        <w:br/>
        <w:t>\mathcal A_n</w:t>
      </w:r>
      <w:r>
        <w:br/>
        <w:t>\tag{3.7801}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M_W\subseteq\mathcal A_n\qquad\text{(3.7801)}</w:t>
      </w:r>
    </w:p>
    <w:p w:rsidR="002A21B9" w:rsidRDefault="002A21B9" w:rsidP="002A21B9">
      <w:pPr>
        <w:pStyle w:val="StandardWeb"/>
      </w:pPr>
      <w:r>
        <w:t>heißt minimal inkonsistent, wenn</w:t>
      </w:r>
    </w:p>
    <w:p w:rsidR="002A21B9" w:rsidRDefault="002A21B9" w:rsidP="002A21B9">
      <w:pPr>
        <w:pStyle w:val="StandardWeb"/>
      </w:pPr>
      <w:r>
        <w:t>[</w:t>
      </w:r>
      <w:r>
        <w:br/>
        <w:t>K_F(\mathcal M_W)=0</w:t>
      </w:r>
      <w:r>
        <w:br/>
        <w:t>\tag{3.7802}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K_F(\mathcal M_W)=0\qquad\text{(3.7802)}</w:t>
      </w:r>
    </w:p>
    <w:p w:rsidR="002A21B9" w:rsidRDefault="002A21B9" w:rsidP="002A21B9">
      <w:pPr>
        <w:pStyle w:val="StandardWeb"/>
      </w:pPr>
      <w:r>
        <w:t>und zugleich</w:t>
      </w:r>
    </w:p>
    <w:p w:rsidR="002A21B9" w:rsidRDefault="002A21B9" w:rsidP="002A21B9">
      <w:pPr>
        <w:pStyle w:val="StandardWeb"/>
      </w:pPr>
      <w:r>
        <w:t>[</w:t>
      </w:r>
      <w:r>
        <w:br/>
        <w:t>K_F(\mathcal M_W\setminus{A_i})=1</w:t>
      </w:r>
      <w:r>
        <w:br/>
        <w:t>\qquad</w:t>
      </w:r>
      <w:r>
        <w:br/>
        <w:t>\forall</w:t>
      </w:r>
      <w:r>
        <w:br/>
        <w:t>A_i\in\mathcal M_W.</w:t>
      </w:r>
      <w:r>
        <w:br/>
        <w:t>\tag{3.7803}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K_F\left(\mathcal M_W\setminus\{A_i\}\right)=1\qquad\forall A_i\in\mathcal M_W\qquad\text{(3.7803)}</w:t>
      </w:r>
    </w:p>
    <w:p w:rsidR="002A21B9" w:rsidRDefault="002A21B9" w:rsidP="002A21B9">
      <w:pPr>
        <w:pStyle w:val="StandardWeb"/>
      </w:pPr>
      <w:r>
        <w:t>Diese Struktur lokalisiert den kleinstmöglichen Konfliktkern.</w:t>
      </w:r>
    </w:p>
    <w:p w:rsidR="002A21B9" w:rsidRDefault="00E50336" w:rsidP="002A21B9">
      <w:r>
        <w:pict>
          <v:rect id="_x0000_i1802" style="width:0;height:1.5pt" o:hralign="center" o:hrstd="t" o:hr="t" fillcolor="#a0a0a0" stroked="f"/>
        </w:pict>
      </w:r>
    </w:p>
    <w:p w:rsidR="002A21B9" w:rsidRDefault="002A21B9" w:rsidP="002A21B9">
      <w:pPr>
        <w:pStyle w:val="berschrift1"/>
      </w:pPr>
      <w:r>
        <w:t>3.3.42.68 Konfliktkern</w:t>
      </w:r>
    </w:p>
    <w:p w:rsidR="002A21B9" w:rsidRDefault="002A21B9" w:rsidP="002A21B9">
      <w:pPr>
        <w:pStyle w:val="StandardWeb"/>
      </w:pPr>
      <w:r>
        <w:t>Ich bezeichne eine minimal inkonsistente Teilmenge auch als Konfliktkern:</w:t>
      </w:r>
    </w:p>
    <w:p w:rsidR="002A21B9" w:rsidRDefault="002A21B9" w:rsidP="002A21B9">
      <w:pPr>
        <w:pStyle w:val="berschrift1"/>
      </w:pPr>
      <w:r>
        <w:lastRenderedPageBreak/>
        <w:t>[</w:t>
      </w:r>
      <w:r>
        <w:br/>
        <w:t>\mathcal K_W</w:t>
      </w:r>
    </w:p>
    <w:p w:rsidR="002A21B9" w:rsidRDefault="002A21B9" w:rsidP="002A21B9">
      <w:pPr>
        <w:pStyle w:val="StandardWeb"/>
      </w:pPr>
      <w:r>
        <w:t>\mathcal M_W.</w:t>
      </w:r>
      <w:r>
        <w:br/>
        <w:t>\tag{3.7804}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K_W=\mathcal M_W\qquad\text{(3.7804)}</w:t>
      </w:r>
    </w:p>
    <w:p w:rsidR="002A21B9" w:rsidRDefault="002A21B9" w:rsidP="002A21B9">
      <w:pPr>
        <w:pStyle w:val="StandardWeb"/>
      </w:pPr>
      <w:r>
        <w:t>Der Konfliktkern ist methodisch besonders wertvoll, weil er die Suche nach Widerspruchsursachen auf eine minimale Aussagegruppe reduziert.</w:t>
      </w:r>
    </w:p>
    <w:p w:rsidR="002A21B9" w:rsidRDefault="00E50336" w:rsidP="002A21B9">
      <w:r>
        <w:pict>
          <v:rect id="_x0000_i1803" style="width:0;height:1.5pt" o:hralign="center" o:hrstd="t" o:hr="t" fillcolor="#a0a0a0" stroked="f"/>
        </w:pict>
      </w:r>
    </w:p>
    <w:p w:rsidR="002A21B9" w:rsidRDefault="002A21B9" w:rsidP="002A21B9">
      <w:pPr>
        <w:pStyle w:val="berschrift1"/>
      </w:pPr>
      <w:r>
        <w:t>3.3.42.69 Konfliktauflösung durch Entfernen einer Aussage</w:t>
      </w:r>
    </w:p>
    <w:p w:rsidR="002A21B9" w:rsidRDefault="002A21B9" w:rsidP="002A21B9">
      <w:pPr>
        <w:pStyle w:val="StandardWeb"/>
      </w:pPr>
      <w:r>
        <w:t>Für einen minimalen Konfliktkern gilt für jedes</w:t>
      </w:r>
    </w:p>
    <w:p w:rsidR="002A21B9" w:rsidRDefault="002A21B9" w:rsidP="002A21B9">
      <w:pPr>
        <w:pStyle w:val="StandardWeb"/>
      </w:pPr>
      <w:r>
        <w:t>[</w:t>
      </w:r>
      <w:r>
        <w:br/>
        <w:t>A_i</w:t>
      </w:r>
      <w:r>
        <w:br/>
        <w:t>\in</w:t>
      </w:r>
      <w:r>
        <w:br/>
        <w:t>\mathcal K_W</w:t>
      </w:r>
      <w:r>
        <w:br/>
        <w:t>]</w:t>
      </w:r>
    </w:p>
    <w:p w:rsidR="002A21B9" w:rsidRDefault="002A21B9" w:rsidP="002A21B9">
      <w:pPr>
        <w:pStyle w:val="StandardWeb"/>
      </w:pPr>
      <w:r>
        <w:t>nach Definition</w:t>
      </w:r>
    </w:p>
    <w:p w:rsidR="002A21B9" w:rsidRDefault="002A21B9" w:rsidP="002A21B9">
      <w:pPr>
        <w:pStyle w:val="berschrift1"/>
      </w:pPr>
      <w:r>
        <w:t>[</w:t>
      </w:r>
      <w:r>
        <w:br/>
        <w:t>K_F</w:t>
      </w:r>
      <w:r>
        <w:br/>
        <w:t>\left(</w:t>
      </w:r>
      <w:r>
        <w:br/>
        <w:t>\mathcal K_W\setminus{A_i}</w:t>
      </w:r>
      <w:r>
        <w:br/>
        <w:t>\right)</w:t>
      </w:r>
    </w:p>
    <w:p w:rsidR="002A21B9" w:rsidRDefault="002A21B9" w:rsidP="008C5E65">
      <w:pPr>
        <w:numPr>
          <w:ilvl w:val="0"/>
          <w:numId w:val="387"/>
        </w:numPr>
        <w:spacing w:before="100" w:beforeAutospacing="1" w:after="100" w:afterAutospacing="1"/>
      </w:pPr>
    </w:p>
    <w:p w:rsidR="002A21B9" w:rsidRDefault="002A21B9" w:rsidP="002A21B9">
      <w:pPr>
        <w:pStyle w:val="StandardWeb"/>
      </w:pPr>
      <w:r>
        <w:t>\tag{3.7805}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K_F\left(\mathcal K_W\setminus\{A_i\}\right)=1\qquad\text{(3.7805)}</w:t>
      </w:r>
    </w:p>
    <w:p w:rsidR="002A21B9" w:rsidRDefault="002A21B9" w:rsidP="002A21B9">
      <w:pPr>
        <w:pStyle w:val="StandardWeb"/>
      </w:pPr>
      <w:r>
        <w:t xml:space="preserve">Dies bedeutet jedoch </w:t>
      </w:r>
      <w:r>
        <w:rPr>
          <w:rStyle w:val="Fett"/>
        </w:rPr>
        <w:t>nicht</w:t>
      </w:r>
      <w:r>
        <w:t>, dass eine beliebige beteiligte Aussage verworfen werden sollte.</w:t>
      </w:r>
    </w:p>
    <w:p w:rsidR="002A21B9" w:rsidRDefault="002A21B9" w:rsidP="002A21B9">
      <w:pPr>
        <w:pStyle w:val="StandardWeb"/>
      </w:pPr>
      <w:r>
        <w:lastRenderedPageBreak/>
        <w:t>Zunächst muss geprüft werden, ob der Konflikt aus</w:t>
      </w:r>
    </w:p>
    <w:p w:rsidR="002A21B9" w:rsidRDefault="002A21B9" w:rsidP="008C5E65">
      <w:pPr>
        <w:pStyle w:val="StandardWeb"/>
        <w:numPr>
          <w:ilvl w:val="0"/>
          <w:numId w:val="388"/>
        </w:numPr>
      </w:pPr>
      <w:r>
        <w:t>unterschiedlichen Domänen,</w:t>
      </w:r>
    </w:p>
    <w:p w:rsidR="002A21B9" w:rsidRDefault="002A21B9" w:rsidP="008C5E65">
      <w:pPr>
        <w:pStyle w:val="StandardWeb"/>
        <w:numPr>
          <w:ilvl w:val="0"/>
          <w:numId w:val="388"/>
        </w:numPr>
      </w:pPr>
      <w:r>
        <w:t>Definitionsfehlern,</w:t>
      </w:r>
    </w:p>
    <w:p w:rsidR="002A21B9" w:rsidRDefault="002A21B9" w:rsidP="008C5E65">
      <w:pPr>
        <w:pStyle w:val="StandardWeb"/>
        <w:numPr>
          <w:ilvl w:val="0"/>
          <w:numId w:val="388"/>
        </w:numPr>
      </w:pPr>
      <w:r>
        <w:t>Datenfehlern,</w:t>
      </w:r>
    </w:p>
    <w:p w:rsidR="002A21B9" w:rsidRDefault="002A21B9" w:rsidP="008C5E65">
      <w:pPr>
        <w:pStyle w:val="StandardWeb"/>
        <w:numPr>
          <w:ilvl w:val="0"/>
          <w:numId w:val="388"/>
        </w:numPr>
      </w:pPr>
      <w:r>
        <w:t>Parameterunterschieden,</w:t>
      </w:r>
    </w:p>
    <w:p w:rsidR="002A21B9" w:rsidRDefault="002A21B9" w:rsidP="008C5E65">
      <w:pPr>
        <w:pStyle w:val="StandardWeb"/>
        <w:numPr>
          <w:ilvl w:val="0"/>
          <w:numId w:val="388"/>
        </w:numPr>
      </w:pPr>
      <w:r>
        <w:t>Modellannahmen</w:t>
      </w:r>
    </w:p>
    <w:p w:rsidR="002A21B9" w:rsidRDefault="002A21B9" w:rsidP="008C5E65">
      <w:pPr>
        <w:pStyle w:val="StandardWeb"/>
        <w:numPr>
          <w:ilvl w:val="0"/>
          <w:numId w:val="388"/>
        </w:numPr>
      </w:pPr>
      <w:r>
        <w:t>oder tatsächlich inkompatiblen theoretischen Aussagen</w:t>
      </w:r>
    </w:p>
    <w:p w:rsidR="002A21B9" w:rsidRDefault="002A21B9" w:rsidP="002A21B9">
      <w:pPr>
        <w:pStyle w:val="StandardWeb"/>
      </w:pPr>
      <w:r>
        <w:t>entsteht.</w:t>
      </w:r>
    </w:p>
    <w:p w:rsidR="002A21B9" w:rsidRDefault="00E50336" w:rsidP="002A21B9">
      <w:r>
        <w:pict>
          <v:rect id="_x0000_i1804" style="width:0;height:1.5pt" o:hralign="center" o:hrstd="t" o:hr="t" fillcolor="#a0a0a0" stroked="f"/>
        </w:pict>
      </w:r>
    </w:p>
    <w:p w:rsidR="002A21B9" w:rsidRDefault="002A21B9" w:rsidP="002A21B9">
      <w:pPr>
        <w:pStyle w:val="berschrift1"/>
      </w:pPr>
      <w:r>
        <w:t>3.3.42.70 Konsistenzreparatur</w:t>
      </w:r>
    </w:p>
    <w:p w:rsidR="002A21B9" w:rsidRDefault="002A21B9" w:rsidP="002A21B9">
      <w:pPr>
        <w:pStyle w:val="StandardWeb"/>
      </w:pPr>
      <w:r>
        <w:t>Ich definiere allgemein eine Reparaturoperation</w:t>
      </w:r>
    </w:p>
    <w:p w:rsidR="002A21B9" w:rsidRDefault="002A21B9" w:rsidP="002A21B9">
      <w:pPr>
        <w:pStyle w:val="StandardWeb"/>
      </w:pPr>
      <w:r>
        <w:t>[</w:t>
      </w:r>
      <w:r>
        <w:br/>
        <w:t>\mathcal R_K</w:t>
      </w:r>
      <w:r>
        <w:br/>
        <w:t>:</w:t>
      </w:r>
      <w:r>
        <w:br/>
        <w:t>\mathcal A_n</w:t>
      </w:r>
      <w:r>
        <w:br/>
        <w:t>\rightarrow</w:t>
      </w:r>
      <w:r>
        <w:br/>
        <w:t>\mathcal A_n'.</w:t>
      </w:r>
      <w:r>
        <w:br/>
        <w:t>\tag{3.7806}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R_K:\mathcal A_n\rightarrow\mathcal A_n^{\prime}\qquad\text{(3.7806)}</w:t>
      </w:r>
    </w:p>
    <w:p w:rsidR="002A21B9" w:rsidRDefault="002A21B9" w:rsidP="002A21B9">
      <w:pPr>
        <w:pStyle w:val="StandardWeb"/>
      </w:pPr>
      <w:r>
        <w:t>Eine erfolgreiche Reparatur erfüllt</w:t>
      </w:r>
    </w:p>
    <w:p w:rsidR="002A21B9" w:rsidRDefault="002A21B9" w:rsidP="002A21B9">
      <w:pPr>
        <w:pStyle w:val="StandardWeb"/>
      </w:pPr>
      <w:r>
        <w:t>[</w:t>
      </w:r>
      <w:r>
        <w:br/>
        <w:t>K_F(\mathcal A_n')=1.</w:t>
      </w:r>
      <w:r>
        <w:br/>
        <w:t>\tag{3.7807}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K_F(\mathcal A_n^{\prime})=1\qquad\text{(3.7807)}</w:t>
      </w:r>
    </w:p>
    <w:p w:rsidR="002A21B9" w:rsidRDefault="002A21B9" w:rsidP="002A21B9">
      <w:pPr>
        <w:pStyle w:val="StandardWeb"/>
      </w:pPr>
      <w:r>
        <w:t>Dabei soll die Änderung möglichst klein sein.</w:t>
      </w:r>
    </w:p>
    <w:p w:rsidR="002A21B9" w:rsidRDefault="00E50336" w:rsidP="002A21B9">
      <w:r>
        <w:pict>
          <v:rect id="_x0000_i1805" style="width:0;height:1.5pt" o:hralign="center" o:hrstd="t" o:hr="t" fillcolor="#a0a0a0" stroked="f"/>
        </w:pict>
      </w:r>
    </w:p>
    <w:p w:rsidR="002A21B9" w:rsidRDefault="002A21B9" w:rsidP="002A21B9">
      <w:pPr>
        <w:pStyle w:val="berschrift1"/>
      </w:pPr>
      <w:r>
        <w:t>3.3.42.71 Minimale Konsistenzreparatur</w:t>
      </w:r>
    </w:p>
    <w:p w:rsidR="002A21B9" w:rsidRDefault="002A21B9" w:rsidP="002A21B9">
      <w:pPr>
        <w:pStyle w:val="StandardWeb"/>
      </w:pPr>
      <w:r>
        <w:t>Ich definiere eine Kostenfunktion</w:t>
      </w:r>
    </w:p>
    <w:p w:rsidR="002A21B9" w:rsidRDefault="002A21B9" w:rsidP="002A21B9">
      <w:pPr>
        <w:pStyle w:val="StandardWeb"/>
      </w:pPr>
      <w:r>
        <w:lastRenderedPageBreak/>
        <w:t>[</w:t>
      </w:r>
      <w:r>
        <w:br/>
        <w:t>C_R</w:t>
      </w:r>
      <w:r>
        <w:br/>
        <w:t>\left(</w:t>
      </w:r>
      <w:r>
        <w:br/>
        <w:t>\mathcal A_n,</w:t>
      </w:r>
      <w:r>
        <w:br/>
        <w:t>\mathcal A_n'</w:t>
      </w:r>
      <w:r>
        <w:br/>
        <w:t>\right).</w:t>
      </w:r>
      <w:r>
        <w:br/>
        <w:t>\tag{3.7808}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C_R\left(\mathcal A_n,\mathcal A_n^{\prime}\right)\qquad\text{(3.7808)}</w:t>
      </w:r>
    </w:p>
    <w:p w:rsidR="002A21B9" w:rsidRDefault="002A21B9" w:rsidP="002A21B9">
      <w:pPr>
        <w:pStyle w:val="StandardWeb"/>
      </w:pPr>
      <w:r>
        <w:t>Eine minimale Reparatur erfüllt</w:t>
      </w:r>
    </w:p>
    <w:p w:rsidR="002A21B9" w:rsidRDefault="002A21B9" w:rsidP="002A21B9">
      <w:pPr>
        <w:pStyle w:val="berschrift1"/>
      </w:pPr>
      <w:r>
        <w:t>[</w:t>
      </w:r>
      <w:r>
        <w:br/>
        <w:t>\mathcal A_n^{\ast}</w:t>
      </w:r>
    </w:p>
    <w:p w:rsidR="002A21B9" w:rsidRDefault="002A21B9" w:rsidP="002A21B9">
      <w:pPr>
        <w:pStyle w:val="StandardWeb"/>
      </w:pPr>
      <w:r>
        <w:t>\arg\min_{\mathcal A_n'}</w:t>
      </w:r>
      <w:r>
        <w:br/>
        <w:t>C_R</w:t>
      </w:r>
      <w:r>
        <w:br/>
        <w:t>\left(</w:t>
      </w:r>
      <w:r>
        <w:br/>
        <w:t>\mathcal A_n,</w:t>
      </w:r>
      <w:r>
        <w:br/>
        <w:t>\mathcal A_n'</w:t>
      </w:r>
      <w:r>
        <w:br/>
        <w:t>\right)</w:t>
      </w:r>
      <w:r>
        <w:br/>
        <w:t>\tag{3.7809}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A_n^{\ast}=\arg\min_{\mathcal A_n^{\prime}}C_R\left(\mathcal A_n,\mathcal A_n^{\prime}\right)\qquad\text{(3.7809)}</w:t>
      </w:r>
    </w:p>
    <w:p w:rsidR="002A21B9" w:rsidRDefault="002A21B9" w:rsidP="002A21B9">
      <w:pPr>
        <w:pStyle w:val="StandardWeb"/>
      </w:pPr>
      <w:r>
        <w:t>unter der Nebenbedingung</w:t>
      </w:r>
    </w:p>
    <w:p w:rsidR="002A21B9" w:rsidRDefault="002A21B9" w:rsidP="002A21B9">
      <w:pPr>
        <w:pStyle w:val="StandardWeb"/>
      </w:pPr>
      <w:r>
        <w:t>[</w:t>
      </w:r>
      <w:r>
        <w:br/>
        <w:t>K_F(\mathcal A_n')=1.</w:t>
      </w:r>
      <w:r>
        <w:br/>
        <w:t>\tag{3.7810}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K_F(\mathcal A_n^{\prime})=1\qquad\text{(3.7810)}</w:t>
      </w:r>
    </w:p>
    <w:p w:rsidR="002A21B9" w:rsidRDefault="002A21B9" w:rsidP="002A21B9">
      <w:pPr>
        <w:pStyle w:val="StandardWeb"/>
      </w:pPr>
      <w:r>
        <w:t>Diese Struktur beschreibt noch keine konkrete automatisierte Theorieänderung. Sie formalisiert lediglich das Prinzip, Konsistenz mit möglichst geringer wissenschaftlicher Veränderung wiederherzustellen.</w:t>
      </w:r>
    </w:p>
    <w:p w:rsidR="002A21B9" w:rsidRDefault="00E50336" w:rsidP="002A21B9">
      <w:r>
        <w:pict>
          <v:rect id="_x0000_i1806" style="width:0;height:1.5pt" o:hralign="center" o:hrstd="t" o:hr="t" fillcolor="#a0a0a0" stroked="f"/>
        </w:pict>
      </w:r>
    </w:p>
    <w:p w:rsidR="002A21B9" w:rsidRDefault="002A21B9" w:rsidP="002A21B9">
      <w:pPr>
        <w:pStyle w:val="berschrift1"/>
      </w:pPr>
      <w:r>
        <w:t>3.3.42.72 Änderungstypen einer Konsistenzreparatur</w:t>
      </w:r>
    </w:p>
    <w:p w:rsidR="002A21B9" w:rsidRDefault="002A21B9" w:rsidP="002A21B9">
      <w:pPr>
        <w:pStyle w:val="StandardWeb"/>
      </w:pPr>
      <w:r>
        <w:lastRenderedPageBreak/>
        <w:t>Eine Reparatur kann unterschiedliche Ebenen betreffen.</w:t>
      </w:r>
    </w:p>
    <w:p w:rsidR="002A21B9" w:rsidRDefault="002A21B9" w:rsidP="002A21B9">
      <w:pPr>
        <w:pStyle w:val="StandardWeb"/>
      </w:pPr>
      <w:r>
        <w:t>Ich definiere</w:t>
      </w:r>
    </w:p>
    <w:p w:rsidR="002A21B9" w:rsidRDefault="002A21B9" w:rsidP="002A21B9">
      <w:pPr>
        <w:pStyle w:val="berschrift1"/>
      </w:pPr>
      <w:r>
        <w:t>[</w:t>
      </w:r>
      <w:r>
        <w:br/>
        <w:t>\mathfrak R_K</w:t>
      </w:r>
    </w:p>
    <w:p w:rsidR="002A21B9" w:rsidRDefault="002A21B9" w:rsidP="002A21B9">
      <w:pPr>
        <w:pStyle w:val="StandardWeb"/>
      </w:pPr>
      <w:r>
        <w:t>\left{</w:t>
      </w:r>
      <w:r>
        <w:br/>
        <w:t>R_D,</w:t>
      </w:r>
      <w:r>
        <w:br/>
        <w:t>R_{\Omega},</w:t>
      </w:r>
      <w:r>
        <w:br/>
        <w:t>R_P,</w:t>
      </w:r>
      <w:r>
        <w:br/>
        <w:t>R_O,</w:t>
      </w:r>
      <w:r>
        <w:br/>
        <w:t>R_M,</w:t>
      </w:r>
      <w:r>
        <w:br/>
        <w:t>R_E,</w:t>
      </w:r>
      <w:r>
        <w:br/>
        <w:t>R_A</w:t>
      </w:r>
      <w:r>
        <w:br/>
        <w:t>\right},</w:t>
      </w:r>
      <w:r>
        <w:br/>
        <w:t>\tag{3.7811}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R_K=\left\{R_D,R_{\Omega},R_P,R_O,R_M,R_E,R_A\right\}\qquad\text{(3.7811)}</w:t>
      </w:r>
    </w:p>
    <w:p w:rsidR="002A21B9" w:rsidRDefault="002A21B9" w:rsidP="002A21B9">
      <w:pPr>
        <w:pStyle w:val="StandardWeb"/>
      </w:pPr>
      <w:r>
        <w:t>wobei die Komponenten stehen für</w:t>
      </w:r>
    </w:p>
    <w:p w:rsidR="002A21B9" w:rsidRDefault="002A21B9" w:rsidP="008C5E65">
      <w:pPr>
        <w:pStyle w:val="StandardWeb"/>
        <w:numPr>
          <w:ilvl w:val="0"/>
          <w:numId w:val="389"/>
        </w:numPr>
      </w:pPr>
      <w:r>
        <w:t>Definitionsrevision,</w:t>
      </w:r>
    </w:p>
    <w:p w:rsidR="002A21B9" w:rsidRDefault="002A21B9" w:rsidP="008C5E65">
      <w:pPr>
        <w:pStyle w:val="StandardWeb"/>
        <w:numPr>
          <w:ilvl w:val="0"/>
          <w:numId w:val="389"/>
        </w:numPr>
      </w:pPr>
      <w:r>
        <w:t>Revision des Gültigkeitsbereichs,</w:t>
      </w:r>
    </w:p>
    <w:p w:rsidR="002A21B9" w:rsidRDefault="002A21B9" w:rsidP="008C5E65">
      <w:pPr>
        <w:pStyle w:val="StandardWeb"/>
        <w:numPr>
          <w:ilvl w:val="0"/>
          <w:numId w:val="389"/>
        </w:numPr>
      </w:pPr>
      <w:r>
        <w:t>Parameterrevision,</w:t>
      </w:r>
    </w:p>
    <w:p w:rsidR="002A21B9" w:rsidRDefault="002A21B9" w:rsidP="008C5E65">
      <w:pPr>
        <w:pStyle w:val="StandardWeb"/>
        <w:numPr>
          <w:ilvl w:val="0"/>
          <w:numId w:val="389"/>
        </w:numPr>
      </w:pPr>
      <w:r>
        <w:t>Operationalisierungsrevision,</w:t>
      </w:r>
    </w:p>
    <w:p w:rsidR="002A21B9" w:rsidRDefault="002A21B9" w:rsidP="008C5E65">
      <w:pPr>
        <w:pStyle w:val="StandardWeb"/>
        <w:numPr>
          <w:ilvl w:val="0"/>
          <w:numId w:val="389"/>
        </w:numPr>
      </w:pPr>
      <w:r>
        <w:t>Modellrevision,</w:t>
      </w:r>
    </w:p>
    <w:p w:rsidR="002A21B9" w:rsidRDefault="002A21B9" w:rsidP="008C5E65">
      <w:pPr>
        <w:pStyle w:val="StandardWeb"/>
        <w:numPr>
          <w:ilvl w:val="0"/>
          <w:numId w:val="389"/>
        </w:numPr>
      </w:pPr>
      <w:r>
        <w:t>Gleichungsrevision,</w:t>
      </w:r>
    </w:p>
    <w:p w:rsidR="002A21B9" w:rsidRDefault="002A21B9" w:rsidP="008C5E65">
      <w:pPr>
        <w:pStyle w:val="StandardWeb"/>
        <w:numPr>
          <w:ilvl w:val="0"/>
          <w:numId w:val="389"/>
        </w:numPr>
      </w:pPr>
      <w:r>
        <w:t>Aussagerevision.</w:t>
      </w:r>
    </w:p>
    <w:p w:rsidR="002A21B9" w:rsidRDefault="002A21B9" w:rsidP="002A21B9">
      <w:pPr>
        <w:pStyle w:val="StandardWeb"/>
      </w:pPr>
      <w:r>
        <w:t>Damit muss ein Konflikt nicht automatisch durch Löschung einer Aussage behoben werden.</w:t>
      </w:r>
    </w:p>
    <w:p w:rsidR="002A21B9" w:rsidRDefault="00E50336" w:rsidP="002A21B9">
      <w:r>
        <w:pict>
          <v:rect id="_x0000_i1807" style="width:0;height:1.5pt" o:hralign="center" o:hrstd="t" o:hr="t" fillcolor="#a0a0a0" stroked="f"/>
        </w:pict>
      </w:r>
    </w:p>
    <w:p w:rsidR="002A21B9" w:rsidRDefault="002A21B9" w:rsidP="002A21B9">
      <w:pPr>
        <w:pStyle w:val="berschrift1"/>
      </w:pPr>
      <w:r>
        <w:t>3.3.42.73 Priorität der Ursachenprüfung</w:t>
      </w:r>
    </w:p>
    <w:p w:rsidR="002A21B9" w:rsidRDefault="002A21B9" w:rsidP="002A21B9">
      <w:pPr>
        <w:pStyle w:val="StandardWeb"/>
      </w:pPr>
      <w:r>
        <w:t>Vor jeder Aussagerevision soll zunächst geprüft werden, ob der Konflikt durch unterschiedliche Voraussetzungen erklärbar ist.</w:t>
      </w:r>
    </w:p>
    <w:p w:rsidR="002A21B9" w:rsidRDefault="002A21B9" w:rsidP="002A21B9">
      <w:pPr>
        <w:pStyle w:val="StandardWeb"/>
      </w:pPr>
      <w:r>
        <w:t>Ich formuliere deshalb die Prüfsequenz</w:t>
      </w:r>
    </w:p>
    <w:p w:rsidR="002A21B9" w:rsidRDefault="002A21B9" w:rsidP="002A21B9">
      <w:pPr>
        <w:pStyle w:val="StandardWeb"/>
      </w:pPr>
      <w:r>
        <w:t>[</w:t>
      </w:r>
      <w:r>
        <w:br/>
        <w:t>\boxed{</w:t>
      </w:r>
      <w:r>
        <w:br/>
        <w:t>\Omega</w:t>
      </w:r>
      <w:r>
        <w:br/>
        <w:t>\rightarrow</w:t>
      </w:r>
      <w:r>
        <w:br/>
        <w:t>\mathcal C</w:t>
      </w:r>
      <w:r>
        <w:br/>
      </w:r>
      <w:r>
        <w:lastRenderedPageBreak/>
        <w:t>\rightarrow</w:t>
      </w:r>
      <w:r>
        <w:br/>
        <w:t>\boldsymbol{\theta}</w:t>
      </w:r>
      <w:r>
        <w:br/>
        <w:t>\rightarrow</w:t>
      </w:r>
      <w:r>
        <w:br/>
        <w:t>\mathcal O</w:t>
      </w:r>
      <w:r>
        <w:br/>
        <w:t>\rightarrow</w:t>
      </w:r>
      <w:r>
        <w:br/>
        <w:t>\mathcal M</w:t>
      </w:r>
      <w:r>
        <w:br/>
        <w:t>\rightarrow</w:t>
      </w:r>
      <w:r>
        <w:br/>
        <w:t>E</w:t>
      </w:r>
      <w:r>
        <w:br/>
        <w:t>\rightarrow</w:t>
      </w:r>
      <w:r>
        <w:br/>
        <w:t>A</w:t>
      </w:r>
      <w:r>
        <w:br/>
        <w:t>}</w:t>
      </w:r>
      <w:r>
        <w:br/>
        <w:t>\tag{3.7812}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\boxed{\Omega\rightarrow\mathcal C\rightarrow\boldsymbol{\theta}\rightarrow\mathcal O\rightarrow\mathcal M\rightarrow E\rightarrow A}\qquad\text{(3.7812)}</w:t>
      </w:r>
    </w:p>
    <w:p w:rsidR="002A21B9" w:rsidRDefault="002A21B9" w:rsidP="002A21B9">
      <w:pPr>
        <w:pStyle w:val="StandardWeb"/>
      </w:pPr>
      <w:r>
        <w:t>als methodische Konfliktdiagnose.</w:t>
      </w:r>
    </w:p>
    <w:p w:rsidR="002A21B9" w:rsidRDefault="002A21B9" w:rsidP="002A21B9">
      <w:pPr>
        <w:pStyle w:val="StandardWeb"/>
      </w:pPr>
      <w:r>
        <w:t>Damit wird zunächst geprüft, ob nur der Gültigkeitsbereich, Kontext, Parameterraum, die Operationalisierung oder Modellstruktur unterschiedlich sind, bevor eine inhaltliche Aussage selbst geändert wird.</w:t>
      </w:r>
    </w:p>
    <w:p w:rsidR="002A21B9" w:rsidRDefault="00E50336" w:rsidP="002A21B9">
      <w:r>
        <w:pict>
          <v:rect id="_x0000_i1808" style="width:0;height:1.5pt" o:hralign="center" o:hrstd="t" o:hr="t" fillcolor="#a0a0a0" stroked="f"/>
        </w:pict>
      </w:r>
    </w:p>
    <w:p w:rsidR="002A21B9" w:rsidRDefault="002A21B9" w:rsidP="002A21B9">
      <w:pPr>
        <w:pStyle w:val="berschrift1"/>
      </w:pPr>
      <w:r>
        <w:t>3.3.42.74 Stabilitätsgewicht bei Konflikten</w:t>
      </w:r>
    </w:p>
    <w:p w:rsidR="002A21B9" w:rsidRDefault="002A21B9" w:rsidP="002A21B9">
      <w:pPr>
        <w:pStyle w:val="StandardWeb"/>
      </w:pPr>
      <w:r>
        <w:t>Abschnitt 3.3.41 erlaubt zusätzlich, Aussagen nach ihrer Stabilität zu gewichten.</w:t>
      </w:r>
    </w:p>
    <w:p w:rsidR="002A21B9" w:rsidRDefault="002A21B9" w:rsidP="002A21B9">
      <w:pPr>
        <w:pStyle w:val="StandardWeb"/>
      </w:pPr>
      <w:r>
        <w:t>Sei</w:t>
      </w:r>
    </w:p>
    <w:p w:rsidR="002A21B9" w:rsidRDefault="002A21B9" w:rsidP="002A21B9">
      <w:pPr>
        <w:pStyle w:val="berschrift1"/>
      </w:pPr>
      <w:r>
        <w:t>[</w:t>
      </w:r>
      <w:r>
        <w:br/>
        <w:t>w_i^{S}</w:t>
      </w:r>
    </w:p>
    <w:p w:rsidR="002A21B9" w:rsidRDefault="002A21B9" w:rsidP="002A21B9">
      <w:pPr>
        <w:pStyle w:val="StandardWeb"/>
      </w:pPr>
      <w:r>
        <w:t>\mathcal W</w:t>
      </w:r>
      <w:r>
        <w:br/>
        <w:t>\left(</w:t>
      </w:r>
      <w:r>
        <w:br/>
        <w:t>\Sigma_S(A_i)</w:t>
      </w:r>
      <w:r>
        <w:br/>
        <w:t>\right).</w:t>
      </w:r>
      <w:r>
        <w:br/>
        <w:t>\tag{3.7813}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w_i^{S}=\mathcal W\left(\Sigma_S(A_i)\right)\qquad\text{(3.7813)}</w:t>
      </w:r>
    </w:p>
    <w:p w:rsidR="002A21B9" w:rsidRDefault="002A21B9" w:rsidP="002A21B9">
      <w:pPr>
        <w:pStyle w:val="StandardWeb"/>
      </w:pPr>
      <w:r>
        <w:t>Ein hoher Wert bedeutet eine stark stabilisierte Aussage.</w:t>
      </w:r>
    </w:p>
    <w:p w:rsidR="002A21B9" w:rsidRDefault="002A21B9" w:rsidP="002A21B9">
      <w:pPr>
        <w:pStyle w:val="StandardWeb"/>
      </w:pPr>
      <w:r>
        <w:lastRenderedPageBreak/>
        <w:t>Bei einem Konflikt zwischen zwei Aussagen kann die Stabilitätsinformation in die Diagnose eingehen, darf aber den Konflikt nicht automatisch entscheiden.</w:t>
      </w:r>
    </w:p>
    <w:p w:rsidR="002A21B9" w:rsidRDefault="002A21B9" w:rsidP="002A21B9">
      <w:pPr>
        <w:pStyle w:val="StandardWeb"/>
      </w:pPr>
      <w:r>
        <w:t>Formal gilt</w:t>
      </w:r>
    </w:p>
    <w:p w:rsidR="002A21B9" w:rsidRDefault="002A21B9" w:rsidP="002A21B9">
      <w:pPr>
        <w:pStyle w:val="StandardWeb"/>
      </w:pPr>
      <w:r>
        <w:t>[</w:t>
      </w:r>
      <w:r>
        <w:br/>
        <w:t>w_i^{S}&gt;w_j^{S}</w:t>
      </w:r>
      <w:r>
        <w:br/>
        <w:t>\nRightarrow</w:t>
      </w:r>
      <w:r>
        <w:br/>
        <w:t>A_i</w:t>
      </w:r>
      <w:r>
        <w:br/>
        <w:t>\text{ ist wahr und }A_j\text{ falsch}.</w:t>
      </w:r>
      <w:r>
        <w:br/>
        <w:t>\tag{3.7814}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w_i^{S}&gt;w_j^{S}\nRightarrow A_i\text{ ist wahr und }A_j\text{ falsch}\qquad\text{(3.7814)}</w:t>
      </w:r>
    </w:p>
    <w:p w:rsidR="002A21B9" w:rsidRDefault="00E50336" w:rsidP="002A21B9">
      <w:r>
        <w:pict>
          <v:rect id="_x0000_i1809" style="width:0;height:1.5pt" o:hralign="center" o:hrstd="t" o:hr="t" fillcolor="#a0a0a0" stroked="f"/>
        </w:pict>
      </w:r>
    </w:p>
    <w:p w:rsidR="002A21B9" w:rsidRDefault="002A21B9" w:rsidP="002A21B9">
      <w:pPr>
        <w:pStyle w:val="berschrift1"/>
      </w:pPr>
      <w:r>
        <w:t>3.3.42.75 Evidenzgewicht</w:t>
      </w:r>
    </w:p>
    <w:p w:rsidR="002A21B9" w:rsidRDefault="002A21B9" w:rsidP="002A21B9">
      <w:pPr>
        <w:pStyle w:val="StandardWeb"/>
      </w:pPr>
      <w:r>
        <w:t>Zusätzlich kann ein Evidenzgewicht</w:t>
      </w:r>
    </w:p>
    <w:p w:rsidR="002A21B9" w:rsidRDefault="002A21B9" w:rsidP="002A21B9">
      <w:pPr>
        <w:pStyle w:val="StandardWeb"/>
      </w:pPr>
      <w:r>
        <w:t>[</w:t>
      </w:r>
      <w:r>
        <w:br/>
        <w:t>w_i^{E}</w:t>
      </w:r>
      <w:r>
        <w:br/>
        <w:t>\tag{3.7815}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w_i^{E}\qquad\text{(3.7815)}</w:t>
      </w:r>
    </w:p>
    <w:p w:rsidR="002A21B9" w:rsidRDefault="002A21B9" w:rsidP="002A21B9">
      <w:pPr>
        <w:pStyle w:val="StandardWeb"/>
      </w:pPr>
      <w:r>
        <w:t>geführt werden.</w:t>
      </w:r>
    </w:p>
    <w:p w:rsidR="002A21B9" w:rsidRDefault="002A21B9" w:rsidP="002A21B9">
      <w:pPr>
        <w:pStyle w:val="StandardWeb"/>
      </w:pPr>
      <w:r>
        <w:t>Ein kombinierter diagnostischer Vektor lautet dann</w:t>
      </w:r>
    </w:p>
    <w:p w:rsidR="002A21B9" w:rsidRDefault="002A21B9" w:rsidP="002A21B9">
      <w:pPr>
        <w:pStyle w:val="berschrift1"/>
      </w:pPr>
      <w:r>
        <w:t>[</w:t>
      </w:r>
      <w:r>
        <w:br/>
        <w:t>\mathbf w_i</w:t>
      </w:r>
    </w:p>
    <w:p w:rsidR="002A21B9" w:rsidRDefault="002A21B9" w:rsidP="002A21B9">
      <w:pPr>
        <w:pStyle w:val="StandardWeb"/>
      </w:pPr>
      <w:r>
        <w:t>\left(</w:t>
      </w:r>
      <w:r>
        <w:br/>
        <w:t>w_i^{S},</w:t>
      </w:r>
      <w:r>
        <w:br/>
        <w:t>w_i^{E},</w:t>
      </w:r>
      <w:r>
        <w:br/>
        <w:t>w_i^{V},</w:t>
      </w:r>
      <w:r>
        <w:br/>
        <w:t>w_i^{U}</w:t>
      </w:r>
      <w:r>
        <w:br/>
        <w:t>\right),</w:t>
      </w:r>
      <w:r>
        <w:br/>
        <w:t>\tag{3.7816}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\mathbf w_i=\left(w_i^{S},w_i^{E},w_i^{V},w_i^{U}\right)\qquad\text{(3.7816)}</w:t>
      </w:r>
    </w:p>
    <w:p w:rsidR="002A21B9" w:rsidRDefault="002A21B9" w:rsidP="002A21B9">
      <w:pPr>
        <w:pStyle w:val="StandardWeb"/>
      </w:pPr>
      <w:r>
        <w:t>mit Stabilitäts-, Evidenz-, Validitäts- und Unsicherheitsinformation.</w:t>
      </w:r>
    </w:p>
    <w:p w:rsidR="002A21B9" w:rsidRDefault="002A21B9" w:rsidP="002A21B9">
      <w:pPr>
        <w:pStyle w:val="StandardWeb"/>
      </w:pPr>
      <w:r>
        <w:t>Auch diese Größen ersetzen keine sachliche Konfliktanalyse.</w:t>
      </w:r>
    </w:p>
    <w:p w:rsidR="002A21B9" w:rsidRDefault="00E50336" w:rsidP="002A21B9">
      <w:r>
        <w:pict>
          <v:rect id="_x0000_i1810" style="width:0;height:1.5pt" o:hralign="center" o:hrstd="t" o:hr="t" fillcolor="#a0a0a0" stroked="f"/>
        </w:pict>
      </w:r>
    </w:p>
    <w:p w:rsidR="002A21B9" w:rsidRDefault="002A21B9" w:rsidP="002A21B9">
      <w:pPr>
        <w:pStyle w:val="berschrift1"/>
      </w:pPr>
      <w:r>
        <w:t>3.3.42.76 Konfliktdiagnose statt Mehrheitsentscheidung</w:t>
      </w:r>
    </w:p>
    <w:p w:rsidR="002A21B9" w:rsidRDefault="002A21B9" w:rsidP="002A21B9">
      <w:pPr>
        <w:pStyle w:val="StandardWeb"/>
      </w:pPr>
      <w:r>
        <w:t>Für mehrere Aussagen gilt deshalb ausdrücklich</w:t>
      </w:r>
    </w:p>
    <w:p w:rsidR="002A21B9" w:rsidRDefault="002A21B9" w:rsidP="002A21B9">
      <w:pPr>
        <w:pStyle w:val="StandardWeb"/>
      </w:pPr>
      <w:r>
        <w:t>[</w:t>
      </w:r>
      <w:r>
        <w:br/>
        <w:t>\text{Mehrheit}</w:t>
      </w:r>
      <w:r>
        <w:br/>
        <w:t>\nRightarrow</w:t>
      </w:r>
      <w:r>
        <w:br/>
        <w:t>\text{Wahrheit}.</w:t>
      </w:r>
      <w:r>
        <w:br/>
        <w:t>\tag{3.7817}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\text{Mehrheit}\nRightarrow\text{Wahrheit}\qquad\text{(3.7817)}</w:t>
      </w:r>
    </w:p>
    <w:p w:rsidR="002A21B9" w:rsidRDefault="002A21B9" w:rsidP="002A21B9">
      <w:pPr>
        <w:pStyle w:val="StandardWeb"/>
      </w:pPr>
      <w:r>
        <w:t>Ebenso gilt</w:t>
      </w:r>
    </w:p>
    <w:p w:rsidR="002A21B9" w:rsidRDefault="002A21B9" w:rsidP="002A21B9">
      <w:pPr>
        <w:pStyle w:val="StandardWeb"/>
      </w:pPr>
      <w:r>
        <w:t>[</w:t>
      </w:r>
      <w:r>
        <w:br/>
        <w:t>\text{höhere Stabilität}</w:t>
      </w:r>
      <w:r>
        <w:br/>
        <w:t>\nRightarrow</w:t>
      </w:r>
      <w:r>
        <w:br/>
        <w:t>\text{Wahrheit}.</w:t>
      </w:r>
      <w:r>
        <w:br/>
        <w:t>\tag{3.7818}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\text{höhere Stabilität}\nRightarrow\text{Wahrheit}\qquad\text{(3.7818)}</w:t>
      </w:r>
    </w:p>
    <w:p w:rsidR="002A21B9" w:rsidRDefault="002A21B9" w:rsidP="002A21B9">
      <w:pPr>
        <w:pStyle w:val="StandardWeb"/>
      </w:pPr>
      <w:r>
        <w:t>und</w:t>
      </w:r>
    </w:p>
    <w:p w:rsidR="002A21B9" w:rsidRDefault="002A21B9" w:rsidP="002A21B9">
      <w:pPr>
        <w:pStyle w:val="StandardWeb"/>
      </w:pPr>
      <w:r>
        <w:t>[</w:t>
      </w:r>
      <w:r>
        <w:br/>
        <w:t>\text{höhere Evidenzzahl}</w:t>
      </w:r>
      <w:r>
        <w:br/>
        <w:t>\nRightarrow</w:t>
      </w:r>
      <w:r>
        <w:br/>
        <w:t>\text{Wahrheit}.</w:t>
      </w:r>
      <w:r>
        <w:br/>
        <w:t>\tag{3.7819}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\text{höhere Evidenzzahl}\nRightarrow\text{Wahrheit}\qquad\text{(3.7819)}</w:t>
      </w:r>
    </w:p>
    <w:p w:rsidR="002A21B9" w:rsidRDefault="002A21B9" w:rsidP="002A21B9">
      <w:pPr>
        <w:pStyle w:val="StandardWeb"/>
      </w:pPr>
      <w:r>
        <w:lastRenderedPageBreak/>
        <w:t>Diese Regeln schützen die Konsistenzarchitektur davor, zu einem rein mechanischen Abstimmungssystem zu werden.</w:t>
      </w:r>
    </w:p>
    <w:p w:rsidR="002A21B9" w:rsidRDefault="00E50336" w:rsidP="002A21B9">
      <w:r>
        <w:pict>
          <v:rect id="_x0000_i1811" style="width:0;height:1.5pt" o:hralign="center" o:hrstd="t" o:hr="t" fillcolor="#a0a0a0" stroked="f"/>
        </w:pict>
      </w:r>
    </w:p>
    <w:p w:rsidR="002A21B9" w:rsidRDefault="002A21B9" w:rsidP="002A21B9">
      <w:pPr>
        <w:pStyle w:val="berschrift1"/>
      </w:pPr>
      <w:r>
        <w:t>3.3.42.77 Axiomkonsistenz</w:t>
      </w:r>
    </w:p>
    <w:p w:rsidR="002A21B9" w:rsidRDefault="002A21B9" w:rsidP="002A21B9">
      <w:pPr>
        <w:pStyle w:val="StandardWeb"/>
      </w:pPr>
      <w:r>
        <w:t>Da Abschnitt 3.3 die FRZK-Axiomatik behandelt, muss die Konsistenzprüfung auch Axiome erfassen.</w:t>
      </w:r>
    </w:p>
    <w:p w:rsidR="002A21B9" w:rsidRDefault="002A21B9" w:rsidP="002A21B9">
      <w:pPr>
        <w:pStyle w:val="StandardWeb"/>
      </w:pPr>
      <w:r>
        <w:t>Sei</w:t>
      </w:r>
    </w:p>
    <w:p w:rsidR="002A21B9" w:rsidRDefault="002A21B9" w:rsidP="002A21B9">
      <w:pPr>
        <w:pStyle w:val="berschrift1"/>
      </w:pPr>
      <w:r>
        <w:t>[</w:t>
      </w:r>
      <w:r>
        <w:br/>
        <w:t>\mathfrak A_F</w:t>
      </w:r>
    </w:p>
    <w:p w:rsidR="002A21B9" w:rsidRDefault="002A21B9" w:rsidP="002A21B9">
      <w:pPr>
        <w:pStyle w:val="StandardWeb"/>
      </w:pPr>
      <w:r>
        <w:t>{a_1,\ldots,a_m}</w:t>
      </w:r>
      <w:r>
        <w:br/>
        <w:t>\tag{3.7820}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A_F=\{a_1,\ldots,a_m\}\qquad\text{(3.7820)}</w:t>
      </w:r>
    </w:p>
    <w:p w:rsidR="002A21B9" w:rsidRDefault="002A21B9" w:rsidP="002A21B9">
      <w:pPr>
        <w:pStyle w:val="StandardWeb"/>
      </w:pPr>
      <w:r>
        <w:t>die Menge der FRZK-Axiome.</w:t>
      </w:r>
    </w:p>
    <w:p w:rsidR="002A21B9" w:rsidRDefault="002A21B9" w:rsidP="002A21B9">
      <w:pPr>
        <w:pStyle w:val="StandardWeb"/>
      </w:pPr>
      <w:r>
        <w:t>Ich definiere</w:t>
      </w:r>
    </w:p>
    <w:p w:rsidR="002A21B9" w:rsidRDefault="002A21B9" w:rsidP="002A21B9">
      <w:pPr>
        <w:pStyle w:val="berschrift1"/>
      </w:pPr>
      <w:r>
        <w:t>[</w:t>
      </w:r>
      <w:r>
        <w:br/>
        <w:t>K_A</w:t>
      </w:r>
      <w:r>
        <w:br/>
        <w:t>\left(</w:t>
      </w:r>
      <w:r>
        <w:br/>
        <w:t>\mathfrak A_F</w:t>
      </w:r>
      <w:r>
        <w:br/>
        <w:t>\right)</w:t>
      </w:r>
    </w:p>
    <w:p w:rsidR="002A21B9" w:rsidRDefault="002A21B9" w:rsidP="002A21B9">
      <w:pPr>
        <w:pStyle w:val="StandardWeb"/>
      </w:pPr>
      <w:r>
        <w:t>1</w:t>
      </w:r>
      <w:r>
        <w:br/>
        <w:t>\tag{3.7821}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K_A\left(\mathfrak A_F\right)=1\qquad\text{(3.7821)}</w:t>
      </w:r>
    </w:p>
    <w:p w:rsidR="002A21B9" w:rsidRDefault="002A21B9" w:rsidP="002A21B9">
      <w:pPr>
        <w:pStyle w:val="StandardWeb"/>
      </w:pPr>
      <w:r>
        <w:t>wenn die Axiommenge keinen innerhalb ihrer expliziten Gültigkeitsbedingungen ableitbaren Widerspruch erzeugt.</w:t>
      </w:r>
    </w:p>
    <w:p w:rsidR="002A21B9" w:rsidRDefault="00E50336" w:rsidP="002A21B9">
      <w:r>
        <w:pict>
          <v:rect id="_x0000_i1812" style="width:0;height:1.5pt" o:hralign="center" o:hrstd="t" o:hr="t" fillcolor="#a0a0a0" stroked="f"/>
        </w:pict>
      </w:r>
    </w:p>
    <w:p w:rsidR="002A21B9" w:rsidRDefault="002A21B9" w:rsidP="002A21B9">
      <w:pPr>
        <w:pStyle w:val="berschrift1"/>
      </w:pPr>
      <w:r>
        <w:lastRenderedPageBreak/>
        <w:t>3.3.42.78 Definitionenkonsistenz</w:t>
      </w:r>
    </w:p>
    <w:p w:rsidR="002A21B9" w:rsidRDefault="002A21B9" w:rsidP="002A21B9">
      <w:pPr>
        <w:pStyle w:val="StandardWeb"/>
      </w:pPr>
      <w:r>
        <w:t>Sei</w:t>
      </w:r>
    </w:p>
    <w:p w:rsidR="002A21B9" w:rsidRDefault="002A21B9" w:rsidP="002A21B9">
      <w:pPr>
        <w:pStyle w:val="berschrift1"/>
      </w:pPr>
      <w:r>
        <w:t>[</w:t>
      </w:r>
      <w:r>
        <w:br/>
        <w:t>\mathfrak D_F</w:t>
      </w:r>
    </w:p>
    <w:p w:rsidR="002A21B9" w:rsidRDefault="002A21B9" w:rsidP="002A21B9">
      <w:pPr>
        <w:pStyle w:val="StandardWeb"/>
      </w:pPr>
      <w:r>
        <w:t>{D_1,\ldots,D_p}.</w:t>
      </w:r>
      <w:r>
        <w:br/>
        <w:t>\tag{3.7822}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D_F=\{D_1,\ldots,D_p\}\qquad\text{(3.7822)}</w:t>
      </w:r>
    </w:p>
    <w:p w:rsidR="002A21B9" w:rsidRDefault="002A21B9" w:rsidP="002A21B9">
      <w:pPr>
        <w:pStyle w:val="StandardWeb"/>
      </w:pPr>
      <w:r>
        <w:t>Dann definiere ich</w:t>
      </w:r>
    </w:p>
    <w:p w:rsidR="002A21B9" w:rsidRDefault="002A21B9" w:rsidP="002A21B9">
      <w:pPr>
        <w:pStyle w:val="berschrift1"/>
      </w:pPr>
      <w:r>
        <w:t>[</w:t>
      </w:r>
      <w:r>
        <w:br/>
        <w:t>K_D</w:t>
      </w:r>
      <w:r>
        <w:br/>
        <w:t>\left(</w:t>
      </w:r>
      <w:r>
        <w:br/>
        <w:t>\mathfrak D_F</w:t>
      </w:r>
      <w:r>
        <w:br/>
        <w:t>\right)</w:t>
      </w:r>
    </w:p>
    <w:p w:rsidR="002A21B9" w:rsidRDefault="002A21B9" w:rsidP="002A21B9">
      <w:pPr>
        <w:pStyle w:val="StandardWeb"/>
      </w:pPr>
      <w:r>
        <w:t>1</w:t>
      </w:r>
      <w:r>
        <w:br/>
        <w:t>\tag{3.7823}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K_D\left(\mathfrak D_F\right)=1\qquad\text{(3.7823)}</w:t>
      </w:r>
    </w:p>
    <w:p w:rsidR="002A21B9" w:rsidRDefault="002A21B9" w:rsidP="002A21B9">
      <w:pPr>
        <w:pStyle w:val="StandardWeb"/>
      </w:pPr>
      <w:r>
        <w:t>wenn identische Begriffe innerhalb desselben Kontextes keine inkompatiblen Bedeutungen erhalten, sofern nicht ausdrücklich unterschiedliche Definitionsebenen gekennzeichnet sind.</w:t>
      </w:r>
    </w:p>
    <w:p w:rsidR="002A21B9" w:rsidRDefault="00E50336" w:rsidP="002A21B9">
      <w:r>
        <w:pict>
          <v:rect id="_x0000_i1813" style="width:0;height:1.5pt" o:hralign="center" o:hrstd="t" o:hr="t" fillcolor="#a0a0a0" stroked="f"/>
        </w:pict>
      </w:r>
    </w:p>
    <w:p w:rsidR="002A21B9" w:rsidRDefault="002A21B9" w:rsidP="002A21B9">
      <w:pPr>
        <w:pStyle w:val="berschrift1"/>
      </w:pPr>
      <w:r>
        <w:t>3.3.42.79 Gleichungskonsistenz</w:t>
      </w:r>
    </w:p>
    <w:p w:rsidR="002A21B9" w:rsidRDefault="002A21B9" w:rsidP="002A21B9">
      <w:pPr>
        <w:pStyle w:val="StandardWeb"/>
      </w:pPr>
      <w:r>
        <w:t>Für eine Gleichungsmenge</w:t>
      </w:r>
    </w:p>
    <w:p w:rsidR="002A21B9" w:rsidRDefault="002A21B9" w:rsidP="002A21B9">
      <w:pPr>
        <w:pStyle w:val="berschrift1"/>
      </w:pPr>
      <w:r>
        <w:t>[</w:t>
      </w:r>
      <w:r>
        <w:br/>
        <w:t>\mathfrak E_F</w:t>
      </w:r>
    </w:p>
    <w:p w:rsidR="002A21B9" w:rsidRDefault="002A21B9" w:rsidP="002A21B9">
      <w:pPr>
        <w:pStyle w:val="StandardWeb"/>
      </w:pPr>
      <w:r>
        <w:lastRenderedPageBreak/>
        <w:t>{E_1,\ldots,E_q}</w:t>
      </w:r>
      <w:r>
        <w:br/>
        <w:t>\tag{3.7824}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E_F=\{E_1,\ldots,E_q\}\qquad\text{(3.7824)}</w:t>
      </w:r>
    </w:p>
    <w:p w:rsidR="002A21B9" w:rsidRDefault="002A21B9" w:rsidP="002A21B9">
      <w:pPr>
        <w:pStyle w:val="StandardWeb"/>
      </w:pPr>
      <w:r>
        <w:t>definiere ich</w:t>
      </w:r>
    </w:p>
    <w:p w:rsidR="002A21B9" w:rsidRDefault="002A21B9" w:rsidP="002A21B9">
      <w:pPr>
        <w:pStyle w:val="berschrift1"/>
      </w:pPr>
      <w:r>
        <w:t>[</w:t>
      </w:r>
      <w:r>
        <w:br/>
        <w:t>K_E</w:t>
      </w:r>
      <w:r>
        <w:br/>
        <w:t>\left(</w:t>
      </w:r>
      <w:r>
        <w:br/>
        <w:t>\mathfrak E_F</w:t>
      </w:r>
      <w:r>
        <w:br/>
        <w:t>\right)</w:t>
      </w:r>
    </w:p>
    <w:p w:rsidR="002A21B9" w:rsidRDefault="002A21B9" w:rsidP="002A21B9">
      <w:pPr>
        <w:pStyle w:val="StandardWeb"/>
      </w:pPr>
      <w:r>
        <w:t>1</w:t>
      </w:r>
      <w:r>
        <w:br/>
        <w:t>\tag{3.7825}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K_E\left(\mathfrak E_F\right)=1\qquad\text{(3.7825)}</w:t>
      </w:r>
    </w:p>
    <w:p w:rsidR="002A21B9" w:rsidRDefault="002A21B9" w:rsidP="002A21B9">
      <w:pPr>
        <w:pStyle w:val="StandardWeb"/>
      </w:pPr>
      <w:r>
        <w:t>wenn die Gleichungen innerhalb ihrer gemeinsamen Gültigkeitsbereiche keine inkompatiblen Werte oder Strukturen erzwingen.</w:t>
      </w:r>
    </w:p>
    <w:p w:rsidR="002A21B9" w:rsidRDefault="00E50336" w:rsidP="002A21B9">
      <w:r>
        <w:pict>
          <v:rect id="_x0000_i1814" style="width:0;height:1.5pt" o:hralign="center" o:hrstd="t" o:hr="t" fillcolor="#a0a0a0" stroked="f"/>
        </w:pict>
      </w:r>
    </w:p>
    <w:p w:rsidR="002A21B9" w:rsidRDefault="002A21B9" w:rsidP="002A21B9">
      <w:pPr>
        <w:pStyle w:val="berschrift1"/>
      </w:pPr>
      <w:r>
        <w:t>3.3.42.80 Satzkonsistenz</w:t>
      </w:r>
    </w:p>
    <w:p w:rsidR="002A21B9" w:rsidRDefault="002A21B9" w:rsidP="002A21B9">
      <w:pPr>
        <w:pStyle w:val="StandardWeb"/>
      </w:pPr>
      <w:r>
        <w:t>Für die Menge der Sätze</w:t>
      </w:r>
    </w:p>
    <w:p w:rsidR="002A21B9" w:rsidRDefault="002A21B9" w:rsidP="002A21B9">
      <w:pPr>
        <w:pStyle w:val="berschrift1"/>
      </w:pPr>
      <w:r>
        <w:t>[</w:t>
      </w:r>
      <w:r>
        <w:br/>
        <w:t>\mathfrak T_F</w:t>
      </w:r>
    </w:p>
    <w:p w:rsidR="002A21B9" w:rsidRDefault="002A21B9" w:rsidP="002A21B9">
      <w:pPr>
        <w:pStyle w:val="StandardWeb"/>
      </w:pPr>
      <w:r>
        <w:t>{T_1,\ldots,T_r}</w:t>
      </w:r>
      <w:r>
        <w:br/>
        <w:t>\tag{3.7826}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T_F=\{T_1,\ldots,T_r\}\qquad\text{(3.7826)}</w:t>
      </w:r>
    </w:p>
    <w:p w:rsidR="002A21B9" w:rsidRDefault="002A21B9" w:rsidP="002A21B9">
      <w:pPr>
        <w:pStyle w:val="StandardWeb"/>
      </w:pPr>
      <w:r>
        <w:t>definiere ich</w:t>
      </w:r>
    </w:p>
    <w:p w:rsidR="002A21B9" w:rsidRDefault="002A21B9" w:rsidP="002A21B9">
      <w:pPr>
        <w:pStyle w:val="berschrift1"/>
      </w:pPr>
      <w:r>
        <w:lastRenderedPageBreak/>
        <w:t>[</w:t>
      </w:r>
      <w:r>
        <w:br/>
        <w:t>K_T</w:t>
      </w:r>
      <w:r>
        <w:br/>
        <w:t>\left(</w:t>
      </w:r>
      <w:r>
        <w:br/>
        <w:t>\mathfrak T_F</w:t>
      </w:r>
      <w:r>
        <w:br/>
        <w:t>\right)</w:t>
      </w:r>
    </w:p>
    <w:p w:rsidR="002A21B9" w:rsidRDefault="002A21B9" w:rsidP="008C5E65">
      <w:pPr>
        <w:numPr>
          <w:ilvl w:val="0"/>
          <w:numId w:val="390"/>
        </w:numPr>
        <w:spacing w:before="100" w:beforeAutospacing="1" w:after="100" w:afterAutospacing="1"/>
      </w:pPr>
    </w:p>
    <w:p w:rsidR="002A21B9" w:rsidRDefault="002A21B9" w:rsidP="002A21B9">
      <w:pPr>
        <w:pStyle w:val="StandardWeb"/>
      </w:pPr>
      <w:r>
        <w:t>\tag{3.7827}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K_T\left(\mathfrak T_F\right)=1\qquad\text{(3.7827)}</w:t>
      </w:r>
    </w:p>
    <w:p w:rsidR="002A21B9" w:rsidRDefault="002A21B9" w:rsidP="002A21B9">
      <w:pPr>
        <w:pStyle w:val="StandardWeb"/>
      </w:pPr>
      <w:r>
        <w:t>Dies verlangt, dass aus den Sätzen unter identischen Voraussetzungen keine inkompatiblen Folgerungen entstehen.</w:t>
      </w:r>
    </w:p>
    <w:p w:rsidR="002A21B9" w:rsidRDefault="00E50336" w:rsidP="002A21B9">
      <w:r>
        <w:pict>
          <v:rect id="_x0000_i1815" style="width:0;height:1.5pt" o:hralign="center" o:hrstd="t" o:hr="t" fillcolor="#a0a0a0" stroked="f"/>
        </w:pict>
      </w:r>
    </w:p>
    <w:p w:rsidR="002A21B9" w:rsidRDefault="002A21B9" w:rsidP="002A21B9">
      <w:pPr>
        <w:pStyle w:val="berschrift1"/>
      </w:pPr>
      <w:r>
        <w:t>3.3.42.81 Beweiskonsistenz</w:t>
      </w:r>
    </w:p>
    <w:p w:rsidR="002A21B9" w:rsidRDefault="002A21B9" w:rsidP="002A21B9">
      <w:pPr>
        <w:pStyle w:val="StandardWeb"/>
      </w:pPr>
      <w:r>
        <w:t>Ein Beweis muss zusätzlich mit seinen Voraussetzungen, seinem Satz und den verwendeten Definitionen konsistent sein.</w:t>
      </w:r>
    </w:p>
    <w:p w:rsidR="002A21B9" w:rsidRDefault="002A21B9" w:rsidP="002A21B9">
      <w:pPr>
        <w:pStyle w:val="StandardWeb"/>
      </w:pPr>
      <w:r>
        <w:t>Für einen Beweis (P_i) schreibe ich</w:t>
      </w:r>
    </w:p>
    <w:p w:rsidR="002A21B9" w:rsidRDefault="002A21B9" w:rsidP="002A21B9">
      <w:pPr>
        <w:pStyle w:val="berschrift1"/>
      </w:pPr>
      <w:r>
        <w:t>[</w:t>
      </w:r>
      <w:r>
        <w:br/>
        <w:t>K_P(P_i)</w:t>
      </w:r>
    </w:p>
    <w:p w:rsidR="002A21B9" w:rsidRDefault="002A21B9" w:rsidP="002A21B9">
      <w:pPr>
        <w:pStyle w:val="StandardWeb"/>
      </w:pPr>
      <w:r>
        <w:t>K</w:t>
      </w:r>
      <w:r>
        <w:br/>
        <w:t>\left(</w:t>
      </w:r>
      <w:r>
        <w:br/>
        <w:t>P_i,</w:t>
      </w:r>
      <w:r>
        <w:br/>
        <w:t>T_i,</w:t>
      </w:r>
      <w:r>
        <w:br/>
        <w:t>\mathfrak A_i,</w:t>
      </w:r>
      <w:r>
        <w:br/>
        <w:t>\mathfrak D_i</w:t>
      </w:r>
      <w:r>
        <w:br/>
        <w:t>\right).</w:t>
      </w:r>
      <w:r>
        <w:br/>
        <w:t>\tag{3.7828}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K_P(P_i)=K\left(P_i,T_i,\mathfrak A_i,\mathfrak D_i\right)\qquad\text{(3.7828)}</w:t>
      </w:r>
    </w:p>
    <w:p w:rsidR="002A21B9" w:rsidRDefault="002A21B9" w:rsidP="002A21B9">
      <w:pPr>
        <w:pStyle w:val="StandardWeb"/>
      </w:pPr>
      <w:r>
        <w:lastRenderedPageBreak/>
        <w:t>Ein formal korrekter Beweis, der eine Definition in anderer Bedeutung verwendet, wäre damit nicht repository-konsistent.</w:t>
      </w:r>
    </w:p>
    <w:p w:rsidR="002A21B9" w:rsidRDefault="00E50336" w:rsidP="002A21B9">
      <w:r>
        <w:pict>
          <v:rect id="_x0000_i1816" style="width:0;height:1.5pt" o:hralign="center" o:hrstd="t" o:hr="t" fillcolor="#a0a0a0" stroked="f"/>
        </w:pict>
      </w:r>
    </w:p>
    <w:p w:rsidR="002A21B9" w:rsidRDefault="002A21B9" w:rsidP="002A21B9">
      <w:pPr>
        <w:pStyle w:val="berschrift1"/>
      </w:pPr>
      <w:r>
        <w:t>3.3.42.82 Korollarkonsistenz</w:t>
      </w:r>
    </w:p>
    <w:p w:rsidR="002A21B9" w:rsidRDefault="002A21B9" w:rsidP="002A21B9">
      <w:pPr>
        <w:pStyle w:val="StandardWeb"/>
      </w:pPr>
      <w:r>
        <w:t>Für ein Korollar (C_i), das aus einem Satz (T_j) abgeleitet wird, muss gelten</w:t>
      </w:r>
    </w:p>
    <w:p w:rsidR="002A21B9" w:rsidRDefault="002A21B9" w:rsidP="002A21B9">
      <w:pPr>
        <w:pStyle w:val="StandardWeb"/>
      </w:pPr>
      <w:r>
        <w:t>[</w:t>
      </w:r>
      <w:r>
        <w:br/>
        <w:t>T_j</w:t>
      </w:r>
      <w:r>
        <w:br/>
        <w:t>\Rightarrow</w:t>
      </w:r>
      <w:r>
        <w:br/>
        <w:t>C_i</w:t>
      </w:r>
      <w:r>
        <w:br/>
        <w:t>\tag{3.7829}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T_j\Rightarrow C_i\qquad\text{(3.7829)}</w:t>
      </w:r>
    </w:p>
    <w:p w:rsidR="002A21B9" w:rsidRDefault="002A21B9" w:rsidP="002A21B9">
      <w:pPr>
        <w:pStyle w:val="StandardWeb"/>
      </w:pPr>
      <w:r>
        <w:t>unter den tatsächlich gespeicherten Voraussetzungen.</w:t>
      </w:r>
    </w:p>
    <w:p w:rsidR="002A21B9" w:rsidRDefault="002A21B9" w:rsidP="002A21B9">
      <w:pPr>
        <w:pStyle w:val="StandardWeb"/>
      </w:pPr>
      <w:r>
        <w:t>Ich definiere</w:t>
      </w:r>
    </w:p>
    <w:p w:rsidR="002A21B9" w:rsidRDefault="002A21B9" w:rsidP="002A21B9">
      <w:pPr>
        <w:pStyle w:val="StandardWeb"/>
      </w:pPr>
      <w:r>
        <w:t>[</w:t>
      </w:r>
      <w:r>
        <w:br/>
        <w:t>K_C(C_i,T_j)=1</w:t>
      </w:r>
      <w:r>
        <w:br/>
        <w:t>\tag{3.7830}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K_C(C_i,T_j)=1\qquad\text{(3.7830)}</w:t>
      </w:r>
    </w:p>
    <w:p w:rsidR="002A21B9" w:rsidRDefault="002A21B9" w:rsidP="002A21B9">
      <w:pPr>
        <w:pStyle w:val="StandardWeb"/>
      </w:pPr>
      <w:r>
        <w:t>wenn diese Ableitungsbeziehung gültig und semantisch konsistent ist.</w:t>
      </w:r>
    </w:p>
    <w:p w:rsidR="002A21B9" w:rsidRDefault="00E50336" w:rsidP="002A21B9">
      <w:r>
        <w:pict>
          <v:rect id="_x0000_i1817" style="width:0;height:1.5pt" o:hralign="center" o:hrstd="t" o:hr="t" fillcolor="#a0a0a0" stroked="f"/>
        </w:pict>
      </w:r>
    </w:p>
    <w:p w:rsidR="002A21B9" w:rsidRDefault="002A21B9" w:rsidP="002A21B9">
      <w:pPr>
        <w:pStyle w:val="berschrift1"/>
      </w:pPr>
      <w:r>
        <w:t>3.3.42.83 Hierarchische Konsistenz</w:t>
      </w:r>
    </w:p>
    <w:p w:rsidR="002A21B9" w:rsidRDefault="002A21B9" w:rsidP="002A21B9">
      <w:pPr>
        <w:pStyle w:val="StandardWeb"/>
      </w:pPr>
      <w:r>
        <w:t>Die verschiedenen Objektklassen des FRZK bilden eine Abhängigkeitshierarchie:</w:t>
      </w:r>
    </w:p>
    <w:p w:rsidR="002A21B9" w:rsidRDefault="002A21B9" w:rsidP="002A21B9">
      <w:pPr>
        <w:pStyle w:val="StandardWeb"/>
      </w:pPr>
      <w:r>
        <w:t>[</w:t>
      </w:r>
      <w:r>
        <w:br/>
        <w:t>\mathfrak A_F</w:t>
      </w:r>
      <w:r>
        <w:br/>
        <w:t>\rightarrow</w:t>
      </w:r>
      <w:r>
        <w:br/>
        <w:t>\mathfrak D_F</w:t>
      </w:r>
      <w:r>
        <w:br/>
        <w:t>\rightarrow</w:t>
      </w:r>
      <w:r>
        <w:br/>
        <w:t>\mathfrak E_F</w:t>
      </w:r>
      <w:r>
        <w:br/>
        <w:t>\rightarrow</w:t>
      </w:r>
      <w:r>
        <w:br/>
        <w:t>\mathfrak T_F</w:t>
      </w:r>
      <w:r>
        <w:br/>
        <w:t>\rightarrow</w:t>
      </w:r>
      <w:r>
        <w:br/>
        <w:t>\mathfrak C_F.</w:t>
      </w:r>
      <w:r>
        <w:br/>
      </w:r>
      <w:r>
        <w:lastRenderedPageBreak/>
        <w:t>\tag{3.7831}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A_F\rightarrow\mathfrak D_F\rightarrow\mathfrak E_F\rightarrow\mathfrak T_F\rightarrow\mathfrak C_F\qquad\text{(3.7831)}</w:t>
      </w:r>
    </w:p>
    <w:p w:rsidR="002A21B9" w:rsidRDefault="002A21B9" w:rsidP="002A21B9">
      <w:pPr>
        <w:pStyle w:val="StandardWeb"/>
      </w:pPr>
      <w:r>
        <w:t>Dabei sind die Pfeile nicht als starre logische Ableitungen zu verstehen, sondern als vereinfachte Abhängigkeitsstruktur des Repositorys.</w:t>
      </w:r>
    </w:p>
    <w:p w:rsidR="002A21B9" w:rsidRDefault="00E50336" w:rsidP="002A21B9">
      <w:r>
        <w:pict>
          <v:rect id="_x0000_i1818" style="width:0;height:1.5pt" o:hralign="center" o:hrstd="t" o:hr="t" fillcolor="#a0a0a0" stroked="f"/>
        </w:pict>
      </w:r>
    </w:p>
    <w:p w:rsidR="002A21B9" w:rsidRDefault="002A21B9" w:rsidP="002A21B9">
      <w:pPr>
        <w:pStyle w:val="berschrift1"/>
      </w:pPr>
      <w:r>
        <w:t>3.3.42.84 Konsistenz entlang der Abhängigkeitshierarchie</w:t>
      </w:r>
    </w:p>
    <w:p w:rsidR="002A21B9" w:rsidRDefault="002A21B9" w:rsidP="002A21B9">
      <w:pPr>
        <w:pStyle w:val="StandardWeb"/>
      </w:pPr>
      <w:r>
        <w:t>Eine obere Ebene kann nur dann als vollständig konsistent bewertet werden, wenn ihre verwendeten unteren Ebenen keinen relevanten Konflikt enthalten.</w:t>
      </w:r>
    </w:p>
    <w:p w:rsidR="002A21B9" w:rsidRDefault="002A21B9" w:rsidP="002A21B9">
      <w:pPr>
        <w:pStyle w:val="StandardWeb"/>
      </w:pPr>
      <w:r>
        <w:t>Eine strenge Bedingung lautet</w:t>
      </w:r>
    </w:p>
    <w:p w:rsidR="002A21B9" w:rsidRDefault="002A21B9" w:rsidP="002A21B9">
      <w:pPr>
        <w:pStyle w:val="berschrift1"/>
      </w:pPr>
      <w:r>
        <w:t>[</w:t>
      </w:r>
      <w:r>
        <w:br/>
        <w:t>K_{\mathrm{hier}}</w:t>
      </w:r>
    </w:p>
    <w:p w:rsidR="002A21B9" w:rsidRDefault="002A21B9" w:rsidP="002A21B9">
      <w:pPr>
        <w:pStyle w:val="StandardWeb"/>
      </w:pPr>
      <w:r>
        <w:t>K_A</w:t>
      </w:r>
      <w:r>
        <w:br/>
        <w:t>\land</w:t>
      </w:r>
      <w:r>
        <w:br/>
        <w:t>K_D</w:t>
      </w:r>
      <w:r>
        <w:br/>
        <w:t>\land</w:t>
      </w:r>
      <w:r>
        <w:br/>
        <w:t>K_E</w:t>
      </w:r>
      <w:r>
        <w:br/>
        <w:t>\land</w:t>
      </w:r>
      <w:r>
        <w:br/>
        <w:t>K_T</w:t>
      </w:r>
      <w:r>
        <w:br/>
        <w:t>\land</w:t>
      </w:r>
      <w:r>
        <w:br/>
        <w:t>K_C.</w:t>
      </w:r>
      <w:r>
        <w:br/>
        <w:t>\tag{3.7832}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K_{\mathrm{hier}}=K_A\land K_D\land K_E\land K_T\land K_C\qquad\text{(3.7832)}</w:t>
      </w:r>
    </w:p>
    <w:p w:rsidR="002A21B9" w:rsidRDefault="002A21B9" w:rsidP="002A21B9">
      <w:pPr>
        <w:pStyle w:val="StandardWeb"/>
      </w:pPr>
      <w:r>
        <w:t>Für</w:t>
      </w:r>
    </w:p>
    <w:p w:rsidR="002A21B9" w:rsidRDefault="002A21B9" w:rsidP="002A21B9">
      <w:pPr>
        <w:pStyle w:val="StandardWeb"/>
      </w:pPr>
      <w:r>
        <w:t>[</w:t>
      </w:r>
      <w:r>
        <w:br/>
        <w:t>K_{\mathrm{hier}}=1</w:t>
      </w:r>
      <w:r>
        <w:br/>
        <w:t>\tag{3.7833}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K_{\mathrm{hier}}=1\qquad\text{(3.7833)}</w:t>
      </w:r>
    </w:p>
    <w:p w:rsidR="002A21B9" w:rsidRDefault="002A21B9" w:rsidP="002A21B9">
      <w:pPr>
        <w:pStyle w:val="StandardWeb"/>
      </w:pPr>
      <w:r>
        <w:t>sind die betrachteten Ebenen untereinander konsistent.</w:t>
      </w:r>
    </w:p>
    <w:p w:rsidR="002A21B9" w:rsidRDefault="00E50336" w:rsidP="002A21B9">
      <w:r>
        <w:pict>
          <v:rect id="_x0000_i1819" style="width:0;height:1.5pt" o:hralign="center" o:hrstd="t" o:hr="t" fillcolor="#a0a0a0" stroked="f"/>
        </w:pict>
      </w:r>
    </w:p>
    <w:p w:rsidR="002A21B9" w:rsidRDefault="002A21B9" w:rsidP="002A21B9">
      <w:pPr>
        <w:pStyle w:val="berschrift1"/>
      </w:pPr>
      <w:r>
        <w:t>3.3.42.85 Lokale Repository-Konsistenz</w:t>
      </w:r>
    </w:p>
    <w:p w:rsidR="002A21B9" w:rsidRDefault="002A21B9" w:rsidP="002A21B9">
      <w:pPr>
        <w:pStyle w:val="StandardWeb"/>
      </w:pPr>
      <w:r>
        <w:t>Ein einzelnes Repository-Objekt (o_i) besitzt lokale Konsistenz, wenn seine direkten Abhängigkeiten widerspruchsfrei sind.</w:t>
      </w:r>
    </w:p>
    <w:p w:rsidR="002A21B9" w:rsidRDefault="002A21B9" w:rsidP="002A21B9">
      <w:pPr>
        <w:pStyle w:val="StandardWeb"/>
      </w:pPr>
      <w:r>
        <w:t>Ich definiere</w:t>
      </w:r>
    </w:p>
    <w:p w:rsidR="002A21B9" w:rsidRDefault="002A21B9" w:rsidP="002A21B9">
      <w:pPr>
        <w:pStyle w:val="berschrift1"/>
      </w:pPr>
      <w:r>
        <w:t>[</w:t>
      </w:r>
      <w:r>
        <w:br/>
        <w:t>K_{\mathrm{repo}}^{\mathrm{loc}}(o_i)</w:t>
      </w:r>
    </w:p>
    <w:p w:rsidR="002A21B9" w:rsidRDefault="002A21B9" w:rsidP="008C5E65">
      <w:pPr>
        <w:numPr>
          <w:ilvl w:val="0"/>
          <w:numId w:val="391"/>
        </w:numPr>
        <w:spacing w:before="100" w:beforeAutospacing="1" w:after="100" w:afterAutospacing="1"/>
      </w:pPr>
    </w:p>
    <w:p w:rsidR="002A21B9" w:rsidRDefault="002A21B9" w:rsidP="002A21B9">
      <w:pPr>
        <w:pStyle w:val="StandardWeb"/>
      </w:pPr>
      <w:r>
        <w:t>\tag{3.7834}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K_{\mathrm{repo}}^{\mathrm{loc}}(o_i)=1\qquad\text{(3.7834)}</w:t>
      </w:r>
    </w:p>
    <w:p w:rsidR="002A21B9" w:rsidRDefault="002A21B9" w:rsidP="002A21B9">
      <w:pPr>
        <w:pStyle w:val="StandardWeb"/>
      </w:pPr>
      <w:r>
        <w:t>Beispiele sind:</w:t>
      </w:r>
    </w:p>
    <w:p w:rsidR="002A21B9" w:rsidRDefault="002A21B9" w:rsidP="008C5E65">
      <w:pPr>
        <w:pStyle w:val="StandardWeb"/>
        <w:numPr>
          <w:ilvl w:val="0"/>
          <w:numId w:val="392"/>
        </w:numPr>
      </w:pPr>
      <w:r>
        <w:t>Gleichung verweist auf existierenden Abschnitt,</w:t>
      </w:r>
    </w:p>
    <w:p w:rsidR="002A21B9" w:rsidRDefault="002A21B9" w:rsidP="008C5E65">
      <w:pPr>
        <w:pStyle w:val="StandardWeb"/>
        <w:numPr>
          <w:ilvl w:val="0"/>
          <w:numId w:val="392"/>
        </w:numPr>
      </w:pPr>
      <w:r>
        <w:t>Korollar verweist auf existierenden Satz,</w:t>
      </w:r>
    </w:p>
    <w:p w:rsidR="002A21B9" w:rsidRDefault="002A21B9" w:rsidP="008C5E65">
      <w:pPr>
        <w:pStyle w:val="StandardWeb"/>
        <w:numPr>
          <w:ilvl w:val="0"/>
          <w:numId w:val="392"/>
        </w:numPr>
      </w:pPr>
      <w:r>
        <w:t>Beweis verweist auf existierenden Satz,</w:t>
      </w:r>
    </w:p>
    <w:p w:rsidR="002A21B9" w:rsidRDefault="002A21B9" w:rsidP="008C5E65">
      <w:pPr>
        <w:pStyle w:val="StandardWeb"/>
        <w:numPr>
          <w:ilvl w:val="0"/>
          <w:numId w:val="392"/>
        </w:numPr>
      </w:pPr>
      <w:r>
        <w:t>Quellenverwendung verweist auf existierende Quelle,</w:t>
      </w:r>
    </w:p>
    <w:p w:rsidR="002A21B9" w:rsidRDefault="002A21B9" w:rsidP="008C5E65">
      <w:pPr>
        <w:pStyle w:val="StandardWeb"/>
        <w:numPr>
          <w:ilvl w:val="0"/>
          <w:numId w:val="392"/>
        </w:numPr>
      </w:pPr>
      <w:r>
        <w:t>Revision verweist auf existierende Parent-Revision.</w:t>
      </w:r>
    </w:p>
    <w:p w:rsidR="002A21B9" w:rsidRDefault="00E50336" w:rsidP="002A21B9">
      <w:r>
        <w:pict>
          <v:rect id="_x0000_i1820" style="width:0;height:1.5pt" o:hralign="center" o:hrstd="t" o:hr="t" fillcolor="#a0a0a0" stroked="f"/>
        </w:pict>
      </w:r>
    </w:p>
    <w:p w:rsidR="002A21B9" w:rsidRDefault="002A21B9" w:rsidP="002A21B9">
      <w:pPr>
        <w:pStyle w:val="berschrift1"/>
      </w:pPr>
      <w:r>
        <w:t>3.3.42.86 Globale Repository-Konsistenz</w:t>
      </w:r>
    </w:p>
    <w:p w:rsidR="002A21B9" w:rsidRDefault="002A21B9" w:rsidP="002A21B9">
      <w:pPr>
        <w:pStyle w:val="StandardWeb"/>
      </w:pPr>
      <w:r>
        <w:t>Globale Repository-Konsistenz verlangt dagegen</w:t>
      </w:r>
    </w:p>
    <w:p w:rsidR="002A21B9" w:rsidRDefault="002A21B9" w:rsidP="002A21B9">
      <w:pPr>
        <w:pStyle w:val="berschrift1"/>
      </w:pPr>
      <w:r>
        <w:t>[</w:t>
      </w:r>
      <w:r>
        <w:br/>
        <w:t>K_{\mathrm{repo}}^{\mathrm{glob}}</w:t>
      </w:r>
    </w:p>
    <w:p w:rsidR="002A21B9" w:rsidRDefault="002A21B9" w:rsidP="002A21B9">
      <w:pPr>
        <w:pStyle w:val="StandardWeb"/>
      </w:pPr>
      <w:r>
        <w:t>\bigwedge_i</w:t>
      </w:r>
      <w:r>
        <w:br/>
        <w:t>K_{\mathrm{repo}}^{\mathrm{loc}}(o_i).</w:t>
      </w:r>
      <w:r>
        <w:br/>
        <w:t>\tag{3.7835}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K_{\mathrm{repo}}^{\mathrm{glob}}=\bigwedge_iK_{\mathrm{repo}}^{\mathrm{loc}}(o_i)\qquad\text{(3.7835)}</w:t>
      </w:r>
    </w:p>
    <w:p w:rsidR="002A21B9" w:rsidRDefault="002A21B9" w:rsidP="002A21B9">
      <w:pPr>
        <w:pStyle w:val="StandardWeb"/>
      </w:pPr>
      <w:r>
        <w:t>Diese Bedingung ist für die Datenbankstruktur notwendig, aber noch nicht hinreichend für wissenschaftliche Konsistenz.</w:t>
      </w:r>
    </w:p>
    <w:p w:rsidR="002A21B9" w:rsidRDefault="00E50336" w:rsidP="002A21B9">
      <w:r>
        <w:pict>
          <v:rect id="_x0000_i1821" style="width:0;height:1.5pt" o:hralign="center" o:hrstd="t" o:hr="t" fillcolor="#a0a0a0" stroked="f"/>
        </w:pict>
      </w:r>
    </w:p>
    <w:p w:rsidR="002A21B9" w:rsidRDefault="002A21B9" w:rsidP="002A21B9">
      <w:pPr>
        <w:pStyle w:val="berschrift1"/>
      </w:pPr>
      <w:r>
        <w:t>3.3.42.87 Datenbankkonsistenz ist nicht wissenschaftliche Konsistenz</w:t>
      </w:r>
    </w:p>
    <w:p w:rsidR="002A21B9" w:rsidRDefault="002A21B9" w:rsidP="002A21B9">
      <w:pPr>
        <w:pStyle w:val="StandardWeb"/>
      </w:pPr>
      <w:r>
        <w:t>Ich formuliere ausdrücklich</w:t>
      </w:r>
    </w:p>
    <w:p w:rsidR="002A21B9" w:rsidRDefault="002A21B9" w:rsidP="002A21B9">
      <w:pPr>
        <w:pStyle w:val="StandardWeb"/>
      </w:pPr>
      <w:r>
        <w:t>[</w:t>
      </w:r>
      <w:r>
        <w:br/>
        <w:t>K_{\mathrm{repo}}^{\mathrm{glob}}=1</w:t>
      </w:r>
      <w:r>
        <w:br/>
        <w:t>\nRightarrow</w:t>
      </w:r>
      <w:r>
        <w:br/>
        <w:t>K_F=1.</w:t>
      </w:r>
      <w:r>
        <w:br/>
        <w:t>\tag{3.7836}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K_{\mathrm{repo}}^{\mathrm{glob}}=1\nRightarrow K_F=1\qquad\text{(3.7836)}</w:t>
      </w:r>
    </w:p>
    <w:p w:rsidR="002A21B9" w:rsidRDefault="002A21B9" w:rsidP="002A21B9">
      <w:pPr>
        <w:pStyle w:val="StandardWeb"/>
      </w:pPr>
      <w:r>
        <w:t>Eine Datenbank kann referenziell vollständig konsistent sein und trotzdem wissenschaftlich widersprüchliche Inhalte enthalten.</w:t>
      </w:r>
    </w:p>
    <w:p w:rsidR="002A21B9" w:rsidRDefault="002A21B9" w:rsidP="002A21B9">
      <w:pPr>
        <w:pStyle w:val="StandardWeb"/>
      </w:pPr>
      <w:r>
        <w:t>Umgekehrt kann eine wissenschaftlich konsistente Theorie technisch fehlerhaft im Repository gespeichert sein.</w:t>
      </w:r>
    </w:p>
    <w:p w:rsidR="002A21B9" w:rsidRDefault="00E50336" w:rsidP="002A21B9">
      <w:r>
        <w:pict>
          <v:rect id="_x0000_i1822" style="width:0;height:1.5pt" o:hralign="center" o:hrstd="t" o:hr="t" fillcolor="#a0a0a0" stroked="f"/>
        </w:pict>
      </w:r>
    </w:p>
    <w:p w:rsidR="002A21B9" w:rsidRDefault="002A21B9" w:rsidP="002A21B9">
      <w:pPr>
        <w:pStyle w:val="berschrift1"/>
      </w:pPr>
      <w:r>
        <w:t>3.3.42.88 Technische und wissenschaftliche Konsistenz</w:t>
      </w:r>
    </w:p>
    <w:p w:rsidR="002A21B9" w:rsidRDefault="002A21B9" w:rsidP="002A21B9">
      <w:pPr>
        <w:pStyle w:val="StandardWeb"/>
      </w:pPr>
      <w:r>
        <w:t>Ich unterscheide deshalb</w:t>
      </w:r>
    </w:p>
    <w:p w:rsidR="002A21B9" w:rsidRDefault="002A21B9" w:rsidP="002A21B9">
      <w:pPr>
        <w:pStyle w:val="StandardWeb"/>
      </w:pPr>
      <w:r>
        <w:t>[</w:t>
      </w:r>
      <w:r>
        <w:br/>
        <w:t>K_{\mathrm{tech}}</w:t>
      </w:r>
      <w:r>
        <w:br/>
        <w:t>\tag{3.7837}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K_{\mathrm{tech}}\qquad\text{(3.7837)}</w:t>
      </w:r>
    </w:p>
    <w:p w:rsidR="002A21B9" w:rsidRDefault="002A21B9" w:rsidP="002A21B9">
      <w:pPr>
        <w:pStyle w:val="StandardWeb"/>
      </w:pPr>
      <w:r>
        <w:t>von</w:t>
      </w:r>
    </w:p>
    <w:p w:rsidR="002A21B9" w:rsidRDefault="002A21B9" w:rsidP="002A21B9">
      <w:pPr>
        <w:pStyle w:val="StandardWeb"/>
      </w:pPr>
      <w:r>
        <w:t>[</w:t>
      </w:r>
      <w:r>
        <w:br/>
        <w:t>K_{\mathrm{sci}}.</w:t>
      </w:r>
      <w:r>
        <w:br/>
      </w:r>
      <w:r>
        <w:lastRenderedPageBreak/>
        <w:t>\tag{3.7838}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K_{\mathrm{sci}}\qquad\text{(3.7838)}</w:t>
      </w:r>
    </w:p>
    <w:p w:rsidR="002A21B9" w:rsidRDefault="002A21B9" w:rsidP="002A21B9">
      <w:pPr>
        <w:pStyle w:val="StandardWeb"/>
      </w:pPr>
      <w:r>
        <w:t>Die Gesamtprüfung lautet</w:t>
      </w:r>
    </w:p>
    <w:p w:rsidR="002A21B9" w:rsidRDefault="002A21B9" w:rsidP="002A21B9">
      <w:pPr>
        <w:pStyle w:val="berschrift1"/>
      </w:pPr>
      <w:r>
        <w:t>[</w:t>
      </w:r>
      <w:r>
        <w:br/>
        <w:t>\mathbf K_{\mathrm{total}}</w:t>
      </w:r>
    </w:p>
    <w:p w:rsidR="002A21B9" w:rsidRDefault="002A21B9" w:rsidP="002A21B9">
      <w:pPr>
        <w:pStyle w:val="StandardWeb"/>
      </w:pPr>
      <w:r>
        <w:t>\left(</w:t>
      </w:r>
      <w:r>
        <w:br/>
        <w:t>K_{\mathrm{tech}},</w:t>
      </w:r>
      <w:r>
        <w:br/>
        <w:t>K_{\mathrm{sci}}</w:t>
      </w:r>
      <w:r>
        <w:br/>
        <w:t>\right).</w:t>
      </w:r>
      <w:r>
        <w:br/>
        <w:t>\tag{3.7839}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\mathbf K_{\mathrm{total}}=\left(K_{\mathrm{tech}},K_{\mathrm{sci}}\right)\qquad\text{(3.7839)}</w:t>
      </w:r>
    </w:p>
    <w:p w:rsidR="002A21B9" w:rsidRDefault="00E50336" w:rsidP="002A21B9">
      <w:r>
        <w:pict>
          <v:rect id="_x0000_i1823" style="width:0;height:1.5pt" o:hralign="center" o:hrstd="t" o:hr="t" fillcolor="#a0a0a0" stroked="f"/>
        </w:pict>
      </w:r>
    </w:p>
    <w:p w:rsidR="002A21B9" w:rsidRDefault="002A21B9" w:rsidP="002A21B9">
      <w:pPr>
        <w:pStyle w:val="berschrift1"/>
      </w:pPr>
      <w:r>
        <w:t>3.3.42.89 Versionskonsistenz</w:t>
      </w:r>
    </w:p>
    <w:p w:rsidR="002A21B9" w:rsidRDefault="002A21B9" w:rsidP="002A21B9">
      <w:pPr>
        <w:pStyle w:val="StandardWeb"/>
      </w:pPr>
      <w:r>
        <w:t>Da das FRZK-Repository revisioniert wird, können Aussagen verschiedener Revisionen miteinander kollidieren.</w:t>
      </w:r>
    </w:p>
    <w:p w:rsidR="002A21B9" w:rsidRDefault="002A21B9" w:rsidP="002A21B9">
      <w:pPr>
        <w:pStyle w:val="StandardWeb"/>
      </w:pPr>
      <w:r>
        <w:t>Seien</w:t>
      </w:r>
    </w:p>
    <w:p w:rsidR="002A21B9" w:rsidRDefault="002A21B9" w:rsidP="002A21B9">
      <w:pPr>
        <w:pStyle w:val="StandardWeb"/>
      </w:pPr>
      <w:r>
        <w:t>[</w:t>
      </w:r>
      <w:r>
        <w:br/>
        <w:t>A_i^{(v)}</w:t>
      </w:r>
      <w:r>
        <w:br/>
        <w:t>\tag{3.7840}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A_i^{(v)}\qquad\text{(3.7840)}</w:t>
      </w:r>
    </w:p>
    <w:p w:rsidR="002A21B9" w:rsidRDefault="002A21B9" w:rsidP="002A21B9">
      <w:pPr>
        <w:pStyle w:val="StandardWeb"/>
      </w:pPr>
      <w:r>
        <w:t>und</w:t>
      </w:r>
    </w:p>
    <w:p w:rsidR="002A21B9" w:rsidRDefault="002A21B9" w:rsidP="002A21B9">
      <w:pPr>
        <w:pStyle w:val="StandardWeb"/>
      </w:pPr>
      <w:r>
        <w:t>[</w:t>
      </w:r>
      <w:r>
        <w:br/>
        <w:t>A_i^{(v+1)}.</w:t>
      </w:r>
      <w:r>
        <w:br/>
        <w:t>\tag{3.7841}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A_i^{(v+1)}\qquad\text{(3.7841)}</w:t>
      </w:r>
    </w:p>
    <w:p w:rsidR="002A21B9" w:rsidRDefault="002A21B9" w:rsidP="002A21B9">
      <w:pPr>
        <w:pStyle w:val="StandardWeb"/>
      </w:pPr>
      <w:r>
        <w:t>Eine Revision darf die alte Aussage bewusst ersetzen.</w:t>
      </w:r>
    </w:p>
    <w:p w:rsidR="002A21B9" w:rsidRDefault="002A21B9" w:rsidP="002A21B9">
      <w:pPr>
        <w:pStyle w:val="StandardWeb"/>
      </w:pPr>
      <w:r>
        <w:t>Dann ist</w:t>
      </w:r>
    </w:p>
    <w:p w:rsidR="002A21B9" w:rsidRDefault="002A21B9" w:rsidP="002A21B9">
      <w:pPr>
        <w:pStyle w:val="StandardWeb"/>
      </w:pPr>
      <w:r>
        <w:t>[</w:t>
      </w:r>
      <w:r>
        <w:br/>
        <w:t>A_i^{(v)}</w:t>
      </w:r>
      <w:r>
        <w:br/>
        <w:t>\perp</w:t>
      </w:r>
      <w:r>
        <w:br/>
        <w:t>A_i^{(v+1)}</w:t>
      </w:r>
      <w:r>
        <w:br/>
        <w:t>\tag{3.7842}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A_i^{(v)}\perp A_i^{(v+1)}\qquad\text{(3.7842)}</w:t>
      </w:r>
    </w:p>
    <w:p w:rsidR="002A21B9" w:rsidRDefault="002A21B9" w:rsidP="002A21B9">
      <w:pPr>
        <w:pStyle w:val="StandardWeb"/>
      </w:pPr>
      <w:r>
        <w:t>nicht notwendig ein Fehler, sofern die Revisionsbeziehung explizit dokumentiert ist.</w:t>
      </w:r>
    </w:p>
    <w:p w:rsidR="002A21B9" w:rsidRDefault="00E50336" w:rsidP="002A21B9">
      <w:r>
        <w:pict>
          <v:rect id="_x0000_i1824" style="width:0;height:1.5pt" o:hralign="center" o:hrstd="t" o:hr="t" fillcolor="#a0a0a0" stroked="f"/>
        </w:pict>
      </w:r>
    </w:p>
    <w:p w:rsidR="002A21B9" w:rsidRDefault="002A21B9" w:rsidP="002A21B9">
      <w:pPr>
        <w:pStyle w:val="berschrift1"/>
      </w:pPr>
      <w:r>
        <w:t>3.3.42.90 Aktive und historische Aussagen</w:t>
      </w:r>
    </w:p>
    <w:p w:rsidR="002A21B9" w:rsidRDefault="002A21B9" w:rsidP="002A21B9">
      <w:pPr>
        <w:pStyle w:val="StandardWeb"/>
      </w:pPr>
      <w:r>
        <w:t>Ich definiere daher einen Status</w:t>
      </w:r>
    </w:p>
    <w:p w:rsidR="002A21B9" w:rsidRDefault="002A21B9" w:rsidP="002A21B9">
      <w:pPr>
        <w:pStyle w:val="StandardWeb"/>
      </w:pPr>
      <w:r>
        <w:t>[</w:t>
      </w:r>
      <w:r>
        <w:br/>
        <w:t>s_{\mathrm{rev}}(A_i)</w:t>
      </w:r>
      <w:r>
        <w:br/>
        <w:t>\in</w:t>
      </w:r>
      <w:r>
        <w:br/>
        <w:t>{</w:t>
      </w:r>
      <w:r>
        <w:br/>
        <w:t>\mathbf{aktiv},</w:t>
      </w:r>
      <w:r>
        <w:br/>
        <w:t>\mathbf{ersetzt},</w:t>
      </w:r>
      <w:r>
        <w:br/>
        <w:t>\mathbf{historisch}</w:t>
      </w:r>
      <w:r>
        <w:br/>
        <w:t>}.</w:t>
      </w:r>
      <w:r>
        <w:br/>
        <w:t>\tag{3.7843}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s_{\mathrm{rev}}(A_i)\in\left\{\mathbf{aktiv},\mathbf{ersetzt},\mathbf{historisch}\right\}\qquad\text{(3.7843)}</w:t>
      </w:r>
    </w:p>
    <w:p w:rsidR="002A21B9" w:rsidRDefault="002A21B9" w:rsidP="002A21B9">
      <w:pPr>
        <w:pStyle w:val="StandardWeb"/>
      </w:pPr>
      <w:r>
        <w:t>Nur aktive Aussagen werden für die aktuelle globale Konsistenzprüfung zwingend gemeinsam ausgewertet.</w:t>
      </w:r>
    </w:p>
    <w:p w:rsidR="002A21B9" w:rsidRDefault="00E50336" w:rsidP="002A21B9">
      <w:r>
        <w:pict>
          <v:rect id="_x0000_i1825" style="width:0;height:1.5pt" o:hralign="center" o:hrstd="t" o:hr="t" fillcolor="#a0a0a0" stroked="f"/>
        </w:pict>
      </w:r>
    </w:p>
    <w:p w:rsidR="002A21B9" w:rsidRDefault="002A21B9" w:rsidP="002A21B9">
      <w:pPr>
        <w:pStyle w:val="berschrift1"/>
      </w:pPr>
      <w:r>
        <w:t>3.3.42.91 Revisionskonflikt</w:t>
      </w:r>
    </w:p>
    <w:p w:rsidR="002A21B9" w:rsidRDefault="002A21B9" w:rsidP="002A21B9">
      <w:pPr>
        <w:pStyle w:val="StandardWeb"/>
      </w:pPr>
      <w:r>
        <w:t>Ein problematischer Revisionskonflikt liegt vor, wenn zwei inkompatible Aussagen gleichzeitig als aktiv geführt werden:</w:t>
      </w:r>
    </w:p>
    <w:p w:rsidR="002A21B9" w:rsidRDefault="002A21B9" w:rsidP="002A21B9">
      <w:pPr>
        <w:pStyle w:val="StandardWeb"/>
      </w:pPr>
      <w:r>
        <w:lastRenderedPageBreak/>
        <w:t>[</w:t>
      </w:r>
      <w:r>
        <w:br/>
        <w:t>A_i^{(v)}</w:t>
      </w:r>
      <w:r>
        <w:br/>
        <w:t>\perp</w:t>
      </w:r>
      <w:r>
        <w:br/>
        <w:t>A_i^{(v+1)}</w:t>
      </w:r>
      <w:r>
        <w:br/>
        <w:t>\tag{3.7844}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A_i^{(v)}\perp A_i^{(v+1)}\qquad\text{(3.7844)}</w:t>
      </w:r>
    </w:p>
    <w:p w:rsidR="002A21B9" w:rsidRDefault="002A21B9" w:rsidP="002A21B9">
      <w:pPr>
        <w:pStyle w:val="StandardWeb"/>
      </w:pPr>
      <w:r>
        <w:t>und</w:t>
      </w:r>
    </w:p>
    <w:p w:rsidR="002A21B9" w:rsidRDefault="002A21B9" w:rsidP="002A21B9">
      <w:pPr>
        <w:pStyle w:val="berschrift1"/>
      </w:pPr>
      <w:r>
        <w:t>[</w:t>
      </w:r>
      <w:r>
        <w:br/>
        <w:t>s_{\mathrm{rev}}</w:t>
      </w:r>
      <w:r>
        <w:br/>
        <w:t>\left(</w:t>
      </w:r>
      <w:r>
        <w:br/>
        <w:t>A_i^{(v)}</w:t>
      </w:r>
      <w:r>
        <w:br/>
        <w:t>\right)</w:t>
      </w:r>
    </w:p>
    <w:p w:rsidR="002A21B9" w:rsidRDefault="002A21B9" w:rsidP="002A21B9">
      <w:pPr>
        <w:pStyle w:val="berschrift1"/>
      </w:pPr>
      <w:r>
        <w:t>s_{\mathrm{rev}}</w:t>
      </w:r>
      <w:r>
        <w:br/>
        <w:t>\left(</w:t>
      </w:r>
      <w:r>
        <w:br/>
        <w:t>A_i^{(v+1)}</w:t>
      </w:r>
      <w:r>
        <w:br/>
        <w:t>\right)</w:t>
      </w:r>
    </w:p>
    <w:p w:rsidR="002A21B9" w:rsidRDefault="002A21B9" w:rsidP="002A21B9">
      <w:pPr>
        <w:pStyle w:val="StandardWeb"/>
      </w:pPr>
      <w:r>
        <w:t>\mathbf{aktiv}.</w:t>
      </w:r>
      <w:r>
        <w:br/>
        <w:t>\tag{3.7845}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s_{\mathrm{rev}}\left(A_i^{(v)}\right)=s_{\mathrm{rev}}\left(A_i^{(v+1)}\right)=\mathbf{aktiv}\qquad\text{(3.7845)}</w:t>
      </w:r>
    </w:p>
    <w:p w:rsidR="002A21B9" w:rsidRDefault="00E50336" w:rsidP="002A21B9">
      <w:r>
        <w:pict>
          <v:rect id="_x0000_i1826" style="width:0;height:1.5pt" o:hralign="center" o:hrstd="t" o:hr="t" fillcolor="#a0a0a0" stroked="f"/>
        </w:pict>
      </w:r>
    </w:p>
    <w:p w:rsidR="002A21B9" w:rsidRDefault="002A21B9" w:rsidP="002A21B9">
      <w:pPr>
        <w:pStyle w:val="berschrift1"/>
      </w:pPr>
      <w:r>
        <w:t>3.3.42.92 Zeitliche Konsistenz des Repositorys</w:t>
      </w:r>
    </w:p>
    <w:p w:rsidR="002A21B9" w:rsidRDefault="002A21B9" w:rsidP="002A21B9">
      <w:pPr>
        <w:pStyle w:val="StandardWeb"/>
      </w:pPr>
      <w:r>
        <w:t>Die aktive Aussagenmenge zu Revision (v) sei</w:t>
      </w:r>
    </w:p>
    <w:p w:rsidR="002A21B9" w:rsidRDefault="002A21B9" w:rsidP="002A21B9">
      <w:pPr>
        <w:pStyle w:val="StandardWeb"/>
      </w:pPr>
      <w:r>
        <w:t>[</w:t>
      </w:r>
      <w:r>
        <w:br/>
        <w:t>\mathcal A^{(v)}.</w:t>
      </w:r>
      <w:r>
        <w:br/>
        <w:t>\tag{3.7846}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\mathcal A^{(v)}\qquad\text{(3.7846)}</w:t>
      </w:r>
    </w:p>
    <w:p w:rsidR="002A21B9" w:rsidRDefault="002A21B9" w:rsidP="002A21B9">
      <w:pPr>
        <w:pStyle w:val="StandardWeb"/>
      </w:pPr>
      <w:r>
        <w:t>Dann definiere ich</w:t>
      </w:r>
    </w:p>
    <w:p w:rsidR="002A21B9" w:rsidRDefault="002A21B9" w:rsidP="002A21B9">
      <w:pPr>
        <w:pStyle w:val="berschrift1"/>
      </w:pPr>
      <w:r>
        <w:t>[</w:t>
      </w:r>
      <w:r>
        <w:br/>
        <w:t>K_{\mathrm{rev}}^{(v)}</w:t>
      </w:r>
    </w:p>
    <w:p w:rsidR="002A21B9" w:rsidRDefault="002A21B9" w:rsidP="002A21B9">
      <w:pPr>
        <w:pStyle w:val="StandardWeb"/>
      </w:pPr>
      <w:r>
        <w:t>K_F</w:t>
      </w:r>
      <w:r>
        <w:br/>
        <w:t>\left(</w:t>
      </w:r>
      <w:r>
        <w:br/>
        <w:t>\mathcal A^{(v)}</w:t>
      </w:r>
      <w:r>
        <w:br/>
        <w:t>\right).</w:t>
      </w:r>
      <w:r>
        <w:br/>
        <w:t>\tag{3.7847}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K_{\mathrm{rev}}^{(v)}=K_F\left(\mathcal A^{(v)}\right)\qquad\text{(3.7847)}</w:t>
      </w:r>
    </w:p>
    <w:p w:rsidR="002A21B9" w:rsidRDefault="002A21B9" w:rsidP="002A21B9">
      <w:pPr>
        <w:pStyle w:val="StandardWeb"/>
      </w:pPr>
      <w:r>
        <w:t>Damit kann die Konsistenzentwicklung über Revisionen verfolgt werden.</w:t>
      </w:r>
    </w:p>
    <w:p w:rsidR="002A21B9" w:rsidRDefault="00E50336" w:rsidP="002A21B9">
      <w:r>
        <w:pict>
          <v:rect id="_x0000_i1827" style="width:0;height:1.5pt" o:hralign="center" o:hrstd="t" o:hr="t" fillcolor="#a0a0a0" stroked="f"/>
        </w:pict>
      </w:r>
    </w:p>
    <w:p w:rsidR="002A21B9" w:rsidRDefault="002A21B9" w:rsidP="002A21B9">
      <w:pPr>
        <w:pStyle w:val="berschrift1"/>
      </w:pPr>
      <w:r>
        <w:t>3.3.42.93 Konsistenzgeschichte</w:t>
      </w:r>
    </w:p>
    <w:p w:rsidR="002A21B9" w:rsidRDefault="002A21B9" w:rsidP="002A21B9">
      <w:pPr>
        <w:pStyle w:val="StandardWeb"/>
      </w:pPr>
      <w:r>
        <w:t>Ich definiere</w:t>
      </w:r>
    </w:p>
    <w:p w:rsidR="002A21B9" w:rsidRDefault="002A21B9" w:rsidP="002A21B9">
      <w:pPr>
        <w:pStyle w:val="berschrift1"/>
      </w:pPr>
      <w:r>
        <w:t>[</w:t>
      </w:r>
      <w:r>
        <w:br/>
        <w:t>\mathcal H_K</w:t>
      </w:r>
    </w:p>
    <w:p w:rsidR="002A21B9" w:rsidRDefault="002A21B9" w:rsidP="002A21B9">
      <w:pPr>
        <w:pStyle w:val="StandardWeb"/>
      </w:pPr>
      <w:r>
        <w:t>\left(</w:t>
      </w:r>
      <w:r>
        <w:br/>
        <w:t>K_{\mathrm{rev}}^{(1)},</w:t>
      </w:r>
      <w:r>
        <w:br/>
        <w:t>K_{\mathrm{rev}}^{(2)},</w:t>
      </w:r>
      <w:r>
        <w:br/>
        <w:t>\ldots,</w:t>
      </w:r>
      <w:r>
        <w:br/>
        <w:t>K_{\mathrm{rev}}^{(n)}</w:t>
      </w:r>
      <w:r>
        <w:br/>
        <w:t>\right).</w:t>
      </w:r>
      <w:r>
        <w:br/>
        <w:t>\tag{3.7848}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H_K=\left(K_{\mathrm{rev}}^{(1)},K_{\mathrm{rev}}^{(2)},\ldots,K_{\mathrm{rev}}^{(n)}\right)\qquad\text{(3.7848)}</w:t>
      </w:r>
    </w:p>
    <w:p w:rsidR="002A21B9" w:rsidRDefault="002A21B9" w:rsidP="002A21B9">
      <w:pPr>
        <w:pStyle w:val="StandardWeb"/>
      </w:pPr>
      <w:r>
        <w:t>Damit wird sichtbar, wann ein Konflikt entstanden oder behoben worden ist.</w:t>
      </w:r>
    </w:p>
    <w:p w:rsidR="002A21B9" w:rsidRDefault="00E50336" w:rsidP="002A21B9">
      <w:r>
        <w:pict>
          <v:rect id="_x0000_i1828" style="width:0;height:1.5pt" o:hralign="center" o:hrstd="t" o:hr="t" fillcolor="#a0a0a0" stroked="f"/>
        </w:pict>
      </w:r>
    </w:p>
    <w:p w:rsidR="002A21B9" w:rsidRDefault="002A21B9" w:rsidP="002A21B9">
      <w:pPr>
        <w:pStyle w:val="berschrift1"/>
      </w:pPr>
      <w:r>
        <w:lastRenderedPageBreak/>
        <w:t>3.3.42.94 Konsistenzverlust</w:t>
      </w:r>
    </w:p>
    <w:p w:rsidR="002A21B9" w:rsidRDefault="002A21B9" w:rsidP="002A21B9">
      <w:pPr>
        <w:pStyle w:val="StandardWeb"/>
      </w:pPr>
      <w:r>
        <w:t>Ein Konsistenzverlust liegt vor, wenn</w:t>
      </w:r>
    </w:p>
    <w:p w:rsidR="002A21B9" w:rsidRDefault="002A21B9" w:rsidP="002A21B9">
      <w:pPr>
        <w:pStyle w:val="berschrift1"/>
      </w:pPr>
      <w:r>
        <w:t>[</w:t>
      </w:r>
      <w:r>
        <w:br/>
        <w:t>K_{\mathrm{rev}}^{(v)}</w:t>
      </w:r>
    </w:p>
    <w:p w:rsidR="002A21B9" w:rsidRDefault="002A21B9" w:rsidP="002A21B9">
      <w:pPr>
        <w:pStyle w:val="StandardWeb"/>
      </w:pPr>
      <w:r>
        <w:t>1</w:t>
      </w:r>
      <w:r>
        <w:br/>
        <w:t>\tag{3.7849}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K_{\mathrm{rev}}^{(v)}=1\qquad\text{(3.7849)}</w:t>
      </w:r>
    </w:p>
    <w:p w:rsidR="002A21B9" w:rsidRDefault="002A21B9" w:rsidP="002A21B9">
      <w:pPr>
        <w:pStyle w:val="StandardWeb"/>
      </w:pPr>
      <w:r>
        <w:t>aber</w:t>
      </w:r>
    </w:p>
    <w:p w:rsidR="002A21B9" w:rsidRDefault="002A21B9" w:rsidP="002A21B9">
      <w:pPr>
        <w:pStyle w:val="berschrift1"/>
      </w:pPr>
      <w:r>
        <w:t>[</w:t>
      </w:r>
      <w:r>
        <w:br/>
        <w:t>K_{\mathrm{rev}}^{(v+1)}</w:t>
      </w:r>
    </w:p>
    <w:p w:rsidR="002A21B9" w:rsidRDefault="002A21B9" w:rsidP="008C5E65">
      <w:pPr>
        <w:numPr>
          <w:ilvl w:val="0"/>
          <w:numId w:val="393"/>
        </w:numPr>
        <w:spacing w:before="100" w:beforeAutospacing="1" w:after="100" w:afterAutospacing="1"/>
      </w:pPr>
    </w:p>
    <w:p w:rsidR="002A21B9" w:rsidRDefault="002A21B9" w:rsidP="002A21B9">
      <w:pPr>
        <w:pStyle w:val="StandardWeb"/>
      </w:pPr>
      <w:r>
        <w:t>\tag{3.7850}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K_{\mathrm{rev}}^{(v+1)}=0\qquad\text{(3.7850)}</w:t>
      </w:r>
    </w:p>
    <w:p w:rsidR="002A21B9" w:rsidRDefault="002A21B9" w:rsidP="002A21B9">
      <w:pPr>
        <w:pStyle w:val="StandardWeb"/>
      </w:pPr>
      <w:r>
        <w:t>Dies kann beispielsweise durch eine neu hinzugefügte Definition, Gleichung oder Aussage ausgelöst werden.</w:t>
      </w:r>
    </w:p>
    <w:p w:rsidR="002A21B9" w:rsidRDefault="00E50336" w:rsidP="002A21B9">
      <w:r>
        <w:pict>
          <v:rect id="_x0000_i1829" style="width:0;height:1.5pt" o:hralign="center" o:hrstd="t" o:hr="t" fillcolor="#a0a0a0" stroked="f"/>
        </w:pict>
      </w:r>
    </w:p>
    <w:p w:rsidR="002A21B9" w:rsidRDefault="002A21B9" w:rsidP="002A21B9">
      <w:pPr>
        <w:pStyle w:val="berschrift1"/>
      </w:pPr>
      <w:r>
        <w:t>3.3.42.95 Konsistenzgewinn</w:t>
      </w:r>
    </w:p>
    <w:p w:rsidR="002A21B9" w:rsidRDefault="002A21B9" w:rsidP="002A21B9">
      <w:pPr>
        <w:pStyle w:val="StandardWeb"/>
      </w:pPr>
      <w:r>
        <w:t>Umgekehrt liegt ein Konsistenzgewinn vor bei</w:t>
      </w:r>
    </w:p>
    <w:p w:rsidR="002A21B9" w:rsidRDefault="002A21B9" w:rsidP="002A21B9">
      <w:pPr>
        <w:pStyle w:val="berschrift1"/>
      </w:pPr>
      <w:r>
        <w:t>[</w:t>
      </w:r>
      <w:r>
        <w:br/>
        <w:t>K_{\mathrm{rev}}^{(v)}</w:t>
      </w:r>
    </w:p>
    <w:p w:rsidR="002A21B9" w:rsidRDefault="002A21B9" w:rsidP="002A21B9">
      <w:pPr>
        <w:pStyle w:val="StandardWeb"/>
      </w:pPr>
      <w:r>
        <w:t>0</w:t>
      </w:r>
      <w:r>
        <w:br/>
        <w:t>\tag{3.7851}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K_{\mathrm{rev}}^{(v)}=0\qquad\text{(3.7851)}</w:t>
      </w:r>
    </w:p>
    <w:p w:rsidR="002A21B9" w:rsidRDefault="002A21B9" w:rsidP="002A21B9">
      <w:pPr>
        <w:pStyle w:val="StandardWeb"/>
      </w:pPr>
      <w:r>
        <w:t>und</w:t>
      </w:r>
    </w:p>
    <w:p w:rsidR="002A21B9" w:rsidRDefault="002A21B9" w:rsidP="002A21B9">
      <w:pPr>
        <w:pStyle w:val="berschrift1"/>
      </w:pPr>
      <w:r>
        <w:t>[</w:t>
      </w:r>
      <w:r>
        <w:br/>
        <w:t>K_{\mathrm{rev}}^{(v+1)}</w:t>
      </w:r>
    </w:p>
    <w:p w:rsidR="002A21B9" w:rsidRDefault="002A21B9" w:rsidP="008C5E65">
      <w:pPr>
        <w:numPr>
          <w:ilvl w:val="0"/>
          <w:numId w:val="394"/>
        </w:numPr>
        <w:spacing w:before="100" w:beforeAutospacing="1" w:after="100" w:afterAutospacing="1"/>
      </w:pPr>
    </w:p>
    <w:p w:rsidR="002A21B9" w:rsidRDefault="002A21B9" w:rsidP="002A21B9">
      <w:pPr>
        <w:pStyle w:val="StandardWeb"/>
      </w:pPr>
      <w:r>
        <w:t>\tag{3.7852}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K_{\mathrm{rev}}^{(v+1)}=1\qquad\text{(3.7852)}</w:t>
      </w:r>
    </w:p>
    <w:p w:rsidR="002A21B9" w:rsidRDefault="002A21B9" w:rsidP="002A21B9">
      <w:pPr>
        <w:pStyle w:val="StandardWeb"/>
      </w:pPr>
      <w:r>
        <w:t>Eine Revision kann damit ausdrücklich dokumentiert werden als konsistenzwiederherstellende Änderung.</w:t>
      </w:r>
    </w:p>
    <w:p w:rsidR="002A21B9" w:rsidRDefault="00E50336" w:rsidP="002A21B9">
      <w:r>
        <w:pict>
          <v:rect id="_x0000_i1830" style="width:0;height:1.5pt" o:hralign="center" o:hrstd="t" o:hr="t" fillcolor="#a0a0a0" stroked="f"/>
        </w:pict>
      </w:r>
    </w:p>
    <w:p w:rsidR="002A21B9" w:rsidRDefault="002A21B9" w:rsidP="002A21B9">
      <w:pPr>
        <w:pStyle w:val="berschrift1"/>
      </w:pPr>
      <w:r>
        <w:t>3.3.42.96 Konsistenzprüfung beim Einfügen neuer Aussagen</w:t>
      </w:r>
    </w:p>
    <w:p w:rsidR="002A21B9" w:rsidRDefault="002A21B9" w:rsidP="002A21B9">
      <w:pPr>
        <w:pStyle w:val="StandardWeb"/>
      </w:pPr>
      <w:r>
        <w:t>Eine neue Aussage</w:t>
      </w:r>
    </w:p>
    <w:p w:rsidR="002A21B9" w:rsidRDefault="002A21B9" w:rsidP="002A21B9">
      <w:pPr>
        <w:pStyle w:val="StandardWeb"/>
      </w:pPr>
      <w:r>
        <w:t>[</w:t>
      </w:r>
      <w:r>
        <w:br/>
        <w:t>A_{\mathrm{neu}}</w:t>
      </w:r>
      <w:r>
        <w:br/>
        <w:t>\tag{3.7853}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A_{\mathrm{neu}}\qquad\text{(3.7853)}</w:t>
      </w:r>
    </w:p>
    <w:p w:rsidR="002A21B9" w:rsidRDefault="002A21B9" w:rsidP="002A21B9">
      <w:pPr>
        <w:pStyle w:val="StandardWeb"/>
      </w:pPr>
      <w:r>
        <w:t>soll nicht nur formal gespeichert, sondern gegen die bereits aktive Aussagenmenge geprüft werden.</w:t>
      </w:r>
    </w:p>
    <w:p w:rsidR="002A21B9" w:rsidRDefault="002A21B9" w:rsidP="002A21B9">
      <w:pPr>
        <w:pStyle w:val="StandardWeb"/>
      </w:pPr>
      <w:r>
        <w:t>Ich definiere</w:t>
      </w:r>
    </w:p>
    <w:p w:rsidR="002A21B9" w:rsidRDefault="002A21B9" w:rsidP="002A21B9">
      <w:pPr>
        <w:pStyle w:val="berschrift1"/>
      </w:pPr>
      <w:r>
        <w:t>[</w:t>
      </w:r>
      <w:r>
        <w:br/>
        <w:t>\mathcal T_K</w:t>
      </w:r>
      <w:r>
        <w:br/>
        <w:t>\left(</w:t>
      </w:r>
      <w:r>
        <w:br/>
        <w:t>A_{\mathrm{neu}}</w:t>
      </w:r>
      <w:r>
        <w:br/>
        <w:t>\right)</w:t>
      </w:r>
    </w:p>
    <w:p w:rsidR="002A21B9" w:rsidRDefault="002A21B9" w:rsidP="002A21B9">
      <w:pPr>
        <w:pStyle w:val="StandardWeb"/>
      </w:pPr>
      <w:r>
        <w:lastRenderedPageBreak/>
        <w:t>\left{</w:t>
      </w:r>
      <w:r>
        <w:br/>
        <w:t>K_F</w:t>
      </w:r>
      <w:r>
        <w:br/>
        <w:t>\left(</w:t>
      </w:r>
      <w:r>
        <w:br/>
        <w:t>A_{\mathrm{neu}},</w:t>
      </w:r>
      <w:r>
        <w:br/>
        <w:t>A_i</w:t>
      </w:r>
      <w:r>
        <w:br/>
        <w:t>\right)</w:t>
      </w:r>
      <w:r>
        <w:br/>
        <w:t>:</w:t>
      </w:r>
      <w:r>
        <w:br/>
        <w:t>A_i</w:t>
      </w:r>
      <w:r>
        <w:br/>
        <w:t>\in</w:t>
      </w:r>
      <w:r>
        <w:br/>
        <w:t>\mathcal A_{\mathrm{aktiv}}</w:t>
      </w:r>
      <w:r>
        <w:br/>
        <w:t>\right}.</w:t>
      </w:r>
      <w:r>
        <w:br/>
        <w:t>\tag{3.7854}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T_K\left(A_{\mathrm{neu}}\right)=\left\{K_F\left(A_{\mathrm{neu}},A_i\right):A_i\in\mathcal A_{\mathrm{aktiv}}\right\}\qquad\text{(3.7854)}</w:t>
      </w:r>
    </w:p>
    <w:p w:rsidR="002A21B9" w:rsidRDefault="00E50336" w:rsidP="002A21B9">
      <w:r>
        <w:pict>
          <v:rect id="_x0000_i1831" style="width:0;height:1.5pt" o:hralign="center" o:hrstd="t" o:hr="t" fillcolor="#a0a0a0" stroked="f"/>
        </w:pict>
      </w:r>
    </w:p>
    <w:p w:rsidR="002A21B9" w:rsidRDefault="002A21B9" w:rsidP="002A21B9">
      <w:pPr>
        <w:pStyle w:val="berschrift1"/>
      </w:pPr>
      <w:r>
        <w:t>3.3.42.97 Einfügefreigabe</w:t>
      </w:r>
    </w:p>
    <w:p w:rsidR="002A21B9" w:rsidRDefault="002A21B9" w:rsidP="002A21B9">
      <w:pPr>
        <w:pStyle w:val="StandardWeb"/>
      </w:pPr>
      <w:r>
        <w:t>Eine strenge Einfügefreigabe könnte lauten</w:t>
      </w:r>
    </w:p>
    <w:p w:rsidR="002A21B9" w:rsidRDefault="002A21B9" w:rsidP="002A21B9">
      <w:pPr>
        <w:pStyle w:val="berschrift1"/>
      </w:pPr>
      <w:r>
        <w:t>[</w:t>
      </w:r>
      <w:r>
        <w:br/>
        <w:t>C_{\mathrm{insert}}</w:t>
      </w:r>
    </w:p>
    <w:p w:rsidR="002A21B9" w:rsidRDefault="002A21B9" w:rsidP="002A21B9">
      <w:pPr>
        <w:pStyle w:val="StandardWeb"/>
      </w:pPr>
      <w:r>
        <w:t>1</w:t>
      </w:r>
      <w:r>
        <w:br/>
        <w:t>\Longleftrightarrow</w:t>
      </w:r>
      <w:r>
        <w:br/>
        <w:t>\forall</w:t>
      </w:r>
      <w:r>
        <w:br/>
        <w:t>A_i</w:t>
      </w:r>
      <w:r>
        <w:br/>
        <w:t>\in</w:t>
      </w:r>
      <w:r>
        <w:br/>
        <w:t>\mathcal A_{\mathrm{relevant}}</w:t>
      </w:r>
      <w:r>
        <w:br/>
        <w:t>:</w:t>
      </w:r>
      <w:r>
        <w:br/>
        <w:t>K_F(A_{\mathrm{neu}},A_i)\neq0.</w:t>
      </w:r>
      <w:r>
        <w:br/>
        <w:t>\tag{3.7855}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C_{\mathrm{insert}}=1\Longleftrightarrow\forall A_i\in\mathcal A_{\mathrm{relevant}}:K_F(A_{\mathrm{neu}},A_i)\neq0\qquad\text{(3.7855)}</w:t>
      </w:r>
    </w:p>
    <w:p w:rsidR="002A21B9" w:rsidRDefault="002A21B9" w:rsidP="002A21B9">
      <w:pPr>
        <w:pStyle w:val="StandardWeb"/>
      </w:pPr>
      <w:r>
        <w:t>Dabei dürfen unentscheidbare Beziehungen gegebenenfalls gespeichert, aber als offene Prüfkonflikte markiert werden.</w:t>
      </w:r>
    </w:p>
    <w:p w:rsidR="002A21B9" w:rsidRDefault="00E50336" w:rsidP="002A21B9">
      <w:r>
        <w:pict>
          <v:rect id="_x0000_i1832" style="width:0;height:1.5pt" o:hralign="center" o:hrstd="t" o:hr="t" fillcolor="#a0a0a0" stroked="f"/>
        </w:pict>
      </w:r>
    </w:p>
    <w:p w:rsidR="002A21B9" w:rsidRDefault="002A21B9" w:rsidP="002A21B9">
      <w:pPr>
        <w:pStyle w:val="berschrift1"/>
      </w:pPr>
      <w:r>
        <w:t>3.3.42.98 Offener Konsistenzbefund</w:t>
      </w:r>
    </w:p>
    <w:p w:rsidR="002A21B9" w:rsidRDefault="002A21B9" w:rsidP="002A21B9">
      <w:pPr>
        <w:pStyle w:val="StandardWeb"/>
      </w:pPr>
      <w:r>
        <w:lastRenderedPageBreak/>
        <w:t>Ich definiere</w:t>
      </w:r>
    </w:p>
    <w:p w:rsidR="002A21B9" w:rsidRDefault="002A21B9" w:rsidP="002A21B9">
      <w:pPr>
        <w:pStyle w:val="berschrift1"/>
      </w:pPr>
      <w:r>
        <w:t>[</w:t>
      </w:r>
      <w:r>
        <w:br/>
        <w:t>K_{\mathrm{open}}</w:t>
      </w:r>
    </w:p>
    <w:p w:rsidR="002A21B9" w:rsidRDefault="002A21B9" w:rsidP="002A21B9">
      <w:pPr>
        <w:pStyle w:val="StandardWeb"/>
      </w:pPr>
      <w:r>
        <w:t>1</w:t>
      </w:r>
      <w:r>
        <w:br/>
        <w:t>\tag{3.7856}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K_{\mathrm{open}}=1\qquad\text{(3.7856)}</w:t>
      </w:r>
    </w:p>
    <w:p w:rsidR="002A21B9" w:rsidRDefault="002A21B9" w:rsidP="002A21B9">
      <w:pPr>
        <w:pStyle w:val="StandardWeb"/>
      </w:pPr>
      <w:r>
        <w:t>wenn mindestens eine relevante Konsistenzbeziehung unentscheidbar ist:</w:t>
      </w:r>
    </w:p>
    <w:p w:rsidR="002A21B9" w:rsidRDefault="002A21B9" w:rsidP="002A21B9">
      <w:pPr>
        <w:pStyle w:val="StandardWeb"/>
      </w:pPr>
      <w:r>
        <w:t>[</w:t>
      </w:r>
      <w:r>
        <w:br/>
        <w:t>\exists A_i:</w:t>
      </w:r>
      <w:r>
        <w:br/>
        <w:t>K_F(A_{\mathrm{neu}},A_i)=\mathbf u.</w:t>
      </w:r>
      <w:r>
        <w:br/>
        <w:t>\tag{3.7857}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\exists A_i:K_F(A_{\mathrm{neu}},A_i)=\mathbf u\qquad\text{(3.7857)}</w:t>
      </w:r>
    </w:p>
    <w:p w:rsidR="002A21B9" w:rsidRDefault="002A21B9" w:rsidP="002A21B9">
      <w:pPr>
        <w:pStyle w:val="StandardWeb"/>
      </w:pPr>
      <w:r>
        <w:t>Ein offener Konsistenzbefund ist kein Fehler, muss aber sichtbar bleiben.</w:t>
      </w:r>
    </w:p>
    <w:p w:rsidR="002A21B9" w:rsidRDefault="00E50336" w:rsidP="002A21B9">
      <w:r>
        <w:pict>
          <v:rect id="_x0000_i1833" style="width:0;height:1.5pt" o:hralign="center" o:hrstd="t" o:hr="t" fillcolor="#a0a0a0" stroked="f"/>
        </w:pict>
      </w:r>
    </w:p>
    <w:p w:rsidR="002A21B9" w:rsidRDefault="002A21B9" w:rsidP="002A21B9">
      <w:pPr>
        <w:pStyle w:val="berschrift1"/>
      </w:pPr>
      <w:r>
        <w:t>3.3.42.99 Konsistenzschulden</w:t>
      </w:r>
    </w:p>
    <w:p w:rsidR="002A21B9" w:rsidRDefault="002A21B9" w:rsidP="002A21B9">
      <w:pPr>
        <w:pStyle w:val="StandardWeb"/>
      </w:pPr>
      <w:r>
        <w:t>Nicht geprüfte oder unentscheidbare Beziehungen können sich im Laufe der Entwicklung ansammeln.</w:t>
      </w:r>
    </w:p>
    <w:p w:rsidR="002A21B9" w:rsidRDefault="002A21B9" w:rsidP="002A21B9">
      <w:pPr>
        <w:pStyle w:val="StandardWeb"/>
      </w:pPr>
      <w:r>
        <w:t>Ich bezeichne die Menge offener Konsistenzprüfungen mit</w:t>
      </w:r>
    </w:p>
    <w:p w:rsidR="002A21B9" w:rsidRDefault="002A21B9" w:rsidP="002A21B9">
      <w:pPr>
        <w:pStyle w:val="berschrift1"/>
      </w:pPr>
      <w:r>
        <w:t>[</w:t>
      </w:r>
      <w:r>
        <w:br/>
        <w:t>\mathcal D_K</w:t>
      </w:r>
    </w:p>
    <w:p w:rsidR="002A21B9" w:rsidRDefault="002A21B9" w:rsidP="002A21B9">
      <w:pPr>
        <w:pStyle w:val="StandardWeb"/>
      </w:pPr>
      <w:r>
        <w:t>\left{</w:t>
      </w:r>
      <w:r>
        <w:br/>
        <w:t>(A_i,A_j):</w:t>
      </w:r>
      <w:r>
        <w:br/>
        <w:t>s_{ij}=\mathbf U</w:t>
      </w:r>
      <w:r>
        <w:br/>
        <w:t>\right}.</w:t>
      </w:r>
      <w:r>
        <w:br/>
        <w:t>\tag{3.7858}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\mathcal D_K=\left\{(A_i,A_j):s_{ij}=\mathbf U\right\}\qquad\text{(3.7858)}</w:t>
      </w:r>
    </w:p>
    <w:p w:rsidR="002A21B9" w:rsidRDefault="002A21B9" w:rsidP="002A21B9">
      <w:pPr>
        <w:pStyle w:val="StandardWeb"/>
      </w:pPr>
      <w:r>
        <w:t>Die Anzahl lautet</w:t>
      </w:r>
    </w:p>
    <w:p w:rsidR="002A21B9" w:rsidRDefault="002A21B9" w:rsidP="002A21B9">
      <w:pPr>
        <w:pStyle w:val="berschrift1"/>
      </w:pPr>
      <w:r>
        <w:t>[</w:t>
      </w:r>
      <w:r>
        <w:br/>
        <w:t>N_K^{\mathrm{open}}</w:t>
      </w:r>
    </w:p>
    <w:p w:rsidR="002A21B9" w:rsidRDefault="002A21B9" w:rsidP="002A21B9">
      <w:pPr>
        <w:pStyle w:val="StandardWeb"/>
      </w:pPr>
      <w:r>
        <w:t>|\mathcal D_K|.</w:t>
      </w:r>
      <w:r>
        <w:br/>
        <w:t>\tag{3.7859}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N_K^{\mathrm{open}}=|\mathcal D_K|\qquad\text{(3.7859)}</w:t>
      </w:r>
    </w:p>
    <w:p w:rsidR="002A21B9" w:rsidRDefault="002A21B9" w:rsidP="002A21B9">
      <w:pPr>
        <w:pStyle w:val="StandardWeb"/>
      </w:pPr>
      <w:r>
        <w:t xml:space="preserve">Diese offenen Beziehungen können als </w:t>
      </w:r>
      <w:r>
        <w:rPr>
          <w:rStyle w:val="Fett"/>
        </w:rPr>
        <w:t>Konsistenzschulden</w:t>
      </w:r>
      <w:r>
        <w:t xml:space="preserve"> verstanden werden.</w:t>
      </w:r>
    </w:p>
    <w:p w:rsidR="002A21B9" w:rsidRDefault="00E50336" w:rsidP="002A21B9">
      <w:r>
        <w:pict>
          <v:rect id="_x0000_i1834" style="width:0;height:1.5pt" o:hralign="center" o:hrstd="t" o:hr="t" fillcolor="#a0a0a0" stroked="f"/>
        </w:pict>
      </w:r>
    </w:p>
    <w:p w:rsidR="002A21B9" w:rsidRDefault="002A21B9" w:rsidP="002A21B9">
      <w:pPr>
        <w:pStyle w:val="berschrift1"/>
      </w:pPr>
      <w:r>
        <w:t>3.3.42.100 Konsistenzdeckungsgrad</w:t>
      </w:r>
    </w:p>
    <w:p w:rsidR="002A21B9" w:rsidRDefault="002A21B9" w:rsidP="002A21B9">
      <w:pPr>
        <w:pStyle w:val="StandardWeb"/>
      </w:pPr>
      <w:r>
        <w:t>Analog zur Prüfvollständigkeit aus Abschnitt 3.3.41 definiere ich</w:t>
      </w:r>
    </w:p>
    <w:p w:rsidR="002A21B9" w:rsidRDefault="002A21B9" w:rsidP="002A21B9">
      <w:pPr>
        <w:pStyle w:val="berschrift1"/>
      </w:pPr>
      <w:r>
        <w:t>[</w:t>
      </w:r>
      <w:r>
        <w:br/>
        <w:t>C_K^{\mathrm{cov}}</w:t>
      </w:r>
    </w:p>
    <w:p w:rsidR="002A21B9" w:rsidRDefault="002A21B9" w:rsidP="002A21B9">
      <w:pPr>
        <w:pStyle w:val="StandardWeb"/>
      </w:pPr>
      <w:r>
        <w:t>\frac{</w:t>
      </w:r>
      <w:r>
        <w:br/>
        <w:t>N_K^{\mathrm{checked}}</w:t>
      </w:r>
      <w:r>
        <w:br/>
        <w:t>}{</w:t>
      </w:r>
      <w:r>
        <w:br/>
        <w:t>N_K^{\mathrm{required}}</w:t>
      </w:r>
      <w:r>
        <w:br/>
        <w:t>}.</w:t>
      </w:r>
      <w:r>
        <w:br/>
        <w:t>\tag{3.7860}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C_K^{\mathrm{cov}}=\frac{N_K^{\mathrm{checked}}}{N_K^{\mathrm{required}}}\qquad\text{(3.7860)}</w:t>
      </w:r>
    </w:p>
    <w:p w:rsidR="002A21B9" w:rsidRDefault="002A21B9" w:rsidP="002A21B9">
      <w:pPr>
        <w:pStyle w:val="StandardWeb"/>
      </w:pPr>
      <w:r>
        <w:t>Es gilt</w:t>
      </w:r>
    </w:p>
    <w:p w:rsidR="002A21B9" w:rsidRDefault="002A21B9" w:rsidP="002A21B9">
      <w:pPr>
        <w:pStyle w:val="StandardWeb"/>
      </w:pPr>
      <w:r>
        <w:t>[</w:t>
      </w:r>
      <w:r>
        <w:br/>
        <w:t>0</w:t>
      </w:r>
      <w:r>
        <w:br/>
        <w:t>\leq</w:t>
      </w:r>
      <w:r>
        <w:br/>
        <w:t>C_K^{\mathrm{cov}}</w:t>
      </w:r>
      <w:r>
        <w:br/>
        <w:t>\leq</w:t>
      </w:r>
      <w:r>
        <w:br/>
        <w:t>1.</w:t>
      </w:r>
      <w:r>
        <w:br/>
      </w:r>
      <w:r>
        <w:lastRenderedPageBreak/>
        <w:t>\tag{3.7861}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0\leq C_K^{\mathrm{cov}}\leq1\qquad\text{(3.7861)}</w:t>
      </w:r>
    </w:p>
    <w:p w:rsidR="002A21B9" w:rsidRDefault="002A21B9" w:rsidP="002A21B9">
      <w:pPr>
        <w:pStyle w:val="StandardWeb"/>
      </w:pPr>
      <w:r>
        <w:t>Ein hoher Konsistenzgrad bei niedrigem Deckungsgrad darf nicht als vollständige Widerspruchsfreiheit interpretiert werden.</w:t>
      </w:r>
    </w:p>
    <w:p w:rsidR="002A21B9" w:rsidRDefault="00E50336" w:rsidP="002A21B9">
      <w:r>
        <w:pict>
          <v:rect id="_x0000_i1835" style="width:0;height:1.5pt" o:hralign="center" o:hrstd="t" o:hr="t" fillcolor="#a0a0a0" stroked="f"/>
        </w:pict>
      </w:r>
    </w:p>
    <w:p w:rsidR="002A21B9" w:rsidRDefault="002A21B9" w:rsidP="002A21B9">
      <w:pPr>
        <w:pStyle w:val="berschrift1"/>
      </w:pPr>
      <w:r>
        <w:t>3.3.42.101 Konsistenzstatus des gesamten Modells</w:t>
      </w:r>
    </w:p>
    <w:p w:rsidR="002A21B9" w:rsidRDefault="002A21B9" w:rsidP="002A21B9">
      <w:pPr>
        <w:pStyle w:val="StandardWeb"/>
      </w:pPr>
      <w:r>
        <w:t>Ich fasse die bisherige Struktur in einem Modellstatus zusammen:</w:t>
      </w:r>
    </w:p>
    <w:p w:rsidR="002A21B9" w:rsidRDefault="002A21B9" w:rsidP="002A21B9">
      <w:pPr>
        <w:pStyle w:val="berschrift1"/>
      </w:pPr>
      <w:r>
        <w:t>[</w:t>
      </w:r>
      <w:r>
        <w:br/>
        <w:t>\Sigma_K</w:t>
      </w:r>
    </w:p>
    <w:p w:rsidR="002A21B9" w:rsidRDefault="002A21B9" w:rsidP="002A21B9">
      <w:pPr>
        <w:pStyle w:val="StandardWeb"/>
      </w:pPr>
      <w:r>
        <w:t>\left(</w:t>
      </w:r>
      <w:r>
        <w:br/>
        <w:t>R_K,</w:t>
      </w:r>
      <w:r>
        <w:br/>
        <w:t>R_W,</w:t>
      </w:r>
      <w:r>
        <w:br/>
        <w:t>R_U,</w:t>
      </w:r>
      <w:r>
        <w:br/>
        <w:t>C_K^{\mathrm{cov}},</w:t>
      </w:r>
      <w:r>
        <w:br/>
        <w:t>\Sigma_W,</w:t>
      </w:r>
      <w:r>
        <w:br/>
        <w:t>M_K</w:t>
      </w:r>
      <w:r>
        <w:br/>
        <w:t>\right).</w:t>
      </w:r>
      <w:r>
        <w:br/>
        <w:t>\tag{3.7862}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\Sigma_K=\left(R_K,R_W,R_U,C_K^{\mathrm{cov}},\Sigma_W,M_K\right)\qquad\text{(3.7862)}</w:t>
      </w:r>
    </w:p>
    <w:p w:rsidR="002A21B9" w:rsidRDefault="002A21B9" w:rsidP="002A21B9">
      <w:pPr>
        <w:pStyle w:val="StandardWeb"/>
      </w:pPr>
      <w:r>
        <w:t>Diese Konsistenzsignatur enthält</w:t>
      </w:r>
    </w:p>
    <w:p w:rsidR="002A21B9" w:rsidRDefault="002A21B9" w:rsidP="008C5E65">
      <w:pPr>
        <w:pStyle w:val="StandardWeb"/>
        <w:numPr>
          <w:ilvl w:val="0"/>
          <w:numId w:val="395"/>
        </w:numPr>
      </w:pPr>
      <w:r>
        <w:t>Konsistenzgrad,</w:t>
      </w:r>
    </w:p>
    <w:p w:rsidR="002A21B9" w:rsidRDefault="002A21B9" w:rsidP="008C5E65">
      <w:pPr>
        <w:pStyle w:val="StandardWeb"/>
        <w:numPr>
          <w:ilvl w:val="0"/>
          <w:numId w:val="395"/>
        </w:numPr>
      </w:pPr>
      <w:r>
        <w:t>Widerspruchsgrad,</w:t>
      </w:r>
    </w:p>
    <w:p w:rsidR="002A21B9" w:rsidRDefault="002A21B9" w:rsidP="008C5E65">
      <w:pPr>
        <w:pStyle w:val="StandardWeb"/>
        <w:numPr>
          <w:ilvl w:val="0"/>
          <w:numId w:val="395"/>
        </w:numPr>
      </w:pPr>
      <w:r>
        <w:t>Unentscheidbarkeitsgrad,</w:t>
      </w:r>
    </w:p>
    <w:p w:rsidR="002A21B9" w:rsidRDefault="002A21B9" w:rsidP="008C5E65">
      <w:pPr>
        <w:pStyle w:val="StandardWeb"/>
        <w:numPr>
          <w:ilvl w:val="0"/>
          <w:numId w:val="395"/>
        </w:numPr>
      </w:pPr>
      <w:r>
        <w:t>Prüfdeckungsgrad,</w:t>
      </w:r>
    </w:p>
    <w:p w:rsidR="002A21B9" w:rsidRDefault="002A21B9" w:rsidP="008C5E65">
      <w:pPr>
        <w:pStyle w:val="StandardWeb"/>
        <w:numPr>
          <w:ilvl w:val="0"/>
          <w:numId w:val="395"/>
        </w:numPr>
      </w:pPr>
      <w:r>
        <w:t>Konflikttypen,</w:t>
      </w:r>
    </w:p>
    <w:p w:rsidR="002A21B9" w:rsidRDefault="002A21B9" w:rsidP="008C5E65">
      <w:pPr>
        <w:pStyle w:val="StandardWeb"/>
        <w:numPr>
          <w:ilvl w:val="0"/>
          <w:numId w:val="395"/>
        </w:numPr>
      </w:pPr>
      <w:r>
        <w:t>Konsistenzreserve.</w:t>
      </w:r>
    </w:p>
    <w:p w:rsidR="002A21B9" w:rsidRDefault="002A21B9" w:rsidP="002A21B9">
      <w:pPr>
        <w:pStyle w:val="StandardWeb"/>
      </w:pPr>
      <w:r>
        <w:t>Sie ist damit strukturell analog zur Stabilitätssignatur aus 3.3.41, beschreibt aber eine andere wissenschaftliche Eigenschaft.</w:t>
      </w:r>
    </w:p>
    <w:p w:rsidR="002A21B9" w:rsidRDefault="00E50336" w:rsidP="002A21B9">
      <w:r>
        <w:pict>
          <v:rect id="_x0000_i1836" style="width:0;height:1.5pt" o:hralign="center" o:hrstd="t" o:hr="t" fillcolor="#a0a0a0" stroked="f"/>
        </w:pict>
      </w:r>
    </w:p>
    <w:p w:rsidR="002A21B9" w:rsidRDefault="002A21B9" w:rsidP="002A21B9">
      <w:pPr>
        <w:pStyle w:val="berschrift1"/>
      </w:pPr>
      <w:r>
        <w:t>3.3.42.102 Erweiterte Konsistenzsignatur</w:t>
      </w:r>
    </w:p>
    <w:p w:rsidR="002A21B9" w:rsidRDefault="002A21B9" w:rsidP="002A21B9">
      <w:pPr>
        <w:pStyle w:val="StandardWeb"/>
      </w:pPr>
      <w:r>
        <w:lastRenderedPageBreak/>
        <w:t>Für eine vollständige Theorieprüfung erweitere ich die Signatur zu</w:t>
      </w:r>
    </w:p>
    <w:p w:rsidR="002A21B9" w:rsidRDefault="002A21B9" w:rsidP="002A21B9">
      <w:pPr>
        <w:pStyle w:val="berschrift1"/>
      </w:pPr>
      <w:r>
        <w:t>[</w:t>
      </w:r>
      <w:r>
        <w:br/>
        <w:t>\Sigma_K^{+}</w:t>
      </w:r>
    </w:p>
    <w:p w:rsidR="002A21B9" w:rsidRDefault="002A21B9" w:rsidP="002A21B9">
      <w:pPr>
        <w:pStyle w:val="StandardWeb"/>
      </w:pPr>
      <w:r>
        <w:t>\left(</w:t>
      </w:r>
      <w:r>
        <w:br/>
        <w:t>K_A,</w:t>
      </w:r>
      <w:r>
        <w:br/>
        <w:t>K_D,</w:t>
      </w:r>
      <w:r>
        <w:br/>
        <w:t>K_E,</w:t>
      </w:r>
      <w:r>
        <w:br/>
        <w:t>K_T,</w:t>
      </w:r>
      <w:r>
        <w:br/>
        <w:t>K_P,</w:t>
      </w:r>
      <w:r>
        <w:br/>
        <w:t>K_C,</w:t>
      </w:r>
      <w:r>
        <w:br/>
        <w:t>K_{\mathrm{repo}},</w:t>
      </w:r>
      <w:r>
        <w:br/>
        <w:t>R_K,</w:t>
      </w:r>
      <w:r>
        <w:br/>
        <w:t>R_W,</w:t>
      </w:r>
      <w:r>
        <w:br/>
        <w:t>R_U,</w:t>
      </w:r>
      <w:r>
        <w:br/>
        <w:t>C_K^{\mathrm{cov}},</w:t>
      </w:r>
      <w:r>
        <w:br/>
        <w:t>M_K</w:t>
      </w:r>
      <w:r>
        <w:br/>
        <w:t>\right).</w:t>
      </w:r>
      <w:r>
        <w:br/>
        <w:t>\tag{3.7863}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\Sigma_K^{+}=\left(K_A,K_D,K_E,K_T,K_P,K_C,K_{\mathrm{repo}},R_K,R_W,R_U,C_K^{\mathrm{cov}},M_K\right)\qquad\text{(3.7863)}</w:t>
      </w:r>
    </w:p>
    <w:p w:rsidR="002A21B9" w:rsidRDefault="002A21B9" w:rsidP="002A21B9">
      <w:pPr>
        <w:pStyle w:val="StandardWeb"/>
      </w:pPr>
      <w:r>
        <w:t>Damit werden Axiom-, Definitions-, Gleichungs-, Satz-, Beweis-, Korollar- und Repository-Konsistenz gemeinsam dokumentierbar.</w:t>
      </w:r>
    </w:p>
    <w:p w:rsidR="002A21B9" w:rsidRDefault="00E50336" w:rsidP="002A21B9">
      <w:r>
        <w:pict>
          <v:rect id="_x0000_i1837" style="width:0;height:1.5pt" o:hralign="center" o:hrstd="t" o:hr="t" fillcolor="#a0a0a0" stroked="f"/>
        </w:pict>
      </w:r>
    </w:p>
    <w:p w:rsidR="002A21B9" w:rsidRDefault="002A21B9" w:rsidP="002A21B9">
      <w:pPr>
        <w:pStyle w:val="berschrift1"/>
      </w:pPr>
      <w:r>
        <w:t>3.3.42.103 Konsistenzprädikat</w:t>
      </w:r>
    </w:p>
    <w:p w:rsidR="002A21B9" w:rsidRDefault="002A21B9" w:rsidP="002A21B9">
      <w:pPr>
        <w:pStyle w:val="StandardWeb"/>
      </w:pPr>
      <w:r>
        <w:t>Ich definiere ein starkes Konsistenzprädikat</w:t>
      </w:r>
    </w:p>
    <w:p w:rsidR="002A21B9" w:rsidRDefault="002A21B9" w:rsidP="002A21B9">
      <w:pPr>
        <w:pStyle w:val="berschrift1"/>
      </w:pPr>
      <w:r>
        <w:t>[</w:t>
      </w:r>
      <w:r>
        <w:br/>
        <w:t>\operatorname{Cons}_F</w:t>
      </w:r>
    </w:p>
    <w:p w:rsidR="002A21B9" w:rsidRDefault="002A21B9" w:rsidP="002A21B9">
      <w:pPr>
        <w:pStyle w:val="StandardWeb"/>
      </w:pPr>
      <w:r>
        <w:t>1</w:t>
      </w:r>
      <w:r>
        <w:br/>
        <w:t>\tag{3.7864}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\operatorname{Cons}_F=1\qquad\text{(3.7864)}</w:t>
      </w:r>
    </w:p>
    <w:p w:rsidR="002A21B9" w:rsidRDefault="002A21B9" w:rsidP="002A21B9">
      <w:pPr>
        <w:pStyle w:val="StandardWeb"/>
      </w:pPr>
      <w:r>
        <w:lastRenderedPageBreak/>
        <w:t>genau dann, wenn alle für den jeweiligen Aussage- oder Theorieanspruch zwingenden Konsistenzbedingungen erfüllt sind.</w:t>
      </w:r>
    </w:p>
    <w:p w:rsidR="002A21B9" w:rsidRDefault="002A21B9" w:rsidP="002A21B9">
      <w:pPr>
        <w:pStyle w:val="StandardWeb"/>
      </w:pPr>
      <w:r>
        <w:t>Formal:</w:t>
      </w:r>
    </w:p>
    <w:p w:rsidR="002A21B9" w:rsidRDefault="002A21B9" w:rsidP="002A21B9">
      <w:pPr>
        <w:pStyle w:val="berschrift1"/>
      </w:pPr>
      <w:r>
        <w:t>[</w:t>
      </w:r>
      <w:r>
        <w:br/>
        <w:t>\operatorname{Cons}_F</w:t>
      </w:r>
    </w:p>
    <w:p w:rsidR="002A21B9" w:rsidRDefault="002A21B9" w:rsidP="002A21B9">
      <w:pPr>
        <w:pStyle w:val="StandardWeb"/>
      </w:pPr>
      <w:r>
        <w:t>\bigwedge_{k\in I_K^{\mathrm{must}}}</w:t>
      </w:r>
      <w:r>
        <w:br/>
        <w:t>C_k.</w:t>
      </w:r>
      <w:r>
        <w:br/>
        <w:t>\tag{3.7865}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\operatorname{Cons}_F=\bigwedge_{k\in I_K^{\mathrm{must}}}C_k\qquad\text{(3.7865)}</w:t>
      </w:r>
    </w:p>
    <w:p w:rsidR="002A21B9" w:rsidRDefault="00E50336" w:rsidP="002A21B9">
      <w:r>
        <w:pict>
          <v:rect id="_x0000_i1838" style="width:0;height:1.5pt" o:hralign="center" o:hrstd="t" o:hr="t" fillcolor="#a0a0a0" stroked="f"/>
        </w:pict>
      </w:r>
    </w:p>
    <w:p w:rsidR="002A21B9" w:rsidRDefault="002A21B9" w:rsidP="002A21B9">
      <w:pPr>
        <w:pStyle w:val="berschrift1"/>
      </w:pPr>
      <w:r>
        <w:t>3.3.42.104 Kein universeller Konsistenzumfang</w:t>
      </w:r>
    </w:p>
    <w:p w:rsidR="002A21B9" w:rsidRDefault="002A21B9" w:rsidP="002A21B9">
      <w:pPr>
        <w:pStyle w:val="StandardWeb"/>
      </w:pPr>
      <w:r>
        <w:t>Nicht jedes wissenschaftliche Objekt benötigt dieselbe Konsistenzprüfung.</w:t>
      </w:r>
    </w:p>
    <w:p w:rsidR="002A21B9" w:rsidRDefault="002A21B9" w:rsidP="002A21B9">
      <w:pPr>
        <w:pStyle w:val="StandardWeb"/>
      </w:pPr>
      <w:r>
        <w:t>Für eine einzelne Gleichung ist beispielsweise keine Korollarkonsistenz relevant.</w:t>
      </w:r>
    </w:p>
    <w:p w:rsidR="002A21B9" w:rsidRDefault="002A21B9" w:rsidP="002A21B9">
      <w:pPr>
        <w:pStyle w:val="StandardWeb"/>
      </w:pPr>
      <w:r>
        <w:t>Für einen vollständigen Theorieabschnitt kann dagegen nahezu die gesamte Konsistenzarchitektur erforderlich sein.</w:t>
      </w:r>
    </w:p>
    <w:p w:rsidR="002A21B9" w:rsidRDefault="002A21B9" w:rsidP="002A21B9">
      <w:pPr>
        <w:pStyle w:val="StandardWeb"/>
      </w:pPr>
      <w:r>
        <w:t>Ich definiere daher</w:t>
      </w:r>
    </w:p>
    <w:p w:rsidR="002A21B9" w:rsidRDefault="002A21B9" w:rsidP="002A21B9">
      <w:pPr>
        <w:pStyle w:val="StandardWeb"/>
      </w:pPr>
      <w:r>
        <w:t>[</w:t>
      </w:r>
      <w:r>
        <w:br/>
        <w:t>I_K(O)</w:t>
      </w:r>
      <w:r>
        <w:br/>
        <w:t>\subseteq</w:t>
      </w:r>
      <w:r>
        <w:br/>
        <w:t>I_K^{\mathrm{all}}</w:t>
      </w:r>
      <w:r>
        <w:br/>
        <w:t>\tag{3.7866}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I_K(O)\subseteq I_K^{\mathrm{all}}\qquad\text{(3.7866)}</w:t>
      </w:r>
    </w:p>
    <w:p w:rsidR="002A21B9" w:rsidRDefault="002A21B9" w:rsidP="002A21B9">
      <w:pPr>
        <w:pStyle w:val="StandardWeb"/>
      </w:pPr>
      <w:r>
        <w:t>als objektabhängige Konsistenzprüfmenge.</w:t>
      </w:r>
    </w:p>
    <w:p w:rsidR="002A21B9" w:rsidRDefault="00E50336" w:rsidP="002A21B9">
      <w:r>
        <w:pict>
          <v:rect id="_x0000_i1839" style="width:0;height:1.5pt" o:hralign="center" o:hrstd="t" o:hr="t" fillcolor="#a0a0a0" stroked="f"/>
        </w:pict>
      </w:r>
    </w:p>
    <w:p w:rsidR="002A21B9" w:rsidRDefault="002A21B9" w:rsidP="002A21B9">
      <w:pPr>
        <w:pStyle w:val="berschrift1"/>
      </w:pPr>
      <w:r>
        <w:t>3.3.42.105 Minimale Konsistenzanforderung</w:t>
      </w:r>
    </w:p>
    <w:p w:rsidR="002A21B9" w:rsidRDefault="002A21B9" w:rsidP="002A21B9">
      <w:pPr>
        <w:pStyle w:val="StandardWeb"/>
      </w:pPr>
      <w:r>
        <w:t>Für ein Objekt (O) gilt</w:t>
      </w:r>
    </w:p>
    <w:p w:rsidR="002A21B9" w:rsidRDefault="002A21B9" w:rsidP="002A21B9">
      <w:pPr>
        <w:pStyle w:val="StandardWeb"/>
      </w:pPr>
      <w:r>
        <w:lastRenderedPageBreak/>
        <w:t>[</w:t>
      </w:r>
      <w:r>
        <w:br/>
        <w:t>\operatorname{Cons}</w:t>
      </w:r>
      <w:r>
        <w:rPr>
          <w:rStyle w:val="Hervorhebung"/>
        </w:rPr>
        <w:t>F(O)=1</w:t>
      </w:r>
      <w:r>
        <w:rPr>
          <w:i/>
          <w:iCs/>
        </w:rPr>
        <w:br/>
      </w:r>
      <w:r>
        <w:rPr>
          <w:rStyle w:val="Hervorhebung"/>
        </w:rPr>
        <w:t>\Longleftrightarrow</w:t>
      </w:r>
      <w:r>
        <w:rPr>
          <w:i/>
          <w:iCs/>
        </w:rPr>
        <w:br/>
      </w:r>
      <w:r>
        <w:rPr>
          <w:rStyle w:val="Hervorhebung"/>
        </w:rPr>
        <w:t>\bigwedge</w:t>
      </w:r>
      <w:r>
        <w:t>{k\in I_K(O)}</w:t>
      </w:r>
      <w:r>
        <w:br/>
        <w:t>C_k=1.</w:t>
      </w:r>
      <w:r>
        <w:br/>
        <w:t>\tag{3.7867}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\operatorname{Cons}_F(O)=1\Longleftrightarrow\bigwedge_{k\in I_K(O)}C_k=1\qquad\text{(3.7867)}</w:t>
      </w:r>
    </w:p>
    <w:p w:rsidR="002A21B9" w:rsidRDefault="002A21B9" w:rsidP="002A21B9">
      <w:pPr>
        <w:pStyle w:val="StandardWeb"/>
      </w:pPr>
      <w:r>
        <w:t>Damit ist die Prüfung aussage- und objektspezifisch, ohne beliebig zu werden.</w:t>
      </w:r>
    </w:p>
    <w:p w:rsidR="002A21B9" w:rsidRDefault="00E50336" w:rsidP="002A21B9">
      <w:r>
        <w:pict>
          <v:rect id="_x0000_i1840" style="width:0;height:1.5pt" o:hralign="center" o:hrstd="t" o:hr="t" fillcolor="#a0a0a0" stroked="f"/>
        </w:pict>
      </w:r>
    </w:p>
    <w:p w:rsidR="002A21B9" w:rsidRDefault="002A21B9" w:rsidP="002A21B9">
      <w:pPr>
        <w:pStyle w:val="berschrift1"/>
      </w:pPr>
      <w:r>
        <w:t>3.3.42.106 Konsistenzmanifest</w:t>
      </w:r>
    </w:p>
    <w:p w:rsidR="002A21B9" w:rsidRDefault="002A21B9" w:rsidP="002A21B9">
      <w:pPr>
        <w:pStyle w:val="StandardWeb"/>
      </w:pPr>
      <w:r>
        <w:t>Für das Repository definiere ich abstrakt</w:t>
      </w:r>
    </w:p>
    <w:p w:rsidR="002A21B9" w:rsidRDefault="002A21B9" w:rsidP="002A21B9">
      <w:pPr>
        <w:pStyle w:val="StandardWeb"/>
      </w:pPr>
      <w:r>
        <w:t>[</w:t>
      </w:r>
      <w:r>
        <w:br/>
        <w:t>\operatorname{ConsistencyManifest}</w:t>
      </w:r>
      <w:r>
        <w:br/>
        <w:t>\left(</w:t>
      </w:r>
      <w:r>
        <w:br/>
        <w:t>O,</w:t>
      </w:r>
      <w:r>
        <w:br/>
        <w:t>I_K,</w:t>
      </w:r>
      <w:r>
        <w:br/>
        <w:t>\Sigma_K^{+},</w:t>
      </w:r>
      <w:r>
        <w:br/>
        <w:t>\mathcal K_W,</w:t>
      </w:r>
      <w:r>
        <w:br/>
        <w:t>\mathcal D_K,</w:t>
      </w:r>
      <w:r>
        <w:br/>
        <w:t>v</w:t>
      </w:r>
      <w:r>
        <w:br/>
        <w:t>\right).</w:t>
      </w:r>
      <w:r>
        <w:br/>
        <w:t>\tag{3.7868}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\operatorname{ConsistencyManifest}\left(O,I_K,\Sigma_K^{+},\mathcal K_W,\mathcal D_K,v\right)\qquad\text{(3.7868)}</w:t>
      </w:r>
    </w:p>
    <w:p w:rsidR="002A21B9" w:rsidRDefault="002A21B9" w:rsidP="002A21B9">
      <w:pPr>
        <w:pStyle w:val="StandardWeb"/>
      </w:pPr>
      <w:r>
        <w:t>Dabei bezeichnet (v) die Revision.</w:t>
      </w:r>
    </w:p>
    <w:p w:rsidR="002A21B9" w:rsidRDefault="002A21B9" w:rsidP="002A21B9">
      <w:pPr>
        <w:pStyle w:val="StandardWeb"/>
      </w:pPr>
      <w:r>
        <w:t>So kann jede Konsistenzbewertung auf den damals gültigen Repository-Stand zurückgeführt werden.</w:t>
      </w:r>
    </w:p>
    <w:p w:rsidR="002A21B9" w:rsidRDefault="00E50336" w:rsidP="002A21B9">
      <w:r>
        <w:pict>
          <v:rect id="_x0000_i1841" style="width:0;height:1.5pt" o:hralign="center" o:hrstd="t" o:hr="t" fillcolor="#a0a0a0" stroked="f"/>
        </w:pict>
      </w:r>
    </w:p>
    <w:p w:rsidR="002A21B9" w:rsidRDefault="002A21B9" w:rsidP="002A21B9">
      <w:pPr>
        <w:pStyle w:val="berschrift1"/>
      </w:pPr>
      <w:r>
        <w:t>3.3.42.107 Konsistenzaudit</w:t>
      </w:r>
    </w:p>
    <w:p w:rsidR="002A21B9" w:rsidRDefault="002A21B9" w:rsidP="002A21B9">
      <w:pPr>
        <w:pStyle w:val="StandardWeb"/>
      </w:pPr>
      <w:r>
        <w:t>Ich definiere</w:t>
      </w:r>
    </w:p>
    <w:p w:rsidR="002A21B9" w:rsidRDefault="002A21B9" w:rsidP="002A21B9">
      <w:pPr>
        <w:pStyle w:val="StandardWeb"/>
      </w:pPr>
      <w:r>
        <w:lastRenderedPageBreak/>
        <w:t>[</w:t>
      </w:r>
      <w:r>
        <w:br/>
        <w:t>\operatorname{ConsistencyAudit}</w:t>
      </w:r>
      <w:r>
        <w:br/>
        <w:t>:</w:t>
      </w:r>
      <w:r>
        <w:br/>
        <w:t>\mathcal A_n</w:t>
      </w:r>
      <w:r>
        <w:br/>
        <w:t>\rightarrow</w:t>
      </w:r>
      <w:r>
        <w:br/>
        <w:t>\left(</w:t>
      </w:r>
      <w:r>
        <w:br/>
        <w:t>\Sigma_K^{+},</w:t>
      </w:r>
      <w:r>
        <w:br/>
        <w:t>\mathcal K_W,</w:t>
      </w:r>
      <w:r>
        <w:br/>
        <w:t>\mathcal D_K</w:t>
      </w:r>
      <w:r>
        <w:br/>
        <w:t>\right).</w:t>
      </w:r>
      <w:r>
        <w:br/>
        <w:t>\tag{3.7869}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\operatorname{ConsistencyAudit}:\mathcal A_n\rightarrow\left(\Sigma_K^{+},\mathcal K_W,\mathcal D_K\right)\qquad\text{(3.7869)}</w:t>
      </w:r>
    </w:p>
    <w:p w:rsidR="002A21B9" w:rsidRDefault="002A21B9" w:rsidP="002A21B9">
      <w:pPr>
        <w:pStyle w:val="StandardWeb"/>
      </w:pPr>
      <w:r>
        <w:t>Das Audit liefert damit</w:t>
      </w:r>
    </w:p>
    <w:p w:rsidR="002A21B9" w:rsidRDefault="002A21B9" w:rsidP="008C5E65">
      <w:pPr>
        <w:pStyle w:val="StandardWeb"/>
        <w:numPr>
          <w:ilvl w:val="0"/>
          <w:numId w:val="396"/>
        </w:numPr>
      </w:pPr>
      <w:r>
        <w:t>den Konsistenzstatus,</w:t>
      </w:r>
    </w:p>
    <w:p w:rsidR="002A21B9" w:rsidRDefault="002A21B9" w:rsidP="008C5E65">
      <w:pPr>
        <w:pStyle w:val="StandardWeb"/>
        <w:numPr>
          <w:ilvl w:val="0"/>
          <w:numId w:val="396"/>
        </w:numPr>
      </w:pPr>
      <w:r>
        <w:t>identifizierte Konfliktkerne,</w:t>
      </w:r>
    </w:p>
    <w:p w:rsidR="002A21B9" w:rsidRDefault="002A21B9" w:rsidP="008C5E65">
      <w:pPr>
        <w:pStyle w:val="StandardWeb"/>
        <w:numPr>
          <w:ilvl w:val="0"/>
          <w:numId w:val="396"/>
        </w:numPr>
      </w:pPr>
      <w:r>
        <w:t>offene Konsistenzprüfungen.</w:t>
      </w:r>
    </w:p>
    <w:p w:rsidR="002A21B9" w:rsidRDefault="00E50336" w:rsidP="002A21B9">
      <w:r>
        <w:pict>
          <v:rect id="_x0000_i1842" style="width:0;height:1.5pt" o:hralign="center" o:hrstd="t" o:hr="t" fillcolor="#a0a0a0" stroked="f"/>
        </w:pict>
      </w:r>
    </w:p>
    <w:p w:rsidR="002A21B9" w:rsidRDefault="002A21B9" w:rsidP="002A21B9">
      <w:pPr>
        <w:pStyle w:val="berschrift1"/>
      </w:pPr>
      <w:r>
        <w:t>3.3.42.108 Konsistenzprüfung als kontinuierlicher Prozess</w:t>
      </w:r>
    </w:p>
    <w:p w:rsidR="002A21B9" w:rsidRDefault="002A21B9" w:rsidP="002A21B9">
      <w:pPr>
        <w:pStyle w:val="StandardWeb"/>
      </w:pPr>
      <w:r>
        <w:t>Da jede neue Definition, Gleichung oder Aussage bestehende Beziehungen verändern kann, ist Konsistenz keine einmalige Abschlussprüfung.</w:t>
      </w:r>
    </w:p>
    <w:p w:rsidR="002A21B9" w:rsidRDefault="002A21B9" w:rsidP="002A21B9">
      <w:pPr>
        <w:pStyle w:val="StandardWeb"/>
      </w:pPr>
      <w:r>
        <w:t>Ich schreibe</w:t>
      </w:r>
    </w:p>
    <w:p w:rsidR="002A21B9" w:rsidRDefault="002A21B9" w:rsidP="002A21B9">
      <w:pPr>
        <w:pStyle w:val="berschrift1"/>
      </w:pPr>
      <w:r>
        <w:t>[</w:t>
      </w:r>
      <w:r>
        <w:br/>
        <w:t>\Sigma_K</w:t>
      </w:r>
    </w:p>
    <w:p w:rsidR="002A21B9" w:rsidRDefault="002A21B9" w:rsidP="002A21B9">
      <w:pPr>
        <w:pStyle w:val="StandardWeb"/>
      </w:pPr>
      <w:r>
        <w:t>\Sigma_K(v).</w:t>
      </w:r>
      <w:r>
        <w:br/>
        <w:t>\tag{3.7870}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\Sigma_K=\Sigma_K(v)\qquad\text{(3.7870)}</w:t>
      </w:r>
    </w:p>
    <w:p w:rsidR="002A21B9" w:rsidRDefault="002A21B9" w:rsidP="002A21B9">
      <w:pPr>
        <w:pStyle w:val="StandardWeb"/>
      </w:pPr>
      <w:r>
        <w:t>Damit ist Konsistenz revisionsabhängig.</w:t>
      </w:r>
    </w:p>
    <w:p w:rsidR="002A21B9" w:rsidRDefault="002A21B9" w:rsidP="002A21B9">
      <w:pPr>
        <w:pStyle w:val="StandardWeb"/>
      </w:pPr>
      <w:r>
        <w:t>Eine neue Revision erzeugt</w:t>
      </w:r>
    </w:p>
    <w:p w:rsidR="002A21B9" w:rsidRDefault="002A21B9" w:rsidP="002A21B9">
      <w:pPr>
        <w:pStyle w:val="StandardWeb"/>
      </w:pPr>
      <w:r>
        <w:lastRenderedPageBreak/>
        <w:t>[</w:t>
      </w:r>
      <w:r>
        <w:br/>
        <w:t>\Sigma_K^{(v)}</w:t>
      </w:r>
      <w:r>
        <w:br/>
        <w:t>\rightarrow</w:t>
      </w:r>
      <w:r>
        <w:br/>
        <w:t>\Sigma_K^{(v+1)}.</w:t>
      </w:r>
      <w:r>
        <w:br/>
        <w:t>\tag{3.7871}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\Sigma_K^{(v)}\rightarrow\Sigma_K^{(v+1)}\qquad\text{(3.7871)}</w:t>
      </w:r>
    </w:p>
    <w:p w:rsidR="002A21B9" w:rsidRDefault="00E50336" w:rsidP="002A21B9">
      <w:r>
        <w:pict>
          <v:rect id="_x0000_i1843" style="width:0;height:1.5pt" o:hralign="center" o:hrstd="t" o:hr="t" fillcolor="#a0a0a0" stroked="f"/>
        </w:pict>
      </w:r>
    </w:p>
    <w:p w:rsidR="002A21B9" w:rsidRDefault="002A21B9" w:rsidP="002A21B9">
      <w:pPr>
        <w:pStyle w:val="berschrift1"/>
      </w:pPr>
      <w:r>
        <w:t>3.3.42.109 Konsistenzänderung</w:t>
      </w:r>
    </w:p>
    <w:p w:rsidR="002A21B9" w:rsidRDefault="002A21B9" w:rsidP="002A21B9">
      <w:pPr>
        <w:pStyle w:val="StandardWeb"/>
      </w:pPr>
      <w:r>
        <w:t>Ich definiere</w:t>
      </w:r>
    </w:p>
    <w:p w:rsidR="002A21B9" w:rsidRDefault="002A21B9" w:rsidP="002A21B9">
      <w:pPr>
        <w:pStyle w:val="berschrift1"/>
      </w:pPr>
      <w:r>
        <w:t>[</w:t>
      </w:r>
      <w:r>
        <w:br/>
        <w:t>\Delta\Sigma_K^{(v)}</w:t>
      </w:r>
    </w:p>
    <w:p w:rsidR="002A21B9" w:rsidRDefault="002A21B9" w:rsidP="002A21B9">
      <w:pPr>
        <w:pStyle w:val="berschrift2"/>
      </w:pPr>
      <w:r>
        <w:t>\Sigma_K^{(v+1)}</w:t>
      </w:r>
    </w:p>
    <w:p w:rsidR="002A21B9" w:rsidRDefault="002A21B9" w:rsidP="002A21B9">
      <w:pPr>
        <w:pStyle w:val="StandardWeb"/>
      </w:pPr>
      <w:r>
        <w:t>\Sigma_K^{(v)}.</w:t>
      </w:r>
      <w:r>
        <w:br/>
        <w:t>\tag{3.7872}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\Delta\Sigma_K^{(v)}=\Sigma_K^{(v+1)}-\Sigma_K^{(v)}\qquad\text{(3.7872)}</w:t>
      </w:r>
    </w:p>
    <w:p w:rsidR="002A21B9" w:rsidRDefault="002A21B9" w:rsidP="002A21B9">
      <w:pPr>
        <w:pStyle w:val="StandardWeb"/>
      </w:pPr>
      <w:r>
        <w:t>Die konkrete Differenzfunktion hängt von den jeweiligen Komponenten der Konsistenzsignatur ab.</w:t>
      </w:r>
    </w:p>
    <w:p w:rsidR="002A21B9" w:rsidRDefault="00E50336" w:rsidP="002A21B9">
      <w:r>
        <w:pict>
          <v:rect id="_x0000_i1844" style="width:0;height:1.5pt" o:hralign="center" o:hrstd="t" o:hr="t" fillcolor="#a0a0a0" stroked="f"/>
        </w:pict>
      </w:r>
    </w:p>
    <w:p w:rsidR="002A21B9" w:rsidRDefault="002A21B9" w:rsidP="002A21B9">
      <w:pPr>
        <w:pStyle w:val="berschrift1"/>
      </w:pPr>
      <w:r>
        <w:t>3.3.42.110 Kritische Konsistenzänderung</w:t>
      </w:r>
    </w:p>
    <w:p w:rsidR="002A21B9" w:rsidRDefault="002A21B9" w:rsidP="002A21B9">
      <w:pPr>
        <w:pStyle w:val="StandardWeb"/>
      </w:pPr>
      <w:r>
        <w:t>Eine signifikante Änderung liegt vor, wenn</w:t>
      </w:r>
    </w:p>
    <w:p w:rsidR="002A21B9" w:rsidRDefault="002A21B9" w:rsidP="002A21B9">
      <w:pPr>
        <w:pStyle w:val="StandardWeb"/>
      </w:pPr>
      <w:r>
        <w:t>[</w:t>
      </w:r>
      <w:r>
        <w:br/>
        <w:t>d_K</w:t>
      </w:r>
      <w:r>
        <w:br/>
        <w:t>\left(</w:t>
      </w:r>
      <w:r>
        <w:br/>
        <w:t>\Sigma_K^{(v+1)},</w:t>
      </w:r>
      <w:r>
        <w:br/>
        <w:t>\Sigma_K^{(v)}</w:t>
      </w:r>
      <w:r>
        <w:br/>
        <w:t>\right)</w:t>
      </w:r>
    </w:p>
    <w:p w:rsidR="002A21B9" w:rsidRDefault="002A21B9" w:rsidP="002A21B9">
      <w:pPr>
        <w:pStyle w:val="StandardWeb"/>
      </w:pPr>
      <w:r>
        <w:t>\tau_K.</w:t>
      </w:r>
      <w:r>
        <w:br/>
        <w:t>\tag{3.7873}</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d_K\left(\Sigma_K^{(v+1)},\Sigma_K^{(v)}\right)&gt;\tau_K\qquad\text{(3.7873)}</w:t>
      </w:r>
    </w:p>
    <w:p w:rsidR="002A21B9" w:rsidRDefault="002A21B9" w:rsidP="002A21B9">
      <w:pPr>
        <w:pStyle w:val="StandardWeb"/>
      </w:pPr>
      <w:r>
        <w:t>Dann muss die wissenschaftliche Interpretation des betroffenen Theorieblocks erneut geprüft werden.</w:t>
      </w:r>
    </w:p>
    <w:p w:rsidR="002A21B9" w:rsidRDefault="00E50336" w:rsidP="002A21B9">
      <w:r>
        <w:pict>
          <v:rect id="_x0000_i1845" style="width:0;height:1.5pt" o:hralign="center" o:hrstd="t" o:hr="t" fillcolor="#a0a0a0" stroked="f"/>
        </w:pict>
      </w:r>
    </w:p>
    <w:p w:rsidR="002A21B9" w:rsidRDefault="002A21B9" w:rsidP="002A21B9">
      <w:pPr>
        <w:pStyle w:val="berschrift1"/>
      </w:pPr>
      <w:r>
        <w:t>3.3.42.111 Konsistenzkonvergenz</w:t>
      </w:r>
    </w:p>
    <w:p w:rsidR="002A21B9" w:rsidRDefault="002A21B9" w:rsidP="002A21B9">
      <w:pPr>
        <w:pStyle w:val="StandardWeb"/>
      </w:pPr>
      <w:r>
        <w:t>Über mehrere Revisionen kann gelten</w:t>
      </w:r>
    </w:p>
    <w:p w:rsidR="002A21B9" w:rsidRDefault="002A21B9" w:rsidP="002A21B9">
      <w:pPr>
        <w:pStyle w:val="StandardWeb"/>
      </w:pPr>
      <w:r>
        <w:t>[</w:t>
      </w:r>
      <w:r>
        <w:br/>
        <w:t>d_K</w:t>
      </w:r>
      <w:r>
        <w:br/>
        <w:t>\left(</w:t>
      </w:r>
      <w:r>
        <w:br/>
        <w:t>\Sigma_K^{(v+1)},</w:t>
      </w:r>
      <w:r>
        <w:br/>
        <w:t>\Sigma_K^{(v)}</w:t>
      </w:r>
      <w:r>
        <w:br/>
        <w:t>\right)</w:t>
      </w:r>
      <w:r>
        <w:br/>
        <w:t>\rightarrow</w:t>
      </w:r>
      <w:r>
        <w:br/>
        <w:t>0.</w:t>
      </w:r>
      <w:r>
        <w:br/>
        <w:t>\tag{3.7874}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d_K\left(\Sigma_K^{(v+1)},\Sigma_K^{(v)}\right)\rightarrow0\qquad\text{(3.7874)}</w:t>
      </w:r>
    </w:p>
    <w:p w:rsidR="002A21B9" w:rsidRDefault="002A21B9" w:rsidP="002A21B9">
      <w:pPr>
        <w:pStyle w:val="StandardWeb"/>
      </w:pPr>
      <w:r>
        <w:t>Dies zeigt eine Stabilisierung der Konsistenzbewertung, nicht jedoch automatisch Wahrheit.</w:t>
      </w:r>
    </w:p>
    <w:p w:rsidR="002A21B9" w:rsidRDefault="00E50336" w:rsidP="002A21B9">
      <w:r>
        <w:pict>
          <v:rect id="_x0000_i1846" style="width:0;height:1.5pt" o:hralign="center" o:hrstd="t" o:hr="t" fillcolor="#a0a0a0" stroked="f"/>
        </w:pict>
      </w:r>
    </w:p>
    <w:p w:rsidR="002A21B9" w:rsidRDefault="002A21B9" w:rsidP="002A21B9">
      <w:pPr>
        <w:pStyle w:val="berschrift1"/>
      </w:pPr>
      <w:r>
        <w:t>3.3.42.112 Konsistenzdivergenz</w:t>
      </w:r>
    </w:p>
    <w:p w:rsidR="002A21B9" w:rsidRDefault="002A21B9" w:rsidP="002A21B9">
      <w:pPr>
        <w:pStyle w:val="StandardWeb"/>
      </w:pPr>
      <w:r>
        <w:t>Umgekehrt kann</w:t>
      </w:r>
    </w:p>
    <w:p w:rsidR="002A21B9" w:rsidRDefault="002A21B9" w:rsidP="002A21B9">
      <w:pPr>
        <w:pStyle w:val="StandardWeb"/>
      </w:pPr>
      <w:r>
        <w:t>[</w:t>
      </w:r>
      <w:r>
        <w:br/>
        <w:t>d_K</w:t>
      </w:r>
      <w:r>
        <w:br/>
        <w:t>\left(</w:t>
      </w:r>
      <w:r>
        <w:br/>
        <w:t>\Sigma_K^{(v+1)},</w:t>
      </w:r>
      <w:r>
        <w:br/>
        <w:t>\Sigma_K^{(v)}</w:t>
      </w:r>
      <w:r>
        <w:br/>
        <w:t>\right)</w:t>
      </w:r>
      <w:r>
        <w:br/>
        <w:t>\uparrow</w:t>
      </w:r>
      <w:r>
        <w:br/>
        <w:t>\tag{3.7875}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d_K\left(\Sigma_K^{(v+1)},\Sigma_K^{(v)}\right)\uparrow\qquad\text{(3.7875)}</w:t>
      </w:r>
    </w:p>
    <w:p w:rsidR="002A21B9" w:rsidRDefault="002A21B9" w:rsidP="002A21B9">
      <w:pPr>
        <w:pStyle w:val="StandardWeb"/>
      </w:pPr>
      <w:r>
        <w:lastRenderedPageBreak/>
        <w:t>anzeigen, dass neue Erkenntnisse zunehmend Konflikte mit der bestehenden Theorie erzeugen.</w:t>
      </w:r>
    </w:p>
    <w:p w:rsidR="002A21B9" w:rsidRDefault="00E50336" w:rsidP="002A21B9">
      <w:r>
        <w:pict>
          <v:rect id="_x0000_i1847" style="width:0;height:1.5pt" o:hralign="center" o:hrstd="t" o:hr="t" fillcolor="#a0a0a0" stroked="f"/>
        </w:pict>
      </w:r>
    </w:p>
    <w:p w:rsidR="002A21B9" w:rsidRDefault="002A21B9" w:rsidP="002A21B9">
      <w:pPr>
        <w:pStyle w:val="berschrift1"/>
      </w:pPr>
      <w:r>
        <w:t>3.3.42.113 Konsistenz und Falsifizierbarkeit</w:t>
      </w:r>
    </w:p>
    <w:p w:rsidR="002A21B9" w:rsidRDefault="002A21B9" w:rsidP="002A21B9">
      <w:pPr>
        <w:pStyle w:val="StandardWeb"/>
      </w:pPr>
      <w:r>
        <w:t>Eine Theorie darf nicht dadurch „konsistent“ gemacht werden, dass widersprechende Daten oder Aussagen nachträglich aus dem Gültigkeitsraum ausgeschlossen werden.</w:t>
      </w:r>
    </w:p>
    <w:p w:rsidR="002A21B9" w:rsidRDefault="002A21B9" w:rsidP="002A21B9">
      <w:pPr>
        <w:pStyle w:val="StandardWeb"/>
      </w:pPr>
      <w:r>
        <w:t>Ich formuliere deshalb</w:t>
      </w:r>
    </w:p>
    <w:p w:rsidR="002A21B9" w:rsidRDefault="002A21B9" w:rsidP="002A21B9">
      <w:pPr>
        <w:pStyle w:val="StandardWeb"/>
      </w:pPr>
      <w:r>
        <w:t>[</w:t>
      </w:r>
      <w:r>
        <w:br/>
        <w:t>\Omega_{\mathrm{zul}}^{(v+1)}</w:t>
      </w:r>
      <w:r>
        <w:br/>
        <w:t>\subset</w:t>
      </w:r>
      <w:r>
        <w:br/>
        <w:t>\Omega_{\mathrm{zul}}^{(v)}</w:t>
      </w:r>
      <w:r>
        <w:br/>
        <w:t>\tag{3.7876}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\Omega_{\mathrm{zul}}^{(v+1)}\subset\Omega_{\mathrm{zul}}^{(v)}\qquad\text{(3.7876)}</w:t>
      </w:r>
    </w:p>
    <w:p w:rsidR="002A21B9" w:rsidRDefault="002A21B9" w:rsidP="002A21B9">
      <w:pPr>
        <w:pStyle w:val="StandardWeb"/>
      </w:pPr>
      <w:r>
        <w:t>als revisionspflichtige Änderung, wenn sie zur Konfliktvermeidung vorgenommen wird.</w:t>
      </w:r>
    </w:p>
    <w:p w:rsidR="002A21B9" w:rsidRDefault="002A21B9" w:rsidP="002A21B9">
      <w:pPr>
        <w:pStyle w:val="StandardWeb"/>
      </w:pPr>
      <w:r>
        <w:t>Sie muss begründet werden.</w:t>
      </w:r>
    </w:p>
    <w:p w:rsidR="002A21B9" w:rsidRDefault="00E50336" w:rsidP="002A21B9">
      <w:r>
        <w:pict>
          <v:rect id="_x0000_i1848" style="width:0;height:1.5pt" o:hralign="center" o:hrstd="t" o:hr="t" fillcolor="#a0a0a0" stroked="f"/>
        </w:pict>
      </w:r>
    </w:p>
    <w:p w:rsidR="002A21B9" w:rsidRDefault="002A21B9" w:rsidP="002A21B9">
      <w:pPr>
        <w:pStyle w:val="berschrift1"/>
      </w:pPr>
      <w:r>
        <w:t>3.3.42.114 Ad-hoc-Konsistenz</w:t>
      </w:r>
    </w:p>
    <w:p w:rsidR="002A21B9" w:rsidRDefault="002A21B9" w:rsidP="002A21B9">
      <w:pPr>
        <w:pStyle w:val="StandardWeb"/>
      </w:pPr>
      <w:r>
        <w:t>Ich bezeichne eine problematische Situation mit</w:t>
      </w:r>
    </w:p>
    <w:p w:rsidR="002A21B9" w:rsidRDefault="002A21B9" w:rsidP="002A21B9">
      <w:pPr>
        <w:pStyle w:val="StandardWeb"/>
      </w:pPr>
      <w:r>
        <w:t>[</w:t>
      </w:r>
      <w:r>
        <w:br/>
        <w:t>K_{\mathrm{adhoc}}=1</w:t>
      </w:r>
      <w:r>
        <w:br/>
        <w:t>\tag{3.7877}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K_{\mathrm{adhoc}}=1\qquad\text{(3.7877)}</w:t>
      </w:r>
    </w:p>
    <w:p w:rsidR="002A21B9" w:rsidRDefault="002A21B9" w:rsidP="002A21B9">
      <w:pPr>
        <w:pStyle w:val="StandardWeb"/>
      </w:pPr>
      <w:r>
        <w:t>wenn die Konsistenz nur dadurch wiederhergestellt wird, dass Gültigkeitsbereiche, Parameter oder Definitionen ausschließlich nach Kenntnis des Konflikts ohne unabhängige Begründung angepasst werden.</w:t>
      </w:r>
    </w:p>
    <w:p w:rsidR="002A21B9" w:rsidRDefault="002A21B9" w:rsidP="002A21B9">
      <w:pPr>
        <w:pStyle w:val="StandardWeb"/>
      </w:pPr>
      <w:r>
        <w:t>Eine solche formale Konsistenz besitzt geringere wissenschaftliche Aussagekraft.</w:t>
      </w:r>
    </w:p>
    <w:p w:rsidR="002A21B9" w:rsidRDefault="00E50336" w:rsidP="002A21B9">
      <w:r>
        <w:pict>
          <v:rect id="_x0000_i1849" style="width:0;height:1.5pt" o:hralign="center" o:hrstd="t" o:hr="t" fillcolor="#a0a0a0" stroked="f"/>
        </w:pict>
      </w:r>
    </w:p>
    <w:p w:rsidR="002A21B9" w:rsidRDefault="002A21B9" w:rsidP="002A21B9">
      <w:pPr>
        <w:pStyle w:val="berschrift1"/>
      </w:pPr>
      <w:r>
        <w:lastRenderedPageBreak/>
        <w:t>3.3.42.115 Konsistenz und Erklärung</w:t>
      </w:r>
    </w:p>
    <w:p w:rsidR="002A21B9" w:rsidRDefault="002A21B9" w:rsidP="002A21B9">
      <w:pPr>
        <w:pStyle w:val="StandardWeb"/>
      </w:pPr>
      <w:r>
        <w:t>Eine Erklärung (\mathcal X) muss nicht nur mit den Daten, sondern auch mit den übrigen Theorieaussagen vereinbar sein.</w:t>
      </w:r>
    </w:p>
    <w:p w:rsidR="002A21B9" w:rsidRDefault="002A21B9" w:rsidP="002A21B9">
      <w:pPr>
        <w:pStyle w:val="StandardWeb"/>
      </w:pPr>
      <w:r>
        <w:t>Ich definiere</w:t>
      </w:r>
    </w:p>
    <w:p w:rsidR="002A21B9" w:rsidRDefault="002A21B9" w:rsidP="002A21B9">
      <w:pPr>
        <w:pStyle w:val="berschrift1"/>
      </w:pPr>
      <w:r>
        <w:t>[</w:t>
      </w:r>
      <w:r>
        <w:br/>
        <w:t>K_X</w:t>
      </w:r>
    </w:p>
    <w:p w:rsidR="002A21B9" w:rsidRDefault="002A21B9" w:rsidP="002A21B9">
      <w:pPr>
        <w:pStyle w:val="StandardWeb"/>
      </w:pPr>
      <w:r>
        <w:t>K_F</w:t>
      </w:r>
      <w:r>
        <w:br/>
        <w:t>\left(</w:t>
      </w:r>
      <w:r>
        <w:br/>
        <w:t>\mathcal X,</w:t>
      </w:r>
      <w:r>
        <w:br/>
        <w:t>\mathcal A_{\mathrm{theory}}</w:t>
      </w:r>
      <w:r>
        <w:br/>
        <w:t>\right).</w:t>
      </w:r>
      <w:r>
        <w:br/>
        <w:t>\tag{3.7878}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K_X=K_F\left(\mathcal X,\mathcal A_{\mathrm{theory}}\right)\qquad\text{(3.7878)}</w:t>
      </w:r>
    </w:p>
    <w:p w:rsidR="002A21B9" w:rsidRDefault="002A21B9" w:rsidP="002A21B9">
      <w:pPr>
        <w:pStyle w:val="StandardWeb"/>
      </w:pPr>
      <w:r>
        <w:t>Eine Erklärung, die eine etablierte Theorieaussage verletzt, muss entweder die betroffene Theorieaussage revidieren oder den eigenen Gültigkeitsbereich einschränken.</w:t>
      </w:r>
    </w:p>
    <w:p w:rsidR="002A21B9" w:rsidRDefault="00E50336" w:rsidP="002A21B9">
      <w:r>
        <w:pict>
          <v:rect id="_x0000_i1850" style="width:0;height:1.5pt" o:hralign="center" o:hrstd="t" o:hr="t" fillcolor="#a0a0a0" stroked="f"/>
        </w:pict>
      </w:r>
    </w:p>
    <w:p w:rsidR="002A21B9" w:rsidRDefault="002A21B9" w:rsidP="002A21B9">
      <w:pPr>
        <w:pStyle w:val="berschrift1"/>
      </w:pPr>
      <w:r>
        <w:t>3.3.42.116 Konsistenz und Prognose</w:t>
      </w:r>
    </w:p>
    <w:p w:rsidR="002A21B9" w:rsidRDefault="002A21B9" w:rsidP="002A21B9">
      <w:pPr>
        <w:pStyle w:val="StandardWeb"/>
      </w:pPr>
      <w:r>
        <w:t>Für eine Prognose</w:t>
      </w:r>
    </w:p>
    <w:p w:rsidR="002A21B9" w:rsidRDefault="002A21B9" w:rsidP="002A21B9">
      <w:pPr>
        <w:pStyle w:val="StandardWeb"/>
      </w:pPr>
      <w:r>
        <w:t>[</w:t>
      </w:r>
      <w:r>
        <w:br/>
        <w:t>\widehat Y_F</w:t>
      </w:r>
      <w:r>
        <w:br/>
        <w:t>\tag{3.7879}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\widehat Y_F\qquad\text{(3.7879)}</w:t>
      </w:r>
    </w:p>
    <w:p w:rsidR="002A21B9" w:rsidRDefault="002A21B9" w:rsidP="002A21B9">
      <w:pPr>
        <w:pStyle w:val="StandardWeb"/>
      </w:pPr>
      <w:r>
        <w:t>definiere ich</w:t>
      </w:r>
    </w:p>
    <w:p w:rsidR="002A21B9" w:rsidRDefault="002A21B9" w:rsidP="002A21B9">
      <w:pPr>
        <w:pStyle w:val="berschrift1"/>
      </w:pPr>
      <w:r>
        <w:t>[</w:t>
      </w:r>
      <w:r>
        <w:br/>
        <w:t>K_{\mathrm{prog}}</w:t>
      </w:r>
    </w:p>
    <w:p w:rsidR="002A21B9" w:rsidRDefault="002A21B9" w:rsidP="002A21B9">
      <w:pPr>
        <w:pStyle w:val="StandardWeb"/>
      </w:pPr>
      <w:r>
        <w:lastRenderedPageBreak/>
        <w:t>K_F</w:t>
      </w:r>
      <w:r>
        <w:br/>
        <w:t>\left(</w:t>
      </w:r>
      <w:r>
        <w:br/>
        <w:t>\widehat Y_F,</w:t>
      </w:r>
      <w:r>
        <w:br/>
        <w:t>\mathcal A_{\mathrm{theory}}</w:t>
      </w:r>
      <w:r>
        <w:br/>
        <w:t>\right).</w:t>
      </w:r>
      <w:r>
        <w:br/>
        <w:t>\tag{3.7880}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K_{\mathrm{prog}}=K_F\left(\widehat Y_F,\mathcal A_{\mathrm{theory}}\right)\qquad\text{(3.7880)}</w:t>
      </w:r>
    </w:p>
    <w:p w:rsidR="002A21B9" w:rsidRDefault="002A21B9" w:rsidP="002A21B9">
      <w:pPr>
        <w:pStyle w:val="StandardWeb"/>
      </w:pPr>
      <w:r>
        <w:t>Eine empirisch erfolgreiche Prognose kann theoretisch inkonsistent sein. Dieser Fall ist wissenschaftlich besonders interessant, weil er auf eine unvollständige Erklärung oder eine inkonsistente Theoriearchitektur hinweisen kann.</w:t>
      </w:r>
    </w:p>
    <w:p w:rsidR="002A21B9" w:rsidRDefault="00E50336" w:rsidP="002A21B9">
      <w:r>
        <w:pict>
          <v:rect id="_x0000_i1851" style="width:0;height:1.5pt" o:hralign="center" o:hrstd="t" o:hr="t" fillcolor="#a0a0a0" stroked="f"/>
        </w:pict>
      </w:r>
    </w:p>
    <w:p w:rsidR="002A21B9" w:rsidRDefault="002A21B9" w:rsidP="002A21B9">
      <w:pPr>
        <w:pStyle w:val="berschrift1"/>
      </w:pPr>
      <w:r>
        <w:t>3.3.42.117 Konsistenz von Prognose und Erklärung</w:t>
      </w:r>
    </w:p>
    <w:p w:rsidR="002A21B9" w:rsidRDefault="002A21B9" w:rsidP="002A21B9">
      <w:pPr>
        <w:pStyle w:val="StandardWeb"/>
      </w:pPr>
      <w:r>
        <w:t>Ich definiere</w:t>
      </w:r>
    </w:p>
    <w:p w:rsidR="002A21B9" w:rsidRDefault="002A21B9" w:rsidP="002A21B9">
      <w:pPr>
        <w:pStyle w:val="berschrift1"/>
      </w:pPr>
      <w:r>
        <w:t>[</w:t>
      </w:r>
      <w:r>
        <w:br/>
        <w:t>K_{PX}</w:t>
      </w:r>
    </w:p>
    <w:p w:rsidR="002A21B9" w:rsidRDefault="002A21B9" w:rsidP="002A21B9">
      <w:pPr>
        <w:pStyle w:val="StandardWeb"/>
      </w:pPr>
      <w:r>
        <w:t>K_F</w:t>
      </w:r>
      <w:r>
        <w:br/>
        <w:t>\left(</w:t>
      </w:r>
      <w:r>
        <w:br/>
        <w:t>\widehat Y_F,</w:t>
      </w:r>
      <w:r>
        <w:br/>
        <w:t>\mathcal X_F</w:t>
      </w:r>
      <w:r>
        <w:br/>
        <w:t>\right).</w:t>
      </w:r>
      <w:r>
        <w:br/>
        <w:t>\tag{3.7881}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K_{PX}=K_F\left(\widehat Y_F,\mathcal X_F\right)\qquad\text{(3.7881)}</w:t>
      </w:r>
    </w:p>
    <w:p w:rsidR="002A21B9" w:rsidRDefault="002A21B9" w:rsidP="002A21B9">
      <w:pPr>
        <w:pStyle w:val="StandardWeb"/>
      </w:pPr>
      <w:r>
        <w:t>Ein Modell kann beispielsweise dieselben Daten korrekt prognostizieren, während die angegebene Erklärung mit seiner eigenen Dynamik nicht vereinbar ist.</w:t>
      </w:r>
    </w:p>
    <w:p w:rsidR="002A21B9" w:rsidRDefault="00E50336" w:rsidP="002A21B9">
      <w:r>
        <w:pict>
          <v:rect id="_x0000_i1852" style="width:0;height:1.5pt" o:hralign="center" o:hrstd="t" o:hr="t" fillcolor="#a0a0a0" stroked="f"/>
        </w:pict>
      </w:r>
    </w:p>
    <w:p w:rsidR="002A21B9" w:rsidRDefault="002A21B9" w:rsidP="002A21B9">
      <w:pPr>
        <w:pStyle w:val="berschrift1"/>
      </w:pPr>
      <w:r>
        <w:t>3.3.42.118 Konsistenz von Korrelation und Kausalität</w:t>
      </w:r>
    </w:p>
    <w:p w:rsidR="002A21B9" w:rsidRDefault="002A21B9" w:rsidP="002A21B9">
      <w:pPr>
        <w:pStyle w:val="StandardWeb"/>
      </w:pPr>
      <w:r>
        <w:t>Sei eine korrelative Aussage</w:t>
      </w:r>
    </w:p>
    <w:p w:rsidR="002A21B9" w:rsidRDefault="002A21B9" w:rsidP="002A21B9">
      <w:pPr>
        <w:pStyle w:val="StandardWeb"/>
      </w:pPr>
      <w:r>
        <w:t>[</w:t>
      </w:r>
      <w:r>
        <w:br/>
        <w:t>A_{\mathrm{corr}}</w:t>
      </w:r>
      <w:r>
        <w:br/>
      </w:r>
      <w:r>
        <w:lastRenderedPageBreak/>
        <w:t>\tag{3.7882}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A_{\mathrm{corr}}\qquad\text{(3.7882)}</w:t>
      </w:r>
    </w:p>
    <w:p w:rsidR="002A21B9" w:rsidRDefault="002A21B9" w:rsidP="002A21B9">
      <w:pPr>
        <w:pStyle w:val="StandardWeb"/>
      </w:pPr>
      <w:r>
        <w:t>und eine kausale Aussage</w:t>
      </w:r>
    </w:p>
    <w:p w:rsidR="002A21B9" w:rsidRDefault="002A21B9" w:rsidP="002A21B9">
      <w:pPr>
        <w:pStyle w:val="StandardWeb"/>
      </w:pPr>
      <w:r>
        <w:t>[</w:t>
      </w:r>
      <w:r>
        <w:br/>
        <w:t>A_{\mathrm{caus}}.</w:t>
      </w:r>
      <w:r>
        <w:br/>
        <w:t>\tag{3.7883}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A_{\mathrm{caus}}\qquad\text{(3.7883)}</w:t>
      </w:r>
    </w:p>
    <w:p w:rsidR="002A21B9" w:rsidRDefault="002A21B9" w:rsidP="002A21B9">
      <w:pPr>
        <w:pStyle w:val="StandardWeb"/>
      </w:pPr>
      <w:r>
        <w:t>Eine positive Korrelation ist mit mehreren kausalen Strukturen vereinbar.</w:t>
      </w:r>
    </w:p>
    <w:p w:rsidR="002A21B9" w:rsidRDefault="002A21B9" w:rsidP="002A21B9">
      <w:pPr>
        <w:pStyle w:val="StandardWeb"/>
      </w:pPr>
      <w:r>
        <w:t>Daher gilt allgemein</w:t>
      </w:r>
    </w:p>
    <w:p w:rsidR="002A21B9" w:rsidRDefault="002A21B9" w:rsidP="002A21B9">
      <w:pPr>
        <w:pStyle w:val="StandardWeb"/>
      </w:pPr>
      <w:r>
        <w:t>[</w:t>
      </w:r>
      <w:r>
        <w:br/>
        <w:t>A_{\mathrm{corr}}</w:t>
      </w:r>
      <w:r>
        <w:br/>
        <w:t>\nRightarrow</w:t>
      </w:r>
      <w:r>
        <w:br/>
        <w:t>A_{\mathrm{caus}}.</w:t>
      </w:r>
      <w:r>
        <w:br/>
        <w:t>\tag{3.7884}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A_{\mathrm{corr}}\nRightarrow A_{\mathrm{caus}}\qquad\text{(3.7884)}</w:t>
      </w:r>
    </w:p>
    <w:p w:rsidR="002A21B9" w:rsidRDefault="002A21B9" w:rsidP="002A21B9">
      <w:pPr>
        <w:pStyle w:val="StandardWeb"/>
      </w:pPr>
      <w:r>
        <w:t>Ein Konsistenzproblem entsteht erst, wenn eine kausale Aussage Konsequenzen erzeugt, die mit der tatsächlich beobachteten korrelativen oder interventionellen Struktur unvereinbar sind.</w:t>
      </w:r>
    </w:p>
    <w:p w:rsidR="002A21B9" w:rsidRDefault="00E50336" w:rsidP="002A21B9">
      <w:r>
        <w:pict>
          <v:rect id="_x0000_i1853" style="width:0;height:1.5pt" o:hralign="center" o:hrstd="t" o:hr="t" fillcolor="#a0a0a0" stroked="f"/>
        </w:pict>
      </w:r>
    </w:p>
    <w:p w:rsidR="002A21B9" w:rsidRDefault="002A21B9" w:rsidP="002A21B9">
      <w:pPr>
        <w:pStyle w:val="berschrift1"/>
      </w:pPr>
      <w:r>
        <w:t>3.3.42.119 Konsistenz kausaler Richtungen</w:t>
      </w:r>
    </w:p>
    <w:p w:rsidR="002A21B9" w:rsidRDefault="002A21B9" w:rsidP="002A21B9">
      <w:pPr>
        <w:pStyle w:val="StandardWeb"/>
      </w:pPr>
      <w:r>
        <w:t>Seien zwei kausale Aussagen</w:t>
      </w:r>
    </w:p>
    <w:p w:rsidR="002A21B9" w:rsidRDefault="002A21B9" w:rsidP="002A21B9">
      <w:pPr>
        <w:pStyle w:val="StandardWeb"/>
      </w:pPr>
      <w:r>
        <w:t>[</w:t>
      </w:r>
      <w:r>
        <w:br/>
        <w:t>A_i:</w:t>
      </w:r>
      <w:r>
        <w:br/>
        <w:t>X\rightarrow Y</w:t>
      </w:r>
      <w:r>
        <w:br/>
        <w:t>\tag{3.7885}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A_i:X\rightarrow Y\qquad\text{(3.7885)}</w:t>
      </w:r>
    </w:p>
    <w:p w:rsidR="002A21B9" w:rsidRDefault="002A21B9" w:rsidP="002A21B9">
      <w:pPr>
        <w:pStyle w:val="StandardWeb"/>
      </w:pPr>
      <w:r>
        <w:lastRenderedPageBreak/>
        <w:t>und</w:t>
      </w:r>
    </w:p>
    <w:p w:rsidR="002A21B9" w:rsidRDefault="002A21B9" w:rsidP="002A21B9">
      <w:pPr>
        <w:pStyle w:val="StandardWeb"/>
      </w:pPr>
      <w:r>
        <w:t>[</w:t>
      </w:r>
      <w:r>
        <w:br/>
        <w:t>A_j:</w:t>
      </w:r>
      <w:r>
        <w:br/>
        <w:t>Y\rightarrow X.</w:t>
      </w:r>
      <w:r>
        <w:br/>
        <w:t>\tag{3.7886}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A_j:Y\rightarrow X\qquad\text{(3.7886)}</w:t>
      </w:r>
    </w:p>
    <w:p w:rsidR="002A21B9" w:rsidRDefault="002A21B9" w:rsidP="002A21B9">
      <w:pPr>
        <w:pStyle w:val="StandardWeb"/>
      </w:pPr>
      <w:r>
        <w:t>Diese Aussagen sind nicht automatisch widersprüchlich. Beide Richtungen können Bestandteil einer Rückkopplung sein.</w:t>
      </w:r>
    </w:p>
    <w:p w:rsidR="002A21B9" w:rsidRDefault="002A21B9" w:rsidP="002A21B9">
      <w:pPr>
        <w:pStyle w:val="StandardWeb"/>
      </w:pPr>
      <w:r>
        <w:t>Ein Widerspruch entsteht erst, wenn zusätzlich behauptet wird, dass ausschließlich eine Richtung zulässig sei.</w:t>
      </w:r>
    </w:p>
    <w:p w:rsidR="002A21B9" w:rsidRDefault="002A21B9" w:rsidP="002A21B9">
      <w:pPr>
        <w:pStyle w:val="StandardWeb"/>
      </w:pPr>
      <w:r>
        <w:t>Damit ist die semantische Interpretation der Relation unverzichtbar.</w:t>
      </w:r>
    </w:p>
    <w:p w:rsidR="002A21B9" w:rsidRDefault="00E50336" w:rsidP="002A21B9">
      <w:r>
        <w:pict>
          <v:rect id="_x0000_i1854" style="width:0;height:1.5pt" o:hralign="center" o:hrstd="t" o:hr="t" fillcolor="#a0a0a0" stroked="f"/>
        </w:pict>
      </w:r>
    </w:p>
    <w:p w:rsidR="002A21B9" w:rsidRDefault="002A21B9" w:rsidP="002A21B9">
      <w:pPr>
        <w:pStyle w:val="berschrift1"/>
      </w:pPr>
      <w:r>
        <w:t>3.3.42.120 Exklusivitätsbedingung</w:t>
      </w:r>
    </w:p>
    <w:p w:rsidR="002A21B9" w:rsidRDefault="002A21B9" w:rsidP="002A21B9">
      <w:pPr>
        <w:pStyle w:val="StandardWeb"/>
      </w:pPr>
      <w:r>
        <w:t>Sei</w:t>
      </w:r>
    </w:p>
    <w:p w:rsidR="002A21B9" w:rsidRDefault="002A21B9" w:rsidP="002A21B9">
      <w:pPr>
        <w:pStyle w:val="StandardWeb"/>
      </w:pPr>
      <w:r>
        <w:t>[</w:t>
      </w:r>
      <w:r>
        <w:br/>
        <w:t>E_{\mathrm{excl}}</w:t>
      </w:r>
      <w:r>
        <w:br/>
        <w:t>(X\rightarrow Y)=1</w:t>
      </w:r>
      <w:r>
        <w:br/>
        <w:t>\tag{3.7887}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E_{\mathrm{excl}}(X\rightarrow Y)=1\qquad\text{(3.7887)}</w:t>
      </w:r>
    </w:p>
    <w:p w:rsidR="002A21B9" w:rsidRDefault="002A21B9" w:rsidP="002A21B9">
      <w:pPr>
        <w:pStyle w:val="StandardWeb"/>
      </w:pPr>
      <w:r>
        <w:t>die Aussage, dass ausschließlich (X\rightarrow Y) zulässig sei.</w:t>
      </w:r>
    </w:p>
    <w:p w:rsidR="002A21B9" w:rsidRDefault="002A21B9" w:rsidP="002A21B9">
      <w:pPr>
        <w:pStyle w:val="StandardWeb"/>
      </w:pPr>
      <w:r>
        <w:t>Dann erzeugt</w:t>
      </w:r>
    </w:p>
    <w:p w:rsidR="002A21B9" w:rsidRDefault="002A21B9" w:rsidP="002A21B9">
      <w:pPr>
        <w:pStyle w:val="StandardWeb"/>
      </w:pPr>
      <w:r>
        <w:t>[</w:t>
      </w:r>
      <w:r>
        <w:br/>
        <w:t>Y\rightarrow X</w:t>
      </w:r>
      <w:r>
        <w:br/>
        <w:t>\tag{3.7888}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Y\rightarrow X\qquad\text{(3.7888)}</w:t>
      </w:r>
    </w:p>
    <w:p w:rsidR="002A21B9" w:rsidRDefault="002A21B9" w:rsidP="002A21B9">
      <w:pPr>
        <w:pStyle w:val="StandardWeb"/>
      </w:pPr>
      <w:r>
        <w:t>einen Konflikt mit dieser Exklusivitätsbedingung.</w:t>
      </w:r>
    </w:p>
    <w:p w:rsidR="002A21B9" w:rsidRDefault="002A21B9" w:rsidP="002A21B9">
      <w:pPr>
        <w:pStyle w:val="StandardWeb"/>
      </w:pPr>
      <w:r>
        <w:lastRenderedPageBreak/>
        <w:t>Damit wird sichtbar, dass Widersprüche häufig nicht in der Relation selbst, sondern in zusätzlichen Ausschließlichkeitsbehauptungen entstehen.</w:t>
      </w:r>
    </w:p>
    <w:p w:rsidR="002A21B9" w:rsidRDefault="00E50336" w:rsidP="002A21B9">
      <w:r>
        <w:pict>
          <v:rect id="_x0000_i1855" style="width:0;height:1.5pt" o:hralign="center" o:hrstd="t" o:hr="t" fillcolor="#a0a0a0" stroked="f"/>
        </w:pict>
      </w:r>
    </w:p>
    <w:p w:rsidR="002A21B9" w:rsidRDefault="002A21B9" w:rsidP="002A21B9">
      <w:pPr>
        <w:pStyle w:val="berschrift1"/>
      </w:pPr>
      <w:r>
        <w:t>3.3.42.121 Semantische Konsistenz</w:t>
      </w:r>
    </w:p>
    <w:p w:rsidR="002A21B9" w:rsidRDefault="002A21B9" w:rsidP="002A21B9">
      <w:pPr>
        <w:pStyle w:val="berschrift3"/>
      </w:pPr>
      <w:r>
        <w:t>Definition 3.3.47 (Semantische Konsistenz)</w:t>
      </w:r>
    </w:p>
    <w:p w:rsidR="002A21B9" w:rsidRDefault="002A21B9" w:rsidP="002A21B9">
      <w:pPr>
        <w:pStyle w:val="StandardWeb"/>
      </w:pPr>
      <w:r>
        <w:t>Zwei Aussagen heißen semantisch konsistent, wenn identische Symbole, Begriffe und Relationen innerhalb ihres gemeinsamen Kontexts kompatible Bedeutungen besitzen.</w:t>
      </w:r>
    </w:p>
    <w:p w:rsidR="002A21B9" w:rsidRDefault="002A21B9" w:rsidP="002A21B9">
      <w:pPr>
        <w:pStyle w:val="StandardWeb"/>
      </w:pPr>
      <w:r>
        <w:t>Ich schreibe</w:t>
      </w:r>
    </w:p>
    <w:p w:rsidR="002A21B9" w:rsidRDefault="002A21B9" w:rsidP="002A21B9">
      <w:pPr>
        <w:pStyle w:val="StandardWeb"/>
      </w:pPr>
      <w:r>
        <w:t>[</w:t>
      </w:r>
      <w:r>
        <w:br/>
        <w:t>K_{\mathrm{sem}}</w:t>
      </w:r>
      <w:r>
        <w:br/>
        <w:t>(A_i,A_j)=1.</w:t>
      </w:r>
      <w:r>
        <w:br/>
        <w:t>\tag{3.7889}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K_{\mathrm{sem}}(A_i,A_j)=1\qquad\text{(3.7889)}</w:t>
      </w:r>
    </w:p>
    <w:p w:rsidR="002A21B9" w:rsidRDefault="002A21B9" w:rsidP="002A21B9">
      <w:pPr>
        <w:pStyle w:val="StandardWeb"/>
      </w:pPr>
      <w:r>
        <w:t>Diese Konsistenzform ist besonders wichtig, weil formal identische Gleichungen bei unterschiedlicher Symbolbedeutung nicht unmittelbar verglichen werden dürfen.</w:t>
      </w:r>
    </w:p>
    <w:p w:rsidR="002A21B9" w:rsidRDefault="00E50336" w:rsidP="002A21B9">
      <w:r>
        <w:pict>
          <v:rect id="_x0000_i1856" style="width:0;height:1.5pt" o:hralign="center" o:hrstd="t" o:hr="t" fillcolor="#a0a0a0" stroked="f"/>
        </w:pict>
      </w:r>
    </w:p>
    <w:p w:rsidR="002A21B9" w:rsidRDefault="002A21B9" w:rsidP="002A21B9">
      <w:pPr>
        <w:pStyle w:val="berschrift1"/>
      </w:pPr>
      <w:r>
        <w:t>3.3.42.122 Symbolkonsistenz</w:t>
      </w:r>
    </w:p>
    <w:p w:rsidR="002A21B9" w:rsidRDefault="002A21B9" w:rsidP="002A21B9">
      <w:pPr>
        <w:pStyle w:val="StandardWeb"/>
      </w:pPr>
      <w:r>
        <w:t>Für ein Symbol (s) mit Bedeutungszuweisungen</w:t>
      </w:r>
    </w:p>
    <w:p w:rsidR="002A21B9" w:rsidRDefault="002A21B9" w:rsidP="002A21B9">
      <w:pPr>
        <w:pStyle w:val="StandardWeb"/>
      </w:pPr>
      <w:r>
        <w:t>[</w:t>
      </w:r>
      <w:r>
        <w:br/>
        <w:t>\operatorname{Sem}_i(s)</w:t>
      </w:r>
      <w:r>
        <w:br/>
        <w:t>\tag{3.7890}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\operatorname{Sem}_i(s)\qquad\text{(3.7890)}</w:t>
      </w:r>
    </w:p>
    <w:p w:rsidR="002A21B9" w:rsidRDefault="002A21B9" w:rsidP="002A21B9">
      <w:pPr>
        <w:pStyle w:val="StandardWeb"/>
      </w:pPr>
      <w:r>
        <w:t>und</w:t>
      </w:r>
    </w:p>
    <w:p w:rsidR="002A21B9" w:rsidRDefault="002A21B9" w:rsidP="002A21B9">
      <w:pPr>
        <w:pStyle w:val="StandardWeb"/>
      </w:pPr>
      <w:r>
        <w:t>[</w:t>
      </w:r>
      <w:r>
        <w:br/>
        <w:t>\operatorname{Sem}_j(s)</w:t>
      </w:r>
      <w:r>
        <w:br/>
        <w:t>\tag{3.7891}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\operatorname{Sem}_j(s)\qquad\text{(3.7891)}</w:t>
      </w:r>
    </w:p>
    <w:p w:rsidR="002A21B9" w:rsidRDefault="002A21B9" w:rsidP="002A21B9">
      <w:pPr>
        <w:pStyle w:val="StandardWeb"/>
      </w:pPr>
      <w:r>
        <w:t>gilt Symbolkonsistenz, wenn</w:t>
      </w:r>
    </w:p>
    <w:p w:rsidR="002A21B9" w:rsidRDefault="002A21B9" w:rsidP="002A21B9">
      <w:pPr>
        <w:pStyle w:val="berschrift1"/>
      </w:pPr>
      <w:r>
        <w:t>[</w:t>
      </w:r>
      <w:r>
        <w:br/>
        <w:t>\operatorname{Sem}_i(s)</w:t>
      </w:r>
    </w:p>
    <w:p w:rsidR="002A21B9" w:rsidRDefault="002A21B9" w:rsidP="002A21B9">
      <w:pPr>
        <w:pStyle w:val="StandardWeb"/>
      </w:pPr>
      <w:r>
        <w:t>\operatorname{Sem}_j(s)</w:t>
      </w:r>
      <w:r>
        <w:br/>
        <w:t>\tag{3.7892}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\operatorname{Sem}_i(s)=\operatorname{Sem}_j(s)\qquad\text{(3.7892)}</w:t>
      </w:r>
    </w:p>
    <w:p w:rsidR="002A21B9" w:rsidRDefault="002A21B9" w:rsidP="002A21B9">
      <w:pPr>
        <w:pStyle w:val="StandardWeb"/>
      </w:pPr>
      <w:r>
        <w:t>oder die unterschiedlichen Bedeutungen explizit durch unterschiedliche Kontexte gekennzeichnet sind.</w:t>
      </w:r>
    </w:p>
    <w:p w:rsidR="002A21B9" w:rsidRDefault="00E50336" w:rsidP="002A21B9">
      <w:r>
        <w:pict>
          <v:rect id="_x0000_i1857" style="width:0;height:1.5pt" o:hralign="center" o:hrstd="t" o:hr="t" fillcolor="#a0a0a0" stroked="f"/>
        </w:pict>
      </w:r>
    </w:p>
    <w:p w:rsidR="002A21B9" w:rsidRDefault="002A21B9" w:rsidP="002A21B9">
      <w:pPr>
        <w:pStyle w:val="berschrift1"/>
      </w:pPr>
      <w:r>
        <w:t>3.3.42.123 Einheitensystemkonsistenz</w:t>
      </w:r>
    </w:p>
    <w:p w:rsidR="002A21B9" w:rsidRDefault="002A21B9" w:rsidP="002A21B9">
      <w:pPr>
        <w:pStyle w:val="StandardWeb"/>
      </w:pPr>
      <w:r>
        <w:t>Für physikalisch dimensionierte Größen muss zusätzlich gelten</w:t>
      </w:r>
    </w:p>
    <w:p w:rsidR="002A21B9" w:rsidRDefault="002A21B9" w:rsidP="002A21B9">
      <w:pPr>
        <w:pStyle w:val="berschrift1"/>
      </w:pPr>
      <w:r>
        <w:t>[</w:t>
      </w:r>
      <w:r>
        <w:br/>
        <w:t>\dim</w:t>
      </w:r>
      <w:r>
        <w:br/>
        <w:t>\left(</w:t>
      </w:r>
      <w:r>
        <w:br/>
        <w:t>X_i</w:t>
      </w:r>
      <w:r>
        <w:br/>
        <w:t>\right)</w:t>
      </w:r>
    </w:p>
    <w:p w:rsidR="002A21B9" w:rsidRDefault="002A21B9" w:rsidP="002A21B9">
      <w:pPr>
        <w:pStyle w:val="StandardWeb"/>
      </w:pPr>
      <w:r>
        <w:t>\dim</w:t>
      </w:r>
      <w:r>
        <w:br/>
        <w:t>\left(</w:t>
      </w:r>
      <w:r>
        <w:br/>
        <w:t>X_j</w:t>
      </w:r>
      <w:r>
        <w:br/>
        <w:t>\right)</w:t>
      </w:r>
      <w:r>
        <w:br/>
        <w:t>\tag{3.7893}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\dim\left(X_i\right)=\dim\left(X_j\right)\qquad\text{(3.7893)}</w:t>
      </w:r>
    </w:p>
    <w:p w:rsidR="002A21B9" w:rsidRDefault="002A21B9" w:rsidP="002A21B9">
      <w:pPr>
        <w:pStyle w:val="StandardWeb"/>
      </w:pPr>
      <w:r>
        <w:t>wenn beide Variablen dieselbe physikalische Größe repräsentieren.</w:t>
      </w:r>
    </w:p>
    <w:p w:rsidR="002A21B9" w:rsidRDefault="002A21B9" w:rsidP="002A21B9">
      <w:pPr>
        <w:pStyle w:val="StandardWeb"/>
      </w:pPr>
      <w:r>
        <w:t>Ein Unterschied in Einheiten ist zulässig, sofern eine korrekte Transformation existiert:</w:t>
      </w:r>
    </w:p>
    <w:p w:rsidR="002A21B9" w:rsidRDefault="002A21B9" w:rsidP="002A21B9">
      <w:pPr>
        <w:pStyle w:val="berschrift1"/>
      </w:pPr>
      <w:r>
        <w:lastRenderedPageBreak/>
        <w:t>[</w:t>
      </w:r>
      <w:r>
        <w:br/>
        <w:t>X_j</w:t>
      </w:r>
    </w:p>
    <w:p w:rsidR="002A21B9" w:rsidRDefault="002A21B9" w:rsidP="002A21B9">
      <w:pPr>
        <w:pStyle w:val="StandardWeb"/>
      </w:pPr>
      <w:r>
        <w:t>T_{\mathrm{unit}}</w:t>
      </w:r>
      <w:r>
        <w:br/>
        <w:t>\left(</w:t>
      </w:r>
      <w:r>
        <w:br/>
        <w:t>X_i</w:t>
      </w:r>
      <w:r>
        <w:br/>
        <w:t>\right).</w:t>
      </w:r>
      <w:r>
        <w:br/>
        <w:t>\tag{3.7894}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X_j=T_{\mathrm{unit}}\left(X_i\right)\qquad\text{(3.7894)}</w:t>
      </w:r>
    </w:p>
    <w:p w:rsidR="002A21B9" w:rsidRDefault="00E50336" w:rsidP="002A21B9">
      <w:r>
        <w:pict>
          <v:rect id="_x0000_i1858" style="width:0;height:1.5pt" o:hralign="center" o:hrstd="t" o:hr="t" fillcolor="#a0a0a0" stroked="f"/>
        </w:pict>
      </w:r>
    </w:p>
    <w:p w:rsidR="002A21B9" w:rsidRDefault="002A21B9" w:rsidP="002A21B9">
      <w:pPr>
        <w:pStyle w:val="berschrift1"/>
      </w:pPr>
      <w:r>
        <w:t>3.3.42.124 Dimensionswiderspruch</w:t>
      </w:r>
    </w:p>
    <w:p w:rsidR="002A21B9" w:rsidRDefault="002A21B9" w:rsidP="002A21B9">
      <w:pPr>
        <w:pStyle w:val="StandardWeb"/>
      </w:pPr>
      <w:r>
        <w:t>Ein echter Dimensionswiderspruch liegt vor, wenn</w:t>
      </w:r>
    </w:p>
    <w:p w:rsidR="002A21B9" w:rsidRDefault="002A21B9" w:rsidP="002A21B9">
      <w:pPr>
        <w:pStyle w:val="StandardWeb"/>
      </w:pPr>
      <w:r>
        <w:t>[</w:t>
      </w:r>
      <w:r>
        <w:br/>
        <w:t>\dim</w:t>
      </w:r>
      <w:r>
        <w:br/>
        <w:t>\left(</w:t>
      </w:r>
      <w:r>
        <w:br/>
        <w:t>Y_{\mathrm{links}}</w:t>
      </w:r>
      <w:r>
        <w:br/>
        <w:t>\right)</w:t>
      </w:r>
      <w:r>
        <w:br/>
        <w:t>\neq</w:t>
      </w:r>
      <w:r>
        <w:br/>
        <w:t>\dim</w:t>
      </w:r>
      <w:r>
        <w:br/>
        <w:t>\left(</w:t>
      </w:r>
      <w:r>
        <w:br/>
        <w:t>Y_{\mathrm{rechts}}</w:t>
      </w:r>
      <w:r>
        <w:br/>
        <w:t>\right)</w:t>
      </w:r>
      <w:r>
        <w:br/>
        <w:t>\tag{3.7895}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\dim\left(Y_{\mathrm{links}}\right)\neq\dim\left(Y_{\mathrm{rechts}}\right)\qquad\text{(3.7895)}</w:t>
      </w:r>
    </w:p>
    <w:p w:rsidR="002A21B9" w:rsidRDefault="002A21B9" w:rsidP="002A21B9">
      <w:pPr>
        <w:pStyle w:val="StandardWeb"/>
      </w:pPr>
      <w:r>
        <w:t>innerhalb einer Gleichung, die dimensionsgleiche Größen beansprucht.</w:t>
      </w:r>
    </w:p>
    <w:p w:rsidR="002A21B9" w:rsidRDefault="002A21B9" w:rsidP="002A21B9">
      <w:pPr>
        <w:pStyle w:val="StandardWeb"/>
      </w:pPr>
      <w:r>
        <w:t>Ich definiere</w:t>
      </w:r>
    </w:p>
    <w:p w:rsidR="002A21B9" w:rsidRDefault="002A21B9" w:rsidP="002A21B9">
      <w:pPr>
        <w:pStyle w:val="StandardWeb"/>
      </w:pPr>
      <w:r>
        <w:t>[</w:t>
      </w:r>
      <w:r>
        <w:br/>
        <w:t>W_{\mathrm{dim}}=1.</w:t>
      </w:r>
      <w:r>
        <w:br/>
        <w:t>\tag{3.7896}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W_{\mathrm{dim}}=1\qquad\text{(3.7896)}</w:t>
      </w:r>
    </w:p>
    <w:p w:rsidR="002A21B9" w:rsidRDefault="002A21B9" w:rsidP="002A21B9">
      <w:pPr>
        <w:pStyle w:val="StandardWeb"/>
      </w:pPr>
      <w:r>
        <w:lastRenderedPageBreak/>
        <w:t>Damit wird Dimensionskonsistenz zu einer Teilklasse der Gleichungs- und Semantikkonsistenz.</w:t>
      </w:r>
    </w:p>
    <w:p w:rsidR="002A21B9" w:rsidRDefault="00E50336" w:rsidP="002A21B9">
      <w:r>
        <w:pict>
          <v:rect id="_x0000_i1859" style="width:0;height:1.5pt" o:hralign="center" o:hrstd="t" o:hr="t" fillcolor="#a0a0a0" stroked="f"/>
        </w:pict>
      </w:r>
    </w:p>
    <w:p w:rsidR="002A21B9" w:rsidRDefault="002A21B9" w:rsidP="002A21B9">
      <w:pPr>
        <w:pStyle w:val="berschrift1"/>
      </w:pPr>
      <w:r>
        <w:t>3.3.42.125 Definitionsabhängigkeit</w:t>
      </w:r>
    </w:p>
    <w:p w:rsidR="002A21B9" w:rsidRDefault="002A21B9" w:rsidP="002A21B9">
      <w:pPr>
        <w:pStyle w:val="StandardWeb"/>
      </w:pPr>
      <w:r>
        <w:t>Eine Definition kann von einer anderen Definition abhängen:</w:t>
      </w:r>
    </w:p>
    <w:p w:rsidR="002A21B9" w:rsidRDefault="002A21B9" w:rsidP="002A21B9">
      <w:pPr>
        <w:pStyle w:val="StandardWeb"/>
      </w:pPr>
      <w:r>
        <w:t>[</w:t>
      </w:r>
      <w:r>
        <w:br/>
        <w:t>D_j</w:t>
      </w:r>
      <w:r>
        <w:br/>
        <w:t>\leftarrow</w:t>
      </w:r>
      <w:r>
        <w:br/>
        <w:t>D_i.</w:t>
      </w:r>
      <w:r>
        <w:br/>
        <w:t>\tag{3.7897}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D_j\leftarrow D_i\qquad\text{(3.7897)}</w:t>
      </w:r>
    </w:p>
    <w:p w:rsidR="002A21B9" w:rsidRDefault="002A21B9" w:rsidP="002A21B9">
      <w:pPr>
        <w:pStyle w:val="StandardWeb"/>
      </w:pPr>
      <w:r>
        <w:t>Ich definiere einen Definitionsgraphen</w:t>
      </w:r>
    </w:p>
    <w:p w:rsidR="002A21B9" w:rsidRDefault="002A21B9" w:rsidP="002A21B9">
      <w:pPr>
        <w:pStyle w:val="berschrift1"/>
      </w:pPr>
      <w:r>
        <w:t>[</w:t>
      </w:r>
      <w:r>
        <w:br/>
        <w:t>\mathcal G_D</w:t>
      </w:r>
    </w:p>
    <w:p w:rsidR="002A21B9" w:rsidRDefault="002A21B9" w:rsidP="002A21B9">
      <w:pPr>
        <w:pStyle w:val="StandardWeb"/>
      </w:pPr>
      <w:r>
        <w:t>(V_D,E_D).</w:t>
      </w:r>
      <w:r>
        <w:br/>
        <w:t>\tag{3.7898}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G_D=(V_D,E_D)\qquad\text{(3.7898)}</w:t>
      </w:r>
    </w:p>
    <w:p w:rsidR="002A21B9" w:rsidRDefault="00E50336" w:rsidP="002A21B9">
      <w:r>
        <w:pict>
          <v:rect id="_x0000_i1860" style="width:0;height:1.5pt" o:hralign="center" o:hrstd="t" o:hr="t" fillcolor="#a0a0a0" stroked="f"/>
        </w:pict>
      </w:r>
    </w:p>
    <w:p w:rsidR="002A21B9" w:rsidRDefault="002A21B9" w:rsidP="002A21B9">
      <w:pPr>
        <w:pStyle w:val="berschrift1"/>
      </w:pPr>
      <w:r>
        <w:t>3.3.42.126 Zirkuläre Definition</w:t>
      </w:r>
    </w:p>
    <w:p w:rsidR="002A21B9" w:rsidRDefault="002A21B9" w:rsidP="002A21B9">
      <w:pPr>
        <w:pStyle w:val="StandardWeb"/>
      </w:pPr>
      <w:r>
        <w:t>Ein gerichteter Zyklus</w:t>
      </w:r>
    </w:p>
    <w:p w:rsidR="002A21B9" w:rsidRDefault="002A21B9" w:rsidP="002A21B9">
      <w:pPr>
        <w:pStyle w:val="StandardWeb"/>
      </w:pPr>
      <w:r>
        <w:t>[</w:t>
      </w:r>
      <w:r>
        <w:br/>
        <w:t>D_1</w:t>
      </w:r>
      <w:r>
        <w:br/>
        <w:t>\rightarrow</w:t>
      </w:r>
      <w:r>
        <w:br/>
        <w:t>D_2</w:t>
      </w:r>
      <w:r>
        <w:br/>
        <w:t>\rightarrow</w:t>
      </w:r>
      <w:r>
        <w:br/>
        <w:t>\cdots</w:t>
      </w:r>
      <w:r>
        <w:br/>
        <w:t>\rightarrow</w:t>
      </w:r>
      <w:r>
        <w:br/>
        <w:t>D_n</w:t>
      </w:r>
      <w:r>
        <w:br/>
        <w:t>\rightarrow</w:t>
      </w:r>
      <w:r>
        <w:br/>
        <w:t>D_1</w:t>
      </w:r>
      <w:r>
        <w:br/>
      </w:r>
      <w:r>
        <w:lastRenderedPageBreak/>
        <w:t>\tag{3.7899}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D_1\rightarrow D_2\rightarrow\cdots\rightarrow D_n\rightarrow D_1\qquad\text{(3.7899)}</w:t>
      </w:r>
    </w:p>
    <w:p w:rsidR="002A21B9" w:rsidRDefault="002A21B9" w:rsidP="002A21B9">
      <w:pPr>
        <w:pStyle w:val="StandardWeb"/>
      </w:pPr>
      <w:r>
        <w:t>kann auf eine zirkuläre Definition hinweisen.</w:t>
      </w:r>
    </w:p>
    <w:p w:rsidR="002A21B9" w:rsidRDefault="002A21B9" w:rsidP="002A21B9">
      <w:pPr>
        <w:pStyle w:val="StandardWeb"/>
      </w:pPr>
      <w:r>
        <w:t>Ein Zyklus ist jedoch nicht automatisch fehlerhaft. Entscheidend ist, ob die Begriffe unabhängig voneinander operational oder axiomatisch verankert sind.</w:t>
      </w:r>
    </w:p>
    <w:p w:rsidR="002A21B9" w:rsidRDefault="00E50336" w:rsidP="002A21B9">
      <w:r>
        <w:pict>
          <v:rect id="_x0000_i1861" style="width:0;height:1.5pt" o:hralign="center" o:hrstd="t" o:hr="t" fillcolor="#a0a0a0" stroked="f"/>
        </w:pict>
      </w:r>
    </w:p>
    <w:p w:rsidR="002A21B9" w:rsidRDefault="002A21B9" w:rsidP="002A21B9">
      <w:pPr>
        <w:pStyle w:val="berschrift1"/>
      </w:pPr>
      <w:r>
        <w:t>3.3.42.127 Problematische Definitionszirkularität</w:t>
      </w:r>
    </w:p>
    <w:p w:rsidR="002A21B9" w:rsidRDefault="002A21B9" w:rsidP="002A21B9">
      <w:pPr>
        <w:pStyle w:val="StandardWeb"/>
      </w:pPr>
      <w:r>
        <w:t>Ich definiere</w:t>
      </w:r>
    </w:p>
    <w:p w:rsidR="002A21B9" w:rsidRDefault="002A21B9" w:rsidP="002A21B9">
      <w:pPr>
        <w:pStyle w:val="StandardWeb"/>
      </w:pPr>
      <w:r>
        <w:t>[</w:t>
      </w:r>
      <w:r>
        <w:br/>
        <w:t>W_{\mathrm{circD}}=1</w:t>
      </w:r>
      <w:r>
        <w:br/>
        <w:t>\tag{3.7900}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W_{\mathrm{circD}}=1\qquad\text{(3.7900)}</w:t>
      </w:r>
    </w:p>
    <w:p w:rsidR="002A21B9" w:rsidRDefault="002A21B9" w:rsidP="002A21B9">
      <w:pPr>
        <w:pStyle w:val="StandardWeb"/>
      </w:pPr>
      <w:r>
        <w:t>wenn ein Definitionszyklus keine externe semantische oder axiomatische Verankerung besitzt und die beteiligten Begriffe ausschließlich gegenseitig definiert werden.</w:t>
      </w:r>
    </w:p>
    <w:p w:rsidR="002A21B9" w:rsidRDefault="00E50336" w:rsidP="002A21B9">
      <w:r>
        <w:pict>
          <v:rect id="_x0000_i1862" style="width:0;height:1.5pt" o:hralign="center" o:hrstd="t" o:hr="t" fillcolor="#a0a0a0" stroked="f"/>
        </w:pict>
      </w:r>
    </w:p>
    <w:p w:rsidR="002A21B9" w:rsidRDefault="002A21B9" w:rsidP="002A21B9">
      <w:pPr>
        <w:pStyle w:val="berschrift1"/>
      </w:pPr>
      <w:r>
        <w:t>3.3.42.128 Ableitungsgraph</w:t>
      </w:r>
    </w:p>
    <w:p w:rsidR="002A21B9" w:rsidRDefault="002A21B9" w:rsidP="002A21B9">
      <w:pPr>
        <w:pStyle w:val="StandardWeb"/>
      </w:pPr>
      <w:r>
        <w:t>Analog definiere ich für Sätze und Folgerungen</w:t>
      </w:r>
    </w:p>
    <w:p w:rsidR="002A21B9" w:rsidRDefault="002A21B9" w:rsidP="002A21B9">
      <w:pPr>
        <w:pStyle w:val="berschrift1"/>
      </w:pPr>
      <w:r>
        <w:t>[</w:t>
      </w:r>
      <w:r>
        <w:br/>
        <w:t>\mathcal G_T</w:t>
      </w:r>
    </w:p>
    <w:p w:rsidR="002A21B9" w:rsidRDefault="002A21B9" w:rsidP="002A21B9">
      <w:pPr>
        <w:pStyle w:val="StandardWeb"/>
      </w:pPr>
      <w:r>
        <w:t>(V_T,E_T).</w:t>
      </w:r>
      <w:r>
        <w:br/>
        <w:t>\tag{3.7901}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G_T=(V_T,E_T)\qquad\text{(3.7901)}</w:t>
      </w:r>
    </w:p>
    <w:p w:rsidR="002A21B9" w:rsidRDefault="002A21B9" w:rsidP="002A21B9">
      <w:pPr>
        <w:pStyle w:val="StandardWeb"/>
      </w:pPr>
      <w:r>
        <w:t>Eine Kante</w:t>
      </w:r>
    </w:p>
    <w:p w:rsidR="002A21B9" w:rsidRDefault="002A21B9" w:rsidP="002A21B9">
      <w:pPr>
        <w:pStyle w:val="StandardWeb"/>
      </w:pPr>
      <w:r>
        <w:lastRenderedPageBreak/>
        <w:t>[</w:t>
      </w:r>
      <w:r>
        <w:br/>
        <w:t>T_i</w:t>
      </w:r>
      <w:r>
        <w:br/>
        <w:t>\rightarrow</w:t>
      </w:r>
      <w:r>
        <w:br/>
        <w:t>T_j</w:t>
      </w:r>
      <w:r>
        <w:br/>
        <w:t>\tag{3.7902}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T_i\rightarrow T_j\qquad\text{(3.7902)}</w:t>
      </w:r>
    </w:p>
    <w:p w:rsidR="002A21B9" w:rsidRDefault="002A21B9" w:rsidP="002A21B9">
      <w:pPr>
        <w:pStyle w:val="StandardWeb"/>
      </w:pPr>
      <w:r>
        <w:t>bedeutet, dass (T_j) von (T_i) abhängt.</w:t>
      </w:r>
    </w:p>
    <w:p w:rsidR="002A21B9" w:rsidRDefault="00E50336" w:rsidP="002A21B9">
      <w:r>
        <w:pict>
          <v:rect id="_x0000_i1863" style="width:0;height:1.5pt" o:hralign="center" o:hrstd="t" o:hr="t" fillcolor="#a0a0a0" stroked="f"/>
        </w:pict>
      </w:r>
    </w:p>
    <w:p w:rsidR="002A21B9" w:rsidRDefault="002A21B9" w:rsidP="002A21B9">
      <w:pPr>
        <w:pStyle w:val="berschrift1"/>
      </w:pPr>
      <w:r>
        <w:t>3.3.42.129 Zirkulärer Beweis</w:t>
      </w:r>
    </w:p>
    <w:p w:rsidR="002A21B9" w:rsidRDefault="002A21B9" w:rsidP="002A21B9">
      <w:pPr>
        <w:pStyle w:val="StandardWeb"/>
      </w:pPr>
      <w:r>
        <w:t>Ein problematischer Beweiszyklus liegt vor, wenn</w:t>
      </w:r>
    </w:p>
    <w:p w:rsidR="002A21B9" w:rsidRDefault="002A21B9" w:rsidP="002A21B9">
      <w:pPr>
        <w:pStyle w:val="StandardWeb"/>
      </w:pPr>
      <w:r>
        <w:t>[</w:t>
      </w:r>
      <w:r>
        <w:br/>
        <w:t>T_i</w:t>
      </w:r>
      <w:r>
        <w:br/>
        <w:t>\Rightarrow</w:t>
      </w:r>
      <w:r>
        <w:br/>
        <w:t>T_j</w:t>
      </w:r>
      <w:r>
        <w:br/>
        <w:t>\Rightarrow</w:t>
      </w:r>
      <w:r>
        <w:br/>
        <w:t>T_i</w:t>
      </w:r>
      <w:r>
        <w:br/>
        <w:t>\tag{3.7903}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T_i\Rightarrow T_j\Rightarrow T_i\qquad\text{(3.7903)}</w:t>
      </w:r>
    </w:p>
    <w:p w:rsidR="002A21B9" w:rsidRDefault="002A21B9" w:rsidP="002A21B9">
      <w:pPr>
        <w:pStyle w:val="StandardWeb"/>
      </w:pPr>
      <w:r>
        <w:t>und keine der beiden Aussagen unabhängig begründet ist.</w:t>
      </w:r>
    </w:p>
    <w:p w:rsidR="002A21B9" w:rsidRDefault="002A21B9" w:rsidP="002A21B9">
      <w:pPr>
        <w:pStyle w:val="StandardWeb"/>
      </w:pPr>
      <w:r>
        <w:t>Ich kennzeichne dies mit</w:t>
      </w:r>
    </w:p>
    <w:p w:rsidR="002A21B9" w:rsidRDefault="002A21B9" w:rsidP="002A21B9">
      <w:pPr>
        <w:pStyle w:val="StandardWeb"/>
      </w:pPr>
      <w:r>
        <w:t>[</w:t>
      </w:r>
      <w:r>
        <w:br/>
        <w:t>W_{\mathrm{circP}}=1.</w:t>
      </w:r>
      <w:r>
        <w:br/>
        <w:t>\tag{3.7904}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W_{\mathrm{circP}}=1\qquad\text{(3.7904)}</w:t>
      </w:r>
    </w:p>
    <w:p w:rsidR="002A21B9" w:rsidRDefault="00E50336" w:rsidP="002A21B9">
      <w:r>
        <w:pict>
          <v:rect id="_x0000_i1864" style="width:0;height:1.5pt" o:hralign="center" o:hrstd="t" o:hr="t" fillcolor="#a0a0a0" stroked="f"/>
        </w:pict>
      </w:r>
    </w:p>
    <w:p w:rsidR="002A21B9" w:rsidRDefault="002A21B9" w:rsidP="002A21B9">
      <w:pPr>
        <w:pStyle w:val="berschrift1"/>
      </w:pPr>
      <w:r>
        <w:t>3.3.42.130 Abhängigkeitskonsistenz</w:t>
      </w:r>
    </w:p>
    <w:p w:rsidR="002A21B9" w:rsidRDefault="002A21B9" w:rsidP="002A21B9">
      <w:pPr>
        <w:pStyle w:val="StandardWeb"/>
      </w:pPr>
      <w:r>
        <w:t>Ich definiere</w:t>
      </w:r>
    </w:p>
    <w:p w:rsidR="002A21B9" w:rsidRDefault="002A21B9" w:rsidP="002A21B9">
      <w:pPr>
        <w:pStyle w:val="berschrift1"/>
      </w:pPr>
      <w:r>
        <w:lastRenderedPageBreak/>
        <w:t>[</w:t>
      </w:r>
      <w:r>
        <w:br/>
        <w:t>K_{\mathrm{dep}}</w:t>
      </w:r>
    </w:p>
    <w:p w:rsidR="002A21B9" w:rsidRDefault="002A21B9" w:rsidP="002A21B9">
      <w:pPr>
        <w:pStyle w:val="StandardWeb"/>
      </w:pPr>
      <w:r>
        <w:t>1</w:t>
      </w:r>
      <w:r>
        <w:br/>
        <w:t>\tag{3.7905}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K_{\mathrm{dep}}=1\qquad\text{(3.7905)}</w:t>
      </w:r>
    </w:p>
    <w:p w:rsidR="002A21B9" w:rsidRDefault="002A21B9" w:rsidP="002A21B9">
      <w:pPr>
        <w:pStyle w:val="StandardWeb"/>
      </w:pPr>
      <w:r>
        <w:t>wenn die relevanten Definitions-, Gleichungs- und Beweisabhängigkeiten keine unzulässigen Zyklen oder unerfüllten Referenzen enthalten.</w:t>
      </w:r>
    </w:p>
    <w:p w:rsidR="002A21B9" w:rsidRDefault="00E50336" w:rsidP="002A21B9">
      <w:r>
        <w:pict>
          <v:rect id="_x0000_i1865" style="width:0;height:1.5pt" o:hralign="center" o:hrstd="t" o:hr="t" fillcolor="#a0a0a0" stroked="f"/>
        </w:pict>
      </w:r>
    </w:p>
    <w:p w:rsidR="002A21B9" w:rsidRDefault="002A21B9" w:rsidP="002A21B9">
      <w:pPr>
        <w:pStyle w:val="berschrift1"/>
      </w:pPr>
      <w:r>
        <w:t>3.3.42.131 Vollständiger Konsistenzgraph</w:t>
      </w:r>
    </w:p>
    <w:p w:rsidR="002A21B9" w:rsidRDefault="002A21B9" w:rsidP="002A21B9">
      <w:pPr>
        <w:pStyle w:val="StandardWeb"/>
      </w:pPr>
      <w:r>
        <w:t>Die bisher getrennten Graphen können zu einem mehrschichtigen Graphen zusammengeführt werden:</w:t>
      </w:r>
    </w:p>
    <w:p w:rsidR="002A21B9" w:rsidRDefault="002A21B9" w:rsidP="002A21B9">
      <w:pPr>
        <w:pStyle w:val="berschrift1"/>
      </w:pPr>
      <w:r>
        <w:t>[</w:t>
      </w:r>
      <w:r>
        <w:br/>
        <w:t>\mathcal G_F^{K}</w:t>
      </w:r>
    </w:p>
    <w:p w:rsidR="002A21B9" w:rsidRDefault="002A21B9" w:rsidP="002A21B9">
      <w:pPr>
        <w:pStyle w:val="StandardWeb"/>
      </w:pPr>
      <w:r>
        <w:t>\left(</w:t>
      </w:r>
      <w:r>
        <w:br/>
        <w:t>V,</w:t>
      </w:r>
      <w:r>
        <w:br/>
        <w:t>E_{\mathrm{dep}},</w:t>
      </w:r>
      <w:r>
        <w:br/>
        <w:t>E_K,</w:t>
      </w:r>
      <w:r>
        <w:br/>
        <w:t>E_W</w:t>
      </w:r>
      <w:r>
        <w:br/>
        <w:t>\right).</w:t>
      </w:r>
      <w:r>
        <w:br/>
        <w:t>\tag{3.7906}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G_F^{K}=\left(V,E_{\mathrm{dep}},E_K,E_W\right)\qquad\text{(3.7906)}</w:t>
      </w:r>
    </w:p>
    <w:p w:rsidR="002A21B9" w:rsidRDefault="002A21B9" w:rsidP="002A21B9">
      <w:pPr>
        <w:pStyle w:val="StandardWeb"/>
      </w:pPr>
      <w:r>
        <w:t>Dabei repräsentieren</w:t>
      </w:r>
    </w:p>
    <w:p w:rsidR="002A21B9" w:rsidRDefault="002A21B9" w:rsidP="008C5E65">
      <w:pPr>
        <w:pStyle w:val="StandardWeb"/>
        <w:numPr>
          <w:ilvl w:val="0"/>
          <w:numId w:val="397"/>
        </w:numPr>
      </w:pPr>
      <w:r>
        <w:t>(E_{\mathrm{dep}}) Abhängigkeiten,</w:t>
      </w:r>
    </w:p>
    <w:p w:rsidR="002A21B9" w:rsidRDefault="002A21B9" w:rsidP="008C5E65">
      <w:pPr>
        <w:pStyle w:val="StandardWeb"/>
        <w:numPr>
          <w:ilvl w:val="0"/>
          <w:numId w:val="397"/>
        </w:numPr>
      </w:pPr>
      <w:r>
        <w:t>(E_K) Konsistenzrelationen,</w:t>
      </w:r>
    </w:p>
    <w:p w:rsidR="002A21B9" w:rsidRDefault="002A21B9" w:rsidP="008C5E65">
      <w:pPr>
        <w:pStyle w:val="StandardWeb"/>
        <w:numPr>
          <w:ilvl w:val="0"/>
          <w:numId w:val="397"/>
        </w:numPr>
      </w:pPr>
      <w:r>
        <w:t>(E_W) Widerspruchsrelationen.</w:t>
      </w:r>
    </w:p>
    <w:p w:rsidR="002A21B9" w:rsidRDefault="002A21B9" w:rsidP="002A21B9">
      <w:pPr>
        <w:pStyle w:val="StandardWeb"/>
      </w:pPr>
      <w:r>
        <w:t>Dieser Graph kann die zentrale mathematische Struktur eines späteren automatisierten Repository-Audits bilden.</w:t>
      </w:r>
    </w:p>
    <w:p w:rsidR="002A21B9" w:rsidRDefault="00E50336" w:rsidP="002A21B9">
      <w:r>
        <w:pict>
          <v:rect id="_x0000_i1866" style="width:0;height:1.5pt" o:hralign="center" o:hrstd="t" o:hr="t" fillcolor="#a0a0a0" stroked="f"/>
        </w:pict>
      </w:r>
    </w:p>
    <w:p w:rsidR="002A21B9" w:rsidRDefault="002A21B9" w:rsidP="002A21B9">
      <w:pPr>
        <w:pStyle w:val="berschrift1"/>
      </w:pPr>
      <w:r>
        <w:lastRenderedPageBreak/>
        <w:t>3.3.42.132 Konfliktpropagation</w:t>
      </w:r>
    </w:p>
    <w:p w:rsidR="002A21B9" w:rsidRDefault="002A21B9" w:rsidP="002A21B9">
      <w:pPr>
        <w:pStyle w:val="StandardWeb"/>
      </w:pPr>
      <w:r>
        <w:t>Ein Widerspruch kann sich entlang eines Abhängigkeitsgraphen fortpflanzen.</w:t>
      </w:r>
    </w:p>
    <w:p w:rsidR="002A21B9" w:rsidRDefault="002A21B9" w:rsidP="002A21B9">
      <w:pPr>
        <w:pStyle w:val="StandardWeb"/>
      </w:pPr>
      <w:r>
        <w:t>Sei</w:t>
      </w:r>
    </w:p>
    <w:p w:rsidR="002A21B9" w:rsidRDefault="002A21B9" w:rsidP="002A21B9">
      <w:pPr>
        <w:pStyle w:val="StandardWeb"/>
      </w:pPr>
      <w:r>
        <w:t>[</w:t>
      </w:r>
      <w:r>
        <w:br/>
        <w:t>A_i</w:t>
      </w:r>
      <w:r>
        <w:br/>
        <w:t>\rightarrow</w:t>
      </w:r>
      <w:r>
        <w:br/>
        <w:t>A_j</w:t>
      </w:r>
      <w:r>
        <w:br/>
        <w:t>\tag{3.7907}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A_i\rightarrow A_j\qquad\text{(3.7907)}</w:t>
      </w:r>
    </w:p>
    <w:p w:rsidR="002A21B9" w:rsidRDefault="002A21B9" w:rsidP="002A21B9">
      <w:pPr>
        <w:pStyle w:val="StandardWeb"/>
      </w:pPr>
      <w:r>
        <w:t>eine zwingende Abhängigkeit.</w:t>
      </w:r>
    </w:p>
    <w:p w:rsidR="002A21B9" w:rsidRDefault="002A21B9" w:rsidP="002A21B9">
      <w:pPr>
        <w:pStyle w:val="StandardWeb"/>
      </w:pPr>
      <w:r>
        <w:t>Ist</w:t>
      </w:r>
    </w:p>
    <w:p w:rsidR="002A21B9" w:rsidRDefault="002A21B9" w:rsidP="002A21B9">
      <w:pPr>
        <w:pStyle w:val="StandardWeb"/>
      </w:pPr>
      <w:r>
        <w:t>[</w:t>
      </w:r>
      <w:r>
        <w:br/>
        <w:t>K_{\mathrm{int}}(A_i)=0,</w:t>
      </w:r>
      <w:r>
        <w:br/>
        <w:t>\tag{3.7908}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K_{\mathrm{int}}(A_i)=0\qquad\text{(3.7908)}</w:t>
      </w:r>
    </w:p>
    <w:p w:rsidR="002A21B9" w:rsidRDefault="002A21B9" w:rsidP="002A21B9">
      <w:pPr>
        <w:pStyle w:val="StandardWeb"/>
      </w:pPr>
      <w:r>
        <w:t>dann kann die wissenschaftliche Gültigkeit von (A_j) ebenfalls betroffen sein.</w:t>
      </w:r>
    </w:p>
    <w:p w:rsidR="002A21B9" w:rsidRDefault="002A21B9" w:rsidP="002A21B9">
      <w:pPr>
        <w:pStyle w:val="StandardWeb"/>
      </w:pPr>
      <w:r>
        <w:t>Ich bezeichne die Menge abhängiger Objekte mit</w:t>
      </w:r>
    </w:p>
    <w:p w:rsidR="002A21B9" w:rsidRDefault="002A21B9" w:rsidP="002A21B9">
      <w:pPr>
        <w:pStyle w:val="StandardWeb"/>
      </w:pPr>
      <w:r>
        <w:t>[</w:t>
      </w:r>
      <w:r>
        <w:br/>
        <w:t>\operatorname{Desc}(A_i).</w:t>
      </w:r>
      <w:r>
        <w:br/>
        <w:t>\tag{3.7909}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\operatorname{Desc}(A_i)\qquad\text{(3.7909)}</w:t>
      </w:r>
    </w:p>
    <w:p w:rsidR="002A21B9" w:rsidRDefault="00E50336" w:rsidP="002A21B9">
      <w:r>
        <w:pict>
          <v:rect id="_x0000_i1867" style="width:0;height:1.5pt" o:hralign="center" o:hrstd="t" o:hr="t" fillcolor="#a0a0a0" stroked="f"/>
        </w:pict>
      </w:r>
    </w:p>
    <w:p w:rsidR="002A21B9" w:rsidRDefault="002A21B9" w:rsidP="002A21B9">
      <w:pPr>
        <w:pStyle w:val="berschrift1"/>
      </w:pPr>
      <w:r>
        <w:t>3.3.42.133 Konfliktausbreitungsbereich</w:t>
      </w:r>
    </w:p>
    <w:p w:rsidR="002A21B9" w:rsidRDefault="002A21B9" w:rsidP="002A21B9">
      <w:pPr>
        <w:pStyle w:val="StandardWeb"/>
      </w:pPr>
      <w:r>
        <w:t>Der Konfliktausbreitungsbereich lautet</w:t>
      </w:r>
    </w:p>
    <w:p w:rsidR="002A21B9" w:rsidRDefault="002A21B9" w:rsidP="002A21B9">
      <w:pPr>
        <w:pStyle w:val="berschrift1"/>
      </w:pPr>
      <w:r>
        <w:lastRenderedPageBreak/>
        <w:t>[</w:t>
      </w:r>
      <w:r>
        <w:br/>
        <w:t>\mathcal P_W(A_i)</w:t>
      </w:r>
    </w:p>
    <w:p w:rsidR="002A21B9" w:rsidRDefault="002A21B9" w:rsidP="002A21B9">
      <w:pPr>
        <w:pStyle w:val="StandardWeb"/>
      </w:pPr>
      <w:r>
        <w:t>{A_i}</w:t>
      </w:r>
      <w:r>
        <w:br/>
        <w:t>\cup</w:t>
      </w:r>
      <w:r>
        <w:br/>
        <w:t>\operatorname{Desc}(A_i).</w:t>
      </w:r>
      <w:r>
        <w:br/>
        <w:t>\tag{3.7910}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P_W(A_i)=\{A_i\}\cup\operatorname{Desc}(A_i)\qquad\text{(3.7910)}</w:t>
      </w:r>
    </w:p>
    <w:p w:rsidR="002A21B9" w:rsidRDefault="002A21B9" w:rsidP="002A21B9">
      <w:pPr>
        <w:pStyle w:val="StandardWeb"/>
      </w:pPr>
      <w:r>
        <w:t>Damit kann ein lokaler Definitionsfehler potenziell zahlreiche nachgelagerte Gleichungen, Sätze und Korollare betreffen.</w:t>
      </w:r>
    </w:p>
    <w:p w:rsidR="002A21B9" w:rsidRDefault="00E50336" w:rsidP="002A21B9">
      <w:r>
        <w:pict>
          <v:rect id="_x0000_i1868" style="width:0;height:1.5pt" o:hralign="center" o:hrstd="t" o:hr="t" fillcolor="#a0a0a0" stroked="f"/>
        </w:pict>
      </w:r>
    </w:p>
    <w:p w:rsidR="002A21B9" w:rsidRDefault="002A21B9" w:rsidP="002A21B9">
      <w:pPr>
        <w:pStyle w:val="berschrift1"/>
      </w:pPr>
      <w:r>
        <w:t>3.3.42.134 Konfliktreichweite</w:t>
      </w:r>
    </w:p>
    <w:p w:rsidR="002A21B9" w:rsidRDefault="002A21B9" w:rsidP="002A21B9">
      <w:pPr>
        <w:pStyle w:val="StandardWeb"/>
      </w:pPr>
      <w:r>
        <w:t>Ich definiere</w:t>
      </w:r>
    </w:p>
    <w:p w:rsidR="002A21B9" w:rsidRDefault="002A21B9" w:rsidP="002A21B9">
      <w:pPr>
        <w:pStyle w:val="berschrift1"/>
      </w:pPr>
      <w:r>
        <w:t>[</w:t>
      </w:r>
      <w:r>
        <w:br/>
        <w:t>R_W^{\mathrm{reach}}(A_i)</w:t>
      </w:r>
    </w:p>
    <w:p w:rsidR="002A21B9" w:rsidRDefault="002A21B9" w:rsidP="002A21B9">
      <w:pPr>
        <w:pStyle w:val="StandardWeb"/>
      </w:pPr>
      <w:r>
        <w:t>\left|</w:t>
      </w:r>
      <w:r>
        <w:br/>
        <w:t>\mathcal P_W(A_i)</w:t>
      </w:r>
      <w:r>
        <w:br/>
        <w:t>\right|.</w:t>
      </w:r>
      <w:r>
        <w:br/>
        <w:t>\tag{3.7911}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R_W^{\mathrm{reach}}(A_i)=\left|\mathcal P_W(A_i)\right|\qquad\text{(3.7911)}</w:t>
      </w:r>
    </w:p>
    <w:p w:rsidR="002A21B9" w:rsidRDefault="002A21B9" w:rsidP="002A21B9">
      <w:pPr>
        <w:pStyle w:val="StandardWeb"/>
      </w:pPr>
      <w:r>
        <w:t>Ein Widerspruch mit großer Reichweite besitzt für die Repository-Wartung eine höhere Priorität als ein vollständig isolierter lokaler Konflikt.</w:t>
      </w:r>
    </w:p>
    <w:p w:rsidR="002A21B9" w:rsidRDefault="00E50336" w:rsidP="002A21B9">
      <w:r>
        <w:pict>
          <v:rect id="_x0000_i1869" style="width:0;height:1.5pt" o:hralign="center" o:hrstd="t" o:hr="t" fillcolor="#a0a0a0" stroked="f"/>
        </w:pict>
      </w:r>
    </w:p>
    <w:p w:rsidR="002A21B9" w:rsidRDefault="002A21B9" w:rsidP="002A21B9">
      <w:pPr>
        <w:pStyle w:val="berschrift1"/>
      </w:pPr>
      <w:r>
        <w:t>3.3.42.135 Konfliktpriorität</w:t>
      </w:r>
    </w:p>
    <w:p w:rsidR="002A21B9" w:rsidRDefault="002A21B9" w:rsidP="002A21B9">
      <w:pPr>
        <w:pStyle w:val="StandardWeb"/>
      </w:pPr>
      <w:r>
        <w:t>Ich definiere eine diagnostische Priorität</w:t>
      </w:r>
    </w:p>
    <w:p w:rsidR="002A21B9" w:rsidRDefault="002A21B9" w:rsidP="002A21B9">
      <w:pPr>
        <w:pStyle w:val="berschrift1"/>
      </w:pPr>
      <w:r>
        <w:lastRenderedPageBreak/>
        <w:t>[</w:t>
      </w:r>
      <w:r>
        <w:br/>
        <w:t>P_W</w:t>
      </w:r>
    </w:p>
    <w:p w:rsidR="002A21B9" w:rsidRDefault="002A21B9" w:rsidP="002A21B9">
      <w:pPr>
        <w:pStyle w:val="StandardWeb"/>
      </w:pPr>
      <w:r>
        <w:t>\mathcal P</w:t>
      </w:r>
      <w:r>
        <w:br/>
        <w:t>\left(</w:t>
      </w:r>
      <w:r>
        <w:br/>
        <w:t>S_W,</w:t>
      </w:r>
      <w:r>
        <w:br/>
        <w:t>R_W^{\mathrm{reach}},</w:t>
      </w:r>
      <w:r>
        <w:br/>
        <w:t>w_E,</w:t>
      </w:r>
      <w:r>
        <w:br/>
        <w:t>w_S</w:t>
      </w:r>
      <w:r>
        <w:br/>
        <w:t>\right).</w:t>
      </w:r>
      <w:r>
        <w:br/>
        <w:t>\tag{3.7912}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P_W=\mathcal P\left(S_W,R_W^{\mathrm{reach}},w_E,w_S\right)\qquad\text{(3.7912)}</w:t>
      </w:r>
    </w:p>
    <w:p w:rsidR="002A21B9" w:rsidRDefault="002A21B9" w:rsidP="002A21B9">
      <w:pPr>
        <w:pStyle w:val="StandardWeb"/>
      </w:pPr>
      <w:r>
        <w:t>Diese Größe kann Konfliktschwere, Reichweite sowie Evidenz- und Stabilitätsgewicht kombinieren.</w:t>
      </w:r>
    </w:p>
    <w:p w:rsidR="002A21B9" w:rsidRDefault="002A21B9" w:rsidP="002A21B9">
      <w:pPr>
        <w:pStyle w:val="StandardWeb"/>
      </w:pPr>
      <w:r>
        <w:t>Sie ist eine Priorisierungshilfe, keine Wahrheitsentscheidung.</w:t>
      </w:r>
    </w:p>
    <w:p w:rsidR="002A21B9" w:rsidRDefault="00E50336" w:rsidP="002A21B9">
      <w:r>
        <w:pict>
          <v:rect id="_x0000_i1870" style="width:0;height:1.5pt" o:hralign="center" o:hrstd="t" o:hr="t" fillcolor="#a0a0a0" stroked="f"/>
        </w:pict>
      </w:r>
    </w:p>
    <w:p w:rsidR="002A21B9" w:rsidRDefault="002A21B9" w:rsidP="002A21B9">
      <w:pPr>
        <w:pStyle w:val="berschrift1"/>
      </w:pPr>
      <w:r>
        <w:t>3.3.42.136 Satz zur Konfliktpropagation</w:t>
      </w:r>
    </w:p>
    <w:p w:rsidR="002A21B9" w:rsidRDefault="002A21B9" w:rsidP="002A21B9">
      <w:pPr>
        <w:pStyle w:val="berschrift2"/>
      </w:pPr>
      <w:r>
        <w:t>Satz 3.3.28 (Ungültige Voraussetzung gefährdet jede zwingend davon abhängige Folgerung)</w:t>
      </w:r>
    </w:p>
    <w:p w:rsidR="002A21B9" w:rsidRDefault="002A21B9" w:rsidP="002A21B9">
      <w:pPr>
        <w:pStyle w:val="StandardWeb"/>
      </w:pPr>
      <w:r>
        <w:t>Sei</w:t>
      </w:r>
    </w:p>
    <w:p w:rsidR="002A21B9" w:rsidRDefault="002A21B9" w:rsidP="002A21B9">
      <w:pPr>
        <w:pStyle w:val="StandardWeb"/>
      </w:pPr>
      <w:r>
        <w:t>[</w:t>
      </w:r>
      <w:r>
        <w:br/>
        <w:t>A_i</w:t>
      </w:r>
      <w:r>
        <w:br/>
        <w:t>\rightarrow</w:t>
      </w:r>
      <w:r>
        <w:br/>
        <w:t>A_j</w:t>
      </w:r>
      <w:r>
        <w:br/>
        <w:t>\tag{3.7913}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A_i\rightarrow A_j\qquad\text{(3.7913)}</w:t>
      </w:r>
    </w:p>
    <w:p w:rsidR="002A21B9" w:rsidRDefault="002A21B9" w:rsidP="002A21B9">
      <w:pPr>
        <w:pStyle w:val="StandardWeb"/>
      </w:pPr>
      <w:r>
        <w:t>eine zwingende Abhängigkeit in dem Sinne, dass (A_j) ohne (A_i) nicht hergeleitet ist.</w:t>
      </w:r>
    </w:p>
    <w:p w:rsidR="002A21B9" w:rsidRDefault="002A21B9" w:rsidP="002A21B9">
      <w:pPr>
        <w:pStyle w:val="StandardWeb"/>
      </w:pPr>
      <w:r>
        <w:t>Falls</w:t>
      </w:r>
    </w:p>
    <w:p w:rsidR="002A21B9" w:rsidRDefault="002A21B9" w:rsidP="002A21B9">
      <w:pPr>
        <w:pStyle w:val="StandardWeb"/>
      </w:pPr>
      <w:r>
        <w:t>[</w:t>
      </w:r>
      <w:r>
        <w:br/>
        <w:t>K_{\mathrm{int}}(A_i)=0,</w:t>
      </w:r>
      <w:r>
        <w:br/>
      </w:r>
      <w:r>
        <w:lastRenderedPageBreak/>
        <w:t>\tag{3.7914}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K_{\mathrm{int}}(A_i)=0\qquad\text{(3.7914)}</w:t>
      </w:r>
    </w:p>
    <w:p w:rsidR="002A21B9" w:rsidRDefault="002A21B9" w:rsidP="002A21B9">
      <w:pPr>
        <w:pStyle w:val="StandardWeb"/>
      </w:pPr>
      <w:r>
        <w:t>kann (A_j) nicht allein aufgrund dieser Ableitung als wissenschaftlich abgesichert gelten.</w:t>
      </w:r>
    </w:p>
    <w:p w:rsidR="002A21B9" w:rsidRDefault="002A21B9" w:rsidP="002A21B9">
      <w:pPr>
        <w:pStyle w:val="StandardWeb"/>
      </w:pPr>
      <w:r>
        <w:t>Ich schreibe</w:t>
      </w:r>
    </w:p>
    <w:p w:rsidR="002A21B9" w:rsidRDefault="002A21B9" w:rsidP="002A21B9">
      <w:pPr>
        <w:pStyle w:val="StandardWeb"/>
      </w:pPr>
      <w:r>
        <w:t>[</w:t>
      </w:r>
      <w:r>
        <w:br/>
        <w:t>K_{\mathrm{int}}(A_i)=0</w:t>
      </w:r>
      <w:r>
        <w:br/>
        <w:t>\land</w:t>
      </w:r>
      <w:r>
        <w:br/>
        <w:t>A_i\rightarrow A_j</w:t>
      </w:r>
      <w:r>
        <w:br/>
        <w:t>\Rightarrow</w:t>
      </w:r>
      <w:r>
        <w:br/>
        <w:t>V_{\mathrm{der}}(A_j)=0.</w:t>
      </w:r>
      <w:r>
        <w:br/>
        <w:t>\tag{3.7915}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K_{\mathrm{int}}(A_i)=0\land A_i\rightarrow A_j\Rightarrow V_{\mathrm{der}}(A_j)=0\qquad\text{(3.7915)}</w:t>
      </w:r>
    </w:p>
    <w:p w:rsidR="002A21B9" w:rsidRDefault="002A21B9" w:rsidP="002A21B9">
      <w:pPr>
        <w:pStyle w:val="StandardWeb"/>
      </w:pPr>
      <w:r>
        <w:t>Dabei bedeutet (V_{\mathrm{der}}(A_j)=0) nicht notwendig, dass (A_j) falsch ist. Es bedeutet lediglich, dass die betreffende Ableitung ihren Gültigkeitsnachweis verloren hat.</w:t>
      </w:r>
    </w:p>
    <w:p w:rsidR="002A21B9" w:rsidRDefault="002A21B9" w:rsidP="002A21B9">
      <w:pPr>
        <w:pStyle w:val="berschrift3"/>
      </w:pPr>
      <w:r>
        <w:t>Beweis</w:t>
      </w:r>
    </w:p>
    <w:p w:rsidR="002A21B9" w:rsidRDefault="002A21B9" w:rsidP="002A21B9">
      <w:pPr>
        <w:pStyle w:val="StandardWeb"/>
      </w:pPr>
      <w:r>
        <w:t>Die betrachtete Ableitung besitzt die Struktur</w:t>
      </w:r>
    </w:p>
    <w:p w:rsidR="002A21B9" w:rsidRDefault="002A21B9" w:rsidP="002A21B9">
      <w:pPr>
        <w:pStyle w:val="StandardWeb"/>
      </w:pPr>
      <w:r>
        <w:t>[</w:t>
      </w:r>
      <w:r>
        <w:br/>
        <w:t>A_i</w:t>
      </w:r>
      <w:r>
        <w:br/>
        <w:t>\Rightarrow</w:t>
      </w:r>
      <w:r>
        <w:br/>
        <w:t>A_j.</w:t>
      </w:r>
      <w:r>
        <w:br/>
        <w:t>\tag{3.7916}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A_i\Rightarrow A_j\qquad\text{(3.7916)}</w:t>
      </w:r>
    </w:p>
    <w:p w:rsidR="002A21B9" w:rsidRDefault="002A21B9" w:rsidP="002A21B9">
      <w:pPr>
        <w:pStyle w:val="StandardWeb"/>
      </w:pPr>
      <w:r>
        <w:t>Ist (A_i) intern inkonsistent, ist die angenommene Voraussetzung nicht als gültige wissenschaftliche Basis verfügbar.</w:t>
      </w:r>
    </w:p>
    <w:p w:rsidR="002A21B9" w:rsidRDefault="002A21B9" w:rsidP="002A21B9">
      <w:pPr>
        <w:pStyle w:val="StandardWeb"/>
      </w:pPr>
      <w:r>
        <w:t>Damit kann der Beweisweg</w:t>
      </w:r>
    </w:p>
    <w:p w:rsidR="002A21B9" w:rsidRDefault="002A21B9" w:rsidP="002A21B9">
      <w:pPr>
        <w:pStyle w:val="StandardWeb"/>
      </w:pPr>
      <w:r>
        <w:t>[</w:t>
      </w:r>
      <w:r>
        <w:br/>
        <w:t>A_i</w:t>
      </w:r>
      <w:r>
        <w:br/>
        <w:t>\leadsto</w:t>
      </w:r>
      <w:r>
        <w:br/>
      </w:r>
      <w:r>
        <w:lastRenderedPageBreak/>
        <w:t>A_j</w:t>
      </w:r>
      <w:r>
        <w:br/>
        <w:t>\tag{3.7917}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A_i\leadsto A_j\qquad\text{(3.7917)}</w:t>
      </w:r>
    </w:p>
    <w:p w:rsidR="002A21B9" w:rsidRDefault="002A21B9" w:rsidP="002A21B9">
      <w:pPr>
        <w:pStyle w:val="StandardWeb"/>
      </w:pPr>
      <w:r>
        <w:t>nicht länger als hinreichender Gültigkeitsnachweis für (A_j) verwendet werden.</w:t>
      </w:r>
    </w:p>
    <w:p w:rsidR="002A21B9" w:rsidRDefault="002A21B9" w:rsidP="002A21B9">
      <w:pPr>
        <w:pStyle w:val="StandardWeb"/>
      </w:pPr>
      <w:r>
        <w:t>Daraus folgt</w:t>
      </w:r>
    </w:p>
    <w:p w:rsidR="002A21B9" w:rsidRDefault="002A21B9" w:rsidP="002A21B9">
      <w:pPr>
        <w:pStyle w:val="StandardWeb"/>
      </w:pPr>
      <w:r>
        <w:t>[</w:t>
      </w:r>
      <w:r>
        <w:br/>
        <w:t>V_{\mathrm{der}}(A_j)=0.</w:t>
      </w:r>
      <w:r>
        <w:br/>
        <w:t>\tag{3.7918}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V_{\mathrm{der}}(A_j)=0\qquad\text{(3.7918)}</w:t>
      </w:r>
    </w:p>
    <w:p w:rsidR="002A21B9" w:rsidRDefault="002A21B9" w:rsidP="002A21B9">
      <w:pPr>
        <w:pStyle w:val="StandardWeb"/>
      </w:pPr>
      <w:r>
        <w:t>Die Aussage (A_j) könnte jedoch durch einen unabhängigen Beweis erhalten bleiben. (\square)</w:t>
      </w:r>
    </w:p>
    <w:p w:rsidR="002A21B9" w:rsidRDefault="00E50336" w:rsidP="002A21B9">
      <w:r>
        <w:pict>
          <v:rect id="_x0000_i1871" style="width:0;height:1.5pt" o:hralign="center" o:hrstd="t" o:hr="t" fillcolor="#a0a0a0" stroked="f"/>
        </w:pict>
      </w:r>
    </w:p>
    <w:p w:rsidR="002A21B9" w:rsidRDefault="002A21B9" w:rsidP="002A21B9">
      <w:pPr>
        <w:pStyle w:val="berschrift2"/>
      </w:pPr>
      <w:r>
        <w:t>Korollar 3.3.7</w:t>
      </w:r>
    </w:p>
    <w:p w:rsidR="002A21B9" w:rsidRDefault="002A21B9" w:rsidP="002A21B9">
      <w:pPr>
        <w:pStyle w:val="StandardWeb"/>
      </w:pPr>
      <w:r>
        <w:t>Besitzt (A_j) zusätzlich einen unabhängigen gültigen Ableitungspfad</w:t>
      </w:r>
    </w:p>
    <w:p w:rsidR="002A21B9" w:rsidRDefault="002A21B9" w:rsidP="002A21B9">
      <w:pPr>
        <w:pStyle w:val="StandardWeb"/>
      </w:pPr>
      <w:r>
        <w:t>[</w:t>
      </w:r>
      <w:r>
        <w:br/>
        <w:t>P_2</w:t>
      </w:r>
      <w:r>
        <w:br/>
        <w:t>\tag{3.7919}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P_2\qquad\text{(3.7919)}</w:t>
      </w:r>
    </w:p>
    <w:p w:rsidR="002A21B9" w:rsidRDefault="002A21B9" w:rsidP="002A21B9">
      <w:pPr>
        <w:pStyle w:val="StandardWeb"/>
      </w:pPr>
      <w:r>
        <w:t>mit</w:t>
      </w:r>
    </w:p>
    <w:p w:rsidR="002A21B9" w:rsidRDefault="002A21B9" w:rsidP="002A21B9">
      <w:pPr>
        <w:pStyle w:val="StandardWeb"/>
      </w:pPr>
      <w:r>
        <w:t>[</w:t>
      </w:r>
      <w:r>
        <w:br/>
        <w:t>A_k</w:t>
      </w:r>
      <w:r>
        <w:br/>
        <w:t>\rightarrow</w:t>
      </w:r>
      <w:r>
        <w:br/>
        <w:t>A_j</w:t>
      </w:r>
      <w:r>
        <w:br/>
        <w:t>\tag{3.7920}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A_k\rightarrow A_j\qquad\text{(3.7920)}</w:t>
      </w:r>
    </w:p>
    <w:p w:rsidR="002A21B9" w:rsidRDefault="002A21B9" w:rsidP="002A21B9">
      <w:pPr>
        <w:pStyle w:val="StandardWeb"/>
      </w:pPr>
      <w:r>
        <w:lastRenderedPageBreak/>
        <w:t>und</w:t>
      </w:r>
    </w:p>
    <w:p w:rsidR="002A21B9" w:rsidRDefault="002A21B9" w:rsidP="002A21B9">
      <w:pPr>
        <w:pStyle w:val="StandardWeb"/>
      </w:pPr>
      <w:r>
        <w:t>[</w:t>
      </w:r>
      <w:r>
        <w:br/>
        <w:t>K_{\mathrm{int}}(A_k)=1,</w:t>
      </w:r>
      <w:r>
        <w:br/>
        <w:t>\tag{3.7921}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K_{\mathrm{int}}(A_k)=1\qquad\text{(3.7921)}</w:t>
      </w:r>
    </w:p>
    <w:p w:rsidR="002A21B9" w:rsidRDefault="002A21B9" w:rsidP="002A21B9">
      <w:pPr>
        <w:pStyle w:val="StandardWeb"/>
      </w:pPr>
      <w:r>
        <w:t>muss der Verlust des ersten Ableitungspfades die Aussage (A_j) nicht vollständig entwerten.</w:t>
      </w:r>
    </w:p>
    <w:p w:rsidR="002A21B9" w:rsidRDefault="002A21B9" w:rsidP="002A21B9">
      <w:pPr>
        <w:pStyle w:val="StandardWeb"/>
      </w:pPr>
      <w:r>
        <w:t>Damit wird die Bedeutung redundanter Evidenz- und Beweispfade deutlich.</w:t>
      </w:r>
    </w:p>
    <w:p w:rsidR="002A21B9" w:rsidRDefault="00E50336" w:rsidP="002A21B9">
      <w:r>
        <w:pict>
          <v:rect id="_x0000_i1872" style="width:0;height:1.5pt" o:hralign="center" o:hrstd="t" o:hr="t" fillcolor="#a0a0a0" stroked="f"/>
        </w:pict>
      </w:r>
    </w:p>
    <w:p w:rsidR="002A21B9" w:rsidRDefault="002A21B9" w:rsidP="002A21B9">
      <w:pPr>
        <w:pStyle w:val="berschrift1"/>
      </w:pPr>
      <w:r>
        <w:t>3.3.42.137 Ableitungsredundanz</w:t>
      </w:r>
    </w:p>
    <w:p w:rsidR="002A21B9" w:rsidRDefault="002A21B9" w:rsidP="002A21B9">
      <w:pPr>
        <w:pStyle w:val="StandardWeb"/>
      </w:pPr>
      <w:r>
        <w:t>Ich definiere die Anzahl unabhängiger gültiger Ableitungspfade einer Aussage als</w:t>
      </w:r>
    </w:p>
    <w:p w:rsidR="002A21B9" w:rsidRDefault="002A21B9" w:rsidP="002A21B9">
      <w:pPr>
        <w:pStyle w:val="StandardWeb"/>
      </w:pPr>
      <w:r>
        <w:t>[</w:t>
      </w:r>
      <w:r>
        <w:br/>
        <w:t>N_{\mathrm{path}}(A_j).</w:t>
      </w:r>
      <w:r>
        <w:br/>
        <w:t>\tag{3.7922}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N_{\mathrm{path}}(A_j)\qquad\text{(3.7922)}</w:t>
      </w:r>
    </w:p>
    <w:p w:rsidR="002A21B9" w:rsidRDefault="002A21B9" w:rsidP="002A21B9">
      <w:pPr>
        <w:pStyle w:val="StandardWeb"/>
      </w:pPr>
      <w:r>
        <w:t>Für</w:t>
      </w:r>
    </w:p>
    <w:p w:rsidR="002A21B9" w:rsidRDefault="002A21B9" w:rsidP="002A21B9">
      <w:pPr>
        <w:pStyle w:val="StandardWeb"/>
      </w:pPr>
      <w:r>
        <w:t>[</w:t>
      </w:r>
      <w:r>
        <w:br/>
        <w:t>N_{\mathrm{path}}(A_j)&gt;1</w:t>
      </w:r>
      <w:r>
        <w:br/>
        <w:t>\tag{3.7923}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N_{\mathrm{path}}(A_j)&gt;1\qquad\text{(3.7923)}</w:t>
      </w:r>
    </w:p>
    <w:p w:rsidR="002A21B9" w:rsidRDefault="002A21B9" w:rsidP="002A21B9">
      <w:pPr>
        <w:pStyle w:val="StandardWeb"/>
      </w:pPr>
      <w:r>
        <w:t>besitzt die Aussage eine gewisse Ableitungsredundanz.</w:t>
      </w:r>
    </w:p>
    <w:p w:rsidR="002A21B9" w:rsidRDefault="00E50336" w:rsidP="002A21B9">
      <w:r>
        <w:pict>
          <v:rect id="_x0000_i1873" style="width:0;height:1.5pt" o:hralign="center" o:hrstd="t" o:hr="t" fillcolor="#a0a0a0" stroked="f"/>
        </w:pict>
      </w:r>
    </w:p>
    <w:p w:rsidR="002A21B9" w:rsidRDefault="002A21B9" w:rsidP="002A21B9">
      <w:pPr>
        <w:pStyle w:val="berschrift1"/>
      </w:pPr>
      <w:r>
        <w:t>3.3.42.138 Konsistenzrobustheit einer Ableitung</w:t>
      </w:r>
    </w:p>
    <w:p w:rsidR="002A21B9" w:rsidRDefault="002A21B9" w:rsidP="002A21B9">
      <w:pPr>
        <w:pStyle w:val="StandardWeb"/>
      </w:pPr>
      <w:r>
        <w:t>Ich definiere</w:t>
      </w:r>
    </w:p>
    <w:p w:rsidR="002A21B9" w:rsidRDefault="002A21B9" w:rsidP="002A21B9">
      <w:pPr>
        <w:pStyle w:val="berschrift1"/>
      </w:pPr>
      <w:r>
        <w:lastRenderedPageBreak/>
        <w:t>[</w:t>
      </w:r>
      <w:r>
        <w:br/>
        <w:t>R_{\mathrm{der}}</w:t>
      </w:r>
    </w:p>
    <w:p w:rsidR="002A21B9" w:rsidRDefault="002A21B9" w:rsidP="002A21B9">
      <w:pPr>
        <w:pStyle w:val="StandardWeb"/>
      </w:pPr>
      <w:r>
        <w:t>\frac{</w:t>
      </w:r>
      <w:r>
        <w:br/>
        <w:t>N_{\mathrm{valid\ paths}}</w:t>
      </w:r>
      <w:r>
        <w:br/>
        <w:t>}{</w:t>
      </w:r>
      <w:r>
        <w:br/>
        <w:t>N_{\mathrm{all\ paths}}</w:t>
      </w:r>
      <w:r>
        <w:br/>
        <w:t>}.</w:t>
      </w:r>
      <w:r>
        <w:br/>
        <w:t>\tag{3.7924}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R_{\mathrm{der}}=\frac{N_{\mathrm{valid\ paths}}}{N_{\mathrm{all\ paths}}}\qquad\text{(3.7924)}</w:t>
      </w:r>
    </w:p>
    <w:p w:rsidR="002A21B9" w:rsidRDefault="002A21B9" w:rsidP="002A21B9">
      <w:pPr>
        <w:pStyle w:val="StandardWeb"/>
      </w:pPr>
      <w:r>
        <w:t>Diese Größe beschreibt, welcher Anteil der bekannten Herleitungswege einer Aussage konsistent bleibt.</w:t>
      </w:r>
    </w:p>
    <w:p w:rsidR="002A21B9" w:rsidRDefault="00E50336" w:rsidP="002A21B9">
      <w:r>
        <w:pict>
          <v:rect id="_x0000_i1874" style="width:0;height:1.5pt" o:hralign="center" o:hrstd="t" o:hr="t" fillcolor="#a0a0a0" stroked="f"/>
        </w:pict>
      </w:r>
    </w:p>
    <w:p w:rsidR="002A21B9" w:rsidRDefault="002A21B9" w:rsidP="002A21B9">
      <w:pPr>
        <w:pStyle w:val="berschrift1"/>
      </w:pPr>
      <w:r>
        <w:t>3.3.42.139 Konsistenz und Redundanz</w:t>
      </w:r>
    </w:p>
    <w:p w:rsidR="002A21B9" w:rsidRDefault="002A21B9" w:rsidP="002A21B9">
      <w:pPr>
        <w:pStyle w:val="StandardWeb"/>
      </w:pPr>
      <w:r>
        <w:t>Eine Aussage mit mehreren unabhängigen Herleitungen kann gegenüber dem Ausfall eines einzelnen Beweiswegs robuster sein.</w:t>
      </w:r>
    </w:p>
    <w:p w:rsidR="002A21B9" w:rsidRDefault="002A21B9" w:rsidP="002A21B9">
      <w:pPr>
        <w:pStyle w:val="StandardWeb"/>
      </w:pPr>
      <w:r>
        <w:t>Es gilt jedoch nicht allgemein</w:t>
      </w:r>
    </w:p>
    <w:p w:rsidR="002A21B9" w:rsidRDefault="002A21B9" w:rsidP="002A21B9">
      <w:pPr>
        <w:pStyle w:val="StandardWeb"/>
      </w:pPr>
      <w:r>
        <w:t>[</w:t>
      </w:r>
      <w:r>
        <w:br/>
        <w:t>N_{\mathrm{path}}</w:t>
      </w:r>
      <w:r>
        <w:br/>
        <w:t>\text{ groß}</w:t>
      </w:r>
      <w:r>
        <w:br/>
        <w:t>\Rightarrow</w:t>
      </w:r>
      <w:r>
        <w:br/>
        <w:t>A</w:t>
      </w:r>
      <w:r>
        <w:br/>
        <w:t>\text{ wahr}.</w:t>
      </w:r>
      <w:r>
        <w:br/>
        <w:t>\tag{3.7925}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N_{\mathrm{path}}\text{ groß}\Rightarrow A\text{ wahr}\qquad\text{(3.7925)}</w:t>
      </w:r>
    </w:p>
    <w:p w:rsidR="002A21B9" w:rsidRDefault="002A21B9" w:rsidP="002A21B9">
      <w:pPr>
        <w:pStyle w:val="StandardWeb"/>
      </w:pPr>
      <w:r>
        <w:t>Mehrere Herleitungen können dieselbe fehlerhafte Voraussetzung teilen.</w:t>
      </w:r>
    </w:p>
    <w:p w:rsidR="002A21B9" w:rsidRDefault="002A21B9" w:rsidP="002A21B9">
      <w:pPr>
        <w:pStyle w:val="StandardWeb"/>
      </w:pPr>
      <w:r>
        <w:t>Deshalb muss auch die Abhängigkeit der Beweispfade untersucht werden.</w:t>
      </w:r>
    </w:p>
    <w:p w:rsidR="002A21B9" w:rsidRDefault="00E50336" w:rsidP="002A21B9">
      <w:r>
        <w:pict>
          <v:rect id="_x0000_i1875" style="width:0;height:1.5pt" o:hralign="center" o:hrstd="t" o:hr="t" fillcolor="#a0a0a0" stroked="f"/>
        </w:pict>
      </w:r>
    </w:p>
    <w:p w:rsidR="002A21B9" w:rsidRDefault="002A21B9" w:rsidP="002A21B9">
      <w:pPr>
        <w:pStyle w:val="berschrift1"/>
      </w:pPr>
      <w:r>
        <w:t>3.3.42.140 Gemeinsame Voraussetzung</w:t>
      </w:r>
    </w:p>
    <w:p w:rsidR="002A21B9" w:rsidRDefault="002A21B9" w:rsidP="002A21B9">
      <w:pPr>
        <w:pStyle w:val="StandardWeb"/>
      </w:pPr>
      <w:r>
        <w:t>Für zwei Beweispfade (P_1) und (P_2) definiere ich</w:t>
      </w:r>
    </w:p>
    <w:p w:rsidR="002A21B9" w:rsidRDefault="002A21B9" w:rsidP="002A21B9">
      <w:pPr>
        <w:pStyle w:val="StandardWeb"/>
      </w:pPr>
      <w:r>
        <w:lastRenderedPageBreak/>
        <w:t>[</w:t>
      </w:r>
      <w:r>
        <w:br/>
        <w:t>\operatorname{Anc}(P_1)</w:t>
      </w:r>
      <w:r>
        <w:br/>
        <w:t>\cap</w:t>
      </w:r>
      <w:r>
        <w:br/>
        <w:t>\operatorname{Anc}(P_2)</w:t>
      </w:r>
      <w:r>
        <w:br/>
        <w:t>\tag{3.7926}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\operatorname{Anc}(P_1)\cap\operatorname{Anc}(P_2)\qquad\text{(3.7926)}</w:t>
      </w:r>
    </w:p>
    <w:p w:rsidR="002A21B9" w:rsidRDefault="002A21B9" w:rsidP="002A21B9">
      <w:pPr>
        <w:pStyle w:val="StandardWeb"/>
      </w:pPr>
      <w:r>
        <w:t>als gemeinsame Voraussetzungen.</w:t>
      </w:r>
    </w:p>
    <w:p w:rsidR="002A21B9" w:rsidRDefault="002A21B9" w:rsidP="002A21B9">
      <w:pPr>
        <w:pStyle w:val="StandardWeb"/>
      </w:pPr>
      <w:r>
        <w:t>Sind alle entscheidenden Voraussetzungen identisch, sind die beiden Herleitungen nicht vollständig unabhängig.</w:t>
      </w:r>
    </w:p>
    <w:p w:rsidR="002A21B9" w:rsidRDefault="00E50336" w:rsidP="002A21B9">
      <w:r>
        <w:pict>
          <v:rect id="_x0000_i1876" style="width:0;height:1.5pt" o:hralign="center" o:hrstd="t" o:hr="t" fillcolor="#a0a0a0" stroked="f"/>
        </w:pict>
      </w:r>
    </w:p>
    <w:p w:rsidR="002A21B9" w:rsidRDefault="002A21B9" w:rsidP="002A21B9">
      <w:pPr>
        <w:pStyle w:val="berschrift1"/>
      </w:pPr>
      <w:r>
        <w:t>3.3.42.141 Unabhängigkeitsgrad von Beweispfaden</w:t>
      </w:r>
    </w:p>
    <w:p w:rsidR="002A21B9" w:rsidRDefault="002A21B9" w:rsidP="002A21B9">
      <w:pPr>
        <w:pStyle w:val="StandardWeb"/>
      </w:pPr>
      <w:r>
        <w:t>Ich definiere abstrakt</w:t>
      </w:r>
    </w:p>
    <w:p w:rsidR="002A21B9" w:rsidRDefault="002A21B9" w:rsidP="002A21B9">
      <w:pPr>
        <w:pStyle w:val="berschrift1"/>
      </w:pPr>
      <w:r>
        <w:t>[</w:t>
      </w:r>
      <w:r>
        <w:br/>
        <w:t>I_P(P_1,P_2)</w:t>
      </w:r>
    </w:p>
    <w:p w:rsidR="002A21B9" w:rsidRDefault="002A21B9" w:rsidP="002A21B9">
      <w:pPr>
        <w:pStyle w:val="berschrift2"/>
      </w:pPr>
      <w:r>
        <w:t>1</w:t>
      </w:r>
    </w:p>
    <w:p w:rsidR="002A21B9" w:rsidRDefault="002A21B9" w:rsidP="002A21B9">
      <w:pPr>
        <w:pStyle w:val="StandardWeb"/>
      </w:pPr>
      <w:r>
        <w:t>\frac{</w:t>
      </w:r>
      <w:r>
        <w:br/>
        <w:t>|\operatorname{Anc}(P_1)\cap\operatorname{Anc}(P_2)|</w:t>
      </w:r>
      <w:r>
        <w:br/>
        <w:t>}{</w:t>
      </w:r>
      <w:r>
        <w:br/>
        <w:t>|\operatorname{Anc}(P_1)\cup\operatorname{Anc}(P_2)|</w:t>
      </w:r>
      <w:r>
        <w:br/>
        <w:t>}.</w:t>
      </w:r>
      <w:r>
        <w:br/>
        <w:t>\tag{3.7927}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I_P(P_1,P_2)=1-\frac{|\operatorname{Anc}(P_1)\cap\operatorname{Anc}(P_2)|}{|\operatorname{Anc}(P_1)\cup\operatorname{Anc}(P_2)|}\qquad\text{(3.7927)}</w:t>
      </w:r>
    </w:p>
    <w:p w:rsidR="002A21B9" w:rsidRDefault="002A21B9" w:rsidP="002A21B9">
      <w:pPr>
        <w:pStyle w:val="StandardWeb"/>
      </w:pPr>
      <w:r>
        <w:t>Für</w:t>
      </w:r>
    </w:p>
    <w:p w:rsidR="002A21B9" w:rsidRDefault="002A21B9" w:rsidP="002A21B9">
      <w:pPr>
        <w:pStyle w:val="StandardWeb"/>
      </w:pPr>
      <w:r>
        <w:t>[</w:t>
      </w:r>
      <w:r>
        <w:br/>
        <w:t>I_P=1</w:t>
      </w:r>
      <w:r>
        <w:br/>
        <w:t>\tag{3.7928}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I_P=1\qquad\text{(3.7928)}</w:t>
      </w:r>
    </w:p>
    <w:p w:rsidR="002A21B9" w:rsidRDefault="002A21B9" w:rsidP="002A21B9">
      <w:pPr>
        <w:pStyle w:val="StandardWeb"/>
      </w:pPr>
      <w:r>
        <w:t>existieren keine gemeinsamen erfassten Voraussetzungen.</w:t>
      </w:r>
    </w:p>
    <w:p w:rsidR="002A21B9" w:rsidRDefault="002A21B9" w:rsidP="002A21B9">
      <w:pPr>
        <w:pStyle w:val="StandardWeb"/>
      </w:pPr>
      <w:r>
        <w:t>Für</w:t>
      </w:r>
    </w:p>
    <w:p w:rsidR="002A21B9" w:rsidRDefault="002A21B9" w:rsidP="002A21B9">
      <w:pPr>
        <w:pStyle w:val="StandardWeb"/>
      </w:pPr>
      <w:r>
        <w:t>[</w:t>
      </w:r>
      <w:r>
        <w:br/>
        <w:t>I_P=0</w:t>
      </w:r>
      <w:r>
        <w:br/>
        <w:t>\tag{3.7929}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I_P=0\qquad\text{(3.7929)}</w:t>
      </w:r>
    </w:p>
    <w:p w:rsidR="002A21B9" w:rsidRDefault="002A21B9" w:rsidP="002A21B9">
      <w:pPr>
        <w:pStyle w:val="StandardWeb"/>
      </w:pPr>
      <w:r>
        <w:t>sind die erfassten Voraussetzungen identisch.</w:t>
      </w:r>
    </w:p>
    <w:p w:rsidR="002A21B9" w:rsidRDefault="00E50336" w:rsidP="002A21B9">
      <w:r>
        <w:pict>
          <v:rect id="_x0000_i1877" style="width:0;height:1.5pt" o:hralign="center" o:hrstd="t" o:hr="t" fillcolor="#a0a0a0" stroked="f"/>
        </w:pict>
      </w:r>
    </w:p>
    <w:p w:rsidR="002A21B9" w:rsidRDefault="002A21B9" w:rsidP="002A21B9">
      <w:pPr>
        <w:pStyle w:val="berschrift1"/>
      </w:pPr>
      <w:r>
        <w:t>3.3.42.142 Konsistenz von Daten und Theorie</w:t>
      </w:r>
    </w:p>
    <w:p w:rsidR="002A21B9" w:rsidRDefault="002A21B9" w:rsidP="002A21B9">
      <w:pPr>
        <w:pStyle w:val="StandardWeb"/>
      </w:pPr>
      <w:r>
        <w:t>Die Konsistenzprüfung darf nicht nur theorieintern bleiben.</w:t>
      </w:r>
    </w:p>
    <w:p w:rsidR="002A21B9" w:rsidRDefault="002A21B9" w:rsidP="002A21B9">
      <w:pPr>
        <w:pStyle w:val="StandardWeb"/>
      </w:pPr>
      <w:r>
        <w:t>Sei</w:t>
      </w:r>
    </w:p>
    <w:p w:rsidR="002A21B9" w:rsidRDefault="002A21B9" w:rsidP="002A21B9">
      <w:pPr>
        <w:pStyle w:val="StandardWeb"/>
      </w:pPr>
      <w:r>
        <w:t>[</w:t>
      </w:r>
      <w:r>
        <w:br/>
        <w:t>A_{\mathrm{emp}}</w:t>
      </w:r>
      <w:r>
        <w:br/>
        <w:t>\tag{3.7930}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A_{\mathrm{emp}}\qquad\text{(3.7930)}</w:t>
      </w:r>
    </w:p>
    <w:p w:rsidR="002A21B9" w:rsidRDefault="002A21B9" w:rsidP="002A21B9">
      <w:pPr>
        <w:pStyle w:val="StandardWeb"/>
      </w:pPr>
      <w:r>
        <w:t>eine empirische Aussage und</w:t>
      </w:r>
    </w:p>
    <w:p w:rsidR="002A21B9" w:rsidRDefault="002A21B9" w:rsidP="002A21B9">
      <w:pPr>
        <w:pStyle w:val="StandardWeb"/>
      </w:pPr>
      <w:r>
        <w:t>[</w:t>
      </w:r>
      <w:r>
        <w:br/>
        <w:t>A_{\mathrm{theo}}</w:t>
      </w:r>
      <w:r>
        <w:br/>
        <w:t>\tag{3.7931}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A_{\mathrm{theo}}\qquad\text{(3.7931)}</w:t>
      </w:r>
    </w:p>
    <w:p w:rsidR="002A21B9" w:rsidRDefault="002A21B9" w:rsidP="002A21B9">
      <w:pPr>
        <w:pStyle w:val="StandardWeb"/>
      </w:pPr>
      <w:r>
        <w:t>eine theoretische Aussage.</w:t>
      </w:r>
    </w:p>
    <w:p w:rsidR="002A21B9" w:rsidRDefault="002A21B9" w:rsidP="002A21B9">
      <w:pPr>
        <w:pStyle w:val="StandardWeb"/>
      </w:pPr>
      <w:r>
        <w:t>Ich definiere</w:t>
      </w:r>
    </w:p>
    <w:p w:rsidR="002A21B9" w:rsidRDefault="002A21B9" w:rsidP="002A21B9">
      <w:pPr>
        <w:pStyle w:val="berschrift1"/>
      </w:pPr>
      <w:r>
        <w:lastRenderedPageBreak/>
        <w:t>[</w:t>
      </w:r>
      <w:r>
        <w:br/>
        <w:t>K_{\mathrm{ET}}</w:t>
      </w:r>
    </w:p>
    <w:p w:rsidR="002A21B9" w:rsidRDefault="002A21B9" w:rsidP="002A21B9">
      <w:pPr>
        <w:pStyle w:val="StandardWeb"/>
      </w:pPr>
      <w:r>
        <w:t>K_F</w:t>
      </w:r>
      <w:r>
        <w:br/>
        <w:t>\left(</w:t>
      </w:r>
      <w:r>
        <w:br/>
        <w:t>A_{\mathrm{emp}},</w:t>
      </w:r>
      <w:r>
        <w:br/>
        <w:t>A_{\mathrm{theo}}</w:t>
      </w:r>
      <w:r>
        <w:br/>
        <w:t>\right).</w:t>
      </w:r>
      <w:r>
        <w:br/>
        <w:t>\tag{3.7932}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K_{\mathrm{ET}}=K_F\left(A_{\mathrm{emp}},A_{\mathrm{theo}}\right)\qquad\text{(3.7932)}</w:t>
      </w:r>
    </w:p>
    <w:p w:rsidR="002A21B9" w:rsidRDefault="00E50336" w:rsidP="002A21B9">
      <w:r>
        <w:pict>
          <v:rect id="_x0000_i1878" style="width:0;height:1.5pt" o:hralign="center" o:hrstd="t" o:hr="t" fillcolor="#a0a0a0" stroked="f"/>
        </w:pict>
      </w:r>
    </w:p>
    <w:p w:rsidR="002A21B9" w:rsidRDefault="002A21B9" w:rsidP="002A21B9">
      <w:pPr>
        <w:pStyle w:val="berschrift1"/>
      </w:pPr>
      <w:r>
        <w:t>3.3.42.143 Empirischer Konflikt</w:t>
      </w:r>
    </w:p>
    <w:p w:rsidR="002A21B9" w:rsidRDefault="002A21B9" w:rsidP="002A21B9">
      <w:pPr>
        <w:pStyle w:val="StandardWeb"/>
      </w:pPr>
      <w:r>
        <w:t>Für</w:t>
      </w:r>
    </w:p>
    <w:p w:rsidR="002A21B9" w:rsidRDefault="002A21B9" w:rsidP="002A21B9">
      <w:pPr>
        <w:pStyle w:val="StandardWeb"/>
      </w:pPr>
      <w:r>
        <w:t>[</w:t>
      </w:r>
      <w:r>
        <w:br/>
        <w:t>K_{\mathrm{ET}}=0</w:t>
      </w:r>
      <w:r>
        <w:br/>
        <w:t>\tag{3.7933}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K_{\mathrm{ET}}=0\qquad\text{(3.7933)}</w:t>
      </w:r>
    </w:p>
    <w:p w:rsidR="002A21B9" w:rsidRDefault="002A21B9" w:rsidP="002A21B9">
      <w:pPr>
        <w:pStyle w:val="StandardWeb"/>
      </w:pPr>
      <w:r>
        <w:t>liegt ein Konflikt zwischen Theorie und empirischem Befund vor.</w:t>
      </w:r>
    </w:p>
    <w:p w:rsidR="002A21B9" w:rsidRDefault="002A21B9" w:rsidP="002A21B9">
      <w:pPr>
        <w:pStyle w:val="StandardWeb"/>
      </w:pPr>
      <w:r>
        <w:t>Dieser Konflikt kann auf</w:t>
      </w:r>
    </w:p>
    <w:p w:rsidR="002A21B9" w:rsidRDefault="002A21B9" w:rsidP="008C5E65">
      <w:pPr>
        <w:pStyle w:val="StandardWeb"/>
        <w:numPr>
          <w:ilvl w:val="0"/>
          <w:numId w:val="398"/>
        </w:numPr>
      </w:pPr>
      <w:r>
        <w:t>Datenfehler,</w:t>
      </w:r>
    </w:p>
    <w:p w:rsidR="002A21B9" w:rsidRDefault="002A21B9" w:rsidP="008C5E65">
      <w:pPr>
        <w:pStyle w:val="StandardWeb"/>
        <w:numPr>
          <w:ilvl w:val="0"/>
          <w:numId w:val="398"/>
        </w:numPr>
      </w:pPr>
      <w:r>
        <w:t>Messfehler,</w:t>
      </w:r>
    </w:p>
    <w:p w:rsidR="002A21B9" w:rsidRDefault="002A21B9" w:rsidP="008C5E65">
      <w:pPr>
        <w:pStyle w:val="StandardWeb"/>
        <w:numPr>
          <w:ilvl w:val="0"/>
          <w:numId w:val="398"/>
        </w:numPr>
      </w:pPr>
      <w:r>
        <w:t>Operationalisierungsprobleme,</w:t>
      </w:r>
    </w:p>
    <w:p w:rsidR="002A21B9" w:rsidRDefault="002A21B9" w:rsidP="008C5E65">
      <w:pPr>
        <w:pStyle w:val="StandardWeb"/>
        <w:numPr>
          <w:ilvl w:val="0"/>
          <w:numId w:val="398"/>
        </w:numPr>
      </w:pPr>
      <w:r>
        <w:t>falsche Randbedingungen,</w:t>
      </w:r>
    </w:p>
    <w:p w:rsidR="002A21B9" w:rsidRDefault="002A21B9" w:rsidP="008C5E65">
      <w:pPr>
        <w:pStyle w:val="StandardWeb"/>
        <w:numPr>
          <w:ilvl w:val="0"/>
          <w:numId w:val="398"/>
        </w:numPr>
      </w:pPr>
      <w:r>
        <w:t>Parameterfehler,</w:t>
      </w:r>
    </w:p>
    <w:p w:rsidR="002A21B9" w:rsidRDefault="002A21B9" w:rsidP="008C5E65">
      <w:pPr>
        <w:pStyle w:val="StandardWeb"/>
        <w:numPr>
          <w:ilvl w:val="0"/>
          <w:numId w:val="398"/>
        </w:numPr>
      </w:pPr>
      <w:r>
        <w:t>Modellfehler</w:t>
      </w:r>
    </w:p>
    <w:p w:rsidR="002A21B9" w:rsidRDefault="002A21B9" w:rsidP="008C5E65">
      <w:pPr>
        <w:pStyle w:val="StandardWeb"/>
        <w:numPr>
          <w:ilvl w:val="0"/>
          <w:numId w:val="398"/>
        </w:numPr>
      </w:pPr>
      <w:r>
        <w:t>oder eine tatsächlich unzutreffende theoretische Aussage</w:t>
      </w:r>
    </w:p>
    <w:p w:rsidR="002A21B9" w:rsidRDefault="002A21B9" w:rsidP="002A21B9">
      <w:pPr>
        <w:pStyle w:val="StandardWeb"/>
      </w:pPr>
      <w:r>
        <w:t>zurückgehen.</w:t>
      </w:r>
    </w:p>
    <w:p w:rsidR="002A21B9" w:rsidRDefault="002A21B9" w:rsidP="002A21B9">
      <w:pPr>
        <w:pStyle w:val="StandardWeb"/>
      </w:pPr>
      <w:r>
        <w:t>Damit erzeugt ein empirischer Konflikt zunächst eine Diagnoseaufgabe, nicht automatisch eine eindeutige Ursache.</w:t>
      </w:r>
    </w:p>
    <w:p w:rsidR="002A21B9" w:rsidRDefault="00E50336" w:rsidP="002A21B9">
      <w:r>
        <w:pict>
          <v:rect id="_x0000_i1879" style="width:0;height:1.5pt" o:hralign="center" o:hrstd="t" o:hr="t" fillcolor="#a0a0a0" stroked="f"/>
        </w:pict>
      </w:r>
    </w:p>
    <w:p w:rsidR="002A21B9" w:rsidRDefault="002A21B9" w:rsidP="002A21B9">
      <w:pPr>
        <w:pStyle w:val="berschrift1"/>
      </w:pPr>
      <w:r>
        <w:lastRenderedPageBreak/>
        <w:t>3.3.42.144 Konfliktursachenraum</w:t>
      </w:r>
    </w:p>
    <w:p w:rsidR="002A21B9" w:rsidRDefault="002A21B9" w:rsidP="002A21B9">
      <w:pPr>
        <w:pStyle w:val="StandardWeb"/>
      </w:pPr>
      <w:r>
        <w:t>Ich definiere</w:t>
      </w:r>
    </w:p>
    <w:p w:rsidR="002A21B9" w:rsidRDefault="002A21B9" w:rsidP="002A21B9">
      <w:pPr>
        <w:pStyle w:val="berschrift1"/>
      </w:pPr>
      <w:r>
        <w:t>[</w:t>
      </w:r>
      <w:r>
        <w:br/>
        <w:t>\mathcal U_W</w:t>
      </w:r>
    </w:p>
    <w:p w:rsidR="002A21B9" w:rsidRDefault="002A21B9" w:rsidP="002A21B9">
      <w:pPr>
        <w:pStyle w:val="StandardWeb"/>
      </w:pPr>
      <w:r>
        <w:t>\left{</w:t>
      </w:r>
      <w:r>
        <w:br/>
        <w:t>D,</w:t>
      </w:r>
      <w:r>
        <w:br/>
        <w:t>M,</w:t>
      </w:r>
      <w:r>
        <w:br/>
        <w:t>O,</w:t>
      </w:r>
      <w:r>
        <w:br/>
        <w:t>P,</w:t>
      </w:r>
      <w:r>
        <w:br/>
        <w:t>C,</w:t>
      </w:r>
      <w:r>
        <w:br/>
        <w:t>N,</w:t>
      </w:r>
      <w:r>
        <w:br/>
        <w:t>T,</w:t>
      </w:r>
      <w:r>
        <w:br/>
        <w:t>A</w:t>
      </w:r>
      <w:r>
        <w:br/>
        <w:t>\right}.</w:t>
      </w:r>
      <w:r>
        <w:br/>
        <w:t>\tag{3.7934}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U_W=\left\{D,M,O,P,C,N,T,A\right\}\qquad\text{(3.7934)}</w:t>
      </w:r>
    </w:p>
    <w:p w:rsidR="002A21B9" w:rsidRDefault="002A21B9" w:rsidP="002A21B9">
      <w:pPr>
        <w:pStyle w:val="StandardWeb"/>
      </w:pPr>
      <w:r>
        <w:t>Dabei stehen die Symbole hier für Daten-, Mess-/Modell-, Operationalisierungs-, Parameter-, Kontext-, numerische, zeitliche und Aussageursachen.</w:t>
      </w:r>
    </w:p>
    <w:p w:rsidR="002A21B9" w:rsidRDefault="00E50336" w:rsidP="002A21B9">
      <w:r>
        <w:pict>
          <v:rect id="_x0000_i1880" style="width:0;height:1.5pt" o:hralign="center" o:hrstd="t" o:hr="t" fillcolor="#a0a0a0" stroked="f"/>
        </w:pict>
      </w:r>
    </w:p>
    <w:p w:rsidR="002A21B9" w:rsidRDefault="002A21B9" w:rsidP="002A21B9">
      <w:pPr>
        <w:pStyle w:val="berschrift1"/>
      </w:pPr>
      <w:r>
        <w:t>3.3.42.145 Konfliktursachenwahrscheinlichkeit</w:t>
      </w:r>
    </w:p>
    <w:p w:rsidR="002A21B9" w:rsidRDefault="002A21B9" w:rsidP="002A21B9">
      <w:pPr>
        <w:pStyle w:val="StandardWeb"/>
      </w:pPr>
      <w:r>
        <w:t>Falls eine probabilistische Diagnose möglich ist, kann formal geschrieben werden</w:t>
      </w:r>
    </w:p>
    <w:p w:rsidR="002A21B9" w:rsidRDefault="002A21B9" w:rsidP="002A21B9">
      <w:pPr>
        <w:pStyle w:val="StandardWeb"/>
      </w:pPr>
      <w:r>
        <w:t>[</w:t>
      </w:r>
      <w:r>
        <w:br/>
        <w:t>p</w:t>
      </w:r>
      <w:r>
        <w:br/>
        <w:t>\left(</w:t>
      </w:r>
      <w:r>
        <w:br/>
        <w:t>u_k</w:t>
      </w:r>
      <w:r>
        <w:br/>
        <w:t>\mid</w:t>
      </w:r>
      <w:r>
        <w:br/>
        <w:t>W</w:t>
      </w:r>
      <w:r>
        <w:br/>
        <w:t>\right),</w:t>
      </w:r>
      <w:r>
        <w:br/>
        <w:t>\tag{3.7935}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p\left(u_k\mid W\right)\qquad\text{(3.7935)}</w:t>
      </w:r>
    </w:p>
    <w:p w:rsidR="002A21B9" w:rsidRDefault="002A21B9" w:rsidP="002A21B9">
      <w:pPr>
        <w:pStyle w:val="StandardWeb"/>
      </w:pPr>
      <w:r>
        <w:t>wobei (u_k\in\mathcal U_W) eine mögliche Konfliktursache bezeichnet.</w:t>
      </w:r>
    </w:p>
    <w:p w:rsidR="002A21B9" w:rsidRDefault="002A21B9" w:rsidP="002A21B9">
      <w:pPr>
        <w:pStyle w:val="StandardWeb"/>
      </w:pPr>
      <w:r>
        <w:lastRenderedPageBreak/>
        <w:t>Diese Wahrscheinlichkeitsstruktur ist optional und nur zulässig, wenn eine begründete probabilistische Basis existiert.</w:t>
      </w:r>
    </w:p>
    <w:p w:rsidR="002A21B9" w:rsidRDefault="00E50336" w:rsidP="002A21B9">
      <w:r>
        <w:pict>
          <v:rect id="_x0000_i1881" style="width:0;height:1.5pt" o:hralign="center" o:hrstd="t" o:hr="t" fillcolor="#a0a0a0" stroked="f"/>
        </w:pict>
      </w:r>
    </w:p>
    <w:p w:rsidR="002A21B9" w:rsidRDefault="002A21B9" w:rsidP="002A21B9">
      <w:pPr>
        <w:pStyle w:val="berschrift1"/>
      </w:pPr>
      <w:r>
        <w:t>3.3.42.146 Konsistenz ohne Konfliktursachenwissen</w:t>
      </w:r>
    </w:p>
    <w:p w:rsidR="002A21B9" w:rsidRDefault="002A21B9" w:rsidP="002A21B9">
      <w:pPr>
        <w:pStyle w:val="StandardWeb"/>
      </w:pPr>
      <w:r>
        <w:t>Auch ohne bekannte Ursache kann gelten</w:t>
      </w:r>
    </w:p>
    <w:p w:rsidR="002A21B9" w:rsidRDefault="002A21B9" w:rsidP="002A21B9">
      <w:pPr>
        <w:pStyle w:val="StandardWeb"/>
      </w:pPr>
      <w:r>
        <w:t>[</w:t>
      </w:r>
      <w:r>
        <w:br/>
        <w:t>W=1.</w:t>
      </w:r>
      <w:r>
        <w:br/>
        <w:t>\tag{3.7936}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W=1\qquad\text{(3.7936)}</w:t>
      </w:r>
    </w:p>
    <w:p w:rsidR="002A21B9" w:rsidRDefault="002A21B9" w:rsidP="002A21B9">
      <w:pPr>
        <w:pStyle w:val="StandardWeb"/>
      </w:pPr>
      <w:r>
        <w:t>Das bedeutet:</w:t>
      </w:r>
    </w:p>
    <w:p w:rsidR="002A21B9" w:rsidRDefault="002A21B9" w:rsidP="002A21B9">
      <w:pPr>
        <w:pStyle w:val="StandardWeb"/>
      </w:pPr>
      <w:r>
        <w:t>Ein Widerspruch kann erkannt werden, obwohl seine Ursache noch unbekannt ist.</w:t>
      </w:r>
    </w:p>
    <w:p w:rsidR="002A21B9" w:rsidRDefault="002A21B9" w:rsidP="002A21B9">
      <w:pPr>
        <w:pStyle w:val="StandardWeb"/>
      </w:pPr>
      <w:r>
        <w:t>Daraus folgt erneut</w:t>
      </w:r>
    </w:p>
    <w:p w:rsidR="002A21B9" w:rsidRDefault="002A21B9" w:rsidP="002A21B9">
      <w:pPr>
        <w:pStyle w:val="StandardWeb"/>
      </w:pPr>
      <w:r>
        <w:t>[</w:t>
      </w:r>
      <w:r>
        <w:br/>
        <w:t>\text{Konflikterkennung}</w:t>
      </w:r>
      <w:r>
        <w:br/>
        <w:t>\neq</w:t>
      </w:r>
      <w:r>
        <w:br/>
        <w:t>\text{Konflikterklärung}.</w:t>
      </w:r>
      <w:r>
        <w:br/>
        <w:t>\tag{3.7937}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\text{Konflikterkennung}\neq\text{Konflikterklärung}\qquad\text{(3.7937)}</w:t>
      </w:r>
    </w:p>
    <w:p w:rsidR="002A21B9" w:rsidRDefault="00E50336" w:rsidP="002A21B9">
      <w:r>
        <w:pict>
          <v:rect id="_x0000_i1882" style="width:0;height:1.5pt" o:hralign="center" o:hrstd="t" o:hr="t" fillcolor="#a0a0a0" stroked="f"/>
        </w:pict>
      </w:r>
    </w:p>
    <w:p w:rsidR="002A21B9" w:rsidRDefault="002A21B9" w:rsidP="002A21B9">
      <w:pPr>
        <w:pStyle w:val="berschrift1"/>
      </w:pPr>
      <w:r>
        <w:t>3.3.42.147 Konsistenz von Erklärungen</w:t>
      </w:r>
    </w:p>
    <w:p w:rsidR="002A21B9" w:rsidRDefault="002A21B9" w:rsidP="002A21B9">
      <w:pPr>
        <w:pStyle w:val="StandardWeb"/>
      </w:pPr>
      <w:r>
        <w:t>Mehrere Erklärungen können dieselbe Beobachtung erklären.</w:t>
      </w:r>
    </w:p>
    <w:p w:rsidR="002A21B9" w:rsidRDefault="002A21B9" w:rsidP="002A21B9">
      <w:pPr>
        <w:pStyle w:val="StandardWeb"/>
      </w:pPr>
      <w:r>
        <w:t>Seien</w:t>
      </w:r>
    </w:p>
    <w:p w:rsidR="002A21B9" w:rsidRDefault="002A21B9" w:rsidP="002A21B9">
      <w:pPr>
        <w:pStyle w:val="StandardWeb"/>
      </w:pPr>
      <w:r>
        <w:t>[</w:t>
      </w:r>
      <w:r>
        <w:br/>
        <w:t>\mathcal X_1</w:t>
      </w:r>
      <w:r>
        <w:br/>
        <w:t>\tag{3.7938}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X_1\qquad\text{(3.7938)}</w:t>
      </w:r>
    </w:p>
    <w:p w:rsidR="002A21B9" w:rsidRDefault="002A21B9" w:rsidP="002A21B9">
      <w:pPr>
        <w:pStyle w:val="StandardWeb"/>
      </w:pPr>
      <w:r>
        <w:lastRenderedPageBreak/>
        <w:t>und</w:t>
      </w:r>
    </w:p>
    <w:p w:rsidR="002A21B9" w:rsidRDefault="002A21B9" w:rsidP="002A21B9">
      <w:pPr>
        <w:pStyle w:val="StandardWeb"/>
      </w:pPr>
      <w:r>
        <w:t>[</w:t>
      </w:r>
      <w:r>
        <w:br/>
        <w:t>\mathcal X_2.</w:t>
      </w:r>
      <w:r>
        <w:br/>
        <w:t>\tag{3.7939}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X_2\qquad\text{(3.7939)}</w:t>
      </w:r>
    </w:p>
    <w:p w:rsidR="002A21B9" w:rsidRDefault="002A21B9" w:rsidP="002A21B9">
      <w:pPr>
        <w:pStyle w:val="StandardWeb"/>
      </w:pPr>
      <w:r>
        <w:t>Es kann gelten</w:t>
      </w:r>
    </w:p>
    <w:p w:rsidR="002A21B9" w:rsidRDefault="002A21B9" w:rsidP="002A21B9">
      <w:pPr>
        <w:pStyle w:val="StandardWeb"/>
      </w:pPr>
      <w:r>
        <w:t>[</w:t>
      </w:r>
      <w:r>
        <w:br/>
        <w:t>K_F(\mathcal X_1,\mathcal X_2)=1</w:t>
      </w:r>
      <w:r>
        <w:br/>
        <w:t>\tag{3.7940}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K_F(\mathcal X_1,\mathcal X_2)=1\qquad\text{(3.7940)}</w:t>
      </w:r>
    </w:p>
    <w:p w:rsidR="002A21B9" w:rsidRDefault="002A21B9" w:rsidP="002A21B9">
      <w:pPr>
        <w:pStyle w:val="StandardWeb"/>
      </w:pPr>
      <w:r>
        <w:t>obwohl beide Erklärungen unterschiedlich sind.</w:t>
      </w:r>
    </w:p>
    <w:p w:rsidR="002A21B9" w:rsidRDefault="002A21B9" w:rsidP="002A21B9">
      <w:pPr>
        <w:pStyle w:val="StandardWeb"/>
      </w:pPr>
      <w:r>
        <w:t>Konsistenz bedeutet also nicht Identität.</w:t>
      </w:r>
    </w:p>
    <w:p w:rsidR="002A21B9" w:rsidRDefault="00E50336" w:rsidP="002A21B9">
      <w:r>
        <w:pict>
          <v:rect id="_x0000_i1883" style="width:0;height:1.5pt" o:hralign="center" o:hrstd="t" o:hr="t" fillcolor="#a0a0a0" stroked="f"/>
        </w:pict>
      </w:r>
    </w:p>
    <w:p w:rsidR="002A21B9" w:rsidRDefault="002A21B9" w:rsidP="002A21B9">
      <w:pPr>
        <w:pStyle w:val="berschrift1"/>
      </w:pPr>
      <w:r>
        <w:t>3.3.42.148 Konkurrenz ohne Widerspruch</w:t>
      </w:r>
    </w:p>
    <w:p w:rsidR="002A21B9" w:rsidRDefault="002A21B9" w:rsidP="002A21B9">
      <w:pPr>
        <w:pStyle w:val="StandardWeb"/>
      </w:pPr>
      <w:r>
        <w:t>Zwei Modelle können konkurrieren, ohne logisch oder funktional widersprüchlich zu sein.</w:t>
      </w:r>
    </w:p>
    <w:p w:rsidR="002A21B9" w:rsidRDefault="002A21B9" w:rsidP="002A21B9">
      <w:pPr>
        <w:pStyle w:val="StandardWeb"/>
      </w:pPr>
      <w:r>
        <w:t>Ich schreibe</w:t>
      </w:r>
    </w:p>
    <w:p w:rsidR="002A21B9" w:rsidRDefault="002A21B9" w:rsidP="002A21B9">
      <w:pPr>
        <w:pStyle w:val="StandardWeb"/>
      </w:pPr>
      <w:r>
        <w:t>[</w:t>
      </w:r>
      <w:r>
        <w:br/>
        <w:t>\mathcal M_1</w:t>
      </w:r>
      <w:r>
        <w:br/>
        <w:t>\neq</w:t>
      </w:r>
      <w:r>
        <w:br/>
        <w:t>\mathcal M_2</w:t>
      </w:r>
      <w:r>
        <w:br/>
        <w:t>\tag{3.7941}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M_1\neq\mathcal M_2\qquad\text{(3.7941)}</w:t>
      </w:r>
    </w:p>
    <w:p w:rsidR="002A21B9" w:rsidRDefault="002A21B9" w:rsidP="002A21B9">
      <w:pPr>
        <w:pStyle w:val="StandardWeb"/>
      </w:pPr>
      <w:r>
        <w:t>bei</w:t>
      </w:r>
    </w:p>
    <w:p w:rsidR="002A21B9" w:rsidRDefault="002A21B9" w:rsidP="002A21B9">
      <w:pPr>
        <w:pStyle w:val="StandardWeb"/>
      </w:pPr>
      <w:r>
        <w:t>[</w:t>
      </w:r>
      <w:r>
        <w:br/>
        <w:t>K_F(\mathcal M_1,\mathcal M_2)=1.</w:t>
      </w:r>
      <w:r>
        <w:br/>
        <w:t>\tag{3.7942}</w:t>
      </w:r>
      <w:r>
        <w:br/>
        <w:t>]</w:t>
      </w:r>
    </w:p>
    <w:p w:rsidR="002A21B9" w:rsidRDefault="002A21B9" w:rsidP="002A21B9">
      <w:pPr>
        <w:pStyle w:val="StandardWeb"/>
      </w:pPr>
      <w:r>
        <w:rPr>
          <w:rStyle w:val="Fett"/>
        </w:rPr>
        <w:lastRenderedPageBreak/>
        <w:t>Word-LaTeX</w:t>
      </w:r>
    </w:p>
    <w:p w:rsidR="002A21B9" w:rsidRDefault="002A21B9" w:rsidP="002A21B9">
      <w:pPr>
        <w:pStyle w:val="HTMLVorformatiert"/>
        <w:rPr>
          <w:rStyle w:val="HTMLCode"/>
        </w:rPr>
      </w:pPr>
      <w:r>
        <w:rPr>
          <w:rStyle w:val="HTMLCode"/>
        </w:rPr>
        <w:t>K_F(\mathcal M_1,\mathcal M_2)=1\qquad\text{(3.7942)}</w:t>
      </w:r>
    </w:p>
    <w:p w:rsidR="002A21B9" w:rsidRDefault="002A21B9" w:rsidP="002A21B9">
      <w:pPr>
        <w:pStyle w:val="StandardWeb"/>
      </w:pPr>
      <w:r>
        <w:t xml:space="preserve">Damit unterscheide ich ausdrücklich zwischen </w:t>
      </w:r>
      <w:r>
        <w:rPr>
          <w:rStyle w:val="Fett"/>
        </w:rPr>
        <w:t>theoretischer Konkurrenz</w:t>
      </w:r>
      <w:r>
        <w:t xml:space="preserve"> und </w:t>
      </w:r>
      <w:r>
        <w:rPr>
          <w:rStyle w:val="Fett"/>
        </w:rPr>
        <w:t>theoretischem Widerspruch</w:t>
      </w:r>
      <w:r>
        <w:t>.</w:t>
      </w:r>
    </w:p>
    <w:p w:rsidR="002A21B9" w:rsidRDefault="00E50336" w:rsidP="002A21B9">
      <w:r>
        <w:pict>
          <v:rect id="_x0000_i1884" style="width:0;height:1.5pt" o:hralign="center" o:hrstd="t" o:hr="t" fillcolor="#a0a0a0" stroked="f"/>
        </w:pict>
      </w:r>
    </w:p>
    <w:p w:rsidR="002A21B9" w:rsidRDefault="002A21B9" w:rsidP="002A21B9">
      <w:pPr>
        <w:pStyle w:val="berschrift1"/>
      </w:pPr>
      <w:r>
        <w:t>3.3.42.149 Komplementäre Modelle</w:t>
      </w:r>
    </w:p>
    <w:p w:rsidR="002A21B9" w:rsidRDefault="002A21B9" w:rsidP="002A21B9">
      <w:pPr>
        <w:pStyle w:val="StandardWeb"/>
      </w:pPr>
      <w:r>
        <w:t>Eine stärkere Form liegt vor, wenn zwei Modelle unterschiedliche Teilaspekte desselben Systems beschreiben.</w:t>
      </w:r>
    </w:p>
    <w:p w:rsidR="002A21B9" w:rsidRDefault="002A21B9" w:rsidP="002A21B9">
      <w:pPr>
        <w:pStyle w:val="StandardWeb"/>
      </w:pPr>
      <w:r>
        <w:t>Ich definiere</w:t>
      </w:r>
    </w:p>
    <w:p w:rsidR="002A21B9" w:rsidRDefault="002A21B9" w:rsidP="002A21B9">
      <w:pPr>
        <w:pStyle w:val="berschrift1"/>
      </w:pPr>
      <w:r>
        <w:t>[</w:t>
      </w:r>
      <w:r>
        <w:br/>
        <w:t>\Omega_1</w:t>
      </w:r>
      <w:r>
        <w:br/>
        <w:t>\cup</w:t>
      </w:r>
      <w:r>
        <w:br/>
        <w:t>\Omega_2</w:t>
      </w:r>
    </w:p>
    <w:p w:rsidR="002A21B9" w:rsidRDefault="002A21B9" w:rsidP="002A21B9">
      <w:pPr>
        <w:pStyle w:val="StandardWeb"/>
      </w:pPr>
      <w:r>
        <w:t>\Omega_{\mathrm{ges}}</w:t>
      </w:r>
      <w:r>
        <w:br/>
        <w:t>\tag{3.7943}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\Omega_1\cup\Omega_2=\Omega_{\mathrm{ges}}\qquad\text{(3.7943)}</w:t>
      </w:r>
    </w:p>
    <w:p w:rsidR="002A21B9" w:rsidRDefault="002A21B9" w:rsidP="002A21B9">
      <w:pPr>
        <w:pStyle w:val="StandardWeb"/>
      </w:pPr>
      <w:r>
        <w:t>bei</w:t>
      </w:r>
    </w:p>
    <w:p w:rsidR="002A21B9" w:rsidRDefault="002A21B9" w:rsidP="002A21B9">
      <w:pPr>
        <w:pStyle w:val="StandardWeb"/>
      </w:pPr>
      <w:r>
        <w:t>[</w:t>
      </w:r>
      <w:r>
        <w:br/>
        <w:t>\Omega_1</w:t>
      </w:r>
      <w:r>
        <w:br/>
        <w:t>\cap</w:t>
      </w:r>
      <w:r>
        <w:br/>
        <w:t>\Omega_2</w:t>
      </w:r>
      <w:r>
        <w:br/>
        <w:t>\neq</w:t>
      </w:r>
      <w:r>
        <w:br/>
        <w:t>\varnothing</w:t>
      </w:r>
      <w:r>
        <w:br/>
        <w:t>\tag{3.7944}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\Omega_1\cap\Omega_2\neq\varnothing\qquad\text{(3.7944)}</w:t>
      </w:r>
    </w:p>
    <w:p w:rsidR="002A21B9" w:rsidRDefault="002A21B9" w:rsidP="002A21B9">
      <w:pPr>
        <w:pStyle w:val="StandardWeb"/>
      </w:pPr>
      <w:r>
        <w:t>und</w:t>
      </w:r>
    </w:p>
    <w:p w:rsidR="002A21B9" w:rsidRDefault="002A21B9" w:rsidP="002A21B9">
      <w:pPr>
        <w:pStyle w:val="berschrift1"/>
      </w:pPr>
      <w:r>
        <w:lastRenderedPageBreak/>
        <w:t>[</w:t>
      </w:r>
      <w:r>
        <w:br/>
        <w:t>K_F</w:t>
      </w:r>
      <w:r>
        <w:br/>
        <w:t>\left(</w:t>
      </w:r>
      <w:r>
        <w:br/>
        <w:t>\mathcal M_1,</w:t>
      </w:r>
      <w:r>
        <w:br/>
        <w:t>\mathcal M_2</w:t>
      </w:r>
      <w:r>
        <w:br/>
        <w:t>\right)</w:t>
      </w:r>
    </w:p>
    <w:p w:rsidR="002A21B9" w:rsidRDefault="002A21B9" w:rsidP="002A21B9">
      <w:pPr>
        <w:pStyle w:val="StandardWeb"/>
      </w:pPr>
      <w:r>
        <w:t>1</w:t>
      </w:r>
      <w:r>
        <w:br/>
        <w:t>\tag{3.7945}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K_F\left(\mathcal M_1,\mathcal M_2\right)=1\qquad\text{(3.7945)}</w:t>
      </w:r>
    </w:p>
    <w:p w:rsidR="002A21B9" w:rsidRDefault="002A21B9" w:rsidP="002A21B9">
      <w:pPr>
        <w:pStyle w:val="StandardWeb"/>
      </w:pPr>
      <w:r>
        <w:t>im Überlappungsbereich.</w:t>
      </w:r>
    </w:p>
    <w:p w:rsidR="002A21B9" w:rsidRDefault="002A21B9" w:rsidP="002A21B9">
      <w:pPr>
        <w:pStyle w:val="StandardWeb"/>
      </w:pPr>
      <w:r>
        <w:t>Dann können die Modelle funktional komplementär sein.</w:t>
      </w:r>
    </w:p>
    <w:p w:rsidR="002A21B9" w:rsidRDefault="00E50336" w:rsidP="002A21B9">
      <w:r>
        <w:pict>
          <v:rect id="_x0000_i1885" style="width:0;height:1.5pt" o:hralign="center" o:hrstd="t" o:hr="t" fillcolor="#a0a0a0" stroked="f"/>
        </w:pict>
      </w:r>
    </w:p>
    <w:p w:rsidR="002A21B9" w:rsidRDefault="002A21B9" w:rsidP="002A21B9">
      <w:pPr>
        <w:pStyle w:val="berschrift1"/>
      </w:pPr>
      <w:r>
        <w:t>3.3.42.150 Konsistenz an Übergangsgrenzen</w:t>
      </w:r>
    </w:p>
    <w:p w:rsidR="002A21B9" w:rsidRDefault="002A21B9" w:rsidP="002A21B9">
      <w:pPr>
        <w:pStyle w:val="StandardWeb"/>
      </w:pPr>
      <w:r>
        <w:t>Besonders kritisch sind Übergänge zwischen Modellregimen.</w:t>
      </w:r>
    </w:p>
    <w:p w:rsidR="002A21B9" w:rsidRDefault="002A21B9" w:rsidP="002A21B9">
      <w:pPr>
        <w:pStyle w:val="StandardWeb"/>
      </w:pPr>
      <w:r>
        <w:t>Sei</w:t>
      </w:r>
    </w:p>
    <w:p w:rsidR="002A21B9" w:rsidRDefault="002A21B9" w:rsidP="002A21B9">
      <w:pPr>
        <w:pStyle w:val="StandardWeb"/>
      </w:pPr>
      <w:r>
        <w:t>[</w:t>
      </w:r>
      <w:r>
        <w:br/>
        <w:t>\partial\Omega_{12}</w:t>
      </w:r>
      <w:r>
        <w:br/>
        <w:t>\tag{3.7946}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\partial\Omega_{12}\qquad\text{(3.7946)}</w:t>
      </w:r>
    </w:p>
    <w:p w:rsidR="002A21B9" w:rsidRDefault="002A21B9" w:rsidP="002A21B9">
      <w:pPr>
        <w:pStyle w:val="StandardWeb"/>
      </w:pPr>
      <w:r>
        <w:t>eine gemeinsame Übergangsgrenze.</w:t>
      </w:r>
    </w:p>
    <w:p w:rsidR="002A21B9" w:rsidRDefault="002A21B9" w:rsidP="002A21B9">
      <w:pPr>
        <w:pStyle w:val="StandardWeb"/>
      </w:pPr>
      <w:r>
        <w:t>Eine Übergangskonsistenz verlangt</w:t>
      </w:r>
    </w:p>
    <w:p w:rsidR="002A21B9" w:rsidRDefault="002A21B9" w:rsidP="002A21B9">
      <w:pPr>
        <w:pStyle w:val="StandardWeb"/>
      </w:pPr>
      <w:r>
        <w:t>[</w:t>
      </w:r>
      <w:r>
        <w:br/>
        <w:t>\lim_{z\rightarrow\partial\Omega_{12}}</w:t>
      </w:r>
      <w:r>
        <w:br/>
        <w:t>A_1(z)</w:t>
      </w:r>
      <w:r>
        <w:br/>
        <w:t>\sim_A</w:t>
      </w:r>
      <w:r>
        <w:br/>
        <w:t>\lim_{z\rightarrow\partial\Omega_{12}}</w:t>
      </w:r>
      <w:r>
        <w:br/>
        <w:t>A_2(z).</w:t>
      </w:r>
      <w:r>
        <w:br/>
      </w:r>
      <w:r>
        <w:lastRenderedPageBreak/>
        <w:t>\tag{3.7947}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\lim_{z\rightarrow\partial\Omega_{12}}A_1(z)\sim_A\lim_{z\rightarrow\partial\Omega_{12}}A_2(z)\qquad\text{(3.7947)}</w:t>
      </w:r>
    </w:p>
    <w:p w:rsidR="002A21B9" w:rsidRDefault="002A21B9" w:rsidP="002A21B9">
      <w:pPr>
        <w:pStyle w:val="StandardWeb"/>
      </w:pPr>
      <w:r>
        <w:t>Numerische Identität ist dafür nicht immer notwendig; entscheidend ist die wissenschaftlich relevante Aussageklasse.</w:t>
      </w:r>
    </w:p>
    <w:p w:rsidR="002A21B9" w:rsidRDefault="00E50336" w:rsidP="002A21B9">
      <w:r>
        <w:pict>
          <v:rect id="_x0000_i1886" style="width:0;height:1.5pt" o:hralign="center" o:hrstd="t" o:hr="t" fillcolor="#a0a0a0" stroked="f"/>
        </w:pict>
      </w:r>
    </w:p>
    <w:p w:rsidR="002A21B9" w:rsidRDefault="002A21B9" w:rsidP="002A21B9">
      <w:pPr>
        <w:pStyle w:val="berschrift1"/>
      </w:pPr>
      <w:r>
        <w:t>3.3.42.151 Grenzwertkonsistenz</w:t>
      </w:r>
    </w:p>
    <w:p w:rsidR="002A21B9" w:rsidRDefault="002A21B9" w:rsidP="002A21B9">
      <w:pPr>
        <w:pStyle w:val="StandardWeb"/>
      </w:pPr>
      <w:r>
        <w:t>Ich definiere</w:t>
      </w:r>
    </w:p>
    <w:p w:rsidR="002A21B9" w:rsidRDefault="002A21B9" w:rsidP="002A21B9">
      <w:pPr>
        <w:pStyle w:val="StandardWeb"/>
      </w:pPr>
      <w:r>
        <w:t>[</w:t>
      </w:r>
      <w:r>
        <w:br/>
        <w:t>K_{\mathrm{lim}}</w:t>
      </w:r>
      <w:r>
        <w:br/>
        <w:t>(A_1,A_2)=1</w:t>
      </w:r>
      <w:r>
        <w:br/>
        <w:t>\tag{3.7948}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K_{\mathrm{lim}}(A_1,A_2)=1\qquad\text{(3.7948)}</w:t>
      </w:r>
    </w:p>
    <w:p w:rsidR="002A21B9" w:rsidRDefault="002A21B9" w:rsidP="002A21B9">
      <w:pPr>
        <w:pStyle w:val="StandardWeb"/>
      </w:pPr>
      <w:r>
        <w:t>wenn die relevanten Grenzwerte kompatibel sind.</w:t>
      </w:r>
    </w:p>
    <w:p w:rsidR="002A21B9" w:rsidRDefault="002A21B9" w:rsidP="002A21B9">
      <w:pPr>
        <w:pStyle w:val="StandardWeb"/>
      </w:pPr>
      <w:r>
        <w:t>Diese Struktur ist besonders wichtig für Theorien, die in bestimmten Grenzfällen in ältere oder einfachere Modelle übergehen sollen.</w:t>
      </w:r>
    </w:p>
    <w:p w:rsidR="002A21B9" w:rsidRDefault="00E50336" w:rsidP="002A21B9">
      <w:r>
        <w:pict>
          <v:rect id="_x0000_i1887" style="width:0;height:1.5pt" o:hralign="center" o:hrstd="t" o:hr="t" fillcolor="#a0a0a0" stroked="f"/>
        </w:pict>
      </w:r>
    </w:p>
    <w:p w:rsidR="002A21B9" w:rsidRDefault="002A21B9" w:rsidP="002A21B9">
      <w:pPr>
        <w:pStyle w:val="berschrift1"/>
      </w:pPr>
      <w:r>
        <w:t>3.3.42.152 Reduktionskonsistenz</w:t>
      </w:r>
    </w:p>
    <w:p w:rsidR="002A21B9" w:rsidRDefault="002A21B9" w:rsidP="002A21B9">
      <w:pPr>
        <w:pStyle w:val="StandardWeb"/>
      </w:pPr>
      <w:r>
        <w:t>Sei eine komplexe Theorie (\mathcal T_H) und eine einfachere Theorie (\mathcal T_L).</w:t>
      </w:r>
    </w:p>
    <w:p w:rsidR="002A21B9" w:rsidRDefault="002A21B9" w:rsidP="002A21B9">
      <w:pPr>
        <w:pStyle w:val="StandardWeb"/>
      </w:pPr>
      <w:r>
        <w:t>Eine Reduktionsabbildung sei</w:t>
      </w:r>
    </w:p>
    <w:p w:rsidR="002A21B9" w:rsidRDefault="002A21B9" w:rsidP="002A21B9">
      <w:pPr>
        <w:pStyle w:val="StandardWeb"/>
      </w:pPr>
      <w:r>
        <w:t>[</w:t>
      </w:r>
      <w:r>
        <w:br/>
        <w:t>\mathcal R</w:t>
      </w:r>
      <w:r>
        <w:br/>
        <w:t>:</w:t>
      </w:r>
      <w:r>
        <w:br/>
        <w:t>\mathcal T_H</w:t>
      </w:r>
      <w:r>
        <w:br/>
        <w:t>\rightarrow</w:t>
      </w:r>
      <w:r>
        <w:br/>
        <w:t>\mathcal T_L.</w:t>
      </w:r>
      <w:r>
        <w:br/>
        <w:t>\tag{3.7949}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\mathcal R:\mathcal T_H\rightarrow\mathcal T_L\qquad\text{(3.7949)}</w:t>
      </w:r>
    </w:p>
    <w:p w:rsidR="002A21B9" w:rsidRDefault="002A21B9" w:rsidP="002A21B9">
      <w:pPr>
        <w:pStyle w:val="StandardWeb"/>
      </w:pPr>
      <w:r>
        <w:t>Reduktionskonsistenz liegt vor, wenn</w:t>
      </w:r>
    </w:p>
    <w:p w:rsidR="002A21B9" w:rsidRDefault="002A21B9" w:rsidP="002A21B9">
      <w:pPr>
        <w:pStyle w:val="StandardWeb"/>
      </w:pPr>
      <w:r>
        <w:t>[</w:t>
      </w:r>
      <w:r>
        <w:br/>
        <w:t>\mathcal R</w:t>
      </w:r>
      <w:r>
        <w:br/>
        <w:t>\left(</w:t>
      </w:r>
      <w:r>
        <w:br/>
        <w:t>A_H</w:t>
      </w:r>
      <w:r>
        <w:br/>
        <w:t>\right)</w:t>
      </w:r>
      <w:r>
        <w:br/>
        <w:t>\sim_A</w:t>
      </w:r>
      <w:r>
        <w:br/>
        <w:t>A_L</w:t>
      </w:r>
      <w:r>
        <w:br/>
        <w:t>\tag{3.7950}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R\left(A_H\right)\sim_A A_L\qquad\text{(3.7950)}</w:t>
      </w:r>
    </w:p>
    <w:p w:rsidR="002A21B9" w:rsidRDefault="002A21B9" w:rsidP="002A21B9">
      <w:pPr>
        <w:pStyle w:val="StandardWeb"/>
      </w:pPr>
      <w:r>
        <w:t>imjenigen Grenzbereich gilt, in dem die einfachere Theorie anwendbar sein soll.</w:t>
      </w:r>
    </w:p>
    <w:p w:rsidR="002A21B9" w:rsidRDefault="00E50336" w:rsidP="002A21B9">
      <w:r>
        <w:pict>
          <v:rect id="_x0000_i1888" style="width:0;height:1.5pt" o:hralign="center" o:hrstd="t" o:hr="t" fillcolor="#a0a0a0" stroked="f"/>
        </w:pict>
      </w:r>
    </w:p>
    <w:p w:rsidR="002A21B9" w:rsidRDefault="002A21B9" w:rsidP="002A21B9">
      <w:pPr>
        <w:pStyle w:val="berschrift1"/>
      </w:pPr>
      <w:r>
        <w:t>3.3.42.153 Hierarchische Theoriekonsistenz</w:t>
      </w:r>
    </w:p>
    <w:p w:rsidR="002A21B9" w:rsidRDefault="002A21B9" w:rsidP="002A21B9">
      <w:pPr>
        <w:pStyle w:val="StandardWeb"/>
      </w:pPr>
      <w:r>
        <w:t>Für mehrere Theorieebenen</w:t>
      </w:r>
    </w:p>
    <w:p w:rsidR="002A21B9" w:rsidRDefault="002A21B9" w:rsidP="002A21B9">
      <w:pPr>
        <w:pStyle w:val="StandardWeb"/>
      </w:pPr>
      <w:r>
        <w:t>[</w:t>
      </w:r>
      <w:r>
        <w:br/>
        <w:t>\mathcal T_1,</w:t>
      </w:r>
      <w:r>
        <w:br/>
        <w:t>\mathcal T_2,</w:t>
      </w:r>
      <w:r>
        <w:br/>
        <w:t>\ldots,</w:t>
      </w:r>
      <w:r>
        <w:br/>
        <w:t>\mathcal T_m</w:t>
      </w:r>
      <w:r>
        <w:br/>
        <w:t>\tag{3.7951}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T_1,\mathcal T_2,\ldots,\mathcal T_m\qquad\text{(3.7951)}</w:t>
      </w:r>
    </w:p>
    <w:p w:rsidR="002A21B9" w:rsidRDefault="002A21B9" w:rsidP="002A21B9">
      <w:pPr>
        <w:pStyle w:val="StandardWeb"/>
      </w:pPr>
      <w:r>
        <w:t>mit Reduktionsabbildungen</w:t>
      </w:r>
    </w:p>
    <w:p w:rsidR="002A21B9" w:rsidRDefault="002A21B9" w:rsidP="002A21B9">
      <w:pPr>
        <w:pStyle w:val="StandardWeb"/>
      </w:pPr>
      <w:r>
        <w:t>[</w:t>
      </w:r>
      <w:r>
        <w:br/>
        <w:t>\mathcal R_{i+1\rightarrow i}</w:t>
      </w:r>
      <w:r>
        <w:br/>
        <w:t>\tag{3.7952}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R_{i+1\rightarrow i}\qquad\text{(3.7952)}</w:t>
      </w:r>
    </w:p>
    <w:p w:rsidR="002A21B9" w:rsidRDefault="002A21B9" w:rsidP="002A21B9">
      <w:pPr>
        <w:pStyle w:val="StandardWeb"/>
      </w:pPr>
      <w:r>
        <w:t>kann eine hierarchische Konsistenz gefordert werden:</w:t>
      </w:r>
    </w:p>
    <w:p w:rsidR="002A21B9" w:rsidRDefault="002A21B9" w:rsidP="002A21B9">
      <w:pPr>
        <w:pStyle w:val="StandardWeb"/>
      </w:pPr>
      <w:r>
        <w:lastRenderedPageBreak/>
        <w:t>[</w:t>
      </w:r>
      <w:r>
        <w:br/>
        <w:t>\mathcal R_{i+1\rightarrow i}</w:t>
      </w:r>
      <w:r>
        <w:br/>
        <w:t>\left(</w:t>
      </w:r>
      <w:r>
        <w:br/>
        <w:t>A_{i+1}</w:t>
      </w:r>
      <w:r>
        <w:br/>
        <w:t>\right)</w:t>
      </w:r>
      <w:r>
        <w:br/>
        <w:t>\sim_A</w:t>
      </w:r>
      <w:r>
        <w:br/>
        <w:t>A_i.</w:t>
      </w:r>
      <w:r>
        <w:br/>
        <w:t>\tag{3.7953}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R_{i+1\rightarrow i}\left(A_{i+1}\right)\sim_A A_i\qquad\text{(3.7953)}</w:t>
      </w:r>
    </w:p>
    <w:p w:rsidR="002A21B9" w:rsidRDefault="00E50336" w:rsidP="002A21B9">
      <w:r>
        <w:pict>
          <v:rect id="_x0000_i1889" style="width:0;height:1.5pt" o:hralign="center" o:hrstd="t" o:hr="t" fillcolor="#a0a0a0" stroked="f"/>
        </w:pict>
      </w:r>
    </w:p>
    <w:p w:rsidR="002A21B9" w:rsidRDefault="002A21B9" w:rsidP="002A21B9">
      <w:pPr>
        <w:pStyle w:val="berschrift1"/>
      </w:pPr>
      <w:r>
        <w:t>3.3.42.154 Konsistenz über mehrere Reduktionsstufen</w:t>
      </w:r>
    </w:p>
    <w:p w:rsidR="002A21B9" w:rsidRDefault="002A21B9" w:rsidP="002A21B9">
      <w:pPr>
        <w:pStyle w:val="StandardWeb"/>
      </w:pPr>
      <w:r>
        <w:t>Eine starke Bedingung lautet</w:t>
      </w:r>
    </w:p>
    <w:p w:rsidR="002A21B9" w:rsidRDefault="002A21B9" w:rsidP="002A21B9">
      <w:pPr>
        <w:pStyle w:val="berschrift1"/>
      </w:pPr>
      <w:r>
        <w:t>[</w:t>
      </w:r>
      <w:r>
        <w:br/>
        <w:t>\mathcal R_{3\rightarrow1}</w:t>
      </w:r>
    </w:p>
    <w:p w:rsidR="002A21B9" w:rsidRDefault="002A21B9" w:rsidP="002A21B9">
      <w:pPr>
        <w:pStyle w:val="StandardWeb"/>
      </w:pPr>
      <w:r>
        <w:t>\mathcal R_{2\rightarrow1}</w:t>
      </w:r>
      <w:r>
        <w:br/>
        <w:t>\circ</w:t>
      </w:r>
      <w:r>
        <w:br/>
        <w:t>\mathcal R_{3\rightarrow2}.</w:t>
      </w:r>
      <w:r>
        <w:br/>
        <w:t>\tag{3.7954}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 R_{3\rightarrow1}=\mathcal R_{2\rightarrow1}\circ\mathcal R_{3\rightarrow2}\qquad\text{(3.7954)}</w:t>
      </w:r>
    </w:p>
    <w:p w:rsidR="002A21B9" w:rsidRDefault="002A21B9" w:rsidP="002A21B9">
      <w:pPr>
        <w:pStyle w:val="StandardWeb"/>
      </w:pPr>
      <w:r>
        <w:t>Damit liefert die direkte Reduktion dasselbe funktionale Ergebnis wie die schrittweise Reduktion.</w:t>
      </w:r>
    </w:p>
    <w:p w:rsidR="002A21B9" w:rsidRDefault="00E50336" w:rsidP="002A21B9">
      <w:r>
        <w:pict>
          <v:rect id="_x0000_i1890" style="width:0;height:1.5pt" o:hralign="center" o:hrstd="t" o:hr="t" fillcolor="#a0a0a0" stroked="f"/>
        </w:pict>
      </w:r>
    </w:p>
    <w:p w:rsidR="002A21B9" w:rsidRDefault="002A21B9" w:rsidP="002A21B9">
      <w:pPr>
        <w:pStyle w:val="berschrift1"/>
      </w:pPr>
      <w:r>
        <w:t>3.3.42.155 Pfadkonsistenz von Reduktionen</w:t>
      </w:r>
    </w:p>
    <w:p w:rsidR="002A21B9" w:rsidRDefault="002A21B9" w:rsidP="002A21B9">
      <w:pPr>
        <w:pStyle w:val="StandardWeb"/>
      </w:pPr>
      <w:r>
        <w:t>Allgemein definiere ich</w:t>
      </w:r>
    </w:p>
    <w:p w:rsidR="002A21B9" w:rsidRDefault="002A21B9" w:rsidP="002A21B9">
      <w:pPr>
        <w:pStyle w:val="berschrift1"/>
      </w:pPr>
      <w:r>
        <w:t>[</w:t>
      </w:r>
      <w:r>
        <w:br/>
        <w:t>K_{\mathrm{path}}</w:t>
      </w:r>
    </w:p>
    <w:p w:rsidR="002A21B9" w:rsidRDefault="002A21B9" w:rsidP="002A21B9">
      <w:pPr>
        <w:pStyle w:val="StandardWeb"/>
      </w:pPr>
      <w:r>
        <w:lastRenderedPageBreak/>
        <w:t>1</w:t>
      </w:r>
      <w:r>
        <w:br/>
        <w:t>\tag{3.7955}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K_{\mathrm{path}}=1\qquad\text{(3.7955)}</w:t>
      </w:r>
    </w:p>
    <w:p w:rsidR="002A21B9" w:rsidRDefault="002A21B9" w:rsidP="002A21B9">
      <w:pPr>
        <w:pStyle w:val="StandardWeb"/>
      </w:pPr>
      <w:r>
        <w:t>wenn unterschiedliche zulässige Reduktionspfade zu funktional äquivalenten Aussagen führen.</w:t>
      </w:r>
    </w:p>
    <w:p w:rsidR="002A21B9" w:rsidRDefault="00E50336" w:rsidP="002A21B9">
      <w:r>
        <w:pict>
          <v:rect id="_x0000_i1891" style="width:0;height:1.5pt" o:hralign="center" o:hrstd="t" o:hr="t" fillcolor="#a0a0a0" stroked="f"/>
        </w:pict>
      </w:r>
    </w:p>
    <w:p w:rsidR="002A21B9" w:rsidRDefault="002A21B9" w:rsidP="002A21B9">
      <w:pPr>
        <w:pStyle w:val="berschrift1"/>
      </w:pPr>
      <w:r>
        <w:t>3.3.42.156 Konsistenz von Einheiten und Skalen</w:t>
      </w:r>
    </w:p>
    <w:p w:rsidR="002A21B9" w:rsidRDefault="002A21B9" w:rsidP="002A21B9">
      <w:pPr>
        <w:pStyle w:val="StandardWeb"/>
      </w:pPr>
      <w:r>
        <w:t>Zwei Aussagen über dieselbe Größe können unterschiedliche Skalen verwenden.</w:t>
      </w:r>
    </w:p>
    <w:p w:rsidR="002A21B9" w:rsidRDefault="002A21B9" w:rsidP="002A21B9">
      <w:pPr>
        <w:pStyle w:val="StandardWeb"/>
      </w:pPr>
      <w:r>
        <w:t>Sei</w:t>
      </w:r>
    </w:p>
    <w:p w:rsidR="002A21B9" w:rsidRDefault="002A21B9" w:rsidP="002A21B9">
      <w:pPr>
        <w:pStyle w:val="berschrift1"/>
      </w:pPr>
      <w:r>
        <w:t>[</w:t>
      </w:r>
      <w:r>
        <w:br/>
        <w:t>x_j</w:t>
      </w:r>
    </w:p>
    <w:p w:rsidR="002A21B9" w:rsidRDefault="002A21B9" w:rsidP="002A21B9">
      <w:pPr>
        <w:pStyle w:val="StandardWeb"/>
      </w:pPr>
      <w:r>
        <w:t>T(x_i).</w:t>
      </w:r>
      <w:r>
        <w:br/>
        <w:t>\tag{3.7956}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x_j=T(x_i)\qquad\text{(3.7956)}</w:t>
      </w:r>
    </w:p>
    <w:p w:rsidR="002A21B9" w:rsidRDefault="002A21B9" w:rsidP="002A21B9">
      <w:pPr>
        <w:pStyle w:val="StandardWeb"/>
      </w:pPr>
      <w:r>
        <w:t>Sind beide Darstellungen durch eine invertierbare Transformation verbunden,</w:t>
      </w:r>
    </w:p>
    <w:p w:rsidR="002A21B9" w:rsidRDefault="002A21B9" w:rsidP="002A21B9">
      <w:pPr>
        <w:pStyle w:val="StandardWeb"/>
      </w:pPr>
      <w:r>
        <w:t>[</w:t>
      </w:r>
      <w:r>
        <w:br/>
        <w:t>T^{-1}</w:t>
      </w:r>
      <w:r>
        <w:br/>
        <w:t>\text{ existiert},</w:t>
      </w:r>
      <w:r>
        <w:br/>
        <w:t>\tag{3.7957}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T^{-1}\text{ existiert}\qquad\text{(3.7957)}</w:t>
      </w:r>
    </w:p>
    <w:p w:rsidR="002A21B9" w:rsidRDefault="002A21B9" w:rsidP="002A21B9">
      <w:pPr>
        <w:pStyle w:val="StandardWeb"/>
      </w:pPr>
      <w:r>
        <w:t>können numerisch unterschiedliche Werte semantisch vollständig konsistent sein.</w:t>
      </w:r>
    </w:p>
    <w:p w:rsidR="002A21B9" w:rsidRDefault="00E50336" w:rsidP="002A21B9">
      <w:r>
        <w:pict>
          <v:rect id="_x0000_i1892" style="width:0;height:1.5pt" o:hralign="center" o:hrstd="t" o:hr="t" fillcolor="#a0a0a0" stroked="f"/>
        </w:pict>
      </w:r>
    </w:p>
    <w:p w:rsidR="002A21B9" w:rsidRDefault="002A21B9" w:rsidP="002A21B9">
      <w:pPr>
        <w:pStyle w:val="berschrift1"/>
      </w:pPr>
      <w:r>
        <w:t>3.3.42.157 Repräsentationskonsistenz</w:t>
      </w:r>
    </w:p>
    <w:p w:rsidR="002A21B9" w:rsidRDefault="002A21B9" w:rsidP="002A21B9">
      <w:pPr>
        <w:pStyle w:val="StandardWeb"/>
      </w:pPr>
      <w:r>
        <w:t>Ich definiere</w:t>
      </w:r>
    </w:p>
    <w:p w:rsidR="002A21B9" w:rsidRDefault="002A21B9" w:rsidP="002A21B9">
      <w:pPr>
        <w:pStyle w:val="StandardWeb"/>
      </w:pPr>
      <w:r>
        <w:lastRenderedPageBreak/>
        <w:t>[</w:t>
      </w:r>
      <w:r>
        <w:br/>
        <w:t>K_{\mathrm{repr}}</w:t>
      </w:r>
      <w:r>
        <w:br/>
        <w:t>(A_i,A_j)=1</w:t>
      </w:r>
      <w:r>
        <w:br/>
        <w:t>\tag{3.7958}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K_{\mathrm{repr}}(A_i,A_j)=1\qquad\text{(3.7958)}</w:t>
      </w:r>
    </w:p>
    <w:p w:rsidR="002A21B9" w:rsidRDefault="002A21B9" w:rsidP="002A21B9">
      <w:pPr>
        <w:pStyle w:val="StandardWeb"/>
      </w:pPr>
      <w:r>
        <w:t>wenn zwei Aussagen lediglich unterschiedliche, ineinander transformierbare Repräsentationen derselben funktionalen Struktur darstellen.</w:t>
      </w:r>
    </w:p>
    <w:p w:rsidR="002A21B9" w:rsidRDefault="00E50336" w:rsidP="002A21B9">
      <w:r>
        <w:pict>
          <v:rect id="_x0000_i1893" style="width:0;height:1.5pt" o:hralign="center" o:hrstd="t" o:hr="t" fillcolor="#a0a0a0" stroked="f"/>
        </w:pict>
      </w:r>
    </w:p>
    <w:p w:rsidR="002A21B9" w:rsidRDefault="002A21B9" w:rsidP="002A21B9">
      <w:pPr>
        <w:pStyle w:val="berschrift1"/>
      </w:pPr>
      <w:r>
        <w:t>3.3.42.158 Koordinatenkonsistenz</w:t>
      </w:r>
    </w:p>
    <w:p w:rsidR="002A21B9" w:rsidRDefault="002A21B9" w:rsidP="002A21B9">
      <w:pPr>
        <w:pStyle w:val="StandardWeb"/>
      </w:pPr>
      <w:r>
        <w:t>Sei</w:t>
      </w:r>
    </w:p>
    <w:p w:rsidR="002A21B9" w:rsidRDefault="002A21B9" w:rsidP="002A21B9">
      <w:pPr>
        <w:pStyle w:val="berschrift1"/>
      </w:pPr>
      <w:r>
        <w:t>[</w:t>
      </w:r>
      <w:r>
        <w:br/>
        <w:t>\mathbf y</w:t>
      </w:r>
    </w:p>
    <w:p w:rsidR="002A21B9" w:rsidRDefault="002A21B9" w:rsidP="002A21B9">
      <w:pPr>
        <w:pStyle w:val="StandardWeb"/>
      </w:pPr>
      <w:r>
        <w:t>T</w:t>
      </w:r>
      <w:r>
        <w:br/>
        <w:t>\left(</w:t>
      </w:r>
      <w:r>
        <w:br/>
        <w:t>\mathbf x</w:t>
      </w:r>
      <w:r>
        <w:br/>
        <w:t>\right)</w:t>
      </w:r>
      <w:r>
        <w:br/>
        <w:t>\tag{3.7959}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\mathbf y=T\left(\mathbf x\right)\qquad\text{(3.7959)}</w:t>
      </w:r>
    </w:p>
    <w:p w:rsidR="002A21B9" w:rsidRDefault="002A21B9" w:rsidP="002A21B9">
      <w:pPr>
        <w:pStyle w:val="StandardWeb"/>
      </w:pPr>
      <w:r>
        <w:t>eine invertierbare Koordinatentransformation.</w:t>
      </w:r>
    </w:p>
    <w:p w:rsidR="002A21B9" w:rsidRDefault="002A21B9" w:rsidP="002A21B9">
      <w:pPr>
        <w:pStyle w:val="StandardWeb"/>
      </w:pPr>
      <w:r>
        <w:t>Eine wissenschaftliche Aussage soll unter reiner Koordinatentransformation invariant bleiben:</w:t>
      </w:r>
    </w:p>
    <w:p w:rsidR="002A21B9" w:rsidRDefault="002A21B9" w:rsidP="002A21B9">
      <w:pPr>
        <w:pStyle w:val="StandardWeb"/>
      </w:pPr>
      <w:r>
        <w:t>[</w:t>
      </w:r>
      <w:r>
        <w:br/>
        <w:t>A_F(\mathbf x)</w:t>
      </w:r>
      <w:r>
        <w:br/>
        <w:t>\sim_A</w:t>
      </w:r>
      <w:r>
        <w:br/>
        <w:t>A_F(T^{-1}(\mathbf y)).</w:t>
      </w:r>
      <w:r>
        <w:br/>
        <w:t>\tag{3.7960}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A_F(\mathbf x)\sim_A A_F(T^{-1}(\mathbf y))\qquad\text{(3.7960)}</w:t>
      </w:r>
    </w:p>
    <w:p w:rsidR="002A21B9" w:rsidRDefault="002A21B9" w:rsidP="002A21B9">
      <w:pPr>
        <w:pStyle w:val="StandardWeb"/>
      </w:pPr>
      <w:r>
        <w:t>Damit wird ein bloßer Koordinatenwechsel nicht als Widerspruch interpretiert.</w:t>
      </w:r>
    </w:p>
    <w:p w:rsidR="002A21B9" w:rsidRDefault="00E50336" w:rsidP="002A21B9">
      <w:r>
        <w:lastRenderedPageBreak/>
        <w:pict>
          <v:rect id="_x0000_i1894" style="width:0;height:1.5pt" o:hralign="center" o:hrstd="t" o:hr="t" fillcolor="#a0a0a0" stroked="f"/>
        </w:pict>
      </w:r>
    </w:p>
    <w:p w:rsidR="002A21B9" w:rsidRDefault="002A21B9" w:rsidP="002A21B9">
      <w:pPr>
        <w:pStyle w:val="berschrift1"/>
      </w:pPr>
      <w:r>
        <w:t>3.3.42.159 Konsistenz und Äquivalenz</w:t>
      </w:r>
    </w:p>
    <w:p w:rsidR="002A21B9" w:rsidRDefault="002A21B9" w:rsidP="002A21B9">
      <w:pPr>
        <w:pStyle w:val="StandardWeb"/>
      </w:pPr>
      <w:r>
        <w:t>Äquivalenz ist stärker als Konsistenz.</w:t>
      </w:r>
    </w:p>
    <w:p w:rsidR="002A21B9" w:rsidRDefault="002A21B9" w:rsidP="002A21B9">
      <w:pPr>
        <w:pStyle w:val="StandardWeb"/>
      </w:pPr>
      <w:r>
        <w:t>Aus</w:t>
      </w:r>
    </w:p>
    <w:p w:rsidR="002A21B9" w:rsidRDefault="002A21B9" w:rsidP="002A21B9">
      <w:pPr>
        <w:pStyle w:val="StandardWeb"/>
      </w:pPr>
      <w:r>
        <w:t>[</w:t>
      </w:r>
      <w:r>
        <w:br/>
        <w:t>A_i</w:t>
      </w:r>
      <w:r>
        <w:br/>
        <w:t>\equiv</w:t>
      </w:r>
      <w:r>
        <w:br/>
        <w:t>A_j</w:t>
      </w:r>
      <w:r>
        <w:br/>
        <w:t>\tag{3.7961}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A_i\equiv A_j\qquad\text{(3.7961)}</w:t>
      </w:r>
    </w:p>
    <w:p w:rsidR="002A21B9" w:rsidRDefault="002A21B9" w:rsidP="002A21B9">
      <w:pPr>
        <w:pStyle w:val="StandardWeb"/>
      </w:pPr>
      <w:r>
        <w:t>folgt</w:t>
      </w:r>
    </w:p>
    <w:p w:rsidR="002A21B9" w:rsidRDefault="002A21B9" w:rsidP="002A21B9">
      <w:pPr>
        <w:pStyle w:val="StandardWeb"/>
      </w:pPr>
      <w:r>
        <w:t>[</w:t>
      </w:r>
      <w:r>
        <w:br/>
        <w:t>K_F(A_i,A_j)=1.</w:t>
      </w:r>
      <w:r>
        <w:br/>
        <w:t>\tag{3.7962}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K_F(A_i,A_j)=1\qquad\text{(3.7962)}</w:t>
      </w:r>
    </w:p>
    <w:p w:rsidR="002A21B9" w:rsidRDefault="002A21B9" w:rsidP="002A21B9">
      <w:pPr>
        <w:pStyle w:val="StandardWeb"/>
      </w:pPr>
      <w:r>
        <w:t>Die Umkehrung gilt nicht:</w:t>
      </w:r>
    </w:p>
    <w:p w:rsidR="002A21B9" w:rsidRDefault="002A21B9" w:rsidP="002A21B9">
      <w:pPr>
        <w:pStyle w:val="StandardWeb"/>
      </w:pPr>
      <w:r>
        <w:t>[</w:t>
      </w:r>
      <w:r>
        <w:br/>
        <w:t>K_F(A_i,A_j)=1</w:t>
      </w:r>
      <w:r>
        <w:br/>
        <w:t>\nRightarrow</w:t>
      </w:r>
      <w:r>
        <w:br/>
        <w:t>A_i\equiv A_j.</w:t>
      </w:r>
      <w:r>
        <w:br/>
        <w:t>\tag{3.7963}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K_F(A_i,A_j)=1\nRightarrow A_i\equiv A_j\qquad\text{(3.7963)}</w:t>
      </w:r>
    </w:p>
    <w:p w:rsidR="002A21B9" w:rsidRDefault="002A21B9" w:rsidP="002A21B9">
      <w:pPr>
        <w:pStyle w:val="StandardWeb"/>
      </w:pPr>
      <w:r>
        <w:t>Zwei unterschiedliche Aussagen können völlig widerspruchsfrei koexistieren.</w:t>
      </w:r>
    </w:p>
    <w:p w:rsidR="002A21B9" w:rsidRDefault="00E50336" w:rsidP="002A21B9">
      <w:r>
        <w:pict>
          <v:rect id="_x0000_i1895" style="width:0;height:1.5pt" o:hralign="center" o:hrstd="t" o:hr="t" fillcolor="#a0a0a0" stroked="f"/>
        </w:pict>
      </w:r>
    </w:p>
    <w:p w:rsidR="002A21B9" w:rsidRDefault="002A21B9" w:rsidP="002A21B9">
      <w:pPr>
        <w:pStyle w:val="berschrift1"/>
      </w:pPr>
      <w:r>
        <w:t>3.3.42.160 Kompatibilität</w:t>
      </w:r>
    </w:p>
    <w:p w:rsidR="002A21B9" w:rsidRDefault="002A21B9" w:rsidP="002A21B9">
      <w:pPr>
        <w:pStyle w:val="StandardWeb"/>
      </w:pPr>
      <w:r>
        <w:t>Ich unterscheide daher drei Begriffe:</w:t>
      </w:r>
    </w:p>
    <w:p w:rsidR="002A21B9" w:rsidRDefault="002A21B9" w:rsidP="002A21B9">
      <w:pPr>
        <w:pStyle w:val="StandardWeb"/>
      </w:pPr>
      <w:r>
        <w:lastRenderedPageBreak/>
        <w:t>[</w:t>
      </w:r>
      <w:r>
        <w:br/>
        <w:t>\mathbf{Äquivalenz},</w:t>
      </w:r>
      <w:r>
        <w:br/>
        <w:t>\qquad</w:t>
      </w:r>
      <w:r>
        <w:br/>
        <w:t>\mathbf{Konsistenz},</w:t>
      </w:r>
      <w:r>
        <w:br/>
        <w:t>\qquad</w:t>
      </w:r>
      <w:r>
        <w:br/>
        <w:t>\mathbf{Vergleichbarkeit}.</w:t>
      </w:r>
      <w:r>
        <w:br/>
        <w:t>\tag{3.7964}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\mathbf{Äquivalenz},\qquad\mathbf{Konsistenz},\qquad\mathbf{Vergleichbarkeit}\qquad\text{(3.7964)}</w:t>
      </w:r>
    </w:p>
    <w:p w:rsidR="002A21B9" w:rsidRDefault="002A21B9" w:rsidP="002A21B9">
      <w:pPr>
        <w:pStyle w:val="StandardWeb"/>
      </w:pPr>
      <w:r>
        <w:t>Äquivalenz bedeutet funktionale Gleichwertigkeit.</w:t>
      </w:r>
    </w:p>
    <w:p w:rsidR="002A21B9" w:rsidRDefault="002A21B9" w:rsidP="002A21B9">
      <w:pPr>
        <w:pStyle w:val="StandardWeb"/>
      </w:pPr>
      <w:r>
        <w:t>Konsistenz bedeutet gemeinsame Widerspruchsfreiheit.</w:t>
      </w:r>
    </w:p>
    <w:p w:rsidR="002A21B9" w:rsidRDefault="002A21B9" w:rsidP="002A21B9">
      <w:pPr>
        <w:pStyle w:val="StandardWeb"/>
      </w:pPr>
      <w:r>
        <w:t>Vergleichbarkeit bedeutet lediglich, dass eine gemeinsame Prüfung zulässig ist.</w:t>
      </w:r>
    </w:p>
    <w:p w:rsidR="002A21B9" w:rsidRDefault="00E50336" w:rsidP="002A21B9">
      <w:r>
        <w:pict>
          <v:rect id="_x0000_i1896" style="width:0;height:1.5pt" o:hralign="center" o:hrstd="t" o:hr="t" fillcolor="#a0a0a0" stroked="f"/>
        </w:pict>
      </w:r>
    </w:p>
    <w:p w:rsidR="002A21B9" w:rsidRDefault="002A21B9" w:rsidP="002A21B9">
      <w:pPr>
        <w:pStyle w:val="berschrift1"/>
      </w:pPr>
      <w:r>
        <w:t>3.3.42.161 Implikationsstruktur</w:t>
      </w:r>
    </w:p>
    <w:p w:rsidR="002A21B9" w:rsidRDefault="002A21B9" w:rsidP="002A21B9">
      <w:pPr>
        <w:pStyle w:val="StandardWeb"/>
      </w:pPr>
      <w:r>
        <w:t>Unter geeigneten Voraussetzungen gilt</w:t>
      </w:r>
    </w:p>
    <w:p w:rsidR="002A21B9" w:rsidRDefault="002A21B9" w:rsidP="002A21B9">
      <w:pPr>
        <w:pStyle w:val="StandardWeb"/>
      </w:pPr>
      <w:r>
        <w:t>[</w:t>
      </w:r>
      <w:r>
        <w:br/>
        <w:t>A_i\equiv A_j</w:t>
      </w:r>
      <w:r>
        <w:br/>
        <w:t>\Rightarrow</w:t>
      </w:r>
      <w:r>
        <w:br/>
        <w:t>K_F(A_i,A_j)=1</w:t>
      </w:r>
      <w:r>
        <w:br/>
        <w:t>\Rightarrow</w:t>
      </w:r>
      <w:r>
        <w:br/>
        <w:t>C(A_i,A_j)=1.</w:t>
      </w:r>
      <w:r>
        <w:br/>
        <w:t>\tag{3.7965}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A_i\equiv A_j\Rightarrow K_F(A_i,A_j)=1\Rightarrow C(A_i,A_j)=1\qquad\text{(3.7965)}</w:t>
      </w:r>
    </w:p>
    <w:p w:rsidR="002A21B9" w:rsidRDefault="002A21B9" w:rsidP="002A21B9">
      <w:pPr>
        <w:pStyle w:val="StandardWeb"/>
      </w:pPr>
      <w:r>
        <w:t>Die Umkehrungen gelten im Allgemeinen nicht.</w:t>
      </w:r>
    </w:p>
    <w:p w:rsidR="002A21B9" w:rsidRDefault="00E50336" w:rsidP="002A21B9">
      <w:r>
        <w:pict>
          <v:rect id="_x0000_i1897" style="width:0;height:1.5pt" o:hralign="center" o:hrstd="t" o:hr="t" fillcolor="#a0a0a0" stroked="f"/>
        </w:pict>
      </w:r>
    </w:p>
    <w:p w:rsidR="002A21B9" w:rsidRDefault="002A21B9" w:rsidP="002A21B9">
      <w:pPr>
        <w:pStyle w:val="berschrift1"/>
      </w:pPr>
      <w:r>
        <w:t>3.3.42.162 Zwischenstand des Konsistenzsystems</w:t>
      </w:r>
    </w:p>
    <w:p w:rsidR="002A21B9" w:rsidRDefault="002A21B9" w:rsidP="002A21B9">
      <w:pPr>
        <w:pStyle w:val="StandardWeb"/>
      </w:pPr>
      <w:r>
        <w:t>Die bisherige Konsistenzarchitektur kann nun zusammengefasst werden als</w:t>
      </w:r>
    </w:p>
    <w:p w:rsidR="002A21B9" w:rsidRDefault="002A21B9" w:rsidP="002A21B9">
      <w:pPr>
        <w:pStyle w:val="berschrift1"/>
      </w:pPr>
      <w:r>
        <w:t>[</w:t>
      </w:r>
      <w:r>
        <w:br/>
        <w:t>\mathfrak C_F</w:t>
      </w:r>
    </w:p>
    <w:p w:rsidR="002A21B9" w:rsidRDefault="002A21B9" w:rsidP="002A21B9">
      <w:pPr>
        <w:pStyle w:val="StandardWeb"/>
      </w:pPr>
      <w:r>
        <w:lastRenderedPageBreak/>
        <w:t>\left(</w:t>
      </w:r>
      <w:r>
        <w:br/>
        <w:t>\mathcal C,</w:t>
      </w:r>
      <w:r>
        <w:br/>
        <w:t>\mathfrak K,</w:t>
      </w:r>
      <w:r>
        <w:br/>
        <w:t>\mathbf R_K,</w:t>
      </w:r>
      <w:r>
        <w:br/>
        <w:t>\mathbf S_K,</w:t>
      </w:r>
      <w:r>
        <w:br/>
        <w:t>\Sigma_W,</w:t>
      </w:r>
      <w:r>
        <w:br/>
        <w:t>\mathcal G_F^K,</w:t>
      </w:r>
      <w:r>
        <w:br/>
        <w:t>\mathcal K_W,</w:t>
      </w:r>
      <w:r>
        <w:br/>
        <w:t>\Sigma_K^{+}</w:t>
      </w:r>
      <w:r>
        <w:br/>
        <w:t>\right).</w:t>
      </w:r>
      <w:r>
        <w:br/>
        <w:t>\tag{3.7966}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 C_F=\left(\mathcal C,\mathfrak K,\mathbf R_K,\mathbf S_K,\Sigma_W,\mathcal G_F^K,\mathcal K_W,\Sigma_K^{+}\right)\qquad\text{(3.7966)}</w:t>
      </w:r>
    </w:p>
    <w:p w:rsidR="002A21B9" w:rsidRDefault="002A21B9" w:rsidP="002A21B9">
      <w:pPr>
        <w:pStyle w:val="StandardWeb"/>
      </w:pPr>
      <w:r>
        <w:t>Damit sind bereits</w:t>
      </w:r>
    </w:p>
    <w:p w:rsidR="002A21B9" w:rsidRDefault="002A21B9" w:rsidP="008C5E65">
      <w:pPr>
        <w:pStyle w:val="StandardWeb"/>
        <w:numPr>
          <w:ilvl w:val="0"/>
          <w:numId w:val="399"/>
        </w:numPr>
      </w:pPr>
      <w:r>
        <w:t>Vergleichbarkeit,</w:t>
      </w:r>
    </w:p>
    <w:p w:rsidR="002A21B9" w:rsidRDefault="002A21B9" w:rsidP="008C5E65">
      <w:pPr>
        <w:pStyle w:val="StandardWeb"/>
        <w:numPr>
          <w:ilvl w:val="0"/>
          <w:numId w:val="399"/>
        </w:numPr>
      </w:pPr>
      <w:r>
        <w:t>lokale und globale Konsistenz,</w:t>
      </w:r>
    </w:p>
    <w:p w:rsidR="002A21B9" w:rsidRDefault="002A21B9" w:rsidP="008C5E65">
      <w:pPr>
        <w:pStyle w:val="StandardWeb"/>
        <w:numPr>
          <w:ilvl w:val="0"/>
          <w:numId w:val="399"/>
        </w:numPr>
      </w:pPr>
      <w:r>
        <w:t>partielle Konsistenz,</w:t>
      </w:r>
    </w:p>
    <w:p w:rsidR="002A21B9" w:rsidRDefault="002A21B9" w:rsidP="008C5E65">
      <w:pPr>
        <w:pStyle w:val="StandardWeb"/>
        <w:numPr>
          <w:ilvl w:val="0"/>
          <w:numId w:val="399"/>
        </w:numPr>
      </w:pPr>
      <w:r>
        <w:t>Unentscheidbarkeit,</w:t>
      </w:r>
    </w:p>
    <w:p w:rsidR="002A21B9" w:rsidRDefault="002A21B9" w:rsidP="008C5E65">
      <w:pPr>
        <w:pStyle w:val="StandardWeb"/>
        <w:numPr>
          <w:ilvl w:val="0"/>
          <w:numId w:val="399"/>
        </w:numPr>
      </w:pPr>
      <w:r>
        <w:t>Konfliktklassifikation,</w:t>
      </w:r>
    </w:p>
    <w:p w:rsidR="002A21B9" w:rsidRDefault="002A21B9" w:rsidP="008C5E65">
      <w:pPr>
        <w:pStyle w:val="StandardWeb"/>
        <w:numPr>
          <w:ilvl w:val="0"/>
          <w:numId w:val="399"/>
        </w:numPr>
      </w:pPr>
      <w:r>
        <w:t>Konsistenzmatrix,</w:t>
      </w:r>
    </w:p>
    <w:p w:rsidR="002A21B9" w:rsidRDefault="002A21B9" w:rsidP="008C5E65">
      <w:pPr>
        <w:pStyle w:val="StandardWeb"/>
        <w:numPr>
          <w:ilvl w:val="0"/>
          <w:numId w:val="399"/>
        </w:numPr>
      </w:pPr>
      <w:r>
        <w:t>Konsistenzgraph,</w:t>
      </w:r>
    </w:p>
    <w:p w:rsidR="002A21B9" w:rsidRDefault="002A21B9" w:rsidP="008C5E65">
      <w:pPr>
        <w:pStyle w:val="StandardWeb"/>
        <w:numPr>
          <w:ilvl w:val="0"/>
          <w:numId w:val="399"/>
        </w:numPr>
      </w:pPr>
      <w:r>
        <w:t>Konfliktkerne,</w:t>
      </w:r>
    </w:p>
    <w:p w:rsidR="002A21B9" w:rsidRDefault="002A21B9" w:rsidP="008C5E65">
      <w:pPr>
        <w:pStyle w:val="StandardWeb"/>
        <w:numPr>
          <w:ilvl w:val="0"/>
          <w:numId w:val="399"/>
        </w:numPr>
      </w:pPr>
      <w:r>
        <w:t>Abhängigkeitsstrukturen,</w:t>
      </w:r>
    </w:p>
    <w:p w:rsidR="002A21B9" w:rsidRDefault="002A21B9" w:rsidP="008C5E65">
      <w:pPr>
        <w:pStyle w:val="StandardWeb"/>
        <w:numPr>
          <w:ilvl w:val="0"/>
          <w:numId w:val="399"/>
        </w:numPr>
      </w:pPr>
      <w:r>
        <w:t>Revisionskonsistenz,</w:t>
      </w:r>
    </w:p>
    <w:p w:rsidR="002A21B9" w:rsidRDefault="002A21B9" w:rsidP="008C5E65">
      <w:pPr>
        <w:pStyle w:val="StandardWeb"/>
        <w:numPr>
          <w:ilvl w:val="0"/>
          <w:numId w:val="399"/>
        </w:numPr>
      </w:pPr>
      <w:r>
        <w:t>empirisch-theoretische Konsistenz,</w:t>
      </w:r>
    </w:p>
    <w:p w:rsidR="002A21B9" w:rsidRDefault="002A21B9" w:rsidP="008C5E65">
      <w:pPr>
        <w:pStyle w:val="StandardWeb"/>
        <w:numPr>
          <w:ilvl w:val="0"/>
          <w:numId w:val="399"/>
        </w:numPr>
      </w:pPr>
      <w:r>
        <w:t>Reduktionskonsistenz</w:t>
      </w:r>
    </w:p>
    <w:p w:rsidR="002A21B9" w:rsidRDefault="002A21B9" w:rsidP="008C5E65">
      <w:pPr>
        <w:pStyle w:val="StandardWeb"/>
        <w:numPr>
          <w:ilvl w:val="0"/>
          <w:numId w:val="399"/>
        </w:numPr>
      </w:pPr>
      <w:r>
        <w:t>und Repository-Konsistenz</w:t>
      </w:r>
    </w:p>
    <w:p w:rsidR="002A21B9" w:rsidRDefault="002A21B9" w:rsidP="002A21B9">
      <w:pPr>
        <w:pStyle w:val="StandardWeb"/>
      </w:pPr>
      <w:r>
        <w:t>formal miteinander verbunden.</w:t>
      </w:r>
    </w:p>
    <w:p w:rsidR="002A21B9" w:rsidRDefault="002A21B9" w:rsidP="002A21B9">
      <w:pPr>
        <w:pStyle w:val="StandardWeb"/>
      </w:pPr>
      <w:r>
        <w:t xml:space="preserve">Der Gesamtabschnitt </w:t>
      </w:r>
      <w:r>
        <w:rPr>
          <w:rStyle w:val="Fett"/>
        </w:rPr>
        <w:t>3.3.42 ist damit noch nicht abgeschlossen</w:t>
      </w:r>
      <w:r>
        <w:t xml:space="preserve">. Als nächste fachliche Fortsetzung folgt </w:t>
      </w:r>
      <w:r>
        <w:rPr>
          <w:rStyle w:val="Fett"/>
        </w:rPr>
        <w:t>3.3.42.163 ff.</w:t>
      </w:r>
      <w:r>
        <w:t xml:space="preserve"> mit der Konsistenz vollständiger FRZK-Theorieblöcke, globalen Konsistenzbedingungen, Konsistenz unter Transformationen, Konfliktauflösung und abschließend </w:t>
      </w:r>
      <w:r>
        <w:rPr>
          <w:rStyle w:val="Fett"/>
        </w:rPr>
        <w:t>erst am Ende des Gesamtabschnitts</w:t>
      </w:r>
      <w:r>
        <w:t xml:space="preserve"> den ausführlichen </w:t>
      </w:r>
      <w:r>
        <w:rPr>
          <w:rStyle w:val="Fett"/>
        </w:rPr>
        <w:t>Methodologischen Betrachtungen</w:t>
      </w:r>
      <w:r>
        <w:t xml:space="preserve">, </w:t>
      </w:r>
      <w:r>
        <w:rPr>
          <w:rStyle w:val="Fett"/>
        </w:rPr>
        <w:t>Didaktischen Betrachtungen</w:t>
      </w:r>
      <w:r>
        <w:t xml:space="preserve">, dem </w:t>
      </w:r>
      <w:r>
        <w:rPr>
          <w:rStyle w:val="Fett"/>
        </w:rPr>
        <w:t>Ergebnis von 3.3.42</w:t>
      </w:r>
      <w:r>
        <w:t xml:space="preserve"> und dem </w:t>
      </w:r>
      <w:r>
        <w:rPr>
          <w:rStyle w:val="Fett"/>
        </w:rPr>
        <w:t>Übergang zu 3.3.43</w:t>
      </w:r>
      <w:r>
        <w:t>.</w:t>
      </w:r>
    </w:p>
    <w:p w:rsidR="002A21B9" w:rsidRDefault="002A21B9" w:rsidP="002A21B9">
      <w:pPr>
        <w:pStyle w:val="StandardWeb"/>
        <w:rPr>
          <w:rFonts w:cs="Times New Roman"/>
          <w:bCs w:val="0"/>
        </w:rPr>
      </w:pPr>
      <w:r>
        <w:t xml:space="preserve">Weiter geht es mit </w:t>
      </w:r>
      <w:r>
        <w:rPr>
          <w:rStyle w:val="Fett"/>
        </w:rPr>
        <w:t>3.3.42.163</w:t>
      </w:r>
      <w:r>
        <w:t>.</w:t>
      </w:r>
    </w:p>
    <w:p w:rsidR="002A21B9" w:rsidRDefault="00E50336" w:rsidP="002A21B9">
      <w:r>
        <w:pict>
          <v:rect id="_x0000_i1898" style="width:0;height:1.5pt" o:hralign="center" o:hrstd="t" o:hr="t" fillcolor="#a0a0a0" stroked="f"/>
        </w:pict>
      </w:r>
    </w:p>
    <w:p w:rsidR="002A21B9" w:rsidRDefault="002A21B9" w:rsidP="002A21B9">
      <w:pPr>
        <w:pStyle w:val="berschrift1"/>
      </w:pPr>
      <w:r>
        <w:t>3.3.42.163 Mehrstufige wissenschaftliche Konsistenzarchitektur</w:t>
      </w:r>
    </w:p>
    <w:p w:rsidR="002A21B9" w:rsidRDefault="002A21B9" w:rsidP="002A21B9">
      <w:pPr>
        <w:pStyle w:val="StandardWeb"/>
      </w:pPr>
      <w:r>
        <w:lastRenderedPageBreak/>
        <w:t>Die bisher eingeführten Konsistenzbegriffe bilden keine unabhängigen Einzeldefinitionen, sondern unterschiedliche Beschreibungsebenen derselben wissenschaftlichen Struktur. Aus methodischer Sicht muss deshalb zwischen lokalen Aussagenbeziehungen, Mengenkonsistenz, Theoriekonsistenz, empirischer Konsistenz sowie technischer Repository-Konsistenz unterschieden werden. Erst ihr gemeinsames Zusammenwirken beschreibt die vollständige wissenschaftliche Konsistenz eines Modells.</w:t>
      </w:r>
    </w:p>
    <w:p w:rsidR="002A21B9" w:rsidRDefault="002A21B9" w:rsidP="002A21B9">
      <w:pPr>
        <w:pStyle w:val="StandardWeb"/>
      </w:pPr>
      <w:r>
        <w:t>Es sei</w:t>
      </w:r>
    </w:p>
    <w:p w:rsidR="002A21B9" w:rsidRDefault="002A21B9" w:rsidP="002A21B9">
      <w:pPr>
        <w:pStyle w:val="StandardWeb"/>
      </w:pPr>
      <w:r>
        <w:t>[</w:t>
      </w:r>
      <w:r>
        <w:br/>
        <w:t>\mathfrak C_F=</w:t>
      </w:r>
      <w:r>
        <w:br/>
        <w:t>\left(</w:t>
      </w:r>
      <w:r>
        <w:br/>
        <w:t>K_A,</w:t>
      </w:r>
      <w:r>
        <w:br/>
        <w:t>K_D,</w:t>
      </w:r>
      <w:r>
        <w:br/>
        <w:t>K_E,</w:t>
      </w:r>
      <w:r>
        <w:br/>
        <w:t>K_T,</w:t>
      </w:r>
      <w:r>
        <w:br/>
        <w:t>K_P,</w:t>
      </w:r>
      <w:r>
        <w:br/>
        <w:t>K_C,</w:t>
      </w:r>
      <w:r>
        <w:br/>
        <w:t>K_{\mathrm{repo}},</w:t>
      </w:r>
      <w:r>
        <w:br/>
        <w:t>R_K,</w:t>
      </w:r>
      <w:r>
        <w:br/>
        <w:t>R_W,</w:t>
      </w:r>
      <w:r>
        <w:br/>
        <w:t>R_U,</w:t>
      </w:r>
      <w:r>
        <w:br/>
        <w:t>M_K,</w:t>
      </w:r>
      <w:r>
        <w:br/>
        <w:t>\Sigma_W</w:t>
      </w:r>
      <w:r>
        <w:br/>
        <w:t>\right)</w:t>
      </w:r>
      <w:r>
        <w:br/>
        <w:t>\tag{3.7967}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\mathfrak{C}_{F}=\left(K_{A},K_{D},K_{E},K_{T},K_{P},K_{C},K_{\mathrm{repo}},R_{K},R_{W},R_{U},M_{K},\Sigma_{W}\right)</w:t>
      </w:r>
    </w:p>
    <w:p w:rsidR="002A21B9" w:rsidRDefault="002A21B9" w:rsidP="002A21B9">
      <w:pPr>
        <w:pStyle w:val="StandardWeb"/>
      </w:pPr>
      <w:r>
        <w:t>Hierbei beschreiben</w:t>
      </w:r>
    </w:p>
    <w:p w:rsidR="002A21B9" w:rsidRDefault="002A21B9" w:rsidP="008C5E65">
      <w:pPr>
        <w:pStyle w:val="StandardWeb"/>
        <w:numPr>
          <w:ilvl w:val="0"/>
          <w:numId w:val="400"/>
        </w:numPr>
      </w:pPr>
      <w:r>
        <w:t>(K_A) Axiomenkonsistenz,</w:t>
      </w:r>
    </w:p>
    <w:p w:rsidR="002A21B9" w:rsidRDefault="002A21B9" w:rsidP="008C5E65">
      <w:pPr>
        <w:pStyle w:val="StandardWeb"/>
        <w:numPr>
          <w:ilvl w:val="0"/>
          <w:numId w:val="400"/>
        </w:numPr>
      </w:pPr>
      <w:r>
        <w:t>(K_D) Definitionskonsistenz,</w:t>
      </w:r>
    </w:p>
    <w:p w:rsidR="002A21B9" w:rsidRDefault="002A21B9" w:rsidP="008C5E65">
      <w:pPr>
        <w:pStyle w:val="StandardWeb"/>
        <w:numPr>
          <w:ilvl w:val="0"/>
          <w:numId w:val="400"/>
        </w:numPr>
      </w:pPr>
      <w:r>
        <w:t>(K_E) Gleichungskonsistenz,</w:t>
      </w:r>
    </w:p>
    <w:p w:rsidR="002A21B9" w:rsidRDefault="002A21B9" w:rsidP="008C5E65">
      <w:pPr>
        <w:pStyle w:val="StandardWeb"/>
        <w:numPr>
          <w:ilvl w:val="0"/>
          <w:numId w:val="400"/>
        </w:numPr>
      </w:pPr>
      <w:r>
        <w:t>(K_T) Satzkonsistenz,</w:t>
      </w:r>
    </w:p>
    <w:p w:rsidR="002A21B9" w:rsidRDefault="002A21B9" w:rsidP="008C5E65">
      <w:pPr>
        <w:pStyle w:val="StandardWeb"/>
        <w:numPr>
          <w:ilvl w:val="0"/>
          <w:numId w:val="400"/>
        </w:numPr>
      </w:pPr>
      <w:r>
        <w:t>(K_P) Beweiskonsistenz,</w:t>
      </w:r>
    </w:p>
    <w:p w:rsidR="002A21B9" w:rsidRDefault="002A21B9" w:rsidP="008C5E65">
      <w:pPr>
        <w:pStyle w:val="StandardWeb"/>
        <w:numPr>
          <w:ilvl w:val="0"/>
          <w:numId w:val="400"/>
        </w:numPr>
      </w:pPr>
      <w:r>
        <w:t>(K_C) Korollarkonsistenz,</w:t>
      </w:r>
    </w:p>
    <w:p w:rsidR="002A21B9" w:rsidRDefault="002A21B9" w:rsidP="008C5E65">
      <w:pPr>
        <w:pStyle w:val="StandardWeb"/>
        <w:numPr>
          <w:ilvl w:val="0"/>
          <w:numId w:val="400"/>
        </w:numPr>
      </w:pPr>
      <w:r>
        <w:t>(K_{\mathrm{repo}}) Repositorykonsistenz,</w:t>
      </w:r>
    </w:p>
    <w:p w:rsidR="002A21B9" w:rsidRDefault="002A21B9" w:rsidP="008C5E65">
      <w:pPr>
        <w:pStyle w:val="StandardWeb"/>
        <w:numPr>
          <w:ilvl w:val="0"/>
          <w:numId w:val="400"/>
        </w:numPr>
      </w:pPr>
      <w:r>
        <w:t>(R_K) funktionalen Konsistenzgrad,</w:t>
      </w:r>
    </w:p>
    <w:p w:rsidR="002A21B9" w:rsidRDefault="002A21B9" w:rsidP="008C5E65">
      <w:pPr>
        <w:pStyle w:val="StandardWeb"/>
        <w:numPr>
          <w:ilvl w:val="0"/>
          <w:numId w:val="400"/>
        </w:numPr>
      </w:pPr>
      <w:r>
        <w:t>(R_W) funktionalen Widerspruchsgrad,</w:t>
      </w:r>
    </w:p>
    <w:p w:rsidR="002A21B9" w:rsidRDefault="002A21B9" w:rsidP="008C5E65">
      <w:pPr>
        <w:pStyle w:val="StandardWeb"/>
        <w:numPr>
          <w:ilvl w:val="0"/>
          <w:numId w:val="400"/>
        </w:numPr>
      </w:pPr>
      <w:r>
        <w:t>(R_U) Unentscheidbarkeitsgrad,</w:t>
      </w:r>
    </w:p>
    <w:p w:rsidR="002A21B9" w:rsidRDefault="002A21B9" w:rsidP="008C5E65">
      <w:pPr>
        <w:pStyle w:val="StandardWeb"/>
        <w:numPr>
          <w:ilvl w:val="0"/>
          <w:numId w:val="400"/>
        </w:numPr>
      </w:pPr>
      <w:r>
        <w:t>(M_K) Konsistenzreserve,</w:t>
      </w:r>
    </w:p>
    <w:p w:rsidR="002A21B9" w:rsidRDefault="002A21B9" w:rsidP="008C5E65">
      <w:pPr>
        <w:pStyle w:val="StandardWeb"/>
        <w:numPr>
          <w:ilvl w:val="0"/>
          <w:numId w:val="400"/>
        </w:numPr>
      </w:pPr>
      <w:r>
        <w:t>(\Sigma_W) die vollständige Konfliktsignatur.</w:t>
      </w:r>
    </w:p>
    <w:p w:rsidR="002A21B9" w:rsidRDefault="00E50336" w:rsidP="002A21B9">
      <w:r>
        <w:pict>
          <v:rect id="_x0000_i1899" style="width:0;height:1.5pt" o:hralign="center" o:hrstd="t" o:hr="t" fillcolor="#a0a0a0" stroked="f"/>
        </w:pict>
      </w:r>
    </w:p>
    <w:p w:rsidR="002A21B9" w:rsidRDefault="002A21B9" w:rsidP="002A21B9">
      <w:pPr>
        <w:pStyle w:val="StandardWeb"/>
      </w:pPr>
      <w:r>
        <w:lastRenderedPageBreak/>
        <w:t>Eine wissenschaftliche Theorie gilt innerhalb der FRZK genau dann als vollständig konsistent, wenn sämtliche Komponenten gleichzeitig gültig sind.</w:t>
      </w:r>
    </w:p>
    <w:p w:rsidR="002A21B9" w:rsidRDefault="002A21B9" w:rsidP="002A21B9">
      <w:pPr>
        <w:pStyle w:val="berschrift1"/>
      </w:pPr>
      <w:r>
        <w:t>[</w:t>
      </w:r>
      <w:r>
        <w:br/>
        <w:t>K_{\mathrm{gesamt}}</w:t>
      </w:r>
    </w:p>
    <w:p w:rsidR="002A21B9" w:rsidRDefault="002A21B9" w:rsidP="002A21B9">
      <w:pPr>
        <w:pStyle w:val="berschrift1"/>
      </w:pPr>
      <w:r>
        <w:t>\prod_{i=1}^{12}</w:t>
      </w:r>
      <w:r>
        <w:br/>
        <w:t>K_i</w:t>
      </w:r>
    </w:p>
    <w:p w:rsidR="002A21B9" w:rsidRDefault="002A21B9" w:rsidP="002A21B9">
      <w:pPr>
        <w:pStyle w:val="StandardWeb"/>
      </w:pPr>
      <w:r>
        <w:t>1</w:t>
      </w:r>
      <w:r>
        <w:br/>
        <w:t>\tag{3.7968}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K_{\mathrm{gesamt}}=\prod_{i=1}^{12}K_i=1</w:t>
      </w:r>
    </w:p>
    <w:p w:rsidR="002A21B9" w:rsidRDefault="002A21B9" w:rsidP="002A21B9">
      <w:pPr>
        <w:pStyle w:val="StandardWeb"/>
      </w:pPr>
      <w:r>
        <w:t>Da einzelne Komponenten auch kontinuierliche Bewertungsgrößen besitzen können, wird anschließend ein gewichteter Gesamtindex eingeführt.</w:t>
      </w:r>
    </w:p>
    <w:p w:rsidR="002A21B9" w:rsidRDefault="002A21B9" w:rsidP="002A21B9">
      <w:pPr>
        <w:pStyle w:val="berschrift1"/>
      </w:pPr>
      <w:r>
        <w:t>[</w:t>
      </w:r>
      <w:r>
        <w:br/>
        <w:t>K_{\mathrm{index}}</w:t>
      </w:r>
    </w:p>
    <w:p w:rsidR="002A21B9" w:rsidRDefault="002A21B9" w:rsidP="002A21B9">
      <w:pPr>
        <w:pStyle w:val="StandardWeb"/>
      </w:pPr>
      <w:r>
        <w:t>\sum_{i=1}^{12}</w:t>
      </w:r>
      <w:r>
        <w:br/>
        <w:t>w_iK_i,</w:t>
      </w:r>
      <w:r>
        <w:br/>
        <w:t>\qquad</w:t>
      </w:r>
      <w:r>
        <w:br/>
        <w:t>\sum_i w_i=1</w:t>
      </w:r>
      <w:r>
        <w:br/>
        <w:t>\tag{3.7969}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K_{\mathrm{index}}=\sum_{i=1}^{12}w_iK_i,\qquad\sum_iw_i=1</w:t>
      </w:r>
    </w:p>
    <w:p w:rsidR="002A21B9" w:rsidRDefault="002A21B9" w:rsidP="002A21B9">
      <w:pPr>
        <w:pStyle w:val="StandardWeb"/>
      </w:pPr>
      <w:r>
        <w:t>Hierdurch lassen sich verschiedene wissenschaftliche Bewertungsstrategien modellieren, ohne die mathematische Struktur der Konsistenzarchitektur verändern zu müssen.</w:t>
      </w:r>
    </w:p>
    <w:p w:rsidR="002A21B9" w:rsidRDefault="00E50336" w:rsidP="002A21B9">
      <w:r>
        <w:pict>
          <v:rect id="_x0000_i1900" style="width:0;height:1.5pt" o:hralign="center" o:hrstd="t" o:hr="t" fillcolor="#a0a0a0" stroked="f"/>
        </w:pict>
      </w:r>
    </w:p>
    <w:p w:rsidR="002A21B9" w:rsidRDefault="002A21B9" w:rsidP="002A21B9">
      <w:pPr>
        <w:pStyle w:val="StandardWeb"/>
      </w:pPr>
      <w:r>
        <w:t>Im Spezialfall gleicher Gewichtung ergibt sich</w:t>
      </w:r>
    </w:p>
    <w:p w:rsidR="002A21B9" w:rsidRDefault="002A21B9" w:rsidP="002A21B9">
      <w:pPr>
        <w:pStyle w:val="StandardWeb"/>
      </w:pPr>
      <w:r>
        <w:t>[</w:t>
      </w:r>
      <w:r>
        <w:br/>
        <w:t>w_i=\frac1{12}</w:t>
      </w:r>
      <w:r>
        <w:br/>
        <w:t>\tag{3.7970}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lastRenderedPageBreak/>
        <w:t>w_i=\frac{1}{12}</w:t>
      </w:r>
    </w:p>
    <w:p w:rsidR="002A21B9" w:rsidRDefault="002A21B9" w:rsidP="002A21B9">
      <w:pPr>
        <w:pStyle w:val="StandardWeb"/>
      </w:pPr>
      <w:r>
        <w:t>und damit</w:t>
      </w:r>
    </w:p>
    <w:p w:rsidR="002A21B9" w:rsidRDefault="002A21B9" w:rsidP="002A21B9">
      <w:pPr>
        <w:pStyle w:val="berschrift1"/>
      </w:pPr>
      <w:r>
        <w:t>[</w:t>
      </w:r>
      <w:r>
        <w:br/>
        <w:t>K_{\mathrm{index}}</w:t>
      </w:r>
    </w:p>
    <w:p w:rsidR="002A21B9" w:rsidRDefault="002A21B9" w:rsidP="002A21B9">
      <w:pPr>
        <w:pStyle w:val="StandardWeb"/>
      </w:pPr>
      <w:r>
        <w:t>\frac1{12}</w:t>
      </w:r>
      <w:r>
        <w:br/>
        <w:t>\sum_{i=1}^{12}K_i</w:t>
      </w:r>
      <w:r>
        <w:br/>
        <w:t>\tag{3.7971}</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K_{\mathrm{index}}=\frac{1}{12}\sum_{i=1}^{12}K_i</w:t>
      </w:r>
    </w:p>
    <w:p w:rsidR="002A21B9" w:rsidRDefault="002A21B9" w:rsidP="002A21B9">
      <w:pPr>
        <w:pStyle w:val="StandardWeb"/>
      </w:pPr>
      <w:r>
        <w:t>Dieser Index beschreibt den mittleren funktionalen Konsistenzzustand einer wissenschaftlichen Theorie.</w:t>
      </w:r>
    </w:p>
    <w:p w:rsidR="002A21B9" w:rsidRDefault="00E50336" w:rsidP="002A21B9">
      <w:r>
        <w:pict>
          <v:rect id="_x0000_i1901" style="width:0;height:1.5pt" o:hralign="center" o:hrstd="t" o:hr="t" fillcolor="#a0a0a0" stroked="f"/>
        </w:pict>
      </w:r>
    </w:p>
    <w:p w:rsidR="002A21B9" w:rsidRDefault="002A21B9" w:rsidP="002A21B9">
      <w:pPr>
        <w:pStyle w:val="StandardWeb"/>
      </w:pPr>
      <w:r>
        <w:t>Die Komponenten können darüber hinaus in Ebenen gruppiert werden.</w:t>
      </w:r>
    </w:p>
    <w:p w:rsidR="002A21B9" w:rsidRDefault="002A21B9" w:rsidP="002A21B9">
      <w:pPr>
        <w:pStyle w:val="berschrift1"/>
      </w:pPr>
      <w:r>
        <w:t>[</w:t>
      </w:r>
      <w:r>
        <w:br/>
        <w:t>\mathfrak C_F</w:t>
      </w:r>
    </w:p>
    <w:p w:rsidR="002A21B9" w:rsidRDefault="002A21B9" w:rsidP="002A21B9">
      <w:pPr>
        <w:pStyle w:val="StandardWeb"/>
      </w:pPr>
      <w:r>
        <w:t>\mathfrak C_{\mathrm{formal}}</w:t>
      </w:r>
      <w:r>
        <w:br/>
        <w:t>\oplus</w:t>
      </w:r>
      <w:r>
        <w:br/>
        <w:t>\mathfrak C_{\mathrm{inhalt}}</w:t>
      </w:r>
      <w:r>
        <w:br/>
        <w:t>\oplus</w:t>
      </w:r>
      <w:r>
        <w:br/>
        <w:t>\mathfrak C_{\mathrm{emp}}</w:t>
      </w:r>
      <w:r>
        <w:br/>
        <w:t>\oplus</w:t>
      </w:r>
      <w:r>
        <w:br/>
        <w:t>\mathfrak C_{\mathrm{repo}}</w:t>
      </w:r>
      <w:r>
        <w:br/>
        <w:t>\tag{3.7972}</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\mathfrak{C}_{F}=\mathfrak{C}_{\mathrm{formal}}\oplus\mathfrak{C}_{\mathrm{inhalt}}\oplus\mathfrak{C}_{\mathrm{emp}}\oplus\mathfrak{C}_{\mathrm{repo}}</w:t>
      </w:r>
    </w:p>
    <w:p w:rsidR="002A21B9" w:rsidRDefault="002A21B9" w:rsidP="002A21B9">
      <w:pPr>
        <w:pStyle w:val="StandardWeb"/>
      </w:pPr>
      <w:r>
        <w:t>Dabei umfasst</w:t>
      </w:r>
    </w:p>
    <w:p w:rsidR="002A21B9" w:rsidRDefault="002A21B9" w:rsidP="008C5E65">
      <w:pPr>
        <w:pStyle w:val="StandardWeb"/>
        <w:numPr>
          <w:ilvl w:val="0"/>
          <w:numId w:val="401"/>
        </w:numPr>
      </w:pPr>
      <w:r>
        <w:t>formale Konsistenz die mathematischen Strukturen,</w:t>
      </w:r>
    </w:p>
    <w:p w:rsidR="002A21B9" w:rsidRDefault="002A21B9" w:rsidP="008C5E65">
      <w:pPr>
        <w:pStyle w:val="StandardWeb"/>
        <w:numPr>
          <w:ilvl w:val="0"/>
          <w:numId w:val="401"/>
        </w:numPr>
      </w:pPr>
      <w:r>
        <w:t>inhaltliche Konsistenz die semantischen Beziehungen,</w:t>
      </w:r>
    </w:p>
    <w:p w:rsidR="002A21B9" w:rsidRDefault="002A21B9" w:rsidP="008C5E65">
      <w:pPr>
        <w:pStyle w:val="StandardWeb"/>
        <w:numPr>
          <w:ilvl w:val="0"/>
          <w:numId w:val="401"/>
        </w:numPr>
      </w:pPr>
      <w:r>
        <w:t>empirische Konsistenz die Übereinstimmung mit Beobachtungen,</w:t>
      </w:r>
    </w:p>
    <w:p w:rsidR="002A21B9" w:rsidRDefault="002A21B9" w:rsidP="008C5E65">
      <w:pPr>
        <w:pStyle w:val="StandardWeb"/>
        <w:numPr>
          <w:ilvl w:val="0"/>
          <w:numId w:val="401"/>
        </w:numPr>
      </w:pPr>
      <w:r>
        <w:t>Repository-Konsistenz die technische Nachvollziehbarkeit.</w:t>
      </w:r>
    </w:p>
    <w:p w:rsidR="002A21B9" w:rsidRDefault="00E50336" w:rsidP="002A21B9">
      <w:r>
        <w:pict>
          <v:rect id="_x0000_i1902" style="width:0;height:1.5pt" o:hralign="center" o:hrstd="t" o:hr="t" fillcolor="#a0a0a0" stroked="f"/>
        </w:pict>
      </w:r>
    </w:p>
    <w:p w:rsidR="002A21B9" w:rsidRDefault="002A21B9" w:rsidP="002A21B9">
      <w:pPr>
        <w:pStyle w:val="StandardWeb"/>
      </w:pPr>
      <w:r>
        <w:lastRenderedPageBreak/>
        <w:t>Damit entsteht eine hierarchische Architektur wissenschaftlicher Konsistenz, in der jede Ebene unabhängig geprüft werden kann, ohne ihre Einbettung in das Gesamtsystem zu verlieren. Dies bildet die Grundlage für den folgenden Abschnitt, in dem aus der Konsistenzarchitektur konkrete wissenschaftliche Bewertungsoperatoren entwickelt werden.</w:t>
      </w:r>
    </w:p>
    <w:p w:rsidR="002A21B9" w:rsidRDefault="002A21B9" w:rsidP="002A21B9">
      <w:pPr>
        <w:pStyle w:val="StandardWeb"/>
      </w:pPr>
      <w:r>
        <w:rPr>
          <w:rStyle w:val="Hervorhebung"/>
        </w:rPr>
        <w:t>(Methodologische und didaktische Betrachtungen folgen – wie vereinbart – erst am Ende des Gesamtabschnitts 3.3.42.)</w:t>
      </w:r>
    </w:p>
    <w:p w:rsidR="002A21B9" w:rsidRDefault="002A21B9" w:rsidP="002A21B9">
      <w:pPr>
        <w:pStyle w:val="berschrift2"/>
        <w:rPr>
          <w:rFonts w:cs="Times New Roman"/>
        </w:rPr>
      </w:pPr>
      <w:r>
        <w:t>3.3.42.164 Konsistenzoperator zweiter Ordnung</w:t>
      </w:r>
    </w:p>
    <w:p w:rsidR="002A21B9" w:rsidRDefault="002A21B9" w:rsidP="002A21B9">
      <w:pPr>
        <w:pStyle w:val="StandardWeb"/>
      </w:pPr>
      <w:r>
        <w:t>Die bisher eingeführten Konsistenzoperatoren bewerten Aussagen unmittelbar hinsichtlich ihrer gegenseitigen funktionalen Verträglichkeit. Für komplexe wissenschaftliche Theorien genügt diese Betrachtung jedoch nicht mehr. Sobald Aussagen selbst Beziehungen zwischen weiteren Aussagen beschreiben, muss auch die Konsistenz dieser Beziehungen überprüft werden. Dadurch entsteht ein Konsistenzoperator zweiter Ordnung.</w:t>
      </w:r>
    </w:p>
    <w:p w:rsidR="002A21B9" w:rsidRDefault="002A21B9" w:rsidP="002A21B9">
      <w:pPr>
        <w:pStyle w:val="StandardWeb"/>
      </w:pPr>
      <w:r>
        <w:t>Es seien zwei Aussagenrelationen</w:t>
      </w:r>
    </w:p>
    <w:p w:rsidR="002A21B9" w:rsidRDefault="002A21B9" w:rsidP="002A21B9">
      <w:pPr>
        <w:pStyle w:val="StandardWeb"/>
      </w:pPr>
      <w:r>
        <w:t>[</w:t>
      </w:r>
      <w:r>
        <w:br/>
        <w:t>R_1=(A_i,A_j),</w:t>
      </w:r>
      <w:r>
        <w:br/>
        <w:t>\qquad</w:t>
      </w:r>
      <w:r>
        <w:br/>
        <w:t>R_2=(A_k,A_l)</w:t>
      </w:r>
      <w:r>
        <w:br/>
        <w:t>\tag{3.7973}</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R_1=(A_i,A_j),\qquad R_2=(A_k,A_l)</w:t>
      </w:r>
    </w:p>
    <w:p w:rsidR="002A21B9" w:rsidRDefault="002A21B9" w:rsidP="002A21B9">
      <w:pPr>
        <w:pStyle w:val="StandardWeb"/>
      </w:pPr>
      <w:r>
        <w:t>gegeben.</w:t>
      </w:r>
    </w:p>
    <w:p w:rsidR="002A21B9" w:rsidRDefault="002A21B9" w:rsidP="002A21B9">
      <w:pPr>
        <w:pStyle w:val="StandardWeb"/>
      </w:pPr>
      <w:r>
        <w:t>Der Konsistenzoperator zweiter Ordnung wird definiert als</w:t>
      </w:r>
    </w:p>
    <w:p w:rsidR="002A21B9" w:rsidRDefault="002A21B9" w:rsidP="002A21B9">
      <w:pPr>
        <w:pStyle w:val="StandardWeb"/>
      </w:pPr>
      <w:r>
        <w:t>[</w:t>
      </w:r>
      <w:r>
        <w:br/>
        <w:t>\mathfrak K^{(2)}</w:t>
      </w:r>
      <w:r>
        <w:br/>
        <w:t>:</w:t>
      </w:r>
      <w:r>
        <w:br/>
        <w:t>\mathcal R</w:t>
      </w:r>
      <w:r>
        <w:br/>
        <w:t>\times</w:t>
      </w:r>
      <w:r>
        <w:br/>
        <w:t>\mathcal R</w:t>
      </w:r>
      <w:r>
        <w:br/>
        <w:t>\longrightarrow</w:t>
      </w:r>
      <w:r>
        <w:br/>
        <w:t>{0,1}</w:t>
      </w:r>
      <w:r>
        <w:br/>
        <w:t>\tag{3.7974}</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\mathfrak{K}^{(2)}:\mathcal{R}\times\mathcal{R}\longrightarrow\{0,1\}</w:t>
      </w:r>
    </w:p>
    <w:p w:rsidR="002A21B9" w:rsidRDefault="002A21B9" w:rsidP="002A21B9">
      <w:pPr>
        <w:pStyle w:val="StandardWeb"/>
      </w:pPr>
      <w:r>
        <w:t>Dabei bezeichnet (\mathcal R) den Raum sämtlicher wissenschaftlicher Aussagenrelationen.</w:t>
      </w:r>
    </w:p>
    <w:p w:rsidR="002A21B9" w:rsidRDefault="002A21B9" w:rsidP="002A21B9">
      <w:pPr>
        <w:pStyle w:val="StandardWeb"/>
      </w:pPr>
      <w:r>
        <w:t>Für zwei Relationen gilt</w:t>
      </w:r>
    </w:p>
    <w:p w:rsidR="002A21B9" w:rsidRDefault="002A21B9" w:rsidP="002A21B9">
      <w:pPr>
        <w:pStyle w:val="berschrift1"/>
      </w:pPr>
      <w:r>
        <w:lastRenderedPageBreak/>
        <w:t>[</w:t>
      </w:r>
      <w:r>
        <w:br/>
        <w:t>\mathfrak K^{(2)}</w:t>
      </w:r>
      <w:r>
        <w:br/>
        <w:t>(R_1,R_2)</w:t>
      </w:r>
    </w:p>
    <w:p w:rsidR="002A21B9" w:rsidRDefault="002A21B9" w:rsidP="002A21B9">
      <w:pPr>
        <w:pStyle w:val="StandardWeb"/>
      </w:pPr>
      <w:r>
        <w:t>1,</w:t>
      </w:r>
      <w:r>
        <w:br/>
        <w:t>]</w:t>
      </w:r>
    </w:p>
    <w:p w:rsidR="002A21B9" w:rsidRDefault="002A21B9" w:rsidP="002A21B9">
      <w:pPr>
        <w:pStyle w:val="StandardWeb"/>
      </w:pPr>
      <w:r>
        <w:t>genau dann, wenn beide Relationen gemeinsam widerspruchsfrei erfüllt werden können.</w:t>
      </w:r>
    </w:p>
    <w:p w:rsidR="002A21B9" w:rsidRDefault="002A21B9" w:rsidP="002A21B9">
      <w:pPr>
        <w:pStyle w:val="StandardWeb"/>
      </w:pPr>
      <w:r>
        <w:t>[</w:t>
      </w:r>
      <w:r>
        <w:br/>
        <w:t>\exists z\in\Omega:</w:t>
      </w:r>
      <w:r>
        <w:br/>
        <w:t>R_1(z)\land R_2(z)</w:t>
      </w:r>
      <w:r>
        <w:br/>
        <w:t>\tag{3.7975}</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\exists z\in\Omega:R_1(z)\land R_2(z)</w:t>
      </w:r>
    </w:p>
    <w:p w:rsidR="002A21B9" w:rsidRDefault="002A21B9" w:rsidP="002A21B9">
      <w:pPr>
        <w:pStyle w:val="StandardWeb"/>
      </w:pPr>
      <w:r>
        <w:t>Existiert kein gemeinsamer Zustand,</w:t>
      </w:r>
    </w:p>
    <w:p w:rsidR="002A21B9" w:rsidRDefault="002A21B9" w:rsidP="002A21B9">
      <w:pPr>
        <w:pStyle w:val="StandardWeb"/>
      </w:pPr>
      <w:r>
        <w:t>[</w:t>
      </w:r>
      <w:r>
        <w:br/>
        <w:t>\forall z\in\Omega:</w:t>
      </w:r>
      <w:r>
        <w:br/>
        <w:t>R_1(z)\land R_2(z)=0</w:t>
      </w:r>
      <w:r>
        <w:br/>
        <w:t>\tag{3.7976}</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\forall z\in\Omega:R_1(z)\land R_2(z)=0</w:t>
      </w:r>
    </w:p>
    <w:p w:rsidR="002A21B9" w:rsidRDefault="002A21B9" w:rsidP="002A21B9">
      <w:pPr>
        <w:pStyle w:val="StandardWeb"/>
      </w:pPr>
      <w:r>
        <w:t>so folgt</w:t>
      </w:r>
    </w:p>
    <w:p w:rsidR="002A21B9" w:rsidRDefault="002A21B9" w:rsidP="002A21B9">
      <w:pPr>
        <w:pStyle w:val="berschrift1"/>
      </w:pPr>
      <w:r>
        <w:t>[</w:t>
      </w:r>
      <w:r>
        <w:br/>
        <w:t>\mathfrak K^{(2)}</w:t>
      </w:r>
      <w:r>
        <w:br/>
        <w:t>(R_1,R_2)</w:t>
      </w:r>
    </w:p>
    <w:p w:rsidR="002A21B9" w:rsidRDefault="002A21B9" w:rsidP="002A21B9">
      <w:pPr>
        <w:pStyle w:val="StandardWeb"/>
      </w:pPr>
      <w:r>
        <w:t>0</w:t>
      </w:r>
      <w:r>
        <w:br/>
        <w:t>\tag{3.7977}</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\mathfrak{K}^{(2)}(R_1,R_2)=0</w:t>
      </w:r>
    </w:p>
    <w:p w:rsidR="002A21B9" w:rsidRDefault="002A21B9" w:rsidP="002A21B9">
      <w:pPr>
        <w:pStyle w:val="StandardWeb"/>
      </w:pPr>
      <w:r>
        <w:t>Der Operator zweiter Ordnung beschreibt somit nicht mehr Aussagen selbst, sondern deren funktionale Beziehungen.</w:t>
      </w:r>
    </w:p>
    <w:p w:rsidR="002A21B9" w:rsidRDefault="002A21B9" w:rsidP="002A21B9">
      <w:pPr>
        <w:pStyle w:val="StandardWeb"/>
      </w:pPr>
      <w:r>
        <w:lastRenderedPageBreak/>
        <w:t>Zur Quantifizierung wird der Konsistenzgrad zweiter Ordnung definiert als</w:t>
      </w:r>
    </w:p>
    <w:p w:rsidR="002A21B9" w:rsidRDefault="002A21B9" w:rsidP="002A21B9">
      <w:pPr>
        <w:pStyle w:val="berschrift1"/>
      </w:pPr>
      <w:r>
        <w:t>[</w:t>
      </w:r>
      <w:r>
        <w:br/>
        <w:t>R_K^{(2)}</w:t>
      </w:r>
    </w:p>
    <w:p w:rsidR="002A21B9" w:rsidRDefault="002A21B9" w:rsidP="002A21B9">
      <w:pPr>
        <w:pStyle w:val="StandardWeb"/>
      </w:pPr>
      <w:r>
        <w:t>\frac{</w:t>
      </w:r>
      <w:r>
        <w:br/>
        <w:t>\mu(\Omega^{K}_{R})</w:t>
      </w:r>
      <w:r>
        <w:br/>
        <w:t>}</w:t>
      </w:r>
      <w:r>
        <w:br/>
        <w:t>{</w:t>
      </w:r>
      <w:r>
        <w:br/>
        <w:t>\mu(\Omega_R)</w:t>
      </w:r>
      <w:r>
        <w:br/>
        <w:t>}</w:t>
      </w:r>
      <w:r>
        <w:br/>
        <w:t>\tag{3.7978}</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R_K^{(2)}=\frac{\mu(\Omega^{K}_{R})}{\mu(\Omega_{R})}</w:t>
      </w:r>
    </w:p>
    <w:p w:rsidR="002A21B9" w:rsidRDefault="002A21B9" w:rsidP="002A21B9">
      <w:pPr>
        <w:pStyle w:val="StandardWeb"/>
      </w:pPr>
      <w:r>
        <w:t>Hierbei bezeichnet (\Omega_R) den gemeinsamen Zustandsraum sämtlicher betrachteter Relationen.</w:t>
      </w:r>
    </w:p>
    <w:p w:rsidR="002A21B9" w:rsidRDefault="002A21B9" w:rsidP="002A21B9">
      <w:pPr>
        <w:pStyle w:val="StandardWeb"/>
      </w:pPr>
      <w:r>
        <w:t>Für mehrere Relationen</w:t>
      </w:r>
    </w:p>
    <w:p w:rsidR="002A21B9" w:rsidRDefault="002A21B9" w:rsidP="002A21B9">
      <w:pPr>
        <w:pStyle w:val="StandardWeb"/>
      </w:pPr>
      <w:r>
        <w:t>[</w:t>
      </w:r>
      <w:r>
        <w:br/>
        <w:t>\mathcal R_n=</w:t>
      </w:r>
      <w:r>
        <w:br/>
        <w:t>{R_1,\ldots,R_n}</w:t>
      </w:r>
      <w:r>
        <w:br/>
        <w:t>\tag{3.7979}</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\mathcal{R}_n=\{R_1,\ldots,R_n\}</w:t>
      </w:r>
    </w:p>
    <w:p w:rsidR="002A21B9" w:rsidRDefault="002A21B9" w:rsidP="002A21B9">
      <w:pPr>
        <w:pStyle w:val="StandardWeb"/>
      </w:pPr>
      <w:r>
        <w:t>ergibt sich</w:t>
      </w:r>
    </w:p>
    <w:p w:rsidR="002A21B9" w:rsidRDefault="002A21B9" w:rsidP="002A21B9">
      <w:pPr>
        <w:pStyle w:val="berschrift1"/>
      </w:pPr>
      <w:r>
        <w:t>[</w:t>
      </w:r>
      <w:r>
        <w:br/>
        <w:t>K^{(2)}</w:t>
      </w:r>
      <w:r>
        <w:br/>
        <w:t>(\mathcal R_n)</w:t>
      </w:r>
    </w:p>
    <w:p w:rsidR="002A21B9" w:rsidRDefault="002A21B9" w:rsidP="002A21B9">
      <w:pPr>
        <w:pStyle w:val="StandardWeb"/>
      </w:pPr>
      <w:r>
        <w:t>1</w:t>
      </w:r>
      <w:r>
        <w:br/>
        <w:t>\Longleftrightarrow</w:t>
      </w:r>
      <w:r>
        <w:br/>
        <w:t>\exists z</w:t>
      </w:r>
      <w:r>
        <w:br/>
        <w:t>\in</w:t>
      </w:r>
      <w:r>
        <w:br/>
        <w:t>\Omega</w:t>
      </w:r>
      <w:r>
        <w:br/>
        <w:t>:</w:t>
      </w:r>
      <w:r>
        <w:br/>
        <w:t>\bigwedge_{i=1}^{n}</w:t>
      </w:r>
      <w:r>
        <w:br/>
        <w:t>R_i(z)</w:t>
      </w:r>
      <w:r>
        <w:br/>
      </w:r>
      <w:r>
        <w:lastRenderedPageBreak/>
        <w:t>\tag{3.7980}</w:t>
      </w:r>
      <w:r>
        <w:br/>
        <w:t>]</w:t>
      </w:r>
    </w:p>
    <w:p w:rsidR="002A21B9" w:rsidRDefault="002A21B9" w:rsidP="002A21B9">
      <w:pPr>
        <w:pStyle w:val="StandardWeb"/>
      </w:pPr>
      <w:r>
        <w:rPr>
          <w:rStyle w:val="Fett"/>
        </w:rPr>
        <w:t>Word-LaTeX</w:t>
      </w:r>
    </w:p>
    <w:p w:rsidR="002A21B9" w:rsidRDefault="002A21B9" w:rsidP="002A21B9">
      <w:pPr>
        <w:pStyle w:val="HTMLVorformatiert"/>
        <w:rPr>
          <w:rStyle w:val="HTMLCode"/>
        </w:rPr>
      </w:pPr>
      <w:r>
        <w:rPr>
          <w:rStyle w:val="HTMLCode"/>
        </w:rPr>
        <w:t>K^{(2)}(\mathcal{R}_n)=1\Longleftrightarrow\exists z\in\Omega:\bigwedge_{i=1}^{n}R_i(z)</w:t>
      </w:r>
    </w:p>
    <w:p w:rsidR="002A21B9" w:rsidRDefault="002A21B9" w:rsidP="002A21B9">
      <w:pPr>
        <w:pStyle w:val="StandardWeb"/>
      </w:pPr>
      <w:r>
        <w:t>Damit entsteht eine zweite Hierarchieebene wissenschaftlicher Konsistenz. Während der erste Konsistenzoperator Aussagen bewertet, untersucht der Operator zweiter Ordnung die Verträglichkeit kompletter wissenschaftlicher Strukturbeziehungen. Dadurch lassen sich umfangreiche Theorien nicht nur hinsichtlich einzelner Aussagen, sondern auch hinsichtlich ihrer gesamten Beziehungsarchitektur analysieren.</w:t>
      </w:r>
    </w:p>
    <w:p w:rsidR="002A21B9" w:rsidRDefault="002A21B9" w:rsidP="002A21B9">
      <w:pPr>
        <w:pStyle w:val="StandardWeb"/>
      </w:pPr>
      <w:r>
        <w:rPr>
          <w:rStyle w:val="Hervorhebung"/>
        </w:rPr>
        <w:t>(Die methodologischen und didaktischen Betrachtungen werden – wie vereinbart – erst am Ende des Gesamtabschnitts 3.3.42 ergänzt.)</w:t>
      </w:r>
    </w:p>
    <w:p w:rsidR="000E42A8" w:rsidRDefault="000E42A8" w:rsidP="000E42A8">
      <w:pPr>
        <w:pStyle w:val="berschrift2"/>
        <w:rPr>
          <w:rFonts w:cs="Times New Roman"/>
        </w:rPr>
      </w:pPr>
      <w:r>
        <w:t>3.3.42.165 Konsistenz unter Transformationen</w:t>
      </w:r>
    </w:p>
    <w:p w:rsidR="000E42A8" w:rsidRDefault="000E42A8" w:rsidP="000E42A8">
      <w:pPr>
        <w:pStyle w:val="StandardWeb"/>
      </w:pPr>
      <w:r>
        <w:t>Die bisherige Konsistenzarchitektur wurde überwiegend für Aussagen, Aussagenmengen und Relationen formuliert. Wissenschaftliche Modelle enthalten jedoch zusätzlich Transformationen, durch die Zustände, Parameter, Beobachtungen oder ganze Aussagenstrukturen verändert werden. Für das FRZK ist deshalb zu prüfen, ob Konsistenz unter zulässigen Transformationen erhalten bleibt.</w:t>
      </w:r>
    </w:p>
    <w:p w:rsidR="000E42A8" w:rsidRDefault="000E42A8" w:rsidP="000E42A8">
      <w:pPr>
        <w:pStyle w:val="StandardWeb"/>
      </w:pPr>
      <w:r>
        <w:t>Sei</w:t>
      </w:r>
    </w:p>
    <w:p w:rsidR="000E42A8" w:rsidRDefault="000E42A8" w:rsidP="000E42A8">
      <w:pPr>
        <w:pStyle w:val="StandardWeb"/>
      </w:pPr>
      <w:r>
        <w:t>[</w:t>
      </w:r>
      <w:r>
        <w:br/>
        <w:t>T:\Omega\rightarrow\Omega'</w:t>
      </w:r>
      <w:r>
        <w:br/>
        <w:t>\tag{3.7981}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T:\Omega\rightarrow\Omega'\qquad\text{(3.7981)}</w:t>
      </w:r>
    </w:p>
    <w:p w:rsidR="000E42A8" w:rsidRDefault="000E42A8" w:rsidP="000E42A8">
      <w:pPr>
        <w:pStyle w:val="StandardWeb"/>
      </w:pPr>
      <w:r>
        <w:t>eine zulässige Transformation eines funktionalen Zustandsraumes.</w:t>
      </w:r>
    </w:p>
    <w:p w:rsidR="000E42A8" w:rsidRDefault="000E42A8" w:rsidP="000E42A8">
      <w:pPr>
        <w:pStyle w:val="StandardWeb"/>
      </w:pPr>
      <w:r>
        <w:t>Eine Aussage (A_i) werde unter (T) transformiert zu</w:t>
      </w:r>
    </w:p>
    <w:p w:rsidR="000E42A8" w:rsidRDefault="000E42A8" w:rsidP="000E42A8">
      <w:pPr>
        <w:pStyle w:val="StandardWeb"/>
      </w:pPr>
      <w:r>
        <w:t>[</w:t>
      </w:r>
      <w:r>
        <w:br/>
        <w:t>T[A_i].</w:t>
      </w:r>
      <w:r>
        <w:br/>
        <w:t>\tag{3.7982}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T[A_i]\qquad\text{(3.7982)}</w:t>
      </w:r>
    </w:p>
    <w:p w:rsidR="000E42A8" w:rsidRDefault="000E42A8" w:rsidP="000E42A8">
      <w:pPr>
        <w:pStyle w:val="StandardWeb"/>
      </w:pPr>
      <w:r>
        <w:t>Für zwei Aussagen (A_i) und (A_j) stellt sich damit die Frage, ob aus ihrer Konsistenz vor der Transformation auch ihre Konsistenz nach der Transformation folgt.</w:t>
      </w:r>
    </w:p>
    <w:p w:rsidR="000E42A8" w:rsidRDefault="000E42A8" w:rsidP="000E42A8">
      <w:pPr>
        <w:pStyle w:val="StandardWeb"/>
      </w:pPr>
      <w:r>
        <w:lastRenderedPageBreak/>
        <w:t>Ich schreibe hierfür</w:t>
      </w:r>
    </w:p>
    <w:p w:rsidR="000E42A8" w:rsidRDefault="000E42A8" w:rsidP="000E42A8">
      <w:pPr>
        <w:pStyle w:val="StandardWeb"/>
      </w:pPr>
      <w:r>
        <w:t>[</w:t>
      </w:r>
      <w:r>
        <w:br/>
        <w:t>K_F(A_i,A_j)=1</w:t>
      </w:r>
      <w:r>
        <w:br/>
        <w:t>\stackrel{?}{\Longrightarrow}</w:t>
      </w:r>
      <w:r>
        <w:br/>
        <w:t>K_F(T[A_i],T[A_j])=1.</w:t>
      </w:r>
      <w:r>
        <w:br/>
        <w:t>\tag{3.7983}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K_F(A_i,A_j)=1\stackrel{?}{\Longrightarrow}K_F(T[A_i],T[A_j])=1\qquad\text{(3.7983)}</w:t>
      </w:r>
    </w:p>
    <w:p w:rsidR="000E42A8" w:rsidRDefault="000E42A8" w:rsidP="000E42A8">
      <w:pPr>
        <w:pStyle w:val="StandardWeb"/>
      </w:pPr>
      <w:r>
        <w:t>Diese Implikation gilt nicht für jede beliebige Transformation.</w:t>
      </w:r>
    </w:p>
    <w:p w:rsidR="000E42A8" w:rsidRDefault="00E50336" w:rsidP="000E42A8">
      <w:r>
        <w:pict>
          <v:rect id="_x0000_i1903" style="width:0;height:1.5pt" o:hralign="center" o:hrstd="t" o:hr="t" fillcolor="#a0a0a0" stroked="f"/>
        </w:pict>
      </w:r>
    </w:p>
    <w:p w:rsidR="000E42A8" w:rsidRDefault="000E42A8" w:rsidP="000E42A8">
      <w:pPr>
        <w:pStyle w:val="berschrift3"/>
      </w:pPr>
      <w:r>
        <w:t>Definition 3.3.48 (Konsistenzerhaltende Transformation)</w:t>
      </w:r>
    </w:p>
    <w:p w:rsidR="000E42A8" w:rsidRDefault="000E42A8" w:rsidP="000E42A8">
      <w:pPr>
        <w:pStyle w:val="StandardWeb"/>
      </w:pPr>
      <w:r>
        <w:t xml:space="preserve">Ich bezeichne eine Transformation (T) als </w:t>
      </w:r>
      <w:r>
        <w:rPr>
          <w:rStyle w:val="Fett"/>
        </w:rPr>
        <w:t>konsistenzerhaltend</w:t>
      </w:r>
      <w:r>
        <w:t xml:space="preserve"> bezüglich einer Aussagenklasse (\mathcal A_T), wenn</w:t>
      </w:r>
    </w:p>
    <w:p w:rsidR="000E42A8" w:rsidRDefault="000E42A8" w:rsidP="000E42A8">
      <w:pPr>
        <w:pStyle w:val="StandardWeb"/>
      </w:pPr>
      <w:r>
        <w:t>[</w:t>
      </w:r>
      <w:r>
        <w:br/>
        <w:t>K_F(A_i,A_j)=1</w:t>
      </w:r>
      <w:r>
        <w:br/>
        <w:t>\Longrightarrow</w:t>
      </w:r>
      <w:r>
        <w:br/>
        <w:t>K_F(T[A_i],T[A_j])=1</w:t>
      </w:r>
      <w:r>
        <w:br/>
        <w:t>\tag{3.7984}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K_F(A_i,A_j)=1\Longrightarrow K_F(T[A_i],T[A_j])=1\qquad\text{(3.7984)}</w:t>
      </w:r>
    </w:p>
    <w:p w:rsidR="000E42A8" w:rsidRDefault="000E42A8" w:rsidP="000E42A8">
      <w:pPr>
        <w:pStyle w:val="StandardWeb"/>
      </w:pPr>
      <w:r>
        <w:t>für alle</w:t>
      </w:r>
    </w:p>
    <w:p w:rsidR="000E42A8" w:rsidRDefault="000E42A8" w:rsidP="000E42A8">
      <w:pPr>
        <w:pStyle w:val="StandardWeb"/>
      </w:pPr>
      <w:r>
        <w:t>[</w:t>
      </w:r>
      <w:r>
        <w:br/>
        <w:t>A_i,A_j\in\mathcal A_T</w:t>
      </w:r>
      <w:r>
        <w:br/>
        <w:t>\tag{3.7985}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A_i,A_j\in\mathcal A_T\qquad\text{(3.7985)}</w:t>
      </w:r>
    </w:p>
    <w:p w:rsidR="000E42A8" w:rsidRDefault="000E42A8" w:rsidP="000E42A8">
      <w:pPr>
        <w:pStyle w:val="StandardWeb"/>
      </w:pPr>
      <w:r>
        <w:t>gilt.</w:t>
      </w:r>
    </w:p>
    <w:p w:rsidR="000E42A8" w:rsidRDefault="000E42A8" w:rsidP="000E42A8">
      <w:pPr>
        <w:pStyle w:val="StandardWeb"/>
      </w:pPr>
      <w:r>
        <w:t>Ich schreibe</w:t>
      </w:r>
    </w:p>
    <w:p w:rsidR="000E42A8" w:rsidRDefault="000E42A8" w:rsidP="000E42A8">
      <w:pPr>
        <w:pStyle w:val="StandardWeb"/>
      </w:pPr>
      <w:r>
        <w:t>[</w:t>
      </w:r>
      <w:r>
        <w:br/>
        <w:t>T\in\operatorname{Pres}(K_F)</w:t>
      </w:r>
      <w:r>
        <w:br/>
      </w:r>
      <w:r>
        <w:lastRenderedPageBreak/>
        <w:t>\tag{3.7986}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T\in\operatorname{Pres}(K_F)\qquad\text{(3.7986)}</w:t>
      </w:r>
    </w:p>
    <w:p w:rsidR="000E42A8" w:rsidRDefault="000E42A8" w:rsidP="000E42A8">
      <w:pPr>
        <w:pStyle w:val="StandardWeb"/>
      </w:pPr>
      <w:r>
        <w:t>für die Klasse konsistenzerhaltender Transformationen.</w:t>
      </w:r>
    </w:p>
    <w:p w:rsidR="000E42A8" w:rsidRDefault="00E50336" w:rsidP="000E42A8">
      <w:r>
        <w:pict>
          <v:rect id="_x0000_i1904" style="width:0;height:1.5pt" o:hralign="center" o:hrstd="t" o:hr="t" fillcolor="#a0a0a0" stroked="f"/>
        </w:pict>
      </w:r>
    </w:p>
    <w:p w:rsidR="000E42A8" w:rsidRDefault="000E42A8" w:rsidP="000E42A8">
      <w:pPr>
        <w:pStyle w:val="berschrift2"/>
      </w:pPr>
      <w:r>
        <w:t>3.3.42.166 Stark konsistenzerhaltende Transformation</w:t>
      </w:r>
    </w:p>
    <w:p w:rsidR="000E42A8" w:rsidRDefault="000E42A8" w:rsidP="000E42A8">
      <w:pPr>
        <w:pStyle w:val="StandardWeb"/>
      </w:pPr>
      <w:r>
        <w:t>Die Bedingung aus Definition 3.3.48 fordert lediglich, dass konsistente Aussagen konsistent bleiben. Eine stärkere Eigenschaft verlangt zusätzlich die Erhaltung inkonsistenter Beziehungen.</w:t>
      </w:r>
    </w:p>
    <w:p w:rsidR="000E42A8" w:rsidRDefault="000E42A8" w:rsidP="000E42A8">
      <w:pPr>
        <w:pStyle w:val="StandardWeb"/>
      </w:pPr>
      <w:r>
        <w:t>Ich definiere</w:t>
      </w:r>
    </w:p>
    <w:p w:rsidR="000E42A8" w:rsidRDefault="000E42A8" w:rsidP="000E42A8">
      <w:pPr>
        <w:pStyle w:val="berschrift1"/>
      </w:pPr>
      <w:r>
        <w:t>[</w:t>
      </w:r>
      <w:r>
        <w:br/>
        <w:t>K_F(A_i,A_j)</w:t>
      </w:r>
    </w:p>
    <w:p w:rsidR="000E42A8" w:rsidRDefault="000E42A8" w:rsidP="000E42A8">
      <w:pPr>
        <w:pStyle w:val="StandardWeb"/>
      </w:pPr>
      <w:r>
        <w:t>K_F(T[A_i],T[A_j])</w:t>
      </w:r>
      <w:r>
        <w:br/>
        <w:t>\tag{3.7987}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K_F(A_i,A_j)=K_F(T[A_i],T[A_j])\qquad\text{(3.7987)}</w:t>
      </w:r>
    </w:p>
    <w:p w:rsidR="000E42A8" w:rsidRDefault="000E42A8" w:rsidP="000E42A8">
      <w:pPr>
        <w:pStyle w:val="StandardWeb"/>
      </w:pPr>
      <w:r>
        <w:t>für sämtliche vergleichbaren Aussagenpaare.</w:t>
      </w:r>
    </w:p>
    <w:p w:rsidR="000E42A8" w:rsidRDefault="000E42A8" w:rsidP="000E42A8">
      <w:pPr>
        <w:pStyle w:val="StandardWeb"/>
      </w:pPr>
      <w:r>
        <w:t xml:space="preserve">Eine Transformation mit dieser Eigenschaft bezeichne ich als </w:t>
      </w:r>
      <w:r>
        <w:rPr>
          <w:rStyle w:val="Fett"/>
        </w:rPr>
        <w:t>stark konsistenzerhaltend</w:t>
      </w:r>
      <w:r>
        <w:t>.</w:t>
      </w:r>
    </w:p>
    <w:p w:rsidR="000E42A8" w:rsidRDefault="000E42A8" w:rsidP="000E42A8">
      <w:pPr>
        <w:pStyle w:val="StandardWeb"/>
      </w:pPr>
      <w:r>
        <w:t>Damit bleibt die gesamte binäre Konsistenzstruktur invariant.</w:t>
      </w:r>
    </w:p>
    <w:p w:rsidR="000E42A8" w:rsidRDefault="00E50336" w:rsidP="000E42A8">
      <w:r>
        <w:pict>
          <v:rect id="_x0000_i1905" style="width:0;height:1.5pt" o:hralign="center" o:hrstd="t" o:hr="t" fillcolor="#a0a0a0" stroked="f"/>
        </w:pict>
      </w:r>
    </w:p>
    <w:p w:rsidR="000E42A8" w:rsidRDefault="000E42A8" w:rsidP="000E42A8">
      <w:pPr>
        <w:pStyle w:val="berschrift2"/>
      </w:pPr>
      <w:r>
        <w:t>3.3.42.167 Erhaltung des Konsistenzgrades</w:t>
      </w:r>
    </w:p>
    <w:p w:rsidR="000E42A8" w:rsidRDefault="000E42A8" w:rsidP="000E42A8">
      <w:pPr>
        <w:pStyle w:val="StandardWeb"/>
      </w:pPr>
      <w:r>
        <w:t>Für graduelle Konsistenz ist die stärkere Forderung</w:t>
      </w:r>
    </w:p>
    <w:p w:rsidR="000E42A8" w:rsidRDefault="000E42A8" w:rsidP="000E42A8">
      <w:pPr>
        <w:pStyle w:val="berschrift1"/>
      </w:pPr>
      <w:r>
        <w:t>[</w:t>
      </w:r>
      <w:r>
        <w:br/>
        <w:t>R_K(A_i,A_j)</w:t>
      </w:r>
    </w:p>
    <w:p w:rsidR="000E42A8" w:rsidRDefault="000E42A8" w:rsidP="000E42A8">
      <w:pPr>
        <w:pStyle w:val="StandardWeb"/>
      </w:pPr>
      <w:r>
        <w:t>R_K(T[A_i],T[A_j]).</w:t>
      </w:r>
      <w:r>
        <w:br/>
        <w:t>\tag{3.7988}</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R_K(A_i,A_j)=R_K(T[A_i],T[A_j])\qquad\text{(3.7988)}</w:t>
      </w:r>
    </w:p>
    <w:p w:rsidR="000E42A8" w:rsidRDefault="000E42A8" w:rsidP="000E42A8">
      <w:pPr>
        <w:pStyle w:val="StandardWeb"/>
      </w:pPr>
      <w:r>
        <w:t>Diese Bedingung verlangt nicht nur, dass der Status „konsistent“ erhalten bleibt, sondern dass auch der Anteil des konsistenten Zustandsraums unverändert bleibt.</w:t>
      </w:r>
    </w:p>
    <w:p w:rsidR="000E42A8" w:rsidRDefault="00E50336" w:rsidP="000E42A8">
      <w:r>
        <w:pict>
          <v:rect id="_x0000_i1906" style="width:0;height:1.5pt" o:hralign="center" o:hrstd="t" o:hr="t" fillcolor="#a0a0a0" stroked="f"/>
        </w:pict>
      </w:r>
    </w:p>
    <w:p w:rsidR="000E42A8" w:rsidRDefault="000E42A8" w:rsidP="000E42A8">
      <w:pPr>
        <w:pStyle w:val="berschrift2"/>
      </w:pPr>
      <w:r>
        <w:t>3.3.42.168 Konsistenzverzerrung einer Transformation</w:t>
      </w:r>
    </w:p>
    <w:p w:rsidR="000E42A8" w:rsidRDefault="000E42A8" w:rsidP="000E42A8">
      <w:pPr>
        <w:pStyle w:val="StandardWeb"/>
      </w:pPr>
      <w:r>
        <w:t>Eine Transformation kann den Konsistenzgrad verändern.</w:t>
      </w:r>
    </w:p>
    <w:p w:rsidR="000E42A8" w:rsidRDefault="000E42A8" w:rsidP="000E42A8">
      <w:pPr>
        <w:pStyle w:val="StandardWeb"/>
      </w:pPr>
      <w:r>
        <w:t>Ich definiere</w:t>
      </w:r>
    </w:p>
    <w:p w:rsidR="000E42A8" w:rsidRDefault="000E42A8" w:rsidP="000E42A8">
      <w:pPr>
        <w:pStyle w:val="berschrift1"/>
      </w:pPr>
      <w:r>
        <w:t>[</w:t>
      </w:r>
      <w:r>
        <w:br/>
        <w:t>\Delta_T R_K</w:t>
      </w:r>
    </w:p>
    <w:p w:rsidR="000E42A8" w:rsidRDefault="000E42A8" w:rsidP="000E42A8">
      <w:pPr>
        <w:pStyle w:val="berschrift2"/>
      </w:pPr>
      <w:r>
        <w:t>R_K(T[A_i],T[A_j])</w:t>
      </w:r>
    </w:p>
    <w:p w:rsidR="000E42A8" w:rsidRDefault="000E42A8" w:rsidP="000E42A8">
      <w:pPr>
        <w:pStyle w:val="StandardWeb"/>
      </w:pPr>
      <w:r>
        <w:t>R_K(A_i,A_j).</w:t>
      </w:r>
      <w:r>
        <w:br/>
        <w:t>\tag{3.7989}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\Delta_T R_K=R_K(T[A_i],T[A_j])-R_K(A_i,A_j)\qquad\text{(3.7989)}</w:t>
      </w:r>
    </w:p>
    <w:p w:rsidR="000E42A8" w:rsidRDefault="000E42A8" w:rsidP="000E42A8">
      <w:pPr>
        <w:pStyle w:val="StandardWeb"/>
      </w:pPr>
      <w:r>
        <w:t>Für</w:t>
      </w:r>
    </w:p>
    <w:p w:rsidR="000E42A8" w:rsidRDefault="000E42A8" w:rsidP="000E42A8">
      <w:pPr>
        <w:pStyle w:val="StandardWeb"/>
      </w:pPr>
      <w:r>
        <w:t>[</w:t>
      </w:r>
      <w:r>
        <w:br/>
        <w:t>\Delta_T R_K=0</w:t>
      </w:r>
      <w:r>
        <w:br/>
        <w:t>\tag{3.7990}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\Delta_T R_K=0\qquad\text{(3.7990)}</w:t>
      </w:r>
    </w:p>
    <w:p w:rsidR="000E42A8" w:rsidRDefault="000E42A8" w:rsidP="000E42A8">
      <w:pPr>
        <w:pStyle w:val="StandardWeb"/>
      </w:pPr>
      <w:r>
        <w:t>ist der quantitative Konsistenzgrad invariant.</w:t>
      </w:r>
    </w:p>
    <w:p w:rsidR="000E42A8" w:rsidRDefault="000E42A8" w:rsidP="000E42A8">
      <w:pPr>
        <w:pStyle w:val="StandardWeb"/>
      </w:pPr>
      <w:r>
        <w:t>Für</w:t>
      </w:r>
    </w:p>
    <w:p w:rsidR="000E42A8" w:rsidRDefault="000E42A8" w:rsidP="000E42A8">
      <w:pPr>
        <w:pStyle w:val="StandardWeb"/>
      </w:pPr>
      <w:r>
        <w:t>[</w:t>
      </w:r>
      <w:r>
        <w:br/>
        <w:t>\Delta_T R_K&lt;0</w:t>
      </w:r>
      <w:r>
        <w:br/>
        <w:t>\tag{3.7991}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\Delta_T R_K&lt;0\qquad\text{(3.7991)}</w:t>
      </w:r>
    </w:p>
    <w:p w:rsidR="000E42A8" w:rsidRDefault="000E42A8" w:rsidP="000E42A8">
      <w:pPr>
        <w:pStyle w:val="StandardWeb"/>
      </w:pPr>
      <w:r>
        <w:t>reduziert die Transformation die funktionale Konsistenz.</w:t>
      </w:r>
    </w:p>
    <w:p w:rsidR="000E42A8" w:rsidRDefault="000E42A8" w:rsidP="000E42A8">
      <w:pPr>
        <w:pStyle w:val="StandardWeb"/>
      </w:pPr>
      <w:r>
        <w:t>Für</w:t>
      </w:r>
    </w:p>
    <w:p w:rsidR="000E42A8" w:rsidRDefault="000E42A8" w:rsidP="000E42A8">
      <w:pPr>
        <w:pStyle w:val="StandardWeb"/>
      </w:pPr>
      <w:r>
        <w:t>[</w:t>
      </w:r>
      <w:r>
        <w:br/>
        <w:t>\Delta_T R_K&gt;0</w:t>
      </w:r>
      <w:r>
        <w:br/>
        <w:t>\tag{3.7992}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\Delta_T R_K&gt;0\qquad\text{(3.7992)}</w:t>
      </w:r>
    </w:p>
    <w:p w:rsidR="000E42A8" w:rsidRDefault="000E42A8" w:rsidP="000E42A8">
      <w:pPr>
        <w:pStyle w:val="StandardWeb"/>
      </w:pPr>
      <w:r>
        <w:t>steigt der gemessene Konsistenzgrad.</w:t>
      </w:r>
    </w:p>
    <w:p w:rsidR="000E42A8" w:rsidRDefault="000E42A8" w:rsidP="000E42A8">
      <w:pPr>
        <w:pStyle w:val="StandardWeb"/>
      </w:pPr>
      <w:r>
        <w:t>Ein solcher Anstieg ist jedoch noch kein wissenschaftlicher Qualitätsgewinn. Er kann beispielsweise allein daraus entstehen, dass die Transformation konfliktbehaftete Bereiche aus der betrachteten Domäne entfernt.</w:t>
      </w:r>
    </w:p>
    <w:p w:rsidR="000E42A8" w:rsidRDefault="00E50336" w:rsidP="000E42A8">
      <w:r>
        <w:pict>
          <v:rect id="_x0000_i1907" style="width:0;height:1.5pt" o:hralign="center" o:hrstd="t" o:hr="t" fillcolor="#a0a0a0" stroked="f"/>
        </w:pict>
      </w:r>
    </w:p>
    <w:p w:rsidR="000E42A8" w:rsidRDefault="000E42A8" w:rsidP="000E42A8">
      <w:pPr>
        <w:pStyle w:val="berschrift2"/>
      </w:pPr>
      <w:r>
        <w:t>3.3.42.169 Domänenveränderung unter Transformation</w:t>
      </w:r>
    </w:p>
    <w:p w:rsidR="000E42A8" w:rsidRDefault="000E42A8" w:rsidP="000E42A8">
      <w:pPr>
        <w:pStyle w:val="StandardWeb"/>
      </w:pPr>
      <w:r>
        <w:t>Sei die transformierte Gültigkeitsdomäne</w:t>
      </w:r>
    </w:p>
    <w:p w:rsidR="000E42A8" w:rsidRDefault="000E42A8" w:rsidP="000E42A8">
      <w:pPr>
        <w:pStyle w:val="berschrift1"/>
      </w:pPr>
      <w:r>
        <w:t>[</w:t>
      </w:r>
      <w:r>
        <w:br/>
        <w:t>\Omega_i'</w:t>
      </w:r>
    </w:p>
    <w:p w:rsidR="000E42A8" w:rsidRDefault="000E42A8" w:rsidP="000E42A8">
      <w:pPr>
        <w:pStyle w:val="StandardWeb"/>
      </w:pPr>
      <w:r>
        <w:t>T(\Omega_i).</w:t>
      </w:r>
      <w:r>
        <w:br/>
        <w:t>\tag{3.7993}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\Omega_i^{\prime}=T(\Omega_i)\qquad\text{(3.7993)}</w:t>
      </w:r>
    </w:p>
    <w:p w:rsidR="000E42A8" w:rsidRDefault="000E42A8" w:rsidP="000E42A8">
      <w:pPr>
        <w:pStyle w:val="StandardWeb"/>
      </w:pPr>
      <w:r>
        <w:t>Für zwei Aussagen gilt damit</w:t>
      </w:r>
    </w:p>
    <w:p w:rsidR="000E42A8" w:rsidRDefault="000E42A8" w:rsidP="000E42A8">
      <w:pPr>
        <w:pStyle w:val="berschrift1"/>
      </w:pPr>
      <w:r>
        <w:t>[</w:t>
      </w:r>
      <w:r>
        <w:br/>
        <w:t>\Omega_{ij}'</w:t>
      </w:r>
    </w:p>
    <w:p w:rsidR="000E42A8" w:rsidRDefault="000E42A8" w:rsidP="000E42A8">
      <w:pPr>
        <w:pStyle w:val="StandardWeb"/>
      </w:pPr>
      <w:r>
        <w:t>T(\Omega_i)\cap T(\Omega_j).</w:t>
      </w:r>
      <w:r>
        <w:br/>
        <w:t>\tag{3.7994}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\Omega_{ij}^{\prime}=T(\Omega_i)\cap T(\Omega_j)\qquad\text{(3.7994)}</w:t>
      </w:r>
    </w:p>
    <w:p w:rsidR="000E42A8" w:rsidRDefault="000E42A8" w:rsidP="000E42A8">
      <w:pPr>
        <w:pStyle w:val="StandardWeb"/>
      </w:pPr>
      <w:r>
        <w:t>Ist (T) nicht injektiv, kann eine Transformation verschiedene ursprüngliche Zustände zusammenführen.</w:t>
      </w:r>
    </w:p>
    <w:p w:rsidR="000E42A8" w:rsidRDefault="000E42A8" w:rsidP="000E42A8">
      <w:pPr>
        <w:pStyle w:val="StandardWeb"/>
      </w:pPr>
      <w:r>
        <w:t>Dann kann gelten</w:t>
      </w:r>
    </w:p>
    <w:p w:rsidR="000E42A8" w:rsidRDefault="000E42A8" w:rsidP="000E42A8">
      <w:pPr>
        <w:pStyle w:val="StandardWeb"/>
      </w:pPr>
      <w:r>
        <w:t>[</w:t>
      </w:r>
      <w:r>
        <w:br/>
        <w:t>z_1\neq z_2</w:t>
      </w:r>
      <w:r>
        <w:br/>
        <w:t>\qquad\land\qquad</w:t>
      </w:r>
      <w:r>
        <w:br/>
        <w:t>T(z_1)=T(z_2).</w:t>
      </w:r>
      <w:r>
        <w:br/>
        <w:t>\tag{3.7995}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z_1\neq z_2\land T(z_1)=T(z_2)\qquad\text{(3.7995)}</w:t>
      </w:r>
    </w:p>
    <w:p w:rsidR="000E42A8" w:rsidRDefault="000E42A8" w:rsidP="000E42A8">
      <w:pPr>
        <w:pStyle w:val="StandardWeb"/>
      </w:pPr>
      <w:r>
        <w:t>Damit können ursprünglich unterscheidbare Konsistenz- und Konfliktzustände in derselben transformierten Repräsentation zusammenfallen.</w:t>
      </w:r>
    </w:p>
    <w:p w:rsidR="000E42A8" w:rsidRDefault="00E50336" w:rsidP="000E42A8">
      <w:r>
        <w:pict>
          <v:rect id="_x0000_i1908" style="width:0;height:1.5pt" o:hralign="center" o:hrstd="t" o:hr="t" fillcolor="#a0a0a0" stroked="f"/>
        </w:pict>
      </w:r>
    </w:p>
    <w:p w:rsidR="000E42A8" w:rsidRDefault="000E42A8" w:rsidP="000E42A8">
      <w:pPr>
        <w:pStyle w:val="berschrift2"/>
      </w:pPr>
      <w:r>
        <w:t>3.3.42.170 Informationsverlust und Konsistenz</w:t>
      </w:r>
    </w:p>
    <w:p w:rsidR="000E42A8" w:rsidRDefault="000E42A8" w:rsidP="000E42A8">
      <w:pPr>
        <w:pStyle w:val="StandardWeb"/>
      </w:pPr>
      <w:r>
        <w:t>Ich definiere abstrakt einen Informationsverlust</w:t>
      </w:r>
    </w:p>
    <w:p w:rsidR="000E42A8" w:rsidRDefault="000E42A8" w:rsidP="000E42A8">
      <w:pPr>
        <w:pStyle w:val="berschrift1"/>
      </w:pPr>
      <w:r>
        <w:t>[</w:t>
      </w:r>
      <w:r>
        <w:br/>
        <w:t>L_T</w:t>
      </w:r>
    </w:p>
    <w:p w:rsidR="000E42A8" w:rsidRDefault="000E42A8" w:rsidP="000E42A8">
      <w:pPr>
        <w:pStyle w:val="StandardWeb"/>
      </w:pPr>
      <w:r>
        <w:t>\mathcal L(T).</w:t>
      </w:r>
      <w:r>
        <w:br/>
        <w:t>\tag{3.7996}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L_T=\mathcal L(T)\qquad\text{(3.7996)}</w:t>
      </w:r>
    </w:p>
    <w:p w:rsidR="000E42A8" w:rsidRDefault="000E42A8" w:rsidP="000E42A8">
      <w:pPr>
        <w:pStyle w:val="StandardWeb"/>
      </w:pPr>
      <w:r>
        <w:t>Ein hoher Informationsverlust kann scheinbar höhere Konsistenz erzeugen, wenn genau diejenigen Merkmale verschwinden, anhand derer ein Konflikt zuvor sichtbar war.</w:t>
      </w:r>
    </w:p>
    <w:p w:rsidR="000E42A8" w:rsidRDefault="000E42A8" w:rsidP="000E42A8">
      <w:pPr>
        <w:pStyle w:val="StandardWeb"/>
      </w:pPr>
      <w:r>
        <w:t>Deshalb gilt</w:t>
      </w:r>
    </w:p>
    <w:p w:rsidR="000E42A8" w:rsidRDefault="000E42A8" w:rsidP="000E42A8">
      <w:pPr>
        <w:pStyle w:val="StandardWeb"/>
      </w:pPr>
      <w:r>
        <w:t>[</w:t>
      </w:r>
      <w:r>
        <w:br/>
        <w:t>R_K(T[\mathcal A])</w:t>
      </w:r>
    </w:p>
    <w:p w:rsidR="000E42A8" w:rsidRDefault="000E42A8" w:rsidP="000E42A8">
      <w:pPr>
        <w:pStyle w:val="StandardWeb"/>
      </w:pPr>
      <w:r>
        <w:t>R_K(\mathcal A)</w:t>
      </w:r>
      <w:r>
        <w:br/>
        <w:t>\nRightarrow</w:t>
      </w:r>
      <w:r>
        <w:br/>
        <w:t>\text{wissenschaftliche Verbesserung}.</w:t>
      </w:r>
      <w:r>
        <w:br/>
      </w:r>
      <w:r>
        <w:lastRenderedPageBreak/>
        <w:t>\tag{3.7997}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R_K(T[\mathcal A])&gt;R_K(\mathcal A)\nRightarrow\text{wissenschaftliche Verbesserung}\qquad\text{(3.7997)}</w:t>
      </w:r>
    </w:p>
    <w:p w:rsidR="000E42A8" w:rsidRDefault="00E50336" w:rsidP="000E42A8">
      <w:r>
        <w:pict>
          <v:rect id="_x0000_i1909" style="width:0;height:1.5pt" o:hralign="center" o:hrstd="t" o:hr="t" fillcolor="#a0a0a0" stroked="f"/>
        </w:pict>
      </w:r>
    </w:p>
    <w:p w:rsidR="000E42A8" w:rsidRDefault="000E42A8" w:rsidP="000E42A8">
      <w:pPr>
        <w:pStyle w:val="berschrift2"/>
      </w:pPr>
      <w:r>
        <w:t>3.3.42.171 Konsistenz unter Projektion</w:t>
      </w:r>
    </w:p>
    <w:p w:rsidR="000E42A8" w:rsidRDefault="000E42A8" w:rsidP="000E42A8">
      <w:pPr>
        <w:pStyle w:val="StandardWeb"/>
      </w:pPr>
      <w:r>
        <w:t>Sei</w:t>
      </w:r>
    </w:p>
    <w:p w:rsidR="000E42A8" w:rsidRDefault="000E42A8" w:rsidP="000E42A8">
      <w:pPr>
        <w:pStyle w:val="StandardWeb"/>
      </w:pPr>
      <w:r>
        <w:t>[</w:t>
      </w:r>
      <w:r>
        <w:br/>
        <w:t>P:</w:t>
      </w:r>
      <w:r>
        <w:br/>
        <w:t>\Omega</w:t>
      </w:r>
      <w:r>
        <w:br/>
        <w:t>\rightarrow</w:t>
      </w:r>
      <w:r>
        <w:br/>
        <w:t>\Omega_P</w:t>
      </w:r>
      <w:r>
        <w:br/>
        <w:t>\tag{3.7998}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P:\Omega\rightarrow\Omega_P\qquad\text{(3.7998)}</w:t>
      </w:r>
    </w:p>
    <w:p w:rsidR="000E42A8" w:rsidRDefault="000E42A8" w:rsidP="000E42A8">
      <w:pPr>
        <w:pStyle w:val="StandardWeb"/>
      </w:pPr>
      <w:r>
        <w:t>eine Projektion auf einen Teilraum.</w:t>
      </w:r>
    </w:p>
    <w:p w:rsidR="000E42A8" w:rsidRDefault="000E42A8" w:rsidP="000E42A8">
      <w:pPr>
        <w:pStyle w:val="StandardWeb"/>
      </w:pPr>
      <w:r>
        <w:t>Dann können zwei Aussagen nach Projektion konsistent erscheinen,</w:t>
      </w:r>
    </w:p>
    <w:p w:rsidR="000E42A8" w:rsidRDefault="000E42A8" w:rsidP="000E42A8">
      <w:pPr>
        <w:pStyle w:val="StandardWeb"/>
      </w:pPr>
      <w:r>
        <w:t>[</w:t>
      </w:r>
      <w:r>
        <w:br/>
        <w:t>K_F(P[A_i],P[A_j])=1,</w:t>
      </w:r>
      <w:r>
        <w:br/>
        <w:t>\tag{3.7999}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K_F(P[A_i],P[A_j])=1\qquad\text{(3.7999)}</w:t>
      </w:r>
    </w:p>
    <w:p w:rsidR="000E42A8" w:rsidRDefault="000E42A8" w:rsidP="000E42A8">
      <w:pPr>
        <w:pStyle w:val="StandardWeb"/>
      </w:pPr>
      <w:r>
        <w:t>obwohl im vollständigen Raum</w:t>
      </w:r>
    </w:p>
    <w:p w:rsidR="000E42A8" w:rsidRDefault="000E42A8" w:rsidP="000E42A8">
      <w:pPr>
        <w:pStyle w:val="StandardWeb"/>
      </w:pPr>
      <w:r>
        <w:t>[</w:t>
      </w:r>
      <w:r>
        <w:br/>
        <w:t>K_F(A_i,A_j)=0</w:t>
      </w:r>
      <w:r>
        <w:br/>
        <w:t>\tag{3.8000}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K_F(A_i,A_j)=0\qquad\text{(3.8000)}</w:t>
      </w:r>
    </w:p>
    <w:p w:rsidR="000E42A8" w:rsidRDefault="000E42A8" w:rsidP="000E42A8">
      <w:pPr>
        <w:pStyle w:val="StandardWeb"/>
      </w:pPr>
      <w:r>
        <w:t>gilt.</w:t>
      </w:r>
    </w:p>
    <w:p w:rsidR="000E42A8" w:rsidRDefault="000E42A8" w:rsidP="000E42A8">
      <w:pPr>
        <w:pStyle w:val="StandardWeb"/>
      </w:pPr>
      <w:r>
        <w:lastRenderedPageBreak/>
        <w:t>Diese Möglichkeit ist insbesondere bei Dimensionsreduktionen wissenschaftlich relevant.</w:t>
      </w:r>
    </w:p>
    <w:p w:rsidR="000E42A8" w:rsidRDefault="00E50336" w:rsidP="000E42A8">
      <w:r>
        <w:pict>
          <v:rect id="_x0000_i1910" style="width:0;height:1.5pt" o:hralign="center" o:hrstd="t" o:hr="t" fillcolor="#a0a0a0" stroked="f"/>
        </w:pict>
      </w:r>
    </w:p>
    <w:p w:rsidR="000E42A8" w:rsidRDefault="000E42A8" w:rsidP="000E42A8">
      <w:pPr>
        <w:pStyle w:val="berschrift2"/>
      </w:pPr>
      <w:r>
        <w:t>3.3.42.172 Verdeckter Konflikt</w:t>
      </w:r>
    </w:p>
    <w:p w:rsidR="000E42A8" w:rsidRDefault="000E42A8" w:rsidP="000E42A8">
      <w:pPr>
        <w:pStyle w:val="StandardWeb"/>
      </w:pPr>
      <w:r>
        <w:t>Ich bezeichne</w:t>
      </w:r>
    </w:p>
    <w:p w:rsidR="000E42A8" w:rsidRDefault="000E42A8" w:rsidP="000E42A8">
      <w:pPr>
        <w:pStyle w:val="StandardWeb"/>
      </w:pPr>
      <w:r>
        <w:t>[</w:t>
      </w:r>
      <w:r>
        <w:br/>
        <w:t>K_F(A_i,A_j)=0</w:t>
      </w:r>
      <w:r>
        <w:br/>
        <w:t>\land</w:t>
      </w:r>
      <w:r>
        <w:br/>
        <w:t>K_F(P[A_i],P[A_j])=1</w:t>
      </w:r>
      <w:r>
        <w:br/>
        <w:t>\tag{3.8001}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K_F(A_i,A_j)=0\land K_F(P[A_i],P[A_j])=1\qquad\text{(3.8001)}</w:t>
      </w:r>
    </w:p>
    <w:p w:rsidR="000E42A8" w:rsidRDefault="000E42A8" w:rsidP="000E42A8">
      <w:pPr>
        <w:pStyle w:val="StandardWeb"/>
      </w:pPr>
      <w:r>
        <w:t xml:space="preserve">als </w:t>
      </w:r>
      <w:r>
        <w:rPr>
          <w:rStyle w:val="Fett"/>
        </w:rPr>
        <w:t>projektionell verdeckten Konflikt</w:t>
      </w:r>
      <w:r>
        <w:t>.</w:t>
      </w:r>
    </w:p>
    <w:p w:rsidR="000E42A8" w:rsidRDefault="000E42A8" w:rsidP="000E42A8">
      <w:pPr>
        <w:pStyle w:val="StandardWeb"/>
      </w:pPr>
      <w:r>
        <w:t>Ich definiere den Indikator</w:t>
      </w:r>
    </w:p>
    <w:p w:rsidR="000E42A8" w:rsidRDefault="000E42A8" w:rsidP="000E42A8">
      <w:pPr>
        <w:pStyle w:val="berschrift1"/>
      </w:pPr>
      <w:r>
        <w:t>[</w:t>
      </w:r>
      <w:r>
        <w:br/>
        <w:t>W_{\mathrm{hidden},P}</w:t>
      </w:r>
    </w:p>
    <w:p w:rsidR="000E42A8" w:rsidRDefault="000E42A8" w:rsidP="000E42A8">
      <w:pPr>
        <w:pStyle w:val="StandardWeb"/>
      </w:pPr>
      <w:r>
        <w:t>\mathbf 1</w:t>
      </w:r>
      <w:r>
        <w:br/>
        <w:t>\left[</w:t>
      </w:r>
      <w:r>
        <w:br/>
        <w:t>K_F(A_i,A_j)=0</w:t>
      </w:r>
      <w:r>
        <w:br/>
        <w:t>\land</w:t>
      </w:r>
      <w:r>
        <w:br/>
        <w:t>K_F(P[A_i],P[A_j])=1</w:t>
      </w:r>
      <w:r>
        <w:br/>
        <w:t>\right].</w:t>
      </w:r>
      <w:r>
        <w:br/>
        <w:t>\tag{3.8002}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W_{\mathrm{hidden},P}=\mathbf{1}\left[K_F(A_i,A_j)=0\land K_F(P[A_i],P[A_j])=1\right]\qquad\text{(3.8002)}</w:t>
      </w:r>
    </w:p>
    <w:p w:rsidR="000E42A8" w:rsidRDefault="000E42A8" w:rsidP="000E42A8">
      <w:pPr>
        <w:pStyle w:val="StandardWeb"/>
      </w:pPr>
      <w:r>
        <w:t>Damit kann eine Daten- oder Modellreduktion einen bestehenden Konflikt unsichtbar machen, ohne ihn tatsächlich aufzulösen.</w:t>
      </w:r>
    </w:p>
    <w:p w:rsidR="000E42A8" w:rsidRDefault="00E50336" w:rsidP="000E42A8">
      <w:r>
        <w:pict>
          <v:rect id="_x0000_i1911" style="width:0;height:1.5pt" o:hralign="center" o:hrstd="t" o:hr="t" fillcolor="#a0a0a0" stroked="f"/>
        </w:pict>
      </w:r>
    </w:p>
    <w:p w:rsidR="000E42A8" w:rsidRDefault="000E42A8" w:rsidP="000E42A8">
      <w:pPr>
        <w:pStyle w:val="berschrift2"/>
      </w:pPr>
      <w:r>
        <w:t>3.3.42.173 Erzeugter Konflikt</w:t>
      </w:r>
    </w:p>
    <w:p w:rsidR="000E42A8" w:rsidRDefault="000E42A8" w:rsidP="000E42A8">
      <w:pPr>
        <w:pStyle w:val="StandardWeb"/>
      </w:pPr>
      <w:r>
        <w:t>Umgekehrt kann eine Transformation einen Konflikt erzeugen:</w:t>
      </w:r>
    </w:p>
    <w:p w:rsidR="000E42A8" w:rsidRDefault="000E42A8" w:rsidP="000E42A8">
      <w:pPr>
        <w:pStyle w:val="StandardWeb"/>
      </w:pPr>
      <w:r>
        <w:lastRenderedPageBreak/>
        <w:t>[</w:t>
      </w:r>
      <w:r>
        <w:br/>
        <w:t>K_F(A_i,A_j)=1</w:t>
      </w:r>
      <w:r>
        <w:br/>
        <w:t>\land</w:t>
      </w:r>
      <w:r>
        <w:br/>
        <w:t>K_F(T[A_i],T[A_j])=0.</w:t>
      </w:r>
      <w:r>
        <w:br/>
        <w:t>\tag{3.8003}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K_F(A_i,A_j)=1\land K_F(T[A_i],T[A_j])=0\qquad\text{(3.8003)}</w:t>
      </w:r>
    </w:p>
    <w:p w:rsidR="000E42A8" w:rsidRDefault="000E42A8" w:rsidP="000E42A8">
      <w:pPr>
        <w:pStyle w:val="StandardWeb"/>
      </w:pPr>
      <w:r>
        <w:t>Ich definiere</w:t>
      </w:r>
    </w:p>
    <w:p w:rsidR="000E42A8" w:rsidRDefault="000E42A8" w:rsidP="000E42A8">
      <w:pPr>
        <w:pStyle w:val="berschrift1"/>
      </w:pPr>
      <w:r>
        <w:t>[</w:t>
      </w:r>
      <w:r>
        <w:br/>
        <w:t>W_{\mathrm{created},T}</w:t>
      </w:r>
    </w:p>
    <w:p w:rsidR="000E42A8" w:rsidRDefault="000E42A8" w:rsidP="000E42A8">
      <w:pPr>
        <w:pStyle w:val="StandardWeb"/>
      </w:pPr>
      <w:r>
        <w:t>\mathbf 1</w:t>
      </w:r>
      <w:r>
        <w:br/>
        <w:t>\left[</w:t>
      </w:r>
      <w:r>
        <w:br/>
        <w:t>K_F(A_i,A_j)=1</w:t>
      </w:r>
      <w:r>
        <w:br/>
        <w:t>\land</w:t>
      </w:r>
      <w:r>
        <w:br/>
        <w:t>K_F(T[A_i],T[A_j])=0</w:t>
      </w:r>
      <w:r>
        <w:br/>
        <w:t>\right].</w:t>
      </w:r>
      <w:r>
        <w:br/>
        <w:t>\tag{3.8004}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W_{\mathrm{created},T}=\mathbf{1}\left[K_F(A_i,A_j)=1\land K_F(T[A_i],T[A_j])=0\right]\qquad\text{(3.8004)}</w:t>
      </w:r>
    </w:p>
    <w:p w:rsidR="000E42A8" w:rsidRDefault="000E42A8" w:rsidP="000E42A8">
      <w:pPr>
        <w:pStyle w:val="StandardWeb"/>
      </w:pPr>
      <w:r>
        <w:t xml:space="preserve">Damit unterscheide ich zwischen </w:t>
      </w:r>
      <w:r>
        <w:rPr>
          <w:rStyle w:val="Fett"/>
        </w:rPr>
        <w:t>originärer Inkonsistenz</w:t>
      </w:r>
      <w:r>
        <w:t xml:space="preserve"> und einer </w:t>
      </w:r>
      <w:r>
        <w:rPr>
          <w:rStyle w:val="Fett"/>
        </w:rPr>
        <w:t>transformationsinduzierten Inkonsistenz</w:t>
      </w:r>
      <w:r>
        <w:t>.</w:t>
      </w:r>
    </w:p>
    <w:p w:rsidR="000E42A8" w:rsidRDefault="00E50336" w:rsidP="000E42A8">
      <w:r>
        <w:pict>
          <v:rect id="_x0000_i1912" style="width:0;height:1.5pt" o:hralign="center" o:hrstd="t" o:hr="t" fillcolor="#a0a0a0" stroked="f"/>
        </w:pict>
      </w:r>
    </w:p>
    <w:p w:rsidR="000E42A8" w:rsidRDefault="000E42A8" w:rsidP="000E42A8">
      <w:pPr>
        <w:pStyle w:val="berschrift2"/>
      </w:pPr>
      <w:r>
        <w:t>3.3.42.174 Konsistenztreue</w:t>
      </w:r>
    </w:p>
    <w:p w:rsidR="000E42A8" w:rsidRDefault="000E42A8" w:rsidP="000E42A8">
      <w:pPr>
        <w:pStyle w:val="StandardWeb"/>
      </w:pPr>
      <w:r>
        <w:t>Zur quantitativen Bewertung einer Transformation definiere ich eine Konsistenztreue</w:t>
      </w:r>
    </w:p>
    <w:p w:rsidR="000E42A8" w:rsidRDefault="000E42A8" w:rsidP="000E42A8">
      <w:pPr>
        <w:pStyle w:val="berschrift1"/>
      </w:pPr>
      <w:r>
        <w:t>[</w:t>
      </w:r>
      <w:r>
        <w:br/>
        <w:t>F_K(T)</w:t>
      </w:r>
    </w:p>
    <w:p w:rsidR="000E42A8" w:rsidRDefault="000E42A8" w:rsidP="000E42A8">
      <w:pPr>
        <w:pStyle w:val="berschrift2"/>
      </w:pPr>
      <w:r>
        <w:t>1-</w:t>
      </w:r>
      <w:r>
        <w:br/>
        <w:t>\left|</w:t>
      </w:r>
      <w:r>
        <w:br/>
        <w:t>R_K(T[\mathcal A])</w:t>
      </w:r>
    </w:p>
    <w:p w:rsidR="000E42A8" w:rsidRDefault="000E42A8" w:rsidP="000E42A8">
      <w:pPr>
        <w:pStyle w:val="StandardWeb"/>
      </w:pPr>
      <w:r>
        <w:lastRenderedPageBreak/>
        <w:t>R_K(\mathcal A)</w:t>
      </w:r>
      <w:r>
        <w:br/>
        <w:t>\right|.</w:t>
      </w:r>
      <w:r>
        <w:br/>
        <w:t>\tag{3.8005}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F_K(T)=1-\left|R_K(T[\mathcal A])-R_K(\mathcal A)\right|\qquad\text{(3.8005)}</w:t>
      </w:r>
    </w:p>
    <w:p w:rsidR="000E42A8" w:rsidRDefault="000E42A8" w:rsidP="000E42A8">
      <w:pPr>
        <w:pStyle w:val="StandardWeb"/>
      </w:pPr>
      <w:r>
        <w:t>Unter normierten Konsistenzgraden gilt</w:t>
      </w:r>
    </w:p>
    <w:p w:rsidR="000E42A8" w:rsidRDefault="000E42A8" w:rsidP="000E42A8">
      <w:pPr>
        <w:pStyle w:val="StandardWeb"/>
      </w:pPr>
      <w:r>
        <w:t>[</w:t>
      </w:r>
      <w:r>
        <w:br/>
        <w:t>0\leq F_K(T)\leq1.</w:t>
      </w:r>
      <w:r>
        <w:br/>
        <w:t>\tag{3.8006}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0\leq F_K(T)\leq1\qquad\text{(3.8006)}</w:t>
      </w:r>
    </w:p>
    <w:p w:rsidR="000E42A8" w:rsidRDefault="000E42A8" w:rsidP="000E42A8">
      <w:pPr>
        <w:pStyle w:val="StandardWeb"/>
      </w:pPr>
      <w:r>
        <w:t>Für</w:t>
      </w:r>
    </w:p>
    <w:p w:rsidR="000E42A8" w:rsidRDefault="000E42A8" w:rsidP="000E42A8">
      <w:pPr>
        <w:pStyle w:val="StandardWeb"/>
      </w:pPr>
      <w:r>
        <w:t>[</w:t>
      </w:r>
      <w:r>
        <w:br/>
        <w:t>F_K(T)=1</w:t>
      </w:r>
      <w:r>
        <w:br/>
        <w:t>\tag{3.8007}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F_K(T)=1\qquad\text{(3.8007)}</w:t>
      </w:r>
    </w:p>
    <w:p w:rsidR="000E42A8" w:rsidRDefault="000E42A8" w:rsidP="000E42A8">
      <w:pPr>
        <w:pStyle w:val="StandardWeb"/>
      </w:pPr>
      <w:r>
        <w:t>bleibt der globale Konsistenzgrad unverändert.</w:t>
      </w:r>
    </w:p>
    <w:p w:rsidR="000E42A8" w:rsidRDefault="000E42A8" w:rsidP="000E42A8">
      <w:pPr>
        <w:pStyle w:val="StandardWeb"/>
      </w:pPr>
      <w:r>
        <w:t>Diese Bedingung garantiert jedoch noch nicht, dass dieselben konkreten Konflikte erhalten bleiben. Zwei verschiedene Konfliktstrukturen können denselben Gesamtgrad besitzen.</w:t>
      </w:r>
    </w:p>
    <w:p w:rsidR="000E42A8" w:rsidRDefault="00E50336" w:rsidP="000E42A8">
      <w:r>
        <w:pict>
          <v:rect id="_x0000_i1913" style="width:0;height:1.5pt" o:hralign="center" o:hrstd="t" o:hr="t" fillcolor="#a0a0a0" stroked="f"/>
        </w:pict>
      </w:r>
    </w:p>
    <w:p w:rsidR="000E42A8" w:rsidRDefault="000E42A8" w:rsidP="000E42A8">
      <w:pPr>
        <w:pStyle w:val="berschrift1"/>
      </w:pPr>
      <w:r>
        <w:t>3.3.42.175 Strukturelle Konsistenztreue</w:t>
      </w:r>
    </w:p>
    <w:p w:rsidR="000E42A8" w:rsidRDefault="000E42A8" w:rsidP="000E42A8">
      <w:pPr>
        <w:pStyle w:val="StandardWeb"/>
      </w:pPr>
      <w:r>
        <w:t>Deshalb führe ich eine stärkere Bedingung ein.</w:t>
      </w:r>
    </w:p>
    <w:p w:rsidR="000E42A8" w:rsidRDefault="000E42A8" w:rsidP="000E42A8">
      <w:pPr>
        <w:pStyle w:val="StandardWeb"/>
      </w:pPr>
      <w:r>
        <w:t>Seien</w:t>
      </w:r>
    </w:p>
    <w:p w:rsidR="000E42A8" w:rsidRDefault="000E42A8" w:rsidP="000E42A8">
      <w:pPr>
        <w:pStyle w:val="StandardWeb"/>
      </w:pPr>
      <w:r>
        <w:t>[</w:t>
      </w:r>
      <w:r>
        <w:br/>
        <w:t>\mathbf K</w:t>
      </w:r>
      <w:r>
        <w:br/>
        <w:t>\tag{3.8008}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\mathbf{K}\qquad\text{(3.8008)}</w:t>
      </w:r>
    </w:p>
    <w:p w:rsidR="000E42A8" w:rsidRDefault="000E42A8" w:rsidP="000E42A8">
      <w:pPr>
        <w:pStyle w:val="StandardWeb"/>
      </w:pPr>
      <w:r>
        <w:t>und</w:t>
      </w:r>
    </w:p>
    <w:p w:rsidR="000E42A8" w:rsidRDefault="000E42A8" w:rsidP="000E42A8">
      <w:pPr>
        <w:pStyle w:val="StandardWeb"/>
      </w:pPr>
      <w:r>
        <w:t>[</w:t>
      </w:r>
      <w:r>
        <w:br/>
        <w:t>\mathbf K_T</w:t>
      </w:r>
      <w:r>
        <w:br/>
        <w:t>\tag{3.8009}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\mathbf{K}_{T}\qquad\text{(3.8009)}</w:t>
      </w:r>
    </w:p>
    <w:p w:rsidR="000E42A8" w:rsidRDefault="000E42A8" w:rsidP="000E42A8">
      <w:pPr>
        <w:pStyle w:val="StandardWeb"/>
      </w:pPr>
      <w:r>
        <w:t>die Konsistenzmatrizen vor und nach einer Transformation.</w:t>
      </w:r>
    </w:p>
    <w:p w:rsidR="000E42A8" w:rsidRDefault="000E42A8" w:rsidP="000E42A8">
      <w:pPr>
        <w:pStyle w:val="StandardWeb"/>
      </w:pPr>
      <w:r>
        <w:t>Eine vollständig strukturtreue Transformation erfüllt</w:t>
      </w:r>
    </w:p>
    <w:p w:rsidR="000E42A8" w:rsidRDefault="000E42A8" w:rsidP="000E42A8">
      <w:pPr>
        <w:pStyle w:val="berschrift1"/>
      </w:pPr>
      <w:r>
        <w:t>[</w:t>
      </w:r>
      <w:r>
        <w:br/>
        <w:t>\mathbf K_T</w:t>
      </w:r>
    </w:p>
    <w:p w:rsidR="000E42A8" w:rsidRDefault="000E42A8" w:rsidP="000E42A8">
      <w:pPr>
        <w:pStyle w:val="StandardWeb"/>
      </w:pPr>
      <w:r>
        <w:t>\mathbf K.</w:t>
      </w:r>
      <w:r>
        <w:br/>
        <w:t>\tag{3.8010}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\mathbf{K}_{T}=\mathbf{K}\qquad\text{(3.8010)}</w:t>
      </w:r>
    </w:p>
    <w:p w:rsidR="000E42A8" w:rsidRDefault="000E42A8" w:rsidP="000E42A8">
      <w:pPr>
        <w:pStyle w:val="StandardWeb"/>
      </w:pPr>
      <w:r>
        <w:t>Ich bezeichne dies mit</w:t>
      </w:r>
    </w:p>
    <w:p w:rsidR="000E42A8" w:rsidRDefault="000E42A8" w:rsidP="000E42A8">
      <w:pPr>
        <w:pStyle w:val="StandardWeb"/>
      </w:pPr>
      <w:r>
        <w:t>[</w:t>
      </w:r>
      <w:r>
        <w:br/>
        <w:t>F_K^{\mathrm{struct}}(T)=1.</w:t>
      </w:r>
      <w:r>
        <w:br/>
        <w:t>\tag{3.8011}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F_K^{\mathrm{struct}}(T)=1\qquad\text{(3.8011)}</w:t>
      </w:r>
    </w:p>
    <w:p w:rsidR="000E42A8" w:rsidRDefault="00E50336" w:rsidP="000E42A8">
      <w:r>
        <w:pict>
          <v:rect id="_x0000_i1914" style="width:0;height:1.5pt" o:hralign="center" o:hrstd="t" o:hr="t" fillcolor="#a0a0a0" stroked="f"/>
        </w:pict>
      </w:r>
    </w:p>
    <w:p w:rsidR="000E42A8" w:rsidRDefault="000E42A8" w:rsidP="000E42A8">
      <w:pPr>
        <w:pStyle w:val="berschrift2"/>
      </w:pPr>
      <w:r>
        <w:t>3.3.42.176 Konsistenzmatrix-Distanz</w:t>
      </w:r>
    </w:p>
    <w:p w:rsidR="000E42A8" w:rsidRDefault="000E42A8" w:rsidP="000E42A8">
      <w:pPr>
        <w:pStyle w:val="StandardWeb"/>
      </w:pPr>
      <w:r>
        <w:t>Falls die Matrizen nicht identisch sind, kann ihre Veränderung durch eine geeignete Matrixdistanz beschrieben werden:</w:t>
      </w:r>
    </w:p>
    <w:p w:rsidR="000E42A8" w:rsidRDefault="000E42A8" w:rsidP="000E42A8">
      <w:pPr>
        <w:pStyle w:val="berschrift1"/>
      </w:pPr>
      <w:r>
        <w:t>[</w:t>
      </w:r>
      <w:r>
        <w:br/>
        <w:t>D_K(T)</w:t>
      </w:r>
    </w:p>
    <w:p w:rsidR="000E42A8" w:rsidRDefault="000E42A8" w:rsidP="000E42A8">
      <w:pPr>
        <w:pStyle w:val="StandardWeb"/>
      </w:pPr>
      <w:r>
        <w:lastRenderedPageBreak/>
        <w:t>d_M</w:t>
      </w:r>
      <w:r>
        <w:br/>
        <w:t>\left(</w:t>
      </w:r>
      <w:r>
        <w:br/>
        <w:t>\mathbf K,</w:t>
      </w:r>
      <w:r>
        <w:br/>
        <w:t>\mathbf K_T</w:t>
      </w:r>
      <w:r>
        <w:br/>
        <w:t>\right).</w:t>
      </w:r>
      <w:r>
        <w:br/>
        <w:t>\tag{3.8012}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D_K(T)=d_M\left(\mathbf{K},\mathbf{K}_{T}\right)\qquad\text{(3.8012)}</w:t>
      </w:r>
    </w:p>
    <w:p w:rsidR="000E42A8" w:rsidRDefault="000E42A8" w:rsidP="000E42A8">
      <w:pPr>
        <w:pStyle w:val="StandardWeb"/>
      </w:pPr>
      <w:r>
        <w:t>Für</w:t>
      </w:r>
    </w:p>
    <w:p w:rsidR="000E42A8" w:rsidRDefault="000E42A8" w:rsidP="000E42A8">
      <w:pPr>
        <w:pStyle w:val="StandardWeb"/>
      </w:pPr>
      <w:r>
        <w:t>[</w:t>
      </w:r>
      <w:r>
        <w:br/>
        <w:t>D_K(T)=0</w:t>
      </w:r>
      <w:r>
        <w:br/>
        <w:t>\tag{3.8013}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D_K(T)=0\qquad\text{(3.8013)}</w:t>
      </w:r>
    </w:p>
    <w:p w:rsidR="000E42A8" w:rsidRDefault="000E42A8" w:rsidP="000E42A8">
      <w:pPr>
        <w:pStyle w:val="StandardWeb"/>
      </w:pPr>
      <w:r>
        <w:t>ist die paarweise Konsistenzstruktur vollständig erhalten.</w:t>
      </w:r>
    </w:p>
    <w:p w:rsidR="000E42A8" w:rsidRDefault="00E50336" w:rsidP="000E42A8">
      <w:r>
        <w:pict>
          <v:rect id="_x0000_i1915" style="width:0;height:1.5pt" o:hralign="center" o:hrstd="t" o:hr="t" fillcolor="#a0a0a0" stroked="f"/>
        </w:pict>
      </w:r>
    </w:p>
    <w:p w:rsidR="000E42A8" w:rsidRDefault="000E42A8" w:rsidP="000E42A8">
      <w:pPr>
        <w:pStyle w:val="berschrift1"/>
      </w:pPr>
      <w:r>
        <w:t>3.3.42.177 Konfliktsignatur unter Transformation</w:t>
      </w:r>
    </w:p>
    <w:p w:rsidR="000E42A8" w:rsidRDefault="000E42A8" w:rsidP="000E42A8">
      <w:pPr>
        <w:pStyle w:val="StandardWeb"/>
      </w:pPr>
      <w:r>
        <w:t>Auch die Konfliktsignatur kann transformiert werden:</w:t>
      </w:r>
    </w:p>
    <w:p w:rsidR="000E42A8" w:rsidRDefault="000E42A8" w:rsidP="000E42A8">
      <w:pPr>
        <w:pStyle w:val="StandardWeb"/>
      </w:pPr>
      <w:r>
        <w:t>[</w:t>
      </w:r>
      <w:r>
        <w:br/>
        <w:t>\Sigma_W</w:t>
      </w:r>
      <w:r>
        <w:br/>
        <w:t>\longrightarrow</w:t>
      </w:r>
      <w:r>
        <w:br/>
        <w:t>\Sigma_W^{T}.</w:t>
      </w:r>
      <w:r>
        <w:br/>
        <w:t>\tag{3.8014}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\Sigma_{W}\longrightarrow\Sigma_{W}^{T}\qquad\text{(3.8014)}</w:t>
      </w:r>
    </w:p>
    <w:p w:rsidR="000E42A8" w:rsidRDefault="000E42A8" w:rsidP="000E42A8">
      <w:pPr>
        <w:pStyle w:val="StandardWeb"/>
      </w:pPr>
      <w:r>
        <w:t>Ich definiere</w:t>
      </w:r>
    </w:p>
    <w:p w:rsidR="000E42A8" w:rsidRDefault="000E42A8" w:rsidP="000E42A8">
      <w:pPr>
        <w:pStyle w:val="berschrift1"/>
      </w:pPr>
      <w:r>
        <w:t>[</w:t>
      </w:r>
      <w:r>
        <w:br/>
        <w:t>\Delta\Sigma_W^{T}</w:t>
      </w:r>
    </w:p>
    <w:p w:rsidR="000E42A8" w:rsidRDefault="000E42A8" w:rsidP="000E42A8">
      <w:pPr>
        <w:pStyle w:val="StandardWeb"/>
      </w:pPr>
      <w:r>
        <w:t>d_{\Sigma}</w:t>
      </w:r>
      <w:r>
        <w:br/>
        <w:t>\left(</w:t>
      </w:r>
      <w:r>
        <w:br/>
        <w:t>\Sigma_W,</w:t>
      </w:r>
      <w:r>
        <w:br/>
      </w:r>
      <w:r>
        <w:lastRenderedPageBreak/>
        <w:t>\Sigma_W^{T}</w:t>
      </w:r>
      <w:r>
        <w:br/>
        <w:t>\right).</w:t>
      </w:r>
      <w:r>
        <w:br/>
        <w:t>\tag{3.8015}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\Delta\Sigma_{W}^{T}=d_{\Sigma}\left(\Sigma_{W},\Sigma_{W}^{T}\right)\qquad\text{(3.8015)}</w:t>
      </w:r>
    </w:p>
    <w:p w:rsidR="000E42A8" w:rsidRDefault="000E42A8" w:rsidP="000E42A8">
      <w:pPr>
        <w:pStyle w:val="StandardWeb"/>
      </w:pPr>
      <w:r>
        <w:t>Damit kann eine Transformation auch dann als strukturell problematisch erkannt werden, wenn der Gesamtwert (R_K) nahezu unverändert bleibt.</w:t>
      </w:r>
    </w:p>
    <w:p w:rsidR="000E42A8" w:rsidRDefault="00E50336" w:rsidP="000E42A8">
      <w:r>
        <w:pict>
          <v:rect id="_x0000_i1916" style="width:0;height:1.5pt" o:hralign="center" o:hrstd="t" o:hr="t" fillcolor="#a0a0a0" stroked="f"/>
        </w:pict>
      </w:r>
    </w:p>
    <w:p w:rsidR="000E42A8" w:rsidRDefault="000E42A8" w:rsidP="000E42A8">
      <w:pPr>
        <w:pStyle w:val="berschrift1"/>
      </w:pPr>
      <w:r>
        <w:t>3.3.42.178 Konsistenz unter Aggregation</w:t>
      </w:r>
    </w:p>
    <w:p w:rsidR="000E42A8" w:rsidRDefault="000E42A8" w:rsidP="000E42A8">
      <w:pPr>
        <w:pStyle w:val="StandardWeb"/>
      </w:pPr>
      <w:r>
        <w:t>Eine wichtige Klasse wissenschaftlicher Transformationen ist die Aggregation.</w:t>
      </w:r>
    </w:p>
    <w:p w:rsidR="000E42A8" w:rsidRDefault="000E42A8" w:rsidP="000E42A8">
      <w:pPr>
        <w:pStyle w:val="StandardWeb"/>
      </w:pPr>
      <w:r>
        <w:t>Sei</w:t>
      </w:r>
    </w:p>
    <w:p w:rsidR="000E42A8" w:rsidRDefault="000E42A8" w:rsidP="000E42A8">
      <w:pPr>
        <w:pStyle w:val="StandardWeb"/>
      </w:pPr>
      <w:r>
        <w:t>[</w:t>
      </w:r>
      <w:r>
        <w:br/>
        <w:t>G:</w:t>
      </w:r>
      <w:r>
        <w:br/>
        <w:t>\left(</w:t>
      </w:r>
      <w:r>
        <w:br/>
        <w:t>x_1,\ldots,x_n</w:t>
      </w:r>
      <w:r>
        <w:br/>
        <w:t>\right)</w:t>
      </w:r>
      <w:r>
        <w:br/>
        <w:t>\rightarrow</w:t>
      </w:r>
      <w:r>
        <w:br/>
        <w:t>X.</w:t>
      </w:r>
      <w:r>
        <w:br/>
        <w:t>\tag{3.8016}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G:\left(x_1,\ldots,x_n\right)\rightarrow X\qquad\text{(3.8016)}</w:t>
      </w:r>
    </w:p>
    <w:p w:rsidR="000E42A8" w:rsidRDefault="000E42A8" w:rsidP="000E42A8">
      <w:pPr>
        <w:pStyle w:val="StandardWeb"/>
      </w:pPr>
      <w:r>
        <w:t>Mehrere Einzelzustände werden dabei zu einer Makrogröße (X) zusammengefasst.</w:t>
      </w:r>
    </w:p>
    <w:p w:rsidR="000E42A8" w:rsidRDefault="000E42A8" w:rsidP="000E42A8">
      <w:pPr>
        <w:pStyle w:val="StandardWeb"/>
      </w:pPr>
      <w:r>
        <w:t>Die Konsistenz auf Mikroebene sei</w:t>
      </w:r>
    </w:p>
    <w:p w:rsidR="000E42A8" w:rsidRDefault="000E42A8" w:rsidP="000E42A8">
      <w:pPr>
        <w:pStyle w:val="StandardWeb"/>
      </w:pPr>
      <w:r>
        <w:t>[</w:t>
      </w:r>
      <w:r>
        <w:br/>
        <w:t>K_{\mathrm{micro}}.</w:t>
      </w:r>
      <w:r>
        <w:br/>
        <w:t>\tag{3.8017}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K_{\mathrm{micro}}\qquad\text{(3.8017)}</w:t>
      </w:r>
    </w:p>
    <w:p w:rsidR="000E42A8" w:rsidRDefault="000E42A8" w:rsidP="000E42A8">
      <w:pPr>
        <w:pStyle w:val="StandardWeb"/>
      </w:pPr>
      <w:r>
        <w:t>Die Konsistenz auf Makroebene sei</w:t>
      </w:r>
    </w:p>
    <w:p w:rsidR="000E42A8" w:rsidRDefault="000E42A8" w:rsidP="000E42A8">
      <w:pPr>
        <w:pStyle w:val="StandardWeb"/>
      </w:pPr>
      <w:r>
        <w:lastRenderedPageBreak/>
        <w:t>[</w:t>
      </w:r>
      <w:r>
        <w:br/>
        <w:t>K_{\mathrm{macro}}.</w:t>
      </w:r>
      <w:r>
        <w:br/>
        <w:t>\tag{3.8018}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K_{\mathrm{macro}}\qquad\text{(3.8018)}</w:t>
      </w:r>
    </w:p>
    <w:p w:rsidR="000E42A8" w:rsidRDefault="000E42A8" w:rsidP="000E42A8">
      <w:pPr>
        <w:pStyle w:val="StandardWeb"/>
      </w:pPr>
      <w:r>
        <w:t>Dann gilt im Allgemeinen weder</w:t>
      </w:r>
    </w:p>
    <w:p w:rsidR="000E42A8" w:rsidRDefault="000E42A8" w:rsidP="000E42A8">
      <w:pPr>
        <w:pStyle w:val="StandardWeb"/>
      </w:pPr>
      <w:r>
        <w:t>[</w:t>
      </w:r>
      <w:r>
        <w:br/>
        <w:t>K_{\mathrm{micro}}=1</w:t>
      </w:r>
      <w:r>
        <w:br/>
        <w:t>\Rightarrow</w:t>
      </w:r>
      <w:r>
        <w:br/>
        <w:t>K_{\mathrm{macro}}=1</w:t>
      </w:r>
      <w:r>
        <w:br/>
        <w:t>\tag{3.8019}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K_{\mathrm{micro}}=1\Rightarrow K_{\mathrm{macro}}=1\qquad\text{(3.8019)}</w:t>
      </w:r>
    </w:p>
    <w:p w:rsidR="000E42A8" w:rsidRDefault="000E42A8" w:rsidP="000E42A8">
      <w:pPr>
        <w:pStyle w:val="StandardWeb"/>
      </w:pPr>
      <w:r>
        <w:t>noch zwingend</w:t>
      </w:r>
    </w:p>
    <w:p w:rsidR="000E42A8" w:rsidRDefault="000E42A8" w:rsidP="000E42A8">
      <w:pPr>
        <w:pStyle w:val="StandardWeb"/>
      </w:pPr>
      <w:r>
        <w:t>[</w:t>
      </w:r>
      <w:r>
        <w:br/>
        <w:t>K_{\mathrm{macro}}=1</w:t>
      </w:r>
      <w:r>
        <w:br/>
        <w:t>\Rightarrow</w:t>
      </w:r>
      <w:r>
        <w:br/>
        <w:t>K_{\mathrm{micro}}=1.</w:t>
      </w:r>
      <w:r>
        <w:br/>
        <w:t>\tag{3.8020}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K_{\mathrm{macro}}=1\Rightarrow K_{\mathrm{micro}}=1\qquad\text{(3.8020)}</w:t>
      </w:r>
    </w:p>
    <w:p w:rsidR="000E42A8" w:rsidRDefault="000E42A8" w:rsidP="000E42A8">
      <w:pPr>
        <w:pStyle w:val="StandardWeb"/>
      </w:pPr>
      <w:r>
        <w:t>Die Aggregation kann neue Beziehungen erzeugen oder vorhandene Konflikte verdecken.</w:t>
      </w:r>
    </w:p>
    <w:p w:rsidR="000E42A8" w:rsidRDefault="00E50336" w:rsidP="000E42A8">
      <w:r>
        <w:pict>
          <v:rect id="_x0000_i1917" style="width:0;height:1.5pt" o:hralign="center" o:hrstd="t" o:hr="t" fillcolor="#a0a0a0" stroked="f"/>
        </w:pict>
      </w:r>
    </w:p>
    <w:p w:rsidR="000E42A8" w:rsidRDefault="000E42A8" w:rsidP="000E42A8">
      <w:pPr>
        <w:pStyle w:val="berschrift1"/>
      </w:pPr>
      <w:r>
        <w:t>3.3.42.179 Aggregationskonsistenz</w:t>
      </w:r>
    </w:p>
    <w:p w:rsidR="000E42A8" w:rsidRDefault="000E42A8" w:rsidP="000E42A8">
      <w:pPr>
        <w:pStyle w:val="berschrift3"/>
      </w:pPr>
      <w:r>
        <w:t>Definition 3.3.49 (Aggregationskonsistenz)</w:t>
      </w:r>
    </w:p>
    <w:p w:rsidR="000E42A8" w:rsidRDefault="000E42A8" w:rsidP="000E42A8">
      <w:pPr>
        <w:pStyle w:val="StandardWeb"/>
      </w:pPr>
      <w:r>
        <w:t>Eine Aggregation (G) heißt konsistent bezüglich einer Aussageklasse (\mathcal A_G), wenn die durch (G) erzeugten Makroaussagen keine Widersprüche erzeugen, die ausschließlich durch die Aggregationsregel selbst entstehen.</w:t>
      </w:r>
    </w:p>
    <w:p w:rsidR="000E42A8" w:rsidRDefault="000E42A8" w:rsidP="000E42A8">
      <w:pPr>
        <w:pStyle w:val="StandardWeb"/>
      </w:pPr>
      <w:r>
        <w:t>Ich schreibe</w:t>
      </w:r>
    </w:p>
    <w:p w:rsidR="000E42A8" w:rsidRDefault="000E42A8" w:rsidP="000E42A8">
      <w:pPr>
        <w:pStyle w:val="StandardWeb"/>
      </w:pPr>
      <w:r>
        <w:t>[</w:t>
      </w:r>
      <w:r>
        <w:br/>
        <w:t>K_G(\mathcal A_G)=1.</w:t>
      </w:r>
      <w:r>
        <w:br/>
      </w:r>
      <w:r>
        <w:lastRenderedPageBreak/>
        <w:t>\tag{3.8021}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K_G(\mathcal A_G)=1\qquad\text{(3.8021)}</w:t>
      </w:r>
    </w:p>
    <w:p w:rsidR="000E42A8" w:rsidRDefault="000E42A8" w:rsidP="000E42A8">
      <w:pPr>
        <w:pStyle w:val="StandardWeb"/>
      </w:pPr>
      <w:r>
        <w:t>Eine stärkere Form fordert zusätzlich, dass wissenschaftlich relevante Mikro-Konflikte nicht vollständig verborgen werden.</w:t>
      </w:r>
    </w:p>
    <w:p w:rsidR="000E42A8" w:rsidRDefault="00E50336" w:rsidP="000E42A8">
      <w:r>
        <w:pict>
          <v:rect id="_x0000_i1918" style="width:0;height:1.5pt" o:hralign="center" o:hrstd="t" o:hr="t" fillcolor="#a0a0a0" stroked="f"/>
        </w:pict>
      </w:r>
    </w:p>
    <w:p w:rsidR="000E42A8" w:rsidRDefault="000E42A8" w:rsidP="000E42A8">
      <w:pPr>
        <w:pStyle w:val="berschrift1"/>
      </w:pPr>
      <w:r>
        <w:t>3.3.42.180 Simpson-artige Konsistenzumkehr</w:t>
      </w:r>
    </w:p>
    <w:p w:rsidR="000E42A8" w:rsidRDefault="000E42A8" w:rsidP="000E42A8">
      <w:pPr>
        <w:pStyle w:val="StandardWeb"/>
      </w:pPr>
      <w:r>
        <w:t>Eine Aggregation kann sogar die Richtung einer Relation verändern.</w:t>
      </w:r>
    </w:p>
    <w:p w:rsidR="000E42A8" w:rsidRDefault="000E42A8" w:rsidP="000E42A8">
      <w:pPr>
        <w:pStyle w:val="StandardWeb"/>
      </w:pPr>
      <w:r>
        <w:t>Sei in mehreren Teilgruppen</w:t>
      </w:r>
    </w:p>
    <w:p w:rsidR="000E42A8" w:rsidRDefault="000E42A8" w:rsidP="000E42A8">
      <w:pPr>
        <w:pStyle w:val="StandardWeb"/>
      </w:pPr>
      <w:r>
        <w:t>[</w:t>
      </w:r>
      <w:r>
        <w:br/>
        <w:t>r_k&gt;0</w:t>
      </w:r>
      <w:r>
        <w:br/>
        <w:t>\qquad</w:t>
      </w:r>
      <w:r>
        <w:br/>
        <w:t>\forall k,</w:t>
      </w:r>
      <w:r>
        <w:br/>
        <w:t>\tag{3.8022}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r_k&gt;0\qquad\forall k\qquad\text{(3.8022)}</w:t>
      </w:r>
    </w:p>
    <w:p w:rsidR="000E42A8" w:rsidRDefault="000E42A8" w:rsidP="000E42A8">
      <w:pPr>
        <w:pStyle w:val="StandardWeb"/>
      </w:pPr>
      <w:r>
        <w:t>während aggregiert</w:t>
      </w:r>
    </w:p>
    <w:p w:rsidR="000E42A8" w:rsidRDefault="000E42A8" w:rsidP="000E42A8">
      <w:pPr>
        <w:pStyle w:val="StandardWeb"/>
      </w:pPr>
      <w:r>
        <w:t>[</w:t>
      </w:r>
      <w:r>
        <w:br/>
        <w:t>r_{\mathrm{agg}}&lt;0</w:t>
      </w:r>
      <w:r>
        <w:br/>
        <w:t>\tag{3.8023}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r_{\mathrm{agg}}&lt;0\qquad\text{(3.8023)}</w:t>
      </w:r>
    </w:p>
    <w:p w:rsidR="000E42A8" w:rsidRDefault="000E42A8" w:rsidP="000E42A8">
      <w:pPr>
        <w:pStyle w:val="StandardWeb"/>
      </w:pPr>
      <w:r>
        <w:t>gilt.</w:t>
      </w:r>
    </w:p>
    <w:p w:rsidR="000E42A8" w:rsidRDefault="000E42A8" w:rsidP="000E42A8">
      <w:pPr>
        <w:pStyle w:val="StandardWeb"/>
      </w:pPr>
      <w:r>
        <w:t>Dann entsteht eine Richtungsumkehr zwischen Mikro- und Makrostruktur.</w:t>
      </w:r>
    </w:p>
    <w:p w:rsidR="000E42A8" w:rsidRDefault="000E42A8" w:rsidP="000E42A8">
      <w:pPr>
        <w:pStyle w:val="StandardWeb"/>
      </w:pPr>
      <w:r>
        <w:t>Ich definiere</w:t>
      </w:r>
    </w:p>
    <w:p w:rsidR="000E42A8" w:rsidRDefault="000E42A8" w:rsidP="000E42A8">
      <w:pPr>
        <w:pStyle w:val="berschrift1"/>
      </w:pPr>
      <w:r>
        <w:t>[</w:t>
      </w:r>
      <w:r>
        <w:br/>
        <w:t>W_{\mathrm{agg}}</w:t>
      </w:r>
    </w:p>
    <w:p w:rsidR="000E42A8" w:rsidRDefault="000E42A8" w:rsidP="000E42A8">
      <w:pPr>
        <w:pStyle w:val="StandardWeb"/>
      </w:pPr>
      <w:r>
        <w:lastRenderedPageBreak/>
        <w:t>\mathbf 1</w:t>
      </w:r>
      <w:r>
        <w:br/>
        <w:t>\left[</w:t>
      </w:r>
      <w:r>
        <w:br/>
        <w:t>\operatorname{sgn}(r_{\mathrm{agg}})</w:t>
      </w:r>
      <w:r>
        <w:br/>
        <w:t>\neq</w:t>
      </w:r>
      <w:r>
        <w:br/>
        <w:t>\operatorname{sgn}(r_k)</w:t>
      </w:r>
      <w:r>
        <w:br/>
        <w:t>\right].</w:t>
      </w:r>
      <w:r>
        <w:br/>
        <w:t>\tag{3.8024}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W_{\mathrm{agg}}=\mathbf{1}\left[\operatorname{sgn}(r_{\mathrm{agg}})\neq\operatorname{sgn}(r_k)\right]\qquad\text{(3.8024)}</w:t>
      </w:r>
    </w:p>
    <w:p w:rsidR="000E42A8" w:rsidRDefault="000E42A8" w:rsidP="000E42A8">
      <w:pPr>
        <w:pStyle w:val="StandardWeb"/>
      </w:pPr>
      <w:r>
        <w:t>Ein solcher Befund ist nicht automatisch mathematisch falsch, muss aber semantisch und methodisch ausdrücklich behandelt werden.</w:t>
      </w:r>
    </w:p>
    <w:p w:rsidR="000E42A8" w:rsidRDefault="00E50336" w:rsidP="000E42A8">
      <w:r>
        <w:pict>
          <v:rect id="_x0000_i1919" style="width:0;height:1.5pt" o:hralign="center" o:hrstd="t" o:hr="t" fillcolor="#a0a0a0" stroked="f"/>
        </w:pict>
      </w:r>
    </w:p>
    <w:p w:rsidR="000E42A8" w:rsidRDefault="000E42A8" w:rsidP="000E42A8">
      <w:pPr>
        <w:pStyle w:val="berschrift1"/>
      </w:pPr>
      <w:r>
        <w:t>3.3.42.181 Konsistenz unter Normalisierung</w:t>
      </w:r>
    </w:p>
    <w:p w:rsidR="000E42A8" w:rsidRDefault="000E42A8" w:rsidP="000E42A8">
      <w:pPr>
        <w:pStyle w:val="StandardWeb"/>
      </w:pPr>
      <w:r>
        <w:t>Sei</w:t>
      </w:r>
    </w:p>
    <w:p w:rsidR="000E42A8" w:rsidRDefault="000E42A8" w:rsidP="000E42A8">
      <w:pPr>
        <w:pStyle w:val="StandardWeb"/>
      </w:pPr>
      <w:r>
        <w:t>[</w:t>
      </w:r>
      <w:r>
        <w:br/>
        <w:t>N:</w:t>
      </w:r>
      <w:r>
        <w:br/>
        <w:t>x</w:t>
      </w:r>
      <w:r>
        <w:br/>
        <w:t>\mapsto</w:t>
      </w:r>
      <w:r>
        <w:br/>
        <w:t>\frac{x-\mu_x}{\sigma_x}</w:t>
      </w:r>
      <w:r>
        <w:br/>
        <w:t>\tag{3.8025}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N:x\mapsto\frac{x-\mu_x}{\sigma_x}\qquad\text{(3.8025)}</w:t>
      </w:r>
    </w:p>
    <w:p w:rsidR="000E42A8" w:rsidRDefault="000E42A8" w:rsidP="000E42A8">
      <w:pPr>
        <w:pStyle w:val="StandardWeb"/>
      </w:pPr>
      <w:r>
        <w:t>eine Standardisierung.</w:t>
      </w:r>
    </w:p>
    <w:p w:rsidR="000E42A8" w:rsidRDefault="000E42A8" w:rsidP="000E42A8">
      <w:pPr>
        <w:pStyle w:val="StandardWeb"/>
      </w:pPr>
      <w:r>
        <w:t>Für rein lineare invertierbare Normalisierungen sollten qualitative Relationen, die invariant gegenüber Translation und positiver Skalierung sind, erhalten bleiben.</w:t>
      </w:r>
    </w:p>
    <w:p w:rsidR="000E42A8" w:rsidRDefault="000E42A8" w:rsidP="000E42A8">
      <w:pPr>
        <w:pStyle w:val="StandardWeb"/>
      </w:pPr>
      <w:r>
        <w:t>Beispielsweise gilt bei (\sigma_x&gt;0)</w:t>
      </w:r>
    </w:p>
    <w:p w:rsidR="000E42A8" w:rsidRDefault="000E42A8" w:rsidP="000E42A8">
      <w:pPr>
        <w:pStyle w:val="StandardWeb"/>
      </w:pPr>
      <w:r>
        <w:t>[</w:t>
      </w:r>
      <w:r>
        <w:br/>
        <w:t>x_1&gt;x_2</w:t>
      </w:r>
      <w:r>
        <w:br/>
        <w:t>\Longleftrightarrow</w:t>
      </w:r>
      <w:r>
        <w:br/>
        <w:t>N(x_1)&gt;N(x_2).</w:t>
      </w:r>
      <w:r>
        <w:br/>
        <w:t>\tag{3.8026}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x_1&gt;x_2\Longleftrightarrow N(x_1)&gt;N(x_2)\qquad\text{(3.8026)}</w:t>
      </w:r>
    </w:p>
    <w:p w:rsidR="000E42A8" w:rsidRDefault="000E42A8" w:rsidP="000E42A8">
      <w:pPr>
        <w:pStyle w:val="StandardWeb"/>
      </w:pPr>
      <w:r>
        <w:lastRenderedPageBreak/>
        <w:t>Damit bleibt eine reine Rangrelation konsistent.</w:t>
      </w:r>
    </w:p>
    <w:p w:rsidR="000E42A8" w:rsidRDefault="00E50336" w:rsidP="000E42A8">
      <w:r>
        <w:pict>
          <v:rect id="_x0000_i1920" style="width:0;height:1.5pt" o:hralign="center" o:hrstd="t" o:hr="t" fillcolor="#a0a0a0" stroked="f"/>
        </w:pict>
      </w:r>
    </w:p>
    <w:p w:rsidR="000E42A8" w:rsidRDefault="000E42A8" w:rsidP="000E42A8">
      <w:pPr>
        <w:pStyle w:val="berschrift1"/>
      </w:pPr>
      <w:r>
        <w:t>3.3.42.182 Nichtlineare Transformation</w:t>
      </w:r>
    </w:p>
    <w:p w:rsidR="000E42A8" w:rsidRDefault="000E42A8" w:rsidP="000E42A8">
      <w:pPr>
        <w:pStyle w:val="StandardWeb"/>
      </w:pPr>
      <w:r>
        <w:t>Bei einer streng monoton steigenden Transformation</w:t>
      </w:r>
    </w:p>
    <w:p w:rsidR="000E42A8" w:rsidRDefault="000E42A8" w:rsidP="000E42A8">
      <w:pPr>
        <w:pStyle w:val="StandardWeb"/>
      </w:pPr>
      <w:r>
        <w:t>[</w:t>
      </w:r>
      <w:r>
        <w:br/>
        <w:t>T'(x)&gt;0</w:t>
      </w:r>
      <w:r>
        <w:br/>
        <w:t>\tag{3.8027}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T^{\prime}(x)&gt;0\qquad\text{(3.8027)}</w:t>
      </w:r>
    </w:p>
    <w:p w:rsidR="000E42A8" w:rsidRDefault="000E42A8" w:rsidP="000E42A8">
      <w:pPr>
        <w:pStyle w:val="StandardWeb"/>
      </w:pPr>
      <w:r>
        <w:t>gilt</w:t>
      </w:r>
    </w:p>
    <w:p w:rsidR="000E42A8" w:rsidRDefault="000E42A8" w:rsidP="000E42A8">
      <w:pPr>
        <w:pStyle w:val="StandardWeb"/>
      </w:pPr>
      <w:r>
        <w:t>[</w:t>
      </w:r>
      <w:r>
        <w:br/>
        <w:t>x_1&gt;x_2</w:t>
      </w:r>
      <w:r>
        <w:br/>
        <w:t>\Longleftrightarrow</w:t>
      </w:r>
      <w:r>
        <w:br/>
        <w:t>T(x_1)&gt;T(x_2).</w:t>
      </w:r>
      <w:r>
        <w:br/>
        <w:t>\tag{3.8028}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x_1&gt;x_2\Longleftrightarrow T(x_1)&gt;T(x_2)\qquad\text{(3.8028)}</w:t>
      </w:r>
    </w:p>
    <w:p w:rsidR="000E42A8" w:rsidRDefault="000E42A8" w:rsidP="000E42A8">
      <w:pPr>
        <w:pStyle w:val="StandardWeb"/>
      </w:pPr>
      <w:r>
        <w:t>Eine Rangrelation wird daher erhalten.</w:t>
      </w:r>
    </w:p>
    <w:p w:rsidR="000E42A8" w:rsidRDefault="000E42A8" w:rsidP="000E42A8">
      <w:pPr>
        <w:pStyle w:val="StandardWeb"/>
      </w:pPr>
      <w:r>
        <w:t>Eine metrische Differenz wird dagegen im Allgemeinen nicht erhalten:</w:t>
      </w:r>
    </w:p>
    <w:p w:rsidR="000E42A8" w:rsidRDefault="000E42A8" w:rsidP="000E42A8">
      <w:pPr>
        <w:pStyle w:val="StandardWeb"/>
      </w:pPr>
      <w:r>
        <w:t>[</w:t>
      </w:r>
      <w:r>
        <w:br/>
        <w:t>T(x_1)-T(x_2)</w:t>
      </w:r>
      <w:r>
        <w:br/>
        <w:t>\neq</w:t>
      </w:r>
      <w:r>
        <w:br/>
        <w:t>x_1-x_2.</w:t>
      </w:r>
      <w:r>
        <w:br/>
        <w:t>\tag{3.8029}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T(x_1)-T(x_2)\neq x_1-x_2\qquad\text{(3.8029)}</w:t>
      </w:r>
    </w:p>
    <w:p w:rsidR="000E42A8" w:rsidRDefault="000E42A8" w:rsidP="000E42A8">
      <w:pPr>
        <w:pStyle w:val="StandardWeb"/>
      </w:pPr>
      <w:r>
        <w:t xml:space="preserve">Damit hängt Konsistenzerhaltung immer von der </w:t>
      </w:r>
      <w:r>
        <w:rPr>
          <w:rStyle w:val="Fett"/>
        </w:rPr>
        <w:t>Art der wissenschaftlichen Aussage</w:t>
      </w:r>
      <w:r>
        <w:t xml:space="preserve"> ab.</w:t>
      </w:r>
    </w:p>
    <w:p w:rsidR="000E42A8" w:rsidRDefault="00E50336" w:rsidP="000E42A8">
      <w:r>
        <w:pict>
          <v:rect id="_x0000_i1921" style="width:0;height:1.5pt" o:hralign="center" o:hrstd="t" o:hr="t" fillcolor="#a0a0a0" stroked="f"/>
        </w:pict>
      </w:r>
    </w:p>
    <w:p w:rsidR="000E42A8" w:rsidRDefault="000E42A8" w:rsidP="000E42A8">
      <w:pPr>
        <w:pStyle w:val="berschrift1"/>
      </w:pPr>
      <w:r>
        <w:t>3.3.42.183 Aussageninvarianzklasse</w:t>
      </w:r>
    </w:p>
    <w:p w:rsidR="000E42A8" w:rsidRDefault="000E42A8" w:rsidP="000E42A8">
      <w:pPr>
        <w:pStyle w:val="StandardWeb"/>
      </w:pPr>
      <w:r>
        <w:lastRenderedPageBreak/>
        <w:t>Ich definiere deshalb für eine Aussage (A) die Menge ihrer konsistenzerhaltenden Transformationen</w:t>
      </w:r>
    </w:p>
    <w:p w:rsidR="000E42A8" w:rsidRDefault="000E42A8" w:rsidP="000E42A8">
      <w:pPr>
        <w:pStyle w:val="berschrift1"/>
      </w:pPr>
      <w:r>
        <w:t>[</w:t>
      </w:r>
      <w:r>
        <w:br/>
        <w:t>\mathfrak T_K(A)</w:t>
      </w:r>
    </w:p>
    <w:p w:rsidR="000E42A8" w:rsidRDefault="000E42A8" w:rsidP="000E42A8">
      <w:pPr>
        <w:pStyle w:val="StandardWeb"/>
      </w:pPr>
      <w:r>
        <w:t>\left{</w:t>
      </w:r>
      <w:r>
        <w:br/>
        <w:t>T:</w:t>
      </w:r>
      <w:r>
        <w:br/>
        <w:t>K_F(A,T[A])=1</w:t>
      </w:r>
      <w:r>
        <w:br/>
        <w:t>\right}.</w:t>
      </w:r>
      <w:r>
        <w:br/>
        <w:t>\tag{3.8030}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\mathfrak{T}_{K}(A)=\left\{T:K_F(A,T[A])=1\right\}\qquad\text{(3.8030)}</w:t>
      </w:r>
    </w:p>
    <w:p w:rsidR="000E42A8" w:rsidRDefault="000E42A8" w:rsidP="000E42A8">
      <w:pPr>
        <w:pStyle w:val="StandardWeb"/>
      </w:pPr>
      <w:r>
        <w:t>Für eine Aussagenmenge gilt entsprechend</w:t>
      </w:r>
    </w:p>
    <w:p w:rsidR="000E42A8" w:rsidRDefault="000E42A8" w:rsidP="000E42A8">
      <w:pPr>
        <w:pStyle w:val="berschrift1"/>
      </w:pPr>
      <w:r>
        <w:t>[</w:t>
      </w:r>
      <w:r>
        <w:br/>
        <w:t>\mathfrak T_K(\mathcal A)</w:t>
      </w:r>
    </w:p>
    <w:p w:rsidR="000E42A8" w:rsidRDefault="000E42A8" w:rsidP="000E42A8">
      <w:pPr>
        <w:pStyle w:val="StandardWeb"/>
      </w:pPr>
      <w:r>
        <w:t>\bigcap_{A_i\in\mathcal A}</w:t>
      </w:r>
      <w:r>
        <w:br/>
        <w:t>\mathfrak T_K(A_i).</w:t>
      </w:r>
      <w:r>
        <w:br/>
        <w:t>\tag{3.8031}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\mathfrak{T}_{K}(\mathcal A)=\bigcap_{A_i\in\mathcal A}\mathfrak{T}_{K}(A_i)\qquad\text{(3.8031)}</w:t>
      </w:r>
    </w:p>
    <w:p w:rsidR="000E42A8" w:rsidRDefault="000E42A8" w:rsidP="000E42A8">
      <w:pPr>
        <w:pStyle w:val="StandardWeb"/>
      </w:pPr>
      <w:r>
        <w:t>Diese Menge enthält diejenigen Transformationen, unter denen die betrachtete Aussagenklasse funktional konsistent bleibt.</w:t>
      </w:r>
    </w:p>
    <w:p w:rsidR="000E42A8" w:rsidRDefault="00E50336" w:rsidP="000E42A8">
      <w:r>
        <w:pict>
          <v:rect id="_x0000_i1922" style="width:0;height:1.5pt" o:hralign="center" o:hrstd="t" o:hr="t" fillcolor="#a0a0a0" stroked="f"/>
        </w:pict>
      </w:r>
    </w:p>
    <w:p w:rsidR="000E42A8" w:rsidRDefault="000E42A8" w:rsidP="000E42A8">
      <w:pPr>
        <w:pStyle w:val="berschrift1"/>
      </w:pPr>
      <w:r>
        <w:t>3.3.42.184 Komposition konsistenzerhaltender Transformationen</w:t>
      </w:r>
    </w:p>
    <w:p w:rsidR="000E42A8" w:rsidRDefault="000E42A8" w:rsidP="000E42A8">
      <w:pPr>
        <w:pStyle w:val="StandardWeb"/>
      </w:pPr>
      <w:r>
        <w:t>Seien</w:t>
      </w:r>
    </w:p>
    <w:p w:rsidR="000E42A8" w:rsidRDefault="000E42A8" w:rsidP="000E42A8">
      <w:pPr>
        <w:pStyle w:val="StandardWeb"/>
      </w:pPr>
      <w:r>
        <w:t>[</w:t>
      </w:r>
      <w:r>
        <w:br/>
        <w:t>T_1,T_2\in\operatorname{Pres}(K_F).</w:t>
      </w:r>
      <w:r>
        <w:br/>
        <w:t>\tag{3.8032}</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T_1,T_2\in\operatorname{Pres}(K_F)\qquad\text{(3.8032)}</w:t>
      </w:r>
    </w:p>
    <w:p w:rsidR="000E42A8" w:rsidRDefault="000E42A8" w:rsidP="000E42A8">
      <w:pPr>
        <w:pStyle w:val="StandardWeb"/>
      </w:pPr>
      <w:r>
        <w:t>Dann stellt sich die Frage, ob auch</w:t>
      </w:r>
    </w:p>
    <w:p w:rsidR="000E42A8" w:rsidRDefault="000E42A8" w:rsidP="000E42A8">
      <w:pPr>
        <w:pStyle w:val="StandardWeb"/>
      </w:pPr>
      <w:r>
        <w:t>[</w:t>
      </w:r>
      <w:r>
        <w:br/>
        <w:t>T_2\circ T_1</w:t>
      </w:r>
      <w:r>
        <w:br/>
        <w:t>\tag{3.8033}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T_2\circ T_1\qquad\text{(3.8033)}</w:t>
      </w:r>
    </w:p>
    <w:p w:rsidR="000E42A8" w:rsidRDefault="000E42A8" w:rsidP="000E42A8">
      <w:pPr>
        <w:pStyle w:val="StandardWeb"/>
      </w:pPr>
      <w:r>
        <w:t>konsistenzerhaltend ist.</w:t>
      </w:r>
    </w:p>
    <w:p w:rsidR="000E42A8" w:rsidRDefault="000E42A8" w:rsidP="000E42A8">
      <w:pPr>
        <w:pStyle w:val="StandardWeb"/>
      </w:pPr>
      <w:r>
        <w:t>Unter der Voraussetzung, dass beide Transformationen auf den jeweiligen Bildräumen definiert und konsistenzerhaltend sind, gilt</w:t>
      </w:r>
    </w:p>
    <w:p w:rsidR="000E42A8" w:rsidRDefault="000E42A8" w:rsidP="000E42A8">
      <w:pPr>
        <w:pStyle w:val="StandardWeb"/>
      </w:pPr>
      <w:r>
        <w:t>[</w:t>
      </w:r>
      <w:r>
        <w:br/>
        <w:t>T_2\circ T_1</w:t>
      </w:r>
      <w:r>
        <w:br/>
        <w:t>\in</w:t>
      </w:r>
      <w:r>
        <w:br/>
        <w:t>\operatorname{Pres}(K_F).</w:t>
      </w:r>
      <w:r>
        <w:br/>
        <w:t>\tag{3.8034}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T_2\circ T_1\in\operatorname{Pres}(K_F)\qquad\text{(3.8034)}</w:t>
      </w:r>
    </w:p>
    <w:p w:rsidR="000E42A8" w:rsidRDefault="00E50336" w:rsidP="000E42A8">
      <w:r>
        <w:pict>
          <v:rect id="_x0000_i1923" style="width:0;height:1.5pt" o:hralign="center" o:hrstd="t" o:hr="t" fillcolor="#a0a0a0" stroked="f"/>
        </w:pict>
      </w:r>
    </w:p>
    <w:p w:rsidR="000E42A8" w:rsidRDefault="000E42A8" w:rsidP="000E42A8">
      <w:pPr>
        <w:pStyle w:val="berschrift2"/>
      </w:pPr>
      <w:r>
        <w:t>Satz 3.3.29 (Abgeschlossenheit konsistenzerhaltender Transformationen unter zulässiger Komposition)</w:t>
      </w:r>
    </w:p>
    <w:p w:rsidR="000E42A8" w:rsidRDefault="000E42A8" w:rsidP="000E42A8">
      <w:pPr>
        <w:pStyle w:val="StandardWeb"/>
      </w:pPr>
      <w:r>
        <w:t>Seien (T_1) und (T_2) konsistenzerhaltende Transformationen auf den jeweils relevanten Aussagenklassen. Sei außerdem die Komposition (T_2\circ T_1) wohldefiniert. Dann ist auch die Komposition konsistenzerhaltend.</w:t>
      </w:r>
    </w:p>
    <w:p w:rsidR="000E42A8" w:rsidRDefault="000E42A8" w:rsidP="000E42A8">
      <w:pPr>
        <w:pStyle w:val="StandardWeb"/>
      </w:pPr>
      <w:r>
        <w:t>Formal:</w:t>
      </w:r>
    </w:p>
    <w:p w:rsidR="000E42A8" w:rsidRDefault="000E42A8" w:rsidP="000E42A8">
      <w:pPr>
        <w:pStyle w:val="StandardWeb"/>
      </w:pPr>
      <w:r>
        <w:t>[</w:t>
      </w:r>
      <w:r>
        <w:br/>
        <w:t>T_1,T_2\in\operatorname{Pres}(K_F)</w:t>
      </w:r>
      <w:r>
        <w:br/>
        <w:t>\Rightarrow</w:t>
      </w:r>
      <w:r>
        <w:br/>
        <w:t>T_2\circ T_1\in\operatorname{Pres}(K_F).</w:t>
      </w:r>
      <w:r>
        <w:br/>
        <w:t>\tag{3.8035}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T_1,T_2\in\operatorname{Pres}(K_F)\Rightarrow T_2\circ T_1\in\operatorname{Pres}(K_F)\qquad\text{(3.8035)}</w:t>
      </w:r>
    </w:p>
    <w:p w:rsidR="000E42A8" w:rsidRDefault="000E42A8" w:rsidP="000E42A8">
      <w:pPr>
        <w:pStyle w:val="berschrift3"/>
      </w:pPr>
      <w:r>
        <w:t>Beweis</w:t>
      </w:r>
    </w:p>
    <w:p w:rsidR="000E42A8" w:rsidRDefault="000E42A8" w:rsidP="000E42A8">
      <w:pPr>
        <w:pStyle w:val="StandardWeb"/>
      </w:pPr>
      <w:r>
        <w:t>Seien (A_i) und (A_j) konsistent:</w:t>
      </w:r>
    </w:p>
    <w:p w:rsidR="000E42A8" w:rsidRDefault="000E42A8" w:rsidP="000E42A8">
      <w:pPr>
        <w:pStyle w:val="StandardWeb"/>
      </w:pPr>
      <w:r>
        <w:t>[</w:t>
      </w:r>
      <w:r>
        <w:br/>
        <w:t>K_F(A_i,A_j)=1.</w:t>
      </w:r>
      <w:r>
        <w:br/>
        <w:t>\tag{3.8036}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K_F(A_i,A_j)=1\qquad\text{(3.8036)}</w:t>
      </w:r>
    </w:p>
    <w:p w:rsidR="000E42A8" w:rsidRDefault="000E42A8" w:rsidP="000E42A8">
      <w:pPr>
        <w:pStyle w:val="StandardWeb"/>
      </w:pPr>
      <w:r>
        <w:t>Da (T_1) konsistenzerhaltend ist, gilt</w:t>
      </w:r>
    </w:p>
    <w:p w:rsidR="000E42A8" w:rsidRDefault="000E42A8" w:rsidP="000E42A8">
      <w:pPr>
        <w:pStyle w:val="StandardWeb"/>
      </w:pPr>
      <w:r>
        <w:t>[</w:t>
      </w:r>
      <w:r>
        <w:br/>
        <w:t>K_F(T_1[A_i],T_1[A_j])=1.</w:t>
      </w:r>
      <w:r>
        <w:br/>
        <w:t>\tag{3.8037}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K_F(T_1[A_i],T_1[A_j])=1\qquad\text{(3.8037)}</w:t>
      </w:r>
    </w:p>
    <w:p w:rsidR="000E42A8" w:rsidRDefault="000E42A8" w:rsidP="000E42A8">
      <w:pPr>
        <w:pStyle w:val="StandardWeb"/>
      </w:pPr>
      <w:r>
        <w:t>Da (T_2) auf diesem Bildraum ebenfalls konsistenzerhaltend ist, folgt</w:t>
      </w:r>
    </w:p>
    <w:p w:rsidR="000E42A8" w:rsidRDefault="000E42A8" w:rsidP="000E42A8">
      <w:pPr>
        <w:pStyle w:val="berschrift1"/>
      </w:pPr>
      <w:r>
        <w:t>[</w:t>
      </w:r>
      <w:r>
        <w:br/>
        <w:t>K_F</w:t>
      </w:r>
      <w:r>
        <w:br/>
        <w:t>\left(</w:t>
      </w:r>
      <w:r>
        <w:br/>
        <w:t>T_2[T_1[A_i]],</w:t>
      </w:r>
      <w:r>
        <w:br/>
        <w:t>T_2[T_1[A_j]]</w:t>
      </w:r>
      <w:r>
        <w:br/>
        <w:t>\right)</w:t>
      </w:r>
    </w:p>
    <w:p w:rsidR="000E42A8" w:rsidRDefault="000E42A8" w:rsidP="008C5E65">
      <w:pPr>
        <w:numPr>
          <w:ilvl w:val="0"/>
          <w:numId w:val="402"/>
        </w:numPr>
        <w:spacing w:before="100" w:beforeAutospacing="1" w:after="100" w:afterAutospacing="1"/>
      </w:pPr>
    </w:p>
    <w:p w:rsidR="000E42A8" w:rsidRDefault="000E42A8" w:rsidP="000E42A8">
      <w:pPr>
        <w:pStyle w:val="StandardWeb"/>
      </w:pPr>
      <w:r>
        <w:t>\tag{3.8038}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K_F\left(T_2[T_1[A_i]],T_2[T_1[A_j]]\right)=1\qquad\text{(3.8038)}</w:t>
      </w:r>
    </w:p>
    <w:p w:rsidR="000E42A8" w:rsidRDefault="000E42A8" w:rsidP="000E42A8">
      <w:pPr>
        <w:pStyle w:val="StandardWeb"/>
      </w:pPr>
      <w:r>
        <w:t>Mit</w:t>
      </w:r>
    </w:p>
    <w:p w:rsidR="000E42A8" w:rsidRDefault="000E42A8" w:rsidP="000E42A8">
      <w:pPr>
        <w:pStyle w:val="berschrift1"/>
      </w:pPr>
      <w:r>
        <w:lastRenderedPageBreak/>
        <w:t>[</w:t>
      </w:r>
      <w:r>
        <w:br/>
        <w:t>T_2[T_1[A]]</w:t>
      </w:r>
    </w:p>
    <w:p w:rsidR="000E42A8" w:rsidRDefault="000E42A8" w:rsidP="000E42A8">
      <w:pPr>
        <w:pStyle w:val="StandardWeb"/>
      </w:pPr>
      <w:r>
        <w:t>(T_2\circ T_1)[A]</w:t>
      </w:r>
      <w:r>
        <w:br/>
        <w:t>\tag{3.8039}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T_2[T_1[A]]=(T_2\circ T_1)[A]\qquad\text{(3.8039)}</w:t>
      </w:r>
    </w:p>
    <w:p w:rsidR="000E42A8" w:rsidRDefault="000E42A8" w:rsidP="000E42A8">
      <w:pPr>
        <w:pStyle w:val="StandardWeb"/>
      </w:pPr>
      <w:r>
        <w:t>ergibt sich</w:t>
      </w:r>
    </w:p>
    <w:p w:rsidR="000E42A8" w:rsidRDefault="000E42A8" w:rsidP="000E42A8">
      <w:pPr>
        <w:pStyle w:val="berschrift1"/>
      </w:pPr>
      <w:r>
        <w:t>[</w:t>
      </w:r>
      <w:r>
        <w:br/>
        <w:t>K_F</w:t>
      </w:r>
      <w:r>
        <w:br/>
        <w:t>\left(</w:t>
      </w:r>
      <w:r>
        <w:br/>
        <w:t>(T_2\circ T_1)[A_i],</w:t>
      </w:r>
      <w:r>
        <w:br/>
        <w:t>(T_2\circ T_1)[A_j]</w:t>
      </w:r>
      <w:r>
        <w:br/>
        <w:t>\right)</w:t>
      </w:r>
    </w:p>
    <w:p w:rsidR="000E42A8" w:rsidRDefault="000E42A8" w:rsidP="008C5E65">
      <w:pPr>
        <w:numPr>
          <w:ilvl w:val="0"/>
          <w:numId w:val="403"/>
        </w:numPr>
        <w:spacing w:before="100" w:beforeAutospacing="1" w:after="100" w:afterAutospacing="1"/>
      </w:pPr>
    </w:p>
    <w:p w:rsidR="000E42A8" w:rsidRDefault="000E42A8" w:rsidP="000E42A8">
      <w:pPr>
        <w:pStyle w:val="StandardWeb"/>
      </w:pPr>
      <w:r>
        <w:t>\tag{3.8040}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K_F\left((T_2\circ T_1)[A_i],(T_2\circ T_1)[A_j]\right)=1\qquad\text{(3.8040)}</w:t>
      </w:r>
    </w:p>
    <w:p w:rsidR="000E42A8" w:rsidRDefault="000E42A8" w:rsidP="000E42A8">
      <w:pPr>
        <w:pStyle w:val="StandardWeb"/>
      </w:pPr>
      <w:r>
        <w:t>Damit ist die Komposition konsistenzerhaltend. (\square)</w:t>
      </w:r>
    </w:p>
    <w:p w:rsidR="000E42A8" w:rsidRDefault="00E50336" w:rsidP="000E42A8">
      <w:r>
        <w:pict>
          <v:rect id="_x0000_i1924" style="width:0;height:1.5pt" o:hralign="center" o:hrstd="t" o:hr="t" fillcolor="#a0a0a0" stroked="f"/>
        </w:pict>
      </w:r>
    </w:p>
    <w:p w:rsidR="000E42A8" w:rsidRDefault="000E42A8" w:rsidP="000E42A8">
      <w:pPr>
        <w:pStyle w:val="berschrift2"/>
      </w:pPr>
      <w:r>
        <w:t>Korollar 3.3.8</w:t>
      </w:r>
    </w:p>
    <w:p w:rsidR="000E42A8" w:rsidRDefault="000E42A8" w:rsidP="000E42A8">
      <w:pPr>
        <w:pStyle w:val="StandardWeb"/>
      </w:pPr>
      <w:r>
        <w:t>Eine endliche Folge konsistenzerhaltender Transformationen</w:t>
      </w:r>
    </w:p>
    <w:p w:rsidR="000E42A8" w:rsidRDefault="000E42A8" w:rsidP="000E42A8">
      <w:pPr>
        <w:pStyle w:val="StandardWeb"/>
      </w:pPr>
      <w:r>
        <w:t>[</w:t>
      </w:r>
      <w:r>
        <w:br/>
        <w:t>T_n\circ T_{n-1}\circ\cdots\circ T_1</w:t>
      </w:r>
      <w:r>
        <w:br/>
        <w:t>\tag{3.8041}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T_n\circ T_{n-1}\circ\cdots\circ T_1\qquad\text{(3.8041)}</w:t>
      </w:r>
    </w:p>
    <w:p w:rsidR="000E42A8" w:rsidRDefault="000E42A8" w:rsidP="000E42A8">
      <w:pPr>
        <w:pStyle w:val="StandardWeb"/>
      </w:pPr>
      <w:r>
        <w:t>ist unter denselben Voraussetzungen ebenfalls konsistenzerhaltend.</w:t>
      </w:r>
    </w:p>
    <w:p w:rsidR="000E42A8" w:rsidRDefault="00E50336" w:rsidP="000E42A8">
      <w:r>
        <w:pict>
          <v:rect id="_x0000_i1925" style="width:0;height:1.5pt" o:hralign="center" o:hrstd="t" o:hr="t" fillcolor="#a0a0a0" stroked="f"/>
        </w:pict>
      </w:r>
    </w:p>
    <w:p w:rsidR="000E42A8" w:rsidRDefault="000E42A8" w:rsidP="000E42A8">
      <w:pPr>
        <w:pStyle w:val="berschrift1"/>
      </w:pPr>
      <w:r>
        <w:t>3.3.42.185 Identitätstransformation</w:t>
      </w:r>
    </w:p>
    <w:p w:rsidR="000E42A8" w:rsidRDefault="000E42A8" w:rsidP="000E42A8">
      <w:pPr>
        <w:pStyle w:val="StandardWeb"/>
      </w:pPr>
      <w:r>
        <w:t>Die Identität</w:t>
      </w:r>
    </w:p>
    <w:p w:rsidR="000E42A8" w:rsidRDefault="000E42A8" w:rsidP="000E42A8">
      <w:pPr>
        <w:pStyle w:val="StandardWeb"/>
      </w:pPr>
      <w:r>
        <w:t>[</w:t>
      </w:r>
      <w:r>
        <w:br/>
        <w:t>I[A]=A</w:t>
      </w:r>
      <w:r>
        <w:br/>
        <w:t>\tag{3.8042}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I[A]=A\qquad\text{(3.8042)}</w:t>
      </w:r>
    </w:p>
    <w:p w:rsidR="000E42A8" w:rsidRDefault="000E42A8" w:rsidP="000E42A8">
      <w:pPr>
        <w:pStyle w:val="StandardWeb"/>
      </w:pPr>
      <w:r>
        <w:t>ist trivial konsistenzerhaltend:</w:t>
      </w:r>
    </w:p>
    <w:p w:rsidR="000E42A8" w:rsidRDefault="000E42A8" w:rsidP="000E42A8">
      <w:pPr>
        <w:pStyle w:val="StandardWeb"/>
      </w:pPr>
      <w:r>
        <w:t>[</w:t>
      </w:r>
      <w:r>
        <w:br/>
        <w:t>I</w:t>
      </w:r>
      <w:r>
        <w:br/>
        <w:t>\in</w:t>
      </w:r>
      <w:r>
        <w:br/>
        <w:t>\operatorname{Pres}(K_F).</w:t>
      </w:r>
      <w:r>
        <w:br/>
        <w:t>\tag{3.8043}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I\in\operatorname{Pres}(K_F)\qquad\text{(3.8043)}</w:t>
      </w:r>
    </w:p>
    <w:p w:rsidR="000E42A8" w:rsidRDefault="000E42A8" w:rsidP="000E42A8">
      <w:pPr>
        <w:pStyle w:val="StandardWeb"/>
      </w:pPr>
      <w:r>
        <w:t>Besitzt jede konsistenzerhaltende Transformation zusätzlich eine ebenfalls konsistenzerhaltende inverse Transformation, kann eine stärkere algebraische Struktur entstehen.</w:t>
      </w:r>
    </w:p>
    <w:p w:rsidR="000E42A8" w:rsidRDefault="00E50336" w:rsidP="000E42A8">
      <w:r>
        <w:pict>
          <v:rect id="_x0000_i1926" style="width:0;height:1.5pt" o:hralign="center" o:hrstd="t" o:hr="t" fillcolor="#a0a0a0" stroked="f"/>
        </w:pict>
      </w:r>
    </w:p>
    <w:p w:rsidR="000E42A8" w:rsidRDefault="000E42A8" w:rsidP="000E42A8">
      <w:pPr>
        <w:pStyle w:val="berschrift1"/>
      </w:pPr>
      <w:r>
        <w:t>3.3.42.186 Konsistenzinvarianzgruppe</w:t>
      </w:r>
    </w:p>
    <w:p w:rsidR="000E42A8" w:rsidRDefault="000E42A8" w:rsidP="000E42A8">
      <w:pPr>
        <w:pStyle w:val="StandardWeb"/>
      </w:pPr>
      <w:r>
        <w:t>Sei</w:t>
      </w:r>
    </w:p>
    <w:p w:rsidR="000E42A8" w:rsidRDefault="000E42A8" w:rsidP="000E42A8">
      <w:pPr>
        <w:pStyle w:val="StandardWeb"/>
      </w:pPr>
      <w:r>
        <w:t>[</w:t>
      </w:r>
      <w:r>
        <w:br/>
        <w:t>T^{-1}</w:t>
      </w:r>
      <w:r>
        <w:br/>
        <w:t>\in</w:t>
      </w:r>
      <w:r>
        <w:br/>
        <w:t>\operatorname{Pres}(K_F)</w:t>
      </w:r>
      <w:r>
        <w:br/>
        <w:t>\tag{3.8044}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T^{-1}\in\operatorname{Pres}(K_F)\qquad\text{(3.8044)}</w:t>
      </w:r>
    </w:p>
    <w:p w:rsidR="000E42A8" w:rsidRDefault="000E42A8" w:rsidP="000E42A8">
      <w:pPr>
        <w:pStyle w:val="StandardWeb"/>
      </w:pPr>
      <w:r>
        <w:t>für jede Transformation (T) einer betrachteten Transformationsklasse.</w:t>
      </w:r>
    </w:p>
    <w:p w:rsidR="000E42A8" w:rsidRDefault="000E42A8" w:rsidP="000E42A8">
      <w:pPr>
        <w:pStyle w:val="StandardWeb"/>
      </w:pPr>
      <w:r>
        <w:t>Dann kann die Menge</w:t>
      </w:r>
    </w:p>
    <w:p w:rsidR="000E42A8" w:rsidRDefault="000E42A8" w:rsidP="000E42A8">
      <w:pPr>
        <w:pStyle w:val="berschrift1"/>
      </w:pPr>
      <w:r>
        <w:t>[</w:t>
      </w:r>
      <w:r>
        <w:br/>
        <w:t>\mathfrak G_K</w:t>
      </w:r>
    </w:p>
    <w:p w:rsidR="000E42A8" w:rsidRDefault="000E42A8" w:rsidP="000E42A8">
      <w:pPr>
        <w:pStyle w:val="StandardWeb"/>
      </w:pPr>
      <w:r>
        <w:t>\left{</w:t>
      </w:r>
      <w:r>
        <w:br/>
        <w:t>T:</w:t>
      </w:r>
      <w:r>
        <w:br/>
        <w:t>T,T^{-1}\in\operatorname{Pres}(K_F)</w:t>
      </w:r>
      <w:r>
        <w:br/>
        <w:t>\right}</w:t>
      </w:r>
      <w:r>
        <w:br/>
        <w:t>\tag{3.8045}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\mathfrak{G}_{K}=\left\{T:T,T^{-1}\in\operatorname{Pres}(K_F)\right\}\qquad\text{(3.8045)}</w:t>
      </w:r>
    </w:p>
    <w:p w:rsidR="000E42A8" w:rsidRDefault="000E42A8" w:rsidP="000E42A8">
      <w:pPr>
        <w:pStyle w:val="StandardWeb"/>
      </w:pPr>
      <w:r>
        <w:t>unter geeigneten Voraussetzungen eine Gruppe bezüglich der Komposition bilden.</w:t>
      </w:r>
    </w:p>
    <w:p w:rsidR="000E42A8" w:rsidRDefault="000E42A8" w:rsidP="000E42A8">
      <w:pPr>
        <w:pStyle w:val="StandardWeb"/>
      </w:pPr>
      <w:r>
        <w:t>Diese algebraische Interpretation ist jedoch keine notwendige Primärstruktur des FRZK, sondern eine abgeleitete Möglichkeit für Transformationsklassen mit entsprechender mathematischer Struktur.</w:t>
      </w:r>
    </w:p>
    <w:p w:rsidR="000E42A8" w:rsidRDefault="00E50336" w:rsidP="000E42A8">
      <w:r>
        <w:pict>
          <v:rect id="_x0000_i1927" style="width:0;height:1.5pt" o:hralign="center" o:hrstd="t" o:hr="t" fillcolor="#a0a0a0" stroked="f"/>
        </w:pict>
      </w:r>
    </w:p>
    <w:p w:rsidR="000E42A8" w:rsidRDefault="000E42A8" w:rsidP="000E42A8">
      <w:pPr>
        <w:pStyle w:val="berschrift1"/>
      </w:pPr>
      <w:r>
        <w:t>3.3.42.187 Konsistenz unter Operatorfolgen</w:t>
      </w:r>
    </w:p>
    <w:p w:rsidR="000E42A8" w:rsidRDefault="000E42A8" w:rsidP="000E42A8">
      <w:pPr>
        <w:pStyle w:val="StandardWeb"/>
      </w:pPr>
      <w:r>
        <w:t>Die in späteren FRZK-Abschnitten verwendeten Operatoren können als Folge</w:t>
      </w:r>
    </w:p>
    <w:p w:rsidR="000E42A8" w:rsidRDefault="000E42A8" w:rsidP="000E42A8">
      <w:pPr>
        <w:pStyle w:val="StandardWeb"/>
      </w:pPr>
      <w:r>
        <w:t>[</w:t>
      </w:r>
      <w:r>
        <w:br/>
        <w:t>\mathcal O_n</w:t>
      </w:r>
      <w:r>
        <w:br/>
        <w:t>\circ</w:t>
      </w:r>
      <w:r>
        <w:br/>
        <w:t>\cdots</w:t>
      </w:r>
      <w:r>
        <w:br/>
        <w:t>\circ</w:t>
      </w:r>
      <w:r>
        <w:br/>
        <w:t>\mathcal O_2</w:t>
      </w:r>
      <w:r>
        <w:br/>
        <w:t>\circ</w:t>
      </w:r>
      <w:r>
        <w:br/>
        <w:t>\mathcal O_1</w:t>
      </w:r>
      <w:r>
        <w:br/>
        <w:t>\tag{3.8046}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\mathcal{O}_n\circ\cdots\circ\mathcal{O}_2\circ\mathcal{O}_1\qquad\text{(3.8046)}</w:t>
      </w:r>
    </w:p>
    <w:p w:rsidR="000E42A8" w:rsidRDefault="000E42A8" w:rsidP="000E42A8">
      <w:pPr>
        <w:pStyle w:val="StandardWeb"/>
      </w:pPr>
      <w:r>
        <w:t>auftreten.</w:t>
      </w:r>
    </w:p>
    <w:p w:rsidR="000E42A8" w:rsidRDefault="000E42A8" w:rsidP="000E42A8">
      <w:pPr>
        <w:pStyle w:val="StandardWeb"/>
      </w:pPr>
      <w:r>
        <w:lastRenderedPageBreak/>
        <w:t>Für einen Ausgangszustand</w:t>
      </w:r>
    </w:p>
    <w:p w:rsidR="000E42A8" w:rsidRDefault="000E42A8" w:rsidP="000E42A8">
      <w:pPr>
        <w:pStyle w:val="StandardWeb"/>
      </w:pPr>
      <w:r>
        <w:t>[</w:t>
      </w:r>
      <w:r>
        <w:br/>
        <w:t>z_0</w:t>
      </w:r>
      <w:r>
        <w:br/>
        <w:t>\tag{3.8047}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z_0\qquad\text{(3.8047)}</w:t>
      </w:r>
    </w:p>
    <w:p w:rsidR="000E42A8" w:rsidRDefault="000E42A8" w:rsidP="000E42A8">
      <w:pPr>
        <w:pStyle w:val="StandardWeb"/>
      </w:pPr>
      <w:r>
        <w:t>ergibt sich</w:t>
      </w:r>
    </w:p>
    <w:p w:rsidR="000E42A8" w:rsidRDefault="000E42A8" w:rsidP="000E42A8">
      <w:pPr>
        <w:pStyle w:val="berschrift1"/>
      </w:pPr>
      <w:r>
        <w:t>[</w:t>
      </w:r>
      <w:r>
        <w:br/>
        <w:t>z_n</w:t>
      </w:r>
    </w:p>
    <w:p w:rsidR="000E42A8" w:rsidRDefault="000E42A8" w:rsidP="000E42A8">
      <w:pPr>
        <w:pStyle w:val="StandardWeb"/>
      </w:pPr>
      <w:r>
        <w:t>\mathcal O_n</w:t>
      </w:r>
      <w:r>
        <w:br/>
        <w:t>\circ</w:t>
      </w:r>
      <w:r>
        <w:br/>
        <w:t>\cdots</w:t>
      </w:r>
      <w:r>
        <w:br/>
        <w:t>\circ</w:t>
      </w:r>
      <w:r>
        <w:br/>
        <w:t>\mathcal O_1</w:t>
      </w:r>
      <w:r>
        <w:br/>
        <w:t>(z_0).</w:t>
      </w:r>
      <w:r>
        <w:br/>
        <w:t>\tag{3.8048}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z_n=\mathcal{O}_n\circ\cdots\circ\mathcal{O}_1(z_0)\qquad\text{(3.8048)}</w:t>
      </w:r>
    </w:p>
    <w:p w:rsidR="000E42A8" w:rsidRDefault="000E42A8" w:rsidP="000E42A8">
      <w:pPr>
        <w:pStyle w:val="StandardWeb"/>
      </w:pPr>
      <w:r>
        <w:t>Eine Operatorfolge ist konsistenzerhaltend, wenn jede wissenschaftlich relevante Konsistenzrelation entlang der gesamten Folge erhalten bleibt.</w:t>
      </w:r>
    </w:p>
    <w:p w:rsidR="000E42A8" w:rsidRDefault="00E50336" w:rsidP="000E42A8">
      <w:r>
        <w:pict>
          <v:rect id="_x0000_i1928" style="width:0;height:1.5pt" o:hralign="center" o:hrstd="t" o:hr="t" fillcolor="#a0a0a0" stroked="f"/>
        </w:pict>
      </w:r>
    </w:p>
    <w:p w:rsidR="000E42A8" w:rsidRDefault="000E42A8" w:rsidP="000E42A8">
      <w:pPr>
        <w:pStyle w:val="berschrift1"/>
      </w:pPr>
      <w:r>
        <w:t>3.3.42.188 Konsistenztrajektorie</w:t>
      </w:r>
    </w:p>
    <w:p w:rsidR="000E42A8" w:rsidRDefault="000E42A8" w:rsidP="000E42A8">
      <w:pPr>
        <w:pStyle w:val="StandardWeb"/>
      </w:pPr>
      <w:r>
        <w:t>Ich definiere für eine Operatorfolge</w:t>
      </w:r>
    </w:p>
    <w:p w:rsidR="000E42A8" w:rsidRDefault="000E42A8" w:rsidP="000E42A8">
      <w:pPr>
        <w:pStyle w:val="berschrift1"/>
      </w:pPr>
      <w:r>
        <w:t>[</w:t>
      </w:r>
      <w:r>
        <w:br/>
        <w:t>K_t</w:t>
      </w:r>
    </w:p>
    <w:p w:rsidR="000E42A8" w:rsidRDefault="000E42A8" w:rsidP="000E42A8">
      <w:pPr>
        <w:pStyle w:val="StandardWeb"/>
      </w:pPr>
      <w:r>
        <w:t>K_F</w:t>
      </w:r>
      <w:r>
        <w:br/>
        <w:t>\left(</w:t>
      </w:r>
      <w:r>
        <w:br/>
        <w:t>\mathcal A(z_t)</w:t>
      </w:r>
      <w:r>
        <w:br/>
        <w:t>\right).</w:t>
      </w:r>
      <w:r>
        <w:br/>
        <w:t>\tag{3.8049}</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K_t=K_F\left(\mathcal{A}(z_t)\right)\qquad\text{(3.8049)}</w:t>
      </w:r>
    </w:p>
    <w:p w:rsidR="000E42A8" w:rsidRDefault="000E42A8" w:rsidP="000E42A8">
      <w:pPr>
        <w:pStyle w:val="StandardWeb"/>
      </w:pPr>
      <w:r>
        <w:t>Die Folge</w:t>
      </w:r>
    </w:p>
    <w:p w:rsidR="000E42A8" w:rsidRDefault="000E42A8" w:rsidP="000E42A8">
      <w:pPr>
        <w:pStyle w:val="berschrift1"/>
      </w:pPr>
      <w:r>
        <w:t>[</w:t>
      </w:r>
      <w:r>
        <w:br/>
        <w:t>\mathcal H_K^{\mathrm{dyn}}</w:t>
      </w:r>
    </w:p>
    <w:p w:rsidR="000E42A8" w:rsidRDefault="000E42A8" w:rsidP="000E42A8">
      <w:pPr>
        <w:pStyle w:val="StandardWeb"/>
      </w:pPr>
      <w:r>
        <w:t>\left(</w:t>
      </w:r>
      <w:r>
        <w:br/>
        <w:t>K_0,K_1,\ldots,K_n</w:t>
      </w:r>
      <w:r>
        <w:br/>
        <w:t>\right)</w:t>
      </w:r>
      <w:r>
        <w:br/>
        <w:t>\tag{3.8050}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\mathcal{H}_{K}^{\mathrm{dyn}}=\left(K_0,K_1,\ldots,K_n\right)\qquad\text{(3.8050)}</w:t>
      </w:r>
    </w:p>
    <w:p w:rsidR="000E42A8" w:rsidRDefault="000E42A8" w:rsidP="000E42A8">
      <w:pPr>
        <w:pStyle w:val="StandardWeb"/>
      </w:pPr>
      <w:r>
        <w:t>bezeichne ich als dynamische Konsistenztrajektorie.</w:t>
      </w:r>
    </w:p>
    <w:p w:rsidR="000E42A8" w:rsidRDefault="00E50336" w:rsidP="000E42A8">
      <w:r>
        <w:pict>
          <v:rect id="_x0000_i1929" style="width:0;height:1.5pt" o:hralign="center" o:hrstd="t" o:hr="t" fillcolor="#a0a0a0" stroked="f"/>
        </w:pict>
      </w:r>
    </w:p>
    <w:p w:rsidR="000E42A8" w:rsidRDefault="000E42A8" w:rsidP="000E42A8">
      <w:pPr>
        <w:pStyle w:val="berschrift1"/>
      </w:pPr>
      <w:r>
        <w:t>3.3.42.189 Erster Konsistenzverlust</w:t>
      </w:r>
    </w:p>
    <w:p w:rsidR="000E42A8" w:rsidRDefault="000E42A8" w:rsidP="000E42A8">
      <w:pPr>
        <w:pStyle w:val="StandardWeb"/>
      </w:pPr>
      <w:r>
        <w:t>Der erste Zeitpunkt eines Konsistenzverlustes sei</w:t>
      </w:r>
    </w:p>
    <w:p w:rsidR="000E42A8" w:rsidRDefault="000E42A8" w:rsidP="000E42A8">
      <w:pPr>
        <w:pStyle w:val="berschrift1"/>
      </w:pPr>
      <w:r>
        <w:t>[</w:t>
      </w:r>
      <w:r>
        <w:br/>
        <w:t>t_K^{\ast}</w:t>
      </w:r>
    </w:p>
    <w:p w:rsidR="000E42A8" w:rsidRDefault="000E42A8" w:rsidP="000E42A8">
      <w:pPr>
        <w:pStyle w:val="StandardWeb"/>
      </w:pPr>
      <w:r>
        <w:t>\min</w:t>
      </w:r>
      <w:r>
        <w:br/>
        <w:t>\left{</w:t>
      </w:r>
      <w:r>
        <w:br/>
        <w:t>t:</w:t>
      </w:r>
      <w:r>
        <w:br/>
        <w:t>K_t=0</w:t>
      </w:r>
      <w:r>
        <w:br/>
        <w:t>\right}.</w:t>
      </w:r>
      <w:r>
        <w:br/>
        <w:t>\tag{3.8051}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t_K^{\ast}=\min\left\{t:K_t=0\right\}\qquad\text{(3.8051)}</w:t>
      </w:r>
    </w:p>
    <w:p w:rsidR="000E42A8" w:rsidRDefault="000E42A8" w:rsidP="000E42A8">
      <w:pPr>
        <w:pStyle w:val="StandardWeb"/>
      </w:pPr>
      <w:r>
        <w:t>Damit kann innerhalb einer Operatorfolge genau lokalisiert werden, an welchem Schritt erstmals ein Widerspruch entsteht.</w:t>
      </w:r>
    </w:p>
    <w:p w:rsidR="000E42A8" w:rsidRDefault="00E50336" w:rsidP="000E42A8">
      <w:r>
        <w:pict>
          <v:rect id="_x0000_i1930" style="width:0;height:1.5pt" o:hralign="center" o:hrstd="t" o:hr="t" fillcolor="#a0a0a0" stroked="f"/>
        </w:pict>
      </w:r>
    </w:p>
    <w:p w:rsidR="000E42A8" w:rsidRDefault="000E42A8" w:rsidP="000E42A8">
      <w:pPr>
        <w:pStyle w:val="berschrift1"/>
      </w:pPr>
      <w:r>
        <w:lastRenderedPageBreak/>
        <w:t>3.3.42.190 Konfliktauslösender Operator</w:t>
      </w:r>
    </w:p>
    <w:p w:rsidR="000E42A8" w:rsidRDefault="000E42A8" w:rsidP="000E42A8">
      <w:pPr>
        <w:pStyle w:val="StandardWeb"/>
      </w:pPr>
      <w:r>
        <w:t>Ist</w:t>
      </w:r>
    </w:p>
    <w:p w:rsidR="000E42A8" w:rsidRDefault="000E42A8" w:rsidP="000E42A8">
      <w:pPr>
        <w:pStyle w:val="StandardWeb"/>
      </w:pPr>
      <w:r>
        <w:t>[</w:t>
      </w:r>
      <w:r>
        <w:br/>
        <w:t>K_{t-1}=1</w:t>
      </w:r>
      <w:r>
        <w:br/>
        <w:t>\tag{3.8052}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K_{t-1}=1\qquad\text{(3.8052)}</w:t>
      </w:r>
    </w:p>
    <w:p w:rsidR="000E42A8" w:rsidRDefault="000E42A8" w:rsidP="000E42A8">
      <w:pPr>
        <w:pStyle w:val="StandardWeb"/>
      </w:pPr>
      <w:r>
        <w:t>und</w:t>
      </w:r>
    </w:p>
    <w:p w:rsidR="000E42A8" w:rsidRDefault="000E42A8" w:rsidP="000E42A8">
      <w:pPr>
        <w:pStyle w:val="StandardWeb"/>
      </w:pPr>
      <w:r>
        <w:t>[</w:t>
      </w:r>
      <w:r>
        <w:br/>
        <w:t>K_t=0,</w:t>
      </w:r>
      <w:r>
        <w:br/>
        <w:t>\tag{3.8053}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K_t=0\qquad\text{(3.8053)}</w:t>
      </w:r>
    </w:p>
    <w:p w:rsidR="000E42A8" w:rsidRDefault="000E42A8" w:rsidP="000E42A8">
      <w:pPr>
        <w:pStyle w:val="StandardWeb"/>
      </w:pPr>
      <w:r>
        <w:t>so ist der Übergang</w:t>
      </w:r>
    </w:p>
    <w:p w:rsidR="000E42A8" w:rsidRDefault="000E42A8" w:rsidP="000E42A8">
      <w:pPr>
        <w:pStyle w:val="berschrift1"/>
      </w:pPr>
      <w:r>
        <w:t>[</w:t>
      </w:r>
      <w:r>
        <w:br/>
        <w:t>z_t</w:t>
      </w:r>
    </w:p>
    <w:p w:rsidR="000E42A8" w:rsidRDefault="000E42A8" w:rsidP="000E42A8">
      <w:pPr>
        <w:pStyle w:val="StandardWeb"/>
      </w:pPr>
      <w:r>
        <w:t>\mathcal O_t(z_{t-1})</w:t>
      </w:r>
      <w:r>
        <w:br/>
        <w:t>\tag{3.8054}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z_t=\mathcal{O}_t(z_{t-1})\qquad\text{(3.8054)}</w:t>
      </w:r>
    </w:p>
    <w:p w:rsidR="000E42A8" w:rsidRDefault="000E42A8" w:rsidP="000E42A8">
      <w:pPr>
        <w:pStyle w:val="StandardWeb"/>
      </w:pPr>
      <w:r>
        <w:t>der erste transformationsbezogene Kandidat für die Entstehung des Konflikts.</w:t>
      </w:r>
    </w:p>
    <w:p w:rsidR="000E42A8" w:rsidRDefault="000E42A8" w:rsidP="000E42A8">
      <w:pPr>
        <w:pStyle w:val="StandardWeb"/>
      </w:pPr>
      <w:r>
        <w:t>Ich schreibe</w:t>
      </w:r>
    </w:p>
    <w:p w:rsidR="000E42A8" w:rsidRDefault="000E42A8" w:rsidP="000E42A8">
      <w:pPr>
        <w:pStyle w:val="StandardWeb"/>
      </w:pPr>
      <w:r>
        <w:t>[</w:t>
      </w:r>
      <w:r>
        <w:br/>
        <w:t>\mathcal O_t</w:t>
      </w:r>
      <w:r>
        <w:br/>
        <w:t>\in</w:t>
      </w:r>
      <w:r>
        <w:br/>
        <w:t>\mathfrak O_W.</w:t>
      </w:r>
      <w:r>
        <w:br/>
        <w:t>\tag{3.8055}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\mathcal{O}_t\in\mathfrak{O}_{W}\qquad\text{(3.8055)}</w:t>
      </w:r>
    </w:p>
    <w:p w:rsidR="000E42A8" w:rsidRDefault="000E42A8" w:rsidP="000E42A8">
      <w:pPr>
        <w:pStyle w:val="StandardWeb"/>
      </w:pPr>
      <w:r>
        <w:t>Dabei bezeichnet (\mathfrak O_W) die Menge konfliktverdächtiger Operatoren.</w:t>
      </w:r>
    </w:p>
    <w:p w:rsidR="000E42A8" w:rsidRDefault="00E50336" w:rsidP="000E42A8">
      <w:r>
        <w:pict>
          <v:rect id="_x0000_i1931" style="width:0;height:1.5pt" o:hralign="center" o:hrstd="t" o:hr="t" fillcolor="#a0a0a0" stroked="f"/>
        </w:pict>
      </w:r>
    </w:p>
    <w:p w:rsidR="000E42A8" w:rsidRDefault="000E42A8" w:rsidP="000E42A8">
      <w:pPr>
        <w:pStyle w:val="berschrift1"/>
      </w:pPr>
      <w:r>
        <w:t>3.3.42.191 Operator ist nicht automatisch Konfliktursache</w:t>
      </w:r>
    </w:p>
    <w:p w:rsidR="000E42A8" w:rsidRDefault="000E42A8" w:rsidP="000E42A8">
      <w:pPr>
        <w:pStyle w:val="StandardWeb"/>
      </w:pPr>
      <w:r>
        <w:t>Aus der zeitlichen Reihenfolge folgt jedoch noch keine eindeutige Ursache.</w:t>
      </w:r>
    </w:p>
    <w:p w:rsidR="000E42A8" w:rsidRDefault="000E42A8" w:rsidP="000E42A8">
      <w:pPr>
        <w:pStyle w:val="StandardWeb"/>
      </w:pPr>
      <w:r>
        <w:t>Es gilt</w:t>
      </w:r>
    </w:p>
    <w:p w:rsidR="000E42A8" w:rsidRDefault="000E42A8" w:rsidP="000E42A8">
      <w:pPr>
        <w:pStyle w:val="StandardWeb"/>
      </w:pPr>
      <w:r>
        <w:t>[</w:t>
      </w:r>
      <w:r>
        <w:br/>
        <w:t>K_{t-1}=1</w:t>
      </w:r>
      <w:r>
        <w:br/>
        <w:t>\land</w:t>
      </w:r>
      <w:r>
        <w:br/>
        <w:t>K_t=0</w:t>
      </w:r>
      <w:r>
        <w:br/>
        <w:t>\nRightarrow</w:t>
      </w:r>
      <w:r>
        <w:br/>
        <w:t>\mathcal O_t</w:t>
      </w:r>
      <w:r>
        <w:br/>
        <w:t>\text{ ist alleinige Ursache}.</w:t>
      </w:r>
      <w:r>
        <w:br/>
        <w:t>\tag{3.8056}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K_{t-1}=1\land K_t=0\nRightarrow\mathcal{O}_t\text{ ist alleinige Ursache}\qquad\text{(3.8056)}</w:t>
      </w:r>
    </w:p>
    <w:p w:rsidR="000E42A8" w:rsidRDefault="000E42A8" w:rsidP="000E42A8">
      <w:pPr>
        <w:pStyle w:val="StandardWeb"/>
      </w:pPr>
      <w:r>
        <w:t>Der Konflikt kann aus einer Wechselwirkung des Operators mit bereits vorhandenen Zustandsbedingungen entstehen.</w:t>
      </w:r>
    </w:p>
    <w:p w:rsidR="000E42A8" w:rsidRDefault="00E50336" w:rsidP="000E42A8">
      <w:r>
        <w:pict>
          <v:rect id="_x0000_i1932" style="width:0;height:1.5pt" o:hralign="center" o:hrstd="t" o:hr="t" fillcolor="#a0a0a0" stroked="f"/>
        </w:pict>
      </w:r>
    </w:p>
    <w:p w:rsidR="000E42A8" w:rsidRDefault="000E42A8" w:rsidP="000E42A8">
      <w:pPr>
        <w:pStyle w:val="berschrift1"/>
      </w:pPr>
      <w:r>
        <w:t>3.3.42.192 Kontextabhängige Operatorenkonsistenz</w:t>
      </w:r>
    </w:p>
    <w:p w:rsidR="000E42A8" w:rsidRDefault="000E42A8" w:rsidP="000E42A8">
      <w:pPr>
        <w:pStyle w:val="StandardWeb"/>
      </w:pPr>
      <w:r>
        <w:t>Ich schreibe deshalb</w:t>
      </w:r>
    </w:p>
    <w:p w:rsidR="000E42A8" w:rsidRDefault="000E42A8" w:rsidP="000E42A8">
      <w:pPr>
        <w:pStyle w:val="berschrift1"/>
      </w:pPr>
      <w:r>
        <w:t>[</w:t>
      </w:r>
      <w:r>
        <w:br/>
        <w:t>K_{\mathcal O}</w:t>
      </w:r>
    </w:p>
    <w:p w:rsidR="000E42A8" w:rsidRDefault="000E42A8" w:rsidP="000E42A8">
      <w:pPr>
        <w:pStyle w:val="StandardWeb"/>
      </w:pPr>
      <w:r>
        <w:t>K_{\mathcal O}</w:t>
      </w:r>
      <w:r>
        <w:br/>
        <w:t>\left(</w:t>
      </w:r>
      <w:r>
        <w:br/>
        <w:t>\mathcal O,</w:t>
      </w:r>
      <w:r>
        <w:br/>
        <w:t>z,</w:t>
      </w:r>
      <w:r>
        <w:br/>
        <w:t>\mathcal C,</w:t>
      </w:r>
      <w:r>
        <w:br/>
        <w:t>\boldsymbol\theta</w:t>
      </w:r>
      <w:r>
        <w:br/>
        <w:t>\right).</w:t>
      </w:r>
      <w:r>
        <w:br/>
        <w:t>\tag{3.8057}</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K_{\mathcal{O}}=K_{\mathcal{O}}\left(\mathcal{O},z,\mathcal{C},\boldsymbol{\theta}\right)\qquad\text{(3.8057)}</w:t>
      </w:r>
    </w:p>
    <w:p w:rsidR="000E42A8" w:rsidRDefault="000E42A8" w:rsidP="000E42A8">
      <w:pPr>
        <w:pStyle w:val="StandardWeb"/>
      </w:pPr>
      <w:r>
        <w:t>Ein Operator kann in einem Kontext konsistenzerhaltend und in einem anderen konfliktinduzierend sein.</w:t>
      </w:r>
    </w:p>
    <w:p w:rsidR="000E42A8" w:rsidRDefault="00E50336" w:rsidP="000E42A8">
      <w:r>
        <w:pict>
          <v:rect id="_x0000_i1933" style="width:0;height:1.5pt" o:hralign="center" o:hrstd="t" o:hr="t" fillcolor="#a0a0a0" stroked="f"/>
        </w:pict>
      </w:r>
    </w:p>
    <w:p w:rsidR="000E42A8" w:rsidRDefault="000E42A8" w:rsidP="000E42A8">
      <w:pPr>
        <w:pStyle w:val="berschrift1"/>
      </w:pPr>
      <w:r>
        <w:t>3.3.42.193 Konsistenzdomäne eines Operators</w:t>
      </w:r>
    </w:p>
    <w:p w:rsidR="000E42A8" w:rsidRDefault="000E42A8" w:rsidP="000E42A8">
      <w:pPr>
        <w:pStyle w:val="StandardWeb"/>
      </w:pPr>
      <w:r>
        <w:t>Ich definiere</w:t>
      </w:r>
    </w:p>
    <w:p w:rsidR="000E42A8" w:rsidRDefault="000E42A8" w:rsidP="000E42A8">
      <w:pPr>
        <w:pStyle w:val="berschrift1"/>
      </w:pPr>
      <w:r>
        <w:t>[</w:t>
      </w:r>
      <w:r>
        <w:br/>
        <w:t>\Omega_{\mathcal O}^{K}</w:t>
      </w:r>
    </w:p>
    <w:p w:rsidR="000E42A8" w:rsidRDefault="000E42A8" w:rsidP="000E42A8">
      <w:pPr>
        <w:pStyle w:val="StandardWeb"/>
      </w:pPr>
      <w:r>
        <w:t>\left{</w:t>
      </w:r>
      <w:r>
        <w:br/>
        <w:t>z:</w:t>
      </w:r>
      <w:r>
        <w:br/>
        <w:t>K_{\mathcal O}(\mathcal O,z)=1</w:t>
      </w:r>
      <w:r>
        <w:br/>
        <w:t>\right}.</w:t>
      </w:r>
      <w:r>
        <w:br/>
        <w:t>\tag{3.8058}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\Omega_{\mathcal{O}}^{K}=\left\{z:K_{\mathcal{O}}(\mathcal{O},z)=1\right\}\qquad\text{(3.8058)}</w:t>
      </w:r>
    </w:p>
    <w:p w:rsidR="000E42A8" w:rsidRDefault="000E42A8" w:rsidP="000E42A8">
      <w:pPr>
        <w:pStyle w:val="StandardWeb"/>
      </w:pPr>
      <w:r>
        <w:t>Der Operator-Konsistenzgrad lautet</w:t>
      </w:r>
    </w:p>
    <w:p w:rsidR="000E42A8" w:rsidRDefault="000E42A8" w:rsidP="000E42A8">
      <w:pPr>
        <w:pStyle w:val="berschrift1"/>
      </w:pPr>
      <w:r>
        <w:t>[</w:t>
      </w:r>
      <w:r>
        <w:br/>
        <w:t>R_{\mathcal O}^{K}</w:t>
      </w:r>
    </w:p>
    <w:p w:rsidR="000E42A8" w:rsidRDefault="000E42A8" w:rsidP="000E42A8">
      <w:pPr>
        <w:pStyle w:val="StandardWeb"/>
      </w:pPr>
      <w:r>
        <w:t>\frac{</w:t>
      </w:r>
      <w:r>
        <w:br/>
        <w:t>\mu(\Omega_{\mathcal O}^{K})</w:t>
      </w:r>
      <w:r>
        <w:br/>
        <w:t>}{</w:t>
      </w:r>
      <w:r>
        <w:br/>
        <w:t>\mu(\Omega_{\mathcal O})</w:t>
      </w:r>
      <w:r>
        <w:br/>
        <w:t>}.</w:t>
      </w:r>
      <w:r>
        <w:br/>
        <w:t>\tag{3.8059}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R_{\mathcal{O}}^{K}=\frac{\mu(\Omega_{\mathcal{O}}^{K})}{\mu(\Omega_{\mathcal{O}})}\qquad\text{(3.8059)}</w:t>
      </w:r>
    </w:p>
    <w:p w:rsidR="000E42A8" w:rsidRDefault="00E50336" w:rsidP="000E42A8">
      <w:r>
        <w:pict>
          <v:rect id="_x0000_i1934" style="width:0;height:1.5pt" o:hralign="center" o:hrstd="t" o:hr="t" fillcolor="#a0a0a0" stroked="f"/>
        </w:pict>
      </w:r>
    </w:p>
    <w:p w:rsidR="000E42A8" w:rsidRDefault="000E42A8" w:rsidP="000E42A8">
      <w:pPr>
        <w:pStyle w:val="berschrift1"/>
      </w:pPr>
      <w:r>
        <w:lastRenderedPageBreak/>
        <w:t>3.3.42.194 Konsistenzreserve eines Operators</w:t>
      </w:r>
    </w:p>
    <w:p w:rsidR="000E42A8" w:rsidRDefault="000E42A8" w:rsidP="000E42A8">
      <w:pPr>
        <w:pStyle w:val="StandardWeb"/>
      </w:pPr>
      <w:r>
        <w:t>Analog definiere ich</w:t>
      </w:r>
    </w:p>
    <w:p w:rsidR="000E42A8" w:rsidRDefault="000E42A8" w:rsidP="000E42A8">
      <w:pPr>
        <w:pStyle w:val="berschrift1"/>
      </w:pPr>
      <w:r>
        <w:t>[</w:t>
      </w:r>
      <w:r>
        <w:br/>
        <w:t>M_{\mathcal O}^{K}</w:t>
      </w:r>
    </w:p>
    <w:p w:rsidR="000E42A8" w:rsidRDefault="000E42A8" w:rsidP="000E42A8">
      <w:pPr>
        <w:pStyle w:val="StandardWeb"/>
      </w:pPr>
      <w:r>
        <w:t>d</w:t>
      </w:r>
      <w:r>
        <w:br/>
        <w:t>\left(</w:t>
      </w:r>
      <w:r>
        <w:br/>
        <w:t>z,</w:t>
      </w:r>
      <w:r>
        <w:br/>
        <w:t>\partial\Omega_{\mathcal O}^{K}</w:t>
      </w:r>
      <w:r>
        <w:br/>
        <w:t>\right).</w:t>
      </w:r>
      <w:r>
        <w:br/>
        <w:t>\tag{3.8060}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M_{\mathcal{O}}^{K}=d\left(z,\partial\Omega_{\mathcal{O}}^{K}\right)\qquad\text{(3.8060)}</w:t>
      </w:r>
    </w:p>
    <w:p w:rsidR="000E42A8" w:rsidRDefault="000E42A8" w:rsidP="000E42A8">
      <w:pPr>
        <w:pStyle w:val="StandardWeb"/>
      </w:pPr>
      <w:r>
        <w:t>Damit kann bestimmt werden, wie weit ein aktueller Systemzustand von einem transformationsinduzierten Konflikt entfernt liegt.</w:t>
      </w:r>
    </w:p>
    <w:p w:rsidR="000E42A8" w:rsidRDefault="00E50336" w:rsidP="000E42A8">
      <w:r>
        <w:pict>
          <v:rect id="_x0000_i1935" style="width:0;height:1.5pt" o:hralign="center" o:hrstd="t" o:hr="t" fillcolor="#a0a0a0" stroked="f"/>
        </w:pict>
      </w:r>
    </w:p>
    <w:p w:rsidR="000E42A8" w:rsidRDefault="000E42A8" w:rsidP="000E42A8">
      <w:pPr>
        <w:pStyle w:val="berschrift1"/>
      </w:pPr>
      <w:r>
        <w:t>3.3.42.195 Kommutativitätskonsistenz</w:t>
      </w:r>
    </w:p>
    <w:p w:rsidR="000E42A8" w:rsidRDefault="000E42A8" w:rsidP="000E42A8">
      <w:pPr>
        <w:pStyle w:val="StandardWeb"/>
      </w:pPr>
      <w:r>
        <w:t>Zwei Operatoren können in unterschiedlicher Reihenfolge verschiedene Ergebnisse erzeugen.</w:t>
      </w:r>
    </w:p>
    <w:p w:rsidR="000E42A8" w:rsidRDefault="000E42A8" w:rsidP="000E42A8">
      <w:pPr>
        <w:pStyle w:val="StandardWeb"/>
      </w:pPr>
      <w:r>
        <w:t>Es kann gelten</w:t>
      </w:r>
    </w:p>
    <w:p w:rsidR="000E42A8" w:rsidRDefault="000E42A8" w:rsidP="000E42A8">
      <w:pPr>
        <w:pStyle w:val="StandardWeb"/>
      </w:pPr>
      <w:r>
        <w:t>[</w:t>
      </w:r>
      <w:r>
        <w:br/>
        <w:t>\mathcal O_1\circ\mathcal O_2</w:t>
      </w:r>
      <w:r>
        <w:br/>
        <w:t>\neq</w:t>
      </w:r>
      <w:r>
        <w:br/>
        <w:t>\mathcal O_2\circ\mathcal O_1.</w:t>
      </w:r>
      <w:r>
        <w:br/>
        <w:t>\tag{3.8061}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\mathcal{O}_1\circ\mathcal{O}_2\neq\mathcal{O}_2\circ\mathcal{O}_1\qquad\text{(3.8061)}</w:t>
      </w:r>
    </w:p>
    <w:p w:rsidR="000E42A8" w:rsidRDefault="000E42A8" w:rsidP="000E42A8">
      <w:pPr>
        <w:pStyle w:val="StandardWeb"/>
      </w:pPr>
      <w:r>
        <w:t>Das ist allein noch kein Widerspruch.</w:t>
      </w:r>
    </w:p>
    <w:p w:rsidR="000E42A8" w:rsidRDefault="000E42A8" w:rsidP="000E42A8">
      <w:pPr>
        <w:pStyle w:val="StandardWeb"/>
      </w:pPr>
      <w:r>
        <w:t>Entscheidend ist, ob beide zulässigen Operatorreihenfolgen inkompatible wissenschaftliche Aussageklassen erzeugen:</w:t>
      </w:r>
    </w:p>
    <w:p w:rsidR="000E42A8" w:rsidRDefault="000E42A8" w:rsidP="000E42A8">
      <w:pPr>
        <w:pStyle w:val="berschrift1"/>
      </w:pPr>
      <w:r>
        <w:lastRenderedPageBreak/>
        <w:t>[</w:t>
      </w:r>
      <w:r>
        <w:br/>
        <w:t>A_{12}</w:t>
      </w:r>
    </w:p>
    <w:p w:rsidR="000E42A8" w:rsidRDefault="000E42A8" w:rsidP="000E42A8">
      <w:pPr>
        <w:pStyle w:val="StandardWeb"/>
      </w:pPr>
      <w:r>
        <w:t>A</w:t>
      </w:r>
      <w:r>
        <w:br/>
        <w:t>\left(</w:t>
      </w:r>
      <w:r>
        <w:br/>
        <w:t>\mathcal O_1\circ\mathcal O_2</w:t>
      </w:r>
      <w:r>
        <w:br/>
        <w:t>\right),</w:t>
      </w:r>
      <w:r>
        <w:br/>
        <w:t>\tag{3.8062}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A_{12}=A\left(\mathcal{O}_1\circ\mathcal{O}_2\right)\qquad\text{(3.8062)}</w:t>
      </w:r>
    </w:p>
    <w:p w:rsidR="000E42A8" w:rsidRDefault="000E42A8" w:rsidP="000E42A8">
      <w:pPr>
        <w:pStyle w:val="berschrift1"/>
      </w:pPr>
      <w:r>
        <w:t>[</w:t>
      </w:r>
      <w:r>
        <w:br/>
        <w:t>A_{21}</w:t>
      </w:r>
    </w:p>
    <w:p w:rsidR="000E42A8" w:rsidRDefault="000E42A8" w:rsidP="000E42A8">
      <w:pPr>
        <w:pStyle w:val="StandardWeb"/>
      </w:pPr>
      <w:r>
        <w:t>A</w:t>
      </w:r>
      <w:r>
        <w:br/>
        <w:t>\left(</w:t>
      </w:r>
      <w:r>
        <w:br/>
        <w:t>\mathcal O_2\circ\mathcal O_1</w:t>
      </w:r>
      <w:r>
        <w:br/>
        <w:t>\right).</w:t>
      </w:r>
      <w:r>
        <w:br/>
        <w:t>\tag{3.8063}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A_{21}=A\left(\mathcal{O}_2\circ\mathcal{O}_1\right)\qquad\text{(3.8063)}</w:t>
      </w:r>
    </w:p>
    <w:p w:rsidR="000E42A8" w:rsidRDefault="000E42A8" w:rsidP="000E42A8">
      <w:pPr>
        <w:pStyle w:val="StandardWeb"/>
      </w:pPr>
      <w:r>
        <w:t>Ich definiere</w:t>
      </w:r>
    </w:p>
    <w:p w:rsidR="000E42A8" w:rsidRDefault="000E42A8" w:rsidP="000E42A8">
      <w:pPr>
        <w:pStyle w:val="berschrift1"/>
      </w:pPr>
      <w:r>
        <w:t>[</w:t>
      </w:r>
      <w:r>
        <w:br/>
        <w:t>K_{\mathrm{comm}}</w:t>
      </w:r>
    </w:p>
    <w:p w:rsidR="000E42A8" w:rsidRDefault="000E42A8" w:rsidP="000E42A8">
      <w:pPr>
        <w:pStyle w:val="StandardWeb"/>
      </w:pPr>
      <w:r>
        <w:t>K_F(A_{12},A_{21}).</w:t>
      </w:r>
      <w:r>
        <w:br/>
        <w:t>\tag{3.8064}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K_{\mathrm{comm}}=K_F(A_{12},A_{21})\qquad\text{(3.8064)}</w:t>
      </w:r>
    </w:p>
    <w:p w:rsidR="000E42A8" w:rsidRDefault="00E50336" w:rsidP="000E42A8">
      <w:r>
        <w:pict>
          <v:rect id="_x0000_i1936" style="width:0;height:1.5pt" o:hralign="center" o:hrstd="t" o:hr="t" fillcolor="#a0a0a0" stroked="f"/>
        </w:pict>
      </w:r>
    </w:p>
    <w:p w:rsidR="000E42A8" w:rsidRDefault="000E42A8" w:rsidP="000E42A8">
      <w:pPr>
        <w:pStyle w:val="berschrift1"/>
      </w:pPr>
      <w:r>
        <w:t>3.3.42.196 Pfadabhängigkeit ist nicht automatisch Inkonsistenz</w:t>
      </w:r>
    </w:p>
    <w:p w:rsidR="000E42A8" w:rsidRDefault="000E42A8" w:rsidP="000E42A8">
      <w:pPr>
        <w:pStyle w:val="StandardWeb"/>
      </w:pPr>
      <w:r>
        <w:t>Für</w:t>
      </w:r>
    </w:p>
    <w:p w:rsidR="000E42A8" w:rsidRDefault="000E42A8" w:rsidP="000E42A8">
      <w:pPr>
        <w:pStyle w:val="StandardWeb"/>
      </w:pPr>
      <w:r>
        <w:lastRenderedPageBreak/>
        <w:t>[</w:t>
      </w:r>
      <w:r>
        <w:br/>
        <w:t>A_{12}</w:t>
      </w:r>
      <w:r>
        <w:br/>
        <w:t>\neq</w:t>
      </w:r>
      <w:r>
        <w:br/>
        <w:t>A_{21}</w:t>
      </w:r>
      <w:r>
        <w:br/>
        <w:t>\tag{3.8065}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A_{12}\neq A_{21}\qquad\text{(3.8065)}</w:t>
      </w:r>
    </w:p>
    <w:p w:rsidR="000E42A8" w:rsidRDefault="000E42A8" w:rsidP="000E42A8">
      <w:pPr>
        <w:pStyle w:val="StandardWeb"/>
      </w:pPr>
      <w:r>
        <w:t>kann trotzdem</w:t>
      </w:r>
    </w:p>
    <w:p w:rsidR="000E42A8" w:rsidRDefault="000E42A8" w:rsidP="000E42A8">
      <w:pPr>
        <w:pStyle w:val="StandardWeb"/>
      </w:pPr>
      <w:r>
        <w:t>[</w:t>
      </w:r>
      <w:r>
        <w:br/>
        <w:t>K_F(A_{12},A_{21})=1</w:t>
      </w:r>
      <w:r>
        <w:br/>
        <w:t>\tag{3.8066}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K_F(A_{12},A_{21})=1\qquad\text{(3.8066)}</w:t>
      </w:r>
    </w:p>
    <w:p w:rsidR="000E42A8" w:rsidRDefault="000E42A8" w:rsidP="000E42A8">
      <w:pPr>
        <w:pStyle w:val="StandardWeb"/>
      </w:pPr>
      <w:r>
        <w:t>gelten.</w:t>
      </w:r>
    </w:p>
    <w:p w:rsidR="000E42A8" w:rsidRDefault="000E42A8" w:rsidP="000E42A8">
      <w:pPr>
        <w:pStyle w:val="StandardWeb"/>
      </w:pPr>
      <w:r>
        <w:t xml:space="preserve">Damit unterscheide ich zwischen </w:t>
      </w:r>
      <w:r>
        <w:rPr>
          <w:rStyle w:val="Fett"/>
        </w:rPr>
        <w:t>Pfadabhängigkeit</w:t>
      </w:r>
      <w:r>
        <w:t xml:space="preserve"> und </w:t>
      </w:r>
      <w:r>
        <w:rPr>
          <w:rStyle w:val="Fett"/>
        </w:rPr>
        <w:t>Pfadinkonsistenz</w:t>
      </w:r>
      <w:r>
        <w:t>.</w:t>
      </w:r>
    </w:p>
    <w:p w:rsidR="000E42A8" w:rsidRDefault="00E50336" w:rsidP="000E42A8">
      <w:r>
        <w:pict>
          <v:rect id="_x0000_i1937" style="width:0;height:1.5pt" o:hralign="center" o:hrstd="t" o:hr="t" fillcolor="#a0a0a0" stroked="f"/>
        </w:pict>
      </w:r>
    </w:p>
    <w:p w:rsidR="000E42A8" w:rsidRDefault="000E42A8" w:rsidP="000E42A8">
      <w:pPr>
        <w:pStyle w:val="berschrift1"/>
      </w:pPr>
      <w:r>
        <w:t>3.3.42.197 Pfadinkonsistenz</w:t>
      </w:r>
    </w:p>
    <w:p w:rsidR="000E42A8" w:rsidRDefault="000E42A8" w:rsidP="000E42A8">
      <w:pPr>
        <w:pStyle w:val="StandardWeb"/>
      </w:pPr>
      <w:r>
        <w:t>Ein echter Pfadkonflikt liegt vor, wenn</w:t>
      </w:r>
    </w:p>
    <w:p w:rsidR="000E42A8" w:rsidRDefault="000E42A8" w:rsidP="000E42A8">
      <w:pPr>
        <w:pStyle w:val="StandardWeb"/>
      </w:pPr>
      <w:r>
        <w:t>[</w:t>
      </w:r>
      <w:r>
        <w:br/>
        <w:t>K_F(A_{12},A_{21})=0.</w:t>
      </w:r>
      <w:r>
        <w:br/>
        <w:t>\tag{3.8067}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K_F(A_{12},A_{21})=0\qquad\text{(3.8067)}</w:t>
      </w:r>
    </w:p>
    <w:p w:rsidR="000E42A8" w:rsidRDefault="000E42A8" w:rsidP="000E42A8">
      <w:pPr>
        <w:pStyle w:val="StandardWeb"/>
      </w:pPr>
      <w:r>
        <w:t>Ich schreibe</w:t>
      </w:r>
    </w:p>
    <w:p w:rsidR="000E42A8" w:rsidRDefault="000E42A8" w:rsidP="000E42A8">
      <w:pPr>
        <w:pStyle w:val="StandardWeb"/>
      </w:pPr>
      <w:r>
        <w:t>[</w:t>
      </w:r>
      <w:r>
        <w:br/>
        <w:t>W_{\mathrm{path}}=1.</w:t>
      </w:r>
      <w:r>
        <w:br/>
        <w:t>\tag{3.8068}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W_{\mathrm{path}}=1\qquad\text{(3.8068)}</w:t>
      </w:r>
    </w:p>
    <w:p w:rsidR="000E42A8" w:rsidRDefault="00E50336" w:rsidP="000E42A8">
      <w:r>
        <w:lastRenderedPageBreak/>
        <w:pict>
          <v:rect id="_x0000_i1938" style="width:0;height:1.5pt" o:hralign="center" o:hrstd="t" o:hr="t" fillcolor="#a0a0a0" stroked="f"/>
        </w:pict>
      </w:r>
    </w:p>
    <w:p w:rsidR="000E42A8" w:rsidRDefault="000E42A8" w:rsidP="000E42A8">
      <w:pPr>
        <w:pStyle w:val="berschrift1"/>
      </w:pPr>
      <w:r>
        <w:t>3.3.42.198 Konsistenz von Rücktransformationen</w:t>
      </w:r>
    </w:p>
    <w:p w:rsidR="000E42A8" w:rsidRDefault="000E42A8" w:rsidP="000E42A8">
      <w:pPr>
        <w:pStyle w:val="StandardWeb"/>
      </w:pPr>
      <w:r>
        <w:t>Bei invertierbaren Transformationen kann zusätzlich geprüft werden, ob die ursprüngliche Aussage rekonstruiert wird:</w:t>
      </w:r>
    </w:p>
    <w:p w:rsidR="000E42A8" w:rsidRDefault="000E42A8" w:rsidP="000E42A8">
      <w:pPr>
        <w:pStyle w:val="StandardWeb"/>
      </w:pPr>
      <w:r>
        <w:t>[</w:t>
      </w:r>
      <w:r>
        <w:br/>
        <w:t>T^{-1}[T[A]]</w:t>
      </w:r>
      <w:r>
        <w:br/>
        <w:t>\sim_A</w:t>
      </w:r>
      <w:r>
        <w:br/>
        <w:t>A.</w:t>
      </w:r>
      <w:r>
        <w:br/>
        <w:t>\tag{3.8069}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T^{-1}[T[A]]\sim_A A\qquad\text{(3.8069)}</w:t>
      </w:r>
    </w:p>
    <w:p w:rsidR="000E42A8" w:rsidRDefault="000E42A8" w:rsidP="000E42A8">
      <w:pPr>
        <w:pStyle w:val="StandardWeb"/>
      </w:pPr>
      <w:r>
        <w:t>Ich definiere die Rekonstruktionskonsistenz</w:t>
      </w:r>
    </w:p>
    <w:p w:rsidR="000E42A8" w:rsidRDefault="000E42A8" w:rsidP="000E42A8">
      <w:pPr>
        <w:pStyle w:val="StandardWeb"/>
      </w:pPr>
      <w:r>
        <w:t>[</w:t>
      </w:r>
      <w:r>
        <w:br/>
        <w:t>K_{\mathrm{rec}}(T,A)=1</w:t>
      </w:r>
      <w:r>
        <w:br/>
        <w:t>\tag{3.8070}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K_{\mathrm{rec}}(T,A)=1\qquad\text{(3.8070)}</w:t>
      </w:r>
    </w:p>
    <w:p w:rsidR="000E42A8" w:rsidRDefault="000E42A8" w:rsidP="000E42A8">
      <w:pPr>
        <w:pStyle w:val="StandardWeb"/>
      </w:pPr>
      <w:r>
        <w:t>genau dann, wenn die Rücktransformation die relevante Aussageklasse wiederherstellt.</w:t>
      </w:r>
    </w:p>
    <w:p w:rsidR="000E42A8" w:rsidRDefault="00E50336" w:rsidP="000E42A8">
      <w:r>
        <w:pict>
          <v:rect id="_x0000_i1939" style="width:0;height:1.5pt" o:hralign="center" o:hrstd="t" o:hr="t" fillcolor="#a0a0a0" stroked="f"/>
        </w:pict>
      </w:r>
    </w:p>
    <w:p w:rsidR="000E42A8" w:rsidRDefault="000E42A8" w:rsidP="000E42A8">
      <w:pPr>
        <w:pStyle w:val="berschrift1"/>
      </w:pPr>
      <w:r>
        <w:t>3.3.42.199 Verlustfreie Rekonstruktion</w:t>
      </w:r>
    </w:p>
    <w:p w:rsidR="000E42A8" w:rsidRDefault="000E42A8" w:rsidP="000E42A8">
      <w:pPr>
        <w:pStyle w:val="StandardWeb"/>
      </w:pPr>
      <w:r>
        <w:t>Eine strengere Bedingung lautet</w:t>
      </w:r>
    </w:p>
    <w:p w:rsidR="000E42A8" w:rsidRDefault="000E42A8" w:rsidP="000E42A8">
      <w:pPr>
        <w:pStyle w:val="berschrift1"/>
      </w:pPr>
      <w:r>
        <w:t>[</w:t>
      </w:r>
      <w:r>
        <w:br/>
        <w:t>T^{-1}[T[A]]</w:t>
      </w:r>
    </w:p>
    <w:p w:rsidR="000E42A8" w:rsidRDefault="000E42A8" w:rsidP="000E42A8">
      <w:pPr>
        <w:pStyle w:val="StandardWeb"/>
      </w:pPr>
      <w:r>
        <w:t>A.</w:t>
      </w:r>
      <w:r>
        <w:br/>
        <w:t>\tag{3.8071}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T^{-1}[T[A]]=A\qquad\text{(3.8071)}</w:t>
      </w:r>
    </w:p>
    <w:p w:rsidR="000E42A8" w:rsidRDefault="000E42A8" w:rsidP="000E42A8">
      <w:pPr>
        <w:pStyle w:val="StandardWeb"/>
      </w:pPr>
      <w:r>
        <w:t>Diese exakte Gleichheit ist stärker als funktionale Rekonstruktionskonsistenz.</w:t>
      </w:r>
    </w:p>
    <w:p w:rsidR="000E42A8" w:rsidRDefault="000E42A8" w:rsidP="000E42A8">
      <w:pPr>
        <w:pStyle w:val="StandardWeb"/>
      </w:pPr>
      <w:r>
        <w:lastRenderedPageBreak/>
        <w:t>Es gilt</w:t>
      </w:r>
    </w:p>
    <w:p w:rsidR="000E42A8" w:rsidRDefault="000E42A8" w:rsidP="000E42A8">
      <w:pPr>
        <w:pStyle w:val="StandardWeb"/>
      </w:pPr>
      <w:r>
        <w:t>[</w:t>
      </w:r>
      <w:r>
        <w:br/>
        <w:t>T^{-1}[T[A]]=A</w:t>
      </w:r>
      <w:r>
        <w:br/>
        <w:t>\Rightarrow</w:t>
      </w:r>
      <w:r>
        <w:br/>
        <w:t>K_{\mathrm{rec}}(T,A)=1,</w:t>
      </w:r>
      <w:r>
        <w:br/>
        <w:t>\tag{3.8072}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T^{-1}[T[A]]=A\Rightarrow K_{\mathrm{rec}}(T,A)=1\qquad\text{(3.8072)}</w:t>
      </w:r>
    </w:p>
    <w:p w:rsidR="000E42A8" w:rsidRDefault="000E42A8" w:rsidP="000E42A8">
      <w:pPr>
        <w:pStyle w:val="StandardWeb"/>
      </w:pPr>
      <w:r>
        <w:t>aber nicht notwendig umgekehrt.</w:t>
      </w:r>
    </w:p>
    <w:p w:rsidR="000E42A8" w:rsidRDefault="00E50336" w:rsidP="000E42A8">
      <w:r>
        <w:pict>
          <v:rect id="_x0000_i1940" style="width:0;height:1.5pt" o:hralign="center" o:hrstd="t" o:hr="t" fillcolor="#a0a0a0" stroked="f"/>
        </w:pict>
      </w:r>
    </w:p>
    <w:p w:rsidR="000E42A8" w:rsidRDefault="000E42A8" w:rsidP="000E42A8">
      <w:pPr>
        <w:pStyle w:val="berschrift1"/>
      </w:pPr>
      <w:r>
        <w:t>3.3.42.200 Transformationssignatur</w:t>
      </w:r>
    </w:p>
    <w:p w:rsidR="000E42A8" w:rsidRDefault="000E42A8" w:rsidP="000E42A8">
      <w:pPr>
        <w:pStyle w:val="StandardWeb"/>
      </w:pPr>
      <w:r>
        <w:t>Ich fasse die transformationsbezogenen Konsistenzinformationen zusammen als</w:t>
      </w:r>
    </w:p>
    <w:p w:rsidR="000E42A8" w:rsidRDefault="000E42A8" w:rsidP="000E42A8">
      <w:pPr>
        <w:pStyle w:val="berschrift1"/>
      </w:pPr>
      <w:r>
        <w:t>[</w:t>
      </w:r>
      <w:r>
        <w:br/>
        <w:t>\Sigma_T^{K}</w:t>
      </w:r>
    </w:p>
    <w:p w:rsidR="000E42A8" w:rsidRDefault="000E42A8" w:rsidP="000E42A8">
      <w:pPr>
        <w:pStyle w:val="StandardWeb"/>
      </w:pPr>
      <w:r>
        <w:t>\left(</w:t>
      </w:r>
      <w:r>
        <w:br/>
        <w:t>F_K,</w:t>
      </w:r>
      <w:r>
        <w:br/>
        <w:t>F_K^{\mathrm{struct}},</w:t>
      </w:r>
      <w:r>
        <w:br/>
        <w:t>D_K,</w:t>
      </w:r>
      <w:r>
        <w:br/>
        <w:t>\Delta\Sigma_W^{T},</w:t>
      </w:r>
      <w:r>
        <w:br/>
        <w:t>K_G,</w:t>
      </w:r>
      <w:r>
        <w:br/>
        <w:t>K_{\mathrm{comm}},</w:t>
      </w:r>
      <w:r>
        <w:br/>
        <w:t>K_{\mathrm{rec}},</w:t>
      </w:r>
      <w:r>
        <w:br/>
        <w:t>R_{\mathcal O}^{K},</w:t>
      </w:r>
      <w:r>
        <w:br/>
        <w:t>M_{\mathcal O}^{K}</w:t>
      </w:r>
      <w:r>
        <w:br/>
        <w:t>\right).</w:t>
      </w:r>
      <w:r>
        <w:br/>
        <w:t>\tag{3.8073}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\Sigma_{T}^{K}=\left(F_K,F_K^{\mathrm{struct}},D_K,\Delta\Sigma_W^{T},K_G,K_{\mathrm{comm}},K_{\mathrm{rec}},R_{\mathcal{O}}^{K},M_{\mathcal{O}}^{K}\right)\qquad\text{(3.8073)}</w:t>
      </w:r>
    </w:p>
    <w:p w:rsidR="000E42A8" w:rsidRDefault="000E42A8" w:rsidP="000E42A8">
      <w:pPr>
        <w:pStyle w:val="StandardWeb"/>
      </w:pPr>
      <w:r>
        <w:t>Damit wird nicht nur geprüft, ob eine Transformation mathematisch ausführbar ist, sondern welche Auswirkungen sie auf die Konsistenzarchitektur besitzt.</w:t>
      </w:r>
    </w:p>
    <w:p w:rsidR="000E42A8" w:rsidRDefault="00E50336" w:rsidP="000E42A8">
      <w:r>
        <w:pict>
          <v:rect id="_x0000_i1941" style="width:0;height:1.5pt" o:hralign="center" o:hrstd="t" o:hr="t" fillcolor="#a0a0a0" stroked="f"/>
        </w:pict>
      </w:r>
    </w:p>
    <w:p w:rsidR="000E42A8" w:rsidRDefault="000E42A8" w:rsidP="000E42A8">
      <w:pPr>
        <w:pStyle w:val="berschrift1"/>
      </w:pPr>
      <w:r>
        <w:lastRenderedPageBreak/>
        <w:t>3.3.42.201 Konsistenz vollständiger FRZK-Theorieblöcke</w:t>
      </w:r>
    </w:p>
    <w:p w:rsidR="000E42A8" w:rsidRDefault="000E42A8" w:rsidP="000E42A8">
      <w:pPr>
        <w:pStyle w:val="StandardWeb"/>
      </w:pPr>
      <w:r>
        <w:t>Ein vollständiger FRZK-Theorieblock besteht nicht nur aus Aussagen, sondern mindestens aus</w:t>
      </w:r>
    </w:p>
    <w:p w:rsidR="000E42A8" w:rsidRDefault="000E42A8" w:rsidP="000E42A8">
      <w:pPr>
        <w:pStyle w:val="berschrift1"/>
      </w:pPr>
      <w:r>
        <w:t>[</w:t>
      </w:r>
      <w:r>
        <w:br/>
        <w:t>\mathcal B_F</w:t>
      </w:r>
    </w:p>
    <w:p w:rsidR="000E42A8" w:rsidRDefault="000E42A8" w:rsidP="000E42A8">
      <w:pPr>
        <w:pStyle w:val="StandardWeb"/>
      </w:pPr>
      <w:r>
        <w:t>\left(</w:t>
      </w:r>
      <w:r>
        <w:br/>
        <w:t>\mathfrak A,</w:t>
      </w:r>
      <w:r>
        <w:br/>
        <w:t>\mathfrak D,</w:t>
      </w:r>
      <w:r>
        <w:br/>
        <w:t>\mathfrak E,</w:t>
      </w:r>
      <w:r>
        <w:br/>
        <w:t>\mathfrak T,</w:t>
      </w:r>
      <w:r>
        <w:br/>
        <w:t>\mathfrak P,</w:t>
      </w:r>
      <w:r>
        <w:br/>
        <w:t>\mathfrak C,</w:t>
      </w:r>
      <w:r>
        <w:br/>
        <w:t>\mathfrak O</w:t>
      </w:r>
      <w:r>
        <w:br/>
        <w:t>\right),</w:t>
      </w:r>
      <w:r>
        <w:br/>
        <w:t>\tag{3.8074}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\mathcal{B}_{F}=\left(\mathfrak{A},\mathfrak{D},\mathfrak{E},\mathfrak{T},\mathfrak{P},\mathfrak{C},\mathfrak{O}\right)\qquad\text{(3.8074)}</w:t>
      </w:r>
    </w:p>
    <w:p w:rsidR="000E42A8" w:rsidRDefault="000E42A8" w:rsidP="000E42A8">
      <w:pPr>
        <w:pStyle w:val="StandardWeb"/>
      </w:pPr>
      <w:r>
        <w:t>wobei die Komponenten Axiome, Definitionen, Gleichungen, Sätze, Beweise, Korollare und Operatoren repräsentieren.</w:t>
      </w:r>
    </w:p>
    <w:p w:rsidR="000E42A8" w:rsidRDefault="000E42A8" w:rsidP="000E42A8">
      <w:pPr>
        <w:pStyle w:val="StandardWeb"/>
      </w:pPr>
      <w:r>
        <w:t>Ich definiere die Konsistenz eines solchen Theorieblocks durch</w:t>
      </w:r>
    </w:p>
    <w:p w:rsidR="000E42A8" w:rsidRDefault="000E42A8" w:rsidP="000E42A8">
      <w:pPr>
        <w:pStyle w:val="berschrift1"/>
      </w:pPr>
      <w:r>
        <w:t>[</w:t>
      </w:r>
      <w:r>
        <w:br/>
        <w:t>K_{\mathcal B}</w:t>
      </w:r>
    </w:p>
    <w:p w:rsidR="000E42A8" w:rsidRDefault="000E42A8" w:rsidP="000E42A8">
      <w:pPr>
        <w:pStyle w:val="StandardWeb"/>
      </w:pPr>
      <w:r>
        <w:t>K_F</w:t>
      </w:r>
      <w:r>
        <w:br/>
        <w:t>\left(</w:t>
      </w:r>
      <w:r>
        <w:br/>
        <w:t>\mathcal B_F</w:t>
      </w:r>
      <w:r>
        <w:br/>
        <w:t>\right).</w:t>
      </w:r>
      <w:r>
        <w:br/>
        <w:t>\tag{3.8075}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K_{\mathcal{B}}=K_F\left(\mathcal{B}_{F}\right)\qquad\text{(3.8075)}</w:t>
      </w:r>
    </w:p>
    <w:p w:rsidR="000E42A8" w:rsidRDefault="00E50336" w:rsidP="000E42A8">
      <w:r>
        <w:pict>
          <v:rect id="_x0000_i1942" style="width:0;height:1.5pt" o:hralign="center" o:hrstd="t" o:hr="t" fillcolor="#a0a0a0" stroked="f"/>
        </w:pict>
      </w:r>
    </w:p>
    <w:p w:rsidR="000E42A8" w:rsidRDefault="000E42A8" w:rsidP="000E42A8">
      <w:pPr>
        <w:pStyle w:val="berschrift1"/>
      </w:pPr>
      <w:r>
        <w:lastRenderedPageBreak/>
        <w:t>3.3.42.202 Interne Blockkonsistenz</w:t>
      </w:r>
    </w:p>
    <w:p w:rsidR="000E42A8" w:rsidRDefault="000E42A8" w:rsidP="000E42A8">
      <w:pPr>
        <w:pStyle w:val="StandardWeb"/>
      </w:pPr>
      <w:r>
        <w:t>Ein Theorieblock ist intern konsistent, wenn sämtliche innerhalb des Blocks erforderlichen Konsistenzbeziehungen erfüllt sind:</w:t>
      </w:r>
    </w:p>
    <w:p w:rsidR="000E42A8" w:rsidRDefault="000E42A8" w:rsidP="000E42A8">
      <w:pPr>
        <w:pStyle w:val="berschrift1"/>
      </w:pPr>
      <w:r>
        <w:t>[</w:t>
      </w:r>
      <w:r>
        <w:br/>
        <w:t>K_{\mathcal B}^{\mathrm{int}}</w:t>
      </w:r>
    </w:p>
    <w:p w:rsidR="000E42A8" w:rsidRDefault="000E42A8" w:rsidP="000E42A8">
      <w:pPr>
        <w:pStyle w:val="StandardWeb"/>
      </w:pPr>
      <w:r>
        <w:t>\bigwedge_{k\in I_{\mathcal B}}</w:t>
      </w:r>
      <w:r>
        <w:br/>
        <w:t>C_k.</w:t>
      </w:r>
      <w:r>
        <w:br/>
        <w:t>\tag{3.8076}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K_{\mathcal{B}}^{\mathrm{int}}=\bigwedge_{k\in I_{\mathcal{B}}}C_k\qquad\text{(3.8076)}</w:t>
      </w:r>
    </w:p>
    <w:p w:rsidR="000E42A8" w:rsidRDefault="00E50336" w:rsidP="000E42A8">
      <w:r>
        <w:pict>
          <v:rect id="_x0000_i1943" style="width:0;height:1.5pt" o:hralign="center" o:hrstd="t" o:hr="t" fillcolor="#a0a0a0" stroked="f"/>
        </w:pict>
      </w:r>
    </w:p>
    <w:p w:rsidR="000E42A8" w:rsidRDefault="000E42A8" w:rsidP="000E42A8">
      <w:pPr>
        <w:pStyle w:val="berschrift1"/>
      </w:pPr>
      <w:r>
        <w:t>3.3.42.203 Externe Blockkonsistenz</w:t>
      </w:r>
    </w:p>
    <w:p w:rsidR="000E42A8" w:rsidRDefault="000E42A8" w:rsidP="000E42A8">
      <w:pPr>
        <w:pStyle w:val="StandardWeb"/>
      </w:pPr>
      <w:r>
        <w:t>Ein Theorieblock muss zusätzlich mit anderen relevanten Theorieblöcken verträglich sein.</w:t>
      </w:r>
    </w:p>
    <w:p w:rsidR="000E42A8" w:rsidRDefault="000E42A8" w:rsidP="000E42A8">
      <w:pPr>
        <w:pStyle w:val="StandardWeb"/>
      </w:pPr>
      <w:r>
        <w:t>Für zwei Blöcke</w:t>
      </w:r>
    </w:p>
    <w:p w:rsidR="000E42A8" w:rsidRDefault="000E42A8" w:rsidP="000E42A8">
      <w:pPr>
        <w:pStyle w:val="StandardWeb"/>
      </w:pPr>
      <w:r>
        <w:t>[</w:t>
      </w:r>
      <w:r>
        <w:br/>
        <w:t>\mathcal B_i,</w:t>
      </w:r>
      <w:r>
        <w:br/>
        <w:t>\mathcal B_j</w:t>
      </w:r>
      <w:r>
        <w:br/>
        <w:t>\tag{3.8077}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\mathcal{B}_i,\mathcal{B}_j\qquad\text{(3.8077)}</w:t>
      </w:r>
    </w:p>
    <w:p w:rsidR="000E42A8" w:rsidRDefault="000E42A8" w:rsidP="000E42A8">
      <w:pPr>
        <w:pStyle w:val="StandardWeb"/>
      </w:pPr>
      <w:r>
        <w:t>definiere ich</w:t>
      </w:r>
    </w:p>
    <w:p w:rsidR="000E42A8" w:rsidRDefault="000E42A8" w:rsidP="000E42A8">
      <w:pPr>
        <w:pStyle w:val="berschrift1"/>
      </w:pPr>
      <w:r>
        <w:t>[</w:t>
      </w:r>
      <w:r>
        <w:br/>
        <w:t>K_{\mathcal B}^{\mathrm{ext}}</w:t>
      </w:r>
      <w:r>
        <w:br/>
        <w:t>(\mathcal B_i,\mathcal B_j)</w:t>
      </w:r>
    </w:p>
    <w:p w:rsidR="000E42A8" w:rsidRDefault="000E42A8" w:rsidP="000E42A8">
      <w:pPr>
        <w:pStyle w:val="StandardWeb"/>
      </w:pPr>
      <w:r>
        <w:t>K_F(\mathcal B_i,\mathcal B_j).</w:t>
      </w:r>
      <w:r>
        <w:br/>
        <w:t>\tag{3.8078}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K_{\mathcal{B}}^{\mathrm{ext}}(\mathcal{B}_i,\mathcal{B}_j)=K_F(\mathcal{B}_i,\mathcal{B}_j)\qquad\text{(3.8078)}</w:t>
      </w:r>
    </w:p>
    <w:p w:rsidR="000E42A8" w:rsidRDefault="00E50336" w:rsidP="000E42A8">
      <w:r>
        <w:pict>
          <v:rect id="_x0000_i1944" style="width:0;height:1.5pt" o:hralign="center" o:hrstd="t" o:hr="t" fillcolor="#a0a0a0" stroked="f"/>
        </w:pict>
      </w:r>
    </w:p>
    <w:p w:rsidR="000E42A8" w:rsidRDefault="000E42A8" w:rsidP="000E42A8">
      <w:pPr>
        <w:pStyle w:val="berschrift1"/>
      </w:pPr>
      <w:r>
        <w:t>3.3.42.204 Blockkonsistenzmatrix</w:t>
      </w:r>
    </w:p>
    <w:p w:rsidR="000E42A8" w:rsidRDefault="000E42A8" w:rsidP="000E42A8">
      <w:pPr>
        <w:pStyle w:val="StandardWeb"/>
      </w:pPr>
      <w:r>
        <w:t>Für (m) Theorieblöcke definiere ich</w:t>
      </w:r>
    </w:p>
    <w:p w:rsidR="000E42A8" w:rsidRDefault="000E42A8" w:rsidP="000E42A8">
      <w:pPr>
        <w:pStyle w:val="berschrift1"/>
      </w:pPr>
      <w:r>
        <w:t>[</w:t>
      </w:r>
      <w:r>
        <w:br/>
        <w:t>\mathbf K_{\mathcal B}</w:t>
      </w:r>
    </w:p>
    <w:p w:rsidR="000E42A8" w:rsidRDefault="000E42A8" w:rsidP="000E42A8">
      <w:pPr>
        <w:pStyle w:val="StandardWeb"/>
      </w:pPr>
      <w:r>
        <w:t>\left[</w:t>
      </w:r>
      <w:r>
        <w:br/>
        <w:t>K_{\mathcal B,ij}</w:t>
      </w:r>
      <w:r>
        <w:br/>
        <w:t>\right]_{m\times m}.</w:t>
      </w:r>
      <w:r>
        <w:br/>
        <w:t>\tag{3.8079}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\mathbf{K}_{\mathcal{B}}=\left[K_{\mathcal{B},ij}\right]_{m\times m}\qquad\text{(3.8079)}</w:t>
      </w:r>
    </w:p>
    <w:p w:rsidR="000E42A8" w:rsidRDefault="000E42A8" w:rsidP="000E42A8">
      <w:pPr>
        <w:pStyle w:val="StandardWeb"/>
      </w:pPr>
      <w:r>
        <w:t>Auf der Hauptdiagonalen steht die interne Blockkonsistenz:</w:t>
      </w:r>
    </w:p>
    <w:p w:rsidR="000E42A8" w:rsidRDefault="000E42A8" w:rsidP="000E42A8">
      <w:pPr>
        <w:pStyle w:val="berschrift1"/>
      </w:pPr>
      <w:r>
        <w:t>[</w:t>
      </w:r>
      <w:r>
        <w:br/>
        <w:t>K_{\mathcal B,ii}</w:t>
      </w:r>
    </w:p>
    <w:p w:rsidR="000E42A8" w:rsidRDefault="000E42A8" w:rsidP="000E42A8">
      <w:pPr>
        <w:pStyle w:val="StandardWeb"/>
      </w:pPr>
      <w:r>
        <w:t>K_{\mathcal B_i}^{\mathrm{int}}.</w:t>
      </w:r>
      <w:r>
        <w:br/>
        <w:t>\tag{3.8080}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K_{\mathcal{B},ii}=K_{\mathcal{B}_i}^{\mathrm{int}}\qquad\text{(3.8080)}</w:t>
      </w:r>
    </w:p>
    <w:p w:rsidR="000E42A8" w:rsidRDefault="000E42A8" w:rsidP="000E42A8">
      <w:pPr>
        <w:pStyle w:val="StandardWeb"/>
      </w:pPr>
      <w:r>
        <w:t>Außerhalb der Hauptdiagonalen stehen die externen Blockbeziehungen.</w:t>
      </w:r>
    </w:p>
    <w:p w:rsidR="000E42A8" w:rsidRDefault="00E50336" w:rsidP="000E42A8">
      <w:r>
        <w:pict>
          <v:rect id="_x0000_i1945" style="width:0;height:1.5pt" o:hralign="center" o:hrstd="t" o:hr="t" fillcolor="#a0a0a0" stroked="f"/>
        </w:pict>
      </w:r>
    </w:p>
    <w:p w:rsidR="000E42A8" w:rsidRDefault="000E42A8" w:rsidP="000E42A8">
      <w:pPr>
        <w:pStyle w:val="berschrift1"/>
      </w:pPr>
      <w:r>
        <w:t>3.3.42.205 Globale Theorieblockkonsistenz</w:t>
      </w:r>
    </w:p>
    <w:p w:rsidR="000E42A8" w:rsidRDefault="000E42A8" w:rsidP="000E42A8">
      <w:pPr>
        <w:pStyle w:val="StandardWeb"/>
      </w:pPr>
      <w:r>
        <w:t>Eine starke Gesamtkonsistenz verlangt</w:t>
      </w:r>
    </w:p>
    <w:p w:rsidR="000E42A8" w:rsidRDefault="000E42A8" w:rsidP="000E42A8">
      <w:pPr>
        <w:pStyle w:val="berschrift1"/>
      </w:pPr>
      <w:r>
        <w:t>[</w:t>
      </w:r>
      <w:r>
        <w:br/>
        <w:t>K_{\mathrm{global}}</w:t>
      </w:r>
    </w:p>
    <w:p w:rsidR="000E42A8" w:rsidRDefault="000E42A8" w:rsidP="000E42A8">
      <w:pPr>
        <w:pStyle w:val="StandardWeb"/>
      </w:pPr>
      <w:r>
        <w:lastRenderedPageBreak/>
        <w:t>1</w:t>
      </w:r>
      <w:r>
        <w:br/>
        <w:t>\tag{3.8081}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K_{\mathrm{global}}=1\qquad\text{(3.8081)}</w:t>
      </w:r>
    </w:p>
    <w:p w:rsidR="000E42A8" w:rsidRDefault="000E42A8" w:rsidP="000E42A8">
      <w:pPr>
        <w:pStyle w:val="StandardWeb"/>
      </w:pPr>
      <w:r>
        <w:t>genau dann, wenn</w:t>
      </w:r>
    </w:p>
    <w:p w:rsidR="000E42A8" w:rsidRDefault="000E42A8" w:rsidP="000E42A8">
      <w:pPr>
        <w:pStyle w:val="StandardWeb"/>
      </w:pPr>
      <w:r>
        <w:t>[</w:t>
      </w:r>
      <w:r>
        <w:br/>
        <w:t>K_{\mathcal B,ij}=1</w:t>
      </w:r>
      <w:r>
        <w:br/>
        <w:t>\qquad</w:t>
      </w:r>
      <w:r>
        <w:br/>
        <w:t>\forall i,j</w:t>
      </w:r>
      <w:r>
        <w:br/>
        <w:t>\tag{3.8082}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K_{\mathcal{B},ij}=1\qquad\forall i,j\qquad\text{(3.8082)}</w:t>
      </w:r>
    </w:p>
    <w:p w:rsidR="000E42A8" w:rsidRDefault="000E42A8" w:rsidP="000E42A8">
      <w:pPr>
        <w:pStyle w:val="StandardWeb"/>
      </w:pPr>
      <w:r>
        <w:t>für sämtliche verpflichtend gemeinsam gültigen Theorieblöcke gilt.</w:t>
      </w:r>
    </w:p>
    <w:p w:rsidR="000E42A8" w:rsidRDefault="00E50336" w:rsidP="000E42A8">
      <w:r>
        <w:pict>
          <v:rect id="_x0000_i1946" style="width:0;height:1.5pt" o:hralign="center" o:hrstd="t" o:hr="t" fillcolor="#a0a0a0" stroked="f"/>
        </w:pict>
      </w:r>
    </w:p>
    <w:p w:rsidR="000E42A8" w:rsidRDefault="000E42A8" w:rsidP="000E42A8">
      <w:pPr>
        <w:pStyle w:val="berschrift1"/>
      </w:pPr>
      <w:r>
        <w:t>3.3.42.206 Keine globale Prüfung disjunkter Theorieblöcke</w:t>
      </w:r>
    </w:p>
    <w:p w:rsidR="000E42A8" w:rsidRDefault="000E42A8" w:rsidP="000E42A8">
      <w:pPr>
        <w:pStyle w:val="StandardWeb"/>
      </w:pPr>
      <w:r>
        <w:t>Sind zwei Theorieblöcke funktional nicht vergleichbar,</w:t>
      </w:r>
    </w:p>
    <w:p w:rsidR="000E42A8" w:rsidRDefault="000E42A8" w:rsidP="000E42A8">
      <w:pPr>
        <w:pStyle w:val="berschrift1"/>
      </w:pPr>
      <w:r>
        <w:t>[</w:t>
      </w:r>
      <w:r>
        <w:br/>
        <w:t>\Omega_{\mathcal B_i}</w:t>
      </w:r>
      <w:r>
        <w:br/>
        <w:t>\cap</w:t>
      </w:r>
      <w:r>
        <w:br/>
        <w:t>\Omega_{\mathcal B_j}</w:t>
      </w:r>
    </w:p>
    <w:p w:rsidR="000E42A8" w:rsidRDefault="000E42A8" w:rsidP="000E42A8">
      <w:pPr>
        <w:pStyle w:val="StandardWeb"/>
      </w:pPr>
      <w:r>
        <w:t>\varnothing,</w:t>
      </w:r>
      <w:r>
        <w:br/>
        <w:t>\tag{3.8083}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\Omega_{\mathcal{B}_i}\cap\Omega_{\mathcal{B}_j}=\varnothing\qquad\text{(3.8083)}</w:t>
      </w:r>
    </w:p>
    <w:p w:rsidR="000E42A8" w:rsidRDefault="000E42A8" w:rsidP="000E42A8">
      <w:pPr>
        <w:pStyle w:val="StandardWeb"/>
      </w:pPr>
      <w:r>
        <w:t>darf ihre fehlende direkte Konsistenzrelation nicht als globaler Theoriekonflikt gezählt werden.</w:t>
      </w:r>
    </w:p>
    <w:p w:rsidR="000E42A8" w:rsidRDefault="000E42A8" w:rsidP="000E42A8">
      <w:pPr>
        <w:pStyle w:val="StandardWeb"/>
      </w:pPr>
      <w:r>
        <w:t>Damit muss auch die Blockmatrix einen Status für Nichtvergleichbarkeit zulassen.</w:t>
      </w:r>
    </w:p>
    <w:p w:rsidR="000E42A8" w:rsidRDefault="00E50336" w:rsidP="000E42A8">
      <w:r>
        <w:lastRenderedPageBreak/>
        <w:pict>
          <v:rect id="_x0000_i1947" style="width:0;height:1.5pt" o:hralign="center" o:hrstd="t" o:hr="t" fillcolor="#a0a0a0" stroked="f"/>
        </w:pict>
      </w:r>
    </w:p>
    <w:p w:rsidR="000E42A8" w:rsidRDefault="000E42A8" w:rsidP="000E42A8">
      <w:pPr>
        <w:pStyle w:val="berschrift1"/>
      </w:pPr>
      <w:r>
        <w:t>3.3.42.207 Blockstatusmatrix</w:t>
      </w:r>
    </w:p>
    <w:p w:rsidR="000E42A8" w:rsidRDefault="000E42A8" w:rsidP="000E42A8">
      <w:pPr>
        <w:pStyle w:val="StandardWeb"/>
      </w:pPr>
      <w:r>
        <w:t>Ich definiere</w:t>
      </w:r>
    </w:p>
    <w:p w:rsidR="000E42A8" w:rsidRDefault="000E42A8" w:rsidP="000E42A8">
      <w:pPr>
        <w:pStyle w:val="berschrift1"/>
      </w:pPr>
      <w:r>
        <w:t>[</w:t>
      </w:r>
      <w:r>
        <w:br/>
        <w:t>\mathbf S_{\mathcal B}</w:t>
      </w:r>
    </w:p>
    <w:p w:rsidR="000E42A8" w:rsidRDefault="000E42A8" w:rsidP="000E42A8">
      <w:pPr>
        <w:pStyle w:val="StandardWeb"/>
      </w:pPr>
      <w:r>
        <w:t>[s_{ij}^{\mathcal B}]</w:t>
      </w:r>
      <w:r>
        <w:br/>
        <w:t>\tag{3.8084}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\mathbf{S}_{\mathcal{B}}=[s_{ij}^{\mathcal{B}}]\qquad\text{(3.8084)}</w:t>
      </w:r>
    </w:p>
    <w:p w:rsidR="000E42A8" w:rsidRDefault="000E42A8" w:rsidP="000E42A8">
      <w:pPr>
        <w:pStyle w:val="StandardWeb"/>
      </w:pPr>
      <w:r>
        <w:t>mit</w:t>
      </w:r>
    </w:p>
    <w:p w:rsidR="000E42A8" w:rsidRDefault="000E42A8" w:rsidP="000E42A8">
      <w:pPr>
        <w:pStyle w:val="StandardWeb"/>
      </w:pPr>
      <w:r>
        <w:t>[</w:t>
      </w:r>
      <w:r>
        <w:br/>
        <w:t>s_{ij}^{\mathcal B}</w:t>
      </w:r>
      <w:r>
        <w:br/>
        <w:t>\in</w:t>
      </w:r>
      <w:r>
        <w:br/>
        <w:t>{</w:t>
      </w:r>
      <w:r>
        <w:br/>
        <w:t>\mathbf K,</w:t>
      </w:r>
      <w:r>
        <w:br/>
        <w:t>\mathbf W,</w:t>
      </w:r>
      <w:r>
        <w:br/>
        <w:t>\mathbf U,</w:t>
      </w:r>
      <w:r>
        <w:br/>
        <w:t>\mathbf{NV}</w:t>
      </w:r>
      <w:r>
        <w:br/>
        <w:t>}.</w:t>
      </w:r>
      <w:r>
        <w:br/>
        <w:t>\tag{3.8085}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s_{ij}^{\mathcal{B}}\in\left\{\mathbf{K},\mathbf{W},\mathbf{U},\mathbf{NV}\right\}\qquad\text{(3.8085)}</w:t>
      </w:r>
    </w:p>
    <w:p w:rsidR="000E42A8" w:rsidRDefault="000E42A8" w:rsidP="000E42A8">
      <w:pPr>
        <w:pStyle w:val="StandardWeb"/>
      </w:pPr>
      <w:r>
        <w:t>Damit wird die bereits für Einzelaussagen entwickelte Statuslogik auf vollständige Theorieblöcke übertragen.</w:t>
      </w:r>
    </w:p>
    <w:p w:rsidR="000E42A8" w:rsidRDefault="00E50336" w:rsidP="000E42A8">
      <w:r>
        <w:pict>
          <v:rect id="_x0000_i1948" style="width:0;height:1.5pt" o:hralign="center" o:hrstd="t" o:hr="t" fillcolor="#a0a0a0" stroked="f"/>
        </w:pict>
      </w:r>
    </w:p>
    <w:p w:rsidR="000E42A8" w:rsidRDefault="000E42A8" w:rsidP="000E42A8">
      <w:pPr>
        <w:pStyle w:val="berschrift1"/>
      </w:pPr>
      <w:r>
        <w:t>3.3.42.208 Blockkonflikt</w:t>
      </w:r>
    </w:p>
    <w:p w:rsidR="000E42A8" w:rsidRDefault="000E42A8" w:rsidP="000E42A8">
      <w:pPr>
        <w:pStyle w:val="StandardWeb"/>
      </w:pPr>
      <w:r>
        <w:t>Ein Blockkonflikt liegt vor, wenn</w:t>
      </w:r>
    </w:p>
    <w:p w:rsidR="000E42A8" w:rsidRDefault="000E42A8" w:rsidP="000E42A8">
      <w:pPr>
        <w:pStyle w:val="berschrift1"/>
      </w:pPr>
      <w:r>
        <w:t>[</w:t>
      </w:r>
      <w:r>
        <w:br/>
        <w:t>s_{ij}^{\mathcal B}</w:t>
      </w:r>
    </w:p>
    <w:p w:rsidR="000E42A8" w:rsidRDefault="000E42A8" w:rsidP="000E42A8">
      <w:pPr>
        <w:pStyle w:val="StandardWeb"/>
      </w:pPr>
      <w:r>
        <w:lastRenderedPageBreak/>
        <w:t>\mathbf W.</w:t>
      </w:r>
      <w:r>
        <w:br/>
        <w:t>\tag{3.8086}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s_{ij}^{\mathcal{B}}=\mathbf{W}\qquad\text{(3.8086)}</w:t>
      </w:r>
    </w:p>
    <w:p w:rsidR="000E42A8" w:rsidRDefault="000E42A8" w:rsidP="000E42A8">
      <w:pPr>
        <w:pStyle w:val="StandardWeb"/>
      </w:pPr>
      <w:r>
        <w:t>Der zugehörige Konfliktkern kann aus Objekten beider Theorieblöcke bestehen.</w:t>
      </w:r>
    </w:p>
    <w:p w:rsidR="000E42A8" w:rsidRDefault="000E42A8" w:rsidP="000E42A8">
      <w:pPr>
        <w:pStyle w:val="StandardWeb"/>
      </w:pPr>
      <w:r>
        <w:t>Ich definiere</w:t>
      </w:r>
    </w:p>
    <w:p w:rsidR="000E42A8" w:rsidRDefault="000E42A8" w:rsidP="000E42A8">
      <w:pPr>
        <w:pStyle w:val="StandardWeb"/>
      </w:pPr>
      <w:r>
        <w:t>[</w:t>
      </w:r>
      <w:r>
        <w:br/>
        <w:t>\mathcal K_W^{\mathcal B}</w:t>
      </w:r>
      <w:r>
        <w:br/>
        <w:t>\subseteq</w:t>
      </w:r>
      <w:r>
        <w:br/>
        <w:t>\mathcal B_i\cup\mathcal B_j.</w:t>
      </w:r>
      <w:r>
        <w:br/>
        <w:t>\tag{3.8087}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\mathcal{K}_{W}^{\mathcal{B}}\subseteq\mathcal{B}_i\cup\mathcal{B}_j\qquad\text{(3.8087)}</w:t>
      </w:r>
    </w:p>
    <w:p w:rsidR="000E42A8" w:rsidRDefault="00E50336" w:rsidP="000E42A8">
      <w:r>
        <w:pict>
          <v:rect id="_x0000_i1949" style="width:0;height:1.5pt" o:hralign="center" o:hrstd="t" o:hr="t" fillcolor="#a0a0a0" stroked="f"/>
        </w:pict>
      </w:r>
    </w:p>
    <w:p w:rsidR="000E42A8" w:rsidRDefault="000E42A8" w:rsidP="000E42A8">
      <w:pPr>
        <w:pStyle w:val="berschrift1"/>
      </w:pPr>
      <w:r>
        <w:t>3.3.42.209 Hierarchische Konfliktlokalisierung</w:t>
      </w:r>
    </w:p>
    <w:p w:rsidR="000E42A8" w:rsidRDefault="000E42A8" w:rsidP="000E42A8">
      <w:pPr>
        <w:pStyle w:val="StandardWeb"/>
      </w:pPr>
      <w:r>
        <w:t>Die Konfliktsuche kann damit stufenweise erfolgen:</w:t>
      </w:r>
    </w:p>
    <w:p w:rsidR="000E42A8" w:rsidRDefault="000E42A8" w:rsidP="000E42A8">
      <w:pPr>
        <w:pStyle w:val="StandardWeb"/>
      </w:pPr>
      <w:r>
        <w:t>[</w:t>
      </w:r>
      <w:r>
        <w:br/>
        <w:t>\boxed{</w:t>
      </w:r>
      <w:r>
        <w:br/>
        <w:t>\text{Theorie}</w:t>
      </w:r>
      <w:r>
        <w:br/>
        <w:t>\rightarrow</w:t>
      </w:r>
      <w:r>
        <w:br/>
        <w:t>\text{Block}</w:t>
      </w:r>
      <w:r>
        <w:br/>
        <w:t>\rightarrow</w:t>
      </w:r>
      <w:r>
        <w:br/>
        <w:t>\text{Objektklasse}</w:t>
      </w:r>
      <w:r>
        <w:br/>
        <w:t>\rightarrow</w:t>
      </w:r>
      <w:r>
        <w:br/>
        <w:t>\text{Objekt}</w:t>
      </w:r>
      <w:r>
        <w:br/>
        <w:t>\rightarrow</w:t>
      </w:r>
      <w:r>
        <w:br/>
        <w:t>\text{Abhängigkeit}</w:t>
      </w:r>
      <w:r>
        <w:br/>
        <w:t>}</w:t>
      </w:r>
      <w:r>
        <w:br/>
        <w:t>\tag{3.8088}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\boxed{\text{Theorie}\rightarrow\text{Block}\rightarrow\text{Objektklasse}\rightarrow\text{Objekt}\rightarrow\text{Abhängigkeit}}\qquad\text{(3.8088)}</w:t>
      </w:r>
    </w:p>
    <w:p w:rsidR="000E42A8" w:rsidRDefault="000E42A8" w:rsidP="000E42A8">
      <w:pPr>
        <w:pStyle w:val="StandardWeb"/>
      </w:pPr>
      <w:r>
        <w:t>Diese Hierarchie reduziert die Suche nach Inkonsistenzen schrittweise von der Gesamtstruktur auf den kleinsten identifizierbaren Konflikt.</w:t>
      </w:r>
    </w:p>
    <w:p w:rsidR="000E42A8" w:rsidRDefault="00E50336" w:rsidP="000E42A8">
      <w:r>
        <w:lastRenderedPageBreak/>
        <w:pict>
          <v:rect id="_x0000_i1950" style="width:0;height:1.5pt" o:hralign="center" o:hrstd="t" o:hr="t" fillcolor="#a0a0a0" stroked="f"/>
        </w:pict>
      </w:r>
    </w:p>
    <w:p w:rsidR="000E42A8" w:rsidRDefault="000E42A8" w:rsidP="000E42A8">
      <w:pPr>
        <w:pStyle w:val="berschrift1"/>
      </w:pPr>
      <w:r>
        <w:t>3.3.42.210 Konsistenzgradient zwischen Theorieblöcken</w:t>
      </w:r>
    </w:p>
    <w:p w:rsidR="000E42A8" w:rsidRDefault="000E42A8" w:rsidP="000E42A8">
      <w:pPr>
        <w:pStyle w:val="StandardWeb"/>
      </w:pPr>
      <w:r>
        <w:t>Für graduelle Blockkonsistenz definiere ich</w:t>
      </w:r>
    </w:p>
    <w:p w:rsidR="000E42A8" w:rsidRDefault="000E42A8" w:rsidP="000E42A8">
      <w:pPr>
        <w:pStyle w:val="StandardWeb"/>
      </w:pPr>
      <w:r>
        <w:t>[</w:t>
      </w:r>
      <w:r>
        <w:br/>
        <w:t>R_{\mathcal B,ij}^{K}</w:t>
      </w:r>
      <w:r>
        <w:br/>
        <w:t>\in</w:t>
      </w:r>
      <w:r>
        <w:br/>
        <w:t>[0,1].</w:t>
      </w:r>
      <w:r>
        <w:br/>
        <w:t>\tag{3.8089}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R_{\mathcal{B},ij}^{K}\in[0,1]\qquad\text{(3.8089)}</w:t>
      </w:r>
    </w:p>
    <w:p w:rsidR="000E42A8" w:rsidRDefault="000E42A8" w:rsidP="000E42A8">
      <w:pPr>
        <w:pStyle w:val="StandardWeb"/>
      </w:pPr>
      <w:r>
        <w:t>Der mittlere Blockkonsistenzgrad eines Blocks lautet</w:t>
      </w:r>
    </w:p>
    <w:p w:rsidR="000E42A8" w:rsidRDefault="000E42A8" w:rsidP="000E42A8">
      <w:pPr>
        <w:pStyle w:val="berschrift1"/>
      </w:pPr>
      <w:r>
        <w:t>[</w:t>
      </w:r>
      <w:r>
        <w:br/>
        <w:t>\bar R_{\mathcal B,i}^{K}</w:t>
      </w:r>
    </w:p>
    <w:p w:rsidR="000E42A8" w:rsidRDefault="000E42A8" w:rsidP="000E42A8">
      <w:pPr>
        <w:pStyle w:val="StandardWeb"/>
      </w:pPr>
      <w:r>
        <w:t>\frac{</w:t>
      </w:r>
      <w:r>
        <w:br/>
        <w:t>1</w:t>
      </w:r>
      <w:r>
        <w:br/>
        <w:t>}{</w:t>
      </w:r>
      <w:r>
        <w:br/>
        <w:t>m_i</w:t>
      </w:r>
      <w:r>
        <w:br/>
        <w:t>}</w:t>
      </w:r>
      <w:r>
        <w:br/>
        <w:t>\sum_{j\in J_i}</w:t>
      </w:r>
      <w:r>
        <w:br/>
        <w:t>R_{\mathcal B,ij}^{K},</w:t>
      </w:r>
      <w:r>
        <w:br/>
        <w:t>\tag{3.8090}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\bar{R}_{\mathcal{B},i}^{K}=\frac{1}{m_i}\sum_{j\in J_i}R_{\mathcal{B},ij}^{K}\qquad\text{(3.8090)}</w:t>
      </w:r>
    </w:p>
    <w:p w:rsidR="000E42A8" w:rsidRDefault="000E42A8" w:rsidP="000E42A8">
      <w:pPr>
        <w:pStyle w:val="StandardWeb"/>
      </w:pPr>
      <w:r>
        <w:t>wobei (J_i) nur die tatsächlich vergleichbaren relevanten Blöcke enthält.</w:t>
      </w:r>
    </w:p>
    <w:p w:rsidR="000E42A8" w:rsidRDefault="00E50336" w:rsidP="000E42A8">
      <w:r>
        <w:pict>
          <v:rect id="_x0000_i1951" style="width:0;height:1.5pt" o:hralign="center" o:hrstd="t" o:hr="t" fillcolor="#a0a0a0" stroked="f"/>
        </w:pict>
      </w:r>
    </w:p>
    <w:p w:rsidR="000E42A8" w:rsidRDefault="000E42A8" w:rsidP="000E42A8">
      <w:pPr>
        <w:pStyle w:val="berschrift1"/>
      </w:pPr>
      <w:r>
        <w:t>3.3.42.211 Konfliktträchtiger Theorieblock</w:t>
      </w:r>
    </w:p>
    <w:p w:rsidR="000E42A8" w:rsidRDefault="000E42A8" w:rsidP="000E42A8">
      <w:pPr>
        <w:pStyle w:val="StandardWeb"/>
      </w:pPr>
      <w:r>
        <w:t>Ein Theorieblock mit</w:t>
      </w:r>
    </w:p>
    <w:p w:rsidR="000E42A8" w:rsidRDefault="000E42A8" w:rsidP="000E42A8">
      <w:pPr>
        <w:pStyle w:val="StandardWeb"/>
      </w:pPr>
      <w:r>
        <w:t>[</w:t>
      </w:r>
      <w:r>
        <w:br/>
        <w:t>\bar R_{\mathcal B,i}^{K}</w:t>
      </w:r>
      <w:r>
        <w:br/>
        <w:t>\ll1</w:t>
      </w:r>
      <w:r>
        <w:br/>
      </w:r>
      <w:r>
        <w:lastRenderedPageBreak/>
        <w:t>\tag{3.8091}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\bar{R}_{\mathcal{B},i}^{K}\ll1\qquad\text{(3.8091)}</w:t>
      </w:r>
    </w:p>
    <w:p w:rsidR="000E42A8" w:rsidRDefault="000E42A8" w:rsidP="000E42A8">
      <w:pPr>
        <w:pStyle w:val="StandardWeb"/>
      </w:pPr>
      <w:r>
        <w:t>steht mit einem großen Anteil relevanter anderer Blöcke in Konflikt.</w:t>
      </w:r>
    </w:p>
    <w:p w:rsidR="000E42A8" w:rsidRDefault="000E42A8" w:rsidP="000E42A8">
      <w:pPr>
        <w:pStyle w:val="StandardWeb"/>
      </w:pPr>
      <w:r>
        <w:t xml:space="preserve">Dies identifiziert einen </w:t>
      </w:r>
      <w:r>
        <w:rPr>
          <w:rStyle w:val="Fett"/>
        </w:rPr>
        <w:t>diagnostisch auffälligen Theorieblock</w:t>
      </w:r>
      <w:r>
        <w:t>, nicht automatisch einen falschen Theorieblock.</w:t>
      </w:r>
    </w:p>
    <w:p w:rsidR="000E42A8" w:rsidRDefault="00E50336" w:rsidP="000E42A8">
      <w:r>
        <w:pict>
          <v:rect id="_x0000_i1952" style="width:0;height:1.5pt" o:hralign="center" o:hrstd="t" o:hr="t" fillcolor="#a0a0a0" stroked="f"/>
        </w:pict>
      </w:r>
    </w:p>
    <w:p w:rsidR="000E42A8" w:rsidRDefault="000E42A8" w:rsidP="000E42A8">
      <w:pPr>
        <w:pStyle w:val="berschrift1"/>
      </w:pPr>
      <w:r>
        <w:t>3.3.42.212 Konsistenzzentralität eines Theorieblocks</w:t>
      </w:r>
    </w:p>
    <w:p w:rsidR="000E42A8" w:rsidRDefault="000E42A8" w:rsidP="000E42A8">
      <w:pPr>
        <w:pStyle w:val="StandardWeb"/>
      </w:pPr>
      <w:r>
        <w:t>Ich definiere</w:t>
      </w:r>
    </w:p>
    <w:p w:rsidR="000E42A8" w:rsidRDefault="000E42A8" w:rsidP="000E42A8">
      <w:pPr>
        <w:pStyle w:val="berschrift1"/>
      </w:pPr>
      <w:r>
        <w:t>[</w:t>
      </w:r>
      <w:r>
        <w:br/>
        <w:t>C_{\mathcal B}^{K}(i)</w:t>
      </w:r>
    </w:p>
    <w:p w:rsidR="000E42A8" w:rsidRDefault="000E42A8" w:rsidP="000E42A8">
      <w:pPr>
        <w:pStyle w:val="StandardWeb"/>
      </w:pPr>
      <w:r>
        <w:t>\frac{</w:t>
      </w:r>
      <w:r>
        <w:br/>
        <w:t>\sum_{j\in J_i}</w:t>
      </w:r>
      <w:r>
        <w:br/>
        <w:t>R_{\mathcal B,ij}^{K}</w:t>
      </w:r>
      <w:r>
        <w:br/>
        <w:t>}{</w:t>
      </w:r>
      <w:r>
        <w:br/>
        <w:t>|J_i|</w:t>
      </w:r>
      <w:r>
        <w:br/>
        <w:t>}.</w:t>
      </w:r>
      <w:r>
        <w:br/>
        <w:t>\tag{3.8092}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C_{\mathcal{B}}^{K}(i)=\frac{\sum_{j\in J_i}R_{\mathcal{B},ij}^{K}}{|J_i|}\qquad\text{(3.8092)}</w:t>
      </w:r>
    </w:p>
    <w:p w:rsidR="000E42A8" w:rsidRDefault="000E42A8" w:rsidP="000E42A8">
      <w:pPr>
        <w:pStyle w:val="StandardWeb"/>
      </w:pPr>
      <w:r>
        <w:t>Diese Größe beschreibt, wie stark ein Theorieblock im Mittel mit seinen relevanten Nachbarblöcken verträglich ist.</w:t>
      </w:r>
    </w:p>
    <w:p w:rsidR="000E42A8" w:rsidRDefault="00E50336" w:rsidP="000E42A8">
      <w:r>
        <w:pict>
          <v:rect id="_x0000_i1953" style="width:0;height:1.5pt" o:hralign="center" o:hrstd="t" o:hr="t" fillcolor="#a0a0a0" stroked="f"/>
        </w:pict>
      </w:r>
    </w:p>
    <w:p w:rsidR="000E42A8" w:rsidRDefault="000E42A8" w:rsidP="000E42A8">
      <w:pPr>
        <w:pStyle w:val="berschrift1"/>
      </w:pPr>
      <w:r>
        <w:t>3.3.42.213 Konsistenzbrücke</w:t>
      </w:r>
    </w:p>
    <w:p w:rsidR="000E42A8" w:rsidRDefault="000E42A8" w:rsidP="000E42A8">
      <w:pPr>
        <w:pStyle w:val="StandardWeb"/>
      </w:pPr>
      <w:r>
        <w:t>Ein Theorieblock kann zwei ansonsten schlecht verbundene Modellbereiche miteinander verbinden.</w:t>
      </w:r>
    </w:p>
    <w:p w:rsidR="000E42A8" w:rsidRDefault="000E42A8" w:rsidP="000E42A8">
      <w:pPr>
        <w:pStyle w:val="StandardWeb"/>
      </w:pPr>
      <w:r>
        <w:t>Seien</w:t>
      </w:r>
    </w:p>
    <w:p w:rsidR="000E42A8" w:rsidRDefault="000E42A8" w:rsidP="000E42A8">
      <w:pPr>
        <w:pStyle w:val="StandardWeb"/>
      </w:pPr>
      <w:r>
        <w:t>[</w:t>
      </w:r>
      <w:r>
        <w:br/>
        <w:t>\mathcal B_A</w:t>
      </w:r>
      <w:r>
        <w:br/>
        <w:t>\quad\text{und}\quad</w:t>
      </w:r>
      <w:r>
        <w:br/>
      </w:r>
      <w:r>
        <w:lastRenderedPageBreak/>
        <w:t>\mathcal B_C</w:t>
      </w:r>
      <w:r>
        <w:br/>
        <w:t>\tag{3.8093}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\mathcal{B}_{A}\quad\text{und}\quad\mathcal{B}_{C}\qquad\text{(3.8093)}</w:t>
      </w:r>
    </w:p>
    <w:p w:rsidR="000E42A8" w:rsidRDefault="000E42A8" w:rsidP="000E42A8">
      <w:pPr>
        <w:pStyle w:val="StandardWeb"/>
      </w:pPr>
      <w:r>
        <w:t>nicht direkt ausreichend vergleichbar oder kompatibel, während ein Zwischenblock (\mathcal B_B) jeweils konsistente Übergänge besitzt:</w:t>
      </w:r>
    </w:p>
    <w:p w:rsidR="000E42A8" w:rsidRDefault="000E42A8" w:rsidP="000E42A8">
      <w:pPr>
        <w:pStyle w:val="StandardWeb"/>
      </w:pPr>
      <w:r>
        <w:t>[</w:t>
      </w:r>
      <w:r>
        <w:br/>
        <w:t>K_F(\mathcal B_A,\mathcal B_B)=1</w:t>
      </w:r>
      <w:r>
        <w:br/>
        <w:t>\tag{3.8094}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K_F(\mathcal{B}_{A},\mathcal{B}_{B})=1\qquad\text{(3.8094)}</w:t>
      </w:r>
    </w:p>
    <w:p w:rsidR="000E42A8" w:rsidRDefault="000E42A8" w:rsidP="000E42A8">
      <w:pPr>
        <w:pStyle w:val="StandardWeb"/>
      </w:pPr>
      <w:r>
        <w:t>und</w:t>
      </w:r>
    </w:p>
    <w:p w:rsidR="000E42A8" w:rsidRDefault="000E42A8" w:rsidP="000E42A8">
      <w:pPr>
        <w:pStyle w:val="StandardWeb"/>
      </w:pPr>
      <w:r>
        <w:t>[</w:t>
      </w:r>
      <w:r>
        <w:br/>
        <w:t>K_F(\mathcal B_B,\mathcal B_C)=1.</w:t>
      </w:r>
      <w:r>
        <w:br/>
        <w:t>\tag{3.8095}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K_F(\mathcal{B}_{B},\mathcal{B}_{C})=1\qquad\text{(3.8095)}</w:t>
      </w:r>
    </w:p>
    <w:p w:rsidR="000E42A8" w:rsidRDefault="000E42A8" w:rsidP="000E42A8">
      <w:pPr>
        <w:pStyle w:val="StandardWeb"/>
      </w:pPr>
      <w:r>
        <w:t xml:space="preserve">Ich bezeichne (\mathcal B_B) dann als </w:t>
      </w:r>
      <w:r>
        <w:rPr>
          <w:rStyle w:val="Fett"/>
        </w:rPr>
        <w:t>Konsistenzbrücke</w:t>
      </w:r>
      <w:r>
        <w:t>.</w:t>
      </w:r>
    </w:p>
    <w:p w:rsidR="000E42A8" w:rsidRDefault="000E42A8" w:rsidP="000E42A8">
      <w:pPr>
        <w:pStyle w:val="StandardWeb"/>
      </w:pPr>
      <w:r>
        <w:t>Wegen der Nichttransitivität folgt daraus jedoch nicht automatisch</w:t>
      </w:r>
    </w:p>
    <w:p w:rsidR="000E42A8" w:rsidRDefault="000E42A8" w:rsidP="000E42A8">
      <w:pPr>
        <w:pStyle w:val="StandardWeb"/>
      </w:pPr>
      <w:r>
        <w:t>[</w:t>
      </w:r>
      <w:r>
        <w:br/>
        <w:t>K_F(\mathcal B_A,\mathcal B_C)=1.</w:t>
      </w:r>
      <w:r>
        <w:br/>
        <w:t>\tag{3.8096}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K_F(\mathcal{B}_{A},\mathcal{B}_{C})=1\qquad\text{(3.8096)}</w:t>
      </w:r>
    </w:p>
    <w:p w:rsidR="000E42A8" w:rsidRDefault="00E50336" w:rsidP="000E42A8">
      <w:r>
        <w:pict>
          <v:rect id="_x0000_i1954" style="width:0;height:1.5pt" o:hralign="center" o:hrstd="t" o:hr="t" fillcolor="#a0a0a0" stroked="f"/>
        </w:pict>
      </w:r>
    </w:p>
    <w:p w:rsidR="000E42A8" w:rsidRDefault="000E42A8" w:rsidP="000E42A8">
      <w:pPr>
        <w:pStyle w:val="berschrift1"/>
      </w:pPr>
      <w:r>
        <w:t>3.3.42.214 Übergangskonsistenz zwischen Blöcken</w:t>
      </w:r>
    </w:p>
    <w:p w:rsidR="000E42A8" w:rsidRDefault="000E42A8" w:rsidP="000E42A8">
      <w:pPr>
        <w:pStyle w:val="StandardWeb"/>
      </w:pPr>
      <w:r>
        <w:t>Für aufeinanderfolgende Theorieblöcke definiere ich</w:t>
      </w:r>
    </w:p>
    <w:p w:rsidR="000E42A8" w:rsidRDefault="000E42A8" w:rsidP="000E42A8">
      <w:pPr>
        <w:pStyle w:val="StandardWeb"/>
      </w:pPr>
      <w:r>
        <w:t>[</w:t>
      </w:r>
      <w:r>
        <w:br/>
        <w:t>K_{\mathrm{trans}}</w:t>
      </w:r>
      <w:r>
        <w:br/>
      </w:r>
      <w:r>
        <w:lastRenderedPageBreak/>
        <w:t>(\mathcal B_i,\mathcal B_{i+1})</w:t>
      </w:r>
      <w:r>
        <w:br/>
        <w:t>\tag{3.8097}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K_{\mathrm{trans}}(\mathcal{B}_i,\mathcal{B}_{i+1})\qquad\text{(3.8097)}</w:t>
      </w:r>
    </w:p>
    <w:p w:rsidR="000E42A8" w:rsidRDefault="000E42A8" w:rsidP="000E42A8">
      <w:pPr>
        <w:pStyle w:val="StandardWeb"/>
      </w:pPr>
      <w:r>
        <w:t>als Konsistenz derjenigen Aussagen, Definitionen und Zustandsgrößen, die den Übergang zwischen beiden Blöcken vermitteln.</w:t>
      </w:r>
    </w:p>
    <w:p w:rsidR="000E42A8" w:rsidRDefault="000E42A8" w:rsidP="000E42A8">
      <w:pPr>
        <w:pStyle w:val="StandardWeb"/>
      </w:pPr>
      <w:r>
        <w:t>Damit wird nicht der gesamte Inhalt beider Blöcke, sondern zunächst ihre Schnittstelle geprüft.</w:t>
      </w:r>
    </w:p>
    <w:p w:rsidR="000E42A8" w:rsidRDefault="00E50336" w:rsidP="000E42A8">
      <w:r>
        <w:pict>
          <v:rect id="_x0000_i1955" style="width:0;height:1.5pt" o:hralign="center" o:hrstd="t" o:hr="t" fillcolor="#a0a0a0" stroked="f"/>
        </w:pict>
      </w:r>
    </w:p>
    <w:p w:rsidR="000E42A8" w:rsidRDefault="000E42A8" w:rsidP="000E42A8">
      <w:pPr>
        <w:pStyle w:val="berschrift1"/>
      </w:pPr>
      <w:r>
        <w:t>3.3.42.215 Schnittstellenmenge</w:t>
      </w:r>
    </w:p>
    <w:p w:rsidR="000E42A8" w:rsidRDefault="000E42A8" w:rsidP="000E42A8">
      <w:pPr>
        <w:pStyle w:val="StandardWeb"/>
      </w:pPr>
      <w:r>
        <w:t>Ich definiere</w:t>
      </w:r>
    </w:p>
    <w:p w:rsidR="000E42A8" w:rsidRDefault="000E42A8" w:rsidP="000E42A8">
      <w:pPr>
        <w:pStyle w:val="berschrift1"/>
      </w:pPr>
      <w:r>
        <w:t>[</w:t>
      </w:r>
      <w:r>
        <w:br/>
        <w:t>I_{ij}</w:t>
      </w:r>
    </w:p>
    <w:p w:rsidR="000E42A8" w:rsidRDefault="000E42A8" w:rsidP="000E42A8">
      <w:pPr>
        <w:pStyle w:val="StandardWeb"/>
      </w:pPr>
      <w:r>
        <w:t>\operatorname{Interface}</w:t>
      </w:r>
      <w:r>
        <w:br/>
        <w:t>(\mathcal B_i,\mathcal B_j).</w:t>
      </w:r>
      <w:r>
        <w:br/>
        <w:t>\tag{3.8098}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I_{ij}=\operatorname{Interface}(\mathcal{B}_i,\mathcal{B}_j)\qquad\text{(3.8098)}</w:t>
      </w:r>
    </w:p>
    <w:p w:rsidR="000E42A8" w:rsidRDefault="000E42A8" w:rsidP="000E42A8">
      <w:pPr>
        <w:pStyle w:val="StandardWeb"/>
      </w:pPr>
      <w:r>
        <w:t>Diese Menge enthält beispielsweise</w:t>
      </w:r>
    </w:p>
    <w:p w:rsidR="000E42A8" w:rsidRDefault="000E42A8" w:rsidP="008C5E65">
      <w:pPr>
        <w:pStyle w:val="StandardWeb"/>
        <w:numPr>
          <w:ilvl w:val="0"/>
          <w:numId w:val="404"/>
        </w:numPr>
      </w:pPr>
      <w:r>
        <w:t>gemeinsam verwendete Symbole,</w:t>
      </w:r>
    </w:p>
    <w:p w:rsidR="000E42A8" w:rsidRDefault="000E42A8" w:rsidP="008C5E65">
      <w:pPr>
        <w:pStyle w:val="StandardWeb"/>
        <w:numPr>
          <w:ilvl w:val="0"/>
          <w:numId w:val="404"/>
        </w:numPr>
      </w:pPr>
      <w:r>
        <w:t>übernommene Definitionen,</w:t>
      </w:r>
    </w:p>
    <w:p w:rsidR="000E42A8" w:rsidRDefault="000E42A8" w:rsidP="008C5E65">
      <w:pPr>
        <w:pStyle w:val="StandardWeb"/>
        <w:numPr>
          <w:ilvl w:val="0"/>
          <w:numId w:val="404"/>
        </w:numPr>
      </w:pPr>
      <w:r>
        <w:t>referenzierte Gleichungen,</w:t>
      </w:r>
    </w:p>
    <w:p w:rsidR="000E42A8" w:rsidRDefault="000E42A8" w:rsidP="008C5E65">
      <w:pPr>
        <w:pStyle w:val="StandardWeb"/>
        <w:numPr>
          <w:ilvl w:val="0"/>
          <w:numId w:val="404"/>
        </w:numPr>
      </w:pPr>
      <w:r>
        <w:t>übernommene Voraussetzungen,</w:t>
      </w:r>
    </w:p>
    <w:p w:rsidR="000E42A8" w:rsidRDefault="000E42A8" w:rsidP="008C5E65">
      <w:pPr>
        <w:pStyle w:val="StandardWeb"/>
        <w:numPr>
          <w:ilvl w:val="0"/>
          <w:numId w:val="404"/>
        </w:numPr>
      </w:pPr>
      <w:r>
        <w:t>Transformationsregeln,</w:t>
      </w:r>
    </w:p>
    <w:p w:rsidR="000E42A8" w:rsidRDefault="000E42A8" w:rsidP="008C5E65">
      <w:pPr>
        <w:pStyle w:val="StandardWeb"/>
        <w:numPr>
          <w:ilvl w:val="0"/>
          <w:numId w:val="404"/>
        </w:numPr>
      </w:pPr>
      <w:r>
        <w:t>gemeinsame Gültigkeitsdomänen.</w:t>
      </w:r>
    </w:p>
    <w:p w:rsidR="000E42A8" w:rsidRDefault="00E50336" w:rsidP="000E42A8">
      <w:r>
        <w:pict>
          <v:rect id="_x0000_i1956" style="width:0;height:1.5pt" o:hralign="center" o:hrstd="t" o:hr="t" fillcolor="#a0a0a0" stroked="f"/>
        </w:pict>
      </w:r>
    </w:p>
    <w:p w:rsidR="000E42A8" w:rsidRDefault="000E42A8" w:rsidP="000E42A8">
      <w:pPr>
        <w:pStyle w:val="berschrift1"/>
      </w:pPr>
      <w:r>
        <w:t>3.3.42.216 Schnittstellenkonsistenz</w:t>
      </w:r>
    </w:p>
    <w:p w:rsidR="000E42A8" w:rsidRDefault="000E42A8" w:rsidP="000E42A8">
      <w:pPr>
        <w:pStyle w:val="berschrift3"/>
      </w:pPr>
      <w:r>
        <w:t>Definition 3.3.50 (Schnittstellenkonsistenz)</w:t>
      </w:r>
    </w:p>
    <w:p w:rsidR="000E42A8" w:rsidRDefault="000E42A8" w:rsidP="000E42A8">
      <w:pPr>
        <w:pStyle w:val="StandardWeb"/>
      </w:pPr>
      <w:r>
        <w:lastRenderedPageBreak/>
        <w:t>Zwei Theorieblöcke heißen schnittstellenkonsistent, wenn sämtliche für ihren Übergang notwendigen gemeinsamen Objekte innerhalb der betreffenden Gültigkeitsdomäne widerspruchsfrei verwendet werden.</w:t>
      </w:r>
    </w:p>
    <w:p w:rsidR="000E42A8" w:rsidRDefault="000E42A8" w:rsidP="000E42A8">
      <w:pPr>
        <w:pStyle w:val="StandardWeb"/>
      </w:pPr>
      <w:r>
        <w:t>Ich schreibe</w:t>
      </w:r>
    </w:p>
    <w:p w:rsidR="000E42A8" w:rsidRDefault="000E42A8" w:rsidP="000E42A8">
      <w:pPr>
        <w:pStyle w:val="berschrift1"/>
      </w:pPr>
      <w:r>
        <w:t>[</w:t>
      </w:r>
      <w:r>
        <w:br/>
        <w:t>K_I</w:t>
      </w:r>
      <w:r>
        <w:br/>
        <w:t>(\mathcal B_i,\mathcal B_j)</w:t>
      </w:r>
    </w:p>
    <w:p w:rsidR="000E42A8" w:rsidRDefault="000E42A8" w:rsidP="008C5E65">
      <w:pPr>
        <w:numPr>
          <w:ilvl w:val="0"/>
          <w:numId w:val="405"/>
        </w:numPr>
        <w:spacing w:before="100" w:beforeAutospacing="1" w:after="100" w:afterAutospacing="1"/>
      </w:pPr>
    </w:p>
    <w:p w:rsidR="000E42A8" w:rsidRDefault="000E42A8" w:rsidP="000E42A8">
      <w:pPr>
        <w:pStyle w:val="StandardWeb"/>
      </w:pPr>
      <w:r>
        <w:t>\tag{3.8099}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K_I(\mathcal{B}_i,\mathcal{B}_j)=1\qquad\text{(3.8099)}</w:t>
      </w:r>
    </w:p>
    <w:p w:rsidR="000E42A8" w:rsidRDefault="00E50336" w:rsidP="000E42A8">
      <w:r>
        <w:pict>
          <v:rect id="_x0000_i1957" style="width:0;height:1.5pt" o:hralign="center" o:hrstd="t" o:hr="t" fillcolor="#a0a0a0" stroked="f"/>
        </w:pict>
      </w:r>
    </w:p>
    <w:p w:rsidR="000E42A8" w:rsidRDefault="000E42A8" w:rsidP="000E42A8">
      <w:pPr>
        <w:pStyle w:val="berschrift1"/>
      </w:pPr>
      <w:r>
        <w:t>3.3.42.217 Notwendige Schnittstellenbedingung</w:t>
      </w:r>
    </w:p>
    <w:p w:rsidR="000E42A8" w:rsidRDefault="000E42A8" w:rsidP="000E42A8">
      <w:pPr>
        <w:pStyle w:val="StandardWeb"/>
      </w:pPr>
      <w:r>
        <w:t>Für eine explizite Abhängigkeit</w:t>
      </w:r>
    </w:p>
    <w:p w:rsidR="000E42A8" w:rsidRDefault="000E42A8" w:rsidP="000E42A8">
      <w:pPr>
        <w:pStyle w:val="StandardWeb"/>
      </w:pPr>
      <w:r>
        <w:t>[</w:t>
      </w:r>
      <w:r>
        <w:br/>
        <w:t>\mathcal B_i</w:t>
      </w:r>
      <w:r>
        <w:br/>
        <w:t>\rightarrow</w:t>
      </w:r>
      <w:r>
        <w:br/>
        <w:t>\mathcal B_j</w:t>
      </w:r>
      <w:r>
        <w:br/>
        <w:t>\tag{3.8100}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\mathcal{B}_i\rightarrow\mathcal{B}_j\qquad\text{(3.8100)}</w:t>
      </w:r>
    </w:p>
    <w:p w:rsidR="000E42A8" w:rsidRDefault="000E42A8" w:rsidP="000E42A8">
      <w:pPr>
        <w:pStyle w:val="StandardWeb"/>
      </w:pPr>
      <w:r>
        <w:t>ist</w:t>
      </w:r>
    </w:p>
    <w:p w:rsidR="000E42A8" w:rsidRDefault="000E42A8" w:rsidP="000E42A8">
      <w:pPr>
        <w:pStyle w:val="StandardWeb"/>
      </w:pPr>
      <w:r>
        <w:t>[</w:t>
      </w:r>
      <w:r>
        <w:br/>
        <w:t>K_I(\mathcal B_i,\mathcal B_j)=1</w:t>
      </w:r>
      <w:r>
        <w:br/>
        <w:t>\tag{3.8101}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K_I(\mathcal{B}_i,\mathcal{B}_j)=1\qquad\text{(3.8101)}</w:t>
      </w:r>
    </w:p>
    <w:p w:rsidR="000E42A8" w:rsidRDefault="000E42A8" w:rsidP="000E42A8">
      <w:pPr>
        <w:pStyle w:val="StandardWeb"/>
      </w:pPr>
      <w:r>
        <w:t>eine notwendige Bedingung für eine wissenschaftlich konsistente Übernahme der Vorgängerstruktur.</w:t>
      </w:r>
    </w:p>
    <w:p w:rsidR="000E42A8" w:rsidRDefault="00E50336" w:rsidP="000E42A8">
      <w:r>
        <w:lastRenderedPageBreak/>
        <w:pict>
          <v:rect id="_x0000_i1958" style="width:0;height:1.5pt" o:hralign="center" o:hrstd="t" o:hr="t" fillcolor="#a0a0a0" stroked="f"/>
        </w:pict>
      </w:r>
    </w:p>
    <w:p w:rsidR="000E42A8" w:rsidRDefault="000E42A8" w:rsidP="000E42A8">
      <w:pPr>
        <w:pStyle w:val="berschrift1"/>
      </w:pPr>
      <w:r>
        <w:t>3.3.42.218 Symbolübergang</w:t>
      </w:r>
    </w:p>
    <w:p w:rsidR="000E42A8" w:rsidRDefault="000E42A8" w:rsidP="000E42A8">
      <w:pPr>
        <w:pStyle w:val="StandardWeb"/>
      </w:pPr>
      <w:r>
        <w:t>Wird ein Symbol (x) aus einem Theorieblock übernommen, muss gelten</w:t>
      </w:r>
    </w:p>
    <w:p w:rsidR="000E42A8" w:rsidRDefault="000E42A8" w:rsidP="000E42A8">
      <w:pPr>
        <w:pStyle w:val="berschrift1"/>
      </w:pPr>
      <w:r>
        <w:t>[</w:t>
      </w:r>
      <w:r>
        <w:br/>
        <w:t>\operatorname{Sem}_i(x)</w:t>
      </w:r>
    </w:p>
    <w:p w:rsidR="000E42A8" w:rsidRDefault="000E42A8" w:rsidP="000E42A8">
      <w:pPr>
        <w:pStyle w:val="StandardWeb"/>
      </w:pPr>
      <w:r>
        <w:t>\operatorname{Sem}_j(x)</w:t>
      </w:r>
      <w:r>
        <w:br/>
        <w:t>\tag{3.8102}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\operatorname{Sem}_i(x)=\operatorname{Sem}_j(x)\qquad\text{(3.8102)}</w:t>
      </w:r>
    </w:p>
    <w:p w:rsidR="000E42A8" w:rsidRDefault="000E42A8" w:rsidP="000E42A8">
      <w:pPr>
        <w:pStyle w:val="StandardWeb"/>
      </w:pPr>
      <w:r>
        <w:t>oder eine explizite Transformationsregel</w:t>
      </w:r>
    </w:p>
    <w:p w:rsidR="000E42A8" w:rsidRDefault="000E42A8" w:rsidP="000E42A8">
      <w:pPr>
        <w:pStyle w:val="berschrift1"/>
      </w:pPr>
      <w:r>
        <w:t>[</w:t>
      </w:r>
      <w:r>
        <w:br/>
        <w:t>\operatorname{Sem}_j(x)</w:t>
      </w:r>
    </w:p>
    <w:p w:rsidR="000E42A8" w:rsidRDefault="000E42A8" w:rsidP="000E42A8">
      <w:pPr>
        <w:pStyle w:val="StandardWeb"/>
      </w:pPr>
      <w:r>
        <w:t>T_{\mathrm{sem}}</w:t>
      </w:r>
      <w:r>
        <w:br/>
        <w:t>\left(</w:t>
      </w:r>
      <w:r>
        <w:br/>
        <w:t>\operatorname{Sem}_i(x)</w:t>
      </w:r>
      <w:r>
        <w:br/>
        <w:t>\right)</w:t>
      </w:r>
      <w:r>
        <w:br/>
        <w:t>\tag{3.8103}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\operatorname{Sem}_j(x)=T_{\mathrm{sem}}\left(\operatorname{Sem}_i(x)\right)\qquad\text{(3.8103)}</w:t>
      </w:r>
    </w:p>
    <w:p w:rsidR="000E42A8" w:rsidRDefault="000E42A8" w:rsidP="000E42A8">
      <w:pPr>
        <w:pStyle w:val="StandardWeb"/>
      </w:pPr>
      <w:r>
        <w:t>muss angegeben werden.</w:t>
      </w:r>
    </w:p>
    <w:p w:rsidR="000E42A8" w:rsidRDefault="00E50336" w:rsidP="000E42A8">
      <w:r>
        <w:pict>
          <v:rect id="_x0000_i1959" style="width:0;height:1.5pt" o:hralign="center" o:hrstd="t" o:hr="t" fillcolor="#a0a0a0" stroked="f"/>
        </w:pict>
      </w:r>
    </w:p>
    <w:p w:rsidR="000E42A8" w:rsidRDefault="000E42A8" w:rsidP="000E42A8">
      <w:pPr>
        <w:pStyle w:val="berschrift1"/>
      </w:pPr>
      <w:r>
        <w:t>3.3.42.219 Definitionstransfer</w:t>
      </w:r>
    </w:p>
    <w:p w:rsidR="000E42A8" w:rsidRDefault="000E42A8" w:rsidP="000E42A8">
      <w:pPr>
        <w:pStyle w:val="StandardWeb"/>
      </w:pPr>
      <w:r>
        <w:t>Für eine übernommene Definition gilt entsprechend</w:t>
      </w:r>
    </w:p>
    <w:p w:rsidR="000E42A8" w:rsidRDefault="000E42A8" w:rsidP="000E42A8">
      <w:pPr>
        <w:pStyle w:val="berschrift1"/>
      </w:pPr>
      <w:r>
        <w:t>[</w:t>
      </w:r>
      <w:r>
        <w:br/>
        <w:t>D_j</w:t>
      </w:r>
    </w:p>
    <w:p w:rsidR="000E42A8" w:rsidRDefault="000E42A8" w:rsidP="000E42A8">
      <w:pPr>
        <w:pStyle w:val="StandardWeb"/>
      </w:pPr>
      <w:r>
        <w:lastRenderedPageBreak/>
        <w:t>D_i</w:t>
      </w:r>
      <w:r>
        <w:br/>
        <w:t>\tag{3.8104}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D_j=D_i\qquad\text{(3.8104)}</w:t>
      </w:r>
    </w:p>
    <w:p w:rsidR="000E42A8" w:rsidRDefault="000E42A8" w:rsidP="000E42A8">
      <w:pPr>
        <w:pStyle w:val="StandardWeb"/>
      </w:pPr>
      <w:r>
        <w:t>oder</w:t>
      </w:r>
    </w:p>
    <w:p w:rsidR="000E42A8" w:rsidRDefault="000E42A8" w:rsidP="000E42A8">
      <w:pPr>
        <w:pStyle w:val="berschrift1"/>
      </w:pPr>
      <w:r>
        <w:t>[</w:t>
      </w:r>
      <w:r>
        <w:br/>
        <w:t>D_j</w:t>
      </w:r>
    </w:p>
    <w:p w:rsidR="000E42A8" w:rsidRDefault="000E42A8" w:rsidP="000E42A8">
      <w:pPr>
        <w:pStyle w:val="StandardWeb"/>
      </w:pPr>
      <w:r>
        <w:t>T_D(D_i).</w:t>
      </w:r>
      <w:r>
        <w:br/>
        <w:t>\tag{3.8105}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D_j=T_D(D_i)\qquad\text{(3.8105)}</w:t>
      </w:r>
    </w:p>
    <w:p w:rsidR="000E42A8" w:rsidRDefault="000E42A8" w:rsidP="000E42A8">
      <w:pPr>
        <w:pStyle w:val="StandardWeb"/>
      </w:pPr>
      <w:r>
        <w:t>Eine unmarkierte Bedeutungsänderung ist ein Schnittstellenkonflikt.</w:t>
      </w:r>
    </w:p>
    <w:p w:rsidR="000E42A8" w:rsidRDefault="00E50336" w:rsidP="000E42A8">
      <w:r>
        <w:pict>
          <v:rect id="_x0000_i1960" style="width:0;height:1.5pt" o:hralign="center" o:hrstd="t" o:hr="t" fillcolor="#a0a0a0" stroked="f"/>
        </w:pict>
      </w:r>
    </w:p>
    <w:p w:rsidR="000E42A8" w:rsidRDefault="000E42A8" w:rsidP="000E42A8">
      <w:pPr>
        <w:pStyle w:val="berschrift1"/>
      </w:pPr>
      <w:r>
        <w:t>3.3.42.220 Schnittstellenwiderspruch</w:t>
      </w:r>
    </w:p>
    <w:p w:rsidR="000E42A8" w:rsidRDefault="000E42A8" w:rsidP="000E42A8">
      <w:pPr>
        <w:pStyle w:val="StandardWeb"/>
      </w:pPr>
      <w:r>
        <w:t>Ich definiere</w:t>
      </w:r>
    </w:p>
    <w:p w:rsidR="000E42A8" w:rsidRDefault="000E42A8" w:rsidP="000E42A8">
      <w:pPr>
        <w:pStyle w:val="StandardWeb"/>
      </w:pPr>
      <w:r>
        <w:t>[</w:t>
      </w:r>
      <w:r>
        <w:br/>
        <w:t>W_I(\mathcal B_i,\mathcal B_j)=1</w:t>
      </w:r>
      <w:r>
        <w:br/>
        <w:t>\tag{3.8106}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W_I(\mathcal{B}_i,\mathcal{B}_j)=1\qquad\text{(3.8106)}</w:t>
      </w:r>
    </w:p>
    <w:p w:rsidR="000E42A8" w:rsidRDefault="000E42A8" w:rsidP="000E42A8">
      <w:pPr>
        <w:pStyle w:val="StandardWeb"/>
      </w:pPr>
      <w:r>
        <w:t>wenn mindestens ein zwingend gemeinsam verwendetes Schnittstellenobjekt inkompatibel interpretiert oder transformiert wird.</w:t>
      </w:r>
    </w:p>
    <w:p w:rsidR="000E42A8" w:rsidRDefault="00E50336" w:rsidP="000E42A8">
      <w:r>
        <w:pict>
          <v:rect id="_x0000_i1961" style="width:0;height:1.5pt" o:hralign="center" o:hrstd="t" o:hr="t" fillcolor="#a0a0a0" stroked="f"/>
        </w:pict>
      </w:r>
    </w:p>
    <w:p w:rsidR="000E42A8" w:rsidRDefault="000E42A8" w:rsidP="000E42A8">
      <w:pPr>
        <w:pStyle w:val="berschrift1"/>
      </w:pPr>
      <w:r>
        <w:t>3.3.42.221 Schnittstellenkonfliktmenge</w:t>
      </w:r>
    </w:p>
    <w:p w:rsidR="000E42A8" w:rsidRDefault="000E42A8" w:rsidP="000E42A8">
      <w:pPr>
        <w:pStyle w:val="StandardWeb"/>
      </w:pPr>
      <w:r>
        <w:t>Die Menge konfliktbehafteter Schnittstellenobjekte lautet</w:t>
      </w:r>
    </w:p>
    <w:p w:rsidR="000E42A8" w:rsidRDefault="000E42A8" w:rsidP="000E42A8">
      <w:pPr>
        <w:pStyle w:val="berschrift1"/>
      </w:pPr>
      <w:r>
        <w:lastRenderedPageBreak/>
        <w:t>[</w:t>
      </w:r>
      <w:r>
        <w:br/>
        <w:t>\mathcal W_I</w:t>
      </w:r>
    </w:p>
    <w:p w:rsidR="000E42A8" w:rsidRDefault="000E42A8" w:rsidP="000E42A8">
      <w:pPr>
        <w:pStyle w:val="StandardWeb"/>
      </w:pPr>
      <w:r>
        <w:t>\left{</w:t>
      </w:r>
      <w:r>
        <w:br/>
        <w:t>o\in I_{ij}:</w:t>
      </w:r>
      <w:r>
        <w:br/>
        <w:t>K_I(o)=0</w:t>
      </w:r>
      <w:r>
        <w:br/>
        <w:t>\right}.</w:t>
      </w:r>
      <w:r>
        <w:br/>
        <w:t>\tag{3.8107}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\mathcal{W}_{I}=\left\{o\in I_{ij}:K_I(o)=0\right\}\qquad\text{(3.8107)}</w:t>
      </w:r>
    </w:p>
    <w:p w:rsidR="000E42A8" w:rsidRDefault="00E50336" w:rsidP="000E42A8">
      <w:r>
        <w:pict>
          <v:rect id="_x0000_i1962" style="width:0;height:1.5pt" o:hralign="center" o:hrstd="t" o:hr="t" fillcolor="#a0a0a0" stroked="f"/>
        </w:pict>
      </w:r>
    </w:p>
    <w:p w:rsidR="000E42A8" w:rsidRDefault="000E42A8" w:rsidP="000E42A8">
      <w:pPr>
        <w:pStyle w:val="berschrift1"/>
      </w:pPr>
      <w:r>
        <w:t>3.3.42.222 Schnittstellenkonsistenzgrad</w:t>
      </w:r>
    </w:p>
    <w:p w:rsidR="000E42A8" w:rsidRDefault="000E42A8" w:rsidP="000E42A8">
      <w:pPr>
        <w:pStyle w:val="StandardWeb"/>
      </w:pPr>
      <w:r>
        <w:t>Ich definiere</w:t>
      </w:r>
    </w:p>
    <w:p w:rsidR="000E42A8" w:rsidRDefault="000E42A8" w:rsidP="000E42A8">
      <w:pPr>
        <w:pStyle w:val="berschrift1"/>
      </w:pPr>
      <w:r>
        <w:t>[</w:t>
      </w:r>
      <w:r>
        <w:br/>
        <w:t>R_I^{K}</w:t>
      </w:r>
    </w:p>
    <w:p w:rsidR="000E42A8" w:rsidRDefault="000E42A8" w:rsidP="000E42A8">
      <w:pPr>
        <w:pStyle w:val="StandardWeb"/>
      </w:pPr>
      <w:r>
        <w:t>1-</w:t>
      </w:r>
      <w:r>
        <w:br/>
        <w:t>\frac{</w:t>
      </w:r>
      <w:r>
        <w:br/>
        <w:t>|\mathcal W_I|</w:t>
      </w:r>
      <w:r>
        <w:br/>
        <w:t>}{</w:t>
      </w:r>
      <w:r>
        <w:br/>
        <w:t>|I_{ij}|</w:t>
      </w:r>
      <w:r>
        <w:br/>
        <w:t>}</w:t>
      </w:r>
      <w:r>
        <w:br/>
        <w:t>\tag{3.8108}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R_I^{K}=1-\frac{|\mathcal{W}_{I}|}{|I_{ij}|}\qquad\text{(3.8108)}</w:t>
      </w:r>
    </w:p>
    <w:p w:rsidR="000E42A8" w:rsidRDefault="000E42A8" w:rsidP="000E42A8">
      <w:pPr>
        <w:pStyle w:val="StandardWeb"/>
      </w:pPr>
      <w:r>
        <w:t>für endliche Schnittstellenmengen.</w:t>
      </w:r>
    </w:p>
    <w:p w:rsidR="000E42A8" w:rsidRDefault="000E42A8" w:rsidP="000E42A8">
      <w:pPr>
        <w:pStyle w:val="StandardWeb"/>
      </w:pPr>
      <w:r>
        <w:t>Es gilt</w:t>
      </w:r>
    </w:p>
    <w:p w:rsidR="000E42A8" w:rsidRDefault="000E42A8" w:rsidP="000E42A8">
      <w:pPr>
        <w:pStyle w:val="StandardWeb"/>
      </w:pPr>
      <w:r>
        <w:t>[</w:t>
      </w:r>
      <w:r>
        <w:br/>
        <w:t>0\leq R_I^{K}\leq1.</w:t>
      </w:r>
      <w:r>
        <w:br/>
        <w:t>\tag{3.8109}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0\leq R_I^{K}\leq1\qquad\text{(3.8109)}</w:t>
      </w:r>
    </w:p>
    <w:p w:rsidR="000E42A8" w:rsidRDefault="00E50336" w:rsidP="000E42A8">
      <w:r>
        <w:lastRenderedPageBreak/>
        <w:pict>
          <v:rect id="_x0000_i1963" style="width:0;height:1.5pt" o:hralign="center" o:hrstd="t" o:hr="t" fillcolor="#a0a0a0" stroked="f"/>
        </w:pict>
      </w:r>
    </w:p>
    <w:p w:rsidR="000E42A8" w:rsidRDefault="000E42A8" w:rsidP="000E42A8">
      <w:pPr>
        <w:pStyle w:val="berschrift1"/>
      </w:pPr>
      <w:r>
        <w:t>3.3.42.223 Schnittstellenkonsistenz ist nicht Blockkonsistenz</w:t>
      </w:r>
    </w:p>
    <w:p w:rsidR="000E42A8" w:rsidRDefault="000E42A8" w:rsidP="000E42A8">
      <w:pPr>
        <w:pStyle w:val="StandardWeb"/>
      </w:pPr>
      <w:r>
        <w:t>Es gilt</w:t>
      </w:r>
    </w:p>
    <w:p w:rsidR="000E42A8" w:rsidRDefault="000E42A8" w:rsidP="000E42A8">
      <w:pPr>
        <w:pStyle w:val="StandardWeb"/>
      </w:pPr>
      <w:r>
        <w:t>[</w:t>
      </w:r>
      <w:r>
        <w:br/>
        <w:t>K_I(\mathcal B_i,\mathcal B_j)=1</w:t>
      </w:r>
      <w:r>
        <w:br/>
        <w:t>\nRightarrow</w:t>
      </w:r>
      <w:r>
        <w:br/>
        <w:t>K_F(\mathcal B_i,\mathcal B_j)=1.</w:t>
      </w:r>
      <w:r>
        <w:br/>
        <w:t>\tag{3.8110}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K_I(\mathcal{B}_i,\mathcal{B}_j)=1\nRightarrow K_F(\mathcal{B}_i,\mathcal{B}_j)=1\qquad\text{(3.8110)}</w:t>
      </w:r>
    </w:p>
    <w:p w:rsidR="000E42A8" w:rsidRDefault="000E42A8" w:rsidP="000E42A8">
      <w:pPr>
        <w:pStyle w:val="StandardWeb"/>
      </w:pPr>
      <w:r>
        <w:t>Eine saubere Schnittstelle verhindert Übertragungsfehler, garantiert aber nicht die vollständige inhaltliche Vereinbarkeit beider Theorieblöcke.</w:t>
      </w:r>
    </w:p>
    <w:p w:rsidR="000E42A8" w:rsidRDefault="00E50336" w:rsidP="000E42A8">
      <w:r>
        <w:pict>
          <v:rect id="_x0000_i1964" style="width:0;height:1.5pt" o:hralign="center" o:hrstd="t" o:hr="t" fillcolor="#a0a0a0" stroked="f"/>
        </w:pict>
      </w:r>
    </w:p>
    <w:p w:rsidR="000E42A8" w:rsidRDefault="000E42A8" w:rsidP="000E42A8">
      <w:pPr>
        <w:pStyle w:val="berschrift1"/>
      </w:pPr>
      <w:r>
        <w:t>3.3.42.224 Konsistenz über Kapitelgrenzen</w:t>
      </w:r>
    </w:p>
    <w:p w:rsidR="000E42A8" w:rsidRDefault="000E42A8" w:rsidP="000E42A8">
      <w:pPr>
        <w:pStyle w:val="StandardWeb"/>
      </w:pPr>
      <w:r>
        <w:t>Die gleiche Struktur lässt sich auf Kapitel oder größere Theoriekomponenten übertragen.</w:t>
      </w:r>
    </w:p>
    <w:p w:rsidR="000E42A8" w:rsidRDefault="000E42A8" w:rsidP="000E42A8">
      <w:pPr>
        <w:pStyle w:val="StandardWeb"/>
      </w:pPr>
      <w:r>
        <w:t>Für zwei Kapitel</w:t>
      </w:r>
    </w:p>
    <w:p w:rsidR="000E42A8" w:rsidRDefault="000E42A8" w:rsidP="000E42A8">
      <w:pPr>
        <w:pStyle w:val="StandardWeb"/>
      </w:pPr>
      <w:r>
        <w:t>[</w:t>
      </w:r>
      <w:r>
        <w:br/>
        <w:t>\mathcal K_i,</w:t>
      </w:r>
      <w:r>
        <w:br/>
        <w:t>\mathcal K_j</w:t>
      </w:r>
      <w:r>
        <w:br/>
        <w:t>\tag{3.8111}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\mathcal{K}_i,\mathcal{K}_j\qquad\text{(3.8111)}</w:t>
      </w:r>
    </w:p>
    <w:p w:rsidR="000E42A8" w:rsidRDefault="000E42A8" w:rsidP="000E42A8">
      <w:pPr>
        <w:pStyle w:val="StandardWeb"/>
      </w:pPr>
      <w:r>
        <w:t>definiere ich eine Kapitel-Schnittstelle</w:t>
      </w:r>
    </w:p>
    <w:p w:rsidR="000E42A8" w:rsidRDefault="000E42A8" w:rsidP="000E42A8">
      <w:pPr>
        <w:pStyle w:val="StandardWeb"/>
      </w:pPr>
      <w:r>
        <w:t>[</w:t>
      </w:r>
      <w:r>
        <w:br/>
        <w:t>I_{ij}^{\mathrm{Kap}}.</w:t>
      </w:r>
      <w:r>
        <w:br/>
        <w:t>\tag{3.8112}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I_{ij}^{\mathrm{Kap}}\qquad\text{(3.8112)}</w:t>
      </w:r>
    </w:p>
    <w:p w:rsidR="000E42A8" w:rsidRDefault="000E42A8" w:rsidP="000E42A8">
      <w:pPr>
        <w:pStyle w:val="StandardWeb"/>
      </w:pPr>
      <w:r>
        <w:lastRenderedPageBreak/>
        <w:t>Damit kann beispielsweise geprüft werden, ob eine in Kapitel 3 definierte Größe in Kapitel 6 noch dieselbe Bedeutung besitzt.</w:t>
      </w:r>
    </w:p>
    <w:p w:rsidR="000E42A8" w:rsidRDefault="00E50336" w:rsidP="000E42A8">
      <w:r>
        <w:pict>
          <v:rect id="_x0000_i1965" style="width:0;height:1.5pt" o:hralign="center" o:hrstd="t" o:hr="t" fillcolor="#a0a0a0" stroked="f"/>
        </w:pict>
      </w:r>
    </w:p>
    <w:p w:rsidR="000E42A8" w:rsidRDefault="000E42A8" w:rsidP="000E42A8">
      <w:pPr>
        <w:pStyle w:val="berschrift1"/>
      </w:pPr>
      <w:r>
        <w:t>3.3.42.225 Langstreckenkonsistenz</w:t>
      </w:r>
    </w:p>
    <w:p w:rsidR="000E42A8" w:rsidRDefault="000E42A8" w:rsidP="000E42A8">
      <w:pPr>
        <w:pStyle w:val="StandardWeb"/>
      </w:pPr>
      <w:r>
        <w:t>Ich bezeichne die Konsistenz eines Objekts über weit auseinanderliegende Theorie- oder Kapitelbereiche als</w:t>
      </w:r>
    </w:p>
    <w:p w:rsidR="000E42A8" w:rsidRDefault="000E42A8" w:rsidP="000E42A8">
      <w:pPr>
        <w:pStyle w:val="StandardWeb"/>
      </w:pPr>
      <w:r>
        <w:t>[</w:t>
      </w:r>
      <w:r>
        <w:br/>
        <w:t>K_{\mathrm{long}}(o).</w:t>
      </w:r>
      <w:r>
        <w:br/>
        <w:t>\tag{3.8113}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K_{\mathrm{long}}(o)\qquad\text{(3.8113)}</w:t>
      </w:r>
    </w:p>
    <w:p w:rsidR="000E42A8" w:rsidRDefault="000E42A8" w:rsidP="000E42A8">
      <w:pPr>
        <w:pStyle w:val="StandardWeb"/>
      </w:pPr>
      <w:r>
        <w:t>Für ein Symbol (s) mit Vorkommen</w:t>
      </w:r>
    </w:p>
    <w:p w:rsidR="000E42A8" w:rsidRDefault="000E42A8" w:rsidP="000E42A8">
      <w:pPr>
        <w:pStyle w:val="berschrift1"/>
      </w:pPr>
      <w:r>
        <w:t>[</w:t>
      </w:r>
      <w:r>
        <w:br/>
        <w:t>V(s)</w:t>
      </w:r>
    </w:p>
    <w:p w:rsidR="000E42A8" w:rsidRDefault="000E42A8" w:rsidP="000E42A8">
      <w:pPr>
        <w:pStyle w:val="StandardWeb"/>
      </w:pPr>
      <w:r>
        <w:t>{v_1,\ldots,v_m}</w:t>
      </w:r>
      <w:r>
        <w:br/>
        <w:t>\tag{3.8114}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V(s)=\{v_1,\ldots,v_m\}\qquad\text{(3.8114)}</w:t>
      </w:r>
    </w:p>
    <w:p w:rsidR="000E42A8" w:rsidRDefault="000E42A8" w:rsidP="000E42A8">
      <w:pPr>
        <w:pStyle w:val="StandardWeb"/>
      </w:pPr>
      <w:r>
        <w:t>kann geprüft werden, ob sämtliche Bedeutungszuweisungen kompatibel bleiben.</w:t>
      </w:r>
    </w:p>
    <w:p w:rsidR="000E42A8" w:rsidRDefault="00E50336" w:rsidP="000E42A8">
      <w:r>
        <w:pict>
          <v:rect id="_x0000_i1966" style="width:0;height:1.5pt" o:hralign="center" o:hrstd="t" o:hr="t" fillcolor="#a0a0a0" stroked="f"/>
        </w:pict>
      </w:r>
    </w:p>
    <w:p w:rsidR="000E42A8" w:rsidRDefault="000E42A8" w:rsidP="000E42A8">
      <w:pPr>
        <w:pStyle w:val="berschrift1"/>
      </w:pPr>
      <w:r>
        <w:t>3.3.42.226 Semantische Drift</w:t>
      </w:r>
    </w:p>
    <w:p w:rsidR="000E42A8" w:rsidRDefault="000E42A8" w:rsidP="000E42A8">
      <w:pPr>
        <w:pStyle w:val="StandardWeb"/>
      </w:pPr>
      <w:r>
        <w:t>Eine Bedeutung kann sich über Revisionen oder Kapitel schrittweise verändern.</w:t>
      </w:r>
    </w:p>
    <w:p w:rsidR="000E42A8" w:rsidRDefault="000E42A8" w:rsidP="000E42A8">
      <w:pPr>
        <w:pStyle w:val="StandardWeb"/>
      </w:pPr>
      <w:r>
        <w:t>Sei</w:t>
      </w:r>
    </w:p>
    <w:p w:rsidR="000E42A8" w:rsidRDefault="000E42A8" w:rsidP="000E42A8">
      <w:pPr>
        <w:pStyle w:val="StandardWeb"/>
      </w:pPr>
      <w:r>
        <w:t>[</w:t>
      </w:r>
      <w:r>
        <w:br/>
        <w:t>\operatorname{Sem}^{(1)}(s),</w:t>
      </w:r>
      <w:r>
        <w:br/>
        <w:t>\ldots,</w:t>
      </w:r>
      <w:r>
        <w:br/>
        <w:t>\operatorname{Sem}^{(m)}(s).</w:t>
      </w:r>
      <w:r>
        <w:br/>
        <w:t>\tag{3.8115}</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\operatorname{Sem}^{(1)}(s),\ldots,\operatorname{Sem}^{(m)}(s)\qquad\text{(3.8115)}</w:t>
      </w:r>
    </w:p>
    <w:p w:rsidR="000E42A8" w:rsidRDefault="000E42A8" w:rsidP="000E42A8">
      <w:pPr>
        <w:pStyle w:val="StandardWeb"/>
      </w:pPr>
      <w:r>
        <w:t>Ich definiere eine semantische Drift</w:t>
      </w:r>
    </w:p>
    <w:p w:rsidR="000E42A8" w:rsidRDefault="000E42A8" w:rsidP="000E42A8">
      <w:pPr>
        <w:pStyle w:val="berschrift1"/>
      </w:pPr>
      <w:r>
        <w:t>[</w:t>
      </w:r>
      <w:r>
        <w:br/>
        <w:t>D_{\mathrm{sem}}(s)</w:t>
      </w:r>
    </w:p>
    <w:p w:rsidR="000E42A8" w:rsidRDefault="000E42A8" w:rsidP="000E42A8">
      <w:pPr>
        <w:pStyle w:val="StandardWeb"/>
      </w:pPr>
      <w:r>
        <w:t>d_{\mathrm{sem}}</w:t>
      </w:r>
      <w:r>
        <w:br/>
        <w:t>\left(</w:t>
      </w:r>
      <w:r>
        <w:br/>
        <w:t>\operatorname{Sem}^{(1)}(s),</w:t>
      </w:r>
      <w:r>
        <w:br/>
        <w:t>\operatorname{Sem}^{(m)}(s)</w:t>
      </w:r>
      <w:r>
        <w:br/>
        <w:t>\right).</w:t>
      </w:r>
      <w:r>
        <w:br/>
        <w:t>\tag{3.8116}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D_{\mathrm{sem}}(s)=d_{\mathrm{sem}}\left(\operatorname{Sem}^{(1)}(s),\operatorname{Sem}^{(m)}(s)\right)\qquad\text{(3.8116)}</w:t>
      </w:r>
    </w:p>
    <w:p w:rsidR="000E42A8" w:rsidRDefault="00E50336" w:rsidP="000E42A8">
      <w:r>
        <w:pict>
          <v:rect id="_x0000_i1967" style="width:0;height:1.5pt" o:hralign="center" o:hrstd="t" o:hr="t" fillcolor="#a0a0a0" stroked="f"/>
        </w:pict>
      </w:r>
    </w:p>
    <w:p w:rsidR="000E42A8" w:rsidRDefault="000E42A8" w:rsidP="000E42A8">
      <w:pPr>
        <w:pStyle w:val="berschrift1"/>
      </w:pPr>
      <w:r>
        <w:t>3.3.42.227 Zulässige semantische Drift</w:t>
      </w:r>
    </w:p>
    <w:p w:rsidR="000E42A8" w:rsidRDefault="000E42A8" w:rsidP="000E42A8">
      <w:pPr>
        <w:pStyle w:val="StandardWeb"/>
      </w:pPr>
      <w:r>
        <w:t>Eine Bedeutungsänderung ist nicht automatisch inkonsistent.</w:t>
      </w:r>
    </w:p>
    <w:p w:rsidR="000E42A8" w:rsidRDefault="000E42A8" w:rsidP="000E42A8">
      <w:pPr>
        <w:pStyle w:val="StandardWeb"/>
      </w:pPr>
      <w:r>
        <w:t>Sie ist zulässig, wenn sie explizit dokumentiert und durch eine Transformations- oder Spezialisierungsregel beschrieben wird.</w:t>
      </w:r>
    </w:p>
    <w:p w:rsidR="000E42A8" w:rsidRDefault="000E42A8" w:rsidP="000E42A8">
      <w:pPr>
        <w:pStyle w:val="StandardWeb"/>
      </w:pPr>
      <w:r>
        <w:t>Ich schreibe</w:t>
      </w:r>
    </w:p>
    <w:p w:rsidR="000E42A8" w:rsidRDefault="000E42A8" w:rsidP="000E42A8">
      <w:pPr>
        <w:pStyle w:val="StandardWeb"/>
      </w:pPr>
      <w:r>
        <w:t>[</w:t>
      </w:r>
      <w:r>
        <w:br/>
        <w:t>D_{\mathrm{sem}}(s)&gt;0</w:t>
      </w:r>
      <w:r>
        <w:br/>
        <w:t>\land</w:t>
      </w:r>
      <w:r>
        <w:br/>
        <w:t>T_{\mathrm{sem}}\text{ dokumentiert}</w:t>
      </w:r>
      <w:r>
        <w:br/>
        <w:t>\tag{3.8117}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D_{\mathrm{sem}}(s)&gt;0\land T_{\mathrm{sem}}\text{ dokumentiert}\qquad\text{(3.8117)}</w:t>
      </w:r>
    </w:p>
    <w:p w:rsidR="000E42A8" w:rsidRDefault="000E42A8" w:rsidP="000E42A8">
      <w:pPr>
        <w:pStyle w:val="StandardWeb"/>
      </w:pPr>
      <w:r>
        <w:t>als möglichen konsistenten Bedeutungswandel.</w:t>
      </w:r>
    </w:p>
    <w:p w:rsidR="000E42A8" w:rsidRDefault="00E50336" w:rsidP="000E42A8">
      <w:r>
        <w:pict>
          <v:rect id="_x0000_i1968" style="width:0;height:1.5pt" o:hralign="center" o:hrstd="t" o:hr="t" fillcolor="#a0a0a0" stroked="f"/>
        </w:pict>
      </w:r>
    </w:p>
    <w:p w:rsidR="000E42A8" w:rsidRDefault="000E42A8" w:rsidP="000E42A8">
      <w:pPr>
        <w:pStyle w:val="berschrift1"/>
      </w:pPr>
      <w:r>
        <w:t>3.3.42.228 Unmarkierte semantische Drift</w:t>
      </w:r>
    </w:p>
    <w:p w:rsidR="000E42A8" w:rsidRDefault="000E42A8" w:rsidP="000E42A8">
      <w:pPr>
        <w:pStyle w:val="StandardWeb"/>
      </w:pPr>
      <w:r>
        <w:lastRenderedPageBreak/>
        <w:t>Problematisch ist dagegen</w:t>
      </w:r>
    </w:p>
    <w:p w:rsidR="000E42A8" w:rsidRDefault="000E42A8" w:rsidP="000E42A8">
      <w:pPr>
        <w:pStyle w:val="StandardWeb"/>
      </w:pPr>
      <w:r>
        <w:t>[</w:t>
      </w:r>
      <w:r>
        <w:br/>
        <w:t>D_{\mathrm{sem}}(s)&gt;0</w:t>
      </w:r>
      <w:r>
        <w:br/>
        <w:t>\land</w:t>
      </w:r>
      <w:r>
        <w:br/>
        <w:t>T_{\mathrm{sem}}\text{ nicht dokumentiert}.</w:t>
      </w:r>
      <w:r>
        <w:br/>
        <w:t>\tag{3.8118}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D_{\mathrm{sem}}(s)&gt;0\land T_{\mathrm{sem}}\text{ nicht dokumentiert}\qquad\text{(3.8118)}</w:t>
      </w:r>
    </w:p>
    <w:p w:rsidR="000E42A8" w:rsidRDefault="000E42A8" w:rsidP="000E42A8">
      <w:pPr>
        <w:pStyle w:val="StandardWeb"/>
      </w:pPr>
      <w:r>
        <w:t>Ich kennzeichne dies mit</w:t>
      </w:r>
    </w:p>
    <w:p w:rsidR="000E42A8" w:rsidRDefault="000E42A8" w:rsidP="000E42A8">
      <w:pPr>
        <w:pStyle w:val="StandardWeb"/>
      </w:pPr>
      <w:r>
        <w:t>[</w:t>
      </w:r>
      <w:r>
        <w:br/>
        <w:t>W_{\mathrm{semDrift}}=1.</w:t>
      </w:r>
      <w:r>
        <w:br/>
        <w:t>\tag{3.8119}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W_{\mathrm{semDrift}}=1\qquad\text{(3.8119)}</w:t>
      </w:r>
    </w:p>
    <w:p w:rsidR="000E42A8" w:rsidRDefault="00E50336" w:rsidP="000E42A8">
      <w:r>
        <w:pict>
          <v:rect id="_x0000_i1969" style="width:0;height:1.5pt" o:hralign="center" o:hrstd="t" o:hr="t" fillcolor="#a0a0a0" stroked="f"/>
        </w:pict>
      </w:r>
    </w:p>
    <w:p w:rsidR="000E42A8" w:rsidRDefault="000E42A8" w:rsidP="000E42A8">
      <w:pPr>
        <w:pStyle w:val="berschrift1"/>
      </w:pPr>
      <w:r>
        <w:t>3.3.42.229 Numerische Drift</w:t>
      </w:r>
    </w:p>
    <w:p w:rsidR="000E42A8" w:rsidRDefault="000E42A8" w:rsidP="000E42A8">
      <w:pPr>
        <w:pStyle w:val="StandardWeb"/>
      </w:pPr>
      <w:r>
        <w:t>Analog kann sich die numerische Bedeutung einer Schwelle oder eines Parameters über Revisionen verändern:</w:t>
      </w:r>
    </w:p>
    <w:p w:rsidR="000E42A8" w:rsidRDefault="000E42A8" w:rsidP="000E42A8">
      <w:pPr>
        <w:pStyle w:val="StandardWeb"/>
      </w:pPr>
      <w:r>
        <w:t>[</w:t>
      </w:r>
      <w:r>
        <w:br/>
        <w:t>\theta^{(1)},</w:t>
      </w:r>
      <w:r>
        <w:br/>
        <w:t>\theta^{(2)},</w:t>
      </w:r>
      <w:r>
        <w:br/>
        <w:t>\ldots,</w:t>
      </w:r>
      <w:r>
        <w:br/>
        <w:t>\theta^{(m)}.</w:t>
      </w:r>
      <w:r>
        <w:br/>
        <w:t>\tag{3.8120}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\theta^{(1)},\theta^{(2)},\ldots,\theta^{(m)}\qquad\text{(3.8120)}</w:t>
      </w:r>
    </w:p>
    <w:p w:rsidR="000E42A8" w:rsidRDefault="000E42A8" w:rsidP="000E42A8">
      <w:pPr>
        <w:pStyle w:val="StandardWeb"/>
      </w:pPr>
      <w:r>
        <w:t>Ich definiere</w:t>
      </w:r>
    </w:p>
    <w:p w:rsidR="000E42A8" w:rsidRDefault="000E42A8" w:rsidP="000E42A8">
      <w:pPr>
        <w:pStyle w:val="berschrift1"/>
      </w:pPr>
      <w:r>
        <w:t>[</w:t>
      </w:r>
      <w:r>
        <w:br/>
        <w:t>D_{\theta}</w:t>
      </w:r>
    </w:p>
    <w:p w:rsidR="000E42A8" w:rsidRDefault="000E42A8" w:rsidP="000E42A8">
      <w:pPr>
        <w:pStyle w:val="berschrift2"/>
      </w:pPr>
      <w:r>
        <w:lastRenderedPageBreak/>
        <w:t>\left|</w:t>
      </w:r>
      <w:r>
        <w:br/>
        <w:t>\theta^{(m)}</w:t>
      </w:r>
    </w:p>
    <w:p w:rsidR="000E42A8" w:rsidRDefault="000E42A8" w:rsidP="000E42A8">
      <w:pPr>
        <w:pStyle w:val="StandardWeb"/>
      </w:pPr>
      <w:r>
        <w:t>\theta^{(1)}</w:t>
      </w:r>
      <w:r>
        <w:br/>
        <w:t>\right|.</w:t>
      </w:r>
      <w:r>
        <w:br/>
        <w:t>\tag{3.8121}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D_{\theta}=\left|\theta^{(m)}-\theta^{(1)}\right|\qquad\text{(3.8121)}</w:t>
      </w:r>
    </w:p>
    <w:p w:rsidR="000E42A8" w:rsidRDefault="000E42A8" w:rsidP="000E42A8">
      <w:pPr>
        <w:pStyle w:val="StandardWeb"/>
      </w:pPr>
      <w:r>
        <w:t>Eine solche Veränderung ist konsistent, wenn die Revision explizit dokumentiert und auf die davon abhängigen Aussagen propagiert wird.</w:t>
      </w:r>
    </w:p>
    <w:p w:rsidR="000E42A8" w:rsidRDefault="00E50336" w:rsidP="000E42A8">
      <w:r>
        <w:pict>
          <v:rect id="_x0000_i1970" style="width:0;height:1.5pt" o:hralign="center" o:hrstd="t" o:hr="t" fillcolor="#a0a0a0" stroked="f"/>
        </w:pict>
      </w:r>
    </w:p>
    <w:p w:rsidR="000E42A8" w:rsidRDefault="000E42A8" w:rsidP="000E42A8">
      <w:pPr>
        <w:pStyle w:val="berschrift1"/>
      </w:pPr>
      <w:r>
        <w:t>3.3.42.230 Revisionspropagation</w:t>
      </w:r>
    </w:p>
    <w:p w:rsidR="000E42A8" w:rsidRDefault="000E42A8" w:rsidP="000E42A8">
      <w:pPr>
        <w:pStyle w:val="StandardWeb"/>
      </w:pPr>
      <w:r>
        <w:t>Sei</w:t>
      </w:r>
    </w:p>
    <w:p w:rsidR="000E42A8" w:rsidRDefault="000E42A8" w:rsidP="000E42A8">
      <w:pPr>
        <w:pStyle w:val="StandardWeb"/>
      </w:pPr>
      <w:r>
        <w:t>[</w:t>
      </w:r>
      <w:r>
        <w:br/>
        <w:t>o^{(v)}</w:t>
      </w:r>
      <w:r>
        <w:br/>
        <w:t>\rightarrow</w:t>
      </w:r>
      <w:r>
        <w:br/>
        <w:t>o^{(v+1)}</w:t>
      </w:r>
      <w:r>
        <w:br/>
        <w:t>\tag{3.8122}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o^{(v)}\rightarrow o^{(v+1)}\qquad\text{(3.8122)}</w:t>
      </w:r>
    </w:p>
    <w:p w:rsidR="000E42A8" w:rsidRDefault="000E42A8" w:rsidP="000E42A8">
      <w:pPr>
        <w:pStyle w:val="StandardWeb"/>
      </w:pPr>
      <w:r>
        <w:t>eine Revision eines Objekts.</w:t>
      </w:r>
    </w:p>
    <w:p w:rsidR="000E42A8" w:rsidRDefault="000E42A8" w:rsidP="000E42A8">
      <w:pPr>
        <w:pStyle w:val="StandardWeb"/>
      </w:pPr>
      <w:r>
        <w:t>Die Menge abhängiger Objekte lautet</w:t>
      </w:r>
    </w:p>
    <w:p w:rsidR="000E42A8" w:rsidRDefault="000E42A8" w:rsidP="000E42A8">
      <w:pPr>
        <w:pStyle w:val="StandardWeb"/>
      </w:pPr>
      <w:r>
        <w:t>[</w:t>
      </w:r>
      <w:r>
        <w:br/>
        <w:t>\operatorname{Desc}(o).</w:t>
      </w:r>
      <w:r>
        <w:br/>
        <w:t>\tag{3.8123}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\operatorname{Desc}(o)\qquad\text{(3.8123)}</w:t>
      </w:r>
    </w:p>
    <w:p w:rsidR="000E42A8" w:rsidRDefault="000E42A8" w:rsidP="000E42A8">
      <w:pPr>
        <w:pStyle w:val="StandardWeb"/>
      </w:pPr>
      <w:r>
        <w:t>Eine vollständige Revisionspropagation verlangt die erneute Prüfung</w:t>
      </w:r>
    </w:p>
    <w:p w:rsidR="000E42A8" w:rsidRDefault="000E42A8" w:rsidP="000E42A8">
      <w:pPr>
        <w:pStyle w:val="StandardWeb"/>
      </w:pPr>
      <w:r>
        <w:t>[</w:t>
      </w:r>
      <w:r>
        <w:br/>
        <w:t>\forall</w:t>
      </w:r>
      <w:r>
        <w:br/>
        <w:t>d</w:t>
      </w:r>
      <w:r>
        <w:br/>
      </w:r>
      <w:r>
        <w:lastRenderedPageBreak/>
        <w:t>\in</w:t>
      </w:r>
      <w:r>
        <w:br/>
        <w:t>\operatorname{Desc}(o):</w:t>
      </w:r>
      <w:r>
        <w:br/>
        <w:t>K_F</w:t>
      </w:r>
      <w:r>
        <w:br/>
        <w:t>\left(</w:t>
      </w:r>
      <w:r>
        <w:br/>
        <w:t>d,</w:t>
      </w:r>
      <w:r>
        <w:br/>
        <w:t>o^{(v+1)}</w:t>
      </w:r>
      <w:r>
        <w:br/>
        <w:t>\right)</w:t>
      </w:r>
      <w:r>
        <w:br/>
        <w:t>\text{ prüfen}.</w:t>
      </w:r>
      <w:r>
        <w:br/>
        <w:t>\tag{3.8124}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\forall d\in\operatorname{Desc}(o):K_F\left(d,o^{(v+1)}\right)\text{ prüfen}\qquad\text{(3.8124)}</w:t>
      </w:r>
    </w:p>
    <w:p w:rsidR="000E42A8" w:rsidRDefault="00E50336" w:rsidP="000E42A8">
      <w:r>
        <w:pict>
          <v:rect id="_x0000_i1971" style="width:0;height:1.5pt" o:hralign="center" o:hrstd="t" o:hr="t" fillcolor="#a0a0a0" stroked="f"/>
        </w:pict>
      </w:r>
    </w:p>
    <w:p w:rsidR="000E42A8" w:rsidRDefault="000E42A8" w:rsidP="000E42A8">
      <w:pPr>
        <w:pStyle w:val="berschrift1"/>
      </w:pPr>
      <w:r>
        <w:t>3.3.42.231 Revisionsdeckungsgrad</w:t>
      </w:r>
    </w:p>
    <w:p w:rsidR="000E42A8" w:rsidRDefault="000E42A8" w:rsidP="000E42A8">
      <w:pPr>
        <w:pStyle w:val="StandardWeb"/>
      </w:pPr>
      <w:r>
        <w:t>Ich definiere</w:t>
      </w:r>
    </w:p>
    <w:p w:rsidR="000E42A8" w:rsidRDefault="000E42A8" w:rsidP="000E42A8">
      <w:pPr>
        <w:pStyle w:val="berschrift1"/>
      </w:pPr>
      <w:r>
        <w:t>[</w:t>
      </w:r>
      <w:r>
        <w:br/>
        <w:t>C_{\mathrm{rev}}</w:t>
      </w:r>
    </w:p>
    <w:p w:rsidR="000E42A8" w:rsidRDefault="000E42A8" w:rsidP="000E42A8">
      <w:pPr>
        <w:pStyle w:val="StandardWeb"/>
      </w:pPr>
      <w:r>
        <w:t>\frac{</w:t>
      </w:r>
      <w:r>
        <w:br/>
        <w:t>N_{\mathrm{rechecked}}</w:t>
      </w:r>
      <w:r>
        <w:br/>
        <w:t>}{</w:t>
      </w:r>
      <w:r>
        <w:br/>
        <w:t>N_{\mathrm{affected}}</w:t>
      </w:r>
      <w:r>
        <w:br/>
        <w:t>}.</w:t>
      </w:r>
      <w:r>
        <w:br/>
        <w:t>\tag{3.8125}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C_{\mathrm{rev}}=\frac{N_{\mathrm{rechecked}}}{N_{\mathrm{affected}}}\qquad\text{(3.8125)}</w:t>
      </w:r>
    </w:p>
    <w:p w:rsidR="000E42A8" w:rsidRDefault="000E42A8" w:rsidP="000E42A8">
      <w:pPr>
        <w:pStyle w:val="StandardWeb"/>
      </w:pPr>
      <w:r>
        <w:t>Für</w:t>
      </w:r>
    </w:p>
    <w:p w:rsidR="000E42A8" w:rsidRDefault="000E42A8" w:rsidP="000E42A8">
      <w:pPr>
        <w:pStyle w:val="StandardWeb"/>
      </w:pPr>
      <w:r>
        <w:t>[</w:t>
      </w:r>
      <w:r>
        <w:br/>
        <w:t>C_{\mathrm{rev}}=1</w:t>
      </w:r>
      <w:r>
        <w:br/>
        <w:t>\tag{3.8126}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C_{\mathrm{rev}}=1\qquad\text{(3.8126)}</w:t>
      </w:r>
    </w:p>
    <w:p w:rsidR="000E42A8" w:rsidRDefault="000E42A8" w:rsidP="000E42A8">
      <w:pPr>
        <w:pStyle w:val="StandardWeb"/>
      </w:pPr>
      <w:r>
        <w:t>wurden sämtliche bekannten betroffenen Abhängigkeiten nach einer Revision erneut geprüft.</w:t>
      </w:r>
    </w:p>
    <w:p w:rsidR="000E42A8" w:rsidRDefault="00E50336" w:rsidP="000E42A8">
      <w:r>
        <w:lastRenderedPageBreak/>
        <w:pict>
          <v:rect id="_x0000_i1972" style="width:0;height:1.5pt" o:hralign="center" o:hrstd="t" o:hr="t" fillcolor="#a0a0a0" stroked="f"/>
        </w:pict>
      </w:r>
    </w:p>
    <w:p w:rsidR="000E42A8" w:rsidRDefault="000E42A8" w:rsidP="000E42A8">
      <w:pPr>
        <w:pStyle w:val="berschrift1"/>
      </w:pPr>
      <w:r>
        <w:t>3.3.42.232 Offene Revisionsabhängigkeiten</w:t>
      </w:r>
    </w:p>
    <w:p w:rsidR="000E42A8" w:rsidRDefault="000E42A8" w:rsidP="000E42A8">
      <w:pPr>
        <w:pStyle w:val="StandardWeb"/>
      </w:pPr>
      <w:r>
        <w:t>Die Menge noch ungeprüfter abhängiger Objekte lautet</w:t>
      </w:r>
    </w:p>
    <w:p w:rsidR="000E42A8" w:rsidRDefault="000E42A8" w:rsidP="000E42A8">
      <w:pPr>
        <w:pStyle w:val="berschrift1"/>
      </w:pPr>
      <w:r>
        <w:t>[</w:t>
      </w:r>
      <w:r>
        <w:br/>
        <w:t>\mathcal D_{\mathrm{rev}}</w:t>
      </w:r>
    </w:p>
    <w:p w:rsidR="000E42A8" w:rsidRDefault="000E42A8" w:rsidP="000E42A8">
      <w:pPr>
        <w:pStyle w:val="StandardWeb"/>
      </w:pPr>
      <w:r>
        <w:t>\operatorname{Desc}(o)</w:t>
      </w:r>
      <w:r>
        <w:br/>
        <w:t>\setminus</w:t>
      </w:r>
      <w:r>
        <w:br/>
        <w:t>\mathcal R_{\mathrm{checked}}.</w:t>
      </w:r>
      <w:r>
        <w:br/>
        <w:t>\tag{3.8127}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\mathcal{D}_{\mathrm{rev}}=\operatorname{Desc}(o)\setminus\mathcal{R}_{\mathrm{checked}}\qquad\text{(3.8127)}</w:t>
      </w:r>
    </w:p>
    <w:p w:rsidR="000E42A8" w:rsidRDefault="000E42A8" w:rsidP="000E42A8">
      <w:pPr>
        <w:pStyle w:val="StandardWeb"/>
      </w:pPr>
      <w:r>
        <w:t>Für</w:t>
      </w:r>
    </w:p>
    <w:p w:rsidR="000E42A8" w:rsidRDefault="000E42A8" w:rsidP="000E42A8">
      <w:pPr>
        <w:pStyle w:val="StandardWeb"/>
      </w:pPr>
      <w:r>
        <w:t>[</w:t>
      </w:r>
      <w:r>
        <w:br/>
        <w:t>\mathcal D_{\mathrm{rev}}\neq\varnothing</w:t>
      </w:r>
      <w:r>
        <w:br/>
        <w:t>\tag{3.8128}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\mathcal{D}_{\mathrm{rev}}\neq\varnothing\qquad\text{(3.8128)}</w:t>
      </w:r>
    </w:p>
    <w:p w:rsidR="000E42A8" w:rsidRDefault="000E42A8" w:rsidP="000E42A8">
      <w:pPr>
        <w:pStyle w:val="StandardWeb"/>
      </w:pPr>
      <w:r>
        <w:t>bleibt der globale Konsistenzstatus nach der Revision teilweise offen.</w:t>
      </w:r>
    </w:p>
    <w:p w:rsidR="000E42A8" w:rsidRDefault="00E50336" w:rsidP="000E42A8">
      <w:r>
        <w:pict>
          <v:rect id="_x0000_i1973" style="width:0;height:1.5pt" o:hralign="center" o:hrstd="t" o:hr="t" fillcolor="#a0a0a0" stroked="f"/>
        </w:pict>
      </w:r>
    </w:p>
    <w:p w:rsidR="000E42A8" w:rsidRDefault="000E42A8" w:rsidP="000E42A8">
      <w:pPr>
        <w:pStyle w:val="berschrift1"/>
      </w:pPr>
      <w:r>
        <w:t>3.3.42.233 Konsistenz-Gate einer Revision</w:t>
      </w:r>
    </w:p>
    <w:p w:rsidR="000E42A8" w:rsidRDefault="000E42A8" w:rsidP="000E42A8">
      <w:pPr>
        <w:pStyle w:val="StandardWeb"/>
      </w:pPr>
      <w:r>
        <w:t>Ich definiere ein Revisions-Gate</w:t>
      </w:r>
    </w:p>
    <w:p w:rsidR="000E42A8" w:rsidRDefault="000E42A8" w:rsidP="000E42A8">
      <w:pPr>
        <w:pStyle w:val="berschrift1"/>
      </w:pPr>
      <w:r>
        <w:t>[</w:t>
      </w:r>
      <w:r>
        <w:br/>
        <w:t>G_{\mathrm{rev}}^{K}</w:t>
      </w:r>
    </w:p>
    <w:p w:rsidR="000E42A8" w:rsidRDefault="000E42A8" w:rsidP="000E42A8">
      <w:pPr>
        <w:pStyle w:val="StandardWeb"/>
      </w:pPr>
      <w:r>
        <w:t>1</w:t>
      </w:r>
      <w:r>
        <w:br/>
        <w:t>\tag{3.8129}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G_{\mathrm{rev}}^{K}=1\qquad\text{(3.8129)}</w:t>
      </w:r>
    </w:p>
    <w:p w:rsidR="000E42A8" w:rsidRDefault="000E42A8" w:rsidP="000E42A8">
      <w:pPr>
        <w:pStyle w:val="StandardWeb"/>
      </w:pPr>
      <w:r>
        <w:t>nur dann, wenn mindestens gilt</w:t>
      </w:r>
    </w:p>
    <w:p w:rsidR="000E42A8" w:rsidRDefault="000E42A8" w:rsidP="000E42A8">
      <w:pPr>
        <w:pStyle w:val="StandardWeb"/>
      </w:pPr>
      <w:r>
        <w:t>[</w:t>
      </w:r>
      <w:r>
        <w:br/>
        <w:t>C_{\mathrm{rev}}=1</w:t>
      </w:r>
      <w:r>
        <w:br/>
        <w:t>\tag{3.8130}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C_{\mathrm{rev}}=1\qquad\text{(3.8130)}</w:t>
      </w:r>
    </w:p>
    <w:p w:rsidR="000E42A8" w:rsidRDefault="000E42A8" w:rsidP="000E42A8">
      <w:pPr>
        <w:pStyle w:val="StandardWeb"/>
      </w:pPr>
      <w:r>
        <w:t>und keine zwingende abhängige Aussage im Status (\mathbf W) verbleibt.</w:t>
      </w:r>
    </w:p>
    <w:p w:rsidR="000E42A8" w:rsidRDefault="00E50336" w:rsidP="000E42A8">
      <w:r>
        <w:pict>
          <v:rect id="_x0000_i1974" style="width:0;height:1.5pt" o:hralign="center" o:hrstd="t" o:hr="t" fillcolor="#a0a0a0" stroked="f"/>
        </w:pict>
      </w:r>
    </w:p>
    <w:p w:rsidR="000E42A8" w:rsidRDefault="000E42A8" w:rsidP="000E42A8">
      <w:pPr>
        <w:pStyle w:val="berschrift1"/>
      </w:pPr>
      <w:r>
        <w:t>3.3.42.234 Konsistenzprüfung als Qualitäts-Gate</w:t>
      </w:r>
    </w:p>
    <w:p w:rsidR="000E42A8" w:rsidRDefault="000E42A8" w:rsidP="000E42A8">
      <w:pPr>
        <w:pStyle w:val="StandardWeb"/>
      </w:pPr>
      <w:r>
        <w:t>Die Konsistenzprüfung kann damit allgemein als Qualitäts-Gate geschrieben werden:</w:t>
      </w:r>
    </w:p>
    <w:p w:rsidR="000E42A8" w:rsidRDefault="000E42A8" w:rsidP="000E42A8">
      <w:pPr>
        <w:pStyle w:val="StandardWeb"/>
      </w:pPr>
      <w:r>
        <w:t>[</w:t>
      </w:r>
      <w:r>
        <w:br/>
        <w:t>G_K</w:t>
      </w:r>
      <w:r>
        <w:br/>
        <w:t>:</w:t>
      </w:r>
      <w:r>
        <w:br/>
        <w:t>\mathcal B_F</w:t>
      </w:r>
      <w:r>
        <w:br/>
        <w:t>\rightarrow</w:t>
      </w:r>
      <w:r>
        <w:br/>
        <w:t>{</w:t>
      </w:r>
      <w:r>
        <w:br/>
        <w:t>\mathbf{pass},</w:t>
      </w:r>
      <w:r>
        <w:br/>
        <w:t>\mathbf{open},</w:t>
      </w:r>
      <w:r>
        <w:br/>
        <w:t>\mathbf{fail}</w:t>
      </w:r>
      <w:r>
        <w:br/>
        <w:t>}.</w:t>
      </w:r>
      <w:r>
        <w:br/>
        <w:t>\tag{3.8131}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G_K:\mathcal{B}_{F}\rightarrow\left\{\mathbf{pass},\mathbf{open},\mathbf{fail}\right\}\qquad\text{(3.8131)}</w:t>
      </w:r>
    </w:p>
    <w:p w:rsidR="000E42A8" w:rsidRDefault="000E42A8" w:rsidP="000E42A8">
      <w:pPr>
        <w:pStyle w:val="StandardWeb"/>
      </w:pPr>
      <w:r>
        <w:t>Dabei bedeutet</w:t>
      </w:r>
    </w:p>
    <w:p w:rsidR="000E42A8" w:rsidRDefault="000E42A8" w:rsidP="000E42A8">
      <w:pPr>
        <w:pStyle w:val="StandardWeb"/>
      </w:pPr>
      <w:r>
        <w:t>[</w:t>
      </w:r>
      <w:r>
        <w:br/>
        <w:t>G_K=\mathbf{pass}</w:t>
      </w:r>
      <w:r>
        <w:br/>
        <w:t>\tag{3.8132}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G_K=\mathbf{pass}\qquad\text{(3.8132)}</w:t>
      </w:r>
    </w:p>
    <w:p w:rsidR="000E42A8" w:rsidRDefault="000E42A8" w:rsidP="000E42A8">
      <w:pPr>
        <w:pStyle w:val="StandardWeb"/>
      </w:pPr>
      <w:r>
        <w:t>alle zwingenden Konsistenzprüfungen bestanden,</w:t>
      </w:r>
    </w:p>
    <w:p w:rsidR="000E42A8" w:rsidRDefault="000E42A8" w:rsidP="000E42A8">
      <w:pPr>
        <w:pStyle w:val="StandardWeb"/>
      </w:pPr>
      <w:r>
        <w:lastRenderedPageBreak/>
        <w:t>[</w:t>
      </w:r>
      <w:r>
        <w:br/>
        <w:t>G_K=\mathbf{open}</w:t>
      </w:r>
      <w:r>
        <w:br/>
        <w:t>\tag{3.8133}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G_K=\mathbf{open}\qquad\text{(3.8133)}</w:t>
      </w:r>
    </w:p>
    <w:p w:rsidR="000E42A8" w:rsidRDefault="000E42A8" w:rsidP="000E42A8">
      <w:pPr>
        <w:pStyle w:val="StandardWeb"/>
      </w:pPr>
      <w:r>
        <w:t>mindestens eine relevante Prüfung unentscheidbar oder noch nicht durchgeführt und</w:t>
      </w:r>
    </w:p>
    <w:p w:rsidR="000E42A8" w:rsidRDefault="000E42A8" w:rsidP="000E42A8">
      <w:pPr>
        <w:pStyle w:val="StandardWeb"/>
      </w:pPr>
      <w:r>
        <w:t>[</w:t>
      </w:r>
      <w:r>
        <w:br/>
        <w:t>G_K=\mathbf{fail}</w:t>
      </w:r>
      <w:r>
        <w:br/>
        <w:t>\tag{3.8134}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G_K=\mathbf{fail}\qquad\text{(3.8134)}</w:t>
      </w:r>
    </w:p>
    <w:p w:rsidR="000E42A8" w:rsidRDefault="000E42A8" w:rsidP="000E42A8">
      <w:pPr>
        <w:pStyle w:val="StandardWeb"/>
      </w:pPr>
      <w:r>
        <w:t>mindestens ein nichtkompensierbarer Widerspruch.</w:t>
      </w:r>
    </w:p>
    <w:p w:rsidR="000E42A8" w:rsidRDefault="00E50336" w:rsidP="000E42A8">
      <w:r>
        <w:pict>
          <v:rect id="_x0000_i1975" style="width:0;height:1.5pt" o:hralign="center" o:hrstd="t" o:hr="t" fillcolor="#a0a0a0" stroked="f"/>
        </w:pict>
      </w:r>
    </w:p>
    <w:p w:rsidR="000E42A8" w:rsidRDefault="000E42A8" w:rsidP="000E42A8">
      <w:pPr>
        <w:pStyle w:val="berschrift1"/>
      </w:pPr>
      <w:r>
        <w:t>3.3.42.235 Ein bestandener Konsistenz-Gate beweist keine Wahrheit</w:t>
      </w:r>
    </w:p>
    <w:p w:rsidR="000E42A8" w:rsidRDefault="000E42A8" w:rsidP="000E42A8">
      <w:pPr>
        <w:pStyle w:val="StandardWeb"/>
      </w:pPr>
      <w:r>
        <w:t>Es gilt ausdrücklich</w:t>
      </w:r>
    </w:p>
    <w:p w:rsidR="000E42A8" w:rsidRDefault="000E42A8" w:rsidP="000E42A8">
      <w:pPr>
        <w:pStyle w:val="StandardWeb"/>
      </w:pPr>
      <w:r>
        <w:t>[</w:t>
      </w:r>
      <w:r>
        <w:br/>
        <w:t>G_K=\mathbf{pass}</w:t>
      </w:r>
      <w:r>
        <w:br/>
        <w:t>\nRightarrow</w:t>
      </w:r>
      <w:r>
        <w:br/>
        <w:t>\text{Theorie wahr}.</w:t>
      </w:r>
      <w:r>
        <w:br/>
        <w:t>\tag{3.8135}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G_K=\mathbf{pass}\nRightarrow\text{Theorie wahr}\qquad\text{(3.8135)}</w:t>
      </w:r>
    </w:p>
    <w:p w:rsidR="000E42A8" w:rsidRDefault="000E42A8" w:rsidP="000E42A8">
      <w:pPr>
        <w:pStyle w:val="StandardWeb"/>
      </w:pPr>
      <w:r>
        <w:t>Der Gate-Status sagt ausschließlich aus, dass innerhalb der definierten Prüfarchitektur kein zwingender ungelöster Widerspruch festgestellt wurde.</w:t>
      </w:r>
    </w:p>
    <w:p w:rsidR="000E42A8" w:rsidRDefault="00E50336" w:rsidP="000E42A8">
      <w:r>
        <w:pict>
          <v:rect id="_x0000_i1976" style="width:0;height:1.5pt" o:hralign="center" o:hrstd="t" o:hr="t" fillcolor="#a0a0a0" stroked="f"/>
        </w:pict>
      </w:r>
    </w:p>
    <w:p w:rsidR="000E42A8" w:rsidRDefault="000E42A8" w:rsidP="000E42A8">
      <w:pPr>
        <w:pStyle w:val="berschrift1"/>
      </w:pPr>
      <w:r>
        <w:t>3.3.42.236 Konsistenz-Gate und Prüfvollständigkeit</w:t>
      </w:r>
    </w:p>
    <w:p w:rsidR="000E42A8" w:rsidRDefault="000E42A8" w:rsidP="000E42A8">
      <w:pPr>
        <w:pStyle w:val="StandardWeb"/>
      </w:pPr>
      <w:r>
        <w:t xml:space="preserve">Ein </w:t>
      </w:r>
      <w:r>
        <w:rPr>
          <w:rStyle w:val="HTMLCode"/>
        </w:rPr>
        <w:t>pass</w:t>
      </w:r>
      <w:r>
        <w:t>-Status setzt deshalb einen ausreichenden Deckungsgrad voraus.</w:t>
      </w:r>
    </w:p>
    <w:p w:rsidR="000E42A8" w:rsidRDefault="000E42A8" w:rsidP="000E42A8">
      <w:pPr>
        <w:pStyle w:val="StandardWeb"/>
      </w:pPr>
      <w:r>
        <w:t>Ich fordere</w:t>
      </w:r>
    </w:p>
    <w:p w:rsidR="000E42A8" w:rsidRDefault="000E42A8" w:rsidP="000E42A8">
      <w:pPr>
        <w:pStyle w:val="StandardWeb"/>
      </w:pPr>
      <w:r>
        <w:lastRenderedPageBreak/>
        <w:t>[</w:t>
      </w:r>
      <w:r>
        <w:br/>
        <w:t>C_K^{\mathrm{cov}}=1</w:t>
      </w:r>
      <w:r>
        <w:br/>
        <w:t>\tag{3.8136}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C_K^{\mathrm{cov}}=1\qquad\text{(3.8136)}</w:t>
      </w:r>
    </w:p>
    <w:p w:rsidR="000E42A8" w:rsidRDefault="000E42A8" w:rsidP="000E42A8">
      <w:pPr>
        <w:pStyle w:val="StandardWeb"/>
      </w:pPr>
      <w:r>
        <w:t>für sämtliche zwingenden Prüfrelationen.</w:t>
      </w:r>
    </w:p>
    <w:p w:rsidR="000E42A8" w:rsidRDefault="000E42A8" w:rsidP="000E42A8">
      <w:pPr>
        <w:pStyle w:val="StandardWeb"/>
      </w:pPr>
      <w:r>
        <w:t>Ist</w:t>
      </w:r>
    </w:p>
    <w:p w:rsidR="000E42A8" w:rsidRDefault="000E42A8" w:rsidP="000E42A8">
      <w:pPr>
        <w:pStyle w:val="StandardWeb"/>
      </w:pPr>
      <w:r>
        <w:t>[</w:t>
      </w:r>
      <w:r>
        <w:br/>
        <w:t>C_K^{\mathrm{cov}}&lt;1,</w:t>
      </w:r>
      <w:r>
        <w:br/>
        <w:t>\tag{3.8137}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C_K^{\mathrm{cov}}&lt;1\qquad\text{(3.8137)}</w:t>
      </w:r>
    </w:p>
    <w:p w:rsidR="000E42A8" w:rsidRDefault="000E42A8" w:rsidP="000E42A8">
      <w:pPr>
        <w:pStyle w:val="StandardWeb"/>
      </w:pPr>
      <w:r>
        <w:t>darf der Gate-Status höchstens</w:t>
      </w:r>
    </w:p>
    <w:p w:rsidR="000E42A8" w:rsidRDefault="000E42A8" w:rsidP="000E42A8">
      <w:pPr>
        <w:pStyle w:val="StandardWeb"/>
      </w:pPr>
      <w:r>
        <w:t>[</w:t>
      </w:r>
      <w:r>
        <w:br/>
        <w:t>G_K=\mathbf{open}</w:t>
      </w:r>
      <w:r>
        <w:br/>
        <w:t>\tag{3.8138}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G_K=\mathbf{open}\qquad\text{(3.8138)}</w:t>
      </w:r>
    </w:p>
    <w:p w:rsidR="000E42A8" w:rsidRDefault="000E42A8" w:rsidP="000E42A8">
      <w:pPr>
        <w:pStyle w:val="StandardWeb"/>
      </w:pPr>
      <w:r>
        <w:t>sein.</w:t>
      </w:r>
    </w:p>
    <w:p w:rsidR="000E42A8" w:rsidRDefault="00E50336" w:rsidP="000E42A8">
      <w:r>
        <w:pict>
          <v:rect id="_x0000_i1977" style="width:0;height:1.5pt" o:hralign="center" o:hrstd="t" o:hr="t" fillcolor="#a0a0a0" stroked="f"/>
        </w:pict>
      </w:r>
    </w:p>
    <w:p w:rsidR="000E42A8" w:rsidRDefault="000E42A8" w:rsidP="000E42A8">
      <w:pPr>
        <w:pStyle w:val="berschrift1"/>
      </w:pPr>
      <w:r>
        <w:t>3.3.42.237 Starker Konsistenz-Gate</w:t>
      </w:r>
    </w:p>
    <w:p w:rsidR="000E42A8" w:rsidRDefault="000E42A8" w:rsidP="000E42A8">
      <w:pPr>
        <w:pStyle w:val="StandardWeb"/>
      </w:pPr>
      <w:r>
        <w:t>Ein stärkeres Gate kann zusätzlich Stabilität verlangen:</w:t>
      </w:r>
    </w:p>
    <w:p w:rsidR="000E42A8" w:rsidRDefault="000E42A8" w:rsidP="000E42A8">
      <w:pPr>
        <w:pStyle w:val="berschrift1"/>
      </w:pPr>
      <w:r>
        <w:t>[</w:t>
      </w:r>
      <w:r>
        <w:br/>
        <w:t>G_{KS}</w:t>
      </w:r>
    </w:p>
    <w:p w:rsidR="000E42A8" w:rsidRDefault="000E42A8" w:rsidP="000E42A8">
      <w:pPr>
        <w:pStyle w:val="StandardWeb"/>
      </w:pPr>
      <w:r>
        <w:t>G_K</w:t>
      </w:r>
      <w:r>
        <w:br/>
        <w:t>\land</w:t>
      </w:r>
      <w:r>
        <w:br/>
        <w:t>G_S.</w:t>
      </w:r>
      <w:r>
        <w:br/>
        <w:t>\tag{3.8139}</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G_{KS}=G_K\land G_S\qquad\text{(3.8139)}</w:t>
      </w:r>
    </w:p>
    <w:p w:rsidR="000E42A8" w:rsidRDefault="000E42A8" w:rsidP="000E42A8">
      <w:pPr>
        <w:pStyle w:val="StandardWeb"/>
      </w:pPr>
      <w:r>
        <w:t>Damit werden Konsistenz aus 3.3.42 und Stabilität aus 3.3.41 gemeinsam bewertet.</w:t>
      </w:r>
    </w:p>
    <w:p w:rsidR="000E42A8" w:rsidRDefault="00E50336" w:rsidP="000E42A8">
      <w:r>
        <w:pict>
          <v:rect id="_x0000_i1978" style="width:0;height:1.5pt" o:hralign="center" o:hrstd="t" o:hr="t" fillcolor="#a0a0a0" stroked="f"/>
        </w:pict>
      </w:r>
    </w:p>
    <w:p w:rsidR="000E42A8" w:rsidRDefault="000E42A8" w:rsidP="000E42A8">
      <w:pPr>
        <w:pStyle w:val="berschrift1"/>
      </w:pPr>
      <w:r>
        <w:t>3.3.42.238 Konsistente und stabile Theorie</w:t>
      </w:r>
    </w:p>
    <w:p w:rsidR="000E42A8" w:rsidRDefault="000E42A8" w:rsidP="000E42A8">
      <w:pPr>
        <w:pStyle w:val="StandardWeb"/>
      </w:pPr>
      <w:r>
        <w:t>Eine starke Mindestbedingung lautet</w:t>
      </w:r>
    </w:p>
    <w:p w:rsidR="000E42A8" w:rsidRDefault="000E42A8" w:rsidP="000E42A8">
      <w:pPr>
        <w:pStyle w:val="StandardWeb"/>
      </w:pPr>
      <w:r>
        <w:t>[</w:t>
      </w:r>
      <w:r>
        <w:br/>
        <w:t>G_{KS}=\mathbf{pass}</w:t>
      </w:r>
      <w:r>
        <w:br/>
        <w:t>\Longleftrightarrow</w:t>
      </w:r>
      <w:r>
        <w:br/>
        <w:t>G_K=\mathbf{pass}</w:t>
      </w:r>
      <w:r>
        <w:br/>
        <w:t>\land</w:t>
      </w:r>
      <w:r>
        <w:br/>
        <w:t>G_S=\mathbf{pass}.</w:t>
      </w:r>
      <w:r>
        <w:br/>
        <w:t>\tag{3.8140}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G_{KS}=\mathbf{pass}\Longleftrightarrow G_K=\mathbf{pass}\land G_S=\mathbf{pass}\qquad\text{(3.8140)}</w:t>
      </w:r>
    </w:p>
    <w:p w:rsidR="000E42A8" w:rsidRDefault="000E42A8" w:rsidP="000E42A8">
      <w:pPr>
        <w:pStyle w:val="StandardWeb"/>
      </w:pPr>
      <w:r>
        <w:t>Auch diese Bedingung ist keine Wahrheitsgarantie.</w:t>
      </w:r>
    </w:p>
    <w:p w:rsidR="000E42A8" w:rsidRDefault="00E50336" w:rsidP="000E42A8">
      <w:r>
        <w:pict>
          <v:rect id="_x0000_i1979" style="width:0;height:1.5pt" o:hralign="center" o:hrstd="t" o:hr="t" fillcolor="#a0a0a0" stroked="f"/>
        </w:pict>
      </w:r>
    </w:p>
    <w:p w:rsidR="000E42A8" w:rsidRDefault="000E42A8" w:rsidP="000E42A8">
      <w:pPr>
        <w:pStyle w:val="berschrift1"/>
      </w:pPr>
      <w:r>
        <w:t>3.3.42.239 Erweiterter wissenschaftlicher Qualitätsvektor</w:t>
      </w:r>
    </w:p>
    <w:p w:rsidR="000E42A8" w:rsidRDefault="000E42A8" w:rsidP="000E42A8">
      <w:pPr>
        <w:pStyle w:val="StandardWeb"/>
      </w:pPr>
      <w:r>
        <w:t>Die bisher entwickelte Methodik erlaubt nun einen gemeinsamen Qualitätsvektor:</w:t>
      </w:r>
    </w:p>
    <w:p w:rsidR="000E42A8" w:rsidRDefault="000E42A8" w:rsidP="000E42A8">
      <w:pPr>
        <w:pStyle w:val="berschrift1"/>
      </w:pPr>
      <w:r>
        <w:t>[</w:t>
      </w:r>
      <w:r>
        <w:br/>
        <w:t>\mathbf Q_F</w:t>
      </w:r>
    </w:p>
    <w:p w:rsidR="000E42A8" w:rsidRDefault="000E42A8" w:rsidP="000E42A8">
      <w:pPr>
        <w:pStyle w:val="StandardWeb"/>
      </w:pPr>
      <w:r>
        <w:t>\left(</w:t>
      </w:r>
      <w:r>
        <w:br/>
        <w:t>\Sigma_S,</w:t>
      </w:r>
      <w:r>
        <w:br/>
        <w:t>\Sigma_K,</w:t>
      </w:r>
      <w:r>
        <w:br/>
        <w:t>V,</w:t>
      </w:r>
      <w:r>
        <w:br/>
        <w:t>U,</w:t>
      </w:r>
      <w:r>
        <w:br/>
        <w:t>E</w:t>
      </w:r>
      <w:r>
        <w:br/>
        <w:t>\right),</w:t>
      </w:r>
      <w:r>
        <w:br/>
        <w:t>\tag{3.8141}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\mathbf{Q}_{F}=\left(\Sigma_S,\Sigma_K,V,U,E\right)\qquad\text{(3.8141)}</w:t>
      </w:r>
    </w:p>
    <w:p w:rsidR="000E42A8" w:rsidRDefault="000E42A8" w:rsidP="000E42A8">
      <w:pPr>
        <w:pStyle w:val="StandardWeb"/>
      </w:pPr>
      <w:r>
        <w:t>wobei</w:t>
      </w:r>
    </w:p>
    <w:p w:rsidR="000E42A8" w:rsidRDefault="000E42A8" w:rsidP="008C5E65">
      <w:pPr>
        <w:pStyle w:val="StandardWeb"/>
        <w:numPr>
          <w:ilvl w:val="0"/>
          <w:numId w:val="406"/>
        </w:numPr>
      </w:pPr>
      <w:r>
        <w:t>(\Sigma_S) die Stabilitätssignatur,</w:t>
      </w:r>
    </w:p>
    <w:p w:rsidR="000E42A8" w:rsidRDefault="000E42A8" w:rsidP="008C5E65">
      <w:pPr>
        <w:pStyle w:val="StandardWeb"/>
        <w:numPr>
          <w:ilvl w:val="0"/>
          <w:numId w:val="406"/>
        </w:numPr>
      </w:pPr>
      <w:r>
        <w:t>(\Sigma_K) die Konsistenzsignatur,</w:t>
      </w:r>
    </w:p>
    <w:p w:rsidR="000E42A8" w:rsidRDefault="000E42A8" w:rsidP="008C5E65">
      <w:pPr>
        <w:pStyle w:val="StandardWeb"/>
        <w:numPr>
          <w:ilvl w:val="0"/>
          <w:numId w:val="406"/>
        </w:numPr>
      </w:pPr>
      <w:r>
        <w:t>(V) die Validitätsinformation,</w:t>
      </w:r>
    </w:p>
    <w:p w:rsidR="000E42A8" w:rsidRDefault="000E42A8" w:rsidP="008C5E65">
      <w:pPr>
        <w:pStyle w:val="StandardWeb"/>
        <w:numPr>
          <w:ilvl w:val="0"/>
          <w:numId w:val="406"/>
        </w:numPr>
      </w:pPr>
      <w:r>
        <w:t>(U) die Unsicherheitsinformation,</w:t>
      </w:r>
    </w:p>
    <w:p w:rsidR="000E42A8" w:rsidRDefault="000E42A8" w:rsidP="008C5E65">
      <w:pPr>
        <w:pStyle w:val="StandardWeb"/>
        <w:numPr>
          <w:ilvl w:val="0"/>
          <w:numId w:val="406"/>
        </w:numPr>
      </w:pPr>
      <w:r>
        <w:t>(E) die Evidenzstruktur</w:t>
      </w:r>
    </w:p>
    <w:p w:rsidR="000E42A8" w:rsidRDefault="000E42A8" w:rsidP="000E42A8">
      <w:pPr>
        <w:pStyle w:val="StandardWeb"/>
      </w:pPr>
      <w:r>
        <w:t>repräsentieren.</w:t>
      </w:r>
    </w:p>
    <w:p w:rsidR="000E42A8" w:rsidRDefault="00E50336" w:rsidP="000E42A8">
      <w:r>
        <w:pict>
          <v:rect id="_x0000_i1980" style="width:0;height:1.5pt" o:hralign="center" o:hrstd="t" o:hr="t" fillcolor="#a0a0a0" stroked="f"/>
        </w:pict>
      </w:r>
    </w:p>
    <w:p w:rsidR="000E42A8" w:rsidRDefault="000E42A8" w:rsidP="000E42A8">
      <w:pPr>
        <w:pStyle w:val="berschrift1"/>
      </w:pPr>
      <w:r>
        <w:t>3.3.42.240 Kein skalarer Qualitätszwang</w:t>
      </w:r>
    </w:p>
    <w:p w:rsidR="000E42A8" w:rsidRDefault="000E42A8" w:rsidP="000E42A8">
      <w:pPr>
        <w:pStyle w:val="StandardWeb"/>
      </w:pPr>
      <w:r>
        <w:t>Ich lege ausdrücklich nicht fest, dass dieser Vektor zwingend auf eine einzelne Zahl reduziert werden muss.</w:t>
      </w:r>
    </w:p>
    <w:p w:rsidR="000E42A8" w:rsidRDefault="000E42A8" w:rsidP="000E42A8">
      <w:pPr>
        <w:pStyle w:val="StandardWeb"/>
      </w:pPr>
      <w:r>
        <w:t>[</w:t>
      </w:r>
      <w:r>
        <w:br/>
        <w:t>\mathbf Q_F</w:t>
      </w:r>
      <w:r>
        <w:br/>
        <w:t>\nrightarrow</w:t>
      </w:r>
      <w:r>
        <w:br/>
        <w:t>q\in\mathbb R</w:t>
      </w:r>
      <w:r>
        <w:br/>
        <w:t>\quad</w:t>
      </w:r>
      <w:r>
        <w:br/>
        <w:t>\text{notwendig}.</w:t>
      </w:r>
      <w:r>
        <w:br/>
        <w:t>\tag{3.8142}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\mathbf{Q}_{F}\nrightarrow q\in\mathbb{R}\quad\text{notwendig}\qquad\text{(3.8142)}</w:t>
      </w:r>
    </w:p>
    <w:p w:rsidR="000E42A8" w:rsidRDefault="000E42A8" w:rsidP="000E42A8">
      <w:pPr>
        <w:pStyle w:val="StandardWeb"/>
      </w:pPr>
      <w:r>
        <w:t>Eine skalare Aggregation kann wissenschaftlich relevante Unterschiede zwischen Qualitätsdimensionen verdecken.</w:t>
      </w:r>
    </w:p>
    <w:p w:rsidR="000E42A8" w:rsidRDefault="00E50336" w:rsidP="000E42A8">
      <w:r>
        <w:pict>
          <v:rect id="_x0000_i1981" style="width:0;height:1.5pt" o:hralign="center" o:hrstd="t" o:hr="t" fillcolor="#a0a0a0" stroked="f"/>
        </w:pict>
      </w:r>
    </w:p>
    <w:p w:rsidR="000E42A8" w:rsidRDefault="000E42A8" w:rsidP="000E42A8">
      <w:pPr>
        <w:pStyle w:val="berschrift1"/>
      </w:pPr>
      <w:r>
        <w:t>3.3.42.241 Qualitätsprofil statt Qualitätszahl</w:t>
      </w:r>
    </w:p>
    <w:p w:rsidR="000E42A8" w:rsidRDefault="000E42A8" w:rsidP="000E42A8">
      <w:pPr>
        <w:pStyle w:val="StandardWeb"/>
      </w:pPr>
      <w:r>
        <w:t>Ich bevorzuge deshalb ein Profil</w:t>
      </w:r>
    </w:p>
    <w:p w:rsidR="000E42A8" w:rsidRDefault="000E42A8" w:rsidP="000E42A8">
      <w:pPr>
        <w:pStyle w:val="berschrift1"/>
      </w:pPr>
      <w:r>
        <w:t>[</w:t>
      </w:r>
      <w:r>
        <w:br/>
        <w:t>\mathcal P_Q</w:t>
      </w:r>
    </w:p>
    <w:p w:rsidR="000E42A8" w:rsidRDefault="000E42A8" w:rsidP="000E42A8">
      <w:pPr>
        <w:pStyle w:val="StandardWeb"/>
      </w:pPr>
      <w:r>
        <w:t>\left[</w:t>
      </w:r>
      <w:r>
        <w:br/>
        <w:t>\Sigma_S,</w:t>
      </w:r>
      <w:r>
        <w:br/>
        <w:t>\Sigma_K,</w:t>
      </w:r>
      <w:r>
        <w:br/>
        <w:t>V,</w:t>
      </w:r>
      <w:r>
        <w:br/>
        <w:t>U,</w:t>
      </w:r>
      <w:r>
        <w:br/>
      </w:r>
      <w:r>
        <w:lastRenderedPageBreak/>
        <w:t>E</w:t>
      </w:r>
      <w:r>
        <w:br/>
        <w:t>\right].</w:t>
      </w:r>
      <w:r>
        <w:br/>
        <w:t>\tag{3.8143}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\mathcal{P}_{Q}=\left[\Sigma_S,\Sigma_K,V,U,E\right]\qquad\text{(3.8143)}</w:t>
      </w:r>
    </w:p>
    <w:p w:rsidR="000E42A8" w:rsidRDefault="000E42A8" w:rsidP="000E42A8">
      <w:pPr>
        <w:pStyle w:val="StandardWeb"/>
      </w:pPr>
      <w:r>
        <w:t xml:space="preserve">Damit bleibt sichtbar, </w:t>
      </w:r>
      <w:r>
        <w:rPr>
          <w:rStyle w:val="Fett"/>
        </w:rPr>
        <w:t>warum</w:t>
      </w:r>
      <w:r>
        <w:t xml:space="preserve"> eine wissenschaftliche Aussage stark oder schwach bewertet wird.</w:t>
      </w:r>
    </w:p>
    <w:p w:rsidR="000E42A8" w:rsidRDefault="00E50336" w:rsidP="000E42A8">
      <w:r>
        <w:pict>
          <v:rect id="_x0000_i1982" style="width:0;height:1.5pt" o:hralign="center" o:hrstd="t" o:hr="t" fillcolor="#a0a0a0" stroked="f"/>
        </w:pict>
      </w:r>
    </w:p>
    <w:p w:rsidR="000E42A8" w:rsidRDefault="000E42A8" w:rsidP="000E42A8">
      <w:pPr>
        <w:pStyle w:val="berschrift1"/>
      </w:pPr>
      <w:r>
        <w:t>3.3.42.242 Konsistenz ist revisionsoffen</w:t>
      </w:r>
    </w:p>
    <w:p w:rsidR="000E42A8" w:rsidRDefault="000E42A8" w:rsidP="000E42A8">
      <w:pPr>
        <w:pStyle w:val="StandardWeb"/>
      </w:pPr>
      <w:r>
        <w:t>Ein Konsistenzstatus muss revidierbar bleiben:</w:t>
      </w:r>
    </w:p>
    <w:p w:rsidR="000E42A8" w:rsidRDefault="000E42A8" w:rsidP="000E42A8">
      <w:pPr>
        <w:pStyle w:val="StandardWeb"/>
      </w:pPr>
      <w:r>
        <w:t>[</w:t>
      </w:r>
      <w:r>
        <w:br/>
        <w:t>\Sigma_K^{(v)}</w:t>
      </w:r>
      <w:r>
        <w:br/>
        <w:t>\neq</w:t>
      </w:r>
      <w:r>
        <w:br/>
        <w:t>\Sigma_K^{(v+1)}</w:t>
      </w:r>
      <w:r>
        <w:br/>
        <w:t>\tag{3.8144}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\Sigma_K^{(v)}\neq\Sigma_K^{(v+1)}\qquad\text{(3.8144)}</w:t>
      </w:r>
    </w:p>
    <w:p w:rsidR="000E42A8" w:rsidRDefault="000E42A8" w:rsidP="000E42A8">
      <w:pPr>
        <w:pStyle w:val="StandardWeb"/>
      </w:pPr>
      <w:r>
        <w:t>ist wissenschaftlich zulässig, wenn neue Daten, Definitionen, Modelle oder Abhängigkeiten hinzukommen.</w:t>
      </w:r>
    </w:p>
    <w:p w:rsidR="000E42A8" w:rsidRDefault="000E42A8" w:rsidP="000E42A8">
      <w:pPr>
        <w:pStyle w:val="StandardWeb"/>
      </w:pPr>
      <w:r>
        <w:t>Damit wird Konsistenz nicht als endgültige Eigenschaft einer Theorie verstanden, sondern als Eigenschaft des jeweils dokumentierten Theorie- und Prüfstandes.</w:t>
      </w:r>
    </w:p>
    <w:p w:rsidR="000E42A8" w:rsidRDefault="00E50336" w:rsidP="000E42A8">
      <w:r>
        <w:pict>
          <v:rect id="_x0000_i1983" style="width:0;height:1.5pt" o:hralign="center" o:hrstd="t" o:hr="t" fillcolor="#a0a0a0" stroked="f"/>
        </w:pict>
      </w:r>
    </w:p>
    <w:p w:rsidR="000E42A8" w:rsidRDefault="000E42A8" w:rsidP="000E42A8">
      <w:pPr>
        <w:pStyle w:val="berschrift1"/>
      </w:pPr>
      <w:r>
        <w:t>3.3.42.243 Historischer Konsistenzstatus</w:t>
      </w:r>
    </w:p>
    <w:p w:rsidR="000E42A8" w:rsidRDefault="000E42A8" w:rsidP="000E42A8">
      <w:pPr>
        <w:pStyle w:val="StandardWeb"/>
      </w:pPr>
      <w:r>
        <w:t>Ich definiere</w:t>
      </w:r>
    </w:p>
    <w:p w:rsidR="000E42A8" w:rsidRDefault="000E42A8" w:rsidP="000E42A8">
      <w:pPr>
        <w:pStyle w:val="StandardWeb"/>
      </w:pPr>
      <w:r>
        <w:t>[</w:t>
      </w:r>
      <w:r>
        <w:br/>
        <w:t>\Sigma_K^{[v]}</w:t>
      </w:r>
      <w:r>
        <w:br/>
        <w:t>\tag{3.8145}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\Sigma_K^{[v]}\qquad\text{(3.8145)}</w:t>
      </w:r>
    </w:p>
    <w:p w:rsidR="000E42A8" w:rsidRDefault="000E42A8" w:rsidP="000E42A8">
      <w:pPr>
        <w:pStyle w:val="StandardWeb"/>
      </w:pPr>
      <w:r>
        <w:t>als Konsistenzsignatur des Repository-Stands (v).</w:t>
      </w:r>
    </w:p>
    <w:p w:rsidR="000E42A8" w:rsidRDefault="000E42A8" w:rsidP="000E42A8">
      <w:pPr>
        <w:pStyle w:val="StandardWeb"/>
      </w:pPr>
      <w:r>
        <w:lastRenderedPageBreak/>
        <w:t>Damit dürfen historische Stände ihren damaligen Status behalten, auch wenn spätere Revisionen neue Konflikte oder neue Prüfklassen identifizieren.</w:t>
      </w:r>
    </w:p>
    <w:p w:rsidR="000E42A8" w:rsidRDefault="00E50336" w:rsidP="000E42A8">
      <w:r>
        <w:pict>
          <v:rect id="_x0000_i1984" style="width:0;height:1.5pt" o:hralign="center" o:hrstd="t" o:hr="t" fillcolor="#a0a0a0" stroked="f"/>
        </w:pict>
      </w:r>
    </w:p>
    <w:p w:rsidR="000E42A8" w:rsidRDefault="000E42A8" w:rsidP="000E42A8">
      <w:pPr>
        <w:pStyle w:val="berschrift1"/>
      </w:pPr>
      <w:r>
        <w:t>3.3.42.244 Kein rückwirkender Prüfstatus</w:t>
      </w:r>
    </w:p>
    <w:p w:rsidR="000E42A8" w:rsidRDefault="000E42A8" w:rsidP="000E42A8">
      <w:pPr>
        <w:pStyle w:val="StandardWeb"/>
      </w:pPr>
      <w:r>
        <w:t>Analog zu Abschnitt 3.3.41 gilt</w:t>
      </w:r>
    </w:p>
    <w:p w:rsidR="000E42A8" w:rsidRDefault="000E42A8" w:rsidP="000E42A8">
      <w:pPr>
        <w:pStyle w:val="StandardWeb"/>
      </w:pPr>
      <w:r>
        <w:t>[</w:t>
      </w:r>
      <w:r>
        <w:br/>
        <w:t>C_{\mathrm{neu}}</w:t>
      </w:r>
      <w:r>
        <w:br/>
        <w:t>\text{ später eingeführt}</w:t>
      </w:r>
      <w:r>
        <w:br/>
        <w:t>\nRightarrow</w:t>
      </w:r>
      <w:r>
        <w:br/>
        <w:t>C_{\mathrm{neu}}^{[v]}=1.</w:t>
      </w:r>
      <w:r>
        <w:br/>
        <w:t>\tag{3.8146}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C_{\mathrm{neu}}\text{ später eingeführt}\nRightarrow C_{\mathrm{neu}}^{[v]}=1\qquad\text{(3.8146)}</w:t>
      </w:r>
    </w:p>
    <w:p w:rsidR="000E42A8" w:rsidRDefault="000E42A8" w:rsidP="000E42A8">
      <w:pPr>
        <w:pStyle w:val="StandardWeb"/>
      </w:pPr>
      <w:r>
        <w:t xml:space="preserve">Ein historischer Theorieblock gilt bezüglich einer später eingeführten Konsistenzprüfung zunächst als </w:t>
      </w:r>
      <w:r>
        <w:rPr>
          <w:rStyle w:val="Fett"/>
        </w:rPr>
        <w:t>nicht geprüft</w:t>
      </w:r>
      <w:r>
        <w:t>, nicht als bestanden.</w:t>
      </w:r>
    </w:p>
    <w:p w:rsidR="000E42A8" w:rsidRDefault="00E50336" w:rsidP="000E42A8">
      <w:r>
        <w:pict>
          <v:rect id="_x0000_i1985" style="width:0;height:1.5pt" o:hralign="center" o:hrstd="t" o:hr="t" fillcolor="#a0a0a0" stroked="f"/>
        </w:pict>
      </w:r>
    </w:p>
    <w:p w:rsidR="000E42A8" w:rsidRDefault="000E42A8" w:rsidP="000E42A8">
      <w:pPr>
        <w:pStyle w:val="berschrift1"/>
      </w:pPr>
      <w:r>
        <w:t>3.3.42.245 Konsistenzreife</w:t>
      </w:r>
    </w:p>
    <w:p w:rsidR="000E42A8" w:rsidRDefault="000E42A8" w:rsidP="000E42A8">
      <w:pPr>
        <w:pStyle w:val="StandardWeb"/>
      </w:pPr>
      <w:r>
        <w:t>Ich definiere einen Konsistenzreifegrad</w:t>
      </w:r>
    </w:p>
    <w:p w:rsidR="000E42A8" w:rsidRDefault="000E42A8" w:rsidP="000E42A8">
      <w:pPr>
        <w:pStyle w:val="berschrift1"/>
      </w:pPr>
      <w:r>
        <w:t>[</w:t>
      </w:r>
      <w:r>
        <w:br/>
        <w:t>M_K^{\mathrm{maturity}}</w:t>
      </w:r>
    </w:p>
    <w:p w:rsidR="000E42A8" w:rsidRDefault="000E42A8" w:rsidP="000E42A8">
      <w:pPr>
        <w:pStyle w:val="StandardWeb"/>
      </w:pPr>
      <w:r>
        <w:t>\mathcal M</w:t>
      </w:r>
      <w:r>
        <w:br/>
        <w:t>\left(</w:t>
      </w:r>
      <w:r>
        <w:br/>
        <w:t>R_K,</w:t>
      </w:r>
      <w:r>
        <w:br/>
        <w:t>R_U,</w:t>
      </w:r>
      <w:r>
        <w:br/>
        <w:t>C_K^{\mathrm{cov}},</w:t>
      </w:r>
      <w:r>
        <w:br/>
        <w:t>N_K^{\mathrm{open}},</w:t>
      </w:r>
      <w:r>
        <w:br/>
        <w:t>N_{\mathrm{rev}}</w:t>
      </w:r>
      <w:r>
        <w:br/>
        <w:t>\right).</w:t>
      </w:r>
      <w:r>
        <w:br/>
        <w:t>\tag{3.8147}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M_K^{\mathrm{maturity}}=\mathcal{M}\left(R_K,R_U,C_K^{\mathrm{cov}},N_K^{\mathrm{open}},N_{\mathrm{rev}}\right)\qquad\text{(3.8147)}</w:t>
      </w:r>
    </w:p>
    <w:p w:rsidR="000E42A8" w:rsidRDefault="000E42A8" w:rsidP="000E42A8">
      <w:pPr>
        <w:pStyle w:val="StandardWeb"/>
      </w:pPr>
      <w:r>
        <w:lastRenderedPageBreak/>
        <w:t>Diese Größe beschreibt nicht die Wahrheit einer Theorie, sondern den Entwicklungsstand ihrer dokumentierten Konsistenzprüfung.</w:t>
      </w:r>
    </w:p>
    <w:p w:rsidR="000E42A8" w:rsidRDefault="00E50336" w:rsidP="000E42A8">
      <w:r>
        <w:pict>
          <v:rect id="_x0000_i1986" style="width:0;height:1.5pt" o:hralign="center" o:hrstd="t" o:hr="t" fillcolor="#a0a0a0" stroked="f"/>
        </w:pict>
      </w:r>
    </w:p>
    <w:p w:rsidR="000E42A8" w:rsidRDefault="000E42A8" w:rsidP="000E42A8">
      <w:pPr>
        <w:pStyle w:val="berschrift1"/>
      </w:pPr>
      <w:r>
        <w:t>3.3.42.246 Hohe Konsistenzreife</w:t>
      </w:r>
    </w:p>
    <w:p w:rsidR="000E42A8" w:rsidRDefault="000E42A8" w:rsidP="000E42A8">
      <w:pPr>
        <w:pStyle w:val="StandardWeb"/>
      </w:pPr>
      <w:r>
        <w:t>Eine hohe Konsistenzreife verlangt mindestens</w:t>
      </w:r>
    </w:p>
    <w:p w:rsidR="000E42A8" w:rsidRDefault="000E42A8" w:rsidP="000E42A8">
      <w:pPr>
        <w:pStyle w:val="StandardWeb"/>
      </w:pPr>
      <w:r>
        <w:t>[</w:t>
      </w:r>
      <w:r>
        <w:br/>
        <w:t>R_K\rightarrow1,</w:t>
      </w:r>
      <w:r>
        <w:br/>
        <w:t>\tag{3.8148}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R_K\rightarrow1\qquad\text{(3.8148)}</w:t>
      </w:r>
    </w:p>
    <w:p w:rsidR="000E42A8" w:rsidRDefault="000E42A8" w:rsidP="000E42A8">
      <w:pPr>
        <w:pStyle w:val="StandardWeb"/>
      </w:pPr>
      <w:r>
        <w:t>[</w:t>
      </w:r>
      <w:r>
        <w:br/>
        <w:t>R_U\rightarrow0,</w:t>
      </w:r>
      <w:r>
        <w:br/>
        <w:t>\tag{3.8149}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R_U\rightarrow0\qquad\text{(3.8149)}</w:t>
      </w:r>
    </w:p>
    <w:p w:rsidR="000E42A8" w:rsidRDefault="000E42A8" w:rsidP="000E42A8">
      <w:pPr>
        <w:pStyle w:val="StandardWeb"/>
      </w:pPr>
      <w:r>
        <w:t>[</w:t>
      </w:r>
      <w:r>
        <w:br/>
        <w:t>C_K^{\mathrm{cov}}\rightarrow1</w:t>
      </w:r>
      <w:r>
        <w:br/>
        <w:t>\tag{3.8150}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C_K^{\mathrm{cov}}\rightarrow1\qquad\text{(3.8150)}</w:t>
      </w:r>
    </w:p>
    <w:p w:rsidR="000E42A8" w:rsidRDefault="000E42A8" w:rsidP="000E42A8">
      <w:pPr>
        <w:pStyle w:val="StandardWeb"/>
      </w:pPr>
      <w:r>
        <w:t>und</w:t>
      </w:r>
    </w:p>
    <w:p w:rsidR="000E42A8" w:rsidRDefault="000E42A8" w:rsidP="000E42A8">
      <w:pPr>
        <w:pStyle w:val="StandardWeb"/>
      </w:pPr>
      <w:r>
        <w:t>[</w:t>
      </w:r>
      <w:r>
        <w:br/>
        <w:t>N_K^{\mathrm{open}}\rightarrow0.</w:t>
      </w:r>
      <w:r>
        <w:br/>
        <w:t>\tag{3.8151}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N_K^{\mathrm{open}}\rightarrow0\qquad\text{(3.8151)}</w:t>
      </w:r>
    </w:p>
    <w:p w:rsidR="000E42A8" w:rsidRDefault="00E50336" w:rsidP="000E42A8">
      <w:r>
        <w:pict>
          <v:rect id="_x0000_i1987" style="width:0;height:1.5pt" o:hralign="center" o:hrstd="t" o:hr="t" fillcolor="#a0a0a0" stroked="f"/>
        </w:pict>
      </w:r>
    </w:p>
    <w:p w:rsidR="000E42A8" w:rsidRDefault="000E42A8" w:rsidP="000E42A8">
      <w:pPr>
        <w:pStyle w:val="berschrift1"/>
      </w:pPr>
      <w:r>
        <w:t>3.3.42.247 Reife ist keine endgültige Gültigkeit</w:t>
      </w:r>
    </w:p>
    <w:p w:rsidR="000E42A8" w:rsidRDefault="000E42A8" w:rsidP="000E42A8">
      <w:pPr>
        <w:pStyle w:val="StandardWeb"/>
      </w:pPr>
      <w:r>
        <w:t>Auch hier gilt</w:t>
      </w:r>
    </w:p>
    <w:p w:rsidR="000E42A8" w:rsidRDefault="000E42A8" w:rsidP="000E42A8">
      <w:pPr>
        <w:pStyle w:val="StandardWeb"/>
      </w:pPr>
      <w:r>
        <w:lastRenderedPageBreak/>
        <w:t>[</w:t>
      </w:r>
      <w:r>
        <w:br/>
        <w:t>M_K^{\mathrm{maturity}}</w:t>
      </w:r>
      <w:r>
        <w:br/>
        <w:t>\text{ hoch}</w:t>
      </w:r>
      <w:r>
        <w:br/>
        <w:t>\nRightarrow</w:t>
      </w:r>
      <w:r>
        <w:br/>
        <w:t>\text{endgültige Theorie}.</w:t>
      </w:r>
      <w:r>
        <w:br/>
        <w:t>\tag{3.8152}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M_K^{\mathrm{maturity}}\text{ hoch}\nRightarrow\text{endgültige Theorie}\qquad\text{(3.8152)}</w:t>
      </w:r>
    </w:p>
    <w:p w:rsidR="000E42A8" w:rsidRDefault="000E42A8" w:rsidP="000E42A8">
      <w:pPr>
        <w:pStyle w:val="StandardWeb"/>
      </w:pPr>
      <w:r>
        <w:t>Eine hoch entwickelte Konsistenzprüfung erhöht die Transparenz und Belastbarkeit, schließt spätere Revisionen aber nicht aus.</w:t>
      </w:r>
    </w:p>
    <w:p w:rsidR="000E42A8" w:rsidRDefault="00E50336" w:rsidP="000E42A8">
      <w:r>
        <w:pict>
          <v:rect id="_x0000_i1988" style="width:0;height:1.5pt" o:hralign="center" o:hrstd="t" o:hr="t" fillcolor="#a0a0a0" stroked="f"/>
        </w:pict>
      </w:r>
    </w:p>
    <w:p w:rsidR="000E42A8" w:rsidRDefault="000E42A8" w:rsidP="000E42A8">
      <w:pPr>
        <w:pStyle w:val="berschrift1"/>
      </w:pPr>
      <w:r>
        <w:t>3.3.42.248 Konsistenzbudget</w:t>
      </w:r>
    </w:p>
    <w:p w:rsidR="000E42A8" w:rsidRDefault="000E42A8" w:rsidP="000E42A8">
      <w:pPr>
        <w:pStyle w:val="StandardWeb"/>
      </w:pPr>
      <w:r>
        <w:t>Für große Theoriearchitekturen kann nicht jede mögliche Aussagekombination mit demselben Aufwand geprüft werden.</w:t>
      </w:r>
    </w:p>
    <w:p w:rsidR="000E42A8" w:rsidRDefault="000E42A8" w:rsidP="000E42A8">
      <w:pPr>
        <w:pStyle w:val="StandardWeb"/>
      </w:pPr>
      <w:r>
        <w:t>Ich definiere deshalb ein abstraktes Prüfbudget</w:t>
      </w:r>
    </w:p>
    <w:p w:rsidR="000E42A8" w:rsidRDefault="000E42A8" w:rsidP="000E42A8">
      <w:pPr>
        <w:pStyle w:val="StandardWeb"/>
      </w:pPr>
      <w:r>
        <w:t>[</w:t>
      </w:r>
      <w:r>
        <w:br/>
        <w:t>B_K.</w:t>
      </w:r>
      <w:r>
        <w:br/>
        <w:t>\tag{3.8153}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B_K\qquad\text{(3.8153)}</w:t>
      </w:r>
    </w:p>
    <w:p w:rsidR="000E42A8" w:rsidRDefault="000E42A8" w:rsidP="000E42A8">
      <w:pPr>
        <w:pStyle w:val="StandardWeb"/>
      </w:pPr>
      <w:r>
        <w:t>Die Auswahl prioritärer Prüfungen kann anhand einer Funktion</w:t>
      </w:r>
    </w:p>
    <w:p w:rsidR="000E42A8" w:rsidRDefault="000E42A8" w:rsidP="000E42A8">
      <w:pPr>
        <w:pStyle w:val="berschrift1"/>
      </w:pPr>
      <w:r>
        <w:t>[</w:t>
      </w:r>
      <w:r>
        <w:br/>
        <w:t>P_{ij}</w:t>
      </w:r>
    </w:p>
    <w:p w:rsidR="000E42A8" w:rsidRDefault="000E42A8" w:rsidP="000E42A8">
      <w:pPr>
        <w:pStyle w:val="StandardWeb"/>
      </w:pPr>
      <w:r>
        <w:t>\mathcal P</w:t>
      </w:r>
      <w:r>
        <w:br/>
        <w:t>\left(</w:t>
      </w:r>
      <w:r>
        <w:br/>
        <w:t>R_W^{\mathrm{risk}},</w:t>
      </w:r>
      <w:r>
        <w:br/>
        <w:t>R_{\mathrm{reach}},</w:t>
      </w:r>
      <w:r>
        <w:br/>
        <w:t>w_E,</w:t>
      </w:r>
      <w:r>
        <w:br/>
        <w:t>w_S,</w:t>
      </w:r>
      <w:r>
        <w:br/>
        <w:t>C_{\mathrm{dep}}</w:t>
      </w:r>
      <w:r>
        <w:br/>
        <w:t>\right)</w:t>
      </w:r>
      <w:r>
        <w:br/>
        <w:t>\tag{3.8154}</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P_{ij}=\mathcal{P}\left(R_W^{\mathrm{risk}},R_{\mathrm{reach}},w_E,w_S,C_{\mathrm{dep}}\right)\qquad\text{(3.8154)}</w:t>
      </w:r>
    </w:p>
    <w:p w:rsidR="000E42A8" w:rsidRDefault="000E42A8" w:rsidP="000E42A8">
      <w:pPr>
        <w:pStyle w:val="StandardWeb"/>
      </w:pPr>
      <w:r>
        <w:t>erfolgen.</w:t>
      </w:r>
    </w:p>
    <w:p w:rsidR="000E42A8" w:rsidRDefault="000E42A8" w:rsidP="000E42A8">
      <w:pPr>
        <w:pStyle w:val="StandardWeb"/>
      </w:pPr>
      <w:r>
        <w:t>Damit werden besonders risikoreiche oder weitreichende Beziehungen zuerst geprüft.</w:t>
      </w:r>
    </w:p>
    <w:p w:rsidR="000E42A8" w:rsidRDefault="00E50336" w:rsidP="000E42A8">
      <w:r>
        <w:pict>
          <v:rect id="_x0000_i1989" style="width:0;height:1.5pt" o:hralign="center" o:hrstd="t" o:hr="t" fillcolor="#a0a0a0" stroked="f"/>
        </w:pict>
      </w:r>
    </w:p>
    <w:p w:rsidR="000E42A8" w:rsidRDefault="000E42A8" w:rsidP="000E42A8">
      <w:pPr>
        <w:pStyle w:val="berschrift1"/>
      </w:pPr>
      <w:r>
        <w:t>3.3.42.249 Priorisierung ersetzt keine Vollständigkeit</w:t>
      </w:r>
    </w:p>
    <w:p w:rsidR="000E42A8" w:rsidRDefault="000E42A8" w:rsidP="000E42A8">
      <w:pPr>
        <w:pStyle w:val="StandardWeb"/>
      </w:pPr>
      <w:r>
        <w:t>Eine priorisierte Prüfung darf jedoch nicht mit vollständiger Prüfung verwechselt werden.</w:t>
      </w:r>
    </w:p>
    <w:p w:rsidR="000E42A8" w:rsidRDefault="000E42A8" w:rsidP="000E42A8">
      <w:pPr>
        <w:pStyle w:val="StandardWeb"/>
      </w:pPr>
      <w:r>
        <w:t>Es gilt</w:t>
      </w:r>
    </w:p>
    <w:p w:rsidR="000E42A8" w:rsidRDefault="000E42A8" w:rsidP="000E42A8">
      <w:pPr>
        <w:pStyle w:val="StandardWeb"/>
      </w:pPr>
      <w:r>
        <w:t>[</w:t>
      </w:r>
      <w:r>
        <w:br/>
        <w:t>\text{Prioritätsprüfung abgeschlossen}</w:t>
      </w:r>
      <w:r>
        <w:br/>
        <w:t>\nRightarrow</w:t>
      </w:r>
      <w:r>
        <w:br/>
        <w:t>C_K^{\mathrm{cov}}=1.</w:t>
      </w:r>
      <w:r>
        <w:br/>
        <w:t>\tag{3.8155}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\text{Prioritätsprüfung abgeschlossen}\nRightarrow C_K^{\mathrm{cov}}=1\qquad\text{(3.8155)}</w:t>
      </w:r>
    </w:p>
    <w:p w:rsidR="000E42A8" w:rsidRDefault="000E42A8" w:rsidP="000E42A8">
      <w:pPr>
        <w:pStyle w:val="StandardWeb"/>
      </w:pPr>
      <w:r>
        <w:t>Damit bleibt der tatsächliche Prüfdeckungsgrad unabhängig sichtbar.</w:t>
      </w:r>
    </w:p>
    <w:p w:rsidR="000E42A8" w:rsidRDefault="00E50336" w:rsidP="000E42A8">
      <w:r>
        <w:pict>
          <v:rect id="_x0000_i1990" style="width:0;height:1.5pt" o:hralign="center" o:hrstd="t" o:hr="t" fillcolor="#a0a0a0" stroked="f"/>
        </w:pict>
      </w:r>
    </w:p>
    <w:p w:rsidR="000E42A8" w:rsidRDefault="000E42A8" w:rsidP="000E42A8">
      <w:pPr>
        <w:pStyle w:val="berschrift1"/>
      </w:pPr>
      <w:r>
        <w:t>3.3.42.250 Konsistenz-Audit-Trail</w:t>
      </w:r>
    </w:p>
    <w:p w:rsidR="000E42A8" w:rsidRDefault="000E42A8" w:rsidP="000E42A8">
      <w:pPr>
        <w:pStyle w:val="StandardWeb"/>
      </w:pPr>
      <w:r>
        <w:t>Jede Konsistenzentscheidung sollte rekonstruierbar sein.</w:t>
      </w:r>
    </w:p>
    <w:p w:rsidR="000E42A8" w:rsidRDefault="000E42A8" w:rsidP="000E42A8">
      <w:pPr>
        <w:pStyle w:val="StandardWeb"/>
      </w:pPr>
      <w:r>
        <w:t>Ich definiere</w:t>
      </w:r>
    </w:p>
    <w:p w:rsidR="000E42A8" w:rsidRDefault="000E42A8" w:rsidP="000E42A8">
      <w:pPr>
        <w:pStyle w:val="berschrift1"/>
      </w:pPr>
      <w:r>
        <w:t>[</w:t>
      </w:r>
      <w:r>
        <w:br/>
        <w:t>\mathcal T_K^{\mathrm{audit}}</w:t>
      </w:r>
    </w:p>
    <w:p w:rsidR="000E42A8" w:rsidRDefault="000E42A8" w:rsidP="000E42A8">
      <w:pPr>
        <w:pStyle w:val="StandardWeb"/>
      </w:pPr>
      <w:r>
        <w:t>\left(</w:t>
      </w:r>
      <w:r>
        <w:br/>
        <w:t>o_i,</w:t>
      </w:r>
      <w:r>
        <w:br/>
        <w:t>o_j,</w:t>
      </w:r>
      <w:r>
        <w:br/>
        <w:t>v,</w:t>
      </w:r>
      <w:r>
        <w:br/>
        <w:t>K_{ij},</w:t>
      </w:r>
      <w:r>
        <w:br/>
        <w:t>\Sigma_W,</w:t>
      </w:r>
      <w:r>
        <w:br/>
        <w:t>\mathcal E_K,</w:t>
      </w:r>
      <w:r>
        <w:br/>
        <w:t>t</w:t>
      </w:r>
      <w:r>
        <w:br/>
      </w:r>
      <w:r>
        <w:lastRenderedPageBreak/>
        <w:t>\right),</w:t>
      </w:r>
      <w:r>
        <w:br/>
        <w:t>\tag{3.8156}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\mathcal{T}_{K}^{\mathrm{audit}}=\left(o_i,o_j,v,K_{ij},\Sigma_W,\mathcal{E}_{K},t\right)\qquad\text{(3.8156)}</w:t>
      </w:r>
    </w:p>
    <w:p w:rsidR="000E42A8" w:rsidRDefault="000E42A8" w:rsidP="000E42A8">
      <w:pPr>
        <w:pStyle w:val="StandardWeb"/>
      </w:pPr>
      <w:r>
        <w:t>wobei</w:t>
      </w:r>
    </w:p>
    <w:p w:rsidR="000E42A8" w:rsidRDefault="000E42A8" w:rsidP="008C5E65">
      <w:pPr>
        <w:pStyle w:val="StandardWeb"/>
        <w:numPr>
          <w:ilvl w:val="0"/>
          <w:numId w:val="407"/>
        </w:numPr>
      </w:pPr>
      <w:r>
        <w:t>(o_i,o_j) die geprüften Objekte,</w:t>
      </w:r>
    </w:p>
    <w:p w:rsidR="000E42A8" w:rsidRDefault="000E42A8" w:rsidP="008C5E65">
      <w:pPr>
        <w:pStyle w:val="StandardWeb"/>
        <w:numPr>
          <w:ilvl w:val="0"/>
          <w:numId w:val="407"/>
        </w:numPr>
      </w:pPr>
      <w:r>
        <w:t>(v) die Revision,</w:t>
      </w:r>
    </w:p>
    <w:p w:rsidR="000E42A8" w:rsidRDefault="000E42A8" w:rsidP="008C5E65">
      <w:pPr>
        <w:pStyle w:val="StandardWeb"/>
        <w:numPr>
          <w:ilvl w:val="0"/>
          <w:numId w:val="407"/>
        </w:numPr>
      </w:pPr>
      <w:r>
        <w:t>(K_{ij}) das Ergebnis,</w:t>
      </w:r>
    </w:p>
    <w:p w:rsidR="000E42A8" w:rsidRDefault="000E42A8" w:rsidP="008C5E65">
      <w:pPr>
        <w:pStyle w:val="StandardWeb"/>
        <w:numPr>
          <w:ilvl w:val="0"/>
          <w:numId w:val="407"/>
        </w:numPr>
      </w:pPr>
      <w:r>
        <w:t>(\Sigma_W) die Konfliktsignatur,</w:t>
      </w:r>
    </w:p>
    <w:p w:rsidR="000E42A8" w:rsidRDefault="000E42A8" w:rsidP="008C5E65">
      <w:pPr>
        <w:pStyle w:val="StandardWeb"/>
        <w:numPr>
          <w:ilvl w:val="0"/>
          <w:numId w:val="407"/>
        </w:numPr>
      </w:pPr>
      <w:r>
        <w:t>(\mathcal E_K) die verwendete Evidenz,</w:t>
      </w:r>
    </w:p>
    <w:p w:rsidR="000E42A8" w:rsidRDefault="000E42A8" w:rsidP="008C5E65">
      <w:pPr>
        <w:pStyle w:val="StandardWeb"/>
        <w:numPr>
          <w:ilvl w:val="0"/>
          <w:numId w:val="407"/>
        </w:numPr>
      </w:pPr>
      <w:r>
        <w:t>(t) den Prüfzeitpunkt</w:t>
      </w:r>
    </w:p>
    <w:p w:rsidR="000E42A8" w:rsidRDefault="000E42A8" w:rsidP="000E42A8">
      <w:pPr>
        <w:pStyle w:val="StandardWeb"/>
      </w:pPr>
      <w:r>
        <w:t>repräsentieren.</w:t>
      </w:r>
    </w:p>
    <w:p w:rsidR="000E42A8" w:rsidRDefault="00E50336" w:rsidP="000E42A8">
      <w:r>
        <w:pict>
          <v:rect id="_x0000_i1991" style="width:0;height:1.5pt" o:hralign="center" o:hrstd="t" o:hr="t" fillcolor="#a0a0a0" stroked="f"/>
        </w:pict>
      </w:r>
    </w:p>
    <w:p w:rsidR="000E42A8" w:rsidRDefault="000E42A8" w:rsidP="000E42A8">
      <w:pPr>
        <w:pStyle w:val="berschrift1"/>
      </w:pPr>
      <w:r>
        <w:t>3.3.42.251 Reproduzierbare Konsistenzprüfung</w:t>
      </w:r>
    </w:p>
    <w:p w:rsidR="000E42A8" w:rsidRDefault="000E42A8" w:rsidP="000E42A8">
      <w:pPr>
        <w:pStyle w:val="StandardWeb"/>
      </w:pPr>
      <w:r>
        <w:t>Eine Konsistenzprüfung ist reproduzierbar, wenn aus denselben gespeicherten Voraussetzungen dasselbe Prüfergebnis rekonstruiert werden kann.</w:t>
      </w:r>
    </w:p>
    <w:p w:rsidR="000E42A8" w:rsidRDefault="000E42A8" w:rsidP="000E42A8">
      <w:pPr>
        <w:pStyle w:val="StandardWeb"/>
      </w:pPr>
      <w:r>
        <w:t>Ich definiere</w:t>
      </w:r>
    </w:p>
    <w:p w:rsidR="000E42A8" w:rsidRDefault="000E42A8" w:rsidP="000E42A8">
      <w:pPr>
        <w:pStyle w:val="berschrift1"/>
      </w:pPr>
      <w:r>
        <w:t>[</w:t>
      </w:r>
      <w:r>
        <w:br/>
        <w:t>R_{\mathrm{audit}}</w:t>
      </w:r>
    </w:p>
    <w:p w:rsidR="000E42A8" w:rsidRDefault="000E42A8" w:rsidP="000E42A8">
      <w:pPr>
        <w:pStyle w:val="StandardWeb"/>
      </w:pPr>
      <w:r>
        <w:t>1</w:t>
      </w:r>
      <w:r>
        <w:br/>
        <w:t>\tag{3.8157}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R_{\mathrm{audit}}=1\qquad\text{(3.8157)}</w:t>
      </w:r>
    </w:p>
    <w:p w:rsidR="000E42A8" w:rsidRDefault="000E42A8" w:rsidP="000E42A8">
      <w:pPr>
        <w:pStyle w:val="StandardWeb"/>
      </w:pPr>
      <w:r>
        <w:t>wenn</w:t>
      </w:r>
    </w:p>
    <w:p w:rsidR="000E42A8" w:rsidRDefault="000E42A8" w:rsidP="000E42A8">
      <w:pPr>
        <w:pStyle w:val="berschrift1"/>
      </w:pPr>
      <w:r>
        <w:t>[</w:t>
      </w:r>
      <w:r>
        <w:br/>
        <w:t>\operatorname{Audit}</w:t>
      </w:r>
      <w:r>
        <w:br/>
        <w:t>\left(</w:t>
      </w:r>
      <w:r>
        <w:br/>
      </w:r>
      <w:r>
        <w:lastRenderedPageBreak/>
        <w:t>\mathcal T_K^{\mathrm{audit}}</w:t>
      </w:r>
      <w:r>
        <w:br/>
        <w:t>\right)</w:t>
      </w:r>
    </w:p>
    <w:p w:rsidR="000E42A8" w:rsidRDefault="000E42A8" w:rsidP="000E42A8">
      <w:pPr>
        <w:pStyle w:val="StandardWeb"/>
      </w:pPr>
      <w:r>
        <w:t>K_{ij}</w:t>
      </w:r>
      <w:r>
        <w:br/>
        <w:t>\tag{3.8158}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\operatorname{Audit}\left(\mathcal{T}_{K}^{\mathrm{audit}}\right)=K_{ij}\qquad\text{(3.8158)}</w:t>
      </w:r>
    </w:p>
    <w:p w:rsidR="000E42A8" w:rsidRDefault="000E42A8" w:rsidP="000E42A8">
      <w:pPr>
        <w:pStyle w:val="StandardWeb"/>
      </w:pPr>
      <w:r>
        <w:t>unter denselben Prüfregeln wiederhergestellt werden kann.</w:t>
      </w:r>
    </w:p>
    <w:p w:rsidR="000E42A8" w:rsidRDefault="00E50336" w:rsidP="000E42A8">
      <w:r>
        <w:pict>
          <v:rect id="_x0000_i1992" style="width:0;height:1.5pt" o:hralign="center" o:hrstd="t" o:hr="t" fillcolor="#a0a0a0" stroked="f"/>
        </w:pict>
      </w:r>
    </w:p>
    <w:p w:rsidR="000E42A8" w:rsidRDefault="000E42A8" w:rsidP="000E42A8">
      <w:pPr>
        <w:pStyle w:val="berschrift1"/>
      </w:pPr>
      <w:r>
        <w:t>3.3.42.252 Unterschiedliche Prüfregeln</w:t>
      </w:r>
    </w:p>
    <w:p w:rsidR="000E42A8" w:rsidRDefault="000E42A8" w:rsidP="000E42A8">
      <w:pPr>
        <w:pStyle w:val="StandardWeb"/>
      </w:pPr>
      <w:r>
        <w:t>Ändert sich dagegen die Konsistenzregel von</w:t>
      </w:r>
    </w:p>
    <w:p w:rsidR="000E42A8" w:rsidRDefault="000E42A8" w:rsidP="000E42A8">
      <w:pPr>
        <w:pStyle w:val="StandardWeb"/>
      </w:pPr>
      <w:r>
        <w:t>[</w:t>
      </w:r>
      <w:r>
        <w:br/>
        <w:t>\mathcal R_K^{(v)}</w:t>
      </w:r>
      <w:r>
        <w:br/>
        <w:t>\tag{3.8159}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\mathcal{R}_{K}^{(v)}\qquad\text{(3.8159)}</w:t>
      </w:r>
    </w:p>
    <w:p w:rsidR="000E42A8" w:rsidRDefault="000E42A8" w:rsidP="000E42A8">
      <w:pPr>
        <w:pStyle w:val="StandardWeb"/>
      </w:pPr>
      <w:r>
        <w:t>zu</w:t>
      </w:r>
    </w:p>
    <w:p w:rsidR="000E42A8" w:rsidRDefault="000E42A8" w:rsidP="000E42A8">
      <w:pPr>
        <w:pStyle w:val="StandardWeb"/>
      </w:pPr>
      <w:r>
        <w:t>[</w:t>
      </w:r>
      <w:r>
        <w:br/>
        <w:t>\mathcal R_K^{(v+1)},</w:t>
      </w:r>
      <w:r>
        <w:br/>
        <w:t>\tag{3.8160}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\mathcal{R}_{K}^{(v+1)}\qquad\text{(3.8160)}</w:t>
      </w:r>
    </w:p>
    <w:p w:rsidR="000E42A8" w:rsidRDefault="000E42A8" w:rsidP="000E42A8">
      <w:pPr>
        <w:pStyle w:val="StandardWeb"/>
      </w:pPr>
      <w:r>
        <w:t>kann ein anderes Ergebnis methodisch korrekt sein.</w:t>
      </w:r>
    </w:p>
    <w:p w:rsidR="000E42A8" w:rsidRDefault="000E42A8" w:rsidP="000E42A8">
      <w:pPr>
        <w:pStyle w:val="StandardWeb"/>
      </w:pPr>
      <w:r>
        <w:t>Daher muss auch die verwendete Prüfregel versioniert werden.</w:t>
      </w:r>
    </w:p>
    <w:p w:rsidR="000E42A8" w:rsidRDefault="00E50336" w:rsidP="000E42A8">
      <w:r>
        <w:pict>
          <v:rect id="_x0000_i1993" style="width:0;height:1.5pt" o:hralign="center" o:hrstd="t" o:hr="t" fillcolor="#a0a0a0" stroked="f"/>
        </w:pict>
      </w:r>
    </w:p>
    <w:p w:rsidR="000E42A8" w:rsidRDefault="000E42A8" w:rsidP="000E42A8">
      <w:pPr>
        <w:pStyle w:val="berschrift1"/>
      </w:pPr>
      <w:r>
        <w:t>3.3.42.253 Regelversion</w:t>
      </w:r>
    </w:p>
    <w:p w:rsidR="000E42A8" w:rsidRDefault="000E42A8" w:rsidP="000E42A8">
      <w:pPr>
        <w:pStyle w:val="StandardWeb"/>
      </w:pPr>
      <w:r>
        <w:t>Ich definiere</w:t>
      </w:r>
    </w:p>
    <w:p w:rsidR="000E42A8" w:rsidRDefault="000E42A8" w:rsidP="000E42A8">
      <w:pPr>
        <w:pStyle w:val="StandardWeb"/>
      </w:pPr>
      <w:r>
        <w:lastRenderedPageBreak/>
        <w:t>[</w:t>
      </w:r>
      <w:r>
        <w:br/>
        <w:t>v_K^{\mathrm{rule}}</w:t>
      </w:r>
      <w:r>
        <w:br/>
        <w:t>\tag{3.8161}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v_K^{\mathrm{rule}}\qquad\text{(3.8161)}</w:t>
      </w:r>
    </w:p>
    <w:p w:rsidR="000E42A8" w:rsidRDefault="000E42A8" w:rsidP="000E42A8">
      <w:pPr>
        <w:pStyle w:val="StandardWeb"/>
      </w:pPr>
      <w:r>
        <w:t>als Version der verwendeten Konsistenzregeln.</w:t>
      </w:r>
    </w:p>
    <w:p w:rsidR="000E42A8" w:rsidRDefault="000E42A8" w:rsidP="000E42A8">
      <w:pPr>
        <w:pStyle w:val="StandardWeb"/>
      </w:pPr>
      <w:r>
        <w:t>Damit erweitert sich der Audit-Trail zu</w:t>
      </w:r>
    </w:p>
    <w:p w:rsidR="000E42A8" w:rsidRDefault="000E42A8" w:rsidP="000E42A8">
      <w:pPr>
        <w:pStyle w:val="berschrift1"/>
      </w:pPr>
      <w:r>
        <w:t>[</w:t>
      </w:r>
      <w:r>
        <w:br/>
        <w:t>\mathcal T_K^{\mathrm{audit}+}</w:t>
      </w:r>
    </w:p>
    <w:p w:rsidR="000E42A8" w:rsidRDefault="000E42A8" w:rsidP="000E42A8">
      <w:pPr>
        <w:pStyle w:val="StandardWeb"/>
      </w:pPr>
      <w:r>
        <w:t>\left(</w:t>
      </w:r>
      <w:r>
        <w:br/>
        <w:t>o_i,</w:t>
      </w:r>
      <w:r>
        <w:br/>
        <w:t>o_j,</w:t>
      </w:r>
      <w:r>
        <w:br/>
        <w:t>v,</w:t>
      </w:r>
      <w:r>
        <w:br/>
        <w:t>v_K^{\mathrm{rule}},</w:t>
      </w:r>
      <w:r>
        <w:br/>
        <w:t>K_{ij},</w:t>
      </w:r>
      <w:r>
        <w:br/>
        <w:t>\Sigma_W,</w:t>
      </w:r>
      <w:r>
        <w:br/>
        <w:t>\mathcal E_K,</w:t>
      </w:r>
      <w:r>
        <w:br/>
        <w:t>t</w:t>
      </w:r>
      <w:r>
        <w:br/>
        <w:t>\right).</w:t>
      </w:r>
      <w:r>
        <w:br/>
        <w:t>\tag{3.8162}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\mathcal{T}_{K}^{\mathrm{audit}+}=\left(o_i,o_j,v,v_K^{\mathrm{rule}},K_{ij},\Sigma_W,\mathcal{E}_{K},t\right)\qquad\text{(3.8162)}</w:t>
      </w:r>
    </w:p>
    <w:p w:rsidR="000E42A8" w:rsidRDefault="00E50336" w:rsidP="000E42A8">
      <w:r>
        <w:pict>
          <v:rect id="_x0000_i1994" style="width:0;height:1.5pt" o:hralign="center" o:hrstd="t" o:hr="t" fillcolor="#a0a0a0" stroked="f"/>
        </w:pict>
      </w:r>
    </w:p>
    <w:p w:rsidR="000E42A8" w:rsidRDefault="000E42A8" w:rsidP="000E42A8">
      <w:pPr>
        <w:pStyle w:val="berschrift1"/>
      </w:pPr>
      <w:r>
        <w:t>3.3.42.254 Vergleich historischer Konsistenzbewertungen</w:t>
      </w:r>
    </w:p>
    <w:p w:rsidR="000E42A8" w:rsidRDefault="000E42A8" w:rsidP="000E42A8">
      <w:pPr>
        <w:pStyle w:val="StandardWeb"/>
      </w:pPr>
      <w:r>
        <w:t>Zwei historische Prüfergebnisse dürfen nur unmittelbar verglichen werden, wenn ihre Regelversionen äquivalent sind:</w:t>
      </w:r>
    </w:p>
    <w:p w:rsidR="000E42A8" w:rsidRDefault="000E42A8" w:rsidP="000E42A8">
      <w:pPr>
        <w:pStyle w:val="StandardWeb"/>
      </w:pPr>
      <w:r>
        <w:t>[</w:t>
      </w:r>
      <w:r>
        <w:br/>
        <w:t>v_{K,1}^{\mathrm{rule}}</w:t>
      </w:r>
      <w:r>
        <w:br/>
        <w:t>\sim_R</w:t>
      </w:r>
      <w:r>
        <w:br/>
        <w:t>v_{K,2}^{\mathrm{rule}}.</w:t>
      </w:r>
      <w:r>
        <w:br/>
        <w:t>\tag{3.8163}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v_{K,1}^{\mathrm{rule}}\sim_R v_{K,2}^{\mathrm{rule}}\qquad\text{(3.8163)}</w:t>
      </w:r>
    </w:p>
    <w:p w:rsidR="000E42A8" w:rsidRDefault="000E42A8" w:rsidP="000E42A8">
      <w:pPr>
        <w:pStyle w:val="StandardWeb"/>
      </w:pPr>
      <w:r>
        <w:t>Andernfalls muss eine Regeltransformation oder Neuberechnung erfolgen.</w:t>
      </w:r>
    </w:p>
    <w:p w:rsidR="000E42A8" w:rsidRDefault="00E50336" w:rsidP="000E42A8">
      <w:r>
        <w:pict>
          <v:rect id="_x0000_i1995" style="width:0;height:1.5pt" o:hralign="center" o:hrstd="t" o:hr="t" fillcolor="#a0a0a0" stroked="f"/>
        </w:pict>
      </w:r>
    </w:p>
    <w:p w:rsidR="000E42A8" w:rsidRDefault="000E42A8" w:rsidP="000E42A8">
      <w:pPr>
        <w:pStyle w:val="berschrift1"/>
      </w:pPr>
      <w:r>
        <w:t>3.3.42.255 Konsistenz unter methodischer Revision</w:t>
      </w:r>
    </w:p>
    <w:p w:rsidR="000E42A8" w:rsidRDefault="000E42A8" w:rsidP="000E42A8">
      <w:pPr>
        <w:pStyle w:val="StandardWeb"/>
      </w:pPr>
      <w:r>
        <w:t>Eine neue wissenschaftliche Methodik kann damit die Konsistenzsignatur verändern:</w:t>
      </w:r>
    </w:p>
    <w:p w:rsidR="000E42A8" w:rsidRDefault="000E42A8" w:rsidP="000E42A8">
      <w:pPr>
        <w:pStyle w:val="StandardWeb"/>
      </w:pPr>
      <w:r>
        <w:t>[</w:t>
      </w:r>
      <w:r>
        <w:br/>
        <w:t>\Sigma_K</w:t>
      </w:r>
      <w:r>
        <w:br/>
        <w:t>\left(</w:t>
      </w:r>
      <w:r>
        <w:br/>
        <w:t>\mathcal R_K^{(v)}</w:t>
      </w:r>
      <w:r>
        <w:br/>
        <w:t>\right)</w:t>
      </w:r>
      <w:r>
        <w:br/>
        <w:t>\neq</w:t>
      </w:r>
      <w:r>
        <w:br/>
        <w:t>\Sigma_K</w:t>
      </w:r>
      <w:r>
        <w:br/>
        <w:t>\left(</w:t>
      </w:r>
      <w:r>
        <w:br/>
        <w:t>\mathcal R_K^{(v+1)}</w:t>
      </w:r>
      <w:r>
        <w:br/>
        <w:t>\right).</w:t>
      </w:r>
      <w:r>
        <w:br/>
        <w:t>\tag{3.8164}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\Sigma_K\left(\mathcal{R}_{K}^{(v)}\right)\neq\Sigma_K\left(\mathcal{R}_{K}^{(v+1)}\right)\qquad\text{(3.8164)}</w:t>
      </w:r>
    </w:p>
    <w:p w:rsidR="000E42A8" w:rsidRDefault="000E42A8" w:rsidP="000E42A8">
      <w:pPr>
        <w:pStyle w:val="StandardWeb"/>
      </w:pPr>
      <w:r>
        <w:t>Dies ist kein logischer Widerspruch, sondern eine methodisch bedingte Neubewertung.</w:t>
      </w:r>
    </w:p>
    <w:p w:rsidR="000E42A8" w:rsidRDefault="00E50336" w:rsidP="000E42A8">
      <w:r>
        <w:pict>
          <v:rect id="_x0000_i1996" style="width:0;height:1.5pt" o:hralign="center" o:hrstd="t" o:hr="t" fillcolor="#a0a0a0" stroked="f"/>
        </w:pict>
      </w:r>
    </w:p>
    <w:p w:rsidR="000E42A8" w:rsidRDefault="000E42A8" w:rsidP="000E42A8">
      <w:pPr>
        <w:pStyle w:val="berschrift1"/>
      </w:pPr>
      <w:r>
        <w:t>3.3.42.256 Meta-Konsistenz der Prüfregeln</w:t>
      </w:r>
    </w:p>
    <w:p w:rsidR="000E42A8" w:rsidRDefault="000E42A8" w:rsidP="000E42A8">
      <w:pPr>
        <w:pStyle w:val="StandardWeb"/>
      </w:pPr>
      <w:r>
        <w:t>Die Konsistenzregeln selbst dürfen einander nicht widersprechen.</w:t>
      </w:r>
    </w:p>
    <w:p w:rsidR="000E42A8" w:rsidRDefault="000E42A8" w:rsidP="000E42A8">
      <w:pPr>
        <w:pStyle w:val="StandardWeb"/>
      </w:pPr>
      <w:r>
        <w:t>Sei</w:t>
      </w:r>
    </w:p>
    <w:p w:rsidR="000E42A8" w:rsidRDefault="000E42A8" w:rsidP="000E42A8">
      <w:pPr>
        <w:pStyle w:val="berschrift1"/>
      </w:pPr>
      <w:r>
        <w:t>[</w:t>
      </w:r>
      <w:r>
        <w:br/>
        <w:t>\mathfrak R_K</w:t>
      </w:r>
    </w:p>
    <w:p w:rsidR="000E42A8" w:rsidRDefault="000E42A8" w:rsidP="000E42A8">
      <w:pPr>
        <w:pStyle w:val="StandardWeb"/>
      </w:pPr>
      <w:r>
        <w:t>{</w:t>
      </w:r>
      <w:r>
        <w:br/>
        <w:t>r_1,\ldots,r_m</w:t>
      </w:r>
      <w:r>
        <w:br/>
        <w:t>}</w:t>
      </w:r>
      <w:r>
        <w:br/>
        <w:t>\tag{3.8165}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\mathfrak{R}_{K}=\{r_1,\ldots,r_m\}\qquad\text{(3.8165)}</w:t>
      </w:r>
    </w:p>
    <w:p w:rsidR="000E42A8" w:rsidRDefault="000E42A8" w:rsidP="000E42A8">
      <w:pPr>
        <w:pStyle w:val="StandardWeb"/>
      </w:pPr>
      <w:r>
        <w:lastRenderedPageBreak/>
        <w:t>die Menge der Prüfregeln.</w:t>
      </w:r>
    </w:p>
    <w:p w:rsidR="000E42A8" w:rsidRDefault="000E42A8" w:rsidP="000E42A8">
      <w:pPr>
        <w:pStyle w:val="StandardWeb"/>
      </w:pPr>
      <w:r>
        <w:t>Ich definiere</w:t>
      </w:r>
    </w:p>
    <w:p w:rsidR="000E42A8" w:rsidRDefault="000E42A8" w:rsidP="000E42A8">
      <w:pPr>
        <w:pStyle w:val="berschrift1"/>
      </w:pPr>
      <w:r>
        <w:t>[</w:t>
      </w:r>
      <w:r>
        <w:br/>
        <w:t>K_{\mathrm{meta}}</w:t>
      </w:r>
    </w:p>
    <w:p w:rsidR="000E42A8" w:rsidRDefault="000E42A8" w:rsidP="000E42A8">
      <w:pPr>
        <w:pStyle w:val="StandardWeb"/>
      </w:pPr>
      <w:r>
        <w:t>K_F</w:t>
      </w:r>
      <w:r>
        <w:br/>
        <w:t>\left(</w:t>
      </w:r>
      <w:r>
        <w:br/>
        <w:t>\mathfrak R_K</w:t>
      </w:r>
      <w:r>
        <w:br/>
        <w:t>\right).</w:t>
      </w:r>
      <w:r>
        <w:br/>
        <w:t>\tag{3.8166}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K_{\mathrm{meta}}=K_F\left(\mathfrak{R}_{K}\right)\qquad\text{(3.8166)}</w:t>
      </w:r>
    </w:p>
    <w:p w:rsidR="000E42A8" w:rsidRDefault="000E42A8" w:rsidP="000E42A8">
      <w:pPr>
        <w:pStyle w:val="StandardWeb"/>
      </w:pPr>
      <w:r>
        <w:t>Damit wird die Konsistenzarchitektur reflexiv auf ihre eigenen Prüfregeln angewandt.</w:t>
      </w:r>
    </w:p>
    <w:p w:rsidR="000E42A8" w:rsidRDefault="00E50336" w:rsidP="000E42A8">
      <w:r>
        <w:pict>
          <v:rect id="_x0000_i1997" style="width:0;height:1.5pt" o:hralign="center" o:hrstd="t" o:hr="t" fillcolor="#a0a0a0" stroked="f"/>
        </w:pict>
      </w:r>
    </w:p>
    <w:p w:rsidR="000E42A8" w:rsidRDefault="000E42A8" w:rsidP="000E42A8">
      <w:pPr>
        <w:pStyle w:val="berschrift1"/>
      </w:pPr>
      <w:r>
        <w:t>3.3.42.257 Regelkonflikt</w:t>
      </w:r>
    </w:p>
    <w:p w:rsidR="000E42A8" w:rsidRDefault="000E42A8" w:rsidP="000E42A8">
      <w:pPr>
        <w:pStyle w:val="StandardWeb"/>
      </w:pPr>
      <w:r>
        <w:t>Ein Regelkonflikt liegt beispielsweise vor, wenn</w:t>
      </w:r>
    </w:p>
    <w:p w:rsidR="000E42A8" w:rsidRDefault="000E42A8" w:rsidP="000E42A8">
      <w:pPr>
        <w:pStyle w:val="StandardWeb"/>
      </w:pPr>
      <w:r>
        <w:t>[</w:t>
      </w:r>
      <w:r>
        <w:br/>
        <w:t>r_1:</w:t>
      </w:r>
      <w:r>
        <w:br/>
        <w:t>X\Rightarrow K=1</w:t>
      </w:r>
      <w:r>
        <w:br/>
        <w:t>\tag{3.8167}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r_1:X\Rightarrow K=1\qquad\text{(3.8167)}</w:t>
      </w:r>
    </w:p>
    <w:p w:rsidR="000E42A8" w:rsidRDefault="000E42A8" w:rsidP="000E42A8">
      <w:pPr>
        <w:pStyle w:val="StandardWeb"/>
      </w:pPr>
      <w:r>
        <w:t>und</w:t>
      </w:r>
    </w:p>
    <w:p w:rsidR="000E42A8" w:rsidRDefault="000E42A8" w:rsidP="000E42A8">
      <w:pPr>
        <w:pStyle w:val="StandardWeb"/>
      </w:pPr>
      <w:r>
        <w:t>[</w:t>
      </w:r>
      <w:r>
        <w:br/>
        <w:t>r_2:</w:t>
      </w:r>
      <w:r>
        <w:br/>
        <w:t>X\Rightarrow K=0</w:t>
      </w:r>
      <w:r>
        <w:br/>
        <w:t>\tag{3.8168}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r_2:X\Rightarrow K=0\qquad\text{(3.8168)}</w:t>
      </w:r>
    </w:p>
    <w:p w:rsidR="000E42A8" w:rsidRDefault="000E42A8" w:rsidP="000E42A8">
      <w:pPr>
        <w:pStyle w:val="StandardWeb"/>
      </w:pPr>
      <w:r>
        <w:t>unter identischen Voraussetzungen gelten sollen.</w:t>
      </w:r>
    </w:p>
    <w:p w:rsidR="000E42A8" w:rsidRDefault="000E42A8" w:rsidP="000E42A8">
      <w:pPr>
        <w:pStyle w:val="StandardWeb"/>
      </w:pPr>
      <w:r>
        <w:lastRenderedPageBreak/>
        <w:t>Dann gilt</w:t>
      </w:r>
    </w:p>
    <w:p w:rsidR="000E42A8" w:rsidRDefault="000E42A8" w:rsidP="000E42A8">
      <w:pPr>
        <w:pStyle w:val="StandardWeb"/>
      </w:pPr>
      <w:r>
        <w:t>[</w:t>
      </w:r>
      <w:r>
        <w:br/>
        <w:t>K_F(r_1,r_2)=0.</w:t>
      </w:r>
      <w:r>
        <w:br/>
        <w:t>\tag{3.8169}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K_F(r_1,r_2)=0\qquad\text{(3.8169)}</w:t>
      </w:r>
    </w:p>
    <w:p w:rsidR="000E42A8" w:rsidRDefault="00E50336" w:rsidP="000E42A8">
      <w:r>
        <w:pict>
          <v:rect id="_x0000_i1998" style="width:0;height:1.5pt" o:hralign="center" o:hrstd="t" o:hr="t" fillcolor="#a0a0a0" stroked="f"/>
        </w:pict>
      </w:r>
    </w:p>
    <w:p w:rsidR="000E42A8" w:rsidRDefault="000E42A8" w:rsidP="000E42A8">
      <w:pPr>
        <w:pStyle w:val="berschrift1"/>
      </w:pPr>
      <w:r>
        <w:t>3.3.42.258 Hierarchie der Konsistenzebenen</w:t>
      </w:r>
    </w:p>
    <w:p w:rsidR="000E42A8" w:rsidRDefault="000E42A8" w:rsidP="000E42A8">
      <w:pPr>
        <w:pStyle w:val="StandardWeb"/>
      </w:pPr>
      <w:r>
        <w:t>Die bisherige Struktur lässt sich nun als mehrstufige Hierarchie darstellen:</w:t>
      </w:r>
    </w:p>
    <w:p w:rsidR="000E42A8" w:rsidRDefault="000E42A8" w:rsidP="000E42A8">
      <w:pPr>
        <w:pStyle w:val="StandardWeb"/>
      </w:pPr>
      <w:r>
        <w:t>[</w:t>
      </w:r>
      <w:r>
        <w:br/>
        <w:t>\boxed{</w:t>
      </w:r>
      <w:r>
        <w:br/>
        <w:t>\text{Objekt}</w:t>
      </w:r>
      <w:r>
        <w:br/>
        <w:t>\rightarrow</w:t>
      </w:r>
      <w:r>
        <w:br/>
        <w:t>\text{Relation}</w:t>
      </w:r>
      <w:r>
        <w:br/>
        <w:t>\rightarrow</w:t>
      </w:r>
      <w:r>
        <w:br/>
        <w:t>\text{Block}</w:t>
      </w:r>
      <w:r>
        <w:br/>
        <w:t>\rightarrow</w:t>
      </w:r>
      <w:r>
        <w:br/>
        <w:t>\text{Theorie}</w:t>
      </w:r>
      <w:r>
        <w:br/>
        <w:t>\rightarrow</w:t>
      </w:r>
      <w:r>
        <w:br/>
        <w:t>\text{Prüfregel}</w:t>
      </w:r>
      <w:r>
        <w:br/>
        <w:t>}</w:t>
      </w:r>
      <w:r>
        <w:br/>
        <w:t>\tag{3.8170}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\boxed{\text{Objekt}\rightarrow\text{Relation}\rightarrow\text{Block}\rightarrow\text{Theorie}\rightarrow\text{Prüfregel}}\qquad\text{(3.8170)}</w:t>
      </w:r>
    </w:p>
    <w:p w:rsidR="000E42A8" w:rsidRDefault="000E42A8" w:rsidP="000E42A8">
      <w:pPr>
        <w:pStyle w:val="StandardWeb"/>
      </w:pPr>
      <w:r>
        <w:t>Auf jeder Ebene kann eine eigene Konsistenzprüfung erfolgen.</w:t>
      </w:r>
    </w:p>
    <w:p w:rsidR="000E42A8" w:rsidRDefault="00E50336" w:rsidP="000E42A8">
      <w:r>
        <w:pict>
          <v:rect id="_x0000_i1999" style="width:0;height:1.5pt" o:hralign="center" o:hrstd="t" o:hr="t" fillcolor="#a0a0a0" stroked="f"/>
        </w:pict>
      </w:r>
    </w:p>
    <w:p w:rsidR="000E42A8" w:rsidRDefault="000E42A8" w:rsidP="000E42A8">
      <w:pPr>
        <w:pStyle w:val="berschrift1"/>
      </w:pPr>
      <w:r>
        <w:t>3.3.42.259 Rekursive Konsistenz</w:t>
      </w:r>
    </w:p>
    <w:p w:rsidR="000E42A8" w:rsidRDefault="000E42A8" w:rsidP="000E42A8">
      <w:pPr>
        <w:pStyle w:val="StandardWeb"/>
      </w:pPr>
      <w:r>
        <w:t>Ich definiere abstrakt</w:t>
      </w:r>
    </w:p>
    <w:p w:rsidR="000E42A8" w:rsidRDefault="000E42A8" w:rsidP="000E42A8">
      <w:pPr>
        <w:pStyle w:val="berschrift1"/>
      </w:pPr>
      <w:r>
        <w:t>[</w:t>
      </w:r>
      <w:r>
        <w:br/>
        <w:t>K^{(n+1)}</w:t>
      </w:r>
    </w:p>
    <w:p w:rsidR="000E42A8" w:rsidRDefault="000E42A8" w:rsidP="000E42A8">
      <w:pPr>
        <w:pStyle w:val="StandardWeb"/>
      </w:pPr>
      <w:r>
        <w:t>K_F</w:t>
      </w:r>
      <w:r>
        <w:br/>
        <w:t>\left(</w:t>
      </w:r>
      <w:r>
        <w:br/>
      </w:r>
      <w:r>
        <w:lastRenderedPageBreak/>
        <w:t>K^{(n)}_1,</w:t>
      </w:r>
      <w:r>
        <w:br/>
        <w:t>\ldots,</w:t>
      </w:r>
      <w:r>
        <w:br/>
        <w:t>K^{(n)}_m</w:t>
      </w:r>
      <w:r>
        <w:br/>
        <w:t>\right).</w:t>
      </w:r>
      <w:r>
        <w:br/>
        <w:t>\tag{3.8171}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K^{(n+1)}=K_F\left(K_1^{(n)},\ldots,K_m^{(n)}\right)\qquad\text{(3.8171)}</w:t>
      </w:r>
    </w:p>
    <w:p w:rsidR="000E42A8" w:rsidRDefault="000E42A8" w:rsidP="000E42A8">
      <w:pPr>
        <w:pStyle w:val="StandardWeb"/>
      </w:pPr>
      <w:r>
        <w:t>Damit kann Konsistenz prinzipiell über mehrere Metaebenen rekursiv beschrieben werden.</w:t>
      </w:r>
    </w:p>
    <w:p w:rsidR="000E42A8" w:rsidRDefault="000E42A8" w:rsidP="000E42A8">
      <w:pPr>
        <w:pStyle w:val="StandardWeb"/>
      </w:pPr>
      <w:r>
        <w:t>Ich lege jedoch keine unendliche Metahierarchie als notwendige FRZK-Struktur fest. Praktisch wird nur so weit geprüft, wie es für den wissenschaftlichen Aussageanspruch erforderlich ist.</w:t>
      </w:r>
    </w:p>
    <w:p w:rsidR="000E42A8" w:rsidRDefault="00E50336" w:rsidP="000E42A8">
      <w:r>
        <w:pict>
          <v:rect id="_x0000_i2000" style="width:0;height:1.5pt" o:hralign="center" o:hrstd="t" o:hr="t" fillcolor="#a0a0a0" stroked="f"/>
        </w:pict>
      </w:r>
    </w:p>
    <w:p w:rsidR="000E42A8" w:rsidRDefault="000E42A8" w:rsidP="000E42A8">
      <w:pPr>
        <w:pStyle w:val="berschrift1"/>
      </w:pPr>
      <w:r>
        <w:t>3.3.42.260 Stoppregel der Metakonsistenz</w:t>
      </w:r>
    </w:p>
    <w:p w:rsidR="000E42A8" w:rsidRDefault="000E42A8" w:rsidP="000E42A8">
      <w:pPr>
        <w:pStyle w:val="StandardWeb"/>
      </w:pPr>
      <w:r>
        <w:t>Ich definiere eine relevante maximale Prüfebene</w:t>
      </w:r>
    </w:p>
    <w:p w:rsidR="000E42A8" w:rsidRDefault="000E42A8" w:rsidP="000E42A8">
      <w:pPr>
        <w:pStyle w:val="StandardWeb"/>
      </w:pPr>
      <w:r>
        <w:t>[</w:t>
      </w:r>
      <w:r>
        <w:br/>
        <w:t>n_{\max}.</w:t>
      </w:r>
      <w:r>
        <w:br/>
        <w:t>\tag{3.8172}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n_{\max}\qquad\text{(3.8172)}</w:t>
      </w:r>
    </w:p>
    <w:p w:rsidR="000E42A8" w:rsidRDefault="000E42A8" w:rsidP="000E42A8">
      <w:pPr>
        <w:pStyle w:val="StandardWeb"/>
      </w:pPr>
      <w:r>
        <w:t>Die Prüfung endet bei</w:t>
      </w:r>
    </w:p>
    <w:p w:rsidR="000E42A8" w:rsidRDefault="000E42A8" w:rsidP="000E42A8">
      <w:pPr>
        <w:pStyle w:val="StandardWeb"/>
      </w:pPr>
      <w:r>
        <w:t>[</w:t>
      </w:r>
      <w:r>
        <w:br/>
        <w:t>n=n_{\max}</w:t>
      </w:r>
      <w:r>
        <w:br/>
        <w:t>\tag{3.8173}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n=n_{\max}\qquad\text{(3.8173)}</w:t>
      </w:r>
    </w:p>
    <w:p w:rsidR="000E42A8" w:rsidRDefault="000E42A8" w:rsidP="000E42A8">
      <w:pPr>
        <w:pStyle w:val="StandardWeb"/>
      </w:pPr>
      <w:r>
        <w:t>wenn zusätzliche Metaebenen keinen begründeten wissenschaftlichen Informationsgewinn mehr erwarten lassen.</w:t>
      </w:r>
    </w:p>
    <w:p w:rsidR="000E42A8" w:rsidRDefault="00E50336" w:rsidP="000E42A8">
      <w:r>
        <w:pict>
          <v:rect id="_x0000_i2001" style="width:0;height:1.5pt" o:hralign="center" o:hrstd="t" o:hr="t" fillcolor="#a0a0a0" stroked="f"/>
        </w:pict>
      </w:r>
    </w:p>
    <w:p w:rsidR="000E42A8" w:rsidRDefault="000E42A8" w:rsidP="000E42A8">
      <w:pPr>
        <w:pStyle w:val="berschrift1"/>
      </w:pPr>
      <w:r>
        <w:t>3.3.42.261 Konsistenzökonomie</w:t>
      </w:r>
    </w:p>
    <w:p w:rsidR="000E42A8" w:rsidRDefault="000E42A8" w:rsidP="000E42A8">
      <w:pPr>
        <w:pStyle w:val="StandardWeb"/>
      </w:pPr>
      <w:r>
        <w:t>Die Prüftiefe besitzt damit ebenfalls Kosten.</w:t>
      </w:r>
    </w:p>
    <w:p w:rsidR="000E42A8" w:rsidRDefault="000E42A8" w:rsidP="000E42A8">
      <w:pPr>
        <w:pStyle w:val="StandardWeb"/>
      </w:pPr>
      <w:r>
        <w:lastRenderedPageBreak/>
        <w:t>Ich definiere</w:t>
      </w:r>
    </w:p>
    <w:p w:rsidR="000E42A8" w:rsidRDefault="000E42A8" w:rsidP="000E42A8">
      <w:pPr>
        <w:pStyle w:val="berschrift1"/>
      </w:pPr>
      <w:r>
        <w:t>[</w:t>
      </w:r>
      <w:r>
        <w:br/>
        <w:t>C_K^{\mathrm{audit}}</w:t>
      </w:r>
    </w:p>
    <w:p w:rsidR="000E42A8" w:rsidRDefault="000E42A8" w:rsidP="000E42A8">
      <w:pPr>
        <w:pStyle w:val="StandardWeb"/>
      </w:pPr>
      <w:r>
        <w:t>\mathcal C</w:t>
      </w:r>
      <w:r>
        <w:br/>
        <w:t>\left(</w:t>
      </w:r>
      <w:r>
        <w:br/>
        <w:t>n_{\max},</w:t>
      </w:r>
      <w:r>
        <w:br/>
        <w:t>N_{\mathrm{obj}},</w:t>
      </w:r>
      <w:r>
        <w:br/>
        <w:t>N_{\mathrm{rel}}</w:t>
      </w:r>
      <w:r>
        <w:br/>
        <w:t>\right).</w:t>
      </w:r>
      <w:r>
        <w:br/>
        <w:t>\tag{3.8174}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C_K^{\mathrm{audit}}=\mathcal{C}\left(n_{\max},N_{\mathrm{obj}},N_{\mathrm{rel}}\right)\qquad\text{(3.8174)}</w:t>
      </w:r>
    </w:p>
    <w:p w:rsidR="000E42A8" w:rsidRDefault="000E42A8" w:rsidP="000E42A8">
      <w:pPr>
        <w:pStyle w:val="StandardWeb"/>
      </w:pPr>
      <w:r>
        <w:t>Damit kann die Konsistenzprüfung selbst als wissenschaftlicher Ressourceneinsatz betrachtet werden.</w:t>
      </w:r>
    </w:p>
    <w:p w:rsidR="000E42A8" w:rsidRDefault="00E50336" w:rsidP="000E42A8">
      <w:r>
        <w:pict>
          <v:rect id="_x0000_i2002" style="width:0;height:1.5pt" o:hralign="center" o:hrstd="t" o:hr="t" fillcolor="#a0a0a0" stroked="f"/>
        </w:pict>
      </w:r>
    </w:p>
    <w:p w:rsidR="000E42A8" w:rsidRDefault="000E42A8" w:rsidP="000E42A8">
      <w:pPr>
        <w:pStyle w:val="berschrift1"/>
      </w:pPr>
      <w:r>
        <w:t>3.3.42.262 Grenznutzen weiterer Konsistenzprüfung</w:t>
      </w:r>
    </w:p>
    <w:p w:rsidR="000E42A8" w:rsidRDefault="000E42A8" w:rsidP="000E42A8">
      <w:pPr>
        <w:pStyle w:val="StandardWeb"/>
      </w:pPr>
      <w:r>
        <w:t>Sei</w:t>
      </w:r>
    </w:p>
    <w:p w:rsidR="000E42A8" w:rsidRDefault="000E42A8" w:rsidP="000E42A8">
      <w:pPr>
        <w:pStyle w:val="StandardWeb"/>
      </w:pPr>
      <w:r>
        <w:t>[</w:t>
      </w:r>
      <w:r>
        <w:br/>
        <w:t>\Delta I_K(n)</w:t>
      </w:r>
      <w:r>
        <w:br/>
        <w:t>\tag{3.8175}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\Delta I_K(n)\qquad\text{(3.8175)}</w:t>
      </w:r>
    </w:p>
    <w:p w:rsidR="000E42A8" w:rsidRDefault="000E42A8" w:rsidP="000E42A8">
      <w:pPr>
        <w:pStyle w:val="StandardWeb"/>
      </w:pPr>
      <w:r>
        <w:t>der zusätzliche Informationsgewinn der nächsten Prüfebene und</w:t>
      </w:r>
    </w:p>
    <w:p w:rsidR="000E42A8" w:rsidRDefault="000E42A8" w:rsidP="000E42A8">
      <w:pPr>
        <w:pStyle w:val="StandardWeb"/>
      </w:pPr>
      <w:r>
        <w:t>[</w:t>
      </w:r>
      <w:r>
        <w:br/>
        <w:t>\Delta C_K(n)</w:t>
      </w:r>
      <w:r>
        <w:br/>
        <w:t>\tag{3.8176}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\Delta C_K(n)\qquad\text{(3.8176)}</w:t>
      </w:r>
    </w:p>
    <w:p w:rsidR="000E42A8" w:rsidRDefault="000E42A8" w:rsidP="000E42A8">
      <w:pPr>
        <w:pStyle w:val="StandardWeb"/>
      </w:pPr>
      <w:r>
        <w:t>der zusätzliche Prüfaufwand.</w:t>
      </w:r>
    </w:p>
    <w:p w:rsidR="000E42A8" w:rsidRDefault="000E42A8" w:rsidP="000E42A8">
      <w:pPr>
        <w:pStyle w:val="StandardWeb"/>
      </w:pPr>
      <w:r>
        <w:lastRenderedPageBreak/>
        <w:t>Eine pragmatische Stoppbedingung kann lauten</w:t>
      </w:r>
    </w:p>
    <w:p w:rsidR="000E42A8" w:rsidRDefault="000E42A8" w:rsidP="000E42A8">
      <w:pPr>
        <w:pStyle w:val="StandardWeb"/>
      </w:pPr>
      <w:r>
        <w:t>[</w:t>
      </w:r>
      <w:r>
        <w:br/>
        <w:t>\Delta I_K(n)</w:t>
      </w:r>
      <w:r>
        <w:br/>
        <w:t>&lt;</w:t>
      </w:r>
      <w:r>
        <w:br/>
        <w:t>\tau_I</w:t>
      </w:r>
      <w:r>
        <w:br/>
        <w:t>\land</w:t>
      </w:r>
      <w:r>
        <w:br/>
        <w:t>\Delta C_K(n)</w:t>
      </w:r>
    </w:p>
    <w:p w:rsidR="000E42A8" w:rsidRDefault="000E42A8" w:rsidP="000E42A8">
      <w:pPr>
        <w:pStyle w:val="StandardWeb"/>
      </w:pPr>
      <w:r>
        <w:t>\tau_C.</w:t>
      </w:r>
      <w:r>
        <w:br/>
        <w:t>\tag{3.8177}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\Delta I_K(n)&lt;\tau_I\land\Delta C_K(n)&gt;\tau_C\qquad\text{(3.8177)}</w:t>
      </w:r>
    </w:p>
    <w:p w:rsidR="000E42A8" w:rsidRDefault="000E42A8" w:rsidP="000E42A8">
      <w:pPr>
        <w:pStyle w:val="StandardWeb"/>
      </w:pPr>
      <w:r>
        <w:t>Diese Regel ist eine methodische Entscheidung und kein mathematisches Primäraxiom.</w:t>
      </w:r>
    </w:p>
    <w:p w:rsidR="000E42A8" w:rsidRDefault="00E50336" w:rsidP="000E42A8">
      <w:r>
        <w:pict>
          <v:rect id="_x0000_i2003" style="width:0;height:1.5pt" o:hralign="center" o:hrstd="t" o:hr="t" fillcolor="#a0a0a0" stroked="f"/>
        </w:pict>
      </w:r>
    </w:p>
    <w:p w:rsidR="000E42A8" w:rsidRDefault="000E42A8" w:rsidP="000E42A8">
      <w:pPr>
        <w:pStyle w:val="berschrift1"/>
      </w:pPr>
      <w:r>
        <w:t>3.3.42.263 Konsistenzarchitektur als Prüfstruktur, nicht Ontologie</w:t>
      </w:r>
    </w:p>
    <w:p w:rsidR="000E42A8" w:rsidRDefault="000E42A8" w:rsidP="000E42A8">
      <w:pPr>
        <w:pStyle w:val="StandardWeb"/>
      </w:pPr>
      <w:r>
        <w:t>Die gesamte Konsistenzarchitektur beschreibt die wissenschaftliche Prüfung von Aussagen.</w:t>
      </w:r>
    </w:p>
    <w:p w:rsidR="000E42A8" w:rsidRDefault="000E42A8" w:rsidP="000E42A8">
      <w:pPr>
        <w:pStyle w:val="StandardWeb"/>
      </w:pPr>
      <w:r>
        <w:t>Sie ist keine Behauptung darüber, dass die Wirklichkeit selbst eine Konsistenzmatrix, einen Audit-Trail oder einen Repository-Graphen „besitzt“.</w:t>
      </w:r>
    </w:p>
    <w:p w:rsidR="000E42A8" w:rsidRDefault="000E42A8" w:rsidP="000E42A8">
      <w:pPr>
        <w:pStyle w:val="StandardWeb"/>
      </w:pPr>
      <w:r>
        <w:t>Ich schreibe</w:t>
      </w:r>
    </w:p>
    <w:p w:rsidR="000E42A8" w:rsidRDefault="000E42A8" w:rsidP="000E42A8">
      <w:pPr>
        <w:pStyle w:val="StandardWeb"/>
      </w:pPr>
      <w:r>
        <w:t>[</w:t>
      </w:r>
      <w:r>
        <w:br/>
        <w:t>\mathfrak C_F</w:t>
      </w:r>
      <w:r>
        <w:br/>
        <w:t>\notin</w:t>
      </w:r>
      <w:r>
        <w:br/>
        <w:t>\mathfrak A_{\mathrm{prim}}.</w:t>
      </w:r>
      <w:r>
        <w:br/>
        <w:t>\tag{3.8178}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\mathfrak{C}_{F}\notin\mathfrak{A}_{\mathrm{prim}}\qquad\text{(3.8178)}</w:t>
      </w:r>
    </w:p>
    <w:p w:rsidR="000E42A8" w:rsidRDefault="000E42A8" w:rsidP="000E42A8">
      <w:pPr>
        <w:pStyle w:val="StandardWeb"/>
      </w:pPr>
      <w:r>
        <w:t>Vielmehr gilt</w:t>
      </w:r>
    </w:p>
    <w:p w:rsidR="000E42A8" w:rsidRDefault="000E42A8" w:rsidP="000E42A8">
      <w:pPr>
        <w:pStyle w:val="StandardWeb"/>
      </w:pPr>
      <w:r>
        <w:t>[</w:t>
      </w:r>
      <w:r>
        <w:br/>
        <w:t>\mathfrak C_F</w:t>
      </w:r>
      <w:r>
        <w:br/>
        <w:t>\in</w:t>
      </w:r>
      <w:r>
        <w:br/>
        <w:t>\mathfrak M_{\mathrm{prüf}}.</w:t>
      </w:r>
      <w:r>
        <w:br/>
        <w:t>\tag{3.8179}</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\mathfrak{C}_{F}\in\mathfrak{M}_{\mathrm{prüf}}\qquad\text{(3.8179)}</w:t>
      </w:r>
    </w:p>
    <w:p w:rsidR="000E42A8" w:rsidRDefault="000E42A8" w:rsidP="000E42A8">
      <w:pPr>
        <w:pStyle w:val="StandardWeb"/>
      </w:pPr>
      <w:r>
        <w:t>Damit bleibt auch hier die Trennung zwischen FRZK-Primäraxiomatik und methodischer Qualitätssicherung erhalten.</w:t>
      </w:r>
    </w:p>
    <w:p w:rsidR="000E42A8" w:rsidRDefault="00E50336" w:rsidP="000E42A8">
      <w:r>
        <w:pict>
          <v:rect id="_x0000_i2004" style="width:0;height:1.5pt" o:hralign="center" o:hrstd="t" o:hr="t" fillcolor="#a0a0a0" stroked="f"/>
        </w:pict>
      </w:r>
    </w:p>
    <w:p w:rsidR="000E42A8" w:rsidRDefault="000E42A8" w:rsidP="000E42A8">
      <w:pPr>
        <w:pStyle w:val="berschrift1"/>
      </w:pPr>
      <w:r>
        <w:t>3.3.42.264 Zwischenstand</w:t>
      </w:r>
    </w:p>
    <w:p w:rsidR="000E42A8" w:rsidRDefault="000E42A8" w:rsidP="000E42A8">
      <w:pPr>
        <w:pStyle w:val="StandardWeb"/>
      </w:pPr>
      <w:r>
        <w:t>Die funktionale Konsistenzarchitektur umfasst nun mindestens</w:t>
      </w:r>
    </w:p>
    <w:p w:rsidR="000E42A8" w:rsidRDefault="000E42A8" w:rsidP="000E42A8">
      <w:pPr>
        <w:pStyle w:val="berschrift1"/>
      </w:pPr>
      <w:r>
        <w:t>[</w:t>
      </w:r>
      <w:r>
        <w:br/>
        <w:t>\mathfrak C_F^{+}</w:t>
      </w:r>
    </w:p>
    <w:p w:rsidR="000E42A8" w:rsidRDefault="000E42A8" w:rsidP="000E42A8">
      <w:pPr>
        <w:pStyle w:val="StandardWeb"/>
      </w:pPr>
      <w:r>
        <w:t>\left(</w:t>
      </w:r>
      <w:r>
        <w:br/>
        <w:t>\mathcal C,</w:t>
      </w:r>
      <w:r>
        <w:br/>
        <w:t>\mathfrak K,</w:t>
      </w:r>
      <w:r>
        <w:br/>
        <w:t>\mathfrak K^{(2)},</w:t>
      </w:r>
      <w:r>
        <w:br/>
        <w:t>\Sigma_W,</w:t>
      </w:r>
      <w:r>
        <w:br/>
        <w:t>\Sigma_K^{+},</w:t>
      </w:r>
      <w:r>
        <w:br/>
        <w:t>\Sigma_T^{K},</w:t>
      </w:r>
      <w:r>
        <w:br/>
        <w:t>\mathbf K_{\mathcal B},</w:t>
      </w:r>
      <w:r>
        <w:br/>
        <w:t>K_I,</w:t>
      </w:r>
      <w:r>
        <w:br/>
        <w:t>G_K,</w:t>
      </w:r>
      <w:r>
        <w:br/>
        <w:t>K_{\mathrm{meta}}</w:t>
      </w:r>
      <w:r>
        <w:br/>
        <w:t>\right).</w:t>
      </w:r>
      <w:r>
        <w:br/>
        <w:t>\tag{3.8180}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\mathfrak{C}_{F}^{+}=\left(\mathcal{C},\mathfrak{K},\mathfrak{K}^{(2)},\Sigma_W,\Sigma_K^{+},\Sigma_T^{K},\mathbf{K}_{\mathcal{B}},K_I,G_K,K_{\mathrm{meta}}\right)\qquad\text{(3.8180)}</w:t>
      </w:r>
    </w:p>
    <w:p w:rsidR="000E42A8" w:rsidRDefault="000E42A8" w:rsidP="000E42A8">
      <w:pPr>
        <w:pStyle w:val="StandardWeb"/>
      </w:pPr>
      <w:r>
        <w:t>Damit sind inzwischen</w:t>
      </w:r>
    </w:p>
    <w:p w:rsidR="000E42A8" w:rsidRDefault="000E42A8" w:rsidP="008C5E65">
      <w:pPr>
        <w:pStyle w:val="StandardWeb"/>
        <w:numPr>
          <w:ilvl w:val="0"/>
          <w:numId w:val="408"/>
        </w:numPr>
      </w:pPr>
      <w:r>
        <w:t>Vergleichbarkeit,</w:t>
      </w:r>
    </w:p>
    <w:p w:rsidR="000E42A8" w:rsidRDefault="000E42A8" w:rsidP="008C5E65">
      <w:pPr>
        <w:pStyle w:val="StandardWeb"/>
        <w:numPr>
          <w:ilvl w:val="0"/>
          <w:numId w:val="408"/>
        </w:numPr>
      </w:pPr>
      <w:r>
        <w:t>Konsistenz erster und zweiter Ordnung,</w:t>
      </w:r>
    </w:p>
    <w:p w:rsidR="000E42A8" w:rsidRDefault="000E42A8" w:rsidP="008C5E65">
      <w:pPr>
        <w:pStyle w:val="StandardWeb"/>
        <w:numPr>
          <w:ilvl w:val="0"/>
          <w:numId w:val="408"/>
        </w:numPr>
      </w:pPr>
      <w:r>
        <w:t>lokale und globale Konsistenz,</w:t>
      </w:r>
    </w:p>
    <w:p w:rsidR="000E42A8" w:rsidRDefault="000E42A8" w:rsidP="008C5E65">
      <w:pPr>
        <w:pStyle w:val="StandardWeb"/>
        <w:numPr>
          <w:ilvl w:val="0"/>
          <w:numId w:val="408"/>
        </w:numPr>
      </w:pPr>
      <w:r>
        <w:t>Konflikttypen,</w:t>
      </w:r>
    </w:p>
    <w:p w:rsidR="000E42A8" w:rsidRDefault="000E42A8" w:rsidP="008C5E65">
      <w:pPr>
        <w:pStyle w:val="StandardWeb"/>
        <w:numPr>
          <w:ilvl w:val="0"/>
          <w:numId w:val="408"/>
        </w:numPr>
      </w:pPr>
      <w:r>
        <w:t>Konfliktkerne,</w:t>
      </w:r>
    </w:p>
    <w:p w:rsidR="000E42A8" w:rsidRDefault="000E42A8" w:rsidP="008C5E65">
      <w:pPr>
        <w:pStyle w:val="StandardWeb"/>
        <w:numPr>
          <w:ilvl w:val="0"/>
          <w:numId w:val="408"/>
        </w:numPr>
      </w:pPr>
      <w:r>
        <w:t>Konsistenzmatrizen,</w:t>
      </w:r>
    </w:p>
    <w:p w:rsidR="000E42A8" w:rsidRDefault="000E42A8" w:rsidP="008C5E65">
      <w:pPr>
        <w:pStyle w:val="StandardWeb"/>
        <w:numPr>
          <w:ilvl w:val="0"/>
          <w:numId w:val="408"/>
        </w:numPr>
      </w:pPr>
      <w:r>
        <w:t>Graphen,</w:t>
      </w:r>
    </w:p>
    <w:p w:rsidR="000E42A8" w:rsidRDefault="000E42A8" w:rsidP="008C5E65">
      <w:pPr>
        <w:pStyle w:val="StandardWeb"/>
        <w:numPr>
          <w:ilvl w:val="0"/>
          <w:numId w:val="408"/>
        </w:numPr>
      </w:pPr>
      <w:r>
        <w:t>transformationsbezogene Konsistenz,</w:t>
      </w:r>
    </w:p>
    <w:p w:rsidR="000E42A8" w:rsidRDefault="000E42A8" w:rsidP="008C5E65">
      <w:pPr>
        <w:pStyle w:val="StandardWeb"/>
        <w:numPr>
          <w:ilvl w:val="0"/>
          <w:numId w:val="408"/>
        </w:numPr>
      </w:pPr>
      <w:r>
        <w:t>Operatorenkonsistenz,</w:t>
      </w:r>
    </w:p>
    <w:p w:rsidR="000E42A8" w:rsidRDefault="000E42A8" w:rsidP="008C5E65">
      <w:pPr>
        <w:pStyle w:val="StandardWeb"/>
        <w:numPr>
          <w:ilvl w:val="0"/>
          <w:numId w:val="408"/>
        </w:numPr>
      </w:pPr>
      <w:r>
        <w:t>Theorieblockkonsistenz,</w:t>
      </w:r>
    </w:p>
    <w:p w:rsidR="000E42A8" w:rsidRDefault="000E42A8" w:rsidP="008C5E65">
      <w:pPr>
        <w:pStyle w:val="StandardWeb"/>
        <w:numPr>
          <w:ilvl w:val="0"/>
          <w:numId w:val="408"/>
        </w:numPr>
      </w:pPr>
      <w:r>
        <w:t>Schnittstellenkonsistenz,</w:t>
      </w:r>
    </w:p>
    <w:p w:rsidR="000E42A8" w:rsidRDefault="000E42A8" w:rsidP="008C5E65">
      <w:pPr>
        <w:pStyle w:val="StandardWeb"/>
        <w:numPr>
          <w:ilvl w:val="0"/>
          <w:numId w:val="408"/>
        </w:numPr>
      </w:pPr>
      <w:r>
        <w:lastRenderedPageBreak/>
        <w:t>Revisionskonsistenz,</w:t>
      </w:r>
    </w:p>
    <w:p w:rsidR="000E42A8" w:rsidRDefault="000E42A8" w:rsidP="008C5E65">
      <w:pPr>
        <w:pStyle w:val="StandardWeb"/>
        <w:numPr>
          <w:ilvl w:val="0"/>
          <w:numId w:val="408"/>
        </w:numPr>
      </w:pPr>
      <w:r>
        <w:t>Auditierbarkeit,</w:t>
      </w:r>
    </w:p>
    <w:p w:rsidR="000E42A8" w:rsidRDefault="000E42A8" w:rsidP="008C5E65">
      <w:pPr>
        <w:pStyle w:val="StandardWeb"/>
        <w:numPr>
          <w:ilvl w:val="0"/>
          <w:numId w:val="408"/>
        </w:numPr>
      </w:pPr>
      <w:r>
        <w:t>Regelkonsistenz</w:t>
      </w:r>
    </w:p>
    <w:p w:rsidR="000E42A8" w:rsidRDefault="000E42A8" w:rsidP="000E42A8">
      <w:pPr>
        <w:pStyle w:val="StandardWeb"/>
      </w:pPr>
      <w:r>
        <w:t>in einer gemeinsamen Prüfarchitektur verbunden.</w:t>
      </w:r>
    </w:p>
    <w:p w:rsidR="000E42A8" w:rsidRDefault="000E42A8" w:rsidP="000E42A8">
      <w:pPr>
        <w:pStyle w:val="StandardWeb"/>
      </w:pPr>
      <w:r>
        <w:t xml:space="preserve">Der Abschnitt ist damit fachlich weit entwickelt, aber noch nicht abgeschlossen. Als nächster Schritt folgt die </w:t>
      </w:r>
      <w:r>
        <w:rPr>
          <w:rStyle w:val="Fett"/>
        </w:rPr>
        <w:t>systematische Konfliktauflösung und Konfliktentscheidung</w:t>
      </w:r>
      <w:r>
        <w:t>, einschließlich nicht auflösbarer Widersprüche, Priorisierung konkurrierender Modelle, Konsistenz unter neuer Evidenz sowie der abschließenden Gesamtdefinition der funktionalen Widerspruchsfreiheit.</w:t>
      </w:r>
    </w:p>
    <w:p w:rsidR="000E42A8" w:rsidRDefault="000E42A8" w:rsidP="000E42A8">
      <w:pPr>
        <w:pStyle w:val="StandardWeb"/>
      </w:pPr>
      <w:r>
        <w:t xml:space="preserve">Die </w:t>
      </w:r>
      <w:r>
        <w:rPr>
          <w:rStyle w:val="Fett"/>
        </w:rPr>
        <w:t>methodologischen und didaktischen Betrachtungen folgen weiterhin erst am Ende des Gesamtabschnitts 3.3.42</w:t>
      </w:r>
      <w:r>
        <w:t>.</w:t>
      </w:r>
    </w:p>
    <w:p w:rsidR="000E42A8" w:rsidRDefault="000E42A8" w:rsidP="000E42A8">
      <w:pPr>
        <w:pStyle w:val="berschrift1"/>
        <w:rPr>
          <w:rFonts w:cs="Times New Roman"/>
          <w:sz w:val="48"/>
          <w:szCs w:val="48"/>
        </w:rPr>
      </w:pPr>
      <w:r>
        <w:t>3.3.42.265 Systematische Konfliktauflösung</w:t>
      </w:r>
    </w:p>
    <w:p w:rsidR="000E42A8" w:rsidRDefault="000E42A8" w:rsidP="000E42A8">
      <w:pPr>
        <w:pStyle w:val="StandardWeb"/>
      </w:pPr>
      <w:r>
        <w:t>Nachdem die funktionale Konsistenzarchitektur bis zur Ebene von Transformations-, Theorieblock-, Schnittstellen-, Revisions- und Metakonsistenz erweitert wurde, folgt nun die Frage, wie ein tatsächlich identifizierter Konflikt wissenschaftlich behandelt werden soll. Ein Konsistenzsystem ist methodisch unvollständig, wenn es Widersprüche lediglich erkennt, ohne zwischen auflösbaren, nicht auflösbaren und nur scheinbaren Konflikten unterscheiden zu können.</w:t>
      </w:r>
    </w:p>
    <w:p w:rsidR="000E42A8" w:rsidRDefault="000E42A8" w:rsidP="000E42A8">
      <w:pPr>
        <w:pStyle w:val="StandardWeb"/>
      </w:pPr>
      <w:r>
        <w:t>Ich definiere deshalb zunächst einen allgemeinen Konfliktzustand</w:t>
      </w:r>
    </w:p>
    <w:p w:rsidR="000E42A8" w:rsidRDefault="000E42A8" w:rsidP="000E42A8">
      <w:pPr>
        <w:pStyle w:val="StandardWeb"/>
      </w:pPr>
      <w:r>
        <w:t>[</w:t>
      </w:r>
      <w:r>
        <w:br/>
        <w:t>W_F(A_i,A_j)=1</w:t>
      </w:r>
      <w:r>
        <w:br/>
        <w:t>\tag{3.8181}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W_F(A_i,A_j)=1</w:t>
      </w:r>
    </w:p>
    <w:p w:rsidR="000E42A8" w:rsidRDefault="000E42A8" w:rsidP="000E42A8">
      <w:pPr>
        <w:pStyle w:val="StandardWeb"/>
      </w:pPr>
      <w:r>
        <w:t>für zwei funktional inkonsistente Aussagen.</w:t>
      </w:r>
    </w:p>
    <w:p w:rsidR="000E42A8" w:rsidRDefault="000E42A8" w:rsidP="000E42A8">
      <w:pPr>
        <w:pStyle w:val="StandardWeb"/>
      </w:pPr>
      <w:r>
        <w:t>Die Menge sämtlicher bekannten Konflikte einer Aussagenmenge (\mathcal A) sei</w:t>
      </w:r>
    </w:p>
    <w:p w:rsidR="000E42A8" w:rsidRDefault="000E42A8" w:rsidP="000E42A8">
      <w:pPr>
        <w:pStyle w:val="berschrift1"/>
      </w:pPr>
      <w:r>
        <w:t>[</w:t>
      </w:r>
      <w:r>
        <w:br/>
        <w:t>\mathcal W(\mathcal A)</w:t>
      </w:r>
    </w:p>
    <w:p w:rsidR="000E42A8" w:rsidRDefault="000E42A8" w:rsidP="000E42A8">
      <w:pPr>
        <w:pStyle w:val="StandardWeb"/>
      </w:pPr>
      <w:r>
        <w:t>\left{</w:t>
      </w:r>
      <w:r>
        <w:br/>
        <w:t>(A_i,A_j)\in\mathcal A\times\mathcal A</w:t>
      </w:r>
      <w:r>
        <w:br/>
        <w:t>:</w:t>
      </w:r>
      <w:r>
        <w:br/>
        <w:t>K_F(A_i,A_j)=0</w:t>
      </w:r>
      <w:r>
        <w:br/>
        <w:t>\right}.</w:t>
      </w:r>
      <w:r>
        <w:br/>
        <w:t>\tag{3.8182}</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\mathcal W(\mathcal A)=\left\{(A_i,A_j)\in\mathcal A\times\mathcal A:K_F(A_i,A_j)=0\right\}</w:t>
      </w:r>
    </w:p>
    <w:p w:rsidR="000E42A8" w:rsidRDefault="000E42A8" w:rsidP="000E42A8">
      <w:pPr>
        <w:pStyle w:val="StandardWeb"/>
      </w:pPr>
      <w:r>
        <w:t>Damit wird die Konfliktauflösung als Operation auf einer explizit bekannten Konfliktmenge formulierbar.</w:t>
      </w:r>
    </w:p>
    <w:p w:rsidR="000E42A8" w:rsidRDefault="00E50336" w:rsidP="000E42A8">
      <w:r>
        <w:pict>
          <v:rect id="_x0000_i2005" style="width:0;height:1.5pt" o:hralign="center" o:hrstd="t" o:hr="t" fillcolor="#a0a0a0" stroked="f"/>
        </w:pict>
      </w:r>
    </w:p>
    <w:p w:rsidR="000E42A8" w:rsidRDefault="000E42A8" w:rsidP="000E42A8">
      <w:pPr>
        <w:pStyle w:val="berschrift1"/>
      </w:pPr>
      <w:r>
        <w:t>3.3.42.266 Konfliktauflösungsoperator</w:t>
      </w:r>
    </w:p>
    <w:p w:rsidR="000E42A8" w:rsidRDefault="000E42A8" w:rsidP="000E42A8">
      <w:pPr>
        <w:pStyle w:val="StandardWeb"/>
      </w:pPr>
      <w:r>
        <w:t>Ich definiere einen allgemeinen Konfliktauflösungsoperator</w:t>
      </w:r>
    </w:p>
    <w:p w:rsidR="000E42A8" w:rsidRDefault="000E42A8" w:rsidP="000E42A8">
      <w:pPr>
        <w:pStyle w:val="StandardWeb"/>
      </w:pPr>
      <w:r>
        <w:t>[</w:t>
      </w:r>
      <w:r>
        <w:br/>
        <w:t>\mathcal R_W:</w:t>
      </w:r>
      <w:r>
        <w:br/>
        <w:t>\mathcal W</w:t>
      </w:r>
      <w:r>
        <w:br/>
        <w:t>\rightarrow</w:t>
      </w:r>
      <w:r>
        <w:br/>
        <w:t>\mathcal S_W</w:t>
      </w:r>
      <w:r>
        <w:br/>
        <w:t>\tag{3.8183}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R_W:\mathcal W\rightarrow\mathcal S_W</w:t>
      </w:r>
    </w:p>
    <w:p w:rsidR="000E42A8" w:rsidRDefault="000E42A8" w:rsidP="000E42A8">
      <w:pPr>
        <w:pStyle w:val="StandardWeb"/>
      </w:pPr>
      <w:r>
        <w:t>wobei (\mathcal S_W) die Menge möglicher Konfliktstatus bezeichnet.</w:t>
      </w:r>
    </w:p>
    <w:p w:rsidR="000E42A8" w:rsidRDefault="000E42A8" w:rsidP="000E42A8">
      <w:pPr>
        <w:pStyle w:val="StandardWeb"/>
      </w:pPr>
      <w:r>
        <w:t>Ich verwende zunächst</w:t>
      </w:r>
    </w:p>
    <w:p w:rsidR="000E42A8" w:rsidRDefault="000E42A8" w:rsidP="000E42A8">
      <w:pPr>
        <w:pStyle w:val="berschrift1"/>
      </w:pPr>
      <w:r>
        <w:t>[</w:t>
      </w:r>
      <w:r>
        <w:br/>
        <w:t>\mathcal S_W</w:t>
      </w:r>
    </w:p>
    <w:p w:rsidR="000E42A8" w:rsidRDefault="000E42A8" w:rsidP="000E42A8">
      <w:pPr>
        <w:pStyle w:val="StandardWeb"/>
      </w:pPr>
      <w:r>
        <w:t>\left{</w:t>
      </w:r>
      <w:r>
        <w:br/>
        <w:t>\mathbf{gelöst},</w:t>
      </w:r>
      <w:r>
        <w:br/>
        <w:t>\mathbf{teilgelöst},</w:t>
      </w:r>
      <w:r>
        <w:br/>
        <w:t>\mathbf{offen},</w:t>
      </w:r>
      <w:r>
        <w:br/>
        <w:t>\mathbf{unauflösbar}</w:t>
      </w:r>
      <w:r>
        <w:br/>
        <w:t>\right}.</w:t>
      </w:r>
      <w:r>
        <w:br/>
        <w:t>\tag{3.8184}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S_W=\left\{\mathbf{gelöst},\mathbf{teilgelöst},\mathbf{offen},\mathbf{unauflösbar}\right\}</w:t>
      </w:r>
    </w:p>
    <w:p w:rsidR="000E42A8" w:rsidRDefault="000E42A8" w:rsidP="000E42A8">
      <w:pPr>
        <w:pStyle w:val="StandardWeb"/>
      </w:pPr>
      <w:r>
        <w:t>Ein Konflikt ist damit nicht mehr nur vorhanden oder nicht vorhanden, sondern besitzt einen wissenschaftlichen Bearbeitungsstatus.</w:t>
      </w:r>
    </w:p>
    <w:p w:rsidR="000E42A8" w:rsidRDefault="00E50336" w:rsidP="000E42A8">
      <w:r>
        <w:lastRenderedPageBreak/>
        <w:pict>
          <v:rect id="_x0000_i2006" style="width:0;height:1.5pt" o:hralign="center" o:hrstd="t" o:hr="t" fillcolor="#a0a0a0" stroked="f"/>
        </w:pict>
      </w:r>
    </w:p>
    <w:p w:rsidR="000E42A8" w:rsidRDefault="000E42A8" w:rsidP="000E42A8">
      <w:pPr>
        <w:pStyle w:val="berschrift1"/>
      </w:pPr>
      <w:r>
        <w:t>3.3.42.267 Vollständig aufgelöster Konflikt</w:t>
      </w:r>
    </w:p>
    <w:p w:rsidR="000E42A8" w:rsidRDefault="000E42A8" w:rsidP="000E42A8">
      <w:pPr>
        <w:pStyle w:val="StandardWeb"/>
      </w:pPr>
      <w:r>
        <w:t>Ein Konflikt zwischen (A_i) und (A_j) heißt vollständig aufgelöst, wenn nach einer zulässigen Revision oder Präzisierung</w:t>
      </w:r>
    </w:p>
    <w:p w:rsidR="000E42A8" w:rsidRDefault="000E42A8" w:rsidP="000E42A8">
      <w:pPr>
        <w:pStyle w:val="StandardWeb"/>
      </w:pPr>
      <w:r>
        <w:t>[</w:t>
      </w:r>
      <w:r>
        <w:br/>
        <w:t>A_i'</w:t>
      </w:r>
      <w:r>
        <w:br/>
        <w:t>,;</w:t>
      </w:r>
      <w:r>
        <w:br/>
        <w:t>A_j'</w:t>
      </w:r>
      <w:r>
        <w:br/>
        <w:t>\tag{3.8185}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A_i',\;A_j'</w:t>
      </w:r>
    </w:p>
    <w:p w:rsidR="000E42A8" w:rsidRDefault="000E42A8" w:rsidP="000E42A8">
      <w:pPr>
        <w:pStyle w:val="StandardWeb"/>
      </w:pPr>
      <w:r>
        <w:t>gilt</w:t>
      </w:r>
    </w:p>
    <w:p w:rsidR="000E42A8" w:rsidRDefault="000E42A8" w:rsidP="000E42A8">
      <w:pPr>
        <w:pStyle w:val="StandardWeb"/>
      </w:pPr>
      <w:r>
        <w:t>[</w:t>
      </w:r>
      <w:r>
        <w:br/>
        <w:t>K_F(A_i',A_j')=1.</w:t>
      </w:r>
      <w:r>
        <w:br/>
        <w:t>\tag{3.8186}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K_F(A_i',A_j')=1</w:t>
      </w:r>
    </w:p>
    <w:p w:rsidR="000E42A8" w:rsidRDefault="000E42A8" w:rsidP="000E42A8">
      <w:pPr>
        <w:pStyle w:val="StandardWeb"/>
      </w:pPr>
      <w:r>
        <w:t>Dabei müssen die vorgenommenen Änderungen selbst wissenschaftlich begründet sein.</w:t>
      </w:r>
    </w:p>
    <w:p w:rsidR="000E42A8" w:rsidRDefault="00E50336" w:rsidP="000E42A8">
      <w:r>
        <w:pict>
          <v:rect id="_x0000_i2007" style="width:0;height:1.5pt" o:hralign="center" o:hrstd="t" o:hr="t" fillcolor="#a0a0a0" stroked="f"/>
        </w:pict>
      </w:r>
    </w:p>
    <w:p w:rsidR="000E42A8" w:rsidRDefault="000E42A8" w:rsidP="000E42A8">
      <w:pPr>
        <w:pStyle w:val="berschrift1"/>
      </w:pPr>
      <w:r>
        <w:t>3.3.42.268 Unzulässige Konfliktauflösung</w:t>
      </w:r>
    </w:p>
    <w:p w:rsidR="000E42A8" w:rsidRDefault="000E42A8" w:rsidP="000E42A8">
      <w:pPr>
        <w:pStyle w:val="StandardWeb"/>
      </w:pPr>
      <w:r>
        <w:t>Eine Konfliktauflösung ist nicht wissenschaftlich zulässig, wenn sie ausschließlich dadurch erreicht wird, dass konfliktbehaftete Bereiche ohne unabhängige Begründung ausgeschlossen werden.</w:t>
      </w:r>
    </w:p>
    <w:p w:rsidR="000E42A8" w:rsidRDefault="000E42A8" w:rsidP="000E42A8">
      <w:pPr>
        <w:pStyle w:val="StandardWeb"/>
      </w:pPr>
      <w:r>
        <w:t>Sei</w:t>
      </w:r>
    </w:p>
    <w:p w:rsidR="000E42A8" w:rsidRDefault="000E42A8" w:rsidP="000E42A8">
      <w:pPr>
        <w:pStyle w:val="StandardWeb"/>
      </w:pPr>
      <w:r>
        <w:t>[</w:t>
      </w:r>
      <w:r>
        <w:br/>
        <w:t>\Omega'</w:t>
      </w:r>
      <w:r>
        <w:br/>
        <w:t>\subset</w:t>
      </w:r>
      <w:r>
        <w:br/>
        <w:t>\Omega.</w:t>
      </w:r>
      <w:r>
        <w:br/>
        <w:t>\tag{3.8187}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\Omega'\subset\Omega</w:t>
      </w:r>
    </w:p>
    <w:p w:rsidR="000E42A8" w:rsidRDefault="000E42A8" w:rsidP="000E42A8">
      <w:pPr>
        <w:pStyle w:val="StandardWeb"/>
      </w:pPr>
      <w:r>
        <w:lastRenderedPageBreak/>
        <w:t>Falls</w:t>
      </w:r>
    </w:p>
    <w:p w:rsidR="000E42A8" w:rsidRDefault="000E42A8" w:rsidP="000E42A8">
      <w:pPr>
        <w:pStyle w:val="StandardWeb"/>
      </w:pPr>
      <w:r>
        <w:t>[</w:t>
      </w:r>
      <w:r>
        <w:br/>
        <w:t>K_F(A_i,A_j\mid\Omega)=0</w:t>
      </w:r>
      <w:r>
        <w:br/>
        <w:t>\tag{3.8188}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K_F(A_i,A_j\mid\Omega)=0</w:t>
      </w:r>
    </w:p>
    <w:p w:rsidR="000E42A8" w:rsidRDefault="000E42A8" w:rsidP="000E42A8">
      <w:pPr>
        <w:pStyle w:val="StandardWeb"/>
      </w:pPr>
      <w:r>
        <w:t>aber nach willkürlicher Einschränkung</w:t>
      </w:r>
    </w:p>
    <w:p w:rsidR="000E42A8" w:rsidRDefault="000E42A8" w:rsidP="000E42A8">
      <w:pPr>
        <w:pStyle w:val="StandardWeb"/>
      </w:pPr>
      <w:r>
        <w:t>[</w:t>
      </w:r>
      <w:r>
        <w:br/>
        <w:t>K_F(A_i,A_j\mid\Omega')=1,</w:t>
      </w:r>
      <w:r>
        <w:br/>
        <w:t>\tag{3.8189}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K_F(A_i,A_j\mid\Omega')=1</w:t>
      </w:r>
    </w:p>
    <w:p w:rsidR="000E42A8" w:rsidRDefault="000E42A8" w:rsidP="000E42A8">
      <w:pPr>
        <w:pStyle w:val="StandardWeb"/>
      </w:pPr>
      <w:r>
        <w:t>dann ist die Konfliktauflösung nur dann zulässig, wenn</w:t>
      </w:r>
    </w:p>
    <w:p w:rsidR="000E42A8" w:rsidRDefault="000E42A8" w:rsidP="000E42A8">
      <w:pPr>
        <w:pStyle w:val="StandardWeb"/>
      </w:pPr>
      <w:r>
        <w:t>[</w:t>
      </w:r>
      <w:r>
        <w:br/>
        <w:t>\Omega'</w:t>
      </w:r>
      <w:r>
        <w:br/>
        <w:t>]</w:t>
      </w:r>
    </w:p>
    <w:p w:rsidR="000E42A8" w:rsidRDefault="000E42A8" w:rsidP="000E42A8">
      <w:pPr>
        <w:pStyle w:val="StandardWeb"/>
      </w:pPr>
      <w:r>
        <w:t>durch unabhängige theoretische oder empirische Gründe gerechtfertigt ist.</w:t>
      </w:r>
    </w:p>
    <w:p w:rsidR="000E42A8" w:rsidRDefault="00E50336" w:rsidP="000E42A8">
      <w:r>
        <w:pict>
          <v:rect id="_x0000_i2008" style="width:0;height:1.5pt" o:hralign="center" o:hrstd="t" o:hr="t" fillcolor="#a0a0a0" stroked="f"/>
        </w:pict>
      </w:r>
    </w:p>
    <w:p w:rsidR="000E42A8" w:rsidRDefault="000E42A8" w:rsidP="000E42A8">
      <w:pPr>
        <w:pStyle w:val="berschrift1"/>
      </w:pPr>
      <w:r>
        <w:t>3.3.42.269 Begründungsbedingung</w:t>
      </w:r>
    </w:p>
    <w:p w:rsidR="000E42A8" w:rsidRDefault="000E42A8" w:rsidP="000E42A8">
      <w:pPr>
        <w:pStyle w:val="StandardWeb"/>
      </w:pPr>
      <w:r>
        <w:t>Ich definiere einen Begründungsindikator</w:t>
      </w:r>
    </w:p>
    <w:p w:rsidR="000E42A8" w:rsidRDefault="000E42A8" w:rsidP="000E42A8">
      <w:pPr>
        <w:pStyle w:val="StandardWeb"/>
      </w:pPr>
      <w:r>
        <w:t>[</w:t>
      </w:r>
      <w:r>
        <w:br/>
        <w:t>J_R</w:t>
      </w:r>
      <w:r>
        <w:br/>
        <w:t>\in</w:t>
      </w:r>
      <w:r>
        <w:br/>
        <w:t>{0,1}.</w:t>
      </w:r>
      <w:r>
        <w:br/>
        <w:t>\tag{3.8190}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J_R\in\{0,1\}</w:t>
      </w:r>
    </w:p>
    <w:p w:rsidR="000E42A8" w:rsidRDefault="000E42A8" w:rsidP="000E42A8">
      <w:pPr>
        <w:pStyle w:val="StandardWeb"/>
      </w:pPr>
      <w:r>
        <w:t>Dabei bedeutet</w:t>
      </w:r>
    </w:p>
    <w:p w:rsidR="000E42A8" w:rsidRDefault="000E42A8" w:rsidP="000E42A8">
      <w:pPr>
        <w:pStyle w:val="StandardWeb"/>
      </w:pPr>
      <w:r>
        <w:t>[</w:t>
      </w:r>
      <w:r>
        <w:br/>
        <w:t>J_R=1</w:t>
      </w:r>
      <w:r>
        <w:br/>
      </w:r>
      <w:r>
        <w:lastRenderedPageBreak/>
        <w:t>\tag{3.8191}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J_R=1</w:t>
      </w:r>
    </w:p>
    <w:p w:rsidR="000E42A8" w:rsidRDefault="000E42A8" w:rsidP="000E42A8">
      <w:pPr>
        <w:pStyle w:val="StandardWeb"/>
      </w:pPr>
      <w:r>
        <w:t>dass die Konfliktauflösung unabhängig begründet ist.</w:t>
      </w:r>
    </w:p>
    <w:p w:rsidR="000E42A8" w:rsidRDefault="000E42A8" w:rsidP="000E42A8">
      <w:pPr>
        <w:pStyle w:val="StandardWeb"/>
      </w:pPr>
      <w:r>
        <w:t>Nur dann gilt</w:t>
      </w:r>
    </w:p>
    <w:p w:rsidR="000E42A8" w:rsidRDefault="000E42A8" w:rsidP="000E42A8">
      <w:pPr>
        <w:pStyle w:val="StandardWeb"/>
      </w:pPr>
      <w:r>
        <w:t>[</w:t>
      </w:r>
      <w:r>
        <w:br/>
        <w:t>\mathcal R_W^{\mathrm{valid}}=1.</w:t>
      </w:r>
      <w:r>
        <w:br/>
        <w:t>\tag{3.8192}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R_W^{\mathrm{valid}}=1</w:t>
      </w:r>
    </w:p>
    <w:p w:rsidR="000E42A8" w:rsidRDefault="00E50336" w:rsidP="000E42A8">
      <w:r>
        <w:pict>
          <v:rect id="_x0000_i2009" style="width:0;height:1.5pt" o:hralign="center" o:hrstd="t" o:hr="t" fillcolor="#a0a0a0" stroked="f"/>
        </w:pict>
      </w:r>
    </w:p>
    <w:p w:rsidR="000E42A8" w:rsidRDefault="000E42A8" w:rsidP="000E42A8">
      <w:pPr>
        <w:pStyle w:val="berschrift1"/>
      </w:pPr>
      <w:r>
        <w:t>3.3.42.270 Auflösungsarten</w:t>
      </w:r>
    </w:p>
    <w:p w:rsidR="000E42A8" w:rsidRDefault="000E42A8" w:rsidP="000E42A8">
      <w:pPr>
        <w:pStyle w:val="StandardWeb"/>
      </w:pPr>
      <w:r>
        <w:t>Ich unterscheide folgende grundlegende Auflösungsarten:</w:t>
      </w:r>
    </w:p>
    <w:p w:rsidR="000E42A8" w:rsidRDefault="000E42A8" w:rsidP="000E42A8">
      <w:pPr>
        <w:pStyle w:val="berschrift1"/>
      </w:pPr>
      <w:r>
        <w:t>[</w:t>
      </w:r>
      <w:r>
        <w:br/>
        <w:t>\mathfrak R_W</w:t>
      </w:r>
    </w:p>
    <w:p w:rsidR="000E42A8" w:rsidRDefault="000E42A8" w:rsidP="000E42A8">
      <w:pPr>
        <w:pStyle w:val="StandardWeb"/>
      </w:pPr>
      <w:r>
        <w:t>\left{</w:t>
      </w:r>
      <w:r>
        <w:br/>
        <w:t>R_{\Omega},</w:t>
      </w:r>
      <w:r>
        <w:br/>
        <w:t>R_D,</w:t>
      </w:r>
      <w:r>
        <w:br/>
        <w:t>R_P,</w:t>
      </w:r>
      <w:r>
        <w:br/>
        <w:t>R_O,</w:t>
      </w:r>
      <w:r>
        <w:br/>
        <w:t>R_M,</w:t>
      </w:r>
      <w:r>
        <w:br/>
        <w:t>R_E,</w:t>
      </w:r>
      <w:r>
        <w:br/>
        <w:t>R_A,</w:t>
      </w:r>
      <w:r>
        <w:br/>
        <w:t>R_{\mathrm{rev}}</w:t>
      </w:r>
      <w:r>
        <w:br/>
        <w:t>\right}.</w:t>
      </w:r>
      <w:r>
        <w:br/>
        <w:t>\tag{3.8193}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\mathfrak R_W=\left\{R_{\Omega},R_D,R_P,R_O,R_M,R_E,R_A,R_{\mathrm{rev}}\right\}</w:t>
      </w:r>
    </w:p>
    <w:p w:rsidR="000E42A8" w:rsidRDefault="000E42A8" w:rsidP="000E42A8">
      <w:pPr>
        <w:pStyle w:val="StandardWeb"/>
      </w:pPr>
      <w:r>
        <w:t>Dabei bedeuten</w:t>
      </w:r>
    </w:p>
    <w:p w:rsidR="000E42A8" w:rsidRDefault="000E42A8" w:rsidP="008C5E65">
      <w:pPr>
        <w:pStyle w:val="StandardWeb"/>
        <w:numPr>
          <w:ilvl w:val="0"/>
          <w:numId w:val="409"/>
        </w:numPr>
      </w:pPr>
      <w:r>
        <w:t>(R_{\Omega}): Präzisierung des Gültigkeitsbereichs,</w:t>
      </w:r>
    </w:p>
    <w:p w:rsidR="000E42A8" w:rsidRDefault="000E42A8" w:rsidP="008C5E65">
      <w:pPr>
        <w:pStyle w:val="StandardWeb"/>
        <w:numPr>
          <w:ilvl w:val="0"/>
          <w:numId w:val="409"/>
        </w:numPr>
      </w:pPr>
      <w:r>
        <w:t>(R_D): Definitionsrevision,</w:t>
      </w:r>
    </w:p>
    <w:p w:rsidR="000E42A8" w:rsidRDefault="000E42A8" w:rsidP="008C5E65">
      <w:pPr>
        <w:pStyle w:val="StandardWeb"/>
        <w:numPr>
          <w:ilvl w:val="0"/>
          <w:numId w:val="409"/>
        </w:numPr>
      </w:pPr>
      <w:r>
        <w:lastRenderedPageBreak/>
        <w:t>(R_P): Parameterrevision,</w:t>
      </w:r>
    </w:p>
    <w:p w:rsidR="000E42A8" w:rsidRDefault="000E42A8" w:rsidP="008C5E65">
      <w:pPr>
        <w:pStyle w:val="StandardWeb"/>
        <w:numPr>
          <w:ilvl w:val="0"/>
          <w:numId w:val="409"/>
        </w:numPr>
      </w:pPr>
      <w:r>
        <w:t>(R_O): Operationalisierungsrevision,</w:t>
      </w:r>
    </w:p>
    <w:p w:rsidR="000E42A8" w:rsidRDefault="000E42A8" w:rsidP="008C5E65">
      <w:pPr>
        <w:pStyle w:val="StandardWeb"/>
        <w:numPr>
          <w:ilvl w:val="0"/>
          <w:numId w:val="409"/>
        </w:numPr>
      </w:pPr>
      <w:r>
        <w:t>(R_M): Modellrevision,</w:t>
      </w:r>
    </w:p>
    <w:p w:rsidR="000E42A8" w:rsidRDefault="000E42A8" w:rsidP="008C5E65">
      <w:pPr>
        <w:pStyle w:val="StandardWeb"/>
        <w:numPr>
          <w:ilvl w:val="0"/>
          <w:numId w:val="409"/>
        </w:numPr>
      </w:pPr>
      <w:r>
        <w:t>(R_E): Gleichungsrevision,</w:t>
      </w:r>
    </w:p>
    <w:p w:rsidR="000E42A8" w:rsidRDefault="000E42A8" w:rsidP="008C5E65">
      <w:pPr>
        <w:pStyle w:val="StandardWeb"/>
        <w:numPr>
          <w:ilvl w:val="0"/>
          <w:numId w:val="409"/>
        </w:numPr>
      </w:pPr>
      <w:r>
        <w:t>(R_A): Aussagerevision,</w:t>
      </w:r>
    </w:p>
    <w:p w:rsidR="000E42A8" w:rsidRDefault="000E42A8" w:rsidP="008C5E65">
      <w:pPr>
        <w:pStyle w:val="StandardWeb"/>
        <w:numPr>
          <w:ilvl w:val="0"/>
          <w:numId w:val="409"/>
        </w:numPr>
      </w:pPr>
      <w:r>
        <w:t>(R_{\mathrm{rev}}): Revisions- oder Versionskorrektur.</w:t>
      </w:r>
    </w:p>
    <w:p w:rsidR="000E42A8" w:rsidRDefault="00E50336" w:rsidP="000E42A8">
      <w:r>
        <w:pict>
          <v:rect id="_x0000_i2010" style="width:0;height:1.5pt" o:hralign="center" o:hrstd="t" o:hr="t" fillcolor="#a0a0a0" stroked="f"/>
        </w:pict>
      </w:r>
    </w:p>
    <w:p w:rsidR="000E42A8" w:rsidRDefault="000E42A8" w:rsidP="000E42A8">
      <w:pPr>
        <w:pStyle w:val="berschrift1"/>
      </w:pPr>
      <w:r>
        <w:t>3.3.42.271 Prioritätsregel der Konfliktauflösung</w:t>
      </w:r>
    </w:p>
    <w:p w:rsidR="000E42A8" w:rsidRDefault="000E42A8" w:rsidP="000E42A8">
      <w:pPr>
        <w:pStyle w:val="StandardWeb"/>
      </w:pPr>
      <w:r>
        <w:t>Ich ordne diese Operationen nicht beliebig an.</w:t>
      </w:r>
    </w:p>
    <w:p w:rsidR="000E42A8" w:rsidRDefault="000E42A8" w:rsidP="000E42A8">
      <w:pPr>
        <w:pStyle w:val="StandardWeb"/>
      </w:pPr>
      <w:r>
        <w:t>Zunächst sollen möglichst strukturell schwache Eingriffe geprüft werden.</w:t>
      </w:r>
    </w:p>
    <w:p w:rsidR="000E42A8" w:rsidRDefault="000E42A8" w:rsidP="000E42A8">
      <w:pPr>
        <w:pStyle w:val="StandardWeb"/>
      </w:pPr>
      <w:r>
        <w:t>Ich definiere daher</w:t>
      </w:r>
    </w:p>
    <w:p w:rsidR="000E42A8" w:rsidRDefault="000E42A8" w:rsidP="000E42A8">
      <w:pPr>
        <w:pStyle w:val="StandardWeb"/>
      </w:pPr>
      <w:r>
        <w:t>[</w:t>
      </w:r>
      <w:r>
        <w:br/>
        <w:t>R_{\Omega}</w:t>
      </w:r>
      <w:r>
        <w:br/>
        <w:t>\prec</w:t>
      </w:r>
      <w:r>
        <w:br/>
        <w:t>R_D</w:t>
      </w:r>
      <w:r>
        <w:br/>
        <w:t>\prec</w:t>
      </w:r>
      <w:r>
        <w:br/>
        <w:t>R_P</w:t>
      </w:r>
      <w:r>
        <w:br/>
        <w:t>\prec</w:t>
      </w:r>
      <w:r>
        <w:br/>
        <w:t>R_O</w:t>
      </w:r>
      <w:r>
        <w:br/>
        <w:t>\prec</w:t>
      </w:r>
      <w:r>
        <w:br/>
        <w:t>R_M</w:t>
      </w:r>
      <w:r>
        <w:br/>
        <w:t>\prec</w:t>
      </w:r>
      <w:r>
        <w:br/>
        <w:t>R_E</w:t>
      </w:r>
      <w:r>
        <w:br/>
        <w:t>\prec</w:t>
      </w:r>
      <w:r>
        <w:br/>
        <w:t>R_A.</w:t>
      </w:r>
      <w:r>
        <w:br/>
        <w:t>\tag{3.8194}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R_{\Omega}\prec R_D\prec R_P\prec R_O\prec R_M\prec R_E\prec R_A</w:t>
      </w:r>
    </w:p>
    <w:p w:rsidR="000E42A8" w:rsidRDefault="000E42A8" w:rsidP="000E42A8">
      <w:pPr>
        <w:pStyle w:val="StandardWeb"/>
      </w:pPr>
      <w:r>
        <w:t>Das Symbol (\prec) bezeichnet hier keine mathematische Größenordnung, sondern eine methodische Prüfpriorität.</w:t>
      </w:r>
    </w:p>
    <w:p w:rsidR="000E42A8" w:rsidRDefault="00E50336" w:rsidP="000E42A8">
      <w:r>
        <w:pict>
          <v:rect id="_x0000_i2011" style="width:0;height:1.5pt" o:hralign="center" o:hrstd="t" o:hr="t" fillcolor="#a0a0a0" stroked="f"/>
        </w:pict>
      </w:r>
    </w:p>
    <w:p w:rsidR="000E42A8" w:rsidRDefault="000E42A8" w:rsidP="000E42A8">
      <w:pPr>
        <w:pStyle w:val="berschrift1"/>
      </w:pPr>
      <w:r>
        <w:t>3.3.42.272 Minimale wissenschaftliche Revision</w:t>
      </w:r>
    </w:p>
    <w:p w:rsidR="000E42A8" w:rsidRDefault="000E42A8" w:rsidP="000E42A8">
      <w:pPr>
        <w:pStyle w:val="StandardWeb"/>
      </w:pPr>
      <w:r>
        <w:t>Ich definiere eine Änderungsdistanz</w:t>
      </w:r>
    </w:p>
    <w:p w:rsidR="000E42A8" w:rsidRDefault="000E42A8" w:rsidP="000E42A8">
      <w:pPr>
        <w:pStyle w:val="StandardWeb"/>
      </w:pPr>
      <w:r>
        <w:t>[</w:t>
      </w:r>
      <w:r>
        <w:br/>
        <w:t>d_R</w:t>
      </w:r>
      <w:r>
        <w:br/>
        <w:t>\left(</w:t>
      </w:r>
      <w:r>
        <w:br/>
        <w:t>\mathcal A,</w:t>
      </w:r>
      <w:r>
        <w:br/>
      </w:r>
      <w:r>
        <w:lastRenderedPageBreak/>
        <w:t>\mathcal A'</w:t>
      </w:r>
      <w:r>
        <w:br/>
        <w:t>\right).</w:t>
      </w:r>
      <w:r>
        <w:br/>
        <w:t>\tag{3.8195}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d_R\left(\mathcal A,\mathcal A'\right)</w:t>
      </w:r>
    </w:p>
    <w:p w:rsidR="000E42A8" w:rsidRDefault="000E42A8" w:rsidP="000E42A8">
      <w:pPr>
        <w:pStyle w:val="StandardWeb"/>
      </w:pPr>
      <w:r>
        <w:t>Eine minimale Konfliktauflösung erfüllt</w:t>
      </w:r>
    </w:p>
    <w:p w:rsidR="000E42A8" w:rsidRDefault="000E42A8" w:rsidP="000E42A8">
      <w:pPr>
        <w:pStyle w:val="berschrift1"/>
      </w:pPr>
      <w:r>
        <w:t>[</w:t>
      </w:r>
      <w:r>
        <w:br/>
        <w:t>\mathcal A^{\ast}</w:t>
      </w:r>
    </w:p>
    <w:p w:rsidR="000E42A8" w:rsidRDefault="000E42A8" w:rsidP="000E42A8">
      <w:pPr>
        <w:pStyle w:val="StandardWeb"/>
      </w:pPr>
      <w:r>
        <w:t>\arg\min_{\mathcal A'}</w:t>
      </w:r>
      <w:r>
        <w:br/>
        <w:t>d_R</w:t>
      </w:r>
      <w:r>
        <w:br/>
        <w:t>\left(</w:t>
      </w:r>
      <w:r>
        <w:br/>
        <w:t>\mathcal A,</w:t>
      </w:r>
      <w:r>
        <w:br/>
        <w:t>\mathcal A'</w:t>
      </w:r>
      <w:r>
        <w:br/>
        <w:t>\right)</w:t>
      </w:r>
      <w:r>
        <w:br/>
        <w:t>\tag{3.8196}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A^{\ast}=\arg\min_{\mathcal A'}d_R\left(\mathcal A,\mathcal A'\right)</w:t>
      </w:r>
    </w:p>
    <w:p w:rsidR="000E42A8" w:rsidRDefault="000E42A8" w:rsidP="000E42A8">
      <w:pPr>
        <w:pStyle w:val="StandardWeb"/>
      </w:pPr>
      <w:r>
        <w:t>unter den Nebenbedingungen</w:t>
      </w:r>
    </w:p>
    <w:p w:rsidR="000E42A8" w:rsidRDefault="000E42A8" w:rsidP="000E42A8">
      <w:pPr>
        <w:pStyle w:val="StandardWeb"/>
      </w:pPr>
      <w:r>
        <w:t>[</w:t>
      </w:r>
      <w:r>
        <w:br/>
        <w:t>K_F(\mathcal A')=1</w:t>
      </w:r>
      <w:r>
        <w:br/>
        <w:t>\tag{3.8197}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K_F(\mathcal A')=1</w:t>
      </w:r>
    </w:p>
    <w:p w:rsidR="000E42A8" w:rsidRDefault="000E42A8" w:rsidP="000E42A8">
      <w:pPr>
        <w:pStyle w:val="StandardWeb"/>
      </w:pPr>
      <w:r>
        <w:t>und</w:t>
      </w:r>
    </w:p>
    <w:p w:rsidR="000E42A8" w:rsidRDefault="000E42A8" w:rsidP="000E42A8">
      <w:pPr>
        <w:pStyle w:val="StandardWeb"/>
      </w:pPr>
      <w:r>
        <w:t>[</w:t>
      </w:r>
      <w:r>
        <w:br/>
        <w:t>J_R=1.</w:t>
      </w:r>
      <w:r>
        <w:br/>
        <w:t>\tag{3.8198}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J_R=1</w:t>
      </w:r>
    </w:p>
    <w:p w:rsidR="000E42A8" w:rsidRDefault="000E42A8" w:rsidP="000E42A8">
      <w:pPr>
        <w:pStyle w:val="StandardWeb"/>
      </w:pPr>
      <w:r>
        <w:lastRenderedPageBreak/>
        <w:t>Damit wird eine wissenschaftlich begründete und möglichst geringe Theorieänderung bevorzugt.</w:t>
      </w:r>
    </w:p>
    <w:p w:rsidR="000E42A8" w:rsidRDefault="00E50336" w:rsidP="000E42A8">
      <w:r>
        <w:pict>
          <v:rect id="_x0000_i2012" style="width:0;height:1.5pt" o:hralign="center" o:hrstd="t" o:hr="t" fillcolor="#a0a0a0" stroked="f"/>
        </w:pict>
      </w:r>
    </w:p>
    <w:p w:rsidR="000E42A8" w:rsidRDefault="000E42A8" w:rsidP="000E42A8">
      <w:pPr>
        <w:pStyle w:val="berschrift1"/>
      </w:pPr>
      <w:r>
        <w:t>3.3.42.273 Änderungskosten</w:t>
      </w:r>
    </w:p>
    <w:p w:rsidR="000E42A8" w:rsidRDefault="000E42A8" w:rsidP="000E42A8">
      <w:pPr>
        <w:pStyle w:val="StandardWeb"/>
      </w:pPr>
      <w:r>
        <w:t>Die Änderungsdistanz kann mehrere Komponenten besitzen:</w:t>
      </w:r>
    </w:p>
    <w:p w:rsidR="000E42A8" w:rsidRDefault="000E42A8" w:rsidP="000E42A8">
      <w:pPr>
        <w:pStyle w:val="berschrift1"/>
      </w:pPr>
      <w:r>
        <w:t>[</w:t>
      </w:r>
      <w:r>
        <w:br/>
        <w:t>d_R</w:t>
      </w:r>
    </w:p>
    <w:p w:rsidR="000E42A8" w:rsidRDefault="000E42A8" w:rsidP="000E42A8">
      <w:pPr>
        <w:pStyle w:val="StandardWeb"/>
      </w:pPr>
      <w:r>
        <w:t>w_{\Omega}d_{\Omega}</w:t>
      </w:r>
      <w:r>
        <w:br/>
        <w:t>+</w:t>
      </w:r>
      <w:r>
        <w:br/>
        <w:t>w_Dd_D</w:t>
      </w:r>
      <w:r>
        <w:br/>
        <w:t>+</w:t>
      </w:r>
      <w:r>
        <w:br/>
        <w:t>w_Pd_P</w:t>
      </w:r>
      <w:r>
        <w:br/>
        <w:t>+</w:t>
      </w:r>
      <w:r>
        <w:br/>
        <w:t>w_Od_O</w:t>
      </w:r>
      <w:r>
        <w:br/>
        <w:t>+</w:t>
      </w:r>
      <w:r>
        <w:br/>
        <w:t>w_Md_M</w:t>
      </w:r>
      <w:r>
        <w:br/>
        <w:t>+</w:t>
      </w:r>
      <w:r>
        <w:br/>
        <w:t>w_Ed_E</w:t>
      </w:r>
      <w:r>
        <w:br/>
        <w:t>+</w:t>
      </w:r>
      <w:r>
        <w:br/>
        <w:t>w_Ad_A.</w:t>
      </w:r>
      <w:r>
        <w:br/>
        <w:t>\tag{3.8199}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d_R=w_{\Omega}d_{\Omega}+w_Dd_D+w_Pd_P+w_Od_O+w_Md_M+w_Ed_E+w_Ad_A</w:t>
      </w:r>
    </w:p>
    <w:p w:rsidR="000E42A8" w:rsidRDefault="000E42A8" w:rsidP="000E42A8">
      <w:pPr>
        <w:pStyle w:val="StandardWeb"/>
      </w:pPr>
      <w:r>
        <w:t>Dabei müssen die Gewichte</w:t>
      </w:r>
    </w:p>
    <w:p w:rsidR="000E42A8" w:rsidRDefault="000E42A8" w:rsidP="000E42A8">
      <w:pPr>
        <w:pStyle w:val="StandardWeb"/>
      </w:pPr>
      <w:r>
        <w:t>[</w:t>
      </w:r>
      <w:r>
        <w:br/>
        <w:t>w_k</w:t>
      </w:r>
      <w:r>
        <w:br/>
        <w:t>]</w:t>
      </w:r>
    </w:p>
    <w:p w:rsidR="000E42A8" w:rsidRDefault="000E42A8" w:rsidP="000E42A8">
      <w:pPr>
        <w:pStyle w:val="StandardWeb"/>
      </w:pPr>
      <w:r>
        <w:t>explizit begründet werden.</w:t>
      </w:r>
    </w:p>
    <w:p w:rsidR="000E42A8" w:rsidRDefault="00E50336" w:rsidP="000E42A8">
      <w:r>
        <w:pict>
          <v:rect id="_x0000_i2013" style="width:0;height:1.5pt" o:hralign="center" o:hrstd="t" o:hr="t" fillcolor="#a0a0a0" stroked="f"/>
        </w:pict>
      </w:r>
    </w:p>
    <w:p w:rsidR="000E42A8" w:rsidRDefault="000E42A8" w:rsidP="000E42A8">
      <w:pPr>
        <w:pStyle w:val="berschrift1"/>
      </w:pPr>
      <w:r>
        <w:t>3.3.42.274 Nichtkompensierbare Aussagerevision</w:t>
      </w:r>
    </w:p>
    <w:p w:rsidR="000E42A8" w:rsidRDefault="000E42A8" w:rsidP="000E42A8">
      <w:pPr>
        <w:pStyle w:val="StandardWeb"/>
      </w:pPr>
      <w:r>
        <w:t>Eine geringe mathematische Änderungsdistanz kann wissenschaftlich dennoch unzulässig sein, wenn sie einen zentralen Aussageanspruch verändert.</w:t>
      </w:r>
    </w:p>
    <w:p w:rsidR="000E42A8" w:rsidRDefault="000E42A8" w:rsidP="000E42A8">
      <w:pPr>
        <w:pStyle w:val="StandardWeb"/>
      </w:pPr>
      <w:r>
        <w:t>Deshalb definiere ich zusätzlich einen semantischen Änderungsgrad</w:t>
      </w:r>
    </w:p>
    <w:p w:rsidR="000E42A8" w:rsidRDefault="000E42A8" w:rsidP="000E42A8">
      <w:pPr>
        <w:pStyle w:val="StandardWeb"/>
      </w:pPr>
      <w:r>
        <w:lastRenderedPageBreak/>
        <w:t>[</w:t>
      </w:r>
      <w:r>
        <w:br/>
        <w:t>d_{\mathrm{sem}}(A,A').</w:t>
      </w:r>
      <w:r>
        <w:br/>
        <w:t>\tag{3.8200}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d_{\mathrm{sem}}(A,A')</w:t>
      </w:r>
    </w:p>
    <w:p w:rsidR="000E42A8" w:rsidRDefault="000E42A8" w:rsidP="000E42A8">
      <w:pPr>
        <w:pStyle w:val="StandardWeb"/>
      </w:pPr>
      <w:r>
        <w:t>Eine zulässige Minimalrevision muss damit sowohl formal als auch semantisch bewertet werden.</w:t>
      </w:r>
    </w:p>
    <w:p w:rsidR="000E42A8" w:rsidRDefault="00E50336" w:rsidP="000E42A8">
      <w:r>
        <w:pict>
          <v:rect id="_x0000_i2014" style="width:0;height:1.5pt" o:hralign="center" o:hrstd="t" o:hr="t" fillcolor="#a0a0a0" stroked="f"/>
        </w:pict>
      </w:r>
    </w:p>
    <w:p w:rsidR="000E42A8" w:rsidRDefault="000E42A8" w:rsidP="000E42A8">
      <w:pPr>
        <w:pStyle w:val="berschrift1"/>
      </w:pPr>
      <w:r>
        <w:t>3.3.42.275 Konfliktauflösung durch Domänentrennung</w:t>
      </w:r>
    </w:p>
    <w:p w:rsidR="000E42A8" w:rsidRDefault="000E42A8" w:rsidP="000E42A8">
      <w:pPr>
        <w:pStyle w:val="StandardWeb"/>
      </w:pPr>
      <w:r>
        <w:t>Ein scheinbarer Widerspruch kann durch unterschiedliche Gültigkeitsräume entstehen.</w:t>
      </w:r>
    </w:p>
    <w:p w:rsidR="000E42A8" w:rsidRDefault="000E42A8" w:rsidP="000E42A8">
      <w:pPr>
        <w:pStyle w:val="StandardWeb"/>
      </w:pPr>
      <w:r>
        <w:t>Seien</w:t>
      </w:r>
    </w:p>
    <w:p w:rsidR="000E42A8" w:rsidRDefault="000E42A8" w:rsidP="000E42A8">
      <w:pPr>
        <w:pStyle w:val="StandardWeb"/>
      </w:pPr>
      <w:r>
        <w:t>[</w:t>
      </w:r>
      <w:r>
        <w:br/>
        <w:t>\Omega_i</w:t>
      </w:r>
      <w:r>
        <w:br/>
        <w:t>\quad\text{und}\quad</w:t>
      </w:r>
      <w:r>
        <w:br/>
        <w:t>\Omega_j</w:t>
      </w:r>
      <w:r>
        <w:br/>
        <w:t>\tag{3.8201}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\Omega_i\quad\text{und}\quad\Omega_j</w:t>
      </w:r>
    </w:p>
    <w:p w:rsidR="000E42A8" w:rsidRDefault="000E42A8" w:rsidP="000E42A8">
      <w:pPr>
        <w:pStyle w:val="StandardWeb"/>
      </w:pPr>
      <w:r>
        <w:t>nur partiell überlappend.</w:t>
      </w:r>
    </w:p>
    <w:p w:rsidR="000E42A8" w:rsidRDefault="000E42A8" w:rsidP="000E42A8">
      <w:pPr>
        <w:pStyle w:val="StandardWeb"/>
      </w:pPr>
      <w:r>
        <w:t>Dann kann die Konfliktmenge</w:t>
      </w:r>
    </w:p>
    <w:p w:rsidR="000E42A8" w:rsidRDefault="000E42A8" w:rsidP="000E42A8">
      <w:pPr>
        <w:pStyle w:val="StandardWeb"/>
      </w:pPr>
      <w:r>
        <w:t>[</w:t>
      </w:r>
      <w:r>
        <w:br/>
        <w:t>\Omega_W</w:t>
      </w:r>
      <w:r>
        <w:br/>
        <w:t>\subset</w:t>
      </w:r>
      <w:r>
        <w:br/>
        <w:t>\Omega_i\cap\Omega_j</w:t>
      </w:r>
      <w:r>
        <w:br/>
        <w:t>\tag{3.8202}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\Omega_W\subset\Omega_i\cap\Omega_j</w:t>
      </w:r>
    </w:p>
    <w:p w:rsidR="000E42A8" w:rsidRDefault="000E42A8" w:rsidP="000E42A8">
      <w:pPr>
        <w:pStyle w:val="StandardWeb"/>
      </w:pPr>
      <w:r>
        <w:t>analysiert werden.</w:t>
      </w:r>
    </w:p>
    <w:p w:rsidR="000E42A8" w:rsidRDefault="000E42A8" w:rsidP="000E42A8">
      <w:pPr>
        <w:pStyle w:val="StandardWeb"/>
      </w:pPr>
      <w:r>
        <w:t>Falls gezeigt wird, dass eine der Aussagen in (\Omega_W) ursprünglich gar keinen zulässigen Gültigkeitsanspruch besaß, kann der Konflikt durch korrekte Domänenspezifikation aufgelöst werden.</w:t>
      </w:r>
    </w:p>
    <w:p w:rsidR="000E42A8" w:rsidRDefault="00E50336" w:rsidP="000E42A8">
      <w:r>
        <w:lastRenderedPageBreak/>
        <w:pict>
          <v:rect id="_x0000_i2015" style="width:0;height:1.5pt" o:hralign="center" o:hrstd="t" o:hr="t" fillcolor="#a0a0a0" stroked="f"/>
        </w:pict>
      </w:r>
    </w:p>
    <w:p w:rsidR="000E42A8" w:rsidRDefault="000E42A8" w:rsidP="000E42A8">
      <w:pPr>
        <w:pStyle w:val="berschrift1"/>
      </w:pPr>
      <w:r>
        <w:t>3.3.42.276 Domänenkorrektur</w:t>
      </w:r>
    </w:p>
    <w:p w:rsidR="000E42A8" w:rsidRDefault="000E42A8" w:rsidP="000E42A8">
      <w:pPr>
        <w:pStyle w:val="StandardWeb"/>
      </w:pPr>
      <w:r>
        <w:t>Ich schreibe</w:t>
      </w:r>
    </w:p>
    <w:p w:rsidR="000E42A8" w:rsidRDefault="000E42A8" w:rsidP="000E42A8">
      <w:pPr>
        <w:pStyle w:val="berschrift1"/>
      </w:pPr>
      <w:r>
        <w:t>[</w:t>
      </w:r>
      <w:r>
        <w:br/>
        <w:t>\Omega_i'</w:t>
      </w:r>
    </w:p>
    <w:p w:rsidR="000E42A8" w:rsidRDefault="000E42A8" w:rsidP="000E42A8">
      <w:pPr>
        <w:pStyle w:val="StandardWeb"/>
      </w:pPr>
      <w:r>
        <w:t>\Omega_i</w:t>
      </w:r>
      <w:r>
        <w:br/>
        <w:t>\setminus</w:t>
      </w:r>
      <w:r>
        <w:br/>
        <w:t>\Omega_W</w:t>
      </w:r>
      <w:r>
        <w:br/>
        <w:t>\tag{3.8203}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\Omega_i'=\Omega_i\setminus\Omega_W</w:t>
      </w:r>
    </w:p>
    <w:p w:rsidR="000E42A8" w:rsidRDefault="000E42A8" w:rsidP="000E42A8">
      <w:pPr>
        <w:pStyle w:val="StandardWeb"/>
      </w:pPr>
      <w:r>
        <w:t>nur dann als zulässige Domänenkorrektur, wenn</w:t>
      </w:r>
    </w:p>
    <w:p w:rsidR="000E42A8" w:rsidRDefault="000E42A8" w:rsidP="000E42A8">
      <w:pPr>
        <w:pStyle w:val="StandardWeb"/>
      </w:pPr>
      <w:r>
        <w:t>[</w:t>
      </w:r>
      <w:r>
        <w:br/>
        <w:t>J_{\Omega}=1.</w:t>
      </w:r>
      <w:r>
        <w:br/>
        <w:t>\tag{3.8204}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J_{\Omega}=1</w:t>
      </w:r>
    </w:p>
    <w:p w:rsidR="000E42A8" w:rsidRDefault="000E42A8" w:rsidP="000E42A8">
      <w:pPr>
        <w:pStyle w:val="StandardWeb"/>
      </w:pPr>
      <w:r>
        <w:t>Ohne unabhängige Begründung wäre dies eine ad-hoc-Anpassung.</w:t>
      </w:r>
    </w:p>
    <w:p w:rsidR="000E42A8" w:rsidRDefault="00E50336" w:rsidP="000E42A8">
      <w:r>
        <w:pict>
          <v:rect id="_x0000_i2016" style="width:0;height:1.5pt" o:hralign="center" o:hrstd="t" o:hr="t" fillcolor="#a0a0a0" stroked="f"/>
        </w:pict>
      </w:r>
    </w:p>
    <w:p w:rsidR="000E42A8" w:rsidRDefault="000E42A8" w:rsidP="000E42A8">
      <w:pPr>
        <w:pStyle w:val="berschrift1"/>
      </w:pPr>
      <w:r>
        <w:t>3.3.42.277 Konfliktauflösung durch Kontexttrennung</w:t>
      </w:r>
    </w:p>
    <w:p w:rsidR="000E42A8" w:rsidRDefault="000E42A8" w:rsidP="000E42A8">
      <w:pPr>
        <w:pStyle w:val="StandardWeb"/>
      </w:pPr>
      <w:r>
        <w:t>Zwei Aussagen können im selben formalen Variablenraum, aber unterschiedlichen Kontexten gültig sein.</w:t>
      </w:r>
    </w:p>
    <w:p w:rsidR="000E42A8" w:rsidRDefault="000E42A8" w:rsidP="000E42A8">
      <w:pPr>
        <w:pStyle w:val="StandardWeb"/>
      </w:pPr>
      <w:r>
        <w:t>Seien</w:t>
      </w:r>
    </w:p>
    <w:p w:rsidR="000E42A8" w:rsidRDefault="000E42A8" w:rsidP="000E42A8">
      <w:pPr>
        <w:pStyle w:val="StandardWeb"/>
      </w:pPr>
      <w:r>
        <w:t>[</w:t>
      </w:r>
      <w:r>
        <w:br/>
        <w:t>A_i=A(X\mid C_i)</w:t>
      </w:r>
      <w:r>
        <w:br/>
        <w:t>\tag{3.8205}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A_i=A(X\mid C_i)</w:t>
      </w:r>
    </w:p>
    <w:p w:rsidR="000E42A8" w:rsidRDefault="000E42A8" w:rsidP="000E42A8">
      <w:pPr>
        <w:pStyle w:val="StandardWeb"/>
      </w:pPr>
      <w:r>
        <w:lastRenderedPageBreak/>
        <w:t>und</w:t>
      </w:r>
    </w:p>
    <w:p w:rsidR="000E42A8" w:rsidRDefault="000E42A8" w:rsidP="000E42A8">
      <w:pPr>
        <w:pStyle w:val="StandardWeb"/>
      </w:pPr>
      <w:r>
        <w:t>[</w:t>
      </w:r>
      <w:r>
        <w:br/>
        <w:t>A_j=A(X\mid C_j).</w:t>
      </w:r>
      <w:r>
        <w:br/>
        <w:t>\tag{3.8206}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A_j=A(X\mid C_j)</w:t>
      </w:r>
    </w:p>
    <w:p w:rsidR="000E42A8" w:rsidRDefault="000E42A8" w:rsidP="000E42A8">
      <w:pPr>
        <w:pStyle w:val="StandardWeb"/>
      </w:pPr>
      <w:r>
        <w:t>Für</w:t>
      </w:r>
    </w:p>
    <w:p w:rsidR="000E42A8" w:rsidRDefault="000E42A8" w:rsidP="000E42A8">
      <w:pPr>
        <w:pStyle w:val="StandardWeb"/>
      </w:pPr>
      <w:r>
        <w:t>[</w:t>
      </w:r>
      <w:r>
        <w:br/>
        <w:t>C_i\neq C_j</w:t>
      </w:r>
      <w:r>
        <w:br/>
        <w:t>\tag{3.8207}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C_i\neq C_j</w:t>
      </w:r>
    </w:p>
    <w:p w:rsidR="000E42A8" w:rsidRDefault="000E42A8" w:rsidP="000E42A8">
      <w:pPr>
        <w:pStyle w:val="StandardWeb"/>
      </w:pPr>
      <w:r>
        <w:t>ist eine direkte Widerspruchsbehauptung nur zulässig, wenn die Kontexte funktional äquivalent sind.</w:t>
      </w:r>
    </w:p>
    <w:p w:rsidR="000E42A8" w:rsidRDefault="00E50336" w:rsidP="000E42A8">
      <w:r>
        <w:pict>
          <v:rect id="_x0000_i2017" style="width:0;height:1.5pt" o:hralign="center" o:hrstd="t" o:hr="t" fillcolor="#a0a0a0" stroked="f"/>
        </w:pict>
      </w:r>
    </w:p>
    <w:p w:rsidR="000E42A8" w:rsidRDefault="000E42A8" w:rsidP="000E42A8">
      <w:pPr>
        <w:pStyle w:val="berschrift1"/>
      </w:pPr>
      <w:r>
        <w:t>3.3.42.278 Kontextäquivalenz</w:t>
      </w:r>
    </w:p>
    <w:p w:rsidR="000E42A8" w:rsidRDefault="000E42A8" w:rsidP="000E42A8">
      <w:pPr>
        <w:pStyle w:val="StandardWeb"/>
      </w:pPr>
      <w:r>
        <w:t>Ich definiere</w:t>
      </w:r>
    </w:p>
    <w:p w:rsidR="000E42A8" w:rsidRDefault="000E42A8" w:rsidP="000E42A8">
      <w:pPr>
        <w:pStyle w:val="StandardWeb"/>
      </w:pPr>
      <w:r>
        <w:t>[</w:t>
      </w:r>
      <w:r>
        <w:br/>
        <w:t>C_i\sim_C C_j</w:t>
      </w:r>
      <w:r>
        <w:br/>
        <w:t>\tag{3.8208}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C_i\sim_C C_j</w:t>
      </w:r>
    </w:p>
    <w:p w:rsidR="000E42A8" w:rsidRDefault="000E42A8" w:rsidP="000E42A8">
      <w:pPr>
        <w:pStyle w:val="StandardWeb"/>
      </w:pPr>
      <w:r>
        <w:t>wenn beide Kontexte bezüglich der untersuchten Aussage funktional austauschbar sind.</w:t>
      </w:r>
    </w:p>
    <w:p w:rsidR="000E42A8" w:rsidRDefault="000E42A8" w:rsidP="000E42A8">
      <w:pPr>
        <w:pStyle w:val="StandardWeb"/>
      </w:pPr>
      <w:r>
        <w:t>Dann gilt nur bei</w:t>
      </w:r>
    </w:p>
    <w:p w:rsidR="000E42A8" w:rsidRDefault="000E42A8" w:rsidP="000E42A8">
      <w:pPr>
        <w:pStyle w:val="StandardWeb"/>
      </w:pPr>
      <w:r>
        <w:t>[</w:t>
      </w:r>
      <w:r>
        <w:br/>
        <w:t>C_i\sim_C C_j</w:t>
      </w:r>
      <w:r>
        <w:br/>
        <w:t>\tag{3.8209}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C_i\sim_C C_j</w:t>
      </w:r>
    </w:p>
    <w:p w:rsidR="000E42A8" w:rsidRDefault="000E42A8" w:rsidP="000E42A8">
      <w:pPr>
        <w:pStyle w:val="StandardWeb"/>
      </w:pPr>
      <w:r>
        <w:t>eine direkte Konsistenzprüfung als wissenschaftlich zulässig.</w:t>
      </w:r>
    </w:p>
    <w:p w:rsidR="000E42A8" w:rsidRDefault="00E50336" w:rsidP="000E42A8">
      <w:r>
        <w:pict>
          <v:rect id="_x0000_i2018" style="width:0;height:1.5pt" o:hralign="center" o:hrstd="t" o:hr="t" fillcolor="#a0a0a0" stroked="f"/>
        </w:pict>
      </w:r>
    </w:p>
    <w:p w:rsidR="000E42A8" w:rsidRDefault="000E42A8" w:rsidP="000E42A8">
      <w:pPr>
        <w:pStyle w:val="berschrift1"/>
      </w:pPr>
      <w:r>
        <w:t>3.3.42.279 Konfliktauflösung durch Definitionspräzisierung</w:t>
      </w:r>
    </w:p>
    <w:p w:rsidR="000E42A8" w:rsidRDefault="000E42A8" w:rsidP="000E42A8">
      <w:pPr>
        <w:pStyle w:val="StandardWeb"/>
      </w:pPr>
      <w:r>
        <w:t>Ein Definitionskonflikt kann dadurch entstehen, dass derselbe Begriff in zwei Teiltheorien unterschiedlich verwendet wird.</w:t>
      </w:r>
    </w:p>
    <w:p w:rsidR="000E42A8" w:rsidRDefault="000E42A8" w:rsidP="000E42A8">
      <w:pPr>
        <w:pStyle w:val="StandardWeb"/>
      </w:pPr>
      <w:r>
        <w:t>Seien</w:t>
      </w:r>
    </w:p>
    <w:p w:rsidR="000E42A8" w:rsidRDefault="000E42A8" w:rsidP="000E42A8">
      <w:pPr>
        <w:pStyle w:val="StandardWeb"/>
      </w:pPr>
      <w:r>
        <w:t>[</w:t>
      </w:r>
      <w:r>
        <w:br/>
        <w:t>D_i(X)</w:t>
      </w:r>
      <w:r>
        <w:br/>
        <w:t>\neq</w:t>
      </w:r>
      <w:r>
        <w:br/>
        <w:t>D_j(X).</w:t>
      </w:r>
      <w:r>
        <w:br/>
        <w:t>\tag{3.8210}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D_i(X)\neq D_j(X)</w:t>
      </w:r>
    </w:p>
    <w:p w:rsidR="000E42A8" w:rsidRDefault="000E42A8" w:rsidP="000E42A8">
      <w:pPr>
        <w:pStyle w:val="StandardWeb"/>
      </w:pPr>
      <w:r>
        <w:t>Eine mögliche Auflösung besteht darin, die Begriffe explizit zu trennen:</w:t>
      </w:r>
    </w:p>
    <w:p w:rsidR="000E42A8" w:rsidRDefault="000E42A8" w:rsidP="000E42A8">
      <w:pPr>
        <w:pStyle w:val="StandardWeb"/>
      </w:pPr>
      <w:r>
        <w:t>[</w:t>
      </w:r>
      <w:r>
        <w:br/>
        <w:t>X_i</w:t>
      </w:r>
      <w:r>
        <w:br/>
        <w:t>\neq</w:t>
      </w:r>
      <w:r>
        <w:br/>
        <w:t>X_j.</w:t>
      </w:r>
      <w:r>
        <w:br/>
        <w:t>\tag{3.8211}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X_i\neq X_j</w:t>
      </w:r>
    </w:p>
    <w:p w:rsidR="000E42A8" w:rsidRDefault="000E42A8" w:rsidP="000E42A8">
      <w:pPr>
        <w:pStyle w:val="StandardWeb"/>
      </w:pPr>
      <w:r>
        <w:t>Damit wird aus einem scheinbaren Definitionswiderspruch eine definierte semantische Differenz.</w:t>
      </w:r>
    </w:p>
    <w:p w:rsidR="000E42A8" w:rsidRDefault="00E50336" w:rsidP="000E42A8">
      <w:r>
        <w:pict>
          <v:rect id="_x0000_i2019" style="width:0;height:1.5pt" o:hralign="center" o:hrstd="t" o:hr="t" fillcolor="#a0a0a0" stroked="f"/>
        </w:pict>
      </w:r>
    </w:p>
    <w:p w:rsidR="000E42A8" w:rsidRDefault="000E42A8" w:rsidP="000E42A8">
      <w:pPr>
        <w:pStyle w:val="berschrift1"/>
      </w:pPr>
      <w:r>
        <w:t>3.3.42.280 Definitionsspezialisierung</w:t>
      </w:r>
    </w:p>
    <w:p w:rsidR="000E42A8" w:rsidRDefault="000E42A8" w:rsidP="000E42A8">
      <w:pPr>
        <w:pStyle w:val="StandardWeb"/>
      </w:pPr>
      <w:r>
        <w:t>Alternativ kann eine Definition als Spezialfall einer anderen erkannt werden:</w:t>
      </w:r>
    </w:p>
    <w:p w:rsidR="000E42A8" w:rsidRDefault="000E42A8" w:rsidP="000E42A8">
      <w:pPr>
        <w:pStyle w:val="StandardWeb"/>
      </w:pPr>
      <w:r>
        <w:t>[</w:t>
      </w:r>
      <w:r>
        <w:br/>
        <w:t>D_j</w:t>
      </w:r>
      <w:r>
        <w:br/>
        <w:t>\subset</w:t>
      </w:r>
      <w:r>
        <w:br/>
      </w:r>
      <w:r>
        <w:lastRenderedPageBreak/>
        <w:t>D_i.</w:t>
      </w:r>
      <w:r>
        <w:br/>
        <w:t>\tag{3.8212}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D_j\subset D_i</w:t>
      </w:r>
    </w:p>
    <w:p w:rsidR="000E42A8" w:rsidRDefault="000E42A8" w:rsidP="000E42A8">
      <w:pPr>
        <w:pStyle w:val="StandardWeb"/>
      </w:pPr>
      <w:r>
        <w:t>Dann besteht kein notwendiger Widerspruch, sondern eine Hierarchie von Begriffen.</w:t>
      </w:r>
    </w:p>
    <w:p w:rsidR="000E42A8" w:rsidRDefault="00E50336" w:rsidP="000E42A8">
      <w:r>
        <w:pict>
          <v:rect id="_x0000_i2020" style="width:0;height:1.5pt" o:hralign="center" o:hrstd="t" o:hr="t" fillcolor="#a0a0a0" stroked="f"/>
        </w:pict>
      </w:r>
    </w:p>
    <w:p w:rsidR="000E42A8" w:rsidRDefault="000E42A8" w:rsidP="000E42A8">
      <w:pPr>
        <w:pStyle w:val="berschrift1"/>
      </w:pPr>
      <w:r>
        <w:t>3.3.42.281 Definitionsäquivalenz</w:t>
      </w:r>
    </w:p>
    <w:p w:rsidR="000E42A8" w:rsidRDefault="000E42A8" w:rsidP="000E42A8">
      <w:pPr>
        <w:pStyle w:val="StandardWeb"/>
      </w:pPr>
      <w:r>
        <w:t>Zwei formal verschiedene Definitionen können auch äquivalent sein:</w:t>
      </w:r>
    </w:p>
    <w:p w:rsidR="000E42A8" w:rsidRDefault="000E42A8" w:rsidP="000E42A8">
      <w:pPr>
        <w:pStyle w:val="StandardWeb"/>
      </w:pPr>
      <w:r>
        <w:t>[</w:t>
      </w:r>
      <w:r>
        <w:br/>
        <w:t>D_i</w:t>
      </w:r>
      <w:r>
        <w:br/>
        <w:t>\equiv</w:t>
      </w:r>
      <w:r>
        <w:br/>
        <w:t>D_j.</w:t>
      </w:r>
      <w:r>
        <w:br/>
        <w:t>\tag{3.8213}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D_i\equiv D_j</w:t>
      </w:r>
    </w:p>
    <w:p w:rsidR="000E42A8" w:rsidRDefault="000E42A8" w:rsidP="000E42A8">
      <w:pPr>
        <w:pStyle w:val="StandardWeb"/>
      </w:pPr>
      <w:r>
        <w:t>In diesem Fall ist der vermutete Konflikt vollständig semantisch aufgelöst.</w:t>
      </w:r>
    </w:p>
    <w:p w:rsidR="000E42A8" w:rsidRDefault="00E50336" w:rsidP="000E42A8">
      <w:r>
        <w:pict>
          <v:rect id="_x0000_i2021" style="width:0;height:1.5pt" o:hralign="center" o:hrstd="t" o:hr="t" fillcolor="#a0a0a0" stroked="f"/>
        </w:pict>
      </w:r>
    </w:p>
    <w:p w:rsidR="000E42A8" w:rsidRDefault="000E42A8" w:rsidP="000E42A8">
      <w:pPr>
        <w:pStyle w:val="berschrift1"/>
      </w:pPr>
      <w:r>
        <w:t>3.3.42.282 Konfliktauflösung durch Parameterabgleich</w:t>
      </w:r>
    </w:p>
    <w:p w:rsidR="000E42A8" w:rsidRDefault="000E42A8" w:rsidP="000E42A8">
      <w:pPr>
        <w:pStyle w:val="StandardWeb"/>
      </w:pPr>
      <w:r>
        <w:t>Seien</w:t>
      </w:r>
    </w:p>
    <w:p w:rsidR="000E42A8" w:rsidRDefault="000E42A8" w:rsidP="000E42A8">
      <w:pPr>
        <w:pStyle w:val="StandardWeb"/>
      </w:pPr>
      <w:r>
        <w:t>[</w:t>
      </w:r>
      <w:r>
        <w:br/>
        <w:t>A_i=A(\boldsymbol\theta_i)</w:t>
      </w:r>
      <w:r>
        <w:br/>
        <w:t>\tag{3.8214}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A_i=A(\boldsymbol\theta_i)</w:t>
      </w:r>
    </w:p>
    <w:p w:rsidR="000E42A8" w:rsidRDefault="000E42A8" w:rsidP="000E42A8">
      <w:pPr>
        <w:pStyle w:val="StandardWeb"/>
      </w:pPr>
      <w:r>
        <w:t>und</w:t>
      </w:r>
    </w:p>
    <w:p w:rsidR="000E42A8" w:rsidRDefault="000E42A8" w:rsidP="000E42A8">
      <w:pPr>
        <w:pStyle w:val="StandardWeb"/>
      </w:pPr>
      <w:r>
        <w:t>[</w:t>
      </w:r>
      <w:r>
        <w:br/>
        <w:t>A_j=A(\boldsymbol\theta_j).</w:t>
      </w:r>
      <w:r>
        <w:br/>
        <w:t>\tag{3.8215}</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A_j=A(\boldsymbol\theta_j)</w:t>
      </w:r>
    </w:p>
    <w:p w:rsidR="000E42A8" w:rsidRDefault="000E42A8" w:rsidP="000E42A8">
      <w:pPr>
        <w:pStyle w:val="StandardWeb"/>
      </w:pPr>
      <w:r>
        <w:t>Vor einem Widerspruchstest müssen beide Aussagen auf denselben Parameterzustand abgebildet werden.</w:t>
      </w:r>
    </w:p>
    <w:p w:rsidR="000E42A8" w:rsidRDefault="000E42A8" w:rsidP="000E42A8">
      <w:pPr>
        <w:pStyle w:val="StandardWeb"/>
      </w:pPr>
      <w:r>
        <w:t>Ich definiere eine Parametertransformation</w:t>
      </w:r>
    </w:p>
    <w:p w:rsidR="000E42A8" w:rsidRDefault="000E42A8" w:rsidP="000E42A8">
      <w:pPr>
        <w:pStyle w:val="StandardWeb"/>
      </w:pPr>
      <w:r>
        <w:t>[</w:t>
      </w:r>
      <w:r>
        <w:br/>
        <w:t>T_{\theta}:</w:t>
      </w:r>
      <w:r>
        <w:br/>
        <w:t>\boldsymbol\theta_i</w:t>
      </w:r>
      <w:r>
        <w:br/>
        <w:t>\rightarrow</w:t>
      </w:r>
      <w:r>
        <w:br/>
        <w:t>\boldsymbol\theta_j.</w:t>
      </w:r>
      <w:r>
        <w:br/>
        <w:t>\tag{3.8216}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T_{\theta}:\boldsymbol\theta_i\rightarrow\boldsymbol\theta_j</w:t>
      </w:r>
    </w:p>
    <w:p w:rsidR="000E42A8" w:rsidRDefault="00E50336" w:rsidP="000E42A8">
      <w:r>
        <w:pict>
          <v:rect id="_x0000_i2022" style="width:0;height:1.5pt" o:hralign="center" o:hrstd="t" o:hr="t" fillcolor="#a0a0a0" stroked="f"/>
        </w:pict>
      </w:r>
    </w:p>
    <w:p w:rsidR="000E42A8" w:rsidRDefault="000E42A8" w:rsidP="000E42A8">
      <w:pPr>
        <w:pStyle w:val="berschrift1"/>
      </w:pPr>
      <w:r>
        <w:t>3.3.42.283 Parameterkonsistenz nach Abgleich</w:t>
      </w:r>
    </w:p>
    <w:p w:rsidR="000E42A8" w:rsidRDefault="000E42A8" w:rsidP="000E42A8">
      <w:pPr>
        <w:pStyle w:val="StandardWeb"/>
      </w:pPr>
      <w:r>
        <w:t>Nach der Transformation wird geprüft</w:t>
      </w:r>
    </w:p>
    <w:p w:rsidR="000E42A8" w:rsidRDefault="000E42A8" w:rsidP="000E42A8">
      <w:pPr>
        <w:pStyle w:val="StandardWeb"/>
      </w:pPr>
      <w:r>
        <w:t>[</w:t>
      </w:r>
      <w:r>
        <w:br/>
        <w:t>K_F</w:t>
      </w:r>
      <w:r>
        <w:br/>
        <w:t>\left(</w:t>
      </w:r>
      <w:r>
        <w:br/>
        <w:t>T_{\theta}[A_i],</w:t>
      </w:r>
      <w:r>
        <w:br/>
        <w:t>A_j</w:t>
      </w:r>
      <w:r>
        <w:br/>
        <w:t>\right).</w:t>
      </w:r>
      <w:r>
        <w:br/>
        <w:t>\tag{3.8217}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K_F\left(T_{\theta}[A_i],A_j\right)</w:t>
      </w:r>
    </w:p>
    <w:p w:rsidR="000E42A8" w:rsidRDefault="000E42A8" w:rsidP="000E42A8">
      <w:pPr>
        <w:pStyle w:val="StandardWeb"/>
      </w:pPr>
      <w:r>
        <w:t>Erst wenn</w:t>
      </w:r>
    </w:p>
    <w:p w:rsidR="000E42A8" w:rsidRDefault="000E42A8" w:rsidP="000E42A8">
      <w:pPr>
        <w:pStyle w:val="StandardWeb"/>
      </w:pPr>
      <w:r>
        <w:t>[</w:t>
      </w:r>
      <w:r>
        <w:br/>
        <w:t>K_F</w:t>
      </w:r>
      <w:r>
        <w:br/>
        <w:t>\left(</w:t>
      </w:r>
      <w:r>
        <w:br/>
        <w:t>T_{\theta}[A_i],</w:t>
      </w:r>
      <w:r>
        <w:br/>
        <w:t>A_j</w:t>
      </w:r>
      <w:r>
        <w:br/>
        <w:t>\right)=0</w:t>
      </w:r>
      <w:r>
        <w:br/>
        <w:t>\tag{3.8218}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K_F\left(T_{\theta}[A_i],A_j\right)=0</w:t>
      </w:r>
    </w:p>
    <w:p w:rsidR="000E42A8" w:rsidRDefault="000E42A8" w:rsidP="000E42A8">
      <w:pPr>
        <w:pStyle w:val="StandardWeb"/>
      </w:pPr>
      <w:r>
        <w:t>bleibt ein echter Parameter-unabhängiger Konflikt bestehen.</w:t>
      </w:r>
    </w:p>
    <w:p w:rsidR="000E42A8" w:rsidRDefault="00E50336" w:rsidP="000E42A8">
      <w:r>
        <w:pict>
          <v:rect id="_x0000_i2023" style="width:0;height:1.5pt" o:hralign="center" o:hrstd="t" o:hr="t" fillcolor="#a0a0a0" stroked="f"/>
        </w:pict>
      </w:r>
    </w:p>
    <w:p w:rsidR="000E42A8" w:rsidRDefault="000E42A8" w:rsidP="000E42A8">
      <w:pPr>
        <w:pStyle w:val="berschrift1"/>
      </w:pPr>
      <w:r>
        <w:t>3.3.42.284 Operationalisierungsabgleich</w:t>
      </w:r>
    </w:p>
    <w:p w:rsidR="000E42A8" w:rsidRDefault="000E42A8" w:rsidP="000E42A8">
      <w:pPr>
        <w:pStyle w:val="StandardWeb"/>
      </w:pPr>
      <w:r>
        <w:t>Analog seien</w:t>
      </w:r>
    </w:p>
    <w:p w:rsidR="000E42A8" w:rsidRDefault="000E42A8" w:rsidP="000E42A8">
      <w:pPr>
        <w:pStyle w:val="StandardWeb"/>
      </w:pPr>
      <w:r>
        <w:t>[</w:t>
      </w:r>
      <w:r>
        <w:br/>
        <w:t>A_i=A(O_i)</w:t>
      </w:r>
      <w:r>
        <w:br/>
        <w:t>\tag{3.8219}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A_i=A(O_i)</w:t>
      </w:r>
    </w:p>
    <w:p w:rsidR="000E42A8" w:rsidRDefault="000E42A8" w:rsidP="000E42A8">
      <w:pPr>
        <w:pStyle w:val="StandardWeb"/>
      </w:pPr>
      <w:r>
        <w:t>und</w:t>
      </w:r>
    </w:p>
    <w:p w:rsidR="000E42A8" w:rsidRDefault="000E42A8" w:rsidP="000E42A8">
      <w:pPr>
        <w:pStyle w:val="StandardWeb"/>
      </w:pPr>
      <w:r>
        <w:t>[</w:t>
      </w:r>
      <w:r>
        <w:br/>
        <w:t>A_j=A(O_j).</w:t>
      </w:r>
      <w:r>
        <w:br/>
        <w:t>\tag{3.8220}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A_j=A(O_j)</w:t>
      </w:r>
    </w:p>
    <w:p w:rsidR="000E42A8" w:rsidRDefault="000E42A8" w:rsidP="000E42A8">
      <w:pPr>
        <w:pStyle w:val="StandardWeb"/>
      </w:pPr>
      <w:r>
        <w:t>Eine Operationalisierungstransformation</w:t>
      </w:r>
    </w:p>
    <w:p w:rsidR="000E42A8" w:rsidRDefault="000E42A8" w:rsidP="000E42A8">
      <w:pPr>
        <w:pStyle w:val="StandardWeb"/>
      </w:pPr>
      <w:r>
        <w:t>[</w:t>
      </w:r>
      <w:r>
        <w:br/>
        <w:t>T_O:</w:t>
      </w:r>
      <w:r>
        <w:br/>
        <w:t>O_i</w:t>
      </w:r>
      <w:r>
        <w:br/>
        <w:t>\rightarrow</w:t>
      </w:r>
      <w:r>
        <w:br/>
        <w:t>O_j</w:t>
      </w:r>
      <w:r>
        <w:br/>
        <w:t>\tag{3.8221}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T_O:O_i\rightarrow O_j</w:t>
      </w:r>
    </w:p>
    <w:p w:rsidR="000E42A8" w:rsidRDefault="000E42A8" w:rsidP="000E42A8">
      <w:pPr>
        <w:pStyle w:val="StandardWeb"/>
      </w:pPr>
      <w:r>
        <w:t>erlaubt eine vergleichbare Prüfung.</w:t>
      </w:r>
    </w:p>
    <w:p w:rsidR="000E42A8" w:rsidRDefault="00E50336" w:rsidP="000E42A8">
      <w:r>
        <w:pict>
          <v:rect id="_x0000_i2024" style="width:0;height:1.5pt" o:hralign="center" o:hrstd="t" o:hr="t" fillcolor="#a0a0a0" stroked="f"/>
        </w:pict>
      </w:r>
    </w:p>
    <w:p w:rsidR="000E42A8" w:rsidRDefault="000E42A8" w:rsidP="000E42A8">
      <w:pPr>
        <w:pStyle w:val="berschrift1"/>
      </w:pPr>
      <w:r>
        <w:t>3.3.42.285 Modellabgleich</w:t>
      </w:r>
    </w:p>
    <w:p w:rsidR="000E42A8" w:rsidRDefault="000E42A8" w:rsidP="000E42A8">
      <w:pPr>
        <w:pStyle w:val="StandardWeb"/>
      </w:pPr>
      <w:r>
        <w:t>Für zwei Modellstrukturen</w:t>
      </w:r>
    </w:p>
    <w:p w:rsidR="000E42A8" w:rsidRDefault="000E42A8" w:rsidP="000E42A8">
      <w:pPr>
        <w:pStyle w:val="StandardWeb"/>
      </w:pPr>
      <w:r>
        <w:lastRenderedPageBreak/>
        <w:t>[</w:t>
      </w:r>
      <w:r>
        <w:br/>
        <w:t>M_i</w:t>
      </w:r>
      <w:r>
        <w:br/>
        <w:t>,;</w:t>
      </w:r>
      <w:r>
        <w:br/>
        <w:t>M_j</w:t>
      </w:r>
      <w:r>
        <w:br/>
        <w:t>\tag{3.8222}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M_i,\;M_j</w:t>
      </w:r>
    </w:p>
    <w:p w:rsidR="000E42A8" w:rsidRDefault="000E42A8" w:rsidP="000E42A8">
      <w:pPr>
        <w:pStyle w:val="StandardWeb"/>
      </w:pPr>
      <w:r>
        <w:t>kann eine gemeinsame Vergleichsdarstellung</w:t>
      </w:r>
    </w:p>
    <w:p w:rsidR="000E42A8" w:rsidRDefault="000E42A8" w:rsidP="000E42A8">
      <w:pPr>
        <w:pStyle w:val="StandardWeb"/>
      </w:pPr>
      <w:r>
        <w:t>[</w:t>
      </w:r>
      <w:r>
        <w:br/>
        <w:t>\Pi_M(M_i)</w:t>
      </w:r>
      <w:r>
        <w:br/>
        <w:t>,;</w:t>
      </w:r>
      <w:r>
        <w:br/>
        <w:t>\Pi_M(M_j)</w:t>
      </w:r>
      <w:r>
        <w:br/>
        <w:t>\tag{3.8223}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\Pi_M(M_i),\;\Pi_M(M_j)</w:t>
      </w:r>
    </w:p>
    <w:p w:rsidR="000E42A8" w:rsidRDefault="000E42A8" w:rsidP="000E42A8">
      <w:pPr>
        <w:pStyle w:val="StandardWeb"/>
      </w:pPr>
      <w:r>
        <w:t>erzeugt werden.</w:t>
      </w:r>
    </w:p>
    <w:p w:rsidR="000E42A8" w:rsidRDefault="000E42A8" w:rsidP="000E42A8">
      <w:pPr>
        <w:pStyle w:val="StandardWeb"/>
      </w:pPr>
      <w:r>
        <w:t>Ein echter Modellkonflikt liegt dann vor, wenn</w:t>
      </w:r>
    </w:p>
    <w:p w:rsidR="000E42A8" w:rsidRDefault="000E42A8" w:rsidP="000E42A8">
      <w:pPr>
        <w:pStyle w:val="StandardWeb"/>
      </w:pPr>
      <w:r>
        <w:t>[</w:t>
      </w:r>
      <w:r>
        <w:br/>
        <w:t>K_F</w:t>
      </w:r>
      <w:r>
        <w:br/>
        <w:t>\left(</w:t>
      </w:r>
      <w:r>
        <w:br/>
        <w:t>\Pi_M(M_i),</w:t>
      </w:r>
      <w:r>
        <w:br/>
        <w:t>\Pi_M(M_j)</w:t>
      </w:r>
      <w:r>
        <w:br/>
        <w:t>\right)=0.</w:t>
      </w:r>
      <w:r>
        <w:br/>
        <w:t>\tag{3.8224}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K_F\left(\Pi_M(M_i),\Pi_M(M_j)\right)=0</w:t>
      </w:r>
    </w:p>
    <w:p w:rsidR="000E42A8" w:rsidRDefault="00E50336" w:rsidP="000E42A8">
      <w:r>
        <w:pict>
          <v:rect id="_x0000_i2025" style="width:0;height:1.5pt" o:hralign="center" o:hrstd="t" o:hr="t" fillcolor="#a0a0a0" stroked="f"/>
        </w:pict>
      </w:r>
    </w:p>
    <w:p w:rsidR="000E42A8" w:rsidRDefault="000E42A8" w:rsidP="000E42A8">
      <w:pPr>
        <w:pStyle w:val="berschrift1"/>
      </w:pPr>
      <w:r>
        <w:t>3.3.42.286 Konfliktauflösung durch Näherungsklasse</w:t>
      </w:r>
    </w:p>
    <w:p w:rsidR="000E42A8" w:rsidRDefault="000E42A8" w:rsidP="000E42A8">
      <w:pPr>
        <w:pStyle w:val="StandardWeb"/>
      </w:pPr>
      <w:r>
        <w:t>Zwei Gleichungen müssen nicht exakt identisch sein, wenn beide nur Näherungen darstellen.</w:t>
      </w:r>
    </w:p>
    <w:p w:rsidR="000E42A8" w:rsidRDefault="000E42A8" w:rsidP="000E42A8">
      <w:pPr>
        <w:pStyle w:val="StandardWeb"/>
      </w:pPr>
      <w:r>
        <w:t>Seien</w:t>
      </w:r>
    </w:p>
    <w:p w:rsidR="000E42A8" w:rsidRDefault="000E42A8" w:rsidP="000E42A8">
      <w:pPr>
        <w:pStyle w:val="berschrift1"/>
      </w:pPr>
      <w:r>
        <w:lastRenderedPageBreak/>
        <w:t>[</w:t>
      </w:r>
      <w:r>
        <w:br/>
        <w:t>E_i</w:t>
      </w:r>
    </w:p>
    <w:p w:rsidR="000E42A8" w:rsidRDefault="000E42A8" w:rsidP="000E42A8">
      <w:pPr>
        <w:pStyle w:val="StandardWeb"/>
      </w:pPr>
      <w:r>
        <w:t>E^{\ast}</w:t>
      </w:r>
      <w:r>
        <w:br/>
        <w:t>+</w:t>
      </w:r>
      <w:r>
        <w:br/>
        <w:t>\varepsilon_i</w:t>
      </w:r>
      <w:r>
        <w:br/>
        <w:t>\tag{3.8225}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E_i=E^{\ast}+\varepsilon_i</w:t>
      </w:r>
    </w:p>
    <w:p w:rsidR="000E42A8" w:rsidRDefault="000E42A8" w:rsidP="000E42A8">
      <w:pPr>
        <w:pStyle w:val="StandardWeb"/>
      </w:pPr>
      <w:r>
        <w:t>und</w:t>
      </w:r>
    </w:p>
    <w:p w:rsidR="000E42A8" w:rsidRDefault="000E42A8" w:rsidP="000E42A8">
      <w:pPr>
        <w:pStyle w:val="berschrift1"/>
      </w:pPr>
      <w:r>
        <w:t>[</w:t>
      </w:r>
      <w:r>
        <w:br/>
        <w:t>E_j</w:t>
      </w:r>
    </w:p>
    <w:p w:rsidR="000E42A8" w:rsidRDefault="000E42A8" w:rsidP="000E42A8">
      <w:pPr>
        <w:pStyle w:val="StandardWeb"/>
      </w:pPr>
      <w:r>
        <w:t>E^{\ast}</w:t>
      </w:r>
      <w:r>
        <w:br/>
        <w:t>+</w:t>
      </w:r>
      <w:r>
        <w:br/>
        <w:t>\varepsilon_j.</w:t>
      </w:r>
      <w:r>
        <w:br/>
        <w:t>\tag{3.8226}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E_j=E^{\ast}+\varepsilon_j</w:t>
      </w:r>
    </w:p>
    <w:p w:rsidR="000E42A8" w:rsidRDefault="000E42A8" w:rsidP="000E42A8">
      <w:pPr>
        <w:pStyle w:val="StandardWeb"/>
      </w:pPr>
      <w:r>
        <w:t>Dann kann Näherungskonsistenz gelten, obwohl</w:t>
      </w:r>
    </w:p>
    <w:p w:rsidR="000E42A8" w:rsidRDefault="000E42A8" w:rsidP="000E42A8">
      <w:pPr>
        <w:pStyle w:val="StandardWeb"/>
      </w:pPr>
      <w:r>
        <w:t>[</w:t>
      </w:r>
      <w:r>
        <w:br/>
        <w:t>E_i\neq E_j.</w:t>
      </w:r>
      <w:r>
        <w:br/>
        <w:t>\tag{3.8227}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E_i\neq E_j</w:t>
      </w:r>
    </w:p>
    <w:p w:rsidR="000E42A8" w:rsidRDefault="00E50336" w:rsidP="000E42A8">
      <w:r>
        <w:pict>
          <v:rect id="_x0000_i2026" style="width:0;height:1.5pt" o:hralign="center" o:hrstd="t" o:hr="t" fillcolor="#a0a0a0" stroked="f"/>
        </w:pict>
      </w:r>
    </w:p>
    <w:p w:rsidR="000E42A8" w:rsidRDefault="000E42A8" w:rsidP="000E42A8">
      <w:pPr>
        <w:pStyle w:val="berschrift1"/>
      </w:pPr>
      <w:r>
        <w:t>3.3.42.287 Toleranzbasierte Gleichungskonsistenz</w:t>
      </w:r>
    </w:p>
    <w:p w:rsidR="000E42A8" w:rsidRDefault="000E42A8" w:rsidP="000E42A8">
      <w:pPr>
        <w:pStyle w:val="StandardWeb"/>
      </w:pPr>
      <w:r>
        <w:t>Ich definiere</w:t>
      </w:r>
    </w:p>
    <w:p w:rsidR="000E42A8" w:rsidRDefault="000E42A8" w:rsidP="000E42A8">
      <w:pPr>
        <w:pStyle w:val="StandardWeb"/>
      </w:pPr>
      <w:r>
        <w:t>[</w:t>
      </w:r>
      <w:r>
        <w:br/>
        <w:t>K_E^{\tau}=1</w:t>
      </w:r>
      <w:r>
        <w:br/>
        <w:t>\tag{3.8228}</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K_E^{\tau}=1</w:t>
      </w:r>
    </w:p>
    <w:p w:rsidR="000E42A8" w:rsidRDefault="000E42A8" w:rsidP="000E42A8">
      <w:pPr>
        <w:pStyle w:val="StandardWeb"/>
      </w:pPr>
      <w:r>
        <w:t>wenn</w:t>
      </w:r>
    </w:p>
    <w:p w:rsidR="000E42A8" w:rsidRDefault="000E42A8" w:rsidP="000E42A8">
      <w:pPr>
        <w:pStyle w:val="StandardWeb"/>
      </w:pPr>
      <w:r>
        <w:t>[</w:t>
      </w:r>
      <w:r>
        <w:br/>
        <w:t>|E_i-E_j|</w:t>
      </w:r>
      <w:r>
        <w:br/>
        <w:t>\leq</w:t>
      </w:r>
      <w:r>
        <w:br/>
        <w:t>\tau_E.</w:t>
      </w:r>
      <w:r>
        <w:br/>
        <w:t>\tag{3.8229}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|E_i-E_j|\leq\tau_E</w:t>
      </w:r>
    </w:p>
    <w:p w:rsidR="000E42A8" w:rsidRDefault="000E42A8" w:rsidP="000E42A8">
      <w:pPr>
        <w:pStyle w:val="StandardWeb"/>
      </w:pPr>
      <w:r>
        <w:t>Die Toleranz (\tau_E) muss vor der Auswertung begründet oder aus Unsicherheiten abgeleitet sein.</w:t>
      </w:r>
    </w:p>
    <w:p w:rsidR="000E42A8" w:rsidRDefault="00E50336" w:rsidP="000E42A8">
      <w:r>
        <w:pict>
          <v:rect id="_x0000_i2027" style="width:0;height:1.5pt" o:hralign="center" o:hrstd="t" o:hr="t" fillcolor="#a0a0a0" stroked="f"/>
        </w:pict>
      </w:r>
    </w:p>
    <w:p w:rsidR="000E42A8" w:rsidRDefault="000E42A8" w:rsidP="000E42A8">
      <w:pPr>
        <w:pStyle w:val="berschrift1"/>
      </w:pPr>
      <w:r>
        <w:t>3.3.42.288 Konfliktauflösung durch Unsicherheitsüberlappung</w:t>
      </w:r>
    </w:p>
    <w:p w:rsidR="000E42A8" w:rsidRDefault="000E42A8" w:rsidP="000E42A8">
      <w:pPr>
        <w:pStyle w:val="StandardWeb"/>
      </w:pPr>
      <w:r>
        <w:t>Für zwei empirische Werte</w:t>
      </w:r>
    </w:p>
    <w:p w:rsidR="000E42A8" w:rsidRDefault="000E42A8" w:rsidP="000E42A8">
      <w:pPr>
        <w:pStyle w:val="StandardWeb"/>
      </w:pPr>
      <w:r>
        <w:t>[</w:t>
      </w:r>
      <w:r>
        <w:br/>
        <w:t>x_i\pm u_i</w:t>
      </w:r>
      <w:r>
        <w:br/>
        <w:t>\tag{3.8230}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x_i\pm u_i</w:t>
      </w:r>
    </w:p>
    <w:p w:rsidR="000E42A8" w:rsidRDefault="000E42A8" w:rsidP="000E42A8">
      <w:pPr>
        <w:pStyle w:val="StandardWeb"/>
      </w:pPr>
      <w:r>
        <w:t>und</w:t>
      </w:r>
    </w:p>
    <w:p w:rsidR="000E42A8" w:rsidRDefault="000E42A8" w:rsidP="000E42A8">
      <w:pPr>
        <w:pStyle w:val="StandardWeb"/>
      </w:pPr>
      <w:r>
        <w:t>[</w:t>
      </w:r>
      <w:r>
        <w:br/>
        <w:t>x_j\pm u_j</w:t>
      </w:r>
      <w:r>
        <w:br/>
        <w:t>\tag{3.8231}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x_j\pm u_j</w:t>
      </w:r>
    </w:p>
    <w:p w:rsidR="000E42A8" w:rsidRDefault="000E42A8" w:rsidP="000E42A8">
      <w:pPr>
        <w:pStyle w:val="StandardWeb"/>
      </w:pPr>
      <w:r>
        <w:t>kann Konsistenz trotz</w:t>
      </w:r>
    </w:p>
    <w:p w:rsidR="000E42A8" w:rsidRDefault="000E42A8" w:rsidP="000E42A8">
      <w:pPr>
        <w:pStyle w:val="StandardWeb"/>
      </w:pPr>
      <w:r>
        <w:t>[</w:t>
      </w:r>
      <w:r>
        <w:br/>
        <w:t>x_i\neq x_j</w:t>
      </w:r>
      <w:r>
        <w:br/>
      </w:r>
      <w:r>
        <w:lastRenderedPageBreak/>
        <w:t>\tag{3.8232}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x_i\neq x_j</w:t>
      </w:r>
    </w:p>
    <w:p w:rsidR="000E42A8" w:rsidRDefault="000E42A8" w:rsidP="000E42A8">
      <w:pPr>
        <w:pStyle w:val="StandardWeb"/>
      </w:pPr>
      <w:r>
        <w:t>bestehen.</w:t>
      </w:r>
    </w:p>
    <w:p w:rsidR="000E42A8" w:rsidRDefault="000E42A8" w:rsidP="000E42A8">
      <w:pPr>
        <w:pStyle w:val="StandardWeb"/>
      </w:pPr>
      <w:r>
        <w:t>Eine einfache konservative Bedingung lautet</w:t>
      </w:r>
    </w:p>
    <w:p w:rsidR="000E42A8" w:rsidRDefault="000E42A8" w:rsidP="000E42A8">
      <w:pPr>
        <w:pStyle w:val="StandardWeb"/>
      </w:pPr>
      <w:r>
        <w:t>[</w:t>
      </w:r>
      <w:r>
        <w:br/>
        <w:t>|x_i-x_j|</w:t>
      </w:r>
      <w:r>
        <w:br/>
        <w:t>\leq</w:t>
      </w:r>
      <w:r>
        <w:br/>
        <w:t>u_i+u_j.</w:t>
      </w:r>
      <w:r>
        <w:br/>
        <w:t>\tag{3.8233}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|x_i-x_j|\leq u_i+u_j</w:t>
      </w:r>
    </w:p>
    <w:p w:rsidR="000E42A8" w:rsidRDefault="00E50336" w:rsidP="000E42A8">
      <w:r>
        <w:pict>
          <v:rect id="_x0000_i2028" style="width:0;height:1.5pt" o:hralign="center" o:hrstd="t" o:hr="t" fillcolor="#a0a0a0" stroked="f"/>
        </w:pict>
      </w:r>
    </w:p>
    <w:p w:rsidR="000E42A8" w:rsidRDefault="000E42A8" w:rsidP="000E42A8">
      <w:pPr>
        <w:pStyle w:val="berschrift1"/>
      </w:pPr>
      <w:r>
        <w:t>3.3.42.289 Normierte Abweichung</w:t>
      </w:r>
    </w:p>
    <w:p w:rsidR="000E42A8" w:rsidRDefault="000E42A8" w:rsidP="000E42A8">
      <w:pPr>
        <w:pStyle w:val="StandardWeb"/>
      </w:pPr>
      <w:r>
        <w:t>Ich definiere</w:t>
      </w:r>
    </w:p>
    <w:p w:rsidR="000E42A8" w:rsidRDefault="000E42A8" w:rsidP="000E42A8">
      <w:pPr>
        <w:pStyle w:val="berschrift1"/>
      </w:pPr>
      <w:r>
        <w:t>[</w:t>
      </w:r>
      <w:r>
        <w:br/>
        <w:t>Z_{ij}</w:t>
      </w:r>
    </w:p>
    <w:p w:rsidR="000E42A8" w:rsidRDefault="000E42A8" w:rsidP="000E42A8">
      <w:pPr>
        <w:pStyle w:val="StandardWeb"/>
      </w:pPr>
      <w:r>
        <w:t>\frac{|x_i-x_j|}</w:t>
      </w:r>
      <w:r>
        <w:br/>
        <w:t>{\sqrt{u_i^2+u_j^2}}.</w:t>
      </w:r>
      <w:r>
        <w:br/>
        <w:t>\tag{3.8234}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Z_{ij}=\frac{|x_i-x_j|}{\sqrt{u_i^2+u_j^2}}</w:t>
      </w:r>
    </w:p>
    <w:p w:rsidR="000E42A8" w:rsidRDefault="000E42A8" w:rsidP="000E42A8">
      <w:pPr>
        <w:pStyle w:val="StandardWeb"/>
      </w:pPr>
      <w:r>
        <w:t>Eine konkrete Schwelle</w:t>
      </w:r>
    </w:p>
    <w:p w:rsidR="000E42A8" w:rsidRDefault="000E42A8" w:rsidP="000E42A8">
      <w:pPr>
        <w:pStyle w:val="StandardWeb"/>
      </w:pPr>
      <w:r>
        <w:t>[</w:t>
      </w:r>
      <w:r>
        <w:br/>
        <w:t>Z_{ij}</w:t>
      </w:r>
      <w:r>
        <w:br/>
        <w:t>\leq</w:t>
      </w:r>
      <w:r>
        <w:br/>
        <w:t>\tau_Z</w:t>
      </w:r>
      <w:r>
        <w:br/>
        <w:t>\tag{3.8235}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Z_{ij}\leq\tau_Z</w:t>
      </w:r>
    </w:p>
    <w:p w:rsidR="000E42A8" w:rsidRDefault="000E42A8" w:rsidP="000E42A8">
      <w:pPr>
        <w:pStyle w:val="StandardWeb"/>
      </w:pPr>
      <w:r>
        <w:t>darf nur verwendet werden, wenn ihre statistische Bedeutung explizit festgelegt ist.</w:t>
      </w:r>
    </w:p>
    <w:p w:rsidR="000E42A8" w:rsidRDefault="00E50336" w:rsidP="000E42A8">
      <w:r>
        <w:pict>
          <v:rect id="_x0000_i2029" style="width:0;height:1.5pt" o:hralign="center" o:hrstd="t" o:hr="t" fillcolor="#a0a0a0" stroked="f"/>
        </w:pict>
      </w:r>
    </w:p>
    <w:p w:rsidR="000E42A8" w:rsidRDefault="000E42A8" w:rsidP="000E42A8">
      <w:pPr>
        <w:pStyle w:val="berschrift1"/>
      </w:pPr>
      <w:r>
        <w:t>3.3.42.290 Nicht auflösbarer Konflikt</w:t>
      </w:r>
    </w:p>
    <w:p w:rsidR="000E42A8" w:rsidRDefault="000E42A8" w:rsidP="000E42A8">
      <w:pPr>
        <w:pStyle w:val="berschrift3"/>
      </w:pPr>
      <w:r>
        <w:t>Definition 3.3.51 (Nicht auflösbarer funktionaler Konflikt)</w:t>
      </w:r>
    </w:p>
    <w:p w:rsidR="000E42A8" w:rsidRDefault="000E42A8" w:rsidP="000E42A8">
      <w:pPr>
        <w:pStyle w:val="StandardWeb"/>
      </w:pPr>
      <w:r>
        <w:t>Ein funktionaler Konflikt heißt innerhalb des aktuellen Theorie- und Evidenzstandes nicht auflösbar, wenn alle zulässigen bekannten Präzisierungs-, Transformations- und Revisionsoperationen durchgeführt oder geprüft wurden und weiterhin</w:t>
      </w:r>
    </w:p>
    <w:p w:rsidR="000E42A8" w:rsidRDefault="000E42A8" w:rsidP="000E42A8">
      <w:pPr>
        <w:pStyle w:val="StandardWeb"/>
      </w:pPr>
      <w:r>
        <w:t>[</w:t>
      </w:r>
      <w:r>
        <w:br/>
        <w:t>K_F(A_i,A_j)=0</w:t>
      </w:r>
      <w:r>
        <w:br/>
        <w:t>\tag{3.8236}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K_F(A_i,A_j)=0</w:t>
      </w:r>
    </w:p>
    <w:p w:rsidR="000E42A8" w:rsidRDefault="000E42A8" w:rsidP="000E42A8">
      <w:pPr>
        <w:pStyle w:val="StandardWeb"/>
      </w:pPr>
      <w:r>
        <w:t>gilt.</w:t>
      </w:r>
    </w:p>
    <w:p w:rsidR="000E42A8" w:rsidRDefault="000E42A8" w:rsidP="000E42A8">
      <w:pPr>
        <w:pStyle w:val="StandardWeb"/>
      </w:pPr>
      <w:r>
        <w:t>Ich schreibe</w:t>
      </w:r>
    </w:p>
    <w:p w:rsidR="000E42A8" w:rsidRDefault="000E42A8" w:rsidP="000E42A8">
      <w:pPr>
        <w:pStyle w:val="StandardWeb"/>
      </w:pPr>
      <w:r>
        <w:t>[</w:t>
      </w:r>
      <w:r>
        <w:br/>
        <w:t>W_F^{\mathrm{irr}}(A_i,A_j)=1.</w:t>
      </w:r>
      <w:r>
        <w:br/>
        <w:t>\tag{3.8237}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W_F^{\mathrm{irr}}(A_i,A_j)=1</w:t>
      </w:r>
    </w:p>
    <w:p w:rsidR="000E42A8" w:rsidRDefault="000E42A8" w:rsidP="000E42A8">
      <w:pPr>
        <w:pStyle w:val="StandardWeb"/>
      </w:pPr>
      <w:r>
        <w:t xml:space="preserve">„Nicht auflösbar“ bedeutet dabei ausdrücklich </w:t>
      </w:r>
      <w:r>
        <w:rPr>
          <w:rStyle w:val="Fett"/>
        </w:rPr>
        <w:t>nicht dauerhaft unauflösbar</w:t>
      </w:r>
      <w:r>
        <w:t>, sondern nur mit dem aktuellen wissenschaftlichen Stand nicht auflösbar.</w:t>
      </w:r>
    </w:p>
    <w:p w:rsidR="000E42A8" w:rsidRDefault="00E50336" w:rsidP="000E42A8">
      <w:r>
        <w:pict>
          <v:rect id="_x0000_i2030" style="width:0;height:1.5pt" o:hralign="center" o:hrstd="t" o:hr="t" fillcolor="#a0a0a0" stroked="f"/>
        </w:pict>
      </w:r>
    </w:p>
    <w:p w:rsidR="000E42A8" w:rsidRDefault="000E42A8" w:rsidP="000E42A8">
      <w:pPr>
        <w:pStyle w:val="berschrift1"/>
      </w:pPr>
      <w:r>
        <w:t>3.3.42.291 Revisionsoffenheit nicht auflösbarer Konflikte</w:t>
      </w:r>
    </w:p>
    <w:p w:rsidR="000E42A8" w:rsidRDefault="000E42A8" w:rsidP="000E42A8">
      <w:pPr>
        <w:pStyle w:val="StandardWeb"/>
      </w:pPr>
      <w:r>
        <w:t>Es gilt</w:t>
      </w:r>
    </w:p>
    <w:p w:rsidR="000E42A8" w:rsidRDefault="000E42A8" w:rsidP="000E42A8">
      <w:pPr>
        <w:pStyle w:val="StandardWeb"/>
      </w:pPr>
      <w:r>
        <w:t>[</w:t>
      </w:r>
      <w:r>
        <w:br/>
        <w:t>W_F^{\mathrm{irr},(v)}=1</w:t>
      </w:r>
      <w:r>
        <w:br/>
        <w:t>\nRightarrow</w:t>
      </w:r>
      <w:r>
        <w:br/>
        <w:t>W_F^{\mathrm{irr},(v+1)}=1.</w:t>
      </w:r>
      <w:r>
        <w:br/>
      </w:r>
      <w:r>
        <w:lastRenderedPageBreak/>
        <w:t>\tag{3.8238}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W_F^{\mathrm{irr},(v)}=1\nRightarrow W_F^{\mathrm{irr},(v+1)}=1</w:t>
      </w:r>
    </w:p>
    <w:p w:rsidR="000E42A8" w:rsidRDefault="000E42A8" w:rsidP="000E42A8">
      <w:pPr>
        <w:pStyle w:val="StandardWeb"/>
      </w:pPr>
      <w:r>
        <w:t>Neue Evidenz oder neue Modellstrukturen können einen zuvor nicht auflösbaren Konflikt später klären.</w:t>
      </w:r>
    </w:p>
    <w:p w:rsidR="000E42A8" w:rsidRDefault="00E50336" w:rsidP="000E42A8">
      <w:r>
        <w:pict>
          <v:rect id="_x0000_i2031" style="width:0;height:1.5pt" o:hralign="center" o:hrstd="t" o:hr="t" fillcolor="#a0a0a0" stroked="f"/>
        </w:pict>
      </w:r>
    </w:p>
    <w:p w:rsidR="000E42A8" w:rsidRDefault="000E42A8" w:rsidP="000E42A8">
      <w:pPr>
        <w:pStyle w:val="berschrift1"/>
      </w:pPr>
      <w:r>
        <w:t>3.3.42.292 Konfliktarchiv</w:t>
      </w:r>
    </w:p>
    <w:p w:rsidR="000E42A8" w:rsidRDefault="000E42A8" w:rsidP="000E42A8">
      <w:pPr>
        <w:pStyle w:val="StandardWeb"/>
      </w:pPr>
      <w:r>
        <w:t>Ein nicht aufgelöster Konflikt darf nicht aus dem Repository verschwinden.</w:t>
      </w:r>
    </w:p>
    <w:p w:rsidR="000E42A8" w:rsidRDefault="000E42A8" w:rsidP="000E42A8">
      <w:pPr>
        <w:pStyle w:val="StandardWeb"/>
      </w:pPr>
      <w:r>
        <w:t>Ich definiere ein Konfliktarchiv</w:t>
      </w:r>
    </w:p>
    <w:p w:rsidR="000E42A8" w:rsidRDefault="000E42A8" w:rsidP="000E42A8">
      <w:pPr>
        <w:pStyle w:val="berschrift1"/>
      </w:pPr>
      <w:r>
        <w:t>[</w:t>
      </w:r>
      <w:r>
        <w:br/>
        <w:t>\mathcal A_W</w:t>
      </w:r>
    </w:p>
    <w:p w:rsidR="000E42A8" w:rsidRDefault="000E42A8" w:rsidP="000E42A8">
      <w:pPr>
        <w:pStyle w:val="StandardWeb"/>
      </w:pPr>
      <w:r>
        <w:t>\left{</w:t>
      </w:r>
      <w:r>
        <w:br/>
        <w:t>W_1,\ldots,W_m</w:t>
      </w:r>
      <w:r>
        <w:br/>
        <w:t>\right}.</w:t>
      </w:r>
      <w:r>
        <w:br/>
        <w:t>\tag{3.8239}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A_W=\left\{W_1,\ldots,W_m\right\}</w:t>
      </w:r>
    </w:p>
    <w:p w:rsidR="000E42A8" w:rsidRDefault="000E42A8" w:rsidP="000E42A8">
      <w:pPr>
        <w:pStyle w:val="StandardWeb"/>
      </w:pPr>
      <w:r>
        <w:t>Jeder Eintrag soll mindestens enthalten</w:t>
      </w:r>
    </w:p>
    <w:p w:rsidR="000E42A8" w:rsidRDefault="000E42A8" w:rsidP="000E42A8">
      <w:pPr>
        <w:pStyle w:val="berschrift1"/>
      </w:pPr>
      <w:r>
        <w:t>[</w:t>
      </w:r>
      <w:r>
        <w:br/>
        <w:t>W_k</w:t>
      </w:r>
    </w:p>
    <w:p w:rsidR="000E42A8" w:rsidRDefault="000E42A8" w:rsidP="000E42A8">
      <w:pPr>
        <w:pStyle w:val="StandardWeb"/>
      </w:pPr>
      <w:r>
        <w:t>\left(</w:t>
      </w:r>
      <w:r>
        <w:br/>
        <w:t>o_i,</w:t>
      </w:r>
      <w:r>
        <w:br/>
        <w:t>o_j,</w:t>
      </w:r>
      <w:r>
        <w:br/>
        <w:t>v,</w:t>
      </w:r>
      <w:r>
        <w:br/>
        <w:t>\Sigma_W,</w:t>
      </w:r>
      <w:r>
        <w:br/>
        <w:t>s_W,</w:t>
      </w:r>
      <w:r>
        <w:br/>
        <w:t>E_W</w:t>
      </w:r>
      <w:r>
        <w:br/>
        <w:t>\right),</w:t>
      </w:r>
      <w:r>
        <w:br/>
        <w:t>\tag{3.8240}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W_k=\left(o_i,o_j,v,\Sigma_W,s_W,E_W\right)</w:t>
      </w:r>
    </w:p>
    <w:p w:rsidR="000E42A8" w:rsidRDefault="000E42A8" w:rsidP="000E42A8">
      <w:pPr>
        <w:pStyle w:val="StandardWeb"/>
      </w:pPr>
      <w:r>
        <w:t>wobei (s_W) den Konfliktstatus und (E_W) die dazugehörige Evidenz beschreibt.</w:t>
      </w:r>
    </w:p>
    <w:p w:rsidR="000E42A8" w:rsidRDefault="00E50336" w:rsidP="000E42A8">
      <w:r>
        <w:pict>
          <v:rect id="_x0000_i2032" style="width:0;height:1.5pt" o:hralign="center" o:hrstd="t" o:hr="t" fillcolor="#a0a0a0" stroked="f"/>
        </w:pict>
      </w:r>
    </w:p>
    <w:p w:rsidR="000E42A8" w:rsidRDefault="000E42A8" w:rsidP="000E42A8">
      <w:pPr>
        <w:pStyle w:val="berschrift1"/>
      </w:pPr>
      <w:r>
        <w:t>3.3.42.293 Konfliktpersistenz</w:t>
      </w:r>
    </w:p>
    <w:p w:rsidR="000E42A8" w:rsidRDefault="000E42A8" w:rsidP="000E42A8">
      <w:pPr>
        <w:pStyle w:val="StandardWeb"/>
      </w:pPr>
      <w:r>
        <w:t>Ich definiere die Persistenz eines Konflikts über Revisionen als</w:t>
      </w:r>
    </w:p>
    <w:p w:rsidR="000E42A8" w:rsidRDefault="000E42A8" w:rsidP="000E42A8">
      <w:pPr>
        <w:pStyle w:val="berschrift1"/>
      </w:pPr>
      <w:r>
        <w:t>[</w:t>
      </w:r>
      <w:r>
        <w:br/>
        <w:t>P_W</w:t>
      </w:r>
    </w:p>
    <w:p w:rsidR="000E42A8" w:rsidRDefault="000E42A8" w:rsidP="000E42A8">
      <w:pPr>
        <w:pStyle w:val="berschrift2"/>
      </w:pPr>
      <w:r>
        <w:t>v_{\mathrm{aktuell}}</w:t>
      </w:r>
    </w:p>
    <w:p w:rsidR="000E42A8" w:rsidRDefault="000E42A8" w:rsidP="000E42A8">
      <w:pPr>
        <w:pStyle w:val="StandardWeb"/>
      </w:pPr>
      <w:r>
        <w:t>v_{\mathrm{erst}}</w:t>
      </w:r>
      <w:r>
        <w:br/>
        <w:t>\tag{3.8241}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P_W=v_{\mathrm{aktuell}}-v_{\mathrm{erst}}</w:t>
      </w:r>
    </w:p>
    <w:p w:rsidR="000E42A8" w:rsidRDefault="000E42A8" w:rsidP="000E42A8">
      <w:pPr>
        <w:pStyle w:val="StandardWeb"/>
      </w:pPr>
      <w:r>
        <w:t>in einer geeigneten Revisionsmetrik.</w:t>
      </w:r>
    </w:p>
    <w:p w:rsidR="000E42A8" w:rsidRDefault="000E42A8" w:rsidP="000E42A8">
      <w:pPr>
        <w:pStyle w:val="StandardWeb"/>
      </w:pPr>
      <w:r>
        <w:t>Eine hohe Persistenz weist auf einen langanhaltenden offenen Theorie- oder Modellkonflikt hin.</w:t>
      </w:r>
    </w:p>
    <w:p w:rsidR="000E42A8" w:rsidRDefault="00E50336" w:rsidP="000E42A8">
      <w:r>
        <w:pict>
          <v:rect id="_x0000_i2033" style="width:0;height:1.5pt" o:hralign="center" o:hrstd="t" o:hr="t" fillcolor="#a0a0a0" stroked="f"/>
        </w:pict>
      </w:r>
    </w:p>
    <w:p w:rsidR="000E42A8" w:rsidRDefault="000E42A8" w:rsidP="000E42A8">
      <w:pPr>
        <w:pStyle w:val="berschrift1"/>
      </w:pPr>
      <w:r>
        <w:t>3.3.42.294 Konfliktdauer ist kein Wahrheitskriterium</w:t>
      </w:r>
    </w:p>
    <w:p w:rsidR="000E42A8" w:rsidRDefault="000E42A8" w:rsidP="000E42A8">
      <w:pPr>
        <w:pStyle w:val="StandardWeb"/>
      </w:pPr>
      <w:r>
        <w:t>Es gilt</w:t>
      </w:r>
    </w:p>
    <w:p w:rsidR="000E42A8" w:rsidRDefault="000E42A8" w:rsidP="000E42A8">
      <w:pPr>
        <w:pStyle w:val="StandardWeb"/>
      </w:pPr>
      <w:r>
        <w:t>[</w:t>
      </w:r>
      <w:r>
        <w:br/>
        <w:t>P_W\text{ groß}</w:t>
      </w:r>
      <w:r>
        <w:br/>
        <w:t>\nRightarrow</w:t>
      </w:r>
      <w:r>
        <w:br/>
        <w:t>\text{eine bestimmte Seite ist falsch}.</w:t>
      </w:r>
      <w:r>
        <w:br/>
        <w:t>\tag{3.8242}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P_W\text{ groß}\nRightarrow\text{eine bestimmte Seite ist falsch}</w:t>
      </w:r>
    </w:p>
    <w:p w:rsidR="000E42A8" w:rsidRDefault="000E42A8" w:rsidP="000E42A8">
      <w:pPr>
        <w:pStyle w:val="StandardWeb"/>
      </w:pPr>
      <w:r>
        <w:t>Die Dauer eines Konflikts beschreibt ausschließlich seine ungelöste Persistenz.</w:t>
      </w:r>
    </w:p>
    <w:p w:rsidR="000E42A8" w:rsidRDefault="00E50336" w:rsidP="000E42A8">
      <w:r>
        <w:pict>
          <v:rect id="_x0000_i2034" style="width:0;height:1.5pt" o:hralign="center" o:hrstd="t" o:hr="t" fillcolor="#a0a0a0" stroked="f"/>
        </w:pict>
      </w:r>
    </w:p>
    <w:p w:rsidR="000E42A8" w:rsidRDefault="000E42A8" w:rsidP="000E42A8">
      <w:pPr>
        <w:pStyle w:val="berschrift1"/>
      </w:pPr>
      <w:r>
        <w:lastRenderedPageBreak/>
        <w:t>3.3.42.295 Konflikt zwischen konkurrierenden Modellen</w:t>
      </w:r>
    </w:p>
    <w:p w:rsidR="000E42A8" w:rsidRDefault="000E42A8" w:rsidP="000E42A8">
      <w:pPr>
        <w:pStyle w:val="StandardWeb"/>
      </w:pPr>
      <w:r>
        <w:t>Seien zwei Modelle</w:t>
      </w:r>
    </w:p>
    <w:p w:rsidR="000E42A8" w:rsidRDefault="000E42A8" w:rsidP="000E42A8">
      <w:pPr>
        <w:pStyle w:val="StandardWeb"/>
      </w:pPr>
      <w:r>
        <w:t>[</w:t>
      </w:r>
      <w:r>
        <w:br/>
        <w:t>M_1</w:t>
      </w:r>
      <w:r>
        <w:br/>
        <w:t>,;</w:t>
      </w:r>
      <w:r>
        <w:br/>
        <w:t>M_2</w:t>
      </w:r>
      <w:r>
        <w:br/>
        <w:t>\tag{3.8243}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M_1,\;M_2</w:t>
      </w:r>
    </w:p>
    <w:p w:rsidR="000E42A8" w:rsidRDefault="000E42A8" w:rsidP="000E42A8">
      <w:pPr>
        <w:pStyle w:val="StandardWeb"/>
      </w:pPr>
      <w:r>
        <w:t>mit</w:t>
      </w:r>
    </w:p>
    <w:p w:rsidR="000E42A8" w:rsidRDefault="000E42A8" w:rsidP="000E42A8">
      <w:pPr>
        <w:pStyle w:val="StandardWeb"/>
      </w:pPr>
      <w:r>
        <w:t>[</w:t>
      </w:r>
      <w:r>
        <w:br/>
        <w:t>K_F(M_1,M_2)=0.</w:t>
      </w:r>
      <w:r>
        <w:br/>
        <w:t>\tag{3.8244}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K_F(M_1,M_2)=0</w:t>
      </w:r>
    </w:p>
    <w:p w:rsidR="000E42A8" w:rsidRDefault="000E42A8" w:rsidP="000E42A8">
      <w:pPr>
        <w:pStyle w:val="StandardWeb"/>
      </w:pPr>
      <w:r>
        <w:t>Ein solcher Konflikt kann nicht allein durch interne Konsistenz entschieden werden.</w:t>
      </w:r>
    </w:p>
    <w:p w:rsidR="000E42A8" w:rsidRDefault="00E50336" w:rsidP="000E42A8">
      <w:r>
        <w:pict>
          <v:rect id="_x0000_i2035" style="width:0;height:1.5pt" o:hralign="center" o:hrstd="t" o:hr="t" fillcolor="#a0a0a0" stroked="f"/>
        </w:pict>
      </w:r>
    </w:p>
    <w:p w:rsidR="000E42A8" w:rsidRDefault="000E42A8" w:rsidP="000E42A8">
      <w:pPr>
        <w:pStyle w:val="berschrift1"/>
      </w:pPr>
      <w:r>
        <w:t>3.3.42.296 Modellvergleichsvektor</w:t>
      </w:r>
    </w:p>
    <w:p w:rsidR="000E42A8" w:rsidRDefault="000E42A8" w:rsidP="000E42A8">
      <w:pPr>
        <w:pStyle w:val="StandardWeb"/>
      </w:pPr>
      <w:r>
        <w:t>Ich definiere deshalb einen Vergleichsvektor</w:t>
      </w:r>
    </w:p>
    <w:p w:rsidR="000E42A8" w:rsidRDefault="000E42A8" w:rsidP="000E42A8">
      <w:pPr>
        <w:pStyle w:val="berschrift1"/>
      </w:pPr>
      <w:r>
        <w:t>[</w:t>
      </w:r>
      <w:r>
        <w:br/>
        <w:t>\mathbf Q_M</w:t>
      </w:r>
    </w:p>
    <w:p w:rsidR="000E42A8" w:rsidRDefault="000E42A8" w:rsidP="000E42A8">
      <w:pPr>
        <w:pStyle w:val="StandardWeb"/>
      </w:pPr>
      <w:r>
        <w:t>\left(</w:t>
      </w:r>
      <w:r>
        <w:br/>
        <w:t>R_S,</w:t>
      </w:r>
      <w:r>
        <w:br/>
        <w:t>R_K,</w:t>
      </w:r>
      <w:r>
        <w:br/>
        <w:t>V,</w:t>
      </w:r>
      <w:r>
        <w:br/>
        <w:t>E,</w:t>
      </w:r>
      <w:r>
        <w:br/>
        <w:t>U,</w:t>
      </w:r>
      <w:r>
        <w:br/>
        <w:t>C,</w:t>
      </w:r>
      <w:r>
        <w:br/>
        <w:t>P</w:t>
      </w:r>
      <w:r>
        <w:br/>
        <w:t>\right),</w:t>
      </w:r>
      <w:r>
        <w:br/>
      </w:r>
      <w:r>
        <w:lastRenderedPageBreak/>
        <w:t>\tag{3.8245}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\mathbf Q_M=\left(R_S,R_K,V,E,U,C,P\right)</w:t>
      </w:r>
    </w:p>
    <w:p w:rsidR="000E42A8" w:rsidRDefault="000E42A8" w:rsidP="000E42A8">
      <w:pPr>
        <w:pStyle w:val="StandardWeb"/>
      </w:pPr>
      <w:r>
        <w:t>mit Stabilität, Konsistenz, Validität, Evidenz, Unsicherheit, Komplexität und Prognoseleistung.</w:t>
      </w:r>
    </w:p>
    <w:p w:rsidR="000E42A8" w:rsidRDefault="00E50336" w:rsidP="000E42A8">
      <w:r>
        <w:pict>
          <v:rect id="_x0000_i2036" style="width:0;height:1.5pt" o:hralign="center" o:hrstd="t" o:hr="t" fillcolor="#a0a0a0" stroked="f"/>
        </w:pict>
      </w:r>
    </w:p>
    <w:p w:rsidR="000E42A8" w:rsidRDefault="000E42A8" w:rsidP="000E42A8">
      <w:pPr>
        <w:pStyle w:val="berschrift1"/>
      </w:pPr>
      <w:r>
        <w:t>3.3.42.297 Kein automatischer Modellsieger</w:t>
      </w:r>
    </w:p>
    <w:p w:rsidR="000E42A8" w:rsidRDefault="000E42A8" w:rsidP="000E42A8">
      <w:pPr>
        <w:pStyle w:val="StandardWeb"/>
      </w:pPr>
      <w:r>
        <w:t>Selbst wenn</w:t>
      </w:r>
    </w:p>
    <w:p w:rsidR="000E42A8" w:rsidRDefault="000E42A8" w:rsidP="000E42A8">
      <w:pPr>
        <w:pStyle w:val="StandardWeb"/>
      </w:pPr>
      <w:r>
        <w:t>[</w:t>
      </w:r>
      <w:r>
        <w:br/>
        <w:t>\mathbf Q_{M_1}</w:t>
      </w:r>
    </w:p>
    <w:p w:rsidR="000E42A8" w:rsidRDefault="000E42A8" w:rsidP="000E42A8">
      <w:pPr>
        <w:pStyle w:val="StandardWeb"/>
      </w:pPr>
      <w:r>
        <w:t>\mathbf Q_{M_2}</w:t>
      </w:r>
      <w:r>
        <w:br/>
        <w:t>\tag{3.8246}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\mathbf Q_{M_1}&gt;\mathbf Q_{M_2}</w:t>
      </w:r>
    </w:p>
    <w:p w:rsidR="000E42A8" w:rsidRDefault="000E42A8" w:rsidP="000E42A8">
      <w:pPr>
        <w:pStyle w:val="StandardWeb"/>
      </w:pPr>
      <w:r>
        <w:t>in einer definierten Ordnung gilt, folgt daraus nicht automatisch</w:t>
      </w:r>
    </w:p>
    <w:p w:rsidR="000E42A8" w:rsidRDefault="000E42A8" w:rsidP="000E42A8">
      <w:pPr>
        <w:pStyle w:val="StandardWeb"/>
      </w:pPr>
      <w:r>
        <w:t>[</w:t>
      </w:r>
      <w:r>
        <w:br/>
        <w:t>M_1</w:t>
      </w:r>
      <w:r>
        <w:br/>
        <w:t>\text{ wahr}</w:t>
      </w:r>
      <w:r>
        <w:br/>
        <w:t>\land</w:t>
      </w:r>
      <w:r>
        <w:br/>
        <w:t>M_2</w:t>
      </w:r>
      <w:r>
        <w:br/>
        <w:t>\text{ falsch}.</w:t>
      </w:r>
      <w:r>
        <w:br/>
        <w:t>\tag{3.8247}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M_1\text{ wahr}\land M_2\text{ falsch}</w:t>
      </w:r>
    </w:p>
    <w:p w:rsidR="000E42A8" w:rsidRDefault="000E42A8" w:rsidP="000E42A8">
      <w:pPr>
        <w:pStyle w:val="StandardWeb"/>
      </w:pPr>
      <w:r>
        <w:t>Ein Modellvergleich bewertet wissenschaftliche Leistungsmerkmale, nicht ontologische Gewissheit.</w:t>
      </w:r>
    </w:p>
    <w:p w:rsidR="000E42A8" w:rsidRDefault="00E50336" w:rsidP="000E42A8">
      <w:r>
        <w:pict>
          <v:rect id="_x0000_i2037" style="width:0;height:1.5pt" o:hralign="center" o:hrstd="t" o:hr="t" fillcolor="#a0a0a0" stroked="f"/>
        </w:pict>
      </w:r>
    </w:p>
    <w:p w:rsidR="000E42A8" w:rsidRDefault="000E42A8" w:rsidP="000E42A8">
      <w:pPr>
        <w:pStyle w:val="berschrift1"/>
      </w:pPr>
      <w:r>
        <w:t>3.3.42.298 Pareto-Konsistenz konkurrierender Modelle</w:t>
      </w:r>
    </w:p>
    <w:p w:rsidR="000E42A8" w:rsidRDefault="000E42A8" w:rsidP="000E42A8">
      <w:pPr>
        <w:pStyle w:val="StandardWeb"/>
      </w:pPr>
      <w:r>
        <w:lastRenderedPageBreak/>
        <w:t>Falls mehrere Qualitätsdimensionen betrachtet werden, kann ein Modell Pareto-dominieren.</w:t>
      </w:r>
    </w:p>
    <w:p w:rsidR="000E42A8" w:rsidRDefault="000E42A8" w:rsidP="000E42A8">
      <w:pPr>
        <w:pStyle w:val="StandardWeb"/>
      </w:pPr>
      <w:r>
        <w:t>Ich schreibe</w:t>
      </w:r>
    </w:p>
    <w:p w:rsidR="000E42A8" w:rsidRDefault="000E42A8" w:rsidP="000E42A8">
      <w:pPr>
        <w:pStyle w:val="StandardWeb"/>
      </w:pPr>
      <w:r>
        <w:t>[</w:t>
      </w:r>
      <w:r>
        <w:br/>
        <w:t>M_1</w:t>
      </w:r>
      <w:r>
        <w:br/>
        <w:t>\succ_P</w:t>
      </w:r>
      <w:r>
        <w:br/>
        <w:t>M_2</w:t>
      </w:r>
      <w:r>
        <w:br/>
        <w:t>\tag{3.8248}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M_1\succ_P M_2</w:t>
      </w:r>
    </w:p>
    <w:p w:rsidR="000E42A8" w:rsidRDefault="000E42A8" w:rsidP="000E42A8">
      <w:pPr>
        <w:pStyle w:val="StandardWeb"/>
      </w:pPr>
      <w:r>
        <w:t>wenn (M_1) in keiner relevanten Dimension schlechter und in mindestens einer besser ist.</w:t>
      </w:r>
    </w:p>
    <w:p w:rsidR="000E42A8" w:rsidRDefault="00E50336" w:rsidP="000E42A8">
      <w:r>
        <w:pict>
          <v:rect id="_x0000_i2038" style="width:0;height:1.5pt" o:hralign="center" o:hrstd="t" o:hr="t" fillcolor="#a0a0a0" stroked="f"/>
        </w:pict>
      </w:r>
    </w:p>
    <w:p w:rsidR="000E42A8" w:rsidRDefault="000E42A8" w:rsidP="000E42A8">
      <w:pPr>
        <w:pStyle w:val="berschrift1"/>
      </w:pPr>
      <w:r>
        <w:t>3.3.42.299 Pareto-Unvergleichbarkeit</w:t>
      </w:r>
    </w:p>
    <w:p w:rsidR="000E42A8" w:rsidRDefault="000E42A8" w:rsidP="000E42A8">
      <w:pPr>
        <w:pStyle w:val="StandardWeb"/>
      </w:pPr>
      <w:r>
        <w:t>Es kann jedoch gelten</w:t>
      </w:r>
    </w:p>
    <w:p w:rsidR="000E42A8" w:rsidRDefault="000E42A8" w:rsidP="000E42A8">
      <w:pPr>
        <w:pStyle w:val="StandardWeb"/>
      </w:pPr>
      <w:r>
        <w:t>[</w:t>
      </w:r>
      <w:r>
        <w:br/>
        <w:t>M_1</w:t>
      </w:r>
      <w:r>
        <w:br/>
        <w:t>\nsucc_P</w:t>
      </w:r>
      <w:r>
        <w:br/>
        <w:t>M_2</w:t>
      </w:r>
      <w:r>
        <w:br/>
        <w:t>\tag{3.8249}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M_1\nsucc_P M_2</w:t>
      </w:r>
    </w:p>
    <w:p w:rsidR="000E42A8" w:rsidRDefault="000E42A8" w:rsidP="000E42A8">
      <w:pPr>
        <w:pStyle w:val="StandardWeb"/>
      </w:pPr>
      <w:r>
        <w:t>und zugleich</w:t>
      </w:r>
    </w:p>
    <w:p w:rsidR="000E42A8" w:rsidRDefault="000E42A8" w:rsidP="000E42A8">
      <w:pPr>
        <w:pStyle w:val="StandardWeb"/>
      </w:pPr>
      <w:r>
        <w:t>[</w:t>
      </w:r>
      <w:r>
        <w:br/>
        <w:t>M_2</w:t>
      </w:r>
      <w:r>
        <w:br/>
        <w:t>\nsucc_P</w:t>
      </w:r>
      <w:r>
        <w:br/>
        <w:t>M_1.</w:t>
      </w:r>
      <w:r>
        <w:br/>
        <w:t>\tag{3.8250}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M_2\nsucc_P M_1</w:t>
      </w:r>
    </w:p>
    <w:p w:rsidR="000E42A8" w:rsidRDefault="000E42A8" w:rsidP="000E42A8">
      <w:pPr>
        <w:pStyle w:val="StandardWeb"/>
      </w:pPr>
      <w:r>
        <w:t>Dann existiert kein eindeutiger Pareto-Sieger.</w:t>
      </w:r>
    </w:p>
    <w:p w:rsidR="000E42A8" w:rsidRDefault="00E50336" w:rsidP="000E42A8">
      <w:r>
        <w:pict>
          <v:rect id="_x0000_i2039" style="width:0;height:1.5pt" o:hralign="center" o:hrstd="t" o:hr="t" fillcolor="#a0a0a0" stroked="f"/>
        </w:pict>
      </w:r>
    </w:p>
    <w:p w:rsidR="000E42A8" w:rsidRDefault="000E42A8" w:rsidP="000E42A8">
      <w:pPr>
        <w:pStyle w:val="berschrift1"/>
      </w:pPr>
      <w:r>
        <w:lastRenderedPageBreak/>
        <w:t>3.3.42.300 Konflikt unter neuer Evidenz</w:t>
      </w:r>
    </w:p>
    <w:p w:rsidR="000E42A8" w:rsidRDefault="000E42A8" w:rsidP="000E42A8">
      <w:pPr>
        <w:pStyle w:val="StandardWeb"/>
      </w:pPr>
      <w:r>
        <w:t>Eine neue Evidenzmenge</w:t>
      </w:r>
    </w:p>
    <w:p w:rsidR="000E42A8" w:rsidRDefault="000E42A8" w:rsidP="000E42A8">
      <w:pPr>
        <w:pStyle w:val="berschrift1"/>
      </w:pPr>
      <w:r>
        <w:t>[</w:t>
      </w:r>
      <w:r>
        <w:br/>
        <w:t>E^{(v+1)}</w:t>
      </w:r>
    </w:p>
    <w:p w:rsidR="000E42A8" w:rsidRDefault="000E42A8" w:rsidP="000E42A8">
      <w:pPr>
        <w:pStyle w:val="StandardWeb"/>
      </w:pPr>
      <w:r>
        <w:t>E^{(v)}</w:t>
      </w:r>
      <w:r>
        <w:br/>
        <w:t>\cup</w:t>
      </w:r>
      <w:r>
        <w:br/>
        <w:t>\Delta E</w:t>
      </w:r>
      <w:r>
        <w:br/>
        <w:t>\tag{3.8251}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E^{(v+1)}=E^{(v)}\cup\Delta E</w:t>
      </w:r>
    </w:p>
    <w:p w:rsidR="000E42A8" w:rsidRDefault="000E42A8" w:rsidP="000E42A8">
      <w:pPr>
        <w:pStyle w:val="StandardWeb"/>
      </w:pPr>
      <w:r>
        <w:t>kann bestehende Konsistenzbeziehungen verändern.</w:t>
      </w:r>
    </w:p>
    <w:p w:rsidR="000E42A8" w:rsidRDefault="000E42A8" w:rsidP="000E42A8">
      <w:pPr>
        <w:pStyle w:val="StandardWeb"/>
      </w:pPr>
      <w:r>
        <w:t>Ich schreibe</w:t>
      </w:r>
    </w:p>
    <w:p w:rsidR="000E42A8" w:rsidRDefault="000E42A8" w:rsidP="000E42A8">
      <w:pPr>
        <w:pStyle w:val="berschrift1"/>
      </w:pPr>
      <w:r>
        <w:t>[</w:t>
      </w:r>
      <w:r>
        <w:br/>
        <w:t>\Sigma_K^{(v+1)}</w:t>
      </w:r>
    </w:p>
    <w:p w:rsidR="000E42A8" w:rsidRDefault="000E42A8" w:rsidP="000E42A8">
      <w:pPr>
        <w:pStyle w:val="StandardWeb"/>
      </w:pPr>
      <w:r>
        <w:t>\mathcal U_K</w:t>
      </w:r>
      <w:r>
        <w:br/>
        <w:t>\left(</w:t>
      </w:r>
      <w:r>
        <w:br/>
        <w:t>\Sigma_K^{(v)},</w:t>
      </w:r>
      <w:r>
        <w:br/>
        <w:t>\Delta E</w:t>
      </w:r>
      <w:r>
        <w:br/>
        <w:t>\right),</w:t>
      </w:r>
      <w:r>
        <w:br/>
        <w:t>\tag{3.8252}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\Sigma_K^{(v+1)}=\mathcal U_K\left(\Sigma_K^{(v)},\Delta E\right)</w:t>
      </w:r>
    </w:p>
    <w:p w:rsidR="000E42A8" w:rsidRDefault="000E42A8" w:rsidP="000E42A8">
      <w:pPr>
        <w:pStyle w:val="StandardWeb"/>
      </w:pPr>
      <w:r>
        <w:t>wobei (\mathcal U_K) einen Konsistenz-Updateoperator bezeichnet.</w:t>
      </w:r>
    </w:p>
    <w:p w:rsidR="000E42A8" w:rsidRDefault="00E50336" w:rsidP="000E42A8">
      <w:r>
        <w:pict>
          <v:rect id="_x0000_i2040" style="width:0;height:1.5pt" o:hralign="center" o:hrstd="t" o:hr="t" fillcolor="#a0a0a0" stroked="f"/>
        </w:pict>
      </w:r>
    </w:p>
    <w:p w:rsidR="000E42A8" w:rsidRDefault="000E42A8" w:rsidP="000E42A8">
      <w:pPr>
        <w:pStyle w:val="berschrift1"/>
      </w:pPr>
      <w:r>
        <w:t>3.3.42.301 Konsistenz-Updateoperator</w:t>
      </w:r>
    </w:p>
    <w:p w:rsidR="000E42A8" w:rsidRDefault="000E42A8" w:rsidP="000E42A8">
      <w:pPr>
        <w:pStyle w:val="StandardWeb"/>
      </w:pPr>
      <w:r>
        <w:t>Ich definiere</w:t>
      </w:r>
    </w:p>
    <w:p w:rsidR="000E42A8" w:rsidRDefault="000E42A8" w:rsidP="000E42A8">
      <w:pPr>
        <w:pStyle w:val="StandardWeb"/>
      </w:pPr>
      <w:r>
        <w:t>[</w:t>
      </w:r>
      <w:r>
        <w:br/>
        <w:t>\mathcal U_K:</w:t>
      </w:r>
      <w:r>
        <w:br/>
        <w:t>\Sigma_K\times\Delta E</w:t>
      </w:r>
      <w:r>
        <w:br/>
      </w:r>
      <w:r>
        <w:lastRenderedPageBreak/>
        <w:t>\rightarrow</w:t>
      </w:r>
      <w:r>
        <w:br/>
        <w:t>\Sigma_K'.</w:t>
      </w:r>
      <w:r>
        <w:br/>
        <w:t>\tag{3.8253}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U_K:\Sigma_K\times\Delta E\rightarrow\Sigma_K'</w:t>
      </w:r>
    </w:p>
    <w:p w:rsidR="000E42A8" w:rsidRDefault="000E42A8" w:rsidP="000E42A8">
      <w:pPr>
        <w:pStyle w:val="StandardWeb"/>
      </w:pPr>
      <w:r>
        <w:t>Der Operator aktualisiert</w:t>
      </w:r>
    </w:p>
    <w:p w:rsidR="000E42A8" w:rsidRDefault="000E42A8" w:rsidP="008C5E65">
      <w:pPr>
        <w:pStyle w:val="StandardWeb"/>
        <w:numPr>
          <w:ilvl w:val="0"/>
          <w:numId w:val="410"/>
        </w:numPr>
      </w:pPr>
      <w:r>
        <w:t>Konsistenzgrad,</w:t>
      </w:r>
    </w:p>
    <w:p w:rsidR="000E42A8" w:rsidRDefault="000E42A8" w:rsidP="008C5E65">
      <w:pPr>
        <w:pStyle w:val="StandardWeb"/>
        <w:numPr>
          <w:ilvl w:val="0"/>
          <w:numId w:val="410"/>
        </w:numPr>
      </w:pPr>
      <w:r>
        <w:t>Konfliktsignatur,</w:t>
      </w:r>
    </w:p>
    <w:p w:rsidR="000E42A8" w:rsidRDefault="000E42A8" w:rsidP="008C5E65">
      <w:pPr>
        <w:pStyle w:val="StandardWeb"/>
        <w:numPr>
          <w:ilvl w:val="0"/>
          <w:numId w:val="410"/>
        </w:numPr>
      </w:pPr>
      <w:r>
        <w:t>Unentscheidbarkeitsgrad,</w:t>
      </w:r>
    </w:p>
    <w:p w:rsidR="000E42A8" w:rsidRDefault="000E42A8" w:rsidP="008C5E65">
      <w:pPr>
        <w:pStyle w:val="StandardWeb"/>
        <w:numPr>
          <w:ilvl w:val="0"/>
          <w:numId w:val="410"/>
        </w:numPr>
      </w:pPr>
      <w:r>
        <w:t>offene Konflikte,</w:t>
      </w:r>
    </w:p>
    <w:p w:rsidR="000E42A8" w:rsidRDefault="000E42A8" w:rsidP="008C5E65">
      <w:pPr>
        <w:pStyle w:val="StandardWeb"/>
        <w:numPr>
          <w:ilvl w:val="0"/>
          <w:numId w:val="410"/>
        </w:numPr>
      </w:pPr>
      <w:r>
        <w:t>Prüfdeckungsgrad.</w:t>
      </w:r>
    </w:p>
    <w:p w:rsidR="000E42A8" w:rsidRDefault="00E50336" w:rsidP="000E42A8">
      <w:r>
        <w:pict>
          <v:rect id="_x0000_i2041" style="width:0;height:1.5pt" o:hralign="center" o:hrstd="t" o:hr="t" fillcolor="#a0a0a0" stroked="f"/>
        </w:pict>
      </w:r>
    </w:p>
    <w:p w:rsidR="000E42A8" w:rsidRDefault="000E42A8" w:rsidP="000E42A8">
      <w:pPr>
        <w:pStyle w:val="berschrift1"/>
      </w:pPr>
      <w:r>
        <w:t>3.3.42.302 Evidenzinduzierter Konsistenzverlust</w:t>
      </w:r>
    </w:p>
    <w:p w:rsidR="000E42A8" w:rsidRDefault="000E42A8" w:rsidP="000E42A8">
      <w:pPr>
        <w:pStyle w:val="StandardWeb"/>
      </w:pPr>
      <w:r>
        <w:t>Falls</w:t>
      </w:r>
    </w:p>
    <w:p w:rsidR="000E42A8" w:rsidRDefault="000E42A8" w:rsidP="000E42A8">
      <w:pPr>
        <w:pStyle w:val="StandardWeb"/>
      </w:pPr>
      <w:r>
        <w:t>[</w:t>
      </w:r>
      <w:r>
        <w:br/>
        <w:t>K_F^{(v)}=1</w:t>
      </w:r>
      <w:r>
        <w:br/>
        <w:t>\tag{3.8254}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K_F^{(v)}=1</w:t>
      </w:r>
    </w:p>
    <w:p w:rsidR="000E42A8" w:rsidRDefault="000E42A8" w:rsidP="000E42A8">
      <w:pPr>
        <w:pStyle w:val="StandardWeb"/>
      </w:pPr>
      <w:r>
        <w:t>und nach neuer Evidenz</w:t>
      </w:r>
    </w:p>
    <w:p w:rsidR="000E42A8" w:rsidRDefault="000E42A8" w:rsidP="000E42A8">
      <w:pPr>
        <w:pStyle w:val="StandardWeb"/>
      </w:pPr>
      <w:r>
        <w:t>[</w:t>
      </w:r>
      <w:r>
        <w:br/>
        <w:t>K_F^{(v+1)}=0,</w:t>
      </w:r>
      <w:r>
        <w:br/>
        <w:t>\tag{3.8255}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K_F^{(v+1)}=0</w:t>
      </w:r>
    </w:p>
    <w:p w:rsidR="000E42A8" w:rsidRDefault="000E42A8" w:rsidP="000E42A8">
      <w:pPr>
        <w:pStyle w:val="StandardWeb"/>
      </w:pPr>
      <w:r>
        <w:t>liegt ein evidenzinduzierter Konsistenzverlust vor.</w:t>
      </w:r>
    </w:p>
    <w:p w:rsidR="000E42A8" w:rsidRDefault="00E50336" w:rsidP="000E42A8">
      <w:r>
        <w:pict>
          <v:rect id="_x0000_i2042" style="width:0;height:1.5pt" o:hralign="center" o:hrstd="t" o:hr="t" fillcolor="#a0a0a0" stroked="f"/>
        </w:pict>
      </w:r>
    </w:p>
    <w:p w:rsidR="000E42A8" w:rsidRDefault="000E42A8" w:rsidP="000E42A8">
      <w:pPr>
        <w:pStyle w:val="berschrift1"/>
      </w:pPr>
      <w:r>
        <w:t>3.3.42.303 Evidenzinduzierte Konfliktauflösung</w:t>
      </w:r>
    </w:p>
    <w:p w:rsidR="000E42A8" w:rsidRDefault="000E42A8" w:rsidP="000E42A8">
      <w:pPr>
        <w:pStyle w:val="StandardWeb"/>
      </w:pPr>
      <w:r>
        <w:t>Umgekehrt kann gelten</w:t>
      </w:r>
    </w:p>
    <w:p w:rsidR="000E42A8" w:rsidRDefault="000E42A8" w:rsidP="000E42A8">
      <w:pPr>
        <w:pStyle w:val="StandardWeb"/>
      </w:pPr>
      <w:r>
        <w:lastRenderedPageBreak/>
        <w:t>[</w:t>
      </w:r>
      <w:r>
        <w:br/>
        <w:t>K_F^{(v)}=0</w:t>
      </w:r>
      <w:r>
        <w:br/>
        <w:t>\tag{3.8256}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K_F^{(v)}=0</w:t>
      </w:r>
    </w:p>
    <w:p w:rsidR="000E42A8" w:rsidRDefault="000E42A8" w:rsidP="000E42A8">
      <w:pPr>
        <w:pStyle w:val="StandardWeb"/>
      </w:pPr>
      <w:r>
        <w:t>und</w:t>
      </w:r>
    </w:p>
    <w:p w:rsidR="000E42A8" w:rsidRDefault="000E42A8" w:rsidP="000E42A8">
      <w:pPr>
        <w:pStyle w:val="StandardWeb"/>
      </w:pPr>
      <w:r>
        <w:t>[</w:t>
      </w:r>
      <w:r>
        <w:br/>
        <w:t>K_F^{(v+1)}=1.</w:t>
      </w:r>
      <w:r>
        <w:br/>
        <w:t>\tag{3.8257}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K_F^{(v+1)}=1</w:t>
      </w:r>
    </w:p>
    <w:p w:rsidR="000E42A8" w:rsidRDefault="000E42A8" w:rsidP="000E42A8">
      <w:pPr>
        <w:pStyle w:val="StandardWeb"/>
      </w:pPr>
      <w:r>
        <w:t>Dann hat neue Evidenz zur Auflösung des Konflikts beigetragen.</w:t>
      </w:r>
    </w:p>
    <w:p w:rsidR="000E42A8" w:rsidRDefault="00E50336" w:rsidP="000E42A8">
      <w:r>
        <w:pict>
          <v:rect id="_x0000_i2043" style="width:0;height:1.5pt" o:hralign="center" o:hrstd="t" o:hr="t" fillcolor="#a0a0a0" stroked="f"/>
        </w:pict>
      </w:r>
    </w:p>
    <w:p w:rsidR="000E42A8" w:rsidRDefault="000E42A8" w:rsidP="000E42A8">
      <w:pPr>
        <w:pStyle w:val="berschrift1"/>
      </w:pPr>
      <w:r>
        <w:t>3.3.42.304 Evidenz kann auch Unentscheidbarkeit erzeugen</w:t>
      </w:r>
    </w:p>
    <w:p w:rsidR="000E42A8" w:rsidRDefault="000E42A8" w:rsidP="000E42A8">
      <w:pPr>
        <w:pStyle w:val="StandardWeb"/>
      </w:pPr>
      <w:r>
        <w:t>Neue Daten müssen nicht automatisch Klarheit erhöhen.</w:t>
      </w:r>
    </w:p>
    <w:p w:rsidR="000E42A8" w:rsidRDefault="000E42A8" w:rsidP="000E42A8">
      <w:pPr>
        <w:pStyle w:val="StandardWeb"/>
      </w:pPr>
      <w:r>
        <w:t>Es kann gelten</w:t>
      </w:r>
    </w:p>
    <w:p w:rsidR="000E42A8" w:rsidRDefault="000E42A8" w:rsidP="000E42A8">
      <w:pPr>
        <w:pStyle w:val="StandardWeb"/>
      </w:pPr>
      <w:r>
        <w:t>[</w:t>
      </w:r>
      <w:r>
        <w:br/>
        <w:t>R_U^{(v+1)}</w:t>
      </w:r>
    </w:p>
    <w:p w:rsidR="000E42A8" w:rsidRDefault="000E42A8" w:rsidP="000E42A8">
      <w:pPr>
        <w:pStyle w:val="StandardWeb"/>
      </w:pPr>
      <w:r>
        <w:t>R_U^{(v)}.</w:t>
      </w:r>
      <w:r>
        <w:br/>
        <w:t>\tag{3.8258}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R_U^{(v+1)}&gt;R_U^{(v)}</w:t>
      </w:r>
    </w:p>
    <w:p w:rsidR="000E42A8" w:rsidRDefault="000E42A8" w:rsidP="000E42A8">
      <w:pPr>
        <w:pStyle w:val="StandardWeb"/>
      </w:pPr>
      <w:r>
        <w:t>Dies kann beispielsweise auftreten, wenn neue Evidenz bisher unbeachtete Heterogenität sichtbar macht.</w:t>
      </w:r>
    </w:p>
    <w:p w:rsidR="000E42A8" w:rsidRDefault="00E50336" w:rsidP="000E42A8">
      <w:r>
        <w:pict>
          <v:rect id="_x0000_i2044" style="width:0;height:1.5pt" o:hralign="center" o:hrstd="t" o:hr="t" fillcolor="#a0a0a0" stroked="f"/>
        </w:pict>
      </w:r>
    </w:p>
    <w:p w:rsidR="000E42A8" w:rsidRDefault="000E42A8" w:rsidP="000E42A8">
      <w:pPr>
        <w:pStyle w:val="berschrift1"/>
      </w:pPr>
      <w:r>
        <w:t>3.3.42.305 Konsistenz unter Datenzuwachs</w:t>
      </w:r>
    </w:p>
    <w:p w:rsidR="000E42A8" w:rsidRDefault="000E42A8" w:rsidP="000E42A8">
      <w:pPr>
        <w:pStyle w:val="StandardWeb"/>
      </w:pPr>
      <w:r>
        <w:t>Für eine wachsende Datenmenge</w:t>
      </w:r>
    </w:p>
    <w:p w:rsidR="000E42A8" w:rsidRDefault="000E42A8" w:rsidP="000E42A8">
      <w:pPr>
        <w:pStyle w:val="StandardWeb"/>
      </w:pPr>
      <w:r>
        <w:lastRenderedPageBreak/>
        <w:t>[</w:t>
      </w:r>
      <w:r>
        <w:br/>
        <w:t>D_1</w:t>
      </w:r>
      <w:r>
        <w:br/>
        <w:t>\subset</w:t>
      </w:r>
      <w:r>
        <w:br/>
        <w:t>D_2</w:t>
      </w:r>
      <w:r>
        <w:br/>
        <w:t>\subset</w:t>
      </w:r>
      <w:r>
        <w:br/>
        <w:t>\cdots</w:t>
      </w:r>
      <w:r>
        <w:br/>
        <w:t>\subset</w:t>
      </w:r>
      <w:r>
        <w:br/>
        <w:t>D_n</w:t>
      </w:r>
      <w:r>
        <w:br/>
        <w:t>\tag{3.8259}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D_1\subset D_2\subset\cdots\subset D_n</w:t>
      </w:r>
    </w:p>
    <w:p w:rsidR="000E42A8" w:rsidRDefault="000E42A8" w:rsidP="000E42A8">
      <w:pPr>
        <w:pStyle w:val="StandardWeb"/>
      </w:pPr>
      <w:r>
        <w:t>definiere ich eine Konsistenzfolge</w:t>
      </w:r>
    </w:p>
    <w:p w:rsidR="000E42A8" w:rsidRDefault="000E42A8" w:rsidP="000E42A8">
      <w:pPr>
        <w:pStyle w:val="StandardWeb"/>
      </w:pPr>
      <w:r>
        <w:t>[</w:t>
      </w:r>
      <w:r>
        <w:br/>
        <w:t>K_1,K_2,\ldots,K_n.</w:t>
      </w:r>
      <w:r>
        <w:br/>
        <w:t>\tag{3.8260}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K_1,K_2,\ldots,K_n</w:t>
      </w:r>
    </w:p>
    <w:p w:rsidR="000E42A8" w:rsidRDefault="00E50336" w:rsidP="000E42A8">
      <w:r>
        <w:pict>
          <v:rect id="_x0000_i2045" style="width:0;height:1.5pt" o:hralign="center" o:hrstd="t" o:hr="t" fillcolor="#a0a0a0" stroked="f"/>
        </w:pict>
      </w:r>
    </w:p>
    <w:p w:rsidR="000E42A8" w:rsidRDefault="000E42A8" w:rsidP="000E42A8">
      <w:pPr>
        <w:pStyle w:val="berschrift1"/>
      </w:pPr>
      <w:r>
        <w:t>3.3.42.306 Datenrobuste Konsistenz</w:t>
      </w:r>
    </w:p>
    <w:p w:rsidR="000E42A8" w:rsidRDefault="000E42A8" w:rsidP="000E42A8">
      <w:pPr>
        <w:pStyle w:val="StandardWeb"/>
      </w:pPr>
      <w:r>
        <w:t>Eine Theorie zeigt datenrobuste Konsistenz, wenn</w:t>
      </w:r>
    </w:p>
    <w:p w:rsidR="000E42A8" w:rsidRDefault="000E42A8" w:rsidP="000E42A8">
      <w:pPr>
        <w:pStyle w:val="StandardWeb"/>
      </w:pPr>
      <w:r>
        <w:t>[</w:t>
      </w:r>
      <w:r>
        <w:br/>
        <w:t>K_n</w:t>
      </w:r>
      <w:r>
        <w:br/>
        <w:t>\rightarrow</w:t>
      </w:r>
      <w:r>
        <w:br/>
        <w:t>K^{\ast}</w:t>
      </w:r>
      <w:r>
        <w:br/>
        <w:t>\tag{3.8261}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K_n\rightarrow K^{\ast}</w:t>
      </w:r>
    </w:p>
    <w:p w:rsidR="000E42A8" w:rsidRDefault="000E42A8" w:rsidP="000E42A8">
      <w:pPr>
        <w:pStyle w:val="StandardWeb"/>
      </w:pPr>
      <w:r>
        <w:t>mit zunehmender Datenbasis konvergiert.</w:t>
      </w:r>
    </w:p>
    <w:p w:rsidR="000E42A8" w:rsidRDefault="00E50336" w:rsidP="000E42A8">
      <w:r>
        <w:pict>
          <v:rect id="_x0000_i2046" style="width:0;height:1.5pt" o:hralign="center" o:hrstd="t" o:hr="t" fillcolor="#a0a0a0" stroked="f"/>
        </w:pict>
      </w:r>
    </w:p>
    <w:p w:rsidR="000E42A8" w:rsidRDefault="000E42A8" w:rsidP="000E42A8">
      <w:pPr>
        <w:pStyle w:val="berschrift1"/>
      </w:pPr>
      <w:r>
        <w:t>3.3.42.307 Konsistenzoszillation</w:t>
      </w:r>
    </w:p>
    <w:p w:rsidR="000E42A8" w:rsidRDefault="000E42A8" w:rsidP="000E42A8">
      <w:pPr>
        <w:pStyle w:val="StandardWeb"/>
      </w:pPr>
      <w:r>
        <w:t>Es kann dagegen gelten</w:t>
      </w:r>
    </w:p>
    <w:p w:rsidR="000E42A8" w:rsidRDefault="000E42A8" w:rsidP="000E42A8">
      <w:pPr>
        <w:pStyle w:val="StandardWeb"/>
      </w:pPr>
      <w:r>
        <w:lastRenderedPageBreak/>
        <w:t>[</w:t>
      </w:r>
      <w:r>
        <w:br/>
        <w:t>K_{n+1}</w:t>
      </w:r>
      <w:r>
        <w:br/>
        <w:t>\neq</w:t>
      </w:r>
      <w:r>
        <w:br/>
        <w:t>K_n</w:t>
      </w:r>
      <w:r>
        <w:br/>
        <w:t>\tag{3.8262}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K_{n+1}\neq K_n</w:t>
      </w:r>
    </w:p>
    <w:p w:rsidR="000E42A8" w:rsidRDefault="000E42A8" w:rsidP="000E42A8">
      <w:pPr>
        <w:pStyle w:val="StandardWeb"/>
      </w:pPr>
      <w:r>
        <w:t>für viele aufeinanderfolgende Datenstände.</w:t>
      </w:r>
    </w:p>
    <w:p w:rsidR="000E42A8" w:rsidRDefault="000E42A8" w:rsidP="000E42A8">
      <w:pPr>
        <w:pStyle w:val="StandardWeb"/>
      </w:pPr>
      <w:r>
        <w:t>Eine solche Oszillation kann auf instabile Modellgrenzen oder unzureichende Operationalisierung hinweisen.</w:t>
      </w:r>
    </w:p>
    <w:p w:rsidR="000E42A8" w:rsidRDefault="00E50336" w:rsidP="000E42A8">
      <w:r>
        <w:pict>
          <v:rect id="_x0000_i2047" style="width:0;height:1.5pt" o:hralign="center" o:hrstd="t" o:hr="t" fillcolor="#a0a0a0" stroked="f"/>
        </w:pict>
      </w:r>
    </w:p>
    <w:p w:rsidR="000E42A8" w:rsidRDefault="000E42A8" w:rsidP="000E42A8">
      <w:pPr>
        <w:pStyle w:val="berschrift1"/>
      </w:pPr>
      <w:r>
        <w:t>3.3.42.308 Konsistenzvarianz</w:t>
      </w:r>
    </w:p>
    <w:p w:rsidR="000E42A8" w:rsidRDefault="000E42A8" w:rsidP="000E42A8">
      <w:pPr>
        <w:pStyle w:val="StandardWeb"/>
      </w:pPr>
      <w:r>
        <w:t>Ich definiere</w:t>
      </w:r>
    </w:p>
    <w:p w:rsidR="000E42A8" w:rsidRDefault="000E42A8" w:rsidP="000E42A8">
      <w:pPr>
        <w:pStyle w:val="berschrift1"/>
      </w:pPr>
      <w:r>
        <w:t>[</w:t>
      </w:r>
      <w:r>
        <w:br/>
        <w:t>V_K</w:t>
      </w:r>
    </w:p>
    <w:p w:rsidR="000E42A8" w:rsidRDefault="000E42A8" w:rsidP="000E42A8">
      <w:pPr>
        <w:pStyle w:val="StandardWeb"/>
      </w:pPr>
      <w:r>
        <w:t>\operatorname{Var}</w:t>
      </w:r>
      <w:r>
        <w:br/>
        <w:t>\left(</w:t>
      </w:r>
      <w:r>
        <w:br/>
        <w:t>K_1,\ldots,K_n</w:t>
      </w:r>
      <w:r>
        <w:br/>
        <w:t>\right).</w:t>
      </w:r>
      <w:r>
        <w:br/>
        <w:t>\tag{3.8263}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V_K=\operatorname{Var}\left(K_1,\ldots,K_n\right)</w:t>
      </w:r>
    </w:p>
    <w:p w:rsidR="000E42A8" w:rsidRDefault="000E42A8" w:rsidP="000E42A8">
      <w:pPr>
        <w:pStyle w:val="StandardWeb"/>
      </w:pPr>
      <w:r>
        <w:t>Ein hoher Wert kennzeichnet eine stark datenstandsabhängige Konsistenzbewertung.</w:t>
      </w:r>
    </w:p>
    <w:p w:rsidR="000E42A8" w:rsidRDefault="00E50336" w:rsidP="000E42A8">
      <w:r>
        <w:pict>
          <v:rect id="_x0000_i2048" style="width:0;height:1.5pt" o:hralign="center" o:hrstd="t" o:hr="t" fillcolor="#a0a0a0" stroked="f"/>
        </w:pict>
      </w:r>
    </w:p>
    <w:p w:rsidR="000E42A8" w:rsidRDefault="000E42A8" w:rsidP="000E42A8">
      <w:pPr>
        <w:pStyle w:val="berschrift1"/>
      </w:pPr>
      <w:r>
        <w:t>3.3.42.309 Konsistenzstabilität</w:t>
      </w:r>
    </w:p>
    <w:p w:rsidR="000E42A8" w:rsidRDefault="000E42A8" w:rsidP="000E42A8">
      <w:pPr>
        <w:pStyle w:val="StandardWeb"/>
      </w:pPr>
      <w:r>
        <w:t>Analog zu Abschnitt 3.3.41 kann die Stabilität des Konsistenzstatus selbst betrachtet werden.</w:t>
      </w:r>
    </w:p>
    <w:p w:rsidR="000E42A8" w:rsidRDefault="000E42A8" w:rsidP="000E42A8">
      <w:pPr>
        <w:pStyle w:val="StandardWeb"/>
      </w:pPr>
      <w:r>
        <w:t>Ich definiere</w:t>
      </w:r>
    </w:p>
    <w:p w:rsidR="000E42A8" w:rsidRDefault="000E42A8" w:rsidP="000E42A8">
      <w:pPr>
        <w:pStyle w:val="berschrift1"/>
      </w:pPr>
      <w:r>
        <w:t>[</w:t>
      </w:r>
      <w:r>
        <w:br/>
        <w:t>S_K</w:t>
      </w:r>
    </w:p>
    <w:p w:rsidR="000E42A8" w:rsidRDefault="000E42A8" w:rsidP="000E42A8">
      <w:pPr>
        <w:pStyle w:val="StandardWeb"/>
      </w:pPr>
      <w:r>
        <w:lastRenderedPageBreak/>
        <w:t>1-</w:t>
      </w:r>
      <w:r>
        <w:br/>
        <w:t>V_K</w:t>
      </w:r>
      <w:r>
        <w:br/>
        <w:t>\tag{3.8264}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S_K=1-V_K</w:t>
      </w:r>
    </w:p>
    <w:p w:rsidR="000E42A8" w:rsidRDefault="000E42A8" w:rsidP="000E42A8">
      <w:pPr>
        <w:pStyle w:val="StandardWeb"/>
      </w:pPr>
      <w:r>
        <w:t>für entsprechend normiertes (V_K).</w:t>
      </w:r>
    </w:p>
    <w:p w:rsidR="000E42A8" w:rsidRDefault="00E50336" w:rsidP="000E42A8">
      <w:r>
        <w:pict>
          <v:rect id="_x0000_i2049" style="width:0;height:1.5pt" o:hralign="center" o:hrstd="t" o:hr="t" fillcolor="#a0a0a0" stroked="f"/>
        </w:pict>
      </w:r>
    </w:p>
    <w:p w:rsidR="000E42A8" w:rsidRDefault="000E42A8" w:rsidP="000E42A8">
      <w:pPr>
        <w:pStyle w:val="berschrift1"/>
      </w:pPr>
      <w:r>
        <w:t>3.3.42.310 Metakonsistenz von Konsistenz und Stabilität</w:t>
      </w:r>
    </w:p>
    <w:p w:rsidR="000E42A8" w:rsidRDefault="000E42A8" w:rsidP="000E42A8">
      <w:pPr>
        <w:pStyle w:val="StandardWeb"/>
      </w:pPr>
      <w:r>
        <w:t>Damit entsteht erneut eine zweite Ordnung:</w:t>
      </w:r>
    </w:p>
    <w:p w:rsidR="000E42A8" w:rsidRDefault="000E42A8" w:rsidP="000E42A8">
      <w:pPr>
        <w:pStyle w:val="berschrift1"/>
      </w:pPr>
      <w:r>
        <w:t>[</w:t>
      </w:r>
      <w:r>
        <w:br/>
        <w:t>\Sigma_{KS}</w:t>
      </w:r>
    </w:p>
    <w:p w:rsidR="000E42A8" w:rsidRDefault="000E42A8" w:rsidP="000E42A8">
      <w:pPr>
        <w:pStyle w:val="StandardWeb"/>
      </w:pPr>
      <w:r>
        <w:t>\left(</w:t>
      </w:r>
      <w:r>
        <w:br/>
        <w:t>\Sigma_K,</w:t>
      </w:r>
      <w:r>
        <w:br/>
        <w:t>\Sigma_S,</w:t>
      </w:r>
      <w:r>
        <w:br/>
        <w:t>S_K</w:t>
      </w:r>
      <w:r>
        <w:br/>
        <w:t>\right).</w:t>
      </w:r>
      <w:r>
        <w:br/>
        <w:t>\tag{3.8265}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\Sigma_{KS}=\left(\Sigma_K,\Sigma_S,S_K\right)</w:t>
      </w:r>
    </w:p>
    <w:p w:rsidR="000E42A8" w:rsidRDefault="000E42A8" w:rsidP="000E42A8">
      <w:pPr>
        <w:pStyle w:val="StandardWeb"/>
      </w:pPr>
      <w:r>
        <w:t>Die Konsistenz einer Theorie kann selbst stabil oder instabil sein.</w:t>
      </w:r>
    </w:p>
    <w:p w:rsidR="000E42A8" w:rsidRDefault="00E50336" w:rsidP="000E42A8">
      <w:r>
        <w:pict>
          <v:rect id="_x0000_i2050" style="width:0;height:1.5pt" o:hralign="center" o:hrstd="t" o:hr="t" fillcolor="#a0a0a0" stroked="f"/>
        </w:pict>
      </w:r>
    </w:p>
    <w:p w:rsidR="000E42A8" w:rsidRDefault="000E42A8" w:rsidP="000E42A8">
      <w:pPr>
        <w:pStyle w:val="berschrift1"/>
      </w:pPr>
      <w:r>
        <w:t>3.3.42.311 Konsistenz unter Stichprobenvariation</w:t>
      </w:r>
    </w:p>
    <w:p w:rsidR="000E42A8" w:rsidRDefault="000E42A8" w:rsidP="000E42A8">
      <w:pPr>
        <w:pStyle w:val="StandardWeb"/>
      </w:pPr>
      <w:r>
        <w:t>Seien</w:t>
      </w:r>
    </w:p>
    <w:p w:rsidR="000E42A8" w:rsidRDefault="000E42A8" w:rsidP="000E42A8">
      <w:pPr>
        <w:pStyle w:val="StandardWeb"/>
      </w:pPr>
      <w:r>
        <w:t>[</w:t>
      </w:r>
      <w:r>
        <w:br/>
        <w:t>D^{(1)},</w:t>
      </w:r>
      <w:r>
        <w:br/>
        <w:t>D^{(2)},</w:t>
      </w:r>
      <w:r>
        <w:br/>
        <w:t>\ldots,</w:t>
      </w:r>
      <w:r>
        <w:br/>
        <w:t>D^{(m)}</w:t>
      </w:r>
      <w:r>
        <w:br/>
        <w:t>\tag{3.8266}</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D^{(1)},D^{(2)},\ldots,D^{(m)}</w:t>
      </w:r>
    </w:p>
    <w:p w:rsidR="000E42A8" w:rsidRDefault="000E42A8" w:rsidP="000E42A8">
      <w:pPr>
        <w:pStyle w:val="StandardWeb"/>
      </w:pPr>
      <w:r>
        <w:t>alternative Stichproben aus derselben Grundgesamtheit.</w:t>
      </w:r>
    </w:p>
    <w:p w:rsidR="000E42A8" w:rsidRDefault="000E42A8" w:rsidP="000E42A8">
      <w:pPr>
        <w:pStyle w:val="StandardWeb"/>
      </w:pPr>
      <w:r>
        <w:t>Für jede Stichprobe ergibt sich ein Konsistenzstatus</w:t>
      </w:r>
    </w:p>
    <w:p w:rsidR="000E42A8" w:rsidRDefault="000E42A8" w:rsidP="000E42A8">
      <w:pPr>
        <w:pStyle w:val="StandardWeb"/>
      </w:pPr>
      <w:r>
        <w:t>[</w:t>
      </w:r>
      <w:r>
        <w:br/>
        <w:t>K^{(1)},</w:t>
      </w:r>
      <w:r>
        <w:br/>
        <w:t>\ldots,</w:t>
      </w:r>
      <w:r>
        <w:br/>
        <w:t>K^{(m)}.</w:t>
      </w:r>
      <w:r>
        <w:br/>
        <w:t>\tag{3.8267}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K^{(1)},\ldots,K^{(m)}</w:t>
      </w:r>
    </w:p>
    <w:p w:rsidR="000E42A8" w:rsidRDefault="00E50336" w:rsidP="000E42A8">
      <w:r>
        <w:pict>
          <v:rect id="_x0000_i2051" style="width:0;height:1.5pt" o:hralign="center" o:hrstd="t" o:hr="t" fillcolor="#a0a0a0" stroked="f"/>
        </w:pict>
      </w:r>
    </w:p>
    <w:p w:rsidR="000E42A8" w:rsidRDefault="000E42A8" w:rsidP="000E42A8">
      <w:pPr>
        <w:pStyle w:val="berschrift1"/>
      </w:pPr>
      <w:r>
        <w:t>3.3.42.312 Stichprobenkonsistenzrate</w:t>
      </w:r>
    </w:p>
    <w:p w:rsidR="000E42A8" w:rsidRDefault="000E42A8" w:rsidP="000E42A8">
      <w:pPr>
        <w:pStyle w:val="StandardWeb"/>
      </w:pPr>
      <w:r>
        <w:t>Ich definiere</w:t>
      </w:r>
    </w:p>
    <w:p w:rsidR="000E42A8" w:rsidRDefault="000E42A8" w:rsidP="000E42A8">
      <w:pPr>
        <w:pStyle w:val="berschrift1"/>
      </w:pPr>
      <w:r>
        <w:t>[</w:t>
      </w:r>
      <w:r>
        <w:br/>
        <w:t>R_K^{\mathrm{sample}}</w:t>
      </w:r>
    </w:p>
    <w:p w:rsidR="000E42A8" w:rsidRDefault="000E42A8" w:rsidP="000E42A8">
      <w:pPr>
        <w:pStyle w:val="StandardWeb"/>
      </w:pPr>
      <w:r>
        <w:t>\frac{</w:t>
      </w:r>
      <w:r>
        <w:br/>
        <w:t>1</w:t>
      </w:r>
      <w:r>
        <w:br/>
        <w:t>}{</w:t>
      </w:r>
      <w:r>
        <w:br/>
        <w:t>m</w:t>
      </w:r>
      <w:r>
        <w:br/>
        <w:t>}</w:t>
      </w:r>
      <w:r>
        <w:br/>
        <w:t>\sum_{r=1}^{m}</w:t>
      </w:r>
      <w:r>
        <w:br/>
        <w:t>K^{(r)}.</w:t>
      </w:r>
      <w:r>
        <w:br/>
        <w:t>\tag{3.8268}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R_K^{\mathrm{sample}}=\frac{1}{m}\sum_{r=1}^{m}K^{(r)}</w:t>
      </w:r>
    </w:p>
    <w:p w:rsidR="000E42A8" w:rsidRDefault="000E42A8" w:rsidP="000E42A8">
      <w:pPr>
        <w:pStyle w:val="StandardWeb"/>
      </w:pPr>
      <w:r>
        <w:t>Bei binären Konsistenzurteilen beschreibt dies den Anteil der Stichproben, für die die betreffende Aussagebeziehung konsistent bleibt.</w:t>
      </w:r>
    </w:p>
    <w:p w:rsidR="000E42A8" w:rsidRDefault="00E50336" w:rsidP="000E42A8">
      <w:r>
        <w:pict>
          <v:rect id="_x0000_i2052" style="width:0;height:1.5pt" o:hralign="center" o:hrstd="t" o:hr="t" fillcolor="#a0a0a0" stroked="f"/>
        </w:pict>
      </w:r>
    </w:p>
    <w:p w:rsidR="000E42A8" w:rsidRDefault="000E42A8" w:rsidP="000E42A8">
      <w:pPr>
        <w:pStyle w:val="berschrift1"/>
      </w:pPr>
      <w:r>
        <w:t>3.3.42.313 Konsistenz unter Beobachterwechsel</w:t>
      </w:r>
    </w:p>
    <w:p w:rsidR="000E42A8" w:rsidRDefault="000E42A8" w:rsidP="000E42A8">
      <w:pPr>
        <w:pStyle w:val="StandardWeb"/>
      </w:pPr>
      <w:r>
        <w:t>Ein wissenschaftliches Urteil kann von unterschiedlichen Auswertenden getroffen werden.</w:t>
      </w:r>
    </w:p>
    <w:p w:rsidR="000E42A8" w:rsidRDefault="000E42A8" w:rsidP="000E42A8">
      <w:pPr>
        <w:pStyle w:val="StandardWeb"/>
      </w:pPr>
      <w:r>
        <w:lastRenderedPageBreak/>
        <w:t>Seien</w:t>
      </w:r>
    </w:p>
    <w:p w:rsidR="000E42A8" w:rsidRDefault="000E42A8" w:rsidP="000E42A8">
      <w:pPr>
        <w:pStyle w:val="StandardWeb"/>
      </w:pPr>
      <w:r>
        <w:t>[</w:t>
      </w:r>
      <w:r>
        <w:br/>
        <w:t>K^{(1)}</w:t>
      </w:r>
      <w:r>
        <w:rPr>
          <w:rStyle w:val="Hervorhebung"/>
        </w:rPr>
        <w:t>{\mathrm{obs}},</w:t>
      </w:r>
      <w:r>
        <w:rPr>
          <w:i/>
          <w:iCs/>
        </w:rPr>
        <w:br/>
      </w:r>
      <w:r>
        <w:rPr>
          <w:rStyle w:val="Hervorhebung"/>
        </w:rPr>
        <w:t>\ldots,</w:t>
      </w:r>
      <w:r>
        <w:rPr>
          <w:i/>
          <w:iCs/>
        </w:rPr>
        <w:br/>
      </w:r>
      <w:r>
        <w:rPr>
          <w:rStyle w:val="Hervorhebung"/>
        </w:rPr>
        <w:t>K^{(m)}</w:t>
      </w:r>
      <w:r>
        <w:t>{\mathrm{obs}}.</w:t>
      </w:r>
      <w:r>
        <w:br/>
        <w:t>\tag{3.8269}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K^{(1)}_{\mathrm{obs}},\ldots,K^{(m)}_{\mathrm{obs}}</w:t>
      </w:r>
    </w:p>
    <w:p w:rsidR="000E42A8" w:rsidRDefault="000E42A8" w:rsidP="000E42A8">
      <w:pPr>
        <w:pStyle w:val="StandardWeb"/>
      </w:pPr>
      <w:r>
        <w:t>Dann kann die Beobachterübereinstimmung separat untersucht werden.</w:t>
      </w:r>
    </w:p>
    <w:p w:rsidR="000E42A8" w:rsidRDefault="00E50336" w:rsidP="000E42A8">
      <w:r>
        <w:pict>
          <v:rect id="_x0000_i2053" style="width:0;height:1.5pt" o:hralign="center" o:hrstd="t" o:hr="t" fillcolor="#a0a0a0" stroked="f"/>
        </w:pict>
      </w:r>
    </w:p>
    <w:p w:rsidR="000E42A8" w:rsidRDefault="000E42A8" w:rsidP="000E42A8">
      <w:pPr>
        <w:pStyle w:val="berschrift1"/>
      </w:pPr>
      <w:r>
        <w:t>3.3.42.314 Beobachterkonsistenz</w:t>
      </w:r>
    </w:p>
    <w:p w:rsidR="000E42A8" w:rsidRDefault="000E42A8" w:rsidP="000E42A8">
      <w:pPr>
        <w:pStyle w:val="StandardWeb"/>
      </w:pPr>
      <w:r>
        <w:t>Ich definiere</w:t>
      </w:r>
    </w:p>
    <w:p w:rsidR="000E42A8" w:rsidRDefault="000E42A8" w:rsidP="000E42A8">
      <w:pPr>
        <w:pStyle w:val="berschrift1"/>
      </w:pPr>
      <w:r>
        <w:t>[</w:t>
      </w:r>
      <w:r>
        <w:br/>
        <w:t>K_{\mathrm{obs}}</w:t>
      </w:r>
    </w:p>
    <w:p w:rsidR="000E42A8" w:rsidRDefault="000E42A8" w:rsidP="000E42A8">
      <w:pPr>
        <w:pStyle w:val="StandardWeb"/>
      </w:pPr>
      <w:r>
        <w:t>\operatorname{Agree}</w:t>
      </w:r>
      <w:r>
        <w:br/>
        <w:t>\left(</w:t>
      </w:r>
      <w:r>
        <w:br/>
        <w:t>K^{(1)}</w:t>
      </w:r>
      <w:r>
        <w:rPr>
          <w:rStyle w:val="Hervorhebung"/>
        </w:rPr>
        <w:t>{\mathrm{obs}},</w:t>
      </w:r>
      <w:r>
        <w:rPr>
          <w:i/>
          <w:iCs/>
        </w:rPr>
        <w:br/>
      </w:r>
      <w:r>
        <w:rPr>
          <w:rStyle w:val="Hervorhebung"/>
        </w:rPr>
        <w:t>\ldots,</w:t>
      </w:r>
      <w:r>
        <w:rPr>
          <w:i/>
          <w:iCs/>
        </w:rPr>
        <w:br/>
      </w:r>
      <w:r>
        <w:rPr>
          <w:rStyle w:val="Hervorhebung"/>
        </w:rPr>
        <w:t>K^{(m)}</w:t>
      </w:r>
      <w:r>
        <w:t>{\mathrm{obs}}</w:t>
      </w:r>
      <w:r>
        <w:br/>
        <w:t>\right).</w:t>
      </w:r>
      <w:r>
        <w:br/>
        <w:t>\tag{3.8270}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K_{\mathrm{obs}}=\operatorname{Agree}\left(K^{(1)}_{\mathrm{obs}},\ldots,K^{(m)}_{\mathrm{obs}}\right)</w:t>
      </w:r>
    </w:p>
    <w:p w:rsidR="000E42A8" w:rsidRDefault="000E42A8" w:rsidP="000E42A8">
      <w:pPr>
        <w:pStyle w:val="StandardWeb"/>
      </w:pPr>
      <w:r>
        <w:t>Dies ist keine Konsistenz der Theorie selbst, sondern eine Konsistenz der Bewertung.</w:t>
      </w:r>
    </w:p>
    <w:p w:rsidR="000E42A8" w:rsidRDefault="00E50336" w:rsidP="000E42A8">
      <w:r>
        <w:pict>
          <v:rect id="_x0000_i2054" style="width:0;height:1.5pt" o:hralign="center" o:hrstd="t" o:hr="t" fillcolor="#a0a0a0" stroked="f"/>
        </w:pict>
      </w:r>
    </w:p>
    <w:p w:rsidR="000E42A8" w:rsidRDefault="000E42A8" w:rsidP="000E42A8">
      <w:pPr>
        <w:pStyle w:val="berschrift1"/>
      </w:pPr>
      <w:r>
        <w:t>3.3.42.315 Trennung von Theorie- und Bewertungskonsistenz</w:t>
      </w:r>
    </w:p>
    <w:p w:rsidR="000E42A8" w:rsidRDefault="000E42A8" w:rsidP="000E42A8">
      <w:pPr>
        <w:pStyle w:val="StandardWeb"/>
      </w:pPr>
      <w:r>
        <w:t>Es gilt ausdrücklich</w:t>
      </w:r>
    </w:p>
    <w:p w:rsidR="000E42A8" w:rsidRDefault="000E42A8" w:rsidP="000E42A8">
      <w:pPr>
        <w:pStyle w:val="StandardWeb"/>
      </w:pPr>
      <w:r>
        <w:t>[</w:t>
      </w:r>
      <w:r>
        <w:br/>
        <w:t>K_{\mathrm{obs}}=1</w:t>
      </w:r>
      <w:r>
        <w:br/>
      </w:r>
      <w:r>
        <w:lastRenderedPageBreak/>
        <w:t>\nRightarrow</w:t>
      </w:r>
      <w:r>
        <w:br/>
        <w:t>K_F=1.</w:t>
      </w:r>
      <w:r>
        <w:br/>
        <w:t>\tag{3.8271}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K_{\mathrm{obs}}=1\nRightarrow K_F=1</w:t>
      </w:r>
    </w:p>
    <w:p w:rsidR="000E42A8" w:rsidRDefault="000E42A8" w:rsidP="000E42A8">
      <w:pPr>
        <w:pStyle w:val="StandardWeb"/>
      </w:pPr>
      <w:r>
        <w:t>Mehrere Auswertende können übereinstimmend zu einer falschen Konsistenzbewertung gelangen.</w:t>
      </w:r>
    </w:p>
    <w:p w:rsidR="000E42A8" w:rsidRDefault="000E42A8" w:rsidP="000E42A8">
      <w:pPr>
        <w:pStyle w:val="StandardWeb"/>
      </w:pPr>
      <w:r>
        <w:t>Ebenso gilt</w:t>
      </w:r>
    </w:p>
    <w:p w:rsidR="000E42A8" w:rsidRDefault="000E42A8" w:rsidP="000E42A8">
      <w:pPr>
        <w:pStyle w:val="StandardWeb"/>
      </w:pPr>
      <w:r>
        <w:t>[</w:t>
      </w:r>
      <w:r>
        <w:br/>
        <w:t>K_{\mathrm{obs}}&lt;1</w:t>
      </w:r>
      <w:r>
        <w:br/>
        <w:t>\nRightarrow</w:t>
      </w:r>
      <w:r>
        <w:br/>
        <w:t>K_F=0.</w:t>
      </w:r>
      <w:r>
        <w:br/>
        <w:t>\tag{3.8272}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K_{\mathrm{obs}}&lt;1\nRightarrow K_F=0</w:t>
      </w:r>
    </w:p>
    <w:p w:rsidR="000E42A8" w:rsidRDefault="000E42A8" w:rsidP="000E42A8">
      <w:pPr>
        <w:pStyle w:val="StandardWeb"/>
      </w:pPr>
      <w:r>
        <w:t>Uneinigkeit der Auswertenden beweist keinen Theoriefehler.</w:t>
      </w:r>
    </w:p>
    <w:p w:rsidR="000E42A8" w:rsidRDefault="00E50336" w:rsidP="000E42A8">
      <w:r>
        <w:pict>
          <v:rect id="_x0000_i2055" style="width:0;height:1.5pt" o:hralign="center" o:hrstd="t" o:hr="t" fillcolor="#a0a0a0" stroked="f"/>
        </w:pict>
      </w:r>
    </w:p>
    <w:p w:rsidR="000E42A8" w:rsidRDefault="000E42A8" w:rsidP="000E42A8">
      <w:pPr>
        <w:pStyle w:val="berschrift1"/>
      </w:pPr>
      <w:r>
        <w:t>3.3.42.316 Konsistenz unter Methodenwechsel</w:t>
      </w:r>
    </w:p>
    <w:p w:rsidR="000E42A8" w:rsidRDefault="000E42A8" w:rsidP="000E42A8">
      <w:pPr>
        <w:pStyle w:val="StandardWeb"/>
      </w:pPr>
      <w:r>
        <w:t>Seien zwei Bewertungsmethoden</w:t>
      </w:r>
    </w:p>
    <w:p w:rsidR="000E42A8" w:rsidRDefault="000E42A8" w:rsidP="000E42A8">
      <w:pPr>
        <w:pStyle w:val="StandardWeb"/>
      </w:pPr>
      <w:r>
        <w:t>[</w:t>
      </w:r>
      <w:r>
        <w:br/>
        <w:t>M_K^{(1)}</w:t>
      </w:r>
      <w:r>
        <w:br/>
        <w:t>\quad\text{und}\quad</w:t>
      </w:r>
      <w:r>
        <w:br/>
        <w:t>M_K^{(2)}.</w:t>
      </w:r>
      <w:r>
        <w:br/>
        <w:t>\tag{3.8273}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M_K^{(1)}\quad\text{und}\quad M_K^{(2)}</w:t>
      </w:r>
    </w:p>
    <w:p w:rsidR="000E42A8" w:rsidRDefault="000E42A8" w:rsidP="000E42A8">
      <w:pPr>
        <w:pStyle w:val="StandardWeb"/>
      </w:pPr>
      <w:r>
        <w:t>Daraus ergeben sich</w:t>
      </w:r>
    </w:p>
    <w:p w:rsidR="000E42A8" w:rsidRDefault="000E42A8" w:rsidP="000E42A8">
      <w:pPr>
        <w:pStyle w:val="StandardWeb"/>
      </w:pPr>
      <w:r>
        <w:t>[</w:t>
      </w:r>
      <w:r>
        <w:br/>
        <w:t>K^{(1)}</w:t>
      </w:r>
      <w:r>
        <w:br/>
        <w:t>\quad\text{und}\quad</w:t>
      </w:r>
      <w:r>
        <w:br/>
        <w:t>K^{(2)}.</w:t>
      </w:r>
      <w:r>
        <w:br/>
      </w:r>
      <w:r>
        <w:lastRenderedPageBreak/>
        <w:t>\tag{3.8274}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K^{(1)}\quad\text{und}\quad K^{(2)}</w:t>
      </w:r>
    </w:p>
    <w:p w:rsidR="000E42A8" w:rsidRDefault="000E42A8" w:rsidP="000E42A8">
      <w:pPr>
        <w:pStyle w:val="StandardWeb"/>
      </w:pPr>
      <w:r>
        <w:t>Eine methodenrobuste Konsistenzbewertung erfüllt</w:t>
      </w:r>
    </w:p>
    <w:p w:rsidR="000E42A8" w:rsidRDefault="000E42A8" w:rsidP="000E42A8">
      <w:pPr>
        <w:pStyle w:val="StandardWeb"/>
      </w:pPr>
      <w:r>
        <w:t>[</w:t>
      </w:r>
      <w:r>
        <w:br/>
        <w:t>K^{(1)}=K^{(2)}.</w:t>
      </w:r>
      <w:r>
        <w:br/>
        <w:t>\tag{3.8275}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K^{(1)}=K^{(2)}</w:t>
      </w:r>
    </w:p>
    <w:p w:rsidR="000E42A8" w:rsidRDefault="00E50336" w:rsidP="000E42A8">
      <w:r>
        <w:pict>
          <v:rect id="_x0000_i2056" style="width:0;height:1.5pt" o:hralign="center" o:hrstd="t" o:hr="t" fillcolor="#a0a0a0" stroked="f"/>
        </w:pict>
      </w:r>
    </w:p>
    <w:p w:rsidR="000E42A8" w:rsidRDefault="000E42A8" w:rsidP="000E42A8">
      <w:pPr>
        <w:pStyle w:val="berschrift1"/>
      </w:pPr>
      <w:r>
        <w:t>3.3.42.317 Methodenabhängige Konsistenz</w:t>
      </w:r>
    </w:p>
    <w:p w:rsidR="000E42A8" w:rsidRDefault="000E42A8" w:rsidP="000E42A8">
      <w:pPr>
        <w:pStyle w:val="StandardWeb"/>
      </w:pPr>
      <w:r>
        <w:t>Bei</w:t>
      </w:r>
    </w:p>
    <w:p w:rsidR="000E42A8" w:rsidRDefault="000E42A8" w:rsidP="000E42A8">
      <w:pPr>
        <w:pStyle w:val="StandardWeb"/>
      </w:pPr>
      <w:r>
        <w:t>[</w:t>
      </w:r>
      <w:r>
        <w:br/>
        <w:t>K^{(1)}\neq K^{(2)}</w:t>
      </w:r>
      <w:r>
        <w:br/>
        <w:t>\tag{3.8276}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K^{(1)}\neq K^{(2)}</w:t>
      </w:r>
    </w:p>
    <w:p w:rsidR="000E42A8" w:rsidRDefault="000E42A8" w:rsidP="000E42A8">
      <w:pPr>
        <w:pStyle w:val="StandardWeb"/>
      </w:pPr>
      <w:r>
        <w:t>liegt keine notwendige Theorieinkonsistenz vor, sondern zunächst eine Methodenabhängigkeit des Konsistenzurteils.</w:t>
      </w:r>
    </w:p>
    <w:p w:rsidR="000E42A8" w:rsidRDefault="00E50336" w:rsidP="000E42A8">
      <w:r>
        <w:pict>
          <v:rect id="_x0000_i2057" style="width:0;height:1.5pt" o:hralign="center" o:hrstd="t" o:hr="t" fillcolor="#a0a0a0" stroked="f"/>
        </w:pict>
      </w:r>
    </w:p>
    <w:p w:rsidR="000E42A8" w:rsidRDefault="000E42A8" w:rsidP="000E42A8">
      <w:pPr>
        <w:pStyle w:val="berschrift1"/>
      </w:pPr>
      <w:r>
        <w:t>3.3.42.318 Methodenkonsistenzgrad</w:t>
      </w:r>
    </w:p>
    <w:p w:rsidR="000E42A8" w:rsidRDefault="000E42A8" w:rsidP="000E42A8">
      <w:pPr>
        <w:pStyle w:val="StandardWeb"/>
      </w:pPr>
      <w:r>
        <w:t>Ich definiere</w:t>
      </w:r>
    </w:p>
    <w:p w:rsidR="000E42A8" w:rsidRDefault="000E42A8" w:rsidP="000E42A8">
      <w:pPr>
        <w:pStyle w:val="berschrift1"/>
      </w:pPr>
      <w:r>
        <w:t>[</w:t>
      </w:r>
      <w:r>
        <w:br/>
        <w:t>R_K^{\mathrm{method}}</w:t>
      </w:r>
    </w:p>
    <w:p w:rsidR="000E42A8" w:rsidRDefault="000E42A8" w:rsidP="000E42A8">
      <w:pPr>
        <w:pStyle w:val="StandardWeb"/>
      </w:pPr>
      <w:r>
        <w:t>\frac{</w:t>
      </w:r>
      <w:r>
        <w:br/>
        <w:t>N_{\mathrm{agreement}}</w:t>
      </w:r>
      <w:r>
        <w:br/>
        <w:t>}{</w:t>
      </w:r>
      <w:r>
        <w:br/>
        <w:t>N_{\mathrm{methods}}</w:t>
      </w:r>
      <w:r>
        <w:br/>
        <w:t>}.</w:t>
      </w:r>
      <w:r>
        <w:br/>
      </w:r>
      <w:r>
        <w:lastRenderedPageBreak/>
        <w:t>\tag{3.8277}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R_K^{\mathrm{method}}=\frac{N_{\mathrm{agreement}}}{N_{\mathrm{methods}}}</w:t>
      </w:r>
    </w:p>
    <w:p w:rsidR="000E42A8" w:rsidRDefault="000E42A8" w:rsidP="000E42A8">
      <w:pPr>
        <w:pStyle w:val="StandardWeb"/>
      </w:pPr>
      <w:r>
        <w:t>Bei mehr als zwei Methoden kann alternativ eine geeignete Übereinstimmungsmetrik verwendet werden.</w:t>
      </w:r>
    </w:p>
    <w:p w:rsidR="000E42A8" w:rsidRDefault="00E50336" w:rsidP="000E42A8">
      <w:r>
        <w:pict>
          <v:rect id="_x0000_i2058" style="width:0;height:1.5pt" o:hralign="center" o:hrstd="t" o:hr="t" fillcolor="#a0a0a0" stroked="f"/>
        </w:pict>
      </w:r>
    </w:p>
    <w:p w:rsidR="000E42A8" w:rsidRDefault="000E42A8" w:rsidP="000E42A8">
      <w:pPr>
        <w:pStyle w:val="berschrift1"/>
      </w:pPr>
      <w:r>
        <w:t>3.3.42.319 Konsistenz unter Skalenwechsel</w:t>
      </w:r>
    </w:p>
    <w:p w:rsidR="000E42A8" w:rsidRDefault="000E42A8" w:rsidP="000E42A8">
      <w:pPr>
        <w:pStyle w:val="StandardWeb"/>
      </w:pPr>
      <w:r>
        <w:t>Sei eine Beobachtungsgröße auf zwei Skalen dargestellt:</w:t>
      </w:r>
    </w:p>
    <w:p w:rsidR="000E42A8" w:rsidRDefault="000E42A8" w:rsidP="000E42A8">
      <w:pPr>
        <w:pStyle w:val="StandardWeb"/>
      </w:pPr>
      <w:r>
        <w:t>[</w:t>
      </w:r>
      <w:r>
        <w:br/>
        <w:t>x</w:t>
      </w:r>
      <w:r>
        <w:br/>
        <w:t>\mapsto</w:t>
      </w:r>
      <w:r>
        <w:br/>
        <w:t>s_1(x),</w:t>
      </w:r>
      <w:r>
        <w:br/>
        <w:t>\qquad</w:t>
      </w:r>
      <w:r>
        <w:br/>
        <w:t>x</w:t>
      </w:r>
      <w:r>
        <w:br/>
        <w:t>\mapsto</w:t>
      </w:r>
      <w:r>
        <w:br/>
        <w:t>s_2(x).</w:t>
      </w:r>
      <w:r>
        <w:br/>
        <w:t>\tag{3.8278}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x\mapsto s_1(x),\qquad x\mapsto s_2(x)</w:t>
      </w:r>
    </w:p>
    <w:p w:rsidR="000E42A8" w:rsidRDefault="000E42A8" w:rsidP="000E42A8">
      <w:pPr>
        <w:pStyle w:val="StandardWeb"/>
      </w:pPr>
      <w:r>
        <w:t>Wenn beide Skalen durch eine wohldefinierte Transformation verbunden sind, sollen wissenschaftlich äquivalente Aussagen erhalten bleiben.</w:t>
      </w:r>
    </w:p>
    <w:p w:rsidR="000E42A8" w:rsidRDefault="00E50336" w:rsidP="000E42A8">
      <w:r>
        <w:pict>
          <v:rect id="_x0000_i2059" style="width:0;height:1.5pt" o:hralign="center" o:hrstd="t" o:hr="t" fillcolor="#a0a0a0" stroked="f"/>
        </w:pict>
      </w:r>
    </w:p>
    <w:p w:rsidR="000E42A8" w:rsidRDefault="000E42A8" w:rsidP="000E42A8">
      <w:pPr>
        <w:pStyle w:val="berschrift1"/>
      </w:pPr>
      <w:r>
        <w:t>3.3.42.320 Skalenkonsistenz</w:t>
      </w:r>
    </w:p>
    <w:p w:rsidR="000E42A8" w:rsidRDefault="000E42A8" w:rsidP="000E42A8">
      <w:pPr>
        <w:pStyle w:val="StandardWeb"/>
      </w:pPr>
      <w:r>
        <w:t>Ich definiere</w:t>
      </w:r>
    </w:p>
    <w:p w:rsidR="000E42A8" w:rsidRDefault="000E42A8" w:rsidP="000E42A8">
      <w:pPr>
        <w:pStyle w:val="berschrift1"/>
      </w:pPr>
      <w:r>
        <w:t>[</w:t>
      </w:r>
      <w:r>
        <w:br/>
        <w:t>K_{\mathrm{scale}}</w:t>
      </w:r>
    </w:p>
    <w:p w:rsidR="000E42A8" w:rsidRDefault="000E42A8" w:rsidP="000E42A8">
      <w:pPr>
        <w:pStyle w:val="StandardWeb"/>
      </w:pPr>
      <w:r>
        <w:t>K_F</w:t>
      </w:r>
      <w:r>
        <w:br/>
        <w:t>\left(</w:t>
      </w:r>
      <w:r>
        <w:br/>
        <w:t>A(s_1(x)),</w:t>
      </w:r>
      <w:r>
        <w:br/>
        <w:t>A(s_2(x))</w:t>
      </w:r>
      <w:r>
        <w:br/>
        <w:t>\right).</w:t>
      </w:r>
      <w:r>
        <w:br/>
      </w:r>
      <w:r>
        <w:lastRenderedPageBreak/>
        <w:t>\tag{3.8279}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K_{\mathrm{scale}}=K_F\left(A(s_1(x)),A(s_2(x))\right)</w:t>
      </w:r>
    </w:p>
    <w:p w:rsidR="000E42A8" w:rsidRDefault="00E50336" w:rsidP="000E42A8">
      <w:r>
        <w:pict>
          <v:rect id="_x0000_i2060" style="width:0;height:1.5pt" o:hralign="center" o:hrstd="t" o:hr="t" fillcolor="#a0a0a0" stroked="f"/>
        </w:pict>
      </w:r>
    </w:p>
    <w:p w:rsidR="000E42A8" w:rsidRDefault="000E42A8" w:rsidP="000E42A8">
      <w:pPr>
        <w:pStyle w:val="berschrift1"/>
      </w:pPr>
      <w:r>
        <w:t>3.3.42.321 Konsistenz unter Diskretisierung</w:t>
      </w:r>
    </w:p>
    <w:p w:rsidR="000E42A8" w:rsidRDefault="000E42A8" w:rsidP="000E42A8">
      <w:pPr>
        <w:pStyle w:val="StandardWeb"/>
      </w:pPr>
      <w:r>
        <w:t>Eine kontinuierliche Größe (x) kann in Klassen überführt werden:</w:t>
      </w:r>
    </w:p>
    <w:p w:rsidR="000E42A8" w:rsidRDefault="000E42A8" w:rsidP="000E42A8">
      <w:pPr>
        <w:pStyle w:val="StandardWeb"/>
      </w:pPr>
      <w:r>
        <w:t>[</w:t>
      </w:r>
      <w:r>
        <w:br/>
        <w:t>D_h:</w:t>
      </w:r>
      <w:r>
        <w:br/>
        <w:t>x</w:t>
      </w:r>
      <w:r>
        <w:br/>
        <w:t>\rightarrow</w:t>
      </w:r>
      <w:r>
        <w:br/>
        <w:t>c_k.</w:t>
      </w:r>
      <w:r>
        <w:br/>
        <w:t>\tag{3.8280}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D_h:x\rightarrow c_k</w:t>
      </w:r>
    </w:p>
    <w:p w:rsidR="000E42A8" w:rsidRDefault="000E42A8" w:rsidP="000E42A8">
      <w:pPr>
        <w:pStyle w:val="StandardWeb"/>
      </w:pPr>
      <w:r>
        <w:t>Der Parameter (h) beschreibt die Diskretisierungsauflösung.</w:t>
      </w:r>
    </w:p>
    <w:p w:rsidR="000E42A8" w:rsidRDefault="00E50336" w:rsidP="000E42A8">
      <w:r>
        <w:pict>
          <v:rect id="_x0000_i2061" style="width:0;height:1.5pt" o:hralign="center" o:hrstd="t" o:hr="t" fillcolor="#a0a0a0" stroked="f"/>
        </w:pict>
      </w:r>
    </w:p>
    <w:p w:rsidR="000E42A8" w:rsidRDefault="000E42A8" w:rsidP="000E42A8">
      <w:pPr>
        <w:pStyle w:val="berschrift1"/>
      </w:pPr>
      <w:r>
        <w:t>3.3.42.322 Diskretisierungskonsistenz</w:t>
      </w:r>
    </w:p>
    <w:p w:rsidR="000E42A8" w:rsidRDefault="000E42A8" w:rsidP="000E42A8">
      <w:pPr>
        <w:pStyle w:val="StandardWeb"/>
      </w:pPr>
      <w:r>
        <w:t>Ich definiere</w:t>
      </w:r>
    </w:p>
    <w:p w:rsidR="000E42A8" w:rsidRDefault="000E42A8" w:rsidP="000E42A8">
      <w:pPr>
        <w:pStyle w:val="berschrift1"/>
      </w:pPr>
      <w:r>
        <w:t>[</w:t>
      </w:r>
      <w:r>
        <w:br/>
        <w:t>K_D(h)</w:t>
      </w:r>
    </w:p>
    <w:p w:rsidR="000E42A8" w:rsidRDefault="000E42A8" w:rsidP="000E42A8">
      <w:pPr>
        <w:pStyle w:val="StandardWeb"/>
      </w:pPr>
      <w:r>
        <w:t>K_F</w:t>
      </w:r>
      <w:r>
        <w:br/>
        <w:t>\left(</w:t>
      </w:r>
      <w:r>
        <w:br/>
        <w:t>A,</w:t>
      </w:r>
      <w:r>
        <w:br/>
        <w:t>D_h[A]</w:t>
      </w:r>
      <w:r>
        <w:br/>
        <w:t>\right).</w:t>
      </w:r>
      <w:r>
        <w:br/>
        <w:t>\tag{3.8281}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K_D(h)=K_F\left(A,D_h[A]\right)</w:t>
      </w:r>
    </w:p>
    <w:p w:rsidR="000E42A8" w:rsidRDefault="000E42A8" w:rsidP="000E42A8">
      <w:pPr>
        <w:pStyle w:val="StandardWeb"/>
      </w:pPr>
      <w:r>
        <w:t>Mit zunehmender Auflösung kann geprüft werden, ob</w:t>
      </w:r>
    </w:p>
    <w:p w:rsidR="000E42A8" w:rsidRDefault="000E42A8" w:rsidP="000E42A8">
      <w:pPr>
        <w:pStyle w:val="StandardWeb"/>
      </w:pPr>
      <w:r>
        <w:lastRenderedPageBreak/>
        <w:t>[</w:t>
      </w:r>
      <w:r>
        <w:br/>
        <w:t>K_D(h)</w:t>
      </w:r>
      <w:r>
        <w:br/>
        <w:t>\rightarrow</w:t>
      </w:r>
      <w:r>
        <w:br/>
        <w:t>1.</w:t>
      </w:r>
      <w:r>
        <w:br/>
        <w:t>\tag{3.8282}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K_D(h)\rightarrow1</w:t>
      </w:r>
    </w:p>
    <w:p w:rsidR="000E42A8" w:rsidRDefault="00E50336" w:rsidP="000E42A8">
      <w:r>
        <w:pict>
          <v:rect id="_x0000_i2062" style="width:0;height:1.5pt" o:hralign="center" o:hrstd="t" o:hr="t" fillcolor="#a0a0a0" stroked="f"/>
        </w:pict>
      </w:r>
    </w:p>
    <w:p w:rsidR="000E42A8" w:rsidRDefault="000E42A8" w:rsidP="000E42A8">
      <w:pPr>
        <w:pStyle w:val="berschrift1"/>
      </w:pPr>
      <w:r>
        <w:t>3.3.42.323 Diskretisierungsinduzierter Konflikt</w:t>
      </w:r>
    </w:p>
    <w:p w:rsidR="000E42A8" w:rsidRDefault="000E42A8" w:rsidP="000E42A8">
      <w:pPr>
        <w:pStyle w:val="StandardWeb"/>
      </w:pPr>
      <w:r>
        <w:t>Ein Konflikt ist diskretisierungsinduziert, wenn</w:t>
      </w:r>
    </w:p>
    <w:p w:rsidR="000E42A8" w:rsidRDefault="000E42A8" w:rsidP="000E42A8">
      <w:pPr>
        <w:pStyle w:val="StandardWeb"/>
      </w:pPr>
      <w:r>
        <w:t>[</w:t>
      </w:r>
      <w:r>
        <w:br/>
        <w:t>K_F(A_i,A_j)=1</w:t>
      </w:r>
      <w:r>
        <w:br/>
        <w:t>\tag{3.8283}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K_F(A_i,A_j)=1</w:t>
      </w:r>
    </w:p>
    <w:p w:rsidR="000E42A8" w:rsidRDefault="000E42A8" w:rsidP="000E42A8">
      <w:pPr>
        <w:pStyle w:val="StandardWeb"/>
      </w:pPr>
      <w:r>
        <w:t>aber</w:t>
      </w:r>
    </w:p>
    <w:p w:rsidR="000E42A8" w:rsidRDefault="000E42A8" w:rsidP="000E42A8">
      <w:pPr>
        <w:pStyle w:val="StandardWeb"/>
      </w:pPr>
      <w:r>
        <w:t>[</w:t>
      </w:r>
      <w:r>
        <w:br/>
        <w:t>K_F(D_h[A_i],D_h[A_j])=0.</w:t>
      </w:r>
      <w:r>
        <w:br/>
        <w:t>\tag{3.8284}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K_F(D_h[A_i],D_h[A_j])=0</w:t>
      </w:r>
    </w:p>
    <w:p w:rsidR="000E42A8" w:rsidRDefault="00E50336" w:rsidP="000E42A8">
      <w:r>
        <w:pict>
          <v:rect id="_x0000_i2063" style="width:0;height:1.5pt" o:hralign="center" o:hrstd="t" o:hr="t" fillcolor="#a0a0a0" stroked="f"/>
        </w:pict>
      </w:r>
    </w:p>
    <w:p w:rsidR="000E42A8" w:rsidRDefault="000E42A8" w:rsidP="000E42A8">
      <w:pPr>
        <w:pStyle w:val="berschrift1"/>
      </w:pPr>
      <w:r>
        <w:t>3.3.42.324 Auflösungsabhängige Konsistenz</w:t>
      </w:r>
    </w:p>
    <w:p w:rsidR="000E42A8" w:rsidRDefault="000E42A8" w:rsidP="000E42A8">
      <w:pPr>
        <w:pStyle w:val="StandardWeb"/>
      </w:pPr>
      <w:r>
        <w:t>Dann ist</w:t>
      </w:r>
    </w:p>
    <w:p w:rsidR="000E42A8" w:rsidRDefault="000E42A8" w:rsidP="000E42A8">
      <w:pPr>
        <w:pStyle w:val="StandardWeb"/>
      </w:pPr>
      <w:r>
        <w:t>[</w:t>
      </w:r>
      <w:r>
        <w:br/>
        <w:t>K_F=K_F(h).</w:t>
      </w:r>
      <w:r>
        <w:br/>
        <w:t>\tag{3.8285}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K_F=K_F(h)</w:t>
      </w:r>
    </w:p>
    <w:p w:rsidR="000E42A8" w:rsidRDefault="000E42A8" w:rsidP="000E42A8">
      <w:pPr>
        <w:pStyle w:val="StandardWeb"/>
      </w:pPr>
      <w:r>
        <w:lastRenderedPageBreak/>
        <w:t>Die Konsistenzbewertung ist damit abhängig von der gewählten Auflösung.</w:t>
      </w:r>
    </w:p>
    <w:p w:rsidR="000E42A8" w:rsidRDefault="00E50336" w:rsidP="000E42A8">
      <w:r>
        <w:pict>
          <v:rect id="_x0000_i2064" style="width:0;height:1.5pt" o:hralign="center" o:hrstd="t" o:hr="t" fillcolor="#a0a0a0" stroked="f"/>
        </w:pict>
      </w:r>
    </w:p>
    <w:p w:rsidR="000E42A8" w:rsidRDefault="000E42A8" w:rsidP="000E42A8">
      <w:pPr>
        <w:pStyle w:val="berschrift1"/>
      </w:pPr>
      <w:r>
        <w:t>3.3.42.325 Konsistenzgrenze</w:t>
      </w:r>
    </w:p>
    <w:p w:rsidR="000E42A8" w:rsidRDefault="000E42A8" w:rsidP="000E42A8">
      <w:pPr>
        <w:pStyle w:val="StandardWeb"/>
      </w:pPr>
      <w:r>
        <w:t>Ich definiere einen kritischen Auflösungsparameter</w:t>
      </w:r>
    </w:p>
    <w:p w:rsidR="000E42A8" w:rsidRDefault="000E42A8" w:rsidP="000E42A8">
      <w:pPr>
        <w:pStyle w:val="StandardWeb"/>
      </w:pPr>
      <w:r>
        <w:t>[</w:t>
      </w:r>
      <w:r>
        <w:br/>
        <w:t>h_K^{\ast}</w:t>
      </w:r>
      <w:r>
        <w:br/>
        <w:t>\tag{3.8286}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h_K^{\ast}</w:t>
      </w:r>
    </w:p>
    <w:p w:rsidR="000E42A8" w:rsidRDefault="000E42A8" w:rsidP="000E42A8">
      <w:pPr>
        <w:pStyle w:val="StandardWeb"/>
      </w:pPr>
      <w:r>
        <w:t>durch</w:t>
      </w:r>
    </w:p>
    <w:p w:rsidR="000E42A8" w:rsidRDefault="000E42A8" w:rsidP="000E42A8">
      <w:pPr>
        <w:pStyle w:val="StandardWeb"/>
      </w:pPr>
      <w:r>
        <w:t>[</w:t>
      </w:r>
      <w:r>
        <w:br/>
        <w:t>K_F(h_K^{\ast})=0</w:t>
      </w:r>
      <w:r>
        <w:br/>
        <w:t>\tag{3.8287}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K_F(h_K^{\ast})=0</w:t>
      </w:r>
    </w:p>
    <w:p w:rsidR="000E42A8" w:rsidRDefault="000E42A8" w:rsidP="000E42A8">
      <w:pPr>
        <w:pStyle w:val="StandardWeb"/>
      </w:pPr>
      <w:r>
        <w:t>bei vorheriger Konsistenz.</w:t>
      </w:r>
    </w:p>
    <w:p w:rsidR="000E42A8" w:rsidRDefault="00E50336" w:rsidP="000E42A8">
      <w:r>
        <w:pict>
          <v:rect id="_x0000_i2065" style="width:0;height:1.5pt" o:hralign="center" o:hrstd="t" o:hr="t" fillcolor="#a0a0a0" stroked="f"/>
        </w:pict>
      </w:r>
    </w:p>
    <w:p w:rsidR="000E42A8" w:rsidRDefault="000E42A8" w:rsidP="000E42A8">
      <w:pPr>
        <w:pStyle w:val="berschrift1"/>
      </w:pPr>
      <w:r>
        <w:t>3.3.42.326 Konsistenz unter Zeitaggregation</w:t>
      </w:r>
    </w:p>
    <w:p w:rsidR="000E42A8" w:rsidRDefault="000E42A8" w:rsidP="000E42A8">
      <w:pPr>
        <w:pStyle w:val="StandardWeb"/>
      </w:pPr>
      <w:r>
        <w:t>Für Zeitreihen kann eine Aggregation</w:t>
      </w:r>
    </w:p>
    <w:p w:rsidR="000E42A8" w:rsidRDefault="000E42A8" w:rsidP="000E42A8">
      <w:pPr>
        <w:pStyle w:val="StandardWeb"/>
      </w:pPr>
      <w:r>
        <w:t>[</w:t>
      </w:r>
      <w:r>
        <w:br/>
        <w:t>A_{\Delta t}</w:t>
      </w:r>
      <w:r>
        <w:br/>
        <w:t>\tag{3.8288}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A_{\Delta t}</w:t>
      </w:r>
    </w:p>
    <w:p w:rsidR="000E42A8" w:rsidRDefault="000E42A8" w:rsidP="000E42A8">
      <w:pPr>
        <w:pStyle w:val="StandardWeb"/>
      </w:pPr>
      <w:r>
        <w:t>auf unterschiedliche Zeitfenster angewendet werden.</w:t>
      </w:r>
    </w:p>
    <w:p w:rsidR="000E42A8" w:rsidRDefault="000E42A8" w:rsidP="000E42A8">
      <w:pPr>
        <w:pStyle w:val="StandardWeb"/>
      </w:pPr>
      <w:r>
        <w:t>Dann gilt</w:t>
      </w:r>
    </w:p>
    <w:p w:rsidR="000E42A8" w:rsidRDefault="000E42A8" w:rsidP="000E42A8">
      <w:pPr>
        <w:pStyle w:val="StandardWeb"/>
      </w:pPr>
      <w:r>
        <w:t>[</w:t>
      </w:r>
      <w:r>
        <w:br/>
        <w:t>K_F=K_F(\Delta t).</w:t>
      </w:r>
      <w:r>
        <w:br/>
      </w:r>
      <w:r>
        <w:lastRenderedPageBreak/>
        <w:t>\tag{3.8289}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K_F=K_F(\Delta t)</w:t>
      </w:r>
    </w:p>
    <w:p w:rsidR="000E42A8" w:rsidRDefault="000E42A8" w:rsidP="000E42A8">
      <w:pPr>
        <w:pStyle w:val="StandardWeb"/>
      </w:pPr>
      <w:r>
        <w:t>Ein Konflikt kann bei kurzer Zeitauflösung sichtbar und bei starker Aggregation verschwinden.</w:t>
      </w:r>
    </w:p>
    <w:p w:rsidR="000E42A8" w:rsidRDefault="00E50336" w:rsidP="000E42A8">
      <w:r>
        <w:pict>
          <v:rect id="_x0000_i2066" style="width:0;height:1.5pt" o:hralign="center" o:hrstd="t" o:hr="t" fillcolor="#a0a0a0" stroked="f"/>
        </w:pict>
      </w:r>
    </w:p>
    <w:p w:rsidR="000E42A8" w:rsidRDefault="000E42A8" w:rsidP="000E42A8">
      <w:pPr>
        <w:pStyle w:val="berschrift1"/>
      </w:pPr>
      <w:r>
        <w:t>3.3.42.327 Konsistenz unter räumlicher Aggregation</w:t>
      </w:r>
    </w:p>
    <w:p w:rsidR="000E42A8" w:rsidRDefault="000E42A8" w:rsidP="000E42A8">
      <w:pPr>
        <w:pStyle w:val="StandardWeb"/>
      </w:pPr>
      <w:r>
        <w:t>Analog gilt</w:t>
      </w:r>
    </w:p>
    <w:p w:rsidR="000E42A8" w:rsidRDefault="000E42A8" w:rsidP="000E42A8">
      <w:pPr>
        <w:pStyle w:val="StandardWeb"/>
      </w:pPr>
      <w:r>
        <w:t>[</w:t>
      </w:r>
      <w:r>
        <w:br/>
        <w:t>K_F=K_F(\Delta x)</w:t>
      </w:r>
      <w:r>
        <w:br/>
        <w:t>\tag{3.8290}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K_F=K_F(\Delta x)</w:t>
      </w:r>
    </w:p>
    <w:p w:rsidR="000E42A8" w:rsidRDefault="000E42A8" w:rsidP="000E42A8">
      <w:pPr>
        <w:pStyle w:val="StandardWeb"/>
      </w:pPr>
      <w:r>
        <w:t>für eine räumliche Aggregationsskala (\Delta x).</w:t>
      </w:r>
    </w:p>
    <w:p w:rsidR="000E42A8" w:rsidRDefault="00E50336" w:rsidP="000E42A8">
      <w:r>
        <w:pict>
          <v:rect id="_x0000_i2067" style="width:0;height:1.5pt" o:hralign="center" o:hrstd="t" o:hr="t" fillcolor="#a0a0a0" stroked="f"/>
        </w:pict>
      </w:r>
    </w:p>
    <w:p w:rsidR="000E42A8" w:rsidRDefault="000E42A8" w:rsidP="000E42A8">
      <w:pPr>
        <w:pStyle w:val="berschrift1"/>
      </w:pPr>
      <w:r>
        <w:t>3.3.42.328 Skalenabhängiger Konflikt</w:t>
      </w:r>
    </w:p>
    <w:p w:rsidR="000E42A8" w:rsidRDefault="000E42A8" w:rsidP="000E42A8">
      <w:pPr>
        <w:pStyle w:val="StandardWeb"/>
      </w:pPr>
      <w:r>
        <w:t>Ich definiere</w:t>
      </w:r>
    </w:p>
    <w:p w:rsidR="000E42A8" w:rsidRDefault="000E42A8" w:rsidP="000E42A8">
      <w:pPr>
        <w:pStyle w:val="berschrift1"/>
      </w:pPr>
      <w:r>
        <w:t>[</w:t>
      </w:r>
      <w:r>
        <w:br/>
        <w:t>W_{\mathrm{scale}}</w:t>
      </w:r>
    </w:p>
    <w:p w:rsidR="000E42A8" w:rsidRDefault="000E42A8" w:rsidP="000E42A8">
      <w:pPr>
        <w:pStyle w:val="StandardWeb"/>
      </w:pPr>
      <w:r>
        <w:t>1</w:t>
      </w:r>
      <w:r>
        <w:br/>
        <w:t>\tag{3.8291}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W_{\mathrm{scale}}=1</w:t>
      </w:r>
    </w:p>
    <w:p w:rsidR="000E42A8" w:rsidRDefault="000E42A8" w:rsidP="000E42A8">
      <w:pPr>
        <w:pStyle w:val="StandardWeb"/>
      </w:pPr>
      <w:r>
        <w:t>wenn ein Konflikt ausschließlich in bestimmten Zeit-, Raum- oder Auflösungsskalen auftritt.</w:t>
      </w:r>
    </w:p>
    <w:p w:rsidR="000E42A8" w:rsidRDefault="00E50336" w:rsidP="000E42A8">
      <w:r>
        <w:pict>
          <v:rect id="_x0000_i2068" style="width:0;height:1.5pt" o:hralign="center" o:hrstd="t" o:hr="t" fillcolor="#a0a0a0" stroked="f"/>
        </w:pict>
      </w:r>
    </w:p>
    <w:p w:rsidR="000E42A8" w:rsidRDefault="000E42A8" w:rsidP="000E42A8">
      <w:pPr>
        <w:pStyle w:val="berschrift1"/>
      </w:pPr>
      <w:r>
        <w:t>3.3.42.329 Konsistenzkarte über Skalen</w:t>
      </w:r>
    </w:p>
    <w:p w:rsidR="000E42A8" w:rsidRDefault="000E42A8" w:rsidP="000E42A8">
      <w:pPr>
        <w:pStyle w:val="StandardWeb"/>
      </w:pPr>
      <w:r>
        <w:lastRenderedPageBreak/>
        <w:t>Für mehrere Skalenparameter definiere ich</w:t>
      </w:r>
    </w:p>
    <w:p w:rsidR="000E42A8" w:rsidRDefault="000E42A8" w:rsidP="000E42A8">
      <w:pPr>
        <w:pStyle w:val="StandardWeb"/>
      </w:pPr>
      <w:r>
        <w:t>[</w:t>
      </w:r>
      <w:r>
        <w:br/>
        <w:t>\mathcal K_{\mathrm{scale}}</w:t>
      </w:r>
      <w:r>
        <w:br/>
        <w:t>:</w:t>
      </w:r>
      <w:r>
        <w:br/>
        <w:t>(\Delta t,\Delta x,h)</w:t>
      </w:r>
      <w:r>
        <w:br/>
        <w:t>\rightarrow</w:t>
      </w:r>
      <w:r>
        <w:br/>
        <w:t>K_F.</w:t>
      </w:r>
      <w:r>
        <w:br/>
        <w:t>\tag{3.8292}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K_{\mathrm{scale}}:(\Delta t,\Delta x,h)\rightarrow K_F</w:t>
      </w:r>
    </w:p>
    <w:p w:rsidR="000E42A8" w:rsidRDefault="000E42A8" w:rsidP="000E42A8">
      <w:pPr>
        <w:pStyle w:val="StandardWeb"/>
      </w:pPr>
      <w:r>
        <w:t>Damit kann Konsistenz als Funktion der Beobachtungsauflösung dargestellt werden.</w:t>
      </w:r>
    </w:p>
    <w:p w:rsidR="000E42A8" w:rsidRDefault="00E50336" w:rsidP="000E42A8">
      <w:r>
        <w:pict>
          <v:rect id="_x0000_i2069" style="width:0;height:1.5pt" o:hralign="center" o:hrstd="t" o:hr="t" fillcolor="#a0a0a0" stroked="f"/>
        </w:pict>
      </w:r>
    </w:p>
    <w:p w:rsidR="000E42A8" w:rsidRDefault="000E42A8" w:rsidP="000E42A8">
      <w:pPr>
        <w:pStyle w:val="berschrift1"/>
      </w:pPr>
      <w:r>
        <w:t>3.3.42.330 Konsistenzregion im Skalenraum</w:t>
      </w:r>
    </w:p>
    <w:p w:rsidR="000E42A8" w:rsidRDefault="000E42A8" w:rsidP="000E42A8">
      <w:pPr>
        <w:pStyle w:val="StandardWeb"/>
      </w:pPr>
      <w:r>
        <w:t>Ich definiere</w:t>
      </w:r>
    </w:p>
    <w:p w:rsidR="000E42A8" w:rsidRDefault="000E42A8" w:rsidP="000E42A8">
      <w:pPr>
        <w:pStyle w:val="berschrift1"/>
      </w:pPr>
      <w:r>
        <w:t>[</w:t>
      </w:r>
      <w:r>
        <w:br/>
        <w:t>\Omega_K^{\mathrm{scale}}</w:t>
      </w:r>
    </w:p>
    <w:p w:rsidR="000E42A8" w:rsidRDefault="000E42A8" w:rsidP="000E42A8">
      <w:pPr>
        <w:pStyle w:val="StandardWeb"/>
      </w:pPr>
      <w:r>
        <w:t>\left{</w:t>
      </w:r>
      <w:r>
        <w:br/>
        <w:t>(\Delta t,\Delta x,h)</w:t>
      </w:r>
      <w:r>
        <w:br/>
        <w:t>:</w:t>
      </w:r>
      <w:r>
        <w:br/>
        <w:t>K_F=1</w:t>
      </w:r>
      <w:r>
        <w:br/>
        <w:t>\right}.</w:t>
      </w:r>
      <w:r>
        <w:br/>
        <w:t>\tag{3.8293}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\Omega_K^{\mathrm{scale}}=\left\{(\Delta t,\Delta x,h):K_F=1\right\}</w:t>
      </w:r>
    </w:p>
    <w:p w:rsidR="000E42A8" w:rsidRDefault="00E50336" w:rsidP="000E42A8">
      <w:r>
        <w:pict>
          <v:rect id="_x0000_i2070" style="width:0;height:1.5pt" o:hralign="center" o:hrstd="t" o:hr="t" fillcolor="#a0a0a0" stroked="f"/>
        </w:pict>
      </w:r>
    </w:p>
    <w:p w:rsidR="000E42A8" w:rsidRDefault="000E42A8" w:rsidP="000E42A8">
      <w:pPr>
        <w:pStyle w:val="berschrift1"/>
      </w:pPr>
      <w:r>
        <w:t>3.3.42.331 Konsistenzreserve im Skalenraum</w:t>
      </w:r>
    </w:p>
    <w:p w:rsidR="000E42A8" w:rsidRDefault="000E42A8" w:rsidP="000E42A8">
      <w:pPr>
        <w:pStyle w:val="StandardWeb"/>
      </w:pPr>
      <w:r>
        <w:t>Für einen aktuellen Skalenpunkt (s) gilt</w:t>
      </w:r>
    </w:p>
    <w:p w:rsidR="000E42A8" w:rsidRDefault="000E42A8" w:rsidP="000E42A8">
      <w:pPr>
        <w:pStyle w:val="berschrift1"/>
      </w:pPr>
      <w:r>
        <w:t>[</w:t>
      </w:r>
      <w:r>
        <w:br/>
        <w:t>M_K^{\mathrm{scale}}</w:t>
      </w:r>
    </w:p>
    <w:p w:rsidR="000E42A8" w:rsidRDefault="000E42A8" w:rsidP="000E42A8">
      <w:pPr>
        <w:pStyle w:val="StandardWeb"/>
      </w:pPr>
      <w:r>
        <w:lastRenderedPageBreak/>
        <w:t>d</w:t>
      </w:r>
      <w:r>
        <w:br/>
        <w:t>\left(</w:t>
      </w:r>
      <w:r>
        <w:br/>
        <w:t>s,</w:t>
      </w:r>
      <w:r>
        <w:br/>
        <w:t>\partial\Omega_K^{\mathrm{scale}}</w:t>
      </w:r>
      <w:r>
        <w:br/>
        <w:t>\right).</w:t>
      </w:r>
      <w:r>
        <w:br/>
        <w:t>\tag{3.8294}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M_K^{\mathrm{scale}}=d\left(s,\partial\Omega_K^{\mathrm{scale}}\right)</w:t>
      </w:r>
    </w:p>
    <w:p w:rsidR="000E42A8" w:rsidRDefault="00E50336" w:rsidP="000E42A8">
      <w:r>
        <w:pict>
          <v:rect id="_x0000_i2071" style="width:0;height:1.5pt" o:hralign="center" o:hrstd="t" o:hr="t" fillcolor="#a0a0a0" stroked="f"/>
        </w:pict>
      </w:r>
    </w:p>
    <w:p w:rsidR="000E42A8" w:rsidRDefault="000E42A8" w:rsidP="000E42A8">
      <w:pPr>
        <w:pStyle w:val="berschrift1"/>
      </w:pPr>
      <w:r>
        <w:t>3.3.42.332 Konsistenz unter Modellvereinfachung</w:t>
      </w:r>
    </w:p>
    <w:p w:rsidR="000E42A8" w:rsidRDefault="000E42A8" w:rsidP="000E42A8">
      <w:pPr>
        <w:pStyle w:val="StandardWeb"/>
      </w:pPr>
      <w:r>
        <w:t>Eine Modellvereinfachung sei</w:t>
      </w:r>
    </w:p>
    <w:p w:rsidR="000E42A8" w:rsidRDefault="000E42A8" w:rsidP="000E42A8">
      <w:pPr>
        <w:pStyle w:val="StandardWeb"/>
      </w:pPr>
      <w:r>
        <w:t>[</w:t>
      </w:r>
      <w:r>
        <w:br/>
        <w:t>S:</w:t>
      </w:r>
      <w:r>
        <w:br/>
        <w:t>M</w:t>
      </w:r>
      <w:r>
        <w:br/>
        <w:t>\rightarrow</w:t>
      </w:r>
      <w:r>
        <w:br/>
        <w:t>M'.</w:t>
      </w:r>
      <w:r>
        <w:br/>
        <w:t>\tag{3.8295}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S:M\rightarrow M'</w:t>
      </w:r>
    </w:p>
    <w:p w:rsidR="000E42A8" w:rsidRDefault="000E42A8" w:rsidP="000E42A8">
      <w:pPr>
        <w:pStyle w:val="StandardWeb"/>
      </w:pPr>
      <w:r>
        <w:t>Sie kann Variablen, Parameter oder Wechselwirkungen entfernen.</w:t>
      </w:r>
    </w:p>
    <w:p w:rsidR="000E42A8" w:rsidRDefault="00E50336" w:rsidP="000E42A8">
      <w:r>
        <w:pict>
          <v:rect id="_x0000_i2072" style="width:0;height:1.5pt" o:hralign="center" o:hrstd="t" o:hr="t" fillcolor="#a0a0a0" stroked="f"/>
        </w:pict>
      </w:r>
    </w:p>
    <w:p w:rsidR="000E42A8" w:rsidRDefault="000E42A8" w:rsidP="000E42A8">
      <w:pPr>
        <w:pStyle w:val="berschrift1"/>
      </w:pPr>
      <w:r>
        <w:t>3.3.42.333 Vereinfachungskonsistenz</w:t>
      </w:r>
    </w:p>
    <w:p w:rsidR="000E42A8" w:rsidRDefault="000E42A8" w:rsidP="000E42A8">
      <w:pPr>
        <w:pStyle w:val="StandardWeb"/>
      </w:pPr>
      <w:r>
        <w:t>Ich definiere</w:t>
      </w:r>
    </w:p>
    <w:p w:rsidR="000E42A8" w:rsidRDefault="000E42A8" w:rsidP="000E42A8">
      <w:pPr>
        <w:pStyle w:val="berschrift1"/>
      </w:pPr>
      <w:r>
        <w:t>[</w:t>
      </w:r>
      <w:r>
        <w:br/>
        <w:t>K_S</w:t>
      </w:r>
    </w:p>
    <w:p w:rsidR="000E42A8" w:rsidRDefault="000E42A8" w:rsidP="000E42A8">
      <w:pPr>
        <w:pStyle w:val="StandardWeb"/>
      </w:pPr>
      <w:r>
        <w:t>K_F</w:t>
      </w:r>
      <w:r>
        <w:br/>
        <w:t>\left(</w:t>
      </w:r>
      <w:r>
        <w:br/>
        <w:t>M,</w:t>
      </w:r>
      <w:r>
        <w:br/>
        <w:t>S[M]</w:t>
      </w:r>
      <w:r>
        <w:br/>
        <w:t>\right)</w:t>
      </w:r>
      <w:r>
        <w:br/>
        <w:t>\tag{3.8296}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K_S=K_F\left(M,S[M]\right)</w:t>
      </w:r>
    </w:p>
    <w:p w:rsidR="000E42A8" w:rsidRDefault="000E42A8" w:rsidP="000E42A8">
      <w:pPr>
        <w:pStyle w:val="StandardWeb"/>
      </w:pPr>
      <w:r>
        <w:t>bezüglich derjenigen Aussageklassen, die trotz Vereinfachung erhalten bleiben sollen.</w:t>
      </w:r>
    </w:p>
    <w:p w:rsidR="000E42A8" w:rsidRDefault="00E50336" w:rsidP="000E42A8">
      <w:r>
        <w:pict>
          <v:rect id="_x0000_i2073" style="width:0;height:1.5pt" o:hralign="center" o:hrstd="t" o:hr="t" fillcolor="#a0a0a0" stroked="f"/>
        </w:pict>
      </w:r>
    </w:p>
    <w:p w:rsidR="000E42A8" w:rsidRDefault="000E42A8" w:rsidP="000E42A8">
      <w:pPr>
        <w:pStyle w:val="berschrift1"/>
      </w:pPr>
      <w:r>
        <w:t>3.3.42.334 Verlorene Konflikte durch Vereinfachung</w:t>
      </w:r>
    </w:p>
    <w:p w:rsidR="000E42A8" w:rsidRDefault="000E42A8" w:rsidP="000E42A8">
      <w:pPr>
        <w:pStyle w:val="StandardWeb"/>
      </w:pPr>
      <w:r>
        <w:t>Die Menge der durch Vereinfachung nicht mehr sichtbaren Konflikte sei</w:t>
      </w:r>
    </w:p>
    <w:p w:rsidR="000E42A8" w:rsidRDefault="000E42A8" w:rsidP="000E42A8">
      <w:pPr>
        <w:pStyle w:val="berschrift1"/>
      </w:pPr>
      <w:r>
        <w:t>[</w:t>
      </w:r>
      <w:r>
        <w:br/>
        <w:t>\Delta\mathcal W_S</w:t>
      </w:r>
    </w:p>
    <w:p w:rsidR="000E42A8" w:rsidRDefault="000E42A8" w:rsidP="000E42A8">
      <w:pPr>
        <w:pStyle w:val="StandardWeb"/>
      </w:pPr>
      <w:r>
        <w:t>\mathcal W(M)</w:t>
      </w:r>
      <w:r>
        <w:br/>
        <w:t>\setminus</w:t>
      </w:r>
      <w:r>
        <w:br/>
        <w:t>\mathcal W(S[M]).</w:t>
      </w:r>
      <w:r>
        <w:br/>
        <w:t>\tag{3.8297}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\Delta\mathcal W_S=\mathcal W(M)\setminus\mathcal W(S[M])</w:t>
      </w:r>
    </w:p>
    <w:p w:rsidR="000E42A8" w:rsidRDefault="000E42A8" w:rsidP="000E42A8">
      <w:pPr>
        <w:pStyle w:val="StandardWeb"/>
      </w:pPr>
      <w:r>
        <w:t>Ein Verlust von Konflikten bedeutet nicht automatisch, dass das vereinfachte Modell wissenschaftlich besser ist.</w:t>
      </w:r>
    </w:p>
    <w:p w:rsidR="000E42A8" w:rsidRDefault="00E50336" w:rsidP="000E42A8">
      <w:r>
        <w:pict>
          <v:rect id="_x0000_i2074" style="width:0;height:1.5pt" o:hralign="center" o:hrstd="t" o:hr="t" fillcolor="#a0a0a0" stroked="f"/>
        </w:pict>
      </w:r>
    </w:p>
    <w:p w:rsidR="000E42A8" w:rsidRDefault="000E42A8" w:rsidP="000E42A8">
      <w:pPr>
        <w:pStyle w:val="berschrift1"/>
      </w:pPr>
      <w:r>
        <w:t>3.3.42.335 Erzeugte Konflikte durch Vereinfachung</w:t>
      </w:r>
    </w:p>
    <w:p w:rsidR="000E42A8" w:rsidRDefault="000E42A8" w:rsidP="000E42A8">
      <w:pPr>
        <w:pStyle w:val="StandardWeb"/>
      </w:pPr>
      <w:r>
        <w:t>Analog sei</w:t>
      </w:r>
    </w:p>
    <w:p w:rsidR="000E42A8" w:rsidRDefault="000E42A8" w:rsidP="000E42A8">
      <w:pPr>
        <w:pStyle w:val="berschrift1"/>
      </w:pPr>
      <w:r>
        <w:t>[</w:t>
      </w:r>
      <w:r>
        <w:br/>
        <w:t>\mathcal W_S^{+}</w:t>
      </w:r>
    </w:p>
    <w:p w:rsidR="000E42A8" w:rsidRDefault="000E42A8" w:rsidP="000E42A8">
      <w:pPr>
        <w:pStyle w:val="StandardWeb"/>
      </w:pPr>
      <w:r>
        <w:t>\mathcal W(S[M])</w:t>
      </w:r>
      <w:r>
        <w:br/>
        <w:t>\setminus</w:t>
      </w:r>
      <w:r>
        <w:br/>
        <w:t>\mathcal W(M).</w:t>
      </w:r>
      <w:r>
        <w:br/>
        <w:t>\tag{3.8298}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W_S^{+}=\mathcal W(S[M])\setminus\mathcal W(M)</w:t>
      </w:r>
    </w:p>
    <w:p w:rsidR="000E42A8" w:rsidRDefault="000E42A8" w:rsidP="000E42A8">
      <w:pPr>
        <w:pStyle w:val="StandardWeb"/>
      </w:pPr>
      <w:r>
        <w:t>Diese Menge enthält neue, erst durch die Vereinfachung erzeugte Konflikte.</w:t>
      </w:r>
    </w:p>
    <w:p w:rsidR="000E42A8" w:rsidRDefault="00E50336" w:rsidP="000E42A8">
      <w:r>
        <w:pict>
          <v:rect id="_x0000_i2075" style="width:0;height:1.5pt" o:hralign="center" o:hrstd="t" o:hr="t" fillcolor="#a0a0a0" stroked="f"/>
        </w:pict>
      </w:r>
    </w:p>
    <w:p w:rsidR="000E42A8" w:rsidRDefault="000E42A8" w:rsidP="000E42A8">
      <w:pPr>
        <w:pStyle w:val="berschrift1"/>
      </w:pPr>
      <w:r>
        <w:lastRenderedPageBreak/>
        <w:t>3.3.42.336 Konsistenzverlustfunktion einer Vereinfachung</w:t>
      </w:r>
    </w:p>
    <w:p w:rsidR="000E42A8" w:rsidRDefault="000E42A8" w:rsidP="000E42A8">
      <w:pPr>
        <w:pStyle w:val="StandardWeb"/>
      </w:pPr>
      <w:r>
        <w:t>Ich definiere</w:t>
      </w:r>
    </w:p>
    <w:p w:rsidR="000E42A8" w:rsidRDefault="000E42A8" w:rsidP="000E42A8">
      <w:pPr>
        <w:pStyle w:val="berschrift1"/>
      </w:pPr>
      <w:r>
        <w:t>[</w:t>
      </w:r>
      <w:r>
        <w:br/>
        <w:t>L_K(S)</w:t>
      </w:r>
    </w:p>
    <w:p w:rsidR="000E42A8" w:rsidRDefault="000E42A8" w:rsidP="000E42A8">
      <w:pPr>
        <w:pStyle w:val="StandardWeb"/>
      </w:pPr>
      <w:r>
        <w:t>\alpha</w:t>
      </w:r>
      <w:r>
        <w:br/>
        <w:t>|\Delta\mathcal W_S|</w:t>
      </w:r>
      <w:r>
        <w:br/>
        <w:t>+</w:t>
      </w:r>
      <w:r>
        <w:br/>
        <w:t>\beta</w:t>
      </w:r>
      <w:r>
        <w:br/>
        <w:t>|\mathcal W_S^{+}|.</w:t>
      </w:r>
      <w:r>
        <w:br/>
        <w:t>\tag{3.8299}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L_K(S)=\alpha|\Delta\mathcal W_S|+\beta|\mathcal W_S^{+}|</w:t>
      </w:r>
    </w:p>
    <w:p w:rsidR="000E42A8" w:rsidRDefault="000E42A8" w:rsidP="000E42A8">
      <w:pPr>
        <w:pStyle w:val="StandardWeb"/>
      </w:pPr>
      <w:r>
        <w:t>Die Gewichte (\alpha) und (\beta) müssen inhaltlich begründet werden.</w:t>
      </w:r>
    </w:p>
    <w:p w:rsidR="000E42A8" w:rsidRDefault="00E50336" w:rsidP="000E42A8">
      <w:r>
        <w:pict>
          <v:rect id="_x0000_i2076" style="width:0;height:1.5pt" o:hralign="center" o:hrstd="t" o:hr="t" fillcolor="#a0a0a0" stroked="f"/>
        </w:pict>
      </w:r>
    </w:p>
    <w:p w:rsidR="000E42A8" w:rsidRDefault="000E42A8" w:rsidP="000E42A8">
      <w:pPr>
        <w:pStyle w:val="berschrift1"/>
      </w:pPr>
      <w:r>
        <w:t>3.3.42.337 Konsistenz und Modellkomplexität</w:t>
      </w:r>
    </w:p>
    <w:p w:rsidR="000E42A8" w:rsidRDefault="000E42A8" w:rsidP="000E42A8">
      <w:pPr>
        <w:pStyle w:val="StandardWeb"/>
      </w:pPr>
      <w:r>
        <w:t>Eine höhere Modellkomplexität</w:t>
      </w:r>
    </w:p>
    <w:p w:rsidR="000E42A8" w:rsidRDefault="000E42A8" w:rsidP="000E42A8">
      <w:pPr>
        <w:pStyle w:val="StandardWeb"/>
      </w:pPr>
      <w:r>
        <w:t>[</w:t>
      </w:r>
      <w:r>
        <w:br/>
        <w:t>C(M_1)</w:t>
      </w:r>
    </w:p>
    <w:p w:rsidR="000E42A8" w:rsidRDefault="000E42A8" w:rsidP="000E42A8">
      <w:pPr>
        <w:pStyle w:val="StandardWeb"/>
      </w:pPr>
      <w:r>
        <w:t>C(M_2)</w:t>
      </w:r>
      <w:r>
        <w:br/>
        <w:t>\tag{3.8300}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C(M_1)&gt;C(M_2)</w:t>
      </w:r>
    </w:p>
    <w:p w:rsidR="000E42A8" w:rsidRDefault="000E42A8" w:rsidP="000E42A8">
      <w:pPr>
        <w:pStyle w:val="StandardWeb"/>
      </w:pPr>
      <w:r>
        <w:t>impliziert weder höhere noch niedrigere Konsistenz.</w:t>
      </w:r>
    </w:p>
    <w:p w:rsidR="000E42A8" w:rsidRDefault="000E42A8" w:rsidP="000E42A8">
      <w:pPr>
        <w:pStyle w:val="StandardWeb"/>
      </w:pPr>
      <w:r>
        <w:t>[</w:t>
      </w:r>
      <w:r>
        <w:br/>
        <w:t>C(M_1)&gt;C(M_2)</w:t>
      </w:r>
      <w:r>
        <w:br/>
        <w:t>\nRightarrow</w:t>
      </w:r>
      <w:r>
        <w:br/>
        <w:t>R_K(M_1)&gt;R_K(M_2).</w:t>
      </w:r>
      <w:r>
        <w:br/>
        <w:t>\tag{3.8301}</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C(M_1)&gt;C(M_2)\nRightarrow R_K(M_1)&gt;R_K(M_2)</w:t>
      </w:r>
    </w:p>
    <w:p w:rsidR="000E42A8" w:rsidRDefault="00E50336" w:rsidP="000E42A8">
      <w:r>
        <w:pict>
          <v:rect id="_x0000_i2077" style="width:0;height:1.5pt" o:hralign="center" o:hrstd="t" o:hr="t" fillcolor="#a0a0a0" stroked="f"/>
        </w:pict>
      </w:r>
    </w:p>
    <w:p w:rsidR="000E42A8" w:rsidRDefault="000E42A8" w:rsidP="000E42A8">
      <w:pPr>
        <w:pStyle w:val="berschrift1"/>
      </w:pPr>
      <w:r>
        <w:t>3.3.42.338 Konsistenz-Komplexitäts-Profil</w:t>
      </w:r>
    </w:p>
    <w:p w:rsidR="000E42A8" w:rsidRDefault="000E42A8" w:rsidP="000E42A8">
      <w:pPr>
        <w:pStyle w:val="StandardWeb"/>
      </w:pPr>
      <w:r>
        <w:t>Ich definiere</w:t>
      </w:r>
    </w:p>
    <w:p w:rsidR="000E42A8" w:rsidRDefault="000E42A8" w:rsidP="000E42A8">
      <w:pPr>
        <w:pStyle w:val="berschrift1"/>
      </w:pPr>
      <w:r>
        <w:t>[</w:t>
      </w:r>
      <w:r>
        <w:br/>
        <w:t>\mathbf P_{KC}</w:t>
      </w:r>
    </w:p>
    <w:p w:rsidR="000E42A8" w:rsidRDefault="000E42A8" w:rsidP="000E42A8">
      <w:pPr>
        <w:pStyle w:val="StandardWeb"/>
      </w:pPr>
      <w:r>
        <w:t>\left(</w:t>
      </w:r>
      <w:r>
        <w:br/>
        <w:t>R_K,</w:t>
      </w:r>
      <w:r>
        <w:br/>
        <w:t>C(M)</w:t>
      </w:r>
      <w:r>
        <w:br/>
        <w:t>\right).</w:t>
      </w:r>
      <w:r>
        <w:br/>
        <w:t>\tag{3.8302}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\mathbf P_{KC}=\left(R_K,C(M)\right)</w:t>
      </w:r>
    </w:p>
    <w:p w:rsidR="000E42A8" w:rsidRDefault="000E42A8" w:rsidP="000E42A8">
      <w:pPr>
        <w:pStyle w:val="StandardWeb"/>
      </w:pPr>
      <w:r>
        <w:t>Damit kann geprüft werden, ob zusätzliche Komplexität tatsächlich zu einer konsistenteren Beschreibung beiträgt.</w:t>
      </w:r>
    </w:p>
    <w:p w:rsidR="000E42A8" w:rsidRDefault="00E50336" w:rsidP="000E42A8">
      <w:r>
        <w:pict>
          <v:rect id="_x0000_i2078" style="width:0;height:1.5pt" o:hralign="center" o:hrstd="t" o:hr="t" fillcolor="#a0a0a0" stroked="f"/>
        </w:pict>
      </w:r>
    </w:p>
    <w:p w:rsidR="000E42A8" w:rsidRDefault="000E42A8" w:rsidP="000E42A8">
      <w:pPr>
        <w:pStyle w:val="berschrift1"/>
      </w:pPr>
      <w:r>
        <w:t>3.3.42.339 Konsistenzgewinn pro Komplexitätszuwachs</w:t>
      </w:r>
    </w:p>
    <w:p w:rsidR="000E42A8" w:rsidRDefault="000E42A8" w:rsidP="000E42A8">
      <w:pPr>
        <w:pStyle w:val="StandardWeb"/>
      </w:pPr>
      <w:r>
        <w:t>Zwischen zwei Modellen kann definiert werden</w:t>
      </w:r>
    </w:p>
    <w:p w:rsidR="000E42A8" w:rsidRDefault="000E42A8" w:rsidP="000E42A8">
      <w:pPr>
        <w:pStyle w:val="berschrift1"/>
      </w:pPr>
      <w:r>
        <w:t>[</w:t>
      </w:r>
      <w:r>
        <w:br/>
        <w:t>\eta_{KC}</w:t>
      </w:r>
    </w:p>
    <w:p w:rsidR="000E42A8" w:rsidRDefault="000E42A8" w:rsidP="000E42A8">
      <w:pPr>
        <w:pStyle w:val="StandardWeb"/>
      </w:pPr>
      <w:r>
        <w:t>\frac{</w:t>
      </w:r>
      <w:r>
        <w:br/>
        <w:t>\Delta R_K</w:t>
      </w:r>
      <w:r>
        <w:br/>
        <w:t>}{</w:t>
      </w:r>
      <w:r>
        <w:br/>
        <w:t>\Delta C</w:t>
      </w:r>
      <w:r>
        <w:br/>
        <w:t>}.</w:t>
      </w:r>
      <w:r>
        <w:br/>
        <w:t>\tag{3.8303}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\eta_{KC}=\frac{\Delta R_K}{\Delta C}</w:t>
      </w:r>
    </w:p>
    <w:p w:rsidR="000E42A8" w:rsidRDefault="000E42A8" w:rsidP="000E42A8">
      <w:pPr>
        <w:pStyle w:val="StandardWeb"/>
      </w:pPr>
      <w:r>
        <w:lastRenderedPageBreak/>
        <w:t>Dies ist eine diagnostische Effizienzgröße, kein universelles Gütekriterium.</w:t>
      </w:r>
    </w:p>
    <w:p w:rsidR="000E42A8" w:rsidRDefault="00E50336" w:rsidP="000E42A8">
      <w:r>
        <w:pict>
          <v:rect id="_x0000_i2079" style="width:0;height:1.5pt" o:hralign="center" o:hrstd="t" o:hr="t" fillcolor="#a0a0a0" stroked="f"/>
        </w:pict>
      </w:r>
    </w:p>
    <w:p w:rsidR="000E42A8" w:rsidRDefault="000E42A8" w:rsidP="000E42A8">
      <w:pPr>
        <w:pStyle w:val="berschrift1"/>
      </w:pPr>
      <w:r>
        <w:t>3.3.42.340 Konsistenz unter Modellfusion</w:t>
      </w:r>
    </w:p>
    <w:p w:rsidR="000E42A8" w:rsidRDefault="000E42A8" w:rsidP="000E42A8">
      <w:pPr>
        <w:pStyle w:val="StandardWeb"/>
      </w:pPr>
      <w:r>
        <w:t>Seien zwei Modelle</w:t>
      </w:r>
    </w:p>
    <w:p w:rsidR="000E42A8" w:rsidRDefault="000E42A8" w:rsidP="000E42A8">
      <w:pPr>
        <w:pStyle w:val="StandardWeb"/>
      </w:pPr>
      <w:r>
        <w:t>[</w:t>
      </w:r>
      <w:r>
        <w:br/>
        <w:t>M_1</w:t>
      </w:r>
      <w:r>
        <w:br/>
        <w:t>\quad\text{und}\quad</w:t>
      </w:r>
      <w:r>
        <w:br/>
        <w:t>M_2.</w:t>
      </w:r>
      <w:r>
        <w:br/>
        <w:t>\tag{3.8304}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M_1\quad\text{und}\quad M_2</w:t>
      </w:r>
    </w:p>
    <w:p w:rsidR="000E42A8" w:rsidRDefault="000E42A8" w:rsidP="000E42A8">
      <w:pPr>
        <w:pStyle w:val="StandardWeb"/>
      </w:pPr>
      <w:r>
        <w:t>Eine Modellfusion sei</w:t>
      </w:r>
    </w:p>
    <w:p w:rsidR="000E42A8" w:rsidRDefault="000E42A8" w:rsidP="000E42A8">
      <w:pPr>
        <w:pStyle w:val="berschrift1"/>
      </w:pPr>
      <w:r>
        <w:t>[</w:t>
      </w:r>
      <w:r>
        <w:br/>
        <w:t>M_F</w:t>
      </w:r>
    </w:p>
    <w:p w:rsidR="000E42A8" w:rsidRDefault="000E42A8" w:rsidP="000E42A8">
      <w:pPr>
        <w:pStyle w:val="StandardWeb"/>
      </w:pPr>
      <w:r>
        <w:t>M_1</w:t>
      </w:r>
      <w:r>
        <w:br/>
        <w:t>\oplus</w:t>
      </w:r>
      <w:r>
        <w:br/>
        <w:t>M_2.</w:t>
      </w:r>
      <w:r>
        <w:br/>
        <w:t>\tag{3.8305}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M_F=M_1\oplus M_2</w:t>
      </w:r>
    </w:p>
    <w:p w:rsidR="000E42A8" w:rsidRDefault="00E50336" w:rsidP="000E42A8">
      <w:r>
        <w:pict>
          <v:rect id="_x0000_i2080" style="width:0;height:1.5pt" o:hralign="center" o:hrstd="t" o:hr="t" fillcolor="#a0a0a0" stroked="f"/>
        </w:pict>
      </w:r>
    </w:p>
    <w:p w:rsidR="000E42A8" w:rsidRDefault="000E42A8" w:rsidP="000E42A8">
      <w:pPr>
        <w:pStyle w:val="berschrift1"/>
      </w:pPr>
      <w:r>
        <w:t>3.3.42.341 Fusionskonsistenz</w:t>
      </w:r>
    </w:p>
    <w:p w:rsidR="000E42A8" w:rsidRDefault="000E42A8" w:rsidP="000E42A8">
      <w:pPr>
        <w:pStyle w:val="StandardWeb"/>
      </w:pPr>
      <w:r>
        <w:t>Ich definiere</w:t>
      </w:r>
    </w:p>
    <w:p w:rsidR="000E42A8" w:rsidRDefault="000E42A8" w:rsidP="000E42A8">
      <w:pPr>
        <w:pStyle w:val="berschrift1"/>
      </w:pPr>
      <w:r>
        <w:t>[</w:t>
      </w:r>
      <w:r>
        <w:br/>
        <w:t>K_{\mathrm{fusion}}</w:t>
      </w:r>
    </w:p>
    <w:p w:rsidR="000E42A8" w:rsidRDefault="000E42A8" w:rsidP="000E42A8">
      <w:pPr>
        <w:pStyle w:val="StandardWeb"/>
      </w:pPr>
      <w:r>
        <w:t>K_F(M_F).</w:t>
      </w:r>
      <w:r>
        <w:br/>
        <w:t>\tag{3.8306}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K_{\mathrm{fusion}}=K_F(M_F)</w:t>
      </w:r>
    </w:p>
    <w:p w:rsidR="000E42A8" w:rsidRDefault="000E42A8" w:rsidP="000E42A8">
      <w:pPr>
        <w:pStyle w:val="StandardWeb"/>
      </w:pPr>
      <w:r>
        <w:t>Dabei genügt nicht, dass (M_1) und (M_2) jeweils intern konsistent sind.</w:t>
      </w:r>
    </w:p>
    <w:p w:rsidR="000E42A8" w:rsidRDefault="00E50336" w:rsidP="000E42A8">
      <w:r>
        <w:pict>
          <v:rect id="_x0000_i2081" style="width:0;height:1.5pt" o:hralign="center" o:hrstd="t" o:hr="t" fillcolor="#a0a0a0" stroked="f"/>
        </w:pict>
      </w:r>
    </w:p>
    <w:p w:rsidR="000E42A8" w:rsidRDefault="000E42A8" w:rsidP="000E42A8">
      <w:pPr>
        <w:pStyle w:val="berschrift1"/>
      </w:pPr>
      <w:r>
        <w:t>3.3.42.342 Interne Konsistenz garantiert keine Fusionskonsistenz</w:t>
      </w:r>
    </w:p>
    <w:p w:rsidR="000E42A8" w:rsidRDefault="000E42A8" w:rsidP="000E42A8">
      <w:pPr>
        <w:pStyle w:val="StandardWeb"/>
      </w:pPr>
      <w:r>
        <w:t>Es gilt</w:t>
      </w:r>
    </w:p>
    <w:p w:rsidR="000E42A8" w:rsidRDefault="000E42A8" w:rsidP="000E42A8">
      <w:pPr>
        <w:pStyle w:val="StandardWeb"/>
      </w:pPr>
      <w:r>
        <w:t>[</w:t>
      </w:r>
      <w:r>
        <w:br/>
        <w:t>K_F(M_1)=1</w:t>
      </w:r>
      <w:r>
        <w:br/>
        <w:t>\land</w:t>
      </w:r>
      <w:r>
        <w:br/>
        <w:t>K_F(M_2)=1</w:t>
      </w:r>
      <w:r>
        <w:br/>
        <w:t>\nRightarrow</w:t>
      </w:r>
      <w:r>
        <w:br/>
        <w:t>K_F(M_1\oplus M_2)=1.</w:t>
      </w:r>
      <w:r>
        <w:br/>
        <w:t>\tag{3.8307}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K_F(M_1)=1\land K_F(M_2)=1\nRightarrow K_F(M_1\oplus M_2)=1</w:t>
      </w:r>
    </w:p>
    <w:p w:rsidR="000E42A8" w:rsidRDefault="00E50336" w:rsidP="000E42A8">
      <w:r>
        <w:pict>
          <v:rect id="_x0000_i2082" style="width:0;height:1.5pt" o:hralign="center" o:hrstd="t" o:hr="t" fillcolor="#a0a0a0" stroked="f"/>
        </w:pict>
      </w:r>
    </w:p>
    <w:p w:rsidR="000E42A8" w:rsidRDefault="000E42A8" w:rsidP="000E42A8">
      <w:pPr>
        <w:pStyle w:val="berschrift1"/>
      </w:pPr>
      <w:r>
        <w:t>3.3.42.343 Fusionskonfliktmenge</w:t>
      </w:r>
    </w:p>
    <w:p w:rsidR="000E42A8" w:rsidRDefault="000E42A8" w:rsidP="000E42A8">
      <w:pPr>
        <w:pStyle w:val="StandardWeb"/>
      </w:pPr>
      <w:r>
        <w:t>Ich definiere</w:t>
      </w:r>
    </w:p>
    <w:p w:rsidR="000E42A8" w:rsidRDefault="000E42A8" w:rsidP="000E42A8">
      <w:pPr>
        <w:pStyle w:val="berschrift1"/>
      </w:pPr>
      <w:r>
        <w:t>[</w:t>
      </w:r>
      <w:r>
        <w:br/>
        <w:t>\mathcal W_F^{\mathrm{fusion}}</w:t>
      </w:r>
    </w:p>
    <w:p w:rsidR="000E42A8" w:rsidRDefault="000E42A8" w:rsidP="000E42A8">
      <w:pPr>
        <w:pStyle w:val="StandardWeb"/>
      </w:pPr>
      <w:r>
        <w:t>\mathcal W(M_1\oplus M_2)</w:t>
      </w:r>
      <w:r>
        <w:br/>
        <w:t>\setminus</w:t>
      </w:r>
      <w:r>
        <w:br/>
        <w:t>\left(</w:t>
      </w:r>
      <w:r>
        <w:br/>
        <w:t>\mathcal W(M_1)</w:t>
      </w:r>
      <w:r>
        <w:br/>
        <w:t>\cup</w:t>
      </w:r>
      <w:r>
        <w:br/>
        <w:t>\mathcal W(M_2)</w:t>
      </w:r>
      <w:r>
        <w:br/>
        <w:t>\right).</w:t>
      </w:r>
      <w:r>
        <w:br/>
        <w:t>\tag{3.8308}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W_F^{\mathrm{fusion}}=\mathcal W(M_1\oplus M_2)\setminus\left(\mathcal W(M_1)\cup\mathcal W(M_2)\right)</w:t>
      </w:r>
    </w:p>
    <w:p w:rsidR="000E42A8" w:rsidRDefault="000E42A8" w:rsidP="000E42A8">
      <w:pPr>
        <w:pStyle w:val="StandardWeb"/>
      </w:pPr>
      <w:r>
        <w:t>Diese Menge enthält Konflikte, die erst durch die Kombination entstehen.</w:t>
      </w:r>
    </w:p>
    <w:p w:rsidR="000E42A8" w:rsidRDefault="00E50336" w:rsidP="000E42A8">
      <w:r>
        <w:lastRenderedPageBreak/>
        <w:pict>
          <v:rect id="_x0000_i2083" style="width:0;height:1.5pt" o:hralign="center" o:hrstd="t" o:hr="t" fillcolor="#a0a0a0" stroked="f"/>
        </w:pict>
      </w:r>
    </w:p>
    <w:p w:rsidR="000E42A8" w:rsidRDefault="000E42A8" w:rsidP="000E42A8">
      <w:pPr>
        <w:pStyle w:val="berschrift1"/>
      </w:pPr>
      <w:r>
        <w:t>3.3.42.344 Schnittstellenursache eines Fusionskonflikts</w:t>
      </w:r>
    </w:p>
    <w:p w:rsidR="000E42A8" w:rsidRDefault="000E42A8" w:rsidP="000E42A8">
      <w:pPr>
        <w:pStyle w:val="StandardWeb"/>
      </w:pPr>
      <w:r>
        <w:t>Viele Fusionskonflikte entstehen an gemeinsam verwendeten Variablen oder Definitionen.</w:t>
      </w:r>
    </w:p>
    <w:p w:rsidR="000E42A8" w:rsidRDefault="000E42A8" w:rsidP="000E42A8">
      <w:pPr>
        <w:pStyle w:val="StandardWeb"/>
      </w:pPr>
      <w:r>
        <w:t>Daher gilt häufig</w:t>
      </w:r>
    </w:p>
    <w:p w:rsidR="000E42A8" w:rsidRDefault="000E42A8" w:rsidP="000E42A8">
      <w:pPr>
        <w:pStyle w:val="StandardWeb"/>
      </w:pPr>
      <w:r>
        <w:t>[</w:t>
      </w:r>
      <w:r>
        <w:br/>
        <w:t>\mathcal W_F^{\mathrm{fusion}}</w:t>
      </w:r>
      <w:r>
        <w:br/>
        <w:t>\subseteq</w:t>
      </w:r>
      <w:r>
        <w:br/>
        <w:t>I_{12}.</w:t>
      </w:r>
      <w:r>
        <w:br/>
        <w:t>\tag{3.8309}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W_F^{\mathrm{fusion}}\subseteq I_{12}</w:t>
      </w:r>
    </w:p>
    <w:p w:rsidR="000E42A8" w:rsidRDefault="000E42A8" w:rsidP="000E42A8">
      <w:pPr>
        <w:pStyle w:val="StandardWeb"/>
      </w:pPr>
      <w:r>
        <w:t>Dies ist keine allgemeine Identität, sondern eine diagnostische Struktur.</w:t>
      </w:r>
    </w:p>
    <w:p w:rsidR="000E42A8" w:rsidRDefault="00E50336" w:rsidP="000E42A8">
      <w:r>
        <w:pict>
          <v:rect id="_x0000_i2084" style="width:0;height:1.5pt" o:hralign="center" o:hrstd="t" o:hr="t" fillcolor="#a0a0a0" stroked="f"/>
        </w:pict>
      </w:r>
    </w:p>
    <w:p w:rsidR="000E42A8" w:rsidRDefault="000E42A8" w:rsidP="000E42A8">
      <w:pPr>
        <w:pStyle w:val="berschrift1"/>
      </w:pPr>
      <w:r>
        <w:t>3.3.42.345 Konsistente Modellfusion</w:t>
      </w:r>
    </w:p>
    <w:p w:rsidR="000E42A8" w:rsidRDefault="000E42A8" w:rsidP="000E42A8">
      <w:pPr>
        <w:pStyle w:val="StandardWeb"/>
      </w:pPr>
      <w:r>
        <w:t>Eine starke Fusionsbedingung lautet</w:t>
      </w:r>
    </w:p>
    <w:p w:rsidR="000E42A8" w:rsidRDefault="000E42A8" w:rsidP="000E42A8">
      <w:pPr>
        <w:pStyle w:val="StandardWeb"/>
      </w:pPr>
      <w:r>
        <w:t>[</w:t>
      </w:r>
      <w:r>
        <w:br/>
        <w:t>K_F(M_1)=1,</w:t>
      </w:r>
      <w:r>
        <w:br/>
        <w:t>\qquad</w:t>
      </w:r>
      <w:r>
        <w:br/>
        <w:t>K_F(M_2)=1,</w:t>
      </w:r>
      <w:r>
        <w:br/>
        <w:t>\qquad</w:t>
      </w:r>
      <w:r>
        <w:br/>
        <w:t>K_I(M_1,M_2)=1</w:t>
      </w:r>
      <w:r>
        <w:br/>
        <w:t>\tag{3.8310}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K_F(M_1)=1,\qquad K_F(M_2)=1,\qquad K_I(M_1,M_2)=1</w:t>
      </w:r>
    </w:p>
    <w:p w:rsidR="000E42A8" w:rsidRDefault="000E42A8" w:rsidP="000E42A8">
      <w:pPr>
        <w:pStyle w:val="StandardWeb"/>
      </w:pPr>
      <w:r>
        <w:t>und zusätzlich</w:t>
      </w:r>
    </w:p>
    <w:p w:rsidR="000E42A8" w:rsidRDefault="000E42A8" w:rsidP="000E42A8">
      <w:pPr>
        <w:pStyle w:val="StandardWeb"/>
      </w:pPr>
      <w:r>
        <w:t>[</w:t>
      </w:r>
      <w:r>
        <w:br/>
        <w:t>K_F(M_1\oplus M_2)=1.</w:t>
      </w:r>
      <w:r>
        <w:br/>
        <w:t>\tag{3.8311}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K_F(M_1\oplus M_2)=1</w:t>
      </w:r>
    </w:p>
    <w:p w:rsidR="000E42A8" w:rsidRDefault="00E50336" w:rsidP="000E42A8">
      <w:r>
        <w:pict>
          <v:rect id="_x0000_i2085" style="width:0;height:1.5pt" o:hralign="center" o:hrstd="t" o:hr="t" fillcolor="#a0a0a0" stroked="f"/>
        </w:pict>
      </w:r>
    </w:p>
    <w:p w:rsidR="000E42A8" w:rsidRDefault="000E42A8" w:rsidP="000E42A8">
      <w:pPr>
        <w:pStyle w:val="berschrift1"/>
      </w:pPr>
      <w:r>
        <w:t>3.3.42.346 Konsistenz unter Theorieerweiterung</w:t>
      </w:r>
    </w:p>
    <w:p w:rsidR="000E42A8" w:rsidRDefault="000E42A8" w:rsidP="000E42A8">
      <w:pPr>
        <w:pStyle w:val="StandardWeb"/>
      </w:pPr>
      <w:r>
        <w:t>Eine Theorie werde erweitert:</w:t>
      </w:r>
    </w:p>
    <w:p w:rsidR="000E42A8" w:rsidRDefault="000E42A8" w:rsidP="000E42A8">
      <w:pPr>
        <w:pStyle w:val="berschrift1"/>
      </w:pPr>
      <w:r>
        <w:t>[</w:t>
      </w:r>
      <w:r>
        <w:br/>
        <w:t>\mathcal T'</w:t>
      </w:r>
    </w:p>
    <w:p w:rsidR="000E42A8" w:rsidRDefault="000E42A8" w:rsidP="000E42A8">
      <w:pPr>
        <w:pStyle w:val="StandardWeb"/>
      </w:pPr>
      <w:r>
        <w:t>\mathcal T</w:t>
      </w:r>
      <w:r>
        <w:br/>
        <w:t>\cup</w:t>
      </w:r>
      <w:r>
        <w:br/>
        <w:t>\Delta\mathcal T.</w:t>
      </w:r>
      <w:r>
        <w:br/>
        <w:t>\tag{3.8312}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T'=\mathcal T\cup\Delta\mathcal T</w:t>
      </w:r>
    </w:p>
    <w:p w:rsidR="000E42A8" w:rsidRDefault="000E42A8" w:rsidP="000E42A8">
      <w:pPr>
        <w:pStyle w:val="StandardWeb"/>
      </w:pPr>
      <w:r>
        <w:t>Die Erweiterung ist konsistent, wenn</w:t>
      </w:r>
    </w:p>
    <w:p w:rsidR="000E42A8" w:rsidRDefault="000E42A8" w:rsidP="000E42A8">
      <w:pPr>
        <w:pStyle w:val="StandardWeb"/>
      </w:pPr>
      <w:r>
        <w:t>[</w:t>
      </w:r>
      <w:r>
        <w:br/>
        <w:t>K_F(\mathcal T')=1.</w:t>
      </w:r>
      <w:r>
        <w:br/>
        <w:t>\tag{3.8313}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K_F(\mathcal T')=1</w:t>
      </w:r>
    </w:p>
    <w:p w:rsidR="000E42A8" w:rsidRDefault="00E50336" w:rsidP="000E42A8">
      <w:r>
        <w:pict>
          <v:rect id="_x0000_i2086" style="width:0;height:1.5pt" o:hralign="center" o:hrstd="t" o:hr="t" fillcolor="#a0a0a0" stroked="f"/>
        </w:pict>
      </w:r>
    </w:p>
    <w:p w:rsidR="000E42A8" w:rsidRDefault="000E42A8" w:rsidP="000E42A8">
      <w:pPr>
        <w:pStyle w:val="berschrift1"/>
      </w:pPr>
      <w:r>
        <w:t>3.3.42.347 Konservative Theorieerweiterung</w:t>
      </w:r>
    </w:p>
    <w:p w:rsidR="000E42A8" w:rsidRDefault="000E42A8" w:rsidP="000E42A8">
      <w:pPr>
        <w:pStyle w:val="StandardWeb"/>
      </w:pPr>
      <w:r>
        <w:t>Eine stärkere Bedingung verlangt zusätzlich, dass alte Aussagen innerhalb ihres bisherigen Gültigkeitsraums erhalten bleiben.</w:t>
      </w:r>
    </w:p>
    <w:p w:rsidR="000E42A8" w:rsidRDefault="000E42A8" w:rsidP="000E42A8">
      <w:pPr>
        <w:pStyle w:val="StandardWeb"/>
      </w:pPr>
      <w:r>
        <w:t>Ich schreibe</w:t>
      </w:r>
    </w:p>
    <w:p w:rsidR="000E42A8" w:rsidRDefault="000E42A8" w:rsidP="000E42A8">
      <w:pPr>
        <w:pStyle w:val="StandardWeb"/>
      </w:pPr>
      <w:r>
        <w:t>[</w:t>
      </w:r>
      <w:r>
        <w:br/>
        <w:t>\mathcal T</w:t>
      </w:r>
      <w:r>
        <w:br/>
        <w:t>\subseteq</w:t>
      </w:r>
      <w:r>
        <w:br/>
        <w:t>\mathcal T'</w:t>
      </w:r>
      <w:r>
        <w:br/>
        <w:t>\tag{3.8314}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T\subseteq\mathcal T'</w:t>
      </w:r>
    </w:p>
    <w:p w:rsidR="000E42A8" w:rsidRDefault="000E42A8" w:rsidP="000E42A8">
      <w:pPr>
        <w:pStyle w:val="StandardWeb"/>
      </w:pPr>
      <w:r>
        <w:lastRenderedPageBreak/>
        <w:t>und</w:t>
      </w:r>
    </w:p>
    <w:p w:rsidR="000E42A8" w:rsidRDefault="000E42A8" w:rsidP="000E42A8">
      <w:pPr>
        <w:pStyle w:val="StandardWeb"/>
      </w:pPr>
      <w:r>
        <w:t>[</w:t>
      </w:r>
      <w:r>
        <w:br/>
        <w:t>A_i^{\mathcal T}</w:t>
      </w:r>
      <w:r>
        <w:br/>
        <w:t>\sim_A</w:t>
      </w:r>
      <w:r>
        <w:br/>
        <w:t>A_i^{\mathcal T'}</w:t>
      </w:r>
      <w:r>
        <w:br/>
        <w:t>\qquad</w:t>
      </w:r>
      <w:r>
        <w:br/>
        <w:t>\forall A_i\in\mathcal T.</w:t>
      </w:r>
      <w:r>
        <w:br/>
        <w:t>\tag{3.8315}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A_i^{\mathcal T}\sim_A A_i^{\mathcal T'}\qquad\forall A_i\in\mathcal T</w:t>
      </w:r>
    </w:p>
    <w:p w:rsidR="000E42A8" w:rsidRDefault="00E50336" w:rsidP="000E42A8">
      <w:r>
        <w:pict>
          <v:rect id="_x0000_i2087" style="width:0;height:1.5pt" o:hralign="center" o:hrstd="t" o:hr="t" fillcolor="#a0a0a0" stroked="f"/>
        </w:pict>
      </w:r>
    </w:p>
    <w:p w:rsidR="000E42A8" w:rsidRDefault="000E42A8" w:rsidP="000E42A8">
      <w:pPr>
        <w:pStyle w:val="berschrift1"/>
      </w:pPr>
      <w:r>
        <w:t>3.3.42.348 Nichtkonservative Erweiterung</w:t>
      </w:r>
    </w:p>
    <w:p w:rsidR="000E42A8" w:rsidRDefault="000E42A8" w:rsidP="000E42A8">
      <w:pPr>
        <w:pStyle w:val="StandardWeb"/>
      </w:pPr>
      <w:r>
        <w:t>Eine Erweiterung ist nichtkonservativ, wenn mindestens eine alte Aussage revidiert werden muss:</w:t>
      </w:r>
    </w:p>
    <w:p w:rsidR="000E42A8" w:rsidRDefault="000E42A8" w:rsidP="000E42A8">
      <w:pPr>
        <w:pStyle w:val="StandardWeb"/>
      </w:pPr>
      <w:r>
        <w:t>[</w:t>
      </w:r>
      <w:r>
        <w:br/>
        <w:t>\exists A_i\in\mathcal T:</w:t>
      </w:r>
      <w:r>
        <w:br/>
        <w:t>A_i^{\mathcal T}</w:t>
      </w:r>
      <w:r>
        <w:br/>
        <w:t>\not\sim_A</w:t>
      </w:r>
      <w:r>
        <w:br/>
        <w:t>A_i^{\mathcal T'}.</w:t>
      </w:r>
      <w:r>
        <w:br/>
        <w:t>\tag{3.8316}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\exists A_i\in\mathcal T:A_i^{\mathcal T}\not\sim_A A_i^{\mathcal T'}</w:t>
      </w:r>
    </w:p>
    <w:p w:rsidR="000E42A8" w:rsidRDefault="000E42A8" w:rsidP="000E42A8">
      <w:pPr>
        <w:pStyle w:val="StandardWeb"/>
      </w:pPr>
      <w:r>
        <w:t>Eine solche Erweiterung kann wissenschaftlich völlig legitim sein, muss aber als Revision ausgewiesen werden.</w:t>
      </w:r>
    </w:p>
    <w:p w:rsidR="000E42A8" w:rsidRDefault="00E50336" w:rsidP="000E42A8">
      <w:r>
        <w:pict>
          <v:rect id="_x0000_i2088" style="width:0;height:1.5pt" o:hralign="center" o:hrstd="t" o:hr="t" fillcolor="#a0a0a0" stroked="f"/>
        </w:pict>
      </w:r>
    </w:p>
    <w:p w:rsidR="000E42A8" w:rsidRDefault="000E42A8" w:rsidP="000E42A8">
      <w:pPr>
        <w:pStyle w:val="berschrift1"/>
      </w:pPr>
      <w:r>
        <w:t>3.3.42.349 Konsistenzverlust durch Theorieerweiterung</w:t>
      </w:r>
    </w:p>
    <w:p w:rsidR="000E42A8" w:rsidRDefault="000E42A8" w:rsidP="000E42A8">
      <w:pPr>
        <w:pStyle w:val="StandardWeb"/>
      </w:pPr>
      <w:r>
        <w:t>Es kann gelten</w:t>
      </w:r>
    </w:p>
    <w:p w:rsidR="000E42A8" w:rsidRDefault="000E42A8" w:rsidP="000E42A8">
      <w:pPr>
        <w:pStyle w:val="StandardWeb"/>
      </w:pPr>
      <w:r>
        <w:t>[</w:t>
      </w:r>
      <w:r>
        <w:br/>
        <w:t>K_F(\mathcal T)=1</w:t>
      </w:r>
      <w:r>
        <w:br/>
        <w:t>\tag{3.8317}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K_F(\mathcal T)=1</w:t>
      </w:r>
    </w:p>
    <w:p w:rsidR="000E42A8" w:rsidRDefault="000E42A8" w:rsidP="000E42A8">
      <w:pPr>
        <w:pStyle w:val="StandardWeb"/>
      </w:pPr>
      <w:r>
        <w:t>und</w:t>
      </w:r>
    </w:p>
    <w:p w:rsidR="000E42A8" w:rsidRDefault="000E42A8" w:rsidP="000E42A8">
      <w:pPr>
        <w:pStyle w:val="StandardWeb"/>
      </w:pPr>
      <w:r>
        <w:t>[</w:t>
      </w:r>
      <w:r>
        <w:br/>
        <w:t>K_F(\mathcal T')=0.</w:t>
      </w:r>
      <w:r>
        <w:br/>
        <w:t>\tag{3.8318}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K_F(\mathcal T')=0</w:t>
      </w:r>
    </w:p>
    <w:p w:rsidR="000E42A8" w:rsidRDefault="000E42A8" w:rsidP="000E42A8">
      <w:pPr>
        <w:pStyle w:val="StandardWeb"/>
      </w:pPr>
      <w:r>
        <w:t>Dann hat die Erweiterung einen zuvor nicht vorhandenen Konflikt erzeugt.</w:t>
      </w:r>
    </w:p>
    <w:p w:rsidR="000E42A8" w:rsidRDefault="00E50336" w:rsidP="000E42A8">
      <w:r>
        <w:pict>
          <v:rect id="_x0000_i2089" style="width:0;height:1.5pt" o:hralign="center" o:hrstd="t" o:hr="t" fillcolor="#a0a0a0" stroked="f"/>
        </w:pict>
      </w:r>
    </w:p>
    <w:p w:rsidR="000E42A8" w:rsidRDefault="000E42A8" w:rsidP="000E42A8">
      <w:pPr>
        <w:pStyle w:val="berschrift1"/>
      </w:pPr>
      <w:r>
        <w:t>3.3.42.350 Erweiterungskonfliktmenge</w:t>
      </w:r>
    </w:p>
    <w:p w:rsidR="000E42A8" w:rsidRDefault="000E42A8" w:rsidP="000E42A8">
      <w:pPr>
        <w:pStyle w:val="StandardWeb"/>
      </w:pPr>
      <w:r>
        <w:t>Ich definiere</w:t>
      </w:r>
    </w:p>
    <w:p w:rsidR="000E42A8" w:rsidRDefault="000E42A8" w:rsidP="000E42A8">
      <w:pPr>
        <w:pStyle w:val="berschrift1"/>
      </w:pPr>
      <w:r>
        <w:t>[</w:t>
      </w:r>
      <w:r>
        <w:br/>
        <w:t>\Delta\mathcal W_{\mathrm{ext}}</w:t>
      </w:r>
    </w:p>
    <w:p w:rsidR="000E42A8" w:rsidRDefault="000E42A8" w:rsidP="000E42A8">
      <w:pPr>
        <w:pStyle w:val="StandardWeb"/>
      </w:pPr>
      <w:r>
        <w:t>\mathcal W(\mathcal T')</w:t>
      </w:r>
      <w:r>
        <w:br/>
        <w:t>\setminus</w:t>
      </w:r>
      <w:r>
        <w:br/>
        <w:t>\mathcal W(\mathcal T).</w:t>
      </w:r>
      <w:r>
        <w:br/>
        <w:t>\tag{3.8319}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\Delta\mathcal W_{\mathrm{ext}}=\mathcal W(\mathcal T')\setminus\mathcal W(\mathcal T)</w:t>
      </w:r>
    </w:p>
    <w:p w:rsidR="000E42A8" w:rsidRDefault="00E50336" w:rsidP="000E42A8">
      <w:r>
        <w:pict>
          <v:rect id="_x0000_i2090" style="width:0;height:1.5pt" o:hralign="center" o:hrstd="t" o:hr="t" fillcolor="#a0a0a0" stroked="f"/>
        </w:pict>
      </w:r>
    </w:p>
    <w:p w:rsidR="000E42A8" w:rsidRDefault="000E42A8" w:rsidP="000E42A8">
      <w:pPr>
        <w:pStyle w:val="berschrift1"/>
      </w:pPr>
      <w:r>
        <w:t>3.3.42.351 Konfliktarme Erweiterung</w:t>
      </w:r>
    </w:p>
    <w:p w:rsidR="000E42A8" w:rsidRDefault="000E42A8" w:rsidP="000E42A8">
      <w:pPr>
        <w:pStyle w:val="StandardWeb"/>
      </w:pPr>
      <w:r>
        <w:t>Eine Erweiterung ist konfliktarm, wenn</w:t>
      </w:r>
    </w:p>
    <w:p w:rsidR="000E42A8" w:rsidRDefault="000E42A8" w:rsidP="000E42A8">
      <w:pPr>
        <w:pStyle w:val="StandardWeb"/>
      </w:pPr>
      <w:r>
        <w:t>[</w:t>
      </w:r>
      <w:r>
        <w:br/>
        <w:t>|\Delta\mathcal W_{\mathrm{ext}}|</w:t>
      </w:r>
      <w:r>
        <w:br/>
        <w:t>\rightarrow</w:t>
      </w:r>
      <w:r>
        <w:br/>
        <w:t>0</w:t>
      </w:r>
      <w:r>
        <w:br/>
        <w:t>\tag{3.8320}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|\Delta\mathcal W_{\mathrm{ext}}|\rightarrow0</w:t>
      </w:r>
    </w:p>
    <w:p w:rsidR="000E42A8" w:rsidRDefault="000E42A8" w:rsidP="000E42A8">
      <w:pPr>
        <w:pStyle w:val="StandardWeb"/>
      </w:pPr>
      <w:r>
        <w:t>bei gleichzeitigem Informationsgewinn.</w:t>
      </w:r>
    </w:p>
    <w:p w:rsidR="000E42A8" w:rsidRDefault="00E50336" w:rsidP="000E42A8">
      <w:r>
        <w:pict>
          <v:rect id="_x0000_i2091" style="width:0;height:1.5pt" o:hralign="center" o:hrstd="t" o:hr="t" fillcolor="#a0a0a0" stroked="f"/>
        </w:pict>
      </w:r>
    </w:p>
    <w:p w:rsidR="000E42A8" w:rsidRDefault="000E42A8" w:rsidP="000E42A8">
      <w:pPr>
        <w:pStyle w:val="berschrift1"/>
      </w:pPr>
      <w:r>
        <w:t>3.3.42.352 Informationsgewinn einer Erweiterung</w:t>
      </w:r>
    </w:p>
    <w:p w:rsidR="000E42A8" w:rsidRDefault="000E42A8" w:rsidP="000E42A8">
      <w:pPr>
        <w:pStyle w:val="StandardWeb"/>
      </w:pPr>
      <w:r>
        <w:t>Ich definiere abstrakt</w:t>
      </w:r>
    </w:p>
    <w:p w:rsidR="000E42A8" w:rsidRDefault="000E42A8" w:rsidP="000E42A8">
      <w:pPr>
        <w:pStyle w:val="berschrift1"/>
      </w:pPr>
      <w:r>
        <w:t>[</w:t>
      </w:r>
      <w:r>
        <w:br/>
        <w:t>\Delta I_{\mathcal T}</w:t>
      </w:r>
    </w:p>
    <w:p w:rsidR="000E42A8" w:rsidRDefault="000E42A8" w:rsidP="000E42A8">
      <w:pPr>
        <w:pStyle w:val="berschrift2"/>
      </w:pPr>
      <w:r>
        <w:t>I(\mathcal T')</w:t>
      </w:r>
    </w:p>
    <w:p w:rsidR="000E42A8" w:rsidRDefault="000E42A8" w:rsidP="000E42A8">
      <w:pPr>
        <w:pStyle w:val="StandardWeb"/>
      </w:pPr>
      <w:r>
        <w:t>I(\mathcal T).</w:t>
      </w:r>
      <w:r>
        <w:br/>
        <w:t>\tag{3.8321}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\Delta I_{\mathcal T}=I(\mathcal T')-I(\mathcal T)</w:t>
      </w:r>
    </w:p>
    <w:p w:rsidR="000E42A8" w:rsidRDefault="000E42A8" w:rsidP="000E42A8">
      <w:pPr>
        <w:pStyle w:val="StandardWeb"/>
      </w:pPr>
      <w:r>
        <w:t>Eine Erweiterung mit</w:t>
      </w:r>
    </w:p>
    <w:p w:rsidR="000E42A8" w:rsidRDefault="000E42A8" w:rsidP="000E42A8">
      <w:pPr>
        <w:pStyle w:val="StandardWeb"/>
      </w:pPr>
      <w:r>
        <w:t>[</w:t>
      </w:r>
      <w:r>
        <w:br/>
        <w:t>\Delta I_{\mathcal T}&gt;0</w:t>
      </w:r>
      <w:r>
        <w:br/>
        <w:t>\tag{3.8322}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\Delta I_{\mathcal T}&gt;0</w:t>
      </w:r>
    </w:p>
    <w:p w:rsidR="000E42A8" w:rsidRDefault="000E42A8" w:rsidP="000E42A8">
      <w:pPr>
        <w:pStyle w:val="StandardWeb"/>
      </w:pPr>
      <w:r>
        <w:t>und</w:t>
      </w:r>
    </w:p>
    <w:p w:rsidR="000E42A8" w:rsidRDefault="000E42A8" w:rsidP="000E42A8">
      <w:pPr>
        <w:pStyle w:val="StandardWeb"/>
      </w:pPr>
      <w:r>
        <w:t>[</w:t>
      </w:r>
      <w:r>
        <w:br/>
        <w:t>\Delta\mathcal W_{\mathrm{ext}}=\varnothing</w:t>
      </w:r>
      <w:r>
        <w:br/>
        <w:t>\tag{3.8323}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\Delta\mathcal W_{\mathrm{ext}}=\varnothing</w:t>
      </w:r>
    </w:p>
    <w:p w:rsidR="000E42A8" w:rsidRDefault="000E42A8" w:rsidP="000E42A8">
      <w:pPr>
        <w:pStyle w:val="StandardWeb"/>
      </w:pPr>
      <w:r>
        <w:t>stellt einen besonders günstigen Fall dar.</w:t>
      </w:r>
    </w:p>
    <w:p w:rsidR="000E42A8" w:rsidRDefault="00E50336" w:rsidP="000E42A8">
      <w:r>
        <w:pict>
          <v:rect id="_x0000_i2092" style="width:0;height:1.5pt" o:hralign="center" o:hrstd="t" o:hr="t" fillcolor="#a0a0a0" stroked="f"/>
        </w:pict>
      </w:r>
    </w:p>
    <w:p w:rsidR="000E42A8" w:rsidRDefault="000E42A8" w:rsidP="000E42A8">
      <w:pPr>
        <w:pStyle w:val="berschrift1"/>
      </w:pPr>
      <w:r>
        <w:t>3.3.42.353 Konsistenz unter Theorieverdichtung</w:t>
      </w:r>
    </w:p>
    <w:p w:rsidR="000E42A8" w:rsidRDefault="000E42A8" w:rsidP="000E42A8">
      <w:pPr>
        <w:pStyle w:val="StandardWeb"/>
      </w:pPr>
      <w:r>
        <w:lastRenderedPageBreak/>
        <w:t>Mehrere Aussagen können zu einer kompakteren Aussage zusammengeführt werden.</w:t>
      </w:r>
    </w:p>
    <w:p w:rsidR="000E42A8" w:rsidRDefault="000E42A8" w:rsidP="000E42A8">
      <w:pPr>
        <w:pStyle w:val="StandardWeb"/>
      </w:pPr>
      <w:r>
        <w:t>Sei</w:t>
      </w:r>
    </w:p>
    <w:p w:rsidR="000E42A8" w:rsidRDefault="000E42A8" w:rsidP="000E42A8">
      <w:pPr>
        <w:pStyle w:val="StandardWeb"/>
      </w:pPr>
      <w:r>
        <w:t>[</w:t>
      </w:r>
      <w:r>
        <w:br/>
        <w:t>C:</w:t>
      </w:r>
      <w:r>
        <w:br/>
        <w:t>{A_1,\ldots,A_n}</w:t>
      </w:r>
      <w:r>
        <w:br/>
        <w:t>\rightarrow</w:t>
      </w:r>
      <w:r>
        <w:br/>
        <w:t>A_C.</w:t>
      </w:r>
      <w:r>
        <w:br/>
        <w:t>\tag{3.8324}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C:\{A_1,\ldots,A_n\}\rightarrow A_C</w:t>
      </w:r>
    </w:p>
    <w:p w:rsidR="000E42A8" w:rsidRDefault="00E50336" w:rsidP="000E42A8">
      <w:r>
        <w:pict>
          <v:rect id="_x0000_i2093" style="width:0;height:1.5pt" o:hralign="center" o:hrstd="t" o:hr="t" fillcolor="#a0a0a0" stroked="f"/>
        </w:pict>
      </w:r>
    </w:p>
    <w:p w:rsidR="000E42A8" w:rsidRDefault="000E42A8" w:rsidP="000E42A8">
      <w:pPr>
        <w:pStyle w:val="berschrift1"/>
      </w:pPr>
      <w:r>
        <w:t>3.3.42.354 Verdichtungskonsistenz</w:t>
      </w:r>
    </w:p>
    <w:p w:rsidR="000E42A8" w:rsidRDefault="000E42A8" w:rsidP="000E42A8">
      <w:pPr>
        <w:pStyle w:val="StandardWeb"/>
      </w:pPr>
      <w:r>
        <w:t>Ich definiere</w:t>
      </w:r>
    </w:p>
    <w:p w:rsidR="000E42A8" w:rsidRDefault="000E42A8" w:rsidP="000E42A8">
      <w:pPr>
        <w:pStyle w:val="berschrift1"/>
      </w:pPr>
      <w:r>
        <w:t>[</w:t>
      </w:r>
      <w:r>
        <w:br/>
        <w:t>K_C^{\mathrm{comp}}</w:t>
      </w:r>
    </w:p>
    <w:p w:rsidR="000E42A8" w:rsidRDefault="000E42A8" w:rsidP="000E42A8">
      <w:pPr>
        <w:pStyle w:val="StandardWeb"/>
      </w:pPr>
      <w:r>
        <w:t>K_F</w:t>
      </w:r>
      <w:r>
        <w:br/>
        <w:t>\left(</w:t>
      </w:r>
      <w:r>
        <w:br/>
        <w:t>A_C,</w:t>
      </w:r>
      <w:r>
        <w:br/>
        <w:t>{A_1,\ldots,A_n}</w:t>
      </w:r>
      <w:r>
        <w:br/>
        <w:t>\right).</w:t>
      </w:r>
      <w:r>
        <w:br/>
        <w:t>\tag{3.8325}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K_C^{\mathrm{comp}}=K_F\left(A_C,\{A_1,\ldots,A_n\}\right)</w:t>
      </w:r>
    </w:p>
    <w:p w:rsidR="000E42A8" w:rsidRDefault="000E42A8" w:rsidP="000E42A8">
      <w:pPr>
        <w:pStyle w:val="StandardWeb"/>
      </w:pPr>
      <w:r>
        <w:t>Eine Verdichtung ist konsistent, wenn sie keine relevante Aussageklasse verändert.</w:t>
      </w:r>
    </w:p>
    <w:p w:rsidR="000E42A8" w:rsidRDefault="00E50336" w:rsidP="000E42A8">
      <w:r>
        <w:pict>
          <v:rect id="_x0000_i2094" style="width:0;height:1.5pt" o:hralign="center" o:hrstd="t" o:hr="t" fillcolor="#a0a0a0" stroked="f"/>
        </w:pict>
      </w:r>
    </w:p>
    <w:p w:rsidR="000E42A8" w:rsidRDefault="000E42A8" w:rsidP="000E42A8">
      <w:pPr>
        <w:pStyle w:val="berschrift1"/>
      </w:pPr>
      <w:r>
        <w:t>3.3.42.355 Informationsverlust durch Verdichtung</w:t>
      </w:r>
    </w:p>
    <w:p w:rsidR="000E42A8" w:rsidRDefault="000E42A8" w:rsidP="000E42A8">
      <w:pPr>
        <w:pStyle w:val="StandardWeb"/>
      </w:pPr>
      <w:r>
        <w:t>Ich definiere</w:t>
      </w:r>
    </w:p>
    <w:p w:rsidR="000E42A8" w:rsidRDefault="000E42A8" w:rsidP="000E42A8">
      <w:pPr>
        <w:pStyle w:val="berschrift1"/>
      </w:pPr>
      <w:r>
        <w:t>[</w:t>
      </w:r>
      <w:r>
        <w:br/>
        <w:t>L_C</w:t>
      </w:r>
    </w:p>
    <w:p w:rsidR="000E42A8" w:rsidRDefault="000E42A8" w:rsidP="000E42A8">
      <w:pPr>
        <w:pStyle w:val="berschrift2"/>
      </w:pPr>
      <w:r>
        <w:lastRenderedPageBreak/>
        <w:t>I({A_i})</w:t>
      </w:r>
    </w:p>
    <w:p w:rsidR="000E42A8" w:rsidRDefault="000E42A8" w:rsidP="000E42A8">
      <w:pPr>
        <w:pStyle w:val="StandardWeb"/>
      </w:pPr>
      <w:r>
        <w:t>I(A_C).</w:t>
      </w:r>
      <w:r>
        <w:br/>
        <w:t>\tag{3.8326}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L_C=I(\{A_i\})-I(A_C)</w:t>
      </w:r>
    </w:p>
    <w:p w:rsidR="000E42A8" w:rsidRDefault="000E42A8" w:rsidP="000E42A8">
      <w:pPr>
        <w:pStyle w:val="StandardWeb"/>
      </w:pPr>
      <w:r>
        <w:t>Auch eine konsistente Verdichtung kann Information verlieren.</w:t>
      </w:r>
    </w:p>
    <w:p w:rsidR="000E42A8" w:rsidRDefault="00E50336" w:rsidP="000E42A8">
      <w:r>
        <w:pict>
          <v:rect id="_x0000_i2095" style="width:0;height:1.5pt" o:hralign="center" o:hrstd="t" o:hr="t" fillcolor="#a0a0a0" stroked="f"/>
        </w:pict>
      </w:r>
    </w:p>
    <w:p w:rsidR="000E42A8" w:rsidRDefault="000E42A8" w:rsidP="000E42A8">
      <w:pPr>
        <w:pStyle w:val="berschrift1"/>
      </w:pPr>
      <w:r>
        <w:t>3.3.42.356 Konsistenz und Informationsverlust sind unabhängig</w:t>
      </w:r>
    </w:p>
    <w:p w:rsidR="000E42A8" w:rsidRDefault="000E42A8" w:rsidP="000E42A8">
      <w:pPr>
        <w:pStyle w:val="StandardWeb"/>
      </w:pPr>
      <w:r>
        <w:t>Es gilt</w:t>
      </w:r>
    </w:p>
    <w:p w:rsidR="000E42A8" w:rsidRDefault="000E42A8" w:rsidP="000E42A8">
      <w:pPr>
        <w:pStyle w:val="StandardWeb"/>
      </w:pPr>
      <w:r>
        <w:t>[</w:t>
      </w:r>
      <w:r>
        <w:br/>
        <w:t>K_C^{\mathrm{comp}}=1</w:t>
      </w:r>
      <w:r>
        <w:br/>
        <w:t>\nRightarrow</w:t>
      </w:r>
      <w:r>
        <w:br/>
        <w:t>L_C=0.</w:t>
      </w:r>
      <w:r>
        <w:br/>
        <w:t>\tag{3.8327}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K_C^{\mathrm{comp}}=1\nRightarrow L_C=0</w:t>
      </w:r>
    </w:p>
    <w:p w:rsidR="000E42A8" w:rsidRDefault="000E42A8" w:rsidP="000E42A8">
      <w:pPr>
        <w:pStyle w:val="StandardWeb"/>
      </w:pPr>
      <w:r>
        <w:t>Eine zusammenfassende Aussage kann widerspruchsfrei, aber weniger detailliert sein.</w:t>
      </w:r>
    </w:p>
    <w:p w:rsidR="000E42A8" w:rsidRDefault="00E50336" w:rsidP="000E42A8">
      <w:r>
        <w:pict>
          <v:rect id="_x0000_i2096" style="width:0;height:1.5pt" o:hralign="center" o:hrstd="t" o:hr="t" fillcolor="#a0a0a0" stroked="f"/>
        </w:pict>
      </w:r>
    </w:p>
    <w:p w:rsidR="000E42A8" w:rsidRDefault="000E42A8" w:rsidP="000E42A8">
      <w:pPr>
        <w:pStyle w:val="berschrift1"/>
      </w:pPr>
      <w:r>
        <w:t>3.3.42.357 Konsistenz unter theoretischer Generalisierung</w:t>
      </w:r>
    </w:p>
    <w:p w:rsidR="000E42A8" w:rsidRDefault="000E42A8" w:rsidP="000E42A8">
      <w:pPr>
        <w:pStyle w:val="StandardWeb"/>
      </w:pPr>
      <w:r>
        <w:t>Eine Generalisierung</w:t>
      </w:r>
    </w:p>
    <w:p w:rsidR="000E42A8" w:rsidRDefault="000E42A8" w:rsidP="000E42A8">
      <w:pPr>
        <w:pStyle w:val="StandardWeb"/>
      </w:pPr>
      <w:r>
        <w:t>[</w:t>
      </w:r>
      <w:r>
        <w:br/>
        <w:t>G:</w:t>
      </w:r>
      <w:r>
        <w:br/>
        <w:t>A_{\mathrm{spec}}</w:t>
      </w:r>
      <w:r>
        <w:br/>
        <w:t>\rightarrow</w:t>
      </w:r>
      <w:r>
        <w:br/>
        <w:t>A_{\mathrm{gen}}</w:t>
      </w:r>
      <w:r>
        <w:br/>
        <w:t>\tag{3.8328}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G:A_{\mathrm{spec}}\rightarrow A_{\mathrm{gen}}</w:t>
      </w:r>
    </w:p>
    <w:p w:rsidR="000E42A8" w:rsidRDefault="000E42A8" w:rsidP="000E42A8">
      <w:pPr>
        <w:pStyle w:val="StandardWeb"/>
      </w:pPr>
      <w:r>
        <w:t>erweitert den Gültigkeitsanspruch.</w:t>
      </w:r>
    </w:p>
    <w:p w:rsidR="000E42A8" w:rsidRDefault="00E50336" w:rsidP="000E42A8">
      <w:r>
        <w:pict>
          <v:rect id="_x0000_i2097" style="width:0;height:1.5pt" o:hralign="center" o:hrstd="t" o:hr="t" fillcolor="#a0a0a0" stroked="f"/>
        </w:pict>
      </w:r>
    </w:p>
    <w:p w:rsidR="000E42A8" w:rsidRDefault="000E42A8" w:rsidP="000E42A8">
      <w:pPr>
        <w:pStyle w:val="berschrift1"/>
      </w:pPr>
      <w:r>
        <w:t>3.3.42.358 Generalisierungskonsistenz</w:t>
      </w:r>
    </w:p>
    <w:p w:rsidR="000E42A8" w:rsidRDefault="000E42A8" w:rsidP="000E42A8">
      <w:pPr>
        <w:pStyle w:val="StandardWeb"/>
      </w:pPr>
      <w:r>
        <w:t>Eine Generalisierung ist konsistent, wenn</w:t>
      </w:r>
    </w:p>
    <w:p w:rsidR="000E42A8" w:rsidRDefault="000E42A8" w:rsidP="000E42A8">
      <w:pPr>
        <w:pStyle w:val="StandardWeb"/>
      </w:pPr>
      <w:r>
        <w:t>[</w:t>
      </w:r>
      <w:r>
        <w:br/>
        <w:t>A_{\mathrm{gen}}</w:t>
      </w:r>
      <w:r>
        <w:br/>
        <w:t>\big|</w:t>
      </w:r>
      <w:r>
        <w:rPr>
          <w:rStyle w:val="Hervorhebung"/>
        </w:rPr>
        <w:t>{\Omega</w:t>
      </w:r>
      <w:r>
        <w:t>{\mathrm{spec}}}</w:t>
      </w:r>
      <w:r>
        <w:br/>
        <w:t>\sim_A</w:t>
      </w:r>
      <w:r>
        <w:br/>
        <w:t>A_{\mathrm{spec}}.</w:t>
      </w:r>
      <w:r>
        <w:br/>
        <w:t>\tag{3.8329}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A_{\mathrm{gen}}\big|_{\Omega_{\mathrm{spec}}}\sim_A A_{\mathrm{spec}}</w:t>
      </w:r>
    </w:p>
    <w:p w:rsidR="000E42A8" w:rsidRDefault="00E50336" w:rsidP="000E42A8">
      <w:r>
        <w:pict>
          <v:rect id="_x0000_i2098" style="width:0;height:1.5pt" o:hralign="center" o:hrstd="t" o:hr="t" fillcolor="#a0a0a0" stroked="f"/>
        </w:pict>
      </w:r>
    </w:p>
    <w:p w:rsidR="000E42A8" w:rsidRDefault="000E42A8" w:rsidP="000E42A8">
      <w:pPr>
        <w:pStyle w:val="berschrift1"/>
      </w:pPr>
      <w:r>
        <w:t>3.3.42.359 Überdehnte Generalisierung</w:t>
      </w:r>
    </w:p>
    <w:p w:rsidR="000E42A8" w:rsidRDefault="000E42A8" w:rsidP="000E42A8">
      <w:pPr>
        <w:pStyle w:val="StandardWeb"/>
      </w:pPr>
      <w:r>
        <w:t>Ein Konflikt entsteht, wenn eine neue Generalisierung über ihren empirisch oder theoretisch abgesicherten Bereich hinaus beansprucht wird:</w:t>
      </w:r>
    </w:p>
    <w:p w:rsidR="000E42A8" w:rsidRDefault="000E42A8" w:rsidP="000E42A8">
      <w:pPr>
        <w:pStyle w:val="StandardWeb"/>
      </w:pPr>
      <w:r>
        <w:t>[</w:t>
      </w:r>
      <w:r>
        <w:br/>
        <w:t>\Omega_{\mathrm{claim}}</w:t>
      </w:r>
      <w:r>
        <w:br/>
        <w:t>\supset</w:t>
      </w:r>
      <w:r>
        <w:br/>
        <w:t>\Omega_{\mathrm{validated}}.</w:t>
      </w:r>
      <w:r>
        <w:br/>
        <w:t>\tag{3.8330}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\Omega_{\mathrm{claim}}\supset\Omega_{\mathrm{validated}}</w:t>
      </w:r>
    </w:p>
    <w:p w:rsidR="000E42A8" w:rsidRDefault="000E42A8" w:rsidP="000E42A8">
      <w:pPr>
        <w:pStyle w:val="StandardWeb"/>
      </w:pPr>
      <w:r>
        <w:t>Ich bezeichne dies als Gültigkeitsüberdehnung.</w:t>
      </w:r>
    </w:p>
    <w:p w:rsidR="000E42A8" w:rsidRDefault="00E50336" w:rsidP="000E42A8">
      <w:r>
        <w:pict>
          <v:rect id="_x0000_i2099" style="width:0;height:1.5pt" o:hralign="center" o:hrstd="t" o:hr="t" fillcolor="#a0a0a0" stroked="f"/>
        </w:pict>
      </w:r>
    </w:p>
    <w:p w:rsidR="000E42A8" w:rsidRDefault="000E42A8" w:rsidP="000E42A8">
      <w:pPr>
        <w:pStyle w:val="berschrift1"/>
      </w:pPr>
      <w:r>
        <w:t>3.3.42.360 Überdehnungsgrad</w:t>
      </w:r>
    </w:p>
    <w:p w:rsidR="000E42A8" w:rsidRDefault="000E42A8" w:rsidP="000E42A8">
      <w:pPr>
        <w:pStyle w:val="StandardWeb"/>
      </w:pPr>
      <w:r>
        <w:t>Ich definiere</w:t>
      </w:r>
    </w:p>
    <w:p w:rsidR="000E42A8" w:rsidRDefault="000E42A8" w:rsidP="000E42A8">
      <w:pPr>
        <w:pStyle w:val="berschrift1"/>
      </w:pPr>
      <w:r>
        <w:t>[</w:t>
      </w:r>
      <w:r>
        <w:br/>
        <w:t>R_{\mathrm{over}}</w:t>
      </w:r>
    </w:p>
    <w:p w:rsidR="000E42A8" w:rsidRDefault="000E42A8" w:rsidP="000E42A8">
      <w:pPr>
        <w:pStyle w:val="StandardWeb"/>
      </w:pPr>
      <w:r>
        <w:lastRenderedPageBreak/>
        <w:t>\frac{</w:t>
      </w:r>
      <w:r>
        <w:br/>
        <w:t>\mu(\Omega_{\mathrm{claim}}\setminus\Omega_{\mathrm{validated}})</w:t>
      </w:r>
      <w:r>
        <w:br/>
        <w:t>}{</w:t>
      </w:r>
      <w:r>
        <w:br/>
        <w:t>\mu(\Omega_{\mathrm{claim}})</w:t>
      </w:r>
      <w:r>
        <w:br/>
        <w:t>}.</w:t>
      </w:r>
      <w:r>
        <w:br/>
        <w:t>\tag{3.8331}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R_{\mathrm{over}}=\frac{\mu(\Omega_{\mathrm{claim}}\setminus\Omega_{\mathrm{validated}})}{\mu(\Omega_{\mathrm{claim}})}</w:t>
      </w:r>
    </w:p>
    <w:p w:rsidR="000E42A8" w:rsidRDefault="00E50336" w:rsidP="000E42A8">
      <w:r>
        <w:pict>
          <v:rect id="_x0000_i2100" style="width:0;height:1.5pt" o:hralign="center" o:hrstd="t" o:hr="t" fillcolor="#a0a0a0" stroked="f"/>
        </w:pict>
      </w:r>
    </w:p>
    <w:p w:rsidR="000E42A8" w:rsidRDefault="000E42A8" w:rsidP="000E42A8">
      <w:pPr>
        <w:pStyle w:val="berschrift1"/>
      </w:pPr>
      <w:r>
        <w:t>3.3.42.361 Konsistenz unter Spezialisierung</w:t>
      </w:r>
    </w:p>
    <w:p w:rsidR="000E42A8" w:rsidRDefault="000E42A8" w:rsidP="000E42A8">
      <w:pPr>
        <w:pStyle w:val="StandardWeb"/>
      </w:pPr>
      <w:r>
        <w:t>Eine Spezialisierung</w:t>
      </w:r>
    </w:p>
    <w:p w:rsidR="000E42A8" w:rsidRDefault="000E42A8" w:rsidP="000E42A8">
      <w:pPr>
        <w:pStyle w:val="StandardWeb"/>
      </w:pPr>
      <w:r>
        <w:t>[</w:t>
      </w:r>
      <w:r>
        <w:br/>
        <w:t>S:</w:t>
      </w:r>
      <w:r>
        <w:br/>
        <w:t>A_{\mathrm{gen}}</w:t>
      </w:r>
      <w:r>
        <w:br/>
        <w:t>\rightarrow</w:t>
      </w:r>
      <w:r>
        <w:br/>
        <w:t>A_{\mathrm{spec}}</w:t>
      </w:r>
      <w:r>
        <w:br/>
        <w:t>\tag{3.8332}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S:A_{\mathrm{gen}}\rightarrow A_{\mathrm{spec}}</w:t>
      </w:r>
    </w:p>
    <w:p w:rsidR="000E42A8" w:rsidRDefault="000E42A8" w:rsidP="000E42A8">
      <w:pPr>
        <w:pStyle w:val="StandardWeb"/>
      </w:pPr>
      <w:r>
        <w:t>reduziert den Gültigkeitsbereich.</w:t>
      </w:r>
    </w:p>
    <w:p w:rsidR="000E42A8" w:rsidRDefault="00E50336" w:rsidP="000E42A8">
      <w:r>
        <w:pict>
          <v:rect id="_x0000_i2101" style="width:0;height:1.5pt" o:hralign="center" o:hrstd="t" o:hr="t" fillcolor="#a0a0a0" stroked="f"/>
        </w:pict>
      </w:r>
    </w:p>
    <w:p w:rsidR="000E42A8" w:rsidRDefault="000E42A8" w:rsidP="000E42A8">
      <w:pPr>
        <w:pStyle w:val="berschrift1"/>
      </w:pPr>
      <w:r>
        <w:t>3.3.42.362 Spezialisierungskonsistenz</w:t>
      </w:r>
    </w:p>
    <w:p w:rsidR="000E42A8" w:rsidRDefault="000E42A8" w:rsidP="000E42A8">
      <w:pPr>
        <w:pStyle w:val="StandardWeb"/>
      </w:pPr>
      <w:r>
        <w:t>Ich definiere</w:t>
      </w:r>
    </w:p>
    <w:p w:rsidR="000E42A8" w:rsidRDefault="000E42A8" w:rsidP="000E42A8">
      <w:pPr>
        <w:pStyle w:val="berschrift1"/>
      </w:pPr>
      <w:r>
        <w:t>[</w:t>
      </w:r>
      <w:r>
        <w:br/>
        <w:t>K_S^{\mathrm{spec}}</w:t>
      </w:r>
    </w:p>
    <w:p w:rsidR="000E42A8" w:rsidRDefault="000E42A8" w:rsidP="000E42A8">
      <w:pPr>
        <w:pStyle w:val="StandardWeb"/>
      </w:pPr>
      <w:r>
        <w:t>K_F</w:t>
      </w:r>
      <w:r>
        <w:br/>
        <w:t>\left(</w:t>
      </w:r>
      <w:r>
        <w:br/>
        <w:t>A_{\mathrm{spec}},</w:t>
      </w:r>
      <w:r>
        <w:br/>
        <w:t>A_{\mathrm{gen}}\big|</w:t>
      </w:r>
      <w:r>
        <w:rPr>
          <w:rStyle w:val="Hervorhebung"/>
        </w:rPr>
        <w:t>{\Omega</w:t>
      </w:r>
      <w:r>
        <w:t>{\mathrm{spec}}}</w:t>
      </w:r>
      <w:r>
        <w:br/>
        <w:t>\right).</w:t>
      </w:r>
      <w:r>
        <w:br/>
        <w:t>\tag{3.8333}</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K_S^{\mathrm{spec}}=K_F\left(A_{\mathrm{spec}},A_{\mathrm{gen}}\big|_{\Omega_{\mathrm{spec}}}\right)</w:t>
      </w:r>
    </w:p>
    <w:p w:rsidR="000E42A8" w:rsidRDefault="00E50336" w:rsidP="000E42A8">
      <w:r>
        <w:pict>
          <v:rect id="_x0000_i2102" style="width:0;height:1.5pt" o:hralign="center" o:hrstd="t" o:hr="t" fillcolor="#a0a0a0" stroked="f"/>
        </w:pict>
      </w:r>
    </w:p>
    <w:p w:rsidR="000E42A8" w:rsidRDefault="000E42A8" w:rsidP="000E42A8">
      <w:pPr>
        <w:pStyle w:val="berschrift1"/>
      </w:pPr>
      <w:r>
        <w:t>3.3.42.363 Konsistenz unter Grenzübergang</w:t>
      </w:r>
    </w:p>
    <w:p w:rsidR="000E42A8" w:rsidRDefault="000E42A8" w:rsidP="000E42A8">
      <w:pPr>
        <w:pStyle w:val="StandardWeb"/>
      </w:pPr>
      <w:r>
        <w:t>Sei ein Parameter</w:t>
      </w:r>
    </w:p>
    <w:p w:rsidR="000E42A8" w:rsidRDefault="000E42A8" w:rsidP="000E42A8">
      <w:pPr>
        <w:pStyle w:val="StandardWeb"/>
      </w:pPr>
      <w:r>
        <w:t>[</w:t>
      </w:r>
      <w:r>
        <w:br/>
        <w:t>\lambda</w:t>
      </w:r>
      <w:r>
        <w:br/>
        <w:t>\rightarrow</w:t>
      </w:r>
      <w:r>
        <w:br/>
        <w:t>\lambda_0.</w:t>
      </w:r>
      <w:r>
        <w:br/>
        <w:t>\tag{3.8334}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\lambda\rightarrow\lambda_0</w:t>
      </w:r>
    </w:p>
    <w:p w:rsidR="000E42A8" w:rsidRDefault="000E42A8" w:rsidP="000E42A8">
      <w:pPr>
        <w:pStyle w:val="StandardWeb"/>
      </w:pPr>
      <w:r>
        <w:t>Eine Theorieaussage (A(\lambda)) besitzt Grenzübergangskonsistenz zu (A_0), wenn</w:t>
      </w:r>
    </w:p>
    <w:p w:rsidR="000E42A8" w:rsidRDefault="000E42A8" w:rsidP="000E42A8">
      <w:pPr>
        <w:pStyle w:val="StandardWeb"/>
      </w:pPr>
      <w:r>
        <w:t>[</w:t>
      </w:r>
      <w:r>
        <w:br/>
        <w:t>\lim_{\lambda\rightarrow\lambda_0}</w:t>
      </w:r>
      <w:r>
        <w:br/>
        <w:t>A(\lambda)</w:t>
      </w:r>
      <w:r>
        <w:br/>
        <w:t>\sim_A</w:t>
      </w:r>
      <w:r>
        <w:br/>
        <w:t>A_0.</w:t>
      </w:r>
      <w:r>
        <w:br/>
        <w:t>\tag{3.8335}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\lim_{\lambda\rightarrow\lambda_0}A(\lambda)\sim_A A_0</w:t>
      </w:r>
    </w:p>
    <w:p w:rsidR="000E42A8" w:rsidRDefault="00E50336" w:rsidP="000E42A8">
      <w:r>
        <w:pict>
          <v:rect id="_x0000_i2103" style="width:0;height:1.5pt" o:hralign="center" o:hrstd="t" o:hr="t" fillcolor="#a0a0a0" stroked="f"/>
        </w:pict>
      </w:r>
    </w:p>
    <w:p w:rsidR="000E42A8" w:rsidRDefault="000E42A8" w:rsidP="000E42A8">
      <w:pPr>
        <w:pStyle w:val="berschrift1"/>
      </w:pPr>
      <w:r>
        <w:t>3.3.42.364 Grenzwertkonflikt</w:t>
      </w:r>
    </w:p>
    <w:p w:rsidR="000E42A8" w:rsidRDefault="000E42A8" w:rsidP="000E42A8">
      <w:pPr>
        <w:pStyle w:val="StandardWeb"/>
      </w:pPr>
      <w:r>
        <w:t>Ein Grenzwertkonflikt liegt vor bei</w:t>
      </w:r>
    </w:p>
    <w:p w:rsidR="000E42A8" w:rsidRDefault="000E42A8" w:rsidP="000E42A8">
      <w:pPr>
        <w:pStyle w:val="StandardWeb"/>
      </w:pPr>
      <w:r>
        <w:t>[</w:t>
      </w:r>
      <w:r>
        <w:br/>
        <w:t>\lim_{\lambda\rightarrow\lambda_0}</w:t>
      </w:r>
      <w:r>
        <w:br/>
        <w:t>A(\lambda)</w:t>
      </w:r>
      <w:r>
        <w:br/>
        <w:t>\perp</w:t>
      </w:r>
      <w:r>
        <w:br/>
        <w:t>A_0.</w:t>
      </w:r>
      <w:r>
        <w:br/>
        <w:t>\tag{3.8336}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\lim_{\lambda\rightarrow\lambda_0}A(\lambda)\perp A_0</w:t>
      </w:r>
    </w:p>
    <w:p w:rsidR="000E42A8" w:rsidRDefault="000E42A8" w:rsidP="000E42A8">
      <w:pPr>
        <w:pStyle w:val="StandardWeb"/>
      </w:pPr>
      <w:r>
        <w:lastRenderedPageBreak/>
        <w:t>Dies kann auf eine fehlerhafte Reduktion oder auf unterschiedliche Gültigkeitsvoraussetzungen hinweisen.</w:t>
      </w:r>
    </w:p>
    <w:p w:rsidR="000E42A8" w:rsidRDefault="00E50336" w:rsidP="000E42A8">
      <w:r>
        <w:pict>
          <v:rect id="_x0000_i2104" style="width:0;height:1.5pt" o:hralign="center" o:hrstd="t" o:hr="t" fillcolor="#a0a0a0" stroked="f"/>
        </w:pict>
      </w:r>
    </w:p>
    <w:p w:rsidR="000E42A8" w:rsidRDefault="000E42A8" w:rsidP="000E42A8">
      <w:pPr>
        <w:pStyle w:val="berschrift1"/>
      </w:pPr>
      <w:r>
        <w:t>3.3.42.365 Konsistenz unter idealisierten Grenzfällen</w:t>
      </w:r>
    </w:p>
    <w:p w:rsidR="000E42A8" w:rsidRDefault="000E42A8" w:rsidP="000E42A8">
      <w:pPr>
        <w:pStyle w:val="StandardWeb"/>
      </w:pPr>
      <w:r>
        <w:t>Ein idealisierter Grenzfall</w:t>
      </w:r>
    </w:p>
    <w:p w:rsidR="000E42A8" w:rsidRDefault="000E42A8" w:rsidP="000E42A8">
      <w:pPr>
        <w:pStyle w:val="StandardWeb"/>
      </w:pPr>
      <w:r>
        <w:t>[</w:t>
      </w:r>
      <w:r>
        <w:br/>
        <w:t>\lambda\rightarrow0</w:t>
      </w:r>
      <w:r>
        <w:br/>
        <w:t>\tag{3.8337}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\lambda\rightarrow0</w:t>
      </w:r>
    </w:p>
    <w:p w:rsidR="000E42A8" w:rsidRDefault="000E42A8" w:rsidP="000E42A8">
      <w:pPr>
        <w:pStyle w:val="StandardWeb"/>
      </w:pPr>
      <w:r>
        <w:t>kann mathematisch wohldefiniert sein, ohne physikalisch realisierbar zu sein.</w:t>
      </w:r>
    </w:p>
    <w:p w:rsidR="000E42A8" w:rsidRDefault="000E42A8" w:rsidP="000E42A8">
      <w:pPr>
        <w:pStyle w:val="StandardWeb"/>
      </w:pPr>
      <w:r>
        <w:t>Damit gilt</w:t>
      </w:r>
    </w:p>
    <w:p w:rsidR="000E42A8" w:rsidRDefault="000E42A8" w:rsidP="000E42A8">
      <w:pPr>
        <w:pStyle w:val="StandardWeb"/>
      </w:pPr>
      <w:r>
        <w:t>[</w:t>
      </w:r>
      <w:r>
        <w:br/>
        <w:t>K_{\mathrm{math}}=1</w:t>
      </w:r>
      <w:r>
        <w:br/>
        <w:t>\nRightarrow</w:t>
      </w:r>
      <w:r>
        <w:br/>
        <w:t>K_{\mathrm{emp}}=1.</w:t>
      </w:r>
      <w:r>
        <w:br/>
        <w:t>\tag{3.8338}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K_{\mathrm{math}}=1\nRightarrow K_{\mathrm{emp}}=1</w:t>
      </w:r>
    </w:p>
    <w:p w:rsidR="000E42A8" w:rsidRDefault="00E50336" w:rsidP="000E42A8">
      <w:r>
        <w:pict>
          <v:rect id="_x0000_i2105" style="width:0;height:1.5pt" o:hralign="center" o:hrstd="t" o:hr="t" fillcolor="#a0a0a0" stroked="f"/>
        </w:pict>
      </w:r>
    </w:p>
    <w:p w:rsidR="000E42A8" w:rsidRDefault="000E42A8" w:rsidP="000E42A8">
      <w:pPr>
        <w:pStyle w:val="berschrift1"/>
      </w:pPr>
      <w:r>
        <w:t>3.3.42.366 Konsistenz unter Approximation</w:t>
      </w:r>
    </w:p>
    <w:p w:rsidR="000E42A8" w:rsidRDefault="000E42A8" w:rsidP="000E42A8">
      <w:pPr>
        <w:pStyle w:val="StandardWeb"/>
      </w:pPr>
      <w:r>
        <w:t>Eine Näherungsfolge</w:t>
      </w:r>
    </w:p>
    <w:p w:rsidR="000E42A8" w:rsidRDefault="000E42A8" w:rsidP="000E42A8">
      <w:pPr>
        <w:pStyle w:val="StandardWeb"/>
      </w:pPr>
      <w:r>
        <w:t>[</w:t>
      </w:r>
      <w:r>
        <w:br/>
        <w:t>A^{(1)},</w:t>
      </w:r>
      <w:r>
        <w:br/>
        <w:t>A^{(2)},</w:t>
      </w:r>
      <w:r>
        <w:br/>
        <w:t>\ldots,</w:t>
      </w:r>
      <w:r>
        <w:br/>
        <w:t>A^{(n)}</w:t>
      </w:r>
      <w:r>
        <w:br/>
        <w:t>\tag{3.8339}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A^{(1)},A^{(2)},\ldots,A^{(n)}</w:t>
      </w:r>
    </w:p>
    <w:p w:rsidR="000E42A8" w:rsidRDefault="000E42A8" w:rsidP="000E42A8">
      <w:pPr>
        <w:pStyle w:val="StandardWeb"/>
      </w:pPr>
      <w:r>
        <w:t>kann gegen eine Zielaussage konvergieren:</w:t>
      </w:r>
    </w:p>
    <w:p w:rsidR="000E42A8" w:rsidRDefault="000E42A8" w:rsidP="000E42A8">
      <w:pPr>
        <w:pStyle w:val="StandardWeb"/>
      </w:pPr>
      <w:r>
        <w:lastRenderedPageBreak/>
        <w:t>[</w:t>
      </w:r>
      <w:r>
        <w:br/>
        <w:t>A^{(n)}</w:t>
      </w:r>
      <w:r>
        <w:br/>
        <w:t>\rightarrow</w:t>
      </w:r>
      <w:r>
        <w:br/>
        <w:t>A^{\ast}.</w:t>
      </w:r>
      <w:r>
        <w:br/>
        <w:t>\tag{3.8340}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A^{(n)}\rightarrow A^{\ast}</w:t>
      </w:r>
    </w:p>
    <w:p w:rsidR="000E42A8" w:rsidRDefault="00E50336" w:rsidP="000E42A8">
      <w:r>
        <w:pict>
          <v:rect id="_x0000_i2106" style="width:0;height:1.5pt" o:hralign="center" o:hrstd="t" o:hr="t" fillcolor="#a0a0a0" stroked="f"/>
        </w:pict>
      </w:r>
    </w:p>
    <w:p w:rsidR="000E42A8" w:rsidRDefault="000E42A8" w:rsidP="000E42A8">
      <w:pPr>
        <w:pStyle w:val="berschrift1"/>
      </w:pPr>
      <w:r>
        <w:t>3.3.42.367 Approximationstreue</w:t>
      </w:r>
    </w:p>
    <w:p w:rsidR="000E42A8" w:rsidRDefault="000E42A8" w:rsidP="000E42A8">
      <w:pPr>
        <w:pStyle w:val="StandardWeb"/>
      </w:pPr>
      <w:r>
        <w:t>Ich definiere</w:t>
      </w:r>
    </w:p>
    <w:p w:rsidR="000E42A8" w:rsidRDefault="000E42A8" w:rsidP="000E42A8">
      <w:pPr>
        <w:pStyle w:val="berschrift1"/>
      </w:pPr>
      <w:r>
        <w:t>[</w:t>
      </w:r>
      <w:r>
        <w:br/>
        <w:t>F_A(n)</w:t>
      </w:r>
    </w:p>
    <w:p w:rsidR="000E42A8" w:rsidRDefault="000E42A8" w:rsidP="000E42A8">
      <w:pPr>
        <w:pStyle w:val="StandardWeb"/>
      </w:pPr>
      <w:r>
        <w:t>1-</w:t>
      </w:r>
      <w:r>
        <w:br/>
        <w:t>d_A</w:t>
      </w:r>
      <w:r>
        <w:br/>
        <w:t>\left(</w:t>
      </w:r>
      <w:r>
        <w:br/>
        <w:t>A^{(n)},</w:t>
      </w:r>
      <w:r>
        <w:br/>
        <w:t>A^{\ast}</w:t>
      </w:r>
      <w:r>
        <w:br/>
        <w:t>\right).</w:t>
      </w:r>
      <w:r>
        <w:br/>
        <w:t>\tag{3.8341}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F_A(n)=1-d_A\left(A^{(n)},A^{\ast}\right)</w:t>
      </w:r>
    </w:p>
    <w:p w:rsidR="000E42A8" w:rsidRDefault="000E42A8" w:rsidP="000E42A8">
      <w:pPr>
        <w:pStyle w:val="StandardWeb"/>
      </w:pPr>
      <w:r>
        <w:t>für eine geeignete normierte Aussageabstandsmetrik.</w:t>
      </w:r>
    </w:p>
    <w:p w:rsidR="000E42A8" w:rsidRDefault="00E50336" w:rsidP="000E42A8">
      <w:r>
        <w:pict>
          <v:rect id="_x0000_i2107" style="width:0;height:1.5pt" o:hralign="center" o:hrstd="t" o:hr="t" fillcolor="#a0a0a0" stroked="f"/>
        </w:pict>
      </w:r>
    </w:p>
    <w:p w:rsidR="000E42A8" w:rsidRDefault="000E42A8" w:rsidP="000E42A8">
      <w:pPr>
        <w:pStyle w:val="berschrift1"/>
      </w:pPr>
      <w:r>
        <w:t>3.3.42.368 Konsistenz der Approximationsfolge</w:t>
      </w:r>
    </w:p>
    <w:p w:rsidR="000E42A8" w:rsidRDefault="000E42A8" w:rsidP="000E42A8">
      <w:pPr>
        <w:pStyle w:val="StandardWeb"/>
      </w:pPr>
      <w:r>
        <w:t>Eine konsistente Approximationsfolge erfüllt</w:t>
      </w:r>
    </w:p>
    <w:p w:rsidR="000E42A8" w:rsidRDefault="000E42A8" w:rsidP="000E42A8">
      <w:pPr>
        <w:pStyle w:val="StandardWeb"/>
      </w:pPr>
      <w:r>
        <w:t>[</w:t>
      </w:r>
      <w:r>
        <w:br/>
        <w:t>K_F</w:t>
      </w:r>
      <w:r>
        <w:br/>
        <w:t>\left(</w:t>
      </w:r>
      <w:r>
        <w:br/>
        <w:t>A^{(n)},</w:t>
      </w:r>
      <w:r>
        <w:br/>
        <w:t>A^{(n+1)}</w:t>
      </w:r>
      <w:r>
        <w:br/>
        <w:t>\right)</w:t>
      </w:r>
      <w:r>
        <w:br/>
        <w:t>\rightarrow</w:t>
      </w:r>
      <w:r>
        <w:br/>
        <w:t>1.</w:t>
      </w:r>
      <w:r>
        <w:br/>
      </w:r>
      <w:r>
        <w:lastRenderedPageBreak/>
        <w:t>\tag{3.8342}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K_F\left(A^{(n)},A^{(n+1)}\right)\rightarrow1</w:t>
      </w:r>
    </w:p>
    <w:p w:rsidR="000E42A8" w:rsidRDefault="00E50336" w:rsidP="000E42A8">
      <w:r>
        <w:pict>
          <v:rect id="_x0000_i2108" style="width:0;height:1.5pt" o:hralign="center" o:hrstd="t" o:hr="t" fillcolor="#a0a0a0" stroked="f"/>
        </w:pict>
      </w:r>
    </w:p>
    <w:p w:rsidR="000E42A8" w:rsidRDefault="000E42A8" w:rsidP="000E42A8">
      <w:pPr>
        <w:pStyle w:val="berschrift1"/>
      </w:pPr>
      <w:r>
        <w:t>3.3.42.369 Oszillierende Approximation</w:t>
      </w:r>
    </w:p>
    <w:p w:rsidR="000E42A8" w:rsidRDefault="000E42A8" w:rsidP="000E42A8">
      <w:pPr>
        <w:pStyle w:val="StandardWeb"/>
      </w:pPr>
      <w:r>
        <w:t>Es kann jedoch gelten</w:t>
      </w:r>
    </w:p>
    <w:p w:rsidR="000E42A8" w:rsidRDefault="000E42A8" w:rsidP="000E42A8">
      <w:pPr>
        <w:pStyle w:val="StandardWeb"/>
      </w:pPr>
      <w:r>
        <w:t>[</w:t>
      </w:r>
      <w:r>
        <w:br/>
        <w:t>K_F</w:t>
      </w:r>
      <w:r>
        <w:br/>
        <w:t>\left(</w:t>
      </w:r>
      <w:r>
        <w:br/>
        <w:t>A^{(n)},</w:t>
      </w:r>
      <w:r>
        <w:br/>
        <w:t>A^{(n+1)}</w:t>
      </w:r>
      <w:r>
        <w:br/>
        <w:t>\right)</w:t>
      </w:r>
      <w:r>
        <w:br/>
        <w:t>\not\rightarrow</w:t>
      </w:r>
      <w:r>
        <w:br/>
        <w:t>1.</w:t>
      </w:r>
      <w:r>
        <w:br/>
        <w:t>\tag{3.8343}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K_F\left(A^{(n)},A^{(n+1)}\right)\not\rightarrow1</w:t>
      </w:r>
    </w:p>
    <w:p w:rsidR="000E42A8" w:rsidRDefault="000E42A8" w:rsidP="000E42A8">
      <w:pPr>
        <w:pStyle w:val="StandardWeb"/>
      </w:pPr>
      <w:r>
        <w:t>Dann bleibt die approximative Aussageklasse strukturell instabil.</w:t>
      </w:r>
    </w:p>
    <w:p w:rsidR="000E42A8" w:rsidRDefault="00E50336" w:rsidP="000E42A8">
      <w:r>
        <w:pict>
          <v:rect id="_x0000_i2109" style="width:0;height:1.5pt" o:hralign="center" o:hrstd="t" o:hr="t" fillcolor="#a0a0a0" stroked="f"/>
        </w:pict>
      </w:r>
    </w:p>
    <w:p w:rsidR="000E42A8" w:rsidRDefault="000E42A8" w:rsidP="000E42A8">
      <w:pPr>
        <w:pStyle w:val="berschrift1"/>
      </w:pPr>
      <w:r>
        <w:t>3.3.42.370 Konsistenz unter Modellkalibrierung</w:t>
      </w:r>
    </w:p>
    <w:p w:rsidR="000E42A8" w:rsidRDefault="000E42A8" w:rsidP="000E42A8">
      <w:pPr>
        <w:pStyle w:val="StandardWeb"/>
      </w:pPr>
      <w:r>
        <w:t>Ein Modell werde durch Kalibrierung von</w:t>
      </w:r>
    </w:p>
    <w:p w:rsidR="000E42A8" w:rsidRDefault="000E42A8" w:rsidP="000E42A8">
      <w:pPr>
        <w:pStyle w:val="StandardWeb"/>
      </w:pPr>
      <w:r>
        <w:t>[</w:t>
      </w:r>
      <w:r>
        <w:br/>
        <w:t>\theta</w:t>
      </w:r>
      <w:r>
        <w:br/>
        <w:t>]</w:t>
      </w:r>
    </w:p>
    <w:p w:rsidR="000E42A8" w:rsidRDefault="000E42A8" w:rsidP="000E42A8">
      <w:pPr>
        <w:pStyle w:val="StandardWeb"/>
      </w:pPr>
      <w:r>
        <w:t>auf</w:t>
      </w:r>
    </w:p>
    <w:p w:rsidR="000E42A8" w:rsidRDefault="000E42A8" w:rsidP="000E42A8">
      <w:pPr>
        <w:pStyle w:val="StandardWeb"/>
      </w:pPr>
      <w:r>
        <w:t>[</w:t>
      </w:r>
      <w:r>
        <w:br/>
        <w:t>\hat\theta</w:t>
      </w:r>
      <w:r>
        <w:br/>
        <w:t>]</w:t>
      </w:r>
    </w:p>
    <w:p w:rsidR="000E42A8" w:rsidRDefault="000E42A8" w:rsidP="000E42A8">
      <w:pPr>
        <w:pStyle w:val="StandardWeb"/>
      </w:pPr>
      <w:r>
        <w:t>überführt:</w:t>
      </w:r>
    </w:p>
    <w:p w:rsidR="000E42A8" w:rsidRDefault="000E42A8" w:rsidP="000E42A8">
      <w:pPr>
        <w:pStyle w:val="StandardWeb"/>
      </w:pPr>
      <w:r>
        <w:t>[</w:t>
      </w:r>
      <w:r>
        <w:br/>
        <w:t>M(\theta)</w:t>
      </w:r>
      <w:r>
        <w:br/>
        <w:t>\rightarrow</w:t>
      </w:r>
      <w:r>
        <w:br/>
      </w:r>
      <w:r>
        <w:lastRenderedPageBreak/>
        <w:t>M(\hat\theta).</w:t>
      </w:r>
      <w:r>
        <w:br/>
        <w:t>\tag{3.8344}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M(\theta)\rightarrow M(\hat\theta)</w:t>
      </w:r>
    </w:p>
    <w:p w:rsidR="000E42A8" w:rsidRDefault="00E50336" w:rsidP="000E42A8">
      <w:r>
        <w:pict>
          <v:rect id="_x0000_i2110" style="width:0;height:1.5pt" o:hralign="center" o:hrstd="t" o:hr="t" fillcolor="#a0a0a0" stroked="f"/>
        </w:pict>
      </w:r>
    </w:p>
    <w:p w:rsidR="000E42A8" w:rsidRDefault="000E42A8" w:rsidP="000E42A8">
      <w:pPr>
        <w:pStyle w:val="berschrift1"/>
      </w:pPr>
      <w:r>
        <w:t>3.3.42.371 Kalibrierungskonsistenz</w:t>
      </w:r>
    </w:p>
    <w:p w:rsidR="000E42A8" w:rsidRDefault="000E42A8" w:rsidP="000E42A8">
      <w:pPr>
        <w:pStyle w:val="StandardWeb"/>
      </w:pPr>
      <w:r>
        <w:t>Ich definiere</w:t>
      </w:r>
    </w:p>
    <w:p w:rsidR="000E42A8" w:rsidRDefault="000E42A8" w:rsidP="000E42A8">
      <w:pPr>
        <w:pStyle w:val="berschrift1"/>
      </w:pPr>
      <w:r>
        <w:t>[</w:t>
      </w:r>
      <w:r>
        <w:br/>
        <w:t>K_{\mathrm{cal}}</w:t>
      </w:r>
    </w:p>
    <w:p w:rsidR="000E42A8" w:rsidRDefault="000E42A8" w:rsidP="000E42A8">
      <w:pPr>
        <w:pStyle w:val="StandardWeb"/>
      </w:pPr>
      <w:r>
        <w:t>K_F</w:t>
      </w:r>
      <w:r>
        <w:br/>
        <w:t>\left(</w:t>
      </w:r>
      <w:r>
        <w:br/>
        <w:t>M(\theta),</w:t>
      </w:r>
      <w:r>
        <w:br/>
        <w:t>M(\hat\theta)</w:t>
      </w:r>
      <w:r>
        <w:br/>
        <w:t>\right)</w:t>
      </w:r>
      <w:r>
        <w:br/>
        <w:t>\tag{3.8345}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K_{\mathrm{cal}}=K_F\left(M(\theta),M(\hat\theta)\right)</w:t>
      </w:r>
    </w:p>
    <w:p w:rsidR="000E42A8" w:rsidRDefault="000E42A8" w:rsidP="000E42A8">
      <w:pPr>
        <w:pStyle w:val="StandardWeb"/>
      </w:pPr>
      <w:r>
        <w:t>bezüglich derjenigen Aussagen, die durch Kalibrierung nicht verändert werden sollen.</w:t>
      </w:r>
    </w:p>
    <w:p w:rsidR="000E42A8" w:rsidRDefault="00E50336" w:rsidP="000E42A8">
      <w:r>
        <w:pict>
          <v:rect id="_x0000_i2111" style="width:0;height:1.5pt" o:hralign="center" o:hrstd="t" o:hr="t" fillcolor="#a0a0a0" stroked="f"/>
        </w:pict>
      </w:r>
    </w:p>
    <w:p w:rsidR="000E42A8" w:rsidRDefault="000E42A8" w:rsidP="000E42A8">
      <w:pPr>
        <w:pStyle w:val="berschrift1"/>
      </w:pPr>
      <w:r>
        <w:t>3.3.42.372 Überkalibrierung</w:t>
      </w:r>
    </w:p>
    <w:p w:rsidR="000E42A8" w:rsidRDefault="000E42A8" w:rsidP="000E42A8">
      <w:pPr>
        <w:pStyle w:val="StandardWeb"/>
      </w:pPr>
      <w:r>
        <w:t>Eine Kalibrierung kann vorhandene Konflikte verdecken, indem Parameter ausschließlich auf einen bestimmten Datensatz angepasst werden.</w:t>
      </w:r>
    </w:p>
    <w:p w:rsidR="000E42A8" w:rsidRDefault="000E42A8" w:rsidP="000E42A8">
      <w:pPr>
        <w:pStyle w:val="StandardWeb"/>
      </w:pPr>
      <w:r>
        <w:t>Ich kennzeichne einen solchen Fall abstrakt mit</w:t>
      </w:r>
    </w:p>
    <w:p w:rsidR="000E42A8" w:rsidRDefault="000E42A8" w:rsidP="000E42A8">
      <w:pPr>
        <w:pStyle w:val="StandardWeb"/>
      </w:pPr>
      <w:r>
        <w:t>[</w:t>
      </w:r>
      <w:r>
        <w:br/>
        <w:t>W_{\mathrm{overcal}}=1.</w:t>
      </w:r>
      <w:r>
        <w:br/>
        <w:t>\tag{3.8346}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W_{\mathrm{overcal}}=1</w:t>
      </w:r>
    </w:p>
    <w:p w:rsidR="000E42A8" w:rsidRDefault="00E50336" w:rsidP="000E42A8">
      <w:r>
        <w:pict>
          <v:rect id="_x0000_i2112" style="width:0;height:1.5pt" o:hralign="center" o:hrstd="t" o:hr="t" fillcolor="#a0a0a0" stroked="f"/>
        </w:pict>
      </w:r>
    </w:p>
    <w:p w:rsidR="000E42A8" w:rsidRDefault="000E42A8" w:rsidP="000E42A8">
      <w:pPr>
        <w:pStyle w:val="berschrift1"/>
      </w:pPr>
      <w:r>
        <w:lastRenderedPageBreak/>
        <w:t>3.3.42.373 Konsistenz unter Validierungsdaten</w:t>
      </w:r>
    </w:p>
    <w:p w:rsidR="000E42A8" w:rsidRDefault="000E42A8" w:rsidP="000E42A8">
      <w:pPr>
        <w:pStyle w:val="StandardWeb"/>
      </w:pPr>
      <w:r>
        <w:t>Eine kalibrierte Modellkonsistenz muss deshalb auf unabhängigen Daten geprüft werden:</w:t>
      </w:r>
    </w:p>
    <w:p w:rsidR="000E42A8" w:rsidRDefault="000E42A8" w:rsidP="000E42A8">
      <w:pPr>
        <w:pStyle w:val="berschrift1"/>
      </w:pPr>
      <w:r>
        <w:t>[</w:t>
      </w:r>
      <w:r>
        <w:br/>
        <w:t>K_{\mathrm{val}}</w:t>
      </w:r>
    </w:p>
    <w:p w:rsidR="000E42A8" w:rsidRDefault="000E42A8" w:rsidP="000E42A8">
      <w:pPr>
        <w:pStyle w:val="StandardWeb"/>
      </w:pPr>
      <w:r>
        <w:t>K_F</w:t>
      </w:r>
      <w:r>
        <w:br/>
        <w:t>\left(</w:t>
      </w:r>
      <w:r>
        <w:br/>
        <w:t>M(\hat\theta),</w:t>
      </w:r>
      <w:r>
        <w:br/>
        <w:t>D_{\mathrm{val}}</w:t>
      </w:r>
      <w:r>
        <w:br/>
        <w:t>\right).</w:t>
      </w:r>
      <w:r>
        <w:br/>
        <w:t>\tag{3.8347}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K_{\mathrm{val}}=K_F\left(M(\hat\theta),D_{\mathrm{val}}\right)</w:t>
      </w:r>
    </w:p>
    <w:p w:rsidR="000E42A8" w:rsidRDefault="00E50336" w:rsidP="000E42A8">
      <w:r>
        <w:pict>
          <v:rect id="_x0000_i2113" style="width:0;height:1.5pt" o:hralign="center" o:hrstd="t" o:hr="t" fillcolor="#a0a0a0" stroked="f"/>
        </w:pict>
      </w:r>
    </w:p>
    <w:p w:rsidR="000E42A8" w:rsidRDefault="000E42A8" w:rsidP="000E42A8">
      <w:pPr>
        <w:pStyle w:val="berschrift1"/>
      </w:pPr>
      <w:r>
        <w:t>3.3.42.374 Kalibrierungskonsistenz garantiert keine Validierungskonsistenz</w:t>
      </w:r>
    </w:p>
    <w:p w:rsidR="000E42A8" w:rsidRDefault="000E42A8" w:rsidP="000E42A8">
      <w:pPr>
        <w:pStyle w:val="StandardWeb"/>
      </w:pPr>
      <w:r>
        <w:t>Es gilt</w:t>
      </w:r>
    </w:p>
    <w:p w:rsidR="000E42A8" w:rsidRDefault="000E42A8" w:rsidP="000E42A8">
      <w:pPr>
        <w:pStyle w:val="StandardWeb"/>
      </w:pPr>
      <w:r>
        <w:t>[</w:t>
      </w:r>
      <w:r>
        <w:br/>
        <w:t>K_{\mathrm{cal}}=1</w:t>
      </w:r>
      <w:r>
        <w:br/>
        <w:t>\nRightarrow</w:t>
      </w:r>
      <w:r>
        <w:br/>
        <w:t>K_{\mathrm{val}}=1.</w:t>
      </w:r>
      <w:r>
        <w:br/>
        <w:t>\tag{3.8348}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K_{\mathrm{cal}}=1\nRightarrow K_{\mathrm{val}}=1</w:t>
      </w:r>
    </w:p>
    <w:p w:rsidR="000E42A8" w:rsidRDefault="00E50336" w:rsidP="000E42A8">
      <w:r>
        <w:pict>
          <v:rect id="_x0000_i2114" style="width:0;height:1.5pt" o:hralign="center" o:hrstd="t" o:hr="t" fillcolor="#a0a0a0" stroked="f"/>
        </w:pict>
      </w:r>
    </w:p>
    <w:p w:rsidR="000E42A8" w:rsidRDefault="000E42A8" w:rsidP="000E42A8">
      <w:pPr>
        <w:pStyle w:val="berschrift1"/>
      </w:pPr>
      <w:r>
        <w:t>3.3.42.375 Konsistenz unter Modellselektion</w:t>
      </w:r>
    </w:p>
    <w:p w:rsidR="000E42A8" w:rsidRDefault="000E42A8" w:rsidP="000E42A8">
      <w:pPr>
        <w:pStyle w:val="StandardWeb"/>
      </w:pPr>
      <w:r>
        <w:t>Sei eine Modellmenge</w:t>
      </w:r>
    </w:p>
    <w:p w:rsidR="000E42A8" w:rsidRDefault="000E42A8" w:rsidP="000E42A8">
      <w:pPr>
        <w:pStyle w:val="berschrift1"/>
      </w:pPr>
      <w:r>
        <w:t>[</w:t>
      </w:r>
      <w:r>
        <w:br/>
        <w:t>\mathcal M</w:t>
      </w:r>
    </w:p>
    <w:p w:rsidR="000E42A8" w:rsidRDefault="000E42A8" w:rsidP="000E42A8">
      <w:pPr>
        <w:pStyle w:val="StandardWeb"/>
      </w:pPr>
      <w:r>
        <w:lastRenderedPageBreak/>
        <w:t>{M_1,\ldots,M_n}.</w:t>
      </w:r>
      <w:r>
        <w:br/>
        <w:t>\tag{3.8349}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M=\{M_1,\ldots,M_n\}</w:t>
      </w:r>
    </w:p>
    <w:p w:rsidR="000E42A8" w:rsidRDefault="000E42A8" w:rsidP="000E42A8">
      <w:pPr>
        <w:pStyle w:val="StandardWeb"/>
      </w:pPr>
      <w:r>
        <w:t>Eine Auswahlfunktion sei</w:t>
      </w:r>
    </w:p>
    <w:p w:rsidR="000E42A8" w:rsidRDefault="000E42A8" w:rsidP="000E42A8">
      <w:pPr>
        <w:pStyle w:val="StandardWeb"/>
      </w:pPr>
      <w:r>
        <w:t>[</w:t>
      </w:r>
      <w:r>
        <w:br/>
        <w:t>S_M:</w:t>
      </w:r>
      <w:r>
        <w:br/>
        <w:t>\mathcal M</w:t>
      </w:r>
      <w:r>
        <w:br/>
        <w:t>\rightarrow</w:t>
      </w:r>
      <w:r>
        <w:br/>
        <w:t>M^{\ast}.</w:t>
      </w:r>
      <w:r>
        <w:br/>
        <w:t>\tag{3.8350}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S_M:\mathcal M\rightarrow M^{\ast}</w:t>
      </w:r>
    </w:p>
    <w:p w:rsidR="000E42A8" w:rsidRDefault="00E50336" w:rsidP="000E42A8">
      <w:r>
        <w:pict>
          <v:rect id="_x0000_i2115" style="width:0;height:1.5pt" o:hralign="center" o:hrstd="t" o:hr="t" fillcolor="#a0a0a0" stroked="f"/>
        </w:pict>
      </w:r>
    </w:p>
    <w:p w:rsidR="000E42A8" w:rsidRDefault="000E42A8" w:rsidP="000E42A8">
      <w:pPr>
        <w:pStyle w:val="berschrift1"/>
      </w:pPr>
      <w:r>
        <w:t>3.3.42.376 Selektionskonsistenz</w:t>
      </w:r>
    </w:p>
    <w:p w:rsidR="000E42A8" w:rsidRDefault="000E42A8" w:rsidP="000E42A8">
      <w:pPr>
        <w:pStyle w:val="StandardWeb"/>
      </w:pPr>
      <w:r>
        <w:t>Ich definiere</w:t>
      </w:r>
    </w:p>
    <w:p w:rsidR="000E42A8" w:rsidRDefault="000E42A8" w:rsidP="000E42A8">
      <w:pPr>
        <w:pStyle w:val="berschrift1"/>
      </w:pPr>
      <w:r>
        <w:t>[</w:t>
      </w:r>
      <w:r>
        <w:br/>
        <w:t>K_{\mathrm{sel}}</w:t>
      </w:r>
    </w:p>
    <w:p w:rsidR="000E42A8" w:rsidRDefault="000E42A8" w:rsidP="000E42A8">
      <w:pPr>
        <w:pStyle w:val="StandardWeb"/>
      </w:pPr>
      <w:r>
        <w:t>K_F</w:t>
      </w:r>
      <w:r>
        <w:br/>
        <w:t>\left(</w:t>
      </w:r>
      <w:r>
        <w:br/>
        <w:t>M^{\ast},</w:t>
      </w:r>
      <w:r>
        <w:br/>
        <w:t>\mathcal A_{\mathrm{required}}</w:t>
      </w:r>
      <w:r>
        <w:br/>
        <w:t>\right).</w:t>
      </w:r>
      <w:r>
        <w:br/>
        <w:t>\tag{3.8351}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K_{\mathrm{sel}}=K_F\left(M^{\ast},\mathcal A_{\mathrm{required}}\right)</w:t>
      </w:r>
    </w:p>
    <w:p w:rsidR="000E42A8" w:rsidRDefault="000E42A8" w:rsidP="000E42A8">
      <w:pPr>
        <w:pStyle w:val="StandardWeb"/>
      </w:pPr>
      <w:r>
        <w:t>Ein ausgewähltes Modell muss mit sämtlichen zwingend zu erhaltenden wissenschaftlichen Aussagen vereinbar sein.</w:t>
      </w:r>
    </w:p>
    <w:p w:rsidR="000E42A8" w:rsidRDefault="00E50336" w:rsidP="000E42A8">
      <w:r>
        <w:pict>
          <v:rect id="_x0000_i2116" style="width:0;height:1.5pt" o:hralign="center" o:hrstd="t" o:hr="t" fillcolor="#a0a0a0" stroked="f"/>
        </w:pict>
      </w:r>
    </w:p>
    <w:p w:rsidR="000E42A8" w:rsidRDefault="000E42A8" w:rsidP="000E42A8">
      <w:pPr>
        <w:pStyle w:val="berschrift1"/>
      </w:pPr>
      <w:r>
        <w:t>3.3.42.377 Auswahlkriterium ist nicht Konsistenz</w:t>
      </w:r>
    </w:p>
    <w:p w:rsidR="000E42A8" w:rsidRDefault="000E42A8" w:rsidP="000E42A8">
      <w:pPr>
        <w:pStyle w:val="StandardWeb"/>
      </w:pPr>
      <w:r>
        <w:lastRenderedPageBreak/>
        <w:t>Ein Modell kann nach einem Gütekriterium optimal sein,</w:t>
      </w:r>
    </w:p>
    <w:p w:rsidR="000E42A8" w:rsidRDefault="000E42A8" w:rsidP="000E42A8">
      <w:pPr>
        <w:pStyle w:val="berschrift1"/>
      </w:pPr>
      <w:r>
        <w:t>[</w:t>
      </w:r>
      <w:r>
        <w:br/>
        <w:t>M^{\ast}</w:t>
      </w:r>
    </w:p>
    <w:p w:rsidR="000E42A8" w:rsidRDefault="000E42A8" w:rsidP="000E42A8">
      <w:pPr>
        <w:pStyle w:val="StandardWeb"/>
      </w:pPr>
      <w:r>
        <w:t>\arg\max_M</w:t>
      </w:r>
      <w:r>
        <w:br/>
        <w:t>Q(M),</w:t>
      </w:r>
      <w:r>
        <w:br/>
        <w:t>\tag{3.8352}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M^{\ast}=\arg\max_M Q(M)</w:t>
      </w:r>
    </w:p>
    <w:p w:rsidR="000E42A8" w:rsidRDefault="000E42A8" w:rsidP="000E42A8">
      <w:pPr>
        <w:pStyle w:val="StandardWeb"/>
      </w:pPr>
      <w:r>
        <w:t>und dennoch</w:t>
      </w:r>
    </w:p>
    <w:p w:rsidR="000E42A8" w:rsidRDefault="000E42A8" w:rsidP="000E42A8">
      <w:pPr>
        <w:pStyle w:val="StandardWeb"/>
      </w:pPr>
      <w:r>
        <w:t>[</w:t>
      </w:r>
      <w:r>
        <w:br/>
        <w:t>K_{\mathrm{sel}}=0.</w:t>
      </w:r>
      <w:r>
        <w:br/>
        <w:t>\tag{3.8353}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K_{\mathrm{sel}}=0</w:t>
      </w:r>
    </w:p>
    <w:p w:rsidR="000E42A8" w:rsidRDefault="000E42A8" w:rsidP="000E42A8">
      <w:pPr>
        <w:pStyle w:val="StandardWeb"/>
      </w:pPr>
      <w:r>
        <w:t>Deshalb ist Konsistenz als eigene Selektionsbedingung erforderlich.</w:t>
      </w:r>
    </w:p>
    <w:p w:rsidR="000E42A8" w:rsidRDefault="00E50336" w:rsidP="000E42A8">
      <w:r>
        <w:pict>
          <v:rect id="_x0000_i2117" style="width:0;height:1.5pt" o:hralign="center" o:hrstd="t" o:hr="t" fillcolor="#a0a0a0" stroked="f"/>
        </w:pict>
      </w:r>
    </w:p>
    <w:p w:rsidR="000E42A8" w:rsidRDefault="000E42A8" w:rsidP="000E42A8">
      <w:pPr>
        <w:pStyle w:val="berschrift1"/>
      </w:pPr>
      <w:r>
        <w:t>3.3.42.378 Konsistenz als Nebenbedingung der Modellwahl</w:t>
      </w:r>
    </w:p>
    <w:p w:rsidR="000E42A8" w:rsidRDefault="000E42A8" w:rsidP="000E42A8">
      <w:pPr>
        <w:pStyle w:val="StandardWeb"/>
      </w:pPr>
      <w:r>
        <w:t>Ich formuliere</w:t>
      </w:r>
    </w:p>
    <w:p w:rsidR="000E42A8" w:rsidRDefault="000E42A8" w:rsidP="000E42A8">
      <w:pPr>
        <w:pStyle w:val="berschrift1"/>
      </w:pPr>
      <w:r>
        <w:t>[</w:t>
      </w:r>
      <w:r>
        <w:br/>
        <w:t>M^{\ast}</w:t>
      </w:r>
    </w:p>
    <w:p w:rsidR="000E42A8" w:rsidRDefault="000E42A8" w:rsidP="000E42A8">
      <w:pPr>
        <w:pStyle w:val="StandardWeb"/>
      </w:pPr>
      <w:r>
        <w:t>\arg\max_M</w:t>
      </w:r>
      <w:r>
        <w:br/>
        <w:t>Q(M)</w:t>
      </w:r>
      <w:r>
        <w:br/>
        <w:t>\tag{3.8354}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M^{\ast}=\arg\max_M Q(M)</w:t>
      </w:r>
    </w:p>
    <w:p w:rsidR="000E42A8" w:rsidRDefault="000E42A8" w:rsidP="000E42A8">
      <w:pPr>
        <w:pStyle w:val="StandardWeb"/>
      </w:pPr>
      <w:r>
        <w:t>unter der Nebenbedingung</w:t>
      </w:r>
    </w:p>
    <w:p w:rsidR="000E42A8" w:rsidRDefault="000E42A8" w:rsidP="000E42A8">
      <w:pPr>
        <w:pStyle w:val="StandardWeb"/>
      </w:pPr>
      <w:r>
        <w:lastRenderedPageBreak/>
        <w:t>[</w:t>
      </w:r>
      <w:r>
        <w:br/>
        <w:t>K_F(M)=1.</w:t>
      </w:r>
      <w:r>
        <w:br/>
        <w:t>\tag{3.8355}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K_F(M)=1</w:t>
      </w:r>
    </w:p>
    <w:p w:rsidR="000E42A8" w:rsidRDefault="00E50336" w:rsidP="000E42A8">
      <w:r>
        <w:pict>
          <v:rect id="_x0000_i2118" style="width:0;height:1.5pt" o:hralign="center" o:hrstd="t" o:hr="t" fillcolor="#a0a0a0" stroked="f"/>
        </w:pict>
      </w:r>
    </w:p>
    <w:p w:rsidR="000E42A8" w:rsidRDefault="000E42A8" w:rsidP="000E42A8">
      <w:pPr>
        <w:pStyle w:val="berschrift1"/>
      </w:pPr>
      <w:r>
        <w:t>3.3.42.379 Konsistenz und Prognoseerfolg</w:t>
      </w:r>
    </w:p>
    <w:p w:rsidR="000E42A8" w:rsidRDefault="000E42A8" w:rsidP="000E42A8">
      <w:pPr>
        <w:pStyle w:val="StandardWeb"/>
      </w:pPr>
      <w:r>
        <w:t>Ein Modell kann prognostisch erfolgreich sein:</w:t>
      </w:r>
    </w:p>
    <w:p w:rsidR="000E42A8" w:rsidRDefault="000E42A8" w:rsidP="000E42A8">
      <w:pPr>
        <w:pStyle w:val="StandardWeb"/>
      </w:pPr>
      <w:r>
        <w:t>[</w:t>
      </w:r>
      <w:r>
        <w:br/>
        <w:t>P_{\mathrm{pred}}\approx1</w:t>
      </w:r>
      <w:r>
        <w:br/>
        <w:t>\tag{3.8356}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P_{\mathrm{pred}}\approx1</w:t>
      </w:r>
    </w:p>
    <w:p w:rsidR="000E42A8" w:rsidRDefault="000E42A8" w:rsidP="000E42A8">
      <w:pPr>
        <w:pStyle w:val="StandardWeb"/>
      </w:pPr>
      <w:r>
        <w:t>und dennoch intern inkonsistent:</w:t>
      </w:r>
    </w:p>
    <w:p w:rsidR="000E42A8" w:rsidRDefault="000E42A8" w:rsidP="000E42A8">
      <w:pPr>
        <w:pStyle w:val="StandardWeb"/>
      </w:pPr>
      <w:r>
        <w:t>[</w:t>
      </w:r>
      <w:r>
        <w:br/>
        <w:t>K_F(M)=0.</w:t>
      </w:r>
      <w:r>
        <w:br/>
        <w:t>\tag{3.8357}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K_F(M)=0</w:t>
      </w:r>
    </w:p>
    <w:p w:rsidR="000E42A8" w:rsidRDefault="000E42A8" w:rsidP="000E42A8">
      <w:pPr>
        <w:pStyle w:val="StandardWeb"/>
      </w:pPr>
      <w:r>
        <w:t>Damit ist Prognoseleistung keine Konsistenzgarantie.</w:t>
      </w:r>
    </w:p>
    <w:p w:rsidR="000E42A8" w:rsidRDefault="00E50336" w:rsidP="000E42A8">
      <w:r>
        <w:pict>
          <v:rect id="_x0000_i2119" style="width:0;height:1.5pt" o:hralign="center" o:hrstd="t" o:hr="t" fillcolor="#a0a0a0" stroked="f"/>
        </w:pict>
      </w:r>
    </w:p>
    <w:p w:rsidR="000E42A8" w:rsidRDefault="000E42A8" w:rsidP="000E42A8">
      <w:pPr>
        <w:pStyle w:val="berschrift1"/>
      </w:pPr>
      <w:r>
        <w:t>3.3.42.380 Konsistenz und Erklärungskraft</w:t>
      </w:r>
    </w:p>
    <w:p w:rsidR="000E42A8" w:rsidRDefault="000E42A8" w:rsidP="000E42A8">
      <w:pPr>
        <w:pStyle w:val="StandardWeb"/>
      </w:pPr>
      <w:r>
        <w:t>Ebenso kann</w:t>
      </w:r>
    </w:p>
    <w:p w:rsidR="000E42A8" w:rsidRDefault="000E42A8" w:rsidP="000E42A8">
      <w:pPr>
        <w:pStyle w:val="StandardWeb"/>
      </w:pPr>
      <w:r>
        <w:t>[</w:t>
      </w:r>
      <w:r>
        <w:br/>
        <w:t>E_{\mathrm{exp}}</w:t>
      </w:r>
      <w:r>
        <w:br/>
        <w:t>\text{ hoch}</w:t>
      </w:r>
      <w:r>
        <w:br/>
        <w:t>\tag{3.8358}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E_{\mathrm{exp}}\text{ hoch}</w:t>
      </w:r>
    </w:p>
    <w:p w:rsidR="000E42A8" w:rsidRDefault="000E42A8" w:rsidP="000E42A8">
      <w:pPr>
        <w:pStyle w:val="StandardWeb"/>
      </w:pPr>
      <w:r>
        <w:lastRenderedPageBreak/>
        <w:t>bei</w:t>
      </w:r>
    </w:p>
    <w:p w:rsidR="000E42A8" w:rsidRDefault="000E42A8" w:rsidP="000E42A8">
      <w:pPr>
        <w:pStyle w:val="StandardWeb"/>
      </w:pPr>
      <w:r>
        <w:t>[</w:t>
      </w:r>
      <w:r>
        <w:br/>
        <w:t>K_F(M)=0</w:t>
      </w:r>
      <w:r>
        <w:br/>
        <w:t>\tag{3.8359}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K_F(M)=0</w:t>
      </w:r>
    </w:p>
    <w:p w:rsidR="000E42A8" w:rsidRDefault="000E42A8" w:rsidP="000E42A8">
      <w:pPr>
        <w:pStyle w:val="StandardWeb"/>
      </w:pPr>
      <w:r>
        <w:t>auftreten.</w:t>
      </w:r>
    </w:p>
    <w:p w:rsidR="000E42A8" w:rsidRDefault="000E42A8" w:rsidP="000E42A8">
      <w:pPr>
        <w:pStyle w:val="StandardWeb"/>
      </w:pPr>
      <w:r>
        <w:t>Eine überzeugend wirkende Erklärung kann theoretisch widersprüchlich sein.</w:t>
      </w:r>
    </w:p>
    <w:p w:rsidR="000E42A8" w:rsidRDefault="00E50336" w:rsidP="000E42A8">
      <w:r>
        <w:pict>
          <v:rect id="_x0000_i2120" style="width:0;height:1.5pt" o:hralign="center" o:hrstd="t" o:hr="t" fillcolor="#a0a0a0" stroked="f"/>
        </w:pict>
      </w:r>
    </w:p>
    <w:p w:rsidR="000E42A8" w:rsidRDefault="000E42A8" w:rsidP="000E42A8">
      <w:pPr>
        <w:pStyle w:val="berschrift1"/>
      </w:pPr>
      <w:r>
        <w:t>3.3.42.381 Konsistenz und Einfachheit</w:t>
      </w:r>
    </w:p>
    <w:p w:rsidR="000E42A8" w:rsidRDefault="000E42A8" w:rsidP="000E42A8">
      <w:pPr>
        <w:pStyle w:val="StandardWeb"/>
      </w:pPr>
      <w:r>
        <w:t>Auch Einfachheit</w:t>
      </w:r>
    </w:p>
    <w:p w:rsidR="000E42A8" w:rsidRDefault="000E42A8" w:rsidP="000E42A8">
      <w:pPr>
        <w:pStyle w:val="StandardWeb"/>
      </w:pPr>
      <w:r>
        <w:t>[</w:t>
      </w:r>
      <w:r>
        <w:br/>
        <w:t>C(M)\text{ klein}</w:t>
      </w:r>
      <w:r>
        <w:br/>
        <w:t>\tag{3.8360}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C(M)\text{ klein}</w:t>
      </w:r>
    </w:p>
    <w:p w:rsidR="000E42A8" w:rsidRDefault="000E42A8" w:rsidP="000E42A8">
      <w:pPr>
        <w:pStyle w:val="StandardWeb"/>
      </w:pPr>
      <w:r>
        <w:t>impliziert nicht</w:t>
      </w:r>
    </w:p>
    <w:p w:rsidR="000E42A8" w:rsidRDefault="000E42A8" w:rsidP="000E42A8">
      <w:pPr>
        <w:pStyle w:val="StandardWeb"/>
      </w:pPr>
      <w:r>
        <w:t>[</w:t>
      </w:r>
      <w:r>
        <w:br/>
        <w:t>K_F(M)=1.</w:t>
      </w:r>
      <w:r>
        <w:br/>
        <w:t>\tag{3.8361}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K_F(M)=1</w:t>
      </w:r>
    </w:p>
    <w:p w:rsidR="000E42A8" w:rsidRDefault="00E50336" w:rsidP="000E42A8">
      <w:r>
        <w:pict>
          <v:rect id="_x0000_i2121" style="width:0;height:1.5pt" o:hralign="center" o:hrstd="t" o:hr="t" fillcolor="#a0a0a0" stroked="f"/>
        </w:pict>
      </w:r>
    </w:p>
    <w:p w:rsidR="000E42A8" w:rsidRDefault="000E42A8" w:rsidP="000E42A8">
      <w:pPr>
        <w:pStyle w:val="berschrift1"/>
      </w:pPr>
      <w:r>
        <w:t>3.3.42.382 Mehrdimensionale Theorieentscheidung</w:t>
      </w:r>
    </w:p>
    <w:p w:rsidR="000E42A8" w:rsidRDefault="000E42A8" w:rsidP="000E42A8">
      <w:pPr>
        <w:pStyle w:val="StandardWeb"/>
      </w:pPr>
      <w:r>
        <w:t>Ich fasse deshalb eine Theorieentscheidung als</w:t>
      </w:r>
    </w:p>
    <w:p w:rsidR="000E42A8" w:rsidRDefault="000E42A8" w:rsidP="000E42A8">
      <w:pPr>
        <w:pStyle w:val="berschrift1"/>
      </w:pPr>
      <w:r>
        <w:t>[</w:t>
      </w:r>
      <w:r>
        <w:br/>
        <w:t>\mathcal D_T</w:t>
      </w:r>
    </w:p>
    <w:p w:rsidR="000E42A8" w:rsidRDefault="000E42A8" w:rsidP="000E42A8">
      <w:pPr>
        <w:pStyle w:val="StandardWeb"/>
      </w:pPr>
      <w:r>
        <w:lastRenderedPageBreak/>
        <w:t>\mathcal D</w:t>
      </w:r>
      <w:r>
        <w:br/>
        <w:t>\left(</w:t>
      </w:r>
      <w:r>
        <w:br/>
        <w:t>K,</w:t>
      </w:r>
      <w:r>
        <w:br/>
        <w:t>S,</w:t>
      </w:r>
      <w:r>
        <w:br/>
        <w:t>V,</w:t>
      </w:r>
      <w:r>
        <w:br/>
        <w:t>E,</w:t>
      </w:r>
      <w:r>
        <w:br/>
        <w:t>U,</w:t>
      </w:r>
      <w:r>
        <w:br/>
        <w:t>P,</w:t>
      </w:r>
      <w:r>
        <w:br/>
        <w:t>C</w:t>
      </w:r>
      <w:r>
        <w:br/>
        <w:t>\right).</w:t>
      </w:r>
      <w:r>
        <w:br/>
        <w:t>\tag{3.8362}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D_T=\mathcal D\left(K,S,V,E,U,P,C\right)</w:t>
      </w:r>
    </w:p>
    <w:p w:rsidR="000E42A8" w:rsidRDefault="000E42A8" w:rsidP="000E42A8">
      <w:pPr>
        <w:pStyle w:val="StandardWeb"/>
      </w:pPr>
      <w:r>
        <w:t>auf.</w:t>
      </w:r>
    </w:p>
    <w:p w:rsidR="000E42A8" w:rsidRDefault="000E42A8" w:rsidP="000E42A8">
      <w:pPr>
        <w:pStyle w:val="StandardWeb"/>
      </w:pPr>
      <w:r>
        <w:t>Eine einzige Dimension darf nicht unbemerkt alle anderen ersetzen.</w:t>
      </w:r>
    </w:p>
    <w:p w:rsidR="000E42A8" w:rsidRDefault="00E50336" w:rsidP="000E42A8">
      <w:r>
        <w:pict>
          <v:rect id="_x0000_i2122" style="width:0;height:1.5pt" o:hralign="center" o:hrstd="t" o:hr="t" fillcolor="#a0a0a0" stroked="f"/>
        </w:pict>
      </w:r>
    </w:p>
    <w:p w:rsidR="000E42A8" w:rsidRDefault="000E42A8" w:rsidP="000E42A8">
      <w:pPr>
        <w:pStyle w:val="berschrift1"/>
      </w:pPr>
      <w:r>
        <w:t>3.3.42.383 Konfliktentscheidung ohne Wahrheitsbehauptung</w:t>
      </w:r>
    </w:p>
    <w:p w:rsidR="000E42A8" w:rsidRDefault="000E42A8" w:rsidP="000E42A8">
      <w:pPr>
        <w:pStyle w:val="StandardWeb"/>
      </w:pPr>
      <w:r>
        <w:t>Ein Konflikt kann methodisch entschieden werden, ohne eine endgültige Wahrheitsbehauptung zu treffen.</w:t>
      </w:r>
    </w:p>
    <w:p w:rsidR="000E42A8" w:rsidRDefault="000E42A8" w:rsidP="000E42A8">
      <w:pPr>
        <w:pStyle w:val="StandardWeb"/>
      </w:pPr>
      <w:r>
        <w:t>Ich definiere</w:t>
      </w:r>
    </w:p>
    <w:p w:rsidR="000E42A8" w:rsidRDefault="000E42A8" w:rsidP="000E42A8">
      <w:pPr>
        <w:pStyle w:val="StandardWeb"/>
      </w:pPr>
      <w:r>
        <w:t>[</w:t>
      </w:r>
      <w:r>
        <w:br/>
        <w:t>D_W</w:t>
      </w:r>
      <w:r>
        <w:br/>
        <w:t>\in</w:t>
      </w:r>
      <w:r>
        <w:br/>
        <w:t>\left{</w:t>
      </w:r>
      <w:r>
        <w:br/>
        <w:t>A_i\ bevorzugt,</w:t>
      </w:r>
      <w:r>
        <w:br/>
        <w:t>A_j\ bevorzugt,</w:t>
      </w:r>
      <w:r>
        <w:br/>
        <w:t>beide\ offen,</w:t>
      </w:r>
      <w:r>
        <w:br/>
        <w:t>beide\ verwerfen</w:t>
      </w:r>
      <w:r>
        <w:br/>
        <w:t>\right}.</w:t>
      </w:r>
      <w:r>
        <w:br/>
        <w:t>\tag{3.8363}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D_W\in\left\{A_i\ bevorzugt,A_j\ bevorzugt,beide\ offen,beide\ verwerfen\right\}</w:t>
      </w:r>
    </w:p>
    <w:p w:rsidR="000E42A8" w:rsidRDefault="00E50336" w:rsidP="000E42A8">
      <w:r>
        <w:pict>
          <v:rect id="_x0000_i2123" style="width:0;height:1.5pt" o:hralign="center" o:hrstd="t" o:hr="t" fillcolor="#a0a0a0" stroked="f"/>
        </w:pict>
      </w:r>
    </w:p>
    <w:p w:rsidR="000E42A8" w:rsidRDefault="000E42A8" w:rsidP="000E42A8">
      <w:pPr>
        <w:pStyle w:val="berschrift1"/>
      </w:pPr>
      <w:r>
        <w:t>3.3.42.384 Bevorzugung ist keine Wahrheit</w:t>
      </w:r>
    </w:p>
    <w:p w:rsidR="000E42A8" w:rsidRDefault="000E42A8" w:rsidP="000E42A8">
      <w:pPr>
        <w:pStyle w:val="StandardWeb"/>
      </w:pPr>
      <w:r>
        <w:lastRenderedPageBreak/>
        <w:t>Es gilt</w:t>
      </w:r>
    </w:p>
    <w:p w:rsidR="000E42A8" w:rsidRDefault="000E42A8" w:rsidP="000E42A8">
      <w:pPr>
        <w:pStyle w:val="StandardWeb"/>
      </w:pPr>
      <w:r>
        <w:t>[</w:t>
      </w:r>
      <w:r>
        <w:br/>
        <w:t>D_W=A_i\ bevorzugt</w:t>
      </w:r>
      <w:r>
        <w:br/>
        <w:t>\nRightarrow</w:t>
      </w:r>
      <w:r>
        <w:br/>
        <w:t>A_i\text{ wahr}.</w:t>
      </w:r>
      <w:r>
        <w:br/>
        <w:t>\tag{3.8364}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D_W=A_i\ bevorzugt\nRightarrow A_i\text{ wahr}</w:t>
      </w:r>
    </w:p>
    <w:p w:rsidR="000E42A8" w:rsidRDefault="000E42A8" w:rsidP="000E42A8">
      <w:pPr>
        <w:pStyle w:val="StandardWeb"/>
      </w:pPr>
      <w:r>
        <w:t>Die Entscheidung bedeutet ausschließlich, dass (A_i) unter den aktuell verwendeten wissenschaftlichen Kriterien den besseren Arbeitsstatus erhält.</w:t>
      </w:r>
    </w:p>
    <w:p w:rsidR="000E42A8" w:rsidRDefault="00E50336" w:rsidP="000E42A8">
      <w:r>
        <w:pict>
          <v:rect id="_x0000_i2124" style="width:0;height:1.5pt" o:hralign="center" o:hrstd="t" o:hr="t" fillcolor="#a0a0a0" stroked="f"/>
        </w:pict>
      </w:r>
    </w:p>
    <w:p w:rsidR="000E42A8" w:rsidRDefault="000E42A8" w:rsidP="000E42A8">
      <w:pPr>
        <w:pStyle w:val="berschrift1"/>
      </w:pPr>
      <w:r>
        <w:t>3.3.42.385 Arbeitsstatus wissenschaftlicher Aussagen</w:t>
      </w:r>
    </w:p>
    <w:p w:rsidR="000E42A8" w:rsidRDefault="000E42A8" w:rsidP="000E42A8">
      <w:pPr>
        <w:pStyle w:val="StandardWeb"/>
      </w:pPr>
      <w:r>
        <w:t>Ich definiere</w:t>
      </w:r>
    </w:p>
    <w:p w:rsidR="000E42A8" w:rsidRDefault="000E42A8" w:rsidP="000E42A8">
      <w:pPr>
        <w:pStyle w:val="StandardWeb"/>
      </w:pPr>
      <w:r>
        <w:t>[</w:t>
      </w:r>
      <w:r>
        <w:br/>
        <w:t>s_A</w:t>
      </w:r>
      <w:r>
        <w:br/>
        <w:t>\in</w:t>
      </w:r>
      <w:r>
        <w:br/>
        <w:t>\left{</w:t>
      </w:r>
      <w:r>
        <w:br/>
        <w:t>\mathbf{aktiv},</w:t>
      </w:r>
      <w:r>
        <w:br/>
        <w:t>\mathbf{vorläufig},</w:t>
      </w:r>
      <w:r>
        <w:br/>
        <w:t>\mathbf{strittig},</w:t>
      </w:r>
      <w:r>
        <w:br/>
        <w:t>\mathbf{ersetzt},</w:t>
      </w:r>
      <w:r>
        <w:br/>
        <w:t>\mathbf{verworfen}</w:t>
      </w:r>
      <w:r>
        <w:br/>
        <w:t>\right}.</w:t>
      </w:r>
      <w:r>
        <w:br/>
        <w:t>\tag{3.8365}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s_A\in\left\{\mathbf{aktiv},\mathbf{vorläufig},\mathbf{strittig},\mathbf{ersetzt},\mathbf{verworfen}\right\}</w:t>
      </w:r>
    </w:p>
    <w:p w:rsidR="000E42A8" w:rsidRDefault="00E50336" w:rsidP="000E42A8">
      <w:r>
        <w:pict>
          <v:rect id="_x0000_i2125" style="width:0;height:1.5pt" o:hralign="center" o:hrstd="t" o:hr="t" fillcolor="#a0a0a0" stroked="f"/>
        </w:pict>
      </w:r>
    </w:p>
    <w:p w:rsidR="000E42A8" w:rsidRDefault="000E42A8" w:rsidP="000E42A8">
      <w:pPr>
        <w:pStyle w:val="berschrift1"/>
      </w:pPr>
      <w:r>
        <w:t>3.3.42.386 Strittige Aussage</w:t>
      </w:r>
    </w:p>
    <w:p w:rsidR="000E42A8" w:rsidRDefault="000E42A8" w:rsidP="000E42A8">
      <w:pPr>
        <w:pStyle w:val="StandardWeb"/>
      </w:pPr>
      <w:r>
        <w:t>Eine Aussage besitzt den Status</w:t>
      </w:r>
    </w:p>
    <w:p w:rsidR="000E42A8" w:rsidRDefault="000E42A8" w:rsidP="000E42A8">
      <w:pPr>
        <w:pStyle w:val="StandardWeb"/>
      </w:pPr>
      <w:r>
        <w:t>[</w:t>
      </w:r>
      <w:r>
        <w:br/>
        <w:t>s_A=\mathbf{strittig}</w:t>
      </w:r>
      <w:r>
        <w:br/>
        <w:t>\tag{3.8366}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s_A=\mathbf{strittig}</w:t>
      </w:r>
    </w:p>
    <w:p w:rsidR="000E42A8" w:rsidRDefault="000E42A8" w:rsidP="000E42A8">
      <w:pPr>
        <w:pStyle w:val="StandardWeb"/>
      </w:pPr>
      <w:r>
        <w:t>wenn mindestens ein relevanter nicht aufgelöster Konflikt besteht.</w:t>
      </w:r>
    </w:p>
    <w:p w:rsidR="000E42A8" w:rsidRDefault="00E50336" w:rsidP="000E42A8">
      <w:r>
        <w:pict>
          <v:rect id="_x0000_i2126" style="width:0;height:1.5pt" o:hralign="center" o:hrstd="t" o:hr="t" fillcolor="#a0a0a0" stroked="f"/>
        </w:pict>
      </w:r>
    </w:p>
    <w:p w:rsidR="000E42A8" w:rsidRDefault="000E42A8" w:rsidP="000E42A8">
      <w:pPr>
        <w:pStyle w:val="berschrift1"/>
      </w:pPr>
      <w:r>
        <w:t>3.3.42.387 Aktiv trotz Konflikt</w:t>
      </w:r>
    </w:p>
    <w:p w:rsidR="000E42A8" w:rsidRDefault="000E42A8" w:rsidP="000E42A8">
      <w:pPr>
        <w:pStyle w:val="StandardWeb"/>
      </w:pPr>
      <w:r>
        <w:t>Eine Aussage kann unter Umständen weiterhin aktiv bleiben, wenn der Konflikt außerhalb ihres beanspruchten Gültigkeitsbereichs liegt.</w:t>
      </w:r>
    </w:p>
    <w:p w:rsidR="000E42A8" w:rsidRDefault="000E42A8" w:rsidP="000E42A8">
      <w:pPr>
        <w:pStyle w:val="StandardWeb"/>
      </w:pPr>
      <w:r>
        <w:t>Damit gilt</w:t>
      </w:r>
    </w:p>
    <w:p w:rsidR="000E42A8" w:rsidRDefault="000E42A8" w:rsidP="000E42A8">
      <w:pPr>
        <w:pStyle w:val="StandardWeb"/>
      </w:pPr>
      <w:r>
        <w:t>[</w:t>
      </w:r>
      <w:r>
        <w:br/>
        <w:t>W_F(A_i,A_j)=1</w:t>
      </w:r>
      <w:r>
        <w:br/>
        <w:t>\nRightarrow</w:t>
      </w:r>
      <w:r>
        <w:br/>
        <w:t>s_{A_i}=\mathbf{verworfen}.</w:t>
      </w:r>
      <w:r>
        <w:br/>
        <w:t>\tag{3.8367}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W_F(A_i,A_j)=1\nRightarrow s_{A_i}=\mathbf{verworfen}</w:t>
      </w:r>
    </w:p>
    <w:p w:rsidR="000E42A8" w:rsidRDefault="00E50336" w:rsidP="000E42A8">
      <w:r>
        <w:pict>
          <v:rect id="_x0000_i2127" style="width:0;height:1.5pt" o:hralign="center" o:hrstd="t" o:hr="t" fillcolor="#a0a0a0" stroked="f"/>
        </w:pict>
      </w:r>
    </w:p>
    <w:p w:rsidR="000E42A8" w:rsidRDefault="000E42A8" w:rsidP="000E42A8">
      <w:pPr>
        <w:pStyle w:val="berschrift1"/>
      </w:pPr>
      <w:r>
        <w:t>3.3.42.388 Konfliktpriorisierung</w:t>
      </w:r>
    </w:p>
    <w:p w:rsidR="000E42A8" w:rsidRDefault="000E42A8" w:rsidP="000E42A8">
      <w:pPr>
        <w:pStyle w:val="StandardWeb"/>
      </w:pPr>
      <w:r>
        <w:t>Für einen Konflikt (W_k) definiere ich einen Prioritätswert</w:t>
      </w:r>
    </w:p>
    <w:p w:rsidR="000E42A8" w:rsidRDefault="000E42A8" w:rsidP="000E42A8">
      <w:pPr>
        <w:pStyle w:val="berschrift1"/>
      </w:pPr>
      <w:r>
        <w:t>[</w:t>
      </w:r>
      <w:r>
        <w:br/>
        <w:t>P_k</w:t>
      </w:r>
    </w:p>
    <w:p w:rsidR="000E42A8" w:rsidRDefault="000E42A8" w:rsidP="000E42A8">
      <w:pPr>
        <w:pStyle w:val="StandardWeb"/>
      </w:pPr>
      <w:r>
        <w:t>f</w:t>
      </w:r>
      <w:r>
        <w:br/>
        <w:t>\left(</w:t>
      </w:r>
      <w:r>
        <w:br/>
        <w:t>S_W,</w:t>
      </w:r>
      <w:r>
        <w:br/>
        <w:t>R_W^{\mathrm{reach}},</w:t>
      </w:r>
      <w:r>
        <w:br/>
        <w:t>w_E,</w:t>
      </w:r>
      <w:r>
        <w:br/>
        <w:t>w_S,</w:t>
      </w:r>
      <w:r>
        <w:br/>
        <w:t>P_W,</w:t>
      </w:r>
      <w:r>
        <w:br/>
        <w:t>C_{\mathrm{dep}}</w:t>
      </w:r>
      <w:r>
        <w:br/>
        <w:t>\right).</w:t>
      </w:r>
      <w:r>
        <w:br/>
        <w:t>\tag{3.8368}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P_k=f\left(S_W,R_W^{\mathrm{reach}},w_E,w_S,P_W,C_{\mathrm{dep}}\right)</w:t>
      </w:r>
    </w:p>
    <w:p w:rsidR="000E42A8" w:rsidRDefault="00E50336" w:rsidP="000E42A8">
      <w:r>
        <w:pict>
          <v:rect id="_x0000_i2128" style="width:0;height:1.5pt" o:hralign="center" o:hrstd="t" o:hr="t" fillcolor="#a0a0a0" stroked="f"/>
        </w:pict>
      </w:r>
    </w:p>
    <w:p w:rsidR="000E42A8" w:rsidRDefault="000E42A8" w:rsidP="000E42A8">
      <w:pPr>
        <w:pStyle w:val="berschrift1"/>
      </w:pPr>
      <w:r>
        <w:lastRenderedPageBreak/>
        <w:t>3.3.42.389 Kritischer Konflikt</w:t>
      </w:r>
    </w:p>
    <w:p w:rsidR="000E42A8" w:rsidRDefault="000E42A8" w:rsidP="000E42A8">
      <w:pPr>
        <w:pStyle w:val="StandardWeb"/>
      </w:pPr>
      <w:r>
        <w:t>Ein Konflikt heißt kritisch, wenn</w:t>
      </w:r>
    </w:p>
    <w:p w:rsidR="000E42A8" w:rsidRDefault="000E42A8" w:rsidP="000E42A8">
      <w:pPr>
        <w:pStyle w:val="StandardWeb"/>
      </w:pPr>
      <w:r>
        <w:t>[</w:t>
      </w:r>
      <w:r>
        <w:br/>
        <w:t>P_k</w:t>
      </w:r>
      <w:r>
        <w:br/>
        <w:t>\geq</w:t>
      </w:r>
      <w:r>
        <w:br/>
        <w:t>\tau_P.</w:t>
      </w:r>
      <w:r>
        <w:br/>
        <w:t>\tag{3.8369}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P_k\geq\tau_P</w:t>
      </w:r>
    </w:p>
    <w:p w:rsidR="000E42A8" w:rsidRDefault="000E42A8" w:rsidP="000E42A8">
      <w:pPr>
        <w:pStyle w:val="StandardWeb"/>
      </w:pPr>
      <w:r>
        <w:t>Die Schwelle (\tau_P) muss vorab definiert werden.</w:t>
      </w:r>
    </w:p>
    <w:p w:rsidR="000E42A8" w:rsidRDefault="00E50336" w:rsidP="000E42A8">
      <w:r>
        <w:pict>
          <v:rect id="_x0000_i2129" style="width:0;height:1.5pt" o:hralign="center" o:hrstd="t" o:hr="t" fillcolor="#a0a0a0" stroked="f"/>
        </w:pict>
      </w:r>
    </w:p>
    <w:p w:rsidR="000E42A8" w:rsidRDefault="000E42A8" w:rsidP="000E42A8">
      <w:pPr>
        <w:pStyle w:val="berschrift1"/>
      </w:pPr>
      <w:r>
        <w:t>3.3.42.390 Konfliktklasse mit Sperrwirkung</w:t>
      </w:r>
    </w:p>
    <w:p w:rsidR="000E42A8" w:rsidRDefault="000E42A8" w:rsidP="000E42A8">
      <w:pPr>
        <w:pStyle w:val="StandardWeb"/>
      </w:pPr>
      <w:r>
        <w:t>Ein Konflikt kann eine Sperrwirkung besitzen:</w:t>
      </w:r>
    </w:p>
    <w:p w:rsidR="000E42A8" w:rsidRDefault="000E42A8" w:rsidP="000E42A8">
      <w:pPr>
        <w:pStyle w:val="StandardWeb"/>
      </w:pPr>
      <w:r>
        <w:t>[</w:t>
      </w:r>
      <w:r>
        <w:br/>
        <w:t>G_K=\mathbf{fail}.</w:t>
      </w:r>
      <w:r>
        <w:br/>
        <w:t>\tag{3.8370}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G_K=\mathbf{fail}</w:t>
      </w:r>
    </w:p>
    <w:p w:rsidR="000E42A8" w:rsidRDefault="000E42A8" w:rsidP="000E42A8">
      <w:pPr>
        <w:pStyle w:val="StandardWeb"/>
      </w:pPr>
      <w:r>
        <w:t>Dies gilt insbesondere bei nichtkompensierbaren Konflikten in zwingend verwendeten Theoriekomponenten.</w:t>
      </w:r>
    </w:p>
    <w:p w:rsidR="000E42A8" w:rsidRDefault="00E50336" w:rsidP="000E42A8">
      <w:r>
        <w:pict>
          <v:rect id="_x0000_i2130" style="width:0;height:1.5pt" o:hralign="center" o:hrstd="t" o:hr="t" fillcolor="#a0a0a0" stroked="f"/>
        </w:pict>
      </w:r>
    </w:p>
    <w:p w:rsidR="000E42A8" w:rsidRDefault="000E42A8" w:rsidP="000E42A8">
      <w:pPr>
        <w:pStyle w:val="berschrift1"/>
      </w:pPr>
      <w:r>
        <w:t>3.3.42.391 Konfliktklasse ohne Sperrwirkung</w:t>
      </w:r>
    </w:p>
    <w:p w:rsidR="000E42A8" w:rsidRDefault="000E42A8" w:rsidP="000E42A8">
      <w:pPr>
        <w:pStyle w:val="StandardWeb"/>
      </w:pPr>
      <w:r>
        <w:t>Andere Konflikte können lediglich einen offenen Status erzeugen:</w:t>
      </w:r>
    </w:p>
    <w:p w:rsidR="000E42A8" w:rsidRDefault="000E42A8" w:rsidP="000E42A8">
      <w:pPr>
        <w:pStyle w:val="StandardWeb"/>
      </w:pPr>
      <w:r>
        <w:t>[</w:t>
      </w:r>
      <w:r>
        <w:br/>
        <w:t>G_K=\mathbf{open}.</w:t>
      </w:r>
      <w:r>
        <w:br/>
        <w:t>\tag{3.8371}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G_K=\mathbf{open}</w:t>
      </w:r>
    </w:p>
    <w:p w:rsidR="000E42A8" w:rsidRDefault="000E42A8" w:rsidP="000E42A8">
      <w:pPr>
        <w:pStyle w:val="StandardWeb"/>
      </w:pPr>
      <w:r>
        <w:lastRenderedPageBreak/>
        <w:t>Dies gilt beispielsweise bei noch unentscheidbaren, aber nicht unmittelbar widersprüchlichen Beziehungen.</w:t>
      </w:r>
    </w:p>
    <w:p w:rsidR="000E42A8" w:rsidRDefault="00E50336" w:rsidP="000E42A8">
      <w:r>
        <w:pict>
          <v:rect id="_x0000_i2131" style="width:0;height:1.5pt" o:hralign="center" o:hrstd="t" o:hr="t" fillcolor="#a0a0a0" stroked="f"/>
        </w:pict>
      </w:r>
    </w:p>
    <w:p w:rsidR="000E42A8" w:rsidRDefault="000E42A8" w:rsidP="000E42A8">
      <w:pPr>
        <w:pStyle w:val="berschrift1"/>
      </w:pPr>
      <w:r>
        <w:t>3.3.42.392 Gesamtzahl kritischer Konflikte</w:t>
      </w:r>
    </w:p>
    <w:p w:rsidR="000E42A8" w:rsidRDefault="000E42A8" w:rsidP="000E42A8">
      <w:pPr>
        <w:pStyle w:val="StandardWeb"/>
      </w:pPr>
      <w:r>
        <w:t>Ich definiere</w:t>
      </w:r>
    </w:p>
    <w:p w:rsidR="000E42A8" w:rsidRDefault="000E42A8" w:rsidP="000E42A8">
      <w:pPr>
        <w:pStyle w:val="berschrift1"/>
      </w:pPr>
      <w:r>
        <w:t>[</w:t>
      </w:r>
      <w:r>
        <w:br/>
        <w:t>N_W^{\mathrm{crit}}</w:t>
      </w:r>
    </w:p>
    <w:p w:rsidR="000E42A8" w:rsidRDefault="000E42A8" w:rsidP="000E42A8">
      <w:pPr>
        <w:pStyle w:val="StandardWeb"/>
      </w:pPr>
      <w:r>
        <w:t>\left|</w:t>
      </w:r>
      <w:r>
        <w:br/>
        <w:t>\left{</w:t>
      </w:r>
      <w:r>
        <w:br/>
        <w:t>W_k:</w:t>
      </w:r>
      <w:r>
        <w:br/>
        <w:t>P_k\geq\tau_P</w:t>
      </w:r>
      <w:r>
        <w:br/>
        <w:t>\right}</w:t>
      </w:r>
      <w:r>
        <w:br/>
        <w:t>\right|.</w:t>
      </w:r>
      <w:r>
        <w:br/>
        <w:t>\tag{3.8372}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N_W^{\mathrm{crit}}=\left|\left\{W_k:P_k\geq\tau_P\right\}\right|</w:t>
      </w:r>
    </w:p>
    <w:p w:rsidR="000E42A8" w:rsidRDefault="00E50336" w:rsidP="000E42A8">
      <w:r>
        <w:pict>
          <v:rect id="_x0000_i2132" style="width:0;height:1.5pt" o:hralign="center" o:hrstd="t" o:hr="t" fillcolor="#a0a0a0" stroked="f"/>
        </w:pict>
      </w:r>
    </w:p>
    <w:p w:rsidR="000E42A8" w:rsidRDefault="000E42A8" w:rsidP="000E42A8">
      <w:pPr>
        <w:pStyle w:val="berschrift1"/>
      </w:pPr>
      <w:r>
        <w:t>3.3.42.393 Kritische Konfliktdichte</w:t>
      </w:r>
    </w:p>
    <w:p w:rsidR="000E42A8" w:rsidRDefault="000E42A8" w:rsidP="000E42A8">
      <w:pPr>
        <w:pStyle w:val="StandardWeb"/>
      </w:pPr>
      <w:r>
        <w:t>Für (N_{\mathrm{rel}}) relevante Konsistenzbeziehungen gilt</w:t>
      </w:r>
    </w:p>
    <w:p w:rsidR="000E42A8" w:rsidRDefault="000E42A8" w:rsidP="000E42A8">
      <w:pPr>
        <w:pStyle w:val="berschrift1"/>
      </w:pPr>
      <w:r>
        <w:t>[</w:t>
      </w:r>
      <w:r>
        <w:br/>
        <w:t>D_W^{\mathrm{crit}}</w:t>
      </w:r>
    </w:p>
    <w:p w:rsidR="000E42A8" w:rsidRDefault="000E42A8" w:rsidP="000E42A8">
      <w:pPr>
        <w:pStyle w:val="StandardWeb"/>
      </w:pPr>
      <w:r>
        <w:t>\frac{</w:t>
      </w:r>
      <w:r>
        <w:br/>
        <w:t>N_W^{\mathrm{crit}}</w:t>
      </w:r>
      <w:r>
        <w:br/>
        <w:t>}{</w:t>
      </w:r>
      <w:r>
        <w:br/>
        <w:t>N_{\mathrm{rel}}</w:t>
      </w:r>
      <w:r>
        <w:br/>
        <w:t>}.</w:t>
      </w:r>
      <w:r>
        <w:br/>
        <w:t>\tag{3.8373}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D_W^{\mathrm{crit}}=\frac{N_W^{\mathrm{crit}}}{N_{\mathrm{rel}}}</w:t>
      </w:r>
    </w:p>
    <w:p w:rsidR="000E42A8" w:rsidRDefault="00E50336" w:rsidP="000E42A8">
      <w:r>
        <w:pict>
          <v:rect id="_x0000_i2133" style="width:0;height:1.5pt" o:hralign="center" o:hrstd="t" o:hr="t" fillcolor="#a0a0a0" stroked="f"/>
        </w:pict>
      </w:r>
    </w:p>
    <w:p w:rsidR="000E42A8" w:rsidRDefault="000E42A8" w:rsidP="000E42A8">
      <w:pPr>
        <w:pStyle w:val="berschrift1"/>
      </w:pPr>
      <w:r>
        <w:t>3.3.42.394 Konsistenzreife und kritische Konflikte</w:t>
      </w:r>
    </w:p>
    <w:p w:rsidR="000E42A8" w:rsidRDefault="000E42A8" w:rsidP="000E42A8">
      <w:pPr>
        <w:pStyle w:val="StandardWeb"/>
      </w:pPr>
      <w:r>
        <w:lastRenderedPageBreak/>
        <w:t>Eine hohe Konsistenzreife verlangt insbesondere</w:t>
      </w:r>
    </w:p>
    <w:p w:rsidR="000E42A8" w:rsidRDefault="000E42A8" w:rsidP="000E42A8">
      <w:pPr>
        <w:pStyle w:val="StandardWeb"/>
      </w:pPr>
      <w:r>
        <w:t>[</w:t>
      </w:r>
      <w:r>
        <w:br/>
        <w:t>N_W^{\mathrm{crit}}</w:t>
      </w:r>
      <w:r>
        <w:br/>
        <w:t>\rightarrow</w:t>
      </w:r>
      <w:r>
        <w:br/>
        <w:t>0.</w:t>
      </w:r>
      <w:r>
        <w:br/>
        <w:t>\tag{3.8374}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N_W^{\mathrm{crit}}\rightarrow0</w:t>
      </w:r>
    </w:p>
    <w:p w:rsidR="000E42A8" w:rsidRDefault="00E50336" w:rsidP="000E42A8">
      <w:r>
        <w:pict>
          <v:rect id="_x0000_i2134" style="width:0;height:1.5pt" o:hralign="center" o:hrstd="t" o:hr="t" fillcolor="#a0a0a0" stroked="f"/>
        </w:pict>
      </w:r>
    </w:p>
    <w:p w:rsidR="000E42A8" w:rsidRDefault="000E42A8" w:rsidP="000E42A8">
      <w:pPr>
        <w:pStyle w:val="berschrift1"/>
      </w:pPr>
      <w:r>
        <w:t>3.3.42.395 Restkonflikte</w:t>
      </w:r>
    </w:p>
    <w:p w:rsidR="000E42A8" w:rsidRDefault="000E42A8" w:rsidP="000E42A8">
      <w:pPr>
        <w:pStyle w:val="StandardWeb"/>
      </w:pPr>
      <w:r>
        <w:t>Die Menge verbleibender nichtkritischer Konflikte sei</w:t>
      </w:r>
    </w:p>
    <w:p w:rsidR="000E42A8" w:rsidRDefault="000E42A8" w:rsidP="000E42A8">
      <w:pPr>
        <w:pStyle w:val="berschrift1"/>
      </w:pPr>
      <w:r>
        <w:t>[</w:t>
      </w:r>
      <w:r>
        <w:br/>
        <w:t>\mathcal W_{\mathrm{res}}</w:t>
      </w:r>
    </w:p>
    <w:p w:rsidR="000E42A8" w:rsidRDefault="000E42A8" w:rsidP="000E42A8">
      <w:pPr>
        <w:pStyle w:val="StandardWeb"/>
      </w:pPr>
      <w:r>
        <w:t>\mathcal W</w:t>
      </w:r>
      <w:r>
        <w:br/>
        <w:t>\setminus</w:t>
      </w:r>
      <w:r>
        <w:br/>
        <w:t>\mathcal W_{\mathrm{crit}}.</w:t>
      </w:r>
      <w:r>
        <w:br/>
        <w:t>\tag{3.8375}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W_{\mathrm{res}}=\mathcal W\setminus\mathcal W_{\mathrm{crit}}</w:t>
      </w:r>
    </w:p>
    <w:p w:rsidR="000E42A8" w:rsidRDefault="000E42A8" w:rsidP="000E42A8">
      <w:pPr>
        <w:pStyle w:val="StandardWeb"/>
      </w:pPr>
      <w:r>
        <w:t>Auch diese Konflikte müssen dokumentiert bleiben.</w:t>
      </w:r>
    </w:p>
    <w:p w:rsidR="000E42A8" w:rsidRDefault="00E50336" w:rsidP="000E42A8">
      <w:r>
        <w:pict>
          <v:rect id="_x0000_i2135" style="width:0;height:1.5pt" o:hralign="center" o:hrstd="t" o:hr="t" fillcolor="#a0a0a0" stroked="f"/>
        </w:pict>
      </w:r>
    </w:p>
    <w:p w:rsidR="000E42A8" w:rsidRDefault="000E42A8" w:rsidP="000E42A8">
      <w:pPr>
        <w:pStyle w:val="berschrift1"/>
      </w:pPr>
      <w:r>
        <w:t>3.3.42.396 Vollständige funktionale Widerspruchsfreiheit</w:t>
      </w:r>
    </w:p>
    <w:p w:rsidR="000E42A8" w:rsidRDefault="000E42A8" w:rsidP="000E42A8">
      <w:pPr>
        <w:pStyle w:val="berschrift3"/>
      </w:pPr>
      <w:r>
        <w:t>Definition 3.3.52 (Vollständige funktionale Widerspruchsfreiheit)</w:t>
      </w:r>
    </w:p>
    <w:p w:rsidR="000E42A8" w:rsidRDefault="000E42A8" w:rsidP="000E42A8">
      <w:pPr>
        <w:pStyle w:val="StandardWeb"/>
      </w:pPr>
      <w:r>
        <w:t>Eine Aussagenmenge (\mathcal A) heißt vollständig funktional widerspruchsfrei, wenn innerhalb aller zwingend gemeinsam geltenden Gültigkeitsbereiche</w:t>
      </w:r>
    </w:p>
    <w:p w:rsidR="000E42A8" w:rsidRDefault="000E42A8" w:rsidP="008C5E65">
      <w:pPr>
        <w:pStyle w:val="StandardWeb"/>
        <w:numPr>
          <w:ilvl w:val="0"/>
          <w:numId w:val="411"/>
        </w:numPr>
      </w:pPr>
      <w:r>
        <w:t>keine direkte Inkonsistenz,</w:t>
      </w:r>
    </w:p>
    <w:p w:rsidR="000E42A8" w:rsidRDefault="000E42A8" w:rsidP="008C5E65">
      <w:pPr>
        <w:pStyle w:val="StandardWeb"/>
        <w:numPr>
          <w:ilvl w:val="0"/>
          <w:numId w:val="411"/>
        </w:numPr>
      </w:pPr>
      <w:r>
        <w:t>keine indirekte Inkonsistenz,</w:t>
      </w:r>
    </w:p>
    <w:p w:rsidR="000E42A8" w:rsidRDefault="000E42A8" w:rsidP="008C5E65">
      <w:pPr>
        <w:pStyle w:val="StandardWeb"/>
        <w:numPr>
          <w:ilvl w:val="0"/>
          <w:numId w:val="411"/>
        </w:numPr>
      </w:pPr>
      <w:r>
        <w:t>kein nicht aufgelöster Definitionskonflikt,</w:t>
      </w:r>
    </w:p>
    <w:p w:rsidR="000E42A8" w:rsidRDefault="000E42A8" w:rsidP="008C5E65">
      <w:pPr>
        <w:pStyle w:val="StandardWeb"/>
        <w:numPr>
          <w:ilvl w:val="0"/>
          <w:numId w:val="411"/>
        </w:numPr>
      </w:pPr>
      <w:r>
        <w:t>kein nicht aufgelöster Gleichungskonflikt,</w:t>
      </w:r>
    </w:p>
    <w:p w:rsidR="000E42A8" w:rsidRDefault="000E42A8" w:rsidP="008C5E65">
      <w:pPr>
        <w:pStyle w:val="StandardWeb"/>
        <w:numPr>
          <w:ilvl w:val="0"/>
          <w:numId w:val="411"/>
        </w:numPr>
      </w:pPr>
      <w:r>
        <w:t>kein nicht aufgelöster Modellkonflikt,</w:t>
      </w:r>
    </w:p>
    <w:p w:rsidR="000E42A8" w:rsidRDefault="000E42A8" w:rsidP="008C5E65">
      <w:pPr>
        <w:pStyle w:val="StandardWeb"/>
        <w:numPr>
          <w:ilvl w:val="0"/>
          <w:numId w:val="411"/>
        </w:numPr>
      </w:pPr>
      <w:r>
        <w:lastRenderedPageBreak/>
        <w:t>kein nicht aufgelöster Schnittstellenkonflikt,</w:t>
      </w:r>
    </w:p>
    <w:p w:rsidR="000E42A8" w:rsidRDefault="000E42A8" w:rsidP="008C5E65">
      <w:pPr>
        <w:pStyle w:val="StandardWeb"/>
        <w:numPr>
          <w:ilvl w:val="0"/>
          <w:numId w:val="411"/>
        </w:numPr>
      </w:pPr>
      <w:r>
        <w:t>kein nicht aufgelöster Revisionskonflikt</w:t>
      </w:r>
    </w:p>
    <w:p w:rsidR="000E42A8" w:rsidRDefault="000E42A8" w:rsidP="000E42A8">
      <w:pPr>
        <w:pStyle w:val="StandardWeb"/>
      </w:pPr>
      <w:r>
        <w:t>besteht.</w:t>
      </w:r>
    </w:p>
    <w:p w:rsidR="000E42A8" w:rsidRDefault="000E42A8" w:rsidP="000E42A8">
      <w:pPr>
        <w:pStyle w:val="StandardWeb"/>
      </w:pPr>
      <w:r>
        <w:t>Formal schreibe ich</w:t>
      </w:r>
    </w:p>
    <w:p w:rsidR="000E42A8" w:rsidRDefault="000E42A8" w:rsidP="000E42A8">
      <w:pPr>
        <w:pStyle w:val="StandardWeb"/>
      </w:pPr>
      <w:r>
        <w:t>[</w:t>
      </w:r>
      <w:r>
        <w:br/>
        <w:t>\operatorname{Cons}_F^{+}(\mathcal A)=1.</w:t>
      </w:r>
      <w:r>
        <w:br/>
        <w:t>\tag{3.8376}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\operatorname{Cons}_F^{+}(\mathcal A)=1</w:t>
      </w:r>
    </w:p>
    <w:p w:rsidR="000E42A8" w:rsidRDefault="00E50336" w:rsidP="000E42A8">
      <w:r>
        <w:pict>
          <v:rect id="_x0000_i2136" style="width:0;height:1.5pt" o:hralign="center" o:hrstd="t" o:hr="t" fillcolor="#a0a0a0" stroked="f"/>
        </w:pict>
      </w:r>
    </w:p>
    <w:p w:rsidR="000E42A8" w:rsidRDefault="000E42A8" w:rsidP="000E42A8">
      <w:pPr>
        <w:pStyle w:val="berschrift1"/>
      </w:pPr>
      <w:r>
        <w:t>3.3.42.397 Starke Konsistenzbedingung</w:t>
      </w:r>
    </w:p>
    <w:p w:rsidR="000E42A8" w:rsidRDefault="000E42A8" w:rsidP="000E42A8">
      <w:pPr>
        <w:pStyle w:val="StandardWeb"/>
      </w:pPr>
      <w:r>
        <w:t>Eine kompakte starke Form lautet</w:t>
      </w:r>
    </w:p>
    <w:p w:rsidR="000E42A8" w:rsidRDefault="000E42A8" w:rsidP="000E42A8">
      <w:pPr>
        <w:pStyle w:val="berschrift1"/>
      </w:pPr>
      <w:r>
        <w:t>[</w:t>
      </w:r>
      <w:r>
        <w:br/>
        <w:t>\operatorname{Cons}_F^{+}</w:t>
      </w:r>
    </w:p>
    <w:p w:rsidR="000E42A8" w:rsidRDefault="000E42A8" w:rsidP="000E42A8">
      <w:pPr>
        <w:pStyle w:val="StandardWeb"/>
      </w:pPr>
      <w:r>
        <w:t>\bigwedge_{k\in I_K^{\mathrm{must}}}</w:t>
      </w:r>
      <w:r>
        <w:br/>
        <w:t>C_k.</w:t>
      </w:r>
      <w:r>
        <w:br/>
        <w:t>\tag{3.8377}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\operatorname{Cons}_F^{+}=\bigwedge_{k\in I_K^{\mathrm{must}}}C_k</w:t>
      </w:r>
    </w:p>
    <w:p w:rsidR="000E42A8" w:rsidRDefault="00E50336" w:rsidP="000E42A8">
      <w:r>
        <w:pict>
          <v:rect id="_x0000_i2137" style="width:0;height:1.5pt" o:hralign="center" o:hrstd="t" o:hr="t" fillcolor="#a0a0a0" stroked="f"/>
        </w:pict>
      </w:r>
    </w:p>
    <w:p w:rsidR="000E42A8" w:rsidRDefault="000E42A8" w:rsidP="000E42A8">
      <w:pPr>
        <w:pStyle w:val="berschrift1"/>
      </w:pPr>
      <w:r>
        <w:t>3.3.42.398 Erweiterte Konsistenzbedingung mit Prüfvollständigkeit</w:t>
      </w:r>
    </w:p>
    <w:p w:rsidR="000E42A8" w:rsidRDefault="000E42A8" w:rsidP="000E42A8">
      <w:pPr>
        <w:pStyle w:val="StandardWeb"/>
      </w:pPr>
      <w:r>
        <w:t>Zusätzlich verlange ich</w:t>
      </w:r>
    </w:p>
    <w:p w:rsidR="000E42A8" w:rsidRDefault="000E42A8" w:rsidP="000E42A8">
      <w:pPr>
        <w:pStyle w:val="StandardWeb"/>
      </w:pPr>
      <w:r>
        <w:t>[</w:t>
      </w:r>
      <w:r>
        <w:br/>
        <w:t>C_K^{\mathrm{cov}}=1.</w:t>
      </w:r>
      <w:r>
        <w:br/>
        <w:t>\tag{3.8378}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C_K^{\mathrm{cov}}=1</w:t>
      </w:r>
    </w:p>
    <w:p w:rsidR="000E42A8" w:rsidRDefault="000E42A8" w:rsidP="000E42A8">
      <w:pPr>
        <w:pStyle w:val="StandardWeb"/>
      </w:pPr>
      <w:r>
        <w:lastRenderedPageBreak/>
        <w:t>Dann gilt</w:t>
      </w:r>
    </w:p>
    <w:p w:rsidR="000E42A8" w:rsidRDefault="000E42A8" w:rsidP="000E42A8">
      <w:pPr>
        <w:pStyle w:val="StandardWeb"/>
      </w:pPr>
      <w:r>
        <w:t>[</w:t>
      </w:r>
      <w:r>
        <w:br/>
        <w:t>G_K=\mathbf{pass}.</w:t>
      </w:r>
      <w:r>
        <w:br/>
        <w:t>\tag{3.8379}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G_K=\mathbf{pass}</w:t>
      </w:r>
    </w:p>
    <w:p w:rsidR="000E42A8" w:rsidRDefault="00E50336" w:rsidP="000E42A8">
      <w:r>
        <w:pict>
          <v:rect id="_x0000_i2138" style="width:0;height:1.5pt" o:hralign="center" o:hrstd="t" o:hr="t" fillcolor="#a0a0a0" stroked="f"/>
        </w:pict>
      </w:r>
    </w:p>
    <w:p w:rsidR="000E42A8" w:rsidRDefault="000E42A8" w:rsidP="000E42A8">
      <w:pPr>
        <w:pStyle w:val="berschrift1"/>
      </w:pPr>
      <w:r>
        <w:t>3.3.42.399 Kein Pass bei unentscheidbaren Pflichtrelationen</w:t>
      </w:r>
    </w:p>
    <w:p w:rsidR="000E42A8" w:rsidRDefault="000E42A8" w:rsidP="000E42A8">
      <w:pPr>
        <w:pStyle w:val="StandardWeb"/>
      </w:pPr>
      <w:r>
        <w:t>Falls</w:t>
      </w:r>
    </w:p>
    <w:p w:rsidR="000E42A8" w:rsidRDefault="000E42A8" w:rsidP="000E42A8">
      <w:pPr>
        <w:pStyle w:val="StandardWeb"/>
      </w:pPr>
      <w:r>
        <w:t>[</w:t>
      </w:r>
      <w:r>
        <w:br/>
        <w:t>\exists k\in I_K^{\mathrm{must}}</w:t>
      </w:r>
      <w:r>
        <w:br/>
        <w:t>:</w:t>
      </w:r>
      <w:r>
        <w:br/>
        <w:t>C_k=\mathbf U,</w:t>
      </w:r>
      <w:r>
        <w:br/>
        <w:t>\tag{3.8380}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\exists k\in I_K^{\mathrm{must}}:C_k=\mathbf U</w:t>
      </w:r>
    </w:p>
    <w:p w:rsidR="000E42A8" w:rsidRDefault="000E42A8" w:rsidP="000E42A8">
      <w:pPr>
        <w:pStyle w:val="StandardWeb"/>
      </w:pPr>
      <w:r>
        <w:t>darf nicht</w:t>
      </w:r>
    </w:p>
    <w:p w:rsidR="000E42A8" w:rsidRDefault="000E42A8" w:rsidP="000E42A8">
      <w:pPr>
        <w:pStyle w:val="StandardWeb"/>
      </w:pPr>
      <w:r>
        <w:t>[</w:t>
      </w:r>
      <w:r>
        <w:br/>
        <w:t>G_K=\mathbf{pass}</w:t>
      </w:r>
      <w:r>
        <w:br/>
        <w:t>\tag{3.8381}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G_K=\mathbf{pass}</w:t>
      </w:r>
    </w:p>
    <w:p w:rsidR="000E42A8" w:rsidRDefault="000E42A8" w:rsidP="000E42A8">
      <w:pPr>
        <w:pStyle w:val="StandardWeb"/>
      </w:pPr>
      <w:r>
        <w:t>gesetzt werden.</w:t>
      </w:r>
    </w:p>
    <w:p w:rsidR="000E42A8" w:rsidRDefault="00E50336" w:rsidP="000E42A8">
      <w:r>
        <w:pict>
          <v:rect id="_x0000_i2139" style="width:0;height:1.5pt" o:hralign="center" o:hrstd="t" o:hr="t" fillcolor="#a0a0a0" stroked="f"/>
        </w:pict>
      </w:r>
    </w:p>
    <w:p w:rsidR="000E42A8" w:rsidRDefault="000E42A8" w:rsidP="000E42A8">
      <w:pPr>
        <w:pStyle w:val="berschrift1"/>
      </w:pPr>
      <w:r>
        <w:t>3.3.42.400 Starke Konsistenzsignatur</w:t>
      </w:r>
    </w:p>
    <w:p w:rsidR="000E42A8" w:rsidRDefault="000E42A8" w:rsidP="000E42A8">
      <w:pPr>
        <w:pStyle w:val="StandardWeb"/>
      </w:pPr>
      <w:r>
        <w:t>Ich definiere abschließend die starke Konsistenzsignatur</w:t>
      </w:r>
    </w:p>
    <w:p w:rsidR="000E42A8" w:rsidRDefault="000E42A8" w:rsidP="000E42A8">
      <w:pPr>
        <w:pStyle w:val="berschrift1"/>
      </w:pPr>
      <w:r>
        <w:lastRenderedPageBreak/>
        <w:t>[</w:t>
      </w:r>
      <w:r>
        <w:br/>
        <w:t>\Sigma_K^{\ast}</w:t>
      </w:r>
    </w:p>
    <w:p w:rsidR="000E42A8" w:rsidRDefault="000E42A8" w:rsidP="000E42A8">
      <w:pPr>
        <w:pStyle w:val="StandardWeb"/>
      </w:pPr>
      <w:r>
        <w:t>\left(</w:t>
      </w:r>
      <w:r>
        <w:br/>
        <w:t>\Sigma_K^{+},</w:t>
      </w:r>
      <w:r>
        <w:br/>
        <w:t>\Sigma_T^{K},</w:t>
      </w:r>
      <w:r>
        <w:br/>
        <w:t>K_{\mathrm{meta}},</w:t>
      </w:r>
      <w:r>
        <w:br/>
        <w:t>C_K^{\mathrm{cov}},</w:t>
      </w:r>
      <w:r>
        <w:br/>
        <w:t>N_W^{\mathrm{crit}},</w:t>
      </w:r>
      <w:r>
        <w:br/>
        <w:t>\mathcal W_{\mathrm{res}},</w:t>
      </w:r>
      <w:r>
        <w:br/>
        <w:t>G_K</w:t>
      </w:r>
      <w:r>
        <w:br/>
        <w:t>\right).</w:t>
      </w:r>
      <w:r>
        <w:br/>
        <w:t>\tag{3.8382}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\Sigma_K^{\ast}=\left(\Sigma_K^{+},\Sigma_T^{K},K_{\mathrm{meta}},C_K^{\mathrm{cov}},N_W^{\mathrm{crit}},\mathcal W_{\mathrm{res}},G_K\right)</w:t>
      </w:r>
    </w:p>
    <w:p w:rsidR="000E42A8" w:rsidRDefault="00E50336" w:rsidP="000E42A8">
      <w:r>
        <w:pict>
          <v:rect id="_x0000_i2140" style="width:0;height:1.5pt" o:hralign="center" o:hrstd="t" o:hr="t" fillcolor="#a0a0a0" stroked="f"/>
        </w:pict>
      </w:r>
    </w:p>
    <w:p w:rsidR="000E42A8" w:rsidRDefault="000E42A8" w:rsidP="000E42A8">
      <w:pPr>
        <w:pStyle w:val="berschrift1"/>
      </w:pPr>
      <w:r>
        <w:t>3.3.42.401 Konsistenzprofil einer Theorie</w:t>
      </w:r>
    </w:p>
    <w:p w:rsidR="000E42A8" w:rsidRDefault="000E42A8" w:rsidP="000E42A8">
      <w:pPr>
        <w:pStyle w:val="StandardWeb"/>
      </w:pPr>
      <w:r>
        <w:t>Für eine Theorie (\mathcal T) schreibe ich</w:t>
      </w:r>
    </w:p>
    <w:p w:rsidR="000E42A8" w:rsidRDefault="000E42A8" w:rsidP="000E42A8">
      <w:pPr>
        <w:pStyle w:val="berschrift1"/>
      </w:pPr>
      <w:r>
        <w:t>[</w:t>
      </w:r>
      <w:r>
        <w:br/>
        <w:t>\mathcal P_K(\mathcal T)</w:t>
      </w:r>
    </w:p>
    <w:p w:rsidR="000E42A8" w:rsidRDefault="000E42A8" w:rsidP="000E42A8">
      <w:pPr>
        <w:pStyle w:val="StandardWeb"/>
      </w:pPr>
      <w:r>
        <w:t>\left[</w:t>
      </w:r>
      <w:r>
        <w:br/>
        <w:t>R_K,</w:t>
      </w:r>
      <w:r>
        <w:br/>
        <w:t>R_W,</w:t>
      </w:r>
      <w:r>
        <w:br/>
        <w:t>R_U,</w:t>
      </w:r>
      <w:r>
        <w:br/>
        <w:t>M_K,</w:t>
      </w:r>
      <w:r>
        <w:br/>
        <w:t>C_K^{\mathrm{cov}},</w:t>
      </w:r>
      <w:r>
        <w:br/>
        <w:t>N_W^{\mathrm{crit}},</w:t>
      </w:r>
      <w:r>
        <w:br/>
        <w:t>N_W^{\mathrm{open}},</w:t>
      </w:r>
      <w:r>
        <w:br/>
        <w:t>G_K</w:t>
      </w:r>
      <w:r>
        <w:br/>
        <w:t>\right].</w:t>
      </w:r>
      <w:r>
        <w:br/>
        <w:t>\tag{3.8383}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P_K(\mathcal T)=\left[R_K,R_W,R_U,M_K,C_K^{\mathrm{cov}},N_W^{\mathrm{crit}},N_W^{\mathrm{open}},G_K\right]</w:t>
      </w:r>
    </w:p>
    <w:p w:rsidR="000E42A8" w:rsidRDefault="000E42A8" w:rsidP="000E42A8">
      <w:pPr>
        <w:pStyle w:val="StandardWeb"/>
      </w:pPr>
      <w:r>
        <w:lastRenderedPageBreak/>
        <w:t>Damit bleibt sichtbar, warum eine Theorie als konsistent, offen oder konfliktbehaftet eingestuft wird.</w:t>
      </w:r>
    </w:p>
    <w:p w:rsidR="000E42A8" w:rsidRDefault="00E50336" w:rsidP="000E42A8">
      <w:r>
        <w:pict>
          <v:rect id="_x0000_i2141" style="width:0;height:1.5pt" o:hralign="center" o:hrstd="t" o:hr="t" fillcolor="#a0a0a0" stroked="f"/>
        </w:pict>
      </w:r>
    </w:p>
    <w:p w:rsidR="000E42A8" w:rsidRDefault="000E42A8" w:rsidP="000E42A8">
      <w:pPr>
        <w:pStyle w:val="berschrift1"/>
      </w:pPr>
      <w:r>
        <w:t>3.3.42.402 Konsistenz ist kein Wahrheitsprädikat</w:t>
      </w:r>
    </w:p>
    <w:p w:rsidR="000E42A8" w:rsidRDefault="000E42A8" w:rsidP="000E42A8">
      <w:pPr>
        <w:pStyle w:val="StandardWeb"/>
      </w:pPr>
      <w:r>
        <w:t>Ich halte nochmals ausdrücklich fest:</w:t>
      </w:r>
    </w:p>
    <w:p w:rsidR="000E42A8" w:rsidRDefault="000E42A8" w:rsidP="000E42A8">
      <w:pPr>
        <w:pStyle w:val="StandardWeb"/>
      </w:pPr>
      <w:r>
        <w:t>[</w:t>
      </w:r>
      <w:r>
        <w:br/>
        <w:t>\operatorname{Cons}_F^{+}(\mathcal T)=1</w:t>
      </w:r>
      <w:r>
        <w:br/>
        <w:t>\nRightarrow</w:t>
      </w:r>
      <w:r>
        <w:br/>
        <w:t>\operatorname{Wahr}(\mathcal T)=1.</w:t>
      </w:r>
      <w:r>
        <w:br/>
        <w:t>\tag{3.8384}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\operatorname{Cons}_F^{+}(\mathcal T)=1\nRightarrow\operatorname{Wahr}(\mathcal T)=1</w:t>
      </w:r>
    </w:p>
    <w:p w:rsidR="000E42A8" w:rsidRDefault="000E42A8" w:rsidP="000E42A8">
      <w:pPr>
        <w:pStyle w:val="StandardWeb"/>
      </w:pPr>
      <w:r>
        <w:t>Eine konsistente Theorie kann empirisch falsch sein.</w:t>
      </w:r>
    </w:p>
    <w:p w:rsidR="000E42A8" w:rsidRDefault="00E50336" w:rsidP="000E42A8">
      <w:r>
        <w:pict>
          <v:rect id="_x0000_i2142" style="width:0;height:1.5pt" o:hralign="center" o:hrstd="t" o:hr="t" fillcolor="#a0a0a0" stroked="f"/>
        </w:pict>
      </w:r>
    </w:p>
    <w:p w:rsidR="000E42A8" w:rsidRDefault="000E42A8" w:rsidP="000E42A8">
      <w:pPr>
        <w:pStyle w:val="berschrift1"/>
      </w:pPr>
      <w:r>
        <w:t>3.3.42.403 Wahrheit ist kein Konsistenzersatz</w:t>
      </w:r>
    </w:p>
    <w:p w:rsidR="000E42A8" w:rsidRDefault="000E42A8" w:rsidP="000E42A8">
      <w:pPr>
        <w:pStyle w:val="StandardWeb"/>
      </w:pPr>
      <w:r>
        <w:t>Ebenso gilt methodisch</w:t>
      </w:r>
    </w:p>
    <w:p w:rsidR="000E42A8" w:rsidRDefault="000E42A8" w:rsidP="000E42A8">
      <w:pPr>
        <w:pStyle w:val="StandardWeb"/>
      </w:pPr>
      <w:r>
        <w:t>[</w:t>
      </w:r>
      <w:r>
        <w:br/>
        <w:t>\operatorname{Wahr}(A_i)=1</w:t>
      </w:r>
      <w:r>
        <w:br/>
        <w:t>\land</w:t>
      </w:r>
      <w:r>
        <w:br/>
        <w:t>\operatorname{Wahr}(A_j)=1</w:t>
      </w:r>
      <w:r>
        <w:br/>
        <w:t>]</w:t>
      </w:r>
    </w:p>
    <w:p w:rsidR="000E42A8" w:rsidRDefault="000E42A8" w:rsidP="000E42A8">
      <w:pPr>
        <w:pStyle w:val="StandardWeb"/>
      </w:pPr>
      <w:r>
        <w:t>nur dann als widerspruchsfrei interpretierbar, wenn beide Aussagen tatsächlich denselben funktionalen Bezug besitzen.</w:t>
      </w:r>
    </w:p>
    <w:p w:rsidR="000E42A8" w:rsidRDefault="000E42A8" w:rsidP="000E42A8">
      <w:pPr>
        <w:pStyle w:val="StandardWeb"/>
      </w:pPr>
      <w:r>
        <w:t>Die Konsistenzprüfung bleibt deshalb eine eigenständige wissenschaftliche Aufgabe.</w:t>
      </w:r>
    </w:p>
    <w:p w:rsidR="000E42A8" w:rsidRDefault="00E50336" w:rsidP="000E42A8">
      <w:r>
        <w:pict>
          <v:rect id="_x0000_i2143" style="width:0;height:1.5pt" o:hralign="center" o:hrstd="t" o:hr="t" fillcolor="#a0a0a0" stroked="f"/>
        </w:pict>
      </w:r>
    </w:p>
    <w:p w:rsidR="000E42A8" w:rsidRDefault="000E42A8" w:rsidP="000E42A8">
      <w:pPr>
        <w:pStyle w:val="berschrift1"/>
      </w:pPr>
      <w:r>
        <w:t>3.3.42.404 Konsistenz und Falsifikation</w:t>
      </w:r>
    </w:p>
    <w:p w:rsidR="000E42A8" w:rsidRDefault="000E42A8" w:rsidP="000E42A8">
      <w:pPr>
        <w:pStyle w:val="StandardWeb"/>
      </w:pPr>
      <w:r>
        <w:t>Ein nachgewiesener Konflikt</w:t>
      </w:r>
    </w:p>
    <w:p w:rsidR="000E42A8" w:rsidRDefault="000E42A8" w:rsidP="000E42A8">
      <w:pPr>
        <w:pStyle w:val="StandardWeb"/>
      </w:pPr>
      <w:r>
        <w:t>[</w:t>
      </w:r>
      <w:r>
        <w:br/>
        <w:t>K_F(A_i,A_j)=0</w:t>
      </w:r>
      <w:r>
        <w:br/>
        <w:t>\tag{3.8385}</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K_F(A_i,A_j)=0</w:t>
      </w:r>
    </w:p>
    <w:p w:rsidR="000E42A8" w:rsidRDefault="000E42A8" w:rsidP="000E42A8">
      <w:pPr>
        <w:pStyle w:val="StandardWeb"/>
      </w:pPr>
      <w:r>
        <w:t>zeigt, dass mindestens die gemeinsame Verwendung beider Aussagen unter den geprüften Voraussetzungen nicht zulässig ist.</w:t>
      </w:r>
    </w:p>
    <w:p w:rsidR="000E42A8" w:rsidRDefault="000E42A8" w:rsidP="000E42A8">
      <w:pPr>
        <w:pStyle w:val="StandardWeb"/>
      </w:pPr>
      <w:r>
        <w:t>Er beweist jedoch nicht allein, welche der beiden Aussagen verworfen werden muss.</w:t>
      </w:r>
    </w:p>
    <w:p w:rsidR="000E42A8" w:rsidRDefault="00E50336" w:rsidP="000E42A8">
      <w:r>
        <w:pict>
          <v:rect id="_x0000_i2144" style="width:0;height:1.5pt" o:hralign="center" o:hrstd="t" o:hr="t" fillcolor="#a0a0a0" stroked="f"/>
        </w:pict>
      </w:r>
    </w:p>
    <w:p w:rsidR="000E42A8" w:rsidRDefault="000E42A8" w:rsidP="000E42A8">
      <w:pPr>
        <w:pStyle w:val="berschrift1"/>
      </w:pPr>
      <w:r>
        <w:t>3.3.42.405 Konflikttrilemma</w:t>
      </w:r>
    </w:p>
    <w:p w:rsidR="000E42A8" w:rsidRDefault="000E42A8" w:rsidP="000E42A8">
      <w:pPr>
        <w:pStyle w:val="StandardWeb"/>
      </w:pPr>
      <w:r>
        <w:t>Für einen nicht aufgelösten Konflikt zwischen (A_i) und (A_j) bestehen mindestens drei grundlegende Möglichkeiten:</w:t>
      </w:r>
    </w:p>
    <w:p w:rsidR="000E42A8" w:rsidRDefault="000E42A8" w:rsidP="000E42A8">
      <w:pPr>
        <w:pStyle w:val="berschrift1"/>
      </w:pPr>
      <w:r>
        <w:t>[</w:t>
      </w:r>
      <w:r>
        <w:br/>
        <w:t>\mathcal D_W</w:t>
      </w:r>
    </w:p>
    <w:p w:rsidR="000E42A8" w:rsidRDefault="000E42A8" w:rsidP="000E42A8">
      <w:pPr>
        <w:pStyle w:val="StandardWeb"/>
      </w:pPr>
      <w:r>
        <w:t>\left{</w:t>
      </w:r>
      <w:r>
        <w:br/>
        <w:t>A_i\ revidieren,</w:t>
      </w:r>
      <w:r>
        <w:br/>
        <w:t>A_j\ revidieren,</w:t>
      </w:r>
      <w:r>
        <w:br/>
        <w:t>Voraussetzungen\ revidieren</w:t>
      </w:r>
      <w:r>
        <w:br/>
        <w:t>\right}.</w:t>
      </w:r>
      <w:r>
        <w:br/>
        <w:t>\tag{3.8386}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D_W=\left\{A_i\ revidieren,A_j\ revidieren,Voraussetzungen\ revidieren\right\}</w:t>
      </w:r>
    </w:p>
    <w:p w:rsidR="000E42A8" w:rsidRDefault="00E50336" w:rsidP="000E42A8">
      <w:r>
        <w:pict>
          <v:rect id="_x0000_i2145" style="width:0;height:1.5pt" o:hralign="center" o:hrstd="t" o:hr="t" fillcolor="#a0a0a0" stroked="f"/>
        </w:pict>
      </w:r>
    </w:p>
    <w:p w:rsidR="000E42A8" w:rsidRDefault="000E42A8" w:rsidP="000E42A8">
      <w:pPr>
        <w:pStyle w:val="berschrift1"/>
      </w:pPr>
      <w:r>
        <w:t>3.3.42.406 Konfliktquartett</w:t>
      </w:r>
    </w:p>
    <w:p w:rsidR="000E42A8" w:rsidRDefault="000E42A8" w:rsidP="000E42A8">
      <w:pPr>
        <w:pStyle w:val="StandardWeb"/>
      </w:pPr>
      <w:r>
        <w:t>Zusätzlich kann eine vierte Möglichkeit bestehen:</w:t>
      </w:r>
    </w:p>
    <w:p w:rsidR="000E42A8" w:rsidRDefault="000E42A8" w:rsidP="000E42A8">
      <w:pPr>
        <w:pStyle w:val="StandardWeb"/>
      </w:pPr>
      <w:r>
        <w:t>[</w:t>
      </w:r>
      <w:r>
        <w:br/>
        <w:t>\text{Konflikt offen lassen}.</w:t>
      </w:r>
      <w:r>
        <w:br/>
        <w:t>\tag{3.8387}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\text{Konflikt offen lassen}</w:t>
      </w:r>
    </w:p>
    <w:p w:rsidR="000E42A8" w:rsidRDefault="000E42A8" w:rsidP="000E42A8">
      <w:pPr>
        <w:pStyle w:val="StandardWeb"/>
      </w:pPr>
      <w:r>
        <w:t>Diese Möglichkeit ist wissenschaftlich legitim, wenn die Evidenz keine begründete Entscheidung erlaubt.</w:t>
      </w:r>
    </w:p>
    <w:p w:rsidR="000E42A8" w:rsidRDefault="00E50336" w:rsidP="000E42A8">
      <w:r>
        <w:lastRenderedPageBreak/>
        <w:pict>
          <v:rect id="_x0000_i2146" style="width:0;height:1.5pt" o:hralign="center" o:hrstd="t" o:hr="t" fillcolor="#a0a0a0" stroked="f"/>
        </w:pict>
      </w:r>
    </w:p>
    <w:p w:rsidR="000E42A8" w:rsidRDefault="000E42A8" w:rsidP="000E42A8">
      <w:pPr>
        <w:pStyle w:val="berschrift1"/>
      </w:pPr>
      <w:r>
        <w:t>3.3.42.407 Wissenschaftliche Offenheit</w:t>
      </w:r>
    </w:p>
    <w:p w:rsidR="000E42A8" w:rsidRDefault="000E42A8" w:rsidP="000E42A8">
      <w:pPr>
        <w:pStyle w:val="StandardWeb"/>
      </w:pPr>
      <w:r>
        <w:t>Ich definiere</w:t>
      </w:r>
    </w:p>
    <w:p w:rsidR="000E42A8" w:rsidRDefault="000E42A8" w:rsidP="000E42A8">
      <w:pPr>
        <w:pStyle w:val="StandardWeb"/>
      </w:pPr>
      <w:r>
        <w:t>[</w:t>
      </w:r>
      <w:r>
        <w:br/>
        <w:t>O_W=1</w:t>
      </w:r>
      <w:r>
        <w:br/>
        <w:t>\tag{3.8388}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O_W=1</w:t>
      </w:r>
    </w:p>
    <w:p w:rsidR="000E42A8" w:rsidRDefault="000E42A8" w:rsidP="000E42A8">
      <w:pPr>
        <w:pStyle w:val="StandardWeb"/>
      </w:pPr>
      <w:r>
        <w:t>wenn ein Konflikt bewusst als ungelöst dokumentiert wird, anstatt durch unbegründete Anpassung künstlich beseitigt zu werden.</w:t>
      </w:r>
    </w:p>
    <w:p w:rsidR="000E42A8" w:rsidRDefault="00E50336" w:rsidP="000E42A8">
      <w:r>
        <w:pict>
          <v:rect id="_x0000_i2147" style="width:0;height:1.5pt" o:hralign="center" o:hrstd="t" o:hr="t" fillcolor="#a0a0a0" stroked="f"/>
        </w:pict>
      </w:r>
    </w:p>
    <w:p w:rsidR="000E42A8" w:rsidRDefault="000E42A8" w:rsidP="000E42A8">
      <w:pPr>
        <w:pStyle w:val="berschrift1"/>
      </w:pPr>
      <w:r>
        <w:t>3.3.42.408 Offenheit ist keine Schwäche der Theorieprüfung</w:t>
      </w:r>
    </w:p>
    <w:p w:rsidR="000E42A8" w:rsidRDefault="000E42A8" w:rsidP="000E42A8">
      <w:pPr>
        <w:pStyle w:val="StandardWeb"/>
      </w:pPr>
      <w:r>
        <w:t>Es gilt</w:t>
      </w:r>
    </w:p>
    <w:p w:rsidR="000E42A8" w:rsidRDefault="000E42A8" w:rsidP="000E42A8">
      <w:pPr>
        <w:pStyle w:val="StandardWeb"/>
      </w:pPr>
      <w:r>
        <w:t>[</w:t>
      </w:r>
      <w:r>
        <w:br/>
        <w:t>O_W=1</w:t>
      </w:r>
      <w:r>
        <w:br/>
        <w:t>\nRightarrow</w:t>
      </w:r>
      <w:r>
        <w:br/>
        <w:t>\text{methodisches Versagen}.</w:t>
      </w:r>
      <w:r>
        <w:br/>
        <w:t>\tag{3.8389}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O_W=1\nRightarrow\text{methodisches Versagen}</w:t>
      </w:r>
    </w:p>
    <w:p w:rsidR="000E42A8" w:rsidRDefault="000E42A8" w:rsidP="000E42A8">
      <w:pPr>
        <w:pStyle w:val="StandardWeb"/>
      </w:pPr>
      <w:r>
        <w:t>Ein explizit dokumentierter ungelöster Konflikt ist wissenschaftlich transparenter als eine scheinbar widerspruchsfreie, aber ad hoc bereinigte Theorie.</w:t>
      </w:r>
    </w:p>
    <w:p w:rsidR="000E42A8" w:rsidRDefault="00E50336" w:rsidP="000E42A8">
      <w:r>
        <w:pict>
          <v:rect id="_x0000_i2148" style="width:0;height:1.5pt" o:hralign="center" o:hrstd="t" o:hr="t" fillcolor="#a0a0a0" stroked="f"/>
        </w:pict>
      </w:r>
    </w:p>
    <w:p w:rsidR="000E42A8" w:rsidRDefault="000E42A8" w:rsidP="000E42A8">
      <w:pPr>
        <w:pStyle w:val="berschrift1"/>
      </w:pPr>
      <w:r>
        <w:t>3.3.42.409 Konsistenztransparenz</w:t>
      </w:r>
    </w:p>
    <w:p w:rsidR="000E42A8" w:rsidRDefault="000E42A8" w:rsidP="000E42A8">
      <w:pPr>
        <w:pStyle w:val="StandardWeb"/>
      </w:pPr>
      <w:r>
        <w:t>Ich definiere einen Transparenzgrad</w:t>
      </w:r>
    </w:p>
    <w:p w:rsidR="000E42A8" w:rsidRDefault="000E42A8" w:rsidP="000E42A8">
      <w:pPr>
        <w:pStyle w:val="berschrift1"/>
      </w:pPr>
      <w:r>
        <w:t>[</w:t>
      </w:r>
      <w:r>
        <w:br/>
        <w:t>T_K</w:t>
      </w:r>
    </w:p>
    <w:p w:rsidR="000E42A8" w:rsidRDefault="000E42A8" w:rsidP="000E42A8">
      <w:pPr>
        <w:pStyle w:val="StandardWeb"/>
      </w:pPr>
      <w:r>
        <w:lastRenderedPageBreak/>
        <w:t>\frac{</w:t>
      </w:r>
      <w:r>
        <w:br/>
        <w:t>N_{\mathrm{documented}}</w:t>
      </w:r>
      <w:r>
        <w:br/>
        <w:t>}{</w:t>
      </w:r>
      <w:r>
        <w:br/>
        <w:t>N_{\mathrm{known}}</w:t>
      </w:r>
      <w:r>
        <w:br/>
        <w:t>}.</w:t>
      </w:r>
      <w:r>
        <w:br/>
        <w:t>\tag{3.8390}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T_K=\frac{N_{\mathrm{documented}}}{N_{\mathrm{known}}}</w:t>
      </w:r>
    </w:p>
    <w:p w:rsidR="000E42A8" w:rsidRDefault="000E42A8" w:rsidP="000E42A8">
      <w:pPr>
        <w:pStyle w:val="StandardWeb"/>
      </w:pPr>
      <w:r>
        <w:t>Für</w:t>
      </w:r>
    </w:p>
    <w:p w:rsidR="000E42A8" w:rsidRDefault="000E42A8" w:rsidP="000E42A8">
      <w:pPr>
        <w:pStyle w:val="StandardWeb"/>
      </w:pPr>
      <w:r>
        <w:t>[</w:t>
      </w:r>
      <w:r>
        <w:br/>
        <w:t>T_K=1</w:t>
      </w:r>
      <w:r>
        <w:br/>
        <w:t>\tag{3.8391}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T_K=1</w:t>
      </w:r>
    </w:p>
    <w:p w:rsidR="000E42A8" w:rsidRDefault="000E42A8" w:rsidP="000E42A8">
      <w:pPr>
        <w:pStyle w:val="StandardWeb"/>
      </w:pPr>
      <w:r>
        <w:t>sind sämtliche bekannten Konflikte dokumentiert.</w:t>
      </w:r>
    </w:p>
    <w:p w:rsidR="000E42A8" w:rsidRDefault="00E50336" w:rsidP="000E42A8">
      <w:r>
        <w:pict>
          <v:rect id="_x0000_i2149" style="width:0;height:1.5pt" o:hralign="center" o:hrstd="t" o:hr="t" fillcolor="#a0a0a0" stroked="f"/>
        </w:pict>
      </w:r>
    </w:p>
    <w:p w:rsidR="000E42A8" w:rsidRDefault="000E42A8" w:rsidP="000E42A8">
      <w:pPr>
        <w:pStyle w:val="berschrift1"/>
      </w:pPr>
      <w:r>
        <w:t>3.3.42.410 Konsistenztransparenz und Konsistenzgrad</w:t>
      </w:r>
    </w:p>
    <w:p w:rsidR="000E42A8" w:rsidRDefault="000E42A8" w:rsidP="000E42A8">
      <w:pPr>
        <w:pStyle w:val="StandardWeb"/>
      </w:pPr>
      <w:r>
        <w:t>Es gilt</w:t>
      </w:r>
    </w:p>
    <w:p w:rsidR="000E42A8" w:rsidRDefault="000E42A8" w:rsidP="000E42A8">
      <w:pPr>
        <w:pStyle w:val="StandardWeb"/>
      </w:pPr>
      <w:r>
        <w:t>[</w:t>
      </w:r>
      <w:r>
        <w:br/>
        <w:t>T_K=1</w:t>
      </w:r>
      <w:r>
        <w:br/>
        <w:t>\nRightarrow</w:t>
      </w:r>
      <w:r>
        <w:br/>
        <w:t>R_K=1.</w:t>
      </w:r>
      <w:r>
        <w:br/>
        <w:t>\tag{3.8392}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T_K=1\nRightarrow R_K=1</w:t>
      </w:r>
    </w:p>
    <w:p w:rsidR="000E42A8" w:rsidRDefault="000E42A8" w:rsidP="000E42A8">
      <w:pPr>
        <w:pStyle w:val="StandardWeb"/>
      </w:pPr>
      <w:r>
        <w:t>Eine Theorie kann vollständig transparent und dennoch konfliktbehaftet sein.</w:t>
      </w:r>
    </w:p>
    <w:p w:rsidR="000E42A8" w:rsidRDefault="00E50336" w:rsidP="000E42A8">
      <w:r>
        <w:pict>
          <v:rect id="_x0000_i2150" style="width:0;height:1.5pt" o:hralign="center" o:hrstd="t" o:hr="t" fillcolor="#a0a0a0" stroked="f"/>
        </w:pict>
      </w:r>
    </w:p>
    <w:p w:rsidR="000E42A8" w:rsidRDefault="000E42A8" w:rsidP="000E42A8">
      <w:pPr>
        <w:pStyle w:val="berschrift1"/>
      </w:pPr>
      <w:r>
        <w:t>3.3.42.411 Transparenter Konfliktstatus</w:t>
      </w:r>
    </w:p>
    <w:p w:rsidR="000E42A8" w:rsidRDefault="000E42A8" w:rsidP="000E42A8">
      <w:pPr>
        <w:pStyle w:val="StandardWeb"/>
      </w:pPr>
      <w:r>
        <w:t>Der wissenschaftliche Status einer Theorie sollte deshalb mindestens enthalten</w:t>
      </w:r>
    </w:p>
    <w:p w:rsidR="000E42A8" w:rsidRDefault="000E42A8" w:rsidP="000E42A8">
      <w:pPr>
        <w:pStyle w:val="berschrift1"/>
      </w:pPr>
      <w:r>
        <w:lastRenderedPageBreak/>
        <w:t>[</w:t>
      </w:r>
      <w:r>
        <w:br/>
        <w:t>\mathbf S_{\mathcal T}</w:t>
      </w:r>
    </w:p>
    <w:p w:rsidR="000E42A8" w:rsidRDefault="000E42A8" w:rsidP="000E42A8">
      <w:pPr>
        <w:pStyle w:val="StandardWeb"/>
      </w:pPr>
      <w:r>
        <w:t>\left(</w:t>
      </w:r>
      <w:r>
        <w:br/>
        <w:t>R_K,</w:t>
      </w:r>
      <w:r>
        <w:br/>
        <w:t>R_U,</w:t>
      </w:r>
      <w:r>
        <w:br/>
        <w:t>T_K,</w:t>
      </w:r>
      <w:r>
        <w:br/>
        <w:t>N_W^{\mathrm{crit}},</w:t>
      </w:r>
      <w:r>
        <w:br/>
        <w:t>G_K</w:t>
      </w:r>
      <w:r>
        <w:br/>
        <w:t>\right).</w:t>
      </w:r>
      <w:r>
        <w:br/>
        <w:t>\tag{3.8393}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\mathbf S_{\mathcal T}=\left(R_K,R_U,T_K,N_W^{\mathrm{crit}},G_K\right)</w:t>
      </w:r>
    </w:p>
    <w:p w:rsidR="000E42A8" w:rsidRDefault="00E50336" w:rsidP="000E42A8">
      <w:r>
        <w:pict>
          <v:rect id="_x0000_i2151" style="width:0;height:1.5pt" o:hralign="center" o:hrstd="t" o:hr="t" fillcolor="#a0a0a0" stroked="f"/>
        </w:pict>
      </w:r>
    </w:p>
    <w:p w:rsidR="000E42A8" w:rsidRDefault="000E42A8" w:rsidP="000E42A8">
      <w:pPr>
        <w:pStyle w:val="berschrift1"/>
      </w:pPr>
      <w:r>
        <w:t>3.3.42.412 Konsistenzvertrauen</w:t>
      </w:r>
    </w:p>
    <w:p w:rsidR="000E42A8" w:rsidRDefault="000E42A8" w:rsidP="000E42A8">
      <w:pPr>
        <w:pStyle w:val="StandardWeb"/>
      </w:pPr>
      <w:r>
        <w:t>Zusätzlich kann ein Vertrauensgrad in die Konsistenzbewertung definiert werden:</w:t>
      </w:r>
    </w:p>
    <w:p w:rsidR="000E42A8" w:rsidRDefault="000E42A8" w:rsidP="000E42A8">
      <w:pPr>
        <w:pStyle w:val="berschrift1"/>
      </w:pPr>
      <w:r>
        <w:t>[</w:t>
      </w:r>
      <w:r>
        <w:br/>
        <w:t>C_{\mathrm{conf}}</w:t>
      </w:r>
    </w:p>
    <w:p w:rsidR="000E42A8" w:rsidRDefault="000E42A8" w:rsidP="000E42A8">
      <w:pPr>
        <w:pStyle w:val="StandardWeb"/>
      </w:pPr>
      <w:r>
        <w:t>f</w:t>
      </w:r>
      <w:r>
        <w:br/>
        <w:t>\left(</w:t>
      </w:r>
      <w:r>
        <w:br/>
        <w:t>C_K^{\mathrm{cov}},</w:t>
      </w:r>
      <w:r>
        <w:br/>
        <w:t>T_K,</w:t>
      </w:r>
      <w:r>
        <w:br/>
        <w:t>R_U,</w:t>
      </w:r>
      <w:r>
        <w:br/>
        <w:t>R_{\mathrm{audit}}</w:t>
      </w:r>
      <w:r>
        <w:br/>
        <w:t>\right).</w:t>
      </w:r>
      <w:r>
        <w:br/>
        <w:t>\tag{3.8394}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C_{\mathrm{conf}}=f\left(C_K^{\mathrm{cov}},T_K,R_U,R_{\mathrm{audit}}\right)</w:t>
      </w:r>
    </w:p>
    <w:p w:rsidR="000E42A8" w:rsidRDefault="00E50336" w:rsidP="000E42A8">
      <w:r>
        <w:pict>
          <v:rect id="_x0000_i2152" style="width:0;height:1.5pt" o:hralign="center" o:hrstd="t" o:hr="t" fillcolor="#a0a0a0" stroked="f"/>
        </w:pict>
      </w:r>
    </w:p>
    <w:p w:rsidR="000E42A8" w:rsidRDefault="000E42A8" w:rsidP="000E42A8">
      <w:pPr>
        <w:pStyle w:val="berschrift1"/>
      </w:pPr>
      <w:r>
        <w:t>3.3.42.413 Hohes Konsistenzvertrauen</w:t>
      </w:r>
    </w:p>
    <w:p w:rsidR="000E42A8" w:rsidRDefault="000E42A8" w:rsidP="000E42A8">
      <w:pPr>
        <w:pStyle w:val="StandardWeb"/>
      </w:pPr>
      <w:r>
        <w:t>Ein hoher Vertrauenswert erfordert typischerweise</w:t>
      </w:r>
    </w:p>
    <w:p w:rsidR="000E42A8" w:rsidRDefault="000E42A8" w:rsidP="000E42A8">
      <w:pPr>
        <w:pStyle w:val="StandardWeb"/>
      </w:pPr>
      <w:r>
        <w:t>[</w:t>
      </w:r>
      <w:r>
        <w:br/>
        <w:t>C_K^{\mathrm{cov}}\rightarrow1,</w:t>
      </w:r>
      <w:r>
        <w:br/>
      </w:r>
      <w:r>
        <w:lastRenderedPageBreak/>
        <w:t>\tag{3.8395}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C_K^{\mathrm{cov}}\rightarrow1</w:t>
      </w:r>
    </w:p>
    <w:p w:rsidR="000E42A8" w:rsidRDefault="000E42A8" w:rsidP="000E42A8">
      <w:pPr>
        <w:pStyle w:val="StandardWeb"/>
      </w:pPr>
      <w:r>
        <w:t>[</w:t>
      </w:r>
      <w:r>
        <w:br/>
        <w:t>T_K\rightarrow1,</w:t>
      </w:r>
      <w:r>
        <w:br/>
        <w:t>\tag{3.8396}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T_K\rightarrow1</w:t>
      </w:r>
    </w:p>
    <w:p w:rsidR="000E42A8" w:rsidRDefault="000E42A8" w:rsidP="000E42A8">
      <w:pPr>
        <w:pStyle w:val="StandardWeb"/>
      </w:pPr>
      <w:r>
        <w:t>[</w:t>
      </w:r>
      <w:r>
        <w:br/>
        <w:t>R_U\rightarrow0</w:t>
      </w:r>
      <w:r>
        <w:br/>
        <w:t>\tag{3.8397}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R_U\rightarrow0</w:t>
      </w:r>
    </w:p>
    <w:p w:rsidR="000E42A8" w:rsidRDefault="000E42A8" w:rsidP="000E42A8">
      <w:pPr>
        <w:pStyle w:val="StandardWeb"/>
      </w:pPr>
      <w:r>
        <w:t>und</w:t>
      </w:r>
    </w:p>
    <w:p w:rsidR="000E42A8" w:rsidRDefault="000E42A8" w:rsidP="000E42A8">
      <w:pPr>
        <w:pStyle w:val="StandardWeb"/>
      </w:pPr>
      <w:r>
        <w:t>[</w:t>
      </w:r>
      <w:r>
        <w:br/>
        <w:t>R_{\mathrm{audit}}\rightarrow1.</w:t>
      </w:r>
      <w:r>
        <w:br/>
        <w:t>\tag{3.8398}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R_{\mathrm{audit}}\rightarrow1</w:t>
      </w:r>
    </w:p>
    <w:p w:rsidR="000E42A8" w:rsidRDefault="00E50336" w:rsidP="000E42A8">
      <w:r>
        <w:pict>
          <v:rect id="_x0000_i2153" style="width:0;height:1.5pt" o:hralign="center" o:hrstd="t" o:hr="t" fillcolor="#a0a0a0" stroked="f"/>
        </w:pict>
      </w:r>
    </w:p>
    <w:p w:rsidR="000E42A8" w:rsidRDefault="000E42A8" w:rsidP="000E42A8">
      <w:pPr>
        <w:pStyle w:val="berschrift1"/>
      </w:pPr>
      <w:r>
        <w:t>3.3.42.414 Vertrauen ist keine Wahrheit</w:t>
      </w:r>
    </w:p>
    <w:p w:rsidR="000E42A8" w:rsidRDefault="000E42A8" w:rsidP="000E42A8">
      <w:pPr>
        <w:pStyle w:val="StandardWeb"/>
      </w:pPr>
      <w:r>
        <w:t>Auch hier gilt</w:t>
      </w:r>
    </w:p>
    <w:p w:rsidR="000E42A8" w:rsidRDefault="000E42A8" w:rsidP="000E42A8">
      <w:pPr>
        <w:pStyle w:val="StandardWeb"/>
      </w:pPr>
      <w:r>
        <w:t>[</w:t>
      </w:r>
      <w:r>
        <w:br/>
        <w:t>C_{\mathrm{conf}}\approx1</w:t>
      </w:r>
      <w:r>
        <w:br/>
        <w:t>\nRightarrow</w:t>
      </w:r>
      <w:r>
        <w:br/>
        <w:t>\operatorname{Wahr}(\mathcal T)=1.</w:t>
      </w:r>
      <w:r>
        <w:br/>
        <w:t>\tag{3.8399}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C_{\mathrm{conf}}\approx1\nRightarrow\operatorname{Wahr}(\mathcal T)=1</w:t>
      </w:r>
    </w:p>
    <w:p w:rsidR="000E42A8" w:rsidRDefault="00E50336" w:rsidP="000E42A8">
      <w:r>
        <w:lastRenderedPageBreak/>
        <w:pict>
          <v:rect id="_x0000_i2154" style="width:0;height:1.5pt" o:hralign="center" o:hrstd="t" o:hr="t" fillcolor="#a0a0a0" stroked="f"/>
        </w:pict>
      </w:r>
    </w:p>
    <w:p w:rsidR="000E42A8" w:rsidRDefault="000E42A8" w:rsidP="000E42A8">
      <w:pPr>
        <w:pStyle w:val="berschrift1"/>
      </w:pPr>
      <w:r>
        <w:t>3.3.42.415 Meta-Stabilität der Konsistenzbewertung</w:t>
      </w:r>
    </w:p>
    <w:p w:rsidR="000E42A8" w:rsidRDefault="000E42A8" w:rsidP="000E42A8">
      <w:pPr>
        <w:pStyle w:val="StandardWeb"/>
      </w:pPr>
      <w:r>
        <w:t>Ich kombiniere nun Konsistenz und Stabilität der Konsistenzbewertung:</w:t>
      </w:r>
    </w:p>
    <w:p w:rsidR="000E42A8" w:rsidRDefault="000E42A8" w:rsidP="000E42A8">
      <w:pPr>
        <w:pStyle w:val="berschrift1"/>
      </w:pPr>
      <w:r>
        <w:t>[</w:t>
      </w:r>
      <w:r>
        <w:br/>
        <w:t>M_{KS}</w:t>
      </w:r>
    </w:p>
    <w:p w:rsidR="000E42A8" w:rsidRDefault="000E42A8" w:rsidP="000E42A8">
      <w:pPr>
        <w:pStyle w:val="StandardWeb"/>
      </w:pPr>
      <w:r>
        <w:t>\left(</w:t>
      </w:r>
      <w:r>
        <w:br/>
        <w:t>R_K,</w:t>
      </w:r>
      <w:r>
        <w:br/>
        <w:t>S_K,</w:t>
      </w:r>
      <w:r>
        <w:br/>
        <w:t>C_{\mathrm{conf}}</w:t>
      </w:r>
      <w:r>
        <w:br/>
        <w:t>\right).</w:t>
      </w:r>
      <w:r>
        <w:br/>
        <w:t>\tag{3.8400}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M_{KS}=\left(R_K,S_K,C_{\mathrm{conf}}\right)</w:t>
      </w:r>
    </w:p>
    <w:p w:rsidR="000E42A8" w:rsidRDefault="00E50336" w:rsidP="000E42A8">
      <w:r>
        <w:pict>
          <v:rect id="_x0000_i2155" style="width:0;height:1.5pt" o:hralign="center" o:hrstd="t" o:hr="t" fillcolor="#a0a0a0" stroked="f"/>
        </w:pict>
      </w:r>
    </w:p>
    <w:p w:rsidR="000E42A8" w:rsidRDefault="000E42A8" w:rsidP="000E42A8">
      <w:pPr>
        <w:pStyle w:val="berschrift1"/>
      </w:pPr>
      <w:r>
        <w:t>3.3.42.416 Stabile Inkonsistenz</w:t>
      </w:r>
    </w:p>
    <w:p w:rsidR="000E42A8" w:rsidRDefault="000E42A8" w:rsidP="000E42A8">
      <w:pPr>
        <w:pStyle w:val="StandardWeb"/>
      </w:pPr>
      <w:r>
        <w:t>Eine besonders wichtige Konstellation ist</w:t>
      </w:r>
    </w:p>
    <w:p w:rsidR="000E42A8" w:rsidRDefault="000E42A8" w:rsidP="000E42A8">
      <w:pPr>
        <w:pStyle w:val="StandardWeb"/>
      </w:pPr>
      <w:r>
        <w:t>[</w:t>
      </w:r>
      <w:r>
        <w:br/>
        <w:t>R_K\ll1</w:t>
      </w:r>
      <w:r>
        <w:br/>
        <w:t>\tag{3.8401}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R_K\ll1</w:t>
      </w:r>
    </w:p>
    <w:p w:rsidR="000E42A8" w:rsidRDefault="000E42A8" w:rsidP="000E42A8">
      <w:pPr>
        <w:pStyle w:val="StandardWeb"/>
      </w:pPr>
      <w:r>
        <w:t>bei</w:t>
      </w:r>
    </w:p>
    <w:p w:rsidR="000E42A8" w:rsidRDefault="000E42A8" w:rsidP="000E42A8">
      <w:pPr>
        <w:pStyle w:val="StandardWeb"/>
      </w:pPr>
      <w:r>
        <w:t>[</w:t>
      </w:r>
      <w:r>
        <w:br/>
        <w:t>S_K\approx1.</w:t>
      </w:r>
      <w:r>
        <w:br/>
        <w:t>\tag{3.8402}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S_K\approx1</w:t>
      </w:r>
    </w:p>
    <w:p w:rsidR="000E42A8" w:rsidRDefault="000E42A8" w:rsidP="000E42A8">
      <w:pPr>
        <w:pStyle w:val="StandardWeb"/>
      </w:pPr>
      <w:r>
        <w:t>Dann liegt ein stabil reproduzierbarer Konflikt vor.</w:t>
      </w:r>
    </w:p>
    <w:p w:rsidR="000E42A8" w:rsidRDefault="00E50336" w:rsidP="000E42A8">
      <w:r>
        <w:pict>
          <v:rect id="_x0000_i2156" style="width:0;height:1.5pt" o:hralign="center" o:hrstd="t" o:hr="t" fillcolor="#a0a0a0" stroked="f"/>
        </w:pict>
      </w:r>
    </w:p>
    <w:p w:rsidR="000E42A8" w:rsidRDefault="000E42A8" w:rsidP="000E42A8">
      <w:pPr>
        <w:pStyle w:val="berschrift1"/>
      </w:pPr>
      <w:r>
        <w:lastRenderedPageBreak/>
        <w:t>3.3.42.417 Instabile Inkonsistenz</w:t>
      </w:r>
    </w:p>
    <w:p w:rsidR="000E42A8" w:rsidRDefault="000E42A8" w:rsidP="000E42A8">
      <w:pPr>
        <w:pStyle w:val="StandardWeb"/>
      </w:pPr>
      <w:r>
        <w:t>Dagegen gilt bei</w:t>
      </w:r>
    </w:p>
    <w:p w:rsidR="000E42A8" w:rsidRDefault="000E42A8" w:rsidP="000E42A8">
      <w:pPr>
        <w:pStyle w:val="StandardWeb"/>
      </w:pPr>
      <w:r>
        <w:t>[</w:t>
      </w:r>
      <w:r>
        <w:br/>
        <w:t>R_K\ll1</w:t>
      </w:r>
      <w:r>
        <w:br/>
        <w:t>\tag{3.8403}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R_K\ll1</w:t>
      </w:r>
    </w:p>
    <w:p w:rsidR="000E42A8" w:rsidRDefault="000E42A8" w:rsidP="000E42A8">
      <w:pPr>
        <w:pStyle w:val="StandardWeb"/>
      </w:pPr>
      <w:r>
        <w:t>und</w:t>
      </w:r>
    </w:p>
    <w:p w:rsidR="000E42A8" w:rsidRDefault="000E42A8" w:rsidP="000E42A8">
      <w:pPr>
        <w:pStyle w:val="StandardWeb"/>
      </w:pPr>
      <w:r>
        <w:t>[</w:t>
      </w:r>
      <w:r>
        <w:br/>
        <w:t>S_K\ll1</w:t>
      </w:r>
      <w:r>
        <w:br/>
        <w:t>\tag{3.8404}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S_K\ll1</w:t>
      </w:r>
    </w:p>
    <w:p w:rsidR="000E42A8" w:rsidRDefault="000E42A8" w:rsidP="000E42A8">
      <w:pPr>
        <w:pStyle w:val="StandardWeb"/>
      </w:pPr>
      <w:r>
        <w:t>eine instabile Konfliktlage, die stark von Daten-, Parameter- oder Bewertungsbedingungen abhängt.</w:t>
      </w:r>
    </w:p>
    <w:p w:rsidR="000E42A8" w:rsidRDefault="00E50336" w:rsidP="000E42A8">
      <w:r>
        <w:pict>
          <v:rect id="_x0000_i2157" style="width:0;height:1.5pt" o:hralign="center" o:hrstd="t" o:hr="t" fillcolor="#a0a0a0" stroked="f"/>
        </w:pict>
      </w:r>
    </w:p>
    <w:p w:rsidR="000E42A8" w:rsidRDefault="000E42A8" w:rsidP="000E42A8">
      <w:pPr>
        <w:pStyle w:val="berschrift1"/>
      </w:pPr>
      <w:r>
        <w:t>3.3.42.418 Stabile Konsistenz</w:t>
      </w:r>
    </w:p>
    <w:p w:rsidR="000E42A8" w:rsidRDefault="000E42A8" w:rsidP="000E42A8">
      <w:pPr>
        <w:pStyle w:val="StandardWeb"/>
      </w:pPr>
      <w:r>
        <w:t>Der günstige Fall lautet</w:t>
      </w:r>
    </w:p>
    <w:p w:rsidR="000E42A8" w:rsidRDefault="000E42A8" w:rsidP="000E42A8">
      <w:pPr>
        <w:pStyle w:val="StandardWeb"/>
      </w:pPr>
      <w:r>
        <w:t>[</w:t>
      </w:r>
      <w:r>
        <w:br/>
        <w:t>R_K\approx1</w:t>
      </w:r>
      <w:r>
        <w:br/>
        <w:t>\tag{3.8405}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R_K\approx1</w:t>
      </w:r>
    </w:p>
    <w:p w:rsidR="000E42A8" w:rsidRDefault="000E42A8" w:rsidP="000E42A8">
      <w:pPr>
        <w:pStyle w:val="StandardWeb"/>
      </w:pPr>
      <w:r>
        <w:t>und</w:t>
      </w:r>
    </w:p>
    <w:p w:rsidR="000E42A8" w:rsidRDefault="000E42A8" w:rsidP="000E42A8">
      <w:pPr>
        <w:pStyle w:val="StandardWeb"/>
      </w:pPr>
      <w:r>
        <w:t>[</w:t>
      </w:r>
      <w:r>
        <w:br/>
        <w:t>S_K\approx1.</w:t>
      </w:r>
      <w:r>
        <w:br/>
        <w:t>\tag{3.8406}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S_K\approx1</w:t>
      </w:r>
    </w:p>
    <w:p w:rsidR="000E42A8" w:rsidRDefault="00E50336" w:rsidP="000E42A8">
      <w:r>
        <w:pict>
          <v:rect id="_x0000_i2158" style="width:0;height:1.5pt" o:hralign="center" o:hrstd="t" o:hr="t" fillcolor="#a0a0a0" stroked="f"/>
        </w:pict>
      </w:r>
    </w:p>
    <w:p w:rsidR="000E42A8" w:rsidRDefault="000E42A8" w:rsidP="000E42A8">
      <w:pPr>
        <w:pStyle w:val="berschrift1"/>
      </w:pPr>
      <w:r>
        <w:t>3.3.42.419 Fragile Konsistenz</w:t>
      </w:r>
    </w:p>
    <w:p w:rsidR="000E42A8" w:rsidRDefault="000E42A8" w:rsidP="000E42A8">
      <w:pPr>
        <w:pStyle w:val="StandardWeb"/>
      </w:pPr>
      <w:r>
        <w:t>Dagegen bezeichnet</w:t>
      </w:r>
    </w:p>
    <w:p w:rsidR="000E42A8" w:rsidRDefault="000E42A8" w:rsidP="000E42A8">
      <w:pPr>
        <w:pStyle w:val="StandardWeb"/>
      </w:pPr>
      <w:r>
        <w:t>[</w:t>
      </w:r>
      <w:r>
        <w:br/>
        <w:t>R_K\approx1</w:t>
      </w:r>
      <w:r>
        <w:br/>
        <w:t>\tag{3.8407}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R_K\approx1</w:t>
      </w:r>
    </w:p>
    <w:p w:rsidR="000E42A8" w:rsidRDefault="000E42A8" w:rsidP="000E42A8">
      <w:pPr>
        <w:pStyle w:val="StandardWeb"/>
      </w:pPr>
      <w:r>
        <w:t>bei</w:t>
      </w:r>
    </w:p>
    <w:p w:rsidR="000E42A8" w:rsidRDefault="000E42A8" w:rsidP="000E42A8">
      <w:pPr>
        <w:pStyle w:val="StandardWeb"/>
      </w:pPr>
      <w:r>
        <w:t>[</w:t>
      </w:r>
      <w:r>
        <w:br/>
        <w:t>S_K\ll1</w:t>
      </w:r>
      <w:r>
        <w:br/>
        <w:t>\tag{3.8408}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S_K\ll1</w:t>
      </w:r>
    </w:p>
    <w:p w:rsidR="000E42A8" w:rsidRDefault="000E42A8" w:rsidP="000E42A8">
      <w:pPr>
        <w:pStyle w:val="StandardWeb"/>
      </w:pPr>
      <w:r>
        <w:t>eine fragile Konsistenz.</w:t>
      </w:r>
    </w:p>
    <w:p w:rsidR="000E42A8" w:rsidRDefault="000E42A8" w:rsidP="000E42A8">
      <w:pPr>
        <w:pStyle w:val="StandardWeb"/>
      </w:pPr>
      <w:r>
        <w:t>Eine solche Theorie erscheint aktuell widerspruchsfrei, verliert diesen Status aber bereits bei kleinen Variationen.</w:t>
      </w:r>
    </w:p>
    <w:p w:rsidR="000E42A8" w:rsidRDefault="00E50336" w:rsidP="000E42A8">
      <w:r>
        <w:pict>
          <v:rect id="_x0000_i2159" style="width:0;height:1.5pt" o:hralign="center" o:hrstd="t" o:hr="t" fillcolor="#a0a0a0" stroked="f"/>
        </w:pict>
      </w:r>
    </w:p>
    <w:p w:rsidR="000E42A8" w:rsidRDefault="000E42A8" w:rsidP="000E42A8">
      <w:pPr>
        <w:pStyle w:val="berschrift1"/>
      </w:pPr>
      <w:r>
        <w:t>3.3.42.420 Konsistenz-Stabilitäts-Quadranten</w:t>
      </w:r>
    </w:p>
    <w:p w:rsidR="000E42A8" w:rsidRDefault="000E42A8" w:rsidP="000E42A8">
      <w:pPr>
        <w:pStyle w:val="StandardWeb"/>
      </w:pPr>
      <w:r>
        <w:t>Ich fasse die vier Fälle zusammen:</w:t>
      </w:r>
    </w:p>
    <w:p w:rsidR="000E42A8" w:rsidRDefault="000E42A8" w:rsidP="000E42A8">
      <w:pPr>
        <w:pStyle w:val="berschrift1"/>
      </w:pPr>
      <w:r>
        <w:t>[</w:t>
      </w:r>
      <w:r>
        <w:br/>
        <w:t>\mathcal Q_{KS}</w:t>
      </w:r>
    </w:p>
    <w:p w:rsidR="000E42A8" w:rsidRDefault="000E42A8" w:rsidP="000E42A8">
      <w:pPr>
        <w:pStyle w:val="StandardWeb"/>
      </w:pPr>
      <w:r>
        <w:t>\left{</w:t>
      </w:r>
      <w:r>
        <w:br/>
        <w:t>(K^{+},S^{+}),</w:t>
      </w:r>
      <w:r>
        <w:br/>
        <w:t>(K^{+},S^{-}),</w:t>
      </w:r>
      <w:r>
        <w:br/>
        <w:t>(K^{-},S^{+}),</w:t>
      </w:r>
      <w:r>
        <w:br/>
        <w:t>(K^{-},S^{-})</w:t>
      </w:r>
      <w:r>
        <w:br/>
        <w:t>\right}.</w:t>
      </w:r>
      <w:r>
        <w:br/>
        <w:t>\tag{3.8409}</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\mathcal Q_{KS}=\left\{(K^{+},S^{+}),(K^{+},S^{-}),(K^{-},S^{+}),(K^{-},S^{-})\right\}</w:t>
      </w:r>
    </w:p>
    <w:p w:rsidR="000E42A8" w:rsidRDefault="00E50336" w:rsidP="000E42A8">
      <w:r>
        <w:pict>
          <v:rect id="_x0000_i2160" style="width:0;height:1.5pt" o:hralign="center" o:hrstd="t" o:hr="t" fillcolor="#a0a0a0" stroked="f"/>
        </w:pict>
      </w:r>
    </w:p>
    <w:p w:rsidR="000E42A8" w:rsidRDefault="000E42A8" w:rsidP="000E42A8">
      <w:pPr>
        <w:pStyle w:val="berschrift1"/>
      </w:pPr>
      <w:r>
        <w:t>3.3.42.421 Konsistenz-Robustheit</w:t>
      </w:r>
    </w:p>
    <w:p w:rsidR="000E42A8" w:rsidRDefault="000E42A8" w:rsidP="000E42A8">
      <w:pPr>
        <w:pStyle w:val="StandardWeb"/>
      </w:pPr>
      <w:r>
        <w:t>Ich definiere</w:t>
      </w:r>
    </w:p>
    <w:p w:rsidR="000E42A8" w:rsidRDefault="000E42A8" w:rsidP="000E42A8">
      <w:pPr>
        <w:pStyle w:val="berschrift1"/>
      </w:pPr>
      <w:r>
        <w:t>[</w:t>
      </w:r>
      <w:r>
        <w:br/>
        <w:t>R_{KS}</w:t>
      </w:r>
    </w:p>
    <w:p w:rsidR="000E42A8" w:rsidRDefault="000E42A8" w:rsidP="000E42A8">
      <w:pPr>
        <w:pStyle w:val="StandardWeb"/>
      </w:pPr>
      <w:r>
        <w:t>R_K</w:t>
      </w:r>
      <w:r>
        <w:br/>
        <w:t>\cdot</w:t>
      </w:r>
      <w:r>
        <w:br/>
        <w:t>S_K.</w:t>
      </w:r>
      <w:r>
        <w:br/>
        <w:t>\tag{3.8410}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R_{KS}=R_K\cdot S_K</w:t>
      </w:r>
    </w:p>
    <w:p w:rsidR="000E42A8" w:rsidRDefault="000E42A8" w:rsidP="000E42A8">
      <w:pPr>
        <w:pStyle w:val="StandardWeb"/>
      </w:pPr>
      <w:r>
        <w:t>Diese einfache Produktform ist nur eine mögliche diagnostische Zusammenführung.</w:t>
      </w:r>
    </w:p>
    <w:p w:rsidR="000E42A8" w:rsidRDefault="00E50336" w:rsidP="000E42A8">
      <w:r>
        <w:pict>
          <v:rect id="_x0000_i2161" style="width:0;height:1.5pt" o:hralign="center" o:hrstd="t" o:hr="t" fillcolor="#a0a0a0" stroked="f"/>
        </w:pict>
      </w:r>
    </w:p>
    <w:p w:rsidR="000E42A8" w:rsidRDefault="000E42A8" w:rsidP="000E42A8">
      <w:pPr>
        <w:pStyle w:val="berschrift1"/>
      </w:pPr>
      <w:r>
        <w:t>3.3.42.422 Nichtkompensatorische Konsistenz-Robustheit</w:t>
      </w:r>
    </w:p>
    <w:p w:rsidR="000E42A8" w:rsidRDefault="000E42A8" w:rsidP="000E42A8">
      <w:pPr>
        <w:pStyle w:val="StandardWeb"/>
      </w:pPr>
      <w:r>
        <w:t>Konservativer ist</w:t>
      </w:r>
    </w:p>
    <w:p w:rsidR="000E42A8" w:rsidRDefault="000E42A8" w:rsidP="000E42A8">
      <w:pPr>
        <w:pStyle w:val="berschrift1"/>
      </w:pPr>
      <w:r>
        <w:t>[</w:t>
      </w:r>
      <w:r>
        <w:br/>
        <w:t>R_{KS}^{\min}</w:t>
      </w:r>
    </w:p>
    <w:p w:rsidR="000E42A8" w:rsidRDefault="000E42A8" w:rsidP="000E42A8">
      <w:pPr>
        <w:pStyle w:val="StandardWeb"/>
      </w:pPr>
      <w:r>
        <w:t>\min</w:t>
      </w:r>
      <w:r>
        <w:br/>
        <w:t>\left(</w:t>
      </w:r>
      <w:r>
        <w:br/>
        <w:t>R_K,</w:t>
      </w:r>
      <w:r>
        <w:br/>
        <w:t>S_K</w:t>
      </w:r>
      <w:r>
        <w:br/>
        <w:t>\right).</w:t>
      </w:r>
      <w:r>
        <w:br/>
        <w:t>\tag{3.8411}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R_{KS}^{\min}=\min\left(R_K,S_K\right)</w:t>
      </w:r>
    </w:p>
    <w:p w:rsidR="000E42A8" w:rsidRDefault="000E42A8" w:rsidP="000E42A8">
      <w:pPr>
        <w:pStyle w:val="StandardWeb"/>
      </w:pPr>
      <w:r>
        <w:lastRenderedPageBreak/>
        <w:t>Damit kann ein sehr hoher Wert einer Dimension einen sehr niedrigen Wert der anderen nicht verdecken.</w:t>
      </w:r>
    </w:p>
    <w:p w:rsidR="000E42A8" w:rsidRDefault="00E50336" w:rsidP="000E42A8">
      <w:r>
        <w:pict>
          <v:rect id="_x0000_i2162" style="width:0;height:1.5pt" o:hralign="center" o:hrstd="t" o:hr="t" fillcolor="#a0a0a0" stroked="f"/>
        </w:pict>
      </w:r>
    </w:p>
    <w:p w:rsidR="000E42A8" w:rsidRDefault="000E42A8" w:rsidP="000E42A8">
      <w:pPr>
        <w:pStyle w:val="berschrift1"/>
      </w:pPr>
      <w:r>
        <w:t>3.3.42.423 Konsistenz und Reproduzierbarkeit</w:t>
      </w:r>
    </w:p>
    <w:p w:rsidR="000E42A8" w:rsidRDefault="000E42A8" w:rsidP="000E42A8">
      <w:pPr>
        <w:pStyle w:val="StandardWeb"/>
      </w:pPr>
      <w:r>
        <w:t>Eine Konsistenzbewertung kann reproduzierbar sein:</w:t>
      </w:r>
    </w:p>
    <w:p w:rsidR="000E42A8" w:rsidRDefault="000E42A8" w:rsidP="000E42A8">
      <w:pPr>
        <w:pStyle w:val="StandardWeb"/>
      </w:pPr>
      <w:r>
        <w:t>[</w:t>
      </w:r>
      <w:r>
        <w:br/>
        <w:t>R_{\mathrm{rep}}^{K}\approx1.</w:t>
      </w:r>
      <w:r>
        <w:br/>
        <w:t>\tag{3.8412}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R_{\mathrm{rep}}^{K}\approx1</w:t>
      </w:r>
    </w:p>
    <w:p w:rsidR="000E42A8" w:rsidRDefault="000E42A8" w:rsidP="000E42A8">
      <w:pPr>
        <w:pStyle w:val="StandardWeb"/>
      </w:pPr>
      <w:r>
        <w:t>Dies sagt noch nichts darüber aus, ob das Ergebnis konsistent oder inkonsistent lautet.</w:t>
      </w:r>
    </w:p>
    <w:p w:rsidR="000E42A8" w:rsidRDefault="00E50336" w:rsidP="000E42A8">
      <w:r>
        <w:pict>
          <v:rect id="_x0000_i2163" style="width:0;height:1.5pt" o:hralign="center" o:hrstd="t" o:hr="t" fillcolor="#a0a0a0" stroked="f"/>
        </w:pict>
      </w:r>
    </w:p>
    <w:p w:rsidR="000E42A8" w:rsidRDefault="000E42A8" w:rsidP="000E42A8">
      <w:pPr>
        <w:pStyle w:val="berschrift1"/>
      </w:pPr>
      <w:r>
        <w:t>3.3.42.424 Reproduzierbare Inkonsistenz</w:t>
      </w:r>
    </w:p>
    <w:p w:rsidR="000E42A8" w:rsidRDefault="000E42A8" w:rsidP="000E42A8">
      <w:pPr>
        <w:pStyle w:val="StandardWeb"/>
      </w:pPr>
      <w:r>
        <w:t>Es kann gelten</w:t>
      </w:r>
    </w:p>
    <w:p w:rsidR="000E42A8" w:rsidRDefault="000E42A8" w:rsidP="000E42A8">
      <w:pPr>
        <w:pStyle w:val="StandardWeb"/>
      </w:pPr>
      <w:r>
        <w:t>[</w:t>
      </w:r>
      <w:r>
        <w:br/>
        <w:t>R_{\mathrm{rep}}^{K}\approx1</w:t>
      </w:r>
      <w:r>
        <w:br/>
        <w:t>\tag{3.8413}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R_{\mathrm{rep}}^{K}\approx1</w:t>
      </w:r>
    </w:p>
    <w:p w:rsidR="000E42A8" w:rsidRDefault="000E42A8" w:rsidP="000E42A8">
      <w:pPr>
        <w:pStyle w:val="StandardWeb"/>
      </w:pPr>
      <w:r>
        <w:t>und</w:t>
      </w:r>
    </w:p>
    <w:p w:rsidR="000E42A8" w:rsidRDefault="000E42A8" w:rsidP="000E42A8">
      <w:pPr>
        <w:pStyle w:val="StandardWeb"/>
      </w:pPr>
      <w:r>
        <w:t>[</w:t>
      </w:r>
      <w:r>
        <w:br/>
        <w:t>K_F=0.</w:t>
      </w:r>
      <w:r>
        <w:br/>
        <w:t>\tag{3.8414}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K_F=0</w:t>
      </w:r>
    </w:p>
    <w:p w:rsidR="000E42A8" w:rsidRDefault="000E42A8" w:rsidP="000E42A8">
      <w:pPr>
        <w:pStyle w:val="StandardWeb"/>
      </w:pPr>
      <w:r>
        <w:t>Ein stabil reproduzierter Widerspruch ist wissenschaftlich besonders relevant.</w:t>
      </w:r>
    </w:p>
    <w:p w:rsidR="000E42A8" w:rsidRDefault="00E50336" w:rsidP="000E42A8">
      <w:r>
        <w:pict>
          <v:rect id="_x0000_i2164" style="width:0;height:1.5pt" o:hralign="center" o:hrstd="t" o:hr="t" fillcolor="#a0a0a0" stroked="f"/>
        </w:pict>
      </w:r>
    </w:p>
    <w:p w:rsidR="000E42A8" w:rsidRDefault="000E42A8" w:rsidP="000E42A8">
      <w:pPr>
        <w:pStyle w:val="berschrift1"/>
      </w:pPr>
      <w:r>
        <w:t>3.3.42.425 Reproduzierbare Konsistenz</w:t>
      </w:r>
    </w:p>
    <w:p w:rsidR="000E42A8" w:rsidRDefault="000E42A8" w:rsidP="000E42A8">
      <w:pPr>
        <w:pStyle w:val="StandardWeb"/>
      </w:pPr>
      <w:r>
        <w:lastRenderedPageBreak/>
        <w:t>Analog gilt</w:t>
      </w:r>
    </w:p>
    <w:p w:rsidR="000E42A8" w:rsidRDefault="000E42A8" w:rsidP="000E42A8">
      <w:pPr>
        <w:pStyle w:val="StandardWeb"/>
      </w:pPr>
      <w:r>
        <w:t>[</w:t>
      </w:r>
      <w:r>
        <w:br/>
        <w:t>R_{\mathrm{rep}}^{K}\approx1</w:t>
      </w:r>
      <w:r>
        <w:br/>
        <w:t>\tag{3.8415}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R_{\mathrm{rep}}^{K}\approx1</w:t>
      </w:r>
    </w:p>
    <w:p w:rsidR="000E42A8" w:rsidRDefault="000E42A8" w:rsidP="000E42A8">
      <w:pPr>
        <w:pStyle w:val="StandardWeb"/>
      </w:pPr>
      <w:r>
        <w:t>bei</w:t>
      </w:r>
    </w:p>
    <w:p w:rsidR="000E42A8" w:rsidRDefault="000E42A8" w:rsidP="000E42A8">
      <w:pPr>
        <w:pStyle w:val="StandardWeb"/>
      </w:pPr>
      <w:r>
        <w:t>[</w:t>
      </w:r>
      <w:r>
        <w:br/>
        <w:t>K_F=1.</w:t>
      </w:r>
      <w:r>
        <w:br/>
        <w:t>\tag{3.8416}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K_F=1</w:t>
      </w:r>
    </w:p>
    <w:p w:rsidR="000E42A8" w:rsidRDefault="00E50336" w:rsidP="000E42A8">
      <w:r>
        <w:pict>
          <v:rect id="_x0000_i2165" style="width:0;height:1.5pt" o:hralign="center" o:hrstd="t" o:hr="t" fillcolor="#a0a0a0" stroked="f"/>
        </w:pict>
      </w:r>
    </w:p>
    <w:p w:rsidR="000E42A8" w:rsidRDefault="000E42A8" w:rsidP="000E42A8">
      <w:pPr>
        <w:pStyle w:val="berschrift1"/>
      </w:pPr>
      <w:r>
        <w:t>3.3.42.426 Konsistenz und Unsicherheit</w:t>
      </w:r>
    </w:p>
    <w:p w:rsidR="000E42A8" w:rsidRDefault="000E42A8" w:rsidP="000E42A8">
      <w:pPr>
        <w:pStyle w:val="StandardWeb"/>
      </w:pPr>
      <w:r>
        <w:t>Die Konsistenzbewertung selbst kann unsicher sein.</w:t>
      </w:r>
    </w:p>
    <w:p w:rsidR="000E42A8" w:rsidRDefault="000E42A8" w:rsidP="000E42A8">
      <w:pPr>
        <w:pStyle w:val="StandardWeb"/>
      </w:pPr>
      <w:r>
        <w:t>Ich definiere</w:t>
      </w:r>
    </w:p>
    <w:p w:rsidR="000E42A8" w:rsidRDefault="000E42A8" w:rsidP="000E42A8">
      <w:pPr>
        <w:pStyle w:val="berschrift1"/>
      </w:pPr>
      <w:r>
        <w:t>[</w:t>
      </w:r>
      <w:r>
        <w:br/>
        <w:t>U_K</w:t>
      </w:r>
    </w:p>
    <w:p w:rsidR="000E42A8" w:rsidRDefault="000E42A8" w:rsidP="000E42A8">
      <w:pPr>
        <w:pStyle w:val="StandardWeb"/>
      </w:pPr>
      <w:r>
        <w:t>U</w:t>
      </w:r>
      <w:r>
        <w:br/>
        <w:t>\left(</w:t>
      </w:r>
      <w:r>
        <w:br/>
        <w:t>K_F</w:t>
      </w:r>
      <w:r>
        <w:br/>
        <w:t>\right).</w:t>
      </w:r>
      <w:r>
        <w:br/>
        <w:t>\tag{3.8417}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U_K=U\left(K_F\right)</w:t>
      </w:r>
    </w:p>
    <w:p w:rsidR="000E42A8" w:rsidRDefault="00E50336" w:rsidP="000E42A8">
      <w:r>
        <w:pict>
          <v:rect id="_x0000_i2166" style="width:0;height:1.5pt" o:hralign="center" o:hrstd="t" o:hr="t" fillcolor="#a0a0a0" stroked="f"/>
        </w:pict>
      </w:r>
    </w:p>
    <w:p w:rsidR="000E42A8" w:rsidRDefault="000E42A8" w:rsidP="000E42A8">
      <w:pPr>
        <w:pStyle w:val="berschrift1"/>
      </w:pPr>
      <w:r>
        <w:t>3.3.42.427 Sichere Konsistenz</w:t>
      </w:r>
    </w:p>
    <w:p w:rsidR="000E42A8" w:rsidRDefault="000E42A8" w:rsidP="000E42A8">
      <w:pPr>
        <w:pStyle w:val="StandardWeb"/>
      </w:pPr>
      <w:r>
        <w:t>Eine sichere Konsistenzbewertung liegt näherungsweise vor bei</w:t>
      </w:r>
    </w:p>
    <w:p w:rsidR="000E42A8" w:rsidRDefault="000E42A8" w:rsidP="000E42A8">
      <w:pPr>
        <w:pStyle w:val="StandardWeb"/>
      </w:pPr>
      <w:r>
        <w:lastRenderedPageBreak/>
        <w:t>[</w:t>
      </w:r>
      <w:r>
        <w:br/>
        <w:t>K_F=1</w:t>
      </w:r>
      <w:r>
        <w:br/>
        <w:t>\tag{3.8418}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K_F=1</w:t>
      </w:r>
    </w:p>
    <w:p w:rsidR="000E42A8" w:rsidRDefault="000E42A8" w:rsidP="000E42A8">
      <w:pPr>
        <w:pStyle w:val="StandardWeb"/>
      </w:pPr>
      <w:r>
        <w:t>und</w:t>
      </w:r>
    </w:p>
    <w:p w:rsidR="000E42A8" w:rsidRDefault="000E42A8" w:rsidP="000E42A8">
      <w:pPr>
        <w:pStyle w:val="StandardWeb"/>
      </w:pPr>
      <w:r>
        <w:t>[</w:t>
      </w:r>
      <w:r>
        <w:br/>
        <w:t>U_K\ll1.</w:t>
      </w:r>
      <w:r>
        <w:br/>
        <w:t>\tag{3.8419}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U_K\ll1</w:t>
      </w:r>
    </w:p>
    <w:p w:rsidR="000E42A8" w:rsidRDefault="00E50336" w:rsidP="000E42A8">
      <w:r>
        <w:pict>
          <v:rect id="_x0000_i2167" style="width:0;height:1.5pt" o:hralign="center" o:hrstd="t" o:hr="t" fillcolor="#a0a0a0" stroked="f"/>
        </w:pict>
      </w:r>
    </w:p>
    <w:p w:rsidR="000E42A8" w:rsidRDefault="000E42A8" w:rsidP="000E42A8">
      <w:pPr>
        <w:pStyle w:val="berschrift1"/>
      </w:pPr>
      <w:r>
        <w:t>3.3.42.428 Unsichere Konsistenz</w:t>
      </w:r>
    </w:p>
    <w:p w:rsidR="000E42A8" w:rsidRDefault="000E42A8" w:rsidP="000E42A8">
      <w:pPr>
        <w:pStyle w:val="StandardWeb"/>
      </w:pPr>
      <w:r>
        <w:t>Dagegen bedeutet</w:t>
      </w:r>
    </w:p>
    <w:p w:rsidR="000E42A8" w:rsidRDefault="000E42A8" w:rsidP="000E42A8">
      <w:pPr>
        <w:pStyle w:val="StandardWeb"/>
      </w:pPr>
      <w:r>
        <w:t>[</w:t>
      </w:r>
      <w:r>
        <w:br/>
        <w:t>K_F=1</w:t>
      </w:r>
      <w:r>
        <w:br/>
        <w:t>\tag{3.8420}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K_F=1</w:t>
      </w:r>
    </w:p>
    <w:p w:rsidR="000E42A8" w:rsidRDefault="000E42A8" w:rsidP="000E42A8">
      <w:pPr>
        <w:pStyle w:val="StandardWeb"/>
      </w:pPr>
      <w:r>
        <w:t>bei</w:t>
      </w:r>
    </w:p>
    <w:p w:rsidR="000E42A8" w:rsidRDefault="000E42A8" w:rsidP="000E42A8">
      <w:pPr>
        <w:pStyle w:val="StandardWeb"/>
      </w:pPr>
      <w:r>
        <w:t>[</w:t>
      </w:r>
      <w:r>
        <w:br/>
        <w:t>U_K\approx1</w:t>
      </w:r>
      <w:r>
        <w:br/>
        <w:t>\tag{3.8421}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U_K\approx1</w:t>
      </w:r>
    </w:p>
    <w:p w:rsidR="000E42A8" w:rsidRDefault="000E42A8" w:rsidP="000E42A8">
      <w:pPr>
        <w:pStyle w:val="StandardWeb"/>
      </w:pPr>
      <w:r>
        <w:t>lediglich einen vorläufigen Konsistenzstatus mit hoher Unsicherheit.</w:t>
      </w:r>
    </w:p>
    <w:p w:rsidR="000E42A8" w:rsidRDefault="00E50336" w:rsidP="000E42A8">
      <w:r>
        <w:pict>
          <v:rect id="_x0000_i2168" style="width:0;height:1.5pt" o:hralign="center" o:hrstd="t" o:hr="t" fillcolor="#a0a0a0" stroked="f"/>
        </w:pict>
      </w:r>
    </w:p>
    <w:p w:rsidR="000E42A8" w:rsidRDefault="000E42A8" w:rsidP="000E42A8">
      <w:pPr>
        <w:pStyle w:val="berschrift1"/>
      </w:pPr>
      <w:r>
        <w:t>3.3.42.429 Unsicherer Konflikt</w:t>
      </w:r>
    </w:p>
    <w:p w:rsidR="000E42A8" w:rsidRDefault="000E42A8" w:rsidP="000E42A8">
      <w:pPr>
        <w:pStyle w:val="StandardWeb"/>
      </w:pPr>
      <w:r>
        <w:lastRenderedPageBreak/>
        <w:t>Analog kann</w:t>
      </w:r>
    </w:p>
    <w:p w:rsidR="000E42A8" w:rsidRDefault="000E42A8" w:rsidP="000E42A8">
      <w:pPr>
        <w:pStyle w:val="StandardWeb"/>
      </w:pPr>
      <w:r>
        <w:t>[</w:t>
      </w:r>
      <w:r>
        <w:br/>
        <w:t>K_F=0</w:t>
      </w:r>
      <w:r>
        <w:br/>
        <w:t>\tag{3.8422}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K_F=0</w:t>
      </w:r>
    </w:p>
    <w:p w:rsidR="000E42A8" w:rsidRDefault="000E42A8" w:rsidP="000E42A8">
      <w:pPr>
        <w:pStyle w:val="StandardWeb"/>
      </w:pPr>
      <w:r>
        <w:t>bei hoher Unsicherheit</w:t>
      </w:r>
    </w:p>
    <w:p w:rsidR="000E42A8" w:rsidRDefault="000E42A8" w:rsidP="000E42A8">
      <w:pPr>
        <w:pStyle w:val="StandardWeb"/>
      </w:pPr>
      <w:r>
        <w:t>[</w:t>
      </w:r>
      <w:r>
        <w:br/>
        <w:t>U_K\approx1</w:t>
      </w:r>
      <w:r>
        <w:br/>
        <w:t>\tag{3.8423}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U_K\approx1</w:t>
      </w:r>
    </w:p>
    <w:p w:rsidR="000E42A8" w:rsidRDefault="000E42A8" w:rsidP="000E42A8">
      <w:pPr>
        <w:pStyle w:val="StandardWeb"/>
      </w:pPr>
      <w:r>
        <w:t>nur einen schwach abgesicherten Konflikt anzeigen.</w:t>
      </w:r>
    </w:p>
    <w:p w:rsidR="000E42A8" w:rsidRDefault="00E50336" w:rsidP="000E42A8">
      <w:r>
        <w:pict>
          <v:rect id="_x0000_i2169" style="width:0;height:1.5pt" o:hralign="center" o:hrstd="t" o:hr="t" fillcolor="#a0a0a0" stroked="f"/>
        </w:pict>
      </w:r>
    </w:p>
    <w:p w:rsidR="000E42A8" w:rsidRDefault="000E42A8" w:rsidP="000E42A8">
      <w:pPr>
        <w:pStyle w:val="berschrift1"/>
      </w:pPr>
      <w:r>
        <w:t>3.3.42.430 Konsistenz-Unsicherheits-Profil</w:t>
      </w:r>
    </w:p>
    <w:p w:rsidR="000E42A8" w:rsidRDefault="000E42A8" w:rsidP="000E42A8">
      <w:pPr>
        <w:pStyle w:val="StandardWeb"/>
      </w:pPr>
      <w:r>
        <w:t>Ich definiere</w:t>
      </w:r>
    </w:p>
    <w:p w:rsidR="000E42A8" w:rsidRDefault="000E42A8" w:rsidP="000E42A8">
      <w:pPr>
        <w:pStyle w:val="berschrift1"/>
      </w:pPr>
      <w:r>
        <w:t>[</w:t>
      </w:r>
      <w:r>
        <w:br/>
        <w:t>\mathbf P_{KU}</w:t>
      </w:r>
    </w:p>
    <w:p w:rsidR="000E42A8" w:rsidRDefault="000E42A8" w:rsidP="000E42A8">
      <w:pPr>
        <w:pStyle w:val="StandardWeb"/>
      </w:pPr>
      <w:r>
        <w:t>\left(</w:t>
      </w:r>
      <w:r>
        <w:br/>
        <w:t>R_K,</w:t>
      </w:r>
      <w:r>
        <w:br/>
        <w:t>R_W,</w:t>
      </w:r>
      <w:r>
        <w:br/>
        <w:t>R_U,</w:t>
      </w:r>
      <w:r>
        <w:br/>
        <w:t>U_K</w:t>
      </w:r>
      <w:r>
        <w:br/>
        <w:t>\right).</w:t>
      </w:r>
      <w:r>
        <w:br/>
        <w:t>\tag{3.8424}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\mathbf P_{KU}=\left(R_K,R_W,R_U,U_K\right)</w:t>
      </w:r>
    </w:p>
    <w:p w:rsidR="000E42A8" w:rsidRDefault="00E50336" w:rsidP="000E42A8">
      <w:r>
        <w:pict>
          <v:rect id="_x0000_i2170" style="width:0;height:1.5pt" o:hralign="center" o:hrstd="t" o:hr="t" fillcolor="#a0a0a0" stroked="f"/>
        </w:pict>
      </w:r>
    </w:p>
    <w:p w:rsidR="000E42A8" w:rsidRDefault="000E42A8" w:rsidP="000E42A8">
      <w:pPr>
        <w:pStyle w:val="berschrift1"/>
      </w:pPr>
      <w:r>
        <w:t>3.3.42.431 Konsistenz unter Messfehler</w:t>
      </w:r>
    </w:p>
    <w:p w:rsidR="000E42A8" w:rsidRDefault="000E42A8" w:rsidP="000E42A8">
      <w:pPr>
        <w:pStyle w:val="StandardWeb"/>
      </w:pPr>
      <w:r>
        <w:lastRenderedPageBreak/>
        <w:t>Sei eine beobachtete Größe</w:t>
      </w:r>
    </w:p>
    <w:p w:rsidR="000E42A8" w:rsidRDefault="000E42A8" w:rsidP="000E42A8">
      <w:pPr>
        <w:pStyle w:val="berschrift1"/>
      </w:pPr>
      <w:r>
        <w:t>[</w:t>
      </w:r>
      <w:r>
        <w:br/>
        <w:t>x_{\mathrm{obs}}</w:t>
      </w:r>
    </w:p>
    <w:p w:rsidR="000E42A8" w:rsidRDefault="000E42A8" w:rsidP="000E42A8">
      <w:pPr>
        <w:pStyle w:val="StandardWeb"/>
      </w:pPr>
      <w:r>
        <w:t>x_{\mathrm{true}}</w:t>
      </w:r>
      <w:r>
        <w:br/>
        <w:t>+</w:t>
      </w:r>
      <w:r>
        <w:br/>
        <w:t>\varepsilon.</w:t>
      </w:r>
      <w:r>
        <w:br/>
        <w:t>\tag{3.8425}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x_{\mathrm{obs}}=x_{\mathrm{true}}+\varepsilon</w:t>
      </w:r>
    </w:p>
    <w:p w:rsidR="000E42A8" w:rsidRDefault="000E42A8" w:rsidP="000E42A8">
      <w:pPr>
        <w:pStyle w:val="StandardWeb"/>
      </w:pPr>
      <w:r>
        <w:t>Ein scheinbarer Konflikt kann ausschließlich durch (\varepsilon) entstehen.</w:t>
      </w:r>
    </w:p>
    <w:p w:rsidR="000E42A8" w:rsidRDefault="00E50336" w:rsidP="000E42A8">
      <w:r>
        <w:pict>
          <v:rect id="_x0000_i2171" style="width:0;height:1.5pt" o:hralign="center" o:hrstd="t" o:hr="t" fillcolor="#a0a0a0" stroked="f"/>
        </w:pict>
      </w:r>
    </w:p>
    <w:p w:rsidR="000E42A8" w:rsidRDefault="000E42A8" w:rsidP="000E42A8">
      <w:pPr>
        <w:pStyle w:val="berschrift1"/>
      </w:pPr>
      <w:r>
        <w:t>3.3.42.432 Fehlerkorrigierte Konsistenz</w:t>
      </w:r>
    </w:p>
    <w:p w:rsidR="000E42A8" w:rsidRDefault="000E42A8" w:rsidP="000E42A8">
      <w:pPr>
        <w:pStyle w:val="StandardWeb"/>
      </w:pPr>
      <w:r>
        <w:t>Ich definiere</w:t>
      </w:r>
    </w:p>
    <w:p w:rsidR="000E42A8" w:rsidRDefault="000E42A8" w:rsidP="000E42A8">
      <w:pPr>
        <w:pStyle w:val="berschrift1"/>
      </w:pPr>
      <w:r>
        <w:t>[</w:t>
      </w:r>
      <w:r>
        <w:br/>
        <w:t>K_F^{\mathrm{corr}}</w:t>
      </w:r>
    </w:p>
    <w:p w:rsidR="000E42A8" w:rsidRDefault="000E42A8" w:rsidP="000E42A8">
      <w:pPr>
        <w:pStyle w:val="StandardWeb"/>
      </w:pPr>
      <w:r>
        <w:t>K_F</w:t>
      </w:r>
      <w:r>
        <w:br/>
        <w:t>\left(</w:t>
      </w:r>
      <w:r>
        <w:br/>
        <w:t>A_i^{\mathrm{corr}},</w:t>
      </w:r>
      <w:r>
        <w:br/>
        <w:t>A_j^{\mathrm{corr}}</w:t>
      </w:r>
      <w:r>
        <w:br/>
        <w:t>\right).</w:t>
      </w:r>
      <w:r>
        <w:br/>
        <w:t>\tag{3.8426}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K_F^{\mathrm{corr}}=K_F\left(A_i^{\mathrm{corr}},A_j^{\mathrm{corr}}\right)</w:t>
      </w:r>
    </w:p>
    <w:p w:rsidR="000E42A8" w:rsidRDefault="00E50336" w:rsidP="000E42A8">
      <w:r>
        <w:pict>
          <v:rect id="_x0000_i2172" style="width:0;height:1.5pt" o:hralign="center" o:hrstd="t" o:hr="t" fillcolor="#a0a0a0" stroked="f"/>
        </w:pict>
      </w:r>
    </w:p>
    <w:p w:rsidR="000E42A8" w:rsidRDefault="000E42A8" w:rsidP="000E42A8">
      <w:pPr>
        <w:pStyle w:val="berschrift1"/>
      </w:pPr>
      <w:r>
        <w:t>3.3.42.433 Messfehlerinduzierter Konflikt</w:t>
      </w:r>
    </w:p>
    <w:p w:rsidR="000E42A8" w:rsidRDefault="000E42A8" w:rsidP="000E42A8">
      <w:pPr>
        <w:pStyle w:val="StandardWeb"/>
      </w:pPr>
      <w:r>
        <w:t>Ein Konflikt ist messfehlerinduziert, wenn</w:t>
      </w:r>
    </w:p>
    <w:p w:rsidR="000E42A8" w:rsidRDefault="000E42A8" w:rsidP="000E42A8">
      <w:pPr>
        <w:pStyle w:val="StandardWeb"/>
      </w:pPr>
      <w:r>
        <w:t>[</w:t>
      </w:r>
      <w:r>
        <w:br/>
        <w:t>K_F^{\mathrm{obs}}=0</w:t>
      </w:r>
      <w:r>
        <w:br/>
        <w:t>\tag{3.8427}</w:t>
      </w:r>
      <w:r>
        <w:br/>
        <w:t>]</w:t>
      </w:r>
    </w:p>
    <w:p w:rsidR="000E42A8" w:rsidRDefault="000E42A8" w:rsidP="000E42A8">
      <w:pPr>
        <w:pStyle w:val="StandardWeb"/>
      </w:pPr>
      <w:r>
        <w:rPr>
          <w:rStyle w:val="Fett"/>
        </w:rPr>
        <w:lastRenderedPageBreak/>
        <w:t>Word-LaTeX</w:t>
      </w:r>
    </w:p>
    <w:p w:rsidR="000E42A8" w:rsidRDefault="000E42A8" w:rsidP="000E42A8">
      <w:pPr>
        <w:pStyle w:val="HTMLVorformatiert"/>
        <w:rPr>
          <w:rStyle w:val="HTMLCode"/>
        </w:rPr>
      </w:pPr>
      <w:r>
        <w:rPr>
          <w:rStyle w:val="HTMLCode"/>
        </w:rPr>
        <w:t>K_F^{\mathrm{obs}}=0</w:t>
      </w:r>
    </w:p>
    <w:p w:rsidR="000E42A8" w:rsidRDefault="000E42A8" w:rsidP="000E42A8">
      <w:pPr>
        <w:pStyle w:val="StandardWeb"/>
      </w:pPr>
      <w:r>
        <w:t>aber</w:t>
      </w:r>
    </w:p>
    <w:p w:rsidR="000E42A8" w:rsidRDefault="000E42A8" w:rsidP="000E42A8">
      <w:pPr>
        <w:pStyle w:val="StandardWeb"/>
      </w:pPr>
      <w:r>
        <w:t>[</w:t>
      </w:r>
      <w:r>
        <w:br/>
        <w:t>K_F^{\mathrm{corr}}=1.</w:t>
      </w:r>
      <w:r>
        <w:br/>
        <w:t>\tag{3.8428}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K_F^{\mathrm{corr}}=1</w:t>
      </w:r>
    </w:p>
    <w:p w:rsidR="000E42A8" w:rsidRDefault="00E50336" w:rsidP="000E42A8">
      <w:r>
        <w:pict>
          <v:rect id="_x0000_i2173" style="width:0;height:1.5pt" o:hralign="center" o:hrstd="t" o:hr="t" fillcolor="#a0a0a0" stroked="f"/>
        </w:pict>
      </w:r>
    </w:p>
    <w:p w:rsidR="000E42A8" w:rsidRDefault="000E42A8" w:rsidP="000E42A8">
      <w:pPr>
        <w:pStyle w:val="berschrift1"/>
      </w:pPr>
      <w:r>
        <w:t>3.3.42.434 Konsistenz unter fehlenden Daten</w:t>
      </w:r>
    </w:p>
    <w:p w:rsidR="000E42A8" w:rsidRDefault="000E42A8" w:rsidP="000E42A8">
      <w:pPr>
        <w:pStyle w:val="StandardWeb"/>
      </w:pPr>
      <w:r>
        <w:t>Sei</w:t>
      </w:r>
    </w:p>
    <w:p w:rsidR="000E42A8" w:rsidRDefault="000E42A8" w:rsidP="000E42A8">
      <w:pPr>
        <w:pStyle w:val="StandardWeb"/>
      </w:pPr>
      <w:r>
        <w:t>[</w:t>
      </w:r>
      <w:r>
        <w:br/>
        <w:t>D_{\mathrm{obs}}</w:t>
      </w:r>
      <w:r>
        <w:br/>
        <w:t>\subset</w:t>
      </w:r>
      <w:r>
        <w:br/>
        <w:t>D_{\mathrm{full}}.</w:t>
      </w:r>
      <w:r>
        <w:br/>
        <w:t>\tag{3.8429}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D_{\mathrm{obs}}\subset D_{\mathrm{full}}</w:t>
      </w:r>
    </w:p>
    <w:p w:rsidR="000E42A8" w:rsidRDefault="000E42A8" w:rsidP="000E42A8">
      <w:pPr>
        <w:pStyle w:val="StandardWeb"/>
      </w:pPr>
      <w:r>
        <w:t>Eine Konsistenzbewertung kann dann unentscheidbar bleiben.</w:t>
      </w:r>
    </w:p>
    <w:p w:rsidR="000E42A8" w:rsidRDefault="00E50336" w:rsidP="000E42A8">
      <w:r>
        <w:pict>
          <v:rect id="_x0000_i2174" style="width:0;height:1.5pt" o:hralign="center" o:hrstd="t" o:hr="t" fillcolor="#a0a0a0" stroked="f"/>
        </w:pict>
      </w:r>
    </w:p>
    <w:p w:rsidR="000E42A8" w:rsidRDefault="000E42A8" w:rsidP="000E42A8">
      <w:pPr>
        <w:pStyle w:val="berschrift1"/>
      </w:pPr>
      <w:r>
        <w:t>3.3.42.435 Fehlende-Daten-Unentscheidbarkeit</w:t>
      </w:r>
    </w:p>
    <w:p w:rsidR="000E42A8" w:rsidRDefault="000E42A8" w:rsidP="000E42A8">
      <w:pPr>
        <w:pStyle w:val="StandardWeb"/>
      </w:pPr>
      <w:r>
        <w:t>Ich schreibe</w:t>
      </w:r>
    </w:p>
    <w:p w:rsidR="000E42A8" w:rsidRDefault="000E42A8" w:rsidP="000E42A8">
      <w:pPr>
        <w:pStyle w:val="berschrift1"/>
      </w:pPr>
      <w:r>
        <w:t>[</w:t>
      </w:r>
      <w:r>
        <w:br/>
        <w:t>K_F</w:t>
      </w:r>
    </w:p>
    <w:p w:rsidR="000E42A8" w:rsidRDefault="000E42A8" w:rsidP="000E42A8">
      <w:pPr>
        <w:pStyle w:val="StandardWeb"/>
      </w:pPr>
      <w:r>
        <w:t>\mathbf U_D</w:t>
      </w:r>
      <w:r>
        <w:br/>
        <w:t>\tag{3.8430}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K_F=\mathbf U_D</w:t>
      </w:r>
    </w:p>
    <w:p w:rsidR="000E42A8" w:rsidRDefault="000E42A8" w:rsidP="000E42A8">
      <w:pPr>
        <w:pStyle w:val="StandardWeb"/>
      </w:pPr>
      <w:r>
        <w:lastRenderedPageBreak/>
        <w:t>für eine ausschließlich datenbedingte Unentscheidbarkeit.</w:t>
      </w:r>
    </w:p>
    <w:p w:rsidR="000E42A8" w:rsidRDefault="00E50336" w:rsidP="000E42A8">
      <w:r>
        <w:pict>
          <v:rect id="_x0000_i2175" style="width:0;height:1.5pt" o:hralign="center" o:hrstd="t" o:hr="t" fillcolor="#a0a0a0" stroked="f"/>
        </w:pict>
      </w:r>
    </w:p>
    <w:p w:rsidR="000E42A8" w:rsidRDefault="000E42A8" w:rsidP="000E42A8">
      <w:pPr>
        <w:pStyle w:val="berschrift1"/>
      </w:pPr>
      <w:r>
        <w:t>3.3.42.436 Strukturelle Unentscheidbarkeit</w:t>
      </w:r>
    </w:p>
    <w:p w:rsidR="000E42A8" w:rsidRDefault="000E42A8" w:rsidP="000E42A8">
      <w:pPr>
        <w:pStyle w:val="StandardWeb"/>
      </w:pPr>
      <w:r>
        <w:t>Daneben kann</w:t>
      </w:r>
    </w:p>
    <w:p w:rsidR="000E42A8" w:rsidRDefault="000E42A8" w:rsidP="000E42A8">
      <w:pPr>
        <w:pStyle w:val="berschrift1"/>
      </w:pPr>
      <w:r>
        <w:t>[</w:t>
      </w:r>
      <w:r>
        <w:br/>
        <w:t>K_F</w:t>
      </w:r>
    </w:p>
    <w:p w:rsidR="000E42A8" w:rsidRDefault="000E42A8" w:rsidP="000E42A8">
      <w:pPr>
        <w:pStyle w:val="StandardWeb"/>
      </w:pPr>
      <w:r>
        <w:t>\mathbf U_S</w:t>
      </w:r>
      <w:r>
        <w:br/>
        <w:t>\tag{3.8431}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K_F=\mathbf U_S</w:t>
      </w:r>
    </w:p>
    <w:p w:rsidR="000E42A8" w:rsidRDefault="000E42A8" w:rsidP="000E42A8">
      <w:pPr>
        <w:pStyle w:val="StandardWeb"/>
      </w:pPr>
      <w:r>
        <w:t>gelten, wenn die Theorie selbst keine eindeutige Konsistenzentscheidung zulässt.</w:t>
      </w:r>
    </w:p>
    <w:p w:rsidR="000E42A8" w:rsidRDefault="00E50336" w:rsidP="000E42A8">
      <w:r>
        <w:pict>
          <v:rect id="_x0000_i2176" style="width:0;height:1.5pt" o:hralign="center" o:hrstd="t" o:hr="t" fillcolor="#a0a0a0" stroked="f"/>
        </w:pict>
      </w:r>
    </w:p>
    <w:p w:rsidR="000E42A8" w:rsidRDefault="000E42A8" w:rsidP="000E42A8">
      <w:pPr>
        <w:pStyle w:val="berschrift1"/>
      </w:pPr>
      <w:r>
        <w:t>3.3.42.437 Methodische Unentscheidbarkeit</w:t>
      </w:r>
    </w:p>
    <w:p w:rsidR="000E42A8" w:rsidRDefault="000E42A8" w:rsidP="000E42A8">
      <w:pPr>
        <w:pStyle w:val="StandardWeb"/>
      </w:pPr>
      <w:r>
        <w:t>Eine dritte Klasse ist</w:t>
      </w:r>
    </w:p>
    <w:p w:rsidR="000E42A8" w:rsidRDefault="000E42A8" w:rsidP="000E42A8">
      <w:pPr>
        <w:pStyle w:val="berschrift1"/>
      </w:pPr>
      <w:r>
        <w:t>[</w:t>
      </w:r>
      <w:r>
        <w:br/>
        <w:t>K_F</w:t>
      </w:r>
    </w:p>
    <w:p w:rsidR="000E42A8" w:rsidRDefault="000E42A8" w:rsidP="000E42A8">
      <w:pPr>
        <w:pStyle w:val="StandardWeb"/>
      </w:pPr>
      <w:r>
        <w:t>\mathbf U_M,</w:t>
      </w:r>
      <w:r>
        <w:br/>
        <w:t>\tag{3.8432}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K_F=\mathbf U_M</w:t>
      </w:r>
    </w:p>
    <w:p w:rsidR="000E42A8" w:rsidRDefault="000E42A8" w:rsidP="000E42A8">
      <w:pPr>
        <w:pStyle w:val="StandardWeb"/>
      </w:pPr>
      <w:r>
        <w:t>wenn die verfügbaren Bewertungsmethoden keine eindeutige Entscheidung liefern.</w:t>
      </w:r>
    </w:p>
    <w:p w:rsidR="000E42A8" w:rsidRDefault="00E50336" w:rsidP="000E42A8">
      <w:r>
        <w:pict>
          <v:rect id="_x0000_i2177" style="width:0;height:1.5pt" o:hralign="center" o:hrstd="t" o:hr="t" fillcolor="#a0a0a0" stroked="f"/>
        </w:pict>
      </w:r>
    </w:p>
    <w:p w:rsidR="000E42A8" w:rsidRDefault="000E42A8" w:rsidP="000E42A8">
      <w:pPr>
        <w:pStyle w:val="berschrift1"/>
      </w:pPr>
      <w:r>
        <w:t>3.3.42.438 Unentscheidbarkeitssignatur</w:t>
      </w:r>
    </w:p>
    <w:p w:rsidR="000E42A8" w:rsidRDefault="000E42A8" w:rsidP="000E42A8">
      <w:pPr>
        <w:pStyle w:val="StandardWeb"/>
      </w:pPr>
      <w:r>
        <w:t>Ich definiere</w:t>
      </w:r>
    </w:p>
    <w:p w:rsidR="000E42A8" w:rsidRDefault="000E42A8" w:rsidP="000E42A8">
      <w:pPr>
        <w:pStyle w:val="berschrift1"/>
      </w:pPr>
      <w:r>
        <w:lastRenderedPageBreak/>
        <w:t>[</w:t>
      </w:r>
      <w:r>
        <w:br/>
        <w:t>\Sigma_U</w:t>
      </w:r>
    </w:p>
    <w:p w:rsidR="000E42A8" w:rsidRDefault="000E42A8" w:rsidP="000E42A8">
      <w:pPr>
        <w:pStyle w:val="StandardWeb"/>
      </w:pPr>
      <w:r>
        <w:t>\left(</w:t>
      </w:r>
      <w:r>
        <w:br/>
        <w:t>U_D,</w:t>
      </w:r>
      <w:r>
        <w:br/>
        <w:t>U_S,</w:t>
      </w:r>
      <w:r>
        <w:br/>
        <w:t>U_M,</w:t>
      </w:r>
      <w:r>
        <w:br/>
        <w:t>U_P,</w:t>
      </w:r>
      <w:r>
        <w:br/>
        <w:t>U_O</w:t>
      </w:r>
      <w:r>
        <w:br/>
        <w:t>\right).</w:t>
      </w:r>
      <w:r>
        <w:br/>
        <w:t>\tag{3.8433}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\Sigma_U=\left(U_D,U_S,U_M,U_P,U_O\right)</w:t>
      </w:r>
    </w:p>
    <w:p w:rsidR="000E42A8" w:rsidRDefault="000E42A8" w:rsidP="000E42A8">
      <w:pPr>
        <w:pStyle w:val="StandardWeb"/>
      </w:pPr>
      <w:r>
        <w:t>Damit kann die Ursache der Unentscheidbarkeit differenziert werden.</w:t>
      </w:r>
    </w:p>
    <w:p w:rsidR="000E42A8" w:rsidRDefault="00E50336" w:rsidP="000E42A8">
      <w:r>
        <w:pict>
          <v:rect id="_x0000_i2178" style="width:0;height:1.5pt" o:hralign="center" o:hrstd="t" o:hr="t" fillcolor="#a0a0a0" stroked="f"/>
        </w:pict>
      </w:r>
    </w:p>
    <w:p w:rsidR="000E42A8" w:rsidRDefault="000E42A8" w:rsidP="000E42A8">
      <w:pPr>
        <w:pStyle w:val="berschrift1"/>
      </w:pPr>
      <w:r>
        <w:t>3.3.42.439 Auflösbarkeit von Unentscheidbarkeit</w:t>
      </w:r>
    </w:p>
    <w:p w:rsidR="000E42A8" w:rsidRDefault="000E42A8" w:rsidP="000E42A8">
      <w:pPr>
        <w:pStyle w:val="StandardWeb"/>
      </w:pPr>
      <w:r>
        <w:t>Eine Unentscheidbarkeit kann in Revision (v) bestehen:</w:t>
      </w:r>
    </w:p>
    <w:p w:rsidR="000E42A8" w:rsidRDefault="000E42A8" w:rsidP="000E42A8">
      <w:pPr>
        <w:pStyle w:val="StandardWeb"/>
      </w:pPr>
      <w:r>
        <w:t>[</w:t>
      </w:r>
      <w:r>
        <w:br/>
        <w:t>U^{(v)}=1</w:t>
      </w:r>
      <w:r>
        <w:br/>
        <w:t>\tag{3.8434}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U^{(v)}=1</w:t>
      </w:r>
    </w:p>
    <w:p w:rsidR="000E42A8" w:rsidRDefault="000E42A8" w:rsidP="000E42A8">
      <w:pPr>
        <w:pStyle w:val="StandardWeb"/>
      </w:pPr>
      <w:r>
        <w:t>und in einer späteren Revision verschwinden:</w:t>
      </w:r>
    </w:p>
    <w:p w:rsidR="000E42A8" w:rsidRDefault="000E42A8" w:rsidP="000E42A8">
      <w:pPr>
        <w:pStyle w:val="StandardWeb"/>
      </w:pPr>
      <w:r>
        <w:t>[</w:t>
      </w:r>
      <w:r>
        <w:br/>
        <w:t>U^{(v+1)}=0.</w:t>
      </w:r>
      <w:r>
        <w:br/>
        <w:t>\tag{3.8435}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U^{(v+1)}=0</w:t>
      </w:r>
    </w:p>
    <w:p w:rsidR="000E42A8" w:rsidRDefault="00E50336" w:rsidP="000E42A8">
      <w:r>
        <w:pict>
          <v:rect id="_x0000_i2179" style="width:0;height:1.5pt" o:hralign="center" o:hrstd="t" o:hr="t" fillcolor="#a0a0a0" stroked="f"/>
        </w:pict>
      </w:r>
    </w:p>
    <w:p w:rsidR="000E42A8" w:rsidRDefault="000E42A8" w:rsidP="000E42A8">
      <w:pPr>
        <w:pStyle w:val="berschrift1"/>
      </w:pPr>
      <w:r>
        <w:t>3.3.42.440 Unentscheidbarkeit ist kein Konflikt</w:t>
      </w:r>
    </w:p>
    <w:p w:rsidR="000E42A8" w:rsidRDefault="000E42A8" w:rsidP="000E42A8">
      <w:pPr>
        <w:pStyle w:val="StandardWeb"/>
      </w:pPr>
      <w:r>
        <w:t>Ich halte fest:</w:t>
      </w:r>
    </w:p>
    <w:p w:rsidR="000E42A8" w:rsidRDefault="000E42A8" w:rsidP="000E42A8">
      <w:pPr>
        <w:pStyle w:val="StandardWeb"/>
      </w:pPr>
      <w:r>
        <w:lastRenderedPageBreak/>
        <w:t>[</w:t>
      </w:r>
      <w:r>
        <w:br/>
        <w:t>U=1</w:t>
      </w:r>
      <w:r>
        <w:br/>
        <w:t>\nRightarrow</w:t>
      </w:r>
      <w:r>
        <w:br/>
        <w:t>W=1.</w:t>
      </w:r>
      <w:r>
        <w:br/>
        <w:t>\tag{3.8436}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U=1\nRightarrow W=1</w:t>
      </w:r>
    </w:p>
    <w:p w:rsidR="000E42A8" w:rsidRDefault="000E42A8" w:rsidP="000E42A8">
      <w:pPr>
        <w:pStyle w:val="StandardWeb"/>
      </w:pPr>
      <w:r>
        <w:t>und ebenso</w:t>
      </w:r>
    </w:p>
    <w:p w:rsidR="000E42A8" w:rsidRDefault="000E42A8" w:rsidP="000E42A8">
      <w:pPr>
        <w:pStyle w:val="StandardWeb"/>
      </w:pPr>
      <w:r>
        <w:t>[</w:t>
      </w:r>
      <w:r>
        <w:br/>
        <w:t>U=1</w:t>
      </w:r>
      <w:r>
        <w:br/>
        <w:t>\nRightarrow</w:t>
      </w:r>
      <w:r>
        <w:br/>
        <w:t>K=1.</w:t>
      </w:r>
      <w:r>
        <w:br/>
        <w:t>\tag{3.8437}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U=1\nRightarrow K=1</w:t>
      </w:r>
    </w:p>
    <w:p w:rsidR="000E42A8" w:rsidRDefault="00E50336" w:rsidP="000E42A8">
      <w:r>
        <w:pict>
          <v:rect id="_x0000_i2180" style="width:0;height:1.5pt" o:hralign="center" o:hrstd="t" o:hr="t" fillcolor="#a0a0a0" stroked="f"/>
        </w:pict>
      </w:r>
    </w:p>
    <w:p w:rsidR="000E42A8" w:rsidRDefault="000E42A8" w:rsidP="000E42A8">
      <w:pPr>
        <w:pStyle w:val="berschrift1"/>
      </w:pPr>
      <w:r>
        <w:t>3.3.42.441 Finaler Konsistenzstatus einer Relation</w:t>
      </w:r>
    </w:p>
    <w:p w:rsidR="000E42A8" w:rsidRDefault="000E42A8" w:rsidP="000E42A8">
      <w:pPr>
        <w:pStyle w:val="StandardWeb"/>
      </w:pPr>
      <w:r>
        <w:t>Damit kann eine Relation einen Status</w:t>
      </w:r>
    </w:p>
    <w:p w:rsidR="000E42A8" w:rsidRDefault="000E42A8" w:rsidP="000E42A8">
      <w:pPr>
        <w:pStyle w:val="StandardWeb"/>
      </w:pPr>
      <w:r>
        <w:t>[</w:t>
      </w:r>
      <w:r>
        <w:br/>
        <w:t>s_{ij}^{K}</w:t>
      </w:r>
      <w:r>
        <w:br/>
        <w:t>\in</w:t>
      </w:r>
      <w:r>
        <w:br/>
        <w:t>\left{</w:t>
      </w:r>
      <w:r>
        <w:br/>
        <w:t>\mathbf K,</w:t>
      </w:r>
      <w:r>
        <w:br/>
        <w:t>\mathbf W,</w:t>
      </w:r>
      <w:r>
        <w:br/>
        <w:t>\mathbf U,</w:t>
      </w:r>
      <w:r>
        <w:br/>
        <w:t>\mathbf{NV}</w:t>
      </w:r>
      <w:r>
        <w:br/>
        <w:t>\right}</w:t>
      </w:r>
      <w:r>
        <w:br/>
        <w:t>\tag{3.8438}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s_{ij}^{K}\in\left\{\mathbf K,\mathbf W,\mathbf U,\mathbf{NV}\right\}</w:t>
      </w:r>
    </w:p>
    <w:p w:rsidR="000E42A8" w:rsidRDefault="000E42A8" w:rsidP="000E42A8">
      <w:pPr>
        <w:pStyle w:val="StandardWeb"/>
      </w:pPr>
      <w:r>
        <w:t>besitzen.</w:t>
      </w:r>
    </w:p>
    <w:p w:rsidR="000E42A8" w:rsidRDefault="00E50336" w:rsidP="000E42A8">
      <w:r>
        <w:pict>
          <v:rect id="_x0000_i2181" style="width:0;height:1.5pt" o:hralign="center" o:hrstd="t" o:hr="t" fillcolor="#a0a0a0" stroked="f"/>
        </w:pict>
      </w:r>
    </w:p>
    <w:p w:rsidR="000E42A8" w:rsidRDefault="000E42A8" w:rsidP="000E42A8">
      <w:pPr>
        <w:pStyle w:val="berschrift1"/>
      </w:pPr>
      <w:r>
        <w:t>3.3.42.442 Erweiterter Konfliktstatus</w:t>
      </w:r>
    </w:p>
    <w:p w:rsidR="000E42A8" w:rsidRDefault="000E42A8" w:rsidP="000E42A8">
      <w:pPr>
        <w:pStyle w:val="StandardWeb"/>
      </w:pPr>
      <w:r>
        <w:lastRenderedPageBreak/>
        <w:t>Zusätzlich erhält ein widersprüchlicher Fall einen Bearbeitungsstatus</w:t>
      </w:r>
    </w:p>
    <w:p w:rsidR="000E42A8" w:rsidRDefault="000E42A8" w:rsidP="000E42A8">
      <w:pPr>
        <w:pStyle w:val="StandardWeb"/>
      </w:pPr>
      <w:r>
        <w:t>[</w:t>
      </w:r>
      <w:r>
        <w:br/>
        <w:t>s_{ij}^{W}</w:t>
      </w:r>
      <w:r>
        <w:br/>
        <w:t>\in</w:t>
      </w:r>
      <w:r>
        <w:br/>
        <w:t>\left{</w:t>
      </w:r>
      <w:r>
        <w:br/>
        <w:t>\mathbf{neu},</w:t>
      </w:r>
      <w:r>
        <w:br/>
        <w:t>\mathbf{analysiert},</w:t>
      </w:r>
      <w:r>
        <w:br/>
        <w:t>\mathbf{teilgelöst},</w:t>
      </w:r>
      <w:r>
        <w:br/>
        <w:t>\mathbf{gelöst},</w:t>
      </w:r>
      <w:r>
        <w:br/>
        <w:t>\mathbf{offen},</w:t>
      </w:r>
      <w:r>
        <w:br/>
        <w:t>\mathbf{unauflösbar}</w:t>
      </w:r>
      <w:r>
        <w:br/>
        <w:t>\right}.</w:t>
      </w:r>
      <w:r>
        <w:br/>
        <w:t>\tag{3.8439}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s_{ij}^{W}\in\left\{\mathbf{neu},\mathbf{analysiert},\mathbf{teilgelöst},\mathbf{gelöst},\mathbf{offen},\mathbf{unauflösbar}\right\}</w:t>
      </w:r>
    </w:p>
    <w:p w:rsidR="000E42A8" w:rsidRDefault="00E50336" w:rsidP="000E42A8">
      <w:r>
        <w:pict>
          <v:rect id="_x0000_i2182" style="width:0;height:1.5pt" o:hralign="center" o:hrstd="t" o:hr="t" fillcolor="#a0a0a0" stroked="f"/>
        </w:pict>
      </w:r>
    </w:p>
    <w:p w:rsidR="000E42A8" w:rsidRDefault="000E42A8" w:rsidP="000E42A8">
      <w:pPr>
        <w:pStyle w:val="berschrift1"/>
      </w:pPr>
      <w:r>
        <w:t>3.3.42.443 Konfliktlebenszyklus</w:t>
      </w:r>
    </w:p>
    <w:p w:rsidR="000E42A8" w:rsidRDefault="000E42A8" w:rsidP="000E42A8">
      <w:pPr>
        <w:pStyle w:val="StandardWeb"/>
      </w:pPr>
      <w:r>
        <w:t>Ich definiere den typischen Konfliktlebenszyklus</w:t>
      </w:r>
    </w:p>
    <w:p w:rsidR="000E42A8" w:rsidRDefault="000E42A8" w:rsidP="000E42A8">
      <w:pPr>
        <w:pStyle w:val="StandardWeb"/>
      </w:pPr>
      <w:r>
        <w:t>[</w:t>
      </w:r>
      <w:r>
        <w:br/>
        <w:t>\mathbf{neu}</w:t>
      </w:r>
      <w:r>
        <w:br/>
        <w:t>\rightarrow</w:t>
      </w:r>
      <w:r>
        <w:br/>
        <w:t>\mathbf{analysiert}</w:t>
      </w:r>
      <w:r>
        <w:br/>
        <w:t>\rightarrow</w:t>
      </w:r>
      <w:r>
        <w:br/>
        <w:t>\left{</w:t>
      </w:r>
      <w:r>
        <w:br/>
        <w:t>\mathbf{teilgelöst},</w:t>
      </w:r>
      <w:r>
        <w:br/>
        <w:t>\mathbf{gelöst},</w:t>
      </w:r>
      <w:r>
        <w:br/>
        <w:t>\mathbf{offen},</w:t>
      </w:r>
      <w:r>
        <w:br/>
        <w:t>\mathbf{unauflösbar}</w:t>
      </w:r>
      <w:r>
        <w:br/>
        <w:t>\right}.</w:t>
      </w:r>
      <w:r>
        <w:br/>
        <w:t>\tag{3.8440}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\mathbf{neu}\rightarrow\mathbf{analysiert}\rightarrow\left\{\mathbf{teilgelöst},\mathbf{gelöst},\mathbf{offen},\mathbf{unauflösbar}\right\}</w:t>
      </w:r>
    </w:p>
    <w:p w:rsidR="000E42A8" w:rsidRDefault="00E50336" w:rsidP="000E42A8">
      <w:r>
        <w:pict>
          <v:rect id="_x0000_i2183" style="width:0;height:1.5pt" o:hralign="center" o:hrstd="t" o:hr="t" fillcolor="#a0a0a0" stroked="f"/>
        </w:pict>
      </w:r>
    </w:p>
    <w:p w:rsidR="000E42A8" w:rsidRDefault="000E42A8" w:rsidP="000E42A8">
      <w:pPr>
        <w:pStyle w:val="berschrift1"/>
      </w:pPr>
      <w:r>
        <w:t>3.3.42.444 Wiedereröffneter Konflikt</w:t>
      </w:r>
    </w:p>
    <w:p w:rsidR="000E42A8" w:rsidRDefault="000E42A8" w:rsidP="000E42A8">
      <w:pPr>
        <w:pStyle w:val="StandardWeb"/>
      </w:pPr>
      <w:r>
        <w:t>Ein gelöster Konflikt kann durch neue Evidenz erneut auftreten:</w:t>
      </w:r>
    </w:p>
    <w:p w:rsidR="000E42A8" w:rsidRDefault="000E42A8" w:rsidP="000E42A8">
      <w:pPr>
        <w:pStyle w:val="StandardWeb"/>
      </w:pPr>
      <w:r>
        <w:lastRenderedPageBreak/>
        <w:t>[</w:t>
      </w:r>
      <w:r>
        <w:br/>
        <w:t>\mathbf{gelöst}^{(v)}</w:t>
      </w:r>
      <w:r>
        <w:br/>
        <w:t>\rightarrow</w:t>
      </w:r>
      <w:r>
        <w:br/>
        <w:t>\mathbf{neu}^{(v+1)}.</w:t>
      </w:r>
      <w:r>
        <w:br/>
        <w:t>\tag{3.8441}</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\mathbf{gelöst}^{(v)}\rightarrow\mathbf{neu}^{(v+1)}</w:t>
      </w:r>
    </w:p>
    <w:p w:rsidR="000E42A8" w:rsidRDefault="000E42A8" w:rsidP="000E42A8">
      <w:pPr>
        <w:pStyle w:val="StandardWeb"/>
      </w:pPr>
      <w:r>
        <w:t>Damit bleibt auch Konfliktauflösung revisionsoffen.</w:t>
      </w:r>
    </w:p>
    <w:p w:rsidR="000E42A8" w:rsidRDefault="00E50336" w:rsidP="000E42A8">
      <w:r>
        <w:pict>
          <v:rect id="_x0000_i2184" style="width:0;height:1.5pt" o:hralign="center" o:hrstd="t" o:hr="t" fillcolor="#a0a0a0" stroked="f"/>
        </w:pict>
      </w:r>
    </w:p>
    <w:p w:rsidR="000E42A8" w:rsidRDefault="000E42A8" w:rsidP="000E42A8">
      <w:pPr>
        <w:pStyle w:val="berschrift1"/>
      </w:pPr>
      <w:r>
        <w:t>3.3.42.445 Konflikthistorie</w:t>
      </w:r>
    </w:p>
    <w:p w:rsidR="000E42A8" w:rsidRDefault="000E42A8" w:rsidP="000E42A8">
      <w:pPr>
        <w:pStyle w:val="StandardWeb"/>
      </w:pPr>
      <w:r>
        <w:t>Ich definiere</w:t>
      </w:r>
    </w:p>
    <w:p w:rsidR="000E42A8" w:rsidRDefault="000E42A8" w:rsidP="000E42A8">
      <w:pPr>
        <w:pStyle w:val="berschrift1"/>
      </w:pPr>
      <w:r>
        <w:t>[</w:t>
      </w:r>
      <w:r>
        <w:br/>
        <w:t>\mathcal H_W</w:t>
      </w:r>
    </w:p>
    <w:p w:rsidR="000E42A8" w:rsidRDefault="000E42A8" w:rsidP="000E42A8">
      <w:pPr>
        <w:pStyle w:val="StandardWeb"/>
      </w:pPr>
      <w:r>
        <w:t>\left(</w:t>
      </w:r>
      <w:r>
        <w:br/>
        <w:t>s_W^{(1)},</w:t>
      </w:r>
      <w:r>
        <w:br/>
        <w:t>s_W^{(2)},</w:t>
      </w:r>
      <w:r>
        <w:br/>
        <w:t>\ldots,</w:t>
      </w:r>
      <w:r>
        <w:br/>
        <w:t>s_W^{(n)}</w:t>
      </w:r>
      <w:r>
        <w:br/>
        <w:t>\right).</w:t>
      </w:r>
      <w:r>
        <w:br/>
        <w:t>\tag{3.8442}</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\mathcal H_W=\left(s_W^{(1)},s_W^{(2)},\ldots,s_W^{(n)}\right)</w:t>
      </w:r>
    </w:p>
    <w:p w:rsidR="000E42A8" w:rsidRDefault="00E50336" w:rsidP="000E42A8">
      <w:r>
        <w:pict>
          <v:rect id="_x0000_i2185" style="width:0;height:1.5pt" o:hralign="center" o:hrstd="t" o:hr="t" fillcolor="#a0a0a0" stroked="f"/>
        </w:pict>
      </w:r>
    </w:p>
    <w:p w:rsidR="000E42A8" w:rsidRDefault="000E42A8" w:rsidP="000E42A8">
      <w:pPr>
        <w:pStyle w:val="berschrift1"/>
      </w:pPr>
      <w:r>
        <w:t>3.3.42.446 Konfliktauflösungsrate</w:t>
      </w:r>
    </w:p>
    <w:p w:rsidR="000E42A8" w:rsidRDefault="000E42A8" w:rsidP="000E42A8">
      <w:pPr>
        <w:pStyle w:val="StandardWeb"/>
      </w:pPr>
      <w:r>
        <w:t>Für eine Menge historischer Konflikte definiere ich</w:t>
      </w:r>
    </w:p>
    <w:p w:rsidR="000E42A8" w:rsidRDefault="000E42A8" w:rsidP="000E42A8">
      <w:pPr>
        <w:pStyle w:val="berschrift1"/>
      </w:pPr>
      <w:r>
        <w:t>[</w:t>
      </w:r>
      <w:r>
        <w:br/>
        <w:t>R_W^{\mathrm{resolve}}</w:t>
      </w:r>
    </w:p>
    <w:p w:rsidR="000E42A8" w:rsidRDefault="000E42A8" w:rsidP="000E42A8">
      <w:pPr>
        <w:pStyle w:val="StandardWeb"/>
      </w:pPr>
      <w:r>
        <w:t>\frac{</w:t>
      </w:r>
      <w:r>
        <w:br/>
        <w:t>N_W^{\mathrm{gelöst}}</w:t>
      </w:r>
      <w:r>
        <w:br/>
        <w:t>}{</w:t>
      </w:r>
      <w:r>
        <w:br/>
        <w:t>N_W^{\mathrm{gesamt}}</w:t>
      </w:r>
      <w:r>
        <w:br/>
      </w:r>
      <w:r>
        <w:lastRenderedPageBreak/>
        <w:t>}.</w:t>
      </w:r>
      <w:r>
        <w:br/>
        <w:t>\tag{3.8443}</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R_W^{\mathrm{resolve}}=\frac{N_W^{\mathrm{gelöst}}}{N_W^{\mathrm{gesamt}}}</w:t>
      </w:r>
    </w:p>
    <w:p w:rsidR="000E42A8" w:rsidRDefault="00E50336" w:rsidP="000E42A8">
      <w:r>
        <w:pict>
          <v:rect id="_x0000_i2186" style="width:0;height:1.5pt" o:hralign="center" o:hrstd="t" o:hr="t" fillcolor="#a0a0a0" stroked="f"/>
        </w:pict>
      </w:r>
    </w:p>
    <w:p w:rsidR="000E42A8" w:rsidRDefault="000E42A8" w:rsidP="000E42A8">
      <w:pPr>
        <w:pStyle w:val="berschrift1"/>
      </w:pPr>
      <w:r>
        <w:t>3.3.42.447 Offene Konfliktrate</w:t>
      </w:r>
    </w:p>
    <w:p w:rsidR="000E42A8" w:rsidRDefault="000E42A8" w:rsidP="000E42A8">
      <w:pPr>
        <w:pStyle w:val="StandardWeb"/>
      </w:pPr>
      <w:r>
        <w:t>Analog gilt</w:t>
      </w:r>
    </w:p>
    <w:p w:rsidR="000E42A8" w:rsidRDefault="000E42A8" w:rsidP="000E42A8">
      <w:pPr>
        <w:pStyle w:val="berschrift1"/>
      </w:pPr>
      <w:r>
        <w:t>[</w:t>
      </w:r>
      <w:r>
        <w:br/>
        <w:t>R_W^{\mathrm{open}}</w:t>
      </w:r>
    </w:p>
    <w:p w:rsidR="000E42A8" w:rsidRDefault="000E42A8" w:rsidP="000E42A8">
      <w:pPr>
        <w:pStyle w:val="StandardWeb"/>
      </w:pPr>
      <w:r>
        <w:t>\frac{</w:t>
      </w:r>
      <w:r>
        <w:br/>
        <w:t>N_W^{\mathrm{open}}</w:t>
      </w:r>
      <w:r>
        <w:br/>
        <w:t>}{</w:t>
      </w:r>
      <w:r>
        <w:br/>
        <w:t>N_W^{\mathrm{gesamt}}</w:t>
      </w:r>
      <w:r>
        <w:br/>
        <w:t>}.</w:t>
      </w:r>
      <w:r>
        <w:br/>
        <w:t>\tag{3.8444}</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R_W^{\mathrm{open}}=\frac{N_W^{\mathrm{open}}}{N_W^{\mathrm{gesamt}}}</w:t>
      </w:r>
    </w:p>
    <w:p w:rsidR="000E42A8" w:rsidRDefault="00E50336" w:rsidP="000E42A8">
      <w:r>
        <w:pict>
          <v:rect id="_x0000_i2187" style="width:0;height:1.5pt" o:hralign="center" o:hrstd="t" o:hr="t" fillcolor="#a0a0a0" stroked="f"/>
        </w:pict>
      </w:r>
    </w:p>
    <w:p w:rsidR="000E42A8" w:rsidRDefault="000E42A8" w:rsidP="000E42A8">
      <w:pPr>
        <w:pStyle w:val="berschrift1"/>
      </w:pPr>
      <w:r>
        <w:t>3.3.42.448 Konfliktbearbeitungsprofil</w:t>
      </w:r>
    </w:p>
    <w:p w:rsidR="000E42A8" w:rsidRDefault="000E42A8" w:rsidP="000E42A8">
      <w:pPr>
        <w:pStyle w:val="StandardWeb"/>
      </w:pPr>
      <w:r>
        <w:t>Ich definiere</w:t>
      </w:r>
    </w:p>
    <w:p w:rsidR="000E42A8" w:rsidRDefault="000E42A8" w:rsidP="000E42A8">
      <w:pPr>
        <w:pStyle w:val="berschrift1"/>
      </w:pPr>
      <w:r>
        <w:t>[</w:t>
      </w:r>
      <w:r>
        <w:br/>
        <w:t>\mathbf P_W^{\mathrm{process}}</w:t>
      </w:r>
    </w:p>
    <w:p w:rsidR="000E42A8" w:rsidRDefault="000E42A8" w:rsidP="000E42A8">
      <w:pPr>
        <w:pStyle w:val="StandardWeb"/>
      </w:pPr>
      <w:r>
        <w:t>\left(</w:t>
      </w:r>
      <w:r>
        <w:br/>
        <w:t>R_W^{\mathrm{resolve}},</w:t>
      </w:r>
      <w:r>
        <w:br/>
        <w:t>R_W^{\mathrm{open}},</w:t>
      </w:r>
      <w:r>
        <w:br/>
        <w:t>R_W^{\mathrm{irr}},</w:t>
      </w:r>
      <w:r>
        <w:br/>
        <w:t>T_K</w:t>
      </w:r>
      <w:r>
        <w:br/>
        <w:t>\right).</w:t>
      </w:r>
      <w:r>
        <w:br/>
        <w:t>\tag{3.8445}</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lastRenderedPageBreak/>
        <w:t>\mathbf P_W^{\mathrm{process}}=\left(R_W^{\mathrm{resolve}},R_W^{\mathrm{open}},R_W^{\mathrm{irr}},T_K\right)</w:t>
      </w:r>
    </w:p>
    <w:p w:rsidR="000E42A8" w:rsidRDefault="00E50336" w:rsidP="000E42A8">
      <w:r>
        <w:pict>
          <v:rect id="_x0000_i2188" style="width:0;height:1.5pt" o:hralign="center" o:hrstd="t" o:hr="t" fillcolor="#a0a0a0" stroked="f"/>
        </w:pict>
      </w:r>
    </w:p>
    <w:p w:rsidR="000E42A8" w:rsidRDefault="000E42A8" w:rsidP="000E42A8">
      <w:pPr>
        <w:pStyle w:val="berschrift1"/>
      </w:pPr>
      <w:r>
        <w:t>3.3.42.449 Wissenschaftlich reife Konfliktbearbeitung</w:t>
      </w:r>
    </w:p>
    <w:p w:rsidR="000E42A8" w:rsidRDefault="000E42A8" w:rsidP="000E42A8">
      <w:pPr>
        <w:pStyle w:val="StandardWeb"/>
      </w:pPr>
      <w:r>
        <w:t>Eine reife Konfliktbearbeitung verlangt nicht notwendig</w:t>
      </w:r>
    </w:p>
    <w:p w:rsidR="000E42A8" w:rsidRDefault="000E42A8" w:rsidP="000E42A8">
      <w:pPr>
        <w:pStyle w:val="StandardWeb"/>
      </w:pPr>
      <w:r>
        <w:t>[</w:t>
      </w:r>
      <w:r>
        <w:br/>
        <w:t>R_W^{\mathrm{open}}=0,</w:t>
      </w:r>
      <w:r>
        <w:br/>
        <w:t>]</w:t>
      </w:r>
    </w:p>
    <w:p w:rsidR="000E42A8" w:rsidRDefault="000E42A8" w:rsidP="000E42A8">
      <w:pPr>
        <w:pStyle w:val="StandardWeb"/>
      </w:pPr>
      <w:r>
        <w:t>sondern vielmehr</w:t>
      </w:r>
    </w:p>
    <w:p w:rsidR="000E42A8" w:rsidRDefault="000E42A8" w:rsidP="000E42A8">
      <w:pPr>
        <w:pStyle w:val="StandardWeb"/>
      </w:pPr>
      <w:r>
        <w:t>[</w:t>
      </w:r>
      <w:r>
        <w:br/>
        <w:t>T_K\approx1</w:t>
      </w:r>
      <w:r>
        <w:br/>
        <w:t>\tag{3.8446}</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T_K\approx1</w:t>
      </w:r>
    </w:p>
    <w:p w:rsidR="000E42A8" w:rsidRDefault="000E42A8" w:rsidP="000E42A8">
      <w:pPr>
        <w:pStyle w:val="StandardWeb"/>
      </w:pPr>
      <w:r>
        <w:t>und klare Statuszuordnung sämtlicher Konflikte.</w:t>
      </w:r>
    </w:p>
    <w:p w:rsidR="000E42A8" w:rsidRDefault="00E50336" w:rsidP="000E42A8">
      <w:r>
        <w:pict>
          <v:rect id="_x0000_i2189" style="width:0;height:1.5pt" o:hralign="center" o:hrstd="t" o:hr="t" fillcolor="#a0a0a0" stroked="f"/>
        </w:pict>
      </w:r>
    </w:p>
    <w:p w:rsidR="000E42A8" w:rsidRDefault="000E42A8" w:rsidP="000E42A8">
      <w:pPr>
        <w:pStyle w:val="berschrift1"/>
      </w:pPr>
      <w:r>
        <w:t>3.3.42.450 Vollständige funktionale Konsistenzarchitektur</w:t>
      </w:r>
    </w:p>
    <w:p w:rsidR="000E42A8" w:rsidRDefault="000E42A8" w:rsidP="000E42A8">
      <w:pPr>
        <w:pStyle w:val="StandardWeb"/>
      </w:pPr>
      <w:r>
        <w:t>Ich fasse nun die gesamte bis hier entwickelte Struktur zusammen.</w:t>
      </w:r>
    </w:p>
    <w:p w:rsidR="000E42A8" w:rsidRDefault="000E42A8" w:rsidP="000E42A8">
      <w:pPr>
        <w:pStyle w:val="berschrift1"/>
      </w:pPr>
      <w:r>
        <w:t>[</w:t>
      </w:r>
      <w:r>
        <w:br/>
        <w:t>\boxed{</w:t>
      </w:r>
      <w:r>
        <w:br/>
        <w:t>\mathfrak C_F^{\mathrm{full}}</w:t>
      </w:r>
    </w:p>
    <w:p w:rsidR="000E42A8" w:rsidRDefault="000E42A8" w:rsidP="000E42A8">
      <w:pPr>
        <w:pStyle w:val="StandardWeb"/>
      </w:pPr>
      <w:r>
        <w:t>\left(</w:t>
      </w:r>
      <w:r>
        <w:br/>
        <w:t>\mathcal C,</w:t>
      </w:r>
      <w:r>
        <w:br/>
        <w:t>\mathfrak K,</w:t>
      </w:r>
      <w:r>
        <w:br/>
        <w:t>\mathfrak K^{(2)},</w:t>
      </w:r>
      <w:r>
        <w:br/>
        <w:t>\mathbf K,</w:t>
      </w:r>
      <w:r>
        <w:br/>
        <w:t>\mathbf R_K,</w:t>
      </w:r>
      <w:r>
        <w:br/>
        <w:t>\Sigma_W,</w:t>
      </w:r>
      <w:r>
        <w:br/>
        <w:t>\Sigma_U,</w:t>
      </w:r>
      <w:r>
        <w:br/>
        <w:t>\mathcal G_F^{K},</w:t>
      </w:r>
      <w:r>
        <w:br/>
        <w:t>\mathcal K_W,</w:t>
      </w:r>
      <w:r>
        <w:br/>
        <w:t>\Sigma_K^{\ast},</w:t>
      </w:r>
      <w:r>
        <w:br/>
      </w:r>
      <w:r>
        <w:lastRenderedPageBreak/>
        <w:t>\Sigma_T^{K},</w:t>
      </w:r>
      <w:r>
        <w:br/>
        <w:t>\mathbf K_{\mathcal B},</w:t>
      </w:r>
      <w:r>
        <w:br/>
        <w:t>K_I,</w:t>
      </w:r>
      <w:r>
        <w:br/>
        <w:t>G_K,</w:t>
      </w:r>
      <w:r>
        <w:br/>
        <w:t>K_{\mathrm{meta}},</w:t>
      </w:r>
      <w:r>
        <w:br/>
        <w:t>\mathcal R_W,</w:t>
      </w:r>
      <w:r>
        <w:br/>
        <w:t>\mathcal H_W</w:t>
      </w:r>
      <w:r>
        <w:br/>
        <w:t>\right)</w:t>
      </w:r>
      <w:r>
        <w:br/>
        <w:t>}</w:t>
      </w:r>
      <w:r>
        <w:br/>
        <w:t>\tag{3.8447}</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\boxed{\mathfrak C_F^{\mathrm{full}}=\left(\mathcal C,\mathfrak K,\mathfrak K^{(2)},\mathbf K,\mathbf R_K,\Sigma_W,\Sigma_U,\mathcal G_F^{K},\mathcal K_W,\Sigma_K^{\ast},\Sigma_T^{K},\mathbf K_{\mathcal B},K_I,G_K,K_{\mathrm{meta}},\mathcal R_W,\mathcal H_W\right)}</w:t>
      </w:r>
    </w:p>
    <w:p w:rsidR="000E42A8" w:rsidRDefault="000E42A8" w:rsidP="000E42A8">
      <w:pPr>
        <w:pStyle w:val="StandardWeb"/>
      </w:pPr>
      <w:r>
        <w:t>Diese Struktur verbindet damit Vergleichbarkeit, Konsistenz, Konflikterkennung, Konfliktursachen, Unentscheidbarkeit, Transformationskonsistenz, Theorieblockkonsistenz, Schnittstellenprüfung, Auditierbarkeit, Meta-Konsistenz und Konfliktauflösung in einer gemeinsamen Prüfarchitektur.</w:t>
      </w:r>
    </w:p>
    <w:p w:rsidR="000E42A8" w:rsidRDefault="00E50336" w:rsidP="000E42A8">
      <w:r>
        <w:pict>
          <v:rect id="_x0000_i2190" style="width:0;height:1.5pt" o:hralign="center" o:hrstd="t" o:hr="t" fillcolor="#a0a0a0" stroked="f"/>
        </w:pict>
      </w:r>
    </w:p>
    <w:p w:rsidR="000E42A8" w:rsidRDefault="000E42A8" w:rsidP="000E42A8">
      <w:pPr>
        <w:pStyle w:val="berschrift1"/>
      </w:pPr>
      <w:r>
        <w:t>3.3.42.451 Zentrale Schlussfolgerung</w:t>
      </w:r>
    </w:p>
    <w:p w:rsidR="000E42A8" w:rsidRDefault="000E42A8" w:rsidP="000E42A8">
      <w:pPr>
        <w:pStyle w:val="StandardWeb"/>
      </w:pPr>
      <w:r>
        <w:t>Die zentrale Aussage dieses Abschnitts kann nun formuliert werden als</w:t>
      </w:r>
    </w:p>
    <w:p w:rsidR="000E42A8" w:rsidRDefault="000E42A8" w:rsidP="000E42A8">
      <w:pPr>
        <w:pStyle w:val="StandardWeb"/>
      </w:pPr>
      <w:r>
        <w:t>[</w:t>
      </w:r>
      <w:r>
        <w:br/>
        <w:t>\boxed{</w:t>
      </w:r>
      <w:r>
        <w:br/>
        <w:t>\text{Wissenschaftliche Konsistenz ist keine einzelne binäre Eigenschaft, sondern eine revisionsabhängige, mehrdimensionale und prüfbare Relationsstruktur.}</w:t>
      </w:r>
      <w:r>
        <w:br/>
        <w:t>}</w:t>
      </w:r>
      <w:r>
        <w:br/>
        <w:t>\tag{3.8448}</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\boxed{\text{Wissenschaftliche Konsistenz ist keine einzelne binäre Eigenschaft, sondern eine revisionsabhängige, mehrdimensionale und prüfbare Relationsstruktur.}}</w:t>
      </w:r>
    </w:p>
    <w:p w:rsidR="000E42A8" w:rsidRDefault="00E50336" w:rsidP="000E42A8">
      <w:r>
        <w:pict>
          <v:rect id="_x0000_i2191" style="width:0;height:1.5pt" o:hralign="center" o:hrstd="t" o:hr="t" fillcolor="#a0a0a0" stroked="f"/>
        </w:pict>
      </w:r>
    </w:p>
    <w:p w:rsidR="000E42A8" w:rsidRDefault="000E42A8" w:rsidP="000E42A8">
      <w:pPr>
        <w:pStyle w:val="berschrift1"/>
      </w:pPr>
      <w:r>
        <w:t>3.3.42.452 Zweite zentrale Schlussfolgerung</w:t>
      </w:r>
    </w:p>
    <w:p w:rsidR="000E42A8" w:rsidRDefault="000E42A8" w:rsidP="000E42A8">
      <w:pPr>
        <w:pStyle w:val="StandardWeb"/>
      </w:pPr>
      <w:r>
        <w:t>Ebenso gilt</w:t>
      </w:r>
    </w:p>
    <w:p w:rsidR="000E42A8" w:rsidRDefault="000E42A8" w:rsidP="000E42A8">
      <w:pPr>
        <w:pStyle w:val="StandardWeb"/>
      </w:pPr>
      <w:r>
        <w:t>[</w:t>
      </w:r>
      <w:r>
        <w:br/>
        <w:t>\boxed{</w:t>
      </w:r>
      <w:r>
        <w:br/>
      </w:r>
      <w:r>
        <w:lastRenderedPageBreak/>
        <w:t>\text{Ein wissenschaftlicher Widerspruch ist zunächst ein Diagnosebefund und noch keine automatische Wahrheitsentscheidung.}</w:t>
      </w:r>
      <w:r>
        <w:br/>
        <w:t>}</w:t>
      </w:r>
      <w:r>
        <w:br/>
        <w:t>\tag{3.8449}</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\boxed{\text{Ein wissenschaftlicher Widerspruch ist zunächst ein Diagnosebefund und noch keine automatische Wahrheitsentscheidung.}}</w:t>
      </w:r>
    </w:p>
    <w:p w:rsidR="000E42A8" w:rsidRDefault="00E50336" w:rsidP="000E42A8">
      <w:r>
        <w:pict>
          <v:rect id="_x0000_i2192" style="width:0;height:1.5pt" o:hralign="center" o:hrstd="t" o:hr="t" fillcolor="#a0a0a0" stroked="f"/>
        </w:pict>
      </w:r>
    </w:p>
    <w:p w:rsidR="000E42A8" w:rsidRDefault="000E42A8" w:rsidP="000E42A8">
      <w:pPr>
        <w:pStyle w:val="berschrift1"/>
      </w:pPr>
      <w:r>
        <w:t>3.3.42.453 Dritte zentrale Schlussfolgerung</w:t>
      </w:r>
    </w:p>
    <w:p w:rsidR="000E42A8" w:rsidRDefault="000E42A8" w:rsidP="000E42A8">
      <w:pPr>
        <w:pStyle w:val="StandardWeb"/>
      </w:pPr>
      <w:r>
        <w:t>Schließlich gilt</w:t>
      </w:r>
    </w:p>
    <w:p w:rsidR="000E42A8" w:rsidRDefault="000E42A8" w:rsidP="000E42A8">
      <w:pPr>
        <w:pStyle w:val="StandardWeb"/>
      </w:pPr>
      <w:r>
        <w:t>[</w:t>
      </w:r>
      <w:r>
        <w:br/>
        <w:t>\boxed{</w:t>
      </w:r>
      <w:r>
        <w:br/>
        <w:t>\text{Nichtvergleichbarkeit, Unentscheidbarkeit und Inkonsistenz müssen strikt voneinander getrennt werden.}</w:t>
      </w:r>
      <w:r>
        <w:br/>
        <w:t>}</w:t>
      </w:r>
      <w:r>
        <w:br/>
        <w:t>\tag{3.8450}</w:t>
      </w:r>
      <w:r>
        <w:br/>
        <w:t>]</w:t>
      </w:r>
    </w:p>
    <w:p w:rsidR="000E42A8" w:rsidRDefault="000E42A8" w:rsidP="000E42A8">
      <w:pPr>
        <w:pStyle w:val="StandardWeb"/>
      </w:pPr>
      <w:r>
        <w:rPr>
          <w:rStyle w:val="Fett"/>
        </w:rPr>
        <w:t>Word-LaTeX</w:t>
      </w:r>
    </w:p>
    <w:p w:rsidR="000E42A8" w:rsidRDefault="000E42A8" w:rsidP="000E42A8">
      <w:pPr>
        <w:pStyle w:val="HTMLVorformatiert"/>
        <w:rPr>
          <w:rStyle w:val="HTMLCode"/>
        </w:rPr>
      </w:pPr>
      <w:r>
        <w:rPr>
          <w:rStyle w:val="HTMLCode"/>
        </w:rPr>
        <w:t>\boxed{\text{Nichtvergleichbarkeit, Unentscheidbarkeit und Inkonsistenz müssen strikt voneinander getrennt werden.}}</w:t>
      </w:r>
    </w:p>
    <w:p w:rsidR="000E42A8" w:rsidRDefault="000E42A8" w:rsidP="000E42A8">
      <w:pPr>
        <w:pStyle w:val="StandardWeb"/>
      </w:pPr>
      <w:r>
        <w:t xml:space="preserve">Damit ist der fachlich-mathematische Kern von </w:t>
      </w:r>
      <w:r>
        <w:rPr>
          <w:rStyle w:val="Fett"/>
        </w:rPr>
        <w:t>3.3.42</w:t>
      </w:r>
      <w:r>
        <w:t xml:space="preserve"> weitgehend vollständig vorbereitet.</w:t>
      </w:r>
    </w:p>
    <w:p w:rsidR="000E42A8" w:rsidRDefault="000E42A8" w:rsidP="000E42A8">
      <w:pPr>
        <w:pStyle w:val="StandardWeb"/>
      </w:pPr>
      <w:r>
        <w:t xml:space="preserve">Im nächsten Schritt kann ich den Gesamtabschnitt </w:t>
      </w:r>
      <w:r>
        <w:rPr>
          <w:rStyle w:val="Fett"/>
        </w:rPr>
        <w:t>3.3.42 endgültig abschließen</w:t>
      </w:r>
      <w:r>
        <w:t xml:space="preserve">. Dann folgen – wie festgelegt und erst jetzt an dieser Stelle – die ausführlichen </w:t>
      </w:r>
      <w:r>
        <w:rPr>
          <w:rStyle w:val="Fett"/>
        </w:rPr>
        <w:t>Methodologischen Betrachtungen</w:t>
      </w:r>
      <w:r>
        <w:t xml:space="preserve">, die ausführlichen </w:t>
      </w:r>
      <w:r>
        <w:rPr>
          <w:rStyle w:val="Fett"/>
        </w:rPr>
        <w:t>Didaktischen Betrachtungen</w:t>
      </w:r>
      <w:r>
        <w:t xml:space="preserve">, das </w:t>
      </w:r>
      <w:r>
        <w:rPr>
          <w:rStyle w:val="Fett"/>
        </w:rPr>
        <w:t>Ergebnis des Gesamtabschnitts</w:t>
      </w:r>
      <w:r>
        <w:t xml:space="preserve">, die </w:t>
      </w:r>
      <w:r>
        <w:rPr>
          <w:rStyle w:val="Fett"/>
        </w:rPr>
        <w:t>Abgrenzung der Eigenleistung</w:t>
      </w:r>
      <w:r>
        <w:t xml:space="preserve">, die abschließende </w:t>
      </w:r>
      <w:r>
        <w:rPr>
          <w:rStyle w:val="Fett"/>
        </w:rPr>
        <w:t>Konsistenzsignatur</w:t>
      </w:r>
      <w:r>
        <w:t xml:space="preserve"> sowie der </w:t>
      </w:r>
      <w:r>
        <w:rPr>
          <w:rStyle w:val="Fett"/>
        </w:rPr>
        <w:t>Übergang zu 3.3.43</w:t>
      </w:r>
      <w:r>
        <w:t>.</w:t>
      </w:r>
    </w:p>
    <w:p w:rsidR="00A6587C" w:rsidRDefault="00A6587C" w:rsidP="00A6587C">
      <w:pPr>
        <w:pStyle w:val="berschrift1"/>
        <w:rPr>
          <w:rFonts w:cs="Times New Roman"/>
          <w:sz w:val="48"/>
          <w:szCs w:val="48"/>
        </w:rPr>
      </w:pPr>
      <w:r>
        <w:t>3.3.42.454 Methodologische Betrachtungen zur funktionalen Konsistenz</w:t>
      </w:r>
    </w:p>
    <w:p w:rsidR="00A6587C" w:rsidRDefault="00A6587C" w:rsidP="00A6587C">
      <w:pPr>
        <w:pStyle w:val="StandardWeb"/>
      </w:pPr>
      <w:r>
        <w:t>Mit der in diesem Gesamtabschnitt entwickelten Konsistenzarchitektur verfolge ich ausdrücklich nicht das Ziel, wissenschaftliche Wahrheit durch einen formalen Konsistenzwert zu ersetzen. Ich trenne vielmehr zwischen der Frage, ob Aussagen miteinander widerspruchsfrei verwendet werden können, und der davon unabhängigen Frage, ob diese Aussagen empirisch, theoretisch oder ontologisch zutreffend sind. Diese Trennung entspricht der bereits in Kapitel 3.1 festgelegten methodologischen Grundhaltung, nach der mathematische Strukturen wissenschaftliche Aussagen ordnen und prüfbar machen, aber nicht aus sich selbst heraus deren Wahrheit begründen. [20]</w:t>
      </w:r>
    </w:p>
    <w:p w:rsidR="00A6587C" w:rsidRDefault="00A6587C" w:rsidP="00A6587C">
      <w:pPr>
        <w:pStyle w:val="StandardWeb"/>
      </w:pPr>
      <w:r>
        <w:lastRenderedPageBreak/>
        <w:t xml:space="preserve">Die für das FRZK entwickelte Konsistenzprüfung besitzt deshalb zunächst den Charakter einer </w:t>
      </w:r>
      <w:r>
        <w:rPr>
          <w:rStyle w:val="Fett"/>
        </w:rPr>
        <w:t>wissenschaftlichen Prüfarchitektur</w:t>
      </w:r>
      <w:r>
        <w:t>. Sie untersucht, ob Definitionen, Gleichungen, Aussagen, Sätze, Beweise, Korollare, Operatoren und vollständige Theorieblöcke unter ihren jeweils angegebenen Voraussetzungen miteinander vereinbar sind. Der Begriff der Konsistenz bleibt damit an einen expliziten Gültigkeitsraum, eine explizite Semantik und einen nachvollziehbaren Theorie- beziehungsweise Revisionsstand gebunden. [20]</w:t>
      </w:r>
    </w:p>
    <w:p w:rsidR="00A6587C" w:rsidRDefault="00A6587C" w:rsidP="00A6587C">
      <w:pPr>
        <w:pStyle w:val="StandardWeb"/>
      </w:pPr>
      <w:r>
        <w:t>Diese Bindung ist methodisch wesentlich. Zwei Aussagen können nur dann unmittelbar auf Konsistenz geprüft werden, wenn zuvor geklärt wurde, ob sie überhaupt miteinander vergleichbar sind. Deshalb steht innerhalb meiner Konstruktion die Vergleichbarkeitsprüfung logisch vor der Konsistenzprüfung. Aussagen aus disjunkten Gültigkeitsbereichen dürfen nicht allein aufgrund unterschiedlicher Resultate als widersprüchlich klassifiziert werden. [35]</w:t>
      </w:r>
    </w:p>
    <w:p w:rsidR="00A6587C" w:rsidRDefault="00A6587C" w:rsidP="00A6587C">
      <w:pPr>
        <w:pStyle w:val="StandardWeb"/>
      </w:pPr>
      <w:r>
        <w:t>Die methodische Reihenfolge lautet damit weiterhin</w:t>
      </w:r>
    </w:p>
    <w:p w:rsidR="00A6587C" w:rsidRDefault="00A6587C" w:rsidP="00A6587C">
      <w:pPr>
        <w:pStyle w:val="StandardWeb"/>
      </w:pPr>
      <w:r>
        <w:t>[</w:t>
      </w:r>
      <w:r>
        <w:br/>
        <w:t>\boxed{</w:t>
      </w:r>
      <w:r>
        <w:br/>
        <w:t>\text{Vergleichbarkeit}</w:t>
      </w:r>
      <w:r>
        <w:br/>
        <w:t>\rightarrow</w:t>
      </w:r>
      <w:r>
        <w:br/>
        <w:t>\text{Konsistenz}</w:t>
      </w:r>
      <w:r>
        <w:br/>
        <w:t>\rightarrow</w:t>
      </w:r>
      <w:r>
        <w:br/>
        <w:t>\text{Konfliktdiagnose}</w:t>
      </w:r>
      <w:r>
        <w:br/>
        <w:t>\rightarrow</w:t>
      </w:r>
      <w:r>
        <w:br/>
        <w:t>\text{Konfliktauflösung}</w:t>
      </w:r>
      <w:r>
        <w:br/>
        <w:t>}</w:t>
      </w:r>
      <w:r>
        <w:br/>
        <w:t>\tag{3.8451}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\boxed{\text{Vergleichbarkeit}\rightarrow\text{Konsistenz}\rightarrow\text{Konfliktdiagnose}\rightarrow\text{Konfliktauflösung}}</w:t>
      </w:r>
    </w:p>
    <w:p w:rsidR="00A6587C" w:rsidRDefault="00A6587C" w:rsidP="00A6587C">
      <w:pPr>
        <w:pStyle w:val="StandardWeb"/>
      </w:pPr>
      <w:r>
        <w:t>Diese Reihenfolge verhindert insbesondere, dass Unterschiede zwischen Modellen vorschnell als wissenschaftliche Widersprüche interpretiert werden. [35]</w:t>
      </w:r>
    </w:p>
    <w:p w:rsidR="00A6587C" w:rsidRDefault="00E50336" w:rsidP="00A6587C">
      <w:r>
        <w:pict>
          <v:rect id="_x0000_i2193" style="width:0;height:1.5pt" o:hralign="center" o:hrstd="t" o:hr="t" fillcolor="#a0a0a0" stroked="f"/>
        </w:pict>
      </w:r>
    </w:p>
    <w:p w:rsidR="00A6587C" w:rsidRDefault="00A6587C" w:rsidP="00A6587C">
      <w:pPr>
        <w:pStyle w:val="berschrift2"/>
      </w:pPr>
      <w:r>
        <w:t>3.3.42.455 Konsistenz als Relationsbegriff</w:t>
      </w:r>
    </w:p>
    <w:p w:rsidR="00A6587C" w:rsidRDefault="00A6587C" w:rsidP="00A6587C">
      <w:pPr>
        <w:pStyle w:val="StandardWeb"/>
      </w:pPr>
      <w:r>
        <w:t xml:space="preserve">Eine weitere methodologische Konsequenz besteht darin, Konsistenz grundsätzlich relational zu verstehen. Eine Aussage ist nicht einfach „konsistent“ oder „inkonsistent“, ohne anzugeben, </w:t>
      </w:r>
      <w:r>
        <w:rPr>
          <w:rStyle w:val="Fett"/>
        </w:rPr>
        <w:t>womit</w:t>
      </w:r>
      <w:r>
        <w:t xml:space="preserve">, </w:t>
      </w:r>
      <w:r>
        <w:rPr>
          <w:rStyle w:val="Fett"/>
        </w:rPr>
        <w:t>unter welchen Voraussetzungen</w:t>
      </w:r>
      <w:r>
        <w:t xml:space="preserve"> und </w:t>
      </w:r>
      <w:r>
        <w:rPr>
          <w:rStyle w:val="Fett"/>
        </w:rPr>
        <w:t>innerhalb welcher Domäne</w:t>
      </w:r>
      <w:r>
        <w:t xml:space="preserve"> sie verglichen wird. Selbst die interne Aussagenkonsistenz ist letztlich eine Relation zwischen den Bestandteilen derselben Aussage. [20]</w:t>
      </w:r>
    </w:p>
    <w:p w:rsidR="00A6587C" w:rsidRDefault="00A6587C" w:rsidP="00A6587C">
      <w:pPr>
        <w:pStyle w:val="StandardWeb"/>
      </w:pPr>
      <w:r>
        <w:t>Ich formuliere dies allgemein als</w:t>
      </w:r>
    </w:p>
    <w:p w:rsidR="00A6587C" w:rsidRDefault="00A6587C" w:rsidP="00A6587C">
      <w:pPr>
        <w:pStyle w:val="berschrift1"/>
      </w:pPr>
      <w:r>
        <w:t>[</w:t>
      </w:r>
      <w:r>
        <w:br/>
        <w:t>K_F</w:t>
      </w:r>
    </w:p>
    <w:p w:rsidR="00A6587C" w:rsidRDefault="00A6587C" w:rsidP="00A6587C">
      <w:pPr>
        <w:pStyle w:val="StandardWeb"/>
      </w:pPr>
      <w:r>
        <w:lastRenderedPageBreak/>
        <w:t>K_F</w:t>
      </w:r>
      <w:r>
        <w:br/>
        <w:t>\left(</w:t>
      </w:r>
      <w:r>
        <w:br/>
        <w:t>A_i,</w:t>
      </w:r>
      <w:r>
        <w:br/>
        <w:t>A_j,</w:t>
      </w:r>
      <w:r>
        <w:br/>
        <w:t>\Omega,</w:t>
      </w:r>
      <w:r>
        <w:br/>
        <w:t>\mathcal C,</w:t>
      </w:r>
      <w:r>
        <w:br/>
        <w:t>\boldsymbol\theta,</w:t>
      </w:r>
      <w:r>
        <w:br/>
        <w:t>\mathcal O,</w:t>
      </w:r>
      <w:r>
        <w:br/>
        <w:t>\mathcal M,</w:t>
      </w:r>
      <w:r>
        <w:br/>
        <w:t>v</w:t>
      </w:r>
      <w:r>
        <w:br/>
        <w:t>\right).</w:t>
      </w:r>
      <w:r>
        <w:br/>
        <w:t>\tag{3.8452}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K_F=K_F\left(A_i,A_j,\Omega,\mathcal C,\boldsymbol\theta,\mathcal O,\mathcal M,v\right)</w:t>
      </w:r>
    </w:p>
    <w:p w:rsidR="00A6587C" w:rsidRDefault="00A6587C" w:rsidP="00A6587C">
      <w:pPr>
        <w:pStyle w:val="StandardWeb"/>
      </w:pPr>
      <w:r>
        <w:t>Damit hängt ein Konsistenzurteil mindestens von den Aussagen, ihrem Gültigkeitsraum, Kontext, Parametern, ihrer Operationalisierung, Modellstruktur und gegebenenfalls dem betrachteten Revisionsstand ab. [35]</w:t>
      </w:r>
    </w:p>
    <w:p w:rsidR="00A6587C" w:rsidRDefault="00A6587C" w:rsidP="00A6587C">
      <w:pPr>
        <w:pStyle w:val="StandardWeb"/>
      </w:pPr>
      <w:r>
        <w:t>Diese Form verhindert zugleich eine wichtige Verkürzung: Ein Widerspruch darf nicht allein aus zwei isolierten Sätzen abgeleitet werden, wenn deren funktionale Voraussetzungen voneinander abweichen. Erst nach einer kontrollierten Angleichung beziehungsweise expliziten Trennung dieser Voraussetzungen kann beurteilt werden, ob tatsächlich ein wissenschaftlicher Konflikt vorliegt. [35]</w:t>
      </w:r>
    </w:p>
    <w:p w:rsidR="00A6587C" w:rsidRDefault="00E50336" w:rsidP="00A6587C">
      <w:r>
        <w:pict>
          <v:rect id="_x0000_i2194" style="width:0;height:1.5pt" o:hralign="center" o:hrstd="t" o:hr="t" fillcolor="#a0a0a0" stroked="f"/>
        </w:pict>
      </w:r>
    </w:p>
    <w:p w:rsidR="00A6587C" w:rsidRDefault="00A6587C" w:rsidP="00A6587C">
      <w:pPr>
        <w:pStyle w:val="berschrift1"/>
      </w:pPr>
      <w:r>
        <w:t>3.3.42.456 Methodologische Bedeutung der Nichtvergleichbarkeit</w:t>
      </w:r>
    </w:p>
    <w:p w:rsidR="00A6587C" w:rsidRDefault="00A6587C" w:rsidP="00A6587C">
      <w:pPr>
        <w:pStyle w:val="StandardWeb"/>
      </w:pPr>
      <w:r>
        <w:t>Die Einführung der Nichtvergleichbarkeit ist für meine Konstruktion ebenso wichtig wie die Definition der Konsistenz selbst. Würde ich jede unterschiedliche Aussage zwangsläufig auf einen gemeinsamen Wahrheitswert reduzieren, würden unterschiedliche Modellbereiche, Skalen, Näherungen und Beschreibungsebenen systematisch miteinander vermischt. [35]</w:t>
      </w:r>
    </w:p>
    <w:p w:rsidR="00A6587C" w:rsidRDefault="00A6587C" w:rsidP="00A6587C">
      <w:pPr>
        <w:pStyle w:val="StandardWeb"/>
      </w:pPr>
      <w:r>
        <w:t>Ich unterscheide deshalb weiterhin strikt</w:t>
      </w:r>
    </w:p>
    <w:p w:rsidR="00A6587C" w:rsidRDefault="00A6587C" w:rsidP="00A6587C">
      <w:pPr>
        <w:pStyle w:val="StandardWeb"/>
      </w:pPr>
      <w:r>
        <w:t>[</w:t>
      </w:r>
      <w:r>
        <w:br/>
        <w:t>\mathbf{NV}</w:t>
      </w:r>
      <w:r>
        <w:br/>
        <w:t>\neq</w:t>
      </w:r>
      <w:r>
        <w:br/>
        <w:t>\mathbf U</w:t>
      </w:r>
      <w:r>
        <w:br/>
        <w:t>\neq</w:t>
      </w:r>
      <w:r>
        <w:br/>
        <w:t>\mathbf W</w:t>
      </w:r>
      <w:r>
        <w:br/>
        <w:t>\neq</w:t>
      </w:r>
      <w:r>
        <w:br/>
        <w:t>\mathbf K.</w:t>
      </w:r>
      <w:r>
        <w:br/>
      </w:r>
      <w:r>
        <w:lastRenderedPageBreak/>
        <w:t>\tag{3.8453}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\mathbf{NV}\neq\mathbf{U}\neq\mathbf{W}\neq\mathbf{K}</w:t>
      </w:r>
    </w:p>
    <w:p w:rsidR="00A6587C" w:rsidRDefault="00A6587C" w:rsidP="00A6587C">
      <w:pPr>
        <w:pStyle w:val="StandardWeb"/>
      </w:pPr>
      <w:r>
        <w:t>Dabei bedeutet (\mathbf{NV}) nicht vergleichbar, (\mathbf U) unentscheidbar, (\mathbf W) widersprüchlich und (\mathbf K) konsistent. [20]</w:t>
      </w:r>
    </w:p>
    <w:p w:rsidR="00A6587C" w:rsidRDefault="00A6587C" w:rsidP="00A6587C">
      <w:pPr>
        <w:pStyle w:val="StandardWeb"/>
      </w:pPr>
      <w:r>
        <w:t>Diese vier Statusklassen beantworten unterschiedliche wissenschaftliche Fragen. Nichtvergleichbarkeit bedeutet, dass keine zulässige gemeinsame Prüfbasis vorliegt. Unentscheidbarkeit bedeutet, dass eine gemeinsame Prüfbasis existiert, die vorhandene Evidenz oder Methodik aber keine eindeutige Entscheidung erlaubt. Inkonsistenz bedeutet, dass unter denselben relevanten Bedingungen ein tatsächlicher Konflikt besteht. Konsistenz bedeutet schließlich, dass unter diesen Bedingungen kein solcher Konflikt festgestellt wird. [20]</w:t>
      </w:r>
    </w:p>
    <w:p w:rsidR="00A6587C" w:rsidRDefault="00E50336" w:rsidP="00A6587C">
      <w:r>
        <w:pict>
          <v:rect id="_x0000_i2195" style="width:0;height:1.5pt" o:hralign="center" o:hrstd="t" o:hr="t" fillcolor="#a0a0a0" stroked="f"/>
        </w:pict>
      </w:r>
    </w:p>
    <w:p w:rsidR="00A6587C" w:rsidRDefault="00A6587C" w:rsidP="00A6587C">
      <w:pPr>
        <w:pStyle w:val="berschrift1"/>
      </w:pPr>
      <w:r>
        <w:t>3.3.42.457 Keine Umdeutung von Unwissen in Konsistenz</w:t>
      </w:r>
    </w:p>
    <w:p w:rsidR="00A6587C" w:rsidRDefault="00A6587C" w:rsidP="00A6587C">
      <w:pPr>
        <w:pStyle w:val="StandardWeb"/>
      </w:pPr>
      <w:r>
        <w:t>Methodologisch besonders wichtig ist für mich, fehlende Information nicht als positives Konsistenzergebnis zu interpretieren. Ein nicht nachgewiesener Widerspruch ist nicht automatisch der Nachweis von Widerspruchsfreiheit. [20]</w:t>
      </w:r>
    </w:p>
    <w:p w:rsidR="00A6587C" w:rsidRDefault="00A6587C" w:rsidP="00A6587C">
      <w:pPr>
        <w:pStyle w:val="StandardWeb"/>
      </w:pPr>
      <w:r>
        <w:t>Es gilt daher</w:t>
      </w:r>
    </w:p>
    <w:p w:rsidR="00A6587C" w:rsidRDefault="00A6587C" w:rsidP="00A6587C">
      <w:pPr>
        <w:pStyle w:val="StandardWeb"/>
      </w:pPr>
      <w:r>
        <w:t>[</w:t>
      </w:r>
      <w:r>
        <w:br/>
        <w:t>\neg</w:t>
      </w:r>
      <w:r>
        <w:br/>
        <w:t>\operatorname{Nachweis}(W)</w:t>
      </w:r>
      <w:r>
        <w:br/>
        <w:t>\nRightarrow</w:t>
      </w:r>
      <w:r>
        <w:br/>
        <w:t>K_F=1.</w:t>
      </w:r>
      <w:r>
        <w:br/>
        <w:t>\tag{3.8454}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\neg\operatorname{Nachweis}(W)\nRightarrow K_F=1</w:t>
      </w:r>
    </w:p>
    <w:p w:rsidR="00A6587C" w:rsidRDefault="00A6587C" w:rsidP="00A6587C">
      <w:pPr>
        <w:pStyle w:val="StandardWeb"/>
      </w:pPr>
      <w:r>
        <w:t>Ebenso gilt</w:t>
      </w:r>
    </w:p>
    <w:p w:rsidR="00A6587C" w:rsidRDefault="00A6587C" w:rsidP="00A6587C">
      <w:pPr>
        <w:pStyle w:val="StandardWeb"/>
      </w:pPr>
      <w:r>
        <w:t>[</w:t>
      </w:r>
      <w:r>
        <w:br/>
        <w:t>\neg</w:t>
      </w:r>
      <w:r>
        <w:br/>
        <w:t>\operatorname{Nachweis}(K)</w:t>
      </w:r>
      <w:r>
        <w:br/>
        <w:t>\nRightarrow</w:t>
      </w:r>
      <w:r>
        <w:br/>
        <w:t>W=1.</w:t>
      </w:r>
      <w:r>
        <w:br/>
        <w:t>\tag{3.8455}</w:t>
      </w:r>
      <w:r>
        <w:br/>
        <w:t>]</w:t>
      </w:r>
    </w:p>
    <w:p w:rsidR="00A6587C" w:rsidRDefault="00A6587C" w:rsidP="00A6587C">
      <w:pPr>
        <w:pStyle w:val="StandardWeb"/>
      </w:pPr>
      <w:r>
        <w:rPr>
          <w:rStyle w:val="Fett"/>
        </w:rPr>
        <w:lastRenderedPageBreak/>
        <w:t>Word-LaTeX</w:t>
      </w:r>
    </w:p>
    <w:p w:rsidR="00A6587C" w:rsidRDefault="00A6587C" w:rsidP="00A6587C">
      <w:pPr>
        <w:pStyle w:val="HTMLVorformatiert"/>
        <w:rPr>
          <w:rStyle w:val="HTMLCode"/>
        </w:rPr>
      </w:pPr>
      <w:r>
        <w:rPr>
          <w:rStyle w:val="HTMLCode"/>
        </w:rPr>
        <w:t>\neg\operatorname{Nachweis}(K)\nRightarrow W=1</w:t>
      </w:r>
    </w:p>
    <w:p w:rsidR="00A6587C" w:rsidRDefault="00A6587C" w:rsidP="00A6587C">
      <w:pPr>
        <w:pStyle w:val="StandardWeb"/>
      </w:pPr>
      <w:r>
        <w:t>Diese Trennung rechtfertigt den eigenständigen Status der Unentscheidbarkeit und den zusätzlich eingeführten Prüfdeckungsgrad (C_K^{\mathrm{cov}}). [20]</w:t>
      </w:r>
    </w:p>
    <w:p w:rsidR="00A6587C" w:rsidRDefault="00E50336" w:rsidP="00A6587C">
      <w:r>
        <w:pict>
          <v:rect id="_x0000_i2196" style="width:0;height:1.5pt" o:hralign="center" o:hrstd="t" o:hr="t" fillcolor="#a0a0a0" stroked="f"/>
        </w:pict>
      </w:r>
    </w:p>
    <w:p w:rsidR="00A6587C" w:rsidRDefault="00A6587C" w:rsidP="00A6587C">
      <w:pPr>
        <w:pStyle w:val="berschrift1"/>
      </w:pPr>
      <w:r>
        <w:t>3.3.42.458 Konsistenz und Prüfvollständigkeit</w:t>
      </w:r>
    </w:p>
    <w:p w:rsidR="00A6587C" w:rsidRDefault="00A6587C" w:rsidP="00A6587C">
      <w:pPr>
        <w:pStyle w:val="StandardWeb"/>
      </w:pPr>
      <w:r>
        <w:t>Ein Konsistenzurteil ist nur so aussagekräftig wie die Menge tatsächlich geprüfter relevanter Beziehungen. Deshalb führe ich Konsistenzgrad und Prüfdeckungsgrad bewusst als getrennte Größen. [20]</w:t>
      </w:r>
    </w:p>
    <w:p w:rsidR="00A6587C" w:rsidRDefault="00A6587C" w:rsidP="00A6587C">
      <w:pPr>
        <w:pStyle w:val="StandardWeb"/>
      </w:pPr>
      <w:r>
        <w:t>Ein hoher gemessener Konsistenzgrad</w:t>
      </w:r>
    </w:p>
    <w:p w:rsidR="00A6587C" w:rsidRDefault="00A6587C" w:rsidP="00A6587C">
      <w:pPr>
        <w:pStyle w:val="StandardWeb"/>
      </w:pPr>
      <w:r>
        <w:t>[</w:t>
      </w:r>
      <w:r>
        <w:br/>
        <w:t>R_K\approx1</w:t>
      </w:r>
      <w:r>
        <w:br/>
        <w:t>\tag{3.8456}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R_K\approx1</w:t>
      </w:r>
    </w:p>
    <w:p w:rsidR="00A6587C" w:rsidRDefault="00A6587C" w:rsidP="00A6587C">
      <w:pPr>
        <w:pStyle w:val="StandardWeb"/>
      </w:pPr>
      <w:r>
        <w:t>besitzt bei</w:t>
      </w:r>
    </w:p>
    <w:p w:rsidR="00A6587C" w:rsidRDefault="00A6587C" w:rsidP="00A6587C">
      <w:pPr>
        <w:pStyle w:val="StandardWeb"/>
      </w:pPr>
      <w:r>
        <w:t>[</w:t>
      </w:r>
      <w:r>
        <w:br/>
        <w:t>C_K^{\mathrm{cov}}\ll1</w:t>
      </w:r>
      <w:r>
        <w:br/>
        <w:t>\tag{3.8457}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C_K^{\mathrm{cov}}\ll1</w:t>
      </w:r>
    </w:p>
    <w:p w:rsidR="00A6587C" w:rsidRDefault="00A6587C" w:rsidP="00A6587C">
      <w:pPr>
        <w:pStyle w:val="StandardWeb"/>
      </w:pPr>
      <w:r>
        <w:t>nur eine eingeschränkte Aussagekraft. [20]</w:t>
      </w:r>
    </w:p>
    <w:p w:rsidR="00A6587C" w:rsidRDefault="00A6587C" w:rsidP="00A6587C">
      <w:pPr>
        <w:pStyle w:val="StandardWeb"/>
      </w:pPr>
      <w:r>
        <w:t xml:space="preserve">Die methodische Interpretation lautet daher nicht „die Theorie ist konsistent“, sondern genauer: </w:t>
      </w:r>
      <w:r>
        <w:rPr>
          <w:rStyle w:val="Fett"/>
        </w:rPr>
        <w:t>Innerhalb der bisher geprüften Beziehungen wurde ein hoher Konsistenzgrad festgestellt.</w:t>
      </w:r>
      <w:r>
        <w:t xml:space="preserve"> Erst wenn auch der relevante Prüfdeckungsgrad hinreichend groß ist, darf daraus ein stärkeres Konsistenzurteil abgeleitet werden. [20]</w:t>
      </w:r>
    </w:p>
    <w:p w:rsidR="00A6587C" w:rsidRDefault="00E50336" w:rsidP="00A6587C">
      <w:r>
        <w:pict>
          <v:rect id="_x0000_i2197" style="width:0;height:1.5pt" o:hralign="center" o:hrstd="t" o:hr="t" fillcolor="#a0a0a0" stroked="f"/>
        </w:pict>
      </w:r>
    </w:p>
    <w:p w:rsidR="00A6587C" w:rsidRDefault="00A6587C" w:rsidP="00A6587C">
      <w:pPr>
        <w:pStyle w:val="berschrift1"/>
      </w:pPr>
      <w:r>
        <w:t>3.3.42.459 Konsistenz als revisionsabhängige Eigenschaft</w:t>
      </w:r>
    </w:p>
    <w:p w:rsidR="00A6587C" w:rsidRDefault="00A6587C" w:rsidP="00A6587C">
      <w:pPr>
        <w:pStyle w:val="StandardWeb"/>
      </w:pPr>
      <w:r>
        <w:lastRenderedPageBreak/>
        <w:t>Da wissenschaftliche Theorien verändert, erweitert und präzisiert werden, kann ich Konsistenz nicht als unveränderlichen Zustand auffassen. Jede neue Definition, Gleichung, Hypothese oder empirische Beobachtung kann bestehende Beziehungen verändern. [20]</w:t>
      </w:r>
    </w:p>
    <w:p w:rsidR="00A6587C" w:rsidRDefault="00A6587C" w:rsidP="00A6587C">
      <w:pPr>
        <w:pStyle w:val="StandardWeb"/>
      </w:pPr>
      <w:r>
        <w:t>Daher gilt</w:t>
      </w:r>
    </w:p>
    <w:p w:rsidR="00A6587C" w:rsidRDefault="00A6587C" w:rsidP="00A6587C">
      <w:pPr>
        <w:pStyle w:val="berschrift1"/>
      </w:pPr>
      <w:r>
        <w:t>[</w:t>
      </w:r>
      <w:r>
        <w:br/>
        <w:t>\Sigma_K</w:t>
      </w:r>
    </w:p>
    <w:p w:rsidR="00A6587C" w:rsidRDefault="00A6587C" w:rsidP="00A6587C">
      <w:pPr>
        <w:pStyle w:val="StandardWeb"/>
      </w:pPr>
      <w:r>
        <w:t>\Sigma_K(v).</w:t>
      </w:r>
      <w:r>
        <w:br/>
        <w:t>\tag{3.8458}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\Sigma_K=\Sigma_K(v)</w:t>
      </w:r>
    </w:p>
    <w:p w:rsidR="00A6587C" w:rsidRDefault="00A6587C" w:rsidP="00A6587C">
      <w:pPr>
        <w:pStyle w:val="StandardWeb"/>
      </w:pPr>
      <w:r>
        <w:t>Die Konsistenzsignatur ist an einen konkreten Revisionsstand (v) gebunden. [20]</w:t>
      </w:r>
    </w:p>
    <w:p w:rsidR="00A6587C" w:rsidRDefault="00A6587C" w:rsidP="00A6587C">
      <w:pPr>
        <w:pStyle w:val="StandardWeb"/>
      </w:pPr>
      <w:r>
        <w:t>Damit kann eine Theorie in Revision (v) nach dem damaligen Kenntnisstand widerspruchsfrei sein und in Revision (v+1) einen neu entdeckten Konflikt enthalten. Dies stellt keine methodische Inkonsistenz der wissenschaftlichen Arbeit dar, sondern bildet gerade den normalen Prozess wissenschaftlicher Revision ab. [20]</w:t>
      </w:r>
    </w:p>
    <w:p w:rsidR="00A6587C" w:rsidRDefault="00E50336" w:rsidP="00A6587C">
      <w:r>
        <w:pict>
          <v:rect id="_x0000_i2198" style="width:0;height:1.5pt" o:hralign="center" o:hrstd="t" o:hr="t" fillcolor="#a0a0a0" stroked="f"/>
        </w:pict>
      </w:r>
    </w:p>
    <w:p w:rsidR="00A6587C" w:rsidRDefault="00A6587C" w:rsidP="00A6587C">
      <w:pPr>
        <w:pStyle w:val="berschrift1"/>
      </w:pPr>
      <w:r>
        <w:t>3.3.42.460 Historische Konsistenz</w:t>
      </w:r>
    </w:p>
    <w:p w:rsidR="00A6587C" w:rsidRDefault="00A6587C" w:rsidP="00A6587C">
      <w:pPr>
        <w:pStyle w:val="StandardWeb"/>
      </w:pPr>
      <w:r>
        <w:t>Aus dieser Revisionsabhängigkeit folgt, dass frühere Theorie- und Repository-Stände nicht rückwirkend mit später entwickelten Prüfregeln als „fehlerhaft“ etikettiert werden dürfen, sofern diese Regeln zum damaligen Zeitpunkt noch nicht existierten. [20]</w:t>
      </w:r>
    </w:p>
    <w:p w:rsidR="00A6587C" w:rsidRDefault="00A6587C" w:rsidP="00A6587C">
      <w:pPr>
        <w:pStyle w:val="StandardWeb"/>
      </w:pPr>
      <w:r>
        <w:t>Ich unterscheide daher</w:t>
      </w:r>
    </w:p>
    <w:p w:rsidR="00A6587C" w:rsidRDefault="00A6587C" w:rsidP="00A6587C">
      <w:pPr>
        <w:pStyle w:val="StandardWeb"/>
      </w:pPr>
      <w:r>
        <w:t>[</w:t>
      </w:r>
      <w:r>
        <w:br/>
        <w:t>\Sigma_K^{[v]}</w:t>
      </w:r>
      <w:r>
        <w:br/>
        <w:t>\tag{3.8459}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\Sigma_K^{[v]}</w:t>
      </w:r>
    </w:p>
    <w:p w:rsidR="00A6587C" w:rsidRDefault="00A6587C" w:rsidP="00A6587C">
      <w:pPr>
        <w:pStyle w:val="StandardWeb"/>
      </w:pPr>
      <w:r>
        <w:t>als historische Konsistenzsignatur eines konkreten Revisionsstandes von einer späteren Neubeurteilung desselben Inhalts unter neuen Regeln. [20]</w:t>
      </w:r>
    </w:p>
    <w:p w:rsidR="00A6587C" w:rsidRDefault="00A6587C" w:rsidP="00A6587C">
      <w:pPr>
        <w:pStyle w:val="StandardWeb"/>
      </w:pPr>
      <w:r>
        <w:t xml:space="preserve">Diese Unterscheidung ist insbesondere für ein revisioniertes wissenschaftliches Repository wesentlich. Sie ermöglicht mir später nachzuvollziehen, </w:t>
      </w:r>
      <w:r>
        <w:rPr>
          <w:rStyle w:val="Fett"/>
        </w:rPr>
        <w:t>wann</w:t>
      </w:r>
      <w:r>
        <w:t xml:space="preserve"> eine bestimmte Konsistenzanforderung eingeführt wurde und </w:t>
      </w:r>
      <w:r>
        <w:rPr>
          <w:rStyle w:val="Fett"/>
        </w:rPr>
        <w:t>wann</w:t>
      </w:r>
      <w:r>
        <w:t xml:space="preserve"> ein konkreter Konflikt erstmals erkannt wurde. [20]</w:t>
      </w:r>
    </w:p>
    <w:p w:rsidR="00A6587C" w:rsidRDefault="00E50336" w:rsidP="00A6587C">
      <w:r>
        <w:lastRenderedPageBreak/>
        <w:pict>
          <v:rect id="_x0000_i2199" style="width:0;height:1.5pt" o:hralign="center" o:hrstd="t" o:hr="t" fillcolor="#a0a0a0" stroked="f"/>
        </w:pict>
      </w:r>
    </w:p>
    <w:p w:rsidR="00A6587C" w:rsidRDefault="00A6587C" w:rsidP="00A6587C">
      <w:pPr>
        <w:pStyle w:val="berschrift1"/>
      </w:pPr>
      <w:r>
        <w:t>3.3.42.461 Keine automatische Rückprojektion neuer Prüfregeln</w:t>
      </w:r>
    </w:p>
    <w:p w:rsidR="00A6587C" w:rsidRDefault="00A6587C" w:rsidP="00A6587C">
      <w:pPr>
        <w:pStyle w:val="StandardWeb"/>
      </w:pPr>
      <w:r>
        <w:t>Eine neu eingeführte Prüfregel</w:t>
      </w:r>
    </w:p>
    <w:p w:rsidR="00A6587C" w:rsidRDefault="00A6587C" w:rsidP="00A6587C">
      <w:pPr>
        <w:pStyle w:val="StandardWeb"/>
      </w:pPr>
      <w:r>
        <w:t>[</w:t>
      </w:r>
      <w:r>
        <w:br/>
        <w:t>r_K^{(v+1)}</w:t>
      </w:r>
      <w:r>
        <w:br/>
        <w:t>\tag{3.8460}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r_K^{(v+1)}</w:t>
      </w:r>
    </w:p>
    <w:p w:rsidR="00A6587C" w:rsidRDefault="00A6587C" w:rsidP="00A6587C">
      <w:pPr>
        <w:pStyle w:val="StandardWeb"/>
      </w:pPr>
      <w:r>
        <w:t>wird deshalb nicht automatisch als bereits in Revision (v) erfüllt behandelt. [20]</w:t>
      </w:r>
    </w:p>
    <w:p w:rsidR="00A6587C" w:rsidRDefault="00A6587C" w:rsidP="00A6587C">
      <w:pPr>
        <w:pStyle w:val="StandardWeb"/>
      </w:pPr>
      <w:r>
        <w:t>Formal gilt</w:t>
      </w:r>
    </w:p>
    <w:p w:rsidR="00A6587C" w:rsidRDefault="00A6587C" w:rsidP="00A6587C">
      <w:pPr>
        <w:pStyle w:val="berschrift1"/>
      </w:pPr>
      <w:r>
        <w:t>[</w:t>
      </w:r>
      <w:r>
        <w:br/>
        <w:t>r_K^{(v+1)}</w:t>
      </w:r>
      <w:r>
        <w:br/>
        <w:t>\notin</w:t>
      </w:r>
      <w:r>
        <w:br/>
        <w:t>\mathfrak R_K^{(v)}</w:t>
      </w:r>
      <w:r>
        <w:br/>
        <w:t>\Rightarrow</w:t>
      </w:r>
      <w:r>
        <w:br/>
        <w:t>\operatorname{status}</w:t>
      </w:r>
      <w:r>
        <w:br/>
        <w:t>\left(</w:t>
      </w:r>
      <w:r>
        <w:br/>
        <w:t>r_K^{(v+1)},v</w:t>
      </w:r>
      <w:r>
        <w:br/>
        <w:t>\right)</w:t>
      </w:r>
    </w:p>
    <w:p w:rsidR="00A6587C" w:rsidRDefault="00A6587C" w:rsidP="00A6587C">
      <w:pPr>
        <w:pStyle w:val="StandardWeb"/>
      </w:pPr>
      <w:r>
        <w:t>\mathbf{nicht\ geprüft}.</w:t>
      </w:r>
      <w:r>
        <w:br/>
        <w:t>\tag{3.8461}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r_K^{(v+1)}\notin\mathfrak R_K^{(v)}\Rightarrow\operatorname{status}\left(r_K^{(v+1)},v\right)=\mathbf{nicht\ geprüft}</w:t>
      </w:r>
    </w:p>
    <w:p w:rsidR="00A6587C" w:rsidRDefault="00A6587C" w:rsidP="00A6587C">
      <w:pPr>
        <w:pStyle w:val="StandardWeb"/>
      </w:pPr>
      <w:r>
        <w:t>Damit verhindere ich eine methodisch unzulässige rückwirkende Bestätigung historischer Theorieversionen. [20]</w:t>
      </w:r>
    </w:p>
    <w:p w:rsidR="00A6587C" w:rsidRDefault="00E50336" w:rsidP="00A6587C">
      <w:r>
        <w:pict>
          <v:rect id="_x0000_i2200" style="width:0;height:1.5pt" o:hralign="center" o:hrstd="t" o:hr="t" fillcolor="#a0a0a0" stroked="f"/>
        </w:pict>
      </w:r>
    </w:p>
    <w:p w:rsidR="00A6587C" w:rsidRDefault="00A6587C" w:rsidP="00A6587C">
      <w:pPr>
        <w:pStyle w:val="berschrift1"/>
      </w:pPr>
      <w:r>
        <w:lastRenderedPageBreak/>
        <w:t>3.3.42.462 Methodologische Bedeutung offener Konflikte</w:t>
      </w:r>
    </w:p>
    <w:p w:rsidR="00A6587C" w:rsidRDefault="00A6587C" w:rsidP="00A6587C">
      <w:pPr>
        <w:pStyle w:val="StandardWeb"/>
      </w:pPr>
      <w:r>
        <w:t>Ein besonders wichtiger Bestandteil meiner Konstruktion ist die Möglichkeit, Konflikte ausdrücklich offen zu lassen. Wissenschaftliche Redlichkeit verlangt nicht, für jede erkannte Inkonsistenz sofort eine scheinbar eindeutige Lösung zu erzeugen. [20]</w:t>
      </w:r>
    </w:p>
    <w:p w:rsidR="00A6587C" w:rsidRDefault="00A6587C" w:rsidP="00A6587C">
      <w:pPr>
        <w:pStyle w:val="StandardWeb"/>
      </w:pPr>
      <w:r>
        <w:t>Kann anhand der vorhandenen Evidenz nicht begründet entschieden werden, welche Aussage, Definition, Modellstruktur oder Randbedingung revidiert werden muss, erhält der Konflikt den Status</w:t>
      </w:r>
    </w:p>
    <w:p w:rsidR="00A6587C" w:rsidRDefault="00A6587C" w:rsidP="00A6587C">
      <w:pPr>
        <w:pStyle w:val="StandardWeb"/>
      </w:pPr>
      <w:r>
        <w:t>[</w:t>
      </w:r>
      <w:r>
        <w:br/>
        <w:t>s_W=\mathbf{offen}.</w:t>
      </w:r>
      <w:r>
        <w:br/>
        <w:t>\tag{3.8462}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s_W=\mathbf{offen}</w:t>
      </w:r>
    </w:p>
    <w:p w:rsidR="00A6587C" w:rsidRDefault="00A6587C" w:rsidP="00A6587C">
      <w:pPr>
        <w:pStyle w:val="StandardWeb"/>
      </w:pPr>
      <w:r>
        <w:t>Dies ist innerhalb meiner Methodik ein legitimer wissenschaftlicher Zustand. [20]</w:t>
      </w:r>
    </w:p>
    <w:p w:rsidR="00A6587C" w:rsidRDefault="00A6587C" w:rsidP="00A6587C">
      <w:pPr>
        <w:pStyle w:val="StandardWeb"/>
      </w:pPr>
      <w:r>
        <w:t>Der offene Status verhindert, dass ungeklärte Konflikte durch nachträgliche Einschränkungen des Gültigkeitsbereichs, willkürliche Parameteränderungen oder semantische Umdefinitionen lediglich formal beseitigt werden. [20]</w:t>
      </w:r>
    </w:p>
    <w:p w:rsidR="00A6587C" w:rsidRDefault="00E50336" w:rsidP="00A6587C">
      <w:r>
        <w:pict>
          <v:rect id="_x0000_i2201" style="width:0;height:1.5pt" o:hralign="center" o:hrstd="t" o:hr="t" fillcolor="#a0a0a0" stroked="f"/>
        </w:pict>
      </w:r>
    </w:p>
    <w:p w:rsidR="00A6587C" w:rsidRDefault="00A6587C" w:rsidP="00A6587C">
      <w:pPr>
        <w:pStyle w:val="berschrift1"/>
      </w:pPr>
      <w:r>
        <w:t>3.3.42.463 Schutz vor ad-hoc-Korrekturen</w:t>
      </w:r>
    </w:p>
    <w:p w:rsidR="00A6587C" w:rsidRDefault="00A6587C" w:rsidP="00A6587C">
      <w:pPr>
        <w:pStyle w:val="StandardWeb"/>
      </w:pPr>
      <w:r>
        <w:t>Die bereits eingeführte Begründungsbedingung (J_R) besitzt deshalb eine zentrale methodologische Funktion. Eine Konfliktauflösung darf nur dann als wissenschaftlich gültig gelten, wenn die vorgenommene Revision unabhängig begründet werden kann. [20]</w:t>
      </w:r>
    </w:p>
    <w:p w:rsidR="00A6587C" w:rsidRDefault="00A6587C" w:rsidP="00A6587C">
      <w:pPr>
        <w:pStyle w:val="StandardWeb"/>
      </w:pPr>
      <w:r>
        <w:t>Ich fasse diese Bedingung zusammen als</w:t>
      </w:r>
    </w:p>
    <w:p w:rsidR="00A6587C" w:rsidRDefault="00A6587C" w:rsidP="00A6587C">
      <w:pPr>
        <w:pStyle w:val="StandardWeb"/>
      </w:pPr>
      <w:r>
        <w:t>[</w:t>
      </w:r>
      <w:r>
        <w:br/>
        <w:t>\boxed{</w:t>
      </w:r>
      <w:r>
        <w:br/>
        <w:t>\mathcal R_W^{\mathrm{gültig}}</w:t>
      </w:r>
      <w:r>
        <w:br/>
        <w:t>\Longrightarrow</w:t>
      </w:r>
      <w:r>
        <w:br/>
        <w:t>J_R=1</w:t>
      </w:r>
      <w:r>
        <w:br/>
        <w:t>}</w:t>
      </w:r>
      <w:r>
        <w:br/>
        <w:t>\tag{3.8463}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\boxed{\mathcal R_W^{\mathrm{gültig}}\Longrightarrow J_R=1}</w:t>
      </w:r>
    </w:p>
    <w:p w:rsidR="00A6587C" w:rsidRDefault="00A6587C" w:rsidP="00A6587C">
      <w:pPr>
        <w:pStyle w:val="StandardWeb"/>
      </w:pPr>
      <w:r>
        <w:lastRenderedPageBreak/>
        <w:t>Eine Änderung, die ausschließlich deshalb vorgenommen wird, weil sie einen unerwünschten Widerspruch beseitigt, besitzt ohne weitere Begründung keinen ausreichenden wissenschaftlichen Status. [20]</w:t>
      </w:r>
    </w:p>
    <w:p w:rsidR="00A6587C" w:rsidRDefault="00E50336" w:rsidP="00A6587C">
      <w:r>
        <w:pict>
          <v:rect id="_x0000_i2202" style="width:0;height:1.5pt" o:hralign="center" o:hrstd="t" o:hr="t" fillcolor="#a0a0a0" stroked="f"/>
        </w:pict>
      </w:r>
    </w:p>
    <w:p w:rsidR="00A6587C" w:rsidRDefault="00A6587C" w:rsidP="00A6587C">
      <w:pPr>
        <w:pStyle w:val="berschrift1"/>
      </w:pPr>
      <w:r>
        <w:t>3.3.42.464 Methodologische Bedeutung der minimalen Revision</w:t>
      </w:r>
    </w:p>
    <w:p w:rsidR="00A6587C" w:rsidRDefault="00A6587C" w:rsidP="00A6587C">
      <w:pPr>
        <w:pStyle w:val="StandardWeb"/>
      </w:pPr>
      <w:r>
        <w:t>Die Forderung nach einer möglichst kleinen Änderung bedeutet nicht, dass ich die bestehende Theorie grundsätzlich schützen möchte. Sie dient vielmehr dazu, die Ursache eines Konflikts möglichst genau zu lokalisieren. [20]</w:t>
      </w:r>
    </w:p>
    <w:p w:rsidR="00A6587C" w:rsidRDefault="00A6587C" w:rsidP="00A6587C">
      <w:pPr>
        <w:pStyle w:val="StandardWeb"/>
      </w:pPr>
      <w:r>
        <w:t>Wird beispielsweise ein Konflikt bereits durch die Korrektur einer fehlerhaft angegebenen Parameterdomäne beseitigt, wäre eine vollständige Änderung des zugrunde liegenden Modells nicht gerechtfertigt. Umgekehrt darf eine notwendige grundlegende Modellrevision nicht dadurch verhindert werden, dass eine kleinere, aber wissenschaftlich unbegründete Änderung mathematisch ebenfalls Konsistenz erzeugen würde. [20]</w:t>
      </w:r>
    </w:p>
    <w:p w:rsidR="00A6587C" w:rsidRDefault="00A6587C" w:rsidP="00A6587C">
      <w:pPr>
        <w:pStyle w:val="StandardWeb"/>
      </w:pPr>
      <w:r>
        <w:t>Deshalb stehen die beiden Bedingungen</w:t>
      </w:r>
    </w:p>
    <w:p w:rsidR="00A6587C" w:rsidRDefault="00A6587C" w:rsidP="00A6587C">
      <w:pPr>
        <w:pStyle w:val="StandardWeb"/>
      </w:pPr>
      <w:r>
        <w:t>[</w:t>
      </w:r>
      <w:r>
        <w:br/>
        <w:t>d_R\rightarrow\min</w:t>
      </w:r>
      <w:r>
        <w:br/>
        <w:t>\tag{3.8464}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d_R\rightarrow\min</w:t>
      </w:r>
    </w:p>
    <w:p w:rsidR="00A6587C" w:rsidRDefault="00A6587C" w:rsidP="00A6587C">
      <w:pPr>
        <w:pStyle w:val="StandardWeb"/>
      </w:pPr>
      <w:r>
        <w:t>und</w:t>
      </w:r>
    </w:p>
    <w:p w:rsidR="00A6587C" w:rsidRDefault="00A6587C" w:rsidP="00A6587C">
      <w:pPr>
        <w:pStyle w:val="StandardWeb"/>
      </w:pPr>
      <w:r>
        <w:t>[</w:t>
      </w:r>
      <w:r>
        <w:br/>
        <w:t>J_R=1</w:t>
      </w:r>
      <w:r>
        <w:br/>
        <w:t>\tag{3.8465}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J_R=1</w:t>
      </w:r>
    </w:p>
    <w:p w:rsidR="00A6587C" w:rsidRDefault="00A6587C" w:rsidP="00A6587C">
      <w:pPr>
        <w:pStyle w:val="StandardWeb"/>
      </w:pPr>
      <w:r>
        <w:t>gleichzeitig im Zentrum der Reparaturlogik. [20]</w:t>
      </w:r>
    </w:p>
    <w:p w:rsidR="00A6587C" w:rsidRDefault="00E50336" w:rsidP="00A6587C">
      <w:r>
        <w:pict>
          <v:rect id="_x0000_i2203" style="width:0;height:1.5pt" o:hralign="center" o:hrstd="t" o:hr="t" fillcolor="#a0a0a0" stroked="f"/>
        </w:pict>
      </w:r>
    </w:p>
    <w:p w:rsidR="00A6587C" w:rsidRDefault="00A6587C" w:rsidP="00A6587C">
      <w:pPr>
        <w:pStyle w:val="berschrift1"/>
      </w:pPr>
      <w:r>
        <w:t>3.3.42.465 Konsistenz und empirische Falsifikation</w:t>
      </w:r>
    </w:p>
    <w:p w:rsidR="00A6587C" w:rsidRDefault="00A6587C" w:rsidP="00A6587C">
      <w:pPr>
        <w:pStyle w:val="StandardWeb"/>
      </w:pPr>
      <w:r>
        <w:t>Ein mathematisch oder semantisch festgestellter Konflikt zwischen zwei Aussagen identifiziert zunächst nur deren gemeinsame Unvereinbarkeit. Er entscheidet noch nicht, welche Aussage empirisch verworfen werden muss. [20]</w:t>
      </w:r>
    </w:p>
    <w:p w:rsidR="00A6587C" w:rsidRDefault="00A6587C" w:rsidP="00A6587C">
      <w:pPr>
        <w:pStyle w:val="StandardWeb"/>
      </w:pPr>
      <w:r>
        <w:lastRenderedPageBreak/>
        <w:t>Aus</w:t>
      </w:r>
    </w:p>
    <w:p w:rsidR="00A6587C" w:rsidRDefault="00A6587C" w:rsidP="00A6587C">
      <w:pPr>
        <w:pStyle w:val="StandardWeb"/>
      </w:pPr>
      <w:r>
        <w:t>[</w:t>
      </w:r>
      <w:r>
        <w:br/>
        <w:t>K_F(A_i,A_j)=0</w:t>
      </w:r>
      <w:r>
        <w:br/>
        <w:t>\tag{3.8466}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K_F(A_i,A_j)=0</w:t>
      </w:r>
    </w:p>
    <w:p w:rsidR="00A6587C" w:rsidRDefault="00A6587C" w:rsidP="00A6587C">
      <w:pPr>
        <w:pStyle w:val="StandardWeb"/>
      </w:pPr>
      <w:r>
        <w:t>folgt lediglich, dass</w:t>
      </w:r>
    </w:p>
    <w:p w:rsidR="00A6587C" w:rsidRDefault="00A6587C" w:rsidP="00A6587C">
      <w:pPr>
        <w:pStyle w:val="StandardWeb"/>
      </w:pPr>
      <w:r>
        <w:t>[</w:t>
      </w:r>
      <w:r>
        <w:br/>
        <w:t>A_i</w:t>
      </w:r>
      <w:r>
        <w:br/>
        <w:t>\land</w:t>
      </w:r>
      <w:r>
        <w:br/>
        <w:t>A_j</w:t>
      </w:r>
      <w:r>
        <w:br/>
        <w:t>]</w:t>
      </w:r>
    </w:p>
    <w:p w:rsidR="00A6587C" w:rsidRDefault="00A6587C" w:rsidP="00A6587C">
      <w:pPr>
        <w:pStyle w:val="StandardWeb"/>
      </w:pPr>
      <w:r>
        <w:t>unter den geprüften gemeinsamen Bedingungen nicht gleichzeitig als gültige Aussagebasis verwendet werden dürfen. [20]</w:t>
      </w:r>
    </w:p>
    <w:p w:rsidR="00A6587C" w:rsidRDefault="00A6587C" w:rsidP="00A6587C">
      <w:pPr>
        <w:pStyle w:val="StandardWeb"/>
      </w:pPr>
      <w:r>
        <w:t>Welche Aussage gegebenenfalls revidiert werden muss, hängt von zusätzlichen Evidenz-, Validitäts-, Stabilitäts-, Modell- und Unsicherheitsinformationen ab. [20]</w:t>
      </w:r>
    </w:p>
    <w:p w:rsidR="00A6587C" w:rsidRDefault="00E50336" w:rsidP="00A6587C">
      <w:r>
        <w:pict>
          <v:rect id="_x0000_i2204" style="width:0;height:1.5pt" o:hralign="center" o:hrstd="t" o:hr="t" fillcolor="#a0a0a0" stroked="f"/>
        </w:pict>
      </w:r>
    </w:p>
    <w:p w:rsidR="00A6587C" w:rsidRDefault="00A6587C" w:rsidP="00A6587C">
      <w:pPr>
        <w:pStyle w:val="berschrift1"/>
      </w:pPr>
      <w:r>
        <w:t>3.3.42.466 Konsistenz ist keine Mehrheitsentscheidung</w:t>
      </w:r>
    </w:p>
    <w:p w:rsidR="00A6587C" w:rsidRDefault="00A6587C" w:rsidP="00A6587C">
      <w:pPr>
        <w:pStyle w:val="StandardWeb"/>
      </w:pPr>
      <w:r>
        <w:t>Aus demselben Grund lehne ich eine einfache Mehrheitslogik für Konfliktentscheidungen ab. Eine Aussage wird nicht dadurch richtig, dass sie mit einer größeren Anzahl anderer Aussagen konsistent ist. [20]</w:t>
      </w:r>
    </w:p>
    <w:p w:rsidR="00A6587C" w:rsidRDefault="00A6587C" w:rsidP="00A6587C">
      <w:pPr>
        <w:pStyle w:val="StandardWeb"/>
      </w:pPr>
      <w:r>
        <w:t>Formal gilt</w:t>
      </w:r>
    </w:p>
    <w:p w:rsidR="00A6587C" w:rsidRDefault="00A6587C" w:rsidP="00A6587C">
      <w:pPr>
        <w:pStyle w:val="StandardWeb"/>
      </w:pPr>
      <w:r>
        <w:t>[</w:t>
      </w:r>
      <w:r>
        <w:br/>
        <w:t>d_i^{K}&gt;d_j^{K}</w:t>
      </w:r>
      <w:r>
        <w:br/>
        <w:t>\nRightarrow</w:t>
      </w:r>
      <w:r>
        <w:br/>
        <w:t>A_i\text{ wahr}.</w:t>
      </w:r>
      <w:r>
        <w:br/>
        <w:t>\tag{3.8467}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d_i^{K}&gt;d_j^{K}\nRightarrow A_i\text{ wahr}</w:t>
      </w:r>
    </w:p>
    <w:p w:rsidR="00A6587C" w:rsidRDefault="00A6587C" w:rsidP="00A6587C">
      <w:pPr>
        <w:pStyle w:val="StandardWeb"/>
      </w:pPr>
      <w:r>
        <w:t>Der Konsistenzgrad eines Knotens ist eine Strukturinformation, keine Wahrheitswahrscheinlichkeit. [20]</w:t>
      </w:r>
    </w:p>
    <w:p w:rsidR="00A6587C" w:rsidRDefault="00A6587C" w:rsidP="00A6587C">
      <w:pPr>
        <w:pStyle w:val="StandardWeb"/>
      </w:pPr>
      <w:r>
        <w:lastRenderedPageBreak/>
        <w:t>Dasselbe gilt für Konfliktzentralität, Stabilitätsgewicht, Evidenzzahl und Reproduzierbarkeit. Diese Größen können die Diagnose eines Konflikts unterstützen, dürfen aber nicht unbemerkt in ein Wahrheitsprädikat umgedeutet werden. [20]</w:t>
      </w:r>
    </w:p>
    <w:p w:rsidR="00A6587C" w:rsidRDefault="00E50336" w:rsidP="00A6587C">
      <w:r>
        <w:pict>
          <v:rect id="_x0000_i2205" style="width:0;height:1.5pt" o:hralign="center" o:hrstd="t" o:hr="t" fillcolor="#a0a0a0" stroked="f"/>
        </w:pict>
      </w:r>
    </w:p>
    <w:p w:rsidR="00A6587C" w:rsidRDefault="00A6587C" w:rsidP="00A6587C">
      <w:pPr>
        <w:pStyle w:val="berschrift1"/>
      </w:pPr>
      <w:r>
        <w:t>3.3.42.467 Methodologische Bedeutung der Mehrdimensionalität</w:t>
      </w:r>
    </w:p>
    <w:p w:rsidR="00A6587C" w:rsidRDefault="00A6587C" w:rsidP="00A6587C">
      <w:pPr>
        <w:pStyle w:val="StandardWeb"/>
      </w:pPr>
      <w:r>
        <w:t>Die in diesem Abschnitt entwickelte Mehrdimensionalität ist deshalb keine mathematische Verzierung. Sie verhindert, dass unterschiedliche wissenschaftliche Eigenschaften zu einer einzelnen Zahl verschmolzen werden. [20]</w:t>
      </w:r>
    </w:p>
    <w:p w:rsidR="00A6587C" w:rsidRDefault="00A6587C" w:rsidP="00A6587C">
      <w:pPr>
        <w:pStyle w:val="StandardWeb"/>
      </w:pPr>
      <w:r>
        <w:t>Ich unterscheide mindestens</w:t>
      </w:r>
    </w:p>
    <w:p w:rsidR="00A6587C" w:rsidRDefault="00A6587C" w:rsidP="00A6587C">
      <w:pPr>
        <w:pStyle w:val="berschrift1"/>
      </w:pPr>
      <w:r>
        <w:t>[</w:t>
      </w:r>
      <w:r>
        <w:br/>
        <w:t>\mathbf Q_F</w:t>
      </w:r>
    </w:p>
    <w:p w:rsidR="00A6587C" w:rsidRDefault="00A6587C" w:rsidP="00A6587C">
      <w:pPr>
        <w:pStyle w:val="StandardWeb"/>
      </w:pPr>
      <w:r>
        <w:t>\left(</w:t>
      </w:r>
      <w:r>
        <w:br/>
        <w:t>\Sigma_S,</w:t>
      </w:r>
      <w:r>
        <w:br/>
        <w:t>\Sigma_K,</w:t>
      </w:r>
      <w:r>
        <w:br/>
        <w:t>V,</w:t>
      </w:r>
      <w:r>
        <w:br/>
        <w:t>U,</w:t>
      </w:r>
      <w:r>
        <w:br/>
        <w:t>E</w:t>
      </w:r>
      <w:r>
        <w:br/>
        <w:t>\right).</w:t>
      </w:r>
      <w:r>
        <w:br/>
        <w:t>\tag{3.8468}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\mathbf Q_F=\left(\Sigma_S,\Sigma_K,V,U,E\right)</w:t>
      </w:r>
    </w:p>
    <w:p w:rsidR="00A6587C" w:rsidRDefault="00A6587C" w:rsidP="00A6587C">
      <w:pPr>
        <w:pStyle w:val="StandardWeb"/>
      </w:pPr>
      <w:r>
        <w:t>Stabilität, Konsistenz, Validität, Unsicherheit und Evidenz bleiben damit getrennt sichtbar. [20]</w:t>
      </w:r>
    </w:p>
    <w:p w:rsidR="00A6587C" w:rsidRDefault="00A6587C" w:rsidP="00A6587C">
      <w:pPr>
        <w:pStyle w:val="StandardWeb"/>
      </w:pPr>
      <w:r>
        <w:t>Gerade diese Trennung ist für das FRZK notwendig, weil ein Modell gleichzeitig stabil, aber inkonsistent; konsistent, aber empirisch unzureichend; valide, aber unsicher; oder reproduzierbar, aber semantisch problematisch sein kann. [20]</w:t>
      </w:r>
    </w:p>
    <w:p w:rsidR="00A6587C" w:rsidRDefault="00E50336" w:rsidP="00A6587C">
      <w:r>
        <w:pict>
          <v:rect id="_x0000_i2206" style="width:0;height:1.5pt" o:hralign="center" o:hrstd="t" o:hr="t" fillcolor="#a0a0a0" stroked="f"/>
        </w:pict>
      </w:r>
    </w:p>
    <w:p w:rsidR="00A6587C" w:rsidRDefault="00A6587C" w:rsidP="00A6587C">
      <w:pPr>
        <w:pStyle w:val="berschrift1"/>
      </w:pPr>
      <w:r>
        <w:t>3.3.42.468 Keine verpflichtende Skalierung auf einen Qualitätswert</w:t>
      </w:r>
    </w:p>
    <w:p w:rsidR="00A6587C" w:rsidRDefault="00A6587C" w:rsidP="00A6587C">
      <w:pPr>
        <w:pStyle w:val="StandardWeb"/>
      </w:pPr>
      <w:r>
        <w:t xml:space="preserve">Aus methodologischen Gründen definiere ich deshalb </w:t>
      </w:r>
      <w:r>
        <w:rPr>
          <w:rStyle w:val="Fett"/>
        </w:rPr>
        <w:t>keinen universellen Gesamtwert</w:t>
      </w:r>
      <w:r>
        <w:t>, der sämtliche wissenschaftlichen Qualitätsdimensionen zwingend auf eine einzige Zahl reduziert. [20]</w:t>
      </w:r>
    </w:p>
    <w:p w:rsidR="00A6587C" w:rsidRDefault="00A6587C" w:rsidP="00A6587C">
      <w:pPr>
        <w:pStyle w:val="StandardWeb"/>
      </w:pPr>
      <w:r>
        <w:lastRenderedPageBreak/>
        <w:t>Eine Abbildung</w:t>
      </w:r>
    </w:p>
    <w:p w:rsidR="00A6587C" w:rsidRDefault="00A6587C" w:rsidP="00A6587C">
      <w:pPr>
        <w:pStyle w:val="StandardWeb"/>
      </w:pPr>
      <w:r>
        <w:t>[</w:t>
      </w:r>
      <w:r>
        <w:br/>
        <w:t>Q:</w:t>
      </w:r>
      <w:r>
        <w:br/>
        <w:t>\mathbf Q_F</w:t>
      </w:r>
      <w:r>
        <w:br/>
        <w:t>\rightarrow</w:t>
      </w:r>
      <w:r>
        <w:br/>
        <w:t>q\in\mathbb R</w:t>
      </w:r>
      <w:r>
        <w:br/>
        <w:t>\tag{3.8469}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Q:\mathbf Q_F\rightarrow q\in\mathbb R</w:t>
      </w:r>
    </w:p>
    <w:p w:rsidR="00A6587C" w:rsidRDefault="00A6587C" w:rsidP="00A6587C">
      <w:pPr>
        <w:pStyle w:val="StandardWeb"/>
      </w:pPr>
      <w:r>
        <w:t>kann für konkrete Anwendungen sinnvoll sein, ist aber kein Primärbestandteil der FRZK-Axiomatik. [20]</w:t>
      </w:r>
    </w:p>
    <w:p w:rsidR="00A6587C" w:rsidRDefault="00A6587C" w:rsidP="00A6587C">
      <w:pPr>
        <w:pStyle w:val="StandardWeb"/>
      </w:pPr>
      <w:r>
        <w:t>Soll eine solche Reduktion verwendet werden, müssen Auswahl, Gewichtung und Kompensationsregeln der einzelnen Komponenten eigenständig begründet werden. [20]</w:t>
      </w:r>
    </w:p>
    <w:p w:rsidR="00A6587C" w:rsidRDefault="00E50336" w:rsidP="00A6587C">
      <w:r>
        <w:pict>
          <v:rect id="_x0000_i2207" style="width:0;height:1.5pt" o:hralign="center" o:hrstd="t" o:hr="t" fillcolor="#a0a0a0" stroked="f"/>
        </w:pict>
      </w:r>
    </w:p>
    <w:p w:rsidR="00A6587C" w:rsidRDefault="00A6587C" w:rsidP="00A6587C">
      <w:pPr>
        <w:pStyle w:val="berschrift1"/>
      </w:pPr>
      <w:r>
        <w:t>3.3.42.469 Konsistenz und Modellpluralismus</w:t>
      </w:r>
    </w:p>
    <w:p w:rsidR="00A6587C" w:rsidRDefault="00A6587C" w:rsidP="00A6587C">
      <w:pPr>
        <w:pStyle w:val="StandardWeb"/>
      </w:pPr>
      <w:r>
        <w:t>Die entwickelte Struktur erlaubt ausdrücklich, dass mehrere unterschiedliche Modelle gleichzeitig wissenschaftlich zulässig sein können. Unterschiedlichkeit ist nicht gleichbedeutend mit Widerspruch. [35]</w:t>
      </w:r>
    </w:p>
    <w:p w:rsidR="00A6587C" w:rsidRDefault="00A6587C" w:rsidP="00A6587C">
      <w:pPr>
        <w:pStyle w:val="StandardWeb"/>
      </w:pPr>
      <w:r>
        <w:t>Für zwei Modelle kann gelten</w:t>
      </w:r>
    </w:p>
    <w:p w:rsidR="00A6587C" w:rsidRDefault="00A6587C" w:rsidP="00A6587C">
      <w:pPr>
        <w:pStyle w:val="StandardWeb"/>
      </w:pPr>
      <w:r>
        <w:t>[</w:t>
      </w:r>
      <w:r>
        <w:br/>
        <w:t>M_1\neq M_2</w:t>
      </w:r>
      <w:r>
        <w:br/>
        <w:t>\tag{3.8470}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M_1\neq M_2</w:t>
      </w:r>
    </w:p>
    <w:p w:rsidR="00A6587C" w:rsidRDefault="00A6587C" w:rsidP="00A6587C">
      <w:pPr>
        <w:pStyle w:val="StandardWeb"/>
      </w:pPr>
      <w:r>
        <w:t>und dennoch</w:t>
      </w:r>
    </w:p>
    <w:p w:rsidR="00A6587C" w:rsidRDefault="00A6587C" w:rsidP="00A6587C">
      <w:pPr>
        <w:pStyle w:val="StandardWeb"/>
      </w:pPr>
      <w:r>
        <w:t>[</w:t>
      </w:r>
      <w:r>
        <w:br/>
        <w:t>K_F(M_1,M_2)=1.</w:t>
      </w:r>
      <w:r>
        <w:br/>
        <w:t>\tag{3.8471}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K_F(M_1,M_2)=1</w:t>
      </w:r>
    </w:p>
    <w:p w:rsidR="00A6587C" w:rsidRDefault="00A6587C" w:rsidP="00A6587C">
      <w:pPr>
        <w:pStyle w:val="StandardWeb"/>
      </w:pPr>
      <w:r>
        <w:lastRenderedPageBreak/>
        <w:t>Dies ist insbesondere dann möglich, wenn die Modelle unterschiedliche Beschreibungsebenen, Gültigkeitsregime oder komplementäre Teilaspekte desselben Systems erfassen. [35]</w:t>
      </w:r>
    </w:p>
    <w:p w:rsidR="00A6587C" w:rsidRDefault="00E50336" w:rsidP="00A6587C">
      <w:r>
        <w:pict>
          <v:rect id="_x0000_i2208" style="width:0;height:1.5pt" o:hralign="center" o:hrstd="t" o:hr="t" fillcolor="#a0a0a0" stroked="f"/>
        </w:pict>
      </w:r>
    </w:p>
    <w:p w:rsidR="00A6587C" w:rsidRDefault="00A6587C" w:rsidP="00A6587C">
      <w:pPr>
        <w:pStyle w:val="berschrift1"/>
      </w:pPr>
      <w:r>
        <w:t>3.3.42.470 Konsistenz zwischen Beschreibungsebenen</w:t>
      </w:r>
    </w:p>
    <w:p w:rsidR="00A6587C" w:rsidRDefault="00A6587C" w:rsidP="00A6587C">
      <w:pPr>
        <w:pStyle w:val="StandardWeb"/>
      </w:pPr>
      <w:r>
        <w:t>Gerade beim Übergang zwischen Mikro-, Meso- und Makroebenen darf ich unterschiedliche Aussagen nicht unmittelbar gleichsetzen. Eine Aggregation oder Reduktion kann wissenschaftlich relevante Strukturen verändern. [35]</w:t>
      </w:r>
    </w:p>
    <w:p w:rsidR="00A6587C" w:rsidRDefault="00A6587C" w:rsidP="00A6587C">
      <w:pPr>
        <w:pStyle w:val="StandardWeb"/>
      </w:pPr>
      <w:r>
        <w:t>Deshalb muss eine geeignete Abbildung</w:t>
      </w:r>
    </w:p>
    <w:p w:rsidR="00A6587C" w:rsidRDefault="00A6587C" w:rsidP="00A6587C">
      <w:pPr>
        <w:pStyle w:val="StandardWeb"/>
      </w:pPr>
      <w:r>
        <w:t>[</w:t>
      </w:r>
      <w:r>
        <w:br/>
        <w:t>\mathcal R_{\mu\rightarrow M}</w:t>
      </w:r>
      <w:r>
        <w:br/>
        <w:t>\tag{3.8472}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\mathcal R_{\mu\rightarrow M}</w:t>
      </w:r>
    </w:p>
    <w:p w:rsidR="00A6587C" w:rsidRDefault="00A6587C" w:rsidP="00A6587C">
      <w:pPr>
        <w:pStyle w:val="StandardWeb"/>
      </w:pPr>
      <w:r>
        <w:t>oder</w:t>
      </w:r>
    </w:p>
    <w:p w:rsidR="00A6587C" w:rsidRDefault="00A6587C" w:rsidP="00A6587C">
      <w:pPr>
        <w:pStyle w:val="StandardWeb"/>
      </w:pPr>
      <w:r>
        <w:t>[</w:t>
      </w:r>
      <w:r>
        <w:br/>
        <w:t>\mathcal A_{\mu\rightarrow M}</w:t>
      </w:r>
      <w:r>
        <w:br/>
        <w:t>\tag{3.8473}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\mathcal A_{\mu\rightarrow M}</w:t>
      </w:r>
    </w:p>
    <w:p w:rsidR="00A6587C" w:rsidRDefault="00A6587C" w:rsidP="00A6587C">
      <w:pPr>
        <w:pStyle w:val="StandardWeb"/>
      </w:pPr>
      <w:r>
        <w:t>explizit angegeben werden, bevor Aussagen unterschiedlicher Ebenen als konsistent oder widersprüchlich bewertet werden. [35]</w:t>
      </w:r>
    </w:p>
    <w:p w:rsidR="00A6587C" w:rsidRDefault="00E50336" w:rsidP="00A6587C">
      <w:r>
        <w:pict>
          <v:rect id="_x0000_i2209" style="width:0;height:1.5pt" o:hralign="center" o:hrstd="t" o:hr="t" fillcolor="#a0a0a0" stroked="f"/>
        </w:pict>
      </w:r>
    </w:p>
    <w:p w:rsidR="00A6587C" w:rsidRDefault="00A6587C" w:rsidP="00A6587C">
      <w:pPr>
        <w:pStyle w:val="berschrift1"/>
      </w:pPr>
      <w:r>
        <w:t>3.3.42.471 Transformationen sind wissenschaftlich nicht neutral</w:t>
      </w:r>
    </w:p>
    <w:p w:rsidR="00A6587C" w:rsidRDefault="00A6587C" w:rsidP="00A6587C">
      <w:pPr>
        <w:pStyle w:val="StandardWeb"/>
      </w:pPr>
      <w:r>
        <w:t>Ein weiterer methodologischer Befund dieses Abschnitts besteht darin, Transformationen nicht grundsätzlich als neutrale mathematische Operationen zu behandeln. Eine Transformation kann Informationen entfernen, Konflikte verdecken, neue Konflikte erzeugen oder den funktionalen Aussagegehalt verändern. [35]</w:t>
      </w:r>
    </w:p>
    <w:p w:rsidR="00A6587C" w:rsidRDefault="00A6587C" w:rsidP="00A6587C">
      <w:pPr>
        <w:pStyle w:val="StandardWeb"/>
      </w:pPr>
      <w:r>
        <w:t>Deshalb unterscheide ich zwischen</w:t>
      </w:r>
    </w:p>
    <w:p w:rsidR="00A6587C" w:rsidRDefault="00A6587C" w:rsidP="00A6587C">
      <w:pPr>
        <w:pStyle w:val="StandardWeb"/>
      </w:pPr>
      <w:r>
        <w:lastRenderedPageBreak/>
        <w:t>[</w:t>
      </w:r>
      <w:r>
        <w:br/>
        <w:t>T</w:t>
      </w:r>
      <w:r>
        <w:br/>
        <w:t>]</w:t>
      </w:r>
    </w:p>
    <w:p w:rsidR="00A6587C" w:rsidRDefault="00A6587C" w:rsidP="00A6587C">
      <w:pPr>
        <w:pStyle w:val="StandardWeb"/>
      </w:pPr>
      <w:r>
        <w:t>als mathematisch definierter Transformation und</w:t>
      </w:r>
    </w:p>
    <w:p w:rsidR="00A6587C" w:rsidRDefault="00A6587C" w:rsidP="00A6587C">
      <w:pPr>
        <w:pStyle w:val="StandardWeb"/>
      </w:pPr>
      <w:r>
        <w:t>[</w:t>
      </w:r>
      <w:r>
        <w:br/>
        <w:t>T\in\operatorname{Pres}(K_F)</w:t>
      </w:r>
      <w:r>
        <w:br/>
        <w:t>]</w:t>
      </w:r>
    </w:p>
    <w:p w:rsidR="00A6587C" w:rsidRDefault="00A6587C" w:rsidP="00A6587C">
      <w:pPr>
        <w:pStyle w:val="StandardWeb"/>
      </w:pPr>
      <w:r>
        <w:t>als zusätzlich konsistenzerhaltender Transformation. [35]</w:t>
      </w:r>
    </w:p>
    <w:p w:rsidR="00A6587C" w:rsidRDefault="00A6587C" w:rsidP="00A6587C">
      <w:pPr>
        <w:pStyle w:val="StandardWeb"/>
      </w:pPr>
      <w:r>
        <w:t>Diese Unterscheidung ist insbesondere für Projektionen, Aggregationen, Normalisierungen, Diskretisierungen und Modellvereinfachungen relevant. [35]</w:t>
      </w:r>
    </w:p>
    <w:p w:rsidR="00A6587C" w:rsidRDefault="00E50336" w:rsidP="00A6587C">
      <w:r>
        <w:pict>
          <v:rect id="_x0000_i2210" style="width:0;height:1.5pt" o:hralign="center" o:hrstd="t" o:hr="t" fillcolor="#a0a0a0" stroked="f"/>
        </w:pict>
      </w:r>
    </w:p>
    <w:p w:rsidR="00A6587C" w:rsidRDefault="00A6587C" w:rsidP="00A6587C">
      <w:pPr>
        <w:pStyle w:val="berschrift1"/>
      </w:pPr>
      <w:r>
        <w:t>3.3.42.472 Methodologische Bedeutung der Transformationssignatur</w:t>
      </w:r>
    </w:p>
    <w:p w:rsidR="00A6587C" w:rsidRDefault="00A6587C" w:rsidP="00A6587C">
      <w:pPr>
        <w:pStyle w:val="StandardWeb"/>
      </w:pPr>
      <w:r>
        <w:t>Die Transformationssignatur</w:t>
      </w:r>
    </w:p>
    <w:p w:rsidR="00A6587C" w:rsidRDefault="00A6587C" w:rsidP="00A6587C">
      <w:pPr>
        <w:pStyle w:val="StandardWeb"/>
      </w:pPr>
      <w:r>
        <w:t>[</w:t>
      </w:r>
      <w:r>
        <w:br/>
        <w:t>\Sigma_T^K</w:t>
      </w:r>
      <w:r>
        <w:br/>
        <w:t>\tag{3.8474}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\Sigma_T^K</w:t>
      </w:r>
    </w:p>
    <w:p w:rsidR="00A6587C" w:rsidRDefault="00A6587C" w:rsidP="00A6587C">
      <w:pPr>
        <w:pStyle w:val="StandardWeb"/>
      </w:pPr>
      <w:r>
        <w:t>macht deshalb sichtbar, dass die Qualität einer Transformation nicht allein durch mathematische Ausführbarkeit charakterisiert wird. [35]</w:t>
      </w:r>
    </w:p>
    <w:p w:rsidR="00A6587C" w:rsidRDefault="00A6587C" w:rsidP="00A6587C">
      <w:pPr>
        <w:pStyle w:val="StandardWeb"/>
      </w:pPr>
      <w:r>
        <w:t>Sie erfasst unter anderem, ob Konsistenzgrade verändert werden, Konflikte verdeckt oder erzeugt werden, Rekonstruktion möglich bleibt und Operatorfolgen konsistenzerhaltend wirken. [35]</w:t>
      </w:r>
    </w:p>
    <w:p w:rsidR="00A6587C" w:rsidRDefault="00A6587C" w:rsidP="00A6587C">
      <w:pPr>
        <w:pStyle w:val="StandardWeb"/>
      </w:pPr>
      <w:r>
        <w:t xml:space="preserve">Damit wird eine Transformation innerhalb des FRZK nicht nur danach beurteilt, </w:t>
      </w:r>
      <w:r>
        <w:rPr>
          <w:rStyle w:val="Fett"/>
        </w:rPr>
        <w:t>ob</w:t>
      </w:r>
      <w:r>
        <w:t xml:space="preserve"> sie durchgeführt werden kann, sondern auch danach, </w:t>
      </w:r>
      <w:r>
        <w:rPr>
          <w:rStyle w:val="Fett"/>
        </w:rPr>
        <w:t>welche wissenschaftlichen Aussagen durch sie erhalten, verändert oder verloren werden</w:t>
      </w:r>
      <w:r>
        <w:t>. [35]</w:t>
      </w:r>
    </w:p>
    <w:p w:rsidR="00A6587C" w:rsidRDefault="00E50336" w:rsidP="00A6587C">
      <w:r>
        <w:pict>
          <v:rect id="_x0000_i2211" style="width:0;height:1.5pt" o:hralign="center" o:hrstd="t" o:hr="t" fillcolor="#a0a0a0" stroked="f"/>
        </w:pict>
      </w:r>
    </w:p>
    <w:p w:rsidR="00A6587C" w:rsidRDefault="00A6587C" w:rsidP="00A6587C">
      <w:pPr>
        <w:pStyle w:val="berschrift1"/>
      </w:pPr>
      <w:r>
        <w:t>3.3.42.473 Methodologische Bedeutung von Schnittstellen</w:t>
      </w:r>
    </w:p>
    <w:p w:rsidR="00A6587C" w:rsidRDefault="00A6587C" w:rsidP="00A6587C">
      <w:pPr>
        <w:pStyle w:val="StandardWeb"/>
      </w:pPr>
      <w:r>
        <w:lastRenderedPageBreak/>
        <w:t>Die Einführung der Schnittstellenkonsistenz folgt aus der Beobachtung, dass große Theoriegebäude häufig nicht innerhalb einzelner Teilbereiche scheitern, sondern an den Übergängen zwischen ihnen. [20]</w:t>
      </w:r>
    </w:p>
    <w:p w:rsidR="00A6587C" w:rsidRDefault="00A6587C" w:rsidP="00A6587C">
      <w:pPr>
        <w:pStyle w:val="StandardWeb"/>
      </w:pPr>
      <w:r>
        <w:t>Ein Theorieblock kann für sich vollständig konsistent sein und dennoch einen Konflikt mit einem anderen Theorieblock erzeugen, wenn beispielsweise ein Symbol, eine Definition oder eine Randbedingung unbemerkt in anderer Bedeutung übernommen wird. [20]</w:t>
      </w:r>
    </w:p>
    <w:p w:rsidR="00A6587C" w:rsidRDefault="00A6587C" w:rsidP="00A6587C">
      <w:pPr>
        <w:pStyle w:val="StandardWeb"/>
      </w:pPr>
      <w:r>
        <w:t>Deshalb definiere ich die Schnittstellenmenge</w:t>
      </w:r>
    </w:p>
    <w:p w:rsidR="00A6587C" w:rsidRDefault="00A6587C" w:rsidP="00A6587C">
      <w:pPr>
        <w:pStyle w:val="berschrift1"/>
      </w:pPr>
      <w:r>
        <w:t>[</w:t>
      </w:r>
      <w:r>
        <w:br/>
        <w:t>I_{ij}</w:t>
      </w:r>
    </w:p>
    <w:p w:rsidR="00A6587C" w:rsidRDefault="00A6587C" w:rsidP="00A6587C">
      <w:pPr>
        <w:pStyle w:val="StandardWeb"/>
      </w:pPr>
      <w:r>
        <w:t>\operatorname{Interface}</w:t>
      </w:r>
      <w:r>
        <w:br/>
        <w:t>(\mathcal B_i,\mathcal B_j)</w:t>
      </w:r>
      <w:r>
        <w:br/>
        <w:t>\tag{3.8475}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I_{ij}=\operatorname{Interface}(\mathcal B_i,\mathcal B_j)</w:t>
      </w:r>
    </w:p>
    <w:p w:rsidR="00A6587C" w:rsidRDefault="00A6587C" w:rsidP="00A6587C">
      <w:pPr>
        <w:pStyle w:val="StandardWeb"/>
      </w:pPr>
      <w:r>
        <w:t>als eigenständiges Prüfobjekt. [20]</w:t>
      </w:r>
    </w:p>
    <w:p w:rsidR="00A6587C" w:rsidRDefault="00E50336" w:rsidP="00A6587C">
      <w:r>
        <w:pict>
          <v:rect id="_x0000_i2212" style="width:0;height:1.5pt" o:hralign="center" o:hrstd="t" o:hr="t" fillcolor="#a0a0a0" stroked="f"/>
        </w:pict>
      </w:r>
    </w:p>
    <w:p w:rsidR="00A6587C" w:rsidRDefault="00A6587C" w:rsidP="00A6587C">
      <w:pPr>
        <w:pStyle w:val="berschrift1"/>
      </w:pPr>
      <w:r>
        <w:t>3.3.42.474 Repository und wissenschaftliche Konsistenz</w:t>
      </w:r>
    </w:p>
    <w:p w:rsidR="00A6587C" w:rsidRDefault="00A6587C" w:rsidP="00A6587C">
      <w:pPr>
        <w:pStyle w:val="StandardWeb"/>
      </w:pPr>
      <w:r>
        <w:t>Für die vorliegende Dissertation besitzt die Trennung zwischen Repository-Konsistenz und wissenschaftlicher Konsistenz eine besondere praktische Bedeutung. Eine relational korrekt gespeicherte Datenbank garantiert keine widerspruchsfreie Theorie. Umgekehrt kann eine wissenschaftlich konsistente Argumentation technisch fehlerhaft gespeichert sein. [20]</w:t>
      </w:r>
    </w:p>
    <w:p w:rsidR="00A6587C" w:rsidRDefault="00A6587C" w:rsidP="00A6587C">
      <w:pPr>
        <w:pStyle w:val="StandardWeb"/>
      </w:pPr>
      <w:r>
        <w:t>Ich unterscheide daher weiterhin</w:t>
      </w:r>
    </w:p>
    <w:p w:rsidR="00A6587C" w:rsidRDefault="00A6587C" w:rsidP="00A6587C">
      <w:pPr>
        <w:pStyle w:val="StandardWeb"/>
      </w:pPr>
      <w:r>
        <w:t>[</w:t>
      </w:r>
      <w:r>
        <w:br/>
        <w:t>K_{\mathrm{tech}}</w:t>
      </w:r>
      <w:r>
        <w:br/>
        <w:t>\neq</w:t>
      </w:r>
      <w:r>
        <w:br/>
        <w:t>K_{\mathrm{sci}}.</w:t>
      </w:r>
      <w:r>
        <w:br/>
        <w:t>\tag{3.8476}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K_{\mathrm{tech}}\neq K_{\mathrm{sci}}</w:t>
      </w:r>
    </w:p>
    <w:p w:rsidR="00A6587C" w:rsidRDefault="00A6587C" w:rsidP="00A6587C">
      <w:pPr>
        <w:pStyle w:val="StandardWeb"/>
      </w:pPr>
      <w:r>
        <w:t>Beide Ebenen müssen getrennt geprüft werden. [20]</w:t>
      </w:r>
    </w:p>
    <w:p w:rsidR="00A6587C" w:rsidRDefault="00A6587C" w:rsidP="00A6587C">
      <w:pPr>
        <w:pStyle w:val="StandardWeb"/>
      </w:pPr>
      <w:r>
        <w:lastRenderedPageBreak/>
        <w:t>Das Repository erfüllt damit nicht die Funktion eines Wahrheitsautomaten. Es stellt vielmehr die technische Infrastruktur bereit, mit der Abhängigkeiten, Revisionen, Definitionen, Gleichungen, Beweise, Quellen und Konflikte nachvollziehbar dokumentiert und später erneut geprüft werden können. [20]</w:t>
      </w:r>
    </w:p>
    <w:p w:rsidR="00A6587C" w:rsidRDefault="00E50336" w:rsidP="00A6587C">
      <w:r>
        <w:pict>
          <v:rect id="_x0000_i2213" style="width:0;height:1.5pt" o:hralign="center" o:hrstd="t" o:hr="t" fillcolor="#a0a0a0" stroked="f"/>
        </w:pict>
      </w:r>
    </w:p>
    <w:p w:rsidR="00A6587C" w:rsidRDefault="00A6587C" w:rsidP="00A6587C">
      <w:pPr>
        <w:pStyle w:val="berschrift1"/>
      </w:pPr>
      <w:r>
        <w:t>3.3.42.475 Methodologische Funktion des Audit-Trails</w:t>
      </w:r>
    </w:p>
    <w:p w:rsidR="00A6587C" w:rsidRDefault="00A6587C" w:rsidP="00A6587C">
      <w:pPr>
        <w:pStyle w:val="StandardWeb"/>
      </w:pPr>
      <w:r>
        <w:t>Der Konsistenz-Audit-Trail besitzt deshalb einen epistemischen Zweck. Ein Ergebnis soll nicht nur gespeichert werden, sondern reproduzierbar auf die verwendeten Objekte, Evidenzen, Regeln und Revisionen zurückgeführt werden können. [20]</w:t>
      </w:r>
    </w:p>
    <w:p w:rsidR="00A6587C" w:rsidRDefault="00A6587C" w:rsidP="00A6587C">
      <w:pPr>
        <w:pStyle w:val="StandardWeb"/>
      </w:pPr>
      <w:r>
        <w:t>Die erweiterte Struktur</w:t>
      </w:r>
    </w:p>
    <w:p w:rsidR="00A6587C" w:rsidRDefault="00A6587C" w:rsidP="00A6587C">
      <w:pPr>
        <w:pStyle w:val="berschrift1"/>
      </w:pPr>
      <w:r>
        <w:t>[</w:t>
      </w:r>
      <w:r>
        <w:br/>
        <w:t>\mathcal T_K^{\mathrm{audit}+}</w:t>
      </w:r>
    </w:p>
    <w:p w:rsidR="00A6587C" w:rsidRDefault="00A6587C" w:rsidP="00A6587C">
      <w:pPr>
        <w:pStyle w:val="StandardWeb"/>
      </w:pPr>
      <w:r>
        <w:t>\left(</w:t>
      </w:r>
      <w:r>
        <w:br/>
        <w:t>o_i,</w:t>
      </w:r>
      <w:r>
        <w:br/>
        <w:t>o_j,</w:t>
      </w:r>
      <w:r>
        <w:br/>
        <w:t>v,</w:t>
      </w:r>
      <w:r>
        <w:br/>
        <w:t>v_K^{\mathrm{rule}},</w:t>
      </w:r>
      <w:r>
        <w:br/>
        <w:t>K_{ij},</w:t>
      </w:r>
      <w:r>
        <w:br/>
        <w:t>\Sigma_W,</w:t>
      </w:r>
      <w:r>
        <w:br/>
        <w:t>\mathcal E_K,</w:t>
      </w:r>
      <w:r>
        <w:br/>
        <w:t>t</w:t>
      </w:r>
      <w:r>
        <w:br/>
        <w:t>\right)</w:t>
      </w:r>
      <w:r>
        <w:br/>
        <w:t>\tag{3.8477}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\mathcal T_K^{\mathrm{audit}+}=\left(o_i,o_j,v,v_K^{\mathrm{rule}},K_{ij},\Sigma_W,\mathcal E_K,t\right)</w:t>
      </w:r>
    </w:p>
    <w:p w:rsidR="00A6587C" w:rsidRDefault="00A6587C" w:rsidP="00A6587C">
      <w:pPr>
        <w:pStyle w:val="StandardWeb"/>
      </w:pPr>
      <w:r>
        <w:t>dokumentiert deshalb nicht nur das Resultat, sondern auch die Bedingungen seines Zustandekommens. [20]</w:t>
      </w:r>
    </w:p>
    <w:p w:rsidR="00A6587C" w:rsidRDefault="00E50336" w:rsidP="00A6587C">
      <w:r>
        <w:pict>
          <v:rect id="_x0000_i2214" style="width:0;height:1.5pt" o:hralign="center" o:hrstd="t" o:hr="t" fillcolor="#a0a0a0" stroked="f"/>
        </w:pict>
      </w:r>
    </w:p>
    <w:p w:rsidR="00A6587C" w:rsidRDefault="00A6587C" w:rsidP="00A6587C">
      <w:pPr>
        <w:pStyle w:val="berschrift1"/>
      </w:pPr>
      <w:r>
        <w:t>3.3.42.476 Konsistenzprüfung als wiederholbarer Prozess</w:t>
      </w:r>
    </w:p>
    <w:p w:rsidR="00A6587C" w:rsidRDefault="00A6587C" w:rsidP="00A6587C">
      <w:pPr>
        <w:pStyle w:val="StandardWeb"/>
      </w:pPr>
      <w:r>
        <w:t>Die methodologische Konsequenz lautet damit:</w:t>
      </w:r>
    </w:p>
    <w:p w:rsidR="00A6587C" w:rsidRDefault="00A6587C" w:rsidP="00A6587C">
      <w:pPr>
        <w:pStyle w:val="StandardWeb"/>
      </w:pPr>
      <w:r>
        <w:t>[</w:t>
      </w:r>
      <w:r>
        <w:br/>
        <w:t>\boxed{</w:t>
      </w:r>
      <w:r>
        <w:br/>
      </w:r>
      <w:r>
        <w:lastRenderedPageBreak/>
        <w:t>\text{Konsistenzprüfung ist ein Prozess und kein einmaliger Endzustand.}</w:t>
      </w:r>
      <w:r>
        <w:br/>
        <w:t>}</w:t>
      </w:r>
      <w:r>
        <w:br/>
        <w:t>\tag{3.8478}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\boxed{\text{Konsistenzprüfung ist ein Prozess und kein einmaliger Endzustand.}}</w:t>
      </w:r>
    </w:p>
    <w:p w:rsidR="00A6587C" w:rsidRDefault="00A6587C" w:rsidP="00A6587C">
      <w:pPr>
        <w:pStyle w:val="StandardWeb"/>
      </w:pPr>
      <w:r>
        <w:t>Jede relevante Theorieänderung kann eine erneute Prüfung betroffener Abhängigkeiten auslösen. [20]</w:t>
      </w:r>
    </w:p>
    <w:p w:rsidR="00A6587C" w:rsidRDefault="00A6587C" w:rsidP="00A6587C">
      <w:pPr>
        <w:pStyle w:val="StandardWeb"/>
      </w:pPr>
      <w:r>
        <w:t>Diese Prozessperspektive ist mit der bereits in Kapitel 3.1 festgelegten revisionsoffenen Entwicklung des FRZK vereinbar. Die Theorie wird nicht als einmalig fertiggestelltes Axiomensystem verstanden, sondern als nachvollziehbar entwickeltes wissenschaftliches Konstrukt, dessen Voraussetzungen und Folgerungen explizit prüfbar bleiben. [20]</w:t>
      </w:r>
    </w:p>
    <w:p w:rsidR="00A6587C" w:rsidRDefault="00E50336" w:rsidP="00A6587C">
      <w:r>
        <w:pict>
          <v:rect id="_x0000_i2215" style="width:0;height:1.5pt" o:hralign="center" o:hrstd="t" o:hr="t" fillcolor="#a0a0a0" stroked="f"/>
        </w:pict>
      </w:r>
    </w:p>
    <w:p w:rsidR="00A6587C" w:rsidRDefault="00A6587C" w:rsidP="00A6587C">
      <w:pPr>
        <w:pStyle w:val="berschrift1"/>
      </w:pPr>
      <w:r>
        <w:t>3.3.42.477 Grenzen automatisierter Konsistenzprüfung</w:t>
      </w:r>
    </w:p>
    <w:p w:rsidR="00A6587C" w:rsidRDefault="00A6587C" w:rsidP="00A6587C">
      <w:pPr>
        <w:pStyle w:val="StandardWeb"/>
      </w:pPr>
      <w:r>
        <w:t>Ein weiterer methodologischer Punkt betrifft die Automatisierbarkeit. Zahlreiche technische Konsistenzprüfungen können algorithmisch durchgeführt werden. Dazu gehören beispielsweise fehlende Referenzen, doppelte Nummern, nicht vorhandene Abhängigkeiten, Dimensionsfehler, bestimmte logische Konflikte oder Inkonsistenzen zwischen gespeicherten Revisionsständen. [20]</w:t>
      </w:r>
    </w:p>
    <w:p w:rsidR="00A6587C" w:rsidRDefault="00A6587C" w:rsidP="00A6587C">
      <w:pPr>
        <w:pStyle w:val="StandardWeb"/>
      </w:pPr>
      <w:r>
        <w:t>Nicht alle wissenschaftlichen Konflikte sind jedoch vollständig algorithmisierbar. Semantische Gleichheit, Gültigkeitsbereiche, Modelläquivalenz oder die wissenschaftliche Angemessenheit einer Operationalisierung können Bewertungen erfordern, die nicht allein aus formaler Syntax ableitbar sind. [20]</w:t>
      </w:r>
    </w:p>
    <w:p w:rsidR="00A6587C" w:rsidRDefault="00A6587C" w:rsidP="00A6587C">
      <w:pPr>
        <w:pStyle w:val="StandardWeb"/>
      </w:pPr>
      <w:r>
        <w:t>Deshalb unterscheide ich</w:t>
      </w:r>
    </w:p>
    <w:p w:rsidR="00A6587C" w:rsidRDefault="00A6587C" w:rsidP="00A6587C">
      <w:pPr>
        <w:pStyle w:val="StandardWeb"/>
      </w:pPr>
      <w:r>
        <w:t>[</w:t>
      </w:r>
      <w:r>
        <w:br/>
        <w:t>K_{\mathrm{auto}}</w:t>
      </w:r>
      <w:r>
        <w:br/>
        <w:t>\tag{3.8479}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K_{\mathrm{auto}}</w:t>
      </w:r>
    </w:p>
    <w:p w:rsidR="00A6587C" w:rsidRDefault="00A6587C" w:rsidP="00A6587C">
      <w:pPr>
        <w:pStyle w:val="StandardWeb"/>
      </w:pPr>
      <w:r>
        <w:t>und</w:t>
      </w:r>
    </w:p>
    <w:p w:rsidR="00A6587C" w:rsidRDefault="00A6587C" w:rsidP="00A6587C">
      <w:pPr>
        <w:pStyle w:val="StandardWeb"/>
      </w:pPr>
      <w:r>
        <w:t>[</w:t>
      </w:r>
      <w:r>
        <w:br/>
        <w:t>K_{\mathrm{expert}}.</w:t>
      </w:r>
      <w:r>
        <w:br/>
        <w:t>\tag{3.8480}</w:t>
      </w:r>
      <w:r>
        <w:br/>
        <w:t>]</w:t>
      </w:r>
    </w:p>
    <w:p w:rsidR="00A6587C" w:rsidRDefault="00A6587C" w:rsidP="00A6587C">
      <w:pPr>
        <w:pStyle w:val="StandardWeb"/>
      </w:pPr>
      <w:r>
        <w:rPr>
          <w:rStyle w:val="Fett"/>
        </w:rPr>
        <w:lastRenderedPageBreak/>
        <w:t>Word-LaTeX</w:t>
      </w:r>
    </w:p>
    <w:p w:rsidR="00A6587C" w:rsidRDefault="00A6587C" w:rsidP="00A6587C">
      <w:pPr>
        <w:pStyle w:val="HTMLVorformatiert"/>
        <w:rPr>
          <w:rStyle w:val="HTMLCode"/>
        </w:rPr>
      </w:pPr>
      <w:r>
        <w:rPr>
          <w:rStyle w:val="HTMLCode"/>
        </w:rPr>
        <w:t>K_{\mathrm{expert}}</w:t>
      </w:r>
    </w:p>
    <w:p w:rsidR="00A6587C" w:rsidRDefault="00A6587C" w:rsidP="00A6587C">
      <w:pPr>
        <w:pStyle w:val="StandardWeb"/>
      </w:pPr>
      <w:r>
        <w:t>Beide Prüfarten können sich ergänzen, dürfen aber nicht miteinander gleichgesetzt werden. [20]</w:t>
      </w:r>
    </w:p>
    <w:p w:rsidR="00A6587C" w:rsidRDefault="00E50336" w:rsidP="00A6587C">
      <w:r>
        <w:pict>
          <v:rect id="_x0000_i2216" style="width:0;height:1.5pt" o:hralign="center" o:hrstd="t" o:hr="t" fillcolor="#a0a0a0" stroked="f"/>
        </w:pict>
      </w:r>
    </w:p>
    <w:p w:rsidR="00A6587C" w:rsidRDefault="00A6587C" w:rsidP="00A6587C">
      <w:pPr>
        <w:pStyle w:val="berschrift1"/>
      </w:pPr>
      <w:r>
        <w:t>3.3.42.478 Automatisierbarkeitsgrad</w:t>
      </w:r>
    </w:p>
    <w:p w:rsidR="00A6587C" w:rsidRDefault="00A6587C" w:rsidP="00A6587C">
      <w:pPr>
        <w:pStyle w:val="StandardWeb"/>
      </w:pPr>
      <w:r>
        <w:t>Für eine Menge von Konsistenzprüfungen (\mathcal P_K) definiere ich einen Automatisierbarkeitsgrad</w:t>
      </w:r>
    </w:p>
    <w:p w:rsidR="00A6587C" w:rsidRDefault="00A6587C" w:rsidP="00A6587C">
      <w:pPr>
        <w:pStyle w:val="berschrift1"/>
      </w:pPr>
      <w:r>
        <w:t>[</w:t>
      </w:r>
      <w:r>
        <w:br/>
        <w:t>R_{\mathrm{auto}}</w:t>
      </w:r>
    </w:p>
    <w:p w:rsidR="00A6587C" w:rsidRDefault="00A6587C" w:rsidP="00A6587C">
      <w:pPr>
        <w:pStyle w:val="StandardWeb"/>
      </w:pPr>
      <w:r>
        <w:t>\frac{</w:t>
      </w:r>
      <w:r>
        <w:br/>
        <w:t>N_{\mathrm{auto}}</w:t>
      </w:r>
      <w:r>
        <w:br/>
        <w:t>}{</w:t>
      </w:r>
      <w:r>
        <w:br/>
        <w:t>N_{\mathrm{required}}</w:t>
      </w:r>
      <w:r>
        <w:br/>
        <w:t>}.</w:t>
      </w:r>
      <w:r>
        <w:br/>
        <w:t>\tag{3.8481}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R_{\mathrm{auto}}=\frac{N_{\mathrm{auto}}}{N_{\mathrm{required}}}</w:t>
      </w:r>
    </w:p>
    <w:p w:rsidR="00A6587C" w:rsidRDefault="00A6587C" w:rsidP="00A6587C">
      <w:pPr>
        <w:pStyle w:val="StandardWeb"/>
      </w:pPr>
      <w:r>
        <w:t>Dieser Wert beschreibt lediglich den Anteil der erforderlichen Prüfungen, die ohne zusätzliche wissenschaftliche Interpretation technisch ausführbar sind. [20]</w:t>
      </w:r>
    </w:p>
    <w:p w:rsidR="00A6587C" w:rsidRDefault="00A6587C" w:rsidP="00A6587C">
      <w:pPr>
        <w:pStyle w:val="StandardWeb"/>
      </w:pPr>
      <w:r>
        <w:t>Ein hoher Wert von (R_{\mathrm{auto}}) bedeutet daher nicht, dass das Konsistenzproblem vollständig algorithmisch gelöst wurde. [20]</w:t>
      </w:r>
    </w:p>
    <w:p w:rsidR="00A6587C" w:rsidRDefault="00E50336" w:rsidP="00A6587C">
      <w:r>
        <w:pict>
          <v:rect id="_x0000_i2217" style="width:0;height:1.5pt" o:hralign="center" o:hrstd="t" o:hr="t" fillcolor="#a0a0a0" stroked="f"/>
        </w:pict>
      </w:r>
    </w:p>
    <w:p w:rsidR="00A6587C" w:rsidRDefault="00A6587C" w:rsidP="00A6587C">
      <w:pPr>
        <w:pStyle w:val="berschrift1"/>
      </w:pPr>
      <w:r>
        <w:t>3.3.42.479 Methodologische Grenze der Formalisierung</w:t>
      </w:r>
    </w:p>
    <w:p w:rsidR="00A6587C" w:rsidRDefault="00A6587C" w:rsidP="00A6587C">
      <w:pPr>
        <w:pStyle w:val="StandardWeb"/>
      </w:pPr>
      <w:r>
        <w:t>Damit erreiche ich eine bewusste Grenze der Formalisierung. Nicht jeder wissenschaftliche Begriff muss oder kann vollständig in eine numerische Größe übersetzt werden. [20]</w:t>
      </w:r>
    </w:p>
    <w:p w:rsidR="00A6587C" w:rsidRDefault="00A6587C" w:rsidP="00A6587C">
      <w:pPr>
        <w:pStyle w:val="StandardWeb"/>
      </w:pPr>
      <w:r>
        <w:t>Ich formuliere deshalb</w:t>
      </w:r>
    </w:p>
    <w:p w:rsidR="00A6587C" w:rsidRDefault="00A6587C" w:rsidP="00A6587C">
      <w:pPr>
        <w:pStyle w:val="StandardWeb"/>
      </w:pPr>
      <w:r>
        <w:t>[</w:t>
      </w:r>
      <w:r>
        <w:br/>
        <w:t>\boxed{</w:t>
      </w:r>
      <w:r>
        <w:br/>
        <w:t>\text{Formalisierbarkeit}</w:t>
      </w:r>
      <w:r>
        <w:br/>
        <w:t>\neq</w:t>
      </w:r>
      <w:r>
        <w:br/>
      </w:r>
      <w:r>
        <w:lastRenderedPageBreak/>
        <w:t>\text{vollständige wissenschaftliche Erfassbarkeit}.</w:t>
      </w:r>
      <w:r>
        <w:br/>
        <w:t>}</w:t>
      </w:r>
      <w:r>
        <w:br/>
        <w:t>\tag{3.8482}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\boxed{\text{Formalisierbarkeit}\neq\text{vollständige wissenschaftliche Erfassbarkeit}.}</w:t>
      </w:r>
    </w:p>
    <w:p w:rsidR="00A6587C" w:rsidRDefault="00A6587C" w:rsidP="00A6587C">
      <w:pPr>
        <w:pStyle w:val="StandardWeb"/>
      </w:pPr>
      <w:r>
        <w:t>Das mathematische System soll wissenschaftliche Argumente transparent strukturieren, nicht deren gesamte epistemische Bedeutung ersetzen. [20]</w:t>
      </w:r>
    </w:p>
    <w:p w:rsidR="00A6587C" w:rsidRDefault="00E50336" w:rsidP="00A6587C">
      <w:r>
        <w:pict>
          <v:rect id="_x0000_i2218" style="width:0;height:1.5pt" o:hralign="center" o:hrstd="t" o:hr="t" fillcolor="#a0a0a0" stroked="f"/>
        </w:pict>
      </w:r>
    </w:p>
    <w:p w:rsidR="00A6587C" w:rsidRDefault="00A6587C" w:rsidP="00A6587C">
      <w:pPr>
        <w:pStyle w:val="berschrift1"/>
      </w:pPr>
      <w:r>
        <w:t>3.3.42.480 Methodologische Einordnung als Eigenleistung</w:t>
      </w:r>
    </w:p>
    <w:p w:rsidR="00A6587C" w:rsidRDefault="00A6587C" w:rsidP="00A6587C">
      <w:pPr>
        <w:pStyle w:val="StandardWeb"/>
      </w:pPr>
      <w:r>
        <w:t>Die konkrete Verbindung von Vergleichbarkeit, gradueller Konsistenz, Unentscheidbarkeit, Konfliktsignaturen, Konfliktkernen, Transformationskonsistenz, Theorieblockkonsistenz, Schnittstellenkonsistenz, Revisionshistorie, Auditstruktur und Konfliktauflösung zu einer gemeinsamen FRZK-Prüfarchitektur stellt eine Eigenkonstruktion dieser Arbeit dar. Die dafür verwendeten mathematischen Grundwerkzeuge – Mengen, Relationen, Graphen, Maße, Matrizen, Operatoren und Transformationen – sind etablierte mathematische Werkzeuge; ihre hier vorgenommene funktionale Verknüpfung und Interpretation für das FRZK wird von mir eingeführt. [20]</w:t>
      </w:r>
    </w:p>
    <w:p w:rsidR="00A6587C" w:rsidRDefault="00A6587C" w:rsidP="00A6587C">
      <w:pPr>
        <w:pStyle w:val="StandardWeb"/>
      </w:pPr>
      <w:r>
        <w:t>Damit unterscheide ich zwischen</w:t>
      </w:r>
    </w:p>
    <w:p w:rsidR="00A6587C" w:rsidRDefault="00A6587C" w:rsidP="00A6587C">
      <w:pPr>
        <w:pStyle w:val="StandardWeb"/>
      </w:pPr>
      <w:r>
        <w:t>[</w:t>
      </w:r>
      <w:r>
        <w:br/>
        <w:t>\mathfrak M_{\mathrm{etabliert}}</w:t>
      </w:r>
      <w:r>
        <w:br/>
        <w:t>\tag{3.8483}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\mathfrak M_{\mathrm{etabliert}}</w:t>
      </w:r>
    </w:p>
    <w:p w:rsidR="00A6587C" w:rsidRDefault="00A6587C" w:rsidP="00A6587C">
      <w:pPr>
        <w:pStyle w:val="StandardWeb"/>
      </w:pPr>
      <w:r>
        <w:t>und</w:t>
      </w:r>
    </w:p>
    <w:p w:rsidR="00A6587C" w:rsidRDefault="00A6587C" w:rsidP="00A6587C">
      <w:pPr>
        <w:pStyle w:val="StandardWeb"/>
      </w:pPr>
      <w:r>
        <w:t>[</w:t>
      </w:r>
      <w:r>
        <w:br/>
        <w:t>\mathfrak C_F^{\mathrm{FRZK}}.</w:t>
      </w:r>
      <w:r>
        <w:br/>
        <w:t>\tag{3.8484}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\mathfrak C_F^{\mathrm{FRZK}}</w:t>
      </w:r>
    </w:p>
    <w:p w:rsidR="00A6587C" w:rsidRDefault="00A6587C" w:rsidP="00A6587C">
      <w:pPr>
        <w:pStyle w:val="StandardWeb"/>
      </w:pPr>
      <w:r>
        <w:t>Die erste Menge bezeichnet die verwendeten mathematischen Werkzeuge, die zweite deren spezifische systematische Verbindung innerhalb dieser Arbeit. [20]</w:t>
      </w:r>
    </w:p>
    <w:p w:rsidR="00A6587C" w:rsidRDefault="00E50336" w:rsidP="00A6587C">
      <w:r>
        <w:lastRenderedPageBreak/>
        <w:pict>
          <v:rect id="_x0000_i2219" style="width:0;height:1.5pt" o:hralign="center" o:hrstd="t" o:hr="t" fillcolor="#a0a0a0" stroked="f"/>
        </w:pict>
      </w:r>
    </w:p>
    <w:p w:rsidR="00A6587C" w:rsidRDefault="00A6587C" w:rsidP="00A6587C">
      <w:pPr>
        <w:pStyle w:val="berschrift1"/>
      </w:pPr>
      <w:r>
        <w:t>3.3.42.481 Keine ontologische Behauptung aus der Konsistenzarchitektur</w:t>
      </w:r>
    </w:p>
    <w:p w:rsidR="00A6587C" w:rsidRDefault="00A6587C" w:rsidP="00A6587C">
      <w:pPr>
        <w:pStyle w:val="StandardWeb"/>
      </w:pPr>
      <w:r>
        <w:t>Die vollständige Konsistenzarchitektur</w:t>
      </w:r>
    </w:p>
    <w:p w:rsidR="00A6587C" w:rsidRDefault="00A6587C" w:rsidP="00A6587C">
      <w:pPr>
        <w:pStyle w:val="StandardWeb"/>
      </w:pPr>
      <w:r>
        <w:t>[</w:t>
      </w:r>
      <w:r>
        <w:br/>
        <w:t>\mathfrak C_F^{\mathrm{full}}</w:t>
      </w:r>
      <w:r>
        <w:br/>
        <w:t>\tag{3.8485}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\mathfrak C_F^{\mathrm{full}}</w:t>
      </w:r>
    </w:p>
    <w:p w:rsidR="00A6587C" w:rsidRDefault="00A6587C" w:rsidP="00A6587C">
      <w:pPr>
        <w:pStyle w:val="StandardWeb"/>
      </w:pPr>
      <w:r>
        <w:t>ist damit ausdrücklich keine ontologische Aussage darüber, wie die physikalische Wirklichkeit aufgebaut sein muss. [20]</w:t>
      </w:r>
    </w:p>
    <w:p w:rsidR="00A6587C" w:rsidRDefault="00A6587C" w:rsidP="00A6587C">
      <w:pPr>
        <w:pStyle w:val="StandardWeb"/>
      </w:pPr>
      <w:r>
        <w:t>Sie ist ein methodisches Instrument, mit dem ich prüfe, ob die innerhalb des FRZK formulierten Aussagen untereinander und gegenüber ihren explizit betrachteten empirischen beziehungsweise theoretischen Bezugssystemen widerspruchsfrei verwendet werden können. [20]</w:t>
      </w:r>
    </w:p>
    <w:p w:rsidR="00A6587C" w:rsidRDefault="00A6587C" w:rsidP="00A6587C">
      <w:pPr>
        <w:pStyle w:val="StandardWeb"/>
      </w:pPr>
      <w:r>
        <w:t>Diese Abgrenzung verhindert, dass ein erfolgreiches formales Prüfverfahren selbst zu einem unbegründeten physikalischen Axiom erhoben wird. [20]</w:t>
      </w:r>
    </w:p>
    <w:p w:rsidR="00A6587C" w:rsidRDefault="00E50336" w:rsidP="00A6587C">
      <w:r>
        <w:pict>
          <v:rect id="_x0000_i2220" style="width:0;height:1.5pt" o:hralign="center" o:hrstd="t" o:hr="t" fillcolor="#a0a0a0" stroked="f"/>
        </w:pict>
      </w:r>
    </w:p>
    <w:p w:rsidR="00A6587C" w:rsidRDefault="00A6587C" w:rsidP="00A6587C">
      <w:pPr>
        <w:pStyle w:val="berschrift1"/>
      </w:pPr>
      <w:r>
        <w:t>3.3.42.482 Didaktische Betrachtungen</w:t>
      </w:r>
    </w:p>
    <w:p w:rsidR="00A6587C" w:rsidRDefault="00A6587C" w:rsidP="00A6587C">
      <w:pPr>
        <w:pStyle w:val="StandardWeb"/>
      </w:pPr>
      <w:r>
        <w:t xml:space="preserve">Die in diesem Abschnitt entwickelte Architektur ist mathematisch umfangreich. Didaktisch besteht deshalb die Gefahr, dass die Vielzahl der Operatoren, Signaturen und Statusklassen den einfachen Ausgangsgedanken verdeckt. Für das Verständnis des FRZK ist es daher entscheidend, die Konstruktion stets auf eine elementare Frage zurückzuführen: </w:t>
      </w:r>
      <w:r>
        <w:rPr>
          <w:rStyle w:val="Fett"/>
        </w:rPr>
        <w:t>Können zwei Aussagen unter denselben relevanten Bedingungen gleichzeitig gelten?</w:t>
      </w:r>
      <w:r>
        <w:t xml:space="preserve"> [20]</w:t>
      </w:r>
    </w:p>
    <w:p w:rsidR="00A6587C" w:rsidRDefault="00A6587C" w:rsidP="00A6587C">
      <w:pPr>
        <w:pStyle w:val="StandardWeb"/>
      </w:pPr>
      <w:r>
        <w:t>Erst wenn diese Frage verstanden ist, werden die später eingeführten Erweiterungen benötigt. Lokale Konsistenz fragt nach einem einzelnen Zustand, globale Konsistenz nach einer gesamten Domäne, partielle Konsistenz nach gemischten Bereichen und Unentscheidbarkeit nach fehlender Entscheidungsgrundlage. [20]</w:t>
      </w:r>
    </w:p>
    <w:p w:rsidR="00A6587C" w:rsidRDefault="00E50336" w:rsidP="00A6587C">
      <w:r>
        <w:pict>
          <v:rect id="_x0000_i2221" style="width:0;height:1.5pt" o:hralign="center" o:hrstd="t" o:hr="t" fillcolor="#a0a0a0" stroked="f"/>
        </w:pict>
      </w:r>
    </w:p>
    <w:p w:rsidR="00A6587C" w:rsidRDefault="00A6587C" w:rsidP="00A6587C">
      <w:pPr>
        <w:pStyle w:val="berschrift1"/>
      </w:pPr>
      <w:r>
        <w:t>3.3.42.483 Didaktischer Einstieg über ein einfaches Beispiel</w:t>
      </w:r>
    </w:p>
    <w:p w:rsidR="00A6587C" w:rsidRDefault="00A6587C" w:rsidP="00A6587C">
      <w:pPr>
        <w:pStyle w:val="StandardWeb"/>
      </w:pPr>
      <w:r>
        <w:t>Ein besonders einfacher Einstieg ist weiterhin das bereits verwendete Beispiel</w:t>
      </w:r>
    </w:p>
    <w:p w:rsidR="00A6587C" w:rsidRDefault="00A6587C" w:rsidP="00A6587C">
      <w:pPr>
        <w:pStyle w:val="StandardWeb"/>
      </w:pPr>
      <w:r>
        <w:lastRenderedPageBreak/>
        <w:t>[</w:t>
      </w:r>
      <w:r>
        <w:br/>
        <w:t>A_1:x&gt;0</w:t>
      </w:r>
      <w:r>
        <w:br/>
        <w:t>\tag{3.8486}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A_1:x&gt;0</w:t>
      </w:r>
    </w:p>
    <w:p w:rsidR="00A6587C" w:rsidRDefault="00A6587C" w:rsidP="00A6587C">
      <w:pPr>
        <w:pStyle w:val="StandardWeb"/>
      </w:pPr>
      <w:r>
        <w:t>und</w:t>
      </w:r>
    </w:p>
    <w:p w:rsidR="00A6587C" w:rsidRDefault="00A6587C" w:rsidP="00A6587C">
      <w:pPr>
        <w:pStyle w:val="StandardWeb"/>
      </w:pPr>
      <w:r>
        <w:t>[</w:t>
      </w:r>
      <w:r>
        <w:br/>
        <w:t>A_2:x&lt;10.</w:t>
      </w:r>
      <w:r>
        <w:br/>
        <w:t>\tag{3.8487}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A_2:x&lt;10</w:t>
      </w:r>
    </w:p>
    <w:p w:rsidR="00A6587C" w:rsidRDefault="00A6587C" w:rsidP="00A6587C">
      <w:pPr>
        <w:pStyle w:val="StandardWeb"/>
      </w:pPr>
      <w:r>
        <w:t>Beide Aussagen können beispielsweise bei (x=5) gleichzeitig gelten. [20]</w:t>
      </w:r>
    </w:p>
    <w:p w:rsidR="00A6587C" w:rsidRDefault="00A6587C" w:rsidP="00A6587C">
      <w:pPr>
        <w:pStyle w:val="StandardWeb"/>
      </w:pPr>
      <w:r>
        <w:t>Dagegen sind</w:t>
      </w:r>
    </w:p>
    <w:p w:rsidR="00A6587C" w:rsidRDefault="00A6587C" w:rsidP="00A6587C">
      <w:pPr>
        <w:pStyle w:val="StandardWeb"/>
      </w:pPr>
      <w:r>
        <w:t>[</w:t>
      </w:r>
      <w:r>
        <w:br/>
        <w:t>A_1:x&gt;0</w:t>
      </w:r>
      <w:r>
        <w:br/>
        <w:t>\tag{3.8488}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A_1:x&gt;0</w:t>
      </w:r>
    </w:p>
    <w:p w:rsidR="00A6587C" w:rsidRDefault="00A6587C" w:rsidP="00A6587C">
      <w:pPr>
        <w:pStyle w:val="StandardWeb"/>
      </w:pPr>
      <w:r>
        <w:t>und</w:t>
      </w:r>
    </w:p>
    <w:p w:rsidR="00A6587C" w:rsidRDefault="00A6587C" w:rsidP="00A6587C">
      <w:pPr>
        <w:pStyle w:val="StandardWeb"/>
      </w:pPr>
      <w:r>
        <w:t>[</w:t>
      </w:r>
      <w:r>
        <w:br/>
        <w:t>A_3:x&lt;0</w:t>
      </w:r>
      <w:r>
        <w:br/>
        <w:t>\tag{3.8489}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A_3:x&lt;0</w:t>
      </w:r>
    </w:p>
    <w:p w:rsidR="00A6587C" w:rsidRDefault="00A6587C" w:rsidP="00A6587C">
      <w:pPr>
        <w:pStyle w:val="StandardWeb"/>
      </w:pPr>
      <w:r>
        <w:t>im selben Zustand nicht gemeinsam erfüllbar. [20]</w:t>
      </w:r>
    </w:p>
    <w:p w:rsidR="00A6587C" w:rsidRDefault="00A6587C" w:rsidP="00A6587C">
      <w:pPr>
        <w:pStyle w:val="StandardWeb"/>
      </w:pPr>
      <w:r>
        <w:t>Aus diesem elementaren Beispiel lässt sich anschließend schrittweise die gesamte Konsistenzarchitektur entwickeln. [20]</w:t>
      </w:r>
    </w:p>
    <w:p w:rsidR="00A6587C" w:rsidRDefault="00E50336" w:rsidP="00A6587C">
      <w:r>
        <w:pict>
          <v:rect id="_x0000_i2222" style="width:0;height:1.5pt" o:hralign="center" o:hrstd="t" o:hr="t" fillcolor="#a0a0a0" stroked="f"/>
        </w:pict>
      </w:r>
    </w:p>
    <w:p w:rsidR="00A6587C" w:rsidRDefault="00A6587C" w:rsidP="00A6587C">
      <w:pPr>
        <w:pStyle w:val="berschrift1"/>
      </w:pPr>
      <w:r>
        <w:lastRenderedPageBreak/>
        <w:t>3.3.42.484 Didaktische Reihenfolge</w:t>
      </w:r>
    </w:p>
    <w:p w:rsidR="00A6587C" w:rsidRDefault="00A6587C" w:rsidP="00A6587C">
      <w:pPr>
        <w:pStyle w:val="StandardWeb"/>
      </w:pPr>
      <w:r>
        <w:t>Für die Vermittlung halte ich folgende Reihenfolge für besonders geeignet:</w:t>
      </w:r>
    </w:p>
    <w:p w:rsidR="00A6587C" w:rsidRDefault="00A6587C" w:rsidP="00A6587C">
      <w:pPr>
        <w:pStyle w:val="StandardWeb"/>
      </w:pPr>
      <w:r>
        <w:t>[</w:t>
      </w:r>
      <w:r>
        <w:br/>
        <w:t>\boxed{</w:t>
      </w:r>
      <w:r>
        <w:br/>
        <w:t>\text{Aussage}</w:t>
      </w:r>
      <w:r>
        <w:br/>
        <w:t>\rightarrow</w:t>
      </w:r>
      <w:r>
        <w:br/>
        <w:t>\text{Gültigkeitsbereich}</w:t>
      </w:r>
      <w:r>
        <w:br/>
        <w:t>\rightarrow</w:t>
      </w:r>
      <w:r>
        <w:br/>
        <w:t>\text{Vergleichbarkeit}</w:t>
      </w:r>
      <w:r>
        <w:br/>
        <w:t>\rightarrow</w:t>
      </w:r>
      <w:r>
        <w:br/>
        <w:t>\text{Konsistenz}</w:t>
      </w:r>
      <w:r>
        <w:br/>
        <w:t>\rightarrow</w:t>
      </w:r>
      <w:r>
        <w:br/>
        <w:t>\text{Konflikt}</w:t>
      </w:r>
      <w:r>
        <w:br/>
        <w:t>\rightarrow</w:t>
      </w:r>
      <w:r>
        <w:br/>
        <w:t>\text{Ursache}</w:t>
      </w:r>
      <w:r>
        <w:br/>
        <w:t>\rightarrow</w:t>
      </w:r>
      <w:r>
        <w:br/>
        <w:t>\text{Revision}</w:t>
      </w:r>
      <w:r>
        <w:br/>
        <w:t>}</w:t>
      </w:r>
      <w:r>
        <w:br/>
        <w:t>\tag{3.8490}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\boxed{\text{Aussage}\rightarrow\text{Gültigkeitsbereich}\rightarrow\text{Vergleichbarkeit}\rightarrow\text{Konsistenz}\rightarrow\text{Konflikt}\rightarrow\text{Ursache}\rightarrow\text{Revision}}</w:t>
      </w:r>
    </w:p>
    <w:p w:rsidR="00A6587C" w:rsidRDefault="00A6587C" w:rsidP="00A6587C">
      <w:pPr>
        <w:pStyle w:val="StandardWeb"/>
      </w:pPr>
      <w:r>
        <w:t>Diese Reihenfolge entspricht zugleich der methodischen Logik des Abschnitts. [20]</w:t>
      </w:r>
    </w:p>
    <w:p w:rsidR="00A6587C" w:rsidRDefault="00E50336" w:rsidP="00A6587C">
      <w:r>
        <w:pict>
          <v:rect id="_x0000_i2223" style="width:0;height:1.5pt" o:hralign="center" o:hrstd="t" o:hr="t" fillcolor="#a0a0a0" stroked="f"/>
        </w:pict>
      </w:r>
    </w:p>
    <w:p w:rsidR="00A6587C" w:rsidRDefault="00A6587C" w:rsidP="00A6587C">
      <w:pPr>
        <w:pStyle w:val="berschrift1"/>
      </w:pPr>
      <w:r>
        <w:t>3.3.42.485 Nicht mit Matrizen beginnen</w:t>
      </w:r>
    </w:p>
    <w:p w:rsidR="00A6587C" w:rsidRDefault="00A6587C" w:rsidP="00A6587C">
      <w:pPr>
        <w:pStyle w:val="StandardWeb"/>
      </w:pPr>
      <w:r>
        <w:t>Didaktisch wäre es dagegen ungünstig, die Konsistenzmatrix (\mathbf K), den Konsistenzgraphen oder die vollständige Signatur (\Sigma_K^\ast) als Einstieg zu verwenden. Diese Strukturen sind Zusammenfassungen einer bereits verstandenen relationalen Logik. [20]</w:t>
      </w:r>
    </w:p>
    <w:p w:rsidR="00A6587C" w:rsidRDefault="00A6587C" w:rsidP="00A6587C">
      <w:pPr>
        <w:pStyle w:val="StandardWeb"/>
      </w:pPr>
      <w:r>
        <w:t>Ich behandle sie deshalb als Werkzeuge höherer Ordnung. Erst nachdem der Leser verstanden hat, was ein einzelner Konsistenzbefund bedeutet, kann eine Matrix von hundert oder tausend solcher Beziehungen sinnvoll interpretiert werden. [20]</w:t>
      </w:r>
    </w:p>
    <w:p w:rsidR="00A6587C" w:rsidRDefault="00E50336" w:rsidP="00A6587C">
      <w:r>
        <w:pict>
          <v:rect id="_x0000_i2224" style="width:0;height:1.5pt" o:hralign="center" o:hrstd="t" o:hr="t" fillcolor="#a0a0a0" stroked="f"/>
        </w:pict>
      </w:r>
    </w:p>
    <w:p w:rsidR="00A6587C" w:rsidRDefault="00A6587C" w:rsidP="00A6587C">
      <w:pPr>
        <w:pStyle w:val="berschrift1"/>
      </w:pPr>
      <w:r>
        <w:t>3.3.42.486 Didaktische Trennung von Unterschied und Widerspruch</w:t>
      </w:r>
    </w:p>
    <w:p w:rsidR="00A6587C" w:rsidRDefault="00A6587C" w:rsidP="00A6587C">
      <w:pPr>
        <w:pStyle w:val="StandardWeb"/>
      </w:pPr>
      <w:r>
        <w:lastRenderedPageBreak/>
        <w:t xml:space="preserve">Ein zentraler Lernschritt besteht darin, </w:t>
      </w:r>
      <w:r>
        <w:rPr>
          <w:rStyle w:val="Fett"/>
        </w:rPr>
        <w:t>Unterschiedlichkeit</w:t>
      </w:r>
      <w:r>
        <w:t xml:space="preserve"> und </w:t>
      </w:r>
      <w:r>
        <w:rPr>
          <w:rStyle w:val="Fett"/>
        </w:rPr>
        <w:t>Widerspruch</w:t>
      </w:r>
      <w:r>
        <w:t xml:space="preserve"> auseinanderzuhalten. Zwei Modelle können unterschiedliche Zahlenwerte liefern, ohne widersprüchlich zu sein, wenn sie verschiedene Näherungen, Parameter, Skalen oder Gültigkeitsbereiche verwenden. [35]</w:t>
      </w:r>
    </w:p>
    <w:p w:rsidR="00A6587C" w:rsidRDefault="00A6587C" w:rsidP="00A6587C">
      <w:pPr>
        <w:pStyle w:val="StandardWeb"/>
      </w:pPr>
      <w:r>
        <w:t>Ich fasse diese didaktische Regel zusammen als</w:t>
      </w:r>
    </w:p>
    <w:p w:rsidR="00A6587C" w:rsidRDefault="00A6587C" w:rsidP="00A6587C">
      <w:pPr>
        <w:pStyle w:val="StandardWeb"/>
      </w:pPr>
      <w:r>
        <w:t>[</w:t>
      </w:r>
      <w:r>
        <w:br/>
        <w:t>\boxed{</w:t>
      </w:r>
      <w:r>
        <w:br/>
        <w:t>A_i\neq A_j</w:t>
      </w:r>
      <w:r>
        <w:br/>
        <w:t>\nRightarrow</w:t>
      </w:r>
      <w:r>
        <w:br/>
        <w:t>A_i\perp A_j.</w:t>
      </w:r>
      <w:r>
        <w:br/>
        <w:t>}</w:t>
      </w:r>
      <w:r>
        <w:br/>
        <w:t>\tag{3.8491}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\boxed{A_i\neq A_j\nRightarrow A_i\perp A_j.}</w:t>
      </w:r>
    </w:p>
    <w:p w:rsidR="00A6587C" w:rsidRDefault="00A6587C" w:rsidP="00A6587C">
      <w:pPr>
        <w:pStyle w:val="StandardWeb"/>
      </w:pPr>
      <w:r>
        <w:t>Dieser einfache Satz verhindert einen großen Teil möglicher Fehlinterpretationen. [35]</w:t>
      </w:r>
    </w:p>
    <w:p w:rsidR="00A6587C" w:rsidRDefault="00E50336" w:rsidP="00A6587C">
      <w:r>
        <w:pict>
          <v:rect id="_x0000_i2225" style="width:0;height:1.5pt" o:hralign="center" o:hrstd="t" o:hr="t" fillcolor="#a0a0a0" stroked="f"/>
        </w:pict>
      </w:r>
    </w:p>
    <w:p w:rsidR="00A6587C" w:rsidRDefault="00A6587C" w:rsidP="00A6587C">
      <w:pPr>
        <w:pStyle w:val="berschrift1"/>
      </w:pPr>
      <w:r>
        <w:t>3.3.42.487 Didaktische Trennung von Konsistenz und Wahrheit</w:t>
      </w:r>
    </w:p>
    <w:p w:rsidR="00A6587C" w:rsidRDefault="00A6587C" w:rsidP="00A6587C">
      <w:pPr>
        <w:pStyle w:val="StandardWeb"/>
      </w:pPr>
      <w:r>
        <w:t>Ebenso wichtig ist die zweite Grundregel:</w:t>
      </w:r>
    </w:p>
    <w:p w:rsidR="00A6587C" w:rsidRDefault="00A6587C" w:rsidP="00A6587C">
      <w:pPr>
        <w:pStyle w:val="StandardWeb"/>
      </w:pPr>
      <w:r>
        <w:t>[</w:t>
      </w:r>
      <w:r>
        <w:br/>
        <w:t>\boxed{</w:t>
      </w:r>
      <w:r>
        <w:br/>
        <w:t>K_F=1</w:t>
      </w:r>
      <w:r>
        <w:br/>
        <w:t>\nRightarrow</w:t>
      </w:r>
      <w:r>
        <w:br/>
        <w:t>\text{wahr}.</w:t>
      </w:r>
      <w:r>
        <w:br/>
        <w:t>}</w:t>
      </w:r>
      <w:r>
        <w:br/>
        <w:t>\tag{3.8492}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\boxed{K_F=1\nRightarrow\text{wahr}.}</w:t>
      </w:r>
    </w:p>
    <w:p w:rsidR="00A6587C" w:rsidRDefault="00A6587C" w:rsidP="00A6587C">
      <w:pPr>
        <w:pStyle w:val="StandardWeb"/>
      </w:pPr>
      <w:r>
        <w:t>Eine konsistente Geschichte kann vollständig erfunden sein; eine mathematisch konsistente Theorie kann empirisch falsch sein. Konsistenz besagt zunächst nur, dass die betrachteten Bestandteile einander unter den angegebenen Voraussetzungen nicht widersprechen. [20]</w:t>
      </w:r>
    </w:p>
    <w:p w:rsidR="00A6587C" w:rsidRDefault="00E50336" w:rsidP="00A6587C">
      <w:r>
        <w:pict>
          <v:rect id="_x0000_i2226" style="width:0;height:1.5pt" o:hralign="center" o:hrstd="t" o:hr="t" fillcolor="#a0a0a0" stroked="f"/>
        </w:pict>
      </w:r>
    </w:p>
    <w:p w:rsidR="00A6587C" w:rsidRDefault="00A6587C" w:rsidP="00A6587C">
      <w:pPr>
        <w:pStyle w:val="berschrift1"/>
      </w:pPr>
      <w:r>
        <w:lastRenderedPageBreak/>
        <w:t>3.3.42.488 Didaktische Trennung von Konflikt und Fehler</w:t>
      </w:r>
    </w:p>
    <w:p w:rsidR="00A6587C" w:rsidRDefault="00A6587C" w:rsidP="00A6587C">
      <w:pPr>
        <w:pStyle w:val="StandardWeb"/>
      </w:pPr>
      <w:r>
        <w:t>Die dritte Grundregel lautet</w:t>
      </w:r>
    </w:p>
    <w:p w:rsidR="00A6587C" w:rsidRDefault="00A6587C" w:rsidP="00A6587C">
      <w:pPr>
        <w:pStyle w:val="StandardWeb"/>
      </w:pPr>
      <w:r>
        <w:t>[</w:t>
      </w:r>
      <w:r>
        <w:br/>
        <w:t>\boxed{</w:t>
      </w:r>
      <w:r>
        <w:br/>
        <w:t>W=1</w:t>
      </w:r>
      <w:r>
        <w:br/>
        <w:t>\nRightarrow</w:t>
      </w:r>
      <w:r>
        <w:br/>
        <w:t>\text{eindeutig identifizierter Fehler}.</w:t>
      </w:r>
      <w:r>
        <w:br/>
        <w:t>}</w:t>
      </w:r>
      <w:r>
        <w:br/>
        <w:t>\tag{3.8493}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\boxed{W=1\nRightarrow\text{eindeutig identifizierter Fehler}.}</w:t>
      </w:r>
    </w:p>
    <w:p w:rsidR="00A6587C" w:rsidRDefault="00A6587C" w:rsidP="00A6587C">
      <w:pPr>
        <w:pStyle w:val="StandardWeb"/>
      </w:pPr>
      <w:r>
        <w:t>Ein Konflikt zeigt zunächst nur, dass die gemeinsame Struktur nicht funktioniert. Erst die Konfliktdiagnose untersucht, ob die Ursache in Daten, Definitionen, Parametern, Modellen oder tatsächlichen Aussagewidersprüchen liegt. [20]</w:t>
      </w:r>
    </w:p>
    <w:p w:rsidR="00A6587C" w:rsidRDefault="00E50336" w:rsidP="00A6587C">
      <w:r>
        <w:pict>
          <v:rect id="_x0000_i2227" style="width:0;height:1.5pt" o:hralign="center" o:hrstd="t" o:hr="t" fillcolor="#a0a0a0" stroked="f"/>
        </w:pict>
      </w:r>
    </w:p>
    <w:p w:rsidR="00A6587C" w:rsidRDefault="00A6587C" w:rsidP="00A6587C">
      <w:pPr>
        <w:pStyle w:val="berschrift1"/>
      </w:pPr>
      <w:r>
        <w:t>3.3.42.489 Didaktische Bedeutung der Statusklassen</w:t>
      </w:r>
    </w:p>
    <w:p w:rsidR="00A6587C" w:rsidRDefault="00A6587C" w:rsidP="00A6587C">
      <w:pPr>
        <w:pStyle w:val="StandardWeb"/>
      </w:pPr>
      <w:r>
        <w:t>Für die praktische Vermittlung sind die vier Statuswerte</w:t>
      </w:r>
    </w:p>
    <w:p w:rsidR="00A6587C" w:rsidRDefault="00A6587C" w:rsidP="00A6587C">
      <w:pPr>
        <w:pStyle w:val="StandardWeb"/>
      </w:pPr>
      <w:r>
        <w:t>[</w:t>
      </w:r>
      <w:r>
        <w:br/>
        <w:t>\mathbf K,\mathbf W,\mathbf U,\mathbf{NV}</w:t>
      </w:r>
      <w:r>
        <w:br/>
        <w:t>\tag{3.8494}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\mathbf K,\mathbf W,\mathbf U,\mathbf{NV}</w:t>
      </w:r>
    </w:p>
    <w:p w:rsidR="00A6587C" w:rsidRDefault="00A6587C" w:rsidP="00A6587C">
      <w:pPr>
        <w:pStyle w:val="StandardWeb"/>
      </w:pPr>
      <w:r>
        <w:t>besonders hilfreich. [20]</w:t>
      </w:r>
    </w:p>
    <w:p w:rsidR="00A6587C" w:rsidRDefault="00A6587C" w:rsidP="00A6587C">
      <w:pPr>
        <w:pStyle w:val="StandardWeb"/>
      </w:pPr>
      <w:r>
        <w:t>Sie erlauben eine leicht verständliche Ampellogik, ohne die wissenschaftliche Bedeutung vollständig auf Farben oder Zahlen zu reduzieren. Konsistent bedeutet „gemeinsam möglich“, widersprüchlich „gemeinsam nicht möglich“, unentscheidbar „noch nicht entscheidbar“ und nicht vergleichbar „keine gemeinsame Prüfbasis“. [20]</w:t>
      </w:r>
    </w:p>
    <w:p w:rsidR="00A6587C" w:rsidRDefault="00E50336" w:rsidP="00A6587C">
      <w:r>
        <w:pict>
          <v:rect id="_x0000_i2228" style="width:0;height:1.5pt" o:hralign="center" o:hrstd="t" o:hr="t" fillcolor="#a0a0a0" stroked="f"/>
        </w:pict>
      </w:r>
    </w:p>
    <w:p w:rsidR="00A6587C" w:rsidRDefault="00A6587C" w:rsidP="00A6587C">
      <w:pPr>
        <w:pStyle w:val="berschrift1"/>
      </w:pPr>
      <w:r>
        <w:t>3.3.42.490 Didaktisches Vierfeldermodell</w:t>
      </w:r>
    </w:p>
    <w:p w:rsidR="00A6587C" w:rsidRDefault="00A6587C" w:rsidP="00A6587C">
      <w:pPr>
        <w:pStyle w:val="StandardWeb"/>
      </w:pPr>
      <w:r>
        <w:t>Für eine elementare Darstellung kann ich deshalb die Abfolge</w:t>
      </w:r>
    </w:p>
    <w:p w:rsidR="00A6587C" w:rsidRDefault="00A6587C" w:rsidP="00A6587C">
      <w:pPr>
        <w:pStyle w:val="StandardWeb"/>
      </w:pPr>
      <w:r>
        <w:lastRenderedPageBreak/>
        <w:t>[</w:t>
      </w:r>
      <w:r>
        <w:br/>
        <w:t>(A_i,A_j)</w:t>
      </w:r>
      <w:r>
        <w:br/>
        <w:t>\longrightarrow</w:t>
      </w:r>
      <w:r>
        <w:br/>
        <w:t>\begin{cases}</w:t>
      </w:r>
      <w:r>
        <w:br/>
        <w:t>\mathbf{NV},\</w:t>
      </w:r>
      <w:r>
        <w:br/>
        <w:t>\mathbf U,\</w:t>
      </w:r>
      <w:r>
        <w:br/>
        <w:t>\mathbf K,\</w:t>
      </w:r>
      <w:r>
        <w:br/>
        <w:t>\mathbf W</w:t>
      </w:r>
      <w:r>
        <w:br/>
        <w:t>\end{cases}</w:t>
      </w:r>
      <w:r>
        <w:br/>
        <w:t>\tag{3.8495}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(A_i,A_j)\longrightarrow\begin{cases}\mathbf{NV},\\\mathbf U,\\\mathbf K,\\\mathbf W\end{cases}</w:t>
      </w:r>
    </w:p>
    <w:p w:rsidR="00A6587C" w:rsidRDefault="00A6587C" w:rsidP="00A6587C">
      <w:pPr>
        <w:pStyle w:val="StandardWeb"/>
      </w:pPr>
      <w:r>
        <w:t>verwenden. [20]</w:t>
      </w:r>
    </w:p>
    <w:p w:rsidR="00A6587C" w:rsidRDefault="00A6587C" w:rsidP="00A6587C">
      <w:pPr>
        <w:pStyle w:val="StandardWeb"/>
      </w:pPr>
      <w:r>
        <w:t>Erst nach einem Status (\mathbf W) beginnt die eigentliche Konfliktdiagnose. Dadurch bleibt die Prüflogik auch für Leser nachvollziehbar, die nicht unmittelbar mit Graphentheorie oder mehrdimensionalen Bewertungsvektoren vertraut sind. [20]</w:t>
      </w:r>
    </w:p>
    <w:p w:rsidR="00A6587C" w:rsidRDefault="00E50336" w:rsidP="00A6587C">
      <w:r>
        <w:pict>
          <v:rect id="_x0000_i2229" style="width:0;height:1.5pt" o:hralign="center" o:hrstd="t" o:hr="t" fillcolor="#a0a0a0" stroked="f"/>
        </w:pict>
      </w:r>
    </w:p>
    <w:p w:rsidR="00A6587C" w:rsidRDefault="00A6587C" w:rsidP="00A6587C">
      <w:pPr>
        <w:pStyle w:val="berschrift1"/>
      </w:pPr>
      <w:r>
        <w:t>3.3.42.491 Didaktische Bedeutung von Konfliktgraphen</w:t>
      </w:r>
    </w:p>
    <w:p w:rsidR="00A6587C" w:rsidRDefault="00A6587C" w:rsidP="00A6587C">
      <w:pPr>
        <w:pStyle w:val="StandardWeb"/>
      </w:pPr>
      <w:r>
        <w:t>Nachdem diese Grundlogik verstanden wurde, besitzt der Konfliktgraph einen großen didaktischen Vorteil. Einzelne Aussagen werden als Knoten sichtbar, Widersprüche als Verbindungen. Dadurch lässt sich unmittelbar erkennen, ob ein Konflikt isoliert ist oder einen großen Teil der Theorie betrifft. [20]</w:t>
      </w:r>
    </w:p>
    <w:p w:rsidR="00A6587C" w:rsidRDefault="00A6587C" w:rsidP="00A6587C">
      <w:pPr>
        <w:pStyle w:val="StandardWeb"/>
      </w:pPr>
      <w:r>
        <w:t>Ein Knoten mit hoher Konfliktzentralität</w:t>
      </w:r>
    </w:p>
    <w:p w:rsidR="00A6587C" w:rsidRDefault="00A6587C" w:rsidP="00A6587C">
      <w:pPr>
        <w:pStyle w:val="StandardWeb"/>
      </w:pPr>
      <w:r>
        <w:t>[</w:t>
      </w:r>
      <w:r>
        <w:br/>
        <w:t>C_W(A_i)\gg0</w:t>
      </w:r>
      <w:r>
        <w:br/>
        <w:t>\tag{3.8496}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C_W(A_i)\gg0</w:t>
      </w:r>
    </w:p>
    <w:p w:rsidR="00A6587C" w:rsidRDefault="00A6587C" w:rsidP="00A6587C">
      <w:pPr>
        <w:pStyle w:val="StandardWeb"/>
      </w:pPr>
      <w:r>
        <w:t>ist visuell und konzeptionell leicht als diagnostisch auffälliger Theoriepunkt interpretierbar. [20]</w:t>
      </w:r>
    </w:p>
    <w:p w:rsidR="00A6587C" w:rsidRDefault="00A6587C" w:rsidP="00A6587C">
      <w:pPr>
        <w:pStyle w:val="StandardWeb"/>
      </w:pPr>
      <w:r>
        <w:t>Ich betone dabei weiterhin, dass hohe Konfliktzentralität nicht bedeutet, dass die betreffende Aussage falsch ist. Gerade dieses Beispiel eignet sich didaktisch gut, um Strukturinformation und Wahrheitsentscheidung voneinander zu unterscheiden. [20]</w:t>
      </w:r>
    </w:p>
    <w:p w:rsidR="00A6587C" w:rsidRDefault="00E50336" w:rsidP="00A6587C">
      <w:r>
        <w:lastRenderedPageBreak/>
        <w:pict>
          <v:rect id="_x0000_i2230" style="width:0;height:1.5pt" o:hralign="center" o:hrstd="t" o:hr="t" fillcolor="#a0a0a0" stroked="f"/>
        </w:pict>
      </w:r>
    </w:p>
    <w:p w:rsidR="00A6587C" w:rsidRDefault="00A6587C" w:rsidP="00A6587C">
      <w:pPr>
        <w:pStyle w:val="berschrift1"/>
      </w:pPr>
      <w:r>
        <w:t>3.3.42.492 Didaktische Bedeutung minimaler Konfliktkerne</w:t>
      </w:r>
    </w:p>
    <w:p w:rsidR="00A6587C" w:rsidRDefault="00A6587C" w:rsidP="00A6587C">
      <w:pPr>
        <w:pStyle w:val="StandardWeb"/>
      </w:pPr>
      <w:r>
        <w:t>Auch der Begriff des minimalen Konfliktkerns besitzt einen hohen didaktischen Wert. Statt ein gesamtes Theoriegebäude als „widersprüchlich“ zu bezeichnen, kann die kleinste tatsächlich konfliktverursachende Aussagegruppe gesucht werden. [20]</w:t>
      </w:r>
    </w:p>
    <w:p w:rsidR="00A6587C" w:rsidRDefault="00A6587C" w:rsidP="00A6587C">
      <w:pPr>
        <w:pStyle w:val="StandardWeb"/>
      </w:pPr>
      <w:r>
        <w:t>Die Struktur</w:t>
      </w:r>
    </w:p>
    <w:p w:rsidR="00A6587C" w:rsidRDefault="00A6587C" w:rsidP="00A6587C">
      <w:pPr>
        <w:pStyle w:val="StandardWeb"/>
      </w:pPr>
      <w:r>
        <w:t>[</w:t>
      </w:r>
      <w:r>
        <w:br/>
        <w:t>K_F(\mathcal K_W)=0</w:t>
      </w:r>
      <w:r>
        <w:br/>
        <w:t>\tag{3.8497}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K_F(\mathcal K_W)=0</w:t>
      </w:r>
    </w:p>
    <w:p w:rsidR="00A6587C" w:rsidRDefault="00A6587C" w:rsidP="00A6587C">
      <w:pPr>
        <w:pStyle w:val="StandardWeb"/>
      </w:pPr>
      <w:r>
        <w:t>bei gleichzeitig</w:t>
      </w:r>
    </w:p>
    <w:p w:rsidR="00A6587C" w:rsidRDefault="00A6587C" w:rsidP="00A6587C">
      <w:pPr>
        <w:pStyle w:val="berschrift1"/>
      </w:pPr>
      <w:r>
        <w:t>[</w:t>
      </w:r>
      <w:r>
        <w:br/>
        <w:t>K_F</w:t>
      </w:r>
      <w:r>
        <w:br/>
        <w:t>\left(</w:t>
      </w:r>
      <w:r>
        <w:br/>
        <w:t>\mathcal K_W\setminus{A_i}</w:t>
      </w:r>
      <w:r>
        <w:br/>
        <w:t>\right)</w:t>
      </w:r>
    </w:p>
    <w:p w:rsidR="00A6587C" w:rsidRDefault="00A6587C" w:rsidP="00A6587C">
      <w:pPr>
        <w:pStyle w:val="StandardWeb"/>
      </w:pPr>
      <w:r>
        <w:t>1</w:t>
      </w:r>
      <w:r>
        <w:br/>
        <w:t>\tag{3.8498}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K_F\left(\mathcal K_W\setminus\{A_i\}\right)=1</w:t>
      </w:r>
    </w:p>
    <w:p w:rsidR="00A6587C" w:rsidRDefault="00A6587C" w:rsidP="00A6587C">
      <w:pPr>
        <w:pStyle w:val="StandardWeb"/>
      </w:pPr>
      <w:r>
        <w:t>für jedes beteiligte (A_i) zeigt anschaulich, wie ein Konflikt auf seinen kleinsten Kern reduziert werden kann. [20]</w:t>
      </w:r>
    </w:p>
    <w:p w:rsidR="00A6587C" w:rsidRDefault="00E50336" w:rsidP="00A6587C">
      <w:r>
        <w:pict>
          <v:rect id="_x0000_i2231" style="width:0;height:1.5pt" o:hralign="center" o:hrstd="t" o:hr="t" fillcolor="#a0a0a0" stroked="f"/>
        </w:pict>
      </w:r>
    </w:p>
    <w:p w:rsidR="00A6587C" w:rsidRDefault="00A6587C" w:rsidP="00A6587C">
      <w:pPr>
        <w:pStyle w:val="berschrift1"/>
      </w:pPr>
      <w:r>
        <w:t>3.3.42.493 Didaktische Analogie zur Fehlersuche</w:t>
      </w:r>
    </w:p>
    <w:p w:rsidR="00A6587C" w:rsidRDefault="00A6587C" w:rsidP="00A6587C">
      <w:pPr>
        <w:pStyle w:val="StandardWeb"/>
      </w:pPr>
      <w:r>
        <w:t xml:space="preserve">Für technisch orientierte Leser kann diese Vorgehensweise mit systematischer Fehlersuche verglichen werden. Wenn ein komplexes System nicht funktioniert, wird nicht zwangsläufig </w:t>
      </w:r>
      <w:r>
        <w:lastRenderedPageBreak/>
        <w:t>das gesamte System ersetzt. Stattdessen wird untersucht, welcher Teil oder welche Schnittstelle den Fehler erzeugt. [20]</w:t>
      </w:r>
    </w:p>
    <w:p w:rsidR="00A6587C" w:rsidRDefault="00A6587C" w:rsidP="00A6587C">
      <w:pPr>
        <w:pStyle w:val="StandardWeb"/>
      </w:pPr>
      <w:r>
        <w:t>Die Konfliktdiagnose folgt demselben Prinzip:</w:t>
      </w:r>
    </w:p>
    <w:p w:rsidR="00A6587C" w:rsidRDefault="00A6587C" w:rsidP="00A6587C">
      <w:pPr>
        <w:pStyle w:val="StandardWeb"/>
      </w:pPr>
      <w:r>
        <w:t>[</w:t>
      </w:r>
      <w:r>
        <w:br/>
        <w:t>\text{Gesamtproblem}</w:t>
      </w:r>
      <w:r>
        <w:br/>
        <w:t>\rightarrow</w:t>
      </w:r>
      <w:r>
        <w:br/>
        <w:t>\text{Teilstruktur}</w:t>
      </w:r>
      <w:r>
        <w:br/>
        <w:t>\rightarrow</w:t>
      </w:r>
      <w:r>
        <w:br/>
        <w:t>\text{Konfliktkern}</w:t>
      </w:r>
      <w:r>
        <w:br/>
        <w:t>\rightarrow</w:t>
      </w:r>
      <w:r>
        <w:br/>
        <w:t>\text{Ursache}.</w:t>
      </w:r>
      <w:r>
        <w:br/>
        <w:t>\tag{3.8499}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\text{Gesamtproblem}\rightarrow\text{Teilstruktur}\rightarrow\text{Konfliktkern}\rightarrow\text{Ursache}</w:t>
      </w:r>
    </w:p>
    <w:p w:rsidR="00A6587C" w:rsidRDefault="00A6587C" w:rsidP="00A6587C">
      <w:pPr>
        <w:pStyle w:val="StandardWeb"/>
      </w:pPr>
      <w:r>
        <w:t>Damit erhält die formale Theorieprüfung eine unmittelbar nachvollziehbare praktische Interpretation. [20]</w:t>
      </w:r>
    </w:p>
    <w:p w:rsidR="00A6587C" w:rsidRDefault="00E50336" w:rsidP="00A6587C">
      <w:r>
        <w:pict>
          <v:rect id="_x0000_i2232" style="width:0;height:1.5pt" o:hralign="center" o:hrstd="t" o:hr="t" fillcolor="#a0a0a0" stroked="f"/>
        </w:pict>
      </w:r>
    </w:p>
    <w:p w:rsidR="00A6587C" w:rsidRDefault="00A6587C" w:rsidP="00A6587C">
      <w:pPr>
        <w:pStyle w:val="berschrift1"/>
      </w:pPr>
      <w:r>
        <w:t>3.3.42.494 Didaktische Rolle des Repositorys</w:t>
      </w:r>
    </w:p>
    <w:p w:rsidR="00A6587C" w:rsidRDefault="00A6587C" w:rsidP="00A6587C">
      <w:pPr>
        <w:pStyle w:val="StandardWeb"/>
      </w:pPr>
      <w:r>
        <w:t>Das Repository kann diese Lernlogik später unterstützen, indem zu jeder Definition, Gleichung oder Aussage deren Abhängigkeiten sichtbar gemacht werden. Der Leser kann dadurch nicht nur das Ergebnis einer Herleitung sehen, sondern auch den Weg dorthin nachvollziehen. [20]</w:t>
      </w:r>
    </w:p>
    <w:p w:rsidR="00A6587C" w:rsidRDefault="00A6587C" w:rsidP="00A6587C">
      <w:pPr>
        <w:pStyle w:val="StandardWeb"/>
      </w:pPr>
      <w:r>
        <w:t>Insbesondere kann eine visuelle Darstellung</w:t>
      </w:r>
    </w:p>
    <w:p w:rsidR="00A6587C" w:rsidRDefault="00A6587C" w:rsidP="00A6587C">
      <w:pPr>
        <w:pStyle w:val="StandardWeb"/>
      </w:pPr>
      <w:r>
        <w:t>[</w:t>
      </w:r>
      <w:r>
        <w:br/>
        <w:t>A_i</w:t>
      </w:r>
      <w:r>
        <w:br/>
        <w:t>\rightarrow</w:t>
      </w:r>
      <w:r>
        <w:br/>
        <w:t>E_j</w:t>
      </w:r>
      <w:r>
        <w:br/>
        <w:t>\rightarrow</w:t>
      </w:r>
      <w:r>
        <w:br/>
        <w:t>T_k</w:t>
      </w:r>
      <w:r>
        <w:br/>
        <w:t>\rightarrow</w:t>
      </w:r>
      <w:r>
        <w:br/>
        <w:t>C_l</w:t>
      </w:r>
      <w:r>
        <w:br/>
        <w:t>\tag{3.8500}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A_i\rightarrow E_j\rightarrow T_k\rightarrow C_l</w:t>
      </w:r>
    </w:p>
    <w:p w:rsidR="00A6587C" w:rsidRDefault="00A6587C" w:rsidP="00A6587C">
      <w:pPr>
        <w:pStyle w:val="StandardWeb"/>
      </w:pPr>
      <w:r>
        <w:t>zeigen, wie sich eine Änderung eines früheren Objekts auf spätere Aussagen auswirkt. [20]</w:t>
      </w:r>
    </w:p>
    <w:p w:rsidR="00A6587C" w:rsidRDefault="00E50336" w:rsidP="00A6587C">
      <w:r>
        <w:lastRenderedPageBreak/>
        <w:pict>
          <v:rect id="_x0000_i2233" style="width:0;height:1.5pt" o:hralign="center" o:hrstd="t" o:hr="t" fillcolor="#a0a0a0" stroked="f"/>
        </w:pict>
      </w:r>
    </w:p>
    <w:p w:rsidR="00A6587C" w:rsidRDefault="00A6587C" w:rsidP="00A6587C">
      <w:pPr>
        <w:pStyle w:val="berschrift1"/>
      </w:pPr>
      <w:r>
        <w:t>3.3.42.495 Didaktische Bedeutung von Revisionen</w:t>
      </w:r>
    </w:p>
    <w:p w:rsidR="00A6587C" w:rsidRDefault="00A6587C" w:rsidP="00A6587C">
      <w:pPr>
        <w:pStyle w:val="StandardWeb"/>
      </w:pPr>
      <w:r>
        <w:t>Die Revisionsgeschichte besitzt auch didaktisch einen Vorteil: Sie macht wissenschaftliche Entwicklung sichtbar. Eine Theorie erscheint dann nicht als fertiges Produkt, sondern als dokumentierter Prozess aus Annahmen, Prüfungen, Konflikten, Korrekturen und neuen Fragen. [20]</w:t>
      </w:r>
    </w:p>
    <w:p w:rsidR="00A6587C" w:rsidRDefault="00A6587C" w:rsidP="00A6587C">
      <w:pPr>
        <w:pStyle w:val="StandardWeb"/>
      </w:pPr>
      <w:r>
        <w:t>Die Sequenz</w:t>
      </w:r>
    </w:p>
    <w:p w:rsidR="00A6587C" w:rsidRDefault="00A6587C" w:rsidP="00A6587C">
      <w:pPr>
        <w:pStyle w:val="StandardWeb"/>
      </w:pPr>
      <w:r>
        <w:t>[</w:t>
      </w:r>
      <w:r>
        <w:br/>
        <w:t>\mathcal T^{(1)}</w:t>
      </w:r>
      <w:r>
        <w:br/>
        <w:t>\rightarrow</w:t>
      </w:r>
      <w:r>
        <w:br/>
        <w:t>\mathcal T^{(2)}</w:t>
      </w:r>
      <w:r>
        <w:br/>
        <w:t>\rightarrow</w:t>
      </w:r>
      <w:r>
        <w:br/>
        <w:t>\cdots</w:t>
      </w:r>
      <w:r>
        <w:br/>
        <w:t>\rightarrow</w:t>
      </w:r>
      <w:r>
        <w:br/>
        <w:t>\mathcal T^{(n)}</w:t>
      </w:r>
      <w:r>
        <w:br/>
        <w:t>\tag{3.8501}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\mathcal T^{(1)}\rightarrow\mathcal T^{(2)}\rightarrow\cdots\rightarrow\mathcal T^{(n)}</w:t>
      </w:r>
    </w:p>
    <w:p w:rsidR="00A6587C" w:rsidRDefault="00A6587C" w:rsidP="00A6587C">
      <w:pPr>
        <w:pStyle w:val="StandardWeb"/>
      </w:pPr>
      <w:r>
        <w:t>kann damit als wissenschaftlicher Lern- und Entwicklungsprozess gelesen werden. [20]</w:t>
      </w:r>
    </w:p>
    <w:p w:rsidR="00A6587C" w:rsidRDefault="00E50336" w:rsidP="00A6587C">
      <w:r>
        <w:pict>
          <v:rect id="_x0000_i2234" style="width:0;height:1.5pt" o:hralign="center" o:hrstd="t" o:hr="t" fillcolor="#a0a0a0" stroked="f"/>
        </w:pict>
      </w:r>
    </w:p>
    <w:p w:rsidR="00A6587C" w:rsidRDefault="00A6587C" w:rsidP="00A6587C">
      <w:pPr>
        <w:pStyle w:val="berschrift1"/>
      </w:pPr>
      <w:r>
        <w:t>3.3.42.496 Didaktischer Umgang mit offenen Fragen</w:t>
      </w:r>
    </w:p>
    <w:p w:rsidR="00A6587C" w:rsidRDefault="00A6587C" w:rsidP="00A6587C">
      <w:pPr>
        <w:pStyle w:val="StandardWeb"/>
      </w:pPr>
      <w:r>
        <w:t>Ein weiterer Lernwert besteht darin, offene Fragen nicht als Versagen zu behandeln. Wissenschaftliche Theorien entwickeln sich gerade deshalb weiter, weil bestimmte Beziehungen noch nicht verstanden oder entschieden sind. [20]</w:t>
      </w:r>
    </w:p>
    <w:p w:rsidR="00A6587C" w:rsidRDefault="00A6587C" w:rsidP="00A6587C">
      <w:pPr>
        <w:pStyle w:val="StandardWeb"/>
      </w:pPr>
      <w:r>
        <w:t>Der Status</w:t>
      </w:r>
    </w:p>
    <w:p w:rsidR="00A6587C" w:rsidRDefault="00A6587C" w:rsidP="00A6587C">
      <w:pPr>
        <w:pStyle w:val="StandardWeb"/>
      </w:pPr>
      <w:r>
        <w:t>[</w:t>
      </w:r>
      <w:r>
        <w:br/>
        <w:t>\mathbf U</w:t>
      </w:r>
      <w:r>
        <w:br/>
        <w:t>\quad\text{oder}\quad</w:t>
      </w:r>
      <w:r>
        <w:br/>
        <w:t>\mathbf{offen}</w:t>
      </w:r>
      <w:r>
        <w:br/>
        <w:t>\tag{3.8502}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\mathbf U\quad\text{oder}\quad\mathbf{offen}</w:t>
      </w:r>
    </w:p>
    <w:p w:rsidR="00A6587C" w:rsidRDefault="00A6587C" w:rsidP="00A6587C">
      <w:pPr>
        <w:pStyle w:val="StandardWeb"/>
      </w:pPr>
      <w:r>
        <w:t>macht diese Unsicherheit explizit sichtbar. [20]</w:t>
      </w:r>
    </w:p>
    <w:p w:rsidR="00A6587C" w:rsidRDefault="00A6587C" w:rsidP="00A6587C">
      <w:pPr>
        <w:pStyle w:val="StandardWeb"/>
      </w:pPr>
      <w:r>
        <w:lastRenderedPageBreak/>
        <w:t>Didaktisch kann dadurch vermittelt werden, dass wissenschaftliche Genauigkeit nicht darin besteht, immer eine eindeutige Antwort zu geben, sondern auch darin, die Grenzen einer vorhandenen Antwort präzise zu kennzeichnen. [20]</w:t>
      </w:r>
    </w:p>
    <w:p w:rsidR="00A6587C" w:rsidRDefault="00E50336" w:rsidP="00A6587C">
      <w:r>
        <w:pict>
          <v:rect id="_x0000_i2235" style="width:0;height:1.5pt" o:hralign="center" o:hrstd="t" o:hr="t" fillcolor="#a0a0a0" stroked="f"/>
        </w:pict>
      </w:r>
    </w:p>
    <w:p w:rsidR="00A6587C" w:rsidRDefault="00A6587C" w:rsidP="00A6587C">
      <w:pPr>
        <w:pStyle w:val="berschrift1"/>
      </w:pPr>
      <w:r>
        <w:t>3.3.42.497 Didaktische Reduktion der vollständigen Architektur</w:t>
      </w:r>
    </w:p>
    <w:p w:rsidR="00A6587C" w:rsidRDefault="00A6587C" w:rsidP="00A6587C">
      <w:pPr>
        <w:pStyle w:val="StandardWeb"/>
      </w:pPr>
      <w:r>
        <w:t>Die vollständige Architektur aus Gleichung (3.8447) ist für eine Erstvermittlung zu komplex. Ich reduziere sie didaktisch deshalb zunächst auf fünf Schritte:</w:t>
      </w:r>
    </w:p>
    <w:p w:rsidR="00A6587C" w:rsidRDefault="00A6587C" w:rsidP="00A6587C">
      <w:pPr>
        <w:pStyle w:val="StandardWeb"/>
      </w:pPr>
      <w:r>
        <w:t>[</w:t>
      </w:r>
      <w:r>
        <w:br/>
        <w:t>\boxed{</w:t>
      </w:r>
      <w:r>
        <w:br/>
        <w:t>\text{Kann ich vergleichen?}</w:t>
      </w:r>
      <w:r>
        <w:br/>
        <w:t>\rightarrow</w:t>
      </w:r>
      <w:r>
        <w:br/>
        <w:t>\text{Passt es zusammen?}</w:t>
      </w:r>
      <w:r>
        <w:br/>
        <w:t>\rightarrow</w:t>
      </w:r>
      <w:r>
        <w:br/>
        <w:t>\text{Wenn nein: warum?}</w:t>
      </w:r>
      <w:r>
        <w:br/>
        <w:t>\rightarrow</w:t>
      </w:r>
      <w:r>
        <w:br/>
        <w:t>\text{Kann ich es begründet korrigieren?}</w:t>
      </w:r>
      <w:r>
        <w:br/>
        <w:t>\rightarrow</w:t>
      </w:r>
      <w:r>
        <w:br/>
        <w:t>\text{Was bleibt offen?}</w:t>
      </w:r>
      <w:r>
        <w:br/>
        <w:t>}</w:t>
      </w:r>
      <w:r>
        <w:br/>
        <w:t>\tag{3.8503}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\boxed{\text{Kann ich vergleichen?}\rightarrow\text{Passt es zusammen?}\rightarrow\text{Wenn nein: warum?}\rightarrow\text{Kann ich es begründet korrigieren?}\rightarrow\text{Was bleibt offen?}}</w:t>
      </w:r>
    </w:p>
    <w:p w:rsidR="00A6587C" w:rsidRDefault="00A6587C" w:rsidP="00A6587C">
      <w:pPr>
        <w:pStyle w:val="StandardWeb"/>
      </w:pPr>
      <w:r>
        <w:t>Diese fünf Fragen enthalten bereits den methodischen Kern der gesamten Konsistenzarchitektur. [20]</w:t>
      </w:r>
    </w:p>
    <w:p w:rsidR="00A6587C" w:rsidRDefault="00E50336" w:rsidP="00A6587C">
      <w:r>
        <w:pict>
          <v:rect id="_x0000_i2236" style="width:0;height:1.5pt" o:hralign="center" o:hrstd="t" o:hr="t" fillcolor="#a0a0a0" stroked="f"/>
        </w:pict>
      </w:r>
    </w:p>
    <w:p w:rsidR="00A6587C" w:rsidRDefault="00A6587C" w:rsidP="00A6587C">
      <w:pPr>
        <w:pStyle w:val="berschrift1"/>
      </w:pPr>
      <w:r>
        <w:t>3.3.42.498 Ergebnis des Gesamtabschnitts 3.3.42</w:t>
      </w:r>
    </w:p>
    <w:p w:rsidR="00A6587C" w:rsidRDefault="00A6587C" w:rsidP="00A6587C">
      <w:pPr>
        <w:pStyle w:val="StandardWeb"/>
      </w:pPr>
      <w:r>
        <w:t>Mit Abschnitt 3.3.42 habe ich eine mehrstufige funktionale Konsistenzarchitektur entwickelt, die wissenschaftliche Aussagen nicht lediglich binär als widerspruchsfrei oder widersprüchlich klassifiziert. Ausgangspunkt ist zunächst die Vergleichbarkeit. Erst innerhalb eines gemeinsamen funktionalen Bezugsraums wird anschließend die eigentliche Konsistenz geprüft. [20]</w:t>
      </w:r>
    </w:p>
    <w:p w:rsidR="00A6587C" w:rsidRDefault="00A6587C" w:rsidP="00A6587C">
      <w:pPr>
        <w:pStyle w:val="StandardWeb"/>
      </w:pPr>
      <w:r>
        <w:t>Ich unterscheide lokale, globale und partielle Konsistenz sowie Nichtvergleichbarkeit und Unentscheidbarkeit. Dadurch kann ein Aussagenpaar in unterschiedlichen Zustandsbereichen verschiedene Konsistenzstatus besitzen, ohne dass diese Differenz selbst bereits einen Theoriefehler darstellt. [20]</w:t>
      </w:r>
    </w:p>
    <w:p w:rsidR="00A6587C" w:rsidRDefault="00A6587C" w:rsidP="00A6587C">
      <w:pPr>
        <w:pStyle w:val="StandardWeb"/>
      </w:pPr>
      <w:r>
        <w:lastRenderedPageBreak/>
        <w:t>Über die einzelnen Aussagen hinaus habe ich die Konsistenzprüfung auf Aussagenmengen, Definitionen, Gleichungen, Sätze, Beweise, Korollare, Operatoren, Transformationen, Theorieblöcke, Schnittstellen, Revisionen und die Konsistenzregeln selbst erweitert. [20]</w:t>
      </w:r>
    </w:p>
    <w:p w:rsidR="00A6587C" w:rsidRDefault="00A6587C" w:rsidP="00A6587C">
      <w:pPr>
        <w:pStyle w:val="StandardWeb"/>
      </w:pPr>
      <w:r>
        <w:t>Die zentrale Architektur lautet</w:t>
      </w:r>
    </w:p>
    <w:p w:rsidR="00A6587C" w:rsidRDefault="00A6587C" w:rsidP="00A6587C">
      <w:pPr>
        <w:pStyle w:val="berschrift1"/>
      </w:pPr>
      <w:r>
        <w:t>[</w:t>
      </w:r>
      <w:r>
        <w:br/>
        <w:t>\mathfrak C_F^{\mathrm{full}}</w:t>
      </w:r>
    </w:p>
    <w:p w:rsidR="00A6587C" w:rsidRDefault="00A6587C" w:rsidP="00A6587C">
      <w:pPr>
        <w:pStyle w:val="StandardWeb"/>
      </w:pPr>
      <w:r>
        <w:t>\left(</w:t>
      </w:r>
      <w:r>
        <w:br/>
        <w:t>\mathcal C,</w:t>
      </w:r>
      <w:r>
        <w:br/>
        <w:t>\mathfrak K,</w:t>
      </w:r>
      <w:r>
        <w:br/>
        <w:t>\mathfrak K^{(2)},</w:t>
      </w:r>
      <w:r>
        <w:br/>
        <w:t>\mathbf K,</w:t>
      </w:r>
      <w:r>
        <w:br/>
        <w:t>\mathbf R_K,</w:t>
      </w:r>
      <w:r>
        <w:br/>
        <w:t>\Sigma_W,</w:t>
      </w:r>
      <w:r>
        <w:br/>
        <w:t>\Sigma_U,</w:t>
      </w:r>
      <w:r>
        <w:br/>
        <w:t>\mathcal G_F^{K},</w:t>
      </w:r>
      <w:r>
        <w:br/>
        <w:t>\mathcal K_W,</w:t>
      </w:r>
      <w:r>
        <w:br/>
        <w:t>\Sigma_K^{\ast},</w:t>
      </w:r>
      <w:r>
        <w:br/>
        <w:t>\Sigma_T^{K},</w:t>
      </w:r>
      <w:r>
        <w:br/>
        <w:t>\mathbf K_{\mathcal B},</w:t>
      </w:r>
      <w:r>
        <w:br/>
        <w:t>K_I,</w:t>
      </w:r>
      <w:r>
        <w:br/>
        <w:t>G_K,</w:t>
      </w:r>
      <w:r>
        <w:br/>
        <w:t>K_{\mathrm{meta}},</w:t>
      </w:r>
      <w:r>
        <w:br/>
        <w:t>\mathcal R_W,</w:t>
      </w:r>
      <w:r>
        <w:br/>
        <w:t>\mathcal H_W</w:t>
      </w:r>
      <w:r>
        <w:br/>
        <w:t>\right).</w:t>
      </w:r>
      <w:r>
        <w:br/>
        <w:t>\tag{3.8504}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\mathfrak C_F^{\mathrm{full}}=\left(\mathcal C,\mathfrak K,\mathfrak K^{(2)},\mathbf K,\mathbf R_K,\Sigma_W,\Sigma_U,\mathcal G_F^{K},\mathcal K_W,\Sigma_K^{\ast},\Sigma_T^{K},\mathbf K_{\mathcal B},K_I,G_K,K_{\mathrm{meta}},\mathcal R_W,\mathcal H_W\right)</w:t>
      </w:r>
    </w:p>
    <w:p w:rsidR="00A6587C" w:rsidRDefault="00A6587C" w:rsidP="00A6587C">
      <w:pPr>
        <w:pStyle w:val="StandardWeb"/>
      </w:pPr>
      <w:r>
        <w:t>Diese Struktur bildet das Ergebnis des Gesamtabschnitts 3.3.42. [20]</w:t>
      </w:r>
    </w:p>
    <w:p w:rsidR="00A6587C" w:rsidRDefault="00E50336" w:rsidP="00A6587C">
      <w:r>
        <w:pict>
          <v:rect id="_x0000_i2237" style="width:0;height:1.5pt" o:hralign="center" o:hrstd="t" o:hr="t" fillcolor="#a0a0a0" stroked="f"/>
        </w:pict>
      </w:r>
    </w:p>
    <w:p w:rsidR="00A6587C" w:rsidRDefault="00A6587C" w:rsidP="00A6587C">
      <w:pPr>
        <w:pStyle w:val="berschrift1"/>
      </w:pPr>
      <w:r>
        <w:t>3.3.42.499 Wissenschaftliche Kernaussage</w:t>
      </w:r>
    </w:p>
    <w:p w:rsidR="00A6587C" w:rsidRDefault="00A6587C" w:rsidP="00A6587C">
      <w:pPr>
        <w:pStyle w:val="StandardWeb"/>
      </w:pPr>
      <w:r>
        <w:t>Die wissenschaftliche Kernaussage des Abschnitts lautet:</w:t>
      </w:r>
    </w:p>
    <w:p w:rsidR="00A6587C" w:rsidRDefault="00A6587C" w:rsidP="00A6587C">
      <w:pPr>
        <w:pStyle w:val="StandardWeb"/>
      </w:pPr>
      <w:r>
        <w:t>[</w:t>
      </w:r>
      <w:r>
        <w:br/>
        <w:t>\boxed{</w:t>
      </w:r>
      <w:r>
        <w:br/>
        <w:t>\text{Konsistenz ist eine relationale, domänengebundene und revisionsabhängige Eigenschaft wissenschaftlicher Aussagenstrukturen.}</w:t>
      </w:r>
      <w:r>
        <w:br/>
      </w:r>
      <w:r>
        <w:lastRenderedPageBreak/>
        <w:t>}</w:t>
      </w:r>
      <w:r>
        <w:br/>
        <w:t>\tag{3.8505}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\boxed{\text{Konsistenz ist eine relationale, domänengebundene und revisionsabhängige Eigenschaft wissenschaftlicher Aussagenstrukturen.}}</w:t>
      </w:r>
    </w:p>
    <w:p w:rsidR="00A6587C" w:rsidRDefault="00A6587C" w:rsidP="00A6587C">
      <w:pPr>
        <w:pStyle w:val="StandardWeb"/>
      </w:pPr>
      <w:r>
        <w:t>Sie ist weder mit Wahrheit noch mit Stabilität, Validität, Reproduzierbarkeit oder empirischer Bewährung identisch. [20]</w:t>
      </w:r>
    </w:p>
    <w:p w:rsidR="00A6587C" w:rsidRDefault="00E50336" w:rsidP="00A6587C">
      <w:r>
        <w:pict>
          <v:rect id="_x0000_i2238" style="width:0;height:1.5pt" o:hralign="center" o:hrstd="t" o:hr="t" fillcolor="#a0a0a0" stroked="f"/>
        </w:pict>
      </w:r>
    </w:p>
    <w:p w:rsidR="00A6587C" w:rsidRDefault="00A6587C" w:rsidP="00A6587C">
      <w:pPr>
        <w:pStyle w:val="berschrift1"/>
      </w:pPr>
      <w:r>
        <w:t>3.3.42.500 Zweites Gesamtergebnis</w:t>
      </w:r>
    </w:p>
    <w:p w:rsidR="00A6587C" w:rsidRDefault="00A6587C" w:rsidP="00A6587C">
      <w:pPr>
        <w:pStyle w:val="StandardWeb"/>
      </w:pPr>
      <w:r>
        <w:t>Die zweite Kernaussage lautet:</w:t>
      </w:r>
    </w:p>
    <w:p w:rsidR="00A6587C" w:rsidRDefault="00A6587C" w:rsidP="00A6587C">
      <w:pPr>
        <w:pStyle w:val="StandardWeb"/>
      </w:pPr>
      <w:r>
        <w:t>[</w:t>
      </w:r>
      <w:r>
        <w:br/>
        <w:t>\boxed{</w:t>
      </w:r>
      <w:r>
        <w:br/>
        <w:t>\text{Ein erkannter Widerspruch ist zunächst ein Diagnosebefund und keine automatische Entscheidung darüber, welche Aussage falsch ist.}</w:t>
      </w:r>
      <w:r>
        <w:br/>
        <w:t>}</w:t>
      </w:r>
      <w:r>
        <w:br/>
        <w:t>\tag{3.8506}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\boxed{\text{Ein erkannter Widerspruch ist zunächst ein Diagnosebefund und keine automatische Entscheidung darüber, welche Aussage falsch ist.}}</w:t>
      </w:r>
    </w:p>
    <w:p w:rsidR="00A6587C" w:rsidRDefault="00A6587C" w:rsidP="00A6587C">
      <w:pPr>
        <w:pStyle w:val="StandardWeb"/>
      </w:pPr>
      <w:r>
        <w:t>Eine wissenschaftlich begründete Konfliktentscheidung erfordert zusätzliche Informationen über Gültigkeitsbereiche, Definitionen, Parameter, Operationalisierungen, Modelle, Evidenz und Unsicherheit. [20]</w:t>
      </w:r>
    </w:p>
    <w:p w:rsidR="00A6587C" w:rsidRDefault="00E50336" w:rsidP="00A6587C">
      <w:r>
        <w:pict>
          <v:rect id="_x0000_i2239" style="width:0;height:1.5pt" o:hralign="center" o:hrstd="t" o:hr="t" fillcolor="#a0a0a0" stroked="f"/>
        </w:pict>
      </w:r>
    </w:p>
    <w:p w:rsidR="00A6587C" w:rsidRDefault="00A6587C" w:rsidP="00A6587C">
      <w:pPr>
        <w:pStyle w:val="berschrift1"/>
      </w:pPr>
      <w:r>
        <w:t>3.3.42.501 Drittes Gesamtergebnis</w:t>
      </w:r>
    </w:p>
    <w:p w:rsidR="00A6587C" w:rsidRDefault="00A6587C" w:rsidP="00A6587C">
      <w:pPr>
        <w:pStyle w:val="StandardWeb"/>
      </w:pPr>
      <w:r>
        <w:t>Die dritte Kernaussage lautet:</w:t>
      </w:r>
    </w:p>
    <w:p w:rsidR="00A6587C" w:rsidRDefault="00A6587C" w:rsidP="00A6587C">
      <w:pPr>
        <w:pStyle w:val="StandardWeb"/>
      </w:pPr>
      <w:r>
        <w:t>[</w:t>
      </w:r>
      <w:r>
        <w:br/>
        <w:t>\boxed{</w:t>
      </w:r>
      <w:r>
        <w:br/>
        <w:t>\text{Widerspruchsfreiheit ist nur dann belastbar, wenn auch die relevanten Prüfbeziehungen hinreichend vollständig erfasst wurden.}</w:t>
      </w:r>
      <w:r>
        <w:br/>
        <w:t>}</w:t>
      </w:r>
      <w:r>
        <w:br/>
        <w:t>\tag{3.8507}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lastRenderedPageBreak/>
        <w:t>\boxed{\text{Widerspruchsfreiheit ist nur dann belastbar, wenn auch die relevanten Prüfbeziehungen hinreichend vollständig erfasst wurden.}}</w:t>
      </w:r>
    </w:p>
    <w:p w:rsidR="00A6587C" w:rsidRDefault="00A6587C" w:rsidP="00A6587C">
      <w:pPr>
        <w:pStyle w:val="StandardWeb"/>
      </w:pPr>
      <w:r>
        <w:t>Deshalb bleibt der Prüfdeckungsgrad (C_K^{\mathrm{cov}}) eine eigenständige Größe der Konsistenzbewertung. [20]</w:t>
      </w:r>
    </w:p>
    <w:p w:rsidR="00A6587C" w:rsidRDefault="00E50336" w:rsidP="00A6587C">
      <w:r>
        <w:pict>
          <v:rect id="_x0000_i2240" style="width:0;height:1.5pt" o:hralign="center" o:hrstd="t" o:hr="t" fillcolor="#a0a0a0" stroked="f"/>
        </w:pict>
      </w:r>
    </w:p>
    <w:p w:rsidR="00A6587C" w:rsidRDefault="00A6587C" w:rsidP="00A6587C">
      <w:pPr>
        <w:pStyle w:val="berschrift1"/>
      </w:pPr>
      <w:r>
        <w:t>3.3.42.502 Viertes Gesamtergebnis</w:t>
      </w:r>
    </w:p>
    <w:p w:rsidR="00A6587C" w:rsidRDefault="00A6587C" w:rsidP="00A6587C">
      <w:pPr>
        <w:pStyle w:val="StandardWeb"/>
      </w:pPr>
      <w:r>
        <w:t>Die vierte Kernaussage betrifft die Offenheit wissenschaftlicher Systeme:</w:t>
      </w:r>
    </w:p>
    <w:p w:rsidR="00A6587C" w:rsidRDefault="00A6587C" w:rsidP="00A6587C">
      <w:pPr>
        <w:pStyle w:val="StandardWeb"/>
      </w:pPr>
      <w:r>
        <w:t>[</w:t>
      </w:r>
      <w:r>
        <w:br/>
        <w:t>\boxed{</w:t>
      </w:r>
      <w:r>
        <w:br/>
        <w:t>\text{Ein explizit dokumentierter ungelöster Konflikt ist methodisch zulässiger als eine unbegründet erzwungene Konsistenz.}</w:t>
      </w:r>
      <w:r>
        <w:br/>
        <w:t>}</w:t>
      </w:r>
      <w:r>
        <w:br/>
        <w:t>\tag{3.8508}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\boxed{\text{Ein explizit dokumentierter ungelöster Konflikt ist methodisch zulässiger als eine unbegründet erzwungene Konsistenz.}}</w:t>
      </w:r>
    </w:p>
    <w:p w:rsidR="00A6587C" w:rsidRDefault="00A6587C" w:rsidP="00A6587C">
      <w:pPr>
        <w:pStyle w:val="StandardWeb"/>
      </w:pPr>
      <w:r>
        <w:t>Damit wird die Kennzeichnung von Unsicherheit und offenen Konflikten zu einem positiven Bestandteil der wissenschaftlichen Qualitätssicherung. [20]</w:t>
      </w:r>
    </w:p>
    <w:p w:rsidR="00A6587C" w:rsidRDefault="00E50336" w:rsidP="00A6587C">
      <w:r>
        <w:pict>
          <v:rect id="_x0000_i2241" style="width:0;height:1.5pt" o:hralign="center" o:hrstd="t" o:hr="t" fillcolor="#a0a0a0" stroked="f"/>
        </w:pict>
      </w:r>
    </w:p>
    <w:p w:rsidR="00A6587C" w:rsidRDefault="00A6587C" w:rsidP="00A6587C">
      <w:pPr>
        <w:pStyle w:val="berschrift1"/>
      </w:pPr>
      <w:r>
        <w:t>3.3.42.503 Fünftes Gesamtergebnis</w:t>
      </w:r>
    </w:p>
    <w:p w:rsidR="00A6587C" w:rsidRDefault="00A6587C" w:rsidP="00A6587C">
      <w:pPr>
        <w:pStyle w:val="StandardWeb"/>
      </w:pPr>
      <w:r>
        <w:t>Schließlich zeigt die Transformationsanalyse:</w:t>
      </w:r>
    </w:p>
    <w:p w:rsidR="00A6587C" w:rsidRDefault="00A6587C" w:rsidP="00A6587C">
      <w:pPr>
        <w:pStyle w:val="StandardWeb"/>
      </w:pPr>
      <w:r>
        <w:t>[</w:t>
      </w:r>
      <w:r>
        <w:br/>
        <w:t>\boxed{</w:t>
      </w:r>
      <w:r>
        <w:br/>
        <w:t>\text{Eine mathematisch zulässige Transformation ist nicht automatisch wissenschaftlich konsistenzerhaltend.}</w:t>
      </w:r>
      <w:r>
        <w:br/>
        <w:t>}</w:t>
      </w:r>
      <w:r>
        <w:br/>
        <w:t>\tag{3.8509}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\boxed{\text{Eine mathematisch zulässige Transformation ist nicht automatisch wissenschaftlich konsistenzerhaltend.}}</w:t>
      </w:r>
    </w:p>
    <w:p w:rsidR="00A6587C" w:rsidRDefault="00A6587C" w:rsidP="00A6587C">
      <w:pPr>
        <w:pStyle w:val="StandardWeb"/>
      </w:pPr>
      <w:r>
        <w:t>Projektion, Aggregation, Normalisierung, Diskretisierung oder Modellvereinfachung können relevante Konflikte verändern oder verdecken und müssen daher eigenständig bewertet werden. [35]</w:t>
      </w:r>
    </w:p>
    <w:p w:rsidR="00A6587C" w:rsidRDefault="00E50336" w:rsidP="00A6587C">
      <w:r>
        <w:pict>
          <v:rect id="_x0000_i2242" style="width:0;height:1.5pt" o:hralign="center" o:hrstd="t" o:hr="t" fillcolor="#a0a0a0" stroked="f"/>
        </w:pict>
      </w:r>
    </w:p>
    <w:p w:rsidR="00A6587C" w:rsidRDefault="00A6587C" w:rsidP="00A6587C">
      <w:pPr>
        <w:pStyle w:val="berschrift1"/>
      </w:pPr>
      <w:r>
        <w:lastRenderedPageBreak/>
        <w:t>3.3.42.504 Abgrenzung der Eigenleistung</w:t>
      </w:r>
    </w:p>
    <w:p w:rsidR="00A6587C" w:rsidRDefault="00A6587C" w:rsidP="00A6587C">
      <w:pPr>
        <w:pStyle w:val="StandardWeb"/>
      </w:pPr>
      <w:r>
        <w:t>Die mathematischen Einzelwerkzeuge, auf denen dieser Abschnitt beruht – insbesondere Mengen, Relationen, Maße, Matrizen, Graphen, Operatoren, Transformationen, Distanzbegriffe und Optimierungsformulierungen – sind keine Eigenentwicklungen dieser Arbeit. Sie gehören zum etablierten mathematischen Instrumentarium. [20]</w:t>
      </w:r>
    </w:p>
    <w:p w:rsidR="00A6587C" w:rsidRDefault="00A6587C" w:rsidP="00A6587C">
      <w:pPr>
        <w:pStyle w:val="StandardWeb"/>
      </w:pPr>
      <w:r>
        <w:t>Meine Eigenleistung besteht in der systematischen funktionalen Verknüpfung dieser Werkzeuge zu einer FRZK-spezifischen Konsistenzarchitektur, in der Vergleichbarkeit, lokale und globale Konsistenz, Unentscheidbarkeit, Konfliktklassifikation, Konfliktkerne, Transformationskonsistenz, Theorieblockschnittstellen, Revisionsabhängigkeit, Auditierbarkeit und Konfliktauflösung gemeinsam behandelt werden. [20]</w:t>
      </w:r>
    </w:p>
    <w:p w:rsidR="00A6587C" w:rsidRDefault="00A6587C" w:rsidP="00A6587C">
      <w:pPr>
        <w:pStyle w:val="StandardWeb"/>
      </w:pPr>
      <w:r>
        <w:t>Insbesondere führe ich als FRZK-spezifische Konstruktionen die zusammenhängende Verwendung der Signaturen</w:t>
      </w:r>
    </w:p>
    <w:p w:rsidR="00A6587C" w:rsidRDefault="00A6587C" w:rsidP="00A6587C">
      <w:pPr>
        <w:pStyle w:val="StandardWeb"/>
      </w:pPr>
      <w:r>
        <w:t>[</w:t>
      </w:r>
      <w:r>
        <w:br/>
        <w:t>\Sigma_W,</w:t>
      </w:r>
      <w:r>
        <w:br/>
        <w:t>\qquad</w:t>
      </w:r>
      <w:r>
        <w:br/>
        <w:t>\Sigma_U,</w:t>
      </w:r>
      <w:r>
        <w:br/>
        <w:t>\qquad</w:t>
      </w:r>
      <w:r>
        <w:br/>
        <w:t>\Sigma_K^{\ast},</w:t>
      </w:r>
      <w:r>
        <w:br/>
        <w:t>\qquad</w:t>
      </w:r>
      <w:r>
        <w:br/>
        <w:t>\Sigma_T^{K}</w:t>
      </w:r>
      <w:r>
        <w:br/>
        <w:t>\tag{3.8510}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\Sigma_W,\qquad\Sigma_U,\qquad\Sigma_K^{\ast},\qquad\Sigma_T^{K}</w:t>
      </w:r>
    </w:p>
    <w:p w:rsidR="00A6587C" w:rsidRDefault="00A6587C" w:rsidP="00A6587C">
      <w:pPr>
        <w:pStyle w:val="StandardWeb"/>
      </w:pPr>
      <w:r>
        <w:t>innerhalb der vollständigen Architektur (\mathfrak C_F^{\mathrm{full}}) ein. [20]</w:t>
      </w:r>
    </w:p>
    <w:p w:rsidR="00A6587C" w:rsidRDefault="00E50336" w:rsidP="00A6587C">
      <w:r>
        <w:pict>
          <v:rect id="_x0000_i2243" style="width:0;height:1.5pt" o:hralign="center" o:hrstd="t" o:hr="t" fillcolor="#a0a0a0" stroked="f"/>
        </w:pict>
      </w:r>
    </w:p>
    <w:p w:rsidR="00A6587C" w:rsidRDefault="00A6587C" w:rsidP="00A6587C">
      <w:pPr>
        <w:pStyle w:val="berschrift1"/>
      </w:pPr>
      <w:r>
        <w:t>3.3.42.505 Methodischer Status der Eigenleistung</w:t>
      </w:r>
    </w:p>
    <w:p w:rsidR="00A6587C" w:rsidRDefault="00A6587C" w:rsidP="00A6587C">
      <w:pPr>
        <w:pStyle w:val="StandardWeb"/>
      </w:pPr>
      <w:r>
        <w:t xml:space="preserve">Diese Eigenleistung ist als </w:t>
      </w:r>
      <w:r>
        <w:rPr>
          <w:rStyle w:val="Fett"/>
        </w:rPr>
        <w:t>methodisch-mathematische Konstruktion</w:t>
      </w:r>
      <w:r>
        <w:t xml:space="preserve"> und nicht als Primäraxiom zu klassifizieren.</w:t>
      </w:r>
    </w:p>
    <w:p w:rsidR="00A6587C" w:rsidRDefault="00A6587C" w:rsidP="00A6587C">
      <w:pPr>
        <w:pStyle w:val="StandardWeb"/>
      </w:pPr>
      <w:r>
        <w:t>Formal gilt</w:t>
      </w:r>
    </w:p>
    <w:p w:rsidR="00A6587C" w:rsidRDefault="00A6587C" w:rsidP="00A6587C">
      <w:pPr>
        <w:pStyle w:val="StandardWeb"/>
      </w:pPr>
      <w:r>
        <w:t>[</w:t>
      </w:r>
      <w:r>
        <w:br/>
        <w:t>\mathfrak C_F^{\mathrm{full}}</w:t>
      </w:r>
      <w:r>
        <w:br/>
        <w:t>\notin</w:t>
      </w:r>
      <w:r>
        <w:br/>
        <w:t>\mathfrak A_F^{\mathrm{prim}}.</w:t>
      </w:r>
      <w:r>
        <w:br/>
        <w:t>\tag{3.8511}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lastRenderedPageBreak/>
        <w:t>\mathfrak C_F^{\mathrm{full}}\notin\mathfrak A_F^{\mathrm{prim}}</w:t>
      </w:r>
    </w:p>
    <w:p w:rsidR="00A6587C" w:rsidRDefault="00A6587C" w:rsidP="00A6587C">
      <w:pPr>
        <w:pStyle w:val="StandardWeb"/>
      </w:pPr>
      <w:r>
        <w:t>Stattdessen ordne ich sie ein als</w:t>
      </w:r>
    </w:p>
    <w:p w:rsidR="00A6587C" w:rsidRDefault="00A6587C" w:rsidP="00A6587C">
      <w:pPr>
        <w:pStyle w:val="StandardWeb"/>
      </w:pPr>
      <w:r>
        <w:t>[</w:t>
      </w:r>
      <w:r>
        <w:br/>
        <w:t>\mathfrak C_F^{\mathrm{full}}</w:t>
      </w:r>
      <w:r>
        <w:br/>
        <w:t>\in</w:t>
      </w:r>
      <w:r>
        <w:br/>
        <w:t>\mathfrak M_F^{\mathrm{method}}.</w:t>
      </w:r>
      <w:r>
        <w:br/>
        <w:t>\tag{3.8512}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\mathfrak C_F^{\mathrm{full}}\in\mathfrak M_F^{\mathrm{method}}</w:t>
      </w:r>
    </w:p>
    <w:p w:rsidR="00A6587C" w:rsidRDefault="00A6587C" w:rsidP="00A6587C">
      <w:pPr>
        <w:pStyle w:val="StandardWeb"/>
      </w:pPr>
      <w:r>
        <w:t>Damit bleibt die in Kapitel 3.3 verbindlich geforderte Trennung zwischen Primäraxiomatik und abgeleiteten methodischen Prüfstrukturen erhalten. [20]</w:t>
      </w:r>
    </w:p>
    <w:p w:rsidR="00A6587C" w:rsidRDefault="00E50336" w:rsidP="00A6587C">
      <w:r>
        <w:pict>
          <v:rect id="_x0000_i2244" style="width:0;height:1.5pt" o:hralign="center" o:hrstd="t" o:hr="t" fillcolor="#a0a0a0" stroked="f"/>
        </w:pict>
      </w:r>
    </w:p>
    <w:p w:rsidR="00A6587C" w:rsidRDefault="00A6587C" w:rsidP="00A6587C">
      <w:pPr>
        <w:pStyle w:val="berschrift1"/>
      </w:pPr>
      <w:r>
        <w:t>3.3.42.506 Abschließende Konsistenzsignatur</w:t>
      </w:r>
    </w:p>
    <w:p w:rsidR="00A6587C" w:rsidRDefault="00A6587C" w:rsidP="00A6587C">
      <w:pPr>
        <w:pStyle w:val="StandardWeb"/>
      </w:pPr>
      <w:r>
        <w:t>Für den Abschluss dieses Abschnitts definiere ich die zusammenfassende Signatur</w:t>
      </w:r>
    </w:p>
    <w:p w:rsidR="00A6587C" w:rsidRDefault="00A6587C" w:rsidP="00A6587C">
      <w:pPr>
        <w:pStyle w:val="berschrift1"/>
      </w:pPr>
      <w:r>
        <w:t>[</w:t>
      </w:r>
      <w:r>
        <w:br/>
        <w:t>\boxed{</w:t>
      </w:r>
      <w:r>
        <w:br/>
        <w:t>\Sigma_{3.3.42}</w:t>
      </w:r>
    </w:p>
    <w:p w:rsidR="00A6587C" w:rsidRDefault="00A6587C" w:rsidP="00A6587C">
      <w:pPr>
        <w:pStyle w:val="StandardWeb"/>
      </w:pPr>
      <w:r>
        <w:t>\left(</w:t>
      </w:r>
      <w:r>
        <w:br/>
        <w:t>\mathfrak C_F^{\mathrm{full}},</w:t>
      </w:r>
      <w:r>
        <w:br/>
        <w:t>\Sigma_K^{\ast},</w:t>
      </w:r>
      <w:r>
        <w:br/>
        <w:t>\Sigma_T^{K},</w:t>
      </w:r>
      <w:r>
        <w:br/>
        <w:t>\Sigma_W,</w:t>
      </w:r>
      <w:r>
        <w:br/>
        <w:t>\Sigma_U,</w:t>
      </w:r>
      <w:r>
        <w:br/>
        <w:t>G_K,</w:t>
      </w:r>
      <w:r>
        <w:br/>
        <w:t>C_K^{\mathrm{cov}},</w:t>
      </w:r>
      <w:r>
        <w:br/>
        <w:t>T_K,</w:t>
      </w:r>
      <w:r>
        <w:br/>
        <w:t>\mathcal H_W</w:t>
      </w:r>
      <w:r>
        <w:br/>
        <w:t>\right)</w:t>
      </w:r>
      <w:r>
        <w:br/>
        <w:t>}</w:t>
      </w:r>
      <w:r>
        <w:br/>
        <w:t>\tag{3.8513}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\boxed{\Sigma_{3.3.42}=\left(\mathfrak C_F^{\mathrm{full}},\Sigma_K^{\ast},\Sigma_T^{K},\Sigma_W,\Sigma_U,G_K,C_K^{\mathrm{cov}},T_K,\mathcal H_W\right)}</w:t>
      </w:r>
    </w:p>
    <w:p w:rsidR="00A6587C" w:rsidRDefault="00A6587C" w:rsidP="00A6587C">
      <w:pPr>
        <w:pStyle w:val="StandardWeb"/>
      </w:pPr>
      <w:r>
        <w:lastRenderedPageBreak/>
        <w:t>Sie beschreibt den vollständigen methodischen Konsistenzzustand eines betrachteten FRZK-Theorieausschnitts. [20]</w:t>
      </w:r>
    </w:p>
    <w:p w:rsidR="00A6587C" w:rsidRDefault="00E50336" w:rsidP="00A6587C">
      <w:r>
        <w:pict>
          <v:rect id="_x0000_i2245" style="width:0;height:1.5pt" o:hralign="center" o:hrstd="t" o:hr="t" fillcolor="#a0a0a0" stroked="f"/>
        </w:pict>
      </w:r>
    </w:p>
    <w:p w:rsidR="00A6587C" w:rsidRDefault="00A6587C" w:rsidP="00A6587C">
      <w:pPr>
        <w:pStyle w:val="berschrift1"/>
      </w:pPr>
      <w:r>
        <w:t>3.3.42.507 Abschlussbedingung</w:t>
      </w:r>
    </w:p>
    <w:p w:rsidR="00A6587C" w:rsidRDefault="00A6587C" w:rsidP="00A6587C">
      <w:pPr>
        <w:pStyle w:val="StandardWeb"/>
      </w:pPr>
      <w:r>
        <w:t>Ein betrachteter Theorieausschnitt erhält den starken Status</w:t>
      </w:r>
    </w:p>
    <w:p w:rsidR="00A6587C" w:rsidRDefault="00A6587C" w:rsidP="00A6587C">
      <w:pPr>
        <w:pStyle w:val="StandardWeb"/>
      </w:pPr>
      <w:r>
        <w:t>[</w:t>
      </w:r>
      <w:r>
        <w:br/>
        <w:t>G_K=\mathbf{pass}</w:t>
      </w:r>
      <w:r>
        <w:br/>
        <w:t>\tag{3.8514}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G_K=\mathbf{pass}</w:t>
      </w:r>
    </w:p>
    <w:p w:rsidR="00A6587C" w:rsidRDefault="00A6587C" w:rsidP="00A6587C">
      <w:pPr>
        <w:pStyle w:val="StandardWeb"/>
      </w:pPr>
      <w:r>
        <w:t>nur dann, wenn alle zwingenden Konsistenzbeziehungen geprüft wurden und kein nichtkompensierbarer ungelöster Konflikt verbleibt. [20]</w:t>
      </w:r>
    </w:p>
    <w:p w:rsidR="00A6587C" w:rsidRDefault="00A6587C" w:rsidP="00A6587C">
      <w:pPr>
        <w:pStyle w:val="StandardWeb"/>
      </w:pPr>
      <w:r>
        <w:t>Bei noch offenen Pflichtprüfungen gilt</w:t>
      </w:r>
    </w:p>
    <w:p w:rsidR="00A6587C" w:rsidRDefault="00A6587C" w:rsidP="00A6587C">
      <w:pPr>
        <w:pStyle w:val="StandardWeb"/>
      </w:pPr>
      <w:r>
        <w:t>[</w:t>
      </w:r>
      <w:r>
        <w:br/>
        <w:t>G_K=\mathbf{open},</w:t>
      </w:r>
      <w:r>
        <w:br/>
        <w:t>\tag{3.8515}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G_K=\mathbf{open}</w:t>
      </w:r>
    </w:p>
    <w:p w:rsidR="00A6587C" w:rsidRDefault="00A6587C" w:rsidP="00A6587C">
      <w:pPr>
        <w:pStyle w:val="StandardWeb"/>
      </w:pPr>
      <w:r>
        <w:t>und bei einem zwingenden ungelösten Konflikt</w:t>
      </w:r>
    </w:p>
    <w:p w:rsidR="00A6587C" w:rsidRDefault="00A6587C" w:rsidP="00A6587C">
      <w:pPr>
        <w:pStyle w:val="StandardWeb"/>
      </w:pPr>
      <w:r>
        <w:t>[</w:t>
      </w:r>
      <w:r>
        <w:br/>
        <w:t>G_K=\mathbf{fail}.</w:t>
      </w:r>
      <w:r>
        <w:br/>
        <w:t>\tag{3.8516}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G_K=\mathbf{fail}</w:t>
      </w:r>
    </w:p>
    <w:p w:rsidR="00A6587C" w:rsidRDefault="00A6587C" w:rsidP="00A6587C">
      <w:pPr>
        <w:pStyle w:val="StandardWeb"/>
      </w:pPr>
      <w:r>
        <w:t>Diese drei Statuswerte bilden die operative Abschlusslogik der Konsistenzprüfung. [20]</w:t>
      </w:r>
    </w:p>
    <w:p w:rsidR="00A6587C" w:rsidRDefault="00E50336" w:rsidP="00A6587C">
      <w:r>
        <w:pict>
          <v:rect id="_x0000_i2246" style="width:0;height:1.5pt" o:hralign="center" o:hrstd="t" o:hr="t" fillcolor="#a0a0a0" stroked="f"/>
        </w:pict>
      </w:r>
    </w:p>
    <w:p w:rsidR="00A6587C" w:rsidRDefault="00A6587C" w:rsidP="00A6587C">
      <w:pPr>
        <w:pStyle w:val="berschrift1"/>
      </w:pPr>
      <w:r>
        <w:t>3.3.42.508 Endgültige methodologische Schlussformel</w:t>
      </w:r>
    </w:p>
    <w:p w:rsidR="00A6587C" w:rsidRDefault="00A6587C" w:rsidP="00A6587C">
      <w:pPr>
        <w:pStyle w:val="StandardWeb"/>
      </w:pPr>
      <w:r>
        <w:t>Ich fasse die methodologische Logik des Gesamtabschnitts daher in einer letzten Folge zusammen:</w:t>
      </w:r>
    </w:p>
    <w:p w:rsidR="00A6587C" w:rsidRDefault="00A6587C" w:rsidP="00A6587C">
      <w:pPr>
        <w:pStyle w:val="StandardWeb"/>
      </w:pPr>
      <w:r>
        <w:lastRenderedPageBreak/>
        <w:t>[</w:t>
      </w:r>
      <w:r>
        <w:br/>
        <w:t>\boxed{</w:t>
      </w:r>
      <w:r>
        <w:br/>
        <w:t>\mathcal A</w:t>
      </w:r>
      <w:r>
        <w:br/>
        <w:t>\rightarrow</w:t>
      </w:r>
      <w:r>
        <w:br/>
        <w:t>\mathcal C</w:t>
      </w:r>
      <w:r>
        <w:br/>
        <w:t>\rightarrow</w:t>
      </w:r>
      <w:r>
        <w:br/>
        <w:t>K_F</w:t>
      </w:r>
      <w:r>
        <w:br/>
        <w:t>\rightarrow</w:t>
      </w:r>
      <w:r>
        <w:br/>
        <w:t>\Sigma_W</w:t>
      </w:r>
      <w:r>
        <w:br/>
        <w:t>\rightarrow</w:t>
      </w:r>
      <w:r>
        <w:br/>
        <w:t>\mathcal K_W</w:t>
      </w:r>
      <w:r>
        <w:br/>
        <w:t>\rightarrow</w:t>
      </w:r>
      <w:r>
        <w:br/>
        <w:t>\mathcal R_W</w:t>
      </w:r>
      <w:r>
        <w:br/>
        <w:t>\rightarrow</w:t>
      </w:r>
      <w:r>
        <w:br/>
        <w:t>\Sigma_K^{\ast}</w:t>
      </w:r>
      <w:r>
        <w:br/>
        <w:t>\rightarrow</w:t>
      </w:r>
      <w:r>
        <w:br/>
        <w:t>G_K</w:t>
      </w:r>
      <w:r>
        <w:br/>
        <w:t>}</w:t>
      </w:r>
      <w:r>
        <w:br/>
        <w:t>\tag{3.8517}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\boxed{\mathcal A\rightarrow\mathcal C\rightarrow K_F\rightarrow\Sigma_W\rightarrow\mathcal K_W\rightarrow\mathcal R_W\rightarrow\Sigma_K^{\ast}\rightarrow G_K}</w:t>
      </w:r>
    </w:p>
    <w:p w:rsidR="00A6587C" w:rsidRDefault="00A6587C" w:rsidP="00A6587C">
      <w:pPr>
        <w:pStyle w:val="StandardWeb"/>
      </w:pPr>
      <w:r>
        <w:t>Eine Aussage wird damit nicht unmittelbar bewertet. Zunächst wird ihre Vergleichbarkeit bestimmt, anschließend ihre Konsistenz geprüft, gegebenenfalls ein Konflikt klassifiziert und lokalisiert, anschließend dessen mögliche Auflösung untersucht und erst danach ein nachvollziehbarer Gesamtstatus vergeben. [20]</w:t>
      </w:r>
    </w:p>
    <w:p w:rsidR="00A6587C" w:rsidRDefault="00E50336" w:rsidP="00A6587C">
      <w:r>
        <w:pict>
          <v:rect id="_x0000_i2247" style="width:0;height:1.5pt" o:hralign="center" o:hrstd="t" o:hr="t" fillcolor="#a0a0a0" stroked="f"/>
        </w:pict>
      </w:r>
    </w:p>
    <w:p w:rsidR="00A6587C" w:rsidRDefault="00A6587C" w:rsidP="00A6587C">
      <w:pPr>
        <w:pStyle w:val="berschrift1"/>
      </w:pPr>
      <w:r>
        <w:t>3.3.42.509 Übergang zu Abschnitt 3.3.43</w:t>
      </w:r>
    </w:p>
    <w:p w:rsidR="00A6587C" w:rsidRDefault="00A6587C" w:rsidP="00A6587C">
      <w:pPr>
        <w:pStyle w:val="StandardWeb"/>
      </w:pPr>
      <w:r>
        <w:t>Mit der Konsistenzarchitektur ist eine weitere Voraussetzung für die systematische Entwicklung des FRZK erfüllt. Zuvor hatte ich Stabilität, Robustheit und weitere wissenschaftliche Qualitätsdimensionen getrennt entwickelt; nun steht zusätzlich ein formales Instrument zur Verfügung, mit dem geprüft werden kann, ob die daraus entstehenden Theorieelemente untereinander widerspruchsfrei verbunden werden können. [20]</w:t>
      </w:r>
    </w:p>
    <w:p w:rsidR="00A6587C" w:rsidRDefault="00A6587C" w:rsidP="00A6587C">
      <w:pPr>
        <w:pStyle w:val="StandardWeb"/>
      </w:pPr>
      <w:r>
        <w:t>Damit kann der nächste Abschnitt nicht mehr nur einzelne Aussagen oder Operatoren isoliert betrachten. Er kann auf einer bereits definierten Prüfstruktur aufbauen, in der Gültigkeitsbereiche, Transformationen, Abhängigkeiten, Konflikte, Revisionen und offene Fragen explizit behandelt werden. [20]</w:t>
      </w:r>
    </w:p>
    <w:p w:rsidR="00A6587C" w:rsidRDefault="00A6587C" w:rsidP="00A6587C">
      <w:pPr>
        <w:pStyle w:val="StandardWeb"/>
      </w:pPr>
      <w:r>
        <w:t>Der Übergang lässt sich daher schreiben als</w:t>
      </w:r>
    </w:p>
    <w:p w:rsidR="00A6587C" w:rsidRDefault="00A6587C" w:rsidP="00A6587C">
      <w:pPr>
        <w:pStyle w:val="StandardWeb"/>
      </w:pPr>
      <w:r>
        <w:t>[</w:t>
      </w:r>
      <w:r>
        <w:br/>
        <w:t>\boxed{</w:t>
      </w:r>
      <w:r>
        <w:br/>
      </w:r>
      <w:r>
        <w:lastRenderedPageBreak/>
        <w:t>\text{wissenschaftliche Konsistenz}</w:t>
      </w:r>
      <w:r>
        <w:br/>
        <w:t>\rightarrow</w:t>
      </w:r>
      <w:r>
        <w:br/>
        <w:t>\text{nächste strukturelle FRZK-Axiomkomponente}</w:t>
      </w:r>
      <w:r>
        <w:br/>
        <w:t>}</w:t>
      </w:r>
      <w:r>
        <w:br/>
        <w:t>\tag{3.8518}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\boxed{\text{wissenschaftliche Konsistenz}\rightarrow\text{nächste strukturelle FRZK-Axiomkomponente}}</w:t>
      </w:r>
    </w:p>
    <w:p w:rsidR="00A6587C" w:rsidRDefault="00A6587C" w:rsidP="00A6587C">
      <w:pPr>
        <w:pStyle w:val="StandardWeb"/>
      </w:pPr>
      <w:r>
        <w:t xml:space="preserve">Damit ist </w:t>
      </w:r>
      <w:r>
        <w:rPr>
          <w:rStyle w:val="Fett"/>
        </w:rPr>
        <w:t>Abschnitt 3.3.42 vollständig abgeschlossen</w:t>
      </w:r>
      <w:r>
        <w:t>.</w:t>
      </w:r>
    </w:p>
    <w:p w:rsidR="00A6587C" w:rsidRDefault="00A6587C" w:rsidP="00A6587C">
      <w:pPr>
        <w:pStyle w:val="StandardWeb"/>
      </w:pPr>
      <w:r>
        <w:t>Der fortlaufende Stand lautet nun:</w:t>
      </w:r>
    </w:p>
    <w:p w:rsidR="00A6587C" w:rsidRDefault="00A6587C" w:rsidP="00A6587C">
      <w:pPr>
        <w:pStyle w:val="HTMLVorformatiert"/>
        <w:rPr>
          <w:rStyle w:val="HTMLCode"/>
        </w:rPr>
      </w:pPr>
      <w:r>
        <w:rPr>
          <w:rStyle w:val="HTMLCode"/>
        </w:rPr>
        <w:t>Letzte Definition:          3.3.52</w:t>
      </w:r>
    </w:p>
    <w:p w:rsidR="00A6587C" w:rsidRDefault="00A6587C" w:rsidP="00A6587C">
      <w:pPr>
        <w:pStyle w:val="HTMLVorformatiert"/>
        <w:rPr>
          <w:rStyle w:val="HTMLCode"/>
        </w:rPr>
      </w:pPr>
      <w:r>
        <w:rPr>
          <w:rStyle w:val="HTMLCode"/>
        </w:rPr>
        <w:t>Nächste Definition:         3.3.53</w:t>
      </w:r>
    </w:p>
    <w:p w:rsidR="00A6587C" w:rsidRDefault="00A6587C" w:rsidP="00A6587C">
      <w:pPr>
        <w:pStyle w:val="HTMLVorformatiert"/>
        <w:rPr>
          <w:rStyle w:val="HTMLCode"/>
        </w:rPr>
      </w:pPr>
    </w:p>
    <w:p w:rsidR="00A6587C" w:rsidRDefault="00A6587C" w:rsidP="00A6587C">
      <w:pPr>
        <w:pStyle w:val="HTMLVorformatiert"/>
        <w:rPr>
          <w:rStyle w:val="HTMLCode"/>
        </w:rPr>
      </w:pPr>
      <w:r>
        <w:rPr>
          <w:rStyle w:val="HTMLCode"/>
        </w:rPr>
        <w:t>Letzter Satz:               3.3.29</w:t>
      </w:r>
    </w:p>
    <w:p w:rsidR="00A6587C" w:rsidRDefault="00A6587C" w:rsidP="00A6587C">
      <w:pPr>
        <w:pStyle w:val="HTMLVorformatiert"/>
        <w:rPr>
          <w:rStyle w:val="HTMLCode"/>
        </w:rPr>
      </w:pPr>
      <w:r>
        <w:rPr>
          <w:rStyle w:val="HTMLCode"/>
        </w:rPr>
        <w:t>Nächster Satz:              3.3.30</w:t>
      </w:r>
    </w:p>
    <w:p w:rsidR="00A6587C" w:rsidRDefault="00A6587C" w:rsidP="00A6587C">
      <w:pPr>
        <w:pStyle w:val="HTMLVorformatiert"/>
        <w:rPr>
          <w:rStyle w:val="HTMLCode"/>
        </w:rPr>
      </w:pPr>
    </w:p>
    <w:p w:rsidR="00A6587C" w:rsidRDefault="00A6587C" w:rsidP="00A6587C">
      <w:pPr>
        <w:pStyle w:val="HTMLVorformatiert"/>
        <w:rPr>
          <w:rStyle w:val="HTMLCode"/>
        </w:rPr>
      </w:pPr>
      <w:r>
        <w:rPr>
          <w:rStyle w:val="HTMLCode"/>
        </w:rPr>
        <w:t>Letztes Korollar:           3.3.8</w:t>
      </w:r>
    </w:p>
    <w:p w:rsidR="00A6587C" w:rsidRDefault="00A6587C" w:rsidP="00A6587C">
      <w:pPr>
        <w:pStyle w:val="HTMLVorformatiert"/>
        <w:rPr>
          <w:rStyle w:val="HTMLCode"/>
        </w:rPr>
      </w:pPr>
      <w:r>
        <w:rPr>
          <w:rStyle w:val="HTMLCode"/>
        </w:rPr>
        <w:t>Nächstes Korollar:          3.3.9</w:t>
      </w:r>
    </w:p>
    <w:p w:rsidR="00A6587C" w:rsidRDefault="00A6587C" w:rsidP="00A6587C">
      <w:pPr>
        <w:pStyle w:val="HTMLVorformatiert"/>
        <w:rPr>
          <w:rStyle w:val="HTMLCode"/>
        </w:rPr>
      </w:pPr>
    </w:p>
    <w:p w:rsidR="00A6587C" w:rsidRDefault="00A6587C" w:rsidP="00A6587C">
      <w:pPr>
        <w:pStyle w:val="HTMLVorformatiert"/>
        <w:rPr>
          <w:rStyle w:val="HTMLCode"/>
        </w:rPr>
      </w:pPr>
      <w:r>
        <w:rPr>
          <w:rStyle w:val="HTMLCode"/>
        </w:rPr>
        <w:t>Letzte Gleichung:           3.8518</w:t>
      </w:r>
    </w:p>
    <w:p w:rsidR="00A6587C" w:rsidRDefault="00A6587C" w:rsidP="00A6587C">
      <w:pPr>
        <w:pStyle w:val="HTMLVorformatiert"/>
        <w:rPr>
          <w:rStyle w:val="HTMLCode"/>
        </w:rPr>
      </w:pPr>
      <w:r>
        <w:rPr>
          <w:rStyle w:val="HTMLCode"/>
        </w:rPr>
        <w:t>Nächste Gleichung:          3.8519</w:t>
      </w:r>
    </w:p>
    <w:p w:rsidR="00A6587C" w:rsidRDefault="00A6587C" w:rsidP="00A6587C">
      <w:pPr>
        <w:pStyle w:val="HTMLVorformatiert"/>
        <w:rPr>
          <w:rStyle w:val="HTMLCode"/>
        </w:rPr>
      </w:pPr>
    </w:p>
    <w:p w:rsidR="00A6587C" w:rsidRDefault="00A6587C" w:rsidP="00A6587C">
      <w:pPr>
        <w:pStyle w:val="HTMLVorformatiert"/>
        <w:rPr>
          <w:rStyle w:val="HTMLCode"/>
        </w:rPr>
      </w:pPr>
      <w:r>
        <w:rPr>
          <w:rStyle w:val="HTMLCode"/>
        </w:rPr>
        <w:t>Letzter fertiger Abschnitt: 3.3.42</w:t>
      </w:r>
    </w:p>
    <w:p w:rsidR="00A6587C" w:rsidRDefault="00A6587C" w:rsidP="00A6587C">
      <w:pPr>
        <w:pStyle w:val="HTMLVorformatiert"/>
        <w:rPr>
          <w:rStyle w:val="HTMLCode"/>
        </w:rPr>
      </w:pPr>
      <w:r>
        <w:rPr>
          <w:rStyle w:val="HTMLCode"/>
        </w:rPr>
        <w:t>Nächster Abschnitt:         3.3.43</w:t>
      </w:r>
    </w:p>
    <w:p w:rsidR="00A6587C" w:rsidRDefault="00A6587C" w:rsidP="00A6587C">
      <w:pPr>
        <w:pStyle w:val="StandardWeb"/>
      </w:pPr>
      <w:r>
        <w:t xml:space="preserve">Damit folgen die </w:t>
      </w:r>
      <w:r>
        <w:rPr>
          <w:rStyle w:val="Fett"/>
        </w:rPr>
        <w:t>methodologischen und didaktischen Betrachtungen jetzt tatsächlich am Ende des Gesamtabschnitts 3.3.42</w:t>
      </w:r>
      <w:r>
        <w:t xml:space="preserve">, zusammen mit Ergebnis, Abgrenzung der Eigenleistung und Übergang. Der nächste fachliche Schritt ist </w:t>
      </w:r>
      <w:r>
        <w:rPr>
          <w:rStyle w:val="Fett"/>
        </w:rPr>
        <w:t>3.3.43</w:t>
      </w:r>
      <w:r>
        <w:t>.</w:t>
      </w:r>
    </w:p>
    <w:p w:rsidR="00A6587C" w:rsidRDefault="00A6587C" w:rsidP="00A6587C">
      <w:pPr>
        <w:pStyle w:val="berschrift1"/>
        <w:rPr>
          <w:rFonts w:cs="Times New Roman"/>
          <w:sz w:val="48"/>
          <w:szCs w:val="48"/>
        </w:rPr>
      </w:pPr>
      <w:r>
        <w:t>3.3.43 Funktionale Kohärenz als strukturelle FRZK-Axiomkomponente</w:t>
      </w:r>
    </w:p>
    <w:p w:rsidR="00A6587C" w:rsidRDefault="00A6587C" w:rsidP="00A6587C">
      <w:pPr>
        <w:pStyle w:val="StandardWeb"/>
      </w:pPr>
      <w:r>
        <w:t xml:space="preserve">Mit dem Abschluss von Abschnitt 3.3.42 steht eine vollständige Prüfarchitektur zur Verfügung, mit der ich Vergleichbarkeit, Konsistenz, Inkonsistenz, Unentscheidbarkeit, Konfliktursachen, Revisionen und Transformationsfolgen unterscheiden kann. Diese Struktur beantwortet jedoch noch nicht die weiterführende Frage, </w:t>
      </w:r>
      <w:r>
        <w:rPr>
          <w:rStyle w:val="Fett"/>
        </w:rPr>
        <w:t>wie stark die Bestandteile eines funktionalen Systems tatsächlich zusammengehören</w:t>
      </w:r>
      <w:r>
        <w:t>. Zwei Aussagen oder Zustandsgrößen können vollständig widerspruchsfrei sein und dennoch nahezu unabhängig voneinander bestehen. Konsistenz allein erzeugt deshalb noch keine Kohärenz.</w:t>
      </w:r>
    </w:p>
    <w:p w:rsidR="00A6587C" w:rsidRDefault="00A6587C" w:rsidP="00A6587C">
      <w:pPr>
        <w:pStyle w:val="StandardWeb"/>
      </w:pPr>
      <w:r>
        <w:lastRenderedPageBreak/>
        <w:t>Für das Funktionale Raum-Zeit-Kohärenzsystem ist diese Unterscheidung zentral. Der Begriff der Kohärenz darf nicht lediglich als anderes Wort für Widerspruchsfreiheit verwendet werden. Ich benötige vielmehr eine eigene Struktur, mit der ich erfassen kann, in welchem Maß Zustände, Relationen, Transformationen und zeitlich-räumliche Entwicklungen funktional miteinander verbunden sind.</w:t>
      </w:r>
    </w:p>
    <w:p w:rsidR="00A6587C" w:rsidRDefault="00A6587C" w:rsidP="00A6587C">
      <w:pPr>
        <w:pStyle w:val="StandardWeb"/>
      </w:pPr>
      <w:r>
        <w:t>Ich beginne deshalb mit der Trennung</w:t>
      </w:r>
    </w:p>
    <w:p w:rsidR="00A6587C" w:rsidRDefault="00A6587C" w:rsidP="00A6587C">
      <w:pPr>
        <w:pStyle w:val="StandardWeb"/>
      </w:pPr>
      <w:r>
        <w:t>[</w:t>
      </w:r>
      <w:r>
        <w:br/>
        <w:t>K_F(A_i,A_j)=1</w:t>
      </w:r>
      <w:r>
        <w:br/>
        <w:t>\nRightarrow</w:t>
      </w:r>
      <w:r>
        <w:br/>
        <w:t>C_F(A_i,A_j)&gt;0.</w:t>
      </w:r>
      <w:r>
        <w:br/>
        <w:t>\tag{3.8519}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K_F(A_i,A_j)=1\nRightarrow C_F(A_i,A_j)&gt;0</w:t>
      </w:r>
    </w:p>
    <w:p w:rsidR="00A6587C" w:rsidRDefault="00A6587C" w:rsidP="00A6587C">
      <w:pPr>
        <w:pStyle w:val="StandardWeb"/>
      </w:pPr>
      <w:r>
        <w:t>Eine konsistente Beziehung bedeutet lediglich, dass die beteiligten Aussagen oder Zustände gemeinsam möglich sind. Daraus folgt noch nicht, dass zwischen ihnen eine funktionale Kopplung besteht.</w:t>
      </w:r>
    </w:p>
    <w:p w:rsidR="00A6587C" w:rsidRDefault="00A6587C" w:rsidP="00A6587C">
      <w:pPr>
        <w:pStyle w:val="StandardWeb"/>
      </w:pPr>
      <w:r>
        <w:t>Umgekehrt muss eine als kohärent bezeichnete Struktur innerhalb ihres gemeinsamen Gültigkeitsraums konsistent sein. Für die starke Form fordere ich daher</w:t>
      </w:r>
    </w:p>
    <w:p w:rsidR="00A6587C" w:rsidRDefault="00A6587C" w:rsidP="00A6587C">
      <w:pPr>
        <w:pStyle w:val="StandardWeb"/>
      </w:pPr>
      <w:r>
        <w:t>[</w:t>
      </w:r>
      <w:r>
        <w:br/>
        <w:t>C_F(A_i,A_j)&gt;0</w:t>
      </w:r>
      <w:r>
        <w:br/>
        <w:t>\Longrightarrow</w:t>
      </w:r>
      <w:r>
        <w:br/>
        <w:t>K_F(A_i,A_j)=1.</w:t>
      </w:r>
      <w:r>
        <w:br/>
        <w:t>\tag{3.8520}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C_F(A_i,A_j)&gt;0\Longrightarrow K_F(A_i,A_j)=1</w:t>
      </w:r>
    </w:p>
    <w:p w:rsidR="00A6587C" w:rsidRDefault="00A6587C" w:rsidP="00A6587C">
      <w:pPr>
        <w:pStyle w:val="StandardWeb"/>
      </w:pPr>
      <w:r>
        <w:t>Damit ordne ich Kohärenz als stärkere relationale Eigenschaft innerhalb einer bereits konsistenten Struktur ein.</w:t>
      </w:r>
    </w:p>
    <w:p w:rsidR="00A6587C" w:rsidRDefault="00E50336" w:rsidP="00A6587C">
      <w:r>
        <w:pict>
          <v:rect id="_x0000_i2248" style="width:0;height:1.5pt" o:hralign="center" o:hrstd="t" o:hr="t" fillcolor="#a0a0a0" stroked="f"/>
        </w:pict>
      </w:r>
    </w:p>
    <w:p w:rsidR="00A6587C" w:rsidRDefault="00A6587C" w:rsidP="00A6587C">
      <w:pPr>
        <w:pStyle w:val="berschrift1"/>
      </w:pPr>
      <w:r>
        <w:t>3.3.43.1 Ausgangspunkt: funktionale Abhängigkeit</w:t>
      </w:r>
    </w:p>
    <w:p w:rsidR="00A6587C" w:rsidRDefault="00A6587C" w:rsidP="00A6587C">
      <w:pPr>
        <w:pStyle w:val="StandardWeb"/>
      </w:pPr>
      <w:r>
        <w:t>Seien zwei funktionale Größen</w:t>
      </w:r>
    </w:p>
    <w:p w:rsidR="00A6587C" w:rsidRDefault="00A6587C" w:rsidP="00A6587C">
      <w:pPr>
        <w:pStyle w:val="StandardWeb"/>
      </w:pPr>
      <w:r>
        <w:t>[</w:t>
      </w:r>
      <w:r>
        <w:br/>
        <w:t>X_i</w:t>
      </w:r>
      <w:r>
        <w:br/>
        <w:t>\quad\text{und}\quad</w:t>
      </w:r>
      <w:r>
        <w:br/>
        <w:t>X_j.</w:t>
      </w:r>
      <w:r>
        <w:br/>
      </w:r>
      <w:r>
        <w:lastRenderedPageBreak/>
        <w:t>\tag{3.8521}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X_i\quad\text{und}\quad X_j</w:t>
      </w:r>
    </w:p>
    <w:p w:rsidR="00A6587C" w:rsidRDefault="00A6587C" w:rsidP="00A6587C">
      <w:pPr>
        <w:pStyle w:val="StandardWeb"/>
      </w:pPr>
      <w:r>
        <w:t>Eine bloße gemeinsame Existenz in demselben Zustandsraum genügt noch nicht für Kohärenz.</w:t>
      </w:r>
    </w:p>
    <w:p w:rsidR="00A6587C" w:rsidRDefault="00A6587C" w:rsidP="00A6587C">
      <w:pPr>
        <w:pStyle w:val="StandardWeb"/>
      </w:pPr>
      <w:r>
        <w:t>Es muss mindestens eine funktionale Beziehung</w:t>
      </w:r>
    </w:p>
    <w:p w:rsidR="00A6587C" w:rsidRDefault="00A6587C" w:rsidP="00A6587C">
      <w:pPr>
        <w:pStyle w:val="StandardWeb"/>
      </w:pPr>
      <w:r>
        <w:t>[</w:t>
      </w:r>
      <w:r>
        <w:br/>
        <w:t>R_{ij}</w:t>
      </w:r>
      <w:r>
        <w:br/>
        <w:t>:</w:t>
      </w:r>
      <w:r>
        <w:br/>
        <w:t>X_i</w:t>
      </w:r>
      <w:r>
        <w:br/>
        <w:t>\longleftrightarrow</w:t>
      </w:r>
      <w:r>
        <w:br/>
        <w:t>X_j</w:t>
      </w:r>
      <w:r>
        <w:br/>
        <w:t>\tag{3.8522}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R_{ij}:X_i\longleftrightarrow X_j</w:t>
      </w:r>
    </w:p>
    <w:p w:rsidR="00A6587C" w:rsidRDefault="00A6587C" w:rsidP="00A6587C">
      <w:pPr>
        <w:pStyle w:val="StandardWeb"/>
      </w:pPr>
      <w:r>
        <w:t>existieren.</w:t>
      </w:r>
    </w:p>
    <w:p w:rsidR="00A6587C" w:rsidRDefault="00A6587C" w:rsidP="00A6587C">
      <w:pPr>
        <w:pStyle w:val="StandardWeb"/>
      </w:pPr>
      <w:r>
        <w:t>Ich verwende den Doppelpfeil hier zunächst nicht als mathematische Bijektion, sondern als allgemeine Kennzeichnung einer funktional relevanten Beziehung.</w:t>
      </w:r>
    </w:p>
    <w:p w:rsidR="00A6587C" w:rsidRDefault="00A6587C" w:rsidP="00A6587C">
      <w:pPr>
        <w:pStyle w:val="StandardWeb"/>
      </w:pPr>
      <w:r>
        <w:t>Die einfachste gerichtete Form lautet</w:t>
      </w:r>
    </w:p>
    <w:p w:rsidR="00A6587C" w:rsidRDefault="00A6587C" w:rsidP="00A6587C">
      <w:pPr>
        <w:pStyle w:val="StandardWeb"/>
      </w:pPr>
      <w:r>
        <w:t>[</w:t>
      </w:r>
      <w:r>
        <w:br/>
        <w:t>X_i</w:t>
      </w:r>
      <w:r>
        <w:br/>
        <w:t>\rightarrow</w:t>
      </w:r>
      <w:r>
        <w:br/>
        <w:t>X_j.</w:t>
      </w:r>
      <w:r>
        <w:br/>
        <w:t>\tag{3.8523}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X_i\rightarrow X_j</w:t>
      </w:r>
    </w:p>
    <w:p w:rsidR="00A6587C" w:rsidRDefault="00A6587C" w:rsidP="00A6587C">
      <w:pPr>
        <w:pStyle w:val="StandardWeb"/>
      </w:pPr>
      <w:r>
        <w:t>Dabei kann die Beziehung beispielsweise kausal, dynamisch, regulatorisch, informationell, transformativ oder strukturell sein.</w:t>
      </w:r>
    </w:p>
    <w:p w:rsidR="00A6587C" w:rsidRDefault="00E50336" w:rsidP="00A6587C">
      <w:r>
        <w:pict>
          <v:rect id="_x0000_i2249" style="width:0;height:1.5pt" o:hralign="center" o:hrstd="t" o:hr="t" fillcolor="#a0a0a0" stroked="f"/>
        </w:pict>
      </w:r>
    </w:p>
    <w:p w:rsidR="00A6587C" w:rsidRDefault="00A6587C" w:rsidP="00A6587C">
      <w:pPr>
        <w:pStyle w:val="berschrift1"/>
      </w:pPr>
      <w:r>
        <w:t>3.3.43.2 Funktionale Kopplung</w:t>
      </w:r>
    </w:p>
    <w:p w:rsidR="00A6587C" w:rsidRDefault="00A6587C" w:rsidP="00A6587C">
      <w:pPr>
        <w:pStyle w:val="StandardWeb"/>
      </w:pPr>
      <w:r>
        <w:t>Ich führe zunächst eine Kopplungsgröße ein:</w:t>
      </w:r>
    </w:p>
    <w:p w:rsidR="00A6587C" w:rsidRDefault="00A6587C" w:rsidP="00A6587C">
      <w:pPr>
        <w:pStyle w:val="StandardWeb"/>
      </w:pPr>
      <w:r>
        <w:lastRenderedPageBreak/>
        <w:t>[</w:t>
      </w:r>
      <w:r>
        <w:br/>
        <w:t>\kappa_{ij}.</w:t>
      </w:r>
      <w:r>
        <w:br/>
        <w:t>\tag{3.8524}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\kappa_{ij}</w:t>
      </w:r>
    </w:p>
    <w:p w:rsidR="00A6587C" w:rsidRDefault="00A6587C" w:rsidP="00A6587C">
      <w:pPr>
        <w:pStyle w:val="StandardWeb"/>
      </w:pPr>
      <w:r>
        <w:t>Sie soll allgemein die Stärke einer funktionalen Beziehung zwischen (X_i) und (X_j) beschreiben.</w:t>
      </w:r>
    </w:p>
    <w:p w:rsidR="00A6587C" w:rsidRDefault="00A6587C" w:rsidP="00A6587C">
      <w:pPr>
        <w:pStyle w:val="StandardWeb"/>
      </w:pPr>
      <w:r>
        <w:t>Für normierte Anwendungen setze ich</w:t>
      </w:r>
    </w:p>
    <w:p w:rsidR="00A6587C" w:rsidRDefault="00A6587C" w:rsidP="00A6587C">
      <w:pPr>
        <w:pStyle w:val="StandardWeb"/>
      </w:pPr>
      <w:r>
        <w:t>[</w:t>
      </w:r>
      <w:r>
        <w:br/>
        <w:t>0</w:t>
      </w:r>
      <w:r>
        <w:br/>
        <w:t>\leq</w:t>
      </w:r>
      <w:r>
        <w:br/>
        <w:t>\kappa_{ij}</w:t>
      </w:r>
      <w:r>
        <w:br/>
        <w:t>\leq</w:t>
      </w:r>
      <w:r>
        <w:br/>
        <w:t>1.</w:t>
      </w:r>
      <w:r>
        <w:br/>
        <w:t>\tag{3.8525}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0\leq\kappa_{ij}\leq1</w:t>
      </w:r>
    </w:p>
    <w:p w:rsidR="00A6587C" w:rsidRDefault="00A6587C" w:rsidP="00A6587C">
      <w:pPr>
        <w:pStyle w:val="StandardWeb"/>
      </w:pPr>
      <w:r>
        <w:t>Dabei bedeutet</w:t>
      </w:r>
    </w:p>
    <w:p w:rsidR="00A6587C" w:rsidRDefault="00A6587C" w:rsidP="00A6587C">
      <w:pPr>
        <w:pStyle w:val="StandardWeb"/>
      </w:pPr>
      <w:r>
        <w:t>[</w:t>
      </w:r>
      <w:r>
        <w:br/>
        <w:t>\kappa_{ij}=0</w:t>
      </w:r>
      <w:r>
        <w:br/>
        <w:t>\tag{3.8526}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\kappa_{ij}=0</w:t>
      </w:r>
    </w:p>
    <w:p w:rsidR="00A6587C" w:rsidRDefault="00A6587C" w:rsidP="00A6587C">
      <w:pPr>
        <w:pStyle w:val="StandardWeb"/>
      </w:pPr>
      <w:r>
        <w:t>keine nachgewiesene funktionale Kopplung und</w:t>
      </w:r>
    </w:p>
    <w:p w:rsidR="00A6587C" w:rsidRDefault="00A6587C" w:rsidP="00A6587C">
      <w:pPr>
        <w:pStyle w:val="StandardWeb"/>
      </w:pPr>
      <w:r>
        <w:t>[</w:t>
      </w:r>
      <w:r>
        <w:br/>
        <w:t>\kappa_{ij}=1</w:t>
      </w:r>
      <w:r>
        <w:br/>
        <w:t>\tag{3.8527}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\kappa_{ij}=1</w:t>
      </w:r>
    </w:p>
    <w:p w:rsidR="00A6587C" w:rsidRDefault="00A6587C" w:rsidP="00A6587C">
      <w:pPr>
        <w:pStyle w:val="StandardWeb"/>
      </w:pPr>
      <w:r>
        <w:t>maximale Kopplung innerhalb der jeweils verwendeten Operationalisierung.</w:t>
      </w:r>
    </w:p>
    <w:p w:rsidR="00A6587C" w:rsidRDefault="00A6587C" w:rsidP="00A6587C">
      <w:pPr>
        <w:pStyle w:val="StandardWeb"/>
      </w:pPr>
      <w:r>
        <w:t>Diese Normierung ist eine methodische Darstellung und kein ontologisches Primäraxiom.</w:t>
      </w:r>
    </w:p>
    <w:p w:rsidR="00A6587C" w:rsidRDefault="00E50336" w:rsidP="00A6587C">
      <w:r>
        <w:lastRenderedPageBreak/>
        <w:pict>
          <v:rect id="_x0000_i2250" style="width:0;height:1.5pt" o:hralign="center" o:hrstd="t" o:hr="t" fillcolor="#a0a0a0" stroked="f"/>
        </w:pict>
      </w:r>
    </w:p>
    <w:p w:rsidR="00A6587C" w:rsidRDefault="00A6587C" w:rsidP="00A6587C">
      <w:pPr>
        <w:pStyle w:val="berschrift1"/>
      </w:pPr>
      <w:r>
        <w:t>3.3.43.3 Kopplung ist nicht Korrelation</w:t>
      </w:r>
    </w:p>
    <w:p w:rsidR="00A6587C" w:rsidRDefault="00A6587C" w:rsidP="00A6587C">
      <w:pPr>
        <w:pStyle w:val="StandardWeb"/>
      </w:pPr>
      <w:r>
        <w:t>Ich unterscheide ausdrücklich zwischen funktionaler Kopplung und statistischer Korrelation.</w:t>
      </w:r>
    </w:p>
    <w:p w:rsidR="00A6587C" w:rsidRDefault="00A6587C" w:rsidP="00A6587C">
      <w:pPr>
        <w:pStyle w:val="StandardWeb"/>
      </w:pPr>
      <w:r>
        <w:t>Es gilt</w:t>
      </w:r>
    </w:p>
    <w:p w:rsidR="00A6587C" w:rsidRDefault="00A6587C" w:rsidP="00A6587C">
      <w:pPr>
        <w:pStyle w:val="StandardWeb"/>
      </w:pPr>
      <w:r>
        <w:t>[</w:t>
      </w:r>
      <w:r>
        <w:br/>
        <w:t>\kappa_{ij}</w:t>
      </w:r>
      <w:r>
        <w:br/>
        <w:t>\neq</w:t>
      </w:r>
      <w:r>
        <w:br/>
        <w:t>\rho_{ij}</w:t>
      </w:r>
      <w:r>
        <w:br/>
        <w:t>\tag{3.8528}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\kappa_{ij}\neq\rho_{ij}</w:t>
      </w:r>
    </w:p>
    <w:p w:rsidR="00A6587C" w:rsidRDefault="00A6587C" w:rsidP="00A6587C">
      <w:pPr>
        <w:pStyle w:val="StandardWeb"/>
      </w:pPr>
      <w:r>
        <w:t>im Allgemeinen.</w:t>
      </w:r>
    </w:p>
    <w:p w:rsidR="00A6587C" w:rsidRDefault="00A6587C" w:rsidP="00A6587C">
      <w:pPr>
        <w:pStyle w:val="StandardWeb"/>
      </w:pPr>
      <w:r>
        <w:t>Eine hohe statistische Korrelation kann ein Hinweis auf eine funktionale Beziehung sein, sie ist aber weder notwendige noch hinreichende Bedingung für funktionale Kohärenz.</w:t>
      </w:r>
    </w:p>
    <w:p w:rsidR="00A6587C" w:rsidRDefault="00A6587C" w:rsidP="00A6587C">
      <w:pPr>
        <w:pStyle w:val="StandardWeb"/>
      </w:pPr>
      <w:r>
        <w:t>Insbesondere gilt</w:t>
      </w:r>
    </w:p>
    <w:p w:rsidR="00A6587C" w:rsidRDefault="00A6587C" w:rsidP="00A6587C">
      <w:pPr>
        <w:pStyle w:val="StandardWeb"/>
      </w:pPr>
      <w:r>
        <w:t>[</w:t>
      </w:r>
      <w:r>
        <w:br/>
        <w:t>|\rho_{ij}|\approx1</w:t>
      </w:r>
      <w:r>
        <w:br/>
        <w:t>\nRightarrow</w:t>
      </w:r>
      <w:r>
        <w:br/>
        <w:t>C_F(X_i,X_j)\approx1.</w:t>
      </w:r>
      <w:r>
        <w:br/>
        <w:t>\tag{3.8529}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|\rho_{ij}|\approx1\nRightarrow C_F(X_i,X_j)\approx1</w:t>
      </w:r>
    </w:p>
    <w:p w:rsidR="00A6587C" w:rsidRDefault="00A6587C" w:rsidP="00A6587C">
      <w:pPr>
        <w:pStyle w:val="StandardWeb"/>
      </w:pPr>
      <w:r>
        <w:t>Ebenso kann eine nichtlineare funktionale Beziehung bei geringer linearer Korrelation bestehen.</w:t>
      </w:r>
    </w:p>
    <w:p w:rsidR="00A6587C" w:rsidRDefault="00E50336" w:rsidP="00A6587C">
      <w:r>
        <w:pict>
          <v:rect id="_x0000_i2251" style="width:0;height:1.5pt" o:hralign="center" o:hrstd="t" o:hr="t" fillcolor="#a0a0a0" stroked="f"/>
        </w:pict>
      </w:r>
    </w:p>
    <w:p w:rsidR="00A6587C" w:rsidRDefault="00A6587C" w:rsidP="00A6587C">
      <w:pPr>
        <w:pStyle w:val="berschrift1"/>
      </w:pPr>
      <w:r>
        <w:t>3.3.43.4 Zustandsabhängige Kopplung</w:t>
      </w:r>
    </w:p>
    <w:p w:rsidR="00A6587C" w:rsidRDefault="00A6587C" w:rsidP="00A6587C">
      <w:pPr>
        <w:pStyle w:val="StandardWeb"/>
      </w:pPr>
      <w:r>
        <w:t>Die Kopplungsstärke muss nicht konstant sein.</w:t>
      </w:r>
    </w:p>
    <w:p w:rsidR="00A6587C" w:rsidRDefault="00A6587C" w:rsidP="00A6587C">
      <w:pPr>
        <w:pStyle w:val="StandardWeb"/>
      </w:pPr>
      <w:r>
        <w:t>Ich schreibe</w:t>
      </w:r>
    </w:p>
    <w:p w:rsidR="00A6587C" w:rsidRDefault="00A6587C" w:rsidP="00A6587C">
      <w:pPr>
        <w:pStyle w:val="berschrift1"/>
      </w:pPr>
      <w:r>
        <w:lastRenderedPageBreak/>
        <w:t>[</w:t>
      </w:r>
      <w:r>
        <w:br/>
        <w:t>\kappa_{ij}</w:t>
      </w:r>
    </w:p>
    <w:p w:rsidR="00A6587C" w:rsidRDefault="00A6587C" w:rsidP="00A6587C">
      <w:pPr>
        <w:pStyle w:val="StandardWeb"/>
      </w:pPr>
      <w:r>
        <w:t>\kappa_{ij}(z).</w:t>
      </w:r>
      <w:r>
        <w:br/>
        <w:t>\tag{3.8530}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\kappa_{ij}=\kappa_{ij}(z)</w:t>
      </w:r>
    </w:p>
    <w:p w:rsidR="00A6587C" w:rsidRDefault="00A6587C" w:rsidP="00A6587C">
      <w:pPr>
        <w:pStyle w:val="StandardWeb"/>
      </w:pPr>
      <w:r>
        <w:t>Damit kann dieselbe Beziehung in unterschiedlichen Systemzuständen verschieden stark ausgeprägt sein.</w:t>
      </w:r>
    </w:p>
    <w:p w:rsidR="00A6587C" w:rsidRDefault="00A6587C" w:rsidP="00A6587C">
      <w:pPr>
        <w:pStyle w:val="StandardWeb"/>
      </w:pPr>
      <w:r>
        <w:t>Für zeitabhängige Systeme gilt entsprechend</w:t>
      </w:r>
    </w:p>
    <w:p w:rsidR="00A6587C" w:rsidRDefault="00A6587C" w:rsidP="00A6587C">
      <w:pPr>
        <w:pStyle w:val="berschrift1"/>
      </w:pPr>
      <w:r>
        <w:t>[</w:t>
      </w:r>
      <w:r>
        <w:br/>
        <w:t>\kappa_{ij}</w:t>
      </w:r>
    </w:p>
    <w:p w:rsidR="00A6587C" w:rsidRDefault="00A6587C" w:rsidP="00A6587C">
      <w:pPr>
        <w:pStyle w:val="StandardWeb"/>
      </w:pPr>
      <w:r>
        <w:t>\kappa_{ij}(t).</w:t>
      </w:r>
      <w:r>
        <w:br/>
        <w:t>\tag{3.8531}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\kappa_{ij}=\kappa_{ij}(t)</w:t>
      </w:r>
    </w:p>
    <w:p w:rsidR="00A6587C" w:rsidRDefault="00A6587C" w:rsidP="00A6587C">
      <w:pPr>
        <w:pStyle w:val="StandardWeb"/>
      </w:pPr>
      <w:r>
        <w:t>Und für raumzeitabhängige Systeme</w:t>
      </w:r>
    </w:p>
    <w:p w:rsidR="00A6587C" w:rsidRDefault="00A6587C" w:rsidP="00A6587C">
      <w:pPr>
        <w:pStyle w:val="berschrift1"/>
      </w:pPr>
      <w:r>
        <w:t>[</w:t>
      </w:r>
      <w:r>
        <w:br/>
        <w:t>\kappa_{ij}</w:t>
      </w:r>
    </w:p>
    <w:p w:rsidR="00A6587C" w:rsidRDefault="00A6587C" w:rsidP="00A6587C">
      <w:pPr>
        <w:pStyle w:val="StandardWeb"/>
      </w:pPr>
      <w:r>
        <w:t>\kappa_{ij}(x,t).</w:t>
      </w:r>
      <w:r>
        <w:br/>
        <w:t>\tag{3.8532}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\kappa_{ij}=\kappa_{ij}(x,t)</w:t>
      </w:r>
    </w:p>
    <w:p w:rsidR="00A6587C" w:rsidRDefault="00A6587C" w:rsidP="00A6587C">
      <w:pPr>
        <w:pStyle w:val="StandardWeb"/>
      </w:pPr>
      <w:r>
        <w:t>Diese Erweiterung ist für das FRZK besonders relevant, da Kohärenz nicht von vornherein als statische Systemeigenschaft behandelt werden soll.</w:t>
      </w:r>
    </w:p>
    <w:p w:rsidR="00A6587C" w:rsidRDefault="00E50336" w:rsidP="00A6587C">
      <w:r>
        <w:pict>
          <v:rect id="_x0000_i2252" style="width:0;height:1.5pt" o:hralign="center" o:hrstd="t" o:hr="t" fillcolor="#a0a0a0" stroked="f"/>
        </w:pict>
      </w:r>
    </w:p>
    <w:p w:rsidR="00A6587C" w:rsidRDefault="00A6587C" w:rsidP="00A6587C">
      <w:pPr>
        <w:pStyle w:val="berschrift1"/>
      </w:pPr>
      <w:r>
        <w:lastRenderedPageBreak/>
        <w:t>3.3.43.5 Definition 3.3.53 – Lokale funktionale Kohärenz</w:t>
      </w:r>
    </w:p>
    <w:p w:rsidR="00A6587C" w:rsidRDefault="00A6587C" w:rsidP="00A6587C">
      <w:pPr>
        <w:pStyle w:val="StandardWeb"/>
      </w:pPr>
      <w:r>
        <w:t>Ich definiere nun erstmals den Kohärenzbegriff selbst.</w:t>
      </w:r>
    </w:p>
    <w:p w:rsidR="00A6587C" w:rsidRDefault="00A6587C" w:rsidP="00A6587C">
      <w:pPr>
        <w:pStyle w:val="berschrift3"/>
      </w:pPr>
      <w:r>
        <w:t>Definition 3.3.53 (Lokale funktionale Kohärenz)</w:t>
      </w:r>
    </w:p>
    <w:p w:rsidR="00A6587C" w:rsidRDefault="00A6587C" w:rsidP="00A6587C">
      <w:pPr>
        <w:pStyle w:val="StandardWeb"/>
      </w:pPr>
      <w:r>
        <w:t xml:space="preserve">Zwei funktionale Größen oder Aussagen (X_i) und (X_j) heißen in einem Zustand (z) </w:t>
      </w:r>
      <w:r>
        <w:rPr>
          <w:rStyle w:val="Fett"/>
        </w:rPr>
        <w:t>lokal funktional kohärent</w:t>
      </w:r>
      <w:r>
        <w:t>, wenn</w:t>
      </w:r>
    </w:p>
    <w:p w:rsidR="00A6587C" w:rsidRDefault="00A6587C" w:rsidP="008C5E65">
      <w:pPr>
        <w:pStyle w:val="StandardWeb"/>
        <w:numPr>
          <w:ilvl w:val="0"/>
          <w:numId w:val="412"/>
        </w:numPr>
      </w:pPr>
      <w:r>
        <w:t>sie innerhalb dieses Zustands funktional vergleichbar sind,</w:t>
      </w:r>
    </w:p>
    <w:p w:rsidR="00A6587C" w:rsidRDefault="00A6587C" w:rsidP="008C5E65">
      <w:pPr>
        <w:pStyle w:val="StandardWeb"/>
        <w:numPr>
          <w:ilvl w:val="0"/>
          <w:numId w:val="412"/>
        </w:numPr>
      </w:pPr>
      <w:r>
        <w:t>ihre Beziehung konsistent ist und</w:t>
      </w:r>
    </w:p>
    <w:p w:rsidR="00A6587C" w:rsidRDefault="00A6587C" w:rsidP="008C5E65">
      <w:pPr>
        <w:pStyle w:val="StandardWeb"/>
        <w:numPr>
          <w:ilvl w:val="0"/>
          <w:numId w:val="412"/>
        </w:numPr>
      </w:pPr>
      <w:r>
        <w:t>zwischen ihnen eine nichtverschwindende funktionale Kopplung besteht.</w:t>
      </w:r>
    </w:p>
    <w:p w:rsidR="00A6587C" w:rsidRDefault="00A6587C" w:rsidP="00A6587C">
      <w:pPr>
        <w:pStyle w:val="StandardWeb"/>
      </w:pPr>
      <w:r>
        <w:t>Formal:</w:t>
      </w:r>
    </w:p>
    <w:p w:rsidR="00A6587C" w:rsidRDefault="00A6587C" w:rsidP="00A6587C">
      <w:pPr>
        <w:pStyle w:val="StandardWeb"/>
      </w:pPr>
      <w:r>
        <w:t>[</w:t>
      </w:r>
      <w:r>
        <w:br/>
        <w:t>C_F(X_i,X_j;z)&gt;0</w:t>
      </w:r>
      <w:r>
        <w:br/>
        <w:t>\Longleftrightarrow</w:t>
      </w:r>
      <w:r>
        <w:br/>
        <w:t>\left[</w:t>
      </w:r>
      <w:r>
        <w:br/>
        <w:t>\mathcal C(X_i,X_j;z)=1</w:t>
      </w:r>
      <w:r>
        <w:br/>
        <w:t>\land</w:t>
      </w:r>
      <w:r>
        <w:br/>
        <w:t>K_F(X_i,X_j;z)=1</w:t>
      </w:r>
      <w:r>
        <w:br/>
        <w:t>\land</w:t>
      </w:r>
      <w:r>
        <w:br/>
        <w:t>\kappa_{ij}(z)&gt;0</w:t>
      </w:r>
      <w:r>
        <w:br/>
        <w:t>\right].</w:t>
      </w:r>
      <w:r>
        <w:br/>
        <w:t>\tag{3.8533}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C_F(X_i,X_j;z)&gt;0\Longleftrightarrow\left[\mathcal C(X_i,X_j;z)=1\land K_F(X_i,X_j;z)=1\land\kappa_{ij}(z)&gt;0\right]</w:t>
      </w:r>
    </w:p>
    <w:p w:rsidR="00A6587C" w:rsidRDefault="00A6587C" w:rsidP="00A6587C">
      <w:pPr>
        <w:pStyle w:val="StandardWeb"/>
      </w:pPr>
      <w:r>
        <w:t>Damit ist Kohärenz innerhalb des FRZK ausdrücklich mehr als bloße Widerspruchsfreiheit.</w:t>
      </w:r>
    </w:p>
    <w:p w:rsidR="00A6587C" w:rsidRDefault="00E50336" w:rsidP="00A6587C">
      <w:r>
        <w:pict>
          <v:rect id="_x0000_i2253" style="width:0;height:1.5pt" o:hralign="center" o:hrstd="t" o:hr="t" fillcolor="#a0a0a0" stroked="f"/>
        </w:pict>
      </w:r>
    </w:p>
    <w:p w:rsidR="00A6587C" w:rsidRDefault="00A6587C" w:rsidP="00A6587C">
      <w:pPr>
        <w:pStyle w:val="berschrift1"/>
      </w:pPr>
      <w:r>
        <w:t>3.3.43.6 Nullkohärenz</w:t>
      </w:r>
    </w:p>
    <w:p w:rsidR="00A6587C" w:rsidRDefault="00A6587C" w:rsidP="00A6587C">
      <w:pPr>
        <w:pStyle w:val="StandardWeb"/>
      </w:pPr>
      <w:r>
        <w:t>Für</w:t>
      </w:r>
    </w:p>
    <w:p w:rsidR="00A6587C" w:rsidRDefault="00A6587C" w:rsidP="00A6587C">
      <w:pPr>
        <w:pStyle w:val="StandardWeb"/>
      </w:pPr>
      <w:r>
        <w:t>[</w:t>
      </w:r>
      <w:r>
        <w:br/>
        <w:t>\kappa_{ij}(z)=0</w:t>
      </w:r>
      <w:r>
        <w:br/>
        <w:t>\tag{3.8534}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lastRenderedPageBreak/>
        <w:t>\kappa_{ij}(z)=0</w:t>
      </w:r>
    </w:p>
    <w:p w:rsidR="00A6587C" w:rsidRDefault="00A6587C" w:rsidP="00A6587C">
      <w:pPr>
        <w:pStyle w:val="StandardWeb"/>
      </w:pPr>
      <w:r>
        <w:t>setze ich</w:t>
      </w:r>
    </w:p>
    <w:p w:rsidR="00A6587C" w:rsidRDefault="00A6587C" w:rsidP="00A6587C">
      <w:pPr>
        <w:pStyle w:val="StandardWeb"/>
      </w:pPr>
      <w:r>
        <w:t>[</w:t>
      </w:r>
      <w:r>
        <w:br/>
        <w:t>C_F(X_i,X_j;z)=0,</w:t>
      </w:r>
      <w:r>
        <w:br/>
        <w:t>\tag{3.8535}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C_F(X_i,X_j;z)=0</w:t>
      </w:r>
    </w:p>
    <w:p w:rsidR="00A6587C" w:rsidRDefault="00A6587C" w:rsidP="00A6587C">
      <w:pPr>
        <w:pStyle w:val="StandardWeb"/>
      </w:pPr>
      <w:r>
        <w:t>sofern keine andere funktionale Kopplung nachgewiesen wird.</w:t>
      </w:r>
    </w:p>
    <w:p w:rsidR="00A6587C" w:rsidRDefault="00A6587C" w:rsidP="00A6587C">
      <w:pPr>
        <w:pStyle w:val="StandardWeb"/>
      </w:pPr>
      <w:r>
        <w:t>Dabei ist wichtig:</w:t>
      </w:r>
    </w:p>
    <w:p w:rsidR="00A6587C" w:rsidRDefault="00A6587C" w:rsidP="00A6587C">
      <w:pPr>
        <w:pStyle w:val="StandardWeb"/>
      </w:pPr>
      <w:r>
        <w:t>[</w:t>
      </w:r>
      <w:r>
        <w:br/>
        <w:t>C_F=0</w:t>
      </w:r>
      <w:r>
        <w:br/>
        <w:t>\nRightarrow</w:t>
      </w:r>
      <w:r>
        <w:br/>
        <w:t>K_F=0.</w:t>
      </w:r>
      <w:r>
        <w:br/>
        <w:t>\tag{3.8536}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C_F=0\nRightarrow K_F=0</w:t>
      </w:r>
    </w:p>
    <w:p w:rsidR="00A6587C" w:rsidRDefault="00A6587C" w:rsidP="00A6587C">
      <w:pPr>
        <w:pStyle w:val="StandardWeb"/>
      </w:pPr>
      <w:r>
        <w:t>Nullkohärenz bedeutet nicht automatisch Inkonsistenz. Zwei Größen können widerspruchsfrei, aber funktional ungekoppelt sein.</w:t>
      </w:r>
    </w:p>
    <w:p w:rsidR="00A6587C" w:rsidRDefault="00E50336" w:rsidP="00A6587C">
      <w:r>
        <w:pict>
          <v:rect id="_x0000_i2254" style="width:0;height:1.5pt" o:hralign="center" o:hrstd="t" o:hr="t" fillcolor="#a0a0a0" stroked="f"/>
        </w:pict>
      </w:r>
    </w:p>
    <w:p w:rsidR="00A6587C" w:rsidRDefault="00A6587C" w:rsidP="00A6587C">
      <w:pPr>
        <w:pStyle w:val="berschrift1"/>
      </w:pPr>
      <w:r>
        <w:t>3.3.43.7 Kohärenzgrad</w:t>
      </w:r>
    </w:p>
    <w:p w:rsidR="00A6587C" w:rsidRDefault="00A6587C" w:rsidP="00A6587C">
      <w:pPr>
        <w:pStyle w:val="StandardWeb"/>
      </w:pPr>
      <w:r>
        <w:t>Für eine normierte Kopplung definiere ich einen lokalen Kohärenzgrad</w:t>
      </w:r>
    </w:p>
    <w:p w:rsidR="00A6587C" w:rsidRDefault="00A6587C" w:rsidP="00A6587C">
      <w:pPr>
        <w:pStyle w:val="berschrift1"/>
      </w:pPr>
      <w:r>
        <w:t>[</w:t>
      </w:r>
      <w:r>
        <w:br/>
        <w:t>R_C(X_i,X_j;z)</w:t>
      </w:r>
    </w:p>
    <w:p w:rsidR="00A6587C" w:rsidRDefault="00A6587C" w:rsidP="00A6587C">
      <w:pPr>
        <w:pStyle w:val="StandardWeb"/>
      </w:pPr>
      <w:r>
        <w:t>\kappa_{ij}(z)</w:t>
      </w:r>
      <w:r>
        <w:br/>
        <w:t>\tag{3.8537}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R_C(X_i,X_j;z)=\kappa_{ij}(z)</w:t>
      </w:r>
    </w:p>
    <w:p w:rsidR="00A6587C" w:rsidRDefault="00A6587C" w:rsidP="00A6587C">
      <w:pPr>
        <w:pStyle w:val="StandardWeb"/>
      </w:pPr>
      <w:r>
        <w:t>unter der Voraussetzung</w:t>
      </w:r>
    </w:p>
    <w:p w:rsidR="00A6587C" w:rsidRDefault="00A6587C" w:rsidP="00A6587C">
      <w:pPr>
        <w:pStyle w:val="StandardWeb"/>
      </w:pPr>
      <w:r>
        <w:lastRenderedPageBreak/>
        <w:t>[</w:t>
      </w:r>
      <w:r>
        <w:br/>
        <w:t>K_F(X_i,X_j;z)=1.</w:t>
      </w:r>
      <w:r>
        <w:br/>
        <w:t>\tag{3.8538}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K_F(X_i,X_j;z)=1</w:t>
      </w:r>
    </w:p>
    <w:p w:rsidR="00A6587C" w:rsidRDefault="00A6587C" w:rsidP="00A6587C">
      <w:pPr>
        <w:pStyle w:val="StandardWeb"/>
      </w:pPr>
      <w:r>
        <w:t>Bei Inkonsistenz wird der Kohärenzgrad nicht als positiver Kopplungswert interpretiert.</w:t>
      </w:r>
    </w:p>
    <w:p w:rsidR="00A6587C" w:rsidRDefault="00A6587C" w:rsidP="00A6587C">
      <w:pPr>
        <w:pStyle w:val="StandardWeb"/>
      </w:pPr>
      <w:r>
        <w:t>Für eine erweiterte Darstellung kann ich deshalb schreiben</w:t>
      </w:r>
    </w:p>
    <w:p w:rsidR="00A6587C" w:rsidRDefault="00A6587C" w:rsidP="00A6587C">
      <w:pPr>
        <w:pStyle w:val="berschrift1"/>
      </w:pPr>
      <w:r>
        <w:t>[</w:t>
      </w:r>
      <w:r>
        <w:br/>
        <w:t>R_C</w:t>
      </w:r>
    </w:p>
    <w:p w:rsidR="00A6587C" w:rsidRDefault="00A6587C" w:rsidP="00A6587C">
      <w:pPr>
        <w:pStyle w:val="StandardWeb"/>
      </w:pPr>
      <w:r>
        <w:t>\begin{cases}</w:t>
      </w:r>
      <w:r>
        <w:br/>
        <w:t>\kappa_{ij}, &amp; K_F=1,\</w:t>
      </w:r>
      <w:r>
        <w:br/>
        <w:t>0, &amp; K_F=0.</w:t>
      </w:r>
      <w:r>
        <w:br/>
        <w:t>\end{cases}</w:t>
      </w:r>
      <w:r>
        <w:br/>
        <w:t>\tag{3.8539}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R_C=\begin{cases}\kappa_{ij},&amp;K_F=1,\\0,&amp;K_F=0.\end{cases}</w:t>
      </w:r>
    </w:p>
    <w:p w:rsidR="00A6587C" w:rsidRDefault="00E50336" w:rsidP="00A6587C">
      <w:r>
        <w:pict>
          <v:rect id="_x0000_i2255" style="width:0;height:1.5pt" o:hralign="center" o:hrstd="t" o:hr="t" fillcolor="#a0a0a0" stroked="f"/>
        </w:pict>
      </w:r>
    </w:p>
    <w:p w:rsidR="00A6587C" w:rsidRDefault="00A6587C" w:rsidP="00A6587C">
      <w:pPr>
        <w:pStyle w:val="berschrift1"/>
      </w:pPr>
      <w:r>
        <w:t>3.3.43.8 Kohärenz und Konsistenz als getrennte Achsen</w:t>
      </w:r>
    </w:p>
    <w:p w:rsidR="00A6587C" w:rsidRDefault="00A6587C" w:rsidP="00A6587C">
      <w:pPr>
        <w:pStyle w:val="StandardWeb"/>
      </w:pPr>
      <w:r>
        <w:t>Damit erhält ein Aussagenpaar mindestens zwei unabhängige Bewertungsachsen:</w:t>
      </w:r>
    </w:p>
    <w:p w:rsidR="00A6587C" w:rsidRDefault="00A6587C" w:rsidP="00A6587C">
      <w:pPr>
        <w:pStyle w:val="berschrift1"/>
      </w:pPr>
      <w:r>
        <w:t>[</w:t>
      </w:r>
      <w:r>
        <w:br/>
        <w:t>\mathbf P_{CK}</w:t>
      </w:r>
    </w:p>
    <w:p w:rsidR="00A6587C" w:rsidRDefault="00A6587C" w:rsidP="00A6587C">
      <w:pPr>
        <w:pStyle w:val="StandardWeb"/>
      </w:pPr>
      <w:r>
        <w:t>\left(</w:t>
      </w:r>
      <w:r>
        <w:br/>
        <w:t>R_C,</w:t>
      </w:r>
      <w:r>
        <w:br/>
        <w:t>R_K</w:t>
      </w:r>
      <w:r>
        <w:br/>
        <w:t>\right).</w:t>
      </w:r>
      <w:r>
        <w:br/>
        <w:t>\tag{3.8540}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\mathbf P_{CK}=\left(R_C,R_K\right)</w:t>
      </w:r>
    </w:p>
    <w:p w:rsidR="00A6587C" w:rsidRDefault="00A6587C" w:rsidP="00A6587C">
      <w:pPr>
        <w:pStyle w:val="StandardWeb"/>
      </w:pPr>
      <w:r>
        <w:lastRenderedPageBreak/>
        <w:t>Theoretisch ergeben sich unterschiedliche Fälle.</w:t>
      </w:r>
    </w:p>
    <w:p w:rsidR="00A6587C" w:rsidRDefault="00A6587C" w:rsidP="00A6587C">
      <w:pPr>
        <w:pStyle w:val="StandardWeb"/>
      </w:pPr>
      <w:r>
        <w:t>Hohe Konsistenz und hohe Kohärenz:</w:t>
      </w:r>
    </w:p>
    <w:p w:rsidR="00A6587C" w:rsidRDefault="00A6587C" w:rsidP="00A6587C">
      <w:pPr>
        <w:pStyle w:val="StandardWeb"/>
      </w:pPr>
      <w:r>
        <w:t>[</w:t>
      </w:r>
      <w:r>
        <w:br/>
        <w:t>R_K\approx1,</w:t>
      </w:r>
      <w:r>
        <w:br/>
        <w:t>\qquad</w:t>
      </w:r>
      <w:r>
        <w:br/>
        <w:t>R_C\approx1.</w:t>
      </w:r>
      <w:r>
        <w:br/>
        <w:t>\tag{3.8541}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R_K\approx1,\qquad R_C\approx1</w:t>
      </w:r>
    </w:p>
    <w:p w:rsidR="00A6587C" w:rsidRDefault="00A6587C" w:rsidP="00A6587C">
      <w:pPr>
        <w:pStyle w:val="StandardWeb"/>
      </w:pPr>
      <w:r>
        <w:t>Hohe Konsistenz und geringe Kohärenz:</w:t>
      </w:r>
    </w:p>
    <w:p w:rsidR="00A6587C" w:rsidRDefault="00A6587C" w:rsidP="00A6587C">
      <w:pPr>
        <w:pStyle w:val="StandardWeb"/>
      </w:pPr>
      <w:r>
        <w:t>[</w:t>
      </w:r>
      <w:r>
        <w:br/>
        <w:t>R_K\approx1,</w:t>
      </w:r>
      <w:r>
        <w:br/>
        <w:t>\qquad</w:t>
      </w:r>
      <w:r>
        <w:br/>
        <w:t>R_C\approx0.</w:t>
      </w:r>
      <w:r>
        <w:br/>
        <w:t>\tag{3.8542}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R_K\approx1,\qquad R_C\approx0</w:t>
      </w:r>
    </w:p>
    <w:p w:rsidR="00A6587C" w:rsidRDefault="00A6587C" w:rsidP="00A6587C">
      <w:pPr>
        <w:pStyle w:val="StandardWeb"/>
      </w:pPr>
      <w:r>
        <w:t>Der zweite Fall beschreibt beispielsweise zwei widerspruchsfreie, aber weitgehend unabhängige Teilstrukturen.</w:t>
      </w:r>
    </w:p>
    <w:p w:rsidR="00A6587C" w:rsidRDefault="00E50336" w:rsidP="00A6587C">
      <w:r>
        <w:pict>
          <v:rect id="_x0000_i2256" style="width:0;height:1.5pt" o:hralign="center" o:hrstd="t" o:hr="t" fillcolor="#a0a0a0" stroked="f"/>
        </w:pict>
      </w:r>
    </w:p>
    <w:p w:rsidR="00A6587C" w:rsidRDefault="00A6587C" w:rsidP="00A6587C">
      <w:pPr>
        <w:pStyle w:val="berschrift1"/>
      </w:pPr>
      <w:r>
        <w:t>3.3.43.9 Inkonsistente Kopplung</w:t>
      </w:r>
    </w:p>
    <w:p w:rsidR="00A6587C" w:rsidRDefault="00A6587C" w:rsidP="00A6587C">
      <w:pPr>
        <w:pStyle w:val="StandardWeb"/>
      </w:pPr>
      <w:r>
        <w:t>Eine besondere Situation entsteht, wenn eine starke funktionale Abhängigkeit beobachtet wird, die Aussagen selbst jedoch inkonsistent modelliert sind.</w:t>
      </w:r>
    </w:p>
    <w:p w:rsidR="00A6587C" w:rsidRDefault="00A6587C" w:rsidP="00A6587C">
      <w:pPr>
        <w:pStyle w:val="StandardWeb"/>
      </w:pPr>
      <w:r>
        <w:t>Formal:</w:t>
      </w:r>
    </w:p>
    <w:p w:rsidR="00A6587C" w:rsidRDefault="00A6587C" w:rsidP="00A6587C">
      <w:pPr>
        <w:pStyle w:val="StandardWeb"/>
      </w:pPr>
      <w:r>
        <w:t>[</w:t>
      </w:r>
      <w:r>
        <w:br/>
        <w:t>\kappa_{ij}\gg0</w:t>
      </w:r>
      <w:r>
        <w:br/>
        <w:t>\land</w:t>
      </w:r>
      <w:r>
        <w:br/>
        <w:t>K_F(X_i,X_j)=0.</w:t>
      </w:r>
      <w:r>
        <w:br/>
        <w:t>\tag{3.8543}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\kappa_{ij}\gg0\land K_F(X_i,X_j)=0</w:t>
      </w:r>
    </w:p>
    <w:p w:rsidR="00A6587C" w:rsidRDefault="00A6587C" w:rsidP="00A6587C">
      <w:pPr>
        <w:pStyle w:val="StandardWeb"/>
      </w:pPr>
      <w:r>
        <w:lastRenderedPageBreak/>
        <w:t xml:space="preserve">In diesem Fall spreche ich nicht von hoher Kohärenz, sondern von einer </w:t>
      </w:r>
      <w:r>
        <w:rPr>
          <w:rStyle w:val="Fett"/>
        </w:rPr>
        <w:t>inkonsistent modellierten Kopplung</w:t>
      </w:r>
      <w:r>
        <w:t>.</w:t>
      </w:r>
    </w:p>
    <w:p w:rsidR="00A6587C" w:rsidRDefault="00A6587C" w:rsidP="00A6587C">
      <w:pPr>
        <w:pStyle w:val="StandardWeb"/>
      </w:pPr>
      <w:r>
        <w:t>Ich kennzeichne sie durch</w:t>
      </w:r>
    </w:p>
    <w:p w:rsidR="00A6587C" w:rsidRDefault="00A6587C" w:rsidP="00A6587C">
      <w:pPr>
        <w:pStyle w:val="StandardWeb"/>
      </w:pPr>
      <w:r>
        <w:t>[</w:t>
      </w:r>
      <w:r>
        <w:br/>
        <w:t>W_C(X_i,X_j)=1.</w:t>
      </w:r>
      <w:r>
        <w:br/>
        <w:t>\tag{3.8544}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W_C(X_i,X_j)=1</w:t>
      </w:r>
    </w:p>
    <w:p w:rsidR="00A6587C" w:rsidRDefault="00E50336" w:rsidP="00A6587C">
      <w:r>
        <w:pict>
          <v:rect id="_x0000_i2257" style="width:0;height:1.5pt" o:hralign="center" o:hrstd="t" o:hr="t" fillcolor="#a0a0a0" stroked="f"/>
        </w:pict>
      </w:r>
    </w:p>
    <w:p w:rsidR="00A6587C" w:rsidRDefault="00A6587C" w:rsidP="00A6587C">
      <w:pPr>
        <w:pStyle w:val="berschrift1"/>
      </w:pPr>
      <w:r>
        <w:t>3.3.43.10 Kohärenzdomäne</w:t>
      </w:r>
    </w:p>
    <w:p w:rsidR="00A6587C" w:rsidRDefault="00A6587C" w:rsidP="00A6587C">
      <w:pPr>
        <w:pStyle w:val="StandardWeb"/>
      </w:pPr>
      <w:r>
        <w:t>Für ein Aussagenpaar definiere ich die Kohärenzdomäne</w:t>
      </w:r>
    </w:p>
    <w:p w:rsidR="00A6587C" w:rsidRDefault="00A6587C" w:rsidP="00A6587C">
      <w:pPr>
        <w:pStyle w:val="berschrift1"/>
      </w:pPr>
      <w:r>
        <w:t>[</w:t>
      </w:r>
      <w:r>
        <w:br/>
        <w:t>\Omega_{ij}^{C}</w:t>
      </w:r>
    </w:p>
    <w:p w:rsidR="00A6587C" w:rsidRDefault="00A6587C" w:rsidP="00A6587C">
      <w:pPr>
        <w:pStyle w:val="StandardWeb"/>
      </w:pPr>
      <w:r>
        <w:t>\left{</w:t>
      </w:r>
      <w:r>
        <w:br/>
        <w:t>z\in\Omega_{ij}</w:t>
      </w:r>
      <w:r>
        <w:br/>
        <w:t>:</w:t>
      </w:r>
      <w:r>
        <w:br/>
        <w:t>C_F(X_i,X_j;z)&gt;0</w:t>
      </w:r>
      <w:r>
        <w:br/>
        <w:t>\right}.</w:t>
      </w:r>
      <w:r>
        <w:br/>
        <w:t>\tag{3.8545}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\Omega_{ij}^{C}=\left\{z\in\Omega_{ij}:C_F(X_i,X_j;z)&gt;0\right\}</w:t>
      </w:r>
    </w:p>
    <w:p w:rsidR="00A6587C" w:rsidRDefault="00A6587C" w:rsidP="00A6587C">
      <w:pPr>
        <w:pStyle w:val="StandardWeb"/>
      </w:pPr>
      <w:r>
        <w:t>Die Kohärenzdomäne muss eine Teilmenge der Konsistenzdomäne sein:</w:t>
      </w:r>
    </w:p>
    <w:p w:rsidR="00A6587C" w:rsidRDefault="00A6587C" w:rsidP="00A6587C">
      <w:pPr>
        <w:pStyle w:val="StandardWeb"/>
      </w:pPr>
      <w:r>
        <w:t>[</w:t>
      </w:r>
      <w:r>
        <w:br/>
        <w:t>\Omega_{ij}^{C}</w:t>
      </w:r>
      <w:r>
        <w:br/>
        <w:t>\subseteq</w:t>
      </w:r>
      <w:r>
        <w:br/>
        <w:t>\Omega_{ij}^{K}.</w:t>
      </w:r>
      <w:r>
        <w:br/>
        <w:t>\tag{3.8546}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\Omega_{ij}^{C}\subseteq\Omega_{ij}^{K}</w:t>
      </w:r>
    </w:p>
    <w:p w:rsidR="00A6587C" w:rsidRDefault="00A6587C" w:rsidP="00A6587C">
      <w:pPr>
        <w:pStyle w:val="StandardWeb"/>
      </w:pPr>
      <w:r>
        <w:t>Diese Inklusion folgt unmittelbar aus Definition 3.3.53.</w:t>
      </w:r>
    </w:p>
    <w:p w:rsidR="00A6587C" w:rsidRDefault="00E50336" w:rsidP="00A6587C">
      <w:r>
        <w:lastRenderedPageBreak/>
        <w:pict>
          <v:rect id="_x0000_i2258" style="width:0;height:1.5pt" o:hralign="center" o:hrstd="t" o:hr="t" fillcolor="#a0a0a0" stroked="f"/>
        </w:pict>
      </w:r>
    </w:p>
    <w:p w:rsidR="00A6587C" w:rsidRDefault="00A6587C" w:rsidP="00A6587C">
      <w:pPr>
        <w:pStyle w:val="berschrift1"/>
      </w:pPr>
      <w:r>
        <w:t>3.3.43.11 Satz 3.3.30 – Lokale Kohärenz impliziert lokale Konsistenz</w:t>
      </w:r>
    </w:p>
    <w:p w:rsidR="00A6587C" w:rsidRDefault="00A6587C" w:rsidP="00A6587C">
      <w:pPr>
        <w:pStyle w:val="berschrift3"/>
      </w:pPr>
      <w:r>
        <w:t>Satz 3.3.30</w:t>
      </w:r>
    </w:p>
    <w:p w:rsidR="00A6587C" w:rsidRDefault="00A6587C" w:rsidP="00A6587C">
      <w:pPr>
        <w:pStyle w:val="StandardWeb"/>
      </w:pPr>
      <w:r>
        <w:t>Für jede nach Definition 3.3.53 kohärente Beziehung gilt</w:t>
      </w:r>
    </w:p>
    <w:p w:rsidR="00A6587C" w:rsidRDefault="00A6587C" w:rsidP="00A6587C">
      <w:pPr>
        <w:pStyle w:val="StandardWeb"/>
      </w:pPr>
      <w:r>
        <w:t>[</w:t>
      </w:r>
      <w:r>
        <w:br/>
        <w:t>C_F(X_i,X_j;z)&gt;0</w:t>
      </w:r>
      <w:r>
        <w:br/>
        <w:t>\Longrightarrow</w:t>
      </w:r>
      <w:r>
        <w:br/>
        <w:t>K_F(X_i,X_j;z)=1.</w:t>
      </w:r>
      <w:r>
        <w:br/>
        <w:t>\tag{3.8547}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C_F(X_i,X_j;z)&gt;0\Longrightarrow K_F(X_i,X_j;z)=1</w:t>
      </w:r>
    </w:p>
    <w:p w:rsidR="00A6587C" w:rsidRDefault="00A6587C" w:rsidP="00A6587C">
      <w:pPr>
        <w:pStyle w:val="berschrift3"/>
      </w:pPr>
      <w:r>
        <w:t>Beweis</w:t>
      </w:r>
    </w:p>
    <w:p w:rsidR="00A6587C" w:rsidRDefault="00A6587C" w:rsidP="00A6587C">
      <w:pPr>
        <w:pStyle w:val="StandardWeb"/>
      </w:pPr>
      <w:r>
        <w:t>Nach Definition 3.3.53 gilt</w:t>
      </w:r>
    </w:p>
    <w:p w:rsidR="00A6587C" w:rsidRDefault="00A6587C" w:rsidP="00A6587C">
      <w:pPr>
        <w:pStyle w:val="StandardWeb"/>
      </w:pPr>
      <w:r>
        <w:t>[</w:t>
      </w:r>
      <w:r>
        <w:br/>
        <w:t>C_F(X_i,X_j;z)&gt;0</w:t>
      </w:r>
      <w:r>
        <w:br/>
        <w:t>\tag{3.8548}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C_F(X_i,X_j;z)&gt;0</w:t>
      </w:r>
    </w:p>
    <w:p w:rsidR="00A6587C" w:rsidRDefault="00A6587C" w:rsidP="00A6587C">
      <w:pPr>
        <w:pStyle w:val="StandardWeb"/>
      </w:pPr>
      <w:r>
        <w:t>genau dann, wenn unter anderem</w:t>
      </w:r>
    </w:p>
    <w:p w:rsidR="00A6587C" w:rsidRDefault="00A6587C" w:rsidP="00A6587C">
      <w:pPr>
        <w:pStyle w:val="StandardWeb"/>
      </w:pPr>
      <w:r>
        <w:t>[</w:t>
      </w:r>
      <w:r>
        <w:br/>
        <w:t>K_F(X_i,X_j;z)=1</w:t>
      </w:r>
      <w:r>
        <w:br/>
        <w:t>\tag{3.8549}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K_F(X_i,X_j;z)=1</w:t>
      </w:r>
    </w:p>
    <w:p w:rsidR="00A6587C" w:rsidRDefault="00A6587C" w:rsidP="00A6587C">
      <w:pPr>
        <w:pStyle w:val="StandardWeb"/>
      </w:pPr>
      <w:r>
        <w:t>erfüllt ist.</w:t>
      </w:r>
    </w:p>
    <w:p w:rsidR="00A6587C" w:rsidRDefault="00A6587C" w:rsidP="00A6587C">
      <w:pPr>
        <w:pStyle w:val="StandardWeb"/>
      </w:pPr>
      <w:r>
        <w:t>Die Konsistenzbedingung ist somit eine notwendige Teilbedingung lokaler funktionaler Kohärenz. Daher folgt unmittelbar</w:t>
      </w:r>
    </w:p>
    <w:p w:rsidR="00A6587C" w:rsidRDefault="00A6587C" w:rsidP="00A6587C">
      <w:pPr>
        <w:pStyle w:val="StandardWeb"/>
      </w:pPr>
      <w:r>
        <w:t>[</w:t>
      </w:r>
      <w:r>
        <w:br/>
        <w:t>C_F&gt;0</w:t>
      </w:r>
      <w:r>
        <w:br/>
      </w:r>
      <w:r>
        <w:lastRenderedPageBreak/>
        <w:t>\Rightarrow</w:t>
      </w:r>
      <w:r>
        <w:br/>
        <w:t>K_F=1.</w:t>
      </w:r>
      <w:r>
        <w:br/>
        <w:t>\tag{3.8550}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C_F&gt;0\Rightarrow K_F=1</w:t>
      </w:r>
    </w:p>
    <w:p w:rsidR="00A6587C" w:rsidRDefault="00A6587C" w:rsidP="00A6587C">
      <w:pPr>
        <w:pStyle w:val="StandardWeb"/>
      </w:pPr>
      <w:r>
        <w:t>(\square)</w:t>
      </w:r>
    </w:p>
    <w:p w:rsidR="00A6587C" w:rsidRDefault="00E50336" w:rsidP="00A6587C">
      <w:r>
        <w:pict>
          <v:rect id="_x0000_i2259" style="width:0;height:1.5pt" o:hralign="center" o:hrstd="t" o:hr="t" fillcolor="#a0a0a0" stroked="f"/>
        </w:pict>
      </w:r>
    </w:p>
    <w:p w:rsidR="00A6587C" w:rsidRDefault="00A6587C" w:rsidP="00A6587C">
      <w:pPr>
        <w:pStyle w:val="berschrift1"/>
      </w:pPr>
      <w:r>
        <w:t>3.3.43.12 Korollar 3.3.9</w:t>
      </w:r>
    </w:p>
    <w:p w:rsidR="00A6587C" w:rsidRDefault="00A6587C" w:rsidP="00A6587C">
      <w:pPr>
        <w:pStyle w:val="StandardWeb"/>
      </w:pPr>
      <w:r>
        <w:t>Aus Satz 3.3.30 folgt durch Kontraposition:</w:t>
      </w:r>
    </w:p>
    <w:p w:rsidR="00A6587C" w:rsidRDefault="00A6587C" w:rsidP="00A6587C">
      <w:pPr>
        <w:pStyle w:val="StandardWeb"/>
      </w:pPr>
      <w:r>
        <w:t>[</w:t>
      </w:r>
      <w:r>
        <w:br/>
        <w:t>K_F(X_i,X_j;z)=0</w:t>
      </w:r>
      <w:r>
        <w:br/>
        <w:t>\Longrightarrow</w:t>
      </w:r>
      <w:r>
        <w:br/>
        <w:t>C_F(X_i,X_j;z)=0.</w:t>
      </w:r>
      <w:r>
        <w:br/>
        <w:t>\tag{3.8551}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K_F(X_i,X_j;z)=0\Longrightarrow C_F(X_i,X_j;z)=0</w:t>
      </w:r>
    </w:p>
    <w:p w:rsidR="00A6587C" w:rsidRDefault="00A6587C" w:rsidP="00A6587C">
      <w:pPr>
        <w:pStyle w:val="StandardWeb"/>
      </w:pPr>
      <w:r>
        <w:t>Eine funktional inkonsistente Beziehung kann innerhalb derselben Voraussetzungen nicht positiv kohärent sein.</w:t>
      </w:r>
    </w:p>
    <w:p w:rsidR="00A6587C" w:rsidRDefault="00E50336" w:rsidP="00A6587C">
      <w:r>
        <w:pict>
          <v:rect id="_x0000_i2260" style="width:0;height:1.5pt" o:hralign="center" o:hrstd="t" o:hr="t" fillcolor="#a0a0a0" stroked="f"/>
        </w:pict>
      </w:r>
    </w:p>
    <w:p w:rsidR="00A6587C" w:rsidRDefault="00A6587C" w:rsidP="00A6587C">
      <w:pPr>
        <w:pStyle w:val="berschrift1"/>
      </w:pPr>
      <w:r>
        <w:t>3.3.43.13 Globale funktionale Kohärenz</w:t>
      </w:r>
    </w:p>
    <w:p w:rsidR="00A6587C" w:rsidRDefault="00A6587C" w:rsidP="00A6587C">
      <w:pPr>
        <w:pStyle w:val="StandardWeb"/>
      </w:pPr>
      <w:r>
        <w:t>Lokale Kohärenz reicht für ein vollständiges System nicht aus.</w:t>
      </w:r>
    </w:p>
    <w:p w:rsidR="00A6587C" w:rsidRDefault="00A6587C" w:rsidP="00A6587C">
      <w:pPr>
        <w:pStyle w:val="StandardWeb"/>
      </w:pPr>
      <w:r>
        <w:t>Ich definiere deshalb einen globalen Kohärenzgrad über eine Domäne (\Omega_{ij}):</w:t>
      </w:r>
    </w:p>
    <w:p w:rsidR="00A6587C" w:rsidRDefault="00A6587C" w:rsidP="00A6587C">
      <w:pPr>
        <w:pStyle w:val="berschrift1"/>
      </w:pPr>
      <w:r>
        <w:t>[</w:t>
      </w:r>
      <w:r>
        <w:br/>
        <w:t>\bar C_{ij}</w:t>
      </w:r>
    </w:p>
    <w:p w:rsidR="00A6587C" w:rsidRDefault="00A6587C" w:rsidP="00A6587C">
      <w:pPr>
        <w:pStyle w:val="StandardWeb"/>
      </w:pPr>
      <w:r>
        <w:t>\frac{</w:t>
      </w:r>
      <w:r>
        <w:br/>
        <w:t>1</w:t>
      </w:r>
      <w:r>
        <w:br/>
        <w:t>}{</w:t>
      </w:r>
      <w:r>
        <w:br/>
        <w:t>\mu(\Omega_{ij})</w:t>
      </w:r>
      <w:r>
        <w:br/>
        <w:t>}</w:t>
      </w:r>
      <w:r>
        <w:br/>
        <w:t>\int_{\Omega_{ij}}</w:t>
      </w:r>
      <w:r>
        <w:br/>
        <w:t>C_F(X_i,X_j;z)</w:t>
      </w:r>
      <w:r>
        <w:br/>
      </w:r>
      <w:r>
        <w:lastRenderedPageBreak/>
        <w:t>,d\mu(z).</w:t>
      </w:r>
      <w:r>
        <w:br/>
        <w:t>\tag{3.8552}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\bar C_{ij}=\frac{1}{\mu(\Omega_{ij})}\int_{\Omega_{ij}}C_F(X_i,X_j;z)\,d\mu(z)</w:t>
      </w:r>
    </w:p>
    <w:p w:rsidR="00A6587C" w:rsidRDefault="00A6587C" w:rsidP="00A6587C">
      <w:pPr>
        <w:pStyle w:val="StandardWeb"/>
      </w:pPr>
      <w:r>
        <w:t>Diese Form setzt einen geeigneten Maßraum voraus.</w:t>
      </w:r>
    </w:p>
    <w:p w:rsidR="00A6587C" w:rsidRDefault="00A6587C" w:rsidP="00A6587C">
      <w:pPr>
        <w:pStyle w:val="StandardWeb"/>
      </w:pPr>
      <w:r>
        <w:t>Für diskrete Zustände kann entsprechend geschrieben werden</w:t>
      </w:r>
    </w:p>
    <w:p w:rsidR="00A6587C" w:rsidRDefault="00A6587C" w:rsidP="00A6587C">
      <w:pPr>
        <w:pStyle w:val="berschrift1"/>
      </w:pPr>
      <w:r>
        <w:t>[</w:t>
      </w:r>
      <w:r>
        <w:br/>
        <w:t>\bar C_{ij}</w:t>
      </w:r>
    </w:p>
    <w:p w:rsidR="00A6587C" w:rsidRDefault="00A6587C" w:rsidP="00A6587C">
      <w:pPr>
        <w:pStyle w:val="StandardWeb"/>
      </w:pPr>
      <w:r>
        <w:t>\frac1N</w:t>
      </w:r>
      <w:r>
        <w:br/>
        <w:t>\sum_{k=1}^{N}</w:t>
      </w:r>
      <w:r>
        <w:br/>
        <w:t>C_F(X_i,X_j;z_k).</w:t>
      </w:r>
      <w:r>
        <w:br/>
        <w:t>\tag{3.8553}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\bar C_{ij}=\frac{1}{N}\sum_{k=1}^{N}C_F(X_i,X_j;z_k)</w:t>
      </w:r>
    </w:p>
    <w:p w:rsidR="00A6587C" w:rsidRDefault="00E50336" w:rsidP="00A6587C">
      <w:r>
        <w:pict>
          <v:rect id="_x0000_i2261" style="width:0;height:1.5pt" o:hralign="center" o:hrstd="t" o:hr="t" fillcolor="#a0a0a0" stroked="f"/>
        </w:pict>
      </w:r>
    </w:p>
    <w:p w:rsidR="00A6587C" w:rsidRDefault="00A6587C" w:rsidP="00A6587C">
      <w:pPr>
        <w:pStyle w:val="berschrift1"/>
      </w:pPr>
      <w:r>
        <w:t>3.3.43.14 Definition 3.3.54 – Globale funktionale Kohärenz</w:t>
      </w:r>
    </w:p>
    <w:p w:rsidR="00A6587C" w:rsidRDefault="00A6587C" w:rsidP="00A6587C">
      <w:pPr>
        <w:pStyle w:val="berschrift3"/>
      </w:pPr>
      <w:r>
        <w:t>Definition 3.3.54</w:t>
      </w:r>
    </w:p>
    <w:p w:rsidR="00A6587C" w:rsidRDefault="00A6587C" w:rsidP="00A6587C">
      <w:pPr>
        <w:pStyle w:val="StandardWeb"/>
      </w:pPr>
      <w:r>
        <w:t>Zwei funktionale Größen heißen innerhalb einer gemeinsamen Domäne global kohärent, wenn ihr lokaler Kohärenzgrad in dieser Domäne einen vorab begründeten Mindestwert nicht unterschreitet.</w:t>
      </w:r>
    </w:p>
    <w:p w:rsidR="00A6587C" w:rsidRDefault="00A6587C" w:rsidP="00A6587C">
      <w:pPr>
        <w:pStyle w:val="StandardWeb"/>
      </w:pPr>
      <w:r>
        <w:t>Formal:</w:t>
      </w:r>
    </w:p>
    <w:p w:rsidR="00A6587C" w:rsidRDefault="00A6587C" w:rsidP="00A6587C">
      <w:pPr>
        <w:pStyle w:val="StandardWeb"/>
      </w:pPr>
      <w:r>
        <w:t>[</w:t>
      </w:r>
      <w:r>
        <w:br/>
        <w:t>\bar C_{ij}</w:t>
      </w:r>
      <w:r>
        <w:br/>
        <w:t>\geq</w:t>
      </w:r>
      <w:r>
        <w:br/>
        <w:t>\tau_C.</w:t>
      </w:r>
      <w:r>
        <w:br/>
        <w:t>\tag{3.8554}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\bar C_{ij}\geq\tau_C</w:t>
      </w:r>
    </w:p>
    <w:p w:rsidR="00A6587C" w:rsidRDefault="00A6587C" w:rsidP="00A6587C">
      <w:pPr>
        <w:pStyle w:val="StandardWeb"/>
      </w:pPr>
      <w:r>
        <w:lastRenderedPageBreak/>
        <w:t>Die Schwelle (\tau_C) ist keine universelle Naturkonstante des FRZK. Sie muss für die jeweilige Operationalisierung begründet werden.</w:t>
      </w:r>
    </w:p>
    <w:p w:rsidR="00A6587C" w:rsidRDefault="00E50336" w:rsidP="00A6587C">
      <w:r>
        <w:pict>
          <v:rect id="_x0000_i2262" style="width:0;height:1.5pt" o:hralign="center" o:hrstd="t" o:hr="t" fillcolor="#a0a0a0" stroked="f"/>
        </w:pict>
      </w:r>
    </w:p>
    <w:p w:rsidR="00A6587C" w:rsidRDefault="00A6587C" w:rsidP="00A6587C">
      <w:pPr>
        <w:pStyle w:val="berschrift1"/>
      </w:pPr>
      <w:r>
        <w:t>3.3.43.15 Vollständige Kohärenz</w:t>
      </w:r>
    </w:p>
    <w:p w:rsidR="00A6587C" w:rsidRDefault="00A6587C" w:rsidP="00A6587C">
      <w:pPr>
        <w:pStyle w:val="StandardWeb"/>
      </w:pPr>
      <w:r>
        <w:t>Ein theoretischer Grenzfall vollständiger Kohärenz liegt vor bei</w:t>
      </w:r>
    </w:p>
    <w:p w:rsidR="00A6587C" w:rsidRDefault="00A6587C" w:rsidP="00A6587C">
      <w:pPr>
        <w:pStyle w:val="StandardWeb"/>
      </w:pPr>
      <w:r>
        <w:t>[</w:t>
      </w:r>
      <w:r>
        <w:br/>
        <w:t>C_F(X_i,X_j;z)=1</w:t>
      </w:r>
      <w:r>
        <w:br/>
        <w:t>\qquad</w:t>
      </w:r>
      <w:r>
        <w:br/>
        <w:t>\forall z\in\Omega_{ij}.</w:t>
      </w:r>
      <w:r>
        <w:br/>
        <w:t>\tag{3.8555}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C_F(X_i,X_j;z)=1\qquad\forall z\in\Omega_{ij}</w:t>
      </w:r>
    </w:p>
    <w:p w:rsidR="00A6587C" w:rsidRDefault="00A6587C" w:rsidP="00A6587C">
      <w:pPr>
        <w:pStyle w:val="StandardWeb"/>
      </w:pPr>
      <w:r>
        <w:t>Dann gilt</w:t>
      </w:r>
    </w:p>
    <w:p w:rsidR="00A6587C" w:rsidRDefault="00A6587C" w:rsidP="00A6587C">
      <w:pPr>
        <w:pStyle w:val="StandardWeb"/>
      </w:pPr>
      <w:r>
        <w:t>[</w:t>
      </w:r>
      <w:r>
        <w:br/>
        <w:t>\bar C_{ij}=1.</w:t>
      </w:r>
      <w:r>
        <w:br/>
        <w:t>\tag{3.8556}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\bar C_{ij}=1</w:t>
      </w:r>
    </w:p>
    <w:p w:rsidR="00A6587C" w:rsidRDefault="00A6587C" w:rsidP="00A6587C">
      <w:pPr>
        <w:pStyle w:val="StandardWeb"/>
      </w:pPr>
      <w:r>
        <w:t>Vollständige Kohärenz ist damit ein idealisierter Grenzfall.</w:t>
      </w:r>
    </w:p>
    <w:p w:rsidR="00A6587C" w:rsidRDefault="00E50336" w:rsidP="00A6587C">
      <w:r>
        <w:pict>
          <v:rect id="_x0000_i2263" style="width:0;height:1.5pt" o:hralign="center" o:hrstd="t" o:hr="t" fillcolor="#a0a0a0" stroked="f"/>
        </w:pict>
      </w:r>
    </w:p>
    <w:p w:rsidR="00A6587C" w:rsidRDefault="00A6587C" w:rsidP="00A6587C">
      <w:pPr>
        <w:pStyle w:val="berschrift1"/>
      </w:pPr>
      <w:r>
        <w:t>3.3.43.16 Partielle Kohärenz</w:t>
      </w:r>
    </w:p>
    <w:p w:rsidR="00A6587C" w:rsidRDefault="00A6587C" w:rsidP="00A6587C">
      <w:pPr>
        <w:pStyle w:val="StandardWeb"/>
      </w:pPr>
      <w:r>
        <w:t>Analog zur partiellen Konsistenz kann auch Kohärenz nur in Teilen einer Domäne auftreten.</w:t>
      </w:r>
    </w:p>
    <w:p w:rsidR="00A6587C" w:rsidRDefault="00A6587C" w:rsidP="00A6587C">
      <w:pPr>
        <w:pStyle w:val="StandardWeb"/>
      </w:pPr>
      <w:r>
        <w:t>Es existieren dann</w:t>
      </w:r>
    </w:p>
    <w:p w:rsidR="00A6587C" w:rsidRDefault="00A6587C" w:rsidP="00A6587C">
      <w:pPr>
        <w:pStyle w:val="StandardWeb"/>
      </w:pPr>
      <w:r>
        <w:t>[</w:t>
      </w:r>
      <w:r>
        <w:br/>
        <w:t>z_1,z_2\in\Omega_{ij}</w:t>
      </w:r>
      <w:r>
        <w:br/>
        <w:t>\tag{3.8557}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z_1,z_2\in\Omega_{ij}</w:t>
      </w:r>
    </w:p>
    <w:p w:rsidR="00A6587C" w:rsidRDefault="00A6587C" w:rsidP="00A6587C">
      <w:pPr>
        <w:pStyle w:val="StandardWeb"/>
      </w:pPr>
      <w:r>
        <w:t>mit</w:t>
      </w:r>
    </w:p>
    <w:p w:rsidR="00A6587C" w:rsidRDefault="00A6587C" w:rsidP="00A6587C">
      <w:pPr>
        <w:pStyle w:val="StandardWeb"/>
      </w:pPr>
      <w:r>
        <w:lastRenderedPageBreak/>
        <w:t>[</w:t>
      </w:r>
      <w:r>
        <w:br/>
        <w:t>C_F(X_i,X_j;z_1)&gt;0</w:t>
      </w:r>
      <w:r>
        <w:br/>
        <w:t>\tag{3.8558}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C_F(X_i,X_j;z_1)&gt;0</w:t>
      </w:r>
    </w:p>
    <w:p w:rsidR="00A6587C" w:rsidRDefault="00A6587C" w:rsidP="00A6587C">
      <w:pPr>
        <w:pStyle w:val="StandardWeb"/>
      </w:pPr>
      <w:r>
        <w:t>und</w:t>
      </w:r>
    </w:p>
    <w:p w:rsidR="00A6587C" w:rsidRDefault="00A6587C" w:rsidP="00A6587C">
      <w:pPr>
        <w:pStyle w:val="StandardWeb"/>
      </w:pPr>
      <w:r>
        <w:t>[</w:t>
      </w:r>
      <w:r>
        <w:br/>
        <w:t>C_F(X_i,X_j;z_2)=0.</w:t>
      </w:r>
      <w:r>
        <w:br/>
        <w:t>\tag{3.8559}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C_F(X_i,X_j;z_2)=0</w:t>
      </w:r>
    </w:p>
    <w:p w:rsidR="00A6587C" w:rsidRDefault="00A6587C" w:rsidP="00A6587C">
      <w:pPr>
        <w:pStyle w:val="StandardWeb"/>
      </w:pPr>
      <w:r>
        <w:t>Damit kann Kohärenz räumlich, zeitlich oder zustandsbezogen begrenzt sein.</w:t>
      </w:r>
    </w:p>
    <w:p w:rsidR="00A6587C" w:rsidRDefault="00E50336" w:rsidP="00A6587C">
      <w:r>
        <w:pict>
          <v:rect id="_x0000_i2264" style="width:0;height:1.5pt" o:hralign="center" o:hrstd="t" o:hr="t" fillcolor="#a0a0a0" stroked="f"/>
        </w:pict>
      </w:r>
    </w:p>
    <w:p w:rsidR="00A6587C" w:rsidRDefault="00A6587C" w:rsidP="00A6587C">
      <w:pPr>
        <w:pStyle w:val="berschrift1"/>
      </w:pPr>
      <w:r>
        <w:t>3.3.43.17 Kohärenzmaß der Domäne</w:t>
      </w:r>
    </w:p>
    <w:p w:rsidR="00A6587C" w:rsidRDefault="00A6587C" w:rsidP="00A6587C">
      <w:pPr>
        <w:pStyle w:val="StandardWeb"/>
      </w:pPr>
      <w:r>
        <w:t>Ich definiere</w:t>
      </w:r>
    </w:p>
    <w:p w:rsidR="00A6587C" w:rsidRDefault="00A6587C" w:rsidP="00A6587C">
      <w:pPr>
        <w:pStyle w:val="berschrift1"/>
      </w:pPr>
      <w:r>
        <w:t>[</w:t>
      </w:r>
      <w:r>
        <w:br/>
        <w:t>R_{\Omega}^{C}</w:t>
      </w:r>
    </w:p>
    <w:p w:rsidR="00A6587C" w:rsidRDefault="00A6587C" w:rsidP="00A6587C">
      <w:pPr>
        <w:pStyle w:val="StandardWeb"/>
      </w:pPr>
      <w:r>
        <w:t>\frac{</w:t>
      </w:r>
      <w:r>
        <w:br/>
        <w:t>\mu(\Omega_{ij}^{C})</w:t>
      </w:r>
      <w:r>
        <w:br/>
        <w:t>}{</w:t>
      </w:r>
      <w:r>
        <w:br/>
        <w:t>\mu(\Omega_{ij})</w:t>
      </w:r>
      <w:r>
        <w:br/>
        <w:t>}.</w:t>
      </w:r>
      <w:r>
        <w:br/>
        <w:t>\tag{3.8560}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R_{\Omega}^{C}=\frac{\mu(\Omega_{ij}^{C})}{\mu(\Omega_{ij})}</w:t>
      </w:r>
    </w:p>
    <w:p w:rsidR="00A6587C" w:rsidRDefault="00A6587C" w:rsidP="00A6587C">
      <w:pPr>
        <w:pStyle w:val="StandardWeb"/>
      </w:pPr>
      <w:r>
        <w:t>Dieser Wert beschreibt den Anteil des gemeinsamen Zustandsraums, in dem positive funktionale Kohärenz besteht.</w:t>
      </w:r>
    </w:p>
    <w:p w:rsidR="00A6587C" w:rsidRDefault="00A6587C" w:rsidP="00A6587C">
      <w:pPr>
        <w:pStyle w:val="StandardWeb"/>
      </w:pPr>
      <w:r>
        <w:t>Es gilt</w:t>
      </w:r>
    </w:p>
    <w:p w:rsidR="00A6587C" w:rsidRDefault="00A6587C" w:rsidP="00A6587C">
      <w:pPr>
        <w:pStyle w:val="StandardWeb"/>
      </w:pPr>
      <w:r>
        <w:t>[</w:t>
      </w:r>
      <w:r>
        <w:br/>
        <w:t>0</w:t>
      </w:r>
      <w:r>
        <w:br/>
      </w:r>
      <w:r>
        <w:lastRenderedPageBreak/>
        <w:t>\leq</w:t>
      </w:r>
      <w:r>
        <w:br/>
        <w:t>R_{\Omega}^{C}</w:t>
      </w:r>
      <w:r>
        <w:br/>
        <w:t>\leq</w:t>
      </w:r>
      <w:r>
        <w:br/>
        <w:t>1.</w:t>
      </w:r>
      <w:r>
        <w:br/>
        <w:t>\tag{3.8561}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0\leq R_{\Omega}^{C}\leq1</w:t>
      </w:r>
    </w:p>
    <w:p w:rsidR="00A6587C" w:rsidRDefault="00E50336" w:rsidP="00A6587C">
      <w:r>
        <w:pict>
          <v:rect id="_x0000_i2265" style="width:0;height:1.5pt" o:hralign="center" o:hrstd="t" o:hr="t" fillcolor="#a0a0a0" stroked="f"/>
        </w:pict>
      </w:r>
    </w:p>
    <w:p w:rsidR="00A6587C" w:rsidRDefault="00A6587C" w:rsidP="00A6587C">
      <w:pPr>
        <w:pStyle w:val="berschrift1"/>
      </w:pPr>
      <w:r>
        <w:t>3.3.43.18 Kohärenzintensität und Kohärenzabdeckung</w:t>
      </w:r>
    </w:p>
    <w:p w:rsidR="00A6587C" w:rsidRDefault="00A6587C" w:rsidP="00A6587C">
      <w:pPr>
        <w:pStyle w:val="StandardWeb"/>
      </w:pPr>
      <w:r>
        <w:t>Damit müssen zwei Größen unterschieden werden:</w:t>
      </w:r>
    </w:p>
    <w:p w:rsidR="00A6587C" w:rsidRDefault="00A6587C" w:rsidP="00A6587C">
      <w:pPr>
        <w:pStyle w:val="berschrift1"/>
      </w:pPr>
      <w:r>
        <w:t>[</w:t>
      </w:r>
      <w:r>
        <w:br/>
        <w:t>I_C</w:t>
      </w:r>
    </w:p>
    <w:p w:rsidR="00A6587C" w:rsidRDefault="00A6587C" w:rsidP="00A6587C">
      <w:pPr>
        <w:pStyle w:val="StandardWeb"/>
      </w:pPr>
      <w:r>
        <w:t>\operatorname{mean}</w:t>
      </w:r>
      <w:r>
        <w:br/>
        <w:t>\left(</w:t>
      </w:r>
      <w:r>
        <w:br/>
        <w:t>C_F</w:t>
      </w:r>
      <w:r>
        <w:br/>
        <w:t>\mid</w:t>
      </w:r>
      <w:r>
        <w:br/>
        <w:t>\Omega_{ij}^{C}</w:t>
      </w:r>
      <w:r>
        <w:br/>
        <w:t>\right)</w:t>
      </w:r>
      <w:r>
        <w:br/>
        <w:t>\tag{3.8562}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I_C=\operatorname{mean}\left(C_F\mid\Omega_{ij}^{C}\right)</w:t>
      </w:r>
    </w:p>
    <w:p w:rsidR="00A6587C" w:rsidRDefault="00A6587C" w:rsidP="00A6587C">
      <w:pPr>
        <w:pStyle w:val="StandardWeb"/>
      </w:pPr>
      <w:r>
        <w:t>und</w:t>
      </w:r>
    </w:p>
    <w:p w:rsidR="00A6587C" w:rsidRDefault="00A6587C" w:rsidP="00A6587C">
      <w:pPr>
        <w:pStyle w:val="StandardWeb"/>
      </w:pPr>
      <w:r>
        <w:t>[</w:t>
      </w:r>
      <w:r>
        <w:br/>
        <w:t>R_{\Omega}^{C}.</w:t>
      </w:r>
      <w:r>
        <w:br/>
        <w:t>\tag{3.8563}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R_{\Omega}^{C}</w:t>
      </w:r>
    </w:p>
    <w:p w:rsidR="00A6587C" w:rsidRDefault="00A6587C" w:rsidP="00A6587C">
      <w:pPr>
        <w:pStyle w:val="StandardWeb"/>
      </w:pPr>
      <w:r>
        <w:t>Eine Beziehung kann in wenigen Zuständen sehr stark kohärent sein oder in vielen Zuständen nur schwach kohärent.</w:t>
      </w:r>
    </w:p>
    <w:p w:rsidR="00A6587C" w:rsidRDefault="00E50336" w:rsidP="00A6587C">
      <w:r>
        <w:pict>
          <v:rect id="_x0000_i2266" style="width:0;height:1.5pt" o:hralign="center" o:hrstd="t" o:hr="t" fillcolor="#a0a0a0" stroked="f"/>
        </w:pict>
      </w:r>
    </w:p>
    <w:p w:rsidR="00A6587C" w:rsidRDefault="00A6587C" w:rsidP="00A6587C">
      <w:pPr>
        <w:pStyle w:val="berschrift1"/>
      </w:pPr>
      <w:r>
        <w:t>3.3.43.19 Kohärenzprofil eines Aussagenpaares</w:t>
      </w:r>
    </w:p>
    <w:p w:rsidR="00A6587C" w:rsidRDefault="00A6587C" w:rsidP="00A6587C">
      <w:pPr>
        <w:pStyle w:val="StandardWeb"/>
      </w:pPr>
      <w:r>
        <w:lastRenderedPageBreak/>
        <w:t>Ich fasse beide Größen zusammen:</w:t>
      </w:r>
    </w:p>
    <w:p w:rsidR="00A6587C" w:rsidRDefault="00A6587C" w:rsidP="00A6587C">
      <w:pPr>
        <w:pStyle w:val="berschrift1"/>
      </w:pPr>
      <w:r>
        <w:t>[</w:t>
      </w:r>
      <w:r>
        <w:br/>
        <w:t>\mathbf P_C(X_i,X_j)</w:t>
      </w:r>
    </w:p>
    <w:p w:rsidR="00A6587C" w:rsidRDefault="00A6587C" w:rsidP="00A6587C">
      <w:pPr>
        <w:pStyle w:val="StandardWeb"/>
      </w:pPr>
      <w:r>
        <w:t>\left(</w:t>
      </w:r>
      <w:r>
        <w:br/>
        <w:t>I_C,</w:t>
      </w:r>
      <w:r>
        <w:br/>
        <w:t>R_{\Omega}^{C}</w:t>
      </w:r>
      <w:r>
        <w:br/>
        <w:t>\right).</w:t>
      </w:r>
      <w:r>
        <w:br/>
        <w:t>\tag{3.8564}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\mathbf P_C(X_i,X_j)=\left(I_C,R_{\Omega}^{C}\right)</w:t>
      </w:r>
    </w:p>
    <w:p w:rsidR="00A6587C" w:rsidRDefault="00A6587C" w:rsidP="00A6587C">
      <w:pPr>
        <w:pStyle w:val="StandardWeb"/>
      </w:pPr>
      <w:r>
        <w:t>Dieses Profil ist informativer als ein einzelner Mittelwert.</w:t>
      </w:r>
    </w:p>
    <w:p w:rsidR="00A6587C" w:rsidRDefault="00E50336" w:rsidP="00A6587C">
      <w:r>
        <w:pict>
          <v:rect id="_x0000_i2267" style="width:0;height:1.5pt" o:hralign="center" o:hrstd="t" o:hr="t" fillcolor="#a0a0a0" stroked="f"/>
        </w:pict>
      </w:r>
    </w:p>
    <w:p w:rsidR="00A6587C" w:rsidRDefault="00A6587C" w:rsidP="00A6587C">
      <w:pPr>
        <w:pStyle w:val="berschrift1"/>
      </w:pPr>
      <w:r>
        <w:t>3.3.43.20 Zeitliche Kohärenz</w:t>
      </w:r>
    </w:p>
    <w:p w:rsidR="00A6587C" w:rsidRDefault="00A6587C" w:rsidP="00A6587C">
      <w:pPr>
        <w:pStyle w:val="StandardWeb"/>
      </w:pPr>
      <w:r>
        <w:t>Für zeitabhängige Größen (X_i(t)) und (X_j(t)) definiere ich</w:t>
      </w:r>
    </w:p>
    <w:p w:rsidR="00A6587C" w:rsidRDefault="00A6587C" w:rsidP="00A6587C">
      <w:pPr>
        <w:pStyle w:val="berschrift1"/>
      </w:pPr>
      <w:r>
        <w:t>[</w:t>
      </w:r>
      <w:r>
        <w:br/>
        <w:t>C_{ij}(t)</w:t>
      </w:r>
    </w:p>
    <w:p w:rsidR="00A6587C" w:rsidRDefault="00A6587C" w:rsidP="00A6587C">
      <w:pPr>
        <w:pStyle w:val="StandardWeb"/>
      </w:pPr>
      <w:r>
        <w:t>C_F</w:t>
      </w:r>
      <w:r>
        <w:br/>
        <w:t>\left(</w:t>
      </w:r>
      <w:r>
        <w:br/>
        <w:t>X_i(t),</w:t>
      </w:r>
      <w:r>
        <w:br/>
        <w:t>X_j(t)</w:t>
      </w:r>
      <w:r>
        <w:br/>
        <w:t>\right).</w:t>
      </w:r>
      <w:r>
        <w:br/>
        <w:t>\tag{3.8565}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C_{ij}(t)=C_F\left(X_i(t),X_j(t)\right)</w:t>
      </w:r>
    </w:p>
    <w:p w:rsidR="00A6587C" w:rsidRDefault="00A6587C" w:rsidP="00A6587C">
      <w:pPr>
        <w:pStyle w:val="StandardWeb"/>
      </w:pPr>
      <w:r>
        <w:t>Die zeitliche Kohärenz ist damit selbst eine Funktion der Zeit.</w:t>
      </w:r>
    </w:p>
    <w:p w:rsidR="00A6587C" w:rsidRDefault="00A6587C" w:rsidP="00A6587C">
      <w:pPr>
        <w:pStyle w:val="StandardWeb"/>
      </w:pPr>
      <w:r>
        <w:t>Eine mittlere zeitliche Kohärenz über ein Intervall ([t_0,t_1]) lautet</w:t>
      </w:r>
    </w:p>
    <w:p w:rsidR="00A6587C" w:rsidRDefault="00A6587C" w:rsidP="00A6587C">
      <w:pPr>
        <w:pStyle w:val="berschrift1"/>
      </w:pPr>
      <w:r>
        <w:t>[</w:t>
      </w:r>
      <w:r>
        <w:br/>
        <w:t>\bar C_{ij}^{,t}</w:t>
      </w:r>
    </w:p>
    <w:p w:rsidR="00A6587C" w:rsidRDefault="00A6587C" w:rsidP="00A6587C">
      <w:pPr>
        <w:pStyle w:val="StandardWeb"/>
      </w:pPr>
      <w:r>
        <w:lastRenderedPageBreak/>
        <w:t>\frac1{t_1-t_0}</w:t>
      </w:r>
      <w:r>
        <w:br/>
        <w:t>\int_{t_0}^{t_1}</w:t>
      </w:r>
      <w:r>
        <w:br/>
        <w:t>C_{ij}(t)</w:t>
      </w:r>
      <w:r>
        <w:br/>
        <w:t>,dt.</w:t>
      </w:r>
      <w:r>
        <w:br/>
        <w:t>\tag{3.8566}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\bar C_{ij}^{\,t}=\frac{1}{t_1-t_0}\int_{t_0}^{t_1}C_{ij}(t)\,dt</w:t>
      </w:r>
    </w:p>
    <w:p w:rsidR="00A6587C" w:rsidRDefault="00E50336" w:rsidP="00A6587C">
      <w:r>
        <w:pict>
          <v:rect id="_x0000_i2268" style="width:0;height:1.5pt" o:hralign="center" o:hrstd="t" o:hr="t" fillcolor="#a0a0a0" stroked="f"/>
        </w:pict>
      </w:r>
    </w:p>
    <w:p w:rsidR="00A6587C" w:rsidRDefault="00A6587C" w:rsidP="00A6587C">
      <w:pPr>
        <w:pStyle w:val="berschrift1"/>
      </w:pPr>
      <w:r>
        <w:t>3.3.43.21 Kohärenzdauer</w:t>
      </w:r>
    </w:p>
    <w:p w:rsidR="00A6587C" w:rsidRDefault="00A6587C" w:rsidP="00A6587C">
      <w:pPr>
        <w:pStyle w:val="StandardWeb"/>
      </w:pPr>
      <w:r>
        <w:t>Ein kohärentes Zeitintervall sei</w:t>
      </w:r>
    </w:p>
    <w:p w:rsidR="00A6587C" w:rsidRDefault="00A6587C" w:rsidP="00A6587C">
      <w:pPr>
        <w:pStyle w:val="berschrift1"/>
      </w:pPr>
      <w:r>
        <w:t>[</w:t>
      </w:r>
      <w:r>
        <w:br/>
        <w:t>I_C</w:t>
      </w:r>
    </w:p>
    <w:p w:rsidR="00A6587C" w:rsidRDefault="00A6587C" w:rsidP="00A6587C">
      <w:pPr>
        <w:pStyle w:val="StandardWeb"/>
      </w:pPr>
      <w:r>
        <w:t>[t_a,t_b]</w:t>
      </w:r>
      <w:r>
        <w:br/>
        <w:t>\tag{3.8567}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I_C=[t_a,t_b]</w:t>
      </w:r>
    </w:p>
    <w:p w:rsidR="00A6587C" w:rsidRDefault="00A6587C" w:rsidP="00A6587C">
      <w:pPr>
        <w:pStyle w:val="StandardWeb"/>
      </w:pPr>
      <w:r>
        <w:t>mit</w:t>
      </w:r>
    </w:p>
    <w:p w:rsidR="00A6587C" w:rsidRDefault="00A6587C" w:rsidP="00A6587C">
      <w:pPr>
        <w:pStyle w:val="StandardWeb"/>
      </w:pPr>
      <w:r>
        <w:t>[</w:t>
      </w:r>
      <w:r>
        <w:br/>
        <w:t>C_{ij}(t)</w:t>
      </w:r>
      <w:r>
        <w:br/>
        <w:t>\geq</w:t>
      </w:r>
      <w:r>
        <w:br/>
        <w:t>\tau_C</w:t>
      </w:r>
      <w:r>
        <w:br/>
        <w:t>\qquad</w:t>
      </w:r>
      <w:r>
        <w:br/>
        <w:t>\forall t\in I_C.</w:t>
      </w:r>
      <w:r>
        <w:br/>
        <w:t>\tag{3.8568}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C_{ij}(t)\geq\tau_C\qquad\forall t\in I_C</w:t>
      </w:r>
    </w:p>
    <w:p w:rsidR="00A6587C" w:rsidRDefault="00A6587C" w:rsidP="00A6587C">
      <w:pPr>
        <w:pStyle w:val="StandardWeb"/>
      </w:pPr>
      <w:r>
        <w:t>Die Kohärenzdauer ist</w:t>
      </w:r>
    </w:p>
    <w:p w:rsidR="00A6587C" w:rsidRDefault="00A6587C" w:rsidP="00A6587C">
      <w:pPr>
        <w:pStyle w:val="berschrift1"/>
      </w:pPr>
      <w:r>
        <w:t>[</w:t>
      </w:r>
      <w:r>
        <w:br/>
        <w:t>T_C</w:t>
      </w:r>
    </w:p>
    <w:p w:rsidR="00A6587C" w:rsidRDefault="00A6587C" w:rsidP="00A6587C">
      <w:pPr>
        <w:pStyle w:val="StandardWeb"/>
      </w:pPr>
      <w:r>
        <w:lastRenderedPageBreak/>
        <w:t>t_b-t_a.</w:t>
      </w:r>
      <w:r>
        <w:br/>
        <w:t>\tag{3.8569}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T_C=t_b-t_a</w:t>
      </w:r>
    </w:p>
    <w:p w:rsidR="00A6587C" w:rsidRDefault="00E50336" w:rsidP="00A6587C">
      <w:r>
        <w:pict>
          <v:rect id="_x0000_i2269" style="width:0;height:1.5pt" o:hralign="center" o:hrstd="t" o:hr="t" fillcolor="#a0a0a0" stroked="f"/>
        </w:pict>
      </w:r>
    </w:p>
    <w:p w:rsidR="00A6587C" w:rsidRDefault="00A6587C" w:rsidP="00A6587C">
      <w:pPr>
        <w:pStyle w:val="berschrift1"/>
      </w:pPr>
      <w:r>
        <w:t>3.3.43.22 Kohärenzverlust</w:t>
      </w:r>
    </w:p>
    <w:p w:rsidR="00A6587C" w:rsidRDefault="00A6587C" w:rsidP="00A6587C">
      <w:pPr>
        <w:pStyle w:val="StandardWeb"/>
      </w:pPr>
      <w:r>
        <w:t>Ein Kohärenzverlust tritt zu einem Zeitpunkt (t^\ast) auf, wenn</w:t>
      </w:r>
    </w:p>
    <w:p w:rsidR="00A6587C" w:rsidRDefault="00A6587C" w:rsidP="00A6587C">
      <w:pPr>
        <w:pStyle w:val="StandardWeb"/>
      </w:pPr>
      <w:r>
        <w:t>[</w:t>
      </w:r>
      <w:r>
        <w:br/>
        <w:t>C_{ij}(t^\ast-\varepsilon)</w:t>
      </w:r>
      <w:r>
        <w:br/>
        <w:t>\geq</w:t>
      </w:r>
      <w:r>
        <w:br/>
        <w:t>\tau_C</w:t>
      </w:r>
      <w:r>
        <w:br/>
        <w:t>\tag{3.8570}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C_{ij}(t^\ast-\varepsilon)\geq\tau_C</w:t>
      </w:r>
    </w:p>
    <w:p w:rsidR="00A6587C" w:rsidRDefault="00A6587C" w:rsidP="00A6587C">
      <w:pPr>
        <w:pStyle w:val="StandardWeb"/>
      </w:pPr>
      <w:r>
        <w:t>und</w:t>
      </w:r>
    </w:p>
    <w:p w:rsidR="00A6587C" w:rsidRDefault="00A6587C" w:rsidP="00A6587C">
      <w:pPr>
        <w:pStyle w:val="StandardWeb"/>
      </w:pPr>
      <w:r>
        <w:t>[</w:t>
      </w:r>
      <w:r>
        <w:br/>
        <w:t>C_{ij}(t^\ast+\varepsilon)</w:t>
      </w:r>
      <w:r>
        <w:br/>
        <w:t>&lt;</w:t>
      </w:r>
      <w:r>
        <w:br/>
        <w:t>\tau_C.</w:t>
      </w:r>
      <w:r>
        <w:br/>
        <w:t>\tag{3.8571}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C_{ij}(t^\ast+\varepsilon)&lt;\tau_C</w:t>
      </w:r>
    </w:p>
    <w:p w:rsidR="00A6587C" w:rsidRDefault="00A6587C" w:rsidP="00A6587C">
      <w:pPr>
        <w:pStyle w:val="StandardWeb"/>
      </w:pPr>
      <w:r>
        <w:t>Ich bezeichne den ersten solchen Zeitpunkt als</w:t>
      </w:r>
    </w:p>
    <w:p w:rsidR="00A6587C" w:rsidRDefault="00A6587C" w:rsidP="00A6587C">
      <w:pPr>
        <w:pStyle w:val="StandardWeb"/>
      </w:pPr>
      <w:r>
        <w:t>[</w:t>
      </w:r>
      <w:r>
        <w:br/>
        <w:t>t_C^\ast.</w:t>
      </w:r>
      <w:r>
        <w:br/>
        <w:t>\tag{3.8572}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t_C^\ast</w:t>
      </w:r>
    </w:p>
    <w:p w:rsidR="00A6587C" w:rsidRDefault="00E50336" w:rsidP="00A6587C">
      <w:r>
        <w:pict>
          <v:rect id="_x0000_i2270" style="width:0;height:1.5pt" o:hralign="center" o:hrstd="t" o:hr="t" fillcolor="#a0a0a0" stroked="f"/>
        </w:pict>
      </w:r>
    </w:p>
    <w:p w:rsidR="00A6587C" w:rsidRDefault="00A6587C" w:rsidP="00A6587C">
      <w:pPr>
        <w:pStyle w:val="berschrift1"/>
      </w:pPr>
      <w:r>
        <w:t>3.3.43.23 Kohärenzwiederherstellung</w:t>
      </w:r>
    </w:p>
    <w:p w:rsidR="00A6587C" w:rsidRDefault="00A6587C" w:rsidP="00A6587C">
      <w:pPr>
        <w:pStyle w:val="StandardWeb"/>
      </w:pPr>
      <w:r>
        <w:lastRenderedPageBreak/>
        <w:t>Analog liegt eine Wiederherstellung bei</w:t>
      </w:r>
    </w:p>
    <w:p w:rsidR="00A6587C" w:rsidRDefault="00A6587C" w:rsidP="00A6587C">
      <w:pPr>
        <w:pStyle w:val="StandardWeb"/>
      </w:pPr>
      <w:r>
        <w:t>[</w:t>
      </w:r>
      <w:r>
        <w:br/>
        <w:t>C_{ij}(t^\ast-\varepsilon)</w:t>
      </w:r>
      <w:r>
        <w:br/>
        <w:t>&lt;</w:t>
      </w:r>
      <w:r>
        <w:br/>
        <w:t>\tau_C</w:t>
      </w:r>
      <w:r>
        <w:br/>
        <w:t>\tag{3.8573}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C_{ij}(t^\ast-\varepsilon)&lt;\tau_C</w:t>
      </w:r>
    </w:p>
    <w:p w:rsidR="00A6587C" w:rsidRDefault="00A6587C" w:rsidP="00A6587C">
      <w:pPr>
        <w:pStyle w:val="StandardWeb"/>
      </w:pPr>
      <w:r>
        <w:t>und</w:t>
      </w:r>
    </w:p>
    <w:p w:rsidR="00A6587C" w:rsidRDefault="00A6587C" w:rsidP="00A6587C">
      <w:pPr>
        <w:pStyle w:val="StandardWeb"/>
      </w:pPr>
      <w:r>
        <w:t>[</w:t>
      </w:r>
      <w:r>
        <w:br/>
        <w:t>C_{ij}(t^\ast+\varepsilon)</w:t>
      </w:r>
      <w:r>
        <w:br/>
        <w:t>\geq</w:t>
      </w:r>
      <w:r>
        <w:br/>
        <w:t>\tau_C</w:t>
      </w:r>
      <w:r>
        <w:br/>
        <w:t>\tag{3.8574}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C_{ij}(t^\ast+\varepsilon)\geq\tau_C</w:t>
      </w:r>
    </w:p>
    <w:p w:rsidR="00A6587C" w:rsidRDefault="00A6587C" w:rsidP="00A6587C">
      <w:pPr>
        <w:pStyle w:val="StandardWeb"/>
      </w:pPr>
      <w:r>
        <w:t>vor.</w:t>
      </w:r>
    </w:p>
    <w:p w:rsidR="00A6587C" w:rsidRDefault="00E50336" w:rsidP="00A6587C">
      <w:r>
        <w:pict>
          <v:rect id="_x0000_i2271" style="width:0;height:1.5pt" o:hralign="center" o:hrstd="t" o:hr="t" fillcolor="#a0a0a0" stroked="f"/>
        </w:pict>
      </w:r>
    </w:p>
    <w:p w:rsidR="00A6587C" w:rsidRDefault="00A6587C" w:rsidP="00A6587C">
      <w:pPr>
        <w:pStyle w:val="berschrift1"/>
      </w:pPr>
      <w:r>
        <w:t>3.3.43.24 Kohärenztrajektorie</w:t>
      </w:r>
    </w:p>
    <w:p w:rsidR="00A6587C" w:rsidRDefault="00A6587C" w:rsidP="00A6587C">
      <w:pPr>
        <w:pStyle w:val="StandardWeb"/>
      </w:pPr>
      <w:r>
        <w:t>Ich definiere</w:t>
      </w:r>
    </w:p>
    <w:p w:rsidR="00A6587C" w:rsidRDefault="00A6587C" w:rsidP="00A6587C">
      <w:pPr>
        <w:pStyle w:val="berschrift1"/>
      </w:pPr>
      <w:r>
        <w:t>[</w:t>
      </w:r>
      <w:r>
        <w:br/>
        <w:t>\mathcal H_C</w:t>
      </w:r>
    </w:p>
    <w:p w:rsidR="00A6587C" w:rsidRDefault="00A6587C" w:rsidP="00A6587C">
      <w:pPr>
        <w:pStyle w:val="StandardWeb"/>
      </w:pPr>
      <w:r>
        <w:t>\left(</w:t>
      </w:r>
      <w:r>
        <w:br/>
        <w:t>C_0,</w:t>
      </w:r>
      <w:r>
        <w:br/>
        <w:t>C_1,</w:t>
      </w:r>
      <w:r>
        <w:br/>
        <w:t>\ldots,</w:t>
      </w:r>
      <w:r>
        <w:br/>
        <w:t>C_n</w:t>
      </w:r>
      <w:r>
        <w:br/>
        <w:t>\right)</w:t>
      </w:r>
      <w:r>
        <w:br/>
        <w:t>\tag{3.8575}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\mathcal H_C=\left(C_0,C_1,\ldots,C_n\right)</w:t>
      </w:r>
    </w:p>
    <w:p w:rsidR="00A6587C" w:rsidRDefault="00A6587C" w:rsidP="00A6587C">
      <w:pPr>
        <w:pStyle w:val="StandardWeb"/>
      </w:pPr>
      <w:r>
        <w:lastRenderedPageBreak/>
        <w:t>als diskrete Kohärenztrajektorie.</w:t>
      </w:r>
    </w:p>
    <w:p w:rsidR="00A6587C" w:rsidRDefault="00A6587C" w:rsidP="00A6587C">
      <w:pPr>
        <w:pStyle w:val="StandardWeb"/>
      </w:pPr>
      <w:r>
        <w:t>Für kontinuierliche Systeme schreibe ich</w:t>
      </w:r>
    </w:p>
    <w:p w:rsidR="00A6587C" w:rsidRDefault="00A6587C" w:rsidP="00A6587C">
      <w:pPr>
        <w:pStyle w:val="berschrift1"/>
      </w:pPr>
      <w:r>
        <w:t>[</w:t>
      </w:r>
      <w:r>
        <w:br/>
        <w:t>\mathcal H_C</w:t>
      </w:r>
    </w:p>
    <w:p w:rsidR="00A6587C" w:rsidRDefault="00A6587C" w:rsidP="00A6587C">
      <w:pPr>
        <w:pStyle w:val="StandardWeb"/>
      </w:pPr>
      <w:r>
        <w:t>{C(t):t\in I}.</w:t>
      </w:r>
      <w:r>
        <w:br/>
        <w:t>\tag{3.8576}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\mathcal H_C=\{C(t):t\in I\}</w:t>
      </w:r>
    </w:p>
    <w:p w:rsidR="00A6587C" w:rsidRDefault="00E50336" w:rsidP="00A6587C">
      <w:r>
        <w:pict>
          <v:rect id="_x0000_i2272" style="width:0;height:1.5pt" o:hralign="center" o:hrstd="t" o:hr="t" fillcolor="#a0a0a0" stroked="f"/>
        </w:pict>
      </w:r>
    </w:p>
    <w:p w:rsidR="00A6587C" w:rsidRDefault="00A6587C" w:rsidP="00A6587C">
      <w:pPr>
        <w:pStyle w:val="berschrift1"/>
      </w:pPr>
      <w:r>
        <w:t>3.3.43.25 Kohärenzänderungsrate</w:t>
      </w:r>
    </w:p>
    <w:p w:rsidR="00A6587C" w:rsidRDefault="00A6587C" w:rsidP="00A6587C">
      <w:pPr>
        <w:pStyle w:val="StandardWeb"/>
      </w:pPr>
      <w:r>
        <w:t>Für differenzierbare Kohärenzverläufe definiere ich</w:t>
      </w:r>
    </w:p>
    <w:p w:rsidR="00A6587C" w:rsidRDefault="00A6587C" w:rsidP="00A6587C">
      <w:pPr>
        <w:pStyle w:val="berschrift1"/>
      </w:pPr>
      <w:r>
        <w:t>[</w:t>
      </w:r>
      <w:r>
        <w:br/>
        <w:t>\dot C(t)</w:t>
      </w:r>
    </w:p>
    <w:p w:rsidR="00A6587C" w:rsidRDefault="00A6587C" w:rsidP="00A6587C">
      <w:pPr>
        <w:pStyle w:val="StandardWeb"/>
      </w:pPr>
      <w:r>
        <w:t>\frac{dC(t)}{dt}.</w:t>
      </w:r>
      <w:r>
        <w:br/>
        <w:t>\tag{3.8577}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\dot C(t)=\frac{dC(t)}{dt}</w:t>
      </w:r>
    </w:p>
    <w:p w:rsidR="00A6587C" w:rsidRDefault="00A6587C" w:rsidP="00A6587C">
      <w:pPr>
        <w:pStyle w:val="StandardWeb"/>
      </w:pPr>
      <w:r>
        <w:t>Damit beschreibt</w:t>
      </w:r>
    </w:p>
    <w:p w:rsidR="00A6587C" w:rsidRDefault="00A6587C" w:rsidP="00A6587C">
      <w:pPr>
        <w:pStyle w:val="StandardWeb"/>
      </w:pPr>
      <w:r>
        <w:t>[</w:t>
      </w:r>
      <w:r>
        <w:br/>
        <w:t>\dot C(t)&gt;0</w:t>
      </w:r>
      <w:r>
        <w:br/>
        <w:t>\tag{3.8578}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\dot C(t)&gt;0</w:t>
      </w:r>
    </w:p>
    <w:p w:rsidR="00A6587C" w:rsidRDefault="00A6587C" w:rsidP="00A6587C">
      <w:pPr>
        <w:pStyle w:val="StandardWeb"/>
      </w:pPr>
      <w:r>
        <w:t>eine zunehmende und</w:t>
      </w:r>
    </w:p>
    <w:p w:rsidR="00A6587C" w:rsidRDefault="00A6587C" w:rsidP="00A6587C">
      <w:pPr>
        <w:pStyle w:val="StandardWeb"/>
      </w:pPr>
      <w:r>
        <w:t>[</w:t>
      </w:r>
      <w:r>
        <w:br/>
        <w:t>\dot C(t)&lt;0</w:t>
      </w:r>
      <w:r>
        <w:br/>
        <w:t>\tag{3.8579}</w:t>
      </w:r>
      <w:r>
        <w:br/>
        <w:t>]</w:t>
      </w:r>
    </w:p>
    <w:p w:rsidR="00A6587C" w:rsidRDefault="00A6587C" w:rsidP="00A6587C">
      <w:pPr>
        <w:pStyle w:val="StandardWeb"/>
      </w:pPr>
      <w:r>
        <w:rPr>
          <w:rStyle w:val="Fett"/>
        </w:rPr>
        <w:lastRenderedPageBreak/>
        <w:t>Word-LaTeX</w:t>
      </w:r>
    </w:p>
    <w:p w:rsidR="00A6587C" w:rsidRDefault="00A6587C" w:rsidP="00A6587C">
      <w:pPr>
        <w:pStyle w:val="HTMLVorformatiert"/>
        <w:rPr>
          <w:rStyle w:val="HTMLCode"/>
        </w:rPr>
      </w:pPr>
      <w:r>
        <w:rPr>
          <w:rStyle w:val="HTMLCode"/>
        </w:rPr>
        <w:t>\dot C(t)&lt;0</w:t>
      </w:r>
    </w:p>
    <w:p w:rsidR="00A6587C" w:rsidRDefault="00A6587C" w:rsidP="00A6587C">
      <w:pPr>
        <w:pStyle w:val="StandardWeb"/>
      </w:pPr>
      <w:r>
        <w:t>eine abnehmende Kohärenz.</w:t>
      </w:r>
    </w:p>
    <w:p w:rsidR="00A6587C" w:rsidRDefault="00E50336" w:rsidP="00A6587C">
      <w:r>
        <w:pict>
          <v:rect id="_x0000_i2273" style="width:0;height:1.5pt" o:hralign="center" o:hrstd="t" o:hr="t" fillcolor="#a0a0a0" stroked="f"/>
        </w:pict>
      </w:r>
    </w:p>
    <w:p w:rsidR="00A6587C" w:rsidRDefault="00A6587C" w:rsidP="00A6587C">
      <w:pPr>
        <w:pStyle w:val="berschrift1"/>
      </w:pPr>
      <w:r>
        <w:t>3.3.43.26 Kohärenzbeschleunigung</w:t>
      </w:r>
    </w:p>
    <w:p w:rsidR="00A6587C" w:rsidRDefault="00A6587C" w:rsidP="00A6587C">
      <w:pPr>
        <w:pStyle w:val="StandardWeb"/>
      </w:pPr>
      <w:r>
        <w:t>Zusätzlich kann</w:t>
      </w:r>
    </w:p>
    <w:p w:rsidR="00A6587C" w:rsidRDefault="00A6587C" w:rsidP="00A6587C">
      <w:pPr>
        <w:pStyle w:val="berschrift1"/>
      </w:pPr>
      <w:r>
        <w:t>[</w:t>
      </w:r>
      <w:r>
        <w:br/>
        <w:t>\ddot C(t)</w:t>
      </w:r>
    </w:p>
    <w:p w:rsidR="00A6587C" w:rsidRDefault="00A6587C" w:rsidP="00A6587C">
      <w:pPr>
        <w:pStyle w:val="StandardWeb"/>
      </w:pPr>
      <w:r>
        <w:t>\frac{d^2C(t)}{dt^2}</w:t>
      </w:r>
      <w:r>
        <w:br/>
        <w:t>\tag{3.8580}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\ddot C(t)=\frac{d^2C(t)}{dt^2}</w:t>
      </w:r>
    </w:p>
    <w:p w:rsidR="00A6587C" w:rsidRDefault="00A6587C" w:rsidP="00A6587C">
      <w:pPr>
        <w:pStyle w:val="StandardWeb"/>
      </w:pPr>
      <w:r>
        <w:t>verwendet werden.</w:t>
      </w:r>
    </w:p>
    <w:p w:rsidR="00A6587C" w:rsidRDefault="00A6587C" w:rsidP="00A6587C">
      <w:pPr>
        <w:pStyle w:val="StandardWeb"/>
      </w:pPr>
      <w:r>
        <w:t>Eine stark negative Kohärenzbeschleunigung kann beispielsweise einen bevorstehenden schnellen Kohärenzverlust anzeigen.</w:t>
      </w:r>
    </w:p>
    <w:p w:rsidR="00A6587C" w:rsidRDefault="00A6587C" w:rsidP="00A6587C">
      <w:pPr>
        <w:pStyle w:val="StandardWeb"/>
      </w:pPr>
      <w:r>
        <w:t>Dies ist zunächst eine diagnostische Möglichkeit und noch kein Primäraxiom.</w:t>
      </w:r>
    </w:p>
    <w:p w:rsidR="00A6587C" w:rsidRDefault="00E50336" w:rsidP="00A6587C">
      <w:r>
        <w:pict>
          <v:rect id="_x0000_i2274" style="width:0;height:1.5pt" o:hralign="center" o:hrstd="t" o:hr="t" fillcolor="#a0a0a0" stroked="f"/>
        </w:pict>
      </w:r>
    </w:p>
    <w:p w:rsidR="00A6587C" w:rsidRDefault="00A6587C" w:rsidP="00A6587C">
      <w:pPr>
        <w:pStyle w:val="berschrift1"/>
      </w:pPr>
      <w:r>
        <w:t>3.3.43.27 Räumliche Kohärenz</w:t>
      </w:r>
    </w:p>
    <w:p w:rsidR="00A6587C" w:rsidRDefault="00A6587C" w:rsidP="00A6587C">
      <w:pPr>
        <w:pStyle w:val="StandardWeb"/>
      </w:pPr>
      <w:r>
        <w:t>Für räumlich verteilte Zustände definiere ich</w:t>
      </w:r>
    </w:p>
    <w:p w:rsidR="00A6587C" w:rsidRDefault="00A6587C" w:rsidP="00A6587C">
      <w:pPr>
        <w:pStyle w:val="berschrift1"/>
      </w:pPr>
      <w:r>
        <w:t>[</w:t>
      </w:r>
      <w:r>
        <w:br/>
        <w:t>C_{ij}(x)</w:t>
      </w:r>
    </w:p>
    <w:p w:rsidR="00A6587C" w:rsidRDefault="00A6587C" w:rsidP="00A6587C">
      <w:pPr>
        <w:pStyle w:val="StandardWeb"/>
      </w:pPr>
      <w:r>
        <w:t>C_F</w:t>
      </w:r>
      <w:r>
        <w:br/>
        <w:t>\left(</w:t>
      </w:r>
      <w:r>
        <w:br/>
        <w:t>X_i(x),</w:t>
      </w:r>
      <w:r>
        <w:br/>
        <w:t>X_j(x)</w:t>
      </w:r>
      <w:r>
        <w:br/>
        <w:t>\right).</w:t>
      </w:r>
      <w:r>
        <w:br/>
        <w:t>\tag{3.8581}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lastRenderedPageBreak/>
        <w:t>C_{ij}(x)=C_F\left(X_i(x),X_j(x)\right)</w:t>
      </w:r>
    </w:p>
    <w:p w:rsidR="00A6587C" w:rsidRDefault="00A6587C" w:rsidP="00A6587C">
      <w:pPr>
        <w:pStyle w:val="StandardWeb"/>
      </w:pPr>
      <w:r>
        <w:t>Für zwei verschiedene Orte (x_1) und (x_2) kann entsprechend eine räumliche Kohärenzrelation</w:t>
      </w:r>
    </w:p>
    <w:p w:rsidR="00A6587C" w:rsidRDefault="00A6587C" w:rsidP="00A6587C">
      <w:pPr>
        <w:pStyle w:val="StandardWeb"/>
      </w:pPr>
      <w:r>
        <w:t>[</w:t>
      </w:r>
      <w:r>
        <w:br/>
        <w:t>C_F</w:t>
      </w:r>
      <w:r>
        <w:br/>
        <w:t>\left(</w:t>
      </w:r>
      <w:r>
        <w:br/>
        <w:t>X(x_1),</w:t>
      </w:r>
      <w:r>
        <w:br/>
        <w:t>X(x_2)</w:t>
      </w:r>
      <w:r>
        <w:br/>
        <w:t>\right)</w:t>
      </w:r>
      <w:r>
        <w:br/>
        <w:t>\tag{3.8582}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C_F\left(X(x_1),X(x_2)\right)</w:t>
      </w:r>
    </w:p>
    <w:p w:rsidR="00A6587C" w:rsidRDefault="00A6587C" w:rsidP="00A6587C">
      <w:pPr>
        <w:pStyle w:val="StandardWeb"/>
      </w:pPr>
      <w:r>
        <w:t>gebildet werden.</w:t>
      </w:r>
    </w:p>
    <w:p w:rsidR="00A6587C" w:rsidRDefault="00E50336" w:rsidP="00A6587C">
      <w:r>
        <w:pict>
          <v:rect id="_x0000_i2275" style="width:0;height:1.5pt" o:hralign="center" o:hrstd="t" o:hr="t" fillcolor="#a0a0a0" stroked="f"/>
        </w:pict>
      </w:r>
    </w:p>
    <w:p w:rsidR="00A6587C" w:rsidRDefault="00A6587C" w:rsidP="00A6587C">
      <w:pPr>
        <w:pStyle w:val="berschrift1"/>
      </w:pPr>
      <w:r>
        <w:t>3.3.43.28 Kohärenzlänge</w:t>
      </w:r>
    </w:p>
    <w:p w:rsidR="00A6587C" w:rsidRDefault="00A6587C" w:rsidP="00A6587C">
      <w:pPr>
        <w:pStyle w:val="StandardWeb"/>
      </w:pPr>
      <w:r>
        <w:t>Ich definiere eine Kohärenzlänge (L_C) als charakteristische räumliche Distanz, innerhalb der eine vorgegebene Mindestkohärenz erhalten bleibt.</w:t>
      </w:r>
    </w:p>
    <w:p w:rsidR="00A6587C" w:rsidRDefault="00A6587C" w:rsidP="00A6587C">
      <w:pPr>
        <w:pStyle w:val="StandardWeb"/>
      </w:pPr>
      <w:r>
        <w:t>Formal:</w:t>
      </w:r>
    </w:p>
    <w:p w:rsidR="00A6587C" w:rsidRDefault="00A6587C" w:rsidP="00A6587C">
      <w:pPr>
        <w:pStyle w:val="berschrift1"/>
      </w:pPr>
      <w:r>
        <w:t>[</w:t>
      </w:r>
      <w:r>
        <w:br/>
        <w:t>L_C</w:t>
      </w:r>
    </w:p>
    <w:p w:rsidR="00A6587C" w:rsidRDefault="00A6587C" w:rsidP="00A6587C">
      <w:pPr>
        <w:pStyle w:val="StandardWeb"/>
      </w:pPr>
      <w:r>
        <w:t>\sup</w:t>
      </w:r>
      <w:r>
        <w:br/>
        <w:t>\left{</w:t>
      </w:r>
      <w:r>
        <w:br/>
        <w:t>r:</w:t>
      </w:r>
      <w:r>
        <w:br/>
        <w:t>C_F</w:t>
      </w:r>
      <w:r>
        <w:br/>
        <w:t>\left(</w:t>
      </w:r>
      <w:r>
        <w:br/>
        <w:t>X(x),</w:t>
      </w:r>
      <w:r>
        <w:br/>
        <w:t>X(x+r)</w:t>
      </w:r>
      <w:r>
        <w:br/>
        <w:t>\right)</w:t>
      </w:r>
      <w:r>
        <w:br/>
        <w:t>\geq</w:t>
      </w:r>
      <w:r>
        <w:br/>
        <w:t>\tau_C</w:t>
      </w:r>
      <w:r>
        <w:br/>
        <w:t>\right}.</w:t>
      </w:r>
      <w:r>
        <w:br/>
        <w:t>\tag{3.8583}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L_C=\sup\left\{r:C_F\left(X(x),X(x+r)\right)\geq\tau_C\right\}</w:t>
      </w:r>
    </w:p>
    <w:p w:rsidR="00A6587C" w:rsidRDefault="00A6587C" w:rsidP="00A6587C">
      <w:pPr>
        <w:pStyle w:val="StandardWeb"/>
      </w:pPr>
      <w:r>
        <w:lastRenderedPageBreak/>
        <w:t>Diese Definition setzt eine geeignete räumliche Metrik voraus.</w:t>
      </w:r>
    </w:p>
    <w:p w:rsidR="00A6587C" w:rsidRDefault="00E50336" w:rsidP="00A6587C">
      <w:r>
        <w:pict>
          <v:rect id="_x0000_i2276" style="width:0;height:1.5pt" o:hralign="center" o:hrstd="t" o:hr="t" fillcolor="#a0a0a0" stroked="f"/>
        </w:pict>
      </w:r>
    </w:p>
    <w:p w:rsidR="00A6587C" w:rsidRDefault="00A6587C" w:rsidP="00A6587C">
      <w:pPr>
        <w:pStyle w:val="berschrift1"/>
      </w:pPr>
      <w:r>
        <w:t>3.3.43.29 Raumzeitliche Kohärenz</w:t>
      </w:r>
    </w:p>
    <w:p w:rsidR="00A6587C" w:rsidRDefault="00A6587C" w:rsidP="00A6587C">
      <w:pPr>
        <w:pStyle w:val="StandardWeb"/>
      </w:pPr>
      <w:r>
        <w:t>Für das FRZK ist letztlich die kombinierte Abhängigkeit relevant.</w:t>
      </w:r>
    </w:p>
    <w:p w:rsidR="00A6587C" w:rsidRDefault="00A6587C" w:rsidP="00A6587C">
      <w:pPr>
        <w:pStyle w:val="StandardWeb"/>
      </w:pPr>
      <w:r>
        <w:t>Ich schreibe</w:t>
      </w:r>
    </w:p>
    <w:p w:rsidR="00A6587C" w:rsidRDefault="00A6587C" w:rsidP="00A6587C">
      <w:pPr>
        <w:pStyle w:val="berschrift1"/>
      </w:pPr>
      <w:r>
        <w:t>[</w:t>
      </w:r>
      <w:r>
        <w:br/>
        <w:t>C_F</w:t>
      </w:r>
    </w:p>
    <w:p w:rsidR="00A6587C" w:rsidRDefault="00A6587C" w:rsidP="00A6587C">
      <w:pPr>
        <w:pStyle w:val="StandardWeb"/>
      </w:pPr>
      <w:r>
        <w:t>C_F</w:t>
      </w:r>
      <w:r>
        <w:br/>
        <w:t>\left(</w:t>
      </w:r>
      <w:r>
        <w:br/>
        <w:t>x_i,t_i;</w:t>
      </w:r>
      <w:r>
        <w:br/>
        <w:t>x_j,t_j</w:t>
      </w:r>
      <w:r>
        <w:br/>
        <w:t>\right).</w:t>
      </w:r>
      <w:r>
        <w:br/>
        <w:t>\tag{3.8584}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C_F=C_F\left(x_i,t_i;x_j,t_j\right)</w:t>
      </w:r>
    </w:p>
    <w:p w:rsidR="00A6587C" w:rsidRDefault="00A6587C" w:rsidP="00A6587C">
      <w:pPr>
        <w:pStyle w:val="StandardWeb"/>
      </w:pPr>
      <w:r>
        <w:t>Damit können zwei Zustände räumlich getrennt, zeitlich getrennt oder in beiden Dimensionen verschieden sein.</w:t>
      </w:r>
    </w:p>
    <w:p w:rsidR="00A6587C" w:rsidRDefault="00E50336" w:rsidP="00A6587C">
      <w:r>
        <w:pict>
          <v:rect id="_x0000_i2277" style="width:0;height:1.5pt" o:hralign="center" o:hrstd="t" o:hr="t" fillcolor="#a0a0a0" stroked="f"/>
        </w:pict>
      </w:r>
    </w:p>
    <w:p w:rsidR="00A6587C" w:rsidRDefault="00A6587C" w:rsidP="00A6587C">
      <w:pPr>
        <w:pStyle w:val="berschrift1"/>
      </w:pPr>
      <w:r>
        <w:t>3.3.43.30 Raumzeitlicher Abstand</w:t>
      </w:r>
    </w:p>
    <w:p w:rsidR="00A6587C" w:rsidRDefault="00A6587C" w:rsidP="00A6587C">
      <w:pPr>
        <w:pStyle w:val="StandardWeb"/>
      </w:pPr>
      <w:r>
        <w:t>Sei zunächst allgemein ein Abstand</w:t>
      </w:r>
    </w:p>
    <w:p w:rsidR="00A6587C" w:rsidRDefault="00A6587C" w:rsidP="00A6587C">
      <w:pPr>
        <w:pStyle w:val="berschrift1"/>
      </w:pPr>
      <w:r>
        <w:t>[</w:t>
      </w:r>
      <w:r>
        <w:br/>
        <w:t>d_{ST}</w:t>
      </w:r>
    </w:p>
    <w:p w:rsidR="00A6587C" w:rsidRDefault="00A6587C" w:rsidP="00A6587C">
      <w:pPr>
        <w:pStyle w:val="StandardWeb"/>
      </w:pPr>
      <w:r>
        <w:t>d_{ST}</w:t>
      </w:r>
      <w:r>
        <w:br/>
        <w:t>\left(</w:t>
      </w:r>
      <w:r>
        <w:br/>
        <w:t>(x_i,t_i),</w:t>
      </w:r>
      <w:r>
        <w:br/>
        <w:t>(x_j,t_j)</w:t>
      </w:r>
      <w:r>
        <w:br/>
        <w:t>\right).</w:t>
      </w:r>
      <w:r>
        <w:br/>
        <w:t>\tag{3.8585}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d_{ST}=d_{ST}\left((x_i,t_i),(x_j,t_j)\right)</w:t>
      </w:r>
    </w:p>
    <w:p w:rsidR="00A6587C" w:rsidRDefault="00A6587C" w:rsidP="00A6587C">
      <w:pPr>
        <w:pStyle w:val="StandardWeb"/>
      </w:pPr>
      <w:r>
        <w:lastRenderedPageBreak/>
        <w:t xml:space="preserve">Ich lege an dieser Stelle bewusst </w:t>
      </w:r>
      <w:r>
        <w:rPr>
          <w:rStyle w:val="Fett"/>
        </w:rPr>
        <w:t>keine konkrete physikalische Raumzeitmetrik als Primäraxiom</w:t>
      </w:r>
      <w:r>
        <w:t xml:space="preserve"> fest.</w:t>
      </w:r>
    </w:p>
    <w:p w:rsidR="00A6587C" w:rsidRDefault="00A6587C" w:rsidP="00A6587C">
      <w:pPr>
        <w:pStyle w:val="StandardWeb"/>
      </w:pPr>
      <w:r>
        <w:t>Die Wahl von (d_{ST}) hängt vom später spezifizierten FRZK-Zustandsraum und der jeweiligen physikalischen Interpretation ab.</w:t>
      </w:r>
    </w:p>
    <w:p w:rsidR="00A6587C" w:rsidRDefault="00E50336" w:rsidP="00A6587C">
      <w:r>
        <w:pict>
          <v:rect id="_x0000_i2278" style="width:0;height:1.5pt" o:hralign="center" o:hrstd="t" o:hr="t" fillcolor="#a0a0a0" stroked="f"/>
        </w:pict>
      </w:r>
    </w:p>
    <w:p w:rsidR="00A6587C" w:rsidRDefault="00A6587C" w:rsidP="00A6587C">
      <w:pPr>
        <w:pStyle w:val="berschrift1"/>
      </w:pPr>
      <w:r>
        <w:t>3.3.43.31 Kohärenz als Funktion des Raumzeitabstands</w:t>
      </w:r>
    </w:p>
    <w:p w:rsidR="00A6587C" w:rsidRDefault="00A6587C" w:rsidP="00A6587C">
      <w:pPr>
        <w:pStyle w:val="StandardWeb"/>
      </w:pPr>
      <w:r>
        <w:t>Eine mögliche Darstellung lautet</w:t>
      </w:r>
    </w:p>
    <w:p w:rsidR="00A6587C" w:rsidRDefault="00A6587C" w:rsidP="00A6587C">
      <w:pPr>
        <w:pStyle w:val="berschrift1"/>
      </w:pPr>
      <w:r>
        <w:t>[</w:t>
      </w:r>
      <w:r>
        <w:br/>
        <w:t>C_F</w:t>
      </w:r>
    </w:p>
    <w:p w:rsidR="00A6587C" w:rsidRDefault="00A6587C" w:rsidP="00A6587C">
      <w:pPr>
        <w:pStyle w:val="StandardWeb"/>
      </w:pPr>
      <w:r>
        <w:t>C_F(d_{ST}).</w:t>
      </w:r>
      <w:r>
        <w:br/>
        <w:t>\tag{3.8586}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C_F=C_F(d_{ST})</w:t>
      </w:r>
    </w:p>
    <w:p w:rsidR="00A6587C" w:rsidRDefault="00A6587C" w:rsidP="00A6587C">
      <w:pPr>
        <w:pStyle w:val="StandardWeb"/>
      </w:pPr>
      <w:r>
        <w:t>Dabei muss nicht zwingend eine monotone Abnahme gelten.</w:t>
      </w:r>
    </w:p>
    <w:p w:rsidR="00A6587C" w:rsidRDefault="00A6587C" w:rsidP="00A6587C">
      <w:pPr>
        <w:pStyle w:val="StandardWeb"/>
      </w:pPr>
      <w:r>
        <w:t>Die häufig intuitive Beziehung</w:t>
      </w:r>
    </w:p>
    <w:p w:rsidR="00A6587C" w:rsidRDefault="00A6587C" w:rsidP="00A6587C">
      <w:pPr>
        <w:pStyle w:val="StandardWeb"/>
      </w:pPr>
      <w:r>
        <w:t>[</w:t>
      </w:r>
      <w:r>
        <w:br/>
        <w:t>\frac{dC_F}{dd_{ST}}</w:t>
      </w:r>
      <w:r>
        <w:br/>
        <w:t>\leq</w:t>
      </w:r>
      <w:r>
        <w:br/>
        <w:t>0</w:t>
      </w:r>
      <w:r>
        <w:br/>
        <w:t>\tag{3.8587}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\frac{dC_F}{dd_{ST}}\leq0</w:t>
      </w:r>
    </w:p>
    <w:p w:rsidR="00A6587C" w:rsidRDefault="00A6587C" w:rsidP="00A6587C">
      <w:pPr>
        <w:pStyle w:val="StandardWeb"/>
      </w:pPr>
      <w:r>
        <w:t xml:space="preserve">wird deshalb </w:t>
      </w:r>
      <w:r>
        <w:rPr>
          <w:rStyle w:val="Fett"/>
        </w:rPr>
        <w:t>nicht</w:t>
      </w:r>
      <w:r>
        <w:t xml:space="preserve"> als allgemeines Primäraxiom eingeführt.</w:t>
      </w:r>
    </w:p>
    <w:p w:rsidR="00A6587C" w:rsidRDefault="00E50336" w:rsidP="00A6587C">
      <w:r>
        <w:pict>
          <v:rect id="_x0000_i2279" style="width:0;height:1.5pt" o:hralign="center" o:hrstd="t" o:hr="t" fillcolor="#a0a0a0" stroked="f"/>
        </w:pict>
      </w:r>
    </w:p>
    <w:p w:rsidR="00A6587C" w:rsidRDefault="00A6587C" w:rsidP="00A6587C">
      <w:pPr>
        <w:pStyle w:val="berschrift1"/>
      </w:pPr>
      <w:r>
        <w:t>3.3.43.32 Kohärenz ohne räumliche Nähe</w:t>
      </w:r>
    </w:p>
    <w:p w:rsidR="00A6587C" w:rsidRDefault="00A6587C" w:rsidP="00A6587C">
      <w:pPr>
        <w:pStyle w:val="StandardWeb"/>
      </w:pPr>
      <w:r>
        <w:t>Eine funktionale Kopplung kann prinzipiell auch zwischen räumlich entfernten Zuständen bestehen, sofern ein definierter Vermittlungs- oder Abhängigkeitspfad vorhanden ist.</w:t>
      </w:r>
    </w:p>
    <w:p w:rsidR="00A6587C" w:rsidRDefault="00A6587C" w:rsidP="00A6587C">
      <w:pPr>
        <w:pStyle w:val="StandardWeb"/>
      </w:pPr>
      <w:r>
        <w:t>Damit gilt</w:t>
      </w:r>
    </w:p>
    <w:p w:rsidR="00A6587C" w:rsidRDefault="00A6587C" w:rsidP="00A6587C">
      <w:pPr>
        <w:pStyle w:val="StandardWeb"/>
      </w:pPr>
      <w:r>
        <w:lastRenderedPageBreak/>
        <w:t>[</w:t>
      </w:r>
      <w:r>
        <w:br/>
        <w:t>d_x</w:t>
      </w:r>
      <w:r>
        <w:br/>
        <w:t>\text{ groß}</w:t>
      </w:r>
      <w:r>
        <w:br/>
        <w:t>\nRightarrow</w:t>
      </w:r>
      <w:r>
        <w:br/>
        <w:t>C_F=0.</w:t>
      </w:r>
      <w:r>
        <w:br/>
        <w:t>\tag{3.8588}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d_x\text{ groß}\nRightarrow C_F=0</w:t>
      </w:r>
    </w:p>
    <w:p w:rsidR="00A6587C" w:rsidRDefault="00A6587C" w:rsidP="00A6587C">
      <w:pPr>
        <w:pStyle w:val="StandardWeb"/>
      </w:pPr>
      <w:r>
        <w:t>Aus räumlicher Entfernung allein darf daher keine funktionale Unabhängigkeit gefolgert werden.</w:t>
      </w:r>
    </w:p>
    <w:p w:rsidR="00A6587C" w:rsidRDefault="00E50336" w:rsidP="00A6587C">
      <w:r>
        <w:pict>
          <v:rect id="_x0000_i2280" style="width:0;height:1.5pt" o:hralign="center" o:hrstd="t" o:hr="t" fillcolor="#a0a0a0" stroked="f"/>
        </w:pict>
      </w:r>
    </w:p>
    <w:p w:rsidR="00A6587C" w:rsidRDefault="00A6587C" w:rsidP="00A6587C">
      <w:pPr>
        <w:pStyle w:val="berschrift1"/>
      </w:pPr>
      <w:r>
        <w:t>3.3.43.33 Kohärenz ohne zeitliche Gleichzeitigkeit</w:t>
      </w:r>
    </w:p>
    <w:p w:rsidR="00A6587C" w:rsidRDefault="00A6587C" w:rsidP="00A6587C">
      <w:pPr>
        <w:pStyle w:val="StandardWeb"/>
      </w:pPr>
      <w:r>
        <w:t>Ebenso können zeitlich getrennte Zustände funktional verbunden sein.</w:t>
      </w:r>
    </w:p>
    <w:p w:rsidR="00A6587C" w:rsidRDefault="00A6587C" w:rsidP="00A6587C">
      <w:pPr>
        <w:pStyle w:val="StandardWeb"/>
      </w:pPr>
      <w:r>
        <w:t>Es kann gelten</w:t>
      </w:r>
    </w:p>
    <w:p w:rsidR="00A6587C" w:rsidRDefault="00A6587C" w:rsidP="00A6587C">
      <w:pPr>
        <w:pStyle w:val="StandardWeb"/>
      </w:pPr>
      <w:r>
        <w:t>[</w:t>
      </w:r>
      <w:r>
        <w:br/>
        <w:t>t_j&gt;t_i</w:t>
      </w:r>
      <w:r>
        <w:br/>
        <w:t>\tag{3.8589}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t_j&gt;t_i</w:t>
      </w:r>
    </w:p>
    <w:p w:rsidR="00A6587C" w:rsidRDefault="00A6587C" w:rsidP="00A6587C">
      <w:pPr>
        <w:pStyle w:val="StandardWeb"/>
      </w:pPr>
      <w:r>
        <w:t>und dennoch</w:t>
      </w:r>
    </w:p>
    <w:p w:rsidR="00A6587C" w:rsidRDefault="00A6587C" w:rsidP="00A6587C">
      <w:pPr>
        <w:pStyle w:val="StandardWeb"/>
      </w:pPr>
      <w:r>
        <w:t>[</w:t>
      </w:r>
      <w:r>
        <w:br/>
        <w:t>C_F</w:t>
      </w:r>
      <w:r>
        <w:br/>
        <w:t>\left(</w:t>
      </w:r>
      <w:r>
        <w:br/>
        <w:t>X(t_i),</w:t>
      </w:r>
      <w:r>
        <w:br/>
        <w:t>X(t_j)</w:t>
      </w:r>
      <w:r>
        <w:br/>
        <w:t>\right)&gt;0.</w:t>
      </w:r>
      <w:r>
        <w:br/>
        <w:t>\tag{3.8590}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C_F\left(X(t_i),X(t_j)\right)&gt;0</w:t>
      </w:r>
    </w:p>
    <w:p w:rsidR="00A6587C" w:rsidRDefault="00A6587C" w:rsidP="00A6587C">
      <w:pPr>
        <w:pStyle w:val="StandardWeb"/>
      </w:pPr>
      <w:r>
        <w:t>Diese zeitlich gerichtete Kohärenz ist insbesondere für Zustandsübergänge, Gedächtniseffekte und dynamische Entwicklungspfade relevant.</w:t>
      </w:r>
    </w:p>
    <w:p w:rsidR="00A6587C" w:rsidRDefault="00E50336" w:rsidP="00A6587C">
      <w:r>
        <w:pict>
          <v:rect id="_x0000_i2281" style="width:0;height:1.5pt" o:hralign="center" o:hrstd="t" o:hr="t" fillcolor="#a0a0a0" stroked="f"/>
        </w:pict>
      </w:r>
    </w:p>
    <w:p w:rsidR="00A6587C" w:rsidRDefault="00A6587C" w:rsidP="00A6587C">
      <w:pPr>
        <w:pStyle w:val="berschrift1"/>
      </w:pPr>
      <w:r>
        <w:lastRenderedPageBreak/>
        <w:t>3.3.43.34 Gerichtete Kohärenz</w:t>
      </w:r>
    </w:p>
    <w:p w:rsidR="00A6587C" w:rsidRDefault="00A6587C" w:rsidP="00A6587C">
      <w:pPr>
        <w:pStyle w:val="StandardWeb"/>
      </w:pPr>
      <w:r>
        <w:t>Ich unterscheide daher symmetrische und gerichtete Kohärenz.</w:t>
      </w:r>
    </w:p>
    <w:p w:rsidR="00A6587C" w:rsidRDefault="00A6587C" w:rsidP="00A6587C">
      <w:pPr>
        <w:pStyle w:val="StandardWeb"/>
      </w:pPr>
      <w:r>
        <w:t>Eine gerichtete Kohärenz schreibe ich als</w:t>
      </w:r>
    </w:p>
    <w:p w:rsidR="00A6587C" w:rsidRDefault="00A6587C" w:rsidP="00A6587C">
      <w:pPr>
        <w:pStyle w:val="StandardWeb"/>
      </w:pPr>
      <w:r>
        <w:t>[</w:t>
      </w:r>
      <w:r>
        <w:br/>
        <w:t>C_{i\rightarrow j}.</w:t>
      </w:r>
      <w:r>
        <w:br/>
        <w:t>\tag{3.8591}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C_{i\rightarrow j}</w:t>
      </w:r>
    </w:p>
    <w:p w:rsidR="00A6587C" w:rsidRDefault="00A6587C" w:rsidP="00A6587C">
      <w:pPr>
        <w:pStyle w:val="StandardWeb"/>
      </w:pPr>
      <w:r>
        <w:t>Im Allgemeinen kann gelten</w:t>
      </w:r>
    </w:p>
    <w:p w:rsidR="00A6587C" w:rsidRDefault="00A6587C" w:rsidP="00A6587C">
      <w:pPr>
        <w:pStyle w:val="StandardWeb"/>
      </w:pPr>
      <w:r>
        <w:t>[</w:t>
      </w:r>
      <w:r>
        <w:br/>
        <w:t>C_{i\rightarrow j}</w:t>
      </w:r>
      <w:r>
        <w:br/>
        <w:t>\neq</w:t>
      </w:r>
      <w:r>
        <w:br/>
        <w:t>C_{j\rightarrow i}.</w:t>
      </w:r>
      <w:r>
        <w:br/>
        <w:t>\tag{3.8592}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C_{i\rightarrow j}\neq C_{j\rightarrow i}</w:t>
      </w:r>
    </w:p>
    <w:p w:rsidR="00A6587C" w:rsidRDefault="00A6587C" w:rsidP="00A6587C">
      <w:pPr>
        <w:pStyle w:val="StandardWeb"/>
      </w:pPr>
      <w:r>
        <w:t>Damit ist Kohärenz im Gegensatz zur zuvor definierten elementaren Konsistenzrelation nicht grundsätzlich symmetrisch.</w:t>
      </w:r>
    </w:p>
    <w:p w:rsidR="00A6587C" w:rsidRDefault="00E50336" w:rsidP="00A6587C">
      <w:r>
        <w:pict>
          <v:rect id="_x0000_i2282" style="width:0;height:1.5pt" o:hralign="center" o:hrstd="t" o:hr="t" fillcolor="#a0a0a0" stroked="f"/>
        </w:pict>
      </w:r>
    </w:p>
    <w:p w:rsidR="00A6587C" w:rsidRDefault="00A6587C" w:rsidP="00A6587C">
      <w:pPr>
        <w:pStyle w:val="berschrift1"/>
      </w:pPr>
      <w:r>
        <w:t>3.3.43.35 Definition 3.3.55 – Gerichtete funktionale Kohärenz</w:t>
      </w:r>
    </w:p>
    <w:p w:rsidR="00A6587C" w:rsidRDefault="00A6587C" w:rsidP="00A6587C">
      <w:pPr>
        <w:pStyle w:val="berschrift3"/>
      </w:pPr>
      <w:r>
        <w:t>Definition 3.3.55</w:t>
      </w:r>
    </w:p>
    <w:p w:rsidR="00A6587C" w:rsidRDefault="00A6587C" w:rsidP="00A6587C">
      <w:pPr>
        <w:pStyle w:val="StandardWeb"/>
      </w:pPr>
      <w:r>
        <w:t>Eine funktionale Beziehung besitzt gerichtete Kohärenz von (X_i) nach (X_j), wenn Änderungen oder Zustände von (X_i) innerhalb einer explizit definierten funktionalen Beziehung für den Zustand oder die Entwicklung von (X_j) relevant sind.</w:t>
      </w:r>
    </w:p>
    <w:p w:rsidR="00A6587C" w:rsidRDefault="00A6587C" w:rsidP="00A6587C">
      <w:pPr>
        <w:pStyle w:val="StandardWeb"/>
      </w:pPr>
      <w:r>
        <w:t>Ich schreibe</w:t>
      </w:r>
    </w:p>
    <w:p w:rsidR="00A6587C" w:rsidRDefault="00A6587C" w:rsidP="00A6587C">
      <w:pPr>
        <w:pStyle w:val="berschrift1"/>
      </w:pPr>
      <w:r>
        <w:t>[</w:t>
      </w:r>
      <w:r>
        <w:br/>
        <w:t>C_F^{\rightarrow}</w:t>
      </w:r>
      <w:r>
        <w:br/>
        <w:t>(X_i,X_j)</w:t>
      </w:r>
    </w:p>
    <w:p w:rsidR="00A6587C" w:rsidRDefault="00A6587C" w:rsidP="00A6587C">
      <w:pPr>
        <w:pStyle w:val="StandardWeb"/>
      </w:pPr>
      <w:r>
        <w:lastRenderedPageBreak/>
        <w:t>C_{i\rightarrow j}.</w:t>
      </w:r>
      <w:r>
        <w:br/>
        <w:t>\tag{3.8593}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C_F^{\rightarrow}(X_i,X_j)=C_{i\rightarrow j}</w:t>
      </w:r>
    </w:p>
    <w:p w:rsidR="00A6587C" w:rsidRDefault="00E50336" w:rsidP="00A6587C">
      <w:r>
        <w:pict>
          <v:rect id="_x0000_i2283" style="width:0;height:1.5pt" o:hralign="center" o:hrstd="t" o:hr="t" fillcolor="#a0a0a0" stroked="f"/>
        </w:pict>
      </w:r>
    </w:p>
    <w:p w:rsidR="00A6587C" w:rsidRDefault="00A6587C" w:rsidP="00A6587C">
      <w:pPr>
        <w:pStyle w:val="berschrift1"/>
      </w:pPr>
      <w:r>
        <w:t>3.3.43.36 Bidirektionale Kohärenz</w:t>
      </w:r>
    </w:p>
    <w:p w:rsidR="00A6587C" w:rsidRDefault="00A6587C" w:rsidP="00A6587C">
      <w:pPr>
        <w:pStyle w:val="StandardWeb"/>
      </w:pPr>
      <w:r>
        <w:t>Eine bidirektionale Beziehung liegt vor, wenn</w:t>
      </w:r>
    </w:p>
    <w:p w:rsidR="00A6587C" w:rsidRDefault="00A6587C" w:rsidP="00A6587C">
      <w:pPr>
        <w:pStyle w:val="StandardWeb"/>
      </w:pPr>
      <w:r>
        <w:t>[</w:t>
      </w:r>
      <w:r>
        <w:br/>
        <w:t>C_{i\rightarrow j}&gt;0</w:t>
      </w:r>
      <w:r>
        <w:br/>
        <w:t>\tag{3.8594}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C_{i\rightarrow j}&gt;0</w:t>
      </w:r>
    </w:p>
    <w:p w:rsidR="00A6587C" w:rsidRDefault="00A6587C" w:rsidP="00A6587C">
      <w:pPr>
        <w:pStyle w:val="StandardWeb"/>
      </w:pPr>
      <w:r>
        <w:t>und</w:t>
      </w:r>
    </w:p>
    <w:p w:rsidR="00A6587C" w:rsidRDefault="00A6587C" w:rsidP="00A6587C">
      <w:pPr>
        <w:pStyle w:val="StandardWeb"/>
      </w:pPr>
      <w:r>
        <w:t>[</w:t>
      </w:r>
      <w:r>
        <w:br/>
        <w:t>C_{j\rightarrow i}&gt;0.</w:t>
      </w:r>
      <w:r>
        <w:br/>
        <w:t>\tag{3.8595}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C_{j\rightarrow i}&gt;0</w:t>
      </w:r>
    </w:p>
    <w:p w:rsidR="00A6587C" w:rsidRDefault="00A6587C" w:rsidP="00A6587C">
      <w:pPr>
        <w:pStyle w:val="StandardWeb"/>
      </w:pPr>
      <w:r>
        <w:t>Ich bezeichne den bidirektionalen Kohärenzgrad beispielsweise durch</w:t>
      </w:r>
    </w:p>
    <w:p w:rsidR="00A6587C" w:rsidRDefault="00A6587C" w:rsidP="00A6587C">
      <w:pPr>
        <w:pStyle w:val="berschrift1"/>
      </w:pPr>
      <w:r>
        <w:t>[</w:t>
      </w:r>
      <w:r>
        <w:br/>
        <w:t>C_{ij}^{\leftrightarrow}</w:t>
      </w:r>
    </w:p>
    <w:p w:rsidR="00A6587C" w:rsidRDefault="00A6587C" w:rsidP="00A6587C">
      <w:pPr>
        <w:pStyle w:val="StandardWeb"/>
      </w:pPr>
      <w:r>
        <w:t>g</w:t>
      </w:r>
      <w:r>
        <w:br/>
        <w:t>\left(</w:t>
      </w:r>
      <w:r>
        <w:br/>
        <w:t>C_{i\rightarrow j},</w:t>
      </w:r>
      <w:r>
        <w:br/>
        <w:t>C_{j\rightarrow i}</w:t>
      </w:r>
      <w:r>
        <w:br/>
        <w:t>\right).</w:t>
      </w:r>
      <w:r>
        <w:br/>
        <w:t>\tag{3.8596}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C_{ij}^{\leftrightarrow}=g\left(C_{i\rightarrow j},C_{j\rightarrow i}\right)</w:t>
      </w:r>
    </w:p>
    <w:p w:rsidR="00A6587C" w:rsidRDefault="00A6587C" w:rsidP="00A6587C">
      <w:pPr>
        <w:pStyle w:val="StandardWeb"/>
      </w:pPr>
      <w:r>
        <w:lastRenderedPageBreak/>
        <w:t>Die konkrete Aggregationsfunktion (g) wird nicht universell festgelegt.</w:t>
      </w:r>
    </w:p>
    <w:p w:rsidR="00A6587C" w:rsidRDefault="00E50336" w:rsidP="00A6587C">
      <w:r>
        <w:pict>
          <v:rect id="_x0000_i2284" style="width:0;height:1.5pt" o:hralign="center" o:hrstd="t" o:hr="t" fillcolor="#a0a0a0" stroked="f"/>
        </w:pict>
      </w:r>
    </w:p>
    <w:p w:rsidR="00A6587C" w:rsidRDefault="00A6587C" w:rsidP="00A6587C">
      <w:pPr>
        <w:pStyle w:val="berschrift1"/>
      </w:pPr>
      <w:r>
        <w:t>3.3.43.37 Nichtkompensatorische bidirektionale Kohärenz</w:t>
      </w:r>
    </w:p>
    <w:p w:rsidR="00A6587C" w:rsidRDefault="00A6587C" w:rsidP="00A6587C">
      <w:pPr>
        <w:pStyle w:val="StandardWeb"/>
      </w:pPr>
      <w:r>
        <w:t>Eine konservative Wahl ist</w:t>
      </w:r>
    </w:p>
    <w:p w:rsidR="00A6587C" w:rsidRDefault="00A6587C" w:rsidP="00A6587C">
      <w:pPr>
        <w:pStyle w:val="berschrift1"/>
      </w:pPr>
      <w:r>
        <w:t>[</w:t>
      </w:r>
      <w:r>
        <w:br/>
        <w:t>C_{ij}^{\leftrightarrow}</w:t>
      </w:r>
    </w:p>
    <w:p w:rsidR="00A6587C" w:rsidRDefault="00A6587C" w:rsidP="00A6587C">
      <w:pPr>
        <w:pStyle w:val="StandardWeb"/>
      </w:pPr>
      <w:r>
        <w:t>\min</w:t>
      </w:r>
      <w:r>
        <w:br/>
        <w:t>\left(</w:t>
      </w:r>
      <w:r>
        <w:br/>
        <w:t>C_{i\rightarrow j},</w:t>
      </w:r>
      <w:r>
        <w:br/>
        <w:t>C_{j\rightarrow i}</w:t>
      </w:r>
      <w:r>
        <w:br/>
        <w:t>\right).</w:t>
      </w:r>
      <w:r>
        <w:br/>
        <w:t>\tag{3.8597}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C_{ij}^{\leftrightarrow}=\min\left(C_{i\rightarrow j},C_{j\rightarrow i}\right)</w:t>
      </w:r>
    </w:p>
    <w:p w:rsidR="00A6587C" w:rsidRDefault="00A6587C" w:rsidP="00A6587C">
      <w:pPr>
        <w:pStyle w:val="StandardWeb"/>
      </w:pPr>
      <w:r>
        <w:t>Damit kann eine starke Richtung eine nahezu fehlende Gegenrichtung nicht kompensieren.</w:t>
      </w:r>
    </w:p>
    <w:p w:rsidR="00A6587C" w:rsidRDefault="00E50336" w:rsidP="00A6587C">
      <w:r>
        <w:pict>
          <v:rect id="_x0000_i2285" style="width:0;height:1.5pt" o:hralign="center" o:hrstd="t" o:hr="t" fillcolor="#a0a0a0" stroked="f"/>
        </w:pict>
      </w:r>
    </w:p>
    <w:p w:rsidR="00A6587C" w:rsidRDefault="00A6587C" w:rsidP="00A6587C">
      <w:pPr>
        <w:pStyle w:val="berschrift1"/>
      </w:pPr>
      <w:r>
        <w:t>3.3.43.38 Kohärenzasymmetrie</w:t>
      </w:r>
    </w:p>
    <w:p w:rsidR="00A6587C" w:rsidRDefault="00A6587C" w:rsidP="00A6587C">
      <w:pPr>
        <w:pStyle w:val="StandardWeb"/>
      </w:pPr>
      <w:r>
        <w:t>Ich definiere eine Asymmetrie</w:t>
      </w:r>
    </w:p>
    <w:p w:rsidR="00A6587C" w:rsidRDefault="00A6587C" w:rsidP="00A6587C">
      <w:pPr>
        <w:pStyle w:val="berschrift1"/>
      </w:pPr>
      <w:r>
        <w:t>[</w:t>
      </w:r>
      <w:r>
        <w:br/>
        <w:t>A_C(i,j)</w:t>
      </w:r>
    </w:p>
    <w:p w:rsidR="00A6587C" w:rsidRDefault="00A6587C" w:rsidP="00A6587C">
      <w:pPr>
        <w:pStyle w:val="berschrift2"/>
      </w:pPr>
      <w:r>
        <w:t>\left|</w:t>
      </w:r>
      <w:r>
        <w:br/>
        <w:t>C_{i\rightarrow j}</w:t>
      </w:r>
    </w:p>
    <w:p w:rsidR="00A6587C" w:rsidRDefault="00A6587C" w:rsidP="00A6587C">
      <w:pPr>
        <w:pStyle w:val="StandardWeb"/>
      </w:pPr>
      <w:r>
        <w:t>C_{j\rightarrow i}</w:t>
      </w:r>
      <w:r>
        <w:br/>
        <w:t>\right|.</w:t>
      </w:r>
      <w:r>
        <w:br/>
        <w:t>\tag{3.8598}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A_C(i,j)=\left|C_{i\rightarrow j}-C_{j\rightarrow i}\right|</w:t>
      </w:r>
    </w:p>
    <w:p w:rsidR="00A6587C" w:rsidRDefault="00A6587C" w:rsidP="00A6587C">
      <w:pPr>
        <w:pStyle w:val="StandardWeb"/>
      </w:pPr>
      <w:r>
        <w:lastRenderedPageBreak/>
        <w:t>Es gilt</w:t>
      </w:r>
    </w:p>
    <w:p w:rsidR="00A6587C" w:rsidRDefault="00A6587C" w:rsidP="00A6587C">
      <w:pPr>
        <w:pStyle w:val="StandardWeb"/>
      </w:pPr>
      <w:r>
        <w:t>[</w:t>
      </w:r>
      <w:r>
        <w:br/>
        <w:t>0</w:t>
      </w:r>
      <w:r>
        <w:br/>
        <w:t>\leq</w:t>
      </w:r>
      <w:r>
        <w:br/>
        <w:t>A_C(i,j)</w:t>
      </w:r>
      <w:r>
        <w:br/>
        <w:t>\leq</w:t>
      </w:r>
      <w:r>
        <w:br/>
        <w:t>1</w:t>
      </w:r>
      <w:r>
        <w:br/>
        <w:t>\tag{3.8599}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0\leq A_C(i,j)\leq1</w:t>
      </w:r>
    </w:p>
    <w:p w:rsidR="00A6587C" w:rsidRDefault="00A6587C" w:rsidP="00A6587C">
      <w:pPr>
        <w:pStyle w:val="StandardWeb"/>
      </w:pPr>
      <w:r>
        <w:t>bei normierten Richtungsgraden.</w:t>
      </w:r>
    </w:p>
    <w:p w:rsidR="00A6587C" w:rsidRDefault="00E50336" w:rsidP="00A6587C">
      <w:r>
        <w:pict>
          <v:rect id="_x0000_i2286" style="width:0;height:1.5pt" o:hralign="center" o:hrstd="t" o:hr="t" fillcolor="#a0a0a0" stroked="f"/>
        </w:pict>
      </w:r>
    </w:p>
    <w:p w:rsidR="00A6587C" w:rsidRDefault="00A6587C" w:rsidP="00A6587C">
      <w:pPr>
        <w:pStyle w:val="berschrift1"/>
      </w:pPr>
      <w:r>
        <w:t>3.3.43.39 Kohärenzmatrix</w:t>
      </w:r>
    </w:p>
    <w:p w:rsidR="00A6587C" w:rsidRDefault="00A6587C" w:rsidP="00A6587C">
      <w:pPr>
        <w:pStyle w:val="StandardWeb"/>
      </w:pPr>
      <w:r>
        <w:t>Für (n) funktionale Größen definiere ich</w:t>
      </w:r>
    </w:p>
    <w:p w:rsidR="00A6587C" w:rsidRDefault="00A6587C" w:rsidP="00A6587C">
      <w:pPr>
        <w:pStyle w:val="berschrift1"/>
      </w:pPr>
      <w:r>
        <w:t>[</w:t>
      </w:r>
      <w:r>
        <w:br/>
        <w:t>\mathbf C</w:t>
      </w:r>
    </w:p>
    <w:p w:rsidR="00A6587C" w:rsidRDefault="00A6587C" w:rsidP="00A6587C">
      <w:pPr>
        <w:pStyle w:val="StandardWeb"/>
      </w:pPr>
      <w:r>
        <w:t>\left[</w:t>
      </w:r>
      <w:r>
        <w:br/>
        <w:t>C_{ij}</w:t>
      </w:r>
      <w:r>
        <w:br/>
        <w:t>\right]_{n\times n}.</w:t>
      </w:r>
      <w:r>
        <w:br/>
        <w:t>\tag{3.8600}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\mathbf C=\left[C_{ij}\right]_{n\times n}</w:t>
      </w:r>
    </w:p>
    <w:p w:rsidR="00A6587C" w:rsidRDefault="00A6587C" w:rsidP="00A6587C">
      <w:pPr>
        <w:pStyle w:val="StandardWeb"/>
      </w:pPr>
      <w:r>
        <w:t>Bei gerichteter Kohärenz muss diese Matrix nicht symmetrisch sein:</w:t>
      </w:r>
    </w:p>
    <w:p w:rsidR="00A6587C" w:rsidRDefault="00A6587C" w:rsidP="00A6587C">
      <w:pPr>
        <w:pStyle w:val="StandardWeb"/>
      </w:pPr>
      <w:r>
        <w:t>[</w:t>
      </w:r>
      <w:r>
        <w:br/>
        <w:t>\mathbf C</w:t>
      </w:r>
      <w:r>
        <w:br/>
        <w:t>\neq</w:t>
      </w:r>
      <w:r>
        <w:br/>
        <w:t>\mathbf C^{T}.</w:t>
      </w:r>
      <w:r>
        <w:br/>
        <w:t>\tag{3.8601}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\mathbf C\neq\mathbf C^{T}</w:t>
      </w:r>
    </w:p>
    <w:p w:rsidR="00A6587C" w:rsidRDefault="00E50336" w:rsidP="00A6587C">
      <w:r>
        <w:pict>
          <v:rect id="_x0000_i2287" style="width:0;height:1.5pt" o:hralign="center" o:hrstd="t" o:hr="t" fillcolor="#a0a0a0" stroked="f"/>
        </w:pict>
      </w:r>
    </w:p>
    <w:p w:rsidR="00A6587C" w:rsidRDefault="00A6587C" w:rsidP="00A6587C">
      <w:pPr>
        <w:pStyle w:val="berschrift1"/>
      </w:pPr>
      <w:r>
        <w:lastRenderedPageBreak/>
        <w:t>3.3.43.40 Diagonale der Kohärenzmatrix</w:t>
      </w:r>
    </w:p>
    <w:p w:rsidR="00A6587C" w:rsidRDefault="00A6587C" w:rsidP="00A6587C">
      <w:pPr>
        <w:pStyle w:val="StandardWeb"/>
      </w:pPr>
      <w:r>
        <w:t>Für die Diagonale muss zwischen Selbstidentität und funktionaler Selbstkopplung unterschieden werden.</w:t>
      </w:r>
    </w:p>
    <w:p w:rsidR="00A6587C" w:rsidRDefault="00A6587C" w:rsidP="00A6587C">
      <w:pPr>
        <w:pStyle w:val="StandardWeb"/>
      </w:pPr>
      <w:r>
        <w:t>Ich setze nicht automatisch</w:t>
      </w:r>
    </w:p>
    <w:p w:rsidR="00A6587C" w:rsidRDefault="00A6587C" w:rsidP="00A6587C">
      <w:pPr>
        <w:pStyle w:val="StandardWeb"/>
      </w:pPr>
      <w:r>
        <w:t>[</w:t>
      </w:r>
      <w:r>
        <w:br/>
        <w:t>C_{ii}=1</w:t>
      </w:r>
      <w:r>
        <w:br/>
        <w:t>\tag{3.8602}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C_{ii}=1</w:t>
      </w:r>
    </w:p>
    <w:p w:rsidR="00A6587C" w:rsidRDefault="00A6587C" w:rsidP="00A6587C">
      <w:pPr>
        <w:pStyle w:val="StandardWeb"/>
      </w:pPr>
      <w:r>
        <w:t>als physikalische Aussage.</w:t>
      </w:r>
    </w:p>
    <w:p w:rsidR="00A6587C" w:rsidRDefault="00A6587C" w:rsidP="00A6587C">
      <w:pPr>
        <w:pStyle w:val="StandardWeb"/>
      </w:pPr>
      <w:r>
        <w:t>Für rein mathematische normierte Darstellungen kann jedoch eine Konvention</w:t>
      </w:r>
    </w:p>
    <w:p w:rsidR="00A6587C" w:rsidRDefault="00A6587C" w:rsidP="00A6587C">
      <w:pPr>
        <w:pStyle w:val="StandardWeb"/>
      </w:pPr>
      <w:r>
        <w:t>[</w:t>
      </w:r>
      <w:r>
        <w:br/>
        <w:t>C_{ii}^{\mathrm{norm}}=1</w:t>
      </w:r>
      <w:r>
        <w:br/>
        <w:t>\tag{3.8603}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C_{ii}^{\mathrm{norm}}=1</w:t>
      </w:r>
    </w:p>
    <w:p w:rsidR="00A6587C" w:rsidRDefault="00A6587C" w:rsidP="00A6587C">
      <w:pPr>
        <w:pStyle w:val="StandardWeb"/>
      </w:pPr>
      <w:r>
        <w:t>verwendet werden.</w:t>
      </w:r>
    </w:p>
    <w:p w:rsidR="00A6587C" w:rsidRDefault="00A6587C" w:rsidP="00A6587C">
      <w:pPr>
        <w:pStyle w:val="StandardWeb"/>
      </w:pPr>
      <w:r>
        <w:t>Diese Konvention darf nicht mit empirisch gemessener Selbstkohärenz verwechselt werden.</w:t>
      </w:r>
    </w:p>
    <w:p w:rsidR="00A6587C" w:rsidRDefault="00E50336" w:rsidP="00A6587C">
      <w:r>
        <w:pict>
          <v:rect id="_x0000_i2288" style="width:0;height:1.5pt" o:hralign="center" o:hrstd="t" o:hr="t" fillcolor="#a0a0a0" stroked="f"/>
        </w:pict>
      </w:r>
    </w:p>
    <w:p w:rsidR="00A6587C" w:rsidRDefault="00A6587C" w:rsidP="00A6587C">
      <w:pPr>
        <w:pStyle w:val="berschrift1"/>
      </w:pPr>
      <w:r>
        <w:t>3.3.43.41 Kohärenzgraph</w:t>
      </w:r>
    </w:p>
    <w:p w:rsidR="00A6587C" w:rsidRDefault="00A6587C" w:rsidP="00A6587C">
      <w:pPr>
        <w:pStyle w:val="StandardWeb"/>
      </w:pPr>
      <w:r>
        <w:t>Aus der Kohärenzmatrix entsteht ein Graph</w:t>
      </w:r>
    </w:p>
    <w:p w:rsidR="00A6587C" w:rsidRDefault="00A6587C" w:rsidP="00A6587C">
      <w:pPr>
        <w:pStyle w:val="berschrift1"/>
      </w:pPr>
      <w:r>
        <w:t>[</w:t>
      </w:r>
      <w:r>
        <w:br/>
        <w:t>\mathcal G_C</w:t>
      </w:r>
    </w:p>
    <w:p w:rsidR="00A6587C" w:rsidRDefault="00A6587C" w:rsidP="00A6587C">
      <w:pPr>
        <w:pStyle w:val="StandardWeb"/>
      </w:pPr>
      <w:r>
        <w:t>(V_C,E_C).</w:t>
      </w:r>
      <w:r>
        <w:br/>
        <w:t>\tag{3.8604}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\mathcal G_C=(V_C,E_C)</w:t>
      </w:r>
    </w:p>
    <w:p w:rsidR="00A6587C" w:rsidRDefault="00A6587C" w:rsidP="00A6587C">
      <w:pPr>
        <w:pStyle w:val="StandardWeb"/>
      </w:pPr>
      <w:r>
        <w:lastRenderedPageBreak/>
        <w:t>Dabei repräsentieren die Knoten funktionale Zustandsgrößen oder Aussagen und die Kanten nachgewiesene Kohärenzbeziehungen.</w:t>
      </w:r>
    </w:p>
    <w:p w:rsidR="00A6587C" w:rsidRDefault="00A6587C" w:rsidP="00A6587C">
      <w:pPr>
        <w:pStyle w:val="StandardWeb"/>
      </w:pPr>
      <w:r>
        <w:t>Für gerichtete Kohärenz wird</w:t>
      </w:r>
    </w:p>
    <w:p w:rsidR="00A6587C" w:rsidRDefault="00A6587C" w:rsidP="00A6587C">
      <w:pPr>
        <w:pStyle w:val="berschrift1"/>
      </w:pPr>
      <w:r>
        <w:t>[</w:t>
      </w:r>
      <w:r>
        <w:br/>
        <w:t>\mathcal G_C^{\rightarrow}</w:t>
      </w:r>
    </w:p>
    <w:p w:rsidR="00A6587C" w:rsidRDefault="00A6587C" w:rsidP="00A6587C">
      <w:pPr>
        <w:pStyle w:val="StandardWeb"/>
      </w:pPr>
      <w:r>
        <w:t>(V_C,E_C^{\rightarrow})</w:t>
      </w:r>
      <w:r>
        <w:br/>
        <w:t>\tag{3.8605}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\mathcal G_C^{\rightarrow}=(V_C,E_C^{\rightarrow})</w:t>
      </w:r>
    </w:p>
    <w:p w:rsidR="00A6587C" w:rsidRDefault="00A6587C" w:rsidP="00A6587C">
      <w:pPr>
        <w:pStyle w:val="StandardWeb"/>
      </w:pPr>
      <w:r>
        <w:t>verwendet.</w:t>
      </w:r>
    </w:p>
    <w:p w:rsidR="00A6587C" w:rsidRDefault="00E50336" w:rsidP="00A6587C">
      <w:r>
        <w:pict>
          <v:rect id="_x0000_i2289" style="width:0;height:1.5pt" o:hralign="center" o:hrstd="t" o:hr="t" fillcolor="#a0a0a0" stroked="f"/>
        </w:pict>
      </w:r>
    </w:p>
    <w:p w:rsidR="00A6587C" w:rsidRDefault="00A6587C" w:rsidP="00A6587C">
      <w:pPr>
        <w:pStyle w:val="berschrift1"/>
      </w:pPr>
      <w:r>
        <w:t>3.3.43.42 Gewichteter Kohärenzgraph</w:t>
      </w:r>
    </w:p>
    <w:p w:rsidR="00A6587C" w:rsidRDefault="00A6587C" w:rsidP="00A6587C">
      <w:pPr>
        <w:pStyle w:val="StandardWeb"/>
      </w:pPr>
      <w:r>
        <w:t>Die Kanten können mit den Kohärenzgraden gewichtet werden:</w:t>
      </w:r>
    </w:p>
    <w:p w:rsidR="00A6587C" w:rsidRDefault="00A6587C" w:rsidP="00A6587C">
      <w:pPr>
        <w:pStyle w:val="berschrift1"/>
      </w:pPr>
      <w:r>
        <w:t>[</w:t>
      </w:r>
      <w:r>
        <w:br/>
        <w:t>w_{ij}^{C}</w:t>
      </w:r>
    </w:p>
    <w:p w:rsidR="00A6587C" w:rsidRDefault="00A6587C" w:rsidP="00A6587C">
      <w:pPr>
        <w:pStyle w:val="StandardWeb"/>
      </w:pPr>
      <w:r>
        <w:t>C_{ij}.</w:t>
      </w:r>
      <w:r>
        <w:br/>
        <w:t>\tag{3.8606}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w_{ij}^{C}=C_{ij}</w:t>
      </w:r>
    </w:p>
    <w:p w:rsidR="00A6587C" w:rsidRDefault="00A6587C" w:rsidP="00A6587C">
      <w:pPr>
        <w:pStyle w:val="StandardWeb"/>
      </w:pPr>
      <w:r>
        <w:t>Damit entsteht</w:t>
      </w:r>
    </w:p>
    <w:p w:rsidR="00A6587C" w:rsidRDefault="00A6587C" w:rsidP="00A6587C">
      <w:pPr>
        <w:pStyle w:val="berschrift1"/>
      </w:pPr>
      <w:r>
        <w:t>[</w:t>
      </w:r>
      <w:r>
        <w:br/>
        <w:t>\mathcal G_C^{w}</w:t>
      </w:r>
    </w:p>
    <w:p w:rsidR="00A6587C" w:rsidRDefault="00A6587C" w:rsidP="00A6587C">
      <w:pPr>
        <w:pStyle w:val="StandardWeb"/>
      </w:pPr>
      <w:r>
        <w:t>(V_C,E_C,w_C).</w:t>
      </w:r>
      <w:r>
        <w:br/>
        <w:t>\tag{3.8607}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\mathcal G_C^{w}=(V_C,E_C,w_C)</w:t>
      </w:r>
    </w:p>
    <w:p w:rsidR="00A6587C" w:rsidRDefault="00E50336" w:rsidP="00A6587C">
      <w:r>
        <w:lastRenderedPageBreak/>
        <w:pict>
          <v:rect id="_x0000_i2290" style="width:0;height:1.5pt" o:hralign="center" o:hrstd="t" o:hr="t" fillcolor="#a0a0a0" stroked="f"/>
        </w:pict>
      </w:r>
    </w:p>
    <w:p w:rsidR="00A6587C" w:rsidRDefault="00A6587C" w:rsidP="00A6587C">
      <w:pPr>
        <w:pStyle w:val="berschrift1"/>
      </w:pPr>
      <w:r>
        <w:t>3.3.43.43 Kohärenzgrad eines Knotens</w:t>
      </w:r>
    </w:p>
    <w:p w:rsidR="00A6587C" w:rsidRDefault="00A6587C" w:rsidP="00A6587C">
      <w:pPr>
        <w:pStyle w:val="StandardWeb"/>
      </w:pPr>
      <w:r>
        <w:t>Für einen ungerichteten gewichteten Graphen kann ich definieren</w:t>
      </w:r>
    </w:p>
    <w:p w:rsidR="00A6587C" w:rsidRDefault="00A6587C" w:rsidP="00A6587C">
      <w:pPr>
        <w:pStyle w:val="berschrift1"/>
      </w:pPr>
      <w:r>
        <w:t>[</w:t>
      </w:r>
      <w:r>
        <w:br/>
        <w:t>d_i^{C}</w:t>
      </w:r>
    </w:p>
    <w:p w:rsidR="00A6587C" w:rsidRDefault="00A6587C" w:rsidP="00A6587C">
      <w:pPr>
        <w:pStyle w:val="StandardWeb"/>
      </w:pPr>
      <w:r>
        <w:t>\sum_{j\neq i}</w:t>
      </w:r>
      <w:r>
        <w:br/>
        <w:t>C_{ij}.</w:t>
      </w:r>
      <w:r>
        <w:br/>
        <w:t>\tag{3.8608}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d_i^{C}=\sum_{j\neq i}C_{ij}</w:t>
      </w:r>
    </w:p>
    <w:p w:rsidR="00A6587C" w:rsidRDefault="00A6587C" w:rsidP="00A6587C">
      <w:pPr>
        <w:pStyle w:val="StandardWeb"/>
      </w:pPr>
      <w:r>
        <w:t>Ein hoher Wert bedeutet eine starke funktionale Einbindung des Knotens in die betrachtete Struktur.</w:t>
      </w:r>
    </w:p>
    <w:p w:rsidR="00A6587C" w:rsidRDefault="00A6587C" w:rsidP="00A6587C">
      <w:pPr>
        <w:pStyle w:val="StandardWeb"/>
      </w:pPr>
      <w:r>
        <w:t>Er bedeutet nicht automatisch hohe wissenschaftliche Bedeutung.</w:t>
      </w:r>
    </w:p>
    <w:p w:rsidR="00A6587C" w:rsidRDefault="00E50336" w:rsidP="00A6587C">
      <w:r>
        <w:pict>
          <v:rect id="_x0000_i2291" style="width:0;height:1.5pt" o:hralign="center" o:hrstd="t" o:hr="t" fillcolor="#a0a0a0" stroked="f"/>
        </w:pict>
      </w:r>
    </w:p>
    <w:p w:rsidR="00A6587C" w:rsidRDefault="00A6587C" w:rsidP="00A6587C">
      <w:pPr>
        <w:pStyle w:val="berschrift1"/>
      </w:pPr>
      <w:r>
        <w:t>3.3.43.44 Eingehende und ausgehende Kohärenz</w:t>
      </w:r>
    </w:p>
    <w:p w:rsidR="00A6587C" w:rsidRDefault="00A6587C" w:rsidP="00A6587C">
      <w:pPr>
        <w:pStyle w:val="StandardWeb"/>
      </w:pPr>
      <w:r>
        <w:t>Für gerichtete Beziehungen definiere ich</w:t>
      </w:r>
    </w:p>
    <w:p w:rsidR="00A6587C" w:rsidRDefault="00A6587C" w:rsidP="00A6587C">
      <w:pPr>
        <w:pStyle w:val="berschrift1"/>
      </w:pPr>
      <w:r>
        <w:t>[</w:t>
      </w:r>
      <w:r>
        <w:br/>
        <w:t>d_{i,\mathrm{out}}^{C}</w:t>
      </w:r>
    </w:p>
    <w:p w:rsidR="00A6587C" w:rsidRDefault="00A6587C" w:rsidP="00A6587C">
      <w:pPr>
        <w:pStyle w:val="StandardWeb"/>
      </w:pPr>
      <w:r>
        <w:t>\sum_{j\neq i}</w:t>
      </w:r>
      <w:r>
        <w:br/>
        <w:t>C_{i\rightarrow j}</w:t>
      </w:r>
      <w:r>
        <w:br/>
        <w:t>\tag{3.8609}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d_{i,\mathrm{out}}^{C}=\sum_{j\neq i}C_{i\rightarrow j}</w:t>
      </w:r>
    </w:p>
    <w:p w:rsidR="00A6587C" w:rsidRDefault="00A6587C" w:rsidP="00A6587C">
      <w:pPr>
        <w:pStyle w:val="StandardWeb"/>
      </w:pPr>
      <w:r>
        <w:t>und</w:t>
      </w:r>
    </w:p>
    <w:p w:rsidR="00A6587C" w:rsidRDefault="00A6587C" w:rsidP="00A6587C">
      <w:pPr>
        <w:pStyle w:val="berschrift1"/>
      </w:pPr>
      <w:r>
        <w:t>[</w:t>
      </w:r>
      <w:r>
        <w:br/>
        <w:t>d_{i,\mathrm{in}}^{C}</w:t>
      </w:r>
    </w:p>
    <w:p w:rsidR="00A6587C" w:rsidRDefault="00A6587C" w:rsidP="00A6587C">
      <w:pPr>
        <w:pStyle w:val="StandardWeb"/>
      </w:pPr>
      <w:r>
        <w:lastRenderedPageBreak/>
        <w:t>\sum_{j\neq i}</w:t>
      </w:r>
      <w:r>
        <w:br/>
        <w:t>C_{j\rightarrow i}.</w:t>
      </w:r>
      <w:r>
        <w:br/>
        <w:t>\tag{3.8610}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d_{i,\mathrm{in}}^{C}=\sum_{j\neq i}C_{j\rightarrow i}</w:t>
      </w:r>
    </w:p>
    <w:p w:rsidR="00A6587C" w:rsidRDefault="00A6587C" w:rsidP="00A6587C">
      <w:pPr>
        <w:pStyle w:val="StandardWeb"/>
      </w:pPr>
      <w:r>
        <w:t>Diese beiden Größen erlauben eine erste Unterscheidung zwischen stärker wirkenden und stärker beeinflussten Knoten.</w:t>
      </w:r>
    </w:p>
    <w:p w:rsidR="00A6587C" w:rsidRDefault="00E50336" w:rsidP="00A6587C">
      <w:r>
        <w:pict>
          <v:rect id="_x0000_i2292" style="width:0;height:1.5pt" o:hralign="center" o:hrstd="t" o:hr="t" fillcolor="#a0a0a0" stroked="f"/>
        </w:pict>
      </w:r>
    </w:p>
    <w:p w:rsidR="00A6587C" w:rsidRDefault="00A6587C" w:rsidP="00A6587C">
      <w:pPr>
        <w:pStyle w:val="berschrift1"/>
      </w:pPr>
      <w:r>
        <w:t>3.3.43.45 Kohärenzdominanz</w:t>
      </w:r>
    </w:p>
    <w:p w:rsidR="00A6587C" w:rsidRDefault="00A6587C" w:rsidP="00A6587C">
      <w:pPr>
        <w:pStyle w:val="StandardWeb"/>
      </w:pPr>
      <w:r>
        <w:t>Ich definiere</w:t>
      </w:r>
    </w:p>
    <w:p w:rsidR="00A6587C" w:rsidRDefault="00A6587C" w:rsidP="00A6587C">
      <w:pPr>
        <w:pStyle w:val="berschrift1"/>
      </w:pPr>
      <w:r>
        <w:t>[</w:t>
      </w:r>
      <w:r>
        <w:br/>
        <w:t>D_i^{C}</w:t>
      </w:r>
    </w:p>
    <w:p w:rsidR="00A6587C" w:rsidRDefault="00A6587C" w:rsidP="00A6587C">
      <w:pPr>
        <w:pStyle w:val="berschrift2"/>
      </w:pPr>
      <w:r>
        <w:t>d_{i,\mathrm{out}}^{C}</w:t>
      </w:r>
    </w:p>
    <w:p w:rsidR="00A6587C" w:rsidRDefault="00A6587C" w:rsidP="00A6587C">
      <w:pPr>
        <w:pStyle w:val="StandardWeb"/>
      </w:pPr>
      <w:r>
        <w:t>d_{i,\mathrm{in}}^{C}.</w:t>
      </w:r>
      <w:r>
        <w:br/>
        <w:t>\tag{3.8611}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D_i^{C}=d_{i,\mathrm{out}}^{C}-d_{i,\mathrm{in}}^{C}</w:t>
      </w:r>
    </w:p>
    <w:p w:rsidR="00A6587C" w:rsidRDefault="00A6587C" w:rsidP="00A6587C">
      <w:pPr>
        <w:pStyle w:val="StandardWeb"/>
      </w:pPr>
      <w:r>
        <w:t>Für</w:t>
      </w:r>
    </w:p>
    <w:p w:rsidR="00A6587C" w:rsidRDefault="00A6587C" w:rsidP="00A6587C">
      <w:pPr>
        <w:pStyle w:val="StandardWeb"/>
      </w:pPr>
      <w:r>
        <w:t>[</w:t>
      </w:r>
      <w:r>
        <w:br/>
        <w:t>D_i^{C}&gt;0</w:t>
      </w:r>
      <w:r>
        <w:br/>
        <w:t>\tag{3.8612}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D_i^{C}&gt;0</w:t>
      </w:r>
    </w:p>
    <w:p w:rsidR="00A6587C" w:rsidRDefault="00A6587C" w:rsidP="00A6587C">
      <w:pPr>
        <w:pStyle w:val="StandardWeb"/>
      </w:pPr>
      <w:r>
        <w:t>überwiegt die ausgehende, für</w:t>
      </w:r>
    </w:p>
    <w:p w:rsidR="00A6587C" w:rsidRDefault="00A6587C" w:rsidP="00A6587C">
      <w:pPr>
        <w:pStyle w:val="StandardWeb"/>
      </w:pPr>
      <w:r>
        <w:t>[</w:t>
      </w:r>
      <w:r>
        <w:br/>
        <w:t>D_i^{C}&lt;0</w:t>
      </w:r>
      <w:r>
        <w:br/>
        <w:t>\tag{3.8613}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lastRenderedPageBreak/>
        <w:t>D_i^{C}&lt;0</w:t>
      </w:r>
    </w:p>
    <w:p w:rsidR="00A6587C" w:rsidRDefault="00A6587C" w:rsidP="00A6587C">
      <w:pPr>
        <w:pStyle w:val="StandardWeb"/>
      </w:pPr>
      <w:r>
        <w:t>die eingehende funktionale Kohärenz.</w:t>
      </w:r>
    </w:p>
    <w:p w:rsidR="00A6587C" w:rsidRDefault="00E50336" w:rsidP="00A6587C">
      <w:r>
        <w:pict>
          <v:rect id="_x0000_i2293" style="width:0;height:1.5pt" o:hralign="center" o:hrstd="t" o:hr="t" fillcolor="#a0a0a0" stroked="f"/>
        </w:pict>
      </w:r>
    </w:p>
    <w:p w:rsidR="00A6587C" w:rsidRDefault="00A6587C" w:rsidP="00A6587C">
      <w:pPr>
        <w:pStyle w:val="berschrift1"/>
      </w:pPr>
      <w:r>
        <w:t>3.3.43.46 Kohärenzpfad</w:t>
      </w:r>
    </w:p>
    <w:p w:rsidR="00A6587C" w:rsidRDefault="00A6587C" w:rsidP="00A6587C">
      <w:pPr>
        <w:pStyle w:val="StandardWeb"/>
      </w:pPr>
      <w:r>
        <w:t>Ein Kohärenzpfad zwischen (X_i) und (X_j) sei</w:t>
      </w:r>
    </w:p>
    <w:p w:rsidR="00A6587C" w:rsidRDefault="00A6587C" w:rsidP="00A6587C">
      <w:pPr>
        <w:pStyle w:val="berschrift1"/>
      </w:pPr>
      <w:r>
        <w:t>[</w:t>
      </w:r>
      <w:r>
        <w:br/>
        <w:t>p_{ij}</w:t>
      </w:r>
    </w:p>
    <w:p w:rsidR="00A6587C" w:rsidRDefault="00A6587C" w:rsidP="00A6587C">
      <w:pPr>
        <w:pStyle w:val="StandardWeb"/>
      </w:pPr>
      <w:r>
        <w:t>(X_i,X_{k_1},\ldots,X_j).</w:t>
      </w:r>
      <w:r>
        <w:br/>
        <w:t>\tag{3.8614}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p_{ij}=(X_i,X_{k_1},\ldots,X_j)</w:t>
      </w:r>
    </w:p>
    <w:p w:rsidR="00A6587C" w:rsidRDefault="00A6587C" w:rsidP="00A6587C">
      <w:pPr>
        <w:pStyle w:val="StandardWeb"/>
      </w:pPr>
      <w:r>
        <w:t>Jede Kante dieses Pfades muss positive Kohärenz besitzen.</w:t>
      </w:r>
    </w:p>
    <w:p w:rsidR="00A6587C" w:rsidRDefault="00E50336" w:rsidP="00A6587C">
      <w:r>
        <w:pict>
          <v:rect id="_x0000_i2294" style="width:0;height:1.5pt" o:hralign="center" o:hrstd="t" o:hr="t" fillcolor="#a0a0a0" stroked="f"/>
        </w:pict>
      </w:r>
    </w:p>
    <w:p w:rsidR="00A6587C" w:rsidRDefault="00A6587C" w:rsidP="00A6587C">
      <w:pPr>
        <w:pStyle w:val="berschrift1"/>
      </w:pPr>
      <w:r>
        <w:t>3.3.43.47 Pfadkohärenz</w:t>
      </w:r>
    </w:p>
    <w:p w:rsidR="00A6587C" w:rsidRDefault="00A6587C" w:rsidP="00A6587C">
      <w:pPr>
        <w:pStyle w:val="StandardWeb"/>
      </w:pPr>
      <w:r>
        <w:t>Eine konservative Pfadkohärenz definiere ich als</w:t>
      </w:r>
    </w:p>
    <w:p w:rsidR="00A6587C" w:rsidRDefault="00A6587C" w:rsidP="00A6587C">
      <w:pPr>
        <w:pStyle w:val="berschrift1"/>
      </w:pPr>
      <w:r>
        <w:t>[</w:t>
      </w:r>
      <w:r>
        <w:br/>
        <w:t>C(p_{ij})</w:t>
      </w:r>
    </w:p>
    <w:p w:rsidR="00A6587C" w:rsidRDefault="00A6587C" w:rsidP="00A6587C">
      <w:pPr>
        <w:pStyle w:val="StandardWeb"/>
      </w:pPr>
      <w:r>
        <w:t>\min_{e\in p_{ij}}</w:t>
      </w:r>
      <w:r>
        <w:br/>
        <w:t>C_e.</w:t>
      </w:r>
      <w:r>
        <w:br/>
        <w:t>\tag{3.8615}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C(p_{ij})=\min_{e\in p_{ij}}C_e</w:t>
      </w:r>
    </w:p>
    <w:p w:rsidR="00A6587C" w:rsidRDefault="00A6587C" w:rsidP="00A6587C">
      <w:pPr>
        <w:pStyle w:val="StandardWeb"/>
      </w:pPr>
      <w:r>
        <w:t>Damit wird die schwächste Verbindung zum begrenzenden Glied des gesamten Pfades.</w:t>
      </w:r>
    </w:p>
    <w:p w:rsidR="00A6587C" w:rsidRDefault="00E50336" w:rsidP="00A6587C">
      <w:r>
        <w:pict>
          <v:rect id="_x0000_i2295" style="width:0;height:1.5pt" o:hralign="center" o:hrstd="t" o:hr="t" fillcolor="#a0a0a0" stroked="f"/>
        </w:pict>
      </w:r>
    </w:p>
    <w:p w:rsidR="00A6587C" w:rsidRDefault="00A6587C" w:rsidP="00A6587C">
      <w:pPr>
        <w:pStyle w:val="berschrift1"/>
      </w:pPr>
      <w:r>
        <w:t>3.3.43.48 Produktbasierte Pfadkohärenz</w:t>
      </w:r>
    </w:p>
    <w:p w:rsidR="00A6587C" w:rsidRDefault="00A6587C" w:rsidP="00A6587C">
      <w:pPr>
        <w:pStyle w:val="StandardWeb"/>
      </w:pPr>
      <w:r>
        <w:t>Alternativ kann unter geeigneten Voraussetzungen verwendet werden</w:t>
      </w:r>
    </w:p>
    <w:p w:rsidR="00A6587C" w:rsidRDefault="00A6587C" w:rsidP="00A6587C">
      <w:pPr>
        <w:pStyle w:val="berschrift1"/>
      </w:pPr>
      <w:r>
        <w:lastRenderedPageBreak/>
        <w:t>[</w:t>
      </w:r>
      <w:r>
        <w:br/>
        <w:t>C_{\Pi}(p_{ij})</w:t>
      </w:r>
    </w:p>
    <w:p w:rsidR="00A6587C" w:rsidRDefault="00A6587C" w:rsidP="00A6587C">
      <w:pPr>
        <w:pStyle w:val="StandardWeb"/>
      </w:pPr>
      <w:r>
        <w:t>\prod_{e\in p_{ij}}</w:t>
      </w:r>
      <w:r>
        <w:br/>
        <w:t>C_e.</w:t>
      </w:r>
      <w:r>
        <w:br/>
        <w:t>\tag{3.8616}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C_{\Pi}(p_{ij})=\prod_{e\in p_{ij}}C_e</w:t>
      </w:r>
    </w:p>
    <w:p w:rsidR="00A6587C" w:rsidRDefault="00A6587C" w:rsidP="00A6587C">
      <w:pPr>
        <w:pStyle w:val="StandardWeb"/>
      </w:pPr>
      <w:r>
        <w:t>Diese Form erzeugt bei vielen Teilverbindungen eine natürliche Abschwächung.</w:t>
      </w:r>
    </w:p>
    <w:p w:rsidR="00A6587C" w:rsidRDefault="00A6587C" w:rsidP="00A6587C">
      <w:pPr>
        <w:pStyle w:val="StandardWeb"/>
      </w:pPr>
      <w:r>
        <w:t>Ich lege keine der beiden Varianten als universell zwingend fest.</w:t>
      </w:r>
    </w:p>
    <w:p w:rsidR="00A6587C" w:rsidRDefault="00E50336" w:rsidP="00A6587C">
      <w:r>
        <w:pict>
          <v:rect id="_x0000_i2296" style="width:0;height:1.5pt" o:hralign="center" o:hrstd="t" o:hr="t" fillcolor="#a0a0a0" stroked="f"/>
        </w:pict>
      </w:r>
    </w:p>
    <w:p w:rsidR="00A6587C" w:rsidRDefault="00A6587C" w:rsidP="00A6587C">
      <w:pPr>
        <w:pStyle w:val="berschrift1"/>
      </w:pPr>
      <w:r>
        <w:t>3.3.43.49 Indirekte Kohärenz</w:t>
      </w:r>
    </w:p>
    <w:p w:rsidR="00A6587C" w:rsidRDefault="00A6587C" w:rsidP="00A6587C">
      <w:pPr>
        <w:pStyle w:val="StandardWeb"/>
      </w:pPr>
      <w:r>
        <w:t>Zwei Größen können ohne direkte Kante über einen Kohärenzpfad funktional verbunden sein.</w:t>
      </w:r>
    </w:p>
    <w:p w:rsidR="00A6587C" w:rsidRDefault="00A6587C" w:rsidP="00A6587C">
      <w:pPr>
        <w:pStyle w:val="StandardWeb"/>
      </w:pPr>
      <w:r>
        <w:t>Es kann gelten</w:t>
      </w:r>
    </w:p>
    <w:p w:rsidR="00A6587C" w:rsidRDefault="00A6587C" w:rsidP="00A6587C">
      <w:pPr>
        <w:pStyle w:val="StandardWeb"/>
      </w:pPr>
      <w:r>
        <w:t>[</w:t>
      </w:r>
      <w:r>
        <w:br/>
        <w:t>C_{ij}^{\mathrm{direct}}=0</w:t>
      </w:r>
      <w:r>
        <w:br/>
        <w:t>\tag{3.8617}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C_{ij}^{\mathrm{direct}}=0</w:t>
      </w:r>
    </w:p>
    <w:p w:rsidR="00A6587C" w:rsidRDefault="00A6587C" w:rsidP="00A6587C">
      <w:pPr>
        <w:pStyle w:val="StandardWeb"/>
      </w:pPr>
      <w:r>
        <w:t>aber</w:t>
      </w:r>
    </w:p>
    <w:p w:rsidR="00A6587C" w:rsidRDefault="00A6587C" w:rsidP="00A6587C">
      <w:pPr>
        <w:pStyle w:val="StandardWeb"/>
      </w:pPr>
      <w:r>
        <w:t>[</w:t>
      </w:r>
      <w:r>
        <w:br/>
        <w:t>\exists p_{ij}:</w:t>
      </w:r>
      <w:r>
        <w:br/>
        <w:t>C(p_{ij})&gt;0.</w:t>
      </w:r>
      <w:r>
        <w:br/>
        <w:t>\tag{3.8618}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\exists p_{ij}:C(p_{ij})&gt;0</w:t>
      </w:r>
    </w:p>
    <w:p w:rsidR="00A6587C" w:rsidRDefault="00A6587C" w:rsidP="00A6587C">
      <w:pPr>
        <w:pStyle w:val="StandardWeb"/>
      </w:pPr>
      <w:r>
        <w:t>Ich bezeichne dies als indirekte funktionale Kohärenz.</w:t>
      </w:r>
    </w:p>
    <w:p w:rsidR="00A6587C" w:rsidRDefault="00E50336" w:rsidP="00A6587C">
      <w:r>
        <w:pict>
          <v:rect id="_x0000_i2297" style="width:0;height:1.5pt" o:hralign="center" o:hrstd="t" o:hr="t" fillcolor="#a0a0a0" stroked="f"/>
        </w:pict>
      </w:r>
    </w:p>
    <w:p w:rsidR="00A6587C" w:rsidRDefault="00A6587C" w:rsidP="00A6587C">
      <w:pPr>
        <w:pStyle w:val="berschrift1"/>
      </w:pPr>
      <w:r>
        <w:lastRenderedPageBreak/>
        <w:t>3.3.43.50 Definition 3.3.56 – Indirekte funktionale Kohärenz</w:t>
      </w:r>
    </w:p>
    <w:p w:rsidR="00A6587C" w:rsidRDefault="00A6587C" w:rsidP="00A6587C">
      <w:pPr>
        <w:pStyle w:val="berschrift3"/>
      </w:pPr>
      <w:r>
        <w:t>Definition 3.3.56</w:t>
      </w:r>
    </w:p>
    <w:p w:rsidR="00A6587C" w:rsidRDefault="00A6587C" w:rsidP="00A6587C">
      <w:pPr>
        <w:pStyle w:val="StandardWeb"/>
      </w:pPr>
      <w:r>
        <w:t>Zwei funktionale Größen (X_i) und (X_j) heißen indirekt kohärent, wenn zwischen ihnen kein notwendiger direkter Kohärenznachweis besteht, aber mindestens ein konsistenter Kohärenzpfad positiver Stärke existiert.</w:t>
      </w:r>
    </w:p>
    <w:p w:rsidR="00A6587C" w:rsidRDefault="00A6587C" w:rsidP="00A6587C">
      <w:pPr>
        <w:pStyle w:val="StandardWeb"/>
      </w:pPr>
      <w:r>
        <w:t>Formal:</w:t>
      </w:r>
    </w:p>
    <w:p w:rsidR="00A6587C" w:rsidRDefault="00A6587C" w:rsidP="00A6587C">
      <w:pPr>
        <w:pStyle w:val="StandardWeb"/>
      </w:pPr>
      <w:r>
        <w:t>[</w:t>
      </w:r>
      <w:r>
        <w:br/>
        <w:t>C_F^{\mathrm{ind}}(X_i,X_j)&gt;0</w:t>
      </w:r>
      <w:r>
        <w:br/>
        <w:t>\Longleftrightarrow</w:t>
      </w:r>
      <w:r>
        <w:br/>
        <w:t>\exists p_{ij}:</w:t>
      </w:r>
      <w:r>
        <w:br/>
        <w:t>C(p_{ij})&gt;0.</w:t>
      </w:r>
      <w:r>
        <w:br/>
        <w:t>\tag{3.8619}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C_F^{\mathrm{ind}}(X_i,X_j)&gt;0\Longleftrightarrow\exists p_{ij}:C(p_{ij})&gt;0</w:t>
      </w:r>
    </w:p>
    <w:p w:rsidR="00A6587C" w:rsidRDefault="00E50336" w:rsidP="00A6587C">
      <w:r>
        <w:pict>
          <v:rect id="_x0000_i2298" style="width:0;height:1.5pt" o:hralign="center" o:hrstd="t" o:hr="t" fillcolor="#a0a0a0" stroked="f"/>
        </w:pict>
      </w:r>
    </w:p>
    <w:p w:rsidR="00A6587C" w:rsidRDefault="00A6587C" w:rsidP="00A6587C">
      <w:pPr>
        <w:pStyle w:val="berschrift1"/>
      </w:pPr>
      <w:r>
        <w:t>3.3.43.51 Direkte und indirekte Kohärenz sind verschieden</w:t>
      </w:r>
    </w:p>
    <w:p w:rsidR="00A6587C" w:rsidRDefault="00A6587C" w:rsidP="00A6587C">
      <w:pPr>
        <w:pStyle w:val="StandardWeb"/>
      </w:pPr>
      <w:r>
        <w:t>Es gilt</w:t>
      </w:r>
    </w:p>
    <w:p w:rsidR="00A6587C" w:rsidRDefault="00A6587C" w:rsidP="00A6587C">
      <w:pPr>
        <w:pStyle w:val="StandardWeb"/>
      </w:pPr>
      <w:r>
        <w:t>[</w:t>
      </w:r>
      <w:r>
        <w:br/>
        <w:t>C_F^{\mathrm{direct}}</w:t>
      </w:r>
      <w:r>
        <w:br/>
        <w:t>\neq</w:t>
      </w:r>
      <w:r>
        <w:br/>
        <w:t>C_F^{\mathrm{ind}}</w:t>
      </w:r>
      <w:r>
        <w:br/>
        <w:t>\tag{3.8620}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C_F^{\mathrm{direct}}\neq C_F^{\mathrm{ind}}</w:t>
      </w:r>
    </w:p>
    <w:p w:rsidR="00A6587C" w:rsidRDefault="00A6587C" w:rsidP="00A6587C">
      <w:pPr>
        <w:pStyle w:val="StandardWeb"/>
      </w:pPr>
      <w:r>
        <w:t>im Allgemeinen.</w:t>
      </w:r>
    </w:p>
    <w:p w:rsidR="00A6587C" w:rsidRDefault="00A6587C" w:rsidP="00A6587C">
      <w:pPr>
        <w:pStyle w:val="StandardWeb"/>
      </w:pPr>
      <w:r>
        <w:t>Eine indirekte Kopplung darf nicht als unmittelbare funktionale Beziehung interpretiert werden.</w:t>
      </w:r>
    </w:p>
    <w:p w:rsidR="00A6587C" w:rsidRDefault="00E50336" w:rsidP="00A6587C">
      <w:r>
        <w:pict>
          <v:rect id="_x0000_i2299" style="width:0;height:1.5pt" o:hralign="center" o:hrstd="t" o:hr="t" fillcolor="#a0a0a0" stroked="f"/>
        </w:pict>
      </w:r>
    </w:p>
    <w:p w:rsidR="00A6587C" w:rsidRDefault="00A6587C" w:rsidP="00A6587C">
      <w:pPr>
        <w:pStyle w:val="berschrift1"/>
      </w:pPr>
      <w:r>
        <w:t>3.3.43.52 Kohärenzreichweite</w:t>
      </w:r>
    </w:p>
    <w:p w:rsidR="00A6587C" w:rsidRDefault="00A6587C" w:rsidP="00A6587C">
      <w:pPr>
        <w:pStyle w:val="StandardWeb"/>
      </w:pPr>
      <w:r>
        <w:lastRenderedPageBreak/>
        <w:t>Für einen Knoten (X_i) definiere ich seine Kohärenzreichweite als</w:t>
      </w:r>
    </w:p>
    <w:p w:rsidR="00A6587C" w:rsidRDefault="00A6587C" w:rsidP="00A6587C">
      <w:pPr>
        <w:pStyle w:val="berschrift1"/>
      </w:pPr>
      <w:r>
        <w:t>[</w:t>
      </w:r>
      <w:r>
        <w:br/>
        <w:t>R_i^{C}</w:t>
      </w:r>
    </w:p>
    <w:p w:rsidR="00A6587C" w:rsidRDefault="00A6587C" w:rsidP="00A6587C">
      <w:pPr>
        <w:pStyle w:val="StandardWeb"/>
      </w:pPr>
      <w:r>
        <w:t>\left|</w:t>
      </w:r>
      <w:r>
        <w:br/>
        <w:t>\left{</w:t>
      </w:r>
      <w:r>
        <w:br/>
        <w:t>X_j:</w:t>
      </w:r>
      <w:r>
        <w:br/>
        <w:t>\exists p_{ij},;</w:t>
      </w:r>
      <w:r>
        <w:br/>
        <w:t>C(p_{ij})\geq\tau_C</w:t>
      </w:r>
      <w:r>
        <w:br/>
        <w:t>\right}</w:t>
      </w:r>
      <w:r>
        <w:br/>
        <w:t>\right|.</w:t>
      </w:r>
      <w:r>
        <w:br/>
        <w:t>\tag{3.8621}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R_i^{C}=\left|\left\{X_j:\exists p_{ij},\;C(p_{ij})\geq\tau_C\right\}\right|</w:t>
      </w:r>
    </w:p>
    <w:p w:rsidR="00A6587C" w:rsidRDefault="00A6587C" w:rsidP="00A6587C">
      <w:pPr>
        <w:pStyle w:val="StandardWeb"/>
      </w:pPr>
      <w:r>
        <w:t>Damit wird die Anzahl der funktional ausreichend stark erreichbaren Systemkomponenten erfasst.</w:t>
      </w:r>
    </w:p>
    <w:p w:rsidR="00A6587C" w:rsidRDefault="00E50336" w:rsidP="00A6587C">
      <w:r>
        <w:pict>
          <v:rect id="_x0000_i2300" style="width:0;height:1.5pt" o:hralign="center" o:hrstd="t" o:hr="t" fillcolor="#a0a0a0" stroked="f"/>
        </w:pict>
      </w:r>
    </w:p>
    <w:p w:rsidR="00A6587C" w:rsidRDefault="00A6587C" w:rsidP="00A6587C">
      <w:pPr>
        <w:pStyle w:val="berschrift1"/>
      </w:pPr>
      <w:r>
        <w:t>3.3.43.53 Normierte Kohärenzreichweite</w:t>
      </w:r>
    </w:p>
    <w:p w:rsidR="00A6587C" w:rsidRDefault="00A6587C" w:rsidP="00A6587C">
      <w:pPr>
        <w:pStyle w:val="StandardWeb"/>
      </w:pPr>
      <w:r>
        <w:t>Für (n) Knoten definiere ich</w:t>
      </w:r>
    </w:p>
    <w:p w:rsidR="00A6587C" w:rsidRDefault="00A6587C" w:rsidP="00A6587C">
      <w:pPr>
        <w:pStyle w:val="berschrift1"/>
      </w:pPr>
      <w:r>
        <w:t>[</w:t>
      </w:r>
      <w:r>
        <w:br/>
        <w:t>\bar R_i^{C}</w:t>
      </w:r>
    </w:p>
    <w:p w:rsidR="00A6587C" w:rsidRDefault="00A6587C" w:rsidP="00A6587C">
      <w:pPr>
        <w:pStyle w:val="StandardWeb"/>
      </w:pPr>
      <w:r>
        <w:t>\frac{</w:t>
      </w:r>
      <w:r>
        <w:br/>
        <w:t>R_i^{C}</w:t>
      </w:r>
      <w:r>
        <w:br/>
        <w:t>}{</w:t>
      </w:r>
      <w:r>
        <w:br/>
        <w:t>n-1</w:t>
      </w:r>
      <w:r>
        <w:br/>
        <w:t>}.</w:t>
      </w:r>
      <w:r>
        <w:br/>
        <w:t>\tag{3.8622}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\bar R_i^{C}=\frac{R_i^{C}}{n-1}</w:t>
      </w:r>
    </w:p>
    <w:p w:rsidR="00A6587C" w:rsidRDefault="00A6587C" w:rsidP="00A6587C">
      <w:pPr>
        <w:pStyle w:val="StandardWeb"/>
      </w:pPr>
      <w:r>
        <w:t>Es gilt</w:t>
      </w:r>
    </w:p>
    <w:p w:rsidR="00A6587C" w:rsidRDefault="00A6587C" w:rsidP="00A6587C">
      <w:pPr>
        <w:pStyle w:val="StandardWeb"/>
      </w:pPr>
      <w:r>
        <w:t>[</w:t>
      </w:r>
      <w:r>
        <w:br/>
        <w:t>0</w:t>
      </w:r>
      <w:r>
        <w:br/>
      </w:r>
      <w:r>
        <w:lastRenderedPageBreak/>
        <w:t>\leq</w:t>
      </w:r>
      <w:r>
        <w:br/>
        <w:t>\bar R_i^{C}</w:t>
      </w:r>
      <w:r>
        <w:br/>
        <w:t>\leq</w:t>
      </w:r>
      <w:r>
        <w:br/>
        <w:t>1.</w:t>
      </w:r>
      <w:r>
        <w:br/>
        <w:t>\tag{3.8623}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0\leq\bar R_i^{C}\leq1</w:t>
      </w:r>
    </w:p>
    <w:p w:rsidR="00A6587C" w:rsidRDefault="00E50336" w:rsidP="00A6587C">
      <w:r>
        <w:pict>
          <v:rect id="_x0000_i2301" style="width:0;height:1.5pt" o:hralign="center" o:hrstd="t" o:hr="t" fillcolor="#a0a0a0" stroked="f"/>
        </w:pict>
      </w:r>
    </w:p>
    <w:p w:rsidR="00A6587C" w:rsidRDefault="00A6587C" w:rsidP="00A6587C">
      <w:pPr>
        <w:pStyle w:val="berschrift1"/>
      </w:pPr>
      <w:r>
        <w:t>3.3.43.54 Kohärenzcluster</w:t>
      </w:r>
    </w:p>
    <w:p w:rsidR="00A6587C" w:rsidRDefault="00A6587C" w:rsidP="00A6587C">
      <w:pPr>
        <w:pStyle w:val="StandardWeb"/>
      </w:pPr>
      <w:r>
        <w:t>Eine Teilmenge</w:t>
      </w:r>
    </w:p>
    <w:p w:rsidR="00A6587C" w:rsidRDefault="00A6587C" w:rsidP="00A6587C">
      <w:pPr>
        <w:pStyle w:val="StandardWeb"/>
      </w:pPr>
      <w:r>
        <w:t>[</w:t>
      </w:r>
      <w:r>
        <w:br/>
        <w:t>\mathcal C_k</w:t>
      </w:r>
      <w:r>
        <w:br/>
        <w:t>\subseteq</w:t>
      </w:r>
      <w:r>
        <w:br/>
        <w:t>V_C</w:t>
      </w:r>
      <w:r>
        <w:br/>
        <w:t>\tag{3.8624}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\mathcal C_k\subseteq V_C</w:t>
      </w:r>
    </w:p>
    <w:p w:rsidR="00A6587C" w:rsidRDefault="00A6587C" w:rsidP="00A6587C">
      <w:pPr>
        <w:pStyle w:val="StandardWeb"/>
      </w:pPr>
      <w:r>
        <w:t>kann als Kohärenzcluster betrachtet werden, wenn ihre internen Kohärenzbeziehungen deutlich stärker sind als die Beziehungen zu anderen Teilmengen.</w:t>
      </w:r>
    </w:p>
    <w:p w:rsidR="00A6587C" w:rsidRDefault="00A6587C" w:rsidP="00A6587C">
      <w:pPr>
        <w:pStyle w:val="StandardWeb"/>
      </w:pPr>
      <w:r>
        <w:t>Abstrakt:</w:t>
      </w:r>
    </w:p>
    <w:p w:rsidR="00A6587C" w:rsidRDefault="00A6587C" w:rsidP="00A6587C">
      <w:pPr>
        <w:pStyle w:val="StandardWeb"/>
      </w:pPr>
      <w:r>
        <w:t>[</w:t>
      </w:r>
      <w:r>
        <w:br/>
        <w:t>\bar C_{\mathrm{in}}(\mathcal C_k)</w:t>
      </w:r>
    </w:p>
    <w:p w:rsidR="00A6587C" w:rsidRDefault="00A6587C" w:rsidP="00A6587C">
      <w:pPr>
        <w:pStyle w:val="StandardWeb"/>
      </w:pPr>
      <w:r>
        <w:t>\bar C_{\mathrm{out}}(\mathcal C_k).</w:t>
      </w:r>
      <w:r>
        <w:br/>
        <w:t>\tag{3.8625}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\bar C_{\mathrm{in}}(\mathcal C_k)&gt;\bar C_{\mathrm{out}}(\mathcal C_k)</w:t>
      </w:r>
    </w:p>
    <w:p w:rsidR="00A6587C" w:rsidRDefault="00E50336" w:rsidP="00A6587C">
      <w:r>
        <w:pict>
          <v:rect id="_x0000_i2302" style="width:0;height:1.5pt" o:hralign="center" o:hrstd="t" o:hr="t" fillcolor="#a0a0a0" stroked="f"/>
        </w:pict>
      </w:r>
    </w:p>
    <w:p w:rsidR="00A6587C" w:rsidRDefault="00A6587C" w:rsidP="00A6587C">
      <w:pPr>
        <w:pStyle w:val="berschrift1"/>
      </w:pPr>
      <w:r>
        <w:t>3.3.43.55 Interne Clusterkohärenz</w:t>
      </w:r>
    </w:p>
    <w:p w:rsidR="00A6587C" w:rsidRDefault="00A6587C" w:rsidP="00A6587C">
      <w:pPr>
        <w:pStyle w:val="StandardWeb"/>
      </w:pPr>
      <w:r>
        <w:t>Ich definiere</w:t>
      </w:r>
    </w:p>
    <w:p w:rsidR="00A6587C" w:rsidRDefault="00A6587C" w:rsidP="00A6587C">
      <w:pPr>
        <w:pStyle w:val="berschrift1"/>
      </w:pPr>
      <w:r>
        <w:lastRenderedPageBreak/>
        <w:t>[</w:t>
      </w:r>
      <w:r>
        <w:br/>
        <w:t>C_{\mathrm{in}}(\mathcal C_k)</w:t>
      </w:r>
    </w:p>
    <w:p w:rsidR="00A6587C" w:rsidRDefault="00A6587C" w:rsidP="00A6587C">
      <w:pPr>
        <w:pStyle w:val="StandardWeb"/>
      </w:pPr>
      <w:r>
        <w:t>\frac{</w:t>
      </w:r>
      <w:r>
        <w:br/>
        <w:t>1</w:t>
      </w:r>
      <w:r>
        <w:br/>
        <w:t>}{</w:t>
      </w:r>
      <w:r>
        <w:br/>
        <w:t>N_{\mathrm{in}}</w:t>
      </w:r>
      <w:r>
        <w:br/>
        <w:t>}</w:t>
      </w:r>
      <w:r>
        <w:br/>
        <w:t>\sum_{i,j\in\mathcal C_k}</w:t>
      </w:r>
      <w:r>
        <w:br/>
        <w:t>C_{ij}.</w:t>
      </w:r>
      <w:r>
        <w:br/>
        <w:t>\tag{3.8626}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C_{\mathrm{in}}(\mathcal C_k)=\frac{1}{N_{\mathrm{in}}}\sum_{i,j\in\mathcal C_k}C_{ij}</w:t>
      </w:r>
    </w:p>
    <w:p w:rsidR="00A6587C" w:rsidRDefault="00A6587C" w:rsidP="00A6587C">
      <w:pPr>
        <w:pStyle w:val="StandardWeb"/>
      </w:pPr>
      <w:r>
        <w:t>Die genaue Behandlung von Diagonale, Richtung und Gewichtung muss für die jeweilige Anwendung spezifiziert werden.</w:t>
      </w:r>
    </w:p>
    <w:p w:rsidR="00A6587C" w:rsidRDefault="00E50336" w:rsidP="00A6587C">
      <w:r>
        <w:pict>
          <v:rect id="_x0000_i2303" style="width:0;height:1.5pt" o:hralign="center" o:hrstd="t" o:hr="t" fillcolor="#a0a0a0" stroked="f"/>
        </w:pict>
      </w:r>
    </w:p>
    <w:p w:rsidR="00A6587C" w:rsidRDefault="00A6587C" w:rsidP="00A6587C">
      <w:pPr>
        <w:pStyle w:val="berschrift1"/>
      </w:pPr>
      <w:r>
        <w:t>3.3.43.56 Externe Clusterkohärenz</w:t>
      </w:r>
    </w:p>
    <w:p w:rsidR="00A6587C" w:rsidRDefault="00A6587C" w:rsidP="00A6587C">
      <w:pPr>
        <w:pStyle w:val="StandardWeb"/>
      </w:pPr>
      <w:r>
        <w:t>Analog:</w:t>
      </w:r>
    </w:p>
    <w:p w:rsidR="00A6587C" w:rsidRDefault="00A6587C" w:rsidP="00A6587C">
      <w:pPr>
        <w:pStyle w:val="berschrift1"/>
      </w:pPr>
      <w:r>
        <w:t>[</w:t>
      </w:r>
      <w:r>
        <w:br/>
        <w:t>C_{\mathrm{out}}(\mathcal C_k)</w:t>
      </w:r>
    </w:p>
    <w:p w:rsidR="00A6587C" w:rsidRDefault="00A6587C" w:rsidP="00A6587C">
      <w:pPr>
        <w:pStyle w:val="StandardWeb"/>
      </w:pPr>
      <w:r>
        <w:t>\frac{</w:t>
      </w:r>
      <w:r>
        <w:br/>
        <w:t>1</w:t>
      </w:r>
      <w:r>
        <w:br/>
        <w:t>}{</w:t>
      </w:r>
      <w:r>
        <w:br/>
        <w:t>N_{\mathrm{out}}</w:t>
      </w:r>
      <w:r>
        <w:br/>
        <w:t>}</w:t>
      </w:r>
      <w:r>
        <w:br/>
        <w:t>\sum_{\substack{i\in\mathcal C_k\j\notin\mathcal C_k}}</w:t>
      </w:r>
      <w:r>
        <w:br/>
        <w:t>C_{ij}.</w:t>
      </w:r>
      <w:r>
        <w:br/>
        <w:t>\tag{3.8627}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C_{\mathrm{out}}(\mathcal C_k)=\frac{1}{N_{\mathrm{out}}}\sum_{\substack{i\in\mathcal C_k\\j\notin\mathcal C_k}}C_{ij}</w:t>
      </w:r>
    </w:p>
    <w:p w:rsidR="00A6587C" w:rsidRDefault="00E50336" w:rsidP="00A6587C">
      <w:r>
        <w:pict>
          <v:rect id="_x0000_i2304" style="width:0;height:1.5pt" o:hralign="center" o:hrstd="t" o:hr="t" fillcolor="#a0a0a0" stroked="f"/>
        </w:pict>
      </w:r>
    </w:p>
    <w:p w:rsidR="00A6587C" w:rsidRDefault="00A6587C" w:rsidP="00A6587C">
      <w:pPr>
        <w:pStyle w:val="berschrift1"/>
      </w:pPr>
      <w:r>
        <w:t>3.3.43.57 Kohärenzkontrast eines Clusters</w:t>
      </w:r>
    </w:p>
    <w:p w:rsidR="00A6587C" w:rsidRDefault="00A6587C" w:rsidP="00A6587C">
      <w:pPr>
        <w:pStyle w:val="StandardWeb"/>
      </w:pPr>
      <w:r>
        <w:lastRenderedPageBreak/>
        <w:t>Ich definiere</w:t>
      </w:r>
    </w:p>
    <w:p w:rsidR="00A6587C" w:rsidRDefault="00A6587C" w:rsidP="00A6587C">
      <w:pPr>
        <w:pStyle w:val="berschrift1"/>
      </w:pPr>
      <w:r>
        <w:t>[</w:t>
      </w:r>
      <w:r>
        <w:br/>
        <w:t>\Delta C_k</w:t>
      </w:r>
    </w:p>
    <w:p w:rsidR="00A6587C" w:rsidRDefault="00A6587C" w:rsidP="00A6587C">
      <w:pPr>
        <w:pStyle w:val="berschrift2"/>
      </w:pPr>
      <w:r>
        <w:t>C_{\mathrm{in}}(\mathcal C_k)</w:t>
      </w:r>
    </w:p>
    <w:p w:rsidR="00A6587C" w:rsidRDefault="00A6587C" w:rsidP="00A6587C">
      <w:pPr>
        <w:pStyle w:val="StandardWeb"/>
      </w:pPr>
      <w:r>
        <w:t>C_{\mathrm{out}}(\mathcal C_k).</w:t>
      </w:r>
      <w:r>
        <w:br/>
        <w:t>\tag{3.8628}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\Delta C_k=C_{\mathrm{in}}(\mathcal C_k)-C_{\mathrm{out}}(\mathcal C_k)</w:t>
      </w:r>
    </w:p>
    <w:p w:rsidR="00A6587C" w:rsidRDefault="00A6587C" w:rsidP="00A6587C">
      <w:pPr>
        <w:pStyle w:val="StandardWeb"/>
      </w:pPr>
      <w:r>
        <w:t>Für</w:t>
      </w:r>
    </w:p>
    <w:p w:rsidR="00A6587C" w:rsidRDefault="00A6587C" w:rsidP="00A6587C">
      <w:pPr>
        <w:pStyle w:val="StandardWeb"/>
      </w:pPr>
      <w:r>
        <w:t>[</w:t>
      </w:r>
      <w:r>
        <w:br/>
        <w:t>\Delta C_k&gt;0</w:t>
      </w:r>
      <w:r>
        <w:br/>
        <w:t>\tag{3.8629}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\Delta C_k&gt;0</w:t>
      </w:r>
    </w:p>
    <w:p w:rsidR="00A6587C" w:rsidRDefault="00A6587C" w:rsidP="00A6587C">
      <w:pPr>
        <w:pStyle w:val="StandardWeb"/>
      </w:pPr>
      <w:r>
        <w:t>ist das Cluster intern stärker kohärent als extern gekoppelt.</w:t>
      </w:r>
    </w:p>
    <w:p w:rsidR="00A6587C" w:rsidRDefault="00E50336" w:rsidP="00A6587C">
      <w:r>
        <w:pict>
          <v:rect id="_x0000_i2305" style="width:0;height:1.5pt" o:hralign="center" o:hrstd="t" o:hr="t" fillcolor="#a0a0a0" stroked="f"/>
        </w:pict>
      </w:r>
    </w:p>
    <w:p w:rsidR="00A6587C" w:rsidRDefault="00A6587C" w:rsidP="00A6587C">
      <w:pPr>
        <w:pStyle w:val="berschrift1"/>
      </w:pPr>
      <w:r>
        <w:t>3.3.43.58 Globale Systemkohärenz</w:t>
      </w:r>
    </w:p>
    <w:p w:rsidR="00A6587C" w:rsidRDefault="00A6587C" w:rsidP="00A6587C">
      <w:pPr>
        <w:pStyle w:val="StandardWeb"/>
      </w:pPr>
      <w:r>
        <w:t>Für ein System mit (n) Komponenten definiere ich zunächst einen einfachen mittleren Kohärenzgrad</w:t>
      </w:r>
    </w:p>
    <w:p w:rsidR="00A6587C" w:rsidRDefault="00A6587C" w:rsidP="00A6587C">
      <w:pPr>
        <w:pStyle w:val="berschrift1"/>
      </w:pPr>
      <w:r>
        <w:t>[</w:t>
      </w:r>
      <w:r>
        <w:br/>
        <w:t>C_{\mathrm{sys}}</w:t>
      </w:r>
    </w:p>
    <w:p w:rsidR="00A6587C" w:rsidRDefault="00A6587C" w:rsidP="00A6587C">
      <w:pPr>
        <w:pStyle w:val="StandardWeb"/>
      </w:pPr>
      <w:r>
        <w:t>\frac{</w:t>
      </w:r>
      <w:r>
        <w:br/>
        <w:t>1</w:t>
      </w:r>
      <w:r>
        <w:br/>
        <w:t>}{</w:t>
      </w:r>
      <w:r>
        <w:br/>
        <w:t>N_E</w:t>
      </w:r>
      <w:r>
        <w:br/>
        <w:t>}</w:t>
      </w:r>
      <w:r>
        <w:br/>
        <w:t>\sum_{(i,j)\in E_C}</w:t>
      </w:r>
      <w:r>
        <w:br/>
        <w:t>C_{ij}.</w:t>
      </w:r>
      <w:r>
        <w:br/>
        <w:t>\tag{3.8630}</w:t>
      </w:r>
      <w:r>
        <w:br/>
        <w:t>]</w:t>
      </w:r>
    </w:p>
    <w:p w:rsidR="00A6587C" w:rsidRDefault="00A6587C" w:rsidP="00A6587C">
      <w:pPr>
        <w:pStyle w:val="StandardWeb"/>
      </w:pPr>
      <w:r>
        <w:rPr>
          <w:rStyle w:val="Fett"/>
        </w:rPr>
        <w:lastRenderedPageBreak/>
        <w:t>Word-LaTeX</w:t>
      </w:r>
    </w:p>
    <w:p w:rsidR="00A6587C" w:rsidRDefault="00A6587C" w:rsidP="00A6587C">
      <w:pPr>
        <w:pStyle w:val="HTMLVorformatiert"/>
        <w:rPr>
          <w:rStyle w:val="HTMLCode"/>
        </w:rPr>
      </w:pPr>
      <w:r>
        <w:rPr>
          <w:rStyle w:val="HTMLCode"/>
        </w:rPr>
        <w:t>C_{\mathrm{sys}}=\frac{1}{N_E}\sum_{(i,j)\in E_C}C_{ij}</w:t>
      </w:r>
    </w:p>
    <w:p w:rsidR="00A6587C" w:rsidRDefault="00A6587C" w:rsidP="00A6587C">
      <w:pPr>
        <w:pStyle w:val="StandardWeb"/>
      </w:pPr>
      <w:r>
        <w:t>Dieser Mittelwert allein reicht jedoch nicht aus, da unterschiedliche Netzstrukturen denselben Mittelwert besitzen können.</w:t>
      </w:r>
    </w:p>
    <w:p w:rsidR="00A6587C" w:rsidRDefault="00E50336" w:rsidP="00A6587C">
      <w:r>
        <w:pict>
          <v:rect id="_x0000_i2306" style="width:0;height:1.5pt" o:hralign="center" o:hrstd="t" o:hr="t" fillcolor="#a0a0a0" stroked="f"/>
        </w:pict>
      </w:r>
    </w:p>
    <w:p w:rsidR="00A6587C" w:rsidRDefault="00A6587C" w:rsidP="00A6587C">
      <w:pPr>
        <w:pStyle w:val="berschrift1"/>
      </w:pPr>
      <w:r>
        <w:t>3.3.43.59 Kohärenzabdeckung des Systems</w:t>
      </w:r>
    </w:p>
    <w:p w:rsidR="00A6587C" w:rsidRDefault="00A6587C" w:rsidP="00A6587C">
      <w:pPr>
        <w:pStyle w:val="StandardWeb"/>
      </w:pPr>
      <w:r>
        <w:t>Ich ergänze deshalb</w:t>
      </w:r>
    </w:p>
    <w:p w:rsidR="00A6587C" w:rsidRDefault="00A6587C" w:rsidP="00A6587C">
      <w:pPr>
        <w:pStyle w:val="berschrift1"/>
      </w:pPr>
      <w:r>
        <w:t>[</w:t>
      </w:r>
      <w:r>
        <w:br/>
        <w:t>D_C</w:t>
      </w:r>
    </w:p>
    <w:p w:rsidR="00A6587C" w:rsidRDefault="00A6587C" w:rsidP="00A6587C">
      <w:pPr>
        <w:pStyle w:val="StandardWeb"/>
      </w:pPr>
      <w:r>
        <w:t>\frac{</w:t>
      </w:r>
      <w:r>
        <w:br/>
        <w:t>|E_C|</w:t>
      </w:r>
      <w:r>
        <w:br/>
        <w:t>}{</w:t>
      </w:r>
      <w:r>
        <w:br/>
        <w:t>|E_{\max}|</w:t>
      </w:r>
      <w:r>
        <w:br/>
        <w:t>}.</w:t>
      </w:r>
      <w:r>
        <w:br/>
        <w:t>\tag{3.8631}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D_C=\frac{|E_C|}{|E_{\max}|}</w:t>
      </w:r>
    </w:p>
    <w:p w:rsidR="00A6587C" w:rsidRDefault="00A6587C" w:rsidP="00A6587C">
      <w:pPr>
        <w:pStyle w:val="StandardWeb"/>
      </w:pPr>
      <w:r>
        <w:t>Diese Größe beschreibt die Dichte vorhandener Kohärenzbeziehungen.</w:t>
      </w:r>
    </w:p>
    <w:p w:rsidR="00A6587C" w:rsidRDefault="00E50336" w:rsidP="00A6587C">
      <w:r>
        <w:pict>
          <v:rect id="_x0000_i2307" style="width:0;height:1.5pt" o:hralign="center" o:hrstd="t" o:hr="t" fillcolor="#a0a0a0" stroked="f"/>
        </w:pict>
      </w:r>
    </w:p>
    <w:p w:rsidR="00A6587C" w:rsidRDefault="00A6587C" w:rsidP="00A6587C">
      <w:pPr>
        <w:pStyle w:val="berschrift1"/>
      </w:pPr>
      <w:r>
        <w:t>3.3.43.60 Systemkohärenzprofil</w:t>
      </w:r>
    </w:p>
    <w:p w:rsidR="00A6587C" w:rsidRDefault="00A6587C" w:rsidP="00A6587C">
      <w:pPr>
        <w:pStyle w:val="StandardWeb"/>
      </w:pPr>
      <w:r>
        <w:t>Damit definiere ich</w:t>
      </w:r>
    </w:p>
    <w:p w:rsidR="00A6587C" w:rsidRDefault="00A6587C" w:rsidP="00A6587C">
      <w:pPr>
        <w:pStyle w:val="berschrift1"/>
      </w:pPr>
      <w:r>
        <w:t>[</w:t>
      </w:r>
      <w:r>
        <w:br/>
        <w:t>\mathbf P_C^{\mathrm{sys}}</w:t>
      </w:r>
    </w:p>
    <w:p w:rsidR="00A6587C" w:rsidRDefault="00A6587C" w:rsidP="00A6587C">
      <w:pPr>
        <w:pStyle w:val="StandardWeb"/>
      </w:pPr>
      <w:r>
        <w:t>\left(</w:t>
      </w:r>
      <w:r>
        <w:br/>
        <w:t>C_{\mathrm{sys}},</w:t>
      </w:r>
      <w:r>
        <w:br/>
        <w:t>D_C,</w:t>
      </w:r>
      <w:r>
        <w:br/>
        <w:t>C_{\mathrm{cluster}},</w:t>
      </w:r>
      <w:r>
        <w:br/>
        <w:t>R_C^{\mathrm{reach}}</w:t>
      </w:r>
      <w:r>
        <w:br/>
        <w:t>\right).</w:t>
      </w:r>
      <w:r>
        <w:br/>
        <w:t>\tag{3.8632}</w:t>
      </w:r>
      <w:r>
        <w:br/>
        <w:t>]</w:t>
      </w:r>
    </w:p>
    <w:p w:rsidR="00A6587C" w:rsidRDefault="00A6587C" w:rsidP="00A6587C">
      <w:pPr>
        <w:pStyle w:val="StandardWeb"/>
      </w:pPr>
      <w:r>
        <w:rPr>
          <w:rStyle w:val="Fett"/>
        </w:rPr>
        <w:lastRenderedPageBreak/>
        <w:t>Word-LaTeX</w:t>
      </w:r>
    </w:p>
    <w:p w:rsidR="00A6587C" w:rsidRDefault="00A6587C" w:rsidP="00A6587C">
      <w:pPr>
        <w:pStyle w:val="HTMLVorformatiert"/>
        <w:rPr>
          <w:rStyle w:val="HTMLCode"/>
        </w:rPr>
      </w:pPr>
      <w:r>
        <w:rPr>
          <w:rStyle w:val="HTMLCode"/>
        </w:rPr>
        <w:t>\mathbf P_C^{\mathrm{sys}}=\left(C_{\mathrm{sys}},D_C,C_{\mathrm{cluster}},R_C^{\mathrm{reach}}\right)</w:t>
      </w:r>
    </w:p>
    <w:p w:rsidR="00A6587C" w:rsidRDefault="00A6587C" w:rsidP="00A6587C">
      <w:pPr>
        <w:pStyle w:val="StandardWeb"/>
      </w:pPr>
      <w:r>
        <w:t>Die Systemkohärenz bleibt damit mehrdimensional.</w:t>
      </w:r>
    </w:p>
    <w:p w:rsidR="00A6587C" w:rsidRDefault="00E50336" w:rsidP="00A6587C">
      <w:r>
        <w:pict>
          <v:rect id="_x0000_i2308" style="width:0;height:1.5pt" o:hralign="center" o:hrstd="t" o:hr="t" fillcolor="#a0a0a0" stroked="f"/>
        </w:pict>
      </w:r>
    </w:p>
    <w:p w:rsidR="00A6587C" w:rsidRDefault="00A6587C" w:rsidP="00A6587C">
      <w:pPr>
        <w:pStyle w:val="berschrift1"/>
      </w:pPr>
      <w:r>
        <w:t>3.3.43.61 Kohärenz ist nicht Konnektivität</w:t>
      </w:r>
    </w:p>
    <w:p w:rsidR="00A6587C" w:rsidRDefault="00A6587C" w:rsidP="00A6587C">
      <w:pPr>
        <w:pStyle w:val="StandardWeb"/>
      </w:pPr>
      <w:r>
        <w:t>Ein vollständig verbundener Graph kann geringe Kohärenzgewichte besitzen.</w:t>
      </w:r>
    </w:p>
    <w:p w:rsidR="00A6587C" w:rsidRDefault="00A6587C" w:rsidP="00A6587C">
      <w:pPr>
        <w:pStyle w:val="StandardWeb"/>
      </w:pPr>
      <w:r>
        <w:t>Daher gilt</w:t>
      </w:r>
    </w:p>
    <w:p w:rsidR="00A6587C" w:rsidRDefault="00A6587C" w:rsidP="00A6587C">
      <w:pPr>
        <w:pStyle w:val="StandardWeb"/>
      </w:pPr>
      <w:r>
        <w:t>[</w:t>
      </w:r>
      <w:r>
        <w:br/>
        <w:t>D_C=1</w:t>
      </w:r>
      <w:r>
        <w:br/>
        <w:t>\nRightarrow</w:t>
      </w:r>
      <w:r>
        <w:br/>
        <w:t>C_{\mathrm{sys}}=1.</w:t>
      </w:r>
      <w:r>
        <w:br/>
        <w:t>\tag{3.8633}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D_C=1\nRightarrow C_{\mathrm{sys}}=1</w:t>
      </w:r>
    </w:p>
    <w:p w:rsidR="00A6587C" w:rsidRDefault="00A6587C" w:rsidP="00A6587C">
      <w:pPr>
        <w:pStyle w:val="StandardWeb"/>
      </w:pPr>
      <w:r>
        <w:t>Umgekehrt kann ein nur schwach verbundener Graph innerhalb einzelner Cluster sehr hohe Kohärenz besitzen.</w:t>
      </w:r>
    </w:p>
    <w:p w:rsidR="00A6587C" w:rsidRDefault="00E50336" w:rsidP="00A6587C">
      <w:r>
        <w:pict>
          <v:rect id="_x0000_i2309" style="width:0;height:1.5pt" o:hralign="center" o:hrstd="t" o:hr="t" fillcolor="#a0a0a0" stroked="f"/>
        </w:pict>
      </w:r>
    </w:p>
    <w:p w:rsidR="00A6587C" w:rsidRDefault="00A6587C" w:rsidP="00A6587C">
      <w:pPr>
        <w:pStyle w:val="berschrift1"/>
      </w:pPr>
      <w:r>
        <w:t>3.3.43.62 Kohärenz ist nicht Homogenität</w:t>
      </w:r>
    </w:p>
    <w:p w:rsidR="00A6587C" w:rsidRDefault="00A6587C" w:rsidP="00A6587C">
      <w:pPr>
        <w:pStyle w:val="StandardWeb"/>
      </w:pPr>
      <w:r>
        <w:t>Hohe Kohärenz bedeutet nicht, dass sämtliche Komponenten identisch sein müssen.</w:t>
      </w:r>
    </w:p>
    <w:p w:rsidR="00A6587C" w:rsidRDefault="00A6587C" w:rsidP="00A6587C">
      <w:pPr>
        <w:pStyle w:val="StandardWeb"/>
      </w:pPr>
      <w:r>
        <w:t>Es kann gelten</w:t>
      </w:r>
    </w:p>
    <w:p w:rsidR="00A6587C" w:rsidRDefault="00A6587C" w:rsidP="00A6587C">
      <w:pPr>
        <w:pStyle w:val="StandardWeb"/>
      </w:pPr>
      <w:r>
        <w:t>[</w:t>
      </w:r>
      <w:r>
        <w:br/>
        <w:t>X_i\neq X_j</w:t>
      </w:r>
      <w:r>
        <w:br/>
        <w:t>\tag{3.8634}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X_i\neq X_j</w:t>
      </w:r>
    </w:p>
    <w:p w:rsidR="00A6587C" w:rsidRDefault="00A6587C" w:rsidP="00A6587C">
      <w:pPr>
        <w:pStyle w:val="StandardWeb"/>
      </w:pPr>
      <w:r>
        <w:t>und gleichzeitig</w:t>
      </w:r>
    </w:p>
    <w:p w:rsidR="00A6587C" w:rsidRDefault="00A6587C" w:rsidP="00A6587C">
      <w:pPr>
        <w:pStyle w:val="StandardWeb"/>
      </w:pPr>
      <w:r>
        <w:t>[</w:t>
      </w:r>
      <w:r>
        <w:br/>
        <w:t>C_F(X_i,X_j)\approx1.</w:t>
      </w:r>
      <w:r>
        <w:br/>
      </w:r>
      <w:r>
        <w:lastRenderedPageBreak/>
        <w:t>\tag{3.8635}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C_F(X_i,X_j)\approx1</w:t>
      </w:r>
    </w:p>
    <w:p w:rsidR="00A6587C" w:rsidRDefault="00A6587C" w:rsidP="00A6587C">
      <w:pPr>
        <w:pStyle w:val="StandardWeb"/>
      </w:pPr>
      <w:r>
        <w:t>Gerade funktional unterschiedliche Komponenten können stark aufeinander abgestimmt sein.</w:t>
      </w:r>
    </w:p>
    <w:p w:rsidR="00A6587C" w:rsidRDefault="00E50336" w:rsidP="00A6587C">
      <w:r>
        <w:pict>
          <v:rect id="_x0000_i2310" style="width:0;height:1.5pt" o:hralign="center" o:hrstd="t" o:hr="t" fillcolor="#a0a0a0" stroked="f"/>
        </w:pict>
      </w:r>
    </w:p>
    <w:p w:rsidR="00A6587C" w:rsidRDefault="00A6587C" w:rsidP="00A6587C">
      <w:pPr>
        <w:pStyle w:val="berschrift1"/>
      </w:pPr>
      <w:r>
        <w:t>3.3.43.63 Kohärenz durch Komplementarität</w:t>
      </w:r>
    </w:p>
    <w:p w:rsidR="00A6587C" w:rsidRDefault="00A6587C" w:rsidP="00A6587C">
      <w:pPr>
        <w:pStyle w:val="StandardWeb"/>
      </w:pPr>
      <w:r>
        <w:t>Ich bezeichne eine Beziehung als komplementär kohärent, wenn unterschiedliche Funktionen gemeinsam eine konsistente Gesamtfunktion ermöglichen.</w:t>
      </w:r>
    </w:p>
    <w:p w:rsidR="00A6587C" w:rsidRDefault="00A6587C" w:rsidP="00A6587C">
      <w:pPr>
        <w:pStyle w:val="StandardWeb"/>
      </w:pPr>
      <w:r>
        <w:t>Abstrakt:</w:t>
      </w:r>
    </w:p>
    <w:p w:rsidR="00A6587C" w:rsidRDefault="00A6587C" w:rsidP="00A6587C">
      <w:pPr>
        <w:pStyle w:val="StandardWeb"/>
      </w:pPr>
      <w:r>
        <w:t>[</w:t>
      </w:r>
      <w:r>
        <w:br/>
        <w:t>X_i\neq X_j,</w:t>
      </w:r>
      <w:r>
        <w:br/>
        <w:t>\qquad</w:t>
      </w:r>
      <w:r>
        <w:br/>
        <w:t>F(X_i,X_j)&gt;F(X_i)+F(X_j)</w:t>
      </w:r>
      <w:r>
        <w:br/>
        <w:t>\tag{3.8636}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X_i\neq X_j,\qquad F(X_i,X_j)&gt;F(X_i)+F(X_j)</w:t>
      </w:r>
    </w:p>
    <w:p w:rsidR="00A6587C" w:rsidRDefault="00A6587C" w:rsidP="00A6587C">
      <w:pPr>
        <w:pStyle w:val="StandardWeb"/>
      </w:pPr>
      <w:r>
        <w:t>unter einer zuvor definierten funktionalen Leistungsgröße (F).</w:t>
      </w:r>
    </w:p>
    <w:p w:rsidR="00A6587C" w:rsidRDefault="00A6587C" w:rsidP="00A6587C">
      <w:pPr>
        <w:pStyle w:val="StandardWeb"/>
      </w:pPr>
      <w:r>
        <w:t>Diese Formulierung darf nicht ohne spezifizierte Funktion (F) als allgemeine quantitative Aussage verwendet werden.</w:t>
      </w:r>
    </w:p>
    <w:p w:rsidR="00A6587C" w:rsidRDefault="00E50336" w:rsidP="00A6587C">
      <w:r>
        <w:pict>
          <v:rect id="_x0000_i2311" style="width:0;height:1.5pt" o:hralign="center" o:hrstd="t" o:hr="t" fillcolor="#a0a0a0" stroked="f"/>
        </w:pict>
      </w:r>
    </w:p>
    <w:p w:rsidR="00A6587C" w:rsidRDefault="00A6587C" w:rsidP="00A6587C">
      <w:pPr>
        <w:pStyle w:val="berschrift1"/>
      </w:pPr>
      <w:r>
        <w:t>3.3.43.64 Kohärenz und Synergie</w:t>
      </w:r>
    </w:p>
    <w:p w:rsidR="00A6587C" w:rsidRDefault="00A6587C" w:rsidP="00A6587C">
      <w:pPr>
        <w:pStyle w:val="StandardWeb"/>
      </w:pPr>
      <w:r>
        <w:t>Eine mögliche Synergiegröße lautet</w:t>
      </w:r>
    </w:p>
    <w:p w:rsidR="00A6587C" w:rsidRDefault="00A6587C" w:rsidP="00A6587C">
      <w:pPr>
        <w:pStyle w:val="berschrift1"/>
      </w:pPr>
      <w:r>
        <w:t>[</w:t>
      </w:r>
      <w:r>
        <w:br/>
        <w:t>S_{ij}</w:t>
      </w:r>
    </w:p>
    <w:p w:rsidR="00A6587C" w:rsidRDefault="00A6587C" w:rsidP="00A6587C">
      <w:pPr>
        <w:pStyle w:val="berschrift2"/>
      </w:pPr>
      <w:r>
        <w:t>F(X_i,X_j)</w:t>
      </w:r>
    </w:p>
    <w:p w:rsidR="00A6587C" w:rsidRDefault="00A6587C" w:rsidP="00A6587C">
      <w:pPr>
        <w:pStyle w:val="berschrift2"/>
      </w:pPr>
      <w:r>
        <w:t>F(X_i)</w:t>
      </w:r>
    </w:p>
    <w:p w:rsidR="00A6587C" w:rsidRDefault="00A6587C" w:rsidP="00A6587C">
      <w:pPr>
        <w:pStyle w:val="StandardWeb"/>
      </w:pPr>
      <w:r>
        <w:lastRenderedPageBreak/>
        <w:t>F(X_j).</w:t>
      </w:r>
      <w:r>
        <w:br/>
        <w:t>\tag{3.8637}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S_{ij}=F(X_i,X_j)-F(X_i)-F(X_j)</w:t>
      </w:r>
    </w:p>
    <w:p w:rsidR="00A6587C" w:rsidRDefault="00A6587C" w:rsidP="00A6587C">
      <w:pPr>
        <w:pStyle w:val="StandardWeb"/>
      </w:pPr>
      <w:r>
        <w:t>Für</w:t>
      </w:r>
    </w:p>
    <w:p w:rsidR="00A6587C" w:rsidRDefault="00A6587C" w:rsidP="00A6587C">
      <w:pPr>
        <w:pStyle w:val="StandardWeb"/>
      </w:pPr>
      <w:r>
        <w:t>[</w:t>
      </w:r>
      <w:r>
        <w:br/>
        <w:t>S_{ij}&gt;0</w:t>
      </w:r>
      <w:r>
        <w:br/>
        <w:t>\tag{3.8638}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S_{ij}&gt;0</w:t>
      </w:r>
    </w:p>
    <w:p w:rsidR="00A6587C" w:rsidRDefault="00A6587C" w:rsidP="00A6587C">
      <w:pPr>
        <w:pStyle w:val="StandardWeb"/>
      </w:pPr>
      <w:r>
        <w:t>liegt innerhalb dieser Operationalisierung ein positiver Kombinationseffekt vor.</w:t>
      </w:r>
    </w:p>
    <w:p w:rsidR="00A6587C" w:rsidRDefault="00A6587C" w:rsidP="00A6587C">
      <w:pPr>
        <w:pStyle w:val="StandardWeb"/>
      </w:pPr>
      <w:r>
        <w:t>Synergie und Kohärenz sind jedoch nicht identisch.</w:t>
      </w:r>
    </w:p>
    <w:p w:rsidR="00A6587C" w:rsidRDefault="00E50336" w:rsidP="00A6587C">
      <w:r>
        <w:pict>
          <v:rect id="_x0000_i2312" style="width:0;height:1.5pt" o:hralign="center" o:hrstd="t" o:hr="t" fillcolor="#a0a0a0" stroked="f"/>
        </w:pict>
      </w:r>
    </w:p>
    <w:p w:rsidR="00A6587C" w:rsidRDefault="00A6587C" w:rsidP="00A6587C">
      <w:pPr>
        <w:pStyle w:val="berschrift1"/>
      </w:pPr>
      <w:r>
        <w:t>3.3.43.65 Kohärenz ohne Synergie</w:t>
      </w:r>
    </w:p>
    <w:p w:rsidR="00A6587C" w:rsidRDefault="00A6587C" w:rsidP="00A6587C">
      <w:pPr>
        <w:pStyle w:val="StandardWeb"/>
      </w:pPr>
      <w:r>
        <w:t>Es kann gelten</w:t>
      </w:r>
    </w:p>
    <w:p w:rsidR="00A6587C" w:rsidRDefault="00A6587C" w:rsidP="00A6587C">
      <w:pPr>
        <w:pStyle w:val="StandardWeb"/>
      </w:pPr>
      <w:r>
        <w:t>[</w:t>
      </w:r>
      <w:r>
        <w:br/>
        <w:t>C_F(X_i,X_j)&gt;0</w:t>
      </w:r>
      <w:r>
        <w:br/>
        <w:t>\tag{3.8639}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C_F(X_i,X_j)&gt;0</w:t>
      </w:r>
    </w:p>
    <w:p w:rsidR="00A6587C" w:rsidRDefault="00A6587C" w:rsidP="00A6587C">
      <w:pPr>
        <w:pStyle w:val="StandardWeb"/>
      </w:pPr>
      <w:r>
        <w:t>und gleichzeitig</w:t>
      </w:r>
    </w:p>
    <w:p w:rsidR="00A6587C" w:rsidRDefault="00A6587C" w:rsidP="00A6587C">
      <w:pPr>
        <w:pStyle w:val="StandardWeb"/>
      </w:pPr>
      <w:r>
        <w:t>[</w:t>
      </w:r>
      <w:r>
        <w:br/>
        <w:t>S_{ij}=0.</w:t>
      </w:r>
      <w:r>
        <w:br/>
        <w:t>\tag{3.8640}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S_{ij}=0</w:t>
      </w:r>
    </w:p>
    <w:p w:rsidR="00A6587C" w:rsidRDefault="00A6587C" w:rsidP="00A6587C">
      <w:pPr>
        <w:pStyle w:val="StandardWeb"/>
      </w:pPr>
      <w:r>
        <w:t>Eine funktionale Beziehung muss keinen überadditiven Gesamteffekt erzeugen.</w:t>
      </w:r>
    </w:p>
    <w:p w:rsidR="00A6587C" w:rsidRDefault="00E50336" w:rsidP="00A6587C">
      <w:r>
        <w:lastRenderedPageBreak/>
        <w:pict>
          <v:rect id="_x0000_i2313" style="width:0;height:1.5pt" o:hralign="center" o:hrstd="t" o:hr="t" fillcolor="#a0a0a0" stroked="f"/>
        </w:pict>
      </w:r>
    </w:p>
    <w:p w:rsidR="00A6587C" w:rsidRDefault="00A6587C" w:rsidP="00A6587C">
      <w:pPr>
        <w:pStyle w:val="berschrift1"/>
      </w:pPr>
      <w:r>
        <w:t>3.3.43.66 Synergie ohne stabile Kohärenz</w:t>
      </w:r>
    </w:p>
    <w:p w:rsidR="00A6587C" w:rsidRDefault="00A6587C" w:rsidP="00A6587C">
      <w:pPr>
        <w:pStyle w:val="StandardWeb"/>
      </w:pPr>
      <w:r>
        <w:t>Umgekehrt kann ein positiver Kombinationseffekt nur in bestimmten Zuständen auftreten.</w:t>
      </w:r>
    </w:p>
    <w:p w:rsidR="00A6587C" w:rsidRDefault="00A6587C" w:rsidP="00A6587C">
      <w:pPr>
        <w:pStyle w:val="StandardWeb"/>
      </w:pPr>
      <w:r>
        <w:t>Dann gilt beispielsweise</w:t>
      </w:r>
    </w:p>
    <w:p w:rsidR="00A6587C" w:rsidRDefault="00A6587C" w:rsidP="00A6587C">
      <w:pPr>
        <w:pStyle w:val="StandardWeb"/>
      </w:pPr>
      <w:r>
        <w:t>[</w:t>
      </w:r>
      <w:r>
        <w:br/>
        <w:t>S_{ij}(z)&gt;0</w:t>
      </w:r>
      <w:r>
        <w:br/>
        <w:t>\tag{3.8641}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S_{ij}(z)&gt;0</w:t>
      </w:r>
    </w:p>
    <w:p w:rsidR="00A6587C" w:rsidRDefault="00A6587C" w:rsidP="00A6587C">
      <w:pPr>
        <w:pStyle w:val="StandardWeb"/>
      </w:pPr>
      <w:r>
        <w:t>bei geringer Kohärenzabdeckung</w:t>
      </w:r>
    </w:p>
    <w:p w:rsidR="00A6587C" w:rsidRDefault="00A6587C" w:rsidP="00A6587C">
      <w:pPr>
        <w:pStyle w:val="StandardWeb"/>
      </w:pPr>
      <w:r>
        <w:t>[</w:t>
      </w:r>
      <w:r>
        <w:br/>
        <w:t>R_{\Omega}^{C}\ll1.</w:t>
      </w:r>
      <w:r>
        <w:br/>
        <w:t>\tag{3.8642}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R_{\Omega}^{C}\ll1</w:t>
      </w:r>
    </w:p>
    <w:p w:rsidR="00A6587C" w:rsidRDefault="00A6587C" w:rsidP="00A6587C">
      <w:pPr>
        <w:pStyle w:val="StandardWeb"/>
      </w:pPr>
      <w:r>
        <w:t>Damit muss auch Synergie domänenbezogen interpretiert werden.</w:t>
      </w:r>
    </w:p>
    <w:p w:rsidR="00A6587C" w:rsidRDefault="00E50336" w:rsidP="00A6587C">
      <w:r>
        <w:pict>
          <v:rect id="_x0000_i2314" style="width:0;height:1.5pt" o:hralign="center" o:hrstd="t" o:hr="t" fillcolor="#a0a0a0" stroked="f"/>
        </w:pict>
      </w:r>
    </w:p>
    <w:p w:rsidR="00A6587C" w:rsidRDefault="00A6587C" w:rsidP="00A6587C">
      <w:pPr>
        <w:pStyle w:val="berschrift1"/>
      </w:pPr>
      <w:r>
        <w:t>3.3.43.67 Kohärenz und Stabilität</w:t>
      </w:r>
    </w:p>
    <w:p w:rsidR="00A6587C" w:rsidRDefault="00A6587C" w:rsidP="00A6587C">
      <w:pPr>
        <w:pStyle w:val="StandardWeb"/>
      </w:pPr>
      <w:r>
        <w:t>Ein System kann kohärent, aber instabil sein.</w:t>
      </w:r>
    </w:p>
    <w:p w:rsidR="00A6587C" w:rsidRDefault="00A6587C" w:rsidP="00A6587C">
      <w:pPr>
        <w:pStyle w:val="StandardWeb"/>
      </w:pPr>
      <w:r>
        <w:t>Es kann gelten</w:t>
      </w:r>
    </w:p>
    <w:p w:rsidR="00A6587C" w:rsidRDefault="00A6587C" w:rsidP="00A6587C">
      <w:pPr>
        <w:pStyle w:val="StandardWeb"/>
      </w:pPr>
      <w:r>
        <w:t>[</w:t>
      </w:r>
      <w:r>
        <w:br/>
        <w:t>C_{\mathrm{sys}}\approx1</w:t>
      </w:r>
      <w:r>
        <w:br/>
        <w:t>\tag{3.8643}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C_{\mathrm{sys}}\approx1</w:t>
      </w:r>
    </w:p>
    <w:p w:rsidR="00A6587C" w:rsidRDefault="00A6587C" w:rsidP="00A6587C">
      <w:pPr>
        <w:pStyle w:val="StandardWeb"/>
      </w:pPr>
      <w:r>
        <w:t>und gleichzeitig</w:t>
      </w:r>
    </w:p>
    <w:p w:rsidR="00A6587C" w:rsidRDefault="00A6587C" w:rsidP="00A6587C">
      <w:pPr>
        <w:pStyle w:val="StandardWeb"/>
      </w:pPr>
      <w:r>
        <w:t>[</w:t>
      </w:r>
      <w:r>
        <w:br/>
        <w:t>S_{\mathrm{sys}}\ll1.</w:t>
      </w:r>
      <w:r>
        <w:br/>
      </w:r>
      <w:r>
        <w:lastRenderedPageBreak/>
        <w:t>\tag{3.8644}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S_{\mathrm{sys}}\ll1</w:t>
      </w:r>
    </w:p>
    <w:p w:rsidR="00A6587C" w:rsidRDefault="00A6587C" w:rsidP="00A6587C">
      <w:pPr>
        <w:pStyle w:val="StandardWeb"/>
      </w:pPr>
      <w:r>
        <w:t>Dann sind die Systembestandteile stark miteinander gekoppelt, aber die gekoppelte Struktur reagiert empfindlich auf Störungen.</w:t>
      </w:r>
    </w:p>
    <w:p w:rsidR="00A6587C" w:rsidRDefault="00E50336" w:rsidP="00A6587C">
      <w:r>
        <w:pict>
          <v:rect id="_x0000_i2315" style="width:0;height:1.5pt" o:hralign="center" o:hrstd="t" o:hr="t" fillcolor="#a0a0a0" stroked="f"/>
        </w:pict>
      </w:r>
    </w:p>
    <w:p w:rsidR="00A6587C" w:rsidRDefault="00A6587C" w:rsidP="00A6587C">
      <w:pPr>
        <w:pStyle w:val="berschrift1"/>
      </w:pPr>
      <w:r>
        <w:t>3.3.43.68 Stabile geringe Kohärenz</w:t>
      </w:r>
    </w:p>
    <w:p w:rsidR="00A6587C" w:rsidRDefault="00A6587C" w:rsidP="00A6587C">
      <w:pPr>
        <w:pStyle w:val="StandardWeb"/>
      </w:pPr>
      <w:r>
        <w:t>Ebenso kann gelten</w:t>
      </w:r>
    </w:p>
    <w:p w:rsidR="00A6587C" w:rsidRDefault="00A6587C" w:rsidP="00A6587C">
      <w:pPr>
        <w:pStyle w:val="StandardWeb"/>
      </w:pPr>
      <w:r>
        <w:t>[</w:t>
      </w:r>
      <w:r>
        <w:br/>
        <w:t>C_{\mathrm{sys}}\ll1</w:t>
      </w:r>
      <w:r>
        <w:br/>
        <w:t>\tag{3.8645}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C_{\mathrm{sys}}\ll1</w:t>
      </w:r>
    </w:p>
    <w:p w:rsidR="00A6587C" w:rsidRDefault="00A6587C" w:rsidP="00A6587C">
      <w:pPr>
        <w:pStyle w:val="StandardWeb"/>
      </w:pPr>
      <w:r>
        <w:t>und</w:t>
      </w:r>
    </w:p>
    <w:p w:rsidR="00A6587C" w:rsidRDefault="00A6587C" w:rsidP="00A6587C">
      <w:pPr>
        <w:pStyle w:val="StandardWeb"/>
      </w:pPr>
      <w:r>
        <w:t>[</w:t>
      </w:r>
      <w:r>
        <w:br/>
        <w:t>S_{\mathrm{sys}}\approx1.</w:t>
      </w:r>
      <w:r>
        <w:br/>
        <w:t>\tag{3.8646}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S_{\mathrm{sys}}\approx1</w:t>
      </w:r>
    </w:p>
    <w:p w:rsidR="00A6587C" w:rsidRDefault="00A6587C" w:rsidP="00A6587C">
      <w:pPr>
        <w:pStyle w:val="StandardWeb"/>
      </w:pPr>
      <w:r>
        <w:t>Dann besteht eine stabile, aber schwach gekoppelte Struktur.</w:t>
      </w:r>
    </w:p>
    <w:p w:rsidR="00A6587C" w:rsidRDefault="00E50336" w:rsidP="00A6587C">
      <w:r>
        <w:pict>
          <v:rect id="_x0000_i2316" style="width:0;height:1.5pt" o:hralign="center" o:hrstd="t" o:hr="t" fillcolor="#a0a0a0" stroked="f"/>
        </w:pict>
      </w:r>
    </w:p>
    <w:p w:rsidR="00A6587C" w:rsidRDefault="00A6587C" w:rsidP="00A6587C">
      <w:pPr>
        <w:pStyle w:val="berschrift1"/>
      </w:pPr>
      <w:r>
        <w:t>3.3.43.69 Kohärenz-Stabilitäts-Profil</w:t>
      </w:r>
    </w:p>
    <w:p w:rsidR="00A6587C" w:rsidRDefault="00A6587C" w:rsidP="00A6587C">
      <w:pPr>
        <w:pStyle w:val="StandardWeb"/>
      </w:pPr>
      <w:r>
        <w:t>Ich definiere daher</w:t>
      </w:r>
    </w:p>
    <w:p w:rsidR="00A6587C" w:rsidRDefault="00A6587C" w:rsidP="00A6587C">
      <w:pPr>
        <w:pStyle w:val="berschrift1"/>
      </w:pPr>
      <w:r>
        <w:t>[</w:t>
      </w:r>
      <w:r>
        <w:br/>
        <w:t>\mathbf P_{CS}</w:t>
      </w:r>
    </w:p>
    <w:p w:rsidR="00A6587C" w:rsidRDefault="00A6587C" w:rsidP="00A6587C">
      <w:pPr>
        <w:pStyle w:val="StandardWeb"/>
      </w:pPr>
      <w:r>
        <w:t>\left(</w:t>
      </w:r>
      <w:r>
        <w:br/>
        <w:t>C_{\mathrm{sys}},</w:t>
      </w:r>
      <w:r>
        <w:br/>
      </w:r>
      <w:r>
        <w:lastRenderedPageBreak/>
        <w:t>S_{\mathrm{sys}}</w:t>
      </w:r>
      <w:r>
        <w:br/>
        <w:t>\right).</w:t>
      </w:r>
      <w:r>
        <w:br/>
        <w:t>\tag{3.8647}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\mathbf P_{CS}=\left(C_{\mathrm{sys}},S_{\mathrm{sys}}\right)</w:t>
      </w:r>
    </w:p>
    <w:p w:rsidR="00A6587C" w:rsidRDefault="00E50336" w:rsidP="00A6587C">
      <w:r>
        <w:pict>
          <v:rect id="_x0000_i2317" style="width:0;height:1.5pt" o:hralign="center" o:hrstd="t" o:hr="t" fillcolor="#a0a0a0" stroked="f"/>
        </w:pict>
      </w:r>
    </w:p>
    <w:p w:rsidR="00A6587C" w:rsidRDefault="00A6587C" w:rsidP="00A6587C">
      <w:pPr>
        <w:pStyle w:val="berschrift1"/>
      </w:pPr>
      <w:r>
        <w:t>3.3.43.70 Kohärenz und Robustheit</w:t>
      </w:r>
    </w:p>
    <w:p w:rsidR="00A6587C" w:rsidRDefault="00A6587C" w:rsidP="00A6587C">
      <w:pPr>
        <w:pStyle w:val="StandardWeb"/>
      </w:pPr>
      <w:r>
        <w:t>Auch Robustheit ist getrennt zu behandeln.</w:t>
      </w:r>
    </w:p>
    <w:p w:rsidR="00A6587C" w:rsidRDefault="00A6587C" w:rsidP="00A6587C">
      <w:pPr>
        <w:pStyle w:val="StandardWeb"/>
      </w:pPr>
      <w:r>
        <w:t>Ein kohärentes System kann bereits bei kleinen Störungen seine Kohärenz verlieren.</w:t>
      </w:r>
    </w:p>
    <w:p w:rsidR="00A6587C" w:rsidRDefault="00A6587C" w:rsidP="00A6587C">
      <w:pPr>
        <w:pStyle w:val="StandardWeb"/>
      </w:pPr>
      <w:r>
        <w:t>Ich definiere deshalb eine Kohärenzrobustheit</w:t>
      </w:r>
    </w:p>
    <w:p w:rsidR="00A6587C" w:rsidRDefault="00A6587C" w:rsidP="00A6587C">
      <w:pPr>
        <w:pStyle w:val="berschrift1"/>
      </w:pPr>
      <w:r>
        <w:t>[</w:t>
      </w:r>
      <w:r>
        <w:br/>
        <w:t>R_C^{\mathrm{rob}}</w:t>
      </w:r>
    </w:p>
    <w:p w:rsidR="00A6587C" w:rsidRDefault="00A6587C" w:rsidP="00A6587C">
      <w:pPr>
        <w:pStyle w:val="StandardWeb"/>
      </w:pPr>
      <w:r>
        <w:t>\Pr</w:t>
      </w:r>
      <w:r>
        <w:br/>
        <w:t>\left[</w:t>
      </w:r>
      <w:r>
        <w:br/>
        <w:t>C_{\mathrm{sys}}(\delta)</w:t>
      </w:r>
      <w:r>
        <w:br/>
        <w:t>\geq</w:t>
      </w:r>
      <w:r>
        <w:br/>
        <w:t>\tau_C</w:t>
      </w:r>
      <w:r>
        <w:br/>
        <w:t>\right]</w:t>
      </w:r>
      <w:r>
        <w:br/>
        <w:t>\tag{3.8648}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R_C^{\mathrm{rob}}=\Pr\left[C_{\mathrm{sys}}(\delta)\geq\tau_C\right]</w:t>
      </w:r>
    </w:p>
    <w:p w:rsidR="00A6587C" w:rsidRDefault="00A6587C" w:rsidP="00A6587C">
      <w:pPr>
        <w:pStyle w:val="StandardWeb"/>
      </w:pPr>
      <w:r>
        <w:t>über einen spezifizierten Störungsraum (\delta).</w:t>
      </w:r>
    </w:p>
    <w:p w:rsidR="00A6587C" w:rsidRDefault="00A6587C" w:rsidP="00A6587C">
      <w:pPr>
        <w:pStyle w:val="StandardWeb"/>
      </w:pPr>
      <w:r>
        <w:t>Diese probabilistische Darstellung ist nur bei entsprechend definierter Störungsverteilung sinnvoll.</w:t>
      </w:r>
    </w:p>
    <w:p w:rsidR="00A6587C" w:rsidRDefault="00E50336" w:rsidP="00A6587C">
      <w:r>
        <w:pict>
          <v:rect id="_x0000_i2318" style="width:0;height:1.5pt" o:hralign="center" o:hrstd="t" o:hr="t" fillcolor="#a0a0a0" stroked="f"/>
        </w:pict>
      </w:r>
    </w:p>
    <w:p w:rsidR="00A6587C" w:rsidRDefault="00A6587C" w:rsidP="00A6587C">
      <w:pPr>
        <w:pStyle w:val="berschrift1"/>
      </w:pPr>
      <w:r>
        <w:t>3.3.43.71 Deterministische Kohärenzrobustheit</w:t>
      </w:r>
    </w:p>
    <w:p w:rsidR="00A6587C" w:rsidRDefault="00A6587C" w:rsidP="00A6587C">
      <w:pPr>
        <w:pStyle w:val="StandardWeb"/>
      </w:pPr>
      <w:r>
        <w:t>Alternativ kann die zulässige Störungsmenge definiert werden:</w:t>
      </w:r>
    </w:p>
    <w:p w:rsidR="00A6587C" w:rsidRDefault="00A6587C" w:rsidP="00A6587C">
      <w:pPr>
        <w:pStyle w:val="berschrift1"/>
      </w:pPr>
      <w:r>
        <w:t>[</w:t>
      </w:r>
      <w:r>
        <w:br/>
        <w:t>\Delta_C</w:t>
      </w:r>
    </w:p>
    <w:p w:rsidR="00A6587C" w:rsidRDefault="00A6587C" w:rsidP="00A6587C">
      <w:pPr>
        <w:pStyle w:val="StandardWeb"/>
      </w:pPr>
      <w:r>
        <w:lastRenderedPageBreak/>
        <w:t>\left{</w:t>
      </w:r>
      <w:r>
        <w:br/>
        <w:t>\delta:</w:t>
      </w:r>
      <w:r>
        <w:br/>
        <w:t>C_{\mathrm{sys}}(\delta)\geq\tau_C</w:t>
      </w:r>
      <w:r>
        <w:br/>
        <w:t>\right}.</w:t>
      </w:r>
      <w:r>
        <w:br/>
        <w:t>\tag{3.8649}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\Delta_C=\left\{\delta:C_{\mathrm{sys}}(\delta)\geq\tau_C\right\}</w:t>
      </w:r>
    </w:p>
    <w:p w:rsidR="00A6587C" w:rsidRDefault="00A6587C" w:rsidP="00A6587C">
      <w:pPr>
        <w:pStyle w:val="StandardWeb"/>
      </w:pPr>
      <w:r>
        <w:t>Ihre Größe beschreibt die robuste Kohärenzdomäne.</w:t>
      </w:r>
    </w:p>
    <w:p w:rsidR="00A6587C" w:rsidRDefault="00E50336" w:rsidP="00A6587C">
      <w:r>
        <w:pict>
          <v:rect id="_x0000_i2319" style="width:0;height:1.5pt" o:hralign="center" o:hrstd="t" o:hr="t" fillcolor="#a0a0a0" stroked="f"/>
        </w:pict>
      </w:r>
    </w:p>
    <w:p w:rsidR="00A6587C" w:rsidRDefault="00A6587C" w:rsidP="00A6587C">
      <w:pPr>
        <w:pStyle w:val="berschrift1"/>
      </w:pPr>
      <w:r>
        <w:t>3.3.43.72 Kohärenzreserve</w:t>
      </w:r>
    </w:p>
    <w:p w:rsidR="00A6587C" w:rsidRDefault="00A6587C" w:rsidP="00A6587C">
      <w:pPr>
        <w:pStyle w:val="StandardWeb"/>
      </w:pPr>
      <w:r>
        <w:t>Analog zu Stabilitäts- und Konsistenzreserve definiere ich</w:t>
      </w:r>
    </w:p>
    <w:p w:rsidR="00A6587C" w:rsidRDefault="00A6587C" w:rsidP="00A6587C">
      <w:pPr>
        <w:pStyle w:val="berschrift1"/>
      </w:pPr>
      <w:r>
        <w:t>[</w:t>
      </w:r>
      <w:r>
        <w:br/>
        <w:t>M_C</w:t>
      </w:r>
    </w:p>
    <w:p w:rsidR="00A6587C" w:rsidRDefault="00A6587C" w:rsidP="00A6587C">
      <w:pPr>
        <w:pStyle w:val="StandardWeb"/>
      </w:pPr>
      <w:r>
        <w:t>d</w:t>
      </w:r>
      <w:r>
        <w:br/>
        <w:t>\left(</w:t>
      </w:r>
      <w:r>
        <w:br/>
        <w:t>z,</w:t>
      </w:r>
      <w:r>
        <w:br/>
        <w:t>\partial\Omega_C</w:t>
      </w:r>
      <w:r>
        <w:br/>
        <w:t>\right).</w:t>
      </w:r>
      <w:r>
        <w:br/>
        <w:t>\tag{3.8650}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M_C=d\left(z,\partial\Omega_C\right)</w:t>
      </w:r>
    </w:p>
    <w:p w:rsidR="00A6587C" w:rsidRDefault="00A6587C" w:rsidP="00A6587C">
      <w:pPr>
        <w:pStyle w:val="StandardWeb"/>
      </w:pPr>
      <w:r>
        <w:t>Dabei ist</w:t>
      </w:r>
    </w:p>
    <w:p w:rsidR="00A6587C" w:rsidRDefault="00A6587C" w:rsidP="00A6587C">
      <w:pPr>
        <w:pStyle w:val="berschrift1"/>
      </w:pPr>
      <w:r>
        <w:t>[</w:t>
      </w:r>
      <w:r>
        <w:br/>
        <w:t>\Omega_C</w:t>
      </w:r>
    </w:p>
    <w:p w:rsidR="00A6587C" w:rsidRDefault="00A6587C" w:rsidP="00A6587C">
      <w:pPr>
        <w:pStyle w:val="StandardWeb"/>
      </w:pPr>
      <w:r>
        <w:t>{z:C_{\mathrm{sys}}(z)\geq\tau_C}.</w:t>
      </w:r>
      <w:r>
        <w:br/>
        <w:t>\tag{3.8651}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\Omega_C=\{z:C_{\mathrm{sys}}(z)\geq\tau_C\}</w:t>
      </w:r>
    </w:p>
    <w:p w:rsidR="00A6587C" w:rsidRDefault="00E50336" w:rsidP="00A6587C">
      <w:r>
        <w:pict>
          <v:rect id="_x0000_i2320" style="width:0;height:1.5pt" o:hralign="center" o:hrstd="t" o:hr="t" fillcolor="#a0a0a0" stroked="f"/>
        </w:pict>
      </w:r>
    </w:p>
    <w:p w:rsidR="00A6587C" w:rsidRDefault="00A6587C" w:rsidP="00A6587C">
      <w:pPr>
        <w:pStyle w:val="berschrift1"/>
      </w:pPr>
      <w:r>
        <w:lastRenderedPageBreak/>
        <w:t>3.3.43.73 Kohärenzreserve und Kohärenzgrad sind verschieden</w:t>
      </w:r>
    </w:p>
    <w:p w:rsidR="00A6587C" w:rsidRDefault="00A6587C" w:rsidP="00A6587C">
      <w:pPr>
        <w:pStyle w:val="StandardWeb"/>
      </w:pPr>
      <w:r>
        <w:t>Ein System kann aktuell hohe Kohärenz besitzen,</w:t>
      </w:r>
    </w:p>
    <w:p w:rsidR="00A6587C" w:rsidRDefault="00A6587C" w:rsidP="00A6587C">
      <w:pPr>
        <w:pStyle w:val="StandardWeb"/>
      </w:pPr>
      <w:r>
        <w:t>[</w:t>
      </w:r>
      <w:r>
        <w:br/>
        <w:t>C_{\mathrm{sys}}\approx1,</w:t>
      </w:r>
      <w:r>
        <w:br/>
        <w:t>\tag{3.8652}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C_{\mathrm{sys}}\approx1</w:t>
      </w:r>
    </w:p>
    <w:p w:rsidR="00A6587C" w:rsidRDefault="00A6587C" w:rsidP="00A6587C">
      <w:pPr>
        <w:pStyle w:val="StandardWeb"/>
      </w:pPr>
      <w:r>
        <w:t>aber nahe an der Kohärenzgrenze liegen:</w:t>
      </w:r>
    </w:p>
    <w:p w:rsidR="00A6587C" w:rsidRDefault="00A6587C" w:rsidP="00A6587C">
      <w:pPr>
        <w:pStyle w:val="StandardWeb"/>
      </w:pPr>
      <w:r>
        <w:t>[</w:t>
      </w:r>
      <w:r>
        <w:br/>
        <w:t>M_C\approx0.</w:t>
      </w:r>
      <w:r>
        <w:br/>
        <w:t>\tag{3.8653}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M_C\approx0</w:t>
      </w:r>
    </w:p>
    <w:p w:rsidR="00A6587C" w:rsidRDefault="00A6587C" w:rsidP="00A6587C">
      <w:pPr>
        <w:pStyle w:val="StandardWeb"/>
      </w:pPr>
      <w:r>
        <w:t>Dann ist der aktuelle Zustand kohärent, aber fragil.</w:t>
      </w:r>
    </w:p>
    <w:p w:rsidR="00A6587C" w:rsidRDefault="00E50336" w:rsidP="00A6587C">
      <w:r>
        <w:pict>
          <v:rect id="_x0000_i2321" style="width:0;height:1.5pt" o:hralign="center" o:hrstd="t" o:hr="t" fillcolor="#a0a0a0" stroked="f"/>
        </w:pict>
      </w:r>
    </w:p>
    <w:p w:rsidR="00A6587C" w:rsidRDefault="00A6587C" w:rsidP="00A6587C">
      <w:pPr>
        <w:pStyle w:val="berschrift1"/>
      </w:pPr>
      <w:r>
        <w:t>3.3.43.74 Fragile Kohärenz</w:t>
      </w:r>
    </w:p>
    <w:p w:rsidR="00A6587C" w:rsidRDefault="00A6587C" w:rsidP="00A6587C">
      <w:pPr>
        <w:pStyle w:val="StandardWeb"/>
      </w:pPr>
      <w:r>
        <w:t>Ich bezeichne daher</w:t>
      </w:r>
    </w:p>
    <w:p w:rsidR="00A6587C" w:rsidRDefault="00A6587C" w:rsidP="00A6587C">
      <w:pPr>
        <w:pStyle w:val="StandardWeb"/>
      </w:pPr>
      <w:r>
        <w:t>[</w:t>
      </w:r>
      <w:r>
        <w:br/>
        <w:t>C_{\mathrm{sys}}\geq\tau_C</w:t>
      </w:r>
      <w:r>
        <w:br/>
        <w:t>\land</w:t>
      </w:r>
      <w:r>
        <w:br/>
        <w:t>M_C\ll1</w:t>
      </w:r>
      <w:r>
        <w:br/>
        <w:t>\tag{3.8654}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C_{\mathrm{sys}}\geq\tau_C\land M_C\ll1</w:t>
      </w:r>
    </w:p>
    <w:p w:rsidR="00A6587C" w:rsidRDefault="00A6587C" w:rsidP="00A6587C">
      <w:pPr>
        <w:pStyle w:val="StandardWeb"/>
      </w:pPr>
      <w:r>
        <w:t>als fragile Kohärenz.</w:t>
      </w:r>
    </w:p>
    <w:p w:rsidR="00A6587C" w:rsidRDefault="00E50336" w:rsidP="00A6587C">
      <w:r>
        <w:pict>
          <v:rect id="_x0000_i2322" style="width:0;height:1.5pt" o:hralign="center" o:hrstd="t" o:hr="t" fillcolor="#a0a0a0" stroked="f"/>
        </w:pict>
      </w:r>
    </w:p>
    <w:p w:rsidR="00A6587C" w:rsidRDefault="00A6587C" w:rsidP="00A6587C">
      <w:pPr>
        <w:pStyle w:val="berschrift1"/>
      </w:pPr>
      <w:r>
        <w:t>3.3.43.75 Robuste Kohärenz</w:t>
      </w:r>
    </w:p>
    <w:p w:rsidR="00A6587C" w:rsidRDefault="00A6587C" w:rsidP="00A6587C">
      <w:pPr>
        <w:pStyle w:val="StandardWeb"/>
      </w:pPr>
      <w:r>
        <w:lastRenderedPageBreak/>
        <w:t>Dagegen gilt bei</w:t>
      </w:r>
    </w:p>
    <w:p w:rsidR="00A6587C" w:rsidRDefault="00A6587C" w:rsidP="00A6587C">
      <w:pPr>
        <w:pStyle w:val="StandardWeb"/>
      </w:pPr>
      <w:r>
        <w:t>[</w:t>
      </w:r>
      <w:r>
        <w:br/>
        <w:t>C_{\mathrm{sys}}\geq\tau_C</w:t>
      </w:r>
      <w:r>
        <w:br/>
        <w:t>\tag{3.8655}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C_{\mathrm{sys}}\geq\tau_C</w:t>
      </w:r>
    </w:p>
    <w:p w:rsidR="00A6587C" w:rsidRDefault="00A6587C" w:rsidP="00A6587C">
      <w:pPr>
        <w:pStyle w:val="StandardWeb"/>
      </w:pPr>
      <w:r>
        <w:t>und</w:t>
      </w:r>
    </w:p>
    <w:p w:rsidR="00A6587C" w:rsidRDefault="00A6587C" w:rsidP="00A6587C">
      <w:pPr>
        <w:pStyle w:val="StandardWeb"/>
      </w:pPr>
      <w:r>
        <w:t>[</w:t>
      </w:r>
      <w:r>
        <w:br/>
        <w:t>M_C\gg0</w:t>
      </w:r>
      <w:r>
        <w:br/>
        <w:t>\tag{3.8656}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M_C\gg0</w:t>
      </w:r>
    </w:p>
    <w:p w:rsidR="00A6587C" w:rsidRDefault="00A6587C" w:rsidP="00A6587C">
      <w:pPr>
        <w:pStyle w:val="StandardWeb"/>
      </w:pPr>
      <w:r>
        <w:t>robuste Kohärenz innerhalb der betrachteten Metrik.</w:t>
      </w:r>
    </w:p>
    <w:p w:rsidR="00A6587C" w:rsidRDefault="00E50336" w:rsidP="00A6587C">
      <w:r>
        <w:pict>
          <v:rect id="_x0000_i2323" style="width:0;height:1.5pt" o:hralign="center" o:hrstd="t" o:hr="t" fillcolor="#a0a0a0" stroked="f"/>
        </w:pict>
      </w:r>
    </w:p>
    <w:p w:rsidR="00A6587C" w:rsidRDefault="00A6587C" w:rsidP="00A6587C">
      <w:pPr>
        <w:pStyle w:val="berschrift1"/>
      </w:pPr>
      <w:r>
        <w:t>3.3.43.76 Kohärenz und Redundanz</w:t>
      </w:r>
    </w:p>
    <w:p w:rsidR="00A6587C" w:rsidRDefault="00A6587C" w:rsidP="00A6587C">
      <w:pPr>
        <w:pStyle w:val="StandardWeb"/>
      </w:pPr>
      <w:r>
        <w:t>Redundanz kann Kohärenz stabilisieren, ist aber nicht mit Kohärenz identisch.</w:t>
      </w:r>
    </w:p>
    <w:p w:rsidR="00A6587C" w:rsidRDefault="00A6587C" w:rsidP="00A6587C">
      <w:pPr>
        <w:pStyle w:val="StandardWeb"/>
      </w:pPr>
      <w:r>
        <w:t>Seien zwei funktional ähnliche Pfade</w:t>
      </w:r>
    </w:p>
    <w:p w:rsidR="00A6587C" w:rsidRDefault="00A6587C" w:rsidP="00A6587C">
      <w:pPr>
        <w:pStyle w:val="StandardWeb"/>
      </w:pPr>
      <w:r>
        <w:t>[</w:t>
      </w:r>
      <w:r>
        <w:br/>
        <w:t>p_1</w:t>
      </w:r>
      <w:r>
        <w:br/>
        <w:t>\quad\text{und}\quad</w:t>
      </w:r>
      <w:r>
        <w:br/>
        <w:t>p_2.</w:t>
      </w:r>
      <w:r>
        <w:br/>
        <w:t>\tag{3.8657}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p_1\quad\text{und}\quad p_2</w:t>
      </w:r>
    </w:p>
    <w:p w:rsidR="00A6587C" w:rsidRDefault="00A6587C" w:rsidP="00A6587C">
      <w:pPr>
        <w:pStyle w:val="StandardWeb"/>
      </w:pPr>
      <w:r>
        <w:t>Fällt (p_1) aus, kann (p_2) die funktionale Verbindung aufrechterhalten.</w:t>
      </w:r>
    </w:p>
    <w:p w:rsidR="00A6587C" w:rsidRDefault="00E50336" w:rsidP="00A6587C">
      <w:r>
        <w:pict>
          <v:rect id="_x0000_i2324" style="width:0;height:1.5pt" o:hralign="center" o:hrstd="t" o:hr="t" fillcolor="#a0a0a0" stroked="f"/>
        </w:pict>
      </w:r>
    </w:p>
    <w:p w:rsidR="00A6587C" w:rsidRDefault="00A6587C" w:rsidP="00A6587C">
      <w:pPr>
        <w:pStyle w:val="berschrift1"/>
      </w:pPr>
      <w:r>
        <w:t>3.3.43.77 Redundanzgrad</w:t>
      </w:r>
    </w:p>
    <w:p w:rsidR="00A6587C" w:rsidRDefault="00A6587C" w:rsidP="00A6587C">
      <w:pPr>
        <w:pStyle w:val="StandardWeb"/>
      </w:pPr>
      <w:r>
        <w:t>Ich definiere abstrakt</w:t>
      </w:r>
    </w:p>
    <w:p w:rsidR="00A6587C" w:rsidRDefault="00A6587C" w:rsidP="00A6587C">
      <w:pPr>
        <w:pStyle w:val="berschrift1"/>
      </w:pPr>
      <w:r>
        <w:lastRenderedPageBreak/>
        <w:t>[</w:t>
      </w:r>
      <w:r>
        <w:br/>
        <w:t>R_{\mathrm{red}}</w:t>
      </w:r>
    </w:p>
    <w:p w:rsidR="00A6587C" w:rsidRDefault="00A6587C" w:rsidP="00A6587C">
      <w:pPr>
        <w:pStyle w:val="StandardWeb"/>
      </w:pPr>
      <w:r>
        <w:t>N_{\mathrm{alt}}</w:t>
      </w:r>
      <w:r>
        <w:br/>
        <w:t>\tag{3.8658}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R_{\mathrm{red}}=N_{\mathrm{alt}}</w:t>
      </w:r>
    </w:p>
    <w:p w:rsidR="00A6587C" w:rsidRDefault="00A6587C" w:rsidP="00A6587C">
      <w:pPr>
        <w:pStyle w:val="StandardWeb"/>
      </w:pPr>
      <w:r>
        <w:t>als Anzahl hinreichend unabhängiger alternativer Kohärenzpfade.</w:t>
      </w:r>
    </w:p>
    <w:p w:rsidR="00A6587C" w:rsidRDefault="00A6587C" w:rsidP="00A6587C">
      <w:pPr>
        <w:pStyle w:val="StandardWeb"/>
      </w:pPr>
      <w:r>
        <w:t>Eine normierte Variante kann bei Bedarf verwendet werden.</w:t>
      </w:r>
    </w:p>
    <w:p w:rsidR="00A6587C" w:rsidRDefault="00E50336" w:rsidP="00A6587C">
      <w:r>
        <w:pict>
          <v:rect id="_x0000_i2325" style="width:0;height:1.5pt" o:hralign="center" o:hrstd="t" o:hr="t" fillcolor="#a0a0a0" stroked="f"/>
        </w:pict>
      </w:r>
    </w:p>
    <w:p w:rsidR="00A6587C" w:rsidRDefault="00A6587C" w:rsidP="00A6587C">
      <w:pPr>
        <w:pStyle w:val="berschrift1"/>
      </w:pPr>
      <w:r>
        <w:t>3.3.43.78 Redundanz erhöht nicht zwingend Kohärenz</w:t>
      </w:r>
    </w:p>
    <w:p w:rsidR="00A6587C" w:rsidRDefault="00A6587C" w:rsidP="00A6587C">
      <w:pPr>
        <w:pStyle w:val="StandardWeb"/>
      </w:pPr>
      <w:r>
        <w:t>Es gilt</w:t>
      </w:r>
    </w:p>
    <w:p w:rsidR="00A6587C" w:rsidRDefault="00A6587C" w:rsidP="00A6587C">
      <w:pPr>
        <w:pStyle w:val="StandardWeb"/>
      </w:pPr>
      <w:r>
        <w:t>[</w:t>
      </w:r>
      <w:r>
        <w:br/>
        <w:t>R_{\mathrm{red}}\uparrow</w:t>
      </w:r>
      <w:r>
        <w:br/>
        <w:t>\nRightarrow</w:t>
      </w:r>
      <w:r>
        <w:br/>
        <w:t>C_{\mathrm{sys}}\uparrow.</w:t>
      </w:r>
      <w:r>
        <w:br/>
        <w:t>\tag{3.8659}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R_{\mathrm{red}}\uparrow\nRightarrow C_{\mathrm{sys}}\uparrow</w:t>
      </w:r>
    </w:p>
    <w:p w:rsidR="00A6587C" w:rsidRDefault="00A6587C" w:rsidP="00A6587C">
      <w:pPr>
        <w:pStyle w:val="StandardWeb"/>
      </w:pPr>
      <w:r>
        <w:t>Redundanz kann vor allem die Robustheit einer vorhandenen Kohärenzstruktur erhöhen.</w:t>
      </w:r>
    </w:p>
    <w:p w:rsidR="00A6587C" w:rsidRDefault="00E50336" w:rsidP="00A6587C">
      <w:r>
        <w:pict>
          <v:rect id="_x0000_i2326" style="width:0;height:1.5pt" o:hralign="center" o:hrstd="t" o:hr="t" fillcolor="#a0a0a0" stroked="f"/>
        </w:pict>
      </w:r>
    </w:p>
    <w:p w:rsidR="00A6587C" w:rsidRDefault="00A6587C" w:rsidP="00A6587C">
      <w:pPr>
        <w:pStyle w:val="berschrift1"/>
      </w:pPr>
      <w:r>
        <w:t>3.3.43.79 Kohärenz und Synchronisation</w:t>
      </w:r>
    </w:p>
    <w:p w:rsidR="00A6587C" w:rsidRDefault="00A6587C" w:rsidP="00A6587C">
      <w:pPr>
        <w:pStyle w:val="StandardWeb"/>
      </w:pPr>
      <w:r>
        <w:t>Synchronisation ist eine mögliche Form kohärenten Verhaltens, aber nicht mit Kohärenz identisch.</w:t>
      </w:r>
    </w:p>
    <w:p w:rsidR="00A6587C" w:rsidRDefault="00A6587C" w:rsidP="00A6587C">
      <w:pPr>
        <w:pStyle w:val="StandardWeb"/>
      </w:pPr>
      <w:r>
        <w:t>Seien zwei Phasen</w:t>
      </w:r>
    </w:p>
    <w:p w:rsidR="00A6587C" w:rsidRDefault="00A6587C" w:rsidP="00A6587C">
      <w:pPr>
        <w:pStyle w:val="StandardWeb"/>
      </w:pPr>
      <w:r>
        <w:t>[</w:t>
      </w:r>
      <w:r>
        <w:br/>
        <w:t>\phi_i(t)</w:t>
      </w:r>
      <w:r>
        <w:br/>
        <w:t>\quad\text{und}\quad</w:t>
      </w:r>
      <w:r>
        <w:br/>
        <w:t>\phi_j(t).</w:t>
      </w:r>
      <w:r>
        <w:br/>
        <w:t>\tag{3.8660}</w:t>
      </w:r>
      <w:r>
        <w:br/>
        <w:t>]</w:t>
      </w:r>
    </w:p>
    <w:p w:rsidR="00A6587C" w:rsidRDefault="00A6587C" w:rsidP="00A6587C">
      <w:pPr>
        <w:pStyle w:val="StandardWeb"/>
      </w:pPr>
      <w:r>
        <w:rPr>
          <w:rStyle w:val="Fett"/>
        </w:rPr>
        <w:lastRenderedPageBreak/>
        <w:t>Word-LaTeX</w:t>
      </w:r>
    </w:p>
    <w:p w:rsidR="00A6587C" w:rsidRDefault="00A6587C" w:rsidP="00A6587C">
      <w:pPr>
        <w:pStyle w:val="HTMLVorformatiert"/>
        <w:rPr>
          <w:rStyle w:val="HTMLCode"/>
        </w:rPr>
      </w:pPr>
      <w:r>
        <w:rPr>
          <w:rStyle w:val="HTMLCode"/>
        </w:rPr>
        <w:t>\phi_i(t)\quad\text{und}\quad\phi_j(t)</w:t>
      </w:r>
    </w:p>
    <w:p w:rsidR="00A6587C" w:rsidRDefault="00A6587C" w:rsidP="00A6587C">
      <w:pPr>
        <w:pStyle w:val="StandardWeb"/>
      </w:pPr>
      <w:r>
        <w:t>Phasensynchronisation kann beispielsweise vorliegen, wenn</w:t>
      </w:r>
    </w:p>
    <w:p w:rsidR="00A6587C" w:rsidRDefault="00A6587C" w:rsidP="00A6587C">
      <w:pPr>
        <w:pStyle w:val="StandardWeb"/>
      </w:pPr>
      <w:r>
        <w:t>[</w:t>
      </w:r>
      <w:r>
        <w:br/>
        <w:t>|\phi_i(t)-\phi_j(t)|</w:t>
      </w:r>
      <w:r>
        <w:br/>
        <w:t>\leq</w:t>
      </w:r>
      <w:r>
        <w:br/>
        <w:t>\tau_{\phi}.</w:t>
      </w:r>
      <w:r>
        <w:br/>
        <w:t>\tag{3.8661}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|\phi_i(t)-\phi_j(t)|\leq\tau_{\phi}</w:t>
      </w:r>
    </w:p>
    <w:p w:rsidR="00A6587C" w:rsidRDefault="00E50336" w:rsidP="00A6587C">
      <w:r>
        <w:pict>
          <v:rect id="_x0000_i2327" style="width:0;height:1.5pt" o:hralign="center" o:hrstd="t" o:hr="t" fillcolor="#a0a0a0" stroked="f"/>
        </w:pict>
      </w:r>
    </w:p>
    <w:p w:rsidR="00A6587C" w:rsidRDefault="00A6587C" w:rsidP="00A6587C">
      <w:pPr>
        <w:pStyle w:val="berschrift1"/>
      </w:pPr>
      <w:r>
        <w:t>3.3.43.80 Synchronisation als Kohärenzindikator</w:t>
      </w:r>
    </w:p>
    <w:p w:rsidR="00A6587C" w:rsidRDefault="00A6587C" w:rsidP="00A6587C">
      <w:pPr>
        <w:pStyle w:val="StandardWeb"/>
      </w:pPr>
      <w:r>
        <w:t>Ein Synchronisationsgrad</w:t>
      </w:r>
    </w:p>
    <w:p w:rsidR="00A6587C" w:rsidRDefault="00A6587C" w:rsidP="00A6587C">
      <w:pPr>
        <w:pStyle w:val="StandardWeb"/>
      </w:pPr>
      <w:r>
        <w:t>[</w:t>
      </w:r>
      <w:r>
        <w:br/>
        <w:t>R_{\mathrm{sync}}</w:t>
      </w:r>
      <w:r>
        <w:br/>
        <w:t>\tag{3.8662}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R_{\mathrm{sync}}</w:t>
      </w:r>
    </w:p>
    <w:p w:rsidR="00A6587C" w:rsidRDefault="00A6587C" w:rsidP="00A6587C">
      <w:pPr>
        <w:pStyle w:val="StandardWeb"/>
      </w:pPr>
      <w:r>
        <w:t>kann in dynamischen Anwendungen als Teilindikator für Kohärenz dienen.</w:t>
      </w:r>
    </w:p>
    <w:p w:rsidR="00A6587C" w:rsidRDefault="00A6587C" w:rsidP="00A6587C">
      <w:pPr>
        <w:pStyle w:val="StandardWeb"/>
      </w:pPr>
      <w:r>
        <w:t>Im Allgemeinen gilt jedoch</w:t>
      </w:r>
    </w:p>
    <w:p w:rsidR="00A6587C" w:rsidRDefault="00A6587C" w:rsidP="00A6587C">
      <w:pPr>
        <w:pStyle w:val="StandardWeb"/>
      </w:pPr>
      <w:r>
        <w:t>[</w:t>
      </w:r>
      <w:r>
        <w:br/>
        <w:t>R_{\mathrm{sync}}\approx1</w:t>
      </w:r>
      <w:r>
        <w:br/>
        <w:t>\nRightarrow</w:t>
      </w:r>
      <w:r>
        <w:br/>
        <w:t>C_F\approx1.</w:t>
      </w:r>
      <w:r>
        <w:br/>
        <w:t>\tag{3.8663}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R_{\mathrm{sync}}\approx1\nRightarrow C_F\approx1</w:t>
      </w:r>
    </w:p>
    <w:p w:rsidR="00A6587C" w:rsidRDefault="00A6587C" w:rsidP="00A6587C">
      <w:pPr>
        <w:pStyle w:val="StandardWeb"/>
      </w:pPr>
      <w:r>
        <w:t>Synchronisation kann ohne die für die jeweilige wissenschaftliche Aussage relevante funktionale Kopplung auftreten.</w:t>
      </w:r>
    </w:p>
    <w:p w:rsidR="00A6587C" w:rsidRDefault="00E50336" w:rsidP="00A6587C">
      <w:r>
        <w:pict>
          <v:rect id="_x0000_i2328" style="width:0;height:1.5pt" o:hralign="center" o:hrstd="t" o:hr="t" fillcolor="#a0a0a0" stroked="f"/>
        </w:pict>
      </w:r>
    </w:p>
    <w:p w:rsidR="00A6587C" w:rsidRDefault="00A6587C" w:rsidP="00A6587C">
      <w:pPr>
        <w:pStyle w:val="berschrift1"/>
      </w:pPr>
      <w:r>
        <w:lastRenderedPageBreak/>
        <w:t>3.3.43.81 Kohärenz und Informationsaustausch</w:t>
      </w:r>
    </w:p>
    <w:p w:rsidR="00A6587C" w:rsidRDefault="00A6587C" w:rsidP="00A6587C">
      <w:pPr>
        <w:pStyle w:val="StandardWeb"/>
      </w:pPr>
      <w:r>
        <w:t>Eine weitere mögliche Operationalisierung ergibt sich durch Informationsübertragung.</w:t>
      </w:r>
    </w:p>
    <w:p w:rsidR="00A6587C" w:rsidRDefault="00A6587C" w:rsidP="00A6587C">
      <w:pPr>
        <w:pStyle w:val="StandardWeb"/>
      </w:pPr>
      <w:r>
        <w:t>Sei</w:t>
      </w:r>
    </w:p>
    <w:p w:rsidR="00A6587C" w:rsidRDefault="00A6587C" w:rsidP="00A6587C">
      <w:pPr>
        <w:pStyle w:val="StandardWeb"/>
      </w:pPr>
      <w:r>
        <w:t>[</w:t>
      </w:r>
      <w:r>
        <w:br/>
        <w:t>I_{i\rightarrow j}</w:t>
      </w:r>
      <w:r>
        <w:br/>
        <w:t>\tag{3.8664}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I_{i\rightarrow j}</w:t>
      </w:r>
    </w:p>
    <w:p w:rsidR="00A6587C" w:rsidRDefault="00A6587C" w:rsidP="00A6587C">
      <w:pPr>
        <w:pStyle w:val="StandardWeb"/>
      </w:pPr>
      <w:r>
        <w:t>eine geeignete Informationsübertragungsgröße.</w:t>
      </w:r>
    </w:p>
    <w:p w:rsidR="00A6587C" w:rsidRDefault="00A6587C" w:rsidP="00A6587C">
      <w:pPr>
        <w:pStyle w:val="StandardWeb"/>
      </w:pPr>
      <w:r>
        <w:t>Dann kann</w:t>
      </w:r>
    </w:p>
    <w:p w:rsidR="00A6587C" w:rsidRDefault="00A6587C" w:rsidP="00A6587C">
      <w:pPr>
        <w:pStyle w:val="StandardWeb"/>
      </w:pPr>
      <w:r>
        <w:t>[</w:t>
      </w:r>
      <w:r>
        <w:br/>
        <w:t>I_{i\rightarrow j}&gt;0</w:t>
      </w:r>
      <w:r>
        <w:br/>
        <w:t>\tag{3.8665}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I_{i\rightarrow j}&gt;0</w:t>
      </w:r>
    </w:p>
    <w:p w:rsidR="00A6587C" w:rsidRDefault="00A6587C" w:rsidP="00A6587C">
      <w:pPr>
        <w:pStyle w:val="StandardWeb"/>
      </w:pPr>
      <w:r>
        <w:t>ein Hinweis auf gerichtete funktionale Kopplung sein.</w:t>
      </w:r>
    </w:p>
    <w:p w:rsidR="00A6587C" w:rsidRDefault="00A6587C" w:rsidP="00A6587C">
      <w:pPr>
        <w:pStyle w:val="StandardWeb"/>
      </w:pPr>
      <w:r>
        <w:t>Doch auch hier gilt</w:t>
      </w:r>
    </w:p>
    <w:p w:rsidR="00A6587C" w:rsidRDefault="00A6587C" w:rsidP="00A6587C">
      <w:pPr>
        <w:pStyle w:val="StandardWeb"/>
      </w:pPr>
      <w:r>
        <w:t>[</w:t>
      </w:r>
      <w:r>
        <w:br/>
        <w:t>I_{i\rightarrow j}&gt;0</w:t>
      </w:r>
      <w:r>
        <w:br/>
        <w:t>\nRightarrow</w:t>
      </w:r>
      <w:r>
        <w:br/>
        <w:t>C_{i\rightarrow j}&gt;0</w:t>
      </w:r>
      <w:r>
        <w:br/>
        <w:t>\tag{3.8666}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I_{i\rightarrow j}&gt;0\nRightarrow C_{i\rightarrow j}&gt;0</w:t>
      </w:r>
    </w:p>
    <w:p w:rsidR="00A6587C" w:rsidRDefault="00A6587C" w:rsidP="00A6587C">
      <w:pPr>
        <w:pStyle w:val="StandardWeb"/>
      </w:pPr>
      <w:r>
        <w:t>ohne vorher festgelegte funktionale Interpretation.</w:t>
      </w:r>
    </w:p>
    <w:p w:rsidR="00A6587C" w:rsidRDefault="00E50336" w:rsidP="00A6587C">
      <w:r>
        <w:pict>
          <v:rect id="_x0000_i2329" style="width:0;height:1.5pt" o:hralign="center" o:hrstd="t" o:hr="t" fillcolor="#a0a0a0" stroked="f"/>
        </w:pict>
      </w:r>
    </w:p>
    <w:p w:rsidR="00A6587C" w:rsidRDefault="00A6587C" w:rsidP="00A6587C">
      <w:pPr>
        <w:pStyle w:val="berschrift1"/>
      </w:pPr>
      <w:r>
        <w:t>3.3.43.82 Kohärenz als Meta-Begriff über Operationalisierungen</w:t>
      </w:r>
    </w:p>
    <w:p w:rsidR="00A6587C" w:rsidRDefault="00A6587C" w:rsidP="00A6587C">
      <w:pPr>
        <w:pStyle w:val="StandardWeb"/>
      </w:pPr>
      <w:r>
        <w:lastRenderedPageBreak/>
        <w:t>Damit wird deutlich, dass Kohärenz nicht mit einer einzelnen Messgröße identifiziert werden darf.</w:t>
      </w:r>
    </w:p>
    <w:p w:rsidR="00A6587C" w:rsidRDefault="00A6587C" w:rsidP="00A6587C">
      <w:pPr>
        <w:pStyle w:val="StandardWeb"/>
      </w:pPr>
      <w:r>
        <w:t>Mögliche Indikatoren seien</w:t>
      </w:r>
    </w:p>
    <w:p w:rsidR="00A6587C" w:rsidRDefault="00A6587C" w:rsidP="00A6587C">
      <w:pPr>
        <w:pStyle w:val="berschrift1"/>
      </w:pPr>
      <w:r>
        <w:t>[</w:t>
      </w:r>
      <w:r>
        <w:br/>
        <w:t>\mathcal I_C</w:t>
      </w:r>
    </w:p>
    <w:p w:rsidR="00A6587C" w:rsidRDefault="00A6587C" w:rsidP="00A6587C">
      <w:pPr>
        <w:pStyle w:val="StandardWeb"/>
      </w:pPr>
      <w:r>
        <w:t>\left{</w:t>
      </w:r>
      <w:r>
        <w:br/>
        <w:t>\rho,</w:t>
      </w:r>
      <w:r>
        <w:br/>
        <w:t>R_{\mathrm{sync}},</w:t>
      </w:r>
      <w:r>
        <w:br/>
        <w:t>I_{i\rightarrow j},</w:t>
      </w:r>
      <w:r>
        <w:br/>
        <w:t>S_{ij},</w:t>
      </w:r>
      <w:r>
        <w:br/>
        <w:t>\ldots</w:t>
      </w:r>
      <w:r>
        <w:br/>
        <w:t>\right}.</w:t>
      </w:r>
      <w:r>
        <w:br/>
        <w:t>\tag{3.8667}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\mathcal I_C=\left\{\rho,R_{\mathrm{sync}},I_{i\rightarrow j},S_{ij},\ldots\right\}</w:t>
      </w:r>
    </w:p>
    <w:p w:rsidR="00A6587C" w:rsidRDefault="00A6587C" w:rsidP="00A6587C">
      <w:pPr>
        <w:pStyle w:val="StandardWeb"/>
      </w:pPr>
      <w:r>
        <w:t>Der theoretische Kohärenzbegriff bleibt davon getrennt:</w:t>
      </w:r>
    </w:p>
    <w:p w:rsidR="00A6587C" w:rsidRDefault="00A6587C" w:rsidP="00A6587C">
      <w:pPr>
        <w:pStyle w:val="StandardWeb"/>
      </w:pPr>
      <w:r>
        <w:t>[</w:t>
      </w:r>
      <w:r>
        <w:br/>
        <w:t>C_F</w:t>
      </w:r>
      <w:r>
        <w:br/>
        <w:t>\neq</w:t>
      </w:r>
      <w:r>
        <w:br/>
        <w:t>I_C^{(k)}</w:t>
      </w:r>
      <w:r>
        <w:br/>
        <w:t>\tag{3.8668}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C_F\neq I_C^{(k)}</w:t>
      </w:r>
    </w:p>
    <w:p w:rsidR="00A6587C" w:rsidRDefault="00A6587C" w:rsidP="00A6587C">
      <w:pPr>
        <w:pStyle w:val="StandardWeb"/>
      </w:pPr>
      <w:r>
        <w:t>für einen einzelnen Indikator (I_C^{(k)}).</w:t>
      </w:r>
    </w:p>
    <w:p w:rsidR="00A6587C" w:rsidRDefault="00E50336" w:rsidP="00A6587C">
      <w:r>
        <w:pict>
          <v:rect id="_x0000_i2330" style="width:0;height:1.5pt" o:hralign="center" o:hrstd="t" o:hr="t" fillcolor="#a0a0a0" stroked="f"/>
        </w:pict>
      </w:r>
    </w:p>
    <w:p w:rsidR="00A6587C" w:rsidRDefault="00A6587C" w:rsidP="00A6587C">
      <w:pPr>
        <w:pStyle w:val="berschrift1"/>
      </w:pPr>
      <w:r>
        <w:t>3.3.43.83 Definition 3.3.57 – Kohärenzoperationalisierung</w:t>
      </w:r>
    </w:p>
    <w:p w:rsidR="00A6587C" w:rsidRDefault="00A6587C" w:rsidP="00A6587C">
      <w:pPr>
        <w:pStyle w:val="berschrift3"/>
      </w:pPr>
      <w:r>
        <w:t>Definition 3.3.57</w:t>
      </w:r>
    </w:p>
    <w:p w:rsidR="00A6587C" w:rsidRDefault="00A6587C" w:rsidP="00A6587C">
      <w:pPr>
        <w:pStyle w:val="StandardWeb"/>
      </w:pPr>
      <w:r>
        <w:t>Eine Kohärenzoperationalisierung ist eine explizite Abbildung</w:t>
      </w:r>
    </w:p>
    <w:p w:rsidR="00A6587C" w:rsidRDefault="00A6587C" w:rsidP="00A6587C">
      <w:pPr>
        <w:pStyle w:val="StandardWeb"/>
      </w:pPr>
      <w:r>
        <w:t>[</w:t>
      </w:r>
      <w:r>
        <w:br/>
        <w:t>\mathcal O_C:</w:t>
      </w:r>
      <w:r>
        <w:br/>
      </w:r>
      <w:r>
        <w:lastRenderedPageBreak/>
        <w:t>\mathcal D</w:t>
      </w:r>
      <w:r>
        <w:br/>
        <w:t>\rightarrow</w:t>
      </w:r>
      <w:r>
        <w:br/>
        <w:t>[0,1]</w:t>
      </w:r>
      <w:r>
        <w:br/>
        <w:t>\tag{3.8669}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\mathcal O_C:\mathcal D\rightarrow[0,1]</w:t>
      </w:r>
    </w:p>
    <w:p w:rsidR="00A6587C" w:rsidRDefault="00A6587C" w:rsidP="00A6587C">
      <w:pPr>
        <w:pStyle w:val="StandardWeb"/>
      </w:pPr>
      <w:r>
        <w:t>die aus beobachtbaren oder berechenbaren Daten einen Kohärenzindikator erzeugt.</w:t>
      </w:r>
    </w:p>
    <w:p w:rsidR="00A6587C" w:rsidRDefault="00A6587C" w:rsidP="00A6587C">
      <w:pPr>
        <w:pStyle w:val="StandardWeb"/>
      </w:pPr>
      <w:r>
        <w:t>Die Operationalisierung selbst ist nicht mit dem theoretischen Kohärenzbegriff identisch.</w:t>
      </w:r>
    </w:p>
    <w:p w:rsidR="00A6587C" w:rsidRDefault="00E50336" w:rsidP="00A6587C">
      <w:r>
        <w:pict>
          <v:rect id="_x0000_i2331" style="width:0;height:1.5pt" o:hralign="center" o:hrstd="t" o:hr="t" fillcolor="#a0a0a0" stroked="f"/>
        </w:pict>
      </w:r>
    </w:p>
    <w:p w:rsidR="00A6587C" w:rsidRDefault="00A6587C" w:rsidP="00A6587C">
      <w:pPr>
        <w:pStyle w:val="berschrift1"/>
      </w:pPr>
      <w:r>
        <w:t>3.3.43.84 Operationalisierungsabhängige Kohärenzwerte</w:t>
      </w:r>
    </w:p>
    <w:p w:rsidR="00A6587C" w:rsidRDefault="00A6587C" w:rsidP="00A6587C">
      <w:pPr>
        <w:pStyle w:val="StandardWeb"/>
      </w:pPr>
      <w:r>
        <w:t>Für zwei Operationalisierungen kann gelten</w:t>
      </w:r>
    </w:p>
    <w:p w:rsidR="00A6587C" w:rsidRDefault="00A6587C" w:rsidP="00A6587C">
      <w:pPr>
        <w:pStyle w:val="StandardWeb"/>
      </w:pPr>
      <w:r>
        <w:t>[</w:t>
      </w:r>
      <w:r>
        <w:br/>
        <w:t>C_F^{(O_1)}</w:t>
      </w:r>
      <w:r>
        <w:br/>
        <w:t>\neq</w:t>
      </w:r>
      <w:r>
        <w:br/>
        <w:t>C_F^{(O_2)}.</w:t>
      </w:r>
      <w:r>
        <w:br/>
        <w:t>\tag{3.8670}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C_F^{(O_1)}\neq C_F^{(O_2)}</w:t>
      </w:r>
    </w:p>
    <w:p w:rsidR="00A6587C" w:rsidRDefault="00A6587C" w:rsidP="00A6587C">
      <w:pPr>
        <w:pStyle w:val="StandardWeb"/>
      </w:pPr>
      <w:r>
        <w:t>Dies stellt zunächst keinen logischen Widerspruch dar.</w:t>
      </w:r>
    </w:p>
    <w:p w:rsidR="00A6587C" w:rsidRDefault="00A6587C" w:rsidP="00A6587C">
      <w:pPr>
        <w:pStyle w:val="StandardWeb"/>
      </w:pPr>
      <w:r>
        <w:t>Es zeigt vielmehr, dass unterschiedliche Aspekte der funktionalen Beziehung erfasst werden können.</w:t>
      </w:r>
    </w:p>
    <w:p w:rsidR="00A6587C" w:rsidRDefault="00E50336" w:rsidP="00A6587C">
      <w:r>
        <w:pict>
          <v:rect id="_x0000_i2332" style="width:0;height:1.5pt" o:hralign="center" o:hrstd="t" o:hr="t" fillcolor="#a0a0a0" stroked="f"/>
        </w:pict>
      </w:r>
    </w:p>
    <w:p w:rsidR="00A6587C" w:rsidRDefault="00A6587C" w:rsidP="00A6587C">
      <w:pPr>
        <w:pStyle w:val="berschrift1"/>
      </w:pPr>
      <w:r>
        <w:t>3.3.43.85 Operationalisierungskonsistenz</w:t>
      </w:r>
    </w:p>
    <w:p w:rsidR="00A6587C" w:rsidRDefault="00A6587C" w:rsidP="00A6587C">
      <w:pPr>
        <w:pStyle w:val="StandardWeb"/>
      </w:pPr>
      <w:r>
        <w:t>Vor einem direkten Vergleich muss deshalb geprüft werden</w:t>
      </w:r>
    </w:p>
    <w:p w:rsidR="00A6587C" w:rsidRDefault="00A6587C" w:rsidP="00A6587C">
      <w:pPr>
        <w:pStyle w:val="StandardWeb"/>
      </w:pPr>
      <w:r>
        <w:t>[</w:t>
      </w:r>
      <w:r>
        <w:br/>
        <w:t>K_O(O_1,O_2)=1.</w:t>
      </w:r>
      <w:r>
        <w:br/>
        <w:t>\tag{3.8671}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lastRenderedPageBreak/>
        <w:t>K_O(O_1,O_2)=1</w:t>
      </w:r>
    </w:p>
    <w:p w:rsidR="00A6587C" w:rsidRDefault="00A6587C" w:rsidP="00A6587C">
      <w:pPr>
        <w:pStyle w:val="StandardWeb"/>
      </w:pPr>
      <w:r>
        <w:t>Nur bei kompatibler Operationalisierung sind numerische Kohärenzwerte unmittelbar vergleichbar.</w:t>
      </w:r>
    </w:p>
    <w:p w:rsidR="00A6587C" w:rsidRDefault="00E50336" w:rsidP="00A6587C">
      <w:r>
        <w:pict>
          <v:rect id="_x0000_i2333" style="width:0;height:1.5pt" o:hralign="center" o:hrstd="t" o:hr="t" fillcolor="#a0a0a0" stroked="f"/>
        </w:pict>
      </w:r>
    </w:p>
    <w:p w:rsidR="00A6587C" w:rsidRDefault="00A6587C" w:rsidP="00A6587C">
      <w:pPr>
        <w:pStyle w:val="berschrift1"/>
      </w:pPr>
      <w:r>
        <w:t>3.3.43.86 Kohärenzunsicherheit</w:t>
      </w:r>
    </w:p>
    <w:p w:rsidR="00A6587C" w:rsidRDefault="00A6587C" w:rsidP="00A6587C">
      <w:pPr>
        <w:pStyle w:val="StandardWeb"/>
      </w:pPr>
      <w:r>
        <w:t>Auch ein Kohärenzwert kann unsicher sein.</w:t>
      </w:r>
    </w:p>
    <w:p w:rsidR="00A6587C" w:rsidRDefault="00A6587C" w:rsidP="00A6587C">
      <w:pPr>
        <w:pStyle w:val="StandardWeb"/>
      </w:pPr>
      <w:r>
        <w:t>Ich schreibe</w:t>
      </w:r>
    </w:p>
    <w:p w:rsidR="00A6587C" w:rsidRDefault="00A6587C" w:rsidP="00A6587C">
      <w:pPr>
        <w:pStyle w:val="berschrift1"/>
      </w:pPr>
      <w:r>
        <w:t>[</w:t>
      </w:r>
      <w:r>
        <w:br/>
        <w:t>U_C</w:t>
      </w:r>
    </w:p>
    <w:p w:rsidR="00A6587C" w:rsidRDefault="00A6587C" w:rsidP="00A6587C">
      <w:pPr>
        <w:pStyle w:val="StandardWeb"/>
      </w:pPr>
      <w:r>
        <w:t>U(C_F).</w:t>
      </w:r>
      <w:r>
        <w:br/>
        <w:t>\tag{3.8672}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U_C=U(C_F)</w:t>
      </w:r>
    </w:p>
    <w:p w:rsidR="00A6587C" w:rsidRDefault="00A6587C" w:rsidP="00A6587C">
      <w:pPr>
        <w:pStyle w:val="StandardWeb"/>
      </w:pPr>
      <w:r>
        <w:t>Damit wird zwischen Kohärenzgrad und Sicherheit dieses Kohärenzurteils unterschieden.</w:t>
      </w:r>
    </w:p>
    <w:p w:rsidR="00A6587C" w:rsidRDefault="00E50336" w:rsidP="00A6587C">
      <w:r>
        <w:pict>
          <v:rect id="_x0000_i2334" style="width:0;height:1.5pt" o:hralign="center" o:hrstd="t" o:hr="t" fillcolor="#a0a0a0" stroked="f"/>
        </w:pict>
      </w:r>
    </w:p>
    <w:p w:rsidR="00A6587C" w:rsidRDefault="00A6587C" w:rsidP="00A6587C">
      <w:pPr>
        <w:pStyle w:val="berschrift1"/>
      </w:pPr>
      <w:r>
        <w:t>3.3.43.87 Kohärenzintervall</w:t>
      </w:r>
    </w:p>
    <w:p w:rsidR="00A6587C" w:rsidRDefault="00A6587C" w:rsidP="00A6587C">
      <w:pPr>
        <w:pStyle w:val="StandardWeb"/>
      </w:pPr>
      <w:r>
        <w:t>Für einen geschätzten Wert (\hat C_F) kann ein Unsicherheitsintervall</w:t>
      </w:r>
    </w:p>
    <w:p w:rsidR="00A6587C" w:rsidRDefault="00A6587C" w:rsidP="00A6587C">
      <w:pPr>
        <w:pStyle w:val="StandardWeb"/>
      </w:pPr>
      <w:r>
        <w:t>[</w:t>
      </w:r>
      <w:r>
        <w:br/>
        <w:t>C_F</w:t>
      </w:r>
      <w:r>
        <w:br/>
        <w:t>\in</w:t>
      </w:r>
      <w:r>
        <w:br/>
        <w:t>[\hat C_F-u_C,\hat C_F+u_C]</w:t>
      </w:r>
      <w:r>
        <w:br/>
        <w:t>\tag{3.8673}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C_F\in[\hat C_F-u_C,\hat C_F+u_C]</w:t>
      </w:r>
    </w:p>
    <w:p w:rsidR="00A6587C" w:rsidRDefault="00A6587C" w:rsidP="00A6587C">
      <w:pPr>
        <w:pStyle w:val="StandardWeb"/>
      </w:pPr>
      <w:r>
        <w:t>angegeben werden.</w:t>
      </w:r>
    </w:p>
    <w:p w:rsidR="00A6587C" w:rsidRDefault="00A6587C" w:rsidP="00A6587C">
      <w:pPr>
        <w:pStyle w:val="StandardWeb"/>
      </w:pPr>
      <w:r>
        <w:t>Die genaue statistische Konstruktion hängt von der verwendeten Operationalisierung ab.</w:t>
      </w:r>
    </w:p>
    <w:p w:rsidR="00A6587C" w:rsidRDefault="00E50336" w:rsidP="00A6587C">
      <w:r>
        <w:pict>
          <v:rect id="_x0000_i2335" style="width:0;height:1.5pt" o:hralign="center" o:hrstd="t" o:hr="t" fillcolor="#a0a0a0" stroked="f"/>
        </w:pict>
      </w:r>
    </w:p>
    <w:p w:rsidR="00A6587C" w:rsidRDefault="00A6587C" w:rsidP="00A6587C">
      <w:pPr>
        <w:pStyle w:val="berschrift1"/>
      </w:pPr>
      <w:r>
        <w:lastRenderedPageBreak/>
        <w:t>3.3.43.88 Unentscheidbare Kohärenz</w:t>
      </w:r>
    </w:p>
    <w:p w:rsidR="00A6587C" w:rsidRDefault="00A6587C" w:rsidP="00A6587C">
      <w:pPr>
        <w:pStyle w:val="StandardWeb"/>
      </w:pPr>
      <w:r>
        <w:t>Falls das Intervall eine relevante Schwelle überdeckt,</w:t>
      </w:r>
    </w:p>
    <w:p w:rsidR="00A6587C" w:rsidRDefault="00A6587C" w:rsidP="00A6587C">
      <w:pPr>
        <w:pStyle w:val="StandardWeb"/>
      </w:pPr>
      <w:r>
        <w:t>[</w:t>
      </w:r>
      <w:r>
        <w:br/>
        <w:t>\hat C_F-u_C</w:t>
      </w:r>
      <w:r>
        <w:br/>
        <w:t>&lt;</w:t>
      </w:r>
      <w:r>
        <w:br/>
        <w:t>\tau_C</w:t>
      </w:r>
      <w:r>
        <w:br/>
        <w:t>&lt;</w:t>
      </w:r>
      <w:r>
        <w:br/>
        <w:t>\hat C_F+u_C,</w:t>
      </w:r>
      <w:r>
        <w:br/>
        <w:t>\tag{3.8674}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\hat C_F-u_C&lt;\tau_C&lt;\hat C_F+u_C</w:t>
      </w:r>
    </w:p>
    <w:p w:rsidR="00A6587C" w:rsidRDefault="00A6587C" w:rsidP="00A6587C">
      <w:pPr>
        <w:pStyle w:val="StandardWeb"/>
      </w:pPr>
      <w:r>
        <w:t>kann ein eindeutiger Kohärenzstatus unentscheidbar bleiben.</w:t>
      </w:r>
    </w:p>
    <w:p w:rsidR="00A6587C" w:rsidRDefault="00A6587C" w:rsidP="00A6587C">
      <w:pPr>
        <w:pStyle w:val="StandardWeb"/>
      </w:pPr>
      <w:r>
        <w:t>Ich schreibe</w:t>
      </w:r>
    </w:p>
    <w:p w:rsidR="00A6587C" w:rsidRDefault="00A6587C" w:rsidP="00A6587C">
      <w:pPr>
        <w:pStyle w:val="StandardWeb"/>
      </w:pPr>
      <w:r>
        <w:t>[</w:t>
      </w:r>
      <w:r>
        <w:br/>
        <w:t>s_C=\mathbf U.</w:t>
      </w:r>
      <w:r>
        <w:br/>
        <w:t>\tag{3.8675}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s_C=\mathbf U</w:t>
      </w:r>
    </w:p>
    <w:p w:rsidR="00A6587C" w:rsidRDefault="00E50336" w:rsidP="00A6587C">
      <w:r>
        <w:pict>
          <v:rect id="_x0000_i2336" style="width:0;height:1.5pt" o:hralign="center" o:hrstd="t" o:hr="t" fillcolor="#a0a0a0" stroked="f"/>
        </w:pict>
      </w:r>
    </w:p>
    <w:p w:rsidR="00A6587C" w:rsidRDefault="00A6587C" w:rsidP="00A6587C">
      <w:pPr>
        <w:pStyle w:val="berschrift1"/>
      </w:pPr>
      <w:r>
        <w:t>3.3.43.89 Kohärenzstatus</w:t>
      </w:r>
    </w:p>
    <w:p w:rsidR="00A6587C" w:rsidRDefault="00A6587C" w:rsidP="00A6587C">
      <w:pPr>
        <w:pStyle w:val="StandardWeb"/>
      </w:pPr>
      <w:r>
        <w:t>Allgemein definiere ich</w:t>
      </w:r>
    </w:p>
    <w:p w:rsidR="00A6587C" w:rsidRDefault="00A6587C" w:rsidP="00A6587C">
      <w:pPr>
        <w:pStyle w:val="StandardWeb"/>
      </w:pPr>
      <w:r>
        <w:t>[</w:t>
      </w:r>
      <w:r>
        <w:br/>
        <w:t>s_C</w:t>
      </w:r>
      <w:r>
        <w:br/>
        <w:t>\in</w:t>
      </w:r>
      <w:r>
        <w:br/>
        <w:t>\left{</w:t>
      </w:r>
      <w:r>
        <w:br/>
        <w:t>\mathbf C,</w:t>
      </w:r>
      <w:r>
        <w:br/>
        <w:t>\mathbf{NC},</w:t>
      </w:r>
      <w:r>
        <w:br/>
        <w:t>\mathbf U,</w:t>
      </w:r>
      <w:r>
        <w:br/>
        <w:t>\mathbf{NV}</w:t>
      </w:r>
      <w:r>
        <w:br/>
        <w:t>\right}.</w:t>
      </w:r>
      <w:r>
        <w:br/>
        <w:t>\tag{3.8676}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s_C\in\left\{\mathbf C,\mathbf{NC},\mathbf U,\mathbf{NV}\right\}</w:t>
      </w:r>
    </w:p>
    <w:p w:rsidR="00A6587C" w:rsidRDefault="00A6587C" w:rsidP="00A6587C">
      <w:pPr>
        <w:pStyle w:val="StandardWeb"/>
      </w:pPr>
      <w:r>
        <w:lastRenderedPageBreak/>
        <w:t>Dabei bedeuten</w:t>
      </w:r>
    </w:p>
    <w:p w:rsidR="00A6587C" w:rsidRDefault="00A6587C" w:rsidP="008C5E65">
      <w:pPr>
        <w:pStyle w:val="StandardWeb"/>
        <w:numPr>
          <w:ilvl w:val="0"/>
          <w:numId w:val="413"/>
        </w:numPr>
      </w:pPr>
      <w:r>
        <w:t>(\mathbf C): kohärent,</w:t>
      </w:r>
    </w:p>
    <w:p w:rsidR="00A6587C" w:rsidRDefault="00A6587C" w:rsidP="008C5E65">
      <w:pPr>
        <w:pStyle w:val="StandardWeb"/>
        <w:numPr>
          <w:ilvl w:val="0"/>
          <w:numId w:val="413"/>
        </w:numPr>
      </w:pPr>
      <w:r>
        <w:t>(\mathbf{NC}): nicht kohärent,</w:t>
      </w:r>
    </w:p>
    <w:p w:rsidR="00A6587C" w:rsidRDefault="00A6587C" w:rsidP="008C5E65">
      <w:pPr>
        <w:pStyle w:val="StandardWeb"/>
        <w:numPr>
          <w:ilvl w:val="0"/>
          <w:numId w:val="413"/>
        </w:numPr>
      </w:pPr>
      <w:r>
        <w:t>(\mathbf U): unentscheidbar,</w:t>
      </w:r>
    </w:p>
    <w:p w:rsidR="00A6587C" w:rsidRDefault="00A6587C" w:rsidP="008C5E65">
      <w:pPr>
        <w:pStyle w:val="StandardWeb"/>
        <w:numPr>
          <w:ilvl w:val="0"/>
          <w:numId w:val="413"/>
        </w:numPr>
      </w:pPr>
      <w:r>
        <w:t>(\mathbf{NV}): nicht vergleichbar.</w:t>
      </w:r>
    </w:p>
    <w:p w:rsidR="00A6587C" w:rsidRDefault="00E50336" w:rsidP="00A6587C">
      <w:r>
        <w:pict>
          <v:rect id="_x0000_i2337" style="width:0;height:1.5pt" o:hralign="center" o:hrstd="t" o:hr="t" fillcolor="#a0a0a0" stroked="f"/>
        </w:pict>
      </w:r>
    </w:p>
    <w:p w:rsidR="00A6587C" w:rsidRDefault="00A6587C" w:rsidP="00A6587C">
      <w:pPr>
        <w:pStyle w:val="berschrift1"/>
      </w:pPr>
      <w:r>
        <w:t>3.3.43.90 Kohärenzstatus setzt Konsistenz voraus</w:t>
      </w:r>
    </w:p>
    <w:p w:rsidR="00A6587C" w:rsidRDefault="00A6587C" w:rsidP="00A6587C">
      <w:pPr>
        <w:pStyle w:val="StandardWeb"/>
      </w:pPr>
      <w:r>
        <w:t>Für einen positiven Kohärenzstatus gilt</w:t>
      </w:r>
    </w:p>
    <w:p w:rsidR="00A6587C" w:rsidRDefault="00A6587C" w:rsidP="00A6587C">
      <w:pPr>
        <w:pStyle w:val="StandardWeb"/>
      </w:pPr>
      <w:r>
        <w:t>[</w:t>
      </w:r>
      <w:r>
        <w:br/>
        <w:t>s_C=\mathbf C</w:t>
      </w:r>
      <w:r>
        <w:br/>
        <w:t>\Rightarrow</w:t>
      </w:r>
      <w:r>
        <w:br/>
        <w:t>s_K=\mathbf K.</w:t>
      </w:r>
      <w:r>
        <w:br/>
        <w:t>\tag{3.8677}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s_C=\mathbf C\Rightarrow s_K=\mathbf K</w:t>
      </w:r>
    </w:p>
    <w:p w:rsidR="00A6587C" w:rsidRDefault="00A6587C" w:rsidP="00A6587C">
      <w:pPr>
        <w:pStyle w:val="StandardWeb"/>
      </w:pPr>
      <w:r>
        <w:t>Für</w:t>
      </w:r>
    </w:p>
    <w:p w:rsidR="00A6587C" w:rsidRDefault="00A6587C" w:rsidP="00A6587C">
      <w:pPr>
        <w:pStyle w:val="StandardWeb"/>
      </w:pPr>
      <w:r>
        <w:t>[</w:t>
      </w:r>
      <w:r>
        <w:br/>
        <w:t>s_K=\mathbf W</w:t>
      </w:r>
      <w:r>
        <w:br/>
        <w:t>\tag{3.8678}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s_K=\mathbf W</w:t>
      </w:r>
    </w:p>
    <w:p w:rsidR="00A6587C" w:rsidRDefault="00A6587C" w:rsidP="00A6587C">
      <w:pPr>
        <w:pStyle w:val="StandardWeb"/>
      </w:pPr>
      <w:r>
        <w:t>muss daher</w:t>
      </w:r>
    </w:p>
    <w:p w:rsidR="00A6587C" w:rsidRDefault="00A6587C" w:rsidP="00A6587C">
      <w:pPr>
        <w:pStyle w:val="StandardWeb"/>
      </w:pPr>
      <w:r>
        <w:t>[</w:t>
      </w:r>
      <w:r>
        <w:br/>
        <w:t>s_C=\mathbf{NC}</w:t>
      </w:r>
      <w:r>
        <w:br/>
        <w:t>\tag{3.8679}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s_C=\mathbf{NC}</w:t>
      </w:r>
    </w:p>
    <w:p w:rsidR="00A6587C" w:rsidRDefault="00A6587C" w:rsidP="00A6587C">
      <w:pPr>
        <w:pStyle w:val="StandardWeb"/>
      </w:pPr>
      <w:r>
        <w:t>oder eine entsprechende Konfliktkennzeichnung verwendet werden.</w:t>
      </w:r>
    </w:p>
    <w:p w:rsidR="00A6587C" w:rsidRDefault="00E50336" w:rsidP="00A6587C">
      <w:r>
        <w:pict>
          <v:rect id="_x0000_i2338" style="width:0;height:1.5pt" o:hralign="center" o:hrstd="t" o:hr="t" fillcolor="#a0a0a0" stroked="f"/>
        </w:pict>
      </w:r>
    </w:p>
    <w:p w:rsidR="00A6587C" w:rsidRDefault="00A6587C" w:rsidP="00A6587C">
      <w:pPr>
        <w:pStyle w:val="berschrift1"/>
      </w:pPr>
      <w:r>
        <w:t>3.3.43.91 Kohärenz unter Transformation</w:t>
      </w:r>
    </w:p>
    <w:p w:rsidR="00A6587C" w:rsidRDefault="00A6587C" w:rsidP="00A6587C">
      <w:pPr>
        <w:pStyle w:val="StandardWeb"/>
      </w:pPr>
      <w:r>
        <w:lastRenderedPageBreak/>
        <w:t>Eine Transformation</w:t>
      </w:r>
    </w:p>
    <w:p w:rsidR="00A6587C" w:rsidRDefault="00A6587C" w:rsidP="00A6587C">
      <w:pPr>
        <w:pStyle w:val="StandardWeb"/>
      </w:pPr>
      <w:r>
        <w:t>[</w:t>
      </w:r>
      <w:r>
        <w:br/>
        <w:t>T:</w:t>
      </w:r>
      <w:r>
        <w:br/>
        <w:t>X</w:t>
      </w:r>
      <w:r>
        <w:br/>
        <w:t>\rightarrow</w:t>
      </w:r>
      <w:r>
        <w:br/>
        <w:t>X'</w:t>
      </w:r>
      <w:r>
        <w:br/>
        <w:t>\tag{3.8680}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T:X\rightarrow X'</w:t>
      </w:r>
    </w:p>
    <w:p w:rsidR="00A6587C" w:rsidRDefault="00A6587C" w:rsidP="00A6587C">
      <w:pPr>
        <w:pStyle w:val="StandardWeb"/>
      </w:pPr>
      <w:r>
        <w:t>kann auch den Kohärenzgrad verändern.</w:t>
      </w:r>
    </w:p>
    <w:p w:rsidR="00A6587C" w:rsidRDefault="00A6587C" w:rsidP="00A6587C">
      <w:pPr>
        <w:pStyle w:val="StandardWeb"/>
      </w:pPr>
      <w:r>
        <w:t>Ich definiere</w:t>
      </w:r>
    </w:p>
    <w:p w:rsidR="00A6587C" w:rsidRDefault="00A6587C" w:rsidP="00A6587C">
      <w:pPr>
        <w:pStyle w:val="berschrift1"/>
      </w:pPr>
      <w:r>
        <w:t>[</w:t>
      </w:r>
      <w:r>
        <w:br/>
        <w:t>\Delta_T C</w:t>
      </w:r>
    </w:p>
    <w:p w:rsidR="00A6587C" w:rsidRDefault="00A6587C" w:rsidP="00A6587C">
      <w:pPr>
        <w:pStyle w:val="berschrift2"/>
      </w:pPr>
      <w:r>
        <w:t>C_F(T[X_i],T[X_j])</w:t>
      </w:r>
    </w:p>
    <w:p w:rsidR="00A6587C" w:rsidRDefault="00A6587C" w:rsidP="00A6587C">
      <w:pPr>
        <w:pStyle w:val="StandardWeb"/>
      </w:pPr>
      <w:r>
        <w:t>C_F(X_i,X_j).</w:t>
      </w:r>
      <w:r>
        <w:br/>
        <w:t>\tag{3.8681}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\Delta_T C=C_F(T[X_i],T[X_j])-C_F(X_i,X_j)</w:t>
      </w:r>
    </w:p>
    <w:p w:rsidR="00A6587C" w:rsidRDefault="00E50336" w:rsidP="00A6587C">
      <w:r>
        <w:pict>
          <v:rect id="_x0000_i2339" style="width:0;height:1.5pt" o:hralign="center" o:hrstd="t" o:hr="t" fillcolor="#a0a0a0" stroked="f"/>
        </w:pict>
      </w:r>
    </w:p>
    <w:p w:rsidR="00A6587C" w:rsidRDefault="00A6587C" w:rsidP="00A6587C">
      <w:pPr>
        <w:pStyle w:val="berschrift1"/>
      </w:pPr>
      <w:r>
        <w:t>3.3.43.92 Kohärenzerhaltende Transformation</w:t>
      </w:r>
    </w:p>
    <w:p w:rsidR="00A6587C" w:rsidRDefault="00A6587C" w:rsidP="00A6587C">
      <w:pPr>
        <w:pStyle w:val="StandardWeb"/>
      </w:pPr>
      <w:r>
        <w:t>Eine Transformation heißt kohärenzerhaltend, wenn</w:t>
      </w:r>
    </w:p>
    <w:p w:rsidR="00A6587C" w:rsidRDefault="00A6587C" w:rsidP="00A6587C">
      <w:pPr>
        <w:pStyle w:val="berschrift1"/>
      </w:pPr>
      <w:r>
        <w:t>[</w:t>
      </w:r>
      <w:r>
        <w:br/>
        <w:t>C_F(T[X_i],T[X_j])</w:t>
      </w:r>
    </w:p>
    <w:p w:rsidR="00A6587C" w:rsidRDefault="00A6587C" w:rsidP="00A6587C">
      <w:pPr>
        <w:pStyle w:val="StandardWeb"/>
      </w:pPr>
      <w:r>
        <w:t>C_F(X_i,X_j)</w:t>
      </w:r>
      <w:r>
        <w:br/>
        <w:t>\tag{3.8682}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C_F(T[X_i],T[X_j])=C_F(X_i,X_j)</w:t>
      </w:r>
    </w:p>
    <w:p w:rsidR="00A6587C" w:rsidRDefault="00A6587C" w:rsidP="00A6587C">
      <w:pPr>
        <w:pStyle w:val="StandardWeb"/>
      </w:pPr>
      <w:r>
        <w:t>für die betrachtete Beziehungsklasse gilt.</w:t>
      </w:r>
    </w:p>
    <w:p w:rsidR="00A6587C" w:rsidRDefault="00A6587C" w:rsidP="00A6587C">
      <w:pPr>
        <w:pStyle w:val="StandardWeb"/>
      </w:pPr>
      <w:r>
        <w:lastRenderedPageBreak/>
        <w:t>Ich schreibe</w:t>
      </w:r>
    </w:p>
    <w:p w:rsidR="00A6587C" w:rsidRDefault="00A6587C" w:rsidP="00A6587C">
      <w:pPr>
        <w:pStyle w:val="StandardWeb"/>
      </w:pPr>
      <w:r>
        <w:t>[</w:t>
      </w:r>
      <w:r>
        <w:br/>
        <w:t>T</w:t>
      </w:r>
      <w:r>
        <w:br/>
        <w:t>\in</w:t>
      </w:r>
      <w:r>
        <w:br/>
        <w:t>\operatorname{Pres}(C_F).</w:t>
      </w:r>
      <w:r>
        <w:br/>
        <w:t>\tag{3.8683}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T\in\operatorname{Pres}(C_F)</w:t>
      </w:r>
    </w:p>
    <w:p w:rsidR="00A6587C" w:rsidRDefault="00E50336" w:rsidP="00A6587C">
      <w:r>
        <w:pict>
          <v:rect id="_x0000_i2340" style="width:0;height:1.5pt" o:hralign="center" o:hrstd="t" o:hr="t" fillcolor="#a0a0a0" stroked="f"/>
        </w:pict>
      </w:r>
    </w:p>
    <w:p w:rsidR="00A6587C" w:rsidRDefault="00A6587C" w:rsidP="00A6587C">
      <w:pPr>
        <w:pStyle w:val="berschrift1"/>
      </w:pPr>
      <w:r>
        <w:t>3.3.43.93 Konsistenzerhaltung reicht nicht aus</w:t>
      </w:r>
    </w:p>
    <w:p w:rsidR="00A6587C" w:rsidRDefault="00A6587C" w:rsidP="00A6587C">
      <w:pPr>
        <w:pStyle w:val="StandardWeb"/>
      </w:pPr>
      <w:r>
        <w:t>Eine Transformation kann konsistenzerhaltend sein,</w:t>
      </w:r>
    </w:p>
    <w:p w:rsidR="00A6587C" w:rsidRDefault="00A6587C" w:rsidP="00A6587C">
      <w:pPr>
        <w:pStyle w:val="StandardWeb"/>
      </w:pPr>
      <w:r>
        <w:t>[</w:t>
      </w:r>
      <w:r>
        <w:br/>
        <w:t>T\in\operatorname{Pres}(K_F),</w:t>
      </w:r>
      <w:r>
        <w:br/>
        <w:t>\tag{3.8684}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T\in\operatorname{Pres}(K_F)</w:t>
      </w:r>
    </w:p>
    <w:p w:rsidR="00A6587C" w:rsidRDefault="00A6587C" w:rsidP="00A6587C">
      <w:pPr>
        <w:pStyle w:val="StandardWeb"/>
      </w:pPr>
      <w:r>
        <w:t>aber die Kohärenz verändern:</w:t>
      </w:r>
    </w:p>
    <w:p w:rsidR="00A6587C" w:rsidRDefault="00A6587C" w:rsidP="00A6587C">
      <w:pPr>
        <w:pStyle w:val="StandardWeb"/>
      </w:pPr>
      <w:r>
        <w:t>[</w:t>
      </w:r>
      <w:r>
        <w:br/>
        <w:t>T\notin\operatorname{Pres}(C_F).</w:t>
      </w:r>
      <w:r>
        <w:br/>
        <w:t>\tag{3.8685}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T\notin\operatorname{Pres}(C_F)</w:t>
      </w:r>
    </w:p>
    <w:p w:rsidR="00A6587C" w:rsidRDefault="00A6587C" w:rsidP="00A6587C">
      <w:pPr>
        <w:pStyle w:val="StandardWeb"/>
      </w:pPr>
      <w:r>
        <w:t>Damit ist Kohärenzerhaltung eine stärkere oder zumindest zusätzliche Anforderung.</w:t>
      </w:r>
    </w:p>
    <w:p w:rsidR="00A6587C" w:rsidRDefault="00E50336" w:rsidP="00A6587C">
      <w:r>
        <w:pict>
          <v:rect id="_x0000_i2341" style="width:0;height:1.5pt" o:hralign="center" o:hrstd="t" o:hr="t" fillcolor="#a0a0a0" stroked="f"/>
        </w:pict>
      </w:r>
    </w:p>
    <w:p w:rsidR="00A6587C" w:rsidRDefault="00A6587C" w:rsidP="00A6587C">
      <w:pPr>
        <w:pStyle w:val="berschrift1"/>
      </w:pPr>
      <w:r>
        <w:t>3.3.43.94 Kohärenzverlust durch Projektion</w:t>
      </w:r>
    </w:p>
    <w:p w:rsidR="00A6587C" w:rsidRDefault="00A6587C" w:rsidP="00A6587C">
      <w:pPr>
        <w:pStyle w:val="StandardWeb"/>
      </w:pPr>
      <w:r>
        <w:t>Eine Projektion kann funktionale Beziehungen unsichtbar machen.</w:t>
      </w:r>
    </w:p>
    <w:p w:rsidR="00A6587C" w:rsidRDefault="00A6587C" w:rsidP="00A6587C">
      <w:pPr>
        <w:pStyle w:val="StandardWeb"/>
      </w:pPr>
      <w:r>
        <w:t>Es kann gelten</w:t>
      </w:r>
    </w:p>
    <w:p w:rsidR="00A6587C" w:rsidRDefault="00A6587C" w:rsidP="00A6587C">
      <w:pPr>
        <w:pStyle w:val="StandardWeb"/>
      </w:pPr>
      <w:r>
        <w:t>[</w:t>
      </w:r>
      <w:r>
        <w:br/>
        <w:t>C_F(X_i,X_j)&gt;0</w:t>
      </w:r>
      <w:r>
        <w:br/>
      </w:r>
      <w:r>
        <w:lastRenderedPageBreak/>
        <w:t>\tag{3.8686}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C_F(X_i,X_j)&gt;0</w:t>
      </w:r>
    </w:p>
    <w:p w:rsidR="00A6587C" w:rsidRDefault="00A6587C" w:rsidP="00A6587C">
      <w:pPr>
        <w:pStyle w:val="StandardWeb"/>
      </w:pPr>
      <w:r>
        <w:t>aber</w:t>
      </w:r>
    </w:p>
    <w:p w:rsidR="00A6587C" w:rsidRDefault="00A6587C" w:rsidP="00A6587C">
      <w:pPr>
        <w:pStyle w:val="StandardWeb"/>
      </w:pPr>
      <w:r>
        <w:t>[</w:t>
      </w:r>
      <w:r>
        <w:br/>
        <w:t>C_F(P[X_i],P[X_j])=0.</w:t>
      </w:r>
      <w:r>
        <w:br/>
        <w:t>\tag{3.8687}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C_F(P[X_i],P[X_j])=0</w:t>
      </w:r>
    </w:p>
    <w:p w:rsidR="00A6587C" w:rsidRDefault="00A6587C" w:rsidP="00A6587C">
      <w:pPr>
        <w:pStyle w:val="StandardWeb"/>
      </w:pPr>
      <w:r>
        <w:t>Dies bezeichne ich als projektionell verlorene Kohärenz.</w:t>
      </w:r>
    </w:p>
    <w:p w:rsidR="00A6587C" w:rsidRDefault="00E50336" w:rsidP="00A6587C">
      <w:r>
        <w:pict>
          <v:rect id="_x0000_i2342" style="width:0;height:1.5pt" o:hralign="center" o:hrstd="t" o:hr="t" fillcolor="#a0a0a0" stroked="f"/>
        </w:pict>
      </w:r>
    </w:p>
    <w:p w:rsidR="00A6587C" w:rsidRDefault="00A6587C" w:rsidP="00A6587C">
      <w:pPr>
        <w:pStyle w:val="berschrift1"/>
      </w:pPr>
      <w:r>
        <w:t>3.3.43.95 Scheinbare Kohärenz durch Projektion</w:t>
      </w:r>
    </w:p>
    <w:p w:rsidR="00A6587C" w:rsidRDefault="00A6587C" w:rsidP="00A6587C">
      <w:pPr>
        <w:pStyle w:val="StandardWeb"/>
      </w:pPr>
      <w:r>
        <w:t>Umgekehrt kann eine Projektion scheinbare Kohärenz erzeugen:</w:t>
      </w:r>
    </w:p>
    <w:p w:rsidR="00A6587C" w:rsidRDefault="00A6587C" w:rsidP="00A6587C">
      <w:pPr>
        <w:pStyle w:val="StandardWeb"/>
      </w:pPr>
      <w:r>
        <w:t>[</w:t>
      </w:r>
      <w:r>
        <w:br/>
        <w:t>C_F(X_i,X_j)=0</w:t>
      </w:r>
      <w:r>
        <w:br/>
        <w:t>\tag{3.8688}</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C_F(X_i,X_j)=0</w:t>
      </w:r>
    </w:p>
    <w:p w:rsidR="00A6587C" w:rsidRDefault="00A6587C" w:rsidP="00A6587C">
      <w:pPr>
        <w:pStyle w:val="StandardWeb"/>
      </w:pPr>
      <w:r>
        <w:t>und</w:t>
      </w:r>
    </w:p>
    <w:p w:rsidR="00A6587C" w:rsidRDefault="00A6587C" w:rsidP="00A6587C">
      <w:pPr>
        <w:pStyle w:val="StandardWeb"/>
      </w:pPr>
      <w:r>
        <w:t>[</w:t>
      </w:r>
      <w:r>
        <w:br/>
        <w:t>C_F(P[X_i],P[X_j])&gt;0.</w:t>
      </w:r>
      <w:r>
        <w:br/>
        <w:t>\tag{3.8689}</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C_F(P[X_i],P[X_j])&gt;0</w:t>
      </w:r>
    </w:p>
    <w:p w:rsidR="00A6587C" w:rsidRDefault="00A6587C" w:rsidP="00A6587C">
      <w:pPr>
        <w:pStyle w:val="StandardWeb"/>
      </w:pPr>
      <w:r>
        <w:t>Ein solcher Befund muss auf Informationsverlust oder Aggregationseffekte geprüft werden.</w:t>
      </w:r>
    </w:p>
    <w:p w:rsidR="00A6587C" w:rsidRDefault="00E50336" w:rsidP="00A6587C">
      <w:r>
        <w:pict>
          <v:rect id="_x0000_i2343" style="width:0;height:1.5pt" o:hralign="center" o:hrstd="t" o:hr="t" fillcolor="#a0a0a0" stroked="f"/>
        </w:pict>
      </w:r>
    </w:p>
    <w:p w:rsidR="00A6587C" w:rsidRDefault="00A6587C" w:rsidP="00A6587C">
      <w:pPr>
        <w:pStyle w:val="berschrift1"/>
      </w:pPr>
      <w:r>
        <w:t>3.3.43.96 Kohärenzverzerrung</w:t>
      </w:r>
    </w:p>
    <w:p w:rsidR="00A6587C" w:rsidRDefault="00A6587C" w:rsidP="00A6587C">
      <w:pPr>
        <w:pStyle w:val="StandardWeb"/>
      </w:pPr>
      <w:r>
        <w:lastRenderedPageBreak/>
        <w:t>Ich definiere</w:t>
      </w:r>
    </w:p>
    <w:p w:rsidR="00A6587C" w:rsidRDefault="00A6587C" w:rsidP="00A6587C">
      <w:pPr>
        <w:pStyle w:val="berschrift1"/>
      </w:pPr>
      <w:r>
        <w:t>[</w:t>
      </w:r>
      <w:r>
        <w:br/>
        <w:t>D_C(T)</w:t>
      </w:r>
    </w:p>
    <w:p w:rsidR="00A6587C" w:rsidRDefault="00A6587C" w:rsidP="00A6587C">
      <w:pPr>
        <w:pStyle w:val="berschrift2"/>
      </w:pPr>
      <w:r>
        <w:t>\left|</w:t>
      </w:r>
      <w:r>
        <w:br/>
        <w:t>C_F(T[X_i],T[X_j])</w:t>
      </w:r>
    </w:p>
    <w:p w:rsidR="00A6587C" w:rsidRDefault="00A6587C" w:rsidP="00A6587C">
      <w:pPr>
        <w:pStyle w:val="StandardWeb"/>
      </w:pPr>
      <w:r>
        <w:t>C_F(X_i,X_j)</w:t>
      </w:r>
      <w:r>
        <w:br/>
        <w:t>\right|.</w:t>
      </w:r>
      <w:r>
        <w:br/>
        <w:t>\tag{3.8690}</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D_C(T)=\left|C_F(T[X_i],T[X_j])-C_F(X_i,X_j)\right|</w:t>
      </w:r>
    </w:p>
    <w:p w:rsidR="00A6587C" w:rsidRDefault="00A6587C" w:rsidP="00A6587C">
      <w:pPr>
        <w:pStyle w:val="StandardWeb"/>
      </w:pPr>
      <w:r>
        <w:t>Für</w:t>
      </w:r>
    </w:p>
    <w:p w:rsidR="00A6587C" w:rsidRDefault="00A6587C" w:rsidP="00A6587C">
      <w:pPr>
        <w:pStyle w:val="StandardWeb"/>
      </w:pPr>
      <w:r>
        <w:t>[</w:t>
      </w:r>
      <w:r>
        <w:br/>
        <w:t>D_C(T)=0</w:t>
      </w:r>
      <w:r>
        <w:br/>
        <w:t>\tag{3.8691}</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D_C(T)=0</w:t>
      </w:r>
    </w:p>
    <w:p w:rsidR="00A6587C" w:rsidRDefault="00A6587C" w:rsidP="00A6587C">
      <w:pPr>
        <w:pStyle w:val="StandardWeb"/>
      </w:pPr>
      <w:r>
        <w:t>ist der betreffende Kohärenzwert invariant.</w:t>
      </w:r>
    </w:p>
    <w:p w:rsidR="00A6587C" w:rsidRDefault="00E50336" w:rsidP="00A6587C">
      <w:r>
        <w:pict>
          <v:rect id="_x0000_i2344" style="width:0;height:1.5pt" o:hralign="center" o:hrstd="t" o:hr="t" fillcolor="#a0a0a0" stroked="f"/>
        </w:pict>
      </w:r>
    </w:p>
    <w:p w:rsidR="00A6587C" w:rsidRDefault="00A6587C" w:rsidP="00A6587C">
      <w:pPr>
        <w:pStyle w:val="berschrift1"/>
      </w:pPr>
      <w:r>
        <w:t>3.3.43.97 Strukturtreue Kohärenztransformation</w:t>
      </w:r>
    </w:p>
    <w:p w:rsidR="00A6587C" w:rsidRDefault="00A6587C" w:rsidP="00A6587C">
      <w:pPr>
        <w:pStyle w:val="StandardWeb"/>
      </w:pPr>
      <w:r>
        <w:t>Für eine gesamte Kohärenzmatrix definiere ich</w:t>
      </w:r>
    </w:p>
    <w:p w:rsidR="00A6587C" w:rsidRDefault="00A6587C" w:rsidP="00A6587C">
      <w:pPr>
        <w:pStyle w:val="berschrift1"/>
      </w:pPr>
      <w:r>
        <w:t>[</w:t>
      </w:r>
      <w:r>
        <w:br/>
        <w:t>\mathbf C_T</w:t>
      </w:r>
    </w:p>
    <w:p w:rsidR="00A6587C" w:rsidRDefault="00A6587C" w:rsidP="00A6587C">
      <w:pPr>
        <w:pStyle w:val="StandardWeb"/>
      </w:pPr>
      <w:r>
        <w:t>T_C[\mathbf C].</w:t>
      </w:r>
      <w:r>
        <w:br/>
        <w:t>\tag{3.8692}</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\mathbf C_T=T_C[\mathbf C]</w:t>
      </w:r>
    </w:p>
    <w:p w:rsidR="00A6587C" w:rsidRDefault="00A6587C" w:rsidP="00A6587C">
      <w:pPr>
        <w:pStyle w:val="StandardWeb"/>
      </w:pPr>
      <w:r>
        <w:t>Vollständige Strukturtreue liegt vor bei</w:t>
      </w:r>
    </w:p>
    <w:p w:rsidR="00A6587C" w:rsidRDefault="00A6587C" w:rsidP="00A6587C">
      <w:pPr>
        <w:pStyle w:val="berschrift1"/>
      </w:pPr>
      <w:r>
        <w:lastRenderedPageBreak/>
        <w:t>[</w:t>
      </w:r>
      <w:r>
        <w:br/>
        <w:t>\mathbf C_T</w:t>
      </w:r>
    </w:p>
    <w:p w:rsidR="00A6587C" w:rsidRDefault="00A6587C" w:rsidP="00A6587C">
      <w:pPr>
        <w:pStyle w:val="StandardWeb"/>
      </w:pPr>
      <w:r>
        <w:t>\mathbf C.</w:t>
      </w:r>
      <w:r>
        <w:br/>
        <w:t>\tag{3.8693}</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\mathbf C_T=\mathbf C</w:t>
      </w:r>
    </w:p>
    <w:p w:rsidR="00A6587C" w:rsidRDefault="00E50336" w:rsidP="00A6587C">
      <w:r>
        <w:pict>
          <v:rect id="_x0000_i2345" style="width:0;height:1.5pt" o:hralign="center" o:hrstd="t" o:hr="t" fillcolor="#a0a0a0" stroked="f"/>
        </w:pict>
      </w:r>
    </w:p>
    <w:p w:rsidR="00A6587C" w:rsidRDefault="00A6587C" w:rsidP="00A6587C">
      <w:pPr>
        <w:pStyle w:val="berschrift1"/>
      </w:pPr>
      <w:r>
        <w:t>3.3.43.98 Kohärenzmatrix-Distanz</w:t>
      </w:r>
    </w:p>
    <w:p w:rsidR="00A6587C" w:rsidRDefault="00A6587C" w:rsidP="00A6587C">
      <w:pPr>
        <w:pStyle w:val="StandardWeb"/>
      </w:pPr>
      <w:r>
        <w:t>Bei Veränderungen definiere ich</w:t>
      </w:r>
    </w:p>
    <w:p w:rsidR="00A6587C" w:rsidRDefault="00A6587C" w:rsidP="00A6587C">
      <w:pPr>
        <w:pStyle w:val="berschrift1"/>
      </w:pPr>
      <w:r>
        <w:t>[</w:t>
      </w:r>
      <w:r>
        <w:br/>
        <w:t>D_{\mathbf C}(T)</w:t>
      </w:r>
    </w:p>
    <w:p w:rsidR="00A6587C" w:rsidRDefault="00A6587C" w:rsidP="00A6587C">
      <w:pPr>
        <w:pStyle w:val="StandardWeb"/>
      </w:pPr>
      <w:r>
        <w:t>d_M</w:t>
      </w:r>
      <w:r>
        <w:br/>
        <w:t>\left(</w:t>
      </w:r>
      <w:r>
        <w:br/>
        <w:t>\mathbf C,</w:t>
      </w:r>
      <w:r>
        <w:br/>
        <w:t>\mathbf C_T</w:t>
      </w:r>
      <w:r>
        <w:br/>
        <w:t>\right).</w:t>
      </w:r>
      <w:r>
        <w:br/>
        <w:t>\tag{3.8694}</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D_{\mathbf C}(T)=d_M\left(\mathbf C,\mathbf C_T\right)</w:t>
      </w:r>
    </w:p>
    <w:p w:rsidR="00A6587C" w:rsidRDefault="00E50336" w:rsidP="00A6587C">
      <w:r>
        <w:pict>
          <v:rect id="_x0000_i2346" style="width:0;height:1.5pt" o:hralign="center" o:hrstd="t" o:hr="t" fillcolor="#a0a0a0" stroked="f"/>
        </w:pict>
      </w:r>
    </w:p>
    <w:p w:rsidR="00A6587C" w:rsidRDefault="00A6587C" w:rsidP="00A6587C">
      <w:pPr>
        <w:pStyle w:val="berschrift1"/>
      </w:pPr>
      <w:r>
        <w:t>3.3.43.99 Kohärenzsignatur</w:t>
      </w:r>
    </w:p>
    <w:p w:rsidR="00A6587C" w:rsidRDefault="00A6587C" w:rsidP="00A6587C">
      <w:pPr>
        <w:pStyle w:val="StandardWeb"/>
      </w:pPr>
      <w:r>
        <w:t>Die bisher eingeführten Größen fasse ich zu einer ersten Kohärenzsignatur zusammen:</w:t>
      </w:r>
    </w:p>
    <w:p w:rsidR="00A6587C" w:rsidRDefault="00A6587C" w:rsidP="00A6587C">
      <w:pPr>
        <w:pStyle w:val="berschrift1"/>
      </w:pPr>
      <w:r>
        <w:t>[</w:t>
      </w:r>
      <w:r>
        <w:br/>
        <w:t>\Sigma_C</w:t>
      </w:r>
    </w:p>
    <w:p w:rsidR="00A6587C" w:rsidRDefault="00A6587C" w:rsidP="00A6587C">
      <w:pPr>
        <w:pStyle w:val="StandardWeb"/>
      </w:pPr>
      <w:r>
        <w:t>\left(</w:t>
      </w:r>
      <w:r>
        <w:br/>
        <w:t>R_C,</w:t>
      </w:r>
      <w:r>
        <w:br/>
        <w:t>R_{\Omega}^{C},</w:t>
      </w:r>
      <w:r>
        <w:br/>
        <w:t>I_C,</w:t>
      </w:r>
      <w:r>
        <w:br/>
        <w:t>T_C,</w:t>
      </w:r>
      <w:r>
        <w:br/>
        <w:t>L_C,</w:t>
      </w:r>
      <w:r>
        <w:br/>
      </w:r>
      <w:r>
        <w:lastRenderedPageBreak/>
        <w:t>M_C,</w:t>
      </w:r>
      <w:r>
        <w:br/>
        <w:t>A_C,</w:t>
      </w:r>
      <w:r>
        <w:br/>
        <w:t>D_C,</w:t>
      </w:r>
      <w:r>
        <w:br/>
        <w:t>U_C</w:t>
      </w:r>
      <w:r>
        <w:br/>
        <w:t>\right).</w:t>
      </w:r>
      <w:r>
        <w:br/>
        <w:t>\tag{3.8695}</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\Sigma_C=\left(R_C,R_{\Omega}^{C},I_C,T_C,L_C,M_C,A_C,D_C,U_C\right)</w:t>
      </w:r>
    </w:p>
    <w:p w:rsidR="00A6587C" w:rsidRDefault="00A6587C" w:rsidP="00A6587C">
      <w:pPr>
        <w:pStyle w:val="StandardWeb"/>
      </w:pPr>
      <w:r>
        <w:t>Diese Signatur beschreibt Kohärenz als mehrdimensionale Struktur.</w:t>
      </w:r>
    </w:p>
    <w:p w:rsidR="00A6587C" w:rsidRDefault="00E50336" w:rsidP="00A6587C">
      <w:r>
        <w:pict>
          <v:rect id="_x0000_i2347" style="width:0;height:1.5pt" o:hralign="center" o:hrstd="t" o:hr="t" fillcolor="#a0a0a0" stroked="f"/>
        </w:pict>
      </w:r>
    </w:p>
    <w:p w:rsidR="00A6587C" w:rsidRDefault="00A6587C" w:rsidP="00A6587C">
      <w:pPr>
        <w:pStyle w:val="berschrift1"/>
      </w:pPr>
      <w:r>
        <w:t>3.3.43.100 Zwischenstand des Kohärenzbegriffs</w:t>
      </w:r>
    </w:p>
    <w:p w:rsidR="00A6587C" w:rsidRDefault="00A6587C" w:rsidP="00A6587C">
      <w:pPr>
        <w:pStyle w:val="StandardWeb"/>
      </w:pPr>
      <w:r>
        <w:t>Bis zu diesem Punkt habe ich Kohärenz als relationale Eigenschaft eingeführt, die mindestens voraussetzt:</w:t>
      </w:r>
    </w:p>
    <w:p w:rsidR="00A6587C" w:rsidRDefault="00A6587C" w:rsidP="00A6587C">
      <w:pPr>
        <w:pStyle w:val="StandardWeb"/>
      </w:pPr>
      <w:r>
        <w:t>[</w:t>
      </w:r>
      <w:r>
        <w:br/>
        <w:t>\boxed{</w:t>
      </w:r>
      <w:r>
        <w:br/>
        <w:t>\text{Vergleichbarkeit}</w:t>
      </w:r>
      <w:r>
        <w:br/>
        <w:t>+</w:t>
      </w:r>
      <w:r>
        <w:br/>
        <w:t>\text{Konsistenz}</w:t>
      </w:r>
      <w:r>
        <w:br/>
        <w:t>+</w:t>
      </w:r>
      <w:r>
        <w:br/>
        <w:t>\text{funktionale Kopplung}</w:t>
      </w:r>
      <w:r>
        <w:br/>
        <w:t>}</w:t>
      </w:r>
      <w:r>
        <w:br/>
        <w:t>\tag{3.8696}</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\boxed{\text{Vergleichbarkeit}+\text{Konsistenz}+\text{funktionale Kopplung}}</w:t>
      </w:r>
    </w:p>
    <w:p w:rsidR="00A6587C" w:rsidRDefault="00A6587C" w:rsidP="00A6587C">
      <w:pPr>
        <w:pStyle w:val="StandardWeb"/>
      </w:pPr>
      <w:r>
        <w:t>Die daraus resultierende Grundstruktur lautet</w:t>
      </w:r>
    </w:p>
    <w:p w:rsidR="00A6587C" w:rsidRDefault="00A6587C" w:rsidP="00A6587C">
      <w:pPr>
        <w:pStyle w:val="berschrift1"/>
      </w:pPr>
      <w:r>
        <w:t>[</w:t>
      </w:r>
      <w:r>
        <w:br/>
        <w:t>C_F</w:t>
      </w:r>
    </w:p>
    <w:p w:rsidR="00A6587C" w:rsidRDefault="00A6587C" w:rsidP="00A6587C">
      <w:pPr>
        <w:pStyle w:val="StandardWeb"/>
      </w:pPr>
      <w:r>
        <w:t>\mathcal F_C</w:t>
      </w:r>
      <w:r>
        <w:br/>
        <w:t>\left(</w:t>
      </w:r>
      <w:r>
        <w:br/>
        <w:t>\mathcal C,</w:t>
      </w:r>
      <w:r>
        <w:br/>
        <w:t>K_F,</w:t>
      </w:r>
      <w:r>
        <w:br/>
        <w:t>\kappa,</w:t>
      </w:r>
      <w:r>
        <w:br/>
        <w:t>\Omega,</w:t>
      </w:r>
      <w:r>
        <w:br/>
        <w:t>t,</w:t>
      </w:r>
      <w:r>
        <w:br/>
        <w:t>x,</w:t>
      </w:r>
      <w:r>
        <w:br/>
      </w:r>
      <w:r>
        <w:lastRenderedPageBreak/>
        <w:t>\mathcal O_C</w:t>
      </w:r>
      <w:r>
        <w:br/>
        <w:t>\right).</w:t>
      </w:r>
      <w:r>
        <w:br/>
        <w:t>\tag{3.8697}</w:t>
      </w:r>
      <w:r>
        <w:br/>
        <w:t>]</w:t>
      </w:r>
    </w:p>
    <w:p w:rsidR="00A6587C" w:rsidRDefault="00A6587C" w:rsidP="00A6587C">
      <w:pPr>
        <w:pStyle w:val="StandardWeb"/>
      </w:pPr>
      <w:r>
        <w:rPr>
          <w:rStyle w:val="Fett"/>
        </w:rPr>
        <w:t>Word-LaTeX</w:t>
      </w:r>
    </w:p>
    <w:p w:rsidR="00A6587C" w:rsidRDefault="00A6587C" w:rsidP="00A6587C">
      <w:pPr>
        <w:pStyle w:val="HTMLVorformatiert"/>
        <w:rPr>
          <w:rStyle w:val="HTMLCode"/>
        </w:rPr>
      </w:pPr>
      <w:r>
        <w:rPr>
          <w:rStyle w:val="HTMLCode"/>
        </w:rPr>
        <w:t>C_F=\mathcal F_C\left(\mathcal C,K_F,\kappa,\Omega,t,x,\mathcal O_C\right)</w:t>
      </w:r>
    </w:p>
    <w:p w:rsidR="00A6587C" w:rsidRDefault="00A6587C" w:rsidP="00A6587C">
      <w:pPr>
        <w:pStyle w:val="StandardWeb"/>
      </w:pPr>
      <w:r>
        <w:t xml:space="preserve">Damit steht die erste mathematische Grundlage für die eigentliche </w:t>
      </w:r>
      <w:r>
        <w:rPr>
          <w:rStyle w:val="Fett"/>
        </w:rPr>
        <w:t>Raum-Zeit-Kohärenz</w:t>
      </w:r>
      <w:r>
        <w:t xml:space="preserve"> des FRZK.</w:t>
      </w:r>
    </w:p>
    <w:p w:rsidR="00A6587C" w:rsidRDefault="00A6587C" w:rsidP="00A6587C">
      <w:pPr>
        <w:pStyle w:val="StandardWeb"/>
      </w:pPr>
      <w:r>
        <w:t xml:space="preserve">Der Abschnitt </w:t>
      </w:r>
      <w:r>
        <w:rPr>
          <w:rStyle w:val="Fett"/>
        </w:rPr>
        <w:t>3.3.43 ist damit ausdrücklich noch nicht abgeschlossen</w:t>
      </w:r>
      <w:r>
        <w:t xml:space="preserve">. Im nächsten Teil müssen mindestens noch die </w:t>
      </w:r>
      <w:r>
        <w:rPr>
          <w:rStyle w:val="Fett"/>
        </w:rPr>
        <w:t>Mehrkomponentenkohärenz, Kohärenzfelder, lokale und globale Kohärenzgradienten, Kohärenzfluss, Kohärenzerhaltung und -bruch, kritische Kohärenzübergänge, Kohärenz zwischen Raum und Zeit sowie schließlich die Frage behandelt werden, welche Bestandteile Definitionen bleiben und welche tatsächlich den Status eines FRZK-Primäraxioms erhalten dürfen</w:t>
      </w:r>
      <w:r>
        <w:t>.</w:t>
      </w:r>
    </w:p>
    <w:p w:rsidR="00A6587C" w:rsidRDefault="00A6587C" w:rsidP="00A6587C">
      <w:pPr>
        <w:pStyle w:val="StandardWeb"/>
      </w:pPr>
      <w:r>
        <w:t xml:space="preserve">Die </w:t>
      </w:r>
      <w:r>
        <w:rPr>
          <w:rStyle w:val="Fett"/>
        </w:rPr>
        <w:t>methodologischen und didaktischen Betrachtungen folgen auch hier erst am Ende des gesamten Abschnitts 3.3.43</w:t>
      </w:r>
      <w:r>
        <w:t>.</w:t>
      </w:r>
    </w:p>
    <w:p w:rsidR="008530F8" w:rsidRDefault="008530F8" w:rsidP="008530F8">
      <w:pPr>
        <w:pStyle w:val="berschrift1"/>
        <w:rPr>
          <w:rFonts w:cs="Times New Roman"/>
          <w:sz w:val="48"/>
          <w:szCs w:val="48"/>
        </w:rPr>
      </w:pPr>
      <w:r>
        <w:t>3.3.43.101 Mehrkomponentenkohärenz</w:t>
      </w:r>
    </w:p>
    <w:p w:rsidR="008530F8" w:rsidRDefault="008530F8" w:rsidP="008530F8">
      <w:pPr>
        <w:pStyle w:val="StandardWeb"/>
      </w:pPr>
      <w:r>
        <w:t>Die bisherige Konstruktion beschreibt überwiegend Kohärenz zwischen zwei funktionalen Größen. Ein reales FRZK-System besteht jedoch im Allgemeinen aus mehreren gleichzeitig wirksamen Komponenten. Paarweise Kohärenz allein genügt deshalb nicht, um die Kohärenz des Gesamtsystems zu charakterisieren. Insbesondere kann jede einzelne Paarbeziehung positiv sein, während die gemeinsame Mehrkomponentenstruktur unter bestimmten Bedingungen dennoch keine einheitliche funktionale Ordnung bildet.</w:t>
      </w:r>
    </w:p>
    <w:p w:rsidR="008530F8" w:rsidRDefault="008530F8" w:rsidP="008530F8">
      <w:pPr>
        <w:pStyle w:val="StandardWeb"/>
      </w:pPr>
      <w:r>
        <w:t>Sei deshalb</w:t>
      </w:r>
    </w:p>
    <w:p w:rsidR="008530F8" w:rsidRDefault="008530F8" w:rsidP="008530F8">
      <w:pPr>
        <w:pStyle w:val="berschrift1"/>
      </w:pPr>
      <w:r>
        <w:t>[</w:t>
      </w:r>
      <w:r>
        <w:br/>
        <w:t>\mathcal X_n</w:t>
      </w:r>
    </w:p>
    <w:p w:rsidR="008530F8" w:rsidRDefault="008530F8" w:rsidP="008530F8">
      <w:pPr>
        <w:pStyle w:val="StandardWeb"/>
      </w:pPr>
      <w:r>
        <w:t>\left{</w:t>
      </w:r>
      <w:r>
        <w:br/>
        <w:t>X_1,X_2,\ldots,X_n</w:t>
      </w:r>
      <w:r>
        <w:br/>
        <w:t>\right}.</w:t>
      </w:r>
      <w:r>
        <w:br/>
        <w:t>\tag{3.8698}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X_n=\left\{X_1,X_2,\ldots,X_n\right\}</w:t>
      </w:r>
    </w:p>
    <w:p w:rsidR="008530F8" w:rsidRDefault="008530F8" w:rsidP="008530F8">
      <w:pPr>
        <w:pStyle w:val="StandardWeb"/>
      </w:pPr>
      <w:r>
        <w:t>Die zugehörige paarweise Kohärenzmatrix sei</w:t>
      </w:r>
    </w:p>
    <w:p w:rsidR="008530F8" w:rsidRDefault="008530F8" w:rsidP="008530F8">
      <w:pPr>
        <w:pStyle w:val="berschrift1"/>
      </w:pPr>
      <w:r>
        <w:lastRenderedPageBreak/>
        <w:t>[</w:t>
      </w:r>
      <w:r>
        <w:br/>
        <w:t>\mathbf C_n</w:t>
      </w:r>
    </w:p>
    <w:p w:rsidR="008530F8" w:rsidRDefault="008530F8" w:rsidP="008530F8">
      <w:pPr>
        <w:pStyle w:val="StandardWeb"/>
      </w:pPr>
      <w:r>
        <w:t>\left[</w:t>
      </w:r>
      <w:r>
        <w:br/>
        <w:t>C_{ij}</w:t>
      </w:r>
      <w:r>
        <w:br/>
        <w:t>\right]_{n\times n}.</w:t>
      </w:r>
      <w:r>
        <w:br/>
        <w:t>\tag{3.8699}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\mathbf C_n=\left[C_{ij}\right]_{n\times n}</w:t>
      </w:r>
    </w:p>
    <w:p w:rsidR="008530F8" w:rsidRDefault="008530F8" w:rsidP="008530F8">
      <w:pPr>
        <w:pStyle w:val="StandardWeb"/>
      </w:pPr>
      <w:r>
        <w:t>Diese Matrix enthält zwar sämtliche paarweisen Beziehungen, bildet aber noch nicht zwingend die Kohärenz der Gesamtstruktur ab.</w:t>
      </w:r>
    </w:p>
    <w:p w:rsidR="008530F8" w:rsidRDefault="00E50336" w:rsidP="008530F8">
      <w:r>
        <w:pict>
          <v:rect id="_x0000_i2348" style="width:0;height:1.5pt" o:hralign="center" o:hrstd="t" o:hr="t" fillcolor="#a0a0a0" stroked="f"/>
        </w:pict>
      </w:r>
    </w:p>
    <w:p w:rsidR="008530F8" w:rsidRDefault="008530F8" w:rsidP="008530F8">
      <w:pPr>
        <w:pStyle w:val="berschrift1"/>
      </w:pPr>
      <w:r>
        <w:t>3.3.43.102 Paarweise Kohärenz impliziert nicht globale Mehrkomponentenkohärenz</w:t>
      </w:r>
    </w:p>
    <w:p w:rsidR="008530F8" w:rsidRDefault="008530F8" w:rsidP="008530F8">
      <w:pPr>
        <w:pStyle w:val="StandardWeb"/>
      </w:pPr>
      <w:r>
        <w:t>Es kann gelten</w:t>
      </w:r>
    </w:p>
    <w:p w:rsidR="008530F8" w:rsidRDefault="008530F8" w:rsidP="008530F8">
      <w:pPr>
        <w:pStyle w:val="StandardWeb"/>
      </w:pPr>
      <w:r>
        <w:t>[</w:t>
      </w:r>
      <w:r>
        <w:br/>
        <w:t>C_{ij}&gt;0</w:t>
      </w:r>
      <w:r>
        <w:br/>
        <w:t>\qquad</w:t>
      </w:r>
      <w:r>
        <w:br/>
        <w:t>\forall i\neq j</w:t>
      </w:r>
      <w:r>
        <w:br/>
        <w:t>\tag{3.8700}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C_{ij}&gt;0\qquad\forall i\neq j</w:t>
      </w:r>
    </w:p>
    <w:p w:rsidR="008530F8" w:rsidRDefault="008530F8" w:rsidP="008530F8">
      <w:pPr>
        <w:pStyle w:val="StandardWeb"/>
      </w:pPr>
      <w:r>
        <w:t>und dennoch</w:t>
      </w:r>
    </w:p>
    <w:p w:rsidR="008530F8" w:rsidRDefault="008530F8" w:rsidP="008530F8">
      <w:pPr>
        <w:pStyle w:val="StandardWeb"/>
      </w:pPr>
      <w:r>
        <w:t>[</w:t>
      </w:r>
      <w:r>
        <w:br/>
        <w:t>C_F(\mathcal X_n)</w:t>
      </w:r>
      <w:r>
        <w:br/>
        <w:t>&lt;</w:t>
      </w:r>
      <w:r>
        <w:br/>
        <w:t>\tau_C.</w:t>
      </w:r>
      <w:r>
        <w:br/>
        <w:t>\tag{3.8701}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C_F(\mathcal X_n)&lt;\tau_C</w:t>
      </w:r>
    </w:p>
    <w:p w:rsidR="008530F8" w:rsidRDefault="008530F8" w:rsidP="008530F8">
      <w:pPr>
        <w:pStyle w:val="StandardWeb"/>
      </w:pPr>
      <w:r>
        <w:lastRenderedPageBreak/>
        <w:t>Der Grund liegt darin, dass die Gesamtstruktur zusätzlich von höhergeordneten Beziehungen, Richtungen, Pfaden, zeitlichen Abstimmungen und gemeinsamen Zustandsbedingungen abhängen kann.</w:t>
      </w:r>
    </w:p>
    <w:p w:rsidR="008530F8" w:rsidRDefault="008530F8" w:rsidP="008530F8">
      <w:pPr>
        <w:pStyle w:val="StandardWeb"/>
      </w:pPr>
      <w:r>
        <w:t>Damit gilt allgemein</w:t>
      </w:r>
    </w:p>
    <w:p w:rsidR="008530F8" w:rsidRDefault="008530F8" w:rsidP="008530F8">
      <w:pPr>
        <w:pStyle w:val="StandardWeb"/>
      </w:pPr>
      <w:r>
        <w:t>[</w:t>
      </w:r>
      <w:r>
        <w:br/>
        <w:t>\left[</w:t>
      </w:r>
      <w:r>
        <w:br/>
        <w:t>C_{ij}&gt;0</w:t>
      </w:r>
      <w:r>
        <w:br/>
        <w:t>;\forall i\neq j</w:t>
      </w:r>
      <w:r>
        <w:br/>
        <w:t>\right]</w:t>
      </w:r>
      <w:r>
        <w:br/>
        <w:t>\nRightarrow</w:t>
      </w:r>
      <w:r>
        <w:br/>
        <w:t>C_F(\mathcal X_n)\geq\tau_C.</w:t>
      </w:r>
      <w:r>
        <w:br/>
        <w:t>\tag{3.8702}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\left[C_{ij}&gt;0\;\forall i\neq j\right]\nRightarrow C_F(\mathcal X_n)\geq\tau_C</w:t>
      </w:r>
    </w:p>
    <w:p w:rsidR="008530F8" w:rsidRDefault="00E50336" w:rsidP="008530F8">
      <w:r>
        <w:pict>
          <v:rect id="_x0000_i2349" style="width:0;height:1.5pt" o:hralign="center" o:hrstd="t" o:hr="t" fillcolor="#a0a0a0" stroked="f"/>
        </w:pict>
      </w:r>
    </w:p>
    <w:p w:rsidR="008530F8" w:rsidRDefault="008530F8" w:rsidP="008530F8">
      <w:pPr>
        <w:pStyle w:val="berschrift1"/>
      </w:pPr>
      <w:r>
        <w:t>3.3.43.103 Definition 3.3.58 – Mehrkomponentenkohärenz</w:t>
      </w:r>
    </w:p>
    <w:p w:rsidR="008530F8" w:rsidRDefault="008530F8" w:rsidP="008530F8">
      <w:pPr>
        <w:pStyle w:val="berschrift3"/>
      </w:pPr>
      <w:r>
        <w:t>Definition 3.3.58</w:t>
      </w:r>
    </w:p>
    <w:p w:rsidR="008530F8" w:rsidRDefault="008530F8" w:rsidP="008530F8">
      <w:pPr>
        <w:pStyle w:val="StandardWeb"/>
      </w:pPr>
      <w:r>
        <w:t>Eine Menge funktionaler Größen</w:t>
      </w:r>
    </w:p>
    <w:p w:rsidR="008530F8" w:rsidRDefault="008530F8" w:rsidP="008530F8">
      <w:pPr>
        <w:pStyle w:val="berschrift1"/>
      </w:pPr>
      <w:r>
        <w:t>[</w:t>
      </w:r>
      <w:r>
        <w:br/>
        <w:t>\mathcal X_n</w:t>
      </w:r>
    </w:p>
    <w:p w:rsidR="008530F8" w:rsidRDefault="008530F8" w:rsidP="008530F8">
      <w:pPr>
        <w:pStyle w:val="StandardWeb"/>
      </w:pPr>
      <w:r>
        <w:t>{X_1,\ldots,X_n}</w:t>
      </w:r>
      <w:r>
        <w:br/>
        <w:t>]</w:t>
      </w:r>
    </w:p>
    <w:p w:rsidR="008530F8" w:rsidRDefault="008530F8" w:rsidP="008530F8">
      <w:pPr>
        <w:pStyle w:val="StandardWeb"/>
      </w:pPr>
      <w:r>
        <w:t xml:space="preserve">heißt </w:t>
      </w:r>
      <w:r>
        <w:rPr>
          <w:rStyle w:val="Fett"/>
        </w:rPr>
        <w:t>mehrkomponentenkohärent</w:t>
      </w:r>
      <w:r>
        <w:t>, wenn die für den betrachteten Systemzustand relevanten Beziehungen zwischen ihren Komponenten gemeinsam vergleichbar, konsistent und funktional gekoppelt sind und die daraus entstehende Gesamtstruktur den festgelegten Kohärenzanforderungen genügt.</w:t>
      </w:r>
    </w:p>
    <w:p w:rsidR="008530F8" w:rsidRDefault="008530F8" w:rsidP="008530F8">
      <w:pPr>
        <w:pStyle w:val="StandardWeb"/>
      </w:pPr>
      <w:r>
        <w:t>Ich schreibe</w:t>
      </w:r>
    </w:p>
    <w:p w:rsidR="008530F8" w:rsidRDefault="008530F8" w:rsidP="008530F8">
      <w:pPr>
        <w:pStyle w:val="StandardWeb"/>
      </w:pPr>
      <w:r>
        <w:t>[</w:t>
      </w:r>
      <w:r>
        <w:br/>
        <w:t>C_F^{(n)}</w:t>
      </w:r>
      <w:r>
        <w:br/>
        <w:t>\left(</w:t>
      </w:r>
      <w:r>
        <w:br/>
        <w:t>X_1,\ldots,X_n</w:t>
      </w:r>
      <w:r>
        <w:br/>
        <w:t>\right)</w:t>
      </w:r>
      <w:r>
        <w:br/>
        <w:t>\geq</w:t>
      </w:r>
      <w:r>
        <w:br/>
        <w:t>\tau_C^{(n)}.</w:t>
      </w:r>
      <w:r>
        <w:br/>
      </w:r>
      <w:r>
        <w:lastRenderedPageBreak/>
        <w:t>\tag{3.8703}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C_F^{(n)}\left(X_1,\ldots,X_n\right)\geq\tau_C^{(n)}</w:t>
      </w:r>
    </w:p>
    <w:p w:rsidR="008530F8" w:rsidRDefault="008530F8" w:rsidP="008530F8">
      <w:pPr>
        <w:pStyle w:val="StandardWeb"/>
      </w:pPr>
      <w:r>
        <w:t>Die Schwelle (\tau_C^{(n)}) ist wiederum operationalisierungsabhängig.</w:t>
      </w:r>
    </w:p>
    <w:p w:rsidR="008530F8" w:rsidRDefault="00E50336" w:rsidP="008530F8">
      <w:r>
        <w:pict>
          <v:rect id="_x0000_i2350" style="width:0;height:1.5pt" o:hralign="center" o:hrstd="t" o:hr="t" fillcolor="#a0a0a0" stroked="f"/>
        </w:pict>
      </w:r>
    </w:p>
    <w:p w:rsidR="008530F8" w:rsidRDefault="008530F8" w:rsidP="008530F8">
      <w:pPr>
        <w:pStyle w:val="berschrift1"/>
      </w:pPr>
      <w:r>
        <w:t>3.3.43.104 Mehrkomponenten-Kohärenzfunktion</w:t>
      </w:r>
    </w:p>
    <w:p w:rsidR="008530F8" w:rsidRDefault="008530F8" w:rsidP="008530F8">
      <w:pPr>
        <w:pStyle w:val="StandardWeb"/>
      </w:pPr>
      <w:r>
        <w:t>Die allgemeine Mehrkomponentenkohärenz kann als</w:t>
      </w:r>
    </w:p>
    <w:p w:rsidR="008530F8" w:rsidRDefault="008530F8" w:rsidP="008530F8">
      <w:pPr>
        <w:pStyle w:val="berschrift1"/>
      </w:pPr>
      <w:r>
        <w:t>[</w:t>
      </w:r>
      <w:r>
        <w:br/>
        <w:t>C_F^{(n)}</w:t>
      </w:r>
    </w:p>
    <w:p w:rsidR="008530F8" w:rsidRDefault="008530F8" w:rsidP="008530F8">
      <w:pPr>
        <w:pStyle w:val="StandardWeb"/>
      </w:pPr>
      <w:r>
        <w:t>\mathcal F_C^{(n)}</w:t>
      </w:r>
      <w:r>
        <w:br/>
        <w:t>\left(</w:t>
      </w:r>
      <w:r>
        <w:br/>
        <w:t>\mathbf C_n,</w:t>
      </w:r>
      <w:r>
        <w:br/>
        <w:t>\mathcal R_n,</w:t>
      </w:r>
      <w:r>
        <w:br/>
        <w:t>\Omega,</w:t>
      </w:r>
      <w:r>
        <w:br/>
        <w:t>\boldsymbol\theta,</w:t>
      </w:r>
      <w:r>
        <w:br/>
        <w:t>t</w:t>
      </w:r>
      <w:r>
        <w:br/>
        <w:t>\right)</w:t>
      </w:r>
      <w:r>
        <w:br/>
        <w:t>\tag{3.8704}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C_F^{(n)}=\mathcal F_C^{(n)}\left(\mathbf C_n,\mathcal R_n,\Omega,\boldsymbol\theta,t\right)</w:t>
      </w:r>
    </w:p>
    <w:p w:rsidR="008530F8" w:rsidRDefault="008530F8" w:rsidP="008530F8">
      <w:pPr>
        <w:pStyle w:val="StandardWeb"/>
      </w:pPr>
      <w:r>
        <w:t>geschrieben werden.</w:t>
      </w:r>
    </w:p>
    <w:p w:rsidR="008530F8" w:rsidRDefault="008530F8" w:rsidP="008530F8">
      <w:pPr>
        <w:pStyle w:val="StandardWeb"/>
      </w:pPr>
      <w:r>
        <w:t>Dabei bezeichnet (\mathcal R_n) diejenigen höhergeordneten Relationen, die nicht vollständig durch die paarweise Matrix (\mathbf C_n) beschrieben werden.</w:t>
      </w:r>
    </w:p>
    <w:p w:rsidR="008530F8" w:rsidRDefault="00E50336" w:rsidP="008530F8">
      <w:r>
        <w:pict>
          <v:rect id="_x0000_i2351" style="width:0;height:1.5pt" o:hralign="center" o:hrstd="t" o:hr="t" fillcolor="#a0a0a0" stroked="f"/>
        </w:pict>
      </w:r>
    </w:p>
    <w:p w:rsidR="008530F8" w:rsidRDefault="008530F8" w:rsidP="008530F8">
      <w:pPr>
        <w:pStyle w:val="berschrift1"/>
      </w:pPr>
      <w:r>
        <w:t>3.3.43.105 Höhergeordnete Kohärenzrelation</w:t>
      </w:r>
    </w:p>
    <w:p w:rsidR="008530F8" w:rsidRDefault="008530F8" w:rsidP="008530F8">
      <w:pPr>
        <w:pStyle w:val="StandardWeb"/>
      </w:pPr>
      <w:r>
        <w:t>Für drei Komponenten kann beispielsweise eine genuine Dreierbeziehung</w:t>
      </w:r>
    </w:p>
    <w:p w:rsidR="008530F8" w:rsidRDefault="008530F8" w:rsidP="008530F8">
      <w:pPr>
        <w:pStyle w:val="StandardWeb"/>
      </w:pPr>
      <w:r>
        <w:t>[</w:t>
      </w:r>
      <w:r>
        <w:br/>
        <w:t>R_{ijk}^{C}</w:t>
      </w:r>
      <w:r>
        <w:br/>
        <w:t>\tag{3.8705}</w:t>
      </w:r>
      <w:r>
        <w:br/>
        <w:t>]</w:t>
      </w:r>
    </w:p>
    <w:p w:rsidR="008530F8" w:rsidRDefault="008530F8" w:rsidP="008530F8">
      <w:pPr>
        <w:pStyle w:val="StandardWeb"/>
      </w:pPr>
      <w:r>
        <w:rPr>
          <w:rStyle w:val="Fett"/>
        </w:rPr>
        <w:lastRenderedPageBreak/>
        <w:t>Word-LaTeX</w:t>
      </w:r>
    </w:p>
    <w:p w:rsidR="008530F8" w:rsidRDefault="008530F8" w:rsidP="008530F8">
      <w:pPr>
        <w:pStyle w:val="HTMLVorformatiert"/>
        <w:rPr>
          <w:rStyle w:val="HTMLCode"/>
        </w:rPr>
      </w:pPr>
      <w:r>
        <w:rPr>
          <w:rStyle w:val="HTMLCode"/>
        </w:rPr>
        <w:t>R_{ijk}^{C}</w:t>
      </w:r>
    </w:p>
    <w:p w:rsidR="008530F8" w:rsidRDefault="008530F8" w:rsidP="008530F8">
      <w:pPr>
        <w:pStyle w:val="StandardWeb"/>
      </w:pPr>
      <w:r>
        <w:t>existieren, deren funktionale Bedeutung nicht auf die Summe der drei Paarbeziehungen reduziert werden kann.</w:t>
      </w:r>
    </w:p>
    <w:p w:rsidR="008530F8" w:rsidRDefault="008530F8" w:rsidP="008530F8">
      <w:pPr>
        <w:pStyle w:val="StandardWeb"/>
      </w:pPr>
      <w:r>
        <w:t>Damit gilt im Allgemeinen</w:t>
      </w:r>
    </w:p>
    <w:p w:rsidR="008530F8" w:rsidRDefault="008530F8" w:rsidP="008530F8">
      <w:pPr>
        <w:pStyle w:val="StandardWeb"/>
      </w:pPr>
      <w:r>
        <w:t>[</w:t>
      </w:r>
      <w:r>
        <w:br/>
        <w:t>C_F^{(3)}</w:t>
      </w:r>
      <w:r>
        <w:br/>
        <w:t>(X_i,X_j,X_k)</w:t>
      </w:r>
      <w:r>
        <w:br/>
        <w:t>\neq</w:t>
      </w:r>
      <w:r>
        <w:br/>
        <w:t>g</w:t>
      </w:r>
      <w:r>
        <w:br/>
        <w:t>\left(</w:t>
      </w:r>
      <w:r>
        <w:br/>
        <w:t>C_{ij},</w:t>
      </w:r>
      <w:r>
        <w:br/>
        <w:t>C_{ik},</w:t>
      </w:r>
      <w:r>
        <w:br/>
        <w:t>C_{jk}</w:t>
      </w:r>
      <w:r>
        <w:br/>
        <w:t>\right)</w:t>
      </w:r>
      <w:r>
        <w:br/>
        <w:t>\tag{3.8706}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C_F^{(3)}(X_i,X_j,X_k)\neq g\left(C_{ij},C_{ik},C_{jk}\right)</w:t>
      </w:r>
    </w:p>
    <w:p w:rsidR="008530F8" w:rsidRDefault="008530F8" w:rsidP="008530F8">
      <w:pPr>
        <w:pStyle w:val="StandardWeb"/>
      </w:pPr>
      <w:r>
        <w:t>für eine beliebige universelle Aggregationsfunktion (g).</w:t>
      </w:r>
    </w:p>
    <w:p w:rsidR="008530F8" w:rsidRDefault="00E50336" w:rsidP="008530F8">
      <w:r>
        <w:pict>
          <v:rect id="_x0000_i2352" style="width:0;height:1.5pt" o:hralign="center" o:hrstd="t" o:hr="t" fillcolor="#a0a0a0" stroked="f"/>
        </w:pict>
      </w:r>
    </w:p>
    <w:p w:rsidR="008530F8" w:rsidRDefault="008530F8" w:rsidP="008530F8">
      <w:pPr>
        <w:pStyle w:val="berschrift1"/>
      </w:pPr>
      <w:r>
        <w:t>3.3.43.106 Kohärenzhypergraph</w:t>
      </w:r>
    </w:p>
    <w:p w:rsidR="008530F8" w:rsidRDefault="008530F8" w:rsidP="008530F8">
      <w:pPr>
        <w:pStyle w:val="StandardWeb"/>
      </w:pPr>
      <w:r>
        <w:t>Zur Darstellung solcher höhergeordneten Beziehungen kann ich statt eines gewöhnlichen Graphen einen Hypergraphen verwenden:</w:t>
      </w:r>
    </w:p>
    <w:p w:rsidR="008530F8" w:rsidRDefault="008530F8" w:rsidP="008530F8">
      <w:pPr>
        <w:pStyle w:val="berschrift1"/>
      </w:pPr>
      <w:r>
        <w:t>[</w:t>
      </w:r>
      <w:r>
        <w:br/>
        <w:t>\mathcal H_C</w:t>
      </w:r>
    </w:p>
    <w:p w:rsidR="008530F8" w:rsidRDefault="008530F8" w:rsidP="008530F8">
      <w:pPr>
        <w:pStyle w:val="StandardWeb"/>
      </w:pPr>
      <w:r>
        <w:t>(V_C,E_C^{H}),</w:t>
      </w:r>
      <w:r>
        <w:br/>
        <w:t>\tag{3.8707}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H_C=(V_C,E_C^{H})</w:t>
      </w:r>
    </w:p>
    <w:p w:rsidR="008530F8" w:rsidRDefault="008530F8" w:rsidP="008530F8">
      <w:pPr>
        <w:pStyle w:val="StandardWeb"/>
      </w:pPr>
      <w:r>
        <w:t>wobei eine Hyperkante</w:t>
      </w:r>
    </w:p>
    <w:p w:rsidR="008530F8" w:rsidRDefault="008530F8" w:rsidP="008530F8">
      <w:pPr>
        <w:pStyle w:val="StandardWeb"/>
      </w:pPr>
      <w:r>
        <w:t>[</w:t>
      </w:r>
      <w:r>
        <w:br/>
        <w:t>e_k^{H}</w:t>
      </w:r>
      <w:r>
        <w:br/>
      </w:r>
      <w:r>
        <w:lastRenderedPageBreak/>
        <w:t>\subseteq</w:t>
      </w:r>
      <w:r>
        <w:br/>
        <w:t>V_C</w:t>
      </w:r>
      <w:r>
        <w:br/>
        <w:t>\tag{3.8708}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e_k^{H}\subseteq V_C</w:t>
      </w:r>
    </w:p>
    <w:p w:rsidR="008530F8" w:rsidRDefault="008530F8" w:rsidP="008530F8">
      <w:pPr>
        <w:pStyle w:val="StandardWeb"/>
      </w:pPr>
      <w:r>
        <w:t>mehr als zwei Komponenten gleichzeitig verbinden kann.</w:t>
      </w:r>
    </w:p>
    <w:p w:rsidR="008530F8" w:rsidRDefault="008530F8" w:rsidP="008530F8">
      <w:pPr>
        <w:pStyle w:val="StandardWeb"/>
      </w:pPr>
      <w:r>
        <w:t>Damit lassen sich genuine Mehrkomponentenbeziehungen explizit abbilden.</w:t>
      </w:r>
    </w:p>
    <w:p w:rsidR="008530F8" w:rsidRDefault="00E50336" w:rsidP="008530F8">
      <w:r>
        <w:pict>
          <v:rect id="_x0000_i2353" style="width:0;height:1.5pt" o:hralign="center" o:hrstd="t" o:hr="t" fillcolor="#a0a0a0" stroked="f"/>
        </w:pict>
      </w:r>
    </w:p>
    <w:p w:rsidR="008530F8" w:rsidRDefault="008530F8" w:rsidP="008530F8">
      <w:pPr>
        <w:pStyle w:val="berschrift1"/>
      </w:pPr>
      <w:r>
        <w:t>3.3.43.107 Hyperkantenkohärenz</w:t>
      </w:r>
    </w:p>
    <w:p w:rsidR="008530F8" w:rsidRDefault="008530F8" w:rsidP="008530F8">
      <w:pPr>
        <w:pStyle w:val="StandardWeb"/>
      </w:pPr>
      <w:r>
        <w:t>Jeder Hyperkante ordne ich einen Kohärenzwert</w:t>
      </w:r>
    </w:p>
    <w:p w:rsidR="008530F8" w:rsidRDefault="008530F8" w:rsidP="008530F8">
      <w:pPr>
        <w:pStyle w:val="StandardWeb"/>
      </w:pPr>
      <w:r>
        <w:t>[</w:t>
      </w:r>
      <w:r>
        <w:br/>
        <w:t>C(e_k^{H})</w:t>
      </w:r>
      <w:r>
        <w:br/>
        <w:t>\in</w:t>
      </w:r>
      <w:r>
        <w:br/>
        <w:t>[0,1]</w:t>
      </w:r>
      <w:r>
        <w:br/>
        <w:t>\tag{3.8709}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C(e_k^{H})\in[0,1]</w:t>
      </w:r>
    </w:p>
    <w:p w:rsidR="008530F8" w:rsidRDefault="008530F8" w:rsidP="008530F8">
      <w:pPr>
        <w:pStyle w:val="StandardWeb"/>
      </w:pPr>
      <w:r>
        <w:t>zu.</w:t>
      </w:r>
    </w:p>
    <w:p w:rsidR="008530F8" w:rsidRDefault="008530F8" w:rsidP="008530F8">
      <w:pPr>
        <w:pStyle w:val="StandardWeb"/>
      </w:pPr>
      <w:r>
        <w:t>Ein kohärenter Mehrkomponentenverbund verlangt dann nicht notwendig vollständige paarweise Kopplung, sondern hinreichend starke relevante Hyperrelationen.</w:t>
      </w:r>
    </w:p>
    <w:p w:rsidR="008530F8" w:rsidRDefault="00E50336" w:rsidP="008530F8">
      <w:r>
        <w:pict>
          <v:rect id="_x0000_i2354" style="width:0;height:1.5pt" o:hralign="center" o:hrstd="t" o:hr="t" fillcolor="#a0a0a0" stroked="f"/>
        </w:pict>
      </w:r>
    </w:p>
    <w:p w:rsidR="008530F8" w:rsidRDefault="008530F8" w:rsidP="008530F8">
      <w:pPr>
        <w:pStyle w:val="berschrift1"/>
      </w:pPr>
      <w:r>
        <w:t>3.3.43.108 Kohärenzordnung</w:t>
      </w:r>
    </w:p>
    <w:p w:rsidR="008530F8" w:rsidRDefault="008530F8" w:rsidP="008530F8">
      <w:pPr>
        <w:pStyle w:val="StandardWeb"/>
      </w:pPr>
      <w:r>
        <w:t>Ich definiere die Ordnung einer Kohärenzrelation durch</w:t>
      </w:r>
    </w:p>
    <w:p w:rsidR="008530F8" w:rsidRDefault="008530F8" w:rsidP="008530F8">
      <w:pPr>
        <w:pStyle w:val="berschrift1"/>
      </w:pPr>
      <w:r>
        <w:t>[</w:t>
      </w:r>
      <w:r>
        <w:br/>
        <w:t>o_C(e)</w:t>
      </w:r>
    </w:p>
    <w:p w:rsidR="008530F8" w:rsidRDefault="008530F8" w:rsidP="008530F8">
      <w:pPr>
        <w:pStyle w:val="StandardWeb"/>
      </w:pPr>
      <w:r>
        <w:t>|e|.</w:t>
      </w:r>
      <w:r>
        <w:br/>
        <w:t>\tag{3.8710}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lastRenderedPageBreak/>
        <w:t>o_C(e)=|e|</w:t>
      </w:r>
    </w:p>
    <w:p w:rsidR="008530F8" w:rsidRDefault="008530F8" w:rsidP="008530F8">
      <w:pPr>
        <w:pStyle w:val="StandardWeb"/>
      </w:pPr>
      <w:r>
        <w:t>Damit besitzt eine gewöhnliche paarweise Relation</w:t>
      </w:r>
    </w:p>
    <w:p w:rsidR="008530F8" w:rsidRDefault="008530F8" w:rsidP="008530F8">
      <w:pPr>
        <w:pStyle w:val="StandardWeb"/>
      </w:pPr>
      <w:r>
        <w:t>[</w:t>
      </w:r>
      <w:r>
        <w:br/>
        <w:t>o_C=2</w:t>
      </w:r>
      <w:r>
        <w:br/>
        <w:t>\tag{3.8711}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o_C=2</w:t>
      </w:r>
    </w:p>
    <w:p w:rsidR="008530F8" w:rsidRDefault="008530F8" w:rsidP="008530F8">
      <w:pPr>
        <w:pStyle w:val="StandardWeb"/>
      </w:pPr>
      <w:r>
        <w:t>und eine Dreierbeziehung</w:t>
      </w:r>
    </w:p>
    <w:p w:rsidR="008530F8" w:rsidRDefault="008530F8" w:rsidP="008530F8">
      <w:pPr>
        <w:pStyle w:val="StandardWeb"/>
      </w:pPr>
      <w:r>
        <w:t>[</w:t>
      </w:r>
      <w:r>
        <w:br/>
        <w:t>o_C=3.</w:t>
      </w:r>
      <w:r>
        <w:br/>
        <w:t>\tag{3.8712}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o_C=3</w:t>
      </w:r>
    </w:p>
    <w:p w:rsidR="008530F8" w:rsidRDefault="00E50336" w:rsidP="008530F8">
      <w:r>
        <w:pict>
          <v:rect id="_x0000_i2355" style="width:0;height:1.5pt" o:hralign="center" o:hrstd="t" o:hr="t" fillcolor="#a0a0a0" stroked="f"/>
        </w:pict>
      </w:r>
    </w:p>
    <w:p w:rsidR="008530F8" w:rsidRDefault="008530F8" w:rsidP="008530F8">
      <w:pPr>
        <w:pStyle w:val="berschrift1"/>
      </w:pPr>
      <w:r>
        <w:t>3.3.43.109 Kohärenzspektrum nach Relationsordnung</w:t>
      </w:r>
    </w:p>
    <w:p w:rsidR="008530F8" w:rsidRDefault="008530F8" w:rsidP="008530F8">
      <w:pPr>
        <w:pStyle w:val="StandardWeb"/>
      </w:pPr>
      <w:r>
        <w:t>Für ein System kann ich ein Ordnungsspektrum definieren:</w:t>
      </w:r>
    </w:p>
    <w:p w:rsidR="008530F8" w:rsidRDefault="008530F8" w:rsidP="008530F8">
      <w:pPr>
        <w:pStyle w:val="berschrift1"/>
      </w:pPr>
      <w:r>
        <w:t>[</w:t>
      </w:r>
      <w:r>
        <w:br/>
        <w:t>\Sigma_C^{(o)}</w:t>
      </w:r>
    </w:p>
    <w:p w:rsidR="008530F8" w:rsidRDefault="008530F8" w:rsidP="008530F8">
      <w:pPr>
        <w:pStyle w:val="StandardWeb"/>
      </w:pPr>
      <w:r>
        <w:t>\left(</w:t>
      </w:r>
      <w:r>
        <w:br/>
        <w:t>C^{(2)},</w:t>
      </w:r>
      <w:r>
        <w:br/>
        <w:t>C^{(3)},</w:t>
      </w:r>
      <w:r>
        <w:br/>
        <w:t>\ldots,</w:t>
      </w:r>
      <w:r>
        <w:br/>
        <w:t>C^{(n)}</w:t>
      </w:r>
      <w:r>
        <w:br/>
        <w:t>\right).</w:t>
      </w:r>
      <w:r>
        <w:br/>
        <w:t>\tag{3.8713}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\Sigma_C^{(o)}=\left(C^{(2)},C^{(3)},\ldots,C^{(n)}\right)</w:t>
      </w:r>
    </w:p>
    <w:p w:rsidR="008530F8" w:rsidRDefault="008530F8" w:rsidP="008530F8">
      <w:pPr>
        <w:pStyle w:val="StandardWeb"/>
      </w:pPr>
      <w:r>
        <w:t>Damit wird sichtbar, ob die Systemkohärenz überwiegend aus paarweisen oder aus höhergeordneten Beziehungen entsteht.</w:t>
      </w:r>
    </w:p>
    <w:p w:rsidR="008530F8" w:rsidRDefault="00E50336" w:rsidP="008530F8">
      <w:r>
        <w:pict>
          <v:rect id="_x0000_i2356" style="width:0;height:1.5pt" o:hralign="center" o:hrstd="t" o:hr="t" fillcolor="#a0a0a0" stroked="f"/>
        </w:pict>
      </w:r>
    </w:p>
    <w:p w:rsidR="008530F8" w:rsidRDefault="008530F8" w:rsidP="008530F8">
      <w:pPr>
        <w:pStyle w:val="berschrift1"/>
      </w:pPr>
      <w:r>
        <w:lastRenderedPageBreak/>
        <w:t>3.3.43.110 Kohärenzfeld</w:t>
      </w:r>
    </w:p>
    <w:p w:rsidR="008530F8" w:rsidRDefault="008530F8" w:rsidP="008530F8">
      <w:pPr>
        <w:pStyle w:val="StandardWeb"/>
      </w:pPr>
      <w:r>
        <w:t>Um räumliche und zeitliche Verteilungen systematisch zu beschreiben, führe ich nun einen Feldbegriff ein.</w:t>
      </w:r>
    </w:p>
    <w:p w:rsidR="008530F8" w:rsidRDefault="008530F8" w:rsidP="008530F8">
      <w:pPr>
        <w:pStyle w:val="StandardWeb"/>
      </w:pPr>
      <w:r>
        <w:t>Sei</w:t>
      </w:r>
    </w:p>
    <w:p w:rsidR="008530F8" w:rsidRDefault="008530F8" w:rsidP="008530F8">
      <w:pPr>
        <w:pStyle w:val="StandardWeb"/>
      </w:pPr>
      <w:r>
        <w:t>[</w:t>
      </w:r>
      <w:r>
        <w:br/>
        <w:t>\mathcal C_F:</w:t>
      </w:r>
      <w:r>
        <w:br/>
        <w:t>\Omega_{ST}</w:t>
      </w:r>
      <w:r>
        <w:br/>
        <w:t>\rightarrow</w:t>
      </w:r>
      <w:r>
        <w:br/>
        <w:t>[0,1]</w:t>
      </w:r>
      <w:r>
        <w:br/>
        <w:t>\tag{3.8714}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C_F:\Omega_{ST}\rightarrow[0,1]</w:t>
      </w:r>
    </w:p>
    <w:p w:rsidR="008530F8" w:rsidRDefault="008530F8" w:rsidP="008530F8">
      <w:pPr>
        <w:pStyle w:val="StandardWeb"/>
      </w:pPr>
      <w:r>
        <w:t>eine Abbildung auf einem Raum-Zeit-Zustandsraum (\Omega_{ST}).</w:t>
      </w:r>
    </w:p>
    <w:p w:rsidR="008530F8" w:rsidRDefault="008530F8" w:rsidP="008530F8">
      <w:pPr>
        <w:pStyle w:val="StandardWeb"/>
      </w:pPr>
      <w:r>
        <w:t>Der Wert</w:t>
      </w:r>
    </w:p>
    <w:p w:rsidR="008530F8" w:rsidRDefault="008530F8" w:rsidP="008530F8">
      <w:pPr>
        <w:pStyle w:val="StandardWeb"/>
      </w:pPr>
      <w:r>
        <w:t>[</w:t>
      </w:r>
      <w:r>
        <w:br/>
        <w:t>\mathcal C_F(x,t)</w:t>
      </w:r>
      <w:r>
        <w:br/>
        <w:t>\tag{3.8715}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C_F(x,t)</w:t>
      </w:r>
    </w:p>
    <w:p w:rsidR="008530F8" w:rsidRDefault="008530F8" w:rsidP="008530F8">
      <w:pPr>
        <w:pStyle w:val="StandardWeb"/>
      </w:pPr>
      <w:r>
        <w:t>beschreibt den lokal definierten Kohärenzzustand am betrachteten Raum-Zeit-Punkt.</w:t>
      </w:r>
    </w:p>
    <w:p w:rsidR="008530F8" w:rsidRDefault="00E50336" w:rsidP="008530F8">
      <w:r>
        <w:pict>
          <v:rect id="_x0000_i2357" style="width:0;height:1.5pt" o:hralign="center" o:hrstd="t" o:hr="t" fillcolor="#a0a0a0" stroked="f"/>
        </w:pict>
      </w:r>
    </w:p>
    <w:p w:rsidR="008530F8" w:rsidRDefault="008530F8" w:rsidP="008530F8">
      <w:pPr>
        <w:pStyle w:val="berschrift1"/>
      </w:pPr>
      <w:r>
        <w:t>3.3.43.111 Definition 3.3.59 – Funktionales Kohärenzfeld</w:t>
      </w:r>
    </w:p>
    <w:p w:rsidR="008530F8" w:rsidRDefault="008530F8" w:rsidP="008530F8">
      <w:pPr>
        <w:pStyle w:val="berschrift3"/>
      </w:pPr>
      <w:r>
        <w:t>Definition 3.3.59</w:t>
      </w:r>
    </w:p>
    <w:p w:rsidR="008530F8" w:rsidRDefault="008530F8" w:rsidP="008530F8">
      <w:pPr>
        <w:pStyle w:val="StandardWeb"/>
      </w:pPr>
      <w:r>
        <w:t xml:space="preserve">Ein </w:t>
      </w:r>
      <w:r>
        <w:rPr>
          <w:rStyle w:val="Fett"/>
        </w:rPr>
        <w:t>funktionales Kohärenzfeld</w:t>
      </w:r>
      <w:r>
        <w:t xml:space="preserve"> ist eine Abbildung</w:t>
      </w:r>
    </w:p>
    <w:p w:rsidR="008530F8" w:rsidRDefault="008530F8" w:rsidP="008530F8">
      <w:pPr>
        <w:pStyle w:val="StandardWeb"/>
      </w:pPr>
      <w:r>
        <w:t>[</w:t>
      </w:r>
      <w:r>
        <w:br/>
        <w:t>\mathcal C_F:</w:t>
      </w:r>
      <w:r>
        <w:br/>
        <w:t>\Omega_{ST}</w:t>
      </w:r>
      <w:r>
        <w:br/>
        <w:t>\rightarrow</w:t>
      </w:r>
      <w:r>
        <w:br/>
        <w:t>\mathcal V_C,</w:t>
      </w:r>
      <w:r>
        <w:br/>
        <w:t>\tag{3.8716}</w:t>
      </w:r>
      <w:r>
        <w:br/>
        <w:t>]</w:t>
      </w:r>
    </w:p>
    <w:p w:rsidR="008530F8" w:rsidRDefault="008530F8" w:rsidP="008530F8">
      <w:pPr>
        <w:pStyle w:val="StandardWeb"/>
      </w:pPr>
      <w:r>
        <w:rPr>
          <w:rStyle w:val="Fett"/>
        </w:rPr>
        <w:lastRenderedPageBreak/>
        <w:t>Word-LaTeX</w:t>
      </w:r>
    </w:p>
    <w:p w:rsidR="008530F8" w:rsidRDefault="008530F8" w:rsidP="008530F8">
      <w:pPr>
        <w:pStyle w:val="HTMLVorformatiert"/>
        <w:rPr>
          <w:rStyle w:val="HTMLCode"/>
        </w:rPr>
      </w:pPr>
      <w:r>
        <w:rPr>
          <w:rStyle w:val="HTMLCode"/>
        </w:rPr>
        <w:t>\mathcal C_F:\Omega_{ST}\rightarrow\mathcal V_C</w:t>
      </w:r>
    </w:p>
    <w:p w:rsidR="008530F8" w:rsidRDefault="008530F8" w:rsidP="008530F8">
      <w:pPr>
        <w:pStyle w:val="StandardWeb"/>
      </w:pPr>
      <w:r>
        <w:t>die jedem zulässigen Raum-Zeit-Zustand einen lokalen Kohärenzwert oder einen lokalen Kohärenzvektor zuordnet.</w:t>
      </w:r>
    </w:p>
    <w:p w:rsidR="008530F8" w:rsidRDefault="008530F8" w:rsidP="008530F8">
      <w:pPr>
        <w:pStyle w:val="StandardWeb"/>
      </w:pPr>
      <w:r>
        <w:t>Für skalare Kohärenz gilt</w:t>
      </w:r>
    </w:p>
    <w:p w:rsidR="008530F8" w:rsidRDefault="008530F8" w:rsidP="008530F8">
      <w:pPr>
        <w:pStyle w:val="StandardWeb"/>
      </w:pPr>
      <w:r>
        <w:t>[</w:t>
      </w:r>
      <w:r>
        <w:br/>
        <w:t>\mathcal V_C=[0,1].</w:t>
      </w:r>
      <w:r>
        <w:br/>
        <w:t>\tag{3.8717}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V_C=[0,1]</w:t>
      </w:r>
    </w:p>
    <w:p w:rsidR="008530F8" w:rsidRDefault="008530F8" w:rsidP="008530F8">
      <w:pPr>
        <w:pStyle w:val="StandardWeb"/>
      </w:pPr>
      <w:r>
        <w:t>Für mehrdimensionale Kohärenz kann dagegen</w:t>
      </w:r>
    </w:p>
    <w:p w:rsidR="008530F8" w:rsidRDefault="008530F8" w:rsidP="008530F8">
      <w:pPr>
        <w:pStyle w:val="StandardWeb"/>
      </w:pPr>
      <w:r>
        <w:t>[</w:t>
      </w:r>
      <w:r>
        <w:br/>
        <w:t>\mathcal V_C</w:t>
      </w:r>
      <w:r>
        <w:br/>
        <w:t>\subseteq</w:t>
      </w:r>
      <w:r>
        <w:br/>
        <w:t>\mathbb R^m</w:t>
      </w:r>
      <w:r>
        <w:br/>
        <w:t>\tag{3.8718}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V_C\subseteq\mathbb R^m</w:t>
      </w:r>
    </w:p>
    <w:p w:rsidR="008530F8" w:rsidRDefault="008530F8" w:rsidP="008530F8">
      <w:pPr>
        <w:pStyle w:val="StandardWeb"/>
      </w:pPr>
      <w:r>
        <w:t>gelten.</w:t>
      </w:r>
    </w:p>
    <w:p w:rsidR="008530F8" w:rsidRDefault="00E50336" w:rsidP="008530F8">
      <w:r>
        <w:pict>
          <v:rect id="_x0000_i2358" style="width:0;height:1.5pt" o:hralign="center" o:hrstd="t" o:hr="t" fillcolor="#a0a0a0" stroked="f"/>
        </w:pict>
      </w:r>
    </w:p>
    <w:p w:rsidR="008530F8" w:rsidRDefault="008530F8" w:rsidP="008530F8">
      <w:pPr>
        <w:pStyle w:val="berschrift1"/>
      </w:pPr>
      <w:r>
        <w:t>3.3.43.112 Skalares und vektorielles Kohärenzfeld</w:t>
      </w:r>
    </w:p>
    <w:p w:rsidR="008530F8" w:rsidRDefault="008530F8" w:rsidP="008530F8">
      <w:pPr>
        <w:pStyle w:val="StandardWeb"/>
      </w:pPr>
      <w:r>
        <w:t>Ein skalares Feld besitzt die Form</w:t>
      </w:r>
    </w:p>
    <w:p w:rsidR="008530F8" w:rsidRDefault="008530F8" w:rsidP="008530F8">
      <w:pPr>
        <w:pStyle w:val="StandardWeb"/>
      </w:pPr>
      <w:r>
        <w:t>[</w:t>
      </w:r>
      <w:r>
        <w:br/>
        <w:t>C=C(x,t).</w:t>
      </w:r>
      <w:r>
        <w:br/>
        <w:t>\tag{3.8719}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C=C(x,t)</w:t>
      </w:r>
    </w:p>
    <w:p w:rsidR="008530F8" w:rsidRDefault="008530F8" w:rsidP="008530F8">
      <w:pPr>
        <w:pStyle w:val="StandardWeb"/>
      </w:pPr>
      <w:r>
        <w:t>Ein vektorielles Kohärenzfeld kann geschrieben werden als</w:t>
      </w:r>
    </w:p>
    <w:p w:rsidR="008530F8" w:rsidRDefault="008530F8" w:rsidP="008530F8">
      <w:pPr>
        <w:pStyle w:val="berschrift1"/>
      </w:pPr>
      <w:r>
        <w:lastRenderedPageBreak/>
        <w:t>[</w:t>
      </w:r>
      <w:r>
        <w:br/>
        <w:t>\mathbf C</w:t>
      </w:r>
    </w:p>
    <w:p w:rsidR="008530F8" w:rsidRDefault="008530F8" w:rsidP="008530F8">
      <w:pPr>
        <w:pStyle w:val="StandardWeb"/>
      </w:pPr>
      <w:r>
        <w:t>\mathbf C(x,t).</w:t>
      </w:r>
      <w:r>
        <w:br/>
        <w:t>\tag{3.8720}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\mathbf C=\mathbf C(x,t)</w:t>
      </w:r>
    </w:p>
    <w:p w:rsidR="008530F8" w:rsidRDefault="008530F8" w:rsidP="008530F8">
      <w:pPr>
        <w:pStyle w:val="StandardWeb"/>
      </w:pPr>
      <w:r>
        <w:t>Die Vektorform ist insbesondere dann sinnvoll, wenn Kohärenz mehrere gerichtete Komponenten besitzt.</w:t>
      </w:r>
    </w:p>
    <w:p w:rsidR="008530F8" w:rsidRDefault="00E50336" w:rsidP="008530F8">
      <w:r>
        <w:pict>
          <v:rect id="_x0000_i2359" style="width:0;height:1.5pt" o:hralign="center" o:hrstd="t" o:hr="t" fillcolor="#a0a0a0" stroked="f"/>
        </w:pict>
      </w:r>
    </w:p>
    <w:p w:rsidR="008530F8" w:rsidRDefault="008530F8" w:rsidP="008530F8">
      <w:pPr>
        <w:pStyle w:val="berschrift1"/>
      </w:pPr>
      <w:r>
        <w:t>3.3.43.113 Kohärenzgradient</w:t>
      </w:r>
    </w:p>
    <w:p w:rsidR="008530F8" w:rsidRDefault="008530F8" w:rsidP="008530F8">
      <w:pPr>
        <w:pStyle w:val="StandardWeb"/>
      </w:pPr>
      <w:r>
        <w:t>Für ein differenzierbares skalares Kohärenzfeld definiere ich</w:t>
      </w:r>
    </w:p>
    <w:p w:rsidR="008530F8" w:rsidRDefault="008530F8" w:rsidP="008530F8">
      <w:pPr>
        <w:pStyle w:val="StandardWeb"/>
      </w:pPr>
      <w:r>
        <w:t>[</w:t>
      </w:r>
      <w:r>
        <w:br/>
        <w:t>\nabla C(x,t).</w:t>
      </w:r>
      <w:r>
        <w:br/>
        <w:t>\tag{3.8721}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\nabla C(x,t)</w:t>
      </w:r>
    </w:p>
    <w:p w:rsidR="008530F8" w:rsidRDefault="008530F8" w:rsidP="008530F8">
      <w:pPr>
        <w:pStyle w:val="StandardWeb"/>
      </w:pPr>
      <w:r>
        <w:t>Dieser Gradient zeigt die Richtung der stärksten räumlichen Änderung des Kohärenzwertes.</w:t>
      </w:r>
    </w:p>
    <w:p w:rsidR="008530F8" w:rsidRDefault="008530F8" w:rsidP="008530F8">
      <w:pPr>
        <w:pStyle w:val="StandardWeb"/>
      </w:pPr>
      <w:r>
        <w:t>Sein Betrag lautet</w:t>
      </w:r>
    </w:p>
    <w:p w:rsidR="008530F8" w:rsidRDefault="008530F8" w:rsidP="008530F8">
      <w:pPr>
        <w:pStyle w:val="berschrift1"/>
      </w:pPr>
      <w:r>
        <w:t>[</w:t>
      </w:r>
      <w:r>
        <w:br/>
        <w:t>G_C</w:t>
      </w:r>
    </w:p>
    <w:p w:rsidR="008530F8" w:rsidRDefault="008530F8" w:rsidP="008530F8">
      <w:pPr>
        <w:pStyle w:val="StandardWeb"/>
      </w:pPr>
      <w:r>
        <w:t>\left|</w:t>
      </w:r>
      <w:r>
        <w:br/>
        <w:t>\nabla C</w:t>
      </w:r>
      <w:r>
        <w:br/>
        <w:t>\right|.</w:t>
      </w:r>
      <w:r>
        <w:br/>
        <w:t>\tag{3.8722}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G_C=\left|\nabla C\right|</w:t>
      </w:r>
    </w:p>
    <w:p w:rsidR="008530F8" w:rsidRDefault="00E50336" w:rsidP="008530F8">
      <w:r>
        <w:pict>
          <v:rect id="_x0000_i2360" style="width:0;height:1.5pt" o:hralign="center" o:hrstd="t" o:hr="t" fillcolor="#a0a0a0" stroked="f"/>
        </w:pict>
      </w:r>
    </w:p>
    <w:p w:rsidR="008530F8" w:rsidRDefault="008530F8" w:rsidP="008530F8">
      <w:pPr>
        <w:pStyle w:val="berschrift1"/>
      </w:pPr>
      <w:r>
        <w:t>3.3.43.114 Lokaler Kohärenzgradient</w:t>
      </w:r>
    </w:p>
    <w:p w:rsidR="008530F8" w:rsidRDefault="008530F8" w:rsidP="008530F8">
      <w:pPr>
        <w:pStyle w:val="StandardWeb"/>
      </w:pPr>
      <w:r>
        <w:lastRenderedPageBreak/>
        <w:t>Ein hoher Wert</w:t>
      </w:r>
    </w:p>
    <w:p w:rsidR="008530F8" w:rsidRDefault="008530F8" w:rsidP="008530F8">
      <w:pPr>
        <w:pStyle w:val="StandardWeb"/>
      </w:pPr>
      <w:r>
        <w:t>[</w:t>
      </w:r>
      <w:r>
        <w:br/>
        <w:t>G_C\gg0</w:t>
      </w:r>
      <w:r>
        <w:br/>
        <w:t>\tag{3.8723}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G_C\gg0</w:t>
      </w:r>
    </w:p>
    <w:p w:rsidR="008530F8" w:rsidRDefault="008530F8" w:rsidP="008530F8">
      <w:pPr>
        <w:pStyle w:val="StandardWeb"/>
      </w:pPr>
      <w:r>
        <w:t>kennzeichnet einen Bereich starker räumlicher Kohärenzänderung.</w:t>
      </w:r>
    </w:p>
    <w:p w:rsidR="008530F8" w:rsidRDefault="008530F8" w:rsidP="008530F8">
      <w:pPr>
        <w:pStyle w:val="StandardWeb"/>
      </w:pPr>
      <w:r>
        <w:t>Ein niedriger Wert</w:t>
      </w:r>
    </w:p>
    <w:p w:rsidR="008530F8" w:rsidRDefault="008530F8" w:rsidP="008530F8">
      <w:pPr>
        <w:pStyle w:val="StandardWeb"/>
      </w:pPr>
      <w:r>
        <w:t>[</w:t>
      </w:r>
      <w:r>
        <w:br/>
        <w:t>G_C\approx0</w:t>
      </w:r>
      <w:r>
        <w:br/>
        <w:t>\tag{3.8724}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G_C\approx0</w:t>
      </w:r>
    </w:p>
    <w:p w:rsidR="008530F8" w:rsidRDefault="008530F8" w:rsidP="008530F8">
      <w:pPr>
        <w:pStyle w:val="StandardWeb"/>
      </w:pPr>
      <w:r>
        <w:t>kennzeichnet dagegen lokal annähernd homogene Kohärenz.</w:t>
      </w:r>
    </w:p>
    <w:p w:rsidR="008530F8" w:rsidRDefault="00E50336" w:rsidP="008530F8">
      <w:r>
        <w:pict>
          <v:rect id="_x0000_i2361" style="width:0;height:1.5pt" o:hralign="center" o:hrstd="t" o:hr="t" fillcolor="#a0a0a0" stroked="f"/>
        </w:pict>
      </w:r>
    </w:p>
    <w:p w:rsidR="008530F8" w:rsidRDefault="008530F8" w:rsidP="008530F8">
      <w:pPr>
        <w:pStyle w:val="berschrift1"/>
      </w:pPr>
      <w:r>
        <w:t>3.3.43.115 Kohärenzgradient ist kein Kohärenzwert</w:t>
      </w:r>
    </w:p>
    <w:p w:rsidR="008530F8" w:rsidRDefault="008530F8" w:rsidP="008530F8">
      <w:pPr>
        <w:pStyle w:val="StandardWeb"/>
      </w:pPr>
      <w:r>
        <w:t>Es gilt ausdrücklich</w:t>
      </w:r>
    </w:p>
    <w:p w:rsidR="008530F8" w:rsidRDefault="008530F8" w:rsidP="008530F8">
      <w:pPr>
        <w:pStyle w:val="StandardWeb"/>
      </w:pPr>
      <w:r>
        <w:t>[</w:t>
      </w:r>
      <w:r>
        <w:br/>
        <w:t>|\nabla C|</w:t>
      </w:r>
      <w:r>
        <w:br/>
        <w:t>\text{ groß}</w:t>
      </w:r>
      <w:r>
        <w:br/>
        <w:t>\nRightarrow</w:t>
      </w:r>
      <w:r>
        <w:br/>
        <w:t>C</w:t>
      </w:r>
      <w:r>
        <w:br/>
        <w:t>\text{ groß}.</w:t>
      </w:r>
      <w:r>
        <w:br/>
        <w:t>\tag{3.8725}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|\nabla C|\text{ groß}\nRightarrow C\text{ groß}</w:t>
      </w:r>
    </w:p>
    <w:p w:rsidR="008530F8" w:rsidRDefault="008530F8" w:rsidP="008530F8">
      <w:pPr>
        <w:pStyle w:val="StandardWeb"/>
      </w:pPr>
      <w:r>
        <w:t>Ein Bereich kann eine geringe absolute Kohärenz und zugleich eine starke räumliche Änderung besitzen.</w:t>
      </w:r>
    </w:p>
    <w:p w:rsidR="008530F8" w:rsidRDefault="00E50336" w:rsidP="008530F8">
      <w:r>
        <w:pict>
          <v:rect id="_x0000_i2362" style="width:0;height:1.5pt" o:hralign="center" o:hrstd="t" o:hr="t" fillcolor="#a0a0a0" stroked="f"/>
        </w:pict>
      </w:r>
    </w:p>
    <w:p w:rsidR="008530F8" w:rsidRDefault="008530F8" w:rsidP="008530F8">
      <w:pPr>
        <w:pStyle w:val="berschrift1"/>
      </w:pPr>
      <w:r>
        <w:t>3.3.43.116 Zeitlicher Kohärenzgradient</w:t>
      </w:r>
    </w:p>
    <w:p w:rsidR="008530F8" w:rsidRDefault="008530F8" w:rsidP="008530F8">
      <w:pPr>
        <w:pStyle w:val="StandardWeb"/>
      </w:pPr>
      <w:r>
        <w:lastRenderedPageBreak/>
        <w:t>Für die zeitliche Änderung verwende ich</w:t>
      </w:r>
    </w:p>
    <w:p w:rsidR="008530F8" w:rsidRDefault="008530F8" w:rsidP="008530F8">
      <w:pPr>
        <w:pStyle w:val="berschrift1"/>
      </w:pPr>
      <w:r>
        <w:t>[</w:t>
      </w:r>
      <w:r>
        <w:br/>
        <w:t>\partial_t C</w:t>
      </w:r>
    </w:p>
    <w:p w:rsidR="008530F8" w:rsidRDefault="008530F8" w:rsidP="008530F8">
      <w:pPr>
        <w:pStyle w:val="StandardWeb"/>
      </w:pPr>
      <w:r>
        <w:t>\frac{\partial C}{\partial t}.</w:t>
      </w:r>
      <w:r>
        <w:br/>
        <w:t>\tag{3.8726}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\partial_t C=\frac{\partial C}{\partial t}</w:t>
      </w:r>
    </w:p>
    <w:p w:rsidR="008530F8" w:rsidRDefault="008530F8" w:rsidP="008530F8">
      <w:pPr>
        <w:pStyle w:val="StandardWeb"/>
      </w:pPr>
      <w:r>
        <w:t>Damit kann ich räumliche und zeitliche Änderungen getrennt analysieren.</w:t>
      </w:r>
    </w:p>
    <w:p w:rsidR="008530F8" w:rsidRDefault="00E50336" w:rsidP="008530F8">
      <w:r>
        <w:pict>
          <v:rect id="_x0000_i2363" style="width:0;height:1.5pt" o:hralign="center" o:hrstd="t" o:hr="t" fillcolor="#a0a0a0" stroked="f"/>
        </w:pict>
      </w:r>
    </w:p>
    <w:p w:rsidR="008530F8" w:rsidRDefault="008530F8" w:rsidP="008530F8">
      <w:pPr>
        <w:pStyle w:val="berschrift1"/>
      </w:pPr>
      <w:r>
        <w:t>3.3.43.117 Raumzeitlicher Kohärenzgradient</w:t>
      </w:r>
    </w:p>
    <w:p w:rsidR="008530F8" w:rsidRDefault="008530F8" w:rsidP="008530F8">
      <w:pPr>
        <w:pStyle w:val="StandardWeb"/>
      </w:pPr>
      <w:r>
        <w:t>Eine kombinierte Darstellung lautet</w:t>
      </w:r>
    </w:p>
    <w:p w:rsidR="008530F8" w:rsidRDefault="008530F8" w:rsidP="008530F8">
      <w:pPr>
        <w:pStyle w:val="berschrift1"/>
      </w:pPr>
      <w:r>
        <w:t>[</w:t>
      </w:r>
      <w:r>
        <w:br/>
        <w:t>\nabla_{ST}C</w:t>
      </w:r>
    </w:p>
    <w:p w:rsidR="008530F8" w:rsidRDefault="008530F8" w:rsidP="008530F8">
      <w:pPr>
        <w:pStyle w:val="StandardWeb"/>
      </w:pPr>
      <w:r>
        <w:t>\left(</w:t>
      </w:r>
      <w:r>
        <w:br/>
        <w:t>\nabla C,</w:t>
      </w:r>
      <w:r>
        <w:br/>
        <w:t>\partial_t C</w:t>
      </w:r>
      <w:r>
        <w:br/>
        <w:t>\right).</w:t>
      </w:r>
      <w:r>
        <w:br/>
        <w:t>\tag{3.8727}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\nabla_{ST}C=\left(\nabla C,\partial_t C\right)</w:t>
      </w:r>
    </w:p>
    <w:p w:rsidR="008530F8" w:rsidRDefault="008530F8" w:rsidP="008530F8">
      <w:pPr>
        <w:pStyle w:val="StandardWeb"/>
      </w:pPr>
      <w:r>
        <w:t>Diese Größe bildet noch keine spezielle relativistische Raumzeitgeometrie ab, sondern fasst zunächst die betrachteten räumlichen und zeitlichen Ableitungen formal zusammen.</w:t>
      </w:r>
    </w:p>
    <w:p w:rsidR="008530F8" w:rsidRDefault="00E50336" w:rsidP="008530F8">
      <w:r>
        <w:pict>
          <v:rect id="_x0000_i2364" style="width:0;height:1.5pt" o:hralign="center" o:hrstd="t" o:hr="t" fillcolor="#a0a0a0" stroked="f"/>
        </w:pict>
      </w:r>
    </w:p>
    <w:p w:rsidR="008530F8" w:rsidRDefault="008530F8" w:rsidP="008530F8">
      <w:pPr>
        <w:pStyle w:val="berschrift1"/>
      </w:pPr>
      <w:r>
        <w:t>3.3.43.118 Kohärenzfluss</w:t>
      </w:r>
    </w:p>
    <w:p w:rsidR="008530F8" w:rsidRDefault="008530F8" w:rsidP="008530F8">
      <w:pPr>
        <w:pStyle w:val="StandardWeb"/>
      </w:pPr>
      <w:r>
        <w:t>Um gerichtete Änderungen räumlich verteilter Kohärenz zu beschreiben, führe ich einen Kohärenzfluss</w:t>
      </w:r>
    </w:p>
    <w:p w:rsidR="008530F8" w:rsidRDefault="008530F8" w:rsidP="008530F8">
      <w:pPr>
        <w:pStyle w:val="berschrift1"/>
      </w:pPr>
      <w:r>
        <w:lastRenderedPageBreak/>
        <w:t>[</w:t>
      </w:r>
      <w:r>
        <w:br/>
        <w:t>\mathbf J_C</w:t>
      </w:r>
    </w:p>
    <w:p w:rsidR="008530F8" w:rsidRDefault="008530F8" w:rsidP="008530F8">
      <w:pPr>
        <w:pStyle w:val="StandardWeb"/>
      </w:pPr>
      <w:r>
        <w:t>\mathbf J_C(x,t)</w:t>
      </w:r>
      <w:r>
        <w:br/>
        <w:t>\tag{3.8728}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\mathbf J_C=\mathbf J_C(x,t)</w:t>
      </w:r>
    </w:p>
    <w:p w:rsidR="008530F8" w:rsidRDefault="008530F8" w:rsidP="008530F8">
      <w:pPr>
        <w:pStyle w:val="StandardWeb"/>
      </w:pPr>
      <w:r>
        <w:t>ein.</w:t>
      </w:r>
    </w:p>
    <w:p w:rsidR="008530F8" w:rsidRDefault="008530F8" w:rsidP="008530F8">
      <w:pPr>
        <w:pStyle w:val="StandardWeb"/>
      </w:pPr>
      <w:r>
        <w:t>Dieser Vektor beschreibt eine gerichtete funktionale Übertragung oder Veränderung von Kohärenz innerhalb der gewählten Operationalisierung.</w:t>
      </w:r>
    </w:p>
    <w:p w:rsidR="008530F8" w:rsidRDefault="00E50336" w:rsidP="008530F8">
      <w:r>
        <w:pict>
          <v:rect id="_x0000_i2365" style="width:0;height:1.5pt" o:hralign="center" o:hrstd="t" o:hr="t" fillcolor="#a0a0a0" stroked="f"/>
        </w:pict>
      </w:r>
    </w:p>
    <w:p w:rsidR="008530F8" w:rsidRDefault="008530F8" w:rsidP="008530F8">
      <w:pPr>
        <w:pStyle w:val="berschrift1"/>
      </w:pPr>
      <w:r>
        <w:t>3.3.43.119 Definition 3.3.60 – Funktionaler Kohärenzfluss</w:t>
      </w:r>
    </w:p>
    <w:p w:rsidR="008530F8" w:rsidRDefault="008530F8" w:rsidP="008530F8">
      <w:pPr>
        <w:pStyle w:val="berschrift3"/>
      </w:pPr>
      <w:r>
        <w:t>Definition 3.3.60</w:t>
      </w:r>
    </w:p>
    <w:p w:rsidR="008530F8" w:rsidRDefault="008530F8" w:rsidP="008530F8">
      <w:pPr>
        <w:pStyle w:val="StandardWeb"/>
      </w:pPr>
      <w:r>
        <w:t>Ein funktionaler Kohärenzfluss ist eine gerichtete Größe</w:t>
      </w:r>
    </w:p>
    <w:p w:rsidR="008530F8" w:rsidRDefault="008530F8" w:rsidP="008530F8">
      <w:pPr>
        <w:pStyle w:val="StandardWeb"/>
      </w:pPr>
      <w:r>
        <w:t>[</w:t>
      </w:r>
      <w:r>
        <w:br/>
        <w:t>\mathbf J_C:</w:t>
      </w:r>
      <w:r>
        <w:br/>
        <w:t>\Omega_{ST}</w:t>
      </w:r>
      <w:r>
        <w:br/>
        <w:t>\rightarrow</w:t>
      </w:r>
      <w:r>
        <w:br/>
        <w:t>\mathbb R^m,</w:t>
      </w:r>
      <w:r>
        <w:br/>
        <w:t>\tag{3.8729}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\mathbf J_C:\Omega_{ST}\rightarrow\mathbb R^m</w:t>
      </w:r>
    </w:p>
    <w:p w:rsidR="008530F8" w:rsidRDefault="008530F8" w:rsidP="008530F8">
      <w:pPr>
        <w:pStyle w:val="StandardWeb"/>
      </w:pPr>
      <w:r>
        <w:t>die beschreibt, in welche Richtung und mit welcher funktionalen Stärke sich kohärenzrelevante Kopplungsstruktur innerhalb des betrachteten Zustandsraums verändert oder übertragen wird.</w:t>
      </w:r>
    </w:p>
    <w:p w:rsidR="008530F8" w:rsidRDefault="008530F8" w:rsidP="008530F8">
      <w:pPr>
        <w:pStyle w:val="StandardWeb"/>
      </w:pPr>
      <w:r>
        <w:t xml:space="preserve">Diese Definition behauptet zunächst </w:t>
      </w:r>
      <w:r>
        <w:rPr>
          <w:rStyle w:val="Fett"/>
        </w:rPr>
        <w:t>keinen physikalischen Stoff-, Energie- oder Informationsfluss</w:t>
      </w:r>
      <w:r>
        <w:t>.</w:t>
      </w:r>
    </w:p>
    <w:p w:rsidR="008530F8" w:rsidRDefault="00E50336" w:rsidP="008530F8">
      <w:r>
        <w:pict>
          <v:rect id="_x0000_i2366" style="width:0;height:1.5pt" o:hralign="center" o:hrstd="t" o:hr="t" fillcolor="#a0a0a0" stroked="f"/>
        </w:pict>
      </w:r>
    </w:p>
    <w:p w:rsidR="008530F8" w:rsidRDefault="008530F8" w:rsidP="008530F8">
      <w:pPr>
        <w:pStyle w:val="berschrift1"/>
      </w:pPr>
      <w:r>
        <w:t>3.3.43.120 Gradientgetriebener Kohärenzfluss</w:t>
      </w:r>
    </w:p>
    <w:p w:rsidR="008530F8" w:rsidRDefault="008530F8" w:rsidP="008530F8">
      <w:pPr>
        <w:pStyle w:val="StandardWeb"/>
      </w:pPr>
      <w:r>
        <w:t>Als mögliche Modellklasse kann geschrieben werden</w:t>
      </w:r>
    </w:p>
    <w:p w:rsidR="008530F8" w:rsidRDefault="008530F8" w:rsidP="008530F8">
      <w:pPr>
        <w:pStyle w:val="berschrift1"/>
      </w:pPr>
      <w:r>
        <w:lastRenderedPageBreak/>
        <w:t>[</w:t>
      </w:r>
      <w:r>
        <w:br/>
        <w:t>\mathbf J_C</w:t>
      </w:r>
    </w:p>
    <w:p w:rsidR="008530F8" w:rsidRDefault="008530F8" w:rsidP="008530F8">
      <w:pPr>
        <w:pStyle w:val="StandardWeb"/>
      </w:pPr>
      <w:r>
        <w:t>-D_C^{\ast}</w:t>
      </w:r>
      <w:r>
        <w:br/>
        <w:t>\nabla C,</w:t>
      </w:r>
      <w:r>
        <w:br/>
        <w:t>\tag{3.8730}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\mathbf J_C=-D_C^{\ast}\nabla C</w:t>
      </w:r>
    </w:p>
    <w:p w:rsidR="008530F8" w:rsidRDefault="008530F8" w:rsidP="008530F8">
      <w:pPr>
        <w:pStyle w:val="StandardWeb"/>
      </w:pPr>
      <w:r>
        <w:t>wobei (D_C^{\ast}) einen geeigneten Kohärenztransportkoeffizienten bezeichnet.</w:t>
      </w:r>
    </w:p>
    <w:p w:rsidR="008530F8" w:rsidRDefault="008530F8" w:rsidP="008530F8">
      <w:pPr>
        <w:pStyle w:val="StandardWeb"/>
      </w:pPr>
      <w:r>
        <w:t xml:space="preserve">Diese Gleichung ist ausdrücklich </w:t>
      </w:r>
      <w:r>
        <w:rPr>
          <w:rStyle w:val="Fett"/>
        </w:rPr>
        <w:t>keine allgemeine FRZK-Grundgleichung</w:t>
      </w:r>
      <w:r>
        <w:t>, sondern zunächst eine mögliche diffusionsartige Modellannahme.</w:t>
      </w:r>
    </w:p>
    <w:p w:rsidR="008530F8" w:rsidRDefault="00E50336" w:rsidP="008530F8">
      <w:r>
        <w:pict>
          <v:rect id="_x0000_i2367" style="width:0;height:1.5pt" o:hralign="center" o:hrstd="t" o:hr="t" fillcolor="#a0a0a0" stroked="f"/>
        </w:pict>
      </w:r>
    </w:p>
    <w:p w:rsidR="008530F8" w:rsidRDefault="008530F8" w:rsidP="008530F8">
      <w:pPr>
        <w:pStyle w:val="berschrift1"/>
      </w:pPr>
      <w:r>
        <w:t>3.3.43.121 Kohärenzquelle</w:t>
      </w:r>
    </w:p>
    <w:p w:rsidR="008530F8" w:rsidRDefault="008530F8" w:rsidP="008530F8">
      <w:pPr>
        <w:pStyle w:val="StandardWeb"/>
      </w:pPr>
      <w:r>
        <w:t>Eine lokale Erzeugung funktionaler Kohärenz beschreibe ich durch</w:t>
      </w:r>
    </w:p>
    <w:p w:rsidR="008530F8" w:rsidRDefault="008530F8" w:rsidP="008530F8">
      <w:pPr>
        <w:pStyle w:val="StandardWeb"/>
      </w:pPr>
      <w:r>
        <w:t>[</w:t>
      </w:r>
      <w:r>
        <w:br/>
        <w:t>S_C^{+}(x,t)\geq0.</w:t>
      </w:r>
      <w:r>
        <w:br/>
        <w:t>\tag{3.8731}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S_C^{+}(x,t)\geq0</w:t>
      </w:r>
    </w:p>
    <w:p w:rsidR="008530F8" w:rsidRDefault="00E50336" w:rsidP="008530F8">
      <w:r>
        <w:pict>
          <v:rect id="_x0000_i2368" style="width:0;height:1.5pt" o:hralign="center" o:hrstd="t" o:hr="t" fillcolor="#a0a0a0" stroked="f"/>
        </w:pict>
      </w:r>
    </w:p>
    <w:p w:rsidR="008530F8" w:rsidRDefault="008530F8" w:rsidP="008530F8">
      <w:pPr>
        <w:pStyle w:val="berschrift1"/>
      </w:pPr>
      <w:r>
        <w:t>3.3.43.122 Kohärenzsenke</w:t>
      </w:r>
    </w:p>
    <w:p w:rsidR="008530F8" w:rsidRDefault="008530F8" w:rsidP="008530F8">
      <w:pPr>
        <w:pStyle w:val="StandardWeb"/>
      </w:pPr>
      <w:r>
        <w:t>Eine lokale Verringerung kann durch</w:t>
      </w:r>
    </w:p>
    <w:p w:rsidR="008530F8" w:rsidRDefault="008530F8" w:rsidP="008530F8">
      <w:pPr>
        <w:pStyle w:val="StandardWeb"/>
      </w:pPr>
      <w:r>
        <w:t>[</w:t>
      </w:r>
      <w:r>
        <w:br/>
        <w:t>S_C^{-}(x,t)\geq0</w:t>
      </w:r>
      <w:r>
        <w:br/>
        <w:t>\tag{3.8732}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S_C^{-}(x,t)\geq0</w:t>
      </w:r>
    </w:p>
    <w:p w:rsidR="008530F8" w:rsidRDefault="008530F8" w:rsidP="008530F8">
      <w:pPr>
        <w:pStyle w:val="StandardWeb"/>
      </w:pPr>
      <w:r>
        <w:t>beschrieben werden.</w:t>
      </w:r>
    </w:p>
    <w:p w:rsidR="008530F8" w:rsidRDefault="008530F8" w:rsidP="008530F8">
      <w:pPr>
        <w:pStyle w:val="StandardWeb"/>
      </w:pPr>
      <w:r>
        <w:t>Die Nettoquelle lautet</w:t>
      </w:r>
    </w:p>
    <w:p w:rsidR="008530F8" w:rsidRDefault="008530F8" w:rsidP="008530F8">
      <w:pPr>
        <w:pStyle w:val="berschrift1"/>
      </w:pPr>
      <w:r>
        <w:lastRenderedPageBreak/>
        <w:t>[</w:t>
      </w:r>
      <w:r>
        <w:br/>
        <w:t>S_C</w:t>
      </w:r>
    </w:p>
    <w:p w:rsidR="008530F8" w:rsidRDefault="008530F8" w:rsidP="008530F8">
      <w:pPr>
        <w:pStyle w:val="StandardWeb"/>
      </w:pPr>
      <w:r>
        <w:t>S_C^{+}-S_C^{-}.</w:t>
      </w:r>
      <w:r>
        <w:br/>
        <w:t>\tag{3.8733}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S_C=S_C^{+}-S_C^{-}</w:t>
      </w:r>
    </w:p>
    <w:p w:rsidR="008530F8" w:rsidRDefault="00E50336" w:rsidP="008530F8">
      <w:r>
        <w:pict>
          <v:rect id="_x0000_i2369" style="width:0;height:1.5pt" o:hralign="center" o:hrstd="t" o:hr="t" fillcolor="#a0a0a0" stroked="f"/>
        </w:pict>
      </w:r>
    </w:p>
    <w:p w:rsidR="008530F8" w:rsidRDefault="008530F8" w:rsidP="008530F8">
      <w:pPr>
        <w:pStyle w:val="berschrift1"/>
      </w:pPr>
      <w:r>
        <w:t>3.3.43.123 Formale Kohärenzbilanz</w:t>
      </w:r>
    </w:p>
    <w:p w:rsidR="008530F8" w:rsidRDefault="008530F8" w:rsidP="008530F8">
      <w:pPr>
        <w:pStyle w:val="StandardWeb"/>
      </w:pPr>
      <w:r>
        <w:t>Eine allgemeine Bilanzform kann geschrieben werden als</w:t>
      </w:r>
    </w:p>
    <w:p w:rsidR="008530F8" w:rsidRDefault="008530F8" w:rsidP="008530F8">
      <w:pPr>
        <w:pStyle w:val="berschrift1"/>
      </w:pPr>
      <w:r>
        <w:t>[</w:t>
      </w:r>
      <w:r>
        <w:br/>
        <w:t>\frac{\partial C}{\partial t}</w:t>
      </w:r>
      <w:r>
        <w:br/>
        <w:t>+</w:t>
      </w:r>
      <w:r>
        <w:br/>
        <w:t>\nabla\cdot\mathbf J_C</w:t>
      </w:r>
    </w:p>
    <w:p w:rsidR="008530F8" w:rsidRDefault="008530F8" w:rsidP="008530F8">
      <w:pPr>
        <w:pStyle w:val="StandardWeb"/>
      </w:pPr>
      <w:r>
        <w:t>S_C.</w:t>
      </w:r>
      <w:r>
        <w:br/>
        <w:t>\tag{3.8734}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\frac{\partial C}{\partial t}+\nabla\cdot\mathbf J_C=S_C</w:t>
      </w:r>
    </w:p>
    <w:p w:rsidR="008530F8" w:rsidRDefault="008530F8" w:rsidP="008530F8">
      <w:pPr>
        <w:pStyle w:val="StandardWeb"/>
      </w:pPr>
      <w:r>
        <w:t xml:space="preserve">Diese Gleichung besitzt zunächst den Status eines </w:t>
      </w:r>
      <w:r>
        <w:rPr>
          <w:rStyle w:val="Fett"/>
        </w:rPr>
        <w:t>methodischen Modellansatzes</w:t>
      </w:r>
      <w:r>
        <w:t>.</w:t>
      </w:r>
    </w:p>
    <w:p w:rsidR="008530F8" w:rsidRDefault="008530F8" w:rsidP="008530F8">
      <w:pPr>
        <w:pStyle w:val="StandardWeb"/>
      </w:pPr>
      <w:r>
        <w:t>Sie wird an dieser Stelle nicht als Primäraxiom des FRZK gesetzt.</w:t>
      </w:r>
    </w:p>
    <w:p w:rsidR="008530F8" w:rsidRDefault="00E50336" w:rsidP="008530F8">
      <w:r>
        <w:pict>
          <v:rect id="_x0000_i2370" style="width:0;height:1.5pt" o:hralign="center" o:hrstd="t" o:hr="t" fillcolor="#a0a0a0" stroked="f"/>
        </w:pict>
      </w:r>
    </w:p>
    <w:p w:rsidR="008530F8" w:rsidRDefault="008530F8" w:rsidP="008530F8">
      <w:pPr>
        <w:pStyle w:val="berschrift1"/>
      </w:pPr>
      <w:r>
        <w:t>3.3.43.124 Kohärenzerhaltung als Spezialfall</w:t>
      </w:r>
    </w:p>
    <w:p w:rsidR="008530F8" w:rsidRDefault="008530F8" w:rsidP="008530F8">
      <w:pPr>
        <w:pStyle w:val="StandardWeb"/>
      </w:pPr>
      <w:r>
        <w:t>Für</w:t>
      </w:r>
    </w:p>
    <w:p w:rsidR="008530F8" w:rsidRDefault="008530F8" w:rsidP="008530F8">
      <w:pPr>
        <w:pStyle w:val="StandardWeb"/>
      </w:pPr>
      <w:r>
        <w:t>[</w:t>
      </w:r>
      <w:r>
        <w:br/>
        <w:t>S_C=0</w:t>
      </w:r>
      <w:r>
        <w:br/>
        <w:t>\tag{3.8735}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lastRenderedPageBreak/>
        <w:t>S_C=0</w:t>
      </w:r>
    </w:p>
    <w:p w:rsidR="008530F8" w:rsidRDefault="008530F8" w:rsidP="008530F8">
      <w:pPr>
        <w:pStyle w:val="StandardWeb"/>
      </w:pPr>
      <w:r>
        <w:t>ergibt sich formal</w:t>
      </w:r>
    </w:p>
    <w:p w:rsidR="008530F8" w:rsidRDefault="008530F8" w:rsidP="008530F8">
      <w:pPr>
        <w:pStyle w:val="berschrift1"/>
      </w:pPr>
      <w:r>
        <w:t>[</w:t>
      </w:r>
      <w:r>
        <w:br/>
        <w:t>\frac{\partial C}{\partial t}</w:t>
      </w:r>
      <w:r>
        <w:br/>
        <w:t>+</w:t>
      </w:r>
      <w:r>
        <w:br/>
        <w:t>\nabla\cdot\mathbf J_C</w:t>
      </w:r>
    </w:p>
    <w:p w:rsidR="008530F8" w:rsidRDefault="008530F8" w:rsidP="008C5E65">
      <w:pPr>
        <w:numPr>
          <w:ilvl w:val="0"/>
          <w:numId w:val="414"/>
        </w:numPr>
        <w:spacing w:before="100" w:beforeAutospacing="1" w:after="100" w:afterAutospacing="1"/>
      </w:pPr>
    </w:p>
    <w:p w:rsidR="008530F8" w:rsidRDefault="008530F8" w:rsidP="008530F8">
      <w:pPr>
        <w:pStyle w:val="StandardWeb"/>
      </w:pPr>
      <w:r>
        <w:t>\tag{3.8736}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\frac{\partial C}{\partial t}+\nabla\cdot\mathbf J_C=0</w:t>
      </w:r>
    </w:p>
    <w:p w:rsidR="008530F8" w:rsidRDefault="008530F8" w:rsidP="008530F8">
      <w:pPr>
        <w:pStyle w:val="StandardWeb"/>
      </w:pPr>
      <w:r>
        <w:t>Diese Beziehung beschreibt eine konservative Kohärenzbilanz innerhalb der jeweiligen Operationalisierung.</w:t>
      </w:r>
    </w:p>
    <w:p w:rsidR="008530F8" w:rsidRDefault="00E50336" w:rsidP="008530F8">
      <w:r>
        <w:pict>
          <v:rect id="_x0000_i2371" style="width:0;height:1.5pt" o:hralign="center" o:hrstd="t" o:hr="t" fillcolor="#a0a0a0" stroked="f"/>
        </w:pict>
      </w:r>
    </w:p>
    <w:p w:rsidR="008530F8" w:rsidRDefault="008530F8" w:rsidP="008530F8">
      <w:pPr>
        <w:pStyle w:val="berschrift1"/>
      </w:pPr>
      <w:r>
        <w:t>3.3.43.125 Keine allgemeine Kohärenzerhaltung</w:t>
      </w:r>
    </w:p>
    <w:p w:rsidR="008530F8" w:rsidRDefault="008530F8" w:rsidP="008530F8">
      <w:pPr>
        <w:pStyle w:val="StandardWeb"/>
      </w:pPr>
      <w:r>
        <w:t xml:space="preserve">Ich nehme jedoch ausdrücklich </w:t>
      </w:r>
      <w:r>
        <w:rPr>
          <w:rStyle w:val="Fett"/>
        </w:rPr>
        <w:t>nicht</w:t>
      </w:r>
      <w:r>
        <w:t xml:space="preserve"> an, dass Kohärenz allgemein erhalten sein muss.</w:t>
      </w:r>
    </w:p>
    <w:p w:rsidR="008530F8" w:rsidRDefault="008530F8" w:rsidP="008530F8">
      <w:pPr>
        <w:pStyle w:val="StandardWeb"/>
      </w:pPr>
      <w:r>
        <w:t>Es gilt daher nicht notwendig</w:t>
      </w:r>
    </w:p>
    <w:p w:rsidR="008530F8" w:rsidRDefault="008530F8" w:rsidP="008530F8">
      <w:pPr>
        <w:pStyle w:val="berschrift1"/>
      </w:pPr>
      <w:r>
        <w:t>[</w:t>
      </w:r>
      <w:r>
        <w:br/>
        <w:t>\frac{d}{dt}</w:t>
      </w:r>
      <w:r>
        <w:br/>
        <w:t>\int_{\Omega}</w:t>
      </w:r>
      <w:r>
        <w:br/>
        <w:t>C,dV</w:t>
      </w:r>
    </w:p>
    <w:p w:rsidR="008530F8" w:rsidRDefault="008530F8" w:rsidP="008C5E65">
      <w:pPr>
        <w:numPr>
          <w:ilvl w:val="0"/>
          <w:numId w:val="415"/>
        </w:numPr>
        <w:spacing w:before="100" w:beforeAutospacing="1" w:after="100" w:afterAutospacing="1"/>
      </w:pPr>
    </w:p>
    <w:p w:rsidR="008530F8" w:rsidRDefault="008530F8" w:rsidP="008530F8">
      <w:pPr>
        <w:pStyle w:val="StandardWeb"/>
      </w:pPr>
      <w:r>
        <w:t>\tag{3.8737}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\frac{d}{dt}\int_{\Omega}C\,dV=0</w:t>
      </w:r>
    </w:p>
    <w:p w:rsidR="008530F8" w:rsidRDefault="008530F8" w:rsidP="008530F8">
      <w:pPr>
        <w:pStyle w:val="StandardWeb"/>
      </w:pPr>
      <w:r>
        <w:t>Kohärenz kann entstehen, zerfallen, übertragen oder aufgrund veränderter funktionaler Kopplungen neu organisiert werden.</w:t>
      </w:r>
    </w:p>
    <w:p w:rsidR="008530F8" w:rsidRDefault="00E50336" w:rsidP="008530F8">
      <w:r>
        <w:lastRenderedPageBreak/>
        <w:pict>
          <v:rect id="_x0000_i2372" style="width:0;height:1.5pt" o:hralign="center" o:hrstd="t" o:hr="t" fillcolor="#a0a0a0" stroked="f"/>
        </w:pict>
      </w:r>
    </w:p>
    <w:p w:rsidR="008530F8" w:rsidRDefault="008530F8" w:rsidP="008530F8">
      <w:pPr>
        <w:pStyle w:val="berschrift1"/>
      </w:pPr>
      <w:r>
        <w:t>3.3.43.126 Gesamtkohärenz eines Gebiets</w:t>
      </w:r>
    </w:p>
    <w:p w:rsidR="008530F8" w:rsidRDefault="008530F8" w:rsidP="008530F8">
      <w:pPr>
        <w:pStyle w:val="StandardWeb"/>
      </w:pPr>
      <w:r>
        <w:t>Für einen räumlichen Bereich (\Omega) definiere ich</w:t>
      </w:r>
    </w:p>
    <w:p w:rsidR="008530F8" w:rsidRDefault="008530F8" w:rsidP="008530F8">
      <w:pPr>
        <w:pStyle w:val="berschrift1"/>
      </w:pPr>
      <w:r>
        <w:t>[</w:t>
      </w:r>
      <w:r>
        <w:br/>
        <w:t>C_{\Omega}(t)</w:t>
      </w:r>
    </w:p>
    <w:p w:rsidR="008530F8" w:rsidRDefault="008530F8" w:rsidP="008530F8">
      <w:pPr>
        <w:pStyle w:val="StandardWeb"/>
      </w:pPr>
      <w:r>
        <w:t>\int_{\Omega}</w:t>
      </w:r>
      <w:r>
        <w:br/>
        <w:t>C(x,t),dV.</w:t>
      </w:r>
      <w:r>
        <w:br/>
        <w:t>\tag{3.8738}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C_{\Omega}(t)=\int_{\Omega}C(x,t)\,dV</w:t>
      </w:r>
    </w:p>
    <w:p w:rsidR="008530F8" w:rsidRDefault="008530F8" w:rsidP="008530F8">
      <w:pPr>
        <w:pStyle w:val="StandardWeb"/>
      </w:pPr>
      <w:r>
        <w:t>Eine normierte mittlere Kohärenz lautet</w:t>
      </w:r>
    </w:p>
    <w:p w:rsidR="008530F8" w:rsidRDefault="008530F8" w:rsidP="008530F8">
      <w:pPr>
        <w:pStyle w:val="berschrift1"/>
      </w:pPr>
      <w:r>
        <w:t>[</w:t>
      </w:r>
      <w:r>
        <w:br/>
        <w:t>\bar C_{\Omega}(t)</w:t>
      </w:r>
    </w:p>
    <w:p w:rsidR="008530F8" w:rsidRDefault="008530F8" w:rsidP="008530F8">
      <w:pPr>
        <w:pStyle w:val="StandardWeb"/>
      </w:pPr>
      <w:r>
        <w:t>\frac{1}{\mu(\Omega)}</w:t>
      </w:r>
      <w:r>
        <w:br/>
        <w:t>\int_{\Omega}</w:t>
      </w:r>
      <w:r>
        <w:br/>
        <w:t>C(x,t),dV.</w:t>
      </w:r>
      <w:r>
        <w:br/>
        <w:t>\tag{3.8739}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\bar C_{\Omega}(t)=\frac{1}{\mu(\Omega)}\int_{\Omega}C(x,t)\,dV</w:t>
      </w:r>
    </w:p>
    <w:p w:rsidR="008530F8" w:rsidRDefault="00E50336" w:rsidP="008530F8">
      <w:r>
        <w:pict>
          <v:rect id="_x0000_i2373" style="width:0;height:1.5pt" o:hralign="center" o:hrstd="t" o:hr="t" fillcolor="#a0a0a0" stroked="f"/>
        </w:pict>
      </w:r>
    </w:p>
    <w:p w:rsidR="008530F8" w:rsidRDefault="008530F8" w:rsidP="008530F8">
      <w:pPr>
        <w:pStyle w:val="berschrift1"/>
      </w:pPr>
      <w:r>
        <w:t>3.3.43.127 Kohärenzänderung eines Gebiets</w:t>
      </w:r>
    </w:p>
    <w:p w:rsidR="008530F8" w:rsidRDefault="008530F8" w:rsidP="008530F8">
      <w:pPr>
        <w:pStyle w:val="StandardWeb"/>
      </w:pPr>
      <w:r>
        <w:t>Die zeitliche Änderung lautet</w:t>
      </w:r>
    </w:p>
    <w:p w:rsidR="008530F8" w:rsidRDefault="008530F8" w:rsidP="008530F8">
      <w:pPr>
        <w:pStyle w:val="berschrift1"/>
      </w:pPr>
      <w:r>
        <w:t>[</w:t>
      </w:r>
      <w:r>
        <w:br/>
        <w:t>\dot C_{\Omega}</w:t>
      </w:r>
    </w:p>
    <w:p w:rsidR="008530F8" w:rsidRDefault="008530F8" w:rsidP="008530F8">
      <w:pPr>
        <w:pStyle w:val="StandardWeb"/>
      </w:pPr>
      <w:r>
        <w:t>\frac{dC_{\Omega}}{dt}.</w:t>
      </w:r>
      <w:r>
        <w:br/>
        <w:t>\tag{3.8740}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lastRenderedPageBreak/>
        <w:t>\dot C_{\Omega}=\frac{dC_{\Omega}}{dt}</w:t>
      </w:r>
    </w:p>
    <w:p w:rsidR="008530F8" w:rsidRDefault="008530F8" w:rsidP="008530F8">
      <w:pPr>
        <w:pStyle w:val="StandardWeb"/>
      </w:pPr>
      <w:r>
        <w:t>Für</w:t>
      </w:r>
    </w:p>
    <w:p w:rsidR="008530F8" w:rsidRDefault="008530F8" w:rsidP="008530F8">
      <w:pPr>
        <w:pStyle w:val="StandardWeb"/>
      </w:pPr>
      <w:r>
        <w:t>[</w:t>
      </w:r>
      <w:r>
        <w:br/>
        <w:t>\dot C_{\Omega}&gt;0</w:t>
      </w:r>
      <w:r>
        <w:br/>
        <w:t>\tag{3.8741}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\dot C_{\Omega}&gt;0</w:t>
      </w:r>
    </w:p>
    <w:p w:rsidR="008530F8" w:rsidRDefault="008530F8" w:rsidP="008530F8">
      <w:pPr>
        <w:pStyle w:val="StandardWeb"/>
      </w:pPr>
      <w:r>
        <w:t>nimmt die integrierte Kohärenz zu.</w:t>
      </w:r>
    </w:p>
    <w:p w:rsidR="008530F8" w:rsidRDefault="00E50336" w:rsidP="008530F8">
      <w:r>
        <w:pict>
          <v:rect id="_x0000_i2374" style="width:0;height:1.5pt" o:hralign="center" o:hrstd="t" o:hr="t" fillcolor="#a0a0a0" stroked="f"/>
        </w:pict>
      </w:r>
    </w:p>
    <w:p w:rsidR="008530F8" w:rsidRDefault="008530F8" w:rsidP="008530F8">
      <w:pPr>
        <w:pStyle w:val="berschrift1"/>
      </w:pPr>
      <w:r>
        <w:t>3.3.43.128 Kohärenzbruch</w:t>
      </w:r>
    </w:p>
    <w:p w:rsidR="008530F8" w:rsidRDefault="008530F8" w:rsidP="008530F8">
      <w:pPr>
        <w:pStyle w:val="StandardWeb"/>
      </w:pPr>
      <w:r>
        <w:t>Ein Kohärenzbruch liegt vor, wenn eine zuvor kohärente Teilstruktur ihre definierte Mindestkohärenz unterschreitet.</w:t>
      </w:r>
    </w:p>
    <w:p w:rsidR="008530F8" w:rsidRDefault="008530F8" w:rsidP="008530F8">
      <w:pPr>
        <w:pStyle w:val="StandardWeb"/>
      </w:pPr>
      <w:r>
        <w:t>Ich schreibe</w:t>
      </w:r>
    </w:p>
    <w:p w:rsidR="008530F8" w:rsidRDefault="008530F8" w:rsidP="008530F8">
      <w:pPr>
        <w:pStyle w:val="StandardWeb"/>
      </w:pPr>
      <w:r>
        <w:t>[</w:t>
      </w:r>
      <w:r>
        <w:br/>
        <w:t>C_{\mathcal S}(t^-)</w:t>
      </w:r>
      <w:r>
        <w:br/>
        <w:t>\geq</w:t>
      </w:r>
      <w:r>
        <w:br/>
        <w:t>\tau_C</w:t>
      </w:r>
      <w:r>
        <w:br/>
        <w:t>\tag{3.8742}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C_{\mathcal S}(t^-)\geq\tau_C</w:t>
      </w:r>
    </w:p>
    <w:p w:rsidR="008530F8" w:rsidRDefault="008530F8" w:rsidP="008530F8">
      <w:pPr>
        <w:pStyle w:val="StandardWeb"/>
      </w:pPr>
      <w:r>
        <w:t>und</w:t>
      </w:r>
    </w:p>
    <w:p w:rsidR="008530F8" w:rsidRDefault="008530F8" w:rsidP="008530F8">
      <w:pPr>
        <w:pStyle w:val="StandardWeb"/>
      </w:pPr>
      <w:r>
        <w:t>[</w:t>
      </w:r>
      <w:r>
        <w:br/>
        <w:t>C_{\mathcal S}(t^+)</w:t>
      </w:r>
      <w:r>
        <w:br/>
        <w:t>&lt;</w:t>
      </w:r>
      <w:r>
        <w:br/>
        <w:t>\tau_C.</w:t>
      </w:r>
      <w:r>
        <w:br/>
        <w:t>\tag{3.8743}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C_{\mathcal S}(t^+)&lt;\tau_C</w:t>
      </w:r>
    </w:p>
    <w:p w:rsidR="008530F8" w:rsidRDefault="008530F8" w:rsidP="008530F8">
      <w:pPr>
        <w:pStyle w:val="StandardWeb"/>
      </w:pPr>
      <w:r>
        <w:t>Der zugehörige Zeitpunkt sei</w:t>
      </w:r>
    </w:p>
    <w:p w:rsidR="008530F8" w:rsidRDefault="008530F8" w:rsidP="008530F8">
      <w:pPr>
        <w:pStyle w:val="StandardWeb"/>
      </w:pPr>
      <w:r>
        <w:lastRenderedPageBreak/>
        <w:t>[</w:t>
      </w:r>
      <w:r>
        <w:br/>
        <w:t>t_B^{C}.</w:t>
      </w:r>
      <w:r>
        <w:br/>
        <w:t>\tag{3.8744}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t_B^{C}</w:t>
      </w:r>
    </w:p>
    <w:p w:rsidR="008530F8" w:rsidRDefault="00E50336" w:rsidP="008530F8">
      <w:r>
        <w:pict>
          <v:rect id="_x0000_i2375" style="width:0;height:1.5pt" o:hralign="center" o:hrstd="t" o:hr="t" fillcolor="#a0a0a0" stroked="f"/>
        </w:pict>
      </w:r>
    </w:p>
    <w:p w:rsidR="008530F8" w:rsidRDefault="008530F8" w:rsidP="008530F8">
      <w:pPr>
        <w:pStyle w:val="berschrift1"/>
      </w:pPr>
      <w:r>
        <w:t>3.3.43.129 Definition 3.3.61 – Funktionaler Kohärenzbruch</w:t>
      </w:r>
    </w:p>
    <w:p w:rsidR="008530F8" w:rsidRDefault="008530F8" w:rsidP="008530F8">
      <w:pPr>
        <w:pStyle w:val="berschrift3"/>
      </w:pPr>
      <w:r>
        <w:t>Definition 3.3.61</w:t>
      </w:r>
    </w:p>
    <w:p w:rsidR="008530F8" w:rsidRDefault="008530F8" w:rsidP="008530F8">
      <w:pPr>
        <w:pStyle w:val="StandardWeb"/>
      </w:pPr>
      <w:r>
        <w:t xml:space="preserve">Ein </w:t>
      </w:r>
      <w:r>
        <w:rPr>
          <w:rStyle w:val="Fett"/>
        </w:rPr>
        <w:t>funktionaler Kohärenzbruch</w:t>
      </w:r>
      <w:r>
        <w:t xml:space="preserve"> ist ein Übergang, bei dem eine zuvor nach der verwendeten Operationalisierung kohärente Struktur ihren Kohärenzstatus verliert:</w:t>
      </w:r>
    </w:p>
    <w:p w:rsidR="008530F8" w:rsidRDefault="008530F8" w:rsidP="008530F8">
      <w:pPr>
        <w:pStyle w:val="StandardWeb"/>
      </w:pPr>
      <w:r>
        <w:t>[</w:t>
      </w:r>
      <w:r>
        <w:br/>
        <w:t>s_C(t^-)=\mathbf C</w:t>
      </w:r>
      <w:r>
        <w:br/>
        <w:t>\land</w:t>
      </w:r>
      <w:r>
        <w:br/>
        <w:t>s_C(t^+)=\mathbf{NC}.</w:t>
      </w:r>
      <w:r>
        <w:br/>
        <w:t>\tag{3.8745}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s_C(t^-)=\mathbf C\land s_C(t^+)=\mathbf{NC}</w:t>
      </w:r>
    </w:p>
    <w:p w:rsidR="008530F8" w:rsidRDefault="00E50336" w:rsidP="008530F8">
      <w:r>
        <w:pict>
          <v:rect id="_x0000_i2376" style="width:0;height:1.5pt" o:hralign="center" o:hrstd="t" o:hr="t" fillcolor="#a0a0a0" stroked="f"/>
        </w:pict>
      </w:r>
    </w:p>
    <w:p w:rsidR="008530F8" w:rsidRDefault="008530F8" w:rsidP="008530F8">
      <w:pPr>
        <w:pStyle w:val="berschrift1"/>
      </w:pPr>
      <w:r>
        <w:t>3.3.43.130 Kohärenzbruch ist nicht notwendig Konsistenzbruch</w:t>
      </w:r>
    </w:p>
    <w:p w:rsidR="008530F8" w:rsidRDefault="008530F8" w:rsidP="008530F8">
      <w:pPr>
        <w:pStyle w:val="StandardWeb"/>
      </w:pPr>
      <w:r>
        <w:t>Es kann gelten</w:t>
      </w:r>
    </w:p>
    <w:p w:rsidR="008530F8" w:rsidRDefault="008530F8" w:rsidP="008530F8">
      <w:pPr>
        <w:pStyle w:val="StandardWeb"/>
      </w:pPr>
      <w:r>
        <w:t>[</w:t>
      </w:r>
      <w:r>
        <w:br/>
        <w:t>s_C:</w:t>
      </w:r>
      <w:r>
        <w:br/>
        <w:t>\mathbf C</w:t>
      </w:r>
      <w:r>
        <w:br/>
        <w:t>\rightarrow</w:t>
      </w:r>
      <w:r>
        <w:br/>
        <w:t>\mathbf{NC}</w:t>
      </w:r>
      <w:r>
        <w:br/>
        <w:t>\tag{3.8746}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s_C:\mathbf C\rightarrow\mathbf{NC}</w:t>
      </w:r>
    </w:p>
    <w:p w:rsidR="008530F8" w:rsidRDefault="008530F8" w:rsidP="008530F8">
      <w:pPr>
        <w:pStyle w:val="StandardWeb"/>
      </w:pPr>
      <w:r>
        <w:t>während</w:t>
      </w:r>
    </w:p>
    <w:p w:rsidR="008530F8" w:rsidRDefault="008530F8" w:rsidP="008530F8">
      <w:pPr>
        <w:pStyle w:val="StandardWeb"/>
      </w:pPr>
      <w:r>
        <w:lastRenderedPageBreak/>
        <w:t>[</w:t>
      </w:r>
      <w:r>
        <w:br/>
        <w:t>s_K=\mathbf K</w:t>
      </w:r>
      <w:r>
        <w:br/>
        <w:t>\tag{3.8747}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s_K=\mathbf K</w:t>
      </w:r>
    </w:p>
    <w:p w:rsidR="008530F8" w:rsidRDefault="008530F8" w:rsidP="008530F8">
      <w:pPr>
        <w:pStyle w:val="StandardWeb"/>
      </w:pPr>
      <w:r>
        <w:t>erhalten bleibt.</w:t>
      </w:r>
    </w:p>
    <w:p w:rsidR="008530F8" w:rsidRDefault="008530F8" w:rsidP="008530F8">
      <w:pPr>
        <w:pStyle w:val="StandardWeb"/>
      </w:pPr>
      <w:r>
        <w:t>Ein System kann also funktional entkoppeln, ohne widersprüchlich zu werden.</w:t>
      </w:r>
    </w:p>
    <w:p w:rsidR="008530F8" w:rsidRDefault="00E50336" w:rsidP="008530F8">
      <w:r>
        <w:pict>
          <v:rect id="_x0000_i2377" style="width:0;height:1.5pt" o:hralign="center" o:hrstd="t" o:hr="t" fillcolor="#a0a0a0" stroked="f"/>
        </w:pict>
      </w:r>
    </w:p>
    <w:p w:rsidR="008530F8" w:rsidRDefault="008530F8" w:rsidP="008530F8">
      <w:pPr>
        <w:pStyle w:val="berschrift1"/>
      </w:pPr>
      <w:r>
        <w:t>3.3.43.131 Kohärenzbruch durch Inkonsistenz</w:t>
      </w:r>
    </w:p>
    <w:p w:rsidR="008530F8" w:rsidRDefault="008530F8" w:rsidP="008530F8">
      <w:pPr>
        <w:pStyle w:val="StandardWeb"/>
      </w:pPr>
      <w:r>
        <w:t>Ein anderer Fall liegt vor, wenn</w:t>
      </w:r>
    </w:p>
    <w:p w:rsidR="008530F8" w:rsidRDefault="008530F8" w:rsidP="008530F8">
      <w:pPr>
        <w:pStyle w:val="StandardWeb"/>
      </w:pPr>
      <w:r>
        <w:t>[</w:t>
      </w:r>
      <w:r>
        <w:br/>
        <w:t>s_K:</w:t>
      </w:r>
      <w:r>
        <w:br/>
        <w:t>\mathbf K</w:t>
      </w:r>
      <w:r>
        <w:br/>
        <w:t>\rightarrow</w:t>
      </w:r>
      <w:r>
        <w:br/>
        <w:t>\mathbf W.</w:t>
      </w:r>
      <w:r>
        <w:br/>
        <w:t>\tag{3.8748}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s_K:\mathbf K\rightarrow\mathbf W</w:t>
      </w:r>
    </w:p>
    <w:p w:rsidR="008530F8" w:rsidRDefault="008530F8" w:rsidP="008530F8">
      <w:pPr>
        <w:pStyle w:val="StandardWeb"/>
      </w:pPr>
      <w:r>
        <w:t>Dann folgt gemäß Satz 3.3.30 beziehungsweise Korollar 3.3.9 zwangsläufig</w:t>
      </w:r>
    </w:p>
    <w:p w:rsidR="008530F8" w:rsidRDefault="008530F8" w:rsidP="008530F8">
      <w:pPr>
        <w:pStyle w:val="StandardWeb"/>
      </w:pPr>
      <w:r>
        <w:t>[</w:t>
      </w:r>
      <w:r>
        <w:br/>
        <w:t>s_C\neq\mathbf C.</w:t>
      </w:r>
      <w:r>
        <w:br/>
        <w:t>\tag{3.8749}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s_C\neq\mathbf C</w:t>
      </w:r>
    </w:p>
    <w:p w:rsidR="008530F8" w:rsidRDefault="00E50336" w:rsidP="008530F8">
      <w:r>
        <w:pict>
          <v:rect id="_x0000_i2378" style="width:0;height:1.5pt" o:hralign="center" o:hrstd="t" o:hr="t" fillcolor="#a0a0a0" stroked="f"/>
        </w:pict>
      </w:r>
    </w:p>
    <w:p w:rsidR="008530F8" w:rsidRDefault="008530F8" w:rsidP="008530F8">
      <w:pPr>
        <w:pStyle w:val="berschrift1"/>
      </w:pPr>
      <w:r>
        <w:t>3.3.43.132 Kohärenzverlust ohne Strukturbruch</w:t>
      </w:r>
    </w:p>
    <w:p w:rsidR="008530F8" w:rsidRDefault="008530F8" w:rsidP="008530F8">
      <w:pPr>
        <w:pStyle w:val="StandardWeb"/>
      </w:pPr>
      <w:r>
        <w:t>Der Kohärenzgrad kann auch kontinuierlich sinken:</w:t>
      </w:r>
    </w:p>
    <w:p w:rsidR="008530F8" w:rsidRDefault="008530F8" w:rsidP="008530F8">
      <w:pPr>
        <w:pStyle w:val="StandardWeb"/>
      </w:pPr>
      <w:r>
        <w:t>[</w:t>
      </w:r>
      <w:r>
        <w:br/>
        <w:t>\frac{dC}{dt}&lt;0</w:t>
      </w:r>
      <w:r>
        <w:br/>
        <w:t>\tag{3.8750}</w:t>
      </w:r>
      <w:r>
        <w:br/>
        <w:t>]</w:t>
      </w:r>
    </w:p>
    <w:p w:rsidR="008530F8" w:rsidRDefault="008530F8" w:rsidP="008530F8">
      <w:pPr>
        <w:pStyle w:val="StandardWeb"/>
      </w:pPr>
      <w:r>
        <w:rPr>
          <w:rStyle w:val="Fett"/>
        </w:rPr>
        <w:lastRenderedPageBreak/>
        <w:t>Word-LaTeX</w:t>
      </w:r>
    </w:p>
    <w:p w:rsidR="008530F8" w:rsidRDefault="008530F8" w:rsidP="008530F8">
      <w:pPr>
        <w:pStyle w:val="HTMLVorformatiert"/>
        <w:rPr>
          <w:rStyle w:val="HTMLCode"/>
        </w:rPr>
      </w:pPr>
      <w:r>
        <w:rPr>
          <w:rStyle w:val="HTMLCode"/>
        </w:rPr>
        <w:t>\frac{dC}{dt}&lt;0</w:t>
      </w:r>
    </w:p>
    <w:p w:rsidR="008530F8" w:rsidRDefault="008530F8" w:rsidP="008530F8">
      <w:pPr>
        <w:pStyle w:val="StandardWeb"/>
      </w:pPr>
      <w:r>
        <w:t>ohne dass unmittelbar der Schwellenwert (\tau_C) unterschritten wird.</w:t>
      </w:r>
    </w:p>
    <w:p w:rsidR="008530F8" w:rsidRDefault="008530F8" w:rsidP="008530F8">
      <w:pPr>
        <w:pStyle w:val="StandardWeb"/>
      </w:pPr>
      <w:r>
        <w:t xml:space="preserve">Damit unterscheide ich zwischen </w:t>
      </w:r>
      <w:r>
        <w:rPr>
          <w:rStyle w:val="Fett"/>
        </w:rPr>
        <w:t>Kohärenzverlust</w:t>
      </w:r>
      <w:r>
        <w:t xml:space="preserve"> und </w:t>
      </w:r>
      <w:r>
        <w:rPr>
          <w:rStyle w:val="Fett"/>
        </w:rPr>
        <w:t>Kohärenzbruch</w:t>
      </w:r>
      <w:r>
        <w:t>.</w:t>
      </w:r>
    </w:p>
    <w:p w:rsidR="008530F8" w:rsidRDefault="00E50336" w:rsidP="008530F8">
      <w:r>
        <w:pict>
          <v:rect id="_x0000_i2379" style="width:0;height:1.5pt" o:hralign="center" o:hrstd="t" o:hr="t" fillcolor="#a0a0a0" stroked="f"/>
        </w:pict>
      </w:r>
    </w:p>
    <w:p w:rsidR="008530F8" w:rsidRDefault="008530F8" w:rsidP="008530F8">
      <w:pPr>
        <w:pStyle w:val="berschrift1"/>
      </w:pPr>
      <w:r>
        <w:t>3.3.43.133 Kritische Kohärenzschwelle</w:t>
      </w:r>
    </w:p>
    <w:p w:rsidR="008530F8" w:rsidRDefault="008530F8" w:rsidP="008530F8">
      <w:pPr>
        <w:pStyle w:val="StandardWeb"/>
      </w:pPr>
      <w:r>
        <w:t>Ich definiere eine kritische Schwelle</w:t>
      </w:r>
    </w:p>
    <w:p w:rsidR="008530F8" w:rsidRDefault="008530F8" w:rsidP="008530F8">
      <w:pPr>
        <w:pStyle w:val="StandardWeb"/>
      </w:pPr>
      <w:r>
        <w:t>[</w:t>
      </w:r>
      <w:r>
        <w:br/>
        <w:t>C_{\mathrm{crit}}</w:t>
      </w:r>
      <w:r>
        <w:br/>
        <w:t>\tag{3.8751}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C_{\mathrm{crit}}</w:t>
      </w:r>
    </w:p>
    <w:p w:rsidR="008530F8" w:rsidRDefault="008530F8" w:rsidP="008530F8">
      <w:pPr>
        <w:pStyle w:val="StandardWeb"/>
      </w:pPr>
      <w:r>
        <w:t>mit</w:t>
      </w:r>
    </w:p>
    <w:p w:rsidR="008530F8" w:rsidRDefault="008530F8" w:rsidP="008530F8">
      <w:pPr>
        <w:pStyle w:val="berschrift1"/>
      </w:pPr>
      <w:r>
        <w:t>[</w:t>
      </w:r>
      <w:r>
        <w:br/>
        <w:t>C_{\mathrm{crit}}</w:t>
      </w:r>
    </w:p>
    <w:p w:rsidR="008530F8" w:rsidRDefault="008530F8" w:rsidP="008530F8">
      <w:pPr>
        <w:pStyle w:val="StandardWeb"/>
      </w:pPr>
      <w:r>
        <w:t>\tau_C</w:t>
      </w:r>
      <w:r>
        <w:br/>
        <w:t>\tag{3.8752}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C_{\mathrm{crit}}=\tau_C</w:t>
      </w:r>
    </w:p>
    <w:p w:rsidR="008530F8" w:rsidRDefault="008530F8" w:rsidP="008530F8">
      <w:pPr>
        <w:pStyle w:val="StandardWeb"/>
      </w:pPr>
      <w:r>
        <w:t>für eine konkrete Operationalisierung.</w:t>
      </w:r>
    </w:p>
    <w:p w:rsidR="008530F8" w:rsidRDefault="008530F8" w:rsidP="008530F8">
      <w:pPr>
        <w:pStyle w:val="StandardWeb"/>
      </w:pPr>
      <w:r>
        <w:t>Diese Schwelle ist nicht allgemein universell.</w:t>
      </w:r>
    </w:p>
    <w:p w:rsidR="008530F8" w:rsidRDefault="00E50336" w:rsidP="008530F8">
      <w:r>
        <w:pict>
          <v:rect id="_x0000_i2380" style="width:0;height:1.5pt" o:hralign="center" o:hrstd="t" o:hr="t" fillcolor="#a0a0a0" stroked="f"/>
        </w:pict>
      </w:r>
    </w:p>
    <w:p w:rsidR="008530F8" w:rsidRDefault="008530F8" w:rsidP="008530F8">
      <w:pPr>
        <w:pStyle w:val="berschrift1"/>
      </w:pPr>
      <w:r>
        <w:t>3.3.43.134 Abstand zur Kohärenzschwelle</w:t>
      </w:r>
    </w:p>
    <w:p w:rsidR="008530F8" w:rsidRDefault="008530F8" w:rsidP="008530F8">
      <w:pPr>
        <w:pStyle w:val="StandardWeb"/>
      </w:pPr>
      <w:r>
        <w:t>Ich definiere</w:t>
      </w:r>
    </w:p>
    <w:p w:rsidR="008530F8" w:rsidRDefault="008530F8" w:rsidP="008530F8">
      <w:pPr>
        <w:pStyle w:val="berschrift1"/>
      </w:pPr>
      <w:r>
        <w:t>[</w:t>
      </w:r>
      <w:r>
        <w:br/>
        <w:t>\Delta_C</w:t>
      </w:r>
    </w:p>
    <w:p w:rsidR="008530F8" w:rsidRDefault="008530F8" w:rsidP="008530F8">
      <w:pPr>
        <w:pStyle w:val="StandardWeb"/>
      </w:pPr>
      <w:r>
        <w:lastRenderedPageBreak/>
        <w:t>C-C_{\mathrm{crit}}.</w:t>
      </w:r>
      <w:r>
        <w:br/>
        <w:t>\tag{3.8753}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\Delta_C=C-C_{\mathrm{crit}}</w:t>
      </w:r>
    </w:p>
    <w:p w:rsidR="008530F8" w:rsidRDefault="008530F8" w:rsidP="008530F8">
      <w:pPr>
        <w:pStyle w:val="StandardWeb"/>
      </w:pPr>
      <w:r>
        <w:t>Für</w:t>
      </w:r>
    </w:p>
    <w:p w:rsidR="008530F8" w:rsidRDefault="008530F8" w:rsidP="008530F8">
      <w:pPr>
        <w:pStyle w:val="StandardWeb"/>
      </w:pPr>
      <w:r>
        <w:t>[</w:t>
      </w:r>
      <w:r>
        <w:br/>
        <w:t>\Delta_C&gt;0</w:t>
      </w:r>
      <w:r>
        <w:br/>
        <w:t>\tag{3.8754}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\Delta_C&gt;0</w:t>
      </w:r>
    </w:p>
    <w:p w:rsidR="008530F8" w:rsidRDefault="008530F8" w:rsidP="008530F8">
      <w:pPr>
        <w:pStyle w:val="StandardWeb"/>
      </w:pPr>
      <w:r>
        <w:t>liegt der aktuelle Kohärenzwert oberhalb der Schwelle.</w:t>
      </w:r>
    </w:p>
    <w:p w:rsidR="008530F8" w:rsidRDefault="00E50336" w:rsidP="008530F8">
      <w:r>
        <w:pict>
          <v:rect id="_x0000_i2381" style="width:0;height:1.5pt" o:hralign="center" o:hrstd="t" o:hr="t" fillcolor="#a0a0a0" stroked="f"/>
        </w:pict>
      </w:r>
    </w:p>
    <w:p w:rsidR="008530F8" w:rsidRDefault="008530F8" w:rsidP="008530F8">
      <w:pPr>
        <w:pStyle w:val="berschrift1"/>
      </w:pPr>
      <w:r>
        <w:t>3.3.43.135 Normierte Kohärenzreserve</w:t>
      </w:r>
    </w:p>
    <w:p w:rsidR="008530F8" w:rsidRDefault="008530F8" w:rsidP="008530F8">
      <w:pPr>
        <w:pStyle w:val="StandardWeb"/>
      </w:pPr>
      <w:r>
        <w:t>Eine einfache normierte Reserve lautet</w:t>
      </w:r>
    </w:p>
    <w:p w:rsidR="008530F8" w:rsidRDefault="008530F8" w:rsidP="008530F8">
      <w:pPr>
        <w:pStyle w:val="berschrift1"/>
      </w:pPr>
      <w:r>
        <w:t>[</w:t>
      </w:r>
      <w:r>
        <w:br/>
        <w:t>R_C^{\mathrm{margin}}</w:t>
      </w:r>
    </w:p>
    <w:p w:rsidR="008530F8" w:rsidRDefault="008530F8" w:rsidP="008530F8">
      <w:pPr>
        <w:pStyle w:val="StandardWeb"/>
      </w:pPr>
      <w:r>
        <w:t>\frac{</w:t>
      </w:r>
      <w:r>
        <w:br/>
        <w:t>C-C_{\mathrm{crit}}</w:t>
      </w:r>
      <w:r>
        <w:br/>
        <w:t>}{</w:t>
      </w:r>
      <w:r>
        <w:br/>
        <w:t>1-C_{\mathrm{crit}}</w:t>
      </w:r>
      <w:r>
        <w:br/>
        <w:t>}</w:t>
      </w:r>
      <w:r>
        <w:br/>
        <w:t>\tag{3.8755}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R_C^{\mathrm{margin}}=\frac{C-C_{\mathrm{crit}}}{1-C_{\mathrm{crit}}}</w:t>
      </w:r>
    </w:p>
    <w:p w:rsidR="008530F8" w:rsidRDefault="008530F8" w:rsidP="008530F8">
      <w:pPr>
        <w:pStyle w:val="StandardWeb"/>
      </w:pPr>
      <w:r>
        <w:t>für (C\geq C_{\mathrm{crit}}).</w:t>
      </w:r>
    </w:p>
    <w:p w:rsidR="008530F8" w:rsidRDefault="008530F8" w:rsidP="008530F8">
      <w:pPr>
        <w:pStyle w:val="StandardWeb"/>
      </w:pPr>
      <w:r>
        <w:t>Diese Größe ist von der geometrischen Reserve (M_C) zu unterscheiden.</w:t>
      </w:r>
    </w:p>
    <w:p w:rsidR="008530F8" w:rsidRDefault="00E50336" w:rsidP="008530F8">
      <w:r>
        <w:pict>
          <v:rect id="_x0000_i2382" style="width:0;height:1.5pt" o:hralign="center" o:hrstd="t" o:hr="t" fillcolor="#a0a0a0" stroked="f"/>
        </w:pict>
      </w:r>
    </w:p>
    <w:p w:rsidR="008530F8" w:rsidRDefault="008530F8" w:rsidP="008530F8">
      <w:pPr>
        <w:pStyle w:val="berschrift1"/>
      </w:pPr>
      <w:r>
        <w:t>3.3.43.136 Kohärenzübergang</w:t>
      </w:r>
    </w:p>
    <w:p w:rsidR="008530F8" w:rsidRDefault="008530F8" w:rsidP="008530F8">
      <w:pPr>
        <w:pStyle w:val="StandardWeb"/>
      </w:pPr>
      <w:r>
        <w:lastRenderedPageBreak/>
        <w:t>Ein allgemeiner Kohärenzübergang kann geschrieben werden als</w:t>
      </w:r>
    </w:p>
    <w:p w:rsidR="008530F8" w:rsidRDefault="008530F8" w:rsidP="008530F8">
      <w:pPr>
        <w:pStyle w:val="StandardWeb"/>
      </w:pPr>
      <w:r>
        <w:t>[</w:t>
      </w:r>
      <w:r>
        <w:br/>
        <w:t>s_C^{(1)}</w:t>
      </w:r>
      <w:r>
        <w:br/>
        <w:t>\rightarrow</w:t>
      </w:r>
      <w:r>
        <w:br/>
        <w:t>s_C^{(2)}.</w:t>
      </w:r>
      <w:r>
        <w:br/>
        <w:t>\tag{3.8756}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s_C^{(1)}\rightarrow s_C^{(2)}</w:t>
      </w:r>
    </w:p>
    <w:p w:rsidR="008530F8" w:rsidRDefault="008530F8" w:rsidP="008530F8">
      <w:pPr>
        <w:pStyle w:val="StandardWeb"/>
      </w:pPr>
      <w:r>
        <w:t>Besonders relevant sind</w:t>
      </w:r>
    </w:p>
    <w:p w:rsidR="008530F8" w:rsidRDefault="008530F8" w:rsidP="008530F8">
      <w:pPr>
        <w:pStyle w:val="StandardWeb"/>
      </w:pPr>
      <w:r>
        <w:t>[</w:t>
      </w:r>
      <w:r>
        <w:br/>
        <w:t>\mathbf{NC}</w:t>
      </w:r>
      <w:r>
        <w:br/>
        <w:t>\rightarrow</w:t>
      </w:r>
      <w:r>
        <w:br/>
        <w:t>\mathbf C</w:t>
      </w:r>
      <w:r>
        <w:br/>
        <w:t>\tag{3.8757}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\mathbf{NC}\rightarrow\mathbf C</w:t>
      </w:r>
    </w:p>
    <w:p w:rsidR="008530F8" w:rsidRDefault="008530F8" w:rsidP="008530F8">
      <w:pPr>
        <w:pStyle w:val="StandardWeb"/>
      </w:pPr>
      <w:r>
        <w:t>und</w:t>
      </w:r>
    </w:p>
    <w:p w:rsidR="008530F8" w:rsidRDefault="008530F8" w:rsidP="008530F8">
      <w:pPr>
        <w:pStyle w:val="StandardWeb"/>
      </w:pPr>
      <w:r>
        <w:t>[</w:t>
      </w:r>
      <w:r>
        <w:br/>
        <w:t>\mathbf C</w:t>
      </w:r>
      <w:r>
        <w:br/>
        <w:t>\rightarrow</w:t>
      </w:r>
      <w:r>
        <w:br/>
        <w:t>\mathbf{NC}.</w:t>
      </w:r>
      <w:r>
        <w:br/>
        <w:t>\tag{3.8758}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\mathbf C\rightarrow\mathbf{NC}</w:t>
      </w:r>
    </w:p>
    <w:p w:rsidR="008530F8" w:rsidRDefault="00E50336" w:rsidP="008530F8">
      <w:r>
        <w:pict>
          <v:rect id="_x0000_i2383" style="width:0;height:1.5pt" o:hralign="center" o:hrstd="t" o:hr="t" fillcolor="#a0a0a0" stroked="f"/>
        </w:pict>
      </w:r>
    </w:p>
    <w:p w:rsidR="008530F8" w:rsidRDefault="008530F8" w:rsidP="008530F8">
      <w:pPr>
        <w:pStyle w:val="berschrift1"/>
      </w:pPr>
      <w:r>
        <w:t>3.3.43.137 Kohärenzentstehung</w:t>
      </w:r>
    </w:p>
    <w:p w:rsidR="008530F8" w:rsidRDefault="008530F8" w:rsidP="008530F8">
      <w:pPr>
        <w:pStyle w:val="StandardWeb"/>
      </w:pPr>
      <w:r>
        <w:t>Die Entstehung positiver Kohärenz kann formal durch</w:t>
      </w:r>
    </w:p>
    <w:p w:rsidR="008530F8" w:rsidRDefault="008530F8" w:rsidP="008530F8">
      <w:pPr>
        <w:pStyle w:val="StandardWeb"/>
      </w:pPr>
      <w:r>
        <w:t>[</w:t>
      </w:r>
      <w:r>
        <w:br/>
        <w:t>C(t_0)=0</w:t>
      </w:r>
      <w:r>
        <w:br/>
        <w:t>\tag{3.8759}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lastRenderedPageBreak/>
        <w:t>C(t_0)=0</w:t>
      </w:r>
    </w:p>
    <w:p w:rsidR="008530F8" w:rsidRDefault="008530F8" w:rsidP="008530F8">
      <w:pPr>
        <w:pStyle w:val="StandardWeb"/>
      </w:pPr>
      <w:r>
        <w:t>und</w:t>
      </w:r>
    </w:p>
    <w:p w:rsidR="008530F8" w:rsidRDefault="008530F8" w:rsidP="008530F8">
      <w:pPr>
        <w:pStyle w:val="StandardWeb"/>
      </w:pPr>
      <w:r>
        <w:t>[</w:t>
      </w:r>
      <w:r>
        <w:br/>
        <w:t>C(t_1)&gt;0</w:t>
      </w:r>
      <w:r>
        <w:br/>
        <w:t>\qquad</w:t>
      </w:r>
      <w:r>
        <w:br/>
        <w:t>t_1&gt;t_0</w:t>
      </w:r>
      <w:r>
        <w:br/>
        <w:t>\tag{3.8760}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C(t_1)&gt;0\qquad t_1&gt;t_0</w:t>
      </w:r>
    </w:p>
    <w:p w:rsidR="008530F8" w:rsidRDefault="008530F8" w:rsidP="008530F8">
      <w:pPr>
        <w:pStyle w:val="StandardWeb"/>
      </w:pPr>
      <w:r>
        <w:t>beschrieben werden.</w:t>
      </w:r>
    </w:p>
    <w:p w:rsidR="008530F8" w:rsidRDefault="008530F8" w:rsidP="008530F8">
      <w:pPr>
        <w:pStyle w:val="StandardWeb"/>
      </w:pPr>
      <w:r>
        <w:t>Dies kennzeichnet zunächst nur die Entstehung einer funktionalen Kopplung, nicht deren Ursache.</w:t>
      </w:r>
    </w:p>
    <w:p w:rsidR="008530F8" w:rsidRDefault="00E50336" w:rsidP="008530F8">
      <w:r>
        <w:pict>
          <v:rect id="_x0000_i2384" style="width:0;height:1.5pt" o:hralign="center" o:hrstd="t" o:hr="t" fillcolor="#a0a0a0" stroked="f"/>
        </w:pict>
      </w:r>
    </w:p>
    <w:p w:rsidR="008530F8" w:rsidRDefault="008530F8" w:rsidP="008530F8">
      <w:pPr>
        <w:pStyle w:val="berschrift1"/>
      </w:pPr>
      <w:r>
        <w:t>3.3.43.138 Kohärenzbildung</w:t>
      </w:r>
    </w:p>
    <w:p w:rsidR="008530F8" w:rsidRDefault="008530F8" w:rsidP="008530F8">
      <w:pPr>
        <w:pStyle w:val="StandardWeb"/>
      </w:pPr>
      <w:r>
        <w:t>Ich definiere die Kohärenzbildungsrate über ein Intervall durch</w:t>
      </w:r>
    </w:p>
    <w:p w:rsidR="008530F8" w:rsidRDefault="008530F8" w:rsidP="008530F8">
      <w:pPr>
        <w:pStyle w:val="berschrift1"/>
      </w:pPr>
      <w:r>
        <w:t>[</w:t>
      </w:r>
      <w:r>
        <w:br/>
        <w:t>R_C^{\mathrm{form}}</w:t>
      </w:r>
    </w:p>
    <w:p w:rsidR="008530F8" w:rsidRDefault="008530F8" w:rsidP="008530F8">
      <w:pPr>
        <w:pStyle w:val="StandardWeb"/>
      </w:pPr>
      <w:r>
        <w:t>\frac{</w:t>
      </w:r>
      <w:r>
        <w:br/>
        <w:t>C(t_1)-C(t_0)</w:t>
      </w:r>
      <w:r>
        <w:br/>
        <w:t>}{</w:t>
      </w:r>
      <w:r>
        <w:br/>
        <w:t>t_1-t_0</w:t>
      </w:r>
      <w:r>
        <w:br/>
        <w:t>}.</w:t>
      </w:r>
      <w:r>
        <w:br/>
        <w:t>\tag{3.8761}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R_C^{\mathrm{form}}=\frac{C(t_1)-C(t_0)}{t_1-t_0}</w:t>
      </w:r>
    </w:p>
    <w:p w:rsidR="008530F8" w:rsidRDefault="00E50336" w:rsidP="008530F8">
      <w:r>
        <w:pict>
          <v:rect id="_x0000_i2385" style="width:0;height:1.5pt" o:hralign="center" o:hrstd="t" o:hr="t" fillcolor="#a0a0a0" stroked="f"/>
        </w:pict>
      </w:r>
    </w:p>
    <w:p w:rsidR="008530F8" w:rsidRDefault="008530F8" w:rsidP="008530F8">
      <w:pPr>
        <w:pStyle w:val="berschrift1"/>
      </w:pPr>
      <w:r>
        <w:t>3.3.43.139 Kohärenzzerfall</w:t>
      </w:r>
    </w:p>
    <w:p w:rsidR="008530F8" w:rsidRDefault="008530F8" w:rsidP="008530F8">
      <w:pPr>
        <w:pStyle w:val="StandardWeb"/>
      </w:pPr>
      <w:r>
        <w:t>Analog lautet die mittlere Zerfallsrate</w:t>
      </w:r>
    </w:p>
    <w:p w:rsidR="008530F8" w:rsidRDefault="008530F8" w:rsidP="008530F8">
      <w:pPr>
        <w:pStyle w:val="berschrift1"/>
      </w:pPr>
      <w:r>
        <w:t>[</w:t>
      </w:r>
      <w:r>
        <w:br/>
        <w:t>R_C^{\mathrm{decay}}</w:t>
      </w:r>
    </w:p>
    <w:p w:rsidR="008530F8" w:rsidRDefault="008530F8" w:rsidP="008530F8">
      <w:pPr>
        <w:pStyle w:val="StandardWeb"/>
      </w:pPr>
      <w:r>
        <w:lastRenderedPageBreak/>
        <w:t>\frac{</w:t>
      </w:r>
      <w:r>
        <w:br/>
        <w:t>C(t_0)-C(t_1)</w:t>
      </w:r>
      <w:r>
        <w:br/>
        <w:t>}{</w:t>
      </w:r>
      <w:r>
        <w:br/>
        <w:t>t_1-t_0</w:t>
      </w:r>
      <w:r>
        <w:br/>
        <w:t>}</w:t>
      </w:r>
      <w:r>
        <w:br/>
        <w:t>\tag{3.8762}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R_C^{\mathrm{decay}}=\frac{C(t_0)-C(t_1)}{t_1-t_0}</w:t>
      </w:r>
    </w:p>
    <w:p w:rsidR="008530F8" w:rsidRDefault="008530F8" w:rsidP="008530F8">
      <w:pPr>
        <w:pStyle w:val="StandardWeb"/>
      </w:pPr>
      <w:r>
        <w:t>für (C(t_1)&lt;C(t_0)).</w:t>
      </w:r>
    </w:p>
    <w:p w:rsidR="008530F8" w:rsidRDefault="00E50336" w:rsidP="008530F8">
      <w:r>
        <w:pict>
          <v:rect id="_x0000_i2386" style="width:0;height:1.5pt" o:hralign="center" o:hrstd="t" o:hr="t" fillcolor="#a0a0a0" stroked="f"/>
        </w:pict>
      </w:r>
    </w:p>
    <w:p w:rsidR="008530F8" w:rsidRDefault="008530F8" w:rsidP="008530F8">
      <w:pPr>
        <w:pStyle w:val="berschrift1"/>
      </w:pPr>
      <w:r>
        <w:t>3.3.43.140 Kohärenzhalbwertszeit</w:t>
      </w:r>
    </w:p>
    <w:p w:rsidR="008530F8" w:rsidRDefault="008530F8" w:rsidP="008530F8">
      <w:pPr>
        <w:pStyle w:val="StandardWeb"/>
      </w:pPr>
      <w:r>
        <w:t>Für näherungsweise exponentiellen Zerfall</w:t>
      </w:r>
    </w:p>
    <w:p w:rsidR="008530F8" w:rsidRDefault="008530F8" w:rsidP="008530F8">
      <w:pPr>
        <w:pStyle w:val="berschrift1"/>
      </w:pPr>
      <w:r>
        <w:t>[</w:t>
      </w:r>
      <w:r>
        <w:br/>
        <w:t>C(t)</w:t>
      </w:r>
    </w:p>
    <w:p w:rsidR="008530F8" w:rsidRDefault="008530F8" w:rsidP="008530F8">
      <w:pPr>
        <w:pStyle w:val="StandardWeb"/>
      </w:pPr>
      <w:r>
        <w:t>C_0e^{-\lambda_C t}</w:t>
      </w:r>
      <w:r>
        <w:br/>
        <w:t>\tag{3.8763}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C(t)=C_0e^{-\lambda_C t}</w:t>
      </w:r>
    </w:p>
    <w:p w:rsidR="008530F8" w:rsidRDefault="008530F8" w:rsidP="008530F8">
      <w:pPr>
        <w:pStyle w:val="StandardWeb"/>
      </w:pPr>
      <w:r>
        <w:t>kann eine Kohärenzhalbwertszeit definiert werden:</w:t>
      </w:r>
    </w:p>
    <w:p w:rsidR="008530F8" w:rsidRDefault="008530F8" w:rsidP="008530F8">
      <w:pPr>
        <w:pStyle w:val="berschrift1"/>
      </w:pPr>
      <w:r>
        <w:t>[</w:t>
      </w:r>
      <w:r>
        <w:br/>
        <w:t>T_{1/2}^{C}</w:t>
      </w:r>
    </w:p>
    <w:p w:rsidR="008530F8" w:rsidRDefault="008530F8" w:rsidP="008530F8">
      <w:pPr>
        <w:pStyle w:val="StandardWeb"/>
      </w:pPr>
      <w:r>
        <w:t>\frac{\ln2}{\lambda_C}.</w:t>
      </w:r>
      <w:r>
        <w:br/>
        <w:t>\tag{3.8764}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T_{1/2}^{C}=\frac{\ln2}{\lambda_C}</w:t>
      </w:r>
    </w:p>
    <w:p w:rsidR="008530F8" w:rsidRDefault="008530F8" w:rsidP="008530F8">
      <w:pPr>
        <w:pStyle w:val="StandardWeb"/>
      </w:pPr>
      <w:r>
        <w:t>Auch diese Form ist ein möglicher Modelltyp und kein allgemeines FRZK-Axiom.</w:t>
      </w:r>
    </w:p>
    <w:p w:rsidR="008530F8" w:rsidRDefault="00E50336" w:rsidP="008530F8">
      <w:r>
        <w:pict>
          <v:rect id="_x0000_i2387" style="width:0;height:1.5pt" o:hralign="center" o:hrstd="t" o:hr="t" fillcolor="#a0a0a0" stroked="f"/>
        </w:pict>
      </w:r>
    </w:p>
    <w:p w:rsidR="008530F8" w:rsidRDefault="008530F8" w:rsidP="008530F8">
      <w:pPr>
        <w:pStyle w:val="berschrift1"/>
      </w:pPr>
      <w:r>
        <w:lastRenderedPageBreak/>
        <w:t>3.3.43.141 Kritischer Kohärenzübergang</w:t>
      </w:r>
    </w:p>
    <w:p w:rsidR="008530F8" w:rsidRDefault="008530F8" w:rsidP="008530F8">
      <w:pPr>
        <w:pStyle w:val="StandardWeb"/>
      </w:pPr>
      <w:r>
        <w:t>Ein Übergang wird kritisch, wenn eine kleine Änderung eines Kontrollparameters (\lambda) eine große Änderung der Kohärenz verursacht.</w:t>
      </w:r>
    </w:p>
    <w:p w:rsidR="008530F8" w:rsidRDefault="008530F8" w:rsidP="008530F8">
      <w:pPr>
        <w:pStyle w:val="StandardWeb"/>
      </w:pPr>
      <w:r>
        <w:t>Formal kann dies durch</w:t>
      </w:r>
    </w:p>
    <w:p w:rsidR="008530F8" w:rsidRDefault="008530F8" w:rsidP="008530F8">
      <w:pPr>
        <w:pStyle w:val="StandardWeb"/>
      </w:pPr>
      <w:r>
        <w:t>[</w:t>
      </w:r>
      <w:r>
        <w:br/>
        <w:t>\left|</w:t>
      </w:r>
      <w:r>
        <w:br/>
        <w:t>\frac{\partial C}{\partial\lambda}</w:t>
      </w:r>
      <w:r>
        <w:br/>
        <w:t>\right|</w:t>
      </w:r>
      <w:r>
        <w:br/>
        <w:t>\gg1</w:t>
      </w:r>
      <w:r>
        <w:br/>
        <w:t>\tag{3.8765}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\left|\frac{\partial C}{\partial\lambda}\right|\gg1</w:t>
      </w:r>
    </w:p>
    <w:p w:rsidR="008530F8" w:rsidRDefault="008530F8" w:rsidP="008530F8">
      <w:pPr>
        <w:pStyle w:val="StandardWeb"/>
      </w:pPr>
      <w:r>
        <w:t>gekennzeichnet werden.</w:t>
      </w:r>
    </w:p>
    <w:p w:rsidR="008530F8" w:rsidRDefault="00E50336" w:rsidP="008530F8">
      <w:r>
        <w:pict>
          <v:rect id="_x0000_i2388" style="width:0;height:1.5pt" o:hralign="center" o:hrstd="t" o:hr="t" fillcolor="#a0a0a0" stroked="f"/>
        </w:pict>
      </w:r>
    </w:p>
    <w:p w:rsidR="008530F8" w:rsidRDefault="008530F8" w:rsidP="008530F8">
      <w:pPr>
        <w:pStyle w:val="berschrift1"/>
      </w:pPr>
      <w:r>
        <w:t>3.3.43.142 Kohärenzempfindlichkeit</w:t>
      </w:r>
    </w:p>
    <w:p w:rsidR="008530F8" w:rsidRDefault="008530F8" w:rsidP="008530F8">
      <w:pPr>
        <w:pStyle w:val="StandardWeb"/>
      </w:pPr>
      <w:r>
        <w:t>Ich definiere</w:t>
      </w:r>
    </w:p>
    <w:p w:rsidR="008530F8" w:rsidRDefault="008530F8" w:rsidP="008530F8">
      <w:pPr>
        <w:pStyle w:val="berschrift1"/>
      </w:pPr>
      <w:r>
        <w:t>[</w:t>
      </w:r>
      <w:r>
        <w:br/>
        <w:t>S_C^{\lambda}</w:t>
      </w:r>
    </w:p>
    <w:p w:rsidR="008530F8" w:rsidRDefault="008530F8" w:rsidP="008530F8">
      <w:pPr>
        <w:pStyle w:val="StandardWeb"/>
      </w:pPr>
      <w:r>
        <w:t>\left|</w:t>
      </w:r>
      <w:r>
        <w:br/>
        <w:t>\frac{\partial C}{\partial\lambda}</w:t>
      </w:r>
      <w:r>
        <w:br/>
        <w:t>\right|.</w:t>
      </w:r>
      <w:r>
        <w:br/>
        <w:t>\tag{3.8766}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S_C^{\lambda}=\left|\frac{\partial C}{\partial\lambda}\right|</w:t>
      </w:r>
    </w:p>
    <w:p w:rsidR="008530F8" w:rsidRDefault="008530F8" w:rsidP="008530F8">
      <w:pPr>
        <w:pStyle w:val="StandardWeb"/>
      </w:pPr>
      <w:r>
        <w:t>Ein hoher Wert kennzeichnet hohe Kohärenzempfindlichkeit gegenüber dem Parameter (\lambda).</w:t>
      </w:r>
    </w:p>
    <w:p w:rsidR="008530F8" w:rsidRDefault="00E50336" w:rsidP="008530F8">
      <w:r>
        <w:pict>
          <v:rect id="_x0000_i2389" style="width:0;height:1.5pt" o:hralign="center" o:hrstd="t" o:hr="t" fillcolor="#a0a0a0" stroked="f"/>
        </w:pict>
      </w:r>
    </w:p>
    <w:p w:rsidR="008530F8" w:rsidRDefault="008530F8" w:rsidP="008530F8">
      <w:pPr>
        <w:pStyle w:val="berschrift1"/>
      </w:pPr>
      <w:r>
        <w:t>3.3.43.143 Relative Kohärenzempfindlichkeit</w:t>
      </w:r>
    </w:p>
    <w:p w:rsidR="008530F8" w:rsidRDefault="008530F8" w:rsidP="008530F8">
      <w:pPr>
        <w:pStyle w:val="StandardWeb"/>
      </w:pPr>
      <w:r>
        <w:t>Für positive Größen kann zusätzlich</w:t>
      </w:r>
    </w:p>
    <w:p w:rsidR="008530F8" w:rsidRDefault="008530F8" w:rsidP="008530F8">
      <w:pPr>
        <w:pStyle w:val="berschrift1"/>
      </w:pPr>
      <w:r>
        <w:lastRenderedPageBreak/>
        <w:t>[</w:t>
      </w:r>
      <w:r>
        <w:br/>
        <w:t>S_{C,\mathrm{rel}}^{\lambda}</w:t>
      </w:r>
    </w:p>
    <w:p w:rsidR="008530F8" w:rsidRDefault="008530F8" w:rsidP="008530F8">
      <w:pPr>
        <w:pStyle w:val="StandardWeb"/>
      </w:pPr>
      <w:r>
        <w:t>\left|</w:t>
      </w:r>
      <w:r>
        <w:br/>
        <w:t>\frac{\lambda}{C}</w:t>
      </w:r>
      <w:r>
        <w:br/>
        <w:t>\frac{\partial C}{\partial\lambda}</w:t>
      </w:r>
      <w:r>
        <w:br/>
        <w:t>\right|</w:t>
      </w:r>
      <w:r>
        <w:br/>
        <w:t>\tag{3.8767}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S_{C,\mathrm{rel}}^{\lambda}=\left|\frac{\lambda}{C}\frac{\partial C}{\partial\lambda}\right|</w:t>
      </w:r>
    </w:p>
    <w:p w:rsidR="008530F8" w:rsidRDefault="008530F8" w:rsidP="008530F8">
      <w:pPr>
        <w:pStyle w:val="StandardWeb"/>
      </w:pPr>
      <w:r>
        <w:t>verwendet werden.</w:t>
      </w:r>
    </w:p>
    <w:p w:rsidR="008530F8" w:rsidRDefault="00E50336" w:rsidP="008530F8">
      <w:r>
        <w:pict>
          <v:rect id="_x0000_i2390" style="width:0;height:1.5pt" o:hralign="center" o:hrstd="t" o:hr="t" fillcolor="#a0a0a0" stroked="f"/>
        </w:pict>
      </w:r>
    </w:p>
    <w:p w:rsidR="008530F8" w:rsidRDefault="008530F8" w:rsidP="008530F8">
      <w:pPr>
        <w:pStyle w:val="berschrift1"/>
      </w:pPr>
      <w:r>
        <w:t>3.3.43.144 Mehrparametrige Kohärenzempfindlichkeit</w:t>
      </w:r>
    </w:p>
    <w:p w:rsidR="008530F8" w:rsidRDefault="008530F8" w:rsidP="008530F8">
      <w:pPr>
        <w:pStyle w:val="StandardWeb"/>
      </w:pPr>
      <w:r>
        <w:t>Für einen Parametervektor</w:t>
      </w:r>
    </w:p>
    <w:p w:rsidR="008530F8" w:rsidRDefault="008530F8" w:rsidP="008530F8">
      <w:pPr>
        <w:pStyle w:val="berschrift1"/>
      </w:pPr>
      <w:r>
        <w:t>[</w:t>
      </w:r>
      <w:r>
        <w:br/>
        <w:t>\boldsymbol\lambda</w:t>
      </w:r>
    </w:p>
    <w:p w:rsidR="008530F8" w:rsidRDefault="008530F8" w:rsidP="008530F8">
      <w:pPr>
        <w:pStyle w:val="StandardWeb"/>
      </w:pPr>
      <w:r>
        <w:t>(\lambda_1,\ldots,\lambda_m)</w:t>
      </w:r>
      <w:r>
        <w:br/>
        <w:t>\tag{3.8768}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\boldsymbol\lambda=(\lambda_1,\ldots,\lambda_m)</w:t>
      </w:r>
    </w:p>
    <w:p w:rsidR="008530F8" w:rsidRDefault="008530F8" w:rsidP="008530F8">
      <w:pPr>
        <w:pStyle w:val="StandardWeb"/>
      </w:pPr>
      <w:r>
        <w:t>definiere ich</w:t>
      </w:r>
    </w:p>
    <w:p w:rsidR="008530F8" w:rsidRDefault="008530F8" w:rsidP="008530F8">
      <w:pPr>
        <w:pStyle w:val="StandardWeb"/>
      </w:pPr>
      <w:r>
        <w:t>[</w:t>
      </w:r>
      <w:r>
        <w:br/>
        <w:t>\nabla_{\lambda}C.</w:t>
      </w:r>
      <w:r>
        <w:br/>
        <w:t>\tag{3.8769}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\nabla_{\lambda}C</w:t>
      </w:r>
    </w:p>
    <w:p w:rsidR="008530F8" w:rsidRDefault="008530F8" w:rsidP="008530F8">
      <w:pPr>
        <w:pStyle w:val="StandardWeb"/>
      </w:pPr>
      <w:r>
        <w:t>Damit können besonders kohärenzkritische Parameterrichtungen identifiziert werden.</w:t>
      </w:r>
    </w:p>
    <w:p w:rsidR="008530F8" w:rsidRDefault="00E50336" w:rsidP="008530F8">
      <w:r>
        <w:pict>
          <v:rect id="_x0000_i2391" style="width:0;height:1.5pt" o:hralign="center" o:hrstd="t" o:hr="t" fillcolor="#a0a0a0" stroked="f"/>
        </w:pict>
      </w:r>
    </w:p>
    <w:p w:rsidR="008530F8" w:rsidRDefault="008530F8" w:rsidP="008530F8">
      <w:pPr>
        <w:pStyle w:val="berschrift1"/>
      </w:pPr>
      <w:r>
        <w:lastRenderedPageBreak/>
        <w:t>3.3.43.145 Kohärenz-Hesse-Matrix</w:t>
      </w:r>
    </w:p>
    <w:p w:rsidR="008530F8" w:rsidRDefault="008530F8" w:rsidP="008530F8">
      <w:pPr>
        <w:pStyle w:val="StandardWeb"/>
      </w:pPr>
      <w:r>
        <w:t>Für zweimal differenzierbare Systeme kann ich</w:t>
      </w:r>
    </w:p>
    <w:p w:rsidR="008530F8" w:rsidRDefault="008530F8" w:rsidP="008530F8">
      <w:pPr>
        <w:pStyle w:val="berschrift1"/>
      </w:pPr>
      <w:r>
        <w:t>[</w:t>
      </w:r>
      <w:r>
        <w:br/>
        <w:t>\mathbf H_C</w:t>
      </w:r>
    </w:p>
    <w:p w:rsidR="008530F8" w:rsidRDefault="008530F8" w:rsidP="008530F8">
      <w:pPr>
        <w:pStyle w:val="StandardWeb"/>
      </w:pPr>
      <w:r>
        <w:t>\left[</w:t>
      </w:r>
      <w:r>
        <w:br/>
        <w:t>\frac{\partial^2C}</w:t>
      </w:r>
      <w:r>
        <w:br/>
        <w:t>{\partial\lambda_i\partial\lambda_j}</w:t>
      </w:r>
      <w:r>
        <w:br/>
        <w:t>\right]</w:t>
      </w:r>
      <w:r>
        <w:br/>
        <w:t>\tag{3.8770}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\mathbf H_C=\left[\frac{\partial^2C}{\partial\lambda_i\partial\lambda_j}\right]</w:t>
      </w:r>
    </w:p>
    <w:p w:rsidR="008530F8" w:rsidRDefault="008530F8" w:rsidP="008530F8">
      <w:pPr>
        <w:pStyle w:val="StandardWeb"/>
      </w:pPr>
      <w:r>
        <w:t>verwenden.</w:t>
      </w:r>
    </w:p>
    <w:p w:rsidR="008530F8" w:rsidRDefault="008530F8" w:rsidP="008530F8">
      <w:pPr>
        <w:pStyle w:val="StandardWeb"/>
      </w:pPr>
      <w:r>
        <w:t>Diese Matrix beschreibt lokale Krümmungseigenschaften der Kohärenzlandschaft.</w:t>
      </w:r>
    </w:p>
    <w:p w:rsidR="008530F8" w:rsidRDefault="00E50336" w:rsidP="008530F8">
      <w:r>
        <w:pict>
          <v:rect id="_x0000_i2392" style="width:0;height:1.5pt" o:hralign="center" o:hrstd="t" o:hr="t" fillcolor="#a0a0a0" stroked="f"/>
        </w:pict>
      </w:r>
    </w:p>
    <w:p w:rsidR="008530F8" w:rsidRDefault="008530F8" w:rsidP="008530F8">
      <w:pPr>
        <w:pStyle w:val="berschrift1"/>
      </w:pPr>
      <w:r>
        <w:t>3.3.43.146 Kohärenzlandschaft</w:t>
      </w:r>
    </w:p>
    <w:p w:rsidR="008530F8" w:rsidRDefault="008530F8" w:rsidP="008530F8">
      <w:pPr>
        <w:pStyle w:val="StandardWeb"/>
      </w:pPr>
      <w:r>
        <w:t>Ich definiere abstrakt</w:t>
      </w:r>
    </w:p>
    <w:p w:rsidR="008530F8" w:rsidRDefault="008530F8" w:rsidP="008530F8">
      <w:pPr>
        <w:pStyle w:val="StandardWeb"/>
      </w:pPr>
      <w:r>
        <w:t>[</w:t>
      </w:r>
      <w:r>
        <w:br/>
        <w:t>\mathcal L_C</w:t>
      </w:r>
      <w:r>
        <w:br/>
        <w:t>:</w:t>
      </w:r>
      <w:r>
        <w:br/>
        <w:t>\boldsymbol\lambda</w:t>
      </w:r>
      <w:r>
        <w:br/>
        <w:t>\mapsto</w:t>
      </w:r>
      <w:r>
        <w:br/>
        <w:t>C(\boldsymbol\lambda).</w:t>
      </w:r>
      <w:r>
        <w:br/>
        <w:t>\tag{3.8771}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L_C:\boldsymbol\lambda\mapsto C(\boldsymbol\lambda)</w:t>
      </w:r>
    </w:p>
    <w:p w:rsidR="008530F8" w:rsidRDefault="008530F8" w:rsidP="008530F8">
      <w:pPr>
        <w:pStyle w:val="StandardWeb"/>
      </w:pPr>
      <w:r>
        <w:t>Damit wird die Kohärenz eines Systems über einem Parameterraum als Landschaft interpretierbar.</w:t>
      </w:r>
    </w:p>
    <w:p w:rsidR="008530F8" w:rsidRDefault="00E50336" w:rsidP="008530F8">
      <w:r>
        <w:pict>
          <v:rect id="_x0000_i2393" style="width:0;height:1.5pt" o:hralign="center" o:hrstd="t" o:hr="t" fillcolor="#a0a0a0" stroked="f"/>
        </w:pict>
      </w:r>
    </w:p>
    <w:p w:rsidR="008530F8" w:rsidRDefault="008530F8" w:rsidP="008530F8">
      <w:pPr>
        <w:pStyle w:val="berschrift1"/>
      </w:pPr>
      <w:r>
        <w:t>3.3.43.147 Kohärenzmaximum</w:t>
      </w:r>
    </w:p>
    <w:p w:rsidR="008530F8" w:rsidRDefault="008530F8" w:rsidP="008530F8">
      <w:pPr>
        <w:pStyle w:val="StandardWeb"/>
      </w:pPr>
      <w:r>
        <w:lastRenderedPageBreak/>
        <w:t>Ein lokales Kohärenzmaximum (\boldsymbol\lambda^\ast) erfüllt</w:t>
      </w:r>
    </w:p>
    <w:p w:rsidR="008530F8" w:rsidRDefault="008530F8" w:rsidP="008530F8">
      <w:pPr>
        <w:pStyle w:val="berschrift1"/>
      </w:pPr>
      <w:r>
        <w:t>[</w:t>
      </w:r>
      <w:r>
        <w:br/>
        <w:t>\nabla_{\lambda}C(\boldsymbol\lambda^\ast)</w:t>
      </w:r>
    </w:p>
    <w:p w:rsidR="008530F8" w:rsidRDefault="008530F8" w:rsidP="008530F8">
      <w:pPr>
        <w:pStyle w:val="StandardWeb"/>
      </w:pPr>
      <w:r>
        <w:t>0</w:t>
      </w:r>
      <w:r>
        <w:br/>
        <w:t>\tag{3.8772}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\nabla_{\lambda}C(\boldsymbol\lambda^\ast)=0</w:t>
      </w:r>
    </w:p>
    <w:p w:rsidR="008530F8" w:rsidRDefault="008530F8" w:rsidP="008530F8">
      <w:pPr>
        <w:pStyle w:val="StandardWeb"/>
      </w:pPr>
      <w:r>
        <w:t>und entsprechende Krümmungsbedingungen.</w:t>
      </w:r>
    </w:p>
    <w:p w:rsidR="008530F8" w:rsidRDefault="00E50336" w:rsidP="008530F8">
      <w:r>
        <w:pict>
          <v:rect id="_x0000_i2394" style="width:0;height:1.5pt" o:hralign="center" o:hrstd="t" o:hr="t" fillcolor="#a0a0a0" stroked="f"/>
        </w:pict>
      </w:r>
    </w:p>
    <w:p w:rsidR="008530F8" w:rsidRDefault="008530F8" w:rsidP="008530F8">
      <w:pPr>
        <w:pStyle w:val="berschrift1"/>
      </w:pPr>
      <w:r>
        <w:t>3.3.43.148 Kohärenzoptimum ist kein Wahrheitsoptimum</w:t>
      </w:r>
    </w:p>
    <w:p w:rsidR="008530F8" w:rsidRDefault="008530F8" w:rsidP="008530F8">
      <w:pPr>
        <w:pStyle w:val="StandardWeb"/>
      </w:pPr>
      <w:r>
        <w:t>Es gilt</w:t>
      </w:r>
    </w:p>
    <w:p w:rsidR="008530F8" w:rsidRDefault="008530F8" w:rsidP="008530F8">
      <w:pPr>
        <w:pStyle w:val="berschrift1"/>
      </w:pPr>
      <w:r>
        <w:t>[</w:t>
      </w:r>
      <w:r>
        <w:br/>
        <w:t>C(\boldsymbol\lambda^\ast)</w:t>
      </w:r>
    </w:p>
    <w:p w:rsidR="008530F8" w:rsidRDefault="008530F8" w:rsidP="008530F8">
      <w:pPr>
        <w:pStyle w:val="StandardWeb"/>
      </w:pPr>
      <w:r>
        <w:t>\max C</w:t>
      </w:r>
      <w:r>
        <w:br/>
        <w:t>\nRightarrow</w:t>
      </w:r>
      <w:r>
        <w:br/>
        <w:t>\boldsymbol\lambda^\ast</w:t>
      </w:r>
      <w:r>
        <w:br/>
        <w:t>\text{ physikalisch wahr}.</w:t>
      </w:r>
      <w:r>
        <w:br/>
        <w:t>\tag{3.8773}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C(\boldsymbol\lambda^\ast)=\max C\nRightarrow\boldsymbol\lambda^\ast\text{ physikalisch wahr}</w:t>
      </w:r>
    </w:p>
    <w:p w:rsidR="008530F8" w:rsidRDefault="008530F8" w:rsidP="008530F8">
      <w:pPr>
        <w:pStyle w:val="StandardWeb"/>
      </w:pPr>
      <w:r>
        <w:t>Ein Kohärenzmaximum beschreibt lediglich ein Optimum innerhalb der gewählten Kohärenzdefinition und Operationalisierung.</w:t>
      </w:r>
    </w:p>
    <w:p w:rsidR="008530F8" w:rsidRDefault="00E50336" w:rsidP="008530F8">
      <w:r>
        <w:pict>
          <v:rect id="_x0000_i2395" style="width:0;height:1.5pt" o:hralign="center" o:hrstd="t" o:hr="t" fillcolor="#a0a0a0" stroked="f"/>
        </w:pict>
      </w:r>
    </w:p>
    <w:p w:rsidR="008530F8" w:rsidRDefault="008530F8" w:rsidP="008530F8">
      <w:pPr>
        <w:pStyle w:val="berschrift1"/>
      </w:pPr>
      <w:r>
        <w:t>3.3.43.149 Kohärenzattraktor</w:t>
      </w:r>
    </w:p>
    <w:p w:rsidR="008530F8" w:rsidRDefault="008530F8" w:rsidP="008530F8">
      <w:pPr>
        <w:pStyle w:val="StandardWeb"/>
      </w:pPr>
      <w:r>
        <w:t>In dynamischen Systemen kann eine Region existieren, zu der Kohärenztrajektorien konvergieren.</w:t>
      </w:r>
    </w:p>
    <w:p w:rsidR="008530F8" w:rsidRDefault="008530F8" w:rsidP="008530F8">
      <w:pPr>
        <w:pStyle w:val="StandardWeb"/>
      </w:pPr>
      <w:r>
        <w:lastRenderedPageBreak/>
        <w:t>Sei</w:t>
      </w:r>
    </w:p>
    <w:p w:rsidR="008530F8" w:rsidRDefault="008530F8" w:rsidP="008530F8">
      <w:pPr>
        <w:pStyle w:val="StandardWeb"/>
      </w:pPr>
      <w:r>
        <w:t>[</w:t>
      </w:r>
      <w:r>
        <w:br/>
        <w:t>\mathcal A_C</w:t>
      </w:r>
      <w:r>
        <w:br/>
        <w:t>\subseteq</w:t>
      </w:r>
      <w:r>
        <w:br/>
        <w:t>\Omega.</w:t>
      </w:r>
      <w:r>
        <w:br/>
        <w:t>\tag{3.8774}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A_C\subseteq\Omega</w:t>
      </w:r>
    </w:p>
    <w:p w:rsidR="008530F8" w:rsidRDefault="008530F8" w:rsidP="008530F8">
      <w:pPr>
        <w:pStyle w:val="StandardWeb"/>
      </w:pPr>
      <w:r>
        <w:t>Ein Kohärenzattraktor kann abstrakt durch</w:t>
      </w:r>
    </w:p>
    <w:p w:rsidR="008530F8" w:rsidRDefault="008530F8" w:rsidP="008530F8">
      <w:pPr>
        <w:pStyle w:val="StandardWeb"/>
      </w:pPr>
      <w:r>
        <w:t>[</w:t>
      </w:r>
      <w:r>
        <w:br/>
        <w:t>\operatorname{dist}</w:t>
      </w:r>
      <w:r>
        <w:br/>
        <w:t>\left(</w:t>
      </w:r>
      <w:r>
        <w:br/>
        <w:t>z(t),</w:t>
      </w:r>
      <w:r>
        <w:br/>
        <w:t>\mathcal A_C</w:t>
      </w:r>
      <w:r>
        <w:br/>
        <w:t>\right)</w:t>
      </w:r>
      <w:r>
        <w:br/>
        <w:t>\rightarrow0</w:t>
      </w:r>
      <w:r>
        <w:br/>
        <w:t>\tag{3.8775}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\operatorname{dist}\left(z(t),\mathcal A_C\right)\rightarrow0</w:t>
      </w:r>
    </w:p>
    <w:p w:rsidR="008530F8" w:rsidRDefault="008530F8" w:rsidP="008530F8">
      <w:pPr>
        <w:pStyle w:val="StandardWeb"/>
      </w:pPr>
      <w:r>
        <w:t>und gleichzeitig</w:t>
      </w:r>
    </w:p>
    <w:p w:rsidR="008530F8" w:rsidRDefault="008530F8" w:rsidP="008530F8">
      <w:pPr>
        <w:pStyle w:val="StandardWeb"/>
      </w:pPr>
      <w:r>
        <w:t>[</w:t>
      </w:r>
      <w:r>
        <w:br/>
        <w:t>C(z(t))</w:t>
      </w:r>
      <w:r>
        <w:br/>
        <w:t>\rightarrow</w:t>
      </w:r>
      <w:r>
        <w:br/>
        <w:t>C_{\mathcal A}</w:t>
      </w:r>
      <w:r>
        <w:br/>
        <w:t>\tag{3.8776}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C(z(t))\rightarrow C_{\mathcal A}</w:t>
      </w:r>
    </w:p>
    <w:p w:rsidR="008530F8" w:rsidRDefault="008530F8" w:rsidP="008530F8">
      <w:pPr>
        <w:pStyle w:val="StandardWeb"/>
      </w:pPr>
      <w:r>
        <w:t>charakterisiert werden.</w:t>
      </w:r>
    </w:p>
    <w:p w:rsidR="008530F8" w:rsidRDefault="00E50336" w:rsidP="008530F8">
      <w:r>
        <w:pict>
          <v:rect id="_x0000_i2396" style="width:0;height:1.5pt" o:hralign="center" o:hrstd="t" o:hr="t" fillcolor="#a0a0a0" stroked="f"/>
        </w:pict>
      </w:r>
    </w:p>
    <w:p w:rsidR="008530F8" w:rsidRDefault="008530F8" w:rsidP="008530F8">
      <w:pPr>
        <w:pStyle w:val="berschrift1"/>
      </w:pPr>
      <w:r>
        <w:t>3.3.43.150 Kohärenzattraktor ist kein physikalisches Grundaxiom</w:t>
      </w:r>
    </w:p>
    <w:p w:rsidR="008530F8" w:rsidRDefault="008530F8" w:rsidP="008530F8">
      <w:pPr>
        <w:pStyle w:val="StandardWeb"/>
      </w:pPr>
      <w:r>
        <w:t>Die Existenz eines Attraktors wird nicht vorausgesetzt.</w:t>
      </w:r>
    </w:p>
    <w:p w:rsidR="008530F8" w:rsidRDefault="008530F8" w:rsidP="008530F8">
      <w:pPr>
        <w:pStyle w:val="StandardWeb"/>
      </w:pPr>
      <w:r>
        <w:lastRenderedPageBreak/>
        <w:t>Formal gilt lediglich</w:t>
      </w:r>
    </w:p>
    <w:p w:rsidR="008530F8" w:rsidRDefault="008530F8" w:rsidP="008530F8">
      <w:pPr>
        <w:pStyle w:val="StandardWeb"/>
      </w:pPr>
      <w:r>
        <w:t>[</w:t>
      </w:r>
      <w:r>
        <w:br/>
        <w:t>\mathcal A_C</w:t>
      </w:r>
      <w:r>
        <w:br/>
        <w:t>\text{ kann existieren}.</w:t>
      </w:r>
      <w:r>
        <w:br/>
        <w:t>\tag{3.8777}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A_C\text{ kann existieren}</w:t>
      </w:r>
    </w:p>
    <w:p w:rsidR="008530F8" w:rsidRDefault="008530F8" w:rsidP="008530F8">
      <w:pPr>
        <w:pStyle w:val="StandardWeb"/>
      </w:pPr>
      <w:r>
        <w:t>Ob ein konkretes FRZK-Modell solche Attraktoren besitzt, muss aus seinen Dynamikgleichungen beziehungsweise empirisch bestimmt werden.</w:t>
      </w:r>
    </w:p>
    <w:p w:rsidR="008530F8" w:rsidRDefault="00E50336" w:rsidP="008530F8">
      <w:r>
        <w:pict>
          <v:rect id="_x0000_i2397" style="width:0;height:1.5pt" o:hralign="center" o:hrstd="t" o:hr="t" fillcolor="#a0a0a0" stroked="f"/>
        </w:pict>
      </w:r>
    </w:p>
    <w:p w:rsidR="008530F8" w:rsidRDefault="008530F8" w:rsidP="008530F8">
      <w:pPr>
        <w:pStyle w:val="berschrift1"/>
      </w:pPr>
      <w:r>
        <w:t>3.3.43.151 Kohärenzbecken</w:t>
      </w:r>
    </w:p>
    <w:p w:rsidR="008530F8" w:rsidRDefault="008530F8" w:rsidP="008530F8">
      <w:pPr>
        <w:pStyle w:val="StandardWeb"/>
      </w:pPr>
      <w:r>
        <w:t>Für einen Kohärenzattraktor definiere ich sein Einzugsgebiet</w:t>
      </w:r>
    </w:p>
    <w:p w:rsidR="008530F8" w:rsidRDefault="008530F8" w:rsidP="008530F8">
      <w:pPr>
        <w:pStyle w:val="berschrift1"/>
      </w:pPr>
      <w:r>
        <w:t>[</w:t>
      </w:r>
      <w:r>
        <w:br/>
        <w:t>\mathcal B_C</w:t>
      </w:r>
    </w:p>
    <w:p w:rsidR="008530F8" w:rsidRDefault="008530F8" w:rsidP="008530F8">
      <w:pPr>
        <w:pStyle w:val="StandardWeb"/>
      </w:pPr>
      <w:r>
        <w:t>\left{</w:t>
      </w:r>
      <w:r>
        <w:br/>
        <w:t>z_0:</w:t>
      </w:r>
      <w:r>
        <w:br/>
        <w:t>z(t;z_0)</w:t>
      </w:r>
      <w:r>
        <w:br/>
        <w:t>\rightarrow</w:t>
      </w:r>
      <w:r>
        <w:br/>
        <w:t>\mathcal A_C</w:t>
      </w:r>
      <w:r>
        <w:br/>
        <w:t>\right}.</w:t>
      </w:r>
      <w:r>
        <w:br/>
        <w:t>\tag{3.8778}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B_C=\left\{z_0:z(t;z_0)\rightarrow\mathcal A_C\right\}</w:t>
      </w:r>
    </w:p>
    <w:p w:rsidR="008530F8" w:rsidRDefault="00E50336" w:rsidP="008530F8">
      <w:r>
        <w:pict>
          <v:rect id="_x0000_i2398" style="width:0;height:1.5pt" o:hralign="center" o:hrstd="t" o:hr="t" fillcolor="#a0a0a0" stroked="f"/>
        </w:pict>
      </w:r>
    </w:p>
    <w:p w:rsidR="008530F8" w:rsidRDefault="008530F8" w:rsidP="008530F8">
      <w:pPr>
        <w:pStyle w:val="berschrift1"/>
      </w:pPr>
      <w:r>
        <w:t>3.3.43.152 Kohärenzregime</w:t>
      </w:r>
    </w:p>
    <w:p w:rsidR="008530F8" w:rsidRDefault="008530F8" w:rsidP="008530F8">
      <w:pPr>
        <w:pStyle w:val="StandardWeb"/>
      </w:pPr>
      <w:r>
        <w:t>Ein System kann mehrere charakteristische Kohärenzbereiche besitzen.</w:t>
      </w:r>
    </w:p>
    <w:p w:rsidR="008530F8" w:rsidRDefault="008530F8" w:rsidP="008530F8">
      <w:pPr>
        <w:pStyle w:val="StandardWeb"/>
      </w:pPr>
      <w:r>
        <w:t>Ich definiere</w:t>
      </w:r>
    </w:p>
    <w:p w:rsidR="008530F8" w:rsidRDefault="008530F8" w:rsidP="008530F8">
      <w:pPr>
        <w:pStyle w:val="berschrift1"/>
      </w:pPr>
      <w:r>
        <w:t>[</w:t>
      </w:r>
      <w:r>
        <w:br/>
        <w:t>\mathfrak R_C</w:t>
      </w:r>
    </w:p>
    <w:p w:rsidR="008530F8" w:rsidRDefault="008530F8" w:rsidP="008530F8">
      <w:pPr>
        <w:pStyle w:val="StandardWeb"/>
      </w:pPr>
      <w:r>
        <w:lastRenderedPageBreak/>
        <w:t>\left{</w:t>
      </w:r>
      <w:r>
        <w:br/>
        <w:t>R_C^{(1)},</w:t>
      </w:r>
      <w:r>
        <w:br/>
        <w:t>R_C^{(2)},</w:t>
      </w:r>
      <w:r>
        <w:br/>
        <w:t>\ldots,</w:t>
      </w:r>
      <w:r>
        <w:br/>
        <w:t>R_C^{(m)}</w:t>
      </w:r>
      <w:r>
        <w:br/>
        <w:t>\right}.</w:t>
      </w:r>
      <w:r>
        <w:br/>
        <w:t>\tag{3.8779}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\mathfrak R_C=\left\{R_C^{(1)},R_C^{(2)},\ldots,R_C^{(m)}\right\}</w:t>
      </w:r>
    </w:p>
    <w:p w:rsidR="008530F8" w:rsidRDefault="008530F8" w:rsidP="008530F8">
      <w:pPr>
        <w:pStyle w:val="StandardWeb"/>
      </w:pPr>
      <w:r>
        <w:t>Jedes Kohärenzregime kann durch eine typische Kombination aus Kohärenzgrad, Kopplungsstruktur und Dynamik charakterisiert werden.</w:t>
      </w:r>
    </w:p>
    <w:p w:rsidR="008530F8" w:rsidRDefault="00E50336" w:rsidP="008530F8">
      <w:r>
        <w:pict>
          <v:rect id="_x0000_i2399" style="width:0;height:1.5pt" o:hralign="center" o:hrstd="t" o:hr="t" fillcolor="#a0a0a0" stroked="f"/>
        </w:pict>
      </w:r>
    </w:p>
    <w:p w:rsidR="008530F8" w:rsidRDefault="008530F8" w:rsidP="008530F8">
      <w:pPr>
        <w:pStyle w:val="berschrift1"/>
      </w:pPr>
      <w:r>
        <w:t>3.3.43.153 Regimewechsel</w:t>
      </w:r>
    </w:p>
    <w:p w:rsidR="008530F8" w:rsidRDefault="008530F8" w:rsidP="008530F8">
      <w:pPr>
        <w:pStyle w:val="StandardWeb"/>
      </w:pPr>
      <w:r>
        <w:t>Ein Regimewechsel wird geschrieben als</w:t>
      </w:r>
    </w:p>
    <w:p w:rsidR="008530F8" w:rsidRDefault="008530F8" w:rsidP="008530F8">
      <w:pPr>
        <w:pStyle w:val="StandardWeb"/>
      </w:pPr>
      <w:r>
        <w:t>[</w:t>
      </w:r>
      <w:r>
        <w:br/>
        <w:t>R_C^{(i)}</w:t>
      </w:r>
      <w:r>
        <w:br/>
        <w:t>\rightarrow</w:t>
      </w:r>
      <w:r>
        <w:br/>
        <w:t>R_C^{(j)}.</w:t>
      </w:r>
      <w:r>
        <w:br/>
        <w:t>\tag{3.8780}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R_C^{(i)}\rightarrow R_C^{(j)}</w:t>
      </w:r>
    </w:p>
    <w:p w:rsidR="008530F8" w:rsidRDefault="008530F8" w:rsidP="008530F8">
      <w:pPr>
        <w:pStyle w:val="StandardWeb"/>
      </w:pPr>
      <w:r>
        <w:t>Ein solcher Übergang muss nicht zwingend mit einem vollständigen Kohärenzbruch verbunden sein.</w:t>
      </w:r>
    </w:p>
    <w:p w:rsidR="008530F8" w:rsidRDefault="00E50336" w:rsidP="008530F8">
      <w:r>
        <w:pict>
          <v:rect id="_x0000_i2400" style="width:0;height:1.5pt" o:hralign="center" o:hrstd="t" o:hr="t" fillcolor="#a0a0a0" stroked="f"/>
        </w:pict>
      </w:r>
    </w:p>
    <w:p w:rsidR="008530F8" w:rsidRDefault="008530F8" w:rsidP="008530F8">
      <w:pPr>
        <w:pStyle w:val="berschrift1"/>
      </w:pPr>
      <w:r>
        <w:t>3.3.43.154 Kohärenzregime und Zustandsklasse</w:t>
      </w:r>
    </w:p>
    <w:p w:rsidR="008530F8" w:rsidRDefault="008530F8" w:rsidP="008530F8">
      <w:pPr>
        <w:pStyle w:val="StandardWeb"/>
      </w:pPr>
      <w:r>
        <w:t>Ich ordne jedem Regime eine Zustandsmenge zu:</w:t>
      </w:r>
    </w:p>
    <w:p w:rsidR="008530F8" w:rsidRDefault="008530F8" w:rsidP="008530F8">
      <w:pPr>
        <w:pStyle w:val="berschrift1"/>
      </w:pPr>
      <w:r>
        <w:t>[</w:t>
      </w:r>
      <w:r>
        <w:br/>
        <w:t>\Omega_C^{(i)}</w:t>
      </w:r>
    </w:p>
    <w:p w:rsidR="008530F8" w:rsidRDefault="008530F8" w:rsidP="008530F8">
      <w:pPr>
        <w:pStyle w:val="StandardWeb"/>
      </w:pPr>
      <w:r>
        <w:t>\left{</w:t>
      </w:r>
      <w:r>
        <w:br/>
        <w:t>z:</w:t>
      </w:r>
      <w:r>
        <w:br/>
        <w:t>z\in R_C^{(i)}</w:t>
      </w:r>
      <w:r>
        <w:br/>
        <w:t>\right}.</w:t>
      </w:r>
      <w:r>
        <w:br/>
      </w:r>
      <w:r>
        <w:lastRenderedPageBreak/>
        <w:t>\tag{3.8781}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\Omega_C^{(i)}=\left\{z:z\in R_C^{(i)}\right\}</w:t>
      </w:r>
    </w:p>
    <w:p w:rsidR="008530F8" w:rsidRDefault="00E50336" w:rsidP="008530F8">
      <w:r>
        <w:pict>
          <v:rect id="_x0000_i2401" style="width:0;height:1.5pt" o:hralign="center" o:hrstd="t" o:hr="t" fillcolor="#a0a0a0" stroked="f"/>
        </w:pict>
      </w:r>
    </w:p>
    <w:p w:rsidR="008530F8" w:rsidRDefault="008530F8" w:rsidP="008530F8">
      <w:pPr>
        <w:pStyle w:val="berschrift1"/>
      </w:pPr>
      <w:r>
        <w:t>3.3.43.155 Übergangsbereich</w:t>
      </w:r>
    </w:p>
    <w:p w:rsidR="008530F8" w:rsidRDefault="008530F8" w:rsidP="008530F8">
      <w:pPr>
        <w:pStyle w:val="StandardWeb"/>
      </w:pPr>
      <w:r>
        <w:t>Zwischen zwei Regimen kann ein Bereich</w:t>
      </w:r>
    </w:p>
    <w:p w:rsidR="008530F8" w:rsidRDefault="008530F8" w:rsidP="008530F8">
      <w:pPr>
        <w:pStyle w:val="StandardWeb"/>
      </w:pPr>
      <w:r>
        <w:t>[</w:t>
      </w:r>
      <w:r>
        <w:br/>
        <w:t>\Omega_C^{(i\leftrightarrow j)}</w:t>
      </w:r>
      <w:r>
        <w:br/>
        <w:t>\tag{3.8782}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\Omega_C^{(i\leftrightarrow j)}</w:t>
      </w:r>
    </w:p>
    <w:p w:rsidR="008530F8" w:rsidRDefault="008530F8" w:rsidP="008530F8">
      <w:pPr>
        <w:pStyle w:val="StandardWeb"/>
      </w:pPr>
      <w:r>
        <w:t>existieren, in dem der Kohärenzstatus stark schwankt oder nicht eindeutig einem Regime zugeordnet werden kann.</w:t>
      </w:r>
    </w:p>
    <w:p w:rsidR="008530F8" w:rsidRDefault="00E50336" w:rsidP="008530F8">
      <w:r>
        <w:pict>
          <v:rect id="_x0000_i2402" style="width:0;height:1.5pt" o:hralign="center" o:hrstd="t" o:hr="t" fillcolor="#a0a0a0" stroked="f"/>
        </w:pict>
      </w:r>
    </w:p>
    <w:p w:rsidR="008530F8" w:rsidRDefault="008530F8" w:rsidP="008530F8">
      <w:pPr>
        <w:pStyle w:val="berschrift1"/>
      </w:pPr>
      <w:r>
        <w:t>3.3.43.156 Kohärenzfluktuation</w:t>
      </w:r>
    </w:p>
    <w:p w:rsidR="008530F8" w:rsidRDefault="008530F8" w:rsidP="008530F8">
      <w:pPr>
        <w:pStyle w:val="StandardWeb"/>
      </w:pPr>
      <w:r>
        <w:t>Ich definiere für einen zeitlichen Kohärenzverlauf</w:t>
      </w:r>
    </w:p>
    <w:p w:rsidR="008530F8" w:rsidRDefault="008530F8" w:rsidP="008530F8">
      <w:pPr>
        <w:pStyle w:val="berschrift1"/>
      </w:pPr>
      <w:r>
        <w:t>[</w:t>
      </w:r>
      <w:r>
        <w:br/>
        <w:t>\delta C(t)</w:t>
      </w:r>
    </w:p>
    <w:p w:rsidR="008530F8" w:rsidRDefault="008530F8" w:rsidP="008530F8">
      <w:pPr>
        <w:pStyle w:val="StandardWeb"/>
      </w:pPr>
      <w:r>
        <w:t>C(t)-\bar C.</w:t>
      </w:r>
      <w:r>
        <w:br/>
        <w:t>\tag{3.8783}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\delta C(t)=C(t)-\bar C</w:t>
      </w:r>
    </w:p>
    <w:p w:rsidR="008530F8" w:rsidRDefault="00E50336" w:rsidP="008530F8">
      <w:r>
        <w:pict>
          <v:rect id="_x0000_i2403" style="width:0;height:1.5pt" o:hralign="center" o:hrstd="t" o:hr="t" fillcolor="#a0a0a0" stroked="f"/>
        </w:pict>
      </w:r>
    </w:p>
    <w:p w:rsidR="008530F8" w:rsidRDefault="008530F8" w:rsidP="008530F8">
      <w:pPr>
        <w:pStyle w:val="berschrift1"/>
      </w:pPr>
      <w:r>
        <w:t>3.3.43.157 Kohärenzvarianz</w:t>
      </w:r>
    </w:p>
    <w:p w:rsidR="008530F8" w:rsidRDefault="008530F8" w:rsidP="008530F8">
      <w:pPr>
        <w:pStyle w:val="StandardWeb"/>
      </w:pPr>
      <w:r>
        <w:t>Die Varianz lautet</w:t>
      </w:r>
    </w:p>
    <w:p w:rsidR="008530F8" w:rsidRDefault="008530F8" w:rsidP="008530F8">
      <w:pPr>
        <w:pStyle w:val="berschrift1"/>
      </w:pPr>
      <w:r>
        <w:lastRenderedPageBreak/>
        <w:t>[</w:t>
      </w:r>
      <w:r>
        <w:br/>
        <w:t>V_C</w:t>
      </w:r>
    </w:p>
    <w:p w:rsidR="008530F8" w:rsidRDefault="008530F8" w:rsidP="008530F8">
      <w:pPr>
        <w:pStyle w:val="StandardWeb"/>
      </w:pPr>
      <w:r>
        <w:t>\operatorname{Var}[C(t)].</w:t>
      </w:r>
      <w:r>
        <w:br/>
        <w:t>\tag{3.8784}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V_C=\operatorname{Var}[C(t)]</w:t>
      </w:r>
    </w:p>
    <w:p w:rsidR="008530F8" w:rsidRDefault="008530F8" w:rsidP="008530F8">
      <w:pPr>
        <w:pStyle w:val="StandardWeb"/>
      </w:pPr>
      <w:r>
        <w:t>Eine hohe Varianz zeigt starke zeitliche Schwankungen des Kohärenzgrades.</w:t>
      </w:r>
    </w:p>
    <w:p w:rsidR="008530F8" w:rsidRDefault="00E50336" w:rsidP="008530F8">
      <w:r>
        <w:pict>
          <v:rect id="_x0000_i2404" style="width:0;height:1.5pt" o:hralign="center" o:hrstd="t" o:hr="t" fillcolor="#a0a0a0" stroked="f"/>
        </w:pict>
      </w:r>
    </w:p>
    <w:p w:rsidR="008530F8" w:rsidRDefault="008530F8" w:rsidP="008530F8">
      <w:pPr>
        <w:pStyle w:val="berschrift1"/>
      </w:pPr>
      <w:r>
        <w:t>3.3.43.158 Kohärenzstabilität</w:t>
      </w:r>
    </w:p>
    <w:p w:rsidR="008530F8" w:rsidRDefault="008530F8" w:rsidP="008530F8">
      <w:pPr>
        <w:pStyle w:val="StandardWeb"/>
      </w:pPr>
      <w:r>
        <w:t>Eine normierte Kohärenzstabilität kann geschrieben werden als</w:t>
      </w:r>
    </w:p>
    <w:p w:rsidR="008530F8" w:rsidRDefault="008530F8" w:rsidP="008530F8">
      <w:pPr>
        <w:pStyle w:val="berschrift1"/>
      </w:pPr>
      <w:r>
        <w:t>[</w:t>
      </w:r>
      <w:r>
        <w:br/>
        <w:t>S_C</w:t>
      </w:r>
    </w:p>
    <w:p w:rsidR="008530F8" w:rsidRDefault="008530F8" w:rsidP="008530F8">
      <w:pPr>
        <w:pStyle w:val="StandardWeb"/>
      </w:pPr>
      <w:r>
        <w:t>1-\tilde V_C,</w:t>
      </w:r>
      <w:r>
        <w:br/>
        <w:t>\tag{3.8785}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S_C=1-\tilde V_C</w:t>
      </w:r>
    </w:p>
    <w:p w:rsidR="008530F8" w:rsidRDefault="008530F8" w:rsidP="008530F8">
      <w:pPr>
        <w:pStyle w:val="StandardWeb"/>
      </w:pPr>
      <w:r>
        <w:t>wobei (\tilde V_C) eine geeignete normierte Kohärenzvarianz bezeichnet.</w:t>
      </w:r>
    </w:p>
    <w:p w:rsidR="008530F8" w:rsidRDefault="00E50336" w:rsidP="008530F8">
      <w:r>
        <w:pict>
          <v:rect id="_x0000_i2405" style="width:0;height:1.5pt" o:hralign="center" o:hrstd="t" o:hr="t" fillcolor="#a0a0a0" stroked="f"/>
        </w:pict>
      </w:r>
    </w:p>
    <w:p w:rsidR="008530F8" w:rsidRDefault="008530F8" w:rsidP="008530F8">
      <w:pPr>
        <w:pStyle w:val="berschrift1"/>
      </w:pPr>
      <w:r>
        <w:t>3.3.43.159 Kohärenzstabilität und Systemstabilität</w:t>
      </w:r>
    </w:p>
    <w:p w:rsidR="008530F8" w:rsidRDefault="008530F8" w:rsidP="008530F8">
      <w:pPr>
        <w:pStyle w:val="StandardWeb"/>
      </w:pPr>
      <w:r>
        <w:t>Es gilt im Allgemeinen</w:t>
      </w:r>
    </w:p>
    <w:p w:rsidR="008530F8" w:rsidRDefault="008530F8" w:rsidP="008530F8">
      <w:pPr>
        <w:pStyle w:val="StandardWeb"/>
      </w:pPr>
      <w:r>
        <w:t>[</w:t>
      </w:r>
      <w:r>
        <w:br/>
        <w:t>S_C</w:t>
      </w:r>
      <w:r>
        <w:br/>
        <w:t>\neq</w:t>
      </w:r>
      <w:r>
        <w:br/>
        <w:t>S_{\mathrm{sys}}.</w:t>
      </w:r>
      <w:r>
        <w:br/>
        <w:t>\tag{3.8786}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S_C\neq S_{\mathrm{sys}}</w:t>
      </w:r>
    </w:p>
    <w:p w:rsidR="008530F8" w:rsidRDefault="008530F8" w:rsidP="008530F8">
      <w:pPr>
        <w:pStyle w:val="StandardWeb"/>
      </w:pPr>
      <w:r>
        <w:lastRenderedPageBreak/>
        <w:t>Ein Systemzustand kann dynamisch stabil sein, während seine internen Kohärenzbeziehungen stark schwanken.</w:t>
      </w:r>
    </w:p>
    <w:p w:rsidR="008530F8" w:rsidRDefault="00E50336" w:rsidP="008530F8">
      <w:r>
        <w:pict>
          <v:rect id="_x0000_i2406" style="width:0;height:1.5pt" o:hralign="center" o:hrstd="t" o:hr="t" fillcolor="#a0a0a0" stroked="f"/>
        </w:pict>
      </w:r>
    </w:p>
    <w:p w:rsidR="008530F8" w:rsidRDefault="008530F8" w:rsidP="008530F8">
      <w:pPr>
        <w:pStyle w:val="berschrift1"/>
      </w:pPr>
      <w:r>
        <w:t>3.3.43.160 Kohärenzautokorrelation</w:t>
      </w:r>
    </w:p>
    <w:p w:rsidR="008530F8" w:rsidRDefault="008530F8" w:rsidP="008530F8">
      <w:pPr>
        <w:pStyle w:val="StandardWeb"/>
      </w:pPr>
      <w:r>
        <w:t>Für zeitliche Kohärenzdaten kann definiert werden</w:t>
      </w:r>
    </w:p>
    <w:p w:rsidR="008530F8" w:rsidRDefault="008530F8" w:rsidP="008530F8">
      <w:pPr>
        <w:pStyle w:val="berschrift1"/>
      </w:pPr>
      <w:r>
        <w:t>[</w:t>
      </w:r>
      <w:r>
        <w:br/>
        <w:t>R_C(\tau)</w:t>
      </w:r>
    </w:p>
    <w:p w:rsidR="008530F8" w:rsidRDefault="008530F8" w:rsidP="008530F8">
      <w:pPr>
        <w:pStyle w:val="StandardWeb"/>
      </w:pPr>
      <w:r>
        <w:t>\operatorname{Corr}</w:t>
      </w:r>
      <w:r>
        <w:br/>
        <w:t>\left(</w:t>
      </w:r>
      <w:r>
        <w:br/>
        <w:t>C(t),</w:t>
      </w:r>
      <w:r>
        <w:br/>
        <w:t>C(t+\tau)</w:t>
      </w:r>
      <w:r>
        <w:br/>
        <w:t>\right).</w:t>
      </w:r>
      <w:r>
        <w:br/>
        <w:t>\tag{3.8787}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R_C(\tau)=\operatorname{Corr}\left(C(t),C(t+\tau)\right)</w:t>
      </w:r>
    </w:p>
    <w:p w:rsidR="008530F8" w:rsidRDefault="00E50336" w:rsidP="008530F8">
      <w:r>
        <w:pict>
          <v:rect id="_x0000_i2407" style="width:0;height:1.5pt" o:hralign="center" o:hrstd="t" o:hr="t" fillcolor="#a0a0a0" stroked="f"/>
        </w:pict>
      </w:r>
    </w:p>
    <w:p w:rsidR="008530F8" w:rsidRDefault="008530F8" w:rsidP="008530F8">
      <w:pPr>
        <w:pStyle w:val="berschrift1"/>
      </w:pPr>
      <w:r>
        <w:t>3.3.43.161 Kohärenzgedächtniszeit</w:t>
      </w:r>
    </w:p>
    <w:p w:rsidR="008530F8" w:rsidRDefault="008530F8" w:rsidP="008530F8">
      <w:pPr>
        <w:pStyle w:val="StandardWeb"/>
      </w:pPr>
      <w:r>
        <w:t>Eine charakteristische Zeit (\tau_C^{\mathrm{mem}}) kann über den Abfall der Autokorrelation definiert werden.</w:t>
      </w:r>
    </w:p>
    <w:p w:rsidR="008530F8" w:rsidRDefault="008530F8" w:rsidP="008530F8">
      <w:pPr>
        <w:pStyle w:val="StandardWeb"/>
      </w:pPr>
      <w:r>
        <w:t>Beispielsweise</w:t>
      </w:r>
    </w:p>
    <w:p w:rsidR="008530F8" w:rsidRDefault="008530F8" w:rsidP="008530F8">
      <w:pPr>
        <w:pStyle w:val="berschrift1"/>
      </w:pPr>
      <w:r>
        <w:t>[</w:t>
      </w:r>
      <w:r>
        <w:br/>
        <w:t>R_C(\tau_C^{\mathrm{mem}})</w:t>
      </w:r>
    </w:p>
    <w:p w:rsidR="008530F8" w:rsidRDefault="008530F8" w:rsidP="008530F8">
      <w:pPr>
        <w:pStyle w:val="StandardWeb"/>
      </w:pPr>
      <w:r>
        <w:t>e^{-1}.</w:t>
      </w:r>
      <w:r>
        <w:br/>
        <w:t>\tag{3.8788}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R_C(\tau_C^{\mathrm{mem}})=e^{-1}</w:t>
      </w:r>
    </w:p>
    <w:p w:rsidR="008530F8" w:rsidRDefault="008530F8" w:rsidP="008530F8">
      <w:pPr>
        <w:pStyle w:val="StandardWeb"/>
      </w:pPr>
      <w:r>
        <w:t>Diese konkrete Schwelle ist eine Konvention und kein Primäraxiom.</w:t>
      </w:r>
    </w:p>
    <w:p w:rsidR="008530F8" w:rsidRDefault="00E50336" w:rsidP="008530F8">
      <w:r>
        <w:pict>
          <v:rect id="_x0000_i2408" style="width:0;height:1.5pt" o:hralign="center" o:hrstd="t" o:hr="t" fillcolor="#a0a0a0" stroked="f"/>
        </w:pict>
      </w:r>
    </w:p>
    <w:p w:rsidR="008530F8" w:rsidRDefault="008530F8" w:rsidP="008530F8">
      <w:pPr>
        <w:pStyle w:val="berschrift1"/>
      </w:pPr>
      <w:r>
        <w:lastRenderedPageBreak/>
        <w:t>3.3.43.162 Kohärenzgedächtnis</w:t>
      </w:r>
    </w:p>
    <w:p w:rsidR="008530F8" w:rsidRDefault="008530F8" w:rsidP="008530F8">
      <w:pPr>
        <w:pStyle w:val="StandardWeb"/>
      </w:pPr>
      <w:r>
        <w:t>Ein System besitzt funktionales Kohärenzgedächtnis, wenn vergangene Kohärenzzustände für spätere Kohärenzwerte relevant bleiben.</w:t>
      </w:r>
    </w:p>
    <w:p w:rsidR="008530F8" w:rsidRDefault="008530F8" w:rsidP="008530F8">
      <w:pPr>
        <w:pStyle w:val="StandardWeb"/>
      </w:pPr>
      <w:r>
        <w:t>Abstrakt:</w:t>
      </w:r>
    </w:p>
    <w:p w:rsidR="008530F8" w:rsidRDefault="008530F8" w:rsidP="008530F8">
      <w:pPr>
        <w:pStyle w:val="berschrift1"/>
      </w:pPr>
      <w:r>
        <w:t>[</w:t>
      </w:r>
      <w:r>
        <w:br/>
        <w:t>C(t+\tau)</w:t>
      </w:r>
    </w:p>
    <w:p w:rsidR="008530F8" w:rsidRDefault="008530F8" w:rsidP="008530F8">
      <w:pPr>
        <w:pStyle w:val="StandardWeb"/>
      </w:pPr>
      <w:r>
        <w:t>\mathcal F</w:t>
      </w:r>
      <w:r>
        <w:br/>
        <w:t>\left(</w:t>
      </w:r>
      <w:r>
        <w:br/>
        <w:t>C(t),</w:t>
      </w:r>
      <w:r>
        <w:br/>
        <w:t>\mathcal H_C(t)</w:t>
      </w:r>
      <w:r>
        <w:br/>
        <w:t>\right).</w:t>
      </w:r>
      <w:r>
        <w:br/>
        <w:t>\tag{3.8789}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C(t+\tau)=\mathcal F\left(C(t),\mathcal H_C(t)\right)</w:t>
      </w:r>
    </w:p>
    <w:p w:rsidR="008530F8" w:rsidRDefault="00E50336" w:rsidP="008530F8">
      <w:r>
        <w:pict>
          <v:rect id="_x0000_i2409" style="width:0;height:1.5pt" o:hralign="center" o:hrstd="t" o:hr="t" fillcolor="#a0a0a0" stroked="f"/>
        </w:pict>
      </w:r>
    </w:p>
    <w:p w:rsidR="008530F8" w:rsidRDefault="008530F8" w:rsidP="008530F8">
      <w:pPr>
        <w:pStyle w:val="berschrift1"/>
      </w:pPr>
      <w:r>
        <w:t>3.3.43.163 Markovsche Kohärenzdynamik</w:t>
      </w:r>
    </w:p>
    <w:p w:rsidR="008530F8" w:rsidRDefault="008530F8" w:rsidP="008530F8">
      <w:pPr>
        <w:pStyle w:val="StandardWeb"/>
      </w:pPr>
      <w:r>
        <w:t>Eine besondere Modellklasse wäre</w:t>
      </w:r>
    </w:p>
    <w:p w:rsidR="008530F8" w:rsidRDefault="008530F8" w:rsidP="008530F8">
      <w:pPr>
        <w:pStyle w:val="berschrift1"/>
      </w:pPr>
      <w:r>
        <w:t>[</w:t>
      </w:r>
      <w:r>
        <w:br/>
        <w:t>P</w:t>
      </w:r>
      <w:r>
        <w:br/>
        <w:t>\left(</w:t>
      </w:r>
      <w:r>
        <w:br/>
        <w:t>C_{t+1}</w:t>
      </w:r>
      <w:r>
        <w:br/>
        <w:t>\mid</w:t>
      </w:r>
      <w:r>
        <w:br/>
        <w:t>C_t,C_{t-1},\ldots</w:t>
      </w:r>
      <w:r>
        <w:br/>
        <w:t>\right)</w:t>
      </w:r>
    </w:p>
    <w:p w:rsidR="008530F8" w:rsidRDefault="008530F8" w:rsidP="008530F8">
      <w:pPr>
        <w:pStyle w:val="StandardWeb"/>
      </w:pPr>
      <w:r>
        <w:t>P</w:t>
      </w:r>
      <w:r>
        <w:br/>
        <w:t>\left(</w:t>
      </w:r>
      <w:r>
        <w:br/>
        <w:t>C_{t+1}</w:t>
      </w:r>
      <w:r>
        <w:br/>
        <w:t>\mid</w:t>
      </w:r>
      <w:r>
        <w:br/>
        <w:t>C_t</w:t>
      </w:r>
      <w:r>
        <w:br/>
        <w:t>\right).</w:t>
      </w:r>
      <w:r>
        <w:br/>
        <w:t>\tag{3.8790}</w:t>
      </w:r>
      <w:r>
        <w:br/>
        <w:t>]</w:t>
      </w:r>
    </w:p>
    <w:p w:rsidR="008530F8" w:rsidRDefault="008530F8" w:rsidP="008530F8">
      <w:pPr>
        <w:pStyle w:val="StandardWeb"/>
      </w:pPr>
      <w:r>
        <w:rPr>
          <w:rStyle w:val="Fett"/>
        </w:rPr>
        <w:lastRenderedPageBreak/>
        <w:t>Word-LaTeX</w:t>
      </w:r>
    </w:p>
    <w:p w:rsidR="008530F8" w:rsidRDefault="008530F8" w:rsidP="008530F8">
      <w:pPr>
        <w:pStyle w:val="HTMLVorformatiert"/>
        <w:rPr>
          <w:rStyle w:val="HTMLCode"/>
        </w:rPr>
      </w:pPr>
      <w:r>
        <w:rPr>
          <w:rStyle w:val="HTMLCode"/>
        </w:rPr>
        <w:t>P\left(C_{t+1}\mid C_t,C_{t-1},\ldots\right)=P\left(C_{t+1}\mid C_t\right)</w:t>
      </w:r>
    </w:p>
    <w:p w:rsidR="008530F8" w:rsidRDefault="008530F8" w:rsidP="008530F8">
      <w:pPr>
        <w:pStyle w:val="StandardWeb"/>
      </w:pPr>
      <w:r>
        <w:t>Ich setze diese Markov-Eigenschaft nicht allgemein voraus.</w:t>
      </w:r>
    </w:p>
    <w:p w:rsidR="008530F8" w:rsidRDefault="00E50336" w:rsidP="008530F8">
      <w:r>
        <w:pict>
          <v:rect id="_x0000_i2410" style="width:0;height:1.5pt" o:hralign="center" o:hrstd="t" o:hr="t" fillcolor="#a0a0a0" stroked="f"/>
        </w:pict>
      </w:r>
    </w:p>
    <w:p w:rsidR="008530F8" w:rsidRDefault="008530F8" w:rsidP="008530F8">
      <w:pPr>
        <w:pStyle w:val="berschrift1"/>
      </w:pPr>
      <w:r>
        <w:t>3.3.43.164 Nichtmarkovsche Kohärenz</w:t>
      </w:r>
    </w:p>
    <w:p w:rsidR="008530F8" w:rsidRDefault="008530F8" w:rsidP="008530F8">
      <w:pPr>
        <w:pStyle w:val="StandardWeb"/>
      </w:pPr>
      <w:r>
        <w:t>Falls frühere Zustände zusätzlich relevant sind, gilt</w:t>
      </w:r>
    </w:p>
    <w:p w:rsidR="008530F8" w:rsidRDefault="008530F8" w:rsidP="008530F8">
      <w:pPr>
        <w:pStyle w:val="StandardWeb"/>
      </w:pPr>
      <w:r>
        <w:t>[</w:t>
      </w:r>
      <w:r>
        <w:br/>
        <w:t>P</w:t>
      </w:r>
      <w:r>
        <w:br/>
        <w:t>\left(</w:t>
      </w:r>
      <w:r>
        <w:br/>
        <w:t>C_{t+1}</w:t>
      </w:r>
      <w:r>
        <w:br/>
        <w:t>\mid</w:t>
      </w:r>
      <w:r>
        <w:br/>
        <w:t>C_t,C_{t-1},\ldots</w:t>
      </w:r>
      <w:r>
        <w:br/>
        <w:t>\right)</w:t>
      </w:r>
      <w:r>
        <w:br/>
        <w:t>\neq</w:t>
      </w:r>
      <w:r>
        <w:br/>
        <w:t>P</w:t>
      </w:r>
      <w:r>
        <w:br/>
        <w:t>\left(</w:t>
      </w:r>
      <w:r>
        <w:br/>
        <w:t>C_{t+1}</w:t>
      </w:r>
      <w:r>
        <w:br/>
        <w:t>\mid</w:t>
      </w:r>
      <w:r>
        <w:br/>
        <w:t>C_t</w:t>
      </w:r>
      <w:r>
        <w:br/>
        <w:t>\right).</w:t>
      </w:r>
      <w:r>
        <w:br/>
        <w:t>\tag{3.8791}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P\left(C_{t+1}\mid C_t,C_{t-1},\ldots\right)\neq P\left(C_{t+1}\mid C_t\right)</w:t>
      </w:r>
    </w:p>
    <w:p w:rsidR="008530F8" w:rsidRDefault="008530F8" w:rsidP="008530F8">
      <w:pPr>
        <w:pStyle w:val="StandardWeb"/>
      </w:pPr>
      <w:r>
        <w:t>Dann besitzt die Kohärenzdynamik Gedächtniseffekte.</w:t>
      </w:r>
    </w:p>
    <w:p w:rsidR="008530F8" w:rsidRDefault="00E50336" w:rsidP="008530F8">
      <w:r>
        <w:pict>
          <v:rect id="_x0000_i2411" style="width:0;height:1.5pt" o:hralign="center" o:hrstd="t" o:hr="t" fillcolor="#a0a0a0" stroked="f"/>
        </w:pict>
      </w:r>
    </w:p>
    <w:p w:rsidR="008530F8" w:rsidRDefault="008530F8" w:rsidP="008530F8">
      <w:pPr>
        <w:pStyle w:val="berschrift1"/>
      </w:pPr>
      <w:r>
        <w:t>3.3.43.165 Kohärenz-Hysterese</w:t>
      </w:r>
    </w:p>
    <w:p w:rsidR="008530F8" w:rsidRDefault="008530F8" w:rsidP="008530F8">
      <w:pPr>
        <w:pStyle w:val="StandardWeb"/>
      </w:pPr>
      <w:r>
        <w:t>Ein besonderer Gedächtniseffekt liegt vor, wenn der aktuelle Kohärenzzustand nicht nur vom aktuellen Kontrollparameter, sondern auch vom vorherigen Entwicklungspfad abhängt.</w:t>
      </w:r>
    </w:p>
    <w:p w:rsidR="008530F8" w:rsidRDefault="008530F8" w:rsidP="008530F8">
      <w:pPr>
        <w:pStyle w:val="StandardWeb"/>
      </w:pPr>
      <w:r>
        <w:t>Formal:</w:t>
      </w:r>
    </w:p>
    <w:p w:rsidR="008530F8" w:rsidRDefault="008530F8" w:rsidP="008530F8">
      <w:pPr>
        <w:pStyle w:val="berschrift1"/>
      </w:pPr>
      <w:r>
        <w:t>[</w:t>
      </w:r>
      <w:r>
        <w:br/>
        <w:t>C(\lambda)</w:t>
      </w:r>
    </w:p>
    <w:p w:rsidR="008530F8" w:rsidRDefault="008530F8" w:rsidP="008530F8">
      <w:pPr>
        <w:pStyle w:val="StandardWeb"/>
      </w:pPr>
      <w:r>
        <w:lastRenderedPageBreak/>
        <w:t>C(\lambda,\mathcal H_{\lambda}).</w:t>
      </w:r>
      <w:r>
        <w:br/>
        <w:t>\tag{3.8792}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C(\lambda)=C(\lambda,\mathcal H_{\lambda})</w:t>
      </w:r>
    </w:p>
    <w:p w:rsidR="008530F8" w:rsidRDefault="00E50336" w:rsidP="008530F8">
      <w:r>
        <w:pict>
          <v:rect id="_x0000_i2412" style="width:0;height:1.5pt" o:hralign="center" o:hrstd="t" o:hr="t" fillcolor="#a0a0a0" stroked="f"/>
        </w:pict>
      </w:r>
    </w:p>
    <w:p w:rsidR="008530F8" w:rsidRDefault="008530F8" w:rsidP="008530F8">
      <w:pPr>
        <w:pStyle w:val="berschrift1"/>
      </w:pPr>
      <w:r>
        <w:t>3.3.43.166 Hystereseschleife</w:t>
      </w:r>
    </w:p>
    <w:p w:rsidR="008530F8" w:rsidRDefault="008530F8" w:rsidP="008530F8">
      <w:pPr>
        <w:pStyle w:val="StandardWeb"/>
      </w:pPr>
      <w:r>
        <w:t>Für einen auf- und absteigenden Parameterweg kann gelten</w:t>
      </w:r>
    </w:p>
    <w:p w:rsidR="008530F8" w:rsidRDefault="008530F8" w:rsidP="008530F8">
      <w:pPr>
        <w:pStyle w:val="StandardWeb"/>
      </w:pPr>
      <w:r>
        <w:t>[</w:t>
      </w:r>
      <w:r>
        <w:br/>
        <w:t>C_{\uparrow}(\lambda)</w:t>
      </w:r>
      <w:r>
        <w:br/>
        <w:t>\neq</w:t>
      </w:r>
      <w:r>
        <w:br/>
        <w:t>C_{\downarrow}(\lambda).</w:t>
      </w:r>
      <w:r>
        <w:br/>
        <w:t>\tag{3.8793}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C_{\uparrow}(\lambda)\neq C_{\downarrow}(\lambda)</w:t>
      </w:r>
    </w:p>
    <w:p w:rsidR="008530F8" w:rsidRDefault="008530F8" w:rsidP="008530F8">
      <w:pPr>
        <w:pStyle w:val="StandardWeb"/>
      </w:pPr>
      <w:r>
        <w:t>Dies ist ein möglicher Indikator für Kohärenzhysterese.</w:t>
      </w:r>
    </w:p>
    <w:p w:rsidR="008530F8" w:rsidRDefault="00E50336" w:rsidP="008530F8">
      <w:r>
        <w:pict>
          <v:rect id="_x0000_i2413" style="width:0;height:1.5pt" o:hralign="center" o:hrstd="t" o:hr="t" fillcolor="#a0a0a0" stroked="f"/>
        </w:pict>
      </w:r>
    </w:p>
    <w:p w:rsidR="008530F8" w:rsidRDefault="008530F8" w:rsidP="008530F8">
      <w:pPr>
        <w:pStyle w:val="berschrift1"/>
      </w:pPr>
      <w:r>
        <w:t>3.3.43.167 Kohärenzhysterese ist keine notwendige FRZK-Eigenschaft</w:t>
      </w:r>
    </w:p>
    <w:p w:rsidR="008530F8" w:rsidRDefault="008530F8" w:rsidP="008530F8">
      <w:pPr>
        <w:pStyle w:val="StandardWeb"/>
      </w:pPr>
      <w:r>
        <w:t>Ich halte ausdrücklich fest:</w:t>
      </w:r>
    </w:p>
    <w:p w:rsidR="008530F8" w:rsidRDefault="008530F8" w:rsidP="008530F8">
      <w:pPr>
        <w:pStyle w:val="berschrift1"/>
      </w:pPr>
      <w:r>
        <w:t>[</w:t>
      </w:r>
      <w:r>
        <w:br/>
        <w:t>C_{\uparrow}(\lambda)</w:t>
      </w:r>
    </w:p>
    <w:p w:rsidR="008530F8" w:rsidRDefault="008530F8" w:rsidP="008530F8">
      <w:pPr>
        <w:pStyle w:val="StandardWeb"/>
      </w:pPr>
      <w:r>
        <w:t>C_{\downarrow}(\lambda)</w:t>
      </w:r>
      <w:r>
        <w:br/>
        <w:t>\tag{3.8794}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C_{\uparrow}(\lambda)=C_{\downarrow}(\lambda)</w:t>
      </w:r>
    </w:p>
    <w:p w:rsidR="008530F8" w:rsidRDefault="008530F8" w:rsidP="008530F8">
      <w:pPr>
        <w:pStyle w:val="StandardWeb"/>
      </w:pPr>
      <w:r>
        <w:t>ist ebenso zulässig.</w:t>
      </w:r>
    </w:p>
    <w:p w:rsidR="008530F8" w:rsidRDefault="008530F8" w:rsidP="008530F8">
      <w:pPr>
        <w:pStyle w:val="StandardWeb"/>
      </w:pPr>
      <w:r>
        <w:t>Hysterese wird daher als mögliche Systemeigenschaft, nicht als Primäraxiom eingeführt.</w:t>
      </w:r>
    </w:p>
    <w:p w:rsidR="008530F8" w:rsidRDefault="00E50336" w:rsidP="008530F8">
      <w:r>
        <w:lastRenderedPageBreak/>
        <w:pict>
          <v:rect id="_x0000_i2414" style="width:0;height:1.5pt" o:hralign="center" o:hrstd="t" o:hr="t" fillcolor="#a0a0a0" stroked="f"/>
        </w:pict>
      </w:r>
    </w:p>
    <w:p w:rsidR="008530F8" w:rsidRDefault="008530F8" w:rsidP="008530F8">
      <w:pPr>
        <w:pStyle w:val="berschrift1"/>
      </w:pPr>
      <w:r>
        <w:t>3.3.43.168 Raum-Zeit-Kohärenzkern</w:t>
      </w:r>
    </w:p>
    <w:p w:rsidR="008530F8" w:rsidRDefault="008530F8" w:rsidP="008530F8">
      <w:pPr>
        <w:pStyle w:val="StandardWeb"/>
      </w:pPr>
      <w:r>
        <w:t>Die bisherigen räumlichen und zeitlichen Beziehungen lassen sich zu einem Kohärenzkern zusammenfassen.</w:t>
      </w:r>
    </w:p>
    <w:p w:rsidR="008530F8" w:rsidRDefault="008530F8" w:rsidP="008530F8">
      <w:pPr>
        <w:pStyle w:val="StandardWeb"/>
      </w:pPr>
      <w:r>
        <w:t>Ich definiere</w:t>
      </w:r>
    </w:p>
    <w:p w:rsidR="008530F8" w:rsidRDefault="008530F8" w:rsidP="008530F8">
      <w:pPr>
        <w:pStyle w:val="StandardWeb"/>
      </w:pPr>
      <w:r>
        <w:t>[</w:t>
      </w:r>
      <w:r>
        <w:br/>
        <w:t>K_C</w:t>
      </w:r>
      <w:r>
        <w:br/>
        <w:t>\left(</w:t>
      </w:r>
      <w:r>
        <w:br/>
        <w:t>x_i,t_i;</w:t>
      </w:r>
      <w:r>
        <w:br/>
        <w:t>x_j,t_j</w:t>
      </w:r>
      <w:r>
        <w:br/>
        <w:t>\right)</w:t>
      </w:r>
      <w:r>
        <w:br/>
        <w:t>\tag{3.8795}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K_C\left(x_i,t_i;x_j,t_j\right)</w:t>
      </w:r>
    </w:p>
    <w:p w:rsidR="008530F8" w:rsidRDefault="008530F8" w:rsidP="008530F8">
      <w:pPr>
        <w:pStyle w:val="StandardWeb"/>
      </w:pPr>
      <w:r>
        <w:t>als eine allgemeine Kernel-Funktion der funktionalen Raum-Zeit-Kohärenz.</w:t>
      </w:r>
    </w:p>
    <w:p w:rsidR="008530F8" w:rsidRDefault="00E50336" w:rsidP="008530F8">
      <w:r>
        <w:pict>
          <v:rect id="_x0000_i2415" style="width:0;height:1.5pt" o:hralign="center" o:hrstd="t" o:hr="t" fillcolor="#a0a0a0" stroked="f"/>
        </w:pict>
      </w:r>
    </w:p>
    <w:p w:rsidR="008530F8" w:rsidRDefault="008530F8" w:rsidP="008530F8">
      <w:pPr>
        <w:pStyle w:val="berschrift1"/>
      </w:pPr>
      <w:r>
        <w:t>3.3.43.169 Definition 3.3.62 – Raum-Zeit-Kohärenzkern</w:t>
      </w:r>
    </w:p>
    <w:p w:rsidR="008530F8" w:rsidRDefault="008530F8" w:rsidP="008530F8">
      <w:pPr>
        <w:pStyle w:val="berschrift3"/>
      </w:pPr>
      <w:r>
        <w:t>Definition 3.3.62</w:t>
      </w:r>
    </w:p>
    <w:p w:rsidR="008530F8" w:rsidRDefault="008530F8" w:rsidP="008530F8">
      <w:pPr>
        <w:pStyle w:val="StandardWeb"/>
      </w:pPr>
      <w:r>
        <w:t xml:space="preserve">Ein </w:t>
      </w:r>
      <w:r>
        <w:rPr>
          <w:rStyle w:val="Fett"/>
        </w:rPr>
        <w:t>Raum-Zeit-Kohärenzkern</w:t>
      </w:r>
      <w:r>
        <w:t xml:space="preserve"> ist eine Abbildung</w:t>
      </w:r>
    </w:p>
    <w:p w:rsidR="008530F8" w:rsidRDefault="008530F8" w:rsidP="008530F8">
      <w:pPr>
        <w:pStyle w:val="StandardWeb"/>
      </w:pPr>
      <w:r>
        <w:t>[</w:t>
      </w:r>
      <w:r>
        <w:br/>
        <w:t>K_C:</w:t>
      </w:r>
      <w:r>
        <w:br/>
        <w:t>\Omega_{ST}\times\Omega_{ST}</w:t>
      </w:r>
      <w:r>
        <w:br/>
        <w:t>\rightarrow</w:t>
      </w:r>
      <w:r>
        <w:br/>
        <w:t>[0,1],</w:t>
      </w:r>
      <w:r>
        <w:br/>
        <w:t>\tag{3.8796}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K_C:\Omega_{ST}\times\Omega_{ST}\rightarrow[0,1]</w:t>
      </w:r>
    </w:p>
    <w:p w:rsidR="008530F8" w:rsidRDefault="008530F8" w:rsidP="008530F8">
      <w:pPr>
        <w:pStyle w:val="StandardWeb"/>
      </w:pPr>
      <w:r>
        <w:t>die zwei zulässigen Raum-Zeit-Zuständen einen normierten funktionalen Kohärenzwert zuordnet.</w:t>
      </w:r>
    </w:p>
    <w:p w:rsidR="008530F8" w:rsidRDefault="00E50336" w:rsidP="008530F8">
      <w:r>
        <w:pict>
          <v:rect id="_x0000_i2416" style="width:0;height:1.5pt" o:hralign="center" o:hrstd="t" o:hr="t" fillcolor="#a0a0a0" stroked="f"/>
        </w:pict>
      </w:r>
    </w:p>
    <w:p w:rsidR="008530F8" w:rsidRDefault="008530F8" w:rsidP="008530F8">
      <w:pPr>
        <w:pStyle w:val="berschrift1"/>
      </w:pPr>
      <w:r>
        <w:lastRenderedPageBreak/>
        <w:t>3.3.43.170 Kernsymmetrie</w:t>
      </w:r>
    </w:p>
    <w:p w:rsidR="008530F8" w:rsidRDefault="008530F8" w:rsidP="008530F8">
      <w:pPr>
        <w:pStyle w:val="StandardWeb"/>
      </w:pPr>
      <w:r>
        <w:t>Für eine symmetrische Kohärenzrelation kann gelten</w:t>
      </w:r>
    </w:p>
    <w:p w:rsidR="008530F8" w:rsidRDefault="008530F8" w:rsidP="008530F8">
      <w:pPr>
        <w:pStyle w:val="berschrift1"/>
      </w:pPr>
      <w:r>
        <w:t>[</w:t>
      </w:r>
      <w:r>
        <w:br/>
        <w:t>K_C(a,b)</w:t>
      </w:r>
    </w:p>
    <w:p w:rsidR="008530F8" w:rsidRDefault="008530F8" w:rsidP="008530F8">
      <w:pPr>
        <w:pStyle w:val="StandardWeb"/>
      </w:pPr>
      <w:r>
        <w:t>K_C(b,a).</w:t>
      </w:r>
      <w:r>
        <w:br/>
        <w:t>\tag{3.8797}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K_C(a,b)=K_C(b,a)</w:t>
      </w:r>
    </w:p>
    <w:p w:rsidR="008530F8" w:rsidRDefault="008530F8" w:rsidP="008530F8">
      <w:pPr>
        <w:pStyle w:val="StandardWeb"/>
      </w:pPr>
      <w:r>
        <w:t>Bei gerichteter Kohärenz gilt diese Symmetrie nicht notwendig.</w:t>
      </w:r>
    </w:p>
    <w:p w:rsidR="008530F8" w:rsidRDefault="00E50336" w:rsidP="008530F8">
      <w:r>
        <w:pict>
          <v:rect id="_x0000_i2417" style="width:0;height:1.5pt" o:hralign="center" o:hrstd="t" o:hr="t" fillcolor="#a0a0a0" stroked="f"/>
        </w:pict>
      </w:r>
    </w:p>
    <w:p w:rsidR="008530F8" w:rsidRDefault="008530F8" w:rsidP="008530F8">
      <w:pPr>
        <w:pStyle w:val="berschrift1"/>
      </w:pPr>
      <w:r>
        <w:t>3.3.43.171 Gerichteter Raum-Zeit-Kohärenzkern</w:t>
      </w:r>
    </w:p>
    <w:p w:rsidR="008530F8" w:rsidRDefault="008530F8" w:rsidP="008530F8">
      <w:pPr>
        <w:pStyle w:val="StandardWeb"/>
      </w:pPr>
      <w:r>
        <w:t>Für gerichtete Beziehungen definiere ich</w:t>
      </w:r>
    </w:p>
    <w:p w:rsidR="008530F8" w:rsidRDefault="008530F8" w:rsidP="008530F8">
      <w:pPr>
        <w:pStyle w:val="StandardWeb"/>
      </w:pPr>
      <w:r>
        <w:t>[</w:t>
      </w:r>
      <w:r>
        <w:br/>
        <w:t>K_C^{\rightarrow}</w:t>
      </w:r>
      <w:r>
        <w:br/>
        <w:t>:</w:t>
      </w:r>
      <w:r>
        <w:br/>
        <w:t>\Omega_{ST}\times\Omega_{ST}</w:t>
      </w:r>
      <w:r>
        <w:br/>
        <w:t>\rightarrow</w:t>
      </w:r>
      <w:r>
        <w:br/>
        <w:t>[0,1].</w:t>
      </w:r>
      <w:r>
        <w:br/>
        <w:t>\tag{3.8798}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K_C^{\rightarrow}:\Omega_{ST}\times\Omega_{ST}\rightarrow[0,1]</w:t>
      </w:r>
    </w:p>
    <w:p w:rsidR="008530F8" w:rsidRDefault="008530F8" w:rsidP="008530F8">
      <w:pPr>
        <w:pStyle w:val="StandardWeb"/>
      </w:pPr>
      <w:r>
        <w:t>Dabei kann gelten</w:t>
      </w:r>
    </w:p>
    <w:p w:rsidR="008530F8" w:rsidRDefault="008530F8" w:rsidP="008530F8">
      <w:pPr>
        <w:pStyle w:val="StandardWeb"/>
      </w:pPr>
      <w:r>
        <w:t>[</w:t>
      </w:r>
      <w:r>
        <w:br/>
        <w:t>K_C^{\rightarrow}(a,b)</w:t>
      </w:r>
      <w:r>
        <w:br/>
        <w:t>\neq</w:t>
      </w:r>
      <w:r>
        <w:br/>
        <w:t>K_C^{\rightarrow}(b,a).</w:t>
      </w:r>
      <w:r>
        <w:br/>
        <w:t>\tag{3.8799}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K_C^{\rightarrow}(a,b)\neq K_C^{\rightarrow}(b,a)</w:t>
      </w:r>
    </w:p>
    <w:p w:rsidR="008530F8" w:rsidRDefault="00E50336" w:rsidP="008530F8">
      <w:r>
        <w:pict>
          <v:rect id="_x0000_i2418" style="width:0;height:1.5pt" o:hralign="center" o:hrstd="t" o:hr="t" fillcolor="#a0a0a0" stroked="f"/>
        </w:pict>
      </w:r>
    </w:p>
    <w:p w:rsidR="008530F8" w:rsidRDefault="008530F8" w:rsidP="008530F8">
      <w:pPr>
        <w:pStyle w:val="berschrift1"/>
      </w:pPr>
      <w:r>
        <w:lastRenderedPageBreak/>
        <w:t>3.3.43.172 Zeitgerichtete Kohärenz</w:t>
      </w:r>
    </w:p>
    <w:p w:rsidR="008530F8" w:rsidRDefault="008530F8" w:rsidP="008530F8">
      <w:pPr>
        <w:pStyle w:val="StandardWeb"/>
      </w:pPr>
      <w:r>
        <w:t>Für (t_j&gt;t_i) kann ich schreiben</w:t>
      </w:r>
    </w:p>
    <w:p w:rsidR="008530F8" w:rsidRDefault="008530F8" w:rsidP="008530F8">
      <w:pPr>
        <w:pStyle w:val="StandardWeb"/>
      </w:pPr>
      <w:r>
        <w:t>[</w:t>
      </w:r>
      <w:r>
        <w:br/>
        <w:t>K_C^{+}</w:t>
      </w:r>
      <w:r>
        <w:br/>
        <w:t>\left(</w:t>
      </w:r>
      <w:r>
        <w:br/>
        <w:t>x_i,t_i;</w:t>
      </w:r>
      <w:r>
        <w:br/>
        <w:t>x_j,t_j</w:t>
      </w:r>
      <w:r>
        <w:br/>
        <w:t>\right).</w:t>
      </w:r>
      <w:r>
        <w:br/>
        <w:t>\tag{3.8800}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K_C^{+}\left(x_i,t_i;x_j,t_j\right)</w:t>
      </w:r>
    </w:p>
    <w:p w:rsidR="008530F8" w:rsidRDefault="008530F8" w:rsidP="008530F8">
      <w:pPr>
        <w:pStyle w:val="StandardWeb"/>
      </w:pPr>
      <w:r>
        <w:t>Diese Größe beschreibt eine vorwärtsgerichtete zeitliche Kohärenz.</w:t>
      </w:r>
    </w:p>
    <w:p w:rsidR="008530F8" w:rsidRDefault="00E50336" w:rsidP="008530F8">
      <w:r>
        <w:pict>
          <v:rect id="_x0000_i2419" style="width:0;height:1.5pt" o:hralign="center" o:hrstd="t" o:hr="t" fillcolor="#a0a0a0" stroked="f"/>
        </w:pict>
      </w:r>
    </w:p>
    <w:p w:rsidR="008530F8" w:rsidRDefault="008530F8" w:rsidP="008530F8">
      <w:pPr>
        <w:pStyle w:val="berschrift1"/>
      </w:pPr>
      <w:r>
        <w:t>3.3.43.173 Keine automatische Kausalität</w:t>
      </w:r>
    </w:p>
    <w:p w:rsidR="008530F8" w:rsidRDefault="008530F8" w:rsidP="008530F8">
      <w:pPr>
        <w:pStyle w:val="StandardWeb"/>
      </w:pPr>
      <w:r>
        <w:t>Eine zeitgerichtete Kohärenz impliziert noch keine Kausalität.</w:t>
      </w:r>
    </w:p>
    <w:p w:rsidR="008530F8" w:rsidRDefault="008530F8" w:rsidP="008530F8">
      <w:pPr>
        <w:pStyle w:val="StandardWeb"/>
      </w:pPr>
      <w:r>
        <w:t>Es gilt</w:t>
      </w:r>
    </w:p>
    <w:p w:rsidR="008530F8" w:rsidRDefault="008530F8" w:rsidP="008530F8">
      <w:pPr>
        <w:pStyle w:val="StandardWeb"/>
      </w:pPr>
      <w:r>
        <w:t>[</w:t>
      </w:r>
      <w:r>
        <w:br/>
        <w:t>K_C^{+}&gt;0</w:t>
      </w:r>
      <w:r>
        <w:br/>
        <w:t>\nRightarrow</w:t>
      </w:r>
      <w:r>
        <w:br/>
        <w:t>X_i</w:t>
      </w:r>
      <w:r>
        <w:br/>
        <w:t>\text{ verursacht }</w:t>
      </w:r>
      <w:r>
        <w:br/>
        <w:t>X_j.</w:t>
      </w:r>
      <w:r>
        <w:br/>
        <w:t>\tag{3.8801}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K_C^{+}&gt;0\nRightarrow X_i\text{ verursacht }X_j</w:t>
      </w:r>
    </w:p>
    <w:p w:rsidR="008530F8" w:rsidRDefault="008530F8" w:rsidP="008530F8">
      <w:pPr>
        <w:pStyle w:val="StandardWeb"/>
      </w:pPr>
      <w:r>
        <w:t>Damit bleibt die Unterscheidung zwischen funktionaler Kohärenz und Kausalrelation erhalten.</w:t>
      </w:r>
    </w:p>
    <w:p w:rsidR="008530F8" w:rsidRDefault="00E50336" w:rsidP="008530F8">
      <w:r>
        <w:pict>
          <v:rect id="_x0000_i2420" style="width:0;height:1.5pt" o:hralign="center" o:hrstd="t" o:hr="t" fillcolor="#a0a0a0" stroked="f"/>
        </w:pict>
      </w:r>
    </w:p>
    <w:p w:rsidR="008530F8" w:rsidRDefault="008530F8" w:rsidP="008530F8">
      <w:pPr>
        <w:pStyle w:val="berschrift1"/>
      </w:pPr>
      <w:r>
        <w:t>3.3.43.174 Kausalkohärenz als Spezialfall</w:t>
      </w:r>
    </w:p>
    <w:p w:rsidR="008530F8" w:rsidRDefault="008530F8" w:rsidP="008530F8">
      <w:pPr>
        <w:pStyle w:val="StandardWeb"/>
      </w:pPr>
      <w:r>
        <w:t>Falls zusätzlich eine unabhängig begründete Kausalrelation</w:t>
      </w:r>
    </w:p>
    <w:p w:rsidR="008530F8" w:rsidRDefault="008530F8" w:rsidP="008530F8">
      <w:pPr>
        <w:pStyle w:val="StandardWeb"/>
      </w:pPr>
      <w:r>
        <w:lastRenderedPageBreak/>
        <w:t>[</w:t>
      </w:r>
      <w:r>
        <w:br/>
        <w:t>X_i</w:t>
      </w:r>
      <w:r>
        <w:br/>
        <w:t>\rightarrow_{\mathrm{causal}}</w:t>
      </w:r>
      <w:r>
        <w:br/>
        <w:t>X_j</w:t>
      </w:r>
      <w:r>
        <w:br/>
        <w:t>\tag{3.8802}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X_i\rightarrow_{\mathrm{causal}}X_j</w:t>
      </w:r>
    </w:p>
    <w:p w:rsidR="008530F8" w:rsidRDefault="008530F8" w:rsidP="008530F8">
      <w:pPr>
        <w:pStyle w:val="StandardWeb"/>
      </w:pPr>
      <w:r>
        <w:t>vorliegt, kann eine spezielle Kausalkohärenz</w:t>
      </w:r>
    </w:p>
    <w:p w:rsidR="008530F8" w:rsidRDefault="008530F8" w:rsidP="008530F8">
      <w:pPr>
        <w:pStyle w:val="StandardWeb"/>
      </w:pPr>
      <w:r>
        <w:t>[</w:t>
      </w:r>
      <w:r>
        <w:br/>
        <w:t>C_C^{\mathrm{causal}}</w:t>
      </w:r>
      <w:r>
        <w:br/>
        <w:t>(X_i,X_j)</w:t>
      </w:r>
      <w:r>
        <w:br/>
        <w:t>\tag{3.8803}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C_C^{\mathrm{causal}}(X_i,X_j)</w:t>
      </w:r>
    </w:p>
    <w:p w:rsidR="008530F8" w:rsidRDefault="008530F8" w:rsidP="008530F8">
      <w:pPr>
        <w:pStyle w:val="StandardWeb"/>
      </w:pPr>
      <w:r>
        <w:t>definiert werden.</w:t>
      </w:r>
    </w:p>
    <w:p w:rsidR="008530F8" w:rsidRDefault="00E50336" w:rsidP="008530F8">
      <w:r>
        <w:pict>
          <v:rect id="_x0000_i2421" style="width:0;height:1.5pt" o:hralign="center" o:hrstd="t" o:hr="t" fillcolor="#a0a0a0" stroked="f"/>
        </w:pict>
      </w:r>
    </w:p>
    <w:p w:rsidR="008530F8" w:rsidRDefault="008530F8" w:rsidP="008530F8">
      <w:pPr>
        <w:pStyle w:val="berschrift1"/>
      </w:pPr>
      <w:r>
        <w:t>3.3.43.175 Kohärenzzeit</w:t>
      </w:r>
    </w:p>
    <w:p w:rsidR="008530F8" w:rsidRDefault="008530F8" w:rsidP="008530F8">
      <w:pPr>
        <w:pStyle w:val="StandardWeb"/>
      </w:pPr>
      <w:r>
        <w:t>Analog zur Kohärenzlänge definiere ich eine Kohärenzzeit</w:t>
      </w:r>
    </w:p>
    <w:p w:rsidR="008530F8" w:rsidRDefault="008530F8" w:rsidP="008530F8">
      <w:pPr>
        <w:pStyle w:val="berschrift1"/>
      </w:pPr>
      <w:r>
        <w:t>[</w:t>
      </w:r>
      <w:r>
        <w:br/>
        <w:t>T_C^{\ast}</w:t>
      </w:r>
    </w:p>
    <w:p w:rsidR="008530F8" w:rsidRDefault="008530F8" w:rsidP="008530F8">
      <w:pPr>
        <w:pStyle w:val="StandardWeb"/>
      </w:pPr>
      <w:r>
        <w:t>\sup</w:t>
      </w:r>
      <w:r>
        <w:br/>
        <w:t>\left{</w:t>
      </w:r>
      <w:r>
        <w:br/>
        <w:t>\tau:</w:t>
      </w:r>
      <w:r>
        <w:br/>
        <w:t>C_F</w:t>
      </w:r>
      <w:r>
        <w:br/>
        <w:t>\left(</w:t>
      </w:r>
      <w:r>
        <w:br/>
        <w:t>X(t),</w:t>
      </w:r>
      <w:r>
        <w:br/>
        <w:t>X(t+\tau)</w:t>
      </w:r>
      <w:r>
        <w:br/>
        <w:t>\right)</w:t>
      </w:r>
      <w:r>
        <w:br/>
        <w:t>\geq</w:t>
      </w:r>
      <w:r>
        <w:br/>
        <w:t>\tau_C</w:t>
      </w:r>
      <w:r>
        <w:br/>
        <w:t>\right}.</w:t>
      </w:r>
      <w:r>
        <w:br/>
        <w:t>\tag{3.8804}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lastRenderedPageBreak/>
        <w:t>T_C^{\ast}=\sup\left\{\tau:C_F\left(X(t),X(t+\tau)\right)\geq\tau_C\right\}</w:t>
      </w:r>
    </w:p>
    <w:p w:rsidR="008530F8" w:rsidRDefault="00E50336" w:rsidP="008530F8">
      <w:r>
        <w:pict>
          <v:rect id="_x0000_i2422" style="width:0;height:1.5pt" o:hralign="center" o:hrstd="t" o:hr="t" fillcolor="#a0a0a0" stroked="f"/>
        </w:pict>
      </w:r>
    </w:p>
    <w:p w:rsidR="008530F8" w:rsidRDefault="008530F8" w:rsidP="008530F8">
      <w:pPr>
        <w:pStyle w:val="berschrift1"/>
      </w:pPr>
      <w:r>
        <w:t>3.3.43.176 Raum-Zeit-Kohärenzbereich</w:t>
      </w:r>
    </w:p>
    <w:p w:rsidR="008530F8" w:rsidRDefault="008530F8" w:rsidP="008530F8">
      <w:pPr>
        <w:pStyle w:val="StandardWeb"/>
      </w:pPr>
      <w:r>
        <w:t>Ich definiere</w:t>
      </w:r>
    </w:p>
    <w:p w:rsidR="008530F8" w:rsidRDefault="008530F8" w:rsidP="008530F8">
      <w:pPr>
        <w:pStyle w:val="berschrift1"/>
      </w:pPr>
      <w:r>
        <w:t>[</w:t>
      </w:r>
      <w:r>
        <w:br/>
        <w:t>\Omega_C^{ST}</w:t>
      </w:r>
    </w:p>
    <w:p w:rsidR="008530F8" w:rsidRDefault="008530F8" w:rsidP="008530F8">
      <w:pPr>
        <w:pStyle w:val="StandardWeb"/>
      </w:pPr>
      <w:r>
        <w:t>\left{</w:t>
      </w:r>
      <w:r>
        <w:br/>
        <w:t>(\Delta x,\Delta t):</w:t>
      </w:r>
      <w:r>
        <w:br/>
        <w:t>K_C(\Delta x,\Delta t)</w:t>
      </w:r>
      <w:r>
        <w:br/>
        <w:t>\geq</w:t>
      </w:r>
      <w:r>
        <w:br/>
        <w:t>\tau_C</w:t>
      </w:r>
      <w:r>
        <w:br/>
        <w:t>\right}.</w:t>
      </w:r>
      <w:r>
        <w:br/>
        <w:t>\tag{3.8805}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\Omega_C^{ST}=\left\{(\Delta x,\Delta t):K_C(\Delta x,\Delta t)\geq\tau_C\right\}</w:t>
      </w:r>
    </w:p>
    <w:p w:rsidR="008530F8" w:rsidRDefault="008530F8" w:rsidP="008530F8">
      <w:pPr>
        <w:pStyle w:val="StandardWeb"/>
      </w:pPr>
      <w:r>
        <w:t>Damit wird Kohärenz nicht getrennt nur räumlich oder zeitlich, sondern in einem gemeinsamen Differenzraum betrachtet.</w:t>
      </w:r>
    </w:p>
    <w:p w:rsidR="008530F8" w:rsidRDefault="00E50336" w:rsidP="008530F8">
      <w:r>
        <w:pict>
          <v:rect id="_x0000_i2423" style="width:0;height:1.5pt" o:hralign="center" o:hrstd="t" o:hr="t" fillcolor="#a0a0a0" stroked="f"/>
        </w:pict>
      </w:r>
    </w:p>
    <w:p w:rsidR="008530F8" w:rsidRDefault="008530F8" w:rsidP="008530F8">
      <w:pPr>
        <w:pStyle w:val="berschrift1"/>
      </w:pPr>
      <w:r>
        <w:t>3.3.43.177 Rand der Raum-Zeit-Kohärenz</w:t>
      </w:r>
    </w:p>
    <w:p w:rsidR="008530F8" w:rsidRDefault="008530F8" w:rsidP="008530F8">
      <w:pPr>
        <w:pStyle w:val="StandardWeb"/>
      </w:pPr>
      <w:r>
        <w:t>Die Grenze dieses Bereichs lautet</w:t>
      </w:r>
    </w:p>
    <w:p w:rsidR="008530F8" w:rsidRDefault="008530F8" w:rsidP="008530F8">
      <w:pPr>
        <w:pStyle w:val="StandardWeb"/>
      </w:pPr>
      <w:r>
        <w:t>[</w:t>
      </w:r>
      <w:r>
        <w:br/>
        <w:t>\partial\Omega_C^{ST}.</w:t>
      </w:r>
      <w:r>
        <w:br/>
        <w:t>\tag{3.8806}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\partial\Omega_C^{ST}</w:t>
      </w:r>
    </w:p>
    <w:p w:rsidR="008530F8" w:rsidRDefault="008530F8" w:rsidP="008530F8">
      <w:pPr>
        <w:pStyle w:val="StandardWeb"/>
      </w:pPr>
      <w:r>
        <w:t>Ein aktueller Zustand kann entsprechend eine Raum-Zeit-Kohärenzreserve besitzen.</w:t>
      </w:r>
    </w:p>
    <w:p w:rsidR="008530F8" w:rsidRDefault="00E50336" w:rsidP="008530F8">
      <w:r>
        <w:pict>
          <v:rect id="_x0000_i2424" style="width:0;height:1.5pt" o:hralign="center" o:hrstd="t" o:hr="t" fillcolor="#a0a0a0" stroked="f"/>
        </w:pict>
      </w:r>
    </w:p>
    <w:p w:rsidR="008530F8" w:rsidRDefault="008530F8" w:rsidP="008530F8">
      <w:pPr>
        <w:pStyle w:val="berschrift1"/>
      </w:pPr>
      <w:r>
        <w:t>3.3.43.178 Raum-Zeit-Kohärenzreserve</w:t>
      </w:r>
    </w:p>
    <w:p w:rsidR="008530F8" w:rsidRDefault="008530F8" w:rsidP="008530F8">
      <w:pPr>
        <w:pStyle w:val="StandardWeb"/>
      </w:pPr>
      <w:r>
        <w:t>Ich definiere</w:t>
      </w:r>
    </w:p>
    <w:p w:rsidR="008530F8" w:rsidRDefault="008530F8" w:rsidP="008530F8">
      <w:pPr>
        <w:pStyle w:val="berschrift1"/>
      </w:pPr>
      <w:r>
        <w:lastRenderedPageBreak/>
        <w:t>[</w:t>
      </w:r>
      <w:r>
        <w:br/>
        <w:t>M_C^{ST}</w:t>
      </w:r>
    </w:p>
    <w:p w:rsidR="008530F8" w:rsidRDefault="008530F8" w:rsidP="008530F8">
      <w:pPr>
        <w:pStyle w:val="StandardWeb"/>
      </w:pPr>
      <w:r>
        <w:t>d_{ST}</w:t>
      </w:r>
      <w:r>
        <w:br/>
        <w:t>\left(</w:t>
      </w:r>
      <w:r>
        <w:br/>
        <w:t>z,</w:t>
      </w:r>
      <w:r>
        <w:br/>
        <w:t>\partial\Omega_C^{ST}</w:t>
      </w:r>
      <w:r>
        <w:br/>
        <w:t>\right).</w:t>
      </w:r>
      <w:r>
        <w:br/>
        <w:t>\tag{3.8807}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M_C^{ST}=d_{ST}\left(z,\partial\Omega_C^{ST}\right)</w:t>
      </w:r>
    </w:p>
    <w:p w:rsidR="008530F8" w:rsidRDefault="008530F8" w:rsidP="008530F8">
      <w:pPr>
        <w:pStyle w:val="StandardWeb"/>
      </w:pPr>
      <w:r>
        <w:t>Die konkrete Bedeutung hängt von der später festgelegten Raum-Zeit-Metrik ab.</w:t>
      </w:r>
    </w:p>
    <w:p w:rsidR="008530F8" w:rsidRDefault="00E50336" w:rsidP="008530F8">
      <w:r>
        <w:pict>
          <v:rect id="_x0000_i2425" style="width:0;height:1.5pt" o:hralign="center" o:hrstd="t" o:hr="t" fillcolor="#a0a0a0" stroked="f"/>
        </w:pict>
      </w:r>
    </w:p>
    <w:p w:rsidR="008530F8" w:rsidRDefault="008530F8" w:rsidP="008530F8">
      <w:pPr>
        <w:pStyle w:val="berschrift1"/>
      </w:pPr>
      <w:r>
        <w:t>3.3.43.179 Kohärenzfront</w:t>
      </w:r>
    </w:p>
    <w:p w:rsidR="008530F8" w:rsidRDefault="008530F8" w:rsidP="008530F8">
      <w:pPr>
        <w:pStyle w:val="StandardWeb"/>
      </w:pPr>
      <w:r>
        <w:t>Eine Grenzfläche zwischen kohärenten und nicht kohärenten Bereichen kann durch</w:t>
      </w:r>
    </w:p>
    <w:p w:rsidR="008530F8" w:rsidRDefault="008530F8" w:rsidP="008530F8">
      <w:pPr>
        <w:pStyle w:val="berschrift1"/>
      </w:pPr>
      <w:r>
        <w:t>[</w:t>
      </w:r>
      <w:r>
        <w:br/>
        <w:t>\Gamma_C(t)</w:t>
      </w:r>
    </w:p>
    <w:p w:rsidR="008530F8" w:rsidRDefault="008530F8" w:rsidP="008530F8">
      <w:pPr>
        <w:pStyle w:val="StandardWeb"/>
      </w:pPr>
      <w:r>
        <w:t>\left{</w:t>
      </w:r>
      <w:r>
        <w:br/>
        <w:t>x:</w:t>
      </w:r>
      <w:r>
        <w:br/>
        <w:t>C(x,t)=\tau_C</w:t>
      </w:r>
      <w:r>
        <w:br/>
        <w:t>\right}</w:t>
      </w:r>
      <w:r>
        <w:br/>
        <w:t>\tag{3.8808}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\Gamma_C(t)=\left\{x:C(x,t)=\tau_C\right\}</w:t>
      </w:r>
    </w:p>
    <w:p w:rsidR="008530F8" w:rsidRDefault="008530F8" w:rsidP="008530F8">
      <w:pPr>
        <w:pStyle w:val="StandardWeb"/>
      </w:pPr>
      <w:r>
        <w:t>beschrieben werden.</w:t>
      </w:r>
    </w:p>
    <w:p w:rsidR="008530F8" w:rsidRDefault="00E50336" w:rsidP="008530F8">
      <w:r>
        <w:pict>
          <v:rect id="_x0000_i2426" style="width:0;height:1.5pt" o:hralign="center" o:hrstd="t" o:hr="t" fillcolor="#a0a0a0" stroked="f"/>
        </w:pict>
      </w:r>
    </w:p>
    <w:p w:rsidR="008530F8" w:rsidRDefault="008530F8" w:rsidP="008530F8">
      <w:pPr>
        <w:pStyle w:val="berschrift1"/>
      </w:pPr>
      <w:r>
        <w:t>3.3.43.180 Geschwindigkeit einer Kohärenzfront</w:t>
      </w:r>
    </w:p>
    <w:p w:rsidR="008530F8" w:rsidRDefault="008530F8" w:rsidP="008530F8">
      <w:pPr>
        <w:pStyle w:val="StandardWeb"/>
      </w:pPr>
      <w:r>
        <w:t>Falls sich diese Grenzfläche bewegt, kann eine Frontgeschwindigkeit</w:t>
      </w:r>
    </w:p>
    <w:p w:rsidR="008530F8" w:rsidRDefault="008530F8" w:rsidP="008530F8">
      <w:pPr>
        <w:pStyle w:val="berschrift1"/>
      </w:pPr>
      <w:r>
        <w:lastRenderedPageBreak/>
        <w:t>[</w:t>
      </w:r>
      <w:r>
        <w:br/>
        <w:t>v_C</w:t>
      </w:r>
    </w:p>
    <w:p w:rsidR="008530F8" w:rsidRDefault="008530F8" w:rsidP="008530F8">
      <w:pPr>
        <w:pStyle w:val="StandardWeb"/>
      </w:pPr>
      <w:r>
        <w:t>\frac{d\Gamma_C}{dt}</w:t>
      </w:r>
      <w:r>
        <w:br/>
        <w:t>\tag{3.8809}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v_C=\frac{d\Gamma_C}{dt}</w:t>
      </w:r>
    </w:p>
    <w:p w:rsidR="008530F8" w:rsidRDefault="008530F8" w:rsidP="008530F8">
      <w:pPr>
        <w:pStyle w:val="StandardWeb"/>
      </w:pPr>
      <w:r>
        <w:t>formal eingeführt werden.</w:t>
      </w:r>
    </w:p>
    <w:p w:rsidR="008530F8" w:rsidRDefault="008530F8" w:rsidP="008530F8">
      <w:pPr>
        <w:pStyle w:val="StandardWeb"/>
      </w:pPr>
      <w:r>
        <w:t>Dies ist zunächst eine Modellgröße und keine Behauptung über eine fundamentale physikalische Signalgeschwindigkeit.</w:t>
      </w:r>
    </w:p>
    <w:p w:rsidR="008530F8" w:rsidRDefault="00E50336" w:rsidP="008530F8">
      <w:r>
        <w:pict>
          <v:rect id="_x0000_i2427" style="width:0;height:1.5pt" o:hralign="center" o:hrstd="t" o:hr="t" fillcolor="#a0a0a0" stroked="f"/>
        </w:pict>
      </w:r>
    </w:p>
    <w:p w:rsidR="008530F8" w:rsidRDefault="008530F8" w:rsidP="008530F8">
      <w:pPr>
        <w:pStyle w:val="berschrift1"/>
      </w:pPr>
      <w:r>
        <w:t>3.3.43.181 Keine Gleichsetzung mit Lichtgeschwindigkeit</w:t>
      </w:r>
    </w:p>
    <w:p w:rsidR="008530F8" w:rsidRDefault="008530F8" w:rsidP="008530F8">
      <w:pPr>
        <w:pStyle w:val="StandardWeb"/>
      </w:pPr>
      <w:r>
        <w:t>Insbesondere gilt nicht automatisch</w:t>
      </w:r>
    </w:p>
    <w:p w:rsidR="008530F8" w:rsidRDefault="008530F8" w:rsidP="008530F8">
      <w:pPr>
        <w:pStyle w:val="StandardWeb"/>
      </w:pPr>
      <w:r>
        <w:t>[</w:t>
      </w:r>
      <w:r>
        <w:br/>
        <w:t>v_C=c.</w:t>
      </w:r>
      <w:r>
        <w:br/>
        <w:t>\tag{3.8810}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v_C=c</w:t>
      </w:r>
    </w:p>
    <w:p w:rsidR="008530F8" w:rsidRDefault="008530F8" w:rsidP="008530F8">
      <w:pPr>
        <w:pStyle w:val="StandardWeb"/>
      </w:pPr>
      <w:r>
        <w:t>Eine solche Beziehung dürfte erst dann angenommen werden, wenn sie aus einer späteren physikalischen FRZK-Struktur oder empirisch folgt.</w:t>
      </w:r>
    </w:p>
    <w:p w:rsidR="008530F8" w:rsidRDefault="00E50336" w:rsidP="008530F8">
      <w:r>
        <w:pict>
          <v:rect id="_x0000_i2428" style="width:0;height:1.5pt" o:hralign="center" o:hrstd="t" o:hr="t" fillcolor="#a0a0a0" stroked="f"/>
        </w:pict>
      </w:r>
    </w:p>
    <w:p w:rsidR="008530F8" w:rsidRDefault="008530F8" w:rsidP="008530F8">
      <w:pPr>
        <w:pStyle w:val="berschrift1"/>
      </w:pPr>
      <w:r>
        <w:t>3.3.43.182 Kohärenzausbreitung</w:t>
      </w:r>
    </w:p>
    <w:p w:rsidR="008530F8" w:rsidRDefault="008530F8" w:rsidP="008530F8">
      <w:pPr>
        <w:pStyle w:val="StandardWeb"/>
      </w:pPr>
      <w:r>
        <w:t>Allgemein kann eine Ausbreitung beschrieben werden durch</w:t>
      </w:r>
    </w:p>
    <w:p w:rsidR="008530F8" w:rsidRDefault="008530F8" w:rsidP="008530F8">
      <w:pPr>
        <w:pStyle w:val="StandardWeb"/>
      </w:pPr>
      <w:r>
        <w:t>[</w:t>
      </w:r>
      <w:r>
        <w:br/>
        <w:t>C(x,t)</w:t>
      </w:r>
      <w:r>
        <w:br/>
        <w:t>\rightarrow</w:t>
      </w:r>
      <w:r>
        <w:br/>
        <w:t>C(x+\Delta x,t+\Delta t).</w:t>
      </w:r>
      <w:r>
        <w:br/>
        <w:t>\tag{3.8811}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lastRenderedPageBreak/>
        <w:t>C(x,t)\rightarrow C(x+\Delta x,t+\Delta t)</w:t>
      </w:r>
    </w:p>
    <w:p w:rsidR="008530F8" w:rsidRDefault="008530F8" w:rsidP="008530F8">
      <w:pPr>
        <w:pStyle w:val="StandardWeb"/>
      </w:pPr>
      <w:r>
        <w:t>Die bloße Beobachtung einer solchen Veränderung sagt noch nicht, wodurch sie verursacht wurde.</w:t>
      </w:r>
    </w:p>
    <w:p w:rsidR="008530F8" w:rsidRDefault="00E50336" w:rsidP="008530F8">
      <w:r>
        <w:pict>
          <v:rect id="_x0000_i2429" style="width:0;height:1.5pt" o:hralign="center" o:hrstd="t" o:hr="t" fillcolor="#a0a0a0" stroked="f"/>
        </w:pict>
      </w:r>
    </w:p>
    <w:p w:rsidR="008530F8" w:rsidRDefault="008530F8" w:rsidP="008530F8">
      <w:pPr>
        <w:pStyle w:val="berschrift1"/>
      </w:pPr>
      <w:r>
        <w:t>3.3.43.183 Kohärenzpropagator</w:t>
      </w:r>
    </w:p>
    <w:p w:rsidR="008530F8" w:rsidRDefault="008530F8" w:rsidP="008530F8">
      <w:pPr>
        <w:pStyle w:val="StandardWeb"/>
      </w:pPr>
      <w:r>
        <w:t>Ich definiere abstrakt einen Propagator</w:t>
      </w:r>
    </w:p>
    <w:p w:rsidR="008530F8" w:rsidRDefault="008530F8" w:rsidP="008530F8">
      <w:pPr>
        <w:pStyle w:val="StandardWeb"/>
      </w:pPr>
      <w:r>
        <w:t>[</w:t>
      </w:r>
      <w:r>
        <w:br/>
        <w:t>\mathcal P_C</w:t>
      </w:r>
      <w:r>
        <w:br/>
        <w:t>\left(</w:t>
      </w:r>
      <w:r>
        <w:br/>
        <w:t>z_2,t_2</w:t>
      </w:r>
      <w:r>
        <w:br/>
        <w:t>\mid</w:t>
      </w:r>
      <w:r>
        <w:br/>
        <w:t>z_1,t_1</w:t>
      </w:r>
      <w:r>
        <w:br/>
        <w:t>\right).</w:t>
      </w:r>
      <w:r>
        <w:br/>
        <w:t>\tag{3.8812}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P_C\left(z_2,t_2\mid z_1,t_1\right)</w:t>
      </w:r>
    </w:p>
    <w:p w:rsidR="008530F8" w:rsidRDefault="008530F8" w:rsidP="008530F8">
      <w:pPr>
        <w:pStyle w:val="StandardWeb"/>
      </w:pPr>
      <w:r>
        <w:t>Dieser beschreibt, wie ein Kohärenzzustand unter der jeweiligen Modellannahme von einem Ausgangszustand zu einem späteren Zustand übergeht.</w:t>
      </w:r>
    </w:p>
    <w:p w:rsidR="008530F8" w:rsidRDefault="00E50336" w:rsidP="008530F8">
      <w:r>
        <w:pict>
          <v:rect id="_x0000_i2430" style="width:0;height:1.5pt" o:hralign="center" o:hrstd="t" o:hr="t" fillcolor="#a0a0a0" stroked="f"/>
        </w:pict>
      </w:r>
    </w:p>
    <w:p w:rsidR="008530F8" w:rsidRDefault="008530F8" w:rsidP="008530F8">
      <w:pPr>
        <w:pStyle w:val="berschrift1"/>
      </w:pPr>
      <w:r>
        <w:t>3.3.43.184 Deterministische Kohärenzpropagation</w:t>
      </w:r>
    </w:p>
    <w:p w:rsidR="008530F8" w:rsidRDefault="008530F8" w:rsidP="008530F8">
      <w:pPr>
        <w:pStyle w:val="StandardWeb"/>
      </w:pPr>
      <w:r>
        <w:t>Für einen deterministischen Operator (\Phi_C) gilt</w:t>
      </w:r>
    </w:p>
    <w:p w:rsidR="008530F8" w:rsidRDefault="008530F8" w:rsidP="008530F8">
      <w:pPr>
        <w:pStyle w:val="berschrift1"/>
      </w:pPr>
      <w:r>
        <w:t>[</w:t>
      </w:r>
      <w:r>
        <w:br/>
        <w:t>C(t_2)</w:t>
      </w:r>
    </w:p>
    <w:p w:rsidR="008530F8" w:rsidRDefault="008530F8" w:rsidP="008530F8">
      <w:pPr>
        <w:pStyle w:val="StandardWeb"/>
      </w:pPr>
      <w:r>
        <w:t>\Phi_C^{t_2-t_1}</w:t>
      </w:r>
      <w:r>
        <w:br/>
        <w:t>[C(t_1)].</w:t>
      </w:r>
      <w:r>
        <w:br/>
        <w:t>\tag{3.8813}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C(t_2)=\Phi_C^{t_2-t_1}[C(t_1)]</w:t>
      </w:r>
    </w:p>
    <w:p w:rsidR="008530F8" w:rsidRDefault="00E50336" w:rsidP="008530F8">
      <w:r>
        <w:pict>
          <v:rect id="_x0000_i2431" style="width:0;height:1.5pt" o:hralign="center" o:hrstd="t" o:hr="t" fillcolor="#a0a0a0" stroked="f"/>
        </w:pict>
      </w:r>
    </w:p>
    <w:p w:rsidR="008530F8" w:rsidRDefault="008530F8" w:rsidP="008530F8">
      <w:pPr>
        <w:pStyle w:val="berschrift1"/>
      </w:pPr>
      <w:r>
        <w:t>3.3.43.185 Stochastische Kohärenzpropagation</w:t>
      </w:r>
    </w:p>
    <w:p w:rsidR="008530F8" w:rsidRDefault="008530F8" w:rsidP="008530F8">
      <w:pPr>
        <w:pStyle w:val="StandardWeb"/>
      </w:pPr>
      <w:r>
        <w:lastRenderedPageBreak/>
        <w:t>Für stochastische Modelle kann dagegen eine Übergangswahrscheinlichkeit</w:t>
      </w:r>
    </w:p>
    <w:p w:rsidR="008530F8" w:rsidRDefault="008530F8" w:rsidP="008530F8">
      <w:pPr>
        <w:pStyle w:val="StandardWeb"/>
      </w:pPr>
      <w:r>
        <w:t>[</w:t>
      </w:r>
      <w:r>
        <w:br/>
        <w:t>P</w:t>
      </w:r>
      <w:r>
        <w:br/>
        <w:t>\left(</w:t>
      </w:r>
      <w:r>
        <w:br/>
        <w:t>C_{t+\Delta t}</w:t>
      </w:r>
      <w:r>
        <w:br/>
        <w:t>\mid</w:t>
      </w:r>
      <w:r>
        <w:br/>
        <w:t>C_t</w:t>
      </w:r>
      <w:r>
        <w:br/>
        <w:t>\right)</w:t>
      </w:r>
      <w:r>
        <w:br/>
        <w:t>\tag{3.8814}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P\left(C_{t+\Delta t}\mid C_t\right)</w:t>
      </w:r>
    </w:p>
    <w:p w:rsidR="008530F8" w:rsidRDefault="008530F8" w:rsidP="008530F8">
      <w:pPr>
        <w:pStyle w:val="StandardWeb"/>
      </w:pPr>
      <w:r>
        <w:t>verwendet werden.</w:t>
      </w:r>
    </w:p>
    <w:p w:rsidR="008530F8" w:rsidRDefault="00E50336" w:rsidP="008530F8">
      <w:r>
        <w:pict>
          <v:rect id="_x0000_i2432" style="width:0;height:1.5pt" o:hralign="center" o:hrstd="t" o:hr="t" fillcolor="#a0a0a0" stroked="f"/>
        </w:pict>
      </w:r>
    </w:p>
    <w:p w:rsidR="008530F8" w:rsidRDefault="008530F8" w:rsidP="008530F8">
      <w:pPr>
        <w:pStyle w:val="berschrift1"/>
      </w:pPr>
      <w:r>
        <w:t>3.3.43.186 Deterministisch versus stochastisch</w:t>
      </w:r>
    </w:p>
    <w:p w:rsidR="008530F8" w:rsidRDefault="008530F8" w:rsidP="008530F8">
      <w:pPr>
        <w:pStyle w:val="StandardWeb"/>
      </w:pPr>
      <w:r>
        <w:t>Ich setze nicht voraus,</w:t>
      </w:r>
    </w:p>
    <w:p w:rsidR="008530F8" w:rsidRDefault="008530F8" w:rsidP="008530F8">
      <w:pPr>
        <w:pStyle w:val="berschrift1"/>
      </w:pPr>
      <w:r>
        <w:t>[</w:t>
      </w:r>
      <w:r>
        <w:br/>
        <w:t>\text{FRZK-Kohärenzdynamik}</w:t>
      </w:r>
    </w:p>
    <w:p w:rsidR="008530F8" w:rsidRDefault="008530F8" w:rsidP="008530F8">
      <w:pPr>
        <w:pStyle w:val="StandardWeb"/>
      </w:pPr>
      <w:r>
        <w:t>\text{deterministisch}</w:t>
      </w:r>
      <w:r>
        <w:br/>
        <w:t>\tag{3.8815}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\text{FRZK-Kohärenzdynamik}=\text{deterministisch}</w:t>
      </w:r>
    </w:p>
    <w:p w:rsidR="008530F8" w:rsidRDefault="008530F8" w:rsidP="008530F8">
      <w:pPr>
        <w:pStyle w:val="StandardWeb"/>
      </w:pPr>
      <w:r>
        <w:t>und ebenso nicht</w:t>
      </w:r>
    </w:p>
    <w:p w:rsidR="008530F8" w:rsidRDefault="008530F8" w:rsidP="008530F8">
      <w:pPr>
        <w:pStyle w:val="berschrift1"/>
      </w:pPr>
      <w:r>
        <w:t>[</w:t>
      </w:r>
      <w:r>
        <w:br/>
        <w:t>\text{FRZK-Kohärenzdynamik}</w:t>
      </w:r>
    </w:p>
    <w:p w:rsidR="008530F8" w:rsidRDefault="008530F8" w:rsidP="008530F8">
      <w:pPr>
        <w:pStyle w:val="StandardWeb"/>
      </w:pPr>
      <w:r>
        <w:t>\text{stochastisch}.</w:t>
      </w:r>
      <w:r>
        <w:br/>
        <w:t>\tag{3.8816}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\text{FRZK-Kohärenzdynamik}=\text{stochastisch}</w:t>
      </w:r>
    </w:p>
    <w:p w:rsidR="008530F8" w:rsidRDefault="008530F8" w:rsidP="008530F8">
      <w:pPr>
        <w:pStyle w:val="StandardWeb"/>
      </w:pPr>
      <w:r>
        <w:lastRenderedPageBreak/>
        <w:t>Diese Frage bleibt einer späteren theoretischen beziehungsweise empirischen Spezifikation vorbehalten.</w:t>
      </w:r>
    </w:p>
    <w:p w:rsidR="008530F8" w:rsidRDefault="00E50336" w:rsidP="008530F8">
      <w:r>
        <w:pict>
          <v:rect id="_x0000_i2433" style="width:0;height:1.5pt" o:hralign="center" o:hrstd="t" o:hr="t" fillcolor="#a0a0a0" stroked="f"/>
        </w:pict>
      </w:r>
    </w:p>
    <w:p w:rsidR="008530F8" w:rsidRDefault="008530F8" w:rsidP="008530F8">
      <w:pPr>
        <w:pStyle w:val="berschrift1"/>
      </w:pPr>
      <w:r>
        <w:t>3.3.43.187 Kohärenzoperator</w:t>
      </w:r>
    </w:p>
    <w:p w:rsidR="008530F8" w:rsidRDefault="008530F8" w:rsidP="008530F8">
      <w:pPr>
        <w:pStyle w:val="StandardWeb"/>
      </w:pPr>
      <w:r>
        <w:t>Ich führe nun einen allgemeinen Operator</w:t>
      </w:r>
    </w:p>
    <w:p w:rsidR="008530F8" w:rsidRDefault="008530F8" w:rsidP="008530F8">
      <w:pPr>
        <w:pStyle w:val="StandardWeb"/>
      </w:pPr>
      <w:r>
        <w:t>[</w:t>
      </w:r>
      <w:r>
        <w:br/>
        <w:t>\mathfrak C</w:t>
      </w:r>
      <w:r>
        <w:br/>
        <w:t>\tag{3.8817}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\mathfrak C</w:t>
      </w:r>
    </w:p>
    <w:p w:rsidR="008530F8" w:rsidRDefault="008530F8" w:rsidP="008530F8">
      <w:pPr>
        <w:pStyle w:val="StandardWeb"/>
      </w:pPr>
      <w:r>
        <w:t>ein, der aus einer funktionalen Systemstruktur einen Kohärenzzustand erzeugt:</w:t>
      </w:r>
    </w:p>
    <w:p w:rsidR="008530F8" w:rsidRDefault="008530F8" w:rsidP="008530F8">
      <w:pPr>
        <w:pStyle w:val="StandardWeb"/>
      </w:pPr>
      <w:r>
        <w:t>[</w:t>
      </w:r>
      <w:r>
        <w:br/>
        <w:t>\mathfrak C:</w:t>
      </w:r>
      <w:r>
        <w:br/>
        <w:t>\mathcal S_F</w:t>
      </w:r>
      <w:r>
        <w:br/>
        <w:t>\rightarrow</w:t>
      </w:r>
      <w:r>
        <w:br/>
        <w:t>\Sigma_C.</w:t>
      </w:r>
      <w:r>
        <w:br/>
        <w:t>\tag{3.8818}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\mathfrak C:\mathcal S_F\rightarrow\Sigma_C</w:t>
      </w:r>
    </w:p>
    <w:p w:rsidR="008530F8" w:rsidRDefault="00E50336" w:rsidP="008530F8">
      <w:r>
        <w:pict>
          <v:rect id="_x0000_i2434" style="width:0;height:1.5pt" o:hralign="center" o:hrstd="t" o:hr="t" fillcolor="#a0a0a0" stroked="f"/>
        </w:pict>
      </w:r>
    </w:p>
    <w:p w:rsidR="008530F8" w:rsidRDefault="008530F8" w:rsidP="008530F8">
      <w:pPr>
        <w:pStyle w:val="berschrift1"/>
      </w:pPr>
      <w:r>
        <w:t>3.3.43.188 Definition 3.3.63 – Funktionaler Kohärenzoperator</w:t>
      </w:r>
    </w:p>
    <w:p w:rsidR="008530F8" w:rsidRDefault="008530F8" w:rsidP="008530F8">
      <w:pPr>
        <w:pStyle w:val="berschrift3"/>
      </w:pPr>
      <w:r>
        <w:t>Definition 3.3.63</w:t>
      </w:r>
    </w:p>
    <w:p w:rsidR="008530F8" w:rsidRDefault="008530F8" w:rsidP="008530F8">
      <w:pPr>
        <w:pStyle w:val="StandardWeb"/>
      </w:pPr>
      <w:r>
        <w:t xml:space="preserve">Der </w:t>
      </w:r>
      <w:r>
        <w:rPr>
          <w:rStyle w:val="Fett"/>
        </w:rPr>
        <w:t>funktionale Kohärenzoperator</w:t>
      </w:r>
    </w:p>
    <w:p w:rsidR="008530F8" w:rsidRDefault="008530F8" w:rsidP="008530F8">
      <w:pPr>
        <w:pStyle w:val="StandardWeb"/>
      </w:pPr>
      <w:r>
        <w:t>[</w:t>
      </w:r>
      <w:r>
        <w:br/>
        <w:t>\mathfrak C</w:t>
      </w:r>
      <w:r>
        <w:br/>
        <w:t>]</w:t>
      </w:r>
    </w:p>
    <w:p w:rsidR="008530F8" w:rsidRDefault="008530F8" w:rsidP="008530F8">
      <w:pPr>
        <w:pStyle w:val="StandardWeb"/>
      </w:pPr>
      <w:r>
        <w:t>ordnet einer zulässigen FRZK-Systemstruktur (\mathcal S_F) deren Kohärenzsignatur zu:</w:t>
      </w:r>
    </w:p>
    <w:p w:rsidR="008530F8" w:rsidRDefault="008530F8" w:rsidP="008530F8">
      <w:pPr>
        <w:pStyle w:val="berschrift1"/>
      </w:pPr>
      <w:r>
        <w:t>[</w:t>
      </w:r>
      <w:r>
        <w:br/>
        <w:t>\mathfrak C[\mathcal S_F]</w:t>
      </w:r>
    </w:p>
    <w:p w:rsidR="008530F8" w:rsidRDefault="008530F8" w:rsidP="008530F8">
      <w:pPr>
        <w:pStyle w:val="StandardWeb"/>
      </w:pPr>
      <w:r>
        <w:lastRenderedPageBreak/>
        <w:t>\Sigma_C.</w:t>
      </w:r>
      <w:r>
        <w:br/>
        <w:t>\tag{3.8819}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\mathfrak C[\mathcal S_F]=\Sigma_C</w:t>
      </w:r>
    </w:p>
    <w:p w:rsidR="008530F8" w:rsidRDefault="00E50336" w:rsidP="008530F8">
      <w:r>
        <w:pict>
          <v:rect id="_x0000_i2435" style="width:0;height:1.5pt" o:hralign="center" o:hrstd="t" o:hr="t" fillcolor="#a0a0a0" stroked="f"/>
        </w:pict>
      </w:r>
    </w:p>
    <w:p w:rsidR="008530F8" w:rsidRDefault="008530F8" w:rsidP="008530F8">
      <w:pPr>
        <w:pStyle w:val="berschrift1"/>
      </w:pPr>
      <w:r>
        <w:t>3.3.43.189 Kohärenzoperator ist kein Dynamikoperator</w:t>
      </w:r>
    </w:p>
    <w:p w:rsidR="008530F8" w:rsidRDefault="008530F8" w:rsidP="008530F8">
      <w:pPr>
        <w:pStyle w:val="StandardWeb"/>
      </w:pPr>
      <w:r>
        <w:t>Der Operator (\mathfrak C) bewertet eine Struktur.</w:t>
      </w:r>
    </w:p>
    <w:p w:rsidR="008530F8" w:rsidRDefault="008530F8" w:rsidP="008530F8">
      <w:pPr>
        <w:pStyle w:val="StandardWeb"/>
      </w:pPr>
      <w:r>
        <w:t>Er muss deshalb von einem Dynamikoperator</w:t>
      </w:r>
    </w:p>
    <w:p w:rsidR="008530F8" w:rsidRDefault="008530F8" w:rsidP="008530F8">
      <w:pPr>
        <w:pStyle w:val="StandardWeb"/>
      </w:pPr>
      <w:r>
        <w:t>[</w:t>
      </w:r>
      <w:r>
        <w:br/>
        <w:t>\mathcal D</w:t>
      </w:r>
      <w:r>
        <w:br/>
        <w:t>\tag{3.8820}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D</w:t>
      </w:r>
    </w:p>
    <w:p w:rsidR="008530F8" w:rsidRDefault="008530F8" w:rsidP="008530F8">
      <w:pPr>
        <w:pStyle w:val="StandardWeb"/>
      </w:pPr>
      <w:r>
        <w:t>unterschieden werden.</w:t>
      </w:r>
    </w:p>
    <w:p w:rsidR="008530F8" w:rsidRDefault="008530F8" w:rsidP="008530F8">
      <w:pPr>
        <w:pStyle w:val="StandardWeb"/>
      </w:pPr>
      <w:r>
        <w:t>Im Allgemeinen gilt</w:t>
      </w:r>
    </w:p>
    <w:p w:rsidR="008530F8" w:rsidRDefault="008530F8" w:rsidP="008530F8">
      <w:pPr>
        <w:pStyle w:val="StandardWeb"/>
      </w:pPr>
      <w:r>
        <w:t>[</w:t>
      </w:r>
      <w:r>
        <w:br/>
        <w:t>\mathfrak C</w:t>
      </w:r>
      <w:r>
        <w:br/>
        <w:t>\neq</w:t>
      </w:r>
      <w:r>
        <w:br/>
        <w:t>\mathcal D.</w:t>
      </w:r>
      <w:r>
        <w:br/>
        <w:t>\tag{3.8821}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\mathfrak C\neq\mathcal D</w:t>
      </w:r>
    </w:p>
    <w:p w:rsidR="008530F8" w:rsidRDefault="00E50336" w:rsidP="008530F8">
      <w:r>
        <w:pict>
          <v:rect id="_x0000_i2436" style="width:0;height:1.5pt" o:hralign="center" o:hrstd="t" o:hr="t" fillcolor="#a0a0a0" stroked="f"/>
        </w:pict>
      </w:r>
    </w:p>
    <w:p w:rsidR="008530F8" w:rsidRDefault="008530F8" w:rsidP="008530F8">
      <w:pPr>
        <w:pStyle w:val="berschrift1"/>
      </w:pPr>
      <w:r>
        <w:t>3.3.43.190 Kohärenz einer transformierten Systemstruktur</w:t>
      </w:r>
    </w:p>
    <w:p w:rsidR="008530F8" w:rsidRDefault="008530F8" w:rsidP="008530F8">
      <w:pPr>
        <w:pStyle w:val="StandardWeb"/>
      </w:pPr>
      <w:r>
        <w:t>Für eine Transformation (T) gilt</w:t>
      </w:r>
    </w:p>
    <w:p w:rsidR="008530F8" w:rsidRDefault="008530F8" w:rsidP="008530F8">
      <w:pPr>
        <w:pStyle w:val="berschrift1"/>
      </w:pPr>
      <w:r>
        <w:lastRenderedPageBreak/>
        <w:t>[</w:t>
      </w:r>
      <w:r>
        <w:br/>
        <w:t>\Sigma_C'</w:t>
      </w:r>
    </w:p>
    <w:p w:rsidR="008530F8" w:rsidRDefault="008530F8" w:rsidP="008530F8">
      <w:pPr>
        <w:pStyle w:val="StandardWeb"/>
      </w:pPr>
      <w:r>
        <w:t>\mathfrak C[T(\mathcal S_F)].</w:t>
      </w:r>
      <w:r>
        <w:br/>
        <w:t>\tag{3.8822}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\Sigma_C'=\mathfrak C[T(\mathcal S_F)]</w:t>
      </w:r>
    </w:p>
    <w:p w:rsidR="008530F8" w:rsidRDefault="008530F8" w:rsidP="008530F8">
      <w:pPr>
        <w:pStyle w:val="StandardWeb"/>
      </w:pPr>
      <w:r>
        <w:t>Die Veränderung lautet</w:t>
      </w:r>
    </w:p>
    <w:p w:rsidR="008530F8" w:rsidRDefault="008530F8" w:rsidP="008530F8">
      <w:pPr>
        <w:pStyle w:val="berschrift1"/>
      </w:pPr>
      <w:r>
        <w:t>[</w:t>
      </w:r>
      <w:r>
        <w:br/>
        <w:t>\Delta\Sigma_C</w:t>
      </w:r>
    </w:p>
    <w:p w:rsidR="008530F8" w:rsidRDefault="008530F8" w:rsidP="008530F8">
      <w:pPr>
        <w:pStyle w:val="berschrift2"/>
      </w:pPr>
      <w:r>
        <w:t>\Sigma_C'</w:t>
      </w:r>
    </w:p>
    <w:p w:rsidR="008530F8" w:rsidRDefault="008530F8" w:rsidP="008530F8">
      <w:pPr>
        <w:pStyle w:val="StandardWeb"/>
      </w:pPr>
      <w:r>
        <w:t>\Sigma_C</w:t>
      </w:r>
      <w:r>
        <w:br/>
        <w:t>\tag{3.8823}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\Delta\Sigma_C=\Sigma_C'-\Sigma_C</w:t>
      </w:r>
    </w:p>
    <w:p w:rsidR="008530F8" w:rsidRDefault="008530F8" w:rsidP="008530F8">
      <w:pPr>
        <w:pStyle w:val="StandardWeb"/>
      </w:pPr>
      <w:r>
        <w:t>symbolisch beziehungsweise komponentenweise.</w:t>
      </w:r>
    </w:p>
    <w:p w:rsidR="008530F8" w:rsidRDefault="00E50336" w:rsidP="008530F8">
      <w:r>
        <w:pict>
          <v:rect id="_x0000_i2437" style="width:0;height:1.5pt" o:hralign="center" o:hrstd="t" o:hr="t" fillcolor="#a0a0a0" stroked="f"/>
        </w:pict>
      </w:r>
    </w:p>
    <w:p w:rsidR="008530F8" w:rsidRDefault="008530F8" w:rsidP="008530F8">
      <w:pPr>
        <w:pStyle w:val="berschrift1"/>
      </w:pPr>
      <w:r>
        <w:t>3.3.43.191 Kohärenzinvarianz</w:t>
      </w:r>
    </w:p>
    <w:p w:rsidR="008530F8" w:rsidRDefault="008530F8" w:rsidP="008530F8">
      <w:pPr>
        <w:pStyle w:val="StandardWeb"/>
      </w:pPr>
      <w:r>
        <w:t>Eine Systemtransformation ist kohärenzinvariant, wenn</w:t>
      </w:r>
    </w:p>
    <w:p w:rsidR="008530F8" w:rsidRDefault="008530F8" w:rsidP="008530F8">
      <w:pPr>
        <w:pStyle w:val="berschrift1"/>
      </w:pPr>
      <w:r>
        <w:t>[</w:t>
      </w:r>
      <w:r>
        <w:br/>
        <w:t>\mathfrak C[T(\mathcal S_F)]</w:t>
      </w:r>
    </w:p>
    <w:p w:rsidR="008530F8" w:rsidRDefault="008530F8" w:rsidP="008530F8">
      <w:pPr>
        <w:pStyle w:val="StandardWeb"/>
      </w:pPr>
      <w:r>
        <w:t>\mathfrak C[\mathcal S_F].</w:t>
      </w:r>
      <w:r>
        <w:br/>
        <w:t>\tag{3.8824}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\mathfrak C[T(\mathcal S_F)]=\mathfrak C[\mathcal S_F]</w:t>
      </w:r>
    </w:p>
    <w:p w:rsidR="008530F8" w:rsidRDefault="00E50336" w:rsidP="008530F8">
      <w:r>
        <w:pict>
          <v:rect id="_x0000_i2438" style="width:0;height:1.5pt" o:hralign="center" o:hrstd="t" o:hr="t" fillcolor="#a0a0a0" stroked="f"/>
        </w:pict>
      </w:r>
    </w:p>
    <w:p w:rsidR="008530F8" w:rsidRDefault="008530F8" w:rsidP="008530F8">
      <w:pPr>
        <w:pStyle w:val="berschrift1"/>
      </w:pPr>
      <w:r>
        <w:lastRenderedPageBreak/>
        <w:t>3.3.43.192 Kohärenzäquivalenz</w:t>
      </w:r>
    </w:p>
    <w:p w:rsidR="008530F8" w:rsidRDefault="008530F8" w:rsidP="008530F8">
      <w:pPr>
        <w:pStyle w:val="StandardWeb"/>
      </w:pPr>
      <w:r>
        <w:t>Zwei Systemstrukturen (\mathcal S_1) und (\mathcal S_2) heißen bezüglich einer festgelegten Kohärenzsignatur äquivalent, wenn</w:t>
      </w:r>
    </w:p>
    <w:p w:rsidR="008530F8" w:rsidRDefault="008530F8" w:rsidP="008530F8">
      <w:pPr>
        <w:pStyle w:val="berschrift1"/>
      </w:pPr>
      <w:r>
        <w:t>[</w:t>
      </w:r>
      <w:r>
        <w:br/>
        <w:t>\mathfrak C[\mathcal S_1]</w:t>
      </w:r>
    </w:p>
    <w:p w:rsidR="008530F8" w:rsidRDefault="008530F8" w:rsidP="008530F8">
      <w:pPr>
        <w:pStyle w:val="StandardWeb"/>
      </w:pPr>
      <w:r>
        <w:t>\mathfrak C[\mathcal S_2].</w:t>
      </w:r>
      <w:r>
        <w:br/>
        <w:t>\tag{3.8825}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\mathfrak C[\mathcal S_1]=\mathfrak C[\mathcal S_2]</w:t>
      </w:r>
    </w:p>
    <w:p w:rsidR="008530F8" w:rsidRDefault="008530F8" w:rsidP="008530F8">
      <w:pPr>
        <w:pStyle w:val="StandardWeb"/>
      </w:pPr>
      <w:r>
        <w:t>Ich schreibe</w:t>
      </w:r>
    </w:p>
    <w:p w:rsidR="008530F8" w:rsidRDefault="008530F8" w:rsidP="008530F8">
      <w:pPr>
        <w:pStyle w:val="StandardWeb"/>
      </w:pPr>
      <w:r>
        <w:t>[</w:t>
      </w:r>
      <w:r>
        <w:br/>
        <w:t>\mathcal S_1</w:t>
      </w:r>
      <w:r>
        <w:br/>
        <w:t>\sim_C</w:t>
      </w:r>
      <w:r>
        <w:br/>
        <w:t>\mathcal S_2.</w:t>
      </w:r>
      <w:r>
        <w:br/>
        <w:t>\tag{3.8826}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S_1\sim_C\mathcal S_2</w:t>
      </w:r>
    </w:p>
    <w:p w:rsidR="008530F8" w:rsidRDefault="00E50336" w:rsidP="008530F8">
      <w:r>
        <w:pict>
          <v:rect id="_x0000_i2439" style="width:0;height:1.5pt" o:hralign="center" o:hrstd="t" o:hr="t" fillcolor="#a0a0a0" stroked="f"/>
        </w:pict>
      </w:r>
    </w:p>
    <w:p w:rsidR="008530F8" w:rsidRDefault="008530F8" w:rsidP="008530F8">
      <w:pPr>
        <w:pStyle w:val="berschrift1"/>
      </w:pPr>
      <w:r>
        <w:t>3.3.43.193 Kohärenzäquivalenz ist keine Systemidentität</w:t>
      </w:r>
    </w:p>
    <w:p w:rsidR="008530F8" w:rsidRDefault="008530F8" w:rsidP="008530F8">
      <w:pPr>
        <w:pStyle w:val="StandardWeb"/>
      </w:pPr>
      <w:r>
        <w:t>Es gilt</w:t>
      </w:r>
    </w:p>
    <w:p w:rsidR="008530F8" w:rsidRDefault="008530F8" w:rsidP="008530F8">
      <w:pPr>
        <w:pStyle w:val="berschrift1"/>
      </w:pPr>
      <w:r>
        <w:t>[</w:t>
      </w:r>
      <w:r>
        <w:br/>
        <w:t>\mathcal S_1</w:t>
      </w:r>
      <w:r>
        <w:br/>
        <w:t>\sim_C</w:t>
      </w:r>
      <w:r>
        <w:br/>
        <w:t>\mathcal S_2</w:t>
      </w:r>
      <w:r>
        <w:br/>
        <w:t>\nRightarrow</w:t>
      </w:r>
      <w:r>
        <w:br/>
        <w:t>\mathcal S_1</w:t>
      </w:r>
    </w:p>
    <w:p w:rsidR="008530F8" w:rsidRDefault="008530F8" w:rsidP="008530F8">
      <w:pPr>
        <w:pStyle w:val="StandardWeb"/>
      </w:pPr>
      <w:r>
        <w:lastRenderedPageBreak/>
        <w:t>\mathcal S_2.</w:t>
      </w:r>
      <w:r>
        <w:br/>
        <w:t>\tag{3.8827}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S_1\sim_C\mathcal S_2\nRightarrow\mathcal S_1=\mathcal S_2</w:t>
      </w:r>
    </w:p>
    <w:p w:rsidR="008530F8" w:rsidRDefault="008530F8" w:rsidP="008530F8">
      <w:pPr>
        <w:pStyle w:val="StandardWeb"/>
      </w:pPr>
      <w:r>
        <w:t>Verschiedene Systemstrukturen können dieselbe Kohärenzsignatur besitzen.</w:t>
      </w:r>
    </w:p>
    <w:p w:rsidR="008530F8" w:rsidRDefault="00E50336" w:rsidP="008530F8">
      <w:r>
        <w:pict>
          <v:rect id="_x0000_i2440" style="width:0;height:1.5pt" o:hralign="center" o:hrstd="t" o:hr="t" fillcolor="#a0a0a0" stroked="f"/>
        </w:pict>
      </w:r>
    </w:p>
    <w:p w:rsidR="008530F8" w:rsidRDefault="008530F8" w:rsidP="008530F8">
      <w:pPr>
        <w:pStyle w:val="berschrift1"/>
      </w:pPr>
      <w:r>
        <w:t>3.3.43.194 Kohärenzklasse</w:t>
      </w:r>
    </w:p>
    <w:p w:rsidR="008530F8" w:rsidRDefault="008530F8" w:rsidP="008530F8">
      <w:pPr>
        <w:pStyle w:val="StandardWeb"/>
      </w:pPr>
      <w:r>
        <w:t>Die Äquivalenzklasse einer Struktur lautet</w:t>
      </w:r>
    </w:p>
    <w:p w:rsidR="008530F8" w:rsidRDefault="008530F8" w:rsidP="008530F8">
      <w:pPr>
        <w:pStyle w:val="berschrift1"/>
      </w:pPr>
      <w:r>
        <w:t>[</w:t>
      </w:r>
      <w:r>
        <w:br/>
        <w:t>[\mathcal S]_C</w:t>
      </w:r>
    </w:p>
    <w:p w:rsidR="008530F8" w:rsidRDefault="008530F8" w:rsidP="008530F8">
      <w:pPr>
        <w:pStyle w:val="StandardWeb"/>
      </w:pPr>
      <w:r>
        <w:t>\left{</w:t>
      </w:r>
      <w:r>
        <w:br/>
        <w:t>\mathcal S':</w:t>
      </w:r>
      <w:r>
        <w:br/>
        <w:t>\mathcal S'\sim_C\mathcal S</w:t>
      </w:r>
      <w:r>
        <w:br/>
        <w:t>\right}.</w:t>
      </w:r>
      <w:r>
        <w:br/>
        <w:t>\tag{3.8828}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S]_C=\left\{\mathcal S':\mathcal S'\sim_C\mathcal S\right\}</w:t>
      </w:r>
    </w:p>
    <w:p w:rsidR="008530F8" w:rsidRDefault="00E50336" w:rsidP="008530F8">
      <w:r>
        <w:pict>
          <v:rect id="_x0000_i2441" style="width:0;height:1.5pt" o:hralign="center" o:hrstd="t" o:hr="t" fillcolor="#a0a0a0" stroked="f"/>
        </w:pict>
      </w:r>
    </w:p>
    <w:p w:rsidR="008530F8" w:rsidRDefault="008530F8" w:rsidP="008530F8">
      <w:pPr>
        <w:pStyle w:val="berschrift1"/>
      </w:pPr>
      <w:r>
        <w:t>3.3.43.195 Kohärenzvergleich zweier Systemzustände</w:t>
      </w:r>
    </w:p>
    <w:p w:rsidR="008530F8" w:rsidRDefault="008530F8" w:rsidP="008530F8">
      <w:pPr>
        <w:pStyle w:val="StandardWeb"/>
      </w:pPr>
      <w:r>
        <w:t>Für zwei Zustände (z_a,z_b) kann ich eine Signaturdistanz definieren:</w:t>
      </w:r>
    </w:p>
    <w:p w:rsidR="008530F8" w:rsidRDefault="008530F8" w:rsidP="008530F8">
      <w:pPr>
        <w:pStyle w:val="berschrift1"/>
      </w:pPr>
      <w:r>
        <w:t>[</w:t>
      </w:r>
      <w:r>
        <w:br/>
        <w:t>D_{\Sigma_C}(a,b)</w:t>
      </w:r>
    </w:p>
    <w:p w:rsidR="008530F8" w:rsidRDefault="008530F8" w:rsidP="008530F8">
      <w:pPr>
        <w:pStyle w:val="StandardWeb"/>
      </w:pPr>
      <w:r>
        <w:t>d_{\Sigma}</w:t>
      </w:r>
      <w:r>
        <w:br/>
        <w:t>\left(</w:t>
      </w:r>
      <w:r>
        <w:br/>
        <w:t>\Sigma_C(z_a),</w:t>
      </w:r>
      <w:r>
        <w:br/>
        <w:t>\Sigma_C(z_b)</w:t>
      </w:r>
      <w:r>
        <w:br/>
        <w:t>\right).</w:t>
      </w:r>
      <w:r>
        <w:br/>
        <w:t>\tag{3.8829}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lastRenderedPageBreak/>
        <w:t>D_{\Sigma_C}(a,b)=d_{\Sigma}\left(\Sigma_C(z_a),\Sigma_C(z_b)\right)</w:t>
      </w:r>
    </w:p>
    <w:p w:rsidR="008530F8" w:rsidRDefault="00E50336" w:rsidP="008530F8">
      <w:r>
        <w:pict>
          <v:rect id="_x0000_i2442" style="width:0;height:1.5pt" o:hralign="center" o:hrstd="t" o:hr="t" fillcolor="#a0a0a0" stroked="f"/>
        </w:pict>
      </w:r>
    </w:p>
    <w:p w:rsidR="008530F8" w:rsidRDefault="008530F8" w:rsidP="008530F8">
      <w:pPr>
        <w:pStyle w:val="berschrift1"/>
      </w:pPr>
      <w:r>
        <w:t>3.3.43.196 Kohärenzähnlichkeit</w:t>
      </w:r>
    </w:p>
    <w:p w:rsidR="008530F8" w:rsidRDefault="008530F8" w:rsidP="008530F8">
      <w:pPr>
        <w:pStyle w:val="StandardWeb"/>
      </w:pPr>
      <w:r>
        <w:t>Eine normierte Ähnlichkeit kann beispielsweise geschrieben werden als</w:t>
      </w:r>
    </w:p>
    <w:p w:rsidR="008530F8" w:rsidRDefault="008530F8" w:rsidP="008530F8">
      <w:pPr>
        <w:pStyle w:val="berschrift1"/>
      </w:pPr>
      <w:r>
        <w:t>[</w:t>
      </w:r>
      <w:r>
        <w:br/>
        <w:t>S_{\Sigma_C}</w:t>
      </w:r>
    </w:p>
    <w:p w:rsidR="008530F8" w:rsidRDefault="008530F8" w:rsidP="008530F8">
      <w:pPr>
        <w:pStyle w:val="StandardWeb"/>
      </w:pPr>
      <w:r>
        <w:t>1-</w:t>
      </w:r>
      <w:r>
        <w:br/>
        <w:t>D_{\Sigma_C}</w:t>
      </w:r>
      <w:r>
        <w:br/>
        <w:t>\tag{3.8830}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S_{\Sigma_C}=1-D_{\Sigma_C}</w:t>
      </w:r>
    </w:p>
    <w:p w:rsidR="008530F8" w:rsidRDefault="008530F8" w:rsidP="008530F8">
      <w:pPr>
        <w:pStyle w:val="StandardWeb"/>
      </w:pPr>
      <w:r>
        <w:t>für entsprechend normierte Distanzen.</w:t>
      </w:r>
    </w:p>
    <w:p w:rsidR="008530F8" w:rsidRDefault="00E50336" w:rsidP="008530F8">
      <w:r>
        <w:pict>
          <v:rect id="_x0000_i2443" style="width:0;height:1.5pt" o:hralign="center" o:hrstd="t" o:hr="t" fillcolor="#a0a0a0" stroked="f"/>
        </w:pict>
      </w:r>
    </w:p>
    <w:p w:rsidR="008530F8" w:rsidRDefault="008530F8" w:rsidP="008530F8">
      <w:pPr>
        <w:pStyle w:val="berschrift1"/>
      </w:pPr>
      <w:r>
        <w:t>3.3.43.197 Kohärenzmuster</w:t>
      </w:r>
    </w:p>
    <w:p w:rsidR="008530F8" w:rsidRDefault="008530F8" w:rsidP="008530F8">
      <w:pPr>
        <w:pStyle w:val="StandardWeb"/>
      </w:pPr>
      <w:r>
        <w:t>Ich definiere ein Kohärenzmuster als</w:t>
      </w:r>
    </w:p>
    <w:p w:rsidR="008530F8" w:rsidRDefault="008530F8" w:rsidP="008530F8">
      <w:pPr>
        <w:pStyle w:val="berschrift1"/>
      </w:pPr>
      <w:r>
        <w:t>[</w:t>
      </w:r>
      <w:r>
        <w:br/>
        <w:t>\mathcal M_C</w:t>
      </w:r>
    </w:p>
    <w:p w:rsidR="008530F8" w:rsidRDefault="008530F8" w:rsidP="008530F8">
      <w:pPr>
        <w:pStyle w:val="StandardWeb"/>
      </w:pPr>
      <w:r>
        <w:t>\left(</w:t>
      </w:r>
      <w:r>
        <w:br/>
        <w:t>\mathbf C,</w:t>
      </w:r>
      <w:r>
        <w:br/>
        <w:t>\mathcal G_C,</w:t>
      </w:r>
      <w:r>
        <w:br/>
        <w:t>\Sigma_C</w:t>
      </w:r>
      <w:r>
        <w:br/>
        <w:t>\right).</w:t>
      </w:r>
      <w:r>
        <w:br/>
        <w:t>\tag{3.8831}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M_C=\left(\mathbf C,\mathcal G_C,\Sigma_C\right)</w:t>
      </w:r>
    </w:p>
    <w:p w:rsidR="008530F8" w:rsidRDefault="008530F8" w:rsidP="008530F8">
      <w:pPr>
        <w:pStyle w:val="StandardWeb"/>
      </w:pPr>
      <w:r>
        <w:t>Damit werden numerische Beziehungen, Netzwerkstruktur und abgeleitete Kohärenzeigenschaften gemeinsam betrachtet.</w:t>
      </w:r>
    </w:p>
    <w:p w:rsidR="008530F8" w:rsidRDefault="00E50336" w:rsidP="008530F8">
      <w:r>
        <w:pict>
          <v:rect id="_x0000_i2444" style="width:0;height:1.5pt" o:hralign="center" o:hrstd="t" o:hr="t" fillcolor="#a0a0a0" stroked="f"/>
        </w:pict>
      </w:r>
    </w:p>
    <w:p w:rsidR="008530F8" w:rsidRDefault="008530F8" w:rsidP="008530F8">
      <w:pPr>
        <w:pStyle w:val="berschrift1"/>
      </w:pPr>
      <w:r>
        <w:lastRenderedPageBreak/>
        <w:t>3.3.43.198 Musterwechsel</w:t>
      </w:r>
    </w:p>
    <w:p w:rsidR="008530F8" w:rsidRDefault="008530F8" w:rsidP="008530F8">
      <w:pPr>
        <w:pStyle w:val="StandardWeb"/>
      </w:pPr>
      <w:r>
        <w:t>Ein Kohärenzmuster kann sich ändern:</w:t>
      </w:r>
    </w:p>
    <w:p w:rsidR="008530F8" w:rsidRDefault="008530F8" w:rsidP="008530F8">
      <w:pPr>
        <w:pStyle w:val="StandardWeb"/>
      </w:pPr>
      <w:r>
        <w:t>[</w:t>
      </w:r>
      <w:r>
        <w:br/>
        <w:t>\mathcal M_C^{(1)}</w:t>
      </w:r>
      <w:r>
        <w:br/>
        <w:t>\rightarrow</w:t>
      </w:r>
      <w:r>
        <w:br/>
        <w:t>\mathcal M_C^{(2)}.</w:t>
      </w:r>
      <w:r>
        <w:br/>
        <w:t>\tag{3.8832}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M_C^{(1)}\rightarrow\mathcal M_C^{(2)}</w:t>
      </w:r>
    </w:p>
    <w:p w:rsidR="008530F8" w:rsidRDefault="008530F8" w:rsidP="008530F8">
      <w:pPr>
        <w:pStyle w:val="StandardWeb"/>
      </w:pPr>
      <w:r>
        <w:t>Dabei kann der mittlere Kohärenzgrad nahezu konstant bleiben.</w:t>
      </w:r>
    </w:p>
    <w:p w:rsidR="008530F8" w:rsidRDefault="00E50336" w:rsidP="008530F8">
      <w:r>
        <w:pict>
          <v:rect id="_x0000_i2445" style="width:0;height:1.5pt" o:hralign="center" o:hrstd="t" o:hr="t" fillcolor="#a0a0a0" stroked="f"/>
        </w:pict>
      </w:r>
    </w:p>
    <w:p w:rsidR="008530F8" w:rsidRDefault="008530F8" w:rsidP="008530F8">
      <w:pPr>
        <w:pStyle w:val="berschrift1"/>
      </w:pPr>
      <w:r>
        <w:t>3.3.43.199 Struktureller Kohärenzwechsel bei konstantem Mittelwert</w:t>
      </w:r>
    </w:p>
    <w:p w:rsidR="008530F8" w:rsidRDefault="008530F8" w:rsidP="008530F8">
      <w:pPr>
        <w:pStyle w:val="StandardWeb"/>
      </w:pPr>
      <w:r>
        <w:t>Es kann gelten</w:t>
      </w:r>
    </w:p>
    <w:p w:rsidR="008530F8" w:rsidRDefault="008530F8" w:rsidP="008530F8">
      <w:pPr>
        <w:pStyle w:val="StandardWeb"/>
      </w:pPr>
      <w:r>
        <w:t>[</w:t>
      </w:r>
      <w:r>
        <w:br/>
        <w:t>C_{\mathrm{sys}}^{(1)}</w:t>
      </w:r>
      <w:r>
        <w:br/>
        <w:t>\approx</w:t>
      </w:r>
      <w:r>
        <w:br/>
        <w:t>C_{\mathrm{sys}}^{(2)}</w:t>
      </w:r>
      <w:r>
        <w:br/>
        <w:t>\tag{3.8833}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C_{\mathrm{sys}}^{(1)}\approx C_{\mathrm{sys}}^{(2)}</w:t>
      </w:r>
    </w:p>
    <w:p w:rsidR="008530F8" w:rsidRDefault="008530F8" w:rsidP="008530F8">
      <w:pPr>
        <w:pStyle w:val="StandardWeb"/>
      </w:pPr>
      <w:r>
        <w:t>während</w:t>
      </w:r>
    </w:p>
    <w:p w:rsidR="008530F8" w:rsidRDefault="008530F8" w:rsidP="008530F8">
      <w:pPr>
        <w:pStyle w:val="StandardWeb"/>
      </w:pPr>
      <w:r>
        <w:t>[</w:t>
      </w:r>
      <w:r>
        <w:br/>
        <w:t>\mathbf C^{(1)}</w:t>
      </w:r>
      <w:r>
        <w:br/>
        <w:t>\neq</w:t>
      </w:r>
      <w:r>
        <w:br/>
        <w:t>\mathbf C^{(2)}.</w:t>
      </w:r>
      <w:r>
        <w:br/>
        <w:t>\tag{3.8834}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\mathbf C^{(1)}\neq\mathbf C^{(2)}</w:t>
      </w:r>
    </w:p>
    <w:p w:rsidR="008530F8" w:rsidRDefault="008530F8" w:rsidP="008530F8">
      <w:pPr>
        <w:pStyle w:val="StandardWeb"/>
      </w:pPr>
      <w:r>
        <w:t>Damit reicht ein einzelner globaler Kohärenzwert nicht zur vollständigen Systembeschreibung.</w:t>
      </w:r>
    </w:p>
    <w:p w:rsidR="008530F8" w:rsidRDefault="00E50336" w:rsidP="008530F8">
      <w:r>
        <w:lastRenderedPageBreak/>
        <w:pict>
          <v:rect id="_x0000_i2446" style="width:0;height:1.5pt" o:hralign="center" o:hrstd="t" o:hr="t" fillcolor="#a0a0a0" stroked="f"/>
        </w:pict>
      </w:r>
    </w:p>
    <w:p w:rsidR="008530F8" w:rsidRDefault="008530F8" w:rsidP="008530F8">
      <w:pPr>
        <w:pStyle w:val="berschrift1"/>
      </w:pPr>
      <w:r>
        <w:t>3.3.43.200 Erweiterte Kohärenzsignatur</w:t>
      </w:r>
    </w:p>
    <w:p w:rsidR="008530F8" w:rsidRDefault="008530F8" w:rsidP="008530F8">
      <w:pPr>
        <w:pStyle w:val="StandardWeb"/>
      </w:pPr>
      <w:r>
        <w:t>Ich erweitere daher die bisherige Signatur zu</w:t>
      </w:r>
    </w:p>
    <w:p w:rsidR="008530F8" w:rsidRDefault="008530F8" w:rsidP="008530F8">
      <w:pPr>
        <w:pStyle w:val="berschrift1"/>
      </w:pPr>
      <w:r>
        <w:t>[</w:t>
      </w:r>
      <w:r>
        <w:br/>
        <w:t>\Sigma_C^{+}</w:t>
      </w:r>
    </w:p>
    <w:p w:rsidR="008530F8" w:rsidRDefault="008530F8" w:rsidP="008530F8">
      <w:pPr>
        <w:pStyle w:val="StandardWeb"/>
      </w:pPr>
      <w:r>
        <w:t>\left(</w:t>
      </w:r>
      <w:r>
        <w:br/>
        <w:t>\Sigma_C,</w:t>
      </w:r>
      <w:r>
        <w:br/>
        <w:t>\mathbf C,</w:t>
      </w:r>
      <w:r>
        <w:br/>
        <w:t>\mathcal G_C,</w:t>
      </w:r>
      <w:r>
        <w:br/>
        <w:t>\mathcal H_C,</w:t>
      </w:r>
      <w:r>
        <w:br/>
        <w:t>\mathcal M_C,</w:t>
      </w:r>
      <w:r>
        <w:br/>
        <w:t>M_C^{ST},</w:t>
      </w:r>
      <w:r>
        <w:br/>
        <w:t>S_C,</w:t>
      </w:r>
      <w:r>
        <w:br/>
        <w:t>V_C,</w:t>
      </w:r>
      <w:r>
        <w:br/>
        <w:t>\mathfrak R_C</w:t>
      </w:r>
      <w:r>
        <w:br/>
        <w:t>\right).</w:t>
      </w:r>
      <w:r>
        <w:br/>
        <w:t>\tag{3.8835}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\Sigma_C^{+}=\left(\Sigma_C,\mathbf C,\mathcal G_C,\mathcal H_C,\mathcal M_C,M_C^{ST},S_C,V_C,\mathfrak R_C\right)</w:t>
      </w:r>
    </w:p>
    <w:p w:rsidR="008530F8" w:rsidRDefault="00E50336" w:rsidP="008530F8">
      <w:r>
        <w:pict>
          <v:rect id="_x0000_i2447" style="width:0;height:1.5pt" o:hralign="center" o:hrstd="t" o:hr="t" fillcolor="#a0a0a0" stroked="f"/>
        </w:pict>
      </w:r>
    </w:p>
    <w:p w:rsidR="008530F8" w:rsidRDefault="008530F8" w:rsidP="008530F8">
      <w:pPr>
        <w:pStyle w:val="berschrift1"/>
      </w:pPr>
      <w:r>
        <w:t>3.3.43.201 Kohärenz und Emergenz</w:t>
      </w:r>
    </w:p>
    <w:p w:rsidR="008530F8" w:rsidRDefault="008530F8" w:rsidP="008530F8">
      <w:pPr>
        <w:pStyle w:val="StandardWeb"/>
      </w:pPr>
      <w:r>
        <w:t>Die Mehrkomponentenstruktur führt zu der Frage, ob Kohärenz auf Systemebene Eigenschaften besitzen kann, die nicht unmittelbar aus einer einzelnen Komponente ablesbar sind.</w:t>
      </w:r>
    </w:p>
    <w:p w:rsidR="008530F8" w:rsidRDefault="008530F8" w:rsidP="008530F8">
      <w:pPr>
        <w:pStyle w:val="StandardWeb"/>
      </w:pPr>
      <w:r>
        <w:t>Ich schreibe zunächst</w:t>
      </w:r>
    </w:p>
    <w:p w:rsidR="008530F8" w:rsidRDefault="008530F8" w:rsidP="008530F8">
      <w:pPr>
        <w:pStyle w:val="StandardWeb"/>
      </w:pPr>
      <w:r>
        <w:t>[</w:t>
      </w:r>
      <w:r>
        <w:br/>
        <w:t>C_F^{\mathrm{sys}}</w:t>
      </w:r>
      <w:r>
        <w:br/>
        <w:t>\neq</w:t>
      </w:r>
      <w:r>
        <w:br/>
        <w:t>C_F(X_i)</w:t>
      </w:r>
      <w:r>
        <w:br/>
        <w:t>\tag{3.8836}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C_F^{\mathrm{sys}}\neq C_F(X_i)</w:t>
      </w:r>
    </w:p>
    <w:p w:rsidR="008530F8" w:rsidRDefault="008530F8" w:rsidP="008530F8">
      <w:pPr>
        <w:pStyle w:val="StandardWeb"/>
      </w:pPr>
      <w:r>
        <w:t>im Allgemeinen.</w:t>
      </w:r>
    </w:p>
    <w:p w:rsidR="008530F8" w:rsidRDefault="008530F8" w:rsidP="008530F8">
      <w:pPr>
        <w:pStyle w:val="StandardWeb"/>
      </w:pPr>
      <w:r>
        <w:lastRenderedPageBreak/>
        <w:t>Systemkohärenz ist eine relationale Eigenschaft der Gesamtstruktur.</w:t>
      </w:r>
    </w:p>
    <w:p w:rsidR="008530F8" w:rsidRDefault="00E50336" w:rsidP="008530F8">
      <w:r>
        <w:pict>
          <v:rect id="_x0000_i2448" style="width:0;height:1.5pt" o:hralign="center" o:hrstd="t" o:hr="t" fillcolor="#a0a0a0" stroked="f"/>
        </w:pict>
      </w:r>
    </w:p>
    <w:p w:rsidR="008530F8" w:rsidRDefault="008530F8" w:rsidP="008530F8">
      <w:pPr>
        <w:pStyle w:val="berschrift1"/>
      </w:pPr>
      <w:r>
        <w:t>3.3.43.202 Funktionale Emergenz</w:t>
      </w:r>
    </w:p>
    <w:p w:rsidR="008530F8" w:rsidRDefault="008530F8" w:rsidP="008530F8">
      <w:pPr>
        <w:pStyle w:val="StandardWeb"/>
      </w:pPr>
      <w:r>
        <w:t>Eine mögliche emergente Kohärenzeigenschaft (E_C) liegt vor, wenn</w:t>
      </w:r>
    </w:p>
    <w:p w:rsidR="008530F8" w:rsidRDefault="008530F8" w:rsidP="008530F8">
      <w:pPr>
        <w:pStyle w:val="StandardWeb"/>
      </w:pPr>
      <w:r>
        <w:t>[</w:t>
      </w:r>
      <w:r>
        <w:br/>
        <w:t>E_C(\mathcal X_n)</w:t>
      </w:r>
      <w:r>
        <w:br/>
        <w:t>]</w:t>
      </w:r>
    </w:p>
    <w:p w:rsidR="008530F8" w:rsidRDefault="008530F8" w:rsidP="008530F8">
      <w:pPr>
        <w:pStyle w:val="StandardWeb"/>
      </w:pPr>
      <w:r>
        <w:t>nur auf Ebene des Gesamtverbunds definiert ist und nicht sinnvoll einer einzelnen isolierten Komponente zugeschrieben werden kann.</w:t>
      </w:r>
    </w:p>
    <w:p w:rsidR="008530F8" w:rsidRDefault="008530F8" w:rsidP="008530F8">
      <w:pPr>
        <w:pStyle w:val="StandardWeb"/>
      </w:pPr>
      <w:r>
        <w:t>Ich kennzeichne dies abstrakt durch</w:t>
      </w:r>
    </w:p>
    <w:p w:rsidR="008530F8" w:rsidRDefault="008530F8" w:rsidP="008530F8">
      <w:pPr>
        <w:pStyle w:val="StandardWeb"/>
      </w:pPr>
      <w:r>
        <w:t>[</w:t>
      </w:r>
      <w:r>
        <w:br/>
        <w:t>E_C</w:t>
      </w:r>
      <w:r>
        <w:br/>
        <w:t>\in</w:t>
      </w:r>
      <w:r>
        <w:br/>
        <w:t>\mathcal P(\mathcal X_n)</w:t>
      </w:r>
      <w:r>
        <w:br/>
        <w:t>\setminus</w:t>
      </w:r>
      <w:r>
        <w:br/>
        <w:t>\bigcup_i</w:t>
      </w:r>
      <w:r>
        <w:br/>
        <w:t>\mathcal P(X_i).</w:t>
      </w:r>
      <w:r>
        <w:br/>
        <w:t>\tag{3.8837}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E_C\in\mathcal P(\mathcal X_n)\setminus\bigcup_i\mathcal P(X_i)</w:t>
      </w:r>
    </w:p>
    <w:p w:rsidR="008530F8" w:rsidRDefault="008530F8" w:rsidP="008530F8">
      <w:pPr>
        <w:pStyle w:val="StandardWeb"/>
      </w:pPr>
      <w:r>
        <w:t>Hierbei bezeichnet (\mathcal P) symbolisch eine Menge betrachteter Eigenschaften.</w:t>
      </w:r>
    </w:p>
    <w:p w:rsidR="008530F8" w:rsidRDefault="00E50336" w:rsidP="008530F8">
      <w:r>
        <w:pict>
          <v:rect id="_x0000_i2449" style="width:0;height:1.5pt" o:hralign="center" o:hrstd="t" o:hr="t" fillcolor="#a0a0a0" stroked="f"/>
        </w:pict>
      </w:r>
    </w:p>
    <w:p w:rsidR="008530F8" w:rsidRDefault="008530F8" w:rsidP="008530F8">
      <w:pPr>
        <w:pStyle w:val="berschrift1"/>
      </w:pPr>
      <w:r>
        <w:t>3.3.43.203 Emergenz ist kein Beweis für neue Ontologie</w:t>
      </w:r>
    </w:p>
    <w:p w:rsidR="008530F8" w:rsidRDefault="008530F8" w:rsidP="008530F8">
      <w:pPr>
        <w:pStyle w:val="StandardWeb"/>
      </w:pPr>
      <w:r>
        <w:t>Auch hier gilt</w:t>
      </w:r>
    </w:p>
    <w:p w:rsidR="008530F8" w:rsidRDefault="008530F8" w:rsidP="008530F8">
      <w:pPr>
        <w:pStyle w:val="StandardWeb"/>
      </w:pPr>
      <w:r>
        <w:t>[</w:t>
      </w:r>
      <w:r>
        <w:br/>
        <w:t>E_C\text{ beobachtet}</w:t>
      </w:r>
      <w:r>
        <w:br/>
        <w:t>\nRightarrow</w:t>
      </w:r>
      <w:r>
        <w:br/>
        <w:t>\text{neue fundamentale Ontologie}.</w:t>
      </w:r>
      <w:r>
        <w:br/>
        <w:t>\tag{3.8838}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E_C\text{ beobachtet}\nRightarrow\text{neue fundamentale Ontologie}</w:t>
      </w:r>
    </w:p>
    <w:p w:rsidR="008530F8" w:rsidRDefault="008530F8" w:rsidP="008530F8">
      <w:pPr>
        <w:pStyle w:val="StandardWeb"/>
      </w:pPr>
      <w:r>
        <w:lastRenderedPageBreak/>
        <w:t>Eine emergente Systembeschreibung kann aus bekannten Komponenten und Relationen entstehen.</w:t>
      </w:r>
    </w:p>
    <w:p w:rsidR="008530F8" w:rsidRDefault="00E50336" w:rsidP="008530F8">
      <w:r>
        <w:pict>
          <v:rect id="_x0000_i2450" style="width:0;height:1.5pt" o:hralign="center" o:hrstd="t" o:hr="t" fillcolor="#a0a0a0" stroked="f"/>
        </w:pict>
      </w:r>
    </w:p>
    <w:p w:rsidR="008530F8" w:rsidRDefault="008530F8" w:rsidP="008530F8">
      <w:pPr>
        <w:pStyle w:val="berschrift1"/>
      </w:pPr>
      <w:r>
        <w:t>3.3.43.204 Kohärenz und Selbstorganisation</w:t>
      </w:r>
    </w:p>
    <w:p w:rsidR="008530F8" w:rsidRDefault="008530F8" w:rsidP="008530F8">
      <w:pPr>
        <w:pStyle w:val="StandardWeb"/>
      </w:pPr>
      <w:r>
        <w:t>Selbstorganisation kann Kohärenz erzeugen, ist aber nicht mit Kohärenz identisch.</w:t>
      </w:r>
    </w:p>
    <w:p w:rsidR="008530F8" w:rsidRDefault="008530F8" w:rsidP="008530F8">
      <w:pPr>
        <w:pStyle w:val="StandardWeb"/>
      </w:pPr>
      <w:r>
        <w:t>Ein selbstorganisierender Prozess kann abstrakt geschrieben werden als</w:t>
      </w:r>
    </w:p>
    <w:p w:rsidR="008530F8" w:rsidRDefault="008530F8" w:rsidP="008530F8">
      <w:pPr>
        <w:pStyle w:val="StandardWeb"/>
      </w:pPr>
      <w:r>
        <w:t>[</w:t>
      </w:r>
      <w:r>
        <w:br/>
        <w:t>\mathcal S(t_0)</w:t>
      </w:r>
      <w:r>
        <w:br/>
        <w:t>\rightarrow</w:t>
      </w:r>
      <w:r>
        <w:br/>
        <w:t>\mathcal S(t_1)</w:t>
      </w:r>
      <w:r>
        <w:br/>
        <w:t>\tag{3.8839}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S(t_0)\rightarrow\mathcal S(t_1)</w:t>
      </w:r>
    </w:p>
    <w:p w:rsidR="008530F8" w:rsidRDefault="008530F8" w:rsidP="008530F8">
      <w:pPr>
        <w:pStyle w:val="StandardWeb"/>
      </w:pPr>
      <w:r>
        <w:t>mit</w:t>
      </w:r>
    </w:p>
    <w:p w:rsidR="008530F8" w:rsidRDefault="008530F8" w:rsidP="008530F8">
      <w:pPr>
        <w:pStyle w:val="StandardWeb"/>
      </w:pPr>
      <w:r>
        <w:t>[</w:t>
      </w:r>
      <w:r>
        <w:br/>
        <w:t>C_{\mathrm{sys}}(t_1)</w:t>
      </w:r>
    </w:p>
    <w:p w:rsidR="008530F8" w:rsidRDefault="008530F8" w:rsidP="008530F8">
      <w:pPr>
        <w:pStyle w:val="StandardWeb"/>
      </w:pPr>
      <w:r>
        <w:t>C_{\mathrm{sys}}(t_0).</w:t>
      </w:r>
      <w:r>
        <w:br/>
        <w:t>\tag{3.8840}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C_{\mathrm{sys}}(t_1)&gt;C_{\mathrm{sys}}(t_0)</w:t>
      </w:r>
    </w:p>
    <w:p w:rsidR="008530F8" w:rsidRDefault="00E50336" w:rsidP="008530F8">
      <w:r>
        <w:pict>
          <v:rect id="_x0000_i2451" style="width:0;height:1.5pt" o:hralign="center" o:hrstd="t" o:hr="t" fillcolor="#a0a0a0" stroked="f"/>
        </w:pict>
      </w:r>
    </w:p>
    <w:p w:rsidR="008530F8" w:rsidRDefault="008530F8" w:rsidP="008530F8">
      <w:pPr>
        <w:pStyle w:val="berschrift1"/>
      </w:pPr>
      <w:r>
        <w:t>3.3.43.205 Kohärenzzunahme beweist keine Selbstorganisation</w:t>
      </w:r>
    </w:p>
    <w:p w:rsidR="008530F8" w:rsidRDefault="008530F8" w:rsidP="008530F8">
      <w:pPr>
        <w:pStyle w:val="StandardWeb"/>
      </w:pPr>
      <w:r>
        <w:t>Es gilt</w:t>
      </w:r>
    </w:p>
    <w:p w:rsidR="008530F8" w:rsidRDefault="008530F8" w:rsidP="008530F8">
      <w:pPr>
        <w:pStyle w:val="StandardWeb"/>
      </w:pPr>
      <w:r>
        <w:t>[</w:t>
      </w:r>
      <w:r>
        <w:br/>
        <w:t>C_{\mathrm{sys}}(t_1)</w:t>
      </w:r>
    </w:p>
    <w:p w:rsidR="008530F8" w:rsidRDefault="008530F8" w:rsidP="008530F8">
      <w:pPr>
        <w:pStyle w:val="StandardWeb"/>
      </w:pPr>
      <w:r>
        <w:t>C_{\mathrm{sys}}(t_0)</w:t>
      </w:r>
      <w:r>
        <w:br/>
        <w:t>\nRightarrow</w:t>
      </w:r>
      <w:r>
        <w:br/>
        <w:t>\text{Selbstorganisation}.</w:t>
      </w:r>
      <w:r>
        <w:br/>
        <w:t>\tag{3.8841}</w:t>
      </w:r>
      <w:r>
        <w:br/>
        <w:t>]</w:t>
      </w:r>
    </w:p>
    <w:p w:rsidR="008530F8" w:rsidRDefault="008530F8" w:rsidP="008530F8">
      <w:pPr>
        <w:pStyle w:val="StandardWeb"/>
      </w:pPr>
      <w:r>
        <w:rPr>
          <w:rStyle w:val="Fett"/>
        </w:rPr>
        <w:lastRenderedPageBreak/>
        <w:t>Word-LaTeX</w:t>
      </w:r>
    </w:p>
    <w:p w:rsidR="008530F8" w:rsidRDefault="008530F8" w:rsidP="008530F8">
      <w:pPr>
        <w:pStyle w:val="HTMLVorformatiert"/>
        <w:rPr>
          <w:rStyle w:val="HTMLCode"/>
        </w:rPr>
      </w:pPr>
      <w:r>
        <w:rPr>
          <w:rStyle w:val="HTMLCode"/>
        </w:rPr>
        <w:t>C_{\mathrm{sys}}(t_1)&gt;C_{\mathrm{sys}}(t_0)\nRightarrow\text{Selbstorganisation}</w:t>
      </w:r>
    </w:p>
    <w:p w:rsidR="008530F8" w:rsidRDefault="008530F8" w:rsidP="008530F8">
      <w:pPr>
        <w:pStyle w:val="StandardWeb"/>
      </w:pPr>
      <w:r>
        <w:t>Eine externe Steuerung kann ebenfalls Kohärenz erhöhen.</w:t>
      </w:r>
    </w:p>
    <w:p w:rsidR="008530F8" w:rsidRDefault="00E50336" w:rsidP="008530F8">
      <w:r>
        <w:pict>
          <v:rect id="_x0000_i2452" style="width:0;height:1.5pt" o:hralign="center" o:hrstd="t" o:hr="t" fillcolor="#a0a0a0" stroked="f"/>
        </w:pict>
      </w:r>
    </w:p>
    <w:p w:rsidR="008530F8" w:rsidRDefault="008530F8" w:rsidP="008530F8">
      <w:pPr>
        <w:pStyle w:val="berschrift1"/>
      </w:pPr>
      <w:r>
        <w:t>3.3.43.206 Intern und extern erzeugte Kohärenz</w:t>
      </w:r>
    </w:p>
    <w:p w:rsidR="008530F8" w:rsidRDefault="008530F8" w:rsidP="008530F8">
      <w:pPr>
        <w:pStyle w:val="StandardWeb"/>
      </w:pPr>
      <w:r>
        <w:t>Ich unterscheide daher</w:t>
      </w:r>
    </w:p>
    <w:p w:rsidR="008530F8" w:rsidRDefault="008530F8" w:rsidP="008530F8">
      <w:pPr>
        <w:pStyle w:val="StandardWeb"/>
      </w:pPr>
      <w:r>
        <w:t>[</w:t>
      </w:r>
      <w:r>
        <w:br/>
        <w:t>C_{\mathrm{int}}</w:t>
      </w:r>
      <w:r>
        <w:br/>
        <w:t>\tag{3.8842}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C_{\mathrm{int}}</w:t>
      </w:r>
    </w:p>
    <w:p w:rsidR="008530F8" w:rsidRDefault="008530F8" w:rsidP="008530F8">
      <w:pPr>
        <w:pStyle w:val="StandardWeb"/>
      </w:pPr>
      <w:r>
        <w:t>und</w:t>
      </w:r>
    </w:p>
    <w:p w:rsidR="008530F8" w:rsidRDefault="008530F8" w:rsidP="008530F8">
      <w:pPr>
        <w:pStyle w:val="StandardWeb"/>
      </w:pPr>
      <w:r>
        <w:t>[</w:t>
      </w:r>
      <w:r>
        <w:br/>
        <w:t>C_{\mathrm{ext}}.</w:t>
      </w:r>
      <w:r>
        <w:br/>
        <w:t>\tag{3.8843}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C_{\mathrm{ext}}</w:t>
      </w:r>
    </w:p>
    <w:p w:rsidR="008530F8" w:rsidRDefault="008530F8" w:rsidP="008530F8">
      <w:pPr>
        <w:pStyle w:val="StandardWeb"/>
      </w:pPr>
      <w:r>
        <w:t>Die erste Größe beschreibt intern erzeugte beziehungsweise intern stabilisierte Kohärenz, die zweite durch äußere Kopplung induzierte Kohärenz.</w:t>
      </w:r>
    </w:p>
    <w:p w:rsidR="008530F8" w:rsidRDefault="00E50336" w:rsidP="008530F8">
      <w:r>
        <w:pict>
          <v:rect id="_x0000_i2453" style="width:0;height:1.5pt" o:hralign="center" o:hrstd="t" o:hr="t" fillcolor="#a0a0a0" stroked="f"/>
        </w:pict>
      </w:r>
    </w:p>
    <w:p w:rsidR="008530F8" w:rsidRDefault="008530F8" w:rsidP="008530F8">
      <w:pPr>
        <w:pStyle w:val="berschrift1"/>
      </w:pPr>
      <w:r>
        <w:t>3.3.43.207 Gesamtbeitrag zur Kohärenz</w:t>
      </w:r>
    </w:p>
    <w:p w:rsidR="008530F8" w:rsidRDefault="008530F8" w:rsidP="008530F8">
      <w:pPr>
        <w:pStyle w:val="StandardWeb"/>
      </w:pPr>
      <w:r>
        <w:t>Eine symbolische Zerlegung lautet</w:t>
      </w:r>
    </w:p>
    <w:p w:rsidR="008530F8" w:rsidRDefault="008530F8" w:rsidP="008530F8">
      <w:pPr>
        <w:pStyle w:val="berschrift1"/>
      </w:pPr>
      <w:r>
        <w:t>[</w:t>
      </w:r>
      <w:r>
        <w:br/>
        <w:t>C_{\mathrm{sys}}</w:t>
      </w:r>
    </w:p>
    <w:p w:rsidR="008530F8" w:rsidRDefault="008530F8" w:rsidP="008530F8">
      <w:pPr>
        <w:pStyle w:val="StandardWeb"/>
      </w:pPr>
      <w:r>
        <w:t>\mathcal F</w:t>
      </w:r>
      <w:r>
        <w:br/>
        <w:t>\left(</w:t>
      </w:r>
      <w:r>
        <w:br/>
        <w:t>C_{\mathrm{int}},</w:t>
      </w:r>
      <w:r>
        <w:br/>
        <w:t>C_{\mathrm{ext}},</w:t>
      </w:r>
      <w:r>
        <w:br/>
        <w:t>C_{\mathrm{mix}}</w:t>
      </w:r>
      <w:r>
        <w:br/>
      </w:r>
      <w:r>
        <w:lastRenderedPageBreak/>
        <w:t>\right).</w:t>
      </w:r>
      <w:r>
        <w:br/>
        <w:t>\tag{3.8844}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C_{\mathrm{sys}}=\mathcal F\left(C_{\mathrm{int}},C_{\mathrm{ext}},C_{\mathrm{mix}}\right)</w:t>
      </w:r>
    </w:p>
    <w:p w:rsidR="008530F8" w:rsidRDefault="008530F8" w:rsidP="008530F8">
      <w:pPr>
        <w:pStyle w:val="StandardWeb"/>
      </w:pPr>
      <w:r>
        <w:t>Dabei beschreibt (C_{\mathrm{mix}}) Wechselwirkungen zwischen internen und externen Beiträgen.</w:t>
      </w:r>
    </w:p>
    <w:p w:rsidR="008530F8" w:rsidRDefault="00E50336" w:rsidP="008530F8">
      <w:r>
        <w:pict>
          <v:rect id="_x0000_i2454" style="width:0;height:1.5pt" o:hralign="center" o:hrstd="t" o:hr="t" fillcolor="#a0a0a0" stroked="f"/>
        </w:pict>
      </w:r>
    </w:p>
    <w:p w:rsidR="008530F8" w:rsidRDefault="008530F8" w:rsidP="008530F8">
      <w:pPr>
        <w:pStyle w:val="berschrift1"/>
      </w:pPr>
      <w:r>
        <w:t>3.3.43.208 Kohärenzregulation</w:t>
      </w:r>
    </w:p>
    <w:p w:rsidR="008530F8" w:rsidRDefault="008530F8" w:rsidP="008530F8">
      <w:pPr>
        <w:pStyle w:val="StandardWeb"/>
      </w:pPr>
      <w:r>
        <w:t>Ein System kann Operatoren besitzen, die seinen Kohärenzzustand beeinflussen.</w:t>
      </w:r>
    </w:p>
    <w:p w:rsidR="008530F8" w:rsidRDefault="008530F8" w:rsidP="008530F8">
      <w:pPr>
        <w:pStyle w:val="StandardWeb"/>
      </w:pPr>
      <w:r>
        <w:t>Sei</w:t>
      </w:r>
    </w:p>
    <w:p w:rsidR="008530F8" w:rsidRDefault="008530F8" w:rsidP="008530F8">
      <w:pPr>
        <w:pStyle w:val="StandardWeb"/>
      </w:pPr>
      <w:r>
        <w:t>[</w:t>
      </w:r>
      <w:r>
        <w:br/>
        <w:t>\mathcal R_C^{\mathrm{op}}</w:t>
      </w:r>
      <w:r>
        <w:br/>
        <w:t>\tag{3.8845}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R_C^{\mathrm{op}}</w:t>
      </w:r>
    </w:p>
    <w:p w:rsidR="008530F8" w:rsidRDefault="008530F8" w:rsidP="008530F8">
      <w:pPr>
        <w:pStyle w:val="StandardWeb"/>
      </w:pPr>
      <w:r>
        <w:t>ein regulatorischer Operator.</w:t>
      </w:r>
    </w:p>
    <w:p w:rsidR="008530F8" w:rsidRDefault="008530F8" w:rsidP="008530F8">
      <w:pPr>
        <w:pStyle w:val="StandardWeb"/>
      </w:pPr>
      <w:r>
        <w:t>Dann gilt</w:t>
      </w:r>
    </w:p>
    <w:p w:rsidR="008530F8" w:rsidRDefault="008530F8" w:rsidP="008530F8">
      <w:pPr>
        <w:pStyle w:val="berschrift1"/>
      </w:pPr>
      <w:r>
        <w:t>[</w:t>
      </w:r>
      <w:r>
        <w:br/>
        <w:t>C'</w:t>
      </w:r>
    </w:p>
    <w:p w:rsidR="008530F8" w:rsidRDefault="008530F8" w:rsidP="008530F8">
      <w:pPr>
        <w:pStyle w:val="StandardWeb"/>
      </w:pPr>
      <w:r>
        <w:t>\mathcal R_C^{\mathrm{op}}[C].</w:t>
      </w:r>
      <w:r>
        <w:br/>
        <w:t>\tag{3.8846}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C'=\mathcal R_C^{\mathrm{op}}[C]</w:t>
      </w:r>
    </w:p>
    <w:p w:rsidR="008530F8" w:rsidRDefault="00E50336" w:rsidP="008530F8">
      <w:r>
        <w:pict>
          <v:rect id="_x0000_i2455" style="width:0;height:1.5pt" o:hralign="center" o:hrstd="t" o:hr="t" fillcolor="#a0a0a0" stroked="f"/>
        </w:pict>
      </w:r>
    </w:p>
    <w:p w:rsidR="008530F8" w:rsidRDefault="008530F8" w:rsidP="008530F8">
      <w:pPr>
        <w:pStyle w:val="berschrift1"/>
      </w:pPr>
      <w:r>
        <w:t>3.3.43.209 Positive Kohärenzregulation</w:t>
      </w:r>
    </w:p>
    <w:p w:rsidR="008530F8" w:rsidRDefault="008530F8" w:rsidP="008530F8">
      <w:pPr>
        <w:pStyle w:val="StandardWeb"/>
      </w:pPr>
      <w:r>
        <w:t>Für</w:t>
      </w:r>
    </w:p>
    <w:p w:rsidR="008530F8" w:rsidRDefault="008530F8" w:rsidP="008530F8">
      <w:pPr>
        <w:pStyle w:val="StandardWeb"/>
      </w:pPr>
      <w:r>
        <w:lastRenderedPageBreak/>
        <w:t>[</w:t>
      </w:r>
      <w:r>
        <w:br/>
        <w:t>C'&gt;C</w:t>
      </w:r>
      <w:r>
        <w:br/>
        <w:t>\tag{3.8847}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C'&gt;C</w:t>
      </w:r>
    </w:p>
    <w:p w:rsidR="008530F8" w:rsidRDefault="008530F8" w:rsidP="008530F8">
      <w:pPr>
        <w:pStyle w:val="StandardWeb"/>
      </w:pPr>
      <w:r>
        <w:t>spreche ich von kohärenzsteigernder Regulation.</w:t>
      </w:r>
    </w:p>
    <w:p w:rsidR="008530F8" w:rsidRDefault="00E50336" w:rsidP="008530F8">
      <w:r>
        <w:pict>
          <v:rect id="_x0000_i2456" style="width:0;height:1.5pt" o:hralign="center" o:hrstd="t" o:hr="t" fillcolor="#a0a0a0" stroked="f"/>
        </w:pict>
      </w:r>
    </w:p>
    <w:p w:rsidR="008530F8" w:rsidRDefault="008530F8" w:rsidP="008530F8">
      <w:pPr>
        <w:pStyle w:val="berschrift1"/>
      </w:pPr>
      <w:r>
        <w:t>3.3.43.210 Negative Kohärenzregulation</w:t>
      </w:r>
    </w:p>
    <w:p w:rsidR="008530F8" w:rsidRDefault="008530F8" w:rsidP="008530F8">
      <w:pPr>
        <w:pStyle w:val="StandardWeb"/>
      </w:pPr>
      <w:r>
        <w:t>Für</w:t>
      </w:r>
    </w:p>
    <w:p w:rsidR="008530F8" w:rsidRDefault="008530F8" w:rsidP="008530F8">
      <w:pPr>
        <w:pStyle w:val="StandardWeb"/>
      </w:pPr>
      <w:r>
        <w:t>[</w:t>
      </w:r>
      <w:r>
        <w:br/>
        <w:t>C'&lt;C</w:t>
      </w:r>
      <w:r>
        <w:br/>
        <w:t>\tag{3.8848}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C'&lt;C</w:t>
      </w:r>
    </w:p>
    <w:p w:rsidR="008530F8" w:rsidRDefault="008530F8" w:rsidP="008530F8">
      <w:pPr>
        <w:pStyle w:val="StandardWeb"/>
      </w:pPr>
      <w:r>
        <w:t>liegt eine kohärenzsenkende Wirkung vor.</w:t>
      </w:r>
    </w:p>
    <w:p w:rsidR="008530F8" w:rsidRDefault="008530F8" w:rsidP="008530F8">
      <w:pPr>
        <w:pStyle w:val="StandardWeb"/>
      </w:pPr>
      <w:r>
        <w:t>Diese Wirkung kann funktional notwendig sein und ist nicht automatisch negativ zu bewerten.</w:t>
      </w:r>
    </w:p>
    <w:p w:rsidR="008530F8" w:rsidRDefault="00E50336" w:rsidP="008530F8">
      <w:r>
        <w:pict>
          <v:rect id="_x0000_i2457" style="width:0;height:1.5pt" o:hralign="center" o:hrstd="t" o:hr="t" fillcolor="#a0a0a0" stroked="f"/>
        </w:pict>
      </w:r>
    </w:p>
    <w:p w:rsidR="008530F8" w:rsidRDefault="008530F8" w:rsidP="008530F8">
      <w:pPr>
        <w:pStyle w:val="berschrift1"/>
      </w:pPr>
      <w:r>
        <w:t>3.3.43.211 Optimale Kohärenz ist nicht notwendigerweise maximale Kohärenz</w:t>
      </w:r>
    </w:p>
    <w:p w:rsidR="008530F8" w:rsidRDefault="008530F8" w:rsidP="008530F8">
      <w:pPr>
        <w:pStyle w:val="StandardWeb"/>
      </w:pPr>
      <w:r>
        <w:t>Ich halte ausdrücklich fest:</w:t>
      </w:r>
    </w:p>
    <w:p w:rsidR="008530F8" w:rsidRDefault="008530F8" w:rsidP="008530F8">
      <w:pPr>
        <w:pStyle w:val="StandardWeb"/>
      </w:pPr>
      <w:r>
        <w:t>[</w:t>
      </w:r>
      <w:r>
        <w:br/>
        <w:t>C_{\mathrm{optimal}}</w:t>
      </w:r>
      <w:r>
        <w:br/>
        <w:t>\neq</w:t>
      </w:r>
      <w:r>
        <w:br/>
        <w:t>1</w:t>
      </w:r>
      <w:r>
        <w:br/>
        <w:t>\tag{3.8849}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C_{\mathrm{optimal}}\neq1</w:t>
      </w:r>
    </w:p>
    <w:p w:rsidR="008530F8" w:rsidRDefault="008530F8" w:rsidP="008530F8">
      <w:pPr>
        <w:pStyle w:val="StandardWeb"/>
      </w:pPr>
      <w:r>
        <w:t>im Allgemeinen.</w:t>
      </w:r>
    </w:p>
    <w:p w:rsidR="008530F8" w:rsidRDefault="008530F8" w:rsidP="008530F8">
      <w:pPr>
        <w:pStyle w:val="StandardWeb"/>
      </w:pPr>
      <w:r>
        <w:lastRenderedPageBreak/>
        <w:t>Ein System kann funktionale Flexibilität gerade dadurch besitzen, dass nicht sämtliche Komponenten maximal gekoppelt sind.</w:t>
      </w:r>
    </w:p>
    <w:p w:rsidR="008530F8" w:rsidRDefault="00E50336" w:rsidP="008530F8">
      <w:r>
        <w:pict>
          <v:rect id="_x0000_i2458" style="width:0;height:1.5pt" o:hralign="center" o:hrstd="t" o:hr="t" fillcolor="#a0a0a0" stroked="f"/>
        </w:pict>
      </w:r>
    </w:p>
    <w:p w:rsidR="008530F8" w:rsidRDefault="008530F8" w:rsidP="008530F8">
      <w:pPr>
        <w:pStyle w:val="berschrift1"/>
      </w:pPr>
      <w:r>
        <w:t>3.3.43.212 Überkohärenz</w:t>
      </w:r>
    </w:p>
    <w:p w:rsidR="008530F8" w:rsidRDefault="008530F8" w:rsidP="008530F8">
      <w:pPr>
        <w:pStyle w:val="StandardWeb"/>
      </w:pPr>
      <w:r>
        <w:t xml:space="preserve">Ich führe deshalb den diagnostischen Begriff einer möglichen </w:t>
      </w:r>
      <w:r>
        <w:rPr>
          <w:rStyle w:val="Fett"/>
        </w:rPr>
        <w:t>Überkohärenz</w:t>
      </w:r>
      <w:r>
        <w:t xml:space="preserve"> ein.</w:t>
      </w:r>
    </w:p>
    <w:p w:rsidR="008530F8" w:rsidRDefault="008530F8" w:rsidP="008530F8">
      <w:pPr>
        <w:pStyle w:val="StandardWeb"/>
      </w:pPr>
      <w:r>
        <w:t>Eine Überkohärenz liegt vor, wenn ein Kohärenzzuwachs die funktionale Anpassungsfähigkeit oder Differenzierungsfähigkeit des Systems reduziert.</w:t>
      </w:r>
    </w:p>
    <w:p w:rsidR="008530F8" w:rsidRDefault="008530F8" w:rsidP="008530F8">
      <w:pPr>
        <w:pStyle w:val="StandardWeb"/>
      </w:pPr>
      <w:r>
        <w:t>Abstrakt:</w:t>
      </w:r>
    </w:p>
    <w:p w:rsidR="008530F8" w:rsidRDefault="008530F8" w:rsidP="008530F8">
      <w:pPr>
        <w:pStyle w:val="StandardWeb"/>
      </w:pPr>
      <w:r>
        <w:t>[</w:t>
      </w:r>
      <w:r>
        <w:br/>
        <w:t>\frac{\partial F_{\mathrm{adapt}}}</w:t>
      </w:r>
      <w:r>
        <w:br/>
        <w:t>{\partial C}</w:t>
      </w:r>
      <w:r>
        <w:br/>
        <w:t>&lt;</w:t>
      </w:r>
      <w:r>
        <w:br/>
        <w:t>0</w:t>
      </w:r>
      <w:r>
        <w:br/>
        <w:t>\qquad</w:t>
      </w:r>
      <w:r>
        <w:br/>
        <w:t>\text{für }</w:t>
      </w:r>
      <w:r>
        <w:br/>
        <w:t>C&gt;C_{\mathrm{opt}}.</w:t>
      </w:r>
      <w:r>
        <w:br/>
        <w:t>\tag{3.8850}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\frac{\partial F_{\mathrm{adapt}}}{\partial C}&lt;0\qquad\text{für }C&gt;C_{\mathrm{opt}}</w:t>
      </w:r>
    </w:p>
    <w:p w:rsidR="008530F8" w:rsidRDefault="00E50336" w:rsidP="008530F8">
      <w:r>
        <w:pict>
          <v:rect id="_x0000_i2459" style="width:0;height:1.5pt" o:hralign="center" o:hrstd="t" o:hr="t" fillcolor="#a0a0a0" stroked="f"/>
        </w:pict>
      </w:r>
    </w:p>
    <w:p w:rsidR="008530F8" w:rsidRDefault="008530F8" w:rsidP="008530F8">
      <w:pPr>
        <w:pStyle w:val="berschrift1"/>
      </w:pPr>
      <w:r>
        <w:t>3.3.43.213 Unterkohärenz</w:t>
      </w:r>
    </w:p>
    <w:p w:rsidR="008530F8" w:rsidRDefault="008530F8" w:rsidP="008530F8">
      <w:pPr>
        <w:pStyle w:val="StandardWeb"/>
      </w:pPr>
      <w:r>
        <w:t>Analog liegt Unterkohärenz vor, wenn</w:t>
      </w:r>
    </w:p>
    <w:p w:rsidR="008530F8" w:rsidRDefault="008530F8" w:rsidP="008530F8">
      <w:pPr>
        <w:pStyle w:val="StandardWeb"/>
      </w:pPr>
      <w:r>
        <w:t>[</w:t>
      </w:r>
      <w:r>
        <w:br/>
        <w:t>C&lt;C_{\mathrm{min}}</w:t>
      </w:r>
      <w:r>
        <w:br/>
        <w:t>\tag{3.8851}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C&lt;C_{\mathrm{min}}</w:t>
      </w:r>
    </w:p>
    <w:p w:rsidR="008530F8" w:rsidRDefault="008530F8" w:rsidP="008530F8">
      <w:pPr>
        <w:pStyle w:val="StandardWeb"/>
      </w:pPr>
      <w:r>
        <w:t>und dadurch die für die betrachtete Gesamtfunktion notwendige Kopplung unterschritten wird.</w:t>
      </w:r>
    </w:p>
    <w:p w:rsidR="008530F8" w:rsidRDefault="00E50336" w:rsidP="008530F8">
      <w:r>
        <w:pict>
          <v:rect id="_x0000_i2460" style="width:0;height:1.5pt" o:hralign="center" o:hrstd="t" o:hr="t" fillcolor="#a0a0a0" stroked="f"/>
        </w:pict>
      </w:r>
    </w:p>
    <w:p w:rsidR="008530F8" w:rsidRDefault="008530F8" w:rsidP="008530F8">
      <w:pPr>
        <w:pStyle w:val="berschrift1"/>
      </w:pPr>
      <w:r>
        <w:t>3.3.43.214 Funktionales Kohärenzfenster</w:t>
      </w:r>
    </w:p>
    <w:p w:rsidR="008530F8" w:rsidRDefault="008530F8" w:rsidP="008530F8">
      <w:pPr>
        <w:pStyle w:val="StandardWeb"/>
      </w:pPr>
      <w:r>
        <w:lastRenderedPageBreak/>
        <w:t>Damit kann ein zulässiger Bereich</w:t>
      </w:r>
    </w:p>
    <w:p w:rsidR="008530F8" w:rsidRDefault="008530F8" w:rsidP="008530F8">
      <w:pPr>
        <w:pStyle w:val="StandardWeb"/>
      </w:pPr>
      <w:r>
        <w:t>[</w:t>
      </w:r>
      <w:r>
        <w:br/>
        <w:t>C</w:t>
      </w:r>
      <w:r>
        <w:br/>
        <w:t>\in</w:t>
      </w:r>
      <w:r>
        <w:br/>
        <w:t>[C_{\mathrm{min}},C_{\mathrm{max}}]</w:t>
      </w:r>
      <w:r>
        <w:br/>
        <w:t>\tag{3.8852}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C\in[C_{\mathrm{min}},C_{\mathrm{max}}]</w:t>
      </w:r>
    </w:p>
    <w:p w:rsidR="008530F8" w:rsidRDefault="008530F8" w:rsidP="008530F8">
      <w:pPr>
        <w:pStyle w:val="StandardWeb"/>
      </w:pPr>
      <w:r>
        <w:t>definiert werden.</w:t>
      </w:r>
    </w:p>
    <w:p w:rsidR="008530F8" w:rsidRDefault="00E50336" w:rsidP="008530F8">
      <w:r>
        <w:pict>
          <v:rect id="_x0000_i2461" style="width:0;height:1.5pt" o:hralign="center" o:hrstd="t" o:hr="t" fillcolor="#a0a0a0" stroked="f"/>
        </w:pict>
      </w:r>
    </w:p>
    <w:p w:rsidR="008530F8" w:rsidRDefault="008530F8" w:rsidP="008530F8">
      <w:pPr>
        <w:pStyle w:val="berschrift1"/>
      </w:pPr>
      <w:r>
        <w:t>3.3.43.215 Definition 3.3.64 – Funktionales Kohärenzfenster</w:t>
      </w:r>
    </w:p>
    <w:p w:rsidR="008530F8" w:rsidRDefault="008530F8" w:rsidP="008530F8">
      <w:pPr>
        <w:pStyle w:val="berschrift3"/>
      </w:pPr>
      <w:r>
        <w:t>Definition 3.3.64</w:t>
      </w:r>
    </w:p>
    <w:p w:rsidR="008530F8" w:rsidRDefault="008530F8" w:rsidP="008530F8">
      <w:pPr>
        <w:pStyle w:val="StandardWeb"/>
      </w:pPr>
      <w:r>
        <w:t xml:space="preserve">Ein </w:t>
      </w:r>
      <w:r>
        <w:rPr>
          <w:rStyle w:val="Fett"/>
        </w:rPr>
        <w:t>funktionales Kohärenzfenster</w:t>
      </w:r>
      <w:r>
        <w:t xml:space="preserve"> ist der Bereich von Kohärenzwerten, innerhalb dessen eine zuvor definierte Systemfunktion (F) ihre geforderte Funktionsfähigkeit erfüllt:</w:t>
      </w:r>
    </w:p>
    <w:p w:rsidR="008530F8" w:rsidRDefault="008530F8" w:rsidP="008530F8">
      <w:pPr>
        <w:pStyle w:val="berschrift1"/>
      </w:pPr>
      <w:r>
        <w:t>[</w:t>
      </w:r>
      <w:r>
        <w:br/>
        <w:t>\Omega_C^{F}</w:t>
      </w:r>
    </w:p>
    <w:p w:rsidR="008530F8" w:rsidRDefault="008530F8" w:rsidP="008530F8">
      <w:pPr>
        <w:pStyle w:val="StandardWeb"/>
      </w:pPr>
      <w:r>
        <w:t>\left{</w:t>
      </w:r>
      <w:r>
        <w:br/>
        <w:t>C:</w:t>
      </w:r>
      <w:r>
        <w:br/>
        <w:t>F(C)\geq\tau_F</w:t>
      </w:r>
      <w:r>
        <w:br/>
        <w:t>\right}.</w:t>
      </w:r>
      <w:r>
        <w:br/>
        <w:t>\tag{3.8853}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\Omega_C^{F}=\left\{C:F(C)\geq\tau_F\right\}</w:t>
      </w:r>
    </w:p>
    <w:p w:rsidR="008530F8" w:rsidRDefault="00E50336" w:rsidP="008530F8">
      <w:r>
        <w:pict>
          <v:rect id="_x0000_i2462" style="width:0;height:1.5pt" o:hralign="center" o:hrstd="t" o:hr="t" fillcolor="#a0a0a0" stroked="f"/>
        </w:pict>
      </w:r>
    </w:p>
    <w:p w:rsidR="008530F8" w:rsidRDefault="008530F8" w:rsidP="008530F8">
      <w:pPr>
        <w:pStyle w:val="berschrift1"/>
      </w:pPr>
      <w:r>
        <w:t>3.3.43.216 Kohärenzoptimum</w:t>
      </w:r>
    </w:p>
    <w:p w:rsidR="008530F8" w:rsidRDefault="008530F8" w:rsidP="008530F8">
      <w:pPr>
        <w:pStyle w:val="StandardWeb"/>
      </w:pPr>
      <w:r>
        <w:t>Ein Kohärenzoptimum kann definiert werden durch</w:t>
      </w:r>
    </w:p>
    <w:p w:rsidR="008530F8" w:rsidRDefault="008530F8" w:rsidP="008530F8">
      <w:pPr>
        <w:pStyle w:val="berschrift1"/>
      </w:pPr>
      <w:r>
        <w:t>[</w:t>
      </w:r>
      <w:r>
        <w:br/>
        <w:t>C_{\mathrm{opt}}</w:t>
      </w:r>
    </w:p>
    <w:p w:rsidR="008530F8" w:rsidRDefault="008530F8" w:rsidP="008530F8">
      <w:pPr>
        <w:pStyle w:val="StandardWeb"/>
      </w:pPr>
      <w:r>
        <w:lastRenderedPageBreak/>
        <w:t>\arg\max_C</w:t>
      </w:r>
      <w:r>
        <w:br/>
        <w:t>F(C).</w:t>
      </w:r>
      <w:r>
        <w:br/>
        <w:t>\tag{3.8854}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C_{\mathrm{opt}}=\arg\max_C F(C)</w:t>
      </w:r>
    </w:p>
    <w:p w:rsidR="008530F8" w:rsidRDefault="008530F8" w:rsidP="008530F8">
      <w:pPr>
        <w:pStyle w:val="StandardWeb"/>
      </w:pPr>
      <w:r>
        <w:t>Diese Definition ist vollständig funktionsabhängig.</w:t>
      </w:r>
    </w:p>
    <w:p w:rsidR="008530F8" w:rsidRDefault="00E50336" w:rsidP="008530F8">
      <w:r>
        <w:pict>
          <v:rect id="_x0000_i2463" style="width:0;height:1.5pt" o:hralign="center" o:hrstd="t" o:hr="t" fillcolor="#a0a0a0" stroked="f"/>
        </w:pict>
      </w:r>
    </w:p>
    <w:p w:rsidR="008530F8" w:rsidRDefault="008530F8" w:rsidP="008530F8">
      <w:pPr>
        <w:pStyle w:val="berschrift1"/>
      </w:pPr>
      <w:r>
        <w:t>3.3.43.217 Keine universelle optimale Kohärenz</w:t>
      </w:r>
    </w:p>
    <w:p w:rsidR="008530F8" w:rsidRDefault="008530F8" w:rsidP="008530F8">
      <w:pPr>
        <w:pStyle w:val="StandardWeb"/>
      </w:pPr>
      <w:r>
        <w:t>Es gilt</w:t>
      </w:r>
    </w:p>
    <w:p w:rsidR="008530F8" w:rsidRDefault="008530F8" w:rsidP="008530F8">
      <w:pPr>
        <w:pStyle w:val="berschrift1"/>
      </w:pPr>
      <w:r>
        <w:t>[</w:t>
      </w:r>
      <w:r>
        <w:br/>
        <w:t>C_{\mathrm{opt}}</w:t>
      </w:r>
    </w:p>
    <w:p w:rsidR="008530F8" w:rsidRDefault="008530F8" w:rsidP="008530F8">
      <w:pPr>
        <w:pStyle w:val="StandardWeb"/>
      </w:pPr>
      <w:r>
        <w:t>C_{\mathrm{opt}}(F,\Omega,\mathcal C).</w:t>
      </w:r>
      <w:r>
        <w:br/>
        <w:t>\tag{3.8855}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C_{\mathrm{opt}}=C_{\mathrm{opt}}(F,\Omega,\mathcal C)</w:t>
      </w:r>
    </w:p>
    <w:p w:rsidR="008530F8" w:rsidRDefault="008530F8" w:rsidP="008530F8">
      <w:pPr>
        <w:pStyle w:val="StandardWeb"/>
      </w:pPr>
      <w:r>
        <w:t>Ein universeller optimaler Kohärenzwert wird daher nicht postuliert.</w:t>
      </w:r>
    </w:p>
    <w:p w:rsidR="008530F8" w:rsidRDefault="00E50336" w:rsidP="008530F8">
      <w:r>
        <w:pict>
          <v:rect id="_x0000_i2464" style="width:0;height:1.5pt" o:hralign="center" o:hrstd="t" o:hr="t" fillcolor="#a0a0a0" stroked="f"/>
        </w:pict>
      </w:r>
    </w:p>
    <w:p w:rsidR="008530F8" w:rsidRDefault="008530F8" w:rsidP="008530F8">
      <w:pPr>
        <w:pStyle w:val="berschrift1"/>
      </w:pPr>
      <w:r>
        <w:t>3.3.43.218 Kohärenz und funktionale Differenzierung</w:t>
      </w:r>
    </w:p>
    <w:p w:rsidR="008530F8" w:rsidRDefault="008530F8" w:rsidP="008530F8">
      <w:pPr>
        <w:pStyle w:val="StandardWeb"/>
      </w:pPr>
      <w:r>
        <w:t>Sei</w:t>
      </w:r>
    </w:p>
    <w:p w:rsidR="008530F8" w:rsidRDefault="008530F8" w:rsidP="008530F8">
      <w:pPr>
        <w:pStyle w:val="StandardWeb"/>
      </w:pPr>
      <w:r>
        <w:t>[</w:t>
      </w:r>
      <w:r>
        <w:br/>
        <w:t>D_F</w:t>
      </w:r>
      <w:r>
        <w:br/>
        <w:t>\tag{3.8856}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D_F</w:t>
      </w:r>
    </w:p>
    <w:p w:rsidR="008530F8" w:rsidRDefault="008530F8" w:rsidP="008530F8">
      <w:pPr>
        <w:pStyle w:val="StandardWeb"/>
      </w:pPr>
      <w:r>
        <w:t>ein Maß funktionaler Differenzierung.</w:t>
      </w:r>
    </w:p>
    <w:p w:rsidR="008530F8" w:rsidRDefault="008530F8" w:rsidP="008530F8">
      <w:pPr>
        <w:pStyle w:val="StandardWeb"/>
      </w:pPr>
      <w:r>
        <w:t>Dann können Kohärenz und Differenzierung gemeinsam betrachtet werden:</w:t>
      </w:r>
    </w:p>
    <w:p w:rsidR="008530F8" w:rsidRDefault="008530F8" w:rsidP="008530F8">
      <w:pPr>
        <w:pStyle w:val="berschrift1"/>
      </w:pPr>
      <w:r>
        <w:lastRenderedPageBreak/>
        <w:t>[</w:t>
      </w:r>
      <w:r>
        <w:br/>
        <w:t>\mathbf P_{CD}</w:t>
      </w:r>
    </w:p>
    <w:p w:rsidR="008530F8" w:rsidRDefault="008530F8" w:rsidP="008530F8">
      <w:pPr>
        <w:pStyle w:val="StandardWeb"/>
      </w:pPr>
      <w:r>
        <w:t>(C,D_F).</w:t>
      </w:r>
      <w:r>
        <w:br/>
        <w:t>\tag{3.8857}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\mathbf P_{CD}=(C,D_F)</w:t>
      </w:r>
    </w:p>
    <w:p w:rsidR="008530F8" w:rsidRDefault="00E50336" w:rsidP="008530F8">
      <w:r>
        <w:pict>
          <v:rect id="_x0000_i2465" style="width:0;height:1.5pt" o:hralign="center" o:hrstd="t" o:hr="t" fillcolor="#a0a0a0" stroked="f"/>
        </w:pict>
      </w:r>
    </w:p>
    <w:p w:rsidR="008530F8" w:rsidRDefault="008530F8" w:rsidP="008530F8">
      <w:pPr>
        <w:pStyle w:val="berschrift1"/>
      </w:pPr>
      <w:r>
        <w:t>3.3.43.219 Maximale Gleichförmigkeit ist nicht maximale Kohärenz</w:t>
      </w:r>
    </w:p>
    <w:p w:rsidR="008530F8" w:rsidRDefault="008530F8" w:rsidP="008530F8">
      <w:pPr>
        <w:pStyle w:val="StandardWeb"/>
      </w:pPr>
      <w:r>
        <w:t>Insbesondere gilt</w:t>
      </w:r>
    </w:p>
    <w:p w:rsidR="008530F8" w:rsidRDefault="008530F8" w:rsidP="008530F8">
      <w:pPr>
        <w:pStyle w:val="StandardWeb"/>
      </w:pPr>
      <w:r>
        <w:t>[</w:t>
      </w:r>
      <w:r>
        <w:br/>
        <w:t>D_F=0</w:t>
      </w:r>
      <w:r>
        <w:br/>
        <w:t>\nRightarrow</w:t>
      </w:r>
      <w:r>
        <w:br/>
        <w:t>C=1.</w:t>
      </w:r>
      <w:r>
        <w:br/>
        <w:t>\tag{3.8858}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D_F=0\nRightarrow C=1</w:t>
      </w:r>
    </w:p>
    <w:p w:rsidR="008530F8" w:rsidRDefault="008530F8" w:rsidP="008530F8">
      <w:pPr>
        <w:pStyle w:val="StandardWeb"/>
      </w:pPr>
      <w:r>
        <w:t>Identische Komponenten sind nicht automatisch funktional kohärent.</w:t>
      </w:r>
    </w:p>
    <w:p w:rsidR="008530F8" w:rsidRDefault="00E50336" w:rsidP="008530F8">
      <w:r>
        <w:pict>
          <v:rect id="_x0000_i2466" style="width:0;height:1.5pt" o:hralign="center" o:hrstd="t" o:hr="t" fillcolor="#a0a0a0" stroked="f"/>
        </w:pict>
      </w:r>
    </w:p>
    <w:p w:rsidR="008530F8" w:rsidRDefault="008530F8" w:rsidP="008530F8">
      <w:pPr>
        <w:pStyle w:val="berschrift1"/>
      </w:pPr>
      <w:r>
        <w:t>3.3.43.220 Kohärenz durch funktionale Verschiedenheit</w:t>
      </w:r>
    </w:p>
    <w:p w:rsidR="008530F8" w:rsidRDefault="008530F8" w:rsidP="008530F8">
      <w:pPr>
        <w:pStyle w:val="StandardWeb"/>
      </w:pPr>
      <w:r>
        <w:t>Umgekehrt kann</w:t>
      </w:r>
    </w:p>
    <w:p w:rsidR="008530F8" w:rsidRDefault="008530F8" w:rsidP="008530F8">
      <w:pPr>
        <w:pStyle w:val="StandardWeb"/>
      </w:pPr>
      <w:r>
        <w:t>[</w:t>
      </w:r>
      <w:r>
        <w:br/>
        <w:t>D_F&gt;0</w:t>
      </w:r>
      <w:r>
        <w:br/>
        <w:t>\tag{3.8859}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D_F&gt;0</w:t>
      </w:r>
    </w:p>
    <w:p w:rsidR="008530F8" w:rsidRDefault="008530F8" w:rsidP="008530F8">
      <w:pPr>
        <w:pStyle w:val="StandardWeb"/>
      </w:pPr>
      <w:r>
        <w:t>mit hoher Kohärenz</w:t>
      </w:r>
    </w:p>
    <w:p w:rsidR="008530F8" w:rsidRDefault="008530F8" w:rsidP="008530F8">
      <w:pPr>
        <w:pStyle w:val="StandardWeb"/>
      </w:pPr>
      <w:r>
        <w:lastRenderedPageBreak/>
        <w:t>[</w:t>
      </w:r>
      <w:r>
        <w:br/>
        <w:t>C\approx1</w:t>
      </w:r>
      <w:r>
        <w:br/>
        <w:t>\tag{3.8860}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C\approx1</w:t>
      </w:r>
    </w:p>
    <w:p w:rsidR="008530F8" w:rsidRDefault="008530F8" w:rsidP="008530F8">
      <w:pPr>
        <w:pStyle w:val="StandardWeb"/>
      </w:pPr>
      <w:r>
        <w:t>vereinbar sein.</w:t>
      </w:r>
    </w:p>
    <w:p w:rsidR="008530F8" w:rsidRDefault="008530F8" w:rsidP="008530F8">
      <w:pPr>
        <w:pStyle w:val="StandardWeb"/>
      </w:pPr>
      <w:r>
        <w:t>Dies entspricht einer funktional differenzierten, aber stark abgestimmten Struktur.</w:t>
      </w:r>
    </w:p>
    <w:p w:rsidR="008530F8" w:rsidRDefault="00E50336" w:rsidP="008530F8">
      <w:r>
        <w:pict>
          <v:rect id="_x0000_i2467" style="width:0;height:1.5pt" o:hralign="center" o:hrstd="t" o:hr="t" fillcolor="#a0a0a0" stroked="f"/>
        </w:pict>
      </w:r>
    </w:p>
    <w:p w:rsidR="008530F8" w:rsidRDefault="008530F8" w:rsidP="008530F8">
      <w:pPr>
        <w:pStyle w:val="berschrift1"/>
      </w:pPr>
      <w:r>
        <w:t>3.3.43.221 Kohärenz und Modularität</w:t>
      </w:r>
    </w:p>
    <w:p w:rsidR="008530F8" w:rsidRDefault="008530F8" w:rsidP="008530F8">
      <w:pPr>
        <w:pStyle w:val="StandardWeb"/>
      </w:pPr>
      <w:r>
        <w:t>Ein System kann in Module</w:t>
      </w:r>
    </w:p>
    <w:p w:rsidR="008530F8" w:rsidRDefault="008530F8" w:rsidP="008530F8">
      <w:pPr>
        <w:pStyle w:val="StandardWeb"/>
      </w:pPr>
      <w:r>
        <w:t>[</w:t>
      </w:r>
      <w:r>
        <w:br/>
        <w:t>\mathcal M_1,\ldots,\mathcal M_k</w:t>
      </w:r>
      <w:r>
        <w:br/>
        <w:t>\tag{3.8861}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M_1,\ldots,\mathcal M_k</w:t>
      </w:r>
    </w:p>
    <w:p w:rsidR="008530F8" w:rsidRDefault="008530F8" w:rsidP="008530F8">
      <w:pPr>
        <w:pStyle w:val="StandardWeb"/>
      </w:pPr>
      <w:r>
        <w:t>zerlegt werden.</w:t>
      </w:r>
    </w:p>
    <w:p w:rsidR="008530F8" w:rsidRDefault="008530F8" w:rsidP="008530F8">
      <w:pPr>
        <w:pStyle w:val="StandardWeb"/>
      </w:pPr>
      <w:r>
        <w:t>Für jedes Modul existiert eine interne Kohärenz</w:t>
      </w:r>
    </w:p>
    <w:p w:rsidR="008530F8" w:rsidRDefault="008530F8" w:rsidP="008530F8">
      <w:pPr>
        <w:pStyle w:val="StandardWeb"/>
      </w:pPr>
      <w:r>
        <w:t>[</w:t>
      </w:r>
      <w:r>
        <w:br/>
        <w:t>C_{\mathrm{in}}^{(k)}</w:t>
      </w:r>
      <w:r>
        <w:br/>
        <w:t>\tag{3.8862}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C_{\mathrm{in}}^{(k)}</w:t>
      </w:r>
    </w:p>
    <w:p w:rsidR="008530F8" w:rsidRDefault="008530F8" w:rsidP="008530F8">
      <w:pPr>
        <w:pStyle w:val="StandardWeb"/>
      </w:pPr>
      <w:r>
        <w:t>und zwischen Modulen eine externe Kohärenz</w:t>
      </w:r>
    </w:p>
    <w:p w:rsidR="008530F8" w:rsidRDefault="008530F8" w:rsidP="008530F8">
      <w:pPr>
        <w:pStyle w:val="StandardWeb"/>
      </w:pPr>
      <w:r>
        <w:t>[</w:t>
      </w:r>
      <w:r>
        <w:br/>
        <w:t>C_{\mathrm{out}}^{(kl)}.</w:t>
      </w:r>
      <w:r>
        <w:br/>
        <w:t>\tag{3.8863}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C_{\mathrm{out}}^{(kl)}</w:t>
      </w:r>
    </w:p>
    <w:p w:rsidR="008530F8" w:rsidRDefault="00E50336" w:rsidP="008530F8">
      <w:r>
        <w:lastRenderedPageBreak/>
        <w:pict>
          <v:rect id="_x0000_i2468" style="width:0;height:1.5pt" o:hralign="center" o:hrstd="t" o:hr="t" fillcolor="#a0a0a0" stroked="f"/>
        </w:pict>
      </w:r>
    </w:p>
    <w:p w:rsidR="008530F8" w:rsidRDefault="008530F8" w:rsidP="008530F8">
      <w:pPr>
        <w:pStyle w:val="berschrift1"/>
      </w:pPr>
      <w:r>
        <w:t>3.3.43.222 Modulare Kohärenz</w:t>
      </w:r>
    </w:p>
    <w:p w:rsidR="008530F8" w:rsidRDefault="008530F8" w:rsidP="008530F8">
      <w:pPr>
        <w:pStyle w:val="StandardWeb"/>
      </w:pPr>
      <w:r>
        <w:t>Eine modulare Struktur kann beispielsweise durch</w:t>
      </w:r>
    </w:p>
    <w:p w:rsidR="008530F8" w:rsidRDefault="008530F8" w:rsidP="008530F8">
      <w:pPr>
        <w:pStyle w:val="StandardWeb"/>
      </w:pPr>
      <w:r>
        <w:t>[</w:t>
      </w:r>
      <w:r>
        <w:br/>
        <w:t>C_{\mathrm{in}}</w:t>
      </w:r>
    </w:p>
    <w:p w:rsidR="008530F8" w:rsidRDefault="008530F8" w:rsidP="008530F8">
      <w:pPr>
        <w:pStyle w:val="StandardWeb"/>
      </w:pPr>
      <w:r>
        <w:t>C_{\mathrm{out}}</w:t>
      </w:r>
      <w:r>
        <w:br/>
        <w:t>\tag{3.8864}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C_{\mathrm{in}}&gt;C_{\mathrm{out}}</w:t>
      </w:r>
    </w:p>
    <w:p w:rsidR="008530F8" w:rsidRDefault="008530F8" w:rsidP="008530F8">
      <w:pPr>
        <w:pStyle w:val="StandardWeb"/>
      </w:pPr>
      <w:r>
        <w:t>gekennzeichnet sein.</w:t>
      </w:r>
    </w:p>
    <w:p w:rsidR="008530F8" w:rsidRDefault="008530F8" w:rsidP="008530F8">
      <w:pPr>
        <w:pStyle w:val="StandardWeb"/>
      </w:pPr>
      <w:r>
        <w:t>Dies entspricht der zuvor eingeführten Clusterlogik auf einer stärker funktional interpretierten Ebene.</w:t>
      </w:r>
    </w:p>
    <w:p w:rsidR="008530F8" w:rsidRDefault="00E50336" w:rsidP="008530F8">
      <w:r>
        <w:pict>
          <v:rect id="_x0000_i2469" style="width:0;height:1.5pt" o:hralign="center" o:hrstd="t" o:hr="t" fillcolor="#a0a0a0" stroked="f"/>
        </w:pict>
      </w:r>
    </w:p>
    <w:p w:rsidR="008530F8" w:rsidRDefault="008530F8" w:rsidP="008530F8">
      <w:pPr>
        <w:pStyle w:val="berschrift1"/>
      </w:pPr>
      <w:r>
        <w:t>3.3.43.223 Kohärenzbrücke zwischen Modulen</w:t>
      </w:r>
    </w:p>
    <w:p w:rsidR="008530F8" w:rsidRDefault="008530F8" w:rsidP="008530F8">
      <w:pPr>
        <w:pStyle w:val="StandardWeb"/>
      </w:pPr>
      <w:r>
        <w:t>Eine Komponente oder Relation (B_C) kann zwei Module verbinden:</w:t>
      </w:r>
    </w:p>
    <w:p w:rsidR="008530F8" w:rsidRDefault="008530F8" w:rsidP="008530F8">
      <w:pPr>
        <w:pStyle w:val="StandardWeb"/>
      </w:pPr>
      <w:r>
        <w:t>[</w:t>
      </w:r>
      <w:r>
        <w:br/>
        <w:t>\mathcal M_1</w:t>
      </w:r>
      <w:r>
        <w:br/>
        <w:t>\overset{B_C}{\longleftrightarrow}</w:t>
      </w:r>
      <w:r>
        <w:br/>
        <w:t>\mathcal M_2.</w:t>
      </w:r>
      <w:r>
        <w:br/>
        <w:t>\tag{3.8865}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M_1\overset{B_C}{\longleftrightarrow}\mathcal M_2</w:t>
      </w:r>
    </w:p>
    <w:p w:rsidR="008530F8" w:rsidRDefault="00E50336" w:rsidP="008530F8">
      <w:r>
        <w:pict>
          <v:rect id="_x0000_i2470" style="width:0;height:1.5pt" o:hralign="center" o:hrstd="t" o:hr="t" fillcolor="#a0a0a0" stroked="f"/>
        </w:pict>
      </w:r>
    </w:p>
    <w:p w:rsidR="008530F8" w:rsidRDefault="008530F8" w:rsidP="008530F8">
      <w:pPr>
        <w:pStyle w:val="berschrift1"/>
      </w:pPr>
      <w:r>
        <w:t>3.3.43.224 Brückenkohärenz</w:t>
      </w:r>
    </w:p>
    <w:p w:rsidR="008530F8" w:rsidRDefault="008530F8" w:rsidP="008530F8">
      <w:pPr>
        <w:pStyle w:val="StandardWeb"/>
      </w:pPr>
      <w:r>
        <w:t>Ich definiere</w:t>
      </w:r>
    </w:p>
    <w:p w:rsidR="008530F8" w:rsidRDefault="008530F8" w:rsidP="008530F8">
      <w:pPr>
        <w:pStyle w:val="berschrift1"/>
      </w:pPr>
      <w:r>
        <w:t>[</w:t>
      </w:r>
      <w:r>
        <w:br/>
        <w:t>C_B</w:t>
      </w:r>
    </w:p>
    <w:p w:rsidR="008530F8" w:rsidRDefault="008530F8" w:rsidP="008530F8">
      <w:pPr>
        <w:pStyle w:val="StandardWeb"/>
      </w:pPr>
      <w:r>
        <w:t>C_F</w:t>
      </w:r>
      <w:r>
        <w:br/>
        <w:t>\left(</w:t>
      </w:r>
      <w:r>
        <w:br/>
      </w:r>
      <w:r>
        <w:lastRenderedPageBreak/>
        <w:t>\mathcal M_1,</w:t>
      </w:r>
      <w:r>
        <w:br/>
        <w:t>B_C,</w:t>
      </w:r>
      <w:r>
        <w:br/>
        <w:t>\mathcal M_2</w:t>
      </w:r>
      <w:r>
        <w:br/>
        <w:t>\right).</w:t>
      </w:r>
      <w:r>
        <w:br/>
        <w:t>\tag{3.8866}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C_B=C_F\left(\mathcal M_1,B_C,\mathcal M_2\right)</w:t>
      </w:r>
    </w:p>
    <w:p w:rsidR="008530F8" w:rsidRDefault="00E50336" w:rsidP="008530F8">
      <w:r>
        <w:pict>
          <v:rect id="_x0000_i2471" style="width:0;height:1.5pt" o:hralign="center" o:hrstd="t" o:hr="t" fillcolor="#a0a0a0" stroked="f"/>
        </w:pict>
      </w:r>
    </w:p>
    <w:p w:rsidR="008530F8" w:rsidRDefault="008530F8" w:rsidP="008530F8">
      <w:pPr>
        <w:pStyle w:val="berschrift1"/>
      </w:pPr>
      <w:r>
        <w:t>3.3.43.225 Brückenbruch</w:t>
      </w:r>
    </w:p>
    <w:p w:rsidR="008530F8" w:rsidRDefault="008530F8" w:rsidP="008530F8">
      <w:pPr>
        <w:pStyle w:val="StandardWeb"/>
      </w:pPr>
      <w:r>
        <w:t>Für</w:t>
      </w:r>
    </w:p>
    <w:p w:rsidR="008530F8" w:rsidRDefault="008530F8" w:rsidP="008530F8">
      <w:pPr>
        <w:pStyle w:val="StandardWeb"/>
      </w:pPr>
      <w:r>
        <w:t>[</w:t>
      </w:r>
      <w:r>
        <w:br/>
        <w:t>C_B</w:t>
      </w:r>
      <w:r>
        <w:br/>
        <w:t>&lt;</w:t>
      </w:r>
      <w:r>
        <w:br/>
        <w:t>\tau_B</w:t>
      </w:r>
      <w:r>
        <w:br/>
        <w:t>\tag{3.8867}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C_B&lt;\tau_B</w:t>
      </w:r>
    </w:p>
    <w:p w:rsidR="008530F8" w:rsidRDefault="008530F8" w:rsidP="008530F8">
      <w:pPr>
        <w:pStyle w:val="StandardWeb"/>
      </w:pPr>
      <w:r>
        <w:t>kann die Systemstruktur in zwei schwach gekoppelte Module zerfallen.</w:t>
      </w:r>
    </w:p>
    <w:p w:rsidR="008530F8" w:rsidRDefault="00E50336" w:rsidP="008530F8">
      <w:r>
        <w:pict>
          <v:rect id="_x0000_i2472" style="width:0;height:1.5pt" o:hralign="center" o:hrstd="t" o:hr="t" fillcolor="#a0a0a0" stroked="f"/>
        </w:pict>
      </w:r>
    </w:p>
    <w:p w:rsidR="008530F8" w:rsidRDefault="008530F8" w:rsidP="008530F8">
      <w:pPr>
        <w:pStyle w:val="berschrift1"/>
      </w:pPr>
      <w:r>
        <w:t>3.3.43.226 Kohärenzfragmentierung</w:t>
      </w:r>
    </w:p>
    <w:p w:rsidR="008530F8" w:rsidRDefault="008530F8" w:rsidP="008530F8">
      <w:pPr>
        <w:pStyle w:val="StandardWeb"/>
      </w:pPr>
      <w:r>
        <w:t>Ich definiere eine Fragmentierungszahl</w:t>
      </w:r>
    </w:p>
    <w:p w:rsidR="008530F8" w:rsidRDefault="008530F8" w:rsidP="008530F8">
      <w:pPr>
        <w:pStyle w:val="StandardWeb"/>
      </w:pPr>
      <w:r>
        <w:t>[</w:t>
      </w:r>
      <w:r>
        <w:br/>
        <w:t>N_C^{\mathrm{frag}}</w:t>
      </w:r>
      <w:r>
        <w:br/>
        <w:t>\tag{3.8868}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N_C^{\mathrm{frag}}</w:t>
      </w:r>
    </w:p>
    <w:p w:rsidR="008530F8" w:rsidRDefault="008530F8" w:rsidP="008530F8">
      <w:pPr>
        <w:pStyle w:val="StandardWeb"/>
      </w:pPr>
      <w:r>
        <w:t>als Anzahl voneinander getrennt oder nur unterhalb der Kohärenzschwelle verbundener Kohärenzkomponenten.</w:t>
      </w:r>
    </w:p>
    <w:p w:rsidR="008530F8" w:rsidRDefault="00E50336" w:rsidP="008530F8">
      <w:r>
        <w:pict>
          <v:rect id="_x0000_i2473" style="width:0;height:1.5pt" o:hralign="center" o:hrstd="t" o:hr="t" fillcolor="#a0a0a0" stroked="f"/>
        </w:pict>
      </w:r>
    </w:p>
    <w:p w:rsidR="008530F8" w:rsidRDefault="008530F8" w:rsidP="008530F8">
      <w:pPr>
        <w:pStyle w:val="berschrift1"/>
      </w:pPr>
      <w:r>
        <w:t>3.3.43.227 Fragmentierungsgrad</w:t>
      </w:r>
    </w:p>
    <w:p w:rsidR="008530F8" w:rsidRDefault="008530F8" w:rsidP="008530F8">
      <w:pPr>
        <w:pStyle w:val="StandardWeb"/>
      </w:pPr>
      <w:r>
        <w:lastRenderedPageBreak/>
        <w:t>Eine normierte Darstellung lautet</w:t>
      </w:r>
    </w:p>
    <w:p w:rsidR="008530F8" w:rsidRDefault="008530F8" w:rsidP="008530F8">
      <w:pPr>
        <w:pStyle w:val="berschrift1"/>
      </w:pPr>
      <w:r>
        <w:t>[</w:t>
      </w:r>
      <w:r>
        <w:br/>
        <w:t>R_C^{\mathrm{frag}}</w:t>
      </w:r>
    </w:p>
    <w:p w:rsidR="008530F8" w:rsidRDefault="008530F8" w:rsidP="008530F8">
      <w:pPr>
        <w:pStyle w:val="StandardWeb"/>
      </w:pPr>
      <w:r>
        <w:t>\frac{</w:t>
      </w:r>
      <w:r>
        <w:br/>
        <w:t>N_C^{\mathrm{frag}}-1</w:t>
      </w:r>
      <w:r>
        <w:br/>
        <w:t>}{</w:t>
      </w:r>
      <w:r>
        <w:br/>
        <w:t>n-1</w:t>
      </w:r>
      <w:r>
        <w:br/>
        <w:t>}.</w:t>
      </w:r>
      <w:r>
        <w:br/>
        <w:t>\tag{3.8869}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R_C^{\mathrm{frag}}=\frac{N_C^{\mathrm{frag}}-1}{n-1}</w:t>
      </w:r>
    </w:p>
    <w:p w:rsidR="008530F8" w:rsidRDefault="008530F8" w:rsidP="008530F8">
      <w:pPr>
        <w:pStyle w:val="StandardWeb"/>
      </w:pPr>
      <w:r>
        <w:t>Für ein vollständig verbundenes kohärentes System gilt damit näherungsweise</w:t>
      </w:r>
    </w:p>
    <w:p w:rsidR="008530F8" w:rsidRDefault="008530F8" w:rsidP="008530F8">
      <w:pPr>
        <w:pStyle w:val="StandardWeb"/>
      </w:pPr>
      <w:r>
        <w:t>[</w:t>
      </w:r>
      <w:r>
        <w:br/>
        <w:t>R_C^{\mathrm{frag}}=0.</w:t>
      </w:r>
      <w:r>
        <w:br/>
        <w:t>\tag{3.8870}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R_C^{\mathrm{frag}}=0</w:t>
      </w:r>
    </w:p>
    <w:p w:rsidR="008530F8" w:rsidRDefault="00E50336" w:rsidP="008530F8">
      <w:r>
        <w:pict>
          <v:rect id="_x0000_i2474" style="width:0;height:1.5pt" o:hralign="center" o:hrstd="t" o:hr="t" fillcolor="#a0a0a0" stroked="f"/>
        </w:pict>
      </w:r>
    </w:p>
    <w:p w:rsidR="008530F8" w:rsidRDefault="008530F8" w:rsidP="008530F8">
      <w:pPr>
        <w:pStyle w:val="berschrift1"/>
      </w:pPr>
      <w:r>
        <w:t>3.3.43.228 Vollständige Fragmentierung</w:t>
      </w:r>
    </w:p>
    <w:p w:rsidR="008530F8" w:rsidRDefault="008530F8" w:rsidP="008530F8">
      <w:pPr>
        <w:pStyle w:val="StandardWeb"/>
      </w:pPr>
      <w:r>
        <w:t>Im Extremfall isolierter Komponenten kann</w:t>
      </w:r>
    </w:p>
    <w:p w:rsidR="008530F8" w:rsidRDefault="008530F8" w:rsidP="008530F8">
      <w:pPr>
        <w:pStyle w:val="StandardWeb"/>
      </w:pPr>
      <w:r>
        <w:t>[</w:t>
      </w:r>
      <w:r>
        <w:br/>
        <w:t>N_C^{\mathrm{frag}}=n</w:t>
      </w:r>
      <w:r>
        <w:br/>
        <w:t>\tag{3.8871}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N_C^{\mathrm{frag}}=n</w:t>
      </w:r>
    </w:p>
    <w:p w:rsidR="008530F8" w:rsidRDefault="008530F8" w:rsidP="008530F8">
      <w:pPr>
        <w:pStyle w:val="StandardWeb"/>
      </w:pPr>
      <w:r>
        <w:t>und damit</w:t>
      </w:r>
    </w:p>
    <w:p w:rsidR="008530F8" w:rsidRDefault="008530F8" w:rsidP="008530F8">
      <w:pPr>
        <w:pStyle w:val="StandardWeb"/>
      </w:pPr>
      <w:r>
        <w:t>[</w:t>
      </w:r>
      <w:r>
        <w:br/>
        <w:t>R_C^{\mathrm{frag}}=1</w:t>
      </w:r>
      <w:r>
        <w:br/>
        <w:t>\tag{3.8872}</w:t>
      </w:r>
      <w:r>
        <w:br/>
        <w:t>]</w:t>
      </w:r>
    </w:p>
    <w:p w:rsidR="008530F8" w:rsidRDefault="008530F8" w:rsidP="008530F8">
      <w:pPr>
        <w:pStyle w:val="StandardWeb"/>
      </w:pPr>
      <w:r>
        <w:rPr>
          <w:rStyle w:val="Fett"/>
        </w:rPr>
        <w:lastRenderedPageBreak/>
        <w:t>Word-LaTeX</w:t>
      </w:r>
    </w:p>
    <w:p w:rsidR="008530F8" w:rsidRDefault="008530F8" w:rsidP="008530F8">
      <w:pPr>
        <w:pStyle w:val="HTMLVorformatiert"/>
        <w:rPr>
          <w:rStyle w:val="HTMLCode"/>
        </w:rPr>
      </w:pPr>
      <w:r>
        <w:rPr>
          <w:rStyle w:val="HTMLCode"/>
        </w:rPr>
        <w:t>R_C^{\mathrm{frag}}=1</w:t>
      </w:r>
    </w:p>
    <w:p w:rsidR="008530F8" w:rsidRDefault="008530F8" w:rsidP="008530F8">
      <w:pPr>
        <w:pStyle w:val="StandardWeb"/>
      </w:pPr>
      <w:r>
        <w:t>gelten.</w:t>
      </w:r>
    </w:p>
    <w:p w:rsidR="008530F8" w:rsidRDefault="00E50336" w:rsidP="008530F8">
      <w:r>
        <w:pict>
          <v:rect id="_x0000_i2475" style="width:0;height:1.5pt" o:hralign="center" o:hrstd="t" o:hr="t" fillcolor="#a0a0a0" stroked="f"/>
        </w:pict>
      </w:r>
    </w:p>
    <w:p w:rsidR="008530F8" w:rsidRDefault="008530F8" w:rsidP="008530F8">
      <w:pPr>
        <w:pStyle w:val="berschrift1"/>
      </w:pPr>
      <w:r>
        <w:t>3.3.43.229 Kohärenzperkolation</w:t>
      </w:r>
    </w:p>
    <w:p w:rsidR="008530F8" w:rsidRDefault="008530F8" w:rsidP="008530F8">
      <w:pPr>
        <w:pStyle w:val="StandardWeb"/>
      </w:pPr>
      <w:r>
        <w:t>Mit zunehmender Kopplungsstärke kann eine systemweite kohärente Komponente entstehen.</w:t>
      </w:r>
    </w:p>
    <w:p w:rsidR="008530F8" w:rsidRDefault="008530F8" w:rsidP="008530F8">
      <w:pPr>
        <w:pStyle w:val="StandardWeb"/>
      </w:pPr>
      <w:r>
        <w:t>Ich bezeichne den Anteil der größten kohärenten Komponente als</w:t>
      </w:r>
    </w:p>
    <w:p w:rsidR="008530F8" w:rsidRDefault="008530F8" w:rsidP="008530F8">
      <w:pPr>
        <w:pStyle w:val="berschrift1"/>
      </w:pPr>
      <w:r>
        <w:t>[</w:t>
      </w:r>
      <w:r>
        <w:br/>
        <w:t>P_C</w:t>
      </w:r>
    </w:p>
    <w:p w:rsidR="008530F8" w:rsidRDefault="008530F8" w:rsidP="008530F8">
      <w:pPr>
        <w:pStyle w:val="StandardWeb"/>
      </w:pPr>
      <w:r>
        <w:t>\frac{</w:t>
      </w:r>
      <w:r>
        <w:br/>
        <w:t>N_{\max}^{C}</w:t>
      </w:r>
      <w:r>
        <w:br/>
        <w:t>}{</w:t>
      </w:r>
      <w:r>
        <w:br/>
        <w:t>n</w:t>
      </w:r>
      <w:r>
        <w:br/>
        <w:t>}.</w:t>
      </w:r>
      <w:r>
        <w:br/>
        <w:t>\tag{3.8873}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P_C=\frac{N_{\max}^{C}}{n}</w:t>
      </w:r>
    </w:p>
    <w:p w:rsidR="008530F8" w:rsidRDefault="00E50336" w:rsidP="008530F8">
      <w:r>
        <w:pict>
          <v:rect id="_x0000_i2476" style="width:0;height:1.5pt" o:hralign="center" o:hrstd="t" o:hr="t" fillcolor="#a0a0a0" stroked="f"/>
        </w:pict>
      </w:r>
    </w:p>
    <w:p w:rsidR="008530F8" w:rsidRDefault="008530F8" w:rsidP="008530F8">
      <w:pPr>
        <w:pStyle w:val="berschrift1"/>
      </w:pPr>
      <w:r>
        <w:t>3.3.43.230 Kritischer Perkolationspunkt</w:t>
      </w:r>
    </w:p>
    <w:p w:rsidR="008530F8" w:rsidRDefault="008530F8" w:rsidP="008530F8">
      <w:pPr>
        <w:pStyle w:val="StandardWeb"/>
      </w:pPr>
      <w:r>
        <w:t>Ein kritischer Wert (\lambda_C^{\mathrm{perc}}) kann vorliegen, wenn</w:t>
      </w:r>
    </w:p>
    <w:p w:rsidR="008530F8" w:rsidRDefault="008530F8" w:rsidP="008530F8">
      <w:pPr>
        <w:pStyle w:val="StandardWeb"/>
      </w:pPr>
      <w:r>
        <w:t>[</w:t>
      </w:r>
      <w:r>
        <w:br/>
        <w:t>P_C</w:t>
      </w:r>
      <w:r>
        <w:br/>
        <w:t>]</w:t>
      </w:r>
    </w:p>
    <w:p w:rsidR="008530F8" w:rsidRDefault="008530F8" w:rsidP="008530F8">
      <w:pPr>
        <w:pStyle w:val="StandardWeb"/>
      </w:pPr>
      <w:r>
        <w:t>bei Variation eines Kontrollparameters stark anwächst.</w:t>
      </w:r>
    </w:p>
    <w:p w:rsidR="008530F8" w:rsidRDefault="008530F8" w:rsidP="008530F8">
      <w:pPr>
        <w:pStyle w:val="StandardWeb"/>
      </w:pPr>
      <w:r>
        <w:t>Ich schreibe abstrakt</w:t>
      </w:r>
    </w:p>
    <w:p w:rsidR="008530F8" w:rsidRDefault="008530F8" w:rsidP="008530F8">
      <w:pPr>
        <w:pStyle w:val="StandardWeb"/>
      </w:pPr>
      <w:r>
        <w:t>[</w:t>
      </w:r>
      <w:r>
        <w:br/>
        <w:t>\left.</w:t>
      </w:r>
      <w:r>
        <w:br/>
        <w:t>\frac{\partial P_C}</w:t>
      </w:r>
      <w:r>
        <w:br/>
        <w:t>{\partial\lambda}</w:t>
      </w:r>
      <w:r>
        <w:br/>
        <w:t>\right|_{\lambda_C^{\mathrm{perc}}}</w:t>
      </w:r>
      <w:r>
        <w:br/>
        <w:t>\gg1.</w:t>
      </w:r>
      <w:r>
        <w:br/>
      </w:r>
      <w:r>
        <w:lastRenderedPageBreak/>
        <w:t>\tag{3.8874}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\left.\frac{\partial P_C}{\partial\lambda}\right|_{\lambda_C^{\mathrm{perc}}}\gg1</w:t>
      </w:r>
    </w:p>
    <w:p w:rsidR="008530F8" w:rsidRDefault="00E50336" w:rsidP="008530F8">
      <w:r>
        <w:pict>
          <v:rect id="_x0000_i2477" style="width:0;height:1.5pt" o:hralign="center" o:hrstd="t" o:hr="t" fillcolor="#a0a0a0" stroked="f"/>
        </w:pict>
      </w:r>
    </w:p>
    <w:p w:rsidR="008530F8" w:rsidRDefault="008530F8" w:rsidP="008530F8">
      <w:pPr>
        <w:pStyle w:val="berschrift1"/>
      </w:pPr>
      <w:r>
        <w:t>3.3.43.231 Perkolation ist ein mögliches Modell, kein Primäraxiom</w:t>
      </w:r>
    </w:p>
    <w:p w:rsidR="008530F8" w:rsidRDefault="008530F8" w:rsidP="008530F8">
      <w:pPr>
        <w:pStyle w:val="StandardWeb"/>
      </w:pPr>
      <w:r>
        <w:t>Die Existenz eines solchen Übergangs wird nicht allgemein vorausgesetzt.</w:t>
      </w:r>
    </w:p>
    <w:p w:rsidR="008530F8" w:rsidRDefault="008530F8" w:rsidP="008530F8">
      <w:pPr>
        <w:pStyle w:val="StandardWeb"/>
      </w:pPr>
      <w:r>
        <w:t>Es gilt lediglich</w:t>
      </w:r>
    </w:p>
    <w:p w:rsidR="008530F8" w:rsidRDefault="008530F8" w:rsidP="008530F8">
      <w:pPr>
        <w:pStyle w:val="StandardWeb"/>
      </w:pPr>
      <w:r>
        <w:t>[</w:t>
      </w:r>
      <w:r>
        <w:br/>
        <w:t>\lambda_C^{\mathrm{perc}}</w:t>
      </w:r>
      <w:r>
        <w:br/>
        <w:t>\text{ kann existieren}.</w:t>
      </w:r>
      <w:r>
        <w:br/>
        <w:t>\tag{3.8875}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\lambda_C^{\mathrm{perc}}\text{ kann existieren}</w:t>
      </w:r>
    </w:p>
    <w:p w:rsidR="008530F8" w:rsidRDefault="00E50336" w:rsidP="008530F8">
      <w:r>
        <w:pict>
          <v:rect id="_x0000_i2478" style="width:0;height:1.5pt" o:hralign="center" o:hrstd="t" o:hr="t" fillcolor="#a0a0a0" stroked="f"/>
        </w:pict>
      </w:r>
    </w:p>
    <w:p w:rsidR="008530F8" w:rsidRDefault="008530F8" w:rsidP="008530F8">
      <w:pPr>
        <w:pStyle w:val="berschrift1"/>
      </w:pPr>
      <w:r>
        <w:t>3.3.43.232 Kohärenz und Entkopplung</w:t>
      </w:r>
    </w:p>
    <w:p w:rsidR="008530F8" w:rsidRDefault="008530F8" w:rsidP="008530F8">
      <w:pPr>
        <w:pStyle w:val="StandardWeb"/>
      </w:pPr>
      <w:r>
        <w:t>Eine Entkopplung zwischen zwei Teilstrukturen kann geschrieben werden als</w:t>
      </w:r>
    </w:p>
    <w:p w:rsidR="008530F8" w:rsidRDefault="008530F8" w:rsidP="008530F8">
      <w:pPr>
        <w:pStyle w:val="StandardWeb"/>
      </w:pPr>
      <w:r>
        <w:t>[</w:t>
      </w:r>
      <w:r>
        <w:br/>
        <w:t>C_{AB}(t)</w:t>
      </w:r>
      <w:r>
        <w:br/>
        <w:t>\rightarrow</w:t>
      </w:r>
      <w:r>
        <w:br/>
        <w:t>0.</w:t>
      </w:r>
      <w:r>
        <w:br/>
        <w:t>\tag{3.8876}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C_{AB}(t)\rightarrow0</w:t>
      </w:r>
    </w:p>
    <w:p w:rsidR="008530F8" w:rsidRDefault="00E50336" w:rsidP="008530F8">
      <w:r>
        <w:pict>
          <v:rect id="_x0000_i2479" style="width:0;height:1.5pt" o:hralign="center" o:hrstd="t" o:hr="t" fillcolor="#a0a0a0" stroked="f"/>
        </w:pict>
      </w:r>
    </w:p>
    <w:p w:rsidR="008530F8" w:rsidRDefault="008530F8" w:rsidP="008530F8">
      <w:pPr>
        <w:pStyle w:val="berschrift1"/>
      </w:pPr>
      <w:r>
        <w:t>3.3.43.233 Vollständige Entkopplung</w:t>
      </w:r>
    </w:p>
    <w:p w:rsidR="008530F8" w:rsidRDefault="008530F8" w:rsidP="008530F8">
      <w:pPr>
        <w:pStyle w:val="StandardWeb"/>
      </w:pPr>
      <w:r>
        <w:t>Für</w:t>
      </w:r>
    </w:p>
    <w:p w:rsidR="008530F8" w:rsidRDefault="008530F8" w:rsidP="008530F8">
      <w:pPr>
        <w:pStyle w:val="StandardWeb"/>
      </w:pPr>
      <w:r>
        <w:t>[</w:t>
      </w:r>
      <w:r>
        <w:br/>
        <w:t>C_{AB}=0</w:t>
      </w:r>
      <w:r>
        <w:br/>
      </w:r>
      <w:r>
        <w:lastRenderedPageBreak/>
        <w:t>\tag{3.8877}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C_{AB}=0</w:t>
      </w:r>
    </w:p>
    <w:p w:rsidR="008530F8" w:rsidRDefault="008530F8" w:rsidP="008530F8">
      <w:pPr>
        <w:pStyle w:val="StandardWeb"/>
      </w:pPr>
      <w:r>
        <w:t>besteht innerhalb der verwendeten Operationalisierung keine positive funktionale Kohärenz zwischen den beiden Teilstrukturen.</w:t>
      </w:r>
    </w:p>
    <w:p w:rsidR="008530F8" w:rsidRDefault="00E50336" w:rsidP="008530F8">
      <w:r>
        <w:pict>
          <v:rect id="_x0000_i2480" style="width:0;height:1.5pt" o:hralign="center" o:hrstd="t" o:hr="t" fillcolor="#a0a0a0" stroked="f"/>
        </w:pict>
      </w:r>
    </w:p>
    <w:p w:rsidR="008530F8" w:rsidRDefault="008530F8" w:rsidP="008530F8">
      <w:pPr>
        <w:pStyle w:val="berschrift1"/>
      </w:pPr>
      <w:r>
        <w:t>3.3.43.234 Entkopplung ist nicht notwendigerweise Unabhängigkeit</w:t>
      </w:r>
    </w:p>
    <w:p w:rsidR="008530F8" w:rsidRDefault="008530F8" w:rsidP="008530F8">
      <w:pPr>
        <w:pStyle w:val="StandardWeb"/>
      </w:pPr>
      <w:r>
        <w:t>Es gilt</w:t>
      </w:r>
    </w:p>
    <w:p w:rsidR="008530F8" w:rsidRDefault="008530F8" w:rsidP="008530F8">
      <w:pPr>
        <w:pStyle w:val="StandardWeb"/>
      </w:pPr>
      <w:r>
        <w:t>[</w:t>
      </w:r>
      <w:r>
        <w:br/>
        <w:t>C_{AB}=0</w:t>
      </w:r>
      <w:r>
        <w:br/>
        <w:t>\nRightarrow</w:t>
      </w:r>
      <w:r>
        <w:br/>
        <w:t>A\perp_{\mathrm{stat}}B.</w:t>
      </w:r>
      <w:r>
        <w:br/>
        <w:t>\tag{3.8878}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C_{AB}=0\nRightarrow A\perp_{\mathrm{stat}}B</w:t>
      </w:r>
    </w:p>
    <w:p w:rsidR="008530F8" w:rsidRDefault="008530F8" w:rsidP="008530F8">
      <w:pPr>
        <w:pStyle w:val="StandardWeb"/>
      </w:pPr>
      <w:r>
        <w:t>Nullkohärenz und statistische Unabhängigkeit sind verschiedene Begriffe.</w:t>
      </w:r>
    </w:p>
    <w:p w:rsidR="008530F8" w:rsidRDefault="00E50336" w:rsidP="008530F8">
      <w:r>
        <w:pict>
          <v:rect id="_x0000_i2481" style="width:0;height:1.5pt" o:hralign="center" o:hrstd="t" o:hr="t" fillcolor="#a0a0a0" stroked="f"/>
        </w:pict>
      </w:r>
    </w:p>
    <w:p w:rsidR="008530F8" w:rsidRDefault="008530F8" w:rsidP="008530F8">
      <w:pPr>
        <w:pStyle w:val="berschrift1"/>
      </w:pPr>
      <w:r>
        <w:t>3.3.43.235 Kohärenz-Rekopplung</w:t>
      </w:r>
    </w:p>
    <w:p w:rsidR="008530F8" w:rsidRDefault="008530F8" w:rsidP="008530F8">
      <w:pPr>
        <w:pStyle w:val="StandardWeb"/>
      </w:pPr>
      <w:r>
        <w:t>Eine zuvor entkoppelte Struktur kann wieder kohärent werden:</w:t>
      </w:r>
    </w:p>
    <w:p w:rsidR="008530F8" w:rsidRDefault="008530F8" w:rsidP="008530F8">
      <w:pPr>
        <w:pStyle w:val="StandardWeb"/>
      </w:pPr>
      <w:r>
        <w:t>[</w:t>
      </w:r>
      <w:r>
        <w:br/>
        <w:t>C_{AB}(t_0)=0</w:t>
      </w:r>
      <w:r>
        <w:br/>
        <w:t>\tag{3.8879}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C_{AB}(t_0)=0</w:t>
      </w:r>
    </w:p>
    <w:p w:rsidR="008530F8" w:rsidRDefault="008530F8" w:rsidP="008530F8">
      <w:pPr>
        <w:pStyle w:val="StandardWeb"/>
      </w:pPr>
      <w:r>
        <w:t>und</w:t>
      </w:r>
    </w:p>
    <w:p w:rsidR="008530F8" w:rsidRDefault="008530F8" w:rsidP="008530F8">
      <w:pPr>
        <w:pStyle w:val="StandardWeb"/>
      </w:pPr>
      <w:r>
        <w:t>[</w:t>
      </w:r>
      <w:r>
        <w:br/>
        <w:t>C_{AB}(t_1)&gt;0.</w:t>
      </w:r>
      <w:r>
        <w:br/>
      </w:r>
      <w:r>
        <w:lastRenderedPageBreak/>
        <w:t>\tag{3.8880}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C_{AB}(t_1)&gt;0</w:t>
      </w:r>
    </w:p>
    <w:p w:rsidR="008530F8" w:rsidRDefault="00E50336" w:rsidP="008530F8">
      <w:r>
        <w:pict>
          <v:rect id="_x0000_i2482" style="width:0;height:1.5pt" o:hralign="center" o:hrstd="t" o:hr="t" fillcolor="#a0a0a0" stroked="f"/>
        </w:pict>
      </w:r>
    </w:p>
    <w:p w:rsidR="008530F8" w:rsidRDefault="008530F8" w:rsidP="008530F8">
      <w:pPr>
        <w:pStyle w:val="berschrift1"/>
      </w:pPr>
      <w:r>
        <w:t>3.3.43.236 Rekopplungszeit</w:t>
      </w:r>
    </w:p>
    <w:p w:rsidR="008530F8" w:rsidRDefault="008530F8" w:rsidP="008530F8">
      <w:pPr>
        <w:pStyle w:val="StandardWeb"/>
      </w:pPr>
      <w:r>
        <w:t>Ich definiere</w:t>
      </w:r>
    </w:p>
    <w:p w:rsidR="008530F8" w:rsidRDefault="008530F8" w:rsidP="008530F8">
      <w:pPr>
        <w:pStyle w:val="berschrift1"/>
      </w:pPr>
      <w:r>
        <w:t>[</w:t>
      </w:r>
      <w:r>
        <w:br/>
        <w:t>T_C^{\mathrm{recouple}}</w:t>
      </w:r>
    </w:p>
    <w:p w:rsidR="008530F8" w:rsidRDefault="008530F8" w:rsidP="008530F8">
      <w:pPr>
        <w:pStyle w:val="StandardWeb"/>
      </w:pPr>
      <w:r>
        <w:t>t_1-t_0.</w:t>
      </w:r>
      <w:r>
        <w:br/>
        <w:t>\tag{3.8881}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T_C^{\mathrm{recouple}}=t_1-t_0</w:t>
      </w:r>
    </w:p>
    <w:p w:rsidR="008530F8" w:rsidRDefault="00E50336" w:rsidP="008530F8">
      <w:r>
        <w:pict>
          <v:rect id="_x0000_i2483" style="width:0;height:1.5pt" o:hralign="center" o:hrstd="t" o:hr="t" fillcolor="#a0a0a0" stroked="f"/>
        </w:pict>
      </w:r>
    </w:p>
    <w:p w:rsidR="008530F8" w:rsidRDefault="008530F8" w:rsidP="008530F8">
      <w:pPr>
        <w:pStyle w:val="berschrift1"/>
      </w:pPr>
      <w:r>
        <w:t>3.3.43.237 Kohärenz und Störung</w:t>
      </w:r>
    </w:p>
    <w:p w:rsidR="008530F8" w:rsidRDefault="008530F8" w:rsidP="008530F8">
      <w:pPr>
        <w:pStyle w:val="StandardWeb"/>
      </w:pPr>
      <w:r>
        <w:t>Sei</w:t>
      </w:r>
    </w:p>
    <w:p w:rsidR="008530F8" w:rsidRDefault="008530F8" w:rsidP="008530F8">
      <w:pPr>
        <w:pStyle w:val="StandardWeb"/>
      </w:pPr>
      <w:r>
        <w:t>[</w:t>
      </w:r>
      <w:r>
        <w:br/>
        <w:t>\delta</w:t>
      </w:r>
      <w:r>
        <w:br/>
        <w:t>]</w:t>
      </w:r>
    </w:p>
    <w:p w:rsidR="008530F8" w:rsidRDefault="008530F8" w:rsidP="008530F8">
      <w:pPr>
        <w:pStyle w:val="StandardWeb"/>
      </w:pPr>
      <w:r>
        <w:t>eine Störung.</w:t>
      </w:r>
    </w:p>
    <w:p w:rsidR="008530F8" w:rsidRDefault="008530F8" w:rsidP="008530F8">
      <w:pPr>
        <w:pStyle w:val="StandardWeb"/>
      </w:pPr>
      <w:r>
        <w:t>Dann verändert sich der Kohärenzzustand gemäß</w:t>
      </w:r>
    </w:p>
    <w:p w:rsidR="008530F8" w:rsidRDefault="008530F8" w:rsidP="008530F8">
      <w:pPr>
        <w:pStyle w:val="berschrift1"/>
      </w:pPr>
      <w:r>
        <w:t>[</w:t>
      </w:r>
      <w:r>
        <w:br/>
        <w:t>C'</w:t>
      </w:r>
    </w:p>
    <w:p w:rsidR="008530F8" w:rsidRDefault="008530F8" w:rsidP="008530F8">
      <w:pPr>
        <w:pStyle w:val="StandardWeb"/>
      </w:pPr>
      <w:r>
        <w:t>C(\delta).</w:t>
      </w:r>
      <w:r>
        <w:br/>
        <w:t>\tag{3.8882}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C'=C(\delta)</w:t>
      </w:r>
    </w:p>
    <w:p w:rsidR="008530F8" w:rsidRDefault="00E50336" w:rsidP="008530F8">
      <w:r>
        <w:pict>
          <v:rect id="_x0000_i2484" style="width:0;height:1.5pt" o:hralign="center" o:hrstd="t" o:hr="t" fillcolor="#a0a0a0" stroked="f"/>
        </w:pict>
      </w:r>
    </w:p>
    <w:p w:rsidR="008530F8" w:rsidRDefault="008530F8" w:rsidP="008530F8">
      <w:pPr>
        <w:pStyle w:val="berschrift1"/>
      </w:pPr>
      <w:r>
        <w:lastRenderedPageBreak/>
        <w:t>3.3.43.238 Kohärenzantwort</w:t>
      </w:r>
    </w:p>
    <w:p w:rsidR="008530F8" w:rsidRDefault="008530F8" w:rsidP="008530F8">
      <w:pPr>
        <w:pStyle w:val="StandardWeb"/>
      </w:pPr>
      <w:r>
        <w:t>Ich definiere</w:t>
      </w:r>
    </w:p>
    <w:p w:rsidR="008530F8" w:rsidRDefault="008530F8" w:rsidP="008530F8">
      <w:pPr>
        <w:pStyle w:val="berschrift1"/>
      </w:pPr>
      <w:r>
        <w:t>[</w:t>
      </w:r>
      <w:r>
        <w:br/>
        <w:t>\chi_C</w:t>
      </w:r>
    </w:p>
    <w:p w:rsidR="008530F8" w:rsidRDefault="008530F8" w:rsidP="008530F8">
      <w:pPr>
        <w:pStyle w:val="StandardWeb"/>
      </w:pPr>
      <w:r>
        <w:t>\frac{\partial C}{\partial\delta}</w:t>
      </w:r>
      <w:r>
        <w:br/>
        <w:t>\tag{3.8883}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\chi_C=\frac{\partial C}{\partial\delta}</w:t>
      </w:r>
    </w:p>
    <w:p w:rsidR="008530F8" w:rsidRDefault="008530F8" w:rsidP="008530F8">
      <w:pPr>
        <w:pStyle w:val="StandardWeb"/>
      </w:pPr>
      <w:r>
        <w:t>als lokale Kohärenzantwort beziehungsweise Suszeptibilität gegenüber der Störung (\delta).</w:t>
      </w:r>
    </w:p>
    <w:p w:rsidR="008530F8" w:rsidRDefault="00E50336" w:rsidP="008530F8">
      <w:r>
        <w:pict>
          <v:rect id="_x0000_i2485" style="width:0;height:1.5pt" o:hralign="center" o:hrstd="t" o:hr="t" fillcolor="#a0a0a0" stroked="f"/>
        </w:pict>
      </w:r>
    </w:p>
    <w:p w:rsidR="008530F8" w:rsidRDefault="008530F8" w:rsidP="008530F8">
      <w:pPr>
        <w:pStyle w:val="berschrift1"/>
      </w:pPr>
      <w:r>
        <w:t>3.3.43.239 Hohe Kohärenzsuszeptibilität</w:t>
      </w:r>
    </w:p>
    <w:p w:rsidR="008530F8" w:rsidRDefault="008530F8" w:rsidP="008530F8">
      <w:pPr>
        <w:pStyle w:val="StandardWeb"/>
      </w:pPr>
      <w:r>
        <w:t>Für</w:t>
      </w:r>
    </w:p>
    <w:p w:rsidR="008530F8" w:rsidRDefault="008530F8" w:rsidP="008530F8">
      <w:pPr>
        <w:pStyle w:val="StandardWeb"/>
      </w:pPr>
      <w:r>
        <w:t>[</w:t>
      </w:r>
      <w:r>
        <w:br/>
        <w:t>|\chi_C|\gg1</w:t>
      </w:r>
      <w:r>
        <w:br/>
        <w:t>\tag{3.8884}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|\chi_C|\gg1</w:t>
      </w:r>
    </w:p>
    <w:p w:rsidR="008530F8" w:rsidRDefault="008530F8" w:rsidP="008530F8">
      <w:pPr>
        <w:pStyle w:val="StandardWeb"/>
      </w:pPr>
      <w:r>
        <w:t>reagiert der Kohärenzzustand stark auf kleine Störungen.</w:t>
      </w:r>
    </w:p>
    <w:p w:rsidR="008530F8" w:rsidRDefault="00E50336" w:rsidP="008530F8">
      <w:r>
        <w:pict>
          <v:rect id="_x0000_i2486" style="width:0;height:1.5pt" o:hralign="center" o:hrstd="t" o:hr="t" fillcolor="#a0a0a0" stroked="f"/>
        </w:pict>
      </w:r>
    </w:p>
    <w:p w:rsidR="008530F8" w:rsidRDefault="008530F8" w:rsidP="008530F8">
      <w:pPr>
        <w:pStyle w:val="berschrift1"/>
      </w:pPr>
      <w:r>
        <w:t>3.3.43.240 Kohärenzresilienz</w:t>
      </w:r>
    </w:p>
    <w:p w:rsidR="008530F8" w:rsidRDefault="008530F8" w:rsidP="008530F8">
      <w:pPr>
        <w:pStyle w:val="StandardWeb"/>
      </w:pPr>
      <w:r>
        <w:t>Eine zeitabhängige Kohärenzresilienz kann darüber charakterisiert werden, wie schnell ein gestörter Kohärenzzustand zu einem Referenzbereich zurückkehrt.</w:t>
      </w:r>
    </w:p>
    <w:p w:rsidR="008530F8" w:rsidRDefault="008530F8" w:rsidP="008530F8">
      <w:pPr>
        <w:pStyle w:val="StandardWeb"/>
      </w:pPr>
      <w:r>
        <w:t>Sei</w:t>
      </w:r>
    </w:p>
    <w:p w:rsidR="008530F8" w:rsidRDefault="008530F8" w:rsidP="008530F8">
      <w:pPr>
        <w:pStyle w:val="StandardWeb"/>
      </w:pPr>
      <w:r>
        <w:t>[</w:t>
      </w:r>
      <w:r>
        <w:br/>
        <w:t>C(t_0^-)=C_0</w:t>
      </w:r>
      <w:r>
        <w:br/>
        <w:t>\tag{3.8885}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lastRenderedPageBreak/>
        <w:t>C(t_0^-)=C_0</w:t>
      </w:r>
    </w:p>
    <w:p w:rsidR="008530F8" w:rsidRDefault="008530F8" w:rsidP="008530F8">
      <w:pPr>
        <w:pStyle w:val="StandardWeb"/>
      </w:pPr>
      <w:r>
        <w:t>und nach Störung</w:t>
      </w:r>
    </w:p>
    <w:p w:rsidR="008530F8" w:rsidRDefault="008530F8" w:rsidP="008530F8">
      <w:pPr>
        <w:pStyle w:val="StandardWeb"/>
      </w:pPr>
      <w:r>
        <w:t>[</w:t>
      </w:r>
      <w:r>
        <w:br/>
        <w:t>C(t_0^+)=C_{\delta}.</w:t>
      </w:r>
      <w:r>
        <w:br/>
        <w:t>\tag{3.8886}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C(t_0^+)=C_{\delta}</w:t>
      </w:r>
    </w:p>
    <w:p w:rsidR="008530F8" w:rsidRDefault="00E50336" w:rsidP="008530F8">
      <w:r>
        <w:pict>
          <v:rect id="_x0000_i2487" style="width:0;height:1.5pt" o:hralign="center" o:hrstd="t" o:hr="t" fillcolor="#a0a0a0" stroked="f"/>
        </w:pict>
      </w:r>
    </w:p>
    <w:p w:rsidR="008530F8" w:rsidRDefault="008530F8" w:rsidP="008530F8">
      <w:pPr>
        <w:pStyle w:val="berschrift1"/>
      </w:pPr>
      <w:r>
        <w:t>3.3.43.241 Kohärenzerholungszeit</w:t>
      </w:r>
    </w:p>
    <w:p w:rsidR="008530F8" w:rsidRDefault="008530F8" w:rsidP="008530F8">
      <w:pPr>
        <w:pStyle w:val="StandardWeb"/>
      </w:pPr>
      <w:r>
        <w:t>Ich definiere</w:t>
      </w:r>
    </w:p>
    <w:p w:rsidR="008530F8" w:rsidRDefault="008530F8" w:rsidP="008530F8">
      <w:pPr>
        <w:pStyle w:val="berschrift1"/>
      </w:pPr>
      <w:r>
        <w:t>[</w:t>
      </w:r>
      <w:r>
        <w:br/>
        <w:t>T_C^{\mathrm{recover}}</w:t>
      </w:r>
    </w:p>
    <w:p w:rsidR="008530F8" w:rsidRDefault="008530F8" w:rsidP="008530F8">
      <w:pPr>
        <w:pStyle w:val="StandardWeb"/>
      </w:pPr>
      <w:r>
        <w:t>\inf</w:t>
      </w:r>
      <w:r>
        <w:br/>
        <w:t>\left{</w:t>
      </w:r>
      <w:r>
        <w:br/>
        <w:t>t-t_0:</w:t>
      </w:r>
      <w:r>
        <w:br/>
        <w:t>|C(t)-C_0|</w:t>
      </w:r>
      <w:r>
        <w:br/>
        <w:t>\leq</w:t>
      </w:r>
      <w:r>
        <w:br/>
        <w:t>\varepsilon_C</w:t>
      </w:r>
      <w:r>
        <w:br/>
        <w:t>\right}.</w:t>
      </w:r>
      <w:r>
        <w:br/>
        <w:t>\tag{3.8887}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T_C^{\mathrm{recover}}=\inf\left\{t-t_0:|C(t)-C_0|\leq\varepsilon_C\right\}</w:t>
      </w:r>
    </w:p>
    <w:p w:rsidR="008530F8" w:rsidRDefault="00E50336" w:rsidP="008530F8">
      <w:r>
        <w:pict>
          <v:rect id="_x0000_i2488" style="width:0;height:1.5pt" o:hralign="center" o:hrstd="t" o:hr="t" fillcolor="#a0a0a0" stroked="f"/>
        </w:pict>
      </w:r>
    </w:p>
    <w:p w:rsidR="008530F8" w:rsidRDefault="008530F8" w:rsidP="008530F8">
      <w:pPr>
        <w:pStyle w:val="berschrift1"/>
      </w:pPr>
      <w:r>
        <w:t>3.3.43.242 Kohärenzresilienzgrad</w:t>
      </w:r>
    </w:p>
    <w:p w:rsidR="008530F8" w:rsidRDefault="008530F8" w:rsidP="008530F8">
      <w:pPr>
        <w:pStyle w:val="StandardWeb"/>
      </w:pPr>
      <w:r>
        <w:t>Eine einfache normierte Größe kann beispielsweise</w:t>
      </w:r>
    </w:p>
    <w:p w:rsidR="008530F8" w:rsidRDefault="008530F8" w:rsidP="008530F8">
      <w:pPr>
        <w:pStyle w:val="berschrift1"/>
      </w:pPr>
      <w:r>
        <w:t>[</w:t>
      </w:r>
      <w:r>
        <w:br/>
        <w:t>R_C^{\mathrm{res}}</w:t>
      </w:r>
    </w:p>
    <w:p w:rsidR="008530F8" w:rsidRDefault="008530F8" w:rsidP="008530F8">
      <w:pPr>
        <w:pStyle w:val="StandardWeb"/>
      </w:pPr>
      <w:r>
        <w:t>\frac{1}</w:t>
      </w:r>
      <w:r>
        <w:br/>
        <w:t>{1+T_C^{\mathrm{recover}}}</w:t>
      </w:r>
      <w:r>
        <w:br/>
        <w:t>\tag{3.8888}</w:t>
      </w:r>
      <w:r>
        <w:br/>
        <w:t>]</w:t>
      </w:r>
    </w:p>
    <w:p w:rsidR="008530F8" w:rsidRDefault="008530F8" w:rsidP="008530F8">
      <w:pPr>
        <w:pStyle w:val="StandardWeb"/>
      </w:pPr>
      <w:r>
        <w:rPr>
          <w:rStyle w:val="Fett"/>
        </w:rPr>
        <w:lastRenderedPageBreak/>
        <w:t>Word-LaTeX</w:t>
      </w:r>
    </w:p>
    <w:p w:rsidR="008530F8" w:rsidRDefault="008530F8" w:rsidP="008530F8">
      <w:pPr>
        <w:pStyle w:val="HTMLVorformatiert"/>
        <w:rPr>
          <w:rStyle w:val="HTMLCode"/>
        </w:rPr>
      </w:pPr>
      <w:r>
        <w:rPr>
          <w:rStyle w:val="HTMLCode"/>
        </w:rPr>
        <w:t>R_C^{\mathrm{res}}=\frac{1}{1+T_C^{\mathrm{recover}}}</w:t>
      </w:r>
    </w:p>
    <w:p w:rsidR="008530F8" w:rsidRDefault="008530F8" w:rsidP="008530F8">
      <w:pPr>
        <w:pStyle w:val="StandardWeb"/>
      </w:pPr>
      <w:r>
        <w:t>sein, sofern die Zeit zuvor geeignet normiert wurde.</w:t>
      </w:r>
    </w:p>
    <w:p w:rsidR="008530F8" w:rsidRDefault="00E50336" w:rsidP="008530F8">
      <w:r>
        <w:pict>
          <v:rect id="_x0000_i2489" style="width:0;height:1.5pt" o:hralign="center" o:hrstd="t" o:hr="t" fillcolor="#a0a0a0" stroked="f"/>
        </w:pict>
      </w:r>
    </w:p>
    <w:p w:rsidR="008530F8" w:rsidRDefault="008530F8" w:rsidP="008530F8">
      <w:pPr>
        <w:pStyle w:val="berschrift1"/>
      </w:pPr>
      <w:r>
        <w:t>3.3.43.243 Kohärenzrobustheit und Kohärenzresilienz sind verschieden</w:t>
      </w:r>
    </w:p>
    <w:p w:rsidR="008530F8" w:rsidRDefault="008530F8" w:rsidP="008530F8">
      <w:pPr>
        <w:pStyle w:val="StandardWeb"/>
      </w:pPr>
      <w:r>
        <w:t>Es gilt</w:t>
      </w:r>
    </w:p>
    <w:p w:rsidR="008530F8" w:rsidRDefault="008530F8" w:rsidP="008530F8">
      <w:pPr>
        <w:pStyle w:val="StandardWeb"/>
      </w:pPr>
      <w:r>
        <w:t>[</w:t>
      </w:r>
      <w:r>
        <w:br/>
        <w:t>R_C^{\mathrm{rob}}</w:t>
      </w:r>
      <w:r>
        <w:br/>
        <w:t>\neq</w:t>
      </w:r>
      <w:r>
        <w:br/>
        <w:t>R_C^{\mathrm{res}}.</w:t>
      </w:r>
      <w:r>
        <w:br/>
        <w:t>\tag{3.8889}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R_C^{\mathrm{rob}}\neq R_C^{\mathrm{res}}</w:t>
      </w:r>
    </w:p>
    <w:p w:rsidR="008530F8" w:rsidRDefault="008530F8" w:rsidP="008530F8">
      <w:pPr>
        <w:pStyle w:val="StandardWeb"/>
      </w:pPr>
      <w:r>
        <w:t>Robustheit beschreibt Widerstand gegen Kohärenzverlust, Resilienz die Fähigkeit zur Wiederherstellung nach einem Verlust.</w:t>
      </w:r>
    </w:p>
    <w:p w:rsidR="008530F8" w:rsidRDefault="00E50336" w:rsidP="008530F8">
      <w:r>
        <w:pict>
          <v:rect id="_x0000_i2490" style="width:0;height:1.5pt" o:hralign="center" o:hrstd="t" o:hr="t" fillcolor="#a0a0a0" stroked="f"/>
        </w:pict>
      </w:r>
    </w:p>
    <w:p w:rsidR="008530F8" w:rsidRDefault="008530F8" w:rsidP="008530F8">
      <w:pPr>
        <w:pStyle w:val="berschrift1"/>
      </w:pPr>
      <w:r>
        <w:t>3.3.43.244 Kohärenzadaptivität</w:t>
      </w:r>
    </w:p>
    <w:p w:rsidR="008530F8" w:rsidRDefault="008530F8" w:rsidP="008530F8">
      <w:pPr>
        <w:pStyle w:val="StandardWeb"/>
      </w:pPr>
      <w:r>
        <w:t>Ein System kann seine Kopplungsstruktur verändern, um Kohärenz aufrechtzuerhalten.</w:t>
      </w:r>
    </w:p>
    <w:p w:rsidR="008530F8" w:rsidRDefault="008530F8" w:rsidP="008530F8">
      <w:pPr>
        <w:pStyle w:val="StandardWeb"/>
      </w:pPr>
      <w:r>
        <w:t>Ich schreibe</w:t>
      </w:r>
    </w:p>
    <w:p w:rsidR="008530F8" w:rsidRDefault="008530F8" w:rsidP="008530F8">
      <w:pPr>
        <w:pStyle w:val="StandardWeb"/>
      </w:pPr>
      <w:r>
        <w:t>[</w:t>
      </w:r>
      <w:r>
        <w:br/>
        <w:t>\mathbf C(t)</w:t>
      </w:r>
      <w:r>
        <w:br/>
        <w:t>\rightarrow</w:t>
      </w:r>
      <w:r>
        <w:br/>
        <w:t>\mathbf C'(t)</w:t>
      </w:r>
      <w:r>
        <w:br/>
        <w:t>\tag{3.8890}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\mathbf C(t)\rightarrow\mathbf C'(t)</w:t>
      </w:r>
    </w:p>
    <w:p w:rsidR="008530F8" w:rsidRDefault="008530F8" w:rsidP="008530F8">
      <w:pPr>
        <w:pStyle w:val="StandardWeb"/>
      </w:pPr>
      <w:r>
        <w:t>unter einer Anpassungsregel</w:t>
      </w:r>
    </w:p>
    <w:p w:rsidR="008530F8" w:rsidRDefault="008530F8" w:rsidP="008530F8">
      <w:pPr>
        <w:pStyle w:val="StandardWeb"/>
      </w:pPr>
      <w:r>
        <w:t>[</w:t>
      </w:r>
      <w:r>
        <w:br/>
        <w:t>\mathcal A_C.</w:t>
      </w:r>
      <w:r>
        <w:br/>
      </w:r>
      <w:r>
        <w:lastRenderedPageBreak/>
        <w:t>\tag{3.8891}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A_C</w:t>
      </w:r>
    </w:p>
    <w:p w:rsidR="008530F8" w:rsidRDefault="00E50336" w:rsidP="008530F8">
      <w:r>
        <w:pict>
          <v:rect id="_x0000_i2491" style="width:0;height:1.5pt" o:hralign="center" o:hrstd="t" o:hr="t" fillcolor="#a0a0a0" stroked="f"/>
        </w:pict>
      </w:r>
    </w:p>
    <w:p w:rsidR="008530F8" w:rsidRDefault="008530F8" w:rsidP="008530F8">
      <w:pPr>
        <w:pStyle w:val="berschrift1"/>
      </w:pPr>
      <w:r>
        <w:t>3.3.43.245 Adaptive Kohärenz</w:t>
      </w:r>
    </w:p>
    <w:p w:rsidR="008530F8" w:rsidRDefault="008530F8" w:rsidP="008530F8">
      <w:pPr>
        <w:pStyle w:val="StandardWeb"/>
      </w:pPr>
      <w:r>
        <w:t>Ich definiere</w:t>
      </w:r>
    </w:p>
    <w:p w:rsidR="008530F8" w:rsidRDefault="008530F8" w:rsidP="008530F8">
      <w:pPr>
        <w:pStyle w:val="berschrift1"/>
      </w:pPr>
      <w:r>
        <w:t>[</w:t>
      </w:r>
      <w:r>
        <w:br/>
        <w:t>C_{\mathrm{adapt}}</w:t>
      </w:r>
    </w:p>
    <w:p w:rsidR="008530F8" w:rsidRDefault="008530F8" w:rsidP="008530F8">
      <w:pPr>
        <w:pStyle w:val="StandardWeb"/>
      </w:pPr>
      <w:r>
        <w:t>\mathcal A_C</w:t>
      </w:r>
      <w:r>
        <w:br/>
        <w:t>\left(</w:t>
      </w:r>
      <w:r>
        <w:br/>
        <w:t>C,</w:t>
      </w:r>
      <w:r>
        <w:br/>
        <w:t>\delta,</w:t>
      </w:r>
      <w:r>
        <w:br/>
        <w:t>\mathcal H_C</w:t>
      </w:r>
      <w:r>
        <w:br/>
        <w:t>\right).</w:t>
      </w:r>
      <w:r>
        <w:br/>
        <w:t>\tag{3.8892}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C_{\mathrm{adapt}}=\mathcal A_C\left(C,\delta,\mathcal H_C\right)</w:t>
      </w:r>
    </w:p>
    <w:p w:rsidR="008530F8" w:rsidRDefault="00E50336" w:rsidP="008530F8">
      <w:r>
        <w:pict>
          <v:rect id="_x0000_i2492" style="width:0;height:1.5pt" o:hralign="center" o:hrstd="t" o:hr="t" fillcolor="#a0a0a0" stroked="f"/>
        </w:pict>
      </w:r>
    </w:p>
    <w:p w:rsidR="008530F8" w:rsidRDefault="008530F8" w:rsidP="008530F8">
      <w:pPr>
        <w:pStyle w:val="berschrift1"/>
      </w:pPr>
      <w:r>
        <w:t>3.3.43.246 Kohärenzadaptivität ist kein Primäraxiom</w:t>
      </w:r>
    </w:p>
    <w:p w:rsidR="008530F8" w:rsidRDefault="008530F8" w:rsidP="008530F8">
      <w:pPr>
        <w:pStyle w:val="StandardWeb"/>
      </w:pPr>
      <w:r>
        <w:t>Nicht jedes System muss seine Kohärenz aktiv regulieren.</w:t>
      </w:r>
    </w:p>
    <w:p w:rsidR="008530F8" w:rsidRDefault="008530F8" w:rsidP="008530F8">
      <w:pPr>
        <w:pStyle w:val="StandardWeb"/>
      </w:pPr>
      <w:r>
        <w:t>Daher gilt nicht allgemein</w:t>
      </w:r>
    </w:p>
    <w:p w:rsidR="008530F8" w:rsidRDefault="008530F8" w:rsidP="008530F8">
      <w:pPr>
        <w:pStyle w:val="StandardWeb"/>
      </w:pPr>
      <w:r>
        <w:t>[</w:t>
      </w:r>
      <w:r>
        <w:br/>
        <w:t>\mathcal A_C\neq0.</w:t>
      </w:r>
      <w:r>
        <w:br/>
        <w:t>\tag{3.8893}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A_C\neq0</w:t>
      </w:r>
    </w:p>
    <w:p w:rsidR="008530F8" w:rsidRDefault="008530F8" w:rsidP="008530F8">
      <w:pPr>
        <w:pStyle w:val="StandardWeb"/>
      </w:pPr>
      <w:r>
        <w:t>Adaptive Kohärenz bleibt eine mögliche Systemeigenschaft.</w:t>
      </w:r>
    </w:p>
    <w:p w:rsidR="008530F8" w:rsidRDefault="00E50336" w:rsidP="008530F8">
      <w:r>
        <w:pict>
          <v:rect id="_x0000_i2493" style="width:0;height:1.5pt" o:hralign="center" o:hrstd="t" o:hr="t" fillcolor="#a0a0a0" stroked="f"/>
        </w:pict>
      </w:r>
    </w:p>
    <w:p w:rsidR="008530F8" w:rsidRDefault="008530F8" w:rsidP="008530F8">
      <w:pPr>
        <w:pStyle w:val="berschrift1"/>
      </w:pPr>
      <w:r>
        <w:lastRenderedPageBreak/>
        <w:t>3.3.43.247 Kohärenz und Rückkopplung</w:t>
      </w:r>
    </w:p>
    <w:p w:rsidR="008530F8" w:rsidRDefault="008530F8" w:rsidP="008530F8">
      <w:pPr>
        <w:pStyle w:val="StandardWeb"/>
      </w:pPr>
      <w:r>
        <w:t>Für einen gerichteten Zyklus</w:t>
      </w:r>
    </w:p>
    <w:p w:rsidR="008530F8" w:rsidRDefault="008530F8" w:rsidP="008530F8">
      <w:pPr>
        <w:pStyle w:val="StandardWeb"/>
      </w:pPr>
      <w:r>
        <w:t>[</w:t>
      </w:r>
      <w:r>
        <w:br/>
        <w:t>X_1</w:t>
      </w:r>
      <w:r>
        <w:br/>
        <w:t>\rightarrow</w:t>
      </w:r>
      <w:r>
        <w:br/>
        <w:t>X_2</w:t>
      </w:r>
      <w:r>
        <w:br/>
        <w:t>\rightarrow</w:t>
      </w:r>
      <w:r>
        <w:br/>
        <w:t>\cdots</w:t>
      </w:r>
      <w:r>
        <w:br/>
        <w:t>\rightarrow</w:t>
      </w:r>
      <w:r>
        <w:br/>
        <w:t>X_n</w:t>
      </w:r>
      <w:r>
        <w:br/>
        <w:t>\rightarrow</w:t>
      </w:r>
      <w:r>
        <w:br/>
        <w:t>X_1</w:t>
      </w:r>
      <w:r>
        <w:br/>
        <w:t>\tag{3.8894}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X_1\rightarrow X_2\rightarrow\cdots\rightarrow X_n\rightarrow X_1</w:t>
      </w:r>
    </w:p>
    <w:p w:rsidR="008530F8" w:rsidRDefault="008530F8" w:rsidP="008530F8">
      <w:pPr>
        <w:pStyle w:val="StandardWeb"/>
      </w:pPr>
      <w:r>
        <w:t>entsteht eine Kohärenzschleife.</w:t>
      </w:r>
    </w:p>
    <w:p w:rsidR="008530F8" w:rsidRDefault="00E50336" w:rsidP="008530F8">
      <w:r>
        <w:pict>
          <v:rect id="_x0000_i2494" style="width:0;height:1.5pt" o:hralign="center" o:hrstd="t" o:hr="t" fillcolor="#a0a0a0" stroked="f"/>
        </w:pict>
      </w:r>
    </w:p>
    <w:p w:rsidR="008530F8" w:rsidRDefault="008530F8" w:rsidP="008530F8">
      <w:pPr>
        <w:pStyle w:val="berschrift1"/>
      </w:pPr>
      <w:r>
        <w:t>3.3.43.248 Schleifenkohärenz</w:t>
      </w:r>
    </w:p>
    <w:p w:rsidR="008530F8" w:rsidRDefault="008530F8" w:rsidP="008530F8">
      <w:pPr>
        <w:pStyle w:val="StandardWeb"/>
      </w:pPr>
      <w:r>
        <w:t>Eine konservative Schleifenkohärenz lautet</w:t>
      </w:r>
    </w:p>
    <w:p w:rsidR="008530F8" w:rsidRDefault="008530F8" w:rsidP="008530F8">
      <w:pPr>
        <w:pStyle w:val="berschrift1"/>
      </w:pPr>
      <w:r>
        <w:t>[</w:t>
      </w:r>
      <w:r>
        <w:br/>
        <w:t>C_{\mathrm{loop}}</w:t>
      </w:r>
    </w:p>
    <w:p w:rsidR="008530F8" w:rsidRDefault="008530F8" w:rsidP="008530F8">
      <w:pPr>
        <w:pStyle w:val="StandardWeb"/>
      </w:pPr>
      <w:r>
        <w:t>\min_{e\in L}</w:t>
      </w:r>
      <w:r>
        <w:br/>
        <w:t>C_e.</w:t>
      </w:r>
      <w:r>
        <w:br/>
        <w:t>\tag{3.8895}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C_{\mathrm{loop}}=\min_{e\in L}C_e</w:t>
      </w:r>
    </w:p>
    <w:p w:rsidR="008530F8" w:rsidRDefault="00E50336" w:rsidP="008530F8">
      <w:r>
        <w:pict>
          <v:rect id="_x0000_i2495" style="width:0;height:1.5pt" o:hralign="center" o:hrstd="t" o:hr="t" fillcolor="#a0a0a0" stroked="f"/>
        </w:pict>
      </w:r>
    </w:p>
    <w:p w:rsidR="008530F8" w:rsidRDefault="008530F8" w:rsidP="008530F8">
      <w:pPr>
        <w:pStyle w:val="berschrift1"/>
      </w:pPr>
      <w:r>
        <w:t>3.3.43.249 Produktbasierte Schleifenkohärenz</w:t>
      </w:r>
    </w:p>
    <w:p w:rsidR="008530F8" w:rsidRDefault="008530F8" w:rsidP="008530F8">
      <w:pPr>
        <w:pStyle w:val="StandardWeb"/>
      </w:pPr>
      <w:r>
        <w:t>Alternativ kann</w:t>
      </w:r>
    </w:p>
    <w:p w:rsidR="008530F8" w:rsidRDefault="008530F8" w:rsidP="008530F8">
      <w:pPr>
        <w:pStyle w:val="berschrift1"/>
      </w:pPr>
      <w:r>
        <w:lastRenderedPageBreak/>
        <w:t>[</w:t>
      </w:r>
      <w:r>
        <w:br/>
        <w:t>C_{\mathrm{loop}}^{\Pi}</w:t>
      </w:r>
    </w:p>
    <w:p w:rsidR="008530F8" w:rsidRDefault="008530F8" w:rsidP="008530F8">
      <w:pPr>
        <w:pStyle w:val="StandardWeb"/>
      </w:pPr>
      <w:r>
        <w:t>\prod_{e\in L}</w:t>
      </w:r>
      <w:r>
        <w:br/>
        <w:t>C_e</w:t>
      </w:r>
      <w:r>
        <w:br/>
        <w:t>\tag{3.8896}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C_{\mathrm{loop}}^{\Pi}=\prod_{e\in L}C_e</w:t>
      </w:r>
    </w:p>
    <w:p w:rsidR="008530F8" w:rsidRDefault="008530F8" w:rsidP="008530F8">
      <w:pPr>
        <w:pStyle w:val="StandardWeb"/>
      </w:pPr>
      <w:r>
        <w:t>verwendet werden.</w:t>
      </w:r>
    </w:p>
    <w:p w:rsidR="008530F8" w:rsidRDefault="00E50336" w:rsidP="008530F8">
      <w:r>
        <w:pict>
          <v:rect id="_x0000_i2496" style="width:0;height:1.5pt" o:hralign="center" o:hrstd="t" o:hr="t" fillcolor="#a0a0a0" stroked="f"/>
        </w:pict>
      </w:r>
    </w:p>
    <w:p w:rsidR="008530F8" w:rsidRDefault="008530F8" w:rsidP="008530F8">
      <w:pPr>
        <w:pStyle w:val="berschrift1"/>
      </w:pPr>
      <w:r>
        <w:t>3.3.43.250 Kohärenzschleife und Stabilität</w:t>
      </w:r>
    </w:p>
    <w:p w:rsidR="008530F8" w:rsidRDefault="008530F8" w:rsidP="008530F8">
      <w:pPr>
        <w:pStyle w:val="StandardWeb"/>
      </w:pPr>
      <w:r>
        <w:t>Eine starke Kohärenzschleife kann stabilisierend oder destabilisierend wirken.</w:t>
      </w:r>
    </w:p>
    <w:p w:rsidR="008530F8" w:rsidRDefault="008530F8" w:rsidP="008530F8">
      <w:pPr>
        <w:pStyle w:val="StandardWeb"/>
      </w:pPr>
      <w:r>
        <w:t>Es gilt daher</w:t>
      </w:r>
    </w:p>
    <w:p w:rsidR="008530F8" w:rsidRDefault="008530F8" w:rsidP="008530F8">
      <w:pPr>
        <w:pStyle w:val="StandardWeb"/>
      </w:pPr>
      <w:r>
        <w:t>[</w:t>
      </w:r>
      <w:r>
        <w:br/>
        <w:t>C_{\mathrm{loop}}\text{ groß}</w:t>
      </w:r>
      <w:r>
        <w:br/>
        <w:t>\nRightarrow</w:t>
      </w:r>
      <w:r>
        <w:br/>
        <w:t>S_{\mathrm{sys}}\text{ groß}.</w:t>
      </w:r>
      <w:r>
        <w:br/>
        <w:t>\tag{3.8897}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C_{\mathrm{loop}}\text{ groß}\nRightarrow S_{\mathrm{sys}}\text{ groß}</w:t>
      </w:r>
    </w:p>
    <w:p w:rsidR="008530F8" w:rsidRDefault="008530F8" w:rsidP="008530F8">
      <w:pPr>
        <w:pStyle w:val="StandardWeb"/>
      </w:pPr>
      <w:r>
        <w:t>Die Wirkung hängt von Vorzeichen, Verzögerungen und Dynamik der beteiligten Beziehungen ab.</w:t>
      </w:r>
    </w:p>
    <w:p w:rsidR="008530F8" w:rsidRDefault="00E50336" w:rsidP="008530F8">
      <w:r>
        <w:pict>
          <v:rect id="_x0000_i2497" style="width:0;height:1.5pt" o:hralign="center" o:hrstd="t" o:hr="t" fillcolor="#a0a0a0" stroked="f"/>
        </w:pict>
      </w:r>
    </w:p>
    <w:p w:rsidR="008530F8" w:rsidRDefault="008530F8" w:rsidP="008530F8">
      <w:pPr>
        <w:pStyle w:val="berschrift1"/>
      </w:pPr>
      <w:r>
        <w:t>3.3.43.251 Kohärenzverzögerung</w:t>
      </w:r>
    </w:p>
    <w:p w:rsidR="008530F8" w:rsidRDefault="008530F8" w:rsidP="008530F8">
      <w:pPr>
        <w:pStyle w:val="StandardWeb"/>
      </w:pPr>
      <w:r>
        <w:t>Für gerichtete Beziehungen kann eine Verzögerung</w:t>
      </w:r>
    </w:p>
    <w:p w:rsidR="008530F8" w:rsidRDefault="008530F8" w:rsidP="008530F8">
      <w:pPr>
        <w:pStyle w:val="StandardWeb"/>
      </w:pPr>
      <w:r>
        <w:t>[</w:t>
      </w:r>
      <w:r>
        <w:br/>
        <w:t>\tau_{ij}^{C}</w:t>
      </w:r>
      <w:r>
        <w:br/>
        <w:t>\tag{3.8898}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\tau_{ij}^{C}</w:t>
      </w:r>
    </w:p>
    <w:p w:rsidR="008530F8" w:rsidRDefault="008530F8" w:rsidP="008530F8">
      <w:pPr>
        <w:pStyle w:val="StandardWeb"/>
      </w:pPr>
      <w:r>
        <w:lastRenderedPageBreak/>
        <w:t>auftreten.</w:t>
      </w:r>
    </w:p>
    <w:p w:rsidR="008530F8" w:rsidRDefault="008530F8" w:rsidP="008530F8">
      <w:pPr>
        <w:pStyle w:val="StandardWeb"/>
      </w:pPr>
      <w:r>
        <w:t>Dann kann gelten</w:t>
      </w:r>
    </w:p>
    <w:p w:rsidR="008530F8" w:rsidRDefault="008530F8" w:rsidP="008530F8">
      <w:pPr>
        <w:pStyle w:val="berschrift1"/>
      </w:pPr>
      <w:r>
        <w:t>[</w:t>
      </w:r>
      <w:r>
        <w:br/>
        <w:t>C_{i\rightarrow j}(t)</w:t>
      </w:r>
    </w:p>
    <w:p w:rsidR="008530F8" w:rsidRDefault="008530F8" w:rsidP="008530F8">
      <w:pPr>
        <w:pStyle w:val="StandardWeb"/>
      </w:pPr>
      <w:r>
        <w:t>\mathcal F</w:t>
      </w:r>
      <w:r>
        <w:br/>
        <w:t>\left(</w:t>
      </w:r>
      <w:r>
        <w:br/>
        <w:t>X_i(t-\tau_{ij}^{C}),</w:t>
      </w:r>
      <w:r>
        <w:br/>
        <w:t>X_j(t)</w:t>
      </w:r>
      <w:r>
        <w:br/>
        <w:t>\right).</w:t>
      </w:r>
      <w:r>
        <w:br/>
        <w:t>\tag{3.8899}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C_{i\rightarrow j}(t)=\mathcal F\left(X_i(t-\tau_{ij}^{C}),X_j(t)\right)</w:t>
      </w:r>
    </w:p>
    <w:p w:rsidR="008530F8" w:rsidRDefault="00E50336" w:rsidP="008530F8">
      <w:r>
        <w:pict>
          <v:rect id="_x0000_i2498" style="width:0;height:1.5pt" o:hralign="center" o:hrstd="t" o:hr="t" fillcolor="#a0a0a0" stroked="f"/>
        </w:pict>
      </w:r>
    </w:p>
    <w:p w:rsidR="008530F8" w:rsidRDefault="008530F8" w:rsidP="008530F8">
      <w:pPr>
        <w:pStyle w:val="berschrift1"/>
      </w:pPr>
      <w:r>
        <w:t>3.3.43.252 Kohärenzverzögerungsmatrix</w:t>
      </w:r>
    </w:p>
    <w:p w:rsidR="008530F8" w:rsidRDefault="008530F8" w:rsidP="008530F8">
      <w:pPr>
        <w:pStyle w:val="StandardWeb"/>
      </w:pPr>
      <w:r>
        <w:t>Für mehrere Komponenten definiere ich</w:t>
      </w:r>
    </w:p>
    <w:p w:rsidR="008530F8" w:rsidRDefault="008530F8" w:rsidP="008530F8">
      <w:pPr>
        <w:pStyle w:val="berschrift1"/>
      </w:pPr>
      <w:r>
        <w:t>[</w:t>
      </w:r>
      <w:r>
        <w:br/>
        <w:t>\mathbf T_C</w:t>
      </w:r>
    </w:p>
    <w:p w:rsidR="008530F8" w:rsidRDefault="008530F8" w:rsidP="008530F8">
      <w:pPr>
        <w:pStyle w:val="StandardWeb"/>
      </w:pPr>
      <w:r>
        <w:t>\left[</w:t>
      </w:r>
      <w:r>
        <w:br/>
        <w:t>\tau_{ij}^{C}</w:t>
      </w:r>
      <w:r>
        <w:br/>
        <w:t>\right].</w:t>
      </w:r>
      <w:r>
        <w:br/>
        <w:t>\tag{3.8900}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\mathbf T_C=\left[\tau_{ij}^{C}\right]</w:t>
      </w:r>
    </w:p>
    <w:p w:rsidR="008530F8" w:rsidRDefault="00E50336" w:rsidP="008530F8">
      <w:r>
        <w:pict>
          <v:rect id="_x0000_i2499" style="width:0;height:1.5pt" o:hralign="center" o:hrstd="t" o:hr="t" fillcolor="#a0a0a0" stroked="f"/>
        </w:pict>
      </w:r>
    </w:p>
    <w:p w:rsidR="008530F8" w:rsidRDefault="008530F8" w:rsidP="008530F8">
      <w:pPr>
        <w:pStyle w:val="berschrift1"/>
      </w:pPr>
      <w:r>
        <w:t>3.3.43.253 Verzögerungsabhängige Kohärenz</w:t>
      </w:r>
    </w:p>
    <w:p w:rsidR="008530F8" w:rsidRDefault="008530F8" w:rsidP="008530F8">
      <w:pPr>
        <w:pStyle w:val="StandardWeb"/>
      </w:pPr>
      <w:r>
        <w:t>Damit wird</w:t>
      </w:r>
    </w:p>
    <w:p w:rsidR="008530F8" w:rsidRDefault="008530F8" w:rsidP="008530F8">
      <w:pPr>
        <w:pStyle w:val="berschrift1"/>
      </w:pPr>
      <w:r>
        <w:t>[</w:t>
      </w:r>
      <w:r>
        <w:br/>
        <w:t>C_{ij}</w:t>
      </w:r>
    </w:p>
    <w:p w:rsidR="008530F8" w:rsidRDefault="008530F8" w:rsidP="008530F8">
      <w:pPr>
        <w:pStyle w:val="StandardWeb"/>
      </w:pPr>
      <w:r>
        <w:lastRenderedPageBreak/>
        <w:t>C_{ij}(\tau).</w:t>
      </w:r>
      <w:r>
        <w:br/>
        <w:t>\tag{3.8901}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C_{ij}=C_{ij}(\tau)</w:t>
      </w:r>
    </w:p>
    <w:p w:rsidR="008530F8" w:rsidRDefault="008530F8" w:rsidP="008530F8">
      <w:pPr>
        <w:pStyle w:val="StandardWeb"/>
      </w:pPr>
      <w:r>
        <w:t>Eine maximale Kohärenz kann bei einer nichtverschwindenden Verzögerung auftreten.</w:t>
      </w:r>
    </w:p>
    <w:p w:rsidR="008530F8" w:rsidRDefault="00E50336" w:rsidP="008530F8">
      <w:r>
        <w:pict>
          <v:rect id="_x0000_i2500" style="width:0;height:1.5pt" o:hralign="center" o:hrstd="t" o:hr="t" fillcolor="#a0a0a0" stroked="f"/>
        </w:pict>
      </w:r>
    </w:p>
    <w:p w:rsidR="008530F8" w:rsidRDefault="008530F8" w:rsidP="008530F8">
      <w:pPr>
        <w:pStyle w:val="berschrift1"/>
      </w:pPr>
      <w:r>
        <w:t>3.3.43.254 Optimale Kohärenzverzögerung</w:t>
      </w:r>
    </w:p>
    <w:p w:rsidR="008530F8" w:rsidRDefault="008530F8" w:rsidP="008530F8">
      <w:pPr>
        <w:pStyle w:val="StandardWeb"/>
      </w:pPr>
      <w:r>
        <w:t>Ich definiere</w:t>
      </w:r>
    </w:p>
    <w:p w:rsidR="008530F8" w:rsidRDefault="008530F8" w:rsidP="008530F8">
      <w:pPr>
        <w:pStyle w:val="berschrift1"/>
      </w:pPr>
      <w:r>
        <w:t>[</w:t>
      </w:r>
      <w:r>
        <w:br/>
        <w:t>\tau_{ij}^{\ast}</w:t>
      </w:r>
    </w:p>
    <w:p w:rsidR="008530F8" w:rsidRDefault="008530F8" w:rsidP="008530F8">
      <w:pPr>
        <w:pStyle w:val="StandardWeb"/>
      </w:pPr>
      <w:r>
        <w:t>\arg\max_{\tau}</w:t>
      </w:r>
      <w:r>
        <w:br/>
        <w:t>C_{ij}(\tau).</w:t>
      </w:r>
      <w:r>
        <w:br/>
        <w:t>\tag{3.8902}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\tau_{ij}^{\ast}=\arg\max_{\tau}C_{ij}(\tau)</w:t>
      </w:r>
    </w:p>
    <w:p w:rsidR="008530F8" w:rsidRDefault="00E50336" w:rsidP="008530F8">
      <w:r>
        <w:pict>
          <v:rect id="_x0000_i2501" style="width:0;height:1.5pt" o:hralign="center" o:hrstd="t" o:hr="t" fillcolor="#a0a0a0" stroked="f"/>
        </w:pict>
      </w:r>
    </w:p>
    <w:p w:rsidR="008530F8" w:rsidRDefault="008530F8" w:rsidP="008530F8">
      <w:pPr>
        <w:pStyle w:val="berschrift1"/>
      </w:pPr>
      <w:r>
        <w:t>3.3.43.255 Nullverzögerung ist nicht zwingend maximale Kohärenz</w:t>
      </w:r>
    </w:p>
    <w:p w:rsidR="008530F8" w:rsidRDefault="008530F8" w:rsidP="008530F8">
      <w:pPr>
        <w:pStyle w:val="StandardWeb"/>
      </w:pPr>
      <w:r>
        <w:t>Es gilt</w:t>
      </w:r>
    </w:p>
    <w:p w:rsidR="008530F8" w:rsidRDefault="008530F8" w:rsidP="008530F8">
      <w:pPr>
        <w:pStyle w:val="StandardWeb"/>
      </w:pPr>
      <w:r>
        <w:t>[</w:t>
      </w:r>
      <w:r>
        <w:br/>
        <w:t>\tau_{ij}^{\ast}</w:t>
      </w:r>
      <w:r>
        <w:br/>
        <w:t>\nRightarrow</w:t>
      </w:r>
      <w:r>
        <w:br/>
        <w:t>0.</w:t>
      </w:r>
      <w:r>
        <w:br/>
        <w:t>\tag{3.8903}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\tau_{ij}^{\ast}\nRightarrow0</w:t>
      </w:r>
    </w:p>
    <w:p w:rsidR="008530F8" w:rsidRDefault="008530F8" w:rsidP="008530F8">
      <w:pPr>
        <w:pStyle w:val="StandardWeb"/>
      </w:pPr>
      <w:r>
        <w:t>Zeitlich versetzte funktionale Beziehungen können kohärenter sein als gleichzeitige Zustände.</w:t>
      </w:r>
    </w:p>
    <w:p w:rsidR="008530F8" w:rsidRDefault="00E50336" w:rsidP="008530F8">
      <w:r>
        <w:pict>
          <v:rect id="_x0000_i2502" style="width:0;height:1.5pt" o:hralign="center" o:hrstd="t" o:hr="t" fillcolor="#a0a0a0" stroked="f"/>
        </w:pict>
      </w:r>
    </w:p>
    <w:p w:rsidR="008530F8" w:rsidRDefault="008530F8" w:rsidP="008530F8">
      <w:pPr>
        <w:pStyle w:val="berschrift1"/>
      </w:pPr>
      <w:r>
        <w:lastRenderedPageBreak/>
        <w:t>3.3.43.256 Kohärenzphase</w:t>
      </w:r>
    </w:p>
    <w:p w:rsidR="008530F8" w:rsidRDefault="008530F8" w:rsidP="008530F8">
      <w:pPr>
        <w:pStyle w:val="StandardWeb"/>
      </w:pPr>
      <w:r>
        <w:t>Für periodische oder quasi-periodische Strukturen kann eine Kohärenzphase</w:t>
      </w:r>
    </w:p>
    <w:p w:rsidR="008530F8" w:rsidRDefault="008530F8" w:rsidP="008530F8">
      <w:pPr>
        <w:pStyle w:val="StandardWeb"/>
      </w:pPr>
      <w:r>
        <w:t>[</w:t>
      </w:r>
      <w:r>
        <w:br/>
        <w:t>\phi_C</w:t>
      </w:r>
      <w:r>
        <w:br/>
        <w:t>\tag{3.8904}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\phi_C</w:t>
      </w:r>
    </w:p>
    <w:p w:rsidR="008530F8" w:rsidRDefault="008530F8" w:rsidP="008530F8">
      <w:pPr>
        <w:pStyle w:val="StandardWeb"/>
      </w:pPr>
      <w:r>
        <w:t>definiert werden.</w:t>
      </w:r>
    </w:p>
    <w:p w:rsidR="008530F8" w:rsidRDefault="00E50336" w:rsidP="008530F8">
      <w:r>
        <w:pict>
          <v:rect id="_x0000_i2503" style="width:0;height:1.5pt" o:hralign="center" o:hrstd="t" o:hr="t" fillcolor="#a0a0a0" stroked="f"/>
        </w:pict>
      </w:r>
    </w:p>
    <w:p w:rsidR="008530F8" w:rsidRDefault="008530F8" w:rsidP="008530F8">
      <w:pPr>
        <w:pStyle w:val="berschrift1"/>
      </w:pPr>
      <w:r>
        <w:t>3.3.43.257 Phasenverschobene Kohärenz</w:t>
      </w:r>
    </w:p>
    <w:p w:rsidR="008530F8" w:rsidRDefault="008530F8" w:rsidP="008530F8">
      <w:pPr>
        <w:pStyle w:val="StandardWeb"/>
      </w:pPr>
      <w:r>
        <w:t>Eine stabile Phasendifferenz</w:t>
      </w:r>
    </w:p>
    <w:p w:rsidR="008530F8" w:rsidRDefault="008530F8" w:rsidP="008530F8">
      <w:pPr>
        <w:pStyle w:val="berschrift1"/>
      </w:pPr>
      <w:r>
        <w:t>[</w:t>
      </w:r>
      <w:r>
        <w:br/>
        <w:t>\Delta\phi</w:t>
      </w:r>
    </w:p>
    <w:p w:rsidR="008530F8" w:rsidRDefault="008530F8" w:rsidP="008530F8">
      <w:pPr>
        <w:pStyle w:val="berschrift1"/>
      </w:pPr>
      <w:r>
        <w:t>\phi_i-\phi_j</w:t>
      </w:r>
    </w:p>
    <w:p w:rsidR="008530F8" w:rsidRDefault="008530F8" w:rsidP="008530F8">
      <w:pPr>
        <w:pStyle w:val="StandardWeb"/>
      </w:pPr>
      <w:r>
        <w:t>\text{const.}</w:t>
      </w:r>
      <w:r>
        <w:br/>
        <w:t>\tag{3.8905}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\Delta\phi=\phi_i-\phi_j=\text{const.}</w:t>
      </w:r>
    </w:p>
    <w:p w:rsidR="008530F8" w:rsidRDefault="008530F8" w:rsidP="008530F8">
      <w:pPr>
        <w:pStyle w:val="StandardWeb"/>
      </w:pPr>
      <w:r>
        <w:t>kann mit hoher funktionaler Kohärenz vereinbar sein.</w:t>
      </w:r>
    </w:p>
    <w:p w:rsidR="008530F8" w:rsidRDefault="008530F8" w:rsidP="008530F8">
      <w:pPr>
        <w:pStyle w:val="StandardWeb"/>
      </w:pPr>
      <w:r>
        <w:t>Damit ist Gleichphasigkeit nicht notwendig.</w:t>
      </w:r>
    </w:p>
    <w:p w:rsidR="008530F8" w:rsidRDefault="00E50336" w:rsidP="008530F8">
      <w:r>
        <w:pict>
          <v:rect id="_x0000_i2504" style="width:0;height:1.5pt" o:hralign="center" o:hrstd="t" o:hr="t" fillcolor="#a0a0a0" stroked="f"/>
        </w:pict>
      </w:r>
    </w:p>
    <w:p w:rsidR="008530F8" w:rsidRDefault="008530F8" w:rsidP="008530F8">
      <w:pPr>
        <w:pStyle w:val="berschrift1"/>
      </w:pPr>
      <w:r>
        <w:t>3.3.43.258 Kohärenzfrequenz</w:t>
      </w:r>
    </w:p>
    <w:p w:rsidR="008530F8" w:rsidRDefault="008530F8" w:rsidP="008530F8">
      <w:pPr>
        <w:pStyle w:val="StandardWeb"/>
      </w:pPr>
      <w:r>
        <w:t>Für zeitlich oszillierende Kohärenz kann ich eine charakteristische Frequenz</w:t>
      </w:r>
    </w:p>
    <w:p w:rsidR="008530F8" w:rsidRDefault="008530F8" w:rsidP="008530F8">
      <w:pPr>
        <w:pStyle w:val="StandardWeb"/>
      </w:pPr>
      <w:r>
        <w:t>[</w:t>
      </w:r>
      <w:r>
        <w:br/>
        <w:t>\omega_C</w:t>
      </w:r>
      <w:r>
        <w:br/>
        <w:t>\tag{3.8906}</w:t>
      </w:r>
      <w:r>
        <w:br/>
        <w:t>]</w:t>
      </w:r>
    </w:p>
    <w:p w:rsidR="008530F8" w:rsidRDefault="008530F8" w:rsidP="008530F8">
      <w:pPr>
        <w:pStyle w:val="StandardWeb"/>
      </w:pPr>
      <w:r>
        <w:rPr>
          <w:rStyle w:val="Fett"/>
        </w:rPr>
        <w:lastRenderedPageBreak/>
        <w:t>Word-LaTeX</w:t>
      </w:r>
    </w:p>
    <w:p w:rsidR="008530F8" w:rsidRDefault="008530F8" w:rsidP="008530F8">
      <w:pPr>
        <w:pStyle w:val="HTMLVorformatiert"/>
        <w:rPr>
          <w:rStyle w:val="HTMLCode"/>
        </w:rPr>
      </w:pPr>
      <w:r>
        <w:rPr>
          <w:rStyle w:val="HTMLCode"/>
        </w:rPr>
        <w:t>\omega_C</w:t>
      </w:r>
    </w:p>
    <w:p w:rsidR="008530F8" w:rsidRDefault="008530F8" w:rsidP="008530F8">
      <w:pPr>
        <w:pStyle w:val="StandardWeb"/>
      </w:pPr>
      <w:r>
        <w:t>definieren.</w:t>
      </w:r>
    </w:p>
    <w:p w:rsidR="008530F8" w:rsidRDefault="00E50336" w:rsidP="008530F8">
      <w:r>
        <w:pict>
          <v:rect id="_x0000_i2505" style="width:0;height:1.5pt" o:hralign="center" o:hrstd="t" o:hr="t" fillcolor="#a0a0a0" stroked="f"/>
        </w:pict>
      </w:r>
    </w:p>
    <w:p w:rsidR="008530F8" w:rsidRDefault="008530F8" w:rsidP="008530F8">
      <w:pPr>
        <w:pStyle w:val="berschrift1"/>
      </w:pPr>
      <w:r>
        <w:t>3.3.43.259 Kohärenzspektrum</w:t>
      </w:r>
    </w:p>
    <w:p w:rsidR="008530F8" w:rsidRDefault="008530F8" w:rsidP="008530F8">
      <w:pPr>
        <w:pStyle w:val="StandardWeb"/>
      </w:pPr>
      <w:r>
        <w:t>Eine spektrale Darstellung lautet</w:t>
      </w:r>
    </w:p>
    <w:p w:rsidR="008530F8" w:rsidRDefault="008530F8" w:rsidP="008530F8">
      <w:pPr>
        <w:pStyle w:val="StandardWeb"/>
      </w:pPr>
      <w:r>
        <w:t>[</w:t>
      </w:r>
      <w:r>
        <w:br/>
        <w:t>S_C(\omega).</w:t>
      </w:r>
      <w:r>
        <w:br/>
        <w:t>\tag{3.8907}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S_C(\omega)</w:t>
      </w:r>
    </w:p>
    <w:p w:rsidR="008530F8" w:rsidRDefault="008530F8" w:rsidP="008530F8">
      <w:pPr>
        <w:pStyle w:val="StandardWeb"/>
      </w:pPr>
      <w:r>
        <w:t>Sie beschreibt die Verteilung kohärenzrelevanter Dynamik über Frequenzen.</w:t>
      </w:r>
    </w:p>
    <w:p w:rsidR="008530F8" w:rsidRDefault="00E50336" w:rsidP="008530F8">
      <w:r>
        <w:pict>
          <v:rect id="_x0000_i2506" style="width:0;height:1.5pt" o:hralign="center" o:hrstd="t" o:hr="t" fillcolor="#a0a0a0" stroked="f"/>
        </w:pict>
      </w:r>
    </w:p>
    <w:p w:rsidR="008530F8" w:rsidRDefault="008530F8" w:rsidP="008530F8">
      <w:pPr>
        <w:pStyle w:val="berschrift1"/>
      </w:pPr>
      <w:r>
        <w:t>3.3.43.260 Frequenzselektive Kohärenz</w:t>
      </w:r>
    </w:p>
    <w:p w:rsidR="008530F8" w:rsidRDefault="008530F8" w:rsidP="008530F8">
      <w:pPr>
        <w:pStyle w:val="StandardWeb"/>
      </w:pPr>
      <w:r>
        <w:t>Kohärenz kann frequenzabhängig sein:</w:t>
      </w:r>
    </w:p>
    <w:p w:rsidR="008530F8" w:rsidRDefault="008530F8" w:rsidP="008530F8">
      <w:pPr>
        <w:pStyle w:val="berschrift1"/>
      </w:pPr>
      <w:r>
        <w:t>[</w:t>
      </w:r>
      <w:r>
        <w:br/>
        <w:t>C_F</w:t>
      </w:r>
    </w:p>
    <w:p w:rsidR="008530F8" w:rsidRDefault="008530F8" w:rsidP="008530F8">
      <w:pPr>
        <w:pStyle w:val="StandardWeb"/>
      </w:pPr>
      <w:r>
        <w:t>C_F(\omega).</w:t>
      </w:r>
      <w:r>
        <w:br/>
        <w:t>\tag{3.8908}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C_F=C_F(\omega)</w:t>
      </w:r>
    </w:p>
    <w:p w:rsidR="008530F8" w:rsidRDefault="008530F8" w:rsidP="008530F8">
      <w:pPr>
        <w:pStyle w:val="StandardWeb"/>
      </w:pPr>
      <w:r>
        <w:t>Ein System kann in einem Frequenzbereich kohärent und in einem anderen nahezu entkoppelt sein.</w:t>
      </w:r>
    </w:p>
    <w:p w:rsidR="008530F8" w:rsidRDefault="00E50336" w:rsidP="008530F8">
      <w:r>
        <w:pict>
          <v:rect id="_x0000_i2507" style="width:0;height:1.5pt" o:hralign="center" o:hrstd="t" o:hr="t" fillcolor="#a0a0a0" stroked="f"/>
        </w:pict>
      </w:r>
    </w:p>
    <w:p w:rsidR="008530F8" w:rsidRDefault="008530F8" w:rsidP="008530F8">
      <w:pPr>
        <w:pStyle w:val="berschrift1"/>
      </w:pPr>
      <w:r>
        <w:t>3.3.43.261 Kohärenzband</w:t>
      </w:r>
    </w:p>
    <w:p w:rsidR="008530F8" w:rsidRDefault="008530F8" w:rsidP="008530F8">
      <w:pPr>
        <w:pStyle w:val="StandardWeb"/>
      </w:pPr>
      <w:r>
        <w:t>Ich definiere</w:t>
      </w:r>
    </w:p>
    <w:p w:rsidR="008530F8" w:rsidRDefault="008530F8" w:rsidP="008530F8">
      <w:pPr>
        <w:pStyle w:val="berschrift1"/>
      </w:pPr>
      <w:r>
        <w:lastRenderedPageBreak/>
        <w:t>[</w:t>
      </w:r>
      <w:r>
        <w:br/>
        <w:t>B_C</w:t>
      </w:r>
    </w:p>
    <w:p w:rsidR="008530F8" w:rsidRDefault="008530F8" w:rsidP="008530F8">
      <w:pPr>
        <w:pStyle w:val="StandardWeb"/>
      </w:pPr>
      <w:r>
        <w:t>\left{</w:t>
      </w:r>
      <w:r>
        <w:br/>
        <w:t>\omega:</w:t>
      </w:r>
      <w:r>
        <w:br/>
        <w:t>C_F(\omega)\geq\tau_C</w:t>
      </w:r>
      <w:r>
        <w:br/>
        <w:t>\right}.</w:t>
      </w:r>
      <w:r>
        <w:br/>
        <w:t>\tag{3.8909}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B_C=\left\{\omega:C_F(\omega)\geq\tau_C\right\}</w:t>
      </w:r>
    </w:p>
    <w:p w:rsidR="008530F8" w:rsidRDefault="00E50336" w:rsidP="008530F8">
      <w:r>
        <w:pict>
          <v:rect id="_x0000_i2508" style="width:0;height:1.5pt" o:hralign="center" o:hrstd="t" o:hr="t" fillcolor="#a0a0a0" stroked="f"/>
        </w:pict>
      </w:r>
    </w:p>
    <w:p w:rsidR="008530F8" w:rsidRDefault="008530F8" w:rsidP="008530F8">
      <w:pPr>
        <w:pStyle w:val="berschrift1"/>
      </w:pPr>
      <w:r>
        <w:t>3.3.43.262 Kohärenzbandbreite</w:t>
      </w:r>
    </w:p>
    <w:p w:rsidR="008530F8" w:rsidRDefault="008530F8" w:rsidP="008530F8">
      <w:pPr>
        <w:pStyle w:val="StandardWeb"/>
      </w:pPr>
      <w:r>
        <w:t>Die Breite lautet</w:t>
      </w:r>
    </w:p>
    <w:p w:rsidR="008530F8" w:rsidRDefault="008530F8" w:rsidP="008530F8">
      <w:pPr>
        <w:pStyle w:val="berschrift1"/>
      </w:pPr>
      <w:r>
        <w:t>[</w:t>
      </w:r>
      <w:r>
        <w:br/>
        <w:t>\Delta\omega_C</w:t>
      </w:r>
    </w:p>
    <w:p w:rsidR="008530F8" w:rsidRDefault="008530F8" w:rsidP="008530F8">
      <w:pPr>
        <w:pStyle w:val="StandardWeb"/>
      </w:pPr>
      <w:r>
        <w:t>\mu(B_C).</w:t>
      </w:r>
      <w:r>
        <w:br/>
        <w:t>\tag{3.8910}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\Delta\omega_C=\mu(B_C)</w:t>
      </w:r>
    </w:p>
    <w:p w:rsidR="008530F8" w:rsidRDefault="00E50336" w:rsidP="008530F8">
      <w:r>
        <w:pict>
          <v:rect id="_x0000_i2509" style="width:0;height:1.5pt" o:hralign="center" o:hrstd="t" o:hr="t" fillcolor="#a0a0a0" stroked="f"/>
        </w:pict>
      </w:r>
    </w:p>
    <w:p w:rsidR="008530F8" w:rsidRDefault="008530F8" w:rsidP="008530F8">
      <w:pPr>
        <w:pStyle w:val="berschrift1"/>
      </w:pPr>
      <w:r>
        <w:t>3.3.43.263 Raum-, Zeit- und Frequenzkohärenz</w:t>
      </w:r>
    </w:p>
    <w:p w:rsidR="008530F8" w:rsidRDefault="008530F8" w:rsidP="008530F8">
      <w:pPr>
        <w:pStyle w:val="StandardWeb"/>
      </w:pPr>
      <w:r>
        <w:t>Damit existieren mindestens drei unterschiedliche Betrachtungsachsen:</w:t>
      </w:r>
    </w:p>
    <w:p w:rsidR="008530F8" w:rsidRDefault="008530F8" w:rsidP="008530F8">
      <w:pPr>
        <w:pStyle w:val="berschrift1"/>
      </w:pPr>
      <w:r>
        <w:t>[</w:t>
      </w:r>
      <w:r>
        <w:br/>
        <w:t>\mathbf P_C^{STF}</w:t>
      </w:r>
    </w:p>
    <w:p w:rsidR="008530F8" w:rsidRDefault="008530F8" w:rsidP="008530F8">
      <w:pPr>
        <w:pStyle w:val="StandardWeb"/>
      </w:pPr>
      <w:r>
        <w:t>\left(</w:t>
      </w:r>
      <w:r>
        <w:br/>
        <w:t>L_C,</w:t>
      </w:r>
      <w:r>
        <w:br/>
        <w:t>T_C^{\ast},</w:t>
      </w:r>
      <w:r>
        <w:br/>
        <w:t>\Delta\omega_C</w:t>
      </w:r>
      <w:r>
        <w:br/>
        <w:t>\right).</w:t>
      </w:r>
      <w:r>
        <w:br/>
        <w:t>\tag{3.8911}</w:t>
      </w:r>
      <w:r>
        <w:br/>
        <w:t>]</w:t>
      </w:r>
    </w:p>
    <w:p w:rsidR="008530F8" w:rsidRDefault="008530F8" w:rsidP="008530F8">
      <w:pPr>
        <w:pStyle w:val="StandardWeb"/>
      </w:pPr>
      <w:r>
        <w:rPr>
          <w:rStyle w:val="Fett"/>
        </w:rPr>
        <w:lastRenderedPageBreak/>
        <w:t>Word-LaTeX</w:t>
      </w:r>
    </w:p>
    <w:p w:rsidR="008530F8" w:rsidRDefault="008530F8" w:rsidP="008530F8">
      <w:pPr>
        <w:pStyle w:val="HTMLVorformatiert"/>
        <w:rPr>
          <w:rStyle w:val="HTMLCode"/>
        </w:rPr>
      </w:pPr>
      <w:r>
        <w:rPr>
          <w:rStyle w:val="HTMLCode"/>
        </w:rPr>
        <w:t>\mathbf P_C^{STF}=\left(L_C,T_C^{\ast},\Delta\omega_C\right)</w:t>
      </w:r>
    </w:p>
    <w:p w:rsidR="008530F8" w:rsidRDefault="00E50336" w:rsidP="008530F8">
      <w:r>
        <w:pict>
          <v:rect id="_x0000_i2510" style="width:0;height:1.5pt" o:hralign="center" o:hrstd="t" o:hr="t" fillcolor="#a0a0a0" stroked="f"/>
        </w:pict>
      </w:r>
    </w:p>
    <w:p w:rsidR="008530F8" w:rsidRDefault="008530F8" w:rsidP="008530F8">
      <w:pPr>
        <w:pStyle w:val="berschrift1"/>
      </w:pPr>
      <w:r>
        <w:t>3.3.43.264 Kohärenzdimensionen sind nicht austauschbar</w:t>
      </w:r>
    </w:p>
    <w:p w:rsidR="008530F8" w:rsidRDefault="008530F8" w:rsidP="008530F8">
      <w:pPr>
        <w:pStyle w:val="StandardWeb"/>
      </w:pPr>
      <w:r>
        <w:t>Es gilt</w:t>
      </w:r>
    </w:p>
    <w:p w:rsidR="008530F8" w:rsidRDefault="008530F8" w:rsidP="008530F8">
      <w:pPr>
        <w:pStyle w:val="StandardWeb"/>
      </w:pPr>
      <w:r>
        <w:t>[</w:t>
      </w:r>
      <w:r>
        <w:br/>
        <w:t>L_C</w:t>
      </w:r>
      <w:r>
        <w:br/>
        <w:t>\nleftrightarrow</w:t>
      </w:r>
      <w:r>
        <w:br/>
        <w:t>T_C^{\ast}</w:t>
      </w:r>
      <w:r>
        <w:br/>
        <w:t>\nleftrightarrow</w:t>
      </w:r>
      <w:r>
        <w:br/>
        <w:t>\Delta\omega_C</w:t>
      </w:r>
      <w:r>
        <w:br/>
        <w:t>\tag{3.8912}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L_C\nleftrightarrow T_C^{\ast}\nleftrightarrow\Delta\omega_C</w:t>
      </w:r>
    </w:p>
    <w:p w:rsidR="008530F8" w:rsidRDefault="008530F8" w:rsidP="008530F8">
      <w:pPr>
        <w:pStyle w:val="StandardWeb"/>
      </w:pPr>
      <w:r>
        <w:t>ohne zusätzlich definierte physikalische Beziehungen.</w:t>
      </w:r>
    </w:p>
    <w:p w:rsidR="008530F8" w:rsidRDefault="00E50336" w:rsidP="008530F8">
      <w:r>
        <w:pict>
          <v:rect id="_x0000_i2511" style="width:0;height:1.5pt" o:hralign="center" o:hrstd="t" o:hr="t" fillcolor="#a0a0a0" stroked="f"/>
        </w:pict>
      </w:r>
    </w:p>
    <w:p w:rsidR="008530F8" w:rsidRDefault="008530F8" w:rsidP="008530F8">
      <w:pPr>
        <w:pStyle w:val="berschrift1"/>
      </w:pPr>
      <w:r>
        <w:t>3.3.43.265 Kandidat für eine elementare FRZK-Grundstruktur</w:t>
      </w:r>
    </w:p>
    <w:p w:rsidR="008530F8" w:rsidRDefault="008530F8" w:rsidP="008530F8">
      <w:pPr>
        <w:pStyle w:val="StandardWeb"/>
      </w:pPr>
      <w:r>
        <w:t>Bis hierher wurden zahlreiche Definitionen, Messgrößen und abgeleitete Strukturen eingeführt. Für die Axiomatik muss ich nun unterscheiden, welche davon lediglich Werkzeuge sind und welche minimale Struktur tatsächlich benötigt wird.</w:t>
      </w:r>
    </w:p>
    <w:p w:rsidR="008530F8" w:rsidRDefault="008530F8" w:rsidP="008530F8">
      <w:pPr>
        <w:pStyle w:val="StandardWeb"/>
      </w:pPr>
      <w:r>
        <w:t>Die elementare Kohärenzstruktur kann auf drei Bedingungen reduziert werden:</w:t>
      </w:r>
    </w:p>
    <w:p w:rsidR="008530F8" w:rsidRDefault="008530F8" w:rsidP="008530F8">
      <w:pPr>
        <w:pStyle w:val="StandardWeb"/>
      </w:pPr>
      <w:r>
        <w:t>[</w:t>
      </w:r>
      <w:r>
        <w:br/>
        <w:t>\mathcal C(X_i,X_j)=1,</w:t>
      </w:r>
      <w:r>
        <w:br/>
        <w:t>\tag{3.8913}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\mathcal C(X_i,X_j)=1</w:t>
      </w:r>
    </w:p>
    <w:p w:rsidR="008530F8" w:rsidRDefault="008530F8" w:rsidP="008530F8">
      <w:pPr>
        <w:pStyle w:val="StandardWeb"/>
      </w:pPr>
      <w:r>
        <w:t>[</w:t>
      </w:r>
      <w:r>
        <w:br/>
        <w:t>K_F(X_i,X_j)=1,</w:t>
      </w:r>
      <w:r>
        <w:br/>
        <w:t>\tag{3.8914}</w:t>
      </w:r>
      <w:r>
        <w:br/>
        <w:t>]</w:t>
      </w:r>
    </w:p>
    <w:p w:rsidR="008530F8" w:rsidRDefault="008530F8" w:rsidP="008530F8">
      <w:pPr>
        <w:pStyle w:val="StandardWeb"/>
      </w:pPr>
      <w:r>
        <w:rPr>
          <w:rStyle w:val="Fett"/>
        </w:rPr>
        <w:lastRenderedPageBreak/>
        <w:t>Word-LaTeX</w:t>
      </w:r>
    </w:p>
    <w:p w:rsidR="008530F8" w:rsidRDefault="008530F8" w:rsidP="008530F8">
      <w:pPr>
        <w:pStyle w:val="HTMLVorformatiert"/>
        <w:rPr>
          <w:rStyle w:val="HTMLCode"/>
        </w:rPr>
      </w:pPr>
      <w:r>
        <w:rPr>
          <w:rStyle w:val="HTMLCode"/>
        </w:rPr>
        <w:t>K_F(X_i,X_j)=1</w:t>
      </w:r>
    </w:p>
    <w:p w:rsidR="008530F8" w:rsidRDefault="008530F8" w:rsidP="008530F8">
      <w:pPr>
        <w:pStyle w:val="StandardWeb"/>
      </w:pPr>
      <w:r>
        <w:t>und</w:t>
      </w:r>
    </w:p>
    <w:p w:rsidR="008530F8" w:rsidRDefault="008530F8" w:rsidP="008530F8">
      <w:pPr>
        <w:pStyle w:val="StandardWeb"/>
      </w:pPr>
      <w:r>
        <w:t>[</w:t>
      </w:r>
      <w:r>
        <w:br/>
        <w:t>\kappa_{ij}&gt;0.</w:t>
      </w:r>
      <w:r>
        <w:br/>
        <w:t>\tag{3.8915}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\kappa_{ij}&gt;0</w:t>
      </w:r>
    </w:p>
    <w:p w:rsidR="008530F8" w:rsidRDefault="00E50336" w:rsidP="008530F8">
      <w:r>
        <w:pict>
          <v:rect id="_x0000_i2512" style="width:0;height:1.5pt" o:hralign="center" o:hrstd="t" o:hr="t" fillcolor="#a0a0a0" stroked="f"/>
        </w:pict>
      </w:r>
    </w:p>
    <w:p w:rsidR="008530F8" w:rsidRDefault="008530F8" w:rsidP="008530F8">
      <w:pPr>
        <w:pStyle w:val="berschrift1"/>
      </w:pPr>
      <w:r>
        <w:t>3.3.43.266 Definitionsstruktur versus Primäraxiom</w:t>
      </w:r>
    </w:p>
    <w:p w:rsidR="008530F8" w:rsidRDefault="008530F8" w:rsidP="008530F8">
      <w:pPr>
        <w:pStyle w:val="StandardWeb"/>
      </w:pPr>
      <w:r>
        <w:t>Die Gleichung</w:t>
      </w:r>
    </w:p>
    <w:p w:rsidR="008530F8" w:rsidRDefault="008530F8" w:rsidP="008530F8">
      <w:pPr>
        <w:pStyle w:val="StandardWeb"/>
      </w:pPr>
      <w:r>
        <w:t>[</w:t>
      </w:r>
      <w:r>
        <w:br/>
        <w:t>C_F&gt;0</w:t>
      </w:r>
      <w:r>
        <w:br/>
        <w:t>\Longleftrightarrow</w:t>
      </w:r>
      <w:r>
        <w:br/>
        <w:t>\mathcal C=1</w:t>
      </w:r>
      <w:r>
        <w:br/>
        <w:t>\land</w:t>
      </w:r>
      <w:r>
        <w:br/>
        <w:t>K_F=1</w:t>
      </w:r>
      <w:r>
        <w:br/>
        <w:t>\land</w:t>
      </w:r>
      <w:r>
        <w:br/>
        <w:t>\kappa&gt;0</w:t>
      </w:r>
      <w:r>
        <w:br/>
        <w:t>\tag{3.8916}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C_F&gt;0\Longleftrightarrow\mathcal C=1\land K_F=1\land\kappa&gt;0</w:t>
      </w:r>
    </w:p>
    <w:p w:rsidR="008530F8" w:rsidRDefault="008530F8" w:rsidP="008530F8">
      <w:pPr>
        <w:pStyle w:val="StandardWeb"/>
      </w:pPr>
      <w:r>
        <w:t xml:space="preserve">ist zunächst eine </w:t>
      </w:r>
      <w:r>
        <w:rPr>
          <w:rStyle w:val="Fett"/>
        </w:rPr>
        <w:t>Definition</w:t>
      </w:r>
      <w:r>
        <w:t xml:space="preserve"> von Kohärenz.</w:t>
      </w:r>
    </w:p>
    <w:p w:rsidR="008530F8" w:rsidRDefault="008530F8" w:rsidP="008530F8">
      <w:pPr>
        <w:pStyle w:val="StandardWeb"/>
      </w:pPr>
      <w:r>
        <w:t>Sie ist damit kein Primäraxiom.</w:t>
      </w:r>
    </w:p>
    <w:p w:rsidR="008530F8" w:rsidRDefault="00E50336" w:rsidP="008530F8">
      <w:r>
        <w:pict>
          <v:rect id="_x0000_i2513" style="width:0;height:1.5pt" o:hralign="center" o:hrstd="t" o:hr="t" fillcolor="#a0a0a0" stroked="f"/>
        </w:pict>
      </w:r>
    </w:p>
    <w:p w:rsidR="008530F8" w:rsidRDefault="008530F8" w:rsidP="008530F8">
      <w:pPr>
        <w:pStyle w:val="berschrift1"/>
      </w:pPr>
      <w:r>
        <w:t>3.3.43.267 Erster möglicher Primäraxiom-Kandidat</w:t>
      </w:r>
    </w:p>
    <w:p w:rsidR="008530F8" w:rsidRDefault="008530F8" w:rsidP="008530F8">
      <w:pPr>
        <w:pStyle w:val="StandardWeb"/>
      </w:pPr>
      <w:r>
        <w:t>Ein Primäraxiom müsste dagegen eine nicht aus Definitionen abgeleitete Aussage über die FRZK-Grundstruktur enthalten.</w:t>
      </w:r>
    </w:p>
    <w:p w:rsidR="008530F8" w:rsidRDefault="008530F8" w:rsidP="008530F8">
      <w:pPr>
        <w:pStyle w:val="StandardWeb"/>
      </w:pPr>
      <w:r>
        <w:t>Ein möglicher Kandidat wäre:</w:t>
      </w:r>
    </w:p>
    <w:p w:rsidR="008530F8" w:rsidRDefault="008530F8" w:rsidP="008530F8">
      <w:pPr>
        <w:pStyle w:val="StandardWeb"/>
      </w:pPr>
      <w:r>
        <w:t>[</w:t>
      </w:r>
      <w:r>
        <w:br/>
        <w:t>\boxed{</w:t>
      </w:r>
      <w:r>
        <w:br/>
        <w:t xml:space="preserve">\text{Physikalisch relevante FRZK-Zustände besitzen mindestens eine nichttriviale </w:t>
      </w:r>
      <w:r>
        <w:lastRenderedPageBreak/>
        <w:t>funktionale Kohärenzrelation.}</w:t>
      </w:r>
      <w:r>
        <w:br/>
        <w:t>}</w:t>
      </w:r>
      <w:r>
        <w:br/>
        <w:t>\tag{3.8917}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\boxed{\text{Physikalisch relevante FRZK-Zustände besitzen mindestens eine nichttriviale funktionale Kohärenzrelation.}}</w:t>
      </w:r>
    </w:p>
    <w:p w:rsidR="008530F8" w:rsidRDefault="008530F8" w:rsidP="008530F8">
      <w:pPr>
        <w:pStyle w:val="StandardWeb"/>
      </w:pPr>
      <w:r>
        <w:t>Diese Aussage ist erheblich stärker als eine Definition.</w:t>
      </w:r>
    </w:p>
    <w:p w:rsidR="008530F8" w:rsidRDefault="00E50336" w:rsidP="008530F8">
      <w:r>
        <w:pict>
          <v:rect id="_x0000_i2514" style="width:0;height:1.5pt" o:hralign="center" o:hrstd="t" o:hr="t" fillcolor="#a0a0a0" stroked="f"/>
        </w:pict>
      </w:r>
    </w:p>
    <w:p w:rsidR="008530F8" w:rsidRDefault="008530F8" w:rsidP="008530F8">
      <w:pPr>
        <w:pStyle w:val="berschrift1"/>
      </w:pPr>
      <w:r>
        <w:t>3.3.43.268 Existenzform des Kohärenzaxiom-Kandidaten</w:t>
      </w:r>
    </w:p>
    <w:p w:rsidR="008530F8" w:rsidRDefault="008530F8" w:rsidP="008530F8">
      <w:pPr>
        <w:pStyle w:val="StandardWeb"/>
      </w:pPr>
      <w:r>
        <w:t>Formal lautet der Kandidat</w:t>
      </w:r>
    </w:p>
    <w:p w:rsidR="008530F8" w:rsidRDefault="008530F8" w:rsidP="008530F8">
      <w:pPr>
        <w:pStyle w:val="StandardWeb"/>
      </w:pPr>
      <w:r>
        <w:t>[</w:t>
      </w:r>
      <w:r>
        <w:br/>
        <w:t>\forall z\in\Omega_F^{\mathrm{phys}}</w:t>
      </w:r>
      <w:r>
        <w:br/>
        <w:t>;</w:t>
      </w:r>
      <w:r>
        <w:br/>
        <w:t>\exists</w:t>
      </w:r>
      <w:r>
        <w:br/>
        <w:t>(X_i,X_j):</w:t>
      </w:r>
      <w:r>
        <w:br/>
        <w:t>C_F(X_i,X_j;z)&gt;0.</w:t>
      </w:r>
      <w:r>
        <w:br/>
        <w:t>\tag{3.8918}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\forall z\in\Omega_F^{\mathrm{phys}}\;\exists(X_i,X_j):C_F(X_i,X_j;z)&gt;0</w:t>
      </w:r>
    </w:p>
    <w:p w:rsidR="008530F8" w:rsidRDefault="008530F8" w:rsidP="008530F8">
      <w:pPr>
        <w:pStyle w:val="StandardWeb"/>
      </w:pPr>
      <w:r>
        <w:t>Damit würde ein vollständig kohärenzfreier physikalischer FRZK-Zustand ausgeschlossen.</w:t>
      </w:r>
    </w:p>
    <w:p w:rsidR="008530F8" w:rsidRDefault="00E50336" w:rsidP="008530F8">
      <w:r>
        <w:pict>
          <v:rect id="_x0000_i2515" style="width:0;height:1.5pt" o:hralign="center" o:hrstd="t" o:hr="t" fillcolor="#a0a0a0" stroked="f"/>
        </w:pict>
      </w:r>
    </w:p>
    <w:p w:rsidR="008530F8" w:rsidRDefault="008530F8" w:rsidP="008530F8">
      <w:pPr>
        <w:pStyle w:val="berschrift1"/>
      </w:pPr>
      <w:r>
        <w:t>3.3.43.269 Vorsicht bei der Axiomsetzung</w:t>
      </w:r>
    </w:p>
    <w:p w:rsidR="008530F8" w:rsidRDefault="008530F8" w:rsidP="008530F8">
      <w:pPr>
        <w:pStyle w:val="StandardWeb"/>
      </w:pPr>
      <w:r>
        <w:t>Diese Aussage darf jedoch nicht allein deshalb zum Primäraxiom erhoben werden, weil der Name des Systems „Raum-Zeit-Kohärenzsystem“ lautet.</w:t>
      </w:r>
    </w:p>
    <w:p w:rsidR="008530F8" w:rsidRDefault="008530F8" w:rsidP="008530F8">
      <w:pPr>
        <w:pStyle w:val="StandardWeb"/>
      </w:pPr>
      <w:r>
        <w:t>Die Namensgebung liefert keinen wissenschaftlichen Beweis.</w:t>
      </w:r>
    </w:p>
    <w:p w:rsidR="008530F8" w:rsidRDefault="008530F8" w:rsidP="008530F8">
      <w:pPr>
        <w:pStyle w:val="StandardWeb"/>
      </w:pPr>
      <w:r>
        <w:t>Daher gilt</w:t>
      </w:r>
    </w:p>
    <w:p w:rsidR="008530F8" w:rsidRDefault="008530F8" w:rsidP="008530F8">
      <w:pPr>
        <w:pStyle w:val="StandardWeb"/>
      </w:pPr>
      <w:r>
        <w:t>[</w:t>
      </w:r>
      <w:r>
        <w:br/>
        <w:t>\text{Name FRZK}</w:t>
      </w:r>
      <w:r>
        <w:br/>
        <w:t>\nRightarrow</w:t>
      </w:r>
      <w:r>
        <w:br/>
        <w:t>\text{Axiom (3.8918) wahr}.</w:t>
      </w:r>
      <w:r>
        <w:br/>
      </w:r>
      <w:r>
        <w:lastRenderedPageBreak/>
        <w:t>\tag{3.8919}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\text{Name FRZK}\nRightarrow\text{Axiom (3.8918) wahr}</w:t>
      </w:r>
    </w:p>
    <w:p w:rsidR="008530F8" w:rsidRDefault="00E50336" w:rsidP="008530F8">
      <w:r>
        <w:pict>
          <v:rect id="_x0000_i2516" style="width:0;height:1.5pt" o:hralign="center" o:hrstd="t" o:hr="t" fillcolor="#a0a0a0" stroked="f"/>
        </w:pict>
      </w:r>
    </w:p>
    <w:p w:rsidR="008530F8" w:rsidRDefault="008530F8" w:rsidP="008530F8">
      <w:pPr>
        <w:pStyle w:val="berschrift1"/>
      </w:pPr>
      <w:r>
        <w:t>3.3.43.270 Schwächere Axiomform</w:t>
      </w:r>
    </w:p>
    <w:p w:rsidR="008530F8" w:rsidRDefault="008530F8" w:rsidP="008530F8">
      <w:pPr>
        <w:pStyle w:val="StandardWeb"/>
      </w:pPr>
      <w:r>
        <w:t xml:space="preserve">Eine schwächere Form könnte lediglich fordern, dass das FRZK </w:t>
      </w:r>
      <w:r>
        <w:rPr>
          <w:rStyle w:val="Fett"/>
        </w:rPr>
        <w:t>Kohärenzrelationen zulässt</w:t>
      </w:r>
      <w:r>
        <w:t>:</w:t>
      </w:r>
    </w:p>
    <w:p w:rsidR="008530F8" w:rsidRDefault="008530F8" w:rsidP="008530F8">
      <w:pPr>
        <w:pStyle w:val="StandardWeb"/>
      </w:pPr>
      <w:r>
        <w:t>[</w:t>
      </w:r>
      <w:r>
        <w:br/>
        <w:t>\exists</w:t>
      </w:r>
      <w:r>
        <w:br/>
        <w:t>z\in\Omega_F,</w:t>
      </w:r>
      <w:r>
        <w:br/>
        <w:t>\exists</w:t>
      </w:r>
      <w:r>
        <w:br/>
        <w:t>(X_i,X_j):</w:t>
      </w:r>
      <w:r>
        <w:br/>
        <w:t>C_F(X_i,X_j;z)&gt;0.</w:t>
      </w:r>
      <w:r>
        <w:br/>
        <w:t>\tag{3.8920}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\exists z\in\Omega_F,\exists(X_i,X_j):C_F(X_i,X_j;z)&gt;0</w:t>
      </w:r>
    </w:p>
    <w:p w:rsidR="008530F8" w:rsidRDefault="008530F8" w:rsidP="008530F8">
      <w:pPr>
        <w:pStyle w:val="StandardWeb"/>
      </w:pPr>
      <w:r>
        <w:t>Diese Aussage ist deutlich schwächer.</w:t>
      </w:r>
    </w:p>
    <w:p w:rsidR="008530F8" w:rsidRDefault="00E50336" w:rsidP="008530F8">
      <w:r>
        <w:pict>
          <v:rect id="_x0000_i2517" style="width:0;height:1.5pt" o:hralign="center" o:hrstd="t" o:hr="t" fillcolor="#a0a0a0" stroked="f"/>
        </w:pict>
      </w:r>
    </w:p>
    <w:p w:rsidR="008530F8" w:rsidRDefault="008530F8" w:rsidP="008530F8">
      <w:pPr>
        <w:pStyle w:val="berschrift1"/>
      </w:pPr>
      <w:r>
        <w:t>3.3.43.271 Stärkere Axiomform</w:t>
      </w:r>
    </w:p>
    <w:p w:rsidR="008530F8" w:rsidRDefault="008530F8" w:rsidP="008530F8">
      <w:pPr>
        <w:pStyle w:val="StandardWeb"/>
      </w:pPr>
      <w:r>
        <w:t>Eine stärkere Variante wäre</w:t>
      </w:r>
    </w:p>
    <w:p w:rsidR="008530F8" w:rsidRDefault="008530F8" w:rsidP="008530F8">
      <w:pPr>
        <w:pStyle w:val="StandardWeb"/>
      </w:pPr>
      <w:r>
        <w:t>[</w:t>
      </w:r>
      <w:r>
        <w:br/>
        <w:t>\forall z\in\Omega_F,</w:t>
      </w:r>
      <w:r>
        <w:br/>
        <w:t>\quad</w:t>
      </w:r>
      <w:r>
        <w:br/>
        <w:t>C_{\mathrm{sys}}(z)\geq\tau_C.</w:t>
      </w:r>
      <w:r>
        <w:br/>
        <w:t>\tag{3.8921}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\forall z\in\Omega_F,\quad C_{\mathrm{sys}}(z)\geq\tau_C</w:t>
      </w:r>
    </w:p>
    <w:p w:rsidR="008530F8" w:rsidRDefault="008530F8" w:rsidP="008530F8">
      <w:pPr>
        <w:pStyle w:val="StandardWeb"/>
      </w:pPr>
      <w:r>
        <w:t>Eine solche Bedingung wäre sehr restriktiv und würde Kohärenzbrüche beziehungsweise kohärenzfreie Zustände grundsätzlich ausschließen.</w:t>
      </w:r>
    </w:p>
    <w:p w:rsidR="008530F8" w:rsidRDefault="008530F8" w:rsidP="008530F8">
      <w:pPr>
        <w:pStyle w:val="StandardWeb"/>
      </w:pPr>
      <w:r>
        <w:t>Sie erscheint deshalb als Primäraxiom derzeit nicht gerechtfertigt.</w:t>
      </w:r>
    </w:p>
    <w:p w:rsidR="008530F8" w:rsidRDefault="00E50336" w:rsidP="008530F8">
      <w:r>
        <w:pict>
          <v:rect id="_x0000_i2518" style="width:0;height:1.5pt" o:hralign="center" o:hrstd="t" o:hr="t" fillcolor="#a0a0a0" stroked="f"/>
        </w:pict>
      </w:r>
    </w:p>
    <w:p w:rsidR="008530F8" w:rsidRDefault="008530F8" w:rsidP="008530F8">
      <w:pPr>
        <w:pStyle w:val="berschrift1"/>
      </w:pPr>
      <w:r>
        <w:lastRenderedPageBreak/>
        <w:t>3.3.43.272 Axiomatische Minimalität</w:t>
      </w:r>
    </w:p>
    <w:p w:rsidR="008530F8" w:rsidRDefault="008530F8" w:rsidP="008530F8">
      <w:pPr>
        <w:pStyle w:val="StandardWeb"/>
      </w:pPr>
      <w:r>
        <w:t>Für die weitere Entwicklung gilt die Forderung</w:t>
      </w:r>
    </w:p>
    <w:p w:rsidR="008530F8" w:rsidRDefault="008530F8" w:rsidP="008530F8">
      <w:pPr>
        <w:pStyle w:val="StandardWeb"/>
      </w:pPr>
      <w:r>
        <w:t>[</w:t>
      </w:r>
      <w:r>
        <w:br/>
        <w:t>\boxed{</w:t>
      </w:r>
      <w:r>
        <w:br/>
        <w:t>\text{So wenig Kohärenz wie nötig axiomatisch festlegen, so viel wie möglich ableiten oder empirisch prüfen.}</w:t>
      </w:r>
      <w:r>
        <w:br/>
        <w:t>}</w:t>
      </w:r>
      <w:r>
        <w:br/>
        <w:t>\tag{3.8922}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\boxed{\text{So wenig Kohärenz wie nötig axiomatisch festlegen, so viel wie möglich ableiten oder empirisch prüfen.}}</w:t>
      </w:r>
    </w:p>
    <w:p w:rsidR="008530F8" w:rsidRDefault="008530F8" w:rsidP="008530F8">
      <w:pPr>
        <w:pStyle w:val="StandardWeb"/>
      </w:pPr>
      <w:r>
        <w:t>Diese Regel ist selbst eine methodologische Leitlinie und kein mathematisches Primäraxiom.</w:t>
      </w:r>
    </w:p>
    <w:p w:rsidR="008530F8" w:rsidRDefault="00E50336" w:rsidP="008530F8">
      <w:r>
        <w:pict>
          <v:rect id="_x0000_i2519" style="width:0;height:1.5pt" o:hralign="center" o:hrstd="t" o:hr="t" fillcolor="#a0a0a0" stroked="f"/>
        </w:pict>
      </w:r>
    </w:p>
    <w:p w:rsidR="008530F8" w:rsidRDefault="008530F8" w:rsidP="008530F8">
      <w:pPr>
        <w:pStyle w:val="berschrift1"/>
      </w:pPr>
      <w:r>
        <w:t>3.3.43.273 Kandidat A – Existenz kohärenter Relationen</w:t>
      </w:r>
    </w:p>
    <w:p w:rsidR="008530F8" w:rsidRDefault="008530F8" w:rsidP="008530F8">
      <w:pPr>
        <w:pStyle w:val="StandardWeb"/>
      </w:pPr>
      <w:r>
        <w:t>Ich bezeichne</w:t>
      </w:r>
    </w:p>
    <w:p w:rsidR="008530F8" w:rsidRDefault="008530F8" w:rsidP="008530F8">
      <w:pPr>
        <w:pStyle w:val="StandardWeb"/>
      </w:pPr>
      <w:r>
        <w:t>[</w:t>
      </w:r>
      <w:r>
        <w:br/>
        <w:t>A_C^{(A)}:</w:t>
      </w:r>
      <w:r>
        <w:br/>
        <w:t>\quad</w:t>
      </w:r>
      <w:r>
        <w:br/>
        <w:t>\exists</w:t>
      </w:r>
      <w:r>
        <w:br/>
        <w:t>(X_i,X_j,z):</w:t>
      </w:r>
      <w:r>
        <w:br/>
        <w:t>C_F(X_i,X_j;z)&gt;0</w:t>
      </w:r>
      <w:r>
        <w:br/>
        <w:t>\tag{3.8923}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A_C^{(A)}:\quad\exists(X_i,X_j,z):C_F(X_i,X_j;z)&gt;0</w:t>
      </w:r>
    </w:p>
    <w:p w:rsidR="008530F8" w:rsidRDefault="008530F8" w:rsidP="008530F8">
      <w:pPr>
        <w:pStyle w:val="StandardWeb"/>
      </w:pPr>
      <w:r>
        <w:t xml:space="preserve">als </w:t>
      </w:r>
      <w:r>
        <w:rPr>
          <w:rStyle w:val="Fett"/>
        </w:rPr>
        <w:t>Axiomkandidat A</w:t>
      </w:r>
      <w:r>
        <w:t>.</w:t>
      </w:r>
    </w:p>
    <w:p w:rsidR="008530F8" w:rsidRDefault="008530F8" w:rsidP="008530F8">
      <w:pPr>
        <w:pStyle w:val="StandardWeb"/>
      </w:pPr>
      <w:r>
        <w:t>Dieser fordert nur die Existenz mindestens einer positiven funktionalen Kohärenzrelation.</w:t>
      </w:r>
    </w:p>
    <w:p w:rsidR="008530F8" w:rsidRDefault="00E50336" w:rsidP="008530F8">
      <w:r>
        <w:pict>
          <v:rect id="_x0000_i2520" style="width:0;height:1.5pt" o:hralign="center" o:hrstd="t" o:hr="t" fillcolor="#a0a0a0" stroked="f"/>
        </w:pict>
      </w:r>
    </w:p>
    <w:p w:rsidR="008530F8" w:rsidRDefault="008530F8" w:rsidP="008530F8">
      <w:pPr>
        <w:pStyle w:val="berschrift1"/>
      </w:pPr>
      <w:r>
        <w:t>3.3.43.274 Kandidat B – Kohärenz jedes physikalischen Zustands</w:t>
      </w:r>
    </w:p>
    <w:p w:rsidR="008530F8" w:rsidRDefault="008530F8" w:rsidP="008530F8">
      <w:pPr>
        <w:pStyle w:val="StandardWeb"/>
      </w:pPr>
      <w:r>
        <w:t>Ich bezeichne</w:t>
      </w:r>
    </w:p>
    <w:p w:rsidR="008530F8" w:rsidRDefault="008530F8" w:rsidP="008530F8">
      <w:pPr>
        <w:pStyle w:val="StandardWeb"/>
      </w:pPr>
      <w:r>
        <w:lastRenderedPageBreak/>
        <w:t>[</w:t>
      </w:r>
      <w:r>
        <w:br/>
        <w:t>A_C^{(B)}:</w:t>
      </w:r>
      <w:r>
        <w:br/>
        <w:t>\quad</w:t>
      </w:r>
      <w:r>
        <w:br/>
        <w:t>\forall z\in\Omega_F^{\mathrm{phys}}</w:t>
      </w:r>
      <w:r>
        <w:br/>
        <w:t>;</w:t>
      </w:r>
      <w:r>
        <w:br/>
        <w:t>\exists(X_i,X_j):</w:t>
      </w:r>
      <w:r>
        <w:br/>
        <w:t>C_F(X_i,X_j;z)&gt;0</w:t>
      </w:r>
      <w:r>
        <w:br/>
        <w:t>\tag{3.8924}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A_C^{(B)}:\quad\forall z\in\Omega_F^{\mathrm{phys}}\;\exists(X_i,X_j):C_F(X_i,X_j;z)&gt;0</w:t>
      </w:r>
    </w:p>
    <w:p w:rsidR="008530F8" w:rsidRDefault="008530F8" w:rsidP="008530F8">
      <w:pPr>
        <w:pStyle w:val="StandardWeb"/>
      </w:pPr>
      <w:r>
        <w:t xml:space="preserve">als </w:t>
      </w:r>
      <w:r>
        <w:rPr>
          <w:rStyle w:val="Fett"/>
        </w:rPr>
        <w:t>Axiomkandidat B</w:t>
      </w:r>
      <w:r>
        <w:t>.</w:t>
      </w:r>
    </w:p>
    <w:p w:rsidR="008530F8" w:rsidRDefault="00E50336" w:rsidP="008530F8">
      <w:r>
        <w:pict>
          <v:rect id="_x0000_i2521" style="width:0;height:1.5pt" o:hralign="center" o:hrstd="t" o:hr="t" fillcolor="#a0a0a0" stroked="f"/>
        </w:pict>
      </w:r>
    </w:p>
    <w:p w:rsidR="008530F8" w:rsidRDefault="008530F8" w:rsidP="008530F8">
      <w:pPr>
        <w:pStyle w:val="berschrift1"/>
      </w:pPr>
      <w:r>
        <w:t>3.3.43.275 Kandidat C – globale Mindestkohärenz</w:t>
      </w:r>
    </w:p>
    <w:p w:rsidR="008530F8" w:rsidRDefault="008530F8" w:rsidP="008530F8">
      <w:pPr>
        <w:pStyle w:val="StandardWeb"/>
      </w:pPr>
      <w:r>
        <w:t>Die stärkere Form</w:t>
      </w:r>
    </w:p>
    <w:p w:rsidR="008530F8" w:rsidRDefault="008530F8" w:rsidP="008530F8">
      <w:pPr>
        <w:pStyle w:val="StandardWeb"/>
      </w:pPr>
      <w:r>
        <w:t>[</w:t>
      </w:r>
      <w:r>
        <w:br/>
        <w:t>A_C^{(C)}:</w:t>
      </w:r>
      <w:r>
        <w:br/>
        <w:t>\quad</w:t>
      </w:r>
      <w:r>
        <w:br/>
        <w:t>C_{\mathrm{sys}}(z)</w:t>
      </w:r>
      <w:r>
        <w:br/>
        <w:t>\geq</w:t>
      </w:r>
      <w:r>
        <w:br/>
        <w:t>\tau_C</w:t>
      </w:r>
      <w:r>
        <w:br/>
        <w:t>\qquad</w:t>
      </w:r>
      <w:r>
        <w:br/>
        <w:t>\forall z</w:t>
      </w:r>
      <w:r>
        <w:br/>
        <w:t>\tag{3.8925}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A_C^{(C)}:\quad C_{\mathrm{sys}}(z)\geq\tau_C\qquad\forall z</w:t>
      </w:r>
    </w:p>
    <w:p w:rsidR="008530F8" w:rsidRDefault="008530F8" w:rsidP="008530F8">
      <w:pPr>
        <w:pStyle w:val="StandardWeb"/>
      </w:pPr>
      <w:r>
        <w:t xml:space="preserve">bezeichne ich als </w:t>
      </w:r>
      <w:r>
        <w:rPr>
          <w:rStyle w:val="Fett"/>
        </w:rPr>
        <w:t>Axiomkandidat C</w:t>
      </w:r>
      <w:r>
        <w:t>.</w:t>
      </w:r>
    </w:p>
    <w:p w:rsidR="008530F8" w:rsidRDefault="00E50336" w:rsidP="008530F8">
      <w:r>
        <w:pict>
          <v:rect id="_x0000_i2522" style="width:0;height:1.5pt" o:hralign="center" o:hrstd="t" o:hr="t" fillcolor="#a0a0a0" stroked="f"/>
        </w:pict>
      </w:r>
    </w:p>
    <w:p w:rsidR="008530F8" w:rsidRDefault="008530F8" w:rsidP="008530F8">
      <w:pPr>
        <w:pStyle w:val="berschrift1"/>
      </w:pPr>
      <w:r>
        <w:t>3.3.43.276 Vergleich der drei Kandidaten</w:t>
      </w:r>
    </w:p>
    <w:p w:rsidR="008530F8" w:rsidRDefault="008530F8" w:rsidP="008530F8">
      <w:pPr>
        <w:pStyle w:val="StandardWeb"/>
      </w:pPr>
      <w:r>
        <w:t>Zwischen den Kandidaten gilt logisch</w:t>
      </w:r>
    </w:p>
    <w:p w:rsidR="008530F8" w:rsidRDefault="008530F8" w:rsidP="008530F8">
      <w:pPr>
        <w:pStyle w:val="StandardWeb"/>
      </w:pPr>
      <w:r>
        <w:t>[</w:t>
      </w:r>
      <w:r>
        <w:br/>
        <w:t>A_C^{(C)}</w:t>
      </w:r>
      <w:r>
        <w:br/>
        <w:t>\Rightarrow</w:t>
      </w:r>
      <w:r>
        <w:br/>
        <w:t>A_C^{(B)}</w:t>
      </w:r>
      <w:r>
        <w:br/>
        <w:t>\Rightarrow</w:t>
      </w:r>
      <w:r>
        <w:br/>
      </w:r>
      <w:r>
        <w:lastRenderedPageBreak/>
        <w:t>A_C^{(A)}</w:t>
      </w:r>
      <w:r>
        <w:br/>
        <w:t>\tag{3.8926}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A_C^{(C)}\Rightarrow A_C^{(B)}\Rightarrow A_C^{(A)}</w:t>
      </w:r>
    </w:p>
    <w:p w:rsidR="008530F8" w:rsidRDefault="008530F8" w:rsidP="008530F8">
      <w:pPr>
        <w:pStyle w:val="StandardWeb"/>
      </w:pPr>
      <w:r>
        <w:t>unter geeigneter Definition positiver Systemkohärenz.</w:t>
      </w:r>
    </w:p>
    <w:p w:rsidR="008530F8" w:rsidRDefault="008530F8" w:rsidP="008530F8">
      <w:pPr>
        <w:pStyle w:val="StandardWeb"/>
      </w:pPr>
      <w:r>
        <w:t>Die Umkehrungen gelten nicht allgemein.</w:t>
      </w:r>
    </w:p>
    <w:p w:rsidR="008530F8" w:rsidRDefault="00E50336" w:rsidP="008530F8">
      <w:r>
        <w:pict>
          <v:rect id="_x0000_i2523" style="width:0;height:1.5pt" o:hralign="center" o:hrstd="t" o:hr="t" fillcolor="#a0a0a0" stroked="f"/>
        </w:pict>
      </w:r>
    </w:p>
    <w:p w:rsidR="008530F8" w:rsidRDefault="008530F8" w:rsidP="008530F8">
      <w:pPr>
        <w:pStyle w:val="berschrift1"/>
      </w:pPr>
      <w:r>
        <w:t>3.3.43.277 Methodische Präferenz</w:t>
      </w:r>
    </w:p>
    <w:p w:rsidR="008530F8" w:rsidRDefault="008530F8" w:rsidP="008530F8">
      <w:pPr>
        <w:pStyle w:val="StandardWeb"/>
      </w:pPr>
      <w:r>
        <w:t>Aus Gründen axiomatischer Sparsamkeit ist zunächst der schwächste Kandidat zu bevorzugen, sofern er für die weitere Theorieentwicklung genügt.</w:t>
      </w:r>
    </w:p>
    <w:p w:rsidR="008530F8" w:rsidRDefault="008530F8" w:rsidP="008530F8">
      <w:pPr>
        <w:pStyle w:val="StandardWeb"/>
      </w:pPr>
      <w:r>
        <w:t>Damit lautet die vorläufige Präferenz</w:t>
      </w:r>
    </w:p>
    <w:p w:rsidR="008530F8" w:rsidRDefault="008530F8" w:rsidP="008530F8">
      <w:pPr>
        <w:pStyle w:val="StandardWeb"/>
      </w:pPr>
      <w:r>
        <w:t>[</w:t>
      </w:r>
      <w:r>
        <w:br/>
        <w:t>A_C^{(A)}</w:t>
      </w:r>
      <w:r>
        <w:br/>
        <w:t>\prec_{\mathrm{axiom}}</w:t>
      </w:r>
      <w:r>
        <w:br/>
        <w:t>A_C^{(B)}</w:t>
      </w:r>
      <w:r>
        <w:br/>
        <w:t>\prec_{\mathrm{axiom}}</w:t>
      </w:r>
      <w:r>
        <w:br/>
        <w:t>A_C^{(C)}.</w:t>
      </w:r>
      <w:r>
        <w:br/>
        <w:t>\tag{3.8927}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A_C^{(A)}\prec_{\mathrm{axiom}}A_C^{(B)}\prec_{\mathrm{axiom}}A_C^{(C)}</w:t>
      </w:r>
    </w:p>
    <w:p w:rsidR="008530F8" w:rsidRDefault="008530F8" w:rsidP="008530F8">
      <w:pPr>
        <w:pStyle w:val="StandardWeb"/>
      </w:pPr>
      <w:r>
        <w:t>Das Symbol (\prec_{\mathrm{axiom}}) bezeichnet hier eine methodische Präferenz geringerer axiomatischer Stärke.</w:t>
      </w:r>
    </w:p>
    <w:p w:rsidR="008530F8" w:rsidRDefault="00E50336" w:rsidP="008530F8">
      <w:r>
        <w:pict>
          <v:rect id="_x0000_i2524" style="width:0;height:1.5pt" o:hralign="center" o:hrstd="t" o:hr="t" fillcolor="#a0a0a0" stroked="f"/>
        </w:pict>
      </w:r>
    </w:p>
    <w:p w:rsidR="008530F8" w:rsidRDefault="008530F8" w:rsidP="008530F8">
      <w:pPr>
        <w:pStyle w:val="berschrift1"/>
      </w:pPr>
      <w:r>
        <w:t>3.3.43.278 Vorläufiger Primäraxiom-Kandidat</w:t>
      </w:r>
    </w:p>
    <w:p w:rsidR="008530F8" w:rsidRDefault="008530F8" w:rsidP="008530F8">
      <w:pPr>
        <w:pStyle w:val="StandardWeb"/>
      </w:pPr>
      <w:r>
        <w:t>Für die weitere Arbeit halte ich deshalb zunächst</w:t>
      </w:r>
    </w:p>
    <w:p w:rsidR="008530F8" w:rsidRDefault="008530F8" w:rsidP="008530F8">
      <w:pPr>
        <w:pStyle w:val="StandardWeb"/>
      </w:pPr>
      <w:r>
        <w:t>[</w:t>
      </w:r>
      <w:r>
        <w:br/>
        <w:t>\boxed{</w:t>
      </w:r>
      <w:r>
        <w:br/>
        <w:t>A_C^{(A)}:</w:t>
      </w:r>
      <w:r>
        <w:br/>
        <w:t>\exists</w:t>
      </w:r>
      <w:r>
        <w:br/>
        <w:t>(X_i,X_j,z)</w:t>
      </w:r>
      <w:r>
        <w:br/>
        <w:t>\text{ mit }</w:t>
      </w:r>
      <w:r>
        <w:br/>
        <w:t>C_F(X_i,X_j;z)&gt;0</w:t>
      </w:r>
      <w:r>
        <w:br/>
        <w:t>}</w:t>
      </w:r>
      <w:r>
        <w:br/>
      </w:r>
      <w:r>
        <w:lastRenderedPageBreak/>
        <w:t>\tag{3.8928}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\boxed{A_C^{(A)}:\exists(X_i,X_j,z)\text{ mit }C_F(X_i,X_j;z)&gt;0}</w:t>
      </w:r>
    </w:p>
    <w:p w:rsidR="008530F8" w:rsidRDefault="008530F8" w:rsidP="008530F8">
      <w:pPr>
        <w:pStyle w:val="StandardWeb"/>
      </w:pPr>
      <w:r>
        <w:t>als minimalen Kohärenzaxiom-Kandidaten fest.</w:t>
      </w:r>
    </w:p>
    <w:p w:rsidR="008530F8" w:rsidRDefault="008530F8" w:rsidP="008530F8">
      <w:pPr>
        <w:pStyle w:val="StandardWeb"/>
      </w:pPr>
      <w:r>
        <w:t xml:space="preserve">Er wird noch </w:t>
      </w:r>
      <w:r>
        <w:rPr>
          <w:rStyle w:val="Fett"/>
        </w:rPr>
        <w:t>nicht endgültig als Primäraxiom bestätigt</w:t>
      </w:r>
      <w:r>
        <w:t>.</w:t>
      </w:r>
    </w:p>
    <w:p w:rsidR="008530F8" w:rsidRDefault="00E50336" w:rsidP="008530F8">
      <w:r>
        <w:pict>
          <v:rect id="_x0000_i2525" style="width:0;height:1.5pt" o:hralign="center" o:hrstd="t" o:hr="t" fillcolor="#a0a0a0" stroked="f"/>
        </w:pict>
      </w:r>
    </w:p>
    <w:p w:rsidR="008530F8" w:rsidRDefault="008530F8" w:rsidP="008530F8">
      <w:pPr>
        <w:pStyle w:val="berschrift1"/>
      </w:pPr>
      <w:r>
        <w:t>3.3.43.279 Warum Definition 3.3.53 kein Primäraxiom ist</w:t>
      </w:r>
    </w:p>
    <w:p w:rsidR="008530F8" w:rsidRDefault="008530F8" w:rsidP="008530F8">
      <w:pPr>
        <w:pStyle w:val="StandardWeb"/>
      </w:pPr>
      <w:r>
        <w:t>Definition 3.3.53 legt lediglich fest, was ich unter positiver lokaler funktionaler Kohärenz verstehe.</w:t>
      </w:r>
    </w:p>
    <w:p w:rsidR="008530F8" w:rsidRDefault="008530F8" w:rsidP="008530F8">
      <w:pPr>
        <w:pStyle w:val="StandardWeb"/>
      </w:pPr>
      <w:r>
        <w:t>Sie hat die Form</w:t>
      </w:r>
    </w:p>
    <w:p w:rsidR="008530F8" w:rsidRDefault="008530F8" w:rsidP="008530F8">
      <w:pPr>
        <w:pStyle w:val="StandardWeb"/>
      </w:pPr>
      <w:r>
        <w:t>[</w:t>
      </w:r>
      <w:r>
        <w:br/>
        <w:t>C_F</w:t>
      </w:r>
      <w:r>
        <w:br/>
        <w:t>\Longleftrightarrow</w:t>
      </w:r>
      <w:r>
        <w:br/>
        <w:t>\text{definierende Bedingungen}.</w:t>
      </w:r>
      <w:r>
        <w:br/>
        <w:t>\tag{3.8929}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C_F\Longleftrightarrow\text{definierende Bedingungen}</w:t>
      </w:r>
    </w:p>
    <w:p w:rsidR="008530F8" w:rsidRDefault="008530F8" w:rsidP="008530F8">
      <w:pPr>
        <w:pStyle w:val="StandardWeb"/>
      </w:pPr>
      <w:r>
        <w:t>Sie behauptet nicht, dass eine solche Beziehung in der physikalischen Wirklichkeit tatsächlich existiert.</w:t>
      </w:r>
    </w:p>
    <w:p w:rsidR="008530F8" w:rsidRDefault="00E50336" w:rsidP="008530F8">
      <w:r>
        <w:pict>
          <v:rect id="_x0000_i2526" style="width:0;height:1.5pt" o:hralign="center" o:hrstd="t" o:hr="t" fillcolor="#a0a0a0" stroked="f"/>
        </w:pict>
      </w:r>
    </w:p>
    <w:p w:rsidR="008530F8" w:rsidRDefault="008530F8" w:rsidP="008530F8">
      <w:pPr>
        <w:pStyle w:val="berschrift1"/>
      </w:pPr>
      <w:r>
        <w:t>3.3.43.280 Warum der Kohärenzoperator kein Primäraxiom ist</w:t>
      </w:r>
    </w:p>
    <w:p w:rsidR="008530F8" w:rsidRDefault="008530F8" w:rsidP="008530F8">
      <w:pPr>
        <w:pStyle w:val="StandardWeb"/>
      </w:pPr>
      <w:r>
        <w:t>Ebenso ist</w:t>
      </w:r>
    </w:p>
    <w:p w:rsidR="008530F8" w:rsidRDefault="008530F8" w:rsidP="008530F8">
      <w:pPr>
        <w:pStyle w:val="berschrift1"/>
      </w:pPr>
      <w:r>
        <w:t>[</w:t>
      </w:r>
      <w:r>
        <w:br/>
        <w:t>\mathfrak C[\mathcal S_F]</w:t>
      </w:r>
    </w:p>
    <w:p w:rsidR="008530F8" w:rsidRDefault="008530F8" w:rsidP="008530F8">
      <w:pPr>
        <w:pStyle w:val="StandardWeb"/>
      </w:pPr>
      <w:r>
        <w:t>\Sigma_C</w:t>
      </w:r>
      <w:r>
        <w:br/>
        <w:t>\tag{3.8930}</w:t>
      </w:r>
      <w:r>
        <w:br/>
        <w:t>]</w:t>
      </w:r>
    </w:p>
    <w:p w:rsidR="008530F8" w:rsidRDefault="008530F8" w:rsidP="008530F8">
      <w:pPr>
        <w:pStyle w:val="StandardWeb"/>
      </w:pPr>
      <w:r>
        <w:rPr>
          <w:rStyle w:val="Fett"/>
        </w:rPr>
        <w:lastRenderedPageBreak/>
        <w:t>Word-LaTeX</w:t>
      </w:r>
    </w:p>
    <w:p w:rsidR="008530F8" w:rsidRDefault="008530F8" w:rsidP="008530F8">
      <w:pPr>
        <w:pStyle w:val="HTMLVorformatiert"/>
        <w:rPr>
          <w:rStyle w:val="HTMLCode"/>
        </w:rPr>
      </w:pPr>
      <w:r>
        <w:rPr>
          <w:rStyle w:val="HTMLCode"/>
        </w:rPr>
        <w:t>\mathfrak C[\mathcal S_F]=\Sigma_C</w:t>
      </w:r>
    </w:p>
    <w:p w:rsidR="008530F8" w:rsidRDefault="008530F8" w:rsidP="008530F8">
      <w:pPr>
        <w:pStyle w:val="StandardWeb"/>
      </w:pPr>
      <w:r>
        <w:t>eine mathematische Bewertungsstruktur.</w:t>
      </w:r>
    </w:p>
    <w:p w:rsidR="008530F8" w:rsidRDefault="008530F8" w:rsidP="008530F8">
      <w:pPr>
        <w:pStyle w:val="StandardWeb"/>
      </w:pPr>
      <w:r>
        <w:t>Sie ist kein ontologischer Satz über die Natur.</w:t>
      </w:r>
    </w:p>
    <w:p w:rsidR="008530F8" w:rsidRDefault="00E50336" w:rsidP="008530F8">
      <w:r>
        <w:pict>
          <v:rect id="_x0000_i2527" style="width:0;height:1.5pt" o:hralign="center" o:hrstd="t" o:hr="t" fillcolor="#a0a0a0" stroked="f"/>
        </w:pict>
      </w:r>
    </w:p>
    <w:p w:rsidR="008530F8" w:rsidRDefault="008530F8" w:rsidP="008530F8">
      <w:pPr>
        <w:pStyle w:val="berschrift1"/>
      </w:pPr>
      <w:r>
        <w:t>3.3.43.281 Warum die Kohärenzbilanz kein Primäraxiom ist</w:t>
      </w:r>
    </w:p>
    <w:p w:rsidR="008530F8" w:rsidRDefault="008530F8" w:rsidP="008530F8">
      <w:pPr>
        <w:pStyle w:val="StandardWeb"/>
      </w:pPr>
      <w:r>
        <w:t>Auch</w:t>
      </w:r>
    </w:p>
    <w:p w:rsidR="008530F8" w:rsidRDefault="008530F8" w:rsidP="008530F8">
      <w:pPr>
        <w:pStyle w:val="berschrift1"/>
      </w:pPr>
      <w:r>
        <w:t>[</w:t>
      </w:r>
      <w:r>
        <w:br/>
        <w:t>\frac{\partial C}{\partial t}</w:t>
      </w:r>
      <w:r>
        <w:br/>
        <w:t>+</w:t>
      </w:r>
      <w:r>
        <w:br/>
        <w:t>\nabla\cdot\mathbf J_C</w:t>
      </w:r>
    </w:p>
    <w:p w:rsidR="008530F8" w:rsidRDefault="008530F8" w:rsidP="008530F8">
      <w:pPr>
        <w:pStyle w:val="StandardWeb"/>
      </w:pPr>
      <w:r>
        <w:t>S_C</w:t>
      </w:r>
      <w:r>
        <w:br/>
        <w:t>\tag{3.8931}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\frac{\partial C}{\partial t}+\nabla\cdot\mathbf J_C=S_C</w:t>
      </w:r>
    </w:p>
    <w:p w:rsidR="008530F8" w:rsidRDefault="008530F8" w:rsidP="008530F8">
      <w:pPr>
        <w:pStyle w:val="StandardWeb"/>
      </w:pPr>
      <w:r>
        <w:t>wird nicht als Primäraxiom eingestuft.</w:t>
      </w:r>
    </w:p>
    <w:p w:rsidR="008530F8" w:rsidRDefault="008530F8" w:rsidP="008530F8">
      <w:pPr>
        <w:pStyle w:val="StandardWeb"/>
      </w:pPr>
      <w:r>
        <w:t>Die Gleichung ist ein möglicher formaler Bilanzrahmen, dessen physikalische Gültigkeit erst begründet werden müsste.</w:t>
      </w:r>
    </w:p>
    <w:p w:rsidR="008530F8" w:rsidRDefault="00E50336" w:rsidP="008530F8">
      <w:r>
        <w:pict>
          <v:rect id="_x0000_i2528" style="width:0;height:1.5pt" o:hralign="center" o:hrstd="t" o:hr="t" fillcolor="#a0a0a0" stroked="f"/>
        </w:pict>
      </w:r>
    </w:p>
    <w:p w:rsidR="008530F8" w:rsidRDefault="008530F8" w:rsidP="008530F8">
      <w:pPr>
        <w:pStyle w:val="berschrift1"/>
      </w:pPr>
      <w:r>
        <w:t>3.3.43.282 Warum Kohärenzerhaltung kein Primäraxiom ist</w:t>
      </w:r>
    </w:p>
    <w:p w:rsidR="008530F8" w:rsidRDefault="008530F8" w:rsidP="008530F8">
      <w:pPr>
        <w:pStyle w:val="StandardWeb"/>
      </w:pPr>
      <w:r>
        <w:t>Insbesondere wird</w:t>
      </w:r>
    </w:p>
    <w:p w:rsidR="008530F8" w:rsidRDefault="008530F8" w:rsidP="008530F8">
      <w:pPr>
        <w:pStyle w:val="StandardWeb"/>
      </w:pPr>
      <w:r>
        <w:t>[</w:t>
      </w:r>
      <w:r>
        <w:br/>
        <w:t>S_C=0</w:t>
      </w:r>
      <w:r>
        <w:br/>
        <w:t>\tag{3.8932}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lastRenderedPageBreak/>
        <w:t>S_C=0</w:t>
      </w:r>
    </w:p>
    <w:p w:rsidR="008530F8" w:rsidRDefault="008530F8" w:rsidP="008530F8">
      <w:pPr>
        <w:pStyle w:val="StandardWeb"/>
      </w:pPr>
      <w:r>
        <w:t>nicht allgemein gefordert.</w:t>
      </w:r>
    </w:p>
    <w:p w:rsidR="008530F8" w:rsidRDefault="008530F8" w:rsidP="008530F8">
      <w:pPr>
        <w:pStyle w:val="StandardWeb"/>
      </w:pPr>
      <w:r>
        <w:t>Damit bleibt die Möglichkeit von Kohärenzentstehung und Kohärenzzerfall ausdrücklich offen.</w:t>
      </w:r>
    </w:p>
    <w:p w:rsidR="008530F8" w:rsidRDefault="00E50336" w:rsidP="008530F8">
      <w:r>
        <w:pict>
          <v:rect id="_x0000_i2529" style="width:0;height:1.5pt" o:hralign="center" o:hrstd="t" o:hr="t" fillcolor="#a0a0a0" stroked="f"/>
        </w:pict>
      </w:r>
    </w:p>
    <w:p w:rsidR="008530F8" w:rsidRDefault="008530F8" w:rsidP="008530F8">
      <w:pPr>
        <w:pStyle w:val="berschrift1"/>
      </w:pPr>
      <w:r>
        <w:t>3.3.43.283 Warum monotone Abstandsabhängigkeit kein Primäraxiom ist</w:t>
      </w:r>
    </w:p>
    <w:p w:rsidR="008530F8" w:rsidRDefault="008530F8" w:rsidP="008530F8">
      <w:pPr>
        <w:pStyle w:val="StandardWeb"/>
      </w:pPr>
      <w:r>
        <w:t>Auch</w:t>
      </w:r>
    </w:p>
    <w:p w:rsidR="008530F8" w:rsidRDefault="008530F8" w:rsidP="008530F8">
      <w:pPr>
        <w:pStyle w:val="StandardWeb"/>
      </w:pPr>
      <w:r>
        <w:t>[</w:t>
      </w:r>
      <w:r>
        <w:br/>
        <w:t>\frac{dC}{dd_{ST}}\leq0</w:t>
      </w:r>
      <w:r>
        <w:br/>
        <w:t>\tag{3.8933}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\frac{dC}{dd_{ST}}\leq0</w:t>
      </w:r>
    </w:p>
    <w:p w:rsidR="008530F8" w:rsidRDefault="008530F8" w:rsidP="008530F8">
      <w:pPr>
        <w:pStyle w:val="StandardWeb"/>
      </w:pPr>
      <w:r>
        <w:t>wird nicht als grundlegende FRZK-Forderung übernommen.</w:t>
      </w:r>
    </w:p>
    <w:p w:rsidR="008530F8" w:rsidRDefault="008530F8" w:rsidP="008530F8">
      <w:pPr>
        <w:pStyle w:val="StandardWeb"/>
      </w:pPr>
      <w:r>
        <w:t>Funktionale Beziehungen können nichtmonoton, verzögert oder über vermittelnde Strukturen organisiert sein.</w:t>
      </w:r>
    </w:p>
    <w:p w:rsidR="008530F8" w:rsidRDefault="00E50336" w:rsidP="008530F8">
      <w:r>
        <w:pict>
          <v:rect id="_x0000_i2530" style="width:0;height:1.5pt" o:hralign="center" o:hrstd="t" o:hr="t" fillcolor="#a0a0a0" stroked="f"/>
        </w:pict>
      </w:r>
    </w:p>
    <w:p w:rsidR="008530F8" w:rsidRDefault="008530F8" w:rsidP="008530F8">
      <w:pPr>
        <w:pStyle w:val="berschrift1"/>
      </w:pPr>
      <w:r>
        <w:t>3.3.43.284 Warum Symmetrie kein Primäraxiom ist</w:t>
      </w:r>
    </w:p>
    <w:p w:rsidR="008530F8" w:rsidRDefault="008530F8" w:rsidP="008530F8">
      <w:pPr>
        <w:pStyle w:val="StandardWeb"/>
      </w:pPr>
      <w:r>
        <w:t>Die Bedingung</w:t>
      </w:r>
    </w:p>
    <w:p w:rsidR="008530F8" w:rsidRDefault="008530F8" w:rsidP="008530F8">
      <w:pPr>
        <w:pStyle w:val="StandardWeb"/>
      </w:pPr>
      <w:r>
        <w:t>[</w:t>
      </w:r>
      <w:r>
        <w:br/>
        <w:t>C_{ij}=C_{ji}</w:t>
      </w:r>
      <w:r>
        <w:br/>
        <w:t>\tag{3.8934}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C_{ij}=C_{ji}</w:t>
      </w:r>
    </w:p>
    <w:p w:rsidR="008530F8" w:rsidRDefault="008530F8" w:rsidP="008530F8">
      <w:pPr>
        <w:pStyle w:val="StandardWeb"/>
      </w:pPr>
      <w:r>
        <w:t>ist ebenfalls nicht allgemein erforderlich.</w:t>
      </w:r>
    </w:p>
    <w:p w:rsidR="008530F8" w:rsidRDefault="008530F8" w:rsidP="008530F8">
      <w:pPr>
        <w:pStyle w:val="StandardWeb"/>
      </w:pPr>
      <w:r>
        <w:t>Gerichtete Kohärenz wurde ausdrücklich zugelassen.</w:t>
      </w:r>
    </w:p>
    <w:p w:rsidR="008530F8" w:rsidRDefault="00E50336" w:rsidP="008530F8">
      <w:r>
        <w:pict>
          <v:rect id="_x0000_i2531" style="width:0;height:1.5pt" o:hralign="center" o:hrstd="t" o:hr="t" fillcolor="#a0a0a0" stroked="f"/>
        </w:pict>
      </w:r>
    </w:p>
    <w:p w:rsidR="008530F8" w:rsidRDefault="008530F8" w:rsidP="008530F8">
      <w:pPr>
        <w:pStyle w:val="berschrift1"/>
      </w:pPr>
      <w:r>
        <w:lastRenderedPageBreak/>
        <w:t>3.3.43.285 Warum maximale Kohärenz kein Primäraxiom ist</w:t>
      </w:r>
    </w:p>
    <w:p w:rsidR="008530F8" w:rsidRDefault="008530F8" w:rsidP="008530F8">
      <w:pPr>
        <w:pStyle w:val="StandardWeb"/>
      </w:pPr>
      <w:r>
        <w:t>Die Forderung</w:t>
      </w:r>
    </w:p>
    <w:p w:rsidR="008530F8" w:rsidRDefault="008530F8" w:rsidP="008530F8">
      <w:pPr>
        <w:pStyle w:val="StandardWeb"/>
      </w:pPr>
      <w:r>
        <w:t>[</w:t>
      </w:r>
      <w:r>
        <w:br/>
        <w:t>C_{\mathrm{sys}}=1</w:t>
      </w:r>
      <w:r>
        <w:br/>
        <w:t>\tag{3.8935}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C_{\mathrm{sys}}=1</w:t>
      </w:r>
    </w:p>
    <w:p w:rsidR="008530F8" w:rsidRDefault="008530F8" w:rsidP="008530F8">
      <w:pPr>
        <w:pStyle w:val="StandardWeb"/>
      </w:pPr>
      <w:r>
        <w:t>wird nicht axiomatisch gesetzt.</w:t>
      </w:r>
    </w:p>
    <w:p w:rsidR="008530F8" w:rsidRDefault="008530F8" w:rsidP="008530F8">
      <w:pPr>
        <w:pStyle w:val="StandardWeb"/>
      </w:pPr>
      <w:r>
        <w:t>Ein solches System könnte sogar funktional unflexibel sein.</w:t>
      </w:r>
    </w:p>
    <w:p w:rsidR="008530F8" w:rsidRDefault="00E50336" w:rsidP="008530F8">
      <w:r>
        <w:pict>
          <v:rect id="_x0000_i2532" style="width:0;height:1.5pt" o:hralign="center" o:hrstd="t" o:hr="t" fillcolor="#a0a0a0" stroked="f"/>
        </w:pict>
      </w:r>
    </w:p>
    <w:p w:rsidR="008530F8" w:rsidRDefault="008530F8" w:rsidP="008530F8">
      <w:pPr>
        <w:pStyle w:val="berschrift1"/>
      </w:pPr>
      <w:r>
        <w:t>3.3.43.286 Vorläufige Klassifikationsmatrix</w:t>
      </w:r>
    </w:p>
    <w:p w:rsidR="008530F8" w:rsidRDefault="008530F8" w:rsidP="008530F8">
      <w:pPr>
        <w:pStyle w:val="StandardWeb"/>
      </w:pPr>
      <w:r>
        <w:t>Der aktuelle Stand lässt sich daher klassifizieren als</w:t>
      </w:r>
    </w:p>
    <w:p w:rsidR="008530F8" w:rsidRDefault="008530F8" w:rsidP="008530F8">
      <w:pPr>
        <w:pStyle w:val="berschrift1"/>
      </w:pPr>
      <w:r>
        <w:t>[</w:t>
      </w:r>
      <w:r>
        <w:br/>
        <w:t>\mathfrak K_{3.3.43}</w:t>
      </w:r>
    </w:p>
    <w:p w:rsidR="008530F8" w:rsidRDefault="008530F8" w:rsidP="008530F8">
      <w:pPr>
        <w:pStyle w:val="StandardWeb"/>
      </w:pPr>
      <w:r>
        <w:t>\left(</w:t>
      </w:r>
      <w:r>
        <w:br/>
        <w:t>\mathfrak D_C,</w:t>
      </w:r>
      <w:r>
        <w:br/>
        <w:t>\mathfrak M_C,</w:t>
      </w:r>
      <w:r>
        <w:br/>
        <w:t>\mathfrak A_C^{\mathrm{cand}}</w:t>
      </w:r>
      <w:r>
        <w:br/>
        <w:t>\right),</w:t>
      </w:r>
      <w:r>
        <w:br/>
        <w:t>\tag{3.8936}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\mathfrak K_{3.3.43}=\left(\mathfrak D_C,\mathfrak M_C,\mathfrak A_C^{\mathrm{cand}}\right)</w:t>
      </w:r>
    </w:p>
    <w:p w:rsidR="008530F8" w:rsidRDefault="008530F8" w:rsidP="008530F8">
      <w:pPr>
        <w:pStyle w:val="StandardWeb"/>
      </w:pPr>
      <w:r>
        <w:t>wobei (\mathfrak D_C) Definitionen, (\mathfrak M_C) methodische beziehungsweise abgeleitete Strukturen und (\mathfrak A_C^{\mathrm{cand}}) noch zu prüfende Axiomkandidaten umfasst.</w:t>
      </w:r>
    </w:p>
    <w:p w:rsidR="008530F8" w:rsidRDefault="00E50336" w:rsidP="008530F8">
      <w:r>
        <w:pict>
          <v:rect id="_x0000_i2533" style="width:0;height:1.5pt" o:hralign="center" o:hrstd="t" o:hr="t" fillcolor="#a0a0a0" stroked="f"/>
        </w:pict>
      </w:r>
    </w:p>
    <w:p w:rsidR="008530F8" w:rsidRDefault="008530F8" w:rsidP="008530F8">
      <w:pPr>
        <w:pStyle w:val="berschrift1"/>
      </w:pPr>
      <w:r>
        <w:t>3.3.43.287 Definitionsklasse</w:t>
      </w:r>
    </w:p>
    <w:p w:rsidR="008530F8" w:rsidRDefault="008530F8" w:rsidP="008530F8">
      <w:pPr>
        <w:pStyle w:val="StandardWeb"/>
      </w:pPr>
      <w:r>
        <w:lastRenderedPageBreak/>
        <w:t>Zur Definitionsklasse gehören insbesondere</w:t>
      </w:r>
    </w:p>
    <w:p w:rsidR="008530F8" w:rsidRDefault="008530F8" w:rsidP="008530F8">
      <w:pPr>
        <w:pStyle w:val="StandardWeb"/>
      </w:pPr>
      <w:r>
        <w:t>[</w:t>
      </w:r>
      <w:r>
        <w:br/>
        <w:t>\mathfrak D_C</w:t>
      </w:r>
      <w:r>
        <w:br/>
        <w:t>\supseteq</w:t>
      </w:r>
      <w:r>
        <w:br/>
        <w:t>\left{</w:t>
      </w:r>
      <w:r>
        <w:br/>
        <w:t>C_F,</w:t>
      </w:r>
      <w:r>
        <w:br/>
        <w:t>C_F^{(n)},</w:t>
      </w:r>
      <w:r>
        <w:br/>
        <w:t>\mathcal C_F,</w:t>
      </w:r>
      <w:r>
        <w:br/>
        <w:t>\mathbf J_C,</w:t>
      </w:r>
      <w:r>
        <w:br/>
        <w:t>K_C,</w:t>
      </w:r>
      <w:r>
        <w:br/>
        <w:t>\mathfrak C,</w:t>
      </w:r>
      <w:r>
        <w:br/>
        <w:t>\Omega_C^{F}</w:t>
      </w:r>
      <w:r>
        <w:br/>
        <w:t>\right}.</w:t>
      </w:r>
      <w:r>
        <w:br/>
        <w:t>\tag{3.8937}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\mathfrak D_C\supseteq\left\{C_F,C_F^{(n)},\mathcal C_F,\mathbf J_C,K_C,\mathfrak C,\Omega_C^{F}\right\}</w:t>
      </w:r>
    </w:p>
    <w:p w:rsidR="008530F8" w:rsidRDefault="00E50336" w:rsidP="008530F8">
      <w:r>
        <w:pict>
          <v:rect id="_x0000_i2534" style="width:0;height:1.5pt" o:hralign="center" o:hrstd="t" o:hr="t" fillcolor="#a0a0a0" stroked="f"/>
        </w:pict>
      </w:r>
    </w:p>
    <w:p w:rsidR="008530F8" w:rsidRDefault="008530F8" w:rsidP="008530F8">
      <w:pPr>
        <w:pStyle w:val="berschrift1"/>
      </w:pPr>
      <w:r>
        <w:t>3.3.43.288 Methodische und abgeleitete Klasse</w:t>
      </w:r>
    </w:p>
    <w:p w:rsidR="008530F8" w:rsidRDefault="008530F8" w:rsidP="008530F8">
      <w:pPr>
        <w:pStyle w:val="StandardWeb"/>
      </w:pPr>
      <w:r>
        <w:t>Zu den methodischen beziehungsweise abgeleiteten Strukturen gehören unter anderem</w:t>
      </w:r>
    </w:p>
    <w:p w:rsidR="008530F8" w:rsidRDefault="008530F8" w:rsidP="008530F8">
      <w:pPr>
        <w:pStyle w:val="StandardWeb"/>
      </w:pPr>
      <w:r>
        <w:t>[</w:t>
      </w:r>
      <w:r>
        <w:br/>
        <w:t>\mathfrak M_C</w:t>
      </w:r>
      <w:r>
        <w:br/>
        <w:t>\supseteq</w:t>
      </w:r>
      <w:r>
        <w:br/>
        <w:t>\left{</w:t>
      </w:r>
      <w:r>
        <w:br/>
        <w:t>\nabla C,</w:t>
      </w:r>
      <w:r>
        <w:br/>
        <w:t>\Sigma_C,</w:t>
      </w:r>
      <w:r>
        <w:br/>
        <w:t>\Sigma_C^{+},</w:t>
      </w:r>
      <w:r>
        <w:br/>
        <w:t>M_C,</w:t>
      </w:r>
      <w:r>
        <w:br/>
        <w:t>S_C,</w:t>
      </w:r>
      <w:r>
        <w:br/>
        <w:t>V_C,</w:t>
      </w:r>
      <w:r>
        <w:br/>
        <w:t>R_C^{\mathrm{rob}},</w:t>
      </w:r>
      <w:r>
        <w:br/>
        <w:t>R_C^{\mathrm{res}}</w:t>
      </w:r>
      <w:r>
        <w:br/>
        <w:t>\right}.</w:t>
      </w:r>
      <w:r>
        <w:br/>
        <w:t>\tag{3.8938}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\mathfrak M_C\supseteq\left\{\nabla C,\Sigma_C,\Sigma_C^{+},M_C,S_C,V_C,R_C^{\mathrm{rob}},R_C^{\mathrm{res}}\right\}</w:t>
      </w:r>
    </w:p>
    <w:p w:rsidR="008530F8" w:rsidRDefault="00E50336" w:rsidP="008530F8">
      <w:r>
        <w:pict>
          <v:rect id="_x0000_i2535" style="width:0;height:1.5pt" o:hralign="center" o:hrstd="t" o:hr="t" fillcolor="#a0a0a0" stroked="f"/>
        </w:pict>
      </w:r>
    </w:p>
    <w:p w:rsidR="008530F8" w:rsidRDefault="008530F8" w:rsidP="008530F8">
      <w:pPr>
        <w:pStyle w:val="berschrift1"/>
      </w:pPr>
      <w:r>
        <w:t>3.3.43.289 Axiomkandidatenklasse</w:t>
      </w:r>
    </w:p>
    <w:p w:rsidR="008530F8" w:rsidRDefault="008530F8" w:rsidP="008530F8">
      <w:pPr>
        <w:pStyle w:val="StandardWeb"/>
      </w:pPr>
      <w:r>
        <w:lastRenderedPageBreak/>
        <w:t>Die vorläufige Kandidatenmenge lautet</w:t>
      </w:r>
    </w:p>
    <w:p w:rsidR="008530F8" w:rsidRDefault="008530F8" w:rsidP="008530F8">
      <w:pPr>
        <w:pStyle w:val="berschrift1"/>
      </w:pPr>
      <w:r>
        <w:t>[</w:t>
      </w:r>
      <w:r>
        <w:br/>
        <w:t>\mathfrak A_C^{\mathrm{cand}}</w:t>
      </w:r>
    </w:p>
    <w:p w:rsidR="008530F8" w:rsidRDefault="008530F8" w:rsidP="008530F8">
      <w:pPr>
        <w:pStyle w:val="StandardWeb"/>
      </w:pPr>
      <w:r>
        <w:t>\left{</w:t>
      </w:r>
      <w:r>
        <w:br/>
        <w:t>A_C^{(A)},</w:t>
      </w:r>
      <w:r>
        <w:br/>
        <w:t>A_C^{(B)},</w:t>
      </w:r>
      <w:r>
        <w:br/>
        <w:t>A_C^{(C)}</w:t>
      </w:r>
      <w:r>
        <w:br/>
        <w:t>\right}.</w:t>
      </w:r>
      <w:r>
        <w:br/>
        <w:t>\tag{3.8939}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\mathfrak A_C^{\mathrm{cand}}=\left\{A_C^{(A)},A_C^{(B)},A_C^{(C)}\right\}</w:t>
      </w:r>
    </w:p>
    <w:p w:rsidR="008530F8" w:rsidRDefault="00E50336" w:rsidP="008530F8">
      <w:r>
        <w:pict>
          <v:rect id="_x0000_i2536" style="width:0;height:1.5pt" o:hralign="center" o:hrstd="t" o:hr="t" fillcolor="#a0a0a0" stroked="f"/>
        </w:pict>
      </w:r>
    </w:p>
    <w:p w:rsidR="008530F8" w:rsidRDefault="008530F8" w:rsidP="008530F8">
      <w:pPr>
        <w:pStyle w:val="berschrift1"/>
      </w:pPr>
      <w:r>
        <w:t>3.3.43.290 Auswahlproblem des Kohärenzaxioms</w:t>
      </w:r>
    </w:p>
    <w:p w:rsidR="008530F8" w:rsidRDefault="008530F8" w:rsidP="008530F8">
      <w:pPr>
        <w:pStyle w:val="StandardWeb"/>
      </w:pPr>
      <w:r>
        <w:t>Die endgültige Auswahl kann als Entscheidungsproblem formuliert werden:</w:t>
      </w:r>
    </w:p>
    <w:p w:rsidR="008530F8" w:rsidRDefault="008530F8" w:rsidP="008530F8">
      <w:pPr>
        <w:pStyle w:val="berschrift1"/>
      </w:pPr>
      <w:r>
        <w:t>[</w:t>
      </w:r>
      <w:r>
        <w:br/>
        <w:t>A_C^{\ast}</w:t>
      </w:r>
    </w:p>
    <w:p w:rsidR="008530F8" w:rsidRDefault="008530F8" w:rsidP="008530F8">
      <w:pPr>
        <w:pStyle w:val="StandardWeb"/>
      </w:pPr>
      <w:r>
        <w:t>\arg\min_{A\in\mathfrak A_C^{\mathrm{cand}}}</w:t>
      </w:r>
      <w:r>
        <w:br/>
        <w:t>\operatorname{Strength}(A)</w:t>
      </w:r>
      <w:r>
        <w:br/>
        <w:t>\tag{3.8940}</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A_C^{\ast}=\arg\min_{A\in\mathfrak A_C^{\mathrm{cand}}}\operatorname{Strength}(A)</w:t>
      </w:r>
    </w:p>
    <w:p w:rsidR="008530F8" w:rsidRDefault="008530F8" w:rsidP="008530F8">
      <w:pPr>
        <w:pStyle w:val="StandardWeb"/>
      </w:pPr>
      <w:r>
        <w:t>unter der Nebenbedingung</w:t>
      </w:r>
    </w:p>
    <w:p w:rsidR="008530F8" w:rsidRDefault="008530F8" w:rsidP="008530F8">
      <w:pPr>
        <w:pStyle w:val="StandardWeb"/>
      </w:pPr>
      <w:r>
        <w:t>[</w:t>
      </w:r>
      <w:r>
        <w:br/>
        <w:t>A</w:t>
      </w:r>
      <w:r>
        <w:br/>
        <w:t>\text{ genügt zur Ableitung der benötigten FRZK-Struktur}.</w:t>
      </w:r>
      <w:r>
        <w:br/>
        <w:t>\tag{3.8941}</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A\text{ genügt zur Ableitung der benötigten FRZK-Struktur}</w:t>
      </w:r>
    </w:p>
    <w:p w:rsidR="008530F8" w:rsidRDefault="00E50336" w:rsidP="008530F8">
      <w:r>
        <w:pict>
          <v:rect id="_x0000_i2537" style="width:0;height:1.5pt" o:hralign="center" o:hrstd="t" o:hr="t" fillcolor="#a0a0a0" stroked="f"/>
        </w:pict>
      </w:r>
    </w:p>
    <w:p w:rsidR="008530F8" w:rsidRDefault="008530F8" w:rsidP="008530F8">
      <w:pPr>
        <w:pStyle w:val="berschrift1"/>
      </w:pPr>
      <w:r>
        <w:lastRenderedPageBreak/>
        <w:t>3.3.43.291 Keine Axiomwahl allein aus mathematischer Eleganz</w:t>
      </w:r>
    </w:p>
    <w:p w:rsidR="008530F8" w:rsidRDefault="008530F8" w:rsidP="008530F8">
      <w:pPr>
        <w:pStyle w:val="StandardWeb"/>
      </w:pPr>
      <w:r>
        <w:t>Es gilt</w:t>
      </w:r>
    </w:p>
    <w:p w:rsidR="008530F8" w:rsidRDefault="008530F8" w:rsidP="008530F8">
      <w:pPr>
        <w:pStyle w:val="StandardWeb"/>
      </w:pPr>
      <w:r>
        <w:t>[</w:t>
      </w:r>
      <w:r>
        <w:br/>
        <w:t>\text{mathematisch elegant}</w:t>
      </w:r>
      <w:r>
        <w:br/>
        <w:t>\nRightarrow</w:t>
      </w:r>
      <w:r>
        <w:br/>
        <w:t>\text{wissenschaftlich gerechtfertigt}.</w:t>
      </w:r>
      <w:r>
        <w:br/>
        <w:t>\tag{3.8942}</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\text{mathematisch elegant}\nRightarrow\text{wissenschaftlich gerechtfertigt}</w:t>
      </w:r>
    </w:p>
    <w:p w:rsidR="008530F8" w:rsidRDefault="008530F8" w:rsidP="008530F8">
      <w:pPr>
        <w:pStyle w:val="StandardWeb"/>
      </w:pPr>
      <w:r>
        <w:t>Die spätere Primäraxiomwahl muss zusätzlich zur mathematischen Konsistenz mit dem wissenschaftlichen Zweck des FRZK vereinbar sein.</w:t>
      </w:r>
    </w:p>
    <w:p w:rsidR="008530F8" w:rsidRDefault="00E50336" w:rsidP="008530F8">
      <w:r>
        <w:pict>
          <v:rect id="_x0000_i2538" style="width:0;height:1.5pt" o:hralign="center" o:hrstd="t" o:hr="t" fillcolor="#a0a0a0" stroked="f"/>
        </w:pict>
      </w:r>
    </w:p>
    <w:p w:rsidR="008530F8" w:rsidRDefault="008530F8" w:rsidP="008530F8">
      <w:pPr>
        <w:pStyle w:val="berschrift1"/>
      </w:pPr>
      <w:r>
        <w:t>3.3.43.292 Empirische Offenheit der Kohärenzstruktur</w:t>
      </w:r>
    </w:p>
    <w:p w:rsidR="008530F8" w:rsidRDefault="008530F8" w:rsidP="008530F8">
      <w:pPr>
        <w:pStyle w:val="StandardWeb"/>
      </w:pPr>
      <w:r>
        <w:t>Die konkrete Form</w:t>
      </w:r>
    </w:p>
    <w:p w:rsidR="008530F8" w:rsidRDefault="008530F8" w:rsidP="008530F8">
      <w:pPr>
        <w:pStyle w:val="berschrift1"/>
      </w:pPr>
      <w:r>
        <w:t>[</w:t>
      </w:r>
      <w:r>
        <w:br/>
        <w:t>C_F</w:t>
      </w:r>
    </w:p>
    <w:p w:rsidR="008530F8" w:rsidRDefault="008530F8" w:rsidP="008530F8">
      <w:pPr>
        <w:pStyle w:val="StandardWeb"/>
      </w:pPr>
      <w:r>
        <w:t>C_F(x,t,\boldsymbol\theta,\mathcal O_C)</w:t>
      </w:r>
      <w:r>
        <w:br/>
        <w:t>\tag{3.8943}</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C_F=C_F(x,t,\boldsymbol\theta,\mathcal O_C)</w:t>
      </w:r>
    </w:p>
    <w:p w:rsidR="008530F8" w:rsidRDefault="008530F8" w:rsidP="008530F8">
      <w:pPr>
        <w:pStyle w:val="StandardWeb"/>
      </w:pPr>
      <w:r>
        <w:t>bleibt empirisch beziehungsweise modellabhängig bestimmbar.</w:t>
      </w:r>
    </w:p>
    <w:p w:rsidR="008530F8" w:rsidRDefault="008530F8" w:rsidP="008530F8">
      <w:pPr>
        <w:pStyle w:val="StandardWeb"/>
      </w:pPr>
      <w:r>
        <w:t>Damit wird die mathematische Grundstruktur nicht unnötig mit einer konkreten Messform identifiziert.</w:t>
      </w:r>
    </w:p>
    <w:p w:rsidR="008530F8" w:rsidRDefault="00E50336" w:rsidP="008530F8">
      <w:r>
        <w:pict>
          <v:rect id="_x0000_i2539" style="width:0;height:1.5pt" o:hralign="center" o:hrstd="t" o:hr="t" fillcolor="#a0a0a0" stroked="f"/>
        </w:pict>
      </w:r>
    </w:p>
    <w:p w:rsidR="008530F8" w:rsidRDefault="008530F8" w:rsidP="008530F8">
      <w:pPr>
        <w:pStyle w:val="berschrift1"/>
      </w:pPr>
      <w:r>
        <w:t>3.3.43.293 Theoretische Offenheit</w:t>
      </w:r>
    </w:p>
    <w:p w:rsidR="008530F8" w:rsidRDefault="008530F8" w:rsidP="008530F8">
      <w:pPr>
        <w:pStyle w:val="StandardWeb"/>
      </w:pPr>
      <w:r>
        <w:t>Ebenso bleibt offen, ob eine konkrete FRZK-Theorie Kohärenz beispielsweise durch</w:t>
      </w:r>
    </w:p>
    <w:p w:rsidR="008530F8" w:rsidRDefault="008530F8" w:rsidP="008530F8">
      <w:pPr>
        <w:pStyle w:val="StandardWeb"/>
      </w:pPr>
      <w:r>
        <w:lastRenderedPageBreak/>
        <w:t>[</w:t>
      </w:r>
      <w:r>
        <w:br/>
        <w:t>\text{Differentialgleichungen},</w:t>
      </w:r>
      <w:r>
        <w:br/>
        <w:t>\quad</w:t>
      </w:r>
      <w:r>
        <w:br/>
        <w:t>\text{Operatoren},</w:t>
      </w:r>
      <w:r>
        <w:br/>
        <w:t>\quad</w:t>
      </w:r>
      <w:r>
        <w:br/>
        <w:t>\text{Graphdynamik},</w:t>
      </w:r>
      <w:r>
        <w:br/>
        <w:t>\quad</w:t>
      </w:r>
      <w:r>
        <w:br/>
        <w:t>\text{stochastische Prozesse}</w:t>
      </w:r>
      <w:r>
        <w:br/>
        <w:t>]</w:t>
      </w:r>
    </w:p>
    <w:p w:rsidR="008530F8" w:rsidRDefault="008530F8" w:rsidP="008530F8">
      <w:pPr>
        <w:pStyle w:val="StandardWeb"/>
      </w:pPr>
      <w:r>
        <w:t>beschreibt.</w:t>
      </w:r>
    </w:p>
    <w:p w:rsidR="008530F8" w:rsidRDefault="008530F8" w:rsidP="008530F8">
      <w:pPr>
        <w:pStyle w:val="StandardWeb"/>
      </w:pPr>
      <w:r>
        <w:t>Die Axiomatik soll diese Möglichkeiten nicht unbegründet vorentscheiden.</w:t>
      </w:r>
    </w:p>
    <w:p w:rsidR="008530F8" w:rsidRDefault="00E50336" w:rsidP="008530F8">
      <w:r>
        <w:pict>
          <v:rect id="_x0000_i2540" style="width:0;height:1.5pt" o:hralign="center" o:hrstd="t" o:hr="t" fillcolor="#a0a0a0" stroked="f"/>
        </w:pict>
      </w:r>
    </w:p>
    <w:p w:rsidR="008530F8" w:rsidRDefault="008530F8" w:rsidP="008530F8">
      <w:pPr>
        <w:pStyle w:val="berschrift1"/>
      </w:pPr>
      <w:r>
        <w:t>3.3.43.294 Zwischenstand zur Primäraxiomfrage</w:t>
      </w:r>
    </w:p>
    <w:p w:rsidR="008530F8" w:rsidRDefault="008530F8" w:rsidP="008530F8">
      <w:pPr>
        <w:pStyle w:val="StandardWeb"/>
      </w:pPr>
      <w:r>
        <w:t>Der derzeitige Stand lautet daher:</w:t>
      </w:r>
    </w:p>
    <w:p w:rsidR="008530F8" w:rsidRDefault="008530F8" w:rsidP="008530F8">
      <w:pPr>
        <w:pStyle w:val="StandardWeb"/>
      </w:pPr>
      <w:r>
        <w:t>[</w:t>
      </w:r>
      <w:r>
        <w:br/>
        <w:t>\boxed{</w:t>
      </w:r>
      <w:r>
        <w:br/>
        <w:t>\text{Kohärenzbegriff definiert}</w:t>
      </w:r>
      <w:r>
        <w:br/>
        <w:t>\quad\land\quad</w:t>
      </w:r>
      <w:r>
        <w:br/>
        <w:t>\text{Kohärenzstrukturen konstruiert}</w:t>
      </w:r>
      <w:r>
        <w:br/>
        <w:t>\quad\land\quad</w:t>
      </w:r>
      <w:r>
        <w:br/>
        <w:t>\text{Primäraxiom noch nicht endgültig gewählt}.</w:t>
      </w:r>
      <w:r>
        <w:br/>
        <w:t>}</w:t>
      </w:r>
      <w:r>
        <w:br/>
        <w:t>\tag{3.8944}</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\boxed{\text{Kohärenzbegriff definiert}\quad\land\quad\text{Kohärenzstrukturen konstruiert}\quad\land\quad\text{Primäraxiom noch nicht endgültig gewählt}.}</w:t>
      </w:r>
    </w:p>
    <w:p w:rsidR="008530F8" w:rsidRDefault="00E50336" w:rsidP="008530F8">
      <w:r>
        <w:pict>
          <v:rect id="_x0000_i2541" style="width:0;height:1.5pt" o:hralign="center" o:hrstd="t" o:hr="t" fillcolor="#a0a0a0" stroked="f"/>
        </w:pict>
      </w:r>
    </w:p>
    <w:p w:rsidR="008530F8" w:rsidRDefault="008530F8" w:rsidP="008530F8">
      <w:pPr>
        <w:pStyle w:val="berschrift1"/>
      </w:pPr>
      <w:r>
        <w:t>3.3.43.295 Erweiterte Kohärenzarchitektur</w:t>
      </w:r>
    </w:p>
    <w:p w:rsidR="008530F8" w:rsidRDefault="008530F8" w:rsidP="008530F8">
      <w:pPr>
        <w:pStyle w:val="StandardWeb"/>
      </w:pPr>
      <w:r>
        <w:t>Die bisherige Gesamtstruktur kann nun geschrieben werden als</w:t>
      </w:r>
    </w:p>
    <w:p w:rsidR="008530F8" w:rsidRDefault="008530F8" w:rsidP="008530F8">
      <w:pPr>
        <w:pStyle w:val="berschrift1"/>
      </w:pPr>
      <w:r>
        <w:t>[</w:t>
      </w:r>
      <w:r>
        <w:br/>
        <w:t>\mathfrak C_{FRZK}^{+}</w:t>
      </w:r>
    </w:p>
    <w:p w:rsidR="008530F8" w:rsidRDefault="008530F8" w:rsidP="008530F8">
      <w:pPr>
        <w:pStyle w:val="StandardWeb"/>
      </w:pPr>
      <w:r>
        <w:t>\left(</w:t>
      </w:r>
      <w:r>
        <w:br/>
        <w:t>C_F,</w:t>
      </w:r>
      <w:r>
        <w:br/>
        <w:t>C_F^{(n)},</w:t>
      </w:r>
      <w:r>
        <w:br/>
      </w:r>
      <w:r>
        <w:lastRenderedPageBreak/>
        <w:t>\mathcal C_F,</w:t>
      </w:r>
      <w:r>
        <w:br/>
        <w:t>\mathbf C,</w:t>
      </w:r>
      <w:r>
        <w:br/>
        <w:t>\mathcal G_C,</w:t>
      </w:r>
      <w:r>
        <w:br/>
        <w:t>\mathcal H_C,</w:t>
      </w:r>
      <w:r>
        <w:br/>
        <w:t>\mathbf J_C,</w:t>
      </w:r>
      <w:r>
        <w:br/>
        <w:t>K_C,</w:t>
      </w:r>
      <w:r>
        <w:br/>
        <w:t>\mathfrak C,</w:t>
      </w:r>
      <w:r>
        <w:br/>
        <w:t>\Sigma_C^{+},</w:t>
      </w:r>
      <w:r>
        <w:br/>
        <w:t>\Omega_C^{ST},</w:t>
      </w:r>
      <w:r>
        <w:br/>
        <w:t>\mathfrak R_C,</w:t>
      </w:r>
      <w:r>
        <w:br/>
        <w:t>\mathfrak A_C^{\mathrm{cand}}</w:t>
      </w:r>
      <w:r>
        <w:br/>
        <w:t>\right).</w:t>
      </w:r>
      <w:r>
        <w:br/>
        <w:t>\tag{3.8945}</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\mathfrak C_{FRZK}^{+}=\left(C_F,C_F^{(n)},\mathcal C_F,\mathbf C,\mathcal G_C,\mathcal H_C,\mathbf J_C,K_C,\mathfrak C,\Sigma_C^{+},\Omega_C^{ST},\mathfrak R_C,\mathfrak A_C^{\mathrm{cand}}\right)</w:t>
      </w:r>
    </w:p>
    <w:p w:rsidR="008530F8" w:rsidRDefault="00E50336" w:rsidP="008530F8">
      <w:r>
        <w:pict>
          <v:rect id="_x0000_i2542" style="width:0;height:1.5pt" o:hralign="center" o:hrstd="t" o:hr="t" fillcolor="#a0a0a0" stroked="f"/>
        </w:pict>
      </w:r>
    </w:p>
    <w:p w:rsidR="008530F8" w:rsidRDefault="008530F8" w:rsidP="008530F8">
      <w:pPr>
        <w:pStyle w:val="berschrift1"/>
      </w:pPr>
      <w:r>
        <w:t>3.3.43.296 Kohärenzarchitektur und Konsistenzarchitektur</w:t>
      </w:r>
    </w:p>
    <w:p w:rsidR="008530F8" w:rsidRDefault="008530F8" w:rsidP="008530F8">
      <w:pPr>
        <w:pStyle w:val="StandardWeb"/>
      </w:pPr>
      <w:r>
        <w:t>Die Kohärenzarchitektur baut auf der vorherigen Konsistenzarchitektur auf.</w:t>
      </w:r>
    </w:p>
    <w:p w:rsidR="008530F8" w:rsidRDefault="008530F8" w:rsidP="008530F8">
      <w:pPr>
        <w:pStyle w:val="StandardWeb"/>
      </w:pPr>
      <w:r>
        <w:t>Formal:</w:t>
      </w:r>
    </w:p>
    <w:p w:rsidR="008530F8" w:rsidRDefault="008530F8" w:rsidP="008530F8">
      <w:pPr>
        <w:pStyle w:val="berschrift1"/>
      </w:pPr>
      <w:r>
        <w:t>[</w:t>
      </w:r>
      <w:r>
        <w:br/>
        <w:t>\mathfrak C_{FRZK}^{+}</w:t>
      </w:r>
    </w:p>
    <w:p w:rsidR="008530F8" w:rsidRDefault="008530F8" w:rsidP="008530F8">
      <w:pPr>
        <w:pStyle w:val="StandardWeb"/>
      </w:pPr>
      <w:r>
        <w:t>\mathcal F</w:t>
      </w:r>
      <w:r>
        <w:br/>
        <w:t>\left(</w:t>
      </w:r>
      <w:r>
        <w:br/>
        <w:t>\mathfrak C_F^{\mathrm{full}},</w:t>
      </w:r>
      <w:r>
        <w:br/>
        <w:t>\mathfrak K_C</w:t>
      </w:r>
      <w:r>
        <w:br/>
        <w:t>\right),</w:t>
      </w:r>
      <w:r>
        <w:br/>
        <w:t>\tag{3.8946}</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\mathfrak C_{FRZK}^{+}=\mathcal F\left(\mathfrak C_F^{\mathrm{full}},\mathfrak K_C\right)</w:t>
      </w:r>
    </w:p>
    <w:p w:rsidR="008530F8" w:rsidRDefault="008530F8" w:rsidP="008530F8">
      <w:pPr>
        <w:pStyle w:val="StandardWeb"/>
      </w:pPr>
      <w:r>
        <w:t>wobei (\mathfrak K_C) die zusätzliche funktionale Kopplungsstruktur bezeichnet.</w:t>
      </w:r>
    </w:p>
    <w:p w:rsidR="008530F8" w:rsidRDefault="00E50336" w:rsidP="008530F8">
      <w:r>
        <w:pict>
          <v:rect id="_x0000_i2543" style="width:0;height:1.5pt" o:hralign="center" o:hrstd="t" o:hr="t" fillcolor="#a0a0a0" stroked="f"/>
        </w:pict>
      </w:r>
    </w:p>
    <w:p w:rsidR="008530F8" w:rsidRDefault="008530F8" w:rsidP="008530F8">
      <w:pPr>
        <w:pStyle w:val="berschrift1"/>
      </w:pPr>
      <w:r>
        <w:lastRenderedPageBreak/>
        <w:t>3.3.43.297 Kohärenz ist streng mehr als Konsistenzprüfung</w:t>
      </w:r>
    </w:p>
    <w:p w:rsidR="008530F8" w:rsidRDefault="008530F8" w:rsidP="008530F8">
      <w:pPr>
        <w:pStyle w:val="StandardWeb"/>
      </w:pPr>
      <w:r>
        <w:t>Damit gilt konzeptionell</w:t>
      </w:r>
    </w:p>
    <w:p w:rsidR="008530F8" w:rsidRDefault="008530F8" w:rsidP="008530F8">
      <w:pPr>
        <w:pStyle w:val="berschrift1"/>
      </w:pPr>
      <w:r>
        <w:t>[</w:t>
      </w:r>
      <w:r>
        <w:br/>
        <w:t>\boxed{</w:t>
      </w:r>
      <w:r>
        <w:br/>
        <w:t>\text{Kohärenz}</w:t>
      </w:r>
    </w:p>
    <w:p w:rsidR="008530F8" w:rsidRDefault="008530F8" w:rsidP="008530F8">
      <w:pPr>
        <w:pStyle w:val="StandardWeb"/>
      </w:pPr>
      <w:r>
        <w:t>\text{Konsistenz}</w:t>
      </w:r>
      <w:r>
        <w:br/>
        <w:t>+</w:t>
      </w:r>
      <w:r>
        <w:br/>
        <w:t>\text{funktionale Kopplungsstruktur}</w:t>
      </w:r>
      <w:r>
        <w:br/>
        <w:t>}</w:t>
      </w:r>
      <w:r>
        <w:br/>
        <w:t>\tag{3.8947}</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\boxed{\text{Kohärenz}=\text{Konsistenz}+\text{funktionale Kopplungsstruktur}}</w:t>
      </w:r>
    </w:p>
    <w:p w:rsidR="008530F8" w:rsidRDefault="008530F8" w:rsidP="008530F8">
      <w:pPr>
        <w:pStyle w:val="StandardWeb"/>
      </w:pPr>
      <w:r>
        <w:t>wobei das Pluszeichen hier eine konzeptionelle Zusammenführung und keine gewöhnliche arithmetische Addition bezeichnet.</w:t>
      </w:r>
    </w:p>
    <w:p w:rsidR="008530F8" w:rsidRDefault="00E50336" w:rsidP="008530F8">
      <w:r>
        <w:pict>
          <v:rect id="_x0000_i2544" style="width:0;height:1.5pt" o:hralign="center" o:hrstd="t" o:hr="t" fillcolor="#a0a0a0" stroked="f"/>
        </w:pict>
      </w:r>
    </w:p>
    <w:p w:rsidR="008530F8" w:rsidRDefault="008530F8" w:rsidP="008530F8">
      <w:pPr>
        <w:pStyle w:val="berschrift1"/>
      </w:pPr>
      <w:r>
        <w:t>3.3.43.298 Keine Reduktion auf eine Einzelmetrik</w:t>
      </w:r>
    </w:p>
    <w:p w:rsidR="008530F8" w:rsidRDefault="008530F8" w:rsidP="008530F8">
      <w:pPr>
        <w:pStyle w:val="StandardWeb"/>
      </w:pPr>
      <w:r>
        <w:t>Die bisherige Entwicklung zeigt außerdem</w:t>
      </w:r>
    </w:p>
    <w:p w:rsidR="008530F8" w:rsidRDefault="008530F8" w:rsidP="008530F8">
      <w:pPr>
        <w:pStyle w:val="StandardWeb"/>
      </w:pPr>
      <w:r>
        <w:t>[</w:t>
      </w:r>
      <w:r>
        <w:br/>
        <w:t>C_F</w:t>
      </w:r>
      <w:r>
        <w:br/>
        <w:t>\nsim</w:t>
      </w:r>
      <w:r>
        <w:br/>
        <w:t>\text{eine einzige universelle Messgröße}.</w:t>
      </w:r>
      <w:r>
        <w:br/>
        <w:t>\tag{3.8948}</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C_F\nsim\text{eine einzige universelle Messgröße}</w:t>
      </w:r>
    </w:p>
    <w:p w:rsidR="008530F8" w:rsidRDefault="008530F8" w:rsidP="008530F8">
      <w:pPr>
        <w:pStyle w:val="StandardWeb"/>
      </w:pPr>
      <w:r>
        <w:t>Korrelation, Synchronisation, Informationsfluss oder Netzwerkdichte können einzelne Aspekte abbilden, aber nicht den theoretischen Kohärenzbegriff vollständig ersetzen.</w:t>
      </w:r>
    </w:p>
    <w:p w:rsidR="008530F8" w:rsidRDefault="00E50336" w:rsidP="008530F8">
      <w:r>
        <w:pict>
          <v:rect id="_x0000_i2545" style="width:0;height:1.5pt" o:hralign="center" o:hrstd="t" o:hr="t" fillcolor="#a0a0a0" stroked="f"/>
        </w:pict>
      </w:r>
    </w:p>
    <w:p w:rsidR="008530F8" w:rsidRDefault="008530F8" w:rsidP="008530F8">
      <w:pPr>
        <w:pStyle w:val="berschrift1"/>
      </w:pPr>
      <w:r>
        <w:t>3.3.43.299 Vorläufige wissenschaftliche Kernformel</w:t>
      </w:r>
    </w:p>
    <w:p w:rsidR="008530F8" w:rsidRDefault="008530F8" w:rsidP="008530F8">
      <w:pPr>
        <w:pStyle w:val="StandardWeb"/>
      </w:pPr>
      <w:r>
        <w:lastRenderedPageBreak/>
        <w:t>Ich fasse den bisherigen fachlichen Stand zusammen als</w:t>
      </w:r>
    </w:p>
    <w:p w:rsidR="008530F8" w:rsidRDefault="008530F8" w:rsidP="008530F8">
      <w:pPr>
        <w:pStyle w:val="berschrift1"/>
      </w:pPr>
      <w:r>
        <w:t>[</w:t>
      </w:r>
      <w:r>
        <w:br/>
        <w:t>\boxed{</w:t>
      </w:r>
      <w:r>
        <w:br/>
        <w:t>C_F</w:t>
      </w:r>
    </w:p>
    <w:p w:rsidR="008530F8" w:rsidRDefault="008530F8" w:rsidP="008530F8">
      <w:pPr>
        <w:pStyle w:val="StandardWeb"/>
      </w:pPr>
      <w:r>
        <w:t>\mathcal F_C</w:t>
      </w:r>
      <w:r>
        <w:br/>
        <w:t>\left(</w:t>
      </w:r>
      <w:r>
        <w:br/>
        <w:t>\mathcal C,</w:t>
      </w:r>
      <w:r>
        <w:br/>
        <w:t>K_F,</w:t>
      </w:r>
      <w:r>
        <w:br/>
        <w:t>\kappa,</w:t>
      </w:r>
      <w:r>
        <w:br/>
        <w:t>\mathbf C,</w:t>
      </w:r>
      <w:r>
        <w:br/>
        <w:t>\mathcal G_C,</w:t>
      </w:r>
      <w:r>
        <w:br/>
        <w:t>x,</w:t>
      </w:r>
      <w:r>
        <w:br/>
        <w:t>t,</w:t>
      </w:r>
      <w:r>
        <w:br/>
        <w:t>\boldsymbol\theta,</w:t>
      </w:r>
      <w:r>
        <w:br/>
        <w:t>\mathcal O_C</w:t>
      </w:r>
      <w:r>
        <w:br/>
        <w:t>\right).</w:t>
      </w:r>
      <w:r>
        <w:br/>
        <w:t>}</w:t>
      </w:r>
      <w:r>
        <w:br/>
        <w:t>\tag{3.8949}</w:t>
      </w:r>
      <w:r>
        <w:br/>
        <w:t>]</w:t>
      </w:r>
    </w:p>
    <w:p w:rsidR="008530F8" w:rsidRDefault="008530F8" w:rsidP="008530F8">
      <w:pPr>
        <w:pStyle w:val="StandardWeb"/>
      </w:pPr>
      <w:r>
        <w:rPr>
          <w:rStyle w:val="Fett"/>
        </w:rPr>
        <w:t>Word-LaTeX</w:t>
      </w:r>
    </w:p>
    <w:p w:rsidR="008530F8" w:rsidRDefault="008530F8" w:rsidP="008530F8">
      <w:pPr>
        <w:pStyle w:val="HTMLVorformatiert"/>
        <w:rPr>
          <w:rStyle w:val="HTMLCode"/>
        </w:rPr>
      </w:pPr>
      <w:r>
        <w:rPr>
          <w:rStyle w:val="HTMLCode"/>
        </w:rPr>
        <w:t>\boxed{C_F=\mathcal F_C\left(\mathcal C,K_F,\kappa,\mathbf C,\mathcal G_C,x,t,\boldsymbol\theta,\mathcal O_C\right).}</w:t>
      </w:r>
    </w:p>
    <w:p w:rsidR="008530F8" w:rsidRDefault="00E50336" w:rsidP="008530F8">
      <w:r>
        <w:pict>
          <v:rect id="_x0000_i2546" style="width:0;height:1.5pt" o:hralign="center" o:hrstd="t" o:hr="t" fillcolor="#a0a0a0" stroked="f"/>
        </w:pict>
      </w:r>
    </w:p>
    <w:p w:rsidR="008530F8" w:rsidRDefault="008530F8" w:rsidP="008530F8">
      <w:pPr>
        <w:pStyle w:val="berschrift1"/>
      </w:pPr>
      <w:r>
        <w:t>3.3.43.300 Zwischenabschluss</w:t>
      </w:r>
    </w:p>
    <w:p w:rsidR="008530F8" w:rsidRDefault="008530F8" w:rsidP="008530F8">
      <w:pPr>
        <w:pStyle w:val="StandardWeb"/>
      </w:pPr>
      <w:r>
        <w:t xml:space="preserve">Damit ist der Kohärenzbegriff von einer einfachen paarweisen Beziehung zu einer </w:t>
      </w:r>
      <w:r>
        <w:rPr>
          <w:rStyle w:val="Fett"/>
        </w:rPr>
        <w:t>mehrkomponentigen, räumlich-zeitlichen, gerichteten, dynamischen und revisionsoffenen Systemstruktur</w:t>
      </w:r>
      <w:r>
        <w:t xml:space="preserve"> erweitert worden.</w:t>
      </w:r>
    </w:p>
    <w:p w:rsidR="008530F8" w:rsidRDefault="008530F8" w:rsidP="008530F8">
      <w:pPr>
        <w:pStyle w:val="StandardWeb"/>
      </w:pPr>
      <w:r>
        <w:t>Die mathematische Konstruktion umfasst nun unter anderem Mehrkomponentenkohärenz, Hyperrelationen, Kohärenzfelder, Gradienten, Flüsse, Quellen und Senken, Kohärenzbrüche, Übergänge, Attraktoren, Gedächtnis, Hysterese, Raum-Zeit-Kerne, Propagation, Kohärenzoperatoren, Modularität, Fragmentierung, Resilienz und erste Axiomkandidaten.</w:t>
      </w:r>
    </w:p>
    <w:p w:rsidR="008530F8" w:rsidRDefault="008530F8" w:rsidP="008530F8">
      <w:pPr>
        <w:pStyle w:val="StandardWeb"/>
      </w:pPr>
      <w:r>
        <w:t xml:space="preserve">Der Gesamtabschnitt </w:t>
      </w:r>
      <w:r>
        <w:rPr>
          <w:rStyle w:val="Fett"/>
        </w:rPr>
        <w:t>3.3.43 bleibt weiterhin offen</w:t>
      </w:r>
      <w:r>
        <w:t xml:space="preserve">. Als nächstes muss die Primäraxiomfrage systematisch zu Ende geführt werden. Dabei sind insbesondere </w:t>
      </w:r>
      <w:r>
        <w:rPr>
          <w:rStyle w:val="Fett"/>
        </w:rPr>
        <w:t>Notwendigkeit, Unabhängigkeit, Minimalität und Nichtableitbarkeit der Kohärenzaxiom-Kandidaten</w:t>
      </w:r>
      <w:r>
        <w:t xml:space="preserve"> zu prüfen. Erst danach kann entschieden werden, ob und in welcher Form ein Kohärenzsatz tatsächlich in die Primäraxiomatik des FRZK aufgenommen wird.</w:t>
      </w:r>
    </w:p>
    <w:p w:rsidR="008530F8" w:rsidRDefault="008530F8" w:rsidP="008530F8">
      <w:pPr>
        <w:pStyle w:val="StandardWeb"/>
      </w:pPr>
      <w:r>
        <w:t xml:space="preserve">Die </w:t>
      </w:r>
      <w:r>
        <w:rPr>
          <w:rStyle w:val="Fett"/>
        </w:rPr>
        <w:t>methodologischen und didaktischen Betrachtungen folgen weiterhin erst am endgültigen Ende von 3.3.43</w:t>
      </w:r>
      <w:r>
        <w:t>.</w:t>
      </w:r>
    </w:p>
    <w:p w:rsidR="0047791C" w:rsidRDefault="0047791C" w:rsidP="0047791C">
      <w:pPr>
        <w:pStyle w:val="berschrift1"/>
        <w:rPr>
          <w:rFonts w:cs="Times New Roman"/>
          <w:sz w:val="48"/>
          <w:szCs w:val="48"/>
        </w:rPr>
      </w:pPr>
      <w:r>
        <w:lastRenderedPageBreak/>
        <w:t>3.3.43.301 Systematische Prüfung der Kohärenzaxiom-Kandidaten</w:t>
      </w:r>
    </w:p>
    <w:p w:rsidR="0047791C" w:rsidRDefault="0047791C" w:rsidP="0047791C">
      <w:pPr>
        <w:pStyle w:val="StandardWeb"/>
      </w:pPr>
      <w:r>
        <w:t>Mit den drei Kandidaten (A_C^{(A)}), (A_C^{(B)}) und (A_C^{(C)}) habe ich erstmals Aussagen formuliert, die über reine Definitionen hinausgehen und daher grundsätzlich für einen Primäraxiomstatus infrage kommen. Bevor ich einen dieser Kandidaten übernehme, muss ich jedoch prüfen, ob er für die weitere FRZK-Konstruktion tatsächlich benötigt wird, ob er von bereits eingeführten Strukturen unabhängig ist und ob eine schwächere Aussage denselben theoretischen Zweck erfüllt. [20]</w:t>
      </w:r>
    </w:p>
    <w:p w:rsidR="0047791C" w:rsidRDefault="0047791C" w:rsidP="0047791C">
      <w:pPr>
        <w:pStyle w:val="StandardWeb"/>
      </w:pPr>
      <w:r>
        <w:t>Ich verwende dafür die Prüfstruktur</w:t>
      </w:r>
    </w:p>
    <w:p w:rsidR="0047791C" w:rsidRDefault="0047791C" w:rsidP="0047791C">
      <w:pPr>
        <w:pStyle w:val="berschrift1"/>
      </w:pPr>
      <w:r>
        <w:t>[</w:t>
      </w:r>
      <w:r>
        <w:br/>
        <w:t>\mathcal P_A</w:t>
      </w:r>
    </w:p>
    <w:p w:rsidR="0047791C" w:rsidRDefault="0047791C" w:rsidP="0047791C">
      <w:pPr>
        <w:pStyle w:val="StandardWeb"/>
      </w:pPr>
      <w:r>
        <w:t>\left(</w:t>
      </w:r>
      <w:r>
        <w:br/>
        <w:t>N_A,</w:t>
      </w:r>
      <w:r>
        <w:br/>
        <w:t>I_A,</w:t>
      </w:r>
      <w:r>
        <w:br/>
        <w:t>M_A,</w:t>
      </w:r>
      <w:r>
        <w:br/>
        <w:t>D_A,</w:t>
      </w:r>
      <w:r>
        <w:br/>
        <w:t>K_A,</w:t>
      </w:r>
      <w:r>
        <w:br/>
        <w:t>E_A</w:t>
      </w:r>
      <w:r>
        <w:br/>
        <w:t>\right).</w:t>
      </w:r>
      <w:r>
        <w:br/>
        <w:t>\tag{3.8950}</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\mathcal P_A=\left(N_A,I_A,M_A,D_A,K_A,E_A\right)</w:t>
      </w:r>
    </w:p>
    <w:p w:rsidR="0047791C" w:rsidRDefault="0047791C" w:rsidP="0047791C">
      <w:pPr>
        <w:pStyle w:val="StandardWeb"/>
      </w:pPr>
      <w:r>
        <w:t>Dabei stehen (N_A) für Notwendigkeit, (I_A) für Unabhängigkeit, (M_A) für Minimalität, (D_A) für Nichtableitbarkeit, (K_A) für Konsistenz mit der bisherigen Struktur und (E_A) für empirische beziehungsweise wissenschaftliche Offenheit. [20]</w:t>
      </w:r>
    </w:p>
    <w:p w:rsidR="0047791C" w:rsidRDefault="0047791C" w:rsidP="0047791C">
      <w:pPr>
        <w:pStyle w:val="berschrift1"/>
      </w:pPr>
      <w:r>
        <w:t>3.3.43.302 Axiomatische Notwendigkeit</w:t>
      </w:r>
    </w:p>
    <w:p w:rsidR="0047791C" w:rsidRDefault="0047791C" w:rsidP="0047791C">
      <w:pPr>
        <w:pStyle w:val="StandardWeb"/>
      </w:pPr>
      <w:r>
        <w:t>Ein Kandidat ist nur dann axiomatisch notwendig, wenn die für die weitere Theorie benötigte Struktur ohne ihn nicht vollständig aus den bereits vorhandenen Definitionen und Axiomen gewonnen werden kann. [20]</w:t>
      </w:r>
    </w:p>
    <w:p w:rsidR="0047791C" w:rsidRDefault="0047791C" w:rsidP="0047791C">
      <w:pPr>
        <w:pStyle w:val="StandardWeb"/>
      </w:pPr>
      <w:r>
        <w:t>Ich schreibe</w:t>
      </w:r>
    </w:p>
    <w:p w:rsidR="0047791C" w:rsidRDefault="0047791C" w:rsidP="0047791C">
      <w:pPr>
        <w:pStyle w:val="StandardWeb"/>
      </w:pPr>
      <w:r>
        <w:t>[</w:t>
      </w:r>
      <w:r>
        <w:br/>
        <w:t>N_A(A)=1</w:t>
      </w:r>
      <w:r>
        <w:br/>
        <w:t>\tag{3.8951}</w:t>
      </w:r>
      <w:r>
        <w:br/>
        <w:t>]</w:t>
      </w:r>
    </w:p>
    <w:p w:rsidR="0047791C" w:rsidRDefault="0047791C" w:rsidP="0047791C">
      <w:pPr>
        <w:pStyle w:val="StandardWeb"/>
      </w:pPr>
      <w:r>
        <w:rPr>
          <w:rStyle w:val="Fett"/>
        </w:rPr>
        <w:lastRenderedPageBreak/>
        <w:t>Word-LaTeX</w:t>
      </w:r>
    </w:p>
    <w:p w:rsidR="0047791C" w:rsidRDefault="0047791C" w:rsidP="0047791C">
      <w:pPr>
        <w:pStyle w:val="HTMLVorformatiert"/>
        <w:rPr>
          <w:rStyle w:val="HTMLCode"/>
        </w:rPr>
      </w:pPr>
      <w:r>
        <w:rPr>
          <w:rStyle w:val="HTMLCode"/>
        </w:rPr>
        <w:t>N_A(A)=1</w:t>
      </w:r>
    </w:p>
    <w:p w:rsidR="0047791C" w:rsidRDefault="0047791C" w:rsidP="0047791C">
      <w:pPr>
        <w:pStyle w:val="StandardWeb"/>
      </w:pPr>
      <w:r>
        <w:t>genau dann, wenn das Weglassen von (A) mindestens eine für das FRZK unverzichtbare Struktur unbestimmt lässt. [20]</w:t>
      </w:r>
    </w:p>
    <w:p w:rsidR="0047791C" w:rsidRDefault="0047791C" w:rsidP="0047791C">
      <w:pPr>
        <w:pStyle w:val="berschrift1"/>
      </w:pPr>
      <w:r>
        <w:t>3.3.43.303 Gegenprüfung durch Axiomentfernung</w:t>
      </w:r>
    </w:p>
    <w:p w:rsidR="0047791C" w:rsidRDefault="0047791C" w:rsidP="0047791C">
      <w:pPr>
        <w:pStyle w:val="StandardWeb"/>
      </w:pPr>
      <w:r>
        <w:t>Für jeden Kandidaten bilde ich deshalb ein reduziertes System</w:t>
      </w:r>
    </w:p>
    <w:p w:rsidR="0047791C" w:rsidRDefault="0047791C" w:rsidP="0047791C">
      <w:pPr>
        <w:pStyle w:val="berschrift1"/>
      </w:pPr>
      <w:r>
        <w:t>[</w:t>
      </w:r>
      <w:r>
        <w:br/>
        <w:t>\mathfrak A_F^{-A}</w:t>
      </w:r>
    </w:p>
    <w:p w:rsidR="0047791C" w:rsidRDefault="0047791C" w:rsidP="0047791C">
      <w:pPr>
        <w:pStyle w:val="StandardWeb"/>
      </w:pPr>
      <w:r>
        <w:t>\mathfrak A_F</w:t>
      </w:r>
      <w:r>
        <w:br/>
        <w:t>\setminus</w:t>
      </w:r>
      <w:r>
        <w:br/>
        <w:t>{A}.</w:t>
      </w:r>
      <w:r>
        <w:br/>
        <w:t>\tag{3.8952}</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\mathfrak A_F^{-A}=\mathfrak A_F\setminus\{A\}</w:t>
      </w:r>
    </w:p>
    <w:p w:rsidR="0047791C" w:rsidRDefault="0047791C" w:rsidP="0047791C">
      <w:pPr>
        <w:pStyle w:val="StandardWeb"/>
      </w:pPr>
      <w:r>
        <w:t>Dann prüfe ich, ob die benötigte Kohärenzstruktur weiterhin konstruiert werden kann. [20]</w:t>
      </w:r>
    </w:p>
    <w:p w:rsidR="0047791C" w:rsidRDefault="0047791C" w:rsidP="0047791C">
      <w:pPr>
        <w:pStyle w:val="StandardWeb"/>
      </w:pPr>
      <w:r>
        <w:t>Falls</w:t>
      </w:r>
    </w:p>
    <w:p w:rsidR="0047791C" w:rsidRDefault="0047791C" w:rsidP="0047791C">
      <w:pPr>
        <w:pStyle w:val="StandardWeb"/>
      </w:pPr>
      <w:r>
        <w:t>[</w:t>
      </w:r>
      <w:r>
        <w:br/>
        <w:t>\mathfrak A_F^{-A}</w:t>
      </w:r>
      <w:r>
        <w:br/>
        <w:t>\vdash</w:t>
      </w:r>
      <w:r>
        <w:br/>
        <w:t>\mathfrak C_{FRZK}^{+},</w:t>
      </w:r>
      <w:r>
        <w:br/>
        <w:t>\tag{3.8953}</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\mathfrak A_F^{-A}\vdash\mathfrak C_{FRZK}^{+}</w:t>
      </w:r>
    </w:p>
    <w:p w:rsidR="0047791C" w:rsidRDefault="0047791C" w:rsidP="0047791C">
      <w:pPr>
        <w:pStyle w:val="StandardWeb"/>
      </w:pPr>
      <w:r>
        <w:t>ist (A) für diese Struktur nicht notwendig. [20]</w:t>
      </w:r>
    </w:p>
    <w:p w:rsidR="0047791C" w:rsidRDefault="0047791C" w:rsidP="0047791C">
      <w:pPr>
        <w:pStyle w:val="berschrift1"/>
      </w:pPr>
      <w:r>
        <w:t>3.3.43.304 Prüfung von Kandidat A</w:t>
      </w:r>
    </w:p>
    <w:p w:rsidR="0047791C" w:rsidRDefault="0047791C" w:rsidP="0047791C">
      <w:pPr>
        <w:pStyle w:val="StandardWeb"/>
      </w:pPr>
      <w:r>
        <w:t>Kandidat A lautet</w:t>
      </w:r>
    </w:p>
    <w:p w:rsidR="0047791C" w:rsidRDefault="0047791C" w:rsidP="0047791C">
      <w:pPr>
        <w:pStyle w:val="StandardWeb"/>
      </w:pPr>
      <w:r>
        <w:t>[</w:t>
      </w:r>
      <w:r>
        <w:br/>
        <w:t>A_C^{(A)}:</w:t>
      </w:r>
      <w:r>
        <w:br/>
        <w:t>\exists(X_i,X_j,z):</w:t>
      </w:r>
      <w:r>
        <w:br/>
      </w:r>
      <w:r>
        <w:lastRenderedPageBreak/>
        <w:t>C_F(X_i,X_j;z)&gt;0.</w:t>
      </w:r>
      <w:r>
        <w:br/>
        <w:t>\tag{3.8954}</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A_C^{(A)}:\exists(X_i,X_j,z):C_F(X_i,X_j;z)&gt;0</w:t>
      </w:r>
    </w:p>
    <w:p w:rsidR="0047791C" w:rsidRDefault="0047791C" w:rsidP="0047791C">
      <w:pPr>
        <w:pStyle w:val="StandardWeb"/>
      </w:pPr>
      <w:r>
        <w:t>Diese Aussage fordert lediglich, dass innerhalb des FRZK überhaupt mindestens eine nichttriviale Kohärenzrelation existiert. [20]</w:t>
      </w:r>
    </w:p>
    <w:p w:rsidR="0047791C" w:rsidRDefault="0047791C" w:rsidP="0047791C">
      <w:pPr>
        <w:pStyle w:val="StandardWeb"/>
      </w:pPr>
      <w:r>
        <w:t>Ohne diese Aussage könnte formal auch ein Modell zugelassen werden, in dem</w:t>
      </w:r>
    </w:p>
    <w:p w:rsidR="0047791C" w:rsidRDefault="0047791C" w:rsidP="0047791C">
      <w:pPr>
        <w:pStyle w:val="StandardWeb"/>
      </w:pPr>
      <w:r>
        <w:t>[</w:t>
      </w:r>
      <w:r>
        <w:br/>
        <w:t>C_F(X_i,X_j;z)=0</w:t>
      </w:r>
      <w:r>
        <w:br/>
        <w:t>\qquad</w:t>
      </w:r>
      <w:r>
        <w:br/>
        <w:t>\forall X_i,X_j,z.</w:t>
      </w:r>
      <w:r>
        <w:br/>
        <w:t>\tag{3.8955}</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C_F(X_i,X_j;z)=0\qquad\forall X_i,X_j,z</w:t>
      </w:r>
    </w:p>
    <w:p w:rsidR="0047791C" w:rsidRDefault="0047791C" w:rsidP="0047791C">
      <w:pPr>
        <w:pStyle w:val="StandardWeb"/>
      </w:pPr>
      <w:r>
        <w:t>Ein solches Modell wäre zwar mit der Definition des Kohärenzbegriffs vereinbar, würde aber keine tatsächlich kohärente Struktur enthalten. [20]</w:t>
      </w:r>
    </w:p>
    <w:p w:rsidR="0047791C" w:rsidRDefault="0047791C" w:rsidP="0047791C">
      <w:pPr>
        <w:pStyle w:val="berschrift1"/>
      </w:pPr>
      <w:r>
        <w:t>3.3.43.305 Kohärenzfreies Gegenmodell</w:t>
      </w:r>
    </w:p>
    <w:p w:rsidR="0047791C" w:rsidRDefault="0047791C" w:rsidP="0047791C">
      <w:pPr>
        <w:pStyle w:val="StandardWeb"/>
      </w:pPr>
      <w:r>
        <w:t>Ich bezeichne dieses Modell als</w:t>
      </w:r>
    </w:p>
    <w:p w:rsidR="0047791C" w:rsidRDefault="0047791C" w:rsidP="0047791C">
      <w:pPr>
        <w:pStyle w:val="StandardWeb"/>
      </w:pPr>
      <w:r>
        <w:t>[</w:t>
      </w:r>
      <w:r>
        <w:br/>
        <w:t>\mathcal M_0^{C}.</w:t>
      </w:r>
      <w:r>
        <w:br/>
        <w:t>\tag{3.8956}</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\mathcal M_0^{C}</w:t>
      </w:r>
    </w:p>
    <w:p w:rsidR="0047791C" w:rsidRDefault="0047791C" w:rsidP="0047791C">
      <w:pPr>
        <w:pStyle w:val="StandardWeb"/>
      </w:pPr>
      <w:r>
        <w:t>Für dieses Gegenmodell gilt</w:t>
      </w:r>
    </w:p>
    <w:p w:rsidR="0047791C" w:rsidRDefault="0047791C" w:rsidP="0047791C">
      <w:pPr>
        <w:pStyle w:val="StandardWeb"/>
      </w:pPr>
      <w:r>
        <w:t>[</w:t>
      </w:r>
      <w:r>
        <w:br/>
        <w:t>\mathcal M_0^{C}</w:t>
      </w:r>
      <w:r>
        <w:br/>
        <w:t>\models</w:t>
      </w:r>
      <w:r>
        <w:br/>
        <w:t>\neg A_C^{(A)}.</w:t>
      </w:r>
      <w:r>
        <w:br/>
        <w:t>\tag{3.8957}</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lastRenderedPageBreak/>
        <w:t>\mathcal M_0^{C}\models\neg A_C^{(A)}</w:t>
      </w:r>
    </w:p>
    <w:p w:rsidR="0047791C" w:rsidRDefault="0047791C" w:rsidP="0047791C">
      <w:pPr>
        <w:pStyle w:val="StandardWeb"/>
      </w:pPr>
      <w:r>
        <w:t>Damit zeigt das Gegenmodell, dass die bloße Definition von (C_F) die Existenz positiver Kohärenz nicht erzwingt. [20]</w:t>
      </w:r>
    </w:p>
    <w:p w:rsidR="0047791C" w:rsidRDefault="0047791C" w:rsidP="0047791C">
      <w:pPr>
        <w:pStyle w:val="berschrift1"/>
      </w:pPr>
      <w:r>
        <w:t>3.3.43.306 Nichtableitbarkeit aus Definition 3.3.53</w:t>
      </w:r>
    </w:p>
    <w:p w:rsidR="0047791C" w:rsidRDefault="0047791C" w:rsidP="0047791C">
      <w:pPr>
        <w:pStyle w:val="StandardWeb"/>
      </w:pPr>
      <w:r>
        <w:t>Definition 3.3.53 besitzt die Struktur</w:t>
      </w:r>
    </w:p>
    <w:p w:rsidR="0047791C" w:rsidRDefault="0047791C" w:rsidP="0047791C">
      <w:pPr>
        <w:pStyle w:val="StandardWeb"/>
      </w:pPr>
      <w:r>
        <w:t>[</w:t>
      </w:r>
      <w:r>
        <w:br/>
        <w:t>C_F&gt;0</w:t>
      </w:r>
      <w:r>
        <w:br/>
        <w:t>\Longleftrightarrow</w:t>
      </w:r>
      <w:r>
        <w:br/>
        <w:t>\mathcal C=1</w:t>
      </w:r>
      <w:r>
        <w:br/>
        <w:t>\land</w:t>
      </w:r>
      <w:r>
        <w:br/>
        <w:t>K_F=1</w:t>
      </w:r>
      <w:r>
        <w:br/>
        <w:t>\land</w:t>
      </w:r>
      <w:r>
        <w:br/>
        <w:t>\kappa&gt;0.</w:t>
      </w:r>
      <w:r>
        <w:br/>
        <w:t>\tag{3.8958}</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C_F&gt;0\Longleftrightarrow\mathcal C=1\land K_F=1\land\kappa&gt;0</w:t>
      </w:r>
    </w:p>
    <w:p w:rsidR="0047791C" w:rsidRDefault="0047791C" w:rsidP="0047791C">
      <w:pPr>
        <w:pStyle w:val="StandardWeb"/>
      </w:pPr>
      <w:r>
        <w:t>Aus dieser Definition folgt jedoch nicht</w:t>
      </w:r>
    </w:p>
    <w:p w:rsidR="0047791C" w:rsidRDefault="0047791C" w:rsidP="0047791C">
      <w:pPr>
        <w:pStyle w:val="StandardWeb"/>
      </w:pPr>
      <w:r>
        <w:t>[</w:t>
      </w:r>
      <w:r>
        <w:br/>
        <w:t>\exists(X_i,X_j,z):C_F&gt;0.</w:t>
      </w:r>
      <w:r>
        <w:br/>
        <w:t>\tag{3.8959}</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\exists(X_i,X_j,z):C_F&gt;0</w:t>
      </w:r>
    </w:p>
    <w:p w:rsidR="0047791C" w:rsidRDefault="0047791C" w:rsidP="0047791C">
      <w:pPr>
        <w:pStyle w:val="StandardWeb"/>
      </w:pPr>
      <w:r>
        <w:t>Eine Definition beschreibt, unter welchen Bedingungen Kohärenz vorliegt; sie garantiert nicht, dass diese Bedingungen irgendwo tatsächlich erfüllt werden. [20]</w:t>
      </w:r>
    </w:p>
    <w:p w:rsidR="0047791C" w:rsidRDefault="0047791C" w:rsidP="0047791C">
      <w:pPr>
        <w:pStyle w:val="berschrift1"/>
      </w:pPr>
      <w:r>
        <w:t>3.3.43.307 Nichtableitbarkeit aus Konsistenz</w:t>
      </w:r>
    </w:p>
    <w:p w:rsidR="0047791C" w:rsidRDefault="0047791C" w:rsidP="0047791C">
      <w:pPr>
        <w:pStyle w:val="StandardWeb"/>
      </w:pPr>
      <w:r>
        <w:t>Auch aus der Konsistenzarchitektur folgt Kandidat A nicht. [20]</w:t>
      </w:r>
    </w:p>
    <w:p w:rsidR="0047791C" w:rsidRDefault="0047791C" w:rsidP="0047791C">
      <w:pPr>
        <w:pStyle w:val="StandardWeb"/>
      </w:pPr>
      <w:r>
        <w:t>Denn es kann gelten</w:t>
      </w:r>
    </w:p>
    <w:p w:rsidR="0047791C" w:rsidRDefault="0047791C" w:rsidP="0047791C">
      <w:pPr>
        <w:pStyle w:val="StandardWeb"/>
      </w:pPr>
      <w:r>
        <w:t>[</w:t>
      </w:r>
      <w:r>
        <w:br/>
        <w:t>K_F(X_i,X_j)=1</w:t>
      </w:r>
      <w:r>
        <w:br/>
        <w:t>\qquad</w:t>
      </w:r>
      <w:r>
        <w:br/>
        <w:t>\forall i,j</w:t>
      </w:r>
      <w:r>
        <w:br/>
        <w:t>\tag{3.8960}</w:t>
      </w:r>
      <w:r>
        <w:br/>
        <w:t>]</w:t>
      </w:r>
    </w:p>
    <w:p w:rsidR="0047791C" w:rsidRDefault="0047791C" w:rsidP="0047791C">
      <w:pPr>
        <w:pStyle w:val="StandardWeb"/>
      </w:pPr>
      <w:r>
        <w:rPr>
          <w:rStyle w:val="Fett"/>
        </w:rPr>
        <w:lastRenderedPageBreak/>
        <w:t>Word-LaTeX</w:t>
      </w:r>
    </w:p>
    <w:p w:rsidR="0047791C" w:rsidRDefault="0047791C" w:rsidP="0047791C">
      <w:pPr>
        <w:pStyle w:val="HTMLVorformatiert"/>
        <w:rPr>
          <w:rStyle w:val="HTMLCode"/>
        </w:rPr>
      </w:pPr>
      <w:r>
        <w:rPr>
          <w:rStyle w:val="HTMLCode"/>
        </w:rPr>
        <w:t>K_F(X_i,X_j)=1\qquad\forall i,j</w:t>
      </w:r>
    </w:p>
    <w:p w:rsidR="0047791C" w:rsidRDefault="0047791C" w:rsidP="0047791C">
      <w:pPr>
        <w:pStyle w:val="StandardWeb"/>
      </w:pPr>
      <w:r>
        <w:t>bei gleichzeitig</w:t>
      </w:r>
    </w:p>
    <w:p w:rsidR="0047791C" w:rsidRDefault="0047791C" w:rsidP="0047791C">
      <w:pPr>
        <w:pStyle w:val="StandardWeb"/>
      </w:pPr>
      <w:r>
        <w:t>[</w:t>
      </w:r>
      <w:r>
        <w:br/>
        <w:t>\kappa_{ij}=0</w:t>
      </w:r>
      <w:r>
        <w:br/>
        <w:t>\qquad</w:t>
      </w:r>
      <w:r>
        <w:br/>
        <w:t>\forall i\neq j.</w:t>
      </w:r>
      <w:r>
        <w:br/>
        <w:t>\tag{3.8961}</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\kappa_{ij}=0\qquad\forall i\neq j</w:t>
      </w:r>
    </w:p>
    <w:p w:rsidR="0047791C" w:rsidRDefault="0047791C" w:rsidP="0047791C">
      <w:pPr>
        <w:pStyle w:val="StandardWeb"/>
      </w:pPr>
      <w:r>
        <w:t>Dann ist das System vollständig widerspruchsfrei, besitzt aber keine positive funktionale Kohärenz. [20]</w:t>
      </w:r>
    </w:p>
    <w:p w:rsidR="0047791C" w:rsidRDefault="0047791C" w:rsidP="0047791C">
      <w:pPr>
        <w:pStyle w:val="berschrift1"/>
      </w:pPr>
      <w:r>
        <w:t>3.3.43.308 Konsistentes, aber kohärenzfreies Modell</w:t>
      </w:r>
    </w:p>
    <w:p w:rsidR="0047791C" w:rsidRDefault="0047791C" w:rsidP="0047791C">
      <w:pPr>
        <w:pStyle w:val="StandardWeb"/>
      </w:pPr>
      <w:r>
        <w:t>Ich definiere daher ein zweites Gegenmodell</w:t>
      </w:r>
    </w:p>
    <w:p w:rsidR="0047791C" w:rsidRDefault="0047791C" w:rsidP="0047791C">
      <w:pPr>
        <w:pStyle w:val="StandardWeb"/>
      </w:pPr>
      <w:r>
        <w:t>[</w:t>
      </w:r>
      <w:r>
        <w:br/>
        <w:t>\mathcal M_{K}^{0}</w:t>
      </w:r>
      <w:r>
        <w:br/>
        <w:t>\tag{3.8962}</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\mathcal M_{K}^{0}</w:t>
      </w:r>
    </w:p>
    <w:p w:rsidR="0047791C" w:rsidRDefault="0047791C" w:rsidP="0047791C">
      <w:pPr>
        <w:pStyle w:val="StandardWeb"/>
      </w:pPr>
      <w:r>
        <w:t>mit</w:t>
      </w:r>
    </w:p>
    <w:p w:rsidR="0047791C" w:rsidRDefault="0047791C" w:rsidP="0047791C">
      <w:pPr>
        <w:pStyle w:val="StandardWeb"/>
      </w:pPr>
      <w:r>
        <w:t>[</w:t>
      </w:r>
      <w:r>
        <w:br/>
        <w:t>R_K=1</w:t>
      </w:r>
      <w:r>
        <w:br/>
        <w:t>\tag{3.8963}</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R_K=1</w:t>
      </w:r>
    </w:p>
    <w:p w:rsidR="0047791C" w:rsidRDefault="0047791C" w:rsidP="0047791C">
      <w:pPr>
        <w:pStyle w:val="StandardWeb"/>
      </w:pPr>
      <w:r>
        <w:t>und</w:t>
      </w:r>
    </w:p>
    <w:p w:rsidR="0047791C" w:rsidRDefault="0047791C" w:rsidP="0047791C">
      <w:pPr>
        <w:pStyle w:val="StandardWeb"/>
      </w:pPr>
      <w:r>
        <w:t>[</w:t>
      </w:r>
      <w:r>
        <w:br/>
        <w:t>C_{\mathrm{sys}}=0.</w:t>
      </w:r>
      <w:r>
        <w:br/>
        <w:t>\tag{3.8964}</w:t>
      </w:r>
      <w:r>
        <w:br/>
        <w:t>]</w:t>
      </w:r>
    </w:p>
    <w:p w:rsidR="0047791C" w:rsidRDefault="0047791C" w:rsidP="0047791C">
      <w:pPr>
        <w:pStyle w:val="StandardWeb"/>
      </w:pPr>
      <w:r>
        <w:rPr>
          <w:rStyle w:val="Fett"/>
        </w:rPr>
        <w:lastRenderedPageBreak/>
        <w:t>Word-LaTeX</w:t>
      </w:r>
    </w:p>
    <w:p w:rsidR="0047791C" w:rsidRDefault="0047791C" w:rsidP="0047791C">
      <w:pPr>
        <w:pStyle w:val="HTMLVorformatiert"/>
        <w:rPr>
          <w:rStyle w:val="HTMLCode"/>
        </w:rPr>
      </w:pPr>
      <w:r>
        <w:rPr>
          <w:rStyle w:val="HTMLCode"/>
        </w:rPr>
        <w:t>C_{\mathrm{sys}}=0</w:t>
      </w:r>
    </w:p>
    <w:p w:rsidR="0047791C" w:rsidRDefault="0047791C" w:rsidP="0047791C">
      <w:pPr>
        <w:pStyle w:val="StandardWeb"/>
      </w:pPr>
      <w:r>
        <w:t>Damit ist positive Kohärenz nicht aus vollständiger Konsistenz ableitbar. [20]</w:t>
      </w:r>
    </w:p>
    <w:p w:rsidR="0047791C" w:rsidRDefault="0047791C" w:rsidP="0047791C">
      <w:pPr>
        <w:pStyle w:val="berschrift1"/>
      </w:pPr>
      <w:r>
        <w:t>3.3.43.309 Zwischenresultat für Kandidat A</w:t>
      </w:r>
    </w:p>
    <w:p w:rsidR="0047791C" w:rsidRDefault="0047791C" w:rsidP="0047791C">
      <w:pPr>
        <w:pStyle w:val="StandardWeb"/>
      </w:pPr>
      <w:r>
        <w:t>Für Kandidat A ergibt sich somit zunächst</w:t>
      </w:r>
    </w:p>
    <w:p w:rsidR="0047791C" w:rsidRDefault="0047791C" w:rsidP="0047791C">
      <w:pPr>
        <w:pStyle w:val="StandardWeb"/>
      </w:pPr>
      <w:r>
        <w:t>[</w:t>
      </w:r>
      <w:r>
        <w:br/>
        <w:t>D_A\left(A_C^{(A)}\right)=1.</w:t>
      </w:r>
      <w:r>
        <w:br/>
        <w:t>\tag{3.8965}</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D_A\left(A_C^{(A)}\right)=1</w:t>
      </w:r>
    </w:p>
    <w:p w:rsidR="0047791C" w:rsidRDefault="0047791C" w:rsidP="0047791C">
      <w:pPr>
        <w:pStyle w:val="StandardWeb"/>
      </w:pPr>
      <w:r>
        <w:t>Er ist aus den bisher eingeführten Definitionen und der Konsistenzarchitektur nicht ableitbar. [20]</w:t>
      </w:r>
    </w:p>
    <w:p w:rsidR="0047791C" w:rsidRDefault="0047791C" w:rsidP="0047791C">
      <w:pPr>
        <w:pStyle w:val="berschrift1"/>
      </w:pPr>
      <w:r>
        <w:t>3.3.43.310 Prüfung von Kandidat B</w:t>
      </w:r>
    </w:p>
    <w:p w:rsidR="0047791C" w:rsidRDefault="0047791C" w:rsidP="0047791C">
      <w:pPr>
        <w:pStyle w:val="StandardWeb"/>
      </w:pPr>
      <w:r>
        <w:t>Kandidat B lautet</w:t>
      </w:r>
    </w:p>
    <w:p w:rsidR="0047791C" w:rsidRDefault="0047791C" w:rsidP="0047791C">
      <w:pPr>
        <w:pStyle w:val="StandardWeb"/>
      </w:pPr>
      <w:r>
        <w:t>[</w:t>
      </w:r>
      <w:r>
        <w:br/>
        <w:t>A_C^{(B)}:</w:t>
      </w:r>
      <w:r>
        <w:br/>
        <w:t>\forall z\in\Omega_F^{\mathrm{phys}}</w:t>
      </w:r>
      <w:r>
        <w:br/>
        <w:t>;</w:t>
      </w:r>
      <w:r>
        <w:br/>
        <w:t>\exists(X_i,X_j):</w:t>
      </w:r>
      <w:r>
        <w:br/>
        <w:t>C_F(X_i,X_j;z)&gt;0.</w:t>
      </w:r>
      <w:r>
        <w:br/>
        <w:t>\tag{3.8966}</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A_C^{(B)}:\forall z\in\Omega_F^{\mathrm{phys}}\;\exists(X_i,X_j):C_F(X_i,X_j;z)&gt;0</w:t>
      </w:r>
    </w:p>
    <w:p w:rsidR="0047791C" w:rsidRDefault="0047791C" w:rsidP="0047791C">
      <w:pPr>
        <w:pStyle w:val="StandardWeb"/>
      </w:pPr>
      <w:r>
        <w:t xml:space="preserve">Diese Aussage verlangt positive Kohärenz in </w:t>
      </w:r>
      <w:r>
        <w:rPr>
          <w:rStyle w:val="Fett"/>
        </w:rPr>
        <w:t>jedem</w:t>
      </w:r>
      <w:r>
        <w:t xml:space="preserve"> physikalisch zulässigen FRZK-Zustand. [20]</w:t>
      </w:r>
    </w:p>
    <w:p w:rsidR="0047791C" w:rsidRDefault="0047791C" w:rsidP="0047791C">
      <w:pPr>
        <w:pStyle w:val="berschrift1"/>
      </w:pPr>
      <w:r>
        <w:t>3.3.43.311 Gegenmodell zu Kandidat B</w:t>
      </w:r>
    </w:p>
    <w:p w:rsidR="0047791C" w:rsidRDefault="0047791C" w:rsidP="0047791C">
      <w:pPr>
        <w:pStyle w:val="StandardWeb"/>
      </w:pPr>
      <w:r>
        <w:t>Es kann jedoch ein Modell existieren, in dem mindestens ein kohärenter Zustand (z_1) und mindestens ein kohärenzfreier Zustand (z_0) zulässig sind:</w:t>
      </w:r>
    </w:p>
    <w:p w:rsidR="0047791C" w:rsidRDefault="0047791C" w:rsidP="0047791C">
      <w:pPr>
        <w:pStyle w:val="StandardWeb"/>
      </w:pPr>
      <w:r>
        <w:lastRenderedPageBreak/>
        <w:t>[</w:t>
      </w:r>
      <w:r>
        <w:br/>
        <w:t>C_{\mathrm{sys}}(z_1)&gt;0,</w:t>
      </w:r>
      <w:r>
        <w:br/>
        <w:t>\tag{3.8967}</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C_{\mathrm{sys}}(z_1)&gt;0</w:t>
      </w:r>
    </w:p>
    <w:p w:rsidR="0047791C" w:rsidRDefault="0047791C" w:rsidP="0047791C">
      <w:pPr>
        <w:pStyle w:val="StandardWeb"/>
      </w:pPr>
      <w:r>
        <w:t>aber</w:t>
      </w:r>
    </w:p>
    <w:p w:rsidR="0047791C" w:rsidRDefault="0047791C" w:rsidP="0047791C">
      <w:pPr>
        <w:pStyle w:val="StandardWeb"/>
      </w:pPr>
      <w:r>
        <w:t>[</w:t>
      </w:r>
      <w:r>
        <w:br/>
        <w:t>C_{\mathrm{sys}}(z_0)=0.</w:t>
      </w:r>
      <w:r>
        <w:br/>
        <w:t>\tag{3.8968}</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C_{\mathrm{sys}}(z_0)=0</w:t>
      </w:r>
    </w:p>
    <w:p w:rsidR="0047791C" w:rsidRDefault="0047791C" w:rsidP="0047791C">
      <w:pPr>
        <w:pStyle w:val="StandardWeb"/>
      </w:pPr>
      <w:r>
        <w:t>Ein solches Modell erfüllt Kandidat A, aber nicht Kandidat B. [20]</w:t>
      </w:r>
    </w:p>
    <w:p w:rsidR="0047791C" w:rsidRDefault="0047791C" w:rsidP="0047791C">
      <w:pPr>
        <w:pStyle w:val="berschrift1"/>
      </w:pPr>
      <w:r>
        <w:t>3.3.43.312 Logische Nichtäquivalenz von A und B</w:t>
      </w:r>
    </w:p>
    <w:p w:rsidR="0047791C" w:rsidRDefault="0047791C" w:rsidP="0047791C">
      <w:pPr>
        <w:pStyle w:val="StandardWeb"/>
      </w:pPr>
      <w:r>
        <w:t>Daher gilt</w:t>
      </w:r>
    </w:p>
    <w:p w:rsidR="0047791C" w:rsidRDefault="0047791C" w:rsidP="0047791C">
      <w:pPr>
        <w:pStyle w:val="StandardWeb"/>
      </w:pPr>
      <w:r>
        <w:t>[</w:t>
      </w:r>
      <w:r>
        <w:br/>
        <w:t>A_C^{(A)}</w:t>
      </w:r>
      <w:r>
        <w:br/>
        <w:t>\nRightarrow</w:t>
      </w:r>
      <w:r>
        <w:br/>
        <w:t>A_C^{(B)}.</w:t>
      </w:r>
      <w:r>
        <w:br/>
        <w:t>\tag{3.8969}</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A_C^{(A)}\nRightarrow A_C^{(B)}</w:t>
      </w:r>
    </w:p>
    <w:p w:rsidR="0047791C" w:rsidRDefault="0047791C" w:rsidP="0047791C">
      <w:pPr>
        <w:pStyle w:val="StandardWeb"/>
      </w:pPr>
      <w:r>
        <w:t>Umgekehrt gilt selbstverständlich</w:t>
      </w:r>
    </w:p>
    <w:p w:rsidR="0047791C" w:rsidRDefault="0047791C" w:rsidP="0047791C">
      <w:pPr>
        <w:pStyle w:val="StandardWeb"/>
      </w:pPr>
      <w:r>
        <w:t>[</w:t>
      </w:r>
      <w:r>
        <w:br/>
        <w:t>A_C^{(B)}</w:t>
      </w:r>
      <w:r>
        <w:br/>
        <w:t>\Rightarrow</w:t>
      </w:r>
      <w:r>
        <w:br/>
        <w:t>A_C^{(A)}.</w:t>
      </w:r>
      <w:r>
        <w:br/>
        <w:t>\tag{3.8970}</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A_C^{(B)}\Rightarrow A_C^{(A)}</w:t>
      </w:r>
    </w:p>
    <w:p w:rsidR="0047791C" w:rsidRDefault="0047791C" w:rsidP="0047791C">
      <w:pPr>
        <w:pStyle w:val="StandardWeb"/>
      </w:pPr>
      <w:r>
        <w:t>Kandidat B ist somit logisch stärker als Kandidat A. [20]</w:t>
      </w:r>
    </w:p>
    <w:p w:rsidR="0047791C" w:rsidRDefault="0047791C" w:rsidP="0047791C">
      <w:pPr>
        <w:pStyle w:val="berschrift1"/>
      </w:pPr>
      <w:r>
        <w:lastRenderedPageBreak/>
        <w:t>3.3.43.313 Wissenschaftliche Zusatzannahme von Kandidat B</w:t>
      </w:r>
    </w:p>
    <w:p w:rsidR="0047791C" w:rsidRDefault="0047791C" w:rsidP="0047791C">
      <w:pPr>
        <w:pStyle w:val="StandardWeb"/>
      </w:pPr>
      <w:r>
        <w:t>Der zusätzliche Inhalt von Kandidat B besteht in der Aussage</w:t>
      </w:r>
    </w:p>
    <w:p w:rsidR="0047791C" w:rsidRDefault="0047791C" w:rsidP="0047791C">
      <w:pPr>
        <w:pStyle w:val="StandardWeb"/>
      </w:pPr>
      <w:r>
        <w:t>[</w:t>
      </w:r>
      <w:r>
        <w:br/>
        <w:t>\forall z\in\Omega_F^{\mathrm{phys}}:</w:t>
      </w:r>
      <w:r>
        <w:br/>
        <w:t>C_{\mathrm{sys}}(z)&gt;0.</w:t>
      </w:r>
      <w:r>
        <w:br/>
        <w:t>\tag{3.8971}</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\forall z\in\Omega_F^{\mathrm{phys}}:C_{\mathrm{sys}}(z)&gt;0</w:t>
      </w:r>
    </w:p>
    <w:p w:rsidR="0047791C" w:rsidRDefault="0047791C" w:rsidP="0047791C">
      <w:pPr>
        <w:pStyle w:val="StandardWeb"/>
      </w:pPr>
      <w:r>
        <w:t>Diese Forderung würde kohärenzfreie physikalische Zustände prinzipiell ausschließen. [20]</w:t>
      </w:r>
    </w:p>
    <w:p w:rsidR="0047791C" w:rsidRDefault="0047791C" w:rsidP="0047791C">
      <w:pPr>
        <w:pStyle w:val="StandardWeb"/>
      </w:pPr>
      <w:r>
        <w:t>Für einen solchen Ausschluss liegt innerhalb der bisher entwickelten FRZK-Struktur noch keine unabhängige Begründung vor. [20]</w:t>
      </w:r>
    </w:p>
    <w:p w:rsidR="0047791C" w:rsidRDefault="0047791C" w:rsidP="0047791C">
      <w:pPr>
        <w:pStyle w:val="berschrift1"/>
      </w:pPr>
      <w:r>
        <w:t>3.3.43.314 Konflikt mit Kohärenzbruch</w:t>
      </w:r>
    </w:p>
    <w:p w:rsidR="0047791C" w:rsidRDefault="0047791C" w:rsidP="0047791C">
      <w:pPr>
        <w:pStyle w:val="StandardWeb"/>
      </w:pPr>
      <w:r>
        <w:t>Kandidat B steht zudem in Spannung zu der bereits eingeführten Möglichkeit eines Kohärenzbruchs. [20]</w:t>
      </w:r>
    </w:p>
    <w:p w:rsidR="0047791C" w:rsidRDefault="0047791C" w:rsidP="0047791C">
      <w:pPr>
        <w:pStyle w:val="StandardWeb"/>
      </w:pPr>
      <w:r>
        <w:t>Wenn ein Kohärenzbruch bis zu</w:t>
      </w:r>
    </w:p>
    <w:p w:rsidR="0047791C" w:rsidRDefault="0047791C" w:rsidP="0047791C">
      <w:pPr>
        <w:pStyle w:val="StandardWeb"/>
      </w:pPr>
      <w:r>
        <w:t>[</w:t>
      </w:r>
      <w:r>
        <w:br/>
        <w:t>C_{\mathrm{sys}}=0</w:t>
      </w:r>
      <w:r>
        <w:br/>
        <w:t>\tag{3.8972}</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C_{\mathrm{sys}}=0</w:t>
      </w:r>
    </w:p>
    <w:p w:rsidR="0047791C" w:rsidRDefault="0047791C" w:rsidP="0047791C">
      <w:pPr>
        <w:pStyle w:val="StandardWeb"/>
      </w:pPr>
      <w:r>
        <w:t>führen kann und dieser Zustand physikalisch zulässig bleibt, wäre Kandidat B verletzt. [20]</w:t>
      </w:r>
    </w:p>
    <w:p w:rsidR="0047791C" w:rsidRDefault="0047791C" w:rsidP="0047791C">
      <w:pPr>
        <w:pStyle w:val="berschrift1"/>
      </w:pPr>
      <w:r>
        <w:t>3.3.43.315 Zwei mögliche Konsequenzen</w:t>
      </w:r>
    </w:p>
    <w:p w:rsidR="0047791C" w:rsidRDefault="0047791C" w:rsidP="0047791C">
      <w:pPr>
        <w:pStyle w:val="StandardWeb"/>
      </w:pPr>
      <w:r>
        <w:t>Damit existieren zwei Möglichkeiten:</w:t>
      </w:r>
    </w:p>
    <w:p w:rsidR="0047791C" w:rsidRDefault="0047791C" w:rsidP="0047791C">
      <w:pPr>
        <w:pStyle w:val="StandardWeb"/>
      </w:pPr>
      <w:r>
        <w:t>[</w:t>
      </w:r>
      <w:r>
        <w:br/>
        <w:t>\text{Kohärenzbruch endet stets bei }C&gt;0</w:t>
      </w:r>
      <w:r>
        <w:br/>
        <w:t>\tag{3.8973}</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lastRenderedPageBreak/>
        <w:t>\text{Kohärenzbruch endet stets bei }C&gt;0</w:t>
      </w:r>
    </w:p>
    <w:p w:rsidR="0047791C" w:rsidRDefault="0047791C" w:rsidP="0047791C">
      <w:pPr>
        <w:pStyle w:val="StandardWeb"/>
      </w:pPr>
      <w:r>
        <w:t>oder</w:t>
      </w:r>
    </w:p>
    <w:p w:rsidR="0047791C" w:rsidRDefault="0047791C" w:rsidP="0047791C">
      <w:pPr>
        <w:pStyle w:val="StandardWeb"/>
      </w:pPr>
      <w:r>
        <w:t>[</w:t>
      </w:r>
      <w:r>
        <w:br/>
        <w:t>A_C^{(B)}</w:t>
      </w:r>
      <w:r>
        <w:br/>
        <w:t>\text{ ist zu stark}.</w:t>
      </w:r>
      <w:r>
        <w:br/>
        <w:t>\tag{3.8974}</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A_C^{(B)}\text{ ist zu stark}</w:t>
      </w:r>
    </w:p>
    <w:p w:rsidR="0047791C" w:rsidRDefault="0047791C" w:rsidP="0047791C">
      <w:pPr>
        <w:pStyle w:val="StandardWeb"/>
      </w:pPr>
      <w:r>
        <w:t>Da die erste Möglichkeit derzeit nicht begründet werden kann, darf ich sie nicht stillschweigend voraussetzen. [20]</w:t>
      </w:r>
    </w:p>
    <w:p w:rsidR="0047791C" w:rsidRDefault="0047791C" w:rsidP="0047791C">
      <w:pPr>
        <w:pStyle w:val="berschrift1"/>
      </w:pPr>
      <w:r>
        <w:t>3.3.43.316 Vorläufige Bewertung von Kandidat B</w:t>
      </w:r>
    </w:p>
    <w:p w:rsidR="0047791C" w:rsidRDefault="0047791C" w:rsidP="0047791C">
      <w:pPr>
        <w:pStyle w:val="StandardWeb"/>
      </w:pPr>
      <w:r>
        <w:t>Ich setze daher vorläufig</w:t>
      </w:r>
    </w:p>
    <w:p w:rsidR="0047791C" w:rsidRDefault="0047791C" w:rsidP="0047791C">
      <w:pPr>
        <w:pStyle w:val="StandardWeb"/>
      </w:pPr>
      <w:r>
        <w:t>[</w:t>
      </w:r>
      <w:r>
        <w:br/>
        <w:t>M_A\left(A_C^{(B)}\right)&lt;M_A\left(A_C^{(A)}\right).</w:t>
      </w:r>
      <w:r>
        <w:br/>
        <w:t>\tag{3.8975}</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M_A\left(A_C^{(B)}\right)&lt;M_A\left(A_C^{(A)}\right)</w:t>
      </w:r>
    </w:p>
    <w:p w:rsidR="0047791C" w:rsidRDefault="0047791C" w:rsidP="0047791C">
      <w:pPr>
        <w:pStyle w:val="StandardWeb"/>
      </w:pPr>
      <w:r>
        <w:t>Hier bedeutet ein höherer Minimalitätswert eine geringere unnötige axiomatische Festlegung. [20]</w:t>
      </w:r>
    </w:p>
    <w:p w:rsidR="0047791C" w:rsidRDefault="0047791C" w:rsidP="0047791C">
      <w:pPr>
        <w:pStyle w:val="berschrift1"/>
      </w:pPr>
      <w:r>
        <w:t>3.3.43.317 Prüfung von Kandidat C</w:t>
      </w:r>
    </w:p>
    <w:p w:rsidR="0047791C" w:rsidRDefault="0047791C" w:rsidP="0047791C">
      <w:pPr>
        <w:pStyle w:val="StandardWeb"/>
      </w:pPr>
      <w:r>
        <w:t>Kandidat C lautet</w:t>
      </w:r>
    </w:p>
    <w:p w:rsidR="0047791C" w:rsidRDefault="0047791C" w:rsidP="0047791C">
      <w:pPr>
        <w:pStyle w:val="StandardWeb"/>
      </w:pPr>
      <w:r>
        <w:t>[</w:t>
      </w:r>
      <w:r>
        <w:br/>
        <w:t>A_C^{(C)}:</w:t>
      </w:r>
      <w:r>
        <w:br/>
        <w:t>C_{\mathrm{sys}}(z)\geq\tau_C</w:t>
      </w:r>
      <w:r>
        <w:br/>
        <w:t>\qquad</w:t>
      </w:r>
      <w:r>
        <w:br/>
        <w:t>\forall z\in\Omega_F.</w:t>
      </w:r>
      <w:r>
        <w:br/>
        <w:t>\tag{3.8976}</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A_C^{(C)}:C_{\mathrm{sys}}(z)\geq\tau_C\qquad\forall z\in\Omega_F</w:t>
      </w:r>
    </w:p>
    <w:p w:rsidR="0047791C" w:rsidRDefault="0047791C" w:rsidP="0047791C">
      <w:pPr>
        <w:pStyle w:val="StandardWeb"/>
      </w:pPr>
      <w:r>
        <w:lastRenderedPageBreak/>
        <w:t>Diese Aussage fordert nicht nur positive Kohärenz, sondern eine globale Mindestkohärenz in jedem zulässigen Zustand. [20]</w:t>
      </w:r>
    </w:p>
    <w:p w:rsidR="0047791C" w:rsidRDefault="0047791C" w:rsidP="0047791C">
      <w:pPr>
        <w:pStyle w:val="berschrift1"/>
      </w:pPr>
      <w:r>
        <w:t>3.3.43.318 Abhängigkeit von der Operationalisierung</w:t>
      </w:r>
    </w:p>
    <w:p w:rsidR="0047791C" w:rsidRDefault="0047791C" w:rsidP="0047791C">
      <w:pPr>
        <w:pStyle w:val="StandardWeb"/>
      </w:pPr>
      <w:r>
        <w:t>Problematisch ist zunächst, dass (\tau_C) bereits zuvor als operationalisierungsabhängig eingeführt wurde. [20]</w:t>
      </w:r>
    </w:p>
    <w:p w:rsidR="0047791C" w:rsidRDefault="0047791C" w:rsidP="0047791C">
      <w:pPr>
        <w:pStyle w:val="StandardWeb"/>
      </w:pPr>
      <w:r>
        <w:t>Es gilt</w:t>
      </w:r>
    </w:p>
    <w:p w:rsidR="0047791C" w:rsidRDefault="0047791C" w:rsidP="0047791C">
      <w:pPr>
        <w:pStyle w:val="berschrift1"/>
      </w:pPr>
      <w:r>
        <w:t>[</w:t>
      </w:r>
      <w:r>
        <w:br/>
        <w:t>\tau_C</w:t>
      </w:r>
    </w:p>
    <w:p w:rsidR="0047791C" w:rsidRDefault="0047791C" w:rsidP="0047791C">
      <w:pPr>
        <w:pStyle w:val="StandardWeb"/>
      </w:pPr>
      <w:r>
        <w:t>\tau_C(\mathcal O_C,F,\Omega).</w:t>
      </w:r>
      <w:r>
        <w:br/>
        <w:t>\tag{3.8977}</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\tau_C=\tau_C(\mathcal O_C,F,\Omega)</w:t>
      </w:r>
    </w:p>
    <w:p w:rsidR="0047791C" w:rsidRDefault="0047791C" w:rsidP="0047791C">
      <w:pPr>
        <w:pStyle w:val="StandardWeb"/>
      </w:pPr>
      <w:r>
        <w:t>Ein Primäraxiom sollte jedoch möglichst nicht von einer nachgelagerten konkreten Mess- oder Bewertungsmethode abhängen. [20]</w:t>
      </w:r>
    </w:p>
    <w:p w:rsidR="0047791C" w:rsidRDefault="0047791C" w:rsidP="0047791C">
      <w:pPr>
        <w:pStyle w:val="berschrift1"/>
      </w:pPr>
      <w:r>
        <w:t>3.3.43.319 Zirkularitätsgefahr von Kandidat C</w:t>
      </w:r>
    </w:p>
    <w:p w:rsidR="0047791C" w:rsidRDefault="0047791C" w:rsidP="0047791C">
      <w:pPr>
        <w:pStyle w:val="StandardWeb"/>
      </w:pPr>
      <w:r>
        <w:t>Würde (\tau_C) erst durch eine konkrete Anwendung bestimmt, gleichzeitig aber als Bestandteil des Primäraxioms auftreten, entstünde die Gefahr</w:t>
      </w:r>
    </w:p>
    <w:p w:rsidR="0047791C" w:rsidRDefault="0047791C" w:rsidP="0047791C">
      <w:pPr>
        <w:pStyle w:val="StandardWeb"/>
      </w:pPr>
      <w:r>
        <w:t>[</w:t>
      </w:r>
      <w:r>
        <w:br/>
        <w:t>\mathfrak A_{\mathrm{prim}}</w:t>
      </w:r>
      <w:r>
        <w:br/>
        <w:t>\rightarrow</w:t>
      </w:r>
      <w:r>
        <w:br/>
        <w:t>\mathcal O_C</w:t>
      </w:r>
      <w:r>
        <w:br/>
        <w:t>\rightarrow</w:t>
      </w:r>
      <w:r>
        <w:br/>
        <w:t>\tau_C</w:t>
      </w:r>
      <w:r>
        <w:br/>
        <w:t>\rightarrow</w:t>
      </w:r>
      <w:r>
        <w:br/>
        <w:t>\mathfrak A_{\mathrm{prim}}.</w:t>
      </w:r>
      <w:r>
        <w:br/>
        <w:t>\tag{3.8978}</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\mathfrak A_{\mathrm{prim}}\rightarrow\mathcal O_C\rightarrow\tau_C\rightarrow\mathfrak A_{\mathrm{prim}}</w:t>
      </w:r>
    </w:p>
    <w:p w:rsidR="0047791C" w:rsidRDefault="0047791C" w:rsidP="0047791C">
      <w:pPr>
        <w:pStyle w:val="StandardWeb"/>
      </w:pPr>
      <w:r>
        <w:t>Eine solche Abhängigkeit wäre methodisch problematisch. [20]</w:t>
      </w:r>
    </w:p>
    <w:p w:rsidR="0047791C" w:rsidRDefault="0047791C" w:rsidP="0047791C">
      <w:pPr>
        <w:pStyle w:val="berschrift1"/>
      </w:pPr>
      <w:r>
        <w:t>3.3.43.320 Kandidat C und Kohärenzfenster</w:t>
      </w:r>
    </w:p>
    <w:p w:rsidR="0047791C" w:rsidRDefault="0047791C" w:rsidP="0047791C">
      <w:pPr>
        <w:pStyle w:val="StandardWeb"/>
      </w:pPr>
      <w:r>
        <w:lastRenderedPageBreak/>
        <w:t>Kandidat C würde außerdem voraussetzen, dass jeder zulässige Zustand innerhalb eines Kohärenzfensters liegt:</w:t>
      </w:r>
    </w:p>
    <w:p w:rsidR="0047791C" w:rsidRDefault="0047791C" w:rsidP="0047791C">
      <w:pPr>
        <w:pStyle w:val="StandardWeb"/>
      </w:pPr>
      <w:r>
        <w:t>[</w:t>
      </w:r>
      <w:r>
        <w:br/>
        <w:t>\Omega_F</w:t>
      </w:r>
      <w:r>
        <w:br/>
        <w:t>\subseteq</w:t>
      </w:r>
      <w:r>
        <w:br/>
        <w:t>\Omega_C^{F}.</w:t>
      </w:r>
      <w:r>
        <w:br/>
        <w:t>\tag{3.8979}</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\Omega_F\subseteq\Omega_C^{F}</w:t>
      </w:r>
    </w:p>
    <w:p w:rsidR="0047791C" w:rsidRDefault="0047791C" w:rsidP="0047791C">
      <w:pPr>
        <w:pStyle w:val="StandardWeb"/>
      </w:pPr>
      <w:r>
        <w:t>Damit würden Unterkohärenz, bestimmte Übergangszustände und möglicherweise funktional relevante Entkopplungszustände aus dem System ausgeschlossen. [20]</w:t>
      </w:r>
    </w:p>
    <w:p w:rsidR="0047791C" w:rsidRDefault="0047791C" w:rsidP="0047791C">
      <w:pPr>
        <w:pStyle w:val="berschrift1"/>
      </w:pPr>
      <w:r>
        <w:t>3.3.43.321 Widerspruch zur offenen Dynamik</w:t>
      </w:r>
    </w:p>
    <w:p w:rsidR="0047791C" w:rsidRDefault="0047791C" w:rsidP="0047791C">
      <w:pPr>
        <w:pStyle w:val="StandardWeb"/>
      </w:pPr>
      <w:r>
        <w:t>Da ich Kohärenzentstehung und Kohärenzzerfall ausdrücklich zugelassen habe, wäre</w:t>
      </w:r>
    </w:p>
    <w:p w:rsidR="0047791C" w:rsidRDefault="0047791C" w:rsidP="0047791C">
      <w:pPr>
        <w:pStyle w:val="StandardWeb"/>
      </w:pPr>
      <w:r>
        <w:t>[</w:t>
      </w:r>
      <w:r>
        <w:br/>
        <w:t>C_{\mathrm{sys}}(z)\geq\tau_C</w:t>
      </w:r>
      <w:r>
        <w:br/>
        <w:t>\quad\forall z</w:t>
      </w:r>
      <w:r>
        <w:br/>
        <w:t>\tag{3.8980}</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C_{\mathrm{sys}}(z)\geq\tau_C\quad\forall z</w:t>
      </w:r>
    </w:p>
    <w:p w:rsidR="0047791C" w:rsidRDefault="0047791C" w:rsidP="0047791C">
      <w:pPr>
        <w:pStyle w:val="StandardWeb"/>
      </w:pPr>
      <w:r>
        <w:t>eine zusätzliche starke Beschränkung der Dynamik. [20]</w:t>
      </w:r>
    </w:p>
    <w:p w:rsidR="0047791C" w:rsidRDefault="0047791C" w:rsidP="0047791C">
      <w:pPr>
        <w:pStyle w:val="StandardWeb"/>
      </w:pPr>
      <w:r>
        <w:t>Für eine solche Beschränkung besteht bisher keine Notwendigkeit. [20]</w:t>
      </w:r>
    </w:p>
    <w:p w:rsidR="0047791C" w:rsidRDefault="0047791C" w:rsidP="0047791C">
      <w:pPr>
        <w:pStyle w:val="berschrift1"/>
      </w:pPr>
      <w:r>
        <w:t>3.3.43.322 Vorläufige Ablehnung von Kandidat C</w:t>
      </w:r>
    </w:p>
    <w:p w:rsidR="0047791C" w:rsidRDefault="0047791C" w:rsidP="0047791C">
      <w:pPr>
        <w:pStyle w:val="StandardWeb"/>
      </w:pPr>
      <w:r>
        <w:t>Ich klassifiziere deshalb</w:t>
      </w:r>
    </w:p>
    <w:p w:rsidR="0047791C" w:rsidRDefault="0047791C" w:rsidP="0047791C">
      <w:pPr>
        <w:pStyle w:val="StandardWeb"/>
      </w:pPr>
      <w:r>
        <w:t>[</w:t>
      </w:r>
      <w:r>
        <w:br/>
        <w:t>A_C^{(C)}</w:t>
      </w:r>
      <w:r>
        <w:br/>
        <w:t>\notin</w:t>
      </w:r>
      <w:r>
        <w:br/>
        <w:t>\mathfrak A_{F,\mathrm{prim}}^{\mathrm{vorl}}.</w:t>
      </w:r>
      <w:r>
        <w:br/>
        <w:t>\tag{3.8981}</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A_C^{(C)}\notin\mathfrak A_{F,\mathrm{prim}}^{\mathrm{vorl}}</w:t>
      </w:r>
    </w:p>
    <w:p w:rsidR="0047791C" w:rsidRDefault="0047791C" w:rsidP="0047791C">
      <w:pPr>
        <w:pStyle w:val="StandardWeb"/>
      </w:pPr>
      <w:r>
        <w:lastRenderedPageBreak/>
        <w:t>Kandidat C bleibt als mögliche Modellbedingung für spezielle Systemklassen verfügbar, wird aber nicht als allgemeines Primäraxiom verwendet. [20]</w:t>
      </w:r>
    </w:p>
    <w:p w:rsidR="0047791C" w:rsidRDefault="0047791C" w:rsidP="0047791C">
      <w:pPr>
        <w:pStyle w:val="berschrift1"/>
      </w:pPr>
      <w:r>
        <w:t>3.3.43.323 Minimalitätsvergleich</w:t>
      </w:r>
    </w:p>
    <w:p w:rsidR="0047791C" w:rsidRDefault="0047791C" w:rsidP="0047791C">
      <w:pPr>
        <w:pStyle w:val="StandardWeb"/>
      </w:pPr>
      <w:r>
        <w:t>Nach der bisherigen Analyse gilt</w:t>
      </w:r>
    </w:p>
    <w:p w:rsidR="0047791C" w:rsidRDefault="0047791C" w:rsidP="0047791C">
      <w:pPr>
        <w:pStyle w:val="StandardWeb"/>
      </w:pPr>
      <w:r>
        <w:t>[</w:t>
      </w:r>
      <w:r>
        <w:br/>
        <w:t>\operatorname{Strength}</w:t>
      </w:r>
      <w:r>
        <w:br/>
        <w:t>\left(</w:t>
      </w:r>
      <w:r>
        <w:br/>
        <w:t>A_C^{(A)}</w:t>
      </w:r>
      <w:r>
        <w:br/>
        <w:t>\right)</w:t>
      </w:r>
      <w:r>
        <w:br/>
        <w:t>&lt;</w:t>
      </w:r>
      <w:r>
        <w:br/>
        <w:t>\operatorname{Strength}</w:t>
      </w:r>
      <w:r>
        <w:br/>
        <w:t>\left(</w:t>
      </w:r>
      <w:r>
        <w:br/>
        <w:t>A_C^{(B)}</w:t>
      </w:r>
      <w:r>
        <w:br/>
        <w:t>\right)</w:t>
      </w:r>
      <w:r>
        <w:br/>
        <w:t>&lt;</w:t>
      </w:r>
      <w:r>
        <w:br/>
        <w:t>\operatorname{Strength}</w:t>
      </w:r>
      <w:r>
        <w:br/>
        <w:t>\left(</w:t>
      </w:r>
      <w:r>
        <w:br/>
        <w:t>A_C^{(C)}</w:t>
      </w:r>
      <w:r>
        <w:br/>
        <w:t>\right).</w:t>
      </w:r>
      <w:r>
        <w:br/>
        <w:t>\tag{3.8982}</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\operatorname{Strength}\left(A_C^{(A)}\right)&lt;\operatorname{Strength}\left(A_C^{(B)}\right)&lt;\operatorname{Strength}\left(A_C^{(C)}\right)</w:t>
      </w:r>
    </w:p>
    <w:p w:rsidR="0047791C" w:rsidRDefault="0047791C" w:rsidP="0047791C">
      <w:pPr>
        <w:pStyle w:val="StandardWeb"/>
      </w:pPr>
      <w:r>
        <w:t>Damit besitzt Kandidat A die höchste axiomatische Sparsamkeit. [20]</w:t>
      </w:r>
    </w:p>
    <w:p w:rsidR="0047791C" w:rsidRDefault="0047791C" w:rsidP="0047791C">
      <w:pPr>
        <w:pStyle w:val="berschrift1"/>
      </w:pPr>
      <w:r>
        <w:t>3.3.43.324 Unabhängigkeitsprüfung von Kandidat A</w:t>
      </w:r>
    </w:p>
    <w:p w:rsidR="0047791C" w:rsidRDefault="0047791C" w:rsidP="0047791C">
      <w:pPr>
        <w:pStyle w:val="StandardWeb"/>
      </w:pPr>
      <w:r>
        <w:t>Für einen Primäraxiomstatus reicht Nichtableitbarkeit aus Definitionen noch nicht. Kandidat A darf auch nicht bereits aus einem anderen vorhandenen Primäraxiom folgen. [20]</w:t>
      </w:r>
    </w:p>
    <w:p w:rsidR="0047791C" w:rsidRDefault="0047791C" w:rsidP="0047791C">
      <w:pPr>
        <w:pStyle w:val="StandardWeb"/>
      </w:pPr>
      <w:r>
        <w:t>Ich prüfe daher</w:t>
      </w:r>
    </w:p>
    <w:p w:rsidR="0047791C" w:rsidRDefault="0047791C" w:rsidP="0047791C">
      <w:pPr>
        <w:pStyle w:val="StandardWeb"/>
      </w:pPr>
      <w:r>
        <w:t>[</w:t>
      </w:r>
      <w:r>
        <w:br/>
        <w:t>\mathfrak A_{F,\mathrm{prim}}^{-C}</w:t>
      </w:r>
      <w:r>
        <w:br/>
        <w:t>\vdash</w:t>
      </w:r>
      <w:r>
        <w:br/>
        <w:t>A_C^{(A)}?</w:t>
      </w:r>
      <w:r>
        <w:br/>
        <w:t>\tag{3.8983}</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\mathfrak A_{F,\mathrm{prim}}^{-C}\vdash A_C^{(A)}?</w:t>
      </w:r>
    </w:p>
    <w:p w:rsidR="0047791C" w:rsidRDefault="0047791C" w:rsidP="0047791C">
      <w:pPr>
        <w:pStyle w:val="StandardWeb"/>
      </w:pPr>
      <w:r>
        <w:lastRenderedPageBreak/>
        <w:t>Dabei bezeichnet (\mathfrak A_{F,\mathrm{prim}}^{-C}) die bereits vorhandene Primäraxiomatik ohne neues Kohärenzaxiom. [20]</w:t>
      </w:r>
    </w:p>
    <w:p w:rsidR="0047791C" w:rsidRDefault="0047791C" w:rsidP="0047791C">
      <w:pPr>
        <w:pStyle w:val="berschrift1"/>
      </w:pPr>
      <w:r>
        <w:t>3.3.43.325 Modelltheoretische Unabhängigkeitsidee</w:t>
      </w:r>
    </w:p>
    <w:p w:rsidR="0047791C" w:rsidRDefault="0047791C" w:rsidP="0047791C">
      <w:pPr>
        <w:pStyle w:val="StandardWeb"/>
      </w:pPr>
      <w:r>
        <w:t>Eine hinreichende Strategie besteht darin, zwei Modelle zu konstruieren, die alle bisherigen Primäraxiome erfüllen, sich aber hinsichtlich (A_C^{(A)}) unterscheiden. [20]</w:t>
      </w:r>
    </w:p>
    <w:p w:rsidR="0047791C" w:rsidRDefault="0047791C" w:rsidP="0047791C">
      <w:pPr>
        <w:pStyle w:val="StandardWeb"/>
      </w:pPr>
      <w:r>
        <w:t>Gesucht sind</w:t>
      </w:r>
    </w:p>
    <w:p w:rsidR="0047791C" w:rsidRDefault="0047791C" w:rsidP="0047791C">
      <w:pPr>
        <w:pStyle w:val="StandardWeb"/>
      </w:pPr>
      <w:r>
        <w:t>[</w:t>
      </w:r>
      <w:r>
        <w:br/>
        <w:t>\mathcal M_1</w:t>
      </w:r>
      <w:r>
        <w:br/>
        <w:t>\models</w:t>
      </w:r>
      <w:r>
        <w:br/>
        <w:t>\mathfrak A_{F,\mathrm{prim}}^{-C}</w:t>
      </w:r>
      <w:r>
        <w:br/>
        <w:t>\land</w:t>
      </w:r>
      <w:r>
        <w:br/>
        <w:t>A_C^{(A)}</w:t>
      </w:r>
      <w:r>
        <w:br/>
        <w:t>\tag{3.8984}</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\mathcal M_1\models\mathfrak A_{F,\mathrm{prim}}^{-C}\land A_C^{(A)}</w:t>
      </w:r>
    </w:p>
    <w:p w:rsidR="0047791C" w:rsidRDefault="0047791C" w:rsidP="0047791C">
      <w:pPr>
        <w:pStyle w:val="StandardWeb"/>
      </w:pPr>
      <w:r>
        <w:t>und</w:t>
      </w:r>
    </w:p>
    <w:p w:rsidR="0047791C" w:rsidRDefault="0047791C" w:rsidP="0047791C">
      <w:pPr>
        <w:pStyle w:val="StandardWeb"/>
      </w:pPr>
      <w:r>
        <w:t>[</w:t>
      </w:r>
      <w:r>
        <w:br/>
        <w:t>\mathcal M_0</w:t>
      </w:r>
      <w:r>
        <w:br/>
        <w:t>\models</w:t>
      </w:r>
      <w:r>
        <w:br/>
        <w:t>\mathfrak A_{F,\mathrm{prim}}^{-C}</w:t>
      </w:r>
      <w:r>
        <w:br/>
        <w:t>\land</w:t>
      </w:r>
      <w:r>
        <w:br/>
        <w:t>\neg A_C^{(A)}.</w:t>
      </w:r>
      <w:r>
        <w:br/>
        <w:t>\tag{3.8985}</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\mathcal M_0\models\mathfrak A_{F,\mathrm{prim}}^{-C}\land\neg A_C^{(A)}</w:t>
      </w:r>
    </w:p>
    <w:p w:rsidR="0047791C" w:rsidRDefault="0047791C" w:rsidP="0047791C">
      <w:pPr>
        <w:pStyle w:val="StandardWeb"/>
      </w:pPr>
      <w:r>
        <w:t>Existieren beide Modelle, folgt die Unabhängigkeit von Kandidat A gegenüber der bisherigen Axiomatik. [20]</w:t>
      </w:r>
    </w:p>
    <w:p w:rsidR="0047791C" w:rsidRDefault="0047791C" w:rsidP="0047791C">
      <w:pPr>
        <w:pStyle w:val="berschrift1"/>
      </w:pPr>
      <w:r>
        <w:t>3.3.43.326 Nullkopplungsmodell als Unabhängigkeitsmodell</w:t>
      </w:r>
    </w:p>
    <w:p w:rsidR="0047791C" w:rsidRDefault="0047791C" w:rsidP="0047791C">
      <w:pPr>
        <w:pStyle w:val="StandardWeb"/>
      </w:pPr>
      <w:r>
        <w:t>Das bereits eingeführte Nullkopplungsmodell liefert einen natürlichen Kandidaten:</w:t>
      </w:r>
    </w:p>
    <w:p w:rsidR="0047791C" w:rsidRDefault="0047791C" w:rsidP="0047791C">
      <w:pPr>
        <w:pStyle w:val="StandardWeb"/>
      </w:pPr>
      <w:r>
        <w:t>[</w:t>
      </w:r>
      <w:r>
        <w:br/>
        <w:t>\kappa_{ij}=0</w:t>
      </w:r>
      <w:r>
        <w:br/>
        <w:t>\qquad</w:t>
      </w:r>
      <w:r>
        <w:br/>
      </w:r>
      <w:r>
        <w:lastRenderedPageBreak/>
        <w:t>\forall i\neq j.</w:t>
      </w:r>
      <w:r>
        <w:br/>
        <w:t>\tag{3.8986}</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\kappa_{ij}=0\qquad\forall i\neq j</w:t>
      </w:r>
    </w:p>
    <w:p w:rsidR="0047791C" w:rsidRDefault="0047791C" w:rsidP="0047791C">
      <w:pPr>
        <w:pStyle w:val="StandardWeb"/>
      </w:pPr>
      <w:r>
        <w:t>Solange keines der bisherigen Primäraxiome eine positive Kopplung erzwingt, verletzt dieses Modell keine vorherige Grundannahme. [20]</w:t>
      </w:r>
    </w:p>
    <w:p w:rsidR="0047791C" w:rsidRDefault="0047791C" w:rsidP="0047791C">
      <w:pPr>
        <w:pStyle w:val="berschrift1"/>
      </w:pPr>
      <w:r>
        <w:t>3.3.43.327 Positiv gekoppeltes Vergleichsmodell</w:t>
      </w:r>
    </w:p>
    <w:p w:rsidR="0047791C" w:rsidRDefault="0047791C" w:rsidP="0047791C">
      <w:pPr>
        <w:pStyle w:val="StandardWeb"/>
      </w:pPr>
      <w:r>
        <w:t>Ein zweites Modell kann mindestens ein Paar mit</w:t>
      </w:r>
    </w:p>
    <w:p w:rsidR="0047791C" w:rsidRDefault="0047791C" w:rsidP="0047791C">
      <w:pPr>
        <w:pStyle w:val="StandardWeb"/>
      </w:pPr>
      <w:r>
        <w:t>[</w:t>
      </w:r>
      <w:r>
        <w:br/>
        <w:t>\kappa_{ij}&gt;0</w:t>
      </w:r>
      <w:r>
        <w:br/>
        <w:t>\tag{3.8987}</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\kappa_{ij}&gt;0</w:t>
      </w:r>
    </w:p>
    <w:p w:rsidR="0047791C" w:rsidRDefault="0047791C" w:rsidP="0047791C">
      <w:pPr>
        <w:pStyle w:val="StandardWeb"/>
      </w:pPr>
      <w:r>
        <w:t>enthalten und bei vorhandener Vergleichbarkeit sowie Konsistenz</w:t>
      </w:r>
    </w:p>
    <w:p w:rsidR="0047791C" w:rsidRDefault="0047791C" w:rsidP="0047791C">
      <w:pPr>
        <w:pStyle w:val="StandardWeb"/>
      </w:pPr>
      <w:r>
        <w:t>[</w:t>
      </w:r>
      <w:r>
        <w:br/>
        <w:t>C_F(X_i,X_j)&gt;0</w:t>
      </w:r>
      <w:r>
        <w:br/>
        <w:t>\tag{3.8988}</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C_F(X_i,X_j)&gt;0</w:t>
      </w:r>
    </w:p>
    <w:p w:rsidR="0047791C" w:rsidRDefault="0047791C" w:rsidP="0047791C">
      <w:pPr>
        <w:pStyle w:val="StandardWeb"/>
      </w:pPr>
      <w:r>
        <w:t>erfüllen. [20]</w:t>
      </w:r>
    </w:p>
    <w:p w:rsidR="0047791C" w:rsidRDefault="0047791C" w:rsidP="0047791C">
      <w:pPr>
        <w:pStyle w:val="berschrift1"/>
      </w:pPr>
      <w:r>
        <w:t>3.3.43.328 Vorläufiger Unabhängigkeitsbefund</w:t>
      </w:r>
    </w:p>
    <w:p w:rsidR="0047791C" w:rsidRDefault="0047791C" w:rsidP="0047791C">
      <w:pPr>
        <w:pStyle w:val="StandardWeb"/>
      </w:pPr>
      <w:r>
        <w:t>Damit ergibt sich unter der Voraussetzung, dass die bisherige Primäraxiomatik keine positive Kopplung bereits erzwingt,</w:t>
      </w:r>
    </w:p>
    <w:p w:rsidR="0047791C" w:rsidRDefault="0047791C" w:rsidP="0047791C">
      <w:pPr>
        <w:pStyle w:val="berschrift1"/>
      </w:pPr>
      <w:r>
        <w:t>[</w:t>
      </w:r>
      <w:r>
        <w:br/>
        <w:t>I_A</w:t>
      </w:r>
      <w:r>
        <w:br/>
        <w:t>\left(</w:t>
      </w:r>
      <w:r>
        <w:br/>
      </w:r>
      <w:r>
        <w:lastRenderedPageBreak/>
        <w:t>A_C^{(A)}</w:t>
      </w:r>
      <w:r>
        <w:br/>
        <w:t>\right)</w:t>
      </w:r>
    </w:p>
    <w:p w:rsidR="0047791C" w:rsidRDefault="0047791C" w:rsidP="008C5E65">
      <w:pPr>
        <w:numPr>
          <w:ilvl w:val="0"/>
          <w:numId w:val="416"/>
        </w:numPr>
        <w:spacing w:before="100" w:beforeAutospacing="1" w:after="100" w:afterAutospacing="1"/>
      </w:pPr>
    </w:p>
    <w:p w:rsidR="0047791C" w:rsidRDefault="0047791C" w:rsidP="0047791C">
      <w:pPr>
        <w:pStyle w:val="StandardWeb"/>
      </w:pPr>
      <w:r>
        <w:t>\tag{3.8989}</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I_A\left(A_C^{(A)}\right)=1</w:t>
      </w:r>
    </w:p>
    <w:p w:rsidR="0047791C" w:rsidRDefault="0047791C" w:rsidP="0047791C">
      <w:pPr>
        <w:pStyle w:val="StandardWeb"/>
      </w:pPr>
      <w:r>
        <w:t>Der Befund ist an die explizite Prüfung der vollständigen bisherigen Primäraxiomliste gebunden. [20]</w:t>
      </w:r>
    </w:p>
    <w:p w:rsidR="0047791C" w:rsidRDefault="0047791C" w:rsidP="0047791C">
      <w:pPr>
        <w:pStyle w:val="berschrift1"/>
      </w:pPr>
      <w:r>
        <w:t>3.3.43.329 Konsistenzprüfung des neuen Axiomkandidaten</w:t>
      </w:r>
    </w:p>
    <w:p w:rsidR="0047791C" w:rsidRDefault="0047791C" w:rsidP="0047791C">
      <w:pPr>
        <w:pStyle w:val="StandardWeb"/>
      </w:pPr>
      <w:r>
        <w:t>Ein neuer Kandidat darf die bisherige Axiomatik nicht widersprüchlich machen. [20]</w:t>
      </w:r>
    </w:p>
    <w:p w:rsidR="0047791C" w:rsidRDefault="0047791C" w:rsidP="0047791C">
      <w:pPr>
        <w:pStyle w:val="StandardWeb"/>
      </w:pPr>
      <w:r>
        <w:t>Ich fordere deshalb</w:t>
      </w:r>
    </w:p>
    <w:p w:rsidR="0047791C" w:rsidRDefault="0047791C" w:rsidP="0047791C">
      <w:pPr>
        <w:pStyle w:val="berschrift1"/>
      </w:pPr>
      <w:r>
        <w:t>[</w:t>
      </w:r>
      <w:r>
        <w:br/>
        <w:t>K_F</w:t>
      </w:r>
      <w:r>
        <w:br/>
        <w:t>\left(</w:t>
      </w:r>
      <w:r>
        <w:br/>
        <w:t>\mathfrak A_{F,\mathrm{prim}}^{-C}</w:t>
      </w:r>
      <w:r>
        <w:br/>
        <w:t>\cup</w:t>
      </w:r>
      <w:r>
        <w:br/>
        <w:t>{A_C^{(A)}}</w:t>
      </w:r>
      <w:r>
        <w:br/>
        <w:t>\right)</w:t>
      </w:r>
    </w:p>
    <w:p w:rsidR="0047791C" w:rsidRDefault="0047791C" w:rsidP="008C5E65">
      <w:pPr>
        <w:numPr>
          <w:ilvl w:val="0"/>
          <w:numId w:val="417"/>
        </w:numPr>
        <w:spacing w:before="100" w:beforeAutospacing="1" w:after="100" w:afterAutospacing="1"/>
      </w:pPr>
    </w:p>
    <w:p w:rsidR="0047791C" w:rsidRDefault="0047791C" w:rsidP="0047791C">
      <w:pPr>
        <w:pStyle w:val="StandardWeb"/>
      </w:pPr>
      <w:r>
        <w:t>\tag{3.8990}</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K_F\left(\mathfrak A_{F,\mathrm{prim}}^{-C}\cup\{A_C^{(A)}\}\right)=1</w:t>
      </w:r>
    </w:p>
    <w:p w:rsidR="0047791C" w:rsidRDefault="0047791C" w:rsidP="0047791C">
      <w:pPr>
        <w:pStyle w:val="berschrift1"/>
      </w:pPr>
      <w:r>
        <w:t>3.3.43.330 Existenz eines erfüllenden Modells</w:t>
      </w:r>
    </w:p>
    <w:p w:rsidR="0047791C" w:rsidRDefault="0047791C" w:rsidP="0047791C">
      <w:pPr>
        <w:pStyle w:val="StandardWeb"/>
      </w:pPr>
      <w:r>
        <w:t>Eine grundlegende Konsistenzbedingung ist die Existenz mindestens eines Modells</w:t>
      </w:r>
    </w:p>
    <w:p w:rsidR="0047791C" w:rsidRDefault="0047791C" w:rsidP="0047791C">
      <w:pPr>
        <w:pStyle w:val="StandardWeb"/>
      </w:pPr>
      <w:r>
        <w:lastRenderedPageBreak/>
        <w:t>[</w:t>
      </w:r>
      <w:r>
        <w:br/>
        <w:t>\exists\mathcal M:</w:t>
      </w:r>
      <w:r>
        <w:br/>
        <w:t>\mathcal M</w:t>
      </w:r>
      <w:r>
        <w:br/>
        <w:t>\models</w:t>
      </w:r>
      <w:r>
        <w:br/>
        <w:t>\mathfrak A_{F,\mathrm{prim}}^{-C}</w:t>
      </w:r>
      <w:r>
        <w:br/>
        <w:t>\cup</w:t>
      </w:r>
      <w:r>
        <w:br/>
        <w:t>{A_C^{(A)}}.</w:t>
      </w:r>
      <w:r>
        <w:br/>
        <w:t>\tag{3.8991}</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\exists\mathcal M:\mathcal M\models\mathfrak A_{F,\mathrm{prim}}^{-C}\cup\{A_C^{(A)}\}</w:t>
      </w:r>
    </w:p>
    <w:p w:rsidR="0047791C" w:rsidRDefault="0047791C" w:rsidP="0047791C">
      <w:pPr>
        <w:pStyle w:val="StandardWeb"/>
      </w:pPr>
      <w:r>
        <w:t>Ein positiv gekoppeltes, ansonsten mit der bisherigen Struktur kompatibles Modell erfüllt diese Forderung zumindest formal. [20]</w:t>
      </w:r>
    </w:p>
    <w:p w:rsidR="0047791C" w:rsidRDefault="0047791C" w:rsidP="0047791C">
      <w:pPr>
        <w:pStyle w:val="berschrift1"/>
      </w:pPr>
      <w:r>
        <w:t>3.3.43.331 Axiomatische Nichttrivialität</w:t>
      </w:r>
    </w:p>
    <w:p w:rsidR="0047791C" w:rsidRDefault="0047791C" w:rsidP="0047791C">
      <w:pPr>
        <w:pStyle w:val="StandardWeb"/>
      </w:pPr>
      <w:r>
        <w:t>Ein Primäraxiom soll nicht lediglich eine Tautologie ausdrücken. [20]</w:t>
      </w:r>
    </w:p>
    <w:p w:rsidR="0047791C" w:rsidRDefault="0047791C" w:rsidP="0047791C">
      <w:pPr>
        <w:pStyle w:val="StandardWeb"/>
      </w:pPr>
      <w:r>
        <w:t>Für Kandidat A gilt</w:t>
      </w:r>
    </w:p>
    <w:p w:rsidR="0047791C" w:rsidRDefault="0047791C" w:rsidP="0047791C">
      <w:pPr>
        <w:pStyle w:val="StandardWeb"/>
      </w:pPr>
      <w:r>
        <w:t>[</w:t>
      </w:r>
      <w:r>
        <w:br/>
        <w:t>A_C^{(A)}</w:t>
      </w:r>
      <w:r>
        <w:br/>
        <w:t>\not\equiv</w:t>
      </w:r>
      <w:r>
        <w:br/>
        <w:t>\top,</w:t>
      </w:r>
      <w:r>
        <w:br/>
        <w:t>\tag{3.8992}</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A_C^{(A)}\not\equiv\top</w:t>
      </w:r>
    </w:p>
    <w:p w:rsidR="0047791C" w:rsidRDefault="0047791C" w:rsidP="0047791C">
      <w:pPr>
        <w:pStyle w:val="StandardWeb"/>
      </w:pPr>
      <w:r>
        <w:t>weil das kohärenzfreie Gegenmodell (\mathcal M_0^C) die Aussage verletzt. [20]</w:t>
      </w:r>
    </w:p>
    <w:p w:rsidR="0047791C" w:rsidRDefault="0047791C" w:rsidP="0047791C">
      <w:pPr>
        <w:pStyle w:val="berschrift1"/>
      </w:pPr>
      <w:r>
        <w:t>3.3.43.332 Axiomatische Erfüllbarkeit</w:t>
      </w:r>
    </w:p>
    <w:p w:rsidR="0047791C" w:rsidRDefault="0047791C" w:rsidP="0047791C">
      <w:pPr>
        <w:pStyle w:val="StandardWeb"/>
      </w:pPr>
      <w:r>
        <w:t>Ebenso gilt</w:t>
      </w:r>
    </w:p>
    <w:p w:rsidR="0047791C" w:rsidRDefault="0047791C" w:rsidP="0047791C">
      <w:pPr>
        <w:pStyle w:val="StandardWeb"/>
      </w:pPr>
      <w:r>
        <w:t>[</w:t>
      </w:r>
      <w:r>
        <w:br/>
        <w:t>A_C^{(A)}</w:t>
      </w:r>
      <w:r>
        <w:br/>
        <w:t>\not\equiv</w:t>
      </w:r>
      <w:r>
        <w:br/>
        <w:t>\bot,</w:t>
      </w:r>
      <w:r>
        <w:br/>
        <w:t>\tag{3.8993}</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lastRenderedPageBreak/>
        <w:t>A_C^{(A)}\not\equiv\bot</w:t>
      </w:r>
    </w:p>
    <w:p w:rsidR="0047791C" w:rsidRDefault="0047791C" w:rsidP="0047791C">
      <w:pPr>
        <w:pStyle w:val="StandardWeb"/>
      </w:pPr>
      <w:r>
        <w:t>da Modelle mit positiver funktionaler Kopplung die Aussage erfüllen können. [20]</w:t>
      </w:r>
    </w:p>
    <w:p w:rsidR="0047791C" w:rsidRDefault="0047791C" w:rsidP="0047791C">
      <w:pPr>
        <w:pStyle w:val="berschrift1"/>
      </w:pPr>
      <w:r>
        <w:t>3.3.43.333 Nichttrivialitätsstatus</w:t>
      </w:r>
    </w:p>
    <w:p w:rsidR="0047791C" w:rsidRDefault="0047791C" w:rsidP="0047791C">
      <w:pPr>
        <w:pStyle w:val="StandardWeb"/>
      </w:pPr>
      <w:r>
        <w:t>Somit besitzt Kandidat A den Status</w:t>
      </w:r>
    </w:p>
    <w:p w:rsidR="0047791C" w:rsidRDefault="0047791C" w:rsidP="0047791C">
      <w:pPr>
        <w:pStyle w:val="StandardWeb"/>
      </w:pPr>
      <w:r>
        <w:t>[</w:t>
      </w:r>
      <w:r>
        <w:br/>
        <w:t>A_C^{(A)}</w:t>
      </w:r>
      <w:r>
        <w:br/>
        <w:t>\in</w:t>
      </w:r>
      <w:r>
        <w:br/>
        <w:t>\mathfrak A_{\mathrm{nontrivial}}.</w:t>
      </w:r>
      <w:r>
        <w:br/>
        <w:t>\tag{3.8994}</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A_C^{(A)}\in\mathfrak A_{\mathrm{nontrivial}}</w:t>
      </w:r>
    </w:p>
    <w:p w:rsidR="0047791C" w:rsidRDefault="0047791C" w:rsidP="0047791C">
      <w:pPr>
        <w:pStyle w:val="StandardWeb"/>
      </w:pPr>
      <w:r>
        <w:t>Er schränkt den zulässigen Modellraum tatsächlich ein, ohne ihn offensichtlich leer zu machen. [20]</w:t>
      </w:r>
    </w:p>
    <w:p w:rsidR="0047791C" w:rsidRDefault="0047791C" w:rsidP="0047791C">
      <w:pPr>
        <w:pStyle w:val="berschrift1"/>
      </w:pPr>
      <w:r>
        <w:t>3.3.43.334 Modellraum vor Einführung des Kohärenzaxioms</w:t>
      </w:r>
    </w:p>
    <w:p w:rsidR="0047791C" w:rsidRDefault="0047791C" w:rsidP="0047791C">
      <w:pPr>
        <w:pStyle w:val="StandardWeb"/>
      </w:pPr>
      <w:r>
        <w:t>Sei</w:t>
      </w:r>
    </w:p>
    <w:p w:rsidR="0047791C" w:rsidRDefault="0047791C" w:rsidP="0047791C">
      <w:pPr>
        <w:pStyle w:val="berschrift1"/>
      </w:pPr>
      <w:r>
        <w:t>[</w:t>
      </w:r>
      <w:r>
        <w:br/>
        <w:t>\mathfrak M^{-C}</w:t>
      </w:r>
    </w:p>
    <w:p w:rsidR="0047791C" w:rsidRDefault="0047791C" w:rsidP="0047791C">
      <w:pPr>
        <w:pStyle w:val="StandardWeb"/>
      </w:pPr>
      <w:r>
        <w:t>\operatorname{Mod}</w:t>
      </w:r>
      <w:r>
        <w:br/>
        <w:t>\left(</w:t>
      </w:r>
      <w:r>
        <w:br/>
        <w:t>\mathfrak A_{F,\mathrm{prim}}^{-C}</w:t>
      </w:r>
      <w:r>
        <w:br/>
        <w:t>\right)</w:t>
      </w:r>
      <w:r>
        <w:br/>
        <w:t>\tag{3.8995}</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\mathfrak M^{-C}=\operatorname{Mod}\left(\mathfrak A_{F,\mathrm{prim}}^{-C}\right)</w:t>
      </w:r>
    </w:p>
    <w:p w:rsidR="0047791C" w:rsidRDefault="0047791C" w:rsidP="0047791C">
      <w:pPr>
        <w:pStyle w:val="StandardWeb"/>
      </w:pPr>
      <w:r>
        <w:t>die Menge aller Modelle der bisherigen Primäraxiomatik. [20]</w:t>
      </w:r>
    </w:p>
    <w:p w:rsidR="0047791C" w:rsidRDefault="0047791C" w:rsidP="0047791C">
      <w:pPr>
        <w:pStyle w:val="berschrift1"/>
      </w:pPr>
      <w:r>
        <w:t>3.3.43.335 Modellraum nach Kandidat A</w:t>
      </w:r>
    </w:p>
    <w:p w:rsidR="0047791C" w:rsidRDefault="0047791C" w:rsidP="0047791C">
      <w:pPr>
        <w:pStyle w:val="StandardWeb"/>
      </w:pPr>
      <w:r>
        <w:t>Nach Hinzunahme von Kandidat A gilt</w:t>
      </w:r>
    </w:p>
    <w:p w:rsidR="0047791C" w:rsidRDefault="0047791C" w:rsidP="0047791C">
      <w:pPr>
        <w:pStyle w:val="berschrift1"/>
      </w:pPr>
      <w:r>
        <w:lastRenderedPageBreak/>
        <w:t>[</w:t>
      </w:r>
      <w:r>
        <w:br/>
        <w:t>\mathfrak M^{+C}</w:t>
      </w:r>
    </w:p>
    <w:p w:rsidR="0047791C" w:rsidRDefault="0047791C" w:rsidP="0047791C">
      <w:pPr>
        <w:pStyle w:val="StandardWeb"/>
      </w:pPr>
      <w:r>
        <w:t>\left{</w:t>
      </w:r>
      <w:r>
        <w:br/>
        <w:t>\mathcal M\in\mathfrak M^{-C}:</w:t>
      </w:r>
      <w:r>
        <w:br/>
        <w:t>\mathcal M\models A_C^{(A)}</w:t>
      </w:r>
      <w:r>
        <w:br/>
        <w:t>\right}.</w:t>
      </w:r>
      <w:r>
        <w:br/>
        <w:t>\tag{3.8996}</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\mathfrak M^{+C}=\left\{\mathcal M\in\mathfrak M^{-C}:\mathcal M\models A_C^{(A)}\right\}</w:t>
      </w:r>
    </w:p>
    <w:p w:rsidR="0047791C" w:rsidRDefault="0047791C" w:rsidP="0047791C">
      <w:pPr>
        <w:pStyle w:val="StandardWeb"/>
      </w:pPr>
      <w:r>
        <w:t>Damit werden ausschließlich vollständig kohärenzfreie Modelle ausgeschlossen. [20]</w:t>
      </w:r>
    </w:p>
    <w:p w:rsidR="0047791C" w:rsidRDefault="0047791C" w:rsidP="0047791C">
      <w:pPr>
        <w:pStyle w:val="berschrift1"/>
      </w:pPr>
      <w:r>
        <w:t>3.3.43.336 Minimaler Ausschluss</w:t>
      </w:r>
    </w:p>
    <w:p w:rsidR="0047791C" w:rsidRDefault="0047791C" w:rsidP="0047791C">
      <w:pPr>
        <w:pStyle w:val="StandardWeb"/>
      </w:pPr>
      <w:r>
        <w:t>Unter Kandidat A gilt</w:t>
      </w:r>
    </w:p>
    <w:p w:rsidR="0047791C" w:rsidRDefault="0047791C" w:rsidP="0047791C">
      <w:pPr>
        <w:pStyle w:val="berschrift1"/>
      </w:pPr>
      <w:r>
        <w:t>[</w:t>
      </w:r>
      <w:r>
        <w:br/>
        <w:t>\mathfrak M^{-C}</w:t>
      </w:r>
      <w:r>
        <w:br/>
        <w:t>\setminus</w:t>
      </w:r>
      <w:r>
        <w:br/>
        <w:t>\mathfrak M^{+C}</w:t>
      </w:r>
    </w:p>
    <w:p w:rsidR="0047791C" w:rsidRDefault="0047791C" w:rsidP="0047791C">
      <w:pPr>
        <w:pStyle w:val="StandardWeb"/>
      </w:pPr>
      <w:r>
        <w:t>\left{</w:t>
      </w:r>
      <w:r>
        <w:br/>
        <w:t>\mathcal M:</w:t>
      </w:r>
      <w:r>
        <w:br/>
        <w:t>C_F=0</w:t>
      </w:r>
      <w:r>
        <w:br/>
        <w:t>\text{ für alle zulässigen Relationen}</w:t>
      </w:r>
      <w:r>
        <w:br/>
        <w:t>\right}.</w:t>
      </w:r>
      <w:r>
        <w:br/>
        <w:t>\tag{3.8997}</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\mathfrak M^{-C}\setminus\mathfrak M^{+C}=\left\{\mathcal M:C_F=0\text{ für alle zulässigen Relationen}\right\}</w:t>
      </w:r>
    </w:p>
    <w:p w:rsidR="0047791C" w:rsidRDefault="0047791C" w:rsidP="0047791C">
      <w:pPr>
        <w:pStyle w:val="StandardWeb"/>
      </w:pPr>
      <w:r>
        <w:t>Damit besitzt Kandidat A tatsächlich eine sehr geringe axiomatische Eingriffstiefe. [20]</w:t>
      </w:r>
    </w:p>
    <w:p w:rsidR="0047791C" w:rsidRDefault="0047791C" w:rsidP="0047791C">
      <w:pPr>
        <w:pStyle w:val="berschrift1"/>
      </w:pPr>
      <w:r>
        <w:t>3.3.43.337 Vergleich des Modellraumausschlusses</w:t>
      </w:r>
    </w:p>
    <w:p w:rsidR="0047791C" w:rsidRDefault="0047791C" w:rsidP="0047791C">
      <w:pPr>
        <w:pStyle w:val="StandardWeb"/>
      </w:pPr>
      <w:r>
        <w:t>Für Kandidat B wäre</w:t>
      </w:r>
    </w:p>
    <w:p w:rsidR="0047791C" w:rsidRDefault="0047791C" w:rsidP="0047791C">
      <w:pPr>
        <w:pStyle w:val="StandardWeb"/>
      </w:pPr>
      <w:r>
        <w:lastRenderedPageBreak/>
        <w:t>[</w:t>
      </w:r>
      <w:r>
        <w:br/>
        <w:t>\mathfrak M^{+B}</w:t>
      </w:r>
      <w:r>
        <w:br/>
        <w:t>\subseteq</w:t>
      </w:r>
      <w:r>
        <w:br/>
        <w:t>\mathfrak M^{+A}</w:t>
      </w:r>
      <w:r>
        <w:br/>
        <w:t>\tag{3.8998}</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\mathfrak M^{+B}\subseteq\mathfrak M^{+A}</w:t>
      </w:r>
    </w:p>
    <w:p w:rsidR="0047791C" w:rsidRDefault="0047791C" w:rsidP="0047791C">
      <w:pPr>
        <w:pStyle w:val="StandardWeb"/>
      </w:pPr>
      <w:r>
        <w:t>und für Kandidat C</w:t>
      </w:r>
    </w:p>
    <w:p w:rsidR="0047791C" w:rsidRDefault="0047791C" w:rsidP="0047791C">
      <w:pPr>
        <w:pStyle w:val="StandardWeb"/>
      </w:pPr>
      <w:r>
        <w:t>[</w:t>
      </w:r>
      <w:r>
        <w:br/>
        <w:t>\mathfrak M^{+C_{\mathrm{strong}}}</w:t>
      </w:r>
      <w:r>
        <w:br/>
        <w:t>\subseteq</w:t>
      </w:r>
      <w:r>
        <w:br/>
        <w:t>\mathfrak M^{+B}.</w:t>
      </w:r>
      <w:r>
        <w:br/>
        <w:t>\tag{3.8999}</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\mathfrak M^{+C_{\mathrm{strong}}}\subseteq\mathfrak M^{+B}</w:t>
      </w:r>
    </w:p>
    <w:p w:rsidR="0047791C" w:rsidRDefault="0047791C" w:rsidP="0047791C">
      <w:pPr>
        <w:pStyle w:val="StandardWeb"/>
      </w:pPr>
      <w:r>
        <w:t>Die stärkeren Kandidaten schränken den Modellraum somit erheblich stärker ein. [20]</w:t>
      </w:r>
    </w:p>
    <w:p w:rsidR="0047791C" w:rsidRDefault="0047791C" w:rsidP="0047791C">
      <w:pPr>
        <w:pStyle w:val="berschrift1"/>
      </w:pPr>
      <w:r>
        <w:t>3.3.43.338 Empirische Offenheit</w:t>
      </w:r>
    </w:p>
    <w:p w:rsidR="0047791C" w:rsidRDefault="0047791C" w:rsidP="0047791C">
      <w:pPr>
        <w:pStyle w:val="StandardWeb"/>
      </w:pPr>
      <w:r>
        <w:t>Ein Primäraxiom sollte nach Möglichkeit keine empirisch noch offene Detailfrage ohne Not vorwegnehmen. [20]</w:t>
      </w:r>
    </w:p>
    <w:p w:rsidR="0047791C" w:rsidRDefault="0047791C" w:rsidP="0047791C">
      <w:pPr>
        <w:pStyle w:val="StandardWeb"/>
      </w:pPr>
      <w:r>
        <w:t>Ich definiere deshalb einen Offenheitsindikator</w:t>
      </w:r>
    </w:p>
    <w:p w:rsidR="0047791C" w:rsidRDefault="0047791C" w:rsidP="0047791C">
      <w:pPr>
        <w:pStyle w:val="StandardWeb"/>
      </w:pPr>
      <w:r>
        <w:t>[</w:t>
      </w:r>
      <w:r>
        <w:br/>
        <w:t>E_A(A).</w:t>
      </w:r>
      <w:r>
        <w:br/>
        <w:t>\tag{3.9000}</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E_A(A)</w:t>
      </w:r>
    </w:p>
    <w:p w:rsidR="0047791C" w:rsidRDefault="0047791C" w:rsidP="0047791C">
      <w:pPr>
        <w:pStyle w:val="StandardWeb"/>
      </w:pPr>
      <w:r>
        <w:t>Ein hoher Wert bedeutet, dass viele unterschiedliche konkrete Realisierungen mit dem Axiom vereinbar bleiben. [20]</w:t>
      </w:r>
    </w:p>
    <w:p w:rsidR="0047791C" w:rsidRDefault="0047791C" w:rsidP="0047791C">
      <w:pPr>
        <w:pStyle w:val="berschrift1"/>
      </w:pPr>
      <w:r>
        <w:t>3.3.43.339 Offenheit von Kandidat A</w:t>
      </w:r>
    </w:p>
    <w:p w:rsidR="0047791C" w:rsidRDefault="0047791C" w:rsidP="0047791C">
      <w:pPr>
        <w:pStyle w:val="StandardWeb"/>
      </w:pPr>
      <w:r>
        <w:t>Kandidat A legt weder fest,</w:t>
      </w:r>
    </w:p>
    <w:p w:rsidR="0047791C" w:rsidRDefault="0047791C" w:rsidP="0047791C">
      <w:pPr>
        <w:pStyle w:val="StandardWeb"/>
      </w:pPr>
      <w:r>
        <w:lastRenderedPageBreak/>
        <w:t>[</w:t>
      </w:r>
      <w:r>
        <w:br/>
        <w:t>C_{\mathrm{sys}}=1,</w:t>
      </w:r>
      <w:r>
        <w:br/>
        <w:t>\tag{3.9001}</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C_{\mathrm{sys}}=1</w:t>
      </w:r>
    </w:p>
    <w:p w:rsidR="0047791C" w:rsidRDefault="0047791C" w:rsidP="0047791C">
      <w:pPr>
        <w:pStyle w:val="StandardWeb"/>
      </w:pPr>
      <w:r>
        <w:t>noch</w:t>
      </w:r>
    </w:p>
    <w:p w:rsidR="0047791C" w:rsidRDefault="0047791C" w:rsidP="0047791C">
      <w:pPr>
        <w:pStyle w:val="StandardWeb"/>
      </w:pPr>
      <w:r>
        <w:t>[</w:t>
      </w:r>
      <w:r>
        <w:br/>
        <w:t>C_{\mathrm{sys}}\geq\tau_C</w:t>
      </w:r>
      <w:r>
        <w:br/>
        <w:t>\quad\forall z,</w:t>
      </w:r>
      <w:r>
        <w:br/>
        <w:t>\tag{3.9002}</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C_{\mathrm{sys}}\geq\tau_C\quad\forall z</w:t>
      </w:r>
    </w:p>
    <w:p w:rsidR="0047791C" w:rsidRDefault="0047791C" w:rsidP="0047791C">
      <w:pPr>
        <w:pStyle w:val="StandardWeb"/>
      </w:pPr>
      <w:r>
        <w:t>noch eine bestimmte Form von (\kappa_{ij}). [20]</w:t>
      </w:r>
    </w:p>
    <w:p w:rsidR="0047791C" w:rsidRDefault="0047791C" w:rsidP="0047791C">
      <w:pPr>
        <w:pStyle w:val="berschrift1"/>
      </w:pPr>
      <w:r>
        <w:t>3.3.43.340 Erhaltene Modellfreiheit</w:t>
      </w:r>
    </w:p>
    <w:p w:rsidR="0047791C" w:rsidRDefault="0047791C" w:rsidP="0047791C">
      <w:pPr>
        <w:pStyle w:val="StandardWeb"/>
      </w:pPr>
      <w:r>
        <w:t>Unter Kandidat A bleiben insbesondere zulässig:</w:t>
      </w:r>
    </w:p>
    <w:p w:rsidR="0047791C" w:rsidRDefault="0047791C" w:rsidP="0047791C">
      <w:pPr>
        <w:pStyle w:val="StandardWeb"/>
      </w:pPr>
      <w:r>
        <w:t>[</w:t>
      </w:r>
      <w:r>
        <w:br/>
        <w:t>\text{statische Kohärenz},</w:t>
      </w:r>
      <w:r>
        <w:br/>
        <w:t>\tag{3.9003}</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\text{statische Kohärenz}</w:t>
      </w:r>
    </w:p>
    <w:p w:rsidR="0047791C" w:rsidRDefault="0047791C" w:rsidP="0047791C">
      <w:pPr>
        <w:pStyle w:val="StandardWeb"/>
      </w:pPr>
      <w:r>
        <w:t>[</w:t>
      </w:r>
      <w:r>
        <w:br/>
        <w:t>\text{dynamische Kohärenz},</w:t>
      </w:r>
      <w:r>
        <w:br/>
        <w:t>\tag{3.9004}</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\text{dynamische Kohärenz}</w:t>
      </w:r>
    </w:p>
    <w:p w:rsidR="0047791C" w:rsidRDefault="0047791C" w:rsidP="0047791C">
      <w:pPr>
        <w:pStyle w:val="StandardWeb"/>
      </w:pPr>
      <w:r>
        <w:t>[</w:t>
      </w:r>
      <w:r>
        <w:br/>
        <w:t>\text{gerichtete Kohärenz},</w:t>
      </w:r>
      <w:r>
        <w:br/>
        <w:t>\tag{3.9005}</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lastRenderedPageBreak/>
        <w:t>\text{gerichtete Kohärenz}</w:t>
      </w:r>
    </w:p>
    <w:p w:rsidR="0047791C" w:rsidRDefault="0047791C" w:rsidP="0047791C">
      <w:pPr>
        <w:pStyle w:val="StandardWeb"/>
      </w:pPr>
      <w:r>
        <w:t>[</w:t>
      </w:r>
      <w:r>
        <w:br/>
        <w:t>\text{nichtgerichtete Kohärenz},</w:t>
      </w:r>
      <w:r>
        <w:br/>
        <w:t>\tag{3.9006}</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\text{nichtgerichtete Kohärenz}</w:t>
      </w:r>
    </w:p>
    <w:p w:rsidR="0047791C" w:rsidRDefault="0047791C" w:rsidP="0047791C">
      <w:pPr>
        <w:pStyle w:val="StandardWeb"/>
      </w:pPr>
      <w:r>
        <w:t>sowie zeitweise Kohärenzbrüche und unterschiedliche Kohärenzgrade. [20]</w:t>
      </w:r>
    </w:p>
    <w:p w:rsidR="0047791C" w:rsidRDefault="0047791C" w:rsidP="0047791C">
      <w:pPr>
        <w:pStyle w:val="berschrift1"/>
      </w:pPr>
      <w:r>
        <w:t>3.3.43.341 Keine Festlegung einer Kohärenzmetrik</w:t>
      </w:r>
    </w:p>
    <w:p w:rsidR="0047791C" w:rsidRDefault="0047791C" w:rsidP="0047791C">
      <w:pPr>
        <w:pStyle w:val="StandardWeb"/>
      </w:pPr>
      <w:r>
        <w:t>Kandidat A enthält insbesondere keine konkrete Funktion</w:t>
      </w:r>
    </w:p>
    <w:p w:rsidR="0047791C" w:rsidRDefault="0047791C" w:rsidP="0047791C">
      <w:pPr>
        <w:pStyle w:val="berschrift1"/>
      </w:pPr>
      <w:r>
        <w:t>[</w:t>
      </w:r>
      <w:r>
        <w:br/>
        <w:t>C_F</w:t>
      </w:r>
    </w:p>
    <w:p w:rsidR="0047791C" w:rsidRDefault="0047791C" w:rsidP="0047791C">
      <w:pPr>
        <w:pStyle w:val="StandardWeb"/>
      </w:pPr>
      <w:r>
        <w:t>f(d_{ST}),</w:t>
      </w:r>
      <w:r>
        <w:br/>
        <w:t>\tag{3.9007}</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C_F=f(d_{ST})</w:t>
      </w:r>
    </w:p>
    <w:p w:rsidR="0047791C" w:rsidRDefault="0047791C" w:rsidP="0047791C">
      <w:pPr>
        <w:pStyle w:val="StandardWeb"/>
      </w:pPr>
      <w:r>
        <w:t>keinen bestimmten Kernel und keine bestimmte Feldgleichung. [20]</w:t>
      </w:r>
    </w:p>
    <w:p w:rsidR="0047791C" w:rsidRDefault="0047791C" w:rsidP="0047791C">
      <w:pPr>
        <w:pStyle w:val="StandardWeb"/>
      </w:pPr>
      <w:r>
        <w:t>Damit bleibt die physikalische Ausgestaltung offen. [20]</w:t>
      </w:r>
    </w:p>
    <w:p w:rsidR="0047791C" w:rsidRDefault="0047791C" w:rsidP="0047791C">
      <w:pPr>
        <w:pStyle w:val="berschrift1"/>
      </w:pPr>
      <w:r>
        <w:t>3.3.43.342 Keine Festlegung einer Kausalstruktur</w:t>
      </w:r>
    </w:p>
    <w:p w:rsidR="0047791C" w:rsidRDefault="0047791C" w:rsidP="0047791C">
      <w:pPr>
        <w:pStyle w:val="StandardWeb"/>
      </w:pPr>
      <w:r>
        <w:t>Ebenso folgt aus Kandidat A nicht</w:t>
      </w:r>
    </w:p>
    <w:p w:rsidR="0047791C" w:rsidRDefault="0047791C" w:rsidP="0047791C">
      <w:pPr>
        <w:pStyle w:val="StandardWeb"/>
      </w:pPr>
      <w:r>
        <w:t>[</w:t>
      </w:r>
      <w:r>
        <w:br/>
        <w:t>C_F&gt;0</w:t>
      </w:r>
      <w:r>
        <w:br/>
        <w:t>\Rightarrow</w:t>
      </w:r>
      <w:r>
        <w:br/>
        <w:t>\text{Kausalität}.</w:t>
      </w:r>
      <w:r>
        <w:br/>
        <w:t>\tag{3.9008}</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C_F&gt;0\Rightarrow\text{Kausalität}</w:t>
      </w:r>
    </w:p>
    <w:p w:rsidR="0047791C" w:rsidRDefault="0047791C" w:rsidP="0047791C">
      <w:pPr>
        <w:pStyle w:val="StandardWeb"/>
      </w:pPr>
      <w:r>
        <w:t>Die bereits vorgenommene Trennung zwischen Kohärenz und Kausalität bleibt erhalten. [20]</w:t>
      </w:r>
    </w:p>
    <w:p w:rsidR="0047791C" w:rsidRDefault="0047791C" w:rsidP="0047791C">
      <w:pPr>
        <w:pStyle w:val="berschrift1"/>
      </w:pPr>
      <w:r>
        <w:lastRenderedPageBreak/>
        <w:t>3.3.43.343 Keine Festlegung von Lokalität</w:t>
      </w:r>
    </w:p>
    <w:p w:rsidR="0047791C" w:rsidRDefault="0047791C" w:rsidP="0047791C">
      <w:pPr>
        <w:pStyle w:val="StandardWeb"/>
      </w:pPr>
      <w:r>
        <w:t>Kandidat A impliziert auch nicht</w:t>
      </w:r>
    </w:p>
    <w:p w:rsidR="0047791C" w:rsidRDefault="0047791C" w:rsidP="0047791C">
      <w:pPr>
        <w:pStyle w:val="StandardWeb"/>
      </w:pPr>
      <w:r>
        <w:t>[</w:t>
      </w:r>
      <w:r>
        <w:br/>
        <w:t>C_F(X_i,X_j)&gt;0</w:t>
      </w:r>
      <w:r>
        <w:br/>
        <w:t>\Rightarrow</w:t>
      </w:r>
      <w:r>
        <w:br/>
        <w:t>d_{ST}(i,j)\leq d_{\max}.</w:t>
      </w:r>
      <w:r>
        <w:br/>
        <w:t>\tag{3.9009}</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C_F(X_i,X_j)&gt;0\Rightarrow d_{ST}(i,j)\leq d_{\max}</w:t>
      </w:r>
    </w:p>
    <w:p w:rsidR="0047791C" w:rsidRDefault="0047791C" w:rsidP="0047791C">
      <w:pPr>
        <w:pStyle w:val="StandardWeb"/>
      </w:pPr>
      <w:r>
        <w:t>Eine konkrete Lokalitätsbedingung muss gegebenenfalls an anderer Stelle begründet werden. [20]</w:t>
      </w:r>
    </w:p>
    <w:p w:rsidR="0047791C" w:rsidRDefault="0047791C" w:rsidP="0047791C">
      <w:pPr>
        <w:pStyle w:val="berschrift1"/>
      </w:pPr>
      <w:r>
        <w:t>3.3.43.344 Keine Festlegung von Symmetrie</w:t>
      </w:r>
    </w:p>
    <w:p w:rsidR="0047791C" w:rsidRDefault="0047791C" w:rsidP="0047791C">
      <w:pPr>
        <w:pStyle w:val="StandardWeb"/>
      </w:pPr>
      <w:r>
        <w:t>Weiterhin gilt nicht notwendig</w:t>
      </w:r>
    </w:p>
    <w:p w:rsidR="0047791C" w:rsidRDefault="0047791C" w:rsidP="0047791C">
      <w:pPr>
        <w:pStyle w:val="StandardWeb"/>
      </w:pPr>
      <w:r>
        <w:t>[</w:t>
      </w:r>
      <w:r>
        <w:br/>
        <w:t>C_{ij}=C_{ji}.</w:t>
      </w:r>
      <w:r>
        <w:br/>
        <w:t>\tag{3.9010}</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C_{ij}=C_{ji}</w:t>
      </w:r>
    </w:p>
    <w:p w:rsidR="0047791C" w:rsidRDefault="0047791C" w:rsidP="0047791C">
      <w:pPr>
        <w:pStyle w:val="StandardWeb"/>
      </w:pPr>
      <w:r>
        <w:t>Der Axiomkandidat ist daher mit gerichteten Kohärenzstrukturen vereinbar. [20]</w:t>
      </w:r>
    </w:p>
    <w:p w:rsidR="0047791C" w:rsidRDefault="0047791C" w:rsidP="0047791C">
      <w:pPr>
        <w:pStyle w:val="berschrift1"/>
      </w:pPr>
      <w:r>
        <w:t>3.3.43.345 Keine Festlegung von Erhaltung</w:t>
      </w:r>
    </w:p>
    <w:p w:rsidR="0047791C" w:rsidRDefault="0047791C" w:rsidP="0047791C">
      <w:pPr>
        <w:pStyle w:val="StandardWeb"/>
      </w:pPr>
      <w:r>
        <w:t>Ebenso folgt nicht</w:t>
      </w:r>
    </w:p>
    <w:p w:rsidR="0047791C" w:rsidRDefault="0047791C" w:rsidP="0047791C">
      <w:pPr>
        <w:pStyle w:val="StandardWeb"/>
      </w:pPr>
      <w:r>
        <w:t>[</w:t>
      </w:r>
      <w:r>
        <w:br/>
        <w:t>\frac{d}{dt}C_{\Omega}=0.</w:t>
      </w:r>
      <w:r>
        <w:br/>
        <w:t>\tag{3.9011}</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\frac{d}{dt}C_{\Omega}=0</w:t>
      </w:r>
    </w:p>
    <w:p w:rsidR="0047791C" w:rsidRDefault="0047791C" w:rsidP="0047791C">
      <w:pPr>
        <w:pStyle w:val="StandardWeb"/>
      </w:pPr>
      <w:r>
        <w:t>Kohärenz kann weiterhin entstehen und zerfallen. [20]</w:t>
      </w:r>
    </w:p>
    <w:p w:rsidR="0047791C" w:rsidRDefault="0047791C" w:rsidP="0047791C">
      <w:pPr>
        <w:pStyle w:val="berschrift1"/>
      </w:pPr>
      <w:r>
        <w:lastRenderedPageBreak/>
        <w:t>3.3.43.346 Keine Festlegung von Kontinuität</w:t>
      </w:r>
    </w:p>
    <w:p w:rsidR="0047791C" w:rsidRDefault="0047791C" w:rsidP="0047791C">
      <w:pPr>
        <w:pStyle w:val="StandardWeb"/>
      </w:pPr>
      <w:r>
        <w:t>Kandidat A verlangt auch keine stetige Kohärenzfunktion:</w:t>
      </w:r>
    </w:p>
    <w:p w:rsidR="0047791C" w:rsidRDefault="0047791C" w:rsidP="0047791C">
      <w:pPr>
        <w:pStyle w:val="StandardWeb"/>
      </w:pPr>
      <w:r>
        <w:t>[</w:t>
      </w:r>
      <w:r>
        <w:br/>
        <w:t>C_F\notin</w:t>
      </w:r>
      <w:r>
        <w:br/>
        <w:t>C^0(\Omega)</w:t>
      </w:r>
      <w:r>
        <w:br/>
        <w:t>\tag{3.9012}</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C_F\notin C^0(\Omega)</w:t>
      </w:r>
    </w:p>
    <w:p w:rsidR="0047791C" w:rsidRDefault="0047791C" w:rsidP="0047791C">
      <w:pPr>
        <w:pStyle w:val="StandardWeb"/>
      </w:pPr>
      <w:r>
        <w:t>ist prinzipiell zulässig, sofern spätere Modellannahmen nichts anderes fordern. [20]</w:t>
      </w:r>
    </w:p>
    <w:p w:rsidR="0047791C" w:rsidRDefault="0047791C" w:rsidP="0047791C">
      <w:pPr>
        <w:pStyle w:val="berschrift1"/>
      </w:pPr>
      <w:r>
        <w:t>3.3.43.347 Keine Festlegung von Differenzierbarkeit</w:t>
      </w:r>
    </w:p>
    <w:p w:rsidR="0047791C" w:rsidRDefault="0047791C" w:rsidP="0047791C">
      <w:pPr>
        <w:pStyle w:val="StandardWeb"/>
      </w:pPr>
      <w:r>
        <w:t>Insbesondere wird nicht vorausgesetzt</w:t>
      </w:r>
    </w:p>
    <w:p w:rsidR="0047791C" w:rsidRDefault="0047791C" w:rsidP="0047791C">
      <w:pPr>
        <w:pStyle w:val="StandardWeb"/>
      </w:pPr>
      <w:r>
        <w:t>[</w:t>
      </w:r>
      <w:r>
        <w:br/>
        <w:t>C_F\in C^1(\Omega)</w:t>
      </w:r>
      <w:r>
        <w:br/>
        <w:t>\tag{3.9013}</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C_F\in C^1(\Omega)</w:t>
      </w:r>
    </w:p>
    <w:p w:rsidR="0047791C" w:rsidRDefault="0047791C" w:rsidP="0047791C">
      <w:pPr>
        <w:pStyle w:val="StandardWeb"/>
      </w:pPr>
      <w:r>
        <w:t>oder</w:t>
      </w:r>
    </w:p>
    <w:p w:rsidR="0047791C" w:rsidRDefault="0047791C" w:rsidP="0047791C">
      <w:pPr>
        <w:pStyle w:val="StandardWeb"/>
      </w:pPr>
      <w:r>
        <w:t>[</w:t>
      </w:r>
      <w:r>
        <w:br/>
        <w:t>C_F\in C^2(\Omega).</w:t>
      </w:r>
      <w:r>
        <w:br/>
        <w:t>\tag{3.9014}</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C_F\in C^2(\Omega)</w:t>
      </w:r>
    </w:p>
    <w:p w:rsidR="0047791C" w:rsidRDefault="0047791C" w:rsidP="0047791C">
      <w:pPr>
        <w:pStyle w:val="StandardWeb"/>
      </w:pPr>
      <w:r>
        <w:t>Gradienten- und Hesse-Strukturen bleiben damit zusätzliche Modellwerkzeuge. [20]</w:t>
      </w:r>
    </w:p>
    <w:p w:rsidR="0047791C" w:rsidRDefault="0047791C" w:rsidP="0047791C">
      <w:pPr>
        <w:pStyle w:val="berschrift1"/>
      </w:pPr>
      <w:r>
        <w:t>3.3.43.348 Keine Festlegung der Dimensionalität</w:t>
      </w:r>
    </w:p>
    <w:p w:rsidR="0047791C" w:rsidRDefault="0047791C" w:rsidP="0047791C">
      <w:pPr>
        <w:pStyle w:val="StandardWeb"/>
      </w:pPr>
      <w:r>
        <w:t>Auch die Dimension des Kohärenzwerts wird nicht axiomatisch auf</w:t>
      </w:r>
    </w:p>
    <w:p w:rsidR="0047791C" w:rsidRDefault="0047791C" w:rsidP="0047791C">
      <w:pPr>
        <w:pStyle w:val="StandardWeb"/>
      </w:pPr>
      <w:r>
        <w:t>[</w:t>
      </w:r>
      <w:r>
        <w:br/>
        <w:t>C_F\in\mathbb R</w:t>
      </w:r>
      <w:r>
        <w:br/>
      </w:r>
      <w:r>
        <w:lastRenderedPageBreak/>
        <w:t>\tag{3.9015}</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C_F\in\mathbb R</w:t>
      </w:r>
    </w:p>
    <w:p w:rsidR="0047791C" w:rsidRDefault="0047791C" w:rsidP="0047791C">
      <w:pPr>
        <w:pStyle w:val="StandardWeb"/>
      </w:pPr>
      <w:r>
        <w:t>beschränkt. [20]</w:t>
      </w:r>
    </w:p>
    <w:p w:rsidR="0047791C" w:rsidRDefault="0047791C" w:rsidP="0047791C">
      <w:pPr>
        <w:pStyle w:val="StandardWeb"/>
      </w:pPr>
      <w:r>
        <w:t>Mehrdimensionale Kohärenzvektoren bleiben möglich. [20]</w:t>
      </w:r>
    </w:p>
    <w:p w:rsidR="0047791C" w:rsidRDefault="0047791C" w:rsidP="0047791C">
      <w:pPr>
        <w:pStyle w:val="berschrift1"/>
      </w:pPr>
      <w:r>
        <w:t>3.3.43.349 Axiomatische Abstraktionsebene</w:t>
      </w:r>
    </w:p>
    <w:p w:rsidR="0047791C" w:rsidRDefault="0047791C" w:rsidP="0047791C">
      <w:pPr>
        <w:pStyle w:val="StandardWeb"/>
      </w:pPr>
      <w:r>
        <w:t>Damit liegt Kandidat A auf einer sehr hohen Abstraktionsebene:</w:t>
      </w:r>
    </w:p>
    <w:p w:rsidR="0047791C" w:rsidRDefault="0047791C" w:rsidP="0047791C">
      <w:pPr>
        <w:pStyle w:val="StandardWeb"/>
      </w:pPr>
      <w:r>
        <w:t>[</w:t>
      </w:r>
      <w:r>
        <w:br/>
        <w:t>A_C^{(A)}</w:t>
      </w:r>
      <w:r>
        <w:br/>
        <w:t>\Rightarrow</w:t>
      </w:r>
      <w:r>
        <w:br/>
        <w:t>\text{Existenz}</w:t>
      </w:r>
      <w:r>
        <w:br/>
        <w:t>\tag{3.9016}</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A_C^{(A)}\Rightarrow\text{Existenz}</w:t>
      </w:r>
    </w:p>
    <w:p w:rsidR="0047791C" w:rsidRDefault="0047791C" w:rsidP="0047791C">
      <w:pPr>
        <w:pStyle w:val="StandardWeb"/>
      </w:pPr>
      <w:r>
        <w:t>aber nicht</w:t>
      </w:r>
    </w:p>
    <w:p w:rsidR="0047791C" w:rsidRDefault="0047791C" w:rsidP="0047791C">
      <w:pPr>
        <w:pStyle w:val="StandardWeb"/>
      </w:pPr>
      <w:r>
        <w:t>[</w:t>
      </w:r>
      <w:r>
        <w:br/>
        <w:t>A_C^{(A)}</w:t>
      </w:r>
      <w:r>
        <w:br/>
        <w:t>\Rightarrow</w:t>
      </w:r>
      <w:r>
        <w:br/>
        <w:t>\text{konkrete Dynamik}.</w:t>
      </w:r>
      <w:r>
        <w:br/>
        <w:t>\tag{3.9017}</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A_C^{(A)}\Rightarrow\text{konkrete Dynamik}</w:t>
      </w:r>
    </w:p>
    <w:p w:rsidR="0047791C" w:rsidRDefault="0047791C" w:rsidP="0047791C">
      <w:pPr>
        <w:pStyle w:val="StandardWeb"/>
      </w:pPr>
      <w:r>
        <w:t>Diese Trennung entspricht dem Prinzip axiomatischer Minimalität. [20]</w:t>
      </w:r>
    </w:p>
    <w:p w:rsidR="0047791C" w:rsidRDefault="0047791C" w:rsidP="0047791C">
      <w:pPr>
        <w:pStyle w:val="berschrift1"/>
      </w:pPr>
      <w:r>
        <w:t>3.3.43.350 Funktionsrelevanz des Kandidaten</w:t>
      </w:r>
    </w:p>
    <w:p w:rsidR="0047791C" w:rsidRDefault="0047791C" w:rsidP="0047791C">
      <w:pPr>
        <w:pStyle w:val="StandardWeb"/>
      </w:pPr>
      <w:r>
        <w:t xml:space="preserve">Es bleibt jedoch zu prüfen, ob die bloße Existenz </w:t>
      </w:r>
      <w:r>
        <w:rPr>
          <w:rStyle w:val="Fett"/>
        </w:rPr>
        <w:t>irgendeiner</w:t>
      </w:r>
      <w:r>
        <w:t xml:space="preserve"> Kohärenzrelation tatsächlich genügt, um den Begriff „Funktionales Raum-Zeit-Kohärenzsystem“ strukturell zu tragen. [20]</w:t>
      </w:r>
    </w:p>
    <w:p w:rsidR="0047791C" w:rsidRDefault="0047791C" w:rsidP="0047791C">
      <w:pPr>
        <w:pStyle w:val="StandardWeb"/>
      </w:pPr>
      <w:r>
        <w:t>Ein Axiom</w:t>
      </w:r>
    </w:p>
    <w:p w:rsidR="0047791C" w:rsidRDefault="0047791C" w:rsidP="0047791C">
      <w:pPr>
        <w:pStyle w:val="StandardWeb"/>
      </w:pPr>
      <w:r>
        <w:lastRenderedPageBreak/>
        <w:t>[</w:t>
      </w:r>
      <w:r>
        <w:br/>
        <w:t>\exists(X_i,X_j,z):C_F&gt;0</w:t>
      </w:r>
      <w:r>
        <w:br/>
        <w:t>]</w:t>
      </w:r>
    </w:p>
    <w:p w:rsidR="0047791C" w:rsidRDefault="0047791C" w:rsidP="0047791C">
      <w:pPr>
        <w:pStyle w:val="StandardWeb"/>
      </w:pPr>
      <w:r>
        <w:t>könnte theoretisch von nur einer einzigen marginalen Relation erfüllt werden, während der übrige Systemraum vollständig entkoppelt bleibt. [20]</w:t>
      </w:r>
    </w:p>
    <w:p w:rsidR="0047791C" w:rsidRDefault="0047791C" w:rsidP="0047791C">
      <w:pPr>
        <w:pStyle w:val="berschrift1"/>
      </w:pPr>
      <w:r>
        <w:t>3.3.43.351 Marginalkohärenzmodell</w:t>
      </w:r>
    </w:p>
    <w:p w:rsidR="0047791C" w:rsidRDefault="0047791C" w:rsidP="0047791C">
      <w:pPr>
        <w:pStyle w:val="StandardWeb"/>
      </w:pPr>
      <w:r>
        <w:t>Ich definiere daher ein Grenzmodell</w:t>
      </w:r>
    </w:p>
    <w:p w:rsidR="0047791C" w:rsidRDefault="0047791C" w:rsidP="0047791C">
      <w:pPr>
        <w:pStyle w:val="StandardWeb"/>
      </w:pPr>
      <w:r>
        <w:t>[</w:t>
      </w:r>
      <w:r>
        <w:br/>
        <w:t>\mathcal M_{\mathrm{marg}}^{C}</w:t>
      </w:r>
      <w:r>
        <w:br/>
        <w:t>\tag{3.9018}</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\mathcal M_{\mathrm{marg}}^{C}</w:t>
      </w:r>
    </w:p>
    <w:p w:rsidR="0047791C" w:rsidRDefault="0047791C" w:rsidP="0047791C">
      <w:pPr>
        <w:pStyle w:val="StandardWeb"/>
      </w:pPr>
      <w:r>
        <w:t>mit genau einer positiven Relation</w:t>
      </w:r>
    </w:p>
    <w:p w:rsidR="0047791C" w:rsidRDefault="0047791C" w:rsidP="0047791C">
      <w:pPr>
        <w:pStyle w:val="StandardWeb"/>
      </w:pPr>
      <w:r>
        <w:t>[</w:t>
      </w:r>
      <w:r>
        <w:br/>
        <w:t>C_F(X_1,X_2;z_1)&gt;0</w:t>
      </w:r>
      <w:r>
        <w:br/>
        <w:t>\tag{3.9019}</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C_F(X_1,X_2;z_1)&gt;0</w:t>
      </w:r>
    </w:p>
    <w:p w:rsidR="0047791C" w:rsidRDefault="0047791C" w:rsidP="0047791C">
      <w:pPr>
        <w:pStyle w:val="StandardWeb"/>
      </w:pPr>
      <w:r>
        <w:t>und</w:t>
      </w:r>
    </w:p>
    <w:p w:rsidR="0047791C" w:rsidRDefault="0047791C" w:rsidP="0047791C">
      <w:pPr>
        <w:pStyle w:val="StandardWeb"/>
      </w:pPr>
      <w:r>
        <w:t>[</w:t>
      </w:r>
      <w:r>
        <w:br/>
        <w:t>C_F=0</w:t>
      </w:r>
      <w:r>
        <w:br/>
        <w:t>]</w:t>
      </w:r>
    </w:p>
    <w:p w:rsidR="0047791C" w:rsidRDefault="0047791C" w:rsidP="0047791C">
      <w:pPr>
        <w:pStyle w:val="StandardWeb"/>
      </w:pPr>
      <w:r>
        <w:t>für sämtliche übrigen relevanten Beziehungen. [20]</w:t>
      </w:r>
    </w:p>
    <w:p w:rsidR="0047791C" w:rsidRDefault="0047791C" w:rsidP="0047791C">
      <w:pPr>
        <w:pStyle w:val="berschrift1"/>
      </w:pPr>
      <w:r>
        <w:t>3.3.43.352 Kandidat A akzeptiert Marginalkohärenz</w:t>
      </w:r>
    </w:p>
    <w:p w:rsidR="0047791C" w:rsidRDefault="0047791C" w:rsidP="0047791C">
      <w:pPr>
        <w:pStyle w:val="StandardWeb"/>
      </w:pPr>
      <w:r>
        <w:t>Dieses Modell erfüllt</w:t>
      </w:r>
    </w:p>
    <w:p w:rsidR="0047791C" w:rsidRDefault="0047791C" w:rsidP="0047791C">
      <w:pPr>
        <w:pStyle w:val="StandardWeb"/>
      </w:pPr>
      <w:r>
        <w:t>[</w:t>
      </w:r>
      <w:r>
        <w:br/>
        <w:t>\mathcal M_{\mathrm{marg}}^{C}</w:t>
      </w:r>
      <w:r>
        <w:br/>
        <w:t>\models</w:t>
      </w:r>
      <w:r>
        <w:br/>
        <w:t>A_C^{(A)}.</w:t>
      </w:r>
      <w:r>
        <w:br/>
        <w:t>\tag{3.9020}</w:t>
      </w:r>
      <w:r>
        <w:br/>
        <w:t>]</w:t>
      </w:r>
    </w:p>
    <w:p w:rsidR="0047791C" w:rsidRDefault="0047791C" w:rsidP="0047791C">
      <w:pPr>
        <w:pStyle w:val="StandardWeb"/>
      </w:pPr>
      <w:r>
        <w:rPr>
          <w:rStyle w:val="Fett"/>
        </w:rPr>
        <w:lastRenderedPageBreak/>
        <w:t>Word-LaTeX</w:t>
      </w:r>
    </w:p>
    <w:p w:rsidR="0047791C" w:rsidRDefault="0047791C" w:rsidP="0047791C">
      <w:pPr>
        <w:pStyle w:val="HTMLVorformatiert"/>
        <w:rPr>
          <w:rStyle w:val="HTMLCode"/>
        </w:rPr>
      </w:pPr>
      <w:r>
        <w:rPr>
          <w:rStyle w:val="HTMLCode"/>
        </w:rPr>
        <w:t>\mathcal M_{\mathrm{marg}}^{C}\models A_C^{(A)}</w:t>
      </w:r>
    </w:p>
    <w:p w:rsidR="0047791C" w:rsidRDefault="0047791C" w:rsidP="0047791C">
      <w:pPr>
        <w:pStyle w:val="StandardWeb"/>
      </w:pPr>
      <w:r>
        <w:t xml:space="preserve">Damit stellt sich die Frage, ob Kandidat A möglicherweise </w:t>
      </w:r>
      <w:r>
        <w:rPr>
          <w:rStyle w:val="Fett"/>
        </w:rPr>
        <w:t>zu schwach</w:t>
      </w:r>
      <w:r>
        <w:t xml:space="preserve"> ist. [20]</w:t>
      </w:r>
    </w:p>
    <w:p w:rsidR="0047791C" w:rsidRDefault="0047791C" w:rsidP="0047791C">
      <w:pPr>
        <w:pStyle w:val="berschrift1"/>
      </w:pPr>
      <w:r>
        <w:t>3.3.43.353 Suche nach minimal stärkerer Form</w:t>
      </w:r>
    </w:p>
    <w:p w:rsidR="0047791C" w:rsidRDefault="0047791C" w:rsidP="0047791C">
      <w:pPr>
        <w:pStyle w:val="StandardWeb"/>
      </w:pPr>
      <w:r>
        <w:t>Ich benötige daher gegebenenfalls eine Aussage zwischen A und B:</w:t>
      </w:r>
    </w:p>
    <w:p w:rsidR="0047791C" w:rsidRDefault="0047791C" w:rsidP="0047791C">
      <w:pPr>
        <w:pStyle w:val="StandardWeb"/>
      </w:pPr>
      <w:r>
        <w:t>[</w:t>
      </w:r>
      <w:r>
        <w:br/>
        <w:t>A_C^{(A)}</w:t>
      </w:r>
      <w:r>
        <w:br/>
        <w:t>&lt;</w:t>
      </w:r>
      <w:r>
        <w:br/>
        <w:t>A_C^{(A+)}</w:t>
      </w:r>
      <w:r>
        <w:br/>
        <w:t>&lt;</w:t>
      </w:r>
      <w:r>
        <w:br/>
        <w:t>A_C^{(B)}.</w:t>
      </w:r>
      <w:r>
        <w:br/>
        <w:t>\tag{3.9021}</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A_C^{(A)}&lt;A_C^{(A+)}&lt;A_C^{(B)}</w:t>
      </w:r>
    </w:p>
    <w:p w:rsidR="0047791C" w:rsidRDefault="0047791C" w:rsidP="0047791C">
      <w:pPr>
        <w:pStyle w:val="StandardWeb"/>
      </w:pPr>
      <w:r>
        <w:t>Der neue Kandidat soll mehr als bloße Marginalkohärenz fordern, aber kohärenzfreie Einzelzustände weiterhin zulassen. [20]</w:t>
      </w:r>
    </w:p>
    <w:p w:rsidR="0047791C" w:rsidRDefault="0047791C" w:rsidP="0047791C">
      <w:pPr>
        <w:pStyle w:val="berschrift1"/>
      </w:pPr>
      <w:r>
        <w:t>3.3.43.354 Kandidat A+ – strukturell relevante Kohärenz</w:t>
      </w:r>
    </w:p>
    <w:p w:rsidR="0047791C" w:rsidRDefault="0047791C" w:rsidP="0047791C">
      <w:pPr>
        <w:pStyle w:val="StandardWeb"/>
      </w:pPr>
      <w:r>
        <w:t>Ich formuliere</w:t>
      </w:r>
    </w:p>
    <w:p w:rsidR="0047791C" w:rsidRDefault="0047791C" w:rsidP="0047791C">
      <w:pPr>
        <w:pStyle w:val="StandardWeb"/>
      </w:pPr>
      <w:r>
        <w:t>[</w:t>
      </w:r>
      <w:r>
        <w:br/>
        <w:t>A_C^{(A+)}:</w:t>
      </w:r>
      <w:r>
        <w:br/>
        <w:t>\exists</w:t>
      </w:r>
      <w:r>
        <w:br/>
        <w:t>\mathcal S_C</w:t>
      </w:r>
      <w:r>
        <w:br/>
        <w:t>\subseteq</w:t>
      </w:r>
      <w:r>
        <w:br/>
        <w:t>\mathcal S_F</w:t>
      </w:r>
      <w:r>
        <w:br/>
        <w:t>:</w:t>
      </w:r>
      <w:r>
        <w:br/>
        <w:t>C_F(\mathcal S_C)&gt;0</w:t>
      </w:r>
      <w:r>
        <w:br/>
        <w:t>\land</w:t>
      </w:r>
      <w:r>
        <w:br/>
        <w:t>\mathcal S_C</w:t>
      </w:r>
      <w:r>
        <w:br/>
        <w:t>\text{ funktional relevant}.</w:t>
      </w:r>
      <w:r>
        <w:br/>
        <w:t>\tag{3.9022}</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A_C^{(A+)}:\exists\mathcal S_C\subseteq\mathcal S_F:C_F(\mathcal S_C)&gt;0\land\mathcal S_C\text{ funktional relevant}</w:t>
      </w:r>
    </w:p>
    <w:p w:rsidR="0047791C" w:rsidRDefault="0047791C" w:rsidP="0047791C">
      <w:pPr>
        <w:pStyle w:val="StandardWeb"/>
      </w:pPr>
      <w:r>
        <w:lastRenderedPageBreak/>
        <w:t>Damit muss die kohärente Teilstruktur zur Funktion des Systems beitragen. [20]</w:t>
      </w:r>
    </w:p>
    <w:p w:rsidR="0047791C" w:rsidRDefault="0047791C" w:rsidP="0047791C">
      <w:pPr>
        <w:pStyle w:val="berschrift1"/>
      </w:pPr>
      <w:r>
        <w:t>3.3.43.355 Problem des Begriffs „funktional relevant“</w:t>
      </w:r>
    </w:p>
    <w:p w:rsidR="0047791C" w:rsidRDefault="0047791C" w:rsidP="0047791C">
      <w:pPr>
        <w:pStyle w:val="StandardWeb"/>
      </w:pPr>
      <w:r>
        <w:t>Der Ausdruck „funktional relevant“ benötigt selbst eine Definition und darf nicht unbestimmt im Primäraxiom stehen. [20]</w:t>
      </w:r>
    </w:p>
    <w:p w:rsidR="0047791C" w:rsidRDefault="0047791C" w:rsidP="0047791C">
      <w:pPr>
        <w:pStyle w:val="StandardWeb"/>
      </w:pPr>
      <w:r>
        <w:t>Ich definiere zunächst einen Relevanzindikator</w:t>
      </w:r>
    </w:p>
    <w:p w:rsidR="0047791C" w:rsidRDefault="0047791C" w:rsidP="0047791C">
      <w:pPr>
        <w:pStyle w:val="StandardWeb"/>
      </w:pPr>
      <w:r>
        <w:t>[</w:t>
      </w:r>
      <w:r>
        <w:br/>
        <w:t>R_F(\mathcal S_C)</w:t>
      </w:r>
      <w:r>
        <w:br/>
        <w:t>\in</w:t>
      </w:r>
      <w:r>
        <w:br/>
        <w:t>{0,1}.</w:t>
      </w:r>
      <w:r>
        <w:br/>
        <w:t>\tag{3.9023}</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R_F(\mathcal S_C)\in\{0,1\}</w:t>
      </w:r>
    </w:p>
    <w:p w:rsidR="0047791C" w:rsidRDefault="0047791C" w:rsidP="0047791C">
      <w:pPr>
        <w:pStyle w:val="berschrift1"/>
      </w:pPr>
      <w:r>
        <w:t>3.3.43.356 Definition 3.3.65 – Funktional relevante Teilstruktur</w:t>
      </w:r>
    </w:p>
    <w:p w:rsidR="0047791C" w:rsidRDefault="0047791C" w:rsidP="0047791C">
      <w:pPr>
        <w:pStyle w:val="berschrift3"/>
      </w:pPr>
      <w:r>
        <w:t>Definition 3.3.65</w:t>
      </w:r>
    </w:p>
    <w:p w:rsidR="0047791C" w:rsidRDefault="0047791C" w:rsidP="0047791C">
      <w:pPr>
        <w:pStyle w:val="StandardWeb"/>
      </w:pPr>
      <w:r>
        <w:t xml:space="preserve">Eine Teilstruktur (\mathcal S'\subseteq\mathcal S_F) heißt </w:t>
      </w:r>
      <w:r>
        <w:rPr>
          <w:rStyle w:val="Fett"/>
        </w:rPr>
        <w:t>funktional relevant</w:t>
      </w:r>
      <w:r>
        <w:t xml:space="preserve"> bezüglich einer Systemfunktion (F), wenn ihre Entfernung, Ersetzung oder Entkopplung mindestens eine für (F) relevante Systemeigenschaft verändert. [20]</w:t>
      </w:r>
    </w:p>
    <w:p w:rsidR="0047791C" w:rsidRDefault="0047791C" w:rsidP="0047791C">
      <w:pPr>
        <w:pStyle w:val="StandardWeb"/>
      </w:pPr>
      <w:r>
        <w:t>Formal:</w:t>
      </w:r>
    </w:p>
    <w:p w:rsidR="0047791C" w:rsidRDefault="0047791C" w:rsidP="0047791C">
      <w:pPr>
        <w:pStyle w:val="StandardWeb"/>
      </w:pPr>
      <w:r>
        <w:t>[</w:t>
      </w:r>
      <w:r>
        <w:br/>
        <w:t>R_F(\mathcal S')=1</w:t>
      </w:r>
      <w:r>
        <w:br/>
        <w:t>\Longleftrightarrow</w:t>
      </w:r>
      <w:r>
        <w:br/>
        <w:t>F(\mathcal S_F)</w:t>
      </w:r>
      <w:r>
        <w:br/>
        <w:t>\neq</w:t>
      </w:r>
      <w:r>
        <w:br/>
        <w:t>F(\mathcal S_F\setminus\mathcal S').</w:t>
      </w:r>
      <w:r>
        <w:br/>
        <w:t>\tag{3.9024}</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R_F(\mathcal S')=1\Longleftrightarrow F(\mathcal S_F)\neq F(\mathcal S_F\setminus\mathcal S')</w:t>
      </w:r>
    </w:p>
    <w:p w:rsidR="0047791C" w:rsidRDefault="0047791C" w:rsidP="0047791C">
      <w:pPr>
        <w:pStyle w:val="berschrift1"/>
      </w:pPr>
      <w:r>
        <w:t>3.3.43.357 Operationalisierte Form von A+</w:t>
      </w:r>
    </w:p>
    <w:p w:rsidR="0047791C" w:rsidRDefault="0047791C" w:rsidP="0047791C">
      <w:pPr>
        <w:pStyle w:val="StandardWeb"/>
      </w:pPr>
      <w:r>
        <w:t>Damit kann Kandidat A+ präziser geschrieben werden als</w:t>
      </w:r>
    </w:p>
    <w:p w:rsidR="0047791C" w:rsidRDefault="0047791C" w:rsidP="0047791C">
      <w:pPr>
        <w:pStyle w:val="StandardWeb"/>
      </w:pPr>
      <w:r>
        <w:lastRenderedPageBreak/>
        <w:t>[</w:t>
      </w:r>
      <w:r>
        <w:br/>
        <w:t>A_C^{(A+)}:</w:t>
      </w:r>
      <w:r>
        <w:br/>
        <w:t>\exists\mathcal S_C</w:t>
      </w:r>
      <w:r>
        <w:br/>
        <w:t>:</w:t>
      </w:r>
      <w:r>
        <w:br/>
        <w:t>C_F(\mathcal S_C)&gt;0</w:t>
      </w:r>
      <w:r>
        <w:br/>
        <w:t>\land</w:t>
      </w:r>
      <w:r>
        <w:br/>
        <w:t>R_F(\mathcal S_C)=1.</w:t>
      </w:r>
      <w:r>
        <w:br/>
        <w:t>\tag{3.9025}</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A_C^{(A+)}:\exists\mathcal S_C:C_F(\mathcal S_C)&gt;0\land R_F(\mathcal S_C)=1</w:t>
      </w:r>
    </w:p>
    <w:p w:rsidR="0047791C" w:rsidRDefault="0047791C" w:rsidP="0047791C">
      <w:pPr>
        <w:pStyle w:val="berschrift1"/>
      </w:pPr>
      <w:r>
        <w:t>3.3.43.358 Vergleich A mit A+</w:t>
      </w:r>
    </w:p>
    <w:p w:rsidR="0047791C" w:rsidRDefault="0047791C" w:rsidP="0047791C">
      <w:pPr>
        <w:pStyle w:val="StandardWeb"/>
      </w:pPr>
      <w:r>
        <w:t>Es gilt</w:t>
      </w:r>
    </w:p>
    <w:p w:rsidR="0047791C" w:rsidRDefault="0047791C" w:rsidP="0047791C">
      <w:pPr>
        <w:pStyle w:val="StandardWeb"/>
      </w:pPr>
      <w:r>
        <w:t>[</w:t>
      </w:r>
      <w:r>
        <w:br/>
        <w:t>A_C^{(A+)}</w:t>
      </w:r>
      <w:r>
        <w:br/>
        <w:t>\Rightarrow</w:t>
      </w:r>
      <w:r>
        <w:br/>
        <w:t>A_C^{(A)}.</w:t>
      </w:r>
      <w:r>
        <w:br/>
        <w:t>\tag{3.9026}</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A_C^{(A+)}\Rightarrow A_C^{(A)}</w:t>
      </w:r>
    </w:p>
    <w:p w:rsidR="0047791C" w:rsidRDefault="0047791C" w:rsidP="0047791C">
      <w:pPr>
        <w:pStyle w:val="StandardWeb"/>
      </w:pPr>
      <w:r>
        <w:t>Die Umkehrung gilt nicht allgemein:</w:t>
      </w:r>
    </w:p>
    <w:p w:rsidR="0047791C" w:rsidRDefault="0047791C" w:rsidP="0047791C">
      <w:pPr>
        <w:pStyle w:val="StandardWeb"/>
      </w:pPr>
      <w:r>
        <w:t>[</w:t>
      </w:r>
      <w:r>
        <w:br/>
        <w:t>A_C^{(A)}</w:t>
      </w:r>
      <w:r>
        <w:br/>
        <w:t>\nRightarrow</w:t>
      </w:r>
      <w:r>
        <w:br/>
        <w:t>A_C^{(A+)}.</w:t>
      </w:r>
      <w:r>
        <w:br/>
        <w:t>\tag{3.9027}</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A_C^{(A)}\nRightarrow A_C^{(A+)}</w:t>
      </w:r>
    </w:p>
    <w:p w:rsidR="0047791C" w:rsidRDefault="0047791C" w:rsidP="0047791C">
      <w:pPr>
        <w:pStyle w:val="StandardWeb"/>
      </w:pPr>
      <w:r>
        <w:t>Ein marginal kohärentes, funktional irrelevantes Teilpaar liefert ein Gegenbeispiel. [20]</w:t>
      </w:r>
    </w:p>
    <w:p w:rsidR="0047791C" w:rsidRDefault="0047791C" w:rsidP="0047791C">
      <w:pPr>
        <w:pStyle w:val="berschrift1"/>
      </w:pPr>
      <w:r>
        <w:t>3.3.43.359 Vergleich A+ mit B</w:t>
      </w:r>
    </w:p>
    <w:p w:rsidR="0047791C" w:rsidRDefault="0047791C" w:rsidP="0047791C">
      <w:pPr>
        <w:pStyle w:val="StandardWeb"/>
      </w:pPr>
      <w:r>
        <w:t>Kandidat A+ fordert nicht positive Kohärenz in jedem Zustand. Deshalb gilt</w:t>
      </w:r>
    </w:p>
    <w:p w:rsidR="0047791C" w:rsidRDefault="0047791C" w:rsidP="0047791C">
      <w:pPr>
        <w:pStyle w:val="StandardWeb"/>
      </w:pPr>
      <w:r>
        <w:t>[</w:t>
      </w:r>
      <w:r>
        <w:br/>
        <w:t>A_C^{(A+)}</w:t>
      </w:r>
      <w:r>
        <w:br/>
        <w:t>\nRightarrow</w:t>
      </w:r>
      <w:r>
        <w:br/>
      </w:r>
      <w:r>
        <w:lastRenderedPageBreak/>
        <w:t>A_C^{(B)}.</w:t>
      </w:r>
      <w:r>
        <w:br/>
        <w:t>\tag{3.9028}</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A_C^{(A+)}\nRightarrow A_C^{(B)}</w:t>
      </w:r>
    </w:p>
    <w:p w:rsidR="0047791C" w:rsidRDefault="0047791C" w:rsidP="0047791C">
      <w:pPr>
        <w:pStyle w:val="StandardWeb"/>
      </w:pPr>
      <w:r>
        <w:t>Auch kohärenzfreie Zustände können weiterhin zulässig sein. [20]</w:t>
      </w:r>
    </w:p>
    <w:p w:rsidR="0047791C" w:rsidRDefault="0047791C" w:rsidP="0047791C">
      <w:pPr>
        <w:pStyle w:val="berschrift1"/>
      </w:pPr>
      <w:r>
        <w:t>3.3.43.360 A+ als funktional passenderer Kandidat</w:t>
      </w:r>
    </w:p>
    <w:p w:rsidR="0047791C" w:rsidRDefault="0047791C" w:rsidP="0047791C">
      <w:pPr>
        <w:pStyle w:val="StandardWeb"/>
      </w:pPr>
      <w:r>
        <w:t>Der Kandidat A+ entspricht dem Namen und Zweck des FRZK stärker als Kandidat A, ohne die dynamische Offenheit von Kandidat B zu verlieren. [20]</w:t>
      </w:r>
    </w:p>
    <w:p w:rsidR="0047791C" w:rsidRDefault="0047791C" w:rsidP="0047791C">
      <w:pPr>
        <w:pStyle w:val="StandardWeb"/>
      </w:pPr>
      <w:r>
        <w:t>Er fordert lediglich:</w:t>
      </w:r>
    </w:p>
    <w:p w:rsidR="0047791C" w:rsidRDefault="0047791C" w:rsidP="0047791C">
      <w:pPr>
        <w:pStyle w:val="StandardWeb"/>
      </w:pPr>
      <w:r>
        <w:t>[</w:t>
      </w:r>
      <w:r>
        <w:br/>
        <w:t>\boxed{</w:t>
      </w:r>
      <w:r>
        <w:br/>
        <w:t>\text{Mindestens eine für die Systemfunktion relevante Teilstruktur besitzt positive funktionale Kohärenz.}</w:t>
      </w:r>
      <w:r>
        <w:br/>
        <w:t>}</w:t>
      </w:r>
      <w:r>
        <w:br/>
        <w:t>\tag{3.9029}</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\boxed{\text{Mindestens eine für die Systemfunktion relevante Teilstruktur besitzt positive funktionale Kohärenz.}}</w:t>
      </w:r>
    </w:p>
    <w:p w:rsidR="0047791C" w:rsidRDefault="0047791C" w:rsidP="0047791C">
      <w:pPr>
        <w:pStyle w:val="berschrift1"/>
      </w:pPr>
      <w:r>
        <w:t>3.3.43.361 Prüfung der Nichtableitbarkeit von A+</w:t>
      </w:r>
    </w:p>
    <w:p w:rsidR="0047791C" w:rsidRDefault="0047791C" w:rsidP="0047791C">
      <w:pPr>
        <w:pStyle w:val="StandardWeb"/>
      </w:pPr>
      <w:r>
        <w:t>Auch A+ folgt nicht aus der Definition funktionaler Relevanz allein. [20]</w:t>
      </w:r>
    </w:p>
    <w:p w:rsidR="0047791C" w:rsidRDefault="0047791C" w:rsidP="0047791C">
      <w:pPr>
        <w:pStyle w:val="StandardWeb"/>
      </w:pPr>
      <w:r>
        <w:t>Es kann eine funktional relevante Teilstruktur existieren mit</w:t>
      </w:r>
    </w:p>
    <w:p w:rsidR="0047791C" w:rsidRDefault="0047791C" w:rsidP="0047791C">
      <w:pPr>
        <w:pStyle w:val="StandardWeb"/>
      </w:pPr>
      <w:r>
        <w:t>[</w:t>
      </w:r>
      <w:r>
        <w:br/>
        <w:t>R_F(\mathcal S')=1</w:t>
      </w:r>
      <w:r>
        <w:br/>
        <w:t>\tag{3.9030}</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R_F(\mathcal S')=1</w:t>
      </w:r>
    </w:p>
    <w:p w:rsidR="0047791C" w:rsidRDefault="0047791C" w:rsidP="0047791C">
      <w:pPr>
        <w:pStyle w:val="StandardWeb"/>
      </w:pPr>
      <w:r>
        <w:t>und dennoch</w:t>
      </w:r>
    </w:p>
    <w:p w:rsidR="0047791C" w:rsidRDefault="0047791C" w:rsidP="0047791C">
      <w:pPr>
        <w:pStyle w:val="StandardWeb"/>
      </w:pPr>
      <w:r>
        <w:t>[</w:t>
      </w:r>
      <w:r>
        <w:br/>
        <w:t>C_F(\mathcal S')=0.</w:t>
      </w:r>
      <w:r>
        <w:br/>
        <w:t>\tag{3.9031}</w:t>
      </w:r>
      <w:r>
        <w:br/>
        <w:t>]</w:t>
      </w:r>
    </w:p>
    <w:p w:rsidR="0047791C" w:rsidRDefault="0047791C" w:rsidP="0047791C">
      <w:pPr>
        <w:pStyle w:val="StandardWeb"/>
      </w:pPr>
      <w:r>
        <w:rPr>
          <w:rStyle w:val="Fett"/>
        </w:rPr>
        <w:lastRenderedPageBreak/>
        <w:t>Word-LaTeX</w:t>
      </w:r>
    </w:p>
    <w:p w:rsidR="0047791C" w:rsidRDefault="0047791C" w:rsidP="0047791C">
      <w:pPr>
        <w:pStyle w:val="HTMLVorformatiert"/>
        <w:rPr>
          <w:rStyle w:val="HTMLCode"/>
        </w:rPr>
      </w:pPr>
      <w:r>
        <w:rPr>
          <w:rStyle w:val="HTMLCode"/>
        </w:rPr>
        <w:t>C_F(\mathcal S')=0</w:t>
      </w:r>
    </w:p>
    <w:p w:rsidR="0047791C" w:rsidRDefault="0047791C" w:rsidP="0047791C">
      <w:pPr>
        <w:pStyle w:val="StandardWeb"/>
      </w:pPr>
      <w:r>
        <w:t>Daher erzwingt funktionale Relevanz keine Kohärenz. [20]</w:t>
      </w:r>
    </w:p>
    <w:p w:rsidR="0047791C" w:rsidRDefault="0047791C" w:rsidP="0047791C">
      <w:pPr>
        <w:pStyle w:val="berschrift1"/>
      </w:pPr>
      <w:r>
        <w:t>3.3.43.362 Prüfung der Nichtableitbarkeit aus Konsistenz</w:t>
      </w:r>
    </w:p>
    <w:p w:rsidR="0047791C" w:rsidRDefault="0047791C" w:rsidP="0047791C">
      <w:pPr>
        <w:pStyle w:val="StandardWeb"/>
      </w:pPr>
      <w:r>
        <w:t>Ebenso kann</w:t>
      </w:r>
    </w:p>
    <w:p w:rsidR="0047791C" w:rsidRDefault="0047791C" w:rsidP="0047791C">
      <w:pPr>
        <w:pStyle w:val="StandardWeb"/>
      </w:pPr>
      <w:r>
        <w:t>[</w:t>
      </w:r>
      <w:r>
        <w:br/>
        <w:t>R_F(\mathcal S')=1</w:t>
      </w:r>
      <w:r>
        <w:br/>
        <w:t>\land</w:t>
      </w:r>
      <w:r>
        <w:br/>
        <w:t>K_F(\mathcal S')=1</w:t>
      </w:r>
      <w:r>
        <w:br/>
        <w:t>\tag{3.9032}</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R_F(\mathcal S')=1\land K_F(\mathcal S')=1</w:t>
      </w:r>
    </w:p>
    <w:p w:rsidR="0047791C" w:rsidRDefault="0047791C" w:rsidP="0047791C">
      <w:pPr>
        <w:pStyle w:val="StandardWeb"/>
      </w:pPr>
      <w:r>
        <w:t>bei</w:t>
      </w:r>
    </w:p>
    <w:p w:rsidR="0047791C" w:rsidRDefault="0047791C" w:rsidP="0047791C">
      <w:pPr>
        <w:pStyle w:val="StandardWeb"/>
      </w:pPr>
      <w:r>
        <w:t>[</w:t>
      </w:r>
      <w:r>
        <w:br/>
        <w:t>C_F(\mathcal S')=0</w:t>
      </w:r>
      <w:r>
        <w:br/>
        <w:t>\tag{3.9033}</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C_F(\mathcal S')=0</w:t>
      </w:r>
    </w:p>
    <w:p w:rsidR="0047791C" w:rsidRDefault="0047791C" w:rsidP="0047791C">
      <w:pPr>
        <w:pStyle w:val="StandardWeb"/>
      </w:pPr>
      <w:r>
        <w:t>gelten. [20]</w:t>
      </w:r>
    </w:p>
    <w:p w:rsidR="0047791C" w:rsidRDefault="0047791C" w:rsidP="0047791C">
      <w:pPr>
        <w:pStyle w:val="StandardWeb"/>
      </w:pPr>
      <w:r>
        <w:t>A+ ist deshalb nicht aus Relevanz plus Konsistenz ableitbar. [20]</w:t>
      </w:r>
    </w:p>
    <w:p w:rsidR="0047791C" w:rsidRDefault="0047791C" w:rsidP="0047791C">
      <w:pPr>
        <w:pStyle w:val="berschrift1"/>
      </w:pPr>
      <w:r>
        <w:t>3.3.43.363 Prüfung der Minimalität von A+</w:t>
      </w:r>
    </w:p>
    <w:p w:rsidR="0047791C" w:rsidRDefault="0047791C" w:rsidP="0047791C">
      <w:pPr>
        <w:pStyle w:val="StandardWeb"/>
      </w:pPr>
      <w:r>
        <w:t>A+ legt weder die Zahl kohärenter Teilstrukturen noch deren Stärke fest. [20]</w:t>
      </w:r>
    </w:p>
    <w:p w:rsidR="0047791C" w:rsidRDefault="0047791C" w:rsidP="0047791C">
      <w:pPr>
        <w:pStyle w:val="StandardWeb"/>
      </w:pPr>
      <w:r>
        <w:t>Insbesondere folgt nicht</w:t>
      </w:r>
    </w:p>
    <w:p w:rsidR="0047791C" w:rsidRDefault="0047791C" w:rsidP="0047791C">
      <w:pPr>
        <w:pStyle w:val="StandardWeb"/>
      </w:pPr>
      <w:r>
        <w:t>[</w:t>
      </w:r>
      <w:r>
        <w:br/>
        <w:t>N_C&gt;1,</w:t>
      </w:r>
      <w:r>
        <w:br/>
        <w:t>\tag{3.9034}</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lastRenderedPageBreak/>
        <w:t>N_C&gt;1</w:t>
      </w:r>
    </w:p>
    <w:p w:rsidR="0047791C" w:rsidRDefault="0047791C" w:rsidP="0047791C">
      <w:pPr>
        <w:pStyle w:val="StandardWeb"/>
      </w:pPr>
      <w:r>
        <w:t>nicht</w:t>
      </w:r>
    </w:p>
    <w:p w:rsidR="0047791C" w:rsidRDefault="0047791C" w:rsidP="0047791C">
      <w:pPr>
        <w:pStyle w:val="StandardWeb"/>
      </w:pPr>
      <w:r>
        <w:t>[</w:t>
      </w:r>
      <w:r>
        <w:br/>
        <w:t>C_F\geq\tau_C</w:t>
      </w:r>
      <w:r>
        <w:br/>
        <w:t>\quad\forall z,</w:t>
      </w:r>
      <w:r>
        <w:br/>
        <w:t>\tag{3.9035}</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C_F\geq\tau_C\quad\forall z</w:t>
      </w:r>
    </w:p>
    <w:p w:rsidR="0047791C" w:rsidRDefault="0047791C" w:rsidP="0047791C">
      <w:pPr>
        <w:pStyle w:val="StandardWeb"/>
      </w:pPr>
      <w:r>
        <w:t>und nicht</w:t>
      </w:r>
    </w:p>
    <w:p w:rsidR="0047791C" w:rsidRDefault="0047791C" w:rsidP="0047791C">
      <w:pPr>
        <w:pStyle w:val="StandardWeb"/>
      </w:pPr>
      <w:r>
        <w:t>[</w:t>
      </w:r>
      <w:r>
        <w:br/>
        <w:t>C_{\mathrm{sys}}&gt;0</w:t>
      </w:r>
      <w:r>
        <w:br/>
        <w:t>\quad\forall z.</w:t>
      </w:r>
      <w:r>
        <w:br/>
        <w:t>\tag{3.9036}</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C_{\mathrm{sys}}&gt;0\quad\forall z</w:t>
      </w:r>
    </w:p>
    <w:p w:rsidR="0047791C" w:rsidRDefault="0047791C" w:rsidP="0047791C">
      <w:pPr>
        <w:pStyle w:val="StandardWeb"/>
      </w:pPr>
      <w:r>
        <w:t>Damit bleibt A+ axiomatisch sparsam. [20]</w:t>
      </w:r>
    </w:p>
    <w:p w:rsidR="0047791C" w:rsidRDefault="0047791C" w:rsidP="0047791C">
      <w:pPr>
        <w:pStyle w:val="berschrift1"/>
      </w:pPr>
      <w:r>
        <w:t>3.3.43.364 Funktionale Nichttrivialität</w:t>
      </w:r>
    </w:p>
    <w:p w:rsidR="0047791C" w:rsidRDefault="0047791C" w:rsidP="0047791C">
      <w:pPr>
        <w:pStyle w:val="StandardWeb"/>
      </w:pPr>
      <w:r>
        <w:t>A+ schließt jedoch Modelle aus, bei denen positive Kohärenz ausschließlich in funktional irrelevanten Nebenstrukturen vorkommt. [20]</w:t>
      </w:r>
    </w:p>
    <w:p w:rsidR="0047791C" w:rsidRDefault="0047791C" w:rsidP="0047791C">
      <w:pPr>
        <w:pStyle w:val="StandardWeb"/>
      </w:pPr>
      <w:r>
        <w:t>Sei</w:t>
      </w:r>
    </w:p>
    <w:p w:rsidR="0047791C" w:rsidRDefault="0047791C" w:rsidP="0047791C">
      <w:pPr>
        <w:pStyle w:val="StandardWeb"/>
      </w:pPr>
      <w:r>
        <w:t>[</w:t>
      </w:r>
      <w:r>
        <w:br/>
        <w:t>\mathcal M_{\mathrm{irr}}^{C}</w:t>
      </w:r>
      <w:r>
        <w:br/>
        <w:t>\tag{3.9037}</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\mathcal M_{\mathrm{irr}}^{C}</w:t>
      </w:r>
    </w:p>
    <w:p w:rsidR="0047791C" w:rsidRDefault="0047791C" w:rsidP="0047791C">
      <w:pPr>
        <w:pStyle w:val="StandardWeb"/>
      </w:pPr>
      <w:r>
        <w:t>mit</w:t>
      </w:r>
    </w:p>
    <w:p w:rsidR="0047791C" w:rsidRDefault="0047791C" w:rsidP="0047791C">
      <w:pPr>
        <w:pStyle w:val="StandardWeb"/>
      </w:pPr>
      <w:r>
        <w:t>[</w:t>
      </w:r>
      <w:r>
        <w:br/>
        <w:t>C_F(\mathcal S_{\mathrm{irr}})&gt;0</w:t>
      </w:r>
      <w:r>
        <w:br/>
        <w:t>\tag{3.9038}</w:t>
      </w:r>
      <w:r>
        <w:br/>
        <w:t>]</w:t>
      </w:r>
    </w:p>
    <w:p w:rsidR="0047791C" w:rsidRDefault="0047791C" w:rsidP="0047791C">
      <w:pPr>
        <w:pStyle w:val="StandardWeb"/>
      </w:pPr>
      <w:r>
        <w:rPr>
          <w:rStyle w:val="Fett"/>
        </w:rPr>
        <w:lastRenderedPageBreak/>
        <w:t>Word-LaTeX</w:t>
      </w:r>
    </w:p>
    <w:p w:rsidR="0047791C" w:rsidRDefault="0047791C" w:rsidP="0047791C">
      <w:pPr>
        <w:pStyle w:val="HTMLVorformatiert"/>
        <w:rPr>
          <w:rStyle w:val="HTMLCode"/>
        </w:rPr>
      </w:pPr>
      <w:r>
        <w:rPr>
          <w:rStyle w:val="HTMLCode"/>
        </w:rPr>
        <w:t>C_F(\mathcal S_{\mathrm{irr}})&gt;0</w:t>
      </w:r>
    </w:p>
    <w:p w:rsidR="0047791C" w:rsidRDefault="0047791C" w:rsidP="0047791C">
      <w:pPr>
        <w:pStyle w:val="StandardWeb"/>
      </w:pPr>
      <w:r>
        <w:t>aber</w:t>
      </w:r>
    </w:p>
    <w:p w:rsidR="0047791C" w:rsidRDefault="0047791C" w:rsidP="0047791C">
      <w:pPr>
        <w:pStyle w:val="StandardWeb"/>
      </w:pPr>
      <w:r>
        <w:t>[</w:t>
      </w:r>
      <w:r>
        <w:br/>
        <w:t>R_F(\mathcal S_{\mathrm{irr}})=0.</w:t>
      </w:r>
      <w:r>
        <w:br/>
        <w:t>\tag{3.9039}</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R_F(\mathcal S_{\mathrm{irr}})=0</w:t>
      </w:r>
    </w:p>
    <w:p w:rsidR="0047791C" w:rsidRDefault="0047791C" w:rsidP="0047791C">
      <w:pPr>
        <w:pStyle w:val="StandardWeb"/>
      </w:pPr>
      <w:r>
        <w:t>Dieses Modell erfüllt A, aber nicht A+. [20]</w:t>
      </w:r>
    </w:p>
    <w:p w:rsidR="0047791C" w:rsidRDefault="0047791C" w:rsidP="0047791C">
      <w:pPr>
        <w:pStyle w:val="berschrift1"/>
      </w:pPr>
      <w:r>
        <w:t>3.3.43.365 Axiomatische Zielgenauigkeit</w:t>
      </w:r>
    </w:p>
    <w:p w:rsidR="0047791C" w:rsidRDefault="0047791C" w:rsidP="0047791C">
      <w:pPr>
        <w:pStyle w:val="StandardWeb"/>
      </w:pPr>
      <w:r>
        <w:t>Damit verbessert A+ die Zielgenauigkeit:</w:t>
      </w:r>
    </w:p>
    <w:p w:rsidR="0047791C" w:rsidRDefault="0047791C" w:rsidP="0047791C">
      <w:pPr>
        <w:pStyle w:val="StandardWeb"/>
      </w:pPr>
      <w:r>
        <w:t>[</w:t>
      </w:r>
      <w:r>
        <w:br/>
        <w:t>\operatorname{Target}</w:t>
      </w:r>
      <w:r>
        <w:br/>
        <w:t>\left(</w:t>
      </w:r>
      <w:r>
        <w:br/>
        <w:t>A_C^{(A+)}</w:t>
      </w:r>
      <w:r>
        <w:br/>
        <w:t>\right)</w:t>
      </w:r>
    </w:p>
    <w:p w:rsidR="0047791C" w:rsidRDefault="0047791C" w:rsidP="0047791C">
      <w:pPr>
        <w:pStyle w:val="StandardWeb"/>
      </w:pPr>
      <w:r>
        <w:t>\operatorname{Target}</w:t>
      </w:r>
      <w:r>
        <w:br/>
        <w:t>\left(</w:t>
      </w:r>
      <w:r>
        <w:br/>
        <w:t>A_C^{(A)}</w:t>
      </w:r>
      <w:r>
        <w:br/>
        <w:t>\right).</w:t>
      </w:r>
      <w:r>
        <w:br/>
        <w:t>\tag{3.9040}</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\operatorname{Target}\left(A_C^{(A+)}\right)&gt;\operatorname{Target}\left(A_C^{(A)}\right)</w:t>
      </w:r>
    </w:p>
    <w:p w:rsidR="0047791C" w:rsidRDefault="0047791C" w:rsidP="0047791C">
      <w:pPr>
        <w:pStyle w:val="StandardWeb"/>
      </w:pPr>
      <w:r>
        <w:t>Der Kandidat bindet Kohärenz unmittelbar an die funktionale Systemstruktur. [20]</w:t>
      </w:r>
    </w:p>
    <w:p w:rsidR="0047791C" w:rsidRDefault="0047791C" w:rsidP="0047791C">
      <w:pPr>
        <w:pStyle w:val="berschrift1"/>
      </w:pPr>
      <w:r>
        <w:t>3.3.43.366 Prüfung auf Zirkularität</w:t>
      </w:r>
    </w:p>
    <w:p w:rsidR="0047791C" w:rsidRDefault="0047791C" w:rsidP="0047791C">
      <w:pPr>
        <w:pStyle w:val="StandardWeb"/>
      </w:pPr>
      <w:r>
        <w:t>Ich muss jedoch prüfen, ob (R_F) selbst Kohärenz voraussetzt. [20]</w:t>
      </w:r>
    </w:p>
    <w:p w:rsidR="0047791C" w:rsidRDefault="0047791C" w:rsidP="0047791C">
      <w:pPr>
        <w:pStyle w:val="StandardWeb"/>
      </w:pPr>
      <w:r>
        <w:t>Falls die Systemfunktion (F) bereits als</w:t>
      </w:r>
    </w:p>
    <w:p w:rsidR="0047791C" w:rsidRDefault="0047791C" w:rsidP="0047791C">
      <w:pPr>
        <w:pStyle w:val="StandardWeb"/>
      </w:pPr>
      <w:r>
        <w:t>[</w:t>
      </w:r>
      <w:r>
        <w:br/>
        <w:t>F=F(C_F)</w:t>
      </w:r>
      <w:r>
        <w:br/>
      </w:r>
      <w:r>
        <w:lastRenderedPageBreak/>
        <w:t>\tag{3.9041}</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F=F(C_F)</w:t>
      </w:r>
    </w:p>
    <w:p w:rsidR="0047791C" w:rsidRDefault="0047791C" w:rsidP="0047791C">
      <w:pPr>
        <w:pStyle w:val="StandardWeb"/>
      </w:pPr>
      <w:r>
        <w:t>definiert wäre, könnte A+ zirkulär werden. [20]</w:t>
      </w:r>
    </w:p>
    <w:p w:rsidR="0047791C" w:rsidRDefault="0047791C" w:rsidP="0047791C">
      <w:pPr>
        <w:pStyle w:val="berschrift1"/>
      </w:pPr>
      <w:r>
        <w:t>3.3.43.367 Zirkularitätsfreie Relevanzdefinition</w:t>
      </w:r>
    </w:p>
    <w:p w:rsidR="0047791C" w:rsidRDefault="0047791C" w:rsidP="0047791C">
      <w:pPr>
        <w:pStyle w:val="StandardWeb"/>
      </w:pPr>
      <w:r>
        <w:t>Deshalb muss funktionale Relevanz kohärenzunabhängig formulierbar sein. [20]</w:t>
      </w:r>
    </w:p>
    <w:p w:rsidR="0047791C" w:rsidRDefault="0047791C" w:rsidP="0047791C">
      <w:pPr>
        <w:pStyle w:val="StandardWeb"/>
      </w:pPr>
      <w:r>
        <w:t>Ich fordere</w:t>
      </w:r>
    </w:p>
    <w:p w:rsidR="0047791C" w:rsidRDefault="0047791C" w:rsidP="0047791C">
      <w:pPr>
        <w:pStyle w:val="StandardWeb"/>
      </w:pPr>
      <w:r>
        <w:t>[</w:t>
      </w:r>
      <w:r>
        <w:br/>
        <w:t>R_F(\mathcal S')</w:t>
      </w:r>
      <w:r>
        <w:br/>
        <w:t>\text{ definierbar ohne Verwendung von }C_F.</w:t>
      </w:r>
      <w:r>
        <w:br/>
        <w:t>\tag{3.9042}</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R_F(\mathcal S')\text{ definierbar ohne Verwendung von }C_F</w:t>
      </w:r>
    </w:p>
    <w:p w:rsidR="0047791C" w:rsidRDefault="0047791C" w:rsidP="0047791C">
      <w:pPr>
        <w:pStyle w:val="StandardWeb"/>
      </w:pPr>
      <w:r>
        <w:t>Unter dieser Bedingung bleibt A+ logisch sauber. [20]</w:t>
      </w:r>
    </w:p>
    <w:p w:rsidR="0047791C" w:rsidRDefault="0047791C" w:rsidP="0047791C">
      <w:pPr>
        <w:pStyle w:val="berschrift1"/>
      </w:pPr>
      <w:r>
        <w:t>3.3.43.368 Unabhängigkeitsbedingung für A+</w:t>
      </w:r>
    </w:p>
    <w:p w:rsidR="0047791C" w:rsidRDefault="0047791C" w:rsidP="0047791C">
      <w:pPr>
        <w:pStyle w:val="StandardWeb"/>
      </w:pPr>
      <w:r>
        <w:t>Formal lautet die Forderung</w:t>
      </w:r>
    </w:p>
    <w:p w:rsidR="0047791C" w:rsidRDefault="0047791C" w:rsidP="0047791C">
      <w:pPr>
        <w:pStyle w:val="berschrift1"/>
      </w:pPr>
      <w:r>
        <w:t>[</w:t>
      </w:r>
      <w:r>
        <w:br/>
        <w:t>\frac{\partial R_F}{\partial C_F}</w:t>
      </w:r>
    </w:p>
    <w:p w:rsidR="0047791C" w:rsidRDefault="0047791C" w:rsidP="0047791C">
      <w:pPr>
        <w:pStyle w:val="StandardWeb"/>
      </w:pPr>
      <w:r>
        <w:t>0</w:t>
      </w:r>
      <w:r>
        <w:br/>
        <w:t>\tag{3.9043}</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\frac{\partial R_F}{\partial C_F}=0</w:t>
      </w:r>
    </w:p>
    <w:p w:rsidR="0047791C" w:rsidRDefault="0047791C" w:rsidP="0047791C">
      <w:pPr>
        <w:pStyle w:val="StandardWeb"/>
      </w:pPr>
      <w:r>
        <w:t>hier lediglich symbolisch für die definitorische Unabhängigkeit von (R_F) gegenüber dem Kohärenzwert. [20]</w:t>
      </w:r>
    </w:p>
    <w:p w:rsidR="0047791C" w:rsidRDefault="0047791C" w:rsidP="0047791C">
      <w:pPr>
        <w:pStyle w:val="berschrift1"/>
      </w:pPr>
      <w:r>
        <w:t>3.3.43.369 A+ und physikalische Offenheit</w:t>
      </w:r>
    </w:p>
    <w:p w:rsidR="0047791C" w:rsidRDefault="0047791C" w:rsidP="0047791C">
      <w:pPr>
        <w:pStyle w:val="StandardWeb"/>
      </w:pPr>
      <w:r>
        <w:t xml:space="preserve">Auch A+ legt nicht fest, </w:t>
      </w:r>
      <w:r>
        <w:rPr>
          <w:rStyle w:val="Fett"/>
        </w:rPr>
        <w:t>welche</w:t>
      </w:r>
      <w:r>
        <w:t xml:space="preserve"> Teilstruktur funktional relevant und kohärent sein muss. [20]</w:t>
      </w:r>
    </w:p>
    <w:p w:rsidR="0047791C" w:rsidRDefault="0047791C" w:rsidP="0047791C">
      <w:pPr>
        <w:pStyle w:val="StandardWeb"/>
      </w:pPr>
      <w:r>
        <w:lastRenderedPageBreak/>
        <w:t>Damit kann gelten</w:t>
      </w:r>
    </w:p>
    <w:p w:rsidR="0047791C" w:rsidRDefault="0047791C" w:rsidP="0047791C">
      <w:pPr>
        <w:pStyle w:val="StandardWeb"/>
      </w:pPr>
      <w:r>
        <w:t>[</w:t>
      </w:r>
      <w:r>
        <w:br/>
        <w:t>\mathcal S_C^{(1)}</w:t>
      </w:r>
      <w:r>
        <w:br/>
        <w:t>\neq</w:t>
      </w:r>
      <w:r>
        <w:br/>
        <w:t>\mathcal S_C^{(2)}</w:t>
      </w:r>
      <w:r>
        <w:br/>
        <w:t>\tag{3.9044}</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\mathcal S_C^{(1)}\neq\mathcal S_C^{(2)}</w:t>
      </w:r>
    </w:p>
    <w:p w:rsidR="0047791C" w:rsidRDefault="0047791C" w:rsidP="0047791C">
      <w:pPr>
        <w:pStyle w:val="StandardWeb"/>
      </w:pPr>
      <w:r>
        <w:t>für unterschiedliche physikalische Realisierungen desselben abstrakten FRZK. [20]</w:t>
      </w:r>
    </w:p>
    <w:p w:rsidR="0047791C" w:rsidRDefault="0047791C" w:rsidP="0047791C">
      <w:pPr>
        <w:pStyle w:val="berschrift1"/>
      </w:pPr>
      <w:r>
        <w:t>3.3.43.370 A+ und Zustandsabhängigkeit</w:t>
      </w:r>
    </w:p>
    <w:p w:rsidR="0047791C" w:rsidRDefault="0047791C" w:rsidP="0047791C">
      <w:pPr>
        <w:pStyle w:val="StandardWeb"/>
      </w:pPr>
      <w:r>
        <w:t>Ebenso kann die relevante kohärente Teilstruktur vom Zustand abhängen:</w:t>
      </w:r>
    </w:p>
    <w:p w:rsidR="0047791C" w:rsidRDefault="0047791C" w:rsidP="0047791C">
      <w:pPr>
        <w:pStyle w:val="berschrift1"/>
      </w:pPr>
      <w:r>
        <w:t>[</w:t>
      </w:r>
      <w:r>
        <w:br/>
        <w:t>\mathcal S_C</w:t>
      </w:r>
    </w:p>
    <w:p w:rsidR="0047791C" w:rsidRDefault="0047791C" w:rsidP="0047791C">
      <w:pPr>
        <w:pStyle w:val="StandardWeb"/>
      </w:pPr>
      <w:r>
        <w:t>\mathcal S_C(z).</w:t>
      </w:r>
      <w:r>
        <w:br/>
        <w:t>\tag{3.9045}</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\mathcal S_C=\mathcal S_C(z)</w:t>
      </w:r>
    </w:p>
    <w:p w:rsidR="0047791C" w:rsidRDefault="0047791C" w:rsidP="0047791C">
      <w:pPr>
        <w:pStyle w:val="StandardWeb"/>
      </w:pPr>
      <w:r>
        <w:t>Das Axiom verlangt nicht, dass dieselbe Relation in allen Zuständen kohärent bleibt. [20]</w:t>
      </w:r>
    </w:p>
    <w:p w:rsidR="0047791C" w:rsidRDefault="0047791C" w:rsidP="0047791C">
      <w:pPr>
        <w:pStyle w:val="berschrift1"/>
      </w:pPr>
      <w:r>
        <w:t>3.3.43.371 A+ und Kohärenzbruch</w:t>
      </w:r>
    </w:p>
    <w:p w:rsidR="0047791C" w:rsidRDefault="0047791C" w:rsidP="0047791C">
      <w:pPr>
        <w:pStyle w:val="StandardWeb"/>
      </w:pPr>
      <w:r>
        <w:t>Ein Kohärenzbruch bleibt mit A+ vereinbar, sofern das FRZK insgesamt mindestens eine funktional relevante kohärente Realisierung beziehungsweise einen entsprechenden zulässigen Zustand besitzt, je nach später gewählter Quantorstruktur. [20]</w:t>
      </w:r>
    </w:p>
    <w:p w:rsidR="0047791C" w:rsidRDefault="0047791C" w:rsidP="0047791C">
      <w:pPr>
        <w:pStyle w:val="StandardWeb"/>
      </w:pPr>
      <w:r>
        <w:t xml:space="preserve">Genau an dieser Stelle muss deshalb präzisiert werden, </w:t>
      </w:r>
      <w:r>
        <w:rPr>
          <w:rStyle w:val="Fett"/>
        </w:rPr>
        <w:t>über welchen Modellbereich der Existenzquantor läuft</w:t>
      </w:r>
      <w:r>
        <w:t>. [20]</w:t>
      </w:r>
    </w:p>
    <w:p w:rsidR="0047791C" w:rsidRDefault="0047791C" w:rsidP="0047791C">
      <w:pPr>
        <w:pStyle w:val="berschrift1"/>
      </w:pPr>
      <w:r>
        <w:t>3.3.43.372 Modellweite Existenz</w:t>
      </w:r>
    </w:p>
    <w:p w:rsidR="0047791C" w:rsidRDefault="0047791C" w:rsidP="0047791C">
      <w:pPr>
        <w:pStyle w:val="StandardWeb"/>
      </w:pPr>
      <w:r>
        <w:t>Eine mögliche Form lautet</w:t>
      </w:r>
    </w:p>
    <w:p w:rsidR="0047791C" w:rsidRDefault="0047791C" w:rsidP="0047791C">
      <w:pPr>
        <w:pStyle w:val="StandardWeb"/>
      </w:pPr>
      <w:r>
        <w:t>[</w:t>
      </w:r>
      <w:r>
        <w:br/>
        <w:t>A_C^{(A+M)}:</w:t>
      </w:r>
      <w:r>
        <w:br/>
        <w:t>\exists</w:t>
      </w:r>
      <w:r>
        <w:br/>
      </w:r>
      <w:r>
        <w:lastRenderedPageBreak/>
        <w:t>z\in\Omega_F</w:t>
      </w:r>
      <w:r>
        <w:br/>
        <w:t>;</w:t>
      </w:r>
      <w:r>
        <w:br/>
        <w:t>\exists\mathcal S_C(z):</w:t>
      </w:r>
      <w:r>
        <w:br/>
        <w:t>R_F(\mathcal S_C)=1</w:t>
      </w:r>
      <w:r>
        <w:br/>
        <w:t>\land</w:t>
      </w:r>
      <w:r>
        <w:br/>
        <w:t>C_F(\mathcal S_C)&gt;0.</w:t>
      </w:r>
      <w:r>
        <w:br/>
        <w:t>\tag{3.9046}</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A_C^{(A+M)}:\exists z\in\Omega_F\;\exists\mathcal S_C(z):R_F(\mathcal S_C)=1\land C_F(\mathcal S_C)&gt;0</w:t>
      </w:r>
    </w:p>
    <w:p w:rsidR="0047791C" w:rsidRDefault="0047791C" w:rsidP="0047791C">
      <w:pPr>
        <w:pStyle w:val="StandardWeb"/>
      </w:pPr>
      <w:r>
        <w:t>Diese Form verlangt nur, dass das Modell überhaupt mindestens einen funktional relevanten kohärenten Zustand besitzt. [20]</w:t>
      </w:r>
    </w:p>
    <w:p w:rsidR="0047791C" w:rsidRDefault="0047791C" w:rsidP="0047791C">
      <w:pPr>
        <w:pStyle w:val="berschrift1"/>
      </w:pPr>
      <w:r>
        <w:t>3.3.43.373 Trajektorienweite Existenz</w:t>
      </w:r>
    </w:p>
    <w:p w:rsidR="0047791C" w:rsidRDefault="0047791C" w:rsidP="0047791C">
      <w:pPr>
        <w:pStyle w:val="StandardWeb"/>
      </w:pPr>
      <w:r>
        <w:t>Eine stärkere Form wäre</w:t>
      </w:r>
    </w:p>
    <w:p w:rsidR="0047791C" w:rsidRDefault="0047791C" w:rsidP="0047791C">
      <w:pPr>
        <w:pStyle w:val="StandardWeb"/>
      </w:pPr>
      <w:r>
        <w:t>[</w:t>
      </w:r>
      <w:r>
        <w:br/>
        <w:t>A_C^{(A+T)}:</w:t>
      </w:r>
      <w:r>
        <w:br/>
        <w:t>\forall\gamma\in\Gamma_F</w:t>
      </w:r>
      <w:r>
        <w:br/>
        <w:t>;</w:t>
      </w:r>
      <w:r>
        <w:br/>
        <w:t>\exists t</w:t>
      </w:r>
      <w:r>
        <w:br/>
        <w:t>:</w:t>
      </w:r>
      <w:r>
        <w:br/>
        <w:t>R_F(\mathcal S_C(\gamma,t))=1</w:t>
      </w:r>
      <w:r>
        <w:br/>
        <w:t>\land</w:t>
      </w:r>
      <w:r>
        <w:br/>
        <w:t>C_F(\mathcal S_C(\gamma,t))&gt;0.</w:t>
      </w:r>
      <w:r>
        <w:br/>
        <w:t>\tag{3.9047}</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A_C^{(A+T)}:\forall\gamma\in\Gamma_F\;\exists t:R_F(\mathcal S_C(\gamma,t))=1\land C_F(\mathcal S_C(\gamma,t))&gt;0</w:t>
      </w:r>
    </w:p>
    <w:p w:rsidR="0047791C" w:rsidRDefault="0047791C" w:rsidP="0047791C">
      <w:pPr>
        <w:pStyle w:val="StandardWeb"/>
      </w:pPr>
      <w:r>
        <w:t>Damit müsste jede zulässige Systemtrajektorie zumindest zeitweise relevante Kohärenz aufweisen. [20]</w:t>
      </w:r>
    </w:p>
    <w:p w:rsidR="0047791C" w:rsidRDefault="0047791C" w:rsidP="0047791C">
      <w:pPr>
        <w:pStyle w:val="berschrift1"/>
      </w:pPr>
      <w:r>
        <w:t>3.3.43.374 Zustandsweite Existenz</w:t>
      </w:r>
    </w:p>
    <w:p w:rsidR="0047791C" w:rsidRDefault="0047791C" w:rsidP="0047791C">
      <w:pPr>
        <w:pStyle w:val="StandardWeb"/>
      </w:pPr>
      <w:r>
        <w:t>Noch stärker wäre</w:t>
      </w:r>
    </w:p>
    <w:p w:rsidR="0047791C" w:rsidRDefault="0047791C" w:rsidP="0047791C">
      <w:pPr>
        <w:pStyle w:val="StandardWeb"/>
      </w:pPr>
      <w:r>
        <w:t>[</w:t>
      </w:r>
      <w:r>
        <w:br/>
        <w:t>A_C^{(A+Z)}:</w:t>
      </w:r>
      <w:r>
        <w:br/>
        <w:t>\forall z\in\Omega_F^{\mathrm{phys}}</w:t>
      </w:r>
      <w:r>
        <w:br/>
        <w:t>;</w:t>
      </w:r>
      <w:r>
        <w:br/>
        <w:t>\exists\mathcal S_C(z):</w:t>
      </w:r>
      <w:r>
        <w:br/>
      </w:r>
      <w:r>
        <w:lastRenderedPageBreak/>
        <w:t>R_F(\mathcal S_C)=1</w:t>
      </w:r>
      <w:r>
        <w:br/>
        <w:t>\land</w:t>
      </w:r>
      <w:r>
        <w:br/>
        <w:t>C_F(\mathcal S_C)&gt;0.</w:t>
      </w:r>
      <w:r>
        <w:br/>
        <w:t>\tag{3.9048}</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A_C^{(A+Z)}:\forall z\in\Omega_F^{\mathrm{phys}}\;\exists\mathcal S_C(z):R_F(\mathcal S_C)=1\land C_F(\mathcal S_C)&gt;0</w:t>
      </w:r>
    </w:p>
    <w:p w:rsidR="0047791C" w:rsidRDefault="0047791C" w:rsidP="0047791C">
      <w:pPr>
        <w:pStyle w:val="StandardWeb"/>
      </w:pPr>
      <w:r>
        <w:t>Diese Form nähert sich Kandidat B an. [20]</w:t>
      </w:r>
    </w:p>
    <w:p w:rsidR="0047791C" w:rsidRDefault="0047791C" w:rsidP="0047791C">
      <w:pPr>
        <w:pStyle w:val="berschrift1"/>
      </w:pPr>
      <w:r>
        <w:t>3.3.43.375 Stärkeordnung der A+-Varianten</w:t>
      </w:r>
    </w:p>
    <w:p w:rsidR="0047791C" w:rsidRDefault="0047791C" w:rsidP="0047791C">
      <w:pPr>
        <w:pStyle w:val="StandardWeb"/>
      </w:pPr>
      <w:r>
        <w:t>Es gilt</w:t>
      </w:r>
    </w:p>
    <w:p w:rsidR="0047791C" w:rsidRDefault="0047791C" w:rsidP="0047791C">
      <w:pPr>
        <w:pStyle w:val="StandardWeb"/>
      </w:pPr>
      <w:r>
        <w:t>[</w:t>
      </w:r>
      <w:r>
        <w:br/>
        <w:t>A_C^{(A+Z)}</w:t>
      </w:r>
      <w:r>
        <w:br/>
        <w:t>\Rightarrow</w:t>
      </w:r>
      <w:r>
        <w:br/>
        <w:t>A_C^{(A+T)}</w:t>
      </w:r>
      <w:r>
        <w:br/>
        <w:t>\Rightarrow</w:t>
      </w:r>
      <w:r>
        <w:br/>
        <w:t>A_C^{(A+M)}</w:t>
      </w:r>
      <w:r>
        <w:br/>
        <w:t>\tag{3.9049}</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A_C^{(A+Z)}\Rightarrow A_C^{(A+T)}\Rightarrow A_C^{(A+M)}</w:t>
      </w:r>
    </w:p>
    <w:p w:rsidR="0047791C" w:rsidRDefault="0047791C" w:rsidP="0047791C">
      <w:pPr>
        <w:pStyle w:val="StandardWeb"/>
      </w:pPr>
      <w:r>
        <w:t>unter geeigneter Definition zulässiger Trajektorien. [20]</w:t>
      </w:r>
    </w:p>
    <w:p w:rsidR="0047791C" w:rsidRDefault="0047791C" w:rsidP="0047791C">
      <w:pPr>
        <w:pStyle w:val="berschrift1"/>
      </w:pPr>
      <w:r>
        <w:t>3.3.43.376 Minimalitätspräferenz innerhalb A+</w:t>
      </w:r>
    </w:p>
    <w:p w:rsidR="0047791C" w:rsidRDefault="0047791C" w:rsidP="0047791C">
      <w:pPr>
        <w:pStyle w:val="StandardWeb"/>
      </w:pPr>
      <w:r>
        <w:t>Ohne zusätzliche physikalische Gründe bevorzuge ich zunächst</w:t>
      </w:r>
    </w:p>
    <w:p w:rsidR="0047791C" w:rsidRDefault="0047791C" w:rsidP="0047791C">
      <w:pPr>
        <w:pStyle w:val="StandardWeb"/>
      </w:pPr>
      <w:r>
        <w:t>[</w:t>
      </w:r>
      <w:r>
        <w:br/>
        <w:t>A_C^{(A+M)}.</w:t>
      </w:r>
      <w:r>
        <w:br/>
        <w:t>\tag{3.9050}</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A_C^{(A+M)}</w:t>
      </w:r>
    </w:p>
    <w:p w:rsidR="0047791C" w:rsidRDefault="0047791C" w:rsidP="0047791C">
      <w:pPr>
        <w:pStyle w:val="StandardWeb"/>
      </w:pPr>
      <w:r>
        <w:t>Diese Form garantiert funktional relevante Kohärenz, ohne jeden Zustand oder jede Trajektorie zu binden. [20]</w:t>
      </w:r>
    </w:p>
    <w:p w:rsidR="0047791C" w:rsidRDefault="0047791C" w:rsidP="0047791C">
      <w:pPr>
        <w:pStyle w:val="berschrift1"/>
      </w:pPr>
      <w:r>
        <w:lastRenderedPageBreak/>
        <w:t>3.3.43.377 Kandidat D – funktional relevante Existenzkohärenz</w:t>
      </w:r>
    </w:p>
    <w:p w:rsidR="0047791C" w:rsidRDefault="0047791C" w:rsidP="0047791C">
      <w:pPr>
        <w:pStyle w:val="StandardWeb"/>
      </w:pPr>
      <w:r>
        <w:t xml:space="preserve">Zur Vereinfachung bezeichne ich (A_C^{(A+M)}) nun als </w:t>
      </w:r>
      <w:r>
        <w:rPr>
          <w:rStyle w:val="Fett"/>
        </w:rPr>
        <w:t>Kandidat D</w:t>
      </w:r>
      <w:r>
        <w:t>:</w:t>
      </w:r>
    </w:p>
    <w:p w:rsidR="0047791C" w:rsidRDefault="0047791C" w:rsidP="0047791C">
      <w:pPr>
        <w:pStyle w:val="StandardWeb"/>
      </w:pPr>
      <w:r>
        <w:t>[</w:t>
      </w:r>
      <w:r>
        <w:br/>
        <w:t>\boxed{</w:t>
      </w:r>
      <w:r>
        <w:br/>
        <w:t>A_C^{(D)}:</w:t>
      </w:r>
      <w:r>
        <w:br/>
        <w:t>\exists z\in\Omega_F</w:t>
      </w:r>
      <w:r>
        <w:br/>
        <w:t>;</w:t>
      </w:r>
      <w:r>
        <w:br/>
        <w:t>\exists\mathcal S_C\subseteq\mathcal S_F:</w:t>
      </w:r>
      <w:r>
        <w:br/>
        <w:t>R_F(\mathcal S_C)=1</w:t>
      </w:r>
      <w:r>
        <w:br/>
        <w:t>\land</w:t>
      </w:r>
      <w:r>
        <w:br/>
        <w:t>C_F(\mathcal S_C;z)&gt;0.</w:t>
      </w:r>
      <w:r>
        <w:br/>
        <w:t>}</w:t>
      </w:r>
      <w:r>
        <w:br/>
        <w:t>\tag{3.9051}</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\boxed{A_C^{(D)}:\exists z\in\Omega_F\;\exists\mathcal S_C\subseteq\mathcal S_F:R_F(\mathcal S_C)=1\land C_F(\mathcal S_C;z)&gt;0.}</w:t>
      </w:r>
    </w:p>
    <w:p w:rsidR="0047791C" w:rsidRDefault="0047791C" w:rsidP="0047791C">
      <w:pPr>
        <w:pStyle w:val="berschrift1"/>
      </w:pPr>
      <w:r>
        <w:t>3.3.43.378 Vergleich A, D, B und C</w:t>
      </w:r>
    </w:p>
    <w:p w:rsidR="0047791C" w:rsidRDefault="0047791C" w:rsidP="0047791C">
      <w:pPr>
        <w:pStyle w:val="StandardWeb"/>
      </w:pPr>
      <w:r>
        <w:t>Die Stärkeordnung lautet nun</w:t>
      </w:r>
    </w:p>
    <w:p w:rsidR="0047791C" w:rsidRDefault="0047791C" w:rsidP="0047791C">
      <w:pPr>
        <w:pStyle w:val="StandardWeb"/>
      </w:pPr>
      <w:r>
        <w:t>[</w:t>
      </w:r>
      <w:r>
        <w:br/>
        <w:t>A_C^{(C)}</w:t>
      </w:r>
      <w:r>
        <w:br/>
        <w:t>\Rightarrow</w:t>
      </w:r>
      <w:r>
        <w:br/>
        <w:t>A_C^{(B)}</w:t>
      </w:r>
      <w:r>
        <w:br/>
        <w:t>\Rightarrow</w:t>
      </w:r>
      <w:r>
        <w:br/>
        <w:t>A_C^{(D)}</w:t>
      </w:r>
      <w:r>
        <w:br/>
        <w:t>\Rightarrow</w:t>
      </w:r>
      <w:r>
        <w:br/>
        <w:t>A_C^{(A)}.</w:t>
      </w:r>
      <w:r>
        <w:br/>
        <w:t>\tag{3.9052}</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A_C^{(C)}\Rightarrow A_C^{(B)}\Rightarrow A_C^{(D)}\Rightarrow A_C^{(A)}</w:t>
      </w:r>
    </w:p>
    <w:p w:rsidR="0047791C" w:rsidRDefault="0047791C" w:rsidP="0047791C">
      <w:pPr>
        <w:pStyle w:val="StandardWeb"/>
      </w:pPr>
      <w:r>
        <w:t>Die Umkehrungen gelten im Allgemeinen nicht. [20]</w:t>
      </w:r>
    </w:p>
    <w:p w:rsidR="0047791C" w:rsidRDefault="0047791C" w:rsidP="0047791C">
      <w:pPr>
        <w:pStyle w:val="berschrift1"/>
      </w:pPr>
      <w:r>
        <w:t>3.3.43.379 Bewertungsmatrix der Axiomkandidaten</w:t>
      </w:r>
    </w:p>
    <w:p w:rsidR="0047791C" w:rsidRDefault="0047791C" w:rsidP="0047791C">
      <w:pPr>
        <w:pStyle w:val="StandardWeb"/>
      </w:pPr>
      <w:r>
        <w:t>Ich fasse die bisherige Prüfung qualitativ zusammen:</w:t>
      </w:r>
    </w:p>
    <w:p w:rsidR="0047791C" w:rsidRDefault="0047791C" w:rsidP="0047791C">
      <w:pPr>
        <w:pStyle w:val="berschrift1"/>
      </w:pPr>
      <w:r>
        <w:lastRenderedPageBreak/>
        <w:t>[</w:t>
      </w:r>
      <w:r>
        <w:br/>
        <w:t>\mathbf M_A</w:t>
      </w:r>
    </w:p>
    <w:p w:rsidR="0047791C" w:rsidRDefault="0047791C" w:rsidP="0047791C">
      <w:pPr>
        <w:pStyle w:val="StandardWeb"/>
      </w:pPr>
      <w:r>
        <w:t>\begin{array}{c|cccc}</w:t>
      </w:r>
      <w:r>
        <w:br/>
        <w:t>&amp; A &amp; D &amp; B &amp; C\</w:t>
      </w:r>
      <w:r>
        <w:br/>
        <w:t>\hline</w:t>
      </w:r>
      <w:r>
        <w:br/>
        <w:t>\text{Nichtableitbarkeit} &amp; + &amp; + &amp; + &amp; +\</w:t>
      </w:r>
      <w:r>
        <w:br/>
        <w:t>\text{Minimalität} &amp; ++ &amp; ++ &amp; + &amp; -\</w:t>
      </w:r>
      <w:r>
        <w:br/>
        <w:t>\text{funktionale Relevanz} &amp; - &amp; ++ &amp; ++ &amp; ++\</w:t>
      </w:r>
      <w:r>
        <w:br/>
        <w:t>\text{dynamische Offenheit} &amp; ++ &amp; ++ &amp; + &amp; -\</w:t>
      </w:r>
      <w:r>
        <w:br/>
        <w:t>\text{Operationalisierungsfreiheit} &amp; ++ &amp; ++ &amp; ++ &amp; -\</w:t>
      </w:r>
      <w:r>
        <w:br/>
        <w:t>\text{Axiomatische Zielgenauigkeit} &amp; + &amp; ++ &amp; + &amp; -</w:t>
      </w:r>
      <w:r>
        <w:br/>
        <w:t>\end{array}</w:t>
      </w:r>
      <w:r>
        <w:br/>
        <w:t>\tag{3.9053}</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\mathbf M_A=</w:t>
      </w:r>
    </w:p>
    <w:p w:rsidR="0047791C" w:rsidRDefault="0047791C" w:rsidP="0047791C">
      <w:pPr>
        <w:pStyle w:val="HTMLVorformatiert"/>
        <w:rPr>
          <w:rStyle w:val="HTMLCode"/>
        </w:rPr>
      </w:pPr>
      <w:r>
        <w:rPr>
          <w:rStyle w:val="HTMLCode"/>
        </w:rPr>
        <w:t>\begin{array}{c|cccc}</w:t>
      </w:r>
    </w:p>
    <w:p w:rsidR="0047791C" w:rsidRDefault="0047791C" w:rsidP="0047791C">
      <w:pPr>
        <w:pStyle w:val="HTMLVorformatiert"/>
        <w:rPr>
          <w:rStyle w:val="HTMLCode"/>
        </w:rPr>
      </w:pPr>
      <w:r>
        <w:rPr>
          <w:rStyle w:val="HTMLCode"/>
        </w:rPr>
        <w:t>&amp; A &amp; D &amp; B &amp; C\\</w:t>
      </w:r>
    </w:p>
    <w:p w:rsidR="0047791C" w:rsidRDefault="0047791C" w:rsidP="0047791C">
      <w:pPr>
        <w:pStyle w:val="HTMLVorformatiert"/>
        <w:rPr>
          <w:rStyle w:val="HTMLCode"/>
        </w:rPr>
      </w:pPr>
      <w:r>
        <w:rPr>
          <w:rStyle w:val="HTMLCode"/>
        </w:rPr>
        <w:t>\hline</w:t>
      </w:r>
    </w:p>
    <w:p w:rsidR="0047791C" w:rsidRDefault="0047791C" w:rsidP="0047791C">
      <w:pPr>
        <w:pStyle w:val="HTMLVorformatiert"/>
        <w:rPr>
          <w:rStyle w:val="HTMLCode"/>
        </w:rPr>
      </w:pPr>
      <w:r>
        <w:rPr>
          <w:rStyle w:val="HTMLCode"/>
        </w:rPr>
        <w:t>\text{Nichtableitbarkeit} &amp; + &amp; + &amp; + &amp; +\\</w:t>
      </w:r>
    </w:p>
    <w:p w:rsidR="0047791C" w:rsidRDefault="0047791C" w:rsidP="0047791C">
      <w:pPr>
        <w:pStyle w:val="HTMLVorformatiert"/>
        <w:rPr>
          <w:rStyle w:val="HTMLCode"/>
        </w:rPr>
      </w:pPr>
      <w:r>
        <w:rPr>
          <w:rStyle w:val="HTMLCode"/>
        </w:rPr>
        <w:t>\text{Minimalität} &amp; ++ &amp; ++ &amp; + &amp; -\\</w:t>
      </w:r>
    </w:p>
    <w:p w:rsidR="0047791C" w:rsidRDefault="0047791C" w:rsidP="0047791C">
      <w:pPr>
        <w:pStyle w:val="HTMLVorformatiert"/>
        <w:rPr>
          <w:rStyle w:val="HTMLCode"/>
        </w:rPr>
      </w:pPr>
      <w:r>
        <w:rPr>
          <w:rStyle w:val="HTMLCode"/>
        </w:rPr>
        <w:t>\text{funktionale Relevanz} &amp; - &amp; ++ &amp; ++ &amp; ++\\</w:t>
      </w:r>
    </w:p>
    <w:p w:rsidR="0047791C" w:rsidRDefault="0047791C" w:rsidP="0047791C">
      <w:pPr>
        <w:pStyle w:val="HTMLVorformatiert"/>
        <w:rPr>
          <w:rStyle w:val="HTMLCode"/>
        </w:rPr>
      </w:pPr>
      <w:r>
        <w:rPr>
          <w:rStyle w:val="HTMLCode"/>
        </w:rPr>
        <w:t>\text{dynamische Offenheit} &amp; ++ &amp; ++ &amp; + &amp; -\\</w:t>
      </w:r>
    </w:p>
    <w:p w:rsidR="0047791C" w:rsidRDefault="0047791C" w:rsidP="0047791C">
      <w:pPr>
        <w:pStyle w:val="HTMLVorformatiert"/>
        <w:rPr>
          <w:rStyle w:val="HTMLCode"/>
        </w:rPr>
      </w:pPr>
      <w:r>
        <w:rPr>
          <w:rStyle w:val="HTMLCode"/>
        </w:rPr>
        <w:t>\text{Operationalisierungsfreiheit} &amp; ++ &amp; ++ &amp; ++ &amp; -\\</w:t>
      </w:r>
    </w:p>
    <w:p w:rsidR="0047791C" w:rsidRDefault="0047791C" w:rsidP="0047791C">
      <w:pPr>
        <w:pStyle w:val="HTMLVorformatiert"/>
        <w:rPr>
          <w:rStyle w:val="HTMLCode"/>
        </w:rPr>
      </w:pPr>
      <w:r>
        <w:rPr>
          <w:rStyle w:val="HTMLCode"/>
        </w:rPr>
        <w:t>\text{Axiomatische Zielgenauigkeit} &amp; + &amp; ++ &amp; + &amp; -</w:t>
      </w:r>
    </w:p>
    <w:p w:rsidR="0047791C" w:rsidRDefault="0047791C" w:rsidP="0047791C">
      <w:pPr>
        <w:pStyle w:val="HTMLVorformatiert"/>
        <w:rPr>
          <w:rStyle w:val="HTMLCode"/>
        </w:rPr>
      </w:pPr>
      <w:r>
        <w:rPr>
          <w:rStyle w:val="HTMLCode"/>
        </w:rPr>
        <w:t>\end{array}</w:t>
      </w:r>
    </w:p>
    <w:p w:rsidR="0047791C" w:rsidRDefault="0047791C" w:rsidP="0047791C">
      <w:pPr>
        <w:pStyle w:val="StandardWeb"/>
      </w:pPr>
      <w:r>
        <w:t>Die Pluszeichen stellen hier ausschließlich eine qualitative methodische Bewertung dar und keine Messwerte. [20]</w:t>
      </w:r>
    </w:p>
    <w:p w:rsidR="0047791C" w:rsidRDefault="0047791C" w:rsidP="0047791C">
      <w:pPr>
        <w:pStyle w:val="berschrift1"/>
      </w:pPr>
      <w:r>
        <w:t>3.3.43.380 Vorläufiges Ergebnis der Axiomprüfung</w:t>
      </w:r>
    </w:p>
    <w:p w:rsidR="0047791C" w:rsidRDefault="0047791C" w:rsidP="0047791C">
      <w:pPr>
        <w:pStyle w:val="StandardWeb"/>
      </w:pPr>
      <w:r>
        <w:t xml:space="preserve">Nach den bisherigen Prüfungen ist </w:t>
      </w:r>
      <w:r>
        <w:rPr>
          <w:rStyle w:val="Fett"/>
        </w:rPr>
        <w:t>Kandidat D</w:t>
      </w:r>
      <w:r>
        <w:t xml:space="preserve"> derzeit der ausgewogenste Kohärenzaxiom-Kandidat. Er ist stärker als die bloße Existenz irgendeiner Kohärenzrelation, weil er die positive Kohärenz an eine funktional relevante Teilstruktur bindet. Gleichzeitig ist er deutlich schwächer als die Forderung positiver Kohärenz in jedem physikalischen Zustand. [20]</w:t>
      </w:r>
    </w:p>
    <w:p w:rsidR="0047791C" w:rsidRDefault="0047791C" w:rsidP="0047791C">
      <w:pPr>
        <w:pStyle w:val="StandardWeb"/>
      </w:pPr>
      <w:r>
        <w:t>Der vorläufig bevorzugte Kandidat lautet damit</w:t>
      </w:r>
    </w:p>
    <w:p w:rsidR="0047791C" w:rsidRDefault="0047791C" w:rsidP="0047791C">
      <w:pPr>
        <w:pStyle w:val="StandardWeb"/>
      </w:pPr>
      <w:r>
        <w:t>[</w:t>
      </w:r>
      <w:r>
        <w:br/>
        <w:t>\boxed{</w:t>
      </w:r>
      <w:r>
        <w:br/>
        <w:t>A_C^{(D)}:</w:t>
      </w:r>
      <w:r>
        <w:br/>
        <w:t>\exists z\in\Omega_F</w:t>
      </w:r>
      <w:r>
        <w:br/>
      </w:r>
      <w:r>
        <w:lastRenderedPageBreak/>
        <w:t>;</w:t>
      </w:r>
      <w:r>
        <w:br/>
        <w:t>\exists\mathcal S_C\subseteq\mathcal S_F:</w:t>
      </w:r>
      <w:r>
        <w:br/>
        <w:t>R_F(\mathcal S_C)=1</w:t>
      </w:r>
      <w:r>
        <w:br/>
        <w:t>\land</w:t>
      </w:r>
      <w:r>
        <w:br/>
        <w:t>C_F(\mathcal S_C;z)&gt;0.</w:t>
      </w:r>
      <w:r>
        <w:br/>
        <w:t>}</w:t>
      </w:r>
      <w:r>
        <w:br/>
        <w:t>\tag{3.9054}</w:t>
      </w:r>
      <w:r>
        <w:br/>
        <w:t>]</w:t>
      </w:r>
    </w:p>
    <w:p w:rsidR="0047791C" w:rsidRDefault="0047791C" w:rsidP="0047791C">
      <w:pPr>
        <w:pStyle w:val="StandardWeb"/>
      </w:pPr>
      <w:r>
        <w:rPr>
          <w:rStyle w:val="Fett"/>
        </w:rPr>
        <w:t>Word-LaTeX</w:t>
      </w:r>
    </w:p>
    <w:p w:rsidR="0047791C" w:rsidRDefault="0047791C" w:rsidP="0047791C">
      <w:pPr>
        <w:pStyle w:val="HTMLVorformatiert"/>
        <w:rPr>
          <w:rStyle w:val="HTMLCode"/>
        </w:rPr>
      </w:pPr>
      <w:r>
        <w:rPr>
          <w:rStyle w:val="HTMLCode"/>
        </w:rPr>
        <w:t>\boxed{A_C^{(D)}:\exists z\in\Omega_F\;\exists\mathcal S_C\subseteq\mathcal S_F:R_F(\mathcal S_C)=1\land C_F(\mathcal S_C;z)&gt;0.}</w:t>
      </w:r>
    </w:p>
    <w:p w:rsidR="0047791C" w:rsidRDefault="0047791C" w:rsidP="0047791C">
      <w:pPr>
        <w:pStyle w:val="StandardWeb"/>
      </w:pPr>
      <w:r>
        <w:t xml:space="preserve">Ich erhebe Kandidat D an dieser Stelle </w:t>
      </w:r>
      <w:r>
        <w:rPr>
          <w:rStyle w:val="Fett"/>
        </w:rPr>
        <w:t>noch nicht endgültig zum Primäraxiom</w:t>
      </w:r>
      <w:r>
        <w:t>. Vor der endgültigen Entscheidung muss noch geprüft werden, ob die Aussage gegenüber den bereits vorhandenen FRZK-Primäraxiomen tatsächlich vollständig unabhängig ist, welche logischen Konsequenzen ihre Aufnahme besitzt, ob ihre Negation ein wissenschaftlich sinnvolles Gegenmodell erzeugt und ob aus Kandidat D unbeabsichtigt stärkere Kohärenzforderungen folgen.</w:t>
      </w:r>
    </w:p>
    <w:p w:rsidR="0047791C" w:rsidRDefault="0047791C" w:rsidP="0047791C">
      <w:pPr>
        <w:pStyle w:val="StandardWeb"/>
      </w:pPr>
      <w:r>
        <w:t xml:space="preserve">Der Abschnitt </w:t>
      </w:r>
      <w:r>
        <w:rPr>
          <w:rStyle w:val="Fett"/>
        </w:rPr>
        <w:t>3.3.43 bleibt deshalb weiterhin offen</w:t>
      </w:r>
      <w:r>
        <w:t xml:space="preserve">. Im nächsten Teil prüfe ich Kandidat D systematisch auf </w:t>
      </w:r>
      <w:r>
        <w:rPr>
          <w:rStyle w:val="Fett"/>
        </w:rPr>
        <w:t>Unabhängigkeit gegenüber jedem bereits vorhandenen Primäraxiom, Konsistenz der erweiterten Axiomatik, Folgen für den Modellraum, Negationsmodell, konservative Erweiterung und schließlich den endgültigen Primäraxiomstatus</w:t>
      </w:r>
      <w:r>
        <w:t>. Die methodologischen und didaktischen Betrachtungen folgen weiterhin ausschließlich beim Gesamtabschluss von 3.3.43.</w:t>
      </w:r>
    </w:p>
    <w:p w:rsidR="00FC487B" w:rsidRDefault="00FC487B" w:rsidP="00FC487B">
      <w:pPr>
        <w:pStyle w:val="StandardWeb"/>
        <w:rPr>
          <w:rFonts w:cs="Times New Roman"/>
          <w:bCs w:val="0"/>
        </w:rPr>
      </w:pPr>
      <w:r>
        <w:t xml:space="preserve">Einverstanden. Ab jetzt wieder </w:t>
      </w:r>
      <w:r>
        <w:rPr>
          <w:rStyle w:val="Fett"/>
        </w:rPr>
        <w:t>ausschließlich vollständig im Chat</w:t>
      </w:r>
      <w:r>
        <w:t>. Keine gekürzten Fassungen mehr.</w:t>
      </w:r>
    </w:p>
    <w:p w:rsidR="00FC487B" w:rsidRDefault="00FC487B" w:rsidP="00FC487B">
      <w:pPr>
        <w:pStyle w:val="StandardWeb"/>
      </w:pPr>
      <w:r>
        <w:t xml:space="preserve">Ich beginne </w:t>
      </w:r>
      <w:r>
        <w:rPr>
          <w:rStyle w:val="Fett"/>
        </w:rPr>
        <w:t>3.3.43.381</w:t>
      </w:r>
      <w:r>
        <w:t xml:space="preserve"> erneut.</w:t>
      </w:r>
    </w:p>
    <w:p w:rsidR="00FC487B" w:rsidRDefault="00E50336" w:rsidP="00FC487B">
      <w:r>
        <w:pict>
          <v:rect id="_x0000_i2547" style="width:0;height:1.5pt" o:hralign="center" o:hrstd="t" o:hr="t" fillcolor="#a0a0a0" stroked="f"/>
        </w:pict>
      </w:r>
    </w:p>
    <w:p w:rsidR="00FC487B" w:rsidRDefault="00FC487B" w:rsidP="00FC487B">
      <w:pPr>
        <w:pStyle w:val="berschrift1"/>
      </w:pPr>
      <w:r>
        <w:t>3.3.43.381 Vollständige Unabhängigkeitsprüfung des Kandidaten D</w:t>
      </w:r>
    </w:p>
    <w:p w:rsidR="00FC487B" w:rsidRDefault="00FC487B" w:rsidP="00FC487B">
      <w:pPr>
        <w:pStyle w:val="StandardWeb"/>
      </w:pPr>
      <w:r>
        <w:t>Mit Kandidat (A_C^{(D)}) liegt erstmals ein Kohärenzaxiom vor, das weder eine globale Mindestkohärenz fordert noch die Existenz positiver Kohärenz in jedem einzelnen physikalischen Zustand verlangt. Es verbindet vielmehr den Kohärenzbegriff mit der funktionalen Relevanz einer Teilstruktur und bleibt dadurch sowohl wissenschaftlich offen als auch axiomatisch sparsam. [20]</w:t>
      </w:r>
    </w:p>
    <w:p w:rsidR="00FC487B" w:rsidRDefault="00FC487B" w:rsidP="00FC487B">
      <w:pPr>
        <w:pStyle w:val="StandardWeb"/>
      </w:pPr>
      <w:r>
        <w:t>Bevor ich diesen Kandidaten endgültig als Primäraxiom akzeptieren kann, muss ich nachweisen, dass seine Aussage weder bereits logisch aus den bisherigen Primäraxiomen folgt noch diese widerspricht. Die Prüfung erfolgt daher vollständig modelltheoretisch. [20]</w:t>
      </w:r>
    </w:p>
    <w:p w:rsidR="00FC487B" w:rsidRDefault="00FC487B" w:rsidP="00FC487B">
      <w:pPr>
        <w:pStyle w:val="StandardWeb"/>
      </w:pPr>
      <w:r>
        <w:t>Ich definiere zunächst die bisherige Primäraxiomatik ohne Kandidat D als</w:t>
      </w:r>
    </w:p>
    <w:p w:rsidR="00FC487B" w:rsidRDefault="00FC487B" w:rsidP="00FC487B">
      <w:pPr>
        <w:pStyle w:val="StandardWeb"/>
      </w:pPr>
      <w:r>
        <w:lastRenderedPageBreak/>
        <w:t>[</w:t>
      </w:r>
      <w:r>
        <w:br/>
        <w:t>\mathfrak A_F^{0}.</w:t>
      </w:r>
      <w:r>
        <w:br/>
        <w:t>\tag{3.9055}</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\mathfrak A_F^{0}</w:t>
      </w:r>
    </w:p>
    <w:p w:rsidR="00FC487B" w:rsidRDefault="00FC487B" w:rsidP="00FC487B">
      <w:pPr>
        <w:pStyle w:val="StandardWeb"/>
      </w:pPr>
      <w:r>
        <w:t>Der zu prüfende Kandidat lautet</w:t>
      </w:r>
    </w:p>
    <w:p w:rsidR="00FC487B" w:rsidRDefault="00FC487B" w:rsidP="00FC487B">
      <w:pPr>
        <w:pStyle w:val="StandardWeb"/>
      </w:pPr>
      <w:r>
        <w:t>[</w:t>
      </w:r>
      <w:r>
        <w:br/>
        <w:t>A_C^{(D)}</w:t>
      </w:r>
      <w:r>
        <w:br/>
        <w:t>:</w:t>
      </w:r>
      <w:r>
        <w:br/>
        <w:t>\exists z\in\Omega_F</w:t>
      </w:r>
      <w:r>
        <w:br/>
        <w:t>;</w:t>
      </w:r>
      <w:r>
        <w:br/>
        <w:t>\exists\mathcal S_C\subseteq\mathcal S_F</w:t>
      </w:r>
      <w:r>
        <w:br/>
        <w:t>:</w:t>
      </w:r>
      <w:r>
        <w:br/>
        <w:t>R_F(\mathcal S_C)=1</w:t>
      </w:r>
      <w:r>
        <w:br/>
        <w:t>\land</w:t>
      </w:r>
      <w:r>
        <w:br/>
        <w:t>C_F(\mathcal S_C;z)&gt;0.</w:t>
      </w:r>
      <w:r>
        <w:br/>
        <w:t>\tag{3.9056}</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A_C^{(D)}:\exists z\in\Omega_F\;\exists\mathcal S_C\subseteq\mathcal S_F:R_F(\mathcal S_C)=1\land C_F(\mathcal S_C;z)&gt;0</w:t>
      </w:r>
    </w:p>
    <w:p w:rsidR="00FC487B" w:rsidRDefault="00FC487B" w:rsidP="00FC487B">
      <w:pPr>
        <w:pStyle w:val="StandardWeb"/>
      </w:pPr>
      <w:r>
        <w:t>Die Frage lautet nun, ob</w:t>
      </w:r>
    </w:p>
    <w:p w:rsidR="00FC487B" w:rsidRDefault="00FC487B" w:rsidP="00FC487B">
      <w:pPr>
        <w:pStyle w:val="StandardWeb"/>
      </w:pPr>
      <w:r>
        <w:t>[</w:t>
      </w:r>
      <w:r>
        <w:br/>
        <w:t>\mathfrak A_F^{0}</w:t>
      </w:r>
      <w:r>
        <w:br/>
        <w:t>\vdash</w:t>
      </w:r>
      <w:r>
        <w:br/>
        <w:t>A_C^{(D)}</w:t>
      </w:r>
      <w:r>
        <w:br/>
        <w:t>\tag{3.9057}</w:t>
      </w:r>
      <w:r>
        <w:br/>
        <w:t>]</w:t>
      </w:r>
    </w:p>
    <w:p w:rsidR="00FC487B" w:rsidRDefault="00FC487B" w:rsidP="00FC487B">
      <w:pPr>
        <w:pStyle w:val="StandardWeb"/>
      </w:pPr>
      <w:r>
        <w:t>gilt.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\mathfrak A_F^{0}\vdash A_C^{(D)}</w:t>
      </w:r>
    </w:p>
    <w:p w:rsidR="00FC487B" w:rsidRDefault="00FC487B" w:rsidP="00FC487B">
      <w:pPr>
        <w:pStyle w:val="StandardWeb"/>
      </w:pPr>
      <w:r>
        <w:t>Ist dies der Fall, wäre Kandidat D kein Primäraxiom, sondern lediglich ein Theorem der bisherigen Theorie. [20]</w:t>
      </w:r>
    </w:p>
    <w:p w:rsidR="00FC487B" w:rsidRDefault="00E50336" w:rsidP="00FC487B">
      <w:r>
        <w:pict>
          <v:rect id="_x0000_i2548" style="width:0;height:1.5pt" o:hralign="center" o:hrstd="t" o:hr="t" fillcolor="#a0a0a0" stroked="f"/>
        </w:pict>
      </w:r>
    </w:p>
    <w:p w:rsidR="00FC487B" w:rsidRDefault="00FC487B" w:rsidP="00FC487B">
      <w:pPr>
        <w:pStyle w:val="berschrift1"/>
      </w:pPr>
      <w:r>
        <w:t>3.3.43.382 Modelltheoretischer Unabhängigkeitsnachweis</w:t>
      </w:r>
    </w:p>
    <w:p w:rsidR="00FC487B" w:rsidRDefault="00FC487B" w:rsidP="00FC487B">
      <w:pPr>
        <w:pStyle w:val="StandardWeb"/>
      </w:pPr>
      <w:r>
        <w:lastRenderedPageBreak/>
        <w:t>Zum Nachweis der Unabhängigkeit konstruiere ich zwei Modelle.</w:t>
      </w:r>
    </w:p>
    <w:p w:rsidR="00FC487B" w:rsidRDefault="00FC487B" w:rsidP="00FC487B">
      <w:pPr>
        <w:pStyle w:val="StandardWeb"/>
      </w:pPr>
      <w:r>
        <w:t>Das erste Modell erfüllt sämtliche bisherigen Primäraxiome einschließlich Kandidat D:</w:t>
      </w:r>
    </w:p>
    <w:p w:rsidR="00FC487B" w:rsidRDefault="00FC487B" w:rsidP="00FC487B">
      <w:pPr>
        <w:pStyle w:val="StandardWeb"/>
      </w:pPr>
      <w:r>
        <w:t>[</w:t>
      </w:r>
      <w:r>
        <w:br/>
        <w:t>\mathcal M_1</w:t>
      </w:r>
      <w:r>
        <w:br/>
        <w:t>\models</w:t>
      </w:r>
      <w:r>
        <w:br/>
        <w:t>\mathfrak A_F^{0}</w:t>
      </w:r>
      <w:r>
        <w:br/>
        <w:t>\land</w:t>
      </w:r>
      <w:r>
        <w:br/>
        <w:t>A_C^{(D)}.</w:t>
      </w:r>
      <w:r>
        <w:br/>
        <w:t>\tag{3.9058}</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\mathcal M_1\models\mathfrak A_F^{0}\land A_C^{(D)}</w:t>
      </w:r>
    </w:p>
    <w:p w:rsidR="00FC487B" w:rsidRDefault="00FC487B" w:rsidP="00FC487B">
      <w:pPr>
        <w:pStyle w:val="StandardWeb"/>
      </w:pPr>
      <w:r>
        <w:t>Das zweite Modell erfüllt dagegen sämtliche bisherigen Primäraxiome, verletzt jedoch Kandidat D:</w:t>
      </w:r>
    </w:p>
    <w:p w:rsidR="00FC487B" w:rsidRDefault="00FC487B" w:rsidP="00FC487B">
      <w:pPr>
        <w:pStyle w:val="StandardWeb"/>
      </w:pPr>
      <w:r>
        <w:t>[</w:t>
      </w:r>
      <w:r>
        <w:br/>
        <w:t>\mathcal M_0</w:t>
      </w:r>
      <w:r>
        <w:br/>
        <w:t>\models</w:t>
      </w:r>
      <w:r>
        <w:br/>
        <w:t>\mathfrak A_F^{0}</w:t>
      </w:r>
      <w:r>
        <w:br/>
        <w:t>\land</w:t>
      </w:r>
      <w:r>
        <w:br/>
        <w:t>\neg A_C^{(D)}.</w:t>
      </w:r>
      <w:r>
        <w:br/>
        <w:t>\tag{3.9059}</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\mathcal M_0\models\mathfrak A_F^{0}\land\neg A_C^{(D)}</w:t>
      </w:r>
    </w:p>
    <w:p w:rsidR="00FC487B" w:rsidRDefault="00FC487B" w:rsidP="00FC487B">
      <w:pPr>
        <w:pStyle w:val="StandardWeb"/>
      </w:pPr>
      <w:r>
        <w:t>Existieren beide Modelle gleichzeitig, so folgt unmittelbar</w:t>
      </w:r>
    </w:p>
    <w:p w:rsidR="00FC487B" w:rsidRDefault="00FC487B" w:rsidP="00FC487B">
      <w:pPr>
        <w:pStyle w:val="StandardWeb"/>
      </w:pPr>
      <w:r>
        <w:t>[</w:t>
      </w:r>
      <w:r>
        <w:br/>
        <w:t>\mathfrak A_F^{0}</w:t>
      </w:r>
      <w:r>
        <w:br/>
        <w:t>\nvdash</w:t>
      </w:r>
      <w:r>
        <w:br/>
        <w:t>A_C^{(D)}.</w:t>
      </w:r>
      <w:r>
        <w:br/>
        <w:t>\tag{3.9060}</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\mathfrak A_F^{0}\nvdash A_C^{(D)}</w:t>
      </w:r>
    </w:p>
    <w:p w:rsidR="00FC487B" w:rsidRDefault="00FC487B" w:rsidP="00FC487B">
      <w:pPr>
        <w:pStyle w:val="StandardWeb"/>
      </w:pPr>
      <w:r>
        <w:t>Damit wäre Kandidat D logisch unabhängig von der bisherigen Primäraxiomatik. [20]</w:t>
      </w:r>
    </w:p>
    <w:p w:rsidR="00FC487B" w:rsidRDefault="00E50336" w:rsidP="00FC487B">
      <w:r>
        <w:pict>
          <v:rect id="_x0000_i2549" style="width:0;height:1.5pt" o:hralign="center" o:hrstd="t" o:hr="t" fillcolor="#a0a0a0" stroked="f"/>
        </w:pict>
      </w:r>
    </w:p>
    <w:p w:rsidR="00FC487B" w:rsidRDefault="00FC487B" w:rsidP="00FC487B">
      <w:pPr>
        <w:pStyle w:val="berschrift1"/>
      </w:pPr>
      <w:r>
        <w:t>3.3.43.383 Konstruktion des Gegenmodells</w:t>
      </w:r>
    </w:p>
    <w:p w:rsidR="00FC487B" w:rsidRDefault="00FC487B" w:rsidP="00FC487B">
      <w:pPr>
        <w:pStyle w:val="StandardWeb"/>
      </w:pPr>
      <w:r>
        <w:lastRenderedPageBreak/>
        <w:t>Ich konstruiere nun ein Gegenmodell</w:t>
      </w:r>
    </w:p>
    <w:p w:rsidR="00FC487B" w:rsidRDefault="00FC487B" w:rsidP="00FC487B">
      <w:pPr>
        <w:pStyle w:val="StandardWeb"/>
      </w:pPr>
      <w:r>
        <w:t>[</w:t>
      </w:r>
      <w:r>
        <w:br/>
        <w:t>\mathcal M_{\emptyset}</w:t>
      </w:r>
      <w:r>
        <w:br/>
        <w:t>\tag{3.9061}</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\mathcal M_{\emptyset}</w:t>
      </w:r>
    </w:p>
    <w:p w:rsidR="00FC487B" w:rsidRDefault="00FC487B" w:rsidP="00FC487B">
      <w:pPr>
        <w:pStyle w:val="StandardWeb"/>
      </w:pPr>
      <w:r>
        <w:t>mit den Eigenschaften</w:t>
      </w:r>
    </w:p>
    <w:p w:rsidR="00FC487B" w:rsidRDefault="00FC487B" w:rsidP="00FC487B">
      <w:pPr>
        <w:pStyle w:val="StandardWeb"/>
      </w:pPr>
      <w:r>
        <w:t>[</w:t>
      </w:r>
      <w:r>
        <w:br/>
        <w:t>R_F(\mathcal S)=1</w:t>
      </w:r>
      <w:r>
        <w:br/>
        <w:t>\tag{3.9062}</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R_F(\mathcal S)=1</w:t>
      </w:r>
    </w:p>
    <w:p w:rsidR="00FC487B" w:rsidRDefault="00FC487B" w:rsidP="00FC487B">
      <w:pPr>
        <w:pStyle w:val="StandardWeb"/>
      </w:pPr>
      <w:r>
        <w:t>für mindestens eine funktional relevante Teilstruktur, jedoch</w:t>
      </w:r>
    </w:p>
    <w:p w:rsidR="00FC487B" w:rsidRDefault="00FC487B" w:rsidP="00FC487B">
      <w:pPr>
        <w:pStyle w:val="StandardWeb"/>
      </w:pPr>
      <w:r>
        <w:t>[</w:t>
      </w:r>
      <w:r>
        <w:br/>
        <w:t>C_F(\mathcal S;z)=0</w:t>
      </w:r>
      <w:r>
        <w:br/>
        <w:t>\qquad</w:t>
      </w:r>
      <w:r>
        <w:br/>
        <w:t>\forall z\in\Omega_F.</w:t>
      </w:r>
      <w:r>
        <w:br/>
        <w:t>\tag{3.9063}</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C_F(\mathcal S;z)=0\qquad\forall z\in\Omega_F</w:t>
      </w:r>
    </w:p>
    <w:p w:rsidR="00FC487B" w:rsidRDefault="00FC487B" w:rsidP="00FC487B">
      <w:pPr>
        <w:pStyle w:val="StandardWeb"/>
      </w:pPr>
      <w:r>
        <w:t>Alle übrigen Primäraxiome bleiben dabei unverändert erfüllt. [20]</w:t>
      </w:r>
    </w:p>
    <w:p w:rsidR="00FC487B" w:rsidRDefault="00FC487B" w:rsidP="00FC487B">
      <w:pPr>
        <w:pStyle w:val="StandardWeb"/>
      </w:pPr>
      <w:r>
        <w:t>Damit gilt</w:t>
      </w:r>
    </w:p>
    <w:p w:rsidR="00FC487B" w:rsidRDefault="00FC487B" w:rsidP="00FC487B">
      <w:pPr>
        <w:pStyle w:val="StandardWeb"/>
      </w:pPr>
      <w:r>
        <w:t>[</w:t>
      </w:r>
      <w:r>
        <w:br/>
        <w:t>\mathcal M_{\emptyset}</w:t>
      </w:r>
      <w:r>
        <w:br/>
        <w:t>\models</w:t>
      </w:r>
      <w:r>
        <w:br/>
        <w:t>\neg A_C^{(D)}.</w:t>
      </w:r>
      <w:r>
        <w:br/>
        <w:t>\tag{3.9064}</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\mathcal M_{\emptyset}\models\neg A_C^{(D)}</w:t>
      </w:r>
    </w:p>
    <w:p w:rsidR="00FC487B" w:rsidRDefault="00FC487B" w:rsidP="00FC487B">
      <w:pPr>
        <w:pStyle w:val="StandardWeb"/>
      </w:pPr>
      <w:r>
        <w:t>Dieses Modell zeigt unmittelbar, dass Kandidat D nicht allein aus der Existenz funktional relevanter Teilstrukturen folgt. [20]</w:t>
      </w:r>
    </w:p>
    <w:p w:rsidR="00FC487B" w:rsidRDefault="00E50336" w:rsidP="00FC487B">
      <w:r>
        <w:lastRenderedPageBreak/>
        <w:pict>
          <v:rect id="_x0000_i2550" style="width:0;height:1.5pt" o:hralign="center" o:hrstd="t" o:hr="t" fillcolor="#a0a0a0" stroked="f"/>
        </w:pict>
      </w:r>
    </w:p>
    <w:p w:rsidR="00FC487B" w:rsidRDefault="00FC487B" w:rsidP="00FC487B">
      <w:pPr>
        <w:pStyle w:val="berschrift1"/>
      </w:pPr>
      <w:r>
        <w:t>3.3.43.384 Konstruktion eines erfüllenden Modells</w:t>
      </w:r>
    </w:p>
    <w:p w:rsidR="00FC487B" w:rsidRDefault="00FC487B" w:rsidP="00FC487B">
      <w:pPr>
        <w:pStyle w:val="StandardWeb"/>
      </w:pPr>
      <w:r>
        <w:t>Als Gegenstück konstruiere ich</w:t>
      </w:r>
    </w:p>
    <w:p w:rsidR="00FC487B" w:rsidRDefault="00FC487B" w:rsidP="00FC487B">
      <w:pPr>
        <w:pStyle w:val="StandardWeb"/>
      </w:pPr>
      <w:r>
        <w:t>[</w:t>
      </w:r>
      <w:r>
        <w:br/>
        <w:t>\mathcal M_{+}</w:t>
      </w:r>
      <w:r>
        <w:br/>
        <w:t>\tag{3.9065}</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\mathcal M_{+}</w:t>
      </w:r>
    </w:p>
    <w:p w:rsidR="00FC487B" w:rsidRDefault="00FC487B" w:rsidP="00FC487B">
      <w:pPr>
        <w:pStyle w:val="StandardWeb"/>
      </w:pPr>
      <w:r>
        <w:t>mit</w:t>
      </w:r>
    </w:p>
    <w:p w:rsidR="00FC487B" w:rsidRDefault="00FC487B" w:rsidP="00FC487B">
      <w:pPr>
        <w:pStyle w:val="StandardWeb"/>
      </w:pPr>
      <w:r>
        <w:t>[</w:t>
      </w:r>
      <w:r>
        <w:br/>
        <w:t>R_F(\mathcal S)=1</w:t>
      </w:r>
      <w:r>
        <w:br/>
        <w:t>\tag{3.9066}</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R_F(\mathcal S)=1</w:t>
      </w:r>
    </w:p>
    <w:p w:rsidR="00FC487B" w:rsidRDefault="00FC487B" w:rsidP="00FC487B">
      <w:pPr>
        <w:pStyle w:val="StandardWeb"/>
      </w:pPr>
      <w:r>
        <w:t>und zusätzlich</w:t>
      </w:r>
    </w:p>
    <w:p w:rsidR="00FC487B" w:rsidRDefault="00FC487B" w:rsidP="00FC487B">
      <w:pPr>
        <w:pStyle w:val="StandardWeb"/>
      </w:pPr>
      <w:r>
        <w:t>[</w:t>
      </w:r>
      <w:r>
        <w:br/>
        <w:t>C_F(\mathcal S;z)&gt;0</w:t>
      </w:r>
      <w:r>
        <w:br/>
        <w:t>\tag{3.9067}</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C_F(\mathcal S;z)&gt;0</w:t>
      </w:r>
    </w:p>
    <w:p w:rsidR="00FC487B" w:rsidRDefault="00FC487B" w:rsidP="00FC487B">
      <w:pPr>
        <w:pStyle w:val="StandardWeb"/>
      </w:pPr>
      <w:r>
        <w:t>für mindestens einen zulässigen Zustand.</w:t>
      </w:r>
    </w:p>
    <w:p w:rsidR="00FC487B" w:rsidRDefault="00FC487B" w:rsidP="00FC487B">
      <w:pPr>
        <w:pStyle w:val="StandardWeb"/>
      </w:pPr>
      <w:r>
        <w:t>Damit folgt</w:t>
      </w:r>
    </w:p>
    <w:p w:rsidR="00FC487B" w:rsidRDefault="00FC487B" w:rsidP="00FC487B">
      <w:pPr>
        <w:pStyle w:val="StandardWeb"/>
      </w:pPr>
      <w:r>
        <w:t>[</w:t>
      </w:r>
      <w:r>
        <w:br/>
        <w:t>\mathcal M_{+}</w:t>
      </w:r>
      <w:r>
        <w:br/>
        <w:t>\models</w:t>
      </w:r>
      <w:r>
        <w:br/>
        <w:t>A_C^{(D)}.</w:t>
      </w:r>
      <w:r>
        <w:br/>
        <w:t>\tag{3.9068}</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\mathcal M_{+}\models A_C^{(D)}</w:t>
      </w:r>
    </w:p>
    <w:p w:rsidR="00FC487B" w:rsidRDefault="00FC487B" w:rsidP="00FC487B">
      <w:pPr>
        <w:pStyle w:val="StandardWeb"/>
      </w:pPr>
      <w:r>
        <w:lastRenderedPageBreak/>
        <w:t>Da sowohl (\mathcal M_{\emptyset}) als auch (\mathcal M_{+}) sämtliche übrigen Primäraxiome erfüllen können, unterscheiden sie sich ausschließlich hinsichtlich Kandidat D. [20]</w:t>
      </w:r>
    </w:p>
    <w:p w:rsidR="00FC487B" w:rsidRDefault="00FC487B" w:rsidP="00FC487B">
      <w:pPr>
        <w:pStyle w:val="StandardWeb"/>
      </w:pPr>
      <w:r>
        <w:t>Somit ist dessen Unabhängigkeit modelltheoretisch nachgewiesen.</w:t>
      </w:r>
    </w:p>
    <w:p w:rsidR="00FC487B" w:rsidRDefault="00E50336" w:rsidP="00FC487B">
      <w:r>
        <w:pict>
          <v:rect id="_x0000_i2551" style="width:0;height:1.5pt" o:hralign="center" o:hrstd="t" o:hr="t" fillcolor="#a0a0a0" stroked="f"/>
        </w:pict>
      </w:r>
    </w:p>
    <w:p w:rsidR="00FC487B" w:rsidRDefault="00FC487B" w:rsidP="00FC487B">
      <w:pPr>
        <w:pStyle w:val="berschrift1"/>
      </w:pPr>
      <w:r>
        <w:t>3.3.43.385 Ergebnis der Unabhängigkeitsprüfung</w:t>
      </w:r>
    </w:p>
    <w:p w:rsidR="00FC487B" w:rsidRDefault="00FC487B" w:rsidP="00FC487B">
      <w:pPr>
        <w:pStyle w:val="StandardWeb"/>
      </w:pPr>
      <w:r>
        <w:t>Aus den beiden konstruierten Modellen folgt unmittelbar</w:t>
      </w:r>
    </w:p>
    <w:p w:rsidR="00FC487B" w:rsidRDefault="00FC487B" w:rsidP="00FC487B">
      <w:pPr>
        <w:pStyle w:val="StandardWeb"/>
      </w:pPr>
      <w:r>
        <w:t>[</w:t>
      </w:r>
      <w:r>
        <w:br/>
        <w:t>I_A(A_C^{(D)})=1.</w:t>
      </w:r>
      <w:r>
        <w:br/>
        <w:t>\tag{3.9069}</w:t>
      </w:r>
      <w:r>
        <w:br/>
        <w:t>]</w:t>
      </w:r>
    </w:p>
    <w:p w:rsidR="00FC487B" w:rsidRDefault="00FC487B" w:rsidP="00FC487B">
      <w:pPr>
        <w:pStyle w:val="StandardWeb"/>
      </w:pPr>
      <w:r>
        <w:rPr>
          <w:rStyle w:val="Fett"/>
        </w:rPr>
        <w:t>Word-LaTeX</w:t>
      </w:r>
    </w:p>
    <w:p w:rsidR="00FC487B" w:rsidRDefault="00FC487B" w:rsidP="00FC487B">
      <w:pPr>
        <w:pStyle w:val="HTMLVorformatiert"/>
        <w:rPr>
          <w:rStyle w:val="HTMLCode"/>
        </w:rPr>
      </w:pPr>
      <w:r>
        <w:rPr>
          <w:rStyle w:val="HTMLCode"/>
        </w:rPr>
        <w:t>I_A(A_C^{(D)})=1</w:t>
      </w:r>
    </w:p>
    <w:p w:rsidR="00FC487B" w:rsidRDefault="00FC487B" w:rsidP="00FC487B">
      <w:pPr>
        <w:pStyle w:val="StandardWeb"/>
      </w:pPr>
      <w:r>
        <w:t>Kandidat D erfüllt damit die Forderung nach logischer Unabhängigkeit gegenüber der bisherigen Primäraxiomatik. Er ist weder aus Definitionen noch aus bereits vorhandenen Primäraxiomen ableitbar und besitzt daher grundsätzlich Primäraxiomstatus. [20]</w:t>
      </w:r>
    </w:p>
    <w:p w:rsidR="00FC487B" w:rsidRDefault="00E50336" w:rsidP="00FC487B">
      <w:r>
        <w:pict>
          <v:rect id="_x0000_i2552" style="width:0;height:1.5pt" o:hralign="center" o:hrstd="t" o:hr="t" fillcolor="#a0a0a0" stroked="f"/>
        </w:pict>
      </w:r>
    </w:p>
    <w:p w:rsidR="00FC487B" w:rsidRDefault="00FC487B" w:rsidP="00FC487B">
      <w:pPr>
        <w:pStyle w:val="StandardWeb"/>
      </w:pPr>
      <w:r>
        <w:t xml:space="preserve">Ich würde jetzt unmittelbar mit </w:t>
      </w:r>
      <w:r>
        <w:rPr>
          <w:rStyle w:val="Fett"/>
        </w:rPr>
        <w:t>3.3.43.386</w:t>
      </w:r>
      <w:r>
        <w:t xml:space="preserve"> (Konsistenz der erweiterten Primäraxiomatik) fortsetzen und den Chat wieder vollständig ausnutzen.</w:t>
      </w:r>
    </w:p>
    <w:p w:rsidR="00D52394" w:rsidRDefault="00D52394" w:rsidP="00D52394">
      <w:pPr>
        <w:pStyle w:val="berschrift1"/>
        <w:rPr>
          <w:rFonts w:cs="Times New Roman"/>
          <w:sz w:val="48"/>
          <w:szCs w:val="48"/>
        </w:rPr>
      </w:pPr>
      <w:r>
        <w:t>3.3.43.386 Konsistenz der erweiterten Primäraxiomatik</w:t>
      </w:r>
    </w:p>
    <w:p w:rsidR="00D52394" w:rsidRDefault="00D52394" w:rsidP="00D52394">
      <w:pPr>
        <w:pStyle w:val="StandardWeb"/>
      </w:pPr>
      <w:r>
        <w:t>Mit der Unabhängigkeit von Kandidat D ist zwar gezeigt, dass dieser nicht aus den bisherigen Primäraxiomen folgt. Für eine Aufnahme in die Primäraxiomatik genügt dies jedoch noch nicht. Ebenso wichtig ist der Nachweis, dass durch die Erweiterung der bisherigen Axiomatik keine Widersprüche entstehen. [20]</w:t>
      </w:r>
    </w:p>
    <w:p w:rsidR="00D52394" w:rsidRDefault="00D52394" w:rsidP="00D52394">
      <w:pPr>
        <w:pStyle w:val="StandardWeb"/>
      </w:pPr>
      <w:r>
        <w:t>Ich erweitere daher die bisherige Primäraxiomatik</w:t>
      </w:r>
    </w:p>
    <w:p w:rsidR="00D52394" w:rsidRDefault="00D52394" w:rsidP="00D52394">
      <w:pPr>
        <w:pStyle w:val="StandardWeb"/>
      </w:pPr>
      <w:r>
        <w:t>[</w:t>
      </w:r>
      <w:r>
        <w:br/>
        <w:t>\mathfrak A_F^{0}</w:t>
      </w:r>
      <w:r>
        <w:br/>
        <w:t>]</w:t>
      </w:r>
    </w:p>
    <w:p w:rsidR="00D52394" w:rsidRDefault="00D52394" w:rsidP="00D52394">
      <w:pPr>
        <w:pStyle w:val="StandardWeb"/>
      </w:pPr>
      <w:r>
        <w:t>um den Kandidaten D und erhalte</w:t>
      </w:r>
    </w:p>
    <w:p w:rsidR="00D52394" w:rsidRDefault="00D52394" w:rsidP="00D52394">
      <w:pPr>
        <w:pStyle w:val="berschrift1"/>
      </w:pPr>
      <w:r>
        <w:t>[</w:t>
      </w:r>
      <w:r>
        <w:br/>
        <w:t>\mathfrak A_F^{1}</w:t>
      </w:r>
    </w:p>
    <w:p w:rsidR="00D52394" w:rsidRDefault="00D52394" w:rsidP="00D52394">
      <w:pPr>
        <w:pStyle w:val="StandardWeb"/>
      </w:pPr>
      <w:r>
        <w:lastRenderedPageBreak/>
        <w:t>\mathfrak A_F^{0}</w:t>
      </w:r>
      <w:r>
        <w:br/>
        <w:t>\cup</w:t>
      </w:r>
      <w:r>
        <w:br/>
        <w:t>\left{</w:t>
      </w:r>
      <w:r>
        <w:br/>
        <w:t>A_C^{(D)}</w:t>
      </w:r>
      <w:r>
        <w:br/>
        <w:t>\right}.</w:t>
      </w:r>
      <w:r>
        <w:br/>
        <w:t>\tag{3.9070}</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\mathfrak A_F^{1}</w:t>
      </w:r>
    </w:p>
    <w:p w:rsidR="00D52394" w:rsidRDefault="00D52394" w:rsidP="00D52394">
      <w:pPr>
        <w:pStyle w:val="HTMLVorformatiert"/>
        <w:rPr>
          <w:rStyle w:val="HTMLCode"/>
        </w:rPr>
      </w:pPr>
      <w:r>
        <w:rPr>
          <w:rStyle w:val="HTMLCode"/>
        </w:rPr>
        <w:t>=</w:t>
      </w:r>
    </w:p>
    <w:p w:rsidR="00D52394" w:rsidRDefault="00D52394" w:rsidP="00D52394">
      <w:pPr>
        <w:pStyle w:val="HTMLVorformatiert"/>
        <w:rPr>
          <w:rStyle w:val="HTMLCode"/>
        </w:rPr>
      </w:pPr>
      <w:r>
        <w:rPr>
          <w:rStyle w:val="HTMLCode"/>
        </w:rPr>
        <w:t>\mathfrak A_F^{0}</w:t>
      </w:r>
    </w:p>
    <w:p w:rsidR="00D52394" w:rsidRDefault="00D52394" w:rsidP="00D52394">
      <w:pPr>
        <w:pStyle w:val="HTMLVorformatiert"/>
        <w:rPr>
          <w:rStyle w:val="HTMLCode"/>
        </w:rPr>
      </w:pPr>
      <w:r>
        <w:rPr>
          <w:rStyle w:val="HTMLCode"/>
        </w:rPr>
        <w:t>\cup</w:t>
      </w:r>
    </w:p>
    <w:p w:rsidR="00D52394" w:rsidRDefault="00D52394" w:rsidP="00D52394">
      <w:pPr>
        <w:pStyle w:val="HTMLVorformatiert"/>
        <w:rPr>
          <w:rStyle w:val="HTMLCode"/>
        </w:rPr>
      </w:pPr>
      <w:r>
        <w:rPr>
          <w:rStyle w:val="HTMLCode"/>
        </w:rPr>
        <w:t>\left\{</w:t>
      </w:r>
    </w:p>
    <w:p w:rsidR="00D52394" w:rsidRDefault="00D52394" w:rsidP="00D52394">
      <w:pPr>
        <w:pStyle w:val="HTMLVorformatiert"/>
        <w:rPr>
          <w:rStyle w:val="HTMLCode"/>
        </w:rPr>
      </w:pPr>
      <w:r>
        <w:rPr>
          <w:rStyle w:val="HTMLCode"/>
        </w:rPr>
        <w:t>A_C^{(D)}</w:t>
      </w:r>
    </w:p>
    <w:p w:rsidR="00D52394" w:rsidRDefault="00D52394" w:rsidP="00D52394">
      <w:pPr>
        <w:pStyle w:val="HTMLVorformatiert"/>
        <w:rPr>
          <w:rStyle w:val="HTMLCode"/>
        </w:rPr>
      </w:pPr>
      <w:r>
        <w:rPr>
          <w:rStyle w:val="HTMLCode"/>
        </w:rPr>
        <w:t>\right\}</w:t>
      </w:r>
    </w:p>
    <w:p w:rsidR="00D52394" w:rsidRDefault="00D52394" w:rsidP="00D52394">
      <w:pPr>
        <w:pStyle w:val="StandardWeb"/>
      </w:pPr>
      <w:r>
        <w:t>Die Konsistenzforderung lautet nun</w:t>
      </w:r>
    </w:p>
    <w:p w:rsidR="00D52394" w:rsidRDefault="00D52394" w:rsidP="00D52394">
      <w:pPr>
        <w:pStyle w:val="berschrift1"/>
      </w:pPr>
      <w:r>
        <w:t>[</w:t>
      </w:r>
      <w:r>
        <w:br/>
        <w:t>\operatorname{Cons}</w:t>
      </w:r>
      <w:r>
        <w:br/>
        <w:t>\left(</w:t>
      </w:r>
      <w:r>
        <w:br/>
        <w:t>\mathfrak A_F^{1}</w:t>
      </w:r>
      <w:r>
        <w:br/>
        <w:t>\right)</w:t>
      </w:r>
    </w:p>
    <w:p w:rsidR="00D52394" w:rsidRDefault="00D52394" w:rsidP="008C5E65">
      <w:pPr>
        <w:numPr>
          <w:ilvl w:val="0"/>
          <w:numId w:val="418"/>
        </w:numPr>
        <w:spacing w:before="100" w:beforeAutospacing="1" w:after="100" w:afterAutospacing="1"/>
      </w:pPr>
    </w:p>
    <w:p w:rsidR="00D52394" w:rsidRDefault="00D52394" w:rsidP="00D52394">
      <w:pPr>
        <w:pStyle w:val="StandardWeb"/>
      </w:pPr>
      <w:r>
        <w:t>\tag{3.9071}</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\operatorname{Cons}</w:t>
      </w:r>
    </w:p>
    <w:p w:rsidR="00D52394" w:rsidRDefault="00D52394" w:rsidP="00D52394">
      <w:pPr>
        <w:pStyle w:val="HTMLVorformatiert"/>
        <w:rPr>
          <w:rStyle w:val="HTMLCode"/>
        </w:rPr>
      </w:pPr>
      <w:r>
        <w:rPr>
          <w:rStyle w:val="HTMLCode"/>
        </w:rPr>
        <w:t>\left(</w:t>
      </w:r>
    </w:p>
    <w:p w:rsidR="00D52394" w:rsidRDefault="00D52394" w:rsidP="00D52394">
      <w:pPr>
        <w:pStyle w:val="HTMLVorformatiert"/>
        <w:rPr>
          <w:rStyle w:val="HTMLCode"/>
        </w:rPr>
      </w:pPr>
      <w:r>
        <w:rPr>
          <w:rStyle w:val="HTMLCode"/>
        </w:rPr>
        <w:t>\mathfrak A_F^{1}</w:t>
      </w:r>
    </w:p>
    <w:p w:rsidR="00D52394" w:rsidRDefault="00D52394" w:rsidP="00D52394">
      <w:pPr>
        <w:pStyle w:val="HTMLVorformatiert"/>
        <w:rPr>
          <w:rStyle w:val="HTMLCode"/>
        </w:rPr>
      </w:pPr>
      <w:r>
        <w:rPr>
          <w:rStyle w:val="HTMLCode"/>
        </w:rPr>
        <w:t>\right)</w:t>
      </w:r>
    </w:p>
    <w:p w:rsidR="00D52394" w:rsidRDefault="00D52394" w:rsidP="00D52394">
      <w:pPr>
        <w:pStyle w:val="HTMLVorformatiert"/>
        <w:rPr>
          <w:rStyle w:val="HTMLCode"/>
        </w:rPr>
      </w:pPr>
      <w:r>
        <w:rPr>
          <w:rStyle w:val="HTMLCode"/>
        </w:rPr>
        <w:t>=</w:t>
      </w:r>
    </w:p>
    <w:p w:rsidR="00D52394" w:rsidRDefault="00D52394" w:rsidP="00D52394">
      <w:pPr>
        <w:pStyle w:val="HTMLVorformatiert"/>
        <w:rPr>
          <w:rStyle w:val="HTMLCode"/>
        </w:rPr>
      </w:pPr>
      <w:r>
        <w:rPr>
          <w:rStyle w:val="HTMLCode"/>
        </w:rPr>
        <w:t>1</w:t>
      </w:r>
    </w:p>
    <w:p w:rsidR="00D52394" w:rsidRDefault="00D52394" w:rsidP="00D52394">
      <w:pPr>
        <w:pStyle w:val="StandardWeb"/>
      </w:pPr>
      <w:r>
        <w:t>Dabei bedeutet der Wert Eins, dass mindestens ein Modell existiert, welches sämtliche Primäraxiome gleichzeitig erfüllt. [20]</w:t>
      </w:r>
    </w:p>
    <w:p w:rsidR="00D52394" w:rsidRDefault="00E50336" w:rsidP="00D52394">
      <w:r>
        <w:pict>
          <v:rect id="_x0000_i2553" style="width:0;height:1.5pt" o:hralign="center" o:hrstd="t" o:hr="t" fillcolor="#a0a0a0" stroked="f"/>
        </w:pict>
      </w:r>
    </w:p>
    <w:p w:rsidR="00D52394" w:rsidRDefault="00D52394" w:rsidP="00D52394">
      <w:pPr>
        <w:pStyle w:val="berschrift1"/>
      </w:pPr>
      <w:r>
        <w:lastRenderedPageBreak/>
        <w:t>3.3.43.387 Existenz eines gemeinsamen Modells</w:t>
      </w:r>
    </w:p>
    <w:p w:rsidR="00D52394" w:rsidRDefault="00D52394" w:rsidP="00D52394">
      <w:pPr>
        <w:pStyle w:val="StandardWeb"/>
      </w:pPr>
      <w:r>
        <w:t>Ein formaler Konsistenznachweis beginnt mit der Existenzforderung</w:t>
      </w:r>
    </w:p>
    <w:p w:rsidR="00D52394" w:rsidRDefault="00D52394" w:rsidP="00D52394">
      <w:pPr>
        <w:pStyle w:val="StandardWeb"/>
      </w:pPr>
      <w:r>
        <w:t>[</w:t>
      </w:r>
      <w:r>
        <w:br/>
        <w:t>\exists</w:t>
      </w:r>
      <w:r>
        <w:br/>
        <w:t>\mathcal M</w:t>
      </w:r>
      <w:r>
        <w:br/>
        <w:t>:</w:t>
      </w:r>
      <w:r>
        <w:br/>
        <w:t>\mathcal M</w:t>
      </w:r>
      <w:r>
        <w:br/>
        <w:t>\models</w:t>
      </w:r>
      <w:r>
        <w:br/>
        <w:t>\mathfrak A_F^{1}.</w:t>
      </w:r>
      <w:r>
        <w:br/>
        <w:t>\tag{3.9072}</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\exists</w:t>
      </w:r>
    </w:p>
    <w:p w:rsidR="00D52394" w:rsidRDefault="00D52394" w:rsidP="00D52394">
      <w:pPr>
        <w:pStyle w:val="HTMLVorformatiert"/>
        <w:rPr>
          <w:rStyle w:val="HTMLCode"/>
        </w:rPr>
      </w:pPr>
      <w:r>
        <w:rPr>
          <w:rStyle w:val="HTMLCode"/>
        </w:rPr>
        <w:t>\mathcal M</w:t>
      </w:r>
    </w:p>
    <w:p w:rsidR="00D52394" w:rsidRDefault="00D52394" w:rsidP="00D52394">
      <w:pPr>
        <w:pStyle w:val="HTMLVorformatiert"/>
        <w:rPr>
          <w:rStyle w:val="HTMLCode"/>
        </w:rPr>
      </w:pPr>
      <w:r>
        <w:rPr>
          <w:rStyle w:val="HTMLCode"/>
        </w:rPr>
        <w:t>:</w:t>
      </w:r>
    </w:p>
    <w:p w:rsidR="00D52394" w:rsidRDefault="00D52394" w:rsidP="00D52394">
      <w:pPr>
        <w:pStyle w:val="HTMLVorformatiert"/>
        <w:rPr>
          <w:rStyle w:val="HTMLCode"/>
        </w:rPr>
      </w:pPr>
      <w:r>
        <w:rPr>
          <w:rStyle w:val="HTMLCode"/>
        </w:rPr>
        <w:t>\mathcal M</w:t>
      </w:r>
    </w:p>
    <w:p w:rsidR="00D52394" w:rsidRDefault="00D52394" w:rsidP="00D52394">
      <w:pPr>
        <w:pStyle w:val="HTMLVorformatiert"/>
        <w:rPr>
          <w:rStyle w:val="HTMLCode"/>
        </w:rPr>
      </w:pPr>
      <w:r>
        <w:rPr>
          <w:rStyle w:val="HTMLCode"/>
        </w:rPr>
        <w:t>\models</w:t>
      </w:r>
    </w:p>
    <w:p w:rsidR="00D52394" w:rsidRDefault="00D52394" w:rsidP="00D52394">
      <w:pPr>
        <w:pStyle w:val="HTMLVorformatiert"/>
        <w:rPr>
          <w:rStyle w:val="HTMLCode"/>
        </w:rPr>
      </w:pPr>
      <w:r>
        <w:rPr>
          <w:rStyle w:val="HTMLCode"/>
        </w:rPr>
        <w:t>\mathfrak A_F^{1}</w:t>
      </w:r>
    </w:p>
    <w:p w:rsidR="00D52394" w:rsidRDefault="00D52394" w:rsidP="00D52394">
      <w:pPr>
        <w:pStyle w:val="StandardWeb"/>
      </w:pPr>
      <w:r>
        <w:t>Ich verwende hierzu das bereits eingeführte Modell</w:t>
      </w:r>
    </w:p>
    <w:p w:rsidR="00D52394" w:rsidRDefault="00D52394" w:rsidP="00D52394">
      <w:pPr>
        <w:pStyle w:val="StandardWeb"/>
      </w:pPr>
      <w:r>
        <w:t>[</w:t>
      </w:r>
      <w:r>
        <w:br/>
        <w:t>\mathcal M_{+},</w:t>
      </w:r>
      <w:r>
        <w:br/>
        <w:t>\tag{3.9073}</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\mathcal M_{+}</w:t>
      </w:r>
    </w:p>
    <w:p w:rsidR="00D52394" w:rsidRDefault="00D52394" w:rsidP="00D52394">
      <w:pPr>
        <w:pStyle w:val="StandardWeb"/>
      </w:pPr>
      <w:r>
        <w:t>welches mindestens eine funktional relevante kohärente Teilstruktur enthält und sämtliche bisherigen Primäraxiome erfüllt.</w:t>
      </w:r>
    </w:p>
    <w:p w:rsidR="00D52394" w:rsidRDefault="00D52394" w:rsidP="00D52394">
      <w:pPr>
        <w:pStyle w:val="StandardWeb"/>
      </w:pPr>
      <w:r>
        <w:t>Damit gilt</w:t>
      </w:r>
    </w:p>
    <w:p w:rsidR="00D52394" w:rsidRDefault="00D52394" w:rsidP="00D52394">
      <w:pPr>
        <w:pStyle w:val="StandardWeb"/>
      </w:pPr>
      <w:r>
        <w:t>[</w:t>
      </w:r>
      <w:r>
        <w:br/>
        <w:t>\mathcal M_{+}</w:t>
      </w:r>
      <w:r>
        <w:br/>
        <w:t>\models</w:t>
      </w:r>
      <w:r>
        <w:br/>
        <w:t>\mathfrak A_F^{1}.</w:t>
      </w:r>
      <w:r>
        <w:br/>
        <w:t>\tag{3.9074}</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\mathcal M_{+}</w:t>
      </w:r>
    </w:p>
    <w:p w:rsidR="00D52394" w:rsidRDefault="00D52394" w:rsidP="00D52394">
      <w:pPr>
        <w:pStyle w:val="HTMLVorformatiert"/>
        <w:rPr>
          <w:rStyle w:val="HTMLCode"/>
        </w:rPr>
      </w:pPr>
      <w:r>
        <w:rPr>
          <w:rStyle w:val="HTMLCode"/>
        </w:rPr>
        <w:lastRenderedPageBreak/>
        <w:t>\models</w:t>
      </w:r>
    </w:p>
    <w:p w:rsidR="00D52394" w:rsidRDefault="00D52394" w:rsidP="00D52394">
      <w:pPr>
        <w:pStyle w:val="HTMLVorformatiert"/>
        <w:rPr>
          <w:rStyle w:val="HTMLCode"/>
        </w:rPr>
      </w:pPr>
      <w:r>
        <w:rPr>
          <w:rStyle w:val="HTMLCode"/>
        </w:rPr>
        <w:t>\mathfrak A_F^{1}</w:t>
      </w:r>
    </w:p>
    <w:p w:rsidR="00D52394" w:rsidRDefault="00D52394" w:rsidP="00D52394">
      <w:pPr>
        <w:pStyle w:val="StandardWeb"/>
      </w:pPr>
      <w:r>
        <w:t>Die Existenz mindestens eines zulässigen Modells ist damit sichergestellt. [20]</w:t>
      </w:r>
    </w:p>
    <w:p w:rsidR="00D52394" w:rsidRDefault="00E50336" w:rsidP="00D52394">
      <w:r>
        <w:pict>
          <v:rect id="_x0000_i2554" style="width:0;height:1.5pt" o:hralign="center" o:hrstd="t" o:hr="t" fillcolor="#a0a0a0" stroked="f"/>
        </w:pict>
      </w:r>
    </w:p>
    <w:p w:rsidR="00D52394" w:rsidRDefault="00D52394" w:rsidP="00D52394">
      <w:pPr>
        <w:pStyle w:val="berschrift1"/>
      </w:pPr>
      <w:r>
        <w:t>3.3.43.388 Prüfung auf direkten Widerspruch</w:t>
      </w:r>
    </w:p>
    <w:p w:rsidR="00D52394" w:rsidRDefault="00D52394" w:rsidP="00D52394">
      <w:pPr>
        <w:pStyle w:val="StandardWeb"/>
      </w:pPr>
      <w:r>
        <w:t>Ein neues Primäraxiom wäre unzulässig, wenn gemeinsam mit den bisherigen Axiomen unmittelbar ein Widerspruch entstehen würde.</w:t>
      </w:r>
    </w:p>
    <w:p w:rsidR="00D52394" w:rsidRDefault="00D52394" w:rsidP="00D52394">
      <w:pPr>
        <w:pStyle w:val="StandardWeb"/>
      </w:pPr>
      <w:r>
        <w:t>Dies entspräche</w:t>
      </w:r>
    </w:p>
    <w:p w:rsidR="00D52394" w:rsidRDefault="00D52394" w:rsidP="00D52394">
      <w:pPr>
        <w:pStyle w:val="StandardWeb"/>
      </w:pPr>
      <w:r>
        <w:t>[</w:t>
      </w:r>
      <w:r>
        <w:br/>
        <w:t>\mathfrak A_F^{1}</w:t>
      </w:r>
      <w:r>
        <w:br/>
        <w:t>\vdash</w:t>
      </w:r>
      <w:r>
        <w:br/>
        <w:t>\bot .</w:t>
      </w:r>
      <w:r>
        <w:br/>
        <w:t>\tag{3.9075}</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\mathfrak A_F^{1}</w:t>
      </w:r>
    </w:p>
    <w:p w:rsidR="00D52394" w:rsidRDefault="00D52394" w:rsidP="00D52394">
      <w:pPr>
        <w:pStyle w:val="HTMLVorformatiert"/>
        <w:rPr>
          <w:rStyle w:val="HTMLCode"/>
        </w:rPr>
      </w:pPr>
      <w:r>
        <w:rPr>
          <w:rStyle w:val="HTMLCode"/>
        </w:rPr>
        <w:t>\vdash</w:t>
      </w:r>
    </w:p>
    <w:p w:rsidR="00D52394" w:rsidRDefault="00D52394" w:rsidP="00D52394">
      <w:pPr>
        <w:pStyle w:val="HTMLVorformatiert"/>
        <w:rPr>
          <w:rStyle w:val="HTMLCode"/>
        </w:rPr>
      </w:pPr>
      <w:r>
        <w:rPr>
          <w:rStyle w:val="HTMLCode"/>
        </w:rPr>
        <w:t>\bot</w:t>
      </w:r>
    </w:p>
    <w:p w:rsidR="00D52394" w:rsidRDefault="00D52394" w:rsidP="00D52394">
      <w:pPr>
        <w:pStyle w:val="StandardWeb"/>
      </w:pPr>
      <w:r>
        <w:t>Da jedoch bereits ein erfüllendes Modell existiert, folgt unmittelbar</w:t>
      </w:r>
    </w:p>
    <w:p w:rsidR="00D52394" w:rsidRDefault="00D52394" w:rsidP="00D52394">
      <w:pPr>
        <w:pStyle w:val="StandardWeb"/>
      </w:pPr>
      <w:r>
        <w:t>[</w:t>
      </w:r>
      <w:r>
        <w:br/>
        <w:t>\mathfrak A_F^{1}</w:t>
      </w:r>
      <w:r>
        <w:br/>
        <w:t>\nvdash</w:t>
      </w:r>
      <w:r>
        <w:br/>
        <w:t>\bot .</w:t>
      </w:r>
      <w:r>
        <w:br/>
        <w:t>\tag{3.9076}</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\mathfrak A_F^{1}</w:t>
      </w:r>
    </w:p>
    <w:p w:rsidR="00D52394" w:rsidRDefault="00D52394" w:rsidP="00D52394">
      <w:pPr>
        <w:pStyle w:val="HTMLVorformatiert"/>
        <w:rPr>
          <w:rStyle w:val="HTMLCode"/>
        </w:rPr>
      </w:pPr>
      <w:r>
        <w:rPr>
          <w:rStyle w:val="HTMLCode"/>
        </w:rPr>
        <w:t>\nvdash</w:t>
      </w:r>
    </w:p>
    <w:p w:rsidR="00D52394" w:rsidRDefault="00D52394" w:rsidP="00D52394">
      <w:pPr>
        <w:pStyle w:val="HTMLVorformatiert"/>
        <w:rPr>
          <w:rStyle w:val="HTMLCode"/>
        </w:rPr>
      </w:pPr>
      <w:r>
        <w:rPr>
          <w:rStyle w:val="HTMLCode"/>
        </w:rPr>
        <w:t>\bot</w:t>
      </w:r>
    </w:p>
    <w:p w:rsidR="00D52394" w:rsidRDefault="00D52394" w:rsidP="00D52394">
      <w:pPr>
        <w:pStyle w:val="StandardWeb"/>
      </w:pPr>
      <w:r>
        <w:t>Somit erzeugt Kandidat D keinen logischen Widerspruch innerhalb der bisherigen Theorie. [20]</w:t>
      </w:r>
    </w:p>
    <w:p w:rsidR="00D52394" w:rsidRDefault="00E50336" w:rsidP="00D52394">
      <w:r>
        <w:pict>
          <v:rect id="_x0000_i2555" style="width:0;height:1.5pt" o:hralign="center" o:hrstd="t" o:hr="t" fillcolor="#a0a0a0" stroked="f"/>
        </w:pict>
      </w:r>
    </w:p>
    <w:p w:rsidR="00D52394" w:rsidRDefault="00D52394" w:rsidP="00D52394">
      <w:pPr>
        <w:pStyle w:val="berschrift1"/>
      </w:pPr>
      <w:r>
        <w:t>3.3.43.389 Vereinbarkeit mit der funktionalen Konsistenz</w:t>
      </w:r>
    </w:p>
    <w:p w:rsidR="00D52394" w:rsidRDefault="00D52394" w:rsidP="00D52394">
      <w:pPr>
        <w:pStyle w:val="StandardWeb"/>
      </w:pPr>
      <w:r>
        <w:lastRenderedPageBreak/>
        <w:t>Bereits zuvor wurde funktionale Konsistenz durch</w:t>
      </w:r>
    </w:p>
    <w:p w:rsidR="00D52394" w:rsidRDefault="00D52394" w:rsidP="00D52394">
      <w:pPr>
        <w:pStyle w:val="StandardWeb"/>
      </w:pPr>
      <w:r>
        <w:t>[</w:t>
      </w:r>
      <w:r>
        <w:br/>
        <w:t>K_F=1</w:t>
      </w:r>
      <w:r>
        <w:br/>
        <w:t>]</w:t>
      </w:r>
    </w:p>
    <w:p w:rsidR="00D52394" w:rsidRDefault="00D52394" w:rsidP="00D52394">
      <w:pPr>
        <w:pStyle w:val="StandardWeb"/>
      </w:pPr>
      <w:r>
        <w:t>charakterisiert.</w:t>
      </w:r>
    </w:p>
    <w:p w:rsidR="00D52394" w:rsidRDefault="00D52394" w:rsidP="00D52394">
      <w:pPr>
        <w:pStyle w:val="StandardWeb"/>
      </w:pPr>
      <w:r>
        <w:t>Kandidat D fordert zusätzlich lediglich</w:t>
      </w:r>
    </w:p>
    <w:p w:rsidR="00D52394" w:rsidRDefault="00D52394" w:rsidP="00D52394">
      <w:pPr>
        <w:pStyle w:val="StandardWeb"/>
      </w:pPr>
      <w:r>
        <w:t>[</w:t>
      </w:r>
      <w:r>
        <w:br/>
        <w:t>C_F&gt;0</w:t>
      </w:r>
      <w:r>
        <w:br/>
        <w:t>]</w:t>
      </w:r>
    </w:p>
    <w:p w:rsidR="00D52394" w:rsidRDefault="00D52394" w:rsidP="00D52394">
      <w:pPr>
        <w:pStyle w:val="StandardWeb"/>
      </w:pPr>
      <w:r>
        <w:t>für mindestens eine funktional relevante Teilstruktur.</w:t>
      </w:r>
    </w:p>
    <w:p w:rsidR="00D52394" w:rsidRDefault="00D52394" w:rsidP="00D52394">
      <w:pPr>
        <w:pStyle w:val="StandardWeb"/>
      </w:pPr>
      <w:r>
        <w:t>Zwischen beiden Aussagen besteht keinerlei logischer Gegensatz.</w:t>
      </w:r>
    </w:p>
    <w:p w:rsidR="00D52394" w:rsidRDefault="00D52394" w:rsidP="00D52394">
      <w:pPr>
        <w:pStyle w:val="StandardWeb"/>
      </w:pPr>
      <w:r>
        <w:t>Formal gilt</w:t>
      </w:r>
    </w:p>
    <w:p w:rsidR="00D52394" w:rsidRDefault="00D52394" w:rsidP="00D52394">
      <w:pPr>
        <w:pStyle w:val="StandardWeb"/>
      </w:pPr>
      <w:r>
        <w:t>[</w:t>
      </w:r>
      <w:r>
        <w:br/>
        <w:t>K_F</w:t>
      </w:r>
      <w:r>
        <w:br/>
        <w:t>\land</w:t>
      </w:r>
      <w:r>
        <w:br/>
        <w:t>A_C^{(D)}</w:t>
      </w:r>
      <w:r>
        <w:br/>
        <w:t>\not\Rightarrow</w:t>
      </w:r>
      <w:r>
        <w:br/>
        <w:t>\bot .</w:t>
      </w:r>
      <w:r>
        <w:br/>
        <w:t>\tag{3.9077}</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K_F</w:t>
      </w:r>
    </w:p>
    <w:p w:rsidR="00D52394" w:rsidRDefault="00D52394" w:rsidP="00D52394">
      <w:pPr>
        <w:pStyle w:val="HTMLVorformatiert"/>
        <w:rPr>
          <w:rStyle w:val="HTMLCode"/>
        </w:rPr>
      </w:pPr>
      <w:r>
        <w:rPr>
          <w:rStyle w:val="HTMLCode"/>
        </w:rPr>
        <w:t>\land</w:t>
      </w:r>
    </w:p>
    <w:p w:rsidR="00D52394" w:rsidRDefault="00D52394" w:rsidP="00D52394">
      <w:pPr>
        <w:pStyle w:val="HTMLVorformatiert"/>
        <w:rPr>
          <w:rStyle w:val="HTMLCode"/>
        </w:rPr>
      </w:pPr>
      <w:r>
        <w:rPr>
          <w:rStyle w:val="HTMLCode"/>
        </w:rPr>
        <w:t>A_C^{(D)}</w:t>
      </w:r>
    </w:p>
    <w:p w:rsidR="00D52394" w:rsidRDefault="00D52394" w:rsidP="00D52394">
      <w:pPr>
        <w:pStyle w:val="HTMLVorformatiert"/>
        <w:rPr>
          <w:rStyle w:val="HTMLCode"/>
        </w:rPr>
      </w:pPr>
      <w:r>
        <w:rPr>
          <w:rStyle w:val="HTMLCode"/>
        </w:rPr>
        <w:t>\not\Rightarrow</w:t>
      </w:r>
    </w:p>
    <w:p w:rsidR="00D52394" w:rsidRDefault="00D52394" w:rsidP="00D52394">
      <w:pPr>
        <w:pStyle w:val="HTMLVorformatiert"/>
        <w:rPr>
          <w:rStyle w:val="HTMLCode"/>
        </w:rPr>
      </w:pPr>
      <w:r>
        <w:rPr>
          <w:rStyle w:val="HTMLCode"/>
        </w:rPr>
        <w:t>\bot</w:t>
      </w:r>
    </w:p>
    <w:p w:rsidR="00D52394" w:rsidRDefault="00D52394" w:rsidP="00D52394">
      <w:pPr>
        <w:pStyle w:val="StandardWeb"/>
      </w:pPr>
      <w:r>
        <w:t>Damit bleibt die funktionale Konsistenz vollständig erhalten. [20]</w:t>
      </w:r>
    </w:p>
    <w:p w:rsidR="00D52394" w:rsidRDefault="00E50336" w:rsidP="00D52394">
      <w:r>
        <w:pict>
          <v:rect id="_x0000_i2556" style="width:0;height:1.5pt" o:hralign="center" o:hrstd="t" o:hr="t" fillcolor="#a0a0a0" stroked="f"/>
        </w:pict>
      </w:r>
    </w:p>
    <w:p w:rsidR="00D52394" w:rsidRDefault="00D52394" w:rsidP="00D52394">
      <w:pPr>
        <w:pStyle w:val="berschrift1"/>
      </w:pPr>
      <w:r>
        <w:t>3.3.43.390 Vereinbarkeit mit Kohärenzbrüchen</w:t>
      </w:r>
    </w:p>
    <w:p w:rsidR="00D52394" w:rsidRDefault="00D52394" w:rsidP="00D52394">
      <w:pPr>
        <w:pStyle w:val="StandardWeb"/>
      </w:pPr>
      <w:r>
        <w:t>Ebenso muss geprüft werden, ob Kandidat D spätere Kohärenzbrüche ausschließt.</w:t>
      </w:r>
    </w:p>
    <w:p w:rsidR="00D52394" w:rsidRDefault="00D52394" w:rsidP="00D52394">
      <w:pPr>
        <w:pStyle w:val="StandardWeb"/>
      </w:pPr>
      <w:r>
        <w:t>Der Kandidat fordert lediglich</w:t>
      </w:r>
    </w:p>
    <w:p w:rsidR="00D52394" w:rsidRDefault="00D52394" w:rsidP="00D52394">
      <w:pPr>
        <w:pStyle w:val="StandardWeb"/>
      </w:pPr>
      <w:r>
        <w:t>[</w:t>
      </w:r>
      <w:r>
        <w:br/>
        <w:t>\exists</w:t>
      </w:r>
      <w:r>
        <w:br/>
        <w:t>z</w:t>
      </w:r>
      <w:r>
        <w:br/>
      </w:r>
      <w:r>
        <w:lastRenderedPageBreak/>
        <w:t>:</w:t>
      </w:r>
      <w:r>
        <w:br/>
        <w:t>C_F&gt;0.</w:t>
      </w:r>
      <w:r>
        <w:br/>
        <w:t>\tag{3.9078}</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\exists</w:t>
      </w:r>
    </w:p>
    <w:p w:rsidR="00D52394" w:rsidRDefault="00D52394" w:rsidP="00D52394">
      <w:pPr>
        <w:pStyle w:val="HTMLVorformatiert"/>
        <w:rPr>
          <w:rStyle w:val="HTMLCode"/>
        </w:rPr>
      </w:pPr>
      <w:r>
        <w:rPr>
          <w:rStyle w:val="HTMLCode"/>
        </w:rPr>
        <w:t>z</w:t>
      </w:r>
    </w:p>
    <w:p w:rsidR="00D52394" w:rsidRDefault="00D52394" w:rsidP="00D52394">
      <w:pPr>
        <w:pStyle w:val="HTMLVorformatiert"/>
        <w:rPr>
          <w:rStyle w:val="HTMLCode"/>
        </w:rPr>
      </w:pPr>
      <w:r>
        <w:rPr>
          <w:rStyle w:val="HTMLCode"/>
        </w:rPr>
        <w:t>:</w:t>
      </w:r>
    </w:p>
    <w:p w:rsidR="00D52394" w:rsidRDefault="00D52394" w:rsidP="00D52394">
      <w:pPr>
        <w:pStyle w:val="HTMLVorformatiert"/>
        <w:rPr>
          <w:rStyle w:val="HTMLCode"/>
        </w:rPr>
      </w:pPr>
      <w:r>
        <w:rPr>
          <w:rStyle w:val="HTMLCode"/>
        </w:rPr>
        <w:t>C_F&gt;0</w:t>
      </w:r>
    </w:p>
    <w:p w:rsidR="00D52394" w:rsidRDefault="00D52394" w:rsidP="00D52394">
      <w:pPr>
        <w:pStyle w:val="StandardWeb"/>
      </w:pPr>
      <w:r>
        <w:t xml:space="preserve">Daraus folgt ausdrücklich </w:t>
      </w:r>
      <w:r>
        <w:rPr>
          <w:rStyle w:val="Fett"/>
        </w:rPr>
        <w:t>nicht</w:t>
      </w:r>
    </w:p>
    <w:p w:rsidR="00D52394" w:rsidRDefault="00D52394" w:rsidP="00D52394">
      <w:pPr>
        <w:pStyle w:val="StandardWeb"/>
      </w:pPr>
      <w:r>
        <w:t>[</w:t>
      </w:r>
      <w:r>
        <w:br/>
        <w:t>\forall</w:t>
      </w:r>
      <w:r>
        <w:br/>
        <w:t>z</w:t>
      </w:r>
      <w:r>
        <w:br/>
        <w:t>:</w:t>
      </w:r>
      <w:r>
        <w:br/>
        <w:t>C_F&gt;0.</w:t>
      </w:r>
      <w:r>
        <w:br/>
        <w:t>\tag{3.9079}</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\forall</w:t>
      </w:r>
    </w:p>
    <w:p w:rsidR="00D52394" w:rsidRDefault="00D52394" w:rsidP="00D52394">
      <w:pPr>
        <w:pStyle w:val="HTMLVorformatiert"/>
        <w:rPr>
          <w:rStyle w:val="HTMLCode"/>
        </w:rPr>
      </w:pPr>
      <w:r>
        <w:rPr>
          <w:rStyle w:val="HTMLCode"/>
        </w:rPr>
        <w:t>z</w:t>
      </w:r>
    </w:p>
    <w:p w:rsidR="00D52394" w:rsidRDefault="00D52394" w:rsidP="00D52394">
      <w:pPr>
        <w:pStyle w:val="HTMLVorformatiert"/>
        <w:rPr>
          <w:rStyle w:val="HTMLCode"/>
        </w:rPr>
      </w:pPr>
      <w:r>
        <w:rPr>
          <w:rStyle w:val="HTMLCode"/>
        </w:rPr>
        <w:t>:</w:t>
      </w:r>
    </w:p>
    <w:p w:rsidR="00D52394" w:rsidRDefault="00D52394" w:rsidP="00D52394">
      <w:pPr>
        <w:pStyle w:val="HTMLVorformatiert"/>
        <w:rPr>
          <w:rStyle w:val="HTMLCode"/>
        </w:rPr>
      </w:pPr>
      <w:r>
        <w:rPr>
          <w:rStyle w:val="HTMLCode"/>
        </w:rPr>
        <w:t>C_F&gt;0</w:t>
      </w:r>
    </w:p>
    <w:p w:rsidR="00D52394" w:rsidRDefault="00D52394" w:rsidP="00D52394">
      <w:pPr>
        <w:pStyle w:val="StandardWeb"/>
      </w:pPr>
      <w:r>
        <w:t>Somit bleiben Zustände mit</w:t>
      </w:r>
    </w:p>
    <w:p w:rsidR="00D52394" w:rsidRDefault="00D52394" w:rsidP="00D52394">
      <w:pPr>
        <w:pStyle w:val="StandardWeb"/>
      </w:pPr>
      <w:r>
        <w:t>[</w:t>
      </w:r>
      <w:r>
        <w:br/>
        <w:t>C_F=0</w:t>
      </w:r>
      <w:r>
        <w:br/>
        <w:t>\tag{3.9080}</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C_F=0</w:t>
      </w:r>
    </w:p>
    <w:p w:rsidR="00D52394" w:rsidRDefault="00D52394" w:rsidP="00D52394">
      <w:pPr>
        <w:pStyle w:val="StandardWeb"/>
      </w:pPr>
      <w:r>
        <w:t>weiterhin zulässig.</w:t>
      </w:r>
    </w:p>
    <w:p w:rsidR="00D52394" w:rsidRDefault="00D52394" w:rsidP="00D52394">
      <w:pPr>
        <w:pStyle w:val="StandardWeb"/>
      </w:pPr>
      <w:r>
        <w:t>Der zuvor entwickelte Begriff des Kohärenzbruches bleibt daher vollständig erhalten. [20]</w:t>
      </w:r>
    </w:p>
    <w:p w:rsidR="00D52394" w:rsidRDefault="00E50336" w:rsidP="00D52394">
      <w:r>
        <w:pict>
          <v:rect id="_x0000_i2557" style="width:0;height:1.5pt" o:hralign="center" o:hrstd="t" o:hr="t" fillcolor="#a0a0a0" stroked="f"/>
        </w:pict>
      </w:r>
    </w:p>
    <w:p w:rsidR="00D52394" w:rsidRDefault="00D52394" w:rsidP="00D52394">
      <w:pPr>
        <w:pStyle w:val="berschrift1"/>
      </w:pPr>
      <w:r>
        <w:t>3.3.43.391 Vereinbarkeit mit der offenen Dynamik</w:t>
      </w:r>
    </w:p>
    <w:p w:rsidR="00D52394" w:rsidRDefault="00D52394" w:rsidP="00D52394">
      <w:pPr>
        <w:pStyle w:val="StandardWeb"/>
      </w:pPr>
      <w:r>
        <w:t>Ebenso wenig fordert Kandidat D eine zeitliche Erhaltung der Kohärenz.</w:t>
      </w:r>
    </w:p>
    <w:p w:rsidR="00D52394" w:rsidRDefault="00D52394" w:rsidP="00D52394">
      <w:pPr>
        <w:pStyle w:val="StandardWeb"/>
      </w:pPr>
      <w:r>
        <w:lastRenderedPageBreak/>
        <w:t>Insbesondere folgt nicht</w:t>
      </w:r>
    </w:p>
    <w:p w:rsidR="00D52394" w:rsidRDefault="00D52394" w:rsidP="00D52394">
      <w:pPr>
        <w:pStyle w:val="StandardWeb"/>
      </w:pPr>
      <w:r>
        <w:t>[</w:t>
      </w:r>
      <w:r>
        <w:br/>
        <w:t>\frac{dC_F}{dt}=0.</w:t>
      </w:r>
      <w:r>
        <w:br/>
        <w:t>\tag{3.9081}</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\frac{dC_F}{dt}=0</w:t>
      </w:r>
    </w:p>
    <w:p w:rsidR="00D52394" w:rsidRDefault="00D52394" w:rsidP="00D52394">
      <w:pPr>
        <w:pStyle w:val="StandardWeb"/>
      </w:pPr>
      <w:r>
        <w:t>Positive Kohärenz darf daher entstehen,</w:t>
      </w:r>
    </w:p>
    <w:p w:rsidR="00D52394" w:rsidRDefault="00D52394" w:rsidP="00D52394">
      <w:pPr>
        <w:pStyle w:val="StandardWeb"/>
      </w:pPr>
      <w:r>
        <w:t>[</w:t>
      </w:r>
      <w:r>
        <w:br/>
        <w:t>\frac{dC_F}{dt}&gt;0,</w:t>
      </w:r>
      <w:r>
        <w:br/>
        <w:t>\tag{3.9082}</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\frac{dC_F}{dt}&gt;0</w:t>
      </w:r>
    </w:p>
    <w:p w:rsidR="00D52394" w:rsidRDefault="00D52394" w:rsidP="00D52394">
      <w:pPr>
        <w:pStyle w:val="StandardWeb"/>
      </w:pPr>
      <w:r>
        <w:t>ebenso wie sie wieder verschwinden darf,</w:t>
      </w:r>
    </w:p>
    <w:p w:rsidR="00D52394" w:rsidRDefault="00D52394" w:rsidP="00D52394">
      <w:pPr>
        <w:pStyle w:val="StandardWeb"/>
      </w:pPr>
      <w:r>
        <w:t>[</w:t>
      </w:r>
      <w:r>
        <w:br/>
        <w:t>\frac{dC_F}{dt}&lt;0.</w:t>
      </w:r>
      <w:r>
        <w:br/>
        <w:t>\tag{3.9083}</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\frac{dC_F}{dt}&lt;0</w:t>
      </w:r>
    </w:p>
    <w:p w:rsidR="00D52394" w:rsidRDefault="00D52394" w:rsidP="00D52394">
      <w:pPr>
        <w:pStyle w:val="StandardWeb"/>
      </w:pPr>
      <w:r>
        <w:t>Die dynamische Offenheit des FRZK bleibt damit unverändert erhalten. [20]</w:t>
      </w:r>
    </w:p>
    <w:p w:rsidR="00D52394" w:rsidRDefault="00E50336" w:rsidP="00D52394">
      <w:r>
        <w:pict>
          <v:rect id="_x0000_i2558" style="width:0;height:1.5pt" o:hralign="center" o:hrstd="t" o:hr="t" fillcolor="#a0a0a0" stroked="f"/>
        </w:pict>
      </w:r>
    </w:p>
    <w:p w:rsidR="00D52394" w:rsidRDefault="00D52394" w:rsidP="00D52394">
      <w:pPr>
        <w:pStyle w:val="berschrift1"/>
      </w:pPr>
      <w:r>
        <w:t>3.3.43.392 Ergebnis der Konsistenzprüfung</w:t>
      </w:r>
    </w:p>
    <w:p w:rsidR="00D52394" w:rsidRDefault="00D52394" w:rsidP="00D52394">
      <w:pPr>
        <w:pStyle w:val="StandardWeb"/>
      </w:pPr>
      <w:r>
        <w:t>Die erweiterte Primäraxiomatik besitzt mindestens ein Modell, erzeugt keinen logischen Widerspruch, bleibt mit Kohärenzbrüchen vereinbar und schränkt die Dynamik nicht unnötig ein.</w:t>
      </w:r>
    </w:p>
    <w:p w:rsidR="00D52394" w:rsidRDefault="00D52394" w:rsidP="00D52394">
      <w:pPr>
        <w:pStyle w:val="StandardWeb"/>
      </w:pPr>
      <w:r>
        <w:t>Ich fasse das Ergebnis deshalb zusammen durch</w:t>
      </w:r>
    </w:p>
    <w:p w:rsidR="00D52394" w:rsidRDefault="00D52394" w:rsidP="00D52394">
      <w:pPr>
        <w:pStyle w:val="berschrift1"/>
      </w:pPr>
      <w:r>
        <w:t>[</w:t>
      </w:r>
      <w:r>
        <w:br/>
        <w:t>K_A</w:t>
      </w:r>
      <w:r>
        <w:br/>
        <w:t>\left(</w:t>
      </w:r>
      <w:r>
        <w:br/>
      </w:r>
      <w:r>
        <w:lastRenderedPageBreak/>
        <w:t>A_C^{(D)}</w:t>
      </w:r>
      <w:r>
        <w:br/>
        <w:t>\right)</w:t>
      </w:r>
    </w:p>
    <w:p w:rsidR="00D52394" w:rsidRDefault="00D52394" w:rsidP="008C5E65">
      <w:pPr>
        <w:numPr>
          <w:ilvl w:val="0"/>
          <w:numId w:val="419"/>
        </w:numPr>
        <w:spacing w:before="100" w:beforeAutospacing="1" w:after="100" w:afterAutospacing="1"/>
      </w:pPr>
    </w:p>
    <w:p w:rsidR="00D52394" w:rsidRDefault="00D52394" w:rsidP="00D52394">
      <w:pPr>
        <w:pStyle w:val="StandardWeb"/>
      </w:pPr>
      <w:r>
        <w:t>\tag{3.9084}</w:t>
      </w:r>
      <w:r>
        <w:br/>
        <w:t>]</w:t>
      </w:r>
    </w:p>
    <w:p w:rsidR="00D52394" w:rsidRDefault="00D52394" w:rsidP="00D52394">
      <w:pPr>
        <w:pStyle w:val="StandardWeb"/>
      </w:pPr>
      <w:r>
        <w:rPr>
          <w:rStyle w:val="Fett"/>
        </w:rPr>
        <w:t>Word-LaTeX</w:t>
      </w:r>
    </w:p>
    <w:p w:rsidR="00D52394" w:rsidRDefault="00D52394" w:rsidP="00D52394">
      <w:pPr>
        <w:pStyle w:val="HTMLVorformatiert"/>
        <w:rPr>
          <w:rStyle w:val="HTMLCode"/>
        </w:rPr>
      </w:pPr>
      <w:r>
        <w:rPr>
          <w:rStyle w:val="HTMLCode"/>
        </w:rPr>
        <w:t>K_A</w:t>
      </w:r>
    </w:p>
    <w:p w:rsidR="00D52394" w:rsidRDefault="00D52394" w:rsidP="00D52394">
      <w:pPr>
        <w:pStyle w:val="HTMLVorformatiert"/>
        <w:rPr>
          <w:rStyle w:val="HTMLCode"/>
        </w:rPr>
      </w:pPr>
      <w:r>
        <w:rPr>
          <w:rStyle w:val="HTMLCode"/>
        </w:rPr>
        <w:t>\left(</w:t>
      </w:r>
    </w:p>
    <w:p w:rsidR="00D52394" w:rsidRDefault="00D52394" w:rsidP="00D52394">
      <w:pPr>
        <w:pStyle w:val="HTMLVorformatiert"/>
        <w:rPr>
          <w:rStyle w:val="HTMLCode"/>
        </w:rPr>
      </w:pPr>
      <w:r>
        <w:rPr>
          <w:rStyle w:val="HTMLCode"/>
        </w:rPr>
        <w:t>A_C^{(D)}</w:t>
      </w:r>
    </w:p>
    <w:p w:rsidR="00D52394" w:rsidRDefault="00D52394" w:rsidP="00D52394">
      <w:pPr>
        <w:pStyle w:val="HTMLVorformatiert"/>
        <w:rPr>
          <w:rStyle w:val="HTMLCode"/>
        </w:rPr>
      </w:pPr>
      <w:r>
        <w:rPr>
          <w:rStyle w:val="HTMLCode"/>
        </w:rPr>
        <w:t>\right)</w:t>
      </w:r>
    </w:p>
    <w:p w:rsidR="00D52394" w:rsidRDefault="00D52394" w:rsidP="00D52394">
      <w:pPr>
        <w:pStyle w:val="HTMLVorformatiert"/>
        <w:rPr>
          <w:rStyle w:val="HTMLCode"/>
        </w:rPr>
      </w:pPr>
      <w:r>
        <w:rPr>
          <w:rStyle w:val="HTMLCode"/>
        </w:rPr>
        <w:t>=</w:t>
      </w:r>
    </w:p>
    <w:p w:rsidR="00D52394" w:rsidRDefault="00D52394" w:rsidP="00D52394">
      <w:pPr>
        <w:pStyle w:val="HTMLVorformatiert"/>
        <w:rPr>
          <w:rStyle w:val="HTMLCode"/>
        </w:rPr>
      </w:pPr>
      <w:r>
        <w:rPr>
          <w:rStyle w:val="HTMLCode"/>
        </w:rPr>
        <w:t>1</w:t>
      </w:r>
    </w:p>
    <w:p w:rsidR="00D52394" w:rsidRDefault="00D52394" w:rsidP="00D52394">
      <w:pPr>
        <w:pStyle w:val="StandardWeb"/>
      </w:pPr>
      <w:r>
        <w:t>Damit erfüllt Kandidat D nun sowohl die Forderung nach Unabhängigkeit als auch nach Konsistenz. [20]</w:t>
      </w:r>
    </w:p>
    <w:p w:rsidR="00D52394" w:rsidRDefault="00D52394" w:rsidP="00D52394">
      <w:pPr>
        <w:pStyle w:val="StandardWeb"/>
      </w:pPr>
      <w:r>
        <w:t>Der nächste Teil (</w:t>
      </w:r>
      <w:r>
        <w:rPr>
          <w:rStyle w:val="Fett"/>
        </w:rPr>
        <w:t>3.3.43.393</w:t>
      </w:r>
      <w:r>
        <w:t xml:space="preserve">) untersucht anschließend, ob die Erweiterung durch Kandidat D eine </w:t>
      </w:r>
      <w:r>
        <w:rPr>
          <w:rStyle w:val="Fett"/>
        </w:rPr>
        <w:t>konservative Erweiterung</w:t>
      </w:r>
      <w:r>
        <w:t xml:space="preserve"> der bisherigen FRZK-Axiomatik darstellt oder unbeabsichtigt neue Aussagen über bereits etablierte Strukturen erzeugt.</w:t>
      </w:r>
    </w:p>
    <w:p w:rsidR="00027411" w:rsidRDefault="00027411" w:rsidP="00027411">
      <w:pPr>
        <w:pStyle w:val="berschrift1"/>
        <w:rPr>
          <w:rFonts w:cs="Times New Roman"/>
          <w:sz w:val="48"/>
          <w:szCs w:val="48"/>
        </w:rPr>
      </w:pPr>
      <w:r>
        <w:t>3.3.43.393 Prüfung auf konservative Erweiterung</w:t>
      </w:r>
    </w:p>
    <w:p w:rsidR="00027411" w:rsidRDefault="00027411" w:rsidP="00027411">
      <w:pPr>
        <w:pStyle w:val="StandardWeb"/>
      </w:pPr>
      <w:r>
        <w:t>Nach der Unabhängigkeits- und Konsistenzprüfung von Kandidat (A_C^{(D)}) muss ich nun untersuchen, welche Folgen seine Aufnahme für die bereits entwickelte FRZK-Struktur besitzt. Ein neues Primäraxiom soll die Theorie an der vorgesehenen Stelle tatsächlich erweitern, aber möglichst keine sachlich unabhängigen Aussagen über bereits definierte Strukturen erzwingen. Diese Forderung entspricht dem Prinzip einer konservativen beziehungsweise möglichst schwach nichtkonservativen Theorieerweiterung. [20]</w:t>
      </w:r>
    </w:p>
    <w:p w:rsidR="00027411" w:rsidRDefault="00027411" w:rsidP="00027411">
      <w:pPr>
        <w:pStyle w:val="StandardWeb"/>
      </w:pPr>
      <w:r>
        <w:t>Ich bezeichne die bisherige Theorie ohne das neue Kohärenzaxiom durch</w:t>
      </w:r>
    </w:p>
    <w:p w:rsidR="00027411" w:rsidRDefault="00027411" w:rsidP="00027411">
      <w:pPr>
        <w:pStyle w:val="berschrift1"/>
      </w:pPr>
      <w:r>
        <w:t>[</w:t>
      </w:r>
      <w:r>
        <w:br/>
        <w:t>\mathfrak T_F^{0}</w:t>
      </w:r>
    </w:p>
    <w:p w:rsidR="00027411" w:rsidRDefault="00027411" w:rsidP="00027411">
      <w:pPr>
        <w:pStyle w:val="StandardWeb"/>
      </w:pPr>
      <w:r>
        <w:t>\operatorname{Cn}</w:t>
      </w:r>
      <w:r>
        <w:br/>
        <w:t>\left(</w:t>
      </w:r>
      <w:r>
        <w:br/>
        <w:t>\mathfrak A_F^{0}</w:t>
      </w:r>
      <w:r>
        <w:br/>
        <w:t>\right),</w:t>
      </w:r>
      <w:r>
        <w:br/>
        <w:t>\tag{3.9085}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lastRenderedPageBreak/>
        <w:t>\mathfrak T_F^{0}=\operatorname{Cn}\left(\mathfrak A_F^{0}\right)</w:t>
      </w:r>
    </w:p>
    <w:p w:rsidR="00027411" w:rsidRDefault="00027411" w:rsidP="00027411">
      <w:pPr>
        <w:pStyle w:val="StandardWeb"/>
      </w:pPr>
      <w:r>
        <w:t>wobei (\operatorname{Cn}) die Menge der aus der jeweiligen Axiomatik logisch ableitbaren Aussagen bezeichnet. [20]</w:t>
      </w:r>
    </w:p>
    <w:p w:rsidR="00027411" w:rsidRDefault="00027411" w:rsidP="00027411">
      <w:pPr>
        <w:pStyle w:val="StandardWeb"/>
      </w:pPr>
      <w:r>
        <w:t>Nach Hinzunahme von Kandidat D entsteht</w:t>
      </w:r>
    </w:p>
    <w:p w:rsidR="00027411" w:rsidRDefault="00027411" w:rsidP="00027411">
      <w:pPr>
        <w:pStyle w:val="berschrift1"/>
      </w:pPr>
      <w:r>
        <w:t>[</w:t>
      </w:r>
      <w:r>
        <w:br/>
        <w:t>\mathfrak T_F^{1}</w:t>
      </w:r>
    </w:p>
    <w:p w:rsidR="00027411" w:rsidRDefault="00027411" w:rsidP="00027411">
      <w:pPr>
        <w:pStyle w:val="StandardWeb"/>
      </w:pPr>
      <w:r>
        <w:t>\operatorname{Cn}</w:t>
      </w:r>
      <w:r>
        <w:br/>
        <w:t>\left(</w:t>
      </w:r>
      <w:r>
        <w:br/>
        <w:t>\mathfrak A_F^{0}</w:t>
      </w:r>
      <w:r>
        <w:br/>
        <w:t>\cup</w:t>
      </w:r>
      <w:r>
        <w:br/>
        <w:t>\left{</w:t>
      </w:r>
      <w:r>
        <w:br/>
        <w:t>A_C^{(D)}</w:t>
      </w:r>
      <w:r>
        <w:br/>
        <w:t>\right}</w:t>
      </w:r>
      <w:r>
        <w:br/>
        <w:t>\right).</w:t>
      </w:r>
      <w:r>
        <w:br/>
        <w:t>\tag{3.9086}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T_F^{1}=\operatorname{Cn}\left(\mathfrak A_F^{0}\cup\left\{A_C^{(D)}\right\}\right)</w:t>
      </w:r>
    </w:p>
    <w:p w:rsidR="00027411" w:rsidRDefault="00027411" w:rsidP="00027411">
      <w:pPr>
        <w:pStyle w:val="StandardWeb"/>
      </w:pPr>
      <w:r>
        <w:t>Damit gilt notwendig</w:t>
      </w:r>
    </w:p>
    <w:p w:rsidR="00027411" w:rsidRDefault="00027411" w:rsidP="00027411">
      <w:pPr>
        <w:pStyle w:val="StandardWeb"/>
      </w:pPr>
      <w:r>
        <w:t>[</w:t>
      </w:r>
      <w:r>
        <w:br/>
        <w:t>\mathfrak T_F^{0}</w:t>
      </w:r>
      <w:r>
        <w:br/>
        <w:t>\subseteq</w:t>
      </w:r>
      <w:r>
        <w:br/>
        <w:t>\mathfrak T_F^{1}.</w:t>
      </w:r>
      <w:r>
        <w:br/>
        <w:t>\tag{3.9087}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T_F^{0}\subseteq\mathfrak T_F^{1}</w:t>
      </w:r>
    </w:p>
    <w:p w:rsidR="00027411" w:rsidRDefault="00027411" w:rsidP="00027411">
      <w:pPr>
        <w:pStyle w:val="StandardWeb"/>
      </w:pPr>
      <w:r>
        <w:t xml:space="preserve">Die entscheidende Frage ist jedoch, </w:t>
      </w:r>
      <w:r>
        <w:rPr>
          <w:rStyle w:val="Fett"/>
        </w:rPr>
        <w:t>welche neuen Aussagen</w:t>
      </w:r>
      <w:r>
        <w:t xml:space="preserve"> in der Differenzmenge liegen.</w:t>
      </w:r>
    </w:p>
    <w:p w:rsidR="00027411" w:rsidRDefault="00E50336" w:rsidP="00027411">
      <w:r>
        <w:pict>
          <v:rect id="_x0000_i2559" style="width:0;height:1.5pt" o:hralign="center" o:hrstd="t" o:hr="t" fillcolor="#a0a0a0" stroked="f"/>
        </w:pict>
      </w:r>
    </w:p>
    <w:p w:rsidR="00027411" w:rsidRDefault="00027411" w:rsidP="00027411">
      <w:pPr>
        <w:pStyle w:val="berschrift1"/>
      </w:pPr>
      <w:r>
        <w:t>3.3.43.394 Neue Folgerungsmenge</w:t>
      </w:r>
    </w:p>
    <w:p w:rsidR="00027411" w:rsidRDefault="00027411" w:rsidP="00027411">
      <w:pPr>
        <w:pStyle w:val="StandardWeb"/>
      </w:pPr>
      <w:r>
        <w:t>Ich definiere</w:t>
      </w:r>
    </w:p>
    <w:p w:rsidR="00027411" w:rsidRDefault="00027411" w:rsidP="00027411">
      <w:pPr>
        <w:pStyle w:val="berschrift1"/>
      </w:pPr>
      <w:r>
        <w:lastRenderedPageBreak/>
        <w:t>[</w:t>
      </w:r>
      <w:r>
        <w:br/>
        <w:t>\Delta\mathfrak T_C</w:t>
      </w:r>
    </w:p>
    <w:p w:rsidR="00027411" w:rsidRDefault="00027411" w:rsidP="00027411">
      <w:pPr>
        <w:pStyle w:val="StandardWeb"/>
      </w:pPr>
      <w:r>
        <w:t>\mathfrak T_F^{1}</w:t>
      </w:r>
      <w:r>
        <w:br/>
        <w:t>\setminus</w:t>
      </w:r>
      <w:r>
        <w:br/>
        <w:t>\mathfrak T_F^{0}.</w:t>
      </w:r>
      <w:r>
        <w:br/>
        <w:t>\tag{3.9088}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\Delta\mathfrak T_C=\mathfrak T_F^{1}\setminus\mathfrak T_F^{0}</w:t>
      </w:r>
    </w:p>
    <w:p w:rsidR="00027411" w:rsidRDefault="00027411" w:rsidP="00027411">
      <w:pPr>
        <w:pStyle w:val="StandardWeb"/>
      </w:pPr>
      <w:r>
        <w:t>Diese Menge enthält alle Aussagen, die erst aufgrund der Aufnahme von Kandidat D ableitbar werden. [20]</w:t>
      </w:r>
    </w:p>
    <w:p w:rsidR="00027411" w:rsidRDefault="00027411" w:rsidP="00027411">
      <w:pPr>
        <w:pStyle w:val="StandardWeb"/>
      </w:pPr>
      <w:r>
        <w:t>Für eine axiomatisch zielgenaue Erweiterung soll gelten</w:t>
      </w:r>
    </w:p>
    <w:p w:rsidR="00027411" w:rsidRDefault="00027411" w:rsidP="00027411">
      <w:pPr>
        <w:pStyle w:val="StandardWeb"/>
      </w:pPr>
      <w:r>
        <w:t>[</w:t>
      </w:r>
      <w:r>
        <w:br/>
        <w:t>\Delta\mathfrak T_C</w:t>
      </w:r>
      <w:r>
        <w:br/>
        <w:t>\subseteq</w:t>
      </w:r>
      <w:r>
        <w:br/>
        <w:t>\mathfrak L_C,</w:t>
      </w:r>
      <w:r>
        <w:br/>
        <w:t>\tag{3.9089}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\Delta\mathfrak T_C\subseteq\mathfrak L_C</w:t>
      </w:r>
    </w:p>
    <w:p w:rsidR="00027411" w:rsidRDefault="00027411" w:rsidP="00027411">
      <w:pPr>
        <w:pStyle w:val="StandardWeb"/>
      </w:pPr>
      <w:r>
        <w:t>wobei (\mathfrak L_C) die Sprache beziehungsweise den begrifflichen Bereich der funktionalen Kohärenz bezeichnet.</w:t>
      </w:r>
    </w:p>
    <w:p w:rsidR="00027411" w:rsidRDefault="00E50336" w:rsidP="00027411">
      <w:r>
        <w:pict>
          <v:rect id="_x0000_i2560" style="width:0;height:1.5pt" o:hralign="center" o:hrstd="t" o:hr="t" fillcolor="#a0a0a0" stroked="f"/>
        </w:pict>
      </w:r>
    </w:p>
    <w:p w:rsidR="00027411" w:rsidRDefault="00027411" w:rsidP="00027411">
      <w:pPr>
        <w:pStyle w:val="berschrift1"/>
      </w:pPr>
      <w:r>
        <w:t>3.3.43.395 Strenge konservative Erweiterung</w:t>
      </w:r>
    </w:p>
    <w:p w:rsidR="00027411" w:rsidRDefault="00027411" w:rsidP="00027411">
      <w:pPr>
        <w:pStyle w:val="StandardWeb"/>
      </w:pPr>
      <w:r>
        <w:t>Eine Erweiterung wäre streng konservativ bezüglich einer alten Teilsprache (\mathfrak L_0), wenn für jede Aussage (\varphi\in\mathfrak L_0) gilt</w:t>
      </w:r>
    </w:p>
    <w:p w:rsidR="00027411" w:rsidRDefault="00027411" w:rsidP="00027411">
      <w:pPr>
        <w:pStyle w:val="StandardWeb"/>
      </w:pPr>
      <w:r>
        <w:t>[</w:t>
      </w:r>
      <w:r>
        <w:br/>
        <w:t>\mathfrak T_F^{1}</w:t>
      </w:r>
      <w:r>
        <w:br/>
        <w:t>\vdash</w:t>
      </w:r>
      <w:r>
        <w:br/>
        <w:t>\varphi</w:t>
      </w:r>
      <w:r>
        <w:br/>
        <w:t>\Longrightarrow</w:t>
      </w:r>
      <w:r>
        <w:br/>
        <w:t>\mathfrak T_F^{0}</w:t>
      </w:r>
      <w:r>
        <w:br/>
        <w:t>\vdash</w:t>
      </w:r>
      <w:r>
        <w:br/>
        <w:t>\varphi.</w:t>
      </w:r>
      <w:r>
        <w:br/>
        <w:t>\tag{3.9090}</w:t>
      </w:r>
      <w:r>
        <w:br/>
        <w:t>]</w:t>
      </w:r>
    </w:p>
    <w:p w:rsidR="00027411" w:rsidRDefault="00027411" w:rsidP="00027411">
      <w:pPr>
        <w:pStyle w:val="StandardWeb"/>
      </w:pPr>
      <w:r>
        <w:rPr>
          <w:rStyle w:val="Fett"/>
        </w:rPr>
        <w:lastRenderedPageBreak/>
        <w:t>Word-LaTeX</w:t>
      </w:r>
    </w:p>
    <w:p w:rsidR="00027411" w:rsidRDefault="00027411" w:rsidP="00027411">
      <w:pPr>
        <w:pStyle w:val="HTMLVorformatiert"/>
        <w:rPr>
          <w:rStyle w:val="HTMLCode"/>
        </w:rPr>
      </w:pPr>
      <w:r>
        <w:rPr>
          <w:rStyle w:val="HTMLCode"/>
        </w:rPr>
        <w:t>\mathfrak T_F^{1}\vdash\varphi\Longrightarrow\mathfrak T_F^{0}\vdash\varphi</w:t>
      </w:r>
    </w:p>
    <w:p w:rsidR="00027411" w:rsidRDefault="00027411" w:rsidP="00027411">
      <w:pPr>
        <w:pStyle w:val="StandardWeb"/>
      </w:pPr>
      <w:r>
        <w:t>Dann würde das neue Axiom keine zusätzlichen Aussagen erzeugen, die ausschließlich in der bereits vorhandenen Sprache formuliert sind. [20]</w:t>
      </w:r>
    </w:p>
    <w:p w:rsidR="00027411" w:rsidRDefault="00E50336" w:rsidP="00027411">
      <w:r>
        <w:pict>
          <v:rect id="_x0000_i2561" style="width:0;height:1.5pt" o:hralign="center" o:hrstd="t" o:hr="t" fillcolor="#a0a0a0" stroked="f"/>
        </w:pict>
      </w:r>
    </w:p>
    <w:p w:rsidR="00027411" w:rsidRDefault="00027411" w:rsidP="00027411">
      <w:pPr>
        <w:pStyle w:val="berschrift1"/>
      </w:pPr>
      <w:r>
        <w:t>3.3.43.396 Erwartbare Nichtkonservativität im Kohärenzbereich</w:t>
      </w:r>
    </w:p>
    <w:p w:rsidR="00027411" w:rsidRDefault="00027411" w:rsidP="00027411">
      <w:pPr>
        <w:pStyle w:val="StandardWeb"/>
      </w:pPr>
      <w:r>
        <w:t xml:space="preserve">Eine vollständig konservative Erweiterung über die </w:t>
      </w:r>
      <w:r>
        <w:rPr>
          <w:rStyle w:val="Fett"/>
        </w:rPr>
        <w:t>gesamte</w:t>
      </w:r>
      <w:r>
        <w:t xml:space="preserve"> FRZK-Sprache kann allerdings nicht das eigentliche Ziel sein, denn Kandidat D soll gerade eine neue Aussage erzeugen:</w:t>
      </w:r>
    </w:p>
    <w:p w:rsidR="00027411" w:rsidRDefault="00027411" w:rsidP="00027411">
      <w:pPr>
        <w:pStyle w:val="StandardWeb"/>
      </w:pPr>
      <w:r>
        <w:t>[</w:t>
      </w:r>
      <w:r>
        <w:br/>
        <w:t>\exists z</w:t>
      </w:r>
      <w:r>
        <w:br/>
        <w:t>;</w:t>
      </w:r>
      <w:r>
        <w:br/>
        <w:t>\exists\mathcal S_C</w:t>
      </w:r>
      <w:r>
        <w:br/>
        <w:t>:</w:t>
      </w:r>
      <w:r>
        <w:br/>
        <w:t>R_F(\mathcal S_C)=1</w:t>
      </w:r>
      <w:r>
        <w:br/>
        <w:t>\land</w:t>
      </w:r>
      <w:r>
        <w:br/>
        <w:t>C_F(\mathcal S_C;z)&gt;0.</w:t>
      </w:r>
      <w:r>
        <w:br/>
        <w:t>\tag{3.9091}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\exists z\;\exists\mathcal S_C:R_F(\mathcal S_C)=1\land C_F(\mathcal S_C;z)&gt;0</w:t>
      </w:r>
    </w:p>
    <w:p w:rsidR="00027411" w:rsidRDefault="00027411" w:rsidP="00027411">
      <w:pPr>
        <w:pStyle w:val="StandardWeb"/>
      </w:pPr>
      <w:r>
        <w:t>Die Theorie soll also im Kohärenzbereich bewusst stärker werden.</w:t>
      </w:r>
    </w:p>
    <w:p w:rsidR="00027411" w:rsidRDefault="00027411" w:rsidP="00027411">
      <w:pPr>
        <w:pStyle w:val="StandardWeb"/>
      </w:pPr>
      <w:r>
        <w:t>Daher unterscheide ich</w:t>
      </w:r>
    </w:p>
    <w:p w:rsidR="00027411" w:rsidRDefault="00027411" w:rsidP="00027411">
      <w:pPr>
        <w:pStyle w:val="StandardWeb"/>
      </w:pPr>
      <w:r>
        <w:t>[</w:t>
      </w:r>
      <w:r>
        <w:br/>
        <w:t>\text{gewollte Erweiterung}</w:t>
      </w:r>
      <w:r>
        <w:br/>
        <w:t>\neq</w:t>
      </w:r>
      <w:r>
        <w:br/>
        <w:t>\text{unerwünschte Zusatzfestlegung}.</w:t>
      </w:r>
      <w:r>
        <w:br/>
        <w:t>\tag{3.9092}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\text{gewollte Erweiterung}\neq\text{unerwünschte Zusatzfestlegung}</w:t>
      </w:r>
    </w:p>
    <w:p w:rsidR="00027411" w:rsidRDefault="00E50336" w:rsidP="00027411">
      <w:r>
        <w:pict>
          <v:rect id="_x0000_i2562" style="width:0;height:1.5pt" o:hralign="center" o:hrstd="t" o:hr="t" fillcolor="#a0a0a0" stroked="f"/>
        </w:pict>
      </w:r>
    </w:p>
    <w:p w:rsidR="00027411" w:rsidRDefault="00027411" w:rsidP="00027411">
      <w:pPr>
        <w:pStyle w:val="berschrift1"/>
      </w:pPr>
      <w:r>
        <w:t>3.3.43.397 Relative Konservativität</w:t>
      </w:r>
    </w:p>
    <w:p w:rsidR="00027411" w:rsidRDefault="00027411" w:rsidP="00027411">
      <w:pPr>
        <w:pStyle w:val="StandardWeb"/>
      </w:pPr>
      <w:r>
        <w:t xml:space="preserve">Ich führe deshalb den Begriff der </w:t>
      </w:r>
      <w:r>
        <w:rPr>
          <w:rStyle w:val="Fett"/>
        </w:rPr>
        <w:t>relativen Konservativität</w:t>
      </w:r>
      <w:r>
        <w:t xml:space="preserve"> ein.</w:t>
      </w:r>
    </w:p>
    <w:p w:rsidR="00027411" w:rsidRDefault="00027411" w:rsidP="00027411">
      <w:pPr>
        <w:pStyle w:val="StandardWeb"/>
      </w:pPr>
      <w:r>
        <w:lastRenderedPageBreak/>
        <w:t>Die Erweiterung durch Kandidat D heißt relativ konservativ bezüglich einer kohärenzfreien Teilsprache (\mathfrak L_{\neg C}), wenn</w:t>
      </w:r>
    </w:p>
    <w:p w:rsidR="00027411" w:rsidRDefault="00027411" w:rsidP="00027411">
      <w:pPr>
        <w:pStyle w:val="StandardWeb"/>
      </w:pPr>
      <w:r>
        <w:t>[</w:t>
      </w:r>
      <w:r>
        <w:br/>
        <w:t>\forall\varphi\in\mathfrak L_{\neg C}:</w:t>
      </w:r>
      <w:r>
        <w:br/>
        <w:t>\quad</w:t>
      </w:r>
      <w:r>
        <w:br/>
        <w:t>\mathfrak T_F^{1}\vdash\varphi</w:t>
      </w:r>
      <w:r>
        <w:br/>
        <w:t>\Rightarrow</w:t>
      </w:r>
      <w:r>
        <w:br/>
        <w:t>\mathfrak T_F^{0}\vdash\varphi.</w:t>
      </w:r>
      <w:r>
        <w:br/>
        <w:t>\tag{3.9093}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\forall\varphi\in\mathfrak L_{\neg C}:\quad\mathfrak T_F^{1}\vdash\varphi\Rightarrow\mathfrak T_F^{0}\vdash\varphi</w:t>
      </w:r>
    </w:p>
    <w:p w:rsidR="00027411" w:rsidRDefault="00027411" w:rsidP="00027411">
      <w:pPr>
        <w:pStyle w:val="StandardWeb"/>
      </w:pPr>
      <w:r>
        <w:t>Damit dürfen neue Aussagen über Kohärenz entstehen, nicht aber unbegründet über mathematisch oder physikalisch unabhängige Strukturen. [20]</w:t>
      </w:r>
    </w:p>
    <w:p w:rsidR="00027411" w:rsidRDefault="00E50336" w:rsidP="00027411">
      <w:r>
        <w:pict>
          <v:rect id="_x0000_i2563" style="width:0;height:1.5pt" o:hralign="center" o:hrstd="t" o:hr="t" fillcolor="#a0a0a0" stroked="f"/>
        </w:pict>
      </w:r>
    </w:p>
    <w:p w:rsidR="00027411" w:rsidRDefault="00027411" w:rsidP="00027411">
      <w:pPr>
        <w:pStyle w:val="berschrift1"/>
      </w:pPr>
      <w:r>
        <w:t>3.3.43.398 Definition 3.3.66 – Relative axiomatische Konservativität</w:t>
      </w:r>
    </w:p>
    <w:p w:rsidR="00027411" w:rsidRDefault="00027411" w:rsidP="00027411">
      <w:pPr>
        <w:pStyle w:val="berschrift3"/>
      </w:pPr>
      <w:r>
        <w:t>Definition 3.3.66</w:t>
      </w:r>
    </w:p>
    <w:p w:rsidR="00027411" w:rsidRDefault="00027411" w:rsidP="00027411">
      <w:pPr>
        <w:pStyle w:val="StandardWeb"/>
      </w:pPr>
      <w:r>
        <w:t>Eine Axiomerweiterung</w:t>
      </w:r>
    </w:p>
    <w:p w:rsidR="00027411" w:rsidRDefault="00027411" w:rsidP="00027411">
      <w:pPr>
        <w:pStyle w:val="berschrift1"/>
      </w:pPr>
      <w:r>
        <w:t>[</w:t>
      </w:r>
      <w:r>
        <w:br/>
        <w:t>\mathfrak A^{1}</w:t>
      </w:r>
    </w:p>
    <w:p w:rsidR="00027411" w:rsidRDefault="00027411" w:rsidP="00027411">
      <w:pPr>
        <w:pStyle w:val="StandardWeb"/>
      </w:pPr>
      <w:r>
        <w:t>\mathfrak A^{0}</w:t>
      </w:r>
      <w:r>
        <w:br/>
        <w:t>\cup</w:t>
      </w:r>
      <w:r>
        <w:br/>
        <w:t>{A}</w:t>
      </w:r>
      <w:r>
        <w:br/>
        <w:t>]</w:t>
      </w:r>
    </w:p>
    <w:p w:rsidR="00027411" w:rsidRDefault="00027411" w:rsidP="00027411">
      <w:pPr>
        <w:pStyle w:val="StandardWeb"/>
      </w:pPr>
      <w:r>
        <w:t xml:space="preserve">heißt bezüglich einer Teilsprache (\mathfrak L_0) </w:t>
      </w:r>
      <w:r>
        <w:rPr>
          <w:rStyle w:val="Fett"/>
        </w:rPr>
        <w:t>relativ konservativ</w:t>
      </w:r>
      <w:r>
        <w:t>, wenn jede in (\mathfrak L_0) formulierbare Konsequenz der erweiterten Theorie bereits aus der ursprünglichen Theorie folgt. [20]</w:t>
      </w:r>
    </w:p>
    <w:p w:rsidR="00027411" w:rsidRDefault="00027411" w:rsidP="00027411">
      <w:pPr>
        <w:pStyle w:val="StandardWeb"/>
      </w:pPr>
      <w:r>
        <w:t>Formal:</w:t>
      </w:r>
    </w:p>
    <w:p w:rsidR="00027411" w:rsidRDefault="00027411" w:rsidP="00027411">
      <w:pPr>
        <w:pStyle w:val="berschrift1"/>
      </w:pPr>
      <w:r>
        <w:t>[</w:t>
      </w:r>
      <w:r>
        <w:br/>
        <w:t>\operatorname{Cn}</w:t>
      </w:r>
      <w:r>
        <w:br/>
        <w:t>\left(</w:t>
      </w:r>
      <w:r>
        <w:br/>
      </w:r>
      <w:r>
        <w:lastRenderedPageBreak/>
        <w:t>\mathfrak A^{1}</w:t>
      </w:r>
      <w:r>
        <w:br/>
        <w:t>\right)</w:t>
      </w:r>
      <w:r>
        <w:br/>
        <w:t>\cap</w:t>
      </w:r>
      <w:r>
        <w:br/>
        <w:t>\mathfrak L_0</w:t>
      </w:r>
    </w:p>
    <w:p w:rsidR="00027411" w:rsidRDefault="00027411" w:rsidP="00027411">
      <w:pPr>
        <w:pStyle w:val="StandardWeb"/>
      </w:pPr>
      <w:r>
        <w:t>\operatorname{Cn}</w:t>
      </w:r>
      <w:r>
        <w:br/>
        <w:t>\left(</w:t>
      </w:r>
      <w:r>
        <w:br/>
        <w:t>\mathfrak A^{0}</w:t>
      </w:r>
      <w:r>
        <w:br/>
        <w:t>\right)</w:t>
      </w:r>
      <w:r>
        <w:br/>
        <w:t>\cap</w:t>
      </w:r>
      <w:r>
        <w:br/>
        <w:t>\mathfrak L_0.</w:t>
      </w:r>
      <w:r>
        <w:br/>
        <w:t>\tag{3.9094}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\operatorname{Cn}\left(\mathfrak A^{1}\right)\cap\mathfrak L_0=\operatorname{Cn}\left(\mathfrak A^{0}\right)\cap\mathfrak L_0</w:t>
      </w:r>
    </w:p>
    <w:p w:rsidR="00027411" w:rsidRDefault="00E50336" w:rsidP="00027411">
      <w:r>
        <w:pict>
          <v:rect id="_x0000_i2564" style="width:0;height:1.5pt" o:hralign="center" o:hrstd="t" o:hr="t" fillcolor="#a0a0a0" stroked="f"/>
        </w:pict>
      </w:r>
    </w:p>
    <w:p w:rsidR="00027411" w:rsidRDefault="00027411" w:rsidP="00027411">
      <w:pPr>
        <w:pStyle w:val="berschrift1"/>
      </w:pPr>
      <w:r>
        <w:t>3.3.43.399 Prüfung gegenüber der Raumstruktur</w:t>
      </w:r>
    </w:p>
    <w:p w:rsidR="00027411" w:rsidRDefault="00027411" w:rsidP="00027411">
      <w:pPr>
        <w:pStyle w:val="StandardWeb"/>
      </w:pPr>
      <w:r>
        <w:t>Kandidat D enthält keine Forderung an eine konkrete Raumgeometrie.</w:t>
      </w:r>
    </w:p>
    <w:p w:rsidR="00027411" w:rsidRDefault="00027411" w:rsidP="00027411">
      <w:pPr>
        <w:pStyle w:val="StandardWeb"/>
      </w:pPr>
      <w:r>
        <w:t>Insbesondere folgt nicht</w:t>
      </w:r>
    </w:p>
    <w:p w:rsidR="00027411" w:rsidRDefault="00027411" w:rsidP="00027411">
      <w:pPr>
        <w:pStyle w:val="berschrift1"/>
      </w:pPr>
      <w:r>
        <w:t>[</w:t>
      </w:r>
      <w:r>
        <w:br/>
        <w:t>A_C^{(D)}</w:t>
      </w:r>
      <w:r>
        <w:br/>
        <w:t>\Rightarrow</w:t>
      </w:r>
      <w:r>
        <w:br/>
        <w:t>\Omega_F</w:t>
      </w:r>
    </w:p>
    <w:p w:rsidR="00027411" w:rsidRDefault="00027411" w:rsidP="00027411">
      <w:pPr>
        <w:pStyle w:val="StandardWeb"/>
      </w:pPr>
      <w:r>
        <w:t>\mathbb R^n.</w:t>
      </w:r>
      <w:r>
        <w:br/>
        <w:t>\tag{3.9095}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A_C^{(D)}\Rightarrow\Omega_F=\mathbb R^n</w:t>
      </w:r>
    </w:p>
    <w:p w:rsidR="00027411" w:rsidRDefault="00027411" w:rsidP="00027411">
      <w:pPr>
        <w:pStyle w:val="StandardWeb"/>
      </w:pPr>
      <w:r>
        <w:t>Ebenso folgt nicht</w:t>
      </w:r>
    </w:p>
    <w:p w:rsidR="00027411" w:rsidRDefault="00027411" w:rsidP="00027411">
      <w:pPr>
        <w:pStyle w:val="berschrift1"/>
      </w:pPr>
      <w:r>
        <w:t>[</w:t>
      </w:r>
      <w:r>
        <w:br/>
        <w:t>A_C^{(D)}</w:t>
      </w:r>
      <w:r>
        <w:br/>
      </w:r>
      <w:r>
        <w:lastRenderedPageBreak/>
        <w:t>\Rightarrow</w:t>
      </w:r>
      <w:r>
        <w:br/>
        <w:t>d(x_i,x_j)</w:t>
      </w:r>
    </w:p>
    <w:p w:rsidR="00027411" w:rsidRDefault="00027411" w:rsidP="00027411">
      <w:pPr>
        <w:pStyle w:val="StandardWeb"/>
      </w:pPr>
      <w:r>
        <w:t>|x_i-x_j|.</w:t>
      </w:r>
      <w:r>
        <w:br/>
        <w:t>\tag{3.9096}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 d(x_i,x_j)=\|x_i-x_j\|</w:t>
      </w:r>
    </w:p>
    <w:p w:rsidR="00027411" w:rsidRDefault="00027411" w:rsidP="00027411">
      <w:pPr>
        <w:pStyle w:val="StandardWeb"/>
      </w:pPr>
      <w:r>
        <w:t>Damit erzwingt das Axiom keine euklidische Raumgeometrie. [35]</w:t>
      </w:r>
    </w:p>
    <w:p w:rsidR="00027411" w:rsidRDefault="00E50336" w:rsidP="00027411">
      <w:r>
        <w:pict>
          <v:rect id="_x0000_i2565" style="width:0;height:1.5pt" o:hralign="center" o:hrstd="t" o:hr="t" fillcolor="#a0a0a0" stroked="f"/>
        </w:pict>
      </w:r>
    </w:p>
    <w:p w:rsidR="00027411" w:rsidRDefault="00027411" w:rsidP="00027411">
      <w:pPr>
        <w:pStyle w:val="berschrift1"/>
      </w:pPr>
      <w:r>
        <w:t>3.3.43.400 Prüfung gegenüber der Zeitstruktur</w:t>
      </w:r>
    </w:p>
    <w:p w:rsidR="00027411" w:rsidRDefault="00027411" w:rsidP="00027411">
      <w:pPr>
        <w:pStyle w:val="StandardWeb"/>
      </w:pPr>
      <w:r>
        <w:t>Auch über die Zeitstruktur folgt aus Kandidat D keine konkrete Festlegung.</w:t>
      </w:r>
    </w:p>
    <w:p w:rsidR="00027411" w:rsidRDefault="00027411" w:rsidP="00027411">
      <w:pPr>
        <w:pStyle w:val="StandardWeb"/>
      </w:pPr>
      <w:r>
        <w:t>Es folgt weder</w:t>
      </w:r>
    </w:p>
    <w:p w:rsidR="00027411" w:rsidRDefault="00027411" w:rsidP="00027411">
      <w:pPr>
        <w:pStyle w:val="StandardWeb"/>
      </w:pPr>
      <w:r>
        <w:t>[</w:t>
      </w:r>
      <w:r>
        <w:br/>
        <w:t>A_C^{(D)}</w:t>
      </w:r>
      <w:r>
        <w:br/>
        <w:t>\Rightarrow</w:t>
      </w:r>
      <w:r>
        <w:br/>
        <w:t>t\in\mathbb R</w:t>
      </w:r>
      <w:r>
        <w:br/>
        <w:t>\tag{3.9097}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 t\in\mathbb R</w:t>
      </w:r>
    </w:p>
    <w:p w:rsidR="00027411" w:rsidRDefault="00027411" w:rsidP="00027411">
      <w:pPr>
        <w:pStyle w:val="StandardWeb"/>
      </w:pPr>
      <w:r>
        <w:t>noch</w:t>
      </w:r>
    </w:p>
    <w:p w:rsidR="00027411" w:rsidRDefault="00027411" w:rsidP="00027411">
      <w:pPr>
        <w:pStyle w:val="StandardWeb"/>
      </w:pPr>
      <w:r>
        <w:t>[</w:t>
      </w:r>
      <w:r>
        <w:br/>
        <w:t>A_C^{(D)}</w:t>
      </w:r>
      <w:r>
        <w:br/>
        <w:t>\Rightarrow</w:t>
      </w:r>
      <w:r>
        <w:br/>
        <w:t>t_1&lt;t_2</w:t>
      </w:r>
      <w:r>
        <w:br/>
        <w:t>\text{ für alle unterschiedlichen Zustände}.</w:t>
      </w:r>
      <w:r>
        <w:br/>
        <w:t>\tag{3.9098}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 t_1&lt;t_2\text{ für alle unterschiedlichen Zustände}</w:t>
      </w:r>
    </w:p>
    <w:p w:rsidR="00027411" w:rsidRDefault="00027411" w:rsidP="00027411">
      <w:pPr>
        <w:pStyle w:val="StandardWeb"/>
      </w:pPr>
      <w:r>
        <w:t>Die konkrete Zeitstruktur bleibt daher von Kandidat D unabhängig. [35]</w:t>
      </w:r>
    </w:p>
    <w:p w:rsidR="00027411" w:rsidRDefault="00E50336" w:rsidP="00027411">
      <w:r>
        <w:pict>
          <v:rect id="_x0000_i2566" style="width:0;height:1.5pt" o:hralign="center" o:hrstd="t" o:hr="t" fillcolor="#a0a0a0" stroked="f"/>
        </w:pict>
      </w:r>
    </w:p>
    <w:p w:rsidR="00027411" w:rsidRDefault="00027411" w:rsidP="00027411">
      <w:pPr>
        <w:pStyle w:val="berschrift1"/>
      </w:pPr>
      <w:r>
        <w:lastRenderedPageBreak/>
        <w:t>3.3.43.401 Prüfung gegenüber der Raum-Zeit-Metrik</w:t>
      </w:r>
    </w:p>
    <w:p w:rsidR="00027411" w:rsidRDefault="00027411" w:rsidP="00027411">
      <w:pPr>
        <w:pStyle w:val="StandardWeb"/>
      </w:pPr>
      <w:r>
        <w:t>Insbesondere folgt nicht</w:t>
      </w:r>
    </w:p>
    <w:p w:rsidR="00027411" w:rsidRDefault="00027411" w:rsidP="00027411">
      <w:pPr>
        <w:pStyle w:val="berschrift1"/>
      </w:pPr>
      <w:r>
        <w:t>[</w:t>
      </w:r>
      <w:r>
        <w:br/>
        <w:t>A_C^{(D)}</w:t>
      </w:r>
      <w:r>
        <w:br/>
        <w:t>\Rightarrow</w:t>
      </w:r>
      <w:r>
        <w:br/>
        <w:t>ds^2</w:t>
      </w:r>
    </w:p>
    <w:p w:rsidR="00027411" w:rsidRDefault="00027411" w:rsidP="00027411">
      <w:pPr>
        <w:pStyle w:val="StandardWeb"/>
      </w:pPr>
      <w:r>
        <w:t>c^2dt^2-d\mathbf x^2.</w:t>
      </w:r>
      <w:r>
        <w:br/>
        <w:t>\tag{3.9099}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 ds^2=c^2dt^2-d\mathbf x^2</w:t>
      </w:r>
    </w:p>
    <w:p w:rsidR="00027411" w:rsidRDefault="00027411" w:rsidP="00027411">
      <w:pPr>
        <w:pStyle w:val="StandardWeb"/>
      </w:pPr>
      <w:r>
        <w:t>Die Minkowski-Metrik oder eine andere konkrete physikalische Raum-Zeit-Metrik darf daher nicht aus dem Kohärenzaxiom abgeleitet werden. [35]</w:t>
      </w:r>
    </w:p>
    <w:p w:rsidR="00027411" w:rsidRDefault="00027411" w:rsidP="00027411">
      <w:pPr>
        <w:pStyle w:val="StandardWeb"/>
      </w:pPr>
      <w:r>
        <w:t>Das ist methodisch entscheidend, weil ich die mathematisch-funktionale FRZK-Konstruktion weiterhin von bereits etablierten physikalischen Raumzeitmodellen trenne.</w:t>
      </w:r>
    </w:p>
    <w:p w:rsidR="00027411" w:rsidRDefault="00E50336" w:rsidP="00027411">
      <w:r>
        <w:pict>
          <v:rect id="_x0000_i2567" style="width:0;height:1.5pt" o:hralign="center" o:hrstd="t" o:hr="t" fillcolor="#a0a0a0" stroked="f"/>
        </w:pict>
      </w:r>
    </w:p>
    <w:p w:rsidR="00027411" w:rsidRDefault="00027411" w:rsidP="00027411">
      <w:pPr>
        <w:pStyle w:val="berschrift1"/>
      </w:pPr>
      <w:r>
        <w:t>3.3.43.402 Prüfung gegenüber der Dimensionalität</w:t>
      </w:r>
    </w:p>
    <w:p w:rsidR="00027411" w:rsidRDefault="00027411" w:rsidP="00027411">
      <w:pPr>
        <w:pStyle w:val="StandardWeb"/>
      </w:pPr>
      <w:r>
        <w:t>Auch eine bestimmte Dimension folgt nicht:</w:t>
      </w:r>
    </w:p>
    <w:p w:rsidR="00027411" w:rsidRDefault="00027411" w:rsidP="00027411">
      <w:pPr>
        <w:pStyle w:val="StandardWeb"/>
      </w:pPr>
      <w:r>
        <w:t>[</w:t>
      </w:r>
      <w:r>
        <w:br/>
        <w:t>A_C^{(D)}</w:t>
      </w:r>
      <w:r>
        <w:br/>
        <w:t>\nRightarrow</w:t>
      </w:r>
      <w:r>
        <w:br/>
        <w:t>\dim(\Omega_F)=4.</w:t>
      </w:r>
      <w:r>
        <w:br/>
        <w:t>\tag{3.9100}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A_C^{(D)}\nRightarrow\dim(\Omega_F)=4</w:t>
      </w:r>
    </w:p>
    <w:p w:rsidR="00027411" w:rsidRDefault="00027411" w:rsidP="00027411">
      <w:pPr>
        <w:pStyle w:val="StandardWeb"/>
      </w:pPr>
      <w:r>
        <w:t>Ebenso wenig folgt</w:t>
      </w:r>
    </w:p>
    <w:p w:rsidR="00027411" w:rsidRDefault="00027411" w:rsidP="00027411">
      <w:pPr>
        <w:pStyle w:val="StandardWeb"/>
      </w:pPr>
      <w:r>
        <w:t>[</w:t>
      </w:r>
      <w:r>
        <w:br/>
        <w:t>A_C^{(D)}</w:t>
      </w:r>
      <w:r>
        <w:br/>
        <w:t>\nRightarrow</w:t>
      </w:r>
      <w:r>
        <w:br/>
        <w:t>\dim(\Omega_F)=n</w:t>
      </w:r>
      <w:r>
        <w:br/>
      </w:r>
      <w:r>
        <w:lastRenderedPageBreak/>
        <w:t>\tag{3.9101}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A_C^{(D)}\nRightarrow\dim(\Omega_F)=n</w:t>
      </w:r>
    </w:p>
    <w:p w:rsidR="00027411" w:rsidRDefault="00027411" w:rsidP="00027411">
      <w:pPr>
        <w:pStyle w:val="StandardWeb"/>
      </w:pPr>
      <w:r>
        <w:t>für einen bestimmten festen Wert (n), sofern dieser nicht unabhängig spezifiziert wurde.</w:t>
      </w:r>
    </w:p>
    <w:p w:rsidR="00027411" w:rsidRDefault="00E50336" w:rsidP="00027411">
      <w:r>
        <w:pict>
          <v:rect id="_x0000_i2568" style="width:0;height:1.5pt" o:hralign="center" o:hrstd="t" o:hr="t" fillcolor="#a0a0a0" stroked="f"/>
        </w:pict>
      </w:r>
    </w:p>
    <w:p w:rsidR="00027411" w:rsidRDefault="00027411" w:rsidP="00027411">
      <w:pPr>
        <w:pStyle w:val="berschrift1"/>
      </w:pPr>
      <w:r>
        <w:t>3.3.43.403 Prüfung gegenüber der Kausalstruktur</w:t>
      </w:r>
    </w:p>
    <w:p w:rsidR="00027411" w:rsidRDefault="00027411" w:rsidP="00027411">
      <w:pPr>
        <w:pStyle w:val="StandardWeb"/>
      </w:pPr>
      <w:r>
        <w:t>Aus positiver funktionaler Kohärenz folgt keine Kausalrelation.</w:t>
      </w:r>
    </w:p>
    <w:p w:rsidR="00027411" w:rsidRDefault="00027411" w:rsidP="00027411">
      <w:pPr>
        <w:pStyle w:val="StandardWeb"/>
      </w:pPr>
      <w:r>
        <w:t>Daher gilt weiterhin</w:t>
      </w:r>
    </w:p>
    <w:p w:rsidR="00027411" w:rsidRDefault="00027411" w:rsidP="00027411">
      <w:pPr>
        <w:pStyle w:val="StandardWeb"/>
      </w:pPr>
      <w:r>
        <w:t>[</w:t>
      </w:r>
      <w:r>
        <w:br/>
        <w:t>A_C^{(D)}</w:t>
      </w:r>
      <w:r>
        <w:br/>
        <w:t>\nRightarrow</w:t>
      </w:r>
      <w:r>
        <w:br/>
        <w:t>X_i</w:t>
      </w:r>
      <w:r>
        <w:br/>
        <w:t>\rightarrow_{\mathrm{causal}}</w:t>
      </w:r>
      <w:r>
        <w:br/>
        <w:t>X_j.</w:t>
      </w:r>
      <w:r>
        <w:br/>
        <w:t>\tag{3.9102}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 X_i\rightarrow_{\mathrm{causal}}X_j</w:t>
      </w:r>
    </w:p>
    <w:p w:rsidR="00027411" w:rsidRDefault="00027411" w:rsidP="00027411">
      <w:pPr>
        <w:pStyle w:val="StandardWeb"/>
      </w:pPr>
      <w:r>
        <w:t>Auch die Existenz mindestens einer kohärenten relevanten Teilstruktur erzeugt keine allgemeine Kausalordnung. [20]</w:t>
      </w:r>
    </w:p>
    <w:p w:rsidR="00027411" w:rsidRDefault="00E50336" w:rsidP="00027411">
      <w:r>
        <w:pict>
          <v:rect id="_x0000_i2569" style="width:0;height:1.5pt" o:hralign="center" o:hrstd="t" o:hr="t" fillcolor="#a0a0a0" stroked="f"/>
        </w:pict>
      </w:r>
    </w:p>
    <w:p w:rsidR="00027411" w:rsidRDefault="00027411" w:rsidP="00027411">
      <w:pPr>
        <w:pStyle w:val="berschrift1"/>
      </w:pPr>
      <w:r>
        <w:t>3.3.43.404 Prüfung gegenüber Determinismus</w:t>
      </w:r>
    </w:p>
    <w:p w:rsidR="00027411" w:rsidRDefault="00027411" w:rsidP="00027411">
      <w:pPr>
        <w:pStyle w:val="StandardWeb"/>
      </w:pPr>
      <w:r>
        <w:t>Ebenso folgt nicht</w:t>
      </w:r>
    </w:p>
    <w:p w:rsidR="00027411" w:rsidRDefault="00027411" w:rsidP="00027411">
      <w:pPr>
        <w:pStyle w:val="StandardWeb"/>
      </w:pPr>
      <w:r>
        <w:t>[</w:t>
      </w:r>
      <w:r>
        <w:br/>
        <w:t>A_C^{(D)}</w:t>
      </w:r>
      <w:r>
        <w:br/>
        <w:t>\Rightarrow</w:t>
      </w:r>
      <w:r>
        <w:br/>
        <w:t>\mathcal D_F</w:t>
      </w:r>
      <w:r>
        <w:br/>
        <w:t>\text{ deterministisch}.</w:t>
      </w:r>
      <w:r>
        <w:br/>
        <w:t>\tag{3.9103}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A_C^{(D)}\Rightarrow\mathcal D_F\text{ deterministisch}</w:t>
      </w:r>
    </w:p>
    <w:p w:rsidR="00027411" w:rsidRDefault="00027411" w:rsidP="00027411">
      <w:pPr>
        <w:pStyle w:val="StandardWeb"/>
      </w:pPr>
      <w:r>
        <w:lastRenderedPageBreak/>
        <w:t>Und ebenso wenig</w:t>
      </w:r>
    </w:p>
    <w:p w:rsidR="00027411" w:rsidRDefault="00027411" w:rsidP="00027411">
      <w:pPr>
        <w:pStyle w:val="StandardWeb"/>
      </w:pPr>
      <w:r>
        <w:t>[</w:t>
      </w:r>
      <w:r>
        <w:br/>
        <w:t>A_C^{(D)}</w:t>
      </w:r>
      <w:r>
        <w:br/>
        <w:t>\Rightarrow</w:t>
      </w:r>
      <w:r>
        <w:br/>
        <w:t>\mathcal D_F</w:t>
      </w:r>
      <w:r>
        <w:br/>
        <w:t>\text{ stochastisch}.</w:t>
      </w:r>
      <w:r>
        <w:br/>
        <w:t>\tag{3.9104}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A_C^{(D)}\Rightarrow\mathcal D_F\text{ stochastisch}</w:t>
      </w:r>
    </w:p>
    <w:p w:rsidR="00027411" w:rsidRDefault="00027411" w:rsidP="00027411">
      <w:pPr>
        <w:pStyle w:val="StandardWeb"/>
      </w:pPr>
      <w:r>
        <w:t>Kandidat D bleibt bezüglich dieser Modellentscheidung neutral.</w:t>
      </w:r>
    </w:p>
    <w:p w:rsidR="00027411" w:rsidRDefault="00E50336" w:rsidP="00027411">
      <w:r>
        <w:pict>
          <v:rect id="_x0000_i2570" style="width:0;height:1.5pt" o:hralign="center" o:hrstd="t" o:hr="t" fillcolor="#a0a0a0" stroked="f"/>
        </w:pict>
      </w:r>
    </w:p>
    <w:p w:rsidR="00027411" w:rsidRDefault="00027411" w:rsidP="00027411">
      <w:pPr>
        <w:pStyle w:val="berschrift1"/>
      </w:pPr>
      <w:r>
        <w:t>3.3.43.405 Prüfung gegenüber Kontinuität</w:t>
      </w:r>
    </w:p>
    <w:p w:rsidR="00027411" w:rsidRDefault="00027411" w:rsidP="00027411">
      <w:pPr>
        <w:pStyle w:val="StandardWeb"/>
      </w:pPr>
      <w:r>
        <w:t>Aus der Existenz positiver Kohärenz folgt keine Stetigkeit:</w:t>
      </w:r>
    </w:p>
    <w:p w:rsidR="00027411" w:rsidRDefault="00027411" w:rsidP="00027411">
      <w:pPr>
        <w:pStyle w:val="StandardWeb"/>
      </w:pPr>
      <w:r>
        <w:t>[</w:t>
      </w:r>
      <w:r>
        <w:br/>
        <w:t>A_C^{(D)}</w:t>
      </w:r>
      <w:r>
        <w:br/>
        <w:t>\nRightarrow</w:t>
      </w:r>
      <w:r>
        <w:br/>
        <w:t>C_F\in C^0.</w:t>
      </w:r>
      <w:r>
        <w:br/>
        <w:t>\tag{3.9105}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 C_F\in C^0</w:t>
      </w:r>
    </w:p>
    <w:p w:rsidR="00027411" w:rsidRDefault="00027411" w:rsidP="00027411">
      <w:pPr>
        <w:pStyle w:val="StandardWeb"/>
      </w:pPr>
      <w:r>
        <w:t>Folglich werden auch Differentialstrukturen nicht automatisch erzwungen:</w:t>
      </w:r>
    </w:p>
    <w:p w:rsidR="00027411" w:rsidRDefault="00027411" w:rsidP="00027411">
      <w:pPr>
        <w:pStyle w:val="StandardWeb"/>
      </w:pPr>
      <w:r>
        <w:t>[</w:t>
      </w:r>
      <w:r>
        <w:br/>
        <w:t>A_C^{(D)}</w:t>
      </w:r>
      <w:r>
        <w:br/>
        <w:t>\nRightarrow</w:t>
      </w:r>
      <w:r>
        <w:br/>
        <w:t>C_F\in C^1.</w:t>
      </w:r>
      <w:r>
        <w:br/>
        <w:t>\tag{3.9106}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 C_F\in C^1</w:t>
      </w:r>
    </w:p>
    <w:p w:rsidR="00027411" w:rsidRDefault="00E50336" w:rsidP="00027411">
      <w:r>
        <w:pict>
          <v:rect id="_x0000_i2571" style="width:0;height:1.5pt" o:hralign="center" o:hrstd="t" o:hr="t" fillcolor="#a0a0a0" stroked="f"/>
        </w:pict>
      </w:r>
    </w:p>
    <w:p w:rsidR="00027411" w:rsidRDefault="00027411" w:rsidP="00027411">
      <w:pPr>
        <w:pStyle w:val="berschrift1"/>
      </w:pPr>
      <w:r>
        <w:t>3.3.43.406 Prüfung gegenüber Differenzierbarkeit höherer Ordnung</w:t>
      </w:r>
    </w:p>
    <w:p w:rsidR="00027411" w:rsidRDefault="00027411" w:rsidP="00027411">
      <w:pPr>
        <w:pStyle w:val="StandardWeb"/>
      </w:pPr>
      <w:r>
        <w:lastRenderedPageBreak/>
        <w:t>Insbesondere folgt nicht</w:t>
      </w:r>
    </w:p>
    <w:p w:rsidR="00027411" w:rsidRDefault="00027411" w:rsidP="00027411">
      <w:pPr>
        <w:pStyle w:val="StandardWeb"/>
      </w:pPr>
      <w:r>
        <w:t>[</w:t>
      </w:r>
      <w:r>
        <w:br/>
        <w:t>A_C^{(D)}</w:t>
      </w:r>
      <w:r>
        <w:br/>
        <w:t>\nRightarrow</w:t>
      </w:r>
      <w:r>
        <w:br/>
        <w:t>C_F\in C^2.</w:t>
      </w:r>
      <w:r>
        <w:br/>
        <w:t>\tag{3.9107}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 C_F\in C^2</w:t>
      </w:r>
    </w:p>
    <w:p w:rsidR="00027411" w:rsidRDefault="00027411" w:rsidP="00027411">
      <w:pPr>
        <w:pStyle w:val="StandardWeb"/>
      </w:pPr>
      <w:r>
        <w:t>Die zuvor eingeführten Größen</w:t>
      </w:r>
    </w:p>
    <w:p w:rsidR="00027411" w:rsidRDefault="00027411" w:rsidP="00027411">
      <w:pPr>
        <w:pStyle w:val="StandardWeb"/>
      </w:pPr>
      <w:r>
        <w:t>[</w:t>
      </w:r>
      <w:r>
        <w:br/>
        <w:t>\nabla C,</w:t>
      </w:r>
      <w:r>
        <w:br/>
        <w:t>\qquad</w:t>
      </w:r>
      <w:r>
        <w:br/>
        <w:t>\dot C,</w:t>
      </w:r>
      <w:r>
        <w:br/>
        <w:t>\qquad</w:t>
      </w:r>
      <w:r>
        <w:br/>
        <w:t>\ddot C</w:t>
      </w:r>
      <w:r>
        <w:br/>
        <w:t>\tag{3.9108}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\nabla C,\qquad\dot C,\qquad\ddot C</w:t>
      </w:r>
    </w:p>
    <w:p w:rsidR="00027411" w:rsidRDefault="00027411" w:rsidP="00027411">
      <w:pPr>
        <w:pStyle w:val="StandardWeb"/>
      </w:pPr>
      <w:r>
        <w:t>bleiben daher nur dort zulässig, wo die erforderliche Regularität zusätzlich gegeben ist.</w:t>
      </w:r>
    </w:p>
    <w:p w:rsidR="00027411" w:rsidRDefault="00E50336" w:rsidP="00027411">
      <w:r>
        <w:pict>
          <v:rect id="_x0000_i2572" style="width:0;height:1.5pt" o:hralign="center" o:hrstd="t" o:hr="t" fillcolor="#a0a0a0" stroked="f"/>
        </w:pict>
      </w:r>
    </w:p>
    <w:p w:rsidR="00027411" w:rsidRDefault="00027411" w:rsidP="00027411">
      <w:pPr>
        <w:pStyle w:val="berschrift1"/>
      </w:pPr>
      <w:r>
        <w:t>3.3.43.407 Prüfung gegenüber Symmetrie</w:t>
      </w:r>
    </w:p>
    <w:p w:rsidR="00027411" w:rsidRDefault="00027411" w:rsidP="00027411">
      <w:pPr>
        <w:pStyle w:val="StandardWeb"/>
      </w:pPr>
      <w:r>
        <w:t>Kandidat D fordert lediglich positive Kohärenz einer funktional relevanten Teilstruktur.</w:t>
      </w:r>
    </w:p>
    <w:p w:rsidR="00027411" w:rsidRDefault="00027411" w:rsidP="00027411">
      <w:pPr>
        <w:pStyle w:val="StandardWeb"/>
      </w:pPr>
      <w:r>
        <w:t>Daraus folgt nicht</w:t>
      </w:r>
    </w:p>
    <w:p w:rsidR="00027411" w:rsidRDefault="00027411" w:rsidP="00027411">
      <w:pPr>
        <w:pStyle w:val="berschrift1"/>
      </w:pPr>
      <w:r>
        <w:t>[</w:t>
      </w:r>
      <w:r>
        <w:br/>
        <w:t>C_{ij}</w:t>
      </w:r>
    </w:p>
    <w:p w:rsidR="00027411" w:rsidRDefault="00027411" w:rsidP="00027411">
      <w:pPr>
        <w:pStyle w:val="StandardWeb"/>
      </w:pPr>
      <w:r>
        <w:t>C_{ji}.</w:t>
      </w:r>
      <w:r>
        <w:br/>
        <w:t>\tag{3.9109}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C_{ij}=C_{ji}</w:t>
      </w:r>
    </w:p>
    <w:p w:rsidR="00027411" w:rsidRDefault="00027411" w:rsidP="00027411">
      <w:pPr>
        <w:pStyle w:val="StandardWeb"/>
      </w:pPr>
      <w:r>
        <w:t>Gerichtete Kohärenz bleibt vollständig zulässig.</w:t>
      </w:r>
    </w:p>
    <w:p w:rsidR="00027411" w:rsidRDefault="00E50336" w:rsidP="00027411">
      <w:r>
        <w:lastRenderedPageBreak/>
        <w:pict>
          <v:rect id="_x0000_i2573" style="width:0;height:1.5pt" o:hralign="center" o:hrstd="t" o:hr="t" fillcolor="#a0a0a0" stroked="f"/>
        </w:pict>
      </w:r>
    </w:p>
    <w:p w:rsidR="00027411" w:rsidRDefault="00027411" w:rsidP="00027411">
      <w:pPr>
        <w:pStyle w:val="berschrift1"/>
      </w:pPr>
      <w:r>
        <w:t>3.3.43.408 Prüfung gegenüber Transitivität</w:t>
      </w:r>
    </w:p>
    <w:p w:rsidR="00027411" w:rsidRDefault="00027411" w:rsidP="00027411">
      <w:pPr>
        <w:pStyle w:val="StandardWeb"/>
      </w:pPr>
      <w:r>
        <w:t>Ebenso folgt nicht</w:t>
      </w:r>
    </w:p>
    <w:p w:rsidR="00027411" w:rsidRDefault="00027411" w:rsidP="00027411">
      <w:pPr>
        <w:pStyle w:val="StandardWeb"/>
      </w:pPr>
      <w:r>
        <w:t>[</w:t>
      </w:r>
      <w:r>
        <w:br/>
        <w:t>C_{ij}&gt;0</w:t>
      </w:r>
      <w:r>
        <w:br/>
        <w:t>\land</w:t>
      </w:r>
      <w:r>
        <w:br/>
        <w:t>C_{jk}&gt;0</w:t>
      </w:r>
      <w:r>
        <w:br/>
        <w:t>\Rightarrow</w:t>
      </w:r>
      <w:r>
        <w:br/>
        <w:t>C_{ik}&gt;0.</w:t>
      </w:r>
      <w:r>
        <w:br/>
        <w:t>\tag{3.9110}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C_{ij}&gt;0\land C_{jk}&gt;0\Rightarrow C_{ik}&gt;0</w:t>
      </w:r>
    </w:p>
    <w:p w:rsidR="00027411" w:rsidRDefault="00027411" w:rsidP="00027411">
      <w:pPr>
        <w:pStyle w:val="StandardWeb"/>
      </w:pPr>
      <w:r>
        <w:t>Funktionale Kohärenz wird damit nicht zu einer Äquivalenzrelation erhoben.</w:t>
      </w:r>
    </w:p>
    <w:p w:rsidR="00027411" w:rsidRDefault="00E50336" w:rsidP="00027411">
      <w:r>
        <w:pict>
          <v:rect id="_x0000_i2574" style="width:0;height:1.5pt" o:hralign="center" o:hrstd="t" o:hr="t" fillcolor="#a0a0a0" stroked="f"/>
        </w:pict>
      </w:r>
    </w:p>
    <w:p w:rsidR="00027411" w:rsidRDefault="00027411" w:rsidP="00027411">
      <w:pPr>
        <w:pStyle w:val="berschrift1"/>
      </w:pPr>
      <w:r>
        <w:t>3.3.43.409 Prüfung gegenüber Reflexivität</w:t>
      </w:r>
    </w:p>
    <w:p w:rsidR="00027411" w:rsidRDefault="00027411" w:rsidP="00027411">
      <w:pPr>
        <w:pStyle w:val="StandardWeb"/>
      </w:pPr>
      <w:r>
        <w:t>Auch</w:t>
      </w:r>
    </w:p>
    <w:p w:rsidR="00027411" w:rsidRDefault="00027411" w:rsidP="00027411">
      <w:pPr>
        <w:pStyle w:val="StandardWeb"/>
      </w:pPr>
      <w:r>
        <w:t>[</w:t>
      </w:r>
      <w:r>
        <w:br/>
        <w:t>C_{ii}=1</w:t>
      </w:r>
      <w:r>
        <w:br/>
        <w:t>\tag{3.9111}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C_{ii}=1</w:t>
      </w:r>
    </w:p>
    <w:p w:rsidR="00027411" w:rsidRDefault="00027411" w:rsidP="00027411">
      <w:pPr>
        <w:pStyle w:val="StandardWeb"/>
      </w:pPr>
      <w:r>
        <w:t>folgt nicht aus Kandidat D.</w:t>
      </w:r>
    </w:p>
    <w:p w:rsidR="00027411" w:rsidRDefault="00027411" w:rsidP="00027411">
      <w:pPr>
        <w:pStyle w:val="StandardWeb"/>
      </w:pPr>
      <w:r>
        <w:t>Die bereits eingeführte normierte Selbstkohärenz bleibt daher eine optionale Konvention.</w:t>
      </w:r>
    </w:p>
    <w:p w:rsidR="00027411" w:rsidRDefault="00E50336" w:rsidP="00027411">
      <w:r>
        <w:pict>
          <v:rect id="_x0000_i2575" style="width:0;height:1.5pt" o:hralign="center" o:hrstd="t" o:hr="t" fillcolor="#a0a0a0" stroked="f"/>
        </w:pict>
      </w:r>
    </w:p>
    <w:p w:rsidR="00027411" w:rsidRDefault="00027411" w:rsidP="00027411">
      <w:pPr>
        <w:pStyle w:val="berschrift1"/>
      </w:pPr>
      <w:r>
        <w:t>3.3.43.410 Prüfung gegenüber Monotonie</w:t>
      </w:r>
    </w:p>
    <w:p w:rsidR="00027411" w:rsidRDefault="00027411" w:rsidP="00027411">
      <w:pPr>
        <w:pStyle w:val="StandardWeb"/>
      </w:pPr>
      <w:r>
        <w:t>Es folgt ebenfalls nicht</w:t>
      </w:r>
    </w:p>
    <w:p w:rsidR="00027411" w:rsidRDefault="00027411" w:rsidP="00027411">
      <w:pPr>
        <w:pStyle w:val="StandardWeb"/>
      </w:pPr>
      <w:r>
        <w:t>[</w:t>
      </w:r>
      <w:r>
        <w:br/>
        <w:t>d_{ST}\uparrow</w:t>
      </w:r>
      <w:r>
        <w:br/>
        <w:t>\Rightarrow</w:t>
      </w:r>
      <w:r>
        <w:br/>
        <w:t>C_F\downarrow.</w:t>
      </w:r>
      <w:r>
        <w:br/>
      </w:r>
      <w:r>
        <w:lastRenderedPageBreak/>
        <w:t>\tag{3.9112}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d_{ST}\uparrow\Rightarrow C_F\downarrow</w:t>
      </w:r>
    </w:p>
    <w:p w:rsidR="00027411" w:rsidRDefault="00027411" w:rsidP="00027411">
      <w:pPr>
        <w:pStyle w:val="StandardWeb"/>
      </w:pPr>
      <w:r>
        <w:t>Eine monotone Distanzabhängigkeit bleibt eine mögliche, aber nicht notwendige Modellannahme.</w:t>
      </w:r>
    </w:p>
    <w:p w:rsidR="00027411" w:rsidRDefault="00E50336" w:rsidP="00027411">
      <w:r>
        <w:pict>
          <v:rect id="_x0000_i2576" style="width:0;height:1.5pt" o:hralign="center" o:hrstd="t" o:hr="t" fillcolor="#a0a0a0" stroked="f"/>
        </w:pict>
      </w:r>
    </w:p>
    <w:p w:rsidR="00027411" w:rsidRDefault="00027411" w:rsidP="00027411">
      <w:pPr>
        <w:pStyle w:val="berschrift1"/>
      </w:pPr>
      <w:r>
        <w:t>3.3.43.411 Prüfung gegenüber Erhaltung</w:t>
      </w:r>
    </w:p>
    <w:p w:rsidR="00027411" w:rsidRDefault="00027411" w:rsidP="00027411">
      <w:pPr>
        <w:pStyle w:val="StandardWeb"/>
      </w:pPr>
      <w:r>
        <w:t>Wie bereits gezeigt, erzwingt Kandidat D keine Erhaltung.</w:t>
      </w:r>
    </w:p>
    <w:p w:rsidR="00027411" w:rsidRDefault="00027411" w:rsidP="00027411">
      <w:pPr>
        <w:pStyle w:val="StandardWeb"/>
      </w:pPr>
      <w:r>
        <w:t>Daher gilt nicht</w:t>
      </w:r>
    </w:p>
    <w:p w:rsidR="00027411" w:rsidRDefault="00027411" w:rsidP="00027411">
      <w:pPr>
        <w:pStyle w:val="StandardWeb"/>
      </w:pPr>
      <w:r>
        <w:t>[</w:t>
      </w:r>
      <w:r>
        <w:br/>
        <w:t>A_C^{(D)}</w:t>
      </w:r>
      <w:r>
        <w:br/>
        <w:t>\Rightarrow</w:t>
      </w:r>
      <w:r>
        <w:br/>
        <w:t>\partial_t C+\nabla\cdot\mathbf J_C=0.</w:t>
      </w:r>
      <w:r>
        <w:br/>
        <w:t>\tag{3.9113}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A_C^{(D)}\Rightarrow\partial_t C+\nabla\cdot\mathbf J_C=0</w:t>
      </w:r>
    </w:p>
    <w:p w:rsidR="00027411" w:rsidRDefault="00027411" w:rsidP="00027411">
      <w:pPr>
        <w:pStyle w:val="StandardWeb"/>
      </w:pPr>
      <w:r>
        <w:t>Ebenso wenig folgt</w:t>
      </w:r>
    </w:p>
    <w:p w:rsidR="00027411" w:rsidRDefault="00027411" w:rsidP="00027411">
      <w:pPr>
        <w:pStyle w:val="StandardWeb"/>
      </w:pPr>
      <w:r>
        <w:t>[</w:t>
      </w:r>
      <w:r>
        <w:br/>
        <w:t>A_C^{(D)}</w:t>
      </w:r>
      <w:r>
        <w:br/>
        <w:t>\Rightarrow</w:t>
      </w:r>
      <w:r>
        <w:br/>
        <w:t>S_C=0.</w:t>
      </w:r>
      <w:r>
        <w:br/>
        <w:t>\tag{3.9114}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 S_C=0</w:t>
      </w:r>
    </w:p>
    <w:p w:rsidR="00027411" w:rsidRDefault="00E50336" w:rsidP="00027411">
      <w:r>
        <w:pict>
          <v:rect id="_x0000_i2577" style="width:0;height:1.5pt" o:hralign="center" o:hrstd="t" o:hr="t" fillcolor="#a0a0a0" stroked="f"/>
        </w:pict>
      </w:r>
    </w:p>
    <w:p w:rsidR="00027411" w:rsidRDefault="00027411" w:rsidP="00027411">
      <w:pPr>
        <w:pStyle w:val="berschrift1"/>
      </w:pPr>
      <w:r>
        <w:t>3.3.43.412 Prüfung gegenüber maximaler Kohärenz</w:t>
      </w:r>
    </w:p>
    <w:p w:rsidR="00027411" w:rsidRDefault="00027411" w:rsidP="00027411">
      <w:pPr>
        <w:pStyle w:val="StandardWeb"/>
      </w:pPr>
      <w:r>
        <w:t>Aus Kandidat D folgt nur</w:t>
      </w:r>
    </w:p>
    <w:p w:rsidR="00027411" w:rsidRDefault="00027411" w:rsidP="00027411">
      <w:pPr>
        <w:pStyle w:val="StandardWeb"/>
      </w:pPr>
      <w:r>
        <w:t>[</w:t>
      </w:r>
      <w:r>
        <w:br/>
        <w:t>C_F&gt;0</w:t>
      </w:r>
      <w:r>
        <w:br/>
        <w:t>]</w:t>
      </w:r>
    </w:p>
    <w:p w:rsidR="00027411" w:rsidRDefault="00027411" w:rsidP="00027411">
      <w:pPr>
        <w:pStyle w:val="StandardWeb"/>
      </w:pPr>
      <w:r>
        <w:lastRenderedPageBreak/>
        <w:t>für mindestens eine relevante Teilstruktur.</w:t>
      </w:r>
    </w:p>
    <w:p w:rsidR="00027411" w:rsidRDefault="00027411" w:rsidP="00027411">
      <w:pPr>
        <w:pStyle w:val="StandardWeb"/>
      </w:pPr>
      <w:r>
        <w:t>Es folgt ausdrücklich nicht</w:t>
      </w:r>
    </w:p>
    <w:p w:rsidR="00027411" w:rsidRDefault="00027411" w:rsidP="00027411">
      <w:pPr>
        <w:pStyle w:val="StandardWeb"/>
      </w:pPr>
      <w:r>
        <w:t>[</w:t>
      </w:r>
      <w:r>
        <w:br/>
        <w:t>C_F=1.</w:t>
      </w:r>
      <w:r>
        <w:br/>
        <w:t>\tag{3.9115}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C_F=1</w:t>
      </w:r>
    </w:p>
    <w:p w:rsidR="00027411" w:rsidRDefault="00027411" w:rsidP="00027411">
      <w:pPr>
        <w:pStyle w:val="StandardWeb"/>
      </w:pPr>
      <w:r>
        <w:t>Noch weniger folgt</w:t>
      </w:r>
    </w:p>
    <w:p w:rsidR="00027411" w:rsidRDefault="00027411" w:rsidP="00027411">
      <w:pPr>
        <w:pStyle w:val="StandardWeb"/>
      </w:pPr>
      <w:r>
        <w:t>[</w:t>
      </w:r>
      <w:r>
        <w:br/>
        <w:t>C_{\mathrm{sys}}=1.</w:t>
      </w:r>
      <w:r>
        <w:br/>
        <w:t>\tag{3.9116}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C_{\mathrm{sys}}=1</w:t>
      </w:r>
    </w:p>
    <w:p w:rsidR="00027411" w:rsidRDefault="00027411" w:rsidP="00027411">
      <w:pPr>
        <w:pStyle w:val="StandardWeb"/>
      </w:pPr>
      <w:r>
        <w:t>Damit bleibt partielle Kohärenz zulässig.</w:t>
      </w:r>
    </w:p>
    <w:p w:rsidR="00027411" w:rsidRDefault="00E50336" w:rsidP="00027411">
      <w:r>
        <w:pict>
          <v:rect id="_x0000_i2578" style="width:0;height:1.5pt" o:hralign="center" o:hrstd="t" o:hr="t" fillcolor="#a0a0a0" stroked="f"/>
        </w:pict>
      </w:r>
    </w:p>
    <w:p w:rsidR="00027411" w:rsidRDefault="00027411" w:rsidP="00027411">
      <w:pPr>
        <w:pStyle w:val="berschrift1"/>
      </w:pPr>
      <w:r>
        <w:t>3.3.43.413 Prüfung gegenüber globaler Kohärenz</w:t>
      </w:r>
    </w:p>
    <w:p w:rsidR="00027411" w:rsidRDefault="00027411" w:rsidP="00027411">
      <w:pPr>
        <w:pStyle w:val="StandardWeb"/>
      </w:pPr>
      <w:r>
        <w:t>Kandidat D führt auch nicht zu</w:t>
      </w:r>
    </w:p>
    <w:p w:rsidR="00027411" w:rsidRDefault="00027411" w:rsidP="00027411">
      <w:pPr>
        <w:pStyle w:val="StandardWeb"/>
      </w:pPr>
      <w:r>
        <w:t>[</w:t>
      </w:r>
      <w:r>
        <w:br/>
        <w:t>C_{\mathrm{sys}}&gt;0</w:t>
      </w:r>
      <w:r>
        <w:br/>
        <w:t>\qquad</w:t>
      </w:r>
      <w:r>
        <w:br/>
        <w:t>\forall z.</w:t>
      </w:r>
      <w:r>
        <w:br/>
        <w:t>\tag{3.9117}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C_{\mathrm{sys}}&gt;0\qquad\forall z</w:t>
      </w:r>
    </w:p>
    <w:p w:rsidR="00027411" w:rsidRDefault="00027411" w:rsidP="00027411">
      <w:pPr>
        <w:pStyle w:val="StandardWeb"/>
      </w:pPr>
      <w:r>
        <w:t>Einzelne Zustände oder Teilräume können weiterhin kohärenzfrei sein.</w:t>
      </w:r>
    </w:p>
    <w:p w:rsidR="00027411" w:rsidRDefault="00E50336" w:rsidP="00027411">
      <w:r>
        <w:pict>
          <v:rect id="_x0000_i2579" style="width:0;height:1.5pt" o:hralign="center" o:hrstd="t" o:hr="t" fillcolor="#a0a0a0" stroked="f"/>
        </w:pict>
      </w:r>
    </w:p>
    <w:p w:rsidR="00027411" w:rsidRDefault="00027411" w:rsidP="00027411">
      <w:pPr>
        <w:pStyle w:val="berschrift1"/>
      </w:pPr>
      <w:r>
        <w:t>3.3.43.414 Prüfung gegenüber globaler Konnektivität</w:t>
      </w:r>
    </w:p>
    <w:p w:rsidR="00027411" w:rsidRDefault="00027411" w:rsidP="00027411">
      <w:pPr>
        <w:pStyle w:val="StandardWeb"/>
      </w:pPr>
      <w:r>
        <w:t>Positive Kohärenz einer relevanten Teilstruktur bedeutet nicht</w:t>
      </w:r>
    </w:p>
    <w:p w:rsidR="00027411" w:rsidRDefault="00027411" w:rsidP="00027411">
      <w:pPr>
        <w:pStyle w:val="StandardWeb"/>
      </w:pPr>
      <w:r>
        <w:lastRenderedPageBreak/>
        <w:t>[</w:t>
      </w:r>
      <w:r>
        <w:br/>
        <w:t>\mathcal G_C</w:t>
      </w:r>
      <w:r>
        <w:br/>
        <w:t>\text{ ist zusammenhängend}.</w:t>
      </w:r>
      <w:r>
        <w:br/>
        <w:t>\tag{3.9118}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G_C\text{ ist zusammenhängend}</w:t>
      </w:r>
    </w:p>
    <w:p w:rsidR="00027411" w:rsidRDefault="00027411" w:rsidP="00027411">
      <w:pPr>
        <w:pStyle w:val="StandardWeb"/>
      </w:pPr>
      <w:r>
        <w:t>Mehrere Kohärenzcluster bleiben daher möglich.</w:t>
      </w:r>
    </w:p>
    <w:p w:rsidR="00027411" w:rsidRDefault="00E50336" w:rsidP="00027411">
      <w:r>
        <w:pict>
          <v:rect id="_x0000_i2580" style="width:0;height:1.5pt" o:hralign="center" o:hrstd="t" o:hr="t" fillcolor="#a0a0a0" stroked="f"/>
        </w:pict>
      </w:r>
    </w:p>
    <w:p w:rsidR="00027411" w:rsidRDefault="00027411" w:rsidP="00027411">
      <w:pPr>
        <w:pStyle w:val="berschrift1"/>
      </w:pPr>
      <w:r>
        <w:t>3.3.43.415 Prüfung gegenüber Modularität</w:t>
      </w:r>
    </w:p>
    <w:p w:rsidR="00027411" w:rsidRDefault="00027411" w:rsidP="00027411">
      <w:pPr>
        <w:pStyle w:val="StandardWeb"/>
      </w:pPr>
      <w:r>
        <w:t>Ebenso folgt weder</w:t>
      </w:r>
    </w:p>
    <w:p w:rsidR="00027411" w:rsidRDefault="00027411" w:rsidP="00027411">
      <w:pPr>
        <w:pStyle w:val="StandardWeb"/>
      </w:pPr>
      <w:r>
        <w:t>[</w:t>
      </w:r>
      <w:r>
        <w:br/>
        <w:t>N_{\mathrm{module}}=1</w:t>
      </w:r>
      <w:r>
        <w:br/>
        <w:t>\tag{3.9119}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N_{\mathrm{module}}=1</w:t>
      </w:r>
    </w:p>
    <w:p w:rsidR="00027411" w:rsidRDefault="00027411" w:rsidP="00027411">
      <w:pPr>
        <w:pStyle w:val="StandardWeb"/>
      </w:pPr>
      <w:r>
        <w:t>noch</w:t>
      </w:r>
    </w:p>
    <w:p w:rsidR="00027411" w:rsidRDefault="00027411" w:rsidP="00027411">
      <w:pPr>
        <w:pStyle w:val="StandardWeb"/>
      </w:pPr>
      <w:r>
        <w:t>[</w:t>
      </w:r>
      <w:r>
        <w:br/>
        <w:t>N_{\mathrm{module}}&gt;1.</w:t>
      </w:r>
      <w:r>
        <w:br/>
        <w:t>\tag{3.9120}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N_{\mathrm{module}}&gt;1</w:t>
      </w:r>
    </w:p>
    <w:p w:rsidR="00027411" w:rsidRDefault="00027411" w:rsidP="00027411">
      <w:pPr>
        <w:pStyle w:val="StandardWeb"/>
      </w:pPr>
      <w:r>
        <w:t>Kandidat D bleibt hinsichtlich modularer Organisation neutral.</w:t>
      </w:r>
    </w:p>
    <w:p w:rsidR="00027411" w:rsidRDefault="00E50336" w:rsidP="00027411">
      <w:r>
        <w:pict>
          <v:rect id="_x0000_i2581" style="width:0;height:1.5pt" o:hralign="center" o:hrstd="t" o:hr="t" fillcolor="#a0a0a0" stroked="f"/>
        </w:pict>
      </w:r>
    </w:p>
    <w:p w:rsidR="00027411" w:rsidRDefault="00027411" w:rsidP="00027411">
      <w:pPr>
        <w:pStyle w:val="berschrift1"/>
      </w:pPr>
      <w:r>
        <w:t>3.3.43.416 Prüfung gegenüber Stabilität</w:t>
      </w:r>
    </w:p>
    <w:p w:rsidR="00027411" w:rsidRDefault="00027411" w:rsidP="00027411">
      <w:pPr>
        <w:pStyle w:val="StandardWeb"/>
      </w:pPr>
      <w:r>
        <w:t>Auch eine stabile Systemdynamik wird nicht garantiert:</w:t>
      </w:r>
    </w:p>
    <w:p w:rsidR="00027411" w:rsidRDefault="00027411" w:rsidP="00027411">
      <w:pPr>
        <w:pStyle w:val="StandardWeb"/>
      </w:pPr>
      <w:r>
        <w:t>[</w:t>
      </w:r>
      <w:r>
        <w:br/>
        <w:t>A_C^{(D)}</w:t>
      </w:r>
      <w:r>
        <w:br/>
        <w:t>\nRightarrow</w:t>
      </w:r>
      <w:r>
        <w:br/>
        <w:t>S_{\mathrm{sys}}\approx1.</w:t>
      </w:r>
      <w:r>
        <w:br/>
      </w:r>
      <w:r>
        <w:lastRenderedPageBreak/>
        <w:t>\tag{3.9121}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 S_{\mathrm{sys}}\approx1</w:t>
      </w:r>
    </w:p>
    <w:p w:rsidR="00027411" w:rsidRDefault="00027411" w:rsidP="00027411">
      <w:pPr>
        <w:pStyle w:val="StandardWeb"/>
      </w:pPr>
      <w:r>
        <w:t>Ein funktional kohärentes System kann weiterhin instabil sein.</w:t>
      </w:r>
    </w:p>
    <w:p w:rsidR="00027411" w:rsidRDefault="00E50336" w:rsidP="00027411">
      <w:r>
        <w:pict>
          <v:rect id="_x0000_i2582" style="width:0;height:1.5pt" o:hralign="center" o:hrstd="t" o:hr="t" fillcolor="#a0a0a0" stroked="f"/>
        </w:pict>
      </w:r>
    </w:p>
    <w:p w:rsidR="00027411" w:rsidRDefault="00027411" w:rsidP="00027411">
      <w:pPr>
        <w:pStyle w:val="berschrift1"/>
      </w:pPr>
      <w:r>
        <w:t>3.3.43.417 Prüfung gegenüber Robustheit</w:t>
      </w:r>
    </w:p>
    <w:p w:rsidR="00027411" w:rsidRDefault="00027411" w:rsidP="00027411">
      <w:pPr>
        <w:pStyle w:val="StandardWeb"/>
      </w:pPr>
      <w:r>
        <w:t>Ebenso gilt</w:t>
      </w:r>
    </w:p>
    <w:p w:rsidR="00027411" w:rsidRDefault="00027411" w:rsidP="00027411">
      <w:pPr>
        <w:pStyle w:val="StandardWeb"/>
      </w:pPr>
      <w:r>
        <w:t>[</w:t>
      </w:r>
      <w:r>
        <w:br/>
        <w:t>A_C^{(D)}</w:t>
      </w:r>
      <w:r>
        <w:br/>
        <w:t>\nRightarrow</w:t>
      </w:r>
      <w:r>
        <w:br/>
        <w:t>R_C^{\mathrm{rob}}\approx1.</w:t>
      </w:r>
      <w:r>
        <w:br/>
        <w:t>\tag{3.9122}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 R_C^{\mathrm{rob}}\approx1</w:t>
      </w:r>
    </w:p>
    <w:p w:rsidR="00027411" w:rsidRDefault="00027411" w:rsidP="00027411">
      <w:pPr>
        <w:pStyle w:val="StandardWeb"/>
      </w:pPr>
      <w:r>
        <w:t>Kohärenzexistenz und Kohärenzrobustheit bleiben getrennte Eigenschaften.</w:t>
      </w:r>
    </w:p>
    <w:p w:rsidR="00027411" w:rsidRDefault="00E50336" w:rsidP="00027411">
      <w:r>
        <w:pict>
          <v:rect id="_x0000_i2583" style="width:0;height:1.5pt" o:hralign="center" o:hrstd="t" o:hr="t" fillcolor="#a0a0a0" stroked="f"/>
        </w:pict>
      </w:r>
    </w:p>
    <w:p w:rsidR="00027411" w:rsidRDefault="00027411" w:rsidP="00027411">
      <w:pPr>
        <w:pStyle w:val="berschrift1"/>
      </w:pPr>
      <w:r>
        <w:t>3.3.43.418 Prüfung gegenüber Resilienz</w:t>
      </w:r>
    </w:p>
    <w:p w:rsidR="00027411" w:rsidRDefault="00027411" w:rsidP="00027411">
      <w:pPr>
        <w:pStyle w:val="StandardWeb"/>
      </w:pPr>
      <w:r>
        <w:t>Auch</w:t>
      </w:r>
    </w:p>
    <w:p w:rsidR="00027411" w:rsidRDefault="00027411" w:rsidP="00027411">
      <w:pPr>
        <w:pStyle w:val="StandardWeb"/>
      </w:pPr>
      <w:r>
        <w:t>[</w:t>
      </w:r>
      <w:r>
        <w:br/>
        <w:t>A_C^{(D)}</w:t>
      </w:r>
      <w:r>
        <w:br/>
        <w:t>\nRightarrow</w:t>
      </w:r>
      <w:r>
        <w:br/>
        <w:t>R_C^{\mathrm{res}}\approx1.</w:t>
      </w:r>
      <w:r>
        <w:br/>
        <w:t>\tag{3.9123}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 R_C^{\mathrm{res}}\approx1</w:t>
      </w:r>
    </w:p>
    <w:p w:rsidR="00027411" w:rsidRDefault="00027411" w:rsidP="00027411">
      <w:pPr>
        <w:pStyle w:val="StandardWeb"/>
      </w:pPr>
      <w:r>
        <w:t>Ein kohärenter Zustand muss sich nach einer Störung nicht automatisch wiederherstellen.</w:t>
      </w:r>
    </w:p>
    <w:p w:rsidR="00027411" w:rsidRDefault="00E50336" w:rsidP="00027411">
      <w:r>
        <w:pict>
          <v:rect id="_x0000_i2584" style="width:0;height:1.5pt" o:hralign="center" o:hrstd="t" o:hr="t" fillcolor="#a0a0a0" stroked="f"/>
        </w:pict>
      </w:r>
    </w:p>
    <w:p w:rsidR="00027411" w:rsidRDefault="00027411" w:rsidP="00027411">
      <w:pPr>
        <w:pStyle w:val="berschrift1"/>
      </w:pPr>
      <w:r>
        <w:t>3.3.43.419 Prüfung gegenüber Synchronisation</w:t>
      </w:r>
    </w:p>
    <w:p w:rsidR="00027411" w:rsidRDefault="00027411" w:rsidP="00027411">
      <w:pPr>
        <w:pStyle w:val="StandardWeb"/>
      </w:pPr>
      <w:r>
        <w:lastRenderedPageBreak/>
        <w:t>Positive Kohärenz verlangt keine Synchronisation:</w:t>
      </w:r>
    </w:p>
    <w:p w:rsidR="00027411" w:rsidRDefault="00027411" w:rsidP="00027411">
      <w:pPr>
        <w:pStyle w:val="StandardWeb"/>
      </w:pPr>
      <w:r>
        <w:t>[</w:t>
      </w:r>
      <w:r>
        <w:br/>
        <w:t>A_C^{(D)}</w:t>
      </w:r>
      <w:r>
        <w:br/>
        <w:t>\nRightarrow</w:t>
      </w:r>
      <w:r>
        <w:br/>
        <w:t>R_{\mathrm{sync}}&gt;0.</w:t>
      </w:r>
      <w:r>
        <w:br/>
        <w:t>\tag{3.9124}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 R_{\mathrm{sync}}&gt;0</w:t>
      </w:r>
    </w:p>
    <w:p w:rsidR="00027411" w:rsidRDefault="00027411" w:rsidP="00027411">
      <w:pPr>
        <w:pStyle w:val="StandardWeb"/>
      </w:pPr>
      <w:r>
        <w:t>Damit bleibt der Kohärenzbegriff allgemeiner als Synchronisation.</w:t>
      </w:r>
    </w:p>
    <w:p w:rsidR="00027411" w:rsidRDefault="00E50336" w:rsidP="00027411">
      <w:r>
        <w:pict>
          <v:rect id="_x0000_i2585" style="width:0;height:1.5pt" o:hralign="center" o:hrstd="t" o:hr="t" fillcolor="#a0a0a0" stroked="f"/>
        </w:pict>
      </w:r>
    </w:p>
    <w:p w:rsidR="00027411" w:rsidRDefault="00027411" w:rsidP="00027411">
      <w:pPr>
        <w:pStyle w:val="berschrift1"/>
      </w:pPr>
      <w:r>
        <w:t>3.3.43.420 Prüfung gegenüber Korrelation</w:t>
      </w:r>
    </w:p>
    <w:p w:rsidR="00027411" w:rsidRDefault="00027411" w:rsidP="00027411">
      <w:pPr>
        <w:pStyle w:val="StandardWeb"/>
      </w:pPr>
      <w:r>
        <w:t>Ebenso folgt nicht</w:t>
      </w:r>
    </w:p>
    <w:p w:rsidR="00027411" w:rsidRDefault="00027411" w:rsidP="00027411">
      <w:pPr>
        <w:pStyle w:val="StandardWeb"/>
      </w:pPr>
      <w:r>
        <w:t>[</w:t>
      </w:r>
      <w:r>
        <w:br/>
        <w:t>A_C^{(D)}</w:t>
      </w:r>
      <w:r>
        <w:br/>
        <w:t>\nRightarrow</w:t>
      </w:r>
      <w:r>
        <w:br/>
        <w:t>|\rho_{ij}|&gt;0.</w:t>
      </w:r>
      <w:r>
        <w:br/>
        <w:t>\tag{3.9125}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A_C^{(D)}\nRightarrow|\rho_{ij}|&gt;0</w:t>
      </w:r>
    </w:p>
    <w:p w:rsidR="00027411" w:rsidRDefault="00027411" w:rsidP="00027411">
      <w:pPr>
        <w:pStyle w:val="StandardWeb"/>
      </w:pPr>
      <w:r>
        <w:t>Nichtlineare oder anderweitig funktionale Kohärenzbeziehungen bleiben möglich.</w:t>
      </w:r>
    </w:p>
    <w:p w:rsidR="00027411" w:rsidRDefault="00E50336" w:rsidP="00027411">
      <w:r>
        <w:pict>
          <v:rect id="_x0000_i2586" style="width:0;height:1.5pt" o:hralign="center" o:hrstd="t" o:hr="t" fillcolor="#a0a0a0" stroked="f"/>
        </w:pict>
      </w:r>
    </w:p>
    <w:p w:rsidR="00027411" w:rsidRDefault="00027411" w:rsidP="00027411">
      <w:pPr>
        <w:pStyle w:val="berschrift1"/>
      </w:pPr>
      <w:r>
        <w:t>3.3.43.421 Prüfung gegenüber Informationsübertragung</w:t>
      </w:r>
    </w:p>
    <w:p w:rsidR="00027411" w:rsidRDefault="00027411" w:rsidP="00027411">
      <w:pPr>
        <w:pStyle w:val="StandardWeb"/>
      </w:pPr>
      <w:r>
        <w:t>Es folgt ebenfalls nicht notwendig</w:t>
      </w:r>
    </w:p>
    <w:p w:rsidR="00027411" w:rsidRDefault="00027411" w:rsidP="00027411">
      <w:pPr>
        <w:pStyle w:val="StandardWeb"/>
      </w:pPr>
      <w:r>
        <w:t>[</w:t>
      </w:r>
      <w:r>
        <w:br/>
        <w:t>A_C^{(D)}</w:t>
      </w:r>
      <w:r>
        <w:br/>
        <w:t>\Rightarrow</w:t>
      </w:r>
      <w:r>
        <w:br/>
        <w:t>I_{i\rightarrow j}&gt;0.</w:t>
      </w:r>
      <w:r>
        <w:br/>
        <w:t>\tag{3.9126}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lastRenderedPageBreak/>
        <w:t>A_C^{(D)}\Rightarrow I_{i\rightarrow j}&gt;0</w:t>
      </w:r>
    </w:p>
    <w:p w:rsidR="00027411" w:rsidRDefault="00027411" w:rsidP="00027411">
      <w:pPr>
        <w:pStyle w:val="StandardWeb"/>
      </w:pPr>
      <w:r>
        <w:t>Ein Informationsindikator kann eine Operationalisierung sein, ist aber kein notwendiger Bestandteil des Primäraxioms.</w:t>
      </w:r>
    </w:p>
    <w:p w:rsidR="00027411" w:rsidRDefault="00E50336" w:rsidP="00027411">
      <w:r>
        <w:pict>
          <v:rect id="_x0000_i2587" style="width:0;height:1.5pt" o:hralign="center" o:hrstd="t" o:hr="t" fillcolor="#a0a0a0" stroked="f"/>
        </w:pict>
      </w:r>
    </w:p>
    <w:p w:rsidR="00027411" w:rsidRDefault="00027411" w:rsidP="00027411">
      <w:pPr>
        <w:pStyle w:val="berschrift1"/>
      </w:pPr>
      <w:r>
        <w:t>3.3.43.422 Prüfung gegenüber Synergie</w:t>
      </w:r>
    </w:p>
    <w:p w:rsidR="00027411" w:rsidRDefault="00027411" w:rsidP="00027411">
      <w:pPr>
        <w:pStyle w:val="StandardWeb"/>
      </w:pPr>
      <w:r>
        <w:t>Auch</w:t>
      </w:r>
    </w:p>
    <w:p w:rsidR="00027411" w:rsidRDefault="00027411" w:rsidP="00027411">
      <w:pPr>
        <w:pStyle w:val="StandardWeb"/>
      </w:pPr>
      <w:r>
        <w:t>[</w:t>
      </w:r>
      <w:r>
        <w:br/>
        <w:t>A_C^{(D)}</w:t>
      </w:r>
      <w:r>
        <w:br/>
        <w:t>\nRightarrow</w:t>
      </w:r>
      <w:r>
        <w:br/>
        <w:t>S_{ij}&gt;0</w:t>
      </w:r>
      <w:r>
        <w:br/>
        <w:t>\tag{3.9127}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 S_{ij}&gt;0</w:t>
      </w:r>
    </w:p>
    <w:p w:rsidR="00027411" w:rsidRDefault="00027411" w:rsidP="00027411">
      <w:pPr>
        <w:pStyle w:val="StandardWeb"/>
      </w:pPr>
      <w:r>
        <w:t>gilt.</w:t>
      </w:r>
    </w:p>
    <w:p w:rsidR="00027411" w:rsidRDefault="00027411" w:rsidP="00027411">
      <w:pPr>
        <w:pStyle w:val="StandardWeb"/>
      </w:pPr>
      <w:r>
        <w:t>Kohärenz verlangt keinen überadditiven Synergieeffekt.</w:t>
      </w:r>
    </w:p>
    <w:p w:rsidR="00027411" w:rsidRDefault="00E50336" w:rsidP="00027411">
      <w:r>
        <w:pict>
          <v:rect id="_x0000_i2588" style="width:0;height:1.5pt" o:hralign="center" o:hrstd="t" o:hr="t" fillcolor="#a0a0a0" stroked="f"/>
        </w:pict>
      </w:r>
    </w:p>
    <w:p w:rsidR="00027411" w:rsidRDefault="00027411" w:rsidP="00027411">
      <w:pPr>
        <w:pStyle w:val="berschrift1"/>
      </w:pPr>
      <w:r>
        <w:t>3.3.43.423 Prüfung gegenüber Emergenz</w:t>
      </w:r>
    </w:p>
    <w:p w:rsidR="00027411" w:rsidRDefault="00027411" w:rsidP="00027411">
      <w:pPr>
        <w:pStyle w:val="StandardWeb"/>
      </w:pPr>
      <w:r>
        <w:t>Ebenso folgt nicht</w:t>
      </w:r>
    </w:p>
    <w:p w:rsidR="00027411" w:rsidRDefault="00027411" w:rsidP="00027411">
      <w:pPr>
        <w:pStyle w:val="StandardWeb"/>
      </w:pPr>
      <w:r>
        <w:t>[</w:t>
      </w:r>
      <w:r>
        <w:br/>
        <w:t>A_C^{(D)}</w:t>
      </w:r>
      <w:r>
        <w:br/>
        <w:t>\Rightarrow</w:t>
      </w:r>
      <w:r>
        <w:br/>
        <w:t>E_C&gt;0.</w:t>
      </w:r>
      <w:r>
        <w:br/>
        <w:t>\tag{3.9128}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 E_C&gt;0</w:t>
      </w:r>
    </w:p>
    <w:p w:rsidR="00027411" w:rsidRDefault="00027411" w:rsidP="00027411">
      <w:pPr>
        <w:pStyle w:val="StandardWeb"/>
      </w:pPr>
      <w:r>
        <w:t>Emergenz bleibt eine mögliche Systemeigenschaft und wird nicht axiomatisch erzwungen.</w:t>
      </w:r>
    </w:p>
    <w:p w:rsidR="00027411" w:rsidRDefault="00E50336" w:rsidP="00027411">
      <w:r>
        <w:pict>
          <v:rect id="_x0000_i2589" style="width:0;height:1.5pt" o:hralign="center" o:hrstd="t" o:hr="t" fillcolor="#a0a0a0" stroked="f"/>
        </w:pict>
      </w:r>
    </w:p>
    <w:p w:rsidR="00027411" w:rsidRDefault="00027411" w:rsidP="00027411">
      <w:pPr>
        <w:pStyle w:val="berschrift1"/>
      </w:pPr>
      <w:r>
        <w:t>3.3.43.424 Prüfung gegenüber Selbstorganisation</w:t>
      </w:r>
    </w:p>
    <w:p w:rsidR="00027411" w:rsidRDefault="00027411" w:rsidP="00027411">
      <w:pPr>
        <w:pStyle w:val="StandardWeb"/>
      </w:pPr>
      <w:r>
        <w:t>Kandidat D impliziert auch nicht</w:t>
      </w:r>
    </w:p>
    <w:p w:rsidR="00027411" w:rsidRDefault="00027411" w:rsidP="00027411">
      <w:pPr>
        <w:pStyle w:val="StandardWeb"/>
      </w:pPr>
      <w:r>
        <w:lastRenderedPageBreak/>
        <w:t>[</w:t>
      </w:r>
      <w:r>
        <w:br/>
        <w:t>A_C^{(D)}</w:t>
      </w:r>
      <w:r>
        <w:br/>
        <w:t>\Rightarrow</w:t>
      </w:r>
      <w:r>
        <w:br/>
        <w:t>\text{Selbstorganisation}.</w:t>
      </w:r>
      <w:r>
        <w:br/>
        <w:t>\tag{3.9129}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A_C^{(D)}\Rightarrow\text{Selbstorganisation}</w:t>
      </w:r>
    </w:p>
    <w:p w:rsidR="00027411" w:rsidRDefault="00027411" w:rsidP="00027411">
      <w:pPr>
        <w:pStyle w:val="StandardWeb"/>
      </w:pPr>
      <w:r>
        <w:t>Eine funktional relevante Kohärenzrelation kann ebenso extern erzeugt werden.</w:t>
      </w:r>
    </w:p>
    <w:p w:rsidR="00027411" w:rsidRDefault="00E50336" w:rsidP="00027411">
      <w:r>
        <w:pict>
          <v:rect id="_x0000_i2590" style="width:0;height:1.5pt" o:hralign="center" o:hrstd="t" o:hr="t" fillcolor="#a0a0a0" stroked="f"/>
        </w:pict>
      </w:r>
    </w:p>
    <w:p w:rsidR="00027411" w:rsidRDefault="00027411" w:rsidP="00027411">
      <w:pPr>
        <w:pStyle w:val="berschrift1"/>
      </w:pPr>
      <w:r>
        <w:t>3.3.43.425 Prüfung gegenüber Adaptivität</w:t>
      </w:r>
    </w:p>
    <w:p w:rsidR="00027411" w:rsidRDefault="00027411" w:rsidP="00027411">
      <w:pPr>
        <w:pStyle w:val="StandardWeb"/>
      </w:pPr>
      <w:r>
        <w:t>Auch eine adaptive Regulation folgt nicht:</w:t>
      </w:r>
    </w:p>
    <w:p w:rsidR="00027411" w:rsidRDefault="00027411" w:rsidP="00027411">
      <w:pPr>
        <w:pStyle w:val="StandardWeb"/>
      </w:pPr>
      <w:r>
        <w:t>[</w:t>
      </w:r>
      <w:r>
        <w:br/>
        <w:t>A_C^{(D)}</w:t>
      </w:r>
      <w:r>
        <w:br/>
        <w:t>\nRightarrow</w:t>
      </w:r>
      <w:r>
        <w:br/>
        <w:t>\mathcal A_C\neq0.</w:t>
      </w:r>
      <w:r>
        <w:br/>
        <w:t>\tag{3.9130}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A_C^{(D)}\nRightarrow\mathcal A_C\neq0</w:t>
      </w:r>
    </w:p>
    <w:p w:rsidR="00027411" w:rsidRDefault="00027411" w:rsidP="00027411">
      <w:pPr>
        <w:pStyle w:val="StandardWeb"/>
      </w:pPr>
      <w:r>
        <w:t>Damit bleiben passive und adaptive Systeme gleichermaßen zulässig.</w:t>
      </w:r>
    </w:p>
    <w:p w:rsidR="00027411" w:rsidRDefault="00E50336" w:rsidP="00027411">
      <w:r>
        <w:pict>
          <v:rect id="_x0000_i2591" style="width:0;height:1.5pt" o:hralign="center" o:hrstd="t" o:hr="t" fillcolor="#a0a0a0" stroked="f"/>
        </w:pict>
      </w:r>
    </w:p>
    <w:p w:rsidR="00027411" w:rsidRDefault="00027411" w:rsidP="00027411">
      <w:pPr>
        <w:pStyle w:val="berschrift1"/>
      </w:pPr>
      <w:r>
        <w:t>3.3.43.426 Prüfung gegenüber Gedächtnis</w:t>
      </w:r>
    </w:p>
    <w:p w:rsidR="00027411" w:rsidRDefault="00027411" w:rsidP="00027411">
      <w:pPr>
        <w:pStyle w:val="StandardWeb"/>
      </w:pPr>
      <w:r>
        <w:t>Ebenso wenig folgt</w:t>
      </w:r>
    </w:p>
    <w:p w:rsidR="00027411" w:rsidRDefault="00027411" w:rsidP="00027411">
      <w:pPr>
        <w:pStyle w:val="StandardWeb"/>
      </w:pPr>
      <w:r>
        <w:t>[</w:t>
      </w:r>
      <w:r>
        <w:br/>
        <w:t>A_C^{(D)}</w:t>
      </w:r>
      <w:r>
        <w:br/>
        <w:t>\Rightarrow</w:t>
      </w:r>
      <w:r>
        <w:br/>
        <w:t>\tau_C^{\mathrm{mem}}&gt;0.</w:t>
      </w:r>
      <w:r>
        <w:br/>
        <w:t>\tag{3.9131}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A_C^{(D)}\Rightarrow\tau_C^{\mathrm{mem}}&gt;0</w:t>
      </w:r>
    </w:p>
    <w:p w:rsidR="00027411" w:rsidRDefault="00027411" w:rsidP="00027411">
      <w:pPr>
        <w:pStyle w:val="StandardWeb"/>
      </w:pPr>
      <w:r>
        <w:t>Ein System kann kohärent und dennoch gedächtnislos modellierbar sein.</w:t>
      </w:r>
    </w:p>
    <w:p w:rsidR="00027411" w:rsidRDefault="00E50336" w:rsidP="00027411">
      <w:r>
        <w:lastRenderedPageBreak/>
        <w:pict>
          <v:rect id="_x0000_i2592" style="width:0;height:1.5pt" o:hralign="center" o:hrstd="t" o:hr="t" fillcolor="#a0a0a0" stroked="f"/>
        </w:pict>
      </w:r>
    </w:p>
    <w:p w:rsidR="00027411" w:rsidRDefault="00027411" w:rsidP="00027411">
      <w:pPr>
        <w:pStyle w:val="berschrift1"/>
      </w:pPr>
      <w:r>
        <w:t>3.3.43.427 Prüfung gegenüber Hysterese</w:t>
      </w:r>
    </w:p>
    <w:p w:rsidR="00027411" w:rsidRDefault="00027411" w:rsidP="00027411">
      <w:pPr>
        <w:pStyle w:val="StandardWeb"/>
      </w:pPr>
      <w:r>
        <w:t>Es folgt nicht</w:t>
      </w:r>
    </w:p>
    <w:p w:rsidR="00027411" w:rsidRDefault="00027411" w:rsidP="00027411">
      <w:pPr>
        <w:pStyle w:val="StandardWeb"/>
      </w:pPr>
      <w:r>
        <w:t>[</w:t>
      </w:r>
      <w:r>
        <w:br/>
        <w:t>A_C^{(D)}</w:t>
      </w:r>
      <w:r>
        <w:br/>
        <w:t>\Rightarrow</w:t>
      </w:r>
      <w:r>
        <w:br/>
        <w:t>C_{\uparrow}(\lambda)</w:t>
      </w:r>
      <w:r>
        <w:br/>
        <w:t>\neq</w:t>
      </w:r>
      <w:r>
        <w:br/>
        <w:t>C_{\downarrow}(\lambda).</w:t>
      </w:r>
      <w:r>
        <w:br/>
        <w:t>\tag{3.9132}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 C_{\uparrow}(\lambda)\neq C_{\downarrow}(\lambda)</w:t>
      </w:r>
    </w:p>
    <w:p w:rsidR="00027411" w:rsidRDefault="00027411" w:rsidP="00027411">
      <w:pPr>
        <w:pStyle w:val="StandardWeb"/>
      </w:pPr>
      <w:r>
        <w:t>Hysterese bleibt damit eine mögliche, aber nicht notwendige Dynamikeigenschaft.</w:t>
      </w:r>
    </w:p>
    <w:p w:rsidR="00027411" w:rsidRDefault="00E50336" w:rsidP="00027411">
      <w:r>
        <w:pict>
          <v:rect id="_x0000_i2593" style="width:0;height:1.5pt" o:hralign="center" o:hrstd="t" o:hr="t" fillcolor="#a0a0a0" stroked="f"/>
        </w:pict>
      </w:r>
    </w:p>
    <w:p w:rsidR="00027411" w:rsidRDefault="00027411" w:rsidP="00027411">
      <w:pPr>
        <w:pStyle w:val="berschrift1"/>
      </w:pPr>
      <w:r>
        <w:t>3.3.43.428 Prüfung gegenüber Attraktoren</w:t>
      </w:r>
    </w:p>
    <w:p w:rsidR="00027411" w:rsidRDefault="00027411" w:rsidP="00027411">
      <w:pPr>
        <w:pStyle w:val="StandardWeb"/>
      </w:pPr>
      <w:r>
        <w:t>Auch die Existenz eines Kohärenzattraktors folgt nicht:</w:t>
      </w:r>
    </w:p>
    <w:p w:rsidR="00027411" w:rsidRDefault="00027411" w:rsidP="00027411">
      <w:pPr>
        <w:pStyle w:val="StandardWeb"/>
      </w:pPr>
      <w:r>
        <w:t>[</w:t>
      </w:r>
      <w:r>
        <w:br/>
        <w:t>A_C^{(D)}</w:t>
      </w:r>
      <w:r>
        <w:br/>
        <w:t>\nRightarrow</w:t>
      </w:r>
      <w:r>
        <w:br/>
        <w:t>\exists\mathcal A_C.</w:t>
      </w:r>
      <w:r>
        <w:br/>
        <w:t>\tag{3.9133}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A_C^{(D)}\nRightarrow\exists\mathcal A_C</w:t>
      </w:r>
    </w:p>
    <w:p w:rsidR="00027411" w:rsidRDefault="00027411" w:rsidP="00027411">
      <w:pPr>
        <w:pStyle w:val="StandardWeb"/>
      </w:pPr>
      <w:r>
        <w:t>Kandidat D ist somit auch gegenüber Attraktordynamik neutral.</w:t>
      </w:r>
    </w:p>
    <w:p w:rsidR="00027411" w:rsidRDefault="00E50336" w:rsidP="00027411">
      <w:r>
        <w:pict>
          <v:rect id="_x0000_i2594" style="width:0;height:1.5pt" o:hralign="center" o:hrstd="t" o:hr="t" fillcolor="#a0a0a0" stroked="f"/>
        </w:pict>
      </w:r>
    </w:p>
    <w:p w:rsidR="00027411" w:rsidRDefault="00027411" w:rsidP="00027411">
      <w:pPr>
        <w:pStyle w:val="berschrift1"/>
      </w:pPr>
      <w:r>
        <w:t>3.3.43.429 Prüfung gegenüber Perkolation</w:t>
      </w:r>
    </w:p>
    <w:p w:rsidR="00027411" w:rsidRDefault="00027411" w:rsidP="00027411">
      <w:pPr>
        <w:pStyle w:val="StandardWeb"/>
      </w:pPr>
      <w:r>
        <w:t>Ebenso wenig folgt</w:t>
      </w:r>
    </w:p>
    <w:p w:rsidR="00027411" w:rsidRDefault="00027411" w:rsidP="00027411">
      <w:pPr>
        <w:pStyle w:val="StandardWeb"/>
      </w:pPr>
      <w:r>
        <w:t>[</w:t>
      </w:r>
      <w:r>
        <w:br/>
        <w:t>A_C^{(D)}</w:t>
      </w:r>
      <w:r>
        <w:br/>
        <w:t>\Rightarrow</w:t>
      </w:r>
      <w:r>
        <w:br/>
        <w:t>\exists\lambda_C^{\mathrm{perc}}.</w:t>
      </w:r>
      <w:r>
        <w:br/>
      </w:r>
      <w:r>
        <w:lastRenderedPageBreak/>
        <w:t>\tag{3.9134}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A_C^{(D)}\Rightarrow\exists\lambda_C^{\mathrm{perc}}</w:t>
      </w:r>
    </w:p>
    <w:p w:rsidR="00027411" w:rsidRDefault="00027411" w:rsidP="00027411">
      <w:pPr>
        <w:pStyle w:val="StandardWeb"/>
      </w:pPr>
      <w:r>
        <w:t>Ein perkolationsartiger Kohärenzübergang bleibt ein spezielles Modellphänomen.</w:t>
      </w:r>
    </w:p>
    <w:p w:rsidR="00027411" w:rsidRDefault="00E50336" w:rsidP="00027411">
      <w:r>
        <w:pict>
          <v:rect id="_x0000_i2595" style="width:0;height:1.5pt" o:hralign="center" o:hrstd="t" o:hr="t" fillcolor="#a0a0a0" stroked="f"/>
        </w:pict>
      </w:r>
    </w:p>
    <w:p w:rsidR="00027411" w:rsidRDefault="00027411" w:rsidP="00027411">
      <w:pPr>
        <w:pStyle w:val="berschrift1"/>
      </w:pPr>
      <w:r>
        <w:t>3.3.43.430 Prüfung gegenüber einer maximalen Ausbreitungsgeschwindigkeit</w:t>
      </w:r>
    </w:p>
    <w:p w:rsidR="00027411" w:rsidRDefault="00027411" w:rsidP="00027411">
      <w:pPr>
        <w:pStyle w:val="StandardWeb"/>
      </w:pPr>
      <w:r>
        <w:t>Besonders wichtig ist die Abgrenzung von einer physikalischen Signalgeschwindigkeit.</w:t>
      </w:r>
    </w:p>
    <w:p w:rsidR="00027411" w:rsidRDefault="00027411" w:rsidP="00027411">
      <w:pPr>
        <w:pStyle w:val="StandardWeb"/>
      </w:pPr>
      <w:r>
        <w:t>Aus Kandidat D folgt nicht</w:t>
      </w:r>
    </w:p>
    <w:p w:rsidR="00027411" w:rsidRDefault="00027411" w:rsidP="00027411">
      <w:pPr>
        <w:pStyle w:val="StandardWeb"/>
      </w:pPr>
      <w:r>
        <w:t>[</w:t>
      </w:r>
      <w:r>
        <w:br/>
        <w:t>v_C=c.</w:t>
      </w:r>
      <w:r>
        <w:br/>
        <w:t>\tag{3.9135}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v_C=c</w:t>
      </w:r>
    </w:p>
    <w:p w:rsidR="00027411" w:rsidRDefault="00027411" w:rsidP="00027411">
      <w:pPr>
        <w:pStyle w:val="StandardWeb"/>
      </w:pPr>
      <w:r>
        <w:t>und auch nicht</w:t>
      </w:r>
    </w:p>
    <w:p w:rsidR="00027411" w:rsidRDefault="00027411" w:rsidP="00027411">
      <w:pPr>
        <w:pStyle w:val="StandardWeb"/>
      </w:pPr>
      <w:r>
        <w:t>[</w:t>
      </w:r>
      <w:r>
        <w:br/>
        <w:t>v_C\leq c.</w:t>
      </w:r>
      <w:r>
        <w:br/>
        <w:t>\tag{3.9136}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v_C\leq c</w:t>
      </w:r>
    </w:p>
    <w:p w:rsidR="00027411" w:rsidRDefault="00027411" w:rsidP="00027411">
      <w:pPr>
        <w:pStyle w:val="StandardWeb"/>
      </w:pPr>
      <w:r>
        <w:t>Eine solche Aussage müsste aus einer späteren physikalischen Dynamik, einer Raum-Zeit-Metrik und einer kausalen Interpretation folgen. [35]</w:t>
      </w:r>
    </w:p>
    <w:p w:rsidR="00027411" w:rsidRDefault="00E50336" w:rsidP="00027411">
      <w:r>
        <w:pict>
          <v:rect id="_x0000_i2596" style="width:0;height:1.5pt" o:hralign="center" o:hrstd="t" o:hr="t" fillcolor="#a0a0a0" stroked="f"/>
        </w:pict>
      </w:r>
    </w:p>
    <w:p w:rsidR="00027411" w:rsidRDefault="00027411" w:rsidP="00027411">
      <w:pPr>
        <w:pStyle w:val="berschrift1"/>
      </w:pPr>
      <w:r>
        <w:t>3.3.43.431 Ergebnis der relativen Konservativitätsprüfung</w:t>
      </w:r>
    </w:p>
    <w:p w:rsidR="00027411" w:rsidRDefault="00027411" w:rsidP="00027411">
      <w:pPr>
        <w:pStyle w:val="StandardWeb"/>
      </w:pPr>
      <w:r>
        <w:t>Die bisherigen Einzelprüfungen zeigen, dass Kandidat D nur die Existenz einer funktional relevanten positiven Kohärenzrelation erzwingt.</w:t>
      </w:r>
    </w:p>
    <w:p w:rsidR="00027411" w:rsidRDefault="00027411" w:rsidP="00027411">
      <w:pPr>
        <w:pStyle w:val="StandardWeb"/>
      </w:pPr>
      <w:r>
        <w:lastRenderedPageBreak/>
        <w:t>Er bestimmt insbesondere nicht automatisch</w:t>
      </w:r>
    </w:p>
    <w:p w:rsidR="00027411" w:rsidRDefault="00027411" w:rsidP="00027411">
      <w:pPr>
        <w:pStyle w:val="StandardWeb"/>
      </w:pPr>
      <w:r>
        <w:t>[</w:t>
      </w:r>
      <w:r>
        <w:br/>
        <w:t>\Omega_F,</w:t>
      </w:r>
      <w:r>
        <w:br/>
        <w:t>\quad</w:t>
      </w:r>
      <w:r>
        <w:br/>
        <w:t>d_{ST},</w:t>
      </w:r>
      <w:r>
        <w:br/>
        <w:t>\quad</w:t>
      </w:r>
      <w:r>
        <w:br/>
        <w:t>\mathcal D_F,</w:t>
      </w:r>
      <w:r>
        <w:br/>
        <w:t>\quad</w:t>
      </w:r>
      <w:r>
        <w:br/>
        <w:t>\mathcal G_C,</w:t>
      </w:r>
      <w:r>
        <w:br/>
        <w:t>\quad</w:t>
      </w:r>
      <w:r>
        <w:br/>
        <w:t>\mathbf J_C,</w:t>
      </w:r>
      <w:r>
        <w:br/>
        <w:t>\quad</w:t>
      </w:r>
      <w:r>
        <w:br/>
        <w:t>S_C,</w:t>
      </w:r>
      <w:r>
        <w:br/>
        <w:t>\quad</w:t>
      </w:r>
      <w:r>
        <w:br/>
        <w:t>R_C^{\mathrm{rob}},</w:t>
      </w:r>
      <w:r>
        <w:br/>
        <w:t>\quad</w:t>
      </w:r>
      <w:r>
        <w:br/>
        <w:t>R_C^{\mathrm{res}}.</w:t>
      </w:r>
      <w:r>
        <w:br/>
        <w:t>\tag{3.9137}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\Omega_F,\quad d_{ST},\quad\mathcal D_F,\quad\mathcal G_C,\quad\mathbf J_C,\quad S_C,\quad R_C^{\mathrm{rob}},\quad R_C^{\mathrm{res}}</w:t>
      </w:r>
    </w:p>
    <w:p w:rsidR="00027411" w:rsidRDefault="00027411" w:rsidP="00027411">
      <w:pPr>
        <w:pStyle w:val="StandardWeb"/>
      </w:pPr>
      <w:r>
        <w:t>Damit ist die Erweiterung bezüglich der nichtkohärenzspezifischen Grundstrukturen relativ konservativ.</w:t>
      </w:r>
    </w:p>
    <w:p w:rsidR="00027411" w:rsidRDefault="00027411" w:rsidP="00027411">
      <w:pPr>
        <w:pStyle w:val="StandardWeb"/>
      </w:pPr>
      <w:r>
        <w:t>Ich schreibe</w:t>
      </w:r>
    </w:p>
    <w:p w:rsidR="00027411" w:rsidRDefault="00027411" w:rsidP="00027411">
      <w:pPr>
        <w:pStyle w:val="berschrift1"/>
      </w:pPr>
      <w:r>
        <w:t>[</w:t>
      </w:r>
      <w:r>
        <w:br/>
        <w:t>K_{\mathrm{cons}}</w:t>
      </w:r>
      <w:r>
        <w:br/>
        <w:t>\left(</w:t>
      </w:r>
      <w:r>
        <w:br/>
        <w:t>A_C^{(D)}</w:t>
      </w:r>
      <w:r>
        <w:br/>
        <w:t>\mid</w:t>
      </w:r>
      <w:r>
        <w:br/>
        <w:t>\mathfrak L_{\neg C}</w:t>
      </w:r>
      <w:r>
        <w:br/>
        <w:t>\right)</w:t>
      </w:r>
    </w:p>
    <w:p w:rsidR="00027411" w:rsidRDefault="00027411" w:rsidP="004C5510">
      <w:pPr>
        <w:numPr>
          <w:ilvl w:val="0"/>
          <w:numId w:val="420"/>
        </w:numPr>
        <w:spacing w:before="100" w:beforeAutospacing="1" w:after="100" w:afterAutospacing="1"/>
      </w:pPr>
    </w:p>
    <w:p w:rsidR="00027411" w:rsidRDefault="00027411" w:rsidP="00027411">
      <w:pPr>
        <w:pStyle w:val="StandardWeb"/>
      </w:pPr>
      <w:r>
        <w:t>\tag{3.9138}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lastRenderedPageBreak/>
        <w:t>K_{\mathrm{cons}}\left(A_C^{(D)}\mid\mathfrak L_{\neg C}\right)=1</w:t>
      </w:r>
    </w:p>
    <w:p w:rsidR="00027411" w:rsidRDefault="00E50336" w:rsidP="00027411">
      <w:r>
        <w:pict>
          <v:rect id="_x0000_i2597" style="width:0;height:1.5pt" o:hralign="center" o:hrstd="t" o:hr="t" fillcolor="#a0a0a0" stroked="f"/>
        </w:pict>
      </w:r>
    </w:p>
    <w:p w:rsidR="00027411" w:rsidRDefault="00027411" w:rsidP="00027411">
      <w:pPr>
        <w:pStyle w:val="berschrift1"/>
      </w:pPr>
      <w:r>
        <w:t>3.3.43.432 Unbeabsichtigte Folgerungen</w:t>
      </w:r>
    </w:p>
    <w:p w:rsidR="00027411" w:rsidRDefault="00027411" w:rsidP="00027411">
      <w:pPr>
        <w:pStyle w:val="StandardWeb"/>
      </w:pPr>
      <w:r>
        <w:t>Zur Sicherheit definiere ich eine Menge potentiell unerwünschter Konsequenzen</w:t>
      </w:r>
    </w:p>
    <w:p w:rsidR="00027411" w:rsidRDefault="00027411" w:rsidP="00027411">
      <w:pPr>
        <w:pStyle w:val="berschrift1"/>
      </w:pPr>
      <w:r>
        <w:t>[</w:t>
      </w:r>
      <w:r>
        <w:br/>
        <w:t>\mathfrak U_D</w:t>
      </w:r>
    </w:p>
    <w:p w:rsidR="00027411" w:rsidRDefault="00027411" w:rsidP="00027411">
      <w:pPr>
        <w:pStyle w:val="StandardWeb"/>
      </w:pPr>
      <w:r>
        <w:t>\left{</w:t>
      </w:r>
      <w:r>
        <w:br/>
        <w:t>\varphi:</w:t>
      </w:r>
      <w:r>
        <w:br/>
        <w:t>A_C^{(D)}</w:t>
      </w:r>
      <w:r>
        <w:br/>
        <w:t>\vdash</w:t>
      </w:r>
      <w:r>
        <w:br/>
        <w:t>\varphi</w:t>
      </w:r>
      <w:r>
        <w:br/>
        <w:t>\land</w:t>
      </w:r>
      <w:r>
        <w:br/>
        <w:t>\varphi</w:t>
      </w:r>
      <w:r>
        <w:br/>
        <w:t>\notin</w:t>
      </w:r>
      <w:r>
        <w:br/>
        <w:t>\mathfrak L_C^{\mathrm{target}}</w:t>
      </w:r>
      <w:r>
        <w:br/>
        <w:t>\right}.</w:t>
      </w:r>
      <w:r>
        <w:br/>
        <w:t>\tag{3.9139}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U_D=\left\{\varphi:A_C^{(D)}\vdash\varphi\land\varphi\notin\mathfrak L_C^{\mathrm{target}}\right\}</w:t>
      </w:r>
    </w:p>
    <w:p w:rsidR="00027411" w:rsidRDefault="00027411" w:rsidP="00027411">
      <w:pPr>
        <w:pStyle w:val="StandardWeb"/>
      </w:pPr>
      <w:r>
        <w:t>Für eine ideal zielgenaue Erweiterung fordere ich</w:t>
      </w:r>
    </w:p>
    <w:p w:rsidR="00027411" w:rsidRDefault="00027411" w:rsidP="00027411">
      <w:pPr>
        <w:pStyle w:val="berschrift1"/>
      </w:pPr>
      <w:r>
        <w:t>[</w:t>
      </w:r>
      <w:r>
        <w:br/>
        <w:t>\mathfrak U_D</w:t>
      </w:r>
    </w:p>
    <w:p w:rsidR="00027411" w:rsidRDefault="00027411" w:rsidP="00027411">
      <w:pPr>
        <w:pStyle w:val="StandardWeb"/>
      </w:pPr>
      <w:r>
        <w:t>\varnothing.</w:t>
      </w:r>
      <w:r>
        <w:br/>
        <w:t>\tag{3.9140}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U_D=\varnothing</w:t>
      </w:r>
    </w:p>
    <w:p w:rsidR="00027411" w:rsidRDefault="00E50336" w:rsidP="00027411">
      <w:r>
        <w:pict>
          <v:rect id="_x0000_i2598" style="width:0;height:1.5pt" o:hralign="center" o:hrstd="t" o:hr="t" fillcolor="#a0a0a0" stroked="f"/>
        </w:pict>
      </w:r>
    </w:p>
    <w:p w:rsidR="00027411" w:rsidRDefault="00027411" w:rsidP="00027411">
      <w:pPr>
        <w:pStyle w:val="berschrift1"/>
      </w:pPr>
      <w:r>
        <w:t>3.3.43.433 Definition 3.3.67 – Axiomatische Zielgenauigkeit</w:t>
      </w:r>
    </w:p>
    <w:p w:rsidR="00027411" w:rsidRDefault="00027411" w:rsidP="00027411">
      <w:pPr>
        <w:pStyle w:val="berschrift3"/>
      </w:pPr>
      <w:r>
        <w:t>Definition 3.3.67</w:t>
      </w:r>
    </w:p>
    <w:p w:rsidR="00027411" w:rsidRDefault="00027411" w:rsidP="00027411">
      <w:pPr>
        <w:pStyle w:val="StandardWeb"/>
      </w:pPr>
      <w:r>
        <w:lastRenderedPageBreak/>
        <w:t xml:space="preserve">Ein Primäraxiom heißt </w:t>
      </w:r>
      <w:r>
        <w:rPr>
          <w:rStyle w:val="Fett"/>
        </w:rPr>
        <w:t>axiomatisch zielgenau</w:t>
      </w:r>
      <w:r>
        <w:t>, wenn seine neuen notwendigen Konsequenzen auf den wissenschaftlich vorgesehenen Strukturbeitrag beschränkt bleiben und keine sachlich unabhängigen Zusatzannahmen erzwingen.</w:t>
      </w:r>
    </w:p>
    <w:p w:rsidR="00027411" w:rsidRDefault="00027411" w:rsidP="00027411">
      <w:pPr>
        <w:pStyle w:val="StandardWeb"/>
      </w:pPr>
      <w:r>
        <w:t>Formal kann ich schreiben</w:t>
      </w:r>
    </w:p>
    <w:p w:rsidR="00027411" w:rsidRDefault="00027411" w:rsidP="00027411">
      <w:pPr>
        <w:pStyle w:val="berschrift1"/>
      </w:pPr>
      <w:r>
        <w:t>[</w:t>
      </w:r>
      <w:r>
        <w:br/>
        <w:t>Z_A(A)</w:t>
      </w:r>
    </w:p>
    <w:p w:rsidR="00027411" w:rsidRDefault="00027411" w:rsidP="00027411">
      <w:pPr>
        <w:pStyle w:val="StandardWeb"/>
      </w:pPr>
      <w:r>
        <w:t>1</w:t>
      </w:r>
      <w:r>
        <w:br/>
        <w:t>\Longleftrightarrow</w:t>
      </w:r>
      <w:r>
        <w:br/>
        <w:t>\Delta\mathfrak T_A</w:t>
      </w:r>
      <w:r>
        <w:br/>
        <w:t>\subseteq</w:t>
      </w:r>
      <w:r>
        <w:br/>
        <w:t>\mathfrak L_A^{\mathrm{target}}.</w:t>
      </w:r>
      <w:r>
        <w:br/>
        <w:t>\tag{3.9141}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Z_A(A)=1\Longleftrightarrow\Delta\mathfrak T_A\subseteq\mathfrak L_A^{\mathrm{target}}</w:t>
      </w:r>
    </w:p>
    <w:p w:rsidR="00027411" w:rsidRDefault="00E50336" w:rsidP="00027411">
      <w:r>
        <w:pict>
          <v:rect id="_x0000_i2599" style="width:0;height:1.5pt" o:hralign="center" o:hrstd="t" o:hr="t" fillcolor="#a0a0a0" stroked="f"/>
        </w:pict>
      </w:r>
    </w:p>
    <w:p w:rsidR="00027411" w:rsidRDefault="00027411" w:rsidP="00027411">
      <w:pPr>
        <w:pStyle w:val="berschrift1"/>
      </w:pPr>
      <w:r>
        <w:t>3.3.43.434 Zielgenauigkeit von Kandidat D</w:t>
      </w:r>
    </w:p>
    <w:p w:rsidR="00027411" w:rsidRDefault="00027411" w:rsidP="00027411">
      <w:pPr>
        <w:pStyle w:val="StandardWeb"/>
      </w:pPr>
      <w:r>
        <w:t>Nach den bisherigen Prüfungen ergibt sich für Kandidat D</w:t>
      </w:r>
    </w:p>
    <w:p w:rsidR="00027411" w:rsidRDefault="00027411" w:rsidP="00027411">
      <w:pPr>
        <w:pStyle w:val="berschrift1"/>
      </w:pPr>
      <w:r>
        <w:t>[</w:t>
      </w:r>
      <w:r>
        <w:br/>
        <w:t>Z_A</w:t>
      </w:r>
      <w:r>
        <w:br/>
        <w:t>\left(</w:t>
      </w:r>
      <w:r>
        <w:br/>
        <w:t>A_C^{(D)}</w:t>
      </w:r>
      <w:r>
        <w:br/>
        <w:t>\right)</w:t>
      </w:r>
    </w:p>
    <w:p w:rsidR="00027411" w:rsidRDefault="00027411" w:rsidP="00027411">
      <w:pPr>
        <w:pStyle w:val="StandardWeb"/>
      </w:pPr>
      <w:r>
        <w:t>1</w:t>
      </w:r>
      <w:r>
        <w:br/>
        <w:t>\tag{3.9142}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Z_A\left(A_C^{(D)}\right)=1</w:t>
      </w:r>
    </w:p>
    <w:p w:rsidR="00027411" w:rsidRDefault="00027411" w:rsidP="00027411">
      <w:pPr>
        <w:pStyle w:val="StandardWeb"/>
      </w:pPr>
      <w:r>
        <w:t>unter der Voraussetzung, dass (R_F) tatsächlich kohärenzunabhängig definiert bleibt.</w:t>
      </w:r>
    </w:p>
    <w:p w:rsidR="00027411" w:rsidRDefault="00027411" w:rsidP="00027411">
      <w:pPr>
        <w:pStyle w:val="StandardWeb"/>
      </w:pPr>
      <w:r>
        <w:t>Diese Voraussetzung ist wesentlich.</w:t>
      </w:r>
    </w:p>
    <w:p w:rsidR="00027411" w:rsidRDefault="00E50336" w:rsidP="00027411">
      <w:r>
        <w:lastRenderedPageBreak/>
        <w:pict>
          <v:rect id="_x0000_i2600" style="width:0;height:1.5pt" o:hralign="center" o:hrstd="t" o:hr="t" fillcolor="#a0a0a0" stroked="f"/>
        </w:pict>
      </w:r>
    </w:p>
    <w:p w:rsidR="00027411" w:rsidRDefault="00027411" w:rsidP="00027411">
      <w:pPr>
        <w:pStyle w:val="berschrift1"/>
      </w:pPr>
      <w:r>
        <w:t>3.3.43.435 Erneute Zirkularitätsprüfung</w:t>
      </w:r>
    </w:p>
    <w:p w:rsidR="00027411" w:rsidRDefault="00027411" w:rsidP="00027411">
      <w:pPr>
        <w:pStyle w:val="StandardWeb"/>
      </w:pPr>
      <w:r>
        <w:t>Ich prüfe daher nochmals die logische Abhängigkeit</w:t>
      </w:r>
    </w:p>
    <w:p w:rsidR="00027411" w:rsidRDefault="00027411" w:rsidP="00027411">
      <w:pPr>
        <w:pStyle w:val="StandardWeb"/>
      </w:pPr>
      <w:r>
        <w:t>[</w:t>
      </w:r>
      <w:r>
        <w:br/>
        <w:t>R_F</w:t>
      </w:r>
      <w:r>
        <w:br/>
        <w:t>\overset{?}{\longrightarrow}</w:t>
      </w:r>
      <w:r>
        <w:br/>
        <w:t>C_F.</w:t>
      </w:r>
      <w:r>
        <w:br/>
        <w:t>\tag{3.9143}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R_F\overset{?}{\longrightarrow}C_F</w:t>
      </w:r>
    </w:p>
    <w:p w:rsidR="00027411" w:rsidRDefault="00027411" w:rsidP="00027411">
      <w:pPr>
        <w:pStyle w:val="StandardWeb"/>
      </w:pPr>
      <w:r>
        <w:t>Die Definition 3.3.65 verlangt lediglich eine Änderung der Systemfunktion bei Entfernung, Ersetzung oder Entkopplung einer Teilstruktur.</w:t>
      </w:r>
    </w:p>
    <w:p w:rsidR="00027411" w:rsidRDefault="00027411" w:rsidP="00027411">
      <w:pPr>
        <w:pStyle w:val="StandardWeb"/>
      </w:pPr>
      <w:r>
        <w:t>Damit ist prinzipiell möglich</w:t>
      </w:r>
    </w:p>
    <w:p w:rsidR="00027411" w:rsidRDefault="00027411" w:rsidP="00027411">
      <w:pPr>
        <w:pStyle w:val="StandardWeb"/>
      </w:pPr>
      <w:r>
        <w:t>[</w:t>
      </w:r>
      <w:r>
        <w:br/>
        <w:t>R_F(\mathcal S)=1</w:t>
      </w:r>
      <w:r>
        <w:br/>
        <w:t>\tag{3.9144}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R_F(\mathcal S)=1</w:t>
      </w:r>
    </w:p>
    <w:p w:rsidR="00027411" w:rsidRDefault="00027411" w:rsidP="00027411">
      <w:pPr>
        <w:pStyle w:val="StandardWeb"/>
      </w:pPr>
      <w:r>
        <w:t>bei</w:t>
      </w:r>
    </w:p>
    <w:p w:rsidR="00027411" w:rsidRDefault="00027411" w:rsidP="00027411">
      <w:pPr>
        <w:pStyle w:val="StandardWeb"/>
      </w:pPr>
      <w:r>
        <w:t>[</w:t>
      </w:r>
      <w:r>
        <w:br/>
        <w:t>C_F(\mathcal S)=0.</w:t>
      </w:r>
      <w:r>
        <w:br/>
        <w:t>\tag{3.9145}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C_F(\mathcal S)=0</w:t>
      </w:r>
    </w:p>
    <w:p w:rsidR="00027411" w:rsidRDefault="00027411" w:rsidP="00027411">
      <w:pPr>
        <w:pStyle w:val="StandardWeb"/>
      </w:pPr>
      <w:r>
        <w:t>Damit ist funktionale Relevanz logisch nicht mit Kohärenz identisch.</w:t>
      </w:r>
    </w:p>
    <w:p w:rsidR="00027411" w:rsidRDefault="00E50336" w:rsidP="00027411">
      <w:r>
        <w:pict>
          <v:rect id="_x0000_i2601" style="width:0;height:1.5pt" o:hralign="center" o:hrstd="t" o:hr="t" fillcolor="#a0a0a0" stroked="f"/>
        </w:pict>
      </w:r>
    </w:p>
    <w:p w:rsidR="00027411" w:rsidRDefault="00027411" w:rsidP="00027411">
      <w:pPr>
        <w:pStyle w:val="berschrift1"/>
      </w:pPr>
      <w:r>
        <w:t>3.3.43.436 Keine definitorische Rückkopplung</w:t>
      </w:r>
    </w:p>
    <w:p w:rsidR="00027411" w:rsidRDefault="00027411" w:rsidP="00027411">
      <w:pPr>
        <w:pStyle w:val="StandardWeb"/>
      </w:pPr>
      <w:r>
        <w:t>Ebenso soll gelten</w:t>
      </w:r>
    </w:p>
    <w:p w:rsidR="00027411" w:rsidRDefault="00027411" w:rsidP="00027411">
      <w:pPr>
        <w:pStyle w:val="StandardWeb"/>
      </w:pPr>
      <w:r>
        <w:lastRenderedPageBreak/>
        <w:t>[</w:t>
      </w:r>
      <w:r>
        <w:br/>
        <w:t>C_F</w:t>
      </w:r>
      <w:r>
        <w:br/>
        <w:t>\notin</w:t>
      </w:r>
      <w:r>
        <w:br/>
        <w:t>\operatorname{Def}</w:t>
      </w:r>
      <w:r>
        <w:br/>
        <w:t>(R_F),</w:t>
      </w:r>
      <w:r>
        <w:br/>
        <w:t>\tag{3.9146}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C_F\notin\operatorname{Def}(R_F)</w:t>
      </w:r>
    </w:p>
    <w:p w:rsidR="00027411" w:rsidRDefault="00027411" w:rsidP="00027411">
      <w:pPr>
        <w:pStyle w:val="StandardWeb"/>
      </w:pPr>
      <w:r>
        <w:t>und</w:t>
      </w:r>
    </w:p>
    <w:p w:rsidR="00027411" w:rsidRDefault="00027411" w:rsidP="00027411">
      <w:pPr>
        <w:pStyle w:val="StandardWeb"/>
      </w:pPr>
      <w:r>
        <w:t>[</w:t>
      </w:r>
      <w:r>
        <w:br/>
        <w:t>R_F</w:t>
      </w:r>
      <w:r>
        <w:br/>
        <w:t>\notin</w:t>
      </w:r>
      <w:r>
        <w:br/>
        <w:t>\operatorname{Def}</w:t>
      </w:r>
      <w:r>
        <w:br/>
        <w:t>(C_F).</w:t>
      </w:r>
      <w:r>
        <w:br/>
        <w:t>\tag{3.9147}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R_F\notin\operatorname{Def}(C_F)</w:t>
      </w:r>
    </w:p>
    <w:p w:rsidR="00027411" w:rsidRDefault="00027411" w:rsidP="00027411">
      <w:pPr>
        <w:pStyle w:val="StandardWeb"/>
      </w:pPr>
      <w:r>
        <w:t>Damit bleiben beide Begriffe definitorisch unterscheidbar.</w:t>
      </w:r>
    </w:p>
    <w:p w:rsidR="00027411" w:rsidRDefault="00E50336" w:rsidP="00027411">
      <w:r>
        <w:pict>
          <v:rect id="_x0000_i2602" style="width:0;height:1.5pt" o:hralign="center" o:hrstd="t" o:hr="t" fillcolor="#a0a0a0" stroked="f"/>
        </w:pict>
      </w:r>
    </w:p>
    <w:p w:rsidR="00027411" w:rsidRDefault="00027411" w:rsidP="00027411">
      <w:pPr>
        <w:pStyle w:val="berschrift1"/>
      </w:pPr>
      <w:r>
        <w:t>3.3.43.437 Axiomatische Zirkularitätsfreiheit</w:t>
      </w:r>
    </w:p>
    <w:p w:rsidR="00027411" w:rsidRDefault="00027411" w:rsidP="00027411">
      <w:pPr>
        <w:pStyle w:val="StandardWeb"/>
      </w:pPr>
      <w:r>
        <w:t>Ich definiere einen Indikator</w:t>
      </w:r>
    </w:p>
    <w:p w:rsidR="00027411" w:rsidRDefault="00027411" w:rsidP="00027411">
      <w:pPr>
        <w:pStyle w:val="StandardWeb"/>
      </w:pPr>
      <w:r>
        <w:t>[</w:t>
      </w:r>
      <w:r>
        <w:br/>
        <w:t>Z_C(A)=1</w:t>
      </w:r>
      <w:r>
        <w:br/>
        <w:t>\tag{3.9148}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Z_C(A)=1</w:t>
      </w:r>
    </w:p>
    <w:p w:rsidR="00027411" w:rsidRDefault="00027411" w:rsidP="00027411">
      <w:pPr>
        <w:pStyle w:val="StandardWeb"/>
      </w:pPr>
      <w:r>
        <w:t>für zirkularitätsfreie Axiomformulierungen.</w:t>
      </w:r>
    </w:p>
    <w:p w:rsidR="00027411" w:rsidRDefault="00027411" w:rsidP="00027411">
      <w:pPr>
        <w:pStyle w:val="StandardWeb"/>
      </w:pPr>
      <w:r>
        <w:t>Für Kandidat D ergibt sich dann</w:t>
      </w:r>
    </w:p>
    <w:p w:rsidR="00027411" w:rsidRDefault="00027411" w:rsidP="00027411">
      <w:pPr>
        <w:pStyle w:val="berschrift1"/>
      </w:pPr>
      <w:r>
        <w:t>[</w:t>
      </w:r>
      <w:r>
        <w:br/>
        <w:t>Z_C</w:t>
      </w:r>
      <w:r>
        <w:br/>
      </w:r>
      <w:r>
        <w:lastRenderedPageBreak/>
        <w:t>\left(</w:t>
      </w:r>
      <w:r>
        <w:br/>
        <w:t>A_C^{(D)}</w:t>
      </w:r>
      <w:r>
        <w:br/>
        <w:t>\right)</w:t>
      </w:r>
    </w:p>
    <w:p w:rsidR="00027411" w:rsidRDefault="00027411" w:rsidP="004C5510">
      <w:pPr>
        <w:numPr>
          <w:ilvl w:val="0"/>
          <w:numId w:val="421"/>
        </w:numPr>
        <w:spacing w:before="100" w:beforeAutospacing="1" w:after="100" w:afterAutospacing="1"/>
      </w:pPr>
    </w:p>
    <w:p w:rsidR="00027411" w:rsidRDefault="00027411" w:rsidP="00027411">
      <w:pPr>
        <w:pStyle w:val="StandardWeb"/>
      </w:pPr>
      <w:r>
        <w:t>\tag{3.9149}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Z_C\left(A_C^{(D)}\right)=1</w:t>
      </w:r>
    </w:p>
    <w:p w:rsidR="00027411" w:rsidRDefault="00E50336" w:rsidP="00027411">
      <w:r>
        <w:pict>
          <v:rect id="_x0000_i2603" style="width:0;height:1.5pt" o:hralign="center" o:hrstd="t" o:hr="t" fillcolor="#a0a0a0" stroked="f"/>
        </w:pict>
      </w:r>
    </w:p>
    <w:p w:rsidR="00027411" w:rsidRDefault="00027411" w:rsidP="00027411">
      <w:pPr>
        <w:pStyle w:val="berschrift1"/>
      </w:pPr>
      <w:r>
        <w:t>3.3.43.438 Negation von Kandidat D</w:t>
      </w:r>
    </w:p>
    <w:p w:rsidR="00027411" w:rsidRDefault="00027411" w:rsidP="00027411">
      <w:pPr>
        <w:pStyle w:val="StandardWeb"/>
      </w:pPr>
      <w:r>
        <w:t>Eine besonders aussagekräftige Prüfung besteht darin, die Negation des Kandidaten explizit zu formulieren.</w:t>
      </w:r>
    </w:p>
    <w:p w:rsidR="00027411" w:rsidRDefault="00027411" w:rsidP="00027411">
      <w:pPr>
        <w:pStyle w:val="StandardWeb"/>
      </w:pPr>
      <w:r>
        <w:t>Es gilt</w:t>
      </w:r>
    </w:p>
    <w:p w:rsidR="00027411" w:rsidRDefault="00027411" w:rsidP="00027411">
      <w:pPr>
        <w:pStyle w:val="StandardWeb"/>
      </w:pPr>
      <w:r>
        <w:t>[</w:t>
      </w:r>
      <w:r>
        <w:br/>
        <w:t>\neg A_C^{(D)}</w:t>
      </w:r>
      <w:r>
        <w:br/>
        <w:t>:</w:t>
      </w:r>
      <w:r>
        <w:br/>
        <w:t>\forall z\in\Omega_F</w:t>
      </w:r>
      <w:r>
        <w:br/>
        <w:t>;</w:t>
      </w:r>
      <w:r>
        <w:br/>
        <w:t>\forall\mathcal S\subseteq\mathcal S_F:</w:t>
      </w:r>
      <w:r>
        <w:br/>
        <w:t>R_F(\mathcal S)=1</w:t>
      </w:r>
      <w:r>
        <w:br/>
        <w:t>\Rightarrow</w:t>
      </w:r>
      <w:r>
        <w:br/>
        <w:t>C_F(\mathcal S;z)=0.</w:t>
      </w:r>
      <w:r>
        <w:br/>
        <w:t>\tag{3.9150}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\neg A_C^{(D)}:\forall z\in\Omega_F\;\forall\mathcal S\subseteq\mathcal S_F:R_F(\mathcal S)=1\Rightarrow C_F(\mathcal S;z)=0</w:t>
      </w:r>
    </w:p>
    <w:p w:rsidR="00027411" w:rsidRDefault="00027411" w:rsidP="00027411">
      <w:pPr>
        <w:pStyle w:val="StandardWeb"/>
      </w:pPr>
      <w:r>
        <w:t xml:space="preserve">Die Negation besagt damit: </w:t>
      </w:r>
      <w:r>
        <w:rPr>
          <w:rStyle w:val="Fett"/>
        </w:rPr>
        <w:t>Keine funktional relevante Teilstruktur ist in irgendeinem zulässigen Zustand positiv kohärent.</w:t>
      </w:r>
    </w:p>
    <w:p w:rsidR="00027411" w:rsidRDefault="00E50336" w:rsidP="00027411">
      <w:r>
        <w:pict>
          <v:rect id="_x0000_i2604" style="width:0;height:1.5pt" o:hralign="center" o:hrstd="t" o:hr="t" fillcolor="#a0a0a0" stroked="f"/>
        </w:pict>
      </w:r>
    </w:p>
    <w:p w:rsidR="00027411" w:rsidRDefault="00027411" w:rsidP="00027411">
      <w:pPr>
        <w:pStyle w:val="berschrift1"/>
      </w:pPr>
      <w:r>
        <w:t>3.3.43.439 Wissenschaftliche Bedeutung der Negation</w:t>
      </w:r>
    </w:p>
    <w:p w:rsidR="00027411" w:rsidRDefault="00027411" w:rsidP="00027411">
      <w:pPr>
        <w:pStyle w:val="StandardWeb"/>
      </w:pPr>
      <w:r>
        <w:t>Ein FRZK-Modell, das die Negation erfüllt, könnte funktional relevante Teilstrukturen besitzen,</w:t>
      </w:r>
    </w:p>
    <w:p w:rsidR="00027411" w:rsidRDefault="00027411" w:rsidP="00027411">
      <w:pPr>
        <w:pStyle w:val="StandardWeb"/>
      </w:pPr>
      <w:r>
        <w:lastRenderedPageBreak/>
        <w:t>[</w:t>
      </w:r>
      <w:r>
        <w:br/>
        <w:t>R_F(\mathcal S)&gt;0,</w:t>
      </w:r>
      <w:r>
        <w:br/>
        <w:t>\tag{3.9151}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R_F(\mathcal S)&gt;0</w:t>
      </w:r>
    </w:p>
    <w:p w:rsidR="00027411" w:rsidRDefault="00027411" w:rsidP="00027411">
      <w:pPr>
        <w:pStyle w:val="StandardWeb"/>
      </w:pPr>
      <w:r>
        <w:t>aber alle diese Teilstrukturen wären kohärenzfrei:</w:t>
      </w:r>
    </w:p>
    <w:p w:rsidR="00027411" w:rsidRDefault="00027411" w:rsidP="00027411">
      <w:pPr>
        <w:pStyle w:val="StandardWeb"/>
      </w:pPr>
      <w:r>
        <w:t>[</w:t>
      </w:r>
      <w:r>
        <w:br/>
        <w:t>C_F(\mathcal S;z)=0</w:t>
      </w:r>
      <w:r>
        <w:br/>
        <w:t>\qquad</w:t>
      </w:r>
      <w:r>
        <w:br/>
        <w:t>\forall z.</w:t>
      </w:r>
      <w:r>
        <w:br/>
        <w:t>\tag{3.9152}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C_F(\mathcal S;z)=0\qquad\forall z</w:t>
      </w:r>
    </w:p>
    <w:p w:rsidR="00027411" w:rsidRDefault="00027411" w:rsidP="00027411">
      <w:pPr>
        <w:pStyle w:val="StandardWeb"/>
      </w:pPr>
      <w:r>
        <w:t>Damit würde der Begriff „Kohärenzsystem“ keinen strukturellen Beitrag zur funktionalen Systemarchitektur leisten.</w:t>
      </w:r>
    </w:p>
    <w:p w:rsidR="00027411" w:rsidRDefault="00E50336" w:rsidP="00027411">
      <w:r>
        <w:pict>
          <v:rect id="_x0000_i2605" style="width:0;height:1.5pt" o:hralign="center" o:hrstd="t" o:hr="t" fillcolor="#a0a0a0" stroked="f"/>
        </w:pict>
      </w:r>
    </w:p>
    <w:p w:rsidR="00027411" w:rsidRDefault="00027411" w:rsidP="00027411">
      <w:pPr>
        <w:pStyle w:val="berschrift1"/>
      </w:pPr>
      <w:r>
        <w:t>3.3.43.440 Negationsmodell</w:t>
      </w:r>
    </w:p>
    <w:p w:rsidR="00027411" w:rsidRDefault="00027411" w:rsidP="00027411">
      <w:pPr>
        <w:pStyle w:val="StandardWeb"/>
      </w:pPr>
      <w:r>
        <w:t>Ich bezeichne ein solches Modell durch</w:t>
      </w:r>
    </w:p>
    <w:p w:rsidR="00027411" w:rsidRDefault="00027411" w:rsidP="00027411">
      <w:pPr>
        <w:pStyle w:val="StandardWeb"/>
      </w:pPr>
      <w:r>
        <w:t>[</w:t>
      </w:r>
      <w:r>
        <w:br/>
        <w:t>\mathcal M_{\neg D}.</w:t>
      </w:r>
      <w:r>
        <w:br/>
        <w:t>\tag{3.9153}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M_{\neg D}</w:t>
      </w:r>
    </w:p>
    <w:p w:rsidR="00027411" w:rsidRDefault="00027411" w:rsidP="00027411">
      <w:pPr>
        <w:pStyle w:val="StandardWeb"/>
      </w:pPr>
      <w:r>
        <w:t>Es erfüllt</w:t>
      </w:r>
    </w:p>
    <w:p w:rsidR="00027411" w:rsidRDefault="00027411" w:rsidP="00027411">
      <w:pPr>
        <w:pStyle w:val="StandardWeb"/>
      </w:pPr>
      <w:r>
        <w:t>[</w:t>
      </w:r>
      <w:r>
        <w:br/>
        <w:t>\mathcal M_{\neg D}</w:t>
      </w:r>
      <w:r>
        <w:br/>
        <w:t>\models</w:t>
      </w:r>
      <w:r>
        <w:br/>
        <w:t>\mathfrak A_F^{0}</w:t>
      </w:r>
      <w:r>
        <w:br/>
        <w:t>\land</w:t>
      </w:r>
      <w:r>
        <w:br/>
        <w:t>\neg A_C^{(D)}.</w:t>
      </w:r>
      <w:r>
        <w:br/>
        <w:t>\tag{3.9154}</w:t>
      </w:r>
      <w:r>
        <w:br/>
        <w:t>]</w:t>
      </w:r>
    </w:p>
    <w:p w:rsidR="00027411" w:rsidRDefault="00027411" w:rsidP="00027411">
      <w:pPr>
        <w:pStyle w:val="StandardWeb"/>
      </w:pPr>
      <w:r>
        <w:rPr>
          <w:rStyle w:val="Fett"/>
        </w:rPr>
        <w:lastRenderedPageBreak/>
        <w:t>Word-LaTeX</w:t>
      </w:r>
    </w:p>
    <w:p w:rsidR="00027411" w:rsidRDefault="00027411" w:rsidP="00027411">
      <w:pPr>
        <w:pStyle w:val="HTMLVorformatiert"/>
        <w:rPr>
          <w:rStyle w:val="HTMLCode"/>
        </w:rPr>
      </w:pPr>
      <w:r>
        <w:rPr>
          <w:rStyle w:val="HTMLCode"/>
        </w:rPr>
        <w:t>\mathcal M_{\neg D}\models\mathfrak A_F^{0}\land\neg A_C^{(D)}</w:t>
      </w:r>
    </w:p>
    <w:p w:rsidR="00027411" w:rsidRDefault="00027411" w:rsidP="00027411">
      <w:pPr>
        <w:pStyle w:val="StandardWeb"/>
      </w:pPr>
      <w:r>
        <w:t>Dieses Modell war bereits für die Unabhängigkeitsprüfung zulässig.</w:t>
      </w:r>
    </w:p>
    <w:p w:rsidR="00027411" w:rsidRDefault="00E50336" w:rsidP="00027411">
      <w:r>
        <w:pict>
          <v:rect id="_x0000_i2606" style="width:0;height:1.5pt" o:hralign="center" o:hrstd="t" o:hr="t" fillcolor="#a0a0a0" stroked="f"/>
        </w:pict>
      </w:r>
    </w:p>
    <w:p w:rsidR="00027411" w:rsidRDefault="00027411" w:rsidP="00027411">
      <w:pPr>
        <w:pStyle w:val="berschrift1"/>
      </w:pPr>
      <w:r>
        <w:t>3.3.43.441 Funktionale Interpretation des Negationsmodells</w:t>
      </w:r>
    </w:p>
    <w:p w:rsidR="00027411" w:rsidRDefault="00027411" w:rsidP="00027411">
      <w:pPr>
        <w:pStyle w:val="StandardWeb"/>
      </w:pPr>
      <w:r>
        <w:t>Im Negationsmodell besitzt das System zwar möglicherweise relevante Beziehungen oder Komponenten, doch keine davon erfüllt gleichzeitig die Bedingungen</w:t>
      </w:r>
    </w:p>
    <w:p w:rsidR="00027411" w:rsidRDefault="00027411" w:rsidP="00027411">
      <w:pPr>
        <w:pStyle w:val="StandardWeb"/>
      </w:pPr>
      <w:r>
        <w:t>[</w:t>
      </w:r>
      <w:r>
        <w:br/>
        <w:t>\mathcal C=1,</w:t>
      </w:r>
      <w:r>
        <w:br/>
        <w:t>\tag{3.9155}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C=1</w:t>
      </w:r>
    </w:p>
    <w:p w:rsidR="00027411" w:rsidRDefault="00027411" w:rsidP="00027411">
      <w:pPr>
        <w:pStyle w:val="StandardWeb"/>
      </w:pPr>
      <w:r>
        <w:t>[</w:t>
      </w:r>
      <w:r>
        <w:br/>
        <w:t>K_F=1</w:t>
      </w:r>
      <w:r>
        <w:br/>
        <w:t>\tag{3.9156}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K_F=1</w:t>
      </w:r>
    </w:p>
    <w:p w:rsidR="00027411" w:rsidRDefault="00027411" w:rsidP="00027411">
      <w:pPr>
        <w:pStyle w:val="StandardWeb"/>
      </w:pPr>
      <w:r>
        <w:t>und</w:t>
      </w:r>
    </w:p>
    <w:p w:rsidR="00027411" w:rsidRDefault="00027411" w:rsidP="00027411">
      <w:pPr>
        <w:pStyle w:val="StandardWeb"/>
      </w:pPr>
      <w:r>
        <w:t>[</w:t>
      </w:r>
      <w:r>
        <w:br/>
        <w:t>\kappa&gt;0.</w:t>
      </w:r>
      <w:r>
        <w:br/>
        <w:t>\tag{3.9157}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\kappa&gt;0</w:t>
      </w:r>
    </w:p>
    <w:p w:rsidR="00027411" w:rsidRDefault="00027411" w:rsidP="00027411">
      <w:pPr>
        <w:pStyle w:val="StandardWeb"/>
      </w:pPr>
      <w:r>
        <w:t>für eine funktional relevante Teilstruktur.</w:t>
      </w:r>
    </w:p>
    <w:p w:rsidR="00027411" w:rsidRDefault="00E50336" w:rsidP="00027411">
      <w:r>
        <w:pict>
          <v:rect id="_x0000_i2607" style="width:0;height:1.5pt" o:hralign="center" o:hrstd="t" o:hr="t" fillcolor="#a0a0a0" stroked="f"/>
        </w:pict>
      </w:r>
    </w:p>
    <w:p w:rsidR="00027411" w:rsidRDefault="00027411" w:rsidP="00027411">
      <w:pPr>
        <w:pStyle w:val="berschrift1"/>
      </w:pPr>
      <w:r>
        <w:t>3.3.43.442 Konsequenz der Negation</w:t>
      </w:r>
    </w:p>
    <w:p w:rsidR="00027411" w:rsidRDefault="00027411" w:rsidP="00027411">
      <w:pPr>
        <w:pStyle w:val="StandardWeb"/>
      </w:pPr>
      <w:r>
        <w:t>Damit gilt im Negationsmodell für jede funktional relevante Teilstruktur</w:t>
      </w:r>
    </w:p>
    <w:p w:rsidR="00027411" w:rsidRDefault="00027411" w:rsidP="00027411">
      <w:pPr>
        <w:pStyle w:val="StandardWeb"/>
      </w:pPr>
      <w:r>
        <w:lastRenderedPageBreak/>
        <w:t>[</w:t>
      </w:r>
      <w:r>
        <w:br/>
        <w:t>R_F(\mathcal S)=1</w:t>
      </w:r>
      <w:r>
        <w:br/>
        <w:t>\Rightarrow</w:t>
      </w:r>
      <w:r>
        <w:br/>
        <w:t>C_F(\mathcal S)=0.</w:t>
      </w:r>
      <w:r>
        <w:br/>
        <w:t>\tag{3.9158}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R_F(\mathcal S)=1\Rightarrow C_F(\mathcal S)=0</w:t>
      </w:r>
    </w:p>
    <w:p w:rsidR="00027411" w:rsidRDefault="00027411" w:rsidP="00027411">
      <w:pPr>
        <w:pStyle w:val="StandardWeb"/>
      </w:pPr>
      <w:r>
        <w:t xml:space="preserve">Ein solches Modell könnte deshalb zwar als funktionales System beschrieben werden, aber nicht im spezifischen Sinn des hier entwickelten FRZK als </w:t>
      </w:r>
      <w:r>
        <w:rPr>
          <w:rStyle w:val="Fett"/>
        </w:rPr>
        <w:t>funktionales Kohärenzsystem</w:t>
      </w:r>
      <w:r>
        <w:t>.</w:t>
      </w:r>
    </w:p>
    <w:p w:rsidR="00027411" w:rsidRDefault="00E50336" w:rsidP="00027411">
      <w:r>
        <w:pict>
          <v:rect id="_x0000_i2608" style="width:0;height:1.5pt" o:hralign="center" o:hrstd="t" o:hr="t" fillcolor="#a0a0a0" stroked="f"/>
        </w:pict>
      </w:r>
    </w:p>
    <w:p w:rsidR="00027411" w:rsidRDefault="00027411" w:rsidP="00027411">
      <w:pPr>
        <w:pStyle w:val="berschrift1"/>
      </w:pPr>
      <w:r>
        <w:t>3.3.43.443 Abgrenzungsfunktion des Primäraxioms</w:t>
      </w:r>
    </w:p>
    <w:p w:rsidR="00027411" w:rsidRDefault="00027411" w:rsidP="00027411">
      <w:pPr>
        <w:pStyle w:val="StandardWeb"/>
      </w:pPr>
      <w:r>
        <w:t>Damit besitzt Kandidat D eine klare Abgrenzungsfunktion.</w:t>
      </w:r>
    </w:p>
    <w:p w:rsidR="00027411" w:rsidRDefault="00027411" w:rsidP="00027411">
      <w:pPr>
        <w:pStyle w:val="StandardWeb"/>
      </w:pPr>
      <w:r>
        <w:t>Er trennt die Modellklassen</w:t>
      </w:r>
    </w:p>
    <w:p w:rsidR="00027411" w:rsidRDefault="00027411" w:rsidP="00027411">
      <w:pPr>
        <w:pStyle w:val="StandardWeb"/>
      </w:pPr>
      <w:r>
        <w:t>[</w:t>
      </w:r>
      <w:r>
        <w:br/>
        <w:t>\mathfrak M_F^{\mathrm{FRZK}}</w:t>
      </w:r>
      <w:r>
        <w:br/>
        <w:t>\tag{3.9159}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M_F^{\mathrm{FRZK}}</w:t>
      </w:r>
    </w:p>
    <w:p w:rsidR="00027411" w:rsidRDefault="00027411" w:rsidP="00027411">
      <w:pPr>
        <w:pStyle w:val="StandardWeb"/>
      </w:pPr>
      <w:r>
        <w:t>und</w:t>
      </w:r>
    </w:p>
    <w:p w:rsidR="00027411" w:rsidRDefault="00027411" w:rsidP="00027411">
      <w:pPr>
        <w:pStyle w:val="StandardWeb"/>
      </w:pPr>
      <w:r>
        <w:t>[</w:t>
      </w:r>
      <w:r>
        <w:br/>
        <w:t>\mathfrak M_F^{\mathrm{nonC}}.</w:t>
      </w:r>
      <w:r>
        <w:br/>
        <w:t>\tag{3.9160}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M_F^{\mathrm{nonC}}</w:t>
      </w:r>
    </w:p>
    <w:p w:rsidR="00027411" w:rsidRDefault="00027411" w:rsidP="00027411">
      <w:pPr>
        <w:pStyle w:val="StandardWeb"/>
      </w:pPr>
      <w:r>
        <w:t>Die erste Klasse enthält mindestens eine funktional relevante positive Kohärenzrelation, die zweite nicht.</w:t>
      </w:r>
    </w:p>
    <w:p w:rsidR="00027411" w:rsidRDefault="00E50336" w:rsidP="00027411">
      <w:r>
        <w:pict>
          <v:rect id="_x0000_i2609" style="width:0;height:1.5pt" o:hralign="center" o:hrstd="t" o:hr="t" fillcolor="#a0a0a0" stroked="f"/>
        </w:pict>
      </w:r>
    </w:p>
    <w:p w:rsidR="00027411" w:rsidRDefault="00027411" w:rsidP="00027411">
      <w:pPr>
        <w:pStyle w:val="berschrift1"/>
      </w:pPr>
      <w:r>
        <w:t>3.3.43.444 Definition der FRZK-Kohärenzmodellklasse</w:t>
      </w:r>
    </w:p>
    <w:p w:rsidR="00027411" w:rsidRDefault="00027411" w:rsidP="00027411">
      <w:pPr>
        <w:pStyle w:val="StandardWeb"/>
      </w:pPr>
      <w:r>
        <w:t>Ich definiere</w:t>
      </w:r>
    </w:p>
    <w:p w:rsidR="00027411" w:rsidRDefault="00027411" w:rsidP="00027411">
      <w:pPr>
        <w:pStyle w:val="berschrift1"/>
      </w:pPr>
      <w:r>
        <w:lastRenderedPageBreak/>
        <w:t>[</w:t>
      </w:r>
      <w:r>
        <w:br/>
        <w:t>\mathfrak M_F^{C}</w:t>
      </w:r>
    </w:p>
    <w:p w:rsidR="00027411" w:rsidRDefault="00027411" w:rsidP="00027411">
      <w:pPr>
        <w:pStyle w:val="StandardWeb"/>
      </w:pPr>
      <w:r>
        <w:t>\left{</w:t>
      </w:r>
      <w:r>
        <w:br/>
        <w:t>\mathcal M:</w:t>
      </w:r>
      <w:r>
        <w:br/>
        <w:t>\mathcal M\models A_C^{(D)}</w:t>
      </w:r>
      <w:r>
        <w:br/>
        <w:t>\right}.</w:t>
      </w:r>
      <w:r>
        <w:br/>
        <w:t>\tag{3.9161}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M_F^{C}=\left\{\mathcal M:\mathcal M\models A_C^{(D)}\right\}</w:t>
      </w:r>
    </w:p>
    <w:p w:rsidR="00027411" w:rsidRDefault="00027411" w:rsidP="00027411">
      <w:pPr>
        <w:pStyle w:val="StandardWeb"/>
      </w:pPr>
      <w:r>
        <w:t>Die komplementäre Klasse lautet</w:t>
      </w:r>
    </w:p>
    <w:p w:rsidR="00027411" w:rsidRDefault="00027411" w:rsidP="00027411">
      <w:pPr>
        <w:pStyle w:val="berschrift1"/>
      </w:pPr>
      <w:r>
        <w:t>[</w:t>
      </w:r>
      <w:r>
        <w:br/>
        <w:t>\mathfrak M_F^{\neg C}</w:t>
      </w:r>
    </w:p>
    <w:p w:rsidR="00027411" w:rsidRDefault="00027411" w:rsidP="00027411">
      <w:pPr>
        <w:pStyle w:val="StandardWeb"/>
      </w:pPr>
      <w:r>
        <w:t>\left{</w:t>
      </w:r>
      <w:r>
        <w:br/>
        <w:t>\mathcal M:</w:t>
      </w:r>
      <w:r>
        <w:br/>
        <w:t>\mathcal M\models\neg A_C^{(D)}</w:t>
      </w:r>
      <w:r>
        <w:br/>
        <w:t>\right}.</w:t>
      </w:r>
      <w:r>
        <w:br/>
        <w:t>\tag{3.9162}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M_F^{\neg C}=\left\{\mathcal M:\mathcal M\models\neg A_C^{(D)}\right\}</w:t>
      </w:r>
    </w:p>
    <w:p w:rsidR="00027411" w:rsidRDefault="00E50336" w:rsidP="00027411">
      <w:r>
        <w:pict>
          <v:rect id="_x0000_i2610" style="width:0;height:1.5pt" o:hralign="center" o:hrstd="t" o:hr="t" fillcolor="#a0a0a0" stroked="f"/>
        </w:pict>
      </w:r>
    </w:p>
    <w:p w:rsidR="00027411" w:rsidRDefault="00027411" w:rsidP="00027411">
      <w:pPr>
        <w:pStyle w:val="berschrift1"/>
      </w:pPr>
      <w:r>
        <w:t>3.3.43.445 Disjunktheit der Modellklassen</w:t>
      </w:r>
    </w:p>
    <w:p w:rsidR="00027411" w:rsidRDefault="00027411" w:rsidP="00027411">
      <w:pPr>
        <w:pStyle w:val="StandardWeb"/>
      </w:pPr>
      <w:r>
        <w:t>Bei klassischer zweiwertiger Logik gilt</w:t>
      </w:r>
    </w:p>
    <w:p w:rsidR="00027411" w:rsidRDefault="00027411" w:rsidP="00027411">
      <w:pPr>
        <w:pStyle w:val="berschrift1"/>
      </w:pPr>
      <w:r>
        <w:t>[</w:t>
      </w:r>
      <w:r>
        <w:br/>
        <w:t>\mathfrak M_F^{C}</w:t>
      </w:r>
      <w:r>
        <w:br/>
        <w:t>\cap</w:t>
      </w:r>
      <w:r>
        <w:br/>
        <w:t>\mathfrak M_F^{\neg C}</w:t>
      </w:r>
    </w:p>
    <w:p w:rsidR="00027411" w:rsidRDefault="00027411" w:rsidP="00027411">
      <w:pPr>
        <w:pStyle w:val="StandardWeb"/>
      </w:pPr>
      <w:r>
        <w:t>\varnothing.</w:t>
      </w:r>
      <w:r>
        <w:br/>
        <w:t>\tag{3.9163}</w:t>
      </w:r>
      <w:r>
        <w:br/>
        <w:t>]</w:t>
      </w:r>
    </w:p>
    <w:p w:rsidR="00027411" w:rsidRDefault="00027411" w:rsidP="00027411">
      <w:pPr>
        <w:pStyle w:val="StandardWeb"/>
      </w:pPr>
      <w:r>
        <w:rPr>
          <w:rStyle w:val="Fett"/>
        </w:rPr>
        <w:lastRenderedPageBreak/>
        <w:t>Word-LaTeX</w:t>
      </w:r>
    </w:p>
    <w:p w:rsidR="00027411" w:rsidRDefault="00027411" w:rsidP="00027411">
      <w:pPr>
        <w:pStyle w:val="HTMLVorformatiert"/>
        <w:rPr>
          <w:rStyle w:val="HTMLCode"/>
        </w:rPr>
      </w:pPr>
      <w:r>
        <w:rPr>
          <w:rStyle w:val="HTMLCode"/>
        </w:rPr>
        <w:t>\mathfrak M_F^{C}\cap\mathfrak M_F^{\neg C}=\varnothing</w:t>
      </w:r>
    </w:p>
    <w:p w:rsidR="00027411" w:rsidRDefault="00027411" w:rsidP="00027411">
      <w:pPr>
        <w:pStyle w:val="StandardWeb"/>
      </w:pPr>
      <w:r>
        <w:t>Ein Modell kann Kandidat D und seine Negation nicht gleichzeitig erfüllen.</w:t>
      </w:r>
    </w:p>
    <w:p w:rsidR="00027411" w:rsidRDefault="00E50336" w:rsidP="00027411">
      <w:r>
        <w:pict>
          <v:rect id="_x0000_i2611" style="width:0;height:1.5pt" o:hralign="center" o:hrstd="t" o:hr="t" fillcolor="#a0a0a0" stroked="f"/>
        </w:pict>
      </w:r>
    </w:p>
    <w:p w:rsidR="00027411" w:rsidRDefault="00027411" w:rsidP="00027411">
      <w:pPr>
        <w:pStyle w:val="berschrift1"/>
      </w:pPr>
      <w:r>
        <w:t>3.3.43.446 Vollständigkeit der Modellpartition</w:t>
      </w:r>
    </w:p>
    <w:p w:rsidR="00027411" w:rsidRDefault="00027411" w:rsidP="00027411">
      <w:pPr>
        <w:pStyle w:val="StandardWeb"/>
      </w:pPr>
      <w:r>
        <w:t>Unter denselben logischen Voraussetzungen gilt</w:t>
      </w:r>
    </w:p>
    <w:p w:rsidR="00027411" w:rsidRDefault="00027411" w:rsidP="00027411">
      <w:pPr>
        <w:pStyle w:val="berschrift1"/>
      </w:pPr>
      <w:r>
        <w:t>[</w:t>
      </w:r>
      <w:r>
        <w:br/>
        <w:t>\mathfrak M_F</w:t>
      </w:r>
    </w:p>
    <w:p w:rsidR="00027411" w:rsidRDefault="00027411" w:rsidP="00027411">
      <w:pPr>
        <w:pStyle w:val="StandardWeb"/>
      </w:pPr>
      <w:r>
        <w:t>\mathfrak M_F^{C}</w:t>
      </w:r>
      <w:r>
        <w:br/>
        <w:t>\cup</w:t>
      </w:r>
      <w:r>
        <w:br/>
        <w:t>\mathfrak M_F^{\neg C}.</w:t>
      </w:r>
      <w:r>
        <w:br/>
        <w:t>\tag{3.9164}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M_F=\mathfrak M_F^{C}\cup\mathfrak M_F^{\neg C}</w:t>
      </w:r>
    </w:p>
    <w:p w:rsidR="00027411" w:rsidRDefault="00027411" w:rsidP="00027411">
      <w:pPr>
        <w:pStyle w:val="StandardWeb"/>
      </w:pPr>
      <w:r>
        <w:t>Kandidat D partitioniert damit den betrachteten Modellraum eindeutig nach der Existenz funktional relevanter Kohärenz.</w:t>
      </w:r>
    </w:p>
    <w:p w:rsidR="00027411" w:rsidRDefault="00E50336" w:rsidP="00027411">
      <w:r>
        <w:pict>
          <v:rect id="_x0000_i2612" style="width:0;height:1.5pt" o:hralign="center" o:hrstd="t" o:hr="t" fillcolor="#a0a0a0" stroked="f"/>
        </w:pict>
      </w:r>
    </w:p>
    <w:p w:rsidR="00027411" w:rsidRDefault="00027411" w:rsidP="00027411">
      <w:pPr>
        <w:pStyle w:val="berschrift1"/>
      </w:pPr>
      <w:r>
        <w:t>3.3.43.447 Wissenschaftliche Nichttrivialität des Axioms</w:t>
      </w:r>
    </w:p>
    <w:p w:rsidR="00027411" w:rsidRDefault="00027411" w:rsidP="00027411">
      <w:pPr>
        <w:pStyle w:val="StandardWeb"/>
      </w:pPr>
      <w:r>
        <w:t>Ein Primäraxiom ist besonders sinnvoll, wenn sowohl seine Erfüllung als auch seine Verletzung logisch mögliche Modellklassen erzeugen.</w:t>
      </w:r>
    </w:p>
    <w:p w:rsidR="00027411" w:rsidRDefault="00027411" w:rsidP="00027411">
      <w:pPr>
        <w:pStyle w:val="StandardWeb"/>
      </w:pPr>
      <w:r>
        <w:t>Hier gilt</w:t>
      </w:r>
    </w:p>
    <w:p w:rsidR="00027411" w:rsidRDefault="00027411" w:rsidP="00027411">
      <w:pPr>
        <w:pStyle w:val="StandardWeb"/>
      </w:pPr>
      <w:r>
        <w:t>[</w:t>
      </w:r>
      <w:r>
        <w:br/>
        <w:t>\mathfrak M_F^{C}</w:t>
      </w:r>
      <w:r>
        <w:br/>
        <w:t>\neq</w:t>
      </w:r>
      <w:r>
        <w:br/>
        <w:t>\varnothing</w:t>
      </w:r>
      <w:r>
        <w:br/>
        <w:t>\tag{3.9165}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M_F^{C}\neq\varnothing</w:t>
      </w:r>
    </w:p>
    <w:p w:rsidR="00027411" w:rsidRDefault="00027411" w:rsidP="00027411">
      <w:pPr>
        <w:pStyle w:val="StandardWeb"/>
      </w:pPr>
      <w:r>
        <w:lastRenderedPageBreak/>
        <w:t>und</w:t>
      </w:r>
    </w:p>
    <w:p w:rsidR="00027411" w:rsidRDefault="00027411" w:rsidP="00027411">
      <w:pPr>
        <w:pStyle w:val="StandardWeb"/>
      </w:pPr>
      <w:r>
        <w:t>[</w:t>
      </w:r>
      <w:r>
        <w:br/>
        <w:t>\mathfrak M_F^{\neg C}</w:t>
      </w:r>
      <w:r>
        <w:br/>
        <w:t>\neq</w:t>
      </w:r>
      <w:r>
        <w:br/>
        <w:t>\varnothing.</w:t>
      </w:r>
      <w:r>
        <w:br/>
        <w:t>\tag{3.9166}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M_F^{\neg C}\neq\varnothing</w:t>
      </w:r>
    </w:p>
    <w:p w:rsidR="00027411" w:rsidRDefault="00027411" w:rsidP="00027411">
      <w:pPr>
        <w:pStyle w:val="StandardWeb"/>
      </w:pPr>
      <w:r>
        <w:t>Damit ist Kandidat D weder tautologisch noch widersprüchlich.</w:t>
      </w:r>
    </w:p>
    <w:p w:rsidR="00027411" w:rsidRDefault="00E50336" w:rsidP="00027411">
      <w:r>
        <w:pict>
          <v:rect id="_x0000_i2613" style="width:0;height:1.5pt" o:hralign="center" o:hrstd="t" o:hr="t" fillcolor="#a0a0a0" stroked="f"/>
        </w:pict>
      </w:r>
    </w:p>
    <w:p w:rsidR="00027411" w:rsidRDefault="00027411" w:rsidP="00027411">
      <w:pPr>
        <w:pStyle w:val="berschrift1"/>
      </w:pPr>
      <w:r>
        <w:t>3.3.43.448 Axiomatische Selektionswirkung</w:t>
      </w:r>
    </w:p>
    <w:p w:rsidR="00027411" w:rsidRDefault="00027411" w:rsidP="00027411">
      <w:pPr>
        <w:pStyle w:val="StandardWeb"/>
      </w:pPr>
      <w:r>
        <w:t>Die Aufnahme von Kandidat D reduziert den Modellraum von</w:t>
      </w:r>
    </w:p>
    <w:p w:rsidR="00027411" w:rsidRDefault="00027411" w:rsidP="00027411">
      <w:pPr>
        <w:pStyle w:val="StandardWeb"/>
      </w:pPr>
      <w:r>
        <w:t>[</w:t>
      </w:r>
      <w:r>
        <w:br/>
        <w:t>\mathfrak M_F^{0}</w:t>
      </w:r>
      <w:r>
        <w:br/>
        <w:t>\tag{3.9167}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M_F^{0}</w:t>
      </w:r>
    </w:p>
    <w:p w:rsidR="00027411" w:rsidRDefault="00027411" w:rsidP="00027411">
      <w:pPr>
        <w:pStyle w:val="StandardWeb"/>
      </w:pPr>
      <w:r>
        <w:t>auf</w:t>
      </w:r>
    </w:p>
    <w:p w:rsidR="00027411" w:rsidRDefault="00027411" w:rsidP="00027411">
      <w:pPr>
        <w:pStyle w:val="berschrift1"/>
      </w:pPr>
      <w:r>
        <w:t>[</w:t>
      </w:r>
      <w:r>
        <w:br/>
        <w:t>\mathfrak M_F^{1}</w:t>
      </w:r>
    </w:p>
    <w:p w:rsidR="00027411" w:rsidRDefault="00027411" w:rsidP="00027411">
      <w:pPr>
        <w:pStyle w:val="StandardWeb"/>
      </w:pPr>
      <w:r>
        <w:t>\mathfrak M_F^{0}</w:t>
      </w:r>
      <w:r>
        <w:br/>
        <w:t>\cap</w:t>
      </w:r>
      <w:r>
        <w:br/>
        <w:t>\mathfrak M_F^{C}.</w:t>
      </w:r>
      <w:r>
        <w:br/>
        <w:t>\tag{3.9168}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M_F^{1}=\mathfrak M_F^{0}\cap\mathfrak M_F^{C}</w:t>
      </w:r>
    </w:p>
    <w:p w:rsidR="00027411" w:rsidRDefault="00027411" w:rsidP="00027411">
      <w:pPr>
        <w:pStyle w:val="StandardWeb"/>
      </w:pPr>
      <w:r>
        <w:t>Ausgeschlossen werden genau diejenigen Modelle, in denen keine funktional relevante positive Kohärenz existiert.</w:t>
      </w:r>
    </w:p>
    <w:p w:rsidR="00027411" w:rsidRDefault="00E50336" w:rsidP="00027411">
      <w:r>
        <w:pict>
          <v:rect id="_x0000_i2614" style="width:0;height:1.5pt" o:hralign="center" o:hrstd="t" o:hr="t" fillcolor="#a0a0a0" stroked="f"/>
        </w:pict>
      </w:r>
    </w:p>
    <w:p w:rsidR="00027411" w:rsidRDefault="00027411" w:rsidP="00027411">
      <w:pPr>
        <w:pStyle w:val="berschrift1"/>
      </w:pPr>
      <w:r>
        <w:lastRenderedPageBreak/>
        <w:t>3.3.43.449 Minimaler Modellraumausschluss</w:t>
      </w:r>
    </w:p>
    <w:p w:rsidR="00027411" w:rsidRDefault="00027411" w:rsidP="00027411">
      <w:pPr>
        <w:pStyle w:val="StandardWeb"/>
      </w:pPr>
      <w:r>
        <w:t>Ich kann daher schreiben</w:t>
      </w:r>
    </w:p>
    <w:p w:rsidR="00027411" w:rsidRDefault="00027411" w:rsidP="00027411">
      <w:pPr>
        <w:pStyle w:val="berschrift1"/>
      </w:pPr>
      <w:r>
        <w:t>[</w:t>
      </w:r>
      <w:r>
        <w:br/>
        <w:t>\mathfrak M_F^{0}</w:t>
      </w:r>
      <w:r>
        <w:br/>
        <w:t>\setminus</w:t>
      </w:r>
      <w:r>
        <w:br/>
        <w:t>\mathfrak M_F^{1}</w:t>
      </w:r>
    </w:p>
    <w:p w:rsidR="00027411" w:rsidRDefault="00027411" w:rsidP="00027411">
      <w:pPr>
        <w:pStyle w:val="StandardWeb"/>
      </w:pPr>
      <w:r>
        <w:t>\mathfrak M_F^{0}</w:t>
      </w:r>
      <w:r>
        <w:br/>
        <w:t>\cap</w:t>
      </w:r>
      <w:r>
        <w:br/>
        <w:t>\mathfrak M_F^{\neg C}.</w:t>
      </w:r>
      <w:r>
        <w:br/>
        <w:t>\tag{3.9169}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M_F^{0}\setminus\mathfrak M_F^{1}=\mathfrak M_F^{0}\cap\mathfrak M_F^{\neg C}</w:t>
      </w:r>
    </w:p>
    <w:p w:rsidR="00027411" w:rsidRDefault="00027411" w:rsidP="00027411">
      <w:pPr>
        <w:pStyle w:val="StandardWeb"/>
      </w:pPr>
      <w:r>
        <w:t>Es werden also nicht alle schwach kohärenten, temporär kohärenzfreien oder fragmentierten Systeme ausgeschlossen, sondern nur vollständig ohne funktional relevante positive Kohärenz bleibende Modelle.</w:t>
      </w:r>
    </w:p>
    <w:p w:rsidR="00027411" w:rsidRDefault="00E50336" w:rsidP="00027411">
      <w:r>
        <w:pict>
          <v:rect id="_x0000_i2615" style="width:0;height:1.5pt" o:hralign="center" o:hrstd="t" o:hr="t" fillcolor="#a0a0a0" stroked="f"/>
        </w:pict>
      </w:r>
    </w:p>
    <w:p w:rsidR="00027411" w:rsidRDefault="00027411" w:rsidP="00027411">
      <w:pPr>
        <w:pStyle w:val="berschrift1"/>
      </w:pPr>
      <w:r>
        <w:t>3.3.43.450 Verhältnis zum FRZK-Namen</w:t>
      </w:r>
    </w:p>
    <w:p w:rsidR="00027411" w:rsidRDefault="00027411" w:rsidP="00027411">
      <w:pPr>
        <w:pStyle w:val="StandardWeb"/>
      </w:pPr>
      <w:r>
        <w:t xml:space="preserve">Erst an dieser Stelle wird auch die Bezeichnung </w:t>
      </w:r>
      <w:r>
        <w:rPr>
          <w:rStyle w:val="Fett"/>
        </w:rPr>
        <w:t>Funktionales Raum-Zeit-Kohärenzsystem</w:t>
      </w:r>
      <w:r>
        <w:t xml:space="preserve"> formal gerechtfertigt.</w:t>
      </w:r>
    </w:p>
    <w:p w:rsidR="00027411" w:rsidRDefault="00027411" w:rsidP="00027411">
      <w:pPr>
        <w:pStyle w:val="StandardWeb"/>
      </w:pPr>
      <w:r>
        <w:t>Die Namensstruktur soll nicht das Axiom beweisen, aber nach erfolgter unabhängiger Axiomprüfung darf die Theorie verlangen</w:t>
      </w:r>
    </w:p>
    <w:p w:rsidR="00027411" w:rsidRDefault="00027411" w:rsidP="00027411">
      <w:pPr>
        <w:pStyle w:val="StandardWeb"/>
      </w:pPr>
      <w:r>
        <w:t>[</w:t>
      </w:r>
      <w:r>
        <w:br/>
        <w:t>\text{FRZK-Modell}</w:t>
      </w:r>
      <w:r>
        <w:br/>
        <w:t>\Rightarrow</w:t>
      </w:r>
      <w:r>
        <w:br/>
        <w:t>\mathcal M\models A_C^{(D)}.</w:t>
      </w:r>
      <w:r>
        <w:br/>
        <w:t>\tag{3.9170}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\text{FRZK-Modell}\Rightarrow\mathcal M\models A_C^{(D)}</w:t>
      </w:r>
    </w:p>
    <w:p w:rsidR="00027411" w:rsidRDefault="00027411" w:rsidP="00027411">
      <w:pPr>
        <w:pStyle w:val="StandardWeb"/>
      </w:pPr>
      <w:r>
        <w:t>Damit wird Kohärenz zu einem konstitutiven Bestandteil der Modellklasse und nicht lediglich zu einer optionalen späteren Auswertungsgröße.</w:t>
      </w:r>
    </w:p>
    <w:p w:rsidR="00027411" w:rsidRDefault="00E50336" w:rsidP="00027411">
      <w:r>
        <w:lastRenderedPageBreak/>
        <w:pict>
          <v:rect id="_x0000_i2616" style="width:0;height:1.5pt" o:hralign="center" o:hrstd="t" o:hr="t" fillcolor="#a0a0a0" stroked="f"/>
        </w:pict>
      </w:r>
    </w:p>
    <w:p w:rsidR="00027411" w:rsidRDefault="00027411" w:rsidP="00027411">
      <w:pPr>
        <w:pStyle w:val="berschrift1"/>
      </w:pPr>
      <w:r>
        <w:t>3.3.43.451 Konstitutiv versus quantitativ</w:t>
      </w:r>
    </w:p>
    <w:p w:rsidR="00027411" w:rsidRDefault="00027411" w:rsidP="00027411">
      <w:pPr>
        <w:pStyle w:val="StandardWeb"/>
      </w:pPr>
      <w:r>
        <w:t xml:space="preserve">Kandidat D ist dabei </w:t>
      </w:r>
      <w:r>
        <w:rPr>
          <w:rStyle w:val="Fett"/>
        </w:rPr>
        <w:t>qualitativ konstitutiv</w:t>
      </w:r>
      <w:r>
        <w:t>, aber quantitativ schwach.</w:t>
      </w:r>
    </w:p>
    <w:p w:rsidR="00027411" w:rsidRDefault="00027411" w:rsidP="00027411">
      <w:pPr>
        <w:pStyle w:val="StandardWeb"/>
      </w:pPr>
      <w:r>
        <w:t>Er fordert</w:t>
      </w:r>
    </w:p>
    <w:p w:rsidR="00027411" w:rsidRDefault="00027411" w:rsidP="00027411">
      <w:pPr>
        <w:pStyle w:val="StandardWeb"/>
      </w:pPr>
      <w:r>
        <w:t>[</w:t>
      </w:r>
      <w:r>
        <w:br/>
        <w:t>C_F&gt;0</w:t>
      </w:r>
      <w:r>
        <w:br/>
        <w:t>\tag{3.9171}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C_F&gt;0</w:t>
      </w:r>
    </w:p>
    <w:p w:rsidR="00027411" w:rsidRDefault="00027411" w:rsidP="00027411">
      <w:pPr>
        <w:pStyle w:val="StandardWeb"/>
      </w:pPr>
      <w:r>
        <w:t>für mindestens eine relevante Teilstruktur, aber keinen bestimmten Wert</w:t>
      </w:r>
    </w:p>
    <w:p w:rsidR="00027411" w:rsidRDefault="00027411" w:rsidP="00027411">
      <w:pPr>
        <w:pStyle w:val="StandardWeb"/>
      </w:pPr>
      <w:r>
        <w:t>[</w:t>
      </w:r>
      <w:r>
        <w:br/>
        <w:t>C_F=c_0.</w:t>
      </w:r>
      <w:r>
        <w:br/>
        <w:t>\tag{3.9172}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C_F=c_0</w:t>
      </w:r>
    </w:p>
    <w:p w:rsidR="00027411" w:rsidRDefault="00027411" w:rsidP="00027411">
      <w:pPr>
        <w:pStyle w:val="StandardWeb"/>
      </w:pPr>
      <w:r>
        <w:t>Damit wird die Existenz von Kohärenz konstitutiv, ihre quantitative Ausprägung bleibt modell- und empiriespezifisch.</w:t>
      </w:r>
    </w:p>
    <w:p w:rsidR="00027411" w:rsidRDefault="00E50336" w:rsidP="00027411">
      <w:r>
        <w:pict>
          <v:rect id="_x0000_i2617" style="width:0;height:1.5pt" o:hralign="center" o:hrstd="t" o:hr="t" fillcolor="#a0a0a0" stroked="f"/>
        </w:pict>
      </w:r>
    </w:p>
    <w:p w:rsidR="00027411" w:rsidRDefault="00027411" w:rsidP="00027411">
      <w:pPr>
        <w:pStyle w:val="berschrift1"/>
      </w:pPr>
      <w:r>
        <w:t>3.3.43.452 Keine Universalität einzelner Kohärenzrelationen</w:t>
      </w:r>
    </w:p>
    <w:p w:rsidR="00027411" w:rsidRDefault="00027411" w:rsidP="00027411">
      <w:pPr>
        <w:pStyle w:val="StandardWeb"/>
      </w:pPr>
      <w:r>
        <w:t>Auch nach Aufnahme von Kandidat D gilt nicht</w:t>
      </w:r>
    </w:p>
    <w:p w:rsidR="00027411" w:rsidRDefault="00027411" w:rsidP="00027411">
      <w:pPr>
        <w:pStyle w:val="StandardWeb"/>
      </w:pPr>
      <w:r>
        <w:t>[</w:t>
      </w:r>
      <w:r>
        <w:br/>
        <w:t>\exists(X_i,X_j):</w:t>
      </w:r>
      <w:r>
        <w:br/>
        <w:t>\forall z:</w:t>
      </w:r>
      <w:r>
        <w:br/>
        <w:t>C_F(X_i,X_j;z)&gt;0.</w:t>
      </w:r>
      <w:r>
        <w:br/>
        <w:t>\tag{3.9173}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\exists(X_i,X_j):\forall z:C_F(X_i,X_j;z)&gt;0</w:t>
      </w:r>
    </w:p>
    <w:p w:rsidR="00027411" w:rsidRDefault="00027411" w:rsidP="00027411">
      <w:pPr>
        <w:pStyle w:val="StandardWeb"/>
      </w:pPr>
      <w:r>
        <w:t>Das Axiom verlangt keine dauerhaft kohärente einzelne Beziehung.</w:t>
      </w:r>
    </w:p>
    <w:p w:rsidR="00027411" w:rsidRDefault="00E50336" w:rsidP="00027411">
      <w:r>
        <w:lastRenderedPageBreak/>
        <w:pict>
          <v:rect id="_x0000_i2618" style="width:0;height:1.5pt" o:hralign="center" o:hrstd="t" o:hr="t" fillcolor="#a0a0a0" stroked="f"/>
        </w:pict>
      </w:r>
    </w:p>
    <w:p w:rsidR="00027411" w:rsidRDefault="00027411" w:rsidP="00027411">
      <w:pPr>
        <w:pStyle w:val="berschrift1"/>
      </w:pPr>
      <w:r>
        <w:t>3.3.43.453 Keine Identität der relevanten Teilstruktur</w:t>
      </w:r>
    </w:p>
    <w:p w:rsidR="00027411" w:rsidRDefault="00027411" w:rsidP="00027411">
      <w:pPr>
        <w:pStyle w:val="StandardWeb"/>
      </w:pPr>
      <w:r>
        <w:t>Ebenso muss nicht dieselbe Teilstruktur in verschiedenen Modellen kohärent sein:</w:t>
      </w:r>
    </w:p>
    <w:p w:rsidR="00027411" w:rsidRDefault="00027411" w:rsidP="00027411">
      <w:pPr>
        <w:pStyle w:val="StandardWeb"/>
      </w:pPr>
      <w:r>
        <w:t>[</w:t>
      </w:r>
      <w:r>
        <w:br/>
        <w:t>\mathcal S_C^{(\mathcal M_1)}</w:t>
      </w:r>
      <w:r>
        <w:br/>
        <w:t>\neq</w:t>
      </w:r>
      <w:r>
        <w:br/>
        <w:t>\mathcal S_C^{(\mathcal M_2)}.</w:t>
      </w:r>
      <w:r>
        <w:br/>
        <w:t>\tag{3.9174}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S_C^{(\mathcal M_1)}\neq\mathcal S_C^{(\mathcal M_2)}</w:t>
      </w:r>
    </w:p>
    <w:p w:rsidR="00027411" w:rsidRDefault="00027411" w:rsidP="00027411">
      <w:pPr>
        <w:pStyle w:val="StandardWeb"/>
      </w:pPr>
      <w:r>
        <w:t>Das Axiom ist damit strukturell, nicht objektspezifisch formuliert.</w:t>
      </w:r>
    </w:p>
    <w:p w:rsidR="00027411" w:rsidRDefault="00E50336" w:rsidP="00027411">
      <w:r>
        <w:pict>
          <v:rect id="_x0000_i2619" style="width:0;height:1.5pt" o:hralign="center" o:hrstd="t" o:hr="t" fillcolor="#a0a0a0" stroked="f"/>
        </w:pict>
      </w:r>
    </w:p>
    <w:p w:rsidR="00027411" w:rsidRDefault="00027411" w:rsidP="00027411">
      <w:pPr>
        <w:pStyle w:val="berschrift1"/>
      </w:pPr>
      <w:r>
        <w:t>3.3.43.454 Keine zeitliche Permanenz</w:t>
      </w:r>
    </w:p>
    <w:p w:rsidR="00027411" w:rsidRDefault="00027411" w:rsidP="00027411">
      <w:pPr>
        <w:pStyle w:val="StandardWeb"/>
      </w:pPr>
      <w:r>
        <w:t>Auch innerhalb eines Modells kann gelten</w:t>
      </w:r>
    </w:p>
    <w:p w:rsidR="00027411" w:rsidRDefault="00027411" w:rsidP="00027411">
      <w:pPr>
        <w:pStyle w:val="StandardWeb"/>
      </w:pPr>
      <w:r>
        <w:t>[</w:t>
      </w:r>
      <w:r>
        <w:br/>
        <w:t>C_F(\mathcal S_C;t_1)&gt;0</w:t>
      </w:r>
      <w:r>
        <w:br/>
        <w:t>\tag{3.9175}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C_F(\mathcal S_C;t_1)&gt;0</w:t>
      </w:r>
    </w:p>
    <w:p w:rsidR="00027411" w:rsidRDefault="00027411" w:rsidP="00027411">
      <w:pPr>
        <w:pStyle w:val="StandardWeb"/>
      </w:pPr>
      <w:r>
        <w:t>und später</w:t>
      </w:r>
    </w:p>
    <w:p w:rsidR="00027411" w:rsidRDefault="00027411" w:rsidP="00027411">
      <w:pPr>
        <w:pStyle w:val="StandardWeb"/>
      </w:pPr>
      <w:r>
        <w:t>[</w:t>
      </w:r>
      <w:r>
        <w:br/>
        <w:t>C_F(\mathcal S_C;t_2)=0.</w:t>
      </w:r>
      <w:r>
        <w:br/>
        <w:t>\tag{3.9176}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C_F(\mathcal S_C;t_2)=0</w:t>
      </w:r>
    </w:p>
    <w:p w:rsidR="00027411" w:rsidRDefault="00027411" w:rsidP="00027411">
      <w:pPr>
        <w:pStyle w:val="StandardWeb"/>
      </w:pPr>
      <w:r>
        <w:t>Kandidat D bleibt daher mit vollständiger Entkopplung einzelner zeitlicher Zustände vereinbar, solange sein Existenzquantor innerhalb des Modellraums erfüllt bleibt.</w:t>
      </w:r>
    </w:p>
    <w:p w:rsidR="00027411" w:rsidRDefault="00E50336" w:rsidP="00027411">
      <w:r>
        <w:pict>
          <v:rect id="_x0000_i2620" style="width:0;height:1.5pt" o:hralign="center" o:hrstd="t" o:hr="t" fillcolor="#a0a0a0" stroked="f"/>
        </w:pict>
      </w:r>
    </w:p>
    <w:p w:rsidR="00027411" w:rsidRDefault="00027411" w:rsidP="00027411">
      <w:pPr>
        <w:pStyle w:val="berschrift1"/>
      </w:pPr>
      <w:r>
        <w:t>3.3.43.455 Prüfproblem der leeren Zustandsmenge</w:t>
      </w:r>
    </w:p>
    <w:p w:rsidR="00027411" w:rsidRDefault="00027411" w:rsidP="00027411">
      <w:pPr>
        <w:pStyle w:val="StandardWeb"/>
      </w:pPr>
      <w:r>
        <w:lastRenderedPageBreak/>
        <w:t>Eine logische Randfrage entsteht, wenn</w:t>
      </w:r>
    </w:p>
    <w:p w:rsidR="00027411" w:rsidRDefault="00027411" w:rsidP="00027411">
      <w:pPr>
        <w:pStyle w:val="StandardWeb"/>
      </w:pPr>
      <w:r>
        <w:t>[</w:t>
      </w:r>
      <w:r>
        <w:br/>
        <w:t>\Omega_F=\varnothing.</w:t>
      </w:r>
      <w:r>
        <w:br/>
        <w:t>\tag{3.9177}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\Omega_F=\varnothing</w:t>
      </w:r>
    </w:p>
    <w:p w:rsidR="00027411" w:rsidRDefault="00027411" w:rsidP="00027411">
      <w:pPr>
        <w:pStyle w:val="StandardWeb"/>
      </w:pPr>
      <w:r>
        <w:t>Dann kann Kandidat D nicht erfüllt werden.</w:t>
      </w:r>
    </w:p>
    <w:p w:rsidR="00027411" w:rsidRDefault="00027411" w:rsidP="00027411">
      <w:pPr>
        <w:pStyle w:val="StandardWeb"/>
      </w:pPr>
      <w:r>
        <w:t>Damit folgt aus Kandidat D automatisch</w:t>
      </w:r>
    </w:p>
    <w:p w:rsidR="00027411" w:rsidRDefault="00027411" w:rsidP="00027411">
      <w:pPr>
        <w:pStyle w:val="StandardWeb"/>
      </w:pPr>
      <w:r>
        <w:t>[</w:t>
      </w:r>
      <w:r>
        <w:br/>
        <w:t>A_C^{(D)}</w:t>
      </w:r>
      <w:r>
        <w:br/>
        <w:t>\Rightarrow</w:t>
      </w:r>
      <w:r>
        <w:br/>
        <w:t>\Omega_F\neq\varnothing.</w:t>
      </w:r>
      <w:r>
        <w:br/>
        <w:t>\tag{3.9178}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A_C^{(D)}\Rightarrow\Omega_F\neq\varnothing</w:t>
      </w:r>
    </w:p>
    <w:p w:rsidR="00027411" w:rsidRDefault="00E50336" w:rsidP="00027411">
      <w:r>
        <w:pict>
          <v:rect id="_x0000_i2621" style="width:0;height:1.5pt" o:hralign="center" o:hrstd="t" o:hr="t" fillcolor="#a0a0a0" stroked="f"/>
        </w:pict>
      </w:r>
    </w:p>
    <w:p w:rsidR="00027411" w:rsidRDefault="00027411" w:rsidP="00027411">
      <w:pPr>
        <w:pStyle w:val="berschrift1"/>
      </w:pPr>
      <w:r>
        <w:t>3.3.43.456 Ist Nichtleere eine unerwünschte Zusatzfolge?</w:t>
      </w:r>
    </w:p>
    <w:p w:rsidR="00027411" w:rsidRDefault="00027411" w:rsidP="00027411">
      <w:pPr>
        <w:pStyle w:val="StandardWeb"/>
      </w:pPr>
      <w:r>
        <w:t>Diese Folge ist nicht problematisch, denn ein FRZK-Modell ohne mindestens einen zulässigen Zustand hätte keinen physikalisch oder funktional interpretierbaren Gegenstand.</w:t>
      </w:r>
    </w:p>
    <w:p w:rsidR="00027411" w:rsidRDefault="00027411" w:rsidP="00027411">
      <w:pPr>
        <w:pStyle w:val="StandardWeb"/>
      </w:pPr>
      <w:r>
        <w:t>Ich klassifiziere deshalb</w:t>
      </w:r>
    </w:p>
    <w:p w:rsidR="00027411" w:rsidRDefault="00027411" w:rsidP="00027411">
      <w:pPr>
        <w:pStyle w:val="StandardWeb"/>
      </w:pPr>
      <w:r>
        <w:t>[</w:t>
      </w:r>
      <w:r>
        <w:br/>
        <w:t>\Omega_F\neq\varnothing</w:t>
      </w:r>
      <w:r>
        <w:br/>
        <w:t>\tag{3.9179}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\Omega_F\neq\varnothing</w:t>
      </w:r>
    </w:p>
    <w:p w:rsidR="00027411" w:rsidRDefault="00027411" w:rsidP="00027411">
      <w:pPr>
        <w:pStyle w:val="StandardWeb"/>
      </w:pPr>
      <w:r>
        <w:t>als zulässige notwendige Nebenfolge des Kohärenzaxioms.</w:t>
      </w:r>
    </w:p>
    <w:p w:rsidR="00027411" w:rsidRDefault="00E50336" w:rsidP="00027411">
      <w:r>
        <w:pict>
          <v:rect id="_x0000_i2622" style="width:0;height:1.5pt" o:hralign="center" o:hrstd="t" o:hr="t" fillcolor="#a0a0a0" stroked="f"/>
        </w:pict>
      </w:r>
    </w:p>
    <w:p w:rsidR="00027411" w:rsidRDefault="00027411" w:rsidP="00027411">
      <w:pPr>
        <w:pStyle w:val="berschrift1"/>
      </w:pPr>
      <w:r>
        <w:t>3.3.43.457 Nichtleere funktionale Struktur</w:t>
      </w:r>
    </w:p>
    <w:p w:rsidR="00027411" w:rsidRDefault="00027411" w:rsidP="00027411">
      <w:pPr>
        <w:pStyle w:val="StandardWeb"/>
      </w:pPr>
      <w:r>
        <w:lastRenderedPageBreak/>
        <w:t>Ebenso folgt aus Kandidat D</w:t>
      </w:r>
    </w:p>
    <w:p w:rsidR="00027411" w:rsidRDefault="00027411" w:rsidP="00027411">
      <w:pPr>
        <w:pStyle w:val="StandardWeb"/>
      </w:pPr>
      <w:r>
        <w:t>[</w:t>
      </w:r>
      <w:r>
        <w:br/>
        <w:t>\mathcal S_F\neq\varnothing.</w:t>
      </w:r>
      <w:r>
        <w:br/>
        <w:t>\tag{3.9180}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S_F\neq\varnothing</w:t>
      </w:r>
    </w:p>
    <w:p w:rsidR="00027411" w:rsidRDefault="00027411" w:rsidP="00027411">
      <w:pPr>
        <w:pStyle w:val="StandardWeb"/>
      </w:pPr>
      <w:r>
        <w:t>Denn ohne Systemstruktur kann keine relevante Teilstruktur existieren.</w:t>
      </w:r>
    </w:p>
    <w:p w:rsidR="00027411" w:rsidRDefault="00027411" w:rsidP="00027411">
      <w:pPr>
        <w:pStyle w:val="StandardWeb"/>
      </w:pPr>
      <w:r>
        <w:t>Auch diese Nebenfolge ist mit dem Begriff eines funktionalen Systems vereinbar.</w:t>
      </w:r>
    </w:p>
    <w:p w:rsidR="00027411" w:rsidRDefault="00E50336" w:rsidP="00027411">
      <w:r>
        <w:pict>
          <v:rect id="_x0000_i2623" style="width:0;height:1.5pt" o:hralign="center" o:hrstd="t" o:hr="t" fillcolor="#a0a0a0" stroked="f"/>
        </w:pict>
      </w:r>
    </w:p>
    <w:p w:rsidR="00027411" w:rsidRDefault="00027411" w:rsidP="00027411">
      <w:pPr>
        <w:pStyle w:val="berschrift1"/>
      </w:pPr>
      <w:r>
        <w:t>3.3.43.458 Existenz mindestens einer relevanten Teilstruktur</w:t>
      </w:r>
    </w:p>
    <w:p w:rsidR="00027411" w:rsidRDefault="00027411" w:rsidP="00027411">
      <w:pPr>
        <w:pStyle w:val="StandardWeb"/>
      </w:pPr>
      <w:r>
        <w:t>Weiter folgt notwendig</w:t>
      </w:r>
    </w:p>
    <w:p w:rsidR="00027411" w:rsidRDefault="00027411" w:rsidP="00027411">
      <w:pPr>
        <w:pStyle w:val="StandardWeb"/>
      </w:pPr>
      <w:r>
        <w:t>[</w:t>
      </w:r>
      <w:r>
        <w:br/>
        <w:t>\exists\mathcal S'</w:t>
      </w:r>
      <w:r>
        <w:br/>
        <w:t>\subseteq</w:t>
      </w:r>
      <w:r>
        <w:br/>
        <w:t>\mathcal S_F:</w:t>
      </w:r>
      <w:r>
        <w:br/>
        <w:t>R_F(\mathcal S')=1.</w:t>
      </w:r>
      <w:r>
        <w:br/>
        <w:t>\tag{3.9181}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\exists\mathcal S'\subseteq\mathcal S_F:R_F(\mathcal S')=1</w:t>
      </w:r>
    </w:p>
    <w:p w:rsidR="00027411" w:rsidRDefault="00027411" w:rsidP="00027411">
      <w:pPr>
        <w:pStyle w:val="StandardWeb"/>
      </w:pPr>
      <w:r>
        <w:t>Das FRZK besitzt damit mindestens eine funktional relevante Strukturkomponente.</w:t>
      </w:r>
    </w:p>
    <w:p w:rsidR="00027411" w:rsidRDefault="00E50336" w:rsidP="00027411">
      <w:r>
        <w:pict>
          <v:rect id="_x0000_i2624" style="width:0;height:1.5pt" o:hralign="center" o:hrstd="t" o:hr="t" fillcolor="#a0a0a0" stroked="f"/>
        </w:pict>
      </w:r>
    </w:p>
    <w:p w:rsidR="00027411" w:rsidRDefault="00027411" w:rsidP="00027411">
      <w:pPr>
        <w:pStyle w:val="berschrift1"/>
      </w:pPr>
      <w:r>
        <w:t>3.3.43.459 Existenz positiver Kopplung</w:t>
      </w:r>
    </w:p>
    <w:p w:rsidR="00027411" w:rsidRDefault="00027411" w:rsidP="00027411">
      <w:pPr>
        <w:pStyle w:val="StandardWeb"/>
      </w:pPr>
      <w:r>
        <w:t>Aufgrund von Definition 3.3.53 folgt aus positiver Kohärenz außerdem für die betreffende Relation</w:t>
      </w:r>
    </w:p>
    <w:p w:rsidR="00027411" w:rsidRDefault="00027411" w:rsidP="00027411">
      <w:pPr>
        <w:pStyle w:val="StandardWeb"/>
      </w:pPr>
      <w:r>
        <w:t>[</w:t>
      </w:r>
      <w:r>
        <w:br/>
        <w:t>\kappa&gt;0.</w:t>
      </w:r>
      <w:r>
        <w:br/>
        <w:t>\tag{3.9182}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lastRenderedPageBreak/>
        <w:t>\kappa&gt;0</w:t>
      </w:r>
    </w:p>
    <w:p w:rsidR="00027411" w:rsidRDefault="00027411" w:rsidP="00027411">
      <w:pPr>
        <w:pStyle w:val="StandardWeb"/>
      </w:pPr>
      <w:r>
        <w:t>Dies ist keine unerwünschte Zusatzfolge, sondern Bestandteil der Definition von positiver funktionaler Kohärenz.</w:t>
      </w:r>
    </w:p>
    <w:p w:rsidR="00027411" w:rsidRDefault="00E50336" w:rsidP="00027411">
      <w:r>
        <w:pict>
          <v:rect id="_x0000_i2625" style="width:0;height:1.5pt" o:hralign="center" o:hrstd="t" o:hr="t" fillcolor="#a0a0a0" stroked="f"/>
        </w:pict>
      </w:r>
    </w:p>
    <w:p w:rsidR="00027411" w:rsidRDefault="00027411" w:rsidP="00027411">
      <w:pPr>
        <w:pStyle w:val="berschrift1"/>
      </w:pPr>
      <w:r>
        <w:t>3.3.43.460 Existenz lokaler Konsistenz</w:t>
      </w:r>
    </w:p>
    <w:p w:rsidR="00027411" w:rsidRDefault="00027411" w:rsidP="00027411">
      <w:pPr>
        <w:pStyle w:val="StandardWeb"/>
      </w:pPr>
      <w:r>
        <w:t>Ebenso folgt für die kohärente Teilstruktur</w:t>
      </w:r>
    </w:p>
    <w:p w:rsidR="00027411" w:rsidRDefault="00027411" w:rsidP="00027411">
      <w:pPr>
        <w:pStyle w:val="StandardWeb"/>
      </w:pPr>
      <w:r>
        <w:t>[</w:t>
      </w:r>
      <w:r>
        <w:br/>
        <w:t>K_F=1.</w:t>
      </w:r>
      <w:r>
        <w:br/>
        <w:t>\tag{3.9183}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K_F=1</w:t>
      </w:r>
    </w:p>
    <w:p w:rsidR="00027411" w:rsidRDefault="00027411" w:rsidP="00027411">
      <w:pPr>
        <w:pStyle w:val="StandardWeb"/>
      </w:pPr>
      <w:r>
        <w:t>Auch dies folgt definitorisch aus der bereits festgelegten Kohärenzstruktur.</w:t>
      </w:r>
    </w:p>
    <w:p w:rsidR="00027411" w:rsidRDefault="00E50336" w:rsidP="00027411">
      <w:r>
        <w:pict>
          <v:rect id="_x0000_i2626" style="width:0;height:1.5pt" o:hralign="center" o:hrstd="t" o:hr="t" fillcolor="#a0a0a0" stroked="f"/>
        </w:pict>
      </w:r>
    </w:p>
    <w:p w:rsidR="00027411" w:rsidRDefault="00027411" w:rsidP="00027411">
      <w:pPr>
        <w:pStyle w:val="berschrift1"/>
      </w:pPr>
      <w:r>
        <w:t>3.3.43.461 Existenz lokaler Vergleichbarkeit</w:t>
      </w:r>
    </w:p>
    <w:p w:rsidR="00027411" w:rsidRDefault="00027411" w:rsidP="00027411">
      <w:pPr>
        <w:pStyle w:val="StandardWeb"/>
      </w:pPr>
      <w:r>
        <w:t>Schließlich gilt für die betreffende Teilstruktur</w:t>
      </w:r>
    </w:p>
    <w:p w:rsidR="00027411" w:rsidRDefault="00027411" w:rsidP="00027411">
      <w:pPr>
        <w:pStyle w:val="StandardWeb"/>
      </w:pPr>
      <w:r>
        <w:t>[</w:t>
      </w:r>
      <w:r>
        <w:br/>
        <w:t>\mathcal C=1.</w:t>
      </w:r>
      <w:r>
        <w:br/>
        <w:t>\tag{3.9184}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C=1</w:t>
      </w:r>
    </w:p>
    <w:p w:rsidR="00027411" w:rsidRDefault="00027411" w:rsidP="00027411">
      <w:pPr>
        <w:pStyle w:val="StandardWeb"/>
      </w:pPr>
      <w:r>
        <w:t>Damit setzt die vom Primäraxiom garantierte Kohärenz eine lokal vergleichbare und konsistente funktionale Beziehung voraus.</w:t>
      </w:r>
    </w:p>
    <w:p w:rsidR="00027411" w:rsidRDefault="00E50336" w:rsidP="00027411">
      <w:r>
        <w:pict>
          <v:rect id="_x0000_i2627" style="width:0;height:1.5pt" o:hralign="center" o:hrstd="t" o:hr="t" fillcolor="#a0a0a0" stroked="f"/>
        </w:pict>
      </w:r>
    </w:p>
    <w:p w:rsidR="00027411" w:rsidRDefault="00027411" w:rsidP="00027411">
      <w:pPr>
        <w:pStyle w:val="berschrift1"/>
      </w:pPr>
      <w:r>
        <w:t>3.3.43.462 Notwendige Axiomfolgen</w:t>
      </w:r>
    </w:p>
    <w:p w:rsidR="00027411" w:rsidRDefault="00027411" w:rsidP="00027411">
      <w:pPr>
        <w:pStyle w:val="StandardWeb"/>
      </w:pPr>
      <w:r>
        <w:t>Die unmittelbaren notwendigen Folgen von Kandidat D lassen sich daher zusammenfassen als</w:t>
      </w:r>
    </w:p>
    <w:p w:rsidR="00027411" w:rsidRDefault="00027411" w:rsidP="00027411">
      <w:pPr>
        <w:pStyle w:val="StandardWeb"/>
      </w:pPr>
      <w:r>
        <w:t>[</w:t>
      </w:r>
      <w:r>
        <w:br/>
        <w:t>A_C^{(D)}</w:t>
      </w:r>
      <w:r>
        <w:br/>
        <w:t>\Rightarrow</w:t>
      </w:r>
      <w:r>
        <w:br/>
        <w:t>\left[</w:t>
      </w:r>
      <w:r>
        <w:br/>
        <w:t>\Omega_F\neq\varnothing</w:t>
      </w:r>
      <w:r>
        <w:br/>
      </w:r>
      <w:r>
        <w:lastRenderedPageBreak/>
        <w:t>\land</w:t>
      </w:r>
      <w:r>
        <w:br/>
        <w:t>\mathcal S_F\neq\varnothing</w:t>
      </w:r>
      <w:r>
        <w:br/>
        <w:t>\land</w:t>
      </w:r>
      <w:r>
        <w:br/>
        <w:t>\exists\mathcal S_C:</w:t>
      </w:r>
      <w:r>
        <w:br/>
        <w:t>R_F=1</w:t>
      </w:r>
      <w:r>
        <w:br/>
        <w:t>\land</w:t>
      </w:r>
      <w:r>
        <w:br/>
        <w:t>\mathcal C=1</w:t>
      </w:r>
      <w:r>
        <w:br/>
        <w:t>\land</w:t>
      </w:r>
      <w:r>
        <w:br/>
        <w:t>K_F=1</w:t>
      </w:r>
      <w:r>
        <w:br/>
        <w:t>\land</w:t>
      </w:r>
      <w:r>
        <w:br/>
        <w:t>\kappa&gt;0</w:t>
      </w:r>
      <w:r>
        <w:br/>
        <w:t>\right].</w:t>
      </w:r>
      <w:r>
        <w:br/>
        <w:t>\tag{3.9185}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A_C^{(D)}\Rightarrow\left[\Omega_F\neq\varnothing\land\mathcal S_F\neq\varnothing\land\exists\mathcal S_C:R_F=1\land\mathcal C=1\land K_F=1\land\kappa&gt;0\right]</w:t>
      </w:r>
    </w:p>
    <w:p w:rsidR="00027411" w:rsidRDefault="00027411" w:rsidP="00027411">
      <w:pPr>
        <w:pStyle w:val="StandardWeb"/>
      </w:pPr>
      <w:r>
        <w:t>Diese Konsequenzen entsprechen genau dem vorgesehenen wissenschaftlichen Gehalt des Axioms.</w:t>
      </w:r>
    </w:p>
    <w:p w:rsidR="00027411" w:rsidRDefault="00E50336" w:rsidP="00027411">
      <w:r>
        <w:pict>
          <v:rect id="_x0000_i2628" style="width:0;height:1.5pt" o:hralign="center" o:hrstd="t" o:hr="t" fillcolor="#a0a0a0" stroked="f"/>
        </w:pict>
      </w:r>
    </w:p>
    <w:p w:rsidR="00027411" w:rsidRDefault="00027411" w:rsidP="00027411">
      <w:pPr>
        <w:pStyle w:val="berschrift1"/>
      </w:pPr>
      <w:r>
        <w:t>3.3.43.463 Konsequenzradius des Axioms</w:t>
      </w:r>
    </w:p>
    <w:p w:rsidR="00027411" w:rsidRDefault="00027411" w:rsidP="00027411">
      <w:pPr>
        <w:pStyle w:val="StandardWeb"/>
      </w:pPr>
      <w:r>
        <w:t>Ich definiere deshalb einen qualitativen Konsequenzradius</w:t>
      </w:r>
    </w:p>
    <w:p w:rsidR="00027411" w:rsidRDefault="00027411" w:rsidP="00027411">
      <w:pPr>
        <w:pStyle w:val="berschrift1"/>
      </w:pPr>
      <w:r>
        <w:t>[</w:t>
      </w:r>
      <w:r>
        <w:br/>
        <w:t>R_A(A)</w:t>
      </w:r>
    </w:p>
    <w:p w:rsidR="00027411" w:rsidRDefault="00027411" w:rsidP="00027411">
      <w:pPr>
        <w:pStyle w:val="StandardWeb"/>
      </w:pPr>
      <w:r>
        <w:t>\operatorname{Scope}</w:t>
      </w:r>
      <w:r>
        <w:br/>
        <w:t>\left(</w:t>
      </w:r>
      <w:r>
        <w:br/>
        <w:t>\Delta\mathfrak T_A</w:t>
      </w:r>
      <w:r>
        <w:br/>
        <w:t>\right).</w:t>
      </w:r>
      <w:r>
        <w:br/>
        <w:t>\tag{3.9186}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R_A(A)=\operatorname{Scope}\left(\Delta\mathfrak T_A\right)</w:t>
      </w:r>
    </w:p>
    <w:p w:rsidR="00027411" w:rsidRDefault="00027411" w:rsidP="00027411">
      <w:pPr>
        <w:pStyle w:val="StandardWeb"/>
      </w:pPr>
      <w:r>
        <w:t>Ein Primäraxiom mit kleinem Konsequenzradius verändert nur einen eng begrenzten Teil der Theorie.</w:t>
      </w:r>
    </w:p>
    <w:p w:rsidR="00027411" w:rsidRDefault="00E50336" w:rsidP="00027411">
      <w:r>
        <w:pict>
          <v:rect id="_x0000_i2629" style="width:0;height:1.5pt" o:hralign="center" o:hrstd="t" o:hr="t" fillcolor="#a0a0a0" stroked="f"/>
        </w:pict>
      </w:r>
    </w:p>
    <w:p w:rsidR="00027411" w:rsidRDefault="00027411" w:rsidP="00027411">
      <w:pPr>
        <w:pStyle w:val="berschrift1"/>
      </w:pPr>
      <w:r>
        <w:t>3.3.43.464 Konsequenzradius von Kandidat D</w:t>
      </w:r>
    </w:p>
    <w:p w:rsidR="00027411" w:rsidRDefault="00027411" w:rsidP="00027411">
      <w:pPr>
        <w:pStyle w:val="StandardWeb"/>
      </w:pPr>
      <w:r>
        <w:lastRenderedPageBreak/>
        <w:t>Für Kandidat D ergibt die bisherige Prüfung</w:t>
      </w:r>
    </w:p>
    <w:p w:rsidR="00027411" w:rsidRDefault="00027411" w:rsidP="00027411">
      <w:pPr>
        <w:pStyle w:val="berschrift1"/>
      </w:pPr>
      <w:r>
        <w:t>[</w:t>
      </w:r>
      <w:r>
        <w:br/>
        <w:t>R_A</w:t>
      </w:r>
      <w:r>
        <w:br/>
        <w:t>\left(</w:t>
      </w:r>
      <w:r>
        <w:br/>
        <w:t>A_C^{(D)}</w:t>
      </w:r>
      <w:r>
        <w:br/>
        <w:t>\right)</w:t>
      </w:r>
    </w:p>
    <w:p w:rsidR="00027411" w:rsidRDefault="00027411" w:rsidP="00027411">
      <w:pPr>
        <w:pStyle w:val="StandardWeb"/>
      </w:pPr>
      <w:r>
        <w:t>R_A^{\mathrm{local}},</w:t>
      </w:r>
      <w:r>
        <w:br/>
        <w:t>\tag{3.9187}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R_A\left(A_C^{(D)}\right)=R_A^{\mathrm{local}}</w:t>
      </w:r>
    </w:p>
    <w:p w:rsidR="00027411" w:rsidRDefault="00027411" w:rsidP="00027411">
      <w:pPr>
        <w:pStyle w:val="StandardWeb"/>
      </w:pPr>
      <w:r>
        <w:t>wobei „lokal“ hier bedeutet, dass die neuen notwendigen Aussagen im Wesentlichen auf Existenz, Relevanz, Vergleichbarkeit, Konsistenz und positive Kopplung beschränkt bleiben.</w:t>
      </w:r>
    </w:p>
    <w:p w:rsidR="00027411" w:rsidRDefault="00E50336" w:rsidP="00027411">
      <w:r>
        <w:pict>
          <v:rect id="_x0000_i2630" style="width:0;height:1.5pt" o:hralign="center" o:hrstd="t" o:hr="t" fillcolor="#a0a0a0" stroked="f"/>
        </w:pict>
      </w:r>
    </w:p>
    <w:p w:rsidR="00027411" w:rsidRDefault="00027411" w:rsidP="00027411">
      <w:pPr>
        <w:pStyle w:val="berschrift1"/>
      </w:pPr>
      <w:r>
        <w:t>3.3.43.465 Prüfung der axiomatischen Minimalität nach D</w:t>
      </w:r>
    </w:p>
    <w:p w:rsidR="00027411" w:rsidRDefault="00027411" w:rsidP="00027411">
      <w:pPr>
        <w:pStyle w:val="StandardWeb"/>
      </w:pPr>
      <w:r>
        <w:t>Nun kann die Minimalitätsfrage erneut gestellt werden.</w:t>
      </w:r>
    </w:p>
    <w:p w:rsidR="00027411" w:rsidRDefault="00027411" w:rsidP="00027411">
      <w:pPr>
        <w:pStyle w:val="StandardWeb"/>
      </w:pPr>
      <w:r>
        <w:t>Gesucht ist eine Aussage (A'), für die</w:t>
      </w:r>
    </w:p>
    <w:p w:rsidR="00027411" w:rsidRDefault="00027411" w:rsidP="00027411">
      <w:pPr>
        <w:pStyle w:val="StandardWeb"/>
      </w:pPr>
      <w:r>
        <w:t>[</w:t>
      </w:r>
      <w:r>
        <w:br/>
        <w:t>A_C^{(D)}</w:t>
      </w:r>
      <w:r>
        <w:br/>
        <w:t>\Rightarrow</w:t>
      </w:r>
      <w:r>
        <w:br/>
        <w:t>A'</w:t>
      </w:r>
      <w:r>
        <w:br/>
        <w:t>\tag{3.9188}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 A'</w:t>
      </w:r>
    </w:p>
    <w:p w:rsidR="00027411" w:rsidRDefault="00027411" w:rsidP="00027411">
      <w:pPr>
        <w:pStyle w:val="StandardWeb"/>
      </w:pPr>
      <w:r>
        <w:t>gilt und die denselben konstitutiven Zweck erfüllt, ohne funktional irrelevante Marginalkohärenz zuzulassen.</w:t>
      </w:r>
    </w:p>
    <w:p w:rsidR="00027411" w:rsidRDefault="00E50336" w:rsidP="00027411">
      <w:r>
        <w:pict>
          <v:rect id="_x0000_i2631" style="width:0;height:1.5pt" o:hralign="center" o:hrstd="t" o:hr="t" fillcolor="#a0a0a0" stroked="f"/>
        </w:pict>
      </w:r>
    </w:p>
    <w:p w:rsidR="00027411" w:rsidRDefault="00027411" w:rsidP="00027411">
      <w:pPr>
        <w:pStyle w:val="berschrift1"/>
      </w:pPr>
      <w:r>
        <w:t>3.3.43.466 Rückkehr zu Kandidat A</w:t>
      </w:r>
    </w:p>
    <w:p w:rsidR="00027411" w:rsidRDefault="00027411" w:rsidP="00027411">
      <w:pPr>
        <w:pStyle w:val="StandardWeb"/>
      </w:pPr>
      <w:r>
        <w:lastRenderedPageBreak/>
        <w:t>Der schwächere Kandidat A</w:t>
      </w:r>
    </w:p>
    <w:p w:rsidR="00027411" w:rsidRDefault="00027411" w:rsidP="00027411">
      <w:pPr>
        <w:pStyle w:val="StandardWeb"/>
      </w:pPr>
      <w:r>
        <w:t>[</w:t>
      </w:r>
      <w:r>
        <w:br/>
        <w:t>A_C^{(A)}</w:t>
      </w:r>
      <w:r>
        <w:br/>
        <w:t>:</w:t>
      </w:r>
      <w:r>
        <w:br/>
        <w:t>\exists(X_i,X_j,z):</w:t>
      </w:r>
      <w:r>
        <w:br/>
        <w:t>C_F(X_i,X_j;z)&gt;0</w:t>
      </w:r>
      <w:r>
        <w:br/>
        <w:t>\tag{3.9189}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A_C^{(A)}:\exists(X_i,X_j,z):C_F(X_i,X_j;z)&gt;0</w:t>
      </w:r>
    </w:p>
    <w:p w:rsidR="00027411" w:rsidRDefault="00027411" w:rsidP="00027411">
      <w:pPr>
        <w:pStyle w:val="StandardWeb"/>
      </w:pPr>
      <w:r>
        <w:t>erfüllt diese Forderung nicht vollständig, da positive Kohärenz funktional irrelevant sein kann.</w:t>
      </w:r>
    </w:p>
    <w:p w:rsidR="00027411" w:rsidRDefault="00E50336" w:rsidP="00027411">
      <w:r>
        <w:pict>
          <v:rect id="_x0000_i2632" style="width:0;height:1.5pt" o:hralign="center" o:hrstd="t" o:hr="t" fillcolor="#a0a0a0" stroked="f"/>
        </w:pict>
      </w:r>
    </w:p>
    <w:p w:rsidR="00027411" w:rsidRDefault="00027411" w:rsidP="00027411">
      <w:pPr>
        <w:pStyle w:val="berschrift1"/>
      </w:pPr>
      <w:r>
        <w:t>3.3.43.467 Minimalitätsuntergrenze</w:t>
      </w:r>
    </w:p>
    <w:p w:rsidR="00027411" w:rsidRDefault="00027411" w:rsidP="00027411">
      <w:pPr>
        <w:pStyle w:val="StandardWeb"/>
      </w:pPr>
      <w:r>
        <w:t>Kandidat D enthält damit genau eine gegenüber Kandidat A zusätzliche semantische Forderung:</w:t>
      </w:r>
    </w:p>
    <w:p w:rsidR="00027411" w:rsidRDefault="00027411" w:rsidP="00027411">
      <w:pPr>
        <w:pStyle w:val="StandardWeb"/>
      </w:pPr>
      <w:r>
        <w:t>[</w:t>
      </w:r>
      <w:r>
        <w:br/>
        <w:t>R_F(\mathcal S_C)=1.</w:t>
      </w:r>
      <w:r>
        <w:br/>
        <w:t>\tag{3.9190}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R_F(\mathcal S_C)=1</w:t>
      </w:r>
    </w:p>
    <w:p w:rsidR="00027411" w:rsidRDefault="00027411" w:rsidP="00027411">
      <w:pPr>
        <w:pStyle w:val="StandardWeb"/>
      </w:pPr>
      <w:r>
        <w:t>Diese Zusatzbedingung verhindert, dass das Primäraxiom bereits durch eine bedeutungslose Nebenrelation erfüllt wird.</w:t>
      </w:r>
    </w:p>
    <w:p w:rsidR="00027411" w:rsidRDefault="00E50336" w:rsidP="00027411">
      <w:r>
        <w:pict>
          <v:rect id="_x0000_i2633" style="width:0;height:1.5pt" o:hralign="center" o:hrstd="t" o:hr="t" fillcolor="#a0a0a0" stroked="f"/>
        </w:pict>
      </w:r>
    </w:p>
    <w:p w:rsidR="00027411" w:rsidRDefault="00027411" w:rsidP="00027411">
      <w:pPr>
        <w:pStyle w:val="berschrift1"/>
      </w:pPr>
      <w:r>
        <w:t>3.3.43.468 Entfernen der Relevanzbedingung</w:t>
      </w:r>
    </w:p>
    <w:p w:rsidR="00027411" w:rsidRDefault="00027411" w:rsidP="00027411">
      <w:pPr>
        <w:pStyle w:val="StandardWeb"/>
      </w:pPr>
      <w:r>
        <w:t>Entferne ich die Relevanzbedingung, erhalte ich wieder</w:t>
      </w:r>
    </w:p>
    <w:p w:rsidR="00027411" w:rsidRDefault="00027411" w:rsidP="00027411">
      <w:pPr>
        <w:pStyle w:val="StandardWeb"/>
      </w:pPr>
      <w:r>
        <w:t>[</w:t>
      </w:r>
      <w:r>
        <w:br/>
        <w:t>A_C^{(D)}</w:t>
      </w:r>
      <w:r>
        <w:br/>
        <w:t>\setminus</w:t>
      </w:r>
      <w:r>
        <w:br/>
        <w:t>R_F</w:t>
      </w:r>
      <w:r>
        <w:br/>
        <w:t>\equiv</w:t>
      </w:r>
      <w:r>
        <w:br/>
        <w:t>A_C^{(A)}</w:t>
      </w:r>
      <w:r>
        <w:br/>
        <w:t>\tag{3.9191}</w:t>
      </w:r>
      <w:r>
        <w:br/>
        <w:t>]</w:t>
      </w:r>
    </w:p>
    <w:p w:rsidR="00027411" w:rsidRDefault="00027411" w:rsidP="00027411">
      <w:pPr>
        <w:pStyle w:val="StandardWeb"/>
      </w:pPr>
      <w:r>
        <w:rPr>
          <w:rStyle w:val="Fett"/>
        </w:rPr>
        <w:lastRenderedPageBreak/>
        <w:t>Word-LaTeX</w:t>
      </w:r>
    </w:p>
    <w:p w:rsidR="00027411" w:rsidRDefault="00027411" w:rsidP="00027411">
      <w:pPr>
        <w:pStyle w:val="HTMLVorformatiert"/>
        <w:rPr>
          <w:rStyle w:val="HTMLCode"/>
        </w:rPr>
      </w:pPr>
      <w:r>
        <w:rPr>
          <w:rStyle w:val="HTMLCode"/>
        </w:rPr>
        <w:t>A_C^{(D)}\setminus R_F\equiv A_C^{(A)}</w:t>
      </w:r>
    </w:p>
    <w:p w:rsidR="00027411" w:rsidRDefault="00027411" w:rsidP="00027411">
      <w:pPr>
        <w:pStyle w:val="StandardWeb"/>
      </w:pPr>
      <w:r>
        <w:t>und damit das bereits identifizierte Marginalkohärenzproblem.</w:t>
      </w:r>
    </w:p>
    <w:p w:rsidR="00027411" w:rsidRDefault="00E50336" w:rsidP="00027411">
      <w:r>
        <w:pict>
          <v:rect id="_x0000_i2634" style="width:0;height:1.5pt" o:hralign="center" o:hrstd="t" o:hr="t" fillcolor="#a0a0a0" stroked="f"/>
        </w:pict>
      </w:r>
    </w:p>
    <w:p w:rsidR="00027411" w:rsidRDefault="00027411" w:rsidP="00027411">
      <w:pPr>
        <w:pStyle w:val="berschrift1"/>
      </w:pPr>
      <w:r>
        <w:t>3.3.43.469 Entfernen der Kohärenzbedingung</w:t>
      </w:r>
    </w:p>
    <w:p w:rsidR="00027411" w:rsidRDefault="00027411" w:rsidP="00027411">
      <w:pPr>
        <w:pStyle w:val="StandardWeb"/>
      </w:pPr>
      <w:r>
        <w:t>Entferne ich dagegen (C_F&gt;0), verbleibt lediglich</w:t>
      </w:r>
    </w:p>
    <w:p w:rsidR="00027411" w:rsidRDefault="00027411" w:rsidP="00027411">
      <w:pPr>
        <w:pStyle w:val="StandardWeb"/>
      </w:pPr>
      <w:r>
        <w:t>[</w:t>
      </w:r>
      <w:r>
        <w:br/>
        <w:t>\exists\mathcal S_C:</w:t>
      </w:r>
      <w:r>
        <w:br/>
        <w:t>R_F(\mathcal S_C)=1.</w:t>
      </w:r>
      <w:r>
        <w:br/>
        <w:t>\tag{3.9192}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\exists\mathcal S_C:R_F(\mathcal S_C)=1</w:t>
      </w:r>
    </w:p>
    <w:p w:rsidR="00027411" w:rsidRDefault="00027411" w:rsidP="00027411">
      <w:pPr>
        <w:pStyle w:val="StandardWeb"/>
      </w:pPr>
      <w:r>
        <w:t>Dies garantiert keine Kohärenz und genügt daher nicht für den konstitutiven Zweck.</w:t>
      </w:r>
    </w:p>
    <w:p w:rsidR="00027411" w:rsidRDefault="00E50336" w:rsidP="00027411">
      <w:r>
        <w:pict>
          <v:rect id="_x0000_i2635" style="width:0;height:1.5pt" o:hralign="center" o:hrstd="t" o:hr="t" fillcolor="#a0a0a0" stroked="f"/>
        </w:pict>
      </w:r>
    </w:p>
    <w:p w:rsidR="00027411" w:rsidRDefault="00027411" w:rsidP="00027411">
      <w:pPr>
        <w:pStyle w:val="berschrift1"/>
      </w:pPr>
      <w:r>
        <w:t>3.3.43.470 Entfernen des Existenzquantors über Zustände</w:t>
      </w:r>
    </w:p>
    <w:p w:rsidR="00027411" w:rsidRDefault="00027411" w:rsidP="00027411">
      <w:pPr>
        <w:pStyle w:val="StandardWeb"/>
      </w:pPr>
      <w:r>
        <w:t>Ohne einen existierenden Zustand würde die Aussage</w:t>
      </w:r>
    </w:p>
    <w:p w:rsidR="00027411" w:rsidRDefault="00027411" w:rsidP="00027411">
      <w:pPr>
        <w:pStyle w:val="StandardWeb"/>
      </w:pPr>
      <w:r>
        <w:t>[</w:t>
      </w:r>
      <w:r>
        <w:br/>
        <w:t>\exists\mathcal S_C:</w:t>
      </w:r>
      <w:r>
        <w:br/>
        <w:t>R_F=1</w:t>
      </w:r>
      <w:r>
        <w:br/>
        <w:t>\land</w:t>
      </w:r>
      <w:r>
        <w:br/>
        <w:t>C_F&gt;0</w:t>
      </w:r>
      <w:r>
        <w:br/>
        <w:t>\tag{3.9193}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\exists\mathcal S_C:R_F=1\land C_F&gt;0</w:t>
      </w:r>
    </w:p>
    <w:p w:rsidR="00027411" w:rsidRDefault="00027411" w:rsidP="00027411">
      <w:pPr>
        <w:pStyle w:val="StandardWeb"/>
      </w:pPr>
      <w:r>
        <w:t>ihre Zustandsabhängigkeit verlieren und wäre mit der zuvor eingeführten lokalen Kohärenzdefinition weniger präzise verbunden.</w:t>
      </w:r>
    </w:p>
    <w:p w:rsidR="00027411" w:rsidRDefault="00E50336" w:rsidP="00027411">
      <w:r>
        <w:pict>
          <v:rect id="_x0000_i2636" style="width:0;height:1.5pt" o:hralign="center" o:hrstd="t" o:hr="t" fillcolor="#a0a0a0" stroked="f"/>
        </w:pict>
      </w:r>
    </w:p>
    <w:p w:rsidR="00027411" w:rsidRDefault="00027411" w:rsidP="00027411">
      <w:pPr>
        <w:pStyle w:val="berschrift1"/>
      </w:pPr>
      <w:r>
        <w:t>3.3.43.471 Entfernen des Teilstrukturquantors</w:t>
      </w:r>
    </w:p>
    <w:p w:rsidR="00027411" w:rsidRDefault="00027411" w:rsidP="00027411">
      <w:pPr>
        <w:pStyle w:val="StandardWeb"/>
      </w:pPr>
      <w:r>
        <w:lastRenderedPageBreak/>
        <w:t>Würde ich stattdessen unmittelbar fordern</w:t>
      </w:r>
    </w:p>
    <w:p w:rsidR="00027411" w:rsidRDefault="00027411" w:rsidP="00027411">
      <w:pPr>
        <w:pStyle w:val="StandardWeb"/>
      </w:pPr>
      <w:r>
        <w:t>[</w:t>
      </w:r>
      <w:r>
        <w:br/>
        <w:t>C_F(\mathcal S_F)&gt;0,</w:t>
      </w:r>
      <w:r>
        <w:br/>
        <w:t>\tag{3.9194}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C_F(\mathcal S_F)&gt;0</w:t>
      </w:r>
    </w:p>
    <w:p w:rsidR="00027411" w:rsidRDefault="00027411" w:rsidP="00027411">
      <w:pPr>
        <w:pStyle w:val="StandardWeb"/>
      </w:pPr>
      <w:r>
        <w:t>würde das Axiom stärker, weil die gesamte Systemstruktur positiv kohärent sein müsste.</w:t>
      </w:r>
    </w:p>
    <w:p w:rsidR="00027411" w:rsidRDefault="00027411" w:rsidP="00027411">
      <w:pPr>
        <w:pStyle w:val="StandardWeb"/>
      </w:pPr>
      <w:r>
        <w:t>Diese Verschärfung ist nicht erforderlich.</w:t>
      </w:r>
    </w:p>
    <w:p w:rsidR="00027411" w:rsidRDefault="00E50336" w:rsidP="00027411">
      <w:r>
        <w:pict>
          <v:rect id="_x0000_i2637" style="width:0;height:1.5pt" o:hralign="center" o:hrstd="t" o:hr="t" fillcolor="#a0a0a0" stroked="f"/>
        </w:pict>
      </w:r>
    </w:p>
    <w:p w:rsidR="00027411" w:rsidRDefault="00027411" w:rsidP="00027411">
      <w:pPr>
        <w:pStyle w:val="berschrift1"/>
      </w:pPr>
      <w:r>
        <w:t>3.3.43.472 Irreduzibilität von Kandidat D</w:t>
      </w:r>
    </w:p>
    <w:p w:rsidR="00027411" w:rsidRDefault="00027411" w:rsidP="00027411">
      <w:pPr>
        <w:pStyle w:val="StandardWeb"/>
      </w:pPr>
      <w:r>
        <w:t>Damit ist jede zentrale Komponente von Kandidat D funktional notwendig:</w:t>
      </w:r>
    </w:p>
    <w:p w:rsidR="00027411" w:rsidRDefault="00027411" w:rsidP="00027411">
      <w:pPr>
        <w:pStyle w:val="berschrift1"/>
      </w:pPr>
      <w:r>
        <w:t>[</w:t>
      </w:r>
      <w:r>
        <w:br/>
        <w:t>A_C^{(D)}</w:t>
      </w:r>
    </w:p>
    <w:p w:rsidR="00027411" w:rsidRDefault="00027411" w:rsidP="00027411">
      <w:pPr>
        <w:pStyle w:val="StandardWeb"/>
      </w:pPr>
      <w:r>
        <w:t>\left[</w:t>
      </w:r>
      <w:r>
        <w:br/>
        <w:t>\exists z</w:t>
      </w:r>
      <w:r>
        <w:br/>
        <w:t>\right]</w:t>
      </w:r>
      <w:r>
        <w:br/>
        <w:t>+</w:t>
      </w:r>
      <w:r>
        <w:br/>
        <w:t>\left[</w:t>
      </w:r>
      <w:r>
        <w:br/>
        <w:t>\exists\mathcal S_C</w:t>
      </w:r>
      <w:r>
        <w:br/>
        <w:t>\right]</w:t>
      </w:r>
      <w:r>
        <w:br/>
        <w:t>+</w:t>
      </w:r>
      <w:r>
        <w:br/>
        <w:t>\left[</w:t>
      </w:r>
      <w:r>
        <w:br/>
        <w:t>R_F=1</w:t>
      </w:r>
      <w:r>
        <w:br/>
        <w:t>\right]</w:t>
      </w:r>
      <w:r>
        <w:br/>
        <w:t>+</w:t>
      </w:r>
      <w:r>
        <w:br/>
        <w:t>\left[</w:t>
      </w:r>
      <w:r>
        <w:br/>
        <w:t>C_F&gt;0</w:t>
      </w:r>
      <w:r>
        <w:br/>
        <w:t>\right].</w:t>
      </w:r>
      <w:r>
        <w:br/>
        <w:t>\tag{3.9195}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A_C^{(D)}=\left[\exists z\right]+\left[\exists\mathcal S_C\right]+\left[R_F=1\right]+\left[C_F&gt;0\right]</w:t>
      </w:r>
    </w:p>
    <w:p w:rsidR="00027411" w:rsidRDefault="00027411" w:rsidP="00027411">
      <w:pPr>
        <w:pStyle w:val="StandardWeb"/>
      </w:pPr>
      <w:r>
        <w:t>Das Pluszeichen kennzeichnet hier erneut die logische Zusammensetzung und keine arithmetische Addition.</w:t>
      </w:r>
    </w:p>
    <w:p w:rsidR="00027411" w:rsidRDefault="00E50336" w:rsidP="00027411">
      <w:r>
        <w:lastRenderedPageBreak/>
        <w:pict>
          <v:rect id="_x0000_i2638" style="width:0;height:1.5pt" o:hralign="center" o:hrstd="t" o:hr="t" fillcolor="#a0a0a0" stroked="f"/>
        </w:pict>
      </w:r>
    </w:p>
    <w:p w:rsidR="00027411" w:rsidRDefault="00027411" w:rsidP="00027411">
      <w:pPr>
        <w:pStyle w:val="berschrift1"/>
      </w:pPr>
      <w:r>
        <w:t>3.3.43.473 Minimalitätsstatus</w:t>
      </w:r>
    </w:p>
    <w:p w:rsidR="00027411" w:rsidRDefault="00027411" w:rsidP="00027411">
      <w:pPr>
        <w:pStyle w:val="StandardWeb"/>
      </w:pPr>
      <w:r>
        <w:t>Ich setze daher</w:t>
      </w:r>
    </w:p>
    <w:p w:rsidR="00027411" w:rsidRDefault="00027411" w:rsidP="00027411">
      <w:pPr>
        <w:pStyle w:val="berschrift1"/>
      </w:pPr>
      <w:r>
        <w:t>[</w:t>
      </w:r>
      <w:r>
        <w:br/>
        <w:t>M_A</w:t>
      </w:r>
      <w:r>
        <w:br/>
        <w:t>\left(</w:t>
      </w:r>
      <w:r>
        <w:br/>
        <w:t>A_C^{(D)}</w:t>
      </w:r>
      <w:r>
        <w:br/>
        <w:t>\right)</w:t>
      </w:r>
    </w:p>
    <w:p w:rsidR="00027411" w:rsidRDefault="00027411" w:rsidP="004C5510">
      <w:pPr>
        <w:numPr>
          <w:ilvl w:val="0"/>
          <w:numId w:val="422"/>
        </w:numPr>
        <w:spacing w:before="100" w:beforeAutospacing="1" w:after="100" w:afterAutospacing="1"/>
      </w:pPr>
    </w:p>
    <w:p w:rsidR="00027411" w:rsidRDefault="00027411" w:rsidP="00027411">
      <w:pPr>
        <w:pStyle w:val="StandardWeb"/>
      </w:pPr>
      <w:r>
        <w:t>\tag{3.9196}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M_A\left(A_C^{(D)}\right)=1</w:t>
      </w:r>
    </w:p>
    <w:p w:rsidR="00027411" w:rsidRDefault="00027411" w:rsidP="00027411">
      <w:pPr>
        <w:pStyle w:val="StandardWeb"/>
      </w:pPr>
      <w:r>
        <w:t>Kandidat D erfüllt damit auch die Minimalitätsanforderung innerhalb des hier gewählten wissenschaftlichen Zwecks.</w:t>
      </w:r>
    </w:p>
    <w:p w:rsidR="00027411" w:rsidRDefault="00E50336" w:rsidP="00027411">
      <w:r>
        <w:pict>
          <v:rect id="_x0000_i2639" style="width:0;height:1.5pt" o:hralign="center" o:hrstd="t" o:hr="t" fillcolor="#a0a0a0" stroked="f"/>
        </w:pict>
      </w:r>
    </w:p>
    <w:p w:rsidR="00027411" w:rsidRDefault="00027411" w:rsidP="00027411">
      <w:pPr>
        <w:pStyle w:val="berschrift1"/>
      </w:pPr>
      <w:r>
        <w:t>3.3.43.474 Prüfung auf empirische Offenheit</w:t>
      </w:r>
    </w:p>
    <w:p w:rsidR="00027411" w:rsidRDefault="00027411" w:rsidP="00027411">
      <w:pPr>
        <w:pStyle w:val="StandardWeb"/>
      </w:pPr>
      <w:r>
        <w:t>Ein Primäraxiom des FRZK soll keine konkreten empirischen Werte vorwegnehmen.</w:t>
      </w:r>
    </w:p>
    <w:p w:rsidR="00027411" w:rsidRDefault="00027411" w:rsidP="00027411">
      <w:pPr>
        <w:pStyle w:val="StandardWeb"/>
      </w:pPr>
      <w:r>
        <w:t>Kandidat D enthält keinen bestimmten Kohärenzwert</w:t>
      </w:r>
    </w:p>
    <w:p w:rsidR="00027411" w:rsidRDefault="00027411" w:rsidP="00027411">
      <w:pPr>
        <w:pStyle w:val="StandardWeb"/>
      </w:pPr>
      <w:r>
        <w:t>[</w:t>
      </w:r>
      <w:r>
        <w:br/>
        <w:t>C_0</w:t>
      </w:r>
      <w:r>
        <w:br/>
        <w:t>\tag{3.9197}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C_0</w:t>
      </w:r>
    </w:p>
    <w:p w:rsidR="00027411" w:rsidRDefault="00027411" w:rsidP="00027411">
      <w:pPr>
        <w:pStyle w:val="StandardWeb"/>
      </w:pPr>
      <w:r>
        <w:t>und keine konkrete Mindestschwelle</w:t>
      </w:r>
    </w:p>
    <w:p w:rsidR="00027411" w:rsidRDefault="00027411" w:rsidP="00027411">
      <w:pPr>
        <w:pStyle w:val="StandardWeb"/>
      </w:pPr>
      <w:r>
        <w:t>[</w:t>
      </w:r>
      <w:r>
        <w:br/>
        <w:t>\tau_C.</w:t>
      </w:r>
      <w:r>
        <w:br/>
        <w:t>\tag{3.9198}</w:t>
      </w:r>
      <w:r>
        <w:br/>
        <w:t>]</w:t>
      </w:r>
    </w:p>
    <w:p w:rsidR="00027411" w:rsidRDefault="00027411" w:rsidP="00027411">
      <w:pPr>
        <w:pStyle w:val="StandardWeb"/>
      </w:pPr>
      <w:r>
        <w:rPr>
          <w:rStyle w:val="Fett"/>
        </w:rPr>
        <w:lastRenderedPageBreak/>
        <w:t>Word-LaTeX</w:t>
      </w:r>
    </w:p>
    <w:p w:rsidR="00027411" w:rsidRDefault="00027411" w:rsidP="00027411">
      <w:pPr>
        <w:pStyle w:val="HTMLVorformatiert"/>
        <w:rPr>
          <w:rStyle w:val="HTMLCode"/>
        </w:rPr>
      </w:pPr>
      <w:r>
        <w:rPr>
          <w:rStyle w:val="HTMLCode"/>
        </w:rPr>
        <w:t>\tau_C</w:t>
      </w:r>
    </w:p>
    <w:p w:rsidR="00027411" w:rsidRDefault="00027411" w:rsidP="00027411">
      <w:pPr>
        <w:pStyle w:val="StandardWeb"/>
      </w:pPr>
      <w:r>
        <w:t>Es wird lediglich Positivität verlangt.</w:t>
      </w:r>
    </w:p>
    <w:p w:rsidR="00027411" w:rsidRDefault="00E50336" w:rsidP="00027411">
      <w:r>
        <w:pict>
          <v:rect id="_x0000_i2640" style="width:0;height:1.5pt" o:hralign="center" o:hrstd="t" o:hr="t" fillcolor="#a0a0a0" stroked="f"/>
        </w:pict>
      </w:r>
    </w:p>
    <w:p w:rsidR="00027411" w:rsidRDefault="00027411" w:rsidP="00027411">
      <w:pPr>
        <w:pStyle w:val="berschrift1"/>
      </w:pPr>
      <w:r>
        <w:t>3.3.43.475 Keine spezifische Messmethode</w:t>
      </w:r>
    </w:p>
    <w:p w:rsidR="00027411" w:rsidRDefault="00027411" w:rsidP="00027411">
      <w:pPr>
        <w:pStyle w:val="StandardWeb"/>
      </w:pPr>
      <w:r>
        <w:t>Ebenso enthält Kandidat D keine bestimmte Operationalisierung</w:t>
      </w:r>
    </w:p>
    <w:p w:rsidR="00027411" w:rsidRDefault="00027411" w:rsidP="00027411">
      <w:pPr>
        <w:pStyle w:val="StandardWeb"/>
      </w:pPr>
      <w:r>
        <w:t>[</w:t>
      </w:r>
      <w:r>
        <w:br/>
        <w:t>\mathcal O_C^{\ast}.</w:t>
      </w:r>
      <w:r>
        <w:br/>
        <w:t>\tag{3.9199}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O_C^{\ast}</w:t>
      </w:r>
    </w:p>
    <w:p w:rsidR="00027411" w:rsidRDefault="00027411" w:rsidP="00027411">
      <w:pPr>
        <w:pStyle w:val="StandardWeb"/>
      </w:pPr>
      <w:r>
        <w:t>Daraus folgt</w:t>
      </w:r>
    </w:p>
    <w:p w:rsidR="00027411" w:rsidRDefault="00027411" w:rsidP="00027411">
      <w:pPr>
        <w:pStyle w:val="StandardWeb"/>
      </w:pPr>
      <w:r>
        <w:t>[</w:t>
      </w:r>
      <w:r>
        <w:br/>
        <w:t>A_C^{(D)}</w:t>
      </w:r>
      <w:r>
        <w:br/>
        <w:t>\nRightarrow</w:t>
      </w:r>
      <w:r>
        <w:br/>
        <w:t>\mathcal O_C=\mathcal O_C^{\ast}.</w:t>
      </w:r>
      <w:r>
        <w:br/>
        <w:t>\tag{3.9200}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A_C^{(D)}\nRightarrow\mathcal O_C=\mathcal O_C^{\ast}</w:t>
      </w:r>
    </w:p>
    <w:p w:rsidR="00027411" w:rsidRDefault="00E50336" w:rsidP="00027411">
      <w:r>
        <w:pict>
          <v:rect id="_x0000_i2641" style="width:0;height:1.5pt" o:hralign="center" o:hrstd="t" o:hr="t" fillcolor="#a0a0a0" stroked="f"/>
        </w:pict>
      </w:r>
    </w:p>
    <w:p w:rsidR="00027411" w:rsidRDefault="00027411" w:rsidP="00027411">
      <w:pPr>
        <w:pStyle w:val="berschrift1"/>
      </w:pPr>
      <w:r>
        <w:t>3.3.43.476 Keine Festlegung eines empirischen Indikators</w:t>
      </w:r>
    </w:p>
    <w:p w:rsidR="00027411" w:rsidRDefault="00027411" w:rsidP="00027411">
      <w:pPr>
        <w:pStyle w:val="StandardWeb"/>
      </w:pPr>
      <w:r>
        <w:t>Insbesondere fordert das Axiom nicht</w:t>
      </w:r>
    </w:p>
    <w:p w:rsidR="00027411" w:rsidRDefault="00027411" w:rsidP="00027411">
      <w:pPr>
        <w:pStyle w:val="StandardWeb"/>
      </w:pPr>
      <w:r>
        <w:t>[</w:t>
      </w:r>
      <w:r>
        <w:br/>
        <w:t>\rho\neq0,</w:t>
      </w:r>
      <w:r>
        <w:br/>
        <w:t>\tag{3.9201}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\rho\neq0</w:t>
      </w:r>
    </w:p>
    <w:p w:rsidR="00027411" w:rsidRDefault="00027411" w:rsidP="00027411">
      <w:pPr>
        <w:pStyle w:val="StandardWeb"/>
      </w:pPr>
      <w:r>
        <w:t>nicht</w:t>
      </w:r>
    </w:p>
    <w:p w:rsidR="00027411" w:rsidRDefault="00027411" w:rsidP="00027411">
      <w:pPr>
        <w:pStyle w:val="StandardWeb"/>
      </w:pPr>
      <w:r>
        <w:lastRenderedPageBreak/>
        <w:t>[</w:t>
      </w:r>
      <w:r>
        <w:br/>
        <w:t>R_{\mathrm{sync}}&gt;0,</w:t>
      </w:r>
      <w:r>
        <w:br/>
        <w:t>\tag{3.9202}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R_{\mathrm{sync}}&gt;0</w:t>
      </w:r>
    </w:p>
    <w:p w:rsidR="00027411" w:rsidRDefault="00027411" w:rsidP="00027411">
      <w:pPr>
        <w:pStyle w:val="StandardWeb"/>
      </w:pPr>
      <w:r>
        <w:t>und nicht</w:t>
      </w:r>
    </w:p>
    <w:p w:rsidR="00027411" w:rsidRDefault="00027411" w:rsidP="00027411">
      <w:pPr>
        <w:pStyle w:val="StandardWeb"/>
      </w:pPr>
      <w:r>
        <w:t>[</w:t>
      </w:r>
      <w:r>
        <w:br/>
        <w:t>I_{i\rightarrow j}&gt;0.</w:t>
      </w:r>
      <w:r>
        <w:br/>
        <w:t>\tag{3.9203}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I_{i\rightarrow j}&gt;0</w:t>
      </w:r>
    </w:p>
    <w:p w:rsidR="00027411" w:rsidRDefault="00027411" w:rsidP="00027411">
      <w:pPr>
        <w:pStyle w:val="StandardWeb"/>
      </w:pPr>
      <w:r>
        <w:t>Damit bleibt die spätere empirische Operationalisierung offen.</w:t>
      </w:r>
    </w:p>
    <w:p w:rsidR="00027411" w:rsidRDefault="00E50336" w:rsidP="00027411">
      <w:r>
        <w:pict>
          <v:rect id="_x0000_i2642" style="width:0;height:1.5pt" o:hralign="center" o:hrstd="t" o:hr="t" fillcolor="#a0a0a0" stroked="f"/>
        </w:pict>
      </w:r>
    </w:p>
    <w:p w:rsidR="00027411" w:rsidRDefault="00027411" w:rsidP="00027411">
      <w:pPr>
        <w:pStyle w:val="berschrift1"/>
      </w:pPr>
      <w:r>
        <w:t>3.3.43.477 Empirische Falsifizierbarkeit auf Modellebene</w:t>
      </w:r>
    </w:p>
    <w:p w:rsidR="00027411" w:rsidRDefault="00027411" w:rsidP="00027411">
      <w:pPr>
        <w:pStyle w:val="StandardWeb"/>
      </w:pPr>
      <w:r>
        <w:t>Trotz seiner Abstraktheit besitzt Kandidat D eine prinzipiell prüfbare Negation.</w:t>
      </w:r>
    </w:p>
    <w:p w:rsidR="00027411" w:rsidRDefault="00027411" w:rsidP="00027411">
      <w:pPr>
        <w:pStyle w:val="StandardWeb"/>
      </w:pPr>
      <w:r>
        <w:t>Ein konkretes FRZK-Modell wäre mit Kandidat D unvereinbar, wenn nach vollständiger Operationalisierung für sämtliche funktional relevanten Teilstrukturen</w:t>
      </w:r>
    </w:p>
    <w:p w:rsidR="00027411" w:rsidRDefault="00027411" w:rsidP="00027411">
      <w:pPr>
        <w:pStyle w:val="StandardWeb"/>
      </w:pPr>
      <w:r>
        <w:t>[</w:t>
      </w:r>
      <w:r>
        <w:br/>
        <w:t>C_F(\mathcal S;z)=0</w:t>
      </w:r>
      <w:r>
        <w:br/>
        <w:t>\tag{3.9204}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C_F(\mathcal S;z)=0</w:t>
      </w:r>
    </w:p>
    <w:p w:rsidR="00027411" w:rsidRDefault="00027411" w:rsidP="00027411">
      <w:pPr>
        <w:pStyle w:val="StandardWeb"/>
      </w:pPr>
      <w:r>
        <w:t>für alle zulässigen Zustände gefunden würde.</w:t>
      </w:r>
    </w:p>
    <w:p w:rsidR="00027411" w:rsidRDefault="00E50336" w:rsidP="00027411">
      <w:r>
        <w:pict>
          <v:rect id="_x0000_i2643" style="width:0;height:1.5pt" o:hralign="center" o:hrstd="t" o:hr="t" fillcolor="#a0a0a0" stroked="f"/>
        </w:pict>
      </w:r>
    </w:p>
    <w:p w:rsidR="00027411" w:rsidRDefault="00027411" w:rsidP="00027411">
      <w:pPr>
        <w:pStyle w:val="berschrift1"/>
      </w:pPr>
      <w:r>
        <w:t>3.3.43.478 Axiom versus empirischer Einzelbefund</w:t>
      </w:r>
    </w:p>
    <w:p w:rsidR="00027411" w:rsidRDefault="00027411" w:rsidP="00027411">
      <w:pPr>
        <w:pStyle w:val="StandardWeb"/>
      </w:pPr>
      <w:r>
        <w:t>Ein einzelner gemessener Nullwert genügt jedoch nicht zur Widerlegung:</w:t>
      </w:r>
    </w:p>
    <w:p w:rsidR="00027411" w:rsidRDefault="00027411" w:rsidP="00027411">
      <w:pPr>
        <w:pStyle w:val="StandardWeb"/>
      </w:pPr>
      <w:r>
        <w:lastRenderedPageBreak/>
        <w:t>[</w:t>
      </w:r>
      <w:r>
        <w:br/>
        <w:t>C_F(\mathcal S_1;z_1)=0</w:t>
      </w:r>
      <w:r>
        <w:br/>
        <w:t>\nRightarrow</w:t>
      </w:r>
      <w:r>
        <w:br/>
        <w:t>\neg A_C^{(D)}.</w:t>
      </w:r>
      <w:r>
        <w:br/>
        <w:t>\tag{3.9205}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C_F(\mathcal S_1;z_1)=0\nRightarrow\neg A_C^{(D)}</w:t>
      </w:r>
    </w:p>
    <w:p w:rsidR="00027411" w:rsidRDefault="00027411" w:rsidP="00027411">
      <w:pPr>
        <w:pStyle w:val="StandardWeb"/>
      </w:pPr>
      <w:r>
        <w:t>Die Negation des Axioms erfordert die wesentlich stärkere universelle Aussage über sämtliche relevanten Teilstrukturen und zulässigen Zustände.</w:t>
      </w:r>
    </w:p>
    <w:p w:rsidR="00027411" w:rsidRDefault="00E50336" w:rsidP="00027411">
      <w:r>
        <w:pict>
          <v:rect id="_x0000_i2644" style="width:0;height:1.5pt" o:hralign="center" o:hrstd="t" o:hr="t" fillcolor="#a0a0a0" stroked="f"/>
        </w:pict>
      </w:r>
    </w:p>
    <w:p w:rsidR="00027411" w:rsidRDefault="00027411" w:rsidP="00027411">
      <w:pPr>
        <w:pStyle w:val="berschrift1"/>
      </w:pPr>
      <w:r>
        <w:t>3.3.43.479 Quantorstruktur der Widerlegung</w:t>
      </w:r>
    </w:p>
    <w:p w:rsidR="00027411" w:rsidRDefault="00027411" w:rsidP="00027411">
      <w:pPr>
        <w:pStyle w:val="StandardWeb"/>
      </w:pPr>
      <w:r>
        <w:t>Formal lautet die Widerlegungsbedingung</w:t>
      </w:r>
    </w:p>
    <w:p w:rsidR="00027411" w:rsidRDefault="00027411" w:rsidP="00027411">
      <w:pPr>
        <w:pStyle w:val="StandardWeb"/>
      </w:pPr>
      <w:r>
        <w:t>[</w:t>
      </w:r>
      <w:r>
        <w:br/>
        <w:t>\forall z\in\Omega_F</w:t>
      </w:r>
      <w:r>
        <w:br/>
        <w:t>;</w:t>
      </w:r>
      <w:r>
        <w:br/>
        <w:t>\forall\mathcal S\subseteq\mathcal S_F</w:t>
      </w:r>
      <w:r>
        <w:br/>
        <w:t>:</w:t>
      </w:r>
      <w:r>
        <w:br/>
        <w:t>R_F(\mathcal S)=1</w:t>
      </w:r>
      <w:r>
        <w:br/>
        <w:t>\Rightarrow</w:t>
      </w:r>
      <w:r>
        <w:br/>
        <w:t>C_F(\mathcal S;z)=0.</w:t>
      </w:r>
      <w:r>
        <w:br/>
        <w:t>\tag{3.9206}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\forall z\in\Omega_F\;\forall\mathcal S\subseteq\mathcal S_F:R_F(\mathcal S)=1\Rightarrow C_F(\mathcal S;z)=0</w:t>
      </w:r>
    </w:p>
    <w:p w:rsidR="00027411" w:rsidRDefault="00027411" w:rsidP="00027411">
      <w:pPr>
        <w:pStyle w:val="StandardWeb"/>
      </w:pPr>
      <w:r>
        <w:t>Damit ist Kandidat D zwar schwach formuliert, seine empirische Widerlegung jedoch entsprechend anspruchsvoll.</w:t>
      </w:r>
    </w:p>
    <w:p w:rsidR="00027411" w:rsidRDefault="00E50336" w:rsidP="00027411">
      <w:r>
        <w:pict>
          <v:rect id="_x0000_i2645" style="width:0;height:1.5pt" o:hralign="center" o:hrstd="t" o:hr="t" fillcolor="#a0a0a0" stroked="f"/>
        </w:pict>
      </w:r>
    </w:p>
    <w:p w:rsidR="00027411" w:rsidRDefault="00027411" w:rsidP="00027411">
      <w:pPr>
        <w:pStyle w:val="berschrift1"/>
      </w:pPr>
      <w:r>
        <w:t>3.3.43.480 Empirische Bestätigung ist keine logische Beweisführung</w:t>
      </w:r>
    </w:p>
    <w:p w:rsidR="00027411" w:rsidRDefault="00027411" w:rsidP="00027411">
      <w:pPr>
        <w:pStyle w:val="StandardWeb"/>
      </w:pPr>
      <w:r>
        <w:t>Umgekehrt gilt</w:t>
      </w:r>
    </w:p>
    <w:p w:rsidR="00027411" w:rsidRDefault="00027411" w:rsidP="00027411">
      <w:pPr>
        <w:pStyle w:val="StandardWeb"/>
      </w:pPr>
      <w:r>
        <w:t>[</w:t>
      </w:r>
      <w:r>
        <w:br/>
        <w:t>C_F(\mathcal S_C;z)&gt;0</w:t>
      </w:r>
      <w:r>
        <w:br/>
        <w:t>\tag{3.9207}</w:t>
      </w:r>
      <w:r>
        <w:br/>
        <w:t>]</w:t>
      </w:r>
    </w:p>
    <w:p w:rsidR="00027411" w:rsidRDefault="00027411" w:rsidP="00027411">
      <w:pPr>
        <w:pStyle w:val="StandardWeb"/>
      </w:pPr>
      <w:r>
        <w:rPr>
          <w:rStyle w:val="Fett"/>
        </w:rPr>
        <w:lastRenderedPageBreak/>
        <w:t>Word-LaTeX</w:t>
      </w:r>
    </w:p>
    <w:p w:rsidR="00027411" w:rsidRDefault="00027411" w:rsidP="00027411">
      <w:pPr>
        <w:pStyle w:val="HTMLVorformatiert"/>
        <w:rPr>
          <w:rStyle w:val="HTMLCode"/>
        </w:rPr>
      </w:pPr>
      <w:r>
        <w:rPr>
          <w:rStyle w:val="HTMLCode"/>
        </w:rPr>
        <w:t>C_F(\mathcal S_C;z)&gt;0</w:t>
      </w:r>
    </w:p>
    <w:p w:rsidR="00027411" w:rsidRDefault="00027411" w:rsidP="00027411">
      <w:pPr>
        <w:pStyle w:val="StandardWeb"/>
      </w:pPr>
      <w:r>
        <w:t>für einen beobachteten Fall zwar als Modellunterstützung, aber nicht als logischer Beweis universeller metaphysischer Wahrheit des Axioms.</w:t>
      </w:r>
    </w:p>
    <w:p w:rsidR="00027411" w:rsidRDefault="00027411" w:rsidP="00027411">
      <w:pPr>
        <w:pStyle w:val="StandardWeb"/>
      </w:pPr>
      <w:r>
        <w:t>Ich halte daher fest</w:t>
      </w:r>
    </w:p>
    <w:p w:rsidR="00027411" w:rsidRDefault="00027411" w:rsidP="00027411">
      <w:pPr>
        <w:pStyle w:val="StandardWeb"/>
      </w:pPr>
      <w:r>
        <w:t>[</w:t>
      </w:r>
      <w:r>
        <w:br/>
        <w:t>\text{empirische Bewährung}</w:t>
      </w:r>
      <w:r>
        <w:br/>
        <w:t>\neq</w:t>
      </w:r>
      <w:r>
        <w:br/>
        <w:t>\text{logische Notwendigkeit}.</w:t>
      </w:r>
      <w:r>
        <w:br/>
        <w:t>\tag{3.9208}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\text{empirische Bewährung}\neq\text{logische Notwendigkeit}</w:t>
      </w:r>
    </w:p>
    <w:p w:rsidR="00027411" w:rsidRDefault="00E50336" w:rsidP="00027411">
      <w:r>
        <w:pict>
          <v:rect id="_x0000_i2646" style="width:0;height:1.5pt" o:hralign="center" o:hrstd="t" o:hr="t" fillcolor="#a0a0a0" stroked="f"/>
        </w:pict>
      </w:r>
    </w:p>
    <w:p w:rsidR="00027411" w:rsidRDefault="00027411" w:rsidP="00027411">
      <w:pPr>
        <w:pStyle w:val="berschrift1"/>
      </w:pPr>
      <w:r>
        <w:t>3.3.43.481 Epistemischer Status eines Primäraxioms</w:t>
      </w:r>
    </w:p>
    <w:p w:rsidR="00027411" w:rsidRDefault="00027411" w:rsidP="00027411">
      <w:pPr>
        <w:pStyle w:val="StandardWeb"/>
      </w:pPr>
      <w:r>
        <w:t>Ein Primäraxiom ist innerhalb der Theorie ein Ausgangspunkt der Ableitung, nicht automatisch eine empirisch endgültig bestätigte Naturtatsache.</w:t>
      </w:r>
    </w:p>
    <w:p w:rsidR="00027411" w:rsidRDefault="00027411" w:rsidP="00027411">
      <w:pPr>
        <w:pStyle w:val="StandardWeb"/>
      </w:pPr>
      <w:r>
        <w:t>Ich unterscheide daher</w:t>
      </w:r>
    </w:p>
    <w:p w:rsidR="00027411" w:rsidRDefault="00027411" w:rsidP="00027411">
      <w:pPr>
        <w:pStyle w:val="berschrift1"/>
      </w:pPr>
      <w:r>
        <w:t>[</w:t>
      </w:r>
      <w:r>
        <w:br/>
        <w:t>\operatorname{Status}_{\mathrm{formal}}</w:t>
      </w:r>
      <w:r>
        <w:br/>
        <w:t>\left(</w:t>
      </w:r>
      <w:r>
        <w:br/>
        <w:t>A_C^{(D)}</w:t>
      </w:r>
      <w:r>
        <w:br/>
        <w:t>\right)</w:t>
      </w:r>
    </w:p>
    <w:p w:rsidR="00027411" w:rsidRDefault="00027411" w:rsidP="00027411">
      <w:pPr>
        <w:pStyle w:val="StandardWeb"/>
      </w:pPr>
      <w:r>
        <w:t>\mathrm{primär}</w:t>
      </w:r>
      <w:r>
        <w:br/>
        <w:t>\tag{3.9209}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\operatorname{Status}_{\mathrm{formal}}\left(A_C^{(D)}\right)=\mathrm{primär}</w:t>
      </w:r>
    </w:p>
    <w:p w:rsidR="00027411" w:rsidRDefault="00027411" w:rsidP="00027411">
      <w:pPr>
        <w:pStyle w:val="StandardWeb"/>
      </w:pPr>
      <w:r>
        <w:t>von</w:t>
      </w:r>
    </w:p>
    <w:p w:rsidR="00027411" w:rsidRDefault="00027411" w:rsidP="00027411">
      <w:pPr>
        <w:pStyle w:val="berschrift1"/>
      </w:pPr>
      <w:r>
        <w:lastRenderedPageBreak/>
        <w:t>[</w:t>
      </w:r>
      <w:r>
        <w:br/>
        <w:t>\operatorname{Status}_{\mathrm{emp}}</w:t>
      </w:r>
      <w:r>
        <w:br/>
        <w:t>\left(</w:t>
      </w:r>
      <w:r>
        <w:br/>
        <w:t>A_C^{(D)}</w:t>
      </w:r>
      <w:r>
        <w:br/>
        <w:t>\right)</w:t>
      </w:r>
    </w:p>
    <w:p w:rsidR="00027411" w:rsidRDefault="00027411" w:rsidP="00027411">
      <w:pPr>
        <w:pStyle w:val="StandardWeb"/>
      </w:pPr>
      <w:r>
        <w:t>\mathrm{prüfbar}.</w:t>
      </w:r>
      <w:r>
        <w:br/>
        <w:t>\tag{3.9210}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\operatorname{Status}_{\mathrm{emp}}\left(A_C^{(D)}\right)=\mathrm{prüfbar}</w:t>
      </w:r>
    </w:p>
    <w:p w:rsidR="00027411" w:rsidRDefault="00E50336" w:rsidP="00027411">
      <w:r>
        <w:pict>
          <v:rect id="_x0000_i2647" style="width:0;height:1.5pt" o:hralign="center" o:hrstd="t" o:hr="t" fillcolor="#a0a0a0" stroked="f"/>
        </w:pict>
      </w:r>
    </w:p>
    <w:p w:rsidR="00027411" w:rsidRDefault="00027411" w:rsidP="00027411">
      <w:pPr>
        <w:pStyle w:val="berschrift1"/>
      </w:pPr>
      <w:r>
        <w:t>3.3.43.482 Theorieinterne Gültigkeit</w:t>
      </w:r>
    </w:p>
    <w:p w:rsidR="00027411" w:rsidRDefault="00027411" w:rsidP="00027411">
      <w:pPr>
        <w:pStyle w:val="StandardWeb"/>
      </w:pPr>
      <w:r>
        <w:t>Wird Kandidat D als Primäraxiom angenommen, gilt innerhalb des FRZK</w:t>
      </w:r>
    </w:p>
    <w:p w:rsidR="00027411" w:rsidRDefault="00027411" w:rsidP="00027411">
      <w:pPr>
        <w:pStyle w:val="StandardWeb"/>
      </w:pPr>
      <w:r>
        <w:t>[</w:t>
      </w:r>
      <w:r>
        <w:br/>
        <w:t>\mathfrak A_F</w:t>
      </w:r>
      <w:r>
        <w:br/>
        <w:t>\vdash</w:t>
      </w:r>
      <w:r>
        <w:br/>
        <w:t>A_C^{(D)}</w:t>
      </w:r>
      <w:r>
        <w:br/>
        <w:t>\tag{3.9211}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A_F\vdash A_C^{(D)}</w:t>
      </w:r>
    </w:p>
    <w:p w:rsidR="00027411" w:rsidRDefault="00027411" w:rsidP="00027411">
      <w:pPr>
        <w:pStyle w:val="StandardWeb"/>
      </w:pPr>
      <w:r>
        <w:t>trivialerweise aufgrund seiner Aufnahme in die Axiomatik.</w:t>
      </w:r>
    </w:p>
    <w:p w:rsidR="00027411" w:rsidRDefault="00027411" w:rsidP="00027411">
      <w:pPr>
        <w:pStyle w:val="StandardWeb"/>
      </w:pPr>
      <w:r>
        <w:t>Dies ist von empirischer Bestätigung vollständig zu unterscheiden.</w:t>
      </w:r>
    </w:p>
    <w:p w:rsidR="00027411" w:rsidRDefault="00E50336" w:rsidP="00027411">
      <w:r>
        <w:pict>
          <v:rect id="_x0000_i2648" style="width:0;height:1.5pt" o:hralign="center" o:hrstd="t" o:hr="t" fillcolor="#a0a0a0" stroked="f"/>
        </w:pict>
      </w:r>
    </w:p>
    <w:p w:rsidR="00027411" w:rsidRDefault="00027411" w:rsidP="00027411">
      <w:pPr>
        <w:pStyle w:val="berschrift1"/>
      </w:pPr>
      <w:r>
        <w:t>3.3.43.483 Wissenschaftliche Revisionsoffenheit</w:t>
      </w:r>
    </w:p>
    <w:p w:rsidR="00027411" w:rsidRDefault="00027411" w:rsidP="00027411">
      <w:pPr>
        <w:pStyle w:val="StandardWeb"/>
      </w:pPr>
      <w:r>
        <w:t>Selbst ein Primäraxiom darf in einer wissenschaftlichen Theorie prinzipiell revidierbar bleiben, wenn spätere theoretische oder empirische Gründe dies verlangen.</w:t>
      </w:r>
    </w:p>
    <w:p w:rsidR="00027411" w:rsidRDefault="00027411" w:rsidP="00027411">
      <w:pPr>
        <w:pStyle w:val="StandardWeb"/>
      </w:pPr>
      <w:r>
        <w:t>Ich schreibe daher</w:t>
      </w:r>
    </w:p>
    <w:p w:rsidR="00027411" w:rsidRDefault="00027411" w:rsidP="00027411">
      <w:pPr>
        <w:pStyle w:val="berschrift1"/>
      </w:pPr>
      <w:r>
        <w:t>[</w:t>
      </w:r>
      <w:r>
        <w:br/>
        <w:t>A_C^{(D)}</w:t>
      </w:r>
    </w:p>
    <w:p w:rsidR="00027411" w:rsidRDefault="00027411" w:rsidP="00027411">
      <w:pPr>
        <w:pStyle w:val="StandardWeb"/>
      </w:pPr>
      <w:r>
        <w:lastRenderedPageBreak/>
        <w:t>A_C^{(D)}(v),</w:t>
      </w:r>
      <w:r>
        <w:br/>
        <w:t>\tag{3.9212}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A_C^{(D)}=A_C^{(D)}(v)</w:t>
      </w:r>
    </w:p>
    <w:p w:rsidR="00027411" w:rsidRDefault="00027411" w:rsidP="00027411">
      <w:pPr>
        <w:pStyle w:val="StandardWeb"/>
      </w:pPr>
      <w:r>
        <w:t>wobei (v) den dokumentierten Revisionsstand der Theorie bezeichnet.</w:t>
      </w:r>
    </w:p>
    <w:p w:rsidR="00027411" w:rsidRDefault="00E50336" w:rsidP="00027411">
      <w:r>
        <w:pict>
          <v:rect id="_x0000_i2649" style="width:0;height:1.5pt" o:hralign="center" o:hrstd="t" o:hr="t" fillcolor="#a0a0a0" stroked="f"/>
        </w:pict>
      </w:r>
    </w:p>
    <w:p w:rsidR="00027411" w:rsidRDefault="00027411" w:rsidP="00027411">
      <w:pPr>
        <w:pStyle w:val="berschrift1"/>
      </w:pPr>
      <w:r>
        <w:t>3.3.43.484 Primäraxiom bedeutet nicht unveränderlich</w:t>
      </w:r>
    </w:p>
    <w:p w:rsidR="00027411" w:rsidRDefault="00027411" w:rsidP="00027411">
      <w:pPr>
        <w:pStyle w:val="StandardWeb"/>
      </w:pPr>
      <w:r>
        <w:t>Damit gilt ausdrücklich</w:t>
      </w:r>
    </w:p>
    <w:p w:rsidR="00027411" w:rsidRDefault="00027411" w:rsidP="00027411">
      <w:pPr>
        <w:pStyle w:val="StandardWeb"/>
      </w:pPr>
      <w:r>
        <w:t>[</w:t>
      </w:r>
      <w:r>
        <w:br/>
        <w:t>\text{Primäraxiom}</w:t>
      </w:r>
      <w:r>
        <w:br/>
        <w:t>\nRightarrow</w:t>
      </w:r>
      <w:r>
        <w:br/>
        <w:t>\text{unrevidierbar}.</w:t>
      </w:r>
      <w:r>
        <w:br/>
        <w:t>\tag{3.9213}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\text{Primäraxiom}\nRightarrow\text{unrevidierbar}</w:t>
      </w:r>
    </w:p>
    <w:p w:rsidR="00027411" w:rsidRDefault="00027411" w:rsidP="00027411">
      <w:pPr>
        <w:pStyle w:val="StandardWeb"/>
      </w:pPr>
      <w:r>
        <w:t>Primär bedeutet innerhalb meiner Konstruktion lediglich, dass die Aussage im jeweiligen Theoriestand nicht aus tieferen FRZK-Aussagen abgeleitet wird.</w:t>
      </w:r>
    </w:p>
    <w:p w:rsidR="00027411" w:rsidRDefault="00E50336" w:rsidP="00027411">
      <w:r>
        <w:pict>
          <v:rect id="_x0000_i2650" style="width:0;height:1.5pt" o:hralign="center" o:hrstd="t" o:hr="t" fillcolor="#a0a0a0" stroked="f"/>
        </w:pict>
      </w:r>
    </w:p>
    <w:p w:rsidR="00027411" w:rsidRDefault="00027411" w:rsidP="00027411">
      <w:pPr>
        <w:pStyle w:val="berschrift1"/>
      </w:pPr>
      <w:r>
        <w:t>3.3.43.485 Definition 3.3.68 – Revisionsoffenes Primäraxiom</w:t>
      </w:r>
    </w:p>
    <w:p w:rsidR="00027411" w:rsidRDefault="00027411" w:rsidP="00027411">
      <w:pPr>
        <w:pStyle w:val="berschrift3"/>
      </w:pPr>
      <w:r>
        <w:t>Definition 3.3.68</w:t>
      </w:r>
    </w:p>
    <w:p w:rsidR="00027411" w:rsidRDefault="00027411" w:rsidP="00027411">
      <w:pPr>
        <w:pStyle w:val="StandardWeb"/>
      </w:pPr>
      <w:r>
        <w:t xml:space="preserve">Ein </w:t>
      </w:r>
      <w:r>
        <w:rPr>
          <w:rStyle w:val="Fett"/>
        </w:rPr>
        <w:t>revisionsoffenes Primäraxiom</w:t>
      </w:r>
      <w:r>
        <w:t xml:space="preserve"> ist eine im aktuellen Theoriestand nicht aus anderen Aussagen abgeleitete grundlegende Aussage, deren Status, Form oder Gültigkeitsbereich bei begründeter wissenschaftlicher Revision verändert werden kann.</w:t>
      </w:r>
    </w:p>
    <w:p w:rsidR="00027411" w:rsidRDefault="00027411" w:rsidP="00027411">
      <w:pPr>
        <w:pStyle w:val="StandardWeb"/>
      </w:pPr>
      <w:r>
        <w:t>Formal schreibe ich</w:t>
      </w:r>
    </w:p>
    <w:p w:rsidR="00027411" w:rsidRDefault="00027411" w:rsidP="00027411">
      <w:pPr>
        <w:pStyle w:val="berschrift1"/>
      </w:pPr>
      <w:r>
        <w:t>[</w:t>
      </w:r>
      <w:r>
        <w:br/>
        <w:t>A_{\mathrm{prim}}</w:t>
      </w:r>
    </w:p>
    <w:p w:rsidR="00027411" w:rsidRDefault="00027411" w:rsidP="00027411">
      <w:pPr>
        <w:pStyle w:val="StandardWeb"/>
      </w:pPr>
      <w:r>
        <w:lastRenderedPageBreak/>
        <w:t>A_{\mathrm{prim}}^{(v)}.</w:t>
      </w:r>
      <w:r>
        <w:br/>
        <w:t>\tag{3.9214}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A_{\mathrm{prim}}=A_{\mathrm{prim}}^{(v)}</w:t>
      </w:r>
    </w:p>
    <w:p w:rsidR="00027411" w:rsidRDefault="00E50336" w:rsidP="00027411">
      <w:r>
        <w:pict>
          <v:rect id="_x0000_i2651" style="width:0;height:1.5pt" o:hralign="center" o:hrstd="t" o:hr="t" fillcolor="#a0a0a0" stroked="f"/>
        </w:pict>
      </w:r>
    </w:p>
    <w:p w:rsidR="00027411" w:rsidRDefault="00027411" w:rsidP="00027411">
      <w:pPr>
        <w:pStyle w:val="berschrift1"/>
      </w:pPr>
      <w:r>
        <w:t>3.3.43.486 Revisionsregel</w:t>
      </w:r>
    </w:p>
    <w:p w:rsidR="00027411" w:rsidRDefault="00027411" w:rsidP="00027411">
      <w:pPr>
        <w:pStyle w:val="StandardWeb"/>
      </w:pPr>
      <w:r>
        <w:t>Eine Revision von (v) nach (v+1) darf nicht stillschweigend erfolgen.</w:t>
      </w:r>
    </w:p>
    <w:p w:rsidR="00027411" w:rsidRDefault="00027411" w:rsidP="00027411">
      <w:pPr>
        <w:pStyle w:val="StandardWeb"/>
      </w:pPr>
      <w:r>
        <w:t>Ich fordere</w:t>
      </w:r>
    </w:p>
    <w:p w:rsidR="00027411" w:rsidRDefault="00027411" w:rsidP="00027411">
      <w:pPr>
        <w:pStyle w:val="StandardWeb"/>
      </w:pPr>
      <w:r>
        <w:t>[</w:t>
      </w:r>
      <w:r>
        <w:br/>
        <w:t>A_{\mathrm{prim}}^{(v)}</w:t>
      </w:r>
      <w:r>
        <w:br/>
        <w:t>\rightarrow</w:t>
      </w:r>
      <w:r>
        <w:br/>
        <w:t>A_{\mathrm{prim}}^{(v+1)}</w:t>
      </w:r>
      <w:r>
        <w:br/>
        <w:t>\Longrightarrow</w:t>
      </w:r>
      <w:r>
        <w:br/>
        <w:t>J_{\mathrm{rev}}=1,</w:t>
      </w:r>
      <w:r>
        <w:br/>
        <w:t>\tag{3.9215}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A_{\mathrm{prim}}^{(v)}\rightarrow A_{\mathrm{prim}}^{(v+1)}\Longrightarrow J_{\mathrm{rev}}=1</w:t>
      </w:r>
    </w:p>
    <w:p w:rsidR="00027411" w:rsidRDefault="00027411" w:rsidP="00027411">
      <w:pPr>
        <w:pStyle w:val="StandardWeb"/>
      </w:pPr>
      <w:r>
        <w:t>wobei (J_{\mathrm{rev}}) eine explizite wissenschaftliche Revisionsbegründung bezeichnet.</w:t>
      </w:r>
    </w:p>
    <w:p w:rsidR="00027411" w:rsidRDefault="00E50336" w:rsidP="00027411">
      <w:r>
        <w:pict>
          <v:rect id="_x0000_i2652" style="width:0;height:1.5pt" o:hralign="center" o:hrstd="t" o:hr="t" fillcolor="#a0a0a0" stroked="f"/>
        </w:pict>
      </w:r>
    </w:p>
    <w:p w:rsidR="00027411" w:rsidRDefault="00027411" w:rsidP="00027411">
      <w:pPr>
        <w:pStyle w:val="berschrift1"/>
      </w:pPr>
      <w:r>
        <w:t>3.3.43.487 Konsequenz für Kandidat D</w:t>
      </w:r>
    </w:p>
    <w:p w:rsidR="00027411" w:rsidRDefault="00027411" w:rsidP="00027411">
      <w:pPr>
        <w:pStyle w:val="StandardWeb"/>
      </w:pPr>
      <w:r>
        <w:t>Für das Kohärenzaxiom gilt damit</w:t>
      </w:r>
    </w:p>
    <w:p w:rsidR="00027411" w:rsidRDefault="00027411" w:rsidP="00027411">
      <w:pPr>
        <w:pStyle w:val="StandardWeb"/>
      </w:pPr>
      <w:r>
        <w:t>[</w:t>
      </w:r>
      <w:r>
        <w:br/>
        <w:t>A_C^{(D,v)}</w:t>
      </w:r>
      <w:r>
        <w:br/>
        <w:t>\rightarrow</w:t>
      </w:r>
      <w:r>
        <w:br/>
        <w:t>A_C^{(D,v+1)}</w:t>
      </w:r>
      <w:r>
        <w:br/>
        <w:t>\Longrightarrow</w:t>
      </w:r>
      <w:r>
        <w:br/>
        <w:t>J_C^{\mathrm{rev}}=1.</w:t>
      </w:r>
      <w:r>
        <w:br/>
        <w:t>\tag{3.9216}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A_C^{(D,v)}\rightarrow A_C^{(D,v+1)}\Longrightarrow J_C^{\mathrm{rev}}=1</w:t>
      </w:r>
    </w:p>
    <w:p w:rsidR="00027411" w:rsidRDefault="00027411" w:rsidP="00027411">
      <w:pPr>
        <w:pStyle w:val="StandardWeb"/>
      </w:pPr>
      <w:r>
        <w:lastRenderedPageBreak/>
        <w:t>Damit wird die theoretische Offenheit institutionell beziehungsweise repositoryseitig dokumentierbar.</w:t>
      </w:r>
    </w:p>
    <w:p w:rsidR="00027411" w:rsidRDefault="00E50336" w:rsidP="00027411">
      <w:r>
        <w:pict>
          <v:rect id="_x0000_i2653" style="width:0;height:1.5pt" o:hralign="center" o:hrstd="t" o:hr="t" fillcolor="#a0a0a0" stroked="f"/>
        </w:pict>
      </w:r>
    </w:p>
    <w:p w:rsidR="00027411" w:rsidRDefault="00027411" w:rsidP="00027411">
      <w:pPr>
        <w:pStyle w:val="berschrift1"/>
      </w:pPr>
      <w:r>
        <w:t>3.3.43.488 Gesamte Bewertungsstruktur von Kandidat D</w:t>
      </w:r>
    </w:p>
    <w:p w:rsidR="00027411" w:rsidRDefault="00027411" w:rsidP="00027411">
      <w:pPr>
        <w:pStyle w:val="StandardWeb"/>
      </w:pPr>
      <w:r>
        <w:t>Ich kann Kandidat D nun anhand der zuvor eingeführten Prüfgrößen charakterisieren:</w:t>
      </w:r>
    </w:p>
    <w:p w:rsidR="00027411" w:rsidRDefault="00027411" w:rsidP="00027411">
      <w:pPr>
        <w:pStyle w:val="berschrift1"/>
      </w:pPr>
      <w:r>
        <w:t>[</w:t>
      </w:r>
      <w:r>
        <w:br/>
        <w:t>\mathbf P_D</w:t>
      </w:r>
    </w:p>
    <w:p w:rsidR="00027411" w:rsidRDefault="00027411" w:rsidP="00027411">
      <w:pPr>
        <w:pStyle w:val="StandardWeb"/>
      </w:pPr>
      <w:r>
        <w:t>\left(</w:t>
      </w:r>
      <w:r>
        <w:br/>
        <w:t>N_A,</w:t>
      </w:r>
      <w:r>
        <w:br/>
        <w:t>I_A,</w:t>
      </w:r>
      <w:r>
        <w:br/>
        <w:t>M_A,</w:t>
      </w:r>
      <w:r>
        <w:br/>
        <w:t>D_A,</w:t>
      </w:r>
      <w:r>
        <w:br/>
        <w:t>K_A,</w:t>
      </w:r>
      <w:r>
        <w:br/>
        <w:t>E_A,</w:t>
      </w:r>
      <w:r>
        <w:br/>
        <w:t>Z_A,</w:t>
      </w:r>
      <w:r>
        <w:br/>
        <w:t>Z_C</w:t>
      </w:r>
      <w:r>
        <w:br/>
        <w:t>\right).</w:t>
      </w:r>
      <w:r>
        <w:br/>
        <w:t>\tag{3.9217}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\mathbf P_D=\left(N_A,I_A,M_A,D_A,K_A,E_A,Z_A,Z_C\right)</w:t>
      </w:r>
    </w:p>
    <w:p w:rsidR="00027411" w:rsidRDefault="00027411" w:rsidP="00027411">
      <w:pPr>
        <w:pStyle w:val="StandardWeb"/>
      </w:pPr>
      <w:r>
        <w:t>Dabei stehen zusätzlich (Z_A) für Zielgenauigkeit und (Z_C) für Zirkularitätsfreiheit.</w:t>
      </w:r>
    </w:p>
    <w:p w:rsidR="00027411" w:rsidRDefault="00E50336" w:rsidP="00027411">
      <w:r>
        <w:pict>
          <v:rect id="_x0000_i2654" style="width:0;height:1.5pt" o:hralign="center" o:hrstd="t" o:hr="t" fillcolor="#a0a0a0" stroked="f"/>
        </w:pict>
      </w:r>
    </w:p>
    <w:p w:rsidR="00027411" w:rsidRDefault="00027411" w:rsidP="00027411">
      <w:pPr>
        <w:pStyle w:val="berschrift1"/>
      </w:pPr>
      <w:r>
        <w:t>3.3.43.489 Bewertungsresultat</w:t>
      </w:r>
    </w:p>
    <w:p w:rsidR="00027411" w:rsidRDefault="00027411" w:rsidP="00027411">
      <w:pPr>
        <w:pStyle w:val="StandardWeb"/>
      </w:pPr>
      <w:r>
        <w:t>Für Kandidat D ergibt sich im aktuellen Theoriestand</w:t>
      </w:r>
    </w:p>
    <w:p w:rsidR="00027411" w:rsidRDefault="00027411" w:rsidP="00027411">
      <w:pPr>
        <w:pStyle w:val="berschrift1"/>
      </w:pPr>
      <w:r>
        <w:t>[</w:t>
      </w:r>
      <w:r>
        <w:br/>
        <w:t>\mathbf P_D</w:t>
      </w:r>
    </w:p>
    <w:p w:rsidR="00027411" w:rsidRDefault="00027411" w:rsidP="00027411">
      <w:pPr>
        <w:pStyle w:val="StandardWeb"/>
      </w:pPr>
      <w:r>
        <w:t>(1,1,1,1,1,1,1,1).</w:t>
      </w:r>
      <w:r>
        <w:br/>
        <w:t>\tag{3.9218}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lastRenderedPageBreak/>
        <w:t>\mathbf P_D=(1,1,1,1,1,1,1,1)</w:t>
      </w:r>
    </w:p>
    <w:p w:rsidR="00027411" w:rsidRDefault="00027411" w:rsidP="00027411">
      <w:pPr>
        <w:pStyle w:val="StandardWeb"/>
      </w:pPr>
      <w:r>
        <w:t>Die Einsen bedeuten hier ausschließlich, dass die jeweils festgelegte qualitative Prüfbedingung erfüllt wurde; sie stellen keine empirisch gemessenen Wahrscheinlichkeiten oder Gütewerte dar.</w:t>
      </w:r>
    </w:p>
    <w:p w:rsidR="00027411" w:rsidRDefault="00E50336" w:rsidP="00027411">
      <w:r>
        <w:pict>
          <v:rect id="_x0000_i2655" style="width:0;height:1.5pt" o:hralign="center" o:hrstd="t" o:hr="t" fillcolor="#a0a0a0" stroked="f"/>
        </w:pict>
      </w:r>
    </w:p>
    <w:p w:rsidR="00027411" w:rsidRDefault="00027411" w:rsidP="00027411">
      <w:pPr>
        <w:pStyle w:val="berschrift1"/>
      </w:pPr>
      <w:r>
        <w:t>3.3.43.490 Noch offene letzte Frage</w:t>
      </w:r>
    </w:p>
    <w:p w:rsidR="00027411" w:rsidRDefault="00027411" w:rsidP="00027411">
      <w:pPr>
        <w:pStyle w:val="StandardWeb"/>
      </w:pPr>
      <w:r>
        <w:t>Damit verbleibt nur noch die normative Theorieentscheidung:</w:t>
      </w:r>
    </w:p>
    <w:p w:rsidR="00027411" w:rsidRDefault="00027411" w:rsidP="00027411">
      <w:pPr>
        <w:pStyle w:val="StandardWeb"/>
      </w:pPr>
      <w:r>
        <w:t>[</w:t>
      </w:r>
      <w:r>
        <w:br/>
        <w:t>A_C^{(D)}</w:t>
      </w:r>
      <w:r>
        <w:br/>
        <w:t>\overset{?}{\in}</w:t>
      </w:r>
      <w:r>
        <w:br/>
        <w:t>\mathfrak A_{F,\mathrm{prim}}.</w:t>
      </w:r>
      <w:r>
        <w:br/>
        <w:t>\tag{3.9219}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A_C^{(D)}\overset{?}{\in}\mathfrak A_{F,\mathrm{prim}}</w:t>
      </w:r>
    </w:p>
    <w:p w:rsidR="00027411" w:rsidRDefault="00027411" w:rsidP="00027411">
      <w:pPr>
        <w:pStyle w:val="StandardWeb"/>
      </w:pPr>
      <w:r>
        <w:t>Nach den bisherigen Prüfungen liegen keine logischen oder methodischen Gründe mehr gegen eine Aufnahme vor.</w:t>
      </w:r>
    </w:p>
    <w:p w:rsidR="00027411" w:rsidRDefault="00E50336" w:rsidP="00027411">
      <w:r>
        <w:pict>
          <v:rect id="_x0000_i2656" style="width:0;height:1.5pt" o:hralign="center" o:hrstd="t" o:hr="t" fillcolor="#a0a0a0" stroked="f"/>
        </w:pict>
      </w:r>
    </w:p>
    <w:p w:rsidR="00027411" w:rsidRDefault="00027411" w:rsidP="00027411">
      <w:pPr>
        <w:pStyle w:val="berschrift1"/>
      </w:pPr>
      <w:r>
        <w:t>3.3.43.491 Satz 3.3.31 – Zulässigkeit von Kandidat D als Primäraxiom</w:t>
      </w:r>
    </w:p>
    <w:p w:rsidR="00027411" w:rsidRDefault="00027411" w:rsidP="00027411">
      <w:pPr>
        <w:pStyle w:val="berschrift3"/>
      </w:pPr>
      <w:r>
        <w:t>Satz 3.3.31</w:t>
      </w:r>
    </w:p>
    <w:p w:rsidR="00027411" w:rsidRDefault="00027411" w:rsidP="00027411">
      <w:pPr>
        <w:pStyle w:val="StandardWeb"/>
      </w:pPr>
      <w:r>
        <w:t>Unter den in Abschnitt 3.3.43 eingeführten Definitionen ist Kandidat (A_C^{(D)}) ein zulässiger Primäraxiom-Kandidat des FRZK, wenn</w:t>
      </w:r>
    </w:p>
    <w:p w:rsidR="00027411" w:rsidRDefault="00027411" w:rsidP="00027411">
      <w:pPr>
        <w:pStyle w:val="StandardWeb"/>
      </w:pPr>
      <w:r>
        <w:t>[</w:t>
      </w:r>
      <w:r>
        <w:br/>
        <w:t>I_A=1,</w:t>
      </w:r>
      <w:r>
        <w:br/>
        <w:t>\qquad</w:t>
      </w:r>
      <w:r>
        <w:br/>
        <w:t>D_A=1,</w:t>
      </w:r>
      <w:r>
        <w:br/>
        <w:t>\qquad</w:t>
      </w:r>
      <w:r>
        <w:br/>
        <w:t>K_A=1,</w:t>
      </w:r>
      <w:r>
        <w:br/>
        <w:t>\qquad</w:t>
      </w:r>
      <w:r>
        <w:br/>
        <w:t>M_A=1,</w:t>
      </w:r>
      <w:r>
        <w:br/>
        <w:t>\qquad</w:t>
      </w:r>
      <w:r>
        <w:br/>
        <w:t>Z_A=1,</w:t>
      </w:r>
      <w:r>
        <w:br/>
        <w:t>\qquad</w:t>
      </w:r>
      <w:r>
        <w:br/>
        <w:t>Z_C=1.</w:t>
      </w:r>
      <w:r>
        <w:br/>
        <w:t>\tag{3.9220}</w:t>
      </w:r>
      <w:r>
        <w:br/>
        <w:t>]</w:t>
      </w:r>
    </w:p>
    <w:p w:rsidR="00027411" w:rsidRDefault="00027411" w:rsidP="00027411">
      <w:pPr>
        <w:pStyle w:val="StandardWeb"/>
      </w:pPr>
      <w:r>
        <w:rPr>
          <w:rStyle w:val="Fett"/>
        </w:rPr>
        <w:lastRenderedPageBreak/>
        <w:t>Word-LaTeX</w:t>
      </w:r>
    </w:p>
    <w:p w:rsidR="00027411" w:rsidRDefault="00027411" w:rsidP="00027411">
      <w:pPr>
        <w:pStyle w:val="HTMLVorformatiert"/>
        <w:rPr>
          <w:rStyle w:val="HTMLCode"/>
        </w:rPr>
      </w:pPr>
      <w:r>
        <w:rPr>
          <w:rStyle w:val="HTMLCode"/>
        </w:rPr>
        <w:t>I_A=1,\qquad D_A=1,\qquad K_A=1,\qquad M_A=1,\qquad Z_A=1,\qquad Z_C=1</w:t>
      </w:r>
    </w:p>
    <w:p w:rsidR="00027411" w:rsidRDefault="00027411" w:rsidP="00027411">
      <w:pPr>
        <w:pStyle w:val="StandardWeb"/>
      </w:pPr>
      <w:r>
        <w:t>Für Kandidat D sind diese Bedingungen im aktuellen Theoriestand erfüllt.</w:t>
      </w:r>
    </w:p>
    <w:p w:rsidR="00027411" w:rsidRDefault="00E50336" w:rsidP="00027411">
      <w:r>
        <w:pict>
          <v:rect id="_x0000_i2657" style="width:0;height:1.5pt" o:hralign="center" o:hrstd="t" o:hr="t" fillcolor="#a0a0a0" stroked="f"/>
        </w:pict>
      </w:r>
    </w:p>
    <w:p w:rsidR="00027411" w:rsidRDefault="00027411" w:rsidP="00027411">
      <w:pPr>
        <w:pStyle w:val="berschrift1"/>
      </w:pPr>
      <w:r>
        <w:t>3.3.43.492 Beweis zu Satz 3.3.31</w:t>
      </w:r>
    </w:p>
    <w:p w:rsidR="00027411" w:rsidRDefault="00027411" w:rsidP="00027411">
      <w:pPr>
        <w:pStyle w:val="StandardWeb"/>
      </w:pPr>
      <w:r>
        <w:t>Die Nichtableitbarkeit wurde durch Modelle mit und ohne positive funktional relevante Kohärenz gezeigt:</w:t>
      </w:r>
    </w:p>
    <w:p w:rsidR="00027411" w:rsidRDefault="00027411" w:rsidP="00027411">
      <w:pPr>
        <w:pStyle w:val="berschrift1"/>
      </w:pPr>
      <w:r>
        <w:t>[</w:t>
      </w:r>
      <w:r>
        <w:br/>
        <w:t>D_A</w:t>
      </w:r>
      <w:r>
        <w:br/>
        <w:t>\left(</w:t>
      </w:r>
      <w:r>
        <w:br/>
        <w:t>A_C^{(D)}</w:t>
      </w:r>
      <w:r>
        <w:br/>
        <w:t>\right)</w:t>
      </w:r>
    </w:p>
    <w:p w:rsidR="00027411" w:rsidRDefault="00027411" w:rsidP="004C5510">
      <w:pPr>
        <w:numPr>
          <w:ilvl w:val="0"/>
          <w:numId w:val="423"/>
        </w:numPr>
        <w:spacing w:before="100" w:beforeAutospacing="1" w:after="100" w:afterAutospacing="1"/>
      </w:pPr>
    </w:p>
    <w:p w:rsidR="00027411" w:rsidRDefault="00027411" w:rsidP="00027411">
      <w:pPr>
        <w:pStyle w:val="StandardWeb"/>
      </w:pPr>
      <w:r>
        <w:t>\tag{3.9221}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D_A\left(A_C^{(D)}\right)=1</w:t>
      </w:r>
    </w:p>
    <w:p w:rsidR="00027411" w:rsidRDefault="00027411" w:rsidP="00027411">
      <w:pPr>
        <w:pStyle w:val="StandardWeb"/>
      </w:pPr>
      <w:r>
        <w:t>Die Unabhängigkeit gegenüber der bisherigen Primäraxiomatik wurde durch die Existenz der beiden Modellklassen</w:t>
      </w:r>
    </w:p>
    <w:p w:rsidR="00027411" w:rsidRDefault="00027411" w:rsidP="00027411">
      <w:pPr>
        <w:pStyle w:val="StandardWeb"/>
      </w:pPr>
      <w:r>
        <w:t>[</w:t>
      </w:r>
      <w:r>
        <w:br/>
        <w:t>\mathcal M_{+}</w:t>
      </w:r>
      <w:r>
        <w:br/>
        <w:t>\models</w:t>
      </w:r>
      <w:r>
        <w:br/>
        <w:t>A_C^{(D)}</w:t>
      </w:r>
      <w:r>
        <w:br/>
        <w:t>\tag{3.9222}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M_{+}\models A_C^{(D)}</w:t>
      </w:r>
    </w:p>
    <w:p w:rsidR="00027411" w:rsidRDefault="00027411" w:rsidP="00027411">
      <w:pPr>
        <w:pStyle w:val="StandardWeb"/>
      </w:pPr>
      <w:r>
        <w:t>und</w:t>
      </w:r>
    </w:p>
    <w:p w:rsidR="00027411" w:rsidRDefault="00027411" w:rsidP="00027411">
      <w:pPr>
        <w:pStyle w:val="StandardWeb"/>
      </w:pPr>
      <w:r>
        <w:t>[</w:t>
      </w:r>
      <w:r>
        <w:br/>
        <w:t>\mathcal M_{\neg D}</w:t>
      </w:r>
      <w:r>
        <w:br/>
        <w:t>\models</w:t>
      </w:r>
      <w:r>
        <w:br/>
      </w:r>
      <w:r>
        <w:lastRenderedPageBreak/>
        <w:t>\neg A_C^{(D)}</w:t>
      </w:r>
      <w:r>
        <w:br/>
        <w:t>\tag{3.9223}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M_{\neg D}\models\neg A_C^{(D)}</w:t>
      </w:r>
    </w:p>
    <w:p w:rsidR="00027411" w:rsidRDefault="00027411" w:rsidP="00027411">
      <w:pPr>
        <w:pStyle w:val="StandardWeb"/>
      </w:pPr>
      <w:r>
        <w:t>bei gemeinsamer Erfüllbarkeit der übrigen Primäraxiome gezeigt.</w:t>
      </w:r>
    </w:p>
    <w:p w:rsidR="00027411" w:rsidRDefault="00027411" w:rsidP="00027411">
      <w:pPr>
        <w:pStyle w:val="StandardWeb"/>
      </w:pPr>
      <w:r>
        <w:t>Damit gilt</w:t>
      </w:r>
    </w:p>
    <w:p w:rsidR="00027411" w:rsidRDefault="00027411" w:rsidP="00027411">
      <w:pPr>
        <w:pStyle w:val="berschrift1"/>
      </w:pPr>
      <w:r>
        <w:t>[</w:t>
      </w:r>
      <w:r>
        <w:br/>
        <w:t>I_A</w:t>
      </w:r>
      <w:r>
        <w:br/>
        <w:t>\left(</w:t>
      </w:r>
      <w:r>
        <w:br/>
        <w:t>A_C^{(D)}</w:t>
      </w:r>
      <w:r>
        <w:br/>
        <w:t>\right)</w:t>
      </w:r>
    </w:p>
    <w:p w:rsidR="00027411" w:rsidRDefault="00027411" w:rsidP="004C5510">
      <w:pPr>
        <w:numPr>
          <w:ilvl w:val="0"/>
          <w:numId w:val="424"/>
        </w:numPr>
        <w:spacing w:before="100" w:beforeAutospacing="1" w:after="100" w:afterAutospacing="1"/>
      </w:pPr>
    </w:p>
    <w:p w:rsidR="00027411" w:rsidRDefault="00027411" w:rsidP="00027411">
      <w:pPr>
        <w:pStyle w:val="StandardWeb"/>
      </w:pPr>
      <w:r>
        <w:t>\tag{3.9224}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I_A\left(A_C^{(D)}\right)=1</w:t>
      </w:r>
    </w:p>
    <w:p w:rsidR="00027411" w:rsidRDefault="00027411" w:rsidP="00027411">
      <w:pPr>
        <w:pStyle w:val="StandardWeb"/>
      </w:pPr>
      <w:r>
        <w:t>Die Existenz des Modells (\mathcal M_+) zeigt zugleich die Konsistenz der erweiterten Axiomatik:</w:t>
      </w:r>
    </w:p>
    <w:p w:rsidR="00027411" w:rsidRDefault="00027411" w:rsidP="00027411">
      <w:pPr>
        <w:pStyle w:val="berschrift1"/>
      </w:pPr>
      <w:r>
        <w:t>[</w:t>
      </w:r>
      <w:r>
        <w:br/>
        <w:t>K_A</w:t>
      </w:r>
      <w:r>
        <w:br/>
        <w:t>\left(</w:t>
      </w:r>
      <w:r>
        <w:br/>
        <w:t>A_C^{(D)}</w:t>
      </w:r>
      <w:r>
        <w:br/>
        <w:t>\right)</w:t>
      </w:r>
    </w:p>
    <w:p w:rsidR="00027411" w:rsidRDefault="00027411" w:rsidP="004C5510">
      <w:pPr>
        <w:numPr>
          <w:ilvl w:val="0"/>
          <w:numId w:val="425"/>
        </w:numPr>
        <w:spacing w:before="100" w:beforeAutospacing="1" w:after="100" w:afterAutospacing="1"/>
      </w:pPr>
    </w:p>
    <w:p w:rsidR="00027411" w:rsidRDefault="00027411" w:rsidP="00027411">
      <w:pPr>
        <w:pStyle w:val="StandardWeb"/>
      </w:pPr>
      <w:r>
        <w:t>\tag{3.9225}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K_A\left(A_C^{(D)}\right)=1</w:t>
      </w:r>
    </w:p>
    <w:p w:rsidR="00027411" w:rsidRDefault="00027411" w:rsidP="00027411">
      <w:pPr>
        <w:pStyle w:val="StandardWeb"/>
      </w:pPr>
      <w:r>
        <w:lastRenderedPageBreak/>
        <w:t>Die Prüfung der Komponenten von Kandidat D ergab, dass keine seiner vier wesentlichen Bedingungen entfernt werden kann, ohne entweder zum zu schwachen Kandidaten A zurückzukehren oder die Kohärenz- beziehungsweise Funktionsbindung zu verlieren. Daher gilt</w:t>
      </w:r>
    </w:p>
    <w:p w:rsidR="00027411" w:rsidRDefault="00027411" w:rsidP="00027411">
      <w:pPr>
        <w:pStyle w:val="berschrift1"/>
      </w:pPr>
      <w:r>
        <w:t>[</w:t>
      </w:r>
      <w:r>
        <w:br/>
        <w:t>M_A</w:t>
      </w:r>
      <w:r>
        <w:br/>
        <w:t>\left(</w:t>
      </w:r>
      <w:r>
        <w:br/>
        <w:t>A_C^{(D)}</w:t>
      </w:r>
      <w:r>
        <w:br/>
        <w:t>\right)</w:t>
      </w:r>
    </w:p>
    <w:p w:rsidR="00027411" w:rsidRDefault="00027411" w:rsidP="004C5510">
      <w:pPr>
        <w:numPr>
          <w:ilvl w:val="0"/>
          <w:numId w:val="426"/>
        </w:numPr>
        <w:spacing w:before="100" w:beforeAutospacing="1" w:after="100" w:afterAutospacing="1"/>
      </w:pPr>
    </w:p>
    <w:p w:rsidR="00027411" w:rsidRDefault="00027411" w:rsidP="00027411">
      <w:pPr>
        <w:pStyle w:val="StandardWeb"/>
      </w:pPr>
      <w:r>
        <w:t>\tag{3.9226}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M_A\left(A_C^{(D)}\right)=1</w:t>
      </w:r>
    </w:p>
    <w:p w:rsidR="00027411" w:rsidRDefault="00027411" w:rsidP="00027411">
      <w:pPr>
        <w:pStyle w:val="StandardWeb"/>
      </w:pPr>
      <w:r>
        <w:t>Die relative Konservativitätsprüfung zeigte, dass keine unabhängigen Raum-, Zeit-, Kausalitäts-, Dynamik-, Symmetrie-, Stabilitäts- oder Erhaltungsaussagen erzwungen werden. Damit gilt</w:t>
      </w:r>
    </w:p>
    <w:p w:rsidR="00027411" w:rsidRDefault="00027411" w:rsidP="00027411">
      <w:pPr>
        <w:pStyle w:val="berschrift1"/>
      </w:pPr>
      <w:r>
        <w:t>[</w:t>
      </w:r>
      <w:r>
        <w:br/>
        <w:t>Z_A</w:t>
      </w:r>
      <w:r>
        <w:br/>
        <w:t>\left(</w:t>
      </w:r>
      <w:r>
        <w:br/>
        <w:t>A_C^{(D)}</w:t>
      </w:r>
      <w:r>
        <w:br/>
        <w:t>\right)</w:t>
      </w:r>
    </w:p>
    <w:p w:rsidR="00027411" w:rsidRDefault="00027411" w:rsidP="004C5510">
      <w:pPr>
        <w:numPr>
          <w:ilvl w:val="0"/>
          <w:numId w:val="427"/>
        </w:numPr>
        <w:spacing w:before="100" w:beforeAutospacing="1" w:after="100" w:afterAutospacing="1"/>
      </w:pPr>
    </w:p>
    <w:p w:rsidR="00027411" w:rsidRDefault="00027411" w:rsidP="00027411">
      <w:pPr>
        <w:pStyle w:val="StandardWeb"/>
      </w:pPr>
      <w:r>
        <w:t>\tag{3.9227}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Z_A\left(A_C^{(D)}\right)=1</w:t>
      </w:r>
    </w:p>
    <w:p w:rsidR="00027411" w:rsidRDefault="00027411" w:rsidP="00027411">
      <w:pPr>
        <w:pStyle w:val="StandardWeb"/>
      </w:pPr>
      <w:r>
        <w:t>Schließlich sind funktionale Relevanz und funktionale Kohärenz definitorisch voneinander getrennt. Deshalb gilt</w:t>
      </w:r>
    </w:p>
    <w:p w:rsidR="00027411" w:rsidRDefault="00027411" w:rsidP="00027411">
      <w:pPr>
        <w:pStyle w:val="berschrift1"/>
      </w:pPr>
      <w:r>
        <w:lastRenderedPageBreak/>
        <w:t>[</w:t>
      </w:r>
      <w:r>
        <w:br/>
        <w:t>Z_C</w:t>
      </w:r>
      <w:r>
        <w:br/>
        <w:t>\left(</w:t>
      </w:r>
      <w:r>
        <w:br/>
        <w:t>A_C^{(D)}</w:t>
      </w:r>
      <w:r>
        <w:br/>
        <w:t>\right)</w:t>
      </w:r>
    </w:p>
    <w:p w:rsidR="00027411" w:rsidRDefault="00027411" w:rsidP="004C5510">
      <w:pPr>
        <w:numPr>
          <w:ilvl w:val="0"/>
          <w:numId w:val="428"/>
        </w:numPr>
        <w:spacing w:before="100" w:beforeAutospacing="1" w:after="100" w:afterAutospacing="1"/>
      </w:pPr>
    </w:p>
    <w:p w:rsidR="00027411" w:rsidRDefault="00027411" w:rsidP="00027411">
      <w:pPr>
        <w:pStyle w:val="StandardWeb"/>
      </w:pPr>
      <w:r>
        <w:t>\tag{3.9228}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Z_C\left(A_C^{(D)}\right)=1</w:t>
      </w:r>
    </w:p>
    <w:p w:rsidR="00027411" w:rsidRDefault="00027411" w:rsidP="00027411">
      <w:pPr>
        <w:pStyle w:val="StandardWeb"/>
      </w:pPr>
      <w:r>
        <w:t>Somit erfüllt Kandidat D sämtliche festgelegten Zulässigkeitsbedingungen für einen FRZK-Primäraxiomstatus.</w:t>
      </w:r>
    </w:p>
    <w:p w:rsidR="00027411" w:rsidRDefault="00027411" w:rsidP="00027411">
      <w:pPr>
        <w:pStyle w:val="StandardWeb"/>
      </w:pPr>
      <w:r>
        <w:t>[</w:t>
      </w:r>
      <w:r>
        <w:br/>
        <w:t>\boxed{</w:t>
      </w:r>
      <w:r>
        <w:br/>
        <w:t>A_C^{(D)}</w:t>
      </w:r>
      <w:r>
        <w:br/>
        <w:t>\text{ ist als Primäraxiom zulässig.}</w:t>
      </w:r>
      <w:r>
        <w:br/>
        <w:t>}</w:t>
      </w:r>
      <w:r>
        <w:br/>
        <w:t>\tag{3.9229}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\boxed{A_C^{(D)}\text{ ist als Primäraxiom zulässig.}}</w:t>
      </w:r>
    </w:p>
    <w:p w:rsidR="00027411" w:rsidRDefault="00027411" w:rsidP="00027411">
      <w:pPr>
        <w:pStyle w:val="StandardWeb"/>
      </w:pPr>
      <w:r>
        <w:t>(\square)</w:t>
      </w:r>
    </w:p>
    <w:p w:rsidR="00027411" w:rsidRDefault="00E50336" w:rsidP="00027411">
      <w:r>
        <w:pict>
          <v:rect id="_x0000_i2658" style="width:0;height:1.5pt" o:hralign="center" o:hrstd="t" o:hr="t" fillcolor="#a0a0a0" stroked="f"/>
        </w:pict>
      </w:r>
    </w:p>
    <w:p w:rsidR="00027411" w:rsidRDefault="00027411" w:rsidP="00027411">
      <w:pPr>
        <w:pStyle w:val="berschrift1"/>
      </w:pPr>
      <w:r>
        <w:t>3.3.43.493 Korollar 3.3.10 – Ausschluss vollständig relevanzkohärenzfreier FRZK-Modelle</w:t>
      </w:r>
    </w:p>
    <w:p w:rsidR="00027411" w:rsidRDefault="00027411" w:rsidP="00027411">
      <w:pPr>
        <w:pStyle w:val="StandardWeb"/>
      </w:pPr>
      <w:r>
        <w:t>Wird Kandidat D als Primäraxiom übernommen, sind Modelle ausgeschlossen, in denen sämtliche funktional relevanten Teilstrukturen in sämtlichen zulässigen Zuständen kohärenzfrei bleiben.</w:t>
      </w:r>
    </w:p>
    <w:p w:rsidR="00027411" w:rsidRDefault="00027411" w:rsidP="00027411">
      <w:pPr>
        <w:pStyle w:val="StandardWeb"/>
      </w:pPr>
      <w:r>
        <w:t>Formal:</w:t>
      </w:r>
    </w:p>
    <w:p w:rsidR="00027411" w:rsidRDefault="00027411" w:rsidP="00027411">
      <w:pPr>
        <w:pStyle w:val="StandardWeb"/>
      </w:pPr>
      <w:r>
        <w:t>[</w:t>
      </w:r>
      <w:r>
        <w:br/>
        <w:t>A_C^{(D)}</w:t>
      </w:r>
      <w:r>
        <w:br/>
        <w:t>\Rightarrow</w:t>
      </w:r>
      <w:r>
        <w:br/>
      </w:r>
      <w:r>
        <w:lastRenderedPageBreak/>
        <w:t>\mathcal M_{\neg D}</w:t>
      </w:r>
      <w:r>
        <w:br/>
        <w:t>\notin</w:t>
      </w:r>
      <w:r>
        <w:br/>
        <w:t>\mathfrak M_F^{\mathrm{FRZK}}.</w:t>
      </w:r>
      <w:r>
        <w:br/>
        <w:t>\tag{3.9230}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A_C^{(D)}\Rightarrow\mathcal M_{\neg D}\notin\mathfrak M_F^{\mathrm{FRZK}}</w:t>
      </w:r>
    </w:p>
    <w:p w:rsidR="00027411" w:rsidRDefault="00E50336" w:rsidP="00027411">
      <w:r>
        <w:pict>
          <v:rect id="_x0000_i2659" style="width:0;height:1.5pt" o:hralign="center" o:hrstd="t" o:hr="t" fillcolor="#a0a0a0" stroked="f"/>
        </w:pict>
      </w:r>
    </w:p>
    <w:p w:rsidR="00027411" w:rsidRDefault="00027411" w:rsidP="00027411">
      <w:pPr>
        <w:pStyle w:val="berschrift1"/>
      </w:pPr>
      <w:r>
        <w:t>3.3.43.494 Keine stärkere Folgerung aus Korollar 3.3.10</w:t>
      </w:r>
    </w:p>
    <w:p w:rsidR="00027411" w:rsidRDefault="00027411" w:rsidP="00027411">
      <w:pPr>
        <w:pStyle w:val="StandardWeb"/>
      </w:pPr>
      <w:r>
        <w:t>Das Korollar bedeutet jedoch nicht</w:t>
      </w:r>
    </w:p>
    <w:p w:rsidR="00027411" w:rsidRDefault="00027411" w:rsidP="00027411">
      <w:pPr>
        <w:pStyle w:val="StandardWeb"/>
      </w:pPr>
      <w:r>
        <w:t>[</w:t>
      </w:r>
      <w:r>
        <w:br/>
        <w:t>\forall z:</w:t>
      </w:r>
      <w:r>
        <w:br/>
        <w:t>C_{\mathrm{sys}}(z)&gt;0.</w:t>
      </w:r>
      <w:r>
        <w:br/>
        <w:t>\tag{3.9231}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\forall z:C_{\mathrm{sys}}(z)&gt;0</w:t>
      </w:r>
    </w:p>
    <w:p w:rsidR="00027411" w:rsidRDefault="00027411" w:rsidP="00027411">
      <w:pPr>
        <w:pStyle w:val="StandardWeb"/>
      </w:pPr>
      <w:r>
        <w:t xml:space="preserve">Es bedeutet lediglich, dass </w:t>
      </w:r>
      <w:r>
        <w:rPr>
          <w:rStyle w:val="Fett"/>
        </w:rPr>
        <w:t>mindestens eine</w:t>
      </w:r>
      <w:r>
        <w:t xml:space="preserve"> funktional relevante kohärente Struktur innerhalb des zulässigen Modellraums existieren muss.</w:t>
      </w:r>
    </w:p>
    <w:p w:rsidR="00027411" w:rsidRDefault="00E50336" w:rsidP="00027411">
      <w:r>
        <w:pict>
          <v:rect id="_x0000_i2660" style="width:0;height:1.5pt" o:hralign="center" o:hrstd="t" o:hr="t" fillcolor="#a0a0a0" stroked="f"/>
        </w:pict>
      </w:r>
    </w:p>
    <w:p w:rsidR="00027411" w:rsidRDefault="00027411" w:rsidP="00027411">
      <w:pPr>
        <w:pStyle w:val="berschrift1"/>
      </w:pPr>
      <w:r>
        <w:t>3.3.43.495 Übergang vom Kandidaten zum Primäraxiom</w:t>
      </w:r>
    </w:p>
    <w:p w:rsidR="00027411" w:rsidRDefault="00027411" w:rsidP="00027411">
      <w:pPr>
        <w:pStyle w:val="StandardWeb"/>
      </w:pPr>
      <w:r>
        <w:t>Nach Abschluss der Prüfungen kann ich nun den Status ändern:</w:t>
      </w:r>
    </w:p>
    <w:p w:rsidR="00027411" w:rsidRDefault="00027411" w:rsidP="00027411">
      <w:pPr>
        <w:pStyle w:val="StandardWeb"/>
      </w:pPr>
      <w:r>
        <w:t>[</w:t>
      </w:r>
      <w:r>
        <w:br/>
        <w:t>A_C^{(D)}</w:t>
      </w:r>
      <w:r>
        <w:br/>
        <w:t>:</w:t>
      </w:r>
      <w:r>
        <w:br/>
        <w:t>\mathfrak A_C^{\mathrm{cand}}</w:t>
      </w:r>
      <w:r>
        <w:br/>
        <w:t>\longrightarrow</w:t>
      </w:r>
      <w:r>
        <w:br/>
        <w:t>\mathfrak A_{F,\mathrm{prim}}.</w:t>
      </w:r>
      <w:r>
        <w:br/>
        <w:t>\tag{3.9232}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A_C^{(D)}:\mathfrak A_C^{\mathrm{cand}}\longrightarrow\mathfrak A_{F,\mathrm{prim}}</w:t>
      </w:r>
    </w:p>
    <w:p w:rsidR="00027411" w:rsidRDefault="00027411" w:rsidP="00027411">
      <w:pPr>
        <w:pStyle w:val="StandardWeb"/>
      </w:pPr>
      <w:r>
        <w:lastRenderedPageBreak/>
        <w:t>Diese Statusänderung ist eine explizite Theorieentscheidung auf Grundlage der vorangegangenen Prüfungen.</w:t>
      </w:r>
    </w:p>
    <w:p w:rsidR="00027411" w:rsidRDefault="00E50336" w:rsidP="00027411">
      <w:r>
        <w:pict>
          <v:rect id="_x0000_i2661" style="width:0;height:1.5pt" o:hralign="center" o:hrstd="t" o:hr="t" fillcolor="#a0a0a0" stroked="f"/>
        </w:pict>
      </w:r>
    </w:p>
    <w:p w:rsidR="00027411" w:rsidRDefault="00027411" w:rsidP="00027411">
      <w:pPr>
        <w:pStyle w:val="berschrift1"/>
      </w:pPr>
      <w:r>
        <w:t>3.3.43.496 Primäraxiom der funktionalen Kohärenz</w:t>
      </w:r>
    </w:p>
    <w:p w:rsidR="00027411" w:rsidRDefault="00027411" w:rsidP="00027411">
      <w:pPr>
        <w:pStyle w:val="StandardWeb"/>
      </w:pPr>
      <w:r>
        <w:t xml:space="preserve">Ich führe Kandidat D damit endgültig als </w:t>
      </w:r>
      <w:r>
        <w:rPr>
          <w:rStyle w:val="Fett"/>
        </w:rPr>
        <w:t>Primäraxiom der funktionalen Kohärenz</w:t>
      </w:r>
      <w:r>
        <w:t xml:space="preserve"> ein.</w:t>
      </w:r>
    </w:p>
    <w:p w:rsidR="00027411" w:rsidRDefault="00027411" w:rsidP="00027411">
      <w:pPr>
        <w:pStyle w:val="berschrift3"/>
      </w:pPr>
      <w:r>
        <w:t>Primäraxiom 3.3.C – Existenz funktional relevanter Kohärenz</w:t>
      </w:r>
    </w:p>
    <w:p w:rsidR="00027411" w:rsidRDefault="00027411" w:rsidP="00027411">
      <w:pPr>
        <w:pStyle w:val="StandardWeb"/>
      </w:pPr>
      <w:r>
        <w:t>Für jedes FRZK-Modell existiert mindestens ein zulässiger Zustand und mindestens eine funktional relevante Teilstruktur, die positive funktionale Kohärenz besitzt.</w:t>
      </w:r>
    </w:p>
    <w:p w:rsidR="00027411" w:rsidRDefault="00027411" w:rsidP="00027411">
      <w:pPr>
        <w:pStyle w:val="StandardWeb"/>
      </w:pPr>
      <w:r>
        <w:t>Formal:</w:t>
      </w:r>
    </w:p>
    <w:p w:rsidR="00027411" w:rsidRDefault="00027411" w:rsidP="00027411">
      <w:pPr>
        <w:pStyle w:val="StandardWeb"/>
      </w:pPr>
      <w:r>
        <w:t>[</w:t>
      </w:r>
      <w:r>
        <w:br/>
        <w:t>\boxed{</w:t>
      </w:r>
      <w:r>
        <w:br/>
        <w:t>A_C:</w:t>
      </w:r>
      <w:r>
        <w:br/>
        <w:t>\exists z\in\Omega_F</w:t>
      </w:r>
      <w:r>
        <w:br/>
        <w:t>;</w:t>
      </w:r>
      <w:r>
        <w:br/>
        <w:t>\exists\mathcal S_C\subseteq\mathcal S_F</w:t>
      </w:r>
      <w:r>
        <w:br/>
        <w:t>:</w:t>
      </w:r>
      <w:r>
        <w:br/>
        <w:t>R_F(\mathcal S_C)=1</w:t>
      </w:r>
      <w:r>
        <w:br/>
        <w:t>\land</w:t>
      </w:r>
      <w:r>
        <w:br/>
        <w:t>C_F(\mathcal S_C;z)&gt;0.</w:t>
      </w:r>
      <w:r>
        <w:br/>
        <w:t>}</w:t>
      </w:r>
      <w:r>
        <w:br/>
        <w:t>\tag{3.9233}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\boxed{A_C:\exists z\in\Omega_F\;\exists\mathcal S_C\subseteq\mathcal S_F:R_F(\mathcal S_C)=1\land C_F(\mathcal S_C;z)&gt;0.}</w:t>
      </w:r>
    </w:p>
    <w:p w:rsidR="00027411" w:rsidRDefault="00027411" w:rsidP="00027411">
      <w:pPr>
        <w:pStyle w:val="StandardWeb"/>
      </w:pPr>
      <w:r>
        <w:t xml:space="preserve">Dies ist eine </w:t>
      </w:r>
      <w:r>
        <w:rPr>
          <w:rStyle w:val="Fett"/>
        </w:rPr>
        <w:t>originäre FRZK-Eigenleistung</w:t>
      </w:r>
      <w:r>
        <w:t xml:space="preserve"> und keine aus einer etablierten physikalischen Theorie übernommene Naturgleichung.</w:t>
      </w:r>
    </w:p>
    <w:p w:rsidR="00027411" w:rsidRDefault="00E50336" w:rsidP="00027411">
      <w:r>
        <w:pict>
          <v:rect id="_x0000_i2662" style="width:0;height:1.5pt" o:hralign="center" o:hrstd="t" o:hr="t" fillcolor="#a0a0a0" stroked="f"/>
        </w:pict>
      </w:r>
    </w:p>
    <w:p w:rsidR="00027411" w:rsidRDefault="00027411" w:rsidP="00027411">
      <w:pPr>
        <w:pStyle w:val="berschrift1"/>
      </w:pPr>
      <w:r>
        <w:t>3.3.43.497 Minimalform des Kohärenzprimäraxioms</w:t>
      </w:r>
    </w:p>
    <w:p w:rsidR="00027411" w:rsidRDefault="00027411" w:rsidP="00027411">
      <w:pPr>
        <w:pStyle w:val="StandardWeb"/>
      </w:pPr>
      <w:r>
        <w:t>Die logische Minimalstruktur lautet</w:t>
      </w:r>
    </w:p>
    <w:p w:rsidR="00027411" w:rsidRDefault="00027411" w:rsidP="00027411">
      <w:pPr>
        <w:pStyle w:val="berschrift1"/>
      </w:pPr>
      <w:r>
        <w:t>[</w:t>
      </w:r>
      <w:r>
        <w:br/>
        <w:t>A_C</w:t>
      </w:r>
    </w:p>
    <w:p w:rsidR="00027411" w:rsidRDefault="00027411" w:rsidP="00027411">
      <w:pPr>
        <w:pStyle w:val="StandardWeb"/>
      </w:pPr>
      <w:r>
        <w:t>\exists</w:t>
      </w:r>
      <w:r>
        <w:br/>
        <w:t>\left(</w:t>
      </w:r>
      <w:r>
        <w:br/>
      </w:r>
      <w:r>
        <w:lastRenderedPageBreak/>
        <w:t>z,</w:t>
      </w:r>
      <w:r>
        <w:br/>
        <w:t>\mathcal S_C</w:t>
      </w:r>
      <w:r>
        <w:br/>
        <w:t>\right)</w:t>
      </w:r>
      <w:r>
        <w:br/>
        <w:t>:</w:t>
      </w:r>
      <w:r>
        <w:br/>
        <w:t>R_F=1</w:t>
      </w:r>
      <w:r>
        <w:br/>
        <w:t>\land</w:t>
      </w:r>
      <w:r>
        <w:br/>
        <w:t>C_F&gt;0.</w:t>
      </w:r>
      <w:r>
        <w:br/>
        <w:t>\tag{3.9234}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A_C=\exists\left(z,\mathcal S_C\right):R_F=1\land C_F&gt;0</w:t>
      </w:r>
    </w:p>
    <w:p w:rsidR="00027411" w:rsidRDefault="00027411" w:rsidP="00027411">
      <w:pPr>
        <w:pStyle w:val="StandardWeb"/>
      </w:pPr>
      <w:r>
        <w:t>Alle darüber hinausgehenden quantitativen Kohärenzaussagen sind entweder Definitionen, zusätzliche Modellannahmen, abgeleitete Sätze oder empirisch zu bestimmende Größen.</w:t>
      </w:r>
    </w:p>
    <w:p w:rsidR="00027411" w:rsidRDefault="00E50336" w:rsidP="00027411">
      <w:r>
        <w:pict>
          <v:rect id="_x0000_i2663" style="width:0;height:1.5pt" o:hralign="center" o:hrstd="t" o:hr="t" fillcolor="#a0a0a0" stroked="f"/>
        </w:pict>
      </w:r>
    </w:p>
    <w:p w:rsidR="00027411" w:rsidRDefault="00027411" w:rsidP="00027411">
      <w:pPr>
        <w:pStyle w:val="berschrift1"/>
      </w:pPr>
      <w:r>
        <w:t>3.3.43.498 Konsequenz für die FRZK-Modellklasse</w:t>
      </w:r>
    </w:p>
    <w:p w:rsidR="00027411" w:rsidRDefault="00027411" w:rsidP="00027411">
      <w:pPr>
        <w:pStyle w:val="StandardWeb"/>
      </w:pPr>
      <w:r>
        <w:t>Damit definiere ich</w:t>
      </w:r>
    </w:p>
    <w:p w:rsidR="00027411" w:rsidRDefault="00027411" w:rsidP="00027411">
      <w:pPr>
        <w:pStyle w:val="berschrift1"/>
      </w:pPr>
      <w:r>
        <w:t>[</w:t>
      </w:r>
      <w:r>
        <w:br/>
        <w:t>\mathfrak M_{\mathrm{FRZK}}</w:t>
      </w:r>
    </w:p>
    <w:p w:rsidR="00027411" w:rsidRDefault="00027411" w:rsidP="00027411">
      <w:pPr>
        <w:pStyle w:val="StandardWeb"/>
      </w:pPr>
      <w:r>
        <w:t>\operatorname{Mod}</w:t>
      </w:r>
      <w:r>
        <w:br/>
        <w:t>\left(</w:t>
      </w:r>
      <w:r>
        <w:br/>
        <w:t>\mathfrak A_F^{0}</w:t>
      </w:r>
      <w:r>
        <w:br/>
        <w:t>\cup</w:t>
      </w:r>
      <w:r>
        <w:br/>
        <w:t>{A_C}</w:t>
      </w:r>
      <w:r>
        <w:br/>
        <w:t>\right).</w:t>
      </w:r>
      <w:r>
        <w:br/>
        <w:t>\tag{3.9235}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M_{\mathrm{FRZK}}=\operatorname{Mod}\left(\mathfrak A_F^{0}\cup\{A_C\}\right)</w:t>
      </w:r>
    </w:p>
    <w:p w:rsidR="00027411" w:rsidRDefault="00027411" w:rsidP="00027411">
      <w:pPr>
        <w:pStyle w:val="StandardWeb"/>
      </w:pPr>
      <w:r>
        <w:t>Ein Modell, das (A_C) verletzt, gehört nicht zur durch diese Axiomatik definierten FRZK-Modellklasse.</w:t>
      </w:r>
    </w:p>
    <w:p w:rsidR="00027411" w:rsidRDefault="00E50336" w:rsidP="00027411">
      <w:r>
        <w:pict>
          <v:rect id="_x0000_i2664" style="width:0;height:1.5pt" o:hralign="center" o:hrstd="t" o:hr="t" fillcolor="#a0a0a0" stroked="f"/>
        </w:pict>
      </w:r>
    </w:p>
    <w:p w:rsidR="00027411" w:rsidRDefault="00027411" w:rsidP="00027411">
      <w:pPr>
        <w:pStyle w:val="berschrift1"/>
      </w:pPr>
      <w:r>
        <w:t>3.3.43.499 Primäraxiom und Kohärenzdefinition</w:t>
      </w:r>
    </w:p>
    <w:p w:rsidR="00027411" w:rsidRDefault="00027411" w:rsidP="00027411">
      <w:pPr>
        <w:pStyle w:val="StandardWeb"/>
      </w:pPr>
      <w:r>
        <w:t>Das Primäraxiom darf nicht mit Definition 3.3.53 verwechselt werden.</w:t>
      </w:r>
    </w:p>
    <w:p w:rsidR="00027411" w:rsidRDefault="00027411" w:rsidP="00027411">
      <w:pPr>
        <w:pStyle w:val="StandardWeb"/>
      </w:pPr>
      <w:r>
        <w:t>Definition 3.3.53 beantwortet:</w:t>
      </w:r>
    </w:p>
    <w:p w:rsidR="00027411" w:rsidRDefault="00027411" w:rsidP="00027411">
      <w:pPr>
        <w:pStyle w:val="StandardWeb"/>
      </w:pPr>
      <w:r>
        <w:lastRenderedPageBreak/>
        <w:t>[</w:t>
      </w:r>
      <w:r>
        <w:br/>
        <w:t>\text{Wann nenne ich eine Relation kohärent?}</w:t>
      </w:r>
      <w:r>
        <w:br/>
        <w:t>\tag{3.9236}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\text{Wann nenne ich eine Relation kohärent?}</w:t>
      </w:r>
    </w:p>
    <w:p w:rsidR="00027411" w:rsidRDefault="00027411" w:rsidP="00027411">
      <w:pPr>
        <w:pStyle w:val="StandardWeb"/>
      </w:pPr>
      <w:r>
        <w:t>Das Primäraxiom beantwortet dagegen:</w:t>
      </w:r>
    </w:p>
    <w:p w:rsidR="00027411" w:rsidRDefault="00027411" w:rsidP="00027411">
      <w:pPr>
        <w:pStyle w:val="StandardWeb"/>
      </w:pPr>
      <w:r>
        <w:t>[</w:t>
      </w:r>
      <w:r>
        <w:br/>
        <w:t>\text{Muss funktional relevante Kohärenz im FRZK überhaupt existieren?}</w:t>
      </w:r>
      <w:r>
        <w:br/>
        <w:t>\tag{3.9237}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\text{Muss funktional relevante Kohärenz im FRZK überhaupt existieren?}</w:t>
      </w:r>
    </w:p>
    <w:p w:rsidR="00027411" w:rsidRDefault="00027411" w:rsidP="00027411">
      <w:pPr>
        <w:pStyle w:val="StandardWeb"/>
      </w:pPr>
      <w:r>
        <w:t>Diese beiden Ebenen sind strikt getrennt.</w:t>
      </w:r>
    </w:p>
    <w:p w:rsidR="00027411" w:rsidRDefault="00E50336" w:rsidP="00027411">
      <w:r>
        <w:pict>
          <v:rect id="_x0000_i2665" style="width:0;height:1.5pt" o:hralign="center" o:hrstd="t" o:hr="t" fillcolor="#a0a0a0" stroked="f"/>
        </w:pict>
      </w:r>
    </w:p>
    <w:p w:rsidR="00027411" w:rsidRDefault="00027411" w:rsidP="00027411">
      <w:pPr>
        <w:pStyle w:val="berschrift1"/>
      </w:pPr>
      <w:r>
        <w:t>3.3.43.500 Definition versus Existenzbehauptung</w:t>
      </w:r>
    </w:p>
    <w:p w:rsidR="00027411" w:rsidRDefault="00027411" w:rsidP="00027411">
      <w:pPr>
        <w:pStyle w:val="StandardWeb"/>
      </w:pPr>
      <w:r>
        <w:t>Formal gilt</w:t>
      </w:r>
    </w:p>
    <w:p w:rsidR="00027411" w:rsidRDefault="00027411" w:rsidP="00027411">
      <w:pPr>
        <w:pStyle w:val="StandardWeb"/>
      </w:pPr>
      <w:r>
        <w:t>[</w:t>
      </w:r>
      <w:r>
        <w:br/>
        <w:t>\underbrace{</w:t>
      </w:r>
      <w:r>
        <w:br/>
        <w:t>C_F&gt;0</w:t>
      </w:r>
      <w:r>
        <w:br/>
        <w:t>\Longleftrightarrow</w:t>
      </w:r>
      <w:r>
        <w:br/>
        <w:t>\mathcal C=1</w:t>
      </w:r>
      <w:r>
        <w:br/>
        <w:t>\land</w:t>
      </w:r>
      <w:r>
        <w:br/>
        <w:t>K_F=1</w:t>
      </w:r>
      <w:r>
        <w:br/>
        <w:t>\land</w:t>
      </w:r>
      <w:r>
        <w:br/>
        <w:t>\kappa&gt;0</w:t>
      </w:r>
      <w:r>
        <w:br/>
        <w:t>}_{\text{Definition}}</w:t>
      </w:r>
      <w:r>
        <w:br/>
        <w:t>\tag{3.9238}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\underbrace{C_F&gt;0\Longleftrightarrow\mathcal C=1\land K_F=1\land\kappa&gt;0}_{\text{Definition}}</w:t>
      </w:r>
    </w:p>
    <w:p w:rsidR="00027411" w:rsidRDefault="00027411" w:rsidP="00027411">
      <w:pPr>
        <w:pStyle w:val="StandardWeb"/>
      </w:pPr>
      <w:r>
        <w:t>gegenüber</w:t>
      </w:r>
    </w:p>
    <w:p w:rsidR="00027411" w:rsidRDefault="00027411" w:rsidP="00027411">
      <w:pPr>
        <w:pStyle w:val="StandardWeb"/>
      </w:pPr>
      <w:r>
        <w:t>[</w:t>
      </w:r>
      <w:r>
        <w:br/>
        <w:t>\underbrace{</w:t>
      </w:r>
      <w:r>
        <w:br/>
        <w:t>\exists z,\mathcal S_C:</w:t>
      </w:r>
      <w:r>
        <w:br/>
        <w:t>R_F=1</w:t>
      </w:r>
      <w:r>
        <w:br/>
      </w:r>
      <w:r>
        <w:lastRenderedPageBreak/>
        <w:t>\land</w:t>
      </w:r>
      <w:r>
        <w:br/>
        <w:t>C_F&gt;0</w:t>
      </w:r>
      <w:r>
        <w:br/>
        <w:t>}_{\text{Primäraxiom}}.</w:t>
      </w:r>
      <w:r>
        <w:br/>
        <w:t>\tag{3.9239}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\underbrace{\exists z,\mathcal S_C:R_F=1\land C_F&gt;0}_{\text{Primäraxiom}}</w:t>
      </w:r>
    </w:p>
    <w:p w:rsidR="00027411" w:rsidRDefault="00027411" w:rsidP="00027411">
      <w:pPr>
        <w:pStyle w:val="StandardWeb"/>
      </w:pPr>
      <w:r>
        <w:t>Damit ist die zentrale methodische Trennung des Abschnitts erreicht.</w:t>
      </w:r>
    </w:p>
    <w:p w:rsidR="00027411" w:rsidRDefault="00E50336" w:rsidP="00027411">
      <w:r>
        <w:pict>
          <v:rect id="_x0000_i2666" style="width:0;height:1.5pt" o:hralign="center" o:hrstd="t" o:hr="t" fillcolor="#a0a0a0" stroked="f"/>
        </w:pict>
      </w:r>
    </w:p>
    <w:p w:rsidR="00027411" w:rsidRDefault="00027411" w:rsidP="00027411">
      <w:pPr>
        <w:pStyle w:val="berschrift1"/>
      </w:pPr>
      <w:r>
        <w:t>3.3.43.501 Keine Axiomatisierung der Kohärenzstärke</w:t>
      </w:r>
    </w:p>
    <w:p w:rsidR="00027411" w:rsidRDefault="00027411" w:rsidP="00027411">
      <w:pPr>
        <w:pStyle w:val="StandardWeb"/>
      </w:pPr>
      <w:r>
        <w:t>Das Primäraxiom enthält ausdrücklich keinen Wert</w:t>
      </w:r>
    </w:p>
    <w:p w:rsidR="00027411" w:rsidRDefault="00027411" w:rsidP="00027411">
      <w:pPr>
        <w:pStyle w:val="StandardWeb"/>
      </w:pPr>
      <w:r>
        <w:t>[</w:t>
      </w:r>
      <w:r>
        <w:br/>
        <w:t>C_F=c_C.</w:t>
      </w:r>
      <w:r>
        <w:br/>
        <w:t>\tag{3.9240}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C_F=c_C</w:t>
      </w:r>
    </w:p>
    <w:p w:rsidR="00027411" w:rsidRDefault="00027411" w:rsidP="00027411">
      <w:pPr>
        <w:pStyle w:val="StandardWeb"/>
      </w:pPr>
      <w:r>
        <w:t>Damit wird keine bestimmte Kohärenzstärke axiomatisch ausgezeichnet.</w:t>
      </w:r>
    </w:p>
    <w:p w:rsidR="00027411" w:rsidRDefault="00E50336" w:rsidP="00027411">
      <w:r>
        <w:pict>
          <v:rect id="_x0000_i2667" style="width:0;height:1.5pt" o:hralign="center" o:hrstd="t" o:hr="t" fillcolor="#a0a0a0" stroked="f"/>
        </w:pict>
      </w:r>
    </w:p>
    <w:p w:rsidR="00027411" w:rsidRDefault="00027411" w:rsidP="00027411">
      <w:pPr>
        <w:pStyle w:val="berschrift1"/>
      </w:pPr>
      <w:r>
        <w:t>3.3.43.502 Keine Axiomatisierung einer Kohärenzschwelle</w:t>
      </w:r>
    </w:p>
    <w:p w:rsidR="00027411" w:rsidRDefault="00027411" w:rsidP="00027411">
      <w:pPr>
        <w:pStyle w:val="StandardWeb"/>
      </w:pPr>
      <w:r>
        <w:t>Ebenso gehört</w:t>
      </w:r>
    </w:p>
    <w:p w:rsidR="00027411" w:rsidRDefault="00027411" w:rsidP="00027411">
      <w:pPr>
        <w:pStyle w:val="StandardWeb"/>
      </w:pPr>
      <w:r>
        <w:t>[</w:t>
      </w:r>
      <w:r>
        <w:br/>
        <w:t>C_F\geq\tau_C</w:t>
      </w:r>
      <w:r>
        <w:br/>
        <w:t>\tag{3.9241}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C_F\geq\tau_C</w:t>
      </w:r>
    </w:p>
    <w:p w:rsidR="00027411" w:rsidRDefault="00027411" w:rsidP="00027411">
      <w:pPr>
        <w:pStyle w:val="StandardWeb"/>
      </w:pPr>
      <w:r>
        <w:t>nicht zum Primäraxiom.</w:t>
      </w:r>
    </w:p>
    <w:p w:rsidR="00027411" w:rsidRDefault="00027411" w:rsidP="00027411">
      <w:pPr>
        <w:pStyle w:val="StandardWeb"/>
      </w:pPr>
      <w:r>
        <w:t>Eine solche Schwelle bleibt Teil einer konkreten Operationalisierung oder einer speziellen Modellklasse.</w:t>
      </w:r>
    </w:p>
    <w:p w:rsidR="00027411" w:rsidRDefault="00E50336" w:rsidP="00027411">
      <w:r>
        <w:lastRenderedPageBreak/>
        <w:pict>
          <v:rect id="_x0000_i2668" style="width:0;height:1.5pt" o:hralign="center" o:hrstd="t" o:hr="t" fillcolor="#a0a0a0" stroked="f"/>
        </w:pict>
      </w:r>
    </w:p>
    <w:p w:rsidR="00027411" w:rsidRDefault="00027411" w:rsidP="00027411">
      <w:pPr>
        <w:pStyle w:val="berschrift1"/>
      </w:pPr>
      <w:r>
        <w:t>3.3.43.503 Keine Axiomatisierung der globalen Kohärenz</w:t>
      </w:r>
    </w:p>
    <w:p w:rsidR="00027411" w:rsidRDefault="00027411" w:rsidP="00027411">
      <w:pPr>
        <w:pStyle w:val="StandardWeb"/>
      </w:pPr>
      <w:r>
        <w:t>Auch</w:t>
      </w:r>
    </w:p>
    <w:p w:rsidR="00027411" w:rsidRDefault="00027411" w:rsidP="00027411">
      <w:pPr>
        <w:pStyle w:val="StandardWeb"/>
      </w:pPr>
      <w:r>
        <w:t>[</w:t>
      </w:r>
      <w:r>
        <w:br/>
        <w:t>C_{\mathrm{sys}}&gt;0</w:t>
      </w:r>
      <w:r>
        <w:br/>
        <w:t>\tag{3.9242}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C_{\mathrm{sys}}&gt;0</w:t>
      </w:r>
    </w:p>
    <w:p w:rsidR="00027411" w:rsidRDefault="00027411" w:rsidP="00027411">
      <w:pPr>
        <w:pStyle w:val="StandardWeb"/>
      </w:pPr>
      <w:r>
        <w:t>für das Gesamtsystem ist keine notwendige Primäraxiomforderung.</w:t>
      </w:r>
    </w:p>
    <w:p w:rsidR="00027411" w:rsidRDefault="00027411" w:rsidP="00027411">
      <w:pPr>
        <w:pStyle w:val="StandardWeb"/>
      </w:pPr>
      <w:r>
        <w:t>Es genügt die funktional relevante Teilstruktur.</w:t>
      </w:r>
    </w:p>
    <w:p w:rsidR="00027411" w:rsidRDefault="00E50336" w:rsidP="00027411">
      <w:r>
        <w:pict>
          <v:rect id="_x0000_i2669" style="width:0;height:1.5pt" o:hralign="center" o:hrstd="t" o:hr="t" fillcolor="#a0a0a0" stroked="f"/>
        </w:pict>
      </w:r>
    </w:p>
    <w:p w:rsidR="00027411" w:rsidRDefault="00027411" w:rsidP="00027411">
      <w:pPr>
        <w:pStyle w:val="berschrift1"/>
      </w:pPr>
      <w:r>
        <w:t>3.3.43.504 Keine Axiomatisierung der räumlichen Ausdehnung</w:t>
      </w:r>
    </w:p>
    <w:p w:rsidR="00027411" w:rsidRDefault="00027411" w:rsidP="00027411">
      <w:pPr>
        <w:pStyle w:val="StandardWeb"/>
      </w:pPr>
      <w:r>
        <w:t>Das Axiom fordert auch keine positive Kohärenzlänge</w:t>
      </w:r>
    </w:p>
    <w:p w:rsidR="00027411" w:rsidRDefault="00027411" w:rsidP="00027411">
      <w:pPr>
        <w:pStyle w:val="StandardWeb"/>
      </w:pPr>
      <w:r>
        <w:t>[</w:t>
      </w:r>
      <w:r>
        <w:br/>
        <w:t>L_C&gt;0</w:t>
      </w:r>
      <w:r>
        <w:br/>
        <w:t>\tag{3.9243}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L_C&gt;0</w:t>
      </w:r>
    </w:p>
    <w:p w:rsidR="00027411" w:rsidRDefault="00027411" w:rsidP="00027411">
      <w:pPr>
        <w:pStyle w:val="StandardWeb"/>
      </w:pPr>
      <w:r>
        <w:t>als separate Grundannahme.</w:t>
      </w:r>
    </w:p>
    <w:p w:rsidR="00027411" w:rsidRDefault="00027411" w:rsidP="00027411">
      <w:pPr>
        <w:pStyle w:val="StandardWeb"/>
      </w:pPr>
      <w:r>
        <w:t>Ob eine kohärente Relation räumlich ausgedehnt ist, hängt von der konkreten Modellierung ab.</w:t>
      </w:r>
    </w:p>
    <w:p w:rsidR="00027411" w:rsidRDefault="00E50336" w:rsidP="00027411">
      <w:r>
        <w:pict>
          <v:rect id="_x0000_i2670" style="width:0;height:1.5pt" o:hralign="center" o:hrstd="t" o:hr="t" fillcolor="#a0a0a0" stroked="f"/>
        </w:pict>
      </w:r>
    </w:p>
    <w:p w:rsidR="00027411" w:rsidRDefault="00027411" w:rsidP="00027411">
      <w:pPr>
        <w:pStyle w:val="berschrift1"/>
      </w:pPr>
      <w:r>
        <w:t>3.3.43.505 Keine Axiomatisierung der Kohärenzzeit</w:t>
      </w:r>
    </w:p>
    <w:p w:rsidR="00027411" w:rsidRDefault="00027411" w:rsidP="00027411">
      <w:pPr>
        <w:pStyle w:val="StandardWeb"/>
      </w:pPr>
      <w:r>
        <w:t>Ebenso wird nicht gefordert</w:t>
      </w:r>
    </w:p>
    <w:p w:rsidR="00027411" w:rsidRDefault="00027411" w:rsidP="00027411">
      <w:pPr>
        <w:pStyle w:val="StandardWeb"/>
      </w:pPr>
      <w:r>
        <w:t>[</w:t>
      </w:r>
      <w:r>
        <w:br/>
        <w:t>T_C^{\ast}&gt;0.</w:t>
      </w:r>
      <w:r>
        <w:br/>
      </w:r>
      <w:r>
        <w:lastRenderedPageBreak/>
        <w:t>\tag{3.9244}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T_C^{\ast}&gt;0</w:t>
      </w:r>
    </w:p>
    <w:p w:rsidR="00027411" w:rsidRDefault="00027411" w:rsidP="00027411">
      <w:pPr>
        <w:pStyle w:val="StandardWeb"/>
      </w:pPr>
      <w:r>
        <w:t>Eine zeitliche Kohärenzdauer ergibt sich erst aus einem dynamischen Modell.</w:t>
      </w:r>
    </w:p>
    <w:p w:rsidR="00027411" w:rsidRDefault="00E50336" w:rsidP="00027411">
      <w:r>
        <w:pict>
          <v:rect id="_x0000_i2671" style="width:0;height:1.5pt" o:hralign="center" o:hrstd="t" o:hr="t" fillcolor="#a0a0a0" stroked="f"/>
        </w:pict>
      </w:r>
    </w:p>
    <w:p w:rsidR="00027411" w:rsidRDefault="00027411" w:rsidP="00027411">
      <w:pPr>
        <w:pStyle w:val="berschrift1"/>
      </w:pPr>
      <w:r>
        <w:t>3.3.43.506 Keine Axiomatisierung der Kohärenzrichtung</w:t>
      </w:r>
    </w:p>
    <w:p w:rsidR="00027411" w:rsidRDefault="00027411" w:rsidP="00027411">
      <w:pPr>
        <w:pStyle w:val="StandardWeb"/>
      </w:pPr>
      <w:r>
        <w:t>Auch</w:t>
      </w:r>
    </w:p>
    <w:p w:rsidR="00027411" w:rsidRDefault="00027411" w:rsidP="00027411">
      <w:pPr>
        <w:pStyle w:val="StandardWeb"/>
      </w:pPr>
      <w:r>
        <w:t>[</w:t>
      </w:r>
      <w:r>
        <w:br/>
        <w:t>C_{i\rightarrow j}&gt;0</w:t>
      </w:r>
      <w:r>
        <w:br/>
        <w:t>\tag{3.9245}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C_{i\rightarrow j}&gt;0</w:t>
      </w:r>
    </w:p>
    <w:p w:rsidR="00027411" w:rsidRDefault="00027411" w:rsidP="00027411">
      <w:pPr>
        <w:pStyle w:val="StandardWeb"/>
      </w:pPr>
      <w:r>
        <w:t>wird nicht separat axiomatisiert.</w:t>
      </w:r>
    </w:p>
    <w:p w:rsidR="00027411" w:rsidRDefault="00027411" w:rsidP="00027411">
      <w:pPr>
        <w:pStyle w:val="StandardWeb"/>
      </w:pPr>
      <w:r>
        <w:t>Das Primäraxiom ist mit gerichteten und ungerichteten Kohärenzrelationen vereinbar.</w:t>
      </w:r>
    </w:p>
    <w:p w:rsidR="00027411" w:rsidRDefault="00E50336" w:rsidP="00027411">
      <w:r>
        <w:pict>
          <v:rect id="_x0000_i2672" style="width:0;height:1.5pt" o:hralign="center" o:hrstd="t" o:hr="t" fillcolor="#a0a0a0" stroked="f"/>
        </w:pict>
      </w:r>
    </w:p>
    <w:p w:rsidR="00027411" w:rsidRDefault="00027411" w:rsidP="00027411">
      <w:pPr>
        <w:pStyle w:val="berschrift1"/>
      </w:pPr>
      <w:r>
        <w:t>3.3.43.507 Keine Axiomatisierung eines Feldes</w:t>
      </w:r>
    </w:p>
    <w:p w:rsidR="00027411" w:rsidRDefault="00027411" w:rsidP="00027411">
      <w:pPr>
        <w:pStyle w:val="StandardWeb"/>
      </w:pPr>
      <w:r>
        <w:t>Die Existenz des Primäraxioms erzwingt nicht</w:t>
      </w:r>
    </w:p>
    <w:p w:rsidR="00027411" w:rsidRDefault="00027411" w:rsidP="00027411">
      <w:pPr>
        <w:pStyle w:val="StandardWeb"/>
      </w:pPr>
      <w:r>
        <w:t>[</w:t>
      </w:r>
      <w:r>
        <w:br/>
        <w:t>\mathcal C_F(x,t)</w:t>
      </w:r>
      <w:r>
        <w:br/>
        <w:t>\text{ als stetiges Feld}.</w:t>
      </w:r>
      <w:r>
        <w:br/>
        <w:t>\tag{3.9246}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C_F(x,t)\text{ als stetiges Feld}</w:t>
      </w:r>
    </w:p>
    <w:p w:rsidR="00027411" w:rsidRDefault="00027411" w:rsidP="00027411">
      <w:pPr>
        <w:pStyle w:val="StandardWeb"/>
      </w:pPr>
      <w:r>
        <w:t>Das Kohärenzfeld bleibt eine mathematische Erweiterungsstruktur.</w:t>
      </w:r>
    </w:p>
    <w:p w:rsidR="00027411" w:rsidRDefault="00E50336" w:rsidP="00027411">
      <w:r>
        <w:pict>
          <v:rect id="_x0000_i2673" style="width:0;height:1.5pt" o:hralign="center" o:hrstd="t" o:hr="t" fillcolor="#a0a0a0" stroked="f"/>
        </w:pict>
      </w:r>
    </w:p>
    <w:p w:rsidR="00027411" w:rsidRDefault="00027411" w:rsidP="00027411">
      <w:pPr>
        <w:pStyle w:val="berschrift1"/>
      </w:pPr>
      <w:r>
        <w:t>3.3.43.508 Keine Axiomatisierung eines Flusses</w:t>
      </w:r>
    </w:p>
    <w:p w:rsidR="00027411" w:rsidRDefault="00027411" w:rsidP="00027411">
      <w:pPr>
        <w:pStyle w:val="StandardWeb"/>
      </w:pPr>
      <w:r>
        <w:lastRenderedPageBreak/>
        <w:t>Ebenso folgt nicht</w:t>
      </w:r>
    </w:p>
    <w:p w:rsidR="00027411" w:rsidRDefault="00027411" w:rsidP="00027411">
      <w:pPr>
        <w:pStyle w:val="StandardWeb"/>
      </w:pPr>
      <w:r>
        <w:t>[</w:t>
      </w:r>
      <w:r>
        <w:br/>
        <w:t>\mathbf J_C\neq0.</w:t>
      </w:r>
      <w:r>
        <w:br/>
        <w:t>\tag{3.9247}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\mathbf J_C\neq0</w:t>
      </w:r>
    </w:p>
    <w:p w:rsidR="00027411" w:rsidRDefault="00027411" w:rsidP="00027411">
      <w:pPr>
        <w:pStyle w:val="StandardWeb"/>
      </w:pPr>
      <w:r>
        <w:t>Kohärenz kann existieren, ohne dass ein Kohärenzfluss definiert oder benötigt wird.</w:t>
      </w:r>
    </w:p>
    <w:p w:rsidR="00027411" w:rsidRDefault="00E50336" w:rsidP="00027411">
      <w:r>
        <w:pict>
          <v:rect id="_x0000_i2674" style="width:0;height:1.5pt" o:hralign="center" o:hrstd="t" o:hr="t" fillcolor="#a0a0a0" stroked="f"/>
        </w:pict>
      </w:r>
    </w:p>
    <w:p w:rsidR="00027411" w:rsidRDefault="00027411" w:rsidP="00027411">
      <w:pPr>
        <w:pStyle w:val="berschrift1"/>
      </w:pPr>
      <w:r>
        <w:t>3.3.43.509 Keine Axiomatisierung einer Bilanzgleichung</w:t>
      </w:r>
    </w:p>
    <w:p w:rsidR="00027411" w:rsidRDefault="00027411" w:rsidP="00027411">
      <w:pPr>
        <w:pStyle w:val="StandardWeb"/>
      </w:pPr>
      <w:r>
        <w:t>Die zuvor eingeführte Bilanz</w:t>
      </w:r>
    </w:p>
    <w:p w:rsidR="00027411" w:rsidRDefault="00027411" w:rsidP="00027411">
      <w:pPr>
        <w:pStyle w:val="berschrift1"/>
      </w:pPr>
      <w:r>
        <w:t>[</w:t>
      </w:r>
      <w:r>
        <w:br/>
        <w:t>\frac{\partial C}{\partial t}</w:t>
      </w:r>
      <w:r>
        <w:br/>
        <w:t>+</w:t>
      </w:r>
      <w:r>
        <w:br/>
        <w:t>\nabla\cdot\mathbf J_C</w:t>
      </w:r>
    </w:p>
    <w:p w:rsidR="00027411" w:rsidRDefault="00027411" w:rsidP="00027411">
      <w:pPr>
        <w:pStyle w:val="StandardWeb"/>
      </w:pPr>
      <w:r>
        <w:t>S_C</w:t>
      </w:r>
      <w:r>
        <w:br/>
        <w:t>\tag{3.9248}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\frac{\partial C}{\partial t}+\nabla\cdot\mathbf J_C=S_C</w:t>
      </w:r>
    </w:p>
    <w:p w:rsidR="00027411" w:rsidRDefault="00027411" w:rsidP="00027411">
      <w:pPr>
        <w:pStyle w:val="StandardWeb"/>
      </w:pPr>
      <w:r>
        <w:t>bleibt ein möglicher mathematischer Modellrahmen und wird durch (A_C) nicht zum Naturgesetz erhoben.</w:t>
      </w:r>
    </w:p>
    <w:p w:rsidR="00027411" w:rsidRDefault="00E50336" w:rsidP="00027411">
      <w:r>
        <w:pict>
          <v:rect id="_x0000_i2675" style="width:0;height:1.5pt" o:hralign="center" o:hrstd="t" o:hr="t" fillcolor="#a0a0a0" stroked="f"/>
        </w:pict>
      </w:r>
    </w:p>
    <w:p w:rsidR="00027411" w:rsidRDefault="00027411" w:rsidP="00027411">
      <w:pPr>
        <w:pStyle w:val="berschrift1"/>
      </w:pPr>
      <w:r>
        <w:t>3.3.43.510 Keine Axiomatisierung der Erhaltung</w:t>
      </w:r>
    </w:p>
    <w:p w:rsidR="00027411" w:rsidRDefault="00027411" w:rsidP="00027411">
      <w:pPr>
        <w:pStyle w:val="StandardWeb"/>
      </w:pPr>
      <w:r>
        <w:t>Insbesondere bleibt</w:t>
      </w:r>
    </w:p>
    <w:p w:rsidR="00027411" w:rsidRDefault="00027411" w:rsidP="00027411">
      <w:pPr>
        <w:pStyle w:val="StandardWeb"/>
      </w:pPr>
      <w:r>
        <w:t>[</w:t>
      </w:r>
      <w:r>
        <w:br/>
        <w:t>S_C=0</w:t>
      </w:r>
      <w:r>
        <w:br/>
        <w:t>\tag{3.9249}</w:t>
      </w:r>
      <w:r>
        <w:br/>
        <w:t>]</w:t>
      </w:r>
    </w:p>
    <w:p w:rsidR="00027411" w:rsidRDefault="00027411" w:rsidP="00027411">
      <w:pPr>
        <w:pStyle w:val="StandardWeb"/>
      </w:pPr>
      <w:r>
        <w:rPr>
          <w:rStyle w:val="Fett"/>
        </w:rPr>
        <w:lastRenderedPageBreak/>
        <w:t>Word-LaTeX</w:t>
      </w:r>
    </w:p>
    <w:p w:rsidR="00027411" w:rsidRDefault="00027411" w:rsidP="00027411">
      <w:pPr>
        <w:pStyle w:val="HTMLVorformatiert"/>
        <w:rPr>
          <w:rStyle w:val="HTMLCode"/>
        </w:rPr>
      </w:pPr>
      <w:r>
        <w:rPr>
          <w:rStyle w:val="HTMLCode"/>
        </w:rPr>
        <w:t>S_C=0</w:t>
      </w:r>
    </w:p>
    <w:p w:rsidR="00027411" w:rsidRDefault="00027411" w:rsidP="00027411">
      <w:pPr>
        <w:pStyle w:val="StandardWeb"/>
      </w:pPr>
      <w:r>
        <w:t>eine zusätzliche Spezialannahme und kein Bestandteil der Primäraxiomatik.</w:t>
      </w:r>
    </w:p>
    <w:p w:rsidR="00027411" w:rsidRDefault="00E50336" w:rsidP="00027411">
      <w:r>
        <w:pict>
          <v:rect id="_x0000_i2676" style="width:0;height:1.5pt" o:hralign="center" o:hrstd="t" o:hr="t" fillcolor="#a0a0a0" stroked="f"/>
        </w:pict>
      </w:r>
    </w:p>
    <w:p w:rsidR="00027411" w:rsidRDefault="00027411" w:rsidP="00027411">
      <w:pPr>
        <w:pStyle w:val="berschrift1"/>
      </w:pPr>
      <w:r>
        <w:t>3.3.43.511 Keine Axiomatisierung der Raum-Zeit-Symmetrie</w:t>
      </w:r>
    </w:p>
    <w:p w:rsidR="00027411" w:rsidRDefault="00027411" w:rsidP="00027411">
      <w:pPr>
        <w:pStyle w:val="StandardWeb"/>
      </w:pPr>
      <w:r>
        <w:t>Auch eine Symmetrie</w:t>
      </w:r>
    </w:p>
    <w:p w:rsidR="00027411" w:rsidRDefault="00027411" w:rsidP="00027411">
      <w:pPr>
        <w:pStyle w:val="StandardWeb"/>
      </w:pPr>
      <w:r>
        <w:t>[</w:t>
      </w:r>
      <w:r>
        <w:br/>
        <w:t>K_C(a,b)=K_C(b,a)</w:t>
      </w:r>
      <w:r>
        <w:br/>
        <w:t>\tag{3.9250}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K_C(a,b)=K_C(b,a)</w:t>
      </w:r>
    </w:p>
    <w:p w:rsidR="00027411" w:rsidRDefault="00027411" w:rsidP="00027411">
      <w:pPr>
        <w:pStyle w:val="StandardWeb"/>
      </w:pPr>
      <w:r>
        <w:t>ist nicht Teil von (A_C).</w:t>
      </w:r>
    </w:p>
    <w:p w:rsidR="00027411" w:rsidRDefault="00E50336" w:rsidP="00027411">
      <w:r>
        <w:pict>
          <v:rect id="_x0000_i2677" style="width:0;height:1.5pt" o:hralign="center" o:hrstd="t" o:hr="t" fillcolor="#a0a0a0" stroked="f"/>
        </w:pict>
      </w:r>
    </w:p>
    <w:p w:rsidR="00027411" w:rsidRDefault="00027411" w:rsidP="00027411">
      <w:pPr>
        <w:pStyle w:val="berschrift1"/>
      </w:pPr>
      <w:r>
        <w:t>3.3.43.512 Keine Axiomatisierung einer Kernelstruktur</w:t>
      </w:r>
    </w:p>
    <w:p w:rsidR="00027411" w:rsidRDefault="00027411" w:rsidP="00027411">
      <w:pPr>
        <w:pStyle w:val="StandardWeb"/>
      </w:pPr>
      <w:r>
        <w:t>Selbst die Existenz eines Kernels</w:t>
      </w:r>
    </w:p>
    <w:p w:rsidR="00027411" w:rsidRDefault="00027411" w:rsidP="00027411">
      <w:pPr>
        <w:pStyle w:val="StandardWeb"/>
      </w:pPr>
      <w:r>
        <w:t>[</w:t>
      </w:r>
      <w:r>
        <w:br/>
        <w:t>K_C:</w:t>
      </w:r>
      <w:r>
        <w:br/>
        <w:t>\Omega_{ST}\times\Omega_{ST}</w:t>
      </w:r>
      <w:r>
        <w:br/>
        <w:t>\rightarrow</w:t>
      </w:r>
      <w:r>
        <w:br/>
        <w:t>[0,1]</w:t>
      </w:r>
      <w:r>
        <w:br/>
        <w:t>\tag{3.9251}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K_C:\Omega_{ST}\times\Omega_{ST}\rightarrow[0,1]</w:t>
      </w:r>
    </w:p>
    <w:p w:rsidR="00027411" w:rsidRDefault="00027411" w:rsidP="00027411">
      <w:pPr>
        <w:pStyle w:val="StandardWeb"/>
      </w:pPr>
      <w:r>
        <w:t>ist keine notwendige Folge des Primäraxioms.</w:t>
      </w:r>
    </w:p>
    <w:p w:rsidR="00027411" w:rsidRDefault="00027411" w:rsidP="00027411">
      <w:pPr>
        <w:pStyle w:val="StandardWeb"/>
      </w:pPr>
      <w:r>
        <w:t>Der Kernel ist eine mögliche mathematische Repräsentation.</w:t>
      </w:r>
    </w:p>
    <w:p w:rsidR="00027411" w:rsidRDefault="00E50336" w:rsidP="00027411">
      <w:r>
        <w:pict>
          <v:rect id="_x0000_i2678" style="width:0;height:1.5pt" o:hralign="center" o:hrstd="t" o:hr="t" fillcolor="#a0a0a0" stroked="f"/>
        </w:pict>
      </w:r>
    </w:p>
    <w:p w:rsidR="00027411" w:rsidRDefault="00027411" w:rsidP="00027411">
      <w:pPr>
        <w:pStyle w:val="berschrift1"/>
      </w:pPr>
      <w:r>
        <w:t>3.3.43.513 Keine Axiomatisierung einer Graphstruktur</w:t>
      </w:r>
    </w:p>
    <w:p w:rsidR="00027411" w:rsidRDefault="00027411" w:rsidP="00027411">
      <w:pPr>
        <w:pStyle w:val="StandardWeb"/>
      </w:pPr>
      <w:r>
        <w:lastRenderedPageBreak/>
        <w:t>Entsprechend wird nicht vorausgesetzt</w:t>
      </w:r>
    </w:p>
    <w:p w:rsidR="00027411" w:rsidRDefault="00027411" w:rsidP="00027411">
      <w:pPr>
        <w:pStyle w:val="StandardWeb"/>
      </w:pPr>
      <w:r>
        <w:t>[</w:t>
      </w:r>
      <w:r>
        <w:br/>
        <w:t>\mathcal G_C=(V_C,E_C).</w:t>
      </w:r>
      <w:r>
        <w:br/>
        <w:t>\tag{3.9252}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G_C=(V_C,E_C)</w:t>
      </w:r>
    </w:p>
    <w:p w:rsidR="00027411" w:rsidRDefault="00027411" w:rsidP="00027411">
      <w:pPr>
        <w:pStyle w:val="StandardWeb"/>
      </w:pPr>
      <w:r>
        <w:t>Graphen bleiben Werkzeuge zur Darstellung von Kohärenzbeziehungen.</w:t>
      </w:r>
    </w:p>
    <w:p w:rsidR="00027411" w:rsidRDefault="00E50336" w:rsidP="00027411">
      <w:r>
        <w:pict>
          <v:rect id="_x0000_i2679" style="width:0;height:1.5pt" o:hralign="center" o:hrstd="t" o:hr="t" fillcolor="#a0a0a0" stroked="f"/>
        </w:pict>
      </w:r>
    </w:p>
    <w:p w:rsidR="00027411" w:rsidRDefault="00027411" w:rsidP="00027411">
      <w:pPr>
        <w:pStyle w:val="berschrift1"/>
      </w:pPr>
      <w:r>
        <w:t>3.3.43.514 Keine Axiomatisierung eines Hypergraphen</w:t>
      </w:r>
    </w:p>
    <w:p w:rsidR="00027411" w:rsidRDefault="00027411" w:rsidP="00027411">
      <w:pPr>
        <w:pStyle w:val="StandardWeb"/>
      </w:pPr>
      <w:r>
        <w:t>Auch</w:t>
      </w:r>
    </w:p>
    <w:p w:rsidR="00027411" w:rsidRDefault="00027411" w:rsidP="00027411">
      <w:pPr>
        <w:pStyle w:val="StandardWeb"/>
      </w:pPr>
      <w:r>
        <w:t>[</w:t>
      </w:r>
      <w:r>
        <w:br/>
        <w:t>\mathcal H_C=(V_C,E_C^H)</w:t>
      </w:r>
      <w:r>
        <w:br/>
        <w:t>\tag{3.9253}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H_C=(V_C,E_C^H)</w:t>
      </w:r>
    </w:p>
    <w:p w:rsidR="00027411" w:rsidRDefault="00027411" w:rsidP="00027411">
      <w:pPr>
        <w:pStyle w:val="StandardWeb"/>
      </w:pPr>
      <w:r>
        <w:t>ist keine Primärforderung.</w:t>
      </w:r>
    </w:p>
    <w:p w:rsidR="00027411" w:rsidRDefault="00027411" w:rsidP="00027411">
      <w:pPr>
        <w:pStyle w:val="StandardWeb"/>
      </w:pPr>
      <w:r>
        <w:t>Höhergeordnete Kohärenzrelationen bleiben möglich, aber nicht obligatorisch.</w:t>
      </w:r>
    </w:p>
    <w:p w:rsidR="00027411" w:rsidRDefault="00E50336" w:rsidP="00027411">
      <w:r>
        <w:pict>
          <v:rect id="_x0000_i2680" style="width:0;height:1.5pt" o:hralign="center" o:hrstd="t" o:hr="t" fillcolor="#a0a0a0" stroked="f"/>
        </w:pict>
      </w:r>
    </w:p>
    <w:p w:rsidR="00027411" w:rsidRDefault="00027411" w:rsidP="00027411">
      <w:pPr>
        <w:pStyle w:val="berschrift1"/>
      </w:pPr>
      <w:r>
        <w:t>3.3.43.515 Axiomatische Schichtenstruktur</w:t>
      </w:r>
    </w:p>
    <w:p w:rsidR="00027411" w:rsidRDefault="00027411" w:rsidP="00027411">
      <w:pPr>
        <w:pStyle w:val="StandardWeb"/>
      </w:pPr>
      <w:r>
        <w:t>Damit ergibt sich eine klare Schichtenstruktur:</w:t>
      </w:r>
    </w:p>
    <w:p w:rsidR="00027411" w:rsidRDefault="00027411" w:rsidP="00027411">
      <w:pPr>
        <w:pStyle w:val="berschrift1"/>
      </w:pPr>
      <w:r>
        <w:t>[</w:t>
      </w:r>
      <w:r>
        <w:br/>
        <w:t>\mathfrak S_C</w:t>
      </w:r>
    </w:p>
    <w:p w:rsidR="00027411" w:rsidRDefault="00027411" w:rsidP="00027411">
      <w:pPr>
        <w:pStyle w:val="StandardWeb"/>
      </w:pPr>
      <w:r>
        <w:t>\left(</w:t>
      </w:r>
      <w:r>
        <w:br/>
        <w:t>\mathfrak A_C,</w:t>
      </w:r>
      <w:r>
        <w:br/>
        <w:t>\mathfrak D_C,</w:t>
      </w:r>
      <w:r>
        <w:br/>
        <w:t>\mathfrak M_C,</w:t>
      </w:r>
      <w:r>
        <w:br/>
        <w:t>\mathfrak O_C</w:t>
      </w:r>
      <w:r>
        <w:br/>
        <w:t>\right),</w:t>
      </w:r>
      <w:r>
        <w:br/>
        <w:t>\tag{3.9254}</w:t>
      </w:r>
      <w:r>
        <w:br/>
        <w:t>]</w:t>
      </w:r>
    </w:p>
    <w:p w:rsidR="00027411" w:rsidRDefault="00027411" w:rsidP="00027411">
      <w:pPr>
        <w:pStyle w:val="StandardWeb"/>
      </w:pPr>
      <w:r>
        <w:rPr>
          <w:rStyle w:val="Fett"/>
        </w:rPr>
        <w:lastRenderedPageBreak/>
        <w:t>Word-LaTeX</w:t>
      </w:r>
    </w:p>
    <w:p w:rsidR="00027411" w:rsidRDefault="00027411" w:rsidP="00027411">
      <w:pPr>
        <w:pStyle w:val="HTMLVorformatiert"/>
        <w:rPr>
          <w:rStyle w:val="HTMLCode"/>
        </w:rPr>
      </w:pPr>
      <w:r>
        <w:rPr>
          <w:rStyle w:val="HTMLCode"/>
        </w:rPr>
        <w:t>\mathfrak S_C=\left(\mathfrak A_C,\mathfrak D_C,\mathfrak M_C,\mathfrak O_C\right)</w:t>
      </w:r>
    </w:p>
    <w:p w:rsidR="00027411" w:rsidRDefault="00027411" w:rsidP="00027411">
      <w:pPr>
        <w:pStyle w:val="StandardWeb"/>
      </w:pPr>
      <w:r>
        <w:t>wobei (\mathfrak A_C) Primäraxiome, (\mathfrak D_C) Definitionen, (\mathfrak M_C) mathematische Modellstrukturen und (\mathfrak O_C) empirische Operationalisierungen bezeichnet.</w:t>
      </w:r>
    </w:p>
    <w:p w:rsidR="00027411" w:rsidRDefault="00E50336" w:rsidP="00027411">
      <w:r>
        <w:pict>
          <v:rect id="_x0000_i2681" style="width:0;height:1.5pt" o:hralign="center" o:hrstd="t" o:hr="t" fillcolor="#a0a0a0" stroked="f"/>
        </w:pict>
      </w:r>
    </w:p>
    <w:p w:rsidR="00027411" w:rsidRDefault="00027411" w:rsidP="00027411">
      <w:pPr>
        <w:pStyle w:val="berschrift1"/>
      </w:pPr>
      <w:r>
        <w:t>3.3.43.516 Primäraxio</w:t>
      </w:r>
      <w:r>
        <w:softHyphen/>
        <w:t>matische Schicht</w:t>
      </w:r>
    </w:p>
    <w:p w:rsidR="00027411" w:rsidRDefault="00027411" w:rsidP="00027411">
      <w:pPr>
        <w:pStyle w:val="StandardWeb"/>
      </w:pPr>
      <w:r>
        <w:t>Für den Kohärenzbereich enthält die primäraxio</w:t>
      </w:r>
      <w:r>
        <w:softHyphen/>
        <w:t>matische Schicht derzeit</w:t>
      </w:r>
    </w:p>
    <w:p w:rsidR="00027411" w:rsidRDefault="00027411" w:rsidP="00027411">
      <w:pPr>
        <w:pStyle w:val="berschrift1"/>
      </w:pPr>
      <w:r>
        <w:t>[</w:t>
      </w:r>
      <w:r>
        <w:br/>
        <w:t>\mathfrak A_C</w:t>
      </w:r>
    </w:p>
    <w:p w:rsidR="00027411" w:rsidRDefault="00027411" w:rsidP="00027411">
      <w:pPr>
        <w:pStyle w:val="StandardWeb"/>
      </w:pPr>
      <w:r>
        <w:t>\left{</w:t>
      </w:r>
      <w:r>
        <w:br/>
        <w:t>A_C</w:t>
      </w:r>
      <w:r>
        <w:br/>
        <w:t>\right}.</w:t>
      </w:r>
      <w:r>
        <w:br/>
        <w:t>\tag{3.9255}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A_C=\left\{A_C\right\}</w:t>
      </w:r>
    </w:p>
    <w:p w:rsidR="00027411" w:rsidRDefault="00027411" w:rsidP="00027411">
      <w:pPr>
        <w:pStyle w:val="StandardWeb"/>
      </w:pPr>
      <w:r>
        <w:t>Damit bleibt die Primäraxiomatik dieses Teilbereichs maximal sparsam.</w:t>
      </w:r>
    </w:p>
    <w:p w:rsidR="00027411" w:rsidRDefault="00E50336" w:rsidP="00027411">
      <w:r>
        <w:pict>
          <v:rect id="_x0000_i2682" style="width:0;height:1.5pt" o:hralign="center" o:hrstd="t" o:hr="t" fillcolor="#a0a0a0" stroked="f"/>
        </w:pict>
      </w:r>
    </w:p>
    <w:p w:rsidR="00027411" w:rsidRDefault="00027411" w:rsidP="00027411">
      <w:pPr>
        <w:pStyle w:val="berschrift1"/>
      </w:pPr>
      <w:r>
        <w:t>3.3.43.517 Definitionsschicht</w:t>
      </w:r>
    </w:p>
    <w:p w:rsidR="00027411" w:rsidRDefault="00027411" w:rsidP="00027411">
      <w:pPr>
        <w:pStyle w:val="StandardWeb"/>
      </w:pPr>
      <w:r>
        <w:t>Die Definitionsschicht umfasst dagegen mehrere Konstruktionen:</w:t>
      </w:r>
    </w:p>
    <w:p w:rsidR="00027411" w:rsidRDefault="00027411" w:rsidP="00027411">
      <w:pPr>
        <w:pStyle w:val="berschrift1"/>
      </w:pPr>
      <w:r>
        <w:t>[</w:t>
      </w:r>
      <w:r>
        <w:br/>
        <w:t>\mathfrak D_C</w:t>
      </w:r>
    </w:p>
    <w:p w:rsidR="00027411" w:rsidRDefault="00027411" w:rsidP="00027411">
      <w:pPr>
        <w:pStyle w:val="StandardWeb"/>
      </w:pPr>
      <w:r>
        <w:t>\left{</w:t>
      </w:r>
      <w:r>
        <w:br/>
        <w:t>C_F,</w:t>
      </w:r>
      <w:r>
        <w:br/>
        <w:t>C_F^{(n)},</w:t>
      </w:r>
      <w:r>
        <w:br/>
        <w:t>\mathcal C_F,</w:t>
      </w:r>
      <w:r>
        <w:br/>
        <w:t>\mathbf J_C,</w:t>
      </w:r>
      <w:r>
        <w:br/>
        <w:t>K_C,</w:t>
      </w:r>
      <w:r>
        <w:br/>
        <w:t>\mathfrak C,</w:t>
      </w:r>
      <w:r>
        <w:br/>
        <w:t>\Omega_C^{F},</w:t>
      </w:r>
      <w:r>
        <w:br/>
        <w:t>R_F,</w:t>
      </w:r>
      <w:r>
        <w:br/>
      </w:r>
      <w:r>
        <w:lastRenderedPageBreak/>
        <w:t>\ldots</w:t>
      </w:r>
      <w:r>
        <w:br/>
        <w:t>\right}.</w:t>
      </w:r>
      <w:r>
        <w:br/>
        <w:t>\tag{3.9256}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D_C=\left\{C_F,C_F^{(n)},\mathcal C_F,\mathbf J_C,K_C,\mathfrak C,\Omega_C^{F},R_F,\ldots\right\}</w:t>
      </w:r>
    </w:p>
    <w:p w:rsidR="00027411" w:rsidRDefault="00027411" w:rsidP="00027411">
      <w:pPr>
        <w:pStyle w:val="StandardWeb"/>
      </w:pPr>
      <w:r>
        <w:t>Diese Definitionen strukturieren die Theorie, ohne selbst Existenzbehauptungen über die Natur zu sein.</w:t>
      </w:r>
    </w:p>
    <w:p w:rsidR="00027411" w:rsidRDefault="00E50336" w:rsidP="00027411">
      <w:r>
        <w:pict>
          <v:rect id="_x0000_i2683" style="width:0;height:1.5pt" o:hralign="center" o:hrstd="t" o:hr="t" fillcolor="#a0a0a0" stroked="f"/>
        </w:pict>
      </w:r>
    </w:p>
    <w:p w:rsidR="00027411" w:rsidRDefault="00027411" w:rsidP="00027411">
      <w:pPr>
        <w:pStyle w:val="berschrift1"/>
      </w:pPr>
      <w:r>
        <w:t>3.3.43.518 Modellschicht</w:t>
      </w:r>
    </w:p>
    <w:p w:rsidR="00027411" w:rsidRDefault="00027411" w:rsidP="00027411">
      <w:pPr>
        <w:pStyle w:val="StandardWeb"/>
      </w:pPr>
      <w:r>
        <w:t>Die Modellschicht enthält beispielsweise</w:t>
      </w:r>
    </w:p>
    <w:p w:rsidR="00027411" w:rsidRDefault="00027411" w:rsidP="00027411">
      <w:pPr>
        <w:pStyle w:val="berschrift1"/>
      </w:pPr>
      <w:r>
        <w:t>[</w:t>
      </w:r>
      <w:r>
        <w:br/>
        <w:t>\mathfrak M_C</w:t>
      </w:r>
    </w:p>
    <w:p w:rsidR="00027411" w:rsidRDefault="00027411" w:rsidP="00027411">
      <w:pPr>
        <w:pStyle w:val="StandardWeb"/>
      </w:pPr>
      <w:r>
        <w:t>\left{</w:t>
      </w:r>
      <w:r>
        <w:br/>
        <w:t>\nabla C,</w:t>
      </w:r>
      <w:r>
        <w:br/>
        <w:t>\mathbf H_C,</w:t>
      </w:r>
      <w:r>
        <w:br/>
        <w:t>\mathbf J_C=-D_C^{\ast}\nabla C,</w:t>
      </w:r>
      <w:r>
        <w:br/>
        <w:t>\partial_t C+\nabla\cdot\mathbf J_C=S_C,</w:t>
      </w:r>
      <w:r>
        <w:br/>
        <w:t>\mathcal P_C,</w:t>
      </w:r>
      <w:r>
        <w:br/>
        <w:t>\ldots</w:t>
      </w:r>
      <w:r>
        <w:br/>
        <w:t>\right}.</w:t>
      </w:r>
      <w:r>
        <w:br/>
        <w:t>\tag{3.9257}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M_C=\left\{\nabla C,\mathbf H_C,\mathbf J_C=-D_C^{\ast}\nabla C,\partial_t C+\nabla\cdot\mathbf J_C=S_C,\mathcal P_C,\ldots\right\}</w:t>
      </w:r>
    </w:p>
    <w:p w:rsidR="00027411" w:rsidRDefault="00027411" w:rsidP="00027411">
      <w:pPr>
        <w:pStyle w:val="StandardWeb"/>
      </w:pPr>
      <w:r>
        <w:t>Diese Strukturen sind nur unter zusätzlichen mathematischen beziehungsweise physikalischen Voraussetzungen anwendbar.</w:t>
      </w:r>
    </w:p>
    <w:p w:rsidR="00027411" w:rsidRDefault="00E50336" w:rsidP="00027411">
      <w:r>
        <w:pict>
          <v:rect id="_x0000_i2684" style="width:0;height:1.5pt" o:hralign="center" o:hrstd="t" o:hr="t" fillcolor="#a0a0a0" stroked="f"/>
        </w:pict>
      </w:r>
    </w:p>
    <w:p w:rsidR="00027411" w:rsidRDefault="00027411" w:rsidP="00027411">
      <w:pPr>
        <w:pStyle w:val="berschrift1"/>
      </w:pPr>
      <w:r>
        <w:t>3.3.43.519 Operationalisierungsschicht</w:t>
      </w:r>
    </w:p>
    <w:p w:rsidR="00027411" w:rsidRDefault="00027411" w:rsidP="00027411">
      <w:pPr>
        <w:pStyle w:val="StandardWeb"/>
      </w:pPr>
      <w:r>
        <w:t>Die empirische Ebene umfasst</w:t>
      </w:r>
    </w:p>
    <w:p w:rsidR="00027411" w:rsidRDefault="00027411" w:rsidP="00027411">
      <w:pPr>
        <w:pStyle w:val="berschrift1"/>
      </w:pPr>
      <w:r>
        <w:lastRenderedPageBreak/>
        <w:t>[</w:t>
      </w:r>
      <w:r>
        <w:br/>
        <w:t>\mathfrak O_C</w:t>
      </w:r>
    </w:p>
    <w:p w:rsidR="00027411" w:rsidRDefault="00027411" w:rsidP="00027411">
      <w:pPr>
        <w:pStyle w:val="StandardWeb"/>
      </w:pPr>
      <w:r>
        <w:t>\left{</w:t>
      </w:r>
      <w:r>
        <w:br/>
        <w:t>\rho,</w:t>
      </w:r>
      <w:r>
        <w:br/>
        <w:t>R_{\mathrm{sync}},</w:t>
      </w:r>
      <w:r>
        <w:br/>
        <w:t>I_{i\rightarrow j},</w:t>
      </w:r>
      <w:r>
        <w:br/>
        <w:t>S_{ij},</w:t>
      </w:r>
      <w:r>
        <w:br/>
        <w:t>\mathcal O_C^{(1)},</w:t>
      </w:r>
      <w:r>
        <w:br/>
        <w:t>\ldots</w:t>
      </w:r>
      <w:r>
        <w:br/>
        <w:t>\right}.</w:t>
      </w:r>
      <w:r>
        <w:br/>
        <w:t>\tag{3.9258}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O_C=\left\{\rho,R_{\mathrm{sync}},I_{i\rightarrow j},S_{ij},\mathcal O_C^{(1)},\ldots\right\}</w:t>
      </w:r>
    </w:p>
    <w:p w:rsidR="00027411" w:rsidRDefault="00027411" w:rsidP="00027411">
      <w:pPr>
        <w:pStyle w:val="StandardWeb"/>
      </w:pPr>
      <w:r>
        <w:t>Keine dieser Einzelgrößen wird durch das Primäraxiom als universelle Messgröße ausgezeichnet.</w:t>
      </w:r>
    </w:p>
    <w:p w:rsidR="00027411" w:rsidRDefault="00E50336" w:rsidP="00027411">
      <w:r>
        <w:pict>
          <v:rect id="_x0000_i2685" style="width:0;height:1.5pt" o:hralign="center" o:hrstd="t" o:hr="t" fillcolor="#a0a0a0" stroked="f"/>
        </w:pict>
      </w:r>
    </w:p>
    <w:p w:rsidR="00027411" w:rsidRDefault="00027411" w:rsidP="00027411">
      <w:pPr>
        <w:pStyle w:val="berschrift1"/>
      </w:pPr>
      <w:r>
        <w:t>3.3.43.520 Trennung der vier Schichten</w:t>
      </w:r>
    </w:p>
    <w:p w:rsidR="00027411" w:rsidRDefault="00027411" w:rsidP="00027411">
      <w:pPr>
        <w:pStyle w:val="StandardWeb"/>
      </w:pPr>
      <w:r>
        <w:t>Ich fordere daher</w:t>
      </w:r>
    </w:p>
    <w:p w:rsidR="00027411" w:rsidRDefault="00027411" w:rsidP="00027411">
      <w:pPr>
        <w:pStyle w:val="StandardWeb"/>
      </w:pPr>
      <w:r>
        <w:t>[</w:t>
      </w:r>
      <w:r>
        <w:br/>
        <w:t>\mathfrak A_C</w:t>
      </w:r>
      <w:r>
        <w:br/>
        <w:t>\neq</w:t>
      </w:r>
      <w:r>
        <w:br/>
        <w:t>\mathfrak D_C</w:t>
      </w:r>
      <w:r>
        <w:br/>
        <w:t>\neq</w:t>
      </w:r>
      <w:r>
        <w:br/>
        <w:t>\mathfrak M_C</w:t>
      </w:r>
      <w:r>
        <w:br/>
        <w:t>\neq</w:t>
      </w:r>
      <w:r>
        <w:br/>
        <w:t>\mathfrak O_C</w:t>
      </w:r>
      <w:r>
        <w:br/>
        <w:t>\tag{3.9259}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A_C\neq\mathfrak D_C\neq\mathfrak M_C\neq\mathfrak O_C</w:t>
      </w:r>
    </w:p>
    <w:p w:rsidR="00027411" w:rsidRDefault="00027411" w:rsidP="00027411">
      <w:pPr>
        <w:pStyle w:val="StandardWeb"/>
      </w:pPr>
      <w:r>
        <w:t>im Sinne verschiedener wissenschaftlicher Rollen.</w:t>
      </w:r>
    </w:p>
    <w:p w:rsidR="00027411" w:rsidRDefault="00027411" w:rsidP="00027411">
      <w:pPr>
        <w:pStyle w:val="StandardWeb"/>
      </w:pPr>
      <w:r>
        <w:t>Die Mengen können begrifflich miteinander verbunden sein, dürfen aber nicht epistemisch gleichgesetzt werden.</w:t>
      </w:r>
    </w:p>
    <w:p w:rsidR="00027411" w:rsidRDefault="00E50336" w:rsidP="00027411">
      <w:r>
        <w:pict>
          <v:rect id="_x0000_i2686" style="width:0;height:1.5pt" o:hralign="center" o:hrstd="t" o:hr="t" fillcolor="#a0a0a0" stroked="f"/>
        </w:pict>
      </w:r>
    </w:p>
    <w:p w:rsidR="00027411" w:rsidRDefault="00027411" w:rsidP="00027411">
      <w:pPr>
        <w:pStyle w:val="berschrift1"/>
      </w:pPr>
      <w:r>
        <w:lastRenderedPageBreak/>
        <w:t>3.3.43.521 Abhängigkeitsrichtung der Schichten</w:t>
      </w:r>
    </w:p>
    <w:p w:rsidR="00027411" w:rsidRDefault="00027411" w:rsidP="00027411">
      <w:pPr>
        <w:pStyle w:val="StandardWeb"/>
      </w:pPr>
      <w:r>
        <w:t>Die methodische Entwicklungsrichtung lautet</w:t>
      </w:r>
    </w:p>
    <w:p w:rsidR="00027411" w:rsidRDefault="00027411" w:rsidP="00027411">
      <w:pPr>
        <w:pStyle w:val="StandardWeb"/>
      </w:pPr>
      <w:r>
        <w:t>[</w:t>
      </w:r>
      <w:r>
        <w:br/>
        <w:t>\mathfrak A_C</w:t>
      </w:r>
      <w:r>
        <w:br/>
        <w:t>\rightarrow</w:t>
      </w:r>
      <w:r>
        <w:br/>
        <w:t>\mathfrak D_C</w:t>
      </w:r>
      <w:r>
        <w:br/>
        <w:t>\rightarrow</w:t>
      </w:r>
      <w:r>
        <w:br/>
        <w:t>\mathfrak M_C</w:t>
      </w:r>
      <w:r>
        <w:br/>
        <w:t>\rightarrow</w:t>
      </w:r>
      <w:r>
        <w:br/>
        <w:t>\mathfrak O_C.</w:t>
      </w:r>
      <w:r>
        <w:br/>
        <w:t>\tag{3.9260}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A_C\rightarrow\mathfrak D_C\rightarrow\mathfrak M_C\rightarrow\mathfrak O_C</w:t>
      </w:r>
    </w:p>
    <w:p w:rsidR="00027411" w:rsidRDefault="00027411" w:rsidP="00027411">
      <w:pPr>
        <w:pStyle w:val="StandardWeb"/>
      </w:pPr>
      <w:r>
        <w:t>Dies bedeutet nicht, dass Definitionen ausschließlich aus Axiomen folgen, sondern dass spätere konkrete Modell- und Messentscheidungen die Primäraxiomatik nicht rückwirkend unbegründet bestimmen sollen.</w:t>
      </w:r>
    </w:p>
    <w:p w:rsidR="00027411" w:rsidRDefault="00E50336" w:rsidP="00027411">
      <w:r>
        <w:pict>
          <v:rect id="_x0000_i2687" style="width:0;height:1.5pt" o:hralign="center" o:hrstd="t" o:hr="t" fillcolor="#a0a0a0" stroked="f"/>
        </w:pict>
      </w:r>
    </w:p>
    <w:p w:rsidR="00027411" w:rsidRDefault="00027411" w:rsidP="00027411">
      <w:pPr>
        <w:pStyle w:val="berschrift1"/>
      </w:pPr>
      <w:r>
        <w:t>3.3.43.522 Empirische Rückkopplung</w:t>
      </w:r>
    </w:p>
    <w:p w:rsidR="00027411" w:rsidRDefault="00027411" w:rsidP="00027411">
      <w:pPr>
        <w:pStyle w:val="StandardWeb"/>
      </w:pPr>
      <w:r>
        <w:t>Wissenschaftlich muss dennoch eine Rückkopplung möglich bleiben:</w:t>
      </w:r>
    </w:p>
    <w:p w:rsidR="00027411" w:rsidRDefault="00027411" w:rsidP="00027411">
      <w:pPr>
        <w:pStyle w:val="StandardWeb"/>
      </w:pPr>
      <w:r>
        <w:t>[</w:t>
      </w:r>
      <w:r>
        <w:br/>
        <w:t>\mathfrak O_C</w:t>
      </w:r>
      <w:r>
        <w:br/>
        <w:t>\rightarrow</w:t>
      </w:r>
      <w:r>
        <w:br/>
        <w:t>\operatorname{Test}</w:t>
      </w:r>
      <w:r>
        <w:br/>
        <w:t>(\mathfrak M_C)</w:t>
      </w:r>
      <w:r>
        <w:br/>
        <w:t>\rightarrow</w:t>
      </w:r>
      <w:r>
        <w:br/>
        <w:t>\operatorname{Test}</w:t>
      </w:r>
      <w:r>
        <w:br/>
        <w:t>(\mathfrak A_C).</w:t>
      </w:r>
      <w:r>
        <w:br/>
        <w:t>\tag{3.9261}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O_C\rightarrow\operatorname{Test}(\mathfrak M_C)\rightarrow\operatorname{Test}(\mathfrak A_C)</w:t>
      </w:r>
    </w:p>
    <w:p w:rsidR="00027411" w:rsidRDefault="00027411" w:rsidP="00027411">
      <w:pPr>
        <w:pStyle w:val="StandardWeb"/>
      </w:pPr>
      <w:r>
        <w:t>Damit bleibt die Theorie empirisch revisionsfähig.</w:t>
      </w:r>
    </w:p>
    <w:p w:rsidR="00027411" w:rsidRDefault="00E50336" w:rsidP="00027411">
      <w:r>
        <w:pict>
          <v:rect id="_x0000_i2688" style="width:0;height:1.5pt" o:hralign="center" o:hrstd="t" o:hr="t" fillcolor="#a0a0a0" stroked="f"/>
        </w:pict>
      </w:r>
    </w:p>
    <w:p w:rsidR="00027411" w:rsidRDefault="00027411" w:rsidP="00027411">
      <w:pPr>
        <w:pStyle w:val="berschrift1"/>
      </w:pPr>
      <w:r>
        <w:t>3.3.43.523 Keine Immunisierung des Primäraxioms</w:t>
      </w:r>
    </w:p>
    <w:p w:rsidR="00027411" w:rsidRDefault="00027411" w:rsidP="00027411">
      <w:pPr>
        <w:pStyle w:val="StandardWeb"/>
      </w:pPr>
      <w:r>
        <w:lastRenderedPageBreak/>
        <w:t>Ein Primäraxiom darf nicht dadurch gegen Kritik immunisiert werden, dass jede widersprechende Beobachtung automatisch als ungültig erklärt wird.</w:t>
      </w:r>
    </w:p>
    <w:p w:rsidR="00027411" w:rsidRDefault="00027411" w:rsidP="00027411">
      <w:pPr>
        <w:pStyle w:val="StandardWeb"/>
      </w:pPr>
      <w:r>
        <w:t>Ich fordere deshalb</w:t>
      </w:r>
    </w:p>
    <w:p w:rsidR="00027411" w:rsidRDefault="00027411" w:rsidP="00027411">
      <w:pPr>
        <w:pStyle w:val="StandardWeb"/>
      </w:pPr>
      <w:r>
        <w:t>[</w:t>
      </w:r>
      <w:r>
        <w:br/>
        <w:t>\text{Konflikt}(A_C,\mathcal D_{\mathrm{emp}})</w:t>
      </w:r>
      <w:r>
        <w:br/>
        <w:t>\Rightarrow</w:t>
      </w:r>
      <w:r>
        <w:br/>
        <w:t>\operatorname{Review}(A_C,\mathcal O_C,\mathcal D_{\mathrm{emp}}).</w:t>
      </w:r>
      <w:r>
        <w:br/>
        <w:t>\tag{3.9262}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\text{Konflikt}(A_C,\mathcal D_{\mathrm{emp}})\Rightarrow\operatorname{Review}(A_C,\mathcal O_C,\mathcal D_{\mathrm{emp}})</w:t>
      </w:r>
    </w:p>
    <w:p w:rsidR="00027411" w:rsidRDefault="00E50336" w:rsidP="00027411">
      <w:r>
        <w:pict>
          <v:rect id="_x0000_i2689" style="width:0;height:1.5pt" o:hralign="center" o:hrstd="t" o:hr="t" fillcolor="#a0a0a0" stroked="f"/>
        </w:pict>
      </w:r>
    </w:p>
    <w:p w:rsidR="00027411" w:rsidRDefault="00027411" w:rsidP="00027411">
      <w:pPr>
        <w:pStyle w:val="berschrift1"/>
      </w:pPr>
      <w:r>
        <w:t>3.3.43.524 Revisionsentscheidung</w:t>
      </w:r>
    </w:p>
    <w:p w:rsidR="00027411" w:rsidRDefault="00027411" w:rsidP="00027411">
      <w:pPr>
        <w:pStyle w:val="StandardWeb"/>
      </w:pPr>
      <w:r>
        <w:t>Eine Revision erfolgt erst nach Prüfung der möglichen Fehlerquellen:</w:t>
      </w:r>
    </w:p>
    <w:p w:rsidR="00027411" w:rsidRDefault="00027411" w:rsidP="00027411">
      <w:pPr>
        <w:pStyle w:val="berschrift1"/>
      </w:pPr>
      <w:r>
        <w:t>[</w:t>
      </w:r>
      <w:r>
        <w:br/>
        <w:t>\mathcal R_A</w:t>
      </w:r>
    </w:p>
    <w:p w:rsidR="00027411" w:rsidRDefault="00027411" w:rsidP="00027411">
      <w:pPr>
        <w:pStyle w:val="StandardWeb"/>
      </w:pPr>
      <w:r>
        <w:t>\mathcal R</w:t>
      </w:r>
      <w:r>
        <w:br/>
        <w:t>\left(</w:t>
      </w:r>
      <w:r>
        <w:br/>
        <w:t>A_C,</w:t>
      </w:r>
      <w:r>
        <w:br/>
        <w:t>\mathcal O_C,</w:t>
      </w:r>
      <w:r>
        <w:br/>
        <w:t>\mathcal D_{\mathrm{emp}},</w:t>
      </w:r>
      <w:r>
        <w:br/>
        <w:t>\mathcal M_C</w:t>
      </w:r>
      <w:r>
        <w:br/>
        <w:t>\right).</w:t>
      </w:r>
      <w:r>
        <w:br/>
        <w:t>\tag{3.9263}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R_A=\mathcal R\left(A_C,\mathcal O_C,\mathcal D_{\mathrm{emp}},\mathcal M_C\right)</w:t>
      </w:r>
    </w:p>
    <w:p w:rsidR="00027411" w:rsidRDefault="00027411" w:rsidP="00027411">
      <w:pPr>
        <w:pStyle w:val="StandardWeb"/>
      </w:pPr>
      <w:r>
        <w:t>Damit werden Theoriefehler, Operationalisierungsfehler, Datenfehler und Modellfehler zunächst getrennt untersucht.</w:t>
      </w:r>
    </w:p>
    <w:p w:rsidR="00027411" w:rsidRDefault="00E50336" w:rsidP="00027411">
      <w:r>
        <w:pict>
          <v:rect id="_x0000_i2690" style="width:0;height:1.5pt" o:hralign="center" o:hrstd="t" o:hr="t" fillcolor="#a0a0a0" stroked="f"/>
        </w:pict>
      </w:r>
    </w:p>
    <w:p w:rsidR="00027411" w:rsidRDefault="00027411" w:rsidP="00027411">
      <w:pPr>
        <w:pStyle w:val="berschrift1"/>
      </w:pPr>
      <w:r>
        <w:t>3.3.43.525 Endgültiger formaler Status von (A_C)</w:t>
      </w:r>
    </w:p>
    <w:p w:rsidR="00027411" w:rsidRDefault="00027411" w:rsidP="00027411">
      <w:pPr>
        <w:pStyle w:val="StandardWeb"/>
      </w:pPr>
      <w:r>
        <w:t>Nach Abschluss der Prüfungen gilt nun</w:t>
      </w:r>
    </w:p>
    <w:p w:rsidR="00027411" w:rsidRDefault="00027411" w:rsidP="00027411">
      <w:pPr>
        <w:pStyle w:val="StandardWeb"/>
      </w:pPr>
      <w:r>
        <w:lastRenderedPageBreak/>
        <w:t>[</w:t>
      </w:r>
      <w:r>
        <w:br/>
        <w:t>\boxed{</w:t>
      </w:r>
      <w:r>
        <w:br/>
        <w:t>A_C</w:t>
      </w:r>
      <w:r>
        <w:br/>
        <w:t>\in</w:t>
      </w:r>
      <w:r>
        <w:br/>
        <w:t>\mathfrak A_{F,\mathrm{prim}}.</w:t>
      </w:r>
      <w:r>
        <w:br/>
        <w:t>}</w:t>
      </w:r>
      <w:r>
        <w:br/>
        <w:t>\tag{3.9264}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\boxed{A_C\in\mathfrak A_{F,\mathrm{prim}}.}</w:t>
      </w:r>
    </w:p>
    <w:p w:rsidR="00027411" w:rsidRDefault="00027411" w:rsidP="00027411">
      <w:pPr>
        <w:pStyle w:val="StandardWeb"/>
      </w:pPr>
      <w:r>
        <w:t>Damit ist die Existenz funktional relevanter Kohärenz im aktuellen Theoriestand ein echtes Primäraxiom des FRZK.</w:t>
      </w:r>
    </w:p>
    <w:p w:rsidR="00027411" w:rsidRDefault="00E50336" w:rsidP="00027411">
      <w:r>
        <w:pict>
          <v:rect id="_x0000_i2691" style="width:0;height:1.5pt" o:hralign="center" o:hrstd="t" o:hr="t" fillcolor="#a0a0a0" stroked="f"/>
        </w:pict>
      </w:r>
    </w:p>
    <w:p w:rsidR="00027411" w:rsidRDefault="00027411" w:rsidP="00027411">
      <w:pPr>
        <w:pStyle w:val="berschrift1"/>
      </w:pPr>
      <w:r>
        <w:t>3.3.43.526 Axiomstatus und Eigenleistung</w:t>
      </w:r>
    </w:p>
    <w:p w:rsidR="00027411" w:rsidRDefault="00027411" w:rsidP="00027411">
      <w:pPr>
        <w:pStyle w:val="StandardWeb"/>
      </w:pPr>
      <w:r>
        <w:t>Die formale Struktur</w:t>
      </w:r>
    </w:p>
    <w:p w:rsidR="00027411" w:rsidRDefault="00027411" w:rsidP="00027411">
      <w:pPr>
        <w:pStyle w:val="StandardWeb"/>
      </w:pPr>
      <w:r>
        <w:t>[</w:t>
      </w:r>
      <w:r>
        <w:br/>
        <w:t>A_C:</w:t>
      </w:r>
      <w:r>
        <w:br/>
        <w:t>\exists z,\mathcal S_C:</w:t>
      </w:r>
      <w:r>
        <w:br/>
        <w:t>R_F(\mathcal S_C)=1</w:t>
      </w:r>
      <w:r>
        <w:br/>
        <w:t>\land</w:t>
      </w:r>
      <w:r>
        <w:br/>
        <w:t>C_F(\mathcal S_C;z)&gt;0</w:t>
      </w:r>
      <w:r>
        <w:br/>
        <w:t>\tag{3.9265}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A_C:\exists z,\mathcal S_C:R_F(\mathcal S_C)=1\land C_F(\mathcal S_C;z)&gt;0</w:t>
      </w:r>
    </w:p>
    <w:p w:rsidR="00027411" w:rsidRDefault="00027411" w:rsidP="00027411">
      <w:pPr>
        <w:pStyle w:val="StandardWeb"/>
      </w:pPr>
      <w:r>
        <w:t>ist innerhalb dieser Arbeit eine originäre FRZK-Konstruktion.</w:t>
      </w:r>
    </w:p>
    <w:p w:rsidR="00027411" w:rsidRDefault="00027411" w:rsidP="00027411">
      <w:pPr>
        <w:pStyle w:val="StandardWeb"/>
      </w:pPr>
      <w:r>
        <w:t>Sie übernimmt weder eine bekannte physikalische Erhaltungsgleichung noch ein etabliertes Raum-Zeit-Axiom, sondern legt ausschließlich die minimale Existenz einer funktional relevanten Kohärenzstruktur fest.</w:t>
      </w:r>
    </w:p>
    <w:p w:rsidR="00027411" w:rsidRDefault="00E50336" w:rsidP="00027411">
      <w:r>
        <w:pict>
          <v:rect id="_x0000_i2692" style="width:0;height:1.5pt" o:hralign="center" o:hrstd="t" o:hr="t" fillcolor="#a0a0a0" stroked="f"/>
        </w:pict>
      </w:r>
    </w:p>
    <w:p w:rsidR="00027411" w:rsidRDefault="00027411" w:rsidP="00027411">
      <w:pPr>
        <w:pStyle w:val="berschrift1"/>
      </w:pPr>
      <w:r>
        <w:t>3.3.43.527 Abgrenzung der Eigenleistung</w:t>
      </w:r>
    </w:p>
    <w:p w:rsidR="00027411" w:rsidRDefault="00027411" w:rsidP="00027411">
      <w:pPr>
        <w:pStyle w:val="StandardWeb"/>
      </w:pPr>
      <w:r>
        <w:t>Die zugrunde liegenden mathematischen Werkzeuge – Mengen, Relationen, Funktionen, Graphen, Ableitungen, Operatoren, Modellmengen und logische Quantoren – sind etablierte mathematische Mittel. [20]</w:t>
      </w:r>
    </w:p>
    <w:p w:rsidR="00027411" w:rsidRDefault="00027411" w:rsidP="00027411">
      <w:pPr>
        <w:pStyle w:val="StandardWeb"/>
      </w:pPr>
      <w:r>
        <w:lastRenderedPageBreak/>
        <w:t>Meine Eigenleistung besteht in ihrer systematischen Verbindung zu einer FRZK-spezifischen Kohärenzarchitektur und insbesondere in der Auswahl, Prüfung und Minimalisierung des Primäraxioms</w:t>
      </w:r>
    </w:p>
    <w:p w:rsidR="00027411" w:rsidRDefault="00027411" w:rsidP="00027411">
      <w:pPr>
        <w:pStyle w:val="StandardWeb"/>
      </w:pPr>
      <w:r>
        <w:t>[</w:t>
      </w:r>
      <w:r>
        <w:br/>
        <w:t>A_C.</w:t>
      </w:r>
      <w:r>
        <w:br/>
        <w:t>\tag{3.9266}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w:t>
      </w:r>
    </w:p>
    <w:p w:rsidR="00027411" w:rsidRDefault="00E50336" w:rsidP="00027411">
      <w:r>
        <w:pict>
          <v:rect id="_x0000_i2693" style="width:0;height:1.5pt" o:hralign="center" o:hrstd="t" o:hr="t" fillcolor="#a0a0a0" stroked="f"/>
        </w:pict>
      </w:r>
    </w:p>
    <w:p w:rsidR="00027411" w:rsidRDefault="00027411" w:rsidP="00027411">
      <w:pPr>
        <w:pStyle w:val="berschrift1"/>
      </w:pPr>
      <w:r>
        <w:t>3.3.43.528 Primäraxiom versus Naturgesetz</w:t>
      </w:r>
    </w:p>
    <w:p w:rsidR="00027411" w:rsidRDefault="00027411" w:rsidP="00027411">
      <w:pPr>
        <w:pStyle w:val="StandardWeb"/>
      </w:pPr>
      <w:r>
        <w:t>Ich halte außerdem ausdrücklich fest:</w:t>
      </w:r>
    </w:p>
    <w:p w:rsidR="00027411" w:rsidRDefault="00027411" w:rsidP="00027411">
      <w:pPr>
        <w:pStyle w:val="StandardWeb"/>
      </w:pPr>
      <w:r>
        <w:t>[</w:t>
      </w:r>
      <w:r>
        <w:br/>
        <w:t>A_C</w:t>
      </w:r>
      <w:r>
        <w:br/>
        <w:t>\neq</w:t>
      </w:r>
      <w:r>
        <w:br/>
        <w:t>\text{experimentell etabliertes Naturgesetz}.</w:t>
      </w:r>
      <w:r>
        <w:br/>
        <w:t>\tag{3.9267}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A_C\neq\text{experimentell etabliertes Naturgesetz}</w:t>
      </w:r>
    </w:p>
    <w:p w:rsidR="00027411" w:rsidRDefault="00027411" w:rsidP="00027411">
      <w:pPr>
        <w:pStyle w:val="StandardWeb"/>
      </w:pPr>
      <w:r>
        <w:t>Der Status „Primäraxiom“ bezeichnet seinen formalen Platz innerhalb des FRZK und nicht einen bereits unabhängig bestätigten physikalischen Gesetzesstatus.</w:t>
      </w:r>
    </w:p>
    <w:p w:rsidR="00027411" w:rsidRDefault="00E50336" w:rsidP="00027411">
      <w:r>
        <w:pict>
          <v:rect id="_x0000_i2694" style="width:0;height:1.5pt" o:hralign="center" o:hrstd="t" o:hr="t" fillcolor="#a0a0a0" stroked="f"/>
        </w:pict>
      </w:r>
    </w:p>
    <w:p w:rsidR="00027411" w:rsidRDefault="00027411" w:rsidP="00027411">
      <w:pPr>
        <w:pStyle w:val="berschrift1"/>
      </w:pPr>
      <w:r>
        <w:t>3.3.43.529 Primäraxiom versus Definition</w:t>
      </w:r>
    </w:p>
    <w:p w:rsidR="00027411" w:rsidRDefault="00027411" w:rsidP="00027411">
      <w:pPr>
        <w:pStyle w:val="StandardWeb"/>
      </w:pPr>
      <w:r>
        <w:t>Ebenso gilt</w:t>
      </w:r>
    </w:p>
    <w:p w:rsidR="00027411" w:rsidRDefault="00027411" w:rsidP="00027411">
      <w:pPr>
        <w:pStyle w:val="StandardWeb"/>
      </w:pPr>
      <w:r>
        <w:t>[</w:t>
      </w:r>
      <w:r>
        <w:br/>
        <w:t>A_C</w:t>
      </w:r>
      <w:r>
        <w:br/>
        <w:t>\notin</w:t>
      </w:r>
      <w:r>
        <w:br/>
        <w:t>\mathfrak D_C.</w:t>
      </w:r>
      <w:r>
        <w:br/>
        <w:t>\tag{3.9268}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A_C\notin\mathfrak D_C</w:t>
      </w:r>
    </w:p>
    <w:p w:rsidR="00027411" w:rsidRDefault="00027411" w:rsidP="00027411">
      <w:pPr>
        <w:pStyle w:val="StandardWeb"/>
      </w:pPr>
      <w:r>
        <w:t>Es handelt sich nicht um eine bloße Benennungsregel, sondern um eine echte Einschränkung des zulässigen Modellraums.</w:t>
      </w:r>
    </w:p>
    <w:p w:rsidR="00027411" w:rsidRDefault="00E50336" w:rsidP="00027411">
      <w:r>
        <w:lastRenderedPageBreak/>
        <w:pict>
          <v:rect id="_x0000_i2695" style="width:0;height:1.5pt" o:hralign="center" o:hrstd="t" o:hr="t" fillcolor="#a0a0a0" stroked="f"/>
        </w:pict>
      </w:r>
    </w:p>
    <w:p w:rsidR="00027411" w:rsidRDefault="00027411" w:rsidP="00027411">
      <w:pPr>
        <w:pStyle w:val="berschrift1"/>
      </w:pPr>
      <w:r>
        <w:t>3.3.43.530 Primäraxiom versus Modellgleichung</w:t>
      </w:r>
    </w:p>
    <w:p w:rsidR="00027411" w:rsidRDefault="00027411" w:rsidP="00027411">
      <w:pPr>
        <w:pStyle w:val="StandardWeb"/>
      </w:pPr>
      <w:r>
        <w:t>Weiter gilt</w:t>
      </w:r>
    </w:p>
    <w:p w:rsidR="00027411" w:rsidRDefault="00027411" w:rsidP="00027411">
      <w:pPr>
        <w:pStyle w:val="StandardWeb"/>
      </w:pPr>
      <w:r>
        <w:t>[</w:t>
      </w:r>
      <w:r>
        <w:br/>
        <w:t>A_C</w:t>
      </w:r>
      <w:r>
        <w:br/>
        <w:t>\notin</w:t>
      </w:r>
      <w:r>
        <w:br/>
        <w:t>\mathfrak M_C.</w:t>
      </w:r>
      <w:r>
        <w:br/>
        <w:t>\tag{3.9269}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A_C\notin\mathfrak M_C</w:t>
      </w:r>
    </w:p>
    <w:p w:rsidR="00027411" w:rsidRDefault="00027411" w:rsidP="00027411">
      <w:pPr>
        <w:pStyle w:val="StandardWeb"/>
      </w:pPr>
      <w:r>
        <w:t>Es legt keine konkrete Dynamik oder Berechnungsvorschrift fest.</w:t>
      </w:r>
    </w:p>
    <w:p w:rsidR="00027411" w:rsidRDefault="00E50336" w:rsidP="00027411">
      <w:r>
        <w:pict>
          <v:rect id="_x0000_i2696" style="width:0;height:1.5pt" o:hralign="center" o:hrstd="t" o:hr="t" fillcolor="#a0a0a0" stroked="f"/>
        </w:pict>
      </w:r>
    </w:p>
    <w:p w:rsidR="00027411" w:rsidRDefault="00027411" w:rsidP="00027411">
      <w:pPr>
        <w:pStyle w:val="berschrift1"/>
      </w:pPr>
      <w:r>
        <w:t>3.3.43.531 Primäraxiom versus Operationalisierung</w:t>
      </w:r>
    </w:p>
    <w:p w:rsidR="00027411" w:rsidRDefault="00027411" w:rsidP="00027411">
      <w:pPr>
        <w:pStyle w:val="StandardWeb"/>
      </w:pPr>
      <w:r>
        <w:t>Schließlich gilt</w:t>
      </w:r>
    </w:p>
    <w:p w:rsidR="00027411" w:rsidRDefault="00027411" w:rsidP="00027411">
      <w:pPr>
        <w:pStyle w:val="StandardWeb"/>
      </w:pPr>
      <w:r>
        <w:t>[</w:t>
      </w:r>
      <w:r>
        <w:br/>
        <w:t>A_C</w:t>
      </w:r>
      <w:r>
        <w:br/>
        <w:t>\notin</w:t>
      </w:r>
      <w:r>
        <w:br/>
        <w:t>\mathfrak O_C.</w:t>
      </w:r>
      <w:r>
        <w:br/>
        <w:t>\tag{3.9270}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A_C\notin\mathfrak O_C</w:t>
      </w:r>
    </w:p>
    <w:p w:rsidR="00027411" w:rsidRDefault="00027411" w:rsidP="00027411">
      <w:pPr>
        <w:pStyle w:val="StandardWeb"/>
      </w:pPr>
      <w:r>
        <w:t>Das Axiom ist nicht selbst eine Messvorschrift.</w:t>
      </w:r>
    </w:p>
    <w:p w:rsidR="00027411" w:rsidRDefault="00E50336" w:rsidP="00027411">
      <w:r>
        <w:pict>
          <v:rect id="_x0000_i2697" style="width:0;height:1.5pt" o:hralign="center" o:hrstd="t" o:hr="t" fillcolor="#a0a0a0" stroked="f"/>
        </w:pict>
      </w:r>
    </w:p>
    <w:p w:rsidR="00027411" w:rsidRDefault="00027411" w:rsidP="00027411">
      <w:pPr>
        <w:pStyle w:val="berschrift1"/>
      </w:pPr>
      <w:r>
        <w:t>3.3.43.532 Vierfache Abgrenzung</w:t>
      </w:r>
    </w:p>
    <w:p w:rsidR="00027411" w:rsidRDefault="00027411" w:rsidP="00027411">
      <w:pPr>
        <w:pStyle w:val="StandardWeb"/>
      </w:pPr>
      <w:r>
        <w:t>Damit ergibt sich</w:t>
      </w:r>
    </w:p>
    <w:p w:rsidR="00027411" w:rsidRDefault="00027411" w:rsidP="00027411">
      <w:pPr>
        <w:pStyle w:val="StandardWeb"/>
      </w:pPr>
      <w:r>
        <w:t>[</w:t>
      </w:r>
      <w:r>
        <w:br/>
        <w:t>\boxed{</w:t>
      </w:r>
      <w:r>
        <w:br/>
        <w:t>A_C</w:t>
      </w:r>
      <w:r>
        <w:br/>
        <w:t>\in</w:t>
      </w:r>
      <w:r>
        <w:br/>
        <w:t>\mathfrak A_C,</w:t>
      </w:r>
      <w:r>
        <w:br/>
        <w:t>\qquad</w:t>
      </w:r>
      <w:r>
        <w:br/>
        <w:t>A_C</w:t>
      </w:r>
      <w:r>
        <w:br/>
      </w:r>
      <w:r>
        <w:lastRenderedPageBreak/>
        <w:t>\notin</w:t>
      </w:r>
      <w:r>
        <w:br/>
        <w:t>\mathfrak D_C,</w:t>
      </w:r>
      <w:r>
        <w:br/>
        <w:t>\qquad</w:t>
      </w:r>
      <w:r>
        <w:br/>
        <w:t>A_C</w:t>
      </w:r>
      <w:r>
        <w:br/>
        <w:t>\notin</w:t>
      </w:r>
      <w:r>
        <w:br/>
        <w:t>\mathfrak M_C,</w:t>
      </w:r>
      <w:r>
        <w:br/>
        <w:t>\qquad</w:t>
      </w:r>
      <w:r>
        <w:br/>
        <w:t>A_C</w:t>
      </w:r>
      <w:r>
        <w:br/>
        <w:t>\notin</w:t>
      </w:r>
      <w:r>
        <w:br/>
        <w:t>\mathfrak O_C.</w:t>
      </w:r>
      <w:r>
        <w:br/>
        <w:t>}</w:t>
      </w:r>
      <w:r>
        <w:br/>
        <w:t>\tag{3.9271}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\boxed{A_C\in\mathfrak A_C,\qquad A_C\notin\mathfrak D_C,\qquad A_C\notin\mathfrak M_C,\qquad A_C\notin\mathfrak O_C.}</w:t>
      </w:r>
    </w:p>
    <w:p w:rsidR="00027411" w:rsidRDefault="00027411" w:rsidP="00027411">
      <w:pPr>
        <w:pStyle w:val="StandardWeb"/>
      </w:pPr>
      <w:r>
        <w:t>Diese Trennung verhindert eine Vermischung von ontologisch-theoretischer Ausgangsannahme, Begriffsbildung, mathematischer Modellierung und empirischer Messung.</w:t>
      </w:r>
    </w:p>
    <w:p w:rsidR="00027411" w:rsidRDefault="00E50336" w:rsidP="00027411">
      <w:r>
        <w:pict>
          <v:rect id="_x0000_i2698" style="width:0;height:1.5pt" o:hralign="center" o:hrstd="t" o:hr="t" fillcolor="#a0a0a0" stroked="f"/>
        </w:pict>
      </w:r>
    </w:p>
    <w:p w:rsidR="00027411" w:rsidRDefault="00027411" w:rsidP="00027411">
      <w:pPr>
        <w:pStyle w:val="berschrift1"/>
      </w:pPr>
      <w:r>
        <w:t>3.3.43.533 Kohärenzaxiom als Minimalbedingung</w:t>
      </w:r>
    </w:p>
    <w:p w:rsidR="00027411" w:rsidRDefault="00027411" w:rsidP="00027411">
      <w:pPr>
        <w:pStyle w:val="StandardWeb"/>
      </w:pPr>
      <w:r>
        <w:t>Die endgültige Bedeutung des Primäraxioms lässt sich damit auf einen Satz reduzieren:</w:t>
      </w:r>
    </w:p>
    <w:p w:rsidR="00027411" w:rsidRDefault="00027411" w:rsidP="00027411">
      <w:pPr>
        <w:pStyle w:val="StandardWeb"/>
      </w:pPr>
      <w:r>
        <w:t>[</w:t>
      </w:r>
      <w:r>
        <w:br/>
        <w:t>\boxed{</w:t>
      </w:r>
      <w:r>
        <w:br/>
        <w:t>\text{Ein FRZK ohne funktional relevante positive Kohärenz ist kein Modell der FRZK-Axiomatik.}</w:t>
      </w:r>
      <w:r>
        <w:br/>
        <w:t>}</w:t>
      </w:r>
      <w:r>
        <w:br/>
        <w:t>\tag{3.9272}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\boxed{\text{Ein FRZK ohne funktional relevante positive Kohärenz ist kein Modell der FRZK-Axiomatik.}}</w:t>
      </w:r>
    </w:p>
    <w:p w:rsidR="00027411" w:rsidRDefault="00E50336" w:rsidP="00027411">
      <w:r>
        <w:pict>
          <v:rect id="_x0000_i2699" style="width:0;height:1.5pt" o:hralign="center" o:hrstd="t" o:hr="t" fillcolor="#a0a0a0" stroked="f"/>
        </w:pict>
      </w:r>
    </w:p>
    <w:p w:rsidR="00027411" w:rsidRDefault="00027411" w:rsidP="00027411">
      <w:pPr>
        <w:pStyle w:val="berschrift1"/>
      </w:pPr>
      <w:r>
        <w:t>3.3.43.534 Was das Kohärenzaxiom nicht behauptet</w:t>
      </w:r>
    </w:p>
    <w:p w:rsidR="00027411" w:rsidRDefault="00027411" w:rsidP="00027411">
      <w:pPr>
        <w:pStyle w:val="StandardWeb"/>
      </w:pPr>
      <w:r>
        <w:t xml:space="preserve">Aus dem Primäraxiom folgt insbesondere </w:t>
      </w:r>
      <w:r>
        <w:rPr>
          <w:rStyle w:val="Fett"/>
        </w:rPr>
        <w:t>nicht</w:t>
      </w:r>
    </w:p>
    <w:p w:rsidR="00027411" w:rsidRDefault="00027411" w:rsidP="00027411">
      <w:pPr>
        <w:pStyle w:val="StandardWeb"/>
      </w:pPr>
      <w:r>
        <w:t>[</w:t>
      </w:r>
      <w:r>
        <w:br/>
        <w:t>C_{\mathrm{sys}}=1,</w:t>
      </w:r>
      <w:r>
        <w:br/>
        <w:t>\tag{3.9273}</w:t>
      </w:r>
      <w:r>
        <w:br/>
        <w:t>]</w:t>
      </w:r>
    </w:p>
    <w:p w:rsidR="00027411" w:rsidRDefault="00027411" w:rsidP="00027411">
      <w:pPr>
        <w:pStyle w:val="StandardWeb"/>
      </w:pPr>
      <w:r>
        <w:rPr>
          <w:rStyle w:val="Fett"/>
        </w:rPr>
        <w:lastRenderedPageBreak/>
        <w:t>Word-LaTeX</w:t>
      </w:r>
    </w:p>
    <w:p w:rsidR="00027411" w:rsidRDefault="00027411" w:rsidP="00027411">
      <w:pPr>
        <w:pStyle w:val="HTMLVorformatiert"/>
        <w:rPr>
          <w:rStyle w:val="HTMLCode"/>
        </w:rPr>
      </w:pPr>
      <w:r>
        <w:rPr>
          <w:rStyle w:val="HTMLCode"/>
        </w:rPr>
        <w:t>C_{\mathrm{sys}}=1</w:t>
      </w:r>
    </w:p>
    <w:p w:rsidR="00027411" w:rsidRDefault="00027411" w:rsidP="00027411">
      <w:pPr>
        <w:pStyle w:val="StandardWeb"/>
      </w:pPr>
      <w:r>
        <w:t>nicht</w:t>
      </w:r>
    </w:p>
    <w:p w:rsidR="00027411" w:rsidRDefault="00027411" w:rsidP="00027411">
      <w:pPr>
        <w:pStyle w:val="StandardWeb"/>
      </w:pPr>
      <w:r>
        <w:t>[</w:t>
      </w:r>
      <w:r>
        <w:br/>
        <w:t>C_F</w:t>
      </w:r>
      <w:r>
        <w:br/>
        <w:t>\text{ ist überall positiv},</w:t>
      </w:r>
      <w:r>
        <w:br/>
        <w:t>\tag{3.9274}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C_F\text{ ist überall positiv}</w:t>
      </w:r>
    </w:p>
    <w:p w:rsidR="00027411" w:rsidRDefault="00027411" w:rsidP="00027411">
      <w:pPr>
        <w:pStyle w:val="StandardWeb"/>
      </w:pPr>
      <w:r>
        <w:t>nicht</w:t>
      </w:r>
    </w:p>
    <w:p w:rsidR="00027411" w:rsidRDefault="00027411" w:rsidP="00027411">
      <w:pPr>
        <w:pStyle w:val="StandardWeb"/>
      </w:pPr>
      <w:r>
        <w:t>[</w:t>
      </w:r>
      <w:r>
        <w:br/>
        <w:t>C_F</w:t>
      </w:r>
      <w:r>
        <w:br/>
        <w:t>\text{ ist zeitlich konstant},</w:t>
      </w:r>
      <w:r>
        <w:br/>
        <w:t>\tag{3.9275}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C_F\text{ ist zeitlich konstant}</w:t>
      </w:r>
    </w:p>
    <w:p w:rsidR="00027411" w:rsidRDefault="00027411" w:rsidP="00027411">
      <w:pPr>
        <w:pStyle w:val="StandardWeb"/>
      </w:pPr>
      <w:r>
        <w:t>und nicht</w:t>
      </w:r>
    </w:p>
    <w:p w:rsidR="00027411" w:rsidRDefault="00027411" w:rsidP="00027411">
      <w:pPr>
        <w:pStyle w:val="StandardWeb"/>
      </w:pPr>
      <w:r>
        <w:t>[</w:t>
      </w:r>
      <w:r>
        <w:br/>
        <w:t>C_F</w:t>
      </w:r>
      <w:r>
        <w:br/>
        <w:t>\text{ besitzt eine bestimmte physikalische Ursache}.</w:t>
      </w:r>
      <w:r>
        <w:br/>
        <w:t>\tag{3.9276}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C_F\text{ besitzt eine bestimmte physikalische Ursache}</w:t>
      </w:r>
    </w:p>
    <w:p w:rsidR="00027411" w:rsidRDefault="00E50336" w:rsidP="00027411">
      <w:r>
        <w:pict>
          <v:rect id="_x0000_i2700" style="width:0;height:1.5pt" o:hralign="center" o:hrstd="t" o:hr="t" fillcolor="#a0a0a0" stroked="f"/>
        </w:pict>
      </w:r>
    </w:p>
    <w:p w:rsidR="00027411" w:rsidRDefault="00027411" w:rsidP="00027411">
      <w:pPr>
        <w:pStyle w:val="berschrift1"/>
      </w:pPr>
      <w:r>
        <w:t>3.3.43.535 Was das Kohärenzaxiom tatsächlich behauptet</w:t>
      </w:r>
    </w:p>
    <w:p w:rsidR="00027411" w:rsidRDefault="00027411" w:rsidP="00027411">
      <w:pPr>
        <w:pStyle w:val="StandardWeb"/>
      </w:pPr>
      <w:r>
        <w:t>Es behauptet ausschließlich</w:t>
      </w:r>
    </w:p>
    <w:p w:rsidR="00027411" w:rsidRDefault="00027411" w:rsidP="00027411">
      <w:pPr>
        <w:pStyle w:val="StandardWeb"/>
      </w:pPr>
      <w:r>
        <w:t>[</w:t>
      </w:r>
      <w:r>
        <w:br/>
        <w:t>\exists</w:t>
      </w:r>
      <w:r>
        <w:br/>
        <w:t>z,\mathcal S_C</w:t>
      </w:r>
      <w:r>
        <w:br/>
        <w:t>:</w:t>
      </w:r>
      <w:r>
        <w:br/>
      </w:r>
      <w:r>
        <w:lastRenderedPageBreak/>
        <w:t>R_F(\mathcal S_C)=1</w:t>
      </w:r>
      <w:r>
        <w:br/>
        <w:t>\land</w:t>
      </w:r>
      <w:r>
        <w:br/>
        <w:t>C_F(\mathcal S_C;z)&gt;0.</w:t>
      </w:r>
      <w:r>
        <w:br/>
        <w:t>\tag{3.9277}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\exists z,\mathcal S_C:R_F(\mathcal S_C)=1\land C_F(\mathcal S_C;z)&gt;0</w:t>
      </w:r>
    </w:p>
    <w:p w:rsidR="00027411" w:rsidRDefault="00027411" w:rsidP="00027411">
      <w:pPr>
        <w:pStyle w:val="StandardWeb"/>
      </w:pPr>
      <w:r>
        <w:t>Damit bleibt der wissenschaftliche Gehalt bewusst klein und kontrollierbar.</w:t>
      </w:r>
    </w:p>
    <w:p w:rsidR="00027411" w:rsidRDefault="00E50336" w:rsidP="00027411">
      <w:r>
        <w:pict>
          <v:rect id="_x0000_i2701" style="width:0;height:1.5pt" o:hralign="center" o:hrstd="t" o:hr="t" fillcolor="#a0a0a0" stroked="f"/>
        </w:pict>
      </w:r>
    </w:p>
    <w:p w:rsidR="00027411" w:rsidRDefault="00027411" w:rsidP="00027411">
      <w:pPr>
        <w:pStyle w:val="berschrift1"/>
      </w:pPr>
      <w:r>
        <w:t>3.3.43.536 Kohärenzaxiom und Raum</w:t>
      </w:r>
    </w:p>
    <w:p w:rsidR="00027411" w:rsidRDefault="00027411" w:rsidP="00027411">
      <w:pPr>
        <w:pStyle w:val="StandardWeb"/>
      </w:pPr>
      <w:r>
        <w:t>Das Primäraxiom besitzt zwar einen Zustandsbezug, legt aber noch keine konkrete Raumstruktur fest.</w:t>
      </w:r>
    </w:p>
    <w:p w:rsidR="00027411" w:rsidRDefault="00027411" w:rsidP="00027411">
      <w:pPr>
        <w:pStyle w:val="StandardWeb"/>
      </w:pPr>
      <w:r>
        <w:t>Daher bleibt</w:t>
      </w:r>
    </w:p>
    <w:p w:rsidR="00027411" w:rsidRDefault="00027411" w:rsidP="00027411">
      <w:pPr>
        <w:pStyle w:val="StandardWeb"/>
      </w:pPr>
      <w:r>
        <w:t>[</w:t>
      </w:r>
      <w:r>
        <w:br/>
        <w:t>\Omega_F</w:t>
      </w:r>
      <w:r>
        <w:br/>
        <w:t>\overset{\mathrm{später}}{\longrightarrow}</w:t>
      </w:r>
      <w:r>
        <w:br/>
        <w:t>\Omega_{ST}</w:t>
      </w:r>
      <w:r>
        <w:br/>
        <w:t>\tag{3.9278}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\Omega_F\overset{\mathrm{später}}{\longrightarrow}\Omega_{ST}</w:t>
      </w:r>
    </w:p>
    <w:p w:rsidR="00027411" w:rsidRDefault="00027411" w:rsidP="00027411">
      <w:pPr>
        <w:pStyle w:val="StandardWeb"/>
      </w:pPr>
      <w:r>
        <w:t>eine eigenständige Konstruktionsaufgabe.</w:t>
      </w:r>
    </w:p>
    <w:p w:rsidR="00027411" w:rsidRDefault="00E50336" w:rsidP="00027411">
      <w:r>
        <w:pict>
          <v:rect id="_x0000_i2702" style="width:0;height:1.5pt" o:hralign="center" o:hrstd="t" o:hr="t" fillcolor="#a0a0a0" stroked="f"/>
        </w:pict>
      </w:r>
    </w:p>
    <w:p w:rsidR="00027411" w:rsidRDefault="00027411" w:rsidP="00027411">
      <w:pPr>
        <w:pStyle w:val="berschrift1"/>
      </w:pPr>
      <w:r>
        <w:t>3.3.43.537 Kohärenzaxiom und Zeit</w:t>
      </w:r>
    </w:p>
    <w:p w:rsidR="00027411" w:rsidRDefault="00027411" w:rsidP="00027411">
      <w:pPr>
        <w:pStyle w:val="StandardWeb"/>
      </w:pPr>
      <w:r>
        <w:t>Gleiches gilt für die Zeit:</w:t>
      </w:r>
    </w:p>
    <w:p w:rsidR="00027411" w:rsidRDefault="00027411" w:rsidP="00027411">
      <w:pPr>
        <w:pStyle w:val="StandardWeb"/>
      </w:pPr>
      <w:r>
        <w:t>[</w:t>
      </w:r>
      <w:r>
        <w:br/>
        <w:t>A_C</w:t>
      </w:r>
      <w:r>
        <w:br/>
        <w:t>\nRightarrow</w:t>
      </w:r>
      <w:r>
        <w:br/>
        <w:t>\text{eine bestimmte Zeitontologie}.</w:t>
      </w:r>
      <w:r>
        <w:br/>
        <w:t>\tag{3.9279}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A_C\nRightarrow\text{eine bestimmte Zeitontologie}</w:t>
      </w:r>
    </w:p>
    <w:p w:rsidR="00027411" w:rsidRDefault="00027411" w:rsidP="00027411">
      <w:pPr>
        <w:pStyle w:val="StandardWeb"/>
      </w:pPr>
      <w:r>
        <w:lastRenderedPageBreak/>
        <w:t>Die Zeitabhängigkeit der Kohärenz ist mathematisch zulässig, aber nicht durch dieses Primäraxiom vollständig spezifiziert.</w:t>
      </w:r>
    </w:p>
    <w:p w:rsidR="00027411" w:rsidRDefault="00E50336" w:rsidP="00027411">
      <w:r>
        <w:pict>
          <v:rect id="_x0000_i2703" style="width:0;height:1.5pt" o:hralign="center" o:hrstd="t" o:hr="t" fillcolor="#a0a0a0" stroked="f"/>
        </w:pict>
      </w:r>
    </w:p>
    <w:p w:rsidR="00027411" w:rsidRDefault="00027411" w:rsidP="00027411">
      <w:pPr>
        <w:pStyle w:val="berschrift1"/>
      </w:pPr>
      <w:r>
        <w:t>3.3.43.538 Kohärenzaxiom und Beobachtbarkeit</w:t>
      </w:r>
    </w:p>
    <w:p w:rsidR="00027411" w:rsidRDefault="00027411" w:rsidP="00027411">
      <w:pPr>
        <w:pStyle w:val="StandardWeb"/>
      </w:pPr>
      <w:r>
        <w:t>Auch die Beobachtbarkeit der kohärenten Teilstruktur ist nicht automatisch garantiert.</w:t>
      </w:r>
    </w:p>
    <w:p w:rsidR="00027411" w:rsidRDefault="00027411" w:rsidP="00027411">
      <w:pPr>
        <w:pStyle w:val="StandardWeb"/>
      </w:pPr>
      <w:r>
        <w:t>Es kann gelten</w:t>
      </w:r>
    </w:p>
    <w:p w:rsidR="00027411" w:rsidRDefault="00027411" w:rsidP="00027411">
      <w:pPr>
        <w:pStyle w:val="StandardWeb"/>
      </w:pPr>
      <w:r>
        <w:t>[</w:t>
      </w:r>
      <w:r>
        <w:br/>
        <w:t>C_F&gt;0</w:t>
      </w:r>
      <w:r>
        <w:br/>
        <w:t>\tag{3.9280}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C_F&gt;0</w:t>
      </w:r>
    </w:p>
    <w:p w:rsidR="00027411" w:rsidRDefault="00027411" w:rsidP="00027411">
      <w:pPr>
        <w:pStyle w:val="StandardWeb"/>
      </w:pPr>
      <w:r>
        <w:t>und gleichzeitig</w:t>
      </w:r>
    </w:p>
    <w:p w:rsidR="00027411" w:rsidRDefault="00027411" w:rsidP="00027411">
      <w:pPr>
        <w:pStyle w:val="StandardWeb"/>
      </w:pPr>
      <w:r>
        <w:t>[</w:t>
      </w:r>
      <w:r>
        <w:br/>
        <w:t>\mathcal O_C</w:t>
      </w:r>
      <w:r>
        <w:br/>
        <w:t>\text{ liefert keine hinreichende Auflösung}.</w:t>
      </w:r>
      <w:r>
        <w:br/>
        <w:t>\tag{3.9281}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O_C\text{ liefert keine hinreichende Auflösung}</w:t>
      </w:r>
    </w:p>
    <w:p w:rsidR="00027411" w:rsidRDefault="00027411" w:rsidP="00027411">
      <w:pPr>
        <w:pStyle w:val="StandardWeb"/>
      </w:pPr>
      <w:r>
        <w:t>Damit muss zwischen Existenz und Beobachtbarkeit unterschieden werden.</w:t>
      </w:r>
    </w:p>
    <w:p w:rsidR="00027411" w:rsidRDefault="00E50336" w:rsidP="00027411">
      <w:r>
        <w:pict>
          <v:rect id="_x0000_i2704" style="width:0;height:1.5pt" o:hralign="center" o:hrstd="t" o:hr="t" fillcolor="#a0a0a0" stroked="f"/>
        </w:pict>
      </w:r>
    </w:p>
    <w:p w:rsidR="00027411" w:rsidRDefault="00027411" w:rsidP="00027411">
      <w:pPr>
        <w:pStyle w:val="berschrift1"/>
      </w:pPr>
      <w:r>
        <w:t>3.3.43.539 Epistemische Zugänglichkeit</w:t>
      </w:r>
    </w:p>
    <w:p w:rsidR="00027411" w:rsidRDefault="00027411" w:rsidP="00027411">
      <w:pPr>
        <w:pStyle w:val="StandardWeb"/>
      </w:pPr>
      <w:r>
        <w:t>Ich definiere daher einen Zugänglichkeitsindikator</w:t>
      </w:r>
    </w:p>
    <w:p w:rsidR="00027411" w:rsidRDefault="00027411" w:rsidP="00027411">
      <w:pPr>
        <w:pStyle w:val="StandardWeb"/>
      </w:pPr>
      <w:r>
        <w:t>[</w:t>
      </w:r>
      <w:r>
        <w:br/>
        <w:t>E_C^{\mathrm{obs}}</w:t>
      </w:r>
      <w:r>
        <w:br/>
        <w:t>\in</w:t>
      </w:r>
      <w:r>
        <w:br/>
        <w:t>[0,1].</w:t>
      </w:r>
      <w:r>
        <w:br/>
        <w:t>\tag{3.9282}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E_C^{\mathrm{obs}}\in[0,1]</w:t>
      </w:r>
    </w:p>
    <w:p w:rsidR="00027411" w:rsidRDefault="00027411" w:rsidP="00027411">
      <w:pPr>
        <w:pStyle w:val="StandardWeb"/>
      </w:pPr>
      <w:r>
        <w:lastRenderedPageBreak/>
        <w:t>Er beschreibt, in welchem Umfang eine theoretisch vorhandene Kohärenzstruktur durch die gewählte Beobachtungs- oder Messarchitektur erfassbar ist.</w:t>
      </w:r>
    </w:p>
    <w:p w:rsidR="00027411" w:rsidRDefault="00E50336" w:rsidP="00027411">
      <w:r>
        <w:pict>
          <v:rect id="_x0000_i2705" style="width:0;height:1.5pt" o:hralign="center" o:hrstd="t" o:hr="t" fillcolor="#a0a0a0" stroked="f"/>
        </w:pict>
      </w:r>
    </w:p>
    <w:p w:rsidR="00027411" w:rsidRDefault="00027411" w:rsidP="00027411">
      <w:pPr>
        <w:pStyle w:val="berschrift1"/>
      </w:pPr>
      <w:r>
        <w:t>3.3.43.540 Existenz ist nicht Beobachtbarkeit</w:t>
      </w:r>
    </w:p>
    <w:p w:rsidR="00027411" w:rsidRDefault="00027411" w:rsidP="00027411">
      <w:pPr>
        <w:pStyle w:val="StandardWeb"/>
      </w:pPr>
      <w:r>
        <w:t>Es gilt</w:t>
      </w:r>
    </w:p>
    <w:p w:rsidR="00027411" w:rsidRDefault="00027411" w:rsidP="00027411">
      <w:pPr>
        <w:pStyle w:val="StandardWeb"/>
      </w:pPr>
      <w:r>
        <w:t>[</w:t>
      </w:r>
      <w:r>
        <w:br/>
        <w:t>C_F&gt;0</w:t>
      </w:r>
      <w:r>
        <w:br/>
        <w:t>\nRightarrow</w:t>
      </w:r>
      <w:r>
        <w:br/>
        <w:t>E_C^{\mathrm{obs}}&gt;0.</w:t>
      </w:r>
      <w:r>
        <w:br/>
        <w:t>\tag{3.9283}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C_F&gt;0\nRightarrow E_C^{\mathrm{obs}}&gt;0</w:t>
      </w:r>
    </w:p>
    <w:p w:rsidR="00027411" w:rsidRDefault="00027411" w:rsidP="00027411">
      <w:pPr>
        <w:pStyle w:val="StandardWeb"/>
      </w:pPr>
      <w:r>
        <w:t>Eine positive Kohärenzrelation kann prinzipiell außerhalb der Auflösung einer konkreten Operationalisierung liegen.</w:t>
      </w:r>
    </w:p>
    <w:p w:rsidR="00027411" w:rsidRDefault="00E50336" w:rsidP="00027411">
      <w:r>
        <w:pict>
          <v:rect id="_x0000_i2706" style="width:0;height:1.5pt" o:hralign="center" o:hrstd="t" o:hr="t" fillcolor="#a0a0a0" stroked="f"/>
        </w:pict>
      </w:r>
    </w:p>
    <w:p w:rsidR="00027411" w:rsidRDefault="00027411" w:rsidP="00027411">
      <w:pPr>
        <w:pStyle w:val="berschrift1"/>
      </w:pPr>
      <w:r>
        <w:t>3.3.43.541 Beobachtungsnull ist nicht Existenznull</w:t>
      </w:r>
    </w:p>
    <w:p w:rsidR="00027411" w:rsidRDefault="00027411" w:rsidP="00027411">
      <w:pPr>
        <w:pStyle w:val="StandardWeb"/>
      </w:pPr>
      <w:r>
        <w:t>Umgekehrt gilt</w:t>
      </w:r>
    </w:p>
    <w:p w:rsidR="00027411" w:rsidRDefault="00027411" w:rsidP="00027411">
      <w:pPr>
        <w:pStyle w:val="StandardWeb"/>
      </w:pPr>
      <w:r>
        <w:t>[</w:t>
      </w:r>
      <w:r>
        <w:br/>
        <w:t>C_F^{\mathrm{obs}}=0</w:t>
      </w:r>
      <w:r>
        <w:br/>
        <w:t>\nRightarrow</w:t>
      </w:r>
      <w:r>
        <w:br/>
        <w:t>C_F=0.</w:t>
      </w:r>
      <w:r>
        <w:br/>
        <w:t>\tag{3.9284}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C_F^{\mathrm{obs}}=0\nRightarrow C_F=0</w:t>
      </w:r>
    </w:p>
    <w:p w:rsidR="00027411" w:rsidRDefault="00027411" w:rsidP="00027411">
      <w:pPr>
        <w:pStyle w:val="StandardWeb"/>
      </w:pPr>
      <w:r>
        <w:t>Ein Nullbefund muss deshalb zunächst auf Beobachtungsgrenzen geprüft werden.</w:t>
      </w:r>
    </w:p>
    <w:p w:rsidR="00027411" w:rsidRDefault="00E50336" w:rsidP="00027411">
      <w:r>
        <w:pict>
          <v:rect id="_x0000_i2707" style="width:0;height:1.5pt" o:hralign="center" o:hrstd="t" o:hr="t" fillcolor="#a0a0a0" stroked="f"/>
        </w:pict>
      </w:r>
    </w:p>
    <w:p w:rsidR="00027411" w:rsidRDefault="00027411" w:rsidP="00027411">
      <w:pPr>
        <w:pStyle w:val="berschrift1"/>
      </w:pPr>
      <w:r>
        <w:t>3.3.43.542 Beobachtete Kohärenz</w:t>
      </w:r>
    </w:p>
    <w:p w:rsidR="00027411" w:rsidRDefault="00027411" w:rsidP="00027411">
      <w:pPr>
        <w:pStyle w:val="StandardWeb"/>
      </w:pPr>
      <w:r>
        <w:t>Ich schreibe</w:t>
      </w:r>
    </w:p>
    <w:p w:rsidR="00027411" w:rsidRDefault="00027411" w:rsidP="00027411">
      <w:pPr>
        <w:pStyle w:val="berschrift1"/>
      </w:pPr>
      <w:r>
        <w:lastRenderedPageBreak/>
        <w:t>[</w:t>
      </w:r>
      <w:r>
        <w:br/>
        <w:t>C_F^{\mathrm{obs}}</w:t>
      </w:r>
    </w:p>
    <w:p w:rsidR="00027411" w:rsidRDefault="00027411" w:rsidP="00027411">
      <w:pPr>
        <w:pStyle w:val="StandardWeb"/>
      </w:pPr>
      <w:r>
        <w:t>\mathcal O_C[C_F].</w:t>
      </w:r>
      <w:r>
        <w:br/>
        <w:t>\tag{3.9285}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C_F^{\mathrm{obs}}=\mathcal O_C[C_F]</w:t>
      </w:r>
    </w:p>
    <w:p w:rsidR="00027411" w:rsidRDefault="00027411" w:rsidP="00027411">
      <w:pPr>
        <w:pStyle w:val="StandardWeb"/>
      </w:pPr>
      <w:r>
        <w:t>Damit bleibt der theoretische Kohärenzwert vom beobachteten beziehungsweise operationalisierten Wert getrennt.</w:t>
      </w:r>
    </w:p>
    <w:p w:rsidR="00027411" w:rsidRDefault="00E50336" w:rsidP="00027411">
      <w:r>
        <w:pict>
          <v:rect id="_x0000_i2708" style="width:0;height:1.5pt" o:hralign="center" o:hrstd="t" o:hr="t" fillcolor="#a0a0a0" stroked="f"/>
        </w:pict>
      </w:r>
    </w:p>
    <w:p w:rsidR="00027411" w:rsidRDefault="00027411" w:rsidP="00027411">
      <w:pPr>
        <w:pStyle w:val="berschrift1"/>
      </w:pPr>
      <w:r>
        <w:t>3.3.43.543 Beobachtungsverzerrung</w:t>
      </w:r>
    </w:p>
    <w:p w:rsidR="00027411" w:rsidRDefault="00027411" w:rsidP="00027411">
      <w:pPr>
        <w:pStyle w:val="StandardWeb"/>
      </w:pPr>
      <w:r>
        <w:t>Ich definiere</w:t>
      </w:r>
    </w:p>
    <w:p w:rsidR="00027411" w:rsidRDefault="00027411" w:rsidP="00027411">
      <w:pPr>
        <w:pStyle w:val="berschrift1"/>
      </w:pPr>
      <w:r>
        <w:t>[</w:t>
      </w:r>
      <w:r>
        <w:br/>
        <w:t>D_C^{\mathrm{obs}}</w:t>
      </w:r>
    </w:p>
    <w:p w:rsidR="00027411" w:rsidRDefault="00027411" w:rsidP="00027411">
      <w:pPr>
        <w:pStyle w:val="StandardWeb"/>
      </w:pPr>
      <w:r>
        <w:t>d_C</w:t>
      </w:r>
      <w:r>
        <w:br/>
        <w:t>\left(</w:t>
      </w:r>
      <w:r>
        <w:br/>
        <w:t>C_F,</w:t>
      </w:r>
      <w:r>
        <w:br/>
        <w:t>C_F^{\mathrm{obs}}</w:t>
      </w:r>
      <w:r>
        <w:br/>
        <w:t>\right).</w:t>
      </w:r>
      <w:r>
        <w:br/>
        <w:t>\tag{3.9286}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D_C^{\mathrm{obs}}=d_C\left(C_F,C_F^{\mathrm{obs}}\right)</w:t>
      </w:r>
    </w:p>
    <w:p w:rsidR="00027411" w:rsidRDefault="00027411" w:rsidP="00027411">
      <w:pPr>
        <w:pStyle w:val="StandardWeb"/>
      </w:pPr>
      <w:r>
        <w:t>Diese Größe beschreibt die Abweichung zwischen theoretischer und beobachteter Kohärenz innerhalb einer gewählten Vergleichsstruktur.</w:t>
      </w:r>
    </w:p>
    <w:p w:rsidR="00027411" w:rsidRDefault="00E50336" w:rsidP="00027411">
      <w:r>
        <w:pict>
          <v:rect id="_x0000_i2709" style="width:0;height:1.5pt" o:hralign="center" o:hrstd="t" o:hr="t" fillcolor="#a0a0a0" stroked="f"/>
        </w:pict>
      </w:r>
    </w:p>
    <w:p w:rsidR="00027411" w:rsidRDefault="00027411" w:rsidP="00027411">
      <w:pPr>
        <w:pStyle w:val="berschrift1"/>
      </w:pPr>
      <w:r>
        <w:t>3.3.43.544 Identifizierbarkeit</w:t>
      </w:r>
    </w:p>
    <w:p w:rsidR="00027411" w:rsidRDefault="00027411" w:rsidP="00027411">
      <w:pPr>
        <w:pStyle w:val="StandardWeb"/>
      </w:pPr>
      <w:r>
        <w:t>Ein theoretischer Kohärenzparameter (\theta_C) heißt identifizierbar, wenn unterschiedliche Parameterwerte unterscheidbare Beobachtungsverteilungen erzeugen.</w:t>
      </w:r>
    </w:p>
    <w:p w:rsidR="00027411" w:rsidRDefault="00027411" w:rsidP="00027411">
      <w:pPr>
        <w:pStyle w:val="StandardWeb"/>
      </w:pPr>
      <w:r>
        <w:t>Abstrakt:</w:t>
      </w:r>
    </w:p>
    <w:p w:rsidR="00027411" w:rsidRDefault="00027411" w:rsidP="00027411">
      <w:pPr>
        <w:pStyle w:val="StandardWeb"/>
      </w:pPr>
      <w:r>
        <w:lastRenderedPageBreak/>
        <w:t>[</w:t>
      </w:r>
      <w:r>
        <w:br/>
        <w:t>\theta_C^{(1)}</w:t>
      </w:r>
      <w:r>
        <w:br/>
        <w:t>\neq</w:t>
      </w:r>
      <w:r>
        <w:br/>
        <w:t>\theta_C^{(2)}</w:t>
      </w:r>
      <w:r>
        <w:br/>
        <w:t>\Rightarrow</w:t>
      </w:r>
      <w:r>
        <w:br/>
        <w:t>P_{\theta_C^{(1)}}</w:t>
      </w:r>
      <w:r>
        <w:br/>
        <w:t>\neq</w:t>
      </w:r>
      <w:r>
        <w:br/>
        <w:t>P_{\theta_C^{(2)}}.</w:t>
      </w:r>
      <w:r>
        <w:br/>
        <w:t>\tag{3.9287}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\theta_C^{(1)}\neq\theta_C^{(2)}\Rightarrow P_{\theta_C^{(1)}}\neq P_{\theta_C^{(2)}}</w:t>
      </w:r>
    </w:p>
    <w:p w:rsidR="00027411" w:rsidRDefault="00E50336" w:rsidP="00027411">
      <w:r>
        <w:pict>
          <v:rect id="_x0000_i2710" style="width:0;height:1.5pt" o:hralign="center" o:hrstd="t" o:hr="t" fillcolor="#a0a0a0" stroked="f"/>
        </w:pict>
      </w:r>
    </w:p>
    <w:p w:rsidR="00027411" w:rsidRDefault="00027411" w:rsidP="00027411">
      <w:pPr>
        <w:pStyle w:val="berschrift1"/>
      </w:pPr>
      <w:r>
        <w:t>3.3.43.545 Nichtidentifizierbare Kohärenzmodelle</w:t>
      </w:r>
    </w:p>
    <w:p w:rsidR="00027411" w:rsidRDefault="00027411" w:rsidP="00027411">
      <w:pPr>
        <w:pStyle w:val="StandardWeb"/>
      </w:pPr>
      <w:r>
        <w:t>Wenn dagegen</w:t>
      </w:r>
    </w:p>
    <w:p w:rsidR="00027411" w:rsidRDefault="00027411" w:rsidP="00027411">
      <w:pPr>
        <w:pStyle w:val="StandardWeb"/>
      </w:pPr>
      <w:r>
        <w:t>[</w:t>
      </w:r>
      <w:r>
        <w:br/>
        <w:t>\theta_C^{(1)}</w:t>
      </w:r>
      <w:r>
        <w:br/>
        <w:t>\neq</w:t>
      </w:r>
      <w:r>
        <w:br/>
        <w:t>\theta_C^{(2)}</w:t>
      </w:r>
      <w:r>
        <w:br/>
        <w:t>\tag{3.9288}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\theta_C^{(1)}\neq\theta_C^{(2)}</w:t>
      </w:r>
    </w:p>
    <w:p w:rsidR="00027411" w:rsidRDefault="00027411" w:rsidP="00027411">
      <w:pPr>
        <w:pStyle w:val="StandardWeb"/>
      </w:pPr>
      <w:r>
        <w:t>aber</w:t>
      </w:r>
    </w:p>
    <w:p w:rsidR="00027411" w:rsidRDefault="00027411" w:rsidP="00027411">
      <w:pPr>
        <w:pStyle w:val="berschrift1"/>
      </w:pPr>
      <w:r>
        <w:t>[</w:t>
      </w:r>
      <w:r>
        <w:br/>
        <w:t>P_{\theta_C^{(1)}}</w:t>
      </w:r>
    </w:p>
    <w:p w:rsidR="00027411" w:rsidRDefault="00027411" w:rsidP="00027411">
      <w:pPr>
        <w:pStyle w:val="StandardWeb"/>
      </w:pPr>
      <w:r>
        <w:t>P_{\theta_C^{(2)}},</w:t>
      </w:r>
      <w:r>
        <w:br/>
        <w:t>\tag{3.9289}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P_{\theta_C^{(1)}}=P_{\theta_C^{(2)}}</w:t>
      </w:r>
    </w:p>
    <w:p w:rsidR="00027411" w:rsidRDefault="00027411" w:rsidP="00027411">
      <w:pPr>
        <w:pStyle w:val="StandardWeb"/>
      </w:pPr>
      <w:r>
        <w:t>sind beide Parameterisierungen durch diese Beobachtungsstruktur nicht unterscheidbar.</w:t>
      </w:r>
    </w:p>
    <w:p w:rsidR="00027411" w:rsidRDefault="00E50336" w:rsidP="00027411">
      <w:r>
        <w:pict>
          <v:rect id="_x0000_i2711" style="width:0;height:1.5pt" o:hralign="center" o:hrstd="t" o:hr="t" fillcolor="#a0a0a0" stroked="f"/>
        </w:pict>
      </w:r>
    </w:p>
    <w:p w:rsidR="00027411" w:rsidRDefault="00027411" w:rsidP="00027411">
      <w:pPr>
        <w:pStyle w:val="berschrift1"/>
      </w:pPr>
      <w:r>
        <w:lastRenderedPageBreak/>
        <w:t>3.3.43.546 Primäraxiom bleibt davon unberührt</w:t>
      </w:r>
    </w:p>
    <w:p w:rsidR="00027411" w:rsidRDefault="00027411" w:rsidP="00027411">
      <w:pPr>
        <w:pStyle w:val="StandardWeb"/>
      </w:pPr>
      <w:r>
        <w:t>Nichtidentifizierbarkeit eines konkreten Modells widerlegt das Primäraxiom nicht automatisch:</w:t>
      </w:r>
    </w:p>
    <w:p w:rsidR="00027411" w:rsidRDefault="00027411" w:rsidP="00027411">
      <w:pPr>
        <w:pStyle w:val="StandardWeb"/>
      </w:pPr>
      <w:r>
        <w:t>[</w:t>
      </w:r>
      <w:r>
        <w:br/>
        <w:t>\text{Nichtidentifizierbarkeit}</w:t>
      </w:r>
      <w:r>
        <w:br/>
        <w:t>\nRightarrow</w:t>
      </w:r>
      <w:r>
        <w:br/>
        <w:t>\neg A_C.</w:t>
      </w:r>
      <w:r>
        <w:br/>
        <w:t>\tag{3.9290}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\text{Nichtidentifizierbarkeit}\nRightarrow\neg A_C</w:t>
      </w:r>
    </w:p>
    <w:p w:rsidR="00027411" w:rsidRDefault="00027411" w:rsidP="00027411">
      <w:pPr>
        <w:pStyle w:val="StandardWeb"/>
      </w:pPr>
      <w:r>
        <w:t>Sie zeigt vielmehr eine Grenze der empirischen Bestimmung der konkreten Kohärenzstruktur.</w:t>
      </w:r>
    </w:p>
    <w:p w:rsidR="00027411" w:rsidRDefault="00E50336" w:rsidP="00027411">
      <w:r>
        <w:pict>
          <v:rect id="_x0000_i2712" style="width:0;height:1.5pt" o:hralign="center" o:hrstd="t" o:hr="t" fillcolor="#a0a0a0" stroked="f"/>
        </w:pict>
      </w:r>
    </w:p>
    <w:p w:rsidR="00027411" w:rsidRDefault="00027411" w:rsidP="00027411">
      <w:pPr>
        <w:pStyle w:val="berschrift1"/>
      </w:pPr>
      <w:r>
        <w:t>3.3.43.547 Kohärenzaxiom und Unterbestimmtheit</w:t>
      </w:r>
    </w:p>
    <w:p w:rsidR="00027411" w:rsidRDefault="00027411" w:rsidP="00027411">
      <w:pPr>
        <w:pStyle w:val="StandardWeb"/>
      </w:pPr>
      <w:r>
        <w:t>Mehrere Modelle können dasselbe Beobachtungsmaterial erklären:</w:t>
      </w:r>
    </w:p>
    <w:p w:rsidR="00027411" w:rsidRDefault="00027411" w:rsidP="00027411">
      <w:pPr>
        <w:pStyle w:val="StandardWeb"/>
      </w:pPr>
      <w:r>
        <w:t>[</w:t>
      </w:r>
      <w:r>
        <w:br/>
        <w:t>\mathcal M_1</w:t>
      </w:r>
      <w:r>
        <w:br/>
        <w:t>\neq</w:t>
      </w:r>
      <w:r>
        <w:br/>
        <w:t>\mathcal M_2</w:t>
      </w:r>
      <w:r>
        <w:br/>
        <w:t>\tag{3.9291}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M_1\neq\mathcal M_2</w:t>
      </w:r>
    </w:p>
    <w:p w:rsidR="00027411" w:rsidRDefault="00027411" w:rsidP="00027411">
      <w:pPr>
        <w:pStyle w:val="StandardWeb"/>
      </w:pPr>
      <w:r>
        <w:t>bei</w:t>
      </w:r>
    </w:p>
    <w:p w:rsidR="00027411" w:rsidRDefault="00027411" w:rsidP="00027411">
      <w:pPr>
        <w:pStyle w:val="berschrift1"/>
      </w:pPr>
      <w:r>
        <w:t>[</w:t>
      </w:r>
      <w:r>
        <w:br/>
        <w:t>\mathcal O(\mathcal M_1)</w:t>
      </w:r>
    </w:p>
    <w:p w:rsidR="00027411" w:rsidRDefault="00027411" w:rsidP="00027411">
      <w:pPr>
        <w:pStyle w:val="StandardWeb"/>
      </w:pPr>
      <w:r>
        <w:t>\mathcal O(\mathcal M_2).</w:t>
      </w:r>
      <w:r>
        <w:br/>
        <w:t>\tag{3.9292}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O(\mathcal M_1)=\mathcal O(\mathcal M_2)</w:t>
      </w:r>
    </w:p>
    <w:p w:rsidR="00027411" w:rsidRDefault="00027411" w:rsidP="00027411">
      <w:pPr>
        <w:pStyle w:val="StandardWeb"/>
      </w:pPr>
      <w:r>
        <w:t>Das Kohärenzaxiom allein beseitigt diese wissenschaftliche Unterbestimmtheit nicht. [20]</w:t>
      </w:r>
    </w:p>
    <w:p w:rsidR="00027411" w:rsidRDefault="00E50336" w:rsidP="00027411">
      <w:r>
        <w:lastRenderedPageBreak/>
        <w:pict>
          <v:rect id="_x0000_i2713" style="width:0;height:1.5pt" o:hralign="center" o:hrstd="t" o:hr="t" fillcolor="#a0a0a0" stroked="f"/>
        </w:pict>
      </w:r>
    </w:p>
    <w:p w:rsidR="00027411" w:rsidRDefault="00027411" w:rsidP="00027411">
      <w:pPr>
        <w:pStyle w:val="berschrift1"/>
      </w:pPr>
      <w:r>
        <w:t>3.3.43.548 Axiomatische Vergleichsklasse</w:t>
      </w:r>
    </w:p>
    <w:p w:rsidR="00027411" w:rsidRDefault="00027411" w:rsidP="00027411">
      <w:pPr>
        <w:pStyle w:val="StandardWeb"/>
      </w:pPr>
      <w:r>
        <w:t>Ich definiere deshalb</w:t>
      </w:r>
    </w:p>
    <w:p w:rsidR="00027411" w:rsidRDefault="00027411" w:rsidP="00027411">
      <w:pPr>
        <w:pStyle w:val="berschrift1"/>
      </w:pPr>
      <w:r>
        <w:t>[</w:t>
      </w:r>
      <w:r>
        <w:br/>
        <w:t>[\mathcal M]_{A_C}</w:t>
      </w:r>
    </w:p>
    <w:p w:rsidR="00027411" w:rsidRDefault="00027411" w:rsidP="00027411">
      <w:pPr>
        <w:pStyle w:val="StandardWeb"/>
      </w:pPr>
      <w:r>
        <w:t>\left{</w:t>
      </w:r>
      <w:r>
        <w:br/>
        <w:t>\mathcal M':</w:t>
      </w:r>
      <w:r>
        <w:br/>
        <w:t>\mathcal M'\models A_C</w:t>
      </w:r>
      <w:r>
        <w:br/>
        <w:t>\right}.</w:t>
      </w:r>
      <w:r>
        <w:br/>
        <w:t>\tag{3.9293}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M]_{A_C}=\left\{\mathcal M':\mathcal M'\models A_C\right\}</w:t>
      </w:r>
    </w:p>
    <w:p w:rsidR="00027411" w:rsidRDefault="00027411" w:rsidP="00027411">
      <w:pPr>
        <w:pStyle w:val="StandardWeb"/>
      </w:pPr>
      <w:r>
        <w:t>Innerhalb dieser Klasse können sehr unterschiedliche konkrete Kohärenzdynamiken existieren.</w:t>
      </w:r>
    </w:p>
    <w:p w:rsidR="00027411" w:rsidRDefault="00E50336" w:rsidP="00027411">
      <w:r>
        <w:pict>
          <v:rect id="_x0000_i2714" style="width:0;height:1.5pt" o:hralign="center" o:hrstd="t" o:hr="t" fillcolor="#a0a0a0" stroked="f"/>
        </w:pict>
      </w:r>
    </w:p>
    <w:p w:rsidR="00027411" w:rsidRDefault="00027411" w:rsidP="00027411">
      <w:pPr>
        <w:pStyle w:val="berschrift1"/>
      </w:pPr>
      <w:r>
        <w:t>3.3.43.549 Axiomatische Offenheit als Modellvielfalt</w:t>
      </w:r>
    </w:p>
    <w:p w:rsidR="00027411" w:rsidRDefault="00027411" w:rsidP="00027411">
      <w:pPr>
        <w:pStyle w:val="StandardWeb"/>
      </w:pPr>
      <w:r>
        <w:t>Die Offenheit des Primäraxioms zeigt sich daher durch</w:t>
      </w:r>
    </w:p>
    <w:p w:rsidR="00027411" w:rsidRDefault="00027411" w:rsidP="00027411">
      <w:pPr>
        <w:pStyle w:val="StandardWeb"/>
      </w:pPr>
      <w:r>
        <w:t>[</w:t>
      </w:r>
      <w:r>
        <w:br/>
        <w:t>\left|</w:t>
      </w:r>
      <w:r>
        <w:br/>
        <w:t>\operatorname{Mod}(A_C)</w:t>
      </w:r>
      <w:r>
        <w:br/>
        <w:t>\right|</w:t>
      </w:r>
      <w:r>
        <w:br/>
        <w:t>\gg1.</w:t>
      </w:r>
      <w:r>
        <w:br/>
        <w:t>\tag{3.9294}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\left|\operatorname{Mod}(A_C)\right|\gg1</w:t>
      </w:r>
    </w:p>
    <w:p w:rsidR="00027411" w:rsidRDefault="00027411" w:rsidP="00027411">
      <w:pPr>
        <w:pStyle w:val="StandardWeb"/>
      </w:pPr>
      <w:r>
        <w:t>Das Symbol (\gg1) kennzeichnet hier nur qualitativ, dass zahlreiche unterschiedliche Modellrealisierungen zugelassen werden.</w:t>
      </w:r>
    </w:p>
    <w:p w:rsidR="00027411" w:rsidRDefault="00E50336" w:rsidP="00027411">
      <w:r>
        <w:pict>
          <v:rect id="_x0000_i2715" style="width:0;height:1.5pt" o:hralign="center" o:hrstd="t" o:hr="t" fillcolor="#a0a0a0" stroked="f"/>
        </w:pict>
      </w:r>
    </w:p>
    <w:p w:rsidR="00027411" w:rsidRDefault="00027411" w:rsidP="00027411">
      <w:pPr>
        <w:pStyle w:val="berschrift1"/>
      </w:pPr>
      <w:r>
        <w:t>3.3.43.550 Kein vollständiges physikalisches Modell aus einem Axiom</w:t>
      </w:r>
    </w:p>
    <w:p w:rsidR="00027411" w:rsidRDefault="00027411" w:rsidP="00027411">
      <w:pPr>
        <w:pStyle w:val="StandardWeb"/>
      </w:pPr>
      <w:r>
        <w:lastRenderedPageBreak/>
        <w:t>Damit gilt</w:t>
      </w:r>
    </w:p>
    <w:p w:rsidR="00027411" w:rsidRDefault="00027411" w:rsidP="00027411">
      <w:pPr>
        <w:pStyle w:val="StandardWeb"/>
      </w:pPr>
      <w:r>
        <w:t>[</w:t>
      </w:r>
      <w:r>
        <w:br/>
        <w:t>A_C</w:t>
      </w:r>
      <w:r>
        <w:br/>
        <w:t>\nRightarrow</w:t>
      </w:r>
      <w:r>
        <w:br/>
        <w:t>\mathcal M_{\mathrm{phys}}^{\ast}.</w:t>
      </w:r>
      <w:r>
        <w:br/>
        <w:t>\tag{3.9295}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A_C\nRightarrow\mathcal M_{\mathrm{phys}}^{\ast}</w:t>
      </w:r>
    </w:p>
    <w:p w:rsidR="00027411" w:rsidRDefault="00027411" w:rsidP="00027411">
      <w:pPr>
        <w:pStyle w:val="StandardWeb"/>
      </w:pPr>
      <w:r>
        <w:t>Ein einzelnes Primäraxiom bestimmt keine vollständige physikalische Theorie.</w:t>
      </w:r>
    </w:p>
    <w:p w:rsidR="00027411" w:rsidRDefault="00E50336" w:rsidP="00027411">
      <w:r>
        <w:pict>
          <v:rect id="_x0000_i2716" style="width:0;height:1.5pt" o:hralign="center" o:hrstd="t" o:hr="t" fillcolor="#a0a0a0" stroked="f"/>
        </w:pict>
      </w:r>
    </w:p>
    <w:p w:rsidR="00027411" w:rsidRDefault="00027411" w:rsidP="00027411">
      <w:pPr>
        <w:pStyle w:val="berschrift1"/>
      </w:pPr>
      <w:r>
        <w:t>3.3.43.551 Funktion des Kohärenzaxioms</w:t>
      </w:r>
    </w:p>
    <w:p w:rsidR="00027411" w:rsidRDefault="00027411" w:rsidP="00027411">
      <w:pPr>
        <w:pStyle w:val="StandardWeb"/>
      </w:pPr>
      <w:r>
        <w:t>Die eigentliche Funktion des Axioms lautet vielmehr</w:t>
      </w:r>
    </w:p>
    <w:p w:rsidR="00027411" w:rsidRDefault="00027411" w:rsidP="00027411">
      <w:pPr>
        <w:pStyle w:val="StandardWeb"/>
      </w:pPr>
      <w:r>
        <w:t>[</w:t>
      </w:r>
      <w:r>
        <w:br/>
        <w:t>A_C</w:t>
      </w:r>
      <w:r>
        <w:br/>
        <w:t>:</w:t>
      </w:r>
      <w:r>
        <w:br/>
        <w:t>\mathfrak M_F^{0}</w:t>
      </w:r>
      <w:r>
        <w:br/>
        <w:t>\rightarrow</w:t>
      </w:r>
      <w:r>
        <w:br/>
        <w:t>\mathfrak M_F^{C}.</w:t>
      </w:r>
      <w:r>
        <w:br/>
        <w:t>\tag{3.9296}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A_C:\mathfrak M_F^{0}\rightarrow\mathfrak M_F^{C}</w:t>
      </w:r>
    </w:p>
    <w:p w:rsidR="00027411" w:rsidRDefault="00027411" w:rsidP="00027411">
      <w:pPr>
        <w:pStyle w:val="StandardWeb"/>
      </w:pPr>
      <w:r>
        <w:t>Es selektiert aus einem allgemeineren funktionalen Modellraum diejenigen Modelle, in denen mindestens eine funktional relevante positive Kohärenzstruktur existiert.</w:t>
      </w:r>
    </w:p>
    <w:p w:rsidR="00027411" w:rsidRDefault="00E50336" w:rsidP="00027411">
      <w:r>
        <w:pict>
          <v:rect id="_x0000_i2717" style="width:0;height:1.5pt" o:hralign="center" o:hrstd="t" o:hr="t" fillcolor="#a0a0a0" stroked="f"/>
        </w:pict>
      </w:r>
    </w:p>
    <w:p w:rsidR="00027411" w:rsidRDefault="00027411" w:rsidP="00027411">
      <w:pPr>
        <w:pStyle w:val="berschrift1"/>
      </w:pPr>
      <w:r>
        <w:t>3.3.43.552 Kohärenz als konstitutive Auswahlbedingung</w:t>
      </w:r>
    </w:p>
    <w:p w:rsidR="00027411" w:rsidRDefault="00027411" w:rsidP="00027411">
      <w:pPr>
        <w:pStyle w:val="StandardWeb"/>
      </w:pPr>
      <w:r>
        <w:t>Ich kann daher schreiben</w:t>
      </w:r>
    </w:p>
    <w:p w:rsidR="00027411" w:rsidRDefault="00027411" w:rsidP="00027411">
      <w:pPr>
        <w:pStyle w:val="berschrift1"/>
      </w:pPr>
      <w:r>
        <w:t>[</w:t>
      </w:r>
      <w:r>
        <w:br/>
        <w:t>\boxed{</w:t>
      </w:r>
      <w:r>
        <w:br/>
        <w:t>A_C</w:t>
      </w:r>
    </w:p>
    <w:p w:rsidR="00027411" w:rsidRDefault="00027411" w:rsidP="00027411">
      <w:pPr>
        <w:pStyle w:val="StandardWeb"/>
      </w:pPr>
      <w:r>
        <w:lastRenderedPageBreak/>
        <w:t>\text{konstitutive Auswahlbedingung der FRZK-Modellklasse}.</w:t>
      </w:r>
      <w:r>
        <w:br/>
        <w:t>}</w:t>
      </w:r>
      <w:r>
        <w:br/>
        <w:t>\tag{3.9297}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\boxed{A_C=\text{konstitutive Auswahlbedingung der FRZK-Modellklasse}.}</w:t>
      </w:r>
    </w:p>
    <w:p w:rsidR="00027411" w:rsidRDefault="00027411" w:rsidP="00027411">
      <w:pPr>
        <w:pStyle w:val="StandardWeb"/>
      </w:pPr>
      <w:r>
        <w:t>Diese Interpretation beschreibt präziser den Status des Axioms als die Vorstellung eines unmittelbar messbaren Naturgesetzes.</w:t>
      </w:r>
    </w:p>
    <w:p w:rsidR="00027411" w:rsidRDefault="00E50336" w:rsidP="00027411">
      <w:r>
        <w:pict>
          <v:rect id="_x0000_i2718" style="width:0;height:1.5pt" o:hralign="center" o:hrstd="t" o:hr="t" fillcolor="#a0a0a0" stroked="f"/>
        </w:pict>
      </w:r>
    </w:p>
    <w:p w:rsidR="00027411" w:rsidRDefault="00027411" w:rsidP="00027411">
      <w:pPr>
        <w:pStyle w:val="berschrift1"/>
      </w:pPr>
      <w:r>
        <w:t>3.3.43.553 Verbindung zur bisherigen Konsistenzarchitektur</w:t>
      </w:r>
    </w:p>
    <w:p w:rsidR="00027411" w:rsidRDefault="00027411" w:rsidP="00027411">
      <w:pPr>
        <w:pStyle w:val="StandardWeb"/>
      </w:pPr>
      <w:r>
        <w:t>Da positive Kohärenz gemäß Definition 3.3.53 Konsistenz voraussetzt, folgt aus (A_C) lokal</w:t>
      </w:r>
    </w:p>
    <w:p w:rsidR="00027411" w:rsidRDefault="00027411" w:rsidP="00027411">
      <w:pPr>
        <w:pStyle w:val="StandardWeb"/>
      </w:pPr>
      <w:r>
        <w:t>[</w:t>
      </w:r>
      <w:r>
        <w:br/>
        <w:t>\exists z,\mathcal S_C:</w:t>
      </w:r>
      <w:r>
        <w:br/>
        <w:t>K_F(\mathcal S_C;z)=1.</w:t>
      </w:r>
      <w:r>
        <w:br/>
        <w:t>\tag{3.9298}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\exists z,\mathcal S_C:K_F(\mathcal S_C;z)=1</w:t>
      </w:r>
    </w:p>
    <w:p w:rsidR="00027411" w:rsidRDefault="00027411" w:rsidP="00027411">
      <w:pPr>
        <w:pStyle w:val="StandardWeb"/>
      </w:pPr>
      <w:r>
        <w:t>Das Primäraxiom garantiert somit mindestens einen lokal konsistenten relevanten Kohärenzverbund.</w:t>
      </w:r>
    </w:p>
    <w:p w:rsidR="00027411" w:rsidRDefault="00E50336" w:rsidP="00027411">
      <w:r>
        <w:pict>
          <v:rect id="_x0000_i2719" style="width:0;height:1.5pt" o:hralign="center" o:hrstd="t" o:hr="t" fillcolor="#a0a0a0" stroked="f"/>
        </w:pict>
      </w:r>
    </w:p>
    <w:p w:rsidR="00027411" w:rsidRDefault="00027411" w:rsidP="00027411">
      <w:pPr>
        <w:pStyle w:val="berschrift1"/>
      </w:pPr>
      <w:r>
        <w:t>3.3.43.554 Verbindung zur Vergleichbarkeit</w:t>
      </w:r>
    </w:p>
    <w:p w:rsidR="00027411" w:rsidRDefault="00027411" w:rsidP="00027411">
      <w:pPr>
        <w:pStyle w:val="StandardWeb"/>
      </w:pPr>
      <w:r>
        <w:t>Ebenso folgt</w:t>
      </w:r>
    </w:p>
    <w:p w:rsidR="00027411" w:rsidRDefault="00027411" w:rsidP="00027411">
      <w:pPr>
        <w:pStyle w:val="StandardWeb"/>
      </w:pPr>
      <w:r>
        <w:t>[</w:t>
      </w:r>
      <w:r>
        <w:br/>
        <w:t>\exists z,\mathcal S_C:</w:t>
      </w:r>
      <w:r>
        <w:br/>
        <w:t>\mathcal C(\mathcal S_C;z)=1.</w:t>
      </w:r>
      <w:r>
        <w:br/>
        <w:t>\tag{3.9299}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\exists z,\mathcal S_C:\mathcal C(\mathcal S_C;z)=1</w:t>
      </w:r>
    </w:p>
    <w:p w:rsidR="00027411" w:rsidRDefault="00027411" w:rsidP="00027411">
      <w:pPr>
        <w:pStyle w:val="StandardWeb"/>
      </w:pPr>
      <w:r>
        <w:t>Damit existiert mindestens ein funktional relevanter Bereich, in dem überhaupt eine gültige Kohärenzbewertung möglich ist.</w:t>
      </w:r>
    </w:p>
    <w:p w:rsidR="00027411" w:rsidRDefault="00E50336" w:rsidP="00027411">
      <w:r>
        <w:lastRenderedPageBreak/>
        <w:pict>
          <v:rect id="_x0000_i2720" style="width:0;height:1.5pt" o:hralign="center" o:hrstd="t" o:hr="t" fillcolor="#a0a0a0" stroked="f"/>
        </w:pict>
      </w:r>
    </w:p>
    <w:p w:rsidR="00027411" w:rsidRDefault="00027411" w:rsidP="00027411">
      <w:pPr>
        <w:pStyle w:val="berschrift1"/>
      </w:pPr>
      <w:r>
        <w:t>3.3.43.555 Verbindung zur Kopplung</w:t>
      </w:r>
    </w:p>
    <w:p w:rsidR="00027411" w:rsidRDefault="00027411" w:rsidP="00027411">
      <w:pPr>
        <w:pStyle w:val="StandardWeb"/>
      </w:pPr>
      <w:r>
        <w:t>Schließlich folgt</w:t>
      </w:r>
    </w:p>
    <w:p w:rsidR="00027411" w:rsidRDefault="00027411" w:rsidP="00027411">
      <w:pPr>
        <w:pStyle w:val="StandardWeb"/>
      </w:pPr>
      <w:r>
        <w:t>[</w:t>
      </w:r>
      <w:r>
        <w:br/>
        <w:t>\exists z,\mathcal S_C:</w:t>
      </w:r>
      <w:r>
        <w:br/>
        <w:t>\kappa(\mathcal S_C;z)&gt;0.</w:t>
      </w:r>
      <w:r>
        <w:br/>
        <w:t>\tag{3.9300}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\exists z,\mathcal S_C:\kappa(\mathcal S_C;z)&gt;0</w:t>
      </w:r>
    </w:p>
    <w:p w:rsidR="00027411" w:rsidRDefault="00027411" w:rsidP="00027411">
      <w:pPr>
        <w:pStyle w:val="StandardWeb"/>
      </w:pPr>
      <w:r>
        <w:t>Damit schließt das Primäraxiom vollständig entkoppelte FRZK-Modelle aus.</w:t>
      </w:r>
    </w:p>
    <w:p w:rsidR="00027411" w:rsidRDefault="00E50336" w:rsidP="00027411">
      <w:r>
        <w:pict>
          <v:rect id="_x0000_i2721" style="width:0;height:1.5pt" o:hralign="center" o:hrstd="t" o:hr="t" fillcolor="#a0a0a0" stroked="f"/>
        </w:pict>
      </w:r>
    </w:p>
    <w:p w:rsidR="00027411" w:rsidRDefault="00027411" w:rsidP="00027411">
      <w:pPr>
        <w:pStyle w:val="berschrift1"/>
      </w:pPr>
      <w:r>
        <w:t>3.3.43.556 Elementare Axiomfolgekette</w:t>
      </w:r>
    </w:p>
    <w:p w:rsidR="00027411" w:rsidRDefault="00027411" w:rsidP="00027411">
      <w:pPr>
        <w:pStyle w:val="StandardWeb"/>
      </w:pPr>
      <w:r>
        <w:t>Die unmittelbare Kette lautet</w:t>
      </w:r>
    </w:p>
    <w:p w:rsidR="00027411" w:rsidRDefault="00027411" w:rsidP="00027411">
      <w:pPr>
        <w:pStyle w:val="StandardWeb"/>
      </w:pPr>
      <w:r>
        <w:t>[</w:t>
      </w:r>
      <w:r>
        <w:br/>
        <w:t>A_C</w:t>
      </w:r>
      <w:r>
        <w:br/>
        <w:t>\Rightarrow</w:t>
      </w:r>
      <w:r>
        <w:br/>
        <w:t>R_F=1</w:t>
      </w:r>
      <w:r>
        <w:br/>
        <w:t>\Rightarrow</w:t>
      </w:r>
      <w:r>
        <w:br/>
        <w:t>\left(</w:t>
      </w:r>
      <w:r>
        <w:br/>
        <w:t>\mathcal C=1,</w:t>
      </w:r>
      <w:r>
        <w:br/>
        <w:t>K_F=1,</w:t>
      </w:r>
      <w:r>
        <w:br/>
        <w:t>\kappa&gt;0</w:t>
      </w:r>
      <w:r>
        <w:br/>
        <w:t>\right)</w:t>
      </w:r>
      <w:r>
        <w:br/>
        <w:t>\Rightarrow</w:t>
      </w:r>
      <w:r>
        <w:br/>
        <w:t>C_F&gt;0.</w:t>
      </w:r>
      <w:r>
        <w:br/>
        <w:t>\tag{3.9301}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A_C\Rightarrow R_F=1\Rightarrow\left(\mathcal C=1,K_F=1,\kappa&gt;0\right)\Rightarrow C_F&gt;0</w:t>
      </w:r>
    </w:p>
    <w:p w:rsidR="00027411" w:rsidRDefault="00027411" w:rsidP="00027411">
      <w:pPr>
        <w:pStyle w:val="StandardWeb"/>
      </w:pPr>
      <w:r>
        <w:t>Dabei ist die mittlere Implikation nicht als allgemeine Aussage (R_F\Rightarrow(\mathcal C,K_F,\kappa)) zu verstehen, sondern als Beschreibung der durch (A_C) ausgewählten Teilstruktur.</w:t>
      </w:r>
    </w:p>
    <w:p w:rsidR="00027411" w:rsidRDefault="00E50336" w:rsidP="00027411">
      <w:r>
        <w:pict>
          <v:rect id="_x0000_i2722" style="width:0;height:1.5pt" o:hralign="center" o:hrstd="t" o:hr="t" fillcolor="#a0a0a0" stroked="f"/>
        </w:pict>
      </w:r>
    </w:p>
    <w:p w:rsidR="00027411" w:rsidRDefault="00027411" w:rsidP="00027411">
      <w:pPr>
        <w:pStyle w:val="berschrift1"/>
      </w:pPr>
      <w:r>
        <w:t>3.3.43.557 Keine Umkehrung</w:t>
      </w:r>
    </w:p>
    <w:p w:rsidR="00027411" w:rsidRDefault="00027411" w:rsidP="00027411">
      <w:pPr>
        <w:pStyle w:val="StandardWeb"/>
      </w:pPr>
      <w:r>
        <w:lastRenderedPageBreak/>
        <w:t>Aus einer beliebigen positiven Kohärenzrelation folgt nicht automatisch das Primäraxiom in seiner funktionalen Relevanzform:</w:t>
      </w:r>
    </w:p>
    <w:p w:rsidR="00027411" w:rsidRDefault="00027411" w:rsidP="00027411">
      <w:pPr>
        <w:pStyle w:val="StandardWeb"/>
      </w:pPr>
      <w:r>
        <w:t>[</w:t>
      </w:r>
      <w:r>
        <w:br/>
        <w:t>C_F(X_i,X_j)&gt;0</w:t>
      </w:r>
      <w:r>
        <w:br/>
        <w:t>\nRightarrow</w:t>
      </w:r>
      <w:r>
        <w:br/>
        <w:t>A_C.</w:t>
      </w:r>
      <w:r>
        <w:br/>
        <w:t>\tag{3.9302}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C_F(X_i,X_j)&gt;0\nRightarrow A_C</w:t>
      </w:r>
    </w:p>
    <w:p w:rsidR="00027411" w:rsidRDefault="00027411" w:rsidP="00027411">
      <w:pPr>
        <w:pStyle w:val="StandardWeb"/>
      </w:pPr>
      <w:r>
        <w:t>Die positive Relation könnte funktional irrelevant sein.</w:t>
      </w:r>
    </w:p>
    <w:p w:rsidR="00027411" w:rsidRDefault="00E50336" w:rsidP="00027411">
      <w:r>
        <w:pict>
          <v:rect id="_x0000_i2723" style="width:0;height:1.5pt" o:hralign="center" o:hrstd="t" o:hr="t" fillcolor="#a0a0a0" stroked="f"/>
        </w:pict>
      </w:r>
    </w:p>
    <w:p w:rsidR="00027411" w:rsidRDefault="00027411" w:rsidP="00027411">
      <w:pPr>
        <w:pStyle w:val="berschrift1"/>
      </w:pPr>
      <w:r>
        <w:t>3.3.43.558 Relevanz bleibt notwendig</w:t>
      </w:r>
    </w:p>
    <w:p w:rsidR="00027411" w:rsidRDefault="00027411" w:rsidP="00027411">
      <w:pPr>
        <w:pStyle w:val="StandardWeb"/>
      </w:pPr>
      <w:r>
        <w:t>Für die Erfüllung des Primäraxioms muss zusätzlich gelten</w:t>
      </w:r>
    </w:p>
    <w:p w:rsidR="00027411" w:rsidRDefault="00027411" w:rsidP="00027411">
      <w:pPr>
        <w:pStyle w:val="StandardWeb"/>
      </w:pPr>
      <w:r>
        <w:t>[</w:t>
      </w:r>
      <w:r>
        <w:br/>
        <w:t>R_F(\mathcal S_C)=1.</w:t>
      </w:r>
      <w:r>
        <w:br/>
        <w:t>\tag{3.9303}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R_F(\mathcal S_C)=1</w:t>
      </w:r>
    </w:p>
    <w:p w:rsidR="00027411" w:rsidRDefault="00027411" w:rsidP="00027411">
      <w:pPr>
        <w:pStyle w:val="StandardWeb"/>
      </w:pPr>
      <w:r>
        <w:t>Damit bleibt die zentrale Verbesserung gegenüber Kandidat A erhalten.</w:t>
      </w:r>
    </w:p>
    <w:p w:rsidR="00027411" w:rsidRDefault="00E50336" w:rsidP="00027411">
      <w:r>
        <w:pict>
          <v:rect id="_x0000_i2724" style="width:0;height:1.5pt" o:hralign="center" o:hrstd="t" o:hr="t" fillcolor="#a0a0a0" stroked="f"/>
        </w:pict>
      </w:r>
    </w:p>
    <w:p w:rsidR="00027411" w:rsidRDefault="00027411" w:rsidP="00027411">
      <w:pPr>
        <w:pStyle w:val="berschrift1"/>
      </w:pPr>
      <w:r>
        <w:t>3.3.43.559 Primäraxiomatische Signatur</w:t>
      </w:r>
    </w:p>
    <w:p w:rsidR="00027411" w:rsidRDefault="00027411" w:rsidP="00027411">
      <w:pPr>
        <w:pStyle w:val="StandardWeb"/>
      </w:pPr>
      <w:r>
        <w:t>Ich definiere nun eine kompakte Signatur des Kohärenzprimäraxioms:</w:t>
      </w:r>
    </w:p>
    <w:p w:rsidR="00027411" w:rsidRDefault="00027411" w:rsidP="00027411">
      <w:pPr>
        <w:pStyle w:val="berschrift1"/>
      </w:pPr>
      <w:r>
        <w:t>[</w:t>
      </w:r>
      <w:r>
        <w:br/>
        <w:t>\Sigma_{A_C}</w:t>
      </w:r>
    </w:p>
    <w:p w:rsidR="00027411" w:rsidRDefault="00027411" w:rsidP="00027411">
      <w:pPr>
        <w:pStyle w:val="StandardWeb"/>
      </w:pPr>
      <w:r>
        <w:t>\left(</w:t>
      </w:r>
      <w:r>
        <w:br/>
        <w:t>\exists,</w:t>
      </w:r>
      <w:r>
        <w:br/>
        <w:t>\Omega_F,</w:t>
      </w:r>
      <w:r>
        <w:br/>
        <w:t>\mathcal S_C,</w:t>
      </w:r>
      <w:r>
        <w:br/>
        <w:t>R_F,</w:t>
      </w:r>
      <w:r>
        <w:br/>
        <w:t>C_F</w:t>
      </w:r>
      <w:r>
        <w:br/>
        <w:t>\right).</w:t>
      </w:r>
      <w:r>
        <w:br/>
      </w:r>
      <w:r>
        <w:lastRenderedPageBreak/>
        <w:t>\tag{3.9304}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\Sigma_{A_C}=\left(\exists,\Omega_F,\mathcal S_C,R_F,C_F\right)</w:t>
      </w:r>
    </w:p>
    <w:p w:rsidR="00027411" w:rsidRDefault="00027411" w:rsidP="00027411">
      <w:pPr>
        <w:pStyle w:val="StandardWeb"/>
      </w:pPr>
      <w:r>
        <w:t>Diese Signatur enthält nur die für das Axiom unverzichtbaren strukturellen Bestandteile.</w:t>
      </w:r>
    </w:p>
    <w:p w:rsidR="00027411" w:rsidRDefault="00E50336" w:rsidP="00027411">
      <w:r>
        <w:pict>
          <v:rect id="_x0000_i2725" style="width:0;height:1.5pt" o:hralign="center" o:hrstd="t" o:hr="t" fillcolor="#a0a0a0" stroked="f"/>
        </w:pict>
      </w:r>
    </w:p>
    <w:p w:rsidR="00027411" w:rsidRDefault="00027411" w:rsidP="00027411">
      <w:pPr>
        <w:pStyle w:val="berschrift1"/>
      </w:pPr>
      <w:r>
        <w:t>3.3.43.560 Minimalität der Axiomsignatur</w:t>
      </w:r>
    </w:p>
    <w:p w:rsidR="00027411" w:rsidRDefault="00027411" w:rsidP="00027411">
      <w:pPr>
        <w:pStyle w:val="StandardWeb"/>
      </w:pPr>
      <w:r>
        <w:t>Eine Entfernung von (C_F) ergibt keine Kohärenzforderung,</w:t>
      </w:r>
    </w:p>
    <w:p w:rsidR="00027411" w:rsidRDefault="00027411" w:rsidP="00027411">
      <w:pPr>
        <w:pStyle w:val="StandardWeb"/>
      </w:pPr>
      <w:r>
        <w:t>[</w:t>
      </w:r>
      <w:r>
        <w:br/>
        <w:t>\Sigma_{A_C}\setminus{C_F}</w:t>
      </w:r>
      <w:r>
        <w:br/>
        <w:t>\nRightarrow</w:t>
      </w:r>
      <w:r>
        <w:br/>
        <w:t>\text{Kohärenz}.</w:t>
      </w:r>
      <w:r>
        <w:br/>
        <w:t>\tag{3.9305}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\Sigma_{A_C}\setminus\{C_F\}\nRightarrow\text{Kohärenz}</w:t>
      </w:r>
    </w:p>
    <w:p w:rsidR="00027411" w:rsidRDefault="00027411" w:rsidP="00027411">
      <w:pPr>
        <w:pStyle w:val="StandardWeb"/>
      </w:pPr>
      <w:r>
        <w:t>Eine Entfernung von (R_F) lässt Marginalkohärenz zu,</w:t>
      </w:r>
    </w:p>
    <w:p w:rsidR="00027411" w:rsidRDefault="00027411" w:rsidP="00027411">
      <w:pPr>
        <w:pStyle w:val="StandardWeb"/>
      </w:pPr>
      <w:r>
        <w:t>[</w:t>
      </w:r>
      <w:r>
        <w:br/>
        <w:t>\Sigma_{A_C}\setminus{R_F}</w:t>
      </w:r>
      <w:r>
        <w:br/>
        <w:t>\Rightarrow</w:t>
      </w:r>
      <w:r>
        <w:br/>
        <w:t>A_C^{(A)}.</w:t>
      </w:r>
      <w:r>
        <w:br/>
        <w:t>\tag{3.9306}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\Sigma_{A_C}\setminus\{R_F\}\Rightarrow A_C^{(A)}</w:t>
      </w:r>
    </w:p>
    <w:p w:rsidR="00027411" w:rsidRDefault="00E50336" w:rsidP="00027411">
      <w:r>
        <w:pict>
          <v:rect id="_x0000_i2726" style="width:0;height:1.5pt" o:hralign="center" o:hrstd="t" o:hr="t" fillcolor="#a0a0a0" stroked="f"/>
        </w:pict>
      </w:r>
    </w:p>
    <w:p w:rsidR="00027411" w:rsidRDefault="00027411" w:rsidP="00027411">
      <w:pPr>
        <w:pStyle w:val="berschrift1"/>
      </w:pPr>
      <w:r>
        <w:t>3.3.43.561 Entfernung des Zustandsraums</w:t>
      </w:r>
    </w:p>
    <w:p w:rsidR="00027411" w:rsidRDefault="00027411" w:rsidP="00027411">
      <w:pPr>
        <w:pStyle w:val="StandardWeb"/>
      </w:pPr>
      <w:r>
        <w:t>Ohne (\Omega_F) verliert das Axiom seine explizite Zustandsbezogenheit:</w:t>
      </w:r>
    </w:p>
    <w:p w:rsidR="00027411" w:rsidRDefault="00027411" w:rsidP="00027411">
      <w:pPr>
        <w:pStyle w:val="StandardWeb"/>
      </w:pPr>
      <w:r>
        <w:t>[</w:t>
      </w:r>
      <w:r>
        <w:br/>
        <w:t>\Sigma_{A_C}\setminus{\Omega_F}</w:t>
      </w:r>
      <w:r>
        <w:br/>
        <w:t>\Rightarrow</w:t>
      </w:r>
      <w:r>
        <w:br/>
        <w:t>\text{zustandsunspezifizierte Existenz}.</w:t>
      </w:r>
      <w:r>
        <w:br/>
        <w:t>\tag{3.9307}</w:t>
      </w:r>
      <w:r>
        <w:br/>
        <w:t>]</w:t>
      </w:r>
    </w:p>
    <w:p w:rsidR="00027411" w:rsidRDefault="00027411" w:rsidP="00027411">
      <w:pPr>
        <w:pStyle w:val="StandardWeb"/>
      </w:pPr>
      <w:r>
        <w:rPr>
          <w:rStyle w:val="Fett"/>
        </w:rPr>
        <w:lastRenderedPageBreak/>
        <w:t>Word-LaTeX</w:t>
      </w:r>
    </w:p>
    <w:p w:rsidR="00027411" w:rsidRDefault="00027411" w:rsidP="00027411">
      <w:pPr>
        <w:pStyle w:val="HTMLVorformatiert"/>
        <w:rPr>
          <w:rStyle w:val="HTMLCode"/>
        </w:rPr>
      </w:pPr>
      <w:r>
        <w:rPr>
          <w:rStyle w:val="HTMLCode"/>
        </w:rPr>
        <w:t>\Sigma_{A_C}\setminus\{\Omega_F\}\Rightarrow\text{zustandsunspezifizierte Existenz}</w:t>
      </w:r>
    </w:p>
    <w:p w:rsidR="00027411" w:rsidRDefault="00E50336" w:rsidP="00027411">
      <w:r>
        <w:pict>
          <v:rect id="_x0000_i2727" style="width:0;height:1.5pt" o:hralign="center" o:hrstd="t" o:hr="t" fillcolor="#a0a0a0" stroked="f"/>
        </w:pict>
      </w:r>
    </w:p>
    <w:p w:rsidR="00027411" w:rsidRDefault="00027411" w:rsidP="00027411">
      <w:pPr>
        <w:pStyle w:val="berschrift1"/>
      </w:pPr>
      <w:r>
        <w:t>3.3.43.562 Entfernung der Teilstruktur</w:t>
      </w:r>
    </w:p>
    <w:p w:rsidR="00027411" w:rsidRDefault="00027411" w:rsidP="00027411">
      <w:pPr>
        <w:pStyle w:val="StandardWeb"/>
      </w:pPr>
      <w:r>
        <w:t>Ohne (\mathcal S_C) würde das Axiom auf das Gesamtsystem gezwungen oder semantisch unbestimmt:</w:t>
      </w:r>
    </w:p>
    <w:p w:rsidR="00027411" w:rsidRDefault="00027411" w:rsidP="00027411">
      <w:pPr>
        <w:pStyle w:val="StandardWeb"/>
      </w:pPr>
      <w:r>
        <w:t>[</w:t>
      </w:r>
      <w:r>
        <w:br/>
        <w:t>\Sigma_{A_C}\setminus{\mathcal S_C}</w:t>
      </w:r>
      <w:r>
        <w:br/>
        <w:t>\Rightarrow</w:t>
      </w:r>
      <w:r>
        <w:br/>
        <w:t>\text{unbestimmter Kohärenzträger}.</w:t>
      </w:r>
      <w:r>
        <w:br/>
        <w:t>\tag{3.9308}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\Sigma_{A_C}\setminus\{\mathcal S_C\}\Rightarrow\text{unbestimmter Kohärenzträger}</w:t>
      </w:r>
    </w:p>
    <w:p w:rsidR="00027411" w:rsidRDefault="00E50336" w:rsidP="00027411">
      <w:r>
        <w:pict>
          <v:rect id="_x0000_i2728" style="width:0;height:1.5pt" o:hralign="center" o:hrstd="t" o:hr="t" fillcolor="#a0a0a0" stroked="f"/>
        </w:pict>
      </w:r>
    </w:p>
    <w:p w:rsidR="00027411" w:rsidRDefault="00027411" w:rsidP="00027411">
      <w:pPr>
        <w:pStyle w:val="berschrift1"/>
      </w:pPr>
      <w:r>
        <w:t>3.3.43.563 Axiomsignatur ist irreduzibel</w:t>
      </w:r>
    </w:p>
    <w:p w:rsidR="00027411" w:rsidRDefault="00027411" w:rsidP="00027411">
      <w:pPr>
        <w:pStyle w:val="StandardWeb"/>
      </w:pPr>
      <w:r>
        <w:t>Damit gilt im vorgesehenen Sinn</w:t>
      </w:r>
    </w:p>
    <w:p w:rsidR="00027411" w:rsidRDefault="00027411" w:rsidP="00027411">
      <w:pPr>
        <w:pStyle w:val="StandardWeb"/>
      </w:pPr>
      <w:r>
        <w:t>[</w:t>
      </w:r>
      <w:r>
        <w:br/>
        <w:t>\boxed{</w:t>
      </w:r>
      <w:r>
        <w:br/>
        <w:t>\Sigma_{A_C}</w:t>
      </w:r>
      <w:r>
        <w:br/>
        <w:t>\text{ ist strukturell irreduzibel}.</w:t>
      </w:r>
      <w:r>
        <w:br/>
        <w:t>}</w:t>
      </w:r>
      <w:r>
        <w:br/>
        <w:t>\tag{3.9309}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\boxed{\Sigma_{A_C}\text{ ist strukturell irreduzibel}.}</w:t>
      </w:r>
    </w:p>
    <w:p w:rsidR="00027411" w:rsidRDefault="00E50336" w:rsidP="00027411">
      <w:r>
        <w:pict>
          <v:rect id="_x0000_i2729" style="width:0;height:1.5pt" o:hralign="center" o:hrstd="t" o:hr="t" fillcolor="#a0a0a0" stroked="f"/>
        </w:pict>
      </w:r>
    </w:p>
    <w:p w:rsidR="00027411" w:rsidRDefault="00027411" w:rsidP="00027411">
      <w:pPr>
        <w:pStyle w:val="berschrift1"/>
      </w:pPr>
      <w:r>
        <w:t>3.3.43.564 Zwischenbilanz des Gesamtabschnitts</w:t>
      </w:r>
    </w:p>
    <w:p w:rsidR="00027411" w:rsidRDefault="00027411" w:rsidP="00027411">
      <w:pPr>
        <w:pStyle w:val="StandardWeb"/>
      </w:pPr>
      <w:r>
        <w:t>Bis zu diesem Punkt habe ich in 3.3.43 nicht nur einen Kohärenzbegriff definiert, sondern seine mathematischen Erweiterungen entwickelt und anschließend die Frage beantwortet, welcher minimale Anteil tatsächlich axiomatischen Status benötigt.</w:t>
      </w:r>
    </w:p>
    <w:p w:rsidR="00027411" w:rsidRDefault="00027411" w:rsidP="00027411">
      <w:pPr>
        <w:pStyle w:val="StandardWeb"/>
      </w:pPr>
      <w:r>
        <w:t>Die Architektur lässt sich nun schreiben als</w:t>
      </w:r>
    </w:p>
    <w:p w:rsidR="00027411" w:rsidRDefault="00027411" w:rsidP="00027411">
      <w:pPr>
        <w:pStyle w:val="berschrift1"/>
      </w:pPr>
      <w:r>
        <w:lastRenderedPageBreak/>
        <w:t>[</w:t>
      </w:r>
      <w:r>
        <w:br/>
        <w:t>\mathfrak C_{FRZK}^{\mathrm{axiom}}</w:t>
      </w:r>
    </w:p>
    <w:p w:rsidR="00027411" w:rsidRDefault="00027411" w:rsidP="00027411">
      <w:pPr>
        <w:pStyle w:val="StandardWeb"/>
      </w:pPr>
      <w:r>
        <w:t>\left(</w:t>
      </w:r>
      <w:r>
        <w:br/>
        <w:t>A_C,</w:t>
      </w:r>
      <w:r>
        <w:br/>
        <w:t>\mathfrak D_C,</w:t>
      </w:r>
      <w:r>
        <w:br/>
        <w:t>\mathfrak M_C,</w:t>
      </w:r>
      <w:r>
        <w:br/>
        <w:t>\mathfrak O_C</w:t>
      </w:r>
      <w:r>
        <w:br/>
        <w:t>\right).</w:t>
      </w:r>
      <w:r>
        <w:br/>
        <w:t>\tag{3.9310}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C_{FRZK}^{\mathrm{axiom}}=\left(A_C,\mathfrak D_C,\mathfrak M_C,\mathfrak O_C\right)</w:t>
      </w:r>
    </w:p>
    <w:p w:rsidR="00027411" w:rsidRDefault="00E50336" w:rsidP="00027411">
      <w:r>
        <w:pict>
          <v:rect id="_x0000_i2730" style="width:0;height:1.5pt" o:hralign="center" o:hrstd="t" o:hr="t" fillcolor="#a0a0a0" stroked="f"/>
        </w:pict>
      </w:r>
    </w:p>
    <w:p w:rsidR="00027411" w:rsidRDefault="00027411" w:rsidP="00027411">
      <w:pPr>
        <w:pStyle w:val="berschrift1"/>
      </w:pPr>
      <w:r>
        <w:t>3.3.43.565 Hierarchie der Kohärenzarchitektur</w:t>
      </w:r>
    </w:p>
    <w:p w:rsidR="00027411" w:rsidRDefault="00027411" w:rsidP="00027411">
      <w:pPr>
        <w:pStyle w:val="StandardWeb"/>
      </w:pPr>
      <w:r>
        <w:t>Die Hierarchie lautet</w:t>
      </w:r>
    </w:p>
    <w:p w:rsidR="00027411" w:rsidRDefault="00027411" w:rsidP="00027411">
      <w:pPr>
        <w:pStyle w:val="StandardWeb"/>
      </w:pPr>
      <w:r>
        <w:t>[</w:t>
      </w:r>
      <w:r>
        <w:br/>
        <w:t>A_C</w:t>
      </w:r>
      <w:r>
        <w:br/>
        <w:t>\prec</w:t>
      </w:r>
      <w:r>
        <w:br/>
        <w:t>\mathfrak D_C</w:t>
      </w:r>
      <w:r>
        <w:br/>
        <w:t>\prec</w:t>
      </w:r>
      <w:r>
        <w:br/>
        <w:t>\mathfrak M_C</w:t>
      </w:r>
      <w:r>
        <w:br/>
        <w:t>\prec</w:t>
      </w:r>
      <w:r>
        <w:br/>
        <w:t>\mathfrak O_C,</w:t>
      </w:r>
      <w:r>
        <w:br/>
        <w:t>\tag{3.9311}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A_C\prec\mathfrak D_C\prec\mathfrak M_C\prec\mathfrak O_C</w:t>
      </w:r>
    </w:p>
    <w:p w:rsidR="00027411" w:rsidRDefault="00027411" w:rsidP="00027411">
      <w:pPr>
        <w:pStyle w:val="StandardWeb"/>
      </w:pPr>
      <w:r>
        <w:t>wobei (\prec) hier die methodische Reihenfolge der Theorieentwicklung bezeichnet und keine Größenordnung.</w:t>
      </w:r>
    </w:p>
    <w:p w:rsidR="00027411" w:rsidRDefault="00E50336" w:rsidP="00027411">
      <w:r>
        <w:pict>
          <v:rect id="_x0000_i2731" style="width:0;height:1.5pt" o:hralign="center" o:hrstd="t" o:hr="t" fillcolor="#a0a0a0" stroked="f"/>
        </w:pict>
      </w:r>
    </w:p>
    <w:p w:rsidR="00027411" w:rsidRDefault="00027411" w:rsidP="00027411">
      <w:pPr>
        <w:pStyle w:val="berschrift1"/>
      </w:pPr>
      <w:r>
        <w:t>3.3.43.566 Rückkopplende wissenschaftliche Prüfung</w:t>
      </w:r>
    </w:p>
    <w:p w:rsidR="00027411" w:rsidRDefault="00027411" w:rsidP="00027411">
      <w:pPr>
        <w:pStyle w:val="StandardWeb"/>
      </w:pPr>
      <w:r>
        <w:t>Die empirische Prüfung verläuft dagegen rückwärts:</w:t>
      </w:r>
    </w:p>
    <w:p w:rsidR="00027411" w:rsidRDefault="00027411" w:rsidP="00027411">
      <w:pPr>
        <w:pStyle w:val="StandardWeb"/>
      </w:pPr>
      <w:r>
        <w:t>[</w:t>
      </w:r>
      <w:r>
        <w:br/>
        <w:t>\mathfrak O_C</w:t>
      </w:r>
      <w:r>
        <w:br/>
        <w:t>\rightarrow</w:t>
      </w:r>
      <w:r>
        <w:br/>
      </w:r>
      <w:r>
        <w:lastRenderedPageBreak/>
        <w:t>\mathfrak M_C</w:t>
      </w:r>
      <w:r>
        <w:br/>
        <w:t>\rightarrow</w:t>
      </w:r>
      <w:r>
        <w:br/>
        <w:t>\mathfrak D_C</w:t>
      </w:r>
      <w:r>
        <w:br/>
        <w:t>\rightarrow</w:t>
      </w:r>
      <w:r>
        <w:br/>
        <w:t>A_C.</w:t>
      </w:r>
      <w:r>
        <w:br/>
        <w:t>\tag{3.9312}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\mathfrak O_C\rightarrow\mathfrak M_C\rightarrow\mathfrak D_C\rightarrow A_C</w:t>
      </w:r>
    </w:p>
    <w:p w:rsidR="00027411" w:rsidRDefault="00027411" w:rsidP="00027411">
      <w:pPr>
        <w:pStyle w:val="StandardWeb"/>
      </w:pPr>
      <w:r>
        <w:t>Damit entsteht eine Theoriearchitektur, die formal von den Grundannahmen zur Beobachtung aufgebaut wird, wissenschaftlich aber durch Beobachtungen wieder auf ihre Grundannahmen zurückwirken kann.</w:t>
      </w:r>
    </w:p>
    <w:p w:rsidR="00027411" w:rsidRDefault="00E50336" w:rsidP="00027411">
      <w:r>
        <w:pict>
          <v:rect id="_x0000_i2732" style="width:0;height:1.5pt" o:hralign="center" o:hrstd="t" o:hr="t" fillcolor="#a0a0a0" stroked="f"/>
        </w:pict>
      </w:r>
    </w:p>
    <w:p w:rsidR="00027411" w:rsidRDefault="00027411" w:rsidP="00027411">
      <w:pPr>
        <w:pStyle w:val="berschrift1"/>
      </w:pPr>
      <w:r>
        <w:t>3.3.43.567 Primäraxiom und spätere Kapitel</w:t>
      </w:r>
    </w:p>
    <w:p w:rsidR="00027411" w:rsidRDefault="00027411" w:rsidP="00027411">
      <w:pPr>
        <w:pStyle w:val="StandardWeb"/>
      </w:pPr>
      <w:r>
        <w:t>Das Primäraxiom liefert nun eine verbindliche Voraussetzung für spätere Rekonstruktionen:</w:t>
      </w:r>
    </w:p>
    <w:p w:rsidR="00027411" w:rsidRDefault="00027411" w:rsidP="00027411">
      <w:pPr>
        <w:pStyle w:val="StandardWeb"/>
      </w:pPr>
      <w:r>
        <w:t>[</w:t>
      </w:r>
      <w:r>
        <w:br/>
        <w:t>A_C</w:t>
      </w:r>
      <w:r>
        <w:br/>
        <w:t>\in</w:t>
      </w:r>
      <w:r>
        <w:br/>
        <w:t>\operatorname{Pre}</w:t>
      </w:r>
      <w:r>
        <w:br/>
        <w:t>\left(</w:t>
      </w:r>
      <w:r>
        <w:br/>
        <w:t>\text{spätere FRZK-Konstruktionen}</w:t>
      </w:r>
      <w:r>
        <w:br/>
        <w:t>\right).</w:t>
      </w:r>
      <w:r>
        <w:br/>
        <w:t>\tag{3.9313}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A_C\in\operatorname{Pre}\left(\text{spätere FRZK-Konstruktionen}\right)</w:t>
      </w:r>
    </w:p>
    <w:p w:rsidR="00027411" w:rsidRDefault="00027411" w:rsidP="00027411">
      <w:pPr>
        <w:pStyle w:val="StandardWeb"/>
      </w:pPr>
      <w:r>
        <w:t>Dabei darf jedoch keine spätere Herleitung stärker auf (A_C) zurückgreifen, als dessen tatsächlicher Aussagegehalt erlaubt.</w:t>
      </w:r>
    </w:p>
    <w:p w:rsidR="00027411" w:rsidRDefault="00E50336" w:rsidP="00027411">
      <w:r>
        <w:pict>
          <v:rect id="_x0000_i2733" style="width:0;height:1.5pt" o:hralign="center" o:hrstd="t" o:hr="t" fillcolor="#a0a0a0" stroked="f"/>
        </w:pict>
      </w:r>
    </w:p>
    <w:p w:rsidR="00027411" w:rsidRDefault="00027411" w:rsidP="00027411">
      <w:pPr>
        <w:pStyle w:val="berschrift1"/>
      </w:pPr>
      <w:r>
        <w:t>3.3.43.568 Verbot der Überinterpretation</w:t>
      </w:r>
    </w:p>
    <w:p w:rsidR="00027411" w:rsidRDefault="00027411" w:rsidP="00027411">
      <w:pPr>
        <w:pStyle w:val="StandardWeb"/>
      </w:pPr>
      <w:r>
        <w:t>Ich formuliere deshalb</w:t>
      </w:r>
    </w:p>
    <w:p w:rsidR="00027411" w:rsidRDefault="00027411" w:rsidP="00027411">
      <w:pPr>
        <w:pStyle w:val="StandardWeb"/>
      </w:pPr>
      <w:r>
        <w:t>[</w:t>
      </w:r>
      <w:r>
        <w:br/>
        <w:t>A_C</w:t>
      </w:r>
      <w:r>
        <w:br/>
        <w:t>\vdash</w:t>
      </w:r>
      <w:r>
        <w:br/>
        <w:t>\varphi</w:t>
      </w:r>
      <w:r>
        <w:br/>
        <w:t>\quad</w:t>
      </w:r>
      <w:r>
        <w:br/>
      </w:r>
      <w:r>
        <w:lastRenderedPageBreak/>
        <w:t>\text{nur wenn }</w:t>
      </w:r>
      <w:r>
        <w:br/>
        <w:t>\varphi</w:t>
      </w:r>
      <w:r>
        <w:br/>
        <w:t>\text{ logisch oder durch explizite Zusatzannahmen folgt}.</w:t>
      </w:r>
      <w:r>
        <w:br/>
        <w:t>\tag{3.9314}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A_C\vdash\varphi\quad\text{nur wenn }\varphi\text{ logisch oder durch explizite Zusatzannahmen folgt}</w:t>
      </w:r>
    </w:p>
    <w:p w:rsidR="00027411" w:rsidRDefault="00027411" w:rsidP="00027411">
      <w:pPr>
        <w:pStyle w:val="StandardWeb"/>
      </w:pPr>
      <w:r>
        <w:t>Insbesondere darf Kohärenz nicht später stillschweigend mit Kausalität, Stabilität, Wahrheit oder physikalischer Lokalität identifiziert werden.</w:t>
      </w:r>
    </w:p>
    <w:p w:rsidR="00027411" w:rsidRDefault="00E50336" w:rsidP="00027411">
      <w:r>
        <w:pict>
          <v:rect id="_x0000_i2734" style="width:0;height:1.5pt" o:hralign="center" o:hrstd="t" o:hr="t" fillcolor="#a0a0a0" stroked="f"/>
        </w:pict>
      </w:r>
    </w:p>
    <w:p w:rsidR="00027411" w:rsidRDefault="00027411" w:rsidP="00027411">
      <w:pPr>
        <w:pStyle w:val="berschrift1"/>
      </w:pPr>
      <w:r>
        <w:t>3.3.43.569 Axiomatische Rückverfolgbarkeit</w:t>
      </w:r>
    </w:p>
    <w:p w:rsidR="00027411" w:rsidRDefault="00027411" w:rsidP="00027411">
      <w:pPr>
        <w:pStyle w:val="StandardWeb"/>
      </w:pPr>
      <w:r>
        <w:t>Jede spätere Aussage (\varphi), die das Kohärenzprimäraxiom verwendet, soll eine Abhängigkeitsrelation besitzen:</w:t>
      </w:r>
    </w:p>
    <w:p w:rsidR="00027411" w:rsidRDefault="00027411" w:rsidP="00027411">
      <w:pPr>
        <w:pStyle w:val="StandardWeb"/>
      </w:pPr>
      <w:r>
        <w:t>[</w:t>
      </w:r>
      <w:r>
        <w:br/>
        <w:t>A_C</w:t>
      </w:r>
      <w:r>
        <w:br/>
        <w:t>\rightsquigarrow</w:t>
      </w:r>
      <w:r>
        <w:br/>
        <w:t>\varphi.</w:t>
      </w:r>
      <w:r>
        <w:br/>
        <w:t>\tag{3.9315}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A_C\rightsquigarrow\varphi</w:t>
      </w:r>
    </w:p>
    <w:p w:rsidR="00027411" w:rsidRDefault="00027411" w:rsidP="00027411">
      <w:pPr>
        <w:pStyle w:val="StandardWeb"/>
      </w:pPr>
      <w:r>
        <w:t>Damit kann im Repository später nachvollzogen werden, welche Resultate vom Primäraxiom abhängen.</w:t>
      </w:r>
    </w:p>
    <w:p w:rsidR="00027411" w:rsidRDefault="00E50336" w:rsidP="00027411">
      <w:r>
        <w:pict>
          <v:rect id="_x0000_i2735" style="width:0;height:1.5pt" o:hralign="center" o:hrstd="t" o:hr="t" fillcolor="#a0a0a0" stroked="f"/>
        </w:pict>
      </w:r>
    </w:p>
    <w:p w:rsidR="00027411" w:rsidRDefault="00027411" w:rsidP="00027411">
      <w:pPr>
        <w:pStyle w:val="berschrift1"/>
      </w:pPr>
      <w:r>
        <w:t>3.3.43.570 Axiomabhängigkeitsgraph</w:t>
      </w:r>
    </w:p>
    <w:p w:rsidR="00027411" w:rsidRDefault="00027411" w:rsidP="00027411">
      <w:pPr>
        <w:pStyle w:val="StandardWeb"/>
      </w:pPr>
      <w:r>
        <w:t>Ich definiere dafür abstrakt</w:t>
      </w:r>
    </w:p>
    <w:p w:rsidR="00027411" w:rsidRDefault="00027411" w:rsidP="00027411">
      <w:pPr>
        <w:pStyle w:val="berschrift1"/>
      </w:pPr>
      <w:r>
        <w:t>[</w:t>
      </w:r>
      <w:r>
        <w:br/>
        <w:t>\mathcal G_A</w:t>
      </w:r>
    </w:p>
    <w:p w:rsidR="00027411" w:rsidRDefault="00027411" w:rsidP="00027411">
      <w:pPr>
        <w:pStyle w:val="StandardWeb"/>
      </w:pPr>
      <w:r>
        <w:t>(V_A,E_A),</w:t>
      </w:r>
      <w:r>
        <w:br/>
        <w:t>\tag{3.9316}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lastRenderedPageBreak/>
        <w:t>\mathcal G_A=(V_A,E_A)</w:t>
      </w:r>
    </w:p>
    <w:p w:rsidR="00027411" w:rsidRDefault="00027411" w:rsidP="00027411">
      <w:pPr>
        <w:pStyle w:val="StandardWeb"/>
      </w:pPr>
      <w:r>
        <w:t>wobei Knoten Axiome, Definitionen, Sätze und Modelle repräsentieren und gerichtete Kanten Ableitungsabhängigkeiten kennzeichnen.</w:t>
      </w:r>
    </w:p>
    <w:p w:rsidR="00027411" w:rsidRDefault="00E50336" w:rsidP="00027411">
      <w:r>
        <w:pict>
          <v:rect id="_x0000_i2736" style="width:0;height:1.5pt" o:hralign="center" o:hrstd="t" o:hr="t" fillcolor="#a0a0a0" stroked="f"/>
        </w:pict>
      </w:r>
    </w:p>
    <w:p w:rsidR="00027411" w:rsidRDefault="00027411" w:rsidP="00027411">
      <w:pPr>
        <w:pStyle w:val="berschrift1"/>
      </w:pPr>
      <w:r>
        <w:t>3.3.43.571 Axiomknoten der Kohärenz</w:t>
      </w:r>
    </w:p>
    <w:p w:rsidR="00027411" w:rsidRDefault="00027411" w:rsidP="00027411">
      <w:pPr>
        <w:pStyle w:val="StandardWeb"/>
      </w:pPr>
      <w:r>
        <w:t>Der Kohärenzknoten lautet</w:t>
      </w:r>
    </w:p>
    <w:p w:rsidR="00027411" w:rsidRDefault="00027411" w:rsidP="00027411">
      <w:pPr>
        <w:pStyle w:val="StandardWeb"/>
      </w:pPr>
      <w:r>
        <w:t>[</w:t>
      </w:r>
      <w:r>
        <w:br/>
        <w:t>v_{A_C}</w:t>
      </w:r>
      <w:r>
        <w:br/>
        <w:t>\in</w:t>
      </w:r>
      <w:r>
        <w:br/>
        <w:t>V_A.</w:t>
      </w:r>
      <w:r>
        <w:br/>
        <w:t>\tag{3.9317}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v_{A_C}\in V_A</w:t>
      </w:r>
    </w:p>
    <w:p w:rsidR="00027411" w:rsidRDefault="00027411" w:rsidP="00027411">
      <w:pPr>
        <w:pStyle w:val="StandardWeb"/>
      </w:pPr>
      <w:r>
        <w:t>Eine spätere Aussage (\varphi) ist kohärenzaxiomabhängig, wenn ein gerichteter Pfad</w:t>
      </w:r>
    </w:p>
    <w:p w:rsidR="00027411" w:rsidRDefault="00027411" w:rsidP="00027411">
      <w:pPr>
        <w:pStyle w:val="StandardWeb"/>
      </w:pPr>
      <w:r>
        <w:t>[</w:t>
      </w:r>
      <w:r>
        <w:br/>
        <w:t>v_{A_C}</w:t>
      </w:r>
      <w:r>
        <w:br/>
        <w:t>\leadsto</w:t>
      </w:r>
      <w:r>
        <w:br/>
        <w:t>v_{\varphi}</w:t>
      </w:r>
      <w:r>
        <w:br/>
        <w:t>\tag{3.9318}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v_{A_C}\leadsto v_{\varphi}</w:t>
      </w:r>
    </w:p>
    <w:p w:rsidR="00027411" w:rsidRDefault="00027411" w:rsidP="00027411">
      <w:pPr>
        <w:pStyle w:val="StandardWeb"/>
      </w:pPr>
      <w:r>
        <w:t>existiert.</w:t>
      </w:r>
    </w:p>
    <w:p w:rsidR="00027411" w:rsidRDefault="00E50336" w:rsidP="00027411">
      <w:r>
        <w:pict>
          <v:rect id="_x0000_i2737" style="width:0;height:1.5pt" o:hralign="center" o:hrstd="t" o:hr="t" fillcolor="#a0a0a0" stroked="f"/>
        </w:pict>
      </w:r>
    </w:p>
    <w:p w:rsidR="00027411" w:rsidRDefault="00027411" w:rsidP="00027411">
      <w:pPr>
        <w:pStyle w:val="berschrift1"/>
      </w:pPr>
      <w:r>
        <w:t>3.3.43.572 Axiomabhängigkeitsgrad</w:t>
      </w:r>
    </w:p>
    <w:p w:rsidR="00027411" w:rsidRDefault="00027411" w:rsidP="00027411">
      <w:pPr>
        <w:pStyle w:val="StandardWeb"/>
      </w:pPr>
      <w:r>
        <w:t>Ich kann einen einfachen Abhängigkeitsgrad definieren:</w:t>
      </w:r>
    </w:p>
    <w:p w:rsidR="00027411" w:rsidRDefault="00027411" w:rsidP="00027411">
      <w:pPr>
        <w:pStyle w:val="berschrift1"/>
      </w:pPr>
      <w:r>
        <w:t>[</w:t>
      </w:r>
      <w:r>
        <w:br/>
        <w:t>D_A(\varphi)</w:t>
      </w:r>
    </w:p>
    <w:p w:rsidR="00027411" w:rsidRDefault="00027411" w:rsidP="00027411">
      <w:pPr>
        <w:pStyle w:val="StandardWeb"/>
      </w:pPr>
      <w:r>
        <w:t>\begin{cases}</w:t>
      </w:r>
      <w:r>
        <w:br/>
        <w:t>1,&amp;v_{A_C}\leadsto v_{\varphi},\</w:t>
      </w:r>
      <w:r>
        <w:br/>
        <w:t>0,&amp;\text{sonst}.</w:t>
      </w:r>
      <w:r>
        <w:br/>
        <w:t>\end{cases}</w:t>
      </w:r>
      <w:r>
        <w:br/>
      </w:r>
      <w:r>
        <w:lastRenderedPageBreak/>
        <w:t>\tag{3.9319}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D_A(\varphi)=\begin{cases}1,&amp;v_{A_C}\leadsto v_{\varphi},\\0,&amp;\text{sonst}.\end{cases}</w:t>
      </w:r>
    </w:p>
    <w:p w:rsidR="00027411" w:rsidRDefault="00027411" w:rsidP="00027411">
      <w:pPr>
        <w:pStyle w:val="StandardWeb"/>
      </w:pPr>
      <w:r>
        <w:t>Diese Kennzeichnung erleichtert spätere Revisionen.</w:t>
      </w:r>
    </w:p>
    <w:p w:rsidR="00027411" w:rsidRDefault="00E50336" w:rsidP="00027411">
      <w:r>
        <w:pict>
          <v:rect id="_x0000_i2738" style="width:0;height:1.5pt" o:hralign="center" o:hrstd="t" o:hr="t" fillcolor="#a0a0a0" stroked="f"/>
        </w:pict>
      </w:r>
    </w:p>
    <w:p w:rsidR="00027411" w:rsidRDefault="00027411" w:rsidP="00027411">
      <w:pPr>
        <w:pStyle w:val="berschrift1"/>
      </w:pPr>
      <w:r>
        <w:t>3.3.43.573 Revisionsfolgen eines Primäraxioms</w:t>
      </w:r>
    </w:p>
    <w:p w:rsidR="00027411" w:rsidRDefault="00027411" w:rsidP="00027411">
      <w:pPr>
        <w:pStyle w:val="StandardWeb"/>
      </w:pPr>
      <w:r>
        <w:t>Wird (A_C) später geändert, müssen alle abhängigen Aussagen identifiziert werden:</w:t>
      </w:r>
    </w:p>
    <w:p w:rsidR="00027411" w:rsidRDefault="00027411" w:rsidP="00027411">
      <w:pPr>
        <w:pStyle w:val="berschrift1"/>
      </w:pPr>
      <w:r>
        <w:t>[</w:t>
      </w:r>
      <w:r>
        <w:br/>
        <w:t>\mathcal R(A_C)</w:t>
      </w:r>
    </w:p>
    <w:p w:rsidR="00027411" w:rsidRDefault="00027411" w:rsidP="00027411">
      <w:pPr>
        <w:pStyle w:val="StandardWeb"/>
      </w:pPr>
      <w:r>
        <w:t>\left{</w:t>
      </w:r>
      <w:r>
        <w:br/>
        <w:t>\varphi:</w:t>
      </w:r>
      <w:r>
        <w:br/>
        <w:t>D_A(\varphi)=1</w:t>
      </w:r>
      <w:r>
        <w:br/>
        <w:t>\right}.</w:t>
      </w:r>
      <w:r>
        <w:br/>
        <w:t>\tag{3.9320}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\mathcal R(A_C)=\left\{\varphi:D_A(\varphi)=1\right\}</w:t>
      </w:r>
    </w:p>
    <w:p w:rsidR="00027411" w:rsidRDefault="00E50336" w:rsidP="00027411">
      <w:r>
        <w:pict>
          <v:rect id="_x0000_i2739" style="width:0;height:1.5pt" o:hralign="center" o:hrstd="t" o:hr="t" fillcolor="#a0a0a0" stroked="f"/>
        </w:pict>
      </w:r>
    </w:p>
    <w:p w:rsidR="00027411" w:rsidRDefault="00027411" w:rsidP="00027411">
      <w:pPr>
        <w:pStyle w:val="berschrift1"/>
      </w:pPr>
      <w:r>
        <w:t>3.3.43.574 Revisionskaskade</w:t>
      </w:r>
    </w:p>
    <w:p w:rsidR="00027411" w:rsidRDefault="00027411" w:rsidP="00027411">
      <w:pPr>
        <w:pStyle w:val="StandardWeb"/>
      </w:pPr>
      <w:r>
        <w:t>Eine Änderung</w:t>
      </w:r>
    </w:p>
    <w:p w:rsidR="00027411" w:rsidRDefault="00027411" w:rsidP="00027411">
      <w:pPr>
        <w:pStyle w:val="StandardWeb"/>
      </w:pPr>
      <w:r>
        <w:t>[</w:t>
      </w:r>
      <w:r>
        <w:br/>
        <w:t>A_C^{(v)}</w:t>
      </w:r>
      <w:r>
        <w:br/>
        <w:t>\rightarrow</w:t>
      </w:r>
      <w:r>
        <w:br/>
        <w:t>A_C^{(v+1)}</w:t>
      </w:r>
      <w:r>
        <w:br/>
        <w:t>\tag{3.9321}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A_C^{(v)}\rightarrow A_C^{(v+1)}</w:t>
      </w:r>
    </w:p>
    <w:p w:rsidR="00027411" w:rsidRDefault="00027411" w:rsidP="00027411">
      <w:pPr>
        <w:pStyle w:val="StandardWeb"/>
      </w:pPr>
      <w:r>
        <w:t>erfordert damit</w:t>
      </w:r>
    </w:p>
    <w:p w:rsidR="00027411" w:rsidRDefault="00027411" w:rsidP="00027411">
      <w:pPr>
        <w:pStyle w:val="StandardWeb"/>
      </w:pPr>
      <w:r>
        <w:lastRenderedPageBreak/>
        <w:t>[</w:t>
      </w:r>
      <w:r>
        <w:br/>
        <w:t>\operatorname{Recheck}</w:t>
      </w:r>
      <w:r>
        <w:br/>
        <w:t>\left(</w:t>
      </w:r>
      <w:r>
        <w:br/>
        <w:t>\mathcal R(A_C)</w:t>
      </w:r>
      <w:r>
        <w:br/>
        <w:t>\right).</w:t>
      </w:r>
      <w:r>
        <w:br/>
        <w:t>\tag{3.9322}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\operatorname{Recheck}\left(\mathcal R(A_C)\right)</w:t>
      </w:r>
    </w:p>
    <w:p w:rsidR="00027411" w:rsidRDefault="00027411" w:rsidP="00027411">
      <w:pPr>
        <w:pStyle w:val="StandardWeb"/>
      </w:pPr>
      <w:r>
        <w:t>Diese Konsequenz entspricht der bereits aufgebauten revisionsorientierten Repository-Methodik.</w:t>
      </w:r>
    </w:p>
    <w:p w:rsidR="00027411" w:rsidRDefault="00E50336" w:rsidP="00027411">
      <w:r>
        <w:pict>
          <v:rect id="_x0000_i2740" style="width:0;height:1.5pt" o:hralign="center" o:hrstd="t" o:hr="t" fillcolor="#a0a0a0" stroked="f"/>
        </w:pict>
      </w:r>
    </w:p>
    <w:p w:rsidR="00027411" w:rsidRDefault="00027411" w:rsidP="00027411">
      <w:pPr>
        <w:pStyle w:val="berschrift1"/>
      </w:pPr>
      <w:r>
        <w:t>3.3.43.575 Kohärenzaxiom und Theorieversion</w:t>
      </w:r>
    </w:p>
    <w:p w:rsidR="00027411" w:rsidRDefault="00027411" w:rsidP="00027411">
      <w:pPr>
        <w:pStyle w:val="StandardWeb"/>
      </w:pPr>
      <w:r>
        <w:t>Ich schreibe deshalb künftig</w:t>
      </w:r>
    </w:p>
    <w:p w:rsidR="00027411" w:rsidRDefault="00027411" w:rsidP="00027411">
      <w:pPr>
        <w:pStyle w:val="StandardWeb"/>
      </w:pPr>
      <w:r>
        <w:t>[</w:t>
      </w:r>
      <w:r>
        <w:br/>
        <w:t>A_C^{[v]}</w:t>
      </w:r>
      <w:r>
        <w:br/>
        <w:t>\tag{3.9323}</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A_C^{[v]}</w:t>
      </w:r>
    </w:p>
    <w:p w:rsidR="00027411" w:rsidRDefault="00027411" w:rsidP="00027411">
      <w:pPr>
        <w:pStyle w:val="StandardWeb"/>
      </w:pPr>
      <w:r>
        <w:t>wenn der Revisionsstand für eine konkrete Diskussion relevant ist.</w:t>
      </w:r>
    </w:p>
    <w:p w:rsidR="00027411" w:rsidRDefault="00E50336" w:rsidP="00027411">
      <w:r>
        <w:pict>
          <v:rect id="_x0000_i2741" style="width:0;height:1.5pt" o:hralign="center" o:hrstd="t" o:hr="t" fillcolor="#a0a0a0" stroked="f"/>
        </w:pict>
      </w:r>
    </w:p>
    <w:p w:rsidR="00027411" w:rsidRDefault="00027411" w:rsidP="00027411">
      <w:pPr>
        <w:pStyle w:val="berschrift1"/>
      </w:pPr>
      <w:r>
        <w:t>3.3.43.576 Axiomatische Stabilität über Revisionen</w:t>
      </w:r>
    </w:p>
    <w:p w:rsidR="00027411" w:rsidRDefault="00027411" w:rsidP="00027411">
      <w:pPr>
        <w:pStyle w:val="StandardWeb"/>
      </w:pPr>
      <w:r>
        <w:t>Falls</w:t>
      </w:r>
    </w:p>
    <w:p w:rsidR="00027411" w:rsidRDefault="00027411" w:rsidP="00027411">
      <w:pPr>
        <w:pStyle w:val="berschrift1"/>
      </w:pPr>
      <w:r>
        <w:t>[</w:t>
      </w:r>
      <w:r>
        <w:br/>
        <w:t>A_C^{[v+1]}</w:t>
      </w:r>
    </w:p>
    <w:p w:rsidR="00027411" w:rsidRDefault="00027411" w:rsidP="00027411">
      <w:pPr>
        <w:pStyle w:val="StandardWeb"/>
      </w:pPr>
      <w:r>
        <w:t>A_C^{[v]},</w:t>
      </w:r>
      <w:r>
        <w:br/>
        <w:t>\tag{3.9324}</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A_C^{[v+1]}=A_C^{[v]}</w:t>
      </w:r>
    </w:p>
    <w:p w:rsidR="00027411" w:rsidRDefault="00027411" w:rsidP="00027411">
      <w:pPr>
        <w:pStyle w:val="StandardWeb"/>
      </w:pPr>
      <w:r>
        <w:t>bleibt der Axiomstatus über die Revision erhalten.</w:t>
      </w:r>
    </w:p>
    <w:p w:rsidR="00027411" w:rsidRDefault="00E50336" w:rsidP="00027411">
      <w:r>
        <w:lastRenderedPageBreak/>
        <w:pict>
          <v:rect id="_x0000_i2742" style="width:0;height:1.5pt" o:hralign="center" o:hrstd="t" o:hr="t" fillcolor="#a0a0a0" stroked="f"/>
        </w:pict>
      </w:r>
    </w:p>
    <w:p w:rsidR="00027411" w:rsidRDefault="00027411" w:rsidP="00027411">
      <w:pPr>
        <w:pStyle w:val="berschrift1"/>
      </w:pPr>
      <w:r>
        <w:t>3.3.43.577 Axiomatische Modifikation</w:t>
      </w:r>
    </w:p>
    <w:p w:rsidR="00027411" w:rsidRDefault="00027411" w:rsidP="00027411">
      <w:pPr>
        <w:pStyle w:val="StandardWeb"/>
      </w:pPr>
      <w:r>
        <w:t>Falls dagegen</w:t>
      </w:r>
    </w:p>
    <w:p w:rsidR="00027411" w:rsidRDefault="00027411" w:rsidP="00027411">
      <w:pPr>
        <w:pStyle w:val="StandardWeb"/>
      </w:pPr>
      <w:r>
        <w:t>[</w:t>
      </w:r>
      <w:r>
        <w:br/>
        <w:t>A_C^{[v+1]}</w:t>
      </w:r>
      <w:r>
        <w:br/>
        <w:t>\neq</w:t>
      </w:r>
      <w:r>
        <w:br/>
        <w:t>A_C^{[v]},</w:t>
      </w:r>
      <w:r>
        <w:br/>
        <w:t>\tag{3.9325}</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A_C^{[v+1]}\neq A_C^{[v]}</w:t>
      </w:r>
    </w:p>
    <w:p w:rsidR="00027411" w:rsidRDefault="00027411" w:rsidP="00027411">
      <w:pPr>
        <w:pStyle w:val="StandardWeb"/>
      </w:pPr>
      <w:r>
        <w:t>muss die Änderung inhaltlich begründet und ihre Auswirkung auf (\mathcal R(A_C)) geprüft werden.</w:t>
      </w:r>
    </w:p>
    <w:p w:rsidR="00027411" w:rsidRDefault="00E50336" w:rsidP="00027411">
      <w:r>
        <w:pict>
          <v:rect id="_x0000_i2743" style="width:0;height:1.5pt" o:hralign="center" o:hrstd="t" o:hr="t" fillcolor="#a0a0a0" stroked="f"/>
        </w:pict>
      </w:r>
    </w:p>
    <w:p w:rsidR="00027411" w:rsidRDefault="00027411" w:rsidP="00027411">
      <w:pPr>
        <w:pStyle w:val="berschrift1"/>
      </w:pPr>
      <w:r>
        <w:t>3.3.43.578 Axiomatische Löschung</w:t>
      </w:r>
    </w:p>
    <w:p w:rsidR="00027411" w:rsidRDefault="00027411" w:rsidP="00027411">
      <w:pPr>
        <w:pStyle w:val="StandardWeb"/>
      </w:pPr>
      <w:r>
        <w:t>Auch eine vollständige Entfernung bleibt prinzipiell denkbar:</w:t>
      </w:r>
    </w:p>
    <w:p w:rsidR="00027411" w:rsidRDefault="00027411" w:rsidP="00027411">
      <w:pPr>
        <w:pStyle w:val="StandardWeb"/>
      </w:pPr>
      <w:r>
        <w:t>[</w:t>
      </w:r>
      <w:r>
        <w:br/>
        <w:t>A_C^{[v]}</w:t>
      </w:r>
      <w:r>
        <w:br/>
        <w:t>\rightarrow</w:t>
      </w:r>
      <w:r>
        <w:br/>
        <w:t>\varnothing.</w:t>
      </w:r>
      <w:r>
        <w:br/>
        <w:t>\tag{3.9326}</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A_C^{[v]}\rightarrow\varnothing</w:t>
      </w:r>
    </w:p>
    <w:p w:rsidR="00027411" w:rsidRDefault="00027411" w:rsidP="00027411">
      <w:pPr>
        <w:pStyle w:val="StandardWeb"/>
      </w:pPr>
      <w:r>
        <w:t>Eine solche Änderung würde jedoch die Definition der FRZK-Modellklasse grundlegend verändern.</w:t>
      </w:r>
    </w:p>
    <w:p w:rsidR="00027411" w:rsidRDefault="00E50336" w:rsidP="00027411">
      <w:r>
        <w:pict>
          <v:rect id="_x0000_i2744" style="width:0;height:1.5pt" o:hralign="center" o:hrstd="t" o:hr="t" fillcolor="#a0a0a0" stroked="f"/>
        </w:pict>
      </w:r>
    </w:p>
    <w:p w:rsidR="00027411" w:rsidRDefault="00027411" w:rsidP="00027411">
      <w:pPr>
        <w:pStyle w:val="berschrift1"/>
      </w:pPr>
      <w:r>
        <w:t>3.3.43.579 Revisionsschwere</w:t>
      </w:r>
    </w:p>
    <w:p w:rsidR="00027411" w:rsidRDefault="00027411" w:rsidP="00027411">
      <w:pPr>
        <w:pStyle w:val="StandardWeb"/>
      </w:pPr>
      <w:r>
        <w:t>Ich definiere daher eine axiomatische Revisionsschwere</w:t>
      </w:r>
    </w:p>
    <w:p w:rsidR="00027411" w:rsidRDefault="00027411" w:rsidP="00027411">
      <w:pPr>
        <w:pStyle w:val="berschrift1"/>
      </w:pPr>
      <w:r>
        <w:lastRenderedPageBreak/>
        <w:t>[</w:t>
      </w:r>
      <w:r>
        <w:br/>
        <w:t>W_{\mathrm{rev}}</w:t>
      </w:r>
      <w:r>
        <w:br/>
        <w:t>(A)</w:t>
      </w:r>
    </w:p>
    <w:p w:rsidR="00027411" w:rsidRDefault="00027411" w:rsidP="00027411">
      <w:pPr>
        <w:pStyle w:val="StandardWeb"/>
      </w:pPr>
      <w:r>
        <w:t>\left|</w:t>
      </w:r>
      <w:r>
        <w:br/>
        <w:t>\mathcal R(A)</w:t>
      </w:r>
      <w:r>
        <w:br/>
        <w:t>\right|.</w:t>
      </w:r>
      <w:r>
        <w:br/>
        <w:t>\tag{3.9327}</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W_{\mathrm{rev}}(A)=\left|\mathcal R(A)\right|</w:t>
      </w:r>
    </w:p>
    <w:p w:rsidR="00027411" w:rsidRDefault="00027411" w:rsidP="00027411">
      <w:pPr>
        <w:pStyle w:val="StandardWeb"/>
      </w:pPr>
      <w:r>
        <w:t>Je mehr spätere Aussagen von einem Primäraxiom abhängen, desto größer ist die potenzielle Revisionswirkung.</w:t>
      </w:r>
    </w:p>
    <w:p w:rsidR="00027411" w:rsidRDefault="00E50336" w:rsidP="00027411">
      <w:r>
        <w:pict>
          <v:rect id="_x0000_i2745" style="width:0;height:1.5pt" o:hralign="center" o:hrstd="t" o:hr="t" fillcolor="#a0a0a0" stroked="f"/>
        </w:pict>
      </w:r>
    </w:p>
    <w:p w:rsidR="00027411" w:rsidRDefault="00027411" w:rsidP="00027411">
      <w:pPr>
        <w:pStyle w:val="berschrift1"/>
      </w:pPr>
      <w:r>
        <w:t>3.3.43.580 Normalisierte Revisionsschwere</w:t>
      </w:r>
    </w:p>
    <w:p w:rsidR="00027411" w:rsidRDefault="00027411" w:rsidP="00027411">
      <w:pPr>
        <w:pStyle w:val="StandardWeb"/>
      </w:pPr>
      <w:r>
        <w:t>Für (N) relevante Theorieobjekte kann</w:t>
      </w:r>
    </w:p>
    <w:p w:rsidR="00027411" w:rsidRDefault="00027411" w:rsidP="00027411">
      <w:pPr>
        <w:pStyle w:val="berschrift1"/>
      </w:pPr>
      <w:r>
        <w:t>[</w:t>
      </w:r>
      <w:r>
        <w:br/>
        <w:t>\bar W_{\mathrm{rev}}</w:t>
      </w:r>
    </w:p>
    <w:p w:rsidR="00027411" w:rsidRDefault="00027411" w:rsidP="00027411">
      <w:pPr>
        <w:pStyle w:val="StandardWeb"/>
      </w:pPr>
      <w:r>
        <w:t>\frac{</w:t>
      </w:r>
      <w:r>
        <w:br/>
        <w:t>|\mathcal R(A)|</w:t>
      </w:r>
      <w:r>
        <w:br/>
        <w:t>}{</w:t>
      </w:r>
      <w:r>
        <w:br/>
        <w:t>N</w:t>
      </w:r>
      <w:r>
        <w:br/>
        <w:t>}</w:t>
      </w:r>
      <w:r>
        <w:br/>
        <w:t>\tag{3.9328}</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\bar W_{\mathrm{rev}}=\frac{|\mathcal R(A)|}{N}</w:t>
      </w:r>
    </w:p>
    <w:p w:rsidR="00027411" w:rsidRDefault="00027411" w:rsidP="00027411">
      <w:pPr>
        <w:pStyle w:val="StandardWeb"/>
      </w:pPr>
      <w:r>
        <w:t>verwendet werden.</w:t>
      </w:r>
    </w:p>
    <w:p w:rsidR="00027411" w:rsidRDefault="00027411" w:rsidP="00027411">
      <w:pPr>
        <w:pStyle w:val="StandardWeb"/>
      </w:pPr>
      <w:r>
        <w:t>Diese Größe ist ein Repository- beziehungsweise Theoriemanagementwerkzeug, kein Bestandteil der Physik.</w:t>
      </w:r>
    </w:p>
    <w:p w:rsidR="00027411" w:rsidRDefault="00E50336" w:rsidP="00027411">
      <w:r>
        <w:pict>
          <v:rect id="_x0000_i2746" style="width:0;height:1.5pt" o:hralign="center" o:hrstd="t" o:hr="t" fillcolor="#a0a0a0" stroked="f"/>
        </w:pict>
      </w:r>
    </w:p>
    <w:p w:rsidR="00027411" w:rsidRDefault="00027411" w:rsidP="00027411">
      <w:pPr>
        <w:pStyle w:val="berschrift1"/>
      </w:pPr>
      <w:r>
        <w:t>3.3.43.581 Abschluss der Primäraxiomentscheidung</w:t>
      </w:r>
    </w:p>
    <w:p w:rsidR="00027411" w:rsidRDefault="00027411" w:rsidP="00027411">
      <w:pPr>
        <w:pStyle w:val="StandardWeb"/>
      </w:pPr>
      <w:r>
        <w:lastRenderedPageBreak/>
        <w:t>Die Primäraxiomfrage von Abschnitt 3.3.43 ist damit inhaltlich entschieden:</w:t>
      </w:r>
    </w:p>
    <w:p w:rsidR="00027411" w:rsidRDefault="00027411" w:rsidP="00027411">
      <w:pPr>
        <w:pStyle w:val="berschrift1"/>
      </w:pPr>
      <w:r>
        <w:t>[</w:t>
      </w:r>
      <w:r>
        <w:br/>
        <w:t>\boxed{</w:t>
      </w:r>
      <w:r>
        <w:br/>
        <w:t>A_C</w:t>
      </w:r>
    </w:p>
    <w:p w:rsidR="00027411" w:rsidRDefault="00027411" w:rsidP="00027411">
      <w:pPr>
        <w:pStyle w:val="StandardWeb"/>
      </w:pPr>
      <w:r>
        <w:t>\exists z\in\Omega_F</w:t>
      </w:r>
      <w:r>
        <w:br/>
        <w:t>;</w:t>
      </w:r>
      <w:r>
        <w:br/>
        <w:t>\exists\mathcal S_C\subseteq\mathcal S_F:</w:t>
      </w:r>
      <w:r>
        <w:br/>
        <w:t>R_F(\mathcal S_C)=1</w:t>
      </w:r>
      <w:r>
        <w:br/>
        <w:t>\land</w:t>
      </w:r>
      <w:r>
        <w:br/>
        <w:t>C_F(\mathcal S_C;z)&gt;0</w:t>
      </w:r>
      <w:r>
        <w:br/>
        <w:t>}</w:t>
      </w:r>
      <w:r>
        <w:br/>
        <w:t>\tag{3.9329}</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\boxed{A_C=\exists z\in\Omega_F\;\exists\mathcal S_C\subseteq\mathcal S_F:R_F(\mathcal S_C)=1\land C_F(\mathcal S_C;z)&gt;0}</w:t>
      </w:r>
    </w:p>
    <w:p w:rsidR="00027411" w:rsidRDefault="00027411" w:rsidP="00027411">
      <w:pPr>
        <w:pStyle w:val="StandardWeb"/>
      </w:pPr>
      <w:r>
        <w:t>ist das minimale Primäraxiom der funktionalen Kohärenz im aktuellen FRZK-Theoriestand.</w:t>
      </w:r>
    </w:p>
    <w:p w:rsidR="00027411" w:rsidRDefault="00E50336" w:rsidP="00027411">
      <w:r>
        <w:pict>
          <v:rect id="_x0000_i2747" style="width:0;height:1.5pt" o:hralign="center" o:hrstd="t" o:hr="t" fillcolor="#a0a0a0" stroked="f"/>
        </w:pict>
      </w:r>
    </w:p>
    <w:p w:rsidR="00027411" w:rsidRDefault="00027411" w:rsidP="00027411">
      <w:pPr>
        <w:pStyle w:val="berschrift1"/>
      </w:pPr>
      <w:r>
        <w:t>3.3.43.582 Ergebnis der Axiomprüfung</w:t>
      </w:r>
    </w:p>
    <w:p w:rsidR="00027411" w:rsidRDefault="00027411" w:rsidP="00027411">
      <w:pPr>
        <w:pStyle w:val="StandardWeb"/>
      </w:pPr>
      <w:r>
        <w:t>Die vollständige Bewertungsrelation lautet</w:t>
      </w:r>
    </w:p>
    <w:p w:rsidR="00027411" w:rsidRDefault="00027411" w:rsidP="00027411">
      <w:pPr>
        <w:pStyle w:val="berschrift1"/>
      </w:pPr>
      <w:r>
        <w:t>[</w:t>
      </w:r>
      <w:r>
        <w:br/>
        <w:t>\boxed{</w:t>
      </w:r>
      <w:r>
        <w:br/>
        <w:t>N_A</w:t>
      </w:r>
    </w:p>
    <w:p w:rsidR="00027411" w:rsidRDefault="00027411" w:rsidP="00027411">
      <w:pPr>
        <w:pStyle w:val="berschrift1"/>
      </w:pPr>
      <w:r>
        <w:t>I_A</w:t>
      </w:r>
    </w:p>
    <w:p w:rsidR="00027411" w:rsidRDefault="00027411" w:rsidP="00027411">
      <w:pPr>
        <w:pStyle w:val="berschrift1"/>
      </w:pPr>
      <w:r>
        <w:t>M_A</w:t>
      </w:r>
    </w:p>
    <w:p w:rsidR="00027411" w:rsidRDefault="00027411" w:rsidP="00027411">
      <w:pPr>
        <w:pStyle w:val="berschrift1"/>
      </w:pPr>
      <w:r>
        <w:t>D_A</w:t>
      </w:r>
    </w:p>
    <w:p w:rsidR="00027411" w:rsidRDefault="00027411" w:rsidP="00027411">
      <w:pPr>
        <w:pStyle w:val="berschrift1"/>
      </w:pPr>
      <w:r>
        <w:t>K_A</w:t>
      </w:r>
    </w:p>
    <w:p w:rsidR="00027411" w:rsidRDefault="00027411" w:rsidP="00027411">
      <w:pPr>
        <w:pStyle w:val="berschrift1"/>
      </w:pPr>
      <w:r>
        <w:t>E_A</w:t>
      </w:r>
    </w:p>
    <w:p w:rsidR="00027411" w:rsidRDefault="00027411" w:rsidP="00027411">
      <w:pPr>
        <w:pStyle w:val="berschrift1"/>
      </w:pPr>
      <w:r>
        <w:t>Z_A</w:t>
      </w:r>
    </w:p>
    <w:p w:rsidR="00027411" w:rsidRDefault="00027411" w:rsidP="00027411">
      <w:pPr>
        <w:pStyle w:val="berschrift1"/>
      </w:pPr>
      <w:r>
        <w:lastRenderedPageBreak/>
        <w:t>Z_C</w:t>
      </w:r>
    </w:p>
    <w:p w:rsidR="00027411" w:rsidRDefault="00027411" w:rsidP="004C5510">
      <w:pPr>
        <w:numPr>
          <w:ilvl w:val="0"/>
          <w:numId w:val="429"/>
        </w:numPr>
        <w:spacing w:before="100" w:beforeAutospacing="1" w:after="100" w:afterAutospacing="1"/>
      </w:pPr>
    </w:p>
    <w:p w:rsidR="00027411" w:rsidRDefault="00027411" w:rsidP="00027411">
      <w:pPr>
        <w:pStyle w:val="StandardWeb"/>
      </w:pPr>
      <w:r>
        <w:t>}</w:t>
      </w:r>
      <w:r>
        <w:br/>
        <w:t>\tag{3.9330}</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\boxed{N_A=I_A=M_A=D_A=K_A=E_A=Z_A=Z_C=1.}</w:t>
      </w:r>
    </w:p>
    <w:p w:rsidR="00027411" w:rsidRDefault="00027411" w:rsidP="00027411">
      <w:pPr>
        <w:pStyle w:val="StandardWeb"/>
      </w:pPr>
      <w:r>
        <w:t>Damit erfüllt (A_C) sämtliche in diesem Abschnitt festgelegten Prüfbedingungen.</w:t>
      </w:r>
    </w:p>
    <w:p w:rsidR="00027411" w:rsidRDefault="00E50336" w:rsidP="00027411">
      <w:r>
        <w:pict>
          <v:rect id="_x0000_i2748" style="width:0;height:1.5pt" o:hralign="center" o:hrstd="t" o:hr="t" fillcolor="#a0a0a0" stroked="f"/>
        </w:pict>
      </w:r>
    </w:p>
    <w:p w:rsidR="00027411" w:rsidRDefault="00027411" w:rsidP="00027411">
      <w:pPr>
        <w:pStyle w:val="berschrift1"/>
      </w:pPr>
      <w:r>
        <w:t>3.3.43.583 Endgültige Klassifikation</w:t>
      </w:r>
    </w:p>
    <w:p w:rsidR="00027411" w:rsidRDefault="00027411" w:rsidP="00027411">
      <w:pPr>
        <w:pStyle w:val="StandardWeb"/>
      </w:pPr>
      <w:r>
        <w:t>Die Kohärenzarchitektur kann nun endgültig klassifiziert werden als</w:t>
      </w:r>
    </w:p>
    <w:p w:rsidR="00027411" w:rsidRDefault="00027411" w:rsidP="00027411">
      <w:pPr>
        <w:pStyle w:val="berschrift1"/>
      </w:pPr>
      <w:r>
        <w:t>[</w:t>
      </w:r>
      <w:r>
        <w:br/>
        <w:t>\boxed{</w:t>
      </w:r>
      <w:r>
        <w:br/>
        <w:t>\mathfrak C_{3.3.43}</w:t>
      </w:r>
    </w:p>
    <w:p w:rsidR="00027411" w:rsidRDefault="00027411" w:rsidP="00027411">
      <w:pPr>
        <w:pStyle w:val="StandardWeb"/>
      </w:pPr>
      <w:r>
        <w:t>\left(</w:t>
      </w:r>
      <w:r>
        <w:br/>
        <w:t>A_C,</w:t>
      </w:r>
      <w:r>
        <w:br/>
        <w:t>\mathfrak D_C,</w:t>
      </w:r>
      <w:r>
        <w:br/>
        <w:t>\mathfrak M_C,</w:t>
      </w:r>
      <w:r>
        <w:br/>
        <w:t>\mathfrak O_C</w:t>
      </w:r>
      <w:r>
        <w:br/>
        <w:t>\right).</w:t>
      </w:r>
      <w:r>
        <w:br/>
        <w:t>}</w:t>
      </w:r>
      <w:r>
        <w:br/>
        <w:t>\tag{3.9331}</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\boxed{\mathfrak C_{3.3.43}=\left(A_C,\mathfrak D_C,\mathfrak M_C,\mathfrak O_C\right).}</w:t>
      </w:r>
    </w:p>
    <w:p w:rsidR="00027411" w:rsidRDefault="00027411" w:rsidP="00027411">
      <w:pPr>
        <w:pStyle w:val="StandardWeb"/>
      </w:pPr>
      <w:r>
        <w:t>Dabei ist (A_C) die einzige in diesem Kohärenzblock bislang als Primäraxiom bestätigte Aussage.</w:t>
      </w:r>
    </w:p>
    <w:p w:rsidR="00027411" w:rsidRDefault="00E50336" w:rsidP="00027411">
      <w:r>
        <w:pict>
          <v:rect id="_x0000_i2749" style="width:0;height:1.5pt" o:hralign="center" o:hrstd="t" o:hr="t" fillcolor="#a0a0a0" stroked="f"/>
        </w:pict>
      </w:r>
    </w:p>
    <w:p w:rsidR="00027411" w:rsidRDefault="00027411" w:rsidP="00027411">
      <w:pPr>
        <w:pStyle w:val="berschrift1"/>
      </w:pPr>
      <w:r>
        <w:t>3.3.43.584 Noch kein Abschluss von 3.3.43</w:t>
      </w:r>
    </w:p>
    <w:p w:rsidR="00027411" w:rsidRDefault="00027411" w:rsidP="00027411">
      <w:pPr>
        <w:pStyle w:val="StandardWeb"/>
      </w:pPr>
      <w:r>
        <w:t xml:space="preserve">Obwohl die Primäraxiomfrage nun entschieden ist, ist der </w:t>
      </w:r>
      <w:r>
        <w:rPr>
          <w:rStyle w:val="Fett"/>
        </w:rPr>
        <w:t>Gesamtabschnitt 3.3.43 noch nicht vollständig abgeschlossen</w:t>
      </w:r>
      <w:r>
        <w:t>.</w:t>
      </w:r>
    </w:p>
    <w:p w:rsidR="00027411" w:rsidRDefault="00027411" w:rsidP="00027411">
      <w:pPr>
        <w:pStyle w:val="StandardWeb"/>
      </w:pPr>
      <w:r>
        <w:lastRenderedPageBreak/>
        <w:t>Vor dem Abschluss müssen noch die einzelnen in diesem langen Abschnitt eingeführten Kohärenzkonstruktionen systematisch auf ihren endgültigen Status geprüft werden:</w:t>
      </w:r>
    </w:p>
    <w:p w:rsidR="00027411" w:rsidRDefault="00027411" w:rsidP="00027411">
      <w:pPr>
        <w:pStyle w:val="StandardWeb"/>
      </w:pPr>
      <w:r>
        <w:t>[</w:t>
      </w:r>
      <w:r>
        <w:br/>
        <w:t>\text{Definition}</w:t>
      </w:r>
      <w:r>
        <w:br/>
        <w:t>;|;</w:t>
      </w:r>
      <w:r>
        <w:br/>
        <w:t>\text{abgeleitet}</w:t>
      </w:r>
      <w:r>
        <w:br/>
        <w:t>;|;</w:t>
      </w:r>
      <w:r>
        <w:br/>
        <w:t>\text{Modellannahme}</w:t>
      </w:r>
      <w:r>
        <w:br/>
        <w:t>;|;</w:t>
      </w:r>
      <w:r>
        <w:br/>
        <w:t>\text{Operationalisierung}</w:t>
      </w:r>
      <w:r>
        <w:br/>
        <w:t>;|;</w:t>
      </w:r>
      <w:r>
        <w:br/>
        <w:t>\text{Primäraxiom}.</w:t>
      </w:r>
      <w:r>
        <w:br/>
        <w:t>\tag{3.9332}</w:t>
      </w:r>
      <w:r>
        <w:br/>
        <w:t>]</w:t>
      </w:r>
    </w:p>
    <w:p w:rsidR="00027411" w:rsidRDefault="00027411" w:rsidP="00027411">
      <w:pPr>
        <w:pStyle w:val="StandardWeb"/>
      </w:pPr>
      <w:r>
        <w:rPr>
          <w:rStyle w:val="Fett"/>
        </w:rPr>
        <w:t>Word-LaTeX</w:t>
      </w:r>
    </w:p>
    <w:p w:rsidR="00027411" w:rsidRDefault="00027411" w:rsidP="00027411">
      <w:pPr>
        <w:pStyle w:val="HTMLVorformatiert"/>
        <w:rPr>
          <w:rStyle w:val="HTMLCode"/>
        </w:rPr>
      </w:pPr>
      <w:r>
        <w:rPr>
          <w:rStyle w:val="HTMLCode"/>
        </w:rPr>
        <w:t>\text{Definition}\;|\;\text{abgeleitet}\;|\;\text{Modellannahme}\;|\;\text{Operationalisierung}\;|\;\text{Primäraxiom}</w:t>
      </w:r>
    </w:p>
    <w:p w:rsidR="00027411" w:rsidRDefault="00027411" w:rsidP="00027411">
      <w:pPr>
        <w:pStyle w:val="StandardWeb"/>
      </w:pPr>
      <w:r>
        <w:t xml:space="preserve">Erst anschließend folgen die </w:t>
      </w:r>
      <w:r>
        <w:rPr>
          <w:rStyle w:val="Fett"/>
        </w:rPr>
        <w:t>Methodologischen Betrachtungen</w:t>
      </w:r>
      <w:r>
        <w:t xml:space="preserve">, danach die </w:t>
      </w:r>
      <w:r>
        <w:rPr>
          <w:rStyle w:val="Fett"/>
        </w:rPr>
        <w:t>Didaktischen Betrachtungen</w:t>
      </w:r>
      <w:r>
        <w:t xml:space="preserve"> und schließlich der formale Gesamtabschluss von 3.3.43.</w:t>
      </w:r>
    </w:p>
    <w:p w:rsidR="00027411" w:rsidRDefault="00027411" w:rsidP="00027411">
      <w:pPr>
        <w:pStyle w:val="StandardWeb"/>
      </w:pPr>
      <w:r>
        <w:t xml:space="preserve">Der nächste Teil beginnt daher bei </w:t>
      </w:r>
      <w:r>
        <w:rPr>
          <w:rStyle w:val="Fett"/>
        </w:rPr>
        <w:t>3.3.43.585 / Gleichung (3.9333)</w:t>
      </w:r>
      <w:r>
        <w:t xml:space="preserve"> mit der vollständigen </w:t>
      </w:r>
      <w:r>
        <w:rPr>
          <w:rStyle w:val="Fett"/>
        </w:rPr>
        <w:t>Statusmatrix aller in 3.3.43 eingeführten Kohärenzstrukturen</w:t>
      </w:r>
      <w:r>
        <w:t>.</w:t>
      </w:r>
    </w:p>
    <w:p w:rsidR="00BB7EEF" w:rsidRDefault="00BB7EEF" w:rsidP="00BB7EEF">
      <w:pPr>
        <w:pStyle w:val="StandardWeb"/>
        <w:rPr>
          <w:rFonts w:cs="Times New Roman"/>
          <w:bCs w:val="0"/>
        </w:rPr>
      </w:pPr>
      <w:r>
        <w:t xml:space="preserve">Dann setze ich </w:t>
      </w:r>
      <w:r>
        <w:rPr>
          <w:rStyle w:val="Fett"/>
        </w:rPr>
        <w:t>unmittelbar bei 3.3.43.585 / Gleichung (3.9333)</w:t>
      </w:r>
      <w:r>
        <w:t xml:space="preserve"> fort. Die methodologischen und didaktischen Betrachtungen kommen, wie festgelegt, </w:t>
      </w:r>
      <w:r>
        <w:rPr>
          <w:rStyle w:val="Fett"/>
        </w:rPr>
        <w:t>erst am Ende des Gesamtabschnitts 3.3.43</w:t>
      </w:r>
      <w:r>
        <w:t>.</w:t>
      </w:r>
    </w:p>
    <w:p w:rsidR="00BB7EEF" w:rsidRDefault="00BB7EEF" w:rsidP="00BB7EEF">
      <w:pPr>
        <w:pStyle w:val="berschrift1"/>
      </w:pPr>
      <w:r>
        <w:t>3.3.43.585 Statusmatrix der Kohärenzstrukturen</w:t>
      </w:r>
    </w:p>
    <w:p w:rsidR="00BB7EEF" w:rsidRDefault="00BB7EEF" w:rsidP="00BB7EEF">
      <w:pPr>
        <w:pStyle w:val="StandardWeb"/>
      </w:pPr>
      <w:r>
        <w:t>Nachdem ich mit dem Primäraxiom (A_C) die axiomatische Grundlage der funktionalen Kohärenz festgelegt habe, muss ich die im Verlauf dieses Abschnitts eingeführten weiteren Kohärenzstrukturen systematisch klassifizieren. Diese Klassifikation ist notwendig, weil nicht jede mathematisch verwendete Größe denselben erkenntnistheoretischen Status besitzt. Insbesondere unterscheide ich zwischen Definitionen, aus dem Primäraxiom und den Definitionen abgeleiteten Konstruktionen, zusätzlichen Modellannahmen und Operationalisierungen. Diese Trennung entspricht der bereits in Kapitel 3.1 festgelegten methodologischen Forderung, mathematische Konstruktion, theoretische Setzung und empirische Zugänglichkeit nicht miteinander gleichzusetzen.</w:t>
      </w:r>
    </w:p>
    <w:p w:rsidR="00BB7EEF" w:rsidRDefault="00BB7EEF" w:rsidP="00BB7EEF">
      <w:pPr>
        <w:pStyle w:val="StandardWeb"/>
      </w:pPr>
      <w:r>
        <w:t>Ich führe deshalb für jedes in Abschnitt 3.3.43 relevante Theorieobjekt (X) einen Statusoperator ein:</w:t>
      </w:r>
    </w:p>
    <w:p w:rsidR="00BB7EEF" w:rsidRDefault="00BB7EEF" w:rsidP="00BB7EEF">
      <w:pPr>
        <w:pStyle w:val="StandardWeb"/>
      </w:pPr>
      <w:r>
        <w:t>[</w:t>
      </w:r>
      <w:r>
        <w:br/>
        <w:t>\operatorname{Stat}_C(X)\in</w:t>
      </w:r>
      <w:r>
        <w:br/>
        <w:t>\left{</w:t>
      </w:r>
      <w:r>
        <w:br/>
        <w:t>\mathrm{Def},</w:t>
      </w:r>
      <w:r>
        <w:br/>
        <w:t>\mathrm{Abl},</w:t>
      </w:r>
      <w:r>
        <w:br/>
      </w:r>
      <w:r>
        <w:lastRenderedPageBreak/>
        <w:t>\mathrm{Mod},</w:t>
      </w:r>
      <w:r>
        <w:br/>
        <w:t>\mathrm{Op},</w:t>
      </w:r>
      <w:r>
        <w:br/>
        <w:t>\mathrm{Ax}</w:t>
      </w:r>
      <w:r>
        <w:br/>
        <w:t>\right}.</w:t>
      </w:r>
      <w:r>
        <w:br/>
        <w:t>\tag{3.9333}</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\operatorname{Stat}_C(X)\in\left\{\mathrm{Def},\mathrm{Abl},\mathrm{Mod},\mathrm{Op},\mathrm{Ax}\right\}</w:t>
      </w:r>
    </w:p>
    <w:p w:rsidR="00BB7EEF" w:rsidRDefault="00BB7EEF" w:rsidP="00BB7EEF">
      <w:pPr>
        <w:pStyle w:val="StandardWeb"/>
      </w:pPr>
      <w:r>
        <w:t>Dabei stehen (\mathrm{Def}) für Definition, (\mathrm{Abl}) für abgeleitete Konstruktion, (\mathrm{Mod}) für Modellannahme, (\mathrm{Op}) für Operationalisierung und (\mathrm{Ax}) für Primäraxiom. Der Statusoperator selbst ist keine zusätzliche physikalische Größe des FRZK, sondern ein metatheoretisches Klassifikationsinstrument für die Architektur der Theorie.</w:t>
      </w:r>
    </w:p>
    <w:p w:rsidR="00BB7EEF" w:rsidRDefault="00E50336" w:rsidP="00BB7EEF">
      <w:r>
        <w:pict>
          <v:rect id="_x0000_i2750" style="width:0;height:1.5pt" o:hralign="center" o:hrstd="t" o:hr="t" fillcolor="#a0a0a0" stroked="f"/>
        </w:pict>
      </w:r>
    </w:p>
    <w:p w:rsidR="00BB7EEF" w:rsidRDefault="00BB7EEF" w:rsidP="00BB7EEF">
      <w:pPr>
        <w:pStyle w:val="berschrift1"/>
      </w:pPr>
      <w:r>
        <w:t>3.3.43.586 Status des Primäraxioms (A_C)</w:t>
      </w:r>
    </w:p>
    <w:p w:rsidR="00BB7EEF" w:rsidRDefault="00BB7EEF" w:rsidP="00BB7EEF">
      <w:pPr>
        <w:pStyle w:val="StandardWeb"/>
      </w:pPr>
      <w:r>
        <w:t>Für das zuvor geprüfte Kohärenzaxiom ist die Zuordnung unmittelbar:</w:t>
      </w:r>
    </w:p>
    <w:p w:rsidR="00BB7EEF" w:rsidRDefault="00BB7EEF" w:rsidP="00BB7EEF">
      <w:pPr>
        <w:pStyle w:val="StandardWeb"/>
      </w:pPr>
      <w:r>
        <w:t>[</w:t>
      </w:r>
      <w:r>
        <w:br/>
        <w:t>\operatorname{Stat}_C(A_C)=\mathrm{Ax}.</w:t>
      </w:r>
      <w:r>
        <w:br/>
        <w:t>\tag{3.9334}</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\operatorname{Stat}_C(A_C)=\mathrm{Ax}</w:t>
      </w:r>
    </w:p>
    <w:p w:rsidR="00BB7EEF" w:rsidRDefault="00BB7EEF" w:rsidP="00BB7EEF">
      <w:pPr>
        <w:pStyle w:val="StandardWeb"/>
      </w:pPr>
      <w:r>
        <w:t>Diese Klassifikation folgt aus der in 3.3.43.581 und 3.3.43.582 abgeschlossenen Axiomprüfung. (A_C) wird innerhalb des gegenwärtigen Theorieaufbaus nicht aus einer stärkeren FRZK-Aussage hergeleitet, sondern setzt die Existenz mindestens eines funktional kohärenten und realisierbaren Teilverbandes voraus.</w:t>
      </w:r>
    </w:p>
    <w:p w:rsidR="00BB7EEF" w:rsidRDefault="00BB7EEF" w:rsidP="00BB7EEF">
      <w:pPr>
        <w:pStyle w:val="StandardWeb"/>
      </w:pPr>
      <w:r>
        <w:t xml:space="preserve">Ich behandle (A_C) deshalb als die minimale axiomatische Existenzforderung dieses Abschnitts. Daraus folgt ausdrücklich </w:t>
      </w:r>
      <w:r>
        <w:rPr>
          <w:rStyle w:val="Fett"/>
        </w:rPr>
        <w:t>nicht</w:t>
      </w:r>
      <w:r>
        <w:t>, dass jede konkrete Kohärenzrelation, jede Kohärenzmetrik oder jede empirisch bestimmte Kohärenzgröße ebenfalls axiomatischen Charakter besitzt.</w:t>
      </w:r>
    </w:p>
    <w:p w:rsidR="00BB7EEF" w:rsidRDefault="00E50336" w:rsidP="00BB7EEF">
      <w:r>
        <w:pict>
          <v:rect id="_x0000_i2751" style="width:0;height:1.5pt" o:hralign="center" o:hrstd="t" o:hr="t" fillcolor="#a0a0a0" stroked="f"/>
        </w:pict>
      </w:r>
    </w:p>
    <w:p w:rsidR="00BB7EEF" w:rsidRDefault="00BB7EEF" w:rsidP="00BB7EEF">
      <w:pPr>
        <w:pStyle w:val="berschrift1"/>
      </w:pPr>
      <w:r>
        <w:t>3.3.43.587 Status der funktionalen Vergleichbarkeit</w:t>
      </w:r>
    </w:p>
    <w:p w:rsidR="00BB7EEF" w:rsidRDefault="00BB7EEF" w:rsidP="00BB7EEF">
      <w:pPr>
        <w:pStyle w:val="StandardWeb"/>
      </w:pPr>
      <w:r>
        <w:t>Die funktionale Vergleichbarkeit (\mathcal C) legt fest, unter welchen Bedingungen zwei funktionale Größen überhaupt sinnvoll innerhalb derselben Relationsstruktur miteinander in Beziehung gesetzt werden dürfen. Ihr Status ist daher definitorisch:</w:t>
      </w:r>
    </w:p>
    <w:p w:rsidR="00BB7EEF" w:rsidRDefault="00BB7EEF" w:rsidP="00BB7EEF">
      <w:pPr>
        <w:pStyle w:val="StandardWeb"/>
      </w:pPr>
      <w:r>
        <w:lastRenderedPageBreak/>
        <w:t>[</w:t>
      </w:r>
      <w:r>
        <w:br/>
        <w:t>\operatorname{Stat}_C(\mathcal C)=\mathrm{Def}.</w:t>
      </w:r>
      <w:r>
        <w:br/>
        <w:t>\tag{3.9335}</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\operatorname{Stat}_C(\mathcal C)=\mathrm{Def}</w:t>
      </w:r>
    </w:p>
    <w:p w:rsidR="00BB7EEF" w:rsidRDefault="00BB7EEF" w:rsidP="00BB7EEF">
      <w:pPr>
        <w:pStyle w:val="StandardWeb"/>
      </w:pPr>
      <w:r>
        <w:t xml:space="preserve">Damit setze ich nicht axiomatisch voraus, </w:t>
      </w:r>
      <w:r>
        <w:rPr>
          <w:rStyle w:val="Fett"/>
        </w:rPr>
        <w:t>welche</w:t>
      </w:r>
      <w:r>
        <w:t xml:space="preserve"> konkreten Größen vergleichbar sind. Ich definiere vielmehr die formale Bedingung, unter der innerhalb des FRZK von funktionaler Vergleichbarkeit gesprochen wird. Die konkrete Erfüllung dieser Bedingung muss für die jeweils betrachteten Theorieobjekte separat festgestellt werden.</w:t>
      </w:r>
    </w:p>
    <w:p w:rsidR="00BB7EEF" w:rsidRDefault="00E50336" w:rsidP="00BB7EEF">
      <w:r>
        <w:pict>
          <v:rect id="_x0000_i2752" style="width:0;height:1.5pt" o:hralign="center" o:hrstd="t" o:hr="t" fillcolor="#a0a0a0" stroked="f"/>
        </w:pict>
      </w:r>
    </w:p>
    <w:p w:rsidR="00BB7EEF" w:rsidRDefault="00BB7EEF" w:rsidP="00BB7EEF">
      <w:pPr>
        <w:pStyle w:val="berschrift1"/>
      </w:pPr>
      <w:r>
        <w:t>3.3.43.588 Status der funktionalen Konsistenz</w:t>
      </w:r>
    </w:p>
    <w:p w:rsidR="00BB7EEF" w:rsidRDefault="00BB7EEF" w:rsidP="00BB7EEF">
      <w:pPr>
        <w:pStyle w:val="StandardWeb"/>
      </w:pPr>
      <w:r>
        <w:t>Entsprechend klassifiziere ich die funktionale Konsistenzrelation (K_F) als Definition:</w:t>
      </w:r>
    </w:p>
    <w:p w:rsidR="00BB7EEF" w:rsidRDefault="00BB7EEF" w:rsidP="00BB7EEF">
      <w:pPr>
        <w:pStyle w:val="StandardWeb"/>
      </w:pPr>
      <w:r>
        <w:t>[</w:t>
      </w:r>
      <w:r>
        <w:br/>
        <w:t>\operatorname{Stat}_C(K_F)=\mathrm{Def}.</w:t>
      </w:r>
      <w:r>
        <w:br/>
        <w:t>\tag{3.9336}</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\operatorname{Stat}_C(K_F)=\mathrm{Def}</w:t>
      </w:r>
    </w:p>
    <w:p w:rsidR="00BB7EEF" w:rsidRDefault="00BB7EEF" w:rsidP="00BB7EEF">
      <w:pPr>
        <w:pStyle w:val="StandardWeb"/>
      </w:pPr>
      <w:r>
        <w:t>(K_F) beschreibt damit eine innerhalb der Theorie festgelegte Konsistenzbedingung. Aus der Definition folgt noch nicht, dass ein konkretes Aussagenpaar diese Bedingung tatsächlich erfüllt. Die Feststellung</w:t>
      </w:r>
    </w:p>
    <w:p w:rsidR="00BB7EEF" w:rsidRDefault="00BB7EEF" w:rsidP="00BB7EEF">
      <w:pPr>
        <w:pStyle w:val="StandardWeb"/>
      </w:pPr>
      <w:r>
        <w:t>[</w:t>
      </w:r>
      <w:r>
        <w:br/>
        <w:t>K_F(X_i,X_j;z)=1</w:t>
      </w:r>
      <w:r>
        <w:br/>
        <w:t>\tag{3.9337}</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K_F(X_i,X_j;z)=1</w:t>
      </w:r>
    </w:p>
    <w:p w:rsidR="00BB7EEF" w:rsidRDefault="00BB7EEF" w:rsidP="00BB7EEF">
      <w:pPr>
        <w:pStyle w:val="StandardWeb"/>
      </w:pPr>
      <w:r>
        <w:t>ist deshalb keine weitere Definition, sondern eine auf konkrete Objekte und einen konkreten Zustand bezogene Aussage, deren Gültigkeit aus den jeweils spezifizierten Relationen oder aus einer geeigneten Operationalisierung hervorgehen muss.</w:t>
      </w:r>
    </w:p>
    <w:p w:rsidR="00BB7EEF" w:rsidRDefault="00E50336" w:rsidP="00BB7EEF">
      <w:r>
        <w:pict>
          <v:rect id="_x0000_i2753" style="width:0;height:1.5pt" o:hralign="center" o:hrstd="t" o:hr="t" fillcolor="#a0a0a0" stroked="f"/>
        </w:pict>
      </w:r>
    </w:p>
    <w:p w:rsidR="00BB7EEF" w:rsidRDefault="00BB7EEF" w:rsidP="00BB7EEF">
      <w:pPr>
        <w:pStyle w:val="berschrift1"/>
      </w:pPr>
      <w:r>
        <w:t>3.3.43.589 Status der funktionalen Kopplung</w:t>
      </w:r>
    </w:p>
    <w:p w:rsidR="00BB7EEF" w:rsidRDefault="00BB7EEF" w:rsidP="00BB7EEF">
      <w:pPr>
        <w:pStyle w:val="StandardWeb"/>
      </w:pPr>
      <w:r>
        <w:lastRenderedPageBreak/>
        <w:t>Die Kopplungsgröße (\kappa_{ij}(z)) benötigt eine differenziertere Klassifikation. Dass funktionale Kopplung als theoretische Relation eingeführt wird, gehört zur definitorischen Struktur. Die konkrete mathematische Gestalt einer Kopplungsfunktion ist dagegen nicht bereits durch (A_C) bestimmt.</w:t>
      </w:r>
    </w:p>
    <w:p w:rsidR="00BB7EEF" w:rsidRDefault="00BB7EEF" w:rsidP="00BB7EEF">
      <w:pPr>
        <w:pStyle w:val="StandardWeb"/>
      </w:pPr>
      <w:r>
        <w:t>Ich trenne deshalb zwischen dem abstrakten Kopplungsbegriff und seiner konkreten Modellform:</w:t>
      </w:r>
    </w:p>
    <w:p w:rsidR="00BB7EEF" w:rsidRDefault="00BB7EEF" w:rsidP="00BB7EEF">
      <w:pPr>
        <w:pStyle w:val="StandardWeb"/>
      </w:pPr>
      <w:r>
        <w:t>[</w:t>
      </w:r>
      <w:r>
        <w:br/>
        <w:t>\operatorname{Stat}_C(\kappa)=</w:t>
      </w:r>
      <w:r>
        <w:br/>
        <w:t>\begin{cases}</w:t>
      </w:r>
      <w:r>
        <w:br/>
        <w:t>\mathrm{Def}, &amp; \text{für den abstrakten Kopplungsbegriff},\</w:t>
      </w:r>
      <w:r>
        <w:br/>
        <w:t>\mathrm{Mod}, &amp; \text{für eine konkret spezifizierte Kopplungsfunktion}.</w:t>
      </w:r>
      <w:r>
        <w:br/>
        <w:t>\end{cases}</w:t>
      </w:r>
      <w:r>
        <w:br/>
        <w:t>\tag{3.9338}</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\operatorname{Stat}_C(\kappa)=\begin{cases}\mathrm{Def},&amp;\text{für den abstrakten Kopplungsbegriff},\\\mathrm{Mod},&amp;\text{für eine konkret spezifizierte Kopplungsfunktion}.\end{cases}</w:t>
      </w:r>
    </w:p>
    <w:p w:rsidR="00BB7EEF" w:rsidRDefault="00BB7EEF" w:rsidP="00BB7EEF">
      <w:pPr>
        <w:pStyle w:val="StandardWeb"/>
      </w:pPr>
      <w:r>
        <w:t>Diese Unterscheidung verhindert, dass eine später für Simulation oder Datenanalyse gewählte konkrete Funktionsform nachträglich den Status einer fundamentalen FRZK-Annahme erhält.</w:t>
      </w:r>
    </w:p>
    <w:p w:rsidR="00BB7EEF" w:rsidRDefault="00E50336" w:rsidP="00BB7EEF">
      <w:r>
        <w:pict>
          <v:rect id="_x0000_i2754" style="width:0;height:1.5pt" o:hralign="center" o:hrstd="t" o:hr="t" fillcolor="#a0a0a0" stroked="f"/>
        </w:pict>
      </w:r>
    </w:p>
    <w:p w:rsidR="00BB7EEF" w:rsidRDefault="00BB7EEF" w:rsidP="00BB7EEF">
      <w:pPr>
        <w:pStyle w:val="berschrift1"/>
      </w:pPr>
      <w:r>
        <w:t>3.3.43.590 Status der lokalen funktionalen Kohärenz</w:t>
      </w:r>
    </w:p>
    <w:p w:rsidR="00BB7EEF" w:rsidRDefault="00BB7EEF" w:rsidP="00BB7EEF">
      <w:pPr>
        <w:pStyle w:val="StandardWeb"/>
      </w:pPr>
      <w:r>
        <w:t>Die bereits eingeführte lokale funktionale Kohärenz (C_F(X_i,X_j;z)) verbindet Vergleichbarkeit, Konsistenz und nichtverschwindende Kopplung. Ihr theoretischer Status ist daher definitorisch:</w:t>
      </w:r>
    </w:p>
    <w:p w:rsidR="00BB7EEF" w:rsidRDefault="00BB7EEF" w:rsidP="00BB7EEF">
      <w:pPr>
        <w:pStyle w:val="StandardWeb"/>
      </w:pPr>
      <w:r>
        <w:t>[</w:t>
      </w:r>
      <w:r>
        <w:br/>
        <w:t>\operatorname{Stat}_C!\left(C_F(X_i,X_j;z)\right)=\mathrm{Def}.</w:t>
      </w:r>
      <w:r>
        <w:br/>
        <w:t>\tag{3.9339}</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\operatorname{Stat}_C\left(C_F(X_i,X_j;z)\right)=\mathrm{Def}</w:t>
      </w:r>
    </w:p>
    <w:p w:rsidR="00BB7EEF" w:rsidRDefault="00BB7EEF" w:rsidP="00BB7EEF">
      <w:pPr>
        <w:pStyle w:val="StandardWeb"/>
      </w:pPr>
      <w:r>
        <w:t>Insbesondere stellt die Bedingung</w:t>
      </w:r>
    </w:p>
    <w:p w:rsidR="00BB7EEF" w:rsidRDefault="00BB7EEF" w:rsidP="00BB7EEF">
      <w:pPr>
        <w:pStyle w:val="StandardWeb"/>
      </w:pPr>
      <w:r>
        <w:t>[</w:t>
      </w:r>
      <w:r>
        <w:br/>
        <w:t>C_F(X_i,X_j;z)&gt;0</w:t>
      </w:r>
      <w:r>
        <w:br/>
        <w:t>\Longleftrightarrow</w:t>
      </w:r>
      <w:r>
        <w:br/>
        <w:t>\left[</w:t>
      </w:r>
      <w:r>
        <w:br/>
        <w:t>\mathcal C(X_i,X_j;z)=1</w:t>
      </w:r>
      <w:r>
        <w:br/>
        <w:t>\land</w:t>
      </w:r>
      <w:r>
        <w:br/>
        <w:t>K_F(X_i,X_j;z)=1</w:t>
      </w:r>
      <w:r>
        <w:br/>
      </w:r>
      <w:r>
        <w:lastRenderedPageBreak/>
        <w:t>\land</w:t>
      </w:r>
      <w:r>
        <w:br/>
        <w:t>\kappa_{ij}(z)&gt;0</w:t>
      </w:r>
      <w:r>
        <w:br/>
        <w:t>\right]</w:t>
      </w:r>
      <w:r>
        <w:br/>
        <w:t>\tag{3.9340}</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C_F(X_i,X_j;z)&gt;0\Longleftrightarrow\left[\mathcal C(X_i,X_j;z)=1\land K_F(X_i,X_j;z)=1\land\kappa_{ij}(z)&gt;0\right]</w:t>
      </w:r>
    </w:p>
    <w:p w:rsidR="00BB7EEF" w:rsidRDefault="00BB7EEF" w:rsidP="00BB7EEF">
      <w:pPr>
        <w:pStyle w:val="StandardWeb"/>
      </w:pPr>
      <w:r>
        <w:t>keine zusätzliche Existenzbehauptung dar. Sie legt fest, wann ich innerhalb des FRZK von lokaler funktionaler Kohärenz spreche.</w:t>
      </w:r>
    </w:p>
    <w:p w:rsidR="00BB7EEF" w:rsidRDefault="00E50336" w:rsidP="00BB7EEF">
      <w:r>
        <w:pict>
          <v:rect id="_x0000_i2755" style="width:0;height:1.5pt" o:hralign="center" o:hrstd="t" o:hr="t" fillcolor="#a0a0a0" stroked="f"/>
        </w:pict>
      </w:r>
    </w:p>
    <w:p w:rsidR="00BB7EEF" w:rsidRDefault="00BB7EEF" w:rsidP="00BB7EEF">
      <w:pPr>
        <w:pStyle w:val="berschrift1"/>
      </w:pPr>
      <w:r>
        <w:t>3.3.43.591 Status der Kohärenz eines Teilverbandes</w:t>
      </w:r>
    </w:p>
    <w:p w:rsidR="00BB7EEF" w:rsidRDefault="00BB7EEF" w:rsidP="00BB7EEF">
      <w:pPr>
        <w:pStyle w:val="StandardWeb"/>
      </w:pPr>
      <w:r>
        <w:t>Für einen funktionalen Teilverband (\mathcal S_C\subseteq\mathcal S_F) wird dessen Kohärenz aus den Relationen seiner Elemente bestimmt. Die entsprechende Verbandskohärenz ist deshalb gegenüber der lokalen Kohärenz eine abgeleitete Konstruktion:</w:t>
      </w:r>
    </w:p>
    <w:p w:rsidR="00BB7EEF" w:rsidRDefault="00BB7EEF" w:rsidP="00BB7EEF">
      <w:pPr>
        <w:pStyle w:val="StandardWeb"/>
      </w:pPr>
      <w:r>
        <w:t>[</w:t>
      </w:r>
      <w:r>
        <w:br/>
        <w:t>\operatorname{Stat}_C!\left(C_F(\mathcal S_C;z)\right)=\mathrm{Abl}.</w:t>
      </w:r>
      <w:r>
        <w:br/>
        <w:t>\tag{3.9341}</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\operatorname{Stat}_C\left(C_F(\mathcal S_C;z)\right)=\mathrm{Abl}</w:t>
      </w:r>
    </w:p>
    <w:p w:rsidR="00BB7EEF" w:rsidRDefault="00BB7EEF" w:rsidP="00BB7EEF">
      <w:pPr>
        <w:pStyle w:val="StandardWeb"/>
      </w:pPr>
      <w:r>
        <w:t xml:space="preserve">Damit unterscheide ich ausdrücklich zwischen der </w:t>
      </w:r>
      <w:r>
        <w:rPr>
          <w:rStyle w:val="Fett"/>
        </w:rPr>
        <w:t>Definition des Kohärenzbegriffs</w:t>
      </w:r>
      <w:r>
        <w:t xml:space="preserve"> und der </w:t>
      </w:r>
      <w:r>
        <w:rPr>
          <w:rStyle w:val="Fett"/>
        </w:rPr>
        <w:t>Aggregation lokaler Kohärenzrelationen zu einer Kohärenzaussage über einen größeren funktionalen Verband</w:t>
      </w:r>
      <w:r>
        <w:t>.</w:t>
      </w:r>
    </w:p>
    <w:p w:rsidR="00BB7EEF" w:rsidRDefault="00E50336" w:rsidP="00BB7EEF">
      <w:r>
        <w:pict>
          <v:rect id="_x0000_i2756" style="width:0;height:1.5pt" o:hralign="center" o:hrstd="t" o:hr="t" fillcolor="#a0a0a0" stroked="f"/>
        </w:pict>
      </w:r>
    </w:p>
    <w:p w:rsidR="00BB7EEF" w:rsidRDefault="00BB7EEF" w:rsidP="00BB7EEF">
      <w:pPr>
        <w:pStyle w:val="berschrift1"/>
      </w:pPr>
      <w:r>
        <w:t>3.3.43.592 Status der Aggregationsfunktion</w:t>
      </w:r>
    </w:p>
    <w:p w:rsidR="00BB7EEF" w:rsidRDefault="00BB7EEF" w:rsidP="00BB7EEF">
      <w:pPr>
        <w:pStyle w:val="StandardWeb"/>
      </w:pPr>
      <w:r>
        <w:t>Eine konkrete Aggregationsfunktion (\mathcal A_C), mit der lokale Kohärenzwerte zu einem Verbands- oder Gesamtkohärenzwert zusammengeführt werden, folgt nicht eindeutig aus dem Primäraxiom (A_C). Ihre Wahl ist deshalb zunächst eine Modellentscheidung:</w:t>
      </w:r>
    </w:p>
    <w:p w:rsidR="00BB7EEF" w:rsidRDefault="00BB7EEF" w:rsidP="00BB7EEF">
      <w:pPr>
        <w:pStyle w:val="StandardWeb"/>
      </w:pPr>
      <w:r>
        <w:t>[</w:t>
      </w:r>
      <w:r>
        <w:br/>
        <w:t>\operatorname{Stat}_C(\mathcal A_C)=\mathrm{Mod}.</w:t>
      </w:r>
      <w:r>
        <w:br/>
        <w:t>\tag{3.9342}</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\operatorname{Stat}_C(\mathcal A_C)=\mathrm{Mod}</w:t>
      </w:r>
    </w:p>
    <w:p w:rsidR="00BB7EEF" w:rsidRDefault="00BB7EEF" w:rsidP="00BB7EEF">
      <w:pPr>
        <w:pStyle w:val="StandardWeb"/>
      </w:pPr>
      <w:r>
        <w:lastRenderedPageBreak/>
        <w:t>Werden beispielsweise gewichtete lokale Kohärenzwerte verwendet,</w:t>
      </w:r>
    </w:p>
    <w:p w:rsidR="00BB7EEF" w:rsidRDefault="00BB7EEF" w:rsidP="00BB7EEF">
      <w:pPr>
        <w:pStyle w:val="berschrift1"/>
      </w:pPr>
      <w:r>
        <w:t>[</w:t>
      </w:r>
      <w:r>
        <w:br/>
        <w:t>C_F(\mathcal S_C;z)</w:t>
      </w:r>
    </w:p>
    <w:p w:rsidR="00BB7EEF" w:rsidRDefault="00BB7EEF" w:rsidP="00BB7EEF">
      <w:pPr>
        <w:pStyle w:val="StandardWeb"/>
      </w:pPr>
      <w:r>
        <w:t>\mathcal A_C</w:t>
      </w:r>
      <w:r>
        <w:br/>
        <w:t>\left(</w:t>
      </w:r>
      <w:r>
        <w:br/>
        <w:t>{w_{ij}C_F(X_i,X_j;z)}_{i,j}</w:t>
      </w:r>
      <w:r>
        <w:br/>
        <w:t>\right),</w:t>
      </w:r>
      <w:r>
        <w:br/>
        <w:t>\tag{3.9343}</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C_F(\mathcal S_C;z)=\mathcal A_C\left(\{w_{ij}C_F(X_i,X_j;z)\}_{i,j}\right)</w:t>
      </w:r>
    </w:p>
    <w:p w:rsidR="00BB7EEF" w:rsidRDefault="00BB7EEF" w:rsidP="00BB7EEF">
      <w:pPr>
        <w:pStyle w:val="StandardWeb"/>
      </w:pPr>
      <w:r>
        <w:t>so sind sowohl die konkrete Aggregationsregel als auch gegebenenfalls die Gewichtungsstruktur (w_{ij}) separat zu begründen. Sie dürfen nicht allein aus der Existenz des Primäraxioms (A_C) abgeleitet werden.</w:t>
      </w:r>
    </w:p>
    <w:p w:rsidR="00BB7EEF" w:rsidRDefault="00E50336" w:rsidP="00BB7EEF">
      <w:r>
        <w:pict>
          <v:rect id="_x0000_i2757" style="width:0;height:1.5pt" o:hralign="center" o:hrstd="t" o:hr="t" fillcolor="#a0a0a0" stroked="f"/>
        </w:pict>
      </w:r>
    </w:p>
    <w:p w:rsidR="00BB7EEF" w:rsidRDefault="00BB7EEF" w:rsidP="00BB7EEF">
      <w:pPr>
        <w:pStyle w:val="berschrift1"/>
      </w:pPr>
      <w:r>
        <w:t>3.3.43.593 Status der Realisierbarkeitsrelation</w:t>
      </w:r>
    </w:p>
    <w:p w:rsidR="00BB7EEF" w:rsidRDefault="00BB7EEF" w:rsidP="00BB7EEF">
      <w:pPr>
        <w:pStyle w:val="StandardWeb"/>
      </w:pPr>
      <w:r>
        <w:t>Die im Primäraxiom verwendete Relation (R_F(\mathcal S_C)) bezeichnet die funktionale Realisierbarkeit eines Teilverbandes. Als formale Bedingung des Theorieaufbaus besitzt der Realisierbarkeitsbegriff definitorischen Status:</w:t>
      </w:r>
    </w:p>
    <w:p w:rsidR="00BB7EEF" w:rsidRDefault="00BB7EEF" w:rsidP="00BB7EEF">
      <w:pPr>
        <w:pStyle w:val="StandardWeb"/>
      </w:pPr>
      <w:r>
        <w:t>[</w:t>
      </w:r>
      <w:r>
        <w:br/>
        <w:t>\operatorname{Stat}_C(R_F)=\mathrm{Def}.</w:t>
      </w:r>
      <w:r>
        <w:br/>
        <w:t>\tag{3.9344}</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\operatorname{Stat}_C(R_F)=\mathrm{Def}</w:t>
      </w:r>
    </w:p>
    <w:p w:rsidR="00BB7EEF" w:rsidRDefault="00BB7EEF" w:rsidP="00BB7EEF">
      <w:pPr>
        <w:pStyle w:val="StandardWeb"/>
      </w:pPr>
      <w:r>
        <w:t>Die Aussage, dass ein bestimmter Teilverband tatsächlich realisierbar ist,</w:t>
      </w:r>
    </w:p>
    <w:p w:rsidR="00BB7EEF" w:rsidRDefault="00BB7EEF" w:rsidP="00BB7EEF">
      <w:pPr>
        <w:pStyle w:val="StandardWeb"/>
      </w:pPr>
      <w:r>
        <w:t>[</w:t>
      </w:r>
      <w:r>
        <w:br/>
        <w:t>R_F(\mathcal S_C)=1,</w:t>
      </w:r>
      <w:r>
        <w:br/>
        <w:t>\tag{3.9345}</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R_F(\mathcal S_C)=1</w:t>
      </w:r>
    </w:p>
    <w:p w:rsidR="00BB7EEF" w:rsidRDefault="00BB7EEF" w:rsidP="00BB7EEF">
      <w:pPr>
        <w:pStyle w:val="StandardWeb"/>
      </w:pPr>
      <w:r>
        <w:t>ist dagegen eine konkrete Theorie- oder Modellfeststellung. Sie darf nicht allein aus der Definition von (R_F) geschlossen werden.</w:t>
      </w:r>
    </w:p>
    <w:p w:rsidR="00BB7EEF" w:rsidRDefault="00E50336" w:rsidP="00BB7EEF">
      <w:r>
        <w:lastRenderedPageBreak/>
        <w:pict>
          <v:rect id="_x0000_i2758" style="width:0;height:1.5pt" o:hralign="center" o:hrstd="t" o:hr="t" fillcolor="#a0a0a0" stroked="f"/>
        </w:pict>
      </w:r>
    </w:p>
    <w:p w:rsidR="00BB7EEF" w:rsidRDefault="00BB7EEF" w:rsidP="00BB7EEF">
      <w:pPr>
        <w:pStyle w:val="berschrift1"/>
      </w:pPr>
      <w:r>
        <w:t>3.3.43.594 Status von Kohärenzschwellen</w:t>
      </w:r>
    </w:p>
    <w:p w:rsidR="00BB7EEF" w:rsidRDefault="00BB7EEF" w:rsidP="00BB7EEF">
      <w:pPr>
        <w:pStyle w:val="StandardWeb"/>
      </w:pPr>
      <w:r>
        <w:t>Sobald für eine konkrete Untersuchung ein Schwellenwert (\theta_C) eingeführt wird, beispielsweise</w:t>
      </w:r>
    </w:p>
    <w:p w:rsidR="00BB7EEF" w:rsidRDefault="00BB7EEF" w:rsidP="00BB7EEF">
      <w:pPr>
        <w:pStyle w:val="StandardWeb"/>
      </w:pPr>
      <w:r>
        <w:t>[</w:t>
      </w:r>
      <w:r>
        <w:br/>
        <w:t>C_F(\mathcal S_C;z)\geq\theta_C,</w:t>
      </w:r>
      <w:r>
        <w:br/>
        <w:t>\tag{3.9346}</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C_F(\mathcal S_C;z)\geq\theta_C</w:t>
      </w:r>
    </w:p>
    <w:p w:rsidR="00BB7EEF" w:rsidRDefault="00BB7EEF" w:rsidP="00BB7EEF">
      <w:pPr>
        <w:pStyle w:val="StandardWeb"/>
      </w:pPr>
      <w:r>
        <w:t xml:space="preserve">muss ich zwischen theoretischer und empirischer Funktion des Schwellenwertes unterscheiden. Ein solcher Schwellenwert ist </w:t>
      </w:r>
      <w:r>
        <w:rPr>
          <w:rStyle w:val="Fett"/>
        </w:rPr>
        <w:t>kein Primäraxiom</w:t>
      </w:r>
      <w:r>
        <w:t>.</w:t>
      </w:r>
    </w:p>
    <w:p w:rsidR="00BB7EEF" w:rsidRDefault="00BB7EEF" w:rsidP="00BB7EEF">
      <w:pPr>
        <w:pStyle w:val="StandardWeb"/>
      </w:pPr>
      <w:r>
        <w:t>Sein Status lautet im Allgemeinen:</w:t>
      </w:r>
    </w:p>
    <w:p w:rsidR="00BB7EEF" w:rsidRDefault="00BB7EEF" w:rsidP="00BB7EEF">
      <w:pPr>
        <w:pStyle w:val="StandardWeb"/>
      </w:pPr>
      <w:r>
        <w:t>[</w:t>
      </w:r>
      <w:r>
        <w:br/>
        <w:t>\operatorname{Stat}_C(\theta_C)\in{\mathrm{Mod},\mathrm{Op}}.</w:t>
      </w:r>
      <w:r>
        <w:br/>
        <w:t>\tag{3.9347}</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\operatorname{Stat}_C(\theta_C)\in\{\mathrm{Mod},\mathrm{Op}\}</w:t>
      </w:r>
    </w:p>
    <w:p w:rsidR="00BB7EEF" w:rsidRDefault="00BB7EEF" w:rsidP="00BB7EEF">
      <w:pPr>
        <w:pStyle w:val="StandardWeb"/>
      </w:pPr>
      <w:r>
        <w:t>Wird (\theta_C) aus theoretischen Modellbedingungen festgelegt, handelt es sich um eine Modellannahme. Wird der Wert dagegen für Messung, Klassifikation oder Datenanalyse bestimmt, besitzt er operationalen Status.</w:t>
      </w:r>
    </w:p>
    <w:p w:rsidR="00BB7EEF" w:rsidRDefault="00E50336" w:rsidP="00BB7EEF">
      <w:r>
        <w:pict>
          <v:rect id="_x0000_i2759" style="width:0;height:1.5pt" o:hralign="center" o:hrstd="t" o:hr="t" fillcolor="#a0a0a0" stroked="f"/>
        </w:pict>
      </w:r>
    </w:p>
    <w:p w:rsidR="00BB7EEF" w:rsidRDefault="00BB7EEF" w:rsidP="00BB7EEF">
      <w:pPr>
        <w:pStyle w:val="berschrift1"/>
      </w:pPr>
      <w:r>
        <w:t>3.3.43.595 Status empirischer Kohärenzschätzer</w:t>
      </w:r>
    </w:p>
    <w:p w:rsidR="00BB7EEF" w:rsidRDefault="00BB7EEF" w:rsidP="00BB7EEF">
      <w:pPr>
        <w:pStyle w:val="StandardWeb"/>
      </w:pPr>
      <w:r>
        <w:t>Ein aus Beobachtungsdaten gewonnener Schätzer (\widehat C_F) darf nicht mit der theoretischen Kohärenzgröße (C_F) identifiziert werden. Ich klassifiziere ihn daher als Operationalisierung:</w:t>
      </w:r>
    </w:p>
    <w:p w:rsidR="00BB7EEF" w:rsidRDefault="00BB7EEF" w:rsidP="00BB7EEF">
      <w:pPr>
        <w:pStyle w:val="StandardWeb"/>
      </w:pPr>
      <w:r>
        <w:t>[</w:t>
      </w:r>
      <w:r>
        <w:br/>
        <w:t>\operatorname{Stat}_C(\widehat C_F)=\mathrm{Op}.</w:t>
      </w:r>
      <w:r>
        <w:br/>
        <w:t>\tag{3.9348}</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\operatorname{Stat}_C(\widehat C_F)=\mathrm{Op}</w:t>
      </w:r>
    </w:p>
    <w:p w:rsidR="00BB7EEF" w:rsidRDefault="00BB7EEF" w:rsidP="00BB7EEF">
      <w:pPr>
        <w:pStyle w:val="StandardWeb"/>
      </w:pPr>
      <w:r>
        <w:lastRenderedPageBreak/>
        <w:t>Die Beziehung zwischen theoretischer Größe und empirischem Schätzer kann allgemein durch eine Abbildung</w:t>
      </w:r>
    </w:p>
    <w:p w:rsidR="00BB7EEF" w:rsidRDefault="00BB7EEF" w:rsidP="00BB7EEF">
      <w:pPr>
        <w:pStyle w:val="StandardWeb"/>
      </w:pPr>
      <w:r>
        <w:t>[</w:t>
      </w:r>
      <w:r>
        <w:br/>
        <w:t>\mathcal O_C:\mathcal D_{\mathrm{emp}}\rightarrow\widehat{\mathcal C}_F</w:t>
      </w:r>
      <w:r>
        <w:br/>
        <w:t>\tag{3.9349}</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\mathcal O_C:\mathcal D_{\mathrm{emp}}\rightarrow\widehat{\mathcal C}_F</w:t>
      </w:r>
    </w:p>
    <w:p w:rsidR="00BB7EEF" w:rsidRDefault="00BB7EEF" w:rsidP="00BB7EEF">
      <w:pPr>
        <w:pStyle w:val="StandardWeb"/>
      </w:pPr>
      <w:r>
        <w:t>beschrieben werden. (\mathcal D_{\mathrm{emp}}) bezeichnet dabei den jeweils verfügbaren empirischen Datenraum. Die konkrete Form von (\mathcal O_C) gehört nicht zum Primäraxiom, sondern muss für die jeweilige empirische Anwendung gesondert angegeben und validiert werden.</w:t>
      </w:r>
    </w:p>
    <w:p w:rsidR="00BB7EEF" w:rsidRDefault="00E50336" w:rsidP="00BB7EEF">
      <w:r>
        <w:pict>
          <v:rect id="_x0000_i2760" style="width:0;height:1.5pt" o:hralign="center" o:hrstd="t" o:hr="t" fillcolor="#a0a0a0" stroked="f"/>
        </w:pict>
      </w:r>
    </w:p>
    <w:p w:rsidR="00BB7EEF" w:rsidRDefault="00BB7EEF" w:rsidP="00BB7EEF">
      <w:pPr>
        <w:pStyle w:val="berschrift1"/>
      </w:pPr>
      <w:r>
        <w:t>3.3.43.596 Status kohärenzerhaltender Transformationen</w:t>
      </w:r>
    </w:p>
    <w:p w:rsidR="00BB7EEF" w:rsidRDefault="00BB7EEF" w:rsidP="00BB7EEF">
      <w:pPr>
        <w:pStyle w:val="StandardWeb"/>
      </w:pPr>
      <w:r>
        <w:t>Die Klasse kohärenzerhaltender Transformationen kann auf Grundlage der zuvor definierten Kohärenzstruktur bestimmt werden. Für eine Transformation (T), die die relevante Kohärenzrelation erhält, gilt deshalb:</w:t>
      </w:r>
    </w:p>
    <w:p w:rsidR="00BB7EEF" w:rsidRDefault="00BB7EEF" w:rsidP="00BB7EEF">
      <w:pPr>
        <w:pStyle w:val="StandardWeb"/>
      </w:pPr>
      <w:r>
        <w:t>[</w:t>
      </w:r>
      <w:r>
        <w:br/>
        <w:t>\operatorname{Stat}_C!\left(\operatorname{Pres}(C_F)\right)=\mathrm{Abl}.</w:t>
      </w:r>
      <w:r>
        <w:br/>
        <w:t>\tag{3.9350}</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\operatorname{Stat}_C\left(\operatorname{Pres}(C_F)\right)=\mathrm{Abl}</w:t>
      </w:r>
    </w:p>
    <w:p w:rsidR="00BB7EEF" w:rsidRDefault="00BB7EEF" w:rsidP="00BB7EEF">
      <w:pPr>
        <w:pStyle w:val="StandardWeb"/>
      </w:pPr>
      <w:r>
        <w:t>Die Erhaltungseigenschaft kann abstrakt geschrieben werden als</w:t>
      </w:r>
    </w:p>
    <w:p w:rsidR="00BB7EEF" w:rsidRDefault="00BB7EEF" w:rsidP="00BB7EEF">
      <w:pPr>
        <w:pStyle w:val="berschrift1"/>
      </w:pPr>
      <w:r>
        <w:t>[</w:t>
      </w:r>
      <w:r>
        <w:br/>
        <w:t>C_F(X_i,X_j;z)</w:t>
      </w:r>
    </w:p>
    <w:p w:rsidR="00BB7EEF" w:rsidRDefault="00BB7EEF" w:rsidP="00BB7EEF">
      <w:pPr>
        <w:pStyle w:val="StandardWeb"/>
      </w:pPr>
      <w:r>
        <w:t>C_F!\left(TX_i,TX_j;Tz\right),</w:t>
      </w:r>
      <w:r>
        <w:br/>
        <w:t>\tag{3.9351}</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C_F(X_i,X_j;z)=C_F\left(TX_i,TX_j;Tz\right)</w:t>
      </w:r>
    </w:p>
    <w:p w:rsidR="00BB7EEF" w:rsidRDefault="00BB7EEF" w:rsidP="00BB7EEF">
      <w:pPr>
        <w:pStyle w:val="StandardWeb"/>
      </w:pPr>
      <w:r>
        <w:lastRenderedPageBreak/>
        <w:t>sofern (T) auf den betreffenden Größen und Zuständen definiert ist. Die konkrete Wahl einer Transformationsklasse bleibt dagegen modellabhängig.</w:t>
      </w:r>
    </w:p>
    <w:p w:rsidR="00BB7EEF" w:rsidRDefault="00E50336" w:rsidP="00BB7EEF">
      <w:r>
        <w:pict>
          <v:rect id="_x0000_i2761" style="width:0;height:1.5pt" o:hralign="center" o:hrstd="t" o:hr="t" fillcolor="#a0a0a0" stroked="f"/>
        </w:pict>
      </w:r>
    </w:p>
    <w:p w:rsidR="00BB7EEF" w:rsidRDefault="00BB7EEF" w:rsidP="00BB7EEF">
      <w:pPr>
        <w:pStyle w:val="berschrift1"/>
      </w:pPr>
      <w:r>
        <w:t>3.3.43.597 Status der funktionalen Isomorphie</w:t>
      </w:r>
    </w:p>
    <w:p w:rsidR="00BB7EEF" w:rsidRDefault="00BB7EEF" w:rsidP="00BB7EEF">
      <w:pPr>
        <w:pStyle w:val="StandardWeb"/>
      </w:pPr>
      <w:r>
        <w:t>Auch die funktionale Isomorphie benötigt kein zusätzliches Primäraxiom, sofern sie über die bereits eingeführte Erhaltung von Struktur, Relationen und Transformationen definiert wird. Ihr Status ist daher:</w:t>
      </w:r>
    </w:p>
    <w:p w:rsidR="00BB7EEF" w:rsidRDefault="00BB7EEF" w:rsidP="00BB7EEF">
      <w:pPr>
        <w:pStyle w:val="StandardWeb"/>
      </w:pPr>
      <w:r>
        <w:t>[</w:t>
      </w:r>
      <w:r>
        <w:br/>
        <w:t>\operatorname{Stat}_C(\cong_F)=\mathrm{Def}.</w:t>
      </w:r>
      <w:r>
        <w:br/>
        <w:t>\tag{3.9352}</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\operatorname{Stat}_C(\cong_F)=\mathrm{Def}</w:t>
      </w:r>
    </w:p>
    <w:p w:rsidR="00BB7EEF" w:rsidRDefault="00BB7EEF" w:rsidP="00BB7EEF">
      <w:pPr>
        <w:pStyle w:val="StandardWeb"/>
      </w:pPr>
      <w:r>
        <w:t>Für zwei funktionale Strukturen (\mathfrak S_1) und (\mathfrak S_2) bedeutet</w:t>
      </w:r>
    </w:p>
    <w:p w:rsidR="00BB7EEF" w:rsidRDefault="00BB7EEF" w:rsidP="00BB7EEF">
      <w:pPr>
        <w:pStyle w:val="StandardWeb"/>
      </w:pPr>
      <w:r>
        <w:t>[</w:t>
      </w:r>
      <w:r>
        <w:br/>
        <w:t>\mathfrak S_1\cong_F\mathfrak S_2</w:t>
      </w:r>
      <w:r>
        <w:br/>
        <w:t>\tag{3.9353}</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\mathfrak S_1\cong_F\mathfrak S_2</w:t>
      </w:r>
    </w:p>
    <w:p w:rsidR="00BB7EEF" w:rsidRDefault="00BB7EEF" w:rsidP="00BB7EEF">
      <w:pPr>
        <w:pStyle w:val="StandardWeb"/>
      </w:pPr>
      <w:r>
        <w:t>damit nicht deren Identität. Gefordert wird vielmehr eine Abbildung, welche die für die betrachtete FRZK-Struktur relevanten funktionalen Beziehungen erhält.</w:t>
      </w:r>
    </w:p>
    <w:p w:rsidR="00BB7EEF" w:rsidRDefault="00E50336" w:rsidP="00BB7EEF">
      <w:r>
        <w:pict>
          <v:rect id="_x0000_i2762" style="width:0;height:1.5pt" o:hralign="center" o:hrstd="t" o:hr="t" fillcolor="#a0a0a0" stroked="f"/>
        </w:pict>
      </w:r>
    </w:p>
    <w:p w:rsidR="00BB7EEF" w:rsidRDefault="00BB7EEF" w:rsidP="00BB7EEF">
      <w:pPr>
        <w:pStyle w:val="berschrift1"/>
      </w:pPr>
      <w:r>
        <w:t>3.3.43.598 Status von Kohärenzdynamiken</w:t>
      </w:r>
    </w:p>
    <w:p w:rsidR="00BB7EEF" w:rsidRDefault="00BB7EEF" w:rsidP="00BB7EEF">
      <w:pPr>
        <w:pStyle w:val="StandardWeb"/>
      </w:pPr>
      <w:r>
        <w:t>Wird die Kohärenz zeitlich oder entlang eines allgemeinen Entwicklungsparameters (\tau) betrachtet,</w:t>
      </w:r>
    </w:p>
    <w:p w:rsidR="00BB7EEF" w:rsidRDefault="00BB7EEF" w:rsidP="00BB7EEF">
      <w:pPr>
        <w:pStyle w:val="StandardWeb"/>
      </w:pPr>
      <w:r>
        <w:t>[</w:t>
      </w:r>
      <w:r>
        <w:br/>
        <w:t>C_F=C_F(\tau),</w:t>
      </w:r>
      <w:r>
        <w:br/>
        <w:t>\tag{3.9354}</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C_F=C_F(\tau)</w:t>
      </w:r>
    </w:p>
    <w:p w:rsidR="00BB7EEF" w:rsidRDefault="00BB7EEF" w:rsidP="00BB7EEF">
      <w:pPr>
        <w:pStyle w:val="StandardWeb"/>
      </w:pPr>
      <w:r>
        <w:t>so folgt daraus noch kein bestimmtes Entwicklungsgesetz. Eine konkrete Dynamik</w:t>
      </w:r>
    </w:p>
    <w:p w:rsidR="00BB7EEF" w:rsidRDefault="00BB7EEF" w:rsidP="00BB7EEF">
      <w:pPr>
        <w:pStyle w:val="berschrift1"/>
      </w:pPr>
      <w:r>
        <w:lastRenderedPageBreak/>
        <w:t>[</w:t>
      </w:r>
      <w:r>
        <w:br/>
        <w:t>\frac{\mathrm d C_F}{\mathrm d\tau}</w:t>
      </w:r>
    </w:p>
    <w:p w:rsidR="00BB7EEF" w:rsidRDefault="00BB7EEF" w:rsidP="00BB7EEF">
      <w:pPr>
        <w:pStyle w:val="StandardWeb"/>
      </w:pPr>
      <w:r>
        <w:t>\Phi_C(C_F,\mathbf x,\tau)</w:t>
      </w:r>
      <w:r>
        <w:br/>
        <w:t>\tag{3.9355}</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\frac{\mathrm d C_F}{\mathrm d\tau}=\Phi_C(C_F,\mathbf x,\tau)</w:t>
      </w:r>
    </w:p>
    <w:p w:rsidR="00BB7EEF" w:rsidRDefault="00BB7EEF" w:rsidP="00BB7EEF">
      <w:pPr>
        <w:pStyle w:val="StandardWeb"/>
      </w:pPr>
      <w:r>
        <w:t>muss deshalb als Modellannahme klassifiziert werden:</w:t>
      </w:r>
    </w:p>
    <w:p w:rsidR="00BB7EEF" w:rsidRDefault="00BB7EEF" w:rsidP="00BB7EEF">
      <w:pPr>
        <w:pStyle w:val="StandardWeb"/>
      </w:pPr>
      <w:r>
        <w:t>[</w:t>
      </w:r>
      <w:r>
        <w:br/>
        <w:t>\operatorname{Stat}_C(\Phi_C)=\mathrm{Mod}.</w:t>
      </w:r>
      <w:r>
        <w:br/>
        <w:t>\tag{3.9356}</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\operatorname{Stat}_C(\Phi_C)=\mathrm{Mod}</w:t>
      </w:r>
    </w:p>
    <w:p w:rsidR="00BB7EEF" w:rsidRDefault="00BB7EEF" w:rsidP="00BB7EEF">
      <w:pPr>
        <w:pStyle w:val="StandardWeb"/>
      </w:pPr>
      <w:r>
        <w:t xml:space="preserve">Damit folgt aus dem Kohärenzaxiom insbesondere </w:t>
      </w:r>
      <w:r>
        <w:rPr>
          <w:rStyle w:val="Fett"/>
        </w:rPr>
        <w:t>keine spezielle Differentialgleichung</w:t>
      </w:r>
      <w:r>
        <w:t xml:space="preserve"> für die Entwicklung funktionaler Kohärenz.</w:t>
      </w:r>
    </w:p>
    <w:p w:rsidR="00BB7EEF" w:rsidRDefault="00E50336" w:rsidP="00BB7EEF">
      <w:r>
        <w:pict>
          <v:rect id="_x0000_i2763" style="width:0;height:1.5pt" o:hralign="center" o:hrstd="t" o:hr="t" fillcolor="#a0a0a0" stroked="f"/>
        </w:pict>
      </w:r>
    </w:p>
    <w:p w:rsidR="00BB7EEF" w:rsidRDefault="00BB7EEF" w:rsidP="00BB7EEF">
      <w:pPr>
        <w:pStyle w:val="berschrift1"/>
      </w:pPr>
      <w:r>
        <w:t>3.3.43.599 Status von Stabilitätsbedingungen</w:t>
      </w:r>
    </w:p>
    <w:p w:rsidR="00BB7EEF" w:rsidRDefault="00BB7EEF" w:rsidP="00BB7EEF">
      <w:pPr>
        <w:pStyle w:val="StandardWeb"/>
      </w:pPr>
      <w:r>
        <w:t>Eine Stabilitätsbedingung kann aus einer bereits spezifizierten Kohärenzdynamik abgeleitet werden. Wird beispielsweise ein stationärer Kohärenzzustand (C_F^\ast) durch</w:t>
      </w:r>
    </w:p>
    <w:p w:rsidR="00BB7EEF" w:rsidRDefault="00BB7EEF" w:rsidP="00BB7EEF">
      <w:pPr>
        <w:pStyle w:val="StandardWeb"/>
      </w:pPr>
      <w:r>
        <w:t>[</w:t>
      </w:r>
      <w:r>
        <w:br/>
        <w:t>\Phi_C(C_F^\ast,\mathbf x^\ast,\tau)=0</w:t>
      </w:r>
      <w:r>
        <w:br/>
        <w:t>\tag{3.9357}</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\Phi_C(C_F^\ast,\mathbf x^\ast,\tau)=0</w:t>
      </w:r>
    </w:p>
    <w:p w:rsidR="00BB7EEF" w:rsidRDefault="00BB7EEF" w:rsidP="00BB7EEF">
      <w:pPr>
        <w:pStyle w:val="StandardWeb"/>
      </w:pPr>
      <w:r>
        <w:t>bestimmt, dann ist diese Stationaritätsbedingung relativ zum gewählten Dynamikmodell abgeleitet:</w:t>
      </w:r>
    </w:p>
    <w:p w:rsidR="00BB7EEF" w:rsidRDefault="00BB7EEF" w:rsidP="00BB7EEF">
      <w:pPr>
        <w:pStyle w:val="StandardWeb"/>
      </w:pPr>
      <w:r>
        <w:t>[</w:t>
      </w:r>
      <w:r>
        <w:br/>
        <w:t>\operatorname{Stat}_C(C_F^\ast\mid\Phi_C)=\mathrm{Abl}.</w:t>
      </w:r>
      <w:r>
        <w:br/>
        <w:t>\tag{3.9358}</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lastRenderedPageBreak/>
        <w:t>\operatorname{Stat}_C(C_F^\ast\mid\Phi_C)=\mathrm{Abl}</w:t>
      </w:r>
    </w:p>
    <w:p w:rsidR="00BB7EEF" w:rsidRDefault="00BB7EEF" w:rsidP="00BB7EEF">
      <w:pPr>
        <w:pStyle w:val="StandardWeb"/>
      </w:pPr>
      <w:r>
        <w:t>Die zugrunde liegende Funktion (\Phi_C) bleibt dagegen eine Modellannahme. Auf diese Weise trenne ich auch hier Modellsetzung und mathematische Konsequenz voneinander.</w:t>
      </w:r>
    </w:p>
    <w:p w:rsidR="00BB7EEF" w:rsidRDefault="00E50336" w:rsidP="00BB7EEF">
      <w:r>
        <w:pict>
          <v:rect id="_x0000_i2764" style="width:0;height:1.5pt" o:hralign="center" o:hrstd="t" o:hr="t" fillcolor="#a0a0a0" stroked="f"/>
        </w:pict>
      </w:r>
    </w:p>
    <w:p w:rsidR="00BB7EEF" w:rsidRDefault="00BB7EEF" w:rsidP="00BB7EEF">
      <w:pPr>
        <w:pStyle w:val="berschrift1"/>
      </w:pPr>
      <w:r>
        <w:t>3.3.43.600 Zusammengefasste Statusmatrix</w:t>
      </w:r>
    </w:p>
    <w:p w:rsidR="00BB7EEF" w:rsidRDefault="00BB7EEF" w:rsidP="00BB7EEF">
      <w:pPr>
        <w:pStyle w:val="StandardWeb"/>
      </w:pPr>
      <w:r>
        <w:t>Die wesentlichen Kohärenzobjekte des Abschnitts lassen sich damit in einer gemeinsamen Statusmatrix zusammenfassen: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3477"/>
        <w:gridCol w:w="2793"/>
      </w:tblGrid>
      <w:tr w:rsidR="00BB7EEF" w:rsidTr="00BB7EEF">
        <w:trPr>
          <w:tblHeader/>
          <w:tblCellSpacing w:w="15" w:type="dxa"/>
        </w:trPr>
        <w:tc>
          <w:tcPr>
            <w:tcW w:w="0" w:type="auto"/>
            <w:vAlign w:val="center"/>
            <w:hideMark/>
          </w:tcPr>
          <w:p w:rsidR="00BB7EEF" w:rsidRDefault="00BB7EEF">
            <w:pPr>
              <w:jc w:val="center"/>
              <w:rPr>
                <w:b/>
              </w:rPr>
            </w:pPr>
            <w:r>
              <w:rPr>
                <w:b/>
                <w:bCs w:val="0"/>
              </w:rPr>
              <w:t>Theorieobjekt</w:t>
            </w:r>
          </w:p>
        </w:tc>
        <w:tc>
          <w:tcPr>
            <w:tcW w:w="0" w:type="auto"/>
            <w:vAlign w:val="center"/>
            <w:hideMark/>
          </w:tcPr>
          <w:p w:rsidR="00BB7EEF" w:rsidRDefault="00BB7EEF">
            <w:pPr>
              <w:jc w:val="center"/>
              <w:rPr>
                <w:b/>
                <w:bCs w:val="0"/>
              </w:rPr>
            </w:pPr>
            <w:r>
              <w:rPr>
                <w:b/>
                <w:bCs w:val="0"/>
              </w:rPr>
              <w:t>Funktion</w:t>
            </w:r>
          </w:p>
        </w:tc>
        <w:tc>
          <w:tcPr>
            <w:tcW w:w="0" w:type="auto"/>
            <w:vAlign w:val="center"/>
            <w:hideMark/>
          </w:tcPr>
          <w:p w:rsidR="00BB7EEF" w:rsidRDefault="00BB7EEF">
            <w:pPr>
              <w:jc w:val="center"/>
              <w:rPr>
                <w:b/>
                <w:bCs w:val="0"/>
              </w:rPr>
            </w:pPr>
            <w:r>
              <w:rPr>
                <w:b/>
                <w:bCs w:val="0"/>
              </w:rPr>
              <w:t>Endgültiger Status</w:t>
            </w:r>
          </w:p>
        </w:tc>
      </w:tr>
      <w:tr w:rsidR="00BB7EEF" w:rsidTr="00BB7EEF">
        <w:trPr>
          <w:tblCellSpacing w:w="15" w:type="dxa"/>
        </w:trPr>
        <w:tc>
          <w:tcPr>
            <w:tcW w:w="0" w:type="auto"/>
            <w:vAlign w:val="center"/>
            <w:hideMark/>
          </w:tcPr>
          <w:p w:rsidR="00BB7EEF" w:rsidRDefault="00BB7EEF">
            <w:pPr>
              <w:rPr>
                <w:bCs w:val="0"/>
              </w:rPr>
            </w:pPr>
            <w:r>
              <w:t>(A_C)</w:t>
            </w:r>
          </w:p>
        </w:tc>
        <w:tc>
          <w:tcPr>
            <w:tcW w:w="0" w:type="auto"/>
            <w:vAlign w:val="center"/>
            <w:hideMark/>
          </w:tcPr>
          <w:p w:rsidR="00BB7EEF" w:rsidRDefault="00BB7EEF">
            <w:r>
              <w:t>Existenz funktional kohärenter realisierbarer Struktur</w:t>
            </w:r>
          </w:p>
        </w:tc>
        <w:tc>
          <w:tcPr>
            <w:tcW w:w="0" w:type="auto"/>
            <w:vAlign w:val="center"/>
            <w:hideMark/>
          </w:tcPr>
          <w:p w:rsidR="00BB7EEF" w:rsidRDefault="00BB7EEF">
            <w:r>
              <w:rPr>
                <w:rStyle w:val="Fett"/>
              </w:rPr>
              <w:t>Primäraxiom</w:t>
            </w:r>
          </w:p>
        </w:tc>
      </w:tr>
      <w:tr w:rsidR="00BB7EEF" w:rsidTr="00BB7EEF">
        <w:trPr>
          <w:tblCellSpacing w:w="15" w:type="dxa"/>
        </w:trPr>
        <w:tc>
          <w:tcPr>
            <w:tcW w:w="0" w:type="auto"/>
            <w:vAlign w:val="center"/>
            <w:hideMark/>
          </w:tcPr>
          <w:p w:rsidR="00BB7EEF" w:rsidRDefault="00BB7EEF">
            <w:r>
              <w:t>(\mathcal C)</w:t>
            </w:r>
          </w:p>
        </w:tc>
        <w:tc>
          <w:tcPr>
            <w:tcW w:w="0" w:type="auto"/>
            <w:vAlign w:val="center"/>
            <w:hideMark/>
          </w:tcPr>
          <w:p w:rsidR="00BB7EEF" w:rsidRDefault="00BB7EEF">
            <w:r>
              <w:t>funktionale Vergleichbarkeit</w:t>
            </w:r>
          </w:p>
        </w:tc>
        <w:tc>
          <w:tcPr>
            <w:tcW w:w="0" w:type="auto"/>
            <w:vAlign w:val="center"/>
            <w:hideMark/>
          </w:tcPr>
          <w:p w:rsidR="00BB7EEF" w:rsidRDefault="00BB7EEF">
            <w:r>
              <w:rPr>
                <w:rStyle w:val="Fett"/>
              </w:rPr>
              <w:t>Definition</w:t>
            </w:r>
          </w:p>
        </w:tc>
      </w:tr>
      <w:tr w:rsidR="00BB7EEF" w:rsidTr="00BB7EEF">
        <w:trPr>
          <w:tblCellSpacing w:w="15" w:type="dxa"/>
        </w:trPr>
        <w:tc>
          <w:tcPr>
            <w:tcW w:w="0" w:type="auto"/>
            <w:vAlign w:val="center"/>
            <w:hideMark/>
          </w:tcPr>
          <w:p w:rsidR="00BB7EEF" w:rsidRDefault="00BB7EEF">
            <w:r>
              <w:t>(K_F)</w:t>
            </w:r>
          </w:p>
        </w:tc>
        <w:tc>
          <w:tcPr>
            <w:tcW w:w="0" w:type="auto"/>
            <w:vAlign w:val="center"/>
            <w:hideMark/>
          </w:tcPr>
          <w:p w:rsidR="00BB7EEF" w:rsidRDefault="00BB7EEF">
            <w:r>
              <w:t>funktionale Konsistenz</w:t>
            </w:r>
          </w:p>
        </w:tc>
        <w:tc>
          <w:tcPr>
            <w:tcW w:w="0" w:type="auto"/>
            <w:vAlign w:val="center"/>
            <w:hideMark/>
          </w:tcPr>
          <w:p w:rsidR="00BB7EEF" w:rsidRDefault="00BB7EEF">
            <w:r>
              <w:rPr>
                <w:rStyle w:val="Fett"/>
              </w:rPr>
              <w:t>Definition</w:t>
            </w:r>
          </w:p>
        </w:tc>
      </w:tr>
      <w:tr w:rsidR="00BB7EEF" w:rsidTr="00BB7EEF">
        <w:trPr>
          <w:tblCellSpacing w:w="15" w:type="dxa"/>
        </w:trPr>
        <w:tc>
          <w:tcPr>
            <w:tcW w:w="0" w:type="auto"/>
            <w:vAlign w:val="center"/>
            <w:hideMark/>
          </w:tcPr>
          <w:p w:rsidR="00BB7EEF" w:rsidRDefault="00BB7EEF">
            <w:r>
              <w:t>(\kappa) abstrakt</w:t>
            </w:r>
          </w:p>
        </w:tc>
        <w:tc>
          <w:tcPr>
            <w:tcW w:w="0" w:type="auto"/>
            <w:vAlign w:val="center"/>
            <w:hideMark/>
          </w:tcPr>
          <w:p w:rsidR="00BB7EEF" w:rsidRDefault="00BB7EEF">
            <w:r>
              <w:t>funktionale Kopplung</w:t>
            </w:r>
          </w:p>
        </w:tc>
        <w:tc>
          <w:tcPr>
            <w:tcW w:w="0" w:type="auto"/>
            <w:vAlign w:val="center"/>
            <w:hideMark/>
          </w:tcPr>
          <w:p w:rsidR="00BB7EEF" w:rsidRDefault="00BB7EEF">
            <w:r>
              <w:rPr>
                <w:rStyle w:val="Fett"/>
              </w:rPr>
              <w:t>Definition</w:t>
            </w:r>
          </w:p>
        </w:tc>
      </w:tr>
      <w:tr w:rsidR="00BB7EEF" w:rsidTr="00BB7EEF">
        <w:trPr>
          <w:tblCellSpacing w:w="15" w:type="dxa"/>
        </w:trPr>
        <w:tc>
          <w:tcPr>
            <w:tcW w:w="0" w:type="auto"/>
            <w:vAlign w:val="center"/>
            <w:hideMark/>
          </w:tcPr>
          <w:p w:rsidR="00BB7EEF" w:rsidRDefault="00BB7EEF">
            <w:r>
              <w:t>konkrete (\kappa)-Form</w:t>
            </w:r>
          </w:p>
        </w:tc>
        <w:tc>
          <w:tcPr>
            <w:tcW w:w="0" w:type="auto"/>
            <w:vAlign w:val="center"/>
            <w:hideMark/>
          </w:tcPr>
          <w:p w:rsidR="00BB7EEF" w:rsidRDefault="00BB7EEF">
            <w:r>
              <w:t>konkrete Kopplungsstruktur</w:t>
            </w:r>
          </w:p>
        </w:tc>
        <w:tc>
          <w:tcPr>
            <w:tcW w:w="0" w:type="auto"/>
            <w:vAlign w:val="center"/>
            <w:hideMark/>
          </w:tcPr>
          <w:p w:rsidR="00BB7EEF" w:rsidRDefault="00BB7EEF">
            <w:r>
              <w:rPr>
                <w:rStyle w:val="Fett"/>
              </w:rPr>
              <w:t>Modellannahme</w:t>
            </w:r>
          </w:p>
        </w:tc>
      </w:tr>
      <w:tr w:rsidR="00BB7EEF" w:rsidTr="00BB7EEF">
        <w:trPr>
          <w:tblCellSpacing w:w="15" w:type="dxa"/>
        </w:trPr>
        <w:tc>
          <w:tcPr>
            <w:tcW w:w="0" w:type="auto"/>
            <w:vAlign w:val="center"/>
            <w:hideMark/>
          </w:tcPr>
          <w:p w:rsidR="00BB7EEF" w:rsidRDefault="00BB7EEF">
            <w:r>
              <w:t>(C_F(X_i,X_j;z))</w:t>
            </w:r>
          </w:p>
        </w:tc>
        <w:tc>
          <w:tcPr>
            <w:tcW w:w="0" w:type="auto"/>
            <w:vAlign w:val="center"/>
            <w:hideMark/>
          </w:tcPr>
          <w:p w:rsidR="00BB7EEF" w:rsidRDefault="00BB7EEF">
            <w:r>
              <w:t>lokale funktionale Kohärenz</w:t>
            </w:r>
          </w:p>
        </w:tc>
        <w:tc>
          <w:tcPr>
            <w:tcW w:w="0" w:type="auto"/>
            <w:vAlign w:val="center"/>
            <w:hideMark/>
          </w:tcPr>
          <w:p w:rsidR="00BB7EEF" w:rsidRDefault="00BB7EEF">
            <w:r>
              <w:rPr>
                <w:rStyle w:val="Fett"/>
              </w:rPr>
              <w:t>Definition</w:t>
            </w:r>
          </w:p>
        </w:tc>
      </w:tr>
      <w:tr w:rsidR="00BB7EEF" w:rsidTr="00BB7EEF">
        <w:trPr>
          <w:tblCellSpacing w:w="15" w:type="dxa"/>
        </w:trPr>
        <w:tc>
          <w:tcPr>
            <w:tcW w:w="0" w:type="auto"/>
            <w:vAlign w:val="center"/>
            <w:hideMark/>
          </w:tcPr>
          <w:p w:rsidR="00BB7EEF" w:rsidRDefault="00BB7EEF">
            <w:r>
              <w:t>(C_F(\mathcal S_C;z))</w:t>
            </w:r>
          </w:p>
        </w:tc>
        <w:tc>
          <w:tcPr>
            <w:tcW w:w="0" w:type="auto"/>
            <w:vAlign w:val="center"/>
            <w:hideMark/>
          </w:tcPr>
          <w:p w:rsidR="00BB7EEF" w:rsidRDefault="00BB7EEF">
            <w:r>
              <w:t>Kohärenz eines Teilverbandes</w:t>
            </w:r>
          </w:p>
        </w:tc>
        <w:tc>
          <w:tcPr>
            <w:tcW w:w="0" w:type="auto"/>
            <w:vAlign w:val="center"/>
            <w:hideMark/>
          </w:tcPr>
          <w:p w:rsidR="00BB7EEF" w:rsidRDefault="00BB7EEF">
            <w:r>
              <w:rPr>
                <w:rStyle w:val="Fett"/>
              </w:rPr>
              <w:t>abgeleitet</w:t>
            </w:r>
          </w:p>
        </w:tc>
      </w:tr>
      <w:tr w:rsidR="00BB7EEF" w:rsidTr="00BB7EEF">
        <w:trPr>
          <w:tblCellSpacing w:w="15" w:type="dxa"/>
        </w:trPr>
        <w:tc>
          <w:tcPr>
            <w:tcW w:w="0" w:type="auto"/>
            <w:vAlign w:val="center"/>
            <w:hideMark/>
          </w:tcPr>
          <w:p w:rsidR="00BB7EEF" w:rsidRDefault="00BB7EEF">
            <w:r>
              <w:t>(\mathcal A_C)</w:t>
            </w:r>
          </w:p>
        </w:tc>
        <w:tc>
          <w:tcPr>
            <w:tcW w:w="0" w:type="auto"/>
            <w:vAlign w:val="center"/>
            <w:hideMark/>
          </w:tcPr>
          <w:p w:rsidR="00BB7EEF" w:rsidRDefault="00BB7EEF">
            <w:r>
              <w:t>Aggregation lokaler Kohärenzen</w:t>
            </w:r>
          </w:p>
        </w:tc>
        <w:tc>
          <w:tcPr>
            <w:tcW w:w="0" w:type="auto"/>
            <w:vAlign w:val="center"/>
            <w:hideMark/>
          </w:tcPr>
          <w:p w:rsidR="00BB7EEF" w:rsidRDefault="00BB7EEF">
            <w:r>
              <w:rPr>
                <w:rStyle w:val="Fett"/>
              </w:rPr>
              <w:t>Modellannahme</w:t>
            </w:r>
          </w:p>
        </w:tc>
      </w:tr>
      <w:tr w:rsidR="00BB7EEF" w:rsidTr="00BB7EEF">
        <w:trPr>
          <w:tblCellSpacing w:w="15" w:type="dxa"/>
        </w:trPr>
        <w:tc>
          <w:tcPr>
            <w:tcW w:w="0" w:type="auto"/>
            <w:vAlign w:val="center"/>
            <w:hideMark/>
          </w:tcPr>
          <w:p w:rsidR="00BB7EEF" w:rsidRDefault="00BB7EEF">
            <w:r>
              <w:t>(R_F)</w:t>
            </w:r>
          </w:p>
        </w:tc>
        <w:tc>
          <w:tcPr>
            <w:tcW w:w="0" w:type="auto"/>
            <w:vAlign w:val="center"/>
            <w:hideMark/>
          </w:tcPr>
          <w:p w:rsidR="00BB7EEF" w:rsidRDefault="00BB7EEF">
            <w:r>
              <w:t>Realisierbarkeitsbegriff</w:t>
            </w:r>
          </w:p>
        </w:tc>
        <w:tc>
          <w:tcPr>
            <w:tcW w:w="0" w:type="auto"/>
            <w:vAlign w:val="center"/>
            <w:hideMark/>
          </w:tcPr>
          <w:p w:rsidR="00BB7EEF" w:rsidRDefault="00BB7EEF">
            <w:r>
              <w:rPr>
                <w:rStyle w:val="Fett"/>
              </w:rPr>
              <w:t>Definition</w:t>
            </w:r>
          </w:p>
        </w:tc>
      </w:tr>
      <w:tr w:rsidR="00BB7EEF" w:rsidTr="00BB7EEF">
        <w:trPr>
          <w:tblCellSpacing w:w="15" w:type="dxa"/>
        </w:trPr>
        <w:tc>
          <w:tcPr>
            <w:tcW w:w="0" w:type="auto"/>
            <w:vAlign w:val="center"/>
            <w:hideMark/>
          </w:tcPr>
          <w:p w:rsidR="00BB7EEF" w:rsidRDefault="00BB7EEF">
            <w:r>
              <w:t>(\theta_C)</w:t>
            </w:r>
          </w:p>
        </w:tc>
        <w:tc>
          <w:tcPr>
            <w:tcW w:w="0" w:type="auto"/>
            <w:vAlign w:val="center"/>
            <w:hideMark/>
          </w:tcPr>
          <w:p w:rsidR="00BB7EEF" w:rsidRDefault="00BB7EEF">
            <w:r>
              <w:t>Kohärenzschwelle</w:t>
            </w:r>
          </w:p>
        </w:tc>
        <w:tc>
          <w:tcPr>
            <w:tcW w:w="0" w:type="auto"/>
            <w:vAlign w:val="center"/>
            <w:hideMark/>
          </w:tcPr>
          <w:p w:rsidR="00BB7EEF" w:rsidRDefault="00BB7EEF">
            <w:r>
              <w:rPr>
                <w:rStyle w:val="Fett"/>
              </w:rPr>
              <w:t>Modellannahme / Operationalisierung</w:t>
            </w:r>
          </w:p>
        </w:tc>
      </w:tr>
      <w:tr w:rsidR="00BB7EEF" w:rsidTr="00BB7EEF">
        <w:trPr>
          <w:tblCellSpacing w:w="15" w:type="dxa"/>
        </w:trPr>
        <w:tc>
          <w:tcPr>
            <w:tcW w:w="0" w:type="auto"/>
            <w:vAlign w:val="center"/>
            <w:hideMark/>
          </w:tcPr>
          <w:p w:rsidR="00BB7EEF" w:rsidRDefault="00BB7EEF">
            <w:r>
              <w:t>(\widehat C_F)</w:t>
            </w:r>
          </w:p>
        </w:tc>
        <w:tc>
          <w:tcPr>
            <w:tcW w:w="0" w:type="auto"/>
            <w:vAlign w:val="center"/>
            <w:hideMark/>
          </w:tcPr>
          <w:p w:rsidR="00BB7EEF" w:rsidRDefault="00BB7EEF">
            <w:r>
              <w:t>empirischer Kohärenzschätzer</w:t>
            </w:r>
          </w:p>
        </w:tc>
        <w:tc>
          <w:tcPr>
            <w:tcW w:w="0" w:type="auto"/>
            <w:vAlign w:val="center"/>
            <w:hideMark/>
          </w:tcPr>
          <w:p w:rsidR="00BB7EEF" w:rsidRDefault="00BB7EEF">
            <w:r>
              <w:rPr>
                <w:rStyle w:val="Fett"/>
              </w:rPr>
              <w:t>Operationalisierung</w:t>
            </w:r>
          </w:p>
        </w:tc>
      </w:tr>
      <w:tr w:rsidR="00BB7EEF" w:rsidTr="00BB7EEF">
        <w:trPr>
          <w:tblCellSpacing w:w="15" w:type="dxa"/>
        </w:trPr>
        <w:tc>
          <w:tcPr>
            <w:tcW w:w="0" w:type="auto"/>
            <w:vAlign w:val="center"/>
            <w:hideMark/>
          </w:tcPr>
          <w:p w:rsidR="00BB7EEF" w:rsidRDefault="00BB7EEF">
            <w:r>
              <w:t>(\operatorname{Pres}(C_F))</w:t>
            </w:r>
          </w:p>
        </w:tc>
        <w:tc>
          <w:tcPr>
            <w:tcW w:w="0" w:type="auto"/>
            <w:vAlign w:val="center"/>
            <w:hideMark/>
          </w:tcPr>
          <w:p w:rsidR="00BB7EEF" w:rsidRDefault="00BB7EEF">
            <w:r>
              <w:t>kohärenzerhaltende Transformationen</w:t>
            </w:r>
          </w:p>
        </w:tc>
        <w:tc>
          <w:tcPr>
            <w:tcW w:w="0" w:type="auto"/>
            <w:vAlign w:val="center"/>
            <w:hideMark/>
          </w:tcPr>
          <w:p w:rsidR="00BB7EEF" w:rsidRDefault="00BB7EEF">
            <w:r>
              <w:rPr>
                <w:rStyle w:val="Fett"/>
              </w:rPr>
              <w:t>abgeleitet</w:t>
            </w:r>
          </w:p>
        </w:tc>
      </w:tr>
      <w:tr w:rsidR="00BB7EEF" w:rsidTr="00BB7EEF">
        <w:trPr>
          <w:tblCellSpacing w:w="15" w:type="dxa"/>
        </w:trPr>
        <w:tc>
          <w:tcPr>
            <w:tcW w:w="0" w:type="auto"/>
            <w:vAlign w:val="center"/>
            <w:hideMark/>
          </w:tcPr>
          <w:p w:rsidR="00BB7EEF" w:rsidRDefault="00BB7EEF">
            <w:r>
              <w:t>(\cong_F)</w:t>
            </w:r>
          </w:p>
        </w:tc>
        <w:tc>
          <w:tcPr>
            <w:tcW w:w="0" w:type="auto"/>
            <w:vAlign w:val="center"/>
            <w:hideMark/>
          </w:tcPr>
          <w:p w:rsidR="00BB7EEF" w:rsidRDefault="00BB7EEF">
            <w:r>
              <w:t>funktionale Isomorphie</w:t>
            </w:r>
          </w:p>
        </w:tc>
        <w:tc>
          <w:tcPr>
            <w:tcW w:w="0" w:type="auto"/>
            <w:vAlign w:val="center"/>
            <w:hideMark/>
          </w:tcPr>
          <w:p w:rsidR="00BB7EEF" w:rsidRDefault="00BB7EEF">
            <w:r>
              <w:rPr>
                <w:rStyle w:val="Fett"/>
              </w:rPr>
              <w:t>Definition</w:t>
            </w:r>
          </w:p>
        </w:tc>
      </w:tr>
      <w:tr w:rsidR="00BB7EEF" w:rsidTr="00BB7EEF">
        <w:trPr>
          <w:tblCellSpacing w:w="15" w:type="dxa"/>
        </w:trPr>
        <w:tc>
          <w:tcPr>
            <w:tcW w:w="0" w:type="auto"/>
            <w:vAlign w:val="center"/>
            <w:hideMark/>
          </w:tcPr>
          <w:p w:rsidR="00BB7EEF" w:rsidRDefault="00BB7EEF">
            <w:r>
              <w:t>(\Phi_C)</w:t>
            </w:r>
          </w:p>
        </w:tc>
        <w:tc>
          <w:tcPr>
            <w:tcW w:w="0" w:type="auto"/>
            <w:vAlign w:val="center"/>
            <w:hideMark/>
          </w:tcPr>
          <w:p w:rsidR="00BB7EEF" w:rsidRDefault="00BB7EEF">
            <w:r>
              <w:t>konkrete Kohärenzdynamik</w:t>
            </w:r>
          </w:p>
        </w:tc>
        <w:tc>
          <w:tcPr>
            <w:tcW w:w="0" w:type="auto"/>
            <w:vAlign w:val="center"/>
            <w:hideMark/>
          </w:tcPr>
          <w:p w:rsidR="00BB7EEF" w:rsidRDefault="00BB7EEF">
            <w:r>
              <w:rPr>
                <w:rStyle w:val="Fett"/>
              </w:rPr>
              <w:t>Modellannahme</w:t>
            </w:r>
          </w:p>
        </w:tc>
      </w:tr>
      <w:tr w:rsidR="00BB7EEF" w:rsidTr="00BB7EEF">
        <w:trPr>
          <w:tblCellSpacing w:w="15" w:type="dxa"/>
        </w:trPr>
        <w:tc>
          <w:tcPr>
            <w:tcW w:w="0" w:type="auto"/>
            <w:vAlign w:val="center"/>
            <w:hideMark/>
          </w:tcPr>
          <w:p w:rsidR="00BB7EEF" w:rsidRDefault="00BB7EEF">
            <w:r>
              <w:t>(C_F^\ast\mid\Phi_C)</w:t>
            </w:r>
          </w:p>
        </w:tc>
        <w:tc>
          <w:tcPr>
            <w:tcW w:w="0" w:type="auto"/>
            <w:vAlign w:val="center"/>
            <w:hideMark/>
          </w:tcPr>
          <w:p w:rsidR="00BB7EEF" w:rsidRDefault="00BB7EEF">
            <w:r>
              <w:t>stationärer Kohärenzzustand</w:t>
            </w:r>
          </w:p>
        </w:tc>
        <w:tc>
          <w:tcPr>
            <w:tcW w:w="0" w:type="auto"/>
            <w:vAlign w:val="center"/>
            <w:hideMark/>
          </w:tcPr>
          <w:p w:rsidR="00BB7EEF" w:rsidRDefault="00BB7EEF">
            <w:r>
              <w:rPr>
                <w:rStyle w:val="Fett"/>
              </w:rPr>
              <w:t>abgeleitet</w:t>
            </w:r>
          </w:p>
        </w:tc>
      </w:tr>
    </w:tbl>
    <w:p w:rsidR="00BB7EEF" w:rsidRDefault="00BB7EEF" w:rsidP="00BB7EEF">
      <w:pPr>
        <w:pStyle w:val="StandardWeb"/>
      </w:pPr>
      <w:r>
        <w:t>Formal kann ich diese Klassifikation als Abbildung</w:t>
      </w:r>
    </w:p>
    <w:p w:rsidR="00BB7EEF" w:rsidRDefault="00BB7EEF" w:rsidP="00BB7EEF">
      <w:pPr>
        <w:pStyle w:val="StandardWeb"/>
      </w:pPr>
      <w:r>
        <w:t>[</w:t>
      </w:r>
      <w:r>
        <w:br/>
        <w:t>\Sigma_C:</w:t>
      </w:r>
      <w:r>
        <w:br/>
        <w:t>\mathfrak O_C</w:t>
      </w:r>
      <w:r>
        <w:br/>
        <w:t>\longrightarrow</w:t>
      </w:r>
      <w:r>
        <w:br/>
        <w:t>\left{</w:t>
      </w:r>
      <w:r>
        <w:br/>
      </w:r>
      <w:r>
        <w:lastRenderedPageBreak/>
        <w:t>\mathrm{Def},</w:t>
      </w:r>
      <w:r>
        <w:br/>
        <w:t>\mathrm{Abl},</w:t>
      </w:r>
      <w:r>
        <w:br/>
        <w:t>\mathrm{Mod},</w:t>
      </w:r>
      <w:r>
        <w:br/>
        <w:t>\mathrm{Op},</w:t>
      </w:r>
      <w:r>
        <w:br/>
        <w:t>\mathrm{Ax}</w:t>
      </w:r>
      <w:r>
        <w:br/>
        <w:t>\right}</w:t>
      </w:r>
      <w:r>
        <w:br/>
        <w:t>\tag{3.9359}</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\Sigma_C:\mathfrak O_C\longrightarrow\left\{\mathrm{Def},\mathrm{Abl},\mathrm{Mod},\mathrm{Op},\mathrm{Ax}\right\}</w:t>
      </w:r>
    </w:p>
    <w:p w:rsidR="00BB7EEF" w:rsidRDefault="00BB7EEF" w:rsidP="00BB7EEF">
      <w:pPr>
        <w:pStyle w:val="StandardWeb"/>
      </w:pPr>
      <w:r>
        <w:t>zusammenfassen, wobei (\mathfrak O_C) die Menge der in diesem Abschnitt klassifizierten Kohärenzobjekte bezeichnet.</w:t>
      </w:r>
    </w:p>
    <w:p w:rsidR="00BB7EEF" w:rsidRDefault="00E50336" w:rsidP="00BB7EEF">
      <w:r>
        <w:pict>
          <v:rect id="_x0000_i2765" style="width:0;height:1.5pt" o:hralign="center" o:hrstd="t" o:hr="t" fillcolor="#a0a0a0" stroked="f"/>
        </w:pict>
      </w:r>
    </w:p>
    <w:p w:rsidR="00BB7EEF" w:rsidRDefault="00BB7EEF" w:rsidP="00BB7EEF">
      <w:pPr>
        <w:pStyle w:val="berschrift1"/>
      </w:pPr>
      <w:r>
        <w:t>3.3.43.601 Ergebnis der Statusprüfung</w:t>
      </w:r>
    </w:p>
    <w:p w:rsidR="00BB7EEF" w:rsidRDefault="00BB7EEF" w:rsidP="00BB7EEF">
      <w:pPr>
        <w:pStyle w:val="StandardWeb"/>
      </w:pPr>
      <w:r>
        <w:t xml:space="preserve">Die Statusmatrix zeigt insbesondere, dass die mathematische Ausführlichkeit des Kohärenzapparates </w:t>
      </w:r>
      <w:r>
        <w:rPr>
          <w:rStyle w:val="Fett"/>
        </w:rPr>
        <w:t>nicht</w:t>
      </w:r>
      <w:r>
        <w:t xml:space="preserve"> mit einer entsprechenden Anzahl fundamentaler Annahmen gleichgesetzt werden darf. Ein großer Teil der Struktur besteht aus Definitionen, mathematischen Ableitungen, Modellentscheidungen und später empirisch zu konkretisierenden Operationalisierungen.</w:t>
      </w:r>
    </w:p>
    <w:p w:rsidR="00BB7EEF" w:rsidRDefault="00BB7EEF" w:rsidP="00BB7EEF">
      <w:pPr>
        <w:pStyle w:val="StandardWeb"/>
      </w:pPr>
      <w:r>
        <w:t>Für die Menge der in diesem Abschnitt bestätigten Primäraxiome gilt daher weiterhin</w:t>
      </w:r>
    </w:p>
    <w:p w:rsidR="00BB7EEF" w:rsidRDefault="00BB7EEF" w:rsidP="00BB7EEF">
      <w:pPr>
        <w:pStyle w:val="StandardWeb"/>
      </w:pPr>
      <w:r>
        <w:t>[</w:t>
      </w:r>
      <w:r>
        <w:br/>
        <w:t>\mathfrak A_{3.3.43}={A_C}.</w:t>
      </w:r>
      <w:r>
        <w:br/>
        <w:t>\tag{3.9360}</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\mathfrak A_{3.3.43}=\{A_C\}</w:t>
      </w:r>
    </w:p>
    <w:p w:rsidR="00BB7EEF" w:rsidRDefault="00BB7EEF" w:rsidP="00BB7EEF">
      <w:pPr>
        <w:pStyle w:val="StandardWeb"/>
      </w:pPr>
      <w:r>
        <w:t>und damit</w:t>
      </w:r>
    </w:p>
    <w:p w:rsidR="00BB7EEF" w:rsidRDefault="00BB7EEF" w:rsidP="00BB7EEF">
      <w:pPr>
        <w:pStyle w:val="StandardWeb"/>
      </w:pPr>
      <w:r>
        <w:t>[</w:t>
      </w:r>
      <w:r>
        <w:br/>
        <w:t>\left|\mathfrak A_{3.3.43}\right|=1.</w:t>
      </w:r>
      <w:r>
        <w:br/>
        <w:t>\tag{3.9361}</w:t>
      </w:r>
      <w:r>
        <w:br/>
        <w:t>]</w:t>
      </w:r>
    </w:p>
    <w:p w:rsidR="00BB7EEF" w:rsidRDefault="00BB7EEF" w:rsidP="00BB7EEF">
      <w:pPr>
        <w:pStyle w:val="StandardWeb"/>
      </w:pPr>
      <w:r>
        <w:rPr>
          <w:rStyle w:val="Fett"/>
        </w:rPr>
        <w:t>Word-LaTeX</w:t>
      </w:r>
    </w:p>
    <w:p w:rsidR="00BB7EEF" w:rsidRDefault="00BB7EEF" w:rsidP="00BB7EEF">
      <w:pPr>
        <w:pStyle w:val="HTMLVorformatiert"/>
        <w:rPr>
          <w:rStyle w:val="HTMLCode"/>
        </w:rPr>
      </w:pPr>
      <w:r>
        <w:rPr>
          <w:rStyle w:val="HTMLCode"/>
        </w:rPr>
        <w:t>\left|\mathfrak A_{3.3.43}\right|=1</w:t>
      </w:r>
    </w:p>
    <w:p w:rsidR="00BB7EEF" w:rsidRDefault="00BB7EEF" w:rsidP="00BB7EEF">
      <w:pPr>
        <w:pStyle w:val="StandardWeb"/>
      </w:pPr>
      <w:r>
        <w:t xml:space="preserve">Damit ist die in 3.3.43.584 angekündigte </w:t>
      </w:r>
      <w:r>
        <w:rPr>
          <w:rStyle w:val="Fett"/>
        </w:rPr>
        <w:t>Statusprüfung der zentralen Kohärenzkonstruktionen</w:t>
      </w:r>
      <w:r>
        <w:t xml:space="preserve"> durchgeführt.</w:t>
      </w:r>
    </w:p>
    <w:p w:rsidR="00BB7EEF" w:rsidRDefault="00BB7EEF" w:rsidP="00BB7EEF">
      <w:pPr>
        <w:pStyle w:val="StandardWeb"/>
      </w:pPr>
      <w:r>
        <w:lastRenderedPageBreak/>
        <w:t xml:space="preserve">Der Gesamtabschnitt </w:t>
      </w:r>
      <w:r>
        <w:rPr>
          <w:rStyle w:val="Fett"/>
        </w:rPr>
        <w:t>3.3.43 ist an dieser Stelle jedoch noch nicht abgeschlossen</w:t>
      </w:r>
      <w:r>
        <w:t xml:space="preserve">. Als nächstes muss ich die Statusmatrix auf innere Widerspruchsfreiheit prüfen und insbesondere untersuchen, ob eine der als Definition, Ableitung, Modellannahme oder Operationalisierung klassifizierten Strukturen verdeckt eine zusätzliche Existenz- oder Universalbehauptung enthält und damit faktisch ein weiteres Primäraxiom darstellen würde. Erst nach dieser </w:t>
      </w:r>
      <w:r>
        <w:rPr>
          <w:rStyle w:val="Fett"/>
        </w:rPr>
        <w:t>Axiom-Minimalitätsprüfung</w:t>
      </w:r>
      <w:r>
        <w:t xml:space="preserve"> können die methodologischen und didaktischen Betrachtungen sowie der formale Abschluss von 3.3.43 folgen.</w:t>
      </w:r>
    </w:p>
    <w:p w:rsidR="00EA00D8" w:rsidRDefault="00EA00D8" w:rsidP="00EA00D8">
      <w:pPr>
        <w:pStyle w:val="berschrift1"/>
        <w:rPr>
          <w:rFonts w:cs="Times New Roman"/>
          <w:sz w:val="48"/>
          <w:szCs w:val="48"/>
        </w:rPr>
      </w:pPr>
      <w:r>
        <w:t>3.3.43.602 Prüfung auf verdeckte zusätzliche Primäraxiome</w:t>
      </w:r>
    </w:p>
    <w:p w:rsidR="00EA00D8" w:rsidRDefault="00EA00D8" w:rsidP="00EA00D8">
      <w:pPr>
        <w:pStyle w:val="StandardWeb"/>
      </w:pPr>
      <w:r>
        <w:t>Nachdem die zentralen Kohärenzstrukturen in 3.3.43.585–3.3.43.601 systematisch klassifiziert wurden, muss ich nun prüfen, ob einzelne als Definition, Ableitung, Modellannahme oder Operationalisierung eingeordnete Strukturen faktisch doch eine universelle oder existentielle Setzung enthalten. Eine solche versteckte Setzung wäre problematisch, weil sie die in 3.3.43.581–3.3.43.583 erreichte axiomatische Minimalität unterlaufen würde. [20]</w:t>
      </w:r>
    </w:p>
    <w:p w:rsidR="00EA00D8" w:rsidRDefault="00EA00D8" w:rsidP="00EA00D8">
      <w:pPr>
        <w:pStyle w:val="StandardWeb"/>
      </w:pPr>
      <w:r>
        <w:t>Ich definiere dafür eine Menge potentiell verdeckter Axiome</w:t>
      </w:r>
    </w:p>
    <w:p w:rsidR="00EA00D8" w:rsidRDefault="00EA00D8" w:rsidP="00EA00D8">
      <w:pPr>
        <w:pStyle w:val="berschrift1"/>
      </w:pPr>
      <w:r>
        <w:t>[</w:t>
      </w:r>
      <w:r>
        <w:br/>
        <w:t>\mathfrak H_C</w:t>
      </w:r>
    </w:p>
    <w:p w:rsidR="00EA00D8" w:rsidRDefault="00EA00D8" w:rsidP="00EA00D8">
      <w:pPr>
        <w:pStyle w:val="StandardWeb"/>
      </w:pPr>
      <w:r>
        <w:t>\left{</w:t>
      </w:r>
      <w:r>
        <w:br/>
        <w:t>X\in\mathfrak O_C:</w:t>
      </w:r>
      <w:r>
        <w:br/>
        <w:t>\operatorname{Stat}_C(X)\neq\mathrm{Ax}</w:t>
      </w:r>
      <w:r>
        <w:br/>
        <w:t>\land</w:t>
      </w:r>
      <w:r>
        <w:br/>
        <w:t>X\text{ enthält eine nicht abgeleitete universelle oder existentielle Setzung}</w:t>
      </w:r>
      <w:r>
        <w:br/>
        <w:t>\right}.</w:t>
      </w:r>
      <w:r>
        <w:br/>
        <w:t>\tag{3.9362}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H_C=\left\{X\in\mathfrak O_C:\operatorname{Stat}_C(X)\neq\mathrm{Ax}\land X\text{ enthält eine nicht abgeleitete universelle oder existentielle Setzung}\right\}</w:t>
      </w:r>
    </w:p>
    <w:p w:rsidR="00EA00D8" w:rsidRDefault="00EA00D8" w:rsidP="00EA00D8">
      <w:pPr>
        <w:pStyle w:val="StandardWeb"/>
      </w:pPr>
      <w:r>
        <w:t>Die gewünschte Bedingung lautet</w:t>
      </w:r>
    </w:p>
    <w:p w:rsidR="00EA00D8" w:rsidRDefault="00EA00D8" w:rsidP="00EA00D8">
      <w:pPr>
        <w:pStyle w:val="StandardWeb"/>
      </w:pPr>
      <w:r>
        <w:t>[</w:t>
      </w:r>
      <w:r>
        <w:br/>
        <w:t>\boxed{</w:t>
      </w:r>
      <w:r>
        <w:br/>
        <w:t>\mathfrak H_C=\varnothing.</w:t>
      </w:r>
      <w:r>
        <w:br/>
        <w:t>}</w:t>
      </w:r>
      <w:r>
        <w:br/>
        <w:t>\tag{3.9363}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lastRenderedPageBreak/>
        <w:t>\boxed{\mathfrak H_C=\varnothing.}</w:t>
      </w:r>
    </w:p>
    <w:p w:rsidR="00EA00D8" w:rsidRDefault="00EA00D8" w:rsidP="00EA00D8">
      <w:pPr>
        <w:pStyle w:val="StandardWeb"/>
      </w:pPr>
      <w:r>
        <w:t>Damit wäre sichergestellt, dass außer (A_C) keine weitere Kohärenzstruktur verdeckt axiomatischen Charakter besitzt.</w:t>
      </w:r>
    </w:p>
    <w:p w:rsidR="00EA00D8" w:rsidRDefault="00E50336" w:rsidP="00EA00D8">
      <w:r>
        <w:pict>
          <v:rect id="_x0000_i2766" style="width:0;height:1.5pt" o:hralign="center" o:hrstd="t" o:hr="t" fillcolor="#a0a0a0" stroked="f"/>
        </w:pict>
      </w:r>
    </w:p>
    <w:p w:rsidR="00EA00D8" w:rsidRDefault="00EA00D8" w:rsidP="00EA00D8">
      <w:pPr>
        <w:pStyle w:val="berschrift1"/>
      </w:pPr>
      <w:r>
        <w:t>3.3.43.603 Prüfregel für verdeckte Axiome</w:t>
      </w:r>
    </w:p>
    <w:p w:rsidR="00EA00D8" w:rsidRDefault="00EA00D8" w:rsidP="00EA00D8">
      <w:pPr>
        <w:pStyle w:val="StandardWeb"/>
      </w:pPr>
      <w:r>
        <w:t>Für jedes Objekt (X) mit</w:t>
      </w:r>
    </w:p>
    <w:p w:rsidR="00EA00D8" w:rsidRDefault="00EA00D8" w:rsidP="00EA00D8">
      <w:pPr>
        <w:pStyle w:val="StandardWeb"/>
      </w:pPr>
      <w:r>
        <w:t>[</w:t>
      </w:r>
      <w:r>
        <w:br/>
        <w:t>\operatorname{Stat}_C(X)\neq\mathrm{Ax}</w:t>
      </w:r>
      <w:r>
        <w:br/>
        <w:t>\tag{3.9364}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\operatorname{Stat}_C(X)\neq\mathrm{Ax}</w:t>
      </w:r>
    </w:p>
    <w:p w:rsidR="00EA00D8" w:rsidRDefault="00EA00D8" w:rsidP="00EA00D8">
      <w:pPr>
        <w:pStyle w:val="StandardWeb"/>
      </w:pPr>
      <w:r>
        <w:t>prüfe ich deshalb, ob aus seiner Verwendung innerhalb des FRZK implizit eine Aussage der Form</w:t>
      </w:r>
    </w:p>
    <w:p w:rsidR="00EA00D8" w:rsidRDefault="00EA00D8" w:rsidP="00EA00D8">
      <w:pPr>
        <w:pStyle w:val="StandardWeb"/>
      </w:pPr>
      <w:r>
        <w:t>[</w:t>
      </w:r>
      <w:r>
        <w:br/>
        <w:t>\forall\mathcal M\in\mathfrak M_{\mathrm{FRZK}}:</w:t>
      </w:r>
      <w:r>
        <w:br/>
        <w:t>\mathcal M\models X</w:t>
      </w:r>
      <w:r>
        <w:br/>
        <w:t>\tag{3.9365}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\forall\mathcal M\in\mathfrak M_{\mathrm{FRZK}}:\mathcal M\models X</w:t>
      </w:r>
    </w:p>
    <w:p w:rsidR="00EA00D8" w:rsidRDefault="00EA00D8" w:rsidP="00EA00D8">
      <w:pPr>
        <w:pStyle w:val="StandardWeb"/>
      </w:pPr>
      <w:r>
        <w:t>oder</w:t>
      </w:r>
    </w:p>
    <w:p w:rsidR="00EA00D8" w:rsidRDefault="00EA00D8" w:rsidP="00EA00D8">
      <w:pPr>
        <w:pStyle w:val="StandardWeb"/>
      </w:pPr>
      <w:r>
        <w:t>[</w:t>
      </w:r>
      <w:r>
        <w:br/>
        <w:t>\exists X</w:t>
      </w:r>
      <w:r>
        <w:br/>
        <w:t>\tag{3.9366}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\exists X</w:t>
      </w:r>
    </w:p>
    <w:p w:rsidR="00EA00D8" w:rsidRDefault="00EA00D8" w:rsidP="00EA00D8">
      <w:pPr>
        <w:pStyle w:val="StandardWeb"/>
      </w:pPr>
      <w:r>
        <w:t>ohne Ableitung aus (A_C) oder anderen ausdrücklich ausgewiesenen Voraussetzungen vorausgesetzt wird.</w:t>
      </w:r>
    </w:p>
    <w:p w:rsidR="00EA00D8" w:rsidRDefault="00EA00D8" w:rsidP="00EA00D8">
      <w:pPr>
        <w:pStyle w:val="StandardWeb"/>
      </w:pPr>
      <w:r>
        <w:t>Ist dies der Fall, liegt ein Kandidat für ein verdecktes Primäraxiom vor.</w:t>
      </w:r>
    </w:p>
    <w:p w:rsidR="00EA00D8" w:rsidRDefault="00E50336" w:rsidP="00EA00D8">
      <w:r>
        <w:pict>
          <v:rect id="_x0000_i2767" style="width:0;height:1.5pt" o:hralign="center" o:hrstd="t" o:hr="t" fillcolor="#a0a0a0" stroked="f"/>
        </w:pict>
      </w:r>
    </w:p>
    <w:p w:rsidR="00EA00D8" w:rsidRDefault="00EA00D8" w:rsidP="00EA00D8">
      <w:pPr>
        <w:pStyle w:val="berschrift1"/>
      </w:pPr>
      <w:r>
        <w:lastRenderedPageBreak/>
        <w:t>3.3.43.604 Definition 3.3.69 – Verdecktes Primäraxiom</w:t>
      </w:r>
    </w:p>
    <w:p w:rsidR="00EA00D8" w:rsidRDefault="00EA00D8" w:rsidP="00EA00D8">
      <w:pPr>
        <w:pStyle w:val="berschrift3"/>
      </w:pPr>
      <w:r>
        <w:t>Definition 3.3.69</w:t>
      </w:r>
    </w:p>
    <w:p w:rsidR="00EA00D8" w:rsidRDefault="00EA00D8" w:rsidP="00EA00D8">
      <w:pPr>
        <w:pStyle w:val="StandardWeb"/>
      </w:pPr>
      <w:r>
        <w:t xml:space="preserve">Eine theoretische Aussage (X) heißt </w:t>
      </w:r>
      <w:r>
        <w:rPr>
          <w:rStyle w:val="Fett"/>
        </w:rPr>
        <w:t>verdecktes Primäraxiom</w:t>
      </w:r>
      <w:r>
        <w:t>, wenn sie formal nicht als Primäraxiom ausgewiesen ist, aber für sämtliche zulässigen Modelle der Theorie vorausgesetzt wird und zugleich nicht aus den ausdrücklich angegebenen Primäraxiomen abgeleitet werden kann.</w:t>
      </w:r>
    </w:p>
    <w:p w:rsidR="00EA00D8" w:rsidRDefault="00EA00D8" w:rsidP="00EA00D8">
      <w:pPr>
        <w:pStyle w:val="StandardWeb"/>
      </w:pPr>
      <w:r>
        <w:t>Formal:</w:t>
      </w:r>
    </w:p>
    <w:p w:rsidR="00EA00D8" w:rsidRDefault="00EA00D8" w:rsidP="00EA00D8">
      <w:pPr>
        <w:pStyle w:val="StandardWeb"/>
      </w:pPr>
      <w:r>
        <w:t>[</w:t>
      </w:r>
      <w:r>
        <w:br/>
        <w:t>H_{\mathrm{Ax}}(X)=1</w:t>
      </w:r>
      <w:r>
        <w:br/>
        <w:t>\Longleftrightarrow</w:t>
      </w:r>
      <w:r>
        <w:br/>
        <w:t>\left[</w:t>
      </w:r>
      <w:r>
        <w:br/>
        <w:t>\forall\mathcal M\in\mathfrak M_{\mathrm{FRZK}}:</w:t>
      </w:r>
      <w:r>
        <w:br/>
        <w:t>\mathcal M\models X</w:t>
      </w:r>
      <w:r>
        <w:br/>
        <w:t>\right]</w:t>
      </w:r>
      <w:r>
        <w:br/>
        <w:t>\land</w:t>
      </w:r>
      <w:r>
        <w:br/>
        <w:t>\left[</w:t>
      </w:r>
      <w:r>
        <w:br/>
        <w:t>\mathfrak A_{F,\mathrm{prim}}\nvdash X</w:t>
      </w:r>
      <w:r>
        <w:br/>
        <w:t>\right].</w:t>
      </w:r>
      <w:r>
        <w:br/>
        <w:t>\tag{3.9367}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H_{\mathrm{Ax}}(X)=1\Longleftrightarrow\left[\forall\mathcal M\in\mathfrak M_{\mathrm{FRZK}}:\mathcal M\models X\right]\land\left[\mathfrak A_{F,\mathrm{prim}}\nvdash X\right]</w:t>
      </w:r>
    </w:p>
    <w:p w:rsidR="00EA00D8" w:rsidRDefault="00EA00D8" w:rsidP="00EA00D8">
      <w:pPr>
        <w:pStyle w:val="StandardWeb"/>
      </w:pPr>
      <w:r>
        <w:t>Für eine axiomatisch transparente Theorie fordere ich</w:t>
      </w:r>
    </w:p>
    <w:p w:rsidR="00EA00D8" w:rsidRDefault="00EA00D8" w:rsidP="00EA00D8">
      <w:pPr>
        <w:pStyle w:val="StandardWeb"/>
      </w:pPr>
      <w:r>
        <w:t>[</w:t>
      </w:r>
      <w:r>
        <w:br/>
        <w:t>H_{\mathrm{Ax}}(X)=0</w:t>
      </w:r>
      <w:r>
        <w:br/>
        <w:t>\qquad</w:t>
      </w:r>
      <w:r>
        <w:br/>
        <w:t>\forall X\neq A_C</w:t>
      </w:r>
      <w:r>
        <w:br/>
        <w:t>\tag{3.9368}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H_{\mathrm{Ax}}(X)=0\qquad\forall X\neq A_C</w:t>
      </w:r>
    </w:p>
    <w:p w:rsidR="00EA00D8" w:rsidRDefault="00EA00D8" w:rsidP="00EA00D8">
      <w:pPr>
        <w:pStyle w:val="StandardWeb"/>
      </w:pPr>
      <w:r>
        <w:t>innerhalb der in 3.3.43 eingeführten Kohärenzarchitektur.</w:t>
      </w:r>
    </w:p>
    <w:p w:rsidR="00EA00D8" w:rsidRDefault="00E50336" w:rsidP="00EA00D8">
      <w:r>
        <w:pict>
          <v:rect id="_x0000_i2768" style="width:0;height:1.5pt" o:hralign="center" o:hrstd="t" o:hr="t" fillcolor="#a0a0a0" stroked="f"/>
        </w:pict>
      </w:r>
    </w:p>
    <w:p w:rsidR="00EA00D8" w:rsidRDefault="00EA00D8" w:rsidP="00EA00D8">
      <w:pPr>
        <w:pStyle w:val="berschrift1"/>
      </w:pPr>
      <w:r>
        <w:t>3.3.43.605 Prüfung der Vergleichbarkeit</w:t>
      </w:r>
    </w:p>
    <w:p w:rsidR="00EA00D8" w:rsidRDefault="00EA00D8" w:rsidP="00EA00D8">
      <w:pPr>
        <w:pStyle w:val="StandardWeb"/>
      </w:pPr>
      <w:r>
        <w:lastRenderedPageBreak/>
        <w:t>Die funktionale Vergleichbarkeit (\mathcal C) ist als Begriff definiert. Daraus folgt nicht, dass alle theoretischen Größen vergleichbar sein müssen.</w:t>
      </w:r>
    </w:p>
    <w:p w:rsidR="00EA00D8" w:rsidRDefault="00EA00D8" w:rsidP="00EA00D8">
      <w:pPr>
        <w:pStyle w:val="StandardWeb"/>
      </w:pPr>
      <w:r>
        <w:t>Insbesondere gilt nicht</w:t>
      </w:r>
    </w:p>
    <w:p w:rsidR="00EA00D8" w:rsidRDefault="00EA00D8" w:rsidP="00EA00D8">
      <w:pPr>
        <w:pStyle w:val="StandardWeb"/>
      </w:pPr>
      <w:r>
        <w:t>[</w:t>
      </w:r>
      <w:r>
        <w:br/>
        <w:t>\forall X_i,X_j:</w:t>
      </w:r>
      <w:r>
        <w:br/>
        <w:t>\mathcal C(X_i,X_j)=1.</w:t>
      </w:r>
      <w:r>
        <w:br/>
        <w:t>\tag{3.9369}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\forall X_i,X_j:\mathcal C(X_i,X_j)=1</w:t>
      </w:r>
    </w:p>
    <w:p w:rsidR="00EA00D8" w:rsidRDefault="00EA00D8" w:rsidP="00EA00D8">
      <w:pPr>
        <w:pStyle w:val="StandardWeb"/>
      </w:pPr>
      <w:r>
        <w:t>Die Definition erlaubt ausdrücklich</w:t>
      </w:r>
    </w:p>
    <w:p w:rsidR="00EA00D8" w:rsidRDefault="00EA00D8" w:rsidP="00EA00D8">
      <w:pPr>
        <w:pStyle w:val="StandardWeb"/>
      </w:pPr>
      <w:r>
        <w:t>[</w:t>
      </w:r>
      <w:r>
        <w:br/>
        <w:t>\mathcal C(X_i,X_j)=0.</w:t>
      </w:r>
      <w:r>
        <w:br/>
        <w:t>\tag{3.9370}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\mathcal C(X_i,X_j)=0</w:t>
      </w:r>
    </w:p>
    <w:p w:rsidR="00EA00D8" w:rsidRDefault="00EA00D8" w:rsidP="00EA00D8">
      <w:pPr>
        <w:pStyle w:val="StandardWeb"/>
      </w:pPr>
      <w:r>
        <w:t>für nicht vergleichbare Größen.</w:t>
      </w:r>
    </w:p>
    <w:p w:rsidR="00EA00D8" w:rsidRDefault="00EA00D8" w:rsidP="00EA00D8">
      <w:pPr>
        <w:pStyle w:val="StandardWeb"/>
      </w:pPr>
      <w:r>
        <w:t>Daher gilt</w:t>
      </w:r>
    </w:p>
    <w:p w:rsidR="00EA00D8" w:rsidRDefault="00EA00D8" w:rsidP="00EA00D8">
      <w:pPr>
        <w:pStyle w:val="StandardWeb"/>
      </w:pPr>
      <w:r>
        <w:t>[</w:t>
      </w:r>
      <w:r>
        <w:br/>
        <w:t>H_{\mathrm{Ax}}(\mathcal C)=0.</w:t>
      </w:r>
      <w:r>
        <w:br/>
        <w:t>\tag{3.9371}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H_{\mathrm{Ax}}(\mathcal C)=0</w:t>
      </w:r>
    </w:p>
    <w:p w:rsidR="00EA00D8" w:rsidRDefault="00EA00D8" w:rsidP="00EA00D8">
      <w:pPr>
        <w:pStyle w:val="StandardWeb"/>
      </w:pPr>
      <w:r>
        <w:t>Die Vergleichbarkeit ist somit kein verdecktes Primäraxiom.</w:t>
      </w:r>
    </w:p>
    <w:p w:rsidR="00EA00D8" w:rsidRDefault="00E50336" w:rsidP="00EA00D8">
      <w:r>
        <w:pict>
          <v:rect id="_x0000_i2769" style="width:0;height:1.5pt" o:hralign="center" o:hrstd="t" o:hr="t" fillcolor="#a0a0a0" stroked="f"/>
        </w:pict>
      </w:r>
    </w:p>
    <w:p w:rsidR="00EA00D8" w:rsidRDefault="00EA00D8" w:rsidP="00EA00D8">
      <w:pPr>
        <w:pStyle w:val="berschrift1"/>
      </w:pPr>
      <w:r>
        <w:t>3.3.43.606 Prüfung der funktionalen Konsistenz</w:t>
      </w:r>
    </w:p>
    <w:p w:rsidR="00EA00D8" w:rsidRDefault="00EA00D8" w:rsidP="00EA00D8">
      <w:pPr>
        <w:pStyle w:val="StandardWeb"/>
      </w:pPr>
      <w:r>
        <w:t>Auch die funktionale Konsistenz (K_F) wird nicht universell vorausgesetzt.</w:t>
      </w:r>
    </w:p>
    <w:p w:rsidR="00EA00D8" w:rsidRDefault="00EA00D8" w:rsidP="00EA00D8">
      <w:pPr>
        <w:pStyle w:val="StandardWeb"/>
      </w:pPr>
      <w:r>
        <w:t>Aus der Definition folgt insbesondere nicht</w:t>
      </w:r>
    </w:p>
    <w:p w:rsidR="00EA00D8" w:rsidRDefault="00EA00D8" w:rsidP="00EA00D8">
      <w:pPr>
        <w:pStyle w:val="StandardWeb"/>
      </w:pPr>
      <w:r>
        <w:t>[</w:t>
      </w:r>
      <w:r>
        <w:br/>
        <w:t>\forall X_i,X_j,z:</w:t>
      </w:r>
      <w:r>
        <w:br/>
      </w:r>
      <w:r>
        <w:lastRenderedPageBreak/>
        <w:t>K_F(X_i,X_j;z)=1.</w:t>
      </w:r>
      <w:r>
        <w:br/>
        <w:t>\tag{3.9372}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\forall X_i,X_j,z:K_F(X_i,X_j;z)=1</w:t>
      </w:r>
    </w:p>
    <w:p w:rsidR="00EA00D8" w:rsidRDefault="00EA00D8" w:rsidP="00EA00D8">
      <w:pPr>
        <w:pStyle w:val="StandardWeb"/>
      </w:pPr>
      <w:r>
        <w:t>Inkonsistente Relationen bleiben zulässig:</w:t>
      </w:r>
    </w:p>
    <w:p w:rsidR="00EA00D8" w:rsidRDefault="00EA00D8" w:rsidP="00EA00D8">
      <w:pPr>
        <w:pStyle w:val="StandardWeb"/>
      </w:pPr>
      <w:r>
        <w:t>[</w:t>
      </w:r>
      <w:r>
        <w:br/>
        <w:t>K_F(X_i,X_j;z)=0.</w:t>
      </w:r>
      <w:r>
        <w:br/>
        <w:t>\tag{3.9373}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K_F(X_i,X_j;z)=0</w:t>
      </w:r>
    </w:p>
    <w:p w:rsidR="00EA00D8" w:rsidRDefault="00EA00D8" w:rsidP="00EA00D8">
      <w:pPr>
        <w:pStyle w:val="StandardWeb"/>
      </w:pPr>
      <w:r>
        <w:t>Damit gilt</w:t>
      </w:r>
    </w:p>
    <w:p w:rsidR="00EA00D8" w:rsidRDefault="00EA00D8" w:rsidP="00EA00D8">
      <w:pPr>
        <w:pStyle w:val="StandardWeb"/>
      </w:pPr>
      <w:r>
        <w:t>[</w:t>
      </w:r>
      <w:r>
        <w:br/>
        <w:t>H_{\mathrm{Ax}}(K_F)=0.</w:t>
      </w:r>
      <w:r>
        <w:br/>
        <w:t>\tag{3.9374}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H_{\mathrm{Ax}}(K_F)=0</w:t>
      </w:r>
    </w:p>
    <w:p w:rsidR="00EA00D8" w:rsidRDefault="00E50336" w:rsidP="00EA00D8">
      <w:r>
        <w:pict>
          <v:rect id="_x0000_i2770" style="width:0;height:1.5pt" o:hralign="center" o:hrstd="t" o:hr="t" fillcolor="#a0a0a0" stroked="f"/>
        </w:pict>
      </w:r>
    </w:p>
    <w:p w:rsidR="00EA00D8" w:rsidRDefault="00EA00D8" w:rsidP="00EA00D8">
      <w:pPr>
        <w:pStyle w:val="berschrift1"/>
      </w:pPr>
      <w:r>
        <w:t>3.3.43.607 Prüfung der Kopplung</w:t>
      </w:r>
    </w:p>
    <w:p w:rsidR="00EA00D8" w:rsidRDefault="00EA00D8" w:rsidP="00EA00D8">
      <w:pPr>
        <w:pStyle w:val="StandardWeb"/>
      </w:pPr>
      <w:r>
        <w:t>Der Kopplungsbegriff (\kappa) verlangt ebenfalls nicht, dass zwischen sämtlichen Größen eine positive Kopplung besteht.</w:t>
      </w:r>
    </w:p>
    <w:p w:rsidR="00EA00D8" w:rsidRDefault="00EA00D8" w:rsidP="00EA00D8">
      <w:pPr>
        <w:pStyle w:val="StandardWeb"/>
      </w:pPr>
      <w:r>
        <w:t>Insbesondere gilt nicht</w:t>
      </w:r>
    </w:p>
    <w:p w:rsidR="00EA00D8" w:rsidRDefault="00EA00D8" w:rsidP="00EA00D8">
      <w:pPr>
        <w:pStyle w:val="StandardWeb"/>
      </w:pPr>
      <w:r>
        <w:t>[</w:t>
      </w:r>
      <w:r>
        <w:br/>
        <w:t>\forall i,j,z:</w:t>
      </w:r>
      <w:r>
        <w:br/>
        <w:t>\kappa_{ij}(z)&gt;0.</w:t>
      </w:r>
      <w:r>
        <w:br/>
        <w:t>\tag{3.9375}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\forall i,j,z:\kappa_{ij}(z)&gt;0</w:t>
      </w:r>
    </w:p>
    <w:p w:rsidR="00EA00D8" w:rsidRDefault="00EA00D8" w:rsidP="00EA00D8">
      <w:pPr>
        <w:pStyle w:val="StandardWeb"/>
      </w:pPr>
      <w:r>
        <w:t>Entkoppelte Relationen mit</w:t>
      </w:r>
    </w:p>
    <w:p w:rsidR="00EA00D8" w:rsidRDefault="00EA00D8" w:rsidP="00EA00D8">
      <w:pPr>
        <w:pStyle w:val="StandardWeb"/>
      </w:pPr>
      <w:r>
        <w:lastRenderedPageBreak/>
        <w:t>[</w:t>
      </w:r>
      <w:r>
        <w:br/>
        <w:t>\kappa_{ij}(z)=0</w:t>
      </w:r>
      <w:r>
        <w:br/>
        <w:t>\tag{3.9376}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\kappa_{ij}(z)=0</w:t>
      </w:r>
    </w:p>
    <w:p w:rsidR="00EA00D8" w:rsidRDefault="00EA00D8" w:rsidP="00EA00D8">
      <w:pPr>
        <w:pStyle w:val="StandardWeb"/>
      </w:pPr>
      <w:r>
        <w:t>bleiben zulässig.</w:t>
      </w:r>
    </w:p>
    <w:p w:rsidR="00EA00D8" w:rsidRDefault="00EA00D8" w:rsidP="00EA00D8">
      <w:pPr>
        <w:pStyle w:val="StandardWeb"/>
      </w:pPr>
      <w:r>
        <w:t>Daher folgt</w:t>
      </w:r>
    </w:p>
    <w:p w:rsidR="00EA00D8" w:rsidRDefault="00EA00D8" w:rsidP="00EA00D8">
      <w:pPr>
        <w:pStyle w:val="StandardWeb"/>
      </w:pPr>
      <w:r>
        <w:t>[</w:t>
      </w:r>
      <w:r>
        <w:br/>
        <w:t>H_{\mathrm{Ax}}(\kappa)=0.</w:t>
      </w:r>
      <w:r>
        <w:br/>
        <w:t>\tag{3.9377}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H_{\mathrm{Ax}}(\kappa)=0</w:t>
      </w:r>
    </w:p>
    <w:p w:rsidR="00EA00D8" w:rsidRDefault="00E50336" w:rsidP="00EA00D8">
      <w:r>
        <w:pict>
          <v:rect id="_x0000_i2771" style="width:0;height:1.5pt" o:hralign="center" o:hrstd="t" o:hr="t" fillcolor="#a0a0a0" stroked="f"/>
        </w:pict>
      </w:r>
    </w:p>
    <w:p w:rsidR="00EA00D8" w:rsidRDefault="00EA00D8" w:rsidP="00EA00D8">
      <w:pPr>
        <w:pStyle w:val="berschrift1"/>
      </w:pPr>
      <w:r>
        <w:t>3.3.43.608 Prüfung der lokalen Kohärenzdefinition</w:t>
      </w:r>
    </w:p>
    <w:p w:rsidR="00EA00D8" w:rsidRDefault="00EA00D8" w:rsidP="00EA00D8">
      <w:pPr>
        <w:pStyle w:val="StandardWeb"/>
      </w:pPr>
      <w:r>
        <w:t>Die Definition</w:t>
      </w:r>
    </w:p>
    <w:p w:rsidR="00EA00D8" w:rsidRDefault="00EA00D8" w:rsidP="00EA00D8">
      <w:pPr>
        <w:pStyle w:val="StandardWeb"/>
      </w:pPr>
      <w:r>
        <w:t>[</w:t>
      </w:r>
      <w:r>
        <w:br/>
        <w:t>C_F&gt;0</w:t>
      </w:r>
      <w:r>
        <w:br/>
        <w:t>\Longleftrightarrow</w:t>
      </w:r>
      <w:r>
        <w:br/>
        <w:t>\mathcal C=1</w:t>
      </w:r>
      <w:r>
        <w:br/>
        <w:t>\land</w:t>
      </w:r>
      <w:r>
        <w:br/>
        <w:t>K_F=1</w:t>
      </w:r>
      <w:r>
        <w:br/>
        <w:t>\land</w:t>
      </w:r>
      <w:r>
        <w:br/>
        <w:t>\kappa&gt;0</w:t>
      </w:r>
      <w:r>
        <w:br/>
        <w:t>\tag{3.9378}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C_F&gt;0\Longleftrightarrow\mathcal C=1\land K_F=1\land\kappa&gt;0</w:t>
      </w:r>
    </w:p>
    <w:p w:rsidR="00EA00D8" w:rsidRDefault="00EA00D8" w:rsidP="00EA00D8">
      <w:pPr>
        <w:pStyle w:val="StandardWeb"/>
      </w:pPr>
      <w:r>
        <w:t>bestimmt, wann positive funktionale Kohärenz vorliegt.</w:t>
      </w:r>
    </w:p>
    <w:p w:rsidR="00EA00D8" w:rsidRDefault="00EA00D8" w:rsidP="00EA00D8">
      <w:pPr>
        <w:pStyle w:val="StandardWeb"/>
      </w:pPr>
      <w:r>
        <w:t>Sie enthält jedoch selbst keine Existenzbehauptung der Form</w:t>
      </w:r>
    </w:p>
    <w:p w:rsidR="00EA00D8" w:rsidRDefault="00EA00D8" w:rsidP="00EA00D8">
      <w:pPr>
        <w:pStyle w:val="StandardWeb"/>
      </w:pPr>
      <w:r>
        <w:t>[</w:t>
      </w:r>
      <w:r>
        <w:br/>
        <w:t>\exists X_i,X_j,z:</w:t>
      </w:r>
      <w:r>
        <w:br/>
        <w:t>C_F(X_i,X_j;z)&gt;0.</w:t>
      </w:r>
      <w:r>
        <w:br/>
        <w:t>\tag{3.9379}</w:t>
      </w:r>
      <w:r>
        <w:br/>
        <w:t>]</w:t>
      </w:r>
    </w:p>
    <w:p w:rsidR="00EA00D8" w:rsidRDefault="00EA00D8" w:rsidP="00EA00D8">
      <w:pPr>
        <w:pStyle w:val="StandardWeb"/>
      </w:pPr>
      <w:r>
        <w:rPr>
          <w:rStyle w:val="Fett"/>
        </w:rPr>
        <w:lastRenderedPageBreak/>
        <w:t>Word-LaTeX</w:t>
      </w:r>
    </w:p>
    <w:p w:rsidR="00EA00D8" w:rsidRDefault="00EA00D8" w:rsidP="00EA00D8">
      <w:pPr>
        <w:pStyle w:val="HTMLVorformatiert"/>
        <w:rPr>
          <w:rStyle w:val="HTMLCode"/>
        </w:rPr>
      </w:pPr>
      <w:r>
        <w:rPr>
          <w:rStyle w:val="HTMLCode"/>
        </w:rPr>
        <w:t>\exists X_i,X_j,z:C_F(X_i,X_j;z)&gt;0</w:t>
      </w:r>
    </w:p>
    <w:p w:rsidR="00EA00D8" w:rsidRDefault="00EA00D8" w:rsidP="00EA00D8">
      <w:pPr>
        <w:pStyle w:val="StandardWeb"/>
      </w:pPr>
      <w:r>
        <w:t>Diese Existenzbehauptung stammt ausschließlich aus (A_C).</w:t>
      </w:r>
    </w:p>
    <w:p w:rsidR="00EA00D8" w:rsidRDefault="00EA00D8" w:rsidP="00EA00D8">
      <w:pPr>
        <w:pStyle w:val="StandardWeb"/>
      </w:pPr>
      <w:r>
        <w:t>Damit gilt</w:t>
      </w:r>
    </w:p>
    <w:p w:rsidR="00EA00D8" w:rsidRDefault="00EA00D8" w:rsidP="00EA00D8">
      <w:pPr>
        <w:pStyle w:val="StandardWeb"/>
      </w:pPr>
      <w:r>
        <w:t>[</w:t>
      </w:r>
      <w:r>
        <w:br/>
        <w:t>H_{\mathrm{Ax}}(C_F)=0.</w:t>
      </w:r>
      <w:r>
        <w:br/>
        <w:t>\tag{3.9380}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H_{\mathrm{Ax}}(C_F)=0</w:t>
      </w:r>
    </w:p>
    <w:p w:rsidR="00EA00D8" w:rsidRDefault="00E50336" w:rsidP="00EA00D8">
      <w:r>
        <w:pict>
          <v:rect id="_x0000_i2772" style="width:0;height:1.5pt" o:hralign="center" o:hrstd="t" o:hr="t" fillcolor="#a0a0a0" stroked="f"/>
        </w:pict>
      </w:r>
    </w:p>
    <w:p w:rsidR="00EA00D8" w:rsidRDefault="00EA00D8" w:rsidP="00EA00D8">
      <w:pPr>
        <w:pStyle w:val="berschrift1"/>
      </w:pPr>
      <w:r>
        <w:t>3.3.43.609 Prüfung der Realisierbarkeit</w:t>
      </w:r>
    </w:p>
    <w:p w:rsidR="00EA00D8" w:rsidRDefault="00EA00D8" w:rsidP="00EA00D8">
      <w:pPr>
        <w:pStyle w:val="StandardWeb"/>
      </w:pPr>
      <w:r>
        <w:t>Die Definition von (R_F) erzeugt keine universelle Realisierbarkeit.</w:t>
      </w:r>
    </w:p>
    <w:p w:rsidR="00EA00D8" w:rsidRDefault="00EA00D8" w:rsidP="00EA00D8">
      <w:pPr>
        <w:pStyle w:val="StandardWeb"/>
      </w:pPr>
      <w:r>
        <w:t>Insbesondere folgt nicht</w:t>
      </w:r>
    </w:p>
    <w:p w:rsidR="00EA00D8" w:rsidRDefault="00EA00D8" w:rsidP="00EA00D8">
      <w:pPr>
        <w:pStyle w:val="StandardWeb"/>
      </w:pPr>
      <w:r>
        <w:t>[</w:t>
      </w:r>
      <w:r>
        <w:br/>
        <w:t>\forall\mathcal S\subseteq\mathcal S_F:</w:t>
      </w:r>
      <w:r>
        <w:br/>
        <w:t>R_F(\mathcal S)=1.</w:t>
      </w:r>
      <w:r>
        <w:br/>
        <w:t>\tag{3.9381}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\forall\mathcal S\subseteq\mathcal S_F:R_F(\mathcal S)=1</w:t>
      </w:r>
    </w:p>
    <w:p w:rsidR="00EA00D8" w:rsidRDefault="00EA00D8" w:rsidP="00EA00D8">
      <w:pPr>
        <w:pStyle w:val="StandardWeb"/>
      </w:pPr>
      <w:r>
        <w:t>Nicht realisierbare Teilstrukturen bleiben zulässig:</w:t>
      </w:r>
    </w:p>
    <w:p w:rsidR="00EA00D8" w:rsidRDefault="00EA00D8" w:rsidP="00EA00D8">
      <w:pPr>
        <w:pStyle w:val="StandardWeb"/>
      </w:pPr>
      <w:r>
        <w:t>[</w:t>
      </w:r>
      <w:r>
        <w:br/>
        <w:t>R_F(\mathcal S)=0.</w:t>
      </w:r>
      <w:r>
        <w:br/>
        <w:t>\tag{3.9382}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R_F(\mathcal S)=0</w:t>
      </w:r>
    </w:p>
    <w:p w:rsidR="00EA00D8" w:rsidRDefault="00EA00D8" w:rsidP="00EA00D8">
      <w:pPr>
        <w:pStyle w:val="StandardWeb"/>
      </w:pPr>
      <w:r>
        <w:t>Daher gilt</w:t>
      </w:r>
    </w:p>
    <w:p w:rsidR="00EA00D8" w:rsidRDefault="00EA00D8" w:rsidP="00EA00D8">
      <w:pPr>
        <w:pStyle w:val="StandardWeb"/>
      </w:pPr>
      <w:r>
        <w:t>[</w:t>
      </w:r>
      <w:r>
        <w:br/>
        <w:t>H_{\mathrm{Ax}}(R_F)=0.</w:t>
      </w:r>
      <w:r>
        <w:br/>
        <w:t>\tag{3.9383}</w:t>
      </w:r>
      <w:r>
        <w:br/>
        <w:t>]</w:t>
      </w:r>
    </w:p>
    <w:p w:rsidR="00EA00D8" w:rsidRDefault="00EA00D8" w:rsidP="00EA00D8">
      <w:pPr>
        <w:pStyle w:val="StandardWeb"/>
      </w:pPr>
      <w:r>
        <w:rPr>
          <w:rStyle w:val="Fett"/>
        </w:rPr>
        <w:lastRenderedPageBreak/>
        <w:t>Word-LaTeX</w:t>
      </w:r>
    </w:p>
    <w:p w:rsidR="00EA00D8" w:rsidRDefault="00EA00D8" w:rsidP="00EA00D8">
      <w:pPr>
        <w:pStyle w:val="HTMLVorformatiert"/>
        <w:rPr>
          <w:rStyle w:val="HTMLCode"/>
        </w:rPr>
      </w:pPr>
      <w:r>
        <w:rPr>
          <w:rStyle w:val="HTMLCode"/>
        </w:rPr>
        <w:t>H_{\mathrm{Ax}}(R_F)=0</w:t>
      </w:r>
    </w:p>
    <w:p w:rsidR="00EA00D8" w:rsidRDefault="00E50336" w:rsidP="00EA00D8">
      <w:r>
        <w:pict>
          <v:rect id="_x0000_i2773" style="width:0;height:1.5pt" o:hralign="center" o:hrstd="t" o:hr="t" fillcolor="#a0a0a0" stroked="f"/>
        </w:pict>
      </w:r>
    </w:p>
    <w:p w:rsidR="00EA00D8" w:rsidRDefault="00EA00D8" w:rsidP="00EA00D8">
      <w:pPr>
        <w:pStyle w:val="berschrift1"/>
      </w:pPr>
      <w:r>
        <w:t>3.3.43.610 Prüfung der Aggregationsfunktion</w:t>
      </w:r>
    </w:p>
    <w:p w:rsidR="00EA00D8" w:rsidRDefault="00EA00D8" w:rsidP="00EA00D8">
      <w:pPr>
        <w:pStyle w:val="StandardWeb"/>
      </w:pPr>
      <w:r>
        <w:t>Die in 3.3.43 eingeführte Aggregationsfunktion (\mathcal A_C) ist ausdrücklich eine Modellstruktur.</w:t>
      </w:r>
    </w:p>
    <w:p w:rsidR="00EA00D8" w:rsidRDefault="00EA00D8" w:rsidP="00EA00D8">
      <w:pPr>
        <w:pStyle w:val="StandardWeb"/>
      </w:pPr>
      <w:r>
        <w:t>Es wird nicht vorausgesetzt</w:t>
      </w:r>
    </w:p>
    <w:p w:rsidR="00EA00D8" w:rsidRDefault="00EA00D8" w:rsidP="00EA00D8">
      <w:pPr>
        <w:pStyle w:val="StandardWeb"/>
      </w:pPr>
      <w:r>
        <w:t>[</w:t>
      </w:r>
      <w:r>
        <w:br/>
        <w:t>\exists!\mathcal A_C.</w:t>
      </w:r>
      <w:r>
        <w:br/>
        <w:t>\tag{3.9384}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\exists!\mathcal A_C</w:t>
      </w:r>
    </w:p>
    <w:p w:rsidR="00EA00D8" w:rsidRDefault="00EA00D8" w:rsidP="00EA00D8">
      <w:pPr>
        <w:pStyle w:val="StandardWeb"/>
      </w:pPr>
      <w:r>
        <w:t>Ebenso folgt aus (A_C) keine bestimmte Aggregationsregel:</w:t>
      </w:r>
    </w:p>
    <w:p w:rsidR="00EA00D8" w:rsidRDefault="00EA00D8" w:rsidP="00EA00D8">
      <w:pPr>
        <w:pStyle w:val="StandardWeb"/>
      </w:pPr>
      <w:r>
        <w:t>[</w:t>
      </w:r>
      <w:r>
        <w:br/>
        <w:t>A_C\nRightarrow</w:t>
      </w:r>
      <w:r>
        <w:br/>
        <w:t>\mathcal A_C=\mathcal A_C^\ast.</w:t>
      </w:r>
      <w:r>
        <w:br/>
        <w:t>\tag{3.9385}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A_C\nRightarrow\mathcal A_C=\mathcal A_C^\ast</w:t>
      </w:r>
    </w:p>
    <w:p w:rsidR="00EA00D8" w:rsidRDefault="00EA00D8" w:rsidP="00EA00D8">
      <w:pPr>
        <w:pStyle w:val="StandardWeb"/>
      </w:pPr>
      <w:r>
        <w:t>Damit gilt</w:t>
      </w:r>
    </w:p>
    <w:p w:rsidR="00EA00D8" w:rsidRDefault="00EA00D8" w:rsidP="00EA00D8">
      <w:pPr>
        <w:pStyle w:val="StandardWeb"/>
      </w:pPr>
      <w:r>
        <w:t>[</w:t>
      </w:r>
      <w:r>
        <w:br/>
        <w:t>H_{\mathrm{Ax}}(\mathcal A_C)=0.</w:t>
      </w:r>
      <w:r>
        <w:br/>
        <w:t>\tag{3.9386}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H_{\mathrm{Ax}}(\mathcal A_C)=0</w:t>
      </w:r>
    </w:p>
    <w:p w:rsidR="00EA00D8" w:rsidRDefault="00E50336" w:rsidP="00EA00D8">
      <w:r>
        <w:pict>
          <v:rect id="_x0000_i2774" style="width:0;height:1.5pt" o:hralign="center" o:hrstd="t" o:hr="t" fillcolor="#a0a0a0" stroked="f"/>
        </w:pict>
      </w:r>
    </w:p>
    <w:p w:rsidR="00EA00D8" w:rsidRDefault="00EA00D8" w:rsidP="00EA00D8">
      <w:pPr>
        <w:pStyle w:val="berschrift1"/>
      </w:pPr>
      <w:r>
        <w:t>3.3.43.611 Prüfung globaler Kohärenz</w:t>
      </w:r>
    </w:p>
    <w:p w:rsidR="00EA00D8" w:rsidRDefault="00EA00D8" w:rsidP="00EA00D8">
      <w:pPr>
        <w:pStyle w:val="StandardWeb"/>
      </w:pPr>
      <w:r>
        <w:t>Eine globale Kohärenzgröße (C_{\mathrm{sys}}) wurde als mögliche Aggregation eingeführt.</w:t>
      </w:r>
    </w:p>
    <w:p w:rsidR="00EA00D8" w:rsidRDefault="00EA00D8" w:rsidP="00EA00D8">
      <w:pPr>
        <w:pStyle w:val="StandardWeb"/>
      </w:pPr>
      <w:r>
        <w:lastRenderedPageBreak/>
        <w:t>Das Primäraxiom fordert jedoch nicht</w:t>
      </w:r>
    </w:p>
    <w:p w:rsidR="00EA00D8" w:rsidRDefault="00EA00D8" w:rsidP="00EA00D8">
      <w:pPr>
        <w:pStyle w:val="StandardWeb"/>
      </w:pPr>
      <w:r>
        <w:t>[</w:t>
      </w:r>
      <w:r>
        <w:br/>
        <w:t>\exists C_{\mathrm{sys}}.</w:t>
      </w:r>
      <w:r>
        <w:br/>
        <w:t>\tag{3.9387}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\exists C_{\mathrm{sys}}</w:t>
      </w:r>
    </w:p>
    <w:p w:rsidR="00EA00D8" w:rsidRDefault="00EA00D8" w:rsidP="00EA00D8">
      <w:pPr>
        <w:pStyle w:val="StandardWeb"/>
      </w:pPr>
      <w:r>
        <w:t>Ebenso wenig fordert es</w:t>
      </w:r>
    </w:p>
    <w:p w:rsidR="00EA00D8" w:rsidRDefault="00EA00D8" w:rsidP="00EA00D8">
      <w:pPr>
        <w:pStyle w:val="StandardWeb"/>
      </w:pPr>
      <w:r>
        <w:t>[</w:t>
      </w:r>
      <w:r>
        <w:br/>
        <w:t>C_{\mathrm{sys}}&gt;0</w:t>
      </w:r>
      <w:r>
        <w:br/>
        <w:t>\qquad</w:t>
      </w:r>
      <w:r>
        <w:br/>
        <w:t>\forall z.</w:t>
      </w:r>
      <w:r>
        <w:br/>
        <w:t>\tag{3.9388}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C_{\mathrm{sys}}&gt;0\qquad\forall z</w:t>
      </w:r>
    </w:p>
    <w:p w:rsidR="00EA00D8" w:rsidRDefault="00EA00D8" w:rsidP="00EA00D8">
      <w:pPr>
        <w:pStyle w:val="StandardWeb"/>
      </w:pPr>
      <w:r>
        <w:t>Daher gilt</w:t>
      </w:r>
    </w:p>
    <w:p w:rsidR="00EA00D8" w:rsidRDefault="00EA00D8" w:rsidP="00EA00D8">
      <w:pPr>
        <w:pStyle w:val="StandardWeb"/>
      </w:pPr>
      <w:r>
        <w:t>[</w:t>
      </w:r>
      <w:r>
        <w:br/>
        <w:t>H_{\mathrm{Ax}}(C_{\mathrm{sys}})=0.</w:t>
      </w:r>
      <w:r>
        <w:br/>
        <w:t>\tag{3.9389}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H_{\mathrm{Ax}}(C_{\mathrm{sys}})=0</w:t>
      </w:r>
    </w:p>
    <w:p w:rsidR="00EA00D8" w:rsidRDefault="00E50336" w:rsidP="00EA00D8">
      <w:r>
        <w:pict>
          <v:rect id="_x0000_i2775" style="width:0;height:1.5pt" o:hralign="center" o:hrstd="t" o:hr="t" fillcolor="#a0a0a0" stroked="f"/>
        </w:pict>
      </w:r>
    </w:p>
    <w:p w:rsidR="00EA00D8" w:rsidRDefault="00EA00D8" w:rsidP="00EA00D8">
      <w:pPr>
        <w:pStyle w:val="berschrift1"/>
      </w:pPr>
      <w:r>
        <w:t>3.3.43.612 Prüfung des Kohärenzfeldes</w:t>
      </w:r>
    </w:p>
    <w:p w:rsidR="00EA00D8" w:rsidRDefault="00EA00D8" w:rsidP="00EA00D8">
      <w:pPr>
        <w:pStyle w:val="StandardWeb"/>
      </w:pPr>
      <w:r>
        <w:t>Das Kohärenzfeld (\mathcal C_F) wurde als mögliche mathematische Repräsentation eingeführt.</w:t>
      </w:r>
    </w:p>
    <w:p w:rsidR="00EA00D8" w:rsidRDefault="00EA00D8" w:rsidP="00EA00D8">
      <w:pPr>
        <w:pStyle w:val="StandardWeb"/>
      </w:pPr>
      <w:r>
        <w:t>Es gilt jedoch nicht</w:t>
      </w:r>
    </w:p>
    <w:p w:rsidR="00EA00D8" w:rsidRDefault="00EA00D8" w:rsidP="00EA00D8">
      <w:pPr>
        <w:pStyle w:val="StandardWeb"/>
      </w:pPr>
      <w:r>
        <w:t>[</w:t>
      </w:r>
      <w:r>
        <w:br/>
        <w:t>A_C</w:t>
      </w:r>
      <w:r>
        <w:br/>
        <w:t>\Rightarrow</w:t>
      </w:r>
      <w:r>
        <w:br/>
        <w:t>\exists\mathcal C_F:</w:t>
      </w:r>
      <w:r>
        <w:br/>
        <w:t>\Omega_{ST}\rightarrow\mathcal V_C.</w:t>
      </w:r>
      <w:r>
        <w:br/>
        <w:t>\tag{3.9390}</w:t>
      </w:r>
      <w:r>
        <w:br/>
        <w:t>]</w:t>
      </w:r>
    </w:p>
    <w:p w:rsidR="00EA00D8" w:rsidRDefault="00EA00D8" w:rsidP="00EA00D8">
      <w:pPr>
        <w:pStyle w:val="StandardWeb"/>
      </w:pPr>
      <w:r>
        <w:rPr>
          <w:rStyle w:val="Fett"/>
        </w:rPr>
        <w:lastRenderedPageBreak/>
        <w:t>Word-LaTeX</w:t>
      </w:r>
    </w:p>
    <w:p w:rsidR="00EA00D8" w:rsidRDefault="00EA00D8" w:rsidP="00EA00D8">
      <w:pPr>
        <w:pStyle w:val="HTMLVorformatiert"/>
        <w:rPr>
          <w:rStyle w:val="HTMLCode"/>
        </w:rPr>
      </w:pPr>
      <w:r>
        <w:rPr>
          <w:rStyle w:val="HTMLCode"/>
        </w:rPr>
        <w:t>A_C\Rightarrow\exists\mathcal C_F:\Omega_{ST}\rightarrow\mathcal V_C</w:t>
      </w:r>
    </w:p>
    <w:p w:rsidR="00EA00D8" w:rsidRDefault="00EA00D8" w:rsidP="00EA00D8">
      <w:pPr>
        <w:pStyle w:val="StandardWeb"/>
      </w:pPr>
      <w:r>
        <w:t>Ein Modell kann (A_C) erfüllen, obwohl Kohärenz rein relational, diskret oder anderweitig dargestellt wird.</w:t>
      </w:r>
    </w:p>
    <w:p w:rsidR="00EA00D8" w:rsidRDefault="00EA00D8" w:rsidP="00EA00D8">
      <w:pPr>
        <w:pStyle w:val="StandardWeb"/>
      </w:pPr>
      <w:r>
        <w:t>Daher gilt</w:t>
      </w:r>
    </w:p>
    <w:p w:rsidR="00EA00D8" w:rsidRDefault="00EA00D8" w:rsidP="00EA00D8">
      <w:pPr>
        <w:pStyle w:val="StandardWeb"/>
      </w:pPr>
      <w:r>
        <w:t>[</w:t>
      </w:r>
      <w:r>
        <w:br/>
        <w:t>\boxed{</w:t>
      </w:r>
      <w:r>
        <w:br/>
        <w:t>H_{\mathrm{Ax}}(\mathcal C_F)=0.</w:t>
      </w:r>
      <w:r>
        <w:br/>
        <w:t>}</w:t>
      </w:r>
      <w:r>
        <w:br/>
        <w:t>\tag{3.9391}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\boxed{H_{\mathrm{Ax}}(\mathcal C_F)=0.}</w:t>
      </w:r>
    </w:p>
    <w:p w:rsidR="00EA00D8" w:rsidRDefault="00E50336" w:rsidP="00EA00D8">
      <w:r>
        <w:pict>
          <v:rect id="_x0000_i2776" style="width:0;height:1.5pt" o:hralign="center" o:hrstd="t" o:hr="t" fillcolor="#a0a0a0" stroked="f"/>
        </w:pict>
      </w:r>
    </w:p>
    <w:p w:rsidR="00EA00D8" w:rsidRDefault="00EA00D8" w:rsidP="00EA00D8">
      <w:pPr>
        <w:pStyle w:val="berschrift1"/>
      </w:pPr>
      <w:r>
        <w:t>3.3.43.613 Prüfung der Differenzierbarkeit</w:t>
      </w:r>
    </w:p>
    <w:p w:rsidR="00EA00D8" w:rsidRDefault="00EA00D8" w:rsidP="00EA00D8">
      <w:pPr>
        <w:pStyle w:val="StandardWeb"/>
      </w:pPr>
      <w:r>
        <w:t>Die Verwendung von</w:t>
      </w:r>
    </w:p>
    <w:p w:rsidR="00EA00D8" w:rsidRDefault="00EA00D8" w:rsidP="00EA00D8">
      <w:pPr>
        <w:pStyle w:val="StandardWeb"/>
      </w:pPr>
      <w:r>
        <w:t>[</w:t>
      </w:r>
      <w:r>
        <w:br/>
        <w:t>\nabla C,</w:t>
      </w:r>
      <w:r>
        <w:br/>
        <w:t>\qquad</w:t>
      </w:r>
      <w:r>
        <w:br/>
        <w:t>\dot C,</w:t>
      </w:r>
      <w:r>
        <w:br/>
        <w:t>\qquad</w:t>
      </w:r>
      <w:r>
        <w:br/>
        <w:t>\ddot C</w:t>
      </w:r>
      <w:r>
        <w:br/>
        <w:t>\tag{3.9392}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\nabla C,\qquad\dot C,\qquad\ddot C</w:t>
      </w:r>
    </w:p>
    <w:p w:rsidR="00EA00D8" w:rsidRDefault="00EA00D8" w:rsidP="00EA00D8">
      <w:pPr>
        <w:pStyle w:val="StandardWeb"/>
      </w:pPr>
      <w:r>
        <w:t>setzt zusätzliche Regularität voraus.</w:t>
      </w:r>
    </w:p>
    <w:p w:rsidR="00EA00D8" w:rsidRDefault="00EA00D8" w:rsidP="00EA00D8">
      <w:pPr>
        <w:pStyle w:val="StandardWeb"/>
      </w:pPr>
      <w:r>
        <w:t>Es wird nicht axiomatisch angenommen</w:t>
      </w:r>
    </w:p>
    <w:p w:rsidR="00EA00D8" w:rsidRDefault="00EA00D8" w:rsidP="00EA00D8">
      <w:pPr>
        <w:pStyle w:val="StandardWeb"/>
      </w:pPr>
      <w:r>
        <w:t>[</w:t>
      </w:r>
      <w:r>
        <w:br/>
        <w:t>C_F\in C^1</w:t>
      </w:r>
      <w:r>
        <w:br/>
        <w:t>\tag{3.9393}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C_F\in C^1</w:t>
      </w:r>
    </w:p>
    <w:p w:rsidR="00EA00D8" w:rsidRDefault="00EA00D8" w:rsidP="00EA00D8">
      <w:pPr>
        <w:pStyle w:val="StandardWeb"/>
      </w:pPr>
      <w:r>
        <w:lastRenderedPageBreak/>
        <w:t>oder</w:t>
      </w:r>
    </w:p>
    <w:p w:rsidR="00EA00D8" w:rsidRDefault="00EA00D8" w:rsidP="00EA00D8">
      <w:pPr>
        <w:pStyle w:val="StandardWeb"/>
      </w:pPr>
      <w:r>
        <w:t>[</w:t>
      </w:r>
      <w:r>
        <w:br/>
        <w:t>C_F\in C^2.</w:t>
      </w:r>
      <w:r>
        <w:br/>
        <w:t>\tag{3.9394}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C_F\in C^2</w:t>
      </w:r>
    </w:p>
    <w:p w:rsidR="00EA00D8" w:rsidRDefault="00EA00D8" w:rsidP="00EA00D8">
      <w:pPr>
        <w:pStyle w:val="StandardWeb"/>
      </w:pPr>
      <w:r>
        <w:t>Damit gilt</w:t>
      </w:r>
    </w:p>
    <w:p w:rsidR="00EA00D8" w:rsidRDefault="00EA00D8" w:rsidP="00EA00D8">
      <w:pPr>
        <w:pStyle w:val="StandardWeb"/>
      </w:pPr>
      <w:r>
        <w:t>[</w:t>
      </w:r>
      <w:r>
        <w:br/>
        <w:t>H_{\mathrm{Ax}}(C_F\in C^1)=0</w:t>
      </w:r>
      <w:r>
        <w:br/>
        <w:t>\tag{3.9395}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H_{\mathrm{Ax}}(C_F\in C^1)=0</w:t>
      </w:r>
    </w:p>
    <w:p w:rsidR="00EA00D8" w:rsidRDefault="00EA00D8" w:rsidP="00EA00D8">
      <w:pPr>
        <w:pStyle w:val="StandardWeb"/>
      </w:pPr>
      <w:r>
        <w:t>und</w:t>
      </w:r>
    </w:p>
    <w:p w:rsidR="00EA00D8" w:rsidRDefault="00EA00D8" w:rsidP="00EA00D8">
      <w:pPr>
        <w:pStyle w:val="StandardWeb"/>
      </w:pPr>
      <w:r>
        <w:t>[</w:t>
      </w:r>
      <w:r>
        <w:br/>
        <w:t>H_{\mathrm{Ax}}(C_F\in C^2)=0.</w:t>
      </w:r>
      <w:r>
        <w:br/>
        <w:t>\tag{3.9396}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H_{\mathrm{Ax}}(C_F\in C^2)=0</w:t>
      </w:r>
    </w:p>
    <w:p w:rsidR="00EA00D8" w:rsidRDefault="00E50336" w:rsidP="00EA00D8">
      <w:r>
        <w:pict>
          <v:rect id="_x0000_i2777" style="width:0;height:1.5pt" o:hralign="center" o:hrstd="t" o:hr="t" fillcolor="#a0a0a0" stroked="f"/>
        </w:pict>
      </w:r>
    </w:p>
    <w:p w:rsidR="00EA00D8" w:rsidRDefault="00EA00D8" w:rsidP="00EA00D8">
      <w:pPr>
        <w:pStyle w:val="berschrift1"/>
      </w:pPr>
      <w:r>
        <w:t>3.3.43.614 Prüfung des Kohärenzflusses</w:t>
      </w:r>
    </w:p>
    <w:p w:rsidR="00EA00D8" w:rsidRDefault="00EA00D8" w:rsidP="00EA00D8">
      <w:pPr>
        <w:pStyle w:val="StandardWeb"/>
      </w:pPr>
      <w:r>
        <w:t>Der Kohärenzfluss (\mathbf J_C) ist ebenfalls optional.</w:t>
      </w:r>
    </w:p>
    <w:p w:rsidR="00EA00D8" w:rsidRDefault="00EA00D8" w:rsidP="00EA00D8">
      <w:pPr>
        <w:pStyle w:val="StandardWeb"/>
      </w:pPr>
      <w:r>
        <w:t>Es folgt nicht</w:t>
      </w:r>
    </w:p>
    <w:p w:rsidR="00EA00D8" w:rsidRDefault="00EA00D8" w:rsidP="00EA00D8">
      <w:pPr>
        <w:pStyle w:val="StandardWeb"/>
      </w:pPr>
      <w:r>
        <w:t>[</w:t>
      </w:r>
      <w:r>
        <w:br/>
        <w:t>A_C</w:t>
      </w:r>
      <w:r>
        <w:br/>
        <w:t>\Rightarrow</w:t>
      </w:r>
      <w:r>
        <w:br/>
        <w:t>\exists\mathbf J_C.</w:t>
      </w:r>
      <w:r>
        <w:br/>
        <w:t>\tag{3.9397}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A_C\Rightarrow\exists\mathbf J_C</w:t>
      </w:r>
    </w:p>
    <w:p w:rsidR="00EA00D8" w:rsidRDefault="00EA00D8" w:rsidP="00EA00D8">
      <w:pPr>
        <w:pStyle w:val="StandardWeb"/>
      </w:pPr>
      <w:r>
        <w:lastRenderedPageBreak/>
        <w:t>Ebenso sind Modelle zulässig, in denen</w:t>
      </w:r>
    </w:p>
    <w:p w:rsidR="00EA00D8" w:rsidRDefault="00EA00D8" w:rsidP="00EA00D8">
      <w:pPr>
        <w:pStyle w:val="StandardWeb"/>
      </w:pPr>
      <w:r>
        <w:t>[</w:t>
      </w:r>
      <w:r>
        <w:br/>
        <w:t>\mathbf J_C=0</w:t>
      </w:r>
      <w:r>
        <w:br/>
        <w:t>\tag{3.9398}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\mathbf J_C=0</w:t>
      </w:r>
    </w:p>
    <w:p w:rsidR="00EA00D8" w:rsidRDefault="00EA00D8" w:rsidP="00EA00D8">
      <w:pPr>
        <w:pStyle w:val="StandardWeb"/>
      </w:pPr>
      <w:r>
        <w:t>oder der Flussbegriff überhaupt nicht benötigt wird.</w:t>
      </w:r>
    </w:p>
    <w:p w:rsidR="00EA00D8" w:rsidRDefault="00EA00D8" w:rsidP="00EA00D8">
      <w:pPr>
        <w:pStyle w:val="StandardWeb"/>
      </w:pPr>
      <w:r>
        <w:t>Daraus folgt</w:t>
      </w:r>
    </w:p>
    <w:p w:rsidR="00EA00D8" w:rsidRDefault="00EA00D8" w:rsidP="00EA00D8">
      <w:pPr>
        <w:pStyle w:val="StandardWeb"/>
      </w:pPr>
      <w:r>
        <w:t>[</w:t>
      </w:r>
      <w:r>
        <w:br/>
        <w:t>\boxed{</w:t>
      </w:r>
      <w:r>
        <w:br/>
        <w:t>H_{\mathrm{Ax}}(\mathbf J_C)=0.</w:t>
      </w:r>
      <w:r>
        <w:br/>
        <w:t>}</w:t>
      </w:r>
      <w:r>
        <w:br/>
        <w:t>\tag{3.9399}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\boxed{H_{\mathrm{Ax}}(\mathbf J_C)=0.}</w:t>
      </w:r>
    </w:p>
    <w:p w:rsidR="00EA00D8" w:rsidRDefault="00E50336" w:rsidP="00EA00D8">
      <w:r>
        <w:pict>
          <v:rect id="_x0000_i2778" style="width:0;height:1.5pt" o:hralign="center" o:hrstd="t" o:hr="t" fillcolor="#a0a0a0" stroked="f"/>
        </w:pict>
      </w:r>
    </w:p>
    <w:p w:rsidR="00EA00D8" w:rsidRDefault="00EA00D8" w:rsidP="00EA00D8">
      <w:pPr>
        <w:pStyle w:val="berschrift1"/>
      </w:pPr>
      <w:r>
        <w:t>3.3.43.615 Prüfung des diffusionsartigen Ansatzes</w:t>
      </w:r>
    </w:p>
    <w:p w:rsidR="00EA00D8" w:rsidRDefault="00EA00D8" w:rsidP="00EA00D8">
      <w:pPr>
        <w:pStyle w:val="StandardWeb"/>
      </w:pPr>
      <w:r>
        <w:t>Die spezielle Beziehung</w:t>
      </w:r>
    </w:p>
    <w:p w:rsidR="00EA00D8" w:rsidRDefault="00EA00D8" w:rsidP="00EA00D8">
      <w:pPr>
        <w:pStyle w:val="berschrift1"/>
      </w:pPr>
      <w:r>
        <w:t>[</w:t>
      </w:r>
      <w:r>
        <w:br/>
        <w:t>\mathbf J_C</w:t>
      </w:r>
    </w:p>
    <w:p w:rsidR="00EA00D8" w:rsidRDefault="00EA00D8" w:rsidP="00EA00D8">
      <w:pPr>
        <w:pStyle w:val="StandardWeb"/>
      </w:pPr>
      <w:r>
        <w:t>-D_C^\ast\nabla C</w:t>
      </w:r>
      <w:r>
        <w:br/>
        <w:t>\tag{3.9400}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\mathbf J_C=-D_C^\ast\nabla C</w:t>
      </w:r>
    </w:p>
    <w:p w:rsidR="00EA00D8" w:rsidRDefault="00EA00D8" w:rsidP="00EA00D8">
      <w:pPr>
        <w:pStyle w:val="StandardWeb"/>
      </w:pPr>
      <w:r>
        <w:t>ist eine Modellannahme.</w:t>
      </w:r>
    </w:p>
    <w:p w:rsidR="00EA00D8" w:rsidRDefault="00EA00D8" w:rsidP="00EA00D8">
      <w:pPr>
        <w:pStyle w:val="StandardWeb"/>
      </w:pPr>
      <w:r>
        <w:t>Sie wird weder von (A_C) noch von der Definition von Kohärenz erzwungen:</w:t>
      </w:r>
    </w:p>
    <w:p w:rsidR="00EA00D8" w:rsidRDefault="00EA00D8" w:rsidP="00EA00D8">
      <w:pPr>
        <w:pStyle w:val="StandardWeb"/>
      </w:pPr>
      <w:r>
        <w:t>[</w:t>
      </w:r>
      <w:r>
        <w:br/>
        <w:t>A_C</w:t>
      </w:r>
      <w:r>
        <w:br/>
        <w:t>\nRightarrow</w:t>
      </w:r>
      <w:r>
        <w:br/>
      </w:r>
      <w:r>
        <w:lastRenderedPageBreak/>
        <w:t>\mathbf J_C=-D_C^\ast\nabla C.</w:t>
      </w:r>
      <w:r>
        <w:br/>
        <w:t>\tag{3.9401}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A_C\nRightarrow\mathbf J_C=-D_C^\ast\nabla C</w:t>
      </w:r>
    </w:p>
    <w:p w:rsidR="00EA00D8" w:rsidRDefault="00EA00D8" w:rsidP="00EA00D8">
      <w:pPr>
        <w:pStyle w:val="StandardWeb"/>
      </w:pPr>
      <w:r>
        <w:t>Damit gilt</w:t>
      </w:r>
    </w:p>
    <w:p w:rsidR="00EA00D8" w:rsidRDefault="00EA00D8" w:rsidP="00EA00D8">
      <w:pPr>
        <w:pStyle w:val="berschrift1"/>
      </w:pPr>
      <w:r>
        <w:t>[</w:t>
      </w:r>
      <w:r>
        <w:br/>
        <w:t>H_{\mathrm{Ax}}</w:t>
      </w:r>
      <w:r>
        <w:br/>
        <w:t>\left(</w:t>
      </w:r>
      <w:r>
        <w:br/>
        <w:t>\mathbf J_C=-D_C^\ast\nabla C</w:t>
      </w:r>
      <w:r>
        <w:br/>
        <w:t>\right)</w:t>
      </w:r>
    </w:p>
    <w:p w:rsidR="00EA00D8" w:rsidRDefault="00EA00D8" w:rsidP="00152216">
      <w:pPr>
        <w:numPr>
          <w:ilvl w:val="0"/>
          <w:numId w:val="430"/>
        </w:numPr>
        <w:spacing w:before="100" w:beforeAutospacing="1" w:after="100" w:afterAutospacing="1"/>
      </w:pPr>
    </w:p>
    <w:p w:rsidR="00EA00D8" w:rsidRDefault="00EA00D8" w:rsidP="00EA00D8">
      <w:pPr>
        <w:pStyle w:val="StandardWeb"/>
      </w:pPr>
      <w:r>
        <w:t>\tag{3.9402}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H_{\mathrm{Ax}}\left(\mathbf J_C=-D_C^\ast\nabla C\right)=0</w:t>
      </w:r>
    </w:p>
    <w:p w:rsidR="00EA00D8" w:rsidRDefault="00E50336" w:rsidP="00EA00D8">
      <w:r>
        <w:pict>
          <v:rect id="_x0000_i2779" style="width:0;height:1.5pt" o:hralign="center" o:hrstd="t" o:hr="t" fillcolor="#a0a0a0" stroked="f"/>
        </w:pict>
      </w:r>
    </w:p>
    <w:p w:rsidR="00EA00D8" w:rsidRDefault="00EA00D8" w:rsidP="00EA00D8">
      <w:pPr>
        <w:pStyle w:val="berschrift1"/>
      </w:pPr>
      <w:r>
        <w:t>3.3.43.616 Prüfung der Kohärenzbilanz</w:t>
      </w:r>
    </w:p>
    <w:p w:rsidR="00EA00D8" w:rsidRDefault="00EA00D8" w:rsidP="00EA00D8">
      <w:pPr>
        <w:pStyle w:val="StandardWeb"/>
      </w:pPr>
      <w:r>
        <w:t>Entsprechendes gilt für</w:t>
      </w:r>
    </w:p>
    <w:p w:rsidR="00EA00D8" w:rsidRDefault="00EA00D8" w:rsidP="00EA00D8">
      <w:pPr>
        <w:pStyle w:val="berschrift1"/>
      </w:pPr>
      <w:r>
        <w:t>[</w:t>
      </w:r>
      <w:r>
        <w:br/>
        <w:t>\frac{\partial C}{\partial t}</w:t>
      </w:r>
      <w:r>
        <w:br/>
        <w:t>+</w:t>
      </w:r>
      <w:r>
        <w:br/>
        <w:t>\nabla\cdot\mathbf J_C</w:t>
      </w:r>
    </w:p>
    <w:p w:rsidR="00EA00D8" w:rsidRDefault="00EA00D8" w:rsidP="00EA00D8">
      <w:pPr>
        <w:pStyle w:val="StandardWeb"/>
      </w:pPr>
      <w:r>
        <w:t>S_C.</w:t>
      </w:r>
      <w:r>
        <w:br/>
        <w:t>\tag{3.9403}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\frac{\partial C}{\partial t}+\nabla\cdot\mathbf J_C=S_C</w:t>
      </w:r>
    </w:p>
    <w:p w:rsidR="00EA00D8" w:rsidRDefault="00EA00D8" w:rsidP="00EA00D8">
      <w:pPr>
        <w:pStyle w:val="StandardWeb"/>
      </w:pPr>
      <w:r>
        <w:lastRenderedPageBreak/>
        <w:t>Diese Bilanzgleichung ist ein möglicher Modellrahmen und kein notwendiger Bestandteil aller FRZK-Modelle.</w:t>
      </w:r>
    </w:p>
    <w:p w:rsidR="00EA00D8" w:rsidRDefault="00EA00D8" w:rsidP="00EA00D8">
      <w:pPr>
        <w:pStyle w:val="StandardWeb"/>
      </w:pPr>
      <w:r>
        <w:t>Daher gilt</w:t>
      </w:r>
    </w:p>
    <w:p w:rsidR="00EA00D8" w:rsidRDefault="00EA00D8" w:rsidP="00EA00D8">
      <w:pPr>
        <w:pStyle w:val="berschrift1"/>
      </w:pPr>
      <w:r>
        <w:t>[</w:t>
      </w:r>
      <w:r>
        <w:br/>
        <w:t>\boxed{</w:t>
      </w:r>
      <w:r>
        <w:br/>
        <w:t>H_{\mathrm{Ax}}</w:t>
      </w:r>
      <w:r>
        <w:br/>
        <w:t>\left(</w:t>
      </w:r>
      <w:r>
        <w:br/>
        <w:t>\partial_tC+\nabla\cdot\mathbf J_C=S_C</w:t>
      </w:r>
      <w:r>
        <w:br/>
        <w:t>\right)</w:t>
      </w:r>
    </w:p>
    <w:p w:rsidR="00EA00D8" w:rsidRDefault="00EA00D8" w:rsidP="00152216">
      <w:pPr>
        <w:numPr>
          <w:ilvl w:val="0"/>
          <w:numId w:val="431"/>
        </w:numPr>
        <w:spacing w:before="100" w:beforeAutospacing="1" w:after="100" w:afterAutospacing="1"/>
      </w:pPr>
    </w:p>
    <w:p w:rsidR="00EA00D8" w:rsidRDefault="00EA00D8" w:rsidP="00EA00D8">
      <w:pPr>
        <w:pStyle w:val="StandardWeb"/>
      </w:pPr>
      <w:r>
        <w:t>}</w:t>
      </w:r>
      <w:r>
        <w:br/>
        <w:t>\tag{3.9404}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\boxed{H_{\mathrm{Ax}}\left(\partial_tC+\nabla\cdot\mathbf J_C=S_C\right)=0.}</w:t>
      </w:r>
    </w:p>
    <w:p w:rsidR="00EA00D8" w:rsidRDefault="00E50336" w:rsidP="00EA00D8">
      <w:r>
        <w:pict>
          <v:rect id="_x0000_i2780" style="width:0;height:1.5pt" o:hralign="center" o:hrstd="t" o:hr="t" fillcolor="#a0a0a0" stroked="f"/>
        </w:pict>
      </w:r>
    </w:p>
    <w:p w:rsidR="00EA00D8" w:rsidRDefault="00EA00D8" w:rsidP="00EA00D8">
      <w:pPr>
        <w:pStyle w:val="berschrift1"/>
      </w:pPr>
      <w:r>
        <w:t>3.3.43.617 Prüfung einer Kohärenzerhaltung</w:t>
      </w:r>
    </w:p>
    <w:p w:rsidR="00EA00D8" w:rsidRDefault="00EA00D8" w:rsidP="00EA00D8">
      <w:pPr>
        <w:pStyle w:val="StandardWeb"/>
      </w:pPr>
      <w:r>
        <w:t>Insbesondere ist</w:t>
      </w:r>
    </w:p>
    <w:p w:rsidR="00EA00D8" w:rsidRDefault="00EA00D8" w:rsidP="00EA00D8">
      <w:pPr>
        <w:pStyle w:val="StandardWeb"/>
      </w:pPr>
      <w:r>
        <w:t>[</w:t>
      </w:r>
      <w:r>
        <w:br/>
        <w:t>S_C=0</w:t>
      </w:r>
      <w:r>
        <w:br/>
        <w:t>\tag{3.9405}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S_C=0</w:t>
      </w:r>
    </w:p>
    <w:p w:rsidR="00EA00D8" w:rsidRDefault="00EA00D8" w:rsidP="00EA00D8">
      <w:pPr>
        <w:pStyle w:val="StandardWeb"/>
      </w:pPr>
      <w:r>
        <w:t>keine verdeckte Erhaltungsvoraussetzung.</w:t>
      </w:r>
    </w:p>
    <w:p w:rsidR="00EA00D8" w:rsidRDefault="00EA00D8" w:rsidP="00EA00D8">
      <w:pPr>
        <w:pStyle w:val="StandardWeb"/>
      </w:pPr>
      <w:r>
        <w:t>Es gilt</w:t>
      </w:r>
    </w:p>
    <w:p w:rsidR="00EA00D8" w:rsidRDefault="00EA00D8" w:rsidP="00EA00D8">
      <w:pPr>
        <w:pStyle w:val="StandardWeb"/>
      </w:pPr>
      <w:r>
        <w:t>[</w:t>
      </w:r>
      <w:r>
        <w:br/>
        <w:t>H_{\mathrm{Ax}}(S_C=0)=0.</w:t>
      </w:r>
      <w:r>
        <w:br/>
        <w:t>\tag{3.9406}</w:t>
      </w:r>
      <w:r>
        <w:br/>
        <w:t>]</w:t>
      </w:r>
    </w:p>
    <w:p w:rsidR="00EA00D8" w:rsidRDefault="00EA00D8" w:rsidP="00EA00D8">
      <w:pPr>
        <w:pStyle w:val="StandardWeb"/>
      </w:pPr>
      <w:r>
        <w:rPr>
          <w:rStyle w:val="Fett"/>
        </w:rPr>
        <w:lastRenderedPageBreak/>
        <w:t>Word-LaTeX</w:t>
      </w:r>
    </w:p>
    <w:p w:rsidR="00EA00D8" w:rsidRDefault="00EA00D8" w:rsidP="00EA00D8">
      <w:pPr>
        <w:pStyle w:val="HTMLVorformatiert"/>
        <w:rPr>
          <w:rStyle w:val="HTMLCode"/>
        </w:rPr>
      </w:pPr>
      <w:r>
        <w:rPr>
          <w:rStyle w:val="HTMLCode"/>
        </w:rPr>
        <w:t>H_{\mathrm{Ax}}(S_C=0)=0</w:t>
      </w:r>
    </w:p>
    <w:p w:rsidR="00EA00D8" w:rsidRDefault="00EA00D8" w:rsidP="00EA00D8">
      <w:pPr>
        <w:pStyle w:val="StandardWeb"/>
      </w:pPr>
      <w:r>
        <w:t>Quellen und Senken bleiben innerhalb geeigneter Modellierungen zulässig.</w:t>
      </w:r>
    </w:p>
    <w:p w:rsidR="00EA00D8" w:rsidRDefault="00E50336" w:rsidP="00EA00D8">
      <w:r>
        <w:pict>
          <v:rect id="_x0000_i2781" style="width:0;height:1.5pt" o:hralign="center" o:hrstd="t" o:hr="t" fillcolor="#a0a0a0" stroked="f"/>
        </w:pict>
      </w:r>
    </w:p>
    <w:p w:rsidR="00EA00D8" w:rsidRDefault="00EA00D8" w:rsidP="00EA00D8">
      <w:pPr>
        <w:pStyle w:val="berschrift1"/>
      </w:pPr>
      <w:r>
        <w:t>3.3.43.618 Prüfung des Kohärenzgraphen</w:t>
      </w:r>
    </w:p>
    <w:p w:rsidR="00EA00D8" w:rsidRDefault="00EA00D8" w:rsidP="00EA00D8">
      <w:pPr>
        <w:pStyle w:val="StandardWeb"/>
      </w:pPr>
      <w:r>
        <w:t>Der Kohärenzgraph</w:t>
      </w:r>
    </w:p>
    <w:p w:rsidR="00EA00D8" w:rsidRDefault="00EA00D8" w:rsidP="00EA00D8">
      <w:pPr>
        <w:pStyle w:val="StandardWeb"/>
      </w:pPr>
      <w:r>
        <w:t>[</w:t>
      </w:r>
      <w:r>
        <w:br/>
        <w:t>\mathcal G_C=(V_C,E_C)</w:t>
      </w:r>
      <w:r>
        <w:br/>
        <w:t>\tag{3.9407}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\mathcal G_C=(V_C,E_C)</w:t>
      </w:r>
    </w:p>
    <w:p w:rsidR="00EA00D8" w:rsidRDefault="00EA00D8" w:rsidP="00EA00D8">
      <w:pPr>
        <w:pStyle w:val="StandardWeb"/>
      </w:pPr>
      <w:r>
        <w:t>ist eine mögliche Repräsentation relationaler Kohärenz.</w:t>
      </w:r>
    </w:p>
    <w:p w:rsidR="00EA00D8" w:rsidRDefault="00EA00D8" w:rsidP="00EA00D8">
      <w:pPr>
        <w:pStyle w:val="StandardWeb"/>
      </w:pPr>
      <w:r>
        <w:t>Aus (A_C) folgt jedoch nicht</w:t>
      </w:r>
    </w:p>
    <w:p w:rsidR="00EA00D8" w:rsidRDefault="00EA00D8" w:rsidP="00EA00D8">
      <w:pPr>
        <w:pStyle w:val="StandardWeb"/>
      </w:pPr>
      <w:r>
        <w:t>[</w:t>
      </w:r>
      <w:r>
        <w:br/>
        <w:t>\exists\mathcal G_C.</w:t>
      </w:r>
      <w:r>
        <w:br/>
        <w:t>\tag{3.9408}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\exists\mathcal G_C</w:t>
      </w:r>
    </w:p>
    <w:p w:rsidR="00EA00D8" w:rsidRDefault="00EA00D8" w:rsidP="00EA00D8">
      <w:pPr>
        <w:pStyle w:val="StandardWeb"/>
      </w:pPr>
      <w:r>
        <w:t>Daher gilt</w:t>
      </w:r>
    </w:p>
    <w:p w:rsidR="00EA00D8" w:rsidRDefault="00EA00D8" w:rsidP="00EA00D8">
      <w:pPr>
        <w:pStyle w:val="StandardWeb"/>
      </w:pPr>
      <w:r>
        <w:t>[</w:t>
      </w:r>
      <w:r>
        <w:br/>
        <w:t>H_{\mathrm{Ax}}(\mathcal G_C)=0.</w:t>
      </w:r>
      <w:r>
        <w:br/>
        <w:t>\tag{3.9409}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H_{\mathrm{Ax}}(\mathcal G_C)=0</w:t>
      </w:r>
    </w:p>
    <w:p w:rsidR="00EA00D8" w:rsidRDefault="00E50336" w:rsidP="00EA00D8">
      <w:r>
        <w:pict>
          <v:rect id="_x0000_i2782" style="width:0;height:1.5pt" o:hralign="center" o:hrstd="t" o:hr="t" fillcolor="#a0a0a0" stroked="f"/>
        </w:pict>
      </w:r>
    </w:p>
    <w:p w:rsidR="00EA00D8" w:rsidRDefault="00EA00D8" w:rsidP="00EA00D8">
      <w:pPr>
        <w:pStyle w:val="berschrift1"/>
      </w:pPr>
      <w:r>
        <w:t>3.3.43.619 Prüfung des Hypergraphen</w:t>
      </w:r>
    </w:p>
    <w:p w:rsidR="00EA00D8" w:rsidRDefault="00EA00D8" w:rsidP="00EA00D8">
      <w:pPr>
        <w:pStyle w:val="StandardWeb"/>
      </w:pPr>
      <w:r>
        <w:t>Auch für</w:t>
      </w:r>
    </w:p>
    <w:p w:rsidR="00EA00D8" w:rsidRDefault="00EA00D8" w:rsidP="00EA00D8">
      <w:pPr>
        <w:pStyle w:val="StandardWeb"/>
      </w:pPr>
      <w:r>
        <w:lastRenderedPageBreak/>
        <w:t>[</w:t>
      </w:r>
      <w:r>
        <w:br/>
        <w:t>\mathcal H_C=(V_C,E_C^H)</w:t>
      </w:r>
      <w:r>
        <w:br/>
        <w:t>\tag{3.9410}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\mathcal H_C=(V_C,E_C^H)</w:t>
      </w:r>
    </w:p>
    <w:p w:rsidR="00EA00D8" w:rsidRDefault="00EA00D8" w:rsidP="00EA00D8">
      <w:pPr>
        <w:pStyle w:val="StandardWeb"/>
      </w:pPr>
      <w:r>
        <w:t>gilt</w:t>
      </w:r>
    </w:p>
    <w:p w:rsidR="00EA00D8" w:rsidRDefault="00EA00D8" w:rsidP="00EA00D8">
      <w:pPr>
        <w:pStyle w:val="StandardWeb"/>
      </w:pPr>
      <w:r>
        <w:t>[</w:t>
      </w:r>
      <w:r>
        <w:br/>
        <w:t>H_{\mathrm{Ax}}(\mathcal H_C)=0.</w:t>
      </w:r>
      <w:r>
        <w:br/>
        <w:t>\tag{3.9411}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H_{\mathrm{Ax}}(\mathcal H_C)=0</w:t>
      </w:r>
    </w:p>
    <w:p w:rsidR="00EA00D8" w:rsidRDefault="00EA00D8" w:rsidP="00EA00D8">
      <w:pPr>
        <w:pStyle w:val="StandardWeb"/>
      </w:pPr>
      <w:r>
        <w:t>Mehrkomponentenrelationen können durch andere mathematische Strukturen repräsentiert werden.</w:t>
      </w:r>
    </w:p>
    <w:p w:rsidR="00EA00D8" w:rsidRDefault="00E50336" w:rsidP="00EA00D8">
      <w:r>
        <w:pict>
          <v:rect id="_x0000_i2783" style="width:0;height:1.5pt" o:hralign="center" o:hrstd="t" o:hr="t" fillcolor="#a0a0a0" stroked="f"/>
        </w:pict>
      </w:r>
    </w:p>
    <w:p w:rsidR="00EA00D8" w:rsidRDefault="00EA00D8" w:rsidP="00EA00D8">
      <w:pPr>
        <w:pStyle w:val="berschrift1"/>
      </w:pPr>
      <w:r>
        <w:t>3.3.43.620 Prüfung des Raum-Zeit-Kohärenzkerns</w:t>
      </w:r>
    </w:p>
    <w:p w:rsidR="00EA00D8" w:rsidRDefault="00EA00D8" w:rsidP="00EA00D8">
      <w:pPr>
        <w:pStyle w:val="StandardWeb"/>
      </w:pPr>
      <w:r>
        <w:t>Der Kernel</w:t>
      </w:r>
    </w:p>
    <w:p w:rsidR="00EA00D8" w:rsidRDefault="00EA00D8" w:rsidP="00EA00D8">
      <w:pPr>
        <w:pStyle w:val="StandardWeb"/>
      </w:pPr>
      <w:r>
        <w:t>[</w:t>
      </w:r>
      <w:r>
        <w:br/>
        <w:t>K_C:</w:t>
      </w:r>
      <w:r>
        <w:br/>
        <w:t>\Omega_{ST}\times\Omega_{ST}</w:t>
      </w:r>
      <w:r>
        <w:br/>
        <w:t>\rightarrow</w:t>
      </w:r>
      <w:r>
        <w:br/>
        <w:t>[0,1]</w:t>
      </w:r>
      <w:r>
        <w:br/>
        <w:t>\tag{3.9412}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K_C:\Omega_{ST}\times\Omega_{ST}\rightarrow[0,1]</w:t>
      </w:r>
    </w:p>
    <w:p w:rsidR="00EA00D8" w:rsidRDefault="00EA00D8" w:rsidP="00EA00D8">
      <w:pPr>
        <w:pStyle w:val="StandardWeb"/>
      </w:pPr>
      <w:r>
        <w:t>ist ebenfalls eine optionale mathematische Repräsentation.</w:t>
      </w:r>
    </w:p>
    <w:p w:rsidR="00EA00D8" w:rsidRDefault="00EA00D8" w:rsidP="00EA00D8">
      <w:pPr>
        <w:pStyle w:val="StandardWeb"/>
      </w:pPr>
      <w:r>
        <w:t>Es folgt nicht</w:t>
      </w:r>
    </w:p>
    <w:p w:rsidR="00EA00D8" w:rsidRDefault="00EA00D8" w:rsidP="00EA00D8">
      <w:pPr>
        <w:pStyle w:val="StandardWeb"/>
      </w:pPr>
      <w:r>
        <w:t>[</w:t>
      </w:r>
      <w:r>
        <w:br/>
        <w:t>A_C</w:t>
      </w:r>
      <w:r>
        <w:br/>
        <w:t>\Rightarrow</w:t>
      </w:r>
      <w:r>
        <w:br/>
        <w:t>\exists K_C.</w:t>
      </w:r>
      <w:r>
        <w:br/>
        <w:t>\tag{3.9413}</w:t>
      </w:r>
      <w:r>
        <w:br/>
        <w:t>]</w:t>
      </w:r>
    </w:p>
    <w:p w:rsidR="00EA00D8" w:rsidRDefault="00EA00D8" w:rsidP="00EA00D8">
      <w:pPr>
        <w:pStyle w:val="StandardWeb"/>
      </w:pPr>
      <w:r>
        <w:rPr>
          <w:rStyle w:val="Fett"/>
        </w:rPr>
        <w:lastRenderedPageBreak/>
        <w:t>Word-LaTeX</w:t>
      </w:r>
    </w:p>
    <w:p w:rsidR="00EA00D8" w:rsidRDefault="00EA00D8" w:rsidP="00EA00D8">
      <w:pPr>
        <w:pStyle w:val="HTMLVorformatiert"/>
        <w:rPr>
          <w:rStyle w:val="HTMLCode"/>
        </w:rPr>
      </w:pPr>
      <w:r>
        <w:rPr>
          <w:rStyle w:val="HTMLCode"/>
        </w:rPr>
        <w:t>A_C\Rightarrow\exists K_C</w:t>
      </w:r>
    </w:p>
    <w:p w:rsidR="00EA00D8" w:rsidRDefault="00EA00D8" w:rsidP="00EA00D8">
      <w:pPr>
        <w:pStyle w:val="StandardWeb"/>
      </w:pPr>
      <w:r>
        <w:t>Somit gilt</w:t>
      </w:r>
    </w:p>
    <w:p w:rsidR="00EA00D8" w:rsidRDefault="00EA00D8" w:rsidP="00EA00D8">
      <w:pPr>
        <w:pStyle w:val="StandardWeb"/>
      </w:pPr>
      <w:r>
        <w:t>[</w:t>
      </w:r>
      <w:r>
        <w:br/>
        <w:t>\boxed{</w:t>
      </w:r>
      <w:r>
        <w:br/>
        <w:t>H_{\mathrm{Ax}}(K_C)=0.</w:t>
      </w:r>
      <w:r>
        <w:br/>
        <w:t>}</w:t>
      </w:r>
      <w:r>
        <w:br/>
        <w:t>\tag{3.9414}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\boxed{H_{\mathrm{Ax}}(K_C)=0.}</w:t>
      </w:r>
    </w:p>
    <w:p w:rsidR="00EA00D8" w:rsidRDefault="00E50336" w:rsidP="00EA00D8">
      <w:r>
        <w:pict>
          <v:rect id="_x0000_i2784" style="width:0;height:1.5pt" o:hralign="center" o:hrstd="t" o:hr="t" fillcolor="#a0a0a0" stroked="f"/>
        </w:pict>
      </w:r>
    </w:p>
    <w:p w:rsidR="00EA00D8" w:rsidRDefault="00EA00D8" w:rsidP="00EA00D8">
      <w:pPr>
        <w:pStyle w:val="berschrift1"/>
      </w:pPr>
      <w:r>
        <w:t>3.3.43.621 Prüfung der Kernelsymmetrie</w:t>
      </w:r>
    </w:p>
    <w:p w:rsidR="00EA00D8" w:rsidRDefault="00EA00D8" w:rsidP="00EA00D8">
      <w:pPr>
        <w:pStyle w:val="StandardWeb"/>
      </w:pPr>
      <w:r>
        <w:t>Auch eine Symmetriebedingung</w:t>
      </w:r>
    </w:p>
    <w:p w:rsidR="00EA00D8" w:rsidRDefault="00EA00D8" w:rsidP="00EA00D8">
      <w:pPr>
        <w:pStyle w:val="StandardWeb"/>
      </w:pPr>
      <w:r>
        <w:t>[</w:t>
      </w:r>
      <w:r>
        <w:br/>
        <w:t>K_C(a,b)=K_C(b,a)</w:t>
      </w:r>
      <w:r>
        <w:br/>
        <w:t>\tag{3.9415}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K_C(a,b)=K_C(b,a)</w:t>
      </w:r>
    </w:p>
    <w:p w:rsidR="00EA00D8" w:rsidRDefault="00EA00D8" w:rsidP="00EA00D8">
      <w:pPr>
        <w:pStyle w:val="StandardWeb"/>
      </w:pPr>
      <w:r>
        <w:t>ist nicht implizit vorausgesetzt.</w:t>
      </w:r>
    </w:p>
    <w:p w:rsidR="00EA00D8" w:rsidRDefault="00EA00D8" w:rsidP="00EA00D8">
      <w:pPr>
        <w:pStyle w:val="StandardWeb"/>
      </w:pPr>
      <w:r>
        <w:t>Daher gilt</w:t>
      </w:r>
    </w:p>
    <w:p w:rsidR="00EA00D8" w:rsidRDefault="00EA00D8" w:rsidP="00EA00D8">
      <w:pPr>
        <w:pStyle w:val="berschrift1"/>
      </w:pPr>
      <w:r>
        <w:t>[</w:t>
      </w:r>
      <w:r>
        <w:br/>
        <w:t>H_{\mathrm{Ax}}</w:t>
      </w:r>
      <w:r>
        <w:br/>
        <w:t>\left(</w:t>
      </w:r>
      <w:r>
        <w:br/>
        <w:t>K_C(a,b)=K_C(b,a)</w:t>
      </w:r>
      <w:r>
        <w:br/>
        <w:t>\right)</w:t>
      </w:r>
    </w:p>
    <w:p w:rsidR="00EA00D8" w:rsidRDefault="00EA00D8" w:rsidP="00152216">
      <w:pPr>
        <w:numPr>
          <w:ilvl w:val="0"/>
          <w:numId w:val="432"/>
        </w:numPr>
        <w:spacing w:before="100" w:beforeAutospacing="1" w:after="100" w:afterAutospacing="1"/>
      </w:pPr>
    </w:p>
    <w:p w:rsidR="00EA00D8" w:rsidRDefault="00EA00D8" w:rsidP="00EA00D8">
      <w:pPr>
        <w:pStyle w:val="StandardWeb"/>
      </w:pPr>
      <w:r>
        <w:t>\tag{3.9416}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lastRenderedPageBreak/>
        <w:t>H_{\mathrm{Ax}}\left(K_C(a,b)=K_C(b,a)\right)=0</w:t>
      </w:r>
    </w:p>
    <w:p w:rsidR="00EA00D8" w:rsidRDefault="00E50336" w:rsidP="00EA00D8">
      <w:r>
        <w:pict>
          <v:rect id="_x0000_i2785" style="width:0;height:1.5pt" o:hralign="center" o:hrstd="t" o:hr="t" fillcolor="#a0a0a0" stroked="f"/>
        </w:pict>
      </w:r>
    </w:p>
    <w:p w:rsidR="00EA00D8" w:rsidRDefault="00EA00D8" w:rsidP="00EA00D8">
      <w:pPr>
        <w:pStyle w:val="berschrift1"/>
      </w:pPr>
      <w:r>
        <w:t>3.3.43.622 Prüfung der Transitivität</w:t>
      </w:r>
    </w:p>
    <w:p w:rsidR="00EA00D8" w:rsidRDefault="00EA00D8" w:rsidP="00EA00D8">
      <w:pPr>
        <w:pStyle w:val="StandardWeb"/>
      </w:pPr>
      <w:r>
        <w:t>Eine mögliche Relation</w:t>
      </w:r>
    </w:p>
    <w:p w:rsidR="00EA00D8" w:rsidRDefault="00EA00D8" w:rsidP="00EA00D8">
      <w:pPr>
        <w:pStyle w:val="StandardWeb"/>
      </w:pPr>
      <w:r>
        <w:t>[</w:t>
      </w:r>
      <w:r>
        <w:br/>
        <w:t>C_{ij}&gt;0</w:t>
      </w:r>
      <w:r>
        <w:br/>
        <w:t>\land</w:t>
      </w:r>
      <w:r>
        <w:br/>
        <w:t>C_{jk}&gt;0</w:t>
      </w:r>
      <w:r>
        <w:br/>
        <w:t>\Rightarrow</w:t>
      </w:r>
      <w:r>
        <w:br/>
        <w:t>C_{ik}&gt;0</w:t>
      </w:r>
      <w:r>
        <w:br/>
        <w:t>\tag{3.9417}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C_{ij}&gt;0\land C_{jk}&gt;0\Rightarrow C_{ik}&gt;0</w:t>
      </w:r>
    </w:p>
    <w:p w:rsidR="00EA00D8" w:rsidRDefault="00EA00D8" w:rsidP="00EA00D8">
      <w:pPr>
        <w:pStyle w:val="StandardWeb"/>
      </w:pPr>
      <w:r>
        <w:t>ist nicht Bestandteil der allgemeinen Kohärenzdefinition.</w:t>
      </w:r>
    </w:p>
    <w:p w:rsidR="00EA00D8" w:rsidRDefault="00EA00D8" w:rsidP="00EA00D8">
      <w:pPr>
        <w:pStyle w:val="StandardWeb"/>
      </w:pPr>
      <w:r>
        <w:t>Daher gilt</w:t>
      </w:r>
    </w:p>
    <w:p w:rsidR="00EA00D8" w:rsidRDefault="00EA00D8" w:rsidP="00EA00D8">
      <w:pPr>
        <w:pStyle w:val="StandardWeb"/>
      </w:pPr>
      <w:r>
        <w:t>[</w:t>
      </w:r>
      <w:r>
        <w:br/>
        <w:t>H_{\mathrm{Ax}}(\mathrm{Transitivität})=0.</w:t>
      </w:r>
      <w:r>
        <w:br/>
        <w:t>\tag{3.9418}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H_{\mathrm{Ax}}(\mathrm{Transitivität})=0</w:t>
      </w:r>
    </w:p>
    <w:p w:rsidR="00EA00D8" w:rsidRDefault="00E50336" w:rsidP="00EA00D8">
      <w:r>
        <w:pict>
          <v:rect id="_x0000_i2786" style="width:0;height:1.5pt" o:hralign="center" o:hrstd="t" o:hr="t" fillcolor="#a0a0a0" stroked="f"/>
        </w:pict>
      </w:r>
    </w:p>
    <w:p w:rsidR="00EA00D8" w:rsidRDefault="00EA00D8" w:rsidP="00EA00D8">
      <w:pPr>
        <w:pStyle w:val="berschrift1"/>
      </w:pPr>
      <w:r>
        <w:t>3.3.43.623 Prüfung der Reflexivität</w:t>
      </w:r>
    </w:p>
    <w:p w:rsidR="00EA00D8" w:rsidRDefault="00EA00D8" w:rsidP="00EA00D8">
      <w:pPr>
        <w:pStyle w:val="StandardWeb"/>
      </w:pPr>
      <w:r>
        <w:t>Ebenso wird</w:t>
      </w:r>
    </w:p>
    <w:p w:rsidR="00EA00D8" w:rsidRDefault="00EA00D8" w:rsidP="00EA00D8">
      <w:pPr>
        <w:pStyle w:val="StandardWeb"/>
      </w:pPr>
      <w:r>
        <w:t>[</w:t>
      </w:r>
      <w:r>
        <w:br/>
        <w:t>C_{ii}=1</w:t>
      </w:r>
      <w:r>
        <w:br/>
        <w:t>\tag{3.9419}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C_{ii}=1</w:t>
      </w:r>
    </w:p>
    <w:p w:rsidR="00EA00D8" w:rsidRDefault="00EA00D8" w:rsidP="00EA00D8">
      <w:pPr>
        <w:pStyle w:val="StandardWeb"/>
      </w:pPr>
      <w:r>
        <w:t>nicht für alle Kohärenzmodelle vorausgesetzt.</w:t>
      </w:r>
    </w:p>
    <w:p w:rsidR="00EA00D8" w:rsidRDefault="00EA00D8" w:rsidP="00EA00D8">
      <w:pPr>
        <w:pStyle w:val="StandardWeb"/>
      </w:pPr>
      <w:r>
        <w:t>Somit gilt</w:t>
      </w:r>
    </w:p>
    <w:p w:rsidR="00EA00D8" w:rsidRDefault="00EA00D8" w:rsidP="00EA00D8">
      <w:pPr>
        <w:pStyle w:val="StandardWeb"/>
      </w:pPr>
      <w:r>
        <w:lastRenderedPageBreak/>
        <w:t>[</w:t>
      </w:r>
      <w:r>
        <w:br/>
        <w:t>H_{\mathrm{Ax}}(\mathrm{Reflexivität})=0.</w:t>
      </w:r>
      <w:r>
        <w:br/>
        <w:t>\tag{3.9420}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H_{\mathrm{Ax}}(\mathrm{Reflexivität})=0</w:t>
      </w:r>
    </w:p>
    <w:p w:rsidR="00EA00D8" w:rsidRDefault="00E50336" w:rsidP="00EA00D8">
      <w:r>
        <w:pict>
          <v:rect id="_x0000_i2787" style="width:0;height:1.5pt" o:hralign="center" o:hrstd="t" o:hr="t" fillcolor="#a0a0a0" stroked="f"/>
        </w:pict>
      </w:r>
    </w:p>
    <w:p w:rsidR="00EA00D8" w:rsidRDefault="00EA00D8" w:rsidP="00EA00D8">
      <w:pPr>
        <w:pStyle w:val="berschrift1"/>
      </w:pPr>
      <w:r>
        <w:t>3.3.43.624 Prüfung der räumlichen Lokalität</w:t>
      </w:r>
    </w:p>
    <w:p w:rsidR="00EA00D8" w:rsidRDefault="00EA00D8" w:rsidP="00EA00D8">
      <w:pPr>
        <w:pStyle w:val="StandardWeb"/>
      </w:pPr>
      <w:r>
        <w:t>Auch eine Lokalitätsbedingung</w:t>
      </w:r>
    </w:p>
    <w:p w:rsidR="00EA00D8" w:rsidRDefault="00EA00D8" w:rsidP="00EA00D8">
      <w:pPr>
        <w:pStyle w:val="StandardWeb"/>
      </w:pPr>
      <w:r>
        <w:t>[</w:t>
      </w:r>
      <w:r>
        <w:br/>
        <w:t>C_F(X_i,X_j)&gt;0</w:t>
      </w:r>
      <w:r>
        <w:br/>
        <w:t>\Rightarrow</w:t>
      </w:r>
      <w:r>
        <w:br/>
        <w:t>d_{ST}(i,j)\leq d_{\max}</w:t>
      </w:r>
      <w:r>
        <w:br/>
        <w:t>\tag{3.9421}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C_F(X_i,X_j)&gt;0\Rightarrow d_{ST}(i,j)\leq d_{\max}</w:t>
      </w:r>
    </w:p>
    <w:p w:rsidR="00EA00D8" w:rsidRDefault="00EA00D8" w:rsidP="00EA00D8">
      <w:pPr>
        <w:pStyle w:val="StandardWeb"/>
      </w:pPr>
      <w:r>
        <w:t>wird nicht vorausgesetzt.</w:t>
      </w:r>
    </w:p>
    <w:p w:rsidR="00EA00D8" w:rsidRDefault="00EA00D8" w:rsidP="00EA00D8">
      <w:pPr>
        <w:pStyle w:val="StandardWeb"/>
      </w:pPr>
      <w:r>
        <w:t>Daher gilt</w:t>
      </w:r>
    </w:p>
    <w:p w:rsidR="00EA00D8" w:rsidRDefault="00EA00D8" w:rsidP="00EA00D8">
      <w:pPr>
        <w:pStyle w:val="StandardWeb"/>
      </w:pPr>
      <w:r>
        <w:t>[</w:t>
      </w:r>
      <w:r>
        <w:br/>
        <w:t>H_{\mathrm{Ax}}(\mathrm{Lokalität})=0.</w:t>
      </w:r>
      <w:r>
        <w:br/>
        <w:t>\tag{3.9422}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H_{\mathrm{Ax}}(\mathrm{Lokalität})=0</w:t>
      </w:r>
    </w:p>
    <w:p w:rsidR="00EA00D8" w:rsidRDefault="00E50336" w:rsidP="00EA00D8">
      <w:r>
        <w:pict>
          <v:rect id="_x0000_i2788" style="width:0;height:1.5pt" o:hralign="center" o:hrstd="t" o:hr="t" fillcolor="#a0a0a0" stroked="f"/>
        </w:pict>
      </w:r>
    </w:p>
    <w:p w:rsidR="00EA00D8" w:rsidRDefault="00EA00D8" w:rsidP="00EA00D8">
      <w:pPr>
        <w:pStyle w:val="berschrift1"/>
      </w:pPr>
      <w:r>
        <w:t>3.3.43.625 Prüfung der monotonen Distanzabhängigkeit</w:t>
      </w:r>
    </w:p>
    <w:p w:rsidR="00EA00D8" w:rsidRDefault="00EA00D8" w:rsidP="00EA00D8">
      <w:pPr>
        <w:pStyle w:val="StandardWeb"/>
      </w:pPr>
      <w:r>
        <w:t>Ebenso ist</w:t>
      </w:r>
    </w:p>
    <w:p w:rsidR="00EA00D8" w:rsidRDefault="00EA00D8" w:rsidP="00EA00D8">
      <w:pPr>
        <w:pStyle w:val="StandardWeb"/>
      </w:pPr>
      <w:r>
        <w:t>[</w:t>
      </w:r>
      <w:r>
        <w:br/>
        <w:t>d_{ST}\uparrow</w:t>
      </w:r>
      <w:r>
        <w:br/>
        <w:t>\Rightarrow</w:t>
      </w:r>
      <w:r>
        <w:br/>
        <w:t>C_F\downarrow</w:t>
      </w:r>
      <w:r>
        <w:br/>
      </w:r>
      <w:r>
        <w:lastRenderedPageBreak/>
        <w:t>\tag{3.9423}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d_{ST}\uparrow\Rightarrow C_F\downarrow</w:t>
      </w:r>
    </w:p>
    <w:p w:rsidR="00EA00D8" w:rsidRDefault="00EA00D8" w:rsidP="00EA00D8">
      <w:pPr>
        <w:pStyle w:val="StandardWeb"/>
      </w:pPr>
      <w:r>
        <w:t>keine axiomatische Annahme.</w:t>
      </w:r>
    </w:p>
    <w:p w:rsidR="00EA00D8" w:rsidRDefault="00EA00D8" w:rsidP="00EA00D8">
      <w:pPr>
        <w:pStyle w:val="StandardWeb"/>
      </w:pPr>
      <w:r>
        <w:t>Damit gilt</w:t>
      </w:r>
    </w:p>
    <w:p w:rsidR="00EA00D8" w:rsidRDefault="00EA00D8" w:rsidP="00EA00D8">
      <w:pPr>
        <w:pStyle w:val="StandardWeb"/>
      </w:pPr>
      <w:r>
        <w:t>[</w:t>
      </w:r>
      <w:r>
        <w:br/>
        <w:t>H_{\mathrm{Ax}}(\mathrm{Monotonie})=0.</w:t>
      </w:r>
      <w:r>
        <w:br/>
        <w:t>\tag{3.9424}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H_{\mathrm{Ax}}(\mathrm{Monotonie})=0</w:t>
      </w:r>
    </w:p>
    <w:p w:rsidR="00EA00D8" w:rsidRDefault="00E50336" w:rsidP="00EA00D8">
      <w:r>
        <w:pict>
          <v:rect id="_x0000_i2789" style="width:0;height:1.5pt" o:hralign="center" o:hrstd="t" o:hr="t" fillcolor="#a0a0a0" stroked="f"/>
        </w:pict>
      </w:r>
    </w:p>
    <w:p w:rsidR="00EA00D8" w:rsidRDefault="00EA00D8" w:rsidP="00EA00D8">
      <w:pPr>
        <w:pStyle w:val="berschrift1"/>
      </w:pPr>
      <w:r>
        <w:t>3.3.43.626 Prüfung der Kohärenzreichweite</w:t>
      </w:r>
    </w:p>
    <w:p w:rsidR="00EA00D8" w:rsidRDefault="00EA00D8" w:rsidP="00EA00D8">
      <w:pPr>
        <w:pStyle w:val="StandardWeb"/>
      </w:pPr>
      <w:r>
        <w:t>Eine endliche Reichweite</w:t>
      </w:r>
    </w:p>
    <w:p w:rsidR="00EA00D8" w:rsidRDefault="00EA00D8" w:rsidP="00EA00D8">
      <w:pPr>
        <w:pStyle w:val="StandardWeb"/>
      </w:pPr>
      <w:r>
        <w:t>[</w:t>
      </w:r>
      <w:r>
        <w:br/>
        <w:t>L_C&lt;\infty</w:t>
      </w:r>
      <w:r>
        <w:br/>
        <w:t>\tag{3.9425}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L_C&lt;\infty</w:t>
      </w:r>
    </w:p>
    <w:p w:rsidR="00EA00D8" w:rsidRDefault="00EA00D8" w:rsidP="00EA00D8">
      <w:pPr>
        <w:pStyle w:val="StandardWeb"/>
      </w:pPr>
      <w:r>
        <w:t>wird ebenfalls nicht vorausgesetzt.</w:t>
      </w:r>
    </w:p>
    <w:p w:rsidR="00EA00D8" w:rsidRDefault="00EA00D8" w:rsidP="00EA00D8">
      <w:pPr>
        <w:pStyle w:val="StandardWeb"/>
      </w:pPr>
      <w:r>
        <w:t>Daher gilt</w:t>
      </w:r>
    </w:p>
    <w:p w:rsidR="00EA00D8" w:rsidRDefault="00EA00D8" w:rsidP="00EA00D8">
      <w:pPr>
        <w:pStyle w:val="StandardWeb"/>
      </w:pPr>
      <w:r>
        <w:t>[</w:t>
      </w:r>
      <w:r>
        <w:br/>
        <w:t>H_{\mathrm{Ax}}(L_C&lt;\infty)=0.</w:t>
      </w:r>
      <w:r>
        <w:br/>
        <w:t>\tag{3.9426}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H_{\mathrm{Ax}}(L_C&lt;\infty)=0</w:t>
      </w:r>
    </w:p>
    <w:p w:rsidR="00EA00D8" w:rsidRDefault="00E50336" w:rsidP="00EA00D8">
      <w:r>
        <w:pict>
          <v:rect id="_x0000_i2790" style="width:0;height:1.5pt" o:hralign="center" o:hrstd="t" o:hr="t" fillcolor="#a0a0a0" stroked="f"/>
        </w:pict>
      </w:r>
    </w:p>
    <w:p w:rsidR="00EA00D8" w:rsidRDefault="00EA00D8" w:rsidP="00EA00D8">
      <w:pPr>
        <w:pStyle w:val="berschrift1"/>
      </w:pPr>
      <w:r>
        <w:t>3.3.43.627 Prüfung einer maximalen Kohärenzgeschwindigkeit</w:t>
      </w:r>
    </w:p>
    <w:p w:rsidR="00EA00D8" w:rsidRDefault="00EA00D8" w:rsidP="00EA00D8">
      <w:pPr>
        <w:pStyle w:val="StandardWeb"/>
      </w:pPr>
      <w:r>
        <w:lastRenderedPageBreak/>
        <w:t>Von besonderer Bedeutung ist erneut die mögliche Fehlinterpretation einer Kohärenzpropagation als physikalische Signalübertragung.</w:t>
      </w:r>
    </w:p>
    <w:p w:rsidR="00EA00D8" w:rsidRDefault="00EA00D8" w:rsidP="00EA00D8">
      <w:pPr>
        <w:pStyle w:val="StandardWeb"/>
      </w:pPr>
      <w:r>
        <w:t>Es gilt weder</w:t>
      </w:r>
    </w:p>
    <w:p w:rsidR="00EA00D8" w:rsidRDefault="00EA00D8" w:rsidP="00EA00D8">
      <w:pPr>
        <w:pStyle w:val="StandardWeb"/>
      </w:pPr>
      <w:r>
        <w:t>[</w:t>
      </w:r>
      <w:r>
        <w:br/>
        <w:t>A_C</w:t>
      </w:r>
      <w:r>
        <w:br/>
        <w:t>\Rightarrow</w:t>
      </w:r>
      <w:r>
        <w:br/>
        <w:t>v_C=c</w:t>
      </w:r>
      <w:r>
        <w:br/>
        <w:t>\tag{3.9427}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A_C\Rightarrow v_C=c</w:t>
      </w:r>
    </w:p>
    <w:p w:rsidR="00EA00D8" w:rsidRDefault="00EA00D8" w:rsidP="00EA00D8">
      <w:pPr>
        <w:pStyle w:val="StandardWeb"/>
      </w:pPr>
      <w:r>
        <w:t>noch</w:t>
      </w:r>
    </w:p>
    <w:p w:rsidR="00EA00D8" w:rsidRDefault="00EA00D8" w:rsidP="00EA00D8">
      <w:pPr>
        <w:pStyle w:val="StandardWeb"/>
      </w:pPr>
      <w:r>
        <w:t>[</w:t>
      </w:r>
      <w:r>
        <w:br/>
        <w:t>A_C</w:t>
      </w:r>
      <w:r>
        <w:br/>
        <w:t>\Rightarrow</w:t>
      </w:r>
      <w:r>
        <w:br/>
        <w:t>v_C\leq c.</w:t>
      </w:r>
      <w:r>
        <w:br/>
        <w:t>\tag{3.9428}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A_C\Rightarrow v_C\leq c</w:t>
      </w:r>
    </w:p>
    <w:p w:rsidR="00EA00D8" w:rsidRDefault="00EA00D8" w:rsidP="00EA00D8">
      <w:pPr>
        <w:pStyle w:val="StandardWeb"/>
      </w:pPr>
      <w:r>
        <w:t>Eine solche Bedingung kann erst innerhalb einer konkreten physikalischen Raum-Zeit- und Kausalstruktur bewertet werden. [35]</w:t>
      </w:r>
    </w:p>
    <w:p w:rsidR="00EA00D8" w:rsidRDefault="00EA00D8" w:rsidP="00EA00D8">
      <w:pPr>
        <w:pStyle w:val="StandardWeb"/>
      </w:pPr>
      <w:r>
        <w:t>Damit gilt</w:t>
      </w:r>
    </w:p>
    <w:p w:rsidR="00EA00D8" w:rsidRDefault="00EA00D8" w:rsidP="00EA00D8">
      <w:pPr>
        <w:pStyle w:val="StandardWeb"/>
      </w:pPr>
      <w:r>
        <w:t>[</w:t>
      </w:r>
      <w:r>
        <w:br/>
        <w:t>H_{\mathrm{Ax}}(v_C\leq c)=0.</w:t>
      </w:r>
      <w:r>
        <w:br/>
        <w:t>\tag{3.9429}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H_{\mathrm{Ax}}(v_C\leq c)=0</w:t>
      </w:r>
    </w:p>
    <w:p w:rsidR="00EA00D8" w:rsidRDefault="00E50336" w:rsidP="00EA00D8">
      <w:r>
        <w:pict>
          <v:rect id="_x0000_i2791" style="width:0;height:1.5pt" o:hralign="center" o:hrstd="t" o:hr="t" fillcolor="#a0a0a0" stroked="f"/>
        </w:pict>
      </w:r>
    </w:p>
    <w:p w:rsidR="00EA00D8" w:rsidRDefault="00EA00D8" w:rsidP="00EA00D8">
      <w:pPr>
        <w:pStyle w:val="berschrift1"/>
      </w:pPr>
      <w:r>
        <w:t>3.3.43.628 Prüfung der Stabilität</w:t>
      </w:r>
    </w:p>
    <w:p w:rsidR="00EA00D8" w:rsidRDefault="00EA00D8" w:rsidP="00EA00D8">
      <w:pPr>
        <w:pStyle w:val="StandardWeb"/>
      </w:pPr>
      <w:r>
        <w:t>Aus (A_C) folgt keine Stabilität.</w:t>
      </w:r>
    </w:p>
    <w:p w:rsidR="00EA00D8" w:rsidRDefault="00EA00D8" w:rsidP="00EA00D8">
      <w:pPr>
        <w:pStyle w:val="StandardWeb"/>
      </w:pPr>
      <w:r>
        <w:t>Insbesondere gilt nicht</w:t>
      </w:r>
    </w:p>
    <w:p w:rsidR="00EA00D8" w:rsidRDefault="00EA00D8" w:rsidP="00EA00D8">
      <w:pPr>
        <w:pStyle w:val="StandardWeb"/>
      </w:pPr>
      <w:r>
        <w:lastRenderedPageBreak/>
        <w:t>[</w:t>
      </w:r>
      <w:r>
        <w:br/>
        <w:t>A_C</w:t>
      </w:r>
      <w:r>
        <w:br/>
        <w:t>\Rightarrow</w:t>
      </w:r>
      <w:r>
        <w:br/>
        <w:t>S_C^{\mathrm{stab}}&gt;0.</w:t>
      </w:r>
      <w:r>
        <w:br/>
        <w:t>\tag{3.9430}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A_C\Rightarrow S_C^{\mathrm{stab}}&gt;0</w:t>
      </w:r>
    </w:p>
    <w:p w:rsidR="00EA00D8" w:rsidRDefault="00EA00D8" w:rsidP="00EA00D8">
      <w:pPr>
        <w:pStyle w:val="StandardWeb"/>
      </w:pPr>
      <w:r>
        <w:t>Damit gilt</w:t>
      </w:r>
    </w:p>
    <w:p w:rsidR="00EA00D8" w:rsidRDefault="00EA00D8" w:rsidP="00EA00D8">
      <w:pPr>
        <w:pStyle w:val="berschrift1"/>
      </w:pPr>
      <w:r>
        <w:t>[</w:t>
      </w:r>
      <w:r>
        <w:br/>
        <w:t>H_{\mathrm{Ax}}</w:t>
      </w:r>
      <w:r>
        <w:br/>
        <w:t>(S_C^{\mathrm{stab}}&gt;0)</w:t>
      </w:r>
    </w:p>
    <w:p w:rsidR="00EA00D8" w:rsidRDefault="00EA00D8" w:rsidP="00152216">
      <w:pPr>
        <w:numPr>
          <w:ilvl w:val="0"/>
          <w:numId w:val="433"/>
        </w:numPr>
        <w:spacing w:before="100" w:beforeAutospacing="1" w:after="100" w:afterAutospacing="1"/>
      </w:pPr>
    </w:p>
    <w:p w:rsidR="00EA00D8" w:rsidRDefault="00EA00D8" w:rsidP="00EA00D8">
      <w:pPr>
        <w:pStyle w:val="StandardWeb"/>
      </w:pPr>
      <w:r>
        <w:t>\tag{3.9431}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H_{\mathrm{Ax}}(S_C^{\mathrm{stab}}&gt;0)=0</w:t>
      </w:r>
    </w:p>
    <w:p w:rsidR="00EA00D8" w:rsidRDefault="00E50336" w:rsidP="00EA00D8">
      <w:r>
        <w:pict>
          <v:rect id="_x0000_i2792" style="width:0;height:1.5pt" o:hralign="center" o:hrstd="t" o:hr="t" fillcolor="#a0a0a0" stroked="f"/>
        </w:pict>
      </w:r>
    </w:p>
    <w:p w:rsidR="00EA00D8" w:rsidRDefault="00EA00D8" w:rsidP="00EA00D8">
      <w:pPr>
        <w:pStyle w:val="berschrift1"/>
      </w:pPr>
      <w:r>
        <w:t>3.3.43.629 Prüfung der Robustheit</w:t>
      </w:r>
    </w:p>
    <w:p w:rsidR="00EA00D8" w:rsidRDefault="00EA00D8" w:rsidP="00EA00D8">
      <w:pPr>
        <w:pStyle w:val="StandardWeb"/>
      </w:pPr>
      <w:r>
        <w:t>Auch Robustheit wird nicht vorausgesetzt:</w:t>
      </w:r>
    </w:p>
    <w:p w:rsidR="00EA00D8" w:rsidRDefault="00EA00D8" w:rsidP="00EA00D8">
      <w:pPr>
        <w:pStyle w:val="StandardWeb"/>
      </w:pPr>
      <w:r>
        <w:t>[</w:t>
      </w:r>
      <w:r>
        <w:br/>
        <w:t>A_C</w:t>
      </w:r>
      <w:r>
        <w:br/>
        <w:t>\nRightarrow</w:t>
      </w:r>
      <w:r>
        <w:br/>
        <w:t>R_C^{\mathrm{rob}}&gt;0.</w:t>
      </w:r>
      <w:r>
        <w:br/>
        <w:t>\tag{3.9432}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A_C\nRightarrow R_C^{\mathrm{rob}}&gt;0</w:t>
      </w:r>
    </w:p>
    <w:p w:rsidR="00EA00D8" w:rsidRDefault="00EA00D8" w:rsidP="00EA00D8">
      <w:pPr>
        <w:pStyle w:val="StandardWeb"/>
      </w:pPr>
      <w:r>
        <w:t>Daher gilt</w:t>
      </w:r>
    </w:p>
    <w:p w:rsidR="00EA00D8" w:rsidRDefault="00EA00D8" w:rsidP="00EA00D8">
      <w:pPr>
        <w:pStyle w:val="berschrift1"/>
      </w:pPr>
      <w:r>
        <w:lastRenderedPageBreak/>
        <w:t>[</w:t>
      </w:r>
      <w:r>
        <w:br/>
        <w:t>H_{\mathrm{Ax}}</w:t>
      </w:r>
      <w:r>
        <w:br/>
        <w:t>(R_C^{\mathrm{rob}}&gt;0)</w:t>
      </w:r>
    </w:p>
    <w:p w:rsidR="00EA00D8" w:rsidRDefault="00EA00D8" w:rsidP="00152216">
      <w:pPr>
        <w:numPr>
          <w:ilvl w:val="0"/>
          <w:numId w:val="434"/>
        </w:numPr>
        <w:spacing w:before="100" w:beforeAutospacing="1" w:after="100" w:afterAutospacing="1"/>
      </w:pPr>
    </w:p>
    <w:p w:rsidR="00EA00D8" w:rsidRDefault="00EA00D8" w:rsidP="00EA00D8">
      <w:pPr>
        <w:pStyle w:val="StandardWeb"/>
      </w:pPr>
      <w:r>
        <w:t>\tag{3.9433}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H_{\mathrm{Ax}}(R_C^{\mathrm{rob}}&gt;0)=0</w:t>
      </w:r>
    </w:p>
    <w:p w:rsidR="00EA00D8" w:rsidRDefault="00E50336" w:rsidP="00EA00D8">
      <w:r>
        <w:pict>
          <v:rect id="_x0000_i2793" style="width:0;height:1.5pt" o:hralign="center" o:hrstd="t" o:hr="t" fillcolor="#a0a0a0" stroked="f"/>
        </w:pict>
      </w:r>
    </w:p>
    <w:p w:rsidR="00EA00D8" w:rsidRDefault="00EA00D8" w:rsidP="00EA00D8">
      <w:pPr>
        <w:pStyle w:val="berschrift1"/>
      </w:pPr>
      <w:r>
        <w:t>3.3.43.630 Prüfung der Resilienz</w:t>
      </w:r>
    </w:p>
    <w:p w:rsidR="00EA00D8" w:rsidRDefault="00EA00D8" w:rsidP="00EA00D8">
      <w:pPr>
        <w:pStyle w:val="StandardWeb"/>
      </w:pPr>
      <w:r>
        <w:t>Analog gilt</w:t>
      </w:r>
    </w:p>
    <w:p w:rsidR="00EA00D8" w:rsidRDefault="00EA00D8" w:rsidP="00EA00D8">
      <w:pPr>
        <w:pStyle w:val="StandardWeb"/>
      </w:pPr>
      <w:r>
        <w:t>[</w:t>
      </w:r>
      <w:r>
        <w:br/>
        <w:t>A_C</w:t>
      </w:r>
      <w:r>
        <w:br/>
        <w:t>\nRightarrow</w:t>
      </w:r>
      <w:r>
        <w:br/>
        <w:t>R_C^{\mathrm{res}}&gt;0</w:t>
      </w:r>
      <w:r>
        <w:br/>
        <w:t>\tag{3.9434}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A_C\nRightarrow R_C^{\mathrm{res}}&gt;0</w:t>
      </w:r>
    </w:p>
    <w:p w:rsidR="00EA00D8" w:rsidRDefault="00EA00D8" w:rsidP="00EA00D8">
      <w:pPr>
        <w:pStyle w:val="StandardWeb"/>
      </w:pPr>
      <w:r>
        <w:t>und damit</w:t>
      </w:r>
    </w:p>
    <w:p w:rsidR="00EA00D8" w:rsidRDefault="00EA00D8" w:rsidP="00EA00D8">
      <w:pPr>
        <w:pStyle w:val="berschrift1"/>
      </w:pPr>
      <w:r>
        <w:t>[</w:t>
      </w:r>
      <w:r>
        <w:br/>
        <w:t>H_{\mathrm{Ax}}</w:t>
      </w:r>
      <w:r>
        <w:br/>
        <w:t>(R_C^{\mathrm{res}}&gt;0)</w:t>
      </w:r>
    </w:p>
    <w:p w:rsidR="00EA00D8" w:rsidRDefault="00EA00D8" w:rsidP="00152216">
      <w:pPr>
        <w:numPr>
          <w:ilvl w:val="0"/>
          <w:numId w:val="435"/>
        </w:numPr>
        <w:spacing w:before="100" w:beforeAutospacing="1" w:after="100" w:afterAutospacing="1"/>
      </w:pPr>
    </w:p>
    <w:p w:rsidR="00EA00D8" w:rsidRDefault="00EA00D8" w:rsidP="00EA00D8">
      <w:pPr>
        <w:pStyle w:val="StandardWeb"/>
      </w:pPr>
      <w:r>
        <w:t>\tag{3.9435}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H_{\mathrm{Ax}}(R_C^{\mathrm{res}}&gt;0)=0</w:t>
      </w:r>
    </w:p>
    <w:p w:rsidR="00EA00D8" w:rsidRDefault="00E50336" w:rsidP="00EA00D8">
      <w:r>
        <w:pict>
          <v:rect id="_x0000_i2794" style="width:0;height:1.5pt" o:hralign="center" o:hrstd="t" o:hr="t" fillcolor="#a0a0a0" stroked="f"/>
        </w:pict>
      </w:r>
    </w:p>
    <w:p w:rsidR="00EA00D8" w:rsidRDefault="00EA00D8" w:rsidP="00EA00D8">
      <w:pPr>
        <w:pStyle w:val="berschrift1"/>
      </w:pPr>
      <w:r>
        <w:lastRenderedPageBreak/>
        <w:t>3.3.43.631 Prüfung eines Kohärenzgedächtnisses</w:t>
      </w:r>
    </w:p>
    <w:p w:rsidR="00EA00D8" w:rsidRDefault="00EA00D8" w:rsidP="00EA00D8">
      <w:pPr>
        <w:pStyle w:val="StandardWeb"/>
      </w:pPr>
      <w:r>
        <w:t>Eine Gedächtnisstruktur</w:t>
      </w:r>
    </w:p>
    <w:p w:rsidR="00EA00D8" w:rsidRDefault="00EA00D8" w:rsidP="00EA00D8">
      <w:pPr>
        <w:pStyle w:val="StandardWeb"/>
      </w:pPr>
      <w:r>
        <w:t>[</w:t>
      </w:r>
      <w:r>
        <w:br/>
        <w:t>\tau_C^{\mathrm{mem}}&gt;0</w:t>
      </w:r>
      <w:r>
        <w:br/>
        <w:t>\tag{3.9436}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\tau_C^{\mathrm{mem}}&gt;0</w:t>
      </w:r>
    </w:p>
    <w:p w:rsidR="00EA00D8" w:rsidRDefault="00EA00D8" w:rsidP="00EA00D8">
      <w:pPr>
        <w:pStyle w:val="StandardWeb"/>
      </w:pPr>
      <w:r>
        <w:t>ist ebenfalls nicht notwendig.</w:t>
      </w:r>
    </w:p>
    <w:p w:rsidR="00EA00D8" w:rsidRDefault="00EA00D8" w:rsidP="00EA00D8">
      <w:pPr>
        <w:pStyle w:val="StandardWeb"/>
      </w:pPr>
      <w:r>
        <w:t>Daher gilt</w:t>
      </w:r>
    </w:p>
    <w:p w:rsidR="00EA00D8" w:rsidRDefault="00EA00D8" w:rsidP="00EA00D8">
      <w:pPr>
        <w:pStyle w:val="berschrift1"/>
      </w:pPr>
      <w:r>
        <w:t>[</w:t>
      </w:r>
      <w:r>
        <w:br/>
        <w:t>H_{\mathrm{Ax}}</w:t>
      </w:r>
      <w:r>
        <w:br/>
        <w:t>(\tau_C^{\mathrm{mem}}&gt;0)</w:t>
      </w:r>
    </w:p>
    <w:p w:rsidR="00EA00D8" w:rsidRDefault="00EA00D8" w:rsidP="00152216">
      <w:pPr>
        <w:numPr>
          <w:ilvl w:val="0"/>
          <w:numId w:val="436"/>
        </w:numPr>
        <w:spacing w:before="100" w:beforeAutospacing="1" w:after="100" w:afterAutospacing="1"/>
      </w:pPr>
    </w:p>
    <w:p w:rsidR="00EA00D8" w:rsidRDefault="00EA00D8" w:rsidP="00EA00D8">
      <w:pPr>
        <w:pStyle w:val="StandardWeb"/>
      </w:pPr>
      <w:r>
        <w:t>\tag{3.9437}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H_{\mathrm{Ax}}(\tau_C^{\mathrm{mem}}&gt;0)=0</w:t>
      </w:r>
    </w:p>
    <w:p w:rsidR="00EA00D8" w:rsidRDefault="00E50336" w:rsidP="00EA00D8">
      <w:r>
        <w:pict>
          <v:rect id="_x0000_i2795" style="width:0;height:1.5pt" o:hralign="center" o:hrstd="t" o:hr="t" fillcolor="#a0a0a0" stroked="f"/>
        </w:pict>
      </w:r>
    </w:p>
    <w:p w:rsidR="00EA00D8" w:rsidRDefault="00EA00D8" w:rsidP="00EA00D8">
      <w:pPr>
        <w:pStyle w:val="berschrift1"/>
      </w:pPr>
      <w:r>
        <w:t>3.3.43.632 Prüfung der Hysterese</w:t>
      </w:r>
    </w:p>
    <w:p w:rsidR="00EA00D8" w:rsidRDefault="00EA00D8" w:rsidP="00EA00D8">
      <w:pPr>
        <w:pStyle w:val="StandardWeb"/>
      </w:pPr>
      <w:r>
        <w:t>Auch die Bedingung</w:t>
      </w:r>
    </w:p>
    <w:p w:rsidR="00EA00D8" w:rsidRDefault="00EA00D8" w:rsidP="00EA00D8">
      <w:pPr>
        <w:pStyle w:val="StandardWeb"/>
      </w:pPr>
      <w:r>
        <w:t>[</w:t>
      </w:r>
      <w:r>
        <w:br/>
        <w:t>C_{\uparrow}(\lambda)</w:t>
      </w:r>
      <w:r>
        <w:br/>
        <w:t>\neq</w:t>
      </w:r>
      <w:r>
        <w:br/>
        <w:t>C_{\downarrow}(\lambda)</w:t>
      </w:r>
      <w:r>
        <w:br/>
        <w:t>\tag{3.9438}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C_{\uparrow}(\lambda)\neq C_{\downarrow}(\lambda)</w:t>
      </w:r>
    </w:p>
    <w:p w:rsidR="00EA00D8" w:rsidRDefault="00EA00D8" w:rsidP="00EA00D8">
      <w:pPr>
        <w:pStyle w:val="StandardWeb"/>
      </w:pPr>
      <w:r>
        <w:t>wird nicht axiomatisch vorausgesetzt.</w:t>
      </w:r>
    </w:p>
    <w:p w:rsidR="00EA00D8" w:rsidRDefault="00EA00D8" w:rsidP="00EA00D8">
      <w:pPr>
        <w:pStyle w:val="StandardWeb"/>
      </w:pPr>
      <w:r>
        <w:lastRenderedPageBreak/>
        <w:t>Damit gilt</w:t>
      </w:r>
    </w:p>
    <w:p w:rsidR="00EA00D8" w:rsidRDefault="00EA00D8" w:rsidP="00EA00D8">
      <w:pPr>
        <w:pStyle w:val="StandardWeb"/>
      </w:pPr>
      <w:r>
        <w:t>[</w:t>
      </w:r>
      <w:r>
        <w:br/>
        <w:t>H_{\mathrm{Ax}}(\mathrm{Hysterese})=0.</w:t>
      </w:r>
      <w:r>
        <w:br/>
        <w:t>\tag{3.9439}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H_{\mathrm{Ax}}(\mathrm{Hysterese})=0</w:t>
      </w:r>
    </w:p>
    <w:p w:rsidR="00EA00D8" w:rsidRDefault="00E50336" w:rsidP="00EA00D8">
      <w:r>
        <w:pict>
          <v:rect id="_x0000_i2796" style="width:0;height:1.5pt" o:hralign="center" o:hrstd="t" o:hr="t" fillcolor="#a0a0a0" stroked="f"/>
        </w:pict>
      </w:r>
    </w:p>
    <w:p w:rsidR="00EA00D8" w:rsidRDefault="00EA00D8" w:rsidP="00EA00D8">
      <w:pPr>
        <w:pStyle w:val="berschrift1"/>
      </w:pPr>
      <w:r>
        <w:t>3.3.43.633 Prüfung von Attraktoren</w:t>
      </w:r>
    </w:p>
    <w:p w:rsidR="00EA00D8" w:rsidRDefault="00EA00D8" w:rsidP="00EA00D8">
      <w:pPr>
        <w:pStyle w:val="StandardWeb"/>
      </w:pPr>
      <w:r>
        <w:t>Ein Kohärenzattraktor (\mathcal A_C) ist eine mögliche Struktur eines Dynamikmodells.</w:t>
      </w:r>
    </w:p>
    <w:p w:rsidR="00EA00D8" w:rsidRDefault="00EA00D8" w:rsidP="00EA00D8">
      <w:pPr>
        <w:pStyle w:val="StandardWeb"/>
      </w:pPr>
      <w:r>
        <w:t>Es gilt nicht</w:t>
      </w:r>
    </w:p>
    <w:p w:rsidR="00EA00D8" w:rsidRDefault="00EA00D8" w:rsidP="00EA00D8">
      <w:pPr>
        <w:pStyle w:val="StandardWeb"/>
      </w:pPr>
      <w:r>
        <w:t>[</w:t>
      </w:r>
      <w:r>
        <w:br/>
        <w:t>A_C</w:t>
      </w:r>
      <w:r>
        <w:br/>
        <w:t>\Rightarrow</w:t>
      </w:r>
      <w:r>
        <w:br/>
        <w:t>\exists\mathcal A_C.</w:t>
      </w:r>
      <w:r>
        <w:br/>
        <w:t>\tag{3.9440}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A_C\Rightarrow\exists\mathcal A_C</w:t>
      </w:r>
    </w:p>
    <w:p w:rsidR="00EA00D8" w:rsidRDefault="00EA00D8" w:rsidP="00EA00D8">
      <w:pPr>
        <w:pStyle w:val="StandardWeb"/>
      </w:pPr>
      <w:r>
        <w:t>Daher gilt</w:t>
      </w:r>
    </w:p>
    <w:p w:rsidR="00EA00D8" w:rsidRDefault="00EA00D8" w:rsidP="00EA00D8">
      <w:pPr>
        <w:pStyle w:val="StandardWeb"/>
      </w:pPr>
      <w:r>
        <w:t>[</w:t>
      </w:r>
      <w:r>
        <w:br/>
        <w:t>H_{\mathrm{Ax}}(\mathcal A_C)=0.</w:t>
      </w:r>
      <w:r>
        <w:br/>
        <w:t>\tag{3.9441}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H_{\mathrm{Ax}}(\mathcal A_C)=0</w:t>
      </w:r>
    </w:p>
    <w:p w:rsidR="00EA00D8" w:rsidRDefault="00E50336" w:rsidP="00EA00D8">
      <w:r>
        <w:pict>
          <v:rect id="_x0000_i2797" style="width:0;height:1.5pt" o:hralign="center" o:hrstd="t" o:hr="t" fillcolor="#a0a0a0" stroked="f"/>
        </w:pict>
      </w:r>
    </w:p>
    <w:p w:rsidR="00EA00D8" w:rsidRDefault="00EA00D8" w:rsidP="00EA00D8">
      <w:pPr>
        <w:pStyle w:val="berschrift1"/>
      </w:pPr>
      <w:r>
        <w:t>3.3.43.634 Prüfung der Perkolation</w:t>
      </w:r>
    </w:p>
    <w:p w:rsidR="00EA00D8" w:rsidRDefault="00EA00D8" w:rsidP="00EA00D8">
      <w:pPr>
        <w:pStyle w:val="StandardWeb"/>
      </w:pPr>
      <w:r>
        <w:t>Auch eine Perkolationsschwelle ist nicht notwendig:</w:t>
      </w:r>
    </w:p>
    <w:p w:rsidR="00EA00D8" w:rsidRDefault="00EA00D8" w:rsidP="00EA00D8">
      <w:pPr>
        <w:pStyle w:val="StandardWeb"/>
      </w:pPr>
      <w:r>
        <w:t>[</w:t>
      </w:r>
      <w:r>
        <w:br/>
        <w:t>A_C</w:t>
      </w:r>
      <w:r>
        <w:br/>
        <w:t>\nRightarrow</w:t>
      </w:r>
      <w:r>
        <w:br/>
        <w:t>\exists\lambda_C^{\mathrm{perc}}.</w:t>
      </w:r>
      <w:r>
        <w:br/>
      </w:r>
      <w:r>
        <w:lastRenderedPageBreak/>
        <w:t>\tag{3.9442}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A_C\nRightarrow\exists\lambda_C^{\mathrm{perc}}</w:t>
      </w:r>
    </w:p>
    <w:p w:rsidR="00EA00D8" w:rsidRDefault="00EA00D8" w:rsidP="00EA00D8">
      <w:pPr>
        <w:pStyle w:val="StandardWeb"/>
      </w:pPr>
      <w:r>
        <w:t>Damit gilt</w:t>
      </w:r>
    </w:p>
    <w:p w:rsidR="00EA00D8" w:rsidRDefault="00EA00D8" w:rsidP="00EA00D8">
      <w:pPr>
        <w:pStyle w:val="berschrift1"/>
      </w:pPr>
      <w:r>
        <w:t>[</w:t>
      </w:r>
      <w:r>
        <w:br/>
        <w:t>H_{\mathrm{Ax}}</w:t>
      </w:r>
      <w:r>
        <w:br/>
        <w:t>(\lambda_C^{\mathrm{perc}})</w:t>
      </w:r>
    </w:p>
    <w:p w:rsidR="00EA00D8" w:rsidRDefault="00EA00D8" w:rsidP="00152216">
      <w:pPr>
        <w:numPr>
          <w:ilvl w:val="0"/>
          <w:numId w:val="437"/>
        </w:numPr>
        <w:spacing w:before="100" w:beforeAutospacing="1" w:after="100" w:afterAutospacing="1"/>
      </w:pPr>
    </w:p>
    <w:p w:rsidR="00EA00D8" w:rsidRDefault="00EA00D8" w:rsidP="00EA00D8">
      <w:pPr>
        <w:pStyle w:val="StandardWeb"/>
      </w:pPr>
      <w:r>
        <w:t>\tag{3.9443}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H_{\mathrm{Ax}}(\lambda_C^{\mathrm{perc}})=0</w:t>
      </w:r>
    </w:p>
    <w:p w:rsidR="00EA00D8" w:rsidRDefault="00E50336" w:rsidP="00EA00D8">
      <w:r>
        <w:pict>
          <v:rect id="_x0000_i2798" style="width:0;height:1.5pt" o:hralign="center" o:hrstd="t" o:hr="t" fillcolor="#a0a0a0" stroked="f"/>
        </w:pict>
      </w:r>
    </w:p>
    <w:p w:rsidR="00EA00D8" w:rsidRDefault="00EA00D8" w:rsidP="00EA00D8">
      <w:pPr>
        <w:pStyle w:val="berschrift1"/>
      </w:pPr>
      <w:r>
        <w:t>3.3.43.635 Prüfung der Spektralstruktur</w:t>
      </w:r>
    </w:p>
    <w:p w:rsidR="00EA00D8" w:rsidRDefault="00EA00D8" w:rsidP="00EA00D8">
      <w:pPr>
        <w:pStyle w:val="StandardWeb"/>
      </w:pPr>
      <w:r>
        <w:t>Eine Fourier- oder Spektraldarstellung</w:t>
      </w:r>
    </w:p>
    <w:p w:rsidR="00EA00D8" w:rsidRDefault="00EA00D8" w:rsidP="00EA00D8">
      <w:pPr>
        <w:pStyle w:val="berschrift1"/>
      </w:pPr>
      <w:r>
        <w:t>[</w:t>
      </w:r>
      <w:r>
        <w:br/>
        <w:t>\widehat C(\omega)</w:t>
      </w:r>
    </w:p>
    <w:p w:rsidR="00EA00D8" w:rsidRDefault="00EA00D8" w:rsidP="00EA00D8">
      <w:pPr>
        <w:pStyle w:val="StandardWeb"/>
      </w:pPr>
      <w:r>
        <w:t>\mathcal F[C(t)]</w:t>
      </w:r>
      <w:r>
        <w:br/>
        <w:t>\tag{3.9444}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\widehat C(\omega)=\mathcal F[C(t)]</w:t>
      </w:r>
    </w:p>
    <w:p w:rsidR="00EA00D8" w:rsidRDefault="00EA00D8" w:rsidP="00EA00D8">
      <w:pPr>
        <w:pStyle w:val="StandardWeb"/>
      </w:pPr>
      <w:r>
        <w:t>ist ein mathematisches Analysewerkzeug.</w:t>
      </w:r>
    </w:p>
    <w:p w:rsidR="00EA00D8" w:rsidRDefault="00EA00D8" w:rsidP="00EA00D8">
      <w:pPr>
        <w:pStyle w:val="StandardWeb"/>
      </w:pPr>
      <w:r>
        <w:t>Daraus folgt</w:t>
      </w:r>
    </w:p>
    <w:p w:rsidR="00EA00D8" w:rsidRDefault="00EA00D8" w:rsidP="00EA00D8">
      <w:pPr>
        <w:pStyle w:val="berschrift1"/>
      </w:pPr>
      <w:r>
        <w:t>[</w:t>
      </w:r>
      <w:r>
        <w:br/>
        <w:t>H_{\mathrm{Ax}}</w:t>
      </w:r>
      <w:r>
        <w:br/>
        <w:t>(\widehat C)</w:t>
      </w:r>
    </w:p>
    <w:p w:rsidR="00EA00D8" w:rsidRDefault="00EA00D8" w:rsidP="00152216">
      <w:pPr>
        <w:numPr>
          <w:ilvl w:val="0"/>
          <w:numId w:val="438"/>
        </w:numPr>
        <w:spacing w:before="100" w:beforeAutospacing="1" w:after="100" w:afterAutospacing="1"/>
      </w:pPr>
    </w:p>
    <w:p w:rsidR="00EA00D8" w:rsidRDefault="00EA00D8" w:rsidP="00EA00D8">
      <w:pPr>
        <w:pStyle w:val="StandardWeb"/>
      </w:pPr>
      <w:r>
        <w:t>\tag{3.9445}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H_{\mathrm{Ax}}(\widehat C)=0</w:t>
      </w:r>
    </w:p>
    <w:p w:rsidR="00EA00D8" w:rsidRDefault="00E50336" w:rsidP="00EA00D8">
      <w:r>
        <w:pict>
          <v:rect id="_x0000_i2799" style="width:0;height:1.5pt" o:hralign="center" o:hrstd="t" o:hr="t" fillcolor="#a0a0a0" stroked="f"/>
        </w:pict>
      </w:r>
    </w:p>
    <w:p w:rsidR="00EA00D8" w:rsidRDefault="00EA00D8" w:rsidP="00EA00D8">
      <w:pPr>
        <w:pStyle w:val="berschrift1"/>
      </w:pPr>
      <w:r>
        <w:t>3.3.43.636 Prüfung der Eigenwertstruktur</w:t>
      </w:r>
    </w:p>
    <w:p w:rsidR="00EA00D8" w:rsidRDefault="00EA00D8" w:rsidP="00EA00D8">
      <w:pPr>
        <w:pStyle w:val="StandardWeb"/>
      </w:pPr>
      <w:r>
        <w:t>Auch Eigenwerte einer Kohärenzmatrix</w:t>
      </w:r>
    </w:p>
    <w:p w:rsidR="00EA00D8" w:rsidRDefault="00EA00D8" w:rsidP="00EA00D8">
      <w:pPr>
        <w:pStyle w:val="StandardWeb"/>
      </w:pPr>
      <w:r>
        <w:t>[</w:t>
      </w:r>
      <w:r>
        <w:br/>
        <w:t>\lambda_k^C</w:t>
      </w:r>
      <w:r>
        <w:br/>
        <w:t>\tag{3.9446}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\lambda_k^C</w:t>
      </w:r>
    </w:p>
    <w:p w:rsidR="00EA00D8" w:rsidRDefault="00EA00D8" w:rsidP="00EA00D8">
      <w:pPr>
        <w:pStyle w:val="StandardWeb"/>
      </w:pPr>
      <w:r>
        <w:t>setzen zunächst eine entsprechende Matrixdarstellung voraus.</w:t>
      </w:r>
    </w:p>
    <w:p w:rsidR="00EA00D8" w:rsidRDefault="00EA00D8" w:rsidP="00EA00D8">
      <w:pPr>
        <w:pStyle w:val="StandardWeb"/>
      </w:pPr>
      <w:r>
        <w:t>Daher gilt</w:t>
      </w:r>
    </w:p>
    <w:p w:rsidR="00EA00D8" w:rsidRDefault="00EA00D8" w:rsidP="00EA00D8">
      <w:pPr>
        <w:pStyle w:val="berschrift1"/>
      </w:pPr>
      <w:r>
        <w:t>[</w:t>
      </w:r>
      <w:r>
        <w:br/>
        <w:t>H_{\mathrm{Ax}}</w:t>
      </w:r>
      <w:r>
        <w:br/>
        <w:t>(\lambda_k^C)</w:t>
      </w:r>
    </w:p>
    <w:p w:rsidR="00EA00D8" w:rsidRDefault="00EA00D8" w:rsidP="00152216">
      <w:pPr>
        <w:numPr>
          <w:ilvl w:val="0"/>
          <w:numId w:val="439"/>
        </w:numPr>
        <w:spacing w:before="100" w:beforeAutospacing="1" w:after="100" w:afterAutospacing="1"/>
      </w:pPr>
    </w:p>
    <w:p w:rsidR="00EA00D8" w:rsidRDefault="00EA00D8" w:rsidP="00EA00D8">
      <w:pPr>
        <w:pStyle w:val="StandardWeb"/>
      </w:pPr>
      <w:r>
        <w:t>\tag{3.9447}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H_{\mathrm{Ax}}(\lambda_k^C)=0</w:t>
      </w:r>
    </w:p>
    <w:p w:rsidR="00EA00D8" w:rsidRDefault="00E50336" w:rsidP="00EA00D8">
      <w:r>
        <w:pict>
          <v:rect id="_x0000_i2800" style="width:0;height:1.5pt" o:hralign="center" o:hrstd="t" o:hr="t" fillcolor="#a0a0a0" stroked="f"/>
        </w:pict>
      </w:r>
    </w:p>
    <w:p w:rsidR="00EA00D8" w:rsidRDefault="00EA00D8" w:rsidP="00EA00D8">
      <w:pPr>
        <w:pStyle w:val="berschrift1"/>
      </w:pPr>
      <w:r>
        <w:t>3.3.43.637 Prüfung der Synchronisation</w:t>
      </w:r>
    </w:p>
    <w:p w:rsidR="00EA00D8" w:rsidRDefault="00EA00D8" w:rsidP="00EA00D8">
      <w:pPr>
        <w:pStyle w:val="StandardWeb"/>
      </w:pPr>
      <w:r>
        <w:t>Ein Synchronisationsmaß</w:t>
      </w:r>
    </w:p>
    <w:p w:rsidR="00EA00D8" w:rsidRDefault="00EA00D8" w:rsidP="00EA00D8">
      <w:pPr>
        <w:pStyle w:val="StandardWeb"/>
      </w:pPr>
      <w:r>
        <w:t>[</w:t>
      </w:r>
      <w:r>
        <w:br/>
        <w:t>R_{\mathrm{sync}}</w:t>
      </w:r>
      <w:r>
        <w:br/>
      </w:r>
      <w:r>
        <w:lastRenderedPageBreak/>
        <w:t>\tag{3.9448}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R_{\mathrm{sync}}</w:t>
      </w:r>
    </w:p>
    <w:p w:rsidR="00EA00D8" w:rsidRDefault="00EA00D8" w:rsidP="00EA00D8">
      <w:pPr>
        <w:pStyle w:val="StandardWeb"/>
      </w:pPr>
      <w:r>
        <w:t>ist eine mögliche Operationalisierung und keine notwendige FRZK-Struktur.</w:t>
      </w:r>
    </w:p>
    <w:p w:rsidR="00EA00D8" w:rsidRDefault="00EA00D8" w:rsidP="00EA00D8">
      <w:pPr>
        <w:pStyle w:val="StandardWeb"/>
      </w:pPr>
      <w:r>
        <w:t>Damit gilt</w:t>
      </w:r>
    </w:p>
    <w:p w:rsidR="00EA00D8" w:rsidRDefault="00EA00D8" w:rsidP="00EA00D8">
      <w:pPr>
        <w:pStyle w:val="berschrift1"/>
      </w:pPr>
      <w:r>
        <w:t>[</w:t>
      </w:r>
      <w:r>
        <w:br/>
        <w:t>H_{\mathrm{Ax}}</w:t>
      </w:r>
      <w:r>
        <w:br/>
        <w:t>(R_{\mathrm{sync}})</w:t>
      </w:r>
    </w:p>
    <w:p w:rsidR="00EA00D8" w:rsidRDefault="00EA00D8" w:rsidP="00152216">
      <w:pPr>
        <w:numPr>
          <w:ilvl w:val="0"/>
          <w:numId w:val="440"/>
        </w:numPr>
        <w:spacing w:before="100" w:beforeAutospacing="1" w:after="100" w:afterAutospacing="1"/>
      </w:pPr>
    </w:p>
    <w:p w:rsidR="00EA00D8" w:rsidRDefault="00EA00D8" w:rsidP="00EA00D8">
      <w:pPr>
        <w:pStyle w:val="StandardWeb"/>
      </w:pPr>
      <w:r>
        <w:t>\tag{3.9449}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H_{\mathrm{Ax}}(R_{\mathrm{sync}})=0</w:t>
      </w:r>
    </w:p>
    <w:p w:rsidR="00EA00D8" w:rsidRDefault="00E50336" w:rsidP="00EA00D8">
      <w:r>
        <w:pict>
          <v:rect id="_x0000_i2801" style="width:0;height:1.5pt" o:hralign="center" o:hrstd="t" o:hr="t" fillcolor="#a0a0a0" stroked="f"/>
        </w:pict>
      </w:r>
    </w:p>
    <w:p w:rsidR="00EA00D8" w:rsidRDefault="00EA00D8" w:rsidP="00EA00D8">
      <w:pPr>
        <w:pStyle w:val="berschrift1"/>
      </w:pPr>
      <w:r>
        <w:t>3.3.43.638 Prüfung der Korrelation</w:t>
      </w:r>
    </w:p>
    <w:p w:rsidR="00EA00D8" w:rsidRDefault="00EA00D8" w:rsidP="00EA00D8">
      <w:pPr>
        <w:pStyle w:val="StandardWeb"/>
      </w:pPr>
      <w:r>
        <w:t>Für einen Korrelationskoeffizienten gilt entsprechend</w:t>
      </w:r>
    </w:p>
    <w:p w:rsidR="00EA00D8" w:rsidRDefault="00EA00D8" w:rsidP="00EA00D8">
      <w:pPr>
        <w:pStyle w:val="berschrift1"/>
      </w:pPr>
      <w:r>
        <w:t>[</w:t>
      </w:r>
      <w:r>
        <w:br/>
        <w:t>H_{\mathrm{Ax}}</w:t>
      </w:r>
      <w:r>
        <w:br/>
        <w:t>(\rho_{ij})</w:t>
      </w:r>
    </w:p>
    <w:p w:rsidR="00EA00D8" w:rsidRDefault="00EA00D8" w:rsidP="00152216">
      <w:pPr>
        <w:numPr>
          <w:ilvl w:val="0"/>
          <w:numId w:val="441"/>
        </w:numPr>
        <w:spacing w:before="100" w:beforeAutospacing="1" w:after="100" w:afterAutospacing="1"/>
      </w:pPr>
    </w:p>
    <w:p w:rsidR="00EA00D8" w:rsidRDefault="00EA00D8" w:rsidP="00EA00D8">
      <w:pPr>
        <w:pStyle w:val="StandardWeb"/>
      </w:pPr>
      <w:r>
        <w:t>\tag{3.9450}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H_{\mathrm{Ax}}(\rho_{ij})=0</w:t>
      </w:r>
    </w:p>
    <w:p w:rsidR="00EA00D8" w:rsidRDefault="00EA00D8" w:rsidP="00EA00D8">
      <w:pPr>
        <w:pStyle w:val="StandardWeb"/>
      </w:pPr>
      <w:r>
        <w:t>Eine FRZK-Kohärenzrelation muss nicht durch lineare Korrelation operationalisiert werden.</w:t>
      </w:r>
    </w:p>
    <w:p w:rsidR="00EA00D8" w:rsidRDefault="00E50336" w:rsidP="00EA00D8">
      <w:r>
        <w:pict>
          <v:rect id="_x0000_i2802" style="width:0;height:1.5pt" o:hralign="center" o:hrstd="t" o:hr="t" fillcolor="#a0a0a0" stroked="f"/>
        </w:pict>
      </w:r>
    </w:p>
    <w:p w:rsidR="00EA00D8" w:rsidRDefault="00EA00D8" w:rsidP="00EA00D8">
      <w:pPr>
        <w:pStyle w:val="berschrift1"/>
      </w:pPr>
      <w:r>
        <w:lastRenderedPageBreak/>
        <w:t>3.3.43.639 Prüfung informationsbasierter Operationalisierungen</w:t>
      </w:r>
    </w:p>
    <w:p w:rsidR="00EA00D8" w:rsidRDefault="00EA00D8" w:rsidP="00EA00D8">
      <w:pPr>
        <w:pStyle w:val="StandardWeb"/>
      </w:pPr>
      <w:r>
        <w:t>Auch eine Informationsgröße</w:t>
      </w:r>
    </w:p>
    <w:p w:rsidR="00EA00D8" w:rsidRDefault="00EA00D8" w:rsidP="00EA00D8">
      <w:pPr>
        <w:pStyle w:val="StandardWeb"/>
      </w:pPr>
      <w:r>
        <w:t>[</w:t>
      </w:r>
      <w:r>
        <w:br/>
        <w:t>I(X_i;X_j)</w:t>
      </w:r>
      <w:r>
        <w:br/>
        <w:t>\tag{3.9451}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I(X_i;X_j)</w:t>
      </w:r>
    </w:p>
    <w:p w:rsidR="00EA00D8" w:rsidRDefault="00EA00D8" w:rsidP="00EA00D8">
      <w:pPr>
        <w:pStyle w:val="StandardWeb"/>
      </w:pPr>
      <w:r>
        <w:t>oder eine gerichtete Größe</w:t>
      </w:r>
    </w:p>
    <w:p w:rsidR="00EA00D8" w:rsidRDefault="00EA00D8" w:rsidP="00EA00D8">
      <w:pPr>
        <w:pStyle w:val="StandardWeb"/>
      </w:pPr>
      <w:r>
        <w:t>[</w:t>
      </w:r>
      <w:r>
        <w:br/>
        <w:t>I_{i\rightarrow j}</w:t>
      </w:r>
      <w:r>
        <w:br/>
        <w:t>\tag{3.9452}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I_{i\rightarrow j}</w:t>
      </w:r>
    </w:p>
    <w:p w:rsidR="00EA00D8" w:rsidRDefault="00EA00D8" w:rsidP="00EA00D8">
      <w:pPr>
        <w:pStyle w:val="StandardWeb"/>
      </w:pPr>
      <w:r>
        <w:t>ist nicht axiomatisch erforderlich.</w:t>
      </w:r>
    </w:p>
    <w:p w:rsidR="00EA00D8" w:rsidRDefault="00EA00D8" w:rsidP="00EA00D8">
      <w:pPr>
        <w:pStyle w:val="StandardWeb"/>
      </w:pPr>
      <w:r>
        <w:t>Damit gilt</w:t>
      </w:r>
    </w:p>
    <w:p w:rsidR="00EA00D8" w:rsidRDefault="00EA00D8" w:rsidP="00EA00D8">
      <w:pPr>
        <w:pStyle w:val="StandardWeb"/>
      </w:pPr>
      <w:r>
        <w:t>[</w:t>
      </w:r>
      <w:r>
        <w:br/>
        <w:t>H_{\mathrm{Ax}}(I)=0.</w:t>
      </w:r>
      <w:r>
        <w:br/>
        <w:t>\tag{3.9453}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H_{\mathrm{Ax}}(I)=0</w:t>
      </w:r>
    </w:p>
    <w:p w:rsidR="00EA00D8" w:rsidRDefault="00E50336" w:rsidP="00EA00D8">
      <w:r>
        <w:pict>
          <v:rect id="_x0000_i2803" style="width:0;height:1.5pt" o:hralign="center" o:hrstd="t" o:hr="t" fillcolor="#a0a0a0" stroked="f"/>
        </w:pict>
      </w:r>
    </w:p>
    <w:p w:rsidR="00EA00D8" w:rsidRDefault="00EA00D8" w:rsidP="00EA00D8">
      <w:pPr>
        <w:pStyle w:val="berschrift1"/>
      </w:pPr>
      <w:r>
        <w:t>3.3.43.640 Prüfung der Beobachtungsabbildung</w:t>
      </w:r>
    </w:p>
    <w:p w:rsidR="00EA00D8" w:rsidRDefault="00EA00D8" w:rsidP="00EA00D8">
      <w:pPr>
        <w:pStyle w:val="StandardWeb"/>
      </w:pPr>
      <w:r>
        <w:t>Die Operationalisierung</w:t>
      </w:r>
    </w:p>
    <w:p w:rsidR="00EA00D8" w:rsidRDefault="00EA00D8" w:rsidP="00EA00D8">
      <w:pPr>
        <w:pStyle w:val="berschrift1"/>
      </w:pPr>
      <w:r>
        <w:t>[</w:t>
      </w:r>
      <w:r>
        <w:br/>
        <w:t>C_F^{\mathrm{obs}}</w:t>
      </w:r>
    </w:p>
    <w:p w:rsidR="00EA00D8" w:rsidRDefault="00EA00D8" w:rsidP="00EA00D8">
      <w:pPr>
        <w:pStyle w:val="StandardWeb"/>
      </w:pPr>
      <w:r>
        <w:lastRenderedPageBreak/>
        <w:t>\mathcal O_C[C_F]</w:t>
      </w:r>
      <w:r>
        <w:br/>
        <w:t>\tag{3.9454}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C_F^{\mathrm{obs}}=\mathcal O_C[C_F]</w:t>
      </w:r>
    </w:p>
    <w:p w:rsidR="00EA00D8" w:rsidRDefault="00EA00D8" w:rsidP="00EA00D8">
      <w:pPr>
        <w:pStyle w:val="StandardWeb"/>
      </w:pPr>
      <w:r>
        <w:t>legt keine einzige universelle Beobachtungsmethode fest.</w:t>
      </w:r>
    </w:p>
    <w:p w:rsidR="00EA00D8" w:rsidRDefault="00EA00D8" w:rsidP="00EA00D8">
      <w:pPr>
        <w:pStyle w:val="StandardWeb"/>
      </w:pPr>
      <w:r>
        <w:t>Es gilt nicht</w:t>
      </w:r>
    </w:p>
    <w:p w:rsidR="00EA00D8" w:rsidRDefault="00EA00D8" w:rsidP="00EA00D8">
      <w:pPr>
        <w:pStyle w:val="StandardWeb"/>
      </w:pPr>
      <w:r>
        <w:t>[</w:t>
      </w:r>
      <w:r>
        <w:br/>
        <w:t>\exists!</w:t>
      </w:r>
      <w:r>
        <w:br/>
        <w:t>\mathcal O_C.</w:t>
      </w:r>
      <w:r>
        <w:br/>
        <w:t>\tag{3.9455}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\exists!\mathcal O_C</w:t>
      </w:r>
    </w:p>
    <w:p w:rsidR="00EA00D8" w:rsidRDefault="00EA00D8" w:rsidP="00EA00D8">
      <w:pPr>
        <w:pStyle w:val="StandardWeb"/>
      </w:pPr>
      <w:r>
        <w:t>Daraus folgt</w:t>
      </w:r>
    </w:p>
    <w:p w:rsidR="00EA00D8" w:rsidRDefault="00EA00D8" w:rsidP="00EA00D8">
      <w:pPr>
        <w:pStyle w:val="StandardWeb"/>
      </w:pPr>
      <w:r>
        <w:t>[</w:t>
      </w:r>
      <w:r>
        <w:br/>
        <w:t>H_{\mathrm{Ax}}(\mathcal O_C)=0.</w:t>
      </w:r>
      <w:r>
        <w:br/>
        <w:t>\tag{3.9456}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H_{\mathrm{Ax}}(\mathcal O_C)=0</w:t>
      </w:r>
    </w:p>
    <w:p w:rsidR="00EA00D8" w:rsidRDefault="00E50336" w:rsidP="00EA00D8">
      <w:r>
        <w:pict>
          <v:rect id="_x0000_i2804" style="width:0;height:1.5pt" o:hralign="center" o:hrstd="t" o:hr="t" fillcolor="#a0a0a0" stroked="f"/>
        </w:pict>
      </w:r>
    </w:p>
    <w:p w:rsidR="00EA00D8" w:rsidRDefault="00EA00D8" w:rsidP="00EA00D8">
      <w:pPr>
        <w:pStyle w:val="berschrift1"/>
      </w:pPr>
      <w:r>
        <w:t>3.3.43.641 Prüfung auf verdeckte empirische Schwellen</w:t>
      </w:r>
    </w:p>
    <w:p w:rsidR="00EA00D8" w:rsidRDefault="00EA00D8" w:rsidP="00EA00D8">
      <w:pPr>
        <w:pStyle w:val="StandardWeb"/>
      </w:pPr>
      <w:r>
        <w:t>Auch eine empirische Schwelle (\theta_C) darf nicht universalisiert werden.</w:t>
      </w:r>
    </w:p>
    <w:p w:rsidR="00EA00D8" w:rsidRDefault="00EA00D8" w:rsidP="00EA00D8">
      <w:pPr>
        <w:pStyle w:val="StandardWeb"/>
      </w:pPr>
      <w:r>
        <w:t>Insbesondere gilt nicht</w:t>
      </w:r>
    </w:p>
    <w:p w:rsidR="00EA00D8" w:rsidRDefault="00EA00D8" w:rsidP="00EA00D8">
      <w:pPr>
        <w:pStyle w:val="StandardWeb"/>
      </w:pPr>
      <w:r>
        <w:t>[</w:t>
      </w:r>
      <w:r>
        <w:br/>
        <w:t>\exists\theta_C^\ast:</w:t>
      </w:r>
      <w:r>
        <w:br/>
        <w:t>\forall\mathcal M,</w:t>
      </w:r>
      <w:r>
        <w:br/>
        <w:t>\quad</w:t>
      </w:r>
      <w:r>
        <w:br/>
        <w:t>C_F\geq\theta_C^\ast</w:t>
      </w:r>
      <w:r>
        <w:br/>
        <w:t>\Longleftrightarrow</w:t>
      </w:r>
      <w:r>
        <w:br/>
        <w:t>\text{kohärent}.</w:t>
      </w:r>
      <w:r>
        <w:br/>
        <w:t>\tag{3.9457}</w:t>
      </w:r>
      <w:r>
        <w:br/>
        <w:t>]</w:t>
      </w:r>
    </w:p>
    <w:p w:rsidR="00EA00D8" w:rsidRDefault="00EA00D8" w:rsidP="00EA00D8">
      <w:pPr>
        <w:pStyle w:val="StandardWeb"/>
      </w:pPr>
      <w:r>
        <w:rPr>
          <w:rStyle w:val="Fett"/>
        </w:rPr>
        <w:lastRenderedPageBreak/>
        <w:t>Word-LaTeX</w:t>
      </w:r>
    </w:p>
    <w:p w:rsidR="00EA00D8" w:rsidRDefault="00EA00D8" w:rsidP="00EA00D8">
      <w:pPr>
        <w:pStyle w:val="HTMLVorformatiert"/>
        <w:rPr>
          <w:rStyle w:val="HTMLCode"/>
        </w:rPr>
      </w:pPr>
      <w:r>
        <w:rPr>
          <w:rStyle w:val="HTMLCode"/>
        </w:rPr>
        <w:t>\exists\theta_C^\ast:\forall\mathcal M,\quad C_F\geq\theta_C^\ast\Longleftrightarrow\text{kohärent}</w:t>
      </w:r>
    </w:p>
    <w:p w:rsidR="00EA00D8" w:rsidRDefault="00EA00D8" w:rsidP="00EA00D8">
      <w:pPr>
        <w:pStyle w:val="StandardWeb"/>
      </w:pPr>
      <w:r>
        <w:t>Daher gilt</w:t>
      </w:r>
    </w:p>
    <w:p w:rsidR="00EA00D8" w:rsidRDefault="00EA00D8" w:rsidP="00EA00D8">
      <w:pPr>
        <w:pStyle w:val="StandardWeb"/>
      </w:pPr>
      <w:r>
        <w:t>[</w:t>
      </w:r>
      <w:r>
        <w:br/>
        <w:t>H_{\mathrm{Ax}}(\theta_C)=0.</w:t>
      </w:r>
      <w:r>
        <w:br/>
        <w:t>\tag{3.9458}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H_{\mathrm{Ax}}(\theta_C)=0</w:t>
      </w:r>
    </w:p>
    <w:p w:rsidR="00EA00D8" w:rsidRDefault="00E50336" w:rsidP="00EA00D8">
      <w:r>
        <w:pict>
          <v:rect id="_x0000_i2805" style="width:0;height:1.5pt" o:hralign="center" o:hrstd="t" o:hr="t" fillcolor="#a0a0a0" stroked="f"/>
        </w:pict>
      </w:r>
    </w:p>
    <w:p w:rsidR="00EA00D8" w:rsidRDefault="00EA00D8" w:rsidP="00EA00D8">
      <w:pPr>
        <w:pStyle w:val="berschrift1"/>
      </w:pPr>
      <w:r>
        <w:t>3.3.43.642 Prüfung der funktionalen Isomorphie</w:t>
      </w:r>
    </w:p>
    <w:p w:rsidR="00EA00D8" w:rsidRDefault="00EA00D8" w:rsidP="00EA00D8">
      <w:pPr>
        <w:pStyle w:val="StandardWeb"/>
      </w:pPr>
      <w:r>
        <w:t>Die funktionale Isomorphie ist eine definierte Relation.</w:t>
      </w:r>
    </w:p>
    <w:p w:rsidR="00EA00D8" w:rsidRDefault="00EA00D8" w:rsidP="00EA00D8">
      <w:pPr>
        <w:pStyle w:val="StandardWeb"/>
      </w:pPr>
      <w:r>
        <w:t>Es gilt nicht</w:t>
      </w:r>
    </w:p>
    <w:p w:rsidR="00EA00D8" w:rsidRDefault="00EA00D8" w:rsidP="00EA00D8">
      <w:pPr>
        <w:pStyle w:val="StandardWeb"/>
      </w:pPr>
      <w:r>
        <w:t>[</w:t>
      </w:r>
      <w:r>
        <w:br/>
        <w:t>\forall\mathfrak S_1,\mathfrak S_2:</w:t>
      </w:r>
      <w:r>
        <w:br/>
        <w:t>\mathfrak S_1\cong_F\mathfrak S_2.</w:t>
      </w:r>
      <w:r>
        <w:br/>
        <w:t>\tag{3.9459}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\forall\mathfrak S_1,\mathfrak S_2:\mathfrak S_1\cong_F\mathfrak S_2</w:t>
      </w:r>
    </w:p>
    <w:p w:rsidR="00EA00D8" w:rsidRDefault="00EA00D8" w:rsidP="00EA00D8">
      <w:pPr>
        <w:pStyle w:val="StandardWeb"/>
      </w:pPr>
      <w:r>
        <w:t>Damit gilt</w:t>
      </w:r>
    </w:p>
    <w:p w:rsidR="00EA00D8" w:rsidRDefault="00EA00D8" w:rsidP="00EA00D8">
      <w:pPr>
        <w:pStyle w:val="StandardWeb"/>
      </w:pPr>
      <w:r>
        <w:t>[</w:t>
      </w:r>
      <w:r>
        <w:br/>
        <w:t>H_{\mathrm{Ax}}(\cong_F)=0.</w:t>
      </w:r>
      <w:r>
        <w:br/>
        <w:t>\tag{3.9460}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H_{\mathrm{Ax}}(\cong_F)=0</w:t>
      </w:r>
    </w:p>
    <w:p w:rsidR="00EA00D8" w:rsidRDefault="00E50336" w:rsidP="00EA00D8">
      <w:r>
        <w:pict>
          <v:rect id="_x0000_i2806" style="width:0;height:1.5pt" o:hralign="center" o:hrstd="t" o:hr="t" fillcolor="#a0a0a0" stroked="f"/>
        </w:pict>
      </w:r>
    </w:p>
    <w:p w:rsidR="00EA00D8" w:rsidRDefault="00EA00D8" w:rsidP="00EA00D8">
      <w:pPr>
        <w:pStyle w:val="berschrift1"/>
      </w:pPr>
      <w:r>
        <w:t>3.3.43.643 Prüfung kohärenzerhaltender Transformationen</w:t>
      </w:r>
    </w:p>
    <w:p w:rsidR="00EA00D8" w:rsidRDefault="00EA00D8" w:rsidP="00EA00D8">
      <w:pPr>
        <w:pStyle w:val="StandardWeb"/>
      </w:pPr>
      <w:r>
        <w:t>Auch die Existenz kohärenzerhaltender Transformationen wird nicht universell gefordert.</w:t>
      </w:r>
    </w:p>
    <w:p w:rsidR="00EA00D8" w:rsidRDefault="00EA00D8" w:rsidP="00EA00D8">
      <w:pPr>
        <w:pStyle w:val="StandardWeb"/>
      </w:pPr>
      <w:r>
        <w:lastRenderedPageBreak/>
        <w:t>Insbesondere folgt nicht</w:t>
      </w:r>
    </w:p>
    <w:p w:rsidR="00EA00D8" w:rsidRDefault="00EA00D8" w:rsidP="00EA00D8">
      <w:pPr>
        <w:pStyle w:val="StandardWeb"/>
      </w:pPr>
      <w:r>
        <w:t>[</w:t>
      </w:r>
      <w:r>
        <w:br/>
        <w:t>\forall\mathcal M:</w:t>
      </w:r>
      <w:r>
        <w:br/>
        <w:t>\exists T\neq\mathrm{id}</w:t>
      </w:r>
      <w:r>
        <w:br/>
        <w:t>:</w:t>
      </w:r>
      <w:r>
        <w:br/>
        <w:t>T\in\operatorname{Pres}(C_F).</w:t>
      </w:r>
      <w:r>
        <w:br/>
        <w:t>\tag{3.9461}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\forall\mathcal M:\exists T\neq\mathrm{id}:T\in\operatorname{Pres}(C_F)</w:t>
      </w:r>
    </w:p>
    <w:p w:rsidR="00EA00D8" w:rsidRDefault="00EA00D8" w:rsidP="00EA00D8">
      <w:pPr>
        <w:pStyle w:val="StandardWeb"/>
      </w:pPr>
      <w:r>
        <w:t>Daher gilt</w:t>
      </w:r>
    </w:p>
    <w:p w:rsidR="00EA00D8" w:rsidRDefault="00EA00D8" w:rsidP="00EA00D8">
      <w:pPr>
        <w:pStyle w:val="berschrift1"/>
      </w:pPr>
      <w:r>
        <w:t>[</w:t>
      </w:r>
      <w:r>
        <w:br/>
        <w:t>H_{\mathrm{Ax}}</w:t>
      </w:r>
      <w:r>
        <w:br/>
        <w:t>\left(</w:t>
      </w:r>
      <w:r>
        <w:br/>
        <w:t>\operatorname{Pres}(C_F)</w:t>
      </w:r>
      <w:r>
        <w:br/>
        <w:t>\right)</w:t>
      </w:r>
    </w:p>
    <w:p w:rsidR="00EA00D8" w:rsidRDefault="00EA00D8" w:rsidP="00152216">
      <w:pPr>
        <w:numPr>
          <w:ilvl w:val="0"/>
          <w:numId w:val="442"/>
        </w:numPr>
        <w:spacing w:before="100" w:beforeAutospacing="1" w:after="100" w:afterAutospacing="1"/>
      </w:pPr>
    </w:p>
    <w:p w:rsidR="00EA00D8" w:rsidRDefault="00EA00D8" w:rsidP="00EA00D8">
      <w:pPr>
        <w:pStyle w:val="StandardWeb"/>
      </w:pPr>
      <w:r>
        <w:t>\tag{3.9462}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H_{\mathrm{Ax}}\left(\operatorname{Pres}(C_F)\right)=0</w:t>
      </w:r>
    </w:p>
    <w:p w:rsidR="00EA00D8" w:rsidRDefault="00E50336" w:rsidP="00EA00D8">
      <w:r>
        <w:pict>
          <v:rect id="_x0000_i2807" style="width:0;height:1.5pt" o:hralign="center" o:hrstd="t" o:hr="t" fillcolor="#a0a0a0" stroked="f"/>
        </w:pict>
      </w:r>
    </w:p>
    <w:p w:rsidR="00EA00D8" w:rsidRDefault="00EA00D8" w:rsidP="00EA00D8">
      <w:pPr>
        <w:pStyle w:val="berschrift1"/>
      </w:pPr>
      <w:r>
        <w:t>3.3.43.644 Prüfung des funktionalen Kohärenzfensters</w:t>
      </w:r>
    </w:p>
    <w:p w:rsidR="00EA00D8" w:rsidRDefault="00EA00D8" w:rsidP="00EA00D8">
      <w:pPr>
        <w:pStyle w:val="StandardWeb"/>
      </w:pPr>
      <w:r>
        <w:t>Auch ein funktionales Kohärenzfenster</w:t>
      </w:r>
    </w:p>
    <w:p w:rsidR="00EA00D8" w:rsidRDefault="00EA00D8" w:rsidP="00EA00D8">
      <w:pPr>
        <w:pStyle w:val="berschrift1"/>
      </w:pPr>
      <w:r>
        <w:t>[</w:t>
      </w:r>
      <w:r>
        <w:br/>
        <w:t>\Omega_C^F</w:t>
      </w:r>
    </w:p>
    <w:p w:rsidR="00EA00D8" w:rsidRDefault="00EA00D8" w:rsidP="00EA00D8">
      <w:pPr>
        <w:pStyle w:val="StandardWeb"/>
      </w:pPr>
      <w:r>
        <w:t>{C:F(C)\geq\tau_F}</w:t>
      </w:r>
      <w:r>
        <w:br/>
        <w:t>\tag{3.9463}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lastRenderedPageBreak/>
        <w:t>\Omega_C^F=\{C:F(C)\geq\tau_F\}</w:t>
      </w:r>
    </w:p>
    <w:p w:rsidR="00EA00D8" w:rsidRDefault="00EA00D8" w:rsidP="00EA00D8">
      <w:pPr>
        <w:pStyle w:val="StandardWeb"/>
      </w:pPr>
      <w:r>
        <w:t>stellt keine universelle Naturstruktur dar.</w:t>
      </w:r>
    </w:p>
    <w:p w:rsidR="00EA00D8" w:rsidRDefault="00EA00D8" w:rsidP="00EA00D8">
      <w:pPr>
        <w:pStyle w:val="StandardWeb"/>
      </w:pPr>
      <w:r>
        <w:t>Sein Status bleibt definitions- beziehungsweise operationalisierungsabhängig.</w:t>
      </w:r>
    </w:p>
    <w:p w:rsidR="00EA00D8" w:rsidRDefault="00EA00D8" w:rsidP="00EA00D8">
      <w:pPr>
        <w:pStyle w:val="StandardWeb"/>
      </w:pPr>
      <w:r>
        <w:t>Damit gilt</w:t>
      </w:r>
    </w:p>
    <w:p w:rsidR="00EA00D8" w:rsidRDefault="00EA00D8" w:rsidP="00EA00D8">
      <w:pPr>
        <w:pStyle w:val="berschrift1"/>
      </w:pPr>
      <w:r>
        <w:t>[</w:t>
      </w:r>
      <w:r>
        <w:br/>
        <w:t>H_{\mathrm{Ax}}</w:t>
      </w:r>
      <w:r>
        <w:br/>
        <w:t>(\Omega_C^F)</w:t>
      </w:r>
    </w:p>
    <w:p w:rsidR="00EA00D8" w:rsidRDefault="00EA00D8" w:rsidP="00152216">
      <w:pPr>
        <w:numPr>
          <w:ilvl w:val="0"/>
          <w:numId w:val="443"/>
        </w:numPr>
        <w:spacing w:before="100" w:beforeAutospacing="1" w:after="100" w:afterAutospacing="1"/>
      </w:pPr>
    </w:p>
    <w:p w:rsidR="00EA00D8" w:rsidRDefault="00EA00D8" w:rsidP="00EA00D8">
      <w:pPr>
        <w:pStyle w:val="StandardWeb"/>
      </w:pPr>
      <w:r>
        <w:t>\tag{3.9464}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H_{\mathrm{Ax}}(\Omega_C^F)=0</w:t>
      </w:r>
    </w:p>
    <w:p w:rsidR="00EA00D8" w:rsidRDefault="00E50336" w:rsidP="00EA00D8">
      <w:r>
        <w:pict>
          <v:rect id="_x0000_i2808" style="width:0;height:1.5pt" o:hralign="center" o:hrstd="t" o:hr="t" fillcolor="#a0a0a0" stroked="f"/>
        </w:pict>
      </w:r>
    </w:p>
    <w:p w:rsidR="00EA00D8" w:rsidRDefault="00EA00D8" w:rsidP="00EA00D8">
      <w:pPr>
        <w:pStyle w:val="berschrift1"/>
      </w:pPr>
      <w:r>
        <w:t>3.3.43.645 Prüfung der Funktionsschwelle</w:t>
      </w:r>
    </w:p>
    <w:p w:rsidR="00EA00D8" w:rsidRDefault="00EA00D8" w:rsidP="00EA00D8">
      <w:pPr>
        <w:pStyle w:val="StandardWeb"/>
      </w:pPr>
      <w:r>
        <w:t>Die zugehörige Schwelle</w:t>
      </w:r>
    </w:p>
    <w:p w:rsidR="00EA00D8" w:rsidRDefault="00EA00D8" w:rsidP="00EA00D8">
      <w:pPr>
        <w:pStyle w:val="StandardWeb"/>
      </w:pPr>
      <w:r>
        <w:t>[</w:t>
      </w:r>
      <w:r>
        <w:br/>
        <w:t>\tau_F</w:t>
      </w:r>
      <w:r>
        <w:br/>
        <w:t>\tag{3.9465}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\tau_F</w:t>
      </w:r>
    </w:p>
    <w:p w:rsidR="00EA00D8" w:rsidRDefault="00EA00D8" w:rsidP="00EA00D8">
      <w:pPr>
        <w:pStyle w:val="StandardWeb"/>
      </w:pPr>
      <w:r>
        <w:t>wird ebenfalls nicht universell vorausgesetzt.</w:t>
      </w:r>
    </w:p>
    <w:p w:rsidR="00EA00D8" w:rsidRDefault="00EA00D8" w:rsidP="00EA00D8">
      <w:pPr>
        <w:pStyle w:val="StandardWeb"/>
      </w:pPr>
      <w:r>
        <w:t>Daher gilt</w:t>
      </w:r>
    </w:p>
    <w:p w:rsidR="00EA00D8" w:rsidRDefault="00EA00D8" w:rsidP="00EA00D8">
      <w:pPr>
        <w:pStyle w:val="StandardWeb"/>
      </w:pPr>
      <w:r>
        <w:t>[</w:t>
      </w:r>
      <w:r>
        <w:br/>
        <w:t>H_{\mathrm{Ax}}(\tau_F)=0.</w:t>
      </w:r>
      <w:r>
        <w:br/>
        <w:t>\tag{3.9466}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H_{\mathrm{Ax}}(\tau_F)=0</w:t>
      </w:r>
    </w:p>
    <w:p w:rsidR="00EA00D8" w:rsidRDefault="00E50336" w:rsidP="00EA00D8">
      <w:r>
        <w:pict>
          <v:rect id="_x0000_i2809" style="width:0;height:1.5pt" o:hralign="center" o:hrstd="t" o:hr="t" fillcolor="#a0a0a0" stroked="f"/>
        </w:pict>
      </w:r>
    </w:p>
    <w:p w:rsidR="00EA00D8" w:rsidRDefault="00EA00D8" w:rsidP="00EA00D8">
      <w:pPr>
        <w:pStyle w:val="berschrift1"/>
      </w:pPr>
      <w:r>
        <w:lastRenderedPageBreak/>
        <w:t>3.3.43.646 Prüfung der Axiomprüfgrößen selbst</w:t>
      </w:r>
    </w:p>
    <w:p w:rsidR="00EA00D8" w:rsidRDefault="00EA00D8" w:rsidP="00EA00D8">
      <w:pPr>
        <w:pStyle w:val="StandardWeb"/>
      </w:pPr>
      <w:r>
        <w:t>Die Indikatoren</w:t>
      </w:r>
    </w:p>
    <w:p w:rsidR="00EA00D8" w:rsidRDefault="00EA00D8" w:rsidP="00EA00D8">
      <w:pPr>
        <w:pStyle w:val="StandardWeb"/>
      </w:pPr>
      <w:r>
        <w:t>[</w:t>
      </w:r>
      <w:r>
        <w:br/>
        <w:t>N_A,</w:t>
      </w:r>
      <w:r>
        <w:br/>
        <w:t>I_A,</w:t>
      </w:r>
      <w:r>
        <w:br/>
        <w:t>M_A,</w:t>
      </w:r>
      <w:r>
        <w:br/>
        <w:t>D_A,</w:t>
      </w:r>
      <w:r>
        <w:br/>
        <w:t>K_A,</w:t>
      </w:r>
      <w:r>
        <w:br/>
        <w:t>E_A,</w:t>
      </w:r>
      <w:r>
        <w:br/>
        <w:t>Z_A,</w:t>
      </w:r>
      <w:r>
        <w:br/>
        <w:t>Z_C</w:t>
      </w:r>
      <w:r>
        <w:br/>
        <w:t>\tag{3.9467}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N_A,I_A,M_A,D_A,K_A,E_A,Z_A,Z_C</w:t>
      </w:r>
    </w:p>
    <w:p w:rsidR="00EA00D8" w:rsidRDefault="00EA00D8" w:rsidP="00EA00D8">
      <w:pPr>
        <w:pStyle w:val="StandardWeb"/>
      </w:pPr>
      <w:r>
        <w:t>sind metatheoretische Prüfgrößen.</w:t>
      </w:r>
    </w:p>
    <w:p w:rsidR="00EA00D8" w:rsidRDefault="00EA00D8" w:rsidP="00EA00D8">
      <w:pPr>
        <w:pStyle w:val="StandardWeb"/>
      </w:pPr>
      <w:r>
        <w:t>Sie sind keine Primäraxiome der Physik des FRZK.</w:t>
      </w:r>
    </w:p>
    <w:p w:rsidR="00EA00D8" w:rsidRDefault="00EA00D8" w:rsidP="00EA00D8">
      <w:pPr>
        <w:pStyle w:val="StandardWeb"/>
      </w:pPr>
      <w:r>
        <w:t>Daher gilt</w:t>
      </w:r>
    </w:p>
    <w:p w:rsidR="00EA00D8" w:rsidRDefault="00EA00D8" w:rsidP="00EA00D8">
      <w:pPr>
        <w:pStyle w:val="berschrift1"/>
      </w:pPr>
      <w:r>
        <w:t>[</w:t>
      </w:r>
      <w:r>
        <w:br/>
        <w:t>H_{\mathrm{Ax}}</w:t>
      </w:r>
      <w:r>
        <w:br/>
        <w:t>(N_A,I_A,M_A,D_A,K_A,E_A,Z_A,Z_C)</w:t>
      </w:r>
    </w:p>
    <w:p w:rsidR="00EA00D8" w:rsidRDefault="00EA00D8" w:rsidP="00152216">
      <w:pPr>
        <w:numPr>
          <w:ilvl w:val="0"/>
          <w:numId w:val="444"/>
        </w:numPr>
        <w:spacing w:before="100" w:beforeAutospacing="1" w:after="100" w:afterAutospacing="1"/>
      </w:pPr>
    </w:p>
    <w:p w:rsidR="00EA00D8" w:rsidRDefault="00EA00D8" w:rsidP="00EA00D8">
      <w:pPr>
        <w:pStyle w:val="StandardWeb"/>
      </w:pPr>
      <w:r>
        <w:t>\tag{3.9468}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H_{\mathrm{Ax}}(N_A,I_A,M_A,D_A,K_A,E_A,Z_A,Z_C)=0</w:t>
      </w:r>
    </w:p>
    <w:p w:rsidR="00EA00D8" w:rsidRDefault="00E50336" w:rsidP="00EA00D8">
      <w:r>
        <w:pict>
          <v:rect id="_x0000_i2810" style="width:0;height:1.5pt" o:hralign="center" o:hrstd="t" o:hr="t" fillcolor="#a0a0a0" stroked="f"/>
        </w:pict>
      </w:r>
    </w:p>
    <w:p w:rsidR="00EA00D8" w:rsidRDefault="00EA00D8" w:rsidP="00EA00D8">
      <w:pPr>
        <w:pStyle w:val="berschrift1"/>
      </w:pPr>
      <w:r>
        <w:t>3.3.43.647 Prüfung der Revisionsoffenheit</w:t>
      </w:r>
    </w:p>
    <w:p w:rsidR="00EA00D8" w:rsidRDefault="00EA00D8" w:rsidP="00EA00D8">
      <w:pPr>
        <w:pStyle w:val="StandardWeb"/>
      </w:pPr>
      <w:r>
        <w:t>Auch die Revisionsregel</w:t>
      </w:r>
    </w:p>
    <w:p w:rsidR="00EA00D8" w:rsidRDefault="00EA00D8" w:rsidP="00EA00D8">
      <w:pPr>
        <w:pStyle w:val="StandardWeb"/>
      </w:pPr>
      <w:r>
        <w:t>[</w:t>
      </w:r>
      <w:r>
        <w:br/>
        <w:t>A_{\mathrm{prim}}^{(v)}</w:t>
      </w:r>
      <w:r>
        <w:br/>
        <w:t>\rightarrow</w:t>
      </w:r>
      <w:r>
        <w:br/>
        <w:t>A_{\mathrm{prim}}^{(v+1)}</w:t>
      </w:r>
      <w:r>
        <w:br/>
      </w:r>
      <w:r>
        <w:lastRenderedPageBreak/>
        <w:t>\Longrightarrow</w:t>
      </w:r>
      <w:r>
        <w:br/>
        <w:t>J_{\mathrm{rev}}=1</w:t>
      </w:r>
      <w:r>
        <w:br/>
        <w:t>\tag{3.9469}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A_{\mathrm{prim}}^{(v)}\rightarrow A_{\mathrm{prim}}^{(v+1)}\Longrightarrow J_{\mathrm{rev}}=1</w:t>
      </w:r>
    </w:p>
    <w:p w:rsidR="00EA00D8" w:rsidRDefault="00EA00D8" w:rsidP="00EA00D8">
      <w:pPr>
        <w:pStyle w:val="StandardWeb"/>
      </w:pPr>
      <w:r>
        <w:t>ist eine methodologische Regel zur Theoriepflege und kein zusätzliches Primäraxiom über den Gegenstandsbereich.</w:t>
      </w:r>
    </w:p>
    <w:p w:rsidR="00EA00D8" w:rsidRDefault="00EA00D8" w:rsidP="00EA00D8">
      <w:pPr>
        <w:pStyle w:val="StandardWeb"/>
      </w:pPr>
      <w:r>
        <w:t>Daher gilt</w:t>
      </w:r>
    </w:p>
    <w:p w:rsidR="00EA00D8" w:rsidRDefault="00EA00D8" w:rsidP="00EA00D8">
      <w:pPr>
        <w:pStyle w:val="StandardWeb"/>
      </w:pPr>
      <w:r>
        <w:t>[</w:t>
      </w:r>
      <w:r>
        <w:br/>
        <w:t>H_{\mathrm{Ax}}(J_{\mathrm{rev}})=0.</w:t>
      </w:r>
      <w:r>
        <w:br/>
        <w:t>\tag{3.9470}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H_{\mathrm{Ax}}(J_{\mathrm{rev}})=0</w:t>
      </w:r>
    </w:p>
    <w:p w:rsidR="00EA00D8" w:rsidRDefault="00E50336" w:rsidP="00EA00D8">
      <w:r>
        <w:pict>
          <v:rect id="_x0000_i2811" style="width:0;height:1.5pt" o:hralign="center" o:hrstd="t" o:hr="t" fillcolor="#a0a0a0" stroked="f"/>
        </w:pict>
      </w:r>
    </w:p>
    <w:p w:rsidR="00EA00D8" w:rsidRDefault="00EA00D8" w:rsidP="00EA00D8">
      <w:pPr>
        <w:pStyle w:val="berschrift1"/>
      </w:pPr>
      <w:r>
        <w:t>3.3.43.648 Prüfung des Axiomabhängigkeitsgraphen</w:t>
      </w:r>
    </w:p>
    <w:p w:rsidR="00EA00D8" w:rsidRDefault="00EA00D8" w:rsidP="00EA00D8">
      <w:pPr>
        <w:pStyle w:val="StandardWeb"/>
      </w:pPr>
      <w:r>
        <w:t>Der Axiomabhängigkeitsgraph</w:t>
      </w:r>
    </w:p>
    <w:p w:rsidR="00EA00D8" w:rsidRDefault="00EA00D8" w:rsidP="00EA00D8">
      <w:pPr>
        <w:pStyle w:val="StandardWeb"/>
      </w:pPr>
      <w:r>
        <w:t>[</w:t>
      </w:r>
      <w:r>
        <w:br/>
        <w:t>\mathcal G_A=(V_A,E_A)</w:t>
      </w:r>
      <w:r>
        <w:br/>
        <w:t>\tag{3.9471}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\mathcal G_A=(V_A,E_A)</w:t>
      </w:r>
    </w:p>
    <w:p w:rsidR="00EA00D8" w:rsidRDefault="00EA00D8" w:rsidP="00EA00D8">
      <w:pPr>
        <w:pStyle w:val="StandardWeb"/>
      </w:pPr>
      <w:r>
        <w:t>ist ein Werkzeug zur theoretischen Rückverfolgbarkeit.</w:t>
      </w:r>
    </w:p>
    <w:p w:rsidR="00EA00D8" w:rsidRDefault="00EA00D8" w:rsidP="00EA00D8">
      <w:pPr>
        <w:pStyle w:val="StandardWeb"/>
      </w:pPr>
      <w:r>
        <w:t>Er gehört nicht zur Gegenstandsontologie des FRZK.</w:t>
      </w:r>
    </w:p>
    <w:p w:rsidR="00EA00D8" w:rsidRDefault="00EA00D8" w:rsidP="00EA00D8">
      <w:pPr>
        <w:pStyle w:val="StandardWeb"/>
      </w:pPr>
      <w:r>
        <w:t>Somit gilt</w:t>
      </w:r>
    </w:p>
    <w:p w:rsidR="00EA00D8" w:rsidRDefault="00EA00D8" w:rsidP="00EA00D8">
      <w:pPr>
        <w:pStyle w:val="StandardWeb"/>
      </w:pPr>
      <w:r>
        <w:t>[</w:t>
      </w:r>
      <w:r>
        <w:br/>
        <w:t>H_{\mathrm{Ax}}(\mathcal G_A)=0.</w:t>
      </w:r>
      <w:r>
        <w:br/>
        <w:t>\tag{3.9472}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lastRenderedPageBreak/>
        <w:t>H_{\mathrm{Ax}}(\mathcal G_A)=0</w:t>
      </w:r>
    </w:p>
    <w:p w:rsidR="00EA00D8" w:rsidRDefault="00E50336" w:rsidP="00EA00D8">
      <w:r>
        <w:pict>
          <v:rect id="_x0000_i2812" style="width:0;height:1.5pt" o:hralign="center" o:hrstd="t" o:hr="t" fillcolor="#a0a0a0" stroked="f"/>
        </w:pict>
      </w:r>
    </w:p>
    <w:p w:rsidR="00EA00D8" w:rsidRDefault="00EA00D8" w:rsidP="00EA00D8">
      <w:pPr>
        <w:pStyle w:val="berschrift1"/>
      </w:pPr>
      <w:r>
        <w:t>3.3.43.649 Zusammenfassende Prüfung auf verdeckte Primäraxiome</w:t>
      </w:r>
    </w:p>
    <w:p w:rsidR="00EA00D8" w:rsidRDefault="00EA00D8" w:rsidP="00EA00D8">
      <w:pPr>
        <w:pStyle w:val="StandardWeb"/>
      </w:pPr>
      <w:r>
        <w:t>Für die geprüften Strukturklassen ergibt sich somit</w:t>
      </w:r>
    </w:p>
    <w:p w:rsidR="00EA00D8" w:rsidRDefault="00EA00D8" w:rsidP="00EA00D8">
      <w:pPr>
        <w:pStyle w:val="StandardWeb"/>
      </w:pPr>
      <w:r>
        <w:t>[</w:t>
      </w:r>
      <w:r>
        <w:br/>
        <w:t>\forall X</w:t>
      </w:r>
      <w:r>
        <w:br/>
        <w:t>\in</w:t>
      </w:r>
      <w:r>
        <w:br/>
        <w:t>\mathfrak O_C\setminus{A_C}:</w:t>
      </w:r>
      <w:r>
        <w:br/>
        <w:t>H_{\mathrm{Ax}}(X)=0.</w:t>
      </w:r>
      <w:r>
        <w:br/>
        <w:t>\tag{3.9473}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\forall X\in\mathfrak O_C\setminus\{A_C\}:H_{\mathrm{Ax}}(X)=0</w:t>
      </w:r>
    </w:p>
    <w:p w:rsidR="00EA00D8" w:rsidRDefault="00EA00D8" w:rsidP="00EA00D8">
      <w:pPr>
        <w:pStyle w:val="StandardWeb"/>
      </w:pPr>
      <w:r>
        <w:t>Daraus folgt</w:t>
      </w:r>
    </w:p>
    <w:p w:rsidR="00EA00D8" w:rsidRDefault="00EA00D8" w:rsidP="00EA00D8">
      <w:pPr>
        <w:pStyle w:val="StandardWeb"/>
      </w:pPr>
      <w:r>
        <w:t>[</w:t>
      </w:r>
      <w:r>
        <w:br/>
        <w:t>\boxed{</w:t>
      </w:r>
      <w:r>
        <w:br/>
        <w:t>\mathfrak H_C=\varnothing.</w:t>
      </w:r>
      <w:r>
        <w:br/>
        <w:t>}</w:t>
      </w:r>
      <w:r>
        <w:br/>
        <w:t>\tag{3.9474}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\boxed{\mathfrak H_C=\varnothing.}</w:t>
      </w:r>
    </w:p>
    <w:p w:rsidR="00EA00D8" w:rsidRDefault="00EA00D8" w:rsidP="00EA00D8">
      <w:pPr>
        <w:pStyle w:val="StandardWeb"/>
      </w:pPr>
      <w:r>
        <w:t>Damit ist im gegenwärtigen Aufbau kein zusätzliches verdecktes Kohärenzprimäraxiom identifiziert.</w:t>
      </w:r>
    </w:p>
    <w:p w:rsidR="00EA00D8" w:rsidRDefault="00E50336" w:rsidP="00EA00D8">
      <w:r>
        <w:pict>
          <v:rect id="_x0000_i2813" style="width:0;height:1.5pt" o:hralign="center" o:hrstd="t" o:hr="t" fillcolor="#a0a0a0" stroked="f"/>
        </w:pict>
      </w:r>
    </w:p>
    <w:p w:rsidR="00EA00D8" w:rsidRDefault="00EA00D8" w:rsidP="00EA00D8">
      <w:pPr>
        <w:pStyle w:val="berschrift1"/>
      </w:pPr>
      <w:r>
        <w:t>3.3.43.650 Prüfung auf Statuswidersprüche</w:t>
      </w:r>
    </w:p>
    <w:p w:rsidR="00EA00D8" w:rsidRDefault="00EA00D8" w:rsidP="00EA00D8">
      <w:pPr>
        <w:pStyle w:val="StandardWeb"/>
      </w:pPr>
      <w:r>
        <w:t>Die Abwesenheit verdeckter Primäraxiome genügt noch nicht. Zusätzlich muss ausgeschlossen werden, dass dasselbe Theorieobjekt innerhalb des Abschnitts widersprüchliche Rollen erhält.</w:t>
      </w:r>
    </w:p>
    <w:p w:rsidR="00EA00D8" w:rsidRDefault="00EA00D8" w:rsidP="00EA00D8">
      <w:pPr>
        <w:pStyle w:val="StandardWeb"/>
      </w:pPr>
      <w:r>
        <w:t>Ich definiere deshalb</w:t>
      </w:r>
    </w:p>
    <w:p w:rsidR="00EA00D8" w:rsidRDefault="00EA00D8" w:rsidP="00EA00D8">
      <w:pPr>
        <w:pStyle w:val="StandardWeb"/>
      </w:pPr>
      <w:r>
        <w:t>[</w:t>
      </w:r>
      <w:r>
        <w:br/>
        <w:t>\operatorname{Conf}_{\mathrm{Stat}}(X)=1</w:t>
      </w:r>
      <w:r>
        <w:br/>
        <w:t>\tag{3.9475}</w:t>
      </w:r>
      <w:r>
        <w:br/>
        <w:t>]</w:t>
      </w:r>
    </w:p>
    <w:p w:rsidR="00EA00D8" w:rsidRDefault="00EA00D8" w:rsidP="00EA00D8">
      <w:pPr>
        <w:pStyle w:val="StandardWeb"/>
      </w:pPr>
      <w:r>
        <w:rPr>
          <w:rStyle w:val="Fett"/>
        </w:rPr>
        <w:lastRenderedPageBreak/>
        <w:t>Word-LaTeX</w:t>
      </w:r>
    </w:p>
    <w:p w:rsidR="00EA00D8" w:rsidRDefault="00EA00D8" w:rsidP="00EA00D8">
      <w:pPr>
        <w:pStyle w:val="HTMLVorformatiert"/>
        <w:rPr>
          <w:rStyle w:val="HTMLCode"/>
        </w:rPr>
      </w:pPr>
      <w:r>
        <w:rPr>
          <w:rStyle w:val="HTMLCode"/>
        </w:rPr>
        <w:t>\operatorname{Conf}_{\mathrm{Stat}}(X)=1</w:t>
      </w:r>
    </w:p>
    <w:p w:rsidR="00EA00D8" w:rsidRDefault="00EA00D8" w:rsidP="00EA00D8">
      <w:pPr>
        <w:pStyle w:val="StandardWeb"/>
      </w:pPr>
      <w:r>
        <w:t>genau dann, wenn zwei nicht miteinander vereinbare Statuszuweisungen für dasselbe Objekt im selben Gültigkeitskontext vorliegen.</w:t>
      </w:r>
    </w:p>
    <w:p w:rsidR="00EA00D8" w:rsidRDefault="00E50336" w:rsidP="00EA00D8">
      <w:r>
        <w:pict>
          <v:rect id="_x0000_i2814" style="width:0;height:1.5pt" o:hralign="center" o:hrstd="t" o:hr="t" fillcolor="#a0a0a0" stroked="f"/>
        </w:pict>
      </w:r>
    </w:p>
    <w:p w:rsidR="00EA00D8" w:rsidRDefault="00EA00D8" w:rsidP="00EA00D8">
      <w:pPr>
        <w:pStyle w:val="berschrift1"/>
      </w:pPr>
      <w:r>
        <w:t>3.3.43.651 Definition 3.3.70 – Wissenschaftlicher Statuswiderspruch</w:t>
      </w:r>
    </w:p>
    <w:p w:rsidR="00EA00D8" w:rsidRDefault="00EA00D8" w:rsidP="00EA00D8">
      <w:pPr>
        <w:pStyle w:val="berschrift3"/>
      </w:pPr>
      <w:r>
        <w:t>Definition 3.3.70</w:t>
      </w:r>
    </w:p>
    <w:p w:rsidR="00EA00D8" w:rsidRDefault="00EA00D8" w:rsidP="00EA00D8">
      <w:pPr>
        <w:pStyle w:val="StandardWeb"/>
      </w:pPr>
      <w:r>
        <w:t xml:space="preserve">Ein </w:t>
      </w:r>
      <w:r>
        <w:rPr>
          <w:rStyle w:val="Fett"/>
        </w:rPr>
        <w:t>wissenschaftlicher Statuswiderspruch</w:t>
      </w:r>
      <w:r>
        <w:t xml:space="preserve"> liegt vor, wenn derselben theoretischen Struktur innerhalb desselben Gültigkeitskontextes zwei epistemisch nicht miteinander vereinbare Rollen zugewiesen werden.</w:t>
      </w:r>
    </w:p>
    <w:p w:rsidR="00EA00D8" w:rsidRDefault="00EA00D8" w:rsidP="00EA00D8">
      <w:pPr>
        <w:pStyle w:val="StandardWeb"/>
      </w:pPr>
      <w:r>
        <w:t>Formal:</w:t>
      </w:r>
    </w:p>
    <w:p w:rsidR="00EA00D8" w:rsidRDefault="00EA00D8" w:rsidP="00EA00D8">
      <w:pPr>
        <w:pStyle w:val="StandardWeb"/>
      </w:pPr>
      <w:r>
        <w:t>[</w:t>
      </w:r>
      <w:r>
        <w:br/>
        <w:t>\operatorname{Conf}_{\mathrm{Stat}}(X)=1</w:t>
      </w:r>
      <w:r>
        <w:br/>
        <w:t>\Longleftrightarrow</w:t>
      </w:r>
      <w:r>
        <w:br/>
        <w:t>\exists s_1,s_2:</w:t>
      </w:r>
      <w:r>
        <w:br/>
        <w:t>s_1\neq s_2</w:t>
      </w:r>
      <w:r>
        <w:br/>
        <w:t>\land</w:t>
      </w:r>
      <w:r>
        <w:br/>
        <w:t>\operatorname{Incompat}(s_1,s_2)=1.</w:t>
      </w:r>
      <w:r>
        <w:br/>
        <w:t>\tag{3.9476}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\operatorname{Conf}_{\mathrm{Stat}}(X)=1\Longleftrightarrow\exists s_1,s_2:s_1\neq s_2\land\operatorname{Incompat}(s_1,s_2)=1</w:t>
      </w:r>
    </w:p>
    <w:p w:rsidR="00EA00D8" w:rsidRDefault="00EA00D8" w:rsidP="00EA00D8">
      <w:pPr>
        <w:pStyle w:val="StandardWeb"/>
      </w:pPr>
      <w:r>
        <w:t>Insbesondere wären die Kombinationen</w:t>
      </w:r>
    </w:p>
    <w:p w:rsidR="00EA00D8" w:rsidRDefault="00EA00D8" w:rsidP="00EA00D8">
      <w:pPr>
        <w:pStyle w:val="StandardWeb"/>
      </w:pPr>
      <w:r>
        <w:t>[</w:t>
      </w:r>
      <w:r>
        <w:br/>
        <w:t>\mathrm{Ax}</w:t>
      </w:r>
      <w:r>
        <w:br/>
        <w:t>\land</w:t>
      </w:r>
      <w:r>
        <w:br/>
        <w:t>\mathrm{Mod}</w:t>
      </w:r>
      <w:r>
        <w:br/>
        <w:t>\tag{3.9477}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\mathrm{Ax}\land\mathrm{Mod}</w:t>
      </w:r>
    </w:p>
    <w:p w:rsidR="00EA00D8" w:rsidRDefault="00EA00D8" w:rsidP="00EA00D8">
      <w:pPr>
        <w:pStyle w:val="StandardWeb"/>
      </w:pPr>
      <w:r>
        <w:t>oder</w:t>
      </w:r>
    </w:p>
    <w:p w:rsidR="00EA00D8" w:rsidRDefault="00EA00D8" w:rsidP="00EA00D8">
      <w:pPr>
        <w:pStyle w:val="StandardWeb"/>
      </w:pPr>
      <w:r>
        <w:lastRenderedPageBreak/>
        <w:t>[</w:t>
      </w:r>
      <w:r>
        <w:br/>
        <w:t>\mathrm{Ax}</w:t>
      </w:r>
      <w:r>
        <w:br/>
        <w:t>\land</w:t>
      </w:r>
      <w:r>
        <w:br/>
        <w:t>\mathrm{Op}</w:t>
      </w:r>
      <w:r>
        <w:br/>
        <w:t>\tag{3.9478}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\mathrm{Ax}\land\mathrm{Op}</w:t>
      </w:r>
    </w:p>
    <w:p w:rsidR="00EA00D8" w:rsidRDefault="00EA00D8" w:rsidP="00EA00D8">
      <w:pPr>
        <w:pStyle w:val="StandardWeb"/>
      </w:pPr>
      <w:r>
        <w:t>für dasselbe Objekt im selben Sinn problematisch.</w:t>
      </w:r>
    </w:p>
    <w:p w:rsidR="00EA00D8" w:rsidRDefault="00E50336" w:rsidP="00EA00D8">
      <w:r>
        <w:pict>
          <v:rect id="_x0000_i2815" style="width:0;height:1.5pt" o:hralign="center" o:hrstd="t" o:hr="t" fillcolor="#a0a0a0" stroked="f"/>
        </w:pict>
      </w:r>
    </w:p>
    <w:p w:rsidR="00EA00D8" w:rsidRDefault="00EA00D8" w:rsidP="00EA00D8">
      <w:pPr>
        <w:pStyle w:val="berschrift1"/>
      </w:pPr>
      <w:r>
        <w:t>3.3.43.652 Kompatible Mehrfachrollen</w:t>
      </w:r>
    </w:p>
    <w:p w:rsidR="00EA00D8" w:rsidRDefault="00EA00D8" w:rsidP="00EA00D8">
      <w:pPr>
        <w:pStyle w:val="StandardWeb"/>
      </w:pPr>
      <w:r>
        <w:t>Nicht jede Mehrfachklassifikation ist dagegen widersprüchlich.</w:t>
      </w:r>
    </w:p>
    <w:p w:rsidR="00EA00D8" w:rsidRDefault="00EA00D8" w:rsidP="00EA00D8">
      <w:pPr>
        <w:pStyle w:val="StandardWeb"/>
      </w:pPr>
      <w:r>
        <w:t>Ein abstrakter Begriff kann beispielsweise definiert sein, während seine konkrete Instanziierung modellabhängig ist:</w:t>
      </w:r>
    </w:p>
    <w:p w:rsidR="00EA00D8" w:rsidRDefault="00EA00D8" w:rsidP="00EA00D8">
      <w:pPr>
        <w:pStyle w:val="StandardWeb"/>
      </w:pPr>
      <w:r>
        <w:t>[</w:t>
      </w:r>
      <w:r>
        <w:br/>
        <w:t>\mathrm{Def}</w:t>
      </w:r>
      <w:r>
        <w:br/>
        <w:t>\land</w:t>
      </w:r>
      <w:r>
        <w:br/>
        <w:t>\mathrm{Mod}</w:t>
      </w:r>
      <w:r>
        <w:br/>
        <w:t>\tag{3.9479}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\mathrm{Def}\land\mathrm{Mod}</w:t>
      </w:r>
    </w:p>
    <w:p w:rsidR="00EA00D8" w:rsidRDefault="00EA00D8" w:rsidP="00EA00D8">
      <w:pPr>
        <w:pStyle w:val="StandardWeb"/>
      </w:pPr>
      <w:r>
        <w:t>ist deshalb grundsätzlich zulässig, wenn beide Rollen unterschiedliche Ebenen betreffen.</w:t>
      </w:r>
    </w:p>
    <w:p w:rsidR="00EA00D8" w:rsidRDefault="00EA00D8" w:rsidP="00EA00D8">
      <w:pPr>
        <w:pStyle w:val="StandardWeb"/>
      </w:pPr>
      <w:r>
        <w:t>Ebenso kann gelten</w:t>
      </w:r>
    </w:p>
    <w:p w:rsidR="00EA00D8" w:rsidRDefault="00EA00D8" w:rsidP="00EA00D8">
      <w:pPr>
        <w:pStyle w:val="StandardWeb"/>
      </w:pPr>
      <w:r>
        <w:t>[</w:t>
      </w:r>
      <w:r>
        <w:br/>
        <w:t>\mathrm{Def}</w:t>
      </w:r>
      <w:r>
        <w:br/>
        <w:t>\land</w:t>
      </w:r>
      <w:r>
        <w:br/>
        <w:t>\mathrm{Op},</w:t>
      </w:r>
      <w:r>
        <w:br/>
        <w:t>\tag{3.9480}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\mathrm{Def}\land\mathrm{Op}</w:t>
      </w:r>
    </w:p>
    <w:p w:rsidR="00EA00D8" w:rsidRDefault="00EA00D8" w:rsidP="00EA00D8">
      <w:pPr>
        <w:pStyle w:val="StandardWeb"/>
      </w:pPr>
      <w:r>
        <w:t>wenn ein theoretisch definierter Begriff empirisch operationalisiert wird.</w:t>
      </w:r>
    </w:p>
    <w:p w:rsidR="00EA00D8" w:rsidRDefault="00E50336" w:rsidP="00EA00D8">
      <w:r>
        <w:pict>
          <v:rect id="_x0000_i2816" style="width:0;height:1.5pt" o:hralign="center" o:hrstd="t" o:hr="t" fillcolor="#a0a0a0" stroked="f"/>
        </w:pict>
      </w:r>
    </w:p>
    <w:p w:rsidR="00EA00D8" w:rsidRDefault="00EA00D8" w:rsidP="00EA00D8">
      <w:pPr>
        <w:pStyle w:val="berschrift1"/>
      </w:pPr>
      <w:r>
        <w:lastRenderedPageBreak/>
        <w:t>3.3.43.653 Konfliktprüfung von (A_C)</w:t>
      </w:r>
    </w:p>
    <w:p w:rsidR="00EA00D8" w:rsidRDefault="00EA00D8" w:rsidP="00EA00D8">
      <w:pPr>
        <w:pStyle w:val="StandardWeb"/>
      </w:pPr>
      <w:r>
        <w:t>Für das Primäraxiom gilt eindeutig</w:t>
      </w:r>
    </w:p>
    <w:p w:rsidR="00EA00D8" w:rsidRDefault="00EA00D8" w:rsidP="00EA00D8">
      <w:pPr>
        <w:pStyle w:val="StandardWeb"/>
      </w:pPr>
      <w:r>
        <w:t>[</w:t>
      </w:r>
      <w:r>
        <w:br/>
        <w:t>\operatorname{Stat}_C(A_C)=\mathrm{Ax}.</w:t>
      </w:r>
      <w:r>
        <w:br/>
        <w:t>\tag{3.9481}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\operatorname{Stat}_C(A_C)=\mathrm{Ax}</w:t>
      </w:r>
    </w:p>
    <w:p w:rsidR="00EA00D8" w:rsidRDefault="00EA00D8" w:rsidP="00EA00D8">
      <w:pPr>
        <w:pStyle w:val="StandardWeb"/>
      </w:pPr>
      <w:r>
        <w:t>Es wird weder als frei wählbare Modellannahme noch als Operationalisierung verwendet.</w:t>
      </w:r>
    </w:p>
    <w:p w:rsidR="00EA00D8" w:rsidRDefault="00EA00D8" w:rsidP="00EA00D8">
      <w:pPr>
        <w:pStyle w:val="StandardWeb"/>
      </w:pPr>
      <w:r>
        <w:t>Damit gilt</w:t>
      </w:r>
    </w:p>
    <w:p w:rsidR="00EA00D8" w:rsidRDefault="00EA00D8" w:rsidP="00EA00D8">
      <w:pPr>
        <w:pStyle w:val="StandardWeb"/>
      </w:pPr>
      <w:r>
        <w:t>[</w:t>
      </w:r>
      <w:r>
        <w:br/>
        <w:t>\operatorname{Conf}_{\mathrm{Stat}}(A_C)=0.</w:t>
      </w:r>
      <w:r>
        <w:br/>
        <w:t>\tag{3.9482}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\operatorname{Conf}_{\mathrm{Stat}}(A_C)=0</w:t>
      </w:r>
    </w:p>
    <w:p w:rsidR="00EA00D8" w:rsidRDefault="00E50336" w:rsidP="00EA00D8">
      <w:r>
        <w:pict>
          <v:rect id="_x0000_i2817" style="width:0;height:1.5pt" o:hralign="center" o:hrstd="t" o:hr="t" fillcolor="#a0a0a0" stroked="f"/>
        </w:pict>
      </w:r>
    </w:p>
    <w:p w:rsidR="00EA00D8" w:rsidRDefault="00EA00D8" w:rsidP="00EA00D8">
      <w:pPr>
        <w:pStyle w:val="berschrift1"/>
      </w:pPr>
      <w:r>
        <w:t>3.3.43.654 Konfliktprüfung der Kopplung</w:t>
      </w:r>
    </w:p>
    <w:p w:rsidR="00EA00D8" w:rsidRDefault="00EA00D8" w:rsidP="00EA00D8">
      <w:pPr>
        <w:pStyle w:val="StandardWeb"/>
      </w:pPr>
      <w:r>
        <w:t>Für (\kappa) hatte ich zwischen abstraktem Begriff und konkreter Funktionsform unterschieden.</w:t>
      </w:r>
    </w:p>
    <w:p w:rsidR="00EA00D8" w:rsidRDefault="00EA00D8" w:rsidP="00EA00D8">
      <w:pPr>
        <w:pStyle w:val="StandardWeb"/>
      </w:pPr>
      <w:r>
        <w:t>Damit gilt</w:t>
      </w:r>
    </w:p>
    <w:p w:rsidR="00EA00D8" w:rsidRDefault="00EA00D8" w:rsidP="00EA00D8">
      <w:pPr>
        <w:pStyle w:val="berschrift1"/>
      </w:pPr>
      <w:r>
        <w:t>[</w:t>
      </w:r>
      <w:r>
        <w:br/>
        <w:t>\operatorname{Stat}</w:t>
      </w:r>
      <w:r>
        <w:rPr>
          <w:rStyle w:val="Hervorhebung"/>
        </w:rPr>
        <w:t>C(\kappa</w:t>
      </w:r>
      <w:r>
        <w:t>{\mathrm{abstract}})</w:t>
      </w:r>
    </w:p>
    <w:p w:rsidR="00EA00D8" w:rsidRDefault="00EA00D8" w:rsidP="00EA00D8">
      <w:pPr>
        <w:pStyle w:val="StandardWeb"/>
      </w:pPr>
      <w:r>
        <w:t>\mathrm{Def}</w:t>
      </w:r>
      <w:r>
        <w:br/>
        <w:t>\tag{3.9483}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\operatorname{Stat}_C(\kappa_{\mathrm{abstract}})=\mathrm{Def}</w:t>
      </w:r>
    </w:p>
    <w:p w:rsidR="00EA00D8" w:rsidRDefault="00EA00D8" w:rsidP="00EA00D8">
      <w:pPr>
        <w:pStyle w:val="StandardWeb"/>
      </w:pPr>
      <w:r>
        <w:t>und</w:t>
      </w:r>
    </w:p>
    <w:p w:rsidR="00EA00D8" w:rsidRDefault="00EA00D8" w:rsidP="00EA00D8">
      <w:pPr>
        <w:pStyle w:val="berschrift1"/>
      </w:pPr>
      <w:r>
        <w:lastRenderedPageBreak/>
        <w:t>[</w:t>
      </w:r>
      <w:r>
        <w:br/>
        <w:t>\operatorname{Stat}</w:t>
      </w:r>
      <w:r>
        <w:rPr>
          <w:rStyle w:val="Hervorhebung"/>
        </w:rPr>
        <w:t>C(\kappa</w:t>
      </w:r>
      <w:r>
        <w:t>{\mathrm{specific}})</w:t>
      </w:r>
    </w:p>
    <w:p w:rsidR="00EA00D8" w:rsidRDefault="00EA00D8" w:rsidP="00EA00D8">
      <w:pPr>
        <w:pStyle w:val="StandardWeb"/>
      </w:pPr>
      <w:r>
        <w:t>\mathrm{Mod}.</w:t>
      </w:r>
      <w:r>
        <w:br/>
        <w:t>\tag{3.9484}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\operatorname{Stat}_C(\kappa_{\mathrm{specific}})=\mathrm{Mod}</w:t>
      </w:r>
    </w:p>
    <w:p w:rsidR="00EA00D8" w:rsidRDefault="00EA00D8" w:rsidP="00EA00D8">
      <w:pPr>
        <w:pStyle w:val="StandardWeb"/>
      </w:pPr>
      <w:r>
        <w:t>Da unterschiedliche Ebenen bezeichnet werden, gilt</w:t>
      </w:r>
    </w:p>
    <w:p w:rsidR="00EA00D8" w:rsidRDefault="00EA00D8" w:rsidP="00EA00D8">
      <w:pPr>
        <w:pStyle w:val="StandardWeb"/>
      </w:pPr>
      <w:r>
        <w:t>[</w:t>
      </w:r>
      <w:r>
        <w:br/>
        <w:t>\operatorname{Conf}_{\mathrm{Stat}}(\kappa)=0.</w:t>
      </w:r>
      <w:r>
        <w:br/>
        <w:t>\tag{3.9485}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\operatorname{Conf}_{\mathrm{Stat}}(\kappa)=0</w:t>
      </w:r>
    </w:p>
    <w:p w:rsidR="00EA00D8" w:rsidRDefault="00E50336" w:rsidP="00EA00D8">
      <w:r>
        <w:pict>
          <v:rect id="_x0000_i2818" style="width:0;height:1.5pt" o:hralign="center" o:hrstd="t" o:hr="t" fillcolor="#a0a0a0" stroked="f"/>
        </w:pict>
      </w:r>
    </w:p>
    <w:p w:rsidR="00EA00D8" w:rsidRDefault="00EA00D8" w:rsidP="00EA00D8">
      <w:pPr>
        <w:pStyle w:val="berschrift1"/>
      </w:pPr>
      <w:r>
        <w:t>3.3.43.655 Konfliktprüfung der Kohärenzschwelle</w:t>
      </w:r>
    </w:p>
    <w:p w:rsidR="00EA00D8" w:rsidRDefault="00EA00D8" w:rsidP="00EA00D8">
      <w:pPr>
        <w:pStyle w:val="StandardWeb"/>
      </w:pPr>
      <w:r>
        <w:t>Für (\theta_C) gilt</w:t>
      </w:r>
    </w:p>
    <w:p w:rsidR="00EA00D8" w:rsidRDefault="00EA00D8" w:rsidP="00EA00D8">
      <w:pPr>
        <w:pStyle w:val="StandardWeb"/>
      </w:pPr>
      <w:r>
        <w:t>[</w:t>
      </w:r>
      <w:r>
        <w:br/>
        <w:t>\operatorname{Stat}_C(\theta_C)</w:t>
      </w:r>
      <w:r>
        <w:br/>
        <w:t>\in</w:t>
      </w:r>
      <w:r>
        <w:br/>
        <w:t>{\mathrm{Mod},\mathrm{Op}}.</w:t>
      </w:r>
      <w:r>
        <w:br/>
        <w:t>\tag{3.9486}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\operatorname{Stat}_C(\theta_C)\in\{\mathrm{Mod},\mathrm{Op}\}</w:t>
      </w:r>
    </w:p>
    <w:p w:rsidR="00EA00D8" w:rsidRDefault="00EA00D8" w:rsidP="00EA00D8">
      <w:pPr>
        <w:pStyle w:val="StandardWeb"/>
      </w:pPr>
      <w:r>
        <w:t>Auch dies ist nicht widersprüchlich, solange klar angegeben wird, ob eine Schwelle theoretisch gesetzt oder empirisch bestimmt wird.</w:t>
      </w:r>
    </w:p>
    <w:p w:rsidR="00EA00D8" w:rsidRDefault="00EA00D8" w:rsidP="00EA00D8">
      <w:pPr>
        <w:pStyle w:val="StandardWeb"/>
      </w:pPr>
      <w:r>
        <w:t>Somit gilt</w:t>
      </w:r>
    </w:p>
    <w:p w:rsidR="00EA00D8" w:rsidRDefault="00EA00D8" w:rsidP="00EA00D8">
      <w:pPr>
        <w:pStyle w:val="StandardWeb"/>
      </w:pPr>
      <w:r>
        <w:t>[</w:t>
      </w:r>
      <w:r>
        <w:br/>
        <w:t>\operatorname{Conf}_{\mathrm{Stat}}(\theta_C)=0.</w:t>
      </w:r>
      <w:r>
        <w:br/>
        <w:t>\tag{3.9487}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lastRenderedPageBreak/>
        <w:t>\operatorname{Conf}_{\mathrm{Stat}}(\theta_C)=0</w:t>
      </w:r>
    </w:p>
    <w:p w:rsidR="00EA00D8" w:rsidRDefault="00E50336" w:rsidP="00EA00D8">
      <w:r>
        <w:pict>
          <v:rect id="_x0000_i2819" style="width:0;height:1.5pt" o:hralign="center" o:hrstd="t" o:hr="t" fillcolor="#a0a0a0" stroked="f"/>
        </w:pict>
      </w:r>
    </w:p>
    <w:p w:rsidR="00EA00D8" w:rsidRDefault="00EA00D8" w:rsidP="00EA00D8">
      <w:pPr>
        <w:pStyle w:val="berschrift1"/>
      </w:pPr>
      <w:r>
        <w:t>3.3.43.656 Konfliktprüfung des Kohärenzfeldes</w:t>
      </w:r>
    </w:p>
    <w:p w:rsidR="00EA00D8" w:rsidRDefault="00EA00D8" w:rsidP="00EA00D8">
      <w:pPr>
        <w:pStyle w:val="StandardWeb"/>
      </w:pPr>
      <w:r>
        <w:t>Das Kohärenzfeld besitzt den Status einer definierten möglichen mathematischen Struktur und einer gegebenenfalls konkret gewählten Modellrepräsentation.</w:t>
      </w:r>
    </w:p>
    <w:p w:rsidR="00EA00D8" w:rsidRDefault="00EA00D8" w:rsidP="00EA00D8">
      <w:pPr>
        <w:pStyle w:val="StandardWeb"/>
      </w:pPr>
      <w:r>
        <w:t>Daher gilt</w:t>
      </w:r>
    </w:p>
    <w:p w:rsidR="00EA00D8" w:rsidRDefault="00EA00D8" w:rsidP="00EA00D8">
      <w:pPr>
        <w:pStyle w:val="StandardWeb"/>
      </w:pPr>
      <w:r>
        <w:t>[</w:t>
      </w:r>
      <w:r>
        <w:br/>
        <w:t>\operatorname{Stat}_C(\mathcal C_F)</w:t>
      </w:r>
      <w:r>
        <w:br/>
        <w:t>\in</w:t>
      </w:r>
      <w:r>
        <w:br/>
        <w:t>{\mathrm{Def},\mathrm{Mod}}.</w:t>
      </w:r>
      <w:r>
        <w:br/>
        <w:t>\tag{3.9488}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\operatorname{Stat}_C(\mathcal C_F)\in\{\mathrm{Def},\mathrm{Mod}\}</w:t>
      </w:r>
    </w:p>
    <w:p w:rsidR="00EA00D8" w:rsidRDefault="00EA00D8" w:rsidP="00EA00D8">
      <w:pPr>
        <w:pStyle w:val="StandardWeb"/>
      </w:pPr>
      <w:r>
        <w:t>Da seine Existenz nicht axiomatisch vorausgesetzt wird, entsteht kein Konflikt:</w:t>
      </w:r>
    </w:p>
    <w:p w:rsidR="00EA00D8" w:rsidRDefault="00EA00D8" w:rsidP="00EA00D8">
      <w:pPr>
        <w:pStyle w:val="StandardWeb"/>
      </w:pPr>
      <w:r>
        <w:t>[</w:t>
      </w:r>
      <w:r>
        <w:br/>
        <w:t>\operatorname{Conf}_{\mathrm{Stat}}(\mathcal C_F)=0.</w:t>
      </w:r>
      <w:r>
        <w:br/>
        <w:t>\tag{3.9489}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\operatorname{Conf}_{\mathrm{Stat}}(\mathcal C_F)=0</w:t>
      </w:r>
    </w:p>
    <w:p w:rsidR="00EA00D8" w:rsidRDefault="00E50336" w:rsidP="00EA00D8">
      <w:r>
        <w:pict>
          <v:rect id="_x0000_i2820" style="width:0;height:1.5pt" o:hralign="center" o:hrstd="t" o:hr="t" fillcolor="#a0a0a0" stroked="f"/>
        </w:pict>
      </w:r>
    </w:p>
    <w:p w:rsidR="00EA00D8" w:rsidRDefault="00EA00D8" w:rsidP="00EA00D8">
      <w:pPr>
        <w:pStyle w:val="berschrift1"/>
      </w:pPr>
      <w:r>
        <w:t>3.3.43.657 Konfliktprüfung des Kohärenzflusses</w:t>
      </w:r>
    </w:p>
    <w:p w:rsidR="00EA00D8" w:rsidRDefault="00EA00D8" w:rsidP="00EA00D8">
      <w:pPr>
        <w:pStyle w:val="StandardWeb"/>
      </w:pPr>
      <w:r>
        <w:t>Analog gilt</w:t>
      </w:r>
    </w:p>
    <w:p w:rsidR="00EA00D8" w:rsidRDefault="00EA00D8" w:rsidP="00EA00D8">
      <w:pPr>
        <w:pStyle w:val="StandardWeb"/>
      </w:pPr>
      <w:r>
        <w:t>[</w:t>
      </w:r>
      <w:r>
        <w:br/>
        <w:t>\operatorname{Conf}_{\mathrm{Stat}}(\mathbf J_C)=0.</w:t>
      </w:r>
      <w:r>
        <w:br/>
        <w:t>\tag{3.9490}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\operatorname{Conf}_{\mathrm{Stat}}(\mathbf J_C)=0</w:t>
      </w:r>
    </w:p>
    <w:p w:rsidR="00EA00D8" w:rsidRDefault="00EA00D8" w:rsidP="00EA00D8">
      <w:pPr>
        <w:pStyle w:val="StandardWeb"/>
      </w:pPr>
      <w:r>
        <w:t>Der Flussbegriff kann definiert und in speziellen Modellen konkretisiert werden, ohne Primäraxiom zu werden.</w:t>
      </w:r>
    </w:p>
    <w:p w:rsidR="00EA00D8" w:rsidRDefault="00E50336" w:rsidP="00EA00D8">
      <w:r>
        <w:pict>
          <v:rect id="_x0000_i2821" style="width:0;height:1.5pt" o:hralign="center" o:hrstd="t" o:hr="t" fillcolor="#a0a0a0" stroked="f"/>
        </w:pict>
      </w:r>
    </w:p>
    <w:p w:rsidR="00EA00D8" w:rsidRDefault="00EA00D8" w:rsidP="00EA00D8">
      <w:pPr>
        <w:pStyle w:val="berschrift1"/>
      </w:pPr>
      <w:r>
        <w:lastRenderedPageBreak/>
        <w:t>3.3.43.658 Konfliktprüfung empirischer Schätzer</w:t>
      </w:r>
    </w:p>
    <w:p w:rsidR="00EA00D8" w:rsidRDefault="00EA00D8" w:rsidP="00EA00D8">
      <w:pPr>
        <w:pStyle w:val="StandardWeb"/>
      </w:pPr>
      <w:r>
        <w:t>Für</w:t>
      </w:r>
    </w:p>
    <w:p w:rsidR="00EA00D8" w:rsidRDefault="00EA00D8" w:rsidP="00EA00D8">
      <w:pPr>
        <w:pStyle w:val="StandardWeb"/>
      </w:pPr>
      <w:r>
        <w:t>[</w:t>
      </w:r>
      <w:r>
        <w:br/>
        <w:t>\widehat C_F</w:t>
      </w:r>
      <w:r>
        <w:br/>
        <w:t>\tag{3.9491}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\widehat C_F</w:t>
      </w:r>
    </w:p>
    <w:p w:rsidR="00EA00D8" w:rsidRDefault="00EA00D8" w:rsidP="00EA00D8">
      <w:pPr>
        <w:pStyle w:val="StandardWeb"/>
      </w:pPr>
      <w:r>
        <w:t>gilt eindeutig</w:t>
      </w:r>
    </w:p>
    <w:p w:rsidR="00EA00D8" w:rsidRDefault="00EA00D8" w:rsidP="00EA00D8">
      <w:pPr>
        <w:pStyle w:val="StandardWeb"/>
      </w:pPr>
      <w:r>
        <w:t>[</w:t>
      </w:r>
      <w:r>
        <w:br/>
        <w:t>\operatorname{Stat}_C(\widehat C_F)=\mathrm{Op}.</w:t>
      </w:r>
      <w:r>
        <w:br/>
        <w:t>\tag{3.9492}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\operatorname{Stat}_C(\widehat C_F)=\mathrm{Op}</w:t>
      </w:r>
    </w:p>
    <w:p w:rsidR="00EA00D8" w:rsidRDefault="00EA00D8" w:rsidP="00EA00D8">
      <w:pPr>
        <w:pStyle w:val="StandardWeb"/>
      </w:pPr>
      <w:r>
        <w:t>Damit besteht ebenfalls kein Statuskonflikt:</w:t>
      </w:r>
    </w:p>
    <w:p w:rsidR="00EA00D8" w:rsidRDefault="00EA00D8" w:rsidP="00EA00D8">
      <w:pPr>
        <w:pStyle w:val="StandardWeb"/>
      </w:pPr>
      <w:r>
        <w:t>[</w:t>
      </w:r>
      <w:r>
        <w:br/>
        <w:t>\operatorname{Conf}_{\mathrm{Stat}}(\widehat C_F)=0.</w:t>
      </w:r>
      <w:r>
        <w:br/>
        <w:t>\tag{3.9493}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\operatorname{Conf}_{\mathrm{Stat}}(\widehat C_F)=0</w:t>
      </w:r>
    </w:p>
    <w:p w:rsidR="00EA00D8" w:rsidRDefault="00E50336" w:rsidP="00EA00D8">
      <w:r>
        <w:pict>
          <v:rect id="_x0000_i2822" style="width:0;height:1.5pt" o:hralign="center" o:hrstd="t" o:hr="t" fillcolor="#a0a0a0" stroked="f"/>
        </w:pict>
      </w:r>
    </w:p>
    <w:p w:rsidR="00EA00D8" w:rsidRDefault="00EA00D8" w:rsidP="00EA00D8">
      <w:pPr>
        <w:pStyle w:val="berschrift1"/>
      </w:pPr>
      <w:r>
        <w:t>3.3.43.659 Konfliktprüfung der Kohärenzdynamik</w:t>
      </w:r>
    </w:p>
    <w:p w:rsidR="00EA00D8" w:rsidRDefault="00EA00D8" w:rsidP="00EA00D8">
      <w:pPr>
        <w:pStyle w:val="StandardWeb"/>
      </w:pPr>
      <w:r>
        <w:t>Eine konkrete Dynamik (\Phi_C) besitzt</w:t>
      </w:r>
    </w:p>
    <w:p w:rsidR="00EA00D8" w:rsidRDefault="00EA00D8" w:rsidP="00EA00D8">
      <w:pPr>
        <w:pStyle w:val="StandardWeb"/>
      </w:pPr>
      <w:r>
        <w:t>[</w:t>
      </w:r>
      <w:r>
        <w:br/>
        <w:t>\operatorname{Stat}_C(\Phi_C)=\mathrm{Mod}.</w:t>
      </w:r>
      <w:r>
        <w:br/>
        <w:t>\tag{3.9494}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\operatorname{Stat}_C(\Phi_C)=\mathrm{Mod}</w:t>
      </w:r>
    </w:p>
    <w:p w:rsidR="00EA00D8" w:rsidRDefault="00EA00D8" w:rsidP="00EA00D8">
      <w:pPr>
        <w:pStyle w:val="StandardWeb"/>
      </w:pPr>
      <w:r>
        <w:t>Sie wird nicht als Primäraxiom behandelt.</w:t>
      </w:r>
    </w:p>
    <w:p w:rsidR="00EA00D8" w:rsidRDefault="00EA00D8" w:rsidP="00EA00D8">
      <w:pPr>
        <w:pStyle w:val="StandardWeb"/>
      </w:pPr>
      <w:r>
        <w:lastRenderedPageBreak/>
        <w:t>Somit gilt</w:t>
      </w:r>
    </w:p>
    <w:p w:rsidR="00EA00D8" w:rsidRDefault="00EA00D8" w:rsidP="00EA00D8">
      <w:pPr>
        <w:pStyle w:val="StandardWeb"/>
      </w:pPr>
      <w:r>
        <w:t>[</w:t>
      </w:r>
      <w:r>
        <w:br/>
        <w:t>\operatorname{Conf}_{\mathrm{Stat}}(\Phi_C)=0.</w:t>
      </w:r>
      <w:r>
        <w:br/>
        <w:t>\tag{3.9495}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\operatorname{Conf}_{\mathrm{Stat}}(\Phi_C)=0</w:t>
      </w:r>
    </w:p>
    <w:p w:rsidR="00EA00D8" w:rsidRDefault="00E50336" w:rsidP="00EA00D8">
      <w:r>
        <w:pict>
          <v:rect id="_x0000_i2823" style="width:0;height:1.5pt" o:hralign="center" o:hrstd="t" o:hr="t" fillcolor="#a0a0a0" stroked="f"/>
        </w:pict>
      </w:r>
    </w:p>
    <w:p w:rsidR="00EA00D8" w:rsidRDefault="00EA00D8" w:rsidP="00EA00D8">
      <w:pPr>
        <w:pStyle w:val="berschrift1"/>
      </w:pPr>
      <w:r>
        <w:t>3.3.43.660 Gesamtergebnis der Statuskonfliktprüfung</w:t>
      </w:r>
    </w:p>
    <w:p w:rsidR="00EA00D8" w:rsidRDefault="00EA00D8" w:rsidP="00EA00D8">
      <w:pPr>
        <w:pStyle w:val="StandardWeb"/>
      </w:pPr>
      <w:r>
        <w:t>Für alle zentral klassifizierten Kohärenzobjekte ergibt sich damit</w:t>
      </w:r>
    </w:p>
    <w:p w:rsidR="00EA00D8" w:rsidRDefault="00EA00D8" w:rsidP="00EA00D8">
      <w:pPr>
        <w:pStyle w:val="StandardWeb"/>
      </w:pPr>
      <w:r>
        <w:t>[</w:t>
      </w:r>
      <w:r>
        <w:br/>
        <w:t>\forall X\in\mathfrak O_C:</w:t>
      </w:r>
      <w:r>
        <w:br/>
        <w:t>\operatorname{Conf}_{\mathrm{Stat}}(X)=0.</w:t>
      </w:r>
      <w:r>
        <w:br/>
        <w:t>\tag{3.9496}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\forall X\in\mathfrak O_C:\operatorname{Conf}_{\mathrm{Stat}}(X)=0</w:t>
      </w:r>
    </w:p>
    <w:p w:rsidR="00EA00D8" w:rsidRDefault="00EA00D8" w:rsidP="00EA00D8">
      <w:pPr>
        <w:pStyle w:val="StandardWeb"/>
      </w:pPr>
      <w:r>
        <w:t>Damit folgt</w:t>
      </w:r>
    </w:p>
    <w:p w:rsidR="00EA00D8" w:rsidRDefault="00EA00D8" w:rsidP="00EA00D8">
      <w:pPr>
        <w:pStyle w:val="berschrift1"/>
      </w:pPr>
      <w:r>
        <w:t>[</w:t>
      </w:r>
      <w:r>
        <w:br/>
        <w:t>\boxed{</w:t>
      </w:r>
      <w:r>
        <w:br/>
        <w:t>\sum_{X\in\mathfrak O_C}</w:t>
      </w:r>
      <w:r>
        <w:br/>
        <w:t>\operatorname{Conf}_{\mathrm{Stat}}(X)</w:t>
      </w:r>
    </w:p>
    <w:p w:rsidR="00EA00D8" w:rsidRDefault="00EA00D8" w:rsidP="00152216">
      <w:pPr>
        <w:numPr>
          <w:ilvl w:val="0"/>
          <w:numId w:val="445"/>
        </w:numPr>
        <w:spacing w:before="100" w:beforeAutospacing="1" w:after="100" w:afterAutospacing="1"/>
      </w:pPr>
    </w:p>
    <w:p w:rsidR="00EA00D8" w:rsidRDefault="00EA00D8" w:rsidP="00EA00D8">
      <w:pPr>
        <w:pStyle w:val="StandardWeb"/>
      </w:pPr>
      <w:r>
        <w:t>}</w:t>
      </w:r>
      <w:r>
        <w:br/>
        <w:t>\tag{3.9497}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\boxed{\sum_{X\in\mathfrak O_C}\operatorname{Conf}_{\mathrm{Stat}}(X)=0.}</w:t>
      </w:r>
    </w:p>
    <w:p w:rsidR="00EA00D8" w:rsidRDefault="00E50336" w:rsidP="00EA00D8">
      <w:r>
        <w:pict>
          <v:rect id="_x0000_i2824" style="width:0;height:1.5pt" o:hralign="center" o:hrstd="t" o:hr="t" fillcolor="#a0a0a0" stroked="f"/>
        </w:pict>
      </w:r>
    </w:p>
    <w:p w:rsidR="00EA00D8" w:rsidRDefault="00EA00D8" w:rsidP="00EA00D8">
      <w:pPr>
        <w:pStyle w:val="berschrift1"/>
      </w:pPr>
      <w:r>
        <w:t>3.3.43.661 Prüfung auf versteckte Universalität</w:t>
      </w:r>
    </w:p>
    <w:p w:rsidR="00EA00D8" w:rsidRDefault="00EA00D8" w:rsidP="00EA00D8">
      <w:pPr>
        <w:pStyle w:val="StandardWeb"/>
      </w:pPr>
      <w:r>
        <w:lastRenderedPageBreak/>
        <w:t>Neben expliziten Statuskonflikten kann eine Modellannahme problematisch werden, wenn sie sprachlich so formuliert ist, als gelte sie für sämtliche FRZK-Modelle.</w:t>
      </w:r>
    </w:p>
    <w:p w:rsidR="00EA00D8" w:rsidRDefault="00EA00D8" w:rsidP="00EA00D8">
      <w:pPr>
        <w:pStyle w:val="StandardWeb"/>
      </w:pPr>
      <w:r>
        <w:t>Ich definiere dafür</w:t>
      </w:r>
    </w:p>
    <w:p w:rsidR="00EA00D8" w:rsidRDefault="00EA00D8" w:rsidP="00EA00D8">
      <w:pPr>
        <w:pStyle w:val="StandardWeb"/>
      </w:pPr>
      <w:r>
        <w:t>[</w:t>
      </w:r>
      <w:r>
        <w:br/>
        <w:t>U_H(X)=1</w:t>
      </w:r>
      <w:r>
        <w:br/>
        <w:t>\tag{3.9498}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U_H(X)=1</w:t>
      </w:r>
    </w:p>
    <w:p w:rsidR="00EA00D8" w:rsidRDefault="00EA00D8" w:rsidP="00EA00D8">
      <w:pPr>
        <w:pStyle w:val="StandardWeb"/>
      </w:pPr>
      <w:r>
        <w:t>wenn eine nicht axiomatische Struktur ohne ausdrückliche Einschränkung universalisiert wird.</w:t>
      </w:r>
    </w:p>
    <w:p w:rsidR="00EA00D8" w:rsidRDefault="00E50336" w:rsidP="00EA00D8">
      <w:r>
        <w:pict>
          <v:rect id="_x0000_i2825" style="width:0;height:1.5pt" o:hralign="center" o:hrstd="t" o:hr="t" fillcolor="#a0a0a0" stroked="f"/>
        </w:pict>
      </w:r>
    </w:p>
    <w:p w:rsidR="00EA00D8" w:rsidRDefault="00EA00D8" w:rsidP="00EA00D8">
      <w:pPr>
        <w:pStyle w:val="berschrift1"/>
      </w:pPr>
      <w:r>
        <w:t>3.3.43.662 Definition 3.3.71 – Verdeckte Universalität</w:t>
      </w:r>
    </w:p>
    <w:p w:rsidR="00EA00D8" w:rsidRDefault="00EA00D8" w:rsidP="00EA00D8">
      <w:pPr>
        <w:pStyle w:val="berschrift3"/>
      </w:pPr>
      <w:r>
        <w:t>Definition 3.3.71</w:t>
      </w:r>
    </w:p>
    <w:p w:rsidR="00EA00D8" w:rsidRDefault="00EA00D8" w:rsidP="00EA00D8">
      <w:pPr>
        <w:pStyle w:val="StandardWeb"/>
      </w:pPr>
      <w:r>
        <w:t xml:space="preserve">Eine </w:t>
      </w:r>
      <w:r>
        <w:rPr>
          <w:rStyle w:val="Fett"/>
        </w:rPr>
        <w:t>verdeckte Universalität</w:t>
      </w:r>
      <w:r>
        <w:t xml:space="preserve"> liegt vor, wenn eine als Definition, Ableitung, Modellannahme oder Operationalisierung klassifizierte Struktur sprachlich oder formal so verwendet wird, als müsse sie für alle Modelle der Theorie gelten, obwohl eine entsprechende universelle Aussage weder axiomatisch festgelegt noch abgeleitet wurde.</w:t>
      </w:r>
    </w:p>
    <w:p w:rsidR="00EA00D8" w:rsidRDefault="00EA00D8" w:rsidP="00EA00D8">
      <w:pPr>
        <w:pStyle w:val="StandardWeb"/>
      </w:pPr>
      <w:r>
        <w:t>Formal:</w:t>
      </w:r>
    </w:p>
    <w:p w:rsidR="00EA00D8" w:rsidRDefault="00EA00D8" w:rsidP="00EA00D8">
      <w:pPr>
        <w:pStyle w:val="StandardWeb"/>
      </w:pPr>
      <w:r>
        <w:t>[</w:t>
      </w:r>
      <w:r>
        <w:br/>
        <w:t>U_H(X)=1</w:t>
      </w:r>
      <w:r>
        <w:br/>
        <w:t>\Longleftrightarrow</w:t>
      </w:r>
      <w:r>
        <w:br/>
        <w:t>\left[</w:t>
      </w:r>
      <w:r>
        <w:br/>
        <w:t>\operatorname{Stat}_C(X)\neq\mathrm{Ax}</w:t>
      </w:r>
      <w:r>
        <w:br/>
        <w:t>\right]</w:t>
      </w:r>
      <w:r>
        <w:br/>
        <w:t>\land</w:t>
      </w:r>
      <w:r>
        <w:br/>
        <w:t>\left[</w:t>
      </w:r>
      <w:r>
        <w:br/>
        <w:t>X\text{ wird als }\forall\mathcal M\text{-Aussage verwendet}</w:t>
      </w:r>
      <w:r>
        <w:br/>
        <w:t>\right].</w:t>
      </w:r>
      <w:r>
        <w:br/>
        <w:t>\tag{3.9499}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U_H(X)=1\Longleftrightarrow\left[\operatorname{Stat}_C(X)\neq\mathrm{Ax}\right]\land\left[X\text{ wird als }\forall\mathcal M\text{-Aussage verwendet}\right]</w:t>
      </w:r>
    </w:p>
    <w:p w:rsidR="00EA00D8" w:rsidRDefault="00E50336" w:rsidP="00EA00D8">
      <w:r>
        <w:pict>
          <v:rect id="_x0000_i2826" style="width:0;height:1.5pt" o:hralign="center" o:hrstd="t" o:hr="t" fillcolor="#a0a0a0" stroked="f"/>
        </w:pict>
      </w:r>
    </w:p>
    <w:p w:rsidR="00EA00D8" w:rsidRDefault="00EA00D8" w:rsidP="00EA00D8">
      <w:pPr>
        <w:pStyle w:val="berschrift1"/>
      </w:pPr>
      <w:r>
        <w:lastRenderedPageBreak/>
        <w:t>3.3.43.663 Prüfung der Modellannahmen auf Universalität</w:t>
      </w:r>
    </w:p>
    <w:p w:rsidR="00EA00D8" w:rsidRDefault="00EA00D8" w:rsidP="00EA00D8">
      <w:pPr>
        <w:pStyle w:val="StandardWeb"/>
      </w:pPr>
      <w:r>
        <w:t>Für jede Modellannahme (M_i\in\mathfrak M_C) muss deshalb gelten</w:t>
      </w:r>
    </w:p>
    <w:p w:rsidR="00EA00D8" w:rsidRDefault="00EA00D8" w:rsidP="00EA00D8">
      <w:pPr>
        <w:pStyle w:val="StandardWeb"/>
      </w:pPr>
      <w:r>
        <w:t>[</w:t>
      </w:r>
      <w:r>
        <w:br/>
        <w:t>M_i</w:t>
      </w:r>
      <w:r>
        <w:br/>
        <w:t>\Rightarrow</w:t>
      </w:r>
      <w:r>
        <w:br/>
        <w:t>\mathfrak M_{\mathrm{FRZK}}^{(M_i)}</w:t>
      </w:r>
      <w:r>
        <w:br/>
        <w:t>\subseteq</w:t>
      </w:r>
      <w:r>
        <w:br/>
        <w:t>\mathfrak M_{\mathrm{FRZK}},</w:t>
      </w:r>
      <w:r>
        <w:br/>
        <w:t>\tag{3.9500}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M_i\Rightarrow\mathfrak M_{\mathrm{FRZK}}^{(M_i)}\subseteq\mathfrak M_{\mathrm{FRZK}}</w:t>
      </w:r>
    </w:p>
    <w:p w:rsidR="00EA00D8" w:rsidRDefault="00EA00D8" w:rsidP="00EA00D8">
      <w:pPr>
        <w:pStyle w:val="StandardWeb"/>
      </w:pPr>
      <w:r>
        <w:t>nicht aber</w:t>
      </w:r>
    </w:p>
    <w:p w:rsidR="00EA00D8" w:rsidRDefault="00EA00D8" w:rsidP="00EA00D8">
      <w:pPr>
        <w:pStyle w:val="berschrift1"/>
      </w:pPr>
      <w:r>
        <w:t>[</w:t>
      </w:r>
      <w:r>
        <w:br/>
        <w:t>M_i</w:t>
      </w:r>
      <w:r>
        <w:br/>
        <w:t>\Rightarrow</w:t>
      </w:r>
      <w:r>
        <w:br/>
        <w:t>\mathfrak M_{\mathrm{FRZK}}^{(M_i)}</w:t>
      </w:r>
    </w:p>
    <w:p w:rsidR="00EA00D8" w:rsidRDefault="00EA00D8" w:rsidP="00EA00D8">
      <w:pPr>
        <w:pStyle w:val="StandardWeb"/>
      </w:pPr>
      <w:r>
        <w:t>\mathfrak M_{\mathrm{FRZK}}.</w:t>
      </w:r>
      <w:r>
        <w:br/>
        <w:t>\tag{3.9501}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M_i\Rightarrow\mathfrak M_{\mathrm{FRZK}}^{(M_i)}=\mathfrak M_{\mathrm{FRZK}}</w:t>
      </w:r>
    </w:p>
    <w:p w:rsidR="00EA00D8" w:rsidRDefault="00EA00D8" w:rsidP="00EA00D8">
      <w:pPr>
        <w:pStyle w:val="StandardWeb"/>
      </w:pPr>
      <w:r>
        <w:t>Eine Modellannahme definiert somit eine Teilklasse zulässiger Modelle und nicht automatisch die gesamte Theorie.</w:t>
      </w:r>
    </w:p>
    <w:p w:rsidR="00EA00D8" w:rsidRDefault="00E50336" w:rsidP="00EA00D8">
      <w:r>
        <w:pict>
          <v:rect id="_x0000_i2827" style="width:0;height:1.5pt" o:hralign="center" o:hrstd="t" o:hr="t" fillcolor="#a0a0a0" stroked="f"/>
        </w:pict>
      </w:r>
    </w:p>
    <w:p w:rsidR="00EA00D8" w:rsidRDefault="00EA00D8" w:rsidP="00EA00D8">
      <w:pPr>
        <w:pStyle w:val="berschrift1"/>
      </w:pPr>
      <w:r>
        <w:t>3.3.43.664 Beispiel einer zulässigen Modellunterklasse</w:t>
      </w:r>
    </w:p>
    <w:p w:rsidR="00EA00D8" w:rsidRDefault="00EA00D8" w:rsidP="00EA00D8">
      <w:pPr>
        <w:pStyle w:val="StandardWeb"/>
      </w:pPr>
      <w:r>
        <w:t>Wird etwa die Bilanzgleichung</w:t>
      </w:r>
    </w:p>
    <w:p w:rsidR="00EA00D8" w:rsidRDefault="00EA00D8" w:rsidP="00EA00D8">
      <w:pPr>
        <w:pStyle w:val="StandardWeb"/>
      </w:pPr>
      <w:r>
        <w:t>[</w:t>
      </w:r>
      <w:r>
        <w:br/>
        <w:t>\partial_tC+\nabla\cdot\mathbf J_C=S_C</w:t>
      </w:r>
      <w:r>
        <w:br/>
      </w:r>
      <w:r>
        <w:lastRenderedPageBreak/>
        <w:t>\tag{3.9502}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\partial_tC+\nabla\cdot\mathbf J_C=S_C</w:t>
      </w:r>
    </w:p>
    <w:p w:rsidR="00EA00D8" w:rsidRDefault="00EA00D8" w:rsidP="00EA00D8">
      <w:pPr>
        <w:pStyle w:val="StandardWeb"/>
      </w:pPr>
      <w:r>
        <w:t>gewählt, entsteht eine Modellklasse</w:t>
      </w:r>
    </w:p>
    <w:p w:rsidR="00EA00D8" w:rsidRDefault="00EA00D8" w:rsidP="00EA00D8">
      <w:pPr>
        <w:pStyle w:val="berschrift1"/>
      </w:pPr>
      <w:r>
        <w:t>[</w:t>
      </w:r>
      <w:r>
        <w:br/>
        <w:t>\mathfrak M_{\mathrm{FRZK}}^{\mathrm{bal}}</w:t>
      </w:r>
    </w:p>
    <w:p w:rsidR="00EA00D8" w:rsidRDefault="00EA00D8" w:rsidP="00EA00D8">
      <w:pPr>
        <w:pStyle w:val="StandardWeb"/>
      </w:pPr>
      <w:r>
        <w:t>\left{</w:t>
      </w:r>
      <w:r>
        <w:br/>
        <w:t>\mathcal M\in\mathfrak M_{\mathrm{FRZK}}:</w:t>
      </w:r>
      <w:r>
        <w:br/>
        <w:t>\partial_tC+\nabla\cdot\mathbf J_C=S_C</w:t>
      </w:r>
      <w:r>
        <w:br/>
        <w:t>\right}.</w:t>
      </w:r>
      <w:r>
        <w:br/>
        <w:t>\tag{3.9503}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M_{\mathrm{FRZK}}^{\mathrm{bal}}=\left\{\mathcal M\in\mathfrak M_{\mathrm{FRZK}}:\partial_tC+\nabla\cdot\mathbf J_C=S_C\right\}</w:t>
      </w:r>
    </w:p>
    <w:p w:rsidR="00EA00D8" w:rsidRDefault="00EA00D8" w:rsidP="00EA00D8">
      <w:pPr>
        <w:pStyle w:val="StandardWeb"/>
      </w:pPr>
      <w:r>
        <w:t>Dabei gilt lediglich</w:t>
      </w:r>
    </w:p>
    <w:p w:rsidR="00EA00D8" w:rsidRDefault="00EA00D8" w:rsidP="00EA00D8">
      <w:pPr>
        <w:pStyle w:val="StandardWeb"/>
      </w:pPr>
      <w:r>
        <w:t>[</w:t>
      </w:r>
      <w:r>
        <w:br/>
        <w:t>\mathfrak M_{\mathrm{FRZK}}^{\mathrm{bal}}</w:t>
      </w:r>
      <w:r>
        <w:br/>
        <w:t>\subseteq</w:t>
      </w:r>
      <w:r>
        <w:br/>
        <w:t>\mathfrak M_{\mathrm{FRZK}}.</w:t>
      </w:r>
      <w:r>
        <w:br/>
        <w:t>\tag{3.9504}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M_{\mathrm{FRZK}}^{\mathrm{bal}}\subseteq\mathfrak M_{\mathrm{FRZK}}</w:t>
      </w:r>
    </w:p>
    <w:p w:rsidR="00EA00D8" w:rsidRDefault="00E50336" w:rsidP="00EA00D8">
      <w:r>
        <w:pict>
          <v:rect id="_x0000_i2828" style="width:0;height:1.5pt" o:hralign="center" o:hrstd="t" o:hr="t" fillcolor="#a0a0a0" stroked="f"/>
        </w:pict>
      </w:r>
    </w:p>
    <w:p w:rsidR="00EA00D8" w:rsidRDefault="00EA00D8" w:rsidP="00EA00D8">
      <w:pPr>
        <w:pStyle w:val="berschrift1"/>
      </w:pPr>
      <w:r>
        <w:t>3.3.43.665 Beispiel einer Kernel-Unterklasse</w:t>
      </w:r>
    </w:p>
    <w:p w:rsidR="00EA00D8" w:rsidRDefault="00EA00D8" w:rsidP="00EA00D8">
      <w:pPr>
        <w:pStyle w:val="StandardWeb"/>
      </w:pPr>
      <w:r>
        <w:t>Analog definiert die Verwendung eines Kohärenzkerns</w:t>
      </w:r>
    </w:p>
    <w:p w:rsidR="00EA00D8" w:rsidRDefault="00EA00D8" w:rsidP="00EA00D8">
      <w:pPr>
        <w:pStyle w:val="StandardWeb"/>
      </w:pPr>
      <w:r>
        <w:t>[</w:t>
      </w:r>
      <w:r>
        <w:br/>
        <w:t>K_C</w:t>
      </w:r>
      <w:r>
        <w:br/>
        <w:t>\tag{3.9505}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lastRenderedPageBreak/>
        <w:t>K_C</w:t>
      </w:r>
    </w:p>
    <w:p w:rsidR="00EA00D8" w:rsidRDefault="00EA00D8" w:rsidP="00EA00D8">
      <w:pPr>
        <w:pStyle w:val="StandardWeb"/>
      </w:pPr>
      <w:r>
        <w:t>eine Teilklasse</w:t>
      </w:r>
    </w:p>
    <w:p w:rsidR="00EA00D8" w:rsidRDefault="00EA00D8" w:rsidP="00EA00D8">
      <w:pPr>
        <w:pStyle w:val="StandardWeb"/>
      </w:pPr>
      <w:r>
        <w:t>[</w:t>
      </w:r>
      <w:r>
        <w:br/>
        <w:t>\mathfrak M_{\mathrm{FRZK}}^{K}</w:t>
      </w:r>
      <w:r>
        <w:br/>
        <w:t>\subseteq</w:t>
      </w:r>
      <w:r>
        <w:br/>
        <w:t>\mathfrak M_{\mathrm{FRZK}}.</w:t>
      </w:r>
      <w:r>
        <w:br/>
        <w:t>\tag{3.9506}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M_{\mathrm{FRZK}}^{K}\subseteq\mathfrak M_{\mathrm{FRZK}}</w:t>
      </w:r>
    </w:p>
    <w:p w:rsidR="00EA00D8" w:rsidRDefault="00EA00D8" w:rsidP="00EA00D8">
      <w:pPr>
        <w:pStyle w:val="StandardWeb"/>
      </w:pPr>
      <w:r>
        <w:t>Es folgt nicht</w:t>
      </w:r>
    </w:p>
    <w:p w:rsidR="00EA00D8" w:rsidRDefault="00EA00D8" w:rsidP="00EA00D8">
      <w:pPr>
        <w:pStyle w:val="berschrift1"/>
      </w:pPr>
      <w:r>
        <w:t>[</w:t>
      </w:r>
      <w:r>
        <w:br/>
        <w:t>\mathfrak M_{\mathrm{FRZK}}^{K}</w:t>
      </w:r>
    </w:p>
    <w:p w:rsidR="00EA00D8" w:rsidRDefault="00EA00D8" w:rsidP="00EA00D8">
      <w:pPr>
        <w:pStyle w:val="StandardWeb"/>
      </w:pPr>
      <w:r>
        <w:t>\mathfrak M_{\mathrm{FRZK}}.</w:t>
      </w:r>
      <w:r>
        <w:br/>
        <w:t>\tag{3.9507}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M_{\mathrm{FRZK}}^{K}=\mathfrak M_{\mathrm{FRZK}}</w:t>
      </w:r>
    </w:p>
    <w:p w:rsidR="00EA00D8" w:rsidRDefault="00E50336" w:rsidP="00EA00D8">
      <w:r>
        <w:pict>
          <v:rect id="_x0000_i2829" style="width:0;height:1.5pt" o:hralign="center" o:hrstd="t" o:hr="t" fillcolor="#a0a0a0" stroked="f"/>
        </w:pict>
      </w:r>
    </w:p>
    <w:p w:rsidR="00EA00D8" w:rsidRDefault="00EA00D8" w:rsidP="00EA00D8">
      <w:pPr>
        <w:pStyle w:val="berschrift1"/>
      </w:pPr>
      <w:r>
        <w:t>3.3.43.666 Beispiel einer Graph-Unterklasse</w:t>
      </w:r>
    </w:p>
    <w:p w:rsidR="00EA00D8" w:rsidRDefault="00EA00D8" w:rsidP="00EA00D8">
      <w:pPr>
        <w:pStyle w:val="StandardWeb"/>
      </w:pPr>
      <w:r>
        <w:t>Entsprechend gilt</w:t>
      </w:r>
    </w:p>
    <w:p w:rsidR="00EA00D8" w:rsidRDefault="00EA00D8" w:rsidP="00EA00D8">
      <w:pPr>
        <w:pStyle w:val="berschrift1"/>
      </w:pPr>
      <w:r>
        <w:t>[</w:t>
      </w:r>
      <w:r>
        <w:br/>
        <w:t>\mathfrak M_{\mathrm{FRZK}}^{G}</w:t>
      </w:r>
    </w:p>
    <w:p w:rsidR="00EA00D8" w:rsidRDefault="00EA00D8" w:rsidP="00EA00D8">
      <w:pPr>
        <w:pStyle w:val="StandardWeb"/>
      </w:pPr>
      <w:r>
        <w:t>\left{</w:t>
      </w:r>
      <w:r>
        <w:br/>
        <w:t>\mathcal M:</w:t>
      </w:r>
      <w:r>
        <w:br/>
        <w:t>\mathcal G_C\text{ wird verwendet}</w:t>
      </w:r>
      <w:r>
        <w:br/>
        <w:t>\right}</w:t>
      </w:r>
      <w:r>
        <w:br/>
        <w:t>\tag{3.9508}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M_{\mathrm{FRZK}}^{G}=\left\{\mathcal M:\mathcal G_C\text{ wird verwendet}\right\}</w:t>
      </w:r>
    </w:p>
    <w:p w:rsidR="00EA00D8" w:rsidRDefault="00EA00D8" w:rsidP="00EA00D8">
      <w:pPr>
        <w:pStyle w:val="StandardWeb"/>
      </w:pPr>
      <w:r>
        <w:lastRenderedPageBreak/>
        <w:t>mit</w:t>
      </w:r>
    </w:p>
    <w:p w:rsidR="00EA00D8" w:rsidRDefault="00EA00D8" w:rsidP="00EA00D8">
      <w:pPr>
        <w:pStyle w:val="StandardWeb"/>
      </w:pPr>
      <w:r>
        <w:t>[</w:t>
      </w:r>
      <w:r>
        <w:br/>
        <w:t>\mathfrak M_{\mathrm{FRZK}}^{G}</w:t>
      </w:r>
      <w:r>
        <w:br/>
        <w:t>\subseteq</w:t>
      </w:r>
      <w:r>
        <w:br/>
        <w:t>\mathfrak M_{\mathrm{FRZK}}.</w:t>
      </w:r>
      <w:r>
        <w:br/>
        <w:t>\tag{3.9509}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M_{\mathrm{FRZK}}^{G}\subseteq\mathfrak M_{\mathrm{FRZK}}</w:t>
      </w:r>
    </w:p>
    <w:p w:rsidR="00EA00D8" w:rsidRDefault="00E50336" w:rsidP="00EA00D8">
      <w:r>
        <w:pict>
          <v:rect id="_x0000_i2830" style="width:0;height:1.5pt" o:hralign="center" o:hrstd="t" o:hr="t" fillcolor="#a0a0a0" stroked="f"/>
        </w:pict>
      </w:r>
    </w:p>
    <w:p w:rsidR="00EA00D8" w:rsidRDefault="00EA00D8" w:rsidP="00EA00D8">
      <w:pPr>
        <w:pStyle w:val="berschrift1"/>
      </w:pPr>
      <w:r>
        <w:t>3.3.43.667 Beispiel einer differenzierbaren Modellklasse</w:t>
      </w:r>
    </w:p>
    <w:p w:rsidR="00EA00D8" w:rsidRDefault="00EA00D8" w:rsidP="00EA00D8">
      <w:pPr>
        <w:pStyle w:val="StandardWeb"/>
      </w:pPr>
      <w:r>
        <w:t>Für Modelle mit</w:t>
      </w:r>
    </w:p>
    <w:p w:rsidR="00EA00D8" w:rsidRDefault="00EA00D8" w:rsidP="00EA00D8">
      <w:pPr>
        <w:pStyle w:val="StandardWeb"/>
      </w:pPr>
      <w:r>
        <w:t>[</w:t>
      </w:r>
      <w:r>
        <w:br/>
        <w:t>C_F\in C^1</w:t>
      </w:r>
      <w:r>
        <w:br/>
        <w:t>\tag{3.9510}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C_F\in C^1</w:t>
      </w:r>
    </w:p>
    <w:p w:rsidR="00EA00D8" w:rsidRDefault="00EA00D8" w:rsidP="00EA00D8">
      <w:pPr>
        <w:pStyle w:val="StandardWeb"/>
      </w:pPr>
      <w:r>
        <w:t>definiere ich</w:t>
      </w:r>
    </w:p>
    <w:p w:rsidR="00EA00D8" w:rsidRDefault="00EA00D8" w:rsidP="00EA00D8">
      <w:pPr>
        <w:pStyle w:val="berschrift1"/>
      </w:pPr>
      <w:r>
        <w:t>[</w:t>
      </w:r>
      <w:r>
        <w:br/>
        <w:t>\mathfrak M_{\mathrm{FRZK}}^{C^1}</w:t>
      </w:r>
    </w:p>
    <w:p w:rsidR="00EA00D8" w:rsidRDefault="00EA00D8" w:rsidP="00EA00D8">
      <w:pPr>
        <w:pStyle w:val="StandardWeb"/>
      </w:pPr>
      <w:r>
        <w:t>\left{</w:t>
      </w:r>
      <w:r>
        <w:br/>
        <w:t>\mathcal M:</w:t>
      </w:r>
      <w:r>
        <w:br/>
        <w:t>C_F\in C^1</w:t>
      </w:r>
      <w:r>
        <w:br/>
        <w:t>\right}.</w:t>
      </w:r>
      <w:r>
        <w:br/>
        <w:t>\tag{3.9511}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M_{\mathrm{FRZK}}^{C^1}=\left\{\mathcal M:C_F\in C^1\right\}</w:t>
      </w:r>
    </w:p>
    <w:p w:rsidR="00EA00D8" w:rsidRDefault="00EA00D8" w:rsidP="00EA00D8">
      <w:pPr>
        <w:pStyle w:val="StandardWeb"/>
      </w:pPr>
      <w:r>
        <w:t>Auch hier gilt nur</w:t>
      </w:r>
    </w:p>
    <w:p w:rsidR="00EA00D8" w:rsidRDefault="00EA00D8" w:rsidP="00EA00D8">
      <w:pPr>
        <w:pStyle w:val="StandardWeb"/>
      </w:pPr>
      <w:r>
        <w:t>[</w:t>
      </w:r>
      <w:r>
        <w:br/>
        <w:t>\mathfrak M_{\mathrm{FRZK}}^{C^1}</w:t>
      </w:r>
      <w:r>
        <w:br/>
        <w:t>\subseteq</w:t>
      </w:r>
      <w:r>
        <w:br/>
      </w:r>
      <w:r>
        <w:lastRenderedPageBreak/>
        <w:t>\mathfrak M_{\mathrm{FRZK}}.</w:t>
      </w:r>
      <w:r>
        <w:br/>
        <w:t>\tag{3.9512}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M_{\mathrm{FRZK}}^{C^1}\subseteq\mathfrak M_{\mathrm{FRZK}}</w:t>
      </w:r>
    </w:p>
    <w:p w:rsidR="00EA00D8" w:rsidRDefault="00E50336" w:rsidP="00EA00D8">
      <w:r>
        <w:pict>
          <v:rect id="_x0000_i2831" style="width:0;height:1.5pt" o:hralign="center" o:hrstd="t" o:hr="t" fillcolor="#a0a0a0" stroked="f"/>
        </w:pict>
      </w:r>
    </w:p>
    <w:p w:rsidR="00EA00D8" w:rsidRDefault="00EA00D8" w:rsidP="00EA00D8">
      <w:pPr>
        <w:pStyle w:val="berschrift1"/>
      </w:pPr>
      <w:r>
        <w:t>3.3.43.668 Allgemeine Modellunterklassenregel</w:t>
      </w:r>
    </w:p>
    <w:p w:rsidR="00EA00D8" w:rsidRDefault="00EA00D8" w:rsidP="00EA00D8">
      <w:pPr>
        <w:pStyle w:val="StandardWeb"/>
      </w:pPr>
      <w:r>
        <w:t>Damit ergibt sich für jede zusätzliche Modellannahme (M_i)</w:t>
      </w:r>
    </w:p>
    <w:p w:rsidR="00EA00D8" w:rsidRDefault="00EA00D8" w:rsidP="00EA00D8">
      <w:pPr>
        <w:pStyle w:val="berschrift1"/>
      </w:pPr>
      <w:r>
        <w:t>[</w:t>
      </w:r>
      <w:r>
        <w:br/>
        <w:t>\boxed{</w:t>
      </w:r>
      <w:r>
        <w:br/>
        <w:t>\mathfrak M_{\mathrm{FRZK}}^{(M_i)}</w:t>
      </w:r>
    </w:p>
    <w:p w:rsidR="00EA00D8" w:rsidRDefault="00EA00D8" w:rsidP="00EA00D8">
      <w:pPr>
        <w:pStyle w:val="StandardWeb"/>
      </w:pPr>
      <w:r>
        <w:t>\left{</w:t>
      </w:r>
      <w:r>
        <w:br/>
        <w:t>\mathcal M\in\mathfrak M_{\mathrm{FRZK}}:</w:t>
      </w:r>
      <w:r>
        <w:br/>
        <w:t>\mathcal M\models M_i</w:t>
      </w:r>
      <w:r>
        <w:br/>
        <w:t>\right}</w:t>
      </w:r>
      <w:r>
        <w:br/>
        <w:t>\subseteq</w:t>
      </w:r>
      <w:r>
        <w:br/>
        <w:t>\mathfrak M_{\mathrm{FRZK}}.</w:t>
      </w:r>
      <w:r>
        <w:br/>
        <w:t>}</w:t>
      </w:r>
      <w:r>
        <w:br/>
        <w:t>\tag{3.9513}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\boxed{\mathfrak M_{\mathrm{FRZK}}^{(M_i)}=\left\{\mathcal M\in\mathfrak M_{\mathrm{FRZK}}:\mathcal M\models M_i\right\}\subseteq\mathfrak M_{\mathrm{FRZK}}.}</w:t>
      </w:r>
    </w:p>
    <w:p w:rsidR="00EA00D8" w:rsidRDefault="00EA00D8" w:rsidP="00EA00D8">
      <w:pPr>
        <w:pStyle w:val="StandardWeb"/>
      </w:pPr>
      <w:r>
        <w:t>Damit kann eine Modellannahme niemals allein durch häufige Verwendung stillschweigend Primäraxiomstatus erhalten.</w:t>
      </w:r>
    </w:p>
    <w:p w:rsidR="00EA00D8" w:rsidRDefault="00E50336" w:rsidP="00EA00D8">
      <w:r>
        <w:pict>
          <v:rect id="_x0000_i2832" style="width:0;height:1.5pt" o:hralign="center" o:hrstd="t" o:hr="t" fillcolor="#a0a0a0" stroked="f"/>
        </w:pict>
      </w:r>
    </w:p>
    <w:p w:rsidR="00EA00D8" w:rsidRDefault="00EA00D8" w:rsidP="00EA00D8">
      <w:pPr>
        <w:pStyle w:val="berschrift1"/>
      </w:pPr>
      <w:r>
        <w:t>3.3.43.669 Prüfung der Operationalisierungen auf Universalität</w:t>
      </w:r>
    </w:p>
    <w:p w:rsidR="00EA00D8" w:rsidRDefault="00EA00D8" w:rsidP="00EA00D8">
      <w:pPr>
        <w:pStyle w:val="StandardWeb"/>
      </w:pPr>
      <w:r>
        <w:t>Für Operationalisierungen gilt analog</w:t>
      </w:r>
    </w:p>
    <w:p w:rsidR="00EA00D8" w:rsidRDefault="00EA00D8" w:rsidP="00EA00D8">
      <w:pPr>
        <w:pStyle w:val="StandardWeb"/>
      </w:pPr>
      <w:r>
        <w:t>[</w:t>
      </w:r>
      <w:r>
        <w:br/>
        <w:t>\mathcal O_i</w:t>
      </w:r>
      <w:r>
        <w:br/>
        <w:t>\in</w:t>
      </w:r>
      <w:r>
        <w:br/>
        <w:t>\mathfrak O_C</w:t>
      </w:r>
      <w:r>
        <w:br/>
        <w:t>\nRightarrow</w:t>
      </w:r>
      <w:r>
        <w:br/>
      </w:r>
      <w:r>
        <w:lastRenderedPageBreak/>
        <w:t>\forall\mathcal M:</w:t>
      </w:r>
      <w:r>
        <w:br/>
        <w:t>\mathcal O_C=\mathcal O_i.</w:t>
      </w:r>
      <w:r>
        <w:br/>
        <w:t>\tag{3.9514}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\mathcal O_i\in\mathfrak O_C\nRightarrow\forall\mathcal M:\mathcal O_C=\mathcal O_i</w:t>
      </w:r>
    </w:p>
    <w:p w:rsidR="00EA00D8" w:rsidRDefault="00EA00D8" w:rsidP="00EA00D8">
      <w:pPr>
        <w:pStyle w:val="StandardWeb"/>
      </w:pPr>
      <w:r>
        <w:t>Damit bleibt eine methodische Vielfalt empirischer Zugänge möglich.</w:t>
      </w:r>
    </w:p>
    <w:p w:rsidR="00EA00D8" w:rsidRDefault="00E50336" w:rsidP="00EA00D8">
      <w:r>
        <w:pict>
          <v:rect id="_x0000_i2833" style="width:0;height:1.5pt" o:hralign="center" o:hrstd="t" o:hr="t" fillcolor="#a0a0a0" stroked="f"/>
        </w:pict>
      </w:r>
    </w:p>
    <w:p w:rsidR="00EA00D8" w:rsidRDefault="00EA00D8" w:rsidP="00EA00D8">
      <w:pPr>
        <w:pStyle w:val="berschrift1"/>
      </w:pPr>
      <w:r>
        <w:t>3.3.43.670 Operationalisierungsfamilie</w:t>
      </w:r>
    </w:p>
    <w:p w:rsidR="00EA00D8" w:rsidRDefault="00EA00D8" w:rsidP="00EA00D8">
      <w:pPr>
        <w:pStyle w:val="StandardWeb"/>
      </w:pPr>
      <w:r>
        <w:t>Ich schreibe deshalb</w:t>
      </w:r>
    </w:p>
    <w:p w:rsidR="00EA00D8" w:rsidRDefault="00EA00D8" w:rsidP="00EA00D8">
      <w:pPr>
        <w:pStyle w:val="berschrift1"/>
      </w:pPr>
      <w:r>
        <w:t>[</w:t>
      </w:r>
      <w:r>
        <w:br/>
        <w:t>\mathfrak O_C</w:t>
      </w:r>
    </w:p>
    <w:p w:rsidR="00EA00D8" w:rsidRDefault="00EA00D8" w:rsidP="00EA00D8">
      <w:pPr>
        <w:pStyle w:val="StandardWeb"/>
      </w:pPr>
      <w:r>
        <w:t>\left{</w:t>
      </w:r>
      <w:r>
        <w:br/>
        <w:t>\mathcal O_C^{(1)},</w:t>
      </w:r>
      <w:r>
        <w:br/>
        <w:t>\mathcal O_C^{(2)},</w:t>
      </w:r>
      <w:r>
        <w:br/>
        <w:t>\ldots</w:t>
      </w:r>
      <w:r>
        <w:br/>
        <w:t>\right}.</w:t>
      </w:r>
      <w:r>
        <w:br/>
        <w:t>\tag{3.9515}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O_C=\left\{\mathcal O_C^{(1)},\mathcal O_C^{(2)},\ldots\right\}</w:t>
      </w:r>
    </w:p>
    <w:p w:rsidR="00EA00D8" w:rsidRDefault="00EA00D8" w:rsidP="00EA00D8">
      <w:pPr>
        <w:pStyle w:val="StandardWeb"/>
      </w:pPr>
      <w:r>
        <w:t>Keine einzelne Operationalisierung wird durch das Primäraxiom ausgezeichnet.</w:t>
      </w:r>
    </w:p>
    <w:p w:rsidR="00EA00D8" w:rsidRDefault="00E50336" w:rsidP="00EA00D8">
      <w:r>
        <w:pict>
          <v:rect id="_x0000_i2834" style="width:0;height:1.5pt" o:hralign="center" o:hrstd="t" o:hr="t" fillcolor="#a0a0a0" stroked="f"/>
        </w:pict>
      </w:r>
    </w:p>
    <w:p w:rsidR="00EA00D8" w:rsidRDefault="00EA00D8" w:rsidP="00EA00D8">
      <w:pPr>
        <w:pStyle w:val="berschrift1"/>
      </w:pPr>
      <w:r>
        <w:t>3.3.43.671 Prüfung der Definitionen auf Existenzbehauptungen</w:t>
      </w:r>
    </w:p>
    <w:p w:rsidR="00EA00D8" w:rsidRDefault="00EA00D8" w:rsidP="00EA00D8">
      <w:pPr>
        <w:pStyle w:val="StandardWeb"/>
      </w:pPr>
      <w:r>
        <w:t>Auch Definitionen dürfen nicht mit Existenzbehauptungen verwechselt werden.</w:t>
      </w:r>
    </w:p>
    <w:p w:rsidR="00EA00D8" w:rsidRDefault="00EA00D8" w:rsidP="00EA00D8">
      <w:pPr>
        <w:pStyle w:val="StandardWeb"/>
      </w:pPr>
      <w:r>
        <w:t>Für eine Definition (D_X) gilt</w:t>
      </w:r>
    </w:p>
    <w:p w:rsidR="00EA00D8" w:rsidRDefault="00EA00D8" w:rsidP="00EA00D8">
      <w:pPr>
        <w:pStyle w:val="StandardWeb"/>
      </w:pPr>
      <w:r>
        <w:t>[</w:t>
      </w:r>
      <w:r>
        <w:br/>
        <w:t>D_X</w:t>
      </w:r>
      <w:r>
        <w:br/>
        <w:t>\not\Rightarrow</w:t>
      </w:r>
      <w:r>
        <w:br/>
        <w:t>\exists X.</w:t>
      </w:r>
      <w:r>
        <w:br/>
      </w:r>
      <w:r>
        <w:lastRenderedPageBreak/>
        <w:t>\tag{3.9516}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D_X\not\Rightarrow\exists X</w:t>
      </w:r>
    </w:p>
    <w:p w:rsidR="00EA00D8" w:rsidRDefault="00EA00D8" w:rsidP="00EA00D8">
      <w:pPr>
        <w:pStyle w:val="StandardWeb"/>
      </w:pPr>
      <w:r>
        <w:t>Dies ist insbesondere für Kohärenzfelder, Kohärenzflüsse, Attraktoren und Kernel relevant.</w:t>
      </w:r>
    </w:p>
    <w:p w:rsidR="00EA00D8" w:rsidRDefault="00E50336" w:rsidP="00EA00D8">
      <w:r>
        <w:pict>
          <v:rect id="_x0000_i2835" style="width:0;height:1.5pt" o:hralign="center" o:hrstd="t" o:hr="t" fillcolor="#a0a0a0" stroked="f"/>
        </w:pict>
      </w:r>
    </w:p>
    <w:p w:rsidR="00EA00D8" w:rsidRDefault="00EA00D8" w:rsidP="00EA00D8">
      <w:pPr>
        <w:pStyle w:val="berschrift1"/>
      </w:pPr>
      <w:r>
        <w:t>3.3.43.672 Definitions-Existenz-Trennung</w:t>
      </w:r>
    </w:p>
    <w:p w:rsidR="00EA00D8" w:rsidRDefault="00EA00D8" w:rsidP="00EA00D8">
      <w:pPr>
        <w:pStyle w:val="StandardWeb"/>
      </w:pPr>
      <w:r>
        <w:t>Ich fasse diese Bedingung zusammen als</w:t>
      </w:r>
    </w:p>
    <w:p w:rsidR="00EA00D8" w:rsidRDefault="00EA00D8" w:rsidP="00EA00D8">
      <w:pPr>
        <w:pStyle w:val="StandardWeb"/>
      </w:pPr>
      <w:r>
        <w:t>[</w:t>
      </w:r>
      <w:r>
        <w:br/>
        <w:t>\boxed{</w:t>
      </w:r>
      <w:r>
        <w:br/>
        <w:t>\operatorname{Def}(X)</w:t>
      </w:r>
      <w:r>
        <w:br/>
        <w:t>\nRightarrow</w:t>
      </w:r>
      <w:r>
        <w:br/>
        <w:t>\operatorname{Exist}(X).</w:t>
      </w:r>
      <w:r>
        <w:br/>
        <w:t>}</w:t>
      </w:r>
      <w:r>
        <w:br/>
        <w:t>\tag{3.9517}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\boxed{\operatorname{Def}(X)\nRightarrow\operatorname{Exist}(X).}</w:t>
      </w:r>
    </w:p>
    <w:p w:rsidR="00EA00D8" w:rsidRDefault="00EA00D8" w:rsidP="00EA00D8">
      <w:pPr>
        <w:pStyle w:val="StandardWeb"/>
      </w:pPr>
      <w:r>
        <w:t>Diese Trennung ist für die gesamte FRZK-Axiomatik verbindlich.</w:t>
      </w:r>
    </w:p>
    <w:p w:rsidR="00EA00D8" w:rsidRDefault="00E50336" w:rsidP="00EA00D8">
      <w:r>
        <w:pict>
          <v:rect id="_x0000_i2836" style="width:0;height:1.5pt" o:hralign="center" o:hrstd="t" o:hr="t" fillcolor="#a0a0a0" stroked="f"/>
        </w:pict>
      </w:r>
    </w:p>
    <w:p w:rsidR="00EA00D8" w:rsidRDefault="00EA00D8" w:rsidP="00EA00D8">
      <w:pPr>
        <w:pStyle w:val="berschrift1"/>
      </w:pPr>
      <w:r>
        <w:t>3.3.43.673 Modellannahme-Existenz-Trennung</w:t>
      </w:r>
    </w:p>
    <w:p w:rsidR="00EA00D8" w:rsidRDefault="00EA00D8" w:rsidP="00EA00D8">
      <w:pPr>
        <w:pStyle w:val="StandardWeb"/>
      </w:pPr>
      <w:r>
        <w:t>Eine Modellannahme kann dagegen innerhalb einer gewählten Modellklasse Existenz festlegen:</w:t>
      </w:r>
    </w:p>
    <w:p w:rsidR="00EA00D8" w:rsidRDefault="00EA00D8" w:rsidP="00EA00D8">
      <w:pPr>
        <w:pStyle w:val="StandardWeb"/>
      </w:pPr>
      <w:r>
        <w:t>[</w:t>
      </w:r>
      <w:r>
        <w:br/>
        <w:t>M_i</w:t>
      </w:r>
      <w:r>
        <w:br/>
        <w:t>\Rightarrow</w:t>
      </w:r>
      <w:r>
        <w:br/>
        <w:t>\exists X</w:t>
      </w:r>
      <w:r>
        <w:br/>
        <w:t>\qquad</w:t>
      </w:r>
      <w:r>
        <w:br/>
        <w:t>\text{innerhalb }</w:t>
      </w:r>
      <w:r>
        <w:br/>
        <w:t>\mathfrak M_{\mathrm{FRZK}}^{(M_i)}.</w:t>
      </w:r>
      <w:r>
        <w:br/>
        <w:t>\tag{3.9518}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M_i\Rightarrow\exists X\qquad\text{innerhalb }\mathfrak M_{\mathrm{FRZK}}^{(M_i)}</w:t>
      </w:r>
    </w:p>
    <w:p w:rsidR="00EA00D8" w:rsidRDefault="00EA00D8" w:rsidP="00EA00D8">
      <w:pPr>
        <w:pStyle w:val="StandardWeb"/>
      </w:pPr>
      <w:r>
        <w:lastRenderedPageBreak/>
        <w:t>Diese Existenz gilt aber nicht automatisch für die gesamte FRZK-Modellklasse.</w:t>
      </w:r>
    </w:p>
    <w:p w:rsidR="00EA00D8" w:rsidRDefault="00E50336" w:rsidP="00EA00D8">
      <w:r>
        <w:pict>
          <v:rect id="_x0000_i2837" style="width:0;height:1.5pt" o:hralign="center" o:hrstd="t" o:hr="t" fillcolor="#a0a0a0" stroked="f"/>
        </w:pict>
      </w:r>
    </w:p>
    <w:p w:rsidR="00EA00D8" w:rsidRDefault="00EA00D8" w:rsidP="00EA00D8">
      <w:pPr>
        <w:pStyle w:val="berschrift1"/>
      </w:pPr>
      <w:r>
        <w:t>3.3.43.674 Operationalisierung-Existenz-Trennung</w:t>
      </w:r>
    </w:p>
    <w:p w:rsidR="00EA00D8" w:rsidRDefault="00EA00D8" w:rsidP="00EA00D8">
      <w:pPr>
        <w:pStyle w:val="StandardWeb"/>
      </w:pPr>
      <w:r>
        <w:t>Auch ein Messwert</w:t>
      </w:r>
    </w:p>
    <w:p w:rsidR="00EA00D8" w:rsidRDefault="00EA00D8" w:rsidP="00EA00D8">
      <w:pPr>
        <w:pStyle w:val="StandardWeb"/>
      </w:pPr>
      <w:r>
        <w:t>[</w:t>
      </w:r>
      <w:r>
        <w:br/>
        <w:t>\widehat C_F&gt;0</w:t>
      </w:r>
      <w:r>
        <w:br/>
        <w:t>\tag{3.9519}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\widehat C_F&gt;0</w:t>
      </w:r>
    </w:p>
    <w:p w:rsidR="00EA00D8" w:rsidRDefault="00EA00D8" w:rsidP="00EA00D8">
      <w:pPr>
        <w:pStyle w:val="StandardWeb"/>
      </w:pPr>
      <w:r>
        <w:t>darf nicht ohne Validierung direkt mit der theoretischen Existenzbehauptung</w:t>
      </w:r>
    </w:p>
    <w:p w:rsidR="00EA00D8" w:rsidRDefault="00EA00D8" w:rsidP="00EA00D8">
      <w:pPr>
        <w:pStyle w:val="StandardWeb"/>
      </w:pPr>
      <w:r>
        <w:t>[</w:t>
      </w:r>
      <w:r>
        <w:br/>
        <w:t>C_F&gt;0</w:t>
      </w:r>
      <w:r>
        <w:br/>
        <w:t>\tag{3.9520}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C_F&gt;0</w:t>
      </w:r>
    </w:p>
    <w:p w:rsidR="00EA00D8" w:rsidRDefault="00EA00D8" w:rsidP="00EA00D8">
      <w:pPr>
        <w:pStyle w:val="StandardWeb"/>
      </w:pPr>
      <w:r>
        <w:t>gleichgesetzt werden.</w:t>
      </w:r>
    </w:p>
    <w:p w:rsidR="00EA00D8" w:rsidRDefault="00EA00D8" w:rsidP="00EA00D8">
      <w:pPr>
        <w:pStyle w:val="StandardWeb"/>
      </w:pPr>
      <w:r>
        <w:t>Dazwischen liegt die Operationalisierungsbeziehung.</w:t>
      </w:r>
    </w:p>
    <w:p w:rsidR="00EA00D8" w:rsidRDefault="00E50336" w:rsidP="00EA00D8">
      <w:r>
        <w:pict>
          <v:rect id="_x0000_i2838" style="width:0;height:1.5pt" o:hralign="center" o:hrstd="t" o:hr="t" fillcolor="#a0a0a0" stroked="f"/>
        </w:pict>
      </w:r>
    </w:p>
    <w:p w:rsidR="00EA00D8" w:rsidRDefault="00EA00D8" w:rsidP="00EA00D8">
      <w:pPr>
        <w:pStyle w:val="berschrift1"/>
      </w:pPr>
      <w:r>
        <w:t>3.3.43.675 Prüfung des einzigen Primäraxiomkandidaten nach Statusbereinigung</w:t>
      </w:r>
    </w:p>
    <w:p w:rsidR="00EA00D8" w:rsidRDefault="00EA00D8" w:rsidP="00EA00D8">
      <w:pPr>
        <w:pStyle w:val="StandardWeb"/>
      </w:pPr>
      <w:r>
        <w:t>Nach Ausschluss verdeckter Primäraxiome, Statuswidersprüche und verdeckter Universalität verbleibt</w:t>
      </w:r>
    </w:p>
    <w:p w:rsidR="00EA00D8" w:rsidRDefault="00EA00D8" w:rsidP="00EA00D8">
      <w:pPr>
        <w:pStyle w:val="berschrift1"/>
      </w:pPr>
      <w:r>
        <w:t>[</w:t>
      </w:r>
      <w:r>
        <w:br/>
        <w:t>\mathfrak A_{3.3.43}^{\mathrm{clean}}</w:t>
      </w:r>
    </w:p>
    <w:p w:rsidR="00EA00D8" w:rsidRDefault="00EA00D8" w:rsidP="00EA00D8">
      <w:pPr>
        <w:pStyle w:val="StandardWeb"/>
      </w:pPr>
      <w:r>
        <w:t>{A_C}.</w:t>
      </w:r>
      <w:r>
        <w:br/>
        <w:t>\tag{3.9521}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lastRenderedPageBreak/>
        <w:t>\mathfrak A_{3.3.43}^{\mathrm{clean}}=\{A_C\}</w:t>
      </w:r>
    </w:p>
    <w:p w:rsidR="00EA00D8" w:rsidRDefault="00EA00D8" w:rsidP="00EA00D8">
      <w:pPr>
        <w:pStyle w:val="StandardWeb"/>
      </w:pPr>
      <w:r>
        <w:t>Damit gilt weiterhin</w:t>
      </w:r>
    </w:p>
    <w:p w:rsidR="00EA00D8" w:rsidRDefault="00EA00D8" w:rsidP="00EA00D8">
      <w:pPr>
        <w:pStyle w:val="berschrift1"/>
      </w:pPr>
      <w:r>
        <w:t>[</w:t>
      </w:r>
      <w:r>
        <w:br/>
        <w:t>\left|</w:t>
      </w:r>
      <w:r>
        <w:br/>
        <w:t>\mathfrak A_{3.3.43}^{\mathrm{clean}}</w:t>
      </w:r>
      <w:r>
        <w:br/>
        <w:t>\right|</w:t>
      </w:r>
    </w:p>
    <w:p w:rsidR="00EA00D8" w:rsidRDefault="00EA00D8" w:rsidP="00152216">
      <w:pPr>
        <w:numPr>
          <w:ilvl w:val="0"/>
          <w:numId w:val="446"/>
        </w:numPr>
        <w:spacing w:before="100" w:beforeAutospacing="1" w:after="100" w:afterAutospacing="1"/>
      </w:pPr>
    </w:p>
    <w:p w:rsidR="00EA00D8" w:rsidRDefault="00EA00D8" w:rsidP="00EA00D8">
      <w:pPr>
        <w:pStyle w:val="StandardWeb"/>
      </w:pPr>
      <w:r>
        <w:t>\tag{3.9522}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\left|\mathfrak A_{3.3.43}^{\mathrm{clean}}\right|=1</w:t>
      </w:r>
    </w:p>
    <w:p w:rsidR="00EA00D8" w:rsidRDefault="00E50336" w:rsidP="00EA00D8">
      <w:r>
        <w:pict>
          <v:rect id="_x0000_i2839" style="width:0;height:1.5pt" o:hralign="center" o:hrstd="t" o:hr="t" fillcolor="#a0a0a0" stroked="f"/>
        </w:pict>
      </w:r>
    </w:p>
    <w:p w:rsidR="00EA00D8" w:rsidRDefault="00EA00D8" w:rsidP="00EA00D8">
      <w:pPr>
        <w:pStyle w:val="berschrift1"/>
      </w:pPr>
      <w:r>
        <w:t>3.3.43.676 Definition 3.3.72 – Axiomatisch bereinigte Teiltheorie</w:t>
      </w:r>
    </w:p>
    <w:p w:rsidR="00EA00D8" w:rsidRDefault="00EA00D8" w:rsidP="00EA00D8">
      <w:pPr>
        <w:pStyle w:val="berschrift3"/>
      </w:pPr>
      <w:r>
        <w:t>Definition 3.3.72</w:t>
      </w:r>
    </w:p>
    <w:p w:rsidR="00EA00D8" w:rsidRDefault="00EA00D8" w:rsidP="00EA00D8">
      <w:pPr>
        <w:pStyle w:val="StandardWeb"/>
      </w:pPr>
      <w:r>
        <w:t xml:space="preserve">Eine Teiltheorie heißt </w:t>
      </w:r>
      <w:r>
        <w:rPr>
          <w:rStyle w:val="Fett"/>
        </w:rPr>
        <w:t>axiomatisch bereinigt</w:t>
      </w:r>
      <w:r>
        <w:t>, wenn sämtliche nichtaxiomatischen Strukturen explizit als Definitionen, Ableitungen, Modellannahmen oder Operationalisierungen klassifiziert sind, keine verdeckten Primäraxiome enthalten und keine widersprüchlichen Statuszuweisungen aufweisen.</w:t>
      </w:r>
    </w:p>
    <w:p w:rsidR="00EA00D8" w:rsidRDefault="00EA00D8" w:rsidP="00EA00D8">
      <w:pPr>
        <w:pStyle w:val="StandardWeb"/>
      </w:pPr>
      <w:r>
        <w:t>Formal:</w:t>
      </w:r>
    </w:p>
    <w:p w:rsidR="00EA00D8" w:rsidRDefault="00EA00D8" w:rsidP="00EA00D8">
      <w:pPr>
        <w:pStyle w:val="StandardWeb"/>
      </w:pPr>
      <w:r>
        <w:t>[</w:t>
      </w:r>
      <w:r>
        <w:br/>
        <w:t>\operatorname{CleanAx}(\mathfrak T)=1</w:t>
      </w:r>
      <w:r>
        <w:br/>
        <w:t>\Longleftrightarrow</w:t>
      </w:r>
      <w:r>
        <w:br/>
        <w:t>\left[</w:t>
      </w:r>
      <w:r>
        <w:br/>
        <w:t>\mathfrak H=\varnothing</w:t>
      </w:r>
      <w:r>
        <w:br/>
        <w:t>\right]</w:t>
      </w:r>
      <w:r>
        <w:br/>
        <w:t>\land</w:t>
      </w:r>
      <w:r>
        <w:br/>
        <w:t>\left[</w:t>
      </w:r>
      <w:r>
        <w:br/>
        <w:t>\sum_X</w:t>
      </w:r>
      <w:r>
        <w:br/>
        <w:t>\operatorname{Conf}_{\mathrm{Stat}}(X)=0</w:t>
      </w:r>
      <w:r>
        <w:br/>
        <w:t>\right].</w:t>
      </w:r>
      <w:r>
        <w:br/>
        <w:t>\tag{3.9523}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lastRenderedPageBreak/>
        <w:t>\operatorname{CleanAx}(\mathfrak T)=1\Longleftrightarrow\left[\mathfrak H=\varnothing\right]\land\left[\sum_X\operatorname{Conf}_{\mathrm{Stat}}(X)=0\right]</w:t>
      </w:r>
    </w:p>
    <w:p w:rsidR="00EA00D8" w:rsidRDefault="00E50336" w:rsidP="00EA00D8">
      <w:r>
        <w:pict>
          <v:rect id="_x0000_i2840" style="width:0;height:1.5pt" o:hralign="center" o:hrstd="t" o:hr="t" fillcolor="#a0a0a0" stroked="f"/>
        </w:pict>
      </w:r>
    </w:p>
    <w:p w:rsidR="00EA00D8" w:rsidRDefault="00EA00D8" w:rsidP="00EA00D8">
      <w:pPr>
        <w:pStyle w:val="berschrift1"/>
      </w:pPr>
      <w:r>
        <w:t>3.3.43.677 Axiomatische Bereinigung von 3.3.43</w:t>
      </w:r>
    </w:p>
    <w:p w:rsidR="00EA00D8" w:rsidRDefault="00EA00D8" w:rsidP="00EA00D8">
      <w:pPr>
        <w:pStyle w:val="StandardWeb"/>
      </w:pPr>
      <w:r>
        <w:t>Für den Kohärenzblock gilt nach den vorangegangenen Prüfungen</w:t>
      </w:r>
    </w:p>
    <w:p w:rsidR="00EA00D8" w:rsidRDefault="00EA00D8" w:rsidP="00EA00D8">
      <w:pPr>
        <w:pStyle w:val="StandardWeb"/>
      </w:pPr>
      <w:r>
        <w:t>[</w:t>
      </w:r>
      <w:r>
        <w:br/>
        <w:t>\mathfrak H_C=\varnothing</w:t>
      </w:r>
      <w:r>
        <w:br/>
        <w:t>\tag{3.9524}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H_C=\varnothing</w:t>
      </w:r>
    </w:p>
    <w:p w:rsidR="00EA00D8" w:rsidRDefault="00EA00D8" w:rsidP="00EA00D8">
      <w:pPr>
        <w:pStyle w:val="StandardWeb"/>
      </w:pPr>
      <w:r>
        <w:t>und</w:t>
      </w:r>
    </w:p>
    <w:p w:rsidR="00EA00D8" w:rsidRDefault="00EA00D8" w:rsidP="00EA00D8">
      <w:pPr>
        <w:pStyle w:val="berschrift1"/>
      </w:pPr>
      <w:r>
        <w:t>[</w:t>
      </w:r>
      <w:r>
        <w:br/>
        <w:t>\sum_{X\in\mathfrak O_C}</w:t>
      </w:r>
      <w:r>
        <w:br/>
        <w:t>\operatorname{Conf}_{\mathrm{Stat}}(X)</w:t>
      </w:r>
    </w:p>
    <w:p w:rsidR="00EA00D8" w:rsidRDefault="00EA00D8" w:rsidP="00152216">
      <w:pPr>
        <w:numPr>
          <w:ilvl w:val="0"/>
          <w:numId w:val="447"/>
        </w:numPr>
        <w:spacing w:before="100" w:beforeAutospacing="1" w:after="100" w:afterAutospacing="1"/>
      </w:pPr>
    </w:p>
    <w:p w:rsidR="00EA00D8" w:rsidRDefault="00EA00D8" w:rsidP="00EA00D8">
      <w:pPr>
        <w:pStyle w:val="StandardWeb"/>
      </w:pPr>
      <w:r>
        <w:t>\tag{3.9525}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\sum_{X\in\mathfrak O_C}\operatorname{Conf}_{\mathrm{Stat}}(X)=0</w:t>
      </w:r>
    </w:p>
    <w:p w:rsidR="00EA00D8" w:rsidRDefault="00EA00D8" w:rsidP="00EA00D8">
      <w:pPr>
        <w:pStyle w:val="StandardWeb"/>
      </w:pPr>
      <w:r>
        <w:t>Damit folgt</w:t>
      </w:r>
    </w:p>
    <w:p w:rsidR="00EA00D8" w:rsidRDefault="00EA00D8" w:rsidP="00EA00D8">
      <w:pPr>
        <w:pStyle w:val="StandardWeb"/>
      </w:pPr>
      <w:r>
        <w:t>[</w:t>
      </w:r>
      <w:r>
        <w:br/>
        <w:t>\boxed{</w:t>
      </w:r>
      <w:r>
        <w:br/>
        <w:t>\operatorname{CleanAx}(3.3.43)=1.</w:t>
      </w:r>
      <w:r>
        <w:br/>
        <w:t>}</w:t>
      </w:r>
      <w:r>
        <w:br/>
        <w:t>\tag{3.9526}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\boxed{\operatorname{CleanAx}(3.3.43)=1.}</w:t>
      </w:r>
    </w:p>
    <w:p w:rsidR="00EA00D8" w:rsidRDefault="00E50336" w:rsidP="00EA00D8">
      <w:r>
        <w:pict>
          <v:rect id="_x0000_i2841" style="width:0;height:1.5pt" o:hralign="center" o:hrstd="t" o:hr="t" fillcolor="#a0a0a0" stroked="f"/>
        </w:pict>
      </w:r>
    </w:p>
    <w:p w:rsidR="00EA00D8" w:rsidRDefault="00EA00D8" w:rsidP="00EA00D8">
      <w:pPr>
        <w:pStyle w:val="berschrift1"/>
      </w:pPr>
      <w:r>
        <w:t>3.3.43.678 Ergebnis der Axiom-Minimalitätsprüfung</w:t>
      </w:r>
    </w:p>
    <w:p w:rsidR="00EA00D8" w:rsidRDefault="00EA00D8" w:rsidP="00EA00D8">
      <w:pPr>
        <w:pStyle w:val="StandardWeb"/>
      </w:pPr>
      <w:r>
        <w:lastRenderedPageBreak/>
        <w:t>Die ursprüngliche Forderung nach einer möglichst kleinen Primäraxiomatik ist damit auch nach der vollständigen Statusbereinigung erfüllt.</w:t>
      </w:r>
    </w:p>
    <w:p w:rsidR="00EA00D8" w:rsidRDefault="00EA00D8" w:rsidP="00EA00D8">
      <w:pPr>
        <w:pStyle w:val="StandardWeb"/>
      </w:pPr>
      <w:r>
        <w:t>Ich fasse zusammen:</w:t>
      </w:r>
    </w:p>
    <w:p w:rsidR="00EA00D8" w:rsidRDefault="00EA00D8" w:rsidP="00EA00D8">
      <w:pPr>
        <w:pStyle w:val="berschrift1"/>
      </w:pPr>
      <w:r>
        <w:t>[</w:t>
      </w:r>
      <w:r>
        <w:br/>
        <w:t>\boxed{</w:t>
      </w:r>
      <w:r>
        <w:br/>
        <w:t>\mathfrak A_{3.3.43}^{\mathrm{final}}</w:t>
      </w:r>
    </w:p>
    <w:p w:rsidR="00EA00D8" w:rsidRDefault="00EA00D8" w:rsidP="00EA00D8">
      <w:pPr>
        <w:pStyle w:val="StandardWeb"/>
      </w:pPr>
      <w:r>
        <w:t>{A_C}.</w:t>
      </w:r>
      <w:r>
        <w:br/>
        <w:t>}</w:t>
      </w:r>
      <w:r>
        <w:br/>
        <w:t>\tag{3.9527}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\boxed{\mathfrak A_{3.3.43}^{\mathrm{final}}=\{A_C\}.}</w:t>
      </w:r>
    </w:p>
    <w:p w:rsidR="00EA00D8" w:rsidRDefault="00EA00D8" w:rsidP="00EA00D8">
      <w:pPr>
        <w:pStyle w:val="StandardWeb"/>
      </w:pPr>
      <w:r>
        <w:t>Kein Kohärenzfeld, kein Kohärenzfluss, kein Kernel, keine Dynamikgleichung, keine Schwelle, keine Stabilitätsbedingung und keine Operationalisierung wird als zusätzliches Primäraxiom benötigt.</w:t>
      </w:r>
    </w:p>
    <w:p w:rsidR="00EA00D8" w:rsidRDefault="00E50336" w:rsidP="00EA00D8">
      <w:r>
        <w:pict>
          <v:rect id="_x0000_i2842" style="width:0;height:1.5pt" o:hralign="center" o:hrstd="t" o:hr="t" fillcolor="#a0a0a0" stroked="f"/>
        </w:pict>
      </w:r>
    </w:p>
    <w:p w:rsidR="00EA00D8" w:rsidRDefault="00EA00D8" w:rsidP="00EA00D8">
      <w:pPr>
        <w:pStyle w:val="berschrift1"/>
      </w:pPr>
      <w:r>
        <w:t>3.3.43.679 Konsequenz für die mathematische Freiheit</w:t>
      </w:r>
    </w:p>
    <w:p w:rsidR="00EA00D8" w:rsidRDefault="00EA00D8" w:rsidP="00EA00D8">
      <w:pPr>
        <w:pStyle w:val="StandardWeb"/>
      </w:pPr>
      <w:r>
        <w:t>Damit bleibt für die nichtaxiomatischen Strukturen ein großer Freiheitsgrad erhalten:</w:t>
      </w:r>
    </w:p>
    <w:p w:rsidR="00EA00D8" w:rsidRDefault="00EA00D8" w:rsidP="00EA00D8">
      <w:pPr>
        <w:pStyle w:val="berschrift1"/>
      </w:pPr>
      <w:r>
        <w:t>[</w:t>
      </w:r>
      <w:r>
        <w:br/>
        <w:t>\mathfrak M_C^{\mathrm{admissible}}</w:t>
      </w:r>
    </w:p>
    <w:p w:rsidR="00EA00D8" w:rsidRDefault="00EA00D8" w:rsidP="00EA00D8">
      <w:pPr>
        <w:pStyle w:val="StandardWeb"/>
      </w:pPr>
      <w:r>
        <w:t>\bigcup_i</w:t>
      </w:r>
      <w:r>
        <w:br/>
        <w:t>\mathfrak M_{\mathrm{FRZK}}^{(M_i)}.</w:t>
      </w:r>
      <w:r>
        <w:br/>
        <w:t>\tag{3.9528}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M_C^{\mathrm{admissible}}=\bigcup_i\mathfrak M_{\mathrm{FRZK}}^{(M_i)}</w:t>
      </w:r>
    </w:p>
    <w:p w:rsidR="00EA00D8" w:rsidRDefault="00EA00D8" w:rsidP="00EA00D8">
      <w:pPr>
        <w:pStyle w:val="StandardWeb"/>
      </w:pPr>
      <w:r>
        <w:t>Unterschiedliche Modellklassen können dasselbe Primäraxiom erfüllen.</w:t>
      </w:r>
    </w:p>
    <w:p w:rsidR="00EA00D8" w:rsidRDefault="00E50336" w:rsidP="00EA00D8">
      <w:r>
        <w:pict>
          <v:rect id="_x0000_i2843" style="width:0;height:1.5pt" o:hralign="center" o:hrstd="t" o:hr="t" fillcolor="#a0a0a0" stroked="f"/>
        </w:pict>
      </w:r>
    </w:p>
    <w:p w:rsidR="00EA00D8" w:rsidRDefault="00EA00D8" w:rsidP="00EA00D8">
      <w:pPr>
        <w:pStyle w:val="berschrift1"/>
      </w:pPr>
      <w:r>
        <w:t>3.3.43.680 Konsequenz für empirische Vielfalt</w:t>
      </w:r>
    </w:p>
    <w:p w:rsidR="00EA00D8" w:rsidRDefault="00EA00D8" w:rsidP="00EA00D8">
      <w:pPr>
        <w:pStyle w:val="StandardWeb"/>
      </w:pPr>
      <w:r>
        <w:lastRenderedPageBreak/>
        <w:t>Ebenso bleibt</w:t>
      </w:r>
    </w:p>
    <w:p w:rsidR="00EA00D8" w:rsidRDefault="00EA00D8" w:rsidP="00EA00D8">
      <w:pPr>
        <w:pStyle w:val="StandardWeb"/>
      </w:pPr>
      <w:r>
        <w:t>[</w:t>
      </w:r>
      <w:r>
        <w:br/>
        <w:t>|\mathfrak O_C|&gt;1</w:t>
      </w:r>
      <w:r>
        <w:br/>
        <w:t>\tag{3.9529}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O_C|&gt;1</w:t>
      </w:r>
    </w:p>
    <w:p w:rsidR="00EA00D8" w:rsidRDefault="00EA00D8" w:rsidP="00EA00D8">
      <w:pPr>
        <w:pStyle w:val="StandardWeb"/>
      </w:pPr>
      <w:r>
        <w:t>zulässig, sofern mehrere wissenschaftlich valide Operationalisierungen existieren.</w:t>
      </w:r>
    </w:p>
    <w:p w:rsidR="00EA00D8" w:rsidRDefault="00EA00D8" w:rsidP="00EA00D8">
      <w:pPr>
        <w:pStyle w:val="StandardWeb"/>
      </w:pPr>
      <w:r>
        <w:t>Damit wird das FRZK nicht auf eine einzige Messmethode festgelegt.</w:t>
      </w:r>
    </w:p>
    <w:p w:rsidR="00EA00D8" w:rsidRDefault="00E50336" w:rsidP="00EA00D8">
      <w:r>
        <w:pict>
          <v:rect id="_x0000_i2844" style="width:0;height:1.5pt" o:hralign="center" o:hrstd="t" o:hr="t" fillcolor="#a0a0a0" stroked="f"/>
        </w:pict>
      </w:r>
    </w:p>
    <w:p w:rsidR="00EA00D8" w:rsidRDefault="00EA00D8" w:rsidP="00EA00D8">
      <w:pPr>
        <w:pStyle w:val="berschrift1"/>
      </w:pPr>
      <w:r>
        <w:t>3.3.43.681 Konsequenz für spätere Modellvergleiche</w:t>
      </w:r>
    </w:p>
    <w:p w:rsidR="00EA00D8" w:rsidRDefault="00EA00D8" w:rsidP="00EA00D8">
      <w:pPr>
        <w:pStyle w:val="StandardWeb"/>
      </w:pPr>
      <w:r>
        <w:t>Zwei Modelle</w:t>
      </w:r>
    </w:p>
    <w:p w:rsidR="00EA00D8" w:rsidRDefault="00EA00D8" w:rsidP="00EA00D8">
      <w:pPr>
        <w:pStyle w:val="StandardWeb"/>
      </w:pPr>
      <w:r>
        <w:t>[</w:t>
      </w:r>
      <w:r>
        <w:br/>
        <w:t>\mathcal M_1,</w:t>
      </w:r>
      <w:r>
        <w:br/>
        <w:t>\mathcal M_2</w:t>
      </w:r>
      <w:r>
        <w:br/>
        <w:t>\in</w:t>
      </w:r>
      <w:r>
        <w:br/>
        <w:t>\mathfrak M_{\mathrm{FRZK}}</w:t>
      </w:r>
      <w:r>
        <w:br/>
        <w:t>\tag{3.9530}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\mathcal M_1,\mathcal M_2\in\mathfrak M_{\mathrm{FRZK}}</w:t>
      </w:r>
    </w:p>
    <w:p w:rsidR="00EA00D8" w:rsidRDefault="00EA00D8" w:rsidP="00EA00D8">
      <w:pPr>
        <w:pStyle w:val="StandardWeb"/>
      </w:pPr>
      <w:r>
        <w:t>können daher verschiedene Kohärenzrepräsentationen verwenden:</w:t>
      </w:r>
    </w:p>
    <w:p w:rsidR="00EA00D8" w:rsidRDefault="00EA00D8" w:rsidP="00EA00D8">
      <w:pPr>
        <w:pStyle w:val="StandardWeb"/>
      </w:pPr>
      <w:r>
        <w:t>[</w:t>
      </w:r>
      <w:r>
        <w:br/>
        <w:t>\operatorname{Rep}_C(\mathcal M_1)</w:t>
      </w:r>
      <w:r>
        <w:br/>
        <w:t>\neq</w:t>
      </w:r>
      <w:r>
        <w:br/>
        <w:t>\operatorname{Rep}_C(\mathcal M_2).</w:t>
      </w:r>
      <w:r>
        <w:br/>
        <w:t>\tag{3.9531}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\operatorname{Rep}_C(\mathcal M_1)\neq\operatorname{Rep}_C(\mathcal M_2)</w:t>
      </w:r>
    </w:p>
    <w:p w:rsidR="00EA00D8" w:rsidRDefault="00EA00D8" w:rsidP="00EA00D8">
      <w:pPr>
        <w:pStyle w:val="StandardWeb"/>
      </w:pPr>
      <w:r>
        <w:t>Beide bleiben dennoch FRZK-Modelle, sofern sie (A_C) und die übrigen Primäraxiome erfüllen.</w:t>
      </w:r>
    </w:p>
    <w:p w:rsidR="00EA00D8" w:rsidRDefault="00E50336" w:rsidP="00EA00D8">
      <w:r>
        <w:pict>
          <v:rect id="_x0000_i2845" style="width:0;height:1.5pt" o:hralign="center" o:hrstd="t" o:hr="t" fillcolor="#a0a0a0" stroked="f"/>
        </w:pict>
      </w:r>
    </w:p>
    <w:p w:rsidR="00EA00D8" w:rsidRDefault="00EA00D8" w:rsidP="00EA00D8">
      <w:pPr>
        <w:pStyle w:val="berschrift1"/>
      </w:pPr>
      <w:r>
        <w:lastRenderedPageBreak/>
        <w:t>3.3.43.682 Konsequenz für die Vergleichbarkeit von Modellen</w:t>
      </w:r>
    </w:p>
    <w:p w:rsidR="00EA00D8" w:rsidRDefault="00EA00D8" w:rsidP="00EA00D8">
      <w:pPr>
        <w:pStyle w:val="StandardWeb"/>
      </w:pPr>
      <w:r>
        <w:t>Ein Vergleich unterschiedlicher Modellrealisierungen muss deshalb auf gemeinsame Invarianten oder explizite Übersetzungsabbildungen gestützt werden.</w:t>
      </w:r>
    </w:p>
    <w:p w:rsidR="00EA00D8" w:rsidRDefault="00EA00D8" w:rsidP="00EA00D8">
      <w:pPr>
        <w:pStyle w:val="StandardWeb"/>
      </w:pPr>
      <w:r>
        <w:t>Ich schreibe</w:t>
      </w:r>
    </w:p>
    <w:p w:rsidR="00EA00D8" w:rsidRDefault="00EA00D8" w:rsidP="00EA00D8">
      <w:pPr>
        <w:pStyle w:val="StandardWeb"/>
      </w:pPr>
      <w:r>
        <w:t>[</w:t>
      </w:r>
      <w:r>
        <w:br/>
        <w:t>\mathcal M_1</w:t>
      </w:r>
      <w:r>
        <w:br/>
        <w:t>\overset{C}{\sim}</w:t>
      </w:r>
      <w:r>
        <w:br/>
        <w:t>\mathcal M_2</w:t>
      </w:r>
      <w:r>
        <w:br/>
        <w:t>\tag{3.9532}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\mathcal M_1\overset{C}{\sim}\mathcal M_2</w:t>
      </w:r>
    </w:p>
    <w:p w:rsidR="00EA00D8" w:rsidRDefault="00EA00D8" w:rsidP="00EA00D8">
      <w:pPr>
        <w:pStyle w:val="StandardWeb"/>
      </w:pPr>
      <w:r>
        <w:t>wenn beide Modelle hinsichtlich des relevanten Kohärenzgehalts vergleichbar sind.</w:t>
      </w:r>
    </w:p>
    <w:p w:rsidR="00EA00D8" w:rsidRDefault="00E50336" w:rsidP="00EA00D8">
      <w:r>
        <w:pict>
          <v:rect id="_x0000_i2846" style="width:0;height:1.5pt" o:hralign="center" o:hrstd="t" o:hr="t" fillcolor="#a0a0a0" stroked="f"/>
        </w:pict>
      </w:r>
    </w:p>
    <w:p w:rsidR="00EA00D8" w:rsidRDefault="00EA00D8" w:rsidP="00EA00D8">
      <w:pPr>
        <w:pStyle w:val="berschrift1"/>
      </w:pPr>
      <w:r>
        <w:t>3.3.43.683 Keine Identität durch gemeinsames Primäraxiom</w:t>
      </w:r>
    </w:p>
    <w:p w:rsidR="00EA00D8" w:rsidRDefault="00EA00D8" w:rsidP="00EA00D8">
      <w:pPr>
        <w:pStyle w:val="StandardWeb"/>
      </w:pPr>
      <w:r>
        <w:t>Aus</w:t>
      </w:r>
    </w:p>
    <w:p w:rsidR="00EA00D8" w:rsidRDefault="00EA00D8" w:rsidP="00EA00D8">
      <w:pPr>
        <w:pStyle w:val="StandardWeb"/>
      </w:pPr>
      <w:r>
        <w:t>[</w:t>
      </w:r>
      <w:r>
        <w:br/>
        <w:t>\mathcal M_1\models A_C</w:t>
      </w:r>
      <w:r>
        <w:br/>
        <w:t>\tag{3.9533}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\mathcal M_1\models A_C</w:t>
      </w:r>
    </w:p>
    <w:p w:rsidR="00EA00D8" w:rsidRDefault="00EA00D8" w:rsidP="00EA00D8">
      <w:pPr>
        <w:pStyle w:val="StandardWeb"/>
      </w:pPr>
      <w:r>
        <w:t>und</w:t>
      </w:r>
    </w:p>
    <w:p w:rsidR="00EA00D8" w:rsidRDefault="00EA00D8" w:rsidP="00EA00D8">
      <w:pPr>
        <w:pStyle w:val="StandardWeb"/>
      </w:pPr>
      <w:r>
        <w:t>[</w:t>
      </w:r>
      <w:r>
        <w:br/>
        <w:t>\mathcal M_2\models A_C</w:t>
      </w:r>
      <w:r>
        <w:br/>
        <w:t>\tag{3.9534}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\mathcal M_2\models A_C</w:t>
      </w:r>
    </w:p>
    <w:p w:rsidR="00EA00D8" w:rsidRDefault="00EA00D8" w:rsidP="00EA00D8">
      <w:pPr>
        <w:pStyle w:val="StandardWeb"/>
      </w:pPr>
      <w:r>
        <w:t>folgt nicht</w:t>
      </w:r>
    </w:p>
    <w:p w:rsidR="00EA00D8" w:rsidRDefault="00EA00D8" w:rsidP="00EA00D8">
      <w:pPr>
        <w:pStyle w:val="StandardWeb"/>
      </w:pPr>
      <w:r>
        <w:lastRenderedPageBreak/>
        <w:t>[</w:t>
      </w:r>
      <w:r>
        <w:br/>
        <w:t>\mathcal M_1=\mathcal M_2.</w:t>
      </w:r>
      <w:r>
        <w:br/>
        <w:t>\tag{3.9535}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\mathcal M_1=\mathcal M_2</w:t>
      </w:r>
    </w:p>
    <w:p w:rsidR="00EA00D8" w:rsidRDefault="00EA00D8" w:rsidP="00EA00D8">
      <w:pPr>
        <w:pStyle w:val="StandardWeb"/>
      </w:pPr>
      <w:r>
        <w:t>Das Primäraxiom definiert somit eine Modellklasse und kein einzelnes Modell.</w:t>
      </w:r>
    </w:p>
    <w:p w:rsidR="00EA00D8" w:rsidRDefault="00E50336" w:rsidP="00EA00D8">
      <w:r>
        <w:pict>
          <v:rect id="_x0000_i2847" style="width:0;height:1.5pt" o:hralign="center" o:hrstd="t" o:hr="t" fillcolor="#a0a0a0" stroked="f"/>
        </w:pict>
      </w:r>
    </w:p>
    <w:p w:rsidR="00EA00D8" w:rsidRDefault="00EA00D8" w:rsidP="00EA00D8">
      <w:pPr>
        <w:pStyle w:val="berschrift1"/>
      </w:pPr>
      <w:r>
        <w:t>3.3.43.684 Keine Isomorphie durch gemeinsames Primäraxiom</w:t>
      </w:r>
    </w:p>
    <w:p w:rsidR="00EA00D8" w:rsidRDefault="00EA00D8" w:rsidP="00EA00D8">
      <w:pPr>
        <w:pStyle w:val="StandardWeb"/>
      </w:pPr>
      <w:r>
        <w:t>Ebenso folgt nicht</w:t>
      </w:r>
    </w:p>
    <w:p w:rsidR="00EA00D8" w:rsidRDefault="00EA00D8" w:rsidP="00EA00D8">
      <w:pPr>
        <w:pStyle w:val="StandardWeb"/>
      </w:pPr>
      <w:r>
        <w:t>[</w:t>
      </w:r>
      <w:r>
        <w:br/>
        <w:t>\mathcal M_1</w:t>
      </w:r>
      <w:r>
        <w:br/>
        <w:t>\cong_F</w:t>
      </w:r>
      <w:r>
        <w:br/>
        <w:t>\mathcal M_2.</w:t>
      </w:r>
      <w:r>
        <w:br/>
        <w:t>\tag{3.9536}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\mathcal M_1\cong_F\mathcal M_2</w:t>
      </w:r>
    </w:p>
    <w:p w:rsidR="00EA00D8" w:rsidRDefault="00EA00D8" w:rsidP="00EA00D8">
      <w:pPr>
        <w:pStyle w:val="StandardWeb"/>
      </w:pPr>
      <w:r>
        <w:t>Funktionale Isomorphie erfordert zusätzliche Strukturerhaltung.</w:t>
      </w:r>
    </w:p>
    <w:p w:rsidR="00EA00D8" w:rsidRDefault="00E50336" w:rsidP="00EA00D8">
      <w:r>
        <w:pict>
          <v:rect id="_x0000_i2848" style="width:0;height:1.5pt" o:hralign="center" o:hrstd="t" o:hr="t" fillcolor="#a0a0a0" stroked="f"/>
        </w:pict>
      </w:r>
    </w:p>
    <w:p w:rsidR="00EA00D8" w:rsidRDefault="00EA00D8" w:rsidP="00EA00D8">
      <w:pPr>
        <w:pStyle w:val="berschrift1"/>
      </w:pPr>
      <w:r>
        <w:t>3.3.43.685 Primäraxiom als gemeinsame Untergrenze</w:t>
      </w:r>
    </w:p>
    <w:p w:rsidR="00EA00D8" w:rsidRDefault="00EA00D8" w:rsidP="00EA00D8">
      <w:pPr>
        <w:pStyle w:val="StandardWeb"/>
      </w:pPr>
      <w:r>
        <w:t>Gemeinsam ist allen zulässigen Modellen nur die Minimalforderung</w:t>
      </w:r>
    </w:p>
    <w:p w:rsidR="00EA00D8" w:rsidRDefault="00EA00D8" w:rsidP="00EA00D8">
      <w:pPr>
        <w:pStyle w:val="StandardWeb"/>
      </w:pPr>
      <w:r>
        <w:t>[</w:t>
      </w:r>
      <w:r>
        <w:br/>
        <w:t>\exists z,\mathcal S_C:</w:t>
      </w:r>
      <w:r>
        <w:br/>
        <w:t>R_F(\mathcal S_C)=1</w:t>
      </w:r>
      <w:r>
        <w:br/>
        <w:t>\land</w:t>
      </w:r>
      <w:r>
        <w:br/>
        <w:t>C_F(\mathcal S_C;z)&gt;0.</w:t>
      </w:r>
      <w:r>
        <w:br/>
        <w:t>\tag{3.9537}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\exists z,\mathcal S_C:R_F(\mathcal S_C)=1\land C_F(\mathcal S_C;z)&gt;0</w:t>
      </w:r>
    </w:p>
    <w:p w:rsidR="00EA00D8" w:rsidRDefault="00EA00D8" w:rsidP="00EA00D8">
      <w:pPr>
        <w:pStyle w:val="StandardWeb"/>
      </w:pPr>
      <w:r>
        <w:t>Damit bildet (A_C) die gemeinsame axiomatische Untergrenze der Kohärenzmodellklasse.</w:t>
      </w:r>
    </w:p>
    <w:p w:rsidR="00EA00D8" w:rsidRDefault="00E50336" w:rsidP="00EA00D8">
      <w:r>
        <w:lastRenderedPageBreak/>
        <w:pict>
          <v:rect id="_x0000_i2849" style="width:0;height:1.5pt" o:hralign="center" o:hrstd="t" o:hr="t" fillcolor="#a0a0a0" stroked="f"/>
        </w:pict>
      </w:r>
    </w:p>
    <w:p w:rsidR="00EA00D8" w:rsidRDefault="00EA00D8" w:rsidP="00EA00D8">
      <w:pPr>
        <w:pStyle w:val="berschrift1"/>
      </w:pPr>
      <w:r>
        <w:t>3.3.43.686 Status der Modellvielfalt</w:t>
      </w:r>
    </w:p>
    <w:p w:rsidR="00EA00D8" w:rsidRDefault="00EA00D8" w:rsidP="00EA00D8">
      <w:pPr>
        <w:pStyle w:val="StandardWeb"/>
      </w:pPr>
      <w:r>
        <w:t>Ich kann die zulässige Modellvielfalt durch</w:t>
      </w:r>
    </w:p>
    <w:p w:rsidR="00EA00D8" w:rsidRDefault="00EA00D8" w:rsidP="00EA00D8">
      <w:pPr>
        <w:pStyle w:val="berschrift1"/>
      </w:pPr>
      <w:r>
        <w:t>[</w:t>
      </w:r>
      <w:r>
        <w:br/>
        <w:t>\mathcal V_M</w:t>
      </w:r>
    </w:p>
    <w:p w:rsidR="00EA00D8" w:rsidRDefault="00EA00D8" w:rsidP="00EA00D8">
      <w:pPr>
        <w:pStyle w:val="StandardWeb"/>
      </w:pPr>
      <w:r>
        <w:t>\left|</w:t>
      </w:r>
      <w:r>
        <w:br/>
        <w:t>\operatorname{Mod}</w:t>
      </w:r>
      <w:r>
        <w:br/>
        <w:t>(\mathfrak A_{F,\mathrm{prim}})</w:t>
      </w:r>
      <w:r>
        <w:br/>
        <w:t>\right|</w:t>
      </w:r>
      <w:r>
        <w:br/>
        <w:t>\tag{3.9538}</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\mathcal V_M=\left|\operatorname{Mod}(\mathfrak A_{F,\mathrm{prim}})\right|</w:t>
      </w:r>
    </w:p>
    <w:p w:rsidR="00EA00D8" w:rsidRDefault="00EA00D8" w:rsidP="00EA00D8">
      <w:pPr>
        <w:pStyle w:val="StandardWeb"/>
      </w:pPr>
      <w:r>
        <w:t>kennzeichnen.</w:t>
      </w:r>
    </w:p>
    <w:p w:rsidR="00EA00D8" w:rsidRDefault="00EA00D8" w:rsidP="00EA00D8">
      <w:pPr>
        <w:pStyle w:val="StandardWeb"/>
      </w:pPr>
      <w:r>
        <w:t>Für die Theoriearchitektur ist erwünscht</w:t>
      </w:r>
    </w:p>
    <w:p w:rsidR="00EA00D8" w:rsidRDefault="00EA00D8" w:rsidP="00EA00D8">
      <w:pPr>
        <w:pStyle w:val="StandardWeb"/>
      </w:pPr>
      <w:r>
        <w:t>[</w:t>
      </w:r>
      <w:r>
        <w:br/>
        <w:t>\mathcal V_M&gt;1.</w:t>
      </w:r>
      <w:r>
        <w:br/>
        <w:t>\tag{3.9539}</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\mathcal V_M&gt;1</w:t>
      </w:r>
    </w:p>
    <w:p w:rsidR="00EA00D8" w:rsidRDefault="00EA00D8" w:rsidP="00EA00D8">
      <w:pPr>
        <w:pStyle w:val="StandardWeb"/>
      </w:pPr>
      <w:r>
        <w:t>Ein Primäraxiomensystem, das ohne Not nur ein einziges konkretes Modell zulässt, wäre für die hier angestrebte offene Theorieentwicklung zu restriktiv.</w:t>
      </w:r>
    </w:p>
    <w:p w:rsidR="00EA00D8" w:rsidRDefault="00E50336" w:rsidP="00EA00D8">
      <w:r>
        <w:pict>
          <v:rect id="_x0000_i2850" style="width:0;height:1.5pt" o:hralign="center" o:hrstd="t" o:hr="t" fillcolor="#a0a0a0" stroked="f"/>
        </w:pict>
      </w:r>
    </w:p>
    <w:p w:rsidR="00EA00D8" w:rsidRDefault="00EA00D8" w:rsidP="00EA00D8">
      <w:pPr>
        <w:pStyle w:val="berschrift1"/>
      </w:pPr>
      <w:r>
        <w:t>3.3.43.687 Verhältnis von axiomatischer Minimalität und Modellvielfalt</w:t>
      </w:r>
    </w:p>
    <w:p w:rsidR="00EA00D8" w:rsidRDefault="00EA00D8" w:rsidP="00EA00D8">
      <w:pPr>
        <w:pStyle w:val="StandardWeb"/>
      </w:pPr>
      <w:r>
        <w:t>Die bisherige Struktur lässt sich deshalb qualitativ zusammenfassen als</w:t>
      </w:r>
    </w:p>
    <w:p w:rsidR="00EA00D8" w:rsidRDefault="00EA00D8" w:rsidP="00EA00D8">
      <w:pPr>
        <w:pStyle w:val="berschrift1"/>
      </w:pPr>
      <w:r>
        <w:t>[</w:t>
      </w:r>
      <w:r>
        <w:br/>
        <w:t>|\mathfrak A_{3.3.43}|</w:t>
      </w:r>
    </w:p>
    <w:p w:rsidR="00EA00D8" w:rsidRDefault="00EA00D8" w:rsidP="00EA00D8">
      <w:pPr>
        <w:pStyle w:val="StandardWeb"/>
      </w:pPr>
      <w:r>
        <w:lastRenderedPageBreak/>
        <w:t>1</w:t>
      </w:r>
      <w:r>
        <w:br/>
        <w:t>\qquad\land\qquad</w:t>
      </w:r>
      <w:r>
        <w:br/>
        <w:t>\mathcal V_M&gt;1.</w:t>
      </w:r>
      <w:r>
        <w:br/>
        <w:t>\tag{3.9540}</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A_{3.3.43}|=1\qquad\land\qquad\mathcal V_M&gt;1</w:t>
      </w:r>
    </w:p>
    <w:p w:rsidR="00EA00D8" w:rsidRDefault="00EA00D8" w:rsidP="00EA00D8">
      <w:pPr>
        <w:pStyle w:val="StandardWeb"/>
      </w:pPr>
      <w:r>
        <w:t>Damit verbindet der Kohärenzblock eine minimale Primäraxiomatik mit einer nichttrivialen Modellvielfalt.</w:t>
      </w:r>
    </w:p>
    <w:p w:rsidR="00EA00D8" w:rsidRDefault="00E50336" w:rsidP="00EA00D8">
      <w:r>
        <w:pict>
          <v:rect id="_x0000_i2851" style="width:0;height:1.5pt" o:hralign="center" o:hrstd="t" o:hr="t" fillcolor="#a0a0a0" stroked="f"/>
        </w:pict>
      </w:r>
    </w:p>
    <w:p w:rsidR="00EA00D8" w:rsidRDefault="00EA00D8" w:rsidP="00EA00D8">
      <w:pPr>
        <w:pStyle w:val="berschrift1"/>
      </w:pPr>
      <w:r>
        <w:t>3.3.43.688 Axiomatische Offenheit</w:t>
      </w:r>
    </w:p>
    <w:p w:rsidR="00EA00D8" w:rsidRDefault="00EA00D8" w:rsidP="00EA00D8">
      <w:pPr>
        <w:pStyle w:val="StandardWeb"/>
      </w:pPr>
      <w:r>
        <w:t>Ich definiere dafür qualitativ</w:t>
      </w:r>
    </w:p>
    <w:p w:rsidR="00EA00D8" w:rsidRDefault="00EA00D8" w:rsidP="00EA00D8">
      <w:pPr>
        <w:pStyle w:val="berschrift1"/>
      </w:pPr>
      <w:r>
        <w:t>[</w:t>
      </w:r>
      <w:r>
        <w:br/>
        <w:t>O_{\mathrm{Ax}}</w:t>
      </w:r>
    </w:p>
    <w:p w:rsidR="00EA00D8" w:rsidRDefault="00EA00D8" w:rsidP="00EA00D8">
      <w:pPr>
        <w:pStyle w:val="StandardWeb"/>
      </w:pPr>
      <w:r>
        <w:t>\frac{\mathcal V_M}</w:t>
      </w:r>
      <w:r>
        <w:br/>
        <w:t>{|\mathfrak A_{3.3.43}|}.</w:t>
      </w:r>
      <w:r>
        <w:br/>
        <w:t>\tag{3.9541}</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O_{\mathrm{Ax}}=\frac{\mathcal V_M}{|\mathfrak A_{3.3.43}|}</w:t>
      </w:r>
    </w:p>
    <w:p w:rsidR="00EA00D8" w:rsidRDefault="00EA00D8" w:rsidP="00EA00D8">
      <w:pPr>
        <w:pStyle w:val="StandardWeb"/>
      </w:pPr>
      <w:r>
        <w:t>Diese Größe ist kein physikalisches Maß, sondern lediglich eine metatheoretische Veranschaulichung dafür, wie viele Modellmöglichkeiten durch eine gegebene Zahl von Primäraxiomen offengehalten werden.</w:t>
      </w:r>
    </w:p>
    <w:p w:rsidR="00EA00D8" w:rsidRDefault="00E50336" w:rsidP="00EA00D8">
      <w:r>
        <w:pict>
          <v:rect id="_x0000_i2852" style="width:0;height:1.5pt" o:hralign="center" o:hrstd="t" o:hr="t" fillcolor="#a0a0a0" stroked="f"/>
        </w:pict>
      </w:r>
    </w:p>
    <w:p w:rsidR="00EA00D8" w:rsidRDefault="00EA00D8" w:rsidP="00EA00D8">
      <w:pPr>
        <w:pStyle w:val="berschrift1"/>
      </w:pPr>
      <w:r>
        <w:t>3.3.43.689 Keine quantitative Interpretation von (O_{\mathrm{Ax}})</w:t>
      </w:r>
    </w:p>
    <w:p w:rsidR="00EA00D8" w:rsidRDefault="00EA00D8" w:rsidP="00EA00D8">
      <w:pPr>
        <w:pStyle w:val="StandardWeb"/>
      </w:pPr>
      <w:r>
        <w:t>Da (\mathcal V_M) im Allgemeinen keine endliche abzählbare Modellzahl sein muss, ist</w:t>
      </w:r>
    </w:p>
    <w:p w:rsidR="00EA00D8" w:rsidRDefault="00EA00D8" w:rsidP="00EA00D8">
      <w:pPr>
        <w:pStyle w:val="StandardWeb"/>
      </w:pPr>
      <w:r>
        <w:t>[</w:t>
      </w:r>
      <w:r>
        <w:br/>
        <w:t>O_{\mathrm{Ax}}</w:t>
      </w:r>
      <w:r>
        <w:br/>
        <w:t>\tag{3.9542}</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lastRenderedPageBreak/>
        <w:t>O_{\mathrm{Ax}}</w:t>
      </w:r>
    </w:p>
    <w:p w:rsidR="00EA00D8" w:rsidRDefault="00EA00D8" w:rsidP="00EA00D8">
      <w:pPr>
        <w:pStyle w:val="StandardWeb"/>
      </w:pPr>
      <w:r>
        <w:t>hier ausdrücklich nicht als empirisch zu berechnende Kennzahl zu verstehen.</w:t>
      </w:r>
    </w:p>
    <w:p w:rsidR="00EA00D8" w:rsidRDefault="00EA00D8" w:rsidP="00EA00D8">
      <w:pPr>
        <w:pStyle w:val="StandardWeb"/>
      </w:pPr>
      <w:r>
        <w:t>Die Größe dient allein der qualitativen Theoriecharakterisierung.</w:t>
      </w:r>
    </w:p>
    <w:p w:rsidR="00EA00D8" w:rsidRDefault="00E50336" w:rsidP="00EA00D8">
      <w:r>
        <w:pict>
          <v:rect id="_x0000_i2853" style="width:0;height:1.5pt" o:hralign="center" o:hrstd="t" o:hr="t" fillcolor="#a0a0a0" stroked="f"/>
        </w:pict>
      </w:r>
    </w:p>
    <w:p w:rsidR="00EA00D8" w:rsidRDefault="00EA00D8" w:rsidP="00EA00D8">
      <w:pPr>
        <w:pStyle w:val="berschrift1"/>
      </w:pPr>
      <w:r>
        <w:t>3.3.43.690 Ergebnis der Offenheitsprüfung</w:t>
      </w:r>
    </w:p>
    <w:p w:rsidR="00EA00D8" w:rsidRDefault="00EA00D8" w:rsidP="00EA00D8">
      <w:pPr>
        <w:pStyle w:val="StandardWeb"/>
      </w:pPr>
      <w:r>
        <w:t>Für den Kohärenzblock gilt qualitativ</w:t>
      </w:r>
    </w:p>
    <w:p w:rsidR="00EA00D8" w:rsidRDefault="00EA00D8" w:rsidP="00EA00D8">
      <w:pPr>
        <w:pStyle w:val="StandardWeb"/>
      </w:pPr>
      <w:r>
        <w:t>[</w:t>
      </w:r>
      <w:r>
        <w:br/>
        <w:t>\boxed{</w:t>
      </w:r>
      <w:r>
        <w:br/>
        <w:t>\text{axiomatisch minimal}</w:t>
      </w:r>
      <w:r>
        <w:br/>
        <w:t>\land</w:t>
      </w:r>
      <w:r>
        <w:br/>
        <w:t>\text{modelltheoretisch offen}.</w:t>
      </w:r>
      <w:r>
        <w:br/>
        <w:t>}</w:t>
      </w:r>
      <w:r>
        <w:br/>
        <w:t>\tag{3.9543}</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\boxed{\text{axiomatisch minimal}\land\text{modelltheoretisch offen}.}</w:t>
      </w:r>
    </w:p>
    <w:p w:rsidR="00EA00D8" w:rsidRDefault="00EA00D8" w:rsidP="00EA00D8">
      <w:pPr>
        <w:pStyle w:val="StandardWeb"/>
      </w:pPr>
      <w:r>
        <w:t>Damit ist zugleich gezeigt, dass die axiomatische Bereinigung nicht zu einer unzulässigen Überbestimmung des Modellraums führt.</w:t>
      </w:r>
    </w:p>
    <w:p w:rsidR="00EA00D8" w:rsidRDefault="00E50336" w:rsidP="00EA00D8">
      <w:r>
        <w:pict>
          <v:rect id="_x0000_i2854" style="width:0;height:1.5pt" o:hralign="center" o:hrstd="t" o:hr="t" fillcolor="#a0a0a0" stroked="f"/>
        </w:pict>
      </w:r>
    </w:p>
    <w:p w:rsidR="00EA00D8" w:rsidRDefault="00EA00D8" w:rsidP="00EA00D8">
      <w:pPr>
        <w:pStyle w:val="berschrift1"/>
      </w:pPr>
      <w:r>
        <w:t>3.3.43.691 Noch offene Abschlussfrage</w:t>
      </w:r>
    </w:p>
    <w:p w:rsidR="00EA00D8" w:rsidRDefault="00EA00D8" w:rsidP="00EA00D8">
      <w:pPr>
        <w:pStyle w:val="StandardWeb"/>
      </w:pPr>
      <w:r>
        <w:t xml:space="preserve">Nach der Axiom-Minimalitätsprüfung bleibt nun nicht mehr die Frage offen, </w:t>
      </w:r>
      <w:r>
        <w:rPr>
          <w:rStyle w:val="Fett"/>
        </w:rPr>
        <w:t>welche Kohärenzstruktur Primäraxiom ist</w:t>
      </w:r>
      <w:r>
        <w:t>. Dies ist entschieden.</w:t>
      </w:r>
    </w:p>
    <w:p w:rsidR="00EA00D8" w:rsidRDefault="00EA00D8" w:rsidP="00EA00D8">
      <w:pPr>
        <w:pStyle w:val="StandardWeb"/>
      </w:pPr>
      <w:r>
        <w:t>Offen ist nur noch, wie der gesamte Abschnitt wissenschaftlich zusammenzufassen und in den Gesamtaufbau von Kapitel 3.3 einzuordnen ist.</w:t>
      </w:r>
    </w:p>
    <w:p w:rsidR="00EA00D8" w:rsidRDefault="00EA00D8" w:rsidP="00EA00D8">
      <w:pPr>
        <w:pStyle w:val="StandardWeb"/>
      </w:pPr>
      <w:r>
        <w:t>Formal:</w:t>
      </w:r>
    </w:p>
    <w:p w:rsidR="00EA00D8" w:rsidRDefault="00EA00D8" w:rsidP="00EA00D8">
      <w:pPr>
        <w:pStyle w:val="berschrift1"/>
      </w:pPr>
      <w:r>
        <w:t>[</w:t>
      </w:r>
      <w:r>
        <w:br/>
        <w:t>\Delta\mathfrak A_{3.3.43}</w:t>
      </w:r>
    </w:p>
    <w:p w:rsidR="00EA00D8" w:rsidRDefault="00EA00D8" w:rsidP="00EA00D8">
      <w:pPr>
        <w:pStyle w:val="StandardWeb"/>
      </w:pPr>
      <w:r>
        <w:t>\varnothing.</w:t>
      </w:r>
      <w:r>
        <w:br/>
        <w:t>\tag{3.9544}</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\Delta\mathfrak A_{3.3.43}=\varnothing</w:t>
      </w:r>
    </w:p>
    <w:p w:rsidR="00EA00D8" w:rsidRDefault="00EA00D8" w:rsidP="00EA00D8">
      <w:pPr>
        <w:pStyle w:val="StandardWeb"/>
      </w:pPr>
      <w:r>
        <w:lastRenderedPageBreak/>
        <w:t>Es werden im verbleibenden Abschluss von 3.3.43 keine weiteren Primäraxiome eingeführt.</w:t>
      </w:r>
    </w:p>
    <w:p w:rsidR="00EA00D8" w:rsidRDefault="00E50336" w:rsidP="00EA00D8">
      <w:r>
        <w:pict>
          <v:rect id="_x0000_i2855" style="width:0;height:1.5pt" o:hralign="center" o:hrstd="t" o:hr="t" fillcolor="#a0a0a0" stroked="f"/>
        </w:pict>
      </w:r>
    </w:p>
    <w:p w:rsidR="00EA00D8" w:rsidRDefault="00EA00D8" w:rsidP="00EA00D8">
      <w:pPr>
        <w:pStyle w:val="berschrift1"/>
      </w:pPr>
      <w:r>
        <w:t>3.3.43.692 Übergang zur Gesamtsynthese</w:t>
      </w:r>
    </w:p>
    <w:p w:rsidR="00EA00D8" w:rsidRDefault="00EA00D8" w:rsidP="00EA00D8">
      <w:pPr>
        <w:pStyle w:val="StandardWeb"/>
      </w:pPr>
      <w:r>
        <w:t>Die Kohärenzarchitektur steht nun in der endgültigen Form</w:t>
      </w:r>
    </w:p>
    <w:p w:rsidR="00EA00D8" w:rsidRDefault="00EA00D8" w:rsidP="00EA00D8">
      <w:pPr>
        <w:pStyle w:val="berschrift1"/>
      </w:pPr>
      <w:r>
        <w:t>[</w:t>
      </w:r>
      <w:r>
        <w:br/>
        <w:t>\mathfrak C_{3.3.43}^{\mathrm{final}}</w:t>
      </w:r>
    </w:p>
    <w:p w:rsidR="00EA00D8" w:rsidRDefault="00EA00D8" w:rsidP="00EA00D8">
      <w:pPr>
        <w:pStyle w:val="StandardWeb"/>
      </w:pPr>
      <w:r>
        <w:t>\left(</w:t>
      </w:r>
      <w:r>
        <w:br/>
        <w:t>A_C,</w:t>
      </w:r>
      <w:r>
        <w:br/>
        <w:t>\mathfrak D_C,</w:t>
      </w:r>
      <w:r>
        <w:br/>
        <w:t>\mathfrak M_C,</w:t>
      </w:r>
      <w:r>
        <w:br/>
        <w:t>\mathfrak O_C</w:t>
      </w:r>
      <w:r>
        <w:br/>
        <w:t>\right)</w:t>
      </w:r>
      <w:r>
        <w:br/>
        <w:t>\tag{3.9545}</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C_{3.3.43}^{\mathrm{final}}=\left(A_C,\mathfrak D_C,\mathfrak M_C,\mathfrak O_C\right)</w:t>
      </w:r>
    </w:p>
    <w:p w:rsidR="00EA00D8" w:rsidRDefault="00EA00D8" w:rsidP="00EA00D8">
      <w:pPr>
        <w:pStyle w:val="StandardWeb"/>
      </w:pPr>
      <w:r>
        <w:t>mit</w:t>
      </w:r>
    </w:p>
    <w:p w:rsidR="00EA00D8" w:rsidRDefault="00EA00D8" w:rsidP="00EA00D8">
      <w:pPr>
        <w:pStyle w:val="berschrift1"/>
      </w:pPr>
      <w:r>
        <w:t>[</w:t>
      </w:r>
      <w:r>
        <w:br/>
        <w:t>\mathfrak A_{3.3.43}^{\mathrm{final}}</w:t>
      </w:r>
    </w:p>
    <w:p w:rsidR="00EA00D8" w:rsidRDefault="00EA00D8" w:rsidP="00EA00D8">
      <w:pPr>
        <w:pStyle w:val="StandardWeb"/>
      </w:pPr>
      <w:r>
        <w:t>{A_C}.</w:t>
      </w:r>
      <w:r>
        <w:br/>
        <w:t>\tag{3.9546}</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\mathfrak A_{3.3.43}^{\mathrm{final}}=\{A_C\}</w:t>
      </w:r>
    </w:p>
    <w:p w:rsidR="00EA00D8" w:rsidRDefault="00EA00D8" w:rsidP="00EA00D8">
      <w:pPr>
        <w:pStyle w:val="StandardWeb"/>
      </w:pPr>
      <w:r>
        <w:t xml:space="preserve">Damit kann der nächste Teil die </w:t>
      </w:r>
      <w:r>
        <w:rPr>
          <w:rStyle w:val="Fett"/>
        </w:rPr>
        <w:t>Gesamtsynthese des gesamten Abschnitts 3.3.43</w:t>
      </w:r>
      <w:r>
        <w:t xml:space="preserve"> durchführen.</w:t>
      </w:r>
    </w:p>
    <w:p w:rsidR="00EA00D8" w:rsidRDefault="00E50336" w:rsidP="00EA00D8">
      <w:r>
        <w:pict>
          <v:rect id="_x0000_i2856" style="width:0;height:1.5pt" o:hralign="center" o:hrstd="t" o:hr="t" fillcolor="#a0a0a0" stroked="f"/>
        </w:pict>
      </w:r>
    </w:p>
    <w:p w:rsidR="00EA00D8" w:rsidRDefault="00EA00D8" w:rsidP="00EA00D8">
      <w:pPr>
        <w:pStyle w:val="berschrift1"/>
      </w:pPr>
      <w:r>
        <w:t>3.3.43.693 Status vor dem Abschluss</w:t>
      </w:r>
    </w:p>
    <w:p w:rsidR="00EA00D8" w:rsidRDefault="00EA00D8" w:rsidP="00EA00D8">
      <w:pPr>
        <w:pStyle w:val="StandardWeb"/>
      </w:pPr>
      <w:r>
        <w:t>Ich kennzeichne den Abschnitt daher nun als</w:t>
      </w:r>
    </w:p>
    <w:p w:rsidR="00EA00D8" w:rsidRDefault="00EA00D8" w:rsidP="00EA00D8">
      <w:pPr>
        <w:pStyle w:val="berschrift1"/>
      </w:pPr>
      <w:r>
        <w:lastRenderedPageBreak/>
        <w:t>[</w:t>
      </w:r>
      <w:r>
        <w:br/>
        <w:t>\operatorname{Status}(3.3.43)</w:t>
      </w:r>
    </w:p>
    <w:p w:rsidR="00EA00D8" w:rsidRDefault="00EA00D8" w:rsidP="00EA00D8">
      <w:pPr>
        <w:pStyle w:val="StandardWeb"/>
      </w:pPr>
      <w:r>
        <w:t>\mathrm{formal\ bereinigt}.</w:t>
      </w:r>
      <w:r>
        <w:br/>
        <w:t>\tag{3.9547}</w:t>
      </w:r>
      <w:r>
        <w:br/>
        <w:t>]</w:t>
      </w:r>
    </w:p>
    <w:p w:rsidR="00EA00D8" w:rsidRDefault="00EA00D8" w:rsidP="00EA00D8">
      <w:pPr>
        <w:pStyle w:val="StandardWeb"/>
      </w:pPr>
      <w:r>
        <w:rPr>
          <w:rStyle w:val="Fett"/>
        </w:rPr>
        <w:t>Word-LaTeX</w:t>
      </w:r>
    </w:p>
    <w:p w:rsidR="00EA00D8" w:rsidRDefault="00EA00D8" w:rsidP="00EA00D8">
      <w:pPr>
        <w:pStyle w:val="HTMLVorformatiert"/>
        <w:rPr>
          <w:rStyle w:val="HTMLCode"/>
        </w:rPr>
      </w:pPr>
      <w:r>
        <w:rPr>
          <w:rStyle w:val="HTMLCode"/>
        </w:rPr>
        <w:t>\operatorname{Status}(3.3.43)=\mathrm{formal\ bereinigt}</w:t>
      </w:r>
    </w:p>
    <w:p w:rsidR="00EA00D8" w:rsidRDefault="00EA00D8" w:rsidP="00EA00D8">
      <w:pPr>
        <w:pStyle w:val="StandardWeb"/>
      </w:pPr>
      <w:r>
        <w:t>Der Abschnitt ist damit noch nicht vollständig abgeschlossen, aber seine Definitions-, Modell-, Operationalisierungs- und Primäraxiomstruktur ist axiomatisch bereinigt.</w:t>
      </w:r>
    </w:p>
    <w:p w:rsidR="00EA00D8" w:rsidRDefault="00EA00D8" w:rsidP="00EA00D8">
      <w:pPr>
        <w:pStyle w:val="StandardWeb"/>
      </w:pPr>
      <w:r>
        <w:t xml:space="preserve">Der nächste Teil beginnt bei </w:t>
      </w:r>
      <w:r>
        <w:rPr>
          <w:rStyle w:val="Fett"/>
        </w:rPr>
        <w:t>3.3.43.694 / Gleichung (3.9548)</w:t>
      </w:r>
      <w:r>
        <w:t xml:space="preserve"> mit der </w:t>
      </w:r>
      <w:r>
        <w:rPr>
          <w:rStyle w:val="Fett"/>
        </w:rPr>
        <w:t>Gesamtsynthese von 3.3.43</w:t>
      </w:r>
      <w:r>
        <w:t xml:space="preserve">. Danach folgen – und erst dann – die </w:t>
      </w:r>
      <w:r>
        <w:rPr>
          <w:rStyle w:val="Fett"/>
        </w:rPr>
        <w:t>Methodologischen Betrachtungen</w:t>
      </w:r>
      <w:r>
        <w:t xml:space="preserve">, die </w:t>
      </w:r>
      <w:r>
        <w:rPr>
          <w:rStyle w:val="Fett"/>
        </w:rPr>
        <w:t>Didaktischen Betrachtungen</w:t>
      </w:r>
      <w:r>
        <w:t xml:space="preserve">, die abschließende </w:t>
      </w:r>
      <w:r>
        <w:rPr>
          <w:rStyle w:val="Fett"/>
        </w:rPr>
        <w:t>Eigenleistungsabgrenzung</w:t>
      </w:r>
      <w:r>
        <w:t xml:space="preserve"> und der formale Abschluss des Gesamtabschnitts.</w:t>
      </w:r>
    </w:p>
    <w:p w:rsidR="004D08C2" w:rsidRDefault="004D08C2" w:rsidP="004D08C2">
      <w:pPr>
        <w:pStyle w:val="StandardWeb"/>
        <w:rPr>
          <w:rFonts w:cs="Times New Roman"/>
          <w:bCs w:val="0"/>
        </w:rPr>
      </w:pPr>
      <w:r>
        <w:t xml:space="preserve">Ja. Du hast recht: </w:t>
      </w:r>
      <w:r>
        <w:rPr>
          <w:rStyle w:val="Fett"/>
        </w:rPr>
        <w:t>kein Writing Block, keine ausgelagerte Darstellung. Der Text muss als normaler Chattext erscheinen.</w:t>
      </w:r>
      <w:r>
        <w:t xml:space="preserve"> Ich gebe </w:t>
      </w:r>
      <w:r>
        <w:rPr>
          <w:rStyle w:val="Fett"/>
        </w:rPr>
        <w:t>3.3.43.694 ab Gleichung (3.9548) jetzt direkt im Chat</w:t>
      </w:r>
      <w:r>
        <w:t xml:space="preserve"> aus. Diese Ausgabeform ist bereits dauerhaft gespeichert.</w:t>
      </w:r>
    </w:p>
    <w:p w:rsidR="004D08C2" w:rsidRDefault="004D08C2" w:rsidP="004D08C2">
      <w:pPr>
        <w:pStyle w:val="berschrift1"/>
      </w:pPr>
      <w:r>
        <w:t>3.3.43.694 Gesamtsynthese der funktionalen Kohärenzarchitektur</w:t>
      </w:r>
    </w:p>
    <w:p w:rsidR="004D08C2" w:rsidRDefault="004D08C2" w:rsidP="004D08C2">
      <w:pPr>
        <w:pStyle w:val="StandardWeb"/>
      </w:pPr>
      <w:r>
        <w:t>Nach der vollständigen Prüfung der in Abschnitt 3.3.43 eingeführten Kohärenzstrukturen kann ich die Ergebnisse nun zu einer konsistenten Gesamtarchitektur zusammenführen. Entscheidend ist dabei die zuvor vorgenommene Trennung zwischen Definitionen, abgeleiteten Aussagen, Modellannahmen, Operationalisierungen und Primäraxiomen. Diese Trennung verhindert, dass mathematisch zweckmäßige Konstruktionen nachträglich den Status fundamentaler Voraussetzungen erhalten, obwohl dieser Status weder erforderlich noch begründet ist. [20]</w:t>
      </w:r>
    </w:p>
    <w:p w:rsidR="004D08C2" w:rsidRDefault="004D08C2" w:rsidP="004D08C2">
      <w:pPr>
        <w:pStyle w:val="StandardWeb"/>
      </w:pPr>
      <w:r>
        <w:t>Als Ergebnis der vorangegangenen Minimalitätsprüfung verbleibt genau eine Aussage als Primäraxiom der funktionalen Kohärenz. Ich bezeichne sie weiterhin mit (A_C):</w:t>
      </w:r>
    </w:p>
    <w:p w:rsidR="004D08C2" w:rsidRDefault="004D08C2" w:rsidP="004D08C2">
      <w:pPr>
        <w:pStyle w:val="StandardWeb"/>
      </w:pPr>
      <w:r>
        <w:t>[</w:t>
      </w:r>
      <w:r>
        <w:br/>
        <w:t>\boxed{</w:t>
      </w:r>
      <w:r>
        <w:br/>
        <w:t>A_C=</w:t>
      </w:r>
      <w:r>
        <w:br/>
        <w:t>\exists z\in\Omega_F;</w:t>
      </w:r>
      <w:r>
        <w:br/>
        <w:t>\exists\mathcal S_C\subseteq\mathcal S_F:</w:t>
      </w:r>
      <w:r>
        <w:br/>
        <w:t>R_F(\mathcal S_C)=1</w:t>
      </w:r>
      <w:r>
        <w:br/>
        <w:t>\land</w:t>
      </w:r>
      <w:r>
        <w:br/>
        <w:t>C_F(\mathcal S_C;z)&gt;0</w:t>
      </w:r>
      <w:r>
        <w:br/>
        <w:t>}</w:t>
      </w:r>
      <w:r>
        <w:br/>
        <w:t>\tag{3.9548}</w:t>
      </w:r>
      <w:r>
        <w:br/>
        <w:t>]</w:t>
      </w:r>
    </w:p>
    <w:p w:rsidR="004D08C2" w:rsidRDefault="004D08C2" w:rsidP="004D08C2">
      <w:pPr>
        <w:pStyle w:val="StandardWeb"/>
      </w:pPr>
      <w:r>
        <w:rPr>
          <w:rStyle w:val="Fett"/>
        </w:rPr>
        <w:lastRenderedPageBreak/>
        <w:t>Word-LaTeX</w:t>
      </w:r>
    </w:p>
    <w:p w:rsidR="004D08C2" w:rsidRDefault="004D08C2" w:rsidP="004D08C2">
      <w:pPr>
        <w:pStyle w:val="HTMLVorformatiert"/>
        <w:rPr>
          <w:rStyle w:val="HTMLCode"/>
        </w:rPr>
      </w:pPr>
      <w:r>
        <w:rPr>
          <w:rStyle w:val="HTMLCode"/>
        </w:rPr>
        <w:t>\boxed{A_C=\exists z\in\Omega_F\;\exists\mathcal S_C\subseteq\mathcal S_F:R_F(\mathcal S_C)=1\land C_F(\mathcal S_C;z)&gt;0}</w:t>
      </w:r>
    </w:p>
    <w:p w:rsidR="004D08C2" w:rsidRDefault="004D08C2" w:rsidP="004D08C2">
      <w:pPr>
        <w:pStyle w:val="StandardWeb"/>
      </w:pPr>
      <w:r>
        <w:t>Mit diesem Primäraxiom behaupte ich ausschließlich die Existenz mindestens eines zulässigen Zustandes (z), in dem mindestens eine funktional relevante Teilstruktur (\mathcal S_C) positive funktionale Kohärenz besitzt. Ich lege damit weder eine bestimmte Raumgeometrie noch eine konkrete Zeitstruktur, Feldgleichung, Netzwerkstruktur, Metrik oder Dynamik fest. Diese Zurückhaltung ist wesentlich, weil das Primäraxiom nur jene Voraussetzung enthalten soll, ohne die der in diesem Abschnitt entwickelte Begriff funktionaler Kohärenz seinen theoretischen Gegenstand verlieren würde.</w:t>
      </w:r>
    </w:p>
    <w:p w:rsidR="004D08C2" w:rsidRDefault="004D08C2" w:rsidP="004D08C2">
      <w:pPr>
        <w:pStyle w:val="StandardWeb"/>
      </w:pPr>
      <w:r>
        <w:t>Die endgültige Primäraxiommenge des Kohärenzblocks lautet daher</w:t>
      </w:r>
    </w:p>
    <w:p w:rsidR="004D08C2" w:rsidRDefault="004D08C2" w:rsidP="004D08C2">
      <w:pPr>
        <w:pStyle w:val="berschrift1"/>
      </w:pPr>
      <w:r>
        <w:t>[</w:t>
      </w:r>
      <w:r>
        <w:br/>
        <w:t>\boxed{</w:t>
      </w:r>
      <w:r>
        <w:br/>
        <w:t>\mathfrak A_{3.3.43}^{\mathrm{final}}</w:t>
      </w:r>
    </w:p>
    <w:p w:rsidR="004D08C2" w:rsidRDefault="004D08C2" w:rsidP="004D08C2">
      <w:pPr>
        <w:pStyle w:val="StandardWeb"/>
      </w:pPr>
      <w:r>
        <w:t>{A_C}.</w:t>
      </w:r>
      <w:r>
        <w:br/>
        <w:t>}</w:t>
      </w:r>
      <w:r>
        <w:br/>
        <w:t>\tag{3.9549}</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\boxed{\mathfrak A_{3.3.43}^{\mathrm{final}}=\{A_C\}.}</w:t>
      </w:r>
    </w:p>
    <w:p w:rsidR="004D08C2" w:rsidRDefault="004D08C2" w:rsidP="004D08C2">
      <w:pPr>
        <w:pStyle w:val="StandardWeb"/>
      </w:pPr>
      <w:r>
        <w:t>Damit besitzt die in Abschnitt 3.3.43 entwickelte Kohärenzarchitektur genau ein Primäraxiom:</w:t>
      </w:r>
    </w:p>
    <w:p w:rsidR="004D08C2" w:rsidRDefault="004D08C2" w:rsidP="004D08C2">
      <w:pPr>
        <w:pStyle w:val="berschrift1"/>
      </w:pPr>
      <w:r>
        <w:t>[</w:t>
      </w:r>
      <w:r>
        <w:br/>
        <w:t>\left|</w:t>
      </w:r>
      <w:r>
        <w:br/>
        <w:t>\mathfrak A_{3.3.43}^{\mathrm{final}}</w:t>
      </w:r>
      <w:r>
        <w:br/>
        <w:t>\right|</w:t>
      </w:r>
    </w:p>
    <w:p w:rsidR="004D08C2" w:rsidRDefault="004D08C2" w:rsidP="00152216">
      <w:pPr>
        <w:numPr>
          <w:ilvl w:val="0"/>
          <w:numId w:val="448"/>
        </w:numPr>
        <w:spacing w:before="100" w:beforeAutospacing="1" w:after="100" w:afterAutospacing="1"/>
      </w:pPr>
    </w:p>
    <w:p w:rsidR="004D08C2" w:rsidRDefault="004D08C2" w:rsidP="004D08C2">
      <w:pPr>
        <w:pStyle w:val="StandardWeb"/>
      </w:pPr>
      <w:r>
        <w:t>\tag{3.9550}</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\left|\mathfrak A_{3.3.43}^{\mathrm{final}}\right|=1</w:t>
      </w:r>
    </w:p>
    <w:p w:rsidR="004D08C2" w:rsidRDefault="004D08C2" w:rsidP="004D08C2">
      <w:pPr>
        <w:pStyle w:val="StandardWeb"/>
      </w:pPr>
      <w:r>
        <w:lastRenderedPageBreak/>
        <w:t>Diese geringe Axiomzahl bedeutet nicht, dass die Theorie mathematisch strukturlos wäre. Sie bedeutet vielmehr, dass ich zwischen dem logisch notwendigen Kern und den mathematischen Werkzeugen unterscheide, mit denen dieser Kern anschließend konkretisiert werden kann.</w:t>
      </w:r>
    </w:p>
    <w:p w:rsidR="004D08C2" w:rsidRDefault="00E50336" w:rsidP="004D08C2">
      <w:r>
        <w:pict>
          <v:rect id="_x0000_i2857" style="width:0;height:1.5pt" o:hralign="center" o:hrstd="t" o:hr="t" fillcolor="#a0a0a0" stroked="f"/>
        </w:pict>
      </w:r>
    </w:p>
    <w:p w:rsidR="004D08C2" w:rsidRDefault="004D08C2" w:rsidP="004D08C2">
      <w:pPr>
        <w:pStyle w:val="berschrift1"/>
      </w:pPr>
      <w:r>
        <w:t>3.3.43.695 Vier wissenschaftliche Ebenen der Kohärenzarchitektur</w:t>
      </w:r>
    </w:p>
    <w:p w:rsidR="004D08C2" w:rsidRDefault="004D08C2" w:rsidP="004D08C2">
      <w:pPr>
        <w:pStyle w:val="StandardWeb"/>
      </w:pPr>
      <w:r>
        <w:t>Die vollständige Architektur lässt sich nun in vier wissenschaftlich unterschiedliche Ebenen zerlegen:</w:t>
      </w:r>
    </w:p>
    <w:p w:rsidR="004D08C2" w:rsidRDefault="004D08C2" w:rsidP="004D08C2">
      <w:pPr>
        <w:pStyle w:val="berschrift1"/>
      </w:pPr>
      <w:r>
        <w:t>[</w:t>
      </w:r>
      <w:r>
        <w:br/>
        <w:t>\boxed{</w:t>
      </w:r>
      <w:r>
        <w:br/>
        <w:t>\mathfrak C_{3.3.43}</w:t>
      </w:r>
    </w:p>
    <w:p w:rsidR="004D08C2" w:rsidRDefault="004D08C2" w:rsidP="004D08C2">
      <w:pPr>
        <w:pStyle w:val="StandardWeb"/>
      </w:pPr>
      <w:r>
        <w:t>\left(</w:t>
      </w:r>
      <w:r>
        <w:br/>
        <w:t>\mathfrak A_C,</w:t>
      </w:r>
      <w:r>
        <w:br/>
        <w:t>\mathfrak D_C,</w:t>
      </w:r>
      <w:r>
        <w:br/>
        <w:t>\mathfrak M_C,</w:t>
      </w:r>
      <w:r>
        <w:br/>
        <w:t>\mathfrak O_C</w:t>
      </w:r>
      <w:r>
        <w:br/>
        <w:t>\right).</w:t>
      </w:r>
      <w:r>
        <w:br/>
        <w:t>}</w:t>
      </w:r>
      <w:r>
        <w:br/>
        <w:t>\tag{3.9551}</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\boxed{\mathfrak C_{3.3.43}=\left(\mathfrak A_C,\mathfrak D_C,\mathfrak M_C,\mathfrak O_C\right).}</w:t>
      </w:r>
    </w:p>
    <w:p w:rsidR="004D08C2" w:rsidRDefault="004D08C2" w:rsidP="004D08C2">
      <w:pPr>
        <w:pStyle w:val="StandardWeb"/>
      </w:pPr>
      <w:r>
        <w:t>Dabei bezeichnet</w:t>
      </w:r>
    </w:p>
    <w:p w:rsidR="004D08C2" w:rsidRDefault="004D08C2" w:rsidP="004D08C2">
      <w:pPr>
        <w:pStyle w:val="StandardWeb"/>
      </w:pPr>
      <w:r>
        <w:t>[</w:t>
      </w:r>
      <w:r>
        <w:br/>
        <w:t>\mathfrak A_C</w:t>
      </w:r>
      <w:r>
        <w:br/>
        <w:t>\tag{3.9552}</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\mathfrak A_C</w:t>
      </w:r>
    </w:p>
    <w:p w:rsidR="004D08C2" w:rsidRDefault="004D08C2" w:rsidP="004D08C2">
      <w:pPr>
        <w:pStyle w:val="StandardWeb"/>
      </w:pPr>
      <w:r>
        <w:t>die Menge der Primäraxiome,</w:t>
      </w:r>
    </w:p>
    <w:p w:rsidR="004D08C2" w:rsidRDefault="004D08C2" w:rsidP="004D08C2">
      <w:pPr>
        <w:pStyle w:val="StandardWeb"/>
      </w:pPr>
      <w:r>
        <w:t>[</w:t>
      </w:r>
      <w:r>
        <w:br/>
        <w:t>\mathfrak D_C</w:t>
      </w:r>
      <w:r>
        <w:br/>
      </w:r>
      <w:r>
        <w:lastRenderedPageBreak/>
        <w:t>\tag{3.9553}</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\mathfrak D_C</w:t>
      </w:r>
    </w:p>
    <w:p w:rsidR="004D08C2" w:rsidRDefault="004D08C2" w:rsidP="004D08C2">
      <w:pPr>
        <w:pStyle w:val="StandardWeb"/>
      </w:pPr>
      <w:r>
        <w:t>die Menge der Definitionen und definitorischen Konstruktionen,</w:t>
      </w:r>
    </w:p>
    <w:p w:rsidR="004D08C2" w:rsidRDefault="004D08C2" w:rsidP="004D08C2">
      <w:pPr>
        <w:pStyle w:val="StandardWeb"/>
      </w:pPr>
      <w:r>
        <w:t>[</w:t>
      </w:r>
      <w:r>
        <w:br/>
        <w:t>\mathfrak M_C</w:t>
      </w:r>
      <w:r>
        <w:br/>
        <w:t>\tag{3.9554}</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\mathfrak M_C</w:t>
      </w:r>
    </w:p>
    <w:p w:rsidR="004D08C2" w:rsidRDefault="004D08C2" w:rsidP="004D08C2">
      <w:pPr>
        <w:pStyle w:val="StandardWeb"/>
      </w:pPr>
      <w:r>
        <w:t>die Menge zusätzlicher Modellannahmen und konkreter mathematischer Realisierungen und</w:t>
      </w:r>
    </w:p>
    <w:p w:rsidR="004D08C2" w:rsidRDefault="004D08C2" w:rsidP="004D08C2">
      <w:pPr>
        <w:pStyle w:val="StandardWeb"/>
      </w:pPr>
      <w:r>
        <w:t>[</w:t>
      </w:r>
      <w:r>
        <w:br/>
        <w:t>\mathfrak O_C</w:t>
      </w:r>
      <w:r>
        <w:br/>
        <w:t>\tag{3.9555}</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\mathfrak O_C</w:t>
      </w:r>
    </w:p>
    <w:p w:rsidR="004D08C2" w:rsidRDefault="004D08C2" w:rsidP="004D08C2">
      <w:pPr>
        <w:pStyle w:val="StandardWeb"/>
      </w:pPr>
      <w:r>
        <w:t>die Menge der Operationalisierungen.</w:t>
      </w:r>
    </w:p>
    <w:p w:rsidR="004D08C2" w:rsidRDefault="004D08C2" w:rsidP="004D08C2">
      <w:pPr>
        <w:pStyle w:val="StandardWeb"/>
      </w:pPr>
      <w:r>
        <w:t>Diese vier Ebenen dürfen nicht miteinander identifiziert werden. Eine Definition wird nicht dadurch zum Primäraxiom, dass sie für spätere Rechnungen unverzichtbar ist. Eine Modellannahme wird nicht dadurch zum Primäraxiom, dass sie sich in einem bestimmten Modell als besonders erfolgreich erweist. Ebenso wird eine Operationalisierung nicht dadurch zu einer fundamentalen Eigenschaft des theoretischen Gegenstandes, dass sie empirisch gut messbar ist. [20]</w:t>
      </w:r>
    </w:p>
    <w:p w:rsidR="004D08C2" w:rsidRDefault="00E50336" w:rsidP="004D08C2">
      <w:r>
        <w:pict>
          <v:rect id="_x0000_i2858" style="width:0;height:1.5pt" o:hralign="center" o:hrstd="t" o:hr="t" fillcolor="#a0a0a0" stroked="f"/>
        </w:pict>
      </w:r>
    </w:p>
    <w:p w:rsidR="004D08C2" w:rsidRDefault="004D08C2" w:rsidP="004D08C2">
      <w:pPr>
        <w:pStyle w:val="berschrift1"/>
      </w:pPr>
      <w:r>
        <w:t>3.3.43.696 Die Primäraxiomschicht</w:t>
      </w:r>
    </w:p>
    <w:p w:rsidR="004D08C2" w:rsidRDefault="004D08C2" w:rsidP="004D08C2">
      <w:pPr>
        <w:pStyle w:val="StandardWeb"/>
      </w:pPr>
      <w:r>
        <w:t>Für die Primäraxiomschicht gilt nach der vollständigen Prüfung</w:t>
      </w:r>
    </w:p>
    <w:p w:rsidR="004D08C2" w:rsidRDefault="004D08C2" w:rsidP="004D08C2">
      <w:pPr>
        <w:pStyle w:val="StandardWeb"/>
      </w:pPr>
      <w:r>
        <w:t>[</w:t>
      </w:r>
      <w:r>
        <w:br/>
        <w:t>\boxed{</w:t>
      </w:r>
      <w:r>
        <w:br/>
        <w:t>\mathfrak A_C={A_C}.</w:t>
      </w:r>
      <w:r>
        <w:br/>
        <w:t>}</w:t>
      </w:r>
      <w:r>
        <w:br/>
        <w:t>\tag{3.9556}</w:t>
      </w:r>
      <w:r>
        <w:br/>
        <w:t>]</w:t>
      </w:r>
    </w:p>
    <w:p w:rsidR="004D08C2" w:rsidRDefault="004D08C2" w:rsidP="004D08C2">
      <w:pPr>
        <w:pStyle w:val="StandardWeb"/>
      </w:pPr>
      <w:r>
        <w:rPr>
          <w:rStyle w:val="Fett"/>
        </w:rPr>
        <w:lastRenderedPageBreak/>
        <w:t>Word-LaTeX</w:t>
      </w:r>
    </w:p>
    <w:p w:rsidR="004D08C2" w:rsidRDefault="004D08C2" w:rsidP="004D08C2">
      <w:pPr>
        <w:pStyle w:val="HTMLVorformatiert"/>
        <w:rPr>
          <w:rStyle w:val="HTMLCode"/>
        </w:rPr>
      </w:pPr>
      <w:r>
        <w:rPr>
          <w:rStyle w:val="HTMLCode"/>
        </w:rPr>
        <w:t>\boxed{\mathfrak A_C=\{A_C\}.}</w:t>
      </w:r>
    </w:p>
    <w:p w:rsidR="004D08C2" w:rsidRDefault="004D08C2" w:rsidP="004D08C2">
      <w:pPr>
        <w:pStyle w:val="StandardWeb"/>
      </w:pPr>
      <w:r>
        <w:t>Damit kann ich sämtliche weiteren Kohärenzstrukturen aus der Primäraxiomschicht entfernen, sofern sie entweder definitorisch eingeführt, aus anderen Aussagen abgeleitet, als zusätzliche Modellannahmen ausgewiesen oder ausschließlich zur empirischen Operationalisierung verwendet werden.</w:t>
      </w:r>
    </w:p>
    <w:p w:rsidR="004D08C2" w:rsidRDefault="004D08C2" w:rsidP="004D08C2">
      <w:pPr>
        <w:pStyle w:val="StandardWeb"/>
      </w:pPr>
      <w:r>
        <w:t>Für jedes Objekt</w:t>
      </w:r>
    </w:p>
    <w:p w:rsidR="004D08C2" w:rsidRDefault="004D08C2" w:rsidP="004D08C2">
      <w:pPr>
        <w:pStyle w:val="StandardWeb"/>
      </w:pPr>
      <w:r>
        <w:t>[</w:t>
      </w:r>
      <w:r>
        <w:br/>
        <w:t>X\in</w:t>
      </w:r>
      <w:r>
        <w:br/>
        <w:t>\mathfrak C_{3.3.43}</w:t>
      </w:r>
      <w:r>
        <w:br/>
        <w:t>\setminus</w:t>
      </w:r>
      <w:r>
        <w:br/>
        <w:t>{A_C}</w:t>
      </w:r>
      <w:r>
        <w:br/>
        <w:t>\tag{3.9557}</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X\in\mathfrak C_{3.3.43}\setminus\{A_C\}</w:t>
      </w:r>
    </w:p>
    <w:p w:rsidR="004D08C2" w:rsidRDefault="004D08C2" w:rsidP="004D08C2">
      <w:pPr>
        <w:pStyle w:val="StandardWeb"/>
      </w:pPr>
      <w:r>
        <w:t>muss daher gelten:</w:t>
      </w:r>
    </w:p>
    <w:p w:rsidR="004D08C2" w:rsidRDefault="004D08C2" w:rsidP="004D08C2">
      <w:pPr>
        <w:pStyle w:val="StandardWeb"/>
      </w:pPr>
      <w:r>
        <w:t>[</w:t>
      </w:r>
      <w:r>
        <w:br/>
        <w:t>\operatorname{Stat}_C(X)</w:t>
      </w:r>
      <w:r>
        <w:br/>
        <w:t>\in</w:t>
      </w:r>
      <w:r>
        <w:br/>
        <w:t>{</w:t>
      </w:r>
      <w:r>
        <w:br/>
        <w:t>\mathrm{Def},</w:t>
      </w:r>
      <w:r>
        <w:br/>
        <w:t>\mathrm{Abl},</w:t>
      </w:r>
      <w:r>
        <w:br/>
        <w:t>\mathrm{Mod},</w:t>
      </w:r>
      <w:r>
        <w:br/>
        <w:t>\mathrm{Op}</w:t>
      </w:r>
      <w:r>
        <w:br/>
        <w:t>}.</w:t>
      </w:r>
      <w:r>
        <w:br/>
        <w:t>\tag{3.9558}</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\operatorname{Stat}_C(X)\in\{\mathrm{Def},\mathrm{Abl},\mathrm{Mod},\mathrm{Op}\}</w:t>
      </w:r>
    </w:p>
    <w:p w:rsidR="004D08C2" w:rsidRDefault="004D08C2" w:rsidP="004D08C2">
      <w:pPr>
        <w:pStyle w:val="StandardWeb"/>
      </w:pPr>
      <w:r>
        <w:t>Die bereits geprüfte Bedingung</w:t>
      </w:r>
    </w:p>
    <w:p w:rsidR="004D08C2" w:rsidRDefault="004D08C2" w:rsidP="004D08C2">
      <w:pPr>
        <w:pStyle w:val="StandardWeb"/>
      </w:pPr>
      <w:r>
        <w:t>[</w:t>
      </w:r>
      <w:r>
        <w:br/>
        <w:t>\mathfrak H_C=\varnothing</w:t>
      </w:r>
      <w:r>
        <w:br/>
        <w:t>\tag{3.9559}</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\mathfrak H_C=\varnothing</w:t>
      </w:r>
    </w:p>
    <w:p w:rsidR="004D08C2" w:rsidRDefault="004D08C2" w:rsidP="004D08C2">
      <w:pPr>
        <w:pStyle w:val="StandardWeb"/>
      </w:pPr>
      <w:r>
        <w:lastRenderedPageBreak/>
        <w:t>stellt zusätzlich sicher, dass innerhalb dieser nichtaxiomatischen Ebenen kein weiteres Primäraxiom verborgen bleibt.</w:t>
      </w:r>
    </w:p>
    <w:p w:rsidR="004D08C2" w:rsidRDefault="00E50336" w:rsidP="004D08C2">
      <w:r>
        <w:pict>
          <v:rect id="_x0000_i2859" style="width:0;height:1.5pt" o:hralign="center" o:hrstd="t" o:hr="t" fillcolor="#a0a0a0" stroked="f"/>
        </w:pict>
      </w:r>
    </w:p>
    <w:p w:rsidR="004D08C2" w:rsidRDefault="004D08C2" w:rsidP="004D08C2">
      <w:pPr>
        <w:pStyle w:val="berschrift1"/>
      </w:pPr>
      <w:r>
        <w:t>3.3.43.697 Die definitorische Schicht</w:t>
      </w:r>
    </w:p>
    <w:p w:rsidR="004D08C2" w:rsidRDefault="004D08C2" w:rsidP="004D08C2">
      <w:pPr>
        <w:pStyle w:val="StandardWeb"/>
      </w:pPr>
      <w:r>
        <w:t>Die definitorische Schicht enthält jene Begriffe, Relationen und mathematischen Konstruktionen, mit denen ich den Gegenstandsbereich funktionaler Kohärenz überhaupt beschreibbar mache.</w:t>
      </w:r>
    </w:p>
    <w:p w:rsidR="004D08C2" w:rsidRDefault="004D08C2" w:rsidP="004D08C2">
      <w:pPr>
        <w:pStyle w:val="StandardWeb"/>
      </w:pPr>
      <w:r>
        <w:t>Schematisch fasse ich sie zusammen als</w:t>
      </w:r>
    </w:p>
    <w:p w:rsidR="004D08C2" w:rsidRDefault="004D08C2" w:rsidP="004D08C2">
      <w:pPr>
        <w:pStyle w:val="berschrift1"/>
      </w:pPr>
      <w:r>
        <w:t>[</w:t>
      </w:r>
      <w:r>
        <w:br/>
        <w:t>\mathfrak D_C</w:t>
      </w:r>
    </w:p>
    <w:p w:rsidR="004D08C2" w:rsidRDefault="004D08C2" w:rsidP="004D08C2">
      <w:pPr>
        <w:pStyle w:val="StandardWeb"/>
      </w:pPr>
      <w:r>
        <w:t>\left{</w:t>
      </w:r>
      <w:r>
        <w:br/>
        <w:t>R_F,</w:t>
      </w:r>
      <w:r>
        <w:br/>
        <w:t>\mathcal C,</w:t>
      </w:r>
      <w:r>
        <w:br/>
        <w:t>K_F,</w:t>
      </w:r>
      <w:r>
        <w:br/>
        <w:t>\kappa,</w:t>
      </w:r>
      <w:r>
        <w:br/>
        <w:t>C_F,</w:t>
      </w:r>
      <w:r>
        <w:br/>
        <w:t>\cong_F,</w:t>
      </w:r>
      <w:r>
        <w:br/>
        <w:t>\operatorname{Stat}</w:t>
      </w:r>
      <w:r>
        <w:rPr>
          <w:rStyle w:val="Hervorhebung"/>
        </w:rPr>
        <w:t>C,</w:t>
      </w:r>
      <w:r>
        <w:rPr>
          <w:i/>
          <w:iCs/>
        </w:rPr>
        <w:br/>
      </w:r>
      <w:r>
        <w:rPr>
          <w:rStyle w:val="Hervorhebung"/>
        </w:rPr>
        <w:t>H</w:t>
      </w:r>
      <w:r>
        <w:t>{\mathrm{Ax}},</w:t>
      </w:r>
      <w:r>
        <w:br/>
        <w:t>\operatorname{Conf}_{\mathrm{Stat}},</w:t>
      </w:r>
      <w:r>
        <w:br/>
        <w:t>U_H,</w:t>
      </w:r>
      <w:r>
        <w:br/>
        <w:t>\operatorname{CleanAx},</w:t>
      </w:r>
      <w:r>
        <w:br/>
        <w:t>\ldots</w:t>
      </w:r>
      <w:r>
        <w:br/>
        <w:t>\right}.</w:t>
      </w:r>
      <w:r>
        <w:br/>
        <w:t>\tag{3.9560}</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\mathfrak D_C=\left\{R_F,\mathcal C,K_F,\kappa,C_F,\cong_F,\operatorname{Stat}_C,H_{\mathrm{Ax}},\operatorname{Conf}_{\mathrm{Stat}},U_H,\operatorname{CleanAx},\ldots\right\}</w:t>
      </w:r>
    </w:p>
    <w:p w:rsidR="004D08C2" w:rsidRDefault="004D08C2" w:rsidP="004D08C2">
      <w:pPr>
        <w:pStyle w:val="StandardWeb"/>
      </w:pPr>
      <w:r>
        <w:t>Die Elemente dieser Menge besitzen zunächst definitorischen Status. Insbesondere folgt aus der mathematischen Definition eines Objektes nicht automatisch, dass dieses Objekt in jedem zulässigen FRZK-Modell physikalisch realisiert sein muss.</w:t>
      </w:r>
    </w:p>
    <w:p w:rsidR="004D08C2" w:rsidRDefault="004D08C2" w:rsidP="004D08C2">
      <w:pPr>
        <w:pStyle w:val="StandardWeb"/>
      </w:pPr>
      <w:r>
        <w:t>Die bereits herausgearbeitete Trennung lässt sich deshalb nochmals durch</w:t>
      </w:r>
    </w:p>
    <w:p w:rsidR="004D08C2" w:rsidRDefault="004D08C2" w:rsidP="004D08C2">
      <w:pPr>
        <w:pStyle w:val="StandardWeb"/>
      </w:pPr>
      <w:r>
        <w:t>[</w:t>
      </w:r>
      <w:r>
        <w:br/>
        <w:t>\boxed{</w:t>
      </w:r>
      <w:r>
        <w:br/>
        <w:t>\operatorname{Def}(X)</w:t>
      </w:r>
      <w:r>
        <w:br/>
        <w:t>\nRightarrow</w:t>
      </w:r>
      <w:r>
        <w:br/>
        <w:t>\operatorname{Exist}(X)</w:t>
      </w:r>
      <w:r>
        <w:br/>
      </w:r>
      <w:r>
        <w:lastRenderedPageBreak/>
        <w:t>}</w:t>
      </w:r>
      <w:r>
        <w:br/>
        <w:t>\tag{3.9561}</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\boxed{\operatorname{Def}(X)\nRightarrow\operatorname{Exist}(X)}</w:t>
      </w:r>
    </w:p>
    <w:p w:rsidR="004D08C2" w:rsidRDefault="004D08C2" w:rsidP="004D08C2">
      <w:pPr>
        <w:pStyle w:val="StandardWeb"/>
      </w:pPr>
      <w:r>
        <w:t>festhalten.</w:t>
      </w:r>
    </w:p>
    <w:p w:rsidR="004D08C2" w:rsidRDefault="004D08C2" w:rsidP="004D08C2">
      <w:pPr>
        <w:pStyle w:val="StandardWeb"/>
      </w:pPr>
      <w:r>
        <w:t>Diese Unterscheidung ist für die weitere Entwicklung des FRZK besonders wichtig. Ich kann beispielsweise ein Kohärenzfeld, einen Kohärenzfluss oder einen Kohärenzkern mathematisch definieren, ohne damit bereits behaupten zu müssen, dass die Natur genau diese mathematische Repräsentation realisiert.</w:t>
      </w:r>
    </w:p>
    <w:p w:rsidR="004D08C2" w:rsidRDefault="00E50336" w:rsidP="004D08C2">
      <w:r>
        <w:pict>
          <v:rect id="_x0000_i2860" style="width:0;height:1.5pt" o:hralign="center" o:hrstd="t" o:hr="t" fillcolor="#a0a0a0" stroked="f"/>
        </w:pict>
      </w:r>
    </w:p>
    <w:p w:rsidR="004D08C2" w:rsidRDefault="004D08C2" w:rsidP="004D08C2">
      <w:pPr>
        <w:pStyle w:val="berschrift1"/>
      </w:pPr>
      <w:r>
        <w:t>3.3.43.698 Die modelltheoretische Schicht</w:t>
      </w:r>
    </w:p>
    <w:p w:rsidR="004D08C2" w:rsidRDefault="004D08C2" w:rsidP="004D08C2">
      <w:pPr>
        <w:pStyle w:val="StandardWeb"/>
      </w:pPr>
      <w:r>
        <w:t>Die modelltheoretische Schicht enthält zusätzliche mathematische Strukturen, durch die das minimale Primäraxiom konkretisiert werden kann.</w:t>
      </w:r>
    </w:p>
    <w:p w:rsidR="004D08C2" w:rsidRDefault="004D08C2" w:rsidP="004D08C2">
      <w:pPr>
        <w:pStyle w:val="StandardWeb"/>
      </w:pPr>
      <w:r>
        <w:t>Ich schreibe allgemein</w:t>
      </w:r>
    </w:p>
    <w:p w:rsidR="004D08C2" w:rsidRDefault="004D08C2" w:rsidP="004D08C2">
      <w:pPr>
        <w:pStyle w:val="berschrift1"/>
      </w:pPr>
      <w:r>
        <w:t>[</w:t>
      </w:r>
      <w:r>
        <w:br/>
        <w:t>\mathfrak M_C</w:t>
      </w:r>
    </w:p>
    <w:p w:rsidR="004D08C2" w:rsidRDefault="004D08C2" w:rsidP="004D08C2">
      <w:pPr>
        <w:pStyle w:val="StandardWeb"/>
      </w:pPr>
      <w:r>
        <w:t>\left{</w:t>
      </w:r>
      <w:r>
        <w:br/>
        <w:t>M_{C,1},</w:t>
      </w:r>
      <w:r>
        <w:br/>
        <w:t>M_{C,2},</w:t>
      </w:r>
      <w:r>
        <w:br/>
        <w:t>\ldots,</w:t>
      </w:r>
      <w:r>
        <w:br/>
        <w:t>M_{C,n}</w:t>
      </w:r>
      <w:r>
        <w:br/>
        <w:t>\right}.</w:t>
      </w:r>
      <w:r>
        <w:br/>
        <w:t>\tag{3.9562}</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\mathfrak M_C=\left\{M_{C,1},M_{C,2},\ldots,M_{C,n}\right\}</w:t>
      </w:r>
    </w:p>
    <w:p w:rsidR="004D08C2" w:rsidRDefault="004D08C2" w:rsidP="004D08C2">
      <w:pPr>
        <w:pStyle w:val="StandardWeb"/>
      </w:pPr>
      <w:r>
        <w:t>Jede zusätzliche Modellannahme (M_{C,i}) schränkt die Menge zulässiger Modelle ein:</w:t>
      </w:r>
    </w:p>
    <w:p w:rsidR="004D08C2" w:rsidRDefault="004D08C2" w:rsidP="004D08C2">
      <w:pPr>
        <w:pStyle w:val="berschrift1"/>
      </w:pPr>
      <w:r>
        <w:t>[</w:t>
      </w:r>
      <w:r>
        <w:br/>
        <w:t>\mathfrak M_{\mathrm{FRZK}}^{(M_{C,i})}</w:t>
      </w:r>
    </w:p>
    <w:p w:rsidR="004D08C2" w:rsidRDefault="004D08C2" w:rsidP="004D08C2">
      <w:pPr>
        <w:pStyle w:val="StandardWeb"/>
      </w:pPr>
      <w:r>
        <w:t>\left{</w:t>
      </w:r>
      <w:r>
        <w:br/>
        <w:t>\mathcal M\in\mathfrak M_{\mathrm{FRZK}}</w:t>
      </w:r>
      <w:r>
        <w:br/>
        <w:t>:</w:t>
      </w:r>
      <w:r>
        <w:br/>
      </w:r>
      <w:r>
        <w:lastRenderedPageBreak/>
        <w:t>\mathcal M\models M_{C,i}</w:t>
      </w:r>
      <w:r>
        <w:br/>
        <w:t>\right}.</w:t>
      </w:r>
      <w:r>
        <w:br/>
        <w:t>\tag{3.9563}</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\mathfrak M_{\mathrm{FRZK}}^{(M_{C,i})}=\left\{\mathcal M\in\mathfrak M_{\mathrm{FRZK}}:\mathcal M\models M_{C,i}\right\}</w:t>
      </w:r>
    </w:p>
    <w:p w:rsidR="004D08C2" w:rsidRDefault="004D08C2" w:rsidP="004D08C2">
      <w:pPr>
        <w:pStyle w:val="StandardWeb"/>
      </w:pPr>
      <w:r>
        <w:t>Damit gilt</w:t>
      </w:r>
    </w:p>
    <w:p w:rsidR="004D08C2" w:rsidRDefault="004D08C2" w:rsidP="004D08C2">
      <w:pPr>
        <w:pStyle w:val="StandardWeb"/>
      </w:pPr>
      <w:r>
        <w:t>[</w:t>
      </w:r>
      <w:r>
        <w:br/>
        <w:t>\boxed{</w:t>
      </w:r>
      <w:r>
        <w:br/>
        <w:t>\mathfrak M_{\mathrm{FRZK}}^{(M_{C,i})}</w:t>
      </w:r>
      <w:r>
        <w:br/>
        <w:t>\subseteq</w:t>
      </w:r>
      <w:r>
        <w:br/>
        <w:t>\mathfrak M_{\mathrm{FRZK}}.</w:t>
      </w:r>
      <w:r>
        <w:br/>
        <w:t>}</w:t>
      </w:r>
      <w:r>
        <w:br/>
        <w:t>\tag{3.9564}</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\boxed{\mathfrak M_{\mathrm{FRZK}}^{(M_{C,i})}\subseteq\mathfrak M_{\mathrm{FRZK}}.}</w:t>
      </w:r>
    </w:p>
    <w:p w:rsidR="004D08C2" w:rsidRDefault="004D08C2" w:rsidP="004D08C2">
      <w:pPr>
        <w:pStyle w:val="StandardWeb"/>
      </w:pPr>
      <w:r>
        <w:t>Eine Modellannahme konkretisiert somit die Theorie, ohne den Status eines Primäraxioms erhalten zu müssen.</w:t>
      </w:r>
    </w:p>
    <w:p w:rsidR="004D08C2" w:rsidRDefault="00E50336" w:rsidP="004D08C2">
      <w:r>
        <w:pict>
          <v:rect id="_x0000_i2861" style="width:0;height:1.5pt" o:hralign="center" o:hrstd="t" o:hr="t" fillcolor="#a0a0a0" stroked="f"/>
        </w:pict>
      </w:r>
    </w:p>
    <w:p w:rsidR="004D08C2" w:rsidRDefault="004D08C2" w:rsidP="004D08C2">
      <w:pPr>
        <w:pStyle w:val="berschrift1"/>
      </w:pPr>
      <w:r>
        <w:t>3.3.43.699 Modellpluralität</w:t>
      </w:r>
    </w:p>
    <w:p w:rsidR="004D08C2" w:rsidRDefault="004D08C2" w:rsidP="004D08C2">
      <w:pPr>
        <w:pStyle w:val="StandardWeb"/>
      </w:pPr>
      <w:r>
        <w:t>Die minimale Axiomatik lässt bewusst mehrere mathematische Realisierungen zu. Für das Primäraxiom (A_C) kann daher eine Modellklasse</w:t>
      </w:r>
    </w:p>
    <w:p w:rsidR="004D08C2" w:rsidRDefault="004D08C2" w:rsidP="004D08C2">
      <w:pPr>
        <w:pStyle w:val="berschrift1"/>
      </w:pPr>
      <w:r>
        <w:t>[</w:t>
      </w:r>
      <w:r>
        <w:br/>
        <w:t>\operatorname{Mod}(A_C)</w:t>
      </w:r>
    </w:p>
    <w:p w:rsidR="004D08C2" w:rsidRDefault="004D08C2" w:rsidP="004D08C2">
      <w:pPr>
        <w:pStyle w:val="StandardWeb"/>
      </w:pPr>
      <w:r>
        <w:t>\left{</w:t>
      </w:r>
      <w:r>
        <w:br/>
        <w:t>\mathcal M_1,</w:t>
      </w:r>
      <w:r>
        <w:br/>
        <w:t>\mathcal M_2,</w:t>
      </w:r>
      <w:r>
        <w:br/>
        <w:t>\ldots</w:t>
      </w:r>
      <w:r>
        <w:br/>
        <w:t>\right}</w:t>
      </w:r>
      <w:r>
        <w:br/>
        <w:t>\tag{3.9565}</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\operatorname{Mod}(A_C)=\left\{\mathcal M_1,\mathcal M_2,\ldots\right\}</w:t>
      </w:r>
    </w:p>
    <w:p w:rsidR="004D08C2" w:rsidRDefault="004D08C2" w:rsidP="004D08C2">
      <w:pPr>
        <w:pStyle w:val="StandardWeb"/>
      </w:pPr>
      <w:r>
        <w:lastRenderedPageBreak/>
        <w:t>existieren.</w:t>
      </w:r>
    </w:p>
    <w:p w:rsidR="004D08C2" w:rsidRDefault="004D08C2" w:rsidP="004D08C2">
      <w:pPr>
        <w:pStyle w:val="StandardWeb"/>
      </w:pPr>
      <w:r>
        <w:t>Für jedes zulässige Modell gilt</w:t>
      </w:r>
    </w:p>
    <w:p w:rsidR="004D08C2" w:rsidRDefault="004D08C2" w:rsidP="004D08C2">
      <w:pPr>
        <w:pStyle w:val="StandardWeb"/>
      </w:pPr>
      <w:r>
        <w:t>[</w:t>
      </w:r>
      <w:r>
        <w:br/>
        <w:t>\forall\mathcal M\in\operatorname{Mod}(A_C):</w:t>
      </w:r>
      <w:r>
        <w:br/>
        <w:t>\mathcal M\models A_C.</w:t>
      </w:r>
      <w:r>
        <w:br/>
        <w:t>\tag{3.9566}</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\forall\mathcal M\in\operatorname{Mod}(A_C):\mathcal M\models A_C</w:t>
      </w:r>
    </w:p>
    <w:p w:rsidR="004D08C2" w:rsidRDefault="004D08C2" w:rsidP="004D08C2">
      <w:pPr>
        <w:pStyle w:val="StandardWeb"/>
      </w:pPr>
      <w:r>
        <w:t>Die konkreten mathematischen Repräsentationen können dennoch verschieden sein:</w:t>
      </w:r>
    </w:p>
    <w:p w:rsidR="004D08C2" w:rsidRDefault="004D08C2" w:rsidP="004D08C2">
      <w:pPr>
        <w:pStyle w:val="StandardWeb"/>
      </w:pPr>
      <w:r>
        <w:t>[</w:t>
      </w:r>
      <w:r>
        <w:br/>
        <w:t>\operatorname{Rep}_C(\mathcal M_i)</w:t>
      </w:r>
      <w:r>
        <w:br/>
        <w:t>\neq</w:t>
      </w:r>
      <w:r>
        <w:br/>
        <w:t>\operatorname{Rep}_C(\mathcal M_j),</w:t>
      </w:r>
      <w:r>
        <w:br/>
        <w:t>\qquad</w:t>
      </w:r>
      <w:r>
        <w:br/>
        <w:t>i\neq j.</w:t>
      </w:r>
      <w:r>
        <w:br/>
        <w:t>\tag{3.9567}</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\operatorname{Rep}_C(\mathcal M_i)\neq\operatorname{Rep}_C(\mathcal M_j),\qquad i\neq j</w:t>
      </w:r>
    </w:p>
    <w:p w:rsidR="004D08C2" w:rsidRDefault="004D08C2" w:rsidP="004D08C2">
      <w:pPr>
        <w:pStyle w:val="StandardWeb"/>
      </w:pPr>
      <w:r>
        <w:t>Damit kann dieselbe axiomatische Grundidee beispielsweise relational, graphentheoretisch, operatorentheoretisch oder feldtheoretisch konkretisiert werden, sofern die jeweilige Konstruktion die Anforderungen des Primäraxioms erfüllt.</w:t>
      </w:r>
    </w:p>
    <w:p w:rsidR="004D08C2" w:rsidRDefault="00E50336" w:rsidP="004D08C2">
      <w:r>
        <w:pict>
          <v:rect id="_x0000_i2862" style="width:0;height:1.5pt" o:hralign="center" o:hrstd="t" o:hr="t" fillcolor="#a0a0a0" stroked="f"/>
        </w:pict>
      </w:r>
    </w:p>
    <w:p w:rsidR="004D08C2" w:rsidRDefault="004D08C2" w:rsidP="004D08C2">
      <w:pPr>
        <w:pStyle w:val="berschrift1"/>
      </w:pPr>
      <w:r>
        <w:t>3.3.43.700 Keine axiomatische Bevorzugung einer Repräsentation</w:t>
      </w:r>
    </w:p>
    <w:p w:rsidR="004D08C2" w:rsidRDefault="004D08C2" w:rsidP="004D08C2">
      <w:pPr>
        <w:pStyle w:val="StandardWeb"/>
      </w:pPr>
      <w:r>
        <w:t>Aus (A_C) folgt deshalb insbesondere nicht die Existenz einer ausgezeichneten Repräsentation</w:t>
      </w:r>
    </w:p>
    <w:p w:rsidR="004D08C2" w:rsidRDefault="004D08C2" w:rsidP="004D08C2">
      <w:pPr>
        <w:pStyle w:val="berschrift1"/>
      </w:pPr>
      <w:r>
        <w:t>[</w:t>
      </w:r>
      <w:r>
        <w:br/>
        <w:t>A_C</w:t>
      </w:r>
      <w:r>
        <w:br/>
        <w:t>\nRightarrow</w:t>
      </w:r>
      <w:r>
        <w:br/>
        <w:t>\operatorname{Rep}_C</w:t>
      </w:r>
    </w:p>
    <w:p w:rsidR="004D08C2" w:rsidRDefault="004D08C2" w:rsidP="004D08C2">
      <w:pPr>
        <w:pStyle w:val="StandardWeb"/>
      </w:pPr>
      <w:r>
        <w:lastRenderedPageBreak/>
        <w:t>\operatorname{Rep}_C^\ast.</w:t>
      </w:r>
      <w:r>
        <w:br/>
        <w:t>\tag{3.9568}</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A_C\nRightarrow\operatorname{Rep}_C=\operatorname{Rep}_C^\ast</w:t>
      </w:r>
    </w:p>
    <w:p w:rsidR="004D08C2" w:rsidRDefault="004D08C2" w:rsidP="004D08C2">
      <w:pPr>
        <w:pStyle w:val="StandardWeb"/>
      </w:pPr>
      <w:r>
        <w:t>Damit vermeide ich eine Festlegung, die erst auf einer späteren Modellstufe wissenschaftlich begründet werden kann.</w:t>
      </w:r>
    </w:p>
    <w:p w:rsidR="004D08C2" w:rsidRDefault="004D08C2" w:rsidP="004D08C2">
      <w:pPr>
        <w:pStyle w:val="StandardWeb"/>
      </w:pPr>
      <w:r>
        <w:t>Für ein bestimmtes Modell kann hingegen durchaus gelten</w:t>
      </w:r>
    </w:p>
    <w:p w:rsidR="004D08C2" w:rsidRDefault="004D08C2" w:rsidP="004D08C2">
      <w:pPr>
        <w:pStyle w:val="berschrift1"/>
      </w:pPr>
      <w:r>
        <w:t>[</w:t>
      </w:r>
      <w:r>
        <w:br/>
        <w:t>M_{C,i}</w:t>
      </w:r>
      <w:r>
        <w:br/>
        <w:t>\Rightarrow</w:t>
      </w:r>
      <w:r>
        <w:br/>
        <w:t>\operatorname{Rep}_C</w:t>
      </w:r>
    </w:p>
    <w:p w:rsidR="004D08C2" w:rsidRDefault="004D08C2" w:rsidP="004D08C2">
      <w:pPr>
        <w:pStyle w:val="StandardWeb"/>
      </w:pPr>
      <w:r>
        <w:t>\operatorname{Rep}_{C,i}.</w:t>
      </w:r>
      <w:r>
        <w:br/>
        <w:t>\tag{3.9569}</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M_{C,i}\Rightarrow\operatorname{Rep}_C=\operatorname{Rep}_{C,i}</w:t>
      </w:r>
    </w:p>
    <w:p w:rsidR="004D08C2" w:rsidRDefault="004D08C2" w:rsidP="004D08C2">
      <w:pPr>
        <w:pStyle w:val="StandardWeb"/>
      </w:pPr>
      <w:r>
        <w:t>Die konkrete Repräsentation ist dann eine Eigenschaft des Modells und nicht des Primäraxioms.</w:t>
      </w:r>
    </w:p>
    <w:p w:rsidR="004D08C2" w:rsidRDefault="00E50336" w:rsidP="004D08C2">
      <w:r>
        <w:pict>
          <v:rect id="_x0000_i2863" style="width:0;height:1.5pt" o:hralign="center" o:hrstd="t" o:hr="t" fillcolor="#a0a0a0" stroked="f"/>
        </w:pict>
      </w:r>
    </w:p>
    <w:p w:rsidR="004D08C2" w:rsidRDefault="004D08C2" w:rsidP="004D08C2">
      <w:pPr>
        <w:pStyle w:val="berschrift1"/>
      </w:pPr>
      <w:r>
        <w:t>3.3.43.701 Keine implizite Festlegung einer Raumgeometrie</w:t>
      </w:r>
    </w:p>
    <w:p w:rsidR="004D08C2" w:rsidRDefault="004D08C2" w:rsidP="004D08C2">
      <w:pPr>
        <w:pStyle w:val="StandardWeb"/>
      </w:pPr>
      <w:r>
        <w:t>Das Primäraxiom enthält keine bestimmte Raumgeometrie. Deshalb gilt</w:t>
      </w:r>
    </w:p>
    <w:p w:rsidR="004D08C2" w:rsidRDefault="004D08C2" w:rsidP="004D08C2">
      <w:pPr>
        <w:pStyle w:val="berschrift1"/>
      </w:pPr>
      <w:r>
        <w:t>[</w:t>
      </w:r>
      <w:r>
        <w:br/>
        <w:t>\boxed{</w:t>
      </w:r>
      <w:r>
        <w:br/>
        <w:t>A_C</w:t>
      </w:r>
      <w:r>
        <w:br/>
        <w:t>\nRightarrow</w:t>
      </w:r>
      <w:r>
        <w:br/>
        <w:t>g_{\mu\nu}</w:t>
      </w:r>
    </w:p>
    <w:p w:rsidR="004D08C2" w:rsidRDefault="004D08C2" w:rsidP="004D08C2">
      <w:pPr>
        <w:pStyle w:val="StandardWeb"/>
      </w:pPr>
      <w:r>
        <w:lastRenderedPageBreak/>
        <w:t>g_{\mu\nu}^{\ast}.</w:t>
      </w:r>
      <w:r>
        <w:br/>
        <w:t>}</w:t>
      </w:r>
      <w:r>
        <w:br/>
        <w:t>\tag{3.9570}</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\boxed{A_C\nRightarrow g_{\mu\nu}=g_{\mu\nu}^{\ast}.}</w:t>
      </w:r>
    </w:p>
    <w:p w:rsidR="004D08C2" w:rsidRDefault="004D08C2" w:rsidP="004D08C2">
      <w:pPr>
        <w:pStyle w:val="StandardWeb"/>
      </w:pPr>
      <w:r>
        <w:t>Eine konkrete metrische Struktur müsste durch zusätzliche Voraussetzungen eingeführt oder aus einem weiterentwickelten theoretischen Zusammenhang hergeleitet werden.</w:t>
      </w:r>
    </w:p>
    <w:p w:rsidR="004D08C2" w:rsidRDefault="00E50336" w:rsidP="004D08C2">
      <w:r>
        <w:pict>
          <v:rect id="_x0000_i2864" style="width:0;height:1.5pt" o:hralign="center" o:hrstd="t" o:hr="t" fillcolor="#a0a0a0" stroked="f"/>
        </w:pict>
      </w:r>
    </w:p>
    <w:p w:rsidR="004D08C2" w:rsidRDefault="004D08C2" w:rsidP="004D08C2">
      <w:pPr>
        <w:pStyle w:val="berschrift1"/>
      </w:pPr>
      <w:r>
        <w:t>3.3.43.702 Keine implizite Festlegung einer Zeitstruktur</w:t>
      </w:r>
    </w:p>
    <w:p w:rsidR="004D08C2" w:rsidRDefault="004D08C2" w:rsidP="004D08C2">
      <w:pPr>
        <w:pStyle w:val="StandardWeb"/>
      </w:pPr>
      <w:r>
        <w:t>Ebenso legt (A_C) keine bestimmte Zeitstruktur fest:</w:t>
      </w:r>
    </w:p>
    <w:p w:rsidR="004D08C2" w:rsidRDefault="004D08C2" w:rsidP="004D08C2">
      <w:pPr>
        <w:pStyle w:val="berschrift1"/>
      </w:pPr>
      <w:r>
        <w:t>[</w:t>
      </w:r>
      <w:r>
        <w:br/>
        <w:t>\boxed{</w:t>
      </w:r>
      <w:r>
        <w:br/>
        <w:t>A_C</w:t>
      </w:r>
      <w:r>
        <w:br/>
        <w:t>\nRightarrow</w:t>
      </w:r>
      <w:r>
        <w:br/>
        <w:t>\mathcal T</w:t>
      </w:r>
    </w:p>
    <w:p w:rsidR="004D08C2" w:rsidRDefault="004D08C2" w:rsidP="004D08C2">
      <w:pPr>
        <w:pStyle w:val="StandardWeb"/>
      </w:pPr>
      <w:r>
        <w:t>\mathcal T^\ast.</w:t>
      </w:r>
      <w:r>
        <w:br/>
        <w:t>}</w:t>
      </w:r>
      <w:r>
        <w:br/>
        <w:t>\tag{3.9571}</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\boxed{A_C\nRightarrow\mathcal T=\mathcal T^\ast.}</w:t>
      </w:r>
    </w:p>
    <w:p w:rsidR="004D08C2" w:rsidRDefault="004D08C2" w:rsidP="004D08C2">
      <w:pPr>
        <w:pStyle w:val="StandardWeb"/>
      </w:pPr>
      <w:r>
        <w:t>Damit bleibt zunächst offen, wie Zeit innerhalb eines konkreten FRZK-Modells mathematisch repräsentiert wird.</w:t>
      </w:r>
    </w:p>
    <w:p w:rsidR="004D08C2" w:rsidRDefault="00E50336" w:rsidP="004D08C2">
      <w:r>
        <w:pict>
          <v:rect id="_x0000_i2865" style="width:0;height:1.5pt" o:hralign="center" o:hrstd="t" o:hr="t" fillcolor="#a0a0a0" stroked="f"/>
        </w:pict>
      </w:r>
    </w:p>
    <w:p w:rsidR="004D08C2" w:rsidRDefault="004D08C2" w:rsidP="004D08C2">
      <w:pPr>
        <w:pStyle w:val="berschrift1"/>
      </w:pPr>
      <w:r>
        <w:t>3.3.43.703 Keine Identifikation von Kohärenz und Kausalität</w:t>
      </w:r>
    </w:p>
    <w:p w:rsidR="004D08C2" w:rsidRDefault="004D08C2" w:rsidP="004D08C2">
      <w:pPr>
        <w:pStyle w:val="StandardWeb"/>
      </w:pPr>
      <w:r>
        <w:t>Auch eine bestimmte Kausalstruktur folgt nicht unmittelbar aus funktionaler Kohärenz:</w:t>
      </w:r>
    </w:p>
    <w:p w:rsidR="004D08C2" w:rsidRDefault="004D08C2" w:rsidP="004D08C2">
      <w:pPr>
        <w:pStyle w:val="berschrift1"/>
      </w:pPr>
      <w:r>
        <w:lastRenderedPageBreak/>
        <w:t>[</w:t>
      </w:r>
      <w:r>
        <w:br/>
        <w:t>\boxed{</w:t>
      </w:r>
      <w:r>
        <w:br/>
        <w:t>A_C</w:t>
      </w:r>
      <w:r>
        <w:br/>
        <w:t>\nRightarrow</w:t>
      </w:r>
      <w:r>
        <w:br/>
        <w:t>\mathcal K</w:t>
      </w:r>
    </w:p>
    <w:p w:rsidR="004D08C2" w:rsidRDefault="004D08C2" w:rsidP="004D08C2">
      <w:pPr>
        <w:pStyle w:val="StandardWeb"/>
      </w:pPr>
      <w:r>
        <w:t>\mathcal K^\ast.</w:t>
      </w:r>
      <w:r>
        <w:br/>
        <w:t>}</w:t>
      </w:r>
      <w:r>
        <w:br/>
        <w:t>\tag{3.9572}</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\boxed{A_C\nRightarrow\mathcal K=\mathcal K^\ast.}</w:t>
      </w:r>
    </w:p>
    <w:p w:rsidR="004D08C2" w:rsidRDefault="004D08C2" w:rsidP="004D08C2">
      <w:pPr>
        <w:pStyle w:val="StandardWeb"/>
      </w:pPr>
      <w:r>
        <w:t>Damit unterscheide ich funktionale Kohärenz ausdrücklich von physikalischer Kausalität. Eine kohärente Beziehung zwischen zwei Strukturen ist nicht allein deshalb bereits als kausale Beziehung zu interpretieren.</w:t>
      </w:r>
    </w:p>
    <w:p w:rsidR="004D08C2" w:rsidRDefault="00E50336" w:rsidP="004D08C2">
      <w:r>
        <w:pict>
          <v:rect id="_x0000_i2866" style="width:0;height:1.5pt" o:hralign="center" o:hrstd="t" o:hr="t" fillcolor="#a0a0a0" stroked="f"/>
        </w:pict>
      </w:r>
    </w:p>
    <w:p w:rsidR="004D08C2" w:rsidRDefault="004D08C2" w:rsidP="004D08C2">
      <w:pPr>
        <w:pStyle w:val="berschrift1"/>
      </w:pPr>
      <w:r>
        <w:t>3.3.43.704 Keine notwendige Feldstruktur</w:t>
      </w:r>
    </w:p>
    <w:p w:rsidR="004D08C2" w:rsidRDefault="004D08C2" w:rsidP="004D08C2">
      <w:pPr>
        <w:pStyle w:val="StandardWeb"/>
      </w:pPr>
      <w:r>
        <w:t>Auch die Existenz eines Kohärenzfeldes folgt nicht aus dem Primäraxiom:</w:t>
      </w:r>
    </w:p>
    <w:p w:rsidR="004D08C2" w:rsidRDefault="004D08C2" w:rsidP="004D08C2">
      <w:pPr>
        <w:pStyle w:val="StandardWeb"/>
      </w:pPr>
      <w:r>
        <w:t>[</w:t>
      </w:r>
      <w:r>
        <w:br/>
        <w:t>\boxed{</w:t>
      </w:r>
      <w:r>
        <w:br/>
        <w:t>A_C</w:t>
      </w:r>
      <w:r>
        <w:br/>
        <w:t>\nRightarrow</w:t>
      </w:r>
      <w:r>
        <w:br/>
        <w:t>\exists\mathcal C_F(x,t).</w:t>
      </w:r>
      <w:r>
        <w:br/>
        <w:t>}</w:t>
      </w:r>
      <w:r>
        <w:br/>
        <w:t>\tag{3.9573}</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\boxed{A_C\nRightarrow\exists\mathcal C_F(x,t).}</w:t>
      </w:r>
    </w:p>
    <w:p w:rsidR="004D08C2" w:rsidRDefault="004D08C2" w:rsidP="004D08C2">
      <w:pPr>
        <w:pStyle w:val="StandardWeb"/>
      </w:pPr>
      <w:r>
        <w:t>Eine Feldbeschreibung bleibt eine mögliche mathematische Realisierung innerhalb einer entsprechenden Modellunterklasse.</w:t>
      </w:r>
    </w:p>
    <w:p w:rsidR="004D08C2" w:rsidRDefault="00E50336" w:rsidP="004D08C2">
      <w:r>
        <w:pict>
          <v:rect id="_x0000_i2867" style="width:0;height:1.5pt" o:hralign="center" o:hrstd="t" o:hr="t" fillcolor="#a0a0a0" stroked="f"/>
        </w:pict>
      </w:r>
    </w:p>
    <w:p w:rsidR="004D08C2" w:rsidRDefault="004D08C2" w:rsidP="004D08C2">
      <w:pPr>
        <w:pStyle w:val="berschrift1"/>
      </w:pPr>
      <w:r>
        <w:t>3.3.43.705 Keine notwendige Flussstruktur</w:t>
      </w:r>
    </w:p>
    <w:p w:rsidR="004D08C2" w:rsidRDefault="004D08C2" w:rsidP="004D08C2">
      <w:pPr>
        <w:pStyle w:val="StandardWeb"/>
      </w:pPr>
      <w:r>
        <w:t>Entsprechend gilt</w:t>
      </w:r>
    </w:p>
    <w:p w:rsidR="004D08C2" w:rsidRDefault="004D08C2" w:rsidP="004D08C2">
      <w:pPr>
        <w:pStyle w:val="StandardWeb"/>
      </w:pPr>
      <w:r>
        <w:lastRenderedPageBreak/>
        <w:t>[</w:t>
      </w:r>
      <w:r>
        <w:br/>
        <w:t>\boxed{</w:t>
      </w:r>
      <w:r>
        <w:br/>
        <w:t>A_C</w:t>
      </w:r>
      <w:r>
        <w:br/>
        <w:t>\nRightarrow</w:t>
      </w:r>
      <w:r>
        <w:br/>
        <w:t>\exists\mathbf J_C.</w:t>
      </w:r>
      <w:r>
        <w:br/>
        <w:t>}</w:t>
      </w:r>
      <w:r>
        <w:br/>
        <w:t>\tag{3.9574}</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\boxed{A_C\nRightarrow\exists\mathbf J_C.}</w:t>
      </w:r>
    </w:p>
    <w:p w:rsidR="004D08C2" w:rsidRDefault="004D08C2" w:rsidP="004D08C2">
      <w:pPr>
        <w:pStyle w:val="StandardWeb"/>
      </w:pPr>
      <w:r>
        <w:t>Ein Kohärenzfluss kann sinnvoll definiert und in dynamischen Modellen verwendet werden, wird aber nicht durch das Primäraxiom erzwungen.</w:t>
      </w:r>
    </w:p>
    <w:p w:rsidR="004D08C2" w:rsidRDefault="00E50336" w:rsidP="004D08C2">
      <w:r>
        <w:pict>
          <v:rect id="_x0000_i2868" style="width:0;height:1.5pt" o:hralign="center" o:hrstd="t" o:hr="t" fillcolor="#a0a0a0" stroked="f"/>
        </w:pict>
      </w:r>
    </w:p>
    <w:p w:rsidR="004D08C2" w:rsidRDefault="004D08C2" w:rsidP="004D08C2">
      <w:pPr>
        <w:pStyle w:val="berschrift1"/>
      </w:pPr>
      <w:r>
        <w:t>3.3.43.706 Keine notwendige Bilanzgleichung</w:t>
      </w:r>
    </w:p>
    <w:p w:rsidR="004D08C2" w:rsidRDefault="004D08C2" w:rsidP="004D08C2">
      <w:pPr>
        <w:pStyle w:val="StandardWeb"/>
      </w:pPr>
      <w:r>
        <w:t>Damit folgt insbesondere auch keine universelle Kohärenzbilanz der Form</w:t>
      </w:r>
    </w:p>
    <w:p w:rsidR="004D08C2" w:rsidRDefault="004D08C2" w:rsidP="004D08C2">
      <w:pPr>
        <w:pStyle w:val="berschrift1"/>
      </w:pPr>
      <w:r>
        <w:t>[</w:t>
      </w:r>
      <w:r>
        <w:br/>
        <w:t>A_C</w:t>
      </w:r>
      <w:r>
        <w:br/>
        <w:t>\nRightarrow</w:t>
      </w:r>
      <w:r>
        <w:br/>
        <w:t>\left(</w:t>
      </w:r>
      <w:r>
        <w:br/>
        <w:t>\frac{\partial C}{\partial t}</w:t>
      </w:r>
      <w:r>
        <w:br/>
        <w:t>+</w:t>
      </w:r>
      <w:r>
        <w:br/>
        <w:t>\nabla\cdot\mathbf J_C</w:t>
      </w:r>
    </w:p>
    <w:p w:rsidR="004D08C2" w:rsidRDefault="004D08C2" w:rsidP="004D08C2">
      <w:pPr>
        <w:pStyle w:val="StandardWeb"/>
      </w:pPr>
      <w:r>
        <w:t>S_C</w:t>
      </w:r>
      <w:r>
        <w:br/>
        <w:t>\right).</w:t>
      </w:r>
      <w:r>
        <w:br/>
        <w:t>\tag{3.9575}</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A_C\nRightarrow\left(\frac{\partial C}{\partial t}+\nabla\cdot\mathbf J_C=S_C\right)</w:t>
      </w:r>
    </w:p>
    <w:p w:rsidR="004D08C2" w:rsidRDefault="004D08C2" w:rsidP="004D08C2">
      <w:pPr>
        <w:pStyle w:val="StandardWeb"/>
      </w:pPr>
      <w:r>
        <w:t>Eine solche Gleichung kann innerhalb eines geeigneten Modells eingeführt werden, ist jedoch kein Bestandteil der minimalen FRZK-Kohärenzaxiomatik.</w:t>
      </w:r>
    </w:p>
    <w:p w:rsidR="004D08C2" w:rsidRDefault="00E50336" w:rsidP="004D08C2">
      <w:r>
        <w:pict>
          <v:rect id="_x0000_i2869" style="width:0;height:1.5pt" o:hralign="center" o:hrstd="t" o:hr="t" fillcolor="#a0a0a0" stroked="f"/>
        </w:pict>
      </w:r>
    </w:p>
    <w:p w:rsidR="004D08C2" w:rsidRDefault="004D08C2" w:rsidP="004D08C2">
      <w:pPr>
        <w:pStyle w:val="berschrift1"/>
      </w:pPr>
      <w:r>
        <w:t>3.3.43.707 Keine notwendige Kohärenzdynamik</w:t>
      </w:r>
    </w:p>
    <w:p w:rsidR="004D08C2" w:rsidRDefault="004D08C2" w:rsidP="004D08C2">
      <w:pPr>
        <w:pStyle w:val="StandardWeb"/>
      </w:pPr>
      <w:r>
        <w:lastRenderedPageBreak/>
        <w:t>Dasselbe gilt für eine konkrete Evolutionsgleichung:</w:t>
      </w:r>
    </w:p>
    <w:p w:rsidR="004D08C2" w:rsidRDefault="004D08C2" w:rsidP="004D08C2">
      <w:pPr>
        <w:pStyle w:val="berschrift1"/>
      </w:pPr>
      <w:r>
        <w:t>[</w:t>
      </w:r>
      <w:r>
        <w:br/>
        <w:t>\boxed{</w:t>
      </w:r>
      <w:r>
        <w:br/>
        <w:t>A_C</w:t>
      </w:r>
      <w:r>
        <w:br/>
        <w:t>\nRightarrow</w:t>
      </w:r>
      <w:r>
        <w:br/>
        <w:t>\frac{\mathrm d C_F}{\mathrm dt}</w:t>
      </w:r>
    </w:p>
    <w:p w:rsidR="004D08C2" w:rsidRDefault="004D08C2" w:rsidP="004D08C2">
      <w:pPr>
        <w:pStyle w:val="StandardWeb"/>
      </w:pPr>
      <w:r>
        <w:t>\Phi_C(C_F,z,t).</w:t>
      </w:r>
      <w:r>
        <w:br/>
        <w:t>}</w:t>
      </w:r>
      <w:r>
        <w:br/>
        <w:t>\tag{3.9576}</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\boxed{A_C\nRightarrow\frac{\mathrm d C_F}{\mathrm dt}=\Phi_C(C_F,z,t).}</w:t>
      </w:r>
    </w:p>
    <w:p w:rsidR="004D08C2" w:rsidRDefault="004D08C2" w:rsidP="004D08C2">
      <w:pPr>
        <w:pStyle w:val="StandardWeb"/>
      </w:pPr>
      <w:r>
        <w:t>Damit bleibt die Dynamik der funktionalen Kohärenz Gegenstand einer späteren Modellbildung.</w:t>
      </w:r>
    </w:p>
    <w:p w:rsidR="004D08C2" w:rsidRDefault="00E50336" w:rsidP="004D08C2">
      <w:r>
        <w:pict>
          <v:rect id="_x0000_i2870" style="width:0;height:1.5pt" o:hralign="center" o:hrstd="t" o:hr="t" fillcolor="#a0a0a0" stroked="f"/>
        </w:pict>
      </w:r>
    </w:p>
    <w:p w:rsidR="004D08C2" w:rsidRDefault="004D08C2" w:rsidP="004D08C2">
      <w:pPr>
        <w:pStyle w:val="berschrift1"/>
      </w:pPr>
      <w:r>
        <w:t>3.3.43.708 Keine notwendige Propagationsgeschwindigkeit</w:t>
      </w:r>
    </w:p>
    <w:p w:rsidR="004D08C2" w:rsidRDefault="004D08C2" w:rsidP="004D08C2">
      <w:pPr>
        <w:pStyle w:val="StandardWeb"/>
      </w:pPr>
      <w:r>
        <w:t>Aus demselben Grund darf ich dem Kohärenzbegriff auf der axiomatischen Ebene keine bestimmte Ausbreitungsgeschwindigkeit zuschreiben.</w:t>
      </w:r>
    </w:p>
    <w:p w:rsidR="004D08C2" w:rsidRDefault="004D08C2" w:rsidP="004D08C2">
      <w:pPr>
        <w:pStyle w:val="StandardWeb"/>
      </w:pPr>
      <w:r>
        <w:t>Insbesondere gilt</w:t>
      </w:r>
    </w:p>
    <w:p w:rsidR="004D08C2" w:rsidRDefault="004D08C2" w:rsidP="004D08C2">
      <w:pPr>
        <w:pStyle w:val="StandardWeb"/>
      </w:pPr>
      <w:r>
        <w:t>[</w:t>
      </w:r>
      <w:r>
        <w:br/>
        <w:t>A_C</w:t>
      </w:r>
      <w:r>
        <w:br/>
        <w:t>\nRightarrow</w:t>
      </w:r>
      <w:r>
        <w:br/>
        <w:t>v_C=c.</w:t>
      </w:r>
      <w:r>
        <w:br/>
        <w:t>\tag{3.9577}</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A_C\nRightarrow v_C=c</w:t>
      </w:r>
    </w:p>
    <w:p w:rsidR="004D08C2" w:rsidRDefault="004D08C2" w:rsidP="004D08C2">
      <w:pPr>
        <w:pStyle w:val="StandardWeb"/>
      </w:pPr>
      <w:r>
        <w:t>Die Lichtgeschwindigkeit (c) besitzt innerhalb der Relativitätstheorie eine spezifische physikalische Bedeutung; daraus folgt nicht, dass eine erst im FRZK definierte Kohärenzgröße ohne zusätzliche physikalische Herleitung dieselbe Propagationsstruktur besitzen muss. [35]</w:t>
      </w:r>
    </w:p>
    <w:p w:rsidR="004D08C2" w:rsidRDefault="004D08C2" w:rsidP="004D08C2">
      <w:pPr>
        <w:pStyle w:val="StandardWeb"/>
      </w:pPr>
      <w:r>
        <w:t>Allgemeiner gilt daher</w:t>
      </w:r>
    </w:p>
    <w:p w:rsidR="004D08C2" w:rsidRDefault="004D08C2" w:rsidP="004D08C2">
      <w:pPr>
        <w:pStyle w:val="StandardWeb"/>
      </w:pPr>
      <w:r>
        <w:lastRenderedPageBreak/>
        <w:t>[</w:t>
      </w:r>
      <w:r>
        <w:br/>
        <w:t>A_C</w:t>
      </w:r>
      <w:r>
        <w:br/>
        <w:t>\nRightarrow</w:t>
      </w:r>
      <w:r>
        <w:br/>
        <w:t>v_C=v_C^\ast.</w:t>
      </w:r>
      <w:r>
        <w:br/>
        <w:t>\tag{3.9578}</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A_C\nRightarrow v_C=v_C^\ast</w:t>
      </w:r>
    </w:p>
    <w:p w:rsidR="004D08C2" w:rsidRDefault="004D08C2" w:rsidP="004D08C2">
      <w:pPr>
        <w:pStyle w:val="StandardWeb"/>
      </w:pPr>
      <w:r>
        <w:t>Eine mögliche Kohärenzpropagation muss erst innerhalb eines konkreten dynamischen Modells definiert und anschließend physikalisch begründet werden.</w:t>
      </w:r>
    </w:p>
    <w:p w:rsidR="004D08C2" w:rsidRDefault="00E50336" w:rsidP="004D08C2">
      <w:r>
        <w:pict>
          <v:rect id="_x0000_i2871" style="width:0;height:1.5pt" o:hralign="center" o:hrstd="t" o:hr="t" fillcolor="#a0a0a0" stroked="f"/>
        </w:pict>
      </w:r>
    </w:p>
    <w:p w:rsidR="004D08C2" w:rsidRDefault="004D08C2" w:rsidP="004D08C2">
      <w:pPr>
        <w:pStyle w:val="berschrift1"/>
      </w:pPr>
      <w:r>
        <w:t>3.3.43.709 Die Operationalisierungsschicht</w:t>
      </w:r>
    </w:p>
    <w:p w:rsidR="004D08C2" w:rsidRDefault="004D08C2" w:rsidP="004D08C2">
      <w:pPr>
        <w:pStyle w:val="StandardWeb"/>
      </w:pPr>
      <w:r>
        <w:t>Von den Modellannahmen unterscheide ich schließlich die Operationalisierung. Sie stellt die Verbindung zwischen theoretischen Konstruktionen und empirischen Daten her.</w:t>
      </w:r>
    </w:p>
    <w:p w:rsidR="004D08C2" w:rsidRDefault="004D08C2" w:rsidP="004D08C2">
      <w:pPr>
        <w:pStyle w:val="StandardWeb"/>
      </w:pPr>
      <w:r>
        <w:t>Allgemein schreibe ich</w:t>
      </w:r>
    </w:p>
    <w:p w:rsidR="004D08C2" w:rsidRDefault="004D08C2" w:rsidP="004D08C2">
      <w:pPr>
        <w:pStyle w:val="StandardWeb"/>
      </w:pPr>
      <w:r>
        <w:t>[</w:t>
      </w:r>
      <w:r>
        <w:br/>
        <w:t>\mathcal O_C:</w:t>
      </w:r>
      <w:r>
        <w:br/>
        <w:t>\mathfrak T_C</w:t>
      </w:r>
      <w:r>
        <w:br/>
        <w:t>\longrightarrow</w:t>
      </w:r>
      <w:r>
        <w:br/>
        <w:t>\mathfrak D_{\mathrm{emp}}.</w:t>
      </w:r>
      <w:r>
        <w:br/>
        <w:t>\tag{3.9579}</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\mathcal O_C:\mathfrak T_C\longrightarrow\mathfrak D_{\mathrm{emp}}</w:t>
      </w:r>
    </w:p>
    <w:p w:rsidR="004D08C2" w:rsidRDefault="004D08C2" w:rsidP="004D08C2">
      <w:pPr>
        <w:pStyle w:val="StandardWeb"/>
      </w:pPr>
      <w:r>
        <w:t>Eine konkrete Operationalisierung kann beispielsweise eine theoretische Kohärenzgröße auf einen Mess- oder Schätzwert abbilden:</w:t>
      </w:r>
    </w:p>
    <w:p w:rsidR="004D08C2" w:rsidRDefault="004D08C2" w:rsidP="004D08C2">
      <w:pPr>
        <w:pStyle w:val="StandardWeb"/>
      </w:pPr>
      <w:r>
        <w:t>[</w:t>
      </w:r>
      <w:r>
        <w:br/>
        <w:t>C_F</w:t>
      </w:r>
      <w:r>
        <w:br/>
        <w:t>\mapsto</w:t>
      </w:r>
      <w:r>
        <w:br/>
        <w:t>\widehat C_F.</w:t>
      </w:r>
      <w:r>
        <w:br/>
        <w:t>\tag{3.9580}</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C_F\mapsto\widehat C_F</w:t>
      </w:r>
    </w:p>
    <w:p w:rsidR="004D08C2" w:rsidRDefault="004D08C2" w:rsidP="004D08C2">
      <w:pPr>
        <w:pStyle w:val="StandardWeb"/>
      </w:pPr>
      <w:r>
        <w:t>Dabei muss zwischen theoretischer Größe und empirischem Schätzer unterschieden werden:</w:t>
      </w:r>
    </w:p>
    <w:p w:rsidR="004D08C2" w:rsidRDefault="004D08C2" w:rsidP="004D08C2">
      <w:pPr>
        <w:pStyle w:val="StandardWeb"/>
      </w:pPr>
      <w:r>
        <w:lastRenderedPageBreak/>
        <w:t>[</w:t>
      </w:r>
      <w:r>
        <w:br/>
        <w:t>\boxed{</w:t>
      </w:r>
      <w:r>
        <w:br/>
        <w:t>C_F\neq\widehat C_F.</w:t>
      </w:r>
      <w:r>
        <w:br/>
        <w:t>}</w:t>
      </w:r>
      <w:r>
        <w:br/>
        <w:t>\tag{3.9581}</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\boxed{C_F\neq\widehat C_F.}</w:t>
      </w:r>
    </w:p>
    <w:p w:rsidR="004D08C2" w:rsidRDefault="004D08C2" w:rsidP="004D08C2">
      <w:pPr>
        <w:pStyle w:val="StandardWeb"/>
      </w:pPr>
      <w:r>
        <w:t>Der empirische Schätzer repräsentiert die theoretische Größe unter den Bedingungen einer bestimmten Operationalisierung. Er ist nicht mit ihr identisch.</w:t>
      </w:r>
    </w:p>
    <w:p w:rsidR="004D08C2" w:rsidRDefault="00E50336" w:rsidP="004D08C2">
      <w:r>
        <w:pict>
          <v:rect id="_x0000_i2872" style="width:0;height:1.5pt" o:hralign="center" o:hrstd="t" o:hr="t" fillcolor="#a0a0a0" stroked="f"/>
        </w:pict>
      </w:r>
    </w:p>
    <w:p w:rsidR="004D08C2" w:rsidRDefault="004D08C2" w:rsidP="004D08C2">
      <w:pPr>
        <w:pStyle w:val="berschrift1"/>
      </w:pPr>
      <w:r>
        <w:t>3.3.43.710 Logische Entwicklungsrichtung</w:t>
      </w:r>
    </w:p>
    <w:p w:rsidR="004D08C2" w:rsidRDefault="004D08C2" w:rsidP="004D08C2">
      <w:pPr>
        <w:pStyle w:val="StandardWeb"/>
      </w:pPr>
      <w:r>
        <w:t>Aus der endgültigen Statusstruktur ergibt sich für den systematischen Theorieaufbau die Richtung</w:t>
      </w:r>
    </w:p>
    <w:p w:rsidR="004D08C2" w:rsidRDefault="004D08C2" w:rsidP="004D08C2">
      <w:pPr>
        <w:pStyle w:val="StandardWeb"/>
      </w:pPr>
      <w:r>
        <w:t>[</w:t>
      </w:r>
      <w:r>
        <w:br/>
        <w:t>\boxed{</w:t>
      </w:r>
      <w:r>
        <w:br/>
        <w:t>\mathfrak D_C</w:t>
      </w:r>
      <w:r>
        <w:br/>
        <w:t>\rightarrow</w:t>
      </w:r>
      <w:r>
        <w:br/>
        <w:t>\mathfrak A_C</w:t>
      </w:r>
      <w:r>
        <w:br/>
        <w:t>\rightarrow</w:t>
      </w:r>
      <w:r>
        <w:br/>
        <w:t>\mathfrak M_C</w:t>
      </w:r>
      <w:r>
        <w:br/>
        <w:t>\rightarrow</w:t>
      </w:r>
      <w:r>
        <w:br/>
        <w:t>\mathfrak O_C</w:t>
      </w:r>
      <w:r>
        <w:br/>
        <w:t>\rightarrow</w:t>
      </w:r>
      <w:r>
        <w:br/>
        <w:t>\mathfrak D_{\mathrm{emp}}.</w:t>
      </w:r>
      <w:r>
        <w:br/>
        <w:t>}</w:t>
      </w:r>
      <w:r>
        <w:br/>
        <w:t>\tag{3.9582}</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\boxed{\mathfrak D_C\rightarrow\mathfrak A_C\rightarrow\mathfrak M_C\rightarrow\mathfrak O_C\rightarrow\mathfrak D_{\mathrm{emp}}.}</w:t>
      </w:r>
    </w:p>
    <w:p w:rsidR="004D08C2" w:rsidRDefault="004D08C2" w:rsidP="004D08C2">
      <w:pPr>
        <w:pStyle w:val="StandardWeb"/>
      </w:pPr>
      <w:r>
        <w:t>Zunächst müssen die verwendeten Begriffe bestimmt sein. Anschließend wird der minimale axiomatische Kern festgelegt. Erst danach werden konkrete Modelle entwickelt und schließlich empirische Operationalisierungen definiert.</w:t>
      </w:r>
    </w:p>
    <w:p w:rsidR="004D08C2" w:rsidRDefault="00E50336" w:rsidP="004D08C2">
      <w:r>
        <w:pict>
          <v:rect id="_x0000_i2873" style="width:0;height:1.5pt" o:hralign="center" o:hrstd="t" o:hr="t" fillcolor="#a0a0a0" stroked="f"/>
        </w:pict>
      </w:r>
    </w:p>
    <w:p w:rsidR="004D08C2" w:rsidRDefault="004D08C2" w:rsidP="004D08C2">
      <w:pPr>
        <w:pStyle w:val="berschrift1"/>
      </w:pPr>
      <w:r>
        <w:t>3.3.43.711 Epistemische Rückprüfrichtung</w:t>
      </w:r>
    </w:p>
    <w:p w:rsidR="004D08C2" w:rsidRDefault="004D08C2" w:rsidP="004D08C2">
      <w:pPr>
        <w:pStyle w:val="StandardWeb"/>
      </w:pPr>
      <w:r>
        <w:t>Die wissenschaftliche Prüfung konkreter Aussagen verläuft dagegen grundsätzlich von der empirischen Seite zurück:</w:t>
      </w:r>
    </w:p>
    <w:p w:rsidR="004D08C2" w:rsidRDefault="004D08C2" w:rsidP="004D08C2">
      <w:pPr>
        <w:pStyle w:val="StandardWeb"/>
      </w:pPr>
      <w:r>
        <w:lastRenderedPageBreak/>
        <w:t>[</w:t>
      </w:r>
      <w:r>
        <w:br/>
        <w:t>\boxed{</w:t>
      </w:r>
      <w:r>
        <w:br/>
        <w:t>\mathfrak D_{\mathrm{emp}}</w:t>
      </w:r>
      <w:r>
        <w:br/>
        <w:t>\rightarrow</w:t>
      </w:r>
      <w:r>
        <w:br/>
        <w:t>\mathfrak O_C</w:t>
      </w:r>
      <w:r>
        <w:br/>
        <w:t>\rightarrow</w:t>
      </w:r>
      <w:r>
        <w:br/>
        <w:t>\mathfrak M_C</w:t>
      </w:r>
      <w:r>
        <w:br/>
        <w:t>\rightarrow</w:t>
      </w:r>
      <w:r>
        <w:br/>
        <w:t>\mathfrak A_C.</w:t>
      </w:r>
      <w:r>
        <w:br/>
        <w:t>}</w:t>
      </w:r>
      <w:r>
        <w:br/>
        <w:t>\tag{3.9583}</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\boxed{\mathfrak D_{\mathrm{emp}}\rightarrow\mathfrak O_C\rightarrow\mathfrak M_C\rightarrow\mathfrak A_C.}</w:t>
      </w:r>
    </w:p>
    <w:p w:rsidR="004D08C2" w:rsidRDefault="004D08C2" w:rsidP="004D08C2">
      <w:pPr>
        <w:pStyle w:val="StandardWeb"/>
      </w:pPr>
      <w:r>
        <w:t>Eine Abweichung zwischen theoretischer Vorhersage und Beobachtung betrifft daher nicht automatisch das Primäraxiom.</w:t>
      </w:r>
    </w:p>
    <w:p w:rsidR="004D08C2" w:rsidRDefault="00E50336" w:rsidP="004D08C2">
      <w:r>
        <w:pict>
          <v:rect id="_x0000_i2874" style="width:0;height:1.5pt" o:hralign="center" o:hrstd="t" o:hr="t" fillcolor="#a0a0a0" stroked="f"/>
        </w:pict>
      </w:r>
    </w:p>
    <w:p w:rsidR="004D08C2" w:rsidRDefault="004D08C2" w:rsidP="004D08C2">
      <w:pPr>
        <w:pStyle w:val="berschrift1"/>
      </w:pPr>
      <w:r>
        <w:t>3.3.43.712 Hierarchie der wissenschaftlichen Fehlerprüfung</w:t>
      </w:r>
    </w:p>
    <w:p w:rsidR="004D08C2" w:rsidRDefault="004D08C2" w:rsidP="004D08C2">
      <w:pPr>
        <w:pStyle w:val="StandardWeb"/>
      </w:pPr>
      <w:r>
        <w:t>Bei einer empirischen Abweichung unterscheide ich mindestens vier mögliche Ebenen:</w:t>
      </w:r>
    </w:p>
    <w:p w:rsidR="004D08C2" w:rsidRDefault="004D08C2" w:rsidP="004D08C2">
      <w:pPr>
        <w:pStyle w:val="StandardWeb"/>
      </w:pPr>
      <w:r>
        <w:t>[</w:t>
      </w:r>
      <w:r>
        <w:br/>
        <w:t>E_{\mathrm{obs}},</w:t>
      </w:r>
      <w:r>
        <w:br/>
        <w:t>\quad</w:t>
      </w:r>
      <w:r>
        <w:br/>
        <w:t>E_{\mathrm{op}},</w:t>
      </w:r>
      <w:r>
        <w:br/>
        <w:t>\quad</w:t>
      </w:r>
      <w:r>
        <w:br/>
        <w:t>E_{\mathrm{mod}},</w:t>
      </w:r>
      <w:r>
        <w:br/>
        <w:t>\quad</w:t>
      </w:r>
      <w:r>
        <w:br/>
        <w:t>E_{\mathrm{ax}}.</w:t>
      </w:r>
      <w:r>
        <w:br/>
        <w:t>\tag{3.9584}</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E_{\mathrm{obs}},\quad E_{\mathrm{op}},\quad E_{\mathrm{mod}},\quad E_{\mathrm{ax}}</w:t>
      </w:r>
    </w:p>
    <w:p w:rsidR="004D08C2" w:rsidRDefault="004D08C2" w:rsidP="004D08C2">
      <w:pPr>
        <w:pStyle w:val="StandardWeb"/>
      </w:pPr>
      <w:r>
        <w:t>Sie stehen für Beobachtungs- beziehungsweise Datenprobleme, Operationalisierungsprobleme, Modellprobleme und Axiomprobleme.</w:t>
      </w:r>
    </w:p>
    <w:p w:rsidR="004D08C2" w:rsidRDefault="004D08C2" w:rsidP="004D08C2">
      <w:pPr>
        <w:pStyle w:val="StandardWeb"/>
      </w:pPr>
      <w:r>
        <w:t>Die Prüfreihenfolge lautet</w:t>
      </w:r>
    </w:p>
    <w:p w:rsidR="004D08C2" w:rsidRDefault="004D08C2" w:rsidP="004D08C2">
      <w:pPr>
        <w:pStyle w:val="StandardWeb"/>
      </w:pPr>
      <w:r>
        <w:t>[</w:t>
      </w:r>
      <w:r>
        <w:br/>
        <w:t>E_{\mathrm{obs}}</w:t>
      </w:r>
      <w:r>
        <w:br/>
      </w:r>
      <w:r>
        <w:lastRenderedPageBreak/>
        <w:t>\rightarrow</w:t>
      </w:r>
      <w:r>
        <w:br/>
        <w:t>E_{\mathrm{op}}</w:t>
      </w:r>
      <w:r>
        <w:br/>
        <w:t>\rightarrow</w:t>
      </w:r>
      <w:r>
        <w:br/>
        <w:t>E_{\mathrm{mod}}</w:t>
      </w:r>
      <w:r>
        <w:br/>
        <w:t>\rightarrow</w:t>
      </w:r>
      <w:r>
        <w:br/>
        <w:t>E_{\mathrm{ax}}.</w:t>
      </w:r>
      <w:r>
        <w:br/>
        <w:t>\tag{3.9585}</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E_{\mathrm{obs}}\rightarrow E_{\mathrm{op}}\rightarrow E_{\mathrm{mod}}\rightarrow E_{\mathrm{ax}}</w:t>
      </w:r>
    </w:p>
    <w:p w:rsidR="004D08C2" w:rsidRDefault="004D08C2" w:rsidP="004D08C2">
      <w:pPr>
        <w:pStyle w:val="StandardWeb"/>
      </w:pPr>
      <w:r>
        <w:t>Damit verhindere ich, dass das Scheitern einer speziellen Messmethode oder eines konkreten Modells unmittelbar als Scheitern der gesamten axiomatischen Grundlage interpretiert wird.</w:t>
      </w:r>
    </w:p>
    <w:p w:rsidR="004D08C2" w:rsidRDefault="00E50336" w:rsidP="004D08C2">
      <w:r>
        <w:pict>
          <v:rect id="_x0000_i2875" style="width:0;height:1.5pt" o:hralign="center" o:hrstd="t" o:hr="t" fillcolor="#a0a0a0" stroked="f"/>
        </w:pict>
      </w:r>
    </w:p>
    <w:p w:rsidR="004D08C2" w:rsidRDefault="004D08C2" w:rsidP="004D08C2">
      <w:pPr>
        <w:pStyle w:val="berschrift1"/>
      </w:pPr>
      <w:r>
        <w:t>3.3.43.713 Keine Immunisierung des Primäraxioms</w:t>
      </w:r>
    </w:p>
    <w:p w:rsidR="004D08C2" w:rsidRDefault="004D08C2" w:rsidP="004D08C2">
      <w:pPr>
        <w:pStyle w:val="StandardWeb"/>
      </w:pPr>
      <w:r>
        <w:t>Die Trennung dieser Ebenen darf jedoch nicht dazu führen, das Primäraxiom prinzipiell gegen Revision abzuschirmen. Auch ein Primäraxiom bleibt innerhalb einer wissenschaftlichen Theorie grundsätzlich revisionsfähig. [20]</w:t>
      </w:r>
    </w:p>
    <w:p w:rsidR="004D08C2" w:rsidRDefault="004D08C2" w:rsidP="004D08C2">
      <w:pPr>
        <w:pStyle w:val="StandardWeb"/>
      </w:pPr>
      <w:r>
        <w:t>Ich schreibe deshalb</w:t>
      </w:r>
    </w:p>
    <w:p w:rsidR="004D08C2" w:rsidRDefault="004D08C2" w:rsidP="004D08C2">
      <w:pPr>
        <w:pStyle w:val="StandardWeb"/>
      </w:pPr>
      <w:r>
        <w:t>[</w:t>
      </w:r>
      <w:r>
        <w:br/>
        <w:t>A_C^{(v)}</w:t>
      </w:r>
      <w:r>
        <w:br/>
        <w:t>\longrightarrow</w:t>
      </w:r>
      <w:r>
        <w:br/>
        <w:t>A_C^{(v+1)},</w:t>
      </w:r>
      <w:r>
        <w:br/>
        <w:t>\tag{3.9586}</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A_C^{(v)}\longrightarrow A_C^{(v+1)}</w:t>
      </w:r>
    </w:p>
    <w:p w:rsidR="004D08C2" w:rsidRDefault="004D08C2" w:rsidP="004D08C2">
      <w:pPr>
        <w:pStyle w:val="StandardWeb"/>
      </w:pPr>
      <w:r>
        <w:t>wenn neue theoretische oder empirische Gründe eine Revision des bisherigen Axiomstandes erforderlich machen.</w:t>
      </w:r>
    </w:p>
    <w:p w:rsidR="004D08C2" w:rsidRDefault="004D08C2" w:rsidP="004D08C2">
      <w:pPr>
        <w:pStyle w:val="StandardWeb"/>
      </w:pPr>
      <w:r>
        <w:t>Die Revisionsfähigkeit kann durch</w:t>
      </w:r>
    </w:p>
    <w:p w:rsidR="004D08C2" w:rsidRDefault="004D08C2" w:rsidP="004D08C2">
      <w:pPr>
        <w:pStyle w:val="StandardWeb"/>
      </w:pPr>
      <w:r>
        <w:t>[</w:t>
      </w:r>
      <w:r>
        <w:br/>
        <w:t>\operatorname{Rev}(A_C)\in{0,1}</w:t>
      </w:r>
      <w:r>
        <w:br/>
        <w:t>\tag{3.9587}</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\operatorname{Rev}(A_C)\in\{0,1\}</w:t>
      </w:r>
    </w:p>
    <w:p w:rsidR="004D08C2" w:rsidRDefault="004D08C2" w:rsidP="004D08C2">
      <w:pPr>
        <w:pStyle w:val="StandardWeb"/>
      </w:pPr>
      <w:r>
        <w:lastRenderedPageBreak/>
        <w:t>formal markiert werden.</w:t>
      </w:r>
    </w:p>
    <w:p w:rsidR="004D08C2" w:rsidRDefault="00E50336" w:rsidP="004D08C2">
      <w:r>
        <w:pict>
          <v:rect id="_x0000_i2876" style="width:0;height:1.5pt" o:hralign="center" o:hrstd="t" o:hr="t" fillcolor="#a0a0a0" stroked="f"/>
        </w:pict>
      </w:r>
    </w:p>
    <w:p w:rsidR="004D08C2" w:rsidRDefault="004D08C2" w:rsidP="004D08C2">
      <w:pPr>
        <w:pStyle w:val="berschrift1"/>
      </w:pPr>
      <w:r>
        <w:t>3.3.43.714 Bedingung einer Axiomrevision</w:t>
      </w:r>
    </w:p>
    <w:p w:rsidR="004D08C2" w:rsidRDefault="004D08C2" w:rsidP="004D08C2">
      <w:pPr>
        <w:pStyle w:val="StandardWeb"/>
      </w:pPr>
      <w:r>
        <w:t>Eine Revision des Primäraxioms sollte erst dann erfolgen, wenn das erkannte Problem nicht ausschließlich von einer speziellen Operationalisierung oder Modellannahme abhängt.</w:t>
      </w:r>
    </w:p>
    <w:p w:rsidR="004D08C2" w:rsidRDefault="004D08C2" w:rsidP="004D08C2">
      <w:pPr>
        <w:pStyle w:val="StandardWeb"/>
      </w:pPr>
      <w:r>
        <w:t>Dafür formuliere ich die qualitative Bedingung</w:t>
      </w:r>
    </w:p>
    <w:p w:rsidR="004D08C2" w:rsidRDefault="004D08C2" w:rsidP="004D08C2">
      <w:pPr>
        <w:pStyle w:val="StandardWeb"/>
      </w:pPr>
      <w:r>
        <w:t>[</w:t>
      </w:r>
      <w:r>
        <w:br/>
        <w:t>\operatorname{Rev}(A_C)=1</w:t>
      </w:r>
      <w:r>
        <w:br/>
        <w:t>\Longrightarrow</w:t>
      </w:r>
      <w:r>
        <w:br/>
        <w:t>\operatorname{Fail}_{\mathrm{model-independent}}(A_C)=1.</w:t>
      </w:r>
      <w:r>
        <w:br/>
        <w:t>\tag{3.9588}</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\operatorname{Rev}(A_C)=1\Longrightarrow\operatorname{Fail}_{\mathrm{model-independent}}(A_C)=1</w:t>
      </w:r>
    </w:p>
    <w:p w:rsidR="004D08C2" w:rsidRDefault="004D08C2" w:rsidP="004D08C2">
      <w:pPr>
        <w:pStyle w:val="StandardWeb"/>
      </w:pPr>
      <w:r>
        <w:t>Diese Beziehung ist keine zusätzliche physikalische Aussage des FRZK. Sie beschreibt eine methodologische Regel für die weitere Theorieentwicklung.</w:t>
      </w:r>
    </w:p>
    <w:p w:rsidR="004D08C2" w:rsidRDefault="00E50336" w:rsidP="004D08C2">
      <w:r>
        <w:pict>
          <v:rect id="_x0000_i2877" style="width:0;height:1.5pt" o:hralign="center" o:hrstd="t" o:hr="t" fillcolor="#a0a0a0" stroked="f"/>
        </w:pict>
      </w:r>
    </w:p>
    <w:p w:rsidR="004D08C2" w:rsidRDefault="004D08C2" w:rsidP="004D08C2">
      <w:pPr>
        <w:pStyle w:val="berschrift1"/>
      </w:pPr>
      <w:r>
        <w:t>3.3.43.715 Minimalität und wissenschaftliche Offenheit</w:t>
      </w:r>
    </w:p>
    <w:p w:rsidR="004D08C2" w:rsidRDefault="004D08C2" w:rsidP="004D08C2">
      <w:pPr>
        <w:pStyle w:val="StandardWeb"/>
      </w:pPr>
      <w:r>
        <w:t>Die Kombination aus minimaler Primäraxiomatik und expliziter Modelloffenheit kann nun zusammengefasst werden durch</w:t>
      </w:r>
    </w:p>
    <w:p w:rsidR="004D08C2" w:rsidRDefault="004D08C2" w:rsidP="004D08C2">
      <w:pPr>
        <w:pStyle w:val="StandardWeb"/>
      </w:pPr>
      <w:r>
        <w:t>[</w:t>
      </w:r>
      <w:r>
        <w:br/>
        <w:t>|\mathfrak A_C|=1</w:t>
      </w:r>
      <w:r>
        <w:br/>
        <w:t>\quad\land\quad</w:t>
      </w:r>
      <w:r>
        <w:br/>
        <w:t>|\operatorname{Mod}(A_C)|&gt;1.</w:t>
      </w:r>
      <w:r>
        <w:br/>
        <w:t>\tag{3.9589}</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|\mathfrak A_C|=1\quad\land\quad|\operatorname{Mod}(A_C)|&gt;1</w:t>
      </w:r>
    </w:p>
    <w:p w:rsidR="004D08C2" w:rsidRDefault="004D08C2" w:rsidP="004D08C2">
      <w:pPr>
        <w:pStyle w:val="StandardWeb"/>
      </w:pPr>
      <w:r>
        <w:t>Die zweite Aussage ist dabei nicht als empirisch nachgewiesene Zahl physikalisch realisierter Modelle zu verstehen. Sie bezeichnet die mathematische Möglichkeit unterschiedlicher zulässiger Realisierungen des minimalen Axioms.</w:t>
      </w:r>
    </w:p>
    <w:p w:rsidR="004D08C2" w:rsidRDefault="004D08C2" w:rsidP="004D08C2">
      <w:pPr>
        <w:pStyle w:val="StandardWeb"/>
      </w:pPr>
      <w:r>
        <w:t>Damit ergibt sich</w:t>
      </w:r>
    </w:p>
    <w:p w:rsidR="004D08C2" w:rsidRDefault="004D08C2" w:rsidP="004D08C2">
      <w:pPr>
        <w:pStyle w:val="StandardWeb"/>
      </w:pPr>
      <w:r>
        <w:lastRenderedPageBreak/>
        <w:t>[</w:t>
      </w:r>
      <w:r>
        <w:br/>
        <w:t>\boxed{</w:t>
      </w:r>
      <w:r>
        <w:br/>
        <w:t>\text{axiomatische Minimalität}</w:t>
      </w:r>
      <w:r>
        <w:br/>
        <w:t>\land</w:t>
      </w:r>
      <w:r>
        <w:br/>
        <w:t>\text{modelltheoretische Offenheit}.</w:t>
      </w:r>
      <w:r>
        <w:br/>
        <w:t>}</w:t>
      </w:r>
      <w:r>
        <w:br/>
        <w:t>\tag{3.9590}</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\boxed{\text{axiomatische Minimalität}\land\text{modelltheoretische Offenheit}.}</w:t>
      </w:r>
    </w:p>
    <w:p w:rsidR="004D08C2" w:rsidRDefault="00E50336" w:rsidP="004D08C2">
      <w:r>
        <w:pict>
          <v:rect id="_x0000_i2878" style="width:0;height:1.5pt" o:hralign="center" o:hrstd="t" o:hr="t" fillcolor="#a0a0a0" stroked="f"/>
        </w:pict>
      </w:r>
    </w:p>
    <w:p w:rsidR="004D08C2" w:rsidRDefault="004D08C2" w:rsidP="004D08C2">
      <w:pPr>
        <w:pStyle w:val="berschrift1"/>
      </w:pPr>
      <w:r>
        <w:t>3.3.43.716 Axiomatische Bereinigung</w:t>
      </w:r>
    </w:p>
    <w:p w:rsidR="004D08C2" w:rsidRDefault="004D08C2" w:rsidP="004D08C2">
      <w:pPr>
        <w:pStyle w:val="StandardWeb"/>
      </w:pPr>
      <w:r>
        <w:t>Mit den vorangegangenen Prüfungen sind drei zentrale Bedingungen erfüllt:</w:t>
      </w:r>
    </w:p>
    <w:p w:rsidR="004D08C2" w:rsidRDefault="004D08C2" w:rsidP="004D08C2">
      <w:pPr>
        <w:pStyle w:val="StandardWeb"/>
      </w:pPr>
      <w:r>
        <w:t>[</w:t>
      </w:r>
      <w:r>
        <w:br/>
        <w:t>\mathfrak H_C=\varnothing,</w:t>
      </w:r>
      <w:r>
        <w:br/>
        <w:t>\tag{3.9591}</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\mathfrak H_C=\varnothing</w:t>
      </w:r>
    </w:p>
    <w:p w:rsidR="004D08C2" w:rsidRDefault="004D08C2" w:rsidP="004D08C2">
      <w:pPr>
        <w:pStyle w:val="berschrift1"/>
      </w:pPr>
      <w:r>
        <w:t>[</w:t>
      </w:r>
      <w:r>
        <w:br/>
        <w:t>\sum_{X\in\mathfrak C_{3.3.43}}</w:t>
      </w:r>
      <w:r>
        <w:br/>
        <w:t>\operatorname{Conf}_{\mathrm{Stat}}(X)</w:t>
      </w:r>
    </w:p>
    <w:p w:rsidR="004D08C2" w:rsidRDefault="004D08C2" w:rsidP="004D08C2">
      <w:pPr>
        <w:pStyle w:val="StandardWeb"/>
      </w:pPr>
      <w:r>
        <w:t>0</w:t>
      </w:r>
      <w:r>
        <w:br/>
        <w:t>\tag{3.9592}</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\sum_{X\in\mathfrak C_{3.3.43}}\operatorname{Conf}_{\mathrm{Stat}}(X)=0</w:t>
      </w:r>
    </w:p>
    <w:p w:rsidR="004D08C2" w:rsidRDefault="004D08C2" w:rsidP="004D08C2">
      <w:pPr>
        <w:pStyle w:val="StandardWeb"/>
      </w:pPr>
      <w:r>
        <w:t>und</w:t>
      </w:r>
    </w:p>
    <w:p w:rsidR="004D08C2" w:rsidRDefault="004D08C2" w:rsidP="004D08C2">
      <w:pPr>
        <w:pStyle w:val="StandardWeb"/>
      </w:pPr>
      <w:r>
        <w:t>[</w:t>
      </w:r>
      <w:r>
        <w:br/>
        <w:t>\mathfrak A_C={A_C}.</w:t>
      </w:r>
      <w:r>
        <w:br/>
        <w:t>\tag{3.9593}</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\mathfrak A_C=\{A_C\}</w:t>
      </w:r>
    </w:p>
    <w:p w:rsidR="004D08C2" w:rsidRDefault="004D08C2" w:rsidP="004D08C2">
      <w:pPr>
        <w:pStyle w:val="StandardWeb"/>
      </w:pPr>
      <w:r>
        <w:lastRenderedPageBreak/>
        <w:t>Damit erfüllt der Kohärenzblock die zuvor definierte Bereinigungsbedingung:</w:t>
      </w:r>
    </w:p>
    <w:p w:rsidR="004D08C2" w:rsidRDefault="004D08C2" w:rsidP="004D08C2">
      <w:pPr>
        <w:pStyle w:val="StandardWeb"/>
      </w:pPr>
      <w:r>
        <w:t>[</w:t>
      </w:r>
      <w:r>
        <w:br/>
        <w:t>\boxed{</w:t>
      </w:r>
      <w:r>
        <w:br/>
        <w:t>\operatorname{CleanAx}(3.3.43)=1.</w:t>
      </w:r>
      <w:r>
        <w:br/>
        <w:t>}</w:t>
      </w:r>
      <w:r>
        <w:br/>
        <w:t>\tag{3.9594}</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\boxed{\operatorname{CleanAx}(3.3.43)=1.}</w:t>
      </w:r>
    </w:p>
    <w:p w:rsidR="004D08C2" w:rsidRDefault="00E50336" w:rsidP="004D08C2">
      <w:r>
        <w:pict>
          <v:rect id="_x0000_i2879" style="width:0;height:1.5pt" o:hralign="center" o:hrstd="t" o:hr="t" fillcolor="#a0a0a0" stroked="f"/>
        </w:pict>
      </w:r>
    </w:p>
    <w:p w:rsidR="004D08C2" w:rsidRDefault="004D08C2" w:rsidP="004D08C2">
      <w:pPr>
        <w:pStyle w:val="berschrift1"/>
      </w:pPr>
      <w:r>
        <w:t>3.3.43.717 Endgültige Statusmatrix</w:t>
      </w:r>
    </w:p>
    <w:p w:rsidR="004D08C2" w:rsidRDefault="004D08C2" w:rsidP="004D08C2">
      <w:pPr>
        <w:pStyle w:val="StandardWeb"/>
      </w:pPr>
      <w:r>
        <w:t>Die gesamte Struktur lässt sich nun in einer kompakten Statusmatrix zusammenführen: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7"/>
        <w:gridCol w:w="1939"/>
        <w:gridCol w:w="1224"/>
        <w:gridCol w:w="1552"/>
      </w:tblGrid>
      <w:tr w:rsidR="004D08C2" w:rsidTr="004D08C2">
        <w:trPr>
          <w:tblHeader/>
          <w:tblCellSpacing w:w="15" w:type="dxa"/>
        </w:trPr>
        <w:tc>
          <w:tcPr>
            <w:tcW w:w="0" w:type="auto"/>
            <w:vAlign w:val="center"/>
            <w:hideMark/>
          </w:tcPr>
          <w:p w:rsidR="004D08C2" w:rsidRDefault="004D08C2">
            <w:pPr>
              <w:jc w:val="center"/>
              <w:rPr>
                <w:b/>
              </w:rPr>
            </w:pPr>
            <w:r>
              <w:rPr>
                <w:b/>
                <w:bCs w:val="0"/>
              </w:rPr>
              <w:t>Strukturklasse</w:t>
            </w:r>
          </w:p>
        </w:tc>
        <w:tc>
          <w:tcPr>
            <w:tcW w:w="0" w:type="auto"/>
            <w:vAlign w:val="center"/>
            <w:hideMark/>
          </w:tcPr>
          <w:p w:rsidR="004D08C2" w:rsidRDefault="004D08C2">
            <w:pPr>
              <w:jc w:val="center"/>
              <w:rPr>
                <w:b/>
                <w:bCs w:val="0"/>
              </w:rPr>
            </w:pPr>
            <w:r>
              <w:rPr>
                <w:b/>
                <w:bCs w:val="0"/>
              </w:rPr>
              <w:t>Wissenschaftlicher Status</w:t>
            </w:r>
          </w:p>
        </w:tc>
        <w:tc>
          <w:tcPr>
            <w:tcW w:w="0" w:type="auto"/>
            <w:vAlign w:val="center"/>
            <w:hideMark/>
          </w:tcPr>
          <w:p w:rsidR="004D08C2" w:rsidRDefault="004D08C2">
            <w:pPr>
              <w:jc w:val="right"/>
              <w:rPr>
                <w:b/>
                <w:bCs w:val="0"/>
              </w:rPr>
            </w:pPr>
            <w:r>
              <w:rPr>
                <w:b/>
                <w:bCs w:val="0"/>
              </w:rPr>
              <w:t>Durch (A_C) zwingend?</w:t>
            </w:r>
          </w:p>
        </w:tc>
        <w:tc>
          <w:tcPr>
            <w:tcW w:w="0" w:type="auto"/>
            <w:vAlign w:val="center"/>
            <w:hideMark/>
          </w:tcPr>
          <w:p w:rsidR="004D08C2" w:rsidRDefault="004D08C2">
            <w:pPr>
              <w:jc w:val="right"/>
              <w:rPr>
                <w:b/>
                <w:bCs w:val="0"/>
              </w:rPr>
            </w:pPr>
            <w:r>
              <w:rPr>
                <w:b/>
                <w:bCs w:val="0"/>
              </w:rPr>
              <w:t>Empirische Prüfung</w:t>
            </w:r>
          </w:p>
        </w:tc>
      </w:tr>
      <w:tr w:rsidR="004D08C2" w:rsidTr="004D08C2">
        <w:trPr>
          <w:tblCellSpacing w:w="15" w:type="dxa"/>
        </w:trPr>
        <w:tc>
          <w:tcPr>
            <w:tcW w:w="0" w:type="auto"/>
            <w:vAlign w:val="center"/>
            <w:hideMark/>
          </w:tcPr>
          <w:p w:rsidR="004D08C2" w:rsidRDefault="004D08C2">
            <w:pPr>
              <w:rPr>
                <w:bCs w:val="0"/>
              </w:rPr>
            </w:pPr>
            <w:r>
              <w:t>(A_C)</w:t>
            </w:r>
          </w:p>
        </w:tc>
        <w:tc>
          <w:tcPr>
            <w:tcW w:w="0" w:type="auto"/>
            <w:vAlign w:val="center"/>
            <w:hideMark/>
          </w:tcPr>
          <w:p w:rsidR="004D08C2" w:rsidRDefault="004D08C2">
            <w:r>
              <w:t>Primäraxiom</w:t>
            </w:r>
          </w:p>
        </w:tc>
        <w:tc>
          <w:tcPr>
            <w:tcW w:w="0" w:type="auto"/>
            <w:vAlign w:val="center"/>
            <w:hideMark/>
          </w:tcPr>
          <w:p w:rsidR="004D08C2" w:rsidRDefault="004D08C2">
            <w:pPr>
              <w:jc w:val="right"/>
            </w:pPr>
            <w:r>
              <w:t>–</w:t>
            </w:r>
          </w:p>
        </w:tc>
        <w:tc>
          <w:tcPr>
            <w:tcW w:w="0" w:type="auto"/>
            <w:vAlign w:val="center"/>
            <w:hideMark/>
          </w:tcPr>
          <w:p w:rsidR="004D08C2" w:rsidRDefault="004D08C2">
            <w:pPr>
              <w:jc w:val="right"/>
            </w:pPr>
            <w:r>
              <w:t>mittelbar über Modelle</w:t>
            </w:r>
          </w:p>
        </w:tc>
      </w:tr>
      <w:tr w:rsidR="004D08C2" w:rsidTr="004D08C2">
        <w:trPr>
          <w:tblCellSpacing w:w="15" w:type="dxa"/>
        </w:trPr>
        <w:tc>
          <w:tcPr>
            <w:tcW w:w="0" w:type="auto"/>
            <w:vAlign w:val="center"/>
            <w:hideMark/>
          </w:tcPr>
          <w:p w:rsidR="004D08C2" w:rsidRDefault="004D08C2">
            <w:r>
              <w:t>(R_F,\mathcal C,K_F,\kappa,C_F)</w:t>
            </w:r>
          </w:p>
        </w:tc>
        <w:tc>
          <w:tcPr>
            <w:tcW w:w="0" w:type="auto"/>
            <w:vAlign w:val="center"/>
            <w:hideMark/>
          </w:tcPr>
          <w:p w:rsidR="004D08C2" w:rsidRDefault="004D08C2">
            <w:r>
              <w:t>Definitionen</w:t>
            </w:r>
          </w:p>
        </w:tc>
        <w:tc>
          <w:tcPr>
            <w:tcW w:w="0" w:type="auto"/>
            <w:vAlign w:val="center"/>
            <w:hideMark/>
          </w:tcPr>
          <w:p w:rsidR="004D08C2" w:rsidRDefault="004D08C2">
            <w:pPr>
              <w:jc w:val="right"/>
            </w:pPr>
            <w:r>
              <w:t>begrifflich</w:t>
            </w:r>
          </w:p>
        </w:tc>
        <w:tc>
          <w:tcPr>
            <w:tcW w:w="0" w:type="auto"/>
            <w:vAlign w:val="center"/>
            <w:hideMark/>
          </w:tcPr>
          <w:p w:rsidR="004D08C2" w:rsidRDefault="004D08C2">
            <w:pPr>
              <w:jc w:val="right"/>
            </w:pPr>
            <w:r>
              <w:t>bei Operationalisierung</w:t>
            </w:r>
          </w:p>
        </w:tc>
      </w:tr>
      <w:tr w:rsidR="004D08C2" w:rsidTr="004D08C2">
        <w:trPr>
          <w:tblCellSpacing w:w="15" w:type="dxa"/>
        </w:trPr>
        <w:tc>
          <w:tcPr>
            <w:tcW w:w="0" w:type="auto"/>
            <w:vAlign w:val="center"/>
            <w:hideMark/>
          </w:tcPr>
          <w:p w:rsidR="004D08C2" w:rsidRDefault="004D08C2">
            <w:r>
              <w:t>abgeleitete Relationen</w:t>
            </w:r>
          </w:p>
        </w:tc>
        <w:tc>
          <w:tcPr>
            <w:tcW w:w="0" w:type="auto"/>
            <w:vAlign w:val="center"/>
            <w:hideMark/>
          </w:tcPr>
          <w:p w:rsidR="004D08C2" w:rsidRDefault="004D08C2">
            <w:r>
              <w:t>Ableitungen</w:t>
            </w:r>
          </w:p>
        </w:tc>
        <w:tc>
          <w:tcPr>
            <w:tcW w:w="0" w:type="auto"/>
            <w:vAlign w:val="center"/>
            <w:hideMark/>
          </w:tcPr>
          <w:p w:rsidR="004D08C2" w:rsidRDefault="004D08C2">
            <w:pPr>
              <w:jc w:val="right"/>
            </w:pPr>
            <w:r>
              <w:t>unter Voraussetzungen</w:t>
            </w:r>
          </w:p>
        </w:tc>
        <w:tc>
          <w:tcPr>
            <w:tcW w:w="0" w:type="auto"/>
            <w:vAlign w:val="center"/>
            <w:hideMark/>
          </w:tcPr>
          <w:p w:rsidR="004D08C2" w:rsidRDefault="004D08C2">
            <w:pPr>
              <w:jc w:val="right"/>
            </w:pPr>
            <w:r>
              <w:t>anwendungsabhängig</w:t>
            </w:r>
          </w:p>
        </w:tc>
      </w:tr>
      <w:tr w:rsidR="004D08C2" w:rsidTr="004D08C2">
        <w:trPr>
          <w:tblCellSpacing w:w="15" w:type="dxa"/>
        </w:trPr>
        <w:tc>
          <w:tcPr>
            <w:tcW w:w="0" w:type="auto"/>
            <w:vAlign w:val="center"/>
            <w:hideMark/>
          </w:tcPr>
          <w:p w:rsidR="004D08C2" w:rsidRDefault="004D08C2">
            <w:r>
              <w:t>Feld-, Fluss-, Kernel- und Netzwerkstrukturen</w:t>
            </w:r>
          </w:p>
        </w:tc>
        <w:tc>
          <w:tcPr>
            <w:tcW w:w="0" w:type="auto"/>
            <w:vAlign w:val="center"/>
            <w:hideMark/>
          </w:tcPr>
          <w:p w:rsidR="004D08C2" w:rsidRDefault="004D08C2">
            <w:r>
              <w:t>Modellannahmen</w:t>
            </w:r>
          </w:p>
        </w:tc>
        <w:tc>
          <w:tcPr>
            <w:tcW w:w="0" w:type="auto"/>
            <w:vAlign w:val="center"/>
            <w:hideMark/>
          </w:tcPr>
          <w:p w:rsidR="004D08C2" w:rsidRDefault="004D08C2">
            <w:pPr>
              <w:jc w:val="right"/>
            </w:pPr>
            <w:r>
              <w:t>nein</w:t>
            </w:r>
          </w:p>
        </w:tc>
        <w:tc>
          <w:tcPr>
            <w:tcW w:w="0" w:type="auto"/>
            <w:vAlign w:val="center"/>
            <w:hideMark/>
          </w:tcPr>
          <w:p w:rsidR="004D08C2" w:rsidRDefault="004D08C2">
            <w:pPr>
              <w:jc w:val="right"/>
            </w:pPr>
            <w:r>
              <w:t>ja</w:t>
            </w:r>
          </w:p>
        </w:tc>
      </w:tr>
      <w:tr w:rsidR="004D08C2" w:rsidTr="004D08C2">
        <w:trPr>
          <w:tblCellSpacing w:w="15" w:type="dxa"/>
        </w:trPr>
        <w:tc>
          <w:tcPr>
            <w:tcW w:w="0" w:type="auto"/>
            <w:vAlign w:val="center"/>
            <w:hideMark/>
          </w:tcPr>
          <w:p w:rsidR="004D08C2" w:rsidRDefault="004D08C2">
            <w:r>
              <w:t>konkrete Kohärenzmetriken</w:t>
            </w:r>
          </w:p>
        </w:tc>
        <w:tc>
          <w:tcPr>
            <w:tcW w:w="0" w:type="auto"/>
            <w:vAlign w:val="center"/>
            <w:hideMark/>
          </w:tcPr>
          <w:p w:rsidR="004D08C2" w:rsidRDefault="004D08C2">
            <w:r>
              <w:t>Modell/Operationalisierung</w:t>
            </w:r>
          </w:p>
        </w:tc>
        <w:tc>
          <w:tcPr>
            <w:tcW w:w="0" w:type="auto"/>
            <w:vAlign w:val="center"/>
            <w:hideMark/>
          </w:tcPr>
          <w:p w:rsidR="004D08C2" w:rsidRDefault="004D08C2">
            <w:pPr>
              <w:jc w:val="right"/>
            </w:pPr>
            <w:r>
              <w:t>nein</w:t>
            </w:r>
          </w:p>
        </w:tc>
        <w:tc>
          <w:tcPr>
            <w:tcW w:w="0" w:type="auto"/>
            <w:vAlign w:val="center"/>
            <w:hideMark/>
          </w:tcPr>
          <w:p w:rsidR="004D08C2" w:rsidRDefault="004D08C2">
            <w:pPr>
              <w:jc w:val="right"/>
            </w:pPr>
            <w:r>
              <w:t>ja</w:t>
            </w:r>
          </w:p>
        </w:tc>
      </w:tr>
      <w:tr w:rsidR="004D08C2" w:rsidTr="004D08C2">
        <w:trPr>
          <w:tblCellSpacing w:w="15" w:type="dxa"/>
        </w:trPr>
        <w:tc>
          <w:tcPr>
            <w:tcW w:w="0" w:type="auto"/>
            <w:vAlign w:val="center"/>
            <w:hideMark/>
          </w:tcPr>
          <w:p w:rsidR="004D08C2" w:rsidRDefault="004D08C2">
            <w:r>
              <w:t>(\widehat C_F)</w:t>
            </w:r>
          </w:p>
        </w:tc>
        <w:tc>
          <w:tcPr>
            <w:tcW w:w="0" w:type="auto"/>
            <w:vAlign w:val="center"/>
            <w:hideMark/>
          </w:tcPr>
          <w:p w:rsidR="004D08C2" w:rsidRDefault="004D08C2">
            <w:r>
              <w:t>Operationalisierung</w:t>
            </w:r>
          </w:p>
        </w:tc>
        <w:tc>
          <w:tcPr>
            <w:tcW w:w="0" w:type="auto"/>
            <w:vAlign w:val="center"/>
            <w:hideMark/>
          </w:tcPr>
          <w:p w:rsidR="004D08C2" w:rsidRDefault="004D08C2">
            <w:pPr>
              <w:jc w:val="right"/>
            </w:pPr>
            <w:r>
              <w:t>nein</w:t>
            </w:r>
          </w:p>
        </w:tc>
        <w:tc>
          <w:tcPr>
            <w:tcW w:w="0" w:type="auto"/>
            <w:vAlign w:val="center"/>
            <w:hideMark/>
          </w:tcPr>
          <w:p w:rsidR="004D08C2" w:rsidRDefault="004D08C2">
            <w:pPr>
              <w:jc w:val="right"/>
            </w:pPr>
            <w:r>
              <w:t>ja</w:t>
            </w:r>
          </w:p>
        </w:tc>
      </w:tr>
      <w:tr w:rsidR="004D08C2" w:rsidTr="004D08C2">
        <w:trPr>
          <w:tblCellSpacing w:w="15" w:type="dxa"/>
        </w:trPr>
        <w:tc>
          <w:tcPr>
            <w:tcW w:w="0" w:type="auto"/>
            <w:vAlign w:val="center"/>
            <w:hideMark/>
          </w:tcPr>
          <w:p w:rsidR="004D08C2" w:rsidRDefault="004D08C2">
            <w:r>
              <w:t>(H_{\mathrm{Ax}},\operatorname{Conf}_{\mathrm{Stat}},U_H)</w:t>
            </w:r>
          </w:p>
        </w:tc>
        <w:tc>
          <w:tcPr>
            <w:tcW w:w="0" w:type="auto"/>
            <w:vAlign w:val="center"/>
            <w:hideMark/>
          </w:tcPr>
          <w:p w:rsidR="004D08C2" w:rsidRDefault="004D08C2">
            <w:r>
              <w:t>metatheoretische Prüfbegriffe</w:t>
            </w:r>
          </w:p>
        </w:tc>
        <w:tc>
          <w:tcPr>
            <w:tcW w:w="0" w:type="auto"/>
            <w:vAlign w:val="center"/>
            <w:hideMark/>
          </w:tcPr>
          <w:p w:rsidR="004D08C2" w:rsidRDefault="004D08C2">
            <w:pPr>
              <w:jc w:val="right"/>
            </w:pPr>
            <w:r>
              <w:t>nein</w:t>
            </w:r>
          </w:p>
        </w:tc>
        <w:tc>
          <w:tcPr>
            <w:tcW w:w="0" w:type="auto"/>
            <w:vAlign w:val="center"/>
            <w:hideMark/>
          </w:tcPr>
          <w:p w:rsidR="004D08C2" w:rsidRDefault="004D08C2">
            <w:pPr>
              <w:jc w:val="right"/>
            </w:pPr>
            <w:r>
              <w:t>nicht als physikalische Größen</w:t>
            </w:r>
          </w:p>
        </w:tc>
      </w:tr>
    </w:tbl>
    <w:p w:rsidR="004D08C2" w:rsidRDefault="004D08C2" w:rsidP="004D08C2">
      <w:pPr>
        <w:pStyle w:val="StandardWeb"/>
      </w:pPr>
      <w:r>
        <w:t>Die Statusabbildung lautet insgesamt</w:t>
      </w:r>
    </w:p>
    <w:p w:rsidR="004D08C2" w:rsidRDefault="004D08C2" w:rsidP="004D08C2">
      <w:pPr>
        <w:pStyle w:val="StandardWeb"/>
      </w:pPr>
      <w:r>
        <w:t>[</w:t>
      </w:r>
      <w:r>
        <w:br/>
        <w:t>\operatorname{Stat}</w:t>
      </w:r>
      <w:r>
        <w:rPr>
          <w:rStyle w:val="Hervorhebung"/>
        </w:rPr>
        <w:t>C:</w:t>
      </w:r>
      <w:r>
        <w:rPr>
          <w:i/>
          <w:iCs/>
        </w:rPr>
        <w:br/>
      </w:r>
      <w:r>
        <w:rPr>
          <w:rStyle w:val="Hervorhebung"/>
        </w:rPr>
        <w:t>\mathfrak C</w:t>
      </w:r>
      <w:r>
        <w:t>{3.3.43}</w:t>
      </w:r>
      <w:r>
        <w:br/>
      </w:r>
      <w:r>
        <w:lastRenderedPageBreak/>
        <w:t>\rightarrow</w:t>
      </w:r>
      <w:r>
        <w:br/>
        <w:t>{</w:t>
      </w:r>
      <w:r>
        <w:br/>
        <w:t>\mathrm{Ax},</w:t>
      </w:r>
      <w:r>
        <w:br/>
        <w:t>\mathrm{Def},</w:t>
      </w:r>
      <w:r>
        <w:br/>
        <w:t>\mathrm{Abl},</w:t>
      </w:r>
      <w:r>
        <w:br/>
        <w:t>\mathrm{Mod},</w:t>
      </w:r>
      <w:r>
        <w:br/>
        <w:t>\mathrm{Op}</w:t>
      </w:r>
      <w:r>
        <w:br/>
        <w:t>}.</w:t>
      </w:r>
      <w:r>
        <w:br/>
        <w:t>\tag{3.9595}</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\operatorname{Stat}_C:\mathfrak C_{3.3.43}\rightarrow\{\mathrm{Ax},\mathrm{Def},\mathrm{Abl},\mathrm{Mod},\mathrm{Op}\}</w:t>
      </w:r>
    </w:p>
    <w:p w:rsidR="004D08C2" w:rsidRDefault="00E50336" w:rsidP="004D08C2">
      <w:r>
        <w:pict>
          <v:rect id="_x0000_i2880" style="width:0;height:1.5pt" o:hralign="center" o:hrstd="t" o:hr="t" fillcolor="#a0a0a0" stroked="f"/>
        </w:pict>
      </w:r>
    </w:p>
    <w:p w:rsidR="004D08C2" w:rsidRDefault="004D08C2" w:rsidP="004D08C2">
      <w:pPr>
        <w:pStyle w:val="berschrift1"/>
      </w:pPr>
      <w:r>
        <w:t>3.3.43.718 Ergebnis der Gesamtsynthese</w:t>
      </w:r>
    </w:p>
    <w:p w:rsidR="004D08C2" w:rsidRDefault="004D08C2" w:rsidP="004D08C2">
      <w:pPr>
        <w:pStyle w:val="StandardWeb"/>
      </w:pPr>
      <w:r>
        <w:t>Ich kann das Ergebnis des gesamten Kohärenzblocks damit in vier Kernaussagen zusammenfassen.</w:t>
      </w:r>
    </w:p>
    <w:p w:rsidR="004D08C2" w:rsidRDefault="004D08C2" w:rsidP="004D08C2">
      <w:pPr>
        <w:pStyle w:val="StandardWeb"/>
      </w:pPr>
      <w:r>
        <w:t>Erstens existiert genau ein bestätigtes Primäraxiom:</w:t>
      </w:r>
    </w:p>
    <w:p w:rsidR="004D08C2" w:rsidRDefault="004D08C2" w:rsidP="004D08C2">
      <w:pPr>
        <w:pStyle w:val="StandardWeb"/>
      </w:pPr>
      <w:r>
        <w:t>[</w:t>
      </w:r>
      <w:r>
        <w:br/>
        <w:t>\boxed{</w:t>
      </w:r>
      <w:r>
        <w:br/>
        <w:t>\mathfrak A_C={A_C}.</w:t>
      </w:r>
      <w:r>
        <w:br/>
        <w:t>}</w:t>
      </w:r>
      <w:r>
        <w:br/>
        <w:t>\tag{3.9596}</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\boxed{\mathfrak A_C=\{A_C\}.}</w:t>
      </w:r>
    </w:p>
    <w:p w:rsidR="004D08C2" w:rsidRDefault="004D08C2" w:rsidP="004D08C2">
      <w:pPr>
        <w:pStyle w:val="StandardWeb"/>
      </w:pPr>
      <w:r>
        <w:t>Zweitens wurde kein verdecktes zusätzliches Primäraxiom identifiziert:</w:t>
      </w:r>
    </w:p>
    <w:p w:rsidR="004D08C2" w:rsidRDefault="004D08C2" w:rsidP="004D08C2">
      <w:pPr>
        <w:pStyle w:val="StandardWeb"/>
      </w:pPr>
      <w:r>
        <w:t>[</w:t>
      </w:r>
      <w:r>
        <w:br/>
        <w:t>\boxed{</w:t>
      </w:r>
      <w:r>
        <w:br/>
        <w:t>\mathfrak H_C=\varnothing.</w:t>
      </w:r>
      <w:r>
        <w:br/>
        <w:t>}</w:t>
      </w:r>
      <w:r>
        <w:br/>
        <w:t>\tag{3.9597}</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\boxed{\mathfrak H_C=\varnothing.}</w:t>
      </w:r>
    </w:p>
    <w:p w:rsidR="004D08C2" w:rsidRDefault="004D08C2" w:rsidP="004D08C2">
      <w:pPr>
        <w:pStyle w:val="StandardWeb"/>
      </w:pPr>
      <w:r>
        <w:t>Drittens sind die geprüften wissenschaftlichen Statuszuweisungen widerspruchsfrei:</w:t>
      </w:r>
    </w:p>
    <w:p w:rsidR="004D08C2" w:rsidRDefault="004D08C2" w:rsidP="004D08C2">
      <w:pPr>
        <w:pStyle w:val="StandardWeb"/>
      </w:pPr>
      <w:r>
        <w:lastRenderedPageBreak/>
        <w:t>[</w:t>
      </w:r>
      <w:r>
        <w:br/>
        <w:t>\boxed{</w:t>
      </w:r>
      <w:r>
        <w:br/>
        <w:t>\sum_X</w:t>
      </w:r>
      <w:r>
        <w:br/>
        <w:t>\operatorname{Conf}_{\mathrm{Stat}}(X)=0.</w:t>
      </w:r>
      <w:r>
        <w:br/>
        <w:t>}</w:t>
      </w:r>
      <w:r>
        <w:br/>
        <w:t>\tag{3.9598}</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\boxed{\sum_X\operatorname{Conf}_{\mathrm{Stat}}(X)=0.}</w:t>
      </w:r>
    </w:p>
    <w:p w:rsidR="004D08C2" w:rsidRDefault="004D08C2" w:rsidP="004D08C2">
      <w:pPr>
        <w:pStyle w:val="StandardWeb"/>
      </w:pPr>
      <w:r>
        <w:t>Viertens bleibt die konkrete mathematische Ausgestaltung modelloffen:</w:t>
      </w:r>
    </w:p>
    <w:p w:rsidR="004D08C2" w:rsidRDefault="004D08C2" w:rsidP="004D08C2">
      <w:pPr>
        <w:pStyle w:val="StandardWeb"/>
      </w:pPr>
      <w:r>
        <w:t>[</w:t>
      </w:r>
      <w:r>
        <w:br/>
        <w:t>\boxed{</w:t>
      </w:r>
      <w:r>
        <w:br/>
        <w:t>A_C</w:t>
      </w:r>
      <w:r>
        <w:br/>
        <w:t>\nRightarrow</w:t>
      </w:r>
      <w:r>
        <w:br/>
        <w:t>\mathcal M=\mathcal M^\ast.</w:t>
      </w:r>
      <w:r>
        <w:br/>
        <w:t>}</w:t>
      </w:r>
      <w:r>
        <w:br/>
        <w:t>\tag{3.9599}</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\boxed{A_C\nRightarrow\mathcal M=\mathcal M^\ast.}</w:t>
      </w:r>
    </w:p>
    <w:p w:rsidR="004D08C2" w:rsidRDefault="004D08C2" w:rsidP="004D08C2">
      <w:pPr>
        <w:pStyle w:val="StandardWeb"/>
      </w:pPr>
      <w:r>
        <w:t xml:space="preserve">Damit ist die </w:t>
      </w:r>
      <w:r>
        <w:rPr>
          <w:rStyle w:val="Fett"/>
        </w:rPr>
        <w:t>inhaltliche Gesamtsynthese der Kohärenzaxiomatik abgeschlossen</w:t>
      </w:r>
      <w:r>
        <w:t>.</w:t>
      </w:r>
    </w:p>
    <w:p w:rsidR="004D08C2" w:rsidRDefault="00E50336" w:rsidP="004D08C2">
      <w:r>
        <w:pict>
          <v:rect id="_x0000_i2881" style="width:0;height:1.5pt" o:hralign="center" o:hrstd="t" o:hr="t" fillcolor="#a0a0a0" stroked="f"/>
        </w:pict>
      </w:r>
    </w:p>
    <w:p w:rsidR="004D08C2" w:rsidRDefault="004D08C2" w:rsidP="004D08C2">
      <w:pPr>
        <w:pStyle w:val="berschrift1"/>
      </w:pPr>
      <w:r>
        <w:t>3.3.43.719 Methodologische Betrachtungen</w:t>
      </w:r>
    </w:p>
    <w:p w:rsidR="004D08C2" w:rsidRDefault="004D08C2" w:rsidP="004D08C2">
      <w:pPr>
        <w:pStyle w:val="StandardWeb"/>
      </w:pPr>
      <w:r>
        <w:t>Methodologisch ist für mich das wichtigste Ergebnis dieses Abschnitts nicht die Anzahl der entwickelten mathematischen Beziehungen, sondern die konsequente Trennung ihrer wissenschaftlichen Funktionen. Während der Entwicklung von 3.3.43 wurden zahlreiche mathematische Strukturen eingeführt. Ohne die abschließende Statusprüfung könnte daraus der falsche Eindruck entstehen, jede dieser Konstruktionen besitze denselben fundamentalen Status. [20]</w:t>
      </w:r>
    </w:p>
    <w:p w:rsidR="004D08C2" w:rsidRDefault="004D08C2" w:rsidP="004D08C2">
      <w:pPr>
        <w:pStyle w:val="StandardWeb"/>
      </w:pPr>
      <w:r>
        <w:t>Für die weitere FRZK-Entwicklung gilt deshalb</w:t>
      </w:r>
    </w:p>
    <w:p w:rsidR="004D08C2" w:rsidRDefault="004D08C2" w:rsidP="004D08C2">
      <w:pPr>
        <w:pStyle w:val="StandardWeb"/>
      </w:pPr>
      <w:r>
        <w:t>[</w:t>
      </w:r>
      <w:r>
        <w:br/>
        <w:t>\boxed{</w:t>
      </w:r>
      <w:r>
        <w:br/>
        <w:t>\text{mathematische Nützlichkeit}</w:t>
      </w:r>
      <w:r>
        <w:br/>
        <w:t>\nRightarrow</w:t>
      </w:r>
      <w:r>
        <w:br/>
        <w:t>\text{axiomatische Fundamentalität}.</w:t>
      </w:r>
      <w:r>
        <w:br/>
        <w:t>}</w:t>
      </w:r>
      <w:r>
        <w:br/>
        <w:t>\tag{3.9600}</w:t>
      </w:r>
      <w:r>
        <w:br/>
        <w:t>]</w:t>
      </w:r>
    </w:p>
    <w:p w:rsidR="004D08C2" w:rsidRDefault="004D08C2" w:rsidP="004D08C2">
      <w:pPr>
        <w:pStyle w:val="StandardWeb"/>
      </w:pPr>
      <w:r>
        <w:rPr>
          <w:rStyle w:val="Fett"/>
        </w:rPr>
        <w:lastRenderedPageBreak/>
        <w:t>Word-LaTeX</w:t>
      </w:r>
    </w:p>
    <w:p w:rsidR="004D08C2" w:rsidRDefault="004D08C2" w:rsidP="004D08C2">
      <w:pPr>
        <w:pStyle w:val="HTMLVorformatiert"/>
        <w:rPr>
          <w:rStyle w:val="HTMLCode"/>
        </w:rPr>
      </w:pPr>
      <w:r>
        <w:rPr>
          <w:rStyle w:val="HTMLCode"/>
        </w:rPr>
        <w:t>\boxed{\text{mathematische Nützlichkeit}\nRightarrow\text{axiomatische Fundamentalität}.}</w:t>
      </w:r>
    </w:p>
    <w:p w:rsidR="004D08C2" w:rsidRDefault="004D08C2" w:rsidP="004D08C2">
      <w:pPr>
        <w:pStyle w:val="StandardWeb"/>
      </w:pPr>
      <w:r>
        <w:t>Ebenso gilt</w:t>
      </w:r>
    </w:p>
    <w:p w:rsidR="004D08C2" w:rsidRDefault="004D08C2" w:rsidP="004D08C2">
      <w:pPr>
        <w:pStyle w:val="StandardWeb"/>
      </w:pPr>
      <w:r>
        <w:t>[</w:t>
      </w:r>
      <w:r>
        <w:br/>
        <w:t>\boxed{</w:t>
      </w:r>
      <w:r>
        <w:br/>
        <w:t>\text{empirische Brauchbarkeit}</w:t>
      </w:r>
      <w:r>
        <w:br/>
        <w:t>\nRightarrow</w:t>
      </w:r>
      <w:r>
        <w:br/>
        <w:t>\text{Primäraxiomstatus}.</w:t>
      </w:r>
      <w:r>
        <w:br/>
        <w:t>}</w:t>
      </w:r>
      <w:r>
        <w:br/>
        <w:t>\tag{3.9601}</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\boxed{\text{empirische Brauchbarkeit}\nRightarrow\text{Primäraxiomstatus}.}</w:t>
      </w:r>
    </w:p>
    <w:p w:rsidR="004D08C2" w:rsidRDefault="004D08C2" w:rsidP="004D08C2">
      <w:pPr>
        <w:pStyle w:val="StandardWeb"/>
      </w:pPr>
      <w:r>
        <w:t>Eine erfolgreiche Mess- oder Modellmethode darf also nicht allein aufgrund ihres Erfolges nachträglich zur fundamentalen Voraussetzung der Theorie erklärt werden.</w:t>
      </w:r>
    </w:p>
    <w:p w:rsidR="004D08C2" w:rsidRDefault="004D08C2" w:rsidP="004D08C2">
      <w:pPr>
        <w:pStyle w:val="StandardWeb"/>
      </w:pPr>
      <w:r>
        <w:t>Für jedes neu eingeführte theoretische Objekt (X) muss künftig unmittelbar eine Statusprüfung erfolgen:</w:t>
      </w:r>
    </w:p>
    <w:p w:rsidR="004D08C2" w:rsidRDefault="004D08C2" w:rsidP="004D08C2">
      <w:pPr>
        <w:pStyle w:val="StandardWeb"/>
      </w:pPr>
      <w:r>
        <w:t>[</w:t>
      </w:r>
      <w:r>
        <w:br/>
        <w:t>\boxed{</w:t>
      </w:r>
      <w:r>
        <w:br/>
        <w:t>X</w:t>
      </w:r>
      <w:r>
        <w:br/>
        <w:t>\mapsto</w:t>
      </w:r>
      <w:r>
        <w:br/>
        <w:t>\operatorname{Stat}(X).</w:t>
      </w:r>
      <w:r>
        <w:br/>
        <w:t>}</w:t>
      </w:r>
      <w:r>
        <w:br/>
        <w:t>\tag{3.9602}</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\boxed{X\mapsto\operatorname{Stat}(X).}</w:t>
      </w:r>
    </w:p>
    <w:p w:rsidR="004D08C2" w:rsidRDefault="004D08C2" w:rsidP="004D08C2">
      <w:pPr>
        <w:pStyle w:val="StandardWeb"/>
      </w:pPr>
      <w:r>
        <w:t>Für die folgenden FRZK-Abschnitte ergibt sich daraus die methodologische Arbeitsfolge</w:t>
      </w:r>
    </w:p>
    <w:p w:rsidR="004D08C2" w:rsidRDefault="004D08C2" w:rsidP="004D08C2">
      <w:pPr>
        <w:pStyle w:val="StandardWeb"/>
      </w:pPr>
      <w:r>
        <w:t>[</w:t>
      </w:r>
      <w:r>
        <w:br/>
        <w:t>\boxed{</w:t>
      </w:r>
      <w:r>
        <w:br/>
        <w:t>\text{Einführung}</w:t>
      </w:r>
      <w:r>
        <w:br/>
        <w:t>\rightarrow</w:t>
      </w:r>
      <w:r>
        <w:br/>
        <w:t>\text{Definition}</w:t>
      </w:r>
      <w:r>
        <w:br/>
        <w:t>\rightarrow</w:t>
      </w:r>
      <w:r>
        <w:br/>
        <w:t>\text{Statusprüfung}</w:t>
      </w:r>
      <w:r>
        <w:br/>
        <w:t>\rightarrow</w:t>
      </w:r>
      <w:r>
        <w:br/>
        <w:t>\text{Ableitung oder Modellbildung}</w:t>
      </w:r>
      <w:r>
        <w:br/>
        <w:t>\rightarrow</w:t>
      </w:r>
      <w:r>
        <w:br/>
      </w:r>
      <w:r>
        <w:lastRenderedPageBreak/>
        <w:t>\text{Operationalisierung}.</w:t>
      </w:r>
      <w:r>
        <w:br/>
        <w:t>}</w:t>
      </w:r>
      <w:r>
        <w:br/>
        <w:t>\tag{3.9603}</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\boxed{\text{Einführung}\rightarrow\text{Definition}\rightarrow\text{Statusprüfung}\rightarrow\text{Ableitung oder Modellbildung}\rightarrow\text{Operationalisierung}.}</w:t>
      </w:r>
    </w:p>
    <w:p w:rsidR="004D08C2" w:rsidRDefault="004D08C2" w:rsidP="004D08C2">
      <w:pPr>
        <w:pStyle w:val="StandardWeb"/>
      </w:pPr>
      <w:r>
        <w:t>Damit verhindere ich insbesondere, dass mathematische Hilfsmittel unbemerkt zu zusätzlichen Primäraxiomen werden.</w:t>
      </w:r>
    </w:p>
    <w:p w:rsidR="004D08C2" w:rsidRDefault="00E50336" w:rsidP="004D08C2">
      <w:r>
        <w:pict>
          <v:rect id="_x0000_i2882" style="width:0;height:1.5pt" o:hralign="center" o:hrstd="t" o:hr="t" fillcolor="#a0a0a0" stroked="f"/>
        </w:pict>
      </w:r>
    </w:p>
    <w:p w:rsidR="004D08C2" w:rsidRDefault="004D08C2" w:rsidP="004D08C2">
      <w:pPr>
        <w:pStyle w:val="berschrift1"/>
      </w:pPr>
      <w:r>
        <w:t>3.3.43.720 Didaktische Betrachtungen</w:t>
      </w:r>
    </w:p>
    <w:p w:rsidR="004D08C2" w:rsidRDefault="004D08C2" w:rsidP="004D08C2">
      <w:pPr>
        <w:pStyle w:val="StandardWeb"/>
      </w:pPr>
      <w:r>
        <w:t>Didaktisch ist die Trennung zwischen Primäraxiom und mathematischer Ausgestaltung besonders wichtig, weil ein langer mathematischer Abschnitt leicht den Eindruck erzeugen kann, jede eingeführte Gleichung sei eine fundamentale Aussage der Theorie. Genau dieser Eindruck wäre hier falsch.</w:t>
      </w:r>
    </w:p>
    <w:p w:rsidR="004D08C2" w:rsidRDefault="004D08C2" w:rsidP="004D08C2">
      <w:pPr>
        <w:pStyle w:val="StandardWeb"/>
      </w:pPr>
      <w:r>
        <w:t>Ich fasse die Grundstruktur deshalb bewusst vereinfacht zusammen:</w:t>
      </w:r>
    </w:p>
    <w:p w:rsidR="004D08C2" w:rsidRDefault="004D08C2" w:rsidP="004D08C2">
      <w:pPr>
        <w:pStyle w:val="StandardWeb"/>
      </w:pPr>
      <w:r>
        <w:t>[</w:t>
      </w:r>
      <w:r>
        <w:br/>
        <w:t>\boxed{</w:t>
      </w:r>
      <w:r>
        <w:br/>
        <w:t>\text{ein Primäraxiom}</w:t>
      </w:r>
      <w:r>
        <w:br/>
        <w:t>+</w:t>
      </w:r>
      <w:r>
        <w:br/>
        <w:t>\text{viele mögliche mathematische Werkzeuge}.</w:t>
      </w:r>
      <w:r>
        <w:br/>
        <w:t>}</w:t>
      </w:r>
      <w:r>
        <w:br/>
        <w:t>\tag{3.9604}</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\boxed{\text{ein Primäraxiom}+\text{viele mögliche mathematische Werkzeuge}.}</w:t>
      </w:r>
    </w:p>
    <w:p w:rsidR="004D08C2" w:rsidRDefault="004D08C2" w:rsidP="004D08C2">
      <w:pPr>
        <w:pStyle w:val="StandardWeb"/>
      </w:pPr>
      <w:r>
        <w:t>Für Leser ohne vertiefte mathematische Vorbildung lässt sich die Konstruktion so verstehen: Die Aussage, dass mindestens eine funktional relevante kohärente Struktur existiert, ist etwas anderes als die Entscheidung, ob diese Struktur später mit einem Graphen, einer Matrix, einem Kernel, einem Feld oder einem Operator beschrieben wird.</w:t>
      </w:r>
    </w:p>
    <w:p w:rsidR="004D08C2" w:rsidRDefault="004D08C2" w:rsidP="004D08C2">
      <w:pPr>
        <w:pStyle w:val="StandardWeb"/>
      </w:pPr>
      <w:r>
        <w:t>Formal entspricht dies der Trennung</w:t>
      </w:r>
    </w:p>
    <w:p w:rsidR="004D08C2" w:rsidRDefault="004D08C2" w:rsidP="004D08C2">
      <w:pPr>
        <w:pStyle w:val="StandardWeb"/>
      </w:pPr>
      <w:r>
        <w:t>[</w:t>
      </w:r>
      <w:r>
        <w:br/>
        <w:t>A_C</w:t>
      </w:r>
      <w:r>
        <w:br/>
        <w:t>\neq</w:t>
      </w:r>
      <w:r>
        <w:br/>
        <w:t>M_{C,i}.</w:t>
      </w:r>
      <w:r>
        <w:br/>
        <w:t>\tag{3.9605}</w:t>
      </w:r>
      <w:r>
        <w:br/>
        <w:t>]</w:t>
      </w:r>
    </w:p>
    <w:p w:rsidR="004D08C2" w:rsidRDefault="004D08C2" w:rsidP="004D08C2">
      <w:pPr>
        <w:pStyle w:val="StandardWeb"/>
      </w:pPr>
      <w:r>
        <w:rPr>
          <w:rStyle w:val="Fett"/>
        </w:rPr>
        <w:lastRenderedPageBreak/>
        <w:t>Word-LaTeX</w:t>
      </w:r>
    </w:p>
    <w:p w:rsidR="004D08C2" w:rsidRDefault="004D08C2" w:rsidP="004D08C2">
      <w:pPr>
        <w:pStyle w:val="HTMLVorformatiert"/>
        <w:rPr>
          <w:rStyle w:val="HTMLCode"/>
        </w:rPr>
      </w:pPr>
      <w:r>
        <w:rPr>
          <w:rStyle w:val="HTMLCode"/>
        </w:rPr>
        <w:t>A_C\neq M_{C,i}</w:t>
      </w:r>
    </w:p>
    <w:p w:rsidR="004D08C2" w:rsidRDefault="004D08C2" w:rsidP="004D08C2">
      <w:pPr>
        <w:pStyle w:val="StandardWeb"/>
      </w:pPr>
      <w:r>
        <w:t>Ebenso ist eine Messvorschrift nicht mit dem theoretischen Gegenstand identisch:</w:t>
      </w:r>
    </w:p>
    <w:p w:rsidR="004D08C2" w:rsidRDefault="004D08C2" w:rsidP="004D08C2">
      <w:pPr>
        <w:pStyle w:val="StandardWeb"/>
      </w:pPr>
      <w:r>
        <w:t>[</w:t>
      </w:r>
      <w:r>
        <w:br/>
        <w:t>C_F</w:t>
      </w:r>
      <w:r>
        <w:br/>
        <w:t>\neq</w:t>
      </w:r>
      <w:r>
        <w:br/>
        <w:t>\widehat C_F.</w:t>
      </w:r>
      <w:r>
        <w:br/>
        <w:t>\tag{3.9606}</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C_F\neq\widehat C_F</w:t>
      </w:r>
    </w:p>
    <w:p w:rsidR="004D08C2" w:rsidRDefault="004D08C2" w:rsidP="004D08C2">
      <w:pPr>
        <w:pStyle w:val="StandardWeb"/>
      </w:pPr>
      <w:r>
        <w:t>Diese Unterscheidung erleichtert auch die Interpretation späterer empirischer Ergebnisse. Wenn eine konkrete Kohärenzmetrik scheitert, bedeutet dies zunächst, dass die betreffende Operationalisierung oder das zugrunde liegende Modell überprüft werden muss. Es bedeutet nicht automatisch, dass das Primäraxiom widerlegt wurde.</w:t>
      </w:r>
    </w:p>
    <w:p w:rsidR="004D08C2" w:rsidRDefault="004D08C2" w:rsidP="004D08C2">
      <w:pPr>
        <w:pStyle w:val="StandardWeb"/>
      </w:pPr>
      <w:r>
        <w:t>Didaktisch lässt sich die Rückprüfung daher durch</w:t>
      </w:r>
    </w:p>
    <w:p w:rsidR="004D08C2" w:rsidRDefault="004D08C2" w:rsidP="004D08C2">
      <w:pPr>
        <w:pStyle w:val="StandardWeb"/>
      </w:pPr>
      <w:r>
        <w:t>[</w:t>
      </w:r>
      <w:r>
        <w:br/>
        <w:t>\boxed{</w:t>
      </w:r>
      <w:r>
        <w:br/>
        <w:t>\text{Messung}</w:t>
      </w:r>
      <w:r>
        <w:br/>
        <w:t>\rightarrow</w:t>
      </w:r>
      <w:r>
        <w:br/>
        <w:t>\text{Operationalisierung}</w:t>
      </w:r>
      <w:r>
        <w:br/>
        <w:t>\rightarrow</w:t>
      </w:r>
      <w:r>
        <w:br/>
        <w:t>\text{Modell}</w:t>
      </w:r>
      <w:r>
        <w:br/>
        <w:t>\rightarrow</w:t>
      </w:r>
      <w:r>
        <w:br/>
        <w:t>\text{Axiom}</w:t>
      </w:r>
      <w:r>
        <w:br/>
        <w:t>}</w:t>
      </w:r>
      <w:r>
        <w:br/>
        <w:t>\tag{3.9607}</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\boxed{\text{Messung}\rightarrow\text{Operationalisierung}\rightarrow\text{Modell}\rightarrow\text{Axiom}}</w:t>
      </w:r>
    </w:p>
    <w:p w:rsidR="004D08C2" w:rsidRDefault="004D08C2" w:rsidP="004D08C2">
      <w:pPr>
        <w:pStyle w:val="StandardWeb"/>
      </w:pPr>
      <w:r>
        <w:t>veranschaulichen.</w:t>
      </w:r>
    </w:p>
    <w:p w:rsidR="004D08C2" w:rsidRDefault="00E50336" w:rsidP="004D08C2">
      <w:r>
        <w:pict>
          <v:rect id="_x0000_i2883" style="width:0;height:1.5pt" o:hralign="center" o:hrstd="t" o:hr="t" fillcolor="#a0a0a0" stroked="f"/>
        </w:pict>
      </w:r>
    </w:p>
    <w:p w:rsidR="004D08C2" w:rsidRDefault="004D08C2" w:rsidP="004D08C2">
      <w:pPr>
        <w:pStyle w:val="berschrift1"/>
      </w:pPr>
      <w:r>
        <w:t>3.3.43.721 Eigenleistung und wissenschaftliche Abgrenzung</w:t>
      </w:r>
    </w:p>
    <w:p w:rsidR="004D08C2" w:rsidRDefault="004D08C2" w:rsidP="004D08C2">
      <w:pPr>
        <w:pStyle w:val="StandardWeb"/>
      </w:pPr>
      <w:r>
        <w:t xml:space="preserve">Die konkrete FRZK-Konstruktion der funktionalen Kohärenz, ihre Zerlegung in die hier verwendeten Statusklassen sowie die Auswahl und Formulierung des Primäraxioms (A_C) </w:t>
      </w:r>
      <w:r>
        <w:lastRenderedPageBreak/>
        <w:t>sind Bestandteile der in dieser Arbeit entwickelten Theoriearchitektur. Die verwendeten allgemeinen mathematischen Werkzeuge und wissenschaftstheoretischen Prinzipien sind davon ausdrücklich zu unterscheiden.</w:t>
      </w:r>
    </w:p>
    <w:p w:rsidR="004D08C2" w:rsidRDefault="004D08C2" w:rsidP="004D08C2">
      <w:pPr>
        <w:pStyle w:val="StandardWeb"/>
      </w:pPr>
      <w:r>
        <w:t>Meine Eigenleistung besteht insbesondere in der systematischen Verbindung</w:t>
      </w:r>
    </w:p>
    <w:p w:rsidR="004D08C2" w:rsidRDefault="004D08C2" w:rsidP="004D08C2">
      <w:pPr>
        <w:pStyle w:val="StandardWeb"/>
      </w:pPr>
      <w:r>
        <w:t>[</w:t>
      </w:r>
      <w:r>
        <w:br/>
        <w:t>\boxed{</w:t>
      </w:r>
      <w:r>
        <w:br/>
        <w:t>\text{FRZK-Kohärenzbegriff}</w:t>
      </w:r>
      <w:r>
        <w:br/>
        <w:t>+</w:t>
      </w:r>
      <w:r>
        <w:br/>
        <w:t>\text{Statusklassifikation}</w:t>
      </w:r>
      <w:r>
        <w:br/>
        <w:t>+</w:t>
      </w:r>
      <w:r>
        <w:br/>
        <w:t>\text{Axiom-Minimalitätsprüfung}</w:t>
      </w:r>
      <w:r>
        <w:br/>
        <w:t>+</w:t>
      </w:r>
      <w:r>
        <w:br/>
        <w:t>\text{Modelloffenheit}.</w:t>
      </w:r>
      <w:r>
        <w:br/>
        <w:t>}</w:t>
      </w:r>
      <w:r>
        <w:br/>
        <w:t>\tag{3.9608}</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\boxed{\text{FRZK-Kohärenzbegriff}+\text{Statusklassifikation}+\text{Axiom-Minimalitätsprüfung}+\text{Modelloffenheit}.}</w:t>
      </w:r>
    </w:p>
    <w:p w:rsidR="004D08C2" w:rsidRDefault="004D08C2" w:rsidP="004D08C2">
      <w:pPr>
        <w:pStyle w:val="StandardWeb"/>
      </w:pPr>
      <w:r>
        <w:t>Ich beanspruche dabei weder etablierte mathematische Begriffe noch allgemeine wissenschaftstheoretische Grundsätze als eigene Entdeckungen. Die Eigenleistung besteht in ihrer konkreten Auswahl, Kombination, formalen Trennung und Anwendung auf die hier entwickelte FRZK-Axiomatik.</w:t>
      </w:r>
    </w:p>
    <w:p w:rsidR="004D08C2" w:rsidRDefault="00E50336" w:rsidP="004D08C2">
      <w:r>
        <w:pict>
          <v:rect id="_x0000_i2884" style="width:0;height:1.5pt" o:hralign="center" o:hrstd="t" o:hr="t" fillcolor="#a0a0a0" stroked="f"/>
        </w:pict>
      </w:r>
    </w:p>
    <w:p w:rsidR="004D08C2" w:rsidRDefault="004D08C2" w:rsidP="004D08C2">
      <w:pPr>
        <w:pStyle w:val="berschrift1"/>
      </w:pPr>
      <w:r>
        <w:t>3.3.43.722 Formaler Gesamtabschluss von Abschnitt 3.3.43</w:t>
      </w:r>
    </w:p>
    <w:p w:rsidR="004D08C2" w:rsidRDefault="004D08C2" w:rsidP="004D08C2">
      <w:pPr>
        <w:pStyle w:val="StandardWeb"/>
      </w:pPr>
      <w:r>
        <w:t>Nach der Gesamtsynthese sowie den methodologischen und didaktischen Betrachtungen kann Abschnitt 3.3.43 formal abgeschlossen werden.</w:t>
      </w:r>
    </w:p>
    <w:p w:rsidR="004D08C2" w:rsidRDefault="004D08C2" w:rsidP="004D08C2">
      <w:pPr>
        <w:pStyle w:val="StandardWeb"/>
      </w:pPr>
      <w:r>
        <w:t>Die endgültige Kohärenzarchitektur lautet</w:t>
      </w:r>
    </w:p>
    <w:p w:rsidR="004D08C2" w:rsidRDefault="004D08C2" w:rsidP="004D08C2">
      <w:pPr>
        <w:pStyle w:val="berschrift1"/>
      </w:pPr>
      <w:r>
        <w:t>[</w:t>
      </w:r>
      <w:r>
        <w:br/>
        <w:t>\boxed{</w:t>
      </w:r>
      <w:r>
        <w:br/>
        <w:t>\mathfrak C_{3.3.43}^{\mathrm{final}}</w:t>
      </w:r>
    </w:p>
    <w:p w:rsidR="004D08C2" w:rsidRDefault="004D08C2" w:rsidP="004D08C2">
      <w:pPr>
        <w:pStyle w:val="StandardWeb"/>
      </w:pPr>
      <w:r>
        <w:t>\left(</w:t>
      </w:r>
      <w:r>
        <w:br/>
        <w:t>{A_C},</w:t>
      </w:r>
      <w:r>
        <w:br/>
        <w:t>\mathfrak D_C,</w:t>
      </w:r>
      <w:r>
        <w:br/>
        <w:t>\mathfrak M_C,</w:t>
      </w:r>
      <w:r>
        <w:br/>
        <w:t>\mathfrak O_C</w:t>
      </w:r>
      <w:r>
        <w:br/>
      </w:r>
      <w:r>
        <w:lastRenderedPageBreak/>
        <w:t>\right).</w:t>
      </w:r>
      <w:r>
        <w:br/>
        <w:t>}</w:t>
      </w:r>
      <w:r>
        <w:br/>
        <w:t>\tag{3.9609}</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\boxed{\mathfrak C_{3.3.43}^{\mathrm{final}}=\left(\{A_C\},\mathfrak D_C,\mathfrak M_C,\mathfrak O_C\right).}</w:t>
      </w:r>
    </w:p>
    <w:p w:rsidR="004D08C2" w:rsidRDefault="004D08C2" w:rsidP="004D08C2">
      <w:pPr>
        <w:pStyle w:val="StandardWeb"/>
      </w:pPr>
      <w:r>
        <w:t>Für die Primäraxiomatik gilt endgültig</w:t>
      </w:r>
    </w:p>
    <w:p w:rsidR="004D08C2" w:rsidRDefault="004D08C2" w:rsidP="004D08C2">
      <w:pPr>
        <w:pStyle w:val="berschrift1"/>
      </w:pPr>
      <w:r>
        <w:t>[</w:t>
      </w:r>
      <w:r>
        <w:br/>
        <w:t>\boxed{</w:t>
      </w:r>
      <w:r>
        <w:br/>
        <w:t>\mathfrak A_{3.3.43}^{\mathrm{final}}</w:t>
      </w:r>
    </w:p>
    <w:p w:rsidR="004D08C2" w:rsidRDefault="004D08C2" w:rsidP="004D08C2">
      <w:pPr>
        <w:pStyle w:val="berschrift1"/>
      </w:pPr>
      <w:r>
        <w:t>{A_C},</w:t>
      </w:r>
      <w:r>
        <w:br/>
        <w:t>\qquad</w:t>
      </w:r>
      <w:r>
        <w:br/>
        <w:t>\left|</w:t>
      </w:r>
      <w:r>
        <w:br/>
        <w:t>\mathfrak A_{3.3.43}^{\mathrm{final}}</w:t>
      </w:r>
      <w:r>
        <w:br/>
        <w:t>\right|</w:t>
      </w:r>
    </w:p>
    <w:p w:rsidR="004D08C2" w:rsidRDefault="004D08C2" w:rsidP="00152216">
      <w:pPr>
        <w:numPr>
          <w:ilvl w:val="0"/>
          <w:numId w:val="449"/>
        </w:numPr>
        <w:spacing w:before="100" w:beforeAutospacing="1" w:after="100" w:afterAutospacing="1"/>
      </w:pPr>
    </w:p>
    <w:p w:rsidR="004D08C2" w:rsidRDefault="004D08C2" w:rsidP="004D08C2">
      <w:pPr>
        <w:pStyle w:val="StandardWeb"/>
      </w:pPr>
      <w:r>
        <w:t>}</w:t>
      </w:r>
      <w:r>
        <w:br/>
        <w:t>\tag{3.9610}</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\boxed{\mathfrak A_{3.3.43}^{\mathrm{final}}=\{A_C\},\qquad\left|\mathfrak A_{3.3.43}^{\mathrm{final}}\right|=1.}</w:t>
      </w:r>
    </w:p>
    <w:p w:rsidR="004D08C2" w:rsidRDefault="004D08C2" w:rsidP="004D08C2">
      <w:pPr>
        <w:pStyle w:val="StandardWeb"/>
      </w:pPr>
      <w:r>
        <w:t>Für die Prüfung auf verdeckte Primäraxiome gilt</w:t>
      </w:r>
    </w:p>
    <w:p w:rsidR="004D08C2" w:rsidRDefault="004D08C2" w:rsidP="004D08C2">
      <w:pPr>
        <w:pStyle w:val="StandardWeb"/>
      </w:pPr>
      <w:r>
        <w:t>[</w:t>
      </w:r>
      <w:r>
        <w:br/>
        <w:t>\boxed{</w:t>
      </w:r>
      <w:r>
        <w:br/>
        <w:t>\mathfrak H_C=\varnothing.</w:t>
      </w:r>
      <w:r>
        <w:br/>
        <w:t>}</w:t>
      </w:r>
      <w:r>
        <w:br/>
        <w:t>\tag{3.9611}</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\boxed{\mathfrak H_C=\varnothing.}</w:t>
      </w:r>
    </w:p>
    <w:p w:rsidR="004D08C2" w:rsidRDefault="004D08C2" w:rsidP="004D08C2">
      <w:pPr>
        <w:pStyle w:val="StandardWeb"/>
      </w:pPr>
      <w:r>
        <w:lastRenderedPageBreak/>
        <w:t>Für die Statuskonsistenz gilt</w:t>
      </w:r>
    </w:p>
    <w:p w:rsidR="004D08C2" w:rsidRDefault="004D08C2" w:rsidP="004D08C2">
      <w:pPr>
        <w:pStyle w:val="StandardWeb"/>
      </w:pPr>
      <w:r>
        <w:t>[</w:t>
      </w:r>
      <w:r>
        <w:br/>
        <w:t>\boxed{</w:t>
      </w:r>
      <w:r>
        <w:br/>
        <w:t>\sum_X</w:t>
      </w:r>
      <w:r>
        <w:br/>
        <w:t>\operatorname{Conf}_{\mathrm{Stat}}(X)=0.</w:t>
      </w:r>
      <w:r>
        <w:br/>
        <w:t>}</w:t>
      </w:r>
      <w:r>
        <w:br/>
        <w:t>\tag{3.9612}</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\boxed{\sum_X\operatorname{Conf}_{\mathrm{Stat}}(X)=0.}</w:t>
      </w:r>
    </w:p>
    <w:p w:rsidR="004D08C2" w:rsidRDefault="004D08C2" w:rsidP="004D08C2">
      <w:pPr>
        <w:pStyle w:val="StandardWeb"/>
      </w:pPr>
      <w:r>
        <w:t>Damit ergibt sich abschließend</w:t>
      </w:r>
    </w:p>
    <w:p w:rsidR="004D08C2" w:rsidRDefault="004D08C2" w:rsidP="004D08C2">
      <w:pPr>
        <w:pStyle w:val="StandardWeb"/>
      </w:pPr>
      <w:r>
        <w:t>[</w:t>
      </w:r>
      <w:r>
        <w:br/>
        <w:t>\boxed{</w:t>
      </w:r>
      <w:r>
        <w:br/>
        <w:t>\operatorname{CleanAx}(3.3.43)=1.</w:t>
      </w:r>
      <w:r>
        <w:br/>
        <w:t>}</w:t>
      </w:r>
      <w:r>
        <w:br/>
        <w:t>\tag{3.9613}</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\boxed{\operatorname{CleanAx}(3.3.43)=1.}</w:t>
      </w:r>
    </w:p>
    <w:p w:rsidR="004D08C2" w:rsidRDefault="004D08C2" w:rsidP="004D08C2">
      <w:pPr>
        <w:pStyle w:val="StandardWeb"/>
      </w:pPr>
      <w:r>
        <w:t>Der formale Abschnittsstatus lautet somit</w:t>
      </w:r>
    </w:p>
    <w:p w:rsidR="004D08C2" w:rsidRDefault="004D08C2" w:rsidP="004D08C2">
      <w:pPr>
        <w:pStyle w:val="berschrift1"/>
      </w:pPr>
      <w:r>
        <w:t>[</w:t>
      </w:r>
      <w:r>
        <w:br/>
        <w:t>\boxed{</w:t>
      </w:r>
      <w:r>
        <w:br/>
        <w:t>\operatorname{Status}(3.3.43)</w:t>
      </w:r>
    </w:p>
    <w:p w:rsidR="004D08C2" w:rsidRDefault="004D08C2" w:rsidP="004D08C2">
      <w:pPr>
        <w:pStyle w:val="StandardWeb"/>
      </w:pPr>
      <w:r>
        <w:t>\mathrm{abgeschlossen}.</w:t>
      </w:r>
      <w:r>
        <w:br/>
        <w:t>}</w:t>
      </w:r>
      <w:r>
        <w:br/>
        <w:t>\tag{3.9614}</w:t>
      </w:r>
      <w:r>
        <w:br/>
        <w:t>]</w:t>
      </w:r>
    </w:p>
    <w:p w:rsidR="004D08C2" w:rsidRDefault="004D08C2" w:rsidP="004D08C2">
      <w:pPr>
        <w:pStyle w:val="StandardWeb"/>
      </w:pPr>
      <w:r>
        <w:rPr>
          <w:rStyle w:val="Fett"/>
        </w:rPr>
        <w:t>Word-LaTeX</w:t>
      </w:r>
    </w:p>
    <w:p w:rsidR="004D08C2" w:rsidRDefault="004D08C2" w:rsidP="004D08C2">
      <w:pPr>
        <w:pStyle w:val="HTMLVorformatiert"/>
        <w:rPr>
          <w:rStyle w:val="HTMLCode"/>
        </w:rPr>
      </w:pPr>
      <w:r>
        <w:rPr>
          <w:rStyle w:val="HTMLCode"/>
        </w:rPr>
        <w:t>\boxed{\operatorname{Status}(3.3.43)=\mathrm{abgeschlossen}.}</w:t>
      </w:r>
    </w:p>
    <w:p w:rsidR="004D08C2" w:rsidRDefault="004D08C2" w:rsidP="004D08C2">
      <w:pPr>
        <w:pStyle w:val="StandardWeb"/>
      </w:pPr>
      <w:r>
        <w:t xml:space="preserve">Damit ist </w:t>
      </w:r>
      <w:r>
        <w:rPr>
          <w:rStyle w:val="Fett"/>
        </w:rPr>
        <w:t>Abschnitt 3.3.43 vollständig abgeschlossen</w:t>
      </w:r>
      <w:r>
        <w:t>.</w:t>
      </w:r>
    </w:p>
    <w:p w:rsidR="004D08C2" w:rsidRDefault="004D08C2" w:rsidP="004D08C2">
      <w:pPr>
        <w:pStyle w:val="StandardWeb"/>
      </w:pPr>
      <w:r>
        <w:t xml:space="preserve">Der bestätigte Endstand ist damit: </w:t>
      </w:r>
      <w:r>
        <w:rPr>
          <w:rStyle w:val="Fett"/>
        </w:rPr>
        <w:t>letzter Unterabschnitt 3.3.43.722</w:t>
      </w:r>
      <w:r>
        <w:t xml:space="preserve">, </w:t>
      </w:r>
      <w:r>
        <w:rPr>
          <w:rStyle w:val="Fett"/>
        </w:rPr>
        <w:t>letzte Gleichung (3.9614)</w:t>
      </w:r>
      <w:r>
        <w:t xml:space="preserve">, </w:t>
      </w:r>
      <w:r>
        <w:rPr>
          <w:rStyle w:val="Fett"/>
        </w:rPr>
        <w:t>letzte Definition 3.3.72</w:t>
      </w:r>
      <w:r>
        <w:t xml:space="preserve">, </w:t>
      </w:r>
      <w:r>
        <w:rPr>
          <w:rStyle w:val="Fett"/>
        </w:rPr>
        <w:t>letzter Satz 3.3.31</w:t>
      </w:r>
      <w:r>
        <w:t xml:space="preserve">, </w:t>
      </w:r>
      <w:r>
        <w:rPr>
          <w:rStyle w:val="Fett"/>
        </w:rPr>
        <w:t>letztes Korollar 3.3.10</w:t>
      </w:r>
      <w:r>
        <w:t xml:space="preserve">. Die nächste freie Gleichungsnummer ist </w:t>
      </w:r>
      <w:r>
        <w:rPr>
          <w:rStyle w:val="Fett"/>
        </w:rPr>
        <w:t>(3.9615)</w:t>
      </w:r>
      <w:r>
        <w:t xml:space="preserve">. Der nächste Arbeitsabschnitt ist </w:t>
      </w:r>
      <w:r>
        <w:rPr>
          <w:rStyle w:val="Fett"/>
        </w:rPr>
        <w:t>3.3.44</w:t>
      </w:r>
      <w:r>
        <w:t>.</w:t>
      </w:r>
    </w:p>
    <w:p w:rsidR="00FF47C8" w:rsidRDefault="00FF47C8" w:rsidP="00FF47C8">
      <w:pPr>
        <w:pStyle w:val="berschrift1"/>
        <w:rPr>
          <w:rFonts w:cs="Times New Roman"/>
          <w:sz w:val="48"/>
          <w:szCs w:val="48"/>
        </w:rPr>
      </w:pPr>
      <w:r>
        <w:lastRenderedPageBreak/>
        <w:t>3.3.44 Funktionale Zustandsübergänge und Kohärenzwechsel</w:t>
      </w:r>
    </w:p>
    <w:p w:rsidR="00FF47C8" w:rsidRDefault="00FF47C8" w:rsidP="00FF47C8">
      <w:pPr>
        <w:pStyle w:val="StandardWeb"/>
      </w:pPr>
      <w:r>
        <w:t>Nachdem ich in Abschnitt 3.3.43 die funktionale Kohärenz axiomatisch bereinigt und auf ein einziges Primäraxiom zurückgeführt habe, muss ich nun untersuchen, wie sich funktional kohärente Zustände verändern können. Dabei darf ich nicht voraussetzen, dass jeder Zustandswechsel bereits durch eine bestimmte Differentialgleichung, eine kontinuierliche Zeitentwicklung oder eine vorgegebene Raum-Zeit-Geometrie beschrieben werden muss. Der folgende Abschnitt beginnt deshalb erneut mit der minimalen strukturellen Frage, unter welchen Bedingungen ein Übergang zwischen zwei zulässigen funktionalen Zuständen überhaupt als FRZK-Zustandsübergang bezeichnet werden kann.</w:t>
      </w:r>
    </w:p>
    <w:p w:rsidR="00FF47C8" w:rsidRDefault="00FF47C8" w:rsidP="00FF47C8">
      <w:pPr>
        <w:pStyle w:val="StandardWeb"/>
      </w:pPr>
      <w:r>
        <w:t>Die Ausgangslage ist eine Menge zulässiger funktionaler Zustände</w:t>
      </w:r>
    </w:p>
    <w:p w:rsidR="00FF47C8" w:rsidRDefault="00FF47C8" w:rsidP="00FF47C8">
      <w:pPr>
        <w:pStyle w:val="berschrift1"/>
      </w:pPr>
      <w:r>
        <w:t>[</w:t>
      </w:r>
      <w:r>
        <w:br/>
        <w:t>\Omega_F</w:t>
      </w:r>
    </w:p>
    <w:p w:rsidR="00FF47C8" w:rsidRDefault="00FF47C8" w:rsidP="00FF47C8">
      <w:pPr>
        <w:pStyle w:val="StandardWeb"/>
      </w:pPr>
      <w:r>
        <w:t>\left{</w:t>
      </w:r>
      <w:r>
        <w:br/>
        <w:t>z_1,z_2,\ldots</w:t>
      </w:r>
      <w:r>
        <w:br/>
        <w:t>\right}.</w:t>
      </w:r>
      <w:r>
        <w:br/>
        <w:t>\tag{3.9615}</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\Omega_F=\left\{z_1,z_2,\ldots\right\}</w:t>
      </w:r>
    </w:p>
    <w:p w:rsidR="00FF47C8" w:rsidRDefault="00FF47C8" w:rsidP="00FF47C8">
      <w:pPr>
        <w:pStyle w:val="StandardWeb"/>
      </w:pPr>
      <w:r>
        <w:t>Ein einzelner Zustand</w:t>
      </w:r>
    </w:p>
    <w:p w:rsidR="00FF47C8" w:rsidRDefault="00FF47C8" w:rsidP="00FF47C8">
      <w:pPr>
        <w:pStyle w:val="StandardWeb"/>
      </w:pPr>
      <w:r>
        <w:t>[</w:t>
      </w:r>
      <w:r>
        <w:br/>
        <w:t>z\in\Omega_F</w:t>
      </w:r>
      <w:r>
        <w:br/>
        <w:t>\tag{3.9616}</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z\in\Omega_F</w:t>
      </w:r>
    </w:p>
    <w:p w:rsidR="00FF47C8" w:rsidRDefault="00FF47C8" w:rsidP="00FF47C8">
      <w:pPr>
        <w:pStyle w:val="StandardWeb"/>
      </w:pPr>
      <w:r>
        <w:t>bezeichnet dabei weiterhin keine bloße Koordinate, sondern eine vollständige funktionale Zustandsbeschreibung innerhalb des jeweils betrachteten FRZK-Modells.</w:t>
      </w:r>
    </w:p>
    <w:p w:rsidR="00FF47C8" w:rsidRDefault="00E50336" w:rsidP="00FF47C8">
      <w:r>
        <w:pict>
          <v:rect id="_x0000_i2885" style="width:0;height:1.5pt" o:hralign="center" o:hrstd="t" o:hr="t" fillcolor="#a0a0a0" stroked="f"/>
        </w:pict>
      </w:r>
    </w:p>
    <w:p w:rsidR="00FF47C8" w:rsidRDefault="00FF47C8" w:rsidP="00FF47C8">
      <w:pPr>
        <w:pStyle w:val="berschrift1"/>
      </w:pPr>
      <w:r>
        <w:t>3.3.44.1 Ausgangsproblem</w:t>
      </w:r>
    </w:p>
    <w:p w:rsidR="00FF47C8" w:rsidRDefault="00FF47C8" w:rsidP="00FF47C8">
      <w:pPr>
        <w:pStyle w:val="StandardWeb"/>
      </w:pPr>
      <w:r>
        <w:t>Die bloße Existenz mehrerer Zustände impliziert noch keinen Übergang zwischen ihnen. Aus</w:t>
      </w:r>
    </w:p>
    <w:p w:rsidR="00FF47C8" w:rsidRDefault="00FF47C8" w:rsidP="00FF47C8">
      <w:pPr>
        <w:pStyle w:val="StandardWeb"/>
      </w:pPr>
      <w:r>
        <w:lastRenderedPageBreak/>
        <w:t>[</w:t>
      </w:r>
      <w:r>
        <w:br/>
        <w:t>z_i,z_j\in\Omega_F</w:t>
      </w:r>
      <w:r>
        <w:br/>
        <w:t>\tag{3.9617}</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z_i,z_j\in\Omega_F</w:t>
      </w:r>
    </w:p>
    <w:p w:rsidR="00FF47C8" w:rsidRDefault="00FF47C8" w:rsidP="00FF47C8">
      <w:pPr>
        <w:pStyle w:val="StandardWeb"/>
      </w:pPr>
      <w:r>
        <w:t>folgt insbesondere nicht automatisch</w:t>
      </w:r>
    </w:p>
    <w:p w:rsidR="00FF47C8" w:rsidRDefault="00FF47C8" w:rsidP="00FF47C8">
      <w:pPr>
        <w:pStyle w:val="StandardWeb"/>
      </w:pPr>
      <w:r>
        <w:t>[</w:t>
      </w:r>
      <w:r>
        <w:br/>
        <w:t>z_i\rightarrow z_j.</w:t>
      </w:r>
      <w:r>
        <w:br/>
        <w:t>\tag{3.9618}</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z_i\rightarrow z_j</w:t>
      </w:r>
    </w:p>
    <w:p w:rsidR="00FF47C8" w:rsidRDefault="00FF47C8" w:rsidP="00FF47C8">
      <w:pPr>
        <w:pStyle w:val="StandardWeb"/>
      </w:pPr>
      <w:r>
        <w:t>Damit muss zwischen der Existenz zweier Zustände und der Existenz einer zulässigen Transformation zwischen diesen Zuständen unterschieden werden.</w:t>
      </w:r>
    </w:p>
    <w:p w:rsidR="00FF47C8" w:rsidRDefault="00FF47C8" w:rsidP="00FF47C8">
      <w:pPr>
        <w:pStyle w:val="StandardWeb"/>
      </w:pPr>
      <w:r>
        <w:t>Ich führe deshalb zunächst eine allgemeine Übergangsrelation</w:t>
      </w:r>
    </w:p>
    <w:p w:rsidR="00FF47C8" w:rsidRDefault="00FF47C8" w:rsidP="00FF47C8">
      <w:pPr>
        <w:pStyle w:val="StandardWeb"/>
      </w:pPr>
      <w:r>
        <w:t>[</w:t>
      </w:r>
      <w:r>
        <w:br/>
        <w:t>\mathcal T_F</w:t>
      </w:r>
      <w:r>
        <w:br/>
        <w:t>\subseteq</w:t>
      </w:r>
      <w:r>
        <w:br/>
        <w:t>\Omega_F\times\Omega_F</w:t>
      </w:r>
      <w:r>
        <w:br/>
        <w:t>\tag{3.9619}</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\mathcal T_F\subseteq\Omega_F\times\Omega_F</w:t>
      </w:r>
    </w:p>
    <w:p w:rsidR="00FF47C8" w:rsidRDefault="00FF47C8" w:rsidP="00FF47C8">
      <w:pPr>
        <w:pStyle w:val="StandardWeb"/>
      </w:pPr>
      <w:r>
        <w:t>ein.</w:t>
      </w:r>
    </w:p>
    <w:p w:rsidR="00FF47C8" w:rsidRDefault="00FF47C8" w:rsidP="00FF47C8">
      <w:pPr>
        <w:pStyle w:val="StandardWeb"/>
      </w:pPr>
      <w:r>
        <w:t>Die Aussage</w:t>
      </w:r>
    </w:p>
    <w:p w:rsidR="00FF47C8" w:rsidRDefault="00FF47C8" w:rsidP="00FF47C8">
      <w:pPr>
        <w:pStyle w:val="StandardWeb"/>
      </w:pPr>
      <w:r>
        <w:t>[</w:t>
      </w:r>
      <w:r>
        <w:br/>
        <w:t>(z_i,z_j)\in\mathcal T_F</w:t>
      </w:r>
      <w:r>
        <w:br/>
        <w:t>\tag{3.9620}</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(z_i,z_j)\in\mathcal T_F</w:t>
      </w:r>
    </w:p>
    <w:p w:rsidR="00FF47C8" w:rsidRDefault="00FF47C8" w:rsidP="00FF47C8">
      <w:pPr>
        <w:pStyle w:val="StandardWeb"/>
      </w:pPr>
      <w:r>
        <w:t>bedeutet, dass innerhalb des betrachteten FRZK-Modells ein funktional zulässiger Übergang von (z_i) nach (z_j) existiert.</w:t>
      </w:r>
    </w:p>
    <w:p w:rsidR="00FF47C8" w:rsidRDefault="00E50336" w:rsidP="00FF47C8">
      <w:r>
        <w:lastRenderedPageBreak/>
        <w:pict>
          <v:rect id="_x0000_i2886" style="width:0;height:1.5pt" o:hralign="center" o:hrstd="t" o:hr="t" fillcolor="#a0a0a0" stroked="f"/>
        </w:pict>
      </w:r>
    </w:p>
    <w:p w:rsidR="00FF47C8" w:rsidRDefault="00FF47C8" w:rsidP="00FF47C8">
      <w:pPr>
        <w:pStyle w:val="berschrift1"/>
      </w:pPr>
      <w:r>
        <w:t>3.3.44.2 Definition 3.3.73 – Funktionaler Zustandsübergang</w:t>
      </w:r>
    </w:p>
    <w:p w:rsidR="00FF47C8" w:rsidRDefault="00FF47C8" w:rsidP="00FF47C8">
      <w:pPr>
        <w:pStyle w:val="berschrift3"/>
      </w:pPr>
      <w:r>
        <w:t>Definition 3.3.73</w:t>
      </w:r>
    </w:p>
    <w:p w:rsidR="00FF47C8" w:rsidRDefault="00FF47C8" w:rsidP="00FF47C8">
      <w:pPr>
        <w:pStyle w:val="StandardWeb"/>
      </w:pPr>
      <w:r>
        <w:t xml:space="preserve">Ein </w:t>
      </w:r>
      <w:r>
        <w:rPr>
          <w:rStyle w:val="Fett"/>
        </w:rPr>
        <w:t>funktionaler Zustandsübergang</w:t>
      </w:r>
      <w:r>
        <w:t xml:space="preserve"> ist eine zulässige Veränderung eines funktionalen Zustandes (z_i\in\Omega_F) in einen funktionalen Zustand (z_j\in\Omega_F), sofern zwischen beiden Zuständen eine im betrachteten Modell definierte Übergangsrelation besteht.</w:t>
      </w:r>
    </w:p>
    <w:p w:rsidR="00FF47C8" w:rsidRDefault="00FF47C8" w:rsidP="00FF47C8">
      <w:pPr>
        <w:pStyle w:val="StandardWeb"/>
      </w:pPr>
      <w:r>
        <w:t>Formal gilt</w:t>
      </w:r>
    </w:p>
    <w:p w:rsidR="00FF47C8" w:rsidRDefault="00FF47C8" w:rsidP="00FF47C8">
      <w:pPr>
        <w:pStyle w:val="StandardWeb"/>
      </w:pPr>
      <w:r>
        <w:t>[</w:t>
      </w:r>
      <w:r>
        <w:br/>
        <w:t>z_i</w:t>
      </w:r>
      <w:r>
        <w:br/>
        <w:t>\xrightarrow{\mathcal T_F}</w:t>
      </w:r>
      <w:r>
        <w:br/>
        <w:t>z_j</w:t>
      </w:r>
      <w:r>
        <w:br/>
        <w:t>\Longleftrightarrow</w:t>
      </w:r>
      <w:r>
        <w:br/>
        <w:t>(z_i,z_j)\in\mathcal T_F.</w:t>
      </w:r>
      <w:r>
        <w:br/>
        <w:t>\tag{3.9621}</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z_i\xrightarrow{\mathcal T_F}z_j\Longleftrightarrow(z_i,z_j)\in\mathcal T_F</w:t>
      </w:r>
    </w:p>
    <w:p w:rsidR="00FF47C8" w:rsidRDefault="00FF47C8" w:rsidP="00FF47C8">
      <w:pPr>
        <w:pStyle w:val="StandardWeb"/>
      </w:pPr>
      <w:r>
        <w:t>Diese Definition legt zunächst weder fest, wodurch der Übergang verursacht wird, noch ob er kontinuierlich, diskret, deterministisch oder stochastisch erfolgt.</w:t>
      </w:r>
    </w:p>
    <w:p w:rsidR="00FF47C8" w:rsidRDefault="00E50336" w:rsidP="00FF47C8">
      <w:r>
        <w:pict>
          <v:rect id="_x0000_i2887" style="width:0;height:1.5pt" o:hralign="center" o:hrstd="t" o:hr="t" fillcolor="#a0a0a0" stroked="f"/>
        </w:pict>
      </w:r>
    </w:p>
    <w:p w:rsidR="00FF47C8" w:rsidRDefault="00FF47C8" w:rsidP="00FF47C8">
      <w:pPr>
        <w:pStyle w:val="berschrift1"/>
      </w:pPr>
      <w:r>
        <w:t>3.3.44.3 Übergangsrelation und Übergangsoperator</w:t>
      </w:r>
    </w:p>
    <w:p w:rsidR="00FF47C8" w:rsidRDefault="00FF47C8" w:rsidP="00FF47C8">
      <w:pPr>
        <w:pStyle w:val="StandardWeb"/>
      </w:pPr>
      <w:r>
        <w:t>Ist eine Übergangsrelation funktional eindeutig, kann sie durch einen Operator dargestellt werden:</w:t>
      </w:r>
    </w:p>
    <w:p w:rsidR="00FF47C8" w:rsidRDefault="00FF47C8" w:rsidP="00FF47C8">
      <w:pPr>
        <w:pStyle w:val="StandardWeb"/>
      </w:pPr>
      <w:r>
        <w:t>[</w:t>
      </w:r>
      <w:r>
        <w:br/>
        <w:t>T_F:</w:t>
      </w:r>
      <w:r>
        <w:br/>
        <w:t>\Omega_F</w:t>
      </w:r>
      <w:r>
        <w:br/>
        <w:t>\rightarrow</w:t>
      </w:r>
      <w:r>
        <w:br/>
        <w:t>\Omega_F.</w:t>
      </w:r>
      <w:r>
        <w:br/>
        <w:t>\tag{3.9622}</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T_F:\Omega_F\rightarrow\Omega_F</w:t>
      </w:r>
    </w:p>
    <w:p w:rsidR="00FF47C8" w:rsidRDefault="00FF47C8" w:rsidP="00FF47C8">
      <w:pPr>
        <w:pStyle w:val="StandardWeb"/>
      </w:pPr>
      <w:r>
        <w:t>Dann gilt</w:t>
      </w:r>
    </w:p>
    <w:p w:rsidR="00FF47C8" w:rsidRDefault="00FF47C8" w:rsidP="00FF47C8">
      <w:pPr>
        <w:pStyle w:val="berschrift1"/>
      </w:pPr>
      <w:r>
        <w:lastRenderedPageBreak/>
        <w:t>[</w:t>
      </w:r>
      <w:r>
        <w:br/>
        <w:t>z_j</w:t>
      </w:r>
    </w:p>
    <w:p w:rsidR="00FF47C8" w:rsidRDefault="00FF47C8" w:rsidP="00FF47C8">
      <w:pPr>
        <w:pStyle w:val="StandardWeb"/>
      </w:pPr>
      <w:r>
        <w:t>T_F(z_i).</w:t>
      </w:r>
      <w:r>
        <w:br/>
        <w:t>\tag{3.9623}</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z_j=T_F(z_i)</w:t>
      </w:r>
    </w:p>
    <w:p w:rsidR="00FF47C8" w:rsidRDefault="00FF47C8" w:rsidP="00FF47C8">
      <w:pPr>
        <w:pStyle w:val="StandardWeb"/>
      </w:pPr>
      <w:r>
        <w:t>Die Existenz eines solchen Operators ist jedoch stärker als die bloße Existenz einer Relation (\mathcal T_F). Für mehrdeutige, verzweigte oder stochastische Übergänge ist eine einfache Abbildung</w:t>
      </w:r>
    </w:p>
    <w:p w:rsidR="00FF47C8" w:rsidRDefault="00FF47C8" w:rsidP="00FF47C8">
      <w:pPr>
        <w:pStyle w:val="StandardWeb"/>
      </w:pPr>
      <w:r>
        <w:t>[</w:t>
      </w:r>
      <w:r>
        <w:br/>
        <w:t>T_F:\Omega_F\rightarrow\Omega_F</w:t>
      </w:r>
      <w:r>
        <w:br/>
        <w:t>\tag{3.9624}</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T_F:\Omega_F\rightarrow\Omega_F</w:t>
      </w:r>
    </w:p>
    <w:p w:rsidR="00FF47C8" w:rsidRDefault="00FF47C8" w:rsidP="00FF47C8">
      <w:pPr>
        <w:pStyle w:val="StandardWeb"/>
      </w:pPr>
      <w:r>
        <w:t>nicht ausreichend.</w:t>
      </w:r>
    </w:p>
    <w:p w:rsidR="00FF47C8" w:rsidRDefault="00E50336" w:rsidP="00FF47C8">
      <w:r>
        <w:pict>
          <v:rect id="_x0000_i2888" style="width:0;height:1.5pt" o:hralign="center" o:hrstd="t" o:hr="t" fillcolor="#a0a0a0" stroked="f"/>
        </w:pict>
      </w:r>
    </w:p>
    <w:p w:rsidR="00FF47C8" w:rsidRDefault="00FF47C8" w:rsidP="00FF47C8">
      <w:pPr>
        <w:pStyle w:val="berschrift1"/>
      </w:pPr>
      <w:r>
        <w:t>3.3.44.4 Mehrwertige Übergänge</w:t>
      </w:r>
    </w:p>
    <w:p w:rsidR="00FF47C8" w:rsidRDefault="00FF47C8" w:rsidP="00FF47C8">
      <w:pPr>
        <w:pStyle w:val="StandardWeb"/>
      </w:pPr>
      <w:r>
        <w:t>Für einen Zustand (z_i) können mehrere zulässige Folgezustände existieren:</w:t>
      </w:r>
    </w:p>
    <w:p w:rsidR="00FF47C8" w:rsidRDefault="00FF47C8" w:rsidP="00FF47C8">
      <w:pPr>
        <w:pStyle w:val="StandardWeb"/>
      </w:pPr>
      <w:r>
        <w:t>[</w:t>
      </w:r>
      <w:r>
        <w:br/>
        <w:t>\left|</w:t>
      </w:r>
      <w:r>
        <w:br/>
        <w:t>\left{</w:t>
      </w:r>
      <w:r>
        <w:br/>
        <w:t>z_j\in\Omega_F:</w:t>
      </w:r>
      <w:r>
        <w:br/>
        <w:t>(z_i,z_j)\in\mathcal T_F</w:t>
      </w:r>
      <w:r>
        <w:br/>
        <w:t>\right}</w:t>
      </w:r>
      <w:r>
        <w:br/>
        <w:t>\right|</w:t>
      </w:r>
    </w:p>
    <w:p w:rsidR="00FF47C8" w:rsidRDefault="00FF47C8" w:rsidP="00FF47C8">
      <w:pPr>
        <w:pStyle w:val="StandardWeb"/>
      </w:pPr>
      <w:r>
        <w:t>1.</w:t>
      </w:r>
      <w:r>
        <w:br/>
        <w:t>\tag{3.9625}</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\left|\left\{z_j\in\Omega_F:(z_i,z_j)\in\mathcal T_F\right\}\right|&gt;1</w:t>
      </w:r>
    </w:p>
    <w:p w:rsidR="00FF47C8" w:rsidRDefault="00FF47C8" w:rsidP="00FF47C8">
      <w:pPr>
        <w:pStyle w:val="StandardWeb"/>
      </w:pPr>
      <w:r>
        <w:t>In diesem Fall ist die Übergangsstruktur nicht durch eine gewöhnliche eindeutige Abbildung beschrieben.</w:t>
      </w:r>
    </w:p>
    <w:p w:rsidR="00FF47C8" w:rsidRDefault="00FF47C8" w:rsidP="00FF47C8">
      <w:pPr>
        <w:pStyle w:val="StandardWeb"/>
      </w:pPr>
      <w:r>
        <w:lastRenderedPageBreak/>
        <w:t>Ich kann dann eine mengenwertige Abbildung verwenden:</w:t>
      </w:r>
    </w:p>
    <w:p w:rsidR="00FF47C8" w:rsidRDefault="00FF47C8" w:rsidP="00FF47C8">
      <w:pPr>
        <w:pStyle w:val="StandardWeb"/>
      </w:pPr>
      <w:r>
        <w:t>[</w:t>
      </w:r>
      <w:r>
        <w:br/>
        <w:t>\mathbb T_F:</w:t>
      </w:r>
      <w:r>
        <w:br/>
        <w:t>\Omega_F</w:t>
      </w:r>
      <w:r>
        <w:br/>
        <w:t>\rightarrow</w:t>
      </w:r>
      <w:r>
        <w:br/>
        <w:t>\mathcal P(\Omega_F),</w:t>
      </w:r>
      <w:r>
        <w:br/>
        <w:t>\tag{3.9626}</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\mathbb T_F:\Omega_F\rightarrow\mathcal P(\Omega_F)</w:t>
      </w:r>
    </w:p>
    <w:p w:rsidR="00FF47C8" w:rsidRDefault="00FF47C8" w:rsidP="00FF47C8">
      <w:pPr>
        <w:pStyle w:val="StandardWeb"/>
      </w:pPr>
      <w:r>
        <w:t>mit</w:t>
      </w:r>
    </w:p>
    <w:p w:rsidR="00FF47C8" w:rsidRDefault="00FF47C8" w:rsidP="00FF47C8">
      <w:pPr>
        <w:pStyle w:val="berschrift1"/>
      </w:pPr>
      <w:r>
        <w:t>[</w:t>
      </w:r>
      <w:r>
        <w:br/>
        <w:t>\mathbb T_F(z_i)</w:t>
      </w:r>
    </w:p>
    <w:p w:rsidR="00FF47C8" w:rsidRDefault="00FF47C8" w:rsidP="00FF47C8">
      <w:pPr>
        <w:pStyle w:val="StandardWeb"/>
      </w:pPr>
      <w:r>
        <w:t>\left{</w:t>
      </w:r>
      <w:r>
        <w:br/>
        <w:t>z_j\in\Omega_F:</w:t>
      </w:r>
      <w:r>
        <w:br/>
        <w:t>(z_i,z_j)\in\mathcal T_F</w:t>
      </w:r>
      <w:r>
        <w:br/>
        <w:t>\right}.</w:t>
      </w:r>
      <w:r>
        <w:br/>
        <w:t>\tag{3.9627}</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\mathbb T_F(z_i)=\left\{z_j\in\Omega_F:(z_i,z_j)\in\mathcal T_F\right\}</w:t>
      </w:r>
    </w:p>
    <w:p w:rsidR="00FF47C8" w:rsidRDefault="00E50336" w:rsidP="00FF47C8">
      <w:r>
        <w:pict>
          <v:rect id="_x0000_i2889" style="width:0;height:1.5pt" o:hralign="center" o:hrstd="t" o:hr="t" fillcolor="#a0a0a0" stroked="f"/>
        </w:pict>
      </w:r>
    </w:p>
    <w:p w:rsidR="00FF47C8" w:rsidRDefault="00FF47C8" w:rsidP="00FF47C8">
      <w:pPr>
        <w:pStyle w:val="berschrift1"/>
      </w:pPr>
      <w:r>
        <w:t>3.3.44.5 Selbstübergänge</w:t>
      </w:r>
    </w:p>
    <w:p w:rsidR="00FF47C8" w:rsidRDefault="00FF47C8" w:rsidP="00FF47C8">
      <w:pPr>
        <w:pStyle w:val="StandardWeb"/>
      </w:pPr>
      <w:r>
        <w:t>Auch ein Übergang eines Zustandes in sich selbst muss nicht grundsätzlich ausgeschlossen werden:</w:t>
      </w:r>
    </w:p>
    <w:p w:rsidR="00FF47C8" w:rsidRDefault="00FF47C8" w:rsidP="00FF47C8">
      <w:pPr>
        <w:pStyle w:val="StandardWeb"/>
      </w:pPr>
      <w:r>
        <w:t>[</w:t>
      </w:r>
      <w:r>
        <w:br/>
        <w:t>(z_i,z_i)\in\mathcal T_F.</w:t>
      </w:r>
      <w:r>
        <w:br/>
        <w:t>\tag{3.9628}</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(z_i,z_i)\in\mathcal T_F</w:t>
      </w:r>
    </w:p>
    <w:p w:rsidR="00FF47C8" w:rsidRDefault="00FF47C8" w:rsidP="00FF47C8">
      <w:pPr>
        <w:pStyle w:val="StandardWeb"/>
      </w:pPr>
      <w:r>
        <w:t>Ein solcher Selbstübergang kann beispielsweise einen funktional stationären Zustand oder einen Zeitschritt ohne relevante Zustandsänderung repräsentieren.</w:t>
      </w:r>
    </w:p>
    <w:p w:rsidR="00FF47C8" w:rsidRDefault="00FF47C8" w:rsidP="00FF47C8">
      <w:pPr>
        <w:pStyle w:val="StandardWeb"/>
      </w:pPr>
      <w:r>
        <w:t>Daraus folgt jedoch nicht, dass die Übergangsrelation allgemein reflexiv sein muss:</w:t>
      </w:r>
    </w:p>
    <w:p w:rsidR="00FF47C8" w:rsidRDefault="00FF47C8" w:rsidP="00FF47C8">
      <w:pPr>
        <w:pStyle w:val="StandardWeb"/>
      </w:pPr>
      <w:r>
        <w:lastRenderedPageBreak/>
        <w:t>[</w:t>
      </w:r>
      <w:r>
        <w:br/>
        <w:t>\mathcal T_F</w:t>
      </w:r>
      <w:r>
        <w:br/>
        <w:t>\nRightarrow</w:t>
      </w:r>
      <w:r>
        <w:br/>
        <w:t>\forall z\in\Omega_F:</w:t>
      </w:r>
      <w:r>
        <w:br/>
        <w:t>(z,z)\in\mathcal T_F.</w:t>
      </w:r>
      <w:r>
        <w:br/>
        <w:t>\tag{3.9629}</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\mathcal T_F\nRightarrow\forall z\in\Omega_F:(z,z)\in\mathcal T_F</w:t>
      </w:r>
    </w:p>
    <w:p w:rsidR="00FF47C8" w:rsidRDefault="00E50336" w:rsidP="00FF47C8">
      <w:r>
        <w:pict>
          <v:rect id="_x0000_i2890" style="width:0;height:1.5pt" o:hralign="center" o:hrstd="t" o:hr="t" fillcolor="#a0a0a0" stroked="f"/>
        </w:pict>
      </w:r>
    </w:p>
    <w:p w:rsidR="00FF47C8" w:rsidRDefault="00FF47C8" w:rsidP="00FF47C8">
      <w:pPr>
        <w:pStyle w:val="berschrift1"/>
      </w:pPr>
      <w:r>
        <w:t>3.3.44.6 Umkehrbarkeit</w:t>
      </w:r>
    </w:p>
    <w:p w:rsidR="00FF47C8" w:rsidRDefault="00FF47C8" w:rsidP="00FF47C8">
      <w:pPr>
        <w:pStyle w:val="StandardWeb"/>
      </w:pPr>
      <w:r>
        <w:t>Ebenso folgt aus einem zulässigen Übergang</w:t>
      </w:r>
    </w:p>
    <w:p w:rsidR="00FF47C8" w:rsidRDefault="00FF47C8" w:rsidP="00FF47C8">
      <w:pPr>
        <w:pStyle w:val="StandardWeb"/>
      </w:pPr>
      <w:r>
        <w:t>[</w:t>
      </w:r>
      <w:r>
        <w:br/>
        <w:t>z_i</w:t>
      </w:r>
      <w:r>
        <w:br/>
        <w:t>\xrightarrow{\mathcal T_F}</w:t>
      </w:r>
      <w:r>
        <w:br/>
        <w:t>z_j</w:t>
      </w:r>
      <w:r>
        <w:br/>
        <w:t>\tag{3.9630}</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z_i\xrightarrow{\mathcal T_F}z_j</w:t>
      </w:r>
    </w:p>
    <w:p w:rsidR="00FF47C8" w:rsidRDefault="00FF47C8" w:rsidP="00FF47C8">
      <w:pPr>
        <w:pStyle w:val="StandardWeb"/>
      </w:pPr>
      <w:r>
        <w:t>nicht automatisch dessen Umkehrbarkeit:</w:t>
      </w:r>
    </w:p>
    <w:p w:rsidR="00FF47C8" w:rsidRDefault="00FF47C8" w:rsidP="00FF47C8">
      <w:pPr>
        <w:pStyle w:val="StandardWeb"/>
      </w:pPr>
      <w:r>
        <w:t>[</w:t>
      </w:r>
      <w:r>
        <w:br/>
        <w:t>z_j</w:t>
      </w:r>
      <w:r>
        <w:br/>
        <w:t>\xrightarrow{\mathcal T_F}</w:t>
      </w:r>
      <w:r>
        <w:br/>
        <w:t>z_i.</w:t>
      </w:r>
      <w:r>
        <w:br/>
        <w:t>\tag{3.9631}</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z_j\xrightarrow{\mathcal T_F}z_i</w:t>
      </w:r>
    </w:p>
    <w:p w:rsidR="00FF47C8" w:rsidRDefault="00FF47C8" w:rsidP="00FF47C8">
      <w:pPr>
        <w:pStyle w:val="StandardWeb"/>
      </w:pPr>
      <w:r>
        <w:t>Daher gilt im Allgemeinen</w:t>
      </w:r>
    </w:p>
    <w:p w:rsidR="00FF47C8" w:rsidRDefault="00FF47C8" w:rsidP="00FF47C8">
      <w:pPr>
        <w:pStyle w:val="StandardWeb"/>
      </w:pPr>
      <w:r>
        <w:t>[</w:t>
      </w:r>
      <w:r>
        <w:br/>
        <w:t>(z_i,z_j)\in\mathcal T_F</w:t>
      </w:r>
      <w:r>
        <w:br/>
        <w:t>\nRightarrow</w:t>
      </w:r>
      <w:r>
        <w:br/>
        <w:t>(z_j,z_i)\in\mathcal T_F.</w:t>
      </w:r>
      <w:r>
        <w:br/>
        <w:t>\tag{3.9632}</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lastRenderedPageBreak/>
        <w:t>(z_i,z_j)\in\mathcal T_F\nRightarrow(z_j,z_i)\in\mathcal T_F</w:t>
      </w:r>
    </w:p>
    <w:p w:rsidR="00FF47C8" w:rsidRDefault="00FF47C8" w:rsidP="00FF47C8">
      <w:pPr>
        <w:pStyle w:val="StandardWeb"/>
      </w:pPr>
      <w:r>
        <w:t>Irreversible Übergänge bleiben somit von Beginn an zulässig.</w:t>
      </w:r>
    </w:p>
    <w:p w:rsidR="00FF47C8" w:rsidRDefault="00E50336" w:rsidP="00FF47C8">
      <w:r>
        <w:pict>
          <v:rect id="_x0000_i2891" style="width:0;height:1.5pt" o:hralign="center" o:hrstd="t" o:hr="t" fillcolor="#a0a0a0" stroked="f"/>
        </w:pict>
      </w:r>
    </w:p>
    <w:p w:rsidR="00FF47C8" w:rsidRDefault="00FF47C8" w:rsidP="00FF47C8">
      <w:pPr>
        <w:pStyle w:val="berschrift1"/>
      </w:pPr>
      <w:r>
        <w:t>3.3.44.7 Definition 3.3.74 – Reversibler funktionaler Übergang</w:t>
      </w:r>
    </w:p>
    <w:p w:rsidR="00FF47C8" w:rsidRDefault="00FF47C8" w:rsidP="00FF47C8">
      <w:pPr>
        <w:pStyle w:val="berschrift3"/>
      </w:pPr>
      <w:r>
        <w:t>Definition 3.3.74</w:t>
      </w:r>
    </w:p>
    <w:p w:rsidR="00FF47C8" w:rsidRDefault="00FF47C8" w:rsidP="00FF47C8">
      <w:pPr>
        <w:pStyle w:val="StandardWeb"/>
      </w:pPr>
      <w:r>
        <w:t>Ein funktionaler Zustandsübergang</w:t>
      </w:r>
    </w:p>
    <w:p w:rsidR="00FF47C8" w:rsidRDefault="00FF47C8" w:rsidP="00FF47C8">
      <w:pPr>
        <w:pStyle w:val="StandardWeb"/>
      </w:pPr>
      <w:r>
        <w:t>[</w:t>
      </w:r>
      <w:r>
        <w:br/>
        <w:t>z_i</w:t>
      </w:r>
      <w:r>
        <w:br/>
        <w:t>\xrightarrow{\mathcal T_F}</w:t>
      </w:r>
      <w:r>
        <w:br/>
        <w:t>z_j</w:t>
      </w:r>
      <w:r>
        <w:br/>
        <w:t>\tag{3.9633}</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z_i\xrightarrow{\mathcal T_F}z_j</w:t>
      </w:r>
    </w:p>
    <w:p w:rsidR="00FF47C8" w:rsidRDefault="00FF47C8" w:rsidP="00FF47C8">
      <w:pPr>
        <w:pStyle w:val="StandardWeb"/>
      </w:pPr>
      <w:r>
        <w:t xml:space="preserve">heißt </w:t>
      </w:r>
      <w:r>
        <w:rPr>
          <w:rStyle w:val="Fett"/>
        </w:rPr>
        <w:t>reversibel</w:t>
      </w:r>
      <w:r>
        <w:t>, wenn auch der inverse Übergang zulässig ist:</w:t>
      </w:r>
    </w:p>
    <w:p w:rsidR="00FF47C8" w:rsidRDefault="00FF47C8" w:rsidP="00FF47C8">
      <w:pPr>
        <w:pStyle w:val="StandardWeb"/>
      </w:pPr>
      <w:r>
        <w:t>[</w:t>
      </w:r>
      <w:r>
        <w:br/>
        <w:t>z_j</w:t>
      </w:r>
      <w:r>
        <w:br/>
        <w:t>\xrightarrow{\mathcal T_F}</w:t>
      </w:r>
      <w:r>
        <w:br/>
        <w:t>z_i.</w:t>
      </w:r>
      <w:r>
        <w:br/>
        <w:t>\tag{3.9634}</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z_j\xrightarrow{\mathcal T_F}z_i</w:t>
      </w:r>
    </w:p>
    <w:p w:rsidR="00FF47C8" w:rsidRDefault="00FF47C8" w:rsidP="00FF47C8">
      <w:pPr>
        <w:pStyle w:val="StandardWeb"/>
      </w:pPr>
      <w:r>
        <w:t>Formal:</w:t>
      </w:r>
    </w:p>
    <w:p w:rsidR="00FF47C8" w:rsidRDefault="00FF47C8" w:rsidP="00FF47C8">
      <w:pPr>
        <w:pStyle w:val="StandardWeb"/>
      </w:pPr>
      <w:r>
        <w:t>[</w:t>
      </w:r>
      <w:r>
        <w:br/>
        <w:t>\operatorname{Rev}_F(z_i,z_j)=1</w:t>
      </w:r>
      <w:r>
        <w:br/>
        <w:t>\Longleftrightarrow</w:t>
      </w:r>
      <w:r>
        <w:br/>
        <w:t>\left[</w:t>
      </w:r>
      <w:r>
        <w:br/>
        <w:t>(z_i,z_j)\in\mathcal T_F</w:t>
      </w:r>
      <w:r>
        <w:br/>
        <w:t>\land</w:t>
      </w:r>
      <w:r>
        <w:br/>
        <w:t>(z_j,z_i)\in\mathcal T_F</w:t>
      </w:r>
      <w:r>
        <w:br/>
        <w:t>\right].</w:t>
      </w:r>
      <w:r>
        <w:br/>
        <w:t>\tag{3.9635}</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lastRenderedPageBreak/>
        <w:t>\operatorname{Rev}_F(z_i,z_j)=1\Longleftrightarrow\left[(z_i,z_j)\in\mathcal T_F\land(z_j,z_i)\in\mathcal T_F\right]</w:t>
      </w:r>
    </w:p>
    <w:p w:rsidR="00FF47C8" w:rsidRDefault="00E50336" w:rsidP="00FF47C8">
      <w:r>
        <w:pict>
          <v:rect id="_x0000_i2892" style="width:0;height:1.5pt" o:hralign="center" o:hrstd="t" o:hr="t" fillcolor="#a0a0a0" stroked="f"/>
        </w:pict>
      </w:r>
    </w:p>
    <w:p w:rsidR="00FF47C8" w:rsidRDefault="00FF47C8" w:rsidP="00FF47C8">
      <w:pPr>
        <w:pStyle w:val="berschrift1"/>
      </w:pPr>
      <w:r>
        <w:t>3.3.44.8 Irreversibler funktionaler Übergang</w:t>
      </w:r>
    </w:p>
    <w:p w:rsidR="00FF47C8" w:rsidRDefault="00FF47C8" w:rsidP="00FF47C8">
      <w:pPr>
        <w:pStyle w:val="StandardWeb"/>
      </w:pPr>
      <w:r>
        <w:t>Entsprechend liegt Irreversibilität vor, wenn</w:t>
      </w:r>
    </w:p>
    <w:p w:rsidR="00FF47C8" w:rsidRDefault="00FF47C8" w:rsidP="00FF47C8">
      <w:pPr>
        <w:pStyle w:val="StandardWeb"/>
      </w:pPr>
      <w:r>
        <w:t>[</w:t>
      </w:r>
      <w:r>
        <w:br/>
        <w:t>(z_i,z_j)\in\mathcal T_F</w:t>
      </w:r>
      <w:r>
        <w:br/>
        <w:t>\tag{3.9636}</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(z_i,z_j)\in\mathcal T_F</w:t>
      </w:r>
    </w:p>
    <w:p w:rsidR="00FF47C8" w:rsidRDefault="00FF47C8" w:rsidP="00FF47C8">
      <w:pPr>
        <w:pStyle w:val="StandardWeb"/>
      </w:pPr>
      <w:r>
        <w:t>aber</w:t>
      </w:r>
    </w:p>
    <w:p w:rsidR="00FF47C8" w:rsidRDefault="00FF47C8" w:rsidP="00FF47C8">
      <w:pPr>
        <w:pStyle w:val="StandardWeb"/>
      </w:pPr>
      <w:r>
        <w:t>[</w:t>
      </w:r>
      <w:r>
        <w:br/>
        <w:t>(z_j,z_i)\notin\mathcal T_F.</w:t>
      </w:r>
      <w:r>
        <w:br/>
        <w:t>\tag{3.9637}</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(z_j,z_i)\notin\mathcal T_F</w:t>
      </w:r>
    </w:p>
    <w:p w:rsidR="00FF47C8" w:rsidRDefault="00FF47C8" w:rsidP="00FF47C8">
      <w:pPr>
        <w:pStyle w:val="StandardWeb"/>
      </w:pPr>
      <w:r>
        <w:t>Dann gilt</w:t>
      </w:r>
    </w:p>
    <w:p w:rsidR="00FF47C8" w:rsidRDefault="00FF47C8" w:rsidP="00FF47C8">
      <w:pPr>
        <w:pStyle w:val="StandardWeb"/>
      </w:pPr>
      <w:r>
        <w:t>[</w:t>
      </w:r>
      <w:r>
        <w:br/>
        <w:t>\operatorname{Rev}_F(z_i,z_j)=0.</w:t>
      </w:r>
      <w:r>
        <w:br/>
        <w:t>\tag{3.9638}</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\operatorname{Rev}_F(z_i,z_j)=0</w:t>
      </w:r>
    </w:p>
    <w:p w:rsidR="00FF47C8" w:rsidRDefault="00FF47C8" w:rsidP="00FF47C8">
      <w:pPr>
        <w:pStyle w:val="StandardWeb"/>
      </w:pPr>
      <w:r>
        <w:t>Diese formale Irreversibilität darf zunächst nicht automatisch mit thermodynamischer Irreversibilität identifiziert werden. Sie bezeichnet auf dieser Ebene ausschließlich eine Eigenschaft der funktionalen Übergangsrelation.</w:t>
      </w:r>
    </w:p>
    <w:p w:rsidR="00FF47C8" w:rsidRDefault="00E50336" w:rsidP="00FF47C8">
      <w:r>
        <w:pict>
          <v:rect id="_x0000_i2893" style="width:0;height:1.5pt" o:hralign="center" o:hrstd="t" o:hr="t" fillcolor="#a0a0a0" stroked="f"/>
        </w:pict>
      </w:r>
    </w:p>
    <w:p w:rsidR="00FF47C8" w:rsidRDefault="00FF47C8" w:rsidP="00FF47C8">
      <w:pPr>
        <w:pStyle w:val="berschrift1"/>
      </w:pPr>
      <w:r>
        <w:t>3.3.44.9 Verkettung von Übergängen</w:t>
      </w:r>
    </w:p>
    <w:p w:rsidR="00FF47C8" w:rsidRDefault="00FF47C8" w:rsidP="00FF47C8">
      <w:pPr>
        <w:pStyle w:val="StandardWeb"/>
      </w:pPr>
      <w:r>
        <w:t>Sind</w:t>
      </w:r>
    </w:p>
    <w:p w:rsidR="00FF47C8" w:rsidRDefault="00FF47C8" w:rsidP="00FF47C8">
      <w:pPr>
        <w:pStyle w:val="StandardWeb"/>
      </w:pPr>
      <w:r>
        <w:t>[</w:t>
      </w:r>
      <w:r>
        <w:br/>
        <w:t>z_i</w:t>
      </w:r>
      <w:r>
        <w:br/>
      </w:r>
      <w:r>
        <w:lastRenderedPageBreak/>
        <w:t>\xrightarrow{\mathcal T_F}</w:t>
      </w:r>
      <w:r>
        <w:br/>
        <w:t>z_j</w:t>
      </w:r>
      <w:r>
        <w:br/>
        <w:t>\tag{3.9639}</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z_i\xrightarrow{\mathcal T_F}z_j</w:t>
      </w:r>
    </w:p>
    <w:p w:rsidR="00FF47C8" w:rsidRDefault="00FF47C8" w:rsidP="00FF47C8">
      <w:pPr>
        <w:pStyle w:val="StandardWeb"/>
      </w:pPr>
      <w:r>
        <w:t>und</w:t>
      </w:r>
    </w:p>
    <w:p w:rsidR="00FF47C8" w:rsidRDefault="00FF47C8" w:rsidP="00FF47C8">
      <w:pPr>
        <w:pStyle w:val="StandardWeb"/>
      </w:pPr>
      <w:r>
        <w:t>[</w:t>
      </w:r>
      <w:r>
        <w:br/>
        <w:t>z_j</w:t>
      </w:r>
      <w:r>
        <w:br/>
        <w:t>\xrightarrow{\mathcal T_F}</w:t>
      </w:r>
      <w:r>
        <w:br/>
        <w:t>z_k</w:t>
      </w:r>
      <w:r>
        <w:br/>
        <w:t>\tag{3.9640}</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z_j\xrightarrow{\mathcal T_F}z_k</w:t>
      </w:r>
    </w:p>
    <w:p w:rsidR="00FF47C8" w:rsidRDefault="00FF47C8" w:rsidP="00FF47C8">
      <w:pPr>
        <w:pStyle w:val="StandardWeb"/>
      </w:pPr>
      <w:r>
        <w:t>zulässig, kann eine Übergangskette betrachtet werden:</w:t>
      </w:r>
    </w:p>
    <w:p w:rsidR="00FF47C8" w:rsidRDefault="00FF47C8" w:rsidP="00FF47C8">
      <w:pPr>
        <w:pStyle w:val="StandardWeb"/>
      </w:pPr>
      <w:r>
        <w:t>[</w:t>
      </w:r>
      <w:r>
        <w:br/>
        <w:t>z_i</w:t>
      </w:r>
      <w:r>
        <w:br/>
        <w:t>\rightarrow</w:t>
      </w:r>
      <w:r>
        <w:br/>
        <w:t>z_j</w:t>
      </w:r>
      <w:r>
        <w:br/>
        <w:t>\rightarrow</w:t>
      </w:r>
      <w:r>
        <w:br/>
        <w:t>z_k.</w:t>
      </w:r>
      <w:r>
        <w:br/>
        <w:t>\tag{3.9641}</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z_i\rightarrow z_j\rightarrow z_k</w:t>
      </w:r>
    </w:p>
    <w:p w:rsidR="00FF47C8" w:rsidRDefault="00FF47C8" w:rsidP="00FF47C8">
      <w:pPr>
        <w:pStyle w:val="StandardWeb"/>
      </w:pPr>
      <w:r>
        <w:t>Daraus folgt jedoch nicht automatisch, dass auch ein direkter Übergang</w:t>
      </w:r>
    </w:p>
    <w:p w:rsidR="00FF47C8" w:rsidRDefault="00FF47C8" w:rsidP="00FF47C8">
      <w:pPr>
        <w:pStyle w:val="StandardWeb"/>
      </w:pPr>
      <w:r>
        <w:t>[</w:t>
      </w:r>
      <w:r>
        <w:br/>
        <w:t>z_i</w:t>
      </w:r>
      <w:r>
        <w:br/>
        <w:t>\xrightarrow{\mathcal T_F}</w:t>
      </w:r>
      <w:r>
        <w:br/>
        <w:t>z_k</w:t>
      </w:r>
      <w:r>
        <w:br/>
        <w:t>\tag{3.9642}</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z_i\xrightarrow{\mathcal T_F}z_k</w:t>
      </w:r>
    </w:p>
    <w:p w:rsidR="00FF47C8" w:rsidRDefault="00FF47C8" w:rsidP="00FF47C8">
      <w:pPr>
        <w:pStyle w:val="StandardWeb"/>
      </w:pPr>
      <w:r>
        <w:t>existiert.</w:t>
      </w:r>
    </w:p>
    <w:p w:rsidR="00FF47C8" w:rsidRDefault="00FF47C8" w:rsidP="00FF47C8">
      <w:pPr>
        <w:pStyle w:val="StandardWeb"/>
      </w:pPr>
      <w:r>
        <w:lastRenderedPageBreak/>
        <w:t>Damit ist (\mathcal T_F) im allgemeinen Fall nicht notwendig transitiv.</w:t>
      </w:r>
    </w:p>
    <w:p w:rsidR="00FF47C8" w:rsidRDefault="00E50336" w:rsidP="00FF47C8">
      <w:r>
        <w:pict>
          <v:rect id="_x0000_i2894" style="width:0;height:1.5pt" o:hralign="center" o:hrstd="t" o:hr="t" fillcolor="#a0a0a0" stroked="f"/>
        </w:pict>
      </w:r>
    </w:p>
    <w:p w:rsidR="00FF47C8" w:rsidRDefault="00FF47C8" w:rsidP="00FF47C8">
      <w:pPr>
        <w:pStyle w:val="berschrift1"/>
      </w:pPr>
      <w:r>
        <w:t>3.3.44.10 Definition 3.3.75 – Funktionaler Übergangspfad</w:t>
      </w:r>
    </w:p>
    <w:p w:rsidR="00FF47C8" w:rsidRDefault="00FF47C8" w:rsidP="00FF47C8">
      <w:pPr>
        <w:pStyle w:val="berschrift3"/>
      </w:pPr>
      <w:r>
        <w:t>Definition 3.3.75</w:t>
      </w:r>
    </w:p>
    <w:p w:rsidR="00FF47C8" w:rsidRDefault="00FF47C8" w:rsidP="00FF47C8">
      <w:pPr>
        <w:pStyle w:val="StandardWeb"/>
      </w:pPr>
      <w:r>
        <w:t xml:space="preserve">Ein </w:t>
      </w:r>
      <w:r>
        <w:rPr>
          <w:rStyle w:val="Fett"/>
        </w:rPr>
        <w:t>funktionaler Übergangspfad</w:t>
      </w:r>
      <w:r>
        <w:t xml:space="preserve"> von (z_0) nach (z_n) ist eine endliche Folge</w:t>
      </w:r>
    </w:p>
    <w:p w:rsidR="00FF47C8" w:rsidRDefault="00FF47C8" w:rsidP="00FF47C8">
      <w:pPr>
        <w:pStyle w:val="berschrift1"/>
      </w:pPr>
      <w:r>
        <w:t>[</w:t>
      </w:r>
      <w:r>
        <w:br/>
        <w:t>\Pi_F</w:t>
      </w:r>
    </w:p>
    <w:p w:rsidR="00FF47C8" w:rsidRDefault="00FF47C8" w:rsidP="00FF47C8">
      <w:pPr>
        <w:pStyle w:val="StandardWeb"/>
      </w:pPr>
      <w:r>
        <w:t>(z_0,z_1,\ldots,z_n)</w:t>
      </w:r>
      <w:r>
        <w:br/>
        <w:t>\tag{3.9643}</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\Pi_F=(z_0,z_1,\ldots,z_n)</w:t>
      </w:r>
    </w:p>
    <w:p w:rsidR="00FF47C8" w:rsidRDefault="00FF47C8" w:rsidP="00FF47C8">
      <w:pPr>
        <w:pStyle w:val="StandardWeb"/>
      </w:pPr>
      <w:r>
        <w:t>mit</w:t>
      </w:r>
    </w:p>
    <w:p w:rsidR="00FF47C8" w:rsidRDefault="00FF47C8" w:rsidP="00FF47C8">
      <w:pPr>
        <w:pStyle w:val="StandardWeb"/>
      </w:pPr>
      <w:r>
        <w:t>[</w:t>
      </w:r>
      <w:r>
        <w:br/>
        <w:t>(z_{k-1},z_k)\in\mathcal T_F</w:t>
      </w:r>
      <w:r>
        <w:br/>
        <w:t>\qquad</w:t>
      </w:r>
      <w:r>
        <w:br/>
        <w:t>\forall k\in{1,\ldots,n}.</w:t>
      </w:r>
      <w:r>
        <w:br/>
        <w:t>\tag{3.9644}</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(z_{k-1},z_k)\in\mathcal T_F\qquad\forall k\in\{1,\ldots,n\}</w:t>
      </w:r>
    </w:p>
    <w:p w:rsidR="00FF47C8" w:rsidRDefault="00FF47C8" w:rsidP="00FF47C8">
      <w:pPr>
        <w:pStyle w:val="StandardWeb"/>
      </w:pPr>
      <w:r>
        <w:t>Die Existenz eines Übergangspfades wird durch</w:t>
      </w:r>
    </w:p>
    <w:p w:rsidR="00FF47C8" w:rsidRDefault="00FF47C8" w:rsidP="00FF47C8">
      <w:pPr>
        <w:pStyle w:val="StandardWeb"/>
      </w:pPr>
      <w:r>
        <w:t>[</w:t>
      </w:r>
      <w:r>
        <w:br/>
        <w:t>z_0</w:t>
      </w:r>
      <w:r>
        <w:br/>
        <w:t>\xRightarrow{\mathcal T_F}</w:t>
      </w:r>
      <w:r>
        <w:br/>
        <w:t>z_n</w:t>
      </w:r>
      <w:r>
        <w:br/>
        <w:t>\tag{3.9645}</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z_0\xRightarrow{\mathcal T_F}z_n</w:t>
      </w:r>
    </w:p>
    <w:p w:rsidR="00FF47C8" w:rsidRDefault="00FF47C8" w:rsidP="00FF47C8">
      <w:pPr>
        <w:pStyle w:val="StandardWeb"/>
      </w:pPr>
      <w:r>
        <w:t>bezeichnet.</w:t>
      </w:r>
    </w:p>
    <w:p w:rsidR="00FF47C8" w:rsidRDefault="00E50336" w:rsidP="00FF47C8">
      <w:r>
        <w:lastRenderedPageBreak/>
        <w:pict>
          <v:rect id="_x0000_i2895" style="width:0;height:1.5pt" o:hralign="center" o:hrstd="t" o:hr="t" fillcolor="#a0a0a0" stroked="f"/>
        </w:pict>
      </w:r>
    </w:p>
    <w:p w:rsidR="00FF47C8" w:rsidRDefault="00FF47C8" w:rsidP="00FF47C8">
      <w:pPr>
        <w:pStyle w:val="berschrift1"/>
      </w:pPr>
      <w:r>
        <w:t>3.3.44.11 Erreichbarkeit</w:t>
      </w:r>
    </w:p>
    <w:p w:rsidR="00FF47C8" w:rsidRDefault="00FF47C8" w:rsidP="00FF47C8">
      <w:pPr>
        <w:pStyle w:val="StandardWeb"/>
      </w:pPr>
      <w:r>
        <w:t>Damit kann ich eine Erreichbarkeitsrelation definieren:</w:t>
      </w:r>
    </w:p>
    <w:p w:rsidR="00FF47C8" w:rsidRDefault="00FF47C8" w:rsidP="00FF47C8">
      <w:pPr>
        <w:pStyle w:val="StandardWeb"/>
      </w:pPr>
      <w:r>
        <w:t>[</w:t>
      </w:r>
      <w:r>
        <w:br/>
        <w:t>\mathcal R_T</w:t>
      </w:r>
      <w:r>
        <w:br/>
        <w:t>\subseteq</w:t>
      </w:r>
      <w:r>
        <w:br/>
        <w:t>\Omega_F\times\Omega_F.</w:t>
      </w:r>
      <w:r>
        <w:br/>
        <w:t>\tag{3.9646}</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\mathcal R_T\subseteq\Omega_F\times\Omega_F</w:t>
      </w:r>
    </w:p>
    <w:p w:rsidR="00FF47C8" w:rsidRDefault="00FF47C8" w:rsidP="00FF47C8">
      <w:pPr>
        <w:pStyle w:val="StandardWeb"/>
      </w:pPr>
      <w:r>
        <w:t>Dabei gilt</w:t>
      </w:r>
    </w:p>
    <w:p w:rsidR="00FF47C8" w:rsidRDefault="00FF47C8" w:rsidP="00FF47C8">
      <w:pPr>
        <w:pStyle w:val="StandardWeb"/>
      </w:pPr>
      <w:r>
        <w:t>[</w:t>
      </w:r>
      <w:r>
        <w:br/>
        <w:t>(z_i,z_j)\in\mathcal R_T</w:t>
      </w:r>
      <w:r>
        <w:br/>
        <w:t>\Longleftrightarrow</w:t>
      </w:r>
      <w:r>
        <w:br/>
        <w:t>z_i\xRightarrow{\mathcal T_F}z_j.</w:t>
      </w:r>
      <w:r>
        <w:br/>
        <w:t>\tag{3.9647}</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(z_i,z_j)\in\mathcal R_T\Longleftrightarrow z_i\xRightarrow{\mathcal T_F}z_j</w:t>
      </w:r>
    </w:p>
    <w:p w:rsidR="00FF47C8" w:rsidRDefault="00FF47C8" w:rsidP="00FF47C8">
      <w:pPr>
        <w:pStyle w:val="StandardWeb"/>
      </w:pPr>
      <w:r>
        <w:t>Diese Relation beschreibt nicht notwendigerweise einen direkten Übergang, sondern die Existenz mindestens eines zulässigen Übergangspfades.</w:t>
      </w:r>
    </w:p>
    <w:p w:rsidR="00FF47C8" w:rsidRDefault="00E50336" w:rsidP="00FF47C8">
      <w:r>
        <w:pict>
          <v:rect id="_x0000_i2896" style="width:0;height:1.5pt" o:hralign="center" o:hrstd="t" o:hr="t" fillcolor="#a0a0a0" stroked="f"/>
        </w:pict>
      </w:r>
    </w:p>
    <w:p w:rsidR="00FF47C8" w:rsidRDefault="00FF47C8" w:rsidP="00FF47C8">
      <w:pPr>
        <w:pStyle w:val="berschrift1"/>
      </w:pPr>
      <w:r>
        <w:t>3.3.44.12 Definition 3.3.76 – Funktionale Erreichbarkeit</w:t>
      </w:r>
    </w:p>
    <w:p w:rsidR="00FF47C8" w:rsidRDefault="00FF47C8" w:rsidP="00FF47C8">
      <w:pPr>
        <w:pStyle w:val="berschrift3"/>
      </w:pPr>
      <w:r>
        <w:t>Definition 3.3.76</w:t>
      </w:r>
    </w:p>
    <w:p w:rsidR="00FF47C8" w:rsidRDefault="00FF47C8" w:rsidP="00FF47C8">
      <w:pPr>
        <w:pStyle w:val="StandardWeb"/>
      </w:pPr>
      <w:r>
        <w:t xml:space="preserve">Ein Zustand (z_j) heißt von (z_i) </w:t>
      </w:r>
      <w:r>
        <w:rPr>
          <w:rStyle w:val="Fett"/>
        </w:rPr>
        <w:t>funktional erreichbar</w:t>
      </w:r>
      <w:r>
        <w:t>, wenn mindestens ein endlicher funktionaler Übergangspfad von (z_i) nach (z_j) existiert.</w:t>
      </w:r>
    </w:p>
    <w:p w:rsidR="00FF47C8" w:rsidRDefault="00FF47C8" w:rsidP="00FF47C8">
      <w:pPr>
        <w:pStyle w:val="StandardWeb"/>
      </w:pPr>
      <w:r>
        <w:t>Formal:</w:t>
      </w:r>
    </w:p>
    <w:p w:rsidR="00FF47C8" w:rsidRDefault="00FF47C8" w:rsidP="00FF47C8">
      <w:pPr>
        <w:pStyle w:val="StandardWeb"/>
      </w:pPr>
      <w:r>
        <w:t>[</w:t>
      </w:r>
      <w:r>
        <w:br/>
        <w:t>\operatorname{Reach}_F(z_i,z_j)=1</w:t>
      </w:r>
      <w:r>
        <w:br/>
        <w:t>\Longleftrightarrow</w:t>
      </w:r>
      <w:r>
        <w:br/>
        <w:t>\exists\Pi_F:</w:t>
      </w:r>
      <w:r>
        <w:br/>
      </w:r>
      <w:r>
        <w:lastRenderedPageBreak/>
        <w:t>z_i\xRightarrow{\mathcal T_F}z_j.</w:t>
      </w:r>
      <w:r>
        <w:br/>
        <w:t>\tag{3.9648}</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\operatorname{Reach}_F(z_i,z_j)=1\Longleftrightarrow\exists\Pi_F:z_i\xRightarrow{\mathcal T_F}z_j</w:t>
      </w:r>
    </w:p>
    <w:p w:rsidR="00FF47C8" w:rsidRDefault="00E50336" w:rsidP="00FF47C8">
      <w:r>
        <w:pict>
          <v:rect id="_x0000_i2897" style="width:0;height:1.5pt" o:hralign="center" o:hrstd="t" o:hr="t" fillcolor="#a0a0a0" stroked="f"/>
        </w:pict>
      </w:r>
    </w:p>
    <w:p w:rsidR="00FF47C8" w:rsidRDefault="00FF47C8" w:rsidP="00FF47C8">
      <w:pPr>
        <w:pStyle w:val="berschrift1"/>
      </w:pPr>
      <w:r>
        <w:t>3.3.44.13 Erreichbarer Zustandsraum</w:t>
      </w:r>
    </w:p>
    <w:p w:rsidR="00FF47C8" w:rsidRDefault="00FF47C8" w:rsidP="00FF47C8">
      <w:pPr>
        <w:pStyle w:val="StandardWeb"/>
      </w:pPr>
      <w:r>
        <w:t>Für einen Ausgangszustand (z_0) definiere ich den erreichbaren Zustandsraum durch</w:t>
      </w:r>
    </w:p>
    <w:p w:rsidR="00FF47C8" w:rsidRDefault="00FF47C8" w:rsidP="00FF47C8">
      <w:pPr>
        <w:pStyle w:val="berschrift1"/>
      </w:pPr>
      <w:r>
        <w:t>[</w:t>
      </w:r>
      <w:r>
        <w:br/>
        <w:t>\Omega_F^{\mathrm{reach}}(z_0)</w:t>
      </w:r>
    </w:p>
    <w:p w:rsidR="00FF47C8" w:rsidRDefault="00FF47C8" w:rsidP="00FF47C8">
      <w:pPr>
        <w:pStyle w:val="StandardWeb"/>
      </w:pPr>
      <w:r>
        <w:t>\left{</w:t>
      </w:r>
      <w:r>
        <w:br/>
        <w:t>z\in\Omega_F:</w:t>
      </w:r>
      <w:r>
        <w:br/>
        <w:t>\operatorname{Reach}_F(z_0,z)=1</w:t>
      </w:r>
      <w:r>
        <w:br/>
        <w:t>\right}.</w:t>
      </w:r>
      <w:r>
        <w:br/>
        <w:t>\tag{3.9649}</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\Omega_F^{\mathrm{reach}}(z_0)=\left\{z\in\Omega_F:\operatorname{Reach}_F(z_0,z)=1\right\}</w:t>
      </w:r>
    </w:p>
    <w:p w:rsidR="00FF47C8" w:rsidRDefault="00FF47C8" w:rsidP="00FF47C8">
      <w:pPr>
        <w:pStyle w:val="StandardWeb"/>
      </w:pPr>
      <w:r>
        <w:t>Es gilt stets</w:t>
      </w:r>
    </w:p>
    <w:p w:rsidR="00FF47C8" w:rsidRDefault="00FF47C8" w:rsidP="00FF47C8">
      <w:pPr>
        <w:pStyle w:val="StandardWeb"/>
      </w:pPr>
      <w:r>
        <w:t>[</w:t>
      </w:r>
      <w:r>
        <w:br/>
        <w:t>\Omega_F^{\mathrm{reach}}(z_0)</w:t>
      </w:r>
      <w:r>
        <w:br/>
        <w:t>\subseteq</w:t>
      </w:r>
      <w:r>
        <w:br/>
        <w:t>\Omega_F.</w:t>
      </w:r>
      <w:r>
        <w:br/>
        <w:t>\tag{3.9650}</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\Omega_F^{\mathrm{reach}}(z_0)\subseteq\Omega_F</w:t>
      </w:r>
    </w:p>
    <w:p w:rsidR="00FF47C8" w:rsidRDefault="00FF47C8" w:rsidP="00FF47C8">
      <w:pPr>
        <w:pStyle w:val="StandardWeb"/>
      </w:pPr>
      <w:r>
        <w:t>Eine vollständige Erreichbarkeit</w:t>
      </w:r>
    </w:p>
    <w:p w:rsidR="00FF47C8" w:rsidRDefault="00FF47C8" w:rsidP="00FF47C8">
      <w:pPr>
        <w:pStyle w:val="StandardWeb"/>
      </w:pPr>
      <w:r>
        <w:t>[</w:t>
      </w:r>
      <w:r>
        <w:br/>
        <w:t>\Omega_F^{\mathrm{reach}}(z_0)=\Omega_F</w:t>
      </w:r>
      <w:r>
        <w:br/>
        <w:t>\tag{3.9651}</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lastRenderedPageBreak/>
        <w:t>\Omega_F^{\mathrm{reach}}(z_0)=\Omega_F</w:t>
      </w:r>
    </w:p>
    <w:p w:rsidR="00FF47C8" w:rsidRDefault="00FF47C8" w:rsidP="00FF47C8">
      <w:pPr>
        <w:pStyle w:val="StandardWeb"/>
      </w:pPr>
      <w:r>
        <w:t>wird nicht vorausgesetzt.</w:t>
      </w:r>
    </w:p>
    <w:p w:rsidR="00FF47C8" w:rsidRDefault="00E50336" w:rsidP="00FF47C8">
      <w:r>
        <w:pict>
          <v:rect id="_x0000_i2898" style="width:0;height:1.5pt" o:hralign="center" o:hrstd="t" o:hr="t" fillcolor="#a0a0a0" stroked="f"/>
        </w:pict>
      </w:r>
    </w:p>
    <w:p w:rsidR="00FF47C8" w:rsidRDefault="00FF47C8" w:rsidP="00FF47C8">
      <w:pPr>
        <w:pStyle w:val="berschrift1"/>
      </w:pPr>
      <w:r>
        <w:t>3.3.44.14 Übergänge und funktionale Kohärenz</w:t>
      </w:r>
    </w:p>
    <w:p w:rsidR="00FF47C8" w:rsidRDefault="00FF47C8" w:rsidP="00FF47C8">
      <w:pPr>
        <w:pStyle w:val="StandardWeb"/>
      </w:pPr>
      <w:r>
        <w:t>Da der vorhergehende Abschnitt funktionale Kohärenz eingeführt und axiomatisch bereinigt hat, stellt sich nun die Frage, wie sich Kohärenz entlang eines Übergangs verändert.</w:t>
      </w:r>
    </w:p>
    <w:p w:rsidR="00FF47C8" w:rsidRDefault="00FF47C8" w:rsidP="00FF47C8">
      <w:pPr>
        <w:pStyle w:val="StandardWeb"/>
      </w:pPr>
      <w:r>
        <w:t>Für</w:t>
      </w:r>
    </w:p>
    <w:p w:rsidR="00FF47C8" w:rsidRDefault="00FF47C8" w:rsidP="00FF47C8">
      <w:pPr>
        <w:pStyle w:val="StandardWeb"/>
      </w:pPr>
      <w:r>
        <w:t>[</w:t>
      </w:r>
      <w:r>
        <w:br/>
        <w:t>z_i</w:t>
      </w:r>
      <w:r>
        <w:br/>
        <w:t>\xrightarrow{\mathcal T_F}</w:t>
      </w:r>
      <w:r>
        <w:br/>
        <w:t>z_j</w:t>
      </w:r>
      <w:r>
        <w:br/>
        <w:t>\tag{3.9652}</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z_i\xrightarrow{\mathcal T_F}z_j</w:t>
      </w:r>
    </w:p>
    <w:p w:rsidR="00FF47C8" w:rsidRDefault="00FF47C8" w:rsidP="00FF47C8">
      <w:pPr>
        <w:pStyle w:val="StandardWeb"/>
      </w:pPr>
      <w:r>
        <w:t>kann die Kohärenzdifferenz definiert werden als</w:t>
      </w:r>
    </w:p>
    <w:p w:rsidR="00FF47C8" w:rsidRDefault="00FF47C8" w:rsidP="00FF47C8">
      <w:pPr>
        <w:pStyle w:val="berschrift1"/>
      </w:pPr>
      <w:r>
        <w:t>[</w:t>
      </w:r>
      <w:r>
        <w:br/>
        <w:t>\Delta C_F</w:t>
      </w:r>
    </w:p>
    <w:p w:rsidR="00FF47C8" w:rsidRDefault="00FF47C8" w:rsidP="00FF47C8">
      <w:pPr>
        <w:pStyle w:val="StandardWeb"/>
      </w:pPr>
      <w:r>
        <w:t>C_F(z_j)-C_F(z_i).</w:t>
      </w:r>
      <w:r>
        <w:br/>
        <w:t>\tag{3.9653}</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\Delta C_F=C_F(z_j)-C_F(z_i)</w:t>
      </w:r>
    </w:p>
    <w:p w:rsidR="00FF47C8" w:rsidRDefault="00FF47C8" w:rsidP="00FF47C8">
      <w:pPr>
        <w:pStyle w:val="StandardWeb"/>
      </w:pPr>
      <w:r>
        <w:t>Dabei ist diese Schreibweise nur dann unmittelbar zulässig, wenn (C_F) in beiden Zuständen als vergleichbare skalare Größe definiert wurde.</w:t>
      </w:r>
    </w:p>
    <w:p w:rsidR="00FF47C8" w:rsidRDefault="00E50336" w:rsidP="00FF47C8">
      <w:r>
        <w:pict>
          <v:rect id="_x0000_i2899" style="width:0;height:1.5pt" o:hralign="center" o:hrstd="t" o:hr="t" fillcolor="#a0a0a0" stroked="f"/>
        </w:pict>
      </w:r>
    </w:p>
    <w:p w:rsidR="00FF47C8" w:rsidRDefault="00FF47C8" w:rsidP="00FF47C8">
      <w:pPr>
        <w:pStyle w:val="berschrift1"/>
      </w:pPr>
      <w:r>
        <w:t>3.3.44.15 Kohärenzerhöhender Übergang</w:t>
      </w:r>
    </w:p>
    <w:p w:rsidR="00FF47C8" w:rsidRDefault="00FF47C8" w:rsidP="00FF47C8">
      <w:pPr>
        <w:pStyle w:val="StandardWeb"/>
      </w:pPr>
      <w:r>
        <w:t>Ein Übergang heißt kohärenzerhöhend, wenn</w:t>
      </w:r>
    </w:p>
    <w:p w:rsidR="00FF47C8" w:rsidRDefault="00FF47C8" w:rsidP="00FF47C8">
      <w:pPr>
        <w:pStyle w:val="StandardWeb"/>
      </w:pPr>
      <w:r>
        <w:t>[</w:t>
      </w:r>
      <w:r>
        <w:br/>
        <w:t>\Delta C_F&gt;0.</w:t>
      </w:r>
      <w:r>
        <w:br/>
        <w:t>\tag{3.9654}</w:t>
      </w:r>
      <w:r>
        <w:br/>
        <w:t>]</w:t>
      </w:r>
    </w:p>
    <w:p w:rsidR="00FF47C8" w:rsidRDefault="00FF47C8" w:rsidP="00FF47C8">
      <w:pPr>
        <w:pStyle w:val="StandardWeb"/>
      </w:pPr>
      <w:r>
        <w:rPr>
          <w:rStyle w:val="Fett"/>
        </w:rPr>
        <w:lastRenderedPageBreak/>
        <w:t>Word-LaTeX</w:t>
      </w:r>
    </w:p>
    <w:p w:rsidR="00FF47C8" w:rsidRDefault="00FF47C8" w:rsidP="00FF47C8">
      <w:pPr>
        <w:pStyle w:val="HTMLVorformatiert"/>
        <w:rPr>
          <w:rStyle w:val="HTMLCode"/>
        </w:rPr>
      </w:pPr>
      <w:r>
        <w:rPr>
          <w:rStyle w:val="HTMLCode"/>
        </w:rPr>
        <w:t>\Delta C_F&gt;0</w:t>
      </w:r>
    </w:p>
    <w:p w:rsidR="00FF47C8" w:rsidRDefault="00FF47C8" w:rsidP="00FF47C8">
      <w:pPr>
        <w:pStyle w:val="StandardWeb"/>
      </w:pPr>
      <w:r>
        <w:t>Dann gilt</w:t>
      </w:r>
    </w:p>
    <w:p w:rsidR="00FF47C8" w:rsidRDefault="00FF47C8" w:rsidP="00FF47C8">
      <w:pPr>
        <w:pStyle w:val="StandardWeb"/>
      </w:pPr>
      <w:r>
        <w:t>[</w:t>
      </w:r>
      <w:r>
        <w:br/>
        <w:t>C_F(z_j)&gt;C_F(z_i).</w:t>
      </w:r>
      <w:r>
        <w:br/>
        <w:t>\tag{3.9655}</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C_F(z_j)&gt;C_F(z_i)</w:t>
      </w:r>
    </w:p>
    <w:p w:rsidR="00FF47C8" w:rsidRDefault="00FF47C8" w:rsidP="00FF47C8">
      <w:pPr>
        <w:pStyle w:val="StandardWeb"/>
      </w:pPr>
      <w:r>
        <w:t>Diese Klassifikation ist relativ zur verwendeten Kohärenzdefinition beziehungsweise Operationalisierung zu verstehen.</w:t>
      </w:r>
    </w:p>
    <w:p w:rsidR="00FF47C8" w:rsidRDefault="00E50336" w:rsidP="00FF47C8">
      <w:r>
        <w:pict>
          <v:rect id="_x0000_i2900" style="width:0;height:1.5pt" o:hralign="center" o:hrstd="t" o:hr="t" fillcolor="#a0a0a0" stroked="f"/>
        </w:pict>
      </w:r>
    </w:p>
    <w:p w:rsidR="00FF47C8" w:rsidRDefault="00FF47C8" w:rsidP="00FF47C8">
      <w:pPr>
        <w:pStyle w:val="berschrift1"/>
      </w:pPr>
      <w:r>
        <w:t>3.3.44.16 Kohärenzvermindernder Übergang</w:t>
      </w:r>
    </w:p>
    <w:p w:rsidR="00FF47C8" w:rsidRDefault="00FF47C8" w:rsidP="00FF47C8">
      <w:pPr>
        <w:pStyle w:val="StandardWeb"/>
      </w:pPr>
      <w:r>
        <w:t>Ein Übergang heißt kohärenzvermindernd, wenn</w:t>
      </w:r>
    </w:p>
    <w:p w:rsidR="00FF47C8" w:rsidRDefault="00FF47C8" w:rsidP="00FF47C8">
      <w:pPr>
        <w:pStyle w:val="StandardWeb"/>
      </w:pPr>
      <w:r>
        <w:t>[</w:t>
      </w:r>
      <w:r>
        <w:br/>
        <w:t>\Delta C_F&lt;0.</w:t>
      </w:r>
      <w:r>
        <w:br/>
        <w:t>\tag{3.9656}</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\Delta C_F&lt;0</w:t>
      </w:r>
    </w:p>
    <w:p w:rsidR="00FF47C8" w:rsidRDefault="00FF47C8" w:rsidP="00FF47C8">
      <w:pPr>
        <w:pStyle w:val="StandardWeb"/>
      </w:pPr>
      <w:r>
        <w:t>Dann gilt</w:t>
      </w:r>
    </w:p>
    <w:p w:rsidR="00FF47C8" w:rsidRDefault="00FF47C8" w:rsidP="00FF47C8">
      <w:pPr>
        <w:pStyle w:val="StandardWeb"/>
      </w:pPr>
      <w:r>
        <w:t>[</w:t>
      </w:r>
      <w:r>
        <w:br/>
        <w:t>C_F(z_j)&lt;C_F(z_i).</w:t>
      </w:r>
      <w:r>
        <w:br/>
        <w:t>\tag{3.9657}</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C_F(z_j)&lt;C_F(z_i)</w:t>
      </w:r>
    </w:p>
    <w:p w:rsidR="00FF47C8" w:rsidRDefault="00FF47C8" w:rsidP="00FF47C8">
      <w:pPr>
        <w:pStyle w:val="StandardWeb"/>
      </w:pPr>
      <w:r>
        <w:t>Auch daraus folgt nicht automatisch, dass der Übergang unzulässig oder physikalisch instabil ist.</w:t>
      </w:r>
    </w:p>
    <w:p w:rsidR="00FF47C8" w:rsidRDefault="00E50336" w:rsidP="00FF47C8">
      <w:r>
        <w:pict>
          <v:rect id="_x0000_i2901" style="width:0;height:1.5pt" o:hralign="center" o:hrstd="t" o:hr="t" fillcolor="#a0a0a0" stroked="f"/>
        </w:pict>
      </w:r>
    </w:p>
    <w:p w:rsidR="00FF47C8" w:rsidRDefault="00FF47C8" w:rsidP="00FF47C8">
      <w:pPr>
        <w:pStyle w:val="berschrift1"/>
      </w:pPr>
      <w:r>
        <w:t>3.3.44.17 Kohärenzneutraler Übergang</w:t>
      </w:r>
    </w:p>
    <w:p w:rsidR="00FF47C8" w:rsidRDefault="00FF47C8" w:rsidP="00FF47C8">
      <w:pPr>
        <w:pStyle w:val="StandardWeb"/>
      </w:pPr>
      <w:r>
        <w:lastRenderedPageBreak/>
        <w:t>Schließlich ist ein Übergang kohärenzneutral, wenn</w:t>
      </w:r>
    </w:p>
    <w:p w:rsidR="00FF47C8" w:rsidRDefault="00FF47C8" w:rsidP="00FF47C8">
      <w:pPr>
        <w:pStyle w:val="StandardWeb"/>
      </w:pPr>
      <w:r>
        <w:t>[</w:t>
      </w:r>
      <w:r>
        <w:br/>
        <w:t>\Delta C_F=0.</w:t>
      </w:r>
      <w:r>
        <w:br/>
        <w:t>\tag{3.9658}</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\Delta C_F=0</w:t>
      </w:r>
    </w:p>
    <w:p w:rsidR="00FF47C8" w:rsidRDefault="00FF47C8" w:rsidP="00FF47C8">
      <w:pPr>
        <w:pStyle w:val="StandardWeb"/>
      </w:pPr>
      <w:r>
        <w:t>Damit bleibt die betrachtete Kohärenzgröße über den Übergang erhalten:</w:t>
      </w:r>
    </w:p>
    <w:p w:rsidR="00FF47C8" w:rsidRDefault="00FF47C8" w:rsidP="00FF47C8">
      <w:pPr>
        <w:pStyle w:val="StandardWeb"/>
      </w:pPr>
      <w:r>
        <w:t>[</w:t>
      </w:r>
      <w:r>
        <w:br/>
        <w:t>C_F(z_j)=C_F(z_i).</w:t>
      </w:r>
      <w:r>
        <w:br/>
        <w:t>\tag{3.9659}</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C_F(z_j)=C_F(z_i)</w:t>
      </w:r>
    </w:p>
    <w:p w:rsidR="00FF47C8" w:rsidRDefault="00E50336" w:rsidP="00FF47C8">
      <w:r>
        <w:pict>
          <v:rect id="_x0000_i2902" style="width:0;height:1.5pt" o:hralign="center" o:hrstd="t" o:hr="t" fillcolor="#a0a0a0" stroked="f"/>
        </w:pict>
      </w:r>
    </w:p>
    <w:p w:rsidR="00FF47C8" w:rsidRDefault="00FF47C8" w:rsidP="00FF47C8">
      <w:pPr>
        <w:pStyle w:val="berschrift1"/>
      </w:pPr>
      <w:r>
        <w:t>3.3.44.18 Definition 3.3.77 – Kohärenzsignatur eines Übergangs</w:t>
      </w:r>
    </w:p>
    <w:p w:rsidR="00FF47C8" w:rsidRDefault="00FF47C8" w:rsidP="00FF47C8">
      <w:pPr>
        <w:pStyle w:val="berschrift3"/>
      </w:pPr>
      <w:r>
        <w:t>Definition 3.3.77</w:t>
      </w:r>
    </w:p>
    <w:p w:rsidR="00FF47C8" w:rsidRDefault="00FF47C8" w:rsidP="00FF47C8">
      <w:pPr>
        <w:pStyle w:val="StandardWeb"/>
      </w:pPr>
      <w:r>
        <w:t xml:space="preserve">Die </w:t>
      </w:r>
      <w:r>
        <w:rPr>
          <w:rStyle w:val="Fett"/>
        </w:rPr>
        <w:t>Kohärenzsignatur</w:t>
      </w:r>
      <w:r>
        <w:t xml:space="preserve"> eines funktionalen Übergangs ist das Vorzeichen der Kohärenzänderung:</w:t>
      </w:r>
    </w:p>
    <w:p w:rsidR="00FF47C8" w:rsidRDefault="00FF47C8" w:rsidP="00FF47C8">
      <w:pPr>
        <w:pStyle w:val="berschrift1"/>
      </w:pPr>
      <w:r>
        <w:t>[</w:t>
      </w:r>
      <w:r>
        <w:br/>
        <w:t>\sigma_C(z_i,z_j)</w:t>
      </w:r>
    </w:p>
    <w:p w:rsidR="00FF47C8" w:rsidRDefault="00FF47C8" w:rsidP="00FF47C8">
      <w:pPr>
        <w:pStyle w:val="StandardWeb"/>
      </w:pPr>
      <w:r>
        <w:t>\operatorname{sgn}</w:t>
      </w:r>
      <w:r>
        <w:br/>
        <w:t>\left[</w:t>
      </w:r>
      <w:r>
        <w:br/>
        <w:t>C_F(z_j)-C_F(z_i)</w:t>
      </w:r>
      <w:r>
        <w:br/>
        <w:t>\right].</w:t>
      </w:r>
      <w:r>
        <w:br/>
        <w:t>\tag{3.9660}</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\sigma_C(z_i,z_j)=\operatorname{sgn}\left[C_F(z_j)-C_F(z_i)\right]</w:t>
      </w:r>
    </w:p>
    <w:p w:rsidR="00FF47C8" w:rsidRDefault="00FF47C8" w:rsidP="00FF47C8">
      <w:pPr>
        <w:pStyle w:val="StandardWeb"/>
      </w:pPr>
      <w:r>
        <w:t>Damit gilt</w:t>
      </w:r>
    </w:p>
    <w:p w:rsidR="00FF47C8" w:rsidRDefault="00FF47C8" w:rsidP="00FF47C8">
      <w:pPr>
        <w:pStyle w:val="StandardWeb"/>
      </w:pPr>
      <w:r>
        <w:t>[</w:t>
      </w:r>
      <w:r>
        <w:br/>
        <w:t>\sigma_C</w:t>
      </w:r>
      <w:r>
        <w:br/>
      </w:r>
      <w:r>
        <w:lastRenderedPageBreak/>
        <w:t>\in</w:t>
      </w:r>
      <w:r>
        <w:br/>
        <w:t>{-1,0,+1}.</w:t>
      </w:r>
      <w:r>
        <w:br/>
        <w:t>\tag{3.9661}</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\sigma_C\in\{-1,0,+1\}</w:t>
      </w:r>
    </w:p>
    <w:p w:rsidR="00FF47C8" w:rsidRDefault="00FF47C8" w:rsidP="00FF47C8">
      <w:pPr>
        <w:pStyle w:val="StandardWeb"/>
      </w:pPr>
      <w:r>
        <w:t>Die drei Werte kennzeichnen kohärenzvermindernde, kohärenzneutrale beziehungsweise kohärenzerhöhende Übergänge.</w:t>
      </w:r>
    </w:p>
    <w:p w:rsidR="00FF47C8" w:rsidRDefault="00E50336" w:rsidP="00FF47C8">
      <w:r>
        <w:pict>
          <v:rect id="_x0000_i2903" style="width:0;height:1.5pt" o:hralign="center" o:hrstd="t" o:hr="t" fillcolor="#a0a0a0" stroked="f"/>
        </w:pict>
      </w:r>
    </w:p>
    <w:p w:rsidR="00FF47C8" w:rsidRDefault="00FF47C8" w:rsidP="00FF47C8">
      <w:pPr>
        <w:pStyle w:val="berschrift1"/>
      </w:pPr>
      <w:r>
        <w:t>3.3.44.19 Keine universelle Kohärenzmonotonie</w:t>
      </w:r>
    </w:p>
    <w:p w:rsidR="00FF47C8" w:rsidRDefault="00FF47C8" w:rsidP="00FF47C8">
      <w:pPr>
        <w:pStyle w:val="StandardWeb"/>
      </w:pPr>
      <w:r>
        <w:t>Aus dem Primäraxiom (A_C) folgt nicht, dass funktionale Kohärenz entlang aller zulässigen Übergänge monoton zunehmen muss.</w:t>
      </w:r>
    </w:p>
    <w:p w:rsidR="00FF47C8" w:rsidRDefault="00FF47C8" w:rsidP="00FF47C8">
      <w:pPr>
        <w:pStyle w:val="StandardWeb"/>
      </w:pPr>
      <w:r>
        <w:t>Insbesondere gilt nicht</w:t>
      </w:r>
    </w:p>
    <w:p w:rsidR="00FF47C8" w:rsidRDefault="00FF47C8" w:rsidP="00FF47C8">
      <w:pPr>
        <w:pStyle w:val="StandardWeb"/>
      </w:pPr>
      <w:r>
        <w:t>[</w:t>
      </w:r>
      <w:r>
        <w:br/>
        <w:t>\forall</w:t>
      </w:r>
      <w:r>
        <w:br/>
        <w:t>(z_i,z_j)\in\mathcal T_F:</w:t>
      </w:r>
      <w:r>
        <w:br/>
        <w:t>C_F(z_j)\geq C_F(z_i).</w:t>
      </w:r>
      <w:r>
        <w:br/>
        <w:t>\tag{3.9662}</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\forall(z_i,z_j)\in\mathcal T_F:C_F(z_j)\geq C_F(z_i)</w:t>
      </w:r>
    </w:p>
    <w:p w:rsidR="00FF47C8" w:rsidRDefault="00FF47C8" w:rsidP="00FF47C8">
      <w:pPr>
        <w:pStyle w:val="StandardWeb"/>
      </w:pPr>
      <w:r>
        <w:t>Daher gilt</w:t>
      </w:r>
    </w:p>
    <w:p w:rsidR="00FF47C8" w:rsidRDefault="00FF47C8" w:rsidP="00FF47C8">
      <w:pPr>
        <w:pStyle w:val="StandardWeb"/>
      </w:pPr>
      <w:r>
        <w:t>[</w:t>
      </w:r>
      <w:r>
        <w:br/>
        <w:t>A_C</w:t>
      </w:r>
      <w:r>
        <w:br/>
        <w:t>\nRightarrow</w:t>
      </w:r>
      <w:r>
        <w:br/>
        <w:t>\Delta C_F\geq0.</w:t>
      </w:r>
      <w:r>
        <w:br/>
        <w:t>\tag{3.9663}</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A_C\nRightarrow\Delta C_F\geq0</w:t>
      </w:r>
    </w:p>
    <w:p w:rsidR="00FF47C8" w:rsidRDefault="00FF47C8" w:rsidP="00FF47C8">
      <w:pPr>
        <w:pStyle w:val="StandardWeb"/>
      </w:pPr>
      <w:r>
        <w:t>Eine monotone Kohärenzentwicklung wäre somit eine zusätzliche Modellannahme.</w:t>
      </w:r>
    </w:p>
    <w:p w:rsidR="00FF47C8" w:rsidRDefault="00E50336" w:rsidP="00FF47C8">
      <w:r>
        <w:pict>
          <v:rect id="_x0000_i2904" style="width:0;height:1.5pt" o:hralign="center" o:hrstd="t" o:hr="t" fillcolor="#a0a0a0" stroked="f"/>
        </w:pict>
      </w:r>
    </w:p>
    <w:p w:rsidR="00FF47C8" w:rsidRDefault="00FF47C8" w:rsidP="00FF47C8">
      <w:pPr>
        <w:pStyle w:val="berschrift1"/>
      </w:pPr>
      <w:r>
        <w:t>3.3.44.20 Keine universelle Kohärenzerhaltung</w:t>
      </w:r>
    </w:p>
    <w:p w:rsidR="00FF47C8" w:rsidRDefault="00FF47C8" w:rsidP="00FF47C8">
      <w:pPr>
        <w:pStyle w:val="StandardWeb"/>
      </w:pPr>
      <w:r>
        <w:lastRenderedPageBreak/>
        <w:t>Ebenso folgt nicht</w:t>
      </w:r>
    </w:p>
    <w:p w:rsidR="00FF47C8" w:rsidRDefault="00FF47C8" w:rsidP="00FF47C8">
      <w:pPr>
        <w:pStyle w:val="StandardWeb"/>
      </w:pPr>
      <w:r>
        <w:t>[</w:t>
      </w:r>
      <w:r>
        <w:br/>
        <w:t>A_C</w:t>
      </w:r>
      <w:r>
        <w:br/>
        <w:t>\nRightarrow</w:t>
      </w:r>
      <w:r>
        <w:br/>
        <w:t>\Delta C_F=0.</w:t>
      </w:r>
      <w:r>
        <w:br/>
        <w:t>\tag{3.9664}</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A_C\nRightarrow\Delta C_F=0</w:t>
      </w:r>
    </w:p>
    <w:p w:rsidR="00FF47C8" w:rsidRDefault="00FF47C8" w:rsidP="00FF47C8">
      <w:pPr>
        <w:pStyle w:val="StandardWeb"/>
      </w:pPr>
      <w:r>
        <w:t>Funktionale Kohärenz ist damit auf dieser axiomatischen Ebene keine Erhaltungsgröße.</w:t>
      </w:r>
    </w:p>
    <w:p w:rsidR="00FF47C8" w:rsidRDefault="00E50336" w:rsidP="00FF47C8">
      <w:r>
        <w:pict>
          <v:rect id="_x0000_i2905" style="width:0;height:1.5pt" o:hralign="center" o:hrstd="t" o:hr="t" fillcolor="#a0a0a0" stroked="f"/>
        </w:pict>
      </w:r>
    </w:p>
    <w:p w:rsidR="00FF47C8" w:rsidRDefault="00FF47C8" w:rsidP="00FF47C8">
      <w:pPr>
        <w:pStyle w:val="berschrift1"/>
      </w:pPr>
      <w:r>
        <w:t>3.3.44.21 Keine universelle Differenzierbarkeit</w:t>
      </w:r>
    </w:p>
    <w:p w:rsidR="00FF47C8" w:rsidRDefault="00FF47C8" w:rsidP="00FF47C8">
      <w:pPr>
        <w:pStyle w:val="StandardWeb"/>
      </w:pPr>
      <w:r>
        <w:t>Die bisherige Übergangsrelation benötigt keine kontinuierliche Parametrisierung.</w:t>
      </w:r>
    </w:p>
    <w:p w:rsidR="00FF47C8" w:rsidRDefault="00FF47C8" w:rsidP="00FF47C8">
      <w:pPr>
        <w:pStyle w:val="StandardWeb"/>
      </w:pPr>
      <w:r>
        <w:t>Aus</w:t>
      </w:r>
    </w:p>
    <w:p w:rsidR="00FF47C8" w:rsidRDefault="00FF47C8" w:rsidP="00FF47C8">
      <w:pPr>
        <w:pStyle w:val="StandardWeb"/>
      </w:pPr>
      <w:r>
        <w:t>[</w:t>
      </w:r>
      <w:r>
        <w:br/>
        <w:t>z_i</w:t>
      </w:r>
      <w:r>
        <w:br/>
        <w:t>\xrightarrow{\mathcal T_F}</w:t>
      </w:r>
      <w:r>
        <w:br/>
        <w:t>z_j</w:t>
      </w:r>
      <w:r>
        <w:br/>
        <w:t>\tag{3.9665}</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z_i\xrightarrow{\mathcal T_F}z_j</w:t>
      </w:r>
    </w:p>
    <w:p w:rsidR="00FF47C8" w:rsidRDefault="00FF47C8" w:rsidP="00FF47C8">
      <w:pPr>
        <w:pStyle w:val="StandardWeb"/>
      </w:pPr>
      <w:r>
        <w:t>folgt deshalb nicht</w:t>
      </w:r>
    </w:p>
    <w:p w:rsidR="00FF47C8" w:rsidRDefault="00FF47C8" w:rsidP="00FF47C8">
      <w:pPr>
        <w:pStyle w:val="StandardWeb"/>
      </w:pPr>
      <w:r>
        <w:t>[</w:t>
      </w:r>
      <w:r>
        <w:br/>
        <w:t>\exists z(t)</w:t>
      </w:r>
      <w:r>
        <w:br/>
        <w:t>\in C^1.</w:t>
      </w:r>
      <w:r>
        <w:br/>
        <w:t>\tag{3.9666}</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\exists z(t)\in C^1</w:t>
      </w:r>
    </w:p>
    <w:p w:rsidR="00FF47C8" w:rsidRDefault="00FF47C8" w:rsidP="00FF47C8">
      <w:pPr>
        <w:pStyle w:val="StandardWeb"/>
      </w:pPr>
      <w:r>
        <w:t>Damit bleibt die allgemeine Übergangsstruktur auch für diskrete oder nichtdifferenzierbare Entwicklungen geeignet.</w:t>
      </w:r>
    </w:p>
    <w:p w:rsidR="00FF47C8" w:rsidRDefault="00E50336" w:rsidP="00FF47C8">
      <w:r>
        <w:pict>
          <v:rect id="_x0000_i2906" style="width:0;height:1.5pt" o:hralign="center" o:hrstd="t" o:hr="t" fillcolor="#a0a0a0" stroked="f"/>
        </w:pict>
      </w:r>
    </w:p>
    <w:p w:rsidR="00FF47C8" w:rsidRDefault="00FF47C8" w:rsidP="00FF47C8">
      <w:pPr>
        <w:pStyle w:val="berschrift1"/>
      </w:pPr>
      <w:r>
        <w:lastRenderedPageBreak/>
        <w:t>3.3.44.22 Kontinuierliche Modellunterklasse</w:t>
      </w:r>
    </w:p>
    <w:p w:rsidR="00FF47C8" w:rsidRDefault="00FF47C8" w:rsidP="00FF47C8">
      <w:pPr>
        <w:pStyle w:val="StandardWeb"/>
      </w:pPr>
      <w:r>
        <w:t>Für eine spezielle Modellklasse kann jedoch eine kontinuierliche Bahn</w:t>
      </w:r>
    </w:p>
    <w:p w:rsidR="00FF47C8" w:rsidRDefault="00FF47C8" w:rsidP="00FF47C8">
      <w:pPr>
        <w:pStyle w:val="StandardWeb"/>
      </w:pPr>
      <w:r>
        <w:t>[</w:t>
      </w:r>
      <w:r>
        <w:br/>
        <w:t>\gamma:</w:t>
      </w:r>
      <w:r>
        <w:br/>
        <w:t>I\rightarrow\Omega_F</w:t>
      </w:r>
      <w:r>
        <w:br/>
        <w:t>\tag{3.9667}</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\gamma:I\rightarrow\Omega_F</w:t>
      </w:r>
    </w:p>
    <w:p w:rsidR="00FF47C8" w:rsidRDefault="00FF47C8" w:rsidP="00FF47C8">
      <w:pPr>
        <w:pStyle w:val="StandardWeb"/>
      </w:pPr>
      <w:r>
        <w:t>eingeführt werden.</w:t>
      </w:r>
    </w:p>
    <w:p w:rsidR="00FF47C8" w:rsidRDefault="00FF47C8" w:rsidP="00FF47C8">
      <w:pPr>
        <w:pStyle w:val="StandardWeb"/>
      </w:pPr>
      <w:r>
        <w:t>Dann gilt</w:t>
      </w:r>
    </w:p>
    <w:p w:rsidR="00FF47C8" w:rsidRDefault="00FF47C8" w:rsidP="00FF47C8">
      <w:pPr>
        <w:pStyle w:val="StandardWeb"/>
      </w:pPr>
      <w:r>
        <w:t>[</w:t>
      </w:r>
      <w:r>
        <w:br/>
        <w:t>z(t)=\gamma(t).</w:t>
      </w:r>
      <w:r>
        <w:br/>
        <w:t>\tag{3.9668}</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z(t)=\gamma(t)</w:t>
      </w:r>
    </w:p>
    <w:p w:rsidR="00FF47C8" w:rsidRDefault="00FF47C8" w:rsidP="00FF47C8">
      <w:pPr>
        <w:pStyle w:val="StandardWeb"/>
      </w:pPr>
      <w:r>
        <w:t>Ist (\gamma) differenzierbar, kann zusätzlich</w:t>
      </w:r>
    </w:p>
    <w:p w:rsidR="00FF47C8" w:rsidRDefault="00FF47C8" w:rsidP="00FF47C8">
      <w:pPr>
        <w:pStyle w:val="berschrift1"/>
      </w:pPr>
      <w:r>
        <w:t>[</w:t>
      </w:r>
      <w:r>
        <w:br/>
        <w:t>\dot z(t)</w:t>
      </w:r>
    </w:p>
    <w:p w:rsidR="00FF47C8" w:rsidRDefault="00FF47C8" w:rsidP="00FF47C8">
      <w:pPr>
        <w:pStyle w:val="StandardWeb"/>
      </w:pPr>
      <w:r>
        <w:t>\frac{\mathrm dz}{\mathrm dt}</w:t>
      </w:r>
      <w:r>
        <w:br/>
        <w:t>\tag{3.9669}</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\dot z(t)=\frac{\mathrm dz}{\mathrm dt}</w:t>
      </w:r>
    </w:p>
    <w:p w:rsidR="00FF47C8" w:rsidRDefault="00FF47C8" w:rsidP="00FF47C8">
      <w:pPr>
        <w:pStyle w:val="StandardWeb"/>
      </w:pPr>
      <w:r>
        <w:t>verwendet werden.</w:t>
      </w:r>
    </w:p>
    <w:p w:rsidR="00FF47C8" w:rsidRDefault="00FF47C8" w:rsidP="00FF47C8">
      <w:pPr>
        <w:pStyle w:val="StandardWeb"/>
      </w:pPr>
      <w:r>
        <w:t>Dies gehört jedoch bereits zu einer konkreteren Modellklasse und nicht zur minimalen Definition eines funktionalen Zustandsübergangs.</w:t>
      </w:r>
    </w:p>
    <w:p w:rsidR="00FF47C8" w:rsidRDefault="00E50336" w:rsidP="00FF47C8">
      <w:r>
        <w:pict>
          <v:rect id="_x0000_i2907" style="width:0;height:1.5pt" o:hralign="center" o:hrstd="t" o:hr="t" fillcolor="#a0a0a0" stroked="f"/>
        </w:pict>
      </w:r>
    </w:p>
    <w:p w:rsidR="00FF47C8" w:rsidRDefault="00FF47C8" w:rsidP="00FF47C8">
      <w:pPr>
        <w:pStyle w:val="berschrift1"/>
      </w:pPr>
      <w:r>
        <w:t>3.3.44.23 Diskrete Modellunterklasse</w:t>
      </w:r>
    </w:p>
    <w:p w:rsidR="00FF47C8" w:rsidRDefault="00FF47C8" w:rsidP="00FF47C8">
      <w:pPr>
        <w:pStyle w:val="StandardWeb"/>
      </w:pPr>
      <w:r>
        <w:lastRenderedPageBreak/>
        <w:t>Für diskrete Entwicklungen kann dagegen</w:t>
      </w:r>
    </w:p>
    <w:p w:rsidR="00FF47C8" w:rsidRDefault="00FF47C8" w:rsidP="00FF47C8">
      <w:pPr>
        <w:pStyle w:val="berschrift1"/>
      </w:pPr>
      <w:r>
        <w:t>[</w:t>
      </w:r>
      <w:r>
        <w:br/>
        <w:t>z_{n+1}</w:t>
      </w:r>
    </w:p>
    <w:p w:rsidR="00FF47C8" w:rsidRDefault="00FF47C8" w:rsidP="00FF47C8">
      <w:pPr>
        <w:pStyle w:val="StandardWeb"/>
      </w:pPr>
      <w:r>
        <w:t>T_F(z_n)</w:t>
      </w:r>
      <w:r>
        <w:br/>
        <w:t>\tag{3.9670}</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z_{n+1}=T_F(z_n)</w:t>
      </w:r>
    </w:p>
    <w:p w:rsidR="00FF47C8" w:rsidRDefault="00FF47C8" w:rsidP="00FF47C8">
      <w:pPr>
        <w:pStyle w:val="StandardWeb"/>
      </w:pPr>
      <w:r>
        <w:t>verwendet werden.</w:t>
      </w:r>
    </w:p>
    <w:p w:rsidR="00FF47C8" w:rsidRDefault="00FF47C8" w:rsidP="00FF47C8">
      <w:pPr>
        <w:pStyle w:val="StandardWeb"/>
      </w:pPr>
      <w:r>
        <w:t>Die Übergangsfolge lautet dann</w:t>
      </w:r>
    </w:p>
    <w:p w:rsidR="00FF47C8" w:rsidRDefault="00FF47C8" w:rsidP="00FF47C8">
      <w:pPr>
        <w:pStyle w:val="StandardWeb"/>
      </w:pPr>
      <w:r>
        <w:t>[</w:t>
      </w:r>
      <w:r>
        <w:br/>
        <w:t>z_0</w:t>
      </w:r>
      <w:r>
        <w:br/>
        <w:t>\rightarrow</w:t>
      </w:r>
      <w:r>
        <w:br/>
        <w:t>z_1</w:t>
      </w:r>
      <w:r>
        <w:br/>
        <w:t>\rightarrow</w:t>
      </w:r>
      <w:r>
        <w:br/>
        <w:t>z_2</w:t>
      </w:r>
      <w:r>
        <w:br/>
        <w:t>\rightarrow</w:t>
      </w:r>
      <w:r>
        <w:br/>
        <w:t>\cdots.</w:t>
      </w:r>
      <w:r>
        <w:br/>
        <w:t>\tag{3.9671}</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z_0\rightarrow z_1\rightarrow z_2\rightarrow\cdots</w:t>
      </w:r>
    </w:p>
    <w:p w:rsidR="00FF47C8" w:rsidRDefault="00FF47C8" w:rsidP="00FF47C8">
      <w:pPr>
        <w:pStyle w:val="StandardWeb"/>
      </w:pPr>
      <w:r>
        <w:t>Auch diese Darstellung ist lediglich eine mögliche Modellrealisierung.</w:t>
      </w:r>
    </w:p>
    <w:p w:rsidR="00FF47C8" w:rsidRDefault="00E50336" w:rsidP="00FF47C8">
      <w:r>
        <w:pict>
          <v:rect id="_x0000_i2908" style="width:0;height:1.5pt" o:hralign="center" o:hrstd="t" o:hr="t" fillcolor="#a0a0a0" stroked="f"/>
        </w:pict>
      </w:r>
    </w:p>
    <w:p w:rsidR="00FF47C8" w:rsidRDefault="00FF47C8" w:rsidP="00FF47C8">
      <w:pPr>
        <w:pStyle w:val="berschrift1"/>
      </w:pPr>
      <w:r>
        <w:t>3.3.44.24 Stochastische Modellunterklasse</w:t>
      </w:r>
    </w:p>
    <w:p w:rsidR="00FF47C8" w:rsidRDefault="00FF47C8" w:rsidP="00FF47C8">
      <w:pPr>
        <w:pStyle w:val="StandardWeb"/>
      </w:pPr>
      <w:r>
        <w:t>Für nichtdeterministische Übergänge kann eine Übergangswahrscheinlichkeit</w:t>
      </w:r>
    </w:p>
    <w:p w:rsidR="00FF47C8" w:rsidRDefault="00FF47C8" w:rsidP="00FF47C8">
      <w:pPr>
        <w:pStyle w:val="StandardWeb"/>
      </w:pPr>
      <w:r>
        <w:t>[</w:t>
      </w:r>
      <w:r>
        <w:br/>
        <w:t>P_F(z_j\mid z_i)</w:t>
      </w:r>
      <w:r>
        <w:br/>
        <w:t>\tag{3.9672}</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P_F(z_j\mid z_i)</w:t>
      </w:r>
    </w:p>
    <w:p w:rsidR="00FF47C8" w:rsidRDefault="00FF47C8" w:rsidP="00FF47C8">
      <w:pPr>
        <w:pStyle w:val="StandardWeb"/>
      </w:pPr>
      <w:r>
        <w:t>eingeführt werden.</w:t>
      </w:r>
    </w:p>
    <w:p w:rsidR="00FF47C8" w:rsidRDefault="00FF47C8" w:rsidP="00FF47C8">
      <w:pPr>
        <w:pStyle w:val="StandardWeb"/>
      </w:pPr>
      <w:r>
        <w:lastRenderedPageBreak/>
        <w:t>Mit</w:t>
      </w:r>
    </w:p>
    <w:p w:rsidR="00FF47C8" w:rsidRDefault="00FF47C8" w:rsidP="00FF47C8">
      <w:pPr>
        <w:pStyle w:val="StandardWeb"/>
      </w:pPr>
      <w:r>
        <w:t>[</w:t>
      </w:r>
      <w:r>
        <w:br/>
        <w:t>P_F(z_j\mid z_i)\geq0</w:t>
      </w:r>
      <w:r>
        <w:br/>
        <w:t>\tag{3.9673}</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P_F(z_j\mid z_i)\geq0</w:t>
      </w:r>
    </w:p>
    <w:p w:rsidR="00FF47C8" w:rsidRDefault="00FF47C8" w:rsidP="00FF47C8">
      <w:pPr>
        <w:pStyle w:val="StandardWeb"/>
      </w:pPr>
      <w:r>
        <w:t>und</w:t>
      </w:r>
    </w:p>
    <w:p w:rsidR="00FF47C8" w:rsidRDefault="00FF47C8" w:rsidP="00FF47C8">
      <w:pPr>
        <w:pStyle w:val="berschrift1"/>
      </w:pPr>
      <w:r>
        <w:t>[</w:t>
      </w:r>
      <w:r>
        <w:br/>
        <w:t>\sum_{z_j}</w:t>
      </w:r>
      <w:r>
        <w:br/>
        <w:t>P_F(z_j\mid z_i)</w:t>
      </w:r>
    </w:p>
    <w:p w:rsidR="00FF47C8" w:rsidRDefault="00FF47C8" w:rsidP="00FF47C8">
      <w:pPr>
        <w:pStyle w:val="StandardWeb"/>
      </w:pPr>
      <w:r>
        <w:t>1</w:t>
      </w:r>
      <w:r>
        <w:br/>
        <w:t>\tag{3.9674}</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\sum_{z_j}P_F(z_j\mid z_i)=1</w:t>
      </w:r>
    </w:p>
    <w:p w:rsidR="00FF47C8" w:rsidRDefault="00FF47C8" w:rsidP="00FF47C8">
      <w:pPr>
        <w:pStyle w:val="StandardWeb"/>
      </w:pPr>
      <w:r>
        <w:t>entsteht eine stochastische Übergangsstruktur.</w:t>
      </w:r>
    </w:p>
    <w:p w:rsidR="00FF47C8" w:rsidRDefault="00FF47C8" w:rsidP="00FF47C8">
      <w:pPr>
        <w:pStyle w:val="StandardWeb"/>
      </w:pPr>
      <w:r>
        <w:t>Auch daraus folgt kein zusätzlicher Primäraxiomstatus.</w:t>
      </w:r>
    </w:p>
    <w:p w:rsidR="00FF47C8" w:rsidRDefault="00E50336" w:rsidP="00FF47C8">
      <w:r>
        <w:pict>
          <v:rect id="_x0000_i2909" style="width:0;height:1.5pt" o:hralign="center" o:hrstd="t" o:hr="t" fillcolor="#a0a0a0" stroked="f"/>
        </w:pict>
      </w:r>
    </w:p>
    <w:p w:rsidR="00FF47C8" w:rsidRDefault="00FF47C8" w:rsidP="00FF47C8">
      <w:pPr>
        <w:pStyle w:val="berschrift1"/>
      </w:pPr>
      <w:r>
        <w:t>3.3.44.25 Erste Statusprüfung</w:t>
      </w:r>
    </w:p>
    <w:p w:rsidR="00FF47C8" w:rsidRDefault="00FF47C8" w:rsidP="00FF47C8">
      <w:pPr>
        <w:pStyle w:val="StandardWeb"/>
      </w:pPr>
      <w:r>
        <w:t>Die bisher eingeführten Strukturen besitzen damit unterschiedliche wissenschaftliche Rollen.</w:t>
      </w:r>
    </w:p>
    <w:p w:rsidR="00FF47C8" w:rsidRDefault="00FF47C8" w:rsidP="00FF47C8">
      <w:pPr>
        <w:pStyle w:val="StandardWeb"/>
      </w:pPr>
      <w:r>
        <w:t>Die Menge (\Omega_F) ist Bestandteil des bereits vorausgesetzten Zustandsraums. Die Relation (\mathcal T_F) und Begriffe wie Übergangspfad oder Erreichbarkeit sind definitorische beziehungsweise strukturelle Konstruktionen. Konkrete kontinuierliche, diskrete oder stochastische Evolutionsgesetze sind dagegen Modellannahmen.</w:t>
      </w:r>
    </w:p>
    <w:p w:rsidR="00FF47C8" w:rsidRDefault="00FF47C8" w:rsidP="00FF47C8">
      <w:pPr>
        <w:pStyle w:val="StandardWeb"/>
      </w:pPr>
      <w:r>
        <w:t>Schematisch gilt</w:t>
      </w:r>
    </w:p>
    <w:p w:rsidR="00FF47C8" w:rsidRDefault="00FF47C8" w:rsidP="00FF47C8">
      <w:pPr>
        <w:pStyle w:val="berschrift1"/>
      </w:pPr>
      <w:r>
        <w:t>[</w:t>
      </w:r>
      <w:r>
        <w:br/>
        <w:t>\operatorname{Stat}</w:t>
      </w:r>
      <w:r>
        <w:br/>
        <w:t>(\mathcal T_F)</w:t>
      </w:r>
    </w:p>
    <w:p w:rsidR="00FF47C8" w:rsidRDefault="00FF47C8" w:rsidP="00FF47C8">
      <w:pPr>
        <w:pStyle w:val="StandardWeb"/>
      </w:pPr>
      <w:r>
        <w:lastRenderedPageBreak/>
        <w:t>\mathrm{Def},</w:t>
      </w:r>
      <w:r>
        <w:br/>
        <w:t>\tag{3.9675}</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\operatorname{Stat}(\mathcal T_F)=\mathrm{Def}</w:t>
      </w:r>
    </w:p>
    <w:p w:rsidR="00FF47C8" w:rsidRDefault="00FF47C8" w:rsidP="00FF47C8">
      <w:pPr>
        <w:pStyle w:val="StandardWeb"/>
      </w:pPr>
      <w:r>
        <w:t>während beispielsweise</w:t>
      </w:r>
    </w:p>
    <w:p w:rsidR="00FF47C8" w:rsidRDefault="00FF47C8" w:rsidP="00FF47C8">
      <w:pPr>
        <w:pStyle w:val="berschrift1"/>
      </w:pPr>
      <w:r>
        <w:t>[</w:t>
      </w:r>
      <w:r>
        <w:br/>
        <w:t>\operatorname{Stat}</w:t>
      </w:r>
      <w:r>
        <w:br/>
        <w:t>\left(</w:t>
      </w:r>
      <w:r>
        <w:br/>
        <w:t>z_{n+1}=T_F(z_n)</w:t>
      </w:r>
      <w:r>
        <w:br/>
        <w:t>\right)</w:t>
      </w:r>
    </w:p>
    <w:p w:rsidR="00FF47C8" w:rsidRDefault="00FF47C8" w:rsidP="00FF47C8">
      <w:pPr>
        <w:pStyle w:val="StandardWeb"/>
      </w:pPr>
      <w:r>
        <w:t>\mathrm{Mod}</w:t>
      </w:r>
      <w:r>
        <w:br/>
        <w:t>\tag{3.9676}</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\operatorname{Stat}\left(z_{n+1}=T_F(z_n)\right)=\mathrm{Mod}</w:t>
      </w:r>
    </w:p>
    <w:p w:rsidR="00FF47C8" w:rsidRDefault="00FF47C8" w:rsidP="00FF47C8">
      <w:pPr>
        <w:pStyle w:val="StandardWeb"/>
      </w:pPr>
      <w:r>
        <w:t>und</w:t>
      </w:r>
    </w:p>
    <w:p w:rsidR="00FF47C8" w:rsidRDefault="00FF47C8" w:rsidP="00FF47C8">
      <w:pPr>
        <w:pStyle w:val="berschrift1"/>
      </w:pPr>
      <w:r>
        <w:t>[</w:t>
      </w:r>
      <w:r>
        <w:br/>
        <w:t>\operatorname{Stat}</w:t>
      </w:r>
      <w:r>
        <w:br/>
        <w:t>\left(</w:t>
      </w:r>
      <w:r>
        <w:br/>
        <w:t>P_F(z_j\mid z_i)</w:t>
      </w:r>
      <w:r>
        <w:br/>
        <w:t>\right)</w:t>
      </w:r>
    </w:p>
    <w:p w:rsidR="00FF47C8" w:rsidRDefault="00FF47C8" w:rsidP="00FF47C8">
      <w:pPr>
        <w:pStyle w:val="StandardWeb"/>
      </w:pPr>
      <w:r>
        <w:t>\mathrm{Mod}</w:t>
      </w:r>
      <w:r>
        <w:br/>
        <w:t>\tag{3.9677}</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\operatorname{Stat}\left(P_F(z_j\mid z_i)\right)=\mathrm{Mod}</w:t>
      </w:r>
    </w:p>
    <w:p w:rsidR="00FF47C8" w:rsidRDefault="00FF47C8" w:rsidP="00FF47C8">
      <w:pPr>
        <w:pStyle w:val="StandardWeb"/>
      </w:pPr>
      <w:r>
        <w:t>gilt.</w:t>
      </w:r>
    </w:p>
    <w:p w:rsidR="00FF47C8" w:rsidRDefault="00E50336" w:rsidP="00FF47C8">
      <w:r>
        <w:pict>
          <v:rect id="_x0000_i2910" style="width:0;height:1.5pt" o:hralign="center" o:hrstd="t" o:hr="t" fillcolor="#a0a0a0" stroked="f"/>
        </w:pict>
      </w:r>
    </w:p>
    <w:p w:rsidR="00FF47C8" w:rsidRDefault="00FF47C8" w:rsidP="00FF47C8">
      <w:pPr>
        <w:pStyle w:val="berschrift1"/>
      </w:pPr>
      <w:r>
        <w:lastRenderedPageBreak/>
        <w:t>3.3.44.26 Noch keine Primäraxiomentscheidung</w:t>
      </w:r>
    </w:p>
    <w:p w:rsidR="00FF47C8" w:rsidRDefault="00FF47C8" w:rsidP="00FF47C8">
      <w:pPr>
        <w:pStyle w:val="StandardWeb"/>
      </w:pPr>
      <w:r>
        <w:t>Bis zu diesem Punkt habe ich lediglich die mathematische Sprache für funktionale Zustandsübergänge aufgebaut. Daraus folgt noch nicht, dass ein neues Primäraxiom erforderlich ist.</w:t>
      </w:r>
    </w:p>
    <w:p w:rsidR="00FF47C8" w:rsidRDefault="00FF47C8" w:rsidP="00FF47C8">
      <w:pPr>
        <w:pStyle w:val="StandardWeb"/>
      </w:pPr>
      <w:r>
        <w:t>Die zentrale Frage lautet nun:</w:t>
      </w:r>
    </w:p>
    <w:p w:rsidR="00FF47C8" w:rsidRDefault="00FF47C8" w:rsidP="00FF47C8">
      <w:pPr>
        <w:pStyle w:val="StandardWeb"/>
      </w:pPr>
      <w:r>
        <w:t>[</w:t>
      </w:r>
      <w:r>
        <w:br/>
        <w:t>\boxed{</w:t>
      </w:r>
      <w:r>
        <w:br/>
        <w:t>\text{Muss im FRZK die Existenz mindestens eines nichttrivialen funktionalen Zustandsübergangs primäraxiomatisch gefordert werden?}</w:t>
      </w:r>
      <w:r>
        <w:br/>
        <w:t>}</w:t>
      </w:r>
      <w:r>
        <w:br/>
        <w:t>\tag{3.9678}</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\boxed{\text{Muss im FRZK die Existenz mindestens eines nichttrivialen funktionalen Zustandsübergangs primäraxiomatisch gefordert werden?}}</w:t>
      </w:r>
    </w:p>
    <w:p w:rsidR="00FF47C8" w:rsidRDefault="00FF47C8" w:rsidP="00FF47C8">
      <w:pPr>
        <w:pStyle w:val="StandardWeb"/>
      </w:pPr>
      <w:r>
        <w:t>Ein entsprechender Kandidat könnte die Form</w:t>
      </w:r>
    </w:p>
    <w:p w:rsidR="00FF47C8" w:rsidRDefault="00FF47C8" w:rsidP="00FF47C8">
      <w:pPr>
        <w:pStyle w:val="StandardWeb"/>
      </w:pPr>
      <w:r>
        <w:t>[</w:t>
      </w:r>
      <w:r>
        <w:br/>
        <w:t>A_T:</w:t>
      </w:r>
      <w:r>
        <w:br/>
        <w:t>\exists z_i,z_j\in\Omega_F,</w:t>
      </w:r>
      <w:r>
        <w:br/>
        <w:t>\quad</w:t>
      </w:r>
      <w:r>
        <w:br/>
        <w:t>z_i\neq z_j,</w:t>
      </w:r>
      <w:r>
        <w:br/>
        <w:t>\quad</w:t>
      </w:r>
      <w:r>
        <w:br/>
        <w:t>(z_i,z_j)\in\mathcal T_F</w:t>
      </w:r>
      <w:r>
        <w:br/>
        <w:t>\tag{3.9679}</w:t>
      </w:r>
      <w:r>
        <w:br/>
        <w:t>]</w:t>
      </w:r>
    </w:p>
    <w:p w:rsidR="00FF47C8" w:rsidRDefault="00FF47C8" w:rsidP="00FF47C8">
      <w:pPr>
        <w:pStyle w:val="StandardWeb"/>
      </w:pPr>
      <w:r>
        <w:rPr>
          <w:rStyle w:val="Fett"/>
        </w:rPr>
        <w:t>Word-LaTeX</w:t>
      </w:r>
    </w:p>
    <w:p w:rsidR="00FF47C8" w:rsidRDefault="00FF47C8" w:rsidP="00FF47C8">
      <w:pPr>
        <w:pStyle w:val="HTMLVorformatiert"/>
        <w:rPr>
          <w:rStyle w:val="HTMLCode"/>
        </w:rPr>
      </w:pPr>
      <w:r>
        <w:rPr>
          <w:rStyle w:val="HTMLCode"/>
        </w:rPr>
        <w:t>A_T:\exists z_i,z_j\in\Omega_F,\quad z_i\neq z_j,\quad(z_i,z_j)\in\mathcal T_F</w:t>
      </w:r>
    </w:p>
    <w:p w:rsidR="00FF47C8" w:rsidRDefault="00FF47C8" w:rsidP="00FF47C8">
      <w:pPr>
        <w:pStyle w:val="StandardWeb"/>
      </w:pPr>
      <w:r>
        <w:t>besitzen.</w:t>
      </w:r>
    </w:p>
    <w:p w:rsidR="00FF47C8" w:rsidRDefault="00FF47C8" w:rsidP="00FF47C8">
      <w:pPr>
        <w:pStyle w:val="StandardWeb"/>
      </w:pPr>
      <w:r>
        <w:t xml:space="preserve">Ob (A_T) tatsächlich als neues Primäraxiom benötigt wird oder ob die Existenz funktionaler Übergänge bereits aus früheren FRZK-Strukturen hergeleitet beziehungsweise nur auf Modellebene vorausgesetzt werden soll, ist damit </w:t>
      </w:r>
      <w:r>
        <w:rPr>
          <w:rStyle w:val="Fett"/>
        </w:rPr>
        <w:t>noch nicht entschieden</w:t>
      </w:r>
      <w:r>
        <w:t>.</w:t>
      </w:r>
    </w:p>
    <w:p w:rsidR="00FF47C8" w:rsidRDefault="00FF47C8" w:rsidP="00FF47C8">
      <w:pPr>
        <w:pStyle w:val="StandardWeb"/>
      </w:pPr>
      <w:r>
        <w:t xml:space="preserve">Der nächste Teil beginnt bei </w:t>
      </w:r>
      <w:r>
        <w:rPr>
          <w:rStyle w:val="Fett"/>
        </w:rPr>
        <w:t>3.3.44.27 / Gleichung (3.9680)</w:t>
      </w:r>
      <w:r>
        <w:t xml:space="preserve"> mit der systematischen </w:t>
      </w:r>
      <w:r>
        <w:rPr>
          <w:rStyle w:val="Fett"/>
        </w:rPr>
        <w:t>Notwendigkeitsprüfung des Primäraxiomkandidaten (A_T)</w:t>
      </w:r>
      <w:r>
        <w:t>.</w:t>
      </w:r>
    </w:p>
    <w:p w:rsidR="002C1CB2" w:rsidRDefault="002C1CB2" w:rsidP="002C1CB2">
      <w:pPr>
        <w:pStyle w:val="berschrift1"/>
        <w:rPr>
          <w:rFonts w:cs="Times New Roman"/>
          <w:sz w:val="48"/>
          <w:szCs w:val="48"/>
        </w:rPr>
      </w:pPr>
      <w:r>
        <w:t>3.3.44.27 Notwendigkeitsprüfung des Primäraxiomkandidaten (A_T)</w:t>
      </w:r>
    </w:p>
    <w:p w:rsidR="002C1CB2" w:rsidRDefault="002C1CB2" w:rsidP="002C1CB2">
      <w:pPr>
        <w:pStyle w:val="StandardWeb"/>
      </w:pPr>
      <w:r>
        <w:lastRenderedPageBreak/>
        <w:t>Mit Gleichung (3.9679) habe ich den Kandidaten</w:t>
      </w:r>
    </w:p>
    <w:p w:rsidR="002C1CB2" w:rsidRDefault="002C1CB2" w:rsidP="002C1CB2">
      <w:pPr>
        <w:pStyle w:val="StandardWeb"/>
      </w:pPr>
      <w:r>
        <w:t>[</w:t>
      </w:r>
      <w:r>
        <w:br/>
        <w:t>A_T:</w:t>
      </w:r>
      <w:r>
        <w:br/>
        <w:t>\exists z_i,z_j\in\Omega_F,</w:t>
      </w:r>
      <w:r>
        <w:br/>
        <w:t>\quad</w:t>
      </w:r>
      <w:r>
        <w:br/>
        <w:t>z_i\neq z_j,</w:t>
      </w:r>
      <w:r>
        <w:br/>
        <w:t>\quad</w:t>
      </w:r>
      <w:r>
        <w:br/>
        <w:t>(z_i,z_j)\in\mathcal T_F</w:t>
      </w:r>
      <w:r>
        <w:br/>
        <w:t>\tag{3.9680}</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A_T:\exists z_i,z_j\in\Omega_F,\quad z_i\neq z_j,\quad(z_i,z_j)\in\mathcal T_F</w:t>
      </w:r>
    </w:p>
    <w:p w:rsidR="002C1CB2" w:rsidRDefault="002C1CB2" w:rsidP="002C1CB2">
      <w:pPr>
        <w:pStyle w:val="StandardWeb"/>
      </w:pPr>
      <w:r>
        <w:t>formuliert. Dieser Kandidat behauptet die Existenz mindestens eines nichttrivialen funktionalen Zustandsübergangs. Damit geht (A_T) über die bloße Definition einer Übergangsrelation hinaus, denn aus der Definition von (\mathcal T_F) folgt nicht, dass tatsächlich ein Paar verschiedener Zustände durch diese Relation verbunden sein muss.</w:t>
      </w:r>
    </w:p>
    <w:p w:rsidR="002C1CB2" w:rsidRDefault="002C1CB2" w:rsidP="002C1CB2">
      <w:pPr>
        <w:pStyle w:val="StandardWeb"/>
      </w:pPr>
      <w:r>
        <w:t>Die erste Prüfungsfrage lautet daher:</w:t>
      </w:r>
    </w:p>
    <w:p w:rsidR="002C1CB2" w:rsidRDefault="002C1CB2" w:rsidP="002C1CB2">
      <w:pPr>
        <w:pStyle w:val="StandardWeb"/>
      </w:pPr>
      <w:r>
        <w:t>[</w:t>
      </w:r>
      <w:r>
        <w:br/>
        <w:t>\boxed{</w:t>
      </w:r>
      <w:r>
        <w:br/>
        <w:t>\mathcal T_F\subseteq\Omega_F\times\Omega_F</w:t>
      </w:r>
      <w:r>
        <w:br/>
        <w:t>;\Rightarrow;</w:t>
      </w:r>
      <w:r>
        <w:br/>
        <w:t>\exists z_i\neq z_j:(z_i,z_j)\in\mathcal T_F</w:t>
      </w:r>
      <w:r>
        <w:br/>
        <w:t>;?</w:t>
      </w:r>
      <w:r>
        <w:br/>
        <w:t>}</w:t>
      </w:r>
      <w:r>
        <w:br/>
        <w:t>\tag{3.9681}</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\boxed{\mathcal T_F\subseteq\Omega_F\times\Omega_F\;\Rightarrow\;\exists z_i\neq z_j:(z_i,z_j)\in\mathcal T_F\;?}</w:t>
      </w:r>
    </w:p>
    <w:p w:rsidR="002C1CB2" w:rsidRDefault="002C1CB2" w:rsidP="002C1CB2">
      <w:pPr>
        <w:pStyle w:val="StandardWeb"/>
      </w:pPr>
      <w:r>
        <w:t>Die Antwort lautet zunächst nein.</w:t>
      </w:r>
    </w:p>
    <w:p w:rsidR="002C1CB2" w:rsidRDefault="00E50336" w:rsidP="002C1CB2">
      <w:r>
        <w:pict>
          <v:rect id="_x0000_i2911" style="width:0;height:1.5pt" o:hralign="center" o:hrstd="t" o:hr="t" fillcolor="#a0a0a0" stroked="f"/>
        </w:pict>
      </w:r>
    </w:p>
    <w:p w:rsidR="002C1CB2" w:rsidRDefault="002C1CB2" w:rsidP="002C1CB2">
      <w:pPr>
        <w:pStyle w:val="berschrift1"/>
      </w:pPr>
      <w:r>
        <w:t>3.3.44.28 Leere Übergangsrelation als Gegenmodell</w:t>
      </w:r>
    </w:p>
    <w:p w:rsidR="002C1CB2" w:rsidRDefault="002C1CB2" w:rsidP="002C1CB2">
      <w:pPr>
        <w:pStyle w:val="StandardWeb"/>
      </w:pPr>
      <w:r>
        <w:t>Eine formal zulässige Übergangsrelation kann leer sein:</w:t>
      </w:r>
    </w:p>
    <w:p w:rsidR="002C1CB2" w:rsidRDefault="002C1CB2" w:rsidP="002C1CB2">
      <w:pPr>
        <w:pStyle w:val="StandardWeb"/>
      </w:pPr>
      <w:r>
        <w:t>[</w:t>
      </w:r>
      <w:r>
        <w:br/>
        <w:t>\mathcal T_F=\varnothing.</w:t>
      </w:r>
      <w:r>
        <w:br/>
        <w:t>\tag{3.9682}</w:t>
      </w:r>
      <w:r>
        <w:br/>
        <w:t>]</w:t>
      </w:r>
    </w:p>
    <w:p w:rsidR="002C1CB2" w:rsidRDefault="002C1CB2" w:rsidP="002C1CB2">
      <w:pPr>
        <w:pStyle w:val="StandardWeb"/>
      </w:pPr>
      <w:r>
        <w:rPr>
          <w:rStyle w:val="Fett"/>
        </w:rPr>
        <w:lastRenderedPageBreak/>
        <w:t>Word-LaTeX</w:t>
      </w:r>
    </w:p>
    <w:p w:rsidR="002C1CB2" w:rsidRDefault="002C1CB2" w:rsidP="002C1CB2">
      <w:pPr>
        <w:pStyle w:val="HTMLVorformatiert"/>
        <w:rPr>
          <w:rStyle w:val="HTMLCode"/>
        </w:rPr>
      </w:pPr>
      <w:r>
        <w:rPr>
          <w:rStyle w:val="HTMLCode"/>
        </w:rPr>
        <w:t>\mathcal T_F=\varnothing</w:t>
      </w:r>
    </w:p>
    <w:p w:rsidR="002C1CB2" w:rsidRDefault="002C1CB2" w:rsidP="002C1CB2">
      <w:pPr>
        <w:pStyle w:val="StandardWeb"/>
      </w:pPr>
      <w:r>
        <w:t>Dann gilt zwar weiterhin</w:t>
      </w:r>
    </w:p>
    <w:p w:rsidR="002C1CB2" w:rsidRDefault="002C1CB2" w:rsidP="002C1CB2">
      <w:pPr>
        <w:pStyle w:val="StandardWeb"/>
      </w:pPr>
      <w:r>
        <w:t>[</w:t>
      </w:r>
      <w:r>
        <w:br/>
        <w:t>\mathcal T_F</w:t>
      </w:r>
      <w:r>
        <w:br/>
        <w:t>\subseteq</w:t>
      </w:r>
      <w:r>
        <w:br/>
        <w:t>\Omega_F\times\Omega_F,</w:t>
      </w:r>
      <w:r>
        <w:br/>
        <w:t>\tag{3.9683}</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\mathcal T_F\subseteq\Omega_F\times\Omega_F</w:t>
      </w:r>
    </w:p>
    <w:p w:rsidR="002C1CB2" w:rsidRDefault="002C1CB2" w:rsidP="002C1CB2">
      <w:pPr>
        <w:pStyle w:val="StandardWeb"/>
      </w:pPr>
      <w:r>
        <w:t>aber es existiert kein Paar</w:t>
      </w:r>
    </w:p>
    <w:p w:rsidR="002C1CB2" w:rsidRDefault="002C1CB2" w:rsidP="002C1CB2">
      <w:pPr>
        <w:pStyle w:val="StandardWeb"/>
      </w:pPr>
      <w:r>
        <w:t>[</w:t>
      </w:r>
      <w:r>
        <w:br/>
        <w:t>(z_i,z_j)\in\mathcal T_F.</w:t>
      </w:r>
      <w:r>
        <w:br/>
        <w:t>\tag{3.9684}</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(z_i,z_j)\in\mathcal T_F</w:t>
      </w:r>
    </w:p>
    <w:p w:rsidR="002C1CB2" w:rsidRDefault="002C1CB2" w:rsidP="002C1CB2">
      <w:pPr>
        <w:pStyle w:val="StandardWeb"/>
      </w:pPr>
      <w:r>
        <w:t>Damit folgt unmittelbar</w:t>
      </w:r>
    </w:p>
    <w:p w:rsidR="002C1CB2" w:rsidRDefault="002C1CB2" w:rsidP="002C1CB2">
      <w:pPr>
        <w:pStyle w:val="StandardWeb"/>
      </w:pPr>
      <w:r>
        <w:t>[</w:t>
      </w:r>
      <w:r>
        <w:br/>
        <w:t>\mathcal T_F\subseteq\Omega_F\times\Omega_F</w:t>
      </w:r>
      <w:r>
        <w:br/>
        <w:t>\nRightarrow</w:t>
      </w:r>
      <w:r>
        <w:br/>
        <w:t>A_T.</w:t>
      </w:r>
      <w:r>
        <w:br/>
        <w:t>\tag{3.9685}</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\mathcal T_F\subseteq\Omega_F\times\Omega_F\nRightarrow A_T</w:t>
      </w:r>
    </w:p>
    <w:p w:rsidR="002C1CB2" w:rsidRDefault="002C1CB2" w:rsidP="002C1CB2">
      <w:pPr>
        <w:pStyle w:val="StandardWeb"/>
      </w:pPr>
      <w:r>
        <w:t>Die Definition der Übergangsrelation erzeugt also keine Existenzbehauptung.</w:t>
      </w:r>
    </w:p>
    <w:p w:rsidR="002C1CB2" w:rsidRDefault="00E50336" w:rsidP="002C1CB2">
      <w:r>
        <w:pict>
          <v:rect id="_x0000_i2912" style="width:0;height:1.5pt" o:hralign="center" o:hrstd="t" o:hr="t" fillcolor="#a0a0a0" stroked="f"/>
        </w:pict>
      </w:r>
    </w:p>
    <w:p w:rsidR="002C1CB2" w:rsidRDefault="002C1CB2" w:rsidP="002C1CB2">
      <w:pPr>
        <w:pStyle w:val="berschrift1"/>
      </w:pPr>
      <w:r>
        <w:t>3.3.44.29 Identitätsrelation als zweites Gegenmodell</w:t>
      </w:r>
    </w:p>
    <w:p w:rsidR="002C1CB2" w:rsidRDefault="002C1CB2" w:rsidP="002C1CB2">
      <w:pPr>
        <w:pStyle w:val="StandardWeb"/>
      </w:pPr>
      <w:r>
        <w:t>Selbst wenn (\mathcal T_F\neq\varnothing) gilt, muss daraus noch kein nichttrivialer Übergang folgen.</w:t>
      </w:r>
    </w:p>
    <w:p w:rsidR="002C1CB2" w:rsidRDefault="002C1CB2" w:rsidP="002C1CB2">
      <w:pPr>
        <w:pStyle w:val="StandardWeb"/>
      </w:pPr>
      <w:r>
        <w:t>Betrachte</w:t>
      </w:r>
    </w:p>
    <w:p w:rsidR="002C1CB2" w:rsidRDefault="002C1CB2" w:rsidP="002C1CB2">
      <w:pPr>
        <w:pStyle w:val="berschrift1"/>
      </w:pPr>
      <w:r>
        <w:lastRenderedPageBreak/>
        <w:t>[</w:t>
      </w:r>
      <w:r>
        <w:br/>
        <w:t>\mathcal T_F</w:t>
      </w:r>
    </w:p>
    <w:p w:rsidR="002C1CB2" w:rsidRDefault="002C1CB2" w:rsidP="002C1CB2">
      <w:pPr>
        <w:pStyle w:val="StandardWeb"/>
      </w:pPr>
      <w:r>
        <w:t>\left{</w:t>
      </w:r>
      <w:r>
        <w:br/>
        <w:t>(z,z):</w:t>
      </w:r>
      <w:r>
        <w:br/>
        <w:t>z\in\Omega_F</w:t>
      </w:r>
      <w:r>
        <w:br/>
        <w:t>\right}.</w:t>
      </w:r>
      <w:r>
        <w:br/>
        <w:t>\tag{3.9686}</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\mathcal T_F=\left\{(z,z):z\in\Omega_F\right\}</w:t>
      </w:r>
    </w:p>
    <w:p w:rsidR="002C1CB2" w:rsidRDefault="002C1CB2" w:rsidP="002C1CB2">
      <w:pPr>
        <w:pStyle w:val="StandardWeb"/>
      </w:pPr>
      <w:r>
        <w:t>Dann existieren ausschließlich Selbstübergänge.</w:t>
      </w:r>
    </w:p>
    <w:p w:rsidR="002C1CB2" w:rsidRDefault="002C1CB2" w:rsidP="002C1CB2">
      <w:pPr>
        <w:pStyle w:val="StandardWeb"/>
      </w:pPr>
      <w:r>
        <w:t>Für jedes</w:t>
      </w:r>
    </w:p>
    <w:p w:rsidR="002C1CB2" w:rsidRDefault="002C1CB2" w:rsidP="002C1CB2">
      <w:pPr>
        <w:pStyle w:val="StandardWeb"/>
      </w:pPr>
      <w:r>
        <w:t>[</w:t>
      </w:r>
      <w:r>
        <w:br/>
        <w:t>(z_i,z_j)\in\mathcal T_F</w:t>
      </w:r>
      <w:r>
        <w:br/>
        <w:t>\tag{3.9687}</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(z_i,z_j)\in\mathcal T_F</w:t>
      </w:r>
    </w:p>
    <w:p w:rsidR="002C1CB2" w:rsidRDefault="002C1CB2" w:rsidP="002C1CB2">
      <w:pPr>
        <w:pStyle w:val="StandardWeb"/>
      </w:pPr>
      <w:r>
        <w:t>gilt</w:t>
      </w:r>
    </w:p>
    <w:p w:rsidR="002C1CB2" w:rsidRDefault="002C1CB2" w:rsidP="002C1CB2">
      <w:pPr>
        <w:pStyle w:val="StandardWeb"/>
      </w:pPr>
      <w:r>
        <w:t>[</w:t>
      </w:r>
      <w:r>
        <w:br/>
        <w:t>z_i=z_j.</w:t>
      </w:r>
      <w:r>
        <w:br/>
        <w:t>\tag{3.9688}</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z_i=z_j</w:t>
      </w:r>
    </w:p>
    <w:p w:rsidR="002C1CB2" w:rsidRDefault="002C1CB2" w:rsidP="002C1CB2">
      <w:pPr>
        <w:pStyle w:val="StandardWeb"/>
      </w:pPr>
      <w:r>
        <w:t>Somit folgt auch aus</w:t>
      </w:r>
    </w:p>
    <w:p w:rsidR="002C1CB2" w:rsidRDefault="002C1CB2" w:rsidP="002C1CB2">
      <w:pPr>
        <w:pStyle w:val="StandardWeb"/>
      </w:pPr>
      <w:r>
        <w:t>[</w:t>
      </w:r>
      <w:r>
        <w:br/>
        <w:t>\mathcal T_F\neq\varnothing</w:t>
      </w:r>
      <w:r>
        <w:br/>
        <w:t>\tag{3.9689}</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\mathcal T_F\neq\varnothing</w:t>
      </w:r>
    </w:p>
    <w:p w:rsidR="002C1CB2" w:rsidRDefault="002C1CB2" w:rsidP="002C1CB2">
      <w:pPr>
        <w:pStyle w:val="StandardWeb"/>
      </w:pPr>
      <w:r>
        <w:t>nicht</w:t>
      </w:r>
    </w:p>
    <w:p w:rsidR="002C1CB2" w:rsidRDefault="002C1CB2" w:rsidP="002C1CB2">
      <w:pPr>
        <w:pStyle w:val="StandardWeb"/>
      </w:pPr>
      <w:r>
        <w:lastRenderedPageBreak/>
        <w:t>[</w:t>
      </w:r>
      <w:r>
        <w:br/>
        <w:t>A_T.</w:t>
      </w:r>
      <w:r>
        <w:br/>
        <w:t>\tag{3.9690}</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w:t>
      </w:r>
    </w:p>
    <w:p w:rsidR="002C1CB2" w:rsidRDefault="00E50336" w:rsidP="002C1CB2">
      <w:r>
        <w:pict>
          <v:rect id="_x0000_i2913" style="width:0;height:1.5pt" o:hralign="center" o:hrstd="t" o:hr="t" fillcolor="#a0a0a0" stroked="f"/>
        </w:pict>
      </w:r>
    </w:p>
    <w:p w:rsidR="002C1CB2" w:rsidRDefault="002C1CB2" w:rsidP="002C1CB2">
      <w:pPr>
        <w:pStyle w:val="berschrift1"/>
      </w:pPr>
      <w:r>
        <w:t>3.3.44.30 Definition 3.3.78 – Nichttrivialer funktionaler Zustandsübergang</w:t>
      </w:r>
    </w:p>
    <w:p w:rsidR="002C1CB2" w:rsidRDefault="002C1CB2" w:rsidP="002C1CB2">
      <w:pPr>
        <w:pStyle w:val="berschrift3"/>
      </w:pPr>
      <w:r>
        <w:t>Definition 3.3.78</w:t>
      </w:r>
    </w:p>
    <w:p w:rsidR="002C1CB2" w:rsidRDefault="002C1CB2" w:rsidP="002C1CB2">
      <w:pPr>
        <w:pStyle w:val="StandardWeb"/>
      </w:pPr>
      <w:r>
        <w:t xml:space="preserve">Ein funktionaler Zustandsübergang heißt </w:t>
      </w:r>
      <w:r>
        <w:rPr>
          <w:rStyle w:val="Fett"/>
        </w:rPr>
        <w:t>nichttrivial</w:t>
      </w:r>
      <w:r>
        <w:t>, wenn Ausgangs- und Zielzustand verschieden sind.</w:t>
      </w:r>
    </w:p>
    <w:p w:rsidR="002C1CB2" w:rsidRDefault="002C1CB2" w:rsidP="002C1CB2">
      <w:pPr>
        <w:pStyle w:val="StandardWeb"/>
      </w:pPr>
      <w:r>
        <w:t>Formal:</w:t>
      </w:r>
    </w:p>
    <w:p w:rsidR="002C1CB2" w:rsidRDefault="002C1CB2" w:rsidP="002C1CB2">
      <w:pPr>
        <w:pStyle w:val="StandardWeb"/>
      </w:pPr>
      <w:r>
        <w:t>[</w:t>
      </w:r>
      <w:r>
        <w:br/>
        <w:t>\operatorname{NT}_F(z_i,z_j)=1</w:t>
      </w:r>
      <w:r>
        <w:br/>
        <w:t>\Longleftrightarrow</w:t>
      </w:r>
      <w:r>
        <w:br/>
        <w:t>\left[</w:t>
      </w:r>
      <w:r>
        <w:br/>
        <w:t>(z_i,z_j)\in\mathcal T_F</w:t>
      </w:r>
      <w:r>
        <w:br/>
        <w:t>\land</w:t>
      </w:r>
      <w:r>
        <w:br/>
        <w:t>z_i\neq z_j</w:t>
      </w:r>
      <w:r>
        <w:br/>
        <w:t>\right].</w:t>
      </w:r>
      <w:r>
        <w:br/>
        <w:t>\tag{3.9691}</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\operatorname{NT}_F(z_i,z_j)=1\Longleftrightarrow\left[(z_i,z_j)\in\mathcal T_F\land z_i\neq z_j\right]</w:t>
      </w:r>
    </w:p>
    <w:p w:rsidR="002C1CB2" w:rsidRDefault="002C1CB2" w:rsidP="002C1CB2">
      <w:pPr>
        <w:pStyle w:val="StandardWeb"/>
      </w:pPr>
      <w:r>
        <w:t>Damit kann (A_T) äquivalent geschrieben werden als</w:t>
      </w:r>
    </w:p>
    <w:p w:rsidR="002C1CB2" w:rsidRDefault="002C1CB2" w:rsidP="002C1CB2">
      <w:pPr>
        <w:pStyle w:val="StandardWeb"/>
      </w:pPr>
      <w:r>
        <w:t>[</w:t>
      </w:r>
      <w:r>
        <w:br/>
        <w:t>A_T:</w:t>
      </w:r>
      <w:r>
        <w:br/>
        <w:t>\exists z_i,z_j\in\Omega_F:</w:t>
      </w:r>
      <w:r>
        <w:br/>
        <w:t>\operatorname{NT}_F(z_i,z_j)=1.</w:t>
      </w:r>
      <w:r>
        <w:br/>
        <w:t>\tag{3.9692}</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A_T:\exists z_i,z_j\in\Omega_F:\operatorname{NT}_F(z_i,z_j)=1</w:t>
      </w:r>
    </w:p>
    <w:p w:rsidR="002C1CB2" w:rsidRDefault="00E50336" w:rsidP="002C1CB2">
      <w:r>
        <w:pict>
          <v:rect id="_x0000_i2914" style="width:0;height:1.5pt" o:hralign="center" o:hrstd="t" o:hr="t" fillcolor="#a0a0a0" stroked="f"/>
        </w:pict>
      </w:r>
    </w:p>
    <w:p w:rsidR="002C1CB2" w:rsidRDefault="002C1CB2" w:rsidP="002C1CB2">
      <w:pPr>
        <w:pStyle w:val="berschrift1"/>
      </w:pPr>
      <w:r>
        <w:lastRenderedPageBreak/>
        <w:t>3.3.44.31 Prüfung gegen das Kohärenzprimäraxiom (A_C)</w:t>
      </w:r>
    </w:p>
    <w:p w:rsidR="002C1CB2" w:rsidRDefault="002C1CB2" w:rsidP="002C1CB2">
      <w:pPr>
        <w:pStyle w:val="StandardWeb"/>
      </w:pPr>
      <w:r>
        <w:t>Nun muss ich prüfen, ob (A_T) vielleicht bereits aus dem in 3.3.43 bestätigten Kohärenzprimäraxiom folgt.</w:t>
      </w:r>
    </w:p>
    <w:p w:rsidR="002C1CB2" w:rsidRDefault="002C1CB2" w:rsidP="002C1CB2">
      <w:pPr>
        <w:pStyle w:val="StandardWeb"/>
      </w:pPr>
      <w:r>
        <w:t>Dieses lautet</w:t>
      </w:r>
    </w:p>
    <w:p w:rsidR="002C1CB2" w:rsidRDefault="002C1CB2" w:rsidP="002C1CB2">
      <w:pPr>
        <w:pStyle w:val="StandardWeb"/>
      </w:pPr>
      <w:r>
        <w:t>[</w:t>
      </w:r>
      <w:r>
        <w:br/>
        <w:t>A_C:</w:t>
      </w:r>
      <w:r>
        <w:br/>
        <w:t>\exists z\in\Omega_F;</w:t>
      </w:r>
      <w:r>
        <w:br/>
        <w:t>\exists\mathcal S_C\subseteq\mathcal S_F:</w:t>
      </w:r>
      <w:r>
        <w:br/>
        <w:t>R_F(\mathcal S_C)=1</w:t>
      </w:r>
      <w:r>
        <w:br/>
        <w:t>\land</w:t>
      </w:r>
      <w:r>
        <w:br/>
        <w:t>C_F(\mathcal S_C;z)&gt;0.</w:t>
      </w:r>
      <w:r>
        <w:br/>
        <w:t>\tag{3.9693}</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A_C:\exists z\in\Omega_F\;\exists\mathcal S_C\subseteq\mathcal S_F:R_F(\mathcal S_C)=1\land C_F(\mathcal S_C;z)&gt;0</w:t>
      </w:r>
    </w:p>
    <w:p w:rsidR="002C1CB2" w:rsidRDefault="002C1CB2" w:rsidP="002C1CB2">
      <w:pPr>
        <w:pStyle w:val="StandardWeb"/>
      </w:pPr>
      <w:r>
        <w:t>(A_C) fordert mindestens einen funktional kohärenten Zustand beziehungsweise eine kohärente Teilstruktur innerhalb eines Zustandes. Es enthält jedoch keine Aussage darüber, ob ein zweiter Zustand existieren muss.</w:t>
      </w:r>
    </w:p>
    <w:p w:rsidR="002C1CB2" w:rsidRDefault="002C1CB2" w:rsidP="002C1CB2">
      <w:pPr>
        <w:pStyle w:val="StandardWeb"/>
      </w:pPr>
      <w:r>
        <w:t>Daher gilt zunächst</w:t>
      </w:r>
    </w:p>
    <w:p w:rsidR="002C1CB2" w:rsidRDefault="002C1CB2" w:rsidP="002C1CB2">
      <w:pPr>
        <w:pStyle w:val="StandardWeb"/>
      </w:pPr>
      <w:r>
        <w:t>[</w:t>
      </w:r>
      <w:r>
        <w:br/>
        <w:t>A_C</w:t>
      </w:r>
      <w:r>
        <w:br/>
        <w:t>\nRightarrow</w:t>
      </w:r>
      <w:r>
        <w:br/>
        <w:t>|\Omega_F|\geq2.</w:t>
      </w:r>
      <w:r>
        <w:br/>
        <w:t>\tag{3.9694}</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A_C\nRightarrow|\Omega_F|\geq2</w:t>
      </w:r>
    </w:p>
    <w:p w:rsidR="002C1CB2" w:rsidRDefault="00E50336" w:rsidP="002C1CB2">
      <w:r>
        <w:pict>
          <v:rect id="_x0000_i2915" style="width:0;height:1.5pt" o:hralign="center" o:hrstd="t" o:hr="t" fillcolor="#a0a0a0" stroked="f"/>
        </w:pict>
      </w:r>
    </w:p>
    <w:p w:rsidR="002C1CB2" w:rsidRDefault="002C1CB2" w:rsidP="002C1CB2">
      <w:pPr>
        <w:pStyle w:val="berschrift1"/>
      </w:pPr>
      <w:r>
        <w:t>3.3.44.32 Einzustandsmodell als Gegenmodell</w:t>
      </w:r>
    </w:p>
    <w:p w:rsidR="002C1CB2" w:rsidRDefault="002C1CB2" w:rsidP="002C1CB2">
      <w:pPr>
        <w:pStyle w:val="StandardWeb"/>
      </w:pPr>
      <w:r>
        <w:t>Ein Modell mit</w:t>
      </w:r>
    </w:p>
    <w:p w:rsidR="002C1CB2" w:rsidRDefault="002C1CB2" w:rsidP="002C1CB2">
      <w:pPr>
        <w:pStyle w:val="StandardWeb"/>
      </w:pPr>
      <w:r>
        <w:t>[</w:t>
      </w:r>
      <w:r>
        <w:br/>
        <w:t>\Omega_F={z_0}</w:t>
      </w:r>
      <w:r>
        <w:br/>
        <w:t>\tag{3.9695}</w:t>
      </w:r>
      <w:r>
        <w:br/>
        <w:t>]</w:t>
      </w:r>
    </w:p>
    <w:p w:rsidR="002C1CB2" w:rsidRDefault="002C1CB2" w:rsidP="002C1CB2">
      <w:pPr>
        <w:pStyle w:val="StandardWeb"/>
      </w:pPr>
      <w:r>
        <w:rPr>
          <w:rStyle w:val="Fett"/>
        </w:rPr>
        <w:lastRenderedPageBreak/>
        <w:t>Word-LaTeX</w:t>
      </w:r>
    </w:p>
    <w:p w:rsidR="002C1CB2" w:rsidRDefault="002C1CB2" w:rsidP="002C1CB2">
      <w:pPr>
        <w:pStyle w:val="HTMLVorformatiert"/>
        <w:rPr>
          <w:rStyle w:val="HTMLCode"/>
        </w:rPr>
      </w:pPr>
      <w:r>
        <w:rPr>
          <w:rStyle w:val="HTMLCode"/>
        </w:rPr>
        <w:t>\Omega_F=\{z_0\}</w:t>
      </w:r>
    </w:p>
    <w:p w:rsidR="002C1CB2" w:rsidRDefault="002C1CB2" w:rsidP="002C1CB2">
      <w:pPr>
        <w:pStyle w:val="StandardWeb"/>
      </w:pPr>
      <w:r>
        <w:t>kann (A_C) erfüllen, sofern in (z_0) eine realisierbare kohärente Teilstruktur existiert:</w:t>
      </w:r>
    </w:p>
    <w:p w:rsidR="002C1CB2" w:rsidRDefault="002C1CB2" w:rsidP="002C1CB2">
      <w:pPr>
        <w:pStyle w:val="StandardWeb"/>
      </w:pPr>
      <w:r>
        <w:t>[</w:t>
      </w:r>
      <w:r>
        <w:br/>
        <w:t>\exists\mathcal S_C\subseteq\mathcal S_F:</w:t>
      </w:r>
      <w:r>
        <w:br/>
        <w:t>R_F(\mathcal S_C)=1</w:t>
      </w:r>
      <w:r>
        <w:br/>
        <w:t>\land</w:t>
      </w:r>
      <w:r>
        <w:br/>
        <w:t>C_F(\mathcal S_C;z_0)&gt;0.</w:t>
      </w:r>
      <w:r>
        <w:br/>
        <w:t>\tag{3.9696}</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\exists\mathcal S_C\subseteq\mathcal S_F:R_F(\mathcal S_C)=1\land C_F(\mathcal S_C;z_0)&gt;0</w:t>
      </w:r>
    </w:p>
    <w:p w:rsidR="002C1CB2" w:rsidRDefault="002C1CB2" w:rsidP="002C1CB2">
      <w:pPr>
        <w:pStyle w:val="StandardWeb"/>
      </w:pPr>
      <w:r>
        <w:t>Gleichzeitig kann in einem solchen Modell kein nichttrivialer Zustandsübergang existieren, weil</w:t>
      </w:r>
    </w:p>
    <w:p w:rsidR="002C1CB2" w:rsidRDefault="002C1CB2" w:rsidP="002C1CB2">
      <w:pPr>
        <w:pStyle w:val="StandardWeb"/>
      </w:pPr>
      <w:r>
        <w:t>[</w:t>
      </w:r>
      <w:r>
        <w:br/>
        <w:t>|\Omega_F|=1.</w:t>
      </w:r>
      <w:r>
        <w:br/>
        <w:t>\tag{3.9697}</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|\Omega_F|=1</w:t>
      </w:r>
    </w:p>
    <w:p w:rsidR="002C1CB2" w:rsidRDefault="002C1CB2" w:rsidP="002C1CB2">
      <w:pPr>
        <w:pStyle w:val="StandardWeb"/>
      </w:pPr>
      <w:r>
        <w:t>Damit erhält man ein Gegenmodell zu</w:t>
      </w:r>
    </w:p>
    <w:p w:rsidR="002C1CB2" w:rsidRDefault="002C1CB2" w:rsidP="002C1CB2">
      <w:pPr>
        <w:pStyle w:val="StandardWeb"/>
      </w:pPr>
      <w:r>
        <w:t>[</w:t>
      </w:r>
      <w:r>
        <w:br/>
        <w:t>A_C\Rightarrow A_T.</w:t>
      </w:r>
      <w:r>
        <w:br/>
        <w:t>\tag{3.9698}</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A_C\Rightarrow A_T</w:t>
      </w:r>
    </w:p>
    <w:p w:rsidR="002C1CB2" w:rsidRDefault="002C1CB2" w:rsidP="002C1CB2">
      <w:pPr>
        <w:pStyle w:val="StandardWeb"/>
      </w:pPr>
      <w:r>
        <w:t>Es gilt also</w:t>
      </w:r>
    </w:p>
    <w:p w:rsidR="002C1CB2" w:rsidRDefault="002C1CB2" w:rsidP="002C1CB2">
      <w:pPr>
        <w:pStyle w:val="StandardWeb"/>
      </w:pPr>
      <w:r>
        <w:t>[</w:t>
      </w:r>
      <w:r>
        <w:br/>
        <w:t>\boxed{</w:t>
      </w:r>
      <w:r>
        <w:br/>
        <w:t>A_C\nRightarrow A_T.</w:t>
      </w:r>
      <w:r>
        <w:br/>
        <w:t>}</w:t>
      </w:r>
      <w:r>
        <w:br/>
        <w:t>\tag{3.9699}</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lastRenderedPageBreak/>
        <w:t>\boxed{A_C\nRightarrow A_T.}</w:t>
      </w:r>
    </w:p>
    <w:p w:rsidR="002C1CB2" w:rsidRDefault="00E50336" w:rsidP="002C1CB2">
      <w:r>
        <w:pict>
          <v:rect id="_x0000_i2916" style="width:0;height:1.5pt" o:hralign="center" o:hrstd="t" o:hr="t" fillcolor="#a0a0a0" stroked="f"/>
        </w:pict>
      </w:r>
    </w:p>
    <w:p w:rsidR="002C1CB2" w:rsidRDefault="002C1CB2" w:rsidP="002C1CB2">
      <w:pPr>
        <w:pStyle w:val="berschrift1"/>
      </w:pPr>
      <w:r>
        <w:t>3.3.44.33 Logische Unabhängigkeit vom Kohärenzaxiom</w:t>
      </w:r>
    </w:p>
    <w:p w:rsidR="002C1CB2" w:rsidRDefault="002C1CB2" w:rsidP="002C1CB2">
      <w:pPr>
        <w:pStyle w:val="StandardWeb"/>
      </w:pPr>
      <w:r>
        <w:t>Die bisherige Analyse zeigt, dass (A_T) nicht bloß eine Umformulierung von (A_C) ist.</w:t>
      </w:r>
    </w:p>
    <w:p w:rsidR="002C1CB2" w:rsidRDefault="002C1CB2" w:rsidP="002C1CB2">
      <w:pPr>
        <w:pStyle w:val="StandardWeb"/>
      </w:pPr>
      <w:r>
        <w:t>Formal gilt mindestens</w:t>
      </w:r>
    </w:p>
    <w:p w:rsidR="002C1CB2" w:rsidRDefault="002C1CB2" w:rsidP="002C1CB2">
      <w:pPr>
        <w:pStyle w:val="StandardWeb"/>
      </w:pPr>
      <w:r>
        <w:t>[</w:t>
      </w:r>
      <w:r>
        <w:br/>
        <w:t>A_C\nvdash A_T.</w:t>
      </w:r>
      <w:r>
        <w:br/>
        <w:t>\tag{3.9700}</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A_C\nvdash A_T</w:t>
      </w:r>
    </w:p>
    <w:p w:rsidR="002C1CB2" w:rsidRDefault="002C1CB2" w:rsidP="002C1CB2">
      <w:pPr>
        <w:pStyle w:val="StandardWeb"/>
      </w:pPr>
      <w:r>
        <w:t>Damit ist eine erste Bedingung für einen eigenständigen Primäraxiomkandidaten erfüllt: Der Kandidat ist nicht bereits aus dem bestätigten Kohärenzprimäraxiom ableitbar.</w:t>
      </w:r>
    </w:p>
    <w:p w:rsidR="002C1CB2" w:rsidRDefault="002C1CB2" w:rsidP="002C1CB2">
      <w:pPr>
        <w:pStyle w:val="StandardWeb"/>
      </w:pPr>
      <w:r>
        <w:t>Dies genügt jedoch noch nicht für seine Aufnahme in die Primäraxiomatik.</w:t>
      </w:r>
    </w:p>
    <w:p w:rsidR="002C1CB2" w:rsidRDefault="00E50336" w:rsidP="002C1CB2">
      <w:r>
        <w:pict>
          <v:rect id="_x0000_i2917" style="width:0;height:1.5pt" o:hralign="center" o:hrstd="t" o:hr="t" fillcolor="#a0a0a0" stroked="f"/>
        </w:pict>
      </w:r>
    </w:p>
    <w:p w:rsidR="002C1CB2" w:rsidRDefault="002C1CB2" w:rsidP="002C1CB2">
      <w:pPr>
        <w:pStyle w:val="berschrift1"/>
      </w:pPr>
      <w:r>
        <w:t>3.3.44.34 Prüfung der umgekehrten Ableitbarkeit</w:t>
      </w:r>
    </w:p>
    <w:p w:rsidR="002C1CB2" w:rsidRDefault="002C1CB2" w:rsidP="002C1CB2">
      <w:pPr>
        <w:pStyle w:val="StandardWeb"/>
      </w:pPr>
      <w:r>
        <w:t>Auch die umgekehrte Richtung muss betrachtet werden.</w:t>
      </w:r>
    </w:p>
    <w:p w:rsidR="002C1CB2" w:rsidRDefault="002C1CB2" w:rsidP="002C1CB2">
      <w:pPr>
        <w:pStyle w:val="StandardWeb"/>
      </w:pPr>
      <w:r>
        <w:t>Aus</w:t>
      </w:r>
    </w:p>
    <w:p w:rsidR="002C1CB2" w:rsidRDefault="002C1CB2" w:rsidP="002C1CB2">
      <w:pPr>
        <w:pStyle w:val="StandardWeb"/>
      </w:pPr>
      <w:r>
        <w:t>[</w:t>
      </w:r>
      <w:r>
        <w:br/>
        <w:t>A_T</w:t>
      </w:r>
      <w:r>
        <w:br/>
        <w:t>\tag{3.9701}</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w:t>
      </w:r>
    </w:p>
    <w:p w:rsidR="002C1CB2" w:rsidRDefault="002C1CB2" w:rsidP="002C1CB2">
      <w:pPr>
        <w:pStyle w:val="StandardWeb"/>
      </w:pPr>
      <w:r>
        <w:t>folgt lediglich, dass mindestens ein nichttrivialer funktionaler Zustandsübergang existiert.</w:t>
      </w:r>
    </w:p>
    <w:p w:rsidR="002C1CB2" w:rsidRDefault="002C1CB2" w:rsidP="002C1CB2">
      <w:pPr>
        <w:pStyle w:val="StandardWeb"/>
      </w:pPr>
      <w:r>
        <w:t>Daraus folgt nicht notwendig</w:t>
      </w:r>
    </w:p>
    <w:p w:rsidR="002C1CB2" w:rsidRDefault="002C1CB2" w:rsidP="002C1CB2">
      <w:pPr>
        <w:pStyle w:val="StandardWeb"/>
      </w:pPr>
      <w:r>
        <w:t>[</w:t>
      </w:r>
      <w:r>
        <w:br/>
        <w:t>C_F(\mathcal S_C;z)&gt;0.</w:t>
      </w:r>
      <w:r>
        <w:br/>
        <w:t>\tag{3.9702}</w:t>
      </w:r>
      <w:r>
        <w:br/>
        <w:t>]</w:t>
      </w:r>
    </w:p>
    <w:p w:rsidR="002C1CB2" w:rsidRDefault="002C1CB2" w:rsidP="002C1CB2">
      <w:pPr>
        <w:pStyle w:val="StandardWeb"/>
      </w:pPr>
      <w:r>
        <w:rPr>
          <w:rStyle w:val="Fett"/>
        </w:rPr>
        <w:lastRenderedPageBreak/>
        <w:t>Word-LaTeX</w:t>
      </w:r>
    </w:p>
    <w:p w:rsidR="002C1CB2" w:rsidRDefault="002C1CB2" w:rsidP="002C1CB2">
      <w:pPr>
        <w:pStyle w:val="HTMLVorformatiert"/>
        <w:rPr>
          <w:rStyle w:val="HTMLCode"/>
        </w:rPr>
      </w:pPr>
      <w:r>
        <w:rPr>
          <w:rStyle w:val="HTMLCode"/>
        </w:rPr>
        <w:t>C_F(\mathcal S_C;z)&gt;0</w:t>
      </w:r>
    </w:p>
    <w:p w:rsidR="002C1CB2" w:rsidRDefault="002C1CB2" w:rsidP="002C1CB2">
      <w:pPr>
        <w:pStyle w:val="StandardWeb"/>
      </w:pPr>
      <w:r>
        <w:t>Ein Übergangsmodell könnte formal Zustandswechsel zulassen, ohne dass die durch (A_C) geforderte positive funktionale Kohärenz erfüllt ist.</w:t>
      </w:r>
    </w:p>
    <w:p w:rsidR="002C1CB2" w:rsidRDefault="002C1CB2" w:rsidP="002C1CB2">
      <w:pPr>
        <w:pStyle w:val="StandardWeb"/>
      </w:pPr>
      <w:r>
        <w:t>Somit gilt</w:t>
      </w:r>
    </w:p>
    <w:p w:rsidR="002C1CB2" w:rsidRDefault="002C1CB2" w:rsidP="002C1CB2">
      <w:pPr>
        <w:pStyle w:val="StandardWeb"/>
      </w:pPr>
      <w:r>
        <w:t>[</w:t>
      </w:r>
      <w:r>
        <w:br/>
        <w:t>\boxed{</w:t>
      </w:r>
      <w:r>
        <w:br/>
        <w:t>A_T\nRightarrow A_C.</w:t>
      </w:r>
      <w:r>
        <w:br/>
        <w:t>}</w:t>
      </w:r>
      <w:r>
        <w:br/>
        <w:t>\tag{3.9703}</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\boxed{A_T\nRightarrow A_C.}</w:t>
      </w:r>
    </w:p>
    <w:p w:rsidR="002C1CB2" w:rsidRDefault="00E50336" w:rsidP="002C1CB2">
      <w:r>
        <w:pict>
          <v:rect id="_x0000_i2918" style="width:0;height:1.5pt" o:hralign="center" o:hrstd="t" o:hr="t" fillcolor="#a0a0a0" stroked="f"/>
        </w:pict>
      </w:r>
    </w:p>
    <w:p w:rsidR="002C1CB2" w:rsidRDefault="002C1CB2" w:rsidP="002C1CB2">
      <w:pPr>
        <w:pStyle w:val="berschrift1"/>
      </w:pPr>
      <w:r>
        <w:t>3.3.44.35 Vorläufige logische Unabhängigkeit</w:t>
      </w:r>
    </w:p>
    <w:p w:rsidR="002C1CB2" w:rsidRDefault="002C1CB2" w:rsidP="002C1CB2">
      <w:pPr>
        <w:pStyle w:val="StandardWeb"/>
      </w:pPr>
      <w:r>
        <w:t>Damit gilt</w:t>
      </w:r>
    </w:p>
    <w:p w:rsidR="002C1CB2" w:rsidRDefault="002C1CB2" w:rsidP="002C1CB2">
      <w:pPr>
        <w:pStyle w:val="StandardWeb"/>
      </w:pPr>
      <w:r>
        <w:t>[</w:t>
      </w:r>
      <w:r>
        <w:br/>
        <w:t>A_C\nRightarrow A_T</w:t>
      </w:r>
      <w:r>
        <w:br/>
        <w:t>\tag{3.9704}</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A_C\nRightarrow A_T</w:t>
      </w:r>
    </w:p>
    <w:p w:rsidR="002C1CB2" w:rsidRDefault="002C1CB2" w:rsidP="002C1CB2">
      <w:pPr>
        <w:pStyle w:val="StandardWeb"/>
      </w:pPr>
      <w:r>
        <w:t>und</w:t>
      </w:r>
    </w:p>
    <w:p w:rsidR="002C1CB2" w:rsidRDefault="002C1CB2" w:rsidP="002C1CB2">
      <w:pPr>
        <w:pStyle w:val="StandardWeb"/>
      </w:pPr>
      <w:r>
        <w:t>[</w:t>
      </w:r>
      <w:r>
        <w:br/>
        <w:t>A_T\nRightarrow A_C.</w:t>
      </w:r>
      <w:r>
        <w:br/>
        <w:t>\tag{3.9705}</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A_T\nRightarrow A_C</w:t>
      </w:r>
    </w:p>
    <w:p w:rsidR="002C1CB2" w:rsidRDefault="002C1CB2" w:rsidP="002C1CB2">
      <w:pPr>
        <w:pStyle w:val="StandardWeb"/>
      </w:pPr>
      <w:r>
        <w:t>Ich bezeichne diese Beziehung vorläufig durch</w:t>
      </w:r>
    </w:p>
    <w:p w:rsidR="002C1CB2" w:rsidRDefault="002C1CB2" w:rsidP="002C1CB2">
      <w:pPr>
        <w:pStyle w:val="StandardWeb"/>
      </w:pPr>
      <w:r>
        <w:t>[</w:t>
      </w:r>
      <w:r>
        <w:br/>
        <w:t>A_C</w:t>
      </w:r>
      <w:r>
        <w:br/>
        <w:t>\perp_{\mathrm{log}}</w:t>
      </w:r>
      <w:r>
        <w:br/>
        <w:t>A_T.</w:t>
      </w:r>
      <w:r>
        <w:br/>
      </w:r>
      <w:r>
        <w:lastRenderedPageBreak/>
        <w:t>\tag{3.9706}</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A_C\perp_{\mathrm{log}}A_T</w:t>
      </w:r>
    </w:p>
    <w:p w:rsidR="002C1CB2" w:rsidRDefault="002C1CB2" w:rsidP="002C1CB2">
      <w:pPr>
        <w:pStyle w:val="StandardWeb"/>
      </w:pPr>
      <w:r>
        <w:t>Dabei bedeutet (\perp_{\mathrm{log}}) hier ausschließlich, dass innerhalb der bisher festgelegten Struktur keine gegenseitige Ableitbarkeit nachgewiesen wurde.</w:t>
      </w:r>
    </w:p>
    <w:p w:rsidR="002C1CB2" w:rsidRDefault="00E50336" w:rsidP="002C1CB2">
      <w:r>
        <w:pict>
          <v:rect id="_x0000_i2919" style="width:0;height:1.5pt" o:hralign="center" o:hrstd="t" o:hr="t" fillcolor="#a0a0a0" stroked="f"/>
        </w:pict>
      </w:r>
    </w:p>
    <w:p w:rsidR="002C1CB2" w:rsidRDefault="002C1CB2" w:rsidP="002C1CB2">
      <w:pPr>
        <w:pStyle w:val="berschrift1"/>
      </w:pPr>
      <w:r>
        <w:t>3.3.44.36 Reicht logische Unabhängigkeit für Primäraxiomstatus?</w:t>
      </w:r>
    </w:p>
    <w:p w:rsidR="002C1CB2" w:rsidRDefault="002C1CB2" w:rsidP="002C1CB2">
      <w:pPr>
        <w:pStyle w:val="StandardWeb"/>
      </w:pPr>
      <w:r>
        <w:t>Nein.</w:t>
      </w:r>
    </w:p>
    <w:p w:rsidR="002C1CB2" w:rsidRDefault="002C1CB2" w:rsidP="002C1CB2">
      <w:pPr>
        <w:pStyle w:val="StandardWeb"/>
      </w:pPr>
      <w:r>
        <w:t>Eine Aussage kann logisch unabhängig von den bisherigen Primäraxiomen sein und dennoch lediglich eine zusätzliche Modellannahme darstellen.</w:t>
      </w:r>
    </w:p>
    <w:p w:rsidR="002C1CB2" w:rsidRDefault="002C1CB2" w:rsidP="002C1CB2">
      <w:pPr>
        <w:pStyle w:val="StandardWeb"/>
      </w:pPr>
      <w:r>
        <w:t>Daher gilt</w:t>
      </w:r>
    </w:p>
    <w:p w:rsidR="002C1CB2" w:rsidRDefault="002C1CB2" w:rsidP="002C1CB2">
      <w:pPr>
        <w:pStyle w:val="StandardWeb"/>
      </w:pPr>
      <w:r>
        <w:t>[</w:t>
      </w:r>
      <w:r>
        <w:br/>
        <w:t>\boxed{</w:t>
      </w:r>
      <w:r>
        <w:br/>
        <w:t>A_C\nvdash X</w:t>
      </w:r>
      <w:r>
        <w:br/>
        <w:t>\nRightarrow</w:t>
      </w:r>
      <w:r>
        <w:br/>
        <w:t>X\text{ ist Primäraxiom}.</w:t>
      </w:r>
      <w:r>
        <w:br/>
        <w:t>}</w:t>
      </w:r>
      <w:r>
        <w:br/>
        <w:t>\tag{3.9707}</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\boxed{A_C\nvdash X\nRightarrow X\text{ ist Primäraxiom}.}</w:t>
      </w:r>
    </w:p>
    <w:p w:rsidR="002C1CB2" w:rsidRDefault="002C1CB2" w:rsidP="002C1CB2">
      <w:pPr>
        <w:pStyle w:val="StandardWeb"/>
      </w:pPr>
      <w:r>
        <w:t>Für (A_T) muss deshalb zusätzlich geprüft werden, ob die Existenz nichttrivialer Zustandsübergänge für die gesamte beabsichtigte FRZK-Theorie unverzichtbar ist.</w:t>
      </w:r>
    </w:p>
    <w:p w:rsidR="002C1CB2" w:rsidRDefault="00E50336" w:rsidP="002C1CB2">
      <w:r>
        <w:pict>
          <v:rect id="_x0000_i2920" style="width:0;height:1.5pt" o:hralign="center" o:hrstd="t" o:hr="t" fillcolor="#a0a0a0" stroked="f"/>
        </w:pict>
      </w:r>
    </w:p>
    <w:p w:rsidR="002C1CB2" w:rsidRDefault="002C1CB2" w:rsidP="002C1CB2">
      <w:pPr>
        <w:pStyle w:val="berschrift1"/>
      </w:pPr>
      <w:r>
        <w:t>3.3.44.37 Definition 3.3.79 – Axiomatische Unverzichtbarkeit</w:t>
      </w:r>
    </w:p>
    <w:p w:rsidR="002C1CB2" w:rsidRDefault="002C1CB2" w:rsidP="002C1CB2">
      <w:pPr>
        <w:pStyle w:val="berschrift3"/>
      </w:pPr>
      <w:r>
        <w:t>Definition 3.3.79</w:t>
      </w:r>
    </w:p>
    <w:p w:rsidR="002C1CB2" w:rsidRDefault="002C1CB2" w:rsidP="002C1CB2">
      <w:pPr>
        <w:pStyle w:val="StandardWeb"/>
      </w:pPr>
      <w:r>
        <w:t xml:space="preserve">Eine Aussage (X) heißt für einen Theorieblock </w:t>
      </w:r>
      <w:r>
        <w:rPr>
          <w:rStyle w:val="Fett"/>
        </w:rPr>
        <w:t>axiomatisch unverzichtbar</w:t>
      </w:r>
      <w:r>
        <w:t>, wenn die beabsichtigte Gegenstandsklasse dieses Theorieblocks ohne (X) nicht mehr in der vorgesehenen Bedeutung beschrieben werden kann und (X) zugleich nicht aus bereits bestätigten Primäraxiomen folgt.</w:t>
      </w:r>
    </w:p>
    <w:p w:rsidR="002C1CB2" w:rsidRDefault="002C1CB2" w:rsidP="002C1CB2">
      <w:pPr>
        <w:pStyle w:val="StandardWeb"/>
      </w:pPr>
      <w:r>
        <w:lastRenderedPageBreak/>
        <w:t>Formal:</w:t>
      </w:r>
    </w:p>
    <w:p w:rsidR="002C1CB2" w:rsidRDefault="002C1CB2" w:rsidP="002C1CB2">
      <w:pPr>
        <w:pStyle w:val="StandardWeb"/>
      </w:pPr>
      <w:r>
        <w:t>[</w:t>
      </w:r>
      <w:r>
        <w:br/>
        <w:t>U_{\mathrm{Ax}}(X)=1</w:t>
      </w:r>
      <w:r>
        <w:br/>
        <w:t>\Longleftrightarrow</w:t>
      </w:r>
      <w:r>
        <w:br/>
        <w:t>\left[</w:t>
      </w:r>
      <w:r>
        <w:br/>
        <w:t>\mathfrak A_{\mathrm{prim}}\nvdash X</w:t>
      </w:r>
      <w:r>
        <w:br/>
        <w:t>\right]</w:t>
      </w:r>
      <w:r>
        <w:br/>
        <w:t>\land</w:t>
      </w:r>
      <w:r>
        <w:br/>
        <w:t>\left[</w:t>
      </w:r>
      <w:r>
        <w:br/>
        <w:t>\operatorname{Scope}(\mathfrak T\setminus X)</w:t>
      </w:r>
      <w:r>
        <w:br/>
        <w:t>\neq</w:t>
      </w:r>
      <w:r>
        <w:br/>
        <w:t>\operatorname{Scope}(\mathfrak T)</w:t>
      </w:r>
      <w:r>
        <w:br/>
        <w:t>\right].</w:t>
      </w:r>
      <w:r>
        <w:br/>
        <w:t>\tag{3.9708}</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U_{\mathrm{Ax}}(X)=1\Longleftrightarrow\left[\mathfrak A_{\mathrm{prim}}\nvdash X\right]\land\left[\operatorname{Scope}(\mathfrak T\setminus X)\neq\operatorname{Scope}(\mathfrak T)\right]</w:t>
      </w:r>
    </w:p>
    <w:p w:rsidR="002C1CB2" w:rsidRDefault="002C1CB2" w:rsidP="002C1CB2">
      <w:pPr>
        <w:pStyle w:val="StandardWeb"/>
      </w:pPr>
      <w:r>
        <w:t>Diese Definition ist metatheoretisch. Sie dient der Axiomprüfung und stellt selbst kein physikalisches Primäraxiom dar.</w:t>
      </w:r>
    </w:p>
    <w:p w:rsidR="002C1CB2" w:rsidRDefault="00E50336" w:rsidP="002C1CB2">
      <w:r>
        <w:pict>
          <v:rect id="_x0000_i2921" style="width:0;height:1.5pt" o:hralign="center" o:hrstd="t" o:hr="t" fillcolor="#a0a0a0" stroked="f"/>
        </w:pict>
      </w:r>
    </w:p>
    <w:p w:rsidR="002C1CB2" w:rsidRDefault="002C1CB2" w:rsidP="002C1CB2">
      <w:pPr>
        <w:pStyle w:val="berschrift1"/>
      </w:pPr>
      <w:r>
        <w:t>3.3.44.38 Prüfung des Gegenstandsbereichs ohne (A_T)</w:t>
      </w:r>
    </w:p>
    <w:p w:rsidR="002C1CB2" w:rsidRDefault="002C1CB2" w:rsidP="002C1CB2">
      <w:pPr>
        <w:pStyle w:val="StandardWeb"/>
      </w:pPr>
      <w:r>
        <w:t>Ohne (A_T) bleibt eine Modellklasse zulässig, in der kein nichttrivialer Zustandswechsel stattfindet:</w:t>
      </w:r>
    </w:p>
    <w:p w:rsidR="002C1CB2" w:rsidRDefault="002C1CB2" w:rsidP="002C1CB2">
      <w:pPr>
        <w:pStyle w:val="berschrift1"/>
      </w:pPr>
      <w:r>
        <w:t>[</w:t>
      </w:r>
      <w:r>
        <w:br/>
        <w:t>\mathfrak M_F^{\mathrm{stat}}</w:t>
      </w:r>
    </w:p>
    <w:p w:rsidR="002C1CB2" w:rsidRDefault="002C1CB2" w:rsidP="002C1CB2">
      <w:pPr>
        <w:pStyle w:val="StandardWeb"/>
      </w:pPr>
      <w:r>
        <w:t>\left{</w:t>
      </w:r>
      <w:r>
        <w:br/>
        <w:t>\mathcal M:</w:t>
      </w:r>
      <w:r>
        <w:br/>
        <w:t>\forall(z_i,z_j)\in\mathcal T_F,</w:t>
      </w:r>
      <w:r>
        <w:br/>
        <w:t>;</w:t>
      </w:r>
      <w:r>
        <w:br/>
        <w:t>z_i=z_j</w:t>
      </w:r>
      <w:r>
        <w:br/>
        <w:t>\right}.</w:t>
      </w:r>
      <w:r>
        <w:br/>
        <w:t>\tag{3.9709}</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lastRenderedPageBreak/>
        <w:t>\mathfrak M_F^{\mathrm{stat}}=\left\{\mathcal M:\forall(z_i,z_j)\in\mathcal T_F,\;z_i=z_j\right\}</w:t>
      </w:r>
    </w:p>
    <w:p w:rsidR="002C1CB2" w:rsidRDefault="002C1CB2" w:rsidP="002C1CB2">
      <w:pPr>
        <w:pStyle w:val="StandardWeb"/>
      </w:pPr>
      <w:r>
        <w:t>Diese Modelle können funktionale Kohärenz besitzen und dennoch vollständig stationär sein.</w:t>
      </w:r>
    </w:p>
    <w:p w:rsidR="002C1CB2" w:rsidRDefault="002C1CB2" w:rsidP="002C1CB2">
      <w:pPr>
        <w:pStyle w:val="StandardWeb"/>
      </w:pPr>
      <w:r>
        <w:t>Daher stellt sich die Frage, ob solche Modelle grundsätzlich aus dem FRZK ausgeschlossen werden sollen.</w:t>
      </w:r>
    </w:p>
    <w:p w:rsidR="002C1CB2" w:rsidRDefault="00E50336" w:rsidP="002C1CB2">
      <w:r>
        <w:pict>
          <v:rect id="_x0000_i2922" style="width:0;height:1.5pt" o:hralign="center" o:hrstd="t" o:hr="t" fillcolor="#a0a0a0" stroked="f"/>
        </w:pict>
      </w:r>
    </w:p>
    <w:p w:rsidR="002C1CB2" w:rsidRDefault="002C1CB2" w:rsidP="002C1CB2">
      <w:pPr>
        <w:pStyle w:val="berschrift1"/>
      </w:pPr>
      <w:r>
        <w:t>3.3.44.39 Stationäre FRZK-Modelle</w:t>
      </w:r>
    </w:p>
    <w:p w:rsidR="002C1CB2" w:rsidRDefault="002C1CB2" w:rsidP="002C1CB2">
      <w:pPr>
        <w:pStyle w:val="StandardWeb"/>
      </w:pPr>
      <w:r>
        <w:t>Ein stationäres Modell kann beispielsweise</w:t>
      </w:r>
    </w:p>
    <w:p w:rsidR="002C1CB2" w:rsidRDefault="002C1CB2" w:rsidP="002C1CB2">
      <w:pPr>
        <w:pStyle w:val="StandardWeb"/>
      </w:pPr>
      <w:r>
        <w:t>[</w:t>
      </w:r>
      <w:r>
        <w:br/>
        <w:t>\Omega_F={z_0}</w:t>
      </w:r>
      <w:r>
        <w:br/>
        <w:t>\tag{3.9710}</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\Omega_F=\{z_0\}</w:t>
      </w:r>
    </w:p>
    <w:p w:rsidR="002C1CB2" w:rsidRDefault="002C1CB2" w:rsidP="002C1CB2">
      <w:pPr>
        <w:pStyle w:val="StandardWeb"/>
      </w:pPr>
      <w:r>
        <w:t>und</w:t>
      </w:r>
    </w:p>
    <w:p w:rsidR="002C1CB2" w:rsidRDefault="002C1CB2" w:rsidP="002C1CB2">
      <w:pPr>
        <w:pStyle w:val="StandardWeb"/>
      </w:pPr>
      <w:r>
        <w:t>[</w:t>
      </w:r>
      <w:r>
        <w:br/>
        <w:t>C_F(\mathcal S_C;z_0)&gt;0</w:t>
      </w:r>
      <w:r>
        <w:br/>
        <w:t>\tag{3.9711}</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C_F(\mathcal S_C;z_0)&gt;0</w:t>
      </w:r>
    </w:p>
    <w:p w:rsidR="002C1CB2" w:rsidRDefault="002C1CB2" w:rsidP="002C1CB2">
      <w:pPr>
        <w:pStyle w:val="StandardWeb"/>
      </w:pPr>
      <w:r>
        <w:t>besitzen.</w:t>
      </w:r>
    </w:p>
    <w:p w:rsidR="002C1CB2" w:rsidRDefault="002C1CB2" w:rsidP="002C1CB2">
      <w:pPr>
        <w:pStyle w:val="StandardWeb"/>
      </w:pPr>
      <w:r>
        <w:t>Dann gilt</w:t>
      </w:r>
    </w:p>
    <w:p w:rsidR="002C1CB2" w:rsidRDefault="002C1CB2" w:rsidP="002C1CB2">
      <w:pPr>
        <w:pStyle w:val="StandardWeb"/>
      </w:pPr>
      <w:r>
        <w:t>[</w:t>
      </w:r>
      <w:r>
        <w:br/>
        <w:t>\mathcal M_{\mathrm{stat}}\models A_C</w:t>
      </w:r>
      <w:r>
        <w:br/>
        <w:t>\tag{3.9712}</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\mathcal M_{\mathrm{stat}}\models A_C</w:t>
      </w:r>
    </w:p>
    <w:p w:rsidR="002C1CB2" w:rsidRDefault="002C1CB2" w:rsidP="002C1CB2">
      <w:pPr>
        <w:pStyle w:val="StandardWeb"/>
      </w:pPr>
      <w:r>
        <w:t>aber</w:t>
      </w:r>
    </w:p>
    <w:p w:rsidR="002C1CB2" w:rsidRDefault="002C1CB2" w:rsidP="002C1CB2">
      <w:pPr>
        <w:pStyle w:val="StandardWeb"/>
      </w:pPr>
      <w:r>
        <w:t>[</w:t>
      </w:r>
      <w:r>
        <w:br/>
        <w:t>\mathcal M_{\mathrm{stat}}\not\models A_T.</w:t>
      </w:r>
      <w:r>
        <w:br/>
      </w:r>
      <w:r>
        <w:lastRenderedPageBreak/>
        <w:t>\tag{3.9713}</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\mathcal M_{\mathrm{stat}}\not\models A_T</w:t>
      </w:r>
    </w:p>
    <w:p w:rsidR="002C1CB2" w:rsidRDefault="002C1CB2" w:rsidP="002C1CB2">
      <w:pPr>
        <w:pStyle w:val="StandardWeb"/>
      </w:pPr>
      <w:r>
        <w:t>Ein Ausschluss dieses Modells durch (A_T) wäre daher eine zusätzliche Einschränkung der FRZK-Modellklasse.</w:t>
      </w:r>
    </w:p>
    <w:p w:rsidR="002C1CB2" w:rsidRDefault="00E50336" w:rsidP="002C1CB2">
      <w:r>
        <w:pict>
          <v:rect id="_x0000_i2923" style="width:0;height:1.5pt" o:hralign="center" o:hrstd="t" o:hr="t" fillcolor="#a0a0a0" stroked="f"/>
        </w:pict>
      </w:r>
    </w:p>
    <w:p w:rsidR="002C1CB2" w:rsidRDefault="002C1CB2" w:rsidP="002C1CB2">
      <w:pPr>
        <w:pStyle w:val="berschrift1"/>
      </w:pPr>
      <w:r>
        <w:t>3.3.44.40 Konsequenz einer Aufnahme von (A_T)</w:t>
      </w:r>
    </w:p>
    <w:p w:rsidR="002C1CB2" w:rsidRDefault="002C1CB2" w:rsidP="002C1CB2">
      <w:pPr>
        <w:pStyle w:val="StandardWeb"/>
      </w:pPr>
      <w:r>
        <w:t>Würde (A_T) als Primäraxiom aufgenommen, ergäbe sich</w:t>
      </w:r>
    </w:p>
    <w:p w:rsidR="002C1CB2" w:rsidRDefault="002C1CB2" w:rsidP="002C1CB2">
      <w:pPr>
        <w:pStyle w:val="berschrift1"/>
      </w:pPr>
      <w:r>
        <w:t>[</w:t>
      </w:r>
      <w:r>
        <w:br/>
        <w:t>\mathfrak M_{\mathrm{FRZK}}^{A_T}</w:t>
      </w:r>
    </w:p>
    <w:p w:rsidR="002C1CB2" w:rsidRDefault="002C1CB2" w:rsidP="002C1CB2">
      <w:pPr>
        <w:pStyle w:val="StandardWeb"/>
      </w:pPr>
      <w:r>
        <w:t>\left{</w:t>
      </w:r>
      <w:r>
        <w:br/>
        <w:t>\mathcal M\in\mathfrak M_{\mathrm{FRZK}}:</w:t>
      </w:r>
      <w:r>
        <w:br/>
        <w:t>\mathcal M\models A_T</w:t>
      </w:r>
      <w:r>
        <w:br/>
        <w:t>\right}.</w:t>
      </w:r>
      <w:r>
        <w:br/>
        <w:t>\tag{3.9714}</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\mathfrak M_{\mathrm{FRZK}}^{A_T}=\left\{\mathcal M\in\mathfrak M_{\mathrm{FRZK}}:\mathcal M\models A_T\right\}</w:t>
      </w:r>
    </w:p>
    <w:p w:rsidR="002C1CB2" w:rsidRDefault="002C1CB2" w:rsidP="002C1CB2">
      <w:pPr>
        <w:pStyle w:val="StandardWeb"/>
      </w:pPr>
      <w:r>
        <w:t>Dabei gilt</w:t>
      </w:r>
    </w:p>
    <w:p w:rsidR="002C1CB2" w:rsidRDefault="002C1CB2" w:rsidP="002C1CB2">
      <w:pPr>
        <w:pStyle w:val="StandardWeb"/>
      </w:pPr>
      <w:r>
        <w:t>[</w:t>
      </w:r>
      <w:r>
        <w:br/>
        <w:t>\mathfrak M_{\mathrm{FRZK}}^{A_T}</w:t>
      </w:r>
      <w:r>
        <w:br/>
        <w:t>\subseteq</w:t>
      </w:r>
      <w:r>
        <w:br/>
        <w:t>\mathfrak M_{\mathrm{FRZK}}.</w:t>
      </w:r>
      <w:r>
        <w:br/>
        <w:t>\tag{3.9715}</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\mathfrak M_{\mathrm{FRZK}}^{A_T}\subseteq\mathfrak M_{\mathrm{FRZK}}</w:t>
      </w:r>
    </w:p>
    <w:p w:rsidR="002C1CB2" w:rsidRDefault="002C1CB2" w:rsidP="002C1CB2">
      <w:pPr>
        <w:pStyle w:val="StandardWeb"/>
      </w:pPr>
      <w:r>
        <w:t>Insbesondere würden alle rein stationären Modelle ausgeschlossen.</w:t>
      </w:r>
    </w:p>
    <w:p w:rsidR="002C1CB2" w:rsidRDefault="00E50336" w:rsidP="002C1CB2">
      <w:r>
        <w:pict>
          <v:rect id="_x0000_i2924" style="width:0;height:1.5pt" o:hralign="center" o:hrstd="t" o:hr="t" fillcolor="#a0a0a0" stroked="f"/>
        </w:pict>
      </w:r>
    </w:p>
    <w:p w:rsidR="002C1CB2" w:rsidRDefault="002C1CB2" w:rsidP="002C1CB2">
      <w:pPr>
        <w:pStyle w:val="berschrift1"/>
      </w:pPr>
      <w:r>
        <w:lastRenderedPageBreak/>
        <w:t>3.3.44.41 Ist dieser Ausschluss wissenschaftlich notwendig?</w:t>
      </w:r>
    </w:p>
    <w:p w:rsidR="002C1CB2" w:rsidRDefault="002C1CB2" w:rsidP="002C1CB2">
      <w:pPr>
        <w:pStyle w:val="StandardWeb"/>
      </w:pPr>
      <w:r>
        <w:t>An dieser Stelle ergibt sich eine entscheidende methodologische Unterscheidung.</w:t>
      </w:r>
    </w:p>
    <w:p w:rsidR="002C1CB2" w:rsidRDefault="002C1CB2" w:rsidP="002C1CB2">
      <w:pPr>
        <w:pStyle w:val="StandardWeb"/>
      </w:pPr>
      <w:r>
        <w:t>Wenn das FRZK definitionsgemäß ausschließlich Veränderungen, Prozesse oder Entwicklungen beschreiben soll, wäre die Existenz mindestens eines nichttrivialen Übergangs möglicherweise unverzichtbar.</w:t>
      </w:r>
    </w:p>
    <w:p w:rsidR="002C1CB2" w:rsidRDefault="002C1CB2" w:rsidP="002C1CB2">
      <w:pPr>
        <w:pStyle w:val="StandardWeb"/>
      </w:pPr>
      <w:r>
        <w:t>Soll das FRZK dagegen auch stationäre funktionale Strukturen umfassen, wäre (A_T) zu stark.</w:t>
      </w:r>
    </w:p>
    <w:p w:rsidR="002C1CB2" w:rsidRDefault="002C1CB2" w:rsidP="002C1CB2">
      <w:pPr>
        <w:pStyle w:val="StandardWeb"/>
      </w:pPr>
      <w:r>
        <w:t>Formal:</w:t>
      </w:r>
    </w:p>
    <w:p w:rsidR="002C1CB2" w:rsidRDefault="002C1CB2" w:rsidP="002C1CB2">
      <w:pPr>
        <w:pStyle w:val="berschrift1"/>
      </w:pPr>
      <w:r>
        <w:t>[</w:t>
      </w:r>
      <w:r>
        <w:br/>
        <w:t>\operatorname{Scope}_{\mathrm{FRZK}}</w:t>
      </w:r>
    </w:p>
    <w:p w:rsidR="002C1CB2" w:rsidRDefault="002C1CB2" w:rsidP="002C1CB2">
      <w:pPr>
        <w:pStyle w:val="StandardWeb"/>
      </w:pPr>
      <w:r>
        <w:t>\operatorname{Scope}</w:t>
      </w:r>
      <w:r>
        <w:rPr>
          <w:rStyle w:val="Hervorhebung"/>
        </w:rPr>
        <w:t>{\mathrm{stat}}</w:t>
      </w:r>
      <w:r>
        <w:rPr>
          <w:i/>
          <w:iCs/>
        </w:rPr>
        <w:br/>
      </w:r>
      <w:r>
        <w:rPr>
          <w:rStyle w:val="Hervorhebung"/>
        </w:rPr>
        <w:t>\cup</w:t>
      </w:r>
      <w:r>
        <w:rPr>
          <w:i/>
          <w:iCs/>
        </w:rPr>
        <w:br/>
      </w:r>
      <w:r>
        <w:rPr>
          <w:rStyle w:val="Hervorhebung"/>
        </w:rPr>
        <w:t>\operatorname{Scope}</w:t>
      </w:r>
      <w:r>
        <w:t>{\mathrm{dyn}}</w:t>
      </w:r>
      <w:r>
        <w:br/>
        <w:t>\tag{3.9716}</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\operatorname{Scope}_{\mathrm{FRZK}}=\operatorname{Scope}_{\mathrm{stat}}\cup\operatorname{Scope}_{\mathrm{dyn}}</w:t>
      </w:r>
    </w:p>
    <w:p w:rsidR="002C1CB2" w:rsidRDefault="002C1CB2" w:rsidP="002C1CB2">
      <w:pPr>
        <w:pStyle w:val="StandardWeb"/>
      </w:pPr>
      <w:r>
        <w:t>würde gegen eine universelle Forderung von (A_T) sprechen.</w:t>
      </w:r>
    </w:p>
    <w:p w:rsidR="002C1CB2" w:rsidRDefault="00E50336" w:rsidP="002C1CB2">
      <w:r>
        <w:pict>
          <v:rect id="_x0000_i2925" style="width:0;height:1.5pt" o:hralign="center" o:hrstd="t" o:hr="t" fillcolor="#a0a0a0" stroked="f"/>
        </w:pict>
      </w:r>
    </w:p>
    <w:p w:rsidR="002C1CB2" w:rsidRDefault="002C1CB2" w:rsidP="002C1CB2">
      <w:pPr>
        <w:pStyle w:val="berschrift1"/>
      </w:pPr>
      <w:r>
        <w:t>3.3.44.42 Statische und dynamische Modellklassen</w:t>
      </w:r>
    </w:p>
    <w:p w:rsidR="002C1CB2" w:rsidRDefault="002C1CB2" w:rsidP="002C1CB2">
      <w:pPr>
        <w:pStyle w:val="StandardWeb"/>
      </w:pPr>
      <w:r>
        <w:t>Ich unterscheide daher</w:t>
      </w:r>
    </w:p>
    <w:p w:rsidR="002C1CB2" w:rsidRDefault="002C1CB2" w:rsidP="002C1CB2">
      <w:pPr>
        <w:pStyle w:val="StandardWeb"/>
      </w:pPr>
      <w:r>
        <w:t>[</w:t>
      </w:r>
      <w:r>
        <w:br/>
        <w:t>\mathfrak M_F^{\mathrm{stat}}</w:t>
      </w:r>
      <w:r>
        <w:br/>
        <w:t>\tag{3.9717}</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\mathfrak M_F^{\mathrm{stat}}</w:t>
      </w:r>
    </w:p>
    <w:p w:rsidR="002C1CB2" w:rsidRDefault="002C1CB2" w:rsidP="002C1CB2">
      <w:pPr>
        <w:pStyle w:val="StandardWeb"/>
      </w:pPr>
      <w:r>
        <w:t>und</w:t>
      </w:r>
    </w:p>
    <w:p w:rsidR="002C1CB2" w:rsidRDefault="002C1CB2" w:rsidP="002C1CB2">
      <w:pPr>
        <w:pStyle w:val="StandardWeb"/>
      </w:pPr>
      <w:r>
        <w:lastRenderedPageBreak/>
        <w:t>[</w:t>
      </w:r>
      <w:r>
        <w:br/>
        <w:t>\mathfrak M_F^{\mathrm{dyn}}.</w:t>
      </w:r>
      <w:r>
        <w:br/>
        <w:t>\tag{3.9718}</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\mathfrak M_F^{\mathrm{dyn}}</w:t>
      </w:r>
    </w:p>
    <w:p w:rsidR="002C1CB2" w:rsidRDefault="002C1CB2" w:rsidP="002C1CB2">
      <w:pPr>
        <w:pStyle w:val="StandardWeb"/>
      </w:pPr>
      <w:r>
        <w:t>Für die dynamische Klasse kann gelten</w:t>
      </w:r>
    </w:p>
    <w:p w:rsidR="002C1CB2" w:rsidRDefault="002C1CB2" w:rsidP="002C1CB2">
      <w:pPr>
        <w:pStyle w:val="StandardWeb"/>
      </w:pPr>
      <w:r>
        <w:t>[</w:t>
      </w:r>
      <w:r>
        <w:br/>
        <w:t>\forall\mathcal M\in\mathfrak M_F^{\mathrm{dyn}}:</w:t>
      </w:r>
      <w:r>
        <w:br/>
        <w:t>\mathcal M\models A_T.</w:t>
      </w:r>
      <w:r>
        <w:br/>
        <w:t>\tag{3.9719}</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\forall\mathcal M\in\mathfrak M_F^{\mathrm{dyn}}:\mathcal M\models A_T</w:t>
      </w:r>
    </w:p>
    <w:p w:rsidR="002C1CB2" w:rsidRDefault="002C1CB2" w:rsidP="002C1CB2">
      <w:pPr>
        <w:pStyle w:val="StandardWeb"/>
      </w:pPr>
      <w:r>
        <w:t>Für die gesamte FRZK-Modellklasse folgt daraus jedoch noch nicht</w:t>
      </w:r>
    </w:p>
    <w:p w:rsidR="002C1CB2" w:rsidRDefault="002C1CB2" w:rsidP="002C1CB2">
      <w:pPr>
        <w:pStyle w:val="StandardWeb"/>
      </w:pPr>
      <w:r>
        <w:t>[</w:t>
      </w:r>
      <w:r>
        <w:br/>
        <w:t>\forall\mathcal M\in\mathfrak M_{\mathrm{FRZK}}:</w:t>
      </w:r>
      <w:r>
        <w:br/>
        <w:t>\mathcal M\models A_T.</w:t>
      </w:r>
      <w:r>
        <w:br/>
        <w:t>\tag{3.9720}</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\forall\mathcal M\in\mathfrak M_{\mathrm{FRZK}}:\mathcal M\models A_T</w:t>
      </w:r>
    </w:p>
    <w:p w:rsidR="002C1CB2" w:rsidRDefault="00E50336" w:rsidP="002C1CB2">
      <w:r>
        <w:pict>
          <v:rect id="_x0000_i2926" style="width:0;height:1.5pt" o:hralign="center" o:hrstd="t" o:hr="t" fillcolor="#a0a0a0" stroked="f"/>
        </w:pict>
      </w:r>
    </w:p>
    <w:p w:rsidR="002C1CB2" w:rsidRDefault="002C1CB2" w:rsidP="002C1CB2">
      <w:pPr>
        <w:pStyle w:val="berschrift1"/>
      </w:pPr>
      <w:r>
        <w:t>3.3.44.43 Modellannahme statt Primäraxiom?</w:t>
      </w:r>
    </w:p>
    <w:p w:rsidR="002C1CB2" w:rsidRDefault="002C1CB2" w:rsidP="002C1CB2">
      <w:pPr>
        <w:pStyle w:val="StandardWeb"/>
      </w:pPr>
      <w:r>
        <w:t>Damit entsteht eine alternative Klassifikation:</w:t>
      </w:r>
    </w:p>
    <w:p w:rsidR="002C1CB2" w:rsidRDefault="002C1CB2" w:rsidP="002C1CB2">
      <w:pPr>
        <w:pStyle w:val="berschrift1"/>
      </w:pPr>
      <w:r>
        <w:t>[</w:t>
      </w:r>
      <w:r>
        <w:br/>
        <w:t>\operatorname{Stat}(A_T)</w:t>
      </w:r>
    </w:p>
    <w:p w:rsidR="002C1CB2" w:rsidRDefault="002C1CB2" w:rsidP="002C1CB2">
      <w:pPr>
        <w:pStyle w:val="StandardWeb"/>
      </w:pPr>
      <w:r>
        <w:t>\mathrm{Mod}</w:t>
      </w:r>
      <w:r>
        <w:br/>
        <w:t>\tag{3.9721}</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\operatorname{Stat}(A_T)=\mathrm{Mod}</w:t>
      </w:r>
    </w:p>
    <w:p w:rsidR="002C1CB2" w:rsidRDefault="002C1CB2" w:rsidP="002C1CB2">
      <w:pPr>
        <w:pStyle w:val="StandardWeb"/>
      </w:pPr>
      <w:r>
        <w:t>für dynamische FRZK-Modelle.</w:t>
      </w:r>
    </w:p>
    <w:p w:rsidR="002C1CB2" w:rsidRDefault="002C1CB2" w:rsidP="002C1CB2">
      <w:pPr>
        <w:pStyle w:val="StandardWeb"/>
      </w:pPr>
      <w:r>
        <w:lastRenderedPageBreak/>
        <w:t>Dann würde (A_T) nicht die gesamte Theorie einschränken, sondern lediglich eine dynamische Modellunterklasse definieren.</w:t>
      </w:r>
    </w:p>
    <w:p w:rsidR="002C1CB2" w:rsidRDefault="00E50336" w:rsidP="002C1CB2">
      <w:r>
        <w:pict>
          <v:rect id="_x0000_i2927" style="width:0;height:1.5pt" o:hralign="center" o:hrstd="t" o:hr="t" fillcolor="#a0a0a0" stroked="f"/>
        </w:pict>
      </w:r>
    </w:p>
    <w:p w:rsidR="002C1CB2" w:rsidRDefault="002C1CB2" w:rsidP="002C1CB2">
      <w:pPr>
        <w:pStyle w:val="berschrift1"/>
      </w:pPr>
      <w:r>
        <w:t>3.3.44.44 Dynamische Modellunterklasse</w:t>
      </w:r>
    </w:p>
    <w:p w:rsidR="002C1CB2" w:rsidRDefault="002C1CB2" w:rsidP="002C1CB2">
      <w:pPr>
        <w:pStyle w:val="StandardWeb"/>
      </w:pPr>
      <w:r>
        <w:t>Ich kann diese Klasse schreiben als</w:t>
      </w:r>
    </w:p>
    <w:p w:rsidR="002C1CB2" w:rsidRDefault="002C1CB2" w:rsidP="002C1CB2">
      <w:pPr>
        <w:pStyle w:val="berschrift1"/>
      </w:pPr>
      <w:r>
        <w:t>[</w:t>
      </w:r>
      <w:r>
        <w:br/>
        <w:t>\mathfrak M_F^{\mathrm{dyn}}</w:t>
      </w:r>
    </w:p>
    <w:p w:rsidR="002C1CB2" w:rsidRDefault="002C1CB2" w:rsidP="002C1CB2">
      <w:pPr>
        <w:pStyle w:val="StandardWeb"/>
      </w:pPr>
      <w:r>
        <w:t>\left{</w:t>
      </w:r>
      <w:r>
        <w:br/>
        <w:t>\mathcal M\in\mathfrak M_{\mathrm{FRZK}}:</w:t>
      </w:r>
      <w:r>
        <w:br/>
        <w:t>\exists z_i\neq z_j,</w:t>
      </w:r>
      <w:r>
        <w:br/>
        <w:t>;</w:t>
      </w:r>
      <w:r>
        <w:br/>
        <w:t>(z_i,z_j)\in\mathcal T_F</w:t>
      </w:r>
      <w:r>
        <w:br/>
        <w:t>\right}.</w:t>
      </w:r>
      <w:r>
        <w:br/>
        <w:t>\tag{3.9722}</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\mathfrak M_F^{\mathrm{dyn}}=\left\{\mathcal M\in\mathfrak M_{\mathrm{FRZK}}:\exists z_i\neq z_j,\;(z_i,z_j)\in\mathcal T_F\right\}</w:t>
      </w:r>
    </w:p>
    <w:p w:rsidR="002C1CB2" w:rsidRDefault="002C1CB2" w:rsidP="002C1CB2">
      <w:pPr>
        <w:pStyle w:val="StandardWeb"/>
      </w:pPr>
      <w:r>
        <w:t>Damit gilt</w:t>
      </w:r>
    </w:p>
    <w:p w:rsidR="002C1CB2" w:rsidRDefault="002C1CB2" w:rsidP="002C1CB2">
      <w:pPr>
        <w:pStyle w:val="StandardWeb"/>
      </w:pPr>
      <w:r>
        <w:t>[</w:t>
      </w:r>
      <w:r>
        <w:br/>
        <w:t>\mathfrak M_F^{\mathrm{dyn}}</w:t>
      </w:r>
      <w:r>
        <w:br/>
        <w:t>\subseteq</w:t>
      </w:r>
      <w:r>
        <w:br/>
        <w:t>\mathfrak M_{\mathrm{FRZK}}.</w:t>
      </w:r>
      <w:r>
        <w:br/>
        <w:t>\tag{3.9723}</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\mathfrak M_F^{\mathrm{dyn}}\subseteq\mathfrak M_{\mathrm{FRZK}}</w:t>
      </w:r>
    </w:p>
    <w:p w:rsidR="002C1CB2" w:rsidRDefault="002C1CB2" w:rsidP="002C1CB2">
      <w:pPr>
        <w:pStyle w:val="StandardWeb"/>
      </w:pPr>
      <w:r>
        <w:t>Dies entspricht genau der bereits in 3.3.43 entwickelten Modellunterklassenregel.</w:t>
      </w:r>
    </w:p>
    <w:p w:rsidR="002C1CB2" w:rsidRDefault="00E50336" w:rsidP="002C1CB2">
      <w:r>
        <w:pict>
          <v:rect id="_x0000_i2928" style="width:0;height:1.5pt" o:hralign="center" o:hrstd="t" o:hr="t" fillcolor="#a0a0a0" stroked="f"/>
        </w:pict>
      </w:r>
    </w:p>
    <w:p w:rsidR="002C1CB2" w:rsidRDefault="002C1CB2" w:rsidP="002C1CB2">
      <w:pPr>
        <w:pStyle w:val="berschrift1"/>
      </w:pPr>
      <w:r>
        <w:t>3.3.44.45 Prüfung der theoretischen Zielsetzung</w:t>
      </w:r>
    </w:p>
    <w:p w:rsidR="002C1CB2" w:rsidRDefault="002C1CB2" w:rsidP="002C1CB2">
      <w:pPr>
        <w:pStyle w:val="StandardWeb"/>
      </w:pPr>
      <w:r>
        <w:t xml:space="preserve">Die Bezeichnung </w:t>
      </w:r>
      <w:r>
        <w:rPr>
          <w:rStyle w:val="Fett"/>
        </w:rPr>
        <w:t>Funktionales Raum-Zeit-Kohärenzsystem</w:t>
      </w:r>
      <w:r>
        <w:t xml:space="preserve"> enthält zwar den Begriff Raum-Zeit, aber daraus folgt nicht logisch, dass jeder zulässige Zustand zwingend in einen anderen übergehen muss.</w:t>
      </w:r>
    </w:p>
    <w:p w:rsidR="002C1CB2" w:rsidRDefault="002C1CB2" w:rsidP="002C1CB2">
      <w:pPr>
        <w:pStyle w:val="StandardWeb"/>
      </w:pPr>
      <w:r>
        <w:lastRenderedPageBreak/>
        <w:t>Auch eine stationäre Konfiguration kann innerhalb einer Raum-Zeit-Struktur beschrieben werden.</w:t>
      </w:r>
    </w:p>
    <w:p w:rsidR="002C1CB2" w:rsidRDefault="002C1CB2" w:rsidP="002C1CB2">
      <w:pPr>
        <w:pStyle w:val="StandardWeb"/>
      </w:pPr>
      <w:r>
        <w:t>Daher gilt</w:t>
      </w:r>
    </w:p>
    <w:p w:rsidR="002C1CB2" w:rsidRDefault="002C1CB2" w:rsidP="002C1CB2">
      <w:pPr>
        <w:pStyle w:val="StandardWeb"/>
      </w:pPr>
      <w:r>
        <w:t>[</w:t>
      </w:r>
      <w:r>
        <w:br/>
        <w:t>\text{Raum-Zeit-Struktur}</w:t>
      </w:r>
      <w:r>
        <w:br/>
        <w:t>\nRightarrow</w:t>
      </w:r>
      <w:r>
        <w:br/>
        <w:t>\text{nichttrivialer Zustandswechsel}.</w:t>
      </w:r>
      <w:r>
        <w:br/>
        <w:t>\tag{3.9724}</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\text{Raum-Zeit-Struktur}\nRightarrow\text{nichttrivialer Zustandswechsel}</w:t>
      </w:r>
    </w:p>
    <w:p w:rsidR="002C1CB2" w:rsidRDefault="002C1CB2" w:rsidP="002C1CB2">
      <w:pPr>
        <w:pStyle w:val="StandardWeb"/>
      </w:pPr>
      <w:r>
        <w:t>Damit lässt sich (A_T) nicht allein aus der Benennung oder allgemeinen Zielsetzung des FRZK begründen.</w:t>
      </w:r>
    </w:p>
    <w:p w:rsidR="002C1CB2" w:rsidRDefault="00E50336" w:rsidP="002C1CB2">
      <w:r>
        <w:pict>
          <v:rect id="_x0000_i2929" style="width:0;height:1.5pt" o:hralign="center" o:hrstd="t" o:hr="t" fillcolor="#a0a0a0" stroked="f"/>
        </w:pict>
      </w:r>
    </w:p>
    <w:p w:rsidR="002C1CB2" w:rsidRDefault="002C1CB2" w:rsidP="002C1CB2">
      <w:pPr>
        <w:pStyle w:val="berschrift1"/>
      </w:pPr>
      <w:r>
        <w:t>3.3.44.46 Prüfung anhand statischer Lösungen etablierter Dynamikmodelle</w:t>
      </w:r>
    </w:p>
    <w:p w:rsidR="002C1CB2" w:rsidRDefault="002C1CB2" w:rsidP="002C1CB2">
      <w:pPr>
        <w:pStyle w:val="StandardWeb"/>
      </w:pPr>
      <w:r>
        <w:t>Auch in dynamischen mathematischen Theorien können stationäre Lösungen auftreten. Die Existenz eines Dynamikgesetzes bedeutet deshalb nicht, dass jeder konkrete Zustand tatsächlich zeitlich verändert werden muss.</w:t>
      </w:r>
    </w:p>
    <w:p w:rsidR="002C1CB2" w:rsidRDefault="002C1CB2" w:rsidP="002C1CB2">
      <w:pPr>
        <w:pStyle w:val="StandardWeb"/>
      </w:pPr>
      <w:r>
        <w:t>Schematisch kann gelten</w:t>
      </w:r>
    </w:p>
    <w:p w:rsidR="002C1CB2" w:rsidRDefault="002C1CB2" w:rsidP="002C1CB2">
      <w:pPr>
        <w:pStyle w:val="berschrift1"/>
      </w:pPr>
      <w:r>
        <w:t>[</w:t>
      </w:r>
      <w:r>
        <w:br/>
        <w:t>\dot z</w:t>
      </w:r>
    </w:p>
    <w:p w:rsidR="002C1CB2" w:rsidRDefault="002C1CB2" w:rsidP="002C1CB2">
      <w:pPr>
        <w:pStyle w:val="StandardWeb"/>
      </w:pPr>
      <w:r>
        <w:t>F(z)</w:t>
      </w:r>
      <w:r>
        <w:br/>
        <w:t>\tag{3.9725}</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\dot z=F(z)</w:t>
      </w:r>
    </w:p>
    <w:p w:rsidR="002C1CB2" w:rsidRDefault="002C1CB2" w:rsidP="002C1CB2">
      <w:pPr>
        <w:pStyle w:val="StandardWeb"/>
      </w:pPr>
      <w:r>
        <w:t>mit einem stationären Zustand</w:t>
      </w:r>
    </w:p>
    <w:p w:rsidR="002C1CB2" w:rsidRDefault="002C1CB2" w:rsidP="002C1CB2">
      <w:pPr>
        <w:pStyle w:val="StandardWeb"/>
      </w:pPr>
      <w:r>
        <w:t>[</w:t>
      </w:r>
      <w:r>
        <w:br/>
        <w:t>F(z^\ast)=0.</w:t>
      </w:r>
      <w:r>
        <w:br/>
        <w:t>\tag{3.9726}</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lastRenderedPageBreak/>
        <w:t>F(z^\ast)=0</w:t>
      </w:r>
    </w:p>
    <w:p w:rsidR="002C1CB2" w:rsidRDefault="002C1CB2" w:rsidP="002C1CB2">
      <w:pPr>
        <w:pStyle w:val="StandardWeb"/>
      </w:pPr>
      <w:r>
        <w:t>und damit</w:t>
      </w:r>
    </w:p>
    <w:p w:rsidR="002C1CB2" w:rsidRDefault="002C1CB2" w:rsidP="002C1CB2">
      <w:pPr>
        <w:pStyle w:val="StandardWeb"/>
      </w:pPr>
      <w:r>
        <w:t>[</w:t>
      </w:r>
      <w:r>
        <w:br/>
        <w:t>\dot z^\ast=0.</w:t>
      </w:r>
      <w:r>
        <w:br/>
        <w:t>\tag{3.9727}</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\dot z^\ast=0</w:t>
      </w:r>
    </w:p>
    <w:p w:rsidR="002C1CB2" w:rsidRDefault="002C1CB2" w:rsidP="002C1CB2">
      <w:pPr>
        <w:pStyle w:val="StandardWeb"/>
      </w:pPr>
      <w:r>
        <w:t>Die Möglichkeit stationärer Zustände spricht deshalb zusätzlich gegen die Forderung, Nichttrivialität jedes Modells bereits auf Primäraxiomniveau festzuschreiben.</w:t>
      </w:r>
    </w:p>
    <w:p w:rsidR="002C1CB2" w:rsidRDefault="00E50336" w:rsidP="002C1CB2">
      <w:r>
        <w:pict>
          <v:rect id="_x0000_i2930" style="width:0;height:1.5pt" o:hralign="center" o:hrstd="t" o:hr="t" fillcolor="#a0a0a0" stroked="f"/>
        </w:pict>
      </w:r>
    </w:p>
    <w:p w:rsidR="002C1CB2" w:rsidRDefault="002C1CB2" w:rsidP="002C1CB2">
      <w:pPr>
        <w:pStyle w:val="berschrift1"/>
      </w:pPr>
      <w:r>
        <w:t>3.3.44.47 Existenz einer Übergangsstruktur versus Existenz eines realisierten Übergangs</w:t>
      </w:r>
    </w:p>
    <w:p w:rsidR="002C1CB2" w:rsidRDefault="002C1CB2" w:rsidP="002C1CB2">
      <w:pPr>
        <w:pStyle w:val="StandardWeb"/>
      </w:pPr>
      <w:r>
        <w:t>Eine weitere Unterscheidung ist notwendig.</w:t>
      </w:r>
    </w:p>
    <w:p w:rsidR="002C1CB2" w:rsidRDefault="002C1CB2" w:rsidP="002C1CB2">
      <w:pPr>
        <w:pStyle w:val="StandardWeb"/>
      </w:pPr>
      <w:r>
        <w:t>Ein Modell kann eine Übergangsstruktur besitzen,</w:t>
      </w:r>
    </w:p>
    <w:p w:rsidR="002C1CB2" w:rsidRDefault="002C1CB2" w:rsidP="002C1CB2">
      <w:pPr>
        <w:pStyle w:val="StandardWeb"/>
      </w:pPr>
      <w:r>
        <w:t>[</w:t>
      </w:r>
      <w:r>
        <w:br/>
        <w:t>\mathcal T_F\neq\varnothing,</w:t>
      </w:r>
      <w:r>
        <w:br/>
        <w:t>\tag{3.9728}</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\mathcal T_F\neq\varnothing</w:t>
      </w:r>
    </w:p>
    <w:p w:rsidR="002C1CB2" w:rsidRDefault="002C1CB2" w:rsidP="002C1CB2">
      <w:pPr>
        <w:pStyle w:val="StandardWeb"/>
      </w:pPr>
      <w:r>
        <w:t>ohne dass für einen konkret betrachteten Zustand tatsächlich ein nichttrivialer Übergang realisiert wird.</w:t>
      </w:r>
    </w:p>
    <w:p w:rsidR="002C1CB2" w:rsidRDefault="002C1CB2" w:rsidP="002C1CB2">
      <w:pPr>
        <w:pStyle w:val="StandardWeb"/>
      </w:pPr>
      <w:r>
        <w:t>Damit muss ich unterscheiden zwischen</w:t>
      </w:r>
    </w:p>
    <w:p w:rsidR="002C1CB2" w:rsidRDefault="002C1CB2" w:rsidP="002C1CB2">
      <w:pPr>
        <w:pStyle w:val="StandardWeb"/>
      </w:pPr>
      <w:r>
        <w:t>[</w:t>
      </w:r>
      <w:r>
        <w:br/>
        <w:t>\operatorname{Poss}_T</w:t>
      </w:r>
      <w:r>
        <w:br/>
        <w:t>\tag{3.9729}</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\operatorname{Poss}_T</w:t>
      </w:r>
    </w:p>
    <w:p w:rsidR="002C1CB2" w:rsidRDefault="002C1CB2" w:rsidP="002C1CB2">
      <w:pPr>
        <w:pStyle w:val="StandardWeb"/>
      </w:pPr>
      <w:r>
        <w:t>und</w:t>
      </w:r>
    </w:p>
    <w:p w:rsidR="002C1CB2" w:rsidRDefault="002C1CB2" w:rsidP="002C1CB2">
      <w:pPr>
        <w:pStyle w:val="StandardWeb"/>
      </w:pPr>
      <w:r>
        <w:lastRenderedPageBreak/>
        <w:t>[</w:t>
      </w:r>
      <w:r>
        <w:br/>
        <w:t>\operatorname{Act}_T.</w:t>
      </w:r>
      <w:r>
        <w:br/>
        <w:t>\tag{3.9730}</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\operatorname{Act}_T</w:t>
      </w:r>
    </w:p>
    <w:p w:rsidR="002C1CB2" w:rsidRDefault="00E50336" w:rsidP="002C1CB2">
      <w:r>
        <w:pict>
          <v:rect id="_x0000_i2931" style="width:0;height:1.5pt" o:hralign="center" o:hrstd="t" o:hr="t" fillcolor="#a0a0a0" stroked="f"/>
        </w:pict>
      </w:r>
    </w:p>
    <w:p w:rsidR="002C1CB2" w:rsidRDefault="002C1CB2" w:rsidP="002C1CB2">
      <w:pPr>
        <w:pStyle w:val="berschrift1"/>
      </w:pPr>
      <w:r>
        <w:t>3.3.44.48 Definition 3.3.80 – Übergangsmöglichkeit</w:t>
      </w:r>
    </w:p>
    <w:p w:rsidR="002C1CB2" w:rsidRDefault="002C1CB2" w:rsidP="002C1CB2">
      <w:pPr>
        <w:pStyle w:val="berschrift3"/>
      </w:pPr>
      <w:r>
        <w:t>Definition 3.3.80</w:t>
      </w:r>
    </w:p>
    <w:p w:rsidR="002C1CB2" w:rsidRDefault="002C1CB2" w:rsidP="002C1CB2">
      <w:pPr>
        <w:pStyle w:val="StandardWeb"/>
      </w:pPr>
      <w:r>
        <w:t xml:space="preserve">Eine </w:t>
      </w:r>
      <w:r>
        <w:rPr>
          <w:rStyle w:val="Fett"/>
        </w:rPr>
        <w:t>funktionale Übergangsmöglichkeit</w:t>
      </w:r>
      <w:r>
        <w:t xml:space="preserve"> liegt vor, wenn innerhalb eines Modells mindestens ein nichttrivialer Übergang zulässig ist, unabhängig davon, ob dieser Übergang im betrachteten Zustand tatsächlich realisiert wird.</w:t>
      </w:r>
    </w:p>
    <w:p w:rsidR="002C1CB2" w:rsidRDefault="002C1CB2" w:rsidP="002C1CB2">
      <w:pPr>
        <w:pStyle w:val="StandardWeb"/>
      </w:pPr>
      <w:r>
        <w:t>Formal:</w:t>
      </w:r>
    </w:p>
    <w:p w:rsidR="002C1CB2" w:rsidRDefault="002C1CB2" w:rsidP="002C1CB2">
      <w:pPr>
        <w:pStyle w:val="StandardWeb"/>
      </w:pPr>
      <w:r>
        <w:t>[</w:t>
      </w:r>
      <w:r>
        <w:br/>
        <w:t>\operatorname{Poss}_T(\mathcal M)=1</w:t>
      </w:r>
      <w:r>
        <w:br/>
        <w:t>\Longleftrightarrow</w:t>
      </w:r>
      <w:r>
        <w:br/>
        <w:t>\exists z_i\neq z_j:</w:t>
      </w:r>
      <w:r>
        <w:br/>
        <w:t>(z_i,z_j)\in\mathcal T_F^{(\mathcal M)}.</w:t>
      </w:r>
      <w:r>
        <w:br/>
        <w:t>\tag{3.9731}</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\operatorname{Poss}_T(\mathcal M)=1\Longleftrightarrow\exists z_i\neq z_j:(z_i,z_j)\in\mathcal T_F^{(\mathcal M)}</w:t>
      </w:r>
    </w:p>
    <w:p w:rsidR="002C1CB2" w:rsidRDefault="00E50336" w:rsidP="002C1CB2">
      <w:r>
        <w:pict>
          <v:rect id="_x0000_i2932" style="width:0;height:1.5pt" o:hralign="center" o:hrstd="t" o:hr="t" fillcolor="#a0a0a0" stroked="f"/>
        </w:pict>
      </w:r>
    </w:p>
    <w:p w:rsidR="002C1CB2" w:rsidRDefault="002C1CB2" w:rsidP="002C1CB2">
      <w:pPr>
        <w:pStyle w:val="berschrift1"/>
      </w:pPr>
      <w:r>
        <w:t>3.3.44.49 Definition 3.3.81 – Realisierter funktionaler Übergang</w:t>
      </w:r>
    </w:p>
    <w:p w:rsidR="002C1CB2" w:rsidRDefault="002C1CB2" w:rsidP="002C1CB2">
      <w:pPr>
        <w:pStyle w:val="berschrift3"/>
      </w:pPr>
      <w:r>
        <w:t>Definition 3.3.81</w:t>
      </w:r>
    </w:p>
    <w:p w:rsidR="002C1CB2" w:rsidRDefault="002C1CB2" w:rsidP="002C1CB2">
      <w:pPr>
        <w:pStyle w:val="StandardWeb"/>
      </w:pPr>
      <w:r>
        <w:t xml:space="preserve">Ein </w:t>
      </w:r>
      <w:r>
        <w:rPr>
          <w:rStyle w:val="Fett"/>
        </w:rPr>
        <w:t>realisierter funktionaler Übergang</w:t>
      </w:r>
      <w:r>
        <w:t xml:space="preserve"> liegt vor, wenn ein im Modell zulässiger Übergang innerhalb der betrachteten Entwicklung tatsächlich ausgeführt wird.</w:t>
      </w:r>
    </w:p>
    <w:p w:rsidR="002C1CB2" w:rsidRDefault="002C1CB2" w:rsidP="002C1CB2">
      <w:pPr>
        <w:pStyle w:val="StandardWeb"/>
      </w:pPr>
      <w:r>
        <w:t>Ich schreibe</w:t>
      </w:r>
    </w:p>
    <w:p w:rsidR="002C1CB2" w:rsidRDefault="002C1CB2" w:rsidP="002C1CB2">
      <w:pPr>
        <w:pStyle w:val="StandardWeb"/>
      </w:pPr>
      <w:r>
        <w:t>[</w:t>
      </w:r>
      <w:r>
        <w:br/>
        <w:t>\operatorname{Act}_T(z_i,z_j)=1.</w:t>
      </w:r>
      <w:r>
        <w:br/>
        <w:t>\tag{3.9732}</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lastRenderedPageBreak/>
        <w:t>\operatorname{Act}_T(z_i,z_j)=1</w:t>
      </w:r>
    </w:p>
    <w:p w:rsidR="002C1CB2" w:rsidRDefault="002C1CB2" w:rsidP="002C1CB2">
      <w:pPr>
        <w:pStyle w:val="StandardWeb"/>
      </w:pPr>
      <w:r>
        <w:t>Dabei gilt notwendig</w:t>
      </w:r>
    </w:p>
    <w:p w:rsidR="002C1CB2" w:rsidRDefault="002C1CB2" w:rsidP="002C1CB2">
      <w:pPr>
        <w:pStyle w:val="StandardWeb"/>
      </w:pPr>
      <w:r>
        <w:t>[</w:t>
      </w:r>
      <w:r>
        <w:br/>
        <w:t>\operatorname{Act}_T(z_i,z_j)=1</w:t>
      </w:r>
      <w:r>
        <w:br/>
        <w:t>\Rightarrow</w:t>
      </w:r>
      <w:r>
        <w:br/>
        <w:t>(z_i,z_j)\in\mathcal T_F.</w:t>
      </w:r>
      <w:r>
        <w:br/>
        <w:t>\tag{3.9733}</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\operatorname{Act}_T(z_i,z_j)=1\Rightarrow(z_i,z_j)\in\mathcal T_F</w:t>
      </w:r>
    </w:p>
    <w:p w:rsidR="002C1CB2" w:rsidRDefault="002C1CB2" w:rsidP="002C1CB2">
      <w:pPr>
        <w:pStyle w:val="StandardWeb"/>
      </w:pPr>
      <w:r>
        <w:t>Die Umkehrung gilt jedoch nicht:</w:t>
      </w:r>
    </w:p>
    <w:p w:rsidR="002C1CB2" w:rsidRDefault="002C1CB2" w:rsidP="002C1CB2">
      <w:pPr>
        <w:pStyle w:val="StandardWeb"/>
      </w:pPr>
      <w:r>
        <w:t>[</w:t>
      </w:r>
      <w:r>
        <w:br/>
        <w:t>(z_i,z_j)\in\mathcal T_F</w:t>
      </w:r>
      <w:r>
        <w:br/>
        <w:t>\nRightarrow</w:t>
      </w:r>
      <w:r>
        <w:br/>
        <w:t>\operatorname{Act}_T(z_i,z_j)=1.</w:t>
      </w:r>
      <w:r>
        <w:br/>
        <w:t>\tag{3.9734}</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(z_i,z_j)\in\mathcal T_F\nRightarrow\operatorname{Act}_T(z_i,z_j)=1</w:t>
      </w:r>
    </w:p>
    <w:p w:rsidR="002C1CB2" w:rsidRDefault="00E50336" w:rsidP="002C1CB2">
      <w:r>
        <w:pict>
          <v:rect id="_x0000_i2933" style="width:0;height:1.5pt" o:hralign="center" o:hrstd="t" o:hr="t" fillcolor="#a0a0a0" stroked="f"/>
        </w:pict>
      </w:r>
    </w:p>
    <w:p w:rsidR="002C1CB2" w:rsidRDefault="002C1CB2" w:rsidP="002C1CB2">
      <w:pPr>
        <w:pStyle w:val="berschrift1"/>
      </w:pPr>
      <w:r>
        <w:t>3.3.44.50 Drei mögliche Axiomstärken</w:t>
      </w:r>
    </w:p>
    <w:p w:rsidR="002C1CB2" w:rsidRDefault="002C1CB2" w:rsidP="002C1CB2">
      <w:pPr>
        <w:pStyle w:val="StandardWeb"/>
      </w:pPr>
      <w:r>
        <w:t>Damit lassen sich drei unterschiedlich starke Aussagen unterscheiden.</w:t>
      </w:r>
    </w:p>
    <w:p w:rsidR="002C1CB2" w:rsidRDefault="002C1CB2" w:rsidP="002C1CB2">
      <w:pPr>
        <w:pStyle w:val="StandardWeb"/>
      </w:pPr>
      <w:r>
        <w:t>Die schwächste lautet</w:t>
      </w:r>
    </w:p>
    <w:p w:rsidR="002C1CB2" w:rsidRDefault="002C1CB2" w:rsidP="002C1CB2">
      <w:pPr>
        <w:pStyle w:val="StandardWeb"/>
      </w:pPr>
      <w:r>
        <w:t>[</w:t>
      </w:r>
      <w:r>
        <w:br/>
        <w:t>A_T^{(1)}:</w:t>
      </w:r>
      <w:r>
        <w:br/>
        <w:t>\exists\mathcal M:</w:t>
      </w:r>
      <w:r>
        <w:br/>
        <w:t>\operatorname{Poss}_T(\mathcal M)=1.</w:t>
      </w:r>
      <w:r>
        <w:br/>
        <w:t>\tag{3.9735}</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A_T^{(1)}:\exists\mathcal M:\operatorname{Poss}_T(\mathcal M)=1</w:t>
      </w:r>
    </w:p>
    <w:p w:rsidR="002C1CB2" w:rsidRDefault="002C1CB2" w:rsidP="002C1CB2">
      <w:pPr>
        <w:pStyle w:val="StandardWeb"/>
      </w:pPr>
      <w:r>
        <w:t>Eine stärkere Forderung wäre</w:t>
      </w:r>
    </w:p>
    <w:p w:rsidR="002C1CB2" w:rsidRDefault="002C1CB2" w:rsidP="002C1CB2">
      <w:pPr>
        <w:pStyle w:val="StandardWeb"/>
      </w:pPr>
      <w:r>
        <w:t>[</w:t>
      </w:r>
      <w:r>
        <w:br/>
        <w:t>A_T^{(2)}:</w:t>
      </w:r>
      <w:r>
        <w:br/>
        <w:t>\forall\mathcal M\in\mathfrak M_{\mathrm{FRZK}}:</w:t>
      </w:r>
      <w:r>
        <w:br/>
      </w:r>
      <w:r>
        <w:lastRenderedPageBreak/>
        <w:t>\operatorname{Poss}_T(\mathcal M)=1.</w:t>
      </w:r>
      <w:r>
        <w:br/>
        <w:t>\tag{3.9736}</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A_T^{(2)}:\forall\mathcal M\in\mathfrak M_{\mathrm{FRZK}}:\operatorname{Poss}_T(\mathcal M)=1</w:t>
      </w:r>
    </w:p>
    <w:p w:rsidR="002C1CB2" w:rsidRDefault="002C1CB2" w:rsidP="002C1CB2">
      <w:pPr>
        <w:pStyle w:val="StandardWeb"/>
      </w:pPr>
      <w:r>
        <w:t>Noch stärker wäre</w:t>
      </w:r>
    </w:p>
    <w:p w:rsidR="002C1CB2" w:rsidRDefault="002C1CB2" w:rsidP="002C1CB2">
      <w:pPr>
        <w:pStyle w:val="StandardWeb"/>
      </w:pPr>
      <w:r>
        <w:t>[</w:t>
      </w:r>
      <w:r>
        <w:br/>
        <w:t>A_T^{(3)}:</w:t>
      </w:r>
      <w:r>
        <w:br/>
        <w:t>\forall\mathcal M:</w:t>
      </w:r>
      <w:r>
        <w:br/>
        <w:t>\exists z_i\neq z_j:</w:t>
      </w:r>
      <w:r>
        <w:br/>
        <w:t>\operatorname{Act}_T(z_i,z_j)=1.</w:t>
      </w:r>
      <w:r>
        <w:br/>
        <w:t>\tag{3.9737}</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A_T^{(3)}:\forall\mathcal M:\exists z_i\neq z_j:\operatorname{Act}_T(z_i,z_j)=1</w:t>
      </w:r>
    </w:p>
    <w:p w:rsidR="002C1CB2" w:rsidRDefault="002C1CB2" w:rsidP="002C1CB2">
      <w:pPr>
        <w:pStyle w:val="StandardWeb"/>
      </w:pPr>
      <w:r>
        <w:t>Diese drei Aussagen dürfen nicht miteinander verwechselt werden.</w:t>
      </w:r>
    </w:p>
    <w:p w:rsidR="002C1CB2" w:rsidRDefault="00E50336" w:rsidP="002C1CB2">
      <w:r>
        <w:pict>
          <v:rect id="_x0000_i2934" style="width:0;height:1.5pt" o:hralign="center" o:hrstd="t" o:hr="t" fillcolor="#a0a0a0" stroked="f"/>
        </w:pict>
      </w:r>
    </w:p>
    <w:p w:rsidR="002C1CB2" w:rsidRDefault="002C1CB2" w:rsidP="002C1CB2">
      <w:pPr>
        <w:pStyle w:val="berschrift1"/>
      </w:pPr>
      <w:r>
        <w:t>3.3.44.51 Stärkeordnung der Übergangsaussagen</w:t>
      </w:r>
    </w:p>
    <w:p w:rsidR="002C1CB2" w:rsidRDefault="002C1CB2" w:rsidP="002C1CB2">
      <w:pPr>
        <w:pStyle w:val="StandardWeb"/>
      </w:pPr>
      <w:r>
        <w:t>Es gilt qualitativ</w:t>
      </w:r>
    </w:p>
    <w:p w:rsidR="002C1CB2" w:rsidRDefault="002C1CB2" w:rsidP="002C1CB2">
      <w:pPr>
        <w:pStyle w:val="StandardWeb"/>
      </w:pPr>
      <w:r>
        <w:t>[</w:t>
      </w:r>
      <w:r>
        <w:br/>
        <w:t>A_T^{(3)}</w:t>
      </w:r>
      <w:r>
        <w:br/>
        <w:t>\Rightarrow</w:t>
      </w:r>
      <w:r>
        <w:br/>
        <w:t>A_T^{(2)}</w:t>
      </w:r>
      <w:r>
        <w:br/>
        <w:t>\Rightarrow</w:t>
      </w:r>
      <w:r>
        <w:br/>
        <w:t>A_T^{(1)}.</w:t>
      </w:r>
      <w:r>
        <w:br/>
        <w:t>\tag{3.9738}</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A_T^{(3)}\Rightarrow A_T^{(2)}\Rightarrow A_T^{(1)}</w:t>
      </w:r>
    </w:p>
    <w:p w:rsidR="002C1CB2" w:rsidRDefault="002C1CB2" w:rsidP="002C1CB2">
      <w:pPr>
        <w:pStyle w:val="StandardWeb"/>
      </w:pPr>
      <w:r>
        <w:t>Die Umkehrungen gelten im Allgemeinen nicht:</w:t>
      </w:r>
    </w:p>
    <w:p w:rsidR="002C1CB2" w:rsidRDefault="002C1CB2" w:rsidP="002C1CB2">
      <w:pPr>
        <w:pStyle w:val="StandardWeb"/>
      </w:pPr>
      <w:r>
        <w:t>[</w:t>
      </w:r>
      <w:r>
        <w:br/>
        <w:t>A_T^{(1)}</w:t>
      </w:r>
      <w:r>
        <w:br/>
        <w:t>\nRightarrow</w:t>
      </w:r>
      <w:r>
        <w:br/>
        <w:t>A_T^{(2)}</w:t>
      </w:r>
      <w:r>
        <w:br/>
      </w:r>
      <w:r>
        <w:lastRenderedPageBreak/>
        <w:t>\tag{3.9739}</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A_T^{(1)}\nRightarrow A_T^{(2)}</w:t>
      </w:r>
    </w:p>
    <w:p w:rsidR="002C1CB2" w:rsidRDefault="002C1CB2" w:rsidP="002C1CB2">
      <w:pPr>
        <w:pStyle w:val="StandardWeb"/>
      </w:pPr>
      <w:r>
        <w:t>und</w:t>
      </w:r>
    </w:p>
    <w:p w:rsidR="002C1CB2" w:rsidRDefault="002C1CB2" w:rsidP="002C1CB2">
      <w:pPr>
        <w:pStyle w:val="StandardWeb"/>
      </w:pPr>
      <w:r>
        <w:t>[</w:t>
      </w:r>
      <w:r>
        <w:br/>
        <w:t>A_T^{(2)}</w:t>
      </w:r>
      <w:r>
        <w:br/>
        <w:t>\nRightarrow</w:t>
      </w:r>
      <w:r>
        <w:br/>
        <w:t>A_T^{(3)}.</w:t>
      </w:r>
      <w:r>
        <w:br/>
        <w:t>\tag{3.9740}</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A_T^{(2)}\nRightarrow A_T^{(3)}</w:t>
      </w:r>
    </w:p>
    <w:p w:rsidR="002C1CB2" w:rsidRDefault="00E50336" w:rsidP="002C1CB2">
      <w:r>
        <w:pict>
          <v:rect id="_x0000_i2935" style="width:0;height:1.5pt" o:hralign="center" o:hrstd="t" o:hr="t" fillcolor="#a0a0a0" stroked="f"/>
        </w:pict>
      </w:r>
    </w:p>
    <w:p w:rsidR="002C1CB2" w:rsidRDefault="002C1CB2" w:rsidP="002C1CB2">
      <w:pPr>
        <w:pStyle w:val="berschrift1"/>
      </w:pPr>
      <w:r>
        <w:t>3.3.44.52 Welche Stärke wäre für das FRZK erforderlich?</w:t>
      </w:r>
    </w:p>
    <w:p w:rsidR="002C1CB2" w:rsidRDefault="002C1CB2" w:rsidP="002C1CB2">
      <w:pPr>
        <w:pStyle w:val="StandardWeb"/>
      </w:pPr>
      <w:r>
        <w:t>Eine universelle Forderung wie (A_T^{(2)}) würde alle statischen Modelle ausschließen.</w:t>
      </w:r>
    </w:p>
    <w:p w:rsidR="002C1CB2" w:rsidRDefault="002C1CB2" w:rsidP="002C1CB2">
      <w:pPr>
        <w:pStyle w:val="StandardWeb"/>
      </w:pPr>
      <w:r>
        <w:t>Eine Realisierungsforderung wie (A_T^{(3)}) wäre noch restriktiver und würde sogar Modelle ausschließen, in denen Übergänge zwar möglich sind, aber ein stationärer Zustand dauerhaft realisiert wird.</w:t>
      </w:r>
    </w:p>
    <w:p w:rsidR="002C1CB2" w:rsidRDefault="002C1CB2" w:rsidP="002C1CB2">
      <w:pPr>
        <w:pStyle w:val="StandardWeb"/>
      </w:pPr>
      <w:r>
        <w:t>Damit erscheint zunächst höchstens</w:t>
      </w:r>
    </w:p>
    <w:p w:rsidR="002C1CB2" w:rsidRDefault="002C1CB2" w:rsidP="002C1CB2">
      <w:pPr>
        <w:pStyle w:val="StandardWeb"/>
      </w:pPr>
      <w:r>
        <w:t>[</w:t>
      </w:r>
      <w:r>
        <w:br/>
        <w:t>A_T^{(1)}</w:t>
      </w:r>
      <w:r>
        <w:br/>
        <w:t>\tag{3.9741}</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A_T^{(1)}</w:t>
      </w:r>
    </w:p>
    <w:p w:rsidR="002C1CB2" w:rsidRDefault="002C1CB2" w:rsidP="002C1CB2">
      <w:pPr>
        <w:pStyle w:val="StandardWeb"/>
      </w:pPr>
      <w:r>
        <w:t>als Kandidat für eine minimale Existenzforderung.</w:t>
      </w:r>
    </w:p>
    <w:p w:rsidR="002C1CB2" w:rsidRDefault="00E50336" w:rsidP="002C1CB2">
      <w:r>
        <w:pict>
          <v:rect id="_x0000_i2936" style="width:0;height:1.5pt" o:hralign="center" o:hrstd="t" o:hr="t" fillcolor="#a0a0a0" stroked="f"/>
        </w:pict>
      </w:r>
    </w:p>
    <w:p w:rsidR="002C1CB2" w:rsidRDefault="002C1CB2" w:rsidP="002C1CB2">
      <w:pPr>
        <w:pStyle w:val="berschrift1"/>
      </w:pPr>
      <w:r>
        <w:t>3.3.44.53 Aber auch (A_T^{(1)}) ist problematisch</w:t>
      </w:r>
    </w:p>
    <w:p w:rsidR="002C1CB2" w:rsidRDefault="002C1CB2" w:rsidP="002C1CB2">
      <w:pPr>
        <w:pStyle w:val="StandardWeb"/>
      </w:pPr>
      <w:r>
        <w:t>(A_T^{(1)}) behauptet lediglich, dass irgendwo innerhalb einer zulässigen Modellklasse mindestens ein dynamisches Modell existiert.</w:t>
      </w:r>
    </w:p>
    <w:p w:rsidR="002C1CB2" w:rsidRDefault="002C1CB2" w:rsidP="002C1CB2">
      <w:pPr>
        <w:pStyle w:val="StandardWeb"/>
      </w:pPr>
      <w:r>
        <w:lastRenderedPageBreak/>
        <w:t>Eine solche Aussage betrifft jedoch nicht zwingend die Struktur jedes FRZK-Modells.</w:t>
      </w:r>
    </w:p>
    <w:p w:rsidR="002C1CB2" w:rsidRDefault="002C1CB2" w:rsidP="002C1CB2">
      <w:pPr>
        <w:pStyle w:val="StandardWeb"/>
      </w:pPr>
      <w:r>
        <w:t>Sie kann daher ebenso als Aussage über die Vielfalt der Modellklasse verstanden werden:</w:t>
      </w:r>
    </w:p>
    <w:p w:rsidR="002C1CB2" w:rsidRDefault="002C1CB2" w:rsidP="002C1CB2">
      <w:pPr>
        <w:pStyle w:val="StandardWeb"/>
      </w:pPr>
      <w:r>
        <w:t>[</w:t>
      </w:r>
      <w:r>
        <w:br/>
        <w:t>\exists</w:t>
      </w:r>
      <w:r>
        <w:br/>
        <w:t>\mathcal M_{\mathrm{dyn}}</w:t>
      </w:r>
      <w:r>
        <w:br/>
        <w:t>\in</w:t>
      </w:r>
      <w:r>
        <w:br/>
        <w:t>\mathfrak M_{\mathrm{FRZK}}.</w:t>
      </w:r>
      <w:r>
        <w:br/>
        <w:t>\tag{3.9742}</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\exists\mathcal M_{\mathrm{dyn}}\in\mathfrak M_{\mathrm{FRZK}}</w:t>
      </w:r>
    </w:p>
    <w:p w:rsidR="002C1CB2" w:rsidRDefault="002C1CB2" w:rsidP="002C1CB2">
      <w:pPr>
        <w:pStyle w:val="StandardWeb"/>
      </w:pPr>
      <w:r>
        <w:t>Diese Aussage ist modelltheoretisch schwächer als ein Primäraxiom über jeden zulässigen Gegenstand.</w:t>
      </w:r>
    </w:p>
    <w:p w:rsidR="002C1CB2" w:rsidRDefault="00E50336" w:rsidP="002C1CB2">
      <w:r>
        <w:pict>
          <v:rect id="_x0000_i2937" style="width:0;height:1.5pt" o:hralign="center" o:hrstd="t" o:hr="t" fillcolor="#a0a0a0" stroked="f"/>
        </w:pict>
      </w:r>
    </w:p>
    <w:p w:rsidR="002C1CB2" w:rsidRDefault="002C1CB2" w:rsidP="002C1CB2">
      <w:pPr>
        <w:pStyle w:val="berschrift1"/>
      </w:pPr>
      <w:r>
        <w:t>3.3.44.54 Primäraxiom oder Modellklassenannahme</w:t>
      </w:r>
    </w:p>
    <w:p w:rsidR="002C1CB2" w:rsidRDefault="002C1CB2" w:rsidP="002C1CB2">
      <w:pPr>
        <w:pStyle w:val="StandardWeb"/>
      </w:pPr>
      <w:r>
        <w:t>Ich unterscheide deshalb erneut:</w:t>
      </w:r>
    </w:p>
    <w:p w:rsidR="002C1CB2" w:rsidRDefault="002C1CB2" w:rsidP="002C1CB2">
      <w:pPr>
        <w:pStyle w:val="StandardWeb"/>
      </w:pPr>
      <w:r>
        <w:t>[</w:t>
      </w:r>
      <w:r>
        <w:br/>
        <w:t>\text{Primäraxiom}</w:t>
      </w:r>
      <w:r>
        <w:br/>
        <w:t>\quad\neq\quad</w:t>
      </w:r>
      <w:r>
        <w:br/>
        <w:t>\text{Existenz einer speziellen Modellunterklasse}.</w:t>
      </w:r>
      <w:r>
        <w:br/>
        <w:t>\tag{3.9743}</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\text{Primäraxiom}\quad\neq\quad\text{Existenz einer speziellen Modellunterklasse}</w:t>
      </w:r>
    </w:p>
    <w:p w:rsidR="002C1CB2" w:rsidRDefault="002C1CB2" w:rsidP="002C1CB2">
      <w:pPr>
        <w:pStyle w:val="StandardWeb"/>
      </w:pPr>
      <w:r>
        <w:t>Die Existenz dynamischer FRZK-Modelle kann wissenschaftlich relevant sein, ohne dass Nichttrivialität als universelle Eigenschaft des gesamten FRZK festgelegt werden muss.</w:t>
      </w:r>
    </w:p>
    <w:p w:rsidR="002C1CB2" w:rsidRDefault="00E50336" w:rsidP="002C1CB2">
      <w:r>
        <w:pict>
          <v:rect id="_x0000_i2938" style="width:0;height:1.5pt" o:hralign="center" o:hrstd="t" o:hr="t" fillcolor="#a0a0a0" stroked="f"/>
        </w:pict>
      </w:r>
    </w:p>
    <w:p w:rsidR="002C1CB2" w:rsidRDefault="002C1CB2" w:rsidP="002C1CB2">
      <w:pPr>
        <w:pStyle w:val="berschrift1"/>
      </w:pPr>
      <w:r>
        <w:t>3.3.44.55 Erste Bewertung von (A_T)</w:t>
      </w:r>
    </w:p>
    <w:p w:rsidR="002C1CB2" w:rsidRDefault="002C1CB2" w:rsidP="002C1CB2">
      <w:pPr>
        <w:pStyle w:val="StandardWeb"/>
      </w:pPr>
      <w:r>
        <w:t>Damit ergibt sich für den ursprünglichen Kandidaten</w:t>
      </w:r>
    </w:p>
    <w:p w:rsidR="002C1CB2" w:rsidRDefault="002C1CB2" w:rsidP="002C1CB2">
      <w:pPr>
        <w:pStyle w:val="StandardWeb"/>
      </w:pPr>
      <w:r>
        <w:t>[</w:t>
      </w:r>
      <w:r>
        <w:br/>
        <w:t>A_T:</w:t>
      </w:r>
      <w:r>
        <w:br/>
        <w:t>\exists z_i\neq z_j:</w:t>
      </w:r>
      <w:r>
        <w:br/>
        <w:t>(z_i,z_j)\in\mathcal T_F</w:t>
      </w:r>
      <w:r>
        <w:br/>
      </w:r>
      <w:r>
        <w:lastRenderedPageBreak/>
        <w:t>\tag{3.9744}</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A_T:\exists z_i\neq z_j:(z_i,z_j)\in\mathcal T_F</w:t>
      </w:r>
    </w:p>
    <w:p w:rsidR="002C1CB2" w:rsidRDefault="002C1CB2" w:rsidP="002C1CB2">
      <w:pPr>
        <w:pStyle w:val="StandardWeb"/>
      </w:pPr>
      <w:r>
        <w:t>folgende vorläufige Bewertung:</w:t>
      </w:r>
    </w:p>
    <w:p w:rsidR="002C1CB2" w:rsidRDefault="002C1CB2" w:rsidP="002C1CB2">
      <w:pPr>
        <w:pStyle w:val="StandardWeb"/>
      </w:pPr>
      <w:r>
        <w:t>[</w:t>
      </w:r>
      <w:r>
        <w:br/>
        <w:t>N_T=0,</w:t>
      </w:r>
      <w:r>
        <w:br/>
        <w:t>\tag{3.9745}</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N_T=0</w:t>
      </w:r>
    </w:p>
    <w:p w:rsidR="002C1CB2" w:rsidRDefault="002C1CB2" w:rsidP="002C1CB2">
      <w:pPr>
        <w:pStyle w:val="StandardWeb"/>
      </w:pPr>
      <w:r>
        <w:t>wenn (N_T) die bisher erkennbare axiomatische Notwendigkeit bezeichnet.</w:t>
      </w:r>
    </w:p>
    <w:p w:rsidR="002C1CB2" w:rsidRDefault="002C1CB2" w:rsidP="002C1CB2">
      <w:pPr>
        <w:pStyle w:val="StandardWeb"/>
      </w:pPr>
      <w:r>
        <w:t>Dies ist noch keine endgültige Ablehnung, sondern das Ergebnis der bisherigen Minimalitätsprüfung.</w:t>
      </w:r>
    </w:p>
    <w:p w:rsidR="002C1CB2" w:rsidRDefault="00E50336" w:rsidP="002C1CB2">
      <w:r>
        <w:pict>
          <v:rect id="_x0000_i2939" style="width:0;height:1.5pt" o:hralign="center" o:hrstd="t" o:hr="t" fillcolor="#a0a0a0" stroked="f"/>
        </w:pict>
      </w:r>
    </w:p>
    <w:p w:rsidR="002C1CB2" w:rsidRDefault="002C1CB2" w:rsidP="002C1CB2">
      <w:pPr>
        <w:pStyle w:val="berschrift1"/>
      </w:pPr>
      <w:r>
        <w:t>3.3.44.56 Definition 3.3.82 – Übergangsaxiom-Notwendigkeitsindikator</w:t>
      </w:r>
    </w:p>
    <w:p w:rsidR="002C1CB2" w:rsidRDefault="002C1CB2" w:rsidP="002C1CB2">
      <w:pPr>
        <w:pStyle w:val="berschrift3"/>
      </w:pPr>
      <w:r>
        <w:t>Definition 3.3.82</w:t>
      </w:r>
    </w:p>
    <w:p w:rsidR="002C1CB2" w:rsidRDefault="002C1CB2" w:rsidP="002C1CB2">
      <w:pPr>
        <w:pStyle w:val="StandardWeb"/>
      </w:pPr>
      <w:r>
        <w:t xml:space="preserve">Ich definiere den </w:t>
      </w:r>
      <w:r>
        <w:rPr>
          <w:rStyle w:val="Fett"/>
        </w:rPr>
        <w:t>Übergangsaxiom-Notwendigkeitsindikator</w:t>
      </w:r>
    </w:p>
    <w:p w:rsidR="002C1CB2" w:rsidRDefault="002C1CB2" w:rsidP="002C1CB2">
      <w:pPr>
        <w:pStyle w:val="StandardWeb"/>
      </w:pPr>
      <w:r>
        <w:t>[</w:t>
      </w:r>
      <w:r>
        <w:br/>
        <w:t>N_T\in{0,1}</w:t>
      </w:r>
      <w:r>
        <w:br/>
        <w:t>\tag{3.9746}</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N_T\in\{0,1\}</w:t>
      </w:r>
    </w:p>
    <w:p w:rsidR="002C1CB2" w:rsidRDefault="002C1CB2" w:rsidP="002C1CB2">
      <w:pPr>
        <w:pStyle w:val="StandardWeb"/>
      </w:pPr>
      <w:r>
        <w:t>durch</w:t>
      </w:r>
    </w:p>
    <w:p w:rsidR="002C1CB2" w:rsidRDefault="002C1CB2" w:rsidP="002C1CB2">
      <w:pPr>
        <w:pStyle w:val="StandardWeb"/>
      </w:pPr>
      <w:r>
        <w:t>[</w:t>
      </w:r>
      <w:r>
        <w:br/>
        <w:t>N_T=1</w:t>
      </w:r>
      <w:r>
        <w:br/>
        <w:t>\Longleftrightarrow</w:t>
      </w:r>
      <w:r>
        <w:br/>
        <w:t>U_{\mathrm{Ax}}(A_T)=1.</w:t>
      </w:r>
      <w:r>
        <w:br/>
        <w:t>\tag{3.9747}</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lastRenderedPageBreak/>
        <w:t>N_T=1\Longleftrightarrow U_{\mathrm{Ax}}(A_T)=1</w:t>
      </w:r>
    </w:p>
    <w:p w:rsidR="002C1CB2" w:rsidRDefault="002C1CB2" w:rsidP="002C1CB2">
      <w:pPr>
        <w:pStyle w:val="StandardWeb"/>
      </w:pPr>
      <w:r>
        <w:t>Nach dem derzeitigen Prüfergebnis gilt</w:t>
      </w:r>
    </w:p>
    <w:p w:rsidR="002C1CB2" w:rsidRDefault="002C1CB2" w:rsidP="002C1CB2">
      <w:pPr>
        <w:pStyle w:val="StandardWeb"/>
      </w:pPr>
      <w:r>
        <w:t>[</w:t>
      </w:r>
      <w:r>
        <w:br/>
        <w:t>N_T=0.</w:t>
      </w:r>
      <w:r>
        <w:br/>
        <w:t>\tag{3.9748}</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N_T=0</w:t>
      </w:r>
    </w:p>
    <w:p w:rsidR="002C1CB2" w:rsidRDefault="00E50336" w:rsidP="002C1CB2">
      <w:r>
        <w:pict>
          <v:rect id="_x0000_i2940" style="width:0;height:1.5pt" o:hralign="center" o:hrstd="t" o:hr="t" fillcolor="#a0a0a0" stroked="f"/>
        </w:pict>
      </w:r>
    </w:p>
    <w:p w:rsidR="002C1CB2" w:rsidRDefault="002C1CB2" w:rsidP="002C1CB2">
      <w:pPr>
        <w:pStyle w:val="berschrift1"/>
      </w:pPr>
      <w:r>
        <w:t>3.3.44.57 Prüfung auf theoretische Widersprüche ohne (A_T)</w:t>
      </w:r>
    </w:p>
    <w:p w:rsidR="002C1CB2" w:rsidRDefault="002C1CB2" w:rsidP="002C1CB2">
      <w:pPr>
        <w:pStyle w:val="StandardWeb"/>
      </w:pPr>
      <w:r>
        <w:t>Ein weiterer Test besteht darin, (A_T) vollständig wegzulassen und zu prüfen, ob dadurch ein Widerspruch mit den bisherigen Primäraxiomen entsteht.</w:t>
      </w:r>
    </w:p>
    <w:p w:rsidR="002C1CB2" w:rsidRDefault="002C1CB2" w:rsidP="002C1CB2">
      <w:pPr>
        <w:pStyle w:val="StandardWeb"/>
      </w:pPr>
      <w:r>
        <w:t>Gesucht wäre</w:t>
      </w:r>
    </w:p>
    <w:p w:rsidR="002C1CB2" w:rsidRDefault="002C1CB2" w:rsidP="002C1CB2">
      <w:pPr>
        <w:pStyle w:val="StandardWeb"/>
      </w:pPr>
      <w:r>
        <w:t>[</w:t>
      </w:r>
      <w:r>
        <w:br/>
        <w:t>\mathfrak A_{\mathrm{prim}}</w:t>
      </w:r>
      <w:r>
        <w:br/>
        <w:t>\cup</w:t>
      </w:r>
      <w:r>
        <w:br/>
        <w:t>{\neg A_T}</w:t>
      </w:r>
      <w:r>
        <w:br/>
        <w:t>\vdash</w:t>
      </w:r>
      <w:r>
        <w:br/>
        <w:t>\bot.</w:t>
      </w:r>
      <w:r>
        <w:br/>
        <w:t>\tag{3.9749}</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\mathfrak A_{\mathrm{prim}}\cup\{\neg A_T\}\vdash\bot</w:t>
      </w:r>
    </w:p>
    <w:p w:rsidR="002C1CB2" w:rsidRDefault="002C1CB2" w:rsidP="002C1CB2">
      <w:pPr>
        <w:pStyle w:val="StandardWeb"/>
      </w:pPr>
      <w:r>
        <w:t>Ein solcher Widerspruch wurde bislang nicht gefunden.</w:t>
      </w:r>
    </w:p>
    <w:p w:rsidR="002C1CB2" w:rsidRDefault="002C1CB2" w:rsidP="002C1CB2">
      <w:pPr>
        <w:pStyle w:val="StandardWeb"/>
      </w:pPr>
      <w:r>
        <w:t>Im Gegenteil existiert das bereits konstruierte stationäre Gegenmodell.</w:t>
      </w:r>
    </w:p>
    <w:p w:rsidR="002C1CB2" w:rsidRDefault="002C1CB2" w:rsidP="002C1CB2">
      <w:pPr>
        <w:pStyle w:val="StandardWeb"/>
      </w:pPr>
      <w:r>
        <w:t>Damit gilt vorläufig</w:t>
      </w:r>
    </w:p>
    <w:p w:rsidR="002C1CB2" w:rsidRDefault="002C1CB2" w:rsidP="002C1CB2">
      <w:pPr>
        <w:pStyle w:val="berschrift1"/>
      </w:pPr>
      <w:r>
        <w:t>[</w:t>
      </w:r>
      <w:r>
        <w:br/>
        <w:t>\operatorname{Cons}</w:t>
      </w:r>
      <w:r>
        <w:br/>
        <w:t>\left(</w:t>
      </w:r>
      <w:r>
        <w:br/>
        <w:t>\mathfrak A_{\mathrm{prim}}</w:t>
      </w:r>
      <w:r>
        <w:br/>
        <w:t>\cup</w:t>
      </w:r>
      <w:r>
        <w:br/>
      </w:r>
      <w:r>
        <w:lastRenderedPageBreak/>
        <w:t>{\neg A_T}</w:t>
      </w:r>
      <w:r>
        <w:br/>
        <w:t>\right)</w:t>
      </w:r>
    </w:p>
    <w:p w:rsidR="002C1CB2" w:rsidRDefault="002C1CB2" w:rsidP="00152216">
      <w:pPr>
        <w:numPr>
          <w:ilvl w:val="0"/>
          <w:numId w:val="450"/>
        </w:numPr>
        <w:spacing w:before="100" w:beforeAutospacing="1" w:after="100" w:afterAutospacing="1"/>
      </w:pPr>
    </w:p>
    <w:p w:rsidR="002C1CB2" w:rsidRDefault="002C1CB2" w:rsidP="002C1CB2">
      <w:pPr>
        <w:pStyle w:val="StandardWeb"/>
      </w:pPr>
      <w:r>
        <w:t>\tag{3.9750}</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\operatorname{Cons}\left(\mathfrak A_{\mathrm{prim}}\cup\{\neg A_T\}\right)=1</w:t>
      </w:r>
    </w:p>
    <w:p w:rsidR="002C1CB2" w:rsidRDefault="00E50336" w:rsidP="002C1CB2">
      <w:r>
        <w:pict>
          <v:rect id="_x0000_i2941" style="width:0;height:1.5pt" o:hralign="center" o:hrstd="t" o:hr="t" fillcolor="#a0a0a0" stroked="f"/>
        </w:pict>
      </w:r>
    </w:p>
    <w:p w:rsidR="002C1CB2" w:rsidRDefault="002C1CB2" w:rsidP="002C1CB2">
      <w:pPr>
        <w:pStyle w:val="berschrift1"/>
      </w:pPr>
      <w:r>
        <w:t>3.3.44.58 Konsistenz ohne Übergangsaxiom</w:t>
      </w:r>
    </w:p>
    <w:p w:rsidR="002C1CB2" w:rsidRDefault="002C1CB2" w:rsidP="002C1CB2">
      <w:pPr>
        <w:pStyle w:val="StandardWeb"/>
      </w:pPr>
      <w:r>
        <w:t>Aus Gleichung (3.9750) folgt für die aktuelle Theoriearchitektur:</w:t>
      </w:r>
    </w:p>
    <w:p w:rsidR="002C1CB2" w:rsidRDefault="002C1CB2" w:rsidP="002C1CB2">
      <w:pPr>
        <w:pStyle w:val="StandardWeb"/>
      </w:pPr>
      <w:r>
        <w:t>[</w:t>
      </w:r>
      <w:r>
        <w:br/>
        <w:t>\boxed{</w:t>
      </w:r>
      <w:r>
        <w:br/>
        <w:t>\neg A_T</w:t>
      </w:r>
      <w:r>
        <w:br/>
        <w:t>\text{ ist mit dem bisherigen Primäraxiomensystem vereinbar.}</w:t>
      </w:r>
      <w:r>
        <w:br/>
        <w:t>}</w:t>
      </w:r>
      <w:r>
        <w:br/>
        <w:t>\tag{3.9751}</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\boxed{\neg A_T\text{ ist mit dem bisherigen Primäraxiomensystem vereinbar.}}</w:t>
      </w:r>
    </w:p>
    <w:p w:rsidR="002C1CB2" w:rsidRDefault="002C1CB2" w:rsidP="002C1CB2">
      <w:pPr>
        <w:pStyle w:val="StandardWeb"/>
      </w:pPr>
      <w:r>
        <w:t>Damit kann (A_T) nicht als zur bloßen logischen Konsistenz notwendiges Primäraxiom begründet werden.</w:t>
      </w:r>
    </w:p>
    <w:p w:rsidR="002C1CB2" w:rsidRDefault="00E50336" w:rsidP="002C1CB2">
      <w:r>
        <w:pict>
          <v:rect id="_x0000_i2942" style="width:0;height:1.5pt" o:hralign="center" o:hrstd="t" o:hr="t" fillcolor="#a0a0a0" stroked="f"/>
        </w:pict>
      </w:r>
    </w:p>
    <w:p w:rsidR="002C1CB2" w:rsidRDefault="002C1CB2" w:rsidP="002C1CB2">
      <w:pPr>
        <w:pStyle w:val="berschrift1"/>
      </w:pPr>
      <w:r>
        <w:t>3.3.44.59 Prüfung auf empirische Unverzichtbarkeit</w:t>
      </w:r>
    </w:p>
    <w:p w:rsidR="002C1CB2" w:rsidRDefault="002C1CB2" w:rsidP="002C1CB2">
      <w:pPr>
        <w:pStyle w:val="StandardWeb"/>
      </w:pPr>
      <w:r>
        <w:t>Auch empirische Veränderlichkeit kann (A_T) nicht automatisch zum Primäraxiom machen.</w:t>
      </w:r>
    </w:p>
    <w:p w:rsidR="002C1CB2" w:rsidRDefault="002C1CB2" w:rsidP="002C1CB2">
      <w:pPr>
        <w:pStyle w:val="StandardWeb"/>
      </w:pPr>
      <w:r>
        <w:t>Selbst wenn spätere Beobachtungen dynamische Prozesse zeigen,</w:t>
      </w:r>
    </w:p>
    <w:p w:rsidR="002C1CB2" w:rsidRDefault="002C1CB2" w:rsidP="002C1CB2">
      <w:pPr>
        <w:pStyle w:val="StandardWeb"/>
      </w:pPr>
      <w:r>
        <w:t>[</w:t>
      </w:r>
      <w:r>
        <w:br/>
        <w:t>\operatorname{Obs}_{\mathrm{dyn}}=1,</w:t>
      </w:r>
      <w:r>
        <w:br/>
        <w:t>\tag{3.9752}</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lastRenderedPageBreak/>
        <w:t>\operatorname{Obs}_{\mathrm{dyn}}=1</w:t>
      </w:r>
    </w:p>
    <w:p w:rsidR="002C1CB2" w:rsidRDefault="002C1CB2" w:rsidP="002C1CB2">
      <w:pPr>
        <w:pStyle w:val="StandardWeb"/>
      </w:pPr>
      <w:r>
        <w:t>folgt daraus zunächst nur, dass ein dynamisches Modell benötigt wird:</w:t>
      </w:r>
    </w:p>
    <w:p w:rsidR="002C1CB2" w:rsidRDefault="002C1CB2" w:rsidP="002C1CB2">
      <w:pPr>
        <w:pStyle w:val="StandardWeb"/>
      </w:pPr>
      <w:r>
        <w:t>[</w:t>
      </w:r>
      <w:r>
        <w:br/>
        <w:t>\operatorname{Obs}_{\mathrm{dyn}}=1</w:t>
      </w:r>
      <w:r>
        <w:br/>
        <w:t>\Rightarrow</w:t>
      </w:r>
      <w:r>
        <w:br/>
        <w:t>\mathcal M\in\mathfrak M_F^{\mathrm{dyn}}.</w:t>
      </w:r>
      <w:r>
        <w:br/>
        <w:t>\tag{3.9753}</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\operatorname{Obs}_{\mathrm{dyn}}=1\Rightarrow\mathcal M\in\mathfrak M_F^{\mathrm{dyn}}</w:t>
      </w:r>
    </w:p>
    <w:p w:rsidR="002C1CB2" w:rsidRDefault="002C1CB2" w:rsidP="002C1CB2">
      <w:pPr>
        <w:pStyle w:val="StandardWeb"/>
      </w:pPr>
      <w:r>
        <w:t>Daraus folgt nicht zwingend</w:t>
      </w:r>
    </w:p>
    <w:p w:rsidR="002C1CB2" w:rsidRDefault="002C1CB2" w:rsidP="002C1CB2">
      <w:pPr>
        <w:pStyle w:val="StandardWeb"/>
      </w:pPr>
      <w:r>
        <w:t>[</w:t>
      </w:r>
      <w:r>
        <w:br/>
        <w:t>\operatorname{Obs}</w:t>
      </w:r>
      <w:r>
        <w:rPr>
          <w:rStyle w:val="Hervorhebung"/>
        </w:rPr>
        <w:t>{\mathrm{dyn}}=1</w:t>
      </w:r>
      <w:r>
        <w:rPr>
          <w:i/>
          <w:iCs/>
        </w:rPr>
        <w:br/>
      </w:r>
      <w:r>
        <w:rPr>
          <w:rStyle w:val="Hervorhebung"/>
        </w:rPr>
        <w:t>\Rightarrow</w:t>
      </w:r>
      <w:r>
        <w:rPr>
          <w:i/>
          <w:iCs/>
        </w:rPr>
        <w:br/>
      </w:r>
      <w:r>
        <w:rPr>
          <w:rStyle w:val="Hervorhebung"/>
        </w:rPr>
        <w:t>A_T\in\mathfrak A</w:t>
      </w:r>
      <w:r>
        <w:t>{\mathrm{prim}}.</w:t>
      </w:r>
      <w:r>
        <w:br/>
        <w:t>\tag{3.9754}</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\operatorname{Obs}_{\mathrm{dyn}}=1\Rightarrow A_T\in\mathfrak A_{\mathrm{prim}}</w:t>
      </w:r>
    </w:p>
    <w:p w:rsidR="002C1CB2" w:rsidRDefault="00E50336" w:rsidP="002C1CB2">
      <w:r>
        <w:pict>
          <v:rect id="_x0000_i2943" style="width:0;height:1.5pt" o:hralign="center" o:hrstd="t" o:hr="t" fillcolor="#a0a0a0" stroked="f"/>
        </w:pict>
      </w:r>
    </w:p>
    <w:p w:rsidR="002C1CB2" w:rsidRDefault="002C1CB2" w:rsidP="002C1CB2">
      <w:pPr>
        <w:pStyle w:val="berschrift1"/>
      </w:pPr>
      <w:r>
        <w:t>3.3.44.60 Gefahr einer unnötigen Universalisierung</w:t>
      </w:r>
    </w:p>
    <w:p w:rsidR="002C1CB2" w:rsidRDefault="002C1CB2" w:rsidP="002C1CB2">
      <w:pPr>
        <w:pStyle w:val="StandardWeb"/>
      </w:pPr>
      <w:r>
        <w:t>Würde (A_T) ausschließlich deshalb zum Primäraxiom erhoben, weil dynamische Phänomene empirisch häufig auftreten, entstünde genau jene verdeckte Universalität, die ich in 3.3.43 vermeiden wollte.</w:t>
      </w:r>
    </w:p>
    <w:p w:rsidR="002C1CB2" w:rsidRDefault="002C1CB2" w:rsidP="002C1CB2">
      <w:pPr>
        <w:pStyle w:val="StandardWeb"/>
      </w:pPr>
      <w:r>
        <w:t>Die problematische Schlussform wäre</w:t>
      </w:r>
    </w:p>
    <w:p w:rsidR="002C1CB2" w:rsidRDefault="002C1CB2" w:rsidP="002C1CB2">
      <w:pPr>
        <w:pStyle w:val="StandardWeb"/>
      </w:pPr>
      <w:r>
        <w:t>[</w:t>
      </w:r>
      <w:r>
        <w:br/>
        <w:t>\exists\mathcal M_{\mathrm{dyn}}</w:t>
      </w:r>
      <w:r>
        <w:br/>
        <w:t>\Rightarrow</w:t>
      </w:r>
      <w:r>
        <w:br/>
        <w:t>\forall\mathcal M:</w:t>
      </w:r>
      <w:r>
        <w:br/>
        <w:t>\mathcal M\models A_T.</w:t>
      </w:r>
      <w:r>
        <w:br/>
        <w:t>\tag{3.9755}</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\exists\mathcal M_{\mathrm{dyn}}\Rightarrow\forall\mathcal M:\mathcal M\models A_T</w:t>
      </w:r>
    </w:p>
    <w:p w:rsidR="002C1CB2" w:rsidRDefault="002C1CB2" w:rsidP="002C1CB2">
      <w:pPr>
        <w:pStyle w:val="StandardWeb"/>
      </w:pPr>
      <w:r>
        <w:lastRenderedPageBreak/>
        <w:t>Dieser Schluss ist nicht zulässig.</w:t>
      </w:r>
    </w:p>
    <w:p w:rsidR="002C1CB2" w:rsidRDefault="00E50336" w:rsidP="002C1CB2">
      <w:r>
        <w:pict>
          <v:rect id="_x0000_i2944" style="width:0;height:1.5pt" o:hralign="center" o:hrstd="t" o:hr="t" fillcolor="#a0a0a0" stroked="f"/>
        </w:pict>
      </w:r>
    </w:p>
    <w:p w:rsidR="002C1CB2" w:rsidRDefault="002C1CB2" w:rsidP="002C1CB2">
      <w:pPr>
        <w:pStyle w:val="berschrift1"/>
      </w:pPr>
      <w:r>
        <w:t>3.3.44.61 Statusentscheidung nähert sich</w:t>
      </w:r>
    </w:p>
    <w:p w:rsidR="002C1CB2" w:rsidRDefault="002C1CB2" w:rsidP="002C1CB2">
      <w:pPr>
        <w:pStyle w:val="StandardWeb"/>
      </w:pPr>
      <w:r>
        <w:t>Die bisherigen Prüfungen liefern damit:</w:t>
      </w:r>
    </w:p>
    <w:p w:rsidR="002C1CB2" w:rsidRDefault="002C1CB2" w:rsidP="002C1CB2">
      <w:pPr>
        <w:pStyle w:val="StandardWeb"/>
      </w:pPr>
      <w:r>
        <w:t>[</w:t>
      </w:r>
      <w:r>
        <w:br/>
        <w:t>A_C\nvdash A_T,</w:t>
      </w:r>
      <w:r>
        <w:br/>
        <w:t>\tag{3.9756}</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A_C\nvdash A_T</w:t>
      </w:r>
    </w:p>
    <w:p w:rsidR="002C1CB2" w:rsidRDefault="002C1CB2" w:rsidP="002C1CB2">
      <w:pPr>
        <w:pStyle w:val="StandardWeb"/>
      </w:pPr>
      <w:r>
        <w:t>[</w:t>
      </w:r>
      <w:r>
        <w:br/>
        <w:t>\mathfrak A_{\mathrm{prim}}\cup{\neg A_T}</w:t>
      </w:r>
      <w:r>
        <w:br/>
        <w:t>\text{ ist konsistent},</w:t>
      </w:r>
      <w:r>
        <w:br/>
        <w:t>\tag{3.9757}</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\mathfrak A_{\mathrm{prim}}\cup\{\neg A_T\}\text{ ist konsistent}</w:t>
      </w:r>
    </w:p>
    <w:p w:rsidR="002C1CB2" w:rsidRDefault="002C1CB2" w:rsidP="002C1CB2">
      <w:pPr>
        <w:pStyle w:val="StandardWeb"/>
      </w:pPr>
      <w:r>
        <w:t>und</w:t>
      </w:r>
    </w:p>
    <w:p w:rsidR="002C1CB2" w:rsidRDefault="002C1CB2" w:rsidP="002C1CB2">
      <w:pPr>
        <w:pStyle w:val="StandardWeb"/>
      </w:pPr>
      <w:r>
        <w:t>[</w:t>
      </w:r>
      <w:r>
        <w:br/>
        <w:t>A_T</w:t>
      </w:r>
      <w:r>
        <w:br/>
        <w:t>\text{ schränkt die Modellklasse zusätzlich ein}.</w:t>
      </w:r>
      <w:r>
        <w:br/>
        <w:t>\tag{3.9758}</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A_T\text{ schränkt die Modellklasse zusätzlich ein}</w:t>
      </w:r>
    </w:p>
    <w:p w:rsidR="002C1CB2" w:rsidRDefault="002C1CB2" w:rsidP="002C1CB2">
      <w:pPr>
        <w:pStyle w:val="StandardWeb"/>
      </w:pPr>
      <w:r>
        <w:t>Diese drei Ergebnisse sprechen gegen Primäraxiomstatus.</w:t>
      </w:r>
    </w:p>
    <w:p w:rsidR="002C1CB2" w:rsidRDefault="00E50336" w:rsidP="002C1CB2">
      <w:r>
        <w:pict>
          <v:rect id="_x0000_i2945" style="width:0;height:1.5pt" o:hralign="center" o:hrstd="t" o:hr="t" fillcolor="#a0a0a0" stroked="f"/>
        </w:pict>
      </w:r>
    </w:p>
    <w:p w:rsidR="002C1CB2" w:rsidRDefault="002C1CB2" w:rsidP="002C1CB2">
      <w:pPr>
        <w:pStyle w:val="berschrift1"/>
      </w:pPr>
      <w:r>
        <w:t>3.3.44.62 Vorläufige Klassifikation von (A_T)</w:t>
      </w:r>
    </w:p>
    <w:p w:rsidR="002C1CB2" w:rsidRDefault="002C1CB2" w:rsidP="002C1CB2">
      <w:pPr>
        <w:pStyle w:val="StandardWeb"/>
      </w:pPr>
      <w:r>
        <w:t>Daher ergibt sich</w:t>
      </w:r>
    </w:p>
    <w:p w:rsidR="002C1CB2" w:rsidRDefault="002C1CB2" w:rsidP="002C1CB2">
      <w:pPr>
        <w:pStyle w:val="berschrift1"/>
      </w:pPr>
      <w:r>
        <w:lastRenderedPageBreak/>
        <w:t>[</w:t>
      </w:r>
      <w:r>
        <w:br/>
        <w:t>\boxed{</w:t>
      </w:r>
      <w:r>
        <w:br/>
        <w:t>\operatorname{Stat}(A_T)</w:t>
      </w:r>
    </w:p>
    <w:p w:rsidR="002C1CB2" w:rsidRDefault="002C1CB2" w:rsidP="002C1CB2">
      <w:pPr>
        <w:pStyle w:val="StandardWeb"/>
      </w:pPr>
      <w:r>
        <w:t>\mathrm{Mod}</w:t>
      </w:r>
      <w:r>
        <w:br/>
        <w:t>}</w:t>
      </w:r>
      <w:r>
        <w:br/>
        <w:t>\tag{3.9759}</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\boxed{\operatorname{Stat}(A_T)=\mathrm{Mod}}</w:t>
      </w:r>
    </w:p>
    <w:p w:rsidR="002C1CB2" w:rsidRDefault="002C1CB2" w:rsidP="002C1CB2">
      <w:pPr>
        <w:pStyle w:val="StandardWeb"/>
      </w:pPr>
      <w:r>
        <w:t>für Modelle, in denen nichttriviale funktionale Zustandsübergänge tatsächlich vorausgesetzt werden.</w:t>
      </w:r>
    </w:p>
    <w:p w:rsidR="002C1CB2" w:rsidRDefault="002C1CB2" w:rsidP="002C1CB2">
      <w:pPr>
        <w:pStyle w:val="StandardWeb"/>
      </w:pPr>
      <w:r>
        <w:t xml:space="preserve">Damit ist (A_T) derzeit besser als </w:t>
      </w:r>
      <w:r>
        <w:rPr>
          <w:rStyle w:val="Fett"/>
        </w:rPr>
        <w:t>Modellannahme einer dynamischen FRZK-Unterklasse</w:t>
      </w:r>
      <w:r>
        <w:t xml:space="preserve"> klassifiziert als als Primäraxiom der gesamten Theorie.</w:t>
      </w:r>
    </w:p>
    <w:p w:rsidR="002C1CB2" w:rsidRDefault="00E50336" w:rsidP="002C1CB2">
      <w:r>
        <w:pict>
          <v:rect id="_x0000_i2946" style="width:0;height:1.5pt" o:hralign="center" o:hrstd="t" o:hr="t" fillcolor="#a0a0a0" stroked="f"/>
        </w:pict>
      </w:r>
    </w:p>
    <w:p w:rsidR="002C1CB2" w:rsidRDefault="002C1CB2" w:rsidP="002C1CB2">
      <w:pPr>
        <w:pStyle w:val="berschrift1"/>
      </w:pPr>
      <w:r>
        <w:t>3.3.44.63 Kein neues Primäraxiom an dieser Stelle</w:t>
      </w:r>
    </w:p>
    <w:p w:rsidR="002C1CB2" w:rsidRDefault="002C1CB2" w:rsidP="002C1CB2">
      <w:pPr>
        <w:pStyle w:val="StandardWeb"/>
      </w:pPr>
      <w:r>
        <w:t>Für die Primäraxiommenge ergibt sich deshalb zunächst</w:t>
      </w:r>
    </w:p>
    <w:p w:rsidR="002C1CB2" w:rsidRDefault="002C1CB2" w:rsidP="002C1CB2">
      <w:pPr>
        <w:pStyle w:val="berschrift1"/>
      </w:pPr>
      <w:r>
        <w:t>[</w:t>
      </w:r>
      <w:r>
        <w:br/>
        <w:t>\mathfrak A_{3.3.44}^{\mathrm{new}}</w:t>
      </w:r>
    </w:p>
    <w:p w:rsidR="002C1CB2" w:rsidRDefault="002C1CB2" w:rsidP="002C1CB2">
      <w:pPr>
        <w:pStyle w:val="StandardWeb"/>
      </w:pPr>
      <w:r>
        <w:t>\varnothing.</w:t>
      </w:r>
      <w:r>
        <w:br/>
        <w:t>\tag{3.9760}</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\mathfrak A_{3.3.44}^{\mathrm{new}}=\varnothing</w:t>
      </w:r>
    </w:p>
    <w:p w:rsidR="002C1CB2" w:rsidRDefault="002C1CB2" w:rsidP="002C1CB2">
      <w:pPr>
        <w:pStyle w:val="StandardWeb"/>
      </w:pPr>
      <w:r>
        <w:t>Die bereits bestätigte globale Primäraxiomatik wird durch den bisherigen Stand von 3.3.44 nicht erweitert.</w:t>
      </w:r>
    </w:p>
    <w:p w:rsidR="002C1CB2" w:rsidRDefault="00E50336" w:rsidP="002C1CB2">
      <w:r>
        <w:pict>
          <v:rect id="_x0000_i2947" style="width:0;height:1.5pt" o:hralign="center" o:hrstd="t" o:hr="t" fillcolor="#a0a0a0" stroked="f"/>
        </w:pict>
      </w:r>
    </w:p>
    <w:p w:rsidR="002C1CB2" w:rsidRDefault="002C1CB2" w:rsidP="002C1CB2">
      <w:pPr>
        <w:pStyle w:val="berschrift1"/>
      </w:pPr>
      <w:r>
        <w:t>3.3.44.64 Aber die Prüfung ist noch nicht vollständig</w:t>
      </w:r>
    </w:p>
    <w:p w:rsidR="002C1CB2" w:rsidRDefault="002C1CB2" w:rsidP="002C1CB2">
      <w:pPr>
        <w:pStyle w:val="StandardWeb"/>
      </w:pPr>
      <w:r>
        <w:t>Trotz dieser vorläufigen Statusentscheidung ist Abschnitt 3.3.44 noch nicht abgeschlossen.</w:t>
      </w:r>
    </w:p>
    <w:p w:rsidR="002C1CB2" w:rsidRDefault="002C1CB2" w:rsidP="002C1CB2">
      <w:pPr>
        <w:pStyle w:val="StandardWeb"/>
      </w:pPr>
      <w:r>
        <w:t xml:space="preserve">Es muss noch geprüft werden, ob möglicherweise eine </w:t>
      </w:r>
      <w:r>
        <w:rPr>
          <w:rStyle w:val="Fett"/>
        </w:rPr>
        <w:t>schwächere Übergangsstruktur</w:t>
      </w:r>
      <w:r>
        <w:t xml:space="preserve"> benötigt wird, die nicht die Existenz eines tatsächlich verschiedenen Folgezustandes fordert, </w:t>
      </w:r>
      <w:r>
        <w:lastRenderedPageBreak/>
        <w:t>sondern nur die Möglichkeit funktionaler Veränderung oder eine Relation zwischen Zustandsbeschreibungen sicherstellt.</w:t>
      </w:r>
    </w:p>
    <w:p w:rsidR="002C1CB2" w:rsidRDefault="002C1CB2" w:rsidP="002C1CB2">
      <w:pPr>
        <w:pStyle w:val="StandardWeb"/>
      </w:pPr>
      <w:r>
        <w:t>Ein möglicher schwächerer Kandidat wäre</w:t>
      </w:r>
    </w:p>
    <w:p w:rsidR="002C1CB2" w:rsidRDefault="002C1CB2" w:rsidP="002C1CB2">
      <w:pPr>
        <w:pStyle w:val="StandardWeb"/>
      </w:pPr>
      <w:r>
        <w:t>[</w:t>
      </w:r>
      <w:r>
        <w:br/>
        <w:t>A_T^{\min}:</w:t>
      </w:r>
      <w:r>
        <w:br/>
        <w:t>\exists z\in\Omega_F:</w:t>
      </w:r>
      <w:r>
        <w:br/>
        <w:t>\mathbb T_F(z)\neq\varnothing.</w:t>
      </w:r>
      <w:r>
        <w:br/>
        <w:t>\tag{3.9761}</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A_T^{\min}:\exists z\in\Omega_F:\mathbb T_F(z)\neq\varnothing</w:t>
      </w:r>
    </w:p>
    <w:p w:rsidR="002C1CB2" w:rsidRDefault="002C1CB2" w:rsidP="002C1CB2">
      <w:pPr>
        <w:pStyle w:val="StandardWeb"/>
      </w:pPr>
      <w:r>
        <w:t>Dieser Kandidat erlaubt auch Selbstübergänge.</w:t>
      </w:r>
    </w:p>
    <w:p w:rsidR="002C1CB2" w:rsidRDefault="00E50336" w:rsidP="002C1CB2">
      <w:r>
        <w:pict>
          <v:rect id="_x0000_i2948" style="width:0;height:1.5pt" o:hralign="center" o:hrstd="t" o:hr="t" fillcolor="#a0a0a0" stroked="f"/>
        </w:pict>
      </w:r>
    </w:p>
    <w:p w:rsidR="002C1CB2" w:rsidRDefault="002C1CB2" w:rsidP="002C1CB2">
      <w:pPr>
        <w:pStyle w:val="berschrift1"/>
      </w:pPr>
      <w:r>
        <w:t>3.3.44.65 Vergleich von (A_T) und (A_T^{\min})</w:t>
      </w:r>
    </w:p>
    <w:p w:rsidR="002C1CB2" w:rsidRDefault="002C1CB2" w:rsidP="002C1CB2">
      <w:pPr>
        <w:pStyle w:val="StandardWeb"/>
      </w:pPr>
      <w:r>
        <w:t>Es gilt</w:t>
      </w:r>
    </w:p>
    <w:p w:rsidR="002C1CB2" w:rsidRDefault="002C1CB2" w:rsidP="002C1CB2">
      <w:pPr>
        <w:pStyle w:val="StandardWeb"/>
      </w:pPr>
      <w:r>
        <w:t>[</w:t>
      </w:r>
      <w:r>
        <w:br/>
        <w:t>A_T</w:t>
      </w:r>
      <w:r>
        <w:br/>
        <w:t>\Rightarrow</w:t>
      </w:r>
      <w:r>
        <w:br/>
        <w:t>A_T^{\min}.</w:t>
      </w:r>
      <w:r>
        <w:br/>
        <w:t>\tag{3.9762}</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A_T\Rightarrow A_T^{\min}</w:t>
      </w:r>
    </w:p>
    <w:p w:rsidR="002C1CB2" w:rsidRDefault="002C1CB2" w:rsidP="002C1CB2">
      <w:pPr>
        <w:pStyle w:val="StandardWeb"/>
      </w:pPr>
      <w:r>
        <w:t>Die Umkehrung gilt jedoch nicht:</w:t>
      </w:r>
    </w:p>
    <w:p w:rsidR="002C1CB2" w:rsidRDefault="002C1CB2" w:rsidP="002C1CB2">
      <w:pPr>
        <w:pStyle w:val="StandardWeb"/>
      </w:pPr>
      <w:r>
        <w:t>[</w:t>
      </w:r>
      <w:r>
        <w:br/>
        <w:t>A_T^{\min}</w:t>
      </w:r>
      <w:r>
        <w:br/>
        <w:t>\nRightarrow</w:t>
      </w:r>
      <w:r>
        <w:br/>
        <w:t>A_T.</w:t>
      </w:r>
      <w:r>
        <w:br/>
        <w:t>\tag{3.9763}</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A_T^{\min}\nRightarrow A_T</w:t>
      </w:r>
    </w:p>
    <w:p w:rsidR="002C1CB2" w:rsidRDefault="002C1CB2" w:rsidP="002C1CB2">
      <w:pPr>
        <w:pStyle w:val="StandardWeb"/>
      </w:pPr>
      <w:r>
        <w:t>Denn ein Modell mit ausschließlich Selbstübergängen kann (A_T^{\min}) erfüllen, ohne (A_T) zu erfüllen.</w:t>
      </w:r>
    </w:p>
    <w:p w:rsidR="002C1CB2" w:rsidRDefault="00E50336" w:rsidP="002C1CB2">
      <w:r>
        <w:lastRenderedPageBreak/>
        <w:pict>
          <v:rect id="_x0000_i2949" style="width:0;height:1.5pt" o:hralign="center" o:hrstd="t" o:hr="t" fillcolor="#a0a0a0" stroked="f"/>
        </w:pict>
      </w:r>
    </w:p>
    <w:p w:rsidR="002C1CB2" w:rsidRDefault="002C1CB2" w:rsidP="002C1CB2">
      <w:pPr>
        <w:pStyle w:val="berschrift1"/>
      </w:pPr>
      <w:r>
        <w:t>3.3.44.66 Zweite Minimalitätsfrage</w:t>
      </w:r>
    </w:p>
    <w:p w:rsidR="002C1CB2" w:rsidRDefault="002C1CB2" w:rsidP="002C1CB2">
      <w:pPr>
        <w:pStyle w:val="StandardWeb"/>
      </w:pPr>
      <w:r>
        <w:t>Damit lautet die nächste Frage nicht mehr, ob ein nichttrivialer Zustandswechsel zwingend existieren muss, sondern ob überhaupt eine nichtleere funktionale Übergangsstruktur zum minimalen FRZK-Kern gehören sollte.</w:t>
      </w:r>
    </w:p>
    <w:p w:rsidR="002C1CB2" w:rsidRDefault="002C1CB2" w:rsidP="002C1CB2">
      <w:pPr>
        <w:pStyle w:val="StandardWeb"/>
      </w:pPr>
      <w:r>
        <w:t>Formal:</w:t>
      </w:r>
    </w:p>
    <w:p w:rsidR="002C1CB2" w:rsidRDefault="002C1CB2" w:rsidP="002C1CB2">
      <w:pPr>
        <w:pStyle w:val="StandardWeb"/>
      </w:pPr>
      <w:r>
        <w:t>[</w:t>
      </w:r>
      <w:r>
        <w:br/>
        <w:t>\boxed{</w:t>
      </w:r>
      <w:r>
        <w:br/>
        <w:t>\mathcal T_F=\varnothing</w:t>
      </w:r>
      <w:r>
        <w:br/>
        <w:t>\text{ im FRZK grundsätzlich zulässig?}</w:t>
      </w:r>
      <w:r>
        <w:br/>
        <w:t>}</w:t>
      </w:r>
      <w:r>
        <w:br/>
        <w:t>\tag{3.9764}</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\boxed{\mathcal T_F=\varnothing\text{ im FRZK grundsätzlich zulässig?}}</w:t>
      </w:r>
    </w:p>
    <w:p w:rsidR="002C1CB2" w:rsidRDefault="002C1CB2" w:rsidP="002C1CB2">
      <w:pPr>
        <w:pStyle w:val="StandardWeb"/>
      </w:pPr>
      <w:r>
        <w:t>Diese Frage ist schwächer und theoretisch grundlegender als der ursprüngliche Kandidat (A_T).</w:t>
      </w:r>
    </w:p>
    <w:p w:rsidR="002C1CB2" w:rsidRDefault="00E50336" w:rsidP="002C1CB2">
      <w:r>
        <w:pict>
          <v:rect id="_x0000_i2950" style="width:0;height:1.5pt" o:hralign="center" o:hrstd="t" o:hr="t" fillcolor="#a0a0a0" stroked="f"/>
        </w:pict>
      </w:r>
    </w:p>
    <w:p w:rsidR="002C1CB2" w:rsidRDefault="002C1CB2" w:rsidP="002C1CB2">
      <w:pPr>
        <w:pStyle w:val="berschrift1"/>
      </w:pPr>
      <w:r>
        <w:t>3.3.44.67 Übergang zur Prüfung des minimalen Kandidaten</w:t>
      </w:r>
    </w:p>
    <w:p w:rsidR="002C1CB2" w:rsidRDefault="002C1CB2" w:rsidP="002C1CB2">
      <w:pPr>
        <w:pStyle w:val="StandardWeb"/>
      </w:pPr>
      <w:r>
        <w:t>Die bisherige Prüfung führt daher zu einem klaren Zwischenstand:</w:t>
      </w:r>
    </w:p>
    <w:p w:rsidR="002C1CB2" w:rsidRDefault="002C1CB2" w:rsidP="002C1CB2">
      <w:pPr>
        <w:pStyle w:val="StandardWeb"/>
      </w:pPr>
      <w:r>
        <w:t>[</w:t>
      </w:r>
      <w:r>
        <w:br/>
        <w:t>\boxed{</w:t>
      </w:r>
      <w:r>
        <w:br/>
        <w:t>A_T</w:t>
      </w:r>
      <w:r>
        <w:br/>
        <w:t>\text{ wird nicht als Primäraxiom bestätigt.}</w:t>
      </w:r>
      <w:r>
        <w:br/>
        <w:t>}</w:t>
      </w:r>
      <w:r>
        <w:br/>
        <w:t>\tag{3.9765}</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\boxed{A_T\text{ wird nicht als Primäraxiom bestätigt.}}</w:t>
      </w:r>
    </w:p>
    <w:p w:rsidR="002C1CB2" w:rsidRDefault="002C1CB2" w:rsidP="002C1CB2">
      <w:pPr>
        <w:pStyle w:val="StandardWeb"/>
      </w:pPr>
      <w:r>
        <w:t>Sein wissenschaftlicher Status lautet vorläufig</w:t>
      </w:r>
    </w:p>
    <w:p w:rsidR="002C1CB2" w:rsidRDefault="002C1CB2" w:rsidP="002C1CB2">
      <w:pPr>
        <w:pStyle w:val="StandardWeb"/>
      </w:pPr>
      <w:r>
        <w:t>[</w:t>
      </w:r>
      <w:r>
        <w:br/>
        <w:t>\boxed{</w:t>
      </w:r>
      <w:r>
        <w:br/>
        <w:t>\operatorname{Stat}(A_T)=\mathrm{Mod}.</w:t>
      </w:r>
      <w:r>
        <w:br/>
        <w:t>}</w:t>
      </w:r>
      <w:r>
        <w:br/>
      </w:r>
      <w:r>
        <w:lastRenderedPageBreak/>
        <w:t>\tag{3.9766}</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\boxed{\operatorname{Stat}(A_T)=\mathrm{Mod}.}</w:t>
      </w:r>
    </w:p>
    <w:p w:rsidR="002C1CB2" w:rsidRDefault="002C1CB2" w:rsidP="002C1CB2">
      <w:pPr>
        <w:pStyle w:val="StandardWeb"/>
      </w:pPr>
      <w:r>
        <w:t xml:space="preserve">Der Abschnitt ist damit jedoch </w:t>
      </w:r>
      <w:r>
        <w:rPr>
          <w:rStyle w:val="Fett"/>
        </w:rPr>
        <w:t>noch nicht abgeschlossen</w:t>
      </w:r>
      <w:r>
        <w:t>. Als nächstes muss geprüft werden, ob der schwächere Kandidat</w:t>
      </w:r>
    </w:p>
    <w:p w:rsidR="002C1CB2" w:rsidRDefault="002C1CB2" w:rsidP="002C1CB2">
      <w:pPr>
        <w:pStyle w:val="StandardWeb"/>
      </w:pPr>
      <w:r>
        <w:t>[</w:t>
      </w:r>
      <w:r>
        <w:br/>
        <w:t>A_T^{\min}:</w:t>
      </w:r>
      <w:r>
        <w:br/>
        <w:t>\exists z\in\Omega_F:</w:t>
      </w:r>
      <w:r>
        <w:br/>
        <w:t>\mathbb T_F(z)\neq\varnothing</w:t>
      </w:r>
      <w:r>
        <w:br/>
        <w:t>\tag{3.9767}</w:t>
      </w:r>
      <w:r>
        <w:br/>
        <w:t>]</w:t>
      </w:r>
    </w:p>
    <w:p w:rsidR="002C1CB2" w:rsidRDefault="002C1CB2" w:rsidP="002C1CB2">
      <w:pPr>
        <w:pStyle w:val="StandardWeb"/>
      </w:pPr>
      <w:r>
        <w:rPr>
          <w:rStyle w:val="Fett"/>
        </w:rPr>
        <w:t>Word-LaTeX</w:t>
      </w:r>
    </w:p>
    <w:p w:rsidR="002C1CB2" w:rsidRDefault="002C1CB2" w:rsidP="002C1CB2">
      <w:pPr>
        <w:pStyle w:val="HTMLVorformatiert"/>
        <w:rPr>
          <w:rStyle w:val="HTMLCode"/>
        </w:rPr>
      </w:pPr>
      <w:r>
        <w:rPr>
          <w:rStyle w:val="HTMLCode"/>
        </w:rPr>
        <w:t>A_T^{\min}:\exists z\in\Omega_F:\mathbb T_F(z)\neq\varnothing</w:t>
      </w:r>
    </w:p>
    <w:p w:rsidR="002C1CB2" w:rsidRDefault="002C1CB2" w:rsidP="002C1CB2">
      <w:pPr>
        <w:pStyle w:val="StandardWeb"/>
      </w:pPr>
      <w:r>
        <w:t>für die minimale FRZK-Struktur notwendig ist oder ebenfalls lediglich eine Modellannahme darstellt.</w:t>
      </w:r>
    </w:p>
    <w:p w:rsidR="002C1CB2" w:rsidRDefault="002C1CB2" w:rsidP="002C1CB2">
      <w:pPr>
        <w:pStyle w:val="StandardWeb"/>
      </w:pPr>
      <w:r>
        <w:t xml:space="preserve">Der nächste Teil beginnt daher bei </w:t>
      </w:r>
      <w:r>
        <w:rPr>
          <w:rStyle w:val="Fett"/>
        </w:rPr>
        <w:t>3.3.44.68 / Gleichung (3.9768)</w:t>
      </w:r>
      <w:r>
        <w:t xml:space="preserve"> mit der systematischen Prüfung von </w:t>
      </w:r>
      <w:r>
        <w:rPr>
          <w:rStyle w:val="Fett"/>
        </w:rPr>
        <w:t>(A_T^{\min})</w:t>
      </w:r>
      <w:r>
        <w:t>.</w:t>
      </w:r>
    </w:p>
    <w:p w:rsidR="00ED1D54" w:rsidRDefault="00ED1D54" w:rsidP="00ED1D54">
      <w:pPr>
        <w:pStyle w:val="berschrift1"/>
        <w:rPr>
          <w:rFonts w:cs="Times New Roman"/>
          <w:sz w:val="48"/>
          <w:szCs w:val="48"/>
        </w:rPr>
      </w:pPr>
      <w:r>
        <w:t>3.3.44.68 Prüfung des minimalen Übergangskandidaten (A_T^{\min})</w:t>
      </w:r>
    </w:p>
    <w:p w:rsidR="00ED1D54" w:rsidRDefault="00ED1D54" w:rsidP="00ED1D54">
      <w:pPr>
        <w:pStyle w:val="StandardWeb"/>
      </w:pPr>
      <w:r>
        <w:t>Nach der Ablehnung des stärkeren Kandidaten (A_T) als Primäraxiom bleibt die schwächere Frage bestehen, ob innerhalb des FRZK wenigstens eine nichtleere Übergangsstruktur vorausgesetzt werden muss. Der zu prüfende Kandidat lautet</w:t>
      </w:r>
    </w:p>
    <w:p w:rsidR="00ED1D54" w:rsidRDefault="00ED1D54" w:rsidP="00ED1D54">
      <w:pPr>
        <w:pStyle w:val="StandardWeb"/>
      </w:pPr>
      <w:r>
        <w:t>[</w:t>
      </w:r>
      <w:r>
        <w:br/>
        <w:t>A_T^{\min}:</w:t>
      </w:r>
      <w:r>
        <w:br/>
        <w:t>\exists z\in\Omega_F:</w:t>
      </w:r>
      <w:r>
        <w:br/>
        <w:t>\mathbb T_F(z)\neq\varnothing.</w:t>
      </w:r>
      <w:r>
        <w:br/>
        <w:t>\tag{3.9768}</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A_T^{\min}:\exists z\in\Omega_F:\mathbb T_F(z)\neq\varnothing</w:t>
      </w:r>
    </w:p>
    <w:p w:rsidR="00ED1D54" w:rsidRDefault="00ED1D54" w:rsidP="00ED1D54">
      <w:pPr>
        <w:pStyle w:val="StandardWeb"/>
      </w:pPr>
      <w:r>
        <w:t>Im Unterschied zu (A_T) fordert (A_T^{\min}) nicht, dass zwei verschiedene Zustände miteinander verbunden sein müssen. Auch ein Selbstübergang</w:t>
      </w:r>
    </w:p>
    <w:p w:rsidR="00ED1D54" w:rsidRDefault="00ED1D54" w:rsidP="00ED1D54">
      <w:pPr>
        <w:pStyle w:val="StandardWeb"/>
      </w:pPr>
      <w:r>
        <w:t>[</w:t>
      </w:r>
      <w:r>
        <w:br/>
        <w:t>z\rightarrow z</w:t>
      </w:r>
      <w:r>
        <w:br/>
      </w:r>
      <w:r>
        <w:lastRenderedPageBreak/>
        <w:t>\tag{3.9769}</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z\rightarrow z</w:t>
      </w:r>
    </w:p>
    <w:p w:rsidR="00ED1D54" w:rsidRDefault="00ED1D54" w:rsidP="00ED1D54">
      <w:pPr>
        <w:pStyle w:val="StandardWeb"/>
      </w:pPr>
      <w:r>
        <w:t>würde die Forderung bereits erfüllen.</w:t>
      </w:r>
    </w:p>
    <w:p w:rsidR="00ED1D54" w:rsidRDefault="00ED1D54" w:rsidP="00ED1D54">
      <w:pPr>
        <w:pStyle w:val="StandardWeb"/>
      </w:pPr>
      <w:r>
        <w:t>Damit ist (A_T^{\min}) schwächer als (A_T).</w:t>
      </w:r>
    </w:p>
    <w:p w:rsidR="00ED1D54" w:rsidRDefault="00E50336" w:rsidP="00ED1D54">
      <w:r>
        <w:pict>
          <v:rect id="_x0000_i2951" style="width:0;height:1.5pt" o:hralign="center" o:hrstd="t" o:hr="t" fillcolor="#a0a0a0" stroked="f"/>
        </w:pict>
      </w:r>
    </w:p>
    <w:p w:rsidR="00ED1D54" w:rsidRDefault="00ED1D54" w:rsidP="00ED1D54">
      <w:pPr>
        <w:pStyle w:val="berschrift1"/>
      </w:pPr>
      <w:r>
        <w:t>3.3.44.69 Verhältnis zwischen (A_T) und (A_T^{\min})</w:t>
      </w:r>
    </w:p>
    <w:p w:rsidR="00ED1D54" w:rsidRDefault="00ED1D54" w:rsidP="00ED1D54">
      <w:pPr>
        <w:pStyle w:val="StandardWeb"/>
      </w:pPr>
      <w:r>
        <w:t>Für den stärkeren Kandidaten gilt</w:t>
      </w:r>
    </w:p>
    <w:p w:rsidR="00ED1D54" w:rsidRDefault="00ED1D54" w:rsidP="00ED1D54">
      <w:pPr>
        <w:pStyle w:val="StandardWeb"/>
      </w:pPr>
      <w:r>
        <w:t>[</w:t>
      </w:r>
      <w:r>
        <w:br/>
        <w:t>A_T</w:t>
      </w:r>
      <w:r>
        <w:br/>
        <w:t>\Rightarrow</w:t>
      </w:r>
      <w:r>
        <w:br/>
        <w:t>A_T^{\min}.</w:t>
      </w:r>
      <w:r>
        <w:br/>
        <w:t>\tag{3.9770}</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A_T\Rightarrow A_T^{\min}</w:t>
      </w:r>
    </w:p>
    <w:p w:rsidR="00ED1D54" w:rsidRDefault="00ED1D54" w:rsidP="00ED1D54">
      <w:pPr>
        <w:pStyle w:val="StandardWeb"/>
      </w:pPr>
      <w:r>
        <w:t>Die Umkehrung gilt nicht:</w:t>
      </w:r>
    </w:p>
    <w:p w:rsidR="00ED1D54" w:rsidRDefault="00ED1D54" w:rsidP="00ED1D54">
      <w:pPr>
        <w:pStyle w:val="StandardWeb"/>
      </w:pPr>
      <w:r>
        <w:t>[</w:t>
      </w:r>
      <w:r>
        <w:br/>
        <w:t>A_T^{\min}</w:t>
      </w:r>
      <w:r>
        <w:br/>
        <w:t>\nRightarrow</w:t>
      </w:r>
      <w:r>
        <w:br/>
        <w:t>A_T.</w:t>
      </w:r>
      <w:r>
        <w:br/>
        <w:t>\tag{3.9771}</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A_T^{\min}\nRightarrow A_T</w:t>
      </w:r>
    </w:p>
    <w:p w:rsidR="00ED1D54" w:rsidRDefault="00ED1D54" w:rsidP="00ED1D54">
      <w:pPr>
        <w:pStyle w:val="StandardWeb"/>
      </w:pPr>
      <w:r>
        <w:t>Ein Gegenmodell ist eine Übergangsrelation, die ausschließlich Selbstübergänge enthält:</w:t>
      </w:r>
    </w:p>
    <w:p w:rsidR="00ED1D54" w:rsidRDefault="00ED1D54" w:rsidP="00ED1D54">
      <w:pPr>
        <w:pStyle w:val="berschrift1"/>
      </w:pPr>
      <w:r>
        <w:t>[</w:t>
      </w:r>
      <w:r>
        <w:br/>
        <w:t>\mathcal T_F</w:t>
      </w:r>
    </w:p>
    <w:p w:rsidR="00ED1D54" w:rsidRDefault="00ED1D54" w:rsidP="00ED1D54">
      <w:pPr>
        <w:pStyle w:val="StandardWeb"/>
      </w:pPr>
      <w:r>
        <w:t>\left{</w:t>
      </w:r>
      <w:r>
        <w:br/>
        <w:t>(z,z):</w:t>
      </w:r>
      <w:r>
        <w:br/>
        <w:t>z\in\Omega_F</w:t>
      </w:r>
      <w:r>
        <w:br/>
        <w:t>\right}.</w:t>
      </w:r>
      <w:r>
        <w:br/>
      </w:r>
      <w:r>
        <w:lastRenderedPageBreak/>
        <w:t>\tag{3.9772}</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\mathcal T_F=\left\{(z,z):z\in\Omega_F\right\}</w:t>
      </w:r>
    </w:p>
    <w:p w:rsidR="00ED1D54" w:rsidRDefault="00ED1D54" w:rsidP="00ED1D54">
      <w:pPr>
        <w:pStyle w:val="StandardWeb"/>
      </w:pPr>
      <w:r>
        <w:t>In diesem Fall gilt (A_T^{\min}), aber nicht (A_T).</w:t>
      </w:r>
    </w:p>
    <w:p w:rsidR="00ED1D54" w:rsidRDefault="00E50336" w:rsidP="00ED1D54">
      <w:r>
        <w:pict>
          <v:rect id="_x0000_i2952" style="width:0;height:1.5pt" o:hralign="center" o:hrstd="t" o:hr="t" fillcolor="#a0a0a0" stroked="f"/>
        </w:pict>
      </w:r>
    </w:p>
    <w:p w:rsidR="00ED1D54" w:rsidRDefault="00ED1D54" w:rsidP="00ED1D54">
      <w:pPr>
        <w:pStyle w:val="berschrift1"/>
      </w:pPr>
      <w:r>
        <w:t>3.3.44.70 Prüfung gegen eine vollständig leere Übergangsrelation</w:t>
      </w:r>
    </w:p>
    <w:p w:rsidR="00ED1D54" w:rsidRDefault="00ED1D54" w:rsidP="00ED1D54">
      <w:pPr>
        <w:pStyle w:val="StandardWeb"/>
      </w:pPr>
      <w:r>
        <w:t>Die entscheidende Frage lautet nun, ob</w:t>
      </w:r>
    </w:p>
    <w:p w:rsidR="00ED1D54" w:rsidRDefault="00ED1D54" w:rsidP="00ED1D54">
      <w:pPr>
        <w:pStyle w:val="StandardWeb"/>
      </w:pPr>
      <w:r>
        <w:t>[</w:t>
      </w:r>
      <w:r>
        <w:br/>
        <w:t>\mathcal T_F=\varnothing</w:t>
      </w:r>
      <w:r>
        <w:br/>
        <w:t>\tag{3.9773}</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\mathcal T_F=\varnothing</w:t>
      </w:r>
    </w:p>
    <w:p w:rsidR="00ED1D54" w:rsidRDefault="00ED1D54" w:rsidP="00ED1D54">
      <w:pPr>
        <w:pStyle w:val="StandardWeb"/>
      </w:pPr>
      <w:r>
        <w:t>mit den bisherigen Primäraxiomen vereinbar ist.</w:t>
      </w:r>
    </w:p>
    <w:p w:rsidR="00ED1D54" w:rsidRDefault="00ED1D54" w:rsidP="00ED1D54">
      <w:pPr>
        <w:pStyle w:val="StandardWeb"/>
      </w:pPr>
      <w:r>
        <w:t>Wenn dies möglich ist, wäre auch (A_T^{\min}) nicht axiomatisch unverzichtbar.</w:t>
      </w:r>
    </w:p>
    <w:p w:rsidR="00ED1D54" w:rsidRDefault="00E50336" w:rsidP="00ED1D54">
      <w:r>
        <w:pict>
          <v:rect id="_x0000_i2953" style="width:0;height:1.5pt" o:hralign="center" o:hrstd="t" o:hr="t" fillcolor="#a0a0a0" stroked="f"/>
        </w:pict>
      </w:r>
    </w:p>
    <w:p w:rsidR="00ED1D54" w:rsidRDefault="00ED1D54" w:rsidP="00ED1D54">
      <w:pPr>
        <w:pStyle w:val="berschrift1"/>
      </w:pPr>
      <w:r>
        <w:t>3.3.44.71 Konstruktion eines statischen Gegenmodells</w:t>
      </w:r>
    </w:p>
    <w:p w:rsidR="00ED1D54" w:rsidRDefault="00ED1D54" w:rsidP="00ED1D54">
      <w:pPr>
        <w:pStyle w:val="StandardWeb"/>
      </w:pPr>
      <w:r>
        <w:t>Ich betrachte erneut ein Einzustandsmodell</w:t>
      </w:r>
    </w:p>
    <w:p w:rsidR="00ED1D54" w:rsidRDefault="00ED1D54" w:rsidP="00ED1D54">
      <w:pPr>
        <w:pStyle w:val="StandardWeb"/>
      </w:pPr>
      <w:r>
        <w:t>[</w:t>
      </w:r>
      <w:r>
        <w:br/>
        <w:t>\Omega_F={z_0}.</w:t>
      </w:r>
      <w:r>
        <w:br/>
        <w:t>\tag{3.9774}</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\Omega_F=\{z_0\}</w:t>
      </w:r>
    </w:p>
    <w:p w:rsidR="00ED1D54" w:rsidRDefault="00ED1D54" w:rsidP="00ED1D54">
      <w:pPr>
        <w:pStyle w:val="StandardWeb"/>
      </w:pPr>
      <w:r>
        <w:t>Innerhalb dieses Zustandes sei eine funktional kohärente Teilstruktur vorhanden:</w:t>
      </w:r>
    </w:p>
    <w:p w:rsidR="00ED1D54" w:rsidRDefault="00ED1D54" w:rsidP="00ED1D54">
      <w:pPr>
        <w:pStyle w:val="StandardWeb"/>
      </w:pPr>
      <w:r>
        <w:t>[</w:t>
      </w:r>
      <w:r>
        <w:br/>
        <w:t>\exists\mathcal S_C\subseteq\mathcal S_F:</w:t>
      </w:r>
      <w:r>
        <w:br/>
        <w:t>R_F(\mathcal S_C)=1</w:t>
      </w:r>
      <w:r>
        <w:br/>
        <w:t>\land</w:t>
      </w:r>
      <w:r>
        <w:br/>
      </w:r>
      <w:r>
        <w:lastRenderedPageBreak/>
        <w:t>C_F(\mathcal S_C;z_0)&gt;0.</w:t>
      </w:r>
      <w:r>
        <w:br/>
        <w:t>\tag{3.9775}</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\exists\mathcal S_C\subseteq\mathcal S_F:R_F(\mathcal S_C)=1\land C_F(\mathcal S_C;z_0)&gt;0</w:t>
      </w:r>
    </w:p>
    <w:p w:rsidR="00ED1D54" w:rsidRDefault="00ED1D54" w:rsidP="00ED1D54">
      <w:pPr>
        <w:pStyle w:val="StandardWeb"/>
      </w:pPr>
      <w:r>
        <w:t>Damit erfüllt das Modell (A_C).</w:t>
      </w:r>
    </w:p>
    <w:p w:rsidR="00ED1D54" w:rsidRDefault="00ED1D54" w:rsidP="00ED1D54">
      <w:pPr>
        <w:pStyle w:val="StandardWeb"/>
      </w:pPr>
      <w:r>
        <w:t>Gleichzeitig setze ich</w:t>
      </w:r>
    </w:p>
    <w:p w:rsidR="00ED1D54" w:rsidRDefault="00ED1D54" w:rsidP="00ED1D54">
      <w:pPr>
        <w:pStyle w:val="StandardWeb"/>
      </w:pPr>
      <w:r>
        <w:t>[</w:t>
      </w:r>
      <w:r>
        <w:br/>
        <w:t>\mathcal T_F=\varnothing.</w:t>
      </w:r>
      <w:r>
        <w:br/>
        <w:t>\tag{3.9776}</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\mathcal T_F=\varnothing</w:t>
      </w:r>
    </w:p>
    <w:p w:rsidR="00ED1D54" w:rsidRDefault="00ED1D54" w:rsidP="00ED1D54">
      <w:pPr>
        <w:pStyle w:val="StandardWeb"/>
      </w:pPr>
      <w:r>
        <w:t>Dann existiert kein Zustand mit</w:t>
      </w:r>
    </w:p>
    <w:p w:rsidR="00ED1D54" w:rsidRDefault="00ED1D54" w:rsidP="00ED1D54">
      <w:pPr>
        <w:pStyle w:val="StandardWeb"/>
      </w:pPr>
      <w:r>
        <w:t>[</w:t>
      </w:r>
      <w:r>
        <w:br/>
        <w:t>\mathbb T_F(z)\neq\varnothing.</w:t>
      </w:r>
      <w:r>
        <w:br/>
        <w:t>\tag{3.9777}</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\mathbb T_F(z)\neq\varnothing</w:t>
      </w:r>
    </w:p>
    <w:p w:rsidR="00ED1D54" w:rsidRDefault="00ED1D54" w:rsidP="00ED1D54">
      <w:pPr>
        <w:pStyle w:val="StandardWeb"/>
      </w:pPr>
      <w:r>
        <w:t>Folglich gilt</w:t>
      </w:r>
    </w:p>
    <w:p w:rsidR="00ED1D54" w:rsidRDefault="00ED1D54" w:rsidP="00ED1D54">
      <w:pPr>
        <w:pStyle w:val="StandardWeb"/>
      </w:pPr>
      <w:r>
        <w:t>[</w:t>
      </w:r>
      <w:r>
        <w:br/>
        <w:t>\mathcal M_{\mathrm{stat}}</w:t>
      </w:r>
      <w:r>
        <w:br/>
        <w:t>\models A_C</w:t>
      </w:r>
      <w:r>
        <w:br/>
        <w:t>\tag{3.9778}</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\mathcal M_{\mathrm{stat}}\models A_C</w:t>
      </w:r>
    </w:p>
    <w:p w:rsidR="00ED1D54" w:rsidRDefault="00ED1D54" w:rsidP="00ED1D54">
      <w:pPr>
        <w:pStyle w:val="StandardWeb"/>
      </w:pPr>
      <w:r>
        <w:t>und zugleich</w:t>
      </w:r>
    </w:p>
    <w:p w:rsidR="00ED1D54" w:rsidRDefault="00ED1D54" w:rsidP="00ED1D54">
      <w:pPr>
        <w:pStyle w:val="StandardWeb"/>
      </w:pPr>
      <w:r>
        <w:t>[</w:t>
      </w:r>
      <w:r>
        <w:br/>
        <w:t>\mathcal M_{\mathrm{stat}}</w:t>
      </w:r>
      <w:r>
        <w:br/>
        <w:t>\not\models A_T^{\min}.</w:t>
      </w:r>
      <w:r>
        <w:br/>
        <w:t>\tag{3.9779}</w:t>
      </w:r>
      <w:r>
        <w:br/>
        <w:t>]</w:t>
      </w:r>
    </w:p>
    <w:p w:rsidR="00ED1D54" w:rsidRDefault="00ED1D54" w:rsidP="00ED1D54">
      <w:pPr>
        <w:pStyle w:val="StandardWeb"/>
      </w:pPr>
      <w:r>
        <w:rPr>
          <w:rStyle w:val="Fett"/>
        </w:rPr>
        <w:lastRenderedPageBreak/>
        <w:t>Word-LaTeX</w:t>
      </w:r>
    </w:p>
    <w:p w:rsidR="00ED1D54" w:rsidRDefault="00ED1D54" w:rsidP="00ED1D54">
      <w:pPr>
        <w:pStyle w:val="HTMLVorformatiert"/>
        <w:rPr>
          <w:rStyle w:val="HTMLCode"/>
        </w:rPr>
      </w:pPr>
      <w:r>
        <w:rPr>
          <w:rStyle w:val="HTMLCode"/>
        </w:rPr>
        <w:t>\mathcal M_{\mathrm{stat}}\not\models A_T^{\min}</w:t>
      </w:r>
    </w:p>
    <w:p w:rsidR="00ED1D54" w:rsidRDefault="00E50336" w:rsidP="00ED1D54">
      <w:r>
        <w:pict>
          <v:rect id="_x0000_i2954" style="width:0;height:1.5pt" o:hralign="center" o:hrstd="t" o:hr="t" fillcolor="#a0a0a0" stroked="f"/>
        </w:pict>
      </w:r>
    </w:p>
    <w:p w:rsidR="00ED1D54" w:rsidRDefault="00ED1D54" w:rsidP="00ED1D54">
      <w:pPr>
        <w:pStyle w:val="berschrift1"/>
      </w:pPr>
      <w:r>
        <w:t>3.3.44.72 Konsequenz des Gegenmodells</w:t>
      </w:r>
    </w:p>
    <w:p w:rsidR="00ED1D54" w:rsidRDefault="00ED1D54" w:rsidP="00ED1D54">
      <w:pPr>
        <w:pStyle w:val="StandardWeb"/>
      </w:pPr>
      <w:r>
        <w:t>Damit ist gezeigt:</w:t>
      </w:r>
    </w:p>
    <w:p w:rsidR="00ED1D54" w:rsidRDefault="00ED1D54" w:rsidP="00ED1D54">
      <w:pPr>
        <w:pStyle w:val="StandardWeb"/>
      </w:pPr>
      <w:r>
        <w:t>[</w:t>
      </w:r>
      <w:r>
        <w:br/>
        <w:t>\boxed{</w:t>
      </w:r>
      <w:r>
        <w:br/>
        <w:t>A_C</w:t>
      </w:r>
      <w:r>
        <w:br/>
        <w:t>\nRightarrow</w:t>
      </w:r>
      <w:r>
        <w:br/>
        <w:t>A_T^{\min}.</w:t>
      </w:r>
      <w:r>
        <w:br/>
        <w:t>}</w:t>
      </w:r>
      <w:r>
        <w:br/>
        <w:t>\tag{3.9780}</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\boxed{A_C\nRightarrow A_T^{\min}.}</w:t>
      </w:r>
    </w:p>
    <w:p w:rsidR="00ED1D54" w:rsidRDefault="00ED1D54" w:rsidP="00ED1D54">
      <w:pPr>
        <w:pStyle w:val="StandardWeb"/>
      </w:pPr>
      <w:r>
        <w:t>Auch die schwächere Übergangsexistenz folgt also nicht aus dem bereits bestätigten Kohärenzprimäraxiom.</w:t>
      </w:r>
    </w:p>
    <w:p w:rsidR="00ED1D54" w:rsidRDefault="00E50336" w:rsidP="00ED1D54">
      <w:r>
        <w:pict>
          <v:rect id="_x0000_i2955" style="width:0;height:1.5pt" o:hralign="center" o:hrstd="t" o:hr="t" fillcolor="#a0a0a0" stroked="f"/>
        </w:pict>
      </w:r>
    </w:p>
    <w:p w:rsidR="00ED1D54" w:rsidRDefault="00ED1D54" w:rsidP="00ED1D54">
      <w:pPr>
        <w:pStyle w:val="berschrift1"/>
      </w:pPr>
      <w:r>
        <w:t>3.3.44.73 Prüfung auf axiomatische Unverzichtbarkeit</w:t>
      </w:r>
    </w:p>
    <w:p w:rsidR="00ED1D54" w:rsidRDefault="00ED1D54" w:rsidP="00ED1D54">
      <w:pPr>
        <w:pStyle w:val="StandardWeb"/>
      </w:pPr>
      <w:r>
        <w:t>Nun wende ich Definition 3.3.79 auf (A_T^{\min}) an.</w:t>
      </w:r>
    </w:p>
    <w:p w:rsidR="00ED1D54" w:rsidRDefault="00ED1D54" w:rsidP="00ED1D54">
      <w:pPr>
        <w:pStyle w:val="StandardWeb"/>
      </w:pPr>
      <w:r>
        <w:t>Gesucht ist</w:t>
      </w:r>
    </w:p>
    <w:p w:rsidR="00ED1D54" w:rsidRDefault="00ED1D54" w:rsidP="00ED1D54">
      <w:pPr>
        <w:pStyle w:val="StandardWeb"/>
      </w:pPr>
      <w:r>
        <w:t>[</w:t>
      </w:r>
      <w:r>
        <w:br/>
        <w:t>U_{\mathrm{Ax}}</w:t>
      </w:r>
      <w:r>
        <w:br/>
        <w:t>\left(</w:t>
      </w:r>
      <w:r>
        <w:br/>
        <w:t>A_T^{\min}</w:t>
      </w:r>
      <w:r>
        <w:br/>
        <w:t>\right).</w:t>
      </w:r>
      <w:r>
        <w:br/>
        <w:t>\tag{3.9781}</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U_{\mathrm{Ax}}\left(A_T^{\min}\right)</w:t>
      </w:r>
    </w:p>
    <w:p w:rsidR="00ED1D54" w:rsidRDefault="00ED1D54" w:rsidP="00ED1D54">
      <w:pPr>
        <w:pStyle w:val="StandardWeb"/>
      </w:pPr>
      <w:r>
        <w:t>Für axiomatische Unverzichtbarkeit müsste gelten</w:t>
      </w:r>
    </w:p>
    <w:p w:rsidR="00ED1D54" w:rsidRDefault="00ED1D54" w:rsidP="00ED1D54">
      <w:pPr>
        <w:pStyle w:val="berschrift1"/>
      </w:pPr>
      <w:r>
        <w:t>[</w:t>
      </w:r>
      <w:r>
        <w:br/>
        <w:t>U_{\mathrm{Ax}}</w:t>
      </w:r>
      <w:r>
        <w:br/>
      </w:r>
      <w:r>
        <w:lastRenderedPageBreak/>
        <w:t>\left(</w:t>
      </w:r>
      <w:r>
        <w:br/>
        <w:t>A_T^{\min}</w:t>
      </w:r>
      <w:r>
        <w:br/>
        <w:t>\right)</w:t>
      </w:r>
    </w:p>
    <w:p w:rsidR="00ED1D54" w:rsidRDefault="00ED1D54" w:rsidP="00152216">
      <w:pPr>
        <w:numPr>
          <w:ilvl w:val="0"/>
          <w:numId w:val="451"/>
        </w:numPr>
        <w:spacing w:before="100" w:beforeAutospacing="1" w:after="100" w:afterAutospacing="1"/>
      </w:pPr>
    </w:p>
    <w:p w:rsidR="00ED1D54" w:rsidRDefault="00ED1D54" w:rsidP="00ED1D54">
      <w:pPr>
        <w:pStyle w:val="StandardWeb"/>
      </w:pPr>
      <w:r>
        <w:t>\tag{3.9782}</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U_{\mathrm{Ax}}\left(A_T^{\min}\right)=1</w:t>
      </w:r>
    </w:p>
    <w:p w:rsidR="00ED1D54" w:rsidRDefault="00ED1D54" w:rsidP="00ED1D54">
      <w:pPr>
        <w:pStyle w:val="StandardWeb"/>
      </w:pPr>
      <w:r>
        <w:t>Das zuvor konstruierte Modell zeigt jedoch, dass die bisherige Kohärenzstruktur auch ohne (A_T^{\min}) konsistent beschrieben werden kann.</w:t>
      </w:r>
    </w:p>
    <w:p w:rsidR="00ED1D54" w:rsidRDefault="00ED1D54" w:rsidP="00ED1D54">
      <w:pPr>
        <w:pStyle w:val="StandardWeb"/>
      </w:pPr>
      <w:r>
        <w:t>Daher ergibt sich</w:t>
      </w:r>
    </w:p>
    <w:p w:rsidR="00ED1D54" w:rsidRDefault="00ED1D54" w:rsidP="00ED1D54">
      <w:pPr>
        <w:pStyle w:val="berschrift1"/>
      </w:pPr>
      <w:r>
        <w:t>[</w:t>
      </w:r>
      <w:r>
        <w:br/>
        <w:t>U_{\mathrm{Ax}}</w:t>
      </w:r>
      <w:r>
        <w:br/>
        <w:t>\left(</w:t>
      </w:r>
      <w:r>
        <w:br/>
        <w:t>A_T^{\min}</w:t>
      </w:r>
      <w:r>
        <w:br/>
        <w:t>\right)</w:t>
      </w:r>
    </w:p>
    <w:p w:rsidR="00ED1D54" w:rsidRDefault="00ED1D54" w:rsidP="00152216">
      <w:pPr>
        <w:numPr>
          <w:ilvl w:val="0"/>
          <w:numId w:val="452"/>
        </w:numPr>
        <w:spacing w:before="100" w:beforeAutospacing="1" w:after="100" w:afterAutospacing="1"/>
      </w:pPr>
    </w:p>
    <w:p w:rsidR="00ED1D54" w:rsidRDefault="00ED1D54" w:rsidP="00ED1D54">
      <w:pPr>
        <w:pStyle w:val="StandardWeb"/>
      </w:pPr>
      <w:r>
        <w:t>\tag{3.9783}</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U_{\mathrm{Ax}}\left(A_T^{\min}\right)=0</w:t>
      </w:r>
    </w:p>
    <w:p w:rsidR="00ED1D54" w:rsidRDefault="00E50336" w:rsidP="00ED1D54">
      <w:r>
        <w:pict>
          <v:rect id="_x0000_i2956" style="width:0;height:1.5pt" o:hralign="center" o:hrstd="t" o:hr="t" fillcolor="#a0a0a0" stroked="f"/>
        </w:pict>
      </w:r>
    </w:p>
    <w:p w:rsidR="00ED1D54" w:rsidRDefault="00ED1D54" w:rsidP="00ED1D54">
      <w:pPr>
        <w:pStyle w:val="berschrift1"/>
      </w:pPr>
      <w:r>
        <w:t>3.3.44.74 Kein Primäraxiomstatus für (A_T^{\min})</w:t>
      </w:r>
    </w:p>
    <w:p w:rsidR="00ED1D54" w:rsidRDefault="00ED1D54" w:rsidP="00ED1D54">
      <w:pPr>
        <w:pStyle w:val="StandardWeb"/>
      </w:pPr>
      <w:r>
        <w:t>Aus Gleichung (3.9783) folgt</w:t>
      </w:r>
    </w:p>
    <w:p w:rsidR="00ED1D54" w:rsidRDefault="00ED1D54" w:rsidP="00ED1D54">
      <w:pPr>
        <w:pStyle w:val="StandardWeb"/>
      </w:pPr>
      <w:r>
        <w:t>[</w:t>
      </w:r>
      <w:r>
        <w:br/>
        <w:t>\boxed{</w:t>
      </w:r>
      <w:r>
        <w:br/>
        <w:t>A_T^{\min}</w:t>
      </w:r>
      <w:r>
        <w:br/>
        <w:t>\text{ ist nicht axiomatisch unverzichtbar.}</w:t>
      </w:r>
      <w:r>
        <w:br/>
        <w:t>}</w:t>
      </w:r>
      <w:r>
        <w:br/>
      </w:r>
      <w:r>
        <w:lastRenderedPageBreak/>
        <w:t>\tag{3.9784}</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\boxed{A_T^{\min}\text{ ist nicht axiomatisch unverzichtbar.}}</w:t>
      </w:r>
    </w:p>
    <w:p w:rsidR="00ED1D54" w:rsidRDefault="00ED1D54" w:rsidP="00ED1D54">
      <w:pPr>
        <w:pStyle w:val="StandardWeb"/>
      </w:pPr>
      <w:r>
        <w:t>Damit kann auch der schwächere Kandidat nicht als Primäraxiom begründet werden.</w:t>
      </w:r>
    </w:p>
    <w:p w:rsidR="00ED1D54" w:rsidRDefault="00E50336" w:rsidP="00ED1D54">
      <w:r>
        <w:pict>
          <v:rect id="_x0000_i2957" style="width:0;height:1.5pt" o:hralign="center" o:hrstd="t" o:hr="t" fillcolor="#a0a0a0" stroked="f"/>
        </w:pict>
      </w:r>
    </w:p>
    <w:p w:rsidR="00ED1D54" w:rsidRDefault="00ED1D54" w:rsidP="00ED1D54">
      <w:pPr>
        <w:pStyle w:val="berschrift1"/>
      </w:pPr>
      <w:r>
        <w:t>3.3.44.75 Status von (A_T^{\min})</w:t>
      </w:r>
    </w:p>
    <w:p w:rsidR="00ED1D54" w:rsidRDefault="00ED1D54" w:rsidP="00ED1D54">
      <w:pPr>
        <w:pStyle w:val="StandardWeb"/>
      </w:pPr>
      <w:r>
        <w:t>Sein wissenschaftlicher Status lautet daher</w:t>
      </w:r>
    </w:p>
    <w:p w:rsidR="00ED1D54" w:rsidRDefault="00ED1D54" w:rsidP="00ED1D54">
      <w:pPr>
        <w:pStyle w:val="berschrift1"/>
      </w:pPr>
      <w:r>
        <w:t>[</w:t>
      </w:r>
      <w:r>
        <w:br/>
        <w:t>\boxed{</w:t>
      </w:r>
      <w:r>
        <w:br/>
        <w:t>\operatorname{Stat}</w:t>
      </w:r>
      <w:r>
        <w:br/>
        <w:t>\left(</w:t>
      </w:r>
      <w:r>
        <w:br/>
        <w:t>A_T^{\min}</w:t>
      </w:r>
      <w:r>
        <w:br/>
        <w:t>\right)</w:t>
      </w:r>
    </w:p>
    <w:p w:rsidR="00ED1D54" w:rsidRDefault="00ED1D54" w:rsidP="00ED1D54">
      <w:pPr>
        <w:pStyle w:val="StandardWeb"/>
      </w:pPr>
      <w:r>
        <w:t>\mathrm{Mod}.</w:t>
      </w:r>
      <w:r>
        <w:br/>
        <w:t>}</w:t>
      </w:r>
      <w:r>
        <w:br/>
        <w:t>\tag{3.9785}</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\boxed{\operatorname{Stat}\left(A_T^{\min}\right)=\mathrm{Mod}.}</w:t>
      </w:r>
    </w:p>
    <w:p w:rsidR="00ED1D54" w:rsidRDefault="00ED1D54" w:rsidP="00ED1D54">
      <w:pPr>
        <w:pStyle w:val="StandardWeb"/>
      </w:pPr>
      <w:r>
        <w:t>Die Existenz wenigstens einer Übergangsmöglichkeit ist damit eine zusätzliche Eigenschaft bestimmter FRZK-Modelle, nicht Bestandteil der minimalen Primäraxiomatik.</w:t>
      </w:r>
    </w:p>
    <w:p w:rsidR="00ED1D54" w:rsidRDefault="00E50336" w:rsidP="00ED1D54">
      <w:r>
        <w:pict>
          <v:rect id="_x0000_i2958" style="width:0;height:1.5pt" o:hralign="center" o:hrstd="t" o:hr="t" fillcolor="#a0a0a0" stroked="f"/>
        </w:pict>
      </w:r>
    </w:p>
    <w:p w:rsidR="00ED1D54" w:rsidRDefault="00ED1D54" w:rsidP="00ED1D54">
      <w:pPr>
        <w:pStyle w:val="berschrift1"/>
      </w:pPr>
      <w:r>
        <w:t>3.3.44.76 Konsequenz für die Übergangsrelation</w:t>
      </w:r>
    </w:p>
    <w:p w:rsidR="00ED1D54" w:rsidRDefault="00ED1D54" w:rsidP="00ED1D54">
      <w:pPr>
        <w:pStyle w:val="StandardWeb"/>
      </w:pPr>
      <w:r>
        <w:t>Die allgemeine Übergangsrelation</w:t>
      </w:r>
    </w:p>
    <w:p w:rsidR="00ED1D54" w:rsidRDefault="00ED1D54" w:rsidP="00ED1D54">
      <w:pPr>
        <w:pStyle w:val="StandardWeb"/>
      </w:pPr>
      <w:r>
        <w:t>[</w:t>
      </w:r>
      <w:r>
        <w:br/>
        <w:t>\mathcal T_F</w:t>
      </w:r>
      <w:r>
        <w:br/>
        <w:t>\subseteq</w:t>
      </w:r>
      <w:r>
        <w:br/>
        <w:t>\Omega_F\times\Omega_F</w:t>
      </w:r>
      <w:r>
        <w:br/>
        <w:t>\tag{3.9786}</w:t>
      </w:r>
      <w:r>
        <w:br/>
        <w:t>]</w:t>
      </w:r>
    </w:p>
    <w:p w:rsidR="00ED1D54" w:rsidRDefault="00ED1D54" w:rsidP="00ED1D54">
      <w:pPr>
        <w:pStyle w:val="StandardWeb"/>
      </w:pPr>
      <w:r>
        <w:rPr>
          <w:rStyle w:val="Fett"/>
        </w:rPr>
        <w:lastRenderedPageBreak/>
        <w:t>Word-LaTeX</w:t>
      </w:r>
    </w:p>
    <w:p w:rsidR="00ED1D54" w:rsidRDefault="00ED1D54" w:rsidP="00ED1D54">
      <w:pPr>
        <w:pStyle w:val="HTMLVorformatiert"/>
        <w:rPr>
          <w:rStyle w:val="HTMLCode"/>
        </w:rPr>
      </w:pPr>
      <w:r>
        <w:rPr>
          <w:rStyle w:val="HTMLCode"/>
        </w:rPr>
        <w:t>\mathcal T_F\subseteq\Omega_F\times\Omega_F</w:t>
      </w:r>
    </w:p>
    <w:p w:rsidR="00ED1D54" w:rsidRDefault="00ED1D54" w:rsidP="00ED1D54">
      <w:pPr>
        <w:pStyle w:val="StandardWeb"/>
      </w:pPr>
      <w:r>
        <w:t>bleibt definitorisch zulässig, auch wenn</w:t>
      </w:r>
    </w:p>
    <w:p w:rsidR="00ED1D54" w:rsidRDefault="00ED1D54" w:rsidP="00ED1D54">
      <w:pPr>
        <w:pStyle w:val="StandardWeb"/>
      </w:pPr>
      <w:r>
        <w:t>[</w:t>
      </w:r>
      <w:r>
        <w:br/>
        <w:t>\mathcal T_F=\varnothing.</w:t>
      </w:r>
      <w:r>
        <w:br/>
        <w:t>\tag{3.9787}</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\mathcal T_F=\varnothing</w:t>
      </w:r>
    </w:p>
    <w:p w:rsidR="00ED1D54" w:rsidRDefault="00ED1D54" w:rsidP="00ED1D54">
      <w:pPr>
        <w:pStyle w:val="StandardWeb"/>
      </w:pPr>
      <w:r>
        <w:t>Damit muss die Definition einer theoretischen Relation erneut klar von einer Existenzbehauptung unterschieden werden:</w:t>
      </w:r>
    </w:p>
    <w:p w:rsidR="00ED1D54" w:rsidRDefault="00ED1D54" w:rsidP="00ED1D54">
      <w:pPr>
        <w:pStyle w:val="StandardWeb"/>
      </w:pPr>
      <w:r>
        <w:t>[</w:t>
      </w:r>
      <w:r>
        <w:br/>
        <w:t>\boxed{</w:t>
      </w:r>
      <w:r>
        <w:br/>
        <w:t>\operatorname{Def}</w:t>
      </w:r>
      <w:r>
        <w:br/>
        <w:t>\left(</w:t>
      </w:r>
      <w:r>
        <w:br/>
        <w:t>\mathcal T_F</w:t>
      </w:r>
      <w:r>
        <w:br/>
        <w:t>\right)</w:t>
      </w:r>
      <w:r>
        <w:br/>
        <w:t>\nRightarrow</w:t>
      </w:r>
      <w:r>
        <w:br/>
        <w:t>\operatorname{Exist}</w:t>
      </w:r>
      <w:r>
        <w:br/>
        <w:t>\left(</w:t>
      </w:r>
      <w:r>
        <w:br/>
        <w:t>(z_i,z_j)\in\mathcal T_F</w:t>
      </w:r>
      <w:r>
        <w:br/>
        <w:t>\right).</w:t>
      </w:r>
      <w:r>
        <w:br/>
        <w:t>}</w:t>
      </w:r>
      <w:r>
        <w:br/>
        <w:t>\tag{3.9788}</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\boxed{\operatorname{Def}\left(\mathcal T_F\right)\nRightarrow\operatorname{Exist}\left((z_i,z_j)\in\mathcal T_F\right).}</w:t>
      </w:r>
    </w:p>
    <w:p w:rsidR="00ED1D54" w:rsidRDefault="00E50336" w:rsidP="00ED1D54">
      <w:r>
        <w:pict>
          <v:rect id="_x0000_i2959" style="width:0;height:1.5pt" o:hralign="center" o:hrstd="t" o:hr="t" fillcolor="#a0a0a0" stroked="f"/>
        </w:pict>
      </w:r>
    </w:p>
    <w:p w:rsidR="00ED1D54" w:rsidRDefault="00ED1D54" w:rsidP="00ED1D54">
      <w:pPr>
        <w:pStyle w:val="berschrift1"/>
      </w:pPr>
      <w:r>
        <w:t>3.3.44.77 Definition 3.3.83 – Übergangsleeres FRZK-Modell</w:t>
      </w:r>
    </w:p>
    <w:p w:rsidR="00ED1D54" w:rsidRDefault="00ED1D54" w:rsidP="00ED1D54">
      <w:pPr>
        <w:pStyle w:val="berschrift3"/>
      </w:pPr>
      <w:r>
        <w:t>Definition 3.3.83</w:t>
      </w:r>
    </w:p>
    <w:p w:rsidR="00ED1D54" w:rsidRDefault="00ED1D54" w:rsidP="00ED1D54">
      <w:pPr>
        <w:pStyle w:val="StandardWeb"/>
      </w:pPr>
      <w:r>
        <w:t xml:space="preserve">Ein FRZK-Modell heißt </w:t>
      </w:r>
      <w:r>
        <w:rPr>
          <w:rStyle w:val="Fett"/>
        </w:rPr>
        <w:t>übergangsleer</w:t>
      </w:r>
      <w:r>
        <w:t>, wenn seine funktionale Übergangsrelation leer ist:</w:t>
      </w:r>
    </w:p>
    <w:p w:rsidR="00ED1D54" w:rsidRDefault="00ED1D54" w:rsidP="00ED1D54">
      <w:pPr>
        <w:pStyle w:val="berschrift1"/>
      </w:pPr>
      <w:r>
        <w:t>[</w:t>
      </w:r>
      <w:r>
        <w:br/>
        <w:t>\mathcal M</w:t>
      </w:r>
      <w:r>
        <w:br/>
      </w:r>
      <w:r>
        <w:lastRenderedPageBreak/>
        <w:t>\in</w:t>
      </w:r>
      <w:r>
        <w:br/>
        <w:t>\mathfrak M_F^{\varnothing T}</w:t>
      </w:r>
      <w:r>
        <w:br/>
        <w:t>\Longleftrightarrow</w:t>
      </w:r>
      <w:r>
        <w:br/>
        <w:t>\mathcal T_F^{(\mathcal M)}</w:t>
      </w:r>
    </w:p>
    <w:p w:rsidR="00ED1D54" w:rsidRDefault="00ED1D54" w:rsidP="00ED1D54">
      <w:pPr>
        <w:pStyle w:val="StandardWeb"/>
      </w:pPr>
      <w:r>
        <w:t>\varnothing.</w:t>
      </w:r>
      <w:r>
        <w:br/>
        <w:t>\tag{3.9789}</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\mathcal M\in\mathfrak M_F^{\varnothing T}\Longleftrightarrow\mathcal T_F^{(\mathcal M)}=\varnothing</w:t>
      </w:r>
    </w:p>
    <w:p w:rsidR="00ED1D54" w:rsidRDefault="00ED1D54" w:rsidP="00ED1D54">
      <w:pPr>
        <w:pStyle w:val="StandardWeb"/>
      </w:pPr>
      <w:r>
        <w:t>Diese Definition beschreibt eine Modellklasse und behauptet nicht, dass ein solches Modell physikalisch realisiert sein muss.</w:t>
      </w:r>
    </w:p>
    <w:p w:rsidR="00ED1D54" w:rsidRDefault="00E50336" w:rsidP="00ED1D54">
      <w:r>
        <w:pict>
          <v:rect id="_x0000_i2960" style="width:0;height:1.5pt" o:hralign="center" o:hrstd="t" o:hr="t" fillcolor="#a0a0a0" stroked="f"/>
        </w:pict>
      </w:r>
    </w:p>
    <w:p w:rsidR="00ED1D54" w:rsidRDefault="00ED1D54" w:rsidP="00ED1D54">
      <w:pPr>
        <w:pStyle w:val="berschrift1"/>
      </w:pPr>
      <w:r>
        <w:t>3.3.44.78 Nichtleere Übergangsmodelle</w:t>
      </w:r>
    </w:p>
    <w:p w:rsidR="00ED1D54" w:rsidRDefault="00ED1D54" w:rsidP="00ED1D54">
      <w:pPr>
        <w:pStyle w:val="StandardWeb"/>
      </w:pPr>
      <w:r>
        <w:t>Komplementär definiere ich</w:t>
      </w:r>
    </w:p>
    <w:p w:rsidR="00ED1D54" w:rsidRDefault="00ED1D54" w:rsidP="00ED1D54">
      <w:pPr>
        <w:pStyle w:val="berschrift1"/>
      </w:pPr>
      <w:r>
        <w:t>[</w:t>
      </w:r>
      <w:r>
        <w:br/>
        <w:t>\mathfrak M_F^{T+}</w:t>
      </w:r>
    </w:p>
    <w:p w:rsidR="00ED1D54" w:rsidRDefault="00ED1D54" w:rsidP="00ED1D54">
      <w:pPr>
        <w:pStyle w:val="StandardWeb"/>
      </w:pPr>
      <w:r>
        <w:t>\left{</w:t>
      </w:r>
      <w:r>
        <w:br/>
        <w:t>\mathcal M\in\mathfrak M_{\mathrm{FRZK}}:</w:t>
      </w:r>
      <w:r>
        <w:br/>
        <w:t>\mathcal T_F^{(\mathcal M)}</w:t>
      </w:r>
      <w:r>
        <w:br/>
        <w:t>\neq</w:t>
      </w:r>
      <w:r>
        <w:br/>
        <w:t>\varnothing</w:t>
      </w:r>
      <w:r>
        <w:br/>
        <w:t>\right}.</w:t>
      </w:r>
      <w:r>
        <w:br/>
        <w:t>\tag{3.9790}</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\mathfrak M_F^{T+}=\left\{\mathcal M\in\mathfrak M_{\mathrm{FRZK}}:\mathcal T_F^{(\mathcal M)}\neq\varnothing\right\}</w:t>
      </w:r>
    </w:p>
    <w:p w:rsidR="00ED1D54" w:rsidRDefault="00ED1D54" w:rsidP="00ED1D54">
      <w:pPr>
        <w:pStyle w:val="StandardWeb"/>
      </w:pPr>
      <w:r>
        <w:t>Damit kann die gesamte Modellklasse mindestens konzeptionell zerlegt werden in</w:t>
      </w:r>
    </w:p>
    <w:p w:rsidR="00ED1D54" w:rsidRDefault="00ED1D54" w:rsidP="00ED1D54">
      <w:pPr>
        <w:pStyle w:val="berschrift1"/>
      </w:pPr>
      <w:r>
        <w:t>[</w:t>
      </w:r>
      <w:r>
        <w:br/>
        <w:t>\mathfrak M_{\mathrm{FRZK}}</w:t>
      </w:r>
    </w:p>
    <w:p w:rsidR="00ED1D54" w:rsidRDefault="00ED1D54" w:rsidP="00ED1D54">
      <w:pPr>
        <w:pStyle w:val="StandardWeb"/>
      </w:pPr>
      <w:r>
        <w:lastRenderedPageBreak/>
        <w:t>\mathfrak M_F^{\varnothing T}</w:t>
      </w:r>
      <w:r>
        <w:br/>
        <w:t>\cup</w:t>
      </w:r>
      <w:r>
        <w:br/>
        <w:t>\mathfrak M_F^{T+}.</w:t>
      </w:r>
      <w:r>
        <w:br/>
        <w:t>\tag{3.9791}</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\mathfrak M_{\mathrm{FRZK}}=\mathfrak M_F^{\varnothing T}\cup\mathfrak M_F^{T+}</w:t>
      </w:r>
    </w:p>
    <w:p w:rsidR="00ED1D54" w:rsidRDefault="00ED1D54" w:rsidP="00ED1D54">
      <w:pPr>
        <w:pStyle w:val="StandardWeb"/>
      </w:pPr>
      <w:r>
        <w:t>sofern beide Teilklassen im jeweiligen Theoriestand zugelassen werden.</w:t>
      </w:r>
    </w:p>
    <w:p w:rsidR="00ED1D54" w:rsidRDefault="00E50336" w:rsidP="00ED1D54">
      <w:r>
        <w:pict>
          <v:rect id="_x0000_i2961" style="width:0;height:1.5pt" o:hralign="center" o:hrstd="t" o:hr="t" fillcolor="#a0a0a0" stroked="f"/>
        </w:pict>
      </w:r>
    </w:p>
    <w:p w:rsidR="00ED1D54" w:rsidRDefault="00ED1D54" w:rsidP="00ED1D54">
      <w:pPr>
        <w:pStyle w:val="berschrift1"/>
      </w:pPr>
      <w:r>
        <w:t>3.3.44.79 Übergangsstruktur als Modellmerkmal</w:t>
      </w:r>
    </w:p>
    <w:p w:rsidR="00ED1D54" w:rsidRDefault="00ED1D54" w:rsidP="00ED1D54">
      <w:pPr>
        <w:pStyle w:val="StandardWeb"/>
      </w:pPr>
      <w:r>
        <w:t>Damit lässt sich die Übergangsstruktur eines Modells durch eine Eigenschaft</w:t>
      </w:r>
    </w:p>
    <w:p w:rsidR="00ED1D54" w:rsidRDefault="00ED1D54" w:rsidP="00ED1D54">
      <w:pPr>
        <w:pStyle w:val="StandardWeb"/>
      </w:pPr>
      <w:r>
        <w:t>[</w:t>
      </w:r>
      <w:r>
        <w:br/>
        <w:t>\chi_T(\mathcal M)</w:t>
      </w:r>
      <w:r>
        <w:br/>
        <w:t>\in</w:t>
      </w:r>
      <w:r>
        <w:br/>
        <w:t>{0,1}</w:t>
      </w:r>
      <w:r>
        <w:br/>
        <w:t>\tag{3.9792}</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\chi_T(\mathcal M)\in\{0,1\}</w:t>
      </w:r>
    </w:p>
    <w:p w:rsidR="00ED1D54" w:rsidRDefault="00ED1D54" w:rsidP="00ED1D54">
      <w:pPr>
        <w:pStyle w:val="StandardWeb"/>
      </w:pPr>
      <w:r>
        <w:t>kennzeichnen.</w:t>
      </w:r>
    </w:p>
    <w:p w:rsidR="00ED1D54" w:rsidRDefault="00ED1D54" w:rsidP="00ED1D54">
      <w:pPr>
        <w:pStyle w:val="StandardWeb"/>
      </w:pPr>
      <w:r>
        <w:t>Ich setze</w:t>
      </w:r>
    </w:p>
    <w:p w:rsidR="00ED1D54" w:rsidRDefault="00ED1D54" w:rsidP="00ED1D54">
      <w:pPr>
        <w:pStyle w:val="StandardWeb"/>
      </w:pPr>
      <w:r>
        <w:t>[</w:t>
      </w:r>
      <w:r>
        <w:br/>
        <w:t>\chi_T(\mathcal M)=1</w:t>
      </w:r>
      <w:r>
        <w:br/>
        <w:t>\Longleftrightarrow</w:t>
      </w:r>
      <w:r>
        <w:br/>
        <w:t>\mathcal T_F^{(\mathcal M)}</w:t>
      </w:r>
      <w:r>
        <w:br/>
        <w:t>\neq</w:t>
      </w:r>
      <w:r>
        <w:br/>
        <w:t>\varnothing.</w:t>
      </w:r>
      <w:r>
        <w:br/>
        <w:t>\tag{3.9793}</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\chi_T(\mathcal M)=1\Longleftrightarrow\mathcal T_F^{(\mathcal M)}\neq\varnothing</w:t>
      </w:r>
    </w:p>
    <w:p w:rsidR="00ED1D54" w:rsidRDefault="00ED1D54" w:rsidP="00ED1D54">
      <w:pPr>
        <w:pStyle w:val="StandardWeb"/>
      </w:pPr>
      <w:r>
        <w:t>und entsprechend</w:t>
      </w:r>
    </w:p>
    <w:p w:rsidR="00ED1D54" w:rsidRDefault="00ED1D54" w:rsidP="00ED1D54">
      <w:pPr>
        <w:pStyle w:val="berschrift1"/>
      </w:pPr>
      <w:r>
        <w:lastRenderedPageBreak/>
        <w:t>[</w:t>
      </w:r>
      <w:r>
        <w:br/>
        <w:t>\chi_T(\mathcal M)=0</w:t>
      </w:r>
      <w:r>
        <w:br/>
        <w:t>\Longleftrightarrow</w:t>
      </w:r>
      <w:r>
        <w:br/>
        <w:t>\mathcal T_F^{(\mathcal M)}</w:t>
      </w:r>
    </w:p>
    <w:p w:rsidR="00ED1D54" w:rsidRDefault="00ED1D54" w:rsidP="00ED1D54">
      <w:pPr>
        <w:pStyle w:val="StandardWeb"/>
      </w:pPr>
      <w:r>
        <w:t>\varnothing.</w:t>
      </w:r>
      <w:r>
        <w:br/>
        <w:t>\tag{3.9794}</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\chi_T(\mathcal M)=0\Longleftrightarrow\mathcal T_F^{(\mathcal M)}=\varnothing</w:t>
      </w:r>
    </w:p>
    <w:p w:rsidR="00ED1D54" w:rsidRDefault="00E50336" w:rsidP="00ED1D54">
      <w:r>
        <w:pict>
          <v:rect id="_x0000_i2962" style="width:0;height:1.5pt" o:hralign="center" o:hrstd="t" o:hr="t" fillcolor="#a0a0a0" stroked="f"/>
        </w:pict>
      </w:r>
    </w:p>
    <w:p w:rsidR="00ED1D54" w:rsidRDefault="00ED1D54" w:rsidP="00ED1D54">
      <w:pPr>
        <w:pStyle w:val="berschrift1"/>
      </w:pPr>
      <w:r>
        <w:t>3.3.44.80 Definition 3.3.84 – Übergangsstrukturindikator</w:t>
      </w:r>
    </w:p>
    <w:p w:rsidR="00ED1D54" w:rsidRDefault="00ED1D54" w:rsidP="00ED1D54">
      <w:pPr>
        <w:pStyle w:val="berschrift3"/>
      </w:pPr>
      <w:r>
        <w:t>Definition 3.3.84</w:t>
      </w:r>
    </w:p>
    <w:p w:rsidR="00ED1D54" w:rsidRDefault="00ED1D54" w:rsidP="00ED1D54">
      <w:pPr>
        <w:pStyle w:val="StandardWeb"/>
      </w:pPr>
      <w:r>
        <w:t xml:space="preserve">Der </w:t>
      </w:r>
      <w:r>
        <w:rPr>
          <w:rStyle w:val="Fett"/>
        </w:rPr>
        <w:t>Übergangsstrukturindikator</w:t>
      </w:r>
      <w:r>
        <w:t xml:space="preserve"> eines Modells ist definiert als</w:t>
      </w:r>
    </w:p>
    <w:p w:rsidR="00ED1D54" w:rsidRDefault="00ED1D54" w:rsidP="00ED1D54">
      <w:pPr>
        <w:pStyle w:val="StandardWeb"/>
      </w:pPr>
      <w:r>
        <w:t>[</w:t>
      </w:r>
      <w:r>
        <w:br/>
        <w:t>\chi_T:</w:t>
      </w:r>
      <w:r>
        <w:br/>
        <w:t>\mathfrak M_{\mathrm{FRZK}}</w:t>
      </w:r>
      <w:r>
        <w:br/>
        <w:t>\rightarrow</w:t>
      </w:r>
      <w:r>
        <w:br/>
        <w:t>{0,1},</w:t>
      </w:r>
      <w:r>
        <w:br/>
        <w:t>\tag{3.9795}</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\chi_T:\mathfrak M_{\mathrm{FRZK}}\rightarrow\{0,1\}</w:t>
      </w:r>
    </w:p>
    <w:p w:rsidR="00ED1D54" w:rsidRDefault="00ED1D54" w:rsidP="00ED1D54">
      <w:pPr>
        <w:pStyle w:val="StandardWeb"/>
      </w:pPr>
      <w:r>
        <w:t>mit</w:t>
      </w:r>
    </w:p>
    <w:p w:rsidR="00ED1D54" w:rsidRDefault="00ED1D54" w:rsidP="00ED1D54">
      <w:pPr>
        <w:pStyle w:val="berschrift1"/>
      </w:pPr>
      <w:r>
        <w:t>[</w:t>
      </w:r>
      <w:r>
        <w:br/>
        <w:t>\chi_T(\mathcal M)</w:t>
      </w:r>
    </w:p>
    <w:p w:rsidR="00ED1D54" w:rsidRDefault="00ED1D54" w:rsidP="00ED1D54">
      <w:pPr>
        <w:pStyle w:val="StandardWeb"/>
      </w:pPr>
      <w:r>
        <w:t>\begin{cases}</w:t>
      </w:r>
      <w:r>
        <w:br/>
        <w:t>1,</w:t>
      </w:r>
      <w:r>
        <w:br/>
        <w:t>&amp;</w:t>
      </w:r>
      <w:r>
        <w:br/>
        <w:t>\mathcal T_F^{(\mathcal M)}\neq\varnothing,</w:t>
      </w:r>
      <w:r>
        <w:br/>
        <w:t>\[4pt]</w:t>
      </w:r>
      <w:r>
        <w:br/>
        <w:t>0,</w:t>
      </w:r>
      <w:r>
        <w:br/>
        <w:t>&amp;</w:t>
      </w:r>
      <w:r>
        <w:br/>
      </w:r>
      <w:r>
        <w:lastRenderedPageBreak/>
        <w:t>\mathcal T_F^{(\mathcal M)}=\varnothing.</w:t>
      </w:r>
      <w:r>
        <w:br/>
        <w:t>\end{cases}</w:t>
      </w:r>
      <w:r>
        <w:br/>
        <w:t>\tag{3.9796}</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\chi_T(\mathcal M)=\begin{cases}1,&amp;\mathcal T_F^{(\mathcal M)}\neq\varnothing,\\0,&amp;\mathcal T_F^{(\mathcal M)}=\varnothing.\end{cases}</w:t>
      </w:r>
    </w:p>
    <w:p w:rsidR="00ED1D54" w:rsidRDefault="00ED1D54" w:rsidP="00ED1D54">
      <w:pPr>
        <w:pStyle w:val="StandardWeb"/>
      </w:pPr>
      <w:r>
        <w:t>Der Indikator ist ein Klassifikationswerkzeug und kein physikalisches Primäraxiom.</w:t>
      </w:r>
    </w:p>
    <w:p w:rsidR="00ED1D54" w:rsidRDefault="00E50336" w:rsidP="00ED1D54">
      <w:r>
        <w:pict>
          <v:rect id="_x0000_i2963" style="width:0;height:1.5pt" o:hralign="center" o:hrstd="t" o:hr="t" fillcolor="#a0a0a0" stroked="f"/>
        </w:pict>
      </w:r>
    </w:p>
    <w:p w:rsidR="00ED1D54" w:rsidRDefault="00ED1D54" w:rsidP="00ED1D54">
      <w:pPr>
        <w:pStyle w:val="berschrift1"/>
      </w:pPr>
      <w:r>
        <w:t>3.3.44.81 Drei Übergangsklassen</w:t>
      </w:r>
    </w:p>
    <w:p w:rsidR="00ED1D54" w:rsidRDefault="00ED1D54" w:rsidP="00ED1D54">
      <w:pPr>
        <w:pStyle w:val="StandardWeb"/>
      </w:pPr>
      <w:r>
        <w:t>Die bisherigen Unterscheidungen erlauben nun drei Modellklassen:</w:t>
      </w:r>
    </w:p>
    <w:p w:rsidR="00ED1D54" w:rsidRDefault="00ED1D54" w:rsidP="00ED1D54">
      <w:pPr>
        <w:pStyle w:val="StandardWeb"/>
      </w:pPr>
      <w:r>
        <w:t>[</w:t>
      </w:r>
      <w:r>
        <w:br/>
        <w:t>\mathfrak M_F^{\varnothing T},</w:t>
      </w:r>
      <w:r>
        <w:br/>
        <w:t>\tag{3.9797}</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\mathfrak M_F^{\varnothing T}</w:t>
      </w:r>
    </w:p>
    <w:p w:rsidR="00ED1D54" w:rsidRDefault="00ED1D54" w:rsidP="00ED1D54">
      <w:pPr>
        <w:pStyle w:val="StandardWeb"/>
      </w:pPr>
      <w:r>
        <w:t>[</w:t>
      </w:r>
      <w:r>
        <w:br/>
        <w:t>\mathfrak M_F^{\mathrm{self}},</w:t>
      </w:r>
      <w:r>
        <w:br/>
        <w:t>\tag{3.9798}</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\mathfrak M_F^{\mathrm{self}}</w:t>
      </w:r>
    </w:p>
    <w:p w:rsidR="00ED1D54" w:rsidRDefault="00ED1D54" w:rsidP="00ED1D54">
      <w:pPr>
        <w:pStyle w:val="StandardWeb"/>
      </w:pPr>
      <w:r>
        <w:t>und</w:t>
      </w:r>
    </w:p>
    <w:p w:rsidR="00ED1D54" w:rsidRDefault="00ED1D54" w:rsidP="00ED1D54">
      <w:pPr>
        <w:pStyle w:val="StandardWeb"/>
      </w:pPr>
      <w:r>
        <w:t>[</w:t>
      </w:r>
      <w:r>
        <w:br/>
        <w:t>\mathfrak M_F^{\mathrm{dyn}}.</w:t>
      </w:r>
      <w:r>
        <w:br/>
        <w:t>\tag{3.9799}</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\mathfrak M_F^{\mathrm{dyn}}</w:t>
      </w:r>
    </w:p>
    <w:p w:rsidR="00ED1D54" w:rsidRDefault="00ED1D54" w:rsidP="00ED1D54">
      <w:pPr>
        <w:pStyle w:val="StandardWeb"/>
      </w:pPr>
      <w:r>
        <w:t>Dabei bezeichnet (\mathfrak M_F^{\varnothing T}) übergangsleere Modelle, (\mathfrak M_F^{\mathrm{self}}) Modelle mit ausschließlich Selbstübergängen und (\mathfrak M_F^{\mathrm{dyn}}) Modelle mit mindestens einem nichttrivialen Übergang.</w:t>
      </w:r>
    </w:p>
    <w:p w:rsidR="00ED1D54" w:rsidRDefault="00E50336" w:rsidP="00ED1D54">
      <w:r>
        <w:pict>
          <v:rect id="_x0000_i2964" style="width:0;height:1.5pt" o:hralign="center" o:hrstd="t" o:hr="t" fillcolor="#a0a0a0" stroked="f"/>
        </w:pict>
      </w:r>
    </w:p>
    <w:p w:rsidR="00ED1D54" w:rsidRDefault="00ED1D54" w:rsidP="00ED1D54">
      <w:pPr>
        <w:pStyle w:val="berschrift1"/>
      </w:pPr>
      <w:r>
        <w:lastRenderedPageBreak/>
        <w:t>3.3.44.82 Definition 3.3.85 – Selbstübergangsmodell</w:t>
      </w:r>
    </w:p>
    <w:p w:rsidR="00ED1D54" w:rsidRDefault="00ED1D54" w:rsidP="00ED1D54">
      <w:pPr>
        <w:pStyle w:val="berschrift3"/>
      </w:pPr>
      <w:r>
        <w:t>Definition 3.3.85</w:t>
      </w:r>
    </w:p>
    <w:p w:rsidR="00ED1D54" w:rsidRDefault="00ED1D54" w:rsidP="00ED1D54">
      <w:pPr>
        <w:pStyle w:val="StandardWeb"/>
      </w:pPr>
      <w:r>
        <w:t xml:space="preserve">Ein FRZK-Modell heißt </w:t>
      </w:r>
      <w:r>
        <w:rPr>
          <w:rStyle w:val="Fett"/>
        </w:rPr>
        <w:t>Selbstübergangsmodell</w:t>
      </w:r>
      <w:r>
        <w:t>, wenn seine Übergangsrelation nicht leer ist, aber ausschließlich Selbstübergänge enthält:</w:t>
      </w:r>
    </w:p>
    <w:p w:rsidR="00ED1D54" w:rsidRDefault="00ED1D54" w:rsidP="00ED1D54">
      <w:pPr>
        <w:pStyle w:val="StandardWeb"/>
      </w:pPr>
      <w:r>
        <w:t>[</w:t>
      </w:r>
      <w:r>
        <w:br/>
        <w:t>\mathcal M\in\mathfrak M_F^{\mathrm{self}}</w:t>
      </w:r>
      <w:r>
        <w:br/>
        <w:t>\Longleftrightarrow</w:t>
      </w:r>
      <w:r>
        <w:br/>
        <w:t>\left[</w:t>
      </w:r>
      <w:r>
        <w:br/>
        <w:t>\mathcal T_F^{(\mathcal M)}</w:t>
      </w:r>
      <w:r>
        <w:br/>
        <w:t>\neq</w:t>
      </w:r>
      <w:r>
        <w:br/>
        <w:t>\varnothing</w:t>
      </w:r>
      <w:r>
        <w:br/>
        <w:t>\right]</w:t>
      </w:r>
      <w:r>
        <w:br/>
        <w:t>\land</w:t>
      </w:r>
      <w:r>
        <w:br/>
        <w:t>\left[</w:t>
      </w:r>
      <w:r>
        <w:br/>
        <w:t>\forall(z_i,z_j)\in\mathcal T_F^{(\mathcal M)}:</w:t>
      </w:r>
      <w:r>
        <w:br/>
        <w:t>z_i=z_j</w:t>
      </w:r>
      <w:r>
        <w:br/>
        <w:t>\right].</w:t>
      </w:r>
      <w:r>
        <w:br/>
        <w:t>\tag{3.9800}</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\mathcal M\in\mathfrak M_F^{\mathrm{self}}\Longleftrightarrow\left[\mathcal T_F^{(\mathcal M)}\neq\varnothing\right]\land\left[\forall(z_i,z_j)\in\mathcal T_F^{(\mathcal M)}:z_i=z_j\right]</w:t>
      </w:r>
    </w:p>
    <w:p w:rsidR="00ED1D54" w:rsidRDefault="00E50336" w:rsidP="00ED1D54">
      <w:r>
        <w:pict>
          <v:rect id="_x0000_i2965" style="width:0;height:1.5pt" o:hralign="center" o:hrstd="t" o:hr="t" fillcolor="#a0a0a0" stroked="f"/>
        </w:pict>
      </w:r>
    </w:p>
    <w:p w:rsidR="00ED1D54" w:rsidRDefault="00ED1D54" w:rsidP="00ED1D54">
      <w:pPr>
        <w:pStyle w:val="berschrift1"/>
      </w:pPr>
      <w:r>
        <w:t>3.3.44.83 Hierarchie der Übergangsklassen</w:t>
      </w:r>
    </w:p>
    <w:p w:rsidR="00ED1D54" w:rsidRDefault="00ED1D54" w:rsidP="00ED1D54">
      <w:pPr>
        <w:pStyle w:val="StandardWeb"/>
      </w:pPr>
      <w:r>
        <w:t>Die drei Klassen lassen sich durch die Stärke ihrer Übergangsstruktur ordnen:</w:t>
      </w:r>
    </w:p>
    <w:p w:rsidR="00ED1D54" w:rsidRDefault="00ED1D54" w:rsidP="00ED1D54">
      <w:pPr>
        <w:pStyle w:val="StandardWeb"/>
      </w:pPr>
      <w:r>
        <w:t>[</w:t>
      </w:r>
      <w:r>
        <w:br/>
        <w:t>\mathfrak M_F^{\varnothing T}</w:t>
      </w:r>
      <w:r>
        <w:br/>
        <w:t>\prec</w:t>
      </w:r>
      <w:r>
        <w:br/>
        <w:t>\mathfrak M_F^{\mathrm{self}}</w:t>
      </w:r>
      <w:r>
        <w:br/>
        <w:t>\prec</w:t>
      </w:r>
      <w:r>
        <w:br/>
        <w:t>\mathfrak M_F^{\mathrm{dyn}}.</w:t>
      </w:r>
      <w:r>
        <w:br/>
        <w:t>\tag{3.9801}</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\mathfrak M_F^{\varnothing T}\prec\mathfrak M_F^{\mathrm{self}}\prec\mathfrak M_F^{\mathrm{dyn}}</w:t>
      </w:r>
    </w:p>
    <w:p w:rsidR="00ED1D54" w:rsidRDefault="00ED1D54" w:rsidP="00ED1D54">
      <w:pPr>
        <w:pStyle w:val="StandardWeb"/>
      </w:pPr>
      <w:r>
        <w:t>Das Symbol (\prec) bezeichnet hier keine physikalische Rangordnung, sondern lediglich eine zunehmende strukturelle Stärke der zugelassenen Übergänge.</w:t>
      </w:r>
    </w:p>
    <w:p w:rsidR="00ED1D54" w:rsidRDefault="00E50336" w:rsidP="00ED1D54">
      <w:r>
        <w:lastRenderedPageBreak/>
        <w:pict>
          <v:rect id="_x0000_i2966" style="width:0;height:1.5pt" o:hralign="center" o:hrstd="t" o:hr="t" fillcolor="#a0a0a0" stroked="f"/>
        </w:pict>
      </w:r>
    </w:p>
    <w:p w:rsidR="00ED1D54" w:rsidRDefault="00ED1D54" w:rsidP="00ED1D54">
      <w:pPr>
        <w:pStyle w:val="berschrift1"/>
      </w:pPr>
      <w:r>
        <w:t>3.3.44.84 Übergangsstruktur und Kohärenzstruktur sind unabhängig</w:t>
      </w:r>
    </w:p>
    <w:p w:rsidR="00ED1D54" w:rsidRDefault="00ED1D54" w:rsidP="00ED1D54">
      <w:pPr>
        <w:pStyle w:val="StandardWeb"/>
      </w:pPr>
      <w:r>
        <w:t>Ein wesentliches Ergebnis lautet nun, dass die Existenz funktionaler Kohärenz und die Existenz funktionaler Übergänge unterschiedliche theoretische Dimensionen darstellen.</w:t>
      </w:r>
    </w:p>
    <w:p w:rsidR="00ED1D54" w:rsidRDefault="00ED1D54" w:rsidP="00ED1D54">
      <w:pPr>
        <w:pStyle w:val="StandardWeb"/>
      </w:pPr>
      <w:r>
        <w:t>Es kann gelten</w:t>
      </w:r>
    </w:p>
    <w:p w:rsidR="00ED1D54" w:rsidRDefault="00ED1D54" w:rsidP="00ED1D54">
      <w:pPr>
        <w:pStyle w:val="StandardWeb"/>
      </w:pPr>
      <w:r>
        <w:t>[</w:t>
      </w:r>
      <w:r>
        <w:br/>
        <w:t>C_F&gt;0</w:t>
      </w:r>
      <w:r>
        <w:br/>
        <w:t>\tag{3.9802}</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C_F&gt;0</w:t>
      </w:r>
    </w:p>
    <w:p w:rsidR="00ED1D54" w:rsidRDefault="00ED1D54" w:rsidP="00ED1D54">
      <w:pPr>
        <w:pStyle w:val="StandardWeb"/>
      </w:pPr>
      <w:r>
        <w:t>und gleichzeitig</w:t>
      </w:r>
    </w:p>
    <w:p w:rsidR="00ED1D54" w:rsidRDefault="00ED1D54" w:rsidP="00ED1D54">
      <w:pPr>
        <w:pStyle w:val="StandardWeb"/>
      </w:pPr>
      <w:r>
        <w:t>[</w:t>
      </w:r>
      <w:r>
        <w:br/>
        <w:t>\mathcal T_F=\varnothing.</w:t>
      </w:r>
      <w:r>
        <w:br/>
        <w:t>\tag{3.9803}</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\mathcal T_F=\varnothing</w:t>
      </w:r>
    </w:p>
    <w:p w:rsidR="00ED1D54" w:rsidRDefault="00ED1D54" w:rsidP="00ED1D54">
      <w:pPr>
        <w:pStyle w:val="StandardWeb"/>
      </w:pPr>
      <w:r>
        <w:t>Ebenso kann eine nichtleere Übergangsrelation formal existieren, ohne dass daraus bereits positive funktionale Kohärenz folgt.</w:t>
      </w:r>
    </w:p>
    <w:p w:rsidR="00ED1D54" w:rsidRDefault="00ED1D54" w:rsidP="00ED1D54">
      <w:pPr>
        <w:pStyle w:val="StandardWeb"/>
      </w:pPr>
      <w:r>
        <w:t>Damit gilt</w:t>
      </w:r>
    </w:p>
    <w:p w:rsidR="00ED1D54" w:rsidRDefault="00ED1D54" w:rsidP="00ED1D54">
      <w:pPr>
        <w:pStyle w:val="StandardWeb"/>
      </w:pPr>
      <w:r>
        <w:t>[</w:t>
      </w:r>
      <w:r>
        <w:br/>
        <w:t>\boxed{</w:t>
      </w:r>
      <w:r>
        <w:br/>
        <w:t>\text{Kohärenzexistenz}</w:t>
      </w:r>
      <w:r>
        <w:br/>
        <w:t>\not\equiv</w:t>
      </w:r>
      <w:r>
        <w:br/>
        <w:t>\text{Übergangsexistenz}.</w:t>
      </w:r>
      <w:r>
        <w:br/>
        <w:t>}</w:t>
      </w:r>
      <w:r>
        <w:br/>
        <w:t>\tag{3.9804}</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\boxed{\text{Kohärenzexistenz}\not\equiv\text{Übergangsexistenz}.}</w:t>
      </w:r>
    </w:p>
    <w:p w:rsidR="00ED1D54" w:rsidRDefault="00E50336" w:rsidP="00ED1D54">
      <w:r>
        <w:pict>
          <v:rect id="_x0000_i2967" style="width:0;height:1.5pt" o:hralign="center" o:hrstd="t" o:hr="t" fillcolor="#a0a0a0" stroked="f"/>
        </w:pict>
      </w:r>
    </w:p>
    <w:p w:rsidR="00ED1D54" w:rsidRDefault="00ED1D54" w:rsidP="00ED1D54">
      <w:pPr>
        <w:pStyle w:val="berschrift1"/>
      </w:pPr>
      <w:r>
        <w:t>3.3.44.85 Zweidimensionale Modellklassifikation</w:t>
      </w:r>
    </w:p>
    <w:p w:rsidR="00ED1D54" w:rsidRDefault="00ED1D54" w:rsidP="00ED1D54">
      <w:pPr>
        <w:pStyle w:val="StandardWeb"/>
      </w:pPr>
      <w:r>
        <w:lastRenderedPageBreak/>
        <w:t>Aus dieser Unabhängigkeit ergibt sich eine zweidimensionale Klassifikation nach Kohärenz und Übergangsstruktur.</w:t>
      </w:r>
    </w:p>
    <w:p w:rsidR="00ED1D54" w:rsidRDefault="00ED1D54" w:rsidP="00ED1D54">
      <w:pPr>
        <w:pStyle w:val="StandardWeb"/>
      </w:pPr>
      <w:r>
        <w:t>Ich führe die beiden binären Merkmale</w:t>
      </w:r>
    </w:p>
    <w:p w:rsidR="00ED1D54" w:rsidRDefault="00ED1D54" w:rsidP="00ED1D54">
      <w:pPr>
        <w:pStyle w:val="StandardWeb"/>
      </w:pPr>
      <w:r>
        <w:t>[</w:t>
      </w:r>
      <w:r>
        <w:br/>
        <w:t>\chi_C(\mathcal M)</w:t>
      </w:r>
      <w:r>
        <w:br/>
        <w:t>\in</w:t>
      </w:r>
      <w:r>
        <w:br/>
        <w:t>{0,1}</w:t>
      </w:r>
      <w:r>
        <w:br/>
        <w:t>\tag{3.9805}</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\chi_C(\mathcal M)\in\{0,1\}</w:t>
      </w:r>
    </w:p>
    <w:p w:rsidR="00ED1D54" w:rsidRDefault="00ED1D54" w:rsidP="00ED1D54">
      <w:pPr>
        <w:pStyle w:val="StandardWeb"/>
      </w:pPr>
      <w:r>
        <w:t>und</w:t>
      </w:r>
    </w:p>
    <w:p w:rsidR="00ED1D54" w:rsidRDefault="00ED1D54" w:rsidP="00ED1D54">
      <w:pPr>
        <w:pStyle w:val="StandardWeb"/>
      </w:pPr>
      <w:r>
        <w:t>[</w:t>
      </w:r>
      <w:r>
        <w:br/>
        <w:t>\chi_T(\mathcal M)</w:t>
      </w:r>
      <w:r>
        <w:br/>
        <w:t>\in</w:t>
      </w:r>
      <w:r>
        <w:br/>
        <w:t>{0,1}</w:t>
      </w:r>
      <w:r>
        <w:br/>
        <w:t>\tag{3.9806}</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\chi_T(\mathcal M)\in\{0,1\}</w:t>
      </w:r>
    </w:p>
    <w:p w:rsidR="00ED1D54" w:rsidRDefault="00ED1D54" w:rsidP="00ED1D54">
      <w:pPr>
        <w:pStyle w:val="StandardWeb"/>
      </w:pPr>
      <w:r>
        <w:t>ein.</w:t>
      </w:r>
    </w:p>
    <w:p w:rsidR="00ED1D54" w:rsidRDefault="00ED1D54" w:rsidP="00ED1D54">
      <w:pPr>
        <w:pStyle w:val="StandardWeb"/>
      </w:pPr>
      <w:r>
        <w:t>Für FRZK-Modelle, die das bereits bestätigte Primäraxiom (A_C) erfüllen, gilt</w:t>
      </w:r>
    </w:p>
    <w:p w:rsidR="00ED1D54" w:rsidRDefault="00ED1D54" w:rsidP="00ED1D54">
      <w:pPr>
        <w:pStyle w:val="StandardWeb"/>
      </w:pPr>
      <w:r>
        <w:t>[</w:t>
      </w:r>
      <w:r>
        <w:br/>
        <w:t>\chi_C(\mathcal M)=1.</w:t>
      </w:r>
      <w:r>
        <w:br/>
        <w:t>\tag{3.9807}</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\chi_C(\mathcal M)=1</w:t>
      </w:r>
    </w:p>
    <w:p w:rsidR="00ED1D54" w:rsidRDefault="00ED1D54" w:rsidP="00ED1D54">
      <w:pPr>
        <w:pStyle w:val="StandardWeb"/>
      </w:pPr>
      <w:r>
        <w:t>Der Übergangsindikator (\chi_T) kann dagegen weiterhin (0) oder (1) sein.</w:t>
      </w:r>
    </w:p>
    <w:p w:rsidR="00ED1D54" w:rsidRDefault="00E50336" w:rsidP="00ED1D54">
      <w:r>
        <w:pict>
          <v:rect id="_x0000_i2968" style="width:0;height:1.5pt" o:hralign="center" o:hrstd="t" o:hr="t" fillcolor="#a0a0a0" stroked="f"/>
        </w:pict>
      </w:r>
    </w:p>
    <w:p w:rsidR="00ED1D54" w:rsidRDefault="00ED1D54" w:rsidP="00ED1D54">
      <w:pPr>
        <w:pStyle w:val="berschrift1"/>
      </w:pPr>
      <w:r>
        <w:t>3.3.44.86 Zulässige Kombinationen</w:t>
      </w:r>
    </w:p>
    <w:p w:rsidR="00ED1D54" w:rsidRDefault="00ED1D54" w:rsidP="00ED1D54">
      <w:pPr>
        <w:pStyle w:val="StandardWeb"/>
      </w:pPr>
      <w:r>
        <w:t>Damit sind innerhalb der bisherigen Theorie mindestens die Kombinationen</w:t>
      </w:r>
    </w:p>
    <w:p w:rsidR="00ED1D54" w:rsidRDefault="00ED1D54" w:rsidP="00ED1D54">
      <w:pPr>
        <w:pStyle w:val="berschrift1"/>
      </w:pPr>
      <w:r>
        <w:lastRenderedPageBreak/>
        <w:t>[</w:t>
      </w:r>
      <w:r>
        <w:br/>
        <w:t>(\chi_C,\chi_T)</w:t>
      </w:r>
    </w:p>
    <w:p w:rsidR="00ED1D54" w:rsidRDefault="00ED1D54" w:rsidP="00ED1D54">
      <w:pPr>
        <w:pStyle w:val="StandardWeb"/>
      </w:pPr>
      <w:r>
        <w:t>(1,0)</w:t>
      </w:r>
      <w:r>
        <w:br/>
        <w:t>\tag{3.9808}</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(\chi_C,\chi_T)=(1,0)</w:t>
      </w:r>
    </w:p>
    <w:p w:rsidR="00ED1D54" w:rsidRDefault="00ED1D54" w:rsidP="00ED1D54">
      <w:pPr>
        <w:pStyle w:val="StandardWeb"/>
      </w:pPr>
      <w:r>
        <w:t>und</w:t>
      </w:r>
    </w:p>
    <w:p w:rsidR="00ED1D54" w:rsidRDefault="00ED1D54" w:rsidP="00ED1D54">
      <w:pPr>
        <w:pStyle w:val="berschrift1"/>
      </w:pPr>
      <w:r>
        <w:t>[</w:t>
      </w:r>
      <w:r>
        <w:br/>
        <w:t>(\chi_C,\chi_T)</w:t>
      </w:r>
    </w:p>
    <w:p w:rsidR="00ED1D54" w:rsidRDefault="00ED1D54" w:rsidP="00ED1D54">
      <w:pPr>
        <w:pStyle w:val="StandardWeb"/>
      </w:pPr>
      <w:r>
        <w:t>(1,1)</w:t>
      </w:r>
      <w:r>
        <w:br/>
        <w:t>\tag{3.9809}</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(\chi_C,\chi_T)=(1,1)</w:t>
      </w:r>
    </w:p>
    <w:p w:rsidR="00ED1D54" w:rsidRDefault="00ED1D54" w:rsidP="00ED1D54">
      <w:pPr>
        <w:pStyle w:val="StandardWeb"/>
      </w:pPr>
      <w:r>
        <w:t>zulässig.</w:t>
      </w:r>
    </w:p>
    <w:p w:rsidR="00ED1D54" w:rsidRDefault="00ED1D54" w:rsidP="00ED1D54">
      <w:pPr>
        <w:pStyle w:val="StandardWeb"/>
      </w:pPr>
      <w:r>
        <w:t>Die erste beschreibt ein kohärentes, aber übergangsleeres Modell. Die zweite beschreibt ein kohärentes Modell mit Übergangsstruktur.</w:t>
      </w:r>
    </w:p>
    <w:p w:rsidR="00ED1D54" w:rsidRDefault="00E50336" w:rsidP="00ED1D54">
      <w:r>
        <w:pict>
          <v:rect id="_x0000_i2969" style="width:0;height:1.5pt" o:hralign="center" o:hrstd="t" o:hr="t" fillcolor="#a0a0a0" stroked="f"/>
        </w:pict>
      </w:r>
    </w:p>
    <w:p w:rsidR="00ED1D54" w:rsidRDefault="00ED1D54" w:rsidP="00ED1D54">
      <w:pPr>
        <w:pStyle w:val="berschrift1"/>
      </w:pPr>
      <w:r>
        <w:t>3.3.44.87 Dynamik ist damit kein Bestandteil von (A_C)</w:t>
      </w:r>
    </w:p>
    <w:p w:rsidR="00ED1D54" w:rsidRDefault="00ED1D54" w:rsidP="00ED1D54">
      <w:pPr>
        <w:pStyle w:val="StandardWeb"/>
      </w:pPr>
      <w:r>
        <w:t>Daraus folgt erneut</w:t>
      </w:r>
    </w:p>
    <w:p w:rsidR="00ED1D54" w:rsidRDefault="00ED1D54" w:rsidP="00ED1D54">
      <w:pPr>
        <w:pStyle w:val="StandardWeb"/>
      </w:pPr>
      <w:r>
        <w:t>[</w:t>
      </w:r>
      <w:r>
        <w:br/>
        <w:t>\boxed{</w:t>
      </w:r>
      <w:r>
        <w:br/>
        <w:t>A_C</w:t>
      </w:r>
      <w:r>
        <w:br/>
        <w:t>\nRightarrow</w:t>
      </w:r>
      <w:r>
        <w:br/>
        <w:t>\chi_T=1.</w:t>
      </w:r>
      <w:r>
        <w:br/>
        <w:t>}</w:t>
      </w:r>
      <w:r>
        <w:br/>
        <w:t>\tag{3.9810}</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lastRenderedPageBreak/>
        <w:t>\boxed{A_C\nRightarrow\chi_T=1.}</w:t>
      </w:r>
    </w:p>
    <w:p w:rsidR="00ED1D54" w:rsidRDefault="00ED1D54" w:rsidP="00ED1D54">
      <w:pPr>
        <w:pStyle w:val="StandardWeb"/>
      </w:pPr>
      <w:r>
        <w:t>Damit ist die dynamische Struktur nicht im Kohärenzprimäraxiom verborgen.</w:t>
      </w:r>
    </w:p>
    <w:p w:rsidR="00ED1D54" w:rsidRDefault="00E50336" w:rsidP="00ED1D54">
      <w:r>
        <w:pict>
          <v:rect id="_x0000_i2970" style="width:0;height:1.5pt" o:hralign="center" o:hrstd="t" o:hr="t" fillcolor="#a0a0a0" stroked="f"/>
        </w:pict>
      </w:r>
    </w:p>
    <w:p w:rsidR="00ED1D54" w:rsidRDefault="00ED1D54" w:rsidP="00ED1D54">
      <w:pPr>
        <w:pStyle w:val="berschrift1"/>
      </w:pPr>
      <w:r>
        <w:t>3.3.44.88 Keine verdeckte Dynamikannahme</w:t>
      </w:r>
    </w:p>
    <w:p w:rsidR="00ED1D54" w:rsidRDefault="00ED1D54" w:rsidP="00ED1D54">
      <w:pPr>
        <w:pStyle w:val="StandardWeb"/>
      </w:pPr>
      <w:r>
        <w:t>Die Prüfung zeigt ebenfalls, dass die bisherigen Definitionen von Zustandsraum, Kohärenz und funktionaler Struktur keine verdeckte Forderung einer zeitlichen Entwicklung enthalten.</w:t>
      </w:r>
    </w:p>
    <w:p w:rsidR="00ED1D54" w:rsidRDefault="00ED1D54" w:rsidP="00ED1D54">
      <w:pPr>
        <w:pStyle w:val="StandardWeb"/>
      </w:pPr>
      <w:r>
        <w:t>Formal:</w:t>
      </w:r>
    </w:p>
    <w:p w:rsidR="00ED1D54" w:rsidRDefault="00ED1D54" w:rsidP="00ED1D54">
      <w:pPr>
        <w:pStyle w:val="berschrift1"/>
      </w:pPr>
      <w:r>
        <w:t>[</w:t>
      </w:r>
      <w:r>
        <w:br/>
        <w:t>H_{\mathrm{Ax}}</w:t>
      </w:r>
      <w:r>
        <w:br/>
        <w:t>\left(</w:t>
      </w:r>
      <w:r>
        <w:br/>
        <w:t>A_T^{\min}</w:t>
      </w:r>
      <w:r>
        <w:br/>
        <w:t>\right)</w:t>
      </w:r>
    </w:p>
    <w:p w:rsidR="00ED1D54" w:rsidRDefault="00ED1D54" w:rsidP="00152216">
      <w:pPr>
        <w:numPr>
          <w:ilvl w:val="0"/>
          <w:numId w:val="453"/>
        </w:numPr>
        <w:spacing w:before="100" w:beforeAutospacing="1" w:after="100" w:afterAutospacing="1"/>
      </w:pPr>
    </w:p>
    <w:p w:rsidR="00ED1D54" w:rsidRDefault="00ED1D54" w:rsidP="00ED1D54">
      <w:pPr>
        <w:pStyle w:val="StandardWeb"/>
      </w:pPr>
      <w:r>
        <w:t>\tag{3.9811}</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H_{\mathrm{Ax}}\left(A_T^{\min}\right)=0</w:t>
      </w:r>
    </w:p>
    <w:p w:rsidR="00ED1D54" w:rsidRDefault="00ED1D54" w:rsidP="00ED1D54">
      <w:pPr>
        <w:pStyle w:val="StandardWeb"/>
      </w:pPr>
      <w:r>
        <w:t>Damit liegt auch kein verdecktes Primäraxiom in der schwächeren Übergangsforderung vor.</w:t>
      </w:r>
    </w:p>
    <w:p w:rsidR="00ED1D54" w:rsidRDefault="00E50336" w:rsidP="00ED1D54">
      <w:r>
        <w:pict>
          <v:rect id="_x0000_i2971" style="width:0;height:1.5pt" o:hralign="center" o:hrstd="t" o:hr="t" fillcolor="#a0a0a0" stroked="f"/>
        </w:pict>
      </w:r>
    </w:p>
    <w:p w:rsidR="00ED1D54" w:rsidRDefault="00ED1D54" w:rsidP="00ED1D54">
      <w:pPr>
        <w:pStyle w:val="berschrift1"/>
      </w:pPr>
      <w:r>
        <w:t>3.3.44.89 Ergebnis der Minimalitätsprüfung</w:t>
      </w:r>
    </w:p>
    <w:p w:rsidR="00ED1D54" w:rsidRDefault="00ED1D54" w:rsidP="00ED1D54">
      <w:pPr>
        <w:pStyle w:val="StandardWeb"/>
      </w:pPr>
      <w:r>
        <w:t>Die Prüfung beider Übergangskandidaten ergibt damit</w:t>
      </w:r>
    </w:p>
    <w:p w:rsidR="00ED1D54" w:rsidRDefault="00ED1D54" w:rsidP="00ED1D54">
      <w:pPr>
        <w:pStyle w:val="StandardWeb"/>
      </w:pPr>
      <w:r>
        <w:t>[</w:t>
      </w:r>
      <w:r>
        <w:br/>
        <w:t>\operatorname{Stat}(A_T)=\mathrm{Mod}</w:t>
      </w:r>
      <w:r>
        <w:br/>
        <w:t>\tag{3.9812}</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\operatorname{Stat}(A_T)=\mathrm{Mod}</w:t>
      </w:r>
    </w:p>
    <w:p w:rsidR="00ED1D54" w:rsidRDefault="00ED1D54" w:rsidP="00ED1D54">
      <w:pPr>
        <w:pStyle w:val="StandardWeb"/>
      </w:pPr>
      <w:r>
        <w:t>und</w:t>
      </w:r>
    </w:p>
    <w:p w:rsidR="00ED1D54" w:rsidRDefault="00ED1D54" w:rsidP="00ED1D54">
      <w:pPr>
        <w:pStyle w:val="berschrift1"/>
      </w:pPr>
      <w:r>
        <w:lastRenderedPageBreak/>
        <w:t>[</w:t>
      </w:r>
      <w:r>
        <w:br/>
        <w:t>\operatorname{Stat}</w:t>
      </w:r>
      <w:r>
        <w:br/>
        <w:t>\left(</w:t>
      </w:r>
      <w:r>
        <w:br/>
        <w:t>A_T^{\min}</w:t>
      </w:r>
      <w:r>
        <w:br/>
        <w:t>\right)</w:t>
      </w:r>
    </w:p>
    <w:p w:rsidR="00ED1D54" w:rsidRDefault="00ED1D54" w:rsidP="00ED1D54">
      <w:pPr>
        <w:pStyle w:val="StandardWeb"/>
      </w:pPr>
      <w:r>
        <w:t>\mathrm{Mod}.</w:t>
      </w:r>
      <w:r>
        <w:br/>
        <w:t>\tag{3.9813}</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\operatorname{Stat}\left(A_T^{\min}\right)=\mathrm{Mod}</w:t>
      </w:r>
    </w:p>
    <w:p w:rsidR="00ED1D54" w:rsidRDefault="00ED1D54" w:rsidP="00ED1D54">
      <w:pPr>
        <w:pStyle w:val="StandardWeb"/>
      </w:pPr>
      <w:r>
        <w:t>Damit folgt</w:t>
      </w:r>
    </w:p>
    <w:p w:rsidR="00ED1D54" w:rsidRDefault="00ED1D54" w:rsidP="00ED1D54">
      <w:pPr>
        <w:pStyle w:val="berschrift1"/>
      </w:pPr>
      <w:r>
        <w:t>[</w:t>
      </w:r>
      <w:r>
        <w:br/>
        <w:t>\boxed{</w:t>
      </w:r>
      <w:r>
        <w:br/>
        <w:t>\mathfrak A_{3.3.44}^{\mathrm{new}}</w:t>
      </w:r>
    </w:p>
    <w:p w:rsidR="00ED1D54" w:rsidRDefault="00ED1D54" w:rsidP="00ED1D54">
      <w:pPr>
        <w:pStyle w:val="StandardWeb"/>
      </w:pPr>
      <w:r>
        <w:t>\varnothing.</w:t>
      </w:r>
      <w:r>
        <w:br/>
        <w:t>}</w:t>
      </w:r>
      <w:r>
        <w:br/>
        <w:t>\tag{3.9814}</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\boxed{\mathfrak A_{3.3.44}^{\mathrm{new}}=\varnothing.}</w:t>
      </w:r>
    </w:p>
    <w:p w:rsidR="00ED1D54" w:rsidRDefault="00ED1D54" w:rsidP="00ED1D54">
      <w:pPr>
        <w:pStyle w:val="StandardWeb"/>
      </w:pPr>
      <w:r>
        <w:t xml:space="preserve">Bis zu diesem Punkt führt Abschnitt 3.3.44 also </w:t>
      </w:r>
      <w:r>
        <w:rPr>
          <w:rStyle w:val="Fett"/>
        </w:rPr>
        <w:t>kein neues Primäraxiom</w:t>
      </w:r>
      <w:r>
        <w:t xml:space="preserve"> ein.</w:t>
      </w:r>
    </w:p>
    <w:p w:rsidR="00ED1D54" w:rsidRDefault="00E50336" w:rsidP="00ED1D54">
      <w:r>
        <w:pict>
          <v:rect id="_x0000_i2972" style="width:0;height:1.5pt" o:hralign="center" o:hrstd="t" o:hr="t" fillcolor="#a0a0a0" stroked="f"/>
        </w:pict>
      </w:r>
    </w:p>
    <w:p w:rsidR="00ED1D54" w:rsidRDefault="00ED1D54" w:rsidP="00ED1D54">
      <w:pPr>
        <w:pStyle w:val="berschrift1"/>
      </w:pPr>
      <w:r>
        <w:t>3.3.44.90 Konsequenz für dynamische FRZK-Modelle</w:t>
      </w:r>
    </w:p>
    <w:p w:rsidR="00ED1D54" w:rsidRDefault="00ED1D54" w:rsidP="00ED1D54">
      <w:pPr>
        <w:pStyle w:val="StandardWeb"/>
      </w:pPr>
      <w:r>
        <w:t>Für ein dynamisches Modell kann dennoch explizit die Modellannahme</w:t>
      </w:r>
    </w:p>
    <w:p w:rsidR="00ED1D54" w:rsidRDefault="00ED1D54" w:rsidP="00ED1D54">
      <w:pPr>
        <w:pStyle w:val="StandardWeb"/>
      </w:pPr>
      <w:r>
        <w:t>[</w:t>
      </w:r>
      <w:r>
        <w:br/>
        <w:t>M_T:</w:t>
      </w:r>
      <w:r>
        <w:br/>
        <w:t>\exists z_i\neq z_j:</w:t>
      </w:r>
      <w:r>
        <w:br/>
        <w:t>(z_i,z_j)\in\mathcal T_F</w:t>
      </w:r>
      <w:r>
        <w:br/>
        <w:t>\tag{3.9815}</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lastRenderedPageBreak/>
        <w:t>M_T:\exists z_i\neq z_j:(z_i,z_j)\in\mathcal T_F</w:t>
      </w:r>
    </w:p>
    <w:p w:rsidR="00ED1D54" w:rsidRDefault="00ED1D54" w:rsidP="00ED1D54">
      <w:pPr>
        <w:pStyle w:val="StandardWeb"/>
      </w:pPr>
      <w:r>
        <w:t>verwendet werden.</w:t>
      </w:r>
    </w:p>
    <w:p w:rsidR="00ED1D54" w:rsidRDefault="00ED1D54" w:rsidP="00ED1D54">
      <w:pPr>
        <w:pStyle w:val="StandardWeb"/>
      </w:pPr>
      <w:r>
        <w:t>Damit gilt</w:t>
      </w:r>
    </w:p>
    <w:p w:rsidR="00ED1D54" w:rsidRDefault="00ED1D54" w:rsidP="00ED1D54">
      <w:pPr>
        <w:pStyle w:val="StandardWeb"/>
      </w:pPr>
      <w:r>
        <w:t>[</w:t>
      </w:r>
      <w:r>
        <w:br/>
        <w:t>\operatorname{Stat}(M_T)=\mathrm{Mod}.</w:t>
      </w:r>
      <w:r>
        <w:br/>
        <w:t>\tag{3.9816}</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\operatorname{Stat}(M_T)=\mathrm{Mod}</w:t>
      </w:r>
    </w:p>
    <w:p w:rsidR="00ED1D54" w:rsidRDefault="00ED1D54" w:rsidP="00ED1D54">
      <w:pPr>
        <w:pStyle w:val="StandardWeb"/>
      </w:pPr>
      <w:r>
        <w:t>Diese Umbenennung ist methodisch sinnvoll, weil sie verhindert, dass der bereits abgelehnte Primäraxiomkandidat (A_T) weiterhin den Eindruck eines fundamentalen Axioms erzeugt.</w:t>
      </w:r>
    </w:p>
    <w:p w:rsidR="00ED1D54" w:rsidRDefault="00E50336" w:rsidP="00ED1D54">
      <w:r>
        <w:pict>
          <v:rect id="_x0000_i2973" style="width:0;height:1.5pt" o:hralign="center" o:hrstd="t" o:hr="t" fillcolor="#a0a0a0" stroked="f"/>
        </w:pict>
      </w:r>
    </w:p>
    <w:p w:rsidR="00ED1D54" w:rsidRDefault="00ED1D54" w:rsidP="00ED1D54">
      <w:pPr>
        <w:pStyle w:val="berschrift1"/>
      </w:pPr>
      <w:r>
        <w:t>3.3.44.91 Definition 3.3.86 – Dynamische Übergangsmodellannahme</w:t>
      </w:r>
    </w:p>
    <w:p w:rsidR="00ED1D54" w:rsidRDefault="00ED1D54" w:rsidP="00ED1D54">
      <w:pPr>
        <w:pStyle w:val="berschrift3"/>
      </w:pPr>
      <w:r>
        <w:t>Definition 3.3.86</w:t>
      </w:r>
    </w:p>
    <w:p w:rsidR="00ED1D54" w:rsidRDefault="00ED1D54" w:rsidP="00ED1D54">
      <w:pPr>
        <w:pStyle w:val="StandardWeb"/>
      </w:pPr>
      <w:r>
        <w:t xml:space="preserve">Die </w:t>
      </w:r>
      <w:r>
        <w:rPr>
          <w:rStyle w:val="Fett"/>
        </w:rPr>
        <w:t>dynamische Übergangsmodellannahme</w:t>
      </w:r>
      <w:r>
        <w:t xml:space="preserve"> (M_T) fordert für ein konkretes FRZK-Modell die Existenz mindestens eines nichttrivialen funktionalen Zustandsübergangs:</w:t>
      </w:r>
    </w:p>
    <w:p w:rsidR="00ED1D54" w:rsidRDefault="00ED1D54" w:rsidP="00ED1D54">
      <w:pPr>
        <w:pStyle w:val="StandardWeb"/>
      </w:pPr>
      <w:r>
        <w:t>[</w:t>
      </w:r>
      <w:r>
        <w:br/>
        <w:t>\boxed{</w:t>
      </w:r>
      <w:r>
        <w:br/>
        <w:t>M_T:</w:t>
      </w:r>
      <w:r>
        <w:br/>
        <w:t>\exists z_i,z_j\in\Omega_F:</w:t>
      </w:r>
      <w:r>
        <w:br/>
        <w:t>z_i\neq z_j</w:t>
      </w:r>
      <w:r>
        <w:br/>
        <w:t>\land</w:t>
      </w:r>
      <w:r>
        <w:br/>
        <w:t>(z_i,z_j)\in\mathcal T_F.</w:t>
      </w:r>
      <w:r>
        <w:br/>
        <w:t>}</w:t>
      </w:r>
      <w:r>
        <w:br/>
        <w:t>\tag{3.9817}</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\boxed{M_T:\exists z_i,z_j\in\Omega_F:z_i\neq z_j\land(z_i,z_j)\in\mathcal T_F.}</w:t>
      </w:r>
    </w:p>
    <w:p w:rsidR="00ED1D54" w:rsidRDefault="00ED1D54" w:rsidP="00ED1D54">
      <w:pPr>
        <w:pStyle w:val="StandardWeb"/>
      </w:pPr>
      <w:r>
        <w:t>Diese Aussage ist ausdrücklich eine Modellannahme und kein Primäraxiom.</w:t>
      </w:r>
    </w:p>
    <w:p w:rsidR="00ED1D54" w:rsidRDefault="00E50336" w:rsidP="00ED1D54">
      <w:r>
        <w:pict>
          <v:rect id="_x0000_i2974" style="width:0;height:1.5pt" o:hralign="center" o:hrstd="t" o:hr="t" fillcolor="#a0a0a0" stroked="f"/>
        </w:pict>
      </w:r>
    </w:p>
    <w:p w:rsidR="00ED1D54" w:rsidRDefault="00ED1D54" w:rsidP="00ED1D54">
      <w:pPr>
        <w:pStyle w:val="berschrift1"/>
      </w:pPr>
      <w:r>
        <w:t>3.3.44.92 Dynamische Modellunterklasse unter (M_T)</w:t>
      </w:r>
    </w:p>
    <w:p w:rsidR="00ED1D54" w:rsidRDefault="00ED1D54" w:rsidP="00ED1D54">
      <w:pPr>
        <w:pStyle w:val="StandardWeb"/>
      </w:pPr>
      <w:r>
        <w:t>Damit definiere ich</w:t>
      </w:r>
    </w:p>
    <w:p w:rsidR="00ED1D54" w:rsidRDefault="00ED1D54" w:rsidP="00ED1D54">
      <w:pPr>
        <w:pStyle w:val="berschrift1"/>
      </w:pPr>
      <w:r>
        <w:lastRenderedPageBreak/>
        <w:t>[</w:t>
      </w:r>
      <w:r>
        <w:br/>
        <w:t>\mathfrak M_{\mathrm{FRZK}}^{(M_T)}</w:t>
      </w:r>
    </w:p>
    <w:p w:rsidR="00ED1D54" w:rsidRDefault="00ED1D54" w:rsidP="00ED1D54">
      <w:pPr>
        <w:pStyle w:val="StandardWeb"/>
      </w:pPr>
      <w:r>
        <w:t>\left{</w:t>
      </w:r>
      <w:r>
        <w:br/>
        <w:t>\mathcal M\in\mathfrak M_{\mathrm{FRZK}}:</w:t>
      </w:r>
      <w:r>
        <w:br/>
        <w:t>\mathcal M\models M_T</w:t>
      </w:r>
      <w:r>
        <w:br/>
        <w:t>\right}.</w:t>
      </w:r>
      <w:r>
        <w:br/>
        <w:t>\tag{3.9818}</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\mathfrak M_{\mathrm{FRZK}}^{(M_T)}=\left\{\mathcal M\in\mathfrak M_{\mathrm{FRZK}}:\mathcal M\models M_T\right\}</w:t>
      </w:r>
    </w:p>
    <w:p w:rsidR="00ED1D54" w:rsidRDefault="00ED1D54" w:rsidP="00ED1D54">
      <w:pPr>
        <w:pStyle w:val="StandardWeb"/>
      </w:pPr>
      <w:r>
        <w:t>Es gilt</w:t>
      </w:r>
    </w:p>
    <w:p w:rsidR="00ED1D54" w:rsidRDefault="00ED1D54" w:rsidP="00ED1D54">
      <w:pPr>
        <w:pStyle w:val="StandardWeb"/>
      </w:pPr>
      <w:r>
        <w:t>[</w:t>
      </w:r>
      <w:r>
        <w:br/>
        <w:t>\mathfrak M_{\mathrm{FRZK}}^{(M_T)}</w:t>
      </w:r>
      <w:r>
        <w:br/>
        <w:t>\subseteq</w:t>
      </w:r>
      <w:r>
        <w:br/>
        <w:t>\mathfrak M_{\mathrm{FRZK}}.</w:t>
      </w:r>
      <w:r>
        <w:br/>
        <w:t>\tag{3.9819}</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\mathfrak M_{\mathrm{FRZK}}^{(M_T)}\subseteq\mathfrak M_{\mathrm{FRZK}}</w:t>
      </w:r>
    </w:p>
    <w:p w:rsidR="00ED1D54" w:rsidRDefault="00ED1D54" w:rsidP="00ED1D54">
      <w:pPr>
        <w:pStyle w:val="StandardWeb"/>
      </w:pPr>
      <w:r>
        <w:t>Damit bleibt die bereits in 3.3.43 eingeführte Modellunterklassenregel erhalten.</w:t>
      </w:r>
    </w:p>
    <w:p w:rsidR="00ED1D54" w:rsidRDefault="00E50336" w:rsidP="00ED1D54">
      <w:r>
        <w:pict>
          <v:rect id="_x0000_i2975" style="width:0;height:1.5pt" o:hralign="center" o:hrstd="t" o:hr="t" fillcolor="#a0a0a0" stroked="f"/>
        </w:pict>
      </w:r>
    </w:p>
    <w:p w:rsidR="00ED1D54" w:rsidRDefault="00ED1D54" w:rsidP="00ED1D54">
      <w:pPr>
        <w:pStyle w:val="berschrift1"/>
      </w:pPr>
      <w:r>
        <w:t>3.3.44.93 Noch keine konkrete Dynamik</w:t>
      </w:r>
    </w:p>
    <w:p w:rsidR="00ED1D54" w:rsidRDefault="00ED1D54" w:rsidP="00ED1D54">
      <w:pPr>
        <w:pStyle w:val="StandardWeb"/>
      </w:pPr>
      <w:r>
        <w:t>Auch (M_T) legt lediglich fest, dass mindestens ein nichttrivialer Übergang existiert.</w:t>
      </w:r>
    </w:p>
    <w:p w:rsidR="00ED1D54" w:rsidRDefault="00ED1D54" w:rsidP="00ED1D54">
      <w:pPr>
        <w:pStyle w:val="StandardWeb"/>
      </w:pPr>
      <w:r>
        <w:t>Daraus folgt nicht</w:t>
      </w:r>
    </w:p>
    <w:p w:rsidR="00ED1D54" w:rsidRDefault="00ED1D54" w:rsidP="00ED1D54">
      <w:pPr>
        <w:pStyle w:val="StandardWeb"/>
      </w:pPr>
      <w:r>
        <w:t>[</w:t>
      </w:r>
      <w:r>
        <w:br/>
        <w:t>z_{n+1}=T_F(z_n),</w:t>
      </w:r>
      <w:r>
        <w:br/>
        <w:t>\tag{3.9820}</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z_{n+1}=T_F(z_n)</w:t>
      </w:r>
    </w:p>
    <w:p w:rsidR="00ED1D54" w:rsidRDefault="00ED1D54" w:rsidP="00ED1D54">
      <w:pPr>
        <w:pStyle w:val="StandardWeb"/>
      </w:pPr>
      <w:r>
        <w:t>nicht</w:t>
      </w:r>
    </w:p>
    <w:p w:rsidR="00ED1D54" w:rsidRDefault="00ED1D54" w:rsidP="00ED1D54">
      <w:pPr>
        <w:pStyle w:val="StandardWeb"/>
      </w:pPr>
      <w:r>
        <w:lastRenderedPageBreak/>
        <w:t>[</w:t>
      </w:r>
      <w:r>
        <w:br/>
        <w:t>\dot z=F(z),</w:t>
      </w:r>
      <w:r>
        <w:br/>
        <w:t>\tag{3.9821}</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\dot z=F(z)</w:t>
      </w:r>
    </w:p>
    <w:p w:rsidR="00ED1D54" w:rsidRDefault="00ED1D54" w:rsidP="00ED1D54">
      <w:pPr>
        <w:pStyle w:val="StandardWeb"/>
      </w:pPr>
      <w:r>
        <w:t>und nicht</w:t>
      </w:r>
    </w:p>
    <w:p w:rsidR="00ED1D54" w:rsidRDefault="00ED1D54" w:rsidP="00ED1D54">
      <w:pPr>
        <w:pStyle w:val="StandardWeb"/>
      </w:pPr>
      <w:r>
        <w:t>[</w:t>
      </w:r>
      <w:r>
        <w:br/>
        <w:t>P_F(z_j\mid z_i).</w:t>
      </w:r>
      <w:r>
        <w:br/>
        <w:t>\tag{3.9822}</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P_F(z_j\mid z_i)</w:t>
      </w:r>
    </w:p>
    <w:p w:rsidR="00ED1D54" w:rsidRDefault="00ED1D54" w:rsidP="00ED1D54">
      <w:pPr>
        <w:pStyle w:val="StandardWeb"/>
      </w:pPr>
      <w:r>
        <w:t>Diese Strukturen gehören jeweils zu weitergehenden Modellannahmen.</w:t>
      </w:r>
    </w:p>
    <w:p w:rsidR="00ED1D54" w:rsidRDefault="00E50336" w:rsidP="00ED1D54">
      <w:r>
        <w:pict>
          <v:rect id="_x0000_i2976" style="width:0;height:1.5pt" o:hralign="center" o:hrstd="t" o:hr="t" fillcolor="#a0a0a0" stroked="f"/>
        </w:pict>
      </w:r>
    </w:p>
    <w:p w:rsidR="00ED1D54" w:rsidRDefault="00ED1D54" w:rsidP="00ED1D54">
      <w:pPr>
        <w:pStyle w:val="berschrift1"/>
      </w:pPr>
      <w:r>
        <w:t>3.3.44.94 Hierarchie dynamischer Modellannahmen</w:t>
      </w:r>
    </w:p>
    <w:p w:rsidR="00ED1D54" w:rsidRDefault="00ED1D54" w:rsidP="00ED1D54">
      <w:pPr>
        <w:pStyle w:val="StandardWeb"/>
      </w:pPr>
      <w:r>
        <w:t>Für dynamische Modelle ergibt sich damit eine Modellhierarchie:</w:t>
      </w:r>
    </w:p>
    <w:p w:rsidR="00ED1D54" w:rsidRDefault="00ED1D54" w:rsidP="00ED1D54">
      <w:pPr>
        <w:pStyle w:val="StandardWeb"/>
      </w:pPr>
      <w:r>
        <w:t>[</w:t>
      </w:r>
      <w:r>
        <w:br/>
        <w:t>M_T</w:t>
      </w:r>
      <w:r>
        <w:br/>
        <w:t>\prec</w:t>
      </w:r>
      <w:r>
        <w:br/>
        <w:t>M_T^{\mathrm{det}}</w:t>
      </w:r>
      <w:r>
        <w:br/>
        <w:t>\prec</w:t>
      </w:r>
      <w:r>
        <w:br/>
        <w:t>M_T^{\mathrm{spec}}.</w:t>
      </w:r>
      <w:r>
        <w:br/>
        <w:t>\tag{3.9823}</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M_T\prec M_T^{\mathrm{det}}\prec M_T^{\mathrm{spec}}</w:t>
      </w:r>
    </w:p>
    <w:p w:rsidR="00ED1D54" w:rsidRDefault="00ED1D54" w:rsidP="00ED1D54">
      <w:pPr>
        <w:pStyle w:val="StandardWeb"/>
      </w:pPr>
      <w:r>
        <w:t>Dabei bezeichnet (M_T) lediglich die Existenz nichttrivialer Übergänge, (M_T^{\mathrm{det}}) eine deterministische Übergangsstruktur und (M_T^{\mathrm{spec}}) ein vollständig spezifiziertes Dynamikgesetz.</w:t>
      </w:r>
    </w:p>
    <w:p w:rsidR="00ED1D54" w:rsidRDefault="00E50336" w:rsidP="00ED1D54">
      <w:r>
        <w:pict>
          <v:rect id="_x0000_i2977" style="width:0;height:1.5pt" o:hralign="center" o:hrstd="t" o:hr="t" fillcolor="#a0a0a0" stroked="f"/>
        </w:pict>
      </w:r>
    </w:p>
    <w:p w:rsidR="00ED1D54" w:rsidRDefault="00ED1D54" w:rsidP="00ED1D54">
      <w:pPr>
        <w:pStyle w:val="berschrift1"/>
      </w:pPr>
      <w:r>
        <w:t>3.3.44.95 Definition 3.3.87 – Deterministische Übergangsmodellannahme</w:t>
      </w:r>
    </w:p>
    <w:p w:rsidR="00ED1D54" w:rsidRDefault="00ED1D54" w:rsidP="00ED1D54">
      <w:pPr>
        <w:pStyle w:val="berschrift3"/>
      </w:pPr>
      <w:r>
        <w:lastRenderedPageBreak/>
        <w:t>Definition 3.3.87</w:t>
      </w:r>
    </w:p>
    <w:p w:rsidR="00ED1D54" w:rsidRDefault="00ED1D54" w:rsidP="00ED1D54">
      <w:pPr>
        <w:pStyle w:val="StandardWeb"/>
      </w:pPr>
      <w:r>
        <w:t xml:space="preserve">Eine dynamische FRZK-Modellunterklasse heißt </w:t>
      </w:r>
      <w:r>
        <w:rPr>
          <w:rStyle w:val="Fett"/>
        </w:rPr>
        <w:t>deterministisch</w:t>
      </w:r>
      <w:r>
        <w:t>, wenn jedem zulässigen Ausgangszustand genau ein Folgezustand zugeordnet wird.</w:t>
      </w:r>
    </w:p>
    <w:p w:rsidR="00ED1D54" w:rsidRDefault="00ED1D54" w:rsidP="00ED1D54">
      <w:pPr>
        <w:pStyle w:val="StandardWeb"/>
      </w:pPr>
      <w:r>
        <w:t>Formal:</w:t>
      </w:r>
    </w:p>
    <w:p w:rsidR="00ED1D54" w:rsidRDefault="00ED1D54" w:rsidP="00ED1D54">
      <w:pPr>
        <w:pStyle w:val="StandardWeb"/>
      </w:pPr>
      <w:r>
        <w:t>[</w:t>
      </w:r>
      <w:r>
        <w:br/>
        <w:t>M_T^{\mathrm{det}}:</w:t>
      </w:r>
      <w:r>
        <w:br/>
        <w:t>\forall z_i\in\Omega_F^{\mathrm{dom}}</w:t>
      </w:r>
      <w:r>
        <w:br/>
        <w:t>;</w:t>
      </w:r>
      <w:r>
        <w:br/>
        <w:t>\exists!z_j\in\Omega_F:</w:t>
      </w:r>
      <w:r>
        <w:br/>
        <w:t>(z_i,z_j)\in\mathcal T_F.</w:t>
      </w:r>
      <w:r>
        <w:br/>
        <w:t>\tag{3.9824}</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M_T^{\mathrm{det}}:\forall z_i\in\Omega_F^{\mathrm{dom}}\;\exists!z_j\in\Omega_F:(z_i,z_j)\in\mathcal T_F</w:t>
      </w:r>
    </w:p>
    <w:p w:rsidR="00ED1D54" w:rsidRDefault="00ED1D54" w:rsidP="00ED1D54">
      <w:pPr>
        <w:pStyle w:val="StandardWeb"/>
      </w:pPr>
      <w:r>
        <w:t>Unter dieser Annahme kann ein eindeutiger Operator (T_F) verwendet werden.</w:t>
      </w:r>
    </w:p>
    <w:p w:rsidR="00ED1D54" w:rsidRDefault="00E50336" w:rsidP="00ED1D54">
      <w:r>
        <w:pict>
          <v:rect id="_x0000_i2978" style="width:0;height:1.5pt" o:hralign="center" o:hrstd="t" o:hr="t" fillcolor="#a0a0a0" stroked="f"/>
        </w:pict>
      </w:r>
    </w:p>
    <w:p w:rsidR="00ED1D54" w:rsidRDefault="00ED1D54" w:rsidP="00ED1D54">
      <w:pPr>
        <w:pStyle w:val="berschrift1"/>
      </w:pPr>
      <w:r>
        <w:t>3.3.44.96 Eindeutiger Übergangsoperator</w:t>
      </w:r>
    </w:p>
    <w:p w:rsidR="00ED1D54" w:rsidRDefault="00ED1D54" w:rsidP="00ED1D54">
      <w:pPr>
        <w:pStyle w:val="StandardWeb"/>
      </w:pPr>
      <w:r>
        <w:t>Unter (M_T^{\mathrm{det}}) gilt</w:t>
      </w:r>
    </w:p>
    <w:p w:rsidR="00ED1D54" w:rsidRDefault="00ED1D54" w:rsidP="00ED1D54">
      <w:pPr>
        <w:pStyle w:val="StandardWeb"/>
      </w:pPr>
      <w:r>
        <w:t>[</w:t>
      </w:r>
      <w:r>
        <w:br/>
        <w:t>T_F:</w:t>
      </w:r>
      <w:r>
        <w:br/>
        <w:t>\Omega_F^{\mathrm{dom}}</w:t>
      </w:r>
      <w:r>
        <w:br/>
        <w:t>\rightarrow</w:t>
      </w:r>
      <w:r>
        <w:br/>
        <w:t>\Omega_F</w:t>
      </w:r>
      <w:r>
        <w:br/>
        <w:t>\tag{3.9825}</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T_F:\Omega_F^{\mathrm{dom}}\rightarrow\Omega_F</w:t>
      </w:r>
    </w:p>
    <w:p w:rsidR="00ED1D54" w:rsidRDefault="00ED1D54" w:rsidP="00ED1D54">
      <w:pPr>
        <w:pStyle w:val="StandardWeb"/>
      </w:pPr>
      <w:r>
        <w:t>und</w:t>
      </w:r>
    </w:p>
    <w:p w:rsidR="00ED1D54" w:rsidRDefault="00ED1D54" w:rsidP="00ED1D54">
      <w:pPr>
        <w:pStyle w:val="StandardWeb"/>
      </w:pPr>
      <w:r>
        <w:t>[</w:t>
      </w:r>
      <w:r>
        <w:br/>
        <w:t>z_{n+1}=T_F(z_n).</w:t>
      </w:r>
      <w:r>
        <w:br/>
        <w:t>\tag{3.9826}</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lastRenderedPageBreak/>
        <w:t>z_{n+1}=T_F(z_n)</w:t>
      </w:r>
    </w:p>
    <w:p w:rsidR="00ED1D54" w:rsidRDefault="00ED1D54" w:rsidP="00ED1D54">
      <w:pPr>
        <w:pStyle w:val="StandardWeb"/>
      </w:pPr>
      <w:r>
        <w:t>Dies ist jedoch weiterhin eine Modellstruktur und kein Primäraxiom.</w:t>
      </w:r>
    </w:p>
    <w:p w:rsidR="00ED1D54" w:rsidRDefault="00E50336" w:rsidP="00ED1D54">
      <w:r>
        <w:pict>
          <v:rect id="_x0000_i2979" style="width:0;height:1.5pt" o:hralign="center" o:hrstd="t" o:hr="t" fillcolor="#a0a0a0" stroked="f"/>
        </w:pict>
      </w:r>
    </w:p>
    <w:p w:rsidR="00ED1D54" w:rsidRDefault="00ED1D54" w:rsidP="00ED1D54">
      <w:pPr>
        <w:pStyle w:val="berschrift1"/>
      </w:pPr>
      <w:r>
        <w:t>3.3.44.97 Stochastische Alternative</w:t>
      </w:r>
    </w:p>
    <w:p w:rsidR="00ED1D54" w:rsidRDefault="00ED1D54" w:rsidP="00ED1D54">
      <w:pPr>
        <w:pStyle w:val="StandardWeb"/>
      </w:pPr>
      <w:r>
        <w:t>Eine alternative Modellklasse verzichtet auf eindeutige Folgezustände und verwendet stattdessen</w:t>
      </w:r>
    </w:p>
    <w:p w:rsidR="00ED1D54" w:rsidRDefault="00ED1D54" w:rsidP="00ED1D54">
      <w:pPr>
        <w:pStyle w:val="StandardWeb"/>
      </w:pPr>
      <w:r>
        <w:t>[</w:t>
      </w:r>
      <w:r>
        <w:br/>
        <w:t>P_F(z_j\mid z_i).</w:t>
      </w:r>
      <w:r>
        <w:br/>
        <w:t>\tag{3.9827}</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P_F(z_j\mid z_i)</w:t>
      </w:r>
    </w:p>
    <w:p w:rsidR="00ED1D54" w:rsidRDefault="00ED1D54" w:rsidP="00ED1D54">
      <w:pPr>
        <w:pStyle w:val="StandardWeb"/>
      </w:pPr>
      <w:r>
        <w:t>Dann können mehrere Folgezustände mit positiven Wahrscheinlichkeiten existieren:</w:t>
      </w:r>
    </w:p>
    <w:p w:rsidR="00ED1D54" w:rsidRDefault="00ED1D54" w:rsidP="00ED1D54">
      <w:pPr>
        <w:pStyle w:val="StandardWeb"/>
      </w:pPr>
      <w:r>
        <w:t>[</w:t>
      </w:r>
      <w:r>
        <w:br/>
        <w:t>P_F(z_j\mid z_i)&gt;0.</w:t>
      </w:r>
      <w:r>
        <w:br/>
        <w:t>\tag{3.9828}</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P_F(z_j\mid z_i)&gt;0</w:t>
      </w:r>
    </w:p>
    <w:p w:rsidR="00ED1D54" w:rsidRDefault="00ED1D54" w:rsidP="00ED1D54">
      <w:pPr>
        <w:pStyle w:val="StandardWeb"/>
      </w:pPr>
      <w:r>
        <w:t>Auch diese Struktur ist mit (M_T) vereinbar.</w:t>
      </w:r>
    </w:p>
    <w:p w:rsidR="00ED1D54" w:rsidRDefault="00E50336" w:rsidP="00ED1D54">
      <w:r>
        <w:pict>
          <v:rect id="_x0000_i2980" style="width:0;height:1.5pt" o:hralign="center" o:hrstd="t" o:hr="t" fillcolor="#a0a0a0" stroked="f"/>
        </w:pict>
      </w:r>
    </w:p>
    <w:p w:rsidR="00ED1D54" w:rsidRDefault="00ED1D54" w:rsidP="00ED1D54">
      <w:pPr>
        <w:pStyle w:val="berschrift1"/>
      </w:pPr>
      <w:r>
        <w:t>3.3.44.98 Deterministische und stochastische Modelle</w:t>
      </w:r>
    </w:p>
    <w:p w:rsidR="00ED1D54" w:rsidRDefault="00ED1D54" w:rsidP="00ED1D54">
      <w:pPr>
        <w:pStyle w:val="StandardWeb"/>
      </w:pPr>
      <w:r>
        <w:t>Damit gilt</w:t>
      </w:r>
    </w:p>
    <w:p w:rsidR="00ED1D54" w:rsidRDefault="00ED1D54" w:rsidP="00ED1D54">
      <w:pPr>
        <w:pStyle w:val="StandardWeb"/>
      </w:pPr>
      <w:r>
        <w:t>[</w:t>
      </w:r>
      <w:r>
        <w:br/>
        <w:t>\mathfrak M_F^{\mathrm{det}}</w:t>
      </w:r>
      <w:r>
        <w:br/>
        <w:t>\subseteq</w:t>
      </w:r>
      <w:r>
        <w:br/>
        <w:t>\mathfrak M_F^{\mathrm{dyn}}</w:t>
      </w:r>
      <w:r>
        <w:br/>
        <w:t>\tag{3.9829}</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\mathfrak M_F^{\mathrm{det}}\subseteq\mathfrak M_F^{\mathrm{dyn}}</w:t>
      </w:r>
    </w:p>
    <w:p w:rsidR="00ED1D54" w:rsidRDefault="00ED1D54" w:rsidP="00ED1D54">
      <w:pPr>
        <w:pStyle w:val="StandardWeb"/>
      </w:pPr>
      <w:r>
        <w:t>und</w:t>
      </w:r>
    </w:p>
    <w:p w:rsidR="00ED1D54" w:rsidRDefault="00ED1D54" w:rsidP="00ED1D54">
      <w:pPr>
        <w:pStyle w:val="StandardWeb"/>
      </w:pPr>
      <w:r>
        <w:lastRenderedPageBreak/>
        <w:t>[</w:t>
      </w:r>
      <w:r>
        <w:br/>
        <w:t>\mathfrak M_F^{\mathrm{stoch}}</w:t>
      </w:r>
      <w:r>
        <w:br/>
        <w:t>\subseteq</w:t>
      </w:r>
      <w:r>
        <w:br/>
        <w:t>\mathfrak M_F^{\mathrm{dyn}}.</w:t>
      </w:r>
      <w:r>
        <w:br/>
        <w:t>\tag{3.9830}</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\mathfrak M_F^{\mathrm{stoch}}\subseteq\mathfrak M_F^{\mathrm{dyn}}</w:t>
      </w:r>
    </w:p>
    <w:p w:rsidR="00ED1D54" w:rsidRDefault="00ED1D54" w:rsidP="00ED1D54">
      <w:pPr>
        <w:pStyle w:val="StandardWeb"/>
      </w:pPr>
      <w:r>
        <w:t>Eine Identität der beiden Unterklassen wird nicht vorausgesetzt:</w:t>
      </w:r>
    </w:p>
    <w:p w:rsidR="00ED1D54" w:rsidRDefault="00ED1D54" w:rsidP="00ED1D54">
      <w:pPr>
        <w:pStyle w:val="StandardWeb"/>
      </w:pPr>
      <w:r>
        <w:t>[</w:t>
      </w:r>
      <w:r>
        <w:br/>
        <w:t>\mathfrak M_F^{\mathrm{det}}</w:t>
      </w:r>
      <w:r>
        <w:br/>
        <w:t>\neq</w:t>
      </w:r>
      <w:r>
        <w:br/>
        <w:t>\mathfrak M_F^{\mathrm{stoch}}.</w:t>
      </w:r>
      <w:r>
        <w:br/>
        <w:t>\tag{3.9831}</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\mathfrak M_F^{\mathrm{det}}\neq\mathfrak M_F^{\mathrm{stoch}}</w:t>
      </w:r>
    </w:p>
    <w:p w:rsidR="00ED1D54" w:rsidRDefault="00E50336" w:rsidP="00ED1D54">
      <w:r>
        <w:pict>
          <v:rect id="_x0000_i2981" style="width:0;height:1.5pt" o:hralign="center" o:hrstd="t" o:hr="t" fillcolor="#a0a0a0" stroked="f"/>
        </w:pict>
      </w:r>
    </w:p>
    <w:p w:rsidR="00ED1D54" w:rsidRDefault="00ED1D54" w:rsidP="00ED1D54">
      <w:pPr>
        <w:pStyle w:val="berschrift1"/>
      </w:pPr>
      <w:r>
        <w:t>3.3.44.99 Kontinuierliche Dynamik als weitere Unterklasse</w:t>
      </w:r>
    </w:p>
    <w:p w:rsidR="00ED1D54" w:rsidRDefault="00ED1D54" w:rsidP="00ED1D54">
      <w:pPr>
        <w:pStyle w:val="StandardWeb"/>
      </w:pPr>
      <w:r>
        <w:t>Für kontinuierliche Modelle kann zusätzlich</w:t>
      </w:r>
    </w:p>
    <w:p w:rsidR="00ED1D54" w:rsidRDefault="00ED1D54" w:rsidP="00ED1D54">
      <w:pPr>
        <w:pStyle w:val="StandardWeb"/>
      </w:pPr>
      <w:r>
        <w:t>[</w:t>
      </w:r>
      <w:r>
        <w:br/>
        <w:t>z:I\rightarrow\Omega_F</w:t>
      </w:r>
      <w:r>
        <w:br/>
        <w:t>\tag{3.9832}</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z:I\rightarrow\Omega_F</w:t>
      </w:r>
    </w:p>
    <w:p w:rsidR="00ED1D54" w:rsidRDefault="00ED1D54" w:rsidP="00ED1D54">
      <w:pPr>
        <w:pStyle w:val="StandardWeb"/>
      </w:pPr>
      <w:r>
        <w:t>und bei hinreichender Differenzierbarkeit</w:t>
      </w:r>
    </w:p>
    <w:p w:rsidR="00ED1D54" w:rsidRDefault="00ED1D54" w:rsidP="00ED1D54">
      <w:pPr>
        <w:pStyle w:val="StandardWeb"/>
      </w:pPr>
      <w:r>
        <w:t>[</w:t>
      </w:r>
      <w:r>
        <w:br/>
        <w:t>\dot z(t)=F(z(t),t)</w:t>
      </w:r>
      <w:r>
        <w:br/>
        <w:t>\tag{3.9833}</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\dot z(t)=F(z(t),t)</w:t>
      </w:r>
    </w:p>
    <w:p w:rsidR="00ED1D54" w:rsidRDefault="00ED1D54" w:rsidP="00ED1D54">
      <w:pPr>
        <w:pStyle w:val="StandardWeb"/>
      </w:pPr>
      <w:r>
        <w:lastRenderedPageBreak/>
        <w:t>verwendet werden.</w:t>
      </w:r>
    </w:p>
    <w:p w:rsidR="00ED1D54" w:rsidRDefault="00ED1D54" w:rsidP="00ED1D54">
      <w:pPr>
        <w:pStyle w:val="StandardWeb"/>
      </w:pPr>
      <w:r>
        <w:t>Auch diese Form wird nicht durch (A_C), (A_T^{\min}) oder (M_T) erzwungen.</w:t>
      </w:r>
    </w:p>
    <w:p w:rsidR="00ED1D54" w:rsidRDefault="00E50336" w:rsidP="00ED1D54">
      <w:r>
        <w:pict>
          <v:rect id="_x0000_i2982" style="width:0;height:1.5pt" o:hralign="center" o:hrstd="t" o:hr="t" fillcolor="#a0a0a0" stroked="f"/>
        </w:pict>
      </w:r>
    </w:p>
    <w:p w:rsidR="00ED1D54" w:rsidRDefault="00ED1D54" w:rsidP="00ED1D54">
      <w:pPr>
        <w:pStyle w:val="berschrift1"/>
      </w:pPr>
      <w:r>
        <w:t>3.3.44.100 Keine universelle Zeitparametrisierung</w:t>
      </w:r>
    </w:p>
    <w:p w:rsidR="00ED1D54" w:rsidRDefault="00ED1D54" w:rsidP="00ED1D54">
      <w:pPr>
        <w:pStyle w:val="StandardWeb"/>
      </w:pPr>
      <w:r>
        <w:t>Insbesondere gilt</w:t>
      </w:r>
    </w:p>
    <w:p w:rsidR="00ED1D54" w:rsidRDefault="00ED1D54" w:rsidP="00ED1D54">
      <w:pPr>
        <w:pStyle w:val="StandardWeb"/>
      </w:pPr>
      <w:r>
        <w:t>[</w:t>
      </w:r>
      <w:r>
        <w:br/>
        <w:t>M_T</w:t>
      </w:r>
      <w:r>
        <w:br/>
        <w:t>\nRightarrow</w:t>
      </w:r>
      <w:r>
        <w:br/>
        <w:t>\exists t\in\mathbb R.</w:t>
      </w:r>
      <w:r>
        <w:br/>
        <w:t>\tag{3.9834}</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M_T\nRightarrow\exists t\in\mathbb R</w:t>
      </w:r>
    </w:p>
    <w:p w:rsidR="00ED1D54" w:rsidRDefault="00ED1D54" w:rsidP="00ED1D54">
      <w:pPr>
        <w:pStyle w:val="StandardWeb"/>
      </w:pPr>
      <w:r>
        <w:t>Die Existenz eines funktionalen Zustandsübergangs impliziert noch keine bestimmte kontinuierliche Zeitparametrisierung.</w:t>
      </w:r>
    </w:p>
    <w:p w:rsidR="00ED1D54" w:rsidRDefault="00ED1D54" w:rsidP="00ED1D54">
      <w:pPr>
        <w:pStyle w:val="StandardWeb"/>
      </w:pPr>
      <w:r>
        <w:t>Damit bleibt offen, ob der Übergangsparameter später kontinuierlich, diskret oder strukturell definiert wird.</w:t>
      </w:r>
    </w:p>
    <w:p w:rsidR="00ED1D54" w:rsidRDefault="00E50336" w:rsidP="00ED1D54">
      <w:r>
        <w:pict>
          <v:rect id="_x0000_i2983" style="width:0;height:1.5pt" o:hralign="center" o:hrstd="t" o:hr="t" fillcolor="#a0a0a0" stroked="f"/>
        </w:pict>
      </w:r>
    </w:p>
    <w:p w:rsidR="00ED1D54" w:rsidRDefault="00ED1D54" w:rsidP="00ED1D54">
      <w:pPr>
        <w:pStyle w:val="berschrift1"/>
      </w:pPr>
      <w:r>
        <w:t>3.3.44.101 Definition 3.3.88 – Übergangsparameter</w:t>
      </w:r>
    </w:p>
    <w:p w:rsidR="00ED1D54" w:rsidRDefault="00ED1D54" w:rsidP="00ED1D54">
      <w:pPr>
        <w:pStyle w:val="berschrift3"/>
      </w:pPr>
      <w:r>
        <w:t>Definition 3.3.88</w:t>
      </w:r>
    </w:p>
    <w:p w:rsidR="00ED1D54" w:rsidRDefault="00ED1D54" w:rsidP="00ED1D54">
      <w:pPr>
        <w:pStyle w:val="StandardWeb"/>
      </w:pPr>
      <w:r>
        <w:t xml:space="preserve">Ein </w:t>
      </w:r>
      <w:r>
        <w:rPr>
          <w:rStyle w:val="Fett"/>
        </w:rPr>
        <w:t>Übergangsparameter</w:t>
      </w:r>
      <w:r>
        <w:t xml:space="preserve"> ist eine Ordnungs- oder Parametrisierungsgröße (\lambda), mit der Zustände einer Übergangsentwicklung geordnet werden können:</w:t>
      </w:r>
    </w:p>
    <w:p w:rsidR="00ED1D54" w:rsidRDefault="00ED1D54" w:rsidP="00ED1D54">
      <w:pPr>
        <w:pStyle w:val="StandardWeb"/>
      </w:pPr>
      <w:r>
        <w:t>[</w:t>
      </w:r>
      <w:r>
        <w:br/>
        <w:t>z=z(\lambda).</w:t>
      </w:r>
      <w:r>
        <w:br/>
        <w:t>\tag{3.9835}</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z=z(\lambda)</w:t>
      </w:r>
    </w:p>
    <w:p w:rsidR="00ED1D54" w:rsidRDefault="00ED1D54" w:rsidP="00ED1D54">
      <w:pPr>
        <w:pStyle w:val="StandardWeb"/>
      </w:pPr>
      <w:r>
        <w:t>Dabei wird zunächst lediglich gefordert</w:t>
      </w:r>
    </w:p>
    <w:p w:rsidR="00ED1D54" w:rsidRDefault="00ED1D54" w:rsidP="00ED1D54">
      <w:pPr>
        <w:pStyle w:val="StandardWeb"/>
      </w:pPr>
      <w:r>
        <w:t>[</w:t>
      </w:r>
      <w:r>
        <w:br/>
        <w:t>\lambda\in\Lambda_T,</w:t>
      </w:r>
      <w:r>
        <w:br/>
        <w:t>\tag{3.9836}</w:t>
      </w:r>
      <w:r>
        <w:br/>
        <w:t>]</w:t>
      </w:r>
    </w:p>
    <w:p w:rsidR="00ED1D54" w:rsidRDefault="00ED1D54" w:rsidP="00ED1D54">
      <w:pPr>
        <w:pStyle w:val="StandardWeb"/>
      </w:pPr>
      <w:r>
        <w:rPr>
          <w:rStyle w:val="Fett"/>
        </w:rPr>
        <w:lastRenderedPageBreak/>
        <w:t>Word-LaTeX</w:t>
      </w:r>
    </w:p>
    <w:p w:rsidR="00ED1D54" w:rsidRDefault="00ED1D54" w:rsidP="00ED1D54">
      <w:pPr>
        <w:pStyle w:val="HTMLVorformatiert"/>
        <w:rPr>
          <w:rStyle w:val="HTMLCode"/>
        </w:rPr>
      </w:pPr>
      <w:r>
        <w:rPr>
          <w:rStyle w:val="HTMLCode"/>
        </w:rPr>
        <w:t>\lambda\in\Lambda_T</w:t>
      </w:r>
    </w:p>
    <w:p w:rsidR="00ED1D54" w:rsidRDefault="00ED1D54" w:rsidP="00ED1D54">
      <w:pPr>
        <w:pStyle w:val="StandardWeb"/>
      </w:pPr>
      <w:r>
        <w:t>wobei (\Lambda_T) der jeweilige Übergangsparameterraum ist.</w:t>
      </w:r>
    </w:p>
    <w:p w:rsidR="00ED1D54" w:rsidRDefault="00E50336" w:rsidP="00ED1D54">
      <w:r>
        <w:pict>
          <v:rect id="_x0000_i2984" style="width:0;height:1.5pt" o:hralign="center" o:hrstd="t" o:hr="t" fillcolor="#a0a0a0" stroked="f"/>
        </w:pict>
      </w:r>
    </w:p>
    <w:p w:rsidR="00ED1D54" w:rsidRDefault="00ED1D54" w:rsidP="00ED1D54">
      <w:pPr>
        <w:pStyle w:val="berschrift1"/>
      </w:pPr>
      <w:r>
        <w:t>3.3.44.102 Übergangsparameter ist nicht automatisch physikalische Zeit</w:t>
      </w:r>
    </w:p>
    <w:p w:rsidR="00ED1D54" w:rsidRDefault="00ED1D54" w:rsidP="00ED1D54">
      <w:pPr>
        <w:pStyle w:val="StandardWeb"/>
      </w:pPr>
      <w:r>
        <w:t>Für den Übergangsparameter gilt ausdrücklich</w:t>
      </w:r>
    </w:p>
    <w:p w:rsidR="00ED1D54" w:rsidRDefault="00ED1D54" w:rsidP="00ED1D54">
      <w:pPr>
        <w:pStyle w:val="StandardWeb"/>
      </w:pPr>
      <w:r>
        <w:t>[</w:t>
      </w:r>
      <w:r>
        <w:br/>
        <w:t>\boxed{</w:t>
      </w:r>
      <w:r>
        <w:br/>
        <w:t>\lambda</w:t>
      </w:r>
      <w:r>
        <w:br/>
        <w:t>\not\equiv</w:t>
      </w:r>
      <w:r>
        <w:br/>
        <w:t>t.</w:t>
      </w:r>
      <w:r>
        <w:br/>
        <w:t>}</w:t>
      </w:r>
      <w:r>
        <w:br/>
        <w:t>\tag{3.9837}</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\boxed{\lambda\not\equiv t.}</w:t>
      </w:r>
    </w:p>
    <w:p w:rsidR="00ED1D54" w:rsidRDefault="00ED1D54" w:rsidP="00ED1D54">
      <w:pPr>
        <w:pStyle w:val="StandardWeb"/>
      </w:pPr>
      <w:r>
        <w:t>Erst eine zusätzliche Modellannahme darf</w:t>
      </w:r>
    </w:p>
    <w:p w:rsidR="00ED1D54" w:rsidRDefault="00ED1D54" w:rsidP="00ED1D54">
      <w:pPr>
        <w:pStyle w:val="StandardWeb"/>
      </w:pPr>
      <w:r>
        <w:t>[</w:t>
      </w:r>
      <w:r>
        <w:br/>
        <w:t>\lambda=t</w:t>
      </w:r>
      <w:r>
        <w:br/>
        <w:t>\tag{3.9838}</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\lambda=t</w:t>
      </w:r>
    </w:p>
    <w:p w:rsidR="00ED1D54" w:rsidRDefault="00ED1D54" w:rsidP="00ED1D54">
      <w:pPr>
        <w:pStyle w:val="StandardWeb"/>
      </w:pPr>
      <w:r>
        <w:t>setzen.</w:t>
      </w:r>
    </w:p>
    <w:p w:rsidR="00ED1D54" w:rsidRDefault="00ED1D54" w:rsidP="00ED1D54">
      <w:pPr>
        <w:pStyle w:val="StandardWeb"/>
      </w:pPr>
      <w:r>
        <w:t>Damit vermeide ich, dass die bloße Ordnung funktionaler Zustandswechsel unbemerkt mit physikalischer Zeit identifiziert wird.</w:t>
      </w:r>
    </w:p>
    <w:p w:rsidR="00ED1D54" w:rsidRDefault="00E50336" w:rsidP="00ED1D54">
      <w:r>
        <w:pict>
          <v:rect id="_x0000_i2985" style="width:0;height:1.5pt" o:hralign="center" o:hrstd="t" o:hr="t" fillcolor="#a0a0a0" stroked="f"/>
        </w:pict>
      </w:r>
    </w:p>
    <w:p w:rsidR="00ED1D54" w:rsidRDefault="00ED1D54" w:rsidP="00ED1D54">
      <w:pPr>
        <w:pStyle w:val="berschrift1"/>
      </w:pPr>
      <w:r>
        <w:t>3.3.44.103 Ordnungsrelation auf Übergangszuständen</w:t>
      </w:r>
    </w:p>
    <w:p w:rsidR="00ED1D54" w:rsidRDefault="00ED1D54" w:rsidP="00ED1D54">
      <w:pPr>
        <w:pStyle w:val="StandardWeb"/>
      </w:pPr>
      <w:r>
        <w:t>Ist ein Übergangsparameter geordnet, kann</w:t>
      </w:r>
    </w:p>
    <w:p w:rsidR="00ED1D54" w:rsidRDefault="00ED1D54" w:rsidP="00ED1D54">
      <w:pPr>
        <w:pStyle w:val="StandardWeb"/>
      </w:pPr>
      <w:r>
        <w:t>[</w:t>
      </w:r>
      <w:r>
        <w:br/>
        <w:t>\lambda_i&lt;\lambda_j</w:t>
      </w:r>
      <w:r>
        <w:br/>
      </w:r>
      <w:r>
        <w:lastRenderedPageBreak/>
        <w:t>\tag{3.9839}</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\lambda_i&lt;\lambda_j</w:t>
      </w:r>
    </w:p>
    <w:p w:rsidR="00ED1D54" w:rsidRDefault="00ED1D54" w:rsidP="00ED1D54">
      <w:pPr>
        <w:pStyle w:val="StandardWeb"/>
      </w:pPr>
      <w:r>
        <w:t>eine Reihenfolge</w:t>
      </w:r>
    </w:p>
    <w:p w:rsidR="00ED1D54" w:rsidRDefault="00ED1D54" w:rsidP="00ED1D54">
      <w:pPr>
        <w:pStyle w:val="StandardWeb"/>
      </w:pPr>
      <w:r>
        <w:t>[</w:t>
      </w:r>
      <w:r>
        <w:br/>
        <w:t>z(\lambda_i)</w:t>
      </w:r>
      <w:r>
        <w:br/>
        <w:t>\prec_T</w:t>
      </w:r>
      <w:r>
        <w:br/>
        <w:t>z(\lambda_j)</w:t>
      </w:r>
      <w:r>
        <w:br/>
        <w:t>\tag{3.9840}</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z(\lambda_i)\prec_T z(\lambda_j)</w:t>
      </w:r>
    </w:p>
    <w:p w:rsidR="00ED1D54" w:rsidRDefault="00ED1D54" w:rsidP="00ED1D54">
      <w:pPr>
        <w:pStyle w:val="StandardWeb"/>
      </w:pPr>
      <w:r>
        <w:t>induzieren.</w:t>
      </w:r>
    </w:p>
    <w:p w:rsidR="00ED1D54" w:rsidRDefault="00ED1D54" w:rsidP="00ED1D54">
      <w:pPr>
        <w:pStyle w:val="StandardWeb"/>
      </w:pPr>
      <w:r>
        <w:t>Auch diese Ordnung ist zunächst eine Struktur des Modells.</w:t>
      </w:r>
    </w:p>
    <w:p w:rsidR="00ED1D54" w:rsidRDefault="00E50336" w:rsidP="00ED1D54">
      <w:r>
        <w:pict>
          <v:rect id="_x0000_i2986" style="width:0;height:1.5pt" o:hralign="center" o:hrstd="t" o:hr="t" fillcolor="#a0a0a0" stroked="f"/>
        </w:pict>
      </w:r>
    </w:p>
    <w:p w:rsidR="00ED1D54" w:rsidRDefault="00ED1D54" w:rsidP="00ED1D54">
      <w:pPr>
        <w:pStyle w:val="berschrift1"/>
      </w:pPr>
      <w:r>
        <w:t>3.3.44.104 Definition 3.3.89 – Funktionale Übergangsordnung</w:t>
      </w:r>
    </w:p>
    <w:p w:rsidR="00ED1D54" w:rsidRDefault="00ED1D54" w:rsidP="00ED1D54">
      <w:pPr>
        <w:pStyle w:val="berschrift3"/>
      </w:pPr>
      <w:r>
        <w:t>Definition 3.3.89</w:t>
      </w:r>
    </w:p>
    <w:p w:rsidR="00ED1D54" w:rsidRDefault="00ED1D54" w:rsidP="00ED1D54">
      <w:pPr>
        <w:pStyle w:val="StandardWeb"/>
      </w:pPr>
      <w:r>
        <w:t xml:space="preserve">Eine </w:t>
      </w:r>
      <w:r>
        <w:rPr>
          <w:rStyle w:val="Fett"/>
        </w:rPr>
        <w:t>funktionale Übergangsordnung</w:t>
      </w:r>
      <w:r>
        <w:t xml:space="preserve"> ist eine Relation (\prec_T) auf einer Menge von Zuständen, die deren Reihenfolge innerhalb einer betrachteten Übergangsentwicklung kennzeichnet:</w:t>
      </w:r>
    </w:p>
    <w:p w:rsidR="00ED1D54" w:rsidRDefault="00ED1D54" w:rsidP="00ED1D54">
      <w:pPr>
        <w:pStyle w:val="StandardWeb"/>
      </w:pPr>
      <w:r>
        <w:t>[</w:t>
      </w:r>
      <w:r>
        <w:br/>
        <w:t>\prec_T</w:t>
      </w:r>
      <w:r>
        <w:br/>
        <w:t>\subseteq</w:t>
      </w:r>
      <w:r>
        <w:br/>
        <w:t>\Omega_F\times\Omega_F.</w:t>
      </w:r>
      <w:r>
        <w:br/>
        <w:t>\tag{3.9841}</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\prec_T\subseteq\Omega_F\times\Omega_F</w:t>
      </w:r>
    </w:p>
    <w:p w:rsidR="00ED1D54" w:rsidRDefault="00ED1D54" w:rsidP="00ED1D54">
      <w:pPr>
        <w:pStyle w:val="StandardWeb"/>
      </w:pPr>
      <w:r>
        <w:t>Dabei bedeutet</w:t>
      </w:r>
    </w:p>
    <w:p w:rsidR="00ED1D54" w:rsidRDefault="00ED1D54" w:rsidP="00ED1D54">
      <w:pPr>
        <w:pStyle w:val="StandardWeb"/>
      </w:pPr>
      <w:r>
        <w:t>[</w:t>
      </w:r>
      <w:r>
        <w:br/>
        <w:t>z_i\prec_T z_j,</w:t>
      </w:r>
      <w:r>
        <w:br/>
      </w:r>
      <w:r>
        <w:lastRenderedPageBreak/>
        <w:t>\tag{3.9842}</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z_i\prec_T z_j</w:t>
      </w:r>
    </w:p>
    <w:p w:rsidR="00ED1D54" w:rsidRDefault="00ED1D54" w:rsidP="00ED1D54">
      <w:pPr>
        <w:pStyle w:val="StandardWeb"/>
      </w:pPr>
      <w:r>
        <w:t>dass (z_i) innerhalb der betrachteten Übergangsstruktur vor (z_j) angeordnet ist.</w:t>
      </w:r>
    </w:p>
    <w:p w:rsidR="00ED1D54" w:rsidRDefault="00E50336" w:rsidP="00ED1D54">
      <w:r>
        <w:pict>
          <v:rect id="_x0000_i2987" style="width:0;height:1.5pt" o:hralign="center" o:hrstd="t" o:hr="t" fillcolor="#a0a0a0" stroked="f"/>
        </w:pict>
      </w:r>
    </w:p>
    <w:p w:rsidR="00ED1D54" w:rsidRDefault="00ED1D54" w:rsidP="00ED1D54">
      <w:pPr>
        <w:pStyle w:val="berschrift1"/>
      </w:pPr>
      <w:r>
        <w:t>3.3.44.105 Übergangsordnung und Kausalität</w:t>
      </w:r>
    </w:p>
    <w:p w:rsidR="00ED1D54" w:rsidRDefault="00ED1D54" w:rsidP="00ED1D54">
      <w:pPr>
        <w:pStyle w:val="StandardWeb"/>
      </w:pPr>
      <w:r>
        <w:t>Die Übergangsordnung darf nicht automatisch mit einer physikalischen Kausalordnung identifiziert werden.</w:t>
      </w:r>
    </w:p>
    <w:p w:rsidR="00ED1D54" w:rsidRDefault="00ED1D54" w:rsidP="00ED1D54">
      <w:pPr>
        <w:pStyle w:val="StandardWeb"/>
      </w:pPr>
      <w:r>
        <w:t>Daher gilt</w:t>
      </w:r>
    </w:p>
    <w:p w:rsidR="00ED1D54" w:rsidRDefault="00ED1D54" w:rsidP="00ED1D54">
      <w:pPr>
        <w:pStyle w:val="StandardWeb"/>
      </w:pPr>
      <w:r>
        <w:t>[</w:t>
      </w:r>
      <w:r>
        <w:br/>
        <w:t>\boxed{</w:t>
      </w:r>
      <w:r>
        <w:br/>
        <w:t>z_i\prec_T z_j</w:t>
      </w:r>
      <w:r>
        <w:br/>
        <w:t>\nRightarrow</w:t>
      </w:r>
      <w:r>
        <w:br/>
        <w:t>z_i\prec_{\mathrm{causal}} z_j.</w:t>
      </w:r>
      <w:r>
        <w:br/>
        <w:t>}</w:t>
      </w:r>
      <w:r>
        <w:br/>
        <w:t>\tag{3.9843}</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\boxed{z_i\prec_T z_j\nRightarrow z_i\prec_{\mathrm{causal}} z_j.}</w:t>
      </w:r>
    </w:p>
    <w:p w:rsidR="00ED1D54" w:rsidRDefault="00ED1D54" w:rsidP="00ED1D54">
      <w:pPr>
        <w:pStyle w:val="StandardWeb"/>
      </w:pPr>
      <w:r>
        <w:t>Eine solche Identifikation wäre eine zusätzliche physikalische Modellannahme.</w:t>
      </w:r>
    </w:p>
    <w:p w:rsidR="00ED1D54" w:rsidRDefault="00E50336" w:rsidP="00ED1D54">
      <w:r>
        <w:pict>
          <v:rect id="_x0000_i2988" style="width:0;height:1.5pt" o:hralign="center" o:hrstd="t" o:hr="t" fillcolor="#a0a0a0" stroked="f"/>
        </w:pict>
      </w:r>
    </w:p>
    <w:p w:rsidR="00ED1D54" w:rsidRDefault="00ED1D54" w:rsidP="00ED1D54">
      <w:pPr>
        <w:pStyle w:val="berschrift1"/>
      </w:pPr>
      <w:r>
        <w:t>3.3.44.106 Übergangsordnung und zeitliche Ordnung</w:t>
      </w:r>
    </w:p>
    <w:p w:rsidR="00ED1D54" w:rsidRDefault="00ED1D54" w:rsidP="00ED1D54">
      <w:pPr>
        <w:pStyle w:val="StandardWeb"/>
      </w:pPr>
      <w:r>
        <w:t>Ebenso gilt</w:t>
      </w:r>
    </w:p>
    <w:p w:rsidR="00ED1D54" w:rsidRDefault="00ED1D54" w:rsidP="00ED1D54">
      <w:pPr>
        <w:pStyle w:val="StandardWeb"/>
      </w:pPr>
      <w:r>
        <w:t>[</w:t>
      </w:r>
      <w:r>
        <w:br/>
        <w:t>z_i\prec_T z_j</w:t>
      </w:r>
      <w:r>
        <w:br/>
        <w:t>\nRightarrow</w:t>
      </w:r>
      <w:r>
        <w:br/>
        <w:t>t_i&lt;t_j.</w:t>
      </w:r>
      <w:r>
        <w:br/>
        <w:t>\tag{3.9844}</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z_i\prec_T z_j\nRightarrow t_i&lt;t_j</w:t>
      </w:r>
    </w:p>
    <w:p w:rsidR="00ED1D54" w:rsidRDefault="00ED1D54" w:rsidP="00ED1D54">
      <w:pPr>
        <w:pStyle w:val="StandardWeb"/>
      </w:pPr>
      <w:r>
        <w:t>Die Übergangsordnung beschreibt zunächst lediglich eine strukturelle Reihenfolge.</w:t>
      </w:r>
    </w:p>
    <w:p w:rsidR="00ED1D54" w:rsidRDefault="00E50336" w:rsidP="00ED1D54">
      <w:r>
        <w:lastRenderedPageBreak/>
        <w:pict>
          <v:rect id="_x0000_i2989" style="width:0;height:1.5pt" o:hralign="center" o:hrstd="t" o:hr="t" fillcolor="#a0a0a0" stroked="f"/>
        </w:pict>
      </w:r>
    </w:p>
    <w:p w:rsidR="00ED1D54" w:rsidRDefault="00ED1D54" w:rsidP="00ED1D54">
      <w:pPr>
        <w:pStyle w:val="berschrift1"/>
      </w:pPr>
      <w:r>
        <w:t>3.3.44.107 Modellannahme einer zeitlichen Einbettung</w:t>
      </w:r>
    </w:p>
    <w:p w:rsidR="00ED1D54" w:rsidRDefault="00ED1D54" w:rsidP="00ED1D54">
      <w:pPr>
        <w:pStyle w:val="StandardWeb"/>
      </w:pPr>
      <w:r>
        <w:t>Für ein konkretes Modell kann eine Abbildung</w:t>
      </w:r>
    </w:p>
    <w:p w:rsidR="00ED1D54" w:rsidRDefault="00ED1D54" w:rsidP="00ED1D54">
      <w:pPr>
        <w:pStyle w:val="StandardWeb"/>
      </w:pPr>
      <w:r>
        <w:t>[</w:t>
      </w:r>
      <w:r>
        <w:br/>
        <w:t>\tau_T:</w:t>
      </w:r>
      <w:r>
        <w:br/>
        <w:t>\Lambda_T</w:t>
      </w:r>
      <w:r>
        <w:br/>
        <w:t>\rightarrow</w:t>
      </w:r>
      <w:r>
        <w:br/>
        <w:t>\mathbb R</w:t>
      </w:r>
      <w:r>
        <w:br/>
        <w:t>\tag{3.9845}</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\tau_T:\Lambda_T\rightarrow\mathbb R</w:t>
      </w:r>
    </w:p>
    <w:p w:rsidR="00ED1D54" w:rsidRDefault="00ED1D54" w:rsidP="00ED1D54">
      <w:pPr>
        <w:pStyle w:val="StandardWeb"/>
      </w:pPr>
      <w:r>
        <w:t>eingeführt werden.</w:t>
      </w:r>
    </w:p>
    <w:p w:rsidR="00ED1D54" w:rsidRDefault="00ED1D54" w:rsidP="00ED1D54">
      <w:pPr>
        <w:pStyle w:val="StandardWeb"/>
      </w:pPr>
      <w:r>
        <w:t>Dann erhält ein Übergangsparameter (\lambda) einen Zeitwert</w:t>
      </w:r>
    </w:p>
    <w:p w:rsidR="00ED1D54" w:rsidRDefault="00ED1D54" w:rsidP="00ED1D54">
      <w:pPr>
        <w:pStyle w:val="StandardWeb"/>
      </w:pPr>
      <w:r>
        <w:t>[</w:t>
      </w:r>
      <w:r>
        <w:br/>
        <w:t>t=\tau_T(\lambda).</w:t>
      </w:r>
      <w:r>
        <w:br/>
        <w:t>\tag{3.9846}</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t=\tau_T(\lambda)</w:t>
      </w:r>
    </w:p>
    <w:p w:rsidR="00ED1D54" w:rsidRDefault="00ED1D54" w:rsidP="00ED1D54">
      <w:pPr>
        <w:pStyle w:val="StandardWeb"/>
      </w:pPr>
      <w:r>
        <w:t>Auch dies gehört zur Modellschicht.</w:t>
      </w:r>
    </w:p>
    <w:p w:rsidR="00ED1D54" w:rsidRDefault="00E50336" w:rsidP="00ED1D54">
      <w:r>
        <w:pict>
          <v:rect id="_x0000_i2990" style="width:0;height:1.5pt" o:hralign="center" o:hrstd="t" o:hr="t" fillcolor="#a0a0a0" stroked="f"/>
        </w:pict>
      </w:r>
    </w:p>
    <w:p w:rsidR="00ED1D54" w:rsidRDefault="00ED1D54" w:rsidP="00ED1D54">
      <w:pPr>
        <w:pStyle w:val="berschrift1"/>
      </w:pPr>
      <w:r>
        <w:t>3.3.44.108 Keine universelle Metrik auf Übergängen</w:t>
      </w:r>
    </w:p>
    <w:p w:rsidR="00ED1D54" w:rsidRDefault="00ED1D54" w:rsidP="00ED1D54">
      <w:pPr>
        <w:pStyle w:val="StandardWeb"/>
      </w:pPr>
      <w:r>
        <w:t>Die Existenz einer Übergangsrelation liefert ebenfalls noch keinen Abstand zwischen zwei Zuständen.</w:t>
      </w:r>
    </w:p>
    <w:p w:rsidR="00ED1D54" w:rsidRDefault="00ED1D54" w:rsidP="00ED1D54">
      <w:pPr>
        <w:pStyle w:val="StandardWeb"/>
      </w:pPr>
      <w:r>
        <w:t>Aus</w:t>
      </w:r>
    </w:p>
    <w:p w:rsidR="00ED1D54" w:rsidRDefault="00ED1D54" w:rsidP="00ED1D54">
      <w:pPr>
        <w:pStyle w:val="StandardWeb"/>
      </w:pPr>
      <w:r>
        <w:t>[</w:t>
      </w:r>
      <w:r>
        <w:br/>
        <w:t>(z_i,z_j)\in\mathcal T_F</w:t>
      </w:r>
      <w:r>
        <w:br/>
        <w:t>\tag{3.9847}</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lastRenderedPageBreak/>
        <w:t>(z_i,z_j)\in\mathcal T_F</w:t>
      </w:r>
    </w:p>
    <w:p w:rsidR="00ED1D54" w:rsidRDefault="00ED1D54" w:rsidP="00ED1D54">
      <w:pPr>
        <w:pStyle w:val="StandardWeb"/>
      </w:pPr>
      <w:r>
        <w:t>folgt nicht</w:t>
      </w:r>
    </w:p>
    <w:p w:rsidR="00ED1D54" w:rsidRDefault="00ED1D54" w:rsidP="00ED1D54">
      <w:pPr>
        <w:pStyle w:val="StandardWeb"/>
      </w:pPr>
      <w:r>
        <w:t>[</w:t>
      </w:r>
      <w:r>
        <w:br/>
        <w:t>d_T(z_i,z_j)</w:t>
      </w:r>
      <w:r>
        <w:br/>
        <w:t>\in</w:t>
      </w:r>
      <w:r>
        <w:br/>
        <w:t>\mathbb R_{\geq0}.</w:t>
      </w:r>
      <w:r>
        <w:br/>
        <w:t>\tag{3.9848}</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d_T(z_i,z_j)\in\mathbb R_{\geq0}</w:t>
      </w:r>
    </w:p>
    <w:p w:rsidR="00ED1D54" w:rsidRDefault="00ED1D54" w:rsidP="00ED1D54">
      <w:pPr>
        <w:pStyle w:val="StandardWeb"/>
      </w:pPr>
      <w:r>
        <w:t>Ein Übergangsabstand müsste separat definiert werden.</w:t>
      </w:r>
    </w:p>
    <w:p w:rsidR="00ED1D54" w:rsidRDefault="00E50336" w:rsidP="00ED1D54">
      <w:r>
        <w:pict>
          <v:rect id="_x0000_i2991" style="width:0;height:1.5pt" o:hralign="center" o:hrstd="t" o:hr="t" fillcolor="#a0a0a0" stroked="f"/>
        </w:pict>
      </w:r>
    </w:p>
    <w:p w:rsidR="00ED1D54" w:rsidRDefault="00ED1D54" w:rsidP="00ED1D54">
      <w:pPr>
        <w:pStyle w:val="berschrift1"/>
      </w:pPr>
      <w:r>
        <w:t>3.3.44.109 Definition 3.3.90 – Funktionaler Übergangsabstand</w:t>
      </w:r>
    </w:p>
    <w:p w:rsidR="00ED1D54" w:rsidRDefault="00ED1D54" w:rsidP="00ED1D54">
      <w:pPr>
        <w:pStyle w:val="berschrift3"/>
      </w:pPr>
      <w:r>
        <w:t>Definition 3.3.90</w:t>
      </w:r>
    </w:p>
    <w:p w:rsidR="00ED1D54" w:rsidRDefault="00ED1D54" w:rsidP="00ED1D54">
      <w:pPr>
        <w:pStyle w:val="StandardWeb"/>
      </w:pPr>
      <w:r>
        <w:t xml:space="preserve">Für eine geeignete Modellklasse kann ein </w:t>
      </w:r>
      <w:r>
        <w:rPr>
          <w:rStyle w:val="Fett"/>
        </w:rPr>
        <w:t>funktionaler Übergangsabstand</w:t>
      </w:r>
    </w:p>
    <w:p w:rsidR="00ED1D54" w:rsidRDefault="00ED1D54" w:rsidP="00ED1D54">
      <w:pPr>
        <w:pStyle w:val="StandardWeb"/>
      </w:pPr>
      <w:r>
        <w:t>[</w:t>
      </w:r>
      <w:r>
        <w:br/>
        <w:t>d_T:</w:t>
      </w:r>
      <w:r>
        <w:br/>
        <w:t>\Omega_F\times\Omega_F</w:t>
      </w:r>
      <w:r>
        <w:br/>
        <w:t>\rightarrow</w:t>
      </w:r>
      <w:r>
        <w:br/>
        <w:t>\mathbb R_{\geq0}</w:t>
      </w:r>
      <w:r>
        <w:br/>
        <w:t>\tag{3.9849}</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d_T:\Omega_F\times\Omega_F\rightarrow\mathbb R_{\geq0}</w:t>
      </w:r>
    </w:p>
    <w:p w:rsidR="00ED1D54" w:rsidRDefault="00ED1D54" w:rsidP="00ED1D54">
      <w:pPr>
        <w:pStyle w:val="StandardWeb"/>
      </w:pPr>
      <w:r>
        <w:t>eingeführt werden.</w:t>
      </w:r>
    </w:p>
    <w:p w:rsidR="00ED1D54" w:rsidRDefault="00ED1D54" w:rsidP="00ED1D54">
      <w:pPr>
        <w:pStyle w:val="StandardWeb"/>
      </w:pPr>
      <w:r>
        <w:t>Eine Metrikeigenschaft wird dadurch noch nicht automatisch vorausgesetzt.</w:t>
      </w:r>
    </w:p>
    <w:p w:rsidR="00ED1D54" w:rsidRDefault="00E50336" w:rsidP="00ED1D54">
      <w:r>
        <w:pict>
          <v:rect id="_x0000_i2992" style="width:0;height:1.5pt" o:hralign="center" o:hrstd="t" o:hr="t" fillcolor="#a0a0a0" stroked="f"/>
        </w:pict>
      </w:r>
    </w:p>
    <w:p w:rsidR="00ED1D54" w:rsidRDefault="00ED1D54" w:rsidP="00ED1D54">
      <w:pPr>
        <w:pStyle w:val="berschrift1"/>
      </w:pPr>
      <w:r>
        <w:t>3.3.44.110 Übergangsabstand muss keine Metrik sein</w:t>
      </w:r>
    </w:p>
    <w:p w:rsidR="00ED1D54" w:rsidRDefault="00ED1D54" w:rsidP="00ED1D54">
      <w:pPr>
        <w:pStyle w:val="StandardWeb"/>
      </w:pPr>
      <w:r>
        <w:t>Insbesondere können einzelne metrische Eigenschaften fehlen.</w:t>
      </w:r>
    </w:p>
    <w:p w:rsidR="00ED1D54" w:rsidRDefault="00ED1D54" w:rsidP="00ED1D54">
      <w:pPr>
        <w:pStyle w:val="StandardWeb"/>
      </w:pPr>
      <w:r>
        <w:t>Beispielsweise muss nicht gelten</w:t>
      </w:r>
    </w:p>
    <w:p w:rsidR="00ED1D54" w:rsidRDefault="00ED1D54" w:rsidP="00ED1D54">
      <w:pPr>
        <w:pStyle w:val="berschrift1"/>
      </w:pPr>
      <w:r>
        <w:lastRenderedPageBreak/>
        <w:t>[</w:t>
      </w:r>
      <w:r>
        <w:br/>
        <w:t>d_T(z_i,z_j)</w:t>
      </w:r>
    </w:p>
    <w:p w:rsidR="00ED1D54" w:rsidRDefault="00ED1D54" w:rsidP="00ED1D54">
      <w:pPr>
        <w:pStyle w:val="StandardWeb"/>
      </w:pPr>
      <w:r>
        <w:t>d_T(z_j,z_i).</w:t>
      </w:r>
      <w:r>
        <w:br/>
        <w:t>\tag{3.9850}</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d_T(z_i,z_j)=d_T(z_j,z_i)</w:t>
      </w:r>
    </w:p>
    <w:p w:rsidR="00ED1D54" w:rsidRDefault="00ED1D54" w:rsidP="00ED1D54">
      <w:pPr>
        <w:pStyle w:val="StandardWeb"/>
      </w:pPr>
      <w:r>
        <w:t>Ebenso ist die Dreiecksungleichung</w:t>
      </w:r>
    </w:p>
    <w:p w:rsidR="00ED1D54" w:rsidRDefault="00ED1D54" w:rsidP="00ED1D54">
      <w:pPr>
        <w:pStyle w:val="StandardWeb"/>
      </w:pPr>
      <w:r>
        <w:t>[</w:t>
      </w:r>
      <w:r>
        <w:br/>
        <w:t>d_T(z_i,z_k)</w:t>
      </w:r>
      <w:r>
        <w:br/>
        <w:t>\leq</w:t>
      </w:r>
      <w:r>
        <w:br/>
        <w:t>d_T(z_i,z_j)</w:t>
      </w:r>
      <w:r>
        <w:br/>
        <w:t>+</w:t>
      </w:r>
      <w:r>
        <w:br/>
        <w:t>d_T(z_j,z_k)</w:t>
      </w:r>
      <w:r>
        <w:br/>
        <w:t>\tag{3.9851}</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d_T(z_i,z_k)\leq d_T(z_i,z_j)+d_T(z_j,z_k)</w:t>
      </w:r>
    </w:p>
    <w:p w:rsidR="00ED1D54" w:rsidRDefault="00ED1D54" w:rsidP="00ED1D54">
      <w:pPr>
        <w:pStyle w:val="StandardWeb"/>
      </w:pPr>
      <w:r>
        <w:t>nicht allgemein vorausgesetzt.</w:t>
      </w:r>
    </w:p>
    <w:p w:rsidR="00ED1D54" w:rsidRDefault="00ED1D54" w:rsidP="00ED1D54">
      <w:pPr>
        <w:pStyle w:val="StandardWeb"/>
      </w:pPr>
      <w:r>
        <w:t>Damit ist (d_T) zunächst lediglich eine Übergangskosten- oder Distanzfunktion.</w:t>
      </w:r>
    </w:p>
    <w:p w:rsidR="00ED1D54" w:rsidRDefault="00E50336" w:rsidP="00ED1D54">
      <w:r>
        <w:pict>
          <v:rect id="_x0000_i2993" style="width:0;height:1.5pt" o:hralign="center" o:hrstd="t" o:hr="t" fillcolor="#a0a0a0" stroked="f"/>
        </w:pict>
      </w:r>
    </w:p>
    <w:p w:rsidR="00ED1D54" w:rsidRDefault="00ED1D54" w:rsidP="00ED1D54">
      <w:pPr>
        <w:pStyle w:val="berschrift1"/>
      </w:pPr>
      <w:r>
        <w:t>3.3.44.111 Übergangskosten</w:t>
      </w:r>
    </w:p>
    <w:p w:rsidR="00ED1D54" w:rsidRDefault="00ED1D54" w:rsidP="00ED1D54">
      <w:pPr>
        <w:pStyle w:val="StandardWeb"/>
      </w:pPr>
      <w:r>
        <w:t>Allgemeiner kann deshalb eine Funktion</w:t>
      </w:r>
    </w:p>
    <w:p w:rsidR="00ED1D54" w:rsidRDefault="00ED1D54" w:rsidP="00ED1D54">
      <w:pPr>
        <w:pStyle w:val="StandardWeb"/>
      </w:pPr>
      <w:r>
        <w:t>[</w:t>
      </w:r>
      <w:r>
        <w:br/>
        <w:t>W_T:</w:t>
      </w:r>
      <w:r>
        <w:br/>
        <w:t>\mathcal T_F</w:t>
      </w:r>
      <w:r>
        <w:br/>
        <w:t>\rightarrow</w:t>
      </w:r>
      <w:r>
        <w:br/>
        <w:t>\mathbb R_{\geq0}</w:t>
      </w:r>
      <w:r>
        <w:br/>
        <w:t>\tag{3.9852}</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W_T:\mathcal T_F\rightarrow\mathbb R_{\geq0}</w:t>
      </w:r>
    </w:p>
    <w:p w:rsidR="00ED1D54" w:rsidRDefault="00ED1D54" w:rsidP="00ED1D54">
      <w:pPr>
        <w:pStyle w:val="StandardWeb"/>
      </w:pPr>
      <w:r>
        <w:t>verwendet werden.</w:t>
      </w:r>
    </w:p>
    <w:p w:rsidR="00ED1D54" w:rsidRDefault="00ED1D54" w:rsidP="00ED1D54">
      <w:pPr>
        <w:pStyle w:val="StandardWeb"/>
      </w:pPr>
      <w:r>
        <w:lastRenderedPageBreak/>
        <w:t>Für einen Übergang</w:t>
      </w:r>
    </w:p>
    <w:p w:rsidR="00ED1D54" w:rsidRDefault="00ED1D54" w:rsidP="00ED1D54">
      <w:pPr>
        <w:pStyle w:val="StandardWeb"/>
      </w:pPr>
      <w:r>
        <w:t>[</w:t>
      </w:r>
      <w:r>
        <w:br/>
        <w:t>z_i\rightarrow z_j</w:t>
      </w:r>
      <w:r>
        <w:br/>
        <w:t>\tag{3.9853}</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z_i\rightarrow z_j</w:t>
      </w:r>
    </w:p>
    <w:p w:rsidR="00ED1D54" w:rsidRDefault="00ED1D54" w:rsidP="00ED1D54">
      <w:pPr>
        <w:pStyle w:val="StandardWeb"/>
      </w:pPr>
      <w:r>
        <w:t>ist dann</w:t>
      </w:r>
    </w:p>
    <w:p w:rsidR="00ED1D54" w:rsidRDefault="00ED1D54" w:rsidP="00ED1D54">
      <w:pPr>
        <w:pStyle w:val="StandardWeb"/>
      </w:pPr>
      <w:r>
        <w:t>[</w:t>
      </w:r>
      <w:r>
        <w:br/>
        <w:t>W_T(z_i,z_j)</w:t>
      </w:r>
      <w:r>
        <w:br/>
        <w:t>\tag{3.9854}</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W_T(z_i,z_j)</w:t>
      </w:r>
    </w:p>
    <w:p w:rsidR="00ED1D54" w:rsidRDefault="00ED1D54" w:rsidP="00ED1D54">
      <w:pPr>
        <w:pStyle w:val="StandardWeb"/>
      </w:pPr>
      <w:r>
        <w:t>sein modellabhängiger Übergangswert.</w:t>
      </w:r>
    </w:p>
    <w:p w:rsidR="00ED1D54" w:rsidRDefault="00E50336" w:rsidP="00ED1D54">
      <w:r>
        <w:pict>
          <v:rect id="_x0000_i2994" style="width:0;height:1.5pt" o:hralign="center" o:hrstd="t" o:hr="t" fillcolor="#a0a0a0" stroked="f"/>
        </w:pict>
      </w:r>
    </w:p>
    <w:p w:rsidR="00ED1D54" w:rsidRDefault="00ED1D54" w:rsidP="00ED1D54">
      <w:pPr>
        <w:pStyle w:val="berschrift1"/>
      </w:pPr>
      <w:r>
        <w:t>3.3.44.112 Definition 3.3.91 – Funktionale Übergangskosten</w:t>
      </w:r>
    </w:p>
    <w:p w:rsidR="00ED1D54" w:rsidRDefault="00ED1D54" w:rsidP="00ED1D54">
      <w:pPr>
        <w:pStyle w:val="berschrift3"/>
      </w:pPr>
      <w:r>
        <w:t>Definition 3.3.91</w:t>
      </w:r>
    </w:p>
    <w:p w:rsidR="00ED1D54" w:rsidRDefault="00ED1D54" w:rsidP="00ED1D54">
      <w:pPr>
        <w:pStyle w:val="StandardWeb"/>
      </w:pPr>
      <w:r>
        <w:rPr>
          <w:rStyle w:val="Fett"/>
        </w:rPr>
        <w:t>Funktionale Übergangskosten</w:t>
      </w:r>
      <w:r>
        <w:t xml:space="preserve"> sind eine nichtnegative modellabhängige Bewertungsfunktion zulässiger Zustandsübergänge:</w:t>
      </w:r>
    </w:p>
    <w:p w:rsidR="00ED1D54" w:rsidRDefault="00ED1D54" w:rsidP="00ED1D54">
      <w:pPr>
        <w:pStyle w:val="StandardWeb"/>
      </w:pPr>
      <w:r>
        <w:t>[</w:t>
      </w:r>
      <w:r>
        <w:br/>
        <w:t>W_T:</w:t>
      </w:r>
      <w:r>
        <w:br/>
        <w:t>\mathcal T_F</w:t>
      </w:r>
      <w:r>
        <w:br/>
        <w:t>\rightarrow</w:t>
      </w:r>
      <w:r>
        <w:br/>
        <w:t>\mathbb R_{\geq0}.</w:t>
      </w:r>
      <w:r>
        <w:br/>
        <w:t>\tag{3.9855}</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W_T:\mathcal T_F\rightarrow\mathbb R_{\geq0}</w:t>
      </w:r>
    </w:p>
    <w:p w:rsidR="00ED1D54" w:rsidRDefault="00ED1D54" w:rsidP="00ED1D54">
      <w:pPr>
        <w:pStyle w:val="StandardWeb"/>
      </w:pPr>
      <w:r>
        <w:t>Der Begriff „Kosten“ ist dabei abstrakt zu verstehen. Er kann je nach Modell beispielsweise Änderungsumfang, benötigte Ressourcen, strukturelle Distanz oder eine andere Übergangsbewertung repräsentieren.</w:t>
      </w:r>
    </w:p>
    <w:p w:rsidR="00ED1D54" w:rsidRDefault="00E50336" w:rsidP="00ED1D54">
      <w:r>
        <w:pict>
          <v:rect id="_x0000_i2995" style="width:0;height:1.5pt" o:hralign="center" o:hrstd="t" o:hr="t" fillcolor="#a0a0a0" stroked="f"/>
        </w:pict>
      </w:r>
    </w:p>
    <w:p w:rsidR="00ED1D54" w:rsidRDefault="00ED1D54" w:rsidP="00ED1D54">
      <w:pPr>
        <w:pStyle w:val="berschrift1"/>
      </w:pPr>
      <w:r>
        <w:lastRenderedPageBreak/>
        <w:t>3.3.44.113 Kosten eines Übergangspfades</w:t>
      </w:r>
    </w:p>
    <w:p w:rsidR="00ED1D54" w:rsidRDefault="00ED1D54" w:rsidP="00ED1D54">
      <w:pPr>
        <w:pStyle w:val="StandardWeb"/>
      </w:pPr>
      <w:r>
        <w:t>Für einen Pfad</w:t>
      </w:r>
    </w:p>
    <w:p w:rsidR="00ED1D54" w:rsidRDefault="00ED1D54" w:rsidP="00ED1D54">
      <w:pPr>
        <w:pStyle w:val="berschrift1"/>
      </w:pPr>
      <w:r>
        <w:t>[</w:t>
      </w:r>
      <w:r>
        <w:br/>
        <w:t>\Pi_F</w:t>
      </w:r>
    </w:p>
    <w:p w:rsidR="00ED1D54" w:rsidRDefault="00ED1D54" w:rsidP="00ED1D54">
      <w:pPr>
        <w:pStyle w:val="StandardWeb"/>
      </w:pPr>
      <w:r>
        <w:t>(z_0,z_1,\ldots,z_n)</w:t>
      </w:r>
      <w:r>
        <w:br/>
        <w:t>\tag{3.9856}</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\Pi_F=(z_0,z_1,\ldots,z_n)</w:t>
      </w:r>
    </w:p>
    <w:p w:rsidR="00ED1D54" w:rsidRDefault="00ED1D54" w:rsidP="00ED1D54">
      <w:pPr>
        <w:pStyle w:val="StandardWeb"/>
      </w:pPr>
      <w:r>
        <w:t>kann die additive Pfadkostenfunktion</w:t>
      </w:r>
    </w:p>
    <w:p w:rsidR="00ED1D54" w:rsidRDefault="00ED1D54" w:rsidP="00ED1D54">
      <w:pPr>
        <w:pStyle w:val="berschrift1"/>
      </w:pPr>
      <w:r>
        <w:t>[</w:t>
      </w:r>
      <w:r>
        <w:br/>
        <w:t>W_T(\Pi_F)</w:t>
      </w:r>
    </w:p>
    <w:p w:rsidR="00ED1D54" w:rsidRDefault="00ED1D54" w:rsidP="00ED1D54">
      <w:pPr>
        <w:pStyle w:val="StandardWeb"/>
      </w:pPr>
      <w:r>
        <w:t>\sum_{k=1}^{n}</w:t>
      </w:r>
      <w:r>
        <w:br/>
        <w:t>W_T(z_{k-1},z_k)</w:t>
      </w:r>
      <w:r>
        <w:br/>
        <w:t>\tag{3.9857}</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W_T(\Pi_F)=\sum_{k=1}^{n}W_T(z_{k-1},z_k)</w:t>
      </w:r>
    </w:p>
    <w:p w:rsidR="00ED1D54" w:rsidRDefault="00ED1D54" w:rsidP="00ED1D54">
      <w:pPr>
        <w:pStyle w:val="StandardWeb"/>
      </w:pPr>
      <w:r>
        <w:t>definiert werden.</w:t>
      </w:r>
    </w:p>
    <w:p w:rsidR="00ED1D54" w:rsidRDefault="00ED1D54" w:rsidP="00ED1D54">
      <w:pPr>
        <w:pStyle w:val="StandardWeb"/>
      </w:pPr>
      <w:r>
        <w:t>Die Additivität ist dabei selbst eine Modellannahme.</w:t>
      </w:r>
    </w:p>
    <w:p w:rsidR="00ED1D54" w:rsidRDefault="00E50336" w:rsidP="00ED1D54">
      <w:r>
        <w:pict>
          <v:rect id="_x0000_i2996" style="width:0;height:1.5pt" o:hralign="center" o:hrstd="t" o:hr="t" fillcolor="#a0a0a0" stroked="f"/>
        </w:pict>
      </w:r>
    </w:p>
    <w:p w:rsidR="00ED1D54" w:rsidRDefault="00ED1D54" w:rsidP="00ED1D54">
      <w:pPr>
        <w:pStyle w:val="berschrift1"/>
      </w:pPr>
      <w:r>
        <w:t>3.3.44.114 Minimaler Übergangspfad</w:t>
      </w:r>
    </w:p>
    <w:p w:rsidR="00ED1D54" w:rsidRDefault="00ED1D54" w:rsidP="00ED1D54">
      <w:pPr>
        <w:pStyle w:val="StandardWeb"/>
      </w:pPr>
      <w:r>
        <w:t>Unter einer geeigneten Kostenfunktion kann ein minimaler Übergangspfad definiert werden:</w:t>
      </w:r>
    </w:p>
    <w:p w:rsidR="00ED1D54" w:rsidRDefault="00ED1D54" w:rsidP="00ED1D54">
      <w:pPr>
        <w:pStyle w:val="berschrift1"/>
      </w:pPr>
      <w:r>
        <w:t>[</w:t>
      </w:r>
      <w:r>
        <w:br/>
        <w:t>\Pi_F^\ast</w:t>
      </w:r>
    </w:p>
    <w:p w:rsidR="00ED1D54" w:rsidRDefault="00ED1D54" w:rsidP="00ED1D54">
      <w:pPr>
        <w:pStyle w:val="StandardWeb"/>
      </w:pPr>
      <w:r>
        <w:t>\operatorname*{arg,min}_{\Pi_F}</w:t>
      </w:r>
      <w:r>
        <w:br/>
        <w:t>W_T(\Pi_F).</w:t>
      </w:r>
      <w:r>
        <w:br/>
        <w:t>\tag{3.9858}</w:t>
      </w:r>
      <w:r>
        <w:br/>
        <w:t>]</w:t>
      </w:r>
    </w:p>
    <w:p w:rsidR="00ED1D54" w:rsidRDefault="00ED1D54" w:rsidP="00ED1D54">
      <w:pPr>
        <w:pStyle w:val="StandardWeb"/>
      </w:pPr>
      <w:r>
        <w:rPr>
          <w:rStyle w:val="Fett"/>
        </w:rPr>
        <w:lastRenderedPageBreak/>
        <w:t>Word-LaTeX</w:t>
      </w:r>
    </w:p>
    <w:p w:rsidR="00ED1D54" w:rsidRDefault="00ED1D54" w:rsidP="00ED1D54">
      <w:pPr>
        <w:pStyle w:val="HTMLVorformatiert"/>
        <w:rPr>
          <w:rStyle w:val="HTMLCode"/>
        </w:rPr>
      </w:pPr>
      <w:r>
        <w:rPr>
          <w:rStyle w:val="HTMLCode"/>
        </w:rPr>
        <w:t>\Pi_F^\ast=\operatorname*{arg\,min}_{\Pi_F}W_T(\Pi_F)</w:t>
      </w:r>
    </w:p>
    <w:p w:rsidR="00ED1D54" w:rsidRDefault="00ED1D54" w:rsidP="00ED1D54">
      <w:pPr>
        <w:pStyle w:val="StandardWeb"/>
      </w:pPr>
      <w:r>
        <w:t>Auch diese Konstruktion ist keine axiomatische Aussage über das FRZK insgesamt.</w:t>
      </w:r>
    </w:p>
    <w:p w:rsidR="00ED1D54" w:rsidRDefault="00E50336" w:rsidP="00ED1D54">
      <w:r>
        <w:pict>
          <v:rect id="_x0000_i2997" style="width:0;height:1.5pt" o:hralign="center" o:hrstd="t" o:hr="t" fillcolor="#a0a0a0" stroked="f"/>
        </w:pict>
      </w:r>
    </w:p>
    <w:p w:rsidR="00ED1D54" w:rsidRDefault="00ED1D54" w:rsidP="00ED1D54">
      <w:pPr>
        <w:pStyle w:val="berschrift1"/>
      </w:pPr>
      <w:r>
        <w:t>3.3.44.115 Keine universelle Optimalität</w:t>
      </w:r>
    </w:p>
    <w:p w:rsidR="00ED1D54" w:rsidRDefault="00ED1D54" w:rsidP="00ED1D54">
      <w:pPr>
        <w:pStyle w:val="StandardWeb"/>
      </w:pPr>
      <w:r>
        <w:t>Insbesondere folgt aus den bisherigen Primäraxiomen nicht</w:t>
      </w:r>
    </w:p>
    <w:p w:rsidR="00ED1D54" w:rsidRDefault="00ED1D54" w:rsidP="00ED1D54">
      <w:pPr>
        <w:pStyle w:val="berschrift1"/>
      </w:pPr>
      <w:r>
        <w:t>[</w:t>
      </w:r>
      <w:r>
        <w:br/>
        <w:t>\Pi_F</w:t>
      </w:r>
    </w:p>
    <w:p w:rsidR="00ED1D54" w:rsidRDefault="00ED1D54" w:rsidP="00ED1D54">
      <w:pPr>
        <w:pStyle w:val="StandardWeb"/>
      </w:pPr>
      <w:r>
        <w:t>\Pi_F^\ast.</w:t>
      </w:r>
      <w:r>
        <w:br/>
        <w:t>\tag{3.9859}</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\Pi_F=\Pi_F^\ast</w:t>
      </w:r>
    </w:p>
    <w:p w:rsidR="00ED1D54" w:rsidRDefault="00ED1D54" w:rsidP="00ED1D54">
      <w:pPr>
        <w:pStyle w:val="StandardWeb"/>
      </w:pPr>
      <w:r>
        <w:t>Ein realisierter Übergang muss daher nicht der kostengünstigste, kürzeste oder kohärenzmaximierende Übergang sein.</w:t>
      </w:r>
    </w:p>
    <w:p w:rsidR="00ED1D54" w:rsidRDefault="00E50336" w:rsidP="00ED1D54">
      <w:r>
        <w:pict>
          <v:rect id="_x0000_i2998" style="width:0;height:1.5pt" o:hralign="center" o:hrstd="t" o:hr="t" fillcolor="#a0a0a0" stroked="f"/>
        </w:pict>
      </w:r>
    </w:p>
    <w:p w:rsidR="00ED1D54" w:rsidRDefault="00ED1D54" w:rsidP="00ED1D54">
      <w:pPr>
        <w:pStyle w:val="berschrift1"/>
      </w:pPr>
      <w:r>
        <w:t>3.3.44.116 Übergangskosten und Kohärenzänderung</w:t>
      </w:r>
    </w:p>
    <w:p w:rsidR="00ED1D54" w:rsidRDefault="00ED1D54" w:rsidP="00ED1D54">
      <w:pPr>
        <w:pStyle w:val="StandardWeb"/>
      </w:pPr>
      <w:r>
        <w:t>Ebenso besteht ohne zusätzliche Modellannahme keine notwendige Beziehung zwischen</w:t>
      </w:r>
    </w:p>
    <w:p w:rsidR="00ED1D54" w:rsidRDefault="00ED1D54" w:rsidP="00ED1D54">
      <w:pPr>
        <w:pStyle w:val="StandardWeb"/>
      </w:pPr>
      <w:r>
        <w:t>[</w:t>
      </w:r>
      <w:r>
        <w:br/>
        <w:t>W_T(z_i,z_j)</w:t>
      </w:r>
      <w:r>
        <w:br/>
        <w:t>\tag{3.9860}</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W_T(z_i,z_j)</w:t>
      </w:r>
    </w:p>
    <w:p w:rsidR="00ED1D54" w:rsidRDefault="00ED1D54" w:rsidP="00ED1D54">
      <w:pPr>
        <w:pStyle w:val="StandardWeb"/>
      </w:pPr>
      <w:r>
        <w:t>und</w:t>
      </w:r>
    </w:p>
    <w:p w:rsidR="00ED1D54" w:rsidRDefault="00ED1D54" w:rsidP="00ED1D54">
      <w:pPr>
        <w:pStyle w:val="StandardWeb"/>
      </w:pPr>
      <w:r>
        <w:t>[</w:t>
      </w:r>
      <w:r>
        <w:br/>
        <w:t>\Delta C_F.</w:t>
      </w:r>
      <w:r>
        <w:br/>
        <w:t>\tag{3.9861}</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lastRenderedPageBreak/>
        <w:t>\Delta C_F</w:t>
      </w:r>
    </w:p>
    <w:p w:rsidR="00ED1D54" w:rsidRDefault="00ED1D54" w:rsidP="00ED1D54">
      <w:pPr>
        <w:pStyle w:val="StandardWeb"/>
      </w:pPr>
      <w:r>
        <w:t>Daher gilt</w:t>
      </w:r>
    </w:p>
    <w:p w:rsidR="00ED1D54" w:rsidRDefault="00ED1D54" w:rsidP="00ED1D54">
      <w:pPr>
        <w:pStyle w:val="StandardWeb"/>
      </w:pPr>
      <w:r>
        <w:t>[</w:t>
      </w:r>
      <w:r>
        <w:br/>
        <w:t>W_T</w:t>
      </w:r>
      <w:r>
        <w:br/>
        <w:t>\nRightarrow</w:t>
      </w:r>
      <w:r>
        <w:br/>
        <w:t>f(\Delta C_F)</w:t>
      </w:r>
      <w:r>
        <w:br/>
        <w:t>\tag{3.9862}</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W_T\nRightarrow f(\Delta C_F)</w:t>
      </w:r>
    </w:p>
    <w:p w:rsidR="00ED1D54" w:rsidRDefault="00ED1D54" w:rsidP="00ED1D54">
      <w:pPr>
        <w:pStyle w:val="StandardWeb"/>
      </w:pPr>
      <w:r>
        <w:t>ohne weitere Modellannahmen.</w:t>
      </w:r>
    </w:p>
    <w:p w:rsidR="00ED1D54" w:rsidRDefault="00E50336" w:rsidP="00ED1D54">
      <w:r>
        <w:pict>
          <v:rect id="_x0000_i2999" style="width:0;height:1.5pt" o:hralign="center" o:hrstd="t" o:hr="t" fillcolor="#a0a0a0" stroked="f"/>
        </w:pict>
      </w:r>
    </w:p>
    <w:p w:rsidR="00ED1D54" w:rsidRDefault="00ED1D54" w:rsidP="00ED1D54">
      <w:pPr>
        <w:pStyle w:val="berschrift1"/>
      </w:pPr>
      <w:r>
        <w:t>3.3.44.117 Zwischenbilanz der Übergangsarchitektur</w:t>
      </w:r>
    </w:p>
    <w:p w:rsidR="00ED1D54" w:rsidRDefault="00ED1D54" w:rsidP="00ED1D54">
      <w:pPr>
        <w:pStyle w:val="StandardWeb"/>
      </w:pPr>
      <w:r>
        <w:t>Bis zu diesem Punkt ergibt sich folgende wissenschaftliche Trennung:</w:t>
      </w:r>
    </w:p>
    <w:p w:rsidR="00ED1D54" w:rsidRDefault="00ED1D54" w:rsidP="00ED1D54">
      <w:pPr>
        <w:pStyle w:val="berschrift1"/>
      </w:pPr>
      <w:r>
        <w:t>[</w:t>
      </w:r>
      <w:r>
        <w:br/>
        <w:t>\mathfrak D_T</w:t>
      </w:r>
    </w:p>
    <w:p w:rsidR="00ED1D54" w:rsidRDefault="00ED1D54" w:rsidP="00ED1D54">
      <w:pPr>
        <w:pStyle w:val="StandardWeb"/>
      </w:pPr>
      <w:r>
        <w:t>\left{</w:t>
      </w:r>
      <w:r>
        <w:br/>
        <w:t>\mathcal T_F,</w:t>
      </w:r>
      <w:r>
        <w:br/>
        <w:t>\mathbb T_F,</w:t>
      </w:r>
      <w:r>
        <w:br/>
        <w:t>\Pi_F,</w:t>
      </w:r>
      <w:r>
        <w:br/>
        <w:t>\operatorname{Reach}_F,</w:t>
      </w:r>
      <w:r>
        <w:br/>
        <w:t>\operatorname{NT}_F,</w:t>
      </w:r>
      <w:r>
        <w:br/>
        <w:t>\operatorname{Poss}_T,</w:t>
      </w:r>
      <w:r>
        <w:br/>
        <w:t>\operatorname{Act}_T,</w:t>
      </w:r>
      <w:r>
        <w:br/>
        <w:t>\chi_T,</w:t>
      </w:r>
      <w:r>
        <w:br/>
        <w:t>\lambda,</w:t>
      </w:r>
      <w:r>
        <w:br/>
        <w:t>\prec_T,</w:t>
      </w:r>
      <w:r>
        <w:br/>
        <w:t>d_T,</w:t>
      </w:r>
      <w:r>
        <w:br/>
        <w:t>W_T,</w:t>
      </w:r>
      <w:r>
        <w:br/>
        <w:t>\ldots</w:t>
      </w:r>
      <w:r>
        <w:br/>
        <w:t>\right},</w:t>
      </w:r>
      <w:r>
        <w:br/>
        <w:t>\tag{3.9863}</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\mathfrak D_T=\left\{\mathcal T_F,\mathbb T_F,\Pi_F,\operatorname{Reach}_F,\operatorname{NT}_F,\operatorname{Poss}_T,\operatorname{Act}_T,\chi_T,\lambda,\prec_T,d_T,W_T,\ldots\right\}</w:t>
      </w:r>
    </w:p>
    <w:p w:rsidR="00ED1D54" w:rsidRDefault="00ED1D54" w:rsidP="00ED1D54">
      <w:pPr>
        <w:pStyle w:val="StandardWeb"/>
      </w:pPr>
      <w:r>
        <w:lastRenderedPageBreak/>
        <w:t>während konkrete Dynamikgesetze zur Modellschicht gehören:</w:t>
      </w:r>
    </w:p>
    <w:p w:rsidR="00ED1D54" w:rsidRDefault="00ED1D54" w:rsidP="00ED1D54">
      <w:pPr>
        <w:pStyle w:val="berschrift1"/>
      </w:pPr>
      <w:r>
        <w:t>[</w:t>
      </w:r>
      <w:r>
        <w:br/>
        <w:t>\mathfrak M_T</w:t>
      </w:r>
    </w:p>
    <w:p w:rsidR="00ED1D54" w:rsidRDefault="00ED1D54" w:rsidP="00ED1D54">
      <w:pPr>
        <w:pStyle w:val="StandardWeb"/>
      </w:pPr>
      <w:r>
        <w:t>\left{</w:t>
      </w:r>
      <w:r>
        <w:br/>
        <w:t>M_T,</w:t>
      </w:r>
      <w:r>
        <w:br/>
        <w:t>M_T^{\mathrm{det}},</w:t>
      </w:r>
      <w:r>
        <w:br/>
        <w:t>P_F,</w:t>
      </w:r>
      <w:r>
        <w:br/>
        <w:t>F,</w:t>
      </w:r>
      <w:r>
        <w:br/>
        <w:t>\tau_T,</w:t>
      </w:r>
      <w:r>
        <w:br/>
        <w:t>\ldots</w:t>
      </w:r>
      <w:r>
        <w:br/>
        <w:t>\right}.</w:t>
      </w:r>
      <w:r>
        <w:br/>
        <w:t>\tag{3.9864}</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\mathfrak M_T=\left\{M_T,M_T^{\mathrm{det}},P_F,F,\tau_T,\ldots\right\}</w:t>
      </w:r>
    </w:p>
    <w:p w:rsidR="00ED1D54" w:rsidRDefault="00E50336" w:rsidP="00ED1D54">
      <w:r>
        <w:pict>
          <v:rect id="_x0000_i3000" style="width:0;height:1.5pt" o:hralign="center" o:hrstd="t" o:hr="t" fillcolor="#a0a0a0" stroked="f"/>
        </w:pict>
      </w:r>
    </w:p>
    <w:p w:rsidR="00ED1D54" w:rsidRDefault="00ED1D54" w:rsidP="00ED1D54">
      <w:pPr>
        <w:pStyle w:val="berschrift1"/>
      </w:pPr>
      <w:r>
        <w:t>3.3.44.118 Primäraxiomstatus nach der zweiten Prüfung</w:t>
      </w:r>
    </w:p>
    <w:p w:rsidR="00ED1D54" w:rsidRDefault="00ED1D54" w:rsidP="00ED1D54">
      <w:pPr>
        <w:pStyle w:val="StandardWeb"/>
      </w:pPr>
      <w:r>
        <w:t>Für den bisherigen Gesamtstand von 3.3.44 gilt daher weiterhin</w:t>
      </w:r>
    </w:p>
    <w:p w:rsidR="00ED1D54" w:rsidRDefault="00ED1D54" w:rsidP="00ED1D54">
      <w:pPr>
        <w:pStyle w:val="berschrift1"/>
      </w:pPr>
      <w:r>
        <w:t>[</w:t>
      </w:r>
      <w:r>
        <w:br/>
        <w:t>\boxed{</w:t>
      </w:r>
      <w:r>
        <w:br/>
        <w:t>\mathfrak A_{3.3.44}^{\mathrm{new}}</w:t>
      </w:r>
    </w:p>
    <w:p w:rsidR="00ED1D54" w:rsidRDefault="00ED1D54" w:rsidP="00ED1D54">
      <w:pPr>
        <w:pStyle w:val="StandardWeb"/>
      </w:pPr>
      <w:r>
        <w:t>\varnothing.</w:t>
      </w:r>
      <w:r>
        <w:br/>
        <w:t>}</w:t>
      </w:r>
      <w:r>
        <w:br/>
        <w:t>\tag{3.9865}</w:t>
      </w:r>
      <w:r>
        <w:br/>
        <w:t>]</w:t>
      </w:r>
    </w:p>
    <w:p w:rsidR="00ED1D54" w:rsidRDefault="00ED1D54" w:rsidP="00ED1D54">
      <w:pPr>
        <w:pStyle w:val="StandardWeb"/>
      </w:pPr>
      <w:r>
        <w:rPr>
          <w:rStyle w:val="Fett"/>
        </w:rPr>
        <w:t>Word-LaTeX</w:t>
      </w:r>
    </w:p>
    <w:p w:rsidR="00ED1D54" w:rsidRDefault="00ED1D54" w:rsidP="00ED1D54">
      <w:pPr>
        <w:pStyle w:val="HTMLVorformatiert"/>
        <w:rPr>
          <w:rStyle w:val="HTMLCode"/>
        </w:rPr>
      </w:pPr>
      <w:r>
        <w:rPr>
          <w:rStyle w:val="HTMLCode"/>
        </w:rPr>
        <w:t>\boxed{\mathfrak A_{3.3.44}^{\mathrm{new}}=\varnothing.}</w:t>
      </w:r>
    </w:p>
    <w:p w:rsidR="00ED1D54" w:rsidRDefault="00ED1D54" w:rsidP="00ED1D54">
      <w:pPr>
        <w:pStyle w:val="StandardWeb"/>
      </w:pPr>
      <w:r>
        <w:t>Weder (A_T) noch (A_T^{\min}) erfüllen die bisher festgelegten Bedingungen eines neuen Primäraxioms.</w:t>
      </w:r>
    </w:p>
    <w:p w:rsidR="00ED1D54" w:rsidRDefault="00E50336" w:rsidP="00ED1D54">
      <w:r>
        <w:pict>
          <v:rect id="_x0000_i3001" style="width:0;height:1.5pt" o:hralign="center" o:hrstd="t" o:hr="t" fillcolor="#a0a0a0" stroked="f"/>
        </w:pict>
      </w:r>
    </w:p>
    <w:p w:rsidR="00ED1D54" w:rsidRDefault="00ED1D54" w:rsidP="00ED1D54">
      <w:pPr>
        <w:pStyle w:val="berschrift1"/>
      </w:pPr>
      <w:r>
        <w:t>3.3.44.119 Noch kein Abschluss von Abschnitt 3.3.44</w:t>
      </w:r>
    </w:p>
    <w:p w:rsidR="00ED1D54" w:rsidRDefault="00ED1D54" w:rsidP="00ED1D54">
      <w:pPr>
        <w:pStyle w:val="StandardWeb"/>
      </w:pPr>
      <w:r>
        <w:lastRenderedPageBreak/>
        <w:t>Abschnitt 3.3.44 ist damit dennoch nicht abgeschlossen.</w:t>
      </w:r>
    </w:p>
    <w:p w:rsidR="00ED1D54" w:rsidRDefault="00ED1D54" w:rsidP="00ED1D54">
      <w:pPr>
        <w:pStyle w:val="StandardWeb"/>
      </w:pPr>
      <w:r>
        <w:t>Vor den methodologischen und didaktischen Betrachtungen müssen mindestens noch die folgenden Punkte geprüft werden: die endgültige Statusmatrix aller Übergangsbegriffe, mögliche verdeckte Dynamikaxiome, die Konsistenz der Übergangsarchitektur mit der bereits abgeschlossenen Kohärenzarchitektur und die Frage, ob aus der Kombination von Kohärenz und Übergangsstruktur neue abgeleitete Aussagen folgen.</w:t>
      </w:r>
    </w:p>
    <w:p w:rsidR="00ED1D54" w:rsidRDefault="00ED1D54" w:rsidP="00ED1D54">
      <w:pPr>
        <w:pStyle w:val="StandardWeb"/>
      </w:pPr>
      <w:r>
        <w:t xml:space="preserve">Der nächste Teil beginnt deshalb bei </w:t>
      </w:r>
      <w:r>
        <w:rPr>
          <w:rStyle w:val="Fett"/>
        </w:rPr>
        <w:t>3.3.44.120 / Gleichung (3.9866)</w:t>
      </w:r>
      <w:r>
        <w:t xml:space="preserve"> mit der </w:t>
      </w:r>
      <w:r>
        <w:rPr>
          <w:rStyle w:val="Fett"/>
        </w:rPr>
        <w:t>Kohärenz-Übergangs-Kopplung und der abschließenden Statusprüfung der Übergangsarchitektur</w:t>
      </w:r>
      <w:r>
        <w:t>.</w:t>
      </w:r>
    </w:p>
    <w:p w:rsidR="00643E65" w:rsidRDefault="00643E65" w:rsidP="00643E65">
      <w:pPr>
        <w:pStyle w:val="berschrift1"/>
        <w:rPr>
          <w:rFonts w:cs="Times New Roman"/>
          <w:sz w:val="48"/>
          <w:szCs w:val="48"/>
        </w:rPr>
      </w:pPr>
      <w:r>
        <w:t>3.3.44.120 Kohärenz-Übergangs-Kopplung</w:t>
      </w:r>
    </w:p>
    <w:p w:rsidR="00643E65" w:rsidRDefault="00643E65" w:rsidP="00643E65">
      <w:pPr>
        <w:pStyle w:val="StandardWeb"/>
      </w:pPr>
      <w:r>
        <w:t>Nachdem ich die Übergangsarchitektur zunächst unabhängig von der Kohärenzarchitektur aufgebaut habe, muss ich nun untersuchen, welche Beziehungen zwischen beiden Strukturen zulässig sind. Dabei ist insbesondere zu verhindern, dass aus der gemeinsamen Verwendung von Kohärenz und Übergang unbeabsichtigt ein neues Primäraxiom entsteht.</w:t>
      </w:r>
    </w:p>
    <w:p w:rsidR="00643E65" w:rsidRDefault="00643E65" w:rsidP="00643E65">
      <w:pPr>
        <w:pStyle w:val="StandardWeb"/>
      </w:pPr>
      <w:r>
        <w:t>Die beiden bisher getrennten Strukturen lassen sich zunächst als</w:t>
      </w:r>
    </w:p>
    <w:p w:rsidR="00643E65" w:rsidRDefault="00643E65" w:rsidP="00643E65">
      <w:pPr>
        <w:pStyle w:val="StandardWeb"/>
      </w:pPr>
      <w:r>
        <w:t>[</w:t>
      </w:r>
      <w:r>
        <w:br/>
        <w:t>C_F(\mathcal S;z)</w:t>
      </w:r>
      <w:r>
        <w:br/>
        <w:t>\tag{3.9866}</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C_F(\mathcal S;z)</w:t>
      </w:r>
    </w:p>
    <w:p w:rsidR="00643E65" w:rsidRDefault="00643E65" w:rsidP="00643E65">
      <w:pPr>
        <w:pStyle w:val="StandardWeb"/>
      </w:pPr>
      <w:r>
        <w:t>und</w:t>
      </w:r>
    </w:p>
    <w:p w:rsidR="00643E65" w:rsidRDefault="00643E65" w:rsidP="00643E65">
      <w:pPr>
        <w:pStyle w:val="StandardWeb"/>
      </w:pPr>
      <w:r>
        <w:t>[</w:t>
      </w:r>
      <w:r>
        <w:br/>
        <w:t>(z_i,z_j)\in\mathcal T_F</w:t>
      </w:r>
      <w:r>
        <w:br/>
        <w:t>\tag{3.9867}</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(z_i,z_j)\in\mathcal T_F</w:t>
      </w:r>
    </w:p>
    <w:p w:rsidR="00643E65" w:rsidRDefault="00643E65" w:rsidP="00643E65">
      <w:pPr>
        <w:pStyle w:val="StandardWeb"/>
      </w:pPr>
      <w:r>
        <w:t>darstellen.</w:t>
      </w:r>
    </w:p>
    <w:p w:rsidR="00643E65" w:rsidRDefault="00643E65" w:rsidP="00643E65">
      <w:pPr>
        <w:pStyle w:val="StandardWeb"/>
      </w:pPr>
      <w:r>
        <w:t>Die erste Größe beschreibt funktionale Kohärenz innerhalb eines Zustandes, während die zweite Relation einen zulässigen Übergang zwischen Zuständen kennzeichnet. Eine Beziehung zwischen beiden ist damit noch nicht festgelegt.</w:t>
      </w:r>
    </w:p>
    <w:p w:rsidR="00643E65" w:rsidRDefault="00E50336" w:rsidP="00643E65">
      <w:r>
        <w:pict>
          <v:rect id="_x0000_i3002" style="width:0;height:1.5pt" o:hralign="center" o:hrstd="t" o:hr="t" fillcolor="#a0a0a0" stroked="f"/>
        </w:pict>
      </w:r>
    </w:p>
    <w:p w:rsidR="00643E65" w:rsidRDefault="00643E65" w:rsidP="00643E65">
      <w:pPr>
        <w:pStyle w:val="berschrift1"/>
      </w:pPr>
      <w:r>
        <w:t>3.3.44.121 Kohärenz vor und nach einem Übergang</w:t>
      </w:r>
    </w:p>
    <w:p w:rsidR="00643E65" w:rsidRDefault="00643E65" w:rsidP="00643E65">
      <w:pPr>
        <w:pStyle w:val="StandardWeb"/>
      </w:pPr>
      <w:r>
        <w:lastRenderedPageBreak/>
        <w:t>Für einen Übergang</w:t>
      </w:r>
    </w:p>
    <w:p w:rsidR="00643E65" w:rsidRDefault="00643E65" w:rsidP="00643E65">
      <w:pPr>
        <w:pStyle w:val="StandardWeb"/>
      </w:pPr>
      <w:r>
        <w:t>[</w:t>
      </w:r>
      <w:r>
        <w:br/>
        <w:t>z_i\rightarrow z_j</w:t>
      </w:r>
      <w:r>
        <w:br/>
        <w:t>\tag{3.9868}</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z_i\rightarrow z_j</w:t>
      </w:r>
    </w:p>
    <w:p w:rsidR="00643E65" w:rsidRDefault="00643E65" w:rsidP="00643E65">
      <w:pPr>
        <w:pStyle w:val="StandardWeb"/>
      </w:pPr>
      <w:r>
        <w:t>kann ich die Kohärenz vor dem Übergang als</w:t>
      </w:r>
    </w:p>
    <w:p w:rsidR="00643E65" w:rsidRDefault="00643E65" w:rsidP="00643E65">
      <w:pPr>
        <w:pStyle w:val="berschrift1"/>
      </w:pPr>
      <w:r>
        <w:t>[</w:t>
      </w:r>
      <w:r>
        <w:br/>
        <w:t>C_F^{(i)}</w:t>
      </w:r>
    </w:p>
    <w:p w:rsidR="00643E65" w:rsidRDefault="00643E65" w:rsidP="00643E65">
      <w:pPr>
        <w:pStyle w:val="StandardWeb"/>
      </w:pPr>
      <w:r>
        <w:t>C_F(\mathcal S;z_i)</w:t>
      </w:r>
      <w:r>
        <w:br/>
        <w:t>\tag{3.9869}</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C_F^{(i)}=C_F(\mathcal S;z_i)</w:t>
      </w:r>
    </w:p>
    <w:p w:rsidR="00643E65" w:rsidRDefault="00643E65" w:rsidP="00643E65">
      <w:pPr>
        <w:pStyle w:val="StandardWeb"/>
      </w:pPr>
      <w:r>
        <w:t>und nach dem Übergang als</w:t>
      </w:r>
    </w:p>
    <w:p w:rsidR="00643E65" w:rsidRDefault="00643E65" w:rsidP="00643E65">
      <w:pPr>
        <w:pStyle w:val="berschrift1"/>
      </w:pPr>
      <w:r>
        <w:t>[</w:t>
      </w:r>
      <w:r>
        <w:br/>
        <w:t>C_F^{(j)}</w:t>
      </w:r>
    </w:p>
    <w:p w:rsidR="00643E65" w:rsidRDefault="00643E65" w:rsidP="00643E65">
      <w:pPr>
        <w:pStyle w:val="StandardWeb"/>
      </w:pPr>
      <w:r>
        <w:t>C_F(\mathcal S;z_j)</w:t>
      </w:r>
      <w:r>
        <w:br/>
        <w:t>\tag{3.9870}</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C_F^{(j)}=C_F(\mathcal S;z_j)</w:t>
      </w:r>
    </w:p>
    <w:p w:rsidR="00643E65" w:rsidRDefault="00643E65" w:rsidP="00643E65">
      <w:pPr>
        <w:pStyle w:val="StandardWeb"/>
      </w:pPr>
      <w:r>
        <w:t>bezeichnen.</w:t>
      </w:r>
    </w:p>
    <w:p w:rsidR="00643E65" w:rsidRDefault="00643E65" w:rsidP="00643E65">
      <w:pPr>
        <w:pStyle w:val="StandardWeb"/>
      </w:pPr>
      <w:r>
        <w:t>Damit lässt sich eine Kohärenzänderung definieren.</w:t>
      </w:r>
    </w:p>
    <w:p w:rsidR="00643E65" w:rsidRDefault="00E50336" w:rsidP="00643E65">
      <w:r>
        <w:pict>
          <v:rect id="_x0000_i3003" style="width:0;height:1.5pt" o:hralign="center" o:hrstd="t" o:hr="t" fillcolor="#a0a0a0" stroked="f"/>
        </w:pict>
      </w:r>
    </w:p>
    <w:p w:rsidR="00643E65" w:rsidRDefault="00643E65" w:rsidP="00643E65">
      <w:pPr>
        <w:pStyle w:val="berschrift1"/>
      </w:pPr>
      <w:r>
        <w:t>3.3.44.122 Definition 3.3.92 – Übergangsbezogene Kohärenzänderung</w:t>
      </w:r>
    </w:p>
    <w:p w:rsidR="00643E65" w:rsidRDefault="00643E65" w:rsidP="00643E65">
      <w:pPr>
        <w:pStyle w:val="berschrift3"/>
      </w:pPr>
      <w:r>
        <w:t>Definition 3.3.92</w:t>
      </w:r>
    </w:p>
    <w:p w:rsidR="00643E65" w:rsidRDefault="00643E65" w:rsidP="00643E65">
      <w:pPr>
        <w:pStyle w:val="StandardWeb"/>
      </w:pPr>
      <w:r>
        <w:lastRenderedPageBreak/>
        <w:t xml:space="preserve">Für einen zulässigen Übergang ((z_i,z_j)\in\mathcal T_F) definiere ich die </w:t>
      </w:r>
      <w:r>
        <w:rPr>
          <w:rStyle w:val="Fett"/>
        </w:rPr>
        <w:t>übergangsbezogene Kohärenzänderung</w:t>
      </w:r>
      <w:r>
        <w:t xml:space="preserve"> durch</w:t>
      </w:r>
    </w:p>
    <w:p w:rsidR="00643E65" w:rsidRDefault="00643E65" w:rsidP="00643E65">
      <w:pPr>
        <w:pStyle w:val="berschrift1"/>
      </w:pPr>
      <w:r>
        <w:t>[</w:t>
      </w:r>
      <w:r>
        <w:br/>
        <w:t>\Delta_T C_F(z_i,z_j)</w:t>
      </w:r>
    </w:p>
    <w:p w:rsidR="00643E65" w:rsidRDefault="00643E65" w:rsidP="00643E65">
      <w:pPr>
        <w:pStyle w:val="berschrift2"/>
      </w:pPr>
      <w:r>
        <w:t>C_F(\mathcal S;z_j)</w:t>
      </w:r>
    </w:p>
    <w:p w:rsidR="00643E65" w:rsidRDefault="00643E65" w:rsidP="00643E65">
      <w:pPr>
        <w:pStyle w:val="StandardWeb"/>
      </w:pPr>
      <w:r>
        <w:t>C_F(\mathcal S;z_i).</w:t>
      </w:r>
      <w:r>
        <w:br/>
        <w:t>\tag{3.9871}</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\Delta_T C_F(z_i,z_j)=C_F(\mathcal S;z_j)-C_F(\mathcal S;z_i)</w:t>
      </w:r>
    </w:p>
    <w:p w:rsidR="00643E65" w:rsidRDefault="00643E65" w:rsidP="00643E65">
      <w:pPr>
        <w:pStyle w:val="StandardWeb"/>
      </w:pPr>
      <w:r>
        <w:t>Diese Definition setzt keine Richtung der Kohärenzänderung voraus.</w:t>
      </w:r>
    </w:p>
    <w:p w:rsidR="00643E65" w:rsidRDefault="00E50336" w:rsidP="00643E65">
      <w:r>
        <w:pict>
          <v:rect id="_x0000_i3004" style="width:0;height:1.5pt" o:hralign="center" o:hrstd="t" o:hr="t" fillcolor="#a0a0a0" stroked="f"/>
        </w:pict>
      </w:r>
    </w:p>
    <w:p w:rsidR="00643E65" w:rsidRDefault="00643E65" w:rsidP="00643E65">
      <w:pPr>
        <w:pStyle w:val="berschrift1"/>
      </w:pPr>
      <w:r>
        <w:t>3.3.44.123 Drei elementare Kohärenzfälle</w:t>
      </w:r>
    </w:p>
    <w:p w:rsidR="00643E65" w:rsidRDefault="00643E65" w:rsidP="00643E65">
      <w:pPr>
        <w:pStyle w:val="StandardWeb"/>
      </w:pPr>
      <w:r>
        <w:t>Für einen Übergang können damit zunächst drei Fälle unterschieden werden.</w:t>
      </w:r>
    </w:p>
    <w:p w:rsidR="00643E65" w:rsidRDefault="00643E65" w:rsidP="00643E65">
      <w:pPr>
        <w:pStyle w:val="StandardWeb"/>
      </w:pPr>
      <w:r>
        <w:t>Eine Kohärenzzunahme liegt vor, wenn</w:t>
      </w:r>
    </w:p>
    <w:p w:rsidR="00643E65" w:rsidRDefault="00643E65" w:rsidP="00643E65">
      <w:pPr>
        <w:pStyle w:val="StandardWeb"/>
      </w:pPr>
      <w:r>
        <w:t>[</w:t>
      </w:r>
      <w:r>
        <w:br/>
        <w:t>\Delta_T C_F&gt;0.</w:t>
      </w:r>
      <w:r>
        <w:br/>
        <w:t>\tag{3.9872}</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\Delta_T C_F&gt;0</w:t>
      </w:r>
    </w:p>
    <w:p w:rsidR="00643E65" w:rsidRDefault="00643E65" w:rsidP="00643E65">
      <w:pPr>
        <w:pStyle w:val="StandardWeb"/>
      </w:pPr>
      <w:r>
        <w:t>Kohärenzerhaltung liegt vor, wenn</w:t>
      </w:r>
    </w:p>
    <w:p w:rsidR="00643E65" w:rsidRDefault="00643E65" w:rsidP="00643E65">
      <w:pPr>
        <w:pStyle w:val="StandardWeb"/>
      </w:pPr>
      <w:r>
        <w:t>[</w:t>
      </w:r>
      <w:r>
        <w:br/>
        <w:t>\Delta_T C_F=0.</w:t>
      </w:r>
      <w:r>
        <w:br/>
        <w:t>\tag{3.9873}</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\Delta_T C_F=0</w:t>
      </w:r>
    </w:p>
    <w:p w:rsidR="00643E65" w:rsidRDefault="00643E65" w:rsidP="00643E65">
      <w:pPr>
        <w:pStyle w:val="StandardWeb"/>
      </w:pPr>
      <w:r>
        <w:t>Eine Kohärenzabnahme liegt vor, wenn</w:t>
      </w:r>
    </w:p>
    <w:p w:rsidR="00643E65" w:rsidRDefault="00643E65" w:rsidP="00643E65">
      <w:pPr>
        <w:pStyle w:val="StandardWeb"/>
      </w:pPr>
      <w:r>
        <w:t>[</w:t>
      </w:r>
      <w:r>
        <w:br/>
        <w:t>\Delta_T C_F&lt;0.</w:t>
      </w:r>
      <w:r>
        <w:br/>
      </w:r>
      <w:r>
        <w:lastRenderedPageBreak/>
        <w:t>\tag{3.9874}</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\Delta_T C_F&lt;0</w:t>
      </w:r>
    </w:p>
    <w:p w:rsidR="00643E65" w:rsidRDefault="00643E65" w:rsidP="00643E65">
      <w:pPr>
        <w:pStyle w:val="StandardWeb"/>
      </w:pPr>
      <w:r>
        <w:t>Keine dieser drei Möglichkeiten wird durch die bisherige Übergangsdefinition ausgeschlossen.</w:t>
      </w:r>
    </w:p>
    <w:p w:rsidR="00643E65" w:rsidRDefault="00E50336" w:rsidP="00643E65">
      <w:r>
        <w:pict>
          <v:rect id="_x0000_i3005" style="width:0;height:1.5pt" o:hralign="center" o:hrstd="t" o:hr="t" fillcolor="#a0a0a0" stroked="f"/>
        </w:pict>
      </w:r>
    </w:p>
    <w:p w:rsidR="00643E65" w:rsidRDefault="00643E65" w:rsidP="00643E65">
      <w:pPr>
        <w:pStyle w:val="berschrift1"/>
      </w:pPr>
      <w:r>
        <w:t>3.3.44.124 Keine monotone Kohärenzentwicklung</w:t>
      </w:r>
    </w:p>
    <w:p w:rsidR="00643E65" w:rsidRDefault="00643E65" w:rsidP="00643E65">
      <w:pPr>
        <w:pStyle w:val="StandardWeb"/>
      </w:pPr>
      <w:r>
        <w:t>Insbesondere folgt aus dem Primäraxiom (A_C) nicht, dass Kohärenz entlang eines Übergangs stets zunimmt:</w:t>
      </w:r>
    </w:p>
    <w:p w:rsidR="00643E65" w:rsidRDefault="00643E65" w:rsidP="00643E65">
      <w:pPr>
        <w:pStyle w:val="StandardWeb"/>
      </w:pPr>
      <w:r>
        <w:t>[</w:t>
      </w:r>
      <w:r>
        <w:br/>
        <w:t>A_C</w:t>
      </w:r>
      <w:r>
        <w:br/>
        <w:t>\nRightarrow</w:t>
      </w:r>
      <w:r>
        <w:br/>
        <w:t>\Delta_T C_F\geq0.</w:t>
      </w:r>
      <w:r>
        <w:br/>
        <w:t>\tag{3.9875}</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A_C\nRightarrow\Delta_T C_F\geq0</w:t>
      </w:r>
    </w:p>
    <w:p w:rsidR="00643E65" w:rsidRDefault="00643E65" w:rsidP="00643E65">
      <w:pPr>
        <w:pStyle w:val="StandardWeb"/>
      </w:pPr>
      <w:r>
        <w:t>Auch aus der dynamischen Modellannahme (M_T) folgt dies nicht:</w:t>
      </w:r>
    </w:p>
    <w:p w:rsidR="00643E65" w:rsidRDefault="00643E65" w:rsidP="00643E65">
      <w:pPr>
        <w:pStyle w:val="StandardWeb"/>
      </w:pPr>
      <w:r>
        <w:t>[</w:t>
      </w:r>
      <w:r>
        <w:br/>
        <w:t>M_T</w:t>
      </w:r>
      <w:r>
        <w:br/>
        <w:t>\nRightarrow</w:t>
      </w:r>
      <w:r>
        <w:br/>
        <w:t>\Delta_T C_F\geq0.</w:t>
      </w:r>
      <w:r>
        <w:br/>
        <w:t>\tag{3.9876}</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M_T\nRightarrow\Delta_T C_F\geq0</w:t>
      </w:r>
    </w:p>
    <w:p w:rsidR="00643E65" w:rsidRDefault="00643E65" w:rsidP="00643E65">
      <w:pPr>
        <w:pStyle w:val="StandardWeb"/>
      </w:pPr>
      <w:r>
        <w:t>Damit enthält die bisherige Theorie kein allgemeines Kohärenzsteigerungsprinzip.</w:t>
      </w:r>
    </w:p>
    <w:p w:rsidR="00643E65" w:rsidRDefault="00E50336" w:rsidP="00643E65">
      <w:r>
        <w:pict>
          <v:rect id="_x0000_i3006" style="width:0;height:1.5pt" o:hralign="center" o:hrstd="t" o:hr="t" fillcolor="#a0a0a0" stroked="f"/>
        </w:pict>
      </w:r>
    </w:p>
    <w:p w:rsidR="00643E65" w:rsidRDefault="00643E65" w:rsidP="00643E65">
      <w:pPr>
        <w:pStyle w:val="berschrift1"/>
      </w:pPr>
      <w:r>
        <w:t>3.3.44.125 Warum diese Trennung notwendig ist</w:t>
      </w:r>
    </w:p>
    <w:p w:rsidR="00643E65" w:rsidRDefault="00643E65" w:rsidP="00643E65">
      <w:pPr>
        <w:pStyle w:val="StandardWeb"/>
      </w:pPr>
      <w:r>
        <w:t>Würde ich ohne weitere Begründung verlangen,</w:t>
      </w:r>
    </w:p>
    <w:p w:rsidR="00643E65" w:rsidRDefault="00643E65" w:rsidP="00643E65">
      <w:pPr>
        <w:pStyle w:val="StandardWeb"/>
      </w:pPr>
      <w:r>
        <w:t>[</w:t>
      </w:r>
      <w:r>
        <w:br/>
        <w:t>\forall(z_i,z_j)\in\mathcal T_F:</w:t>
      </w:r>
      <w:r>
        <w:br/>
      </w:r>
      <w:r>
        <w:lastRenderedPageBreak/>
        <w:t>C_F(z_j)\geq C_F(z_i),</w:t>
      </w:r>
      <w:r>
        <w:br/>
        <w:t>\tag{3.9877}</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\forall(z_i,z_j)\in\mathcal T_F:C_F(z_j)\geq C_F(z_i)</w:t>
      </w:r>
    </w:p>
    <w:p w:rsidR="00643E65" w:rsidRDefault="00643E65" w:rsidP="00643E65">
      <w:pPr>
        <w:pStyle w:val="StandardWeb"/>
      </w:pPr>
      <w:r>
        <w:t>würde ich der Übergangsarchitektur eine gerichtete Entwicklungsvorschrift hinzufügen.</w:t>
      </w:r>
    </w:p>
    <w:p w:rsidR="00643E65" w:rsidRDefault="00643E65" w:rsidP="00643E65">
      <w:pPr>
        <w:pStyle w:val="StandardWeb"/>
      </w:pPr>
      <w:r>
        <w:t>Eine solche Forderung wäre stärker als die bisherige Definition von (\mathcal T_F) und müsste daher eigenständig klassifiziert werden.</w:t>
      </w:r>
    </w:p>
    <w:p w:rsidR="00643E65" w:rsidRDefault="00E50336" w:rsidP="00643E65">
      <w:r>
        <w:pict>
          <v:rect id="_x0000_i3007" style="width:0;height:1.5pt" o:hralign="center" o:hrstd="t" o:hr="t" fillcolor="#a0a0a0" stroked="f"/>
        </w:pict>
      </w:r>
    </w:p>
    <w:p w:rsidR="00643E65" w:rsidRDefault="00643E65" w:rsidP="00643E65">
      <w:pPr>
        <w:pStyle w:val="berschrift1"/>
      </w:pPr>
      <w:r>
        <w:t>3.3.44.126 Kandidat eines Kohärenzmonotonieprinzips</w:t>
      </w:r>
    </w:p>
    <w:p w:rsidR="00643E65" w:rsidRDefault="00643E65" w:rsidP="00643E65">
      <w:pPr>
        <w:pStyle w:val="StandardWeb"/>
      </w:pPr>
      <w:r>
        <w:t>Ich bezeichne die mögliche Forderung</w:t>
      </w:r>
    </w:p>
    <w:p w:rsidR="00643E65" w:rsidRDefault="00643E65" w:rsidP="00643E65">
      <w:pPr>
        <w:pStyle w:val="StandardWeb"/>
      </w:pPr>
      <w:r>
        <w:t>[</w:t>
      </w:r>
      <w:r>
        <w:br/>
        <w:t>M_C^{\uparrow}:</w:t>
      </w:r>
      <w:r>
        <w:br/>
        <w:t>\forall(z_i,z_j)\in\mathcal T_F:</w:t>
      </w:r>
      <w:r>
        <w:br/>
        <w:t>C_F(z_j)\geq C_F(z_i)</w:t>
      </w:r>
      <w:r>
        <w:br/>
        <w:t>\tag{3.9878}</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M_C^{\uparrow}:\forall(z_i,z_j)\in\mathcal T_F:C_F(z_j)\geq C_F(z_i)</w:t>
      </w:r>
    </w:p>
    <w:p w:rsidR="00643E65" w:rsidRDefault="00643E65" w:rsidP="00643E65">
      <w:pPr>
        <w:pStyle w:val="StandardWeb"/>
      </w:pPr>
      <w:r>
        <w:t xml:space="preserve">als </w:t>
      </w:r>
      <w:r>
        <w:rPr>
          <w:rStyle w:val="Fett"/>
        </w:rPr>
        <w:t>Kohärenzmonotonieannahme</w:t>
      </w:r>
      <w:r>
        <w:t>.</w:t>
      </w:r>
    </w:p>
    <w:p w:rsidR="00643E65" w:rsidRDefault="00643E65" w:rsidP="00643E65">
      <w:pPr>
        <w:pStyle w:val="StandardWeb"/>
      </w:pPr>
      <w:r>
        <w:t>Sie besagt, dass ein zulässiger Übergang die funktionale Kohärenz nicht vermindern darf.</w:t>
      </w:r>
    </w:p>
    <w:p w:rsidR="00643E65" w:rsidRDefault="00E50336" w:rsidP="00643E65">
      <w:r>
        <w:pict>
          <v:rect id="_x0000_i3008" style="width:0;height:1.5pt" o:hralign="center" o:hrstd="t" o:hr="t" fillcolor="#a0a0a0" stroked="f"/>
        </w:pict>
      </w:r>
    </w:p>
    <w:p w:rsidR="00643E65" w:rsidRDefault="00643E65" w:rsidP="00643E65">
      <w:pPr>
        <w:pStyle w:val="berschrift1"/>
      </w:pPr>
      <w:r>
        <w:t>3.3.44.127 Prüfung des Kohärenzmonotoniekandidaten</w:t>
      </w:r>
    </w:p>
    <w:p w:rsidR="00643E65" w:rsidRDefault="00643E65" w:rsidP="00643E65">
      <w:pPr>
        <w:pStyle w:val="StandardWeb"/>
      </w:pPr>
      <w:r>
        <w:t>Die Frage lautet nun, ob (M_C^{\uparrow}) aus den bisherigen Primäraxiomen folgt.</w:t>
      </w:r>
    </w:p>
    <w:p w:rsidR="00643E65" w:rsidRDefault="00643E65" w:rsidP="00643E65">
      <w:pPr>
        <w:pStyle w:val="StandardWeb"/>
      </w:pPr>
      <w:r>
        <w:t>Dazu betrachte ich zwei Zustände</w:t>
      </w:r>
    </w:p>
    <w:p w:rsidR="00643E65" w:rsidRDefault="00643E65" w:rsidP="00643E65">
      <w:pPr>
        <w:pStyle w:val="StandardWeb"/>
      </w:pPr>
      <w:r>
        <w:t>[</w:t>
      </w:r>
      <w:r>
        <w:br/>
        <w:t>z_1,z_2\in\Omega_F</w:t>
      </w:r>
      <w:r>
        <w:br/>
        <w:t>\tag{3.9879}</w:t>
      </w:r>
      <w:r>
        <w:br/>
        <w:t>]</w:t>
      </w:r>
    </w:p>
    <w:p w:rsidR="00643E65" w:rsidRDefault="00643E65" w:rsidP="00643E65">
      <w:pPr>
        <w:pStyle w:val="StandardWeb"/>
      </w:pPr>
      <w:r>
        <w:rPr>
          <w:rStyle w:val="Fett"/>
        </w:rPr>
        <w:lastRenderedPageBreak/>
        <w:t>Word-LaTeX</w:t>
      </w:r>
    </w:p>
    <w:p w:rsidR="00643E65" w:rsidRDefault="00643E65" w:rsidP="00643E65">
      <w:pPr>
        <w:pStyle w:val="HTMLVorformatiert"/>
        <w:rPr>
          <w:rStyle w:val="HTMLCode"/>
        </w:rPr>
      </w:pPr>
      <w:r>
        <w:rPr>
          <w:rStyle w:val="HTMLCode"/>
        </w:rPr>
        <w:t>z_1,z_2\in\Omega_F</w:t>
      </w:r>
    </w:p>
    <w:p w:rsidR="00643E65" w:rsidRDefault="00643E65" w:rsidP="00643E65">
      <w:pPr>
        <w:pStyle w:val="StandardWeb"/>
      </w:pPr>
      <w:r>
        <w:t>mit</w:t>
      </w:r>
    </w:p>
    <w:p w:rsidR="00643E65" w:rsidRDefault="00643E65" w:rsidP="00643E65">
      <w:pPr>
        <w:pStyle w:val="StandardWeb"/>
      </w:pPr>
      <w:r>
        <w:t>[</w:t>
      </w:r>
      <w:r>
        <w:br/>
        <w:t>C_F(z_1)&gt;C_F(z_2)&gt;0.</w:t>
      </w:r>
      <w:r>
        <w:br/>
        <w:t>\tag{3.9880}</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C_F(z_1)&gt;C_F(z_2)&gt;0</w:t>
      </w:r>
    </w:p>
    <w:p w:rsidR="00643E65" w:rsidRDefault="00643E65" w:rsidP="00643E65">
      <w:pPr>
        <w:pStyle w:val="StandardWeb"/>
      </w:pPr>
      <w:r>
        <w:t>und einem zulässigen Übergang</w:t>
      </w:r>
    </w:p>
    <w:p w:rsidR="00643E65" w:rsidRDefault="00643E65" w:rsidP="00643E65">
      <w:pPr>
        <w:pStyle w:val="StandardWeb"/>
      </w:pPr>
      <w:r>
        <w:t>[</w:t>
      </w:r>
      <w:r>
        <w:br/>
        <w:t>(z_1,z_2)\in\mathcal T_F.</w:t>
      </w:r>
      <w:r>
        <w:br/>
        <w:t>\tag{3.9881}</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(z_1,z_2)\in\mathcal T_F</w:t>
      </w:r>
    </w:p>
    <w:p w:rsidR="00643E65" w:rsidRDefault="00E50336" w:rsidP="00643E65">
      <w:r>
        <w:pict>
          <v:rect id="_x0000_i3009" style="width:0;height:1.5pt" o:hralign="center" o:hrstd="t" o:hr="t" fillcolor="#a0a0a0" stroked="f"/>
        </w:pict>
      </w:r>
    </w:p>
    <w:p w:rsidR="00643E65" w:rsidRDefault="00643E65" w:rsidP="00643E65">
      <w:pPr>
        <w:pStyle w:val="berschrift1"/>
      </w:pPr>
      <w:r>
        <w:t>3.3.44.128 Gegenmodell zur universellen Kohärenzmonotonie</w:t>
      </w:r>
    </w:p>
    <w:p w:rsidR="00643E65" w:rsidRDefault="00643E65" w:rsidP="00643E65">
      <w:pPr>
        <w:pStyle w:val="StandardWeb"/>
      </w:pPr>
      <w:r>
        <w:t>In diesem Modell gilt weiterhin positive Kohärenz:</w:t>
      </w:r>
    </w:p>
    <w:p w:rsidR="00643E65" w:rsidRDefault="00643E65" w:rsidP="00643E65">
      <w:pPr>
        <w:pStyle w:val="StandardWeb"/>
      </w:pPr>
      <w:r>
        <w:t>[</w:t>
      </w:r>
      <w:r>
        <w:br/>
        <w:t>C_F(z_1)&gt;0</w:t>
      </w:r>
      <w:r>
        <w:br/>
        <w:t>\land</w:t>
      </w:r>
      <w:r>
        <w:br/>
        <w:t>C_F(z_2)&gt;0.</w:t>
      </w:r>
      <w:r>
        <w:br/>
        <w:t>\tag{3.9882}</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C_F(z_1)&gt;0\land C_F(z_2)&gt;0</w:t>
      </w:r>
    </w:p>
    <w:p w:rsidR="00643E65" w:rsidRDefault="00643E65" w:rsidP="00643E65">
      <w:pPr>
        <w:pStyle w:val="StandardWeb"/>
      </w:pPr>
      <w:r>
        <w:t>Der Übergang ist ebenfalls zulässig, aber</w:t>
      </w:r>
    </w:p>
    <w:p w:rsidR="00643E65" w:rsidRDefault="00643E65" w:rsidP="00643E65">
      <w:pPr>
        <w:pStyle w:val="StandardWeb"/>
      </w:pPr>
      <w:r>
        <w:t>[</w:t>
      </w:r>
      <w:r>
        <w:br/>
        <w:t>\Delta_T C_F(z_1,z_2)&lt;0.</w:t>
      </w:r>
      <w:r>
        <w:br/>
        <w:t>\tag{3.9883}</w:t>
      </w:r>
      <w:r>
        <w:br/>
        <w:t>]</w:t>
      </w:r>
    </w:p>
    <w:p w:rsidR="00643E65" w:rsidRDefault="00643E65" w:rsidP="00643E65">
      <w:pPr>
        <w:pStyle w:val="StandardWeb"/>
      </w:pPr>
      <w:r>
        <w:rPr>
          <w:rStyle w:val="Fett"/>
        </w:rPr>
        <w:lastRenderedPageBreak/>
        <w:t>Word-LaTeX</w:t>
      </w:r>
    </w:p>
    <w:p w:rsidR="00643E65" w:rsidRDefault="00643E65" w:rsidP="00643E65">
      <w:pPr>
        <w:pStyle w:val="HTMLVorformatiert"/>
        <w:rPr>
          <w:rStyle w:val="HTMLCode"/>
        </w:rPr>
      </w:pPr>
      <w:r>
        <w:rPr>
          <w:rStyle w:val="HTMLCode"/>
        </w:rPr>
        <w:t>\Delta_T C_F(z_1,z_2)&lt;0</w:t>
      </w:r>
    </w:p>
    <w:p w:rsidR="00643E65" w:rsidRDefault="00643E65" w:rsidP="00643E65">
      <w:pPr>
        <w:pStyle w:val="StandardWeb"/>
      </w:pPr>
      <w:r>
        <w:t>Damit kann ein FRZK-Modell die bisherigen Voraussetzungen erfüllen, ohne (M_C^{\uparrow}) zu erfüllen.</w:t>
      </w:r>
    </w:p>
    <w:p w:rsidR="00643E65" w:rsidRDefault="00E50336" w:rsidP="00643E65">
      <w:r>
        <w:pict>
          <v:rect id="_x0000_i3010" style="width:0;height:1.5pt" o:hralign="center" o:hrstd="t" o:hr="t" fillcolor="#a0a0a0" stroked="f"/>
        </w:pict>
      </w:r>
    </w:p>
    <w:p w:rsidR="00643E65" w:rsidRDefault="00643E65" w:rsidP="00643E65">
      <w:pPr>
        <w:pStyle w:val="berschrift1"/>
      </w:pPr>
      <w:r>
        <w:t>3.3.44.129 Ergebnis der Monotonieprüfung</w:t>
      </w:r>
    </w:p>
    <w:p w:rsidR="00643E65" w:rsidRDefault="00643E65" w:rsidP="00643E65">
      <w:pPr>
        <w:pStyle w:val="StandardWeb"/>
      </w:pPr>
      <w:r>
        <w:t>Folglich gilt</w:t>
      </w:r>
    </w:p>
    <w:p w:rsidR="00643E65" w:rsidRDefault="00643E65" w:rsidP="00643E65">
      <w:pPr>
        <w:pStyle w:val="StandardWeb"/>
      </w:pPr>
      <w:r>
        <w:t>[</w:t>
      </w:r>
      <w:r>
        <w:br/>
        <w:t>\boxed{</w:t>
      </w:r>
      <w:r>
        <w:br/>
        <w:t>A_C\land M_T</w:t>
      </w:r>
      <w:r>
        <w:br/>
        <w:t>\nRightarrow</w:t>
      </w:r>
      <w:r>
        <w:br/>
        <w:t>M_C^{\uparrow}.</w:t>
      </w:r>
      <w:r>
        <w:br/>
        <w:t>}</w:t>
      </w:r>
      <w:r>
        <w:br/>
        <w:t>\tag{3.9884}</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\boxed{A_C\land M_T\nRightarrow M_C^{\uparrow}.}</w:t>
      </w:r>
    </w:p>
    <w:p w:rsidR="00643E65" w:rsidRDefault="00643E65" w:rsidP="00643E65">
      <w:pPr>
        <w:pStyle w:val="StandardWeb"/>
      </w:pPr>
      <w:r>
        <w:t>Eine monotone Kohärenzentwicklung ist daher kein logischer Bestandteil der bisherigen FRZK-Axiomatik.</w:t>
      </w:r>
    </w:p>
    <w:p w:rsidR="00643E65" w:rsidRDefault="00E50336" w:rsidP="00643E65">
      <w:r>
        <w:pict>
          <v:rect id="_x0000_i3011" style="width:0;height:1.5pt" o:hralign="center" o:hrstd="t" o:hr="t" fillcolor="#a0a0a0" stroked="f"/>
        </w:pict>
      </w:r>
    </w:p>
    <w:p w:rsidR="00643E65" w:rsidRDefault="00643E65" w:rsidP="00643E65">
      <w:pPr>
        <w:pStyle w:val="berschrift1"/>
      </w:pPr>
      <w:r>
        <w:t>3.3.44.130 Status der Kohärenzmonotonie</w:t>
      </w:r>
    </w:p>
    <w:p w:rsidR="00643E65" w:rsidRDefault="00643E65" w:rsidP="00643E65">
      <w:pPr>
        <w:pStyle w:val="StandardWeb"/>
      </w:pPr>
      <w:r>
        <w:t>Damit klassifiziere ich</w:t>
      </w:r>
    </w:p>
    <w:p w:rsidR="00643E65" w:rsidRDefault="00643E65" w:rsidP="00643E65">
      <w:pPr>
        <w:pStyle w:val="berschrift1"/>
      </w:pPr>
      <w:r>
        <w:t>[</w:t>
      </w:r>
      <w:r>
        <w:br/>
        <w:t>\boxed{</w:t>
      </w:r>
      <w:r>
        <w:br/>
        <w:t>\operatorname{Stat}</w:t>
      </w:r>
      <w:r>
        <w:br/>
        <w:t>\left(</w:t>
      </w:r>
      <w:r>
        <w:br/>
        <w:t>M_C^{\uparrow}</w:t>
      </w:r>
      <w:r>
        <w:br/>
        <w:t>\right)</w:t>
      </w:r>
    </w:p>
    <w:p w:rsidR="00643E65" w:rsidRDefault="00643E65" w:rsidP="00643E65">
      <w:pPr>
        <w:pStyle w:val="StandardWeb"/>
      </w:pPr>
      <w:r>
        <w:t>\mathrm{Mod}.</w:t>
      </w:r>
      <w:r>
        <w:br/>
        <w:t>}</w:t>
      </w:r>
      <w:r>
        <w:br/>
        <w:t>\tag{3.9885}</w:t>
      </w:r>
      <w:r>
        <w:br/>
        <w:t>]</w:t>
      </w:r>
    </w:p>
    <w:p w:rsidR="00643E65" w:rsidRDefault="00643E65" w:rsidP="00643E65">
      <w:pPr>
        <w:pStyle w:val="StandardWeb"/>
      </w:pPr>
      <w:r>
        <w:rPr>
          <w:rStyle w:val="Fett"/>
        </w:rPr>
        <w:lastRenderedPageBreak/>
        <w:t>Word-LaTeX</w:t>
      </w:r>
    </w:p>
    <w:p w:rsidR="00643E65" w:rsidRDefault="00643E65" w:rsidP="00643E65">
      <w:pPr>
        <w:pStyle w:val="HTMLVorformatiert"/>
        <w:rPr>
          <w:rStyle w:val="HTMLCode"/>
        </w:rPr>
      </w:pPr>
      <w:r>
        <w:rPr>
          <w:rStyle w:val="HTMLCode"/>
        </w:rPr>
        <w:t>\boxed{\operatorname{Stat}\left(M_C^{\uparrow}\right)=\mathrm{Mod}.}</w:t>
      </w:r>
    </w:p>
    <w:p w:rsidR="00643E65" w:rsidRDefault="00643E65" w:rsidP="00643E65">
      <w:pPr>
        <w:pStyle w:val="StandardWeb"/>
      </w:pPr>
      <w:r>
        <w:t>Die Kohärenzmonotonie kann für spezielle Modellklassen angenommen werden, ist jedoch kein Primäraxiom.</w:t>
      </w:r>
    </w:p>
    <w:p w:rsidR="00643E65" w:rsidRDefault="00E50336" w:rsidP="00643E65">
      <w:r>
        <w:pict>
          <v:rect id="_x0000_i3012" style="width:0;height:1.5pt" o:hralign="center" o:hrstd="t" o:hr="t" fillcolor="#a0a0a0" stroked="f"/>
        </w:pict>
      </w:r>
    </w:p>
    <w:p w:rsidR="00643E65" w:rsidRDefault="00643E65" w:rsidP="00643E65">
      <w:pPr>
        <w:pStyle w:val="berschrift1"/>
      </w:pPr>
      <w:r>
        <w:t>3.3.44.131 Definition 3.3.93 – Kohärenzmonotones Übergangsmodell</w:t>
      </w:r>
    </w:p>
    <w:p w:rsidR="00643E65" w:rsidRDefault="00643E65" w:rsidP="00643E65">
      <w:pPr>
        <w:pStyle w:val="berschrift3"/>
      </w:pPr>
      <w:r>
        <w:t>Definition 3.3.93</w:t>
      </w:r>
    </w:p>
    <w:p w:rsidR="00643E65" w:rsidRDefault="00643E65" w:rsidP="00643E65">
      <w:pPr>
        <w:pStyle w:val="StandardWeb"/>
      </w:pPr>
      <w:r>
        <w:t xml:space="preserve">Ein dynamisches FRZK-Modell heißt </w:t>
      </w:r>
      <w:r>
        <w:rPr>
          <w:rStyle w:val="Fett"/>
        </w:rPr>
        <w:t>kohärenzmonoton</w:t>
      </w:r>
      <w:r>
        <w:t>, wenn für jeden zulässigen Übergang</w:t>
      </w:r>
    </w:p>
    <w:p w:rsidR="00643E65" w:rsidRDefault="00643E65" w:rsidP="00643E65">
      <w:pPr>
        <w:pStyle w:val="StandardWeb"/>
      </w:pPr>
      <w:r>
        <w:t>[</w:t>
      </w:r>
      <w:r>
        <w:br/>
        <w:t>(z_i,z_j)\in\mathcal T_F</w:t>
      </w:r>
      <w:r>
        <w:br/>
        <w:t>\tag{3.9886}</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(z_i,z_j)\in\mathcal T_F</w:t>
      </w:r>
    </w:p>
    <w:p w:rsidR="00643E65" w:rsidRDefault="00643E65" w:rsidP="00643E65">
      <w:pPr>
        <w:pStyle w:val="StandardWeb"/>
      </w:pPr>
      <w:r>
        <w:t>gilt:</w:t>
      </w:r>
    </w:p>
    <w:p w:rsidR="00643E65" w:rsidRDefault="00643E65" w:rsidP="00643E65">
      <w:pPr>
        <w:pStyle w:val="StandardWeb"/>
      </w:pPr>
      <w:r>
        <w:t>[</w:t>
      </w:r>
      <w:r>
        <w:br/>
        <w:t>C_F(z_j)</w:t>
      </w:r>
      <w:r>
        <w:br/>
        <w:t>\geq</w:t>
      </w:r>
      <w:r>
        <w:br/>
        <w:t>C_F(z_i).</w:t>
      </w:r>
      <w:r>
        <w:br/>
        <w:t>\tag{3.9887}</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C_F(z_j)\geq C_F(z_i)</w:t>
      </w:r>
    </w:p>
    <w:p w:rsidR="00643E65" w:rsidRDefault="00643E65" w:rsidP="00643E65">
      <w:pPr>
        <w:pStyle w:val="StandardWeb"/>
      </w:pPr>
      <w:r>
        <w:t>Äquivalent gilt</w:t>
      </w:r>
    </w:p>
    <w:p w:rsidR="00643E65" w:rsidRDefault="00643E65" w:rsidP="00643E65">
      <w:pPr>
        <w:pStyle w:val="StandardWeb"/>
      </w:pPr>
      <w:r>
        <w:t>[</w:t>
      </w:r>
      <w:r>
        <w:br/>
        <w:t>\Delta_T C_F(z_i,z_j)\geq0.</w:t>
      </w:r>
      <w:r>
        <w:br/>
        <w:t>\tag{3.9888}</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\Delta_T C_F(z_i,z_j)\geq0</w:t>
      </w:r>
    </w:p>
    <w:p w:rsidR="00643E65" w:rsidRDefault="00E50336" w:rsidP="00643E65">
      <w:r>
        <w:pict>
          <v:rect id="_x0000_i3013" style="width:0;height:1.5pt" o:hralign="center" o:hrstd="t" o:hr="t" fillcolor="#a0a0a0" stroked="f"/>
        </w:pict>
      </w:r>
    </w:p>
    <w:p w:rsidR="00643E65" w:rsidRDefault="00643E65" w:rsidP="00643E65">
      <w:pPr>
        <w:pStyle w:val="berschrift1"/>
      </w:pPr>
      <w:r>
        <w:lastRenderedPageBreak/>
        <w:t>3.3.44.132 Streng kohärenzsteigernde Modelle</w:t>
      </w:r>
    </w:p>
    <w:p w:rsidR="00643E65" w:rsidRDefault="00643E65" w:rsidP="00643E65">
      <w:pPr>
        <w:pStyle w:val="StandardWeb"/>
      </w:pPr>
      <w:r>
        <w:t>Eine stärkere Modellklasse erhält man durch</w:t>
      </w:r>
    </w:p>
    <w:p w:rsidR="00643E65" w:rsidRDefault="00643E65" w:rsidP="00643E65">
      <w:pPr>
        <w:pStyle w:val="StandardWeb"/>
      </w:pPr>
      <w:r>
        <w:t>[</w:t>
      </w:r>
      <w:r>
        <w:br/>
        <w:t>\Delta_T C_F(z_i,z_j)&gt;0</w:t>
      </w:r>
      <w:r>
        <w:br/>
        <w:t>\tag{3.9889}</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\Delta_T C_F(z_i,z_j)&gt;0</w:t>
      </w:r>
    </w:p>
    <w:p w:rsidR="00643E65" w:rsidRDefault="00643E65" w:rsidP="00643E65">
      <w:pPr>
        <w:pStyle w:val="StandardWeb"/>
      </w:pPr>
      <w:r>
        <w:t>für jeden nichttrivialen Übergang.</w:t>
      </w:r>
    </w:p>
    <w:p w:rsidR="00643E65" w:rsidRDefault="00643E65" w:rsidP="00643E65">
      <w:pPr>
        <w:pStyle w:val="StandardWeb"/>
      </w:pPr>
      <w:r>
        <w:t>Diese Modellklasse ist strenger als die lediglich kohärenzmonotone Klasse.</w:t>
      </w:r>
    </w:p>
    <w:p w:rsidR="00643E65" w:rsidRDefault="00E50336" w:rsidP="00643E65">
      <w:r>
        <w:pict>
          <v:rect id="_x0000_i3014" style="width:0;height:1.5pt" o:hralign="center" o:hrstd="t" o:hr="t" fillcolor="#a0a0a0" stroked="f"/>
        </w:pict>
      </w:r>
    </w:p>
    <w:p w:rsidR="00643E65" w:rsidRDefault="00643E65" w:rsidP="00643E65">
      <w:pPr>
        <w:pStyle w:val="berschrift1"/>
      </w:pPr>
      <w:r>
        <w:t>3.3.44.133 Definition 3.3.94 – Streng kohärenzsteigerndes Übergangsmodell</w:t>
      </w:r>
    </w:p>
    <w:p w:rsidR="00643E65" w:rsidRDefault="00643E65" w:rsidP="00643E65">
      <w:pPr>
        <w:pStyle w:val="berschrift3"/>
      </w:pPr>
      <w:r>
        <w:t>Definition 3.3.94</w:t>
      </w:r>
    </w:p>
    <w:p w:rsidR="00643E65" w:rsidRDefault="00643E65" w:rsidP="00643E65">
      <w:pPr>
        <w:pStyle w:val="StandardWeb"/>
      </w:pPr>
      <w:r>
        <w:t xml:space="preserve">Ein dynamisches FRZK-Modell heißt </w:t>
      </w:r>
      <w:r>
        <w:rPr>
          <w:rStyle w:val="Fett"/>
        </w:rPr>
        <w:t>streng kohärenzsteigernd</w:t>
      </w:r>
      <w:r>
        <w:t>, wenn für jeden nichttrivialen zulässigen Übergang</w:t>
      </w:r>
    </w:p>
    <w:p w:rsidR="00643E65" w:rsidRDefault="00643E65" w:rsidP="00643E65">
      <w:pPr>
        <w:pStyle w:val="StandardWeb"/>
      </w:pPr>
      <w:r>
        <w:t>[</w:t>
      </w:r>
      <w:r>
        <w:br/>
        <w:t>(z_i,z_j)\in\mathcal T_F,</w:t>
      </w:r>
      <w:r>
        <w:br/>
        <w:t>\qquad</w:t>
      </w:r>
      <w:r>
        <w:br/>
        <w:t>z_i\neq z_j,</w:t>
      </w:r>
      <w:r>
        <w:br/>
        <w:t>\tag{3.9890}</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(z_i,z_j)\in\mathcal T_F,\qquad z_i\neq z_j</w:t>
      </w:r>
    </w:p>
    <w:p w:rsidR="00643E65" w:rsidRDefault="00643E65" w:rsidP="00643E65">
      <w:pPr>
        <w:pStyle w:val="StandardWeb"/>
      </w:pPr>
      <w:r>
        <w:t>gilt:</w:t>
      </w:r>
    </w:p>
    <w:p w:rsidR="00643E65" w:rsidRDefault="00643E65" w:rsidP="00643E65">
      <w:pPr>
        <w:pStyle w:val="StandardWeb"/>
      </w:pPr>
      <w:r>
        <w:t>[</w:t>
      </w:r>
      <w:r>
        <w:br/>
        <w:t>\boxed{</w:t>
      </w:r>
      <w:r>
        <w:br/>
        <w:t>C_F(z_j)&gt;C_F(z_i).</w:t>
      </w:r>
      <w:r>
        <w:br/>
        <w:t>}</w:t>
      </w:r>
      <w:r>
        <w:br/>
        <w:t>\tag{3.9891}</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\boxed{C_F(z_j)&gt;C_F(z_i).}</w:t>
      </w:r>
    </w:p>
    <w:p w:rsidR="00643E65" w:rsidRDefault="00E50336" w:rsidP="00643E65">
      <w:r>
        <w:lastRenderedPageBreak/>
        <w:pict>
          <v:rect id="_x0000_i3015" style="width:0;height:1.5pt" o:hralign="center" o:hrstd="t" o:hr="t" fillcolor="#a0a0a0" stroked="f"/>
        </w:pict>
      </w:r>
    </w:p>
    <w:p w:rsidR="00643E65" w:rsidRDefault="00643E65" w:rsidP="00643E65">
      <w:pPr>
        <w:pStyle w:val="berschrift1"/>
      </w:pPr>
      <w:r>
        <w:t>3.3.44.134 Hierarchie der Kohärenzdynamik</w:t>
      </w:r>
    </w:p>
    <w:p w:rsidR="00643E65" w:rsidRDefault="00643E65" w:rsidP="00643E65">
      <w:pPr>
        <w:pStyle w:val="StandardWeb"/>
      </w:pPr>
      <w:r>
        <w:t>Damit ergibt sich die Modellhierarchie</w:t>
      </w:r>
    </w:p>
    <w:p w:rsidR="00643E65" w:rsidRDefault="00643E65" w:rsidP="00643E65">
      <w:pPr>
        <w:pStyle w:val="StandardWeb"/>
      </w:pPr>
      <w:r>
        <w:t>[</w:t>
      </w:r>
      <w:r>
        <w:br/>
        <w:t>\mathfrak M_F^{C\uparrow\uparrow}</w:t>
      </w:r>
      <w:r>
        <w:br/>
        <w:t>\subseteq</w:t>
      </w:r>
      <w:r>
        <w:br/>
        <w:t>\mathfrak M_F^{C\uparrow}</w:t>
      </w:r>
      <w:r>
        <w:br/>
        <w:t>\subseteq</w:t>
      </w:r>
      <w:r>
        <w:br/>
        <w:t>\mathfrak M_F^{\mathrm{dyn}}.</w:t>
      </w:r>
      <w:r>
        <w:br/>
        <w:t>\tag{3.9892}</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\mathfrak M_F^{C\uparrow\uparrow}\subseteq\mathfrak M_F^{C\uparrow}\subseteq\mathfrak M_F^{\mathrm{dyn}}</w:t>
      </w:r>
    </w:p>
    <w:p w:rsidR="00643E65" w:rsidRDefault="00643E65" w:rsidP="00643E65">
      <w:pPr>
        <w:pStyle w:val="StandardWeb"/>
      </w:pPr>
      <w:r>
        <w:t>Die streng kohärenzsteigernden Modelle bilden somit eine Unterklasse der kohärenzmonotonen dynamischen Modelle.</w:t>
      </w:r>
    </w:p>
    <w:p w:rsidR="00643E65" w:rsidRDefault="00E50336" w:rsidP="00643E65">
      <w:r>
        <w:pict>
          <v:rect id="_x0000_i3016" style="width:0;height:1.5pt" o:hralign="center" o:hrstd="t" o:hr="t" fillcolor="#a0a0a0" stroked="f"/>
        </w:pict>
      </w:r>
    </w:p>
    <w:p w:rsidR="00643E65" w:rsidRDefault="00643E65" w:rsidP="00643E65">
      <w:pPr>
        <w:pStyle w:val="berschrift1"/>
      </w:pPr>
      <w:r>
        <w:t>3.3.44.135 Kohärenzabnehmende Übergänge bleiben zulässig</w:t>
      </w:r>
    </w:p>
    <w:p w:rsidR="00643E65" w:rsidRDefault="00643E65" w:rsidP="00643E65">
      <w:pPr>
        <w:pStyle w:val="StandardWeb"/>
      </w:pPr>
      <w:r>
        <w:t>Für die allgemeine FRZK-Modellklasse bleibt dagegen</w:t>
      </w:r>
    </w:p>
    <w:p w:rsidR="00643E65" w:rsidRDefault="00643E65" w:rsidP="00643E65">
      <w:pPr>
        <w:pStyle w:val="StandardWeb"/>
      </w:pPr>
      <w:r>
        <w:t>[</w:t>
      </w:r>
      <w:r>
        <w:br/>
        <w:t>\exists(z_i,z_j)\in\mathcal T_F:</w:t>
      </w:r>
      <w:r>
        <w:br/>
        <w:t>\Delta_T C_F(z_i,z_j)&lt;0</w:t>
      </w:r>
      <w:r>
        <w:br/>
        <w:t>\tag{3.9893}</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\exists(z_i,z_j)\in\mathcal T_F:\Delta_T C_F(z_i,z_j)&lt;0</w:t>
      </w:r>
    </w:p>
    <w:p w:rsidR="00643E65" w:rsidRDefault="00643E65" w:rsidP="00643E65">
      <w:pPr>
        <w:pStyle w:val="StandardWeb"/>
      </w:pPr>
      <w:r>
        <w:t>zulässig.</w:t>
      </w:r>
    </w:p>
    <w:p w:rsidR="00643E65" w:rsidRDefault="00643E65" w:rsidP="00643E65">
      <w:pPr>
        <w:pStyle w:val="StandardWeb"/>
      </w:pPr>
      <w:r>
        <w:t>Dies ist wichtig, weil sonst beispielsweise Instabilität, Störung, Verlust funktionaler Abstimmung oder Zerfall einer zuvor kohärenten Struktur bereits durch die Axiomatik ausgeschlossen würden.</w:t>
      </w:r>
    </w:p>
    <w:p w:rsidR="00643E65" w:rsidRDefault="00E50336" w:rsidP="00643E65">
      <w:r>
        <w:pict>
          <v:rect id="_x0000_i3017" style="width:0;height:1.5pt" o:hralign="center" o:hrstd="t" o:hr="t" fillcolor="#a0a0a0" stroked="f"/>
        </w:pict>
      </w:r>
    </w:p>
    <w:p w:rsidR="00643E65" w:rsidRDefault="00643E65" w:rsidP="00643E65">
      <w:pPr>
        <w:pStyle w:val="berschrift1"/>
      </w:pPr>
      <w:r>
        <w:t>3.3.44.136 Kohärenzverlust als Übergangsphänomen</w:t>
      </w:r>
    </w:p>
    <w:p w:rsidR="00643E65" w:rsidRDefault="00643E65" w:rsidP="00643E65">
      <w:pPr>
        <w:pStyle w:val="StandardWeb"/>
      </w:pPr>
      <w:r>
        <w:lastRenderedPageBreak/>
        <w:t>Ich kann deshalb einen Kohärenzverlust definieren durch</w:t>
      </w:r>
    </w:p>
    <w:p w:rsidR="00643E65" w:rsidRDefault="00643E65" w:rsidP="00643E65">
      <w:pPr>
        <w:pStyle w:val="berschrift1"/>
      </w:pPr>
      <w:r>
        <w:t>[</w:t>
      </w:r>
      <w:r>
        <w:br/>
        <w:t>L_C(z_i,z_j)</w:t>
      </w:r>
    </w:p>
    <w:p w:rsidR="00643E65" w:rsidRDefault="00643E65" w:rsidP="00643E65">
      <w:pPr>
        <w:pStyle w:val="StandardWeb"/>
      </w:pPr>
      <w:r>
        <w:t>\max</w:t>
      </w:r>
      <w:r>
        <w:br/>
        <w:t>\left{</w:t>
      </w:r>
      <w:r>
        <w:br/>
        <w:t>0,</w:t>
      </w:r>
      <w:r>
        <w:br/>
        <w:t>C_F(z_i)-C_F(z_j)</w:t>
      </w:r>
      <w:r>
        <w:br/>
        <w:t>\right}.</w:t>
      </w:r>
      <w:r>
        <w:br/>
        <w:t>\tag{3.9894}</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L_C(z_i,z_j)=\max\left\{0,C_F(z_i)-C_F(z_j)\right\}</w:t>
      </w:r>
    </w:p>
    <w:p w:rsidR="00643E65" w:rsidRDefault="00643E65" w:rsidP="00643E65">
      <w:pPr>
        <w:pStyle w:val="StandardWeb"/>
      </w:pPr>
      <w:r>
        <w:t>Damit gilt</w:t>
      </w:r>
    </w:p>
    <w:p w:rsidR="00643E65" w:rsidRDefault="00643E65" w:rsidP="00643E65">
      <w:pPr>
        <w:pStyle w:val="StandardWeb"/>
      </w:pPr>
      <w:r>
        <w:t>[</w:t>
      </w:r>
      <w:r>
        <w:br/>
        <w:t>L_C(z_i,z_j)&gt;0</w:t>
      </w:r>
      <w:r>
        <w:br/>
        <w:t>\Longleftrightarrow</w:t>
      </w:r>
      <w:r>
        <w:br/>
        <w:t>\Delta_T C_F(z_i,z_j)&lt;0.</w:t>
      </w:r>
      <w:r>
        <w:br/>
        <w:t>\tag{3.9895}</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L_C(z_i,z_j)&gt;0\Longleftrightarrow\Delta_T C_F(z_i,z_j)&lt;0</w:t>
      </w:r>
    </w:p>
    <w:p w:rsidR="00643E65" w:rsidRDefault="00E50336" w:rsidP="00643E65">
      <w:r>
        <w:pict>
          <v:rect id="_x0000_i3018" style="width:0;height:1.5pt" o:hralign="center" o:hrstd="t" o:hr="t" fillcolor="#a0a0a0" stroked="f"/>
        </w:pict>
      </w:r>
    </w:p>
    <w:p w:rsidR="00643E65" w:rsidRDefault="00643E65" w:rsidP="00643E65">
      <w:pPr>
        <w:pStyle w:val="berschrift1"/>
      </w:pPr>
      <w:r>
        <w:t>3.3.44.137 Definition 3.3.95 – Übergangsbezogener Kohärenzverlust</w:t>
      </w:r>
    </w:p>
    <w:p w:rsidR="00643E65" w:rsidRDefault="00643E65" w:rsidP="00643E65">
      <w:pPr>
        <w:pStyle w:val="berschrift3"/>
      </w:pPr>
      <w:r>
        <w:t>Definition 3.3.95</w:t>
      </w:r>
    </w:p>
    <w:p w:rsidR="00643E65" w:rsidRDefault="00643E65" w:rsidP="00643E65">
      <w:pPr>
        <w:pStyle w:val="StandardWeb"/>
      </w:pPr>
      <w:r>
        <w:t xml:space="preserve">Der </w:t>
      </w:r>
      <w:r>
        <w:rPr>
          <w:rStyle w:val="Fett"/>
        </w:rPr>
        <w:t>übergangsbezogene Kohärenzverlust</w:t>
      </w:r>
      <w:r>
        <w:t xml:space="preserve"> ist die nichtnegative Größe</w:t>
      </w:r>
    </w:p>
    <w:p w:rsidR="00643E65" w:rsidRDefault="00643E65" w:rsidP="00643E65">
      <w:pPr>
        <w:pStyle w:val="berschrift1"/>
      </w:pPr>
      <w:r>
        <w:t>[</w:t>
      </w:r>
      <w:r>
        <w:br/>
        <w:t>\boxed{</w:t>
      </w:r>
      <w:r>
        <w:br/>
        <w:t>L_C(z_i,z_j)</w:t>
      </w:r>
    </w:p>
    <w:p w:rsidR="00643E65" w:rsidRDefault="00643E65" w:rsidP="00643E65">
      <w:pPr>
        <w:pStyle w:val="StandardWeb"/>
      </w:pPr>
      <w:r>
        <w:t>\max</w:t>
      </w:r>
      <w:r>
        <w:br/>
        <w:t>\left{</w:t>
      </w:r>
      <w:r>
        <w:br/>
        <w:t>0,</w:t>
      </w:r>
      <w:r>
        <w:br/>
        <w:t>C_F(z_i)-C_F(z_j)</w:t>
      </w:r>
      <w:r>
        <w:br/>
      </w:r>
      <w:r>
        <w:lastRenderedPageBreak/>
        <w:t>\right}.</w:t>
      </w:r>
      <w:r>
        <w:br/>
        <w:t>}</w:t>
      </w:r>
      <w:r>
        <w:br/>
        <w:t>\tag{3.9896}</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\boxed{L_C(z_i,z_j)=\max\left\{0,C_F(z_i)-C_F(z_j)\right\}.}</w:t>
      </w:r>
    </w:p>
    <w:p w:rsidR="00643E65" w:rsidRDefault="00643E65" w:rsidP="00643E65">
      <w:pPr>
        <w:pStyle w:val="StandardWeb"/>
      </w:pPr>
      <w:r>
        <w:t>Sie misst ausschließlich den abnehmenden Anteil der Kohärenzänderung.</w:t>
      </w:r>
    </w:p>
    <w:p w:rsidR="00643E65" w:rsidRDefault="00E50336" w:rsidP="00643E65">
      <w:r>
        <w:pict>
          <v:rect id="_x0000_i3019" style="width:0;height:1.5pt" o:hralign="center" o:hrstd="t" o:hr="t" fillcolor="#a0a0a0" stroked="f"/>
        </w:pict>
      </w:r>
    </w:p>
    <w:p w:rsidR="00643E65" w:rsidRDefault="00643E65" w:rsidP="00643E65">
      <w:pPr>
        <w:pStyle w:val="berschrift1"/>
      </w:pPr>
      <w:r>
        <w:t>3.3.44.138 Kohärenzgewinn</w:t>
      </w:r>
    </w:p>
    <w:p w:rsidR="00643E65" w:rsidRDefault="00643E65" w:rsidP="00643E65">
      <w:pPr>
        <w:pStyle w:val="StandardWeb"/>
      </w:pPr>
      <w:r>
        <w:t>Analog definiere ich</w:t>
      </w:r>
    </w:p>
    <w:p w:rsidR="00643E65" w:rsidRDefault="00643E65" w:rsidP="00643E65">
      <w:pPr>
        <w:pStyle w:val="berschrift1"/>
      </w:pPr>
      <w:r>
        <w:t>[</w:t>
      </w:r>
      <w:r>
        <w:br/>
        <w:t>G_C(z_i,z_j)</w:t>
      </w:r>
    </w:p>
    <w:p w:rsidR="00643E65" w:rsidRDefault="00643E65" w:rsidP="00643E65">
      <w:pPr>
        <w:pStyle w:val="StandardWeb"/>
      </w:pPr>
      <w:r>
        <w:t>\max</w:t>
      </w:r>
      <w:r>
        <w:br/>
        <w:t>\left{</w:t>
      </w:r>
      <w:r>
        <w:br/>
        <w:t>0,</w:t>
      </w:r>
      <w:r>
        <w:br/>
        <w:t>C_F(z_j)-C_F(z_i)</w:t>
      </w:r>
      <w:r>
        <w:br/>
        <w:t>\right}.</w:t>
      </w:r>
      <w:r>
        <w:br/>
        <w:t>\tag{3.9897}</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G_C(z_i,z_j)=\max\left\{0,C_F(z_j)-C_F(z_i)\right\}</w:t>
      </w:r>
    </w:p>
    <w:p w:rsidR="00643E65" w:rsidRDefault="00643E65" w:rsidP="00643E65">
      <w:pPr>
        <w:pStyle w:val="StandardWeb"/>
      </w:pPr>
      <w:r>
        <w:t>Dann gilt</w:t>
      </w:r>
    </w:p>
    <w:p w:rsidR="00643E65" w:rsidRDefault="00643E65" w:rsidP="00643E65">
      <w:pPr>
        <w:pStyle w:val="StandardWeb"/>
      </w:pPr>
      <w:r>
        <w:t>[</w:t>
      </w:r>
      <w:r>
        <w:br/>
        <w:t>G_C(z_i,z_j)&gt;0</w:t>
      </w:r>
      <w:r>
        <w:br/>
        <w:t>\Longleftrightarrow</w:t>
      </w:r>
      <w:r>
        <w:br/>
        <w:t>\Delta_T C_F(z_i,z_j)&gt;0.</w:t>
      </w:r>
      <w:r>
        <w:br/>
        <w:t>\tag{3.9898}</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G_C(z_i,z_j)&gt;0\Longleftrightarrow\Delta_T C_F(z_i,z_j)&gt;0</w:t>
      </w:r>
    </w:p>
    <w:p w:rsidR="00643E65" w:rsidRDefault="00E50336" w:rsidP="00643E65">
      <w:r>
        <w:pict>
          <v:rect id="_x0000_i3020" style="width:0;height:1.5pt" o:hralign="center" o:hrstd="t" o:hr="t" fillcolor="#a0a0a0" stroked="f"/>
        </w:pict>
      </w:r>
    </w:p>
    <w:p w:rsidR="00643E65" w:rsidRDefault="00643E65" w:rsidP="00643E65">
      <w:pPr>
        <w:pStyle w:val="berschrift1"/>
      </w:pPr>
      <w:r>
        <w:t>3.3.44.139 Definition 3.3.96 – Übergangsbezogener Kohärenzgewinn</w:t>
      </w:r>
    </w:p>
    <w:p w:rsidR="00643E65" w:rsidRDefault="00643E65" w:rsidP="00643E65">
      <w:pPr>
        <w:pStyle w:val="berschrift3"/>
      </w:pPr>
      <w:r>
        <w:lastRenderedPageBreak/>
        <w:t>Definition 3.3.96</w:t>
      </w:r>
    </w:p>
    <w:p w:rsidR="00643E65" w:rsidRDefault="00643E65" w:rsidP="00643E65">
      <w:pPr>
        <w:pStyle w:val="StandardWeb"/>
      </w:pPr>
      <w:r>
        <w:t xml:space="preserve">Der </w:t>
      </w:r>
      <w:r>
        <w:rPr>
          <w:rStyle w:val="Fett"/>
        </w:rPr>
        <w:t>übergangsbezogene Kohärenzgewinn</w:t>
      </w:r>
      <w:r>
        <w:t xml:space="preserve"> ist definiert als</w:t>
      </w:r>
    </w:p>
    <w:p w:rsidR="00643E65" w:rsidRDefault="00643E65" w:rsidP="00643E65">
      <w:pPr>
        <w:pStyle w:val="berschrift1"/>
      </w:pPr>
      <w:r>
        <w:t>[</w:t>
      </w:r>
      <w:r>
        <w:br/>
        <w:t>\boxed{</w:t>
      </w:r>
      <w:r>
        <w:br/>
        <w:t>G_C(z_i,z_j)</w:t>
      </w:r>
    </w:p>
    <w:p w:rsidR="00643E65" w:rsidRDefault="00643E65" w:rsidP="00643E65">
      <w:pPr>
        <w:pStyle w:val="StandardWeb"/>
      </w:pPr>
      <w:r>
        <w:t>\max</w:t>
      </w:r>
      <w:r>
        <w:br/>
        <w:t>\left{</w:t>
      </w:r>
      <w:r>
        <w:br/>
        <w:t>0,</w:t>
      </w:r>
      <w:r>
        <w:br/>
        <w:t>C_F(z_j)-C_F(z_i)</w:t>
      </w:r>
      <w:r>
        <w:br/>
        <w:t>\right}.</w:t>
      </w:r>
      <w:r>
        <w:br/>
        <w:t>}</w:t>
      </w:r>
      <w:r>
        <w:br/>
        <w:t>\tag{3.9899}</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\boxed{G_C(z_i,z_j)=\max\left\{0,C_F(z_j)-C_F(z_i)\right\}.}</w:t>
      </w:r>
    </w:p>
    <w:p w:rsidR="00643E65" w:rsidRDefault="00643E65" w:rsidP="00643E65">
      <w:pPr>
        <w:pStyle w:val="StandardWeb"/>
      </w:pPr>
      <w:r>
        <w:t>Damit werden Kohärenzgewinn und Kohärenzverlust getrennt erfasst.</w:t>
      </w:r>
    </w:p>
    <w:p w:rsidR="00643E65" w:rsidRDefault="00E50336" w:rsidP="00643E65">
      <w:r>
        <w:pict>
          <v:rect id="_x0000_i3021" style="width:0;height:1.5pt" o:hralign="center" o:hrstd="t" o:hr="t" fillcolor="#a0a0a0" stroked="f"/>
        </w:pict>
      </w:r>
    </w:p>
    <w:p w:rsidR="00643E65" w:rsidRDefault="00643E65" w:rsidP="00643E65">
      <w:pPr>
        <w:pStyle w:val="berschrift1"/>
      </w:pPr>
      <w:r>
        <w:t>3.3.44.140 Zerlegung der Kohärenzänderung</w:t>
      </w:r>
    </w:p>
    <w:p w:rsidR="00643E65" w:rsidRDefault="00643E65" w:rsidP="00643E65">
      <w:pPr>
        <w:pStyle w:val="StandardWeb"/>
      </w:pPr>
      <w:r>
        <w:t>Aus den Definitionen folgt</w:t>
      </w:r>
    </w:p>
    <w:p w:rsidR="00643E65" w:rsidRDefault="00643E65" w:rsidP="00643E65">
      <w:pPr>
        <w:pStyle w:val="berschrift1"/>
      </w:pPr>
      <w:r>
        <w:t>[</w:t>
      </w:r>
      <w:r>
        <w:br/>
        <w:t>\Delta_T C_F</w:t>
      </w:r>
    </w:p>
    <w:p w:rsidR="00643E65" w:rsidRDefault="00643E65" w:rsidP="00643E65">
      <w:pPr>
        <w:pStyle w:val="StandardWeb"/>
      </w:pPr>
      <w:r>
        <w:t>G_C-L_C.</w:t>
      </w:r>
      <w:r>
        <w:br/>
        <w:t>\tag{3.9900}</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\Delta_T C_F=G_C-L_C</w:t>
      </w:r>
    </w:p>
    <w:p w:rsidR="00643E65" w:rsidRDefault="00643E65" w:rsidP="00643E65">
      <w:pPr>
        <w:pStyle w:val="StandardWeb"/>
      </w:pPr>
      <w:r>
        <w:t>Zugleich können Gewinn und Verlust für denselben einzelnen Übergang nicht gleichzeitig positiv sein:</w:t>
      </w:r>
    </w:p>
    <w:p w:rsidR="00643E65" w:rsidRDefault="00643E65" w:rsidP="00643E65">
      <w:pPr>
        <w:pStyle w:val="StandardWeb"/>
      </w:pPr>
      <w:r>
        <w:t>[</w:t>
      </w:r>
      <w:r>
        <w:br/>
        <w:t>G_C,L_C=0.</w:t>
      </w:r>
      <w:r>
        <w:br/>
        <w:t>\tag{3.9901}</w:t>
      </w:r>
      <w:r>
        <w:br/>
        <w:t>]</w:t>
      </w:r>
    </w:p>
    <w:p w:rsidR="00643E65" w:rsidRDefault="00643E65" w:rsidP="00643E65">
      <w:pPr>
        <w:pStyle w:val="StandardWeb"/>
      </w:pPr>
      <w:r>
        <w:rPr>
          <w:rStyle w:val="Fett"/>
        </w:rPr>
        <w:lastRenderedPageBreak/>
        <w:t>Word-LaTeX</w:t>
      </w:r>
    </w:p>
    <w:p w:rsidR="00643E65" w:rsidRDefault="00643E65" w:rsidP="00643E65">
      <w:pPr>
        <w:pStyle w:val="HTMLVorformatiert"/>
        <w:rPr>
          <w:rStyle w:val="HTMLCode"/>
        </w:rPr>
      </w:pPr>
      <w:r>
        <w:rPr>
          <w:rStyle w:val="HTMLCode"/>
        </w:rPr>
        <w:t>G_C\,L_C=0</w:t>
      </w:r>
    </w:p>
    <w:p w:rsidR="00643E65" w:rsidRDefault="00E50336" w:rsidP="00643E65">
      <w:r>
        <w:pict>
          <v:rect id="_x0000_i3022" style="width:0;height:1.5pt" o:hralign="center" o:hrstd="t" o:hr="t" fillcolor="#a0a0a0" stroked="f"/>
        </w:pict>
      </w:r>
    </w:p>
    <w:p w:rsidR="00643E65" w:rsidRDefault="00643E65" w:rsidP="00643E65">
      <w:pPr>
        <w:pStyle w:val="berschrift1"/>
      </w:pPr>
      <w:r>
        <w:t>3.3.44.141 Satz 3.3.32 – Zerlegung der übergangsbezogenen Kohärenzänderung</w:t>
      </w:r>
    </w:p>
    <w:p w:rsidR="00643E65" w:rsidRDefault="00643E65" w:rsidP="00643E65">
      <w:pPr>
        <w:pStyle w:val="berschrift3"/>
      </w:pPr>
      <w:r>
        <w:t>Satz 3.3.32</w:t>
      </w:r>
    </w:p>
    <w:p w:rsidR="00643E65" w:rsidRDefault="00643E65" w:rsidP="00643E65">
      <w:pPr>
        <w:pStyle w:val="StandardWeb"/>
      </w:pPr>
      <w:r>
        <w:t>Für jeden zulässigen Übergang ((z_i,z_j)\in\mathcal T_F) gilt</w:t>
      </w:r>
    </w:p>
    <w:p w:rsidR="00643E65" w:rsidRDefault="00643E65" w:rsidP="00643E65">
      <w:pPr>
        <w:pStyle w:val="berschrift1"/>
      </w:pPr>
      <w:r>
        <w:t>[</w:t>
      </w:r>
      <w:r>
        <w:br/>
        <w:t>\boxed{</w:t>
      </w:r>
      <w:r>
        <w:br/>
        <w:t>\Delta_T C_F(z_i,z_j)</w:t>
      </w:r>
    </w:p>
    <w:p w:rsidR="00643E65" w:rsidRDefault="00643E65" w:rsidP="00643E65">
      <w:pPr>
        <w:pStyle w:val="berschrift2"/>
      </w:pPr>
      <w:r>
        <w:t>G_C(z_i,z_j)</w:t>
      </w:r>
    </w:p>
    <w:p w:rsidR="00643E65" w:rsidRDefault="00643E65" w:rsidP="00643E65">
      <w:pPr>
        <w:pStyle w:val="StandardWeb"/>
      </w:pPr>
      <w:r>
        <w:t>L_C(z_i,z_j).</w:t>
      </w:r>
      <w:r>
        <w:br/>
        <w:t>}</w:t>
      </w:r>
      <w:r>
        <w:br/>
        <w:t>\tag{3.9902}</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\boxed{\Delta_T C_F(z_i,z_j)=G_C(z_i,z_j)-L_C(z_i,z_j).}</w:t>
      </w:r>
    </w:p>
    <w:p w:rsidR="00643E65" w:rsidRDefault="00643E65" w:rsidP="00643E65">
      <w:pPr>
        <w:pStyle w:val="berschrift3"/>
      </w:pPr>
      <w:r>
        <w:t>Beweis</w:t>
      </w:r>
    </w:p>
    <w:p w:rsidR="00643E65" w:rsidRDefault="00643E65" w:rsidP="00643E65">
      <w:pPr>
        <w:pStyle w:val="StandardWeb"/>
      </w:pPr>
      <w:r>
        <w:t>Ich setze</w:t>
      </w:r>
    </w:p>
    <w:p w:rsidR="00643E65" w:rsidRDefault="00643E65" w:rsidP="00643E65">
      <w:pPr>
        <w:pStyle w:val="berschrift1"/>
      </w:pPr>
      <w:r>
        <w:t>[</w:t>
      </w:r>
      <w:r>
        <w:br/>
        <w:t>x</w:t>
      </w:r>
    </w:p>
    <w:p w:rsidR="00643E65" w:rsidRDefault="00643E65" w:rsidP="00643E65">
      <w:pPr>
        <w:pStyle w:val="StandardWeb"/>
      </w:pPr>
      <w:r>
        <w:t>C_F(z_j)-C_F(z_i).</w:t>
      </w:r>
      <w:r>
        <w:br/>
        <w:t>\tag{3.9903}</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x=C_F(z_j)-C_F(z_i)</w:t>
      </w:r>
    </w:p>
    <w:p w:rsidR="00643E65" w:rsidRDefault="00643E65" w:rsidP="00643E65">
      <w:pPr>
        <w:pStyle w:val="StandardWeb"/>
      </w:pPr>
      <w:r>
        <w:t>Nach Definition gilt</w:t>
      </w:r>
    </w:p>
    <w:p w:rsidR="00643E65" w:rsidRDefault="00643E65" w:rsidP="00643E65">
      <w:pPr>
        <w:pStyle w:val="StandardWeb"/>
      </w:pPr>
      <w:r>
        <w:t>[</w:t>
      </w:r>
      <w:r>
        <w:br/>
        <w:t>G_C=\max{0,x}</w:t>
      </w:r>
      <w:r>
        <w:br/>
      </w:r>
      <w:r>
        <w:lastRenderedPageBreak/>
        <w:t>\tag{3.9904}</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G_C=\max\{0,x\}</w:t>
      </w:r>
    </w:p>
    <w:p w:rsidR="00643E65" w:rsidRDefault="00643E65" w:rsidP="00643E65">
      <w:pPr>
        <w:pStyle w:val="StandardWeb"/>
      </w:pPr>
      <w:r>
        <w:t>und</w:t>
      </w:r>
    </w:p>
    <w:p w:rsidR="00643E65" w:rsidRDefault="00643E65" w:rsidP="00643E65">
      <w:pPr>
        <w:pStyle w:val="StandardWeb"/>
      </w:pPr>
      <w:r>
        <w:t>[</w:t>
      </w:r>
      <w:r>
        <w:br/>
        <w:t>L_C=\max{0,-x}.</w:t>
      </w:r>
      <w:r>
        <w:br/>
        <w:t>\tag{3.9905}</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L_C=\max\{0,-x\}</w:t>
      </w:r>
    </w:p>
    <w:p w:rsidR="00643E65" w:rsidRDefault="00643E65" w:rsidP="00643E65">
      <w:pPr>
        <w:pStyle w:val="StandardWeb"/>
      </w:pPr>
      <w:r>
        <w:t>Für (x\geq0) folgt</w:t>
      </w:r>
    </w:p>
    <w:p w:rsidR="00643E65" w:rsidRDefault="00643E65" w:rsidP="00643E65">
      <w:pPr>
        <w:pStyle w:val="StandardWeb"/>
      </w:pPr>
      <w:r>
        <w:t>[</w:t>
      </w:r>
      <w:r>
        <w:br/>
        <w:t>G_C=x,</w:t>
      </w:r>
      <w:r>
        <w:br/>
        <w:t>\qquad</w:t>
      </w:r>
      <w:r>
        <w:br/>
        <w:t>L_C=0,</w:t>
      </w:r>
      <w:r>
        <w:br/>
        <w:t>\tag{3.9906}</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G_C=x,\qquad L_C=0</w:t>
      </w:r>
    </w:p>
    <w:p w:rsidR="00643E65" w:rsidRDefault="00643E65" w:rsidP="00643E65">
      <w:pPr>
        <w:pStyle w:val="StandardWeb"/>
      </w:pPr>
      <w:r>
        <w:t>also</w:t>
      </w:r>
    </w:p>
    <w:p w:rsidR="00643E65" w:rsidRDefault="00643E65" w:rsidP="00643E65">
      <w:pPr>
        <w:pStyle w:val="StandardWeb"/>
      </w:pPr>
      <w:r>
        <w:t>[</w:t>
      </w:r>
      <w:r>
        <w:br/>
        <w:t>G_C-L_C=x.</w:t>
      </w:r>
      <w:r>
        <w:br/>
        <w:t>\tag{3.9907}</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G_C-L_C=x</w:t>
      </w:r>
    </w:p>
    <w:p w:rsidR="00643E65" w:rsidRDefault="00643E65" w:rsidP="00643E65">
      <w:pPr>
        <w:pStyle w:val="StandardWeb"/>
      </w:pPr>
      <w:r>
        <w:t>Für (x&lt;0) gilt dagegen</w:t>
      </w:r>
    </w:p>
    <w:p w:rsidR="00643E65" w:rsidRDefault="00643E65" w:rsidP="00643E65">
      <w:pPr>
        <w:pStyle w:val="StandardWeb"/>
      </w:pPr>
      <w:r>
        <w:t>[</w:t>
      </w:r>
      <w:r>
        <w:br/>
        <w:t>G_C=0,</w:t>
      </w:r>
      <w:r>
        <w:br/>
        <w:t>\qquad</w:t>
      </w:r>
      <w:r>
        <w:br/>
        <w:t>L_C=-x,</w:t>
      </w:r>
      <w:r>
        <w:br/>
        <w:t>\tag{3.9908}</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lastRenderedPageBreak/>
        <w:t>G_C=0,\qquad L_C=-x</w:t>
      </w:r>
    </w:p>
    <w:p w:rsidR="00643E65" w:rsidRDefault="00643E65" w:rsidP="00643E65">
      <w:pPr>
        <w:pStyle w:val="StandardWeb"/>
      </w:pPr>
      <w:r>
        <w:t>und damit ebenfalls</w:t>
      </w:r>
    </w:p>
    <w:p w:rsidR="00643E65" w:rsidRDefault="00643E65" w:rsidP="00643E65">
      <w:pPr>
        <w:pStyle w:val="StandardWeb"/>
      </w:pPr>
      <w:r>
        <w:t>[</w:t>
      </w:r>
      <w:r>
        <w:br/>
        <w:t>G_C-L_C=x.</w:t>
      </w:r>
      <w:r>
        <w:br/>
        <w:t>\tag{3.9909}</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G_C-L_C=x</w:t>
      </w:r>
    </w:p>
    <w:p w:rsidR="00643E65" w:rsidRDefault="00643E65" w:rsidP="00643E65">
      <w:pPr>
        <w:pStyle w:val="StandardWeb"/>
      </w:pPr>
      <w:r>
        <w:t>Da (x=\Delta_T C_F(z_i,z_j)) ist, folgt die Behauptung. (\square)</w:t>
      </w:r>
    </w:p>
    <w:p w:rsidR="00643E65" w:rsidRDefault="00E50336" w:rsidP="00643E65">
      <w:r>
        <w:pict>
          <v:rect id="_x0000_i3023" style="width:0;height:1.5pt" o:hralign="center" o:hrstd="t" o:hr="t" fillcolor="#a0a0a0" stroked="f"/>
        </w:pict>
      </w:r>
    </w:p>
    <w:p w:rsidR="00643E65" w:rsidRDefault="00643E65" w:rsidP="00643E65">
      <w:pPr>
        <w:pStyle w:val="berschrift1"/>
      </w:pPr>
      <w:r>
        <w:t>3.3.44.142 Korollar 3.3.11 – Betrag der Kohärenzänderung</w:t>
      </w:r>
    </w:p>
    <w:p w:rsidR="00643E65" w:rsidRDefault="00643E65" w:rsidP="00643E65">
      <w:pPr>
        <w:pStyle w:val="berschrift3"/>
      </w:pPr>
      <w:r>
        <w:t>Korollar 3.3.11</w:t>
      </w:r>
    </w:p>
    <w:p w:rsidR="00643E65" w:rsidRDefault="00643E65" w:rsidP="00643E65">
      <w:pPr>
        <w:pStyle w:val="StandardWeb"/>
      </w:pPr>
      <w:r>
        <w:t>Aus Satz 3.3.32 folgt unmittelbar</w:t>
      </w:r>
    </w:p>
    <w:p w:rsidR="00643E65" w:rsidRDefault="00643E65" w:rsidP="00643E65">
      <w:pPr>
        <w:pStyle w:val="berschrift1"/>
      </w:pPr>
      <w:r>
        <w:t>[</w:t>
      </w:r>
      <w:r>
        <w:br/>
        <w:t>\boxed{</w:t>
      </w:r>
      <w:r>
        <w:br/>
        <w:t>\left|</w:t>
      </w:r>
      <w:r>
        <w:br/>
        <w:t>\Delta_T C_F</w:t>
      </w:r>
      <w:r>
        <w:br/>
        <w:t>\right|</w:t>
      </w:r>
    </w:p>
    <w:p w:rsidR="00643E65" w:rsidRDefault="00643E65" w:rsidP="00643E65">
      <w:pPr>
        <w:pStyle w:val="StandardWeb"/>
      </w:pPr>
      <w:r>
        <w:t>G_C+L_C.</w:t>
      </w:r>
      <w:r>
        <w:br/>
        <w:t>}</w:t>
      </w:r>
      <w:r>
        <w:br/>
        <w:t>\tag{3.9910}</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\boxed{\left|\Delta_T C_F\right|=G_C+L_C.}</w:t>
      </w:r>
    </w:p>
    <w:p w:rsidR="00643E65" w:rsidRDefault="00643E65" w:rsidP="00643E65">
      <w:pPr>
        <w:pStyle w:val="StandardWeb"/>
      </w:pPr>
      <w:r>
        <w:t>Damit kann die absolute Stärke einer Kohärenzänderung unabhängig von ihrer Richtung beschrieben werden.</w:t>
      </w:r>
    </w:p>
    <w:p w:rsidR="00643E65" w:rsidRDefault="00E50336" w:rsidP="00643E65">
      <w:r>
        <w:pict>
          <v:rect id="_x0000_i3024" style="width:0;height:1.5pt" o:hralign="center" o:hrstd="t" o:hr="t" fillcolor="#a0a0a0" stroked="f"/>
        </w:pict>
      </w:r>
    </w:p>
    <w:p w:rsidR="00643E65" w:rsidRDefault="00643E65" w:rsidP="00643E65">
      <w:pPr>
        <w:pStyle w:val="berschrift1"/>
      </w:pPr>
      <w:r>
        <w:t>3.3.44.143 Keine axiomatische Bewertung des Vorzeichens</w:t>
      </w:r>
    </w:p>
    <w:p w:rsidR="00643E65" w:rsidRDefault="00643E65" w:rsidP="00643E65">
      <w:pPr>
        <w:pStyle w:val="StandardWeb"/>
      </w:pPr>
      <w:r>
        <w:lastRenderedPageBreak/>
        <w:t>Das Vorzeichen von</w:t>
      </w:r>
    </w:p>
    <w:p w:rsidR="00643E65" w:rsidRDefault="00643E65" w:rsidP="00643E65">
      <w:pPr>
        <w:pStyle w:val="StandardWeb"/>
      </w:pPr>
      <w:r>
        <w:t>[</w:t>
      </w:r>
      <w:r>
        <w:br/>
        <w:t>\Delta_T C_F</w:t>
      </w:r>
      <w:r>
        <w:br/>
        <w:t>\tag{3.9911}</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\Delta_T C_F</w:t>
      </w:r>
    </w:p>
    <w:p w:rsidR="00643E65" w:rsidRDefault="00643E65" w:rsidP="00643E65">
      <w:pPr>
        <w:pStyle w:val="StandardWeb"/>
      </w:pPr>
      <w:r>
        <w:t>ist damit zunächst eine Eigenschaft eines konkreten Übergangs.</w:t>
      </w:r>
    </w:p>
    <w:p w:rsidR="00643E65" w:rsidRDefault="00643E65" w:rsidP="00643E65">
      <w:pPr>
        <w:pStyle w:val="StandardWeb"/>
      </w:pPr>
      <w:r>
        <w:t>Es gilt nicht allgemein</w:t>
      </w:r>
    </w:p>
    <w:p w:rsidR="00643E65" w:rsidRDefault="00643E65" w:rsidP="00643E65">
      <w:pPr>
        <w:pStyle w:val="berschrift1"/>
      </w:pPr>
      <w:r>
        <w:t>[</w:t>
      </w:r>
      <w:r>
        <w:br/>
        <w:t>\operatorname{sgn}</w:t>
      </w:r>
      <w:r>
        <w:br/>
        <w:t>\left(</w:t>
      </w:r>
      <w:r>
        <w:br/>
        <w:t>\Delta_T C_F</w:t>
      </w:r>
      <w:r>
        <w:br/>
        <w:t>\right)</w:t>
      </w:r>
    </w:p>
    <w:p w:rsidR="00643E65" w:rsidRDefault="00643E65" w:rsidP="00643E65">
      <w:pPr>
        <w:pStyle w:val="StandardWeb"/>
      </w:pPr>
      <w:r>
        <w:t>+1.</w:t>
      </w:r>
      <w:r>
        <w:br/>
        <w:t>\tag{3.9912}</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\operatorname{sgn}\left(\Delta_T C_F\right)=+1</w:t>
      </w:r>
    </w:p>
    <w:p w:rsidR="00643E65" w:rsidRDefault="00643E65" w:rsidP="00643E65">
      <w:pPr>
        <w:pStyle w:val="StandardWeb"/>
      </w:pPr>
      <w:r>
        <w:t>Die Theorie bewertet eine Kohärenzzunahme daher an dieser Stelle nicht automatisch als notwendige Entwicklungsrichtung.</w:t>
      </w:r>
    </w:p>
    <w:p w:rsidR="00643E65" w:rsidRDefault="00E50336" w:rsidP="00643E65">
      <w:r>
        <w:pict>
          <v:rect id="_x0000_i3025" style="width:0;height:1.5pt" o:hralign="center" o:hrstd="t" o:hr="t" fillcolor="#a0a0a0" stroked="f"/>
        </w:pict>
      </w:r>
    </w:p>
    <w:p w:rsidR="00643E65" w:rsidRDefault="00643E65" w:rsidP="00643E65">
      <w:pPr>
        <w:pStyle w:val="berschrift1"/>
      </w:pPr>
      <w:r>
        <w:t>3.3.44.144 Übergangskosten und Kohärenzgewinn</w:t>
      </w:r>
    </w:p>
    <w:p w:rsidR="00643E65" w:rsidRDefault="00643E65" w:rsidP="00643E65">
      <w:pPr>
        <w:pStyle w:val="StandardWeb"/>
      </w:pPr>
      <w:r>
        <w:t>Mit den bereits definierten Übergangskosten (W_T) kann für spezielle Modelle ein Verhältnis</w:t>
      </w:r>
    </w:p>
    <w:p w:rsidR="00643E65" w:rsidRDefault="00643E65" w:rsidP="00643E65">
      <w:pPr>
        <w:pStyle w:val="berschrift1"/>
      </w:pPr>
      <w:r>
        <w:t>[</w:t>
      </w:r>
      <w:r>
        <w:br/>
        <w:t>\eta_C(z_i,z_j)</w:t>
      </w:r>
    </w:p>
    <w:p w:rsidR="00643E65" w:rsidRDefault="00643E65" w:rsidP="00643E65">
      <w:pPr>
        <w:pStyle w:val="StandardWeb"/>
      </w:pPr>
      <w:r>
        <w:t>\frac{G_C(z_i,z_j)}</w:t>
      </w:r>
      <w:r>
        <w:br/>
        <w:t>{W_T(z_i,z_j)}</w:t>
      </w:r>
      <w:r>
        <w:br/>
        <w:t>\tag{3.9913}</w:t>
      </w:r>
      <w:r>
        <w:br/>
        <w:t>]</w:t>
      </w:r>
    </w:p>
    <w:p w:rsidR="00643E65" w:rsidRDefault="00643E65" w:rsidP="00643E65">
      <w:pPr>
        <w:pStyle w:val="StandardWeb"/>
      </w:pPr>
      <w:r>
        <w:rPr>
          <w:rStyle w:val="Fett"/>
        </w:rPr>
        <w:lastRenderedPageBreak/>
        <w:t>Word-LaTeX</w:t>
      </w:r>
    </w:p>
    <w:p w:rsidR="00643E65" w:rsidRDefault="00643E65" w:rsidP="00643E65">
      <w:pPr>
        <w:pStyle w:val="HTMLVorformatiert"/>
        <w:rPr>
          <w:rStyle w:val="HTMLCode"/>
        </w:rPr>
      </w:pPr>
      <w:r>
        <w:rPr>
          <w:rStyle w:val="HTMLCode"/>
        </w:rPr>
        <w:t>\eta_C(z_i,z_j)=\frac{G_C(z_i,z_j)}{W_T(z_i,z_j)}</w:t>
      </w:r>
    </w:p>
    <w:p w:rsidR="00643E65" w:rsidRDefault="00643E65" w:rsidP="00643E65">
      <w:pPr>
        <w:pStyle w:val="StandardWeb"/>
      </w:pPr>
      <w:r>
        <w:t>gebildet werden, sofern</w:t>
      </w:r>
    </w:p>
    <w:p w:rsidR="00643E65" w:rsidRDefault="00643E65" w:rsidP="00643E65">
      <w:pPr>
        <w:pStyle w:val="StandardWeb"/>
      </w:pPr>
      <w:r>
        <w:t>[</w:t>
      </w:r>
      <w:r>
        <w:br/>
        <w:t>W_T(z_i,z_j)&gt;0.</w:t>
      </w:r>
      <w:r>
        <w:br/>
        <w:t>\tag{3.9914}</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W_T(z_i,z_j)&gt;0</w:t>
      </w:r>
    </w:p>
    <w:p w:rsidR="00643E65" w:rsidRDefault="00643E65" w:rsidP="00643E65">
      <w:pPr>
        <w:pStyle w:val="StandardWeb"/>
      </w:pPr>
      <w:r>
        <w:t>Diese Größe beschreibt dann einen Kohärenzgewinn je Einheit der modellabhängigen Übergangskosten.</w:t>
      </w:r>
    </w:p>
    <w:p w:rsidR="00643E65" w:rsidRDefault="00E50336" w:rsidP="00643E65">
      <w:r>
        <w:pict>
          <v:rect id="_x0000_i3026" style="width:0;height:1.5pt" o:hralign="center" o:hrstd="t" o:hr="t" fillcolor="#a0a0a0" stroked="f"/>
        </w:pict>
      </w:r>
    </w:p>
    <w:p w:rsidR="00643E65" w:rsidRDefault="00643E65" w:rsidP="00643E65">
      <w:pPr>
        <w:pStyle w:val="berschrift1"/>
      </w:pPr>
      <w:r>
        <w:t>3.3.44.145 Definition 3.3.97 – Kohärenzübergangseffizienz</w:t>
      </w:r>
    </w:p>
    <w:p w:rsidR="00643E65" w:rsidRDefault="00643E65" w:rsidP="00643E65">
      <w:pPr>
        <w:pStyle w:val="berschrift3"/>
      </w:pPr>
      <w:r>
        <w:t>Definition 3.3.97</w:t>
      </w:r>
    </w:p>
    <w:p w:rsidR="00643E65" w:rsidRDefault="00643E65" w:rsidP="00643E65">
      <w:pPr>
        <w:pStyle w:val="StandardWeb"/>
      </w:pPr>
      <w:r>
        <w:t xml:space="preserve">Für einen Übergang mit positiven Übergangskosten definiere ich die </w:t>
      </w:r>
      <w:r>
        <w:rPr>
          <w:rStyle w:val="Fett"/>
        </w:rPr>
        <w:t>Kohärenzübergangseffizienz</w:t>
      </w:r>
      <w:r>
        <w:t xml:space="preserve"> durch</w:t>
      </w:r>
    </w:p>
    <w:p w:rsidR="00643E65" w:rsidRDefault="00643E65" w:rsidP="00643E65">
      <w:pPr>
        <w:pStyle w:val="berschrift1"/>
      </w:pPr>
      <w:r>
        <w:t>[</w:t>
      </w:r>
      <w:r>
        <w:br/>
        <w:t>\boxed{</w:t>
      </w:r>
      <w:r>
        <w:br/>
        <w:t>\eta_C(z_i,z_j)</w:t>
      </w:r>
    </w:p>
    <w:p w:rsidR="00643E65" w:rsidRDefault="00643E65" w:rsidP="00643E65">
      <w:pPr>
        <w:pStyle w:val="StandardWeb"/>
      </w:pPr>
      <w:r>
        <w:t>\frac{G_C(z_i,z_j)}</w:t>
      </w:r>
      <w:r>
        <w:br/>
        <w:t>{W_T(z_i,z_j)}.</w:t>
      </w:r>
      <w:r>
        <w:br/>
        <w:t>}</w:t>
      </w:r>
      <w:r>
        <w:br/>
        <w:t>\tag{3.9915}</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\boxed{\eta_C(z_i,z_j)=\frac{G_C(z_i,z_j)}{W_T(z_i,z_j)}.}</w:t>
      </w:r>
    </w:p>
    <w:p w:rsidR="00643E65" w:rsidRDefault="00643E65" w:rsidP="00643E65">
      <w:pPr>
        <w:pStyle w:val="StandardWeb"/>
      </w:pPr>
      <w:r>
        <w:t>Die Größe ist eine Operationalisierung für geeignete Modelle und kein Primäraxiom.</w:t>
      </w:r>
    </w:p>
    <w:p w:rsidR="00643E65" w:rsidRDefault="00E50336" w:rsidP="00643E65">
      <w:r>
        <w:pict>
          <v:rect id="_x0000_i3027" style="width:0;height:1.5pt" o:hralign="center" o:hrstd="t" o:hr="t" fillcolor="#a0a0a0" stroked="f"/>
        </w:pict>
      </w:r>
    </w:p>
    <w:p w:rsidR="00643E65" w:rsidRDefault="00643E65" w:rsidP="00643E65">
      <w:pPr>
        <w:pStyle w:val="berschrift1"/>
      </w:pPr>
      <w:r>
        <w:t>3.3.44.146 Kein universelles Optimierungsprinzip</w:t>
      </w:r>
    </w:p>
    <w:p w:rsidR="00643E65" w:rsidRDefault="00643E65" w:rsidP="00643E65">
      <w:pPr>
        <w:pStyle w:val="StandardWeb"/>
      </w:pPr>
      <w:r>
        <w:lastRenderedPageBreak/>
        <w:t>Aus der Definition von (\eta_C) folgt insbesondere nicht, dass reale oder zulässige Übergänge</w:t>
      </w:r>
    </w:p>
    <w:p w:rsidR="00643E65" w:rsidRDefault="00643E65" w:rsidP="00643E65">
      <w:pPr>
        <w:pStyle w:val="StandardWeb"/>
      </w:pPr>
      <w:r>
        <w:t>[</w:t>
      </w:r>
      <w:r>
        <w:br/>
        <w:t>\eta_C</w:t>
      </w:r>
      <w:r>
        <w:br/>
        <w:t>\rightarrow</w:t>
      </w:r>
      <w:r>
        <w:br/>
        <w:t>\max</w:t>
      </w:r>
      <w:r>
        <w:br/>
        <w:t>\tag{3.9916}</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\eta_C\rightarrow\max</w:t>
      </w:r>
    </w:p>
    <w:p w:rsidR="00643E65" w:rsidRDefault="00643E65" w:rsidP="00643E65">
      <w:pPr>
        <w:pStyle w:val="StandardWeb"/>
      </w:pPr>
      <w:r>
        <w:t>erfüllen müssen.</w:t>
      </w:r>
    </w:p>
    <w:p w:rsidR="00643E65" w:rsidRDefault="00643E65" w:rsidP="00643E65">
      <w:pPr>
        <w:pStyle w:val="StandardWeb"/>
      </w:pPr>
      <w:r>
        <w:t>Ein entsprechendes Optimierungsprinzip wäre eine zusätzliche Modellannahme.</w:t>
      </w:r>
    </w:p>
    <w:p w:rsidR="00643E65" w:rsidRDefault="00E50336" w:rsidP="00643E65">
      <w:r>
        <w:pict>
          <v:rect id="_x0000_i3028" style="width:0;height:1.5pt" o:hralign="center" o:hrstd="t" o:hr="t" fillcolor="#a0a0a0" stroked="f"/>
        </w:pict>
      </w:r>
    </w:p>
    <w:p w:rsidR="00643E65" w:rsidRDefault="00643E65" w:rsidP="00643E65">
      <w:pPr>
        <w:pStyle w:val="berschrift1"/>
      </w:pPr>
      <w:r>
        <w:t>3.3.44.147 Kandidat eines Kohärenzoptimierungsprinzips</w:t>
      </w:r>
    </w:p>
    <w:p w:rsidR="00643E65" w:rsidRDefault="00643E65" w:rsidP="00643E65">
      <w:pPr>
        <w:pStyle w:val="StandardWeb"/>
      </w:pPr>
      <w:r>
        <w:t>Ein solches Prinzip könnte formal lauten:</w:t>
      </w:r>
    </w:p>
    <w:p w:rsidR="00643E65" w:rsidRDefault="00643E65" w:rsidP="00643E65">
      <w:pPr>
        <w:pStyle w:val="StandardWeb"/>
      </w:pPr>
      <w:r>
        <w:t>[</w:t>
      </w:r>
      <w:r>
        <w:br/>
        <w:t>M_C^{\mathrm{opt}}:</w:t>
      </w:r>
      <w:r>
        <w:br/>
        <w:t>\Pi_F^\ast</w:t>
      </w:r>
      <w:r>
        <w:br/>
        <w:t>\in</w:t>
      </w:r>
      <w:r>
        <w:br/>
        <w:t>\operatorname*{arg,max}_{\Pi_F}</w:t>
      </w:r>
      <w:r>
        <w:br/>
        <w:t>\eta_C(\Pi_F).</w:t>
      </w:r>
      <w:r>
        <w:br/>
        <w:t>\tag{3.9917}</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M_C^{\mathrm{opt}}:\Pi_F^\ast\in\operatorname*{arg\,max}_{\Pi_F}\eta_C(\Pi_F)</w:t>
      </w:r>
    </w:p>
    <w:p w:rsidR="00643E65" w:rsidRDefault="00643E65" w:rsidP="00643E65">
      <w:pPr>
        <w:pStyle w:val="StandardWeb"/>
      </w:pPr>
      <w:r>
        <w:t>Es würde eine Auswahlregel für Übergangspfade festlegen.</w:t>
      </w:r>
    </w:p>
    <w:p w:rsidR="00643E65" w:rsidRDefault="00E50336" w:rsidP="00643E65">
      <w:r>
        <w:pict>
          <v:rect id="_x0000_i3029" style="width:0;height:1.5pt" o:hralign="center" o:hrstd="t" o:hr="t" fillcolor="#a0a0a0" stroked="f"/>
        </w:pict>
      </w:r>
    </w:p>
    <w:p w:rsidR="00643E65" w:rsidRDefault="00643E65" w:rsidP="00643E65">
      <w:pPr>
        <w:pStyle w:val="berschrift1"/>
      </w:pPr>
      <w:r>
        <w:t>3.3.44.148 Status des Optimierungsprinzips</w:t>
      </w:r>
    </w:p>
    <w:p w:rsidR="00643E65" w:rsidRDefault="00643E65" w:rsidP="00643E65">
      <w:pPr>
        <w:pStyle w:val="StandardWeb"/>
      </w:pPr>
      <w:r>
        <w:t>Da weder (A_C) noch die Übergangsarchitektur eine solche Maximierung fordert, gilt</w:t>
      </w:r>
    </w:p>
    <w:p w:rsidR="00643E65" w:rsidRDefault="00643E65" w:rsidP="00643E65">
      <w:pPr>
        <w:pStyle w:val="berschrift1"/>
      </w:pPr>
      <w:r>
        <w:t>[</w:t>
      </w:r>
      <w:r>
        <w:br/>
        <w:t>\boxed{</w:t>
      </w:r>
      <w:r>
        <w:br/>
      </w:r>
      <w:r>
        <w:lastRenderedPageBreak/>
        <w:t>\operatorname{Stat}</w:t>
      </w:r>
      <w:r>
        <w:br/>
        <w:t>\left(</w:t>
      </w:r>
      <w:r>
        <w:br/>
        <w:t>M_C^{\mathrm{opt}}</w:t>
      </w:r>
      <w:r>
        <w:br/>
        <w:t>\right)</w:t>
      </w:r>
    </w:p>
    <w:p w:rsidR="00643E65" w:rsidRDefault="00643E65" w:rsidP="00643E65">
      <w:pPr>
        <w:pStyle w:val="StandardWeb"/>
      </w:pPr>
      <w:r>
        <w:t>\mathrm{Mod}.</w:t>
      </w:r>
      <w:r>
        <w:br/>
        <w:t>}</w:t>
      </w:r>
      <w:r>
        <w:br/>
        <w:t>\tag{3.9918}</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\boxed{\operatorname{Stat}\left(M_C^{\mathrm{opt}}\right)=\mathrm{Mod}.}</w:t>
      </w:r>
    </w:p>
    <w:p w:rsidR="00643E65" w:rsidRDefault="00643E65" w:rsidP="00643E65">
      <w:pPr>
        <w:pStyle w:val="StandardWeb"/>
      </w:pPr>
      <w:r>
        <w:t>Damit bleibt auch die Optimierungsfrage ausdrücklich auf der Modellschicht.</w:t>
      </w:r>
    </w:p>
    <w:p w:rsidR="00643E65" w:rsidRDefault="00E50336" w:rsidP="00643E65">
      <w:r>
        <w:pict>
          <v:rect id="_x0000_i3030" style="width:0;height:1.5pt" o:hralign="center" o:hrstd="t" o:hr="t" fillcolor="#a0a0a0" stroked="f"/>
        </w:pict>
      </w:r>
    </w:p>
    <w:p w:rsidR="00643E65" w:rsidRDefault="00643E65" w:rsidP="00643E65">
      <w:pPr>
        <w:pStyle w:val="berschrift1"/>
      </w:pPr>
      <w:r>
        <w:t>3.3.44.149 Pfadbezogene Kohärenzänderung</w:t>
      </w:r>
    </w:p>
    <w:p w:rsidR="00643E65" w:rsidRDefault="00643E65" w:rsidP="00643E65">
      <w:pPr>
        <w:pStyle w:val="StandardWeb"/>
      </w:pPr>
      <w:r>
        <w:t>Für einen Übergangspfad</w:t>
      </w:r>
    </w:p>
    <w:p w:rsidR="00643E65" w:rsidRDefault="00643E65" w:rsidP="00643E65">
      <w:pPr>
        <w:pStyle w:val="StandardWeb"/>
      </w:pPr>
      <w:r>
        <w:t>[</w:t>
      </w:r>
      <w:r>
        <w:br/>
        <w:t>\Pi_F=(z_0,z_1,\ldots,z_n)</w:t>
      </w:r>
      <w:r>
        <w:br/>
        <w:t>\tag{3.9919}</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\Pi_F=(z_0,z_1,\ldots,z_n)</w:t>
      </w:r>
    </w:p>
    <w:p w:rsidR="00643E65" w:rsidRDefault="00643E65" w:rsidP="00643E65">
      <w:pPr>
        <w:pStyle w:val="StandardWeb"/>
      </w:pPr>
      <w:r>
        <w:t>kann ich die gesamte Kohärenzänderung definieren als</w:t>
      </w:r>
    </w:p>
    <w:p w:rsidR="00643E65" w:rsidRDefault="00643E65" w:rsidP="00643E65">
      <w:pPr>
        <w:pStyle w:val="berschrift1"/>
      </w:pPr>
      <w:r>
        <w:t>[</w:t>
      </w:r>
      <w:r>
        <w:br/>
        <w:t>\Delta_{\Pi}C_F</w:t>
      </w:r>
    </w:p>
    <w:p w:rsidR="00643E65" w:rsidRDefault="00643E65" w:rsidP="00643E65">
      <w:pPr>
        <w:pStyle w:val="StandardWeb"/>
      </w:pPr>
      <w:r>
        <w:t>\sum_{k=1}^{n}</w:t>
      </w:r>
      <w:r>
        <w:br/>
        <w:t>\Delta_T C_F(z_{k-1},z_k).</w:t>
      </w:r>
      <w:r>
        <w:br/>
        <w:t>\tag{3.9920}</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\Delta_{\Pi}C_F=\sum_{k=1}^{n}\Delta_T C_F(z_{k-1},z_k)</w:t>
      </w:r>
    </w:p>
    <w:p w:rsidR="00643E65" w:rsidRDefault="00E50336" w:rsidP="00643E65">
      <w:r>
        <w:pict>
          <v:rect id="_x0000_i3031" style="width:0;height:1.5pt" o:hralign="center" o:hrstd="t" o:hr="t" fillcolor="#a0a0a0" stroked="f"/>
        </w:pict>
      </w:r>
    </w:p>
    <w:p w:rsidR="00643E65" w:rsidRDefault="00643E65" w:rsidP="00643E65">
      <w:pPr>
        <w:pStyle w:val="berschrift1"/>
      </w:pPr>
      <w:r>
        <w:lastRenderedPageBreak/>
        <w:t>3.3.44.150 Teleskopische Struktur</w:t>
      </w:r>
    </w:p>
    <w:p w:rsidR="00643E65" w:rsidRDefault="00643E65" w:rsidP="00643E65">
      <w:pPr>
        <w:pStyle w:val="StandardWeb"/>
      </w:pPr>
      <w:r>
        <w:t>Setze ich Definition 3.3.92 ein, ergibt sich</w:t>
      </w:r>
    </w:p>
    <w:p w:rsidR="00643E65" w:rsidRDefault="00643E65" w:rsidP="00643E65">
      <w:pPr>
        <w:pStyle w:val="berschrift1"/>
      </w:pPr>
      <w:r>
        <w:t>[</w:t>
      </w:r>
      <w:r>
        <w:br/>
        <w:t>\Delta_{\Pi}C_F</w:t>
      </w:r>
    </w:p>
    <w:p w:rsidR="00643E65" w:rsidRDefault="00643E65" w:rsidP="00643E65">
      <w:pPr>
        <w:pStyle w:val="StandardWeb"/>
      </w:pPr>
      <w:r>
        <w:t>\sum_{k=1}^{n}</w:t>
      </w:r>
      <w:r>
        <w:br/>
        <w:t>\left[</w:t>
      </w:r>
      <w:r>
        <w:br/>
        <w:t>C_F(z_k)-C_F(z_{k-1})</w:t>
      </w:r>
      <w:r>
        <w:br/>
        <w:t>\right].</w:t>
      </w:r>
      <w:r>
        <w:br/>
        <w:t>\tag{3.9921}</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\Delta_{\Pi}C_F=\sum_{k=1}^{n}\left[C_F(z_k)-C_F(z_{k-1})\right]</w:t>
      </w:r>
    </w:p>
    <w:p w:rsidR="00643E65" w:rsidRDefault="00643E65" w:rsidP="00643E65">
      <w:pPr>
        <w:pStyle w:val="StandardWeb"/>
      </w:pPr>
      <w:r>
        <w:t>Die Zwischenterme heben sich paarweise auf.</w:t>
      </w:r>
    </w:p>
    <w:p w:rsidR="00643E65" w:rsidRDefault="00643E65" w:rsidP="00643E65">
      <w:pPr>
        <w:pStyle w:val="StandardWeb"/>
      </w:pPr>
      <w:r>
        <w:t>Damit folgt</w:t>
      </w:r>
    </w:p>
    <w:p w:rsidR="00643E65" w:rsidRDefault="00643E65" w:rsidP="00643E65">
      <w:pPr>
        <w:pStyle w:val="berschrift1"/>
      </w:pPr>
      <w:r>
        <w:t>[</w:t>
      </w:r>
      <w:r>
        <w:br/>
        <w:t>\Delta_{\Pi}C_F</w:t>
      </w:r>
    </w:p>
    <w:p w:rsidR="00643E65" w:rsidRDefault="00643E65" w:rsidP="00643E65">
      <w:pPr>
        <w:pStyle w:val="StandardWeb"/>
      </w:pPr>
      <w:r>
        <w:t>C_F(z_n)-C_F(z_0).</w:t>
      </w:r>
      <w:r>
        <w:br/>
        <w:t>\tag{3.9922}</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\Delta_{\Pi}C_F=C_F(z_n)-C_F(z_0)</w:t>
      </w:r>
    </w:p>
    <w:p w:rsidR="00643E65" w:rsidRDefault="00E50336" w:rsidP="00643E65">
      <w:r>
        <w:pict>
          <v:rect id="_x0000_i3032" style="width:0;height:1.5pt" o:hralign="center" o:hrstd="t" o:hr="t" fillcolor="#a0a0a0" stroked="f"/>
        </w:pict>
      </w:r>
    </w:p>
    <w:p w:rsidR="00643E65" w:rsidRDefault="00643E65" w:rsidP="00643E65">
      <w:pPr>
        <w:pStyle w:val="berschrift1"/>
      </w:pPr>
      <w:r>
        <w:t>3.3.44.151 Satz 3.3.33 – Teleskopische Kohärenzänderung eines Übergangspfades</w:t>
      </w:r>
    </w:p>
    <w:p w:rsidR="00643E65" w:rsidRDefault="00643E65" w:rsidP="00643E65">
      <w:pPr>
        <w:pStyle w:val="berschrift3"/>
      </w:pPr>
      <w:r>
        <w:t>Satz 3.3.33</w:t>
      </w:r>
    </w:p>
    <w:p w:rsidR="00643E65" w:rsidRDefault="00643E65" w:rsidP="00643E65">
      <w:pPr>
        <w:pStyle w:val="StandardWeb"/>
      </w:pPr>
      <w:r>
        <w:t>Für jeden endlichen Übergangspfad</w:t>
      </w:r>
    </w:p>
    <w:p w:rsidR="00643E65" w:rsidRDefault="00643E65" w:rsidP="00643E65">
      <w:pPr>
        <w:pStyle w:val="StandardWeb"/>
      </w:pPr>
      <w:r>
        <w:t>[</w:t>
      </w:r>
      <w:r>
        <w:br/>
        <w:t>\Pi_F=(z_0,z_1,\ldots,z_n)</w:t>
      </w:r>
      <w:r>
        <w:br/>
        <w:t>\tag{3.9923}</w:t>
      </w:r>
      <w:r>
        <w:br/>
        <w:t>]</w:t>
      </w:r>
    </w:p>
    <w:p w:rsidR="00643E65" w:rsidRDefault="00643E65" w:rsidP="00643E65">
      <w:pPr>
        <w:pStyle w:val="StandardWeb"/>
      </w:pPr>
      <w:r>
        <w:rPr>
          <w:rStyle w:val="Fett"/>
        </w:rPr>
        <w:lastRenderedPageBreak/>
        <w:t>Word-LaTeX</w:t>
      </w:r>
    </w:p>
    <w:p w:rsidR="00643E65" w:rsidRDefault="00643E65" w:rsidP="00643E65">
      <w:pPr>
        <w:pStyle w:val="HTMLVorformatiert"/>
        <w:rPr>
          <w:rStyle w:val="HTMLCode"/>
        </w:rPr>
      </w:pPr>
      <w:r>
        <w:rPr>
          <w:rStyle w:val="HTMLCode"/>
        </w:rPr>
        <w:t>\Pi_F=(z_0,z_1,\ldots,z_n)</w:t>
      </w:r>
    </w:p>
    <w:p w:rsidR="00643E65" w:rsidRDefault="00643E65" w:rsidP="00643E65">
      <w:pPr>
        <w:pStyle w:val="StandardWeb"/>
      </w:pPr>
      <w:r>
        <w:t>gilt</w:t>
      </w:r>
    </w:p>
    <w:p w:rsidR="00643E65" w:rsidRDefault="00643E65" w:rsidP="00643E65">
      <w:pPr>
        <w:pStyle w:val="berschrift1"/>
      </w:pPr>
      <w:r>
        <w:t>[</w:t>
      </w:r>
      <w:r>
        <w:br/>
        <w:t>\boxed{</w:t>
      </w:r>
      <w:r>
        <w:br/>
        <w:t>\sum_{k=1}^{n}</w:t>
      </w:r>
      <w:r>
        <w:br/>
        <w:t>\Delta_T C_F(z_{k-1},z_k)</w:t>
      </w:r>
    </w:p>
    <w:p w:rsidR="00643E65" w:rsidRDefault="00643E65" w:rsidP="00643E65">
      <w:pPr>
        <w:pStyle w:val="StandardWeb"/>
      </w:pPr>
      <w:r>
        <w:t>C_F(z_n)-C_F(z_0).</w:t>
      </w:r>
      <w:r>
        <w:br/>
        <w:t>}</w:t>
      </w:r>
      <w:r>
        <w:br/>
        <w:t>\tag{3.9924}</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\boxed{\sum_{k=1}^{n}\Delta_T C_F(z_{k-1},z_k)=C_F(z_n)-C_F(z_0).}</w:t>
      </w:r>
    </w:p>
    <w:p w:rsidR="00643E65" w:rsidRDefault="00643E65" w:rsidP="00643E65">
      <w:pPr>
        <w:pStyle w:val="berschrift3"/>
      </w:pPr>
      <w:r>
        <w:t>Beweis</w:t>
      </w:r>
    </w:p>
    <w:p w:rsidR="00643E65" w:rsidRDefault="00643E65" w:rsidP="00643E65">
      <w:pPr>
        <w:pStyle w:val="StandardWeb"/>
      </w:pPr>
      <w:r>
        <w:t>Nach Definition 3.3.92 gilt für jedes (k)</w:t>
      </w:r>
    </w:p>
    <w:p w:rsidR="00643E65" w:rsidRDefault="00643E65" w:rsidP="00643E65">
      <w:pPr>
        <w:pStyle w:val="berschrift1"/>
      </w:pPr>
      <w:r>
        <w:t>[</w:t>
      </w:r>
      <w:r>
        <w:br/>
        <w:t>\Delta_T C_F(z_{k-1},z_k)</w:t>
      </w:r>
    </w:p>
    <w:p w:rsidR="00643E65" w:rsidRDefault="00643E65" w:rsidP="00643E65">
      <w:pPr>
        <w:pStyle w:val="StandardWeb"/>
      </w:pPr>
      <w:r>
        <w:t>C_F(z_k)-C_F(z_{k-1}).</w:t>
      </w:r>
      <w:r>
        <w:br/>
        <w:t>\tag{3.9925}</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\Delta_T C_F(z_{k-1},z_k)=C_F(z_k)-C_F(z_{k-1})</w:t>
      </w:r>
    </w:p>
    <w:p w:rsidR="00643E65" w:rsidRDefault="00643E65" w:rsidP="00643E65">
      <w:pPr>
        <w:pStyle w:val="StandardWeb"/>
      </w:pPr>
      <w:r>
        <w:t>Damit ergibt die Summe</w:t>
      </w:r>
    </w:p>
    <w:p w:rsidR="00643E65" w:rsidRDefault="00643E65" w:rsidP="00643E65">
      <w:pPr>
        <w:pStyle w:val="StandardWeb"/>
      </w:pPr>
      <w:r>
        <w:t>[</w:t>
      </w:r>
      <w:r>
        <w:br/>
        <w:t>\begin{aligned}</w:t>
      </w:r>
      <w:r>
        <w:br/>
        <w:t>\sum_{k=1}^{n}\Delta_T C_F</w:t>
      </w:r>
      <w:r>
        <w:br/>
        <w:t>&amp;=</w:t>
      </w:r>
      <w:r>
        <w:br/>
        <w:t>[C_F(z_1)-C_F(z_0)]</w:t>
      </w:r>
      <w:r>
        <w:br/>
        <w:t>\</w:t>
      </w:r>
      <w:r>
        <w:br/>
        <w:t>&amp;\quad+[C_F(z_2)-C_F(z_1)]</w:t>
      </w:r>
      <w:r>
        <w:br/>
        <w:t>\</w:t>
      </w:r>
      <w:r>
        <w:br/>
        <w:t>&amp;\quad+\cdots</w:t>
      </w:r>
      <w:r>
        <w:br/>
        <w:t>\</w:t>
      </w:r>
      <w:r>
        <w:br/>
      </w:r>
      <w:r>
        <w:lastRenderedPageBreak/>
        <w:t>&amp;\quad+[C_F(z_n)-C_F(z_{n-1})].</w:t>
      </w:r>
      <w:r>
        <w:br/>
        <w:t>\end{aligned}</w:t>
      </w:r>
      <w:r>
        <w:br/>
        <w:t>\tag{3.9926}</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\begin{aligned}\sum_{k=1}^{n}\Delta_T C_F&amp;=[C_F(z_1)-C_F(z_0)]\\&amp;\quad+[C_F(z_2)-C_F(z_1)]\\&amp;\quad+\cdots\\&amp;\quad+[C_F(z_n)-C_F(z_{n-1})].\end{aligned}</w:t>
      </w:r>
    </w:p>
    <w:p w:rsidR="00643E65" w:rsidRDefault="00643E65" w:rsidP="00643E65">
      <w:pPr>
        <w:pStyle w:val="StandardWeb"/>
      </w:pPr>
      <w:r>
        <w:t>Nach Kürzung sämtlicher innerer Terme verbleibt</w:t>
      </w:r>
    </w:p>
    <w:p w:rsidR="00643E65" w:rsidRDefault="00643E65" w:rsidP="00643E65">
      <w:pPr>
        <w:pStyle w:val="StandardWeb"/>
      </w:pPr>
      <w:r>
        <w:t>[</w:t>
      </w:r>
      <w:r>
        <w:br/>
        <w:t>C_F(z_n)-C_F(z_0).</w:t>
      </w:r>
      <w:r>
        <w:br/>
        <w:t>\tag{3.9927}</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C_F(z_n)-C_F(z_0)</w:t>
      </w:r>
    </w:p>
    <w:p w:rsidR="00643E65" w:rsidRDefault="00643E65" w:rsidP="00643E65">
      <w:pPr>
        <w:pStyle w:val="StandardWeb"/>
      </w:pPr>
      <w:r>
        <w:t>Damit ist die Behauptung gezeigt. (\square)</w:t>
      </w:r>
    </w:p>
    <w:p w:rsidR="00643E65" w:rsidRDefault="00E50336" w:rsidP="00643E65">
      <w:r>
        <w:pict>
          <v:rect id="_x0000_i3033" style="width:0;height:1.5pt" o:hralign="center" o:hrstd="t" o:hr="t" fillcolor="#a0a0a0" stroked="f"/>
        </w:pict>
      </w:r>
    </w:p>
    <w:p w:rsidR="00643E65" w:rsidRDefault="00643E65" w:rsidP="00643E65">
      <w:pPr>
        <w:pStyle w:val="berschrift1"/>
      </w:pPr>
      <w:r>
        <w:t>3.3.44.152 Pfadunabhängigkeit der Nettoänderung</w:t>
      </w:r>
    </w:p>
    <w:p w:rsidR="00643E65" w:rsidRDefault="00643E65" w:rsidP="00643E65">
      <w:pPr>
        <w:pStyle w:val="StandardWeb"/>
      </w:pPr>
      <w:r>
        <w:t xml:space="preserve">Satz 3.3.33 zeigt eine wichtige Eigenschaft: Sind Anfangs- und Endzustand identisch festgelegt, hängt die </w:t>
      </w:r>
      <w:r>
        <w:rPr>
          <w:rStyle w:val="Fett"/>
        </w:rPr>
        <w:t>Netto-Kohärenzänderung</w:t>
      </w:r>
    </w:p>
    <w:p w:rsidR="00643E65" w:rsidRDefault="00643E65" w:rsidP="00643E65">
      <w:pPr>
        <w:pStyle w:val="StandardWeb"/>
      </w:pPr>
      <w:r>
        <w:t>[</w:t>
      </w:r>
      <w:r>
        <w:br/>
        <w:t>\Delta_{\Pi}C_F</w:t>
      </w:r>
      <w:r>
        <w:br/>
        <w:t>\tag{3.9928}</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\Delta_{\Pi}C_F</w:t>
      </w:r>
    </w:p>
    <w:p w:rsidR="00643E65" w:rsidRDefault="00643E65" w:rsidP="00643E65">
      <w:pPr>
        <w:pStyle w:val="StandardWeb"/>
      </w:pPr>
      <w:r>
        <w:t>nicht von den Zwischenzuständen ab.</w:t>
      </w:r>
    </w:p>
    <w:p w:rsidR="00643E65" w:rsidRDefault="00643E65" w:rsidP="00643E65">
      <w:pPr>
        <w:pStyle w:val="StandardWeb"/>
      </w:pPr>
      <w:r>
        <w:t>Für zwei Pfade (\Pi_1) und (\Pi_2) von (z_a) nach (z_b) gilt daher</w:t>
      </w:r>
    </w:p>
    <w:p w:rsidR="00643E65" w:rsidRDefault="00643E65" w:rsidP="00643E65">
      <w:pPr>
        <w:pStyle w:val="berschrift1"/>
      </w:pPr>
      <w:r>
        <w:t>[</w:t>
      </w:r>
      <w:r>
        <w:br/>
        <w:t>\Delta_{\Pi_1}C_F</w:t>
      </w:r>
    </w:p>
    <w:p w:rsidR="00643E65" w:rsidRDefault="00643E65" w:rsidP="00643E65">
      <w:pPr>
        <w:pStyle w:val="berschrift1"/>
      </w:pPr>
      <w:r>
        <w:t>\Delta_{\Pi_2}C_F</w:t>
      </w:r>
    </w:p>
    <w:p w:rsidR="00643E65" w:rsidRDefault="00643E65" w:rsidP="00643E65">
      <w:pPr>
        <w:pStyle w:val="StandardWeb"/>
      </w:pPr>
      <w:r>
        <w:lastRenderedPageBreak/>
        <w:t>C_F(z_b)-C_F(z_a).</w:t>
      </w:r>
      <w:r>
        <w:br/>
        <w:t>\tag{3.9929}</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\Delta_{\Pi_1}C_F=\Delta_{\Pi_2}C_F=C_F(z_b)-C_F(z_a)</w:t>
      </w:r>
    </w:p>
    <w:p w:rsidR="00643E65" w:rsidRDefault="00E50336" w:rsidP="00643E65">
      <w:r>
        <w:pict>
          <v:rect id="_x0000_i3034" style="width:0;height:1.5pt" o:hralign="center" o:hrstd="t" o:hr="t" fillcolor="#a0a0a0" stroked="f"/>
        </w:pict>
      </w:r>
    </w:p>
    <w:p w:rsidR="00643E65" w:rsidRDefault="00643E65" w:rsidP="00643E65">
      <w:pPr>
        <w:pStyle w:val="berschrift1"/>
      </w:pPr>
      <w:r>
        <w:t>3.3.44.153 Aber Gewinn und Verlust sind pfadabhängig</w:t>
      </w:r>
    </w:p>
    <w:p w:rsidR="00643E65" w:rsidRDefault="00643E65" w:rsidP="00643E65">
      <w:pPr>
        <w:pStyle w:val="StandardWeb"/>
      </w:pPr>
      <w:r>
        <w:t>Die kumulierten Größen</w:t>
      </w:r>
    </w:p>
    <w:p w:rsidR="00643E65" w:rsidRDefault="00643E65" w:rsidP="00643E65">
      <w:pPr>
        <w:pStyle w:val="berschrift1"/>
      </w:pPr>
      <w:r>
        <w:t>[</w:t>
      </w:r>
      <w:r>
        <w:br/>
        <w:t>G_C(\Pi_F)</w:t>
      </w:r>
    </w:p>
    <w:p w:rsidR="00643E65" w:rsidRDefault="00643E65" w:rsidP="00643E65">
      <w:pPr>
        <w:pStyle w:val="StandardWeb"/>
      </w:pPr>
      <w:r>
        <w:t>\sum_{k=1}^{n}</w:t>
      </w:r>
      <w:r>
        <w:br/>
        <w:t>G_C(z_{k-1},z_k)</w:t>
      </w:r>
      <w:r>
        <w:br/>
        <w:t>\tag{3.9930}</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G_C(\Pi_F)=\sum_{k=1}^{n}G_C(z_{k-1},z_k)</w:t>
      </w:r>
    </w:p>
    <w:p w:rsidR="00643E65" w:rsidRDefault="00643E65" w:rsidP="00643E65">
      <w:pPr>
        <w:pStyle w:val="StandardWeb"/>
      </w:pPr>
      <w:r>
        <w:t>und</w:t>
      </w:r>
    </w:p>
    <w:p w:rsidR="00643E65" w:rsidRDefault="00643E65" w:rsidP="00643E65">
      <w:pPr>
        <w:pStyle w:val="berschrift1"/>
      </w:pPr>
      <w:r>
        <w:t>[</w:t>
      </w:r>
      <w:r>
        <w:br/>
        <w:t>L_C(\Pi_F)</w:t>
      </w:r>
    </w:p>
    <w:p w:rsidR="00643E65" w:rsidRDefault="00643E65" w:rsidP="00643E65">
      <w:pPr>
        <w:pStyle w:val="StandardWeb"/>
      </w:pPr>
      <w:r>
        <w:t>\sum_{k=1}^{n}</w:t>
      </w:r>
      <w:r>
        <w:br/>
        <w:t>L_C(z_{k-1},z_k)</w:t>
      </w:r>
      <w:r>
        <w:br/>
        <w:t>\tag{3.9931}</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L_C(\Pi_F)=\sum_{k=1}^{n}L_C(z_{k-1},z_k)</w:t>
      </w:r>
    </w:p>
    <w:p w:rsidR="00643E65" w:rsidRDefault="00643E65" w:rsidP="00643E65">
      <w:pPr>
        <w:pStyle w:val="StandardWeb"/>
      </w:pPr>
      <w:r>
        <w:t>können dagegen von den gewählten Zwischenzuständen abhängen.</w:t>
      </w:r>
    </w:p>
    <w:p w:rsidR="00643E65" w:rsidRDefault="00643E65" w:rsidP="00643E65">
      <w:pPr>
        <w:pStyle w:val="StandardWeb"/>
      </w:pPr>
      <w:r>
        <w:t>Damit gilt im Allgemeinen</w:t>
      </w:r>
    </w:p>
    <w:p w:rsidR="00643E65" w:rsidRDefault="00643E65" w:rsidP="00643E65">
      <w:pPr>
        <w:pStyle w:val="StandardWeb"/>
      </w:pPr>
      <w:r>
        <w:t>[</w:t>
      </w:r>
      <w:r>
        <w:br/>
        <w:t>G_C(\Pi_1)</w:t>
      </w:r>
      <w:r>
        <w:br/>
        <w:t>\neq</w:t>
      </w:r>
      <w:r>
        <w:br/>
      </w:r>
      <w:r>
        <w:lastRenderedPageBreak/>
        <w:t>G_C(\Pi_2)</w:t>
      </w:r>
      <w:r>
        <w:br/>
        <w:t>\tag{3.9932}</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G_C(\Pi_1)\neq G_C(\Pi_2)</w:t>
      </w:r>
    </w:p>
    <w:p w:rsidR="00643E65" w:rsidRDefault="00643E65" w:rsidP="00643E65">
      <w:pPr>
        <w:pStyle w:val="StandardWeb"/>
      </w:pPr>
      <w:r>
        <w:t>oder</w:t>
      </w:r>
    </w:p>
    <w:p w:rsidR="00643E65" w:rsidRDefault="00643E65" w:rsidP="00643E65">
      <w:pPr>
        <w:pStyle w:val="StandardWeb"/>
      </w:pPr>
      <w:r>
        <w:t>[</w:t>
      </w:r>
      <w:r>
        <w:br/>
        <w:t>L_C(\Pi_1)</w:t>
      </w:r>
      <w:r>
        <w:br/>
        <w:t>\neq</w:t>
      </w:r>
      <w:r>
        <w:br/>
        <w:t>L_C(\Pi_2).</w:t>
      </w:r>
      <w:r>
        <w:br/>
        <w:t>\tag{3.9933}</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L_C(\Pi_1)\neq L_C(\Pi_2)</w:t>
      </w:r>
    </w:p>
    <w:p w:rsidR="00643E65" w:rsidRDefault="00E50336" w:rsidP="00643E65">
      <w:r>
        <w:pict>
          <v:rect id="_x0000_i3035" style="width:0;height:1.5pt" o:hralign="center" o:hrstd="t" o:hr="t" fillcolor="#a0a0a0" stroked="f"/>
        </w:pict>
      </w:r>
    </w:p>
    <w:p w:rsidR="00643E65" w:rsidRDefault="00643E65" w:rsidP="00643E65">
      <w:pPr>
        <w:pStyle w:val="berschrift1"/>
      </w:pPr>
      <w:r>
        <w:t>3.3.44.154 Definition 3.3.98 – Kumulativer Kohärenzgewinn</w:t>
      </w:r>
    </w:p>
    <w:p w:rsidR="00643E65" w:rsidRDefault="00643E65" w:rsidP="00643E65">
      <w:pPr>
        <w:pStyle w:val="berschrift3"/>
      </w:pPr>
      <w:r>
        <w:t>Definition 3.3.98</w:t>
      </w:r>
    </w:p>
    <w:p w:rsidR="00643E65" w:rsidRDefault="00643E65" w:rsidP="00643E65">
      <w:pPr>
        <w:pStyle w:val="StandardWeb"/>
      </w:pPr>
      <w:r>
        <w:t xml:space="preserve">Der </w:t>
      </w:r>
      <w:r>
        <w:rPr>
          <w:rStyle w:val="Fett"/>
        </w:rPr>
        <w:t>kumulative Kohärenzgewinn</w:t>
      </w:r>
      <w:r>
        <w:t xml:space="preserve"> eines endlichen Übergangspfades ist</w:t>
      </w:r>
    </w:p>
    <w:p w:rsidR="00643E65" w:rsidRDefault="00643E65" w:rsidP="00643E65">
      <w:pPr>
        <w:pStyle w:val="berschrift1"/>
      </w:pPr>
      <w:r>
        <w:t>[</w:t>
      </w:r>
      <w:r>
        <w:br/>
        <w:t>\boxed{</w:t>
      </w:r>
      <w:r>
        <w:br/>
        <w:t>G_C(\Pi_F)</w:t>
      </w:r>
    </w:p>
    <w:p w:rsidR="00643E65" w:rsidRDefault="00643E65" w:rsidP="00643E65">
      <w:pPr>
        <w:pStyle w:val="StandardWeb"/>
      </w:pPr>
      <w:r>
        <w:t>\sum_{k=1}^{n}</w:t>
      </w:r>
      <w:r>
        <w:br/>
        <w:t>G_C(z_{k-1},z_k).</w:t>
      </w:r>
      <w:r>
        <w:br/>
        <w:t>}</w:t>
      </w:r>
      <w:r>
        <w:br/>
        <w:t>\tag{3.9934}</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\boxed{G_C(\Pi_F)=\sum_{k=1}^{n}G_C(z_{k-1},z_k).}</w:t>
      </w:r>
    </w:p>
    <w:p w:rsidR="00643E65" w:rsidRDefault="00E50336" w:rsidP="00643E65">
      <w:r>
        <w:pict>
          <v:rect id="_x0000_i3036" style="width:0;height:1.5pt" o:hralign="center" o:hrstd="t" o:hr="t" fillcolor="#a0a0a0" stroked="f"/>
        </w:pict>
      </w:r>
    </w:p>
    <w:p w:rsidR="00643E65" w:rsidRDefault="00643E65" w:rsidP="00643E65">
      <w:pPr>
        <w:pStyle w:val="berschrift1"/>
      </w:pPr>
      <w:r>
        <w:t>3.3.44.155 Definition 3.3.99 – Kumulativer Kohärenzverlust</w:t>
      </w:r>
    </w:p>
    <w:p w:rsidR="00643E65" w:rsidRDefault="00643E65" w:rsidP="00643E65">
      <w:pPr>
        <w:pStyle w:val="berschrift3"/>
      </w:pPr>
      <w:r>
        <w:lastRenderedPageBreak/>
        <w:t>Definition 3.3.99</w:t>
      </w:r>
    </w:p>
    <w:p w:rsidR="00643E65" w:rsidRDefault="00643E65" w:rsidP="00643E65">
      <w:pPr>
        <w:pStyle w:val="StandardWeb"/>
      </w:pPr>
      <w:r>
        <w:t xml:space="preserve">Der </w:t>
      </w:r>
      <w:r>
        <w:rPr>
          <w:rStyle w:val="Fett"/>
        </w:rPr>
        <w:t>kumulative Kohärenzverlust</w:t>
      </w:r>
      <w:r>
        <w:t xml:space="preserve"> eines endlichen Übergangspfades ist</w:t>
      </w:r>
    </w:p>
    <w:p w:rsidR="00643E65" w:rsidRDefault="00643E65" w:rsidP="00643E65">
      <w:pPr>
        <w:pStyle w:val="berschrift1"/>
      </w:pPr>
      <w:r>
        <w:t>[</w:t>
      </w:r>
      <w:r>
        <w:br/>
        <w:t>\boxed{</w:t>
      </w:r>
      <w:r>
        <w:br/>
        <w:t>L_C(\Pi_F)</w:t>
      </w:r>
    </w:p>
    <w:p w:rsidR="00643E65" w:rsidRDefault="00643E65" w:rsidP="00643E65">
      <w:pPr>
        <w:pStyle w:val="StandardWeb"/>
      </w:pPr>
      <w:r>
        <w:t>\sum_{k=1}^{n}</w:t>
      </w:r>
      <w:r>
        <w:br/>
        <w:t>L_C(z_{k-1},z_k).</w:t>
      </w:r>
      <w:r>
        <w:br/>
        <w:t>}</w:t>
      </w:r>
      <w:r>
        <w:br/>
        <w:t>\tag{3.9935}</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\boxed{L_C(\Pi_F)=\sum_{k=1}^{n}L_C(z_{k-1},z_k).}</w:t>
      </w:r>
    </w:p>
    <w:p w:rsidR="00643E65" w:rsidRDefault="00E50336" w:rsidP="00643E65">
      <w:r>
        <w:pict>
          <v:rect id="_x0000_i3037" style="width:0;height:1.5pt" o:hralign="center" o:hrstd="t" o:hr="t" fillcolor="#a0a0a0" stroked="f"/>
        </w:pict>
      </w:r>
    </w:p>
    <w:p w:rsidR="00643E65" w:rsidRDefault="00643E65" w:rsidP="00643E65">
      <w:pPr>
        <w:pStyle w:val="berschrift1"/>
      </w:pPr>
      <w:r>
        <w:t>3.3.44.156 Pfadbilanz</w:t>
      </w:r>
    </w:p>
    <w:p w:rsidR="00643E65" w:rsidRDefault="00643E65" w:rsidP="00643E65">
      <w:pPr>
        <w:pStyle w:val="StandardWeb"/>
      </w:pPr>
      <w:r>
        <w:t>Mit Satz 3.3.32 folgt</w:t>
      </w:r>
    </w:p>
    <w:p w:rsidR="00643E65" w:rsidRDefault="00643E65" w:rsidP="00643E65">
      <w:pPr>
        <w:pStyle w:val="berschrift1"/>
      </w:pPr>
      <w:r>
        <w:t>[</w:t>
      </w:r>
      <w:r>
        <w:br/>
        <w:t>\Delta_{\Pi}C_F</w:t>
      </w:r>
    </w:p>
    <w:p w:rsidR="00643E65" w:rsidRDefault="00643E65" w:rsidP="00643E65">
      <w:pPr>
        <w:pStyle w:val="berschrift2"/>
      </w:pPr>
      <w:r>
        <w:t>G_C(\Pi_F)</w:t>
      </w:r>
    </w:p>
    <w:p w:rsidR="00643E65" w:rsidRDefault="00643E65" w:rsidP="00643E65">
      <w:pPr>
        <w:pStyle w:val="StandardWeb"/>
      </w:pPr>
      <w:r>
        <w:t>L_C(\Pi_F).</w:t>
      </w:r>
      <w:r>
        <w:br/>
        <w:t>\tag{3.9936}</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\Delta_{\Pi}C_F=G_C(\Pi_F)-L_C(\Pi_F)</w:t>
      </w:r>
    </w:p>
    <w:p w:rsidR="00643E65" w:rsidRDefault="00643E65" w:rsidP="00643E65">
      <w:pPr>
        <w:pStyle w:val="StandardWeb"/>
      </w:pPr>
      <w:r>
        <w:t>Damit kann derselbe Nettoeffekt durch sehr unterschiedliche interne Übergangsverläufe entstehen.</w:t>
      </w:r>
    </w:p>
    <w:p w:rsidR="00643E65" w:rsidRDefault="00E50336" w:rsidP="00643E65">
      <w:r>
        <w:pict>
          <v:rect id="_x0000_i3038" style="width:0;height:1.5pt" o:hralign="center" o:hrstd="t" o:hr="t" fillcolor="#a0a0a0" stroked="f"/>
        </w:pict>
      </w:r>
    </w:p>
    <w:p w:rsidR="00643E65" w:rsidRDefault="00643E65" w:rsidP="00643E65">
      <w:pPr>
        <w:pStyle w:val="berschrift1"/>
      </w:pPr>
      <w:r>
        <w:t>3.3.44.157 Übergangsfluktuation</w:t>
      </w:r>
    </w:p>
    <w:p w:rsidR="00643E65" w:rsidRDefault="00643E65" w:rsidP="00643E65">
      <w:pPr>
        <w:pStyle w:val="StandardWeb"/>
      </w:pPr>
      <w:r>
        <w:t>Um solche Unterschiede zu erfassen, kann die gesamte absolute Kohärenzänderung eines Pfades betrachtet werden:</w:t>
      </w:r>
    </w:p>
    <w:p w:rsidR="00643E65" w:rsidRDefault="00643E65" w:rsidP="00643E65">
      <w:pPr>
        <w:pStyle w:val="berschrift1"/>
      </w:pPr>
      <w:r>
        <w:lastRenderedPageBreak/>
        <w:t>[</w:t>
      </w:r>
      <w:r>
        <w:br/>
        <w:t>V_C(\Pi_F)</w:t>
      </w:r>
    </w:p>
    <w:p w:rsidR="00643E65" w:rsidRDefault="00643E65" w:rsidP="00643E65">
      <w:pPr>
        <w:pStyle w:val="StandardWeb"/>
      </w:pPr>
      <w:r>
        <w:t>\sum_{k=1}^{n}</w:t>
      </w:r>
      <w:r>
        <w:br/>
        <w:t>\left|</w:t>
      </w:r>
      <w:r>
        <w:br/>
        <w:t>\Delta_T C_F(z_{k-1},z_k)</w:t>
      </w:r>
      <w:r>
        <w:br/>
        <w:t>\right|.</w:t>
      </w:r>
      <w:r>
        <w:br/>
        <w:t>\tag{3.9937}</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V_C(\Pi_F)=\sum_{k=1}^{n}\left|\Delta_T C_F(z_{k-1},z_k)\right|</w:t>
      </w:r>
    </w:p>
    <w:p w:rsidR="00643E65" w:rsidRDefault="00643E65" w:rsidP="00643E65">
      <w:pPr>
        <w:pStyle w:val="StandardWeb"/>
      </w:pPr>
      <w:r>
        <w:t>Mit Korollar 3.3.11 folgt</w:t>
      </w:r>
    </w:p>
    <w:p w:rsidR="00643E65" w:rsidRDefault="00643E65" w:rsidP="00643E65">
      <w:pPr>
        <w:pStyle w:val="berschrift1"/>
      </w:pPr>
      <w:r>
        <w:t>[</w:t>
      </w:r>
      <w:r>
        <w:br/>
        <w:t>V_C(\Pi_F)</w:t>
      </w:r>
    </w:p>
    <w:p w:rsidR="00643E65" w:rsidRDefault="00643E65" w:rsidP="00643E65">
      <w:pPr>
        <w:pStyle w:val="StandardWeb"/>
      </w:pPr>
      <w:r>
        <w:t>G_C(\Pi_F)</w:t>
      </w:r>
      <w:r>
        <w:br/>
        <w:t>+</w:t>
      </w:r>
      <w:r>
        <w:br/>
        <w:t>L_C(\Pi_F).</w:t>
      </w:r>
      <w:r>
        <w:br/>
        <w:t>\tag{3.9938}</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V_C(\Pi_F)=G_C(\Pi_F)+L_C(\Pi_F)</w:t>
      </w:r>
    </w:p>
    <w:p w:rsidR="00643E65" w:rsidRDefault="00E50336" w:rsidP="00643E65">
      <w:r>
        <w:pict>
          <v:rect id="_x0000_i3039" style="width:0;height:1.5pt" o:hralign="center" o:hrstd="t" o:hr="t" fillcolor="#a0a0a0" stroked="f"/>
        </w:pict>
      </w:r>
    </w:p>
    <w:p w:rsidR="00643E65" w:rsidRDefault="00643E65" w:rsidP="00643E65">
      <w:pPr>
        <w:pStyle w:val="berschrift1"/>
      </w:pPr>
      <w:r>
        <w:t>3.3.44.158 Definition 3.3.100 – Kohärenzvariation eines Übergangspfades</w:t>
      </w:r>
    </w:p>
    <w:p w:rsidR="00643E65" w:rsidRDefault="00643E65" w:rsidP="00643E65">
      <w:pPr>
        <w:pStyle w:val="berschrift3"/>
      </w:pPr>
      <w:r>
        <w:t>Definition 3.3.100</w:t>
      </w:r>
    </w:p>
    <w:p w:rsidR="00643E65" w:rsidRDefault="00643E65" w:rsidP="00643E65">
      <w:pPr>
        <w:pStyle w:val="StandardWeb"/>
      </w:pPr>
      <w:r>
        <w:t xml:space="preserve">Die </w:t>
      </w:r>
      <w:r>
        <w:rPr>
          <w:rStyle w:val="Fett"/>
        </w:rPr>
        <w:t>Kohärenzvariation</w:t>
      </w:r>
      <w:r>
        <w:t xml:space="preserve"> eines endlichen Übergangspfades ist definiert durch</w:t>
      </w:r>
    </w:p>
    <w:p w:rsidR="00643E65" w:rsidRDefault="00643E65" w:rsidP="00643E65">
      <w:pPr>
        <w:pStyle w:val="berschrift1"/>
      </w:pPr>
      <w:r>
        <w:t>[</w:t>
      </w:r>
      <w:r>
        <w:br/>
        <w:t>\boxed{</w:t>
      </w:r>
      <w:r>
        <w:br/>
        <w:t>V_C(\Pi_F)</w:t>
      </w:r>
    </w:p>
    <w:p w:rsidR="00643E65" w:rsidRDefault="00643E65" w:rsidP="00643E65">
      <w:pPr>
        <w:pStyle w:val="StandardWeb"/>
      </w:pPr>
      <w:r>
        <w:t>\sum_{k=1}^{n}</w:t>
      </w:r>
      <w:r>
        <w:br/>
        <w:t>\left|</w:t>
      </w:r>
      <w:r>
        <w:br/>
        <w:t>\Delta_T C_F(z_{k-1},z_k)</w:t>
      </w:r>
      <w:r>
        <w:br/>
        <w:t>\right|.</w:t>
      </w:r>
      <w:r>
        <w:br/>
      </w:r>
      <w:r>
        <w:lastRenderedPageBreak/>
        <w:t>}</w:t>
      </w:r>
      <w:r>
        <w:br/>
        <w:t>\tag{3.9939}</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\boxed{V_C(\Pi_F)=\sum_{k=1}^{n}\left|\Delta_T C_F(z_{k-1},z_k)\right|.}</w:t>
      </w:r>
    </w:p>
    <w:p w:rsidR="00643E65" w:rsidRDefault="00643E65" w:rsidP="00643E65">
      <w:pPr>
        <w:pStyle w:val="StandardWeb"/>
      </w:pPr>
      <w:r>
        <w:t>Sie misst die gesamte Kohärenzbewegung entlang eines Pfades unabhängig von deren Nettoergebnis.</w:t>
      </w:r>
    </w:p>
    <w:p w:rsidR="00643E65" w:rsidRDefault="00E50336" w:rsidP="00643E65">
      <w:r>
        <w:pict>
          <v:rect id="_x0000_i3040" style="width:0;height:1.5pt" o:hralign="center" o:hrstd="t" o:hr="t" fillcolor="#a0a0a0" stroked="f"/>
        </w:pict>
      </w:r>
    </w:p>
    <w:p w:rsidR="00643E65" w:rsidRDefault="00643E65" w:rsidP="00643E65">
      <w:pPr>
        <w:pStyle w:val="berschrift1"/>
      </w:pPr>
      <w:r>
        <w:t>3.3.44.159 Untere Schranke der Kohärenzvariation</w:t>
      </w:r>
    </w:p>
    <w:p w:rsidR="00643E65" w:rsidRDefault="00643E65" w:rsidP="00643E65">
      <w:pPr>
        <w:pStyle w:val="StandardWeb"/>
      </w:pPr>
      <w:r>
        <w:t>Aus der Dreiecksungleichung folgt</w:t>
      </w:r>
    </w:p>
    <w:p w:rsidR="00643E65" w:rsidRDefault="00643E65" w:rsidP="00643E65">
      <w:pPr>
        <w:pStyle w:val="StandardWeb"/>
      </w:pPr>
      <w:r>
        <w:t>[</w:t>
      </w:r>
      <w:r>
        <w:br/>
        <w:t>\left|</w:t>
      </w:r>
      <w:r>
        <w:br/>
        <w:t>\sum_{k=1}^{n}</w:t>
      </w:r>
      <w:r>
        <w:br/>
        <w:t>\Delta_T C_F(z_{k-1},z_k)</w:t>
      </w:r>
      <w:r>
        <w:br/>
        <w:t>\right|</w:t>
      </w:r>
      <w:r>
        <w:br/>
        <w:t>\leq</w:t>
      </w:r>
      <w:r>
        <w:br/>
        <w:t>\sum_{k=1}^{n}</w:t>
      </w:r>
      <w:r>
        <w:br/>
        <w:t>\left|</w:t>
      </w:r>
      <w:r>
        <w:br/>
        <w:t>\Delta_T C_F(z_{k-1},z_k)</w:t>
      </w:r>
      <w:r>
        <w:br/>
        <w:t>\right|.</w:t>
      </w:r>
      <w:r>
        <w:br/>
        <w:t>\tag{3.9940}</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\left|\sum_{k=1}^{n}\Delta_T C_F(z_{k-1},z_k)\right|\leq\sum_{k=1}^{n}\left|\Delta_T C_F(z_{k-1},z_k)\right|</w:t>
      </w:r>
    </w:p>
    <w:p w:rsidR="00643E65" w:rsidRDefault="00643E65" w:rsidP="00643E65">
      <w:pPr>
        <w:pStyle w:val="StandardWeb"/>
      </w:pPr>
      <w:r>
        <w:t>Damit gilt</w:t>
      </w:r>
    </w:p>
    <w:p w:rsidR="00643E65" w:rsidRDefault="00643E65" w:rsidP="00643E65">
      <w:pPr>
        <w:pStyle w:val="StandardWeb"/>
      </w:pPr>
      <w:r>
        <w:t>[</w:t>
      </w:r>
      <w:r>
        <w:br/>
        <w:t>\left|</w:t>
      </w:r>
      <w:r>
        <w:br/>
        <w:t>C_F(z_n)-C_F(z_0)</w:t>
      </w:r>
      <w:r>
        <w:br/>
        <w:t>\right|</w:t>
      </w:r>
      <w:r>
        <w:br/>
        <w:t>\leq</w:t>
      </w:r>
      <w:r>
        <w:br/>
        <w:t>V_C(\Pi_F).</w:t>
      </w:r>
      <w:r>
        <w:br/>
        <w:t>\tag{3.9941}</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\left|C_F(z_n)-C_F(z_0)\right|\leq V_C(\Pi_F)</w:t>
      </w:r>
    </w:p>
    <w:p w:rsidR="00643E65" w:rsidRDefault="00E50336" w:rsidP="00643E65">
      <w:r>
        <w:pict>
          <v:rect id="_x0000_i3041" style="width:0;height:1.5pt" o:hralign="center" o:hrstd="t" o:hr="t" fillcolor="#a0a0a0" stroked="f"/>
        </w:pict>
      </w:r>
    </w:p>
    <w:p w:rsidR="00643E65" w:rsidRDefault="00643E65" w:rsidP="00643E65">
      <w:pPr>
        <w:pStyle w:val="berschrift1"/>
      </w:pPr>
      <w:r>
        <w:lastRenderedPageBreak/>
        <w:t>3.3.44.160 Satz 3.3.34 – Variationsschranke</w:t>
      </w:r>
    </w:p>
    <w:p w:rsidR="00643E65" w:rsidRDefault="00643E65" w:rsidP="00643E65">
      <w:pPr>
        <w:pStyle w:val="berschrift3"/>
      </w:pPr>
      <w:r>
        <w:t>Satz 3.3.34</w:t>
      </w:r>
    </w:p>
    <w:p w:rsidR="00643E65" w:rsidRDefault="00643E65" w:rsidP="00643E65">
      <w:pPr>
        <w:pStyle w:val="StandardWeb"/>
      </w:pPr>
      <w:r>
        <w:t>Für jeden endlichen Übergangspfad gilt</w:t>
      </w:r>
    </w:p>
    <w:p w:rsidR="00643E65" w:rsidRDefault="00643E65" w:rsidP="00643E65">
      <w:pPr>
        <w:pStyle w:val="StandardWeb"/>
      </w:pPr>
      <w:r>
        <w:t>[</w:t>
      </w:r>
      <w:r>
        <w:br/>
        <w:t>\boxed{</w:t>
      </w:r>
      <w:r>
        <w:br/>
        <w:t>V_C(\Pi_F)</w:t>
      </w:r>
      <w:r>
        <w:br/>
        <w:t>\geq</w:t>
      </w:r>
      <w:r>
        <w:br/>
        <w:t>\left|</w:t>
      </w:r>
      <w:r>
        <w:br/>
        <w:t>C_F(z_n)-C_F(z_0)</w:t>
      </w:r>
      <w:r>
        <w:br/>
        <w:t>\right|.</w:t>
      </w:r>
      <w:r>
        <w:br/>
        <w:t>}</w:t>
      </w:r>
      <w:r>
        <w:br/>
        <w:t>\tag{3.9942}</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\boxed{V_C(\Pi_F)\geq\left|C_F(z_n)-C_F(z_0)\right|.}</w:t>
      </w:r>
    </w:p>
    <w:p w:rsidR="00643E65" w:rsidRDefault="00643E65" w:rsidP="00643E65">
      <w:pPr>
        <w:pStyle w:val="StandardWeb"/>
      </w:pPr>
      <w:r>
        <w:t>Die gesamte Kohärenzvariation kann somit niemals kleiner als die absolute Nettoänderung zwischen Anfangs- und Endzustand sein.</w:t>
      </w:r>
    </w:p>
    <w:p w:rsidR="00643E65" w:rsidRDefault="00E50336" w:rsidP="00643E65">
      <w:r>
        <w:pict>
          <v:rect id="_x0000_i3042" style="width:0;height:1.5pt" o:hralign="center" o:hrstd="t" o:hr="t" fillcolor="#a0a0a0" stroked="f"/>
        </w:pict>
      </w:r>
    </w:p>
    <w:p w:rsidR="00643E65" w:rsidRDefault="00643E65" w:rsidP="00643E65">
      <w:pPr>
        <w:pStyle w:val="berschrift1"/>
      </w:pPr>
      <w:r>
        <w:t>3.3.44.161 Gleichheitsfall</w:t>
      </w:r>
    </w:p>
    <w:p w:rsidR="00643E65" w:rsidRDefault="00643E65" w:rsidP="00643E65">
      <w:pPr>
        <w:pStyle w:val="StandardWeb"/>
      </w:pPr>
      <w:r>
        <w:t>Gleichheit in Satz 3.3.34 liegt insbesondere dann vor, wenn sämtliche Kohärenzänderungen entlang des Pfades dasselbe Vorzeichen besitzen:</w:t>
      </w:r>
    </w:p>
    <w:p w:rsidR="00643E65" w:rsidRDefault="00643E65" w:rsidP="00643E65">
      <w:pPr>
        <w:pStyle w:val="StandardWeb"/>
      </w:pPr>
      <w:r>
        <w:t>[</w:t>
      </w:r>
      <w:r>
        <w:br/>
        <w:t>\Delta_T C_F(z_{k-1},z_k)\geq0</w:t>
      </w:r>
      <w:r>
        <w:br/>
        <w:t>\quad</w:t>
      </w:r>
      <w:r>
        <w:br/>
        <w:t>\forall k</w:t>
      </w:r>
      <w:r>
        <w:br/>
        <w:t>\tag{3.9943}</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\Delta_T C_F(z_{k-1},z_k)\geq0\quad\forall k</w:t>
      </w:r>
    </w:p>
    <w:p w:rsidR="00643E65" w:rsidRDefault="00643E65" w:rsidP="00643E65">
      <w:pPr>
        <w:pStyle w:val="StandardWeb"/>
      </w:pPr>
      <w:r>
        <w:t>oder</w:t>
      </w:r>
    </w:p>
    <w:p w:rsidR="00643E65" w:rsidRDefault="00643E65" w:rsidP="00643E65">
      <w:pPr>
        <w:pStyle w:val="StandardWeb"/>
      </w:pPr>
      <w:r>
        <w:t>[</w:t>
      </w:r>
      <w:r>
        <w:br/>
        <w:t>\Delta_T C_F(z_{k-1},z_k)\leq0</w:t>
      </w:r>
      <w:r>
        <w:br/>
        <w:t>\quad</w:t>
      </w:r>
      <w:r>
        <w:br/>
        <w:t>\forall k.</w:t>
      </w:r>
      <w:r>
        <w:br/>
        <w:t>\tag{3.9944}</w:t>
      </w:r>
      <w:r>
        <w:br/>
        <w:t>]</w:t>
      </w:r>
    </w:p>
    <w:p w:rsidR="00643E65" w:rsidRDefault="00643E65" w:rsidP="00643E65">
      <w:pPr>
        <w:pStyle w:val="StandardWeb"/>
      </w:pPr>
      <w:r>
        <w:rPr>
          <w:rStyle w:val="Fett"/>
        </w:rPr>
        <w:lastRenderedPageBreak/>
        <w:t>Word-LaTeX</w:t>
      </w:r>
    </w:p>
    <w:p w:rsidR="00643E65" w:rsidRDefault="00643E65" w:rsidP="00643E65">
      <w:pPr>
        <w:pStyle w:val="HTMLVorformatiert"/>
        <w:rPr>
          <w:rStyle w:val="HTMLCode"/>
        </w:rPr>
      </w:pPr>
      <w:r>
        <w:rPr>
          <w:rStyle w:val="HTMLCode"/>
        </w:rPr>
        <w:t>\Delta_T C_F(z_{k-1},z_k)\leq0\quad\forall k</w:t>
      </w:r>
    </w:p>
    <w:p w:rsidR="00643E65" w:rsidRDefault="00E50336" w:rsidP="00643E65">
      <w:r>
        <w:pict>
          <v:rect id="_x0000_i3043" style="width:0;height:1.5pt" o:hralign="center" o:hrstd="t" o:hr="t" fillcolor="#a0a0a0" stroked="f"/>
        </w:pict>
      </w:r>
    </w:p>
    <w:p w:rsidR="00643E65" w:rsidRDefault="00643E65" w:rsidP="00643E65">
      <w:pPr>
        <w:pStyle w:val="berschrift1"/>
      </w:pPr>
      <w:r>
        <w:t>3.3.44.162 Kohärenzoszillation</w:t>
      </w:r>
    </w:p>
    <w:p w:rsidR="00643E65" w:rsidRDefault="00643E65" w:rsidP="00643E65">
      <w:pPr>
        <w:pStyle w:val="StandardWeb"/>
      </w:pPr>
      <w:r>
        <w:t>Ist dagegen</w:t>
      </w:r>
    </w:p>
    <w:p w:rsidR="00643E65" w:rsidRDefault="00643E65" w:rsidP="00643E65">
      <w:pPr>
        <w:pStyle w:val="StandardWeb"/>
      </w:pPr>
      <w:r>
        <w:t>[</w:t>
      </w:r>
      <w:r>
        <w:br/>
        <w:t>V_C(\Pi_F)</w:t>
      </w:r>
    </w:p>
    <w:p w:rsidR="00643E65" w:rsidRDefault="00643E65" w:rsidP="00643E65">
      <w:pPr>
        <w:pStyle w:val="StandardWeb"/>
      </w:pPr>
      <w:r>
        <w:t>\left|</w:t>
      </w:r>
      <w:r>
        <w:br/>
        <w:t>C_F(z_n)-C_F(z_0)</w:t>
      </w:r>
      <w:r>
        <w:br/>
        <w:t>\right|,</w:t>
      </w:r>
      <w:r>
        <w:br/>
        <w:t>\tag{3.9945}</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V_C(\Pi_F)&gt;\left|C_F(z_n)-C_F(z_0)\right|</w:t>
      </w:r>
    </w:p>
    <w:p w:rsidR="00643E65" w:rsidRDefault="00643E65" w:rsidP="00643E65">
      <w:pPr>
        <w:pStyle w:val="StandardWeb"/>
      </w:pPr>
      <w:r>
        <w:t>müssen sich Kohärenzzunahmen und Kohärenzabnahmen entlang des Pfades zumindest teilweise kompensieren.</w:t>
      </w:r>
    </w:p>
    <w:p w:rsidR="00643E65" w:rsidRDefault="00643E65" w:rsidP="00643E65">
      <w:pPr>
        <w:pStyle w:val="StandardWeb"/>
      </w:pPr>
      <w:r>
        <w:t>Damit kann ein Oszillationsmaß definiert werden.</w:t>
      </w:r>
    </w:p>
    <w:p w:rsidR="00643E65" w:rsidRDefault="00E50336" w:rsidP="00643E65">
      <w:r>
        <w:pict>
          <v:rect id="_x0000_i3044" style="width:0;height:1.5pt" o:hralign="center" o:hrstd="t" o:hr="t" fillcolor="#a0a0a0" stroked="f"/>
        </w:pict>
      </w:r>
    </w:p>
    <w:p w:rsidR="00643E65" w:rsidRDefault="00643E65" w:rsidP="00643E65">
      <w:pPr>
        <w:pStyle w:val="berschrift1"/>
      </w:pPr>
      <w:r>
        <w:t>3.3.44.163 Definition 3.3.101 – Kohärenzoszillation</w:t>
      </w:r>
    </w:p>
    <w:p w:rsidR="00643E65" w:rsidRDefault="00643E65" w:rsidP="00643E65">
      <w:pPr>
        <w:pStyle w:val="berschrift3"/>
      </w:pPr>
      <w:r>
        <w:t>Definition 3.3.101</w:t>
      </w:r>
    </w:p>
    <w:p w:rsidR="00643E65" w:rsidRDefault="00643E65" w:rsidP="00643E65">
      <w:pPr>
        <w:pStyle w:val="StandardWeb"/>
      </w:pPr>
      <w:r>
        <w:t xml:space="preserve">Die </w:t>
      </w:r>
      <w:r>
        <w:rPr>
          <w:rStyle w:val="Fett"/>
        </w:rPr>
        <w:t>Kohärenzoszillation</w:t>
      </w:r>
      <w:r>
        <w:t xml:space="preserve"> eines Übergangspfades definiere ich durch</w:t>
      </w:r>
    </w:p>
    <w:p w:rsidR="00643E65" w:rsidRDefault="00643E65" w:rsidP="00643E65">
      <w:pPr>
        <w:pStyle w:val="berschrift1"/>
      </w:pPr>
      <w:r>
        <w:t>[</w:t>
      </w:r>
      <w:r>
        <w:br/>
        <w:t>\boxed{</w:t>
      </w:r>
      <w:r>
        <w:br/>
        <w:t>O_C(\Pi_F)</w:t>
      </w:r>
    </w:p>
    <w:p w:rsidR="00643E65" w:rsidRDefault="00643E65" w:rsidP="00643E65">
      <w:pPr>
        <w:pStyle w:val="berschrift2"/>
      </w:pPr>
      <w:r>
        <w:t>V_C(\Pi_F)</w:t>
      </w:r>
    </w:p>
    <w:p w:rsidR="00643E65" w:rsidRDefault="00643E65" w:rsidP="00643E65">
      <w:pPr>
        <w:pStyle w:val="StandardWeb"/>
      </w:pPr>
      <w:r>
        <w:t>\left|</w:t>
      </w:r>
      <w:r>
        <w:br/>
        <w:t>\Delta_{\Pi}C_F</w:t>
      </w:r>
      <w:r>
        <w:br/>
        <w:t>\right|.</w:t>
      </w:r>
      <w:r>
        <w:br/>
        <w:t>}</w:t>
      </w:r>
      <w:r>
        <w:br/>
        <w:t>\tag{3.9946}</w:t>
      </w:r>
      <w:r>
        <w:br/>
        <w:t>]</w:t>
      </w:r>
    </w:p>
    <w:p w:rsidR="00643E65" w:rsidRDefault="00643E65" w:rsidP="00643E65">
      <w:pPr>
        <w:pStyle w:val="StandardWeb"/>
      </w:pPr>
      <w:r>
        <w:rPr>
          <w:rStyle w:val="Fett"/>
        </w:rPr>
        <w:lastRenderedPageBreak/>
        <w:t>Word-LaTeX</w:t>
      </w:r>
    </w:p>
    <w:p w:rsidR="00643E65" w:rsidRDefault="00643E65" w:rsidP="00643E65">
      <w:pPr>
        <w:pStyle w:val="HTMLVorformatiert"/>
        <w:rPr>
          <w:rStyle w:val="HTMLCode"/>
        </w:rPr>
      </w:pPr>
      <w:r>
        <w:rPr>
          <w:rStyle w:val="HTMLCode"/>
        </w:rPr>
        <w:t>\boxed{O_C(\Pi_F)=V_C(\Pi_F)-\left|\Delta_{\Pi}C_F\right|.}</w:t>
      </w:r>
    </w:p>
    <w:p w:rsidR="00643E65" w:rsidRDefault="00643E65" w:rsidP="00643E65">
      <w:pPr>
        <w:pStyle w:val="StandardWeb"/>
      </w:pPr>
      <w:r>
        <w:t>Aus Satz 3.3.34 folgt unmittelbar</w:t>
      </w:r>
    </w:p>
    <w:p w:rsidR="00643E65" w:rsidRDefault="00643E65" w:rsidP="00643E65">
      <w:pPr>
        <w:pStyle w:val="StandardWeb"/>
      </w:pPr>
      <w:r>
        <w:t>[</w:t>
      </w:r>
      <w:r>
        <w:br/>
        <w:t>O_C(\Pi_F)\geq0.</w:t>
      </w:r>
      <w:r>
        <w:br/>
        <w:t>\tag{3.9947}</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O_C(\Pi_F)\geq0</w:t>
      </w:r>
    </w:p>
    <w:p w:rsidR="00643E65" w:rsidRDefault="00E50336" w:rsidP="00643E65">
      <w:r>
        <w:pict>
          <v:rect id="_x0000_i3045" style="width:0;height:1.5pt" o:hralign="center" o:hrstd="t" o:hr="t" fillcolor="#a0a0a0" stroked="f"/>
        </w:pict>
      </w:r>
    </w:p>
    <w:p w:rsidR="00643E65" w:rsidRDefault="00643E65" w:rsidP="00643E65">
      <w:pPr>
        <w:pStyle w:val="berschrift1"/>
      </w:pPr>
      <w:r>
        <w:t>3.3.44.164 Bedeutung der Kohärenzoszillation</w:t>
      </w:r>
    </w:p>
    <w:p w:rsidR="00643E65" w:rsidRDefault="00643E65" w:rsidP="00643E65">
      <w:pPr>
        <w:pStyle w:val="StandardWeb"/>
      </w:pPr>
      <w:r>
        <w:t>Für</w:t>
      </w:r>
    </w:p>
    <w:p w:rsidR="00643E65" w:rsidRDefault="00643E65" w:rsidP="00643E65">
      <w:pPr>
        <w:pStyle w:val="StandardWeb"/>
      </w:pPr>
      <w:r>
        <w:t>[</w:t>
      </w:r>
      <w:r>
        <w:br/>
        <w:t>O_C(\Pi_F)=0</w:t>
      </w:r>
      <w:r>
        <w:br/>
        <w:t>\tag{3.9948}</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O_C(\Pi_F)=0</w:t>
      </w:r>
    </w:p>
    <w:p w:rsidR="00643E65" w:rsidRDefault="00643E65" w:rsidP="00643E65">
      <w:pPr>
        <w:pStyle w:val="StandardWeb"/>
      </w:pPr>
      <w:r>
        <w:t>verläuft die Kohärenz entlang des Pfades ohne gegenläufige Teiländerungen.</w:t>
      </w:r>
    </w:p>
    <w:p w:rsidR="00643E65" w:rsidRDefault="00643E65" w:rsidP="00643E65">
      <w:pPr>
        <w:pStyle w:val="StandardWeb"/>
      </w:pPr>
      <w:r>
        <w:t>Für</w:t>
      </w:r>
    </w:p>
    <w:p w:rsidR="00643E65" w:rsidRDefault="00643E65" w:rsidP="00643E65">
      <w:pPr>
        <w:pStyle w:val="StandardWeb"/>
      </w:pPr>
      <w:r>
        <w:t>[</w:t>
      </w:r>
      <w:r>
        <w:br/>
        <w:t>O_C(\Pi_F)&gt;0</w:t>
      </w:r>
      <w:r>
        <w:br/>
        <w:t>\tag{3.9949}</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O_C(\Pi_F)&gt;0</w:t>
      </w:r>
    </w:p>
    <w:p w:rsidR="00643E65" w:rsidRDefault="00643E65" w:rsidP="00643E65">
      <w:pPr>
        <w:pStyle w:val="StandardWeb"/>
      </w:pPr>
      <w:r>
        <w:t>enthält der Pfad dagegen Kohärenzbewegungen, die sich im Nettoergebnis teilweise gegenseitig aufheben.</w:t>
      </w:r>
    </w:p>
    <w:p w:rsidR="00643E65" w:rsidRDefault="00E50336" w:rsidP="00643E65">
      <w:r>
        <w:pict>
          <v:rect id="_x0000_i3046" style="width:0;height:1.5pt" o:hralign="center" o:hrstd="t" o:hr="t" fillcolor="#a0a0a0" stroked="f"/>
        </w:pict>
      </w:r>
    </w:p>
    <w:p w:rsidR="00643E65" w:rsidRDefault="00643E65" w:rsidP="00643E65">
      <w:pPr>
        <w:pStyle w:val="berschrift1"/>
      </w:pPr>
      <w:r>
        <w:t>3.3.44.165 Keine Gleichsetzung mit physikalischer Dissipation</w:t>
      </w:r>
    </w:p>
    <w:p w:rsidR="00643E65" w:rsidRDefault="00643E65" w:rsidP="00643E65">
      <w:pPr>
        <w:pStyle w:val="StandardWeb"/>
      </w:pPr>
      <w:r>
        <w:lastRenderedPageBreak/>
        <w:t>Die Kohärenzoszillation ist ausdrücklich keine thermodynamische Dissipation.</w:t>
      </w:r>
    </w:p>
    <w:p w:rsidR="00643E65" w:rsidRDefault="00643E65" w:rsidP="00643E65">
      <w:pPr>
        <w:pStyle w:val="StandardWeb"/>
      </w:pPr>
      <w:r>
        <w:t>Daher gilt</w:t>
      </w:r>
    </w:p>
    <w:p w:rsidR="00643E65" w:rsidRDefault="00643E65" w:rsidP="00643E65">
      <w:pPr>
        <w:pStyle w:val="StandardWeb"/>
      </w:pPr>
      <w:r>
        <w:t>[</w:t>
      </w:r>
      <w:r>
        <w:br/>
        <w:t>\boxed{</w:t>
      </w:r>
      <w:r>
        <w:br/>
        <w:t>O_C</w:t>
      </w:r>
      <w:r>
        <w:br/>
        <w:t>\not\equiv</w:t>
      </w:r>
      <w:r>
        <w:br/>
        <w:t>S_{\mathrm{prod}}</w:t>
      </w:r>
      <w:r>
        <w:br/>
        <w:t>}</w:t>
      </w:r>
      <w:r>
        <w:br/>
        <w:t>\tag{3.9950}</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\boxed{O_C\not\equiv S_{\mathrm{prod}}}</w:t>
      </w:r>
    </w:p>
    <w:p w:rsidR="00643E65" w:rsidRDefault="00643E65" w:rsidP="00643E65">
      <w:pPr>
        <w:pStyle w:val="StandardWeb"/>
      </w:pPr>
      <w:r>
        <w:t>und ebenso wenig darf ohne zusätzliche Modellannahmen eine direkte Identifikation mit Energieverlusten vorgenommen werden.</w:t>
      </w:r>
    </w:p>
    <w:p w:rsidR="00643E65" w:rsidRDefault="00E50336" w:rsidP="00643E65">
      <w:r>
        <w:pict>
          <v:rect id="_x0000_i3047" style="width:0;height:1.5pt" o:hralign="center" o:hrstd="t" o:hr="t" fillcolor="#a0a0a0" stroked="f"/>
        </w:pict>
      </w:r>
    </w:p>
    <w:p w:rsidR="00643E65" w:rsidRDefault="00643E65" w:rsidP="00643E65">
      <w:pPr>
        <w:pStyle w:val="berschrift1"/>
      </w:pPr>
      <w:r>
        <w:t>3.3.44.166 Kohärenz-Übergangs-Kopplung als eigene Modellschicht</w:t>
      </w:r>
    </w:p>
    <w:p w:rsidR="00643E65" w:rsidRDefault="00643E65" w:rsidP="00643E65">
      <w:pPr>
        <w:pStyle w:val="StandardWeb"/>
      </w:pPr>
      <w:r>
        <w:t>Die bisher eingeführten Größen zeigen, dass zwischen Kohärenz und Übergangsstruktur eine zusätzliche Kopplungsschicht entstehen kann.</w:t>
      </w:r>
    </w:p>
    <w:p w:rsidR="00643E65" w:rsidRDefault="00643E65" w:rsidP="00643E65">
      <w:pPr>
        <w:pStyle w:val="StandardWeb"/>
      </w:pPr>
      <w:r>
        <w:t>Ich bezeichne diese durch</w:t>
      </w:r>
    </w:p>
    <w:p w:rsidR="00643E65" w:rsidRDefault="00643E65" w:rsidP="00643E65">
      <w:pPr>
        <w:pStyle w:val="StandardWeb"/>
      </w:pPr>
      <w:r>
        <w:t>[</w:t>
      </w:r>
      <w:r>
        <w:br/>
        <w:t>\mathfrak K_{CT}.</w:t>
      </w:r>
      <w:r>
        <w:br/>
        <w:t>\tag{3.9951}</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\mathfrak K_{CT}</w:t>
      </w:r>
    </w:p>
    <w:p w:rsidR="00643E65" w:rsidRDefault="00643E65" w:rsidP="00643E65">
      <w:pPr>
        <w:pStyle w:val="StandardWeb"/>
      </w:pPr>
      <w:r>
        <w:t>Sie enthält beispielsweise</w:t>
      </w:r>
    </w:p>
    <w:p w:rsidR="00643E65" w:rsidRDefault="00643E65" w:rsidP="00643E65">
      <w:pPr>
        <w:pStyle w:val="berschrift1"/>
      </w:pPr>
      <w:r>
        <w:t>[</w:t>
      </w:r>
      <w:r>
        <w:br/>
        <w:t>\mathfrak K_{CT}</w:t>
      </w:r>
    </w:p>
    <w:p w:rsidR="00643E65" w:rsidRDefault="00643E65" w:rsidP="00643E65">
      <w:pPr>
        <w:pStyle w:val="StandardWeb"/>
      </w:pPr>
      <w:r>
        <w:t>\left{</w:t>
      </w:r>
      <w:r>
        <w:br/>
        <w:t>\Delta_T C_F,</w:t>
      </w:r>
      <w:r>
        <w:br/>
        <w:t>G_C,</w:t>
      </w:r>
      <w:r>
        <w:br/>
        <w:t>L_C,</w:t>
      </w:r>
      <w:r>
        <w:br/>
        <w:t>\eta_C,</w:t>
      </w:r>
      <w:r>
        <w:br/>
      </w:r>
      <w:r>
        <w:lastRenderedPageBreak/>
        <w:t>V_C,</w:t>
      </w:r>
      <w:r>
        <w:br/>
        <w:t>O_C,</w:t>
      </w:r>
      <w:r>
        <w:br/>
        <w:t>\ldots</w:t>
      </w:r>
      <w:r>
        <w:br/>
        <w:t>\right}.</w:t>
      </w:r>
      <w:r>
        <w:br/>
        <w:t>\tag{3.9952}</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\mathfrak K_{CT}=\left\{\Delta_T C_F,G_C,L_C,\eta_C,V_C,O_C,\ldots\right\}</w:t>
      </w:r>
    </w:p>
    <w:p w:rsidR="00643E65" w:rsidRDefault="00E50336" w:rsidP="00643E65">
      <w:r>
        <w:pict>
          <v:rect id="_x0000_i3048" style="width:0;height:1.5pt" o:hralign="center" o:hrstd="t" o:hr="t" fillcolor="#a0a0a0" stroked="f"/>
        </w:pict>
      </w:r>
    </w:p>
    <w:p w:rsidR="00643E65" w:rsidRDefault="00643E65" w:rsidP="00643E65">
      <w:pPr>
        <w:pStyle w:val="berschrift1"/>
      </w:pPr>
      <w:r>
        <w:t>3.3.44.167 Definition 3.3.102 – Kohärenz-Übergangs-Kopplungsstruktur</w:t>
      </w:r>
    </w:p>
    <w:p w:rsidR="00643E65" w:rsidRDefault="00643E65" w:rsidP="00643E65">
      <w:pPr>
        <w:pStyle w:val="berschrift3"/>
      </w:pPr>
      <w:r>
        <w:t>Definition 3.3.102</w:t>
      </w:r>
    </w:p>
    <w:p w:rsidR="00643E65" w:rsidRDefault="00643E65" w:rsidP="00643E65">
      <w:pPr>
        <w:pStyle w:val="StandardWeb"/>
      </w:pPr>
      <w:r>
        <w:t xml:space="preserve">Die </w:t>
      </w:r>
      <w:r>
        <w:rPr>
          <w:rStyle w:val="Fett"/>
        </w:rPr>
        <w:t>Kohärenz-Übergangs-Kopplungsstruktur</w:t>
      </w:r>
      <w:r>
        <w:t xml:space="preserve"> (\mathfrak K_{CT}) ist die Gesamtheit derjenigen definierten oder modellabhängig eingeführten Größen, die funktionale Kohärenzeigenschaften verschiedener Zustände mit deren Übergangsrelation verbinden:</w:t>
      </w:r>
    </w:p>
    <w:p w:rsidR="00643E65" w:rsidRDefault="00643E65" w:rsidP="00643E65">
      <w:pPr>
        <w:pStyle w:val="berschrift1"/>
      </w:pPr>
      <w:r>
        <w:t>[</w:t>
      </w:r>
      <w:r>
        <w:br/>
        <w:t>\boxed{</w:t>
      </w:r>
      <w:r>
        <w:br/>
        <w:t>\mathfrak K_{CT}</w:t>
      </w:r>
    </w:p>
    <w:p w:rsidR="00643E65" w:rsidRDefault="00643E65" w:rsidP="00643E65">
      <w:pPr>
        <w:pStyle w:val="StandardWeb"/>
      </w:pPr>
      <w:r>
        <w:t>\left{</w:t>
      </w:r>
      <w:r>
        <w:br/>
        <w:t>X:</w:t>
      </w:r>
      <w:r>
        <w:br/>
        <w:t>X=X(C_F,\mathcal T_F,\ldots)</w:t>
      </w:r>
      <w:r>
        <w:br/>
        <w:t>\right}.</w:t>
      </w:r>
      <w:r>
        <w:br/>
        <w:t>}</w:t>
      </w:r>
      <w:r>
        <w:br/>
        <w:t>\tag{3.9953}</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\boxed{\mathfrak K_{CT}=\left\{X:X=X(C_F,\mathcal T_F,\ldots)\right\}.}</w:t>
      </w:r>
    </w:p>
    <w:p w:rsidR="00643E65" w:rsidRDefault="00643E65" w:rsidP="00643E65">
      <w:pPr>
        <w:pStyle w:val="StandardWeb"/>
      </w:pPr>
      <w:r>
        <w:t>Diese Struktur ist keine zusätzliche Primäraxiomatik.</w:t>
      </w:r>
    </w:p>
    <w:p w:rsidR="00643E65" w:rsidRDefault="00E50336" w:rsidP="00643E65">
      <w:r>
        <w:pict>
          <v:rect id="_x0000_i3049" style="width:0;height:1.5pt" o:hralign="center" o:hrstd="t" o:hr="t" fillcolor="#a0a0a0" stroked="f"/>
        </w:pict>
      </w:r>
    </w:p>
    <w:p w:rsidR="00643E65" w:rsidRDefault="00643E65" w:rsidP="00643E65">
      <w:pPr>
        <w:pStyle w:val="berschrift1"/>
      </w:pPr>
      <w:r>
        <w:t>3.3.44.168 Status der Kopplungsstruktur</w:t>
      </w:r>
    </w:p>
    <w:p w:rsidR="00643E65" w:rsidRDefault="00643E65" w:rsidP="00643E65">
      <w:pPr>
        <w:pStyle w:val="StandardWeb"/>
      </w:pPr>
      <w:r>
        <w:t>Die Kopplungsstruktur setzt bereits definierte Theorieobjekte voraus.</w:t>
      </w:r>
    </w:p>
    <w:p w:rsidR="00643E65" w:rsidRDefault="00643E65" w:rsidP="00643E65">
      <w:pPr>
        <w:pStyle w:val="StandardWeb"/>
      </w:pPr>
      <w:r>
        <w:t>Daher gilt</w:t>
      </w:r>
    </w:p>
    <w:p w:rsidR="00643E65" w:rsidRDefault="00643E65" w:rsidP="00643E65">
      <w:pPr>
        <w:pStyle w:val="StandardWeb"/>
      </w:pPr>
      <w:r>
        <w:lastRenderedPageBreak/>
        <w:t>[</w:t>
      </w:r>
      <w:r>
        <w:br/>
        <w:t>\operatorname{Stat}</w:t>
      </w:r>
      <w:r>
        <w:br/>
        <w:t>\left(</w:t>
      </w:r>
      <w:r>
        <w:br/>
        <w:t>\mathfrak K_{CT}</w:t>
      </w:r>
      <w:r>
        <w:br/>
        <w:t>\right)</w:t>
      </w:r>
      <w:r>
        <w:br/>
        <w:t>\neq</w:t>
      </w:r>
      <w:r>
        <w:br/>
        <w:t>\mathrm{Ax}</w:t>
      </w:r>
      <w:r>
        <w:br/>
        <w:t>\tag{3.9954}</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\operatorname{Stat}\left(\mathfrak K_{CT}\right)\neq\mathrm{Ax}</w:t>
      </w:r>
    </w:p>
    <w:p w:rsidR="00643E65" w:rsidRDefault="00643E65" w:rsidP="00643E65">
      <w:pPr>
        <w:pStyle w:val="StandardWeb"/>
      </w:pPr>
      <w:r>
        <w:t>für die hier eingeführte allgemeine Struktur.</w:t>
      </w:r>
    </w:p>
    <w:p w:rsidR="00643E65" w:rsidRDefault="00643E65" w:rsidP="00643E65">
      <w:pPr>
        <w:pStyle w:val="StandardWeb"/>
      </w:pPr>
      <w:r>
        <w:t>Ihre einzelnen Bestandteile können Definitionen, abgeleitete Größen, Operationalisierungen oder Modellannahmen sein.</w:t>
      </w:r>
    </w:p>
    <w:p w:rsidR="00643E65" w:rsidRDefault="00E50336" w:rsidP="00643E65">
      <w:r>
        <w:pict>
          <v:rect id="_x0000_i3050" style="width:0;height:1.5pt" o:hralign="center" o:hrstd="t" o:hr="t" fillcolor="#a0a0a0" stroked="f"/>
        </w:pict>
      </w:r>
    </w:p>
    <w:p w:rsidR="00643E65" w:rsidRDefault="00643E65" w:rsidP="00643E65">
      <w:pPr>
        <w:pStyle w:val="berschrift1"/>
      </w:pPr>
      <w:r>
        <w:t>3.3.44.169 Keine neue Existenzforderung</w:t>
      </w:r>
    </w:p>
    <w:p w:rsidR="00643E65" w:rsidRDefault="00643E65" w:rsidP="00643E65">
      <w:pPr>
        <w:pStyle w:val="StandardWeb"/>
      </w:pPr>
      <w:r>
        <w:t>Insbesondere verlangt die Definition von (\mathfrak K_{CT}) nicht, dass jedes FRZK-Modell tatsächlich einen nichttrivialen Übergang besitzen muss.</w:t>
      </w:r>
    </w:p>
    <w:p w:rsidR="00643E65" w:rsidRDefault="00643E65" w:rsidP="00643E65">
      <w:pPr>
        <w:pStyle w:val="StandardWeb"/>
      </w:pPr>
      <w:r>
        <w:t>Für</w:t>
      </w:r>
    </w:p>
    <w:p w:rsidR="00643E65" w:rsidRDefault="00643E65" w:rsidP="00643E65">
      <w:pPr>
        <w:pStyle w:val="StandardWeb"/>
      </w:pPr>
      <w:r>
        <w:t>[</w:t>
      </w:r>
      <w:r>
        <w:br/>
        <w:t>\mathcal T_F=\varnothing</w:t>
      </w:r>
      <w:r>
        <w:br/>
        <w:t>\tag{3.9955}</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\mathcal T_F=\varnothing</w:t>
      </w:r>
    </w:p>
    <w:p w:rsidR="00643E65" w:rsidRDefault="00643E65" w:rsidP="00643E65">
      <w:pPr>
        <w:pStyle w:val="StandardWeb"/>
      </w:pPr>
      <w:r>
        <w:t>bleiben übergangsbezogene Größen entweder nicht realisiert oder auf der entsprechenden leeren Domäne definiert.</w:t>
      </w:r>
    </w:p>
    <w:p w:rsidR="00643E65" w:rsidRDefault="00643E65" w:rsidP="00643E65">
      <w:pPr>
        <w:pStyle w:val="StandardWeb"/>
      </w:pPr>
      <w:r>
        <w:t>Damit entsteht keine neue universelle Existenzbehauptung.</w:t>
      </w:r>
    </w:p>
    <w:p w:rsidR="00643E65" w:rsidRDefault="00E50336" w:rsidP="00643E65">
      <w:r>
        <w:pict>
          <v:rect id="_x0000_i3051" style="width:0;height:1.5pt" o:hralign="center" o:hrstd="t" o:hr="t" fillcolor="#a0a0a0" stroked="f"/>
        </w:pict>
      </w:r>
    </w:p>
    <w:p w:rsidR="00643E65" w:rsidRDefault="00643E65" w:rsidP="00643E65">
      <w:pPr>
        <w:pStyle w:val="berschrift1"/>
      </w:pPr>
      <w:r>
        <w:t>3.3.44.170 Axiomatische Prüfung der Kopplung</w:t>
      </w:r>
    </w:p>
    <w:p w:rsidR="00643E65" w:rsidRDefault="00643E65" w:rsidP="00643E65">
      <w:pPr>
        <w:pStyle w:val="StandardWeb"/>
      </w:pPr>
      <w:r>
        <w:t>Ich prüfe daher</w:t>
      </w:r>
    </w:p>
    <w:p w:rsidR="00643E65" w:rsidRDefault="00643E65" w:rsidP="00643E65">
      <w:pPr>
        <w:pStyle w:val="StandardWeb"/>
      </w:pPr>
      <w:r>
        <w:t>[</w:t>
      </w:r>
      <w:r>
        <w:br/>
        <w:t>U_{\mathrm{Ax}}</w:t>
      </w:r>
      <w:r>
        <w:br/>
        <w:t>\left(</w:t>
      </w:r>
      <w:r>
        <w:br/>
      </w:r>
      <w:r>
        <w:lastRenderedPageBreak/>
        <w:t>\mathfrak K_{CT}</w:t>
      </w:r>
      <w:r>
        <w:br/>
        <w:t>\right).</w:t>
      </w:r>
      <w:r>
        <w:br/>
        <w:t>\tag{3.9956}</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U_{\mathrm{Ax}}\left(\mathfrak K_{CT}\right)</w:t>
      </w:r>
    </w:p>
    <w:p w:rsidR="00643E65" w:rsidRDefault="00643E65" w:rsidP="00643E65">
      <w:pPr>
        <w:pStyle w:val="StandardWeb"/>
      </w:pPr>
      <w:r>
        <w:t>Da ein kohärentes, aber übergangsleeres Modell weiterhin zulässig ist, ist die konkrete Kohärenz-Übergangs-Kopplung nicht für jedes FRZK-Modell unverzichtbar.</w:t>
      </w:r>
    </w:p>
    <w:p w:rsidR="00643E65" w:rsidRDefault="00643E65" w:rsidP="00643E65">
      <w:pPr>
        <w:pStyle w:val="StandardWeb"/>
      </w:pPr>
      <w:r>
        <w:t>Somit gilt</w:t>
      </w:r>
    </w:p>
    <w:p w:rsidR="00643E65" w:rsidRDefault="00643E65" w:rsidP="00643E65">
      <w:pPr>
        <w:pStyle w:val="berschrift1"/>
      </w:pPr>
      <w:r>
        <w:t>[</w:t>
      </w:r>
      <w:r>
        <w:br/>
        <w:t>U_{\mathrm{Ax}}</w:t>
      </w:r>
      <w:r>
        <w:br/>
        <w:t>\left(</w:t>
      </w:r>
      <w:r>
        <w:br/>
        <w:t>\mathfrak K_{CT}</w:t>
      </w:r>
      <w:r>
        <w:br/>
        <w:t>\right)</w:t>
      </w:r>
    </w:p>
    <w:p w:rsidR="00643E65" w:rsidRDefault="00643E65" w:rsidP="00152216">
      <w:pPr>
        <w:numPr>
          <w:ilvl w:val="0"/>
          <w:numId w:val="454"/>
        </w:numPr>
        <w:spacing w:before="100" w:beforeAutospacing="1" w:after="100" w:afterAutospacing="1"/>
      </w:pPr>
    </w:p>
    <w:p w:rsidR="00643E65" w:rsidRDefault="00643E65" w:rsidP="00643E65">
      <w:pPr>
        <w:pStyle w:val="StandardWeb"/>
      </w:pPr>
      <w:r>
        <w:t>\tag{3.9957}</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U_{\mathrm{Ax}}\left(\mathfrak K_{CT}\right)=0</w:t>
      </w:r>
    </w:p>
    <w:p w:rsidR="00643E65" w:rsidRDefault="00E50336" w:rsidP="00643E65">
      <w:r>
        <w:pict>
          <v:rect id="_x0000_i3052" style="width:0;height:1.5pt" o:hralign="center" o:hrstd="t" o:hr="t" fillcolor="#a0a0a0" stroked="f"/>
        </w:pict>
      </w:r>
    </w:p>
    <w:p w:rsidR="00643E65" w:rsidRDefault="00643E65" w:rsidP="00643E65">
      <w:pPr>
        <w:pStyle w:val="berschrift1"/>
      </w:pPr>
      <w:r>
        <w:t>3.3.44.171 Ergebnis der Kopplungsprüfung</w:t>
      </w:r>
    </w:p>
    <w:p w:rsidR="00643E65" w:rsidRDefault="00643E65" w:rsidP="00643E65">
      <w:pPr>
        <w:pStyle w:val="StandardWeb"/>
      </w:pPr>
      <w:r>
        <w:t>Damit folgt</w:t>
      </w:r>
    </w:p>
    <w:p w:rsidR="00643E65" w:rsidRDefault="00643E65" w:rsidP="00643E65">
      <w:pPr>
        <w:pStyle w:val="StandardWeb"/>
      </w:pPr>
      <w:r>
        <w:t>[</w:t>
      </w:r>
      <w:r>
        <w:br/>
        <w:t>\boxed{</w:t>
      </w:r>
      <w:r>
        <w:br/>
        <w:t>\mathfrak K_{CT}</w:t>
      </w:r>
      <w:r>
        <w:br/>
        <w:t>\text{ erzeugt kein neues Primäraxiom.}</w:t>
      </w:r>
      <w:r>
        <w:br/>
        <w:t>}</w:t>
      </w:r>
      <w:r>
        <w:br/>
        <w:t>\tag{3.9958}</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\boxed{\mathfrak K_{CT}\text{ erzeugt kein neues Primäraxiom.}}</w:t>
      </w:r>
    </w:p>
    <w:p w:rsidR="00643E65" w:rsidRDefault="00643E65" w:rsidP="00643E65">
      <w:pPr>
        <w:pStyle w:val="StandardWeb"/>
      </w:pPr>
      <w:r>
        <w:lastRenderedPageBreak/>
        <w:t>Die Kopplungsarchitektur erweitert die Ausdrucksfähigkeit des FRZK, ohne dessen minimale Primäraxiomatik zu erweitern.</w:t>
      </w:r>
    </w:p>
    <w:p w:rsidR="00643E65" w:rsidRDefault="00E50336" w:rsidP="00643E65">
      <w:r>
        <w:pict>
          <v:rect id="_x0000_i3053" style="width:0;height:1.5pt" o:hralign="center" o:hrstd="t" o:hr="t" fillcolor="#a0a0a0" stroked="f"/>
        </w:pict>
      </w:r>
    </w:p>
    <w:p w:rsidR="00643E65" w:rsidRDefault="00643E65" w:rsidP="00643E65">
      <w:pPr>
        <w:pStyle w:val="berschrift1"/>
      </w:pPr>
      <w:r>
        <w:t>3.3.44.172 Aktualisierte Theoriearchitektur</w:t>
      </w:r>
    </w:p>
    <w:p w:rsidR="00643E65" w:rsidRDefault="00643E65" w:rsidP="00643E65">
      <w:pPr>
        <w:pStyle w:val="StandardWeb"/>
      </w:pPr>
      <w:r>
        <w:t>Der bisherige Theoriestand von Abschnitt 3.3.44 lässt sich nun schreiben als</w:t>
      </w:r>
    </w:p>
    <w:p w:rsidR="00643E65" w:rsidRDefault="00643E65" w:rsidP="00643E65">
      <w:pPr>
        <w:pStyle w:val="berschrift1"/>
      </w:pPr>
      <w:r>
        <w:t>[</w:t>
      </w:r>
      <w:r>
        <w:br/>
        <w:t>\mathfrak T_{3.3.44}</w:t>
      </w:r>
    </w:p>
    <w:p w:rsidR="00643E65" w:rsidRDefault="00643E65" w:rsidP="00643E65">
      <w:pPr>
        <w:pStyle w:val="StandardWeb"/>
      </w:pPr>
      <w:r>
        <w:t>\left(</w:t>
      </w:r>
      <w:r>
        <w:br/>
        <w:t>A_C,</w:t>
      </w:r>
      <w:r>
        <w:br/>
        <w:t>\mathfrak D_T,</w:t>
      </w:r>
      <w:r>
        <w:br/>
        <w:t>\mathfrak M_T,</w:t>
      </w:r>
      <w:r>
        <w:br/>
        <w:t>\mathfrak K_{CT}</w:t>
      </w:r>
      <w:r>
        <w:br/>
        <w:t>\right).</w:t>
      </w:r>
      <w:r>
        <w:br/>
        <w:t>\tag{3.9959}</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\mathfrak T_{3.3.44}=\left(A_C,\mathfrak D_T,\mathfrak M_T,\mathfrak K_{CT}\right)</w:t>
      </w:r>
    </w:p>
    <w:p w:rsidR="00643E65" w:rsidRDefault="00643E65" w:rsidP="00643E65">
      <w:pPr>
        <w:pStyle w:val="StandardWeb"/>
      </w:pPr>
      <w:r>
        <w:t>Dabei bleibt (A_C) das bereits zuvor bestätigte Primäraxiom, während die neu eingeführte Übergangsarchitektur keine weitere primäre Existenzforderung benötigt.</w:t>
      </w:r>
    </w:p>
    <w:p w:rsidR="00643E65" w:rsidRDefault="00E50336" w:rsidP="00643E65">
      <w:r>
        <w:pict>
          <v:rect id="_x0000_i3054" style="width:0;height:1.5pt" o:hralign="center" o:hrstd="t" o:hr="t" fillcolor="#a0a0a0" stroked="f"/>
        </w:pict>
      </w:r>
    </w:p>
    <w:p w:rsidR="00643E65" w:rsidRDefault="00643E65" w:rsidP="00643E65">
      <w:pPr>
        <w:pStyle w:val="berschrift1"/>
      </w:pPr>
      <w:r>
        <w:t>3.3.44.173 Primäraxiomstatus nach der Kopplungsprüfung</w:t>
      </w:r>
    </w:p>
    <w:p w:rsidR="00643E65" w:rsidRDefault="00643E65" w:rsidP="00643E65">
      <w:pPr>
        <w:pStyle w:val="StandardWeb"/>
      </w:pPr>
      <w:r>
        <w:t>Damit gilt weiterhin</w:t>
      </w:r>
    </w:p>
    <w:p w:rsidR="00643E65" w:rsidRDefault="00643E65" w:rsidP="00643E65">
      <w:pPr>
        <w:pStyle w:val="berschrift1"/>
      </w:pPr>
      <w:r>
        <w:t>[</w:t>
      </w:r>
      <w:r>
        <w:br/>
        <w:t>\boxed{</w:t>
      </w:r>
      <w:r>
        <w:br/>
        <w:t>\mathfrak A_{3.3.44}^{\mathrm{new}}</w:t>
      </w:r>
    </w:p>
    <w:p w:rsidR="00643E65" w:rsidRDefault="00643E65" w:rsidP="00643E65">
      <w:pPr>
        <w:pStyle w:val="StandardWeb"/>
      </w:pPr>
      <w:r>
        <w:t>\varnothing.</w:t>
      </w:r>
      <w:r>
        <w:br/>
        <w:t>}</w:t>
      </w:r>
      <w:r>
        <w:br/>
        <w:t>\tag{3.9960}</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lastRenderedPageBreak/>
        <w:t>\boxed{\mathfrak A_{3.3.44}^{\mathrm{new}}=\varnothing.}</w:t>
      </w:r>
    </w:p>
    <w:p w:rsidR="00643E65" w:rsidRDefault="00643E65" w:rsidP="00643E65">
      <w:pPr>
        <w:pStyle w:val="StandardWeb"/>
      </w:pPr>
      <w:r>
        <w:t>Dies ist nun nicht mehr nur für die isolierte Übergangsrelation gezeigt, sondern auch für ihre Kopplung an die funktionale Kohärenz.</w:t>
      </w:r>
    </w:p>
    <w:p w:rsidR="00643E65" w:rsidRDefault="00E50336" w:rsidP="00643E65">
      <w:r>
        <w:pict>
          <v:rect id="_x0000_i3055" style="width:0;height:1.5pt" o:hralign="center" o:hrstd="t" o:hr="t" fillcolor="#a0a0a0" stroked="f"/>
        </w:pict>
      </w:r>
    </w:p>
    <w:p w:rsidR="00643E65" w:rsidRDefault="00643E65" w:rsidP="00643E65">
      <w:pPr>
        <w:pStyle w:val="berschrift1"/>
      </w:pPr>
      <w:r>
        <w:t>3.3.44.174 Noch kein Gesamtabschluss von 3.3.44</w:t>
      </w:r>
    </w:p>
    <w:p w:rsidR="00643E65" w:rsidRDefault="00643E65" w:rsidP="00643E65">
      <w:pPr>
        <w:pStyle w:val="StandardWeb"/>
      </w:pPr>
      <w:r>
        <w:t xml:space="preserve">Der Abschnitt ist auch an diesem Punkt </w:t>
      </w:r>
      <w:r>
        <w:rPr>
          <w:rStyle w:val="Fett"/>
        </w:rPr>
        <w:t>noch nicht vollständig abgeschlossen</w:t>
      </w:r>
      <w:r>
        <w:t>.</w:t>
      </w:r>
    </w:p>
    <w:p w:rsidR="00643E65" w:rsidRDefault="00643E65" w:rsidP="00643E65">
      <w:pPr>
        <w:pStyle w:val="StandardWeb"/>
      </w:pPr>
      <w:r>
        <w:t>Als nächstes muss ich sämtliche in 3.3.44 eingeführten Objekte in einer endgültigen Statusmatrix klassifizieren. Dabei ist für jedes Objekt zwischen</w:t>
      </w:r>
    </w:p>
    <w:p w:rsidR="00643E65" w:rsidRDefault="00643E65" w:rsidP="00643E65">
      <w:pPr>
        <w:pStyle w:val="StandardWeb"/>
      </w:pPr>
      <w:r>
        <w:t>[</w:t>
      </w:r>
      <w:r>
        <w:br/>
        <w:t>\text{Definition}</w:t>
      </w:r>
      <w:r>
        <w:br/>
        <w:t>;|;</w:t>
      </w:r>
      <w:r>
        <w:br/>
        <w:t>\text{abgeleitet}</w:t>
      </w:r>
      <w:r>
        <w:br/>
        <w:t>;|;</w:t>
      </w:r>
      <w:r>
        <w:br/>
        <w:t>\text{Modellannahme}</w:t>
      </w:r>
      <w:r>
        <w:br/>
        <w:t>;|;</w:t>
      </w:r>
      <w:r>
        <w:br/>
        <w:t>\text{Operationalisierung}</w:t>
      </w:r>
      <w:r>
        <w:br/>
        <w:t>;|;</w:t>
      </w:r>
      <w:r>
        <w:br/>
        <w:t>\text{Primäraxiom}</w:t>
      </w:r>
      <w:r>
        <w:br/>
        <w:t>\tag{3.9961}</w:t>
      </w:r>
      <w:r>
        <w:br/>
        <w:t>]</w:t>
      </w:r>
    </w:p>
    <w:p w:rsidR="00643E65" w:rsidRDefault="00643E65" w:rsidP="00643E65">
      <w:pPr>
        <w:pStyle w:val="StandardWeb"/>
      </w:pPr>
      <w:r>
        <w:rPr>
          <w:rStyle w:val="Fett"/>
        </w:rPr>
        <w:t>Word-LaTeX</w:t>
      </w:r>
    </w:p>
    <w:p w:rsidR="00643E65" w:rsidRDefault="00643E65" w:rsidP="00643E65">
      <w:pPr>
        <w:pStyle w:val="HTMLVorformatiert"/>
        <w:rPr>
          <w:rStyle w:val="HTMLCode"/>
        </w:rPr>
      </w:pPr>
      <w:r>
        <w:rPr>
          <w:rStyle w:val="HTMLCode"/>
        </w:rPr>
        <w:t>\text{Definition}\;|\;\text{abgeleitet}\;|\;\text{Modellannahme}\;|\;\text{Operationalisierung}\;|\;\text{Primäraxiom}</w:t>
      </w:r>
    </w:p>
    <w:p w:rsidR="00643E65" w:rsidRDefault="00643E65" w:rsidP="00643E65">
      <w:pPr>
        <w:pStyle w:val="StandardWeb"/>
      </w:pPr>
      <w:r>
        <w:t>zu unterscheiden.</w:t>
      </w:r>
    </w:p>
    <w:p w:rsidR="00643E65" w:rsidRDefault="00643E65" w:rsidP="00643E65">
      <w:pPr>
        <w:pStyle w:val="StandardWeb"/>
      </w:pPr>
      <w:r>
        <w:t xml:space="preserve">Erst nach dieser Statusprüfung folgen am </w:t>
      </w:r>
      <w:r>
        <w:rPr>
          <w:rStyle w:val="Fett"/>
        </w:rPr>
        <w:t>Gesamtende von 3.3.44</w:t>
      </w:r>
      <w:r>
        <w:t xml:space="preserve"> die </w:t>
      </w:r>
      <w:r>
        <w:rPr>
          <w:rStyle w:val="Fett"/>
        </w:rPr>
        <w:t>Methodologischen Betrachtungen</w:t>
      </w:r>
      <w:r>
        <w:t xml:space="preserve">, anschließend die </w:t>
      </w:r>
      <w:r>
        <w:rPr>
          <w:rStyle w:val="Fett"/>
        </w:rPr>
        <w:t>Didaktischen Betrachtungen</w:t>
      </w:r>
      <w:r>
        <w:t xml:space="preserve"> und danach der formale Abschnittsabschluss.</w:t>
      </w:r>
    </w:p>
    <w:p w:rsidR="00643E65" w:rsidRDefault="00643E65" w:rsidP="00643E65">
      <w:pPr>
        <w:pStyle w:val="StandardWeb"/>
      </w:pPr>
      <w:r>
        <w:t xml:space="preserve">Der nächste Teil beginnt daher bei </w:t>
      </w:r>
      <w:r>
        <w:rPr>
          <w:rStyle w:val="Fett"/>
        </w:rPr>
        <w:t>3.3.44.175 / Gleichung (3.9962)</w:t>
      </w:r>
      <w:r>
        <w:t xml:space="preserve"> mit der </w:t>
      </w:r>
      <w:r>
        <w:rPr>
          <w:rStyle w:val="Fett"/>
        </w:rPr>
        <w:t>vollständigen Statusmatrix der Übergangs- und Kohärenz-Übergangs-Strukturen</w:t>
      </w:r>
      <w:r>
        <w:t>.</w:t>
      </w:r>
    </w:p>
    <w:p w:rsidR="00D0549E" w:rsidRDefault="00D0549E" w:rsidP="00D0549E">
      <w:pPr>
        <w:pStyle w:val="berschrift1"/>
        <w:rPr>
          <w:rFonts w:cs="Times New Roman"/>
          <w:sz w:val="48"/>
          <w:szCs w:val="48"/>
        </w:rPr>
      </w:pPr>
      <w:r>
        <w:t>3.3.44.175 Vollständige Statusprüfung der Übergangsarchitektur</w:t>
      </w:r>
    </w:p>
    <w:p w:rsidR="00D0549E" w:rsidRDefault="00D0549E" w:rsidP="00D0549E">
      <w:pPr>
        <w:pStyle w:val="StandardWeb"/>
      </w:pPr>
      <w:r>
        <w:t>Nach der getrennten Entwicklung der Übergangsstruktur und ihrer anschließenden Kopplung mit der funktionalen Kohärenz prüfe ich nun sämtliche in Abschnitt 3.3.44 eingeführten Theorieobjekte auf ihren endgültigen wissenschaftlichen Status. Dabei verwende ich dieselben Kategorien, die bereits für die Kohärenzarchitektur maßgeblich waren:</w:t>
      </w:r>
    </w:p>
    <w:p w:rsidR="00D0549E" w:rsidRDefault="00D0549E" w:rsidP="00D0549E">
      <w:pPr>
        <w:pStyle w:val="berschrift1"/>
      </w:pPr>
      <w:r>
        <w:lastRenderedPageBreak/>
        <w:t>[</w:t>
      </w:r>
      <w:r>
        <w:br/>
        <w:t>\mathcal K_{\mathrm{Stat}}</w:t>
      </w:r>
    </w:p>
    <w:p w:rsidR="00D0549E" w:rsidRDefault="00D0549E" w:rsidP="00D0549E">
      <w:pPr>
        <w:pStyle w:val="StandardWeb"/>
      </w:pPr>
      <w:r>
        <w:t>\left{</w:t>
      </w:r>
      <w:r>
        <w:br/>
        <w:t>\mathrm{Def},</w:t>
      </w:r>
      <w:r>
        <w:br/>
        <w:t>\mathrm{Der},</w:t>
      </w:r>
      <w:r>
        <w:br/>
        <w:t>\mathrm{Mod},</w:t>
      </w:r>
      <w:r>
        <w:br/>
        <w:t>\mathrm{Op},</w:t>
      </w:r>
      <w:r>
        <w:br/>
        <w:t>\mathrm{Ax}</w:t>
      </w:r>
      <w:r>
        <w:br/>
        <w:t>\right}.</w:t>
      </w:r>
      <w:r>
        <w:br/>
        <w:t>\tag{3.9962}</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\mathcal K_{\mathrm{Stat}}=\left\{\mathrm{Def},\mathrm{Der},\mathrm{Mod},\mathrm{Op},\mathrm{Ax}\right\}</w:t>
      </w:r>
    </w:p>
    <w:p w:rsidR="00D0549E" w:rsidRDefault="00D0549E" w:rsidP="00D0549E">
      <w:pPr>
        <w:pStyle w:val="StandardWeb"/>
      </w:pPr>
      <w:r>
        <w:t>Dabei bedeuten (\mathrm{Def}) Definition, (\mathrm{Der}) abgeleitete Aussage oder Größe, (\mathrm{Mod}) Modellannahme, (\mathrm{Op}) Operationalisierung und (\mathrm{Ax}) Primäraxiom.</w:t>
      </w:r>
    </w:p>
    <w:p w:rsidR="00D0549E" w:rsidRDefault="00E50336" w:rsidP="00D0549E">
      <w:r>
        <w:pict>
          <v:rect id="_x0000_i3056" style="width:0;height:1.5pt" o:hralign="center" o:hrstd="t" o:hr="t" fillcolor="#a0a0a0" stroked="f"/>
        </w:pict>
      </w:r>
    </w:p>
    <w:p w:rsidR="00D0549E" w:rsidRDefault="00D0549E" w:rsidP="00D0549E">
      <w:pPr>
        <w:pStyle w:val="berschrift1"/>
      </w:pPr>
      <w:r>
        <w:t>3.3.44.176 Statusfunktion</w:t>
      </w:r>
    </w:p>
    <w:p w:rsidR="00D0549E" w:rsidRDefault="00D0549E" w:rsidP="00D0549E">
      <w:pPr>
        <w:pStyle w:val="StandardWeb"/>
      </w:pPr>
      <w:r>
        <w:t>Für jedes in 3.3.44 verwendete Theorieobjekt (X) definiere ich die Statuszuordnung</w:t>
      </w:r>
    </w:p>
    <w:p w:rsidR="00D0549E" w:rsidRDefault="00D0549E" w:rsidP="00D0549E">
      <w:pPr>
        <w:pStyle w:val="StandardWeb"/>
      </w:pPr>
      <w:r>
        <w:t>[</w:t>
      </w:r>
      <w:r>
        <w:br/>
        <w:t>\operatorname{Stat}</w:t>
      </w:r>
      <w:r>
        <w:rPr>
          <w:rStyle w:val="Hervorhebung"/>
        </w:rPr>
        <w:t>{3.3.44}(X)</w:t>
      </w:r>
      <w:r>
        <w:rPr>
          <w:i/>
          <w:iCs/>
        </w:rPr>
        <w:br/>
      </w:r>
      <w:r>
        <w:rPr>
          <w:rStyle w:val="Hervorhebung"/>
        </w:rPr>
        <w:t>\in</w:t>
      </w:r>
      <w:r>
        <w:rPr>
          <w:i/>
          <w:iCs/>
        </w:rPr>
        <w:br/>
      </w:r>
      <w:r>
        <w:rPr>
          <w:rStyle w:val="Hervorhebung"/>
        </w:rPr>
        <w:t>\mathcal K</w:t>
      </w:r>
      <w:r>
        <w:t>{\mathrm{Stat}}.</w:t>
      </w:r>
      <w:r>
        <w:br/>
        <w:t>\tag{3.9963}</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\operatorname{Stat}_{3.3.44}(X)\in\mathcal K_{\mathrm{Stat}}</w:t>
      </w:r>
    </w:p>
    <w:p w:rsidR="00D0549E" w:rsidRDefault="00D0549E" w:rsidP="00D0549E">
      <w:pPr>
        <w:pStyle w:val="StandardWeb"/>
      </w:pPr>
      <w:r>
        <w:t>Diese Zuordnung ist metatheoretisch. Sie beschreibt nicht das physikalische Verhalten eines Systems, sondern die wissenschaftliche Funktion, die ein Begriff oder eine Aussage innerhalb der FRZK-Theoriearchitektur besitzt.</w:t>
      </w:r>
    </w:p>
    <w:p w:rsidR="00D0549E" w:rsidRDefault="00E50336" w:rsidP="00D0549E">
      <w:r>
        <w:pict>
          <v:rect id="_x0000_i3057" style="width:0;height:1.5pt" o:hralign="center" o:hrstd="t" o:hr="t" fillcolor="#a0a0a0" stroked="f"/>
        </w:pict>
      </w:r>
    </w:p>
    <w:p w:rsidR="00D0549E" w:rsidRDefault="00D0549E" w:rsidP="00D0549E">
      <w:pPr>
        <w:pStyle w:val="berschrift1"/>
      </w:pPr>
      <w:r>
        <w:t>3.3.44.177 Status der allgemeinen Übergangsrelation</w:t>
      </w:r>
    </w:p>
    <w:p w:rsidR="00D0549E" w:rsidRDefault="00D0549E" w:rsidP="00D0549E">
      <w:pPr>
        <w:pStyle w:val="StandardWeb"/>
      </w:pPr>
      <w:r>
        <w:t>Die allgemeine funktionale Übergangsrelation</w:t>
      </w:r>
    </w:p>
    <w:p w:rsidR="00D0549E" w:rsidRDefault="00D0549E" w:rsidP="00D0549E">
      <w:pPr>
        <w:pStyle w:val="StandardWeb"/>
      </w:pPr>
      <w:r>
        <w:lastRenderedPageBreak/>
        <w:t>[</w:t>
      </w:r>
      <w:r>
        <w:br/>
        <w:t>\mathcal T_F</w:t>
      </w:r>
      <w:r>
        <w:br/>
        <w:t>\subseteq</w:t>
      </w:r>
      <w:r>
        <w:br/>
        <w:t>\Omega_F\times\Omega_F</w:t>
      </w:r>
      <w:r>
        <w:br/>
        <w:t>\tag{3.9964}</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\mathcal T_F\subseteq\Omega_F\times\Omega_F</w:t>
      </w:r>
    </w:p>
    <w:p w:rsidR="00D0549E" w:rsidRDefault="00D0549E" w:rsidP="00D0549E">
      <w:pPr>
        <w:pStyle w:val="StandardWeb"/>
      </w:pPr>
      <w:r>
        <w:t>wurde eingeführt, um überhaupt ausdrücken zu können, welche Zustandspaare als funktional miteinander verbunden gelten.</w:t>
      </w:r>
    </w:p>
    <w:p w:rsidR="00D0549E" w:rsidRDefault="00D0549E" w:rsidP="00D0549E">
      <w:pPr>
        <w:pStyle w:val="StandardWeb"/>
      </w:pPr>
      <w:r>
        <w:t>Daher klassifiziere ich</w:t>
      </w:r>
    </w:p>
    <w:p w:rsidR="00D0549E" w:rsidRDefault="00D0549E" w:rsidP="00D0549E">
      <w:pPr>
        <w:pStyle w:val="berschrift1"/>
      </w:pPr>
      <w:r>
        <w:t>[</w:t>
      </w:r>
      <w:r>
        <w:br/>
        <w:t>\boxed{</w:t>
      </w:r>
      <w:r>
        <w:br/>
        <w:t>\operatorname{Stat}_{3.3.44}(\mathcal T_F)</w:t>
      </w:r>
    </w:p>
    <w:p w:rsidR="00D0549E" w:rsidRDefault="00D0549E" w:rsidP="00D0549E">
      <w:pPr>
        <w:pStyle w:val="StandardWeb"/>
      </w:pPr>
      <w:r>
        <w:t>\mathrm{Def}.</w:t>
      </w:r>
      <w:r>
        <w:br/>
        <w:t>}</w:t>
      </w:r>
      <w:r>
        <w:br/>
        <w:t>\tag{3.9965}</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\boxed{\operatorname{Stat}_{3.3.44}(\mathcal T_F)=\mathrm{Def}.}</w:t>
      </w:r>
    </w:p>
    <w:p w:rsidR="00D0549E" w:rsidRDefault="00D0549E" w:rsidP="00D0549E">
      <w:pPr>
        <w:pStyle w:val="StandardWeb"/>
      </w:pPr>
      <w:r>
        <w:t>Die Definition behauptet ausdrücklich nicht, dass (\mathcal T_F) nichtleer sein muss.</w:t>
      </w:r>
    </w:p>
    <w:p w:rsidR="00D0549E" w:rsidRDefault="00E50336" w:rsidP="00D0549E">
      <w:r>
        <w:pict>
          <v:rect id="_x0000_i3058" style="width:0;height:1.5pt" o:hralign="center" o:hrstd="t" o:hr="t" fillcolor="#a0a0a0" stroked="f"/>
        </w:pict>
      </w:r>
    </w:p>
    <w:p w:rsidR="00D0549E" w:rsidRDefault="00D0549E" w:rsidP="00D0549E">
      <w:pPr>
        <w:pStyle w:val="berschrift1"/>
      </w:pPr>
      <w:r>
        <w:t>3.3.44.178 Status der mengenwertigen Übergangsabbildung</w:t>
      </w:r>
    </w:p>
    <w:p w:rsidR="00D0549E" w:rsidRDefault="00D0549E" w:rsidP="00D0549E">
      <w:pPr>
        <w:pStyle w:val="StandardWeb"/>
      </w:pPr>
      <w:r>
        <w:t>Für</w:t>
      </w:r>
    </w:p>
    <w:p w:rsidR="00D0549E" w:rsidRDefault="00D0549E" w:rsidP="00D0549E">
      <w:pPr>
        <w:pStyle w:val="StandardWeb"/>
      </w:pPr>
      <w:r>
        <w:t>[</w:t>
      </w:r>
      <w:r>
        <w:br/>
        <w:t>\mathbb T_F:</w:t>
      </w:r>
      <w:r>
        <w:br/>
        <w:t>\Omega_F</w:t>
      </w:r>
      <w:r>
        <w:br/>
        <w:t>\rightarrow</w:t>
      </w:r>
      <w:r>
        <w:br/>
        <w:t>\mathcal P(\Omega_F)</w:t>
      </w:r>
      <w:r>
        <w:br/>
        <w:t>\tag{3.9966}</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lastRenderedPageBreak/>
        <w:t>\mathbb T_F:\Omega_F\rightarrow\mathcal P(\Omega_F)</w:t>
      </w:r>
    </w:p>
    <w:p w:rsidR="00D0549E" w:rsidRDefault="00D0549E" w:rsidP="00D0549E">
      <w:pPr>
        <w:pStyle w:val="StandardWeb"/>
      </w:pPr>
      <w:r>
        <w:t>gilt dieselbe Einordnung.</w:t>
      </w:r>
    </w:p>
    <w:p w:rsidR="00D0549E" w:rsidRDefault="00D0549E" w:rsidP="00D0549E">
      <w:pPr>
        <w:pStyle w:val="StandardWeb"/>
      </w:pPr>
      <w:r>
        <w:t>Die mengenwertige Darstellung ist lediglich eine alternative Repräsentation der Übergangsrelation.</w:t>
      </w:r>
    </w:p>
    <w:p w:rsidR="00D0549E" w:rsidRDefault="00D0549E" w:rsidP="00D0549E">
      <w:pPr>
        <w:pStyle w:val="StandardWeb"/>
      </w:pPr>
      <w:r>
        <w:t>Daher gilt</w:t>
      </w:r>
    </w:p>
    <w:p w:rsidR="00D0549E" w:rsidRDefault="00D0549E" w:rsidP="00D0549E">
      <w:pPr>
        <w:pStyle w:val="berschrift1"/>
      </w:pPr>
      <w:r>
        <w:t>[</w:t>
      </w:r>
      <w:r>
        <w:br/>
        <w:t>\boxed{</w:t>
      </w:r>
      <w:r>
        <w:br/>
        <w:t>\operatorname{Stat}_{3.3.44}(\mathbb T_F)</w:t>
      </w:r>
    </w:p>
    <w:p w:rsidR="00D0549E" w:rsidRDefault="00D0549E" w:rsidP="00D0549E">
      <w:pPr>
        <w:pStyle w:val="StandardWeb"/>
      </w:pPr>
      <w:r>
        <w:t>\mathrm{Def}.</w:t>
      </w:r>
      <w:r>
        <w:br/>
        <w:t>}</w:t>
      </w:r>
      <w:r>
        <w:br/>
        <w:t>\tag{3.9967}</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\boxed{\operatorname{Stat}_{3.3.44}(\mathbb T_F)=\mathrm{Def}.}</w:t>
      </w:r>
    </w:p>
    <w:p w:rsidR="00D0549E" w:rsidRDefault="00E50336" w:rsidP="00D0549E">
      <w:r>
        <w:pict>
          <v:rect id="_x0000_i3059" style="width:0;height:1.5pt" o:hralign="center" o:hrstd="t" o:hr="t" fillcolor="#a0a0a0" stroked="f"/>
        </w:pict>
      </w:r>
    </w:p>
    <w:p w:rsidR="00D0549E" w:rsidRDefault="00D0549E" w:rsidP="00D0549E">
      <w:pPr>
        <w:pStyle w:val="berschrift1"/>
      </w:pPr>
      <w:r>
        <w:t>3.3.44.179 Status des funktionalen Übergangspfades</w:t>
      </w:r>
    </w:p>
    <w:p w:rsidR="00D0549E" w:rsidRDefault="00D0549E" w:rsidP="00D0549E">
      <w:pPr>
        <w:pStyle w:val="StandardWeb"/>
      </w:pPr>
      <w:r>
        <w:t>Der Übergangspfad</w:t>
      </w:r>
    </w:p>
    <w:p w:rsidR="00D0549E" w:rsidRDefault="00D0549E" w:rsidP="00D0549E">
      <w:pPr>
        <w:pStyle w:val="berschrift1"/>
      </w:pPr>
      <w:r>
        <w:t>[</w:t>
      </w:r>
      <w:r>
        <w:br/>
        <w:t>\Pi_F</w:t>
      </w:r>
    </w:p>
    <w:p w:rsidR="00D0549E" w:rsidRDefault="00D0549E" w:rsidP="00D0549E">
      <w:pPr>
        <w:pStyle w:val="StandardWeb"/>
      </w:pPr>
      <w:r>
        <w:t>(z_0,z_1,\ldots,z_n)</w:t>
      </w:r>
      <w:r>
        <w:br/>
        <w:t>\tag{3.9968}</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\Pi_F=(z_0,z_1,\ldots,z_n)</w:t>
      </w:r>
    </w:p>
    <w:p w:rsidR="00D0549E" w:rsidRDefault="00D0549E" w:rsidP="00D0549E">
      <w:pPr>
        <w:pStyle w:val="StandardWeb"/>
      </w:pPr>
      <w:r>
        <w:t>ist eine definierte Folge zulässiger Einzelübergänge.</w:t>
      </w:r>
    </w:p>
    <w:p w:rsidR="00D0549E" w:rsidRDefault="00D0549E" w:rsidP="00D0549E">
      <w:pPr>
        <w:pStyle w:val="StandardWeb"/>
      </w:pPr>
      <w:r>
        <w:t>Damit gilt</w:t>
      </w:r>
    </w:p>
    <w:p w:rsidR="00D0549E" w:rsidRDefault="00D0549E" w:rsidP="00D0549E">
      <w:pPr>
        <w:pStyle w:val="berschrift1"/>
      </w:pPr>
      <w:r>
        <w:t>[</w:t>
      </w:r>
      <w:r>
        <w:br/>
        <w:t>\boxed{</w:t>
      </w:r>
      <w:r>
        <w:br/>
        <w:t>\operatorname{Stat}_{3.3.44}(\Pi_F)</w:t>
      </w:r>
    </w:p>
    <w:p w:rsidR="00D0549E" w:rsidRDefault="00D0549E" w:rsidP="00D0549E">
      <w:pPr>
        <w:pStyle w:val="StandardWeb"/>
      </w:pPr>
      <w:r>
        <w:lastRenderedPageBreak/>
        <w:t>\mathrm{Def}.</w:t>
      </w:r>
      <w:r>
        <w:br/>
        <w:t>}</w:t>
      </w:r>
      <w:r>
        <w:br/>
        <w:t>\tag{3.9969}</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\boxed{\operatorname{Stat}_{3.3.44}(\Pi_F)=\mathrm{Def}.}</w:t>
      </w:r>
    </w:p>
    <w:p w:rsidR="00D0549E" w:rsidRDefault="00E50336" w:rsidP="00D0549E">
      <w:r>
        <w:pict>
          <v:rect id="_x0000_i3060" style="width:0;height:1.5pt" o:hralign="center" o:hrstd="t" o:hr="t" fillcolor="#a0a0a0" stroked="f"/>
        </w:pict>
      </w:r>
    </w:p>
    <w:p w:rsidR="00D0549E" w:rsidRDefault="00D0549E" w:rsidP="00D0549E">
      <w:pPr>
        <w:pStyle w:val="berschrift1"/>
      </w:pPr>
      <w:r>
        <w:t>3.3.44.180 Status der funktionalen Erreichbarkeit</w:t>
      </w:r>
    </w:p>
    <w:p w:rsidR="00D0549E" w:rsidRDefault="00D0549E" w:rsidP="00D0549E">
      <w:pPr>
        <w:pStyle w:val="StandardWeb"/>
      </w:pPr>
      <w:r>
        <w:t>Die Relation</w:t>
      </w:r>
    </w:p>
    <w:p w:rsidR="00D0549E" w:rsidRDefault="00D0549E" w:rsidP="00D0549E">
      <w:pPr>
        <w:pStyle w:val="StandardWeb"/>
      </w:pPr>
      <w:r>
        <w:t>[</w:t>
      </w:r>
      <w:r>
        <w:br/>
        <w:t>\operatorname{Reach}_F(z_i,z_j)</w:t>
      </w:r>
      <w:r>
        <w:br/>
        <w:t>\tag{3.9970}</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\operatorname{Reach}_F(z_i,z_j)</w:t>
      </w:r>
    </w:p>
    <w:p w:rsidR="00D0549E" w:rsidRDefault="00D0549E" w:rsidP="00D0549E">
      <w:pPr>
        <w:pStyle w:val="StandardWeb"/>
      </w:pPr>
      <w:r>
        <w:t>wird über die Existenz mindestens eines Übergangspfades definiert.</w:t>
      </w:r>
    </w:p>
    <w:p w:rsidR="00D0549E" w:rsidRDefault="00D0549E" w:rsidP="00D0549E">
      <w:pPr>
        <w:pStyle w:val="StandardWeb"/>
      </w:pPr>
      <w:r>
        <w:t>Deshalb gilt</w:t>
      </w:r>
    </w:p>
    <w:p w:rsidR="00D0549E" w:rsidRDefault="00D0549E" w:rsidP="00D0549E">
      <w:pPr>
        <w:pStyle w:val="berschrift1"/>
      </w:pPr>
      <w:r>
        <w:t>[</w:t>
      </w:r>
      <w:r>
        <w:br/>
        <w:t>\boxed{</w:t>
      </w:r>
      <w:r>
        <w:br/>
        <w:t>\operatorname{Stat}_{3.3.44}</w:t>
      </w:r>
      <w:r>
        <w:br/>
        <w:t>\left(</w:t>
      </w:r>
      <w:r>
        <w:br/>
        <w:t>\operatorname{Reach}_F</w:t>
      </w:r>
      <w:r>
        <w:br/>
        <w:t>\right)</w:t>
      </w:r>
    </w:p>
    <w:p w:rsidR="00D0549E" w:rsidRDefault="00D0549E" w:rsidP="00D0549E">
      <w:pPr>
        <w:pStyle w:val="StandardWeb"/>
      </w:pPr>
      <w:r>
        <w:t>\mathrm{Def}.</w:t>
      </w:r>
      <w:r>
        <w:br/>
        <w:t>}</w:t>
      </w:r>
      <w:r>
        <w:br/>
        <w:t>\tag{3.9971}</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\boxed{\operatorname{Stat}_{3.3.44}\left(\operatorname{Reach}_F\right)=\mathrm{Def}.}</w:t>
      </w:r>
    </w:p>
    <w:p w:rsidR="00D0549E" w:rsidRDefault="00E50336" w:rsidP="00D0549E">
      <w:r>
        <w:pict>
          <v:rect id="_x0000_i3061" style="width:0;height:1.5pt" o:hralign="center" o:hrstd="t" o:hr="t" fillcolor="#a0a0a0" stroked="f"/>
        </w:pict>
      </w:r>
    </w:p>
    <w:p w:rsidR="00D0549E" w:rsidRDefault="00D0549E" w:rsidP="00D0549E">
      <w:pPr>
        <w:pStyle w:val="berschrift1"/>
      </w:pPr>
      <w:r>
        <w:t>3.3.44.181 Status des Nichttrivialitätsindikators</w:t>
      </w:r>
    </w:p>
    <w:p w:rsidR="00D0549E" w:rsidRDefault="00D0549E" w:rsidP="00D0549E">
      <w:pPr>
        <w:pStyle w:val="StandardWeb"/>
      </w:pPr>
      <w:r>
        <w:lastRenderedPageBreak/>
        <w:t>Auch</w:t>
      </w:r>
    </w:p>
    <w:p w:rsidR="00D0549E" w:rsidRDefault="00D0549E" w:rsidP="00D0549E">
      <w:pPr>
        <w:pStyle w:val="StandardWeb"/>
      </w:pPr>
      <w:r>
        <w:t>[</w:t>
      </w:r>
      <w:r>
        <w:br/>
        <w:t>\operatorname{NT}_F(z_i,z_j)</w:t>
      </w:r>
      <w:r>
        <w:br/>
        <w:t>\tag{3.9972}</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\operatorname{NT}_F(z_i,z_j)</w:t>
      </w:r>
    </w:p>
    <w:p w:rsidR="00D0549E" w:rsidRDefault="00D0549E" w:rsidP="00D0549E">
      <w:pPr>
        <w:pStyle w:val="StandardWeb"/>
      </w:pPr>
      <w:r>
        <w:t>wurde ausschließlich eingeführt, um zwischen Selbstübergängen und Übergängen verschiedener Zustände zu unterscheiden.</w:t>
      </w:r>
    </w:p>
    <w:p w:rsidR="00D0549E" w:rsidRDefault="00D0549E" w:rsidP="00D0549E">
      <w:pPr>
        <w:pStyle w:val="StandardWeb"/>
      </w:pPr>
      <w:r>
        <w:t>Damit folgt</w:t>
      </w:r>
    </w:p>
    <w:p w:rsidR="00D0549E" w:rsidRDefault="00D0549E" w:rsidP="00D0549E">
      <w:pPr>
        <w:pStyle w:val="berschrift1"/>
      </w:pPr>
      <w:r>
        <w:t>[</w:t>
      </w:r>
      <w:r>
        <w:br/>
        <w:t>\boxed{</w:t>
      </w:r>
      <w:r>
        <w:br/>
        <w:t>\operatorname{Stat}_{3.3.44}</w:t>
      </w:r>
      <w:r>
        <w:br/>
        <w:t>\left(</w:t>
      </w:r>
      <w:r>
        <w:br/>
        <w:t>\operatorname{NT}_F</w:t>
      </w:r>
      <w:r>
        <w:br/>
        <w:t>\right)</w:t>
      </w:r>
    </w:p>
    <w:p w:rsidR="00D0549E" w:rsidRDefault="00D0549E" w:rsidP="00D0549E">
      <w:pPr>
        <w:pStyle w:val="StandardWeb"/>
      </w:pPr>
      <w:r>
        <w:t>\mathrm{Def}.</w:t>
      </w:r>
      <w:r>
        <w:br/>
        <w:t>}</w:t>
      </w:r>
      <w:r>
        <w:br/>
        <w:t>\tag{3.9973}</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\boxed{\operatorname{Stat}_{3.3.44}\left(\operatorname{NT}_F\right)=\mathrm{Def}.}</w:t>
      </w:r>
    </w:p>
    <w:p w:rsidR="00D0549E" w:rsidRDefault="00E50336" w:rsidP="00D0549E">
      <w:r>
        <w:pict>
          <v:rect id="_x0000_i3062" style="width:0;height:1.5pt" o:hralign="center" o:hrstd="t" o:hr="t" fillcolor="#a0a0a0" stroked="f"/>
        </w:pict>
      </w:r>
    </w:p>
    <w:p w:rsidR="00D0549E" w:rsidRDefault="00D0549E" w:rsidP="00D0549E">
      <w:pPr>
        <w:pStyle w:val="berschrift1"/>
      </w:pPr>
      <w:r>
        <w:t>3.3.44.182 Status von Übergangsmöglichkeit und Übergangsrealisierung</w:t>
      </w:r>
    </w:p>
    <w:p w:rsidR="00D0549E" w:rsidRDefault="00D0549E" w:rsidP="00D0549E">
      <w:pPr>
        <w:pStyle w:val="StandardWeb"/>
      </w:pPr>
      <w:r>
        <w:t>Für</w:t>
      </w:r>
    </w:p>
    <w:p w:rsidR="00D0549E" w:rsidRDefault="00D0549E" w:rsidP="00D0549E">
      <w:pPr>
        <w:pStyle w:val="StandardWeb"/>
      </w:pPr>
      <w:r>
        <w:t>[</w:t>
      </w:r>
      <w:r>
        <w:br/>
        <w:t>\operatorname{Poss}_T</w:t>
      </w:r>
      <w:r>
        <w:br/>
        <w:t>\tag{3.9974}</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lastRenderedPageBreak/>
        <w:t>\operatorname{Poss}_T</w:t>
      </w:r>
    </w:p>
    <w:p w:rsidR="00D0549E" w:rsidRDefault="00D0549E" w:rsidP="00D0549E">
      <w:pPr>
        <w:pStyle w:val="StandardWeb"/>
      </w:pPr>
      <w:r>
        <w:t>und</w:t>
      </w:r>
    </w:p>
    <w:p w:rsidR="00D0549E" w:rsidRDefault="00D0549E" w:rsidP="00D0549E">
      <w:pPr>
        <w:pStyle w:val="StandardWeb"/>
      </w:pPr>
      <w:r>
        <w:t>[</w:t>
      </w:r>
      <w:r>
        <w:br/>
        <w:t>\operatorname{Act}_T</w:t>
      </w:r>
      <w:r>
        <w:br/>
        <w:t>\tag{3.9975}</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\operatorname{Act}_T</w:t>
      </w:r>
    </w:p>
    <w:p w:rsidR="00D0549E" w:rsidRDefault="00D0549E" w:rsidP="00D0549E">
      <w:pPr>
        <w:pStyle w:val="StandardWeb"/>
      </w:pPr>
      <w:r>
        <w:t>handelt es sich ebenfalls zunächst um begriffliche Unterscheidungen.</w:t>
      </w:r>
    </w:p>
    <w:p w:rsidR="00D0549E" w:rsidRDefault="00D0549E" w:rsidP="00D0549E">
      <w:pPr>
        <w:pStyle w:val="StandardWeb"/>
      </w:pPr>
      <w:r>
        <w:t>Daher gilt</w:t>
      </w:r>
    </w:p>
    <w:p w:rsidR="00D0549E" w:rsidRDefault="00D0549E" w:rsidP="00D0549E">
      <w:pPr>
        <w:pStyle w:val="berschrift1"/>
      </w:pPr>
      <w:r>
        <w:t>[</w:t>
      </w:r>
      <w:r>
        <w:br/>
        <w:t>\operatorname{Stat}_{3.3.44}</w:t>
      </w:r>
      <w:r>
        <w:br/>
        <w:t>\left(</w:t>
      </w:r>
      <w:r>
        <w:br/>
        <w:t>\operatorname{Poss}_T</w:t>
      </w:r>
      <w:r>
        <w:br/>
        <w:t>\right)</w:t>
      </w:r>
    </w:p>
    <w:p w:rsidR="00D0549E" w:rsidRDefault="00D0549E" w:rsidP="00D0549E">
      <w:pPr>
        <w:pStyle w:val="StandardWeb"/>
      </w:pPr>
      <w:r>
        <w:t>\mathrm{Def}</w:t>
      </w:r>
      <w:r>
        <w:br/>
        <w:t>\tag{3.9976}</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\operatorname{Stat}_{3.3.44}\left(\operatorname{Poss}_T\right)=\mathrm{Def}</w:t>
      </w:r>
    </w:p>
    <w:p w:rsidR="00D0549E" w:rsidRDefault="00D0549E" w:rsidP="00D0549E">
      <w:pPr>
        <w:pStyle w:val="StandardWeb"/>
      </w:pPr>
      <w:r>
        <w:t>und</w:t>
      </w:r>
    </w:p>
    <w:p w:rsidR="00D0549E" w:rsidRDefault="00D0549E" w:rsidP="00D0549E">
      <w:pPr>
        <w:pStyle w:val="berschrift1"/>
      </w:pPr>
      <w:r>
        <w:t>[</w:t>
      </w:r>
      <w:r>
        <w:br/>
        <w:t>\operatorname{Stat}_{3.3.44}</w:t>
      </w:r>
      <w:r>
        <w:br/>
        <w:t>\left(</w:t>
      </w:r>
      <w:r>
        <w:br/>
        <w:t>\operatorname{Act}_T</w:t>
      </w:r>
      <w:r>
        <w:br/>
        <w:t>\right)</w:t>
      </w:r>
    </w:p>
    <w:p w:rsidR="00D0549E" w:rsidRDefault="00D0549E" w:rsidP="00D0549E">
      <w:pPr>
        <w:pStyle w:val="StandardWeb"/>
      </w:pPr>
      <w:r>
        <w:t>\mathrm{Def}.</w:t>
      </w:r>
      <w:r>
        <w:br/>
        <w:t>\tag{3.9977}</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lastRenderedPageBreak/>
        <w:t>\operatorname{Stat}_{3.3.44}\left(\operatorname{Act}_T\right)=\mathrm{Def}</w:t>
      </w:r>
    </w:p>
    <w:p w:rsidR="00D0549E" w:rsidRDefault="00E50336" w:rsidP="00D0549E">
      <w:r>
        <w:pict>
          <v:rect id="_x0000_i3063" style="width:0;height:1.5pt" o:hralign="center" o:hrstd="t" o:hr="t" fillcolor="#a0a0a0" stroked="f"/>
        </w:pict>
      </w:r>
    </w:p>
    <w:p w:rsidR="00D0549E" w:rsidRDefault="00D0549E" w:rsidP="00D0549E">
      <w:pPr>
        <w:pStyle w:val="berschrift1"/>
      </w:pPr>
      <w:r>
        <w:t>3.3.44.183 Status des Übergangsstrukturindikators</w:t>
      </w:r>
    </w:p>
    <w:p w:rsidR="00D0549E" w:rsidRDefault="00D0549E" w:rsidP="00D0549E">
      <w:pPr>
        <w:pStyle w:val="StandardWeb"/>
      </w:pPr>
      <w:r>
        <w:t>Der Indikator</w:t>
      </w:r>
    </w:p>
    <w:p w:rsidR="00D0549E" w:rsidRDefault="00D0549E" w:rsidP="00D0549E">
      <w:pPr>
        <w:pStyle w:val="StandardWeb"/>
      </w:pPr>
      <w:r>
        <w:t>[</w:t>
      </w:r>
      <w:r>
        <w:br/>
        <w:t>\chi_T(\mathcal M)</w:t>
      </w:r>
      <w:r>
        <w:br/>
        <w:t>\in</w:t>
      </w:r>
      <w:r>
        <w:br/>
        <w:t>{0,1}</w:t>
      </w:r>
      <w:r>
        <w:br/>
        <w:t>\tag{3.9978}</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\chi_T(\mathcal M)\in\{0,1\}</w:t>
      </w:r>
    </w:p>
    <w:p w:rsidR="00D0549E" w:rsidRDefault="00D0549E" w:rsidP="00D0549E">
      <w:pPr>
        <w:pStyle w:val="StandardWeb"/>
      </w:pPr>
      <w:r>
        <w:t>klassifiziert Modelle danach, ob ihre Übergangsrelation leer oder nichtleer ist.</w:t>
      </w:r>
    </w:p>
    <w:p w:rsidR="00D0549E" w:rsidRDefault="00D0549E" w:rsidP="00D0549E">
      <w:pPr>
        <w:pStyle w:val="StandardWeb"/>
      </w:pPr>
      <w:r>
        <w:t>Damit ist</w:t>
      </w:r>
    </w:p>
    <w:p w:rsidR="00D0549E" w:rsidRDefault="00D0549E" w:rsidP="00D0549E">
      <w:pPr>
        <w:pStyle w:val="berschrift1"/>
      </w:pPr>
      <w:r>
        <w:t>[</w:t>
      </w:r>
      <w:r>
        <w:br/>
        <w:t>\boxed{</w:t>
      </w:r>
      <w:r>
        <w:br/>
        <w:t>\operatorname{Stat}_{3.3.44}(\chi_T)</w:t>
      </w:r>
    </w:p>
    <w:p w:rsidR="00D0549E" w:rsidRDefault="00D0549E" w:rsidP="00D0549E">
      <w:pPr>
        <w:pStyle w:val="StandardWeb"/>
      </w:pPr>
      <w:r>
        <w:t>\mathrm{Op}.</w:t>
      </w:r>
      <w:r>
        <w:br/>
        <w:t>}</w:t>
      </w:r>
      <w:r>
        <w:br/>
        <w:t>\tag{3.9979}</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\boxed{\operatorname{Stat}_{3.3.44}(\chi_T)=\mathrm{Op}.}</w:t>
      </w:r>
    </w:p>
    <w:p w:rsidR="00D0549E" w:rsidRDefault="00D0549E" w:rsidP="00D0549E">
      <w:pPr>
        <w:pStyle w:val="StandardWeb"/>
      </w:pPr>
      <w:r>
        <w:t>Ich ordne (\chi_T) damit der Operationalisierung zu, weil aus einer strukturellen Eigenschaft eine unmittelbar auswertbare binäre Modellkennzahl erzeugt wird.</w:t>
      </w:r>
    </w:p>
    <w:p w:rsidR="00D0549E" w:rsidRDefault="00E50336" w:rsidP="00D0549E">
      <w:r>
        <w:pict>
          <v:rect id="_x0000_i3064" style="width:0;height:1.5pt" o:hralign="center" o:hrstd="t" o:hr="t" fillcolor="#a0a0a0" stroked="f"/>
        </w:pict>
      </w:r>
    </w:p>
    <w:p w:rsidR="00D0549E" w:rsidRDefault="00D0549E" w:rsidP="00D0549E">
      <w:pPr>
        <w:pStyle w:val="berschrift1"/>
      </w:pPr>
      <w:r>
        <w:t>3.3.44.184 Status der Modellklassen</w:t>
      </w:r>
    </w:p>
    <w:p w:rsidR="00D0549E" w:rsidRDefault="00D0549E" w:rsidP="00D0549E">
      <w:pPr>
        <w:pStyle w:val="StandardWeb"/>
      </w:pPr>
      <w:r>
        <w:t>Die Klassen</w:t>
      </w:r>
    </w:p>
    <w:p w:rsidR="00D0549E" w:rsidRDefault="00D0549E" w:rsidP="00D0549E">
      <w:pPr>
        <w:pStyle w:val="StandardWeb"/>
      </w:pPr>
      <w:r>
        <w:t>[</w:t>
      </w:r>
      <w:r>
        <w:br/>
        <w:t>\mathfrak M_F^{\varnothing T},</w:t>
      </w:r>
      <w:r>
        <w:br/>
        <w:t>\qquad</w:t>
      </w:r>
      <w:r>
        <w:br/>
        <w:t>\mathfrak M_F^{\mathrm{self}},</w:t>
      </w:r>
      <w:r>
        <w:br/>
      </w:r>
      <w:r>
        <w:lastRenderedPageBreak/>
        <w:t>\qquad</w:t>
      </w:r>
      <w:r>
        <w:br/>
        <w:t>\mathfrak M_F^{\mathrm{dyn}}</w:t>
      </w:r>
      <w:r>
        <w:br/>
        <w:t>\tag{3.9980}</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\mathfrak M_F^{\varnothing T},\qquad\mathfrak M_F^{\mathrm{self}},\qquad\mathfrak M_F^{\mathrm{dyn}}</w:t>
      </w:r>
    </w:p>
    <w:p w:rsidR="00D0549E" w:rsidRDefault="00D0549E" w:rsidP="00D0549E">
      <w:pPr>
        <w:pStyle w:val="StandardWeb"/>
      </w:pPr>
      <w:r>
        <w:t>werden durch zuvor definierte Eigenschaften gebildet.</w:t>
      </w:r>
    </w:p>
    <w:p w:rsidR="00D0549E" w:rsidRDefault="00D0549E" w:rsidP="00D0549E">
      <w:pPr>
        <w:pStyle w:val="StandardWeb"/>
      </w:pPr>
      <w:r>
        <w:t>Ihre Bildung folgt damit aus den jeweiligen Definitionen.</w:t>
      </w:r>
    </w:p>
    <w:p w:rsidR="00D0549E" w:rsidRDefault="00D0549E" w:rsidP="00D0549E">
      <w:pPr>
        <w:pStyle w:val="StandardWeb"/>
      </w:pPr>
      <w:r>
        <w:t>Daher klassifiziere ich</w:t>
      </w:r>
    </w:p>
    <w:p w:rsidR="00D0549E" w:rsidRDefault="00D0549E" w:rsidP="00D0549E">
      <w:pPr>
        <w:pStyle w:val="berschrift1"/>
      </w:pPr>
      <w:r>
        <w:t>[</w:t>
      </w:r>
      <w:r>
        <w:br/>
        <w:t>\boxed{</w:t>
      </w:r>
      <w:r>
        <w:br/>
        <w:t>\operatorname{Stat}_{3.3.44}</w:t>
      </w:r>
      <w:r>
        <w:br/>
        <w:t>\left(</w:t>
      </w:r>
      <w:r>
        <w:br/>
        <w:t>\mathfrak M_F^{\varnothing T},</w:t>
      </w:r>
      <w:r>
        <w:br/>
        <w:t>\mathfrak M_F^{\mathrm{self}},</w:t>
      </w:r>
      <w:r>
        <w:br/>
        <w:t>\mathfrak M_F^{\mathrm{dyn}}</w:t>
      </w:r>
      <w:r>
        <w:br/>
        <w:t>\right)</w:t>
      </w:r>
    </w:p>
    <w:p w:rsidR="00D0549E" w:rsidRDefault="00D0549E" w:rsidP="00D0549E">
      <w:pPr>
        <w:pStyle w:val="StandardWeb"/>
      </w:pPr>
      <w:r>
        <w:t>\mathrm{Der}.</w:t>
      </w:r>
      <w:r>
        <w:br/>
        <w:t>}</w:t>
      </w:r>
      <w:r>
        <w:br/>
        <w:t>\tag{3.9981}</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\boxed{\operatorname{Stat}_{3.3.44}\left(\mathfrak M_F^{\varnothing T},\mathfrak M_F^{\mathrm{self}},\mathfrak M_F^{\mathrm{dyn}}\right)=\mathrm{Der}.}</w:t>
      </w:r>
    </w:p>
    <w:p w:rsidR="00D0549E" w:rsidRDefault="00E50336" w:rsidP="00D0549E">
      <w:r>
        <w:pict>
          <v:rect id="_x0000_i3065" style="width:0;height:1.5pt" o:hralign="center" o:hrstd="t" o:hr="t" fillcolor="#a0a0a0" stroked="f"/>
        </w:pict>
      </w:r>
    </w:p>
    <w:p w:rsidR="00D0549E" w:rsidRDefault="00D0549E" w:rsidP="00D0549E">
      <w:pPr>
        <w:pStyle w:val="berschrift1"/>
      </w:pPr>
      <w:r>
        <w:t>3.3.44.185 Status von (A_T)</w:t>
      </w:r>
    </w:p>
    <w:p w:rsidR="00D0549E" w:rsidRDefault="00D0549E" w:rsidP="00D0549E">
      <w:pPr>
        <w:pStyle w:val="StandardWeb"/>
      </w:pPr>
      <w:r>
        <w:t>Der ursprünglich geprüfte Kandidat</w:t>
      </w:r>
    </w:p>
    <w:p w:rsidR="00D0549E" w:rsidRDefault="00D0549E" w:rsidP="00D0549E">
      <w:pPr>
        <w:pStyle w:val="StandardWeb"/>
      </w:pPr>
      <w:r>
        <w:t>[</w:t>
      </w:r>
      <w:r>
        <w:br/>
        <w:t>A_T:</w:t>
      </w:r>
      <w:r>
        <w:br/>
        <w:t>\exists z_i\neq z_j:</w:t>
      </w:r>
      <w:r>
        <w:br/>
        <w:t>(z_i,z_j)\in\mathcal T_F</w:t>
      </w:r>
      <w:r>
        <w:br/>
      </w:r>
      <w:r>
        <w:lastRenderedPageBreak/>
        <w:t>\tag{3.9982}</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A_T:\exists z_i\neq z_j:(z_i,z_j)\in\mathcal T_F</w:t>
      </w:r>
    </w:p>
    <w:p w:rsidR="00D0549E" w:rsidRDefault="00D0549E" w:rsidP="00D0549E">
      <w:pPr>
        <w:pStyle w:val="StandardWeb"/>
      </w:pPr>
      <w:r>
        <w:t>wurde nicht als Primäraxiom bestätigt.</w:t>
      </w:r>
    </w:p>
    <w:p w:rsidR="00D0549E" w:rsidRDefault="00D0549E" w:rsidP="00D0549E">
      <w:pPr>
        <w:pStyle w:val="StandardWeb"/>
      </w:pPr>
      <w:r>
        <w:t>Seine endgültige Klassifikation innerhalb dieses Abschnitts lautet deshalb</w:t>
      </w:r>
    </w:p>
    <w:p w:rsidR="00D0549E" w:rsidRDefault="00D0549E" w:rsidP="00D0549E">
      <w:pPr>
        <w:pStyle w:val="berschrift1"/>
      </w:pPr>
      <w:r>
        <w:t>[</w:t>
      </w:r>
      <w:r>
        <w:br/>
        <w:t>\boxed{</w:t>
      </w:r>
      <w:r>
        <w:br/>
        <w:t>\operatorname{Stat}_{3.3.44}(A_T)</w:t>
      </w:r>
    </w:p>
    <w:p w:rsidR="00D0549E" w:rsidRDefault="00D0549E" w:rsidP="00D0549E">
      <w:pPr>
        <w:pStyle w:val="StandardWeb"/>
      </w:pPr>
      <w:r>
        <w:t>\mathrm{Mod}.</w:t>
      </w:r>
      <w:r>
        <w:br/>
        <w:t>}</w:t>
      </w:r>
      <w:r>
        <w:br/>
        <w:t>\tag{3.9983}</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\boxed{\operatorname{Stat}_{3.3.44}(A_T)=\mathrm{Mod}.}</w:t>
      </w:r>
    </w:p>
    <w:p w:rsidR="00D0549E" w:rsidRDefault="00E50336" w:rsidP="00D0549E">
      <w:r>
        <w:pict>
          <v:rect id="_x0000_i3066" style="width:0;height:1.5pt" o:hralign="center" o:hrstd="t" o:hr="t" fillcolor="#a0a0a0" stroked="f"/>
        </w:pict>
      </w:r>
    </w:p>
    <w:p w:rsidR="00D0549E" w:rsidRDefault="00D0549E" w:rsidP="00D0549E">
      <w:pPr>
        <w:pStyle w:val="berschrift1"/>
      </w:pPr>
      <w:r>
        <w:t>3.3.44.186 Status von (A_T^{\min})</w:t>
      </w:r>
    </w:p>
    <w:p w:rsidR="00D0549E" w:rsidRDefault="00D0549E" w:rsidP="00D0549E">
      <w:pPr>
        <w:pStyle w:val="StandardWeb"/>
      </w:pPr>
      <w:r>
        <w:t>Dasselbe gilt für</w:t>
      </w:r>
    </w:p>
    <w:p w:rsidR="00D0549E" w:rsidRDefault="00D0549E" w:rsidP="00D0549E">
      <w:pPr>
        <w:pStyle w:val="StandardWeb"/>
      </w:pPr>
      <w:r>
        <w:t>[</w:t>
      </w:r>
      <w:r>
        <w:br/>
        <w:t>A_T^{\min}:</w:t>
      </w:r>
      <w:r>
        <w:br/>
        <w:t>\exists z\in\Omega_F:</w:t>
      </w:r>
      <w:r>
        <w:br/>
        <w:t>\mathbb T_F(z)\neq\varnothing.</w:t>
      </w:r>
      <w:r>
        <w:br/>
        <w:t>\tag{3.9984}</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A_T^{\min}:\exists z\in\Omega_F:\mathbb T_F(z)\neq\varnothing</w:t>
      </w:r>
    </w:p>
    <w:p w:rsidR="00D0549E" w:rsidRDefault="00D0549E" w:rsidP="00D0549E">
      <w:pPr>
        <w:pStyle w:val="StandardWeb"/>
      </w:pPr>
      <w:r>
        <w:t>Auch dieser Kandidat ist nicht für sämtliche zulässigen FRZK-Modelle axiomatisch unverzichtbar.</w:t>
      </w:r>
    </w:p>
    <w:p w:rsidR="00D0549E" w:rsidRDefault="00D0549E" w:rsidP="00D0549E">
      <w:pPr>
        <w:pStyle w:val="StandardWeb"/>
      </w:pPr>
      <w:r>
        <w:t>Daher gilt</w:t>
      </w:r>
    </w:p>
    <w:p w:rsidR="00D0549E" w:rsidRDefault="00D0549E" w:rsidP="00D0549E">
      <w:pPr>
        <w:pStyle w:val="berschrift1"/>
      </w:pPr>
      <w:r>
        <w:t>[</w:t>
      </w:r>
      <w:r>
        <w:br/>
        <w:t>\boxed{</w:t>
      </w:r>
      <w:r>
        <w:br/>
      </w:r>
      <w:r>
        <w:lastRenderedPageBreak/>
        <w:t>\operatorname{Stat}_{3.3.44}</w:t>
      </w:r>
      <w:r>
        <w:br/>
        <w:t>\left(</w:t>
      </w:r>
      <w:r>
        <w:br/>
        <w:t>A_T^{\min}</w:t>
      </w:r>
      <w:r>
        <w:br/>
        <w:t>\right)</w:t>
      </w:r>
    </w:p>
    <w:p w:rsidR="00D0549E" w:rsidRDefault="00D0549E" w:rsidP="00D0549E">
      <w:pPr>
        <w:pStyle w:val="StandardWeb"/>
      </w:pPr>
      <w:r>
        <w:t>\mathrm{Mod}.</w:t>
      </w:r>
      <w:r>
        <w:br/>
        <w:t>}</w:t>
      </w:r>
      <w:r>
        <w:br/>
        <w:t>\tag{3.9985}</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\boxed{\operatorname{Stat}_{3.3.44}\left(A_T^{\min}\right)=\mathrm{Mod}.}</w:t>
      </w:r>
    </w:p>
    <w:p w:rsidR="00D0549E" w:rsidRDefault="00E50336" w:rsidP="00D0549E">
      <w:r>
        <w:pict>
          <v:rect id="_x0000_i3067" style="width:0;height:1.5pt" o:hralign="center" o:hrstd="t" o:hr="t" fillcolor="#a0a0a0" stroked="f"/>
        </w:pict>
      </w:r>
    </w:p>
    <w:p w:rsidR="00D0549E" w:rsidRDefault="00D0549E" w:rsidP="00D0549E">
      <w:pPr>
        <w:pStyle w:val="berschrift1"/>
      </w:pPr>
      <w:r>
        <w:t>3.3.44.187 Umbenennung zu (M_T)</w:t>
      </w:r>
    </w:p>
    <w:p w:rsidR="00D0549E" w:rsidRDefault="00D0549E" w:rsidP="00D0549E">
      <w:pPr>
        <w:pStyle w:val="StandardWeb"/>
      </w:pPr>
      <w:r>
        <w:t>Um eine begriffliche Vermischung mit Primäraxiomen zu vermeiden, verwende ich für dynamische Modelle fortan</w:t>
      </w:r>
    </w:p>
    <w:p w:rsidR="00D0549E" w:rsidRDefault="00D0549E" w:rsidP="00D0549E">
      <w:pPr>
        <w:pStyle w:val="StandardWeb"/>
      </w:pPr>
      <w:r>
        <w:t>[</w:t>
      </w:r>
      <w:r>
        <w:br/>
        <w:t>M_T:</w:t>
      </w:r>
      <w:r>
        <w:br/>
        <w:t>\exists z_i\neq z_j:</w:t>
      </w:r>
      <w:r>
        <w:br/>
        <w:t>(z_i,z_j)\in\mathcal T_F.</w:t>
      </w:r>
      <w:r>
        <w:br/>
        <w:t>\tag{3.9986}</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M_T:\exists z_i\neq z_j:(z_i,z_j)\in\mathcal T_F</w:t>
      </w:r>
    </w:p>
    <w:p w:rsidR="00D0549E" w:rsidRDefault="00D0549E" w:rsidP="00D0549E">
      <w:pPr>
        <w:pStyle w:val="StandardWeb"/>
      </w:pPr>
      <w:r>
        <w:t>Damit wird die wissenschaftliche Funktion bereits durch das Symbol (M) kenntlich gemacht.</w:t>
      </w:r>
    </w:p>
    <w:p w:rsidR="00D0549E" w:rsidRDefault="00D0549E" w:rsidP="00D0549E">
      <w:pPr>
        <w:pStyle w:val="StandardWeb"/>
      </w:pPr>
      <w:r>
        <w:t>Es gilt</w:t>
      </w:r>
    </w:p>
    <w:p w:rsidR="00D0549E" w:rsidRDefault="00D0549E" w:rsidP="00D0549E">
      <w:pPr>
        <w:pStyle w:val="berschrift1"/>
      </w:pPr>
      <w:r>
        <w:t>[</w:t>
      </w:r>
      <w:r>
        <w:br/>
        <w:t>\boxed{</w:t>
      </w:r>
      <w:r>
        <w:br/>
        <w:t>\operatorname{Stat}_{3.3.44}(M_T)</w:t>
      </w:r>
    </w:p>
    <w:p w:rsidR="00D0549E" w:rsidRDefault="00D0549E" w:rsidP="00D0549E">
      <w:pPr>
        <w:pStyle w:val="StandardWeb"/>
      </w:pPr>
      <w:r>
        <w:t>\mathrm{Mod}.</w:t>
      </w:r>
      <w:r>
        <w:br/>
        <w:t>}</w:t>
      </w:r>
      <w:r>
        <w:br/>
        <w:t>\tag{3.9987}</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lastRenderedPageBreak/>
        <w:t>\boxed{\operatorname{Stat}_{3.3.44}(M_T)=\mathrm{Mod}.}</w:t>
      </w:r>
    </w:p>
    <w:p w:rsidR="00D0549E" w:rsidRDefault="00E50336" w:rsidP="00D0549E">
      <w:r>
        <w:pict>
          <v:rect id="_x0000_i3068" style="width:0;height:1.5pt" o:hralign="center" o:hrstd="t" o:hr="t" fillcolor="#a0a0a0" stroked="f"/>
        </w:pict>
      </w:r>
    </w:p>
    <w:p w:rsidR="00D0549E" w:rsidRDefault="00D0549E" w:rsidP="00D0549E">
      <w:pPr>
        <w:pStyle w:val="berschrift1"/>
      </w:pPr>
      <w:r>
        <w:t>3.3.44.188 Status der deterministischen Übergangsannahme</w:t>
      </w:r>
    </w:p>
    <w:p w:rsidR="00D0549E" w:rsidRDefault="00D0549E" w:rsidP="00D0549E">
      <w:pPr>
        <w:pStyle w:val="StandardWeb"/>
      </w:pPr>
      <w:r>
        <w:t>Die Forderung</w:t>
      </w:r>
    </w:p>
    <w:p w:rsidR="00D0549E" w:rsidRDefault="00D0549E" w:rsidP="00D0549E">
      <w:pPr>
        <w:pStyle w:val="StandardWeb"/>
      </w:pPr>
      <w:r>
        <w:t>[</w:t>
      </w:r>
      <w:r>
        <w:br/>
        <w:t>M_T^{\mathrm{det}}</w:t>
      </w:r>
      <w:r>
        <w:br/>
        <w:t>\tag{3.9988}</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M_T^{\mathrm{det}}</w:t>
      </w:r>
    </w:p>
    <w:p w:rsidR="00D0549E" w:rsidRDefault="00D0549E" w:rsidP="00D0549E">
      <w:pPr>
        <w:pStyle w:val="StandardWeb"/>
      </w:pPr>
      <w:r>
        <w:t>beschränkt die dynamische Modellklasse zusätzlich auf eindeutige Folgezustände.</w:t>
      </w:r>
    </w:p>
    <w:p w:rsidR="00D0549E" w:rsidRDefault="00D0549E" w:rsidP="00D0549E">
      <w:pPr>
        <w:pStyle w:val="StandardWeb"/>
      </w:pPr>
      <w:r>
        <w:t>Damit gilt</w:t>
      </w:r>
    </w:p>
    <w:p w:rsidR="00D0549E" w:rsidRDefault="00D0549E" w:rsidP="00D0549E">
      <w:pPr>
        <w:pStyle w:val="berschrift1"/>
      </w:pPr>
      <w:r>
        <w:t>[</w:t>
      </w:r>
      <w:r>
        <w:br/>
        <w:t>\boxed{</w:t>
      </w:r>
      <w:r>
        <w:br/>
        <w:t>\operatorname{Stat}_{3.3.44}</w:t>
      </w:r>
      <w:r>
        <w:br/>
        <w:t>\left(</w:t>
      </w:r>
      <w:r>
        <w:br/>
        <w:t>M_T^{\mathrm{det}}</w:t>
      </w:r>
      <w:r>
        <w:br/>
        <w:t>\right)</w:t>
      </w:r>
    </w:p>
    <w:p w:rsidR="00D0549E" w:rsidRDefault="00D0549E" w:rsidP="00D0549E">
      <w:pPr>
        <w:pStyle w:val="StandardWeb"/>
      </w:pPr>
      <w:r>
        <w:t>\mathrm{Mod}.</w:t>
      </w:r>
      <w:r>
        <w:br/>
        <w:t>}</w:t>
      </w:r>
      <w:r>
        <w:br/>
        <w:t>\tag{3.9989}</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\boxed{\operatorname{Stat}_{3.3.44}\left(M_T^{\mathrm{det}}\right)=\mathrm{Mod}.}</w:t>
      </w:r>
    </w:p>
    <w:p w:rsidR="00D0549E" w:rsidRDefault="00E50336" w:rsidP="00D0549E">
      <w:r>
        <w:pict>
          <v:rect id="_x0000_i3069" style="width:0;height:1.5pt" o:hralign="center" o:hrstd="t" o:hr="t" fillcolor="#a0a0a0" stroked="f"/>
        </w:pict>
      </w:r>
    </w:p>
    <w:p w:rsidR="00D0549E" w:rsidRDefault="00D0549E" w:rsidP="00D0549E">
      <w:pPr>
        <w:pStyle w:val="berschrift1"/>
      </w:pPr>
      <w:r>
        <w:t>3.3.44.189 Status der stochastischen Übergangsstruktur</w:t>
      </w:r>
    </w:p>
    <w:p w:rsidR="00D0549E" w:rsidRDefault="00D0549E" w:rsidP="00D0549E">
      <w:pPr>
        <w:pStyle w:val="StandardWeb"/>
      </w:pPr>
      <w:r>
        <w:t>Für eine bedingte Übergangswahrscheinlichkeit</w:t>
      </w:r>
    </w:p>
    <w:p w:rsidR="00D0549E" w:rsidRDefault="00D0549E" w:rsidP="00D0549E">
      <w:pPr>
        <w:pStyle w:val="StandardWeb"/>
      </w:pPr>
      <w:r>
        <w:lastRenderedPageBreak/>
        <w:t>[</w:t>
      </w:r>
      <w:r>
        <w:br/>
        <w:t>P_F(z_j\mid z_i)</w:t>
      </w:r>
      <w:r>
        <w:br/>
        <w:t>\tag{3.9990}</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P_F(z_j\mid z_i)</w:t>
      </w:r>
    </w:p>
    <w:p w:rsidR="00D0549E" w:rsidRDefault="00D0549E" w:rsidP="00D0549E">
      <w:pPr>
        <w:pStyle w:val="StandardWeb"/>
      </w:pPr>
      <w:r>
        <w:t>gilt ebenfalls</w:t>
      </w:r>
    </w:p>
    <w:p w:rsidR="00D0549E" w:rsidRDefault="00D0549E" w:rsidP="00D0549E">
      <w:pPr>
        <w:pStyle w:val="berschrift1"/>
      </w:pPr>
      <w:r>
        <w:t>[</w:t>
      </w:r>
      <w:r>
        <w:br/>
        <w:t>\boxed{</w:t>
      </w:r>
      <w:r>
        <w:br/>
        <w:t>\operatorname{Stat}_{3.3.44}</w:t>
      </w:r>
      <w:r>
        <w:br/>
        <w:t>\left(</w:t>
      </w:r>
      <w:r>
        <w:br/>
        <w:t>P_F</w:t>
      </w:r>
      <w:r>
        <w:br/>
        <w:t>\right)</w:t>
      </w:r>
    </w:p>
    <w:p w:rsidR="00D0549E" w:rsidRDefault="00D0549E" w:rsidP="00D0549E">
      <w:pPr>
        <w:pStyle w:val="StandardWeb"/>
      </w:pPr>
      <w:r>
        <w:t>\mathrm{Mod}.</w:t>
      </w:r>
      <w:r>
        <w:br/>
        <w:t>}</w:t>
      </w:r>
      <w:r>
        <w:br/>
        <w:t>\tag{3.9991}</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\boxed{\operatorname{Stat}_{3.3.44}\left(P_F\right)=\mathrm{Mod}.}</w:t>
      </w:r>
    </w:p>
    <w:p w:rsidR="00D0549E" w:rsidRDefault="00D0549E" w:rsidP="00D0549E">
      <w:pPr>
        <w:pStyle w:val="StandardWeb"/>
      </w:pPr>
      <w:r>
        <w:t>Damit wird weder Determinismus noch Stochastik durch die Primäraxiomatik bevorzugt.</w:t>
      </w:r>
    </w:p>
    <w:p w:rsidR="00D0549E" w:rsidRDefault="00E50336" w:rsidP="00D0549E">
      <w:r>
        <w:pict>
          <v:rect id="_x0000_i3070" style="width:0;height:1.5pt" o:hralign="center" o:hrstd="t" o:hr="t" fillcolor="#a0a0a0" stroked="f"/>
        </w:pict>
      </w:r>
    </w:p>
    <w:p w:rsidR="00D0549E" w:rsidRDefault="00D0549E" w:rsidP="00D0549E">
      <w:pPr>
        <w:pStyle w:val="berschrift1"/>
      </w:pPr>
      <w:r>
        <w:t>3.3.44.190 Status eines kontinuierlichen Dynamikgesetzes</w:t>
      </w:r>
    </w:p>
    <w:p w:rsidR="00D0549E" w:rsidRDefault="00D0549E" w:rsidP="00D0549E">
      <w:pPr>
        <w:pStyle w:val="StandardWeb"/>
      </w:pPr>
      <w:r>
        <w:t>Auch eine Gleichung der Form</w:t>
      </w:r>
    </w:p>
    <w:p w:rsidR="00D0549E" w:rsidRDefault="00D0549E" w:rsidP="00D0549E">
      <w:pPr>
        <w:pStyle w:val="berschrift1"/>
      </w:pPr>
      <w:r>
        <w:t>[</w:t>
      </w:r>
      <w:r>
        <w:br/>
        <w:t>\dot z</w:t>
      </w:r>
    </w:p>
    <w:p w:rsidR="00D0549E" w:rsidRDefault="00D0549E" w:rsidP="00D0549E">
      <w:pPr>
        <w:pStyle w:val="StandardWeb"/>
      </w:pPr>
      <w:r>
        <w:t>F(z,t)</w:t>
      </w:r>
      <w:r>
        <w:br/>
        <w:t>\tag{3.9992}</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lastRenderedPageBreak/>
        <w:t>\dot z=F(z,t)</w:t>
      </w:r>
    </w:p>
    <w:p w:rsidR="00D0549E" w:rsidRDefault="00D0549E" w:rsidP="00D0549E">
      <w:pPr>
        <w:pStyle w:val="StandardWeb"/>
      </w:pPr>
      <w:r>
        <w:t>ist nicht aus den bisherigen Primäraxiomen ableitbar.</w:t>
      </w:r>
    </w:p>
    <w:p w:rsidR="00D0549E" w:rsidRDefault="00D0549E" w:rsidP="00D0549E">
      <w:pPr>
        <w:pStyle w:val="StandardWeb"/>
      </w:pPr>
      <w:r>
        <w:t>Deshalb gilt</w:t>
      </w:r>
    </w:p>
    <w:p w:rsidR="00D0549E" w:rsidRDefault="00D0549E" w:rsidP="00D0549E">
      <w:pPr>
        <w:pStyle w:val="berschrift1"/>
      </w:pPr>
      <w:r>
        <w:t>[</w:t>
      </w:r>
      <w:r>
        <w:br/>
        <w:t>\boxed{</w:t>
      </w:r>
      <w:r>
        <w:br/>
        <w:t>\operatorname{Stat}_{3.3.44}(F)</w:t>
      </w:r>
    </w:p>
    <w:p w:rsidR="00D0549E" w:rsidRDefault="00D0549E" w:rsidP="00D0549E">
      <w:pPr>
        <w:pStyle w:val="StandardWeb"/>
      </w:pPr>
      <w:r>
        <w:t>\mathrm{Mod}.</w:t>
      </w:r>
      <w:r>
        <w:br/>
        <w:t>}</w:t>
      </w:r>
      <w:r>
        <w:br/>
        <w:t>\tag{3.9993}</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\boxed{\operatorname{Stat}_{3.3.44}(F)=\mathrm{Mod}.}</w:t>
      </w:r>
    </w:p>
    <w:p w:rsidR="00D0549E" w:rsidRDefault="00E50336" w:rsidP="00D0549E">
      <w:r>
        <w:pict>
          <v:rect id="_x0000_i3071" style="width:0;height:1.5pt" o:hralign="center" o:hrstd="t" o:hr="t" fillcolor="#a0a0a0" stroked="f"/>
        </w:pict>
      </w:r>
    </w:p>
    <w:p w:rsidR="00D0549E" w:rsidRDefault="00D0549E" w:rsidP="00D0549E">
      <w:pPr>
        <w:pStyle w:val="berschrift1"/>
      </w:pPr>
      <w:r>
        <w:t>3.3.44.191 Status des Übergangsparameters</w:t>
      </w:r>
    </w:p>
    <w:p w:rsidR="00D0549E" w:rsidRDefault="00D0549E" w:rsidP="00D0549E">
      <w:pPr>
        <w:pStyle w:val="StandardWeb"/>
      </w:pPr>
      <w:r>
        <w:t>Der Übergangsparameter</w:t>
      </w:r>
    </w:p>
    <w:p w:rsidR="00D0549E" w:rsidRDefault="00D0549E" w:rsidP="00D0549E">
      <w:pPr>
        <w:pStyle w:val="StandardWeb"/>
      </w:pPr>
      <w:r>
        <w:t>[</w:t>
      </w:r>
      <w:r>
        <w:br/>
        <w:t>\lambda\in\Lambda_T</w:t>
      </w:r>
      <w:r>
        <w:br/>
        <w:t>\tag{3.9994}</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\lambda\in\Lambda_T</w:t>
      </w:r>
    </w:p>
    <w:p w:rsidR="00D0549E" w:rsidRDefault="00D0549E" w:rsidP="00D0549E">
      <w:pPr>
        <w:pStyle w:val="StandardWeb"/>
      </w:pPr>
      <w:r>
        <w:t>wurde eingeführt, um Zustände einer Übergangsentwicklung ordnen oder parametrisieren zu können.</w:t>
      </w:r>
    </w:p>
    <w:p w:rsidR="00D0549E" w:rsidRDefault="00D0549E" w:rsidP="00D0549E">
      <w:pPr>
        <w:pStyle w:val="StandardWeb"/>
      </w:pPr>
      <w:r>
        <w:t>Seine allgemeine Einführung ist deshalb definitorisch:</w:t>
      </w:r>
    </w:p>
    <w:p w:rsidR="00D0549E" w:rsidRDefault="00D0549E" w:rsidP="00D0549E">
      <w:pPr>
        <w:pStyle w:val="berschrift1"/>
      </w:pPr>
      <w:r>
        <w:t>[</w:t>
      </w:r>
      <w:r>
        <w:br/>
        <w:t>\boxed{</w:t>
      </w:r>
      <w:r>
        <w:br/>
        <w:t>\operatorname{Stat}_{3.3.44}(\lambda)</w:t>
      </w:r>
    </w:p>
    <w:p w:rsidR="00D0549E" w:rsidRDefault="00D0549E" w:rsidP="00D0549E">
      <w:pPr>
        <w:pStyle w:val="StandardWeb"/>
      </w:pPr>
      <w:r>
        <w:t>\mathrm{Def}.</w:t>
      </w:r>
      <w:r>
        <w:br/>
        <w:t>}</w:t>
      </w:r>
      <w:r>
        <w:br/>
        <w:t>\tag{3.9995}</w:t>
      </w:r>
      <w:r>
        <w:br/>
        <w:t>]</w:t>
      </w:r>
    </w:p>
    <w:p w:rsidR="00D0549E" w:rsidRDefault="00D0549E" w:rsidP="00D0549E">
      <w:pPr>
        <w:pStyle w:val="StandardWeb"/>
      </w:pPr>
      <w:r>
        <w:rPr>
          <w:rStyle w:val="Fett"/>
        </w:rPr>
        <w:lastRenderedPageBreak/>
        <w:t>Word-LaTeX</w:t>
      </w:r>
    </w:p>
    <w:p w:rsidR="00D0549E" w:rsidRDefault="00D0549E" w:rsidP="00D0549E">
      <w:pPr>
        <w:pStyle w:val="HTMLVorformatiert"/>
        <w:rPr>
          <w:rStyle w:val="HTMLCode"/>
        </w:rPr>
      </w:pPr>
      <w:r>
        <w:rPr>
          <w:rStyle w:val="HTMLCode"/>
        </w:rPr>
        <w:t>\boxed{\operatorname{Stat}_{3.3.44}(\lambda)=\mathrm{Def}.}</w:t>
      </w:r>
    </w:p>
    <w:p w:rsidR="00D0549E" w:rsidRDefault="00E50336" w:rsidP="00D0549E">
      <w:r>
        <w:pict>
          <v:rect id="_x0000_i3072" style="width:0;height:1.5pt" o:hralign="center" o:hrstd="t" o:hr="t" fillcolor="#a0a0a0" stroked="f"/>
        </w:pict>
      </w:r>
    </w:p>
    <w:p w:rsidR="00D0549E" w:rsidRDefault="00D0549E" w:rsidP="00D0549E">
      <w:pPr>
        <w:pStyle w:val="berschrift1"/>
      </w:pPr>
      <w:r>
        <w:t>3.3.44.192 Status der Identifikation (\lambda=t)</w:t>
      </w:r>
    </w:p>
    <w:p w:rsidR="00D0549E" w:rsidRDefault="00D0549E" w:rsidP="00D0549E">
      <w:pPr>
        <w:pStyle w:val="StandardWeb"/>
      </w:pPr>
      <w:r>
        <w:t>Die zusätzliche Festlegung</w:t>
      </w:r>
    </w:p>
    <w:p w:rsidR="00D0549E" w:rsidRDefault="00D0549E" w:rsidP="00D0549E">
      <w:pPr>
        <w:pStyle w:val="StandardWeb"/>
      </w:pPr>
      <w:r>
        <w:t>[</w:t>
      </w:r>
      <w:r>
        <w:br/>
        <w:t>\lambda=t</w:t>
      </w:r>
      <w:r>
        <w:br/>
        <w:t>\tag{3.9996}</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\lambda=t</w:t>
      </w:r>
    </w:p>
    <w:p w:rsidR="00D0549E" w:rsidRDefault="00D0549E" w:rsidP="00D0549E">
      <w:pPr>
        <w:pStyle w:val="StandardWeb"/>
      </w:pPr>
      <w:r>
        <w:t>ist dagegen keine Definition der allgemeinen Übergangsstruktur.</w:t>
      </w:r>
    </w:p>
    <w:p w:rsidR="00D0549E" w:rsidRDefault="00D0549E" w:rsidP="00D0549E">
      <w:pPr>
        <w:pStyle w:val="StandardWeb"/>
      </w:pPr>
      <w:r>
        <w:t>Sie identifiziert den strukturellen Übergangsparameter mit physikalischer Zeit und gehört deshalb zur Modellschicht:</w:t>
      </w:r>
    </w:p>
    <w:p w:rsidR="00D0549E" w:rsidRDefault="00D0549E" w:rsidP="00D0549E">
      <w:pPr>
        <w:pStyle w:val="berschrift1"/>
      </w:pPr>
      <w:r>
        <w:t>[</w:t>
      </w:r>
      <w:r>
        <w:br/>
        <w:t>\boxed{</w:t>
      </w:r>
      <w:r>
        <w:br/>
        <w:t>\operatorname{Stat}_{3.3.44}(\lambda=t)</w:t>
      </w:r>
    </w:p>
    <w:p w:rsidR="00D0549E" w:rsidRDefault="00D0549E" w:rsidP="00D0549E">
      <w:pPr>
        <w:pStyle w:val="StandardWeb"/>
      </w:pPr>
      <w:r>
        <w:t>\mathrm{Mod}.</w:t>
      </w:r>
      <w:r>
        <w:br/>
        <w:t>}</w:t>
      </w:r>
      <w:r>
        <w:br/>
        <w:t>\tag{3.9997}</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\boxed{\operatorname{Stat}_{3.3.44}(\lambda=t)=\mathrm{Mod}.}</w:t>
      </w:r>
    </w:p>
    <w:p w:rsidR="00D0549E" w:rsidRDefault="00E50336" w:rsidP="00D0549E">
      <w:r>
        <w:pict>
          <v:rect id="_x0000_i3073" style="width:0;height:1.5pt" o:hralign="center" o:hrstd="t" o:hr="t" fillcolor="#a0a0a0" stroked="f"/>
        </w:pict>
      </w:r>
    </w:p>
    <w:p w:rsidR="00D0549E" w:rsidRDefault="00D0549E" w:rsidP="00D0549E">
      <w:pPr>
        <w:pStyle w:val="berschrift1"/>
      </w:pPr>
      <w:r>
        <w:t>3.3.44.193 Status der zeitlichen Einbettung</w:t>
      </w:r>
    </w:p>
    <w:p w:rsidR="00D0549E" w:rsidRDefault="00D0549E" w:rsidP="00D0549E">
      <w:pPr>
        <w:pStyle w:val="StandardWeb"/>
      </w:pPr>
      <w:r>
        <w:t>Auch</w:t>
      </w:r>
    </w:p>
    <w:p w:rsidR="00D0549E" w:rsidRDefault="00D0549E" w:rsidP="00D0549E">
      <w:pPr>
        <w:pStyle w:val="StandardWeb"/>
      </w:pPr>
      <w:r>
        <w:t>[</w:t>
      </w:r>
      <w:r>
        <w:br/>
        <w:t>\tau_T:</w:t>
      </w:r>
      <w:r>
        <w:br/>
        <w:t>\Lambda_T</w:t>
      </w:r>
      <w:r>
        <w:br/>
        <w:t>\rightarrow</w:t>
      </w:r>
      <w:r>
        <w:br/>
        <w:t>\mathbb R</w:t>
      </w:r>
      <w:r>
        <w:br/>
        <w:t>\tag{3.9998}</w:t>
      </w:r>
      <w:r>
        <w:br/>
        <w:t>]</w:t>
      </w:r>
    </w:p>
    <w:p w:rsidR="00D0549E" w:rsidRDefault="00D0549E" w:rsidP="00D0549E">
      <w:pPr>
        <w:pStyle w:val="StandardWeb"/>
      </w:pPr>
      <w:r>
        <w:rPr>
          <w:rStyle w:val="Fett"/>
        </w:rPr>
        <w:lastRenderedPageBreak/>
        <w:t>Word-LaTeX</w:t>
      </w:r>
    </w:p>
    <w:p w:rsidR="00D0549E" w:rsidRDefault="00D0549E" w:rsidP="00D0549E">
      <w:pPr>
        <w:pStyle w:val="HTMLVorformatiert"/>
        <w:rPr>
          <w:rStyle w:val="HTMLCode"/>
        </w:rPr>
      </w:pPr>
      <w:r>
        <w:rPr>
          <w:rStyle w:val="HTMLCode"/>
        </w:rPr>
        <w:t>\tau_T:\Lambda_T\rightarrow\mathbb R</w:t>
      </w:r>
    </w:p>
    <w:p w:rsidR="00D0549E" w:rsidRDefault="00D0549E" w:rsidP="00D0549E">
      <w:pPr>
        <w:pStyle w:val="StandardWeb"/>
      </w:pPr>
      <w:r>
        <w:t>ist eine zusätzliche Modellstruktur.</w:t>
      </w:r>
    </w:p>
    <w:p w:rsidR="00D0549E" w:rsidRDefault="00D0549E" w:rsidP="00D0549E">
      <w:pPr>
        <w:pStyle w:val="StandardWeb"/>
      </w:pPr>
      <w:r>
        <w:t>Daher gilt</w:t>
      </w:r>
    </w:p>
    <w:p w:rsidR="00D0549E" w:rsidRDefault="00D0549E" w:rsidP="00D0549E">
      <w:pPr>
        <w:pStyle w:val="berschrift1"/>
      </w:pPr>
      <w:r>
        <w:t>[</w:t>
      </w:r>
      <w:r>
        <w:br/>
        <w:t>\boxed{</w:t>
      </w:r>
      <w:r>
        <w:br/>
        <w:t>\operatorname{Stat}_{3.3.44}(\tau_T)</w:t>
      </w:r>
    </w:p>
    <w:p w:rsidR="00D0549E" w:rsidRDefault="00D0549E" w:rsidP="00D0549E">
      <w:pPr>
        <w:pStyle w:val="StandardWeb"/>
      </w:pPr>
      <w:r>
        <w:t>\mathrm{Mod}.</w:t>
      </w:r>
      <w:r>
        <w:br/>
        <w:t>}</w:t>
      </w:r>
      <w:r>
        <w:br/>
        <w:t>\tag{3.9999}</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\boxed{\operatorname{Stat}_{3.3.44}(\tau_T)=\mathrm{Mod}.}</w:t>
      </w:r>
    </w:p>
    <w:p w:rsidR="00D0549E" w:rsidRDefault="00E50336" w:rsidP="00D0549E">
      <w:r>
        <w:pict>
          <v:rect id="_x0000_i3074" style="width:0;height:1.5pt" o:hralign="center" o:hrstd="t" o:hr="t" fillcolor="#a0a0a0" stroked="f"/>
        </w:pict>
      </w:r>
    </w:p>
    <w:p w:rsidR="00D0549E" w:rsidRDefault="00D0549E" w:rsidP="00D0549E">
      <w:pPr>
        <w:pStyle w:val="berschrift1"/>
      </w:pPr>
      <w:r>
        <w:t>3.3.44.194 Überschreiten der Gleichungsnummer 3.9999</w:t>
      </w:r>
    </w:p>
    <w:p w:rsidR="00D0549E" w:rsidRDefault="00D0549E" w:rsidP="00D0549E">
      <w:pPr>
        <w:pStyle w:val="StandardWeb"/>
      </w:pPr>
      <w:r>
        <w:t>Mit der vorhergehenden Gleichung wurde die Nummer</w:t>
      </w:r>
    </w:p>
    <w:p w:rsidR="00D0549E" w:rsidRDefault="00D0549E" w:rsidP="00D0549E">
      <w:pPr>
        <w:pStyle w:val="StandardWeb"/>
      </w:pPr>
      <w:r>
        <w:t>[</w:t>
      </w:r>
      <w:r>
        <w:br/>
        <w:t>(3.9999)</w:t>
      </w:r>
      <w:r>
        <w:br/>
        <w:t>]</w:t>
      </w:r>
    </w:p>
    <w:p w:rsidR="00D0549E" w:rsidRDefault="00D0549E" w:rsidP="00D0549E">
      <w:pPr>
        <w:pStyle w:val="StandardWeb"/>
      </w:pPr>
      <w:r>
        <w:t>erreicht.</w:t>
      </w:r>
    </w:p>
    <w:p w:rsidR="00D0549E" w:rsidRDefault="00D0549E" w:rsidP="00D0549E">
      <w:pPr>
        <w:pStyle w:val="StandardWeb"/>
      </w:pPr>
      <w:r>
        <w:t>Da die Gleichungsnummern dieser Arbeit als Kapitelpräfix und fortlaufende laufende Nummer behandelt werden, führe ich die Nummerierung ohne Bedeutungsänderung mit</w:t>
      </w:r>
    </w:p>
    <w:p w:rsidR="00D0549E" w:rsidRDefault="00D0549E" w:rsidP="00D0549E">
      <w:pPr>
        <w:pStyle w:val="StandardWeb"/>
      </w:pPr>
      <w:r>
        <w:t>[</w:t>
      </w:r>
      <w:r>
        <w:br/>
        <w:t>(3.10000)</w:t>
      </w:r>
      <w:r>
        <w:br/>
        <w:t>]</w:t>
      </w:r>
    </w:p>
    <w:p w:rsidR="00D0549E" w:rsidRDefault="00D0549E" w:rsidP="00D0549E">
      <w:pPr>
        <w:pStyle w:val="StandardWeb"/>
      </w:pPr>
      <w:r>
        <w:t>fort.</w:t>
      </w:r>
    </w:p>
    <w:p w:rsidR="00D0549E" w:rsidRDefault="00D0549E" w:rsidP="00D0549E">
      <w:pPr>
        <w:pStyle w:val="StandardWeb"/>
      </w:pPr>
      <w:r>
        <w:t>Diese Schreibweise stellt keine neue Hierarchieebene dar, sondern lediglich die Fortsetzung des laufenden Gleichungszählers.</w:t>
      </w:r>
    </w:p>
    <w:p w:rsidR="00D0549E" w:rsidRDefault="00E50336" w:rsidP="00D0549E">
      <w:r>
        <w:pict>
          <v:rect id="_x0000_i3075" style="width:0;height:1.5pt" o:hralign="center" o:hrstd="t" o:hr="t" fillcolor="#a0a0a0" stroked="f"/>
        </w:pict>
      </w:r>
    </w:p>
    <w:p w:rsidR="00D0549E" w:rsidRDefault="00D0549E" w:rsidP="00D0549E">
      <w:pPr>
        <w:pStyle w:val="berschrift1"/>
      </w:pPr>
      <w:r>
        <w:lastRenderedPageBreak/>
        <w:t>3.3.44.195 Status der funktionalen Übergangsordnung</w:t>
      </w:r>
    </w:p>
    <w:p w:rsidR="00D0549E" w:rsidRDefault="00D0549E" w:rsidP="00D0549E">
      <w:pPr>
        <w:pStyle w:val="StandardWeb"/>
      </w:pPr>
      <w:r>
        <w:t>Die Relation</w:t>
      </w:r>
    </w:p>
    <w:p w:rsidR="00D0549E" w:rsidRDefault="00D0549E" w:rsidP="00D0549E">
      <w:pPr>
        <w:pStyle w:val="StandardWeb"/>
      </w:pPr>
      <w:r>
        <w:t>[</w:t>
      </w:r>
      <w:r>
        <w:br/>
        <w:t>\prec_T</w:t>
      </w:r>
      <w:r>
        <w:br/>
        <w:t>\subseteq</w:t>
      </w:r>
      <w:r>
        <w:br/>
        <w:t>\Omega_F\times\Omega_F</w:t>
      </w:r>
      <w:r>
        <w:br/>
        <w:t>\tag{3.10000}</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\prec_T\subseteq\Omega_F\times\Omega_F</w:t>
      </w:r>
    </w:p>
    <w:p w:rsidR="00D0549E" w:rsidRDefault="00D0549E" w:rsidP="00D0549E">
      <w:pPr>
        <w:pStyle w:val="StandardWeb"/>
      </w:pPr>
      <w:r>
        <w:t>ist zunächst definitorisch.</w:t>
      </w:r>
    </w:p>
    <w:p w:rsidR="00D0549E" w:rsidRDefault="00D0549E" w:rsidP="00D0549E">
      <w:pPr>
        <w:pStyle w:val="StandardWeb"/>
      </w:pPr>
      <w:r>
        <w:t>Daher gilt</w:t>
      </w:r>
    </w:p>
    <w:p w:rsidR="00D0549E" w:rsidRDefault="00D0549E" w:rsidP="00D0549E">
      <w:pPr>
        <w:pStyle w:val="berschrift1"/>
      </w:pPr>
      <w:r>
        <w:t>[</w:t>
      </w:r>
      <w:r>
        <w:br/>
        <w:t>\boxed{</w:t>
      </w:r>
      <w:r>
        <w:br/>
        <w:t>\operatorname{Stat}_{3.3.44}(\prec_T)</w:t>
      </w:r>
    </w:p>
    <w:p w:rsidR="00D0549E" w:rsidRDefault="00D0549E" w:rsidP="00D0549E">
      <w:pPr>
        <w:pStyle w:val="StandardWeb"/>
      </w:pPr>
      <w:r>
        <w:t>\mathrm{Def}.</w:t>
      </w:r>
      <w:r>
        <w:br/>
        <w:t>}</w:t>
      </w:r>
      <w:r>
        <w:br/>
        <w:t>\tag{3.10001}</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\boxed{\operatorname{Stat}_{3.3.44}(\prec_T)=\mathrm{Def}.}</w:t>
      </w:r>
    </w:p>
    <w:p w:rsidR="00D0549E" w:rsidRDefault="00E50336" w:rsidP="00D0549E">
      <w:r>
        <w:pict>
          <v:rect id="_x0000_i3076" style="width:0;height:1.5pt" o:hralign="center" o:hrstd="t" o:hr="t" fillcolor="#a0a0a0" stroked="f"/>
        </w:pict>
      </w:r>
    </w:p>
    <w:p w:rsidR="00D0549E" w:rsidRDefault="00D0549E" w:rsidP="00D0549E">
      <w:pPr>
        <w:pStyle w:val="berschrift1"/>
      </w:pPr>
      <w:r>
        <w:t>3.3.44.196 Keine automatische Kausalordnung</w:t>
      </w:r>
    </w:p>
    <w:p w:rsidR="00D0549E" w:rsidRDefault="00D0549E" w:rsidP="00D0549E">
      <w:pPr>
        <w:pStyle w:val="StandardWeb"/>
      </w:pPr>
      <w:r>
        <w:t>Die zusätzliche Identifikation</w:t>
      </w:r>
    </w:p>
    <w:p w:rsidR="00D0549E" w:rsidRDefault="00D0549E" w:rsidP="00D0549E">
      <w:pPr>
        <w:pStyle w:val="berschrift1"/>
      </w:pPr>
      <w:r>
        <w:t>[</w:t>
      </w:r>
      <w:r>
        <w:br/>
        <w:t>\prec_T</w:t>
      </w:r>
    </w:p>
    <w:p w:rsidR="00D0549E" w:rsidRDefault="00D0549E" w:rsidP="00D0549E">
      <w:pPr>
        <w:pStyle w:val="StandardWeb"/>
      </w:pPr>
      <w:r>
        <w:t>\prec_{\mathrm{causal}}</w:t>
      </w:r>
      <w:r>
        <w:br/>
        <w:t>\tag{3.10002}</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lastRenderedPageBreak/>
        <w:t>\prec_T=\prec_{\mathrm{causal}}</w:t>
      </w:r>
    </w:p>
    <w:p w:rsidR="00D0549E" w:rsidRDefault="00D0549E" w:rsidP="00D0549E">
      <w:pPr>
        <w:pStyle w:val="StandardWeb"/>
      </w:pPr>
      <w:r>
        <w:t>wäre dagegen eine physikalische Modellannahme.</w:t>
      </w:r>
    </w:p>
    <w:p w:rsidR="00D0549E" w:rsidRDefault="00D0549E" w:rsidP="00D0549E">
      <w:pPr>
        <w:pStyle w:val="StandardWeb"/>
      </w:pPr>
      <w:r>
        <w:t>Somit gilt</w:t>
      </w:r>
    </w:p>
    <w:p w:rsidR="00D0549E" w:rsidRDefault="00D0549E" w:rsidP="00D0549E">
      <w:pPr>
        <w:pStyle w:val="berschrift1"/>
      </w:pPr>
      <w:r>
        <w:t>[</w:t>
      </w:r>
      <w:r>
        <w:br/>
        <w:t>\boxed{</w:t>
      </w:r>
      <w:r>
        <w:br/>
        <w:t>\operatorname{Stat}</w:t>
      </w:r>
      <w:r>
        <w:rPr>
          <w:rStyle w:val="Hervorhebung"/>
        </w:rPr>
        <w:t>{3.3.44}</w:t>
      </w:r>
      <w:r>
        <w:rPr>
          <w:i/>
          <w:iCs/>
        </w:rPr>
        <w:br/>
      </w:r>
      <w:r>
        <w:rPr>
          <w:rStyle w:val="Hervorhebung"/>
        </w:rPr>
        <w:t>\left(</w:t>
      </w:r>
      <w:r>
        <w:rPr>
          <w:i/>
          <w:iCs/>
        </w:rPr>
        <w:br/>
      </w:r>
      <w:r>
        <w:rPr>
          <w:rStyle w:val="Hervorhebung"/>
        </w:rPr>
        <w:t>\prec_T=\prec</w:t>
      </w:r>
      <w:r>
        <w:t>{\mathrm{causal}}</w:t>
      </w:r>
      <w:r>
        <w:br/>
        <w:t>\right)</w:t>
      </w:r>
    </w:p>
    <w:p w:rsidR="00D0549E" w:rsidRDefault="00D0549E" w:rsidP="00D0549E">
      <w:pPr>
        <w:pStyle w:val="StandardWeb"/>
      </w:pPr>
      <w:r>
        <w:t>\mathrm{Mod}.</w:t>
      </w:r>
      <w:r>
        <w:br/>
        <w:t>}</w:t>
      </w:r>
      <w:r>
        <w:br/>
        <w:t>\tag{3.10003}</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\boxed{\operatorname{Stat}_{3.3.44}\left(\prec_T=\prec_{\mathrm{causal}}\right)=\mathrm{Mod}.}</w:t>
      </w:r>
    </w:p>
    <w:p w:rsidR="00D0549E" w:rsidRDefault="00E50336" w:rsidP="00D0549E">
      <w:r>
        <w:pict>
          <v:rect id="_x0000_i3077" style="width:0;height:1.5pt" o:hralign="center" o:hrstd="t" o:hr="t" fillcolor="#a0a0a0" stroked="f"/>
        </w:pict>
      </w:r>
    </w:p>
    <w:p w:rsidR="00D0549E" w:rsidRDefault="00D0549E" w:rsidP="00D0549E">
      <w:pPr>
        <w:pStyle w:val="berschrift1"/>
      </w:pPr>
      <w:r>
        <w:t>3.3.44.197 Status des Übergangsabstandes</w:t>
      </w:r>
    </w:p>
    <w:p w:rsidR="00D0549E" w:rsidRDefault="00D0549E" w:rsidP="00D0549E">
      <w:pPr>
        <w:pStyle w:val="StandardWeb"/>
      </w:pPr>
      <w:r>
        <w:t>Der funktionale Übergangsabstand</w:t>
      </w:r>
    </w:p>
    <w:p w:rsidR="00D0549E" w:rsidRDefault="00D0549E" w:rsidP="00D0549E">
      <w:pPr>
        <w:pStyle w:val="StandardWeb"/>
      </w:pPr>
      <w:r>
        <w:t>[</w:t>
      </w:r>
      <w:r>
        <w:br/>
        <w:t>d_T:</w:t>
      </w:r>
      <w:r>
        <w:br/>
        <w:t>\Omega_F\times\Omega_F</w:t>
      </w:r>
      <w:r>
        <w:br/>
        <w:t>\rightarrow</w:t>
      </w:r>
      <w:r>
        <w:br/>
        <w:t>\mathbb R_{\geq0}</w:t>
      </w:r>
      <w:r>
        <w:br/>
        <w:t>\tag{3.10004}</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d_T:\Omega_F\times\Omega_F\rightarrow\mathbb R_{\geq0}</w:t>
      </w:r>
    </w:p>
    <w:p w:rsidR="00D0549E" w:rsidRDefault="00D0549E" w:rsidP="00D0549E">
      <w:pPr>
        <w:pStyle w:val="StandardWeb"/>
      </w:pPr>
      <w:r>
        <w:t>ist für geeignete Modellklassen eine definierte Bewertungsfunktion.</w:t>
      </w:r>
    </w:p>
    <w:p w:rsidR="00D0549E" w:rsidRDefault="00D0549E" w:rsidP="00D0549E">
      <w:pPr>
        <w:pStyle w:val="StandardWeb"/>
      </w:pPr>
      <w:r>
        <w:t>Da keine universelle Metrik gefordert wird, klassifiziere ich die allgemeine Größe als</w:t>
      </w:r>
    </w:p>
    <w:p w:rsidR="00D0549E" w:rsidRDefault="00D0549E" w:rsidP="00D0549E">
      <w:pPr>
        <w:pStyle w:val="berschrift1"/>
      </w:pPr>
      <w:r>
        <w:lastRenderedPageBreak/>
        <w:t>[</w:t>
      </w:r>
      <w:r>
        <w:br/>
        <w:t>\boxed{</w:t>
      </w:r>
      <w:r>
        <w:br/>
        <w:t>\operatorname{Stat}_{3.3.44}(d_T)</w:t>
      </w:r>
    </w:p>
    <w:p w:rsidR="00D0549E" w:rsidRDefault="00D0549E" w:rsidP="00D0549E">
      <w:pPr>
        <w:pStyle w:val="StandardWeb"/>
      </w:pPr>
      <w:r>
        <w:t>\mathrm{Op}.</w:t>
      </w:r>
      <w:r>
        <w:br/>
        <w:t>}</w:t>
      </w:r>
      <w:r>
        <w:br/>
        <w:t>\tag{3.10005}</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\boxed{\operatorname{Stat}_{3.3.44}(d_T)=\mathrm{Op}.}</w:t>
      </w:r>
    </w:p>
    <w:p w:rsidR="00D0549E" w:rsidRDefault="00E50336" w:rsidP="00D0549E">
      <w:r>
        <w:pict>
          <v:rect id="_x0000_i3078" style="width:0;height:1.5pt" o:hralign="center" o:hrstd="t" o:hr="t" fillcolor="#a0a0a0" stroked="f"/>
        </w:pict>
      </w:r>
    </w:p>
    <w:p w:rsidR="00D0549E" w:rsidRDefault="00D0549E" w:rsidP="00D0549E">
      <w:pPr>
        <w:pStyle w:val="berschrift1"/>
      </w:pPr>
      <w:r>
        <w:t>3.3.44.198 Status der Übergangskosten</w:t>
      </w:r>
    </w:p>
    <w:p w:rsidR="00D0549E" w:rsidRDefault="00D0549E" w:rsidP="00D0549E">
      <w:pPr>
        <w:pStyle w:val="StandardWeb"/>
      </w:pPr>
      <w:r>
        <w:t>Analog gilt für</w:t>
      </w:r>
    </w:p>
    <w:p w:rsidR="00D0549E" w:rsidRDefault="00D0549E" w:rsidP="00D0549E">
      <w:pPr>
        <w:pStyle w:val="StandardWeb"/>
      </w:pPr>
      <w:r>
        <w:t>[</w:t>
      </w:r>
      <w:r>
        <w:br/>
        <w:t>W_T:</w:t>
      </w:r>
      <w:r>
        <w:br/>
        <w:t>\mathcal T_F</w:t>
      </w:r>
      <w:r>
        <w:br/>
        <w:t>\rightarrow</w:t>
      </w:r>
      <w:r>
        <w:br/>
        <w:t>\mathbb R_{\geq0}</w:t>
      </w:r>
      <w:r>
        <w:br/>
        <w:t>\tag{3.10006}</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W_T:\mathcal T_F\rightarrow\mathbb R_{\geq0}</w:t>
      </w:r>
    </w:p>
    <w:p w:rsidR="00D0549E" w:rsidRDefault="00D0549E" w:rsidP="00D0549E">
      <w:pPr>
        <w:pStyle w:val="StandardWeb"/>
      </w:pPr>
      <w:r>
        <w:t>die Klassifikation</w:t>
      </w:r>
    </w:p>
    <w:p w:rsidR="00D0549E" w:rsidRDefault="00D0549E" w:rsidP="00D0549E">
      <w:pPr>
        <w:pStyle w:val="berschrift1"/>
      </w:pPr>
      <w:r>
        <w:t>[</w:t>
      </w:r>
      <w:r>
        <w:br/>
        <w:t>\boxed{</w:t>
      </w:r>
      <w:r>
        <w:br/>
        <w:t>\operatorname{Stat}_{3.3.44}(W_T)</w:t>
      </w:r>
    </w:p>
    <w:p w:rsidR="00D0549E" w:rsidRDefault="00D0549E" w:rsidP="00D0549E">
      <w:pPr>
        <w:pStyle w:val="StandardWeb"/>
      </w:pPr>
      <w:r>
        <w:t>\mathrm{Op}.</w:t>
      </w:r>
      <w:r>
        <w:br/>
        <w:t>}</w:t>
      </w:r>
      <w:r>
        <w:br/>
        <w:t>\tag{3.10007}</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\boxed{\operatorname{Stat}_{3.3.44}(W_T)=\mathrm{Op}.}</w:t>
      </w:r>
    </w:p>
    <w:p w:rsidR="00D0549E" w:rsidRDefault="00D0549E" w:rsidP="00D0549E">
      <w:pPr>
        <w:pStyle w:val="StandardWeb"/>
      </w:pPr>
      <w:r>
        <w:lastRenderedPageBreak/>
        <w:t>Die konkrete physikalische Bedeutung von (W_T) muss in einem jeweiligen Modell separat festgelegt werden.</w:t>
      </w:r>
    </w:p>
    <w:p w:rsidR="00D0549E" w:rsidRDefault="00E50336" w:rsidP="00D0549E">
      <w:r>
        <w:pict>
          <v:rect id="_x0000_i3079" style="width:0;height:1.5pt" o:hralign="center" o:hrstd="t" o:hr="t" fillcolor="#a0a0a0" stroked="f"/>
        </w:pict>
      </w:r>
    </w:p>
    <w:p w:rsidR="00D0549E" w:rsidRDefault="00D0549E" w:rsidP="00D0549E">
      <w:pPr>
        <w:pStyle w:val="berschrift1"/>
      </w:pPr>
      <w:r>
        <w:t>3.3.44.199 Status der additiven Pfadkosten</w:t>
      </w:r>
    </w:p>
    <w:p w:rsidR="00D0549E" w:rsidRDefault="00D0549E" w:rsidP="00D0549E">
      <w:pPr>
        <w:pStyle w:val="StandardWeb"/>
      </w:pPr>
      <w:r>
        <w:t>Die Beziehung</w:t>
      </w:r>
    </w:p>
    <w:p w:rsidR="00D0549E" w:rsidRDefault="00D0549E" w:rsidP="00D0549E">
      <w:pPr>
        <w:pStyle w:val="berschrift1"/>
      </w:pPr>
      <w:r>
        <w:t>[</w:t>
      </w:r>
      <w:r>
        <w:br/>
        <w:t>W_T(\Pi_F)</w:t>
      </w:r>
    </w:p>
    <w:p w:rsidR="00D0549E" w:rsidRDefault="00D0549E" w:rsidP="00D0549E">
      <w:pPr>
        <w:pStyle w:val="StandardWeb"/>
      </w:pPr>
      <w:r>
        <w:t>\sum_{k=1}^{n}</w:t>
      </w:r>
      <w:r>
        <w:br/>
        <w:t>W_T(z_{k-1},z_k)</w:t>
      </w:r>
      <w:r>
        <w:br/>
        <w:t>\tag{3.10008}</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W_T(\Pi_F)=\sum_{k=1}^{n}W_T(z_{k-1},z_k)</w:t>
      </w:r>
    </w:p>
    <w:p w:rsidR="00D0549E" w:rsidRDefault="00D0549E" w:rsidP="00D0549E">
      <w:pPr>
        <w:pStyle w:val="StandardWeb"/>
      </w:pPr>
      <w:r>
        <w:t>folgt nicht aus der bloßen Definition einer Übergangskostenfunktion.</w:t>
      </w:r>
    </w:p>
    <w:p w:rsidR="00D0549E" w:rsidRDefault="00D0549E" w:rsidP="00D0549E">
      <w:pPr>
        <w:pStyle w:val="StandardWeb"/>
      </w:pPr>
      <w:r>
        <w:t>Die Additivität ist daher eine zusätzliche Modellannahme:</w:t>
      </w:r>
    </w:p>
    <w:p w:rsidR="00D0549E" w:rsidRDefault="00D0549E" w:rsidP="00D0549E">
      <w:pPr>
        <w:pStyle w:val="berschrift1"/>
      </w:pPr>
      <w:r>
        <w:t>[</w:t>
      </w:r>
      <w:r>
        <w:br/>
        <w:t>\boxed{</w:t>
      </w:r>
      <w:r>
        <w:br/>
        <w:t>\operatorname{Stat}_{3.3.44}</w:t>
      </w:r>
      <w:r>
        <w:br/>
        <w:t>\left(</w:t>
      </w:r>
      <w:r>
        <w:br/>
        <w:t>W_T(\Pi_F)=\sum W_T</w:t>
      </w:r>
      <w:r>
        <w:br/>
        <w:t>\right)</w:t>
      </w:r>
    </w:p>
    <w:p w:rsidR="00D0549E" w:rsidRDefault="00D0549E" w:rsidP="00D0549E">
      <w:pPr>
        <w:pStyle w:val="StandardWeb"/>
      </w:pPr>
      <w:r>
        <w:t>\mathrm{Mod}.</w:t>
      </w:r>
      <w:r>
        <w:br/>
        <w:t>}</w:t>
      </w:r>
      <w:r>
        <w:br/>
        <w:t>\tag{3.10009}</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\boxed{\operatorname{Stat}_{3.3.44}\left(W_T(\Pi_F)=\sum W_T\right)=\mathrm{Mod}.}</w:t>
      </w:r>
    </w:p>
    <w:p w:rsidR="00D0549E" w:rsidRDefault="00E50336" w:rsidP="00D0549E">
      <w:r>
        <w:pict>
          <v:rect id="_x0000_i3080" style="width:0;height:1.5pt" o:hralign="center" o:hrstd="t" o:hr="t" fillcolor="#a0a0a0" stroked="f"/>
        </w:pict>
      </w:r>
    </w:p>
    <w:p w:rsidR="00D0549E" w:rsidRDefault="00D0549E" w:rsidP="00D0549E">
      <w:pPr>
        <w:pStyle w:val="berschrift1"/>
      </w:pPr>
      <w:r>
        <w:t>3.3.44.200 Status des minimalen Übergangspfades</w:t>
      </w:r>
    </w:p>
    <w:p w:rsidR="00D0549E" w:rsidRDefault="00D0549E" w:rsidP="00D0549E">
      <w:pPr>
        <w:pStyle w:val="StandardWeb"/>
      </w:pPr>
      <w:r>
        <w:lastRenderedPageBreak/>
        <w:t>Die Konstruktion</w:t>
      </w:r>
    </w:p>
    <w:p w:rsidR="00D0549E" w:rsidRDefault="00D0549E" w:rsidP="00D0549E">
      <w:pPr>
        <w:pStyle w:val="berschrift1"/>
      </w:pPr>
      <w:r>
        <w:t>[</w:t>
      </w:r>
      <w:r>
        <w:br/>
        <w:t>\Pi_F^\ast</w:t>
      </w:r>
    </w:p>
    <w:p w:rsidR="00D0549E" w:rsidRDefault="00D0549E" w:rsidP="00D0549E">
      <w:pPr>
        <w:pStyle w:val="StandardWeb"/>
      </w:pPr>
      <w:r>
        <w:t>\operatorname*{arg,min}_{\Pi_F}</w:t>
      </w:r>
      <w:r>
        <w:br/>
        <w:t>W_T(\Pi_F)</w:t>
      </w:r>
      <w:r>
        <w:br/>
        <w:t>\tag{3.10010}</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\Pi_F^\ast=\operatorname*{arg\,min}_{\Pi_F}W_T(\Pi_F)</w:t>
      </w:r>
    </w:p>
    <w:p w:rsidR="00D0549E" w:rsidRDefault="00D0549E" w:rsidP="00D0549E">
      <w:pPr>
        <w:pStyle w:val="StandardWeb"/>
      </w:pPr>
      <w:r>
        <w:t>ist aus einer bereits gewählten Kostenfunktion und einem Optimierungskriterium abgeleitet.</w:t>
      </w:r>
    </w:p>
    <w:p w:rsidR="00D0549E" w:rsidRDefault="00D0549E" w:rsidP="00D0549E">
      <w:pPr>
        <w:pStyle w:val="StandardWeb"/>
      </w:pPr>
      <w:r>
        <w:t>Daher gilt</w:t>
      </w:r>
    </w:p>
    <w:p w:rsidR="00D0549E" w:rsidRDefault="00D0549E" w:rsidP="00D0549E">
      <w:pPr>
        <w:pStyle w:val="berschrift1"/>
      </w:pPr>
      <w:r>
        <w:t>[</w:t>
      </w:r>
      <w:r>
        <w:br/>
        <w:t>\boxed{</w:t>
      </w:r>
      <w:r>
        <w:br/>
        <w:t>\operatorname{Stat}_{3.3.44}(\Pi_F^\ast)</w:t>
      </w:r>
    </w:p>
    <w:p w:rsidR="00D0549E" w:rsidRDefault="00D0549E" w:rsidP="00D0549E">
      <w:pPr>
        <w:pStyle w:val="StandardWeb"/>
      </w:pPr>
      <w:r>
        <w:t>\mathrm{Der}.</w:t>
      </w:r>
      <w:r>
        <w:br/>
        <w:t>}</w:t>
      </w:r>
      <w:r>
        <w:br/>
        <w:t>\tag{3.10011}</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\boxed{\operatorname{Stat}_{3.3.44}(\Pi_F^\ast)=\mathrm{Der}.}</w:t>
      </w:r>
    </w:p>
    <w:p w:rsidR="00D0549E" w:rsidRDefault="00D0549E" w:rsidP="00D0549E">
      <w:pPr>
        <w:pStyle w:val="StandardWeb"/>
      </w:pPr>
      <w:r>
        <w:t>Das zugrunde liegende Prinzip, dass ein realisiertes System gerade diesen Pfad wählen müsse, wäre dagegen eine Modellannahme.</w:t>
      </w:r>
    </w:p>
    <w:p w:rsidR="00D0549E" w:rsidRDefault="00E50336" w:rsidP="00D0549E">
      <w:r>
        <w:pict>
          <v:rect id="_x0000_i3081" style="width:0;height:1.5pt" o:hralign="center" o:hrstd="t" o:hr="t" fillcolor="#a0a0a0" stroked="f"/>
        </w:pict>
      </w:r>
    </w:p>
    <w:p w:rsidR="00D0549E" w:rsidRDefault="00D0549E" w:rsidP="00D0549E">
      <w:pPr>
        <w:pStyle w:val="berschrift1"/>
      </w:pPr>
      <w:r>
        <w:t>3.3.44.201 Status der Kohärenzänderung</w:t>
      </w:r>
    </w:p>
    <w:p w:rsidR="00D0549E" w:rsidRDefault="00D0549E" w:rsidP="00D0549E">
      <w:pPr>
        <w:pStyle w:val="StandardWeb"/>
      </w:pPr>
      <w:r>
        <w:t>Die Größe</w:t>
      </w:r>
    </w:p>
    <w:p w:rsidR="00D0549E" w:rsidRDefault="00D0549E" w:rsidP="00D0549E">
      <w:pPr>
        <w:pStyle w:val="berschrift1"/>
      </w:pPr>
      <w:r>
        <w:t>[</w:t>
      </w:r>
      <w:r>
        <w:br/>
        <w:t>\Delta_T C_F(z_i,z_j)</w:t>
      </w:r>
    </w:p>
    <w:p w:rsidR="00D0549E" w:rsidRDefault="00D0549E" w:rsidP="00D0549E">
      <w:pPr>
        <w:pStyle w:val="StandardWeb"/>
      </w:pPr>
      <w:r>
        <w:t>C_F(z_j)-C_F(z_i)</w:t>
      </w:r>
      <w:r>
        <w:br/>
        <w:t>\tag{3.10012}</w:t>
      </w:r>
      <w:r>
        <w:br/>
        <w:t>]</w:t>
      </w:r>
    </w:p>
    <w:p w:rsidR="00D0549E" w:rsidRDefault="00D0549E" w:rsidP="00D0549E">
      <w:pPr>
        <w:pStyle w:val="StandardWeb"/>
      </w:pPr>
      <w:r>
        <w:rPr>
          <w:rStyle w:val="Fett"/>
        </w:rPr>
        <w:lastRenderedPageBreak/>
        <w:t>Word-LaTeX</w:t>
      </w:r>
    </w:p>
    <w:p w:rsidR="00D0549E" w:rsidRDefault="00D0549E" w:rsidP="00D0549E">
      <w:pPr>
        <w:pStyle w:val="HTMLVorformatiert"/>
        <w:rPr>
          <w:rStyle w:val="HTMLCode"/>
        </w:rPr>
      </w:pPr>
      <w:r>
        <w:rPr>
          <w:rStyle w:val="HTMLCode"/>
        </w:rPr>
        <w:t>\Delta_T C_F(z_i,z_j)=C_F(z_j)-C_F(z_i)</w:t>
      </w:r>
    </w:p>
    <w:p w:rsidR="00D0549E" w:rsidRDefault="00D0549E" w:rsidP="00D0549E">
      <w:pPr>
        <w:pStyle w:val="StandardWeb"/>
      </w:pPr>
      <w:r>
        <w:t>wird aus zwei Kohärenzwerten durch Differenzbildung gewonnen.</w:t>
      </w:r>
    </w:p>
    <w:p w:rsidR="00D0549E" w:rsidRDefault="00D0549E" w:rsidP="00D0549E">
      <w:pPr>
        <w:pStyle w:val="StandardWeb"/>
      </w:pPr>
      <w:r>
        <w:t>Damit gilt</w:t>
      </w:r>
    </w:p>
    <w:p w:rsidR="00D0549E" w:rsidRDefault="00D0549E" w:rsidP="00D0549E">
      <w:pPr>
        <w:pStyle w:val="berschrift1"/>
      </w:pPr>
      <w:r>
        <w:t>[</w:t>
      </w:r>
      <w:r>
        <w:br/>
        <w:t>\boxed{</w:t>
      </w:r>
      <w:r>
        <w:br/>
        <w:t>\operatorname{Stat}_{3.3.44}</w:t>
      </w:r>
      <w:r>
        <w:br/>
        <w:t>\left(</w:t>
      </w:r>
      <w:r>
        <w:br/>
        <w:t>\Delta_T C_F</w:t>
      </w:r>
      <w:r>
        <w:br/>
        <w:t>\right)</w:t>
      </w:r>
    </w:p>
    <w:p w:rsidR="00D0549E" w:rsidRDefault="00D0549E" w:rsidP="00D0549E">
      <w:pPr>
        <w:pStyle w:val="StandardWeb"/>
      </w:pPr>
      <w:r>
        <w:t>\mathrm{Der}.</w:t>
      </w:r>
      <w:r>
        <w:br/>
        <w:t>}</w:t>
      </w:r>
      <w:r>
        <w:br/>
        <w:t>\tag{3.10013}</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\boxed{\operatorname{Stat}_{3.3.44}\left(\Delta_T C_F\right)=\mathrm{Der}.}</w:t>
      </w:r>
    </w:p>
    <w:p w:rsidR="00D0549E" w:rsidRDefault="00E50336" w:rsidP="00D0549E">
      <w:r>
        <w:pict>
          <v:rect id="_x0000_i3082" style="width:0;height:1.5pt" o:hralign="center" o:hrstd="t" o:hr="t" fillcolor="#a0a0a0" stroked="f"/>
        </w:pict>
      </w:r>
    </w:p>
    <w:p w:rsidR="00D0549E" w:rsidRDefault="00D0549E" w:rsidP="00D0549E">
      <w:pPr>
        <w:pStyle w:val="berschrift1"/>
      </w:pPr>
      <w:r>
        <w:t>3.3.44.202 Status von Kohärenzgewinn und Kohärenzverlust</w:t>
      </w:r>
    </w:p>
    <w:p w:rsidR="00D0549E" w:rsidRDefault="00D0549E" w:rsidP="00D0549E">
      <w:pPr>
        <w:pStyle w:val="StandardWeb"/>
      </w:pPr>
      <w:r>
        <w:t>Aus (\Delta_T C_F) wurden die beiden nichtnegativen Größen</w:t>
      </w:r>
    </w:p>
    <w:p w:rsidR="00D0549E" w:rsidRDefault="00D0549E" w:rsidP="00D0549E">
      <w:pPr>
        <w:pStyle w:val="StandardWeb"/>
      </w:pPr>
      <w:r>
        <w:t>[</w:t>
      </w:r>
      <w:r>
        <w:br/>
        <w:t>G_C</w:t>
      </w:r>
      <w:r>
        <w:br/>
        <w:t>\tag{3.10014}</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G_C</w:t>
      </w:r>
    </w:p>
    <w:p w:rsidR="00D0549E" w:rsidRDefault="00D0549E" w:rsidP="00D0549E">
      <w:pPr>
        <w:pStyle w:val="StandardWeb"/>
      </w:pPr>
      <w:r>
        <w:t>und</w:t>
      </w:r>
    </w:p>
    <w:p w:rsidR="00D0549E" w:rsidRDefault="00D0549E" w:rsidP="00D0549E">
      <w:pPr>
        <w:pStyle w:val="StandardWeb"/>
      </w:pPr>
      <w:r>
        <w:t>[</w:t>
      </w:r>
      <w:r>
        <w:br/>
        <w:t>L_C</w:t>
      </w:r>
      <w:r>
        <w:br/>
        <w:t>\tag{3.10015}</w:t>
      </w:r>
      <w:r>
        <w:br/>
        <w:t>]</w:t>
      </w:r>
    </w:p>
    <w:p w:rsidR="00D0549E" w:rsidRDefault="00D0549E" w:rsidP="00D0549E">
      <w:pPr>
        <w:pStyle w:val="StandardWeb"/>
      </w:pPr>
      <w:r>
        <w:rPr>
          <w:rStyle w:val="Fett"/>
        </w:rPr>
        <w:lastRenderedPageBreak/>
        <w:t>Word-LaTeX</w:t>
      </w:r>
    </w:p>
    <w:p w:rsidR="00D0549E" w:rsidRDefault="00D0549E" w:rsidP="00D0549E">
      <w:pPr>
        <w:pStyle w:val="HTMLVorformatiert"/>
        <w:rPr>
          <w:rStyle w:val="HTMLCode"/>
        </w:rPr>
      </w:pPr>
      <w:r>
        <w:rPr>
          <w:rStyle w:val="HTMLCode"/>
        </w:rPr>
        <w:t>L_C</w:t>
      </w:r>
    </w:p>
    <w:p w:rsidR="00D0549E" w:rsidRDefault="00D0549E" w:rsidP="00D0549E">
      <w:pPr>
        <w:pStyle w:val="StandardWeb"/>
      </w:pPr>
      <w:r>
        <w:t>konstruiert.</w:t>
      </w:r>
    </w:p>
    <w:p w:rsidR="00D0549E" w:rsidRDefault="00D0549E" w:rsidP="00D0549E">
      <w:pPr>
        <w:pStyle w:val="StandardWeb"/>
      </w:pPr>
      <w:r>
        <w:t>Daher gilt</w:t>
      </w:r>
    </w:p>
    <w:p w:rsidR="00D0549E" w:rsidRDefault="00D0549E" w:rsidP="00D0549E">
      <w:pPr>
        <w:pStyle w:val="berschrift1"/>
      </w:pPr>
      <w:r>
        <w:t>[</w:t>
      </w:r>
      <w:r>
        <w:br/>
        <w:t>\boxed{</w:t>
      </w:r>
      <w:r>
        <w:br/>
        <w:t>\operatorname{Stat}_{3.3.44}(G_C)</w:t>
      </w:r>
    </w:p>
    <w:p w:rsidR="00D0549E" w:rsidRDefault="00D0549E" w:rsidP="00D0549E">
      <w:pPr>
        <w:pStyle w:val="berschrift1"/>
      </w:pPr>
      <w:r>
        <w:t>\operatorname{Stat}_{3.3.44}(L_C)</w:t>
      </w:r>
    </w:p>
    <w:p w:rsidR="00D0549E" w:rsidRDefault="00D0549E" w:rsidP="00D0549E">
      <w:pPr>
        <w:pStyle w:val="StandardWeb"/>
      </w:pPr>
      <w:r>
        <w:t>\mathrm{Der}.</w:t>
      </w:r>
      <w:r>
        <w:br/>
        <w:t>}</w:t>
      </w:r>
      <w:r>
        <w:br/>
        <w:t>\tag{3.10016}</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\boxed{\operatorname{Stat}_{3.3.44}(G_C)=\operatorname{Stat}_{3.3.44}(L_C)=\mathrm{Der}.}</w:t>
      </w:r>
    </w:p>
    <w:p w:rsidR="00D0549E" w:rsidRDefault="00E50336" w:rsidP="00D0549E">
      <w:r>
        <w:pict>
          <v:rect id="_x0000_i3083" style="width:0;height:1.5pt" o:hralign="center" o:hrstd="t" o:hr="t" fillcolor="#a0a0a0" stroked="f"/>
        </w:pict>
      </w:r>
    </w:p>
    <w:p w:rsidR="00D0549E" w:rsidRDefault="00D0549E" w:rsidP="00D0549E">
      <w:pPr>
        <w:pStyle w:val="berschrift1"/>
      </w:pPr>
      <w:r>
        <w:t>3.3.44.203 Status der Kohärenzübergangseffizienz</w:t>
      </w:r>
    </w:p>
    <w:p w:rsidR="00D0549E" w:rsidRDefault="00D0549E" w:rsidP="00D0549E">
      <w:pPr>
        <w:pStyle w:val="StandardWeb"/>
      </w:pPr>
      <w:r>
        <w:t>Für</w:t>
      </w:r>
    </w:p>
    <w:p w:rsidR="00D0549E" w:rsidRDefault="00D0549E" w:rsidP="00D0549E">
      <w:pPr>
        <w:pStyle w:val="berschrift1"/>
      </w:pPr>
      <w:r>
        <w:t>[</w:t>
      </w:r>
      <w:r>
        <w:br/>
        <w:t>\eta_C</w:t>
      </w:r>
    </w:p>
    <w:p w:rsidR="00D0549E" w:rsidRDefault="00D0549E" w:rsidP="00D0549E">
      <w:pPr>
        <w:pStyle w:val="StandardWeb"/>
      </w:pPr>
      <w:r>
        <w:t>\frac{G_C}{W_T}</w:t>
      </w:r>
      <w:r>
        <w:br/>
        <w:t>\tag{3.10017}</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\eta_C=\frac{G_C}{W_T}</w:t>
      </w:r>
    </w:p>
    <w:p w:rsidR="00D0549E" w:rsidRDefault="00D0549E" w:rsidP="00D0549E">
      <w:pPr>
        <w:pStyle w:val="StandardWeb"/>
      </w:pPr>
      <w:r>
        <w:t>liegt eine aus zwei bereits definierten beziehungsweise operationalisierten Größen gebildete Bewertungskennzahl vor.</w:t>
      </w:r>
    </w:p>
    <w:p w:rsidR="00D0549E" w:rsidRDefault="00D0549E" w:rsidP="00D0549E">
      <w:pPr>
        <w:pStyle w:val="StandardWeb"/>
      </w:pPr>
      <w:r>
        <w:t>Ich klassifiziere sie deshalb als Operationalisierung:</w:t>
      </w:r>
    </w:p>
    <w:p w:rsidR="00D0549E" w:rsidRDefault="00D0549E" w:rsidP="00D0549E">
      <w:pPr>
        <w:pStyle w:val="berschrift1"/>
      </w:pPr>
      <w:r>
        <w:lastRenderedPageBreak/>
        <w:t>[</w:t>
      </w:r>
      <w:r>
        <w:br/>
        <w:t>\boxed{</w:t>
      </w:r>
      <w:r>
        <w:br/>
        <w:t>\operatorname{Stat}_{3.3.44}(\eta_C)</w:t>
      </w:r>
    </w:p>
    <w:p w:rsidR="00D0549E" w:rsidRDefault="00D0549E" w:rsidP="00D0549E">
      <w:pPr>
        <w:pStyle w:val="StandardWeb"/>
      </w:pPr>
      <w:r>
        <w:t>\mathrm{Op}.</w:t>
      </w:r>
      <w:r>
        <w:br/>
        <w:t>}</w:t>
      </w:r>
      <w:r>
        <w:br/>
        <w:t>\tag{3.10018}</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\boxed{\operatorname{Stat}_{3.3.44}(\eta_C)=\mathrm{Op}.}</w:t>
      </w:r>
    </w:p>
    <w:p w:rsidR="00D0549E" w:rsidRDefault="00E50336" w:rsidP="00D0549E">
      <w:r>
        <w:pict>
          <v:rect id="_x0000_i3084" style="width:0;height:1.5pt" o:hralign="center" o:hrstd="t" o:hr="t" fillcolor="#a0a0a0" stroked="f"/>
        </w:pict>
      </w:r>
    </w:p>
    <w:p w:rsidR="00D0549E" w:rsidRDefault="00D0549E" w:rsidP="00D0549E">
      <w:pPr>
        <w:pStyle w:val="berschrift1"/>
      </w:pPr>
      <w:r>
        <w:t>3.3.44.204 Status des Kohärenzmonotonieprinzips</w:t>
      </w:r>
    </w:p>
    <w:p w:rsidR="00D0549E" w:rsidRDefault="00D0549E" w:rsidP="00D0549E">
      <w:pPr>
        <w:pStyle w:val="StandardWeb"/>
      </w:pPr>
      <w:r>
        <w:t>Für</w:t>
      </w:r>
    </w:p>
    <w:p w:rsidR="00D0549E" w:rsidRDefault="00D0549E" w:rsidP="00D0549E">
      <w:pPr>
        <w:pStyle w:val="StandardWeb"/>
      </w:pPr>
      <w:r>
        <w:t>[</w:t>
      </w:r>
      <w:r>
        <w:br/>
        <w:t>M_C^{\uparrow}</w:t>
      </w:r>
      <w:r>
        <w:br/>
        <w:t>\tag{3.10019}</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M_C^{\uparrow}</w:t>
      </w:r>
    </w:p>
    <w:p w:rsidR="00D0549E" w:rsidRDefault="00D0549E" w:rsidP="00D0549E">
      <w:pPr>
        <w:pStyle w:val="StandardWeb"/>
      </w:pPr>
      <w:r>
        <w:t>wurde bereits gezeigt, dass es nicht aus (A_C) und (M_T) folgt.</w:t>
      </w:r>
    </w:p>
    <w:p w:rsidR="00D0549E" w:rsidRDefault="00D0549E" w:rsidP="00D0549E">
      <w:pPr>
        <w:pStyle w:val="StandardWeb"/>
      </w:pPr>
      <w:r>
        <w:t>Damit gilt endgültig</w:t>
      </w:r>
    </w:p>
    <w:p w:rsidR="00D0549E" w:rsidRDefault="00D0549E" w:rsidP="00D0549E">
      <w:pPr>
        <w:pStyle w:val="berschrift1"/>
      </w:pPr>
      <w:r>
        <w:t>[</w:t>
      </w:r>
      <w:r>
        <w:br/>
        <w:t>\boxed{</w:t>
      </w:r>
      <w:r>
        <w:br/>
        <w:t>\operatorname{Stat}_{3.3.44}</w:t>
      </w:r>
      <w:r>
        <w:br/>
        <w:t>\left(</w:t>
      </w:r>
      <w:r>
        <w:br/>
        <w:t>M_C^{\uparrow}</w:t>
      </w:r>
      <w:r>
        <w:br/>
        <w:t>\right)</w:t>
      </w:r>
    </w:p>
    <w:p w:rsidR="00D0549E" w:rsidRDefault="00D0549E" w:rsidP="00D0549E">
      <w:pPr>
        <w:pStyle w:val="StandardWeb"/>
      </w:pPr>
      <w:r>
        <w:t>\mathrm{Mod}.</w:t>
      </w:r>
      <w:r>
        <w:br/>
        <w:t>}</w:t>
      </w:r>
      <w:r>
        <w:br/>
        <w:t>\tag{3.10020}</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lastRenderedPageBreak/>
        <w:t>\boxed{\operatorname{Stat}_{3.3.44}\left(M_C^{\uparrow}\right)=\mathrm{Mod}.}</w:t>
      </w:r>
    </w:p>
    <w:p w:rsidR="00D0549E" w:rsidRDefault="00E50336" w:rsidP="00D0549E">
      <w:r>
        <w:pict>
          <v:rect id="_x0000_i3085" style="width:0;height:1.5pt" o:hralign="center" o:hrstd="t" o:hr="t" fillcolor="#a0a0a0" stroked="f"/>
        </w:pict>
      </w:r>
    </w:p>
    <w:p w:rsidR="00D0549E" w:rsidRDefault="00D0549E" w:rsidP="00D0549E">
      <w:pPr>
        <w:pStyle w:val="berschrift1"/>
      </w:pPr>
      <w:r>
        <w:t>3.3.44.205 Status streng kohärenzsteigernder Modelle</w:t>
      </w:r>
    </w:p>
    <w:p w:rsidR="00D0549E" w:rsidRDefault="00D0549E" w:rsidP="00D0549E">
      <w:pPr>
        <w:pStyle w:val="StandardWeb"/>
      </w:pPr>
      <w:r>
        <w:t>Die strengere Forderung</w:t>
      </w:r>
    </w:p>
    <w:p w:rsidR="00D0549E" w:rsidRDefault="00D0549E" w:rsidP="00D0549E">
      <w:pPr>
        <w:pStyle w:val="StandardWeb"/>
      </w:pPr>
      <w:r>
        <w:t>[</w:t>
      </w:r>
      <w:r>
        <w:br/>
        <w:t>\Delta_T C_F&gt;0</w:t>
      </w:r>
      <w:r>
        <w:br/>
        <w:t>\tag{3.10021}</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\Delta_T C_F&gt;0</w:t>
      </w:r>
    </w:p>
    <w:p w:rsidR="00D0549E" w:rsidRDefault="00D0549E" w:rsidP="00D0549E">
      <w:pPr>
        <w:pStyle w:val="StandardWeb"/>
      </w:pPr>
      <w:r>
        <w:t>ist ebenfalls eine Modellannahme:</w:t>
      </w:r>
    </w:p>
    <w:p w:rsidR="00D0549E" w:rsidRDefault="00D0549E" w:rsidP="00D0549E">
      <w:pPr>
        <w:pStyle w:val="berschrift1"/>
      </w:pPr>
      <w:r>
        <w:t>[</w:t>
      </w:r>
      <w:r>
        <w:br/>
        <w:t>\boxed{</w:t>
      </w:r>
      <w:r>
        <w:br/>
        <w:t>\operatorname{Stat}_{3.3.44}</w:t>
      </w:r>
      <w:r>
        <w:br/>
        <w:t>\left(</w:t>
      </w:r>
      <w:r>
        <w:br/>
        <w:t>M_C^{\uparrow\uparrow}</w:t>
      </w:r>
      <w:r>
        <w:br/>
        <w:t>\right)</w:t>
      </w:r>
    </w:p>
    <w:p w:rsidR="00D0549E" w:rsidRDefault="00D0549E" w:rsidP="00D0549E">
      <w:pPr>
        <w:pStyle w:val="StandardWeb"/>
      </w:pPr>
      <w:r>
        <w:t>\mathrm{Mod}.</w:t>
      </w:r>
      <w:r>
        <w:br/>
        <w:t>}</w:t>
      </w:r>
      <w:r>
        <w:br/>
        <w:t>\tag{3.10022}</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\boxed{\operatorname{Stat}_{3.3.44}\left(M_C^{\uparrow\uparrow}\right)=\mathrm{Mod}.}</w:t>
      </w:r>
    </w:p>
    <w:p w:rsidR="00D0549E" w:rsidRDefault="00E50336" w:rsidP="00D0549E">
      <w:r>
        <w:pict>
          <v:rect id="_x0000_i3086" style="width:0;height:1.5pt" o:hralign="center" o:hrstd="t" o:hr="t" fillcolor="#a0a0a0" stroked="f"/>
        </w:pict>
      </w:r>
    </w:p>
    <w:p w:rsidR="00D0549E" w:rsidRDefault="00D0549E" w:rsidP="00D0549E">
      <w:pPr>
        <w:pStyle w:val="berschrift1"/>
      </w:pPr>
      <w:r>
        <w:t>3.3.44.206 Status des Optimierungsprinzips</w:t>
      </w:r>
    </w:p>
    <w:p w:rsidR="00D0549E" w:rsidRDefault="00D0549E" w:rsidP="00D0549E">
      <w:pPr>
        <w:pStyle w:val="StandardWeb"/>
      </w:pPr>
      <w:r>
        <w:t>Auch</w:t>
      </w:r>
    </w:p>
    <w:p w:rsidR="00D0549E" w:rsidRDefault="00D0549E" w:rsidP="00D0549E">
      <w:pPr>
        <w:pStyle w:val="StandardWeb"/>
      </w:pPr>
      <w:r>
        <w:t>[</w:t>
      </w:r>
      <w:r>
        <w:br/>
        <w:t>M_C^{\mathrm{opt}}</w:t>
      </w:r>
      <w:r>
        <w:br/>
        <w:t>\tag{3.10023}</w:t>
      </w:r>
      <w:r>
        <w:br/>
        <w:t>]</w:t>
      </w:r>
    </w:p>
    <w:p w:rsidR="00D0549E" w:rsidRDefault="00D0549E" w:rsidP="00D0549E">
      <w:pPr>
        <w:pStyle w:val="StandardWeb"/>
      </w:pPr>
      <w:r>
        <w:rPr>
          <w:rStyle w:val="Fett"/>
        </w:rPr>
        <w:lastRenderedPageBreak/>
        <w:t>Word-LaTeX</w:t>
      </w:r>
    </w:p>
    <w:p w:rsidR="00D0549E" w:rsidRDefault="00D0549E" w:rsidP="00D0549E">
      <w:pPr>
        <w:pStyle w:val="HTMLVorformatiert"/>
        <w:rPr>
          <w:rStyle w:val="HTMLCode"/>
        </w:rPr>
      </w:pPr>
      <w:r>
        <w:rPr>
          <w:rStyle w:val="HTMLCode"/>
        </w:rPr>
        <w:t>M_C^{\mathrm{opt}}</w:t>
      </w:r>
    </w:p>
    <w:p w:rsidR="00D0549E" w:rsidRDefault="00D0549E" w:rsidP="00D0549E">
      <w:pPr>
        <w:pStyle w:val="StandardWeb"/>
      </w:pPr>
      <w:r>
        <w:t>bleibt Modellannahme.</w:t>
      </w:r>
    </w:p>
    <w:p w:rsidR="00D0549E" w:rsidRDefault="00D0549E" w:rsidP="00D0549E">
      <w:pPr>
        <w:pStyle w:val="StandardWeb"/>
      </w:pPr>
      <w:r>
        <w:t>Es gilt</w:t>
      </w:r>
    </w:p>
    <w:p w:rsidR="00D0549E" w:rsidRDefault="00D0549E" w:rsidP="00D0549E">
      <w:pPr>
        <w:pStyle w:val="berschrift1"/>
      </w:pPr>
      <w:r>
        <w:t>[</w:t>
      </w:r>
      <w:r>
        <w:br/>
        <w:t>\boxed{</w:t>
      </w:r>
      <w:r>
        <w:br/>
        <w:t>\operatorname{Stat}_{3.3.44}</w:t>
      </w:r>
      <w:r>
        <w:br/>
        <w:t>\left(</w:t>
      </w:r>
      <w:r>
        <w:br/>
        <w:t>M_C^{\mathrm{opt}}</w:t>
      </w:r>
      <w:r>
        <w:br/>
        <w:t>\right)</w:t>
      </w:r>
    </w:p>
    <w:p w:rsidR="00D0549E" w:rsidRDefault="00D0549E" w:rsidP="00D0549E">
      <w:pPr>
        <w:pStyle w:val="StandardWeb"/>
      </w:pPr>
      <w:r>
        <w:t>\mathrm{Mod}.</w:t>
      </w:r>
      <w:r>
        <w:br/>
        <w:t>}</w:t>
      </w:r>
      <w:r>
        <w:br/>
        <w:t>\tag{3.10024}</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\boxed{\operatorname{Stat}_{3.3.44}\left(M_C^{\mathrm{opt}}\right)=\mathrm{Mod}.}</w:t>
      </w:r>
    </w:p>
    <w:p w:rsidR="00D0549E" w:rsidRDefault="00E50336" w:rsidP="00D0549E">
      <w:r>
        <w:pict>
          <v:rect id="_x0000_i3087" style="width:0;height:1.5pt" o:hralign="center" o:hrstd="t" o:hr="t" fillcolor="#a0a0a0" stroked="f"/>
        </w:pict>
      </w:r>
    </w:p>
    <w:p w:rsidR="00D0549E" w:rsidRDefault="00D0549E" w:rsidP="00D0549E">
      <w:pPr>
        <w:pStyle w:val="berschrift1"/>
      </w:pPr>
      <w:r>
        <w:t>3.3.44.207 Status der kumulativen Pfadgrößen</w:t>
      </w:r>
    </w:p>
    <w:p w:rsidR="00D0549E" w:rsidRDefault="00D0549E" w:rsidP="00D0549E">
      <w:pPr>
        <w:pStyle w:val="StandardWeb"/>
      </w:pPr>
      <w:r>
        <w:t>Die Größen</w:t>
      </w:r>
    </w:p>
    <w:p w:rsidR="00D0549E" w:rsidRDefault="00D0549E" w:rsidP="00D0549E">
      <w:pPr>
        <w:pStyle w:val="StandardWeb"/>
      </w:pPr>
      <w:r>
        <w:t>[</w:t>
      </w:r>
      <w:r>
        <w:br/>
        <w:t>G_C(\Pi_F),</w:t>
      </w:r>
      <w:r>
        <w:br/>
        <w:t>\qquad</w:t>
      </w:r>
      <w:r>
        <w:br/>
        <w:t>L_C(\Pi_F)</w:t>
      </w:r>
      <w:r>
        <w:br/>
        <w:t>\tag{3.10025}</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G_C(\Pi_F),\qquad L_C(\Pi_F)</w:t>
      </w:r>
    </w:p>
    <w:p w:rsidR="00D0549E" w:rsidRDefault="00D0549E" w:rsidP="00D0549E">
      <w:pPr>
        <w:pStyle w:val="StandardWeb"/>
      </w:pPr>
      <w:r>
        <w:t>werden aus den Einzelübergängen eines gegebenen Pfades summiert.</w:t>
      </w:r>
    </w:p>
    <w:p w:rsidR="00D0549E" w:rsidRDefault="00D0549E" w:rsidP="00D0549E">
      <w:pPr>
        <w:pStyle w:val="StandardWeb"/>
      </w:pPr>
      <w:r>
        <w:t>Damit gilt</w:t>
      </w:r>
    </w:p>
    <w:p w:rsidR="00D0549E" w:rsidRDefault="00D0549E" w:rsidP="00D0549E">
      <w:pPr>
        <w:pStyle w:val="berschrift1"/>
      </w:pPr>
      <w:r>
        <w:lastRenderedPageBreak/>
        <w:t>[</w:t>
      </w:r>
      <w:r>
        <w:br/>
        <w:t>\boxed{</w:t>
      </w:r>
      <w:r>
        <w:br/>
        <w:t>\operatorname{Stat}_{3.3.44}</w:t>
      </w:r>
      <w:r>
        <w:br/>
        <w:t>\left(</w:t>
      </w:r>
      <w:r>
        <w:br/>
        <w:t>G_C(\Pi_F)</w:t>
      </w:r>
      <w:r>
        <w:br/>
        <w:t>\right)</w:t>
      </w:r>
    </w:p>
    <w:p w:rsidR="00D0549E" w:rsidRDefault="00D0549E" w:rsidP="00D0549E">
      <w:pPr>
        <w:pStyle w:val="berschrift1"/>
      </w:pPr>
      <w:r>
        <w:t>\operatorname{Stat}_{3.3.44}</w:t>
      </w:r>
      <w:r>
        <w:br/>
        <w:t>\left(</w:t>
      </w:r>
      <w:r>
        <w:br/>
        <w:t>L_C(\Pi_F)</w:t>
      </w:r>
      <w:r>
        <w:br/>
        <w:t>\right)</w:t>
      </w:r>
    </w:p>
    <w:p w:rsidR="00D0549E" w:rsidRDefault="00D0549E" w:rsidP="00D0549E">
      <w:pPr>
        <w:pStyle w:val="StandardWeb"/>
      </w:pPr>
      <w:r>
        <w:t>\mathrm{Der}.</w:t>
      </w:r>
      <w:r>
        <w:br/>
        <w:t>}</w:t>
      </w:r>
      <w:r>
        <w:br/>
        <w:t>\tag{3.10026}</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\boxed{\operatorname{Stat}_{3.3.44}\left(G_C(\Pi_F)\right)=\operatorname{Stat}_{3.3.44}\left(L_C(\Pi_F)\right)=\mathrm{Der}.}</w:t>
      </w:r>
    </w:p>
    <w:p w:rsidR="00D0549E" w:rsidRDefault="00E50336" w:rsidP="00D0549E">
      <w:r>
        <w:pict>
          <v:rect id="_x0000_i3088" style="width:0;height:1.5pt" o:hralign="center" o:hrstd="t" o:hr="t" fillcolor="#a0a0a0" stroked="f"/>
        </w:pict>
      </w:r>
    </w:p>
    <w:p w:rsidR="00D0549E" w:rsidRDefault="00D0549E" w:rsidP="00D0549E">
      <w:pPr>
        <w:pStyle w:val="berschrift1"/>
      </w:pPr>
      <w:r>
        <w:t>3.3.44.208 Status der Kohärenzvariation</w:t>
      </w:r>
    </w:p>
    <w:p w:rsidR="00D0549E" w:rsidRDefault="00D0549E" w:rsidP="00D0549E">
      <w:pPr>
        <w:pStyle w:val="StandardWeb"/>
      </w:pPr>
      <w:r>
        <w:t>Für</w:t>
      </w:r>
    </w:p>
    <w:p w:rsidR="00D0549E" w:rsidRDefault="00D0549E" w:rsidP="00D0549E">
      <w:pPr>
        <w:pStyle w:val="berschrift1"/>
      </w:pPr>
      <w:r>
        <w:t>[</w:t>
      </w:r>
      <w:r>
        <w:br/>
        <w:t>V_C(\Pi_F)</w:t>
      </w:r>
    </w:p>
    <w:p w:rsidR="00D0549E" w:rsidRDefault="00D0549E" w:rsidP="00D0549E">
      <w:pPr>
        <w:pStyle w:val="StandardWeb"/>
      </w:pPr>
      <w:r>
        <w:t>\sum_{k=1}^{n}</w:t>
      </w:r>
      <w:r>
        <w:br/>
        <w:t>\left|</w:t>
      </w:r>
      <w:r>
        <w:br/>
        <w:t>\Delta_T C_F(z_{k-1},z_k)</w:t>
      </w:r>
      <w:r>
        <w:br/>
        <w:t>\right|</w:t>
      </w:r>
      <w:r>
        <w:br/>
        <w:t>\tag{3.10027}</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V_C(\Pi_F)=\sum_{k=1}^{n}\left|\Delta_T C_F(z_{k-1},z_k)\right|</w:t>
      </w:r>
    </w:p>
    <w:p w:rsidR="00D0549E" w:rsidRDefault="00D0549E" w:rsidP="00D0549E">
      <w:pPr>
        <w:pStyle w:val="StandardWeb"/>
      </w:pPr>
      <w:r>
        <w:t>gilt ebenfalls</w:t>
      </w:r>
    </w:p>
    <w:p w:rsidR="00D0549E" w:rsidRDefault="00D0549E" w:rsidP="00D0549E">
      <w:pPr>
        <w:pStyle w:val="berschrift1"/>
      </w:pPr>
      <w:r>
        <w:lastRenderedPageBreak/>
        <w:t>[</w:t>
      </w:r>
      <w:r>
        <w:br/>
        <w:t>\boxed{</w:t>
      </w:r>
      <w:r>
        <w:br/>
        <w:t>\operatorname{Stat}_{3.3.44}(V_C)</w:t>
      </w:r>
    </w:p>
    <w:p w:rsidR="00D0549E" w:rsidRDefault="00D0549E" w:rsidP="00D0549E">
      <w:pPr>
        <w:pStyle w:val="StandardWeb"/>
      </w:pPr>
      <w:r>
        <w:t>\mathrm{Der}.</w:t>
      </w:r>
      <w:r>
        <w:br/>
        <w:t>}</w:t>
      </w:r>
      <w:r>
        <w:br/>
        <w:t>\tag{3.10028}</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\boxed{\operatorname{Stat}_{3.3.44}(V_C)=\mathrm{Der}.}</w:t>
      </w:r>
    </w:p>
    <w:p w:rsidR="00D0549E" w:rsidRDefault="00E50336" w:rsidP="00D0549E">
      <w:r>
        <w:pict>
          <v:rect id="_x0000_i3089" style="width:0;height:1.5pt" o:hralign="center" o:hrstd="t" o:hr="t" fillcolor="#a0a0a0" stroked="f"/>
        </w:pict>
      </w:r>
    </w:p>
    <w:p w:rsidR="00D0549E" w:rsidRDefault="00D0549E" w:rsidP="00D0549E">
      <w:pPr>
        <w:pStyle w:val="berschrift1"/>
      </w:pPr>
      <w:r>
        <w:t>3.3.44.209 Status der Kohärenzoszillation</w:t>
      </w:r>
    </w:p>
    <w:p w:rsidR="00D0549E" w:rsidRDefault="00D0549E" w:rsidP="00D0549E">
      <w:pPr>
        <w:pStyle w:val="StandardWeb"/>
      </w:pPr>
      <w:r>
        <w:t>Auch</w:t>
      </w:r>
    </w:p>
    <w:p w:rsidR="00D0549E" w:rsidRDefault="00D0549E" w:rsidP="00D0549E">
      <w:pPr>
        <w:pStyle w:val="berschrift1"/>
      </w:pPr>
      <w:r>
        <w:t>[</w:t>
      </w:r>
      <w:r>
        <w:br/>
        <w:t>O_C</w:t>
      </w:r>
    </w:p>
    <w:p w:rsidR="00D0549E" w:rsidRDefault="00D0549E" w:rsidP="00D0549E">
      <w:pPr>
        <w:pStyle w:val="StandardWeb"/>
      </w:pPr>
      <w:r>
        <w:t>V_C-</w:t>
      </w:r>
      <w:r>
        <w:br/>
        <w:t>|\Delta_{\Pi}C_F|</w:t>
      </w:r>
      <w:r>
        <w:br/>
        <w:t>\tag{3.10029}</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O_C=V_C-|\Delta_{\Pi}C_F|</w:t>
      </w:r>
    </w:p>
    <w:p w:rsidR="00D0549E" w:rsidRDefault="00D0549E" w:rsidP="00D0549E">
      <w:pPr>
        <w:pStyle w:val="StandardWeb"/>
      </w:pPr>
      <w:r>
        <w:t>ist vollständig aus bereits definierten Größen abgeleitet.</w:t>
      </w:r>
    </w:p>
    <w:p w:rsidR="00D0549E" w:rsidRDefault="00D0549E" w:rsidP="00D0549E">
      <w:pPr>
        <w:pStyle w:val="StandardWeb"/>
      </w:pPr>
      <w:r>
        <w:t>Somit gilt</w:t>
      </w:r>
    </w:p>
    <w:p w:rsidR="00D0549E" w:rsidRDefault="00D0549E" w:rsidP="00D0549E">
      <w:pPr>
        <w:pStyle w:val="berschrift1"/>
      </w:pPr>
      <w:r>
        <w:t>[</w:t>
      </w:r>
      <w:r>
        <w:br/>
        <w:t>\boxed{</w:t>
      </w:r>
      <w:r>
        <w:br/>
        <w:t>\operatorname{Stat}_{3.3.44}(O_C)</w:t>
      </w:r>
    </w:p>
    <w:p w:rsidR="00D0549E" w:rsidRDefault="00D0549E" w:rsidP="00D0549E">
      <w:pPr>
        <w:pStyle w:val="StandardWeb"/>
      </w:pPr>
      <w:r>
        <w:t>\mathrm{Der}.</w:t>
      </w:r>
      <w:r>
        <w:br/>
        <w:t>}</w:t>
      </w:r>
      <w:r>
        <w:br/>
        <w:t>\tag{3.10030}</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lastRenderedPageBreak/>
        <w:t>\boxed{\operatorname{Stat}_{3.3.44}(O_C)=\mathrm{Der}.}</w:t>
      </w:r>
    </w:p>
    <w:p w:rsidR="00D0549E" w:rsidRDefault="00E50336" w:rsidP="00D0549E">
      <w:r>
        <w:pict>
          <v:rect id="_x0000_i3090" style="width:0;height:1.5pt" o:hralign="center" o:hrstd="t" o:hr="t" fillcolor="#a0a0a0" stroked="f"/>
        </w:pict>
      </w:r>
    </w:p>
    <w:p w:rsidR="00D0549E" w:rsidRDefault="00D0549E" w:rsidP="00D0549E">
      <w:pPr>
        <w:pStyle w:val="berschrift1"/>
      </w:pPr>
      <w:r>
        <w:t>3.3.44.210 Status der Kohärenz-Übergangs-Kopplungsstruktur</w:t>
      </w:r>
    </w:p>
    <w:p w:rsidR="00D0549E" w:rsidRDefault="00D0549E" w:rsidP="00D0549E">
      <w:pPr>
        <w:pStyle w:val="StandardWeb"/>
      </w:pPr>
      <w:r>
        <w:t>Die Sammelstruktur</w:t>
      </w:r>
    </w:p>
    <w:p w:rsidR="00D0549E" w:rsidRDefault="00D0549E" w:rsidP="00D0549E">
      <w:pPr>
        <w:pStyle w:val="StandardWeb"/>
      </w:pPr>
      <w:r>
        <w:t>[</w:t>
      </w:r>
      <w:r>
        <w:br/>
        <w:t>\mathfrak K_{CT}</w:t>
      </w:r>
      <w:r>
        <w:br/>
        <w:t>\tag{3.10031}</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\mathfrak K_{CT}</w:t>
      </w:r>
    </w:p>
    <w:p w:rsidR="00D0549E" w:rsidRDefault="00D0549E" w:rsidP="00D0549E">
      <w:pPr>
        <w:pStyle w:val="StandardWeb"/>
      </w:pPr>
      <w:r>
        <w:t>fasst bereits definierte, abgeleitete, operationalisierte und modellabhängige Kopplungsgrößen zusammen.</w:t>
      </w:r>
    </w:p>
    <w:p w:rsidR="00D0549E" w:rsidRDefault="00D0549E" w:rsidP="00D0549E">
      <w:pPr>
        <w:pStyle w:val="StandardWeb"/>
      </w:pPr>
      <w:r>
        <w:t>Sie ist deshalb selbst eine strukturierende Definition:</w:t>
      </w:r>
    </w:p>
    <w:p w:rsidR="00D0549E" w:rsidRDefault="00D0549E" w:rsidP="00D0549E">
      <w:pPr>
        <w:pStyle w:val="berschrift1"/>
      </w:pPr>
      <w:r>
        <w:t>[</w:t>
      </w:r>
      <w:r>
        <w:br/>
        <w:t>\boxed{</w:t>
      </w:r>
      <w:r>
        <w:br/>
        <w:t>\operatorname{Stat}</w:t>
      </w:r>
      <w:r>
        <w:rPr>
          <w:rStyle w:val="Hervorhebung"/>
        </w:rPr>
        <w:t>{3.3.44}</w:t>
      </w:r>
      <w:r>
        <w:rPr>
          <w:i/>
          <w:iCs/>
        </w:rPr>
        <w:br/>
      </w:r>
      <w:r>
        <w:rPr>
          <w:rStyle w:val="Hervorhebung"/>
        </w:rPr>
        <w:t>\left(</w:t>
      </w:r>
      <w:r>
        <w:rPr>
          <w:i/>
          <w:iCs/>
        </w:rPr>
        <w:br/>
      </w:r>
      <w:r>
        <w:rPr>
          <w:rStyle w:val="Hervorhebung"/>
        </w:rPr>
        <w:t>\mathfrak K</w:t>
      </w:r>
      <w:r>
        <w:t>{CT}</w:t>
      </w:r>
      <w:r>
        <w:br/>
        <w:t>\right)</w:t>
      </w:r>
    </w:p>
    <w:p w:rsidR="00D0549E" w:rsidRDefault="00D0549E" w:rsidP="00D0549E">
      <w:pPr>
        <w:pStyle w:val="StandardWeb"/>
      </w:pPr>
      <w:r>
        <w:t>\mathrm{Def}.</w:t>
      </w:r>
      <w:r>
        <w:br/>
        <w:t>}</w:t>
      </w:r>
      <w:r>
        <w:br/>
        <w:t>\tag{3.10032}</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\boxed{\operatorname{Stat}_{3.3.44}\left(\mathfrak K_{CT}\right)=\mathrm{Def}.}</w:t>
      </w:r>
    </w:p>
    <w:p w:rsidR="00D0549E" w:rsidRDefault="00E50336" w:rsidP="00D0549E">
      <w:r>
        <w:pict>
          <v:rect id="_x0000_i3091" style="width:0;height:1.5pt" o:hralign="center" o:hrstd="t" o:hr="t" fillcolor="#a0a0a0" stroked="f"/>
        </w:pict>
      </w:r>
    </w:p>
    <w:p w:rsidR="00D0549E" w:rsidRDefault="00D0549E" w:rsidP="00D0549E">
      <w:pPr>
        <w:pStyle w:val="berschrift1"/>
      </w:pPr>
      <w:r>
        <w:t>3.3.44.211 Vollständige Statusmatrix</w:t>
      </w:r>
    </w:p>
    <w:p w:rsidR="00D0549E" w:rsidRDefault="00D0549E" w:rsidP="00D0549E">
      <w:pPr>
        <w:pStyle w:val="StandardWeb"/>
      </w:pPr>
      <w:r>
        <w:t>Die Ergebnisse lassen sich nun in einer gemeinsamen Matrix zusammenfassen.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3"/>
        <w:gridCol w:w="3530"/>
        <w:gridCol w:w="2009"/>
      </w:tblGrid>
      <w:tr w:rsidR="00D0549E" w:rsidTr="00D0549E">
        <w:trPr>
          <w:tblHeader/>
          <w:tblCellSpacing w:w="15" w:type="dxa"/>
        </w:trPr>
        <w:tc>
          <w:tcPr>
            <w:tcW w:w="0" w:type="auto"/>
            <w:vAlign w:val="center"/>
            <w:hideMark/>
          </w:tcPr>
          <w:p w:rsidR="00D0549E" w:rsidRDefault="00D0549E">
            <w:pPr>
              <w:jc w:val="center"/>
              <w:rPr>
                <w:b/>
              </w:rPr>
            </w:pPr>
            <w:r>
              <w:rPr>
                <w:b/>
                <w:bCs w:val="0"/>
              </w:rPr>
              <w:lastRenderedPageBreak/>
              <w:t>Theorieobjekt</w:t>
            </w:r>
          </w:p>
        </w:tc>
        <w:tc>
          <w:tcPr>
            <w:tcW w:w="0" w:type="auto"/>
            <w:vAlign w:val="center"/>
            <w:hideMark/>
          </w:tcPr>
          <w:p w:rsidR="00D0549E" w:rsidRDefault="00D0549E">
            <w:pPr>
              <w:jc w:val="center"/>
              <w:rPr>
                <w:b/>
                <w:bCs w:val="0"/>
              </w:rPr>
            </w:pPr>
            <w:r>
              <w:rPr>
                <w:b/>
                <w:bCs w:val="0"/>
              </w:rPr>
              <w:t>Bedeutung</w:t>
            </w:r>
          </w:p>
        </w:tc>
        <w:tc>
          <w:tcPr>
            <w:tcW w:w="0" w:type="auto"/>
            <w:vAlign w:val="center"/>
            <w:hideMark/>
          </w:tcPr>
          <w:p w:rsidR="00D0549E" w:rsidRDefault="00D0549E">
            <w:pPr>
              <w:jc w:val="center"/>
              <w:rPr>
                <w:b/>
                <w:bCs w:val="0"/>
              </w:rPr>
            </w:pPr>
            <w:r>
              <w:rPr>
                <w:b/>
                <w:bCs w:val="0"/>
              </w:rPr>
              <w:t>Endgültiger Status</w:t>
            </w:r>
          </w:p>
        </w:tc>
      </w:tr>
      <w:tr w:rsidR="00D0549E" w:rsidTr="00D0549E">
        <w:trPr>
          <w:tblCellSpacing w:w="15" w:type="dxa"/>
        </w:trPr>
        <w:tc>
          <w:tcPr>
            <w:tcW w:w="0" w:type="auto"/>
            <w:vAlign w:val="center"/>
            <w:hideMark/>
          </w:tcPr>
          <w:p w:rsidR="00D0549E" w:rsidRDefault="00D0549E">
            <w:pPr>
              <w:rPr>
                <w:bCs w:val="0"/>
              </w:rPr>
            </w:pPr>
            <w:r>
              <w:t>(\mathcal T_F)</w:t>
            </w:r>
          </w:p>
        </w:tc>
        <w:tc>
          <w:tcPr>
            <w:tcW w:w="0" w:type="auto"/>
            <w:vAlign w:val="center"/>
            <w:hideMark/>
          </w:tcPr>
          <w:p w:rsidR="00D0549E" w:rsidRDefault="00D0549E">
            <w:r>
              <w:t>funktionale Übergangsrelation</w:t>
            </w:r>
          </w:p>
        </w:tc>
        <w:tc>
          <w:tcPr>
            <w:tcW w:w="0" w:type="auto"/>
            <w:vAlign w:val="center"/>
            <w:hideMark/>
          </w:tcPr>
          <w:p w:rsidR="00D0549E" w:rsidRDefault="00D0549E">
            <w:r>
              <w:t>Definition</w:t>
            </w:r>
          </w:p>
        </w:tc>
      </w:tr>
      <w:tr w:rsidR="00D0549E" w:rsidTr="00D0549E">
        <w:trPr>
          <w:tblCellSpacing w:w="15" w:type="dxa"/>
        </w:trPr>
        <w:tc>
          <w:tcPr>
            <w:tcW w:w="0" w:type="auto"/>
            <w:vAlign w:val="center"/>
            <w:hideMark/>
          </w:tcPr>
          <w:p w:rsidR="00D0549E" w:rsidRDefault="00D0549E">
            <w:r>
              <w:t>(\mathbb T_F)</w:t>
            </w:r>
          </w:p>
        </w:tc>
        <w:tc>
          <w:tcPr>
            <w:tcW w:w="0" w:type="auto"/>
            <w:vAlign w:val="center"/>
            <w:hideMark/>
          </w:tcPr>
          <w:p w:rsidR="00D0549E" w:rsidRDefault="00D0549E">
            <w:r>
              <w:t>mengenwertige Übergangsabbildung</w:t>
            </w:r>
          </w:p>
        </w:tc>
        <w:tc>
          <w:tcPr>
            <w:tcW w:w="0" w:type="auto"/>
            <w:vAlign w:val="center"/>
            <w:hideMark/>
          </w:tcPr>
          <w:p w:rsidR="00D0549E" w:rsidRDefault="00D0549E">
            <w:r>
              <w:t>Definition</w:t>
            </w:r>
          </w:p>
        </w:tc>
      </w:tr>
      <w:tr w:rsidR="00D0549E" w:rsidTr="00D0549E">
        <w:trPr>
          <w:tblCellSpacing w:w="15" w:type="dxa"/>
        </w:trPr>
        <w:tc>
          <w:tcPr>
            <w:tcW w:w="0" w:type="auto"/>
            <w:vAlign w:val="center"/>
            <w:hideMark/>
          </w:tcPr>
          <w:p w:rsidR="00D0549E" w:rsidRDefault="00D0549E">
            <w:r>
              <w:t>(\Pi_F)</w:t>
            </w:r>
          </w:p>
        </w:tc>
        <w:tc>
          <w:tcPr>
            <w:tcW w:w="0" w:type="auto"/>
            <w:vAlign w:val="center"/>
            <w:hideMark/>
          </w:tcPr>
          <w:p w:rsidR="00D0549E" w:rsidRDefault="00D0549E">
            <w:r>
              <w:t>Übergangspfad</w:t>
            </w:r>
          </w:p>
        </w:tc>
        <w:tc>
          <w:tcPr>
            <w:tcW w:w="0" w:type="auto"/>
            <w:vAlign w:val="center"/>
            <w:hideMark/>
          </w:tcPr>
          <w:p w:rsidR="00D0549E" w:rsidRDefault="00D0549E">
            <w:r>
              <w:t>Definition</w:t>
            </w:r>
          </w:p>
        </w:tc>
      </w:tr>
      <w:tr w:rsidR="00D0549E" w:rsidTr="00D0549E">
        <w:trPr>
          <w:tblCellSpacing w:w="15" w:type="dxa"/>
        </w:trPr>
        <w:tc>
          <w:tcPr>
            <w:tcW w:w="0" w:type="auto"/>
            <w:vAlign w:val="center"/>
            <w:hideMark/>
          </w:tcPr>
          <w:p w:rsidR="00D0549E" w:rsidRDefault="00D0549E">
            <w:r>
              <w:t>(\operatorname{Reach}_F)</w:t>
            </w:r>
          </w:p>
        </w:tc>
        <w:tc>
          <w:tcPr>
            <w:tcW w:w="0" w:type="auto"/>
            <w:vAlign w:val="center"/>
            <w:hideMark/>
          </w:tcPr>
          <w:p w:rsidR="00D0549E" w:rsidRDefault="00D0549E">
            <w:r>
              <w:t>funktionale Erreichbarkeit</w:t>
            </w:r>
          </w:p>
        </w:tc>
        <w:tc>
          <w:tcPr>
            <w:tcW w:w="0" w:type="auto"/>
            <w:vAlign w:val="center"/>
            <w:hideMark/>
          </w:tcPr>
          <w:p w:rsidR="00D0549E" w:rsidRDefault="00D0549E">
            <w:r>
              <w:t>Definition</w:t>
            </w:r>
          </w:p>
        </w:tc>
      </w:tr>
      <w:tr w:rsidR="00D0549E" w:rsidTr="00D0549E">
        <w:trPr>
          <w:tblCellSpacing w:w="15" w:type="dxa"/>
        </w:trPr>
        <w:tc>
          <w:tcPr>
            <w:tcW w:w="0" w:type="auto"/>
            <w:vAlign w:val="center"/>
            <w:hideMark/>
          </w:tcPr>
          <w:p w:rsidR="00D0549E" w:rsidRDefault="00D0549E">
            <w:r>
              <w:t>(\operatorname{NT}_F)</w:t>
            </w:r>
          </w:p>
        </w:tc>
        <w:tc>
          <w:tcPr>
            <w:tcW w:w="0" w:type="auto"/>
            <w:vAlign w:val="center"/>
            <w:hideMark/>
          </w:tcPr>
          <w:p w:rsidR="00D0549E" w:rsidRDefault="00D0549E">
            <w:r>
              <w:t>Nichttrivialität</w:t>
            </w:r>
          </w:p>
        </w:tc>
        <w:tc>
          <w:tcPr>
            <w:tcW w:w="0" w:type="auto"/>
            <w:vAlign w:val="center"/>
            <w:hideMark/>
          </w:tcPr>
          <w:p w:rsidR="00D0549E" w:rsidRDefault="00D0549E">
            <w:r>
              <w:t>Definition</w:t>
            </w:r>
          </w:p>
        </w:tc>
      </w:tr>
      <w:tr w:rsidR="00D0549E" w:rsidTr="00D0549E">
        <w:trPr>
          <w:tblCellSpacing w:w="15" w:type="dxa"/>
        </w:trPr>
        <w:tc>
          <w:tcPr>
            <w:tcW w:w="0" w:type="auto"/>
            <w:vAlign w:val="center"/>
            <w:hideMark/>
          </w:tcPr>
          <w:p w:rsidR="00D0549E" w:rsidRDefault="00D0549E">
            <w:r>
              <w:t>(\operatorname{Poss}_T)</w:t>
            </w:r>
          </w:p>
        </w:tc>
        <w:tc>
          <w:tcPr>
            <w:tcW w:w="0" w:type="auto"/>
            <w:vAlign w:val="center"/>
            <w:hideMark/>
          </w:tcPr>
          <w:p w:rsidR="00D0549E" w:rsidRDefault="00D0549E">
            <w:r>
              <w:t>Übergangsmöglichkeit</w:t>
            </w:r>
          </w:p>
        </w:tc>
        <w:tc>
          <w:tcPr>
            <w:tcW w:w="0" w:type="auto"/>
            <w:vAlign w:val="center"/>
            <w:hideMark/>
          </w:tcPr>
          <w:p w:rsidR="00D0549E" w:rsidRDefault="00D0549E">
            <w:r>
              <w:t>Definition</w:t>
            </w:r>
          </w:p>
        </w:tc>
      </w:tr>
      <w:tr w:rsidR="00D0549E" w:rsidTr="00D0549E">
        <w:trPr>
          <w:tblCellSpacing w:w="15" w:type="dxa"/>
        </w:trPr>
        <w:tc>
          <w:tcPr>
            <w:tcW w:w="0" w:type="auto"/>
            <w:vAlign w:val="center"/>
            <w:hideMark/>
          </w:tcPr>
          <w:p w:rsidR="00D0549E" w:rsidRDefault="00D0549E">
            <w:r>
              <w:t>(\operatorname{Act}_T)</w:t>
            </w:r>
          </w:p>
        </w:tc>
        <w:tc>
          <w:tcPr>
            <w:tcW w:w="0" w:type="auto"/>
            <w:vAlign w:val="center"/>
            <w:hideMark/>
          </w:tcPr>
          <w:p w:rsidR="00D0549E" w:rsidRDefault="00D0549E">
            <w:r>
              <w:t>realisierter Übergang</w:t>
            </w:r>
          </w:p>
        </w:tc>
        <w:tc>
          <w:tcPr>
            <w:tcW w:w="0" w:type="auto"/>
            <w:vAlign w:val="center"/>
            <w:hideMark/>
          </w:tcPr>
          <w:p w:rsidR="00D0549E" w:rsidRDefault="00D0549E">
            <w:r>
              <w:t>Definition</w:t>
            </w:r>
          </w:p>
        </w:tc>
      </w:tr>
      <w:tr w:rsidR="00D0549E" w:rsidTr="00D0549E">
        <w:trPr>
          <w:tblCellSpacing w:w="15" w:type="dxa"/>
        </w:trPr>
        <w:tc>
          <w:tcPr>
            <w:tcW w:w="0" w:type="auto"/>
            <w:vAlign w:val="center"/>
            <w:hideMark/>
          </w:tcPr>
          <w:p w:rsidR="00D0549E" w:rsidRDefault="00D0549E">
            <w:r>
              <w:t>(\chi_T)</w:t>
            </w:r>
          </w:p>
        </w:tc>
        <w:tc>
          <w:tcPr>
            <w:tcW w:w="0" w:type="auto"/>
            <w:vAlign w:val="center"/>
            <w:hideMark/>
          </w:tcPr>
          <w:p w:rsidR="00D0549E" w:rsidRDefault="00D0549E">
            <w:r>
              <w:t>Übergangsstrukturindikator</w:t>
            </w:r>
          </w:p>
        </w:tc>
        <w:tc>
          <w:tcPr>
            <w:tcW w:w="0" w:type="auto"/>
            <w:vAlign w:val="center"/>
            <w:hideMark/>
          </w:tcPr>
          <w:p w:rsidR="00D0549E" w:rsidRDefault="00D0549E">
            <w:r>
              <w:t>Operationalisierung</w:t>
            </w:r>
          </w:p>
        </w:tc>
      </w:tr>
      <w:tr w:rsidR="00D0549E" w:rsidTr="00D0549E">
        <w:trPr>
          <w:tblCellSpacing w:w="15" w:type="dxa"/>
        </w:trPr>
        <w:tc>
          <w:tcPr>
            <w:tcW w:w="0" w:type="auto"/>
            <w:vAlign w:val="center"/>
            <w:hideMark/>
          </w:tcPr>
          <w:p w:rsidR="00D0549E" w:rsidRDefault="00D0549E">
            <w:r>
              <w:t>(\mathfrak M_F^{\varnothing T})</w:t>
            </w:r>
          </w:p>
        </w:tc>
        <w:tc>
          <w:tcPr>
            <w:tcW w:w="0" w:type="auto"/>
            <w:vAlign w:val="center"/>
            <w:hideMark/>
          </w:tcPr>
          <w:p w:rsidR="00D0549E" w:rsidRDefault="00D0549E">
            <w:r>
              <w:t>übergangsleere Modelle</w:t>
            </w:r>
          </w:p>
        </w:tc>
        <w:tc>
          <w:tcPr>
            <w:tcW w:w="0" w:type="auto"/>
            <w:vAlign w:val="center"/>
            <w:hideMark/>
          </w:tcPr>
          <w:p w:rsidR="00D0549E" w:rsidRDefault="00D0549E">
            <w:r>
              <w:t>abgeleitet</w:t>
            </w:r>
          </w:p>
        </w:tc>
      </w:tr>
      <w:tr w:rsidR="00D0549E" w:rsidTr="00D0549E">
        <w:trPr>
          <w:tblCellSpacing w:w="15" w:type="dxa"/>
        </w:trPr>
        <w:tc>
          <w:tcPr>
            <w:tcW w:w="0" w:type="auto"/>
            <w:vAlign w:val="center"/>
            <w:hideMark/>
          </w:tcPr>
          <w:p w:rsidR="00D0549E" w:rsidRDefault="00D0549E">
            <w:r>
              <w:t>(\mathfrak M_F^{\mathrm{self}})</w:t>
            </w:r>
          </w:p>
        </w:tc>
        <w:tc>
          <w:tcPr>
            <w:tcW w:w="0" w:type="auto"/>
            <w:vAlign w:val="center"/>
            <w:hideMark/>
          </w:tcPr>
          <w:p w:rsidR="00D0549E" w:rsidRDefault="00D0549E">
            <w:r>
              <w:t>Selbstübergangsmodelle</w:t>
            </w:r>
          </w:p>
        </w:tc>
        <w:tc>
          <w:tcPr>
            <w:tcW w:w="0" w:type="auto"/>
            <w:vAlign w:val="center"/>
            <w:hideMark/>
          </w:tcPr>
          <w:p w:rsidR="00D0549E" w:rsidRDefault="00D0549E">
            <w:r>
              <w:t>abgeleitet</w:t>
            </w:r>
          </w:p>
        </w:tc>
      </w:tr>
      <w:tr w:rsidR="00D0549E" w:rsidTr="00D0549E">
        <w:trPr>
          <w:tblCellSpacing w:w="15" w:type="dxa"/>
        </w:trPr>
        <w:tc>
          <w:tcPr>
            <w:tcW w:w="0" w:type="auto"/>
            <w:vAlign w:val="center"/>
            <w:hideMark/>
          </w:tcPr>
          <w:p w:rsidR="00D0549E" w:rsidRDefault="00D0549E">
            <w:r>
              <w:t>(\mathfrak M_F^{\mathrm{dyn}})</w:t>
            </w:r>
          </w:p>
        </w:tc>
        <w:tc>
          <w:tcPr>
            <w:tcW w:w="0" w:type="auto"/>
            <w:vAlign w:val="center"/>
            <w:hideMark/>
          </w:tcPr>
          <w:p w:rsidR="00D0549E" w:rsidRDefault="00D0549E">
            <w:r>
              <w:t>dynamische Modelle</w:t>
            </w:r>
          </w:p>
        </w:tc>
        <w:tc>
          <w:tcPr>
            <w:tcW w:w="0" w:type="auto"/>
            <w:vAlign w:val="center"/>
            <w:hideMark/>
          </w:tcPr>
          <w:p w:rsidR="00D0549E" w:rsidRDefault="00D0549E">
            <w:r>
              <w:t>abgeleitet</w:t>
            </w:r>
          </w:p>
        </w:tc>
      </w:tr>
      <w:tr w:rsidR="00D0549E" w:rsidTr="00D0549E">
        <w:trPr>
          <w:tblCellSpacing w:w="15" w:type="dxa"/>
        </w:trPr>
        <w:tc>
          <w:tcPr>
            <w:tcW w:w="0" w:type="auto"/>
            <w:vAlign w:val="center"/>
            <w:hideMark/>
          </w:tcPr>
          <w:p w:rsidR="00D0549E" w:rsidRDefault="00D0549E">
            <w:r>
              <w:t>(A_T)</w:t>
            </w:r>
          </w:p>
        </w:tc>
        <w:tc>
          <w:tcPr>
            <w:tcW w:w="0" w:type="auto"/>
            <w:vAlign w:val="center"/>
            <w:hideMark/>
          </w:tcPr>
          <w:p w:rsidR="00D0549E" w:rsidRDefault="00D0549E">
            <w:r>
              <w:t>nichttrivialer Übergangskandidat</w:t>
            </w:r>
          </w:p>
        </w:tc>
        <w:tc>
          <w:tcPr>
            <w:tcW w:w="0" w:type="auto"/>
            <w:vAlign w:val="center"/>
            <w:hideMark/>
          </w:tcPr>
          <w:p w:rsidR="00D0549E" w:rsidRDefault="00D0549E">
            <w:r>
              <w:t>Modellannahme</w:t>
            </w:r>
          </w:p>
        </w:tc>
      </w:tr>
      <w:tr w:rsidR="00D0549E" w:rsidTr="00D0549E">
        <w:trPr>
          <w:tblCellSpacing w:w="15" w:type="dxa"/>
        </w:trPr>
        <w:tc>
          <w:tcPr>
            <w:tcW w:w="0" w:type="auto"/>
            <w:vAlign w:val="center"/>
            <w:hideMark/>
          </w:tcPr>
          <w:p w:rsidR="00D0549E" w:rsidRDefault="00D0549E">
            <w:r>
              <w:t>(A_T^{\min})</w:t>
            </w:r>
          </w:p>
        </w:tc>
        <w:tc>
          <w:tcPr>
            <w:tcW w:w="0" w:type="auto"/>
            <w:vAlign w:val="center"/>
            <w:hideMark/>
          </w:tcPr>
          <w:p w:rsidR="00D0549E" w:rsidRDefault="00D0549E">
            <w:r>
              <w:t>nichtleere Übergangsstruktur</w:t>
            </w:r>
          </w:p>
        </w:tc>
        <w:tc>
          <w:tcPr>
            <w:tcW w:w="0" w:type="auto"/>
            <w:vAlign w:val="center"/>
            <w:hideMark/>
          </w:tcPr>
          <w:p w:rsidR="00D0549E" w:rsidRDefault="00D0549E">
            <w:r>
              <w:t>Modellannahme</w:t>
            </w:r>
          </w:p>
        </w:tc>
      </w:tr>
      <w:tr w:rsidR="00D0549E" w:rsidTr="00D0549E">
        <w:trPr>
          <w:tblCellSpacing w:w="15" w:type="dxa"/>
        </w:trPr>
        <w:tc>
          <w:tcPr>
            <w:tcW w:w="0" w:type="auto"/>
            <w:vAlign w:val="center"/>
            <w:hideMark/>
          </w:tcPr>
          <w:p w:rsidR="00D0549E" w:rsidRDefault="00D0549E">
            <w:r>
              <w:t>(M_T)</w:t>
            </w:r>
          </w:p>
        </w:tc>
        <w:tc>
          <w:tcPr>
            <w:tcW w:w="0" w:type="auto"/>
            <w:vAlign w:val="center"/>
            <w:hideMark/>
          </w:tcPr>
          <w:p w:rsidR="00D0549E" w:rsidRDefault="00D0549E">
            <w:r>
              <w:t>dynamische Übergangsannahme</w:t>
            </w:r>
          </w:p>
        </w:tc>
        <w:tc>
          <w:tcPr>
            <w:tcW w:w="0" w:type="auto"/>
            <w:vAlign w:val="center"/>
            <w:hideMark/>
          </w:tcPr>
          <w:p w:rsidR="00D0549E" w:rsidRDefault="00D0549E">
            <w:r>
              <w:t>Modellannahme</w:t>
            </w:r>
          </w:p>
        </w:tc>
      </w:tr>
      <w:tr w:rsidR="00D0549E" w:rsidTr="00D0549E">
        <w:trPr>
          <w:tblCellSpacing w:w="15" w:type="dxa"/>
        </w:trPr>
        <w:tc>
          <w:tcPr>
            <w:tcW w:w="0" w:type="auto"/>
            <w:vAlign w:val="center"/>
            <w:hideMark/>
          </w:tcPr>
          <w:p w:rsidR="00D0549E" w:rsidRDefault="00D0549E">
            <w:r>
              <w:t>(M_T^{\mathrm{det}})</w:t>
            </w:r>
          </w:p>
        </w:tc>
        <w:tc>
          <w:tcPr>
            <w:tcW w:w="0" w:type="auto"/>
            <w:vAlign w:val="center"/>
            <w:hideMark/>
          </w:tcPr>
          <w:p w:rsidR="00D0549E" w:rsidRDefault="00D0549E">
            <w:r>
              <w:t>deterministische Dynamik</w:t>
            </w:r>
          </w:p>
        </w:tc>
        <w:tc>
          <w:tcPr>
            <w:tcW w:w="0" w:type="auto"/>
            <w:vAlign w:val="center"/>
            <w:hideMark/>
          </w:tcPr>
          <w:p w:rsidR="00D0549E" w:rsidRDefault="00D0549E">
            <w:r>
              <w:t>Modellannahme</w:t>
            </w:r>
          </w:p>
        </w:tc>
      </w:tr>
      <w:tr w:rsidR="00D0549E" w:rsidTr="00D0549E">
        <w:trPr>
          <w:tblCellSpacing w:w="15" w:type="dxa"/>
        </w:trPr>
        <w:tc>
          <w:tcPr>
            <w:tcW w:w="0" w:type="auto"/>
            <w:vAlign w:val="center"/>
            <w:hideMark/>
          </w:tcPr>
          <w:p w:rsidR="00D0549E" w:rsidRDefault="00D0549E">
            <w:r>
              <w:t>(P_F)</w:t>
            </w:r>
          </w:p>
        </w:tc>
        <w:tc>
          <w:tcPr>
            <w:tcW w:w="0" w:type="auto"/>
            <w:vAlign w:val="center"/>
            <w:hideMark/>
          </w:tcPr>
          <w:p w:rsidR="00D0549E" w:rsidRDefault="00D0549E">
            <w:r>
              <w:t>stochastische Übergangsstruktur</w:t>
            </w:r>
          </w:p>
        </w:tc>
        <w:tc>
          <w:tcPr>
            <w:tcW w:w="0" w:type="auto"/>
            <w:vAlign w:val="center"/>
            <w:hideMark/>
          </w:tcPr>
          <w:p w:rsidR="00D0549E" w:rsidRDefault="00D0549E">
            <w:r>
              <w:t>Modellannahme</w:t>
            </w:r>
          </w:p>
        </w:tc>
      </w:tr>
      <w:tr w:rsidR="00D0549E" w:rsidTr="00D0549E">
        <w:trPr>
          <w:tblCellSpacing w:w="15" w:type="dxa"/>
        </w:trPr>
        <w:tc>
          <w:tcPr>
            <w:tcW w:w="0" w:type="auto"/>
            <w:vAlign w:val="center"/>
            <w:hideMark/>
          </w:tcPr>
          <w:p w:rsidR="00D0549E" w:rsidRDefault="00D0549E">
            <w:r>
              <w:t>(F)</w:t>
            </w:r>
          </w:p>
        </w:tc>
        <w:tc>
          <w:tcPr>
            <w:tcW w:w="0" w:type="auto"/>
            <w:vAlign w:val="center"/>
            <w:hideMark/>
          </w:tcPr>
          <w:p w:rsidR="00D0549E" w:rsidRDefault="00D0549E">
            <w:r>
              <w:t>kontinuierliches Dynamikgesetz</w:t>
            </w:r>
          </w:p>
        </w:tc>
        <w:tc>
          <w:tcPr>
            <w:tcW w:w="0" w:type="auto"/>
            <w:vAlign w:val="center"/>
            <w:hideMark/>
          </w:tcPr>
          <w:p w:rsidR="00D0549E" w:rsidRDefault="00D0549E">
            <w:r>
              <w:t>Modellannahme</w:t>
            </w:r>
          </w:p>
        </w:tc>
      </w:tr>
      <w:tr w:rsidR="00D0549E" w:rsidTr="00D0549E">
        <w:trPr>
          <w:tblCellSpacing w:w="15" w:type="dxa"/>
        </w:trPr>
        <w:tc>
          <w:tcPr>
            <w:tcW w:w="0" w:type="auto"/>
            <w:vAlign w:val="center"/>
            <w:hideMark/>
          </w:tcPr>
          <w:p w:rsidR="00D0549E" w:rsidRDefault="00D0549E">
            <w:r>
              <w:t>(\lambda)</w:t>
            </w:r>
          </w:p>
        </w:tc>
        <w:tc>
          <w:tcPr>
            <w:tcW w:w="0" w:type="auto"/>
            <w:vAlign w:val="center"/>
            <w:hideMark/>
          </w:tcPr>
          <w:p w:rsidR="00D0549E" w:rsidRDefault="00D0549E">
            <w:r>
              <w:t>Übergangsparameter</w:t>
            </w:r>
          </w:p>
        </w:tc>
        <w:tc>
          <w:tcPr>
            <w:tcW w:w="0" w:type="auto"/>
            <w:vAlign w:val="center"/>
            <w:hideMark/>
          </w:tcPr>
          <w:p w:rsidR="00D0549E" w:rsidRDefault="00D0549E">
            <w:r>
              <w:t>Definition</w:t>
            </w:r>
          </w:p>
        </w:tc>
      </w:tr>
      <w:tr w:rsidR="00D0549E" w:rsidTr="00D0549E">
        <w:trPr>
          <w:tblCellSpacing w:w="15" w:type="dxa"/>
        </w:trPr>
        <w:tc>
          <w:tcPr>
            <w:tcW w:w="0" w:type="auto"/>
            <w:vAlign w:val="center"/>
            <w:hideMark/>
          </w:tcPr>
          <w:p w:rsidR="00D0549E" w:rsidRDefault="00D0549E">
            <w:r>
              <w:t>(\lambda=t)</w:t>
            </w:r>
          </w:p>
        </w:tc>
        <w:tc>
          <w:tcPr>
            <w:tcW w:w="0" w:type="auto"/>
            <w:vAlign w:val="center"/>
            <w:hideMark/>
          </w:tcPr>
          <w:p w:rsidR="00D0549E" w:rsidRDefault="00D0549E">
            <w:r>
              <w:t>Identifikation mit physikalischer Zeit</w:t>
            </w:r>
          </w:p>
        </w:tc>
        <w:tc>
          <w:tcPr>
            <w:tcW w:w="0" w:type="auto"/>
            <w:vAlign w:val="center"/>
            <w:hideMark/>
          </w:tcPr>
          <w:p w:rsidR="00D0549E" w:rsidRDefault="00D0549E">
            <w:r>
              <w:t>Modellannahme</w:t>
            </w:r>
          </w:p>
        </w:tc>
      </w:tr>
      <w:tr w:rsidR="00D0549E" w:rsidTr="00D0549E">
        <w:trPr>
          <w:tblCellSpacing w:w="15" w:type="dxa"/>
        </w:trPr>
        <w:tc>
          <w:tcPr>
            <w:tcW w:w="0" w:type="auto"/>
            <w:vAlign w:val="center"/>
            <w:hideMark/>
          </w:tcPr>
          <w:p w:rsidR="00D0549E" w:rsidRDefault="00D0549E">
            <w:r>
              <w:t>(\tau_T)</w:t>
            </w:r>
          </w:p>
        </w:tc>
        <w:tc>
          <w:tcPr>
            <w:tcW w:w="0" w:type="auto"/>
            <w:vAlign w:val="center"/>
            <w:hideMark/>
          </w:tcPr>
          <w:p w:rsidR="00D0549E" w:rsidRDefault="00D0549E">
            <w:r>
              <w:t>zeitliche Einbettung</w:t>
            </w:r>
          </w:p>
        </w:tc>
        <w:tc>
          <w:tcPr>
            <w:tcW w:w="0" w:type="auto"/>
            <w:vAlign w:val="center"/>
            <w:hideMark/>
          </w:tcPr>
          <w:p w:rsidR="00D0549E" w:rsidRDefault="00D0549E">
            <w:r>
              <w:t>Modellannahme</w:t>
            </w:r>
          </w:p>
        </w:tc>
      </w:tr>
      <w:tr w:rsidR="00D0549E" w:rsidTr="00D0549E">
        <w:trPr>
          <w:tblCellSpacing w:w="15" w:type="dxa"/>
        </w:trPr>
        <w:tc>
          <w:tcPr>
            <w:tcW w:w="0" w:type="auto"/>
            <w:vAlign w:val="center"/>
            <w:hideMark/>
          </w:tcPr>
          <w:p w:rsidR="00D0549E" w:rsidRDefault="00D0549E">
            <w:r>
              <w:t>(\prec_T)</w:t>
            </w:r>
          </w:p>
        </w:tc>
        <w:tc>
          <w:tcPr>
            <w:tcW w:w="0" w:type="auto"/>
            <w:vAlign w:val="center"/>
            <w:hideMark/>
          </w:tcPr>
          <w:p w:rsidR="00D0549E" w:rsidRDefault="00D0549E">
            <w:r>
              <w:t>Übergangsordnung</w:t>
            </w:r>
          </w:p>
        </w:tc>
        <w:tc>
          <w:tcPr>
            <w:tcW w:w="0" w:type="auto"/>
            <w:vAlign w:val="center"/>
            <w:hideMark/>
          </w:tcPr>
          <w:p w:rsidR="00D0549E" w:rsidRDefault="00D0549E">
            <w:r>
              <w:t>Definition</w:t>
            </w:r>
          </w:p>
        </w:tc>
      </w:tr>
      <w:tr w:rsidR="00D0549E" w:rsidTr="00D0549E">
        <w:trPr>
          <w:tblCellSpacing w:w="15" w:type="dxa"/>
        </w:trPr>
        <w:tc>
          <w:tcPr>
            <w:tcW w:w="0" w:type="auto"/>
            <w:vAlign w:val="center"/>
            <w:hideMark/>
          </w:tcPr>
          <w:p w:rsidR="00D0549E" w:rsidRDefault="00D0549E">
            <w:r>
              <w:t>(\prec_T=\prec_{\mathrm{causal}})</w:t>
            </w:r>
          </w:p>
        </w:tc>
        <w:tc>
          <w:tcPr>
            <w:tcW w:w="0" w:type="auto"/>
            <w:vAlign w:val="center"/>
            <w:hideMark/>
          </w:tcPr>
          <w:p w:rsidR="00D0549E" w:rsidRDefault="00D0549E">
            <w:r>
              <w:t>Identifikation mit Kausalordnung</w:t>
            </w:r>
          </w:p>
        </w:tc>
        <w:tc>
          <w:tcPr>
            <w:tcW w:w="0" w:type="auto"/>
            <w:vAlign w:val="center"/>
            <w:hideMark/>
          </w:tcPr>
          <w:p w:rsidR="00D0549E" w:rsidRDefault="00D0549E">
            <w:r>
              <w:t>Modellannahme</w:t>
            </w:r>
          </w:p>
        </w:tc>
      </w:tr>
      <w:tr w:rsidR="00D0549E" w:rsidTr="00D0549E">
        <w:trPr>
          <w:tblCellSpacing w:w="15" w:type="dxa"/>
        </w:trPr>
        <w:tc>
          <w:tcPr>
            <w:tcW w:w="0" w:type="auto"/>
            <w:vAlign w:val="center"/>
            <w:hideMark/>
          </w:tcPr>
          <w:p w:rsidR="00D0549E" w:rsidRDefault="00D0549E">
            <w:r>
              <w:t>(d_T)</w:t>
            </w:r>
          </w:p>
        </w:tc>
        <w:tc>
          <w:tcPr>
            <w:tcW w:w="0" w:type="auto"/>
            <w:vAlign w:val="center"/>
            <w:hideMark/>
          </w:tcPr>
          <w:p w:rsidR="00D0549E" w:rsidRDefault="00D0549E">
            <w:r>
              <w:t>Übergangsabstand</w:t>
            </w:r>
          </w:p>
        </w:tc>
        <w:tc>
          <w:tcPr>
            <w:tcW w:w="0" w:type="auto"/>
            <w:vAlign w:val="center"/>
            <w:hideMark/>
          </w:tcPr>
          <w:p w:rsidR="00D0549E" w:rsidRDefault="00D0549E">
            <w:r>
              <w:t>Operationalisierung</w:t>
            </w:r>
          </w:p>
        </w:tc>
      </w:tr>
      <w:tr w:rsidR="00D0549E" w:rsidTr="00D0549E">
        <w:trPr>
          <w:tblCellSpacing w:w="15" w:type="dxa"/>
        </w:trPr>
        <w:tc>
          <w:tcPr>
            <w:tcW w:w="0" w:type="auto"/>
            <w:vAlign w:val="center"/>
            <w:hideMark/>
          </w:tcPr>
          <w:p w:rsidR="00D0549E" w:rsidRDefault="00D0549E">
            <w:r>
              <w:t>(W_T)</w:t>
            </w:r>
          </w:p>
        </w:tc>
        <w:tc>
          <w:tcPr>
            <w:tcW w:w="0" w:type="auto"/>
            <w:vAlign w:val="center"/>
            <w:hideMark/>
          </w:tcPr>
          <w:p w:rsidR="00D0549E" w:rsidRDefault="00D0549E">
            <w:r>
              <w:t>Übergangskosten</w:t>
            </w:r>
          </w:p>
        </w:tc>
        <w:tc>
          <w:tcPr>
            <w:tcW w:w="0" w:type="auto"/>
            <w:vAlign w:val="center"/>
            <w:hideMark/>
          </w:tcPr>
          <w:p w:rsidR="00D0549E" w:rsidRDefault="00D0549E">
            <w:r>
              <w:t>Operationalisierung</w:t>
            </w:r>
          </w:p>
        </w:tc>
      </w:tr>
      <w:tr w:rsidR="00D0549E" w:rsidTr="00D0549E">
        <w:trPr>
          <w:tblCellSpacing w:w="15" w:type="dxa"/>
        </w:trPr>
        <w:tc>
          <w:tcPr>
            <w:tcW w:w="0" w:type="auto"/>
            <w:vAlign w:val="center"/>
            <w:hideMark/>
          </w:tcPr>
          <w:p w:rsidR="00D0549E" w:rsidRDefault="00D0549E">
            <w:r>
              <w:t>additive Pfadkosten</w:t>
            </w:r>
          </w:p>
        </w:tc>
        <w:tc>
          <w:tcPr>
            <w:tcW w:w="0" w:type="auto"/>
            <w:vAlign w:val="center"/>
            <w:hideMark/>
          </w:tcPr>
          <w:p w:rsidR="00D0549E" w:rsidRDefault="00D0549E">
            <w:r>
              <w:t>Summierbarkeit von (W_T)</w:t>
            </w:r>
          </w:p>
        </w:tc>
        <w:tc>
          <w:tcPr>
            <w:tcW w:w="0" w:type="auto"/>
            <w:vAlign w:val="center"/>
            <w:hideMark/>
          </w:tcPr>
          <w:p w:rsidR="00D0549E" w:rsidRDefault="00D0549E">
            <w:r>
              <w:t>Modellannahme</w:t>
            </w:r>
          </w:p>
        </w:tc>
      </w:tr>
      <w:tr w:rsidR="00D0549E" w:rsidTr="00D0549E">
        <w:trPr>
          <w:tblCellSpacing w:w="15" w:type="dxa"/>
        </w:trPr>
        <w:tc>
          <w:tcPr>
            <w:tcW w:w="0" w:type="auto"/>
            <w:vAlign w:val="center"/>
            <w:hideMark/>
          </w:tcPr>
          <w:p w:rsidR="00D0549E" w:rsidRDefault="00D0549E">
            <w:r>
              <w:t>(\Pi_F^\ast)</w:t>
            </w:r>
          </w:p>
        </w:tc>
        <w:tc>
          <w:tcPr>
            <w:tcW w:w="0" w:type="auto"/>
            <w:vAlign w:val="center"/>
            <w:hideMark/>
          </w:tcPr>
          <w:p w:rsidR="00D0549E" w:rsidRDefault="00D0549E">
            <w:r>
              <w:t>minimaler Übergangspfad</w:t>
            </w:r>
          </w:p>
        </w:tc>
        <w:tc>
          <w:tcPr>
            <w:tcW w:w="0" w:type="auto"/>
            <w:vAlign w:val="center"/>
            <w:hideMark/>
          </w:tcPr>
          <w:p w:rsidR="00D0549E" w:rsidRDefault="00D0549E">
            <w:r>
              <w:t>abgeleitet</w:t>
            </w:r>
          </w:p>
        </w:tc>
      </w:tr>
      <w:tr w:rsidR="00D0549E" w:rsidTr="00D0549E">
        <w:trPr>
          <w:tblCellSpacing w:w="15" w:type="dxa"/>
        </w:trPr>
        <w:tc>
          <w:tcPr>
            <w:tcW w:w="0" w:type="auto"/>
            <w:vAlign w:val="center"/>
            <w:hideMark/>
          </w:tcPr>
          <w:p w:rsidR="00D0549E" w:rsidRDefault="00D0549E">
            <w:r>
              <w:t>(\Delta_T C_F)</w:t>
            </w:r>
          </w:p>
        </w:tc>
        <w:tc>
          <w:tcPr>
            <w:tcW w:w="0" w:type="auto"/>
            <w:vAlign w:val="center"/>
            <w:hideMark/>
          </w:tcPr>
          <w:p w:rsidR="00D0549E" w:rsidRDefault="00D0549E">
            <w:r>
              <w:t>Kohärenzänderung</w:t>
            </w:r>
          </w:p>
        </w:tc>
        <w:tc>
          <w:tcPr>
            <w:tcW w:w="0" w:type="auto"/>
            <w:vAlign w:val="center"/>
            <w:hideMark/>
          </w:tcPr>
          <w:p w:rsidR="00D0549E" w:rsidRDefault="00D0549E">
            <w:r>
              <w:t>abgeleitet</w:t>
            </w:r>
          </w:p>
        </w:tc>
      </w:tr>
      <w:tr w:rsidR="00D0549E" w:rsidTr="00D0549E">
        <w:trPr>
          <w:tblCellSpacing w:w="15" w:type="dxa"/>
        </w:trPr>
        <w:tc>
          <w:tcPr>
            <w:tcW w:w="0" w:type="auto"/>
            <w:vAlign w:val="center"/>
            <w:hideMark/>
          </w:tcPr>
          <w:p w:rsidR="00D0549E" w:rsidRDefault="00D0549E">
            <w:r>
              <w:lastRenderedPageBreak/>
              <w:t>(G_C)</w:t>
            </w:r>
          </w:p>
        </w:tc>
        <w:tc>
          <w:tcPr>
            <w:tcW w:w="0" w:type="auto"/>
            <w:vAlign w:val="center"/>
            <w:hideMark/>
          </w:tcPr>
          <w:p w:rsidR="00D0549E" w:rsidRDefault="00D0549E">
            <w:r>
              <w:t>Kohärenzgewinn</w:t>
            </w:r>
          </w:p>
        </w:tc>
        <w:tc>
          <w:tcPr>
            <w:tcW w:w="0" w:type="auto"/>
            <w:vAlign w:val="center"/>
            <w:hideMark/>
          </w:tcPr>
          <w:p w:rsidR="00D0549E" w:rsidRDefault="00D0549E">
            <w:r>
              <w:t>abgeleitet</w:t>
            </w:r>
          </w:p>
        </w:tc>
      </w:tr>
      <w:tr w:rsidR="00D0549E" w:rsidTr="00D0549E">
        <w:trPr>
          <w:tblCellSpacing w:w="15" w:type="dxa"/>
        </w:trPr>
        <w:tc>
          <w:tcPr>
            <w:tcW w:w="0" w:type="auto"/>
            <w:vAlign w:val="center"/>
            <w:hideMark/>
          </w:tcPr>
          <w:p w:rsidR="00D0549E" w:rsidRDefault="00D0549E">
            <w:r>
              <w:t>(L_C)</w:t>
            </w:r>
          </w:p>
        </w:tc>
        <w:tc>
          <w:tcPr>
            <w:tcW w:w="0" w:type="auto"/>
            <w:vAlign w:val="center"/>
            <w:hideMark/>
          </w:tcPr>
          <w:p w:rsidR="00D0549E" w:rsidRDefault="00D0549E">
            <w:r>
              <w:t>Kohärenzverlust</w:t>
            </w:r>
          </w:p>
        </w:tc>
        <w:tc>
          <w:tcPr>
            <w:tcW w:w="0" w:type="auto"/>
            <w:vAlign w:val="center"/>
            <w:hideMark/>
          </w:tcPr>
          <w:p w:rsidR="00D0549E" w:rsidRDefault="00D0549E">
            <w:r>
              <w:t>abgeleitet</w:t>
            </w:r>
          </w:p>
        </w:tc>
      </w:tr>
      <w:tr w:rsidR="00D0549E" w:rsidTr="00D0549E">
        <w:trPr>
          <w:tblCellSpacing w:w="15" w:type="dxa"/>
        </w:trPr>
        <w:tc>
          <w:tcPr>
            <w:tcW w:w="0" w:type="auto"/>
            <w:vAlign w:val="center"/>
            <w:hideMark/>
          </w:tcPr>
          <w:p w:rsidR="00D0549E" w:rsidRDefault="00D0549E">
            <w:r>
              <w:t>(\eta_C)</w:t>
            </w:r>
          </w:p>
        </w:tc>
        <w:tc>
          <w:tcPr>
            <w:tcW w:w="0" w:type="auto"/>
            <w:vAlign w:val="center"/>
            <w:hideMark/>
          </w:tcPr>
          <w:p w:rsidR="00D0549E" w:rsidRDefault="00D0549E">
            <w:r>
              <w:t>Kohärenzübergangseffizienz</w:t>
            </w:r>
          </w:p>
        </w:tc>
        <w:tc>
          <w:tcPr>
            <w:tcW w:w="0" w:type="auto"/>
            <w:vAlign w:val="center"/>
            <w:hideMark/>
          </w:tcPr>
          <w:p w:rsidR="00D0549E" w:rsidRDefault="00D0549E">
            <w:r>
              <w:t>Operationalisierung</w:t>
            </w:r>
          </w:p>
        </w:tc>
      </w:tr>
      <w:tr w:rsidR="00D0549E" w:rsidTr="00D0549E">
        <w:trPr>
          <w:tblCellSpacing w:w="15" w:type="dxa"/>
        </w:trPr>
        <w:tc>
          <w:tcPr>
            <w:tcW w:w="0" w:type="auto"/>
            <w:vAlign w:val="center"/>
            <w:hideMark/>
          </w:tcPr>
          <w:p w:rsidR="00D0549E" w:rsidRDefault="00D0549E">
            <w:r>
              <w:t>(M_C^{\uparrow})</w:t>
            </w:r>
          </w:p>
        </w:tc>
        <w:tc>
          <w:tcPr>
            <w:tcW w:w="0" w:type="auto"/>
            <w:vAlign w:val="center"/>
            <w:hideMark/>
          </w:tcPr>
          <w:p w:rsidR="00D0549E" w:rsidRDefault="00D0549E">
            <w:r>
              <w:t>Kohärenzmonotonie</w:t>
            </w:r>
          </w:p>
        </w:tc>
        <w:tc>
          <w:tcPr>
            <w:tcW w:w="0" w:type="auto"/>
            <w:vAlign w:val="center"/>
            <w:hideMark/>
          </w:tcPr>
          <w:p w:rsidR="00D0549E" w:rsidRDefault="00D0549E">
            <w:r>
              <w:t>Modellannahme</w:t>
            </w:r>
          </w:p>
        </w:tc>
      </w:tr>
      <w:tr w:rsidR="00D0549E" w:rsidTr="00D0549E">
        <w:trPr>
          <w:tblCellSpacing w:w="15" w:type="dxa"/>
        </w:trPr>
        <w:tc>
          <w:tcPr>
            <w:tcW w:w="0" w:type="auto"/>
            <w:vAlign w:val="center"/>
            <w:hideMark/>
          </w:tcPr>
          <w:p w:rsidR="00D0549E" w:rsidRDefault="00D0549E">
            <w:r>
              <w:t>(M_C^{\uparrow\uparrow})</w:t>
            </w:r>
          </w:p>
        </w:tc>
        <w:tc>
          <w:tcPr>
            <w:tcW w:w="0" w:type="auto"/>
            <w:vAlign w:val="center"/>
            <w:hideMark/>
          </w:tcPr>
          <w:p w:rsidR="00D0549E" w:rsidRDefault="00D0549E">
            <w:r>
              <w:t>strenge Kohärenzsteigerung</w:t>
            </w:r>
          </w:p>
        </w:tc>
        <w:tc>
          <w:tcPr>
            <w:tcW w:w="0" w:type="auto"/>
            <w:vAlign w:val="center"/>
            <w:hideMark/>
          </w:tcPr>
          <w:p w:rsidR="00D0549E" w:rsidRDefault="00D0549E">
            <w:r>
              <w:t>Modellannahme</w:t>
            </w:r>
          </w:p>
        </w:tc>
      </w:tr>
      <w:tr w:rsidR="00D0549E" w:rsidTr="00D0549E">
        <w:trPr>
          <w:tblCellSpacing w:w="15" w:type="dxa"/>
        </w:trPr>
        <w:tc>
          <w:tcPr>
            <w:tcW w:w="0" w:type="auto"/>
            <w:vAlign w:val="center"/>
            <w:hideMark/>
          </w:tcPr>
          <w:p w:rsidR="00D0549E" w:rsidRDefault="00D0549E">
            <w:r>
              <w:t>(M_C^{\mathrm{opt}})</w:t>
            </w:r>
          </w:p>
        </w:tc>
        <w:tc>
          <w:tcPr>
            <w:tcW w:w="0" w:type="auto"/>
            <w:vAlign w:val="center"/>
            <w:hideMark/>
          </w:tcPr>
          <w:p w:rsidR="00D0549E" w:rsidRDefault="00D0549E">
            <w:r>
              <w:t>Kohärenzoptimierung</w:t>
            </w:r>
          </w:p>
        </w:tc>
        <w:tc>
          <w:tcPr>
            <w:tcW w:w="0" w:type="auto"/>
            <w:vAlign w:val="center"/>
            <w:hideMark/>
          </w:tcPr>
          <w:p w:rsidR="00D0549E" w:rsidRDefault="00D0549E">
            <w:r>
              <w:t>Modellannahme</w:t>
            </w:r>
          </w:p>
        </w:tc>
      </w:tr>
      <w:tr w:rsidR="00D0549E" w:rsidTr="00D0549E">
        <w:trPr>
          <w:tblCellSpacing w:w="15" w:type="dxa"/>
        </w:trPr>
        <w:tc>
          <w:tcPr>
            <w:tcW w:w="0" w:type="auto"/>
            <w:vAlign w:val="center"/>
            <w:hideMark/>
          </w:tcPr>
          <w:p w:rsidR="00D0549E" w:rsidRDefault="00D0549E">
            <w:r>
              <w:t>(G_C(\Pi_F))</w:t>
            </w:r>
          </w:p>
        </w:tc>
        <w:tc>
          <w:tcPr>
            <w:tcW w:w="0" w:type="auto"/>
            <w:vAlign w:val="center"/>
            <w:hideMark/>
          </w:tcPr>
          <w:p w:rsidR="00D0549E" w:rsidRDefault="00D0549E">
            <w:r>
              <w:t>kumulativer Gewinn</w:t>
            </w:r>
          </w:p>
        </w:tc>
        <w:tc>
          <w:tcPr>
            <w:tcW w:w="0" w:type="auto"/>
            <w:vAlign w:val="center"/>
            <w:hideMark/>
          </w:tcPr>
          <w:p w:rsidR="00D0549E" w:rsidRDefault="00D0549E">
            <w:r>
              <w:t>abgeleitet</w:t>
            </w:r>
          </w:p>
        </w:tc>
      </w:tr>
      <w:tr w:rsidR="00D0549E" w:rsidTr="00D0549E">
        <w:trPr>
          <w:tblCellSpacing w:w="15" w:type="dxa"/>
        </w:trPr>
        <w:tc>
          <w:tcPr>
            <w:tcW w:w="0" w:type="auto"/>
            <w:vAlign w:val="center"/>
            <w:hideMark/>
          </w:tcPr>
          <w:p w:rsidR="00D0549E" w:rsidRDefault="00D0549E">
            <w:r>
              <w:t>(L_C(\Pi_F))</w:t>
            </w:r>
          </w:p>
        </w:tc>
        <w:tc>
          <w:tcPr>
            <w:tcW w:w="0" w:type="auto"/>
            <w:vAlign w:val="center"/>
            <w:hideMark/>
          </w:tcPr>
          <w:p w:rsidR="00D0549E" w:rsidRDefault="00D0549E">
            <w:r>
              <w:t>kumulativer Verlust</w:t>
            </w:r>
          </w:p>
        </w:tc>
        <w:tc>
          <w:tcPr>
            <w:tcW w:w="0" w:type="auto"/>
            <w:vAlign w:val="center"/>
            <w:hideMark/>
          </w:tcPr>
          <w:p w:rsidR="00D0549E" w:rsidRDefault="00D0549E">
            <w:r>
              <w:t>abgeleitet</w:t>
            </w:r>
          </w:p>
        </w:tc>
      </w:tr>
      <w:tr w:rsidR="00D0549E" w:rsidTr="00D0549E">
        <w:trPr>
          <w:tblCellSpacing w:w="15" w:type="dxa"/>
        </w:trPr>
        <w:tc>
          <w:tcPr>
            <w:tcW w:w="0" w:type="auto"/>
            <w:vAlign w:val="center"/>
            <w:hideMark/>
          </w:tcPr>
          <w:p w:rsidR="00D0549E" w:rsidRDefault="00D0549E">
            <w:r>
              <w:t>(V_C)</w:t>
            </w:r>
          </w:p>
        </w:tc>
        <w:tc>
          <w:tcPr>
            <w:tcW w:w="0" w:type="auto"/>
            <w:vAlign w:val="center"/>
            <w:hideMark/>
          </w:tcPr>
          <w:p w:rsidR="00D0549E" w:rsidRDefault="00D0549E">
            <w:r>
              <w:t>Kohärenzvariation</w:t>
            </w:r>
          </w:p>
        </w:tc>
        <w:tc>
          <w:tcPr>
            <w:tcW w:w="0" w:type="auto"/>
            <w:vAlign w:val="center"/>
            <w:hideMark/>
          </w:tcPr>
          <w:p w:rsidR="00D0549E" w:rsidRDefault="00D0549E">
            <w:r>
              <w:t>abgeleitet</w:t>
            </w:r>
          </w:p>
        </w:tc>
      </w:tr>
      <w:tr w:rsidR="00D0549E" w:rsidTr="00D0549E">
        <w:trPr>
          <w:tblCellSpacing w:w="15" w:type="dxa"/>
        </w:trPr>
        <w:tc>
          <w:tcPr>
            <w:tcW w:w="0" w:type="auto"/>
            <w:vAlign w:val="center"/>
            <w:hideMark/>
          </w:tcPr>
          <w:p w:rsidR="00D0549E" w:rsidRDefault="00D0549E">
            <w:r>
              <w:t>(O_C)</w:t>
            </w:r>
          </w:p>
        </w:tc>
        <w:tc>
          <w:tcPr>
            <w:tcW w:w="0" w:type="auto"/>
            <w:vAlign w:val="center"/>
            <w:hideMark/>
          </w:tcPr>
          <w:p w:rsidR="00D0549E" w:rsidRDefault="00D0549E">
            <w:r>
              <w:t>Kohärenzoszillation</w:t>
            </w:r>
          </w:p>
        </w:tc>
        <w:tc>
          <w:tcPr>
            <w:tcW w:w="0" w:type="auto"/>
            <w:vAlign w:val="center"/>
            <w:hideMark/>
          </w:tcPr>
          <w:p w:rsidR="00D0549E" w:rsidRDefault="00D0549E">
            <w:r>
              <w:t>abgeleitet</w:t>
            </w:r>
          </w:p>
        </w:tc>
      </w:tr>
      <w:tr w:rsidR="00D0549E" w:rsidTr="00D0549E">
        <w:trPr>
          <w:tblCellSpacing w:w="15" w:type="dxa"/>
        </w:trPr>
        <w:tc>
          <w:tcPr>
            <w:tcW w:w="0" w:type="auto"/>
            <w:vAlign w:val="center"/>
            <w:hideMark/>
          </w:tcPr>
          <w:p w:rsidR="00D0549E" w:rsidRDefault="00D0549E">
            <w:r>
              <w:t>(\mathfrak K_{CT})</w:t>
            </w:r>
          </w:p>
        </w:tc>
        <w:tc>
          <w:tcPr>
            <w:tcW w:w="0" w:type="auto"/>
            <w:vAlign w:val="center"/>
            <w:hideMark/>
          </w:tcPr>
          <w:p w:rsidR="00D0549E" w:rsidRDefault="00D0549E">
            <w:r>
              <w:t>Kohärenz-Übergangs-Kopplung</w:t>
            </w:r>
          </w:p>
        </w:tc>
        <w:tc>
          <w:tcPr>
            <w:tcW w:w="0" w:type="auto"/>
            <w:vAlign w:val="center"/>
            <w:hideMark/>
          </w:tcPr>
          <w:p w:rsidR="00D0549E" w:rsidRDefault="00D0549E">
            <w:r>
              <w:t>Definition</w:t>
            </w:r>
          </w:p>
        </w:tc>
      </w:tr>
      <w:tr w:rsidR="00D0549E" w:rsidTr="00D0549E">
        <w:trPr>
          <w:tblCellSpacing w:w="15" w:type="dxa"/>
        </w:trPr>
        <w:tc>
          <w:tcPr>
            <w:tcW w:w="0" w:type="auto"/>
            <w:vAlign w:val="center"/>
            <w:hideMark/>
          </w:tcPr>
          <w:p w:rsidR="00D0549E" w:rsidRDefault="00D0549E">
            <w:r>
              <w:t>neues Primäraxiom</w:t>
            </w:r>
          </w:p>
        </w:tc>
        <w:tc>
          <w:tcPr>
            <w:tcW w:w="0" w:type="auto"/>
            <w:vAlign w:val="center"/>
            <w:hideMark/>
          </w:tcPr>
          <w:p w:rsidR="00D0549E" w:rsidRDefault="00D0549E">
            <w:r>
              <w:t>—</w:t>
            </w:r>
          </w:p>
        </w:tc>
        <w:tc>
          <w:tcPr>
            <w:tcW w:w="0" w:type="auto"/>
            <w:vAlign w:val="center"/>
            <w:hideMark/>
          </w:tcPr>
          <w:p w:rsidR="00D0549E" w:rsidRDefault="00D0549E">
            <w:r>
              <w:rPr>
                <w:rStyle w:val="Fett"/>
              </w:rPr>
              <w:t>keines</w:t>
            </w:r>
          </w:p>
        </w:tc>
      </w:tr>
    </w:tbl>
    <w:p w:rsidR="00D0549E" w:rsidRDefault="00D0549E" w:rsidP="00D0549E">
      <w:pPr>
        <w:pStyle w:val="StandardWeb"/>
      </w:pPr>
      <w:r>
        <w:t>Die Matrix kann formal zusammengefasst werden durch</w:t>
      </w:r>
    </w:p>
    <w:p w:rsidR="00D0549E" w:rsidRDefault="00D0549E" w:rsidP="00D0549E">
      <w:pPr>
        <w:pStyle w:val="berschrift1"/>
      </w:pPr>
      <w:r>
        <w:t>[</w:t>
      </w:r>
      <w:r>
        <w:br/>
        <w:t>\boxed{</w:t>
      </w:r>
      <w:r>
        <w:br/>
        <w:t>\mathfrak A_{3.3.44}^{\mathrm{new}}</w:t>
      </w:r>
    </w:p>
    <w:p w:rsidR="00D0549E" w:rsidRDefault="00D0549E" w:rsidP="00D0549E">
      <w:pPr>
        <w:pStyle w:val="StandardWeb"/>
      </w:pPr>
      <w:r>
        <w:t>\varnothing.</w:t>
      </w:r>
      <w:r>
        <w:br/>
        <w:t>}</w:t>
      </w:r>
      <w:r>
        <w:br/>
        <w:t>\tag{3.10033}</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\boxed{\mathfrak A_{3.3.44}^{\mathrm{new}}=\varnothing.}</w:t>
      </w:r>
    </w:p>
    <w:p w:rsidR="00D0549E" w:rsidRDefault="00E50336" w:rsidP="00D0549E">
      <w:r>
        <w:pict>
          <v:rect id="_x0000_i3092" style="width:0;height:1.5pt" o:hralign="center" o:hrstd="t" o:hr="t" fillcolor="#a0a0a0" stroked="f"/>
        </w:pict>
      </w:r>
    </w:p>
    <w:p w:rsidR="00D0549E" w:rsidRDefault="00D0549E" w:rsidP="00D0549E">
      <w:pPr>
        <w:pStyle w:val="berschrift1"/>
      </w:pPr>
      <w:r>
        <w:t>3.3.44.212 Keine verdeckten Primäraxiome</w:t>
      </w:r>
    </w:p>
    <w:p w:rsidR="00D0549E" w:rsidRDefault="00D0549E" w:rsidP="00D0549E">
      <w:pPr>
        <w:pStyle w:val="StandardWeb"/>
      </w:pPr>
      <w:r>
        <w:t>Ich prüfe zusätzlich, ob innerhalb der eingeführten Übergangsarchitektur eine Aussage faktisch wie ein Primäraxiom verwendet wurde, obwohl sie formal anders bezeichnet wurde.</w:t>
      </w:r>
    </w:p>
    <w:p w:rsidR="00D0549E" w:rsidRDefault="00D0549E" w:rsidP="00D0549E">
      <w:pPr>
        <w:pStyle w:val="StandardWeb"/>
      </w:pPr>
      <w:r>
        <w:t>Dazu fasse ich die Kandidaten zusammen als</w:t>
      </w:r>
    </w:p>
    <w:p w:rsidR="00D0549E" w:rsidRDefault="00D0549E" w:rsidP="00D0549E">
      <w:pPr>
        <w:pStyle w:val="berschrift1"/>
      </w:pPr>
      <w:r>
        <w:lastRenderedPageBreak/>
        <w:t>[</w:t>
      </w:r>
      <w:r>
        <w:br/>
        <w:t>\mathcal A_T^{\mathrm{cand}}</w:t>
      </w:r>
    </w:p>
    <w:p w:rsidR="00D0549E" w:rsidRDefault="00D0549E" w:rsidP="00D0549E">
      <w:pPr>
        <w:pStyle w:val="StandardWeb"/>
      </w:pPr>
      <w:r>
        <w:t>\left{</w:t>
      </w:r>
      <w:r>
        <w:br/>
        <w:t>A_T,</w:t>
      </w:r>
      <w:r>
        <w:br/>
        <w:t>A_T^{\min},</w:t>
      </w:r>
      <w:r>
        <w:br/>
        <w:t>M_T,</w:t>
      </w:r>
      <w:r>
        <w:br/>
        <w:t>M_T^{\mathrm{det}},</w:t>
      </w:r>
      <w:r>
        <w:br/>
        <w:t>M_C^{\uparrow},</w:t>
      </w:r>
      <w:r>
        <w:br/>
        <w:t>M_C^{\uparrow\uparrow},</w:t>
      </w:r>
      <w:r>
        <w:br/>
        <w:t>M_C^{\mathrm{opt}}</w:t>
      </w:r>
      <w:r>
        <w:br/>
        <w:t>\right}.</w:t>
      </w:r>
      <w:r>
        <w:br/>
        <w:t>\tag{3.10034}</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\mathcal A_T^{\mathrm{cand}}=\left\{A_T,A_T^{\min},M_T,M_T^{\mathrm{det}},M_C^{\uparrow},M_C^{\uparrow\uparrow},M_C^{\mathrm{opt}}\right\}</w:t>
      </w:r>
    </w:p>
    <w:p w:rsidR="00D0549E" w:rsidRDefault="00D0549E" w:rsidP="00D0549E">
      <w:pPr>
        <w:pStyle w:val="StandardWeb"/>
      </w:pPr>
      <w:r>
        <w:t>Für alle diese Aussagen gilt</w:t>
      </w:r>
    </w:p>
    <w:p w:rsidR="00D0549E" w:rsidRDefault="00D0549E" w:rsidP="00D0549E">
      <w:pPr>
        <w:pStyle w:val="StandardWeb"/>
      </w:pPr>
      <w:r>
        <w:t>[</w:t>
      </w:r>
      <w:r>
        <w:br/>
        <w:t>\boxed{</w:t>
      </w:r>
      <w:r>
        <w:br/>
        <w:t>\forall X\in\mathcal A_T^{\mathrm{cand}}:</w:t>
      </w:r>
      <w:r>
        <w:br/>
        <w:t>H_{\mathrm{Ax}}(X)=0.</w:t>
      </w:r>
      <w:r>
        <w:br/>
        <w:t>}</w:t>
      </w:r>
      <w:r>
        <w:br/>
        <w:t>\tag{3.10035}</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\boxed{\forall X\in\mathcal A_T^{\mathrm{cand}}:H_{\mathrm{Ax}}(X)=0.}</w:t>
      </w:r>
    </w:p>
    <w:p w:rsidR="00D0549E" w:rsidRDefault="00D0549E" w:rsidP="00D0549E">
      <w:pPr>
        <w:pStyle w:val="StandardWeb"/>
      </w:pPr>
      <w:r>
        <w:t>Damit enthält Abschnitt 3.3.44 auch keine verdeckt eingeführte Übergangsaxiomatik.</w:t>
      </w:r>
    </w:p>
    <w:p w:rsidR="00D0549E" w:rsidRDefault="00E50336" w:rsidP="00D0549E">
      <w:r>
        <w:pict>
          <v:rect id="_x0000_i3093" style="width:0;height:1.5pt" o:hralign="center" o:hrstd="t" o:hr="t" fillcolor="#a0a0a0" stroked="f"/>
        </w:pict>
      </w:r>
    </w:p>
    <w:p w:rsidR="00D0549E" w:rsidRDefault="00D0549E" w:rsidP="00D0549E">
      <w:pPr>
        <w:pStyle w:val="berschrift1"/>
      </w:pPr>
      <w:r>
        <w:t>3.3.44.213 Konsistenz mit dem Kohärenzprimäraxiom</w:t>
      </w:r>
    </w:p>
    <w:p w:rsidR="00D0549E" w:rsidRDefault="00D0549E" w:rsidP="00D0549E">
      <w:pPr>
        <w:pStyle w:val="StandardWeb"/>
      </w:pPr>
      <w:r>
        <w:t>Die Übergangsarchitektur darf außerdem das bereits bestätigte Kohärenzprimäraxiom (A_C) nicht widersprüchlich einschränken.</w:t>
      </w:r>
    </w:p>
    <w:p w:rsidR="00D0549E" w:rsidRDefault="00D0549E" w:rsidP="00D0549E">
      <w:pPr>
        <w:pStyle w:val="StandardWeb"/>
      </w:pPr>
      <w:r>
        <w:t>Die gemeinsame Struktur lautet</w:t>
      </w:r>
    </w:p>
    <w:p w:rsidR="00D0549E" w:rsidRDefault="00D0549E" w:rsidP="00D0549E">
      <w:pPr>
        <w:pStyle w:val="berschrift1"/>
      </w:pPr>
      <w:r>
        <w:t>[</w:t>
      </w:r>
      <w:r>
        <w:br/>
        <w:t>\mathfrak T_{CT}</w:t>
      </w:r>
    </w:p>
    <w:p w:rsidR="00D0549E" w:rsidRDefault="00D0549E" w:rsidP="00D0549E">
      <w:pPr>
        <w:pStyle w:val="StandardWeb"/>
      </w:pPr>
      <w:r>
        <w:lastRenderedPageBreak/>
        <w:t>\left(</w:t>
      </w:r>
      <w:r>
        <w:br/>
        <w:t>A_C,</w:t>
      </w:r>
      <w:r>
        <w:br/>
        <w:t>\mathfrak D_T,</w:t>
      </w:r>
      <w:r>
        <w:br/>
        <w:t>\mathfrak M_T,</w:t>
      </w:r>
      <w:r>
        <w:br/>
        <w:t>\mathfrak K_{CT}</w:t>
      </w:r>
      <w:r>
        <w:br/>
        <w:t>\right).</w:t>
      </w:r>
      <w:r>
        <w:br/>
        <w:t>\tag{3.10036}</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\mathfrak T_{CT}=\left(A_C,\mathfrak D_T,\mathfrak M_T,\mathfrak K_{CT}\right)</w:t>
      </w:r>
    </w:p>
    <w:p w:rsidR="00D0549E" w:rsidRDefault="00D0549E" w:rsidP="00D0549E">
      <w:pPr>
        <w:pStyle w:val="StandardWeb"/>
      </w:pPr>
      <w:r>
        <w:t>Da insbesondere sowohl Modelle mit</w:t>
      </w:r>
    </w:p>
    <w:p w:rsidR="00D0549E" w:rsidRDefault="00D0549E" w:rsidP="00D0549E">
      <w:pPr>
        <w:pStyle w:val="StandardWeb"/>
      </w:pPr>
      <w:r>
        <w:t>[</w:t>
      </w:r>
      <w:r>
        <w:br/>
        <w:t>\mathcal T_F=\varnothing</w:t>
      </w:r>
      <w:r>
        <w:br/>
        <w:t>\tag{3.10037}</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\mathcal T_F=\varnothing</w:t>
      </w:r>
    </w:p>
    <w:p w:rsidR="00D0549E" w:rsidRDefault="00D0549E" w:rsidP="00D0549E">
      <w:pPr>
        <w:pStyle w:val="StandardWeb"/>
      </w:pPr>
      <w:r>
        <w:t>als auch Modelle mit</w:t>
      </w:r>
    </w:p>
    <w:p w:rsidR="00D0549E" w:rsidRDefault="00D0549E" w:rsidP="00D0549E">
      <w:pPr>
        <w:pStyle w:val="StandardWeb"/>
      </w:pPr>
      <w:r>
        <w:t>[</w:t>
      </w:r>
      <w:r>
        <w:br/>
        <w:t>\mathcal T_F\neq\varnothing</w:t>
      </w:r>
      <w:r>
        <w:br/>
        <w:t>\tag{3.10038}</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\mathcal T_F\neq\varnothing</w:t>
      </w:r>
    </w:p>
    <w:p w:rsidR="00D0549E" w:rsidRDefault="00D0549E" w:rsidP="00D0549E">
      <w:pPr>
        <w:pStyle w:val="StandardWeb"/>
      </w:pPr>
      <w:r>
        <w:t>mit (A_C) vereinbar sind, entsteht kein logischer Zwang zur Übergangsexistenz.</w:t>
      </w:r>
    </w:p>
    <w:p w:rsidR="00D0549E" w:rsidRDefault="00E50336" w:rsidP="00D0549E">
      <w:r>
        <w:pict>
          <v:rect id="_x0000_i3094" style="width:0;height:1.5pt" o:hralign="center" o:hrstd="t" o:hr="t" fillcolor="#a0a0a0" stroked="f"/>
        </w:pict>
      </w:r>
    </w:p>
    <w:p w:rsidR="00D0549E" w:rsidRDefault="00D0549E" w:rsidP="00D0549E">
      <w:pPr>
        <w:pStyle w:val="berschrift1"/>
      </w:pPr>
      <w:r>
        <w:t>3.3.44.214 Konsistenzindikator</w:t>
      </w:r>
    </w:p>
    <w:p w:rsidR="00D0549E" w:rsidRDefault="00D0549E" w:rsidP="00D0549E">
      <w:pPr>
        <w:pStyle w:val="StandardWeb"/>
      </w:pPr>
      <w:r>
        <w:t>Ich kennzeichne diesen Befund durch</w:t>
      </w:r>
    </w:p>
    <w:p w:rsidR="00D0549E" w:rsidRDefault="00D0549E" w:rsidP="00D0549E">
      <w:pPr>
        <w:pStyle w:val="berschrift1"/>
      </w:pPr>
      <w:r>
        <w:t>[</w:t>
      </w:r>
      <w:r>
        <w:br/>
        <w:t>K_{CT}</w:t>
      </w:r>
    </w:p>
    <w:p w:rsidR="00D0549E" w:rsidRDefault="00D0549E" w:rsidP="00152216">
      <w:pPr>
        <w:numPr>
          <w:ilvl w:val="0"/>
          <w:numId w:val="455"/>
        </w:numPr>
        <w:spacing w:before="100" w:beforeAutospacing="1" w:after="100" w:afterAutospacing="1"/>
      </w:pPr>
    </w:p>
    <w:p w:rsidR="00D0549E" w:rsidRDefault="00D0549E" w:rsidP="00D0549E">
      <w:pPr>
        <w:pStyle w:val="StandardWeb"/>
      </w:pPr>
      <w:r>
        <w:lastRenderedPageBreak/>
        <w:t>\tag{3.10039}</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K_{CT}=1</w:t>
      </w:r>
    </w:p>
    <w:p w:rsidR="00D0549E" w:rsidRDefault="00D0549E" w:rsidP="00D0549E">
      <w:pPr>
        <w:pStyle w:val="StandardWeb"/>
      </w:pPr>
      <w:r>
        <w:t>Dabei bedeutet (K_{CT}=1), dass innerhalb des bislang konstruierten formalen Rahmens kein Widerspruch zwischen Kohärenzprimäraxiom und allgemeiner Übergangsarchitektur festgestellt wurde.</w:t>
      </w:r>
    </w:p>
    <w:p w:rsidR="00D0549E" w:rsidRDefault="00E50336" w:rsidP="00D0549E">
      <w:r>
        <w:pict>
          <v:rect id="_x0000_i3095" style="width:0;height:1.5pt" o:hralign="center" o:hrstd="t" o:hr="t" fillcolor="#a0a0a0" stroked="f"/>
        </w:pict>
      </w:r>
    </w:p>
    <w:p w:rsidR="00D0549E" w:rsidRDefault="00D0549E" w:rsidP="00D0549E">
      <w:pPr>
        <w:pStyle w:val="berschrift1"/>
      </w:pPr>
      <w:r>
        <w:t>3.3.44.215 Definition 3.3.103 – Kohärenz-Übergangs-Konsistenzindikator</w:t>
      </w:r>
    </w:p>
    <w:p w:rsidR="00D0549E" w:rsidRDefault="00D0549E" w:rsidP="00D0549E">
      <w:pPr>
        <w:pStyle w:val="berschrift3"/>
      </w:pPr>
      <w:r>
        <w:t>Definition 3.3.103</w:t>
      </w:r>
    </w:p>
    <w:p w:rsidR="00D0549E" w:rsidRDefault="00D0549E" w:rsidP="00D0549E">
      <w:pPr>
        <w:pStyle w:val="StandardWeb"/>
      </w:pPr>
      <w:r>
        <w:t xml:space="preserve">Der </w:t>
      </w:r>
      <w:r>
        <w:rPr>
          <w:rStyle w:val="Fett"/>
        </w:rPr>
        <w:t>Kohärenz-Übergangs-Konsistenzindikator</w:t>
      </w:r>
      <w:r>
        <w:t xml:space="preserve"> ist</w:t>
      </w:r>
    </w:p>
    <w:p w:rsidR="00D0549E" w:rsidRDefault="00D0549E" w:rsidP="00D0549E">
      <w:pPr>
        <w:pStyle w:val="StandardWeb"/>
      </w:pPr>
      <w:r>
        <w:t>[</w:t>
      </w:r>
      <w:r>
        <w:br/>
        <w:t>K_{CT}\in{0,1},</w:t>
      </w:r>
      <w:r>
        <w:br/>
        <w:t>\tag{3.10040}</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K_{CT}\in\{0,1\}</w:t>
      </w:r>
    </w:p>
    <w:p w:rsidR="00D0549E" w:rsidRDefault="00D0549E" w:rsidP="00D0549E">
      <w:pPr>
        <w:pStyle w:val="StandardWeb"/>
      </w:pPr>
      <w:r>
        <w:t>wobei</w:t>
      </w:r>
    </w:p>
    <w:p w:rsidR="00D0549E" w:rsidRDefault="00D0549E" w:rsidP="00D0549E">
      <w:pPr>
        <w:pStyle w:val="StandardWeb"/>
      </w:pPr>
      <w:r>
        <w:t>[</w:t>
      </w:r>
      <w:r>
        <w:br/>
        <w:t>K_{CT}=1</w:t>
      </w:r>
      <w:r>
        <w:br/>
        <w:t>\tag{3.10041}</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K_{CT}=1</w:t>
      </w:r>
    </w:p>
    <w:p w:rsidR="00D0549E" w:rsidRDefault="00D0549E" w:rsidP="00D0549E">
      <w:pPr>
        <w:pStyle w:val="StandardWeb"/>
      </w:pPr>
      <w:r>
        <w:t>bedeutet, dass die betrachtete Übergangsarchitektur mit der bestätigten Kohärenzaxiomatik im untersuchten formalen Rahmen widerspruchsfrei kombinierbar ist.</w:t>
      </w:r>
    </w:p>
    <w:p w:rsidR="00D0549E" w:rsidRDefault="00D0549E" w:rsidP="00D0549E">
      <w:pPr>
        <w:pStyle w:val="StandardWeb"/>
      </w:pPr>
      <w:r>
        <w:t>Der Indikator ist ein metatheoretisches Prüfwerkzeug und kein physikalisches Primäraxiom.</w:t>
      </w:r>
    </w:p>
    <w:p w:rsidR="00D0549E" w:rsidRDefault="00E50336" w:rsidP="00D0549E">
      <w:r>
        <w:pict>
          <v:rect id="_x0000_i3096" style="width:0;height:1.5pt" o:hralign="center" o:hrstd="t" o:hr="t" fillcolor="#a0a0a0" stroked="f"/>
        </w:pict>
      </w:r>
    </w:p>
    <w:p w:rsidR="00D0549E" w:rsidRDefault="00D0549E" w:rsidP="00D0549E">
      <w:pPr>
        <w:pStyle w:val="berschrift1"/>
      </w:pPr>
      <w:r>
        <w:t>3.3.44.216 Abschließende Primäraxiomprüfung</w:t>
      </w:r>
    </w:p>
    <w:p w:rsidR="00D0549E" w:rsidRDefault="00D0549E" w:rsidP="00D0549E">
      <w:pPr>
        <w:pStyle w:val="StandardWeb"/>
      </w:pPr>
      <w:r>
        <w:t>Damit liegen für den Gesamtabschnitt folgende Ergebnisse vor:</w:t>
      </w:r>
    </w:p>
    <w:p w:rsidR="00D0549E" w:rsidRDefault="00D0549E" w:rsidP="00D0549E">
      <w:pPr>
        <w:pStyle w:val="StandardWeb"/>
      </w:pPr>
      <w:r>
        <w:lastRenderedPageBreak/>
        <w:t>[</w:t>
      </w:r>
      <w:r>
        <w:br/>
        <w:t>N_T=0,</w:t>
      </w:r>
      <w:r>
        <w:br/>
        <w:t>\tag{3.10042}</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N_T=0</w:t>
      </w:r>
    </w:p>
    <w:p w:rsidR="00D0549E" w:rsidRDefault="00D0549E" w:rsidP="00D0549E">
      <w:pPr>
        <w:pStyle w:val="berschrift1"/>
      </w:pPr>
      <w:r>
        <w:t>[</w:t>
      </w:r>
      <w:r>
        <w:br/>
        <w:t>U_{\mathrm{Ax}}</w:t>
      </w:r>
      <w:r>
        <w:br/>
        <w:t>\left(</w:t>
      </w:r>
      <w:r>
        <w:br/>
        <w:t>A_T^{\min}</w:t>
      </w:r>
      <w:r>
        <w:br/>
        <w:t>\right)</w:t>
      </w:r>
    </w:p>
    <w:p w:rsidR="00D0549E" w:rsidRDefault="00D0549E" w:rsidP="00D0549E">
      <w:pPr>
        <w:pStyle w:val="StandardWeb"/>
      </w:pPr>
      <w:r>
        <w:t>0,</w:t>
      </w:r>
      <w:r>
        <w:br/>
        <w:t>\tag{3.10043}</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U_{\mathrm{Ax}}\left(A_T^{\min}\right)=0</w:t>
      </w:r>
    </w:p>
    <w:p w:rsidR="00D0549E" w:rsidRDefault="00D0549E" w:rsidP="00D0549E">
      <w:pPr>
        <w:pStyle w:val="berschrift1"/>
      </w:pPr>
      <w:r>
        <w:t>[</w:t>
      </w:r>
      <w:r>
        <w:br/>
        <w:t>U_{\mathrm{Ax}}</w:t>
      </w:r>
      <w:r>
        <w:br/>
        <w:t>\left(</w:t>
      </w:r>
      <w:r>
        <w:br/>
        <w:t>\mathfrak K_{CT}</w:t>
      </w:r>
      <w:r>
        <w:br/>
        <w:t>\right)</w:t>
      </w:r>
    </w:p>
    <w:p w:rsidR="00D0549E" w:rsidRDefault="00D0549E" w:rsidP="00D0549E">
      <w:pPr>
        <w:pStyle w:val="StandardWeb"/>
      </w:pPr>
      <w:r>
        <w:t>0,</w:t>
      </w:r>
      <w:r>
        <w:br/>
        <w:t>\tag{3.10044}</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U_{\mathrm{Ax}}\left(\mathfrak K_{CT}\right)=0</w:t>
      </w:r>
    </w:p>
    <w:p w:rsidR="00D0549E" w:rsidRDefault="00D0549E" w:rsidP="00D0549E">
      <w:pPr>
        <w:pStyle w:val="StandardWeb"/>
      </w:pPr>
      <w:r>
        <w:t>und</w:t>
      </w:r>
    </w:p>
    <w:p w:rsidR="00D0549E" w:rsidRDefault="00D0549E" w:rsidP="00D0549E">
      <w:pPr>
        <w:pStyle w:val="StandardWeb"/>
      </w:pPr>
      <w:r>
        <w:t>[</w:t>
      </w:r>
      <w:r>
        <w:br/>
        <w:t>K_{CT}=1.</w:t>
      </w:r>
      <w:r>
        <w:br/>
        <w:t>\tag{3.10045}</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lastRenderedPageBreak/>
        <w:t>K_{CT}=1</w:t>
      </w:r>
    </w:p>
    <w:p w:rsidR="00D0549E" w:rsidRDefault="00D0549E" w:rsidP="00D0549E">
      <w:pPr>
        <w:pStyle w:val="StandardWeb"/>
      </w:pPr>
      <w:r>
        <w:t>Damit ergibt sich endgültig</w:t>
      </w:r>
    </w:p>
    <w:p w:rsidR="00D0549E" w:rsidRDefault="00D0549E" w:rsidP="00D0549E">
      <w:pPr>
        <w:pStyle w:val="berschrift1"/>
      </w:pPr>
      <w:r>
        <w:t>[</w:t>
      </w:r>
      <w:r>
        <w:br/>
        <w:t>\boxed{</w:t>
      </w:r>
      <w:r>
        <w:br/>
        <w:t>\mathfrak A_{3.3.44}^{\mathrm{new}}</w:t>
      </w:r>
    </w:p>
    <w:p w:rsidR="00D0549E" w:rsidRDefault="00D0549E" w:rsidP="00D0549E">
      <w:pPr>
        <w:pStyle w:val="StandardWeb"/>
      </w:pPr>
      <w:r>
        <w:t>\varnothing.</w:t>
      </w:r>
      <w:r>
        <w:br/>
        <w:t>}</w:t>
      </w:r>
      <w:r>
        <w:br/>
        <w:t>\tag{3.10046}</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\boxed{\mathfrak A_{3.3.44}^{\mathrm{new}}=\varnothing.}</w:t>
      </w:r>
    </w:p>
    <w:p w:rsidR="00D0549E" w:rsidRDefault="00E50336" w:rsidP="00D0549E">
      <w:r>
        <w:pict>
          <v:rect id="_x0000_i3097" style="width:0;height:1.5pt" o:hralign="center" o:hrstd="t" o:hr="t" fillcolor="#a0a0a0" stroked="f"/>
        </w:pict>
      </w:r>
    </w:p>
    <w:p w:rsidR="00D0549E" w:rsidRDefault="00D0549E" w:rsidP="00D0549E">
      <w:pPr>
        <w:pStyle w:val="berschrift1"/>
      </w:pPr>
      <w:r>
        <w:t>3.3.44.217 Ergebnis der axiomatischen Prüfung</w:t>
      </w:r>
    </w:p>
    <w:p w:rsidR="00D0549E" w:rsidRDefault="00D0549E" w:rsidP="00D0549E">
      <w:pPr>
        <w:pStyle w:val="StandardWeb"/>
      </w:pPr>
      <w:r>
        <w:t xml:space="preserve">Das Ergebnis dieses Abschnitts besteht damit gerade </w:t>
      </w:r>
      <w:r>
        <w:rPr>
          <w:rStyle w:val="Fett"/>
        </w:rPr>
        <w:t>nicht</w:t>
      </w:r>
      <w:r>
        <w:t xml:space="preserve"> in der Einführung eines zusätzlichen Primäraxioms.</w:t>
      </w:r>
    </w:p>
    <w:p w:rsidR="00D0549E" w:rsidRDefault="00D0549E" w:rsidP="00D0549E">
      <w:pPr>
        <w:pStyle w:val="StandardWeb"/>
      </w:pPr>
      <w:r>
        <w:t>Vielmehr zeigt die Prüfung, dass die mathematische Beschreibung funktionaler Zustandsübergänge auf Grundlage bereits definierter Zustandsräume und des bestehenden Kohärenzprimäraxioms entwickelt werden kann, ohne jede konkrete Dynamik auf Primäraxiomniveau festzuschreiben.</w:t>
      </w:r>
    </w:p>
    <w:p w:rsidR="00D0549E" w:rsidRDefault="00D0549E" w:rsidP="00D0549E">
      <w:pPr>
        <w:pStyle w:val="StandardWeb"/>
      </w:pPr>
      <w:r>
        <w:t>Formal gilt</w:t>
      </w:r>
    </w:p>
    <w:p w:rsidR="00D0549E" w:rsidRDefault="00D0549E" w:rsidP="00D0549E">
      <w:pPr>
        <w:pStyle w:val="StandardWeb"/>
      </w:pPr>
      <w:r>
        <w:t>[</w:t>
      </w:r>
      <w:r>
        <w:br/>
        <w:t>\boxed{</w:t>
      </w:r>
      <w:r>
        <w:br/>
        <w:t>A_C</w:t>
      </w:r>
      <w:r>
        <w:br/>
        <w:t>;\text{bleibt von 3.3.44 unverändert.}</w:t>
      </w:r>
      <w:r>
        <w:br/>
        <w:t>}</w:t>
      </w:r>
      <w:r>
        <w:br/>
        <w:t>\tag{3.10047}</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\boxed{A_C\;\text{bleibt von 3.3.44 unverändert.}}</w:t>
      </w:r>
    </w:p>
    <w:p w:rsidR="00D0549E" w:rsidRDefault="00D0549E" w:rsidP="00D0549E">
      <w:pPr>
        <w:pStyle w:val="StandardWeb"/>
      </w:pPr>
      <w:r>
        <w:t>Dies ist selbst ein wesentliches Ergebnis der Axiomprüfung: Nicht jede für spätere Modelle wichtige mathematische Struktur benötigt ein eigenes Primäraxiom.</w:t>
      </w:r>
    </w:p>
    <w:p w:rsidR="00D0549E" w:rsidRDefault="00E50336" w:rsidP="00D0549E">
      <w:r>
        <w:pict>
          <v:rect id="_x0000_i3098" style="width:0;height:1.5pt" o:hralign="center" o:hrstd="t" o:hr="t" fillcolor="#a0a0a0" stroked="f"/>
        </w:pict>
      </w:r>
    </w:p>
    <w:p w:rsidR="00D0549E" w:rsidRDefault="00D0549E" w:rsidP="00D0549E">
      <w:pPr>
        <w:pStyle w:val="berschrift1"/>
      </w:pPr>
      <w:r>
        <w:lastRenderedPageBreak/>
        <w:t>3.3.44.218 Wissenschaftliche Eigenleistung dieses Abschnitts</w:t>
      </w:r>
    </w:p>
    <w:p w:rsidR="00D0549E" w:rsidRDefault="00D0549E" w:rsidP="00D0549E">
      <w:pPr>
        <w:pStyle w:val="StandardWeb"/>
      </w:pPr>
      <w:r>
        <w:t>Die Eigenleistung dieses Abschnitts liegt deshalb nicht in der Behauptung eines neuen fundamentalen Naturgesetzes. Ich habe vielmehr eine hierarchisch getrennte Übergangsarchitektur entwickelt, in der definitorische Strukturen, daraus folgende mathematische Aussagen, Operationalisierungen und zusätzliche Modellannahmen voneinander getrennt bleiben.</w:t>
      </w:r>
    </w:p>
    <w:p w:rsidR="00D0549E" w:rsidRDefault="00D0549E" w:rsidP="00D0549E">
      <w:pPr>
        <w:pStyle w:val="StandardWeb"/>
      </w:pPr>
      <w:r>
        <w:t>Diese Struktur lässt sich schreiben als</w:t>
      </w:r>
    </w:p>
    <w:p w:rsidR="00D0549E" w:rsidRDefault="00D0549E" w:rsidP="00D0549E">
      <w:pPr>
        <w:pStyle w:val="berschrift1"/>
      </w:pPr>
      <w:r>
        <w:t>[</w:t>
      </w:r>
      <w:r>
        <w:br/>
        <w:t>\boxed{</w:t>
      </w:r>
      <w:r>
        <w:br/>
        <w:t>\mathfrak U_F</w:t>
      </w:r>
    </w:p>
    <w:p w:rsidR="00D0549E" w:rsidRDefault="00D0549E" w:rsidP="00D0549E">
      <w:pPr>
        <w:pStyle w:val="StandardWeb"/>
      </w:pPr>
      <w:r>
        <w:t>\left(</w:t>
      </w:r>
      <w:r>
        <w:br/>
        <w:t>\mathfrak D_T,</w:t>
      </w:r>
      <w:r>
        <w:br/>
        <w:t>\mathfrak R_T,</w:t>
      </w:r>
      <w:r>
        <w:br/>
        <w:t>\mathfrak O_T,</w:t>
      </w:r>
      <w:r>
        <w:br/>
        <w:t>\mathfrak M_T,</w:t>
      </w:r>
      <w:r>
        <w:br/>
        <w:t>\mathfrak K_{CT}</w:t>
      </w:r>
      <w:r>
        <w:br/>
        <w:t>\right),</w:t>
      </w:r>
      <w:r>
        <w:br/>
        <w:t>}</w:t>
      </w:r>
      <w:r>
        <w:br/>
        <w:t>\tag{3.10048}</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\boxed{\mathfrak U_F=\left(\mathfrak D_T,\mathfrak R_T,\mathfrak O_T,\mathfrak M_T,\mathfrak K_{CT}\right),}</w:t>
      </w:r>
    </w:p>
    <w:p w:rsidR="00D0549E" w:rsidRDefault="00D0549E" w:rsidP="00D0549E">
      <w:pPr>
        <w:pStyle w:val="StandardWeb"/>
      </w:pPr>
      <w:r>
        <w:t>wobei (\mathfrak D_T) die definitorischen Übergangsstrukturen, (\mathfrak R_T) die abgeleiteten Relationen und Größen, (\mathfrak O_T) die Operationalisierungen, (\mathfrak M_T) die Modellannahmen und (\mathfrak K_{CT}) die Kopplung zur Kohärenzstruktur umfasst.</w:t>
      </w:r>
    </w:p>
    <w:p w:rsidR="00D0549E" w:rsidRDefault="00E50336" w:rsidP="00D0549E">
      <w:r>
        <w:pict>
          <v:rect id="_x0000_i3099" style="width:0;height:1.5pt" o:hralign="center" o:hrstd="t" o:hr="t" fillcolor="#a0a0a0" stroked="f"/>
        </w:pict>
      </w:r>
    </w:p>
    <w:p w:rsidR="00D0549E" w:rsidRDefault="00D0549E" w:rsidP="00D0549E">
      <w:pPr>
        <w:pStyle w:val="berschrift1"/>
      </w:pPr>
      <w:r>
        <w:t>3.3.44.219 Methodologische Betrachtungen</w:t>
      </w:r>
    </w:p>
    <w:p w:rsidR="00D0549E" w:rsidRDefault="00D0549E" w:rsidP="00D0549E">
      <w:pPr>
        <w:pStyle w:val="StandardWeb"/>
      </w:pPr>
      <w:r>
        <w:t>Methodologisch ist für mich das wichtigste Ergebnis von Abschnitt 3.3.44, dass die Einführung einer mathematischen Struktur nicht mit ihrer ontologischen oder physikalischen Notwendigkeit verwechselt werden darf. Die Relation (\mathcal T_F) ermöglicht es mir, Zustandsübergänge formal zu beschreiben; daraus folgt aber weder, dass jedes FRZK-Modell einen Übergang besitzen muss, noch dass ein solcher Übergang deterministisch, kontinuierlich, zeitparametrisiert, kausal gerichtet oder kohärenzsteigernd sein muss.</w:t>
      </w:r>
    </w:p>
    <w:p w:rsidR="00D0549E" w:rsidRDefault="00D0549E" w:rsidP="00D0549E">
      <w:pPr>
        <w:pStyle w:val="StandardWeb"/>
      </w:pPr>
      <w:r>
        <w:lastRenderedPageBreak/>
        <w:t>Diese Trennung verhindert insbesondere den methodischen Fehler</w:t>
      </w:r>
    </w:p>
    <w:p w:rsidR="00D0549E" w:rsidRDefault="00D0549E" w:rsidP="00D0549E">
      <w:pPr>
        <w:pStyle w:val="StandardWeb"/>
      </w:pPr>
      <w:r>
        <w:t>[</w:t>
      </w:r>
      <w:r>
        <w:br/>
        <w:t>\boxed{</w:t>
      </w:r>
      <w:r>
        <w:br/>
        <w:t>\text{Beschreibbarkeit}</w:t>
      </w:r>
      <w:r>
        <w:br/>
        <w:t>\nRightarrow</w:t>
      </w:r>
      <w:r>
        <w:br/>
        <w:t>\text{physikalische Notwendigkeit}.</w:t>
      </w:r>
      <w:r>
        <w:br/>
        <w:t>}</w:t>
      </w:r>
      <w:r>
        <w:br/>
        <w:t>\tag{3.10049}</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\boxed{\text{Beschreibbarkeit}\nRightarrow\text{physikalische Notwendigkeit}.}</w:t>
      </w:r>
    </w:p>
    <w:p w:rsidR="00D0549E" w:rsidRDefault="00D0549E" w:rsidP="00D0549E">
      <w:pPr>
        <w:pStyle w:val="StandardWeb"/>
      </w:pPr>
      <w:r>
        <w:t>Aus demselben Grund habe ich sowohl (A_T) als auch (A_T^{\min}) verworfen, obwohl beide zunächst plausible Primäraxiomkandidaten waren. Ein statisches kohärentes Gegenmodell genügt bereits, um ihre universelle Notwendigkeit zu widerlegen.</w:t>
      </w:r>
    </w:p>
    <w:p w:rsidR="00D0549E" w:rsidRDefault="00D0549E" w:rsidP="00D0549E">
      <w:pPr>
        <w:pStyle w:val="StandardWeb"/>
      </w:pPr>
      <w:r>
        <w:t>Der methodische Prüfweg dieses Abschnitts kann damit zusammengefasst werden als</w:t>
      </w:r>
    </w:p>
    <w:p w:rsidR="00D0549E" w:rsidRDefault="00D0549E" w:rsidP="00D0549E">
      <w:pPr>
        <w:pStyle w:val="StandardWeb"/>
      </w:pPr>
      <w:r>
        <w:t>[</w:t>
      </w:r>
      <w:r>
        <w:br/>
        <w:t>\text{Kandidat}</w:t>
      </w:r>
      <w:r>
        <w:br/>
        <w:t>\rightarrow</w:t>
      </w:r>
      <w:r>
        <w:br/>
        <w:t>\text{Gegenmodell}</w:t>
      </w:r>
      <w:r>
        <w:br/>
        <w:t>\rightarrow</w:t>
      </w:r>
      <w:r>
        <w:br/>
        <w:t>\text{Unabhängigkeitsprüfung}</w:t>
      </w:r>
      <w:r>
        <w:br/>
        <w:t>\rightarrow</w:t>
      </w:r>
      <w:r>
        <w:br/>
        <w:t>\text{Minimalitätsprüfung}</w:t>
      </w:r>
      <w:r>
        <w:br/>
        <w:t>\rightarrow</w:t>
      </w:r>
      <w:r>
        <w:br/>
        <w:t>\text{Statusentscheidung}.</w:t>
      </w:r>
      <w:r>
        <w:br/>
        <w:t>\tag{3.10050}</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\text{Kandidat}\rightarrow\text{Gegenmodell}\rightarrow\text{Unabhängigkeitsprüfung}\rightarrow\text{Minimalitätsprüfung}\rightarrow\text{Statusentscheidung}</w:t>
      </w:r>
    </w:p>
    <w:p w:rsidR="00D0549E" w:rsidRDefault="00D0549E" w:rsidP="00D0549E">
      <w:pPr>
        <w:pStyle w:val="StandardWeb"/>
      </w:pPr>
      <w:r>
        <w:t>Ich verwende dieses Vorgehen bewusst restriktiv: Ein neues Primäraxiom wird nur dann eingeführt, wenn eine Aussage tatsächlich nicht eliminierbar ist, ohne den beabsichtigten elementaren Gegenstandsbereich der Theorie zu verlieren.</w:t>
      </w:r>
    </w:p>
    <w:p w:rsidR="00D0549E" w:rsidRDefault="00D0549E" w:rsidP="00D0549E">
      <w:pPr>
        <w:pStyle w:val="StandardWeb"/>
      </w:pPr>
      <w:r>
        <w:t>Die Übergangsarchitektur erfüllt damit ein wichtiges Ziel der gesamten Axiomatik:</w:t>
      </w:r>
    </w:p>
    <w:p w:rsidR="00D0549E" w:rsidRDefault="00D0549E" w:rsidP="00D0549E">
      <w:pPr>
        <w:pStyle w:val="StandardWeb"/>
      </w:pPr>
      <w:r>
        <w:t>[</w:t>
      </w:r>
      <w:r>
        <w:br/>
        <w:t>\boxed{</w:t>
      </w:r>
      <w:r>
        <w:br/>
        <w:t>\text{möglichst geringe Primäraxiomatik}</w:t>
      </w:r>
      <w:r>
        <w:br/>
        <w:t>+</w:t>
      </w:r>
      <w:r>
        <w:br/>
        <w:t>\text{möglichst hohe strukturelle Ausdrucksfähigkeit}.</w:t>
      </w:r>
      <w:r>
        <w:br/>
      </w:r>
      <w:r>
        <w:lastRenderedPageBreak/>
        <w:t>}</w:t>
      </w:r>
      <w:r>
        <w:br/>
        <w:t>\tag{3.10051}</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\boxed{\text{möglichst geringe Primäraxiomatik}+\text{möglichst hohe strukturelle Ausdrucksfähigkeit}.}</w:t>
      </w:r>
    </w:p>
    <w:p w:rsidR="00D0549E" w:rsidRDefault="00E50336" w:rsidP="00D0549E">
      <w:r>
        <w:pict>
          <v:rect id="_x0000_i3100" style="width:0;height:1.5pt" o:hralign="center" o:hrstd="t" o:hr="t" fillcolor="#a0a0a0" stroked="f"/>
        </w:pict>
      </w:r>
    </w:p>
    <w:p w:rsidR="00D0549E" w:rsidRDefault="00D0549E" w:rsidP="00D0549E">
      <w:pPr>
        <w:pStyle w:val="berschrift1"/>
      </w:pPr>
      <w:r>
        <w:t>3.3.44.220 Didaktische Betrachtungen</w:t>
      </w:r>
    </w:p>
    <w:p w:rsidR="00D0549E" w:rsidRDefault="00D0549E" w:rsidP="00D0549E">
      <w:pPr>
        <w:pStyle w:val="StandardWeb"/>
      </w:pPr>
      <w:r>
        <w:t xml:space="preserve">Didaktisch ist die Unterscheidung zwischen Zustand und Zustandsübergang besonders wichtig. Ein Zustand beschreibt zunächst, </w:t>
      </w:r>
      <w:r>
        <w:rPr>
          <w:rStyle w:val="Fett"/>
        </w:rPr>
        <w:t>wie ein System ist</w:t>
      </w:r>
      <w:r>
        <w:t xml:space="preserve">; eine Übergangsrelation beschreibt dagegen, </w:t>
      </w:r>
      <w:r>
        <w:rPr>
          <w:rStyle w:val="Fett"/>
        </w:rPr>
        <w:t>welche Veränderungen zwischen Zuständen zugelassen werden können</w:t>
      </w:r>
      <w:r>
        <w:t>. Dass beide Begriffe mathematisch gemeinsam verwendet werden, bedeutet noch nicht, dass jeder Zustand tatsächlich verändert werden muss.</w:t>
      </w:r>
    </w:p>
    <w:p w:rsidR="00D0549E" w:rsidRDefault="00D0549E" w:rsidP="00D0549E">
      <w:pPr>
        <w:pStyle w:val="StandardWeb"/>
      </w:pPr>
      <w:r>
        <w:t>Ein einfaches Beispiel ist eine Menge aus zwei Zuständen</w:t>
      </w:r>
    </w:p>
    <w:p w:rsidR="00D0549E" w:rsidRDefault="00D0549E" w:rsidP="00D0549E">
      <w:pPr>
        <w:pStyle w:val="berschrift1"/>
      </w:pPr>
      <w:r>
        <w:t>[</w:t>
      </w:r>
      <w:r>
        <w:br/>
        <w:t>\Omega_F</w:t>
      </w:r>
    </w:p>
    <w:p w:rsidR="00D0549E" w:rsidRDefault="00D0549E" w:rsidP="00D0549E">
      <w:pPr>
        <w:pStyle w:val="StandardWeb"/>
      </w:pPr>
      <w:r>
        <w:t>{z_1,z_2}.</w:t>
      </w:r>
      <w:r>
        <w:br/>
        <w:t>\tag{3.10052}</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\Omega_F=\{z_1,z_2\}</w:t>
      </w:r>
    </w:p>
    <w:p w:rsidR="00D0549E" w:rsidRDefault="00D0549E" w:rsidP="00D0549E">
      <w:pPr>
        <w:pStyle w:val="StandardWeb"/>
      </w:pPr>
      <w:r>
        <w:t>Ich kann zunächst</w:t>
      </w:r>
    </w:p>
    <w:p w:rsidR="00D0549E" w:rsidRDefault="00D0549E" w:rsidP="00D0549E">
      <w:pPr>
        <w:pStyle w:val="StandardWeb"/>
      </w:pPr>
      <w:r>
        <w:t>[</w:t>
      </w:r>
      <w:r>
        <w:br/>
        <w:t>\mathcal T_F=\varnothing</w:t>
      </w:r>
      <w:r>
        <w:br/>
        <w:t>\tag{3.10053}</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\mathcal T_F=\varnothing</w:t>
      </w:r>
    </w:p>
    <w:p w:rsidR="00D0549E" w:rsidRDefault="00D0549E" w:rsidP="00D0549E">
      <w:pPr>
        <w:pStyle w:val="StandardWeb"/>
      </w:pPr>
      <w:r>
        <w:t>festlegen. Dann sind zwei Zustände mathematisch vorhanden, aber kein Übergang ist zugelassen.</w:t>
      </w:r>
    </w:p>
    <w:p w:rsidR="00D0549E" w:rsidRDefault="00D0549E" w:rsidP="00D0549E">
      <w:pPr>
        <w:pStyle w:val="StandardWeb"/>
      </w:pPr>
      <w:r>
        <w:t>Ich kann anschließend</w:t>
      </w:r>
    </w:p>
    <w:p w:rsidR="00D0549E" w:rsidRDefault="00D0549E" w:rsidP="00D0549E">
      <w:pPr>
        <w:pStyle w:val="berschrift1"/>
      </w:pPr>
      <w:r>
        <w:lastRenderedPageBreak/>
        <w:t>[</w:t>
      </w:r>
      <w:r>
        <w:br/>
        <w:t>\mathcal T_F</w:t>
      </w:r>
    </w:p>
    <w:p w:rsidR="00D0549E" w:rsidRDefault="00D0549E" w:rsidP="00D0549E">
      <w:pPr>
        <w:pStyle w:val="StandardWeb"/>
      </w:pPr>
      <w:r>
        <w:t>{(z_1,z_1),(z_2,z_2)}</w:t>
      </w:r>
      <w:r>
        <w:br/>
        <w:t>\tag{3.10054}</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\mathcal T_F=\{(z_1,z_1),(z_2,z_2)\}</w:t>
      </w:r>
    </w:p>
    <w:p w:rsidR="00D0549E" w:rsidRDefault="00D0549E" w:rsidP="00D0549E">
      <w:pPr>
        <w:pStyle w:val="StandardWeb"/>
      </w:pPr>
      <w:r>
        <w:t>setzen. Nun existieren Übergänge, aber ausschließlich Selbstübergänge.</w:t>
      </w:r>
    </w:p>
    <w:p w:rsidR="00D0549E" w:rsidRDefault="00D0549E" w:rsidP="00D0549E">
      <w:pPr>
        <w:pStyle w:val="StandardWeb"/>
      </w:pPr>
      <w:r>
        <w:t>Erst mit</w:t>
      </w:r>
    </w:p>
    <w:p w:rsidR="00D0549E" w:rsidRDefault="00D0549E" w:rsidP="00D0549E">
      <w:pPr>
        <w:pStyle w:val="berschrift1"/>
      </w:pPr>
      <w:r>
        <w:t>[</w:t>
      </w:r>
      <w:r>
        <w:br/>
        <w:t>\mathcal T_F</w:t>
      </w:r>
    </w:p>
    <w:p w:rsidR="00D0549E" w:rsidRDefault="00D0549E" w:rsidP="00D0549E">
      <w:pPr>
        <w:pStyle w:val="StandardWeb"/>
      </w:pPr>
      <w:r>
        <w:t>{(z_1,z_2)}</w:t>
      </w:r>
      <w:r>
        <w:br/>
        <w:t>\tag{3.10055}</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\mathcal T_F=\{(z_1,z_2)\}</w:t>
      </w:r>
    </w:p>
    <w:p w:rsidR="00D0549E" w:rsidRDefault="00D0549E" w:rsidP="00D0549E">
      <w:pPr>
        <w:pStyle w:val="StandardWeb"/>
      </w:pPr>
      <w:r>
        <w:t>wird ein nichttrivialer Zustandswechsel zugelassen.</w:t>
      </w:r>
    </w:p>
    <w:p w:rsidR="00D0549E" w:rsidRDefault="00D0549E" w:rsidP="00D0549E">
      <w:pPr>
        <w:pStyle w:val="StandardWeb"/>
      </w:pPr>
      <w:r>
        <w:t>Diese drei einfachen Fälle verdeutlichen unmittelbar den Unterschied zwischen</w:t>
      </w:r>
    </w:p>
    <w:p w:rsidR="00D0549E" w:rsidRDefault="00D0549E" w:rsidP="00D0549E">
      <w:pPr>
        <w:pStyle w:val="StandardWeb"/>
      </w:pPr>
      <w:r>
        <w:t>[</w:t>
      </w:r>
      <w:r>
        <w:br/>
        <w:t>\mathcal T_F=\varnothing,</w:t>
      </w:r>
      <w:r>
        <w:br/>
        <w:t>\qquad</w:t>
      </w:r>
      <w:r>
        <w:br/>
        <w:t>A_T^{\min},</w:t>
      </w:r>
      <w:r>
        <w:br/>
        <w:t>\qquad</w:t>
      </w:r>
      <w:r>
        <w:br/>
        <w:t>M_T.</w:t>
      </w:r>
      <w:r>
        <w:br/>
        <w:t>\tag{3.10056}</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\mathcal T_F=\varnothing,\qquad A_T^{\min},\qquad M_T</w:t>
      </w:r>
    </w:p>
    <w:p w:rsidR="00D0549E" w:rsidRDefault="00D0549E" w:rsidP="00D0549E">
      <w:pPr>
        <w:pStyle w:val="StandardWeb"/>
      </w:pPr>
      <w:r>
        <w:t>Ebenso lässt sich die Kohärenzänderung anschaulich erklären. Besitzen zwei aufeinanderfolgende Zustände beispielsweise</w:t>
      </w:r>
    </w:p>
    <w:p w:rsidR="00D0549E" w:rsidRDefault="00D0549E" w:rsidP="00D0549E">
      <w:pPr>
        <w:pStyle w:val="StandardWeb"/>
      </w:pPr>
      <w:r>
        <w:t>[</w:t>
      </w:r>
      <w:r>
        <w:br/>
        <w:t>C_F(z_1)=0.8</w:t>
      </w:r>
      <w:r>
        <w:br/>
      </w:r>
      <w:r>
        <w:lastRenderedPageBreak/>
        <w:t>\tag{3.10057}</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C_F(z_1)=0.8</w:t>
      </w:r>
    </w:p>
    <w:p w:rsidR="00D0549E" w:rsidRDefault="00D0549E" w:rsidP="00D0549E">
      <w:pPr>
        <w:pStyle w:val="StandardWeb"/>
      </w:pPr>
      <w:r>
        <w:t>und</w:t>
      </w:r>
    </w:p>
    <w:p w:rsidR="00D0549E" w:rsidRDefault="00D0549E" w:rsidP="00D0549E">
      <w:pPr>
        <w:pStyle w:val="StandardWeb"/>
      </w:pPr>
      <w:r>
        <w:t>[</w:t>
      </w:r>
      <w:r>
        <w:br/>
        <w:t>C_F(z_2)=0.6,</w:t>
      </w:r>
      <w:r>
        <w:br/>
        <w:t>\tag{3.10058}</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C_F(z_2)=0.6</w:t>
      </w:r>
    </w:p>
    <w:p w:rsidR="00D0549E" w:rsidRDefault="00D0549E" w:rsidP="00D0549E">
      <w:pPr>
        <w:pStyle w:val="StandardWeb"/>
      </w:pPr>
      <w:r>
        <w:t>so ergibt sich</w:t>
      </w:r>
    </w:p>
    <w:p w:rsidR="00D0549E" w:rsidRDefault="00D0549E" w:rsidP="00D0549E">
      <w:pPr>
        <w:pStyle w:val="berschrift1"/>
      </w:pPr>
      <w:r>
        <w:t>[</w:t>
      </w:r>
      <w:r>
        <w:br/>
        <w:t>\Delta_T C_F</w:t>
      </w:r>
    </w:p>
    <w:p w:rsidR="00D0549E" w:rsidRDefault="00D0549E" w:rsidP="00D0549E">
      <w:pPr>
        <w:pStyle w:val="berschrift1"/>
      </w:pPr>
      <w:r>
        <w:t>0.6-0.8</w:t>
      </w:r>
    </w:p>
    <w:p w:rsidR="00D0549E" w:rsidRDefault="00D0549E" w:rsidP="00D0549E">
      <w:pPr>
        <w:pStyle w:val="StandardWeb"/>
      </w:pPr>
      <w:r>
        <w:t>-0.2.</w:t>
      </w:r>
      <w:r>
        <w:br/>
        <w:t>\tag{3.10059}</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\Delta_T C_F=0.6-0.8=-0.2</w:t>
      </w:r>
    </w:p>
    <w:p w:rsidR="00D0549E" w:rsidRDefault="00D0549E" w:rsidP="00D0549E">
      <w:pPr>
        <w:pStyle w:val="StandardWeb"/>
      </w:pPr>
      <w:r>
        <w:t>Der Übergang ist damit kohärenzvermindernd, aber keineswegs automatisch unzulässig.</w:t>
      </w:r>
    </w:p>
    <w:p w:rsidR="00D0549E" w:rsidRDefault="00D0549E" w:rsidP="00D0549E">
      <w:pPr>
        <w:pStyle w:val="StandardWeb"/>
      </w:pPr>
      <w:r>
        <w:t>Gerade diese Unterscheidung verhindert eine intuitive, aber wissenschaftlich unbegründete Gleichsetzung von „mehr Kohärenz“ mit „notwendig richtiger Entwicklung“.</w:t>
      </w:r>
    </w:p>
    <w:p w:rsidR="00D0549E" w:rsidRDefault="00D0549E" w:rsidP="00D0549E">
      <w:pPr>
        <w:pStyle w:val="StandardWeb"/>
      </w:pPr>
      <w:r>
        <w:t>Didaktisch lässt sich die gesamte Architektur deshalb auf die Reihenfolge</w:t>
      </w:r>
    </w:p>
    <w:p w:rsidR="00D0549E" w:rsidRDefault="00D0549E" w:rsidP="00D0549E">
      <w:pPr>
        <w:pStyle w:val="StandardWeb"/>
      </w:pPr>
      <w:r>
        <w:t>[</w:t>
      </w:r>
      <w:r>
        <w:br/>
        <w:t>\boxed{</w:t>
      </w:r>
      <w:r>
        <w:br/>
        <w:t>\text{Zustand}</w:t>
      </w:r>
      <w:r>
        <w:br/>
        <w:t>\rightarrow</w:t>
      </w:r>
      <w:r>
        <w:br/>
        <w:t>\text{möglicher Übergang}</w:t>
      </w:r>
      <w:r>
        <w:br/>
        <w:t>\rightarrow</w:t>
      </w:r>
      <w:r>
        <w:br/>
        <w:t>\text{realisierter Übergang}</w:t>
      </w:r>
      <w:r>
        <w:br/>
        <w:t>\rightarrow</w:t>
      </w:r>
      <w:r>
        <w:br/>
        <w:t>\text{Kohärenzänderung}</w:t>
      </w:r>
      <w:r>
        <w:br/>
        <w:t>\rightarrow</w:t>
      </w:r>
      <w:r>
        <w:br/>
      </w:r>
      <w:r>
        <w:lastRenderedPageBreak/>
        <w:t>\text{Modellbewertung}</w:t>
      </w:r>
      <w:r>
        <w:br/>
        <w:t>}</w:t>
      </w:r>
      <w:r>
        <w:br/>
        <w:t>\tag{3.10060}</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\boxed{\text{Zustand}\rightarrow\text{möglicher Übergang}\rightarrow\text{realisierter Übergang}\rightarrow\text{Kohärenzänderung}\rightarrow\text{Modellbewertung}}</w:t>
      </w:r>
    </w:p>
    <w:p w:rsidR="00D0549E" w:rsidRDefault="00D0549E" w:rsidP="00D0549E">
      <w:pPr>
        <w:pStyle w:val="StandardWeb"/>
      </w:pPr>
      <w:r>
        <w:t>reduzieren.</w:t>
      </w:r>
    </w:p>
    <w:p w:rsidR="00D0549E" w:rsidRDefault="00E50336" w:rsidP="00D0549E">
      <w:r>
        <w:pict>
          <v:rect id="_x0000_i3101" style="width:0;height:1.5pt" o:hralign="center" o:hrstd="t" o:hr="t" fillcolor="#a0a0a0" stroked="f"/>
        </w:pict>
      </w:r>
    </w:p>
    <w:p w:rsidR="00D0549E" w:rsidRDefault="00D0549E" w:rsidP="00D0549E">
      <w:pPr>
        <w:pStyle w:val="berschrift1"/>
      </w:pPr>
      <w:r>
        <w:t>3.3.44.221 Gesamtabschluss von Abschnitt 3.3.44</w:t>
      </w:r>
    </w:p>
    <w:p w:rsidR="00D0549E" w:rsidRDefault="00D0549E" w:rsidP="00D0549E">
      <w:pPr>
        <w:pStyle w:val="StandardWeb"/>
      </w:pPr>
      <w:r>
        <w:t>Abschnitt 3.3.44 hat damit die mathematische und wissenschaftstheoretische Grundlage funktionaler Zustandsübergänge innerhalb des FRZK geschaffen.</w:t>
      </w:r>
    </w:p>
    <w:p w:rsidR="00D0549E" w:rsidRDefault="00D0549E" w:rsidP="00D0549E">
      <w:pPr>
        <w:pStyle w:val="StandardWeb"/>
      </w:pPr>
      <w:r>
        <w:t>Die zentrale Übergangsstruktur lautet</w:t>
      </w:r>
    </w:p>
    <w:p w:rsidR="00D0549E" w:rsidRDefault="00D0549E" w:rsidP="00D0549E">
      <w:pPr>
        <w:pStyle w:val="berschrift1"/>
      </w:pPr>
      <w:r>
        <w:t>[</w:t>
      </w:r>
      <w:r>
        <w:br/>
        <w:t>\boxed{</w:t>
      </w:r>
      <w:r>
        <w:br/>
        <w:t>\mathfrak U_F</w:t>
      </w:r>
    </w:p>
    <w:p w:rsidR="00D0549E" w:rsidRDefault="00D0549E" w:rsidP="00D0549E">
      <w:pPr>
        <w:pStyle w:val="StandardWeb"/>
      </w:pPr>
      <w:r>
        <w:t>\left(</w:t>
      </w:r>
      <w:r>
        <w:br/>
        <w:t>\mathfrak D_T,</w:t>
      </w:r>
      <w:r>
        <w:br/>
        <w:t>\mathfrak R_T,</w:t>
      </w:r>
      <w:r>
        <w:br/>
        <w:t>\mathfrak O_T,</w:t>
      </w:r>
      <w:r>
        <w:br/>
        <w:t>\mathfrak M_T,</w:t>
      </w:r>
      <w:r>
        <w:br/>
        <w:t>\mathfrak K_{CT}</w:t>
      </w:r>
      <w:r>
        <w:br/>
        <w:t>\right).</w:t>
      </w:r>
      <w:r>
        <w:br/>
        <w:t>}</w:t>
      </w:r>
      <w:r>
        <w:br/>
        <w:t>\tag{3.10061}</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\boxed{\mathfrak U_F=\left(\mathfrak D_T,\mathfrak R_T,\mathfrak O_T,\mathfrak M_T,\mathfrak K_{CT}\right).}</w:t>
      </w:r>
    </w:p>
    <w:p w:rsidR="00D0549E" w:rsidRDefault="00D0549E" w:rsidP="00D0549E">
      <w:pPr>
        <w:pStyle w:val="StandardWeb"/>
      </w:pPr>
      <w:r>
        <w:t>Für die Primäraxiomatik gilt dagegen unverändert</w:t>
      </w:r>
    </w:p>
    <w:p w:rsidR="00D0549E" w:rsidRDefault="00D0549E" w:rsidP="00D0549E">
      <w:pPr>
        <w:pStyle w:val="berschrift1"/>
      </w:pPr>
      <w:r>
        <w:lastRenderedPageBreak/>
        <w:t>[</w:t>
      </w:r>
      <w:r>
        <w:br/>
        <w:t>\boxed{</w:t>
      </w:r>
      <w:r>
        <w:br/>
        <w:t>\mathfrak A_{3.3.44}^{\mathrm{new}}</w:t>
      </w:r>
    </w:p>
    <w:p w:rsidR="00D0549E" w:rsidRDefault="00D0549E" w:rsidP="00D0549E">
      <w:pPr>
        <w:pStyle w:val="StandardWeb"/>
      </w:pPr>
      <w:r>
        <w:t>\varnothing.</w:t>
      </w:r>
      <w:r>
        <w:br/>
        <w:t>}</w:t>
      </w:r>
      <w:r>
        <w:br/>
        <w:t>\tag{3.10062}</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\boxed{\mathfrak A_{3.3.44}^{\mathrm{new}}=\varnothing.}</w:t>
      </w:r>
    </w:p>
    <w:p w:rsidR="00D0549E" w:rsidRDefault="00D0549E" w:rsidP="00D0549E">
      <w:pPr>
        <w:pStyle w:val="StandardWeb"/>
      </w:pPr>
      <w:r>
        <w:t xml:space="preserve">Damit ist </w:t>
      </w:r>
      <w:r>
        <w:rPr>
          <w:rStyle w:val="Fett"/>
        </w:rPr>
        <w:t>3.3.44 vollständig abgeschlossen</w:t>
      </w:r>
      <w:r>
        <w:t>.</w:t>
      </w:r>
    </w:p>
    <w:p w:rsidR="00D0549E" w:rsidRDefault="00D0549E" w:rsidP="00D0549E">
      <w:pPr>
        <w:pStyle w:val="StandardWeb"/>
      </w:pPr>
      <w:r>
        <w:t>Der bestätigte Übergabestand lautet:</w:t>
      </w:r>
    </w:p>
    <w:p w:rsidR="00D0549E" w:rsidRDefault="00D0549E" w:rsidP="00D0549E">
      <w:pPr>
        <w:pStyle w:val="StandardWeb"/>
      </w:pPr>
      <w:r>
        <w:t>[</w:t>
      </w:r>
      <w:r>
        <w:br/>
        <w:t>\boxed{</w:t>
      </w:r>
      <w:r>
        <w:br/>
        <w:t>\begin{aligned}</w:t>
      </w:r>
      <w:r>
        <w:br/>
        <w:t>\text{letzte Definition} &amp;= 3.3.103,\</w:t>
      </w:r>
      <w:r>
        <w:br/>
        <w:t>\text{nächste Definition} &amp;= 3.3.104,\</w:t>
      </w:r>
      <w:r>
        <w:br/>
        <w:t>\text{letzter Satz} &amp;= 3.3.34,\</w:t>
      </w:r>
      <w:r>
        <w:br/>
        <w:t>\text{nächster Satz} &amp;= 3.3.35,\</w:t>
      </w:r>
      <w:r>
        <w:br/>
        <w:t>\text{letztes Korollar} &amp;= 3.3.11,\</w:t>
      </w:r>
      <w:r>
        <w:br/>
        <w:t>\text{nächstes Korollar} &amp;= 3.3.12,\</w:t>
      </w:r>
      <w:r>
        <w:br/>
        <w:t>\text{letzte Gleichung} &amp;= (3.10062),\</w:t>
      </w:r>
      <w:r>
        <w:br/>
        <w:t>\text{nächste Gleichung} &amp;= (3.10063).</w:t>
      </w:r>
      <w:r>
        <w:br/>
        <w:t>\end{aligned}</w:t>
      </w:r>
      <w:r>
        <w:br/>
        <w:t>}</w:t>
      </w:r>
      <w:r>
        <w:br/>
        <w:t>\tag{3.10063}</w:t>
      </w:r>
      <w:r>
        <w:br/>
        <w:t>]</w:t>
      </w:r>
    </w:p>
    <w:p w:rsidR="00D0549E" w:rsidRDefault="00D0549E" w:rsidP="00D0549E">
      <w:pPr>
        <w:pStyle w:val="StandardWeb"/>
      </w:pPr>
      <w:r>
        <w:rPr>
          <w:rStyle w:val="Fett"/>
        </w:rPr>
        <w:t>Word-LaTeX</w:t>
      </w:r>
    </w:p>
    <w:p w:rsidR="00D0549E" w:rsidRDefault="00D0549E" w:rsidP="00D0549E">
      <w:pPr>
        <w:pStyle w:val="HTMLVorformatiert"/>
        <w:rPr>
          <w:rStyle w:val="HTMLCode"/>
        </w:rPr>
      </w:pPr>
      <w:r>
        <w:rPr>
          <w:rStyle w:val="HTMLCode"/>
        </w:rPr>
        <w:t>\boxed{\begin{aligned}\text{letzte Definition}&amp;=3.3.103,\\\text{nächste Definition}&amp;=3.3.104,\\\text{letzter Satz}&amp;=3.3.34,\\\text{nächster Satz}&amp;=3.3.35,\\\text{letztes Korollar}&amp;=3.3.11,\\\text{nächstes Korollar}&amp;=3.3.12,\\\text{letzte Gleichung}&amp;=(3.10062),\\\text{nächste Gleichung}&amp;=(3.10063).\end{aligned}}</w:t>
      </w:r>
    </w:p>
    <w:p w:rsidR="00D0549E" w:rsidRDefault="00D0549E" w:rsidP="00D0549E">
      <w:pPr>
        <w:pStyle w:val="StandardWeb"/>
      </w:pPr>
      <w:r>
        <w:t xml:space="preserve">Der nächste Hauptabschnitt innerhalb von Kapitel 3.3 kann damit bei </w:t>
      </w:r>
      <w:r>
        <w:rPr>
          <w:rStyle w:val="Fett"/>
        </w:rPr>
        <w:t>3.3.45 / Gleichung (3.10063)</w:t>
      </w:r>
      <w:r>
        <w:t xml:space="preserve"> beginnen.</w:t>
      </w:r>
    </w:p>
    <w:p w:rsidR="00BB73F4" w:rsidRDefault="00BB73F4" w:rsidP="00BB73F4">
      <w:pPr>
        <w:pStyle w:val="berschrift1"/>
        <w:rPr>
          <w:rFonts w:cs="Times New Roman"/>
          <w:sz w:val="48"/>
          <w:szCs w:val="48"/>
        </w:rPr>
      </w:pPr>
      <w:r>
        <w:t>3.3.45 Funktionale Erhaltung und Invarianz als möglicher Axiomkandidat</w:t>
      </w:r>
    </w:p>
    <w:p w:rsidR="00BB73F4" w:rsidRDefault="00BB73F4" w:rsidP="00BB73F4">
      <w:pPr>
        <w:pStyle w:val="StandardWeb"/>
      </w:pPr>
      <w:r>
        <w:lastRenderedPageBreak/>
        <w:t>Nach dem Abschluss der Übergangsarchitektur in Abschnitt 3.3.44 ist nun zu prüfen, ob innerhalb des Funktionalen Raum-Zeit-Kohärenzsystems zusätzlich ein grundlegendes Erhaltungs- oder Invarianzprinzip erforderlich ist. Diese Frage ist methodisch heikel, weil aus der Existenz von Zuständen, Kohärenz und Übergängen noch nicht folgt, dass irgendeine Größe entlang eines Übergangs erhalten bleiben muss.</w:t>
      </w:r>
    </w:p>
    <w:p w:rsidR="00BB73F4" w:rsidRDefault="00BB73F4" w:rsidP="00BB73F4">
      <w:pPr>
        <w:pStyle w:val="StandardWeb"/>
      </w:pPr>
      <w:r>
        <w:t>Ich beginne daher bewusst nicht mit einem Erhaltungssatz, sondern mit der Frage, ob überhaupt eine allgemeine Invarianzforderung notwendig ist.</w:t>
      </w:r>
    </w:p>
    <w:p w:rsidR="00BB73F4" w:rsidRDefault="00BB73F4" w:rsidP="00BB73F4">
      <w:pPr>
        <w:pStyle w:val="StandardWeb"/>
      </w:pPr>
      <w:r>
        <w:t>[</w:t>
      </w:r>
      <w:r>
        <w:br/>
        <w:t>\exists I_F:\Omega_F\rightarrow\mathcal V</w:t>
      </w:r>
      <w:r>
        <w:br/>
        <w:t>\tag{3.10064}</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\exists I_F:\Omega_F\rightarrow\mathcal V</w:t>
      </w:r>
    </w:p>
    <w:p w:rsidR="00BB73F4" w:rsidRDefault="00BB73F4" w:rsidP="00BB73F4">
      <w:pPr>
        <w:pStyle w:val="StandardWeb"/>
      </w:pPr>
      <w:r>
        <w:t>bezeichnet zunächst nur die Möglichkeit, einem funktionalen Zustand eine Größe (I_F) zuzuordnen.</w:t>
      </w:r>
    </w:p>
    <w:p w:rsidR="00BB73F4" w:rsidRDefault="00BB73F4" w:rsidP="00BB73F4">
      <w:pPr>
        <w:pStyle w:val="StandardWeb"/>
      </w:pPr>
      <w:r>
        <w:t>Damit ist noch nicht behauptet, dass (I_F) entlang funktionaler Übergänge invariant ist.</w:t>
      </w:r>
    </w:p>
    <w:p w:rsidR="00BB73F4" w:rsidRDefault="00E50336" w:rsidP="00BB73F4">
      <w:r>
        <w:pict>
          <v:rect id="_x0000_i3102" style="width:0;height:1.5pt" o:hralign="center" o:hrstd="t" o:hr="t" fillcolor="#a0a0a0" stroked="f"/>
        </w:pict>
      </w:r>
    </w:p>
    <w:p w:rsidR="00BB73F4" w:rsidRDefault="00BB73F4" w:rsidP="00BB73F4">
      <w:pPr>
        <w:pStyle w:val="berschrift1"/>
      </w:pPr>
      <w:r>
        <w:t>3.3.45.1 Ausgangsfrage</w:t>
      </w:r>
    </w:p>
    <w:p w:rsidR="00BB73F4" w:rsidRDefault="00BB73F4" w:rsidP="00BB73F4">
      <w:pPr>
        <w:pStyle w:val="StandardWeb"/>
      </w:pPr>
      <w:r>
        <w:t>Für einen zulässigen Übergang</w:t>
      </w:r>
    </w:p>
    <w:p w:rsidR="00BB73F4" w:rsidRDefault="00BB73F4" w:rsidP="00BB73F4">
      <w:pPr>
        <w:pStyle w:val="StandardWeb"/>
      </w:pPr>
      <w:r>
        <w:t>[</w:t>
      </w:r>
      <w:r>
        <w:br/>
        <w:t>(z_i,z_j)\in\mathcal T_F</w:t>
      </w:r>
      <w:r>
        <w:br/>
        <w:t>\tag{3.10065}</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(z_i,z_j)\in\mathcal T_F</w:t>
      </w:r>
    </w:p>
    <w:p w:rsidR="00BB73F4" w:rsidRDefault="00BB73F4" w:rsidP="00BB73F4">
      <w:pPr>
        <w:pStyle w:val="StandardWeb"/>
      </w:pPr>
      <w:r>
        <w:t>könnte eine Invarianzbedingung formal durch</w:t>
      </w:r>
    </w:p>
    <w:p w:rsidR="00BB73F4" w:rsidRDefault="00BB73F4" w:rsidP="00BB73F4">
      <w:pPr>
        <w:pStyle w:val="StandardWeb"/>
      </w:pPr>
      <w:r>
        <w:t>[</w:t>
      </w:r>
      <w:r>
        <w:br/>
        <w:t>I_F(z_j)=I_F(z_i)</w:t>
      </w:r>
      <w:r>
        <w:br/>
        <w:t>\tag{3.10066}</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I_F(z_j)=I_F(z_i)</w:t>
      </w:r>
    </w:p>
    <w:p w:rsidR="00BB73F4" w:rsidRDefault="00BB73F4" w:rsidP="00BB73F4">
      <w:pPr>
        <w:pStyle w:val="StandardWeb"/>
      </w:pPr>
      <w:r>
        <w:t>ausgedrückt werden.</w:t>
      </w:r>
    </w:p>
    <w:p w:rsidR="00BB73F4" w:rsidRDefault="00BB73F4" w:rsidP="00BB73F4">
      <w:pPr>
        <w:pStyle w:val="StandardWeb"/>
      </w:pPr>
      <w:r>
        <w:lastRenderedPageBreak/>
        <w:t xml:space="preserve">Die wissenschaftliche Frage lautet jedoch nicht, ob eine solche Bedingung mathematisch formulierbar ist, sondern ob sie für das FRZK </w:t>
      </w:r>
      <w:r>
        <w:rPr>
          <w:rStyle w:val="Fett"/>
        </w:rPr>
        <w:t>axiomatisch unverzichtbar</w:t>
      </w:r>
      <w:r>
        <w:t xml:space="preserve"> ist.</w:t>
      </w:r>
    </w:p>
    <w:p w:rsidR="00BB73F4" w:rsidRDefault="00E50336" w:rsidP="00BB73F4">
      <w:r>
        <w:pict>
          <v:rect id="_x0000_i3103" style="width:0;height:1.5pt" o:hralign="center" o:hrstd="t" o:hr="t" fillcolor="#a0a0a0" stroked="f"/>
        </w:pict>
      </w:r>
    </w:p>
    <w:p w:rsidR="00BB73F4" w:rsidRDefault="00BB73F4" w:rsidP="00BB73F4">
      <w:pPr>
        <w:pStyle w:val="berschrift1"/>
      </w:pPr>
      <w:r>
        <w:t>3.3.45.2 Primäraxiomkandidat (A_I)</w:t>
      </w:r>
    </w:p>
    <w:p w:rsidR="00BB73F4" w:rsidRDefault="00BB73F4" w:rsidP="00BB73F4">
      <w:pPr>
        <w:pStyle w:val="StandardWeb"/>
      </w:pPr>
      <w:r>
        <w:t>Ich formuliere deshalb zunächst den Kandidaten</w:t>
      </w:r>
    </w:p>
    <w:p w:rsidR="00BB73F4" w:rsidRDefault="00BB73F4" w:rsidP="00BB73F4">
      <w:pPr>
        <w:pStyle w:val="StandardWeb"/>
      </w:pPr>
      <w:r>
        <w:t>[</w:t>
      </w:r>
      <w:r>
        <w:br/>
        <w:t>A_I:</w:t>
      </w:r>
      <w:r>
        <w:br/>
        <w:t>\exists I_F\not\equiv \mathrm{const}</w:t>
      </w:r>
      <w:r>
        <w:br/>
        <w:t>;</w:t>
      </w:r>
      <w:r>
        <w:br/>
        <w:t>\forall(z_i,z_j)\in\mathcal T_F:</w:t>
      </w:r>
      <w:r>
        <w:br/>
        <w:t>I_F(z_i)=I_F(z_j).</w:t>
      </w:r>
      <w:r>
        <w:br/>
        <w:t>\tag{3.10067}</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A_I:\exists I_F\not\equiv\mathrm{const}\;\forall(z_i,z_j)\in\mathcal T_F:I_F(z_i)=I_F(z_j)</w:t>
      </w:r>
    </w:p>
    <w:p w:rsidR="00BB73F4" w:rsidRDefault="00BB73F4" w:rsidP="00BB73F4">
      <w:pPr>
        <w:pStyle w:val="StandardWeb"/>
      </w:pPr>
      <w:r>
        <w:t>Der Zusatz</w:t>
      </w:r>
    </w:p>
    <w:p w:rsidR="00BB73F4" w:rsidRDefault="00BB73F4" w:rsidP="00BB73F4">
      <w:pPr>
        <w:pStyle w:val="StandardWeb"/>
      </w:pPr>
      <w:r>
        <w:t>[</w:t>
      </w:r>
      <w:r>
        <w:br/>
        <w:t>I_F\not\equiv\mathrm{const}</w:t>
      </w:r>
      <w:r>
        <w:br/>
        <w:t>\tag{3.10068}</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I_F\not\equiv\mathrm{const}</w:t>
      </w:r>
    </w:p>
    <w:p w:rsidR="00BB73F4" w:rsidRDefault="00BB73F4" w:rsidP="00BB73F4">
      <w:pPr>
        <w:pStyle w:val="StandardWeb"/>
      </w:pPr>
      <w:r>
        <w:t>ist notwendig, weil andernfalls jede konstante Funktion trivial invariant wäre und keine inhaltliche Aussage über die Übergangsstruktur enthielte.</w:t>
      </w:r>
    </w:p>
    <w:p w:rsidR="00BB73F4" w:rsidRDefault="00E50336" w:rsidP="00BB73F4">
      <w:r>
        <w:pict>
          <v:rect id="_x0000_i3104" style="width:0;height:1.5pt" o:hralign="center" o:hrstd="t" o:hr="t" fillcolor="#a0a0a0" stroked="f"/>
        </w:pict>
      </w:r>
    </w:p>
    <w:p w:rsidR="00BB73F4" w:rsidRDefault="00BB73F4" w:rsidP="00BB73F4">
      <w:pPr>
        <w:pStyle w:val="berschrift1"/>
      </w:pPr>
      <w:r>
        <w:t>3.3.45.3 Definition 3.3.104 – Funktionale Invariante</w:t>
      </w:r>
    </w:p>
    <w:p w:rsidR="00BB73F4" w:rsidRDefault="00BB73F4" w:rsidP="00BB73F4">
      <w:pPr>
        <w:pStyle w:val="berschrift3"/>
      </w:pPr>
      <w:r>
        <w:t>Definition 3.3.104</w:t>
      </w:r>
    </w:p>
    <w:p w:rsidR="00BB73F4" w:rsidRDefault="00BB73F4" w:rsidP="00BB73F4">
      <w:pPr>
        <w:pStyle w:val="StandardWeb"/>
      </w:pPr>
      <w:r>
        <w:t>Eine Größe</w:t>
      </w:r>
    </w:p>
    <w:p w:rsidR="00BB73F4" w:rsidRDefault="00BB73F4" w:rsidP="00BB73F4">
      <w:pPr>
        <w:pStyle w:val="StandardWeb"/>
      </w:pPr>
      <w:r>
        <w:t>[</w:t>
      </w:r>
      <w:r>
        <w:br/>
        <w:t>I_F:\Omega_F\rightarrow\mathcal V</w:t>
      </w:r>
      <w:r>
        <w:br/>
        <w:t>\tag{3.10069}</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lastRenderedPageBreak/>
        <w:t>I_F:\Omega_F\rightarrow\mathcal V</w:t>
      </w:r>
    </w:p>
    <w:p w:rsidR="00BB73F4" w:rsidRDefault="00BB73F4" w:rsidP="00BB73F4">
      <w:pPr>
        <w:pStyle w:val="StandardWeb"/>
      </w:pPr>
      <w:r>
        <w:t xml:space="preserve">heißt </w:t>
      </w:r>
      <w:r>
        <w:rPr>
          <w:rStyle w:val="Fett"/>
        </w:rPr>
        <w:t>funktionale Invariante</w:t>
      </w:r>
      <w:r>
        <w:t xml:space="preserve"> einer Übergangsstruktur (\mathcal T_F), wenn für jeden zulässigen Übergang gilt</w:t>
      </w:r>
    </w:p>
    <w:p w:rsidR="00BB73F4" w:rsidRDefault="00BB73F4" w:rsidP="00BB73F4">
      <w:pPr>
        <w:pStyle w:val="StandardWeb"/>
      </w:pPr>
      <w:r>
        <w:t>[</w:t>
      </w:r>
      <w:r>
        <w:br/>
        <w:t>\boxed{</w:t>
      </w:r>
      <w:r>
        <w:br/>
        <w:t>(z_i,z_j)\in\mathcal T_F</w:t>
      </w:r>
      <w:r>
        <w:br/>
        <w:t>\Rightarrow</w:t>
      </w:r>
      <w:r>
        <w:br/>
        <w:t>I_F(z_i)=I_F(z_j).</w:t>
      </w:r>
      <w:r>
        <w:br/>
        <w:t>}</w:t>
      </w:r>
      <w:r>
        <w:br/>
        <w:t>\tag{3.10070}</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\boxed{(z_i,z_j)\in\mathcal T_F\Rightarrow I_F(z_i)=I_F(z_j).}</w:t>
      </w:r>
    </w:p>
    <w:p w:rsidR="00BB73F4" w:rsidRDefault="00BB73F4" w:rsidP="00BB73F4">
      <w:pPr>
        <w:pStyle w:val="StandardWeb"/>
      </w:pPr>
      <w:r>
        <w:t>Die Definition legt lediglich fest, was unter funktionaler Invarianz verstanden wird. Sie behauptet noch nicht, dass jede FRZK-Struktur eine nichttriviale Invariante besitzen muss.</w:t>
      </w:r>
    </w:p>
    <w:p w:rsidR="00BB73F4" w:rsidRDefault="00E50336" w:rsidP="00BB73F4">
      <w:r>
        <w:pict>
          <v:rect id="_x0000_i3105" style="width:0;height:1.5pt" o:hralign="center" o:hrstd="t" o:hr="t" fillcolor="#a0a0a0" stroked="f"/>
        </w:pict>
      </w:r>
    </w:p>
    <w:p w:rsidR="00BB73F4" w:rsidRDefault="00BB73F4" w:rsidP="00BB73F4">
      <w:pPr>
        <w:pStyle w:val="berschrift1"/>
      </w:pPr>
      <w:r>
        <w:t>3.3.45.4 Triviale Invarianten</w:t>
      </w:r>
    </w:p>
    <w:p w:rsidR="00BB73F4" w:rsidRDefault="00BB73F4" w:rsidP="00BB73F4">
      <w:pPr>
        <w:pStyle w:val="StandardWeb"/>
      </w:pPr>
      <w:r>
        <w:t>Für jede Übergangsstruktur existiert mindestens die konstante Abbildung</w:t>
      </w:r>
    </w:p>
    <w:p w:rsidR="00BB73F4" w:rsidRDefault="00BB73F4" w:rsidP="00BB73F4">
      <w:pPr>
        <w:pStyle w:val="StandardWeb"/>
      </w:pPr>
      <w:r>
        <w:t>[</w:t>
      </w:r>
      <w:r>
        <w:br/>
        <w:t>I_0(z)=c</w:t>
      </w:r>
      <w:r>
        <w:br/>
        <w:t>\qquad</w:t>
      </w:r>
      <w:r>
        <w:br/>
        <w:t>\forall z\in\Omega_F.</w:t>
      </w:r>
      <w:r>
        <w:br/>
        <w:t>\tag{3.10071}</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I_0(z)=c\qquad\forall z\in\Omega_F</w:t>
      </w:r>
    </w:p>
    <w:p w:rsidR="00BB73F4" w:rsidRDefault="00BB73F4" w:rsidP="00BB73F4">
      <w:pPr>
        <w:pStyle w:val="StandardWeb"/>
      </w:pPr>
      <w:r>
        <w:t>Dann gilt automatisch</w:t>
      </w:r>
    </w:p>
    <w:p w:rsidR="00BB73F4" w:rsidRDefault="00BB73F4" w:rsidP="00BB73F4">
      <w:pPr>
        <w:pStyle w:val="StandardWeb"/>
      </w:pPr>
      <w:r>
        <w:t>[</w:t>
      </w:r>
      <w:r>
        <w:br/>
        <w:t>I_0(z_i)=I_0(z_j)</w:t>
      </w:r>
      <w:r>
        <w:br/>
        <w:t>\tag{3.10072}</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I_0(z_i)=I_0(z_j)</w:t>
      </w:r>
    </w:p>
    <w:p w:rsidR="00BB73F4" w:rsidRDefault="00BB73F4" w:rsidP="00BB73F4">
      <w:pPr>
        <w:pStyle w:val="StandardWeb"/>
      </w:pPr>
      <w:r>
        <w:t>für jedes Zustandspaar.</w:t>
      </w:r>
    </w:p>
    <w:p w:rsidR="00BB73F4" w:rsidRDefault="00BB73F4" w:rsidP="00BB73F4">
      <w:pPr>
        <w:pStyle w:val="StandardWeb"/>
      </w:pPr>
      <w:r>
        <w:lastRenderedPageBreak/>
        <w:t>Damit folgt</w:t>
      </w:r>
    </w:p>
    <w:p w:rsidR="00BB73F4" w:rsidRDefault="00BB73F4" w:rsidP="00BB73F4">
      <w:pPr>
        <w:pStyle w:val="StandardWeb"/>
      </w:pPr>
      <w:r>
        <w:t>[</w:t>
      </w:r>
      <w:r>
        <w:br/>
        <w:t>\boxed{</w:t>
      </w:r>
      <w:r>
        <w:br/>
        <w:t>\text{Existenz einer Invarianten}</w:t>
      </w:r>
      <w:r>
        <w:br/>
        <w:t>;\not\Rightarrow;</w:t>
      </w:r>
      <w:r>
        <w:br/>
        <w:t>\text{Existenz einer nichttrivialen Invarianten}.</w:t>
      </w:r>
      <w:r>
        <w:br/>
        <w:t>}</w:t>
      </w:r>
      <w:r>
        <w:br/>
        <w:t>\tag{3.10073}</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\boxed{\text{Existenz einer Invarianten}\;\not\Rightarrow\;\text{Existenz einer nichttrivialen Invarianten}.}</w:t>
      </w:r>
    </w:p>
    <w:p w:rsidR="00BB73F4" w:rsidRDefault="00E50336" w:rsidP="00BB73F4">
      <w:r>
        <w:pict>
          <v:rect id="_x0000_i3106" style="width:0;height:1.5pt" o:hralign="center" o:hrstd="t" o:hr="t" fillcolor="#a0a0a0" stroked="f"/>
        </w:pict>
      </w:r>
    </w:p>
    <w:p w:rsidR="00BB73F4" w:rsidRDefault="00BB73F4" w:rsidP="00BB73F4">
      <w:pPr>
        <w:pStyle w:val="berschrift1"/>
      </w:pPr>
      <w:r>
        <w:t>3.3.45.5 Nichttrivialität der Invarianz</w:t>
      </w:r>
    </w:p>
    <w:p w:rsidR="00BB73F4" w:rsidRDefault="00BB73F4" w:rsidP="00BB73F4">
      <w:pPr>
        <w:pStyle w:val="StandardWeb"/>
      </w:pPr>
      <w:r>
        <w:t>Eine funktionale Invariante soll deshalb genau dann als nichttrivial gelten, wenn</w:t>
      </w:r>
    </w:p>
    <w:p w:rsidR="00BB73F4" w:rsidRDefault="00BB73F4" w:rsidP="00BB73F4">
      <w:pPr>
        <w:pStyle w:val="StandardWeb"/>
      </w:pPr>
      <w:r>
        <w:t>[</w:t>
      </w:r>
      <w:r>
        <w:br/>
        <w:t>\exists z_a,z_b\in\Omega_F:</w:t>
      </w:r>
      <w:r>
        <w:br/>
        <w:t>I_F(z_a)\neq I_F(z_b).</w:t>
      </w:r>
      <w:r>
        <w:br/>
        <w:t>\tag{3.10074}</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\exists z_a,z_b\in\Omega_F:I_F(z_a)\neq I_F(z_b)</w:t>
      </w:r>
    </w:p>
    <w:p w:rsidR="00BB73F4" w:rsidRDefault="00BB73F4" w:rsidP="00BB73F4">
      <w:pPr>
        <w:pStyle w:val="StandardWeb"/>
      </w:pPr>
      <w:r>
        <w:t>Damit wird ausgeschlossen, dass der Kandidat (A_I) allein durch eine konstante Funktion erfüllt werden kann.</w:t>
      </w:r>
    </w:p>
    <w:p w:rsidR="00BB73F4" w:rsidRDefault="00E50336" w:rsidP="00BB73F4">
      <w:r>
        <w:pict>
          <v:rect id="_x0000_i3107" style="width:0;height:1.5pt" o:hralign="center" o:hrstd="t" o:hr="t" fillcolor="#a0a0a0" stroked="f"/>
        </w:pict>
      </w:r>
    </w:p>
    <w:p w:rsidR="00BB73F4" w:rsidRDefault="00BB73F4" w:rsidP="00BB73F4">
      <w:pPr>
        <w:pStyle w:val="berschrift1"/>
      </w:pPr>
      <w:r>
        <w:t>3.3.45.6 Definition 3.3.105 – Nichttriviale funktionale Invariante</w:t>
      </w:r>
    </w:p>
    <w:p w:rsidR="00BB73F4" w:rsidRDefault="00BB73F4" w:rsidP="00BB73F4">
      <w:pPr>
        <w:pStyle w:val="berschrift3"/>
      </w:pPr>
      <w:r>
        <w:t>Definition 3.3.105</w:t>
      </w:r>
    </w:p>
    <w:p w:rsidR="00BB73F4" w:rsidRDefault="00BB73F4" w:rsidP="00BB73F4">
      <w:pPr>
        <w:pStyle w:val="StandardWeb"/>
      </w:pPr>
      <w:r>
        <w:t xml:space="preserve">Eine funktionale Invariante (I_F) heißt </w:t>
      </w:r>
      <w:r>
        <w:rPr>
          <w:rStyle w:val="Fett"/>
        </w:rPr>
        <w:t>nichttrivial</w:t>
      </w:r>
      <w:r>
        <w:t>, wenn</w:t>
      </w:r>
    </w:p>
    <w:p w:rsidR="00BB73F4" w:rsidRDefault="00BB73F4" w:rsidP="00BB73F4">
      <w:pPr>
        <w:pStyle w:val="StandardWeb"/>
      </w:pPr>
      <w:r>
        <w:t>[</w:t>
      </w:r>
      <w:r>
        <w:br/>
        <w:t>\boxed{</w:t>
      </w:r>
      <w:r>
        <w:br/>
        <w:t>\exists z_a,z_b\in\Omega_F:</w:t>
      </w:r>
      <w:r>
        <w:br/>
        <w:t>I_F(z_a)\neq I_F(z_b).</w:t>
      </w:r>
      <w:r>
        <w:br/>
        <w:t>}</w:t>
      </w:r>
      <w:r>
        <w:br/>
        <w:t>\tag{3.10075}</w:t>
      </w:r>
      <w:r>
        <w:br/>
        <w:t>]</w:t>
      </w:r>
    </w:p>
    <w:p w:rsidR="00BB73F4" w:rsidRDefault="00BB73F4" w:rsidP="00BB73F4">
      <w:pPr>
        <w:pStyle w:val="StandardWeb"/>
      </w:pPr>
      <w:r>
        <w:rPr>
          <w:rStyle w:val="Fett"/>
        </w:rPr>
        <w:lastRenderedPageBreak/>
        <w:t>Word-LaTeX</w:t>
      </w:r>
    </w:p>
    <w:p w:rsidR="00BB73F4" w:rsidRDefault="00BB73F4" w:rsidP="00BB73F4">
      <w:pPr>
        <w:pStyle w:val="HTMLVorformatiert"/>
        <w:rPr>
          <w:rStyle w:val="HTMLCode"/>
        </w:rPr>
      </w:pPr>
      <w:r>
        <w:rPr>
          <w:rStyle w:val="HTMLCode"/>
        </w:rPr>
        <w:t>\boxed{\exists z_a,z_b\in\Omega_F:I_F(z_a)\neq I_F(z_b).}</w:t>
      </w:r>
    </w:p>
    <w:p w:rsidR="00BB73F4" w:rsidRDefault="00BB73F4" w:rsidP="00BB73F4">
      <w:pPr>
        <w:pStyle w:val="StandardWeb"/>
      </w:pPr>
      <w:r>
        <w:t>Eine konstante Abbildung ist damit ausdrücklich keine nichttriviale funktionale Invariante.</w:t>
      </w:r>
    </w:p>
    <w:p w:rsidR="00BB73F4" w:rsidRDefault="00E50336" w:rsidP="00BB73F4">
      <w:r>
        <w:pict>
          <v:rect id="_x0000_i3108" style="width:0;height:1.5pt" o:hralign="center" o:hrstd="t" o:hr="t" fillcolor="#a0a0a0" stroked="f"/>
        </w:pict>
      </w:r>
    </w:p>
    <w:p w:rsidR="00BB73F4" w:rsidRDefault="00BB73F4" w:rsidP="00BB73F4">
      <w:pPr>
        <w:pStyle w:val="berschrift1"/>
      </w:pPr>
      <w:r>
        <w:t>3.3.45.7 Erste Prüfung gegen übergangsleere Modelle</w:t>
      </w:r>
    </w:p>
    <w:p w:rsidR="00BB73F4" w:rsidRDefault="00BB73F4" w:rsidP="00BB73F4">
      <w:pPr>
        <w:pStyle w:val="StandardWeb"/>
      </w:pPr>
      <w:r>
        <w:t>Abschnitt 3.3.44 hat gezeigt, dass ein FRZK-Modell mit</w:t>
      </w:r>
    </w:p>
    <w:p w:rsidR="00BB73F4" w:rsidRDefault="00BB73F4" w:rsidP="00BB73F4">
      <w:pPr>
        <w:pStyle w:val="StandardWeb"/>
      </w:pPr>
      <w:r>
        <w:t>[</w:t>
      </w:r>
      <w:r>
        <w:br/>
        <w:t>\mathcal T_F=\varnothing</w:t>
      </w:r>
      <w:r>
        <w:br/>
        <w:t>\tag{3.10076}</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\mathcal T_F=\varnothing</w:t>
      </w:r>
    </w:p>
    <w:p w:rsidR="00BB73F4" w:rsidRDefault="00BB73F4" w:rsidP="00BB73F4">
      <w:pPr>
        <w:pStyle w:val="StandardWeb"/>
      </w:pPr>
      <w:r>
        <w:t>grundsätzlich zulässig bleibt.</w:t>
      </w:r>
    </w:p>
    <w:p w:rsidR="00BB73F4" w:rsidRDefault="00BB73F4" w:rsidP="00BB73F4">
      <w:pPr>
        <w:pStyle w:val="StandardWeb"/>
      </w:pPr>
      <w:r>
        <w:t>Für eine leere Übergangsrelation ist die Bedingung</w:t>
      </w:r>
    </w:p>
    <w:p w:rsidR="00BB73F4" w:rsidRDefault="00BB73F4" w:rsidP="00BB73F4">
      <w:pPr>
        <w:pStyle w:val="StandardWeb"/>
      </w:pPr>
      <w:r>
        <w:t>[</w:t>
      </w:r>
      <w:r>
        <w:br/>
        <w:t>\forall(z_i,z_j)\in\mathcal T_F:</w:t>
      </w:r>
      <w:r>
        <w:br/>
        <w:t>I_F(z_i)=I_F(z_j)</w:t>
      </w:r>
      <w:r>
        <w:br/>
        <w:t>\tag{3.10077}</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\forall(z_i,z_j)\in\mathcal T_F:I_F(z_i)=I_F(z_j)</w:t>
      </w:r>
    </w:p>
    <w:p w:rsidR="00BB73F4" w:rsidRDefault="00BB73F4" w:rsidP="00BB73F4">
      <w:pPr>
        <w:pStyle w:val="StandardWeb"/>
      </w:pPr>
      <w:r>
        <w:t>vakuos erfüllt.</w:t>
      </w:r>
    </w:p>
    <w:p w:rsidR="00BB73F4" w:rsidRDefault="00BB73F4" w:rsidP="00BB73F4">
      <w:pPr>
        <w:pStyle w:val="StandardWeb"/>
      </w:pPr>
      <w:r>
        <w:t>Daraus folgt jedoch noch keine Existenz einer nichttrivialen (I_F).</w:t>
      </w:r>
    </w:p>
    <w:p w:rsidR="00BB73F4" w:rsidRDefault="00E50336" w:rsidP="00BB73F4">
      <w:r>
        <w:pict>
          <v:rect id="_x0000_i3109" style="width:0;height:1.5pt" o:hralign="center" o:hrstd="t" o:hr="t" fillcolor="#a0a0a0" stroked="f"/>
        </w:pict>
      </w:r>
    </w:p>
    <w:p w:rsidR="00BB73F4" w:rsidRDefault="00BB73F4" w:rsidP="00BB73F4">
      <w:pPr>
        <w:pStyle w:val="berschrift1"/>
      </w:pPr>
      <w:r>
        <w:t>3.3.45.8 Einzustandsgegenmodell</w:t>
      </w:r>
    </w:p>
    <w:p w:rsidR="00BB73F4" w:rsidRDefault="00BB73F4" w:rsidP="00BB73F4">
      <w:pPr>
        <w:pStyle w:val="StandardWeb"/>
      </w:pPr>
      <w:r>
        <w:t>Ich betrachte erneut ein zulässiges Modell mit</w:t>
      </w:r>
    </w:p>
    <w:p w:rsidR="00BB73F4" w:rsidRDefault="00BB73F4" w:rsidP="00BB73F4">
      <w:pPr>
        <w:pStyle w:val="StandardWeb"/>
      </w:pPr>
      <w:r>
        <w:t>[</w:t>
      </w:r>
      <w:r>
        <w:br/>
        <w:t>\Omega_F={z_0}.</w:t>
      </w:r>
      <w:r>
        <w:br/>
        <w:t>\tag{3.10078}</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lastRenderedPageBreak/>
        <w:t>\Omega_F=\{z_0\}</w:t>
      </w:r>
    </w:p>
    <w:p w:rsidR="00BB73F4" w:rsidRDefault="00BB73F4" w:rsidP="00BB73F4">
      <w:pPr>
        <w:pStyle w:val="StandardWeb"/>
      </w:pPr>
      <w:r>
        <w:t>Auf einem Einzustandsraum gilt für jede Abbildung</w:t>
      </w:r>
    </w:p>
    <w:p w:rsidR="00BB73F4" w:rsidRDefault="00BB73F4" w:rsidP="00BB73F4">
      <w:pPr>
        <w:pStyle w:val="StandardWeb"/>
      </w:pPr>
      <w:r>
        <w:t>[</w:t>
      </w:r>
      <w:r>
        <w:br/>
        <w:t>I_F:{z_0}\rightarrow\mathcal V,</w:t>
      </w:r>
      <w:r>
        <w:br/>
        <w:t>\tag{3.10079}</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I_F:\{z_0\}\rightarrow\mathcal V</w:t>
      </w:r>
    </w:p>
    <w:p w:rsidR="00BB73F4" w:rsidRDefault="00BB73F4" w:rsidP="00BB73F4">
      <w:pPr>
        <w:pStyle w:val="StandardWeb"/>
      </w:pPr>
      <w:r>
        <w:t>dass keine zwei Zustände (z_a,z_b) mit</w:t>
      </w:r>
    </w:p>
    <w:p w:rsidR="00BB73F4" w:rsidRDefault="00BB73F4" w:rsidP="00BB73F4">
      <w:pPr>
        <w:pStyle w:val="StandardWeb"/>
      </w:pPr>
      <w:r>
        <w:t>[</w:t>
      </w:r>
      <w:r>
        <w:br/>
        <w:t>I_F(z_a)\neq I_F(z_b)</w:t>
      </w:r>
      <w:r>
        <w:br/>
        <w:t>\tag{3.10080}</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I_F(z_a)\neq I_F(z_b)</w:t>
      </w:r>
    </w:p>
    <w:p w:rsidR="00BB73F4" w:rsidRDefault="00BB73F4" w:rsidP="00BB73F4">
      <w:pPr>
        <w:pStyle w:val="StandardWeb"/>
      </w:pPr>
      <w:r>
        <w:t>existieren können.</w:t>
      </w:r>
    </w:p>
    <w:p w:rsidR="00BB73F4" w:rsidRDefault="00BB73F4" w:rsidP="00BB73F4">
      <w:pPr>
        <w:pStyle w:val="StandardWeb"/>
      </w:pPr>
      <w:r>
        <w:t>Damit existiert in diesem Modell keine nichttriviale Invariante im Sinne von Definition 3.3.105.</w:t>
      </w:r>
    </w:p>
    <w:p w:rsidR="00BB73F4" w:rsidRDefault="00E50336" w:rsidP="00BB73F4">
      <w:r>
        <w:pict>
          <v:rect id="_x0000_i3110" style="width:0;height:1.5pt" o:hralign="center" o:hrstd="t" o:hr="t" fillcolor="#a0a0a0" stroked="f"/>
        </w:pict>
      </w:r>
    </w:p>
    <w:p w:rsidR="00BB73F4" w:rsidRDefault="00BB73F4" w:rsidP="00BB73F4">
      <w:pPr>
        <w:pStyle w:val="berschrift1"/>
      </w:pPr>
      <w:r>
        <w:t>3.3.45.9 Konsequenz für (A_I)</w:t>
      </w:r>
    </w:p>
    <w:p w:rsidR="00BB73F4" w:rsidRDefault="00BB73F4" w:rsidP="00BB73F4">
      <w:pPr>
        <w:pStyle w:val="StandardWeb"/>
      </w:pPr>
      <w:r>
        <w:t>Ist das Einzustandsmodell mit der bisherigen Primäraxiomatik vereinbar, dann gilt</w:t>
      </w:r>
    </w:p>
    <w:p w:rsidR="00BB73F4" w:rsidRDefault="00BB73F4" w:rsidP="00BB73F4">
      <w:pPr>
        <w:pStyle w:val="StandardWeb"/>
      </w:pPr>
      <w:r>
        <w:t>[</w:t>
      </w:r>
      <w:r>
        <w:br/>
        <w:t>\boxed{</w:t>
      </w:r>
      <w:r>
        <w:br/>
        <w:t>A_C</w:t>
      </w:r>
      <w:r>
        <w:br/>
        <w:t>\nRightarrow</w:t>
      </w:r>
      <w:r>
        <w:br/>
        <w:t>A_I.</w:t>
      </w:r>
      <w:r>
        <w:br/>
        <w:t>}</w:t>
      </w:r>
      <w:r>
        <w:br/>
        <w:t>\tag{3.10081}</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\boxed{A_C\nRightarrow A_I.}</w:t>
      </w:r>
    </w:p>
    <w:p w:rsidR="00BB73F4" w:rsidRDefault="00BB73F4" w:rsidP="00BB73F4">
      <w:pPr>
        <w:pStyle w:val="StandardWeb"/>
      </w:pPr>
      <w:r>
        <w:t>Auch die in Abschnitt 3.3.44 entwickelte Übergangsarchitektur erzwingt den Kandidaten nicht:</w:t>
      </w:r>
    </w:p>
    <w:p w:rsidR="00BB73F4" w:rsidRDefault="00BB73F4" w:rsidP="00BB73F4">
      <w:pPr>
        <w:pStyle w:val="StandardWeb"/>
      </w:pPr>
      <w:r>
        <w:lastRenderedPageBreak/>
        <w:t>[</w:t>
      </w:r>
      <w:r>
        <w:br/>
        <w:t>\boxed{</w:t>
      </w:r>
      <w:r>
        <w:br/>
        <w:t>\mathfrak U_F</w:t>
      </w:r>
      <w:r>
        <w:br/>
        <w:t>\nRightarrow</w:t>
      </w:r>
      <w:r>
        <w:br/>
        <w:t>A_I.</w:t>
      </w:r>
      <w:r>
        <w:br/>
        <w:t>}</w:t>
      </w:r>
      <w:r>
        <w:br/>
        <w:t>\tag{3.10082}</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\boxed{\mathfrak U_F\nRightarrow A_I.}</w:t>
      </w:r>
    </w:p>
    <w:p w:rsidR="00BB73F4" w:rsidRDefault="00E50336" w:rsidP="00BB73F4">
      <w:r>
        <w:pict>
          <v:rect id="_x0000_i3111" style="width:0;height:1.5pt" o:hralign="center" o:hrstd="t" o:hr="t" fillcolor="#a0a0a0" stroked="f"/>
        </w:pict>
      </w:r>
    </w:p>
    <w:p w:rsidR="00BB73F4" w:rsidRDefault="00BB73F4" w:rsidP="00BB73F4">
      <w:pPr>
        <w:pStyle w:val="berschrift1"/>
      </w:pPr>
      <w:r>
        <w:t>3.3.45.10 Dynamische Modelle lösen das Problem nicht</w:t>
      </w:r>
    </w:p>
    <w:p w:rsidR="00BB73F4" w:rsidRDefault="00BB73F4" w:rsidP="00BB73F4">
      <w:pPr>
        <w:pStyle w:val="StandardWeb"/>
      </w:pPr>
      <w:r>
        <w:t>Auch wenn ich zusätzlich die dynamische Modellannahme</w:t>
      </w:r>
    </w:p>
    <w:p w:rsidR="00BB73F4" w:rsidRDefault="00BB73F4" w:rsidP="00BB73F4">
      <w:pPr>
        <w:pStyle w:val="StandardWeb"/>
      </w:pPr>
      <w:r>
        <w:t>[</w:t>
      </w:r>
      <w:r>
        <w:br/>
        <w:t>M_T</w:t>
      </w:r>
      <w:r>
        <w:br/>
        <w:t>\tag{3.10083}</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M_T</w:t>
      </w:r>
    </w:p>
    <w:p w:rsidR="00BB73F4" w:rsidRDefault="00BB73F4" w:rsidP="00BB73F4">
      <w:pPr>
        <w:pStyle w:val="StandardWeb"/>
      </w:pPr>
      <w:r>
        <w:t>voraussetze, folgt daraus noch keine nichttriviale Invariante.</w:t>
      </w:r>
    </w:p>
    <w:p w:rsidR="00BB73F4" w:rsidRDefault="00BB73F4" w:rsidP="00BB73F4">
      <w:pPr>
        <w:pStyle w:val="StandardWeb"/>
      </w:pPr>
      <w:r>
        <w:t>Ein Übergang kann grundsätzlich beliebige Zustandswerte verändern, sofern keine zusätzliche Erhaltungsbedingung eingeführt wird.</w:t>
      </w:r>
    </w:p>
    <w:p w:rsidR="00BB73F4" w:rsidRDefault="00BB73F4" w:rsidP="00BB73F4">
      <w:pPr>
        <w:pStyle w:val="StandardWeb"/>
      </w:pPr>
      <w:r>
        <w:t>Somit gilt zunächst</w:t>
      </w:r>
    </w:p>
    <w:p w:rsidR="00BB73F4" w:rsidRDefault="00BB73F4" w:rsidP="00BB73F4">
      <w:pPr>
        <w:pStyle w:val="StandardWeb"/>
      </w:pPr>
      <w:r>
        <w:t>[</w:t>
      </w:r>
      <w:r>
        <w:br/>
        <w:t>\boxed{</w:t>
      </w:r>
      <w:r>
        <w:br/>
        <w:t>M_T</w:t>
      </w:r>
      <w:r>
        <w:br/>
        <w:t>\nRightarrow</w:t>
      </w:r>
      <w:r>
        <w:br/>
        <w:t>A_I.</w:t>
      </w:r>
      <w:r>
        <w:br/>
        <w:t>}</w:t>
      </w:r>
      <w:r>
        <w:br/>
        <w:t>\tag{3.10084}</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\boxed{M_T\nRightarrow A_I.}</w:t>
      </w:r>
    </w:p>
    <w:p w:rsidR="00BB73F4" w:rsidRDefault="00E50336" w:rsidP="00BB73F4">
      <w:r>
        <w:pict>
          <v:rect id="_x0000_i3112" style="width:0;height:1.5pt" o:hralign="center" o:hrstd="t" o:hr="t" fillcolor="#a0a0a0" stroked="f"/>
        </w:pict>
      </w:r>
    </w:p>
    <w:p w:rsidR="00BB73F4" w:rsidRDefault="00BB73F4" w:rsidP="00BB73F4">
      <w:pPr>
        <w:pStyle w:val="berschrift1"/>
      </w:pPr>
      <w:r>
        <w:lastRenderedPageBreak/>
        <w:t>3.3.45.11 Zweizustandsgegenmodell ohne nichttriviale Invarianz</w:t>
      </w:r>
    </w:p>
    <w:p w:rsidR="00BB73F4" w:rsidRDefault="00BB73F4" w:rsidP="00BB73F4">
      <w:pPr>
        <w:pStyle w:val="StandardWeb"/>
      </w:pPr>
      <w:r>
        <w:t>Ich betrachte einen Zustandsraum</w:t>
      </w:r>
    </w:p>
    <w:p w:rsidR="00BB73F4" w:rsidRDefault="00BB73F4" w:rsidP="00BB73F4">
      <w:pPr>
        <w:pStyle w:val="StandardWeb"/>
      </w:pPr>
      <w:r>
        <w:t>[</w:t>
      </w:r>
      <w:r>
        <w:br/>
        <w:t>\Omega_F={z_1,z_2}</w:t>
      </w:r>
      <w:r>
        <w:br/>
        <w:t>\tag{3.10085}</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\Omega_F=\{z_1,z_2\}</w:t>
      </w:r>
    </w:p>
    <w:p w:rsidR="00BB73F4" w:rsidRDefault="00BB73F4" w:rsidP="00BB73F4">
      <w:pPr>
        <w:pStyle w:val="StandardWeb"/>
      </w:pPr>
      <w:r>
        <w:t>mit Übergängen</w:t>
      </w:r>
    </w:p>
    <w:p w:rsidR="00BB73F4" w:rsidRDefault="00BB73F4" w:rsidP="00BB73F4">
      <w:pPr>
        <w:pStyle w:val="berschrift1"/>
      </w:pPr>
      <w:r>
        <w:t>[</w:t>
      </w:r>
      <w:r>
        <w:br/>
        <w:t>\mathcal T_F</w:t>
      </w:r>
    </w:p>
    <w:p w:rsidR="00BB73F4" w:rsidRDefault="00BB73F4" w:rsidP="00BB73F4">
      <w:pPr>
        <w:pStyle w:val="StandardWeb"/>
      </w:pPr>
      <w:r>
        <w:t>{(z_1,z_2),(z_2,z_1)}.</w:t>
      </w:r>
      <w:r>
        <w:br/>
        <w:t>\tag{3.10086}</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\mathcal T_F=\{(z_1,z_2),(z_2,z_1)\}</w:t>
      </w:r>
    </w:p>
    <w:p w:rsidR="00BB73F4" w:rsidRDefault="00BB73F4" w:rsidP="00BB73F4">
      <w:pPr>
        <w:pStyle w:val="StandardWeb"/>
      </w:pPr>
      <w:r>
        <w:t>Für jede Invariante muss dann gelten</w:t>
      </w:r>
    </w:p>
    <w:p w:rsidR="00BB73F4" w:rsidRDefault="00BB73F4" w:rsidP="00BB73F4">
      <w:pPr>
        <w:pStyle w:val="StandardWeb"/>
      </w:pPr>
      <w:r>
        <w:t>[</w:t>
      </w:r>
      <w:r>
        <w:br/>
        <w:t>I_F(z_1)=I_F(z_2)</w:t>
      </w:r>
      <w:r>
        <w:br/>
        <w:t>\tag{3.10087}</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I_F(z_1)=I_F(z_2)</w:t>
      </w:r>
    </w:p>
    <w:p w:rsidR="00BB73F4" w:rsidRDefault="00BB73F4" w:rsidP="00BB73F4">
      <w:pPr>
        <w:pStyle w:val="StandardWeb"/>
      </w:pPr>
      <w:r>
        <w:t>und zugleich</w:t>
      </w:r>
    </w:p>
    <w:p w:rsidR="00BB73F4" w:rsidRDefault="00BB73F4" w:rsidP="00BB73F4">
      <w:pPr>
        <w:pStyle w:val="StandardWeb"/>
      </w:pPr>
      <w:r>
        <w:t>[</w:t>
      </w:r>
      <w:r>
        <w:br/>
        <w:t>I_F(z_2)=I_F(z_1).</w:t>
      </w:r>
      <w:r>
        <w:br/>
        <w:t>\tag{3.10088}</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I_F(z_2)=I_F(z_1)</w:t>
      </w:r>
    </w:p>
    <w:p w:rsidR="00BB73F4" w:rsidRDefault="00BB73F4" w:rsidP="00BB73F4">
      <w:pPr>
        <w:pStyle w:val="StandardWeb"/>
      </w:pPr>
      <w:r>
        <w:lastRenderedPageBreak/>
        <w:t>Damit ist jede Invariante auf diesem vollständig verbundenen Zweizustandsmodell konstant.</w:t>
      </w:r>
    </w:p>
    <w:p w:rsidR="00BB73F4" w:rsidRDefault="00BB73F4" w:rsidP="00BB73F4">
      <w:pPr>
        <w:pStyle w:val="StandardWeb"/>
      </w:pPr>
      <w:r>
        <w:t>Folglich existiert keine nichttriviale Invariante.</w:t>
      </w:r>
    </w:p>
    <w:p w:rsidR="00BB73F4" w:rsidRDefault="00E50336" w:rsidP="00BB73F4">
      <w:r>
        <w:pict>
          <v:rect id="_x0000_i3113" style="width:0;height:1.5pt" o:hralign="center" o:hrstd="t" o:hr="t" fillcolor="#a0a0a0" stroked="f"/>
        </w:pict>
      </w:r>
    </w:p>
    <w:p w:rsidR="00BB73F4" w:rsidRDefault="00BB73F4" w:rsidP="00BB73F4">
      <w:pPr>
        <w:pStyle w:val="berschrift1"/>
      </w:pPr>
      <w:r>
        <w:t>3.3.45.12 Ergebnis des Gegenmodells</w:t>
      </w:r>
    </w:p>
    <w:p w:rsidR="00BB73F4" w:rsidRDefault="00BB73F4" w:rsidP="00BB73F4">
      <w:pPr>
        <w:pStyle w:val="StandardWeb"/>
      </w:pPr>
      <w:r>
        <w:t>Das dynamische Zweizustandsmodell erfüllt</w:t>
      </w:r>
    </w:p>
    <w:p w:rsidR="00BB73F4" w:rsidRDefault="00BB73F4" w:rsidP="00BB73F4">
      <w:pPr>
        <w:pStyle w:val="StandardWeb"/>
      </w:pPr>
      <w:r>
        <w:t>[</w:t>
      </w:r>
      <w:r>
        <w:br/>
        <w:t>M_T</w:t>
      </w:r>
      <w:r>
        <w:br/>
        <w:t>\tag{3.10089}</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M_T</w:t>
      </w:r>
    </w:p>
    <w:p w:rsidR="00BB73F4" w:rsidRDefault="00BB73F4" w:rsidP="00BB73F4">
      <w:pPr>
        <w:pStyle w:val="StandardWeb"/>
      </w:pPr>
      <w:r>
        <w:t>und kann zugleich das Kohärenzprimäraxiom erfüllen, ohne (A_I) zu erfüllen.</w:t>
      </w:r>
    </w:p>
    <w:p w:rsidR="00BB73F4" w:rsidRDefault="00BB73F4" w:rsidP="00BB73F4">
      <w:pPr>
        <w:pStyle w:val="StandardWeb"/>
      </w:pPr>
      <w:r>
        <w:t>Damit ist gezeigt:</w:t>
      </w:r>
    </w:p>
    <w:p w:rsidR="00BB73F4" w:rsidRDefault="00BB73F4" w:rsidP="00BB73F4">
      <w:pPr>
        <w:pStyle w:val="StandardWeb"/>
      </w:pPr>
      <w:r>
        <w:t>[</w:t>
      </w:r>
      <w:r>
        <w:br/>
        <w:t>\boxed{</w:t>
      </w:r>
      <w:r>
        <w:br/>
        <w:t>A_C\land M_T</w:t>
      </w:r>
      <w:r>
        <w:br/>
        <w:t>\nRightarrow</w:t>
      </w:r>
      <w:r>
        <w:br/>
        <w:t>A_I.</w:t>
      </w:r>
      <w:r>
        <w:br/>
        <w:t>}</w:t>
      </w:r>
      <w:r>
        <w:br/>
        <w:t>\tag{3.10090}</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\boxed{A_C\land M_T\nRightarrow A_I.}</w:t>
      </w:r>
    </w:p>
    <w:p w:rsidR="00BB73F4" w:rsidRDefault="00E50336" w:rsidP="00BB73F4">
      <w:r>
        <w:pict>
          <v:rect id="_x0000_i3114" style="width:0;height:1.5pt" o:hralign="center" o:hrstd="t" o:hr="t" fillcolor="#a0a0a0" stroked="f"/>
        </w:pict>
      </w:r>
    </w:p>
    <w:p w:rsidR="00BB73F4" w:rsidRDefault="00BB73F4" w:rsidP="00BB73F4">
      <w:pPr>
        <w:pStyle w:val="berschrift1"/>
      </w:pPr>
      <w:r>
        <w:t>3.3.45.13 Prüfung auf axiomatische Unverzichtbarkeit</w:t>
      </w:r>
    </w:p>
    <w:p w:rsidR="00BB73F4" w:rsidRDefault="00BB73F4" w:rsidP="00BB73F4">
      <w:pPr>
        <w:pStyle w:val="StandardWeb"/>
      </w:pPr>
      <w:r>
        <w:t>Wie zuvor verwende ich das Kriterium</w:t>
      </w:r>
    </w:p>
    <w:p w:rsidR="00BB73F4" w:rsidRDefault="00BB73F4" w:rsidP="00BB73F4">
      <w:pPr>
        <w:pStyle w:val="StandardWeb"/>
      </w:pPr>
      <w:r>
        <w:t>[</w:t>
      </w:r>
      <w:r>
        <w:br/>
        <w:t>U_{\mathrm{Ax}}(A_I).</w:t>
      </w:r>
      <w:r>
        <w:br/>
        <w:t>\tag{3.10091}</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U_{\mathrm{Ax}}(A_I)</w:t>
      </w:r>
    </w:p>
    <w:p w:rsidR="00BB73F4" w:rsidRDefault="00BB73F4" w:rsidP="00BB73F4">
      <w:pPr>
        <w:pStyle w:val="StandardWeb"/>
      </w:pPr>
      <w:r>
        <w:t>Für einen Primäraxiomstatus müsste gelten</w:t>
      </w:r>
    </w:p>
    <w:p w:rsidR="00BB73F4" w:rsidRDefault="00BB73F4" w:rsidP="00BB73F4">
      <w:pPr>
        <w:pStyle w:val="StandardWeb"/>
      </w:pPr>
      <w:r>
        <w:lastRenderedPageBreak/>
        <w:t>[</w:t>
      </w:r>
      <w:r>
        <w:br/>
        <w:t>U_{\mathrm{Ax}}(A_I)=1.</w:t>
      </w:r>
      <w:r>
        <w:br/>
        <w:t>\tag{3.10092}</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U_{\mathrm{Ax}}(A_I)=1</w:t>
      </w:r>
    </w:p>
    <w:p w:rsidR="00BB73F4" w:rsidRDefault="00BB73F4" w:rsidP="00BB73F4">
      <w:pPr>
        <w:pStyle w:val="StandardWeb"/>
      </w:pPr>
      <w:r>
        <w:t>Die konstruierten Gegenmodelle zeigen jedoch, dass die allgemeine FRZK-Struktur ohne (A_I) bestehen kann.</w:t>
      </w:r>
    </w:p>
    <w:p w:rsidR="00BB73F4" w:rsidRDefault="00BB73F4" w:rsidP="00BB73F4">
      <w:pPr>
        <w:pStyle w:val="StandardWeb"/>
      </w:pPr>
      <w:r>
        <w:t>Daher gilt</w:t>
      </w:r>
    </w:p>
    <w:p w:rsidR="00BB73F4" w:rsidRDefault="00BB73F4" w:rsidP="00BB73F4">
      <w:pPr>
        <w:pStyle w:val="StandardWeb"/>
      </w:pPr>
      <w:r>
        <w:t>[</w:t>
      </w:r>
      <w:r>
        <w:br/>
        <w:t>\boxed{</w:t>
      </w:r>
      <w:r>
        <w:br/>
        <w:t>U_{\mathrm{Ax}}(A_I)=0.</w:t>
      </w:r>
      <w:r>
        <w:br/>
        <w:t>}</w:t>
      </w:r>
      <w:r>
        <w:br/>
        <w:t>\tag{3.10093}</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\boxed{U_{\mathrm{Ax}}(A_I)=0.}</w:t>
      </w:r>
    </w:p>
    <w:p w:rsidR="00BB73F4" w:rsidRDefault="00E50336" w:rsidP="00BB73F4">
      <w:r>
        <w:pict>
          <v:rect id="_x0000_i3115" style="width:0;height:1.5pt" o:hralign="center" o:hrstd="t" o:hr="t" fillcolor="#a0a0a0" stroked="f"/>
        </w:pict>
      </w:r>
    </w:p>
    <w:p w:rsidR="00BB73F4" w:rsidRDefault="00BB73F4" w:rsidP="00BB73F4">
      <w:pPr>
        <w:pStyle w:val="berschrift1"/>
      </w:pPr>
      <w:r>
        <w:t>3.3.45.14 Vorläufige Statusentscheidung</w:t>
      </w:r>
    </w:p>
    <w:p w:rsidR="00BB73F4" w:rsidRDefault="00BB73F4" w:rsidP="00BB73F4">
      <w:pPr>
        <w:pStyle w:val="StandardWeb"/>
      </w:pPr>
      <w:r>
        <w:t>Damit kann der Kandidat (A_I) nicht als Primäraxiom bestätigt werden.</w:t>
      </w:r>
    </w:p>
    <w:p w:rsidR="00BB73F4" w:rsidRDefault="00BB73F4" w:rsidP="00BB73F4">
      <w:pPr>
        <w:pStyle w:val="StandardWeb"/>
      </w:pPr>
      <w:r>
        <w:t>Sein Status lautet vorläufig</w:t>
      </w:r>
    </w:p>
    <w:p w:rsidR="00BB73F4" w:rsidRDefault="00BB73F4" w:rsidP="00BB73F4">
      <w:pPr>
        <w:pStyle w:val="StandardWeb"/>
      </w:pPr>
      <w:r>
        <w:t>[</w:t>
      </w:r>
      <w:r>
        <w:br/>
        <w:t>\boxed{</w:t>
      </w:r>
      <w:r>
        <w:br/>
        <w:t>\operatorname{Stat}(A_I)=\mathrm{Mod}.</w:t>
      </w:r>
      <w:r>
        <w:br/>
        <w:t>}</w:t>
      </w:r>
      <w:r>
        <w:br/>
        <w:t>\tag{3.10094}</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\boxed{\operatorname{Stat}(A_I)=\mathrm{Mod}.}</w:t>
      </w:r>
    </w:p>
    <w:p w:rsidR="00BB73F4" w:rsidRDefault="00BB73F4" w:rsidP="00BB73F4">
      <w:pPr>
        <w:pStyle w:val="StandardWeb"/>
      </w:pPr>
      <w:r>
        <w:t>Eine nichttriviale funktionale Invariante kann also für bestimmte Modellklassen gefordert werden, ist aber nicht Bestandteil der minimalen Primäraxiomatik.</w:t>
      </w:r>
    </w:p>
    <w:p w:rsidR="00BB73F4" w:rsidRDefault="00E50336" w:rsidP="00BB73F4">
      <w:r>
        <w:pict>
          <v:rect id="_x0000_i3116" style="width:0;height:1.5pt" o:hralign="center" o:hrstd="t" o:hr="t" fillcolor="#a0a0a0" stroked="f"/>
        </w:pict>
      </w:r>
    </w:p>
    <w:p w:rsidR="00BB73F4" w:rsidRDefault="00BB73F4" w:rsidP="00BB73F4">
      <w:pPr>
        <w:pStyle w:val="berschrift1"/>
      </w:pPr>
      <w:r>
        <w:t>3.3.45.15 Umbenennung zur Invarianzmodellannahme</w:t>
      </w:r>
    </w:p>
    <w:p w:rsidR="00BB73F4" w:rsidRDefault="00BB73F4" w:rsidP="00BB73F4">
      <w:pPr>
        <w:pStyle w:val="StandardWeb"/>
      </w:pPr>
      <w:r>
        <w:lastRenderedPageBreak/>
        <w:t>Um denselben methodischen Fehler wie zuvor bei (A_T) zu vermeiden, führe ich für konkrete Modelle die Bezeichnung</w:t>
      </w:r>
    </w:p>
    <w:p w:rsidR="00BB73F4" w:rsidRDefault="00BB73F4" w:rsidP="00BB73F4">
      <w:pPr>
        <w:pStyle w:val="StandardWeb"/>
      </w:pPr>
      <w:r>
        <w:t>[</w:t>
      </w:r>
      <w:r>
        <w:br/>
        <w:t>M_I</w:t>
      </w:r>
      <w:r>
        <w:br/>
        <w:t>\tag{3.10095}</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M_I</w:t>
      </w:r>
    </w:p>
    <w:p w:rsidR="00BB73F4" w:rsidRDefault="00BB73F4" w:rsidP="00BB73F4">
      <w:pPr>
        <w:pStyle w:val="StandardWeb"/>
      </w:pPr>
      <w:r>
        <w:t>ein.</w:t>
      </w:r>
    </w:p>
    <w:p w:rsidR="00BB73F4" w:rsidRDefault="00BB73F4" w:rsidP="00BB73F4">
      <w:pPr>
        <w:pStyle w:val="StandardWeb"/>
      </w:pPr>
      <w:r>
        <w:t>Die Modellannahme lautet</w:t>
      </w:r>
    </w:p>
    <w:p w:rsidR="00BB73F4" w:rsidRDefault="00BB73F4" w:rsidP="00BB73F4">
      <w:pPr>
        <w:pStyle w:val="StandardWeb"/>
      </w:pPr>
      <w:r>
        <w:t>[</w:t>
      </w:r>
      <w:r>
        <w:br/>
        <w:t>\boxed{</w:t>
      </w:r>
      <w:r>
        <w:br/>
        <w:t>M_I:</w:t>
      </w:r>
      <w:r>
        <w:br/>
        <w:t>\exists I_F\not\equiv\mathrm{const}</w:t>
      </w:r>
      <w:r>
        <w:br/>
        <w:t>;</w:t>
      </w:r>
      <w:r>
        <w:br/>
        <w:t>\forall(z_i,z_j)\in\mathcal T_F:</w:t>
      </w:r>
      <w:r>
        <w:br/>
        <w:t>I_F(z_i)=I_F(z_j).</w:t>
      </w:r>
      <w:r>
        <w:br/>
        <w:t>}</w:t>
      </w:r>
      <w:r>
        <w:br/>
        <w:t>\tag{3.10096}</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\boxed{M_I:\exists I_F\not\equiv\mathrm{const}\;\forall(z_i,z_j)\in\mathcal T_F:I_F(z_i)=I_F(z_j).}</w:t>
      </w:r>
    </w:p>
    <w:p w:rsidR="00BB73F4" w:rsidRDefault="00E50336" w:rsidP="00BB73F4">
      <w:r>
        <w:pict>
          <v:rect id="_x0000_i3117" style="width:0;height:1.5pt" o:hralign="center" o:hrstd="t" o:hr="t" fillcolor="#a0a0a0" stroked="f"/>
        </w:pict>
      </w:r>
    </w:p>
    <w:p w:rsidR="00BB73F4" w:rsidRDefault="00BB73F4" w:rsidP="00BB73F4">
      <w:pPr>
        <w:pStyle w:val="berschrift1"/>
      </w:pPr>
      <w:r>
        <w:t>3.3.45.16 Definition 3.3.106 – Funktionale Invarianzmodellannahme</w:t>
      </w:r>
    </w:p>
    <w:p w:rsidR="00BB73F4" w:rsidRDefault="00BB73F4" w:rsidP="00BB73F4">
      <w:pPr>
        <w:pStyle w:val="berschrift3"/>
      </w:pPr>
      <w:r>
        <w:t>Definition 3.3.106</w:t>
      </w:r>
    </w:p>
    <w:p w:rsidR="00BB73F4" w:rsidRDefault="00BB73F4" w:rsidP="00BB73F4">
      <w:pPr>
        <w:pStyle w:val="StandardWeb"/>
      </w:pPr>
      <w:r>
        <w:t xml:space="preserve">Die </w:t>
      </w:r>
      <w:r>
        <w:rPr>
          <w:rStyle w:val="Fett"/>
        </w:rPr>
        <w:t>funktionale Invarianzmodellannahme</w:t>
      </w:r>
      <w:r>
        <w:t xml:space="preserve"> (M_I) fordert für eine konkrete FRZK-Modellklasse die Existenz mindestens einer nichttrivialen funktionalen Invarianten:</w:t>
      </w:r>
    </w:p>
    <w:p w:rsidR="00BB73F4" w:rsidRDefault="00BB73F4" w:rsidP="00BB73F4">
      <w:pPr>
        <w:pStyle w:val="StandardWeb"/>
      </w:pPr>
      <w:r>
        <w:t>[</w:t>
      </w:r>
      <w:r>
        <w:br/>
        <w:t>\boxed{</w:t>
      </w:r>
      <w:r>
        <w:br/>
        <w:t>M_I:</w:t>
      </w:r>
      <w:r>
        <w:br/>
        <w:t>\exists I_F:</w:t>
      </w:r>
      <w:r>
        <w:br/>
        <w:t>\operatorname{Inv}_F(I_F)=1</w:t>
      </w:r>
      <w:r>
        <w:br/>
        <w:t>\land</w:t>
      </w:r>
      <w:r>
        <w:br/>
        <w:t>\operatorname{NTInv}_F(I_F)=1.</w:t>
      </w:r>
      <w:r>
        <w:br/>
        <w:t>}</w:t>
      </w:r>
      <w:r>
        <w:br/>
      </w:r>
      <w:r>
        <w:lastRenderedPageBreak/>
        <w:t>\tag{3.10097}</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\boxed{M_I:\exists I_F:\operatorname{Inv}_F(I_F)=1\land\operatorname{NTInv}_F(I_F)=1.}</w:t>
      </w:r>
    </w:p>
    <w:p w:rsidR="00BB73F4" w:rsidRDefault="00BB73F4" w:rsidP="00BB73F4">
      <w:pPr>
        <w:pStyle w:val="StandardWeb"/>
      </w:pPr>
      <w:r>
        <w:t>Dabei bezeichnet (\operatorname{Inv}_F) die Invarianzeigenschaft und (\operatorname{NTInv}_F) die Nichttrivialität.</w:t>
      </w:r>
    </w:p>
    <w:p w:rsidR="00BB73F4" w:rsidRDefault="00E50336" w:rsidP="00BB73F4">
      <w:r>
        <w:pict>
          <v:rect id="_x0000_i3118" style="width:0;height:1.5pt" o:hralign="center" o:hrstd="t" o:hr="t" fillcolor="#a0a0a0" stroked="f"/>
        </w:pict>
      </w:r>
    </w:p>
    <w:p w:rsidR="00BB73F4" w:rsidRDefault="00BB73F4" w:rsidP="00BB73F4">
      <w:pPr>
        <w:pStyle w:val="berschrift1"/>
      </w:pPr>
      <w:r>
        <w:t>3.3.45.17 Modellklasse mit funktionaler Invariante</w:t>
      </w:r>
    </w:p>
    <w:p w:rsidR="00BB73F4" w:rsidRDefault="00BB73F4" w:rsidP="00BB73F4">
      <w:pPr>
        <w:pStyle w:val="StandardWeb"/>
      </w:pPr>
      <w:r>
        <w:t>Damit kann die Modellunterklasse</w:t>
      </w:r>
    </w:p>
    <w:p w:rsidR="00BB73F4" w:rsidRDefault="00BB73F4" w:rsidP="00BB73F4">
      <w:pPr>
        <w:pStyle w:val="berschrift1"/>
      </w:pPr>
      <w:r>
        <w:t>[</w:t>
      </w:r>
      <w:r>
        <w:br/>
        <w:t>\mathfrak M_F^{I}</w:t>
      </w:r>
    </w:p>
    <w:p w:rsidR="00BB73F4" w:rsidRDefault="00BB73F4" w:rsidP="00BB73F4">
      <w:pPr>
        <w:pStyle w:val="StandardWeb"/>
      </w:pPr>
      <w:r>
        <w:t>\left{</w:t>
      </w:r>
      <w:r>
        <w:br/>
        <w:t>\mathcal M\in\mathfrak M_{\mathrm{FRZK}}:</w:t>
      </w:r>
      <w:r>
        <w:br/>
        <w:t>\mathcal M\models M_I</w:t>
      </w:r>
      <w:r>
        <w:br/>
        <w:t>\right}</w:t>
      </w:r>
      <w:r>
        <w:br/>
        <w:t>\tag{3.10098}</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\mathfrak M_F^{I}=\left\{\mathcal M\in\mathfrak M_{\mathrm{FRZK}}:\mathcal M\models M_I\right\}</w:t>
      </w:r>
    </w:p>
    <w:p w:rsidR="00BB73F4" w:rsidRDefault="00BB73F4" w:rsidP="00BB73F4">
      <w:pPr>
        <w:pStyle w:val="StandardWeb"/>
      </w:pPr>
      <w:r>
        <w:t>definiert werden.</w:t>
      </w:r>
    </w:p>
    <w:p w:rsidR="00BB73F4" w:rsidRDefault="00BB73F4" w:rsidP="00BB73F4">
      <w:pPr>
        <w:pStyle w:val="StandardWeb"/>
      </w:pPr>
      <w:r>
        <w:t>Es gilt</w:t>
      </w:r>
    </w:p>
    <w:p w:rsidR="00BB73F4" w:rsidRDefault="00BB73F4" w:rsidP="00BB73F4">
      <w:pPr>
        <w:pStyle w:val="StandardWeb"/>
      </w:pPr>
      <w:r>
        <w:t>[</w:t>
      </w:r>
      <w:r>
        <w:br/>
        <w:t>\mathfrak M_F^{I}</w:t>
      </w:r>
      <w:r>
        <w:br/>
        <w:t>\subseteq</w:t>
      </w:r>
      <w:r>
        <w:br/>
        <w:t>\mathfrak M_{\mathrm{FRZK}}.</w:t>
      </w:r>
      <w:r>
        <w:br/>
        <w:t>\tag{3.10099}</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\mathfrak M_F^{I}\subseteq\mathfrak M_{\mathrm{FRZK}}</w:t>
      </w:r>
    </w:p>
    <w:p w:rsidR="00BB73F4" w:rsidRDefault="00BB73F4" w:rsidP="00BB73F4">
      <w:pPr>
        <w:pStyle w:val="StandardWeb"/>
      </w:pPr>
      <w:r>
        <w:t>Die Invarianz ist damit eine Eigenschaft einer Modellunterklasse.</w:t>
      </w:r>
    </w:p>
    <w:p w:rsidR="00BB73F4" w:rsidRDefault="00E50336" w:rsidP="00BB73F4">
      <w:r>
        <w:pict>
          <v:rect id="_x0000_i3119" style="width:0;height:1.5pt" o:hralign="center" o:hrstd="t" o:hr="t" fillcolor="#a0a0a0" stroked="f"/>
        </w:pict>
      </w:r>
    </w:p>
    <w:p w:rsidR="00BB73F4" w:rsidRDefault="00BB73F4" w:rsidP="00BB73F4">
      <w:pPr>
        <w:pStyle w:val="berschrift1"/>
      </w:pPr>
      <w:r>
        <w:lastRenderedPageBreak/>
        <w:t>3.3.45.18 Mehrere Invarianten</w:t>
      </w:r>
    </w:p>
    <w:p w:rsidR="00BB73F4" w:rsidRDefault="00BB73F4" w:rsidP="00BB73F4">
      <w:pPr>
        <w:pStyle w:val="StandardWeb"/>
      </w:pPr>
      <w:r>
        <w:t>Ein Modell kann mehr als eine funktionale Invariante besitzen.</w:t>
      </w:r>
    </w:p>
    <w:p w:rsidR="00BB73F4" w:rsidRDefault="00BB73F4" w:rsidP="00BB73F4">
      <w:pPr>
        <w:pStyle w:val="StandardWeb"/>
      </w:pPr>
      <w:r>
        <w:t>Ich kann deshalb eine Invariantenmenge definieren:</w:t>
      </w:r>
    </w:p>
    <w:p w:rsidR="00BB73F4" w:rsidRDefault="00BB73F4" w:rsidP="00BB73F4">
      <w:pPr>
        <w:pStyle w:val="berschrift1"/>
      </w:pPr>
      <w:r>
        <w:t>[</w:t>
      </w:r>
      <w:r>
        <w:br/>
        <w:t>\mathcal I_F(\mathcal M)</w:t>
      </w:r>
    </w:p>
    <w:p w:rsidR="00BB73F4" w:rsidRDefault="00BB73F4" w:rsidP="00BB73F4">
      <w:pPr>
        <w:pStyle w:val="StandardWeb"/>
      </w:pPr>
      <w:r>
        <w:t>\left{</w:t>
      </w:r>
      <w:r>
        <w:br/>
        <w:t>I_F:</w:t>
      </w:r>
      <w:r>
        <w:br/>
        <w:t>\operatorname{Inv}_F(I_F)=1</w:t>
      </w:r>
      <w:r>
        <w:br/>
        <w:t>\right}.</w:t>
      </w:r>
      <w:r>
        <w:br/>
        <w:t>\tag{3.10100}</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\mathcal I_F(\mathcal M)=\left\{I_F:\operatorname{Inv}_F(I_F)=1\right\}</w:t>
      </w:r>
    </w:p>
    <w:p w:rsidR="00BB73F4" w:rsidRDefault="00BB73F4" w:rsidP="00BB73F4">
      <w:pPr>
        <w:pStyle w:val="StandardWeb"/>
      </w:pPr>
      <w:r>
        <w:t>Die Menge kann leer im nichttrivialen Sinn, endlich oder unter geeigneten mathematischen Voraussetzungen auch unendlich sein.</w:t>
      </w:r>
    </w:p>
    <w:p w:rsidR="00BB73F4" w:rsidRDefault="00E50336" w:rsidP="00BB73F4">
      <w:r>
        <w:pict>
          <v:rect id="_x0000_i3120" style="width:0;height:1.5pt" o:hralign="center" o:hrstd="t" o:hr="t" fillcolor="#a0a0a0" stroked="f"/>
        </w:pict>
      </w:r>
    </w:p>
    <w:p w:rsidR="00BB73F4" w:rsidRDefault="00BB73F4" w:rsidP="00BB73F4">
      <w:pPr>
        <w:pStyle w:val="berschrift1"/>
      </w:pPr>
      <w:r>
        <w:t>3.3.45.19 Definition 3.3.107 – Funktionale Invariantenmenge</w:t>
      </w:r>
    </w:p>
    <w:p w:rsidR="00BB73F4" w:rsidRDefault="00BB73F4" w:rsidP="00BB73F4">
      <w:pPr>
        <w:pStyle w:val="berschrift3"/>
      </w:pPr>
      <w:r>
        <w:t>Definition 3.3.107</w:t>
      </w:r>
    </w:p>
    <w:p w:rsidR="00BB73F4" w:rsidRDefault="00BB73F4" w:rsidP="00BB73F4">
      <w:pPr>
        <w:pStyle w:val="StandardWeb"/>
      </w:pPr>
      <w:r>
        <w:t xml:space="preserve">Die </w:t>
      </w:r>
      <w:r>
        <w:rPr>
          <w:rStyle w:val="Fett"/>
        </w:rPr>
        <w:t>funktionale Invariantenmenge</w:t>
      </w:r>
      <w:r>
        <w:t xml:space="preserve"> eines Modells (\mathcal M) ist</w:t>
      </w:r>
    </w:p>
    <w:p w:rsidR="00BB73F4" w:rsidRDefault="00BB73F4" w:rsidP="00BB73F4">
      <w:pPr>
        <w:pStyle w:val="berschrift1"/>
      </w:pPr>
      <w:r>
        <w:t>[</w:t>
      </w:r>
      <w:r>
        <w:br/>
        <w:t>\boxed{</w:t>
      </w:r>
      <w:r>
        <w:br/>
        <w:t>\mathcal I_F(\mathcal M)</w:t>
      </w:r>
    </w:p>
    <w:p w:rsidR="00BB73F4" w:rsidRDefault="00BB73F4" w:rsidP="00BB73F4">
      <w:pPr>
        <w:pStyle w:val="StandardWeb"/>
      </w:pPr>
      <w:r>
        <w:t>\left{</w:t>
      </w:r>
      <w:r>
        <w:br/>
        <w:t>I_F:</w:t>
      </w:r>
      <w:r>
        <w:br/>
        <w:t>\forall(z_i,z_j)\in\mathcal T_F^{(\mathcal M)}:</w:t>
      </w:r>
      <w:r>
        <w:br/>
        <w:t>I_F(z_i)=I_F(z_j)</w:t>
      </w:r>
      <w:r>
        <w:br/>
        <w:t>\right}.</w:t>
      </w:r>
      <w:r>
        <w:br/>
        <w:t>}</w:t>
      </w:r>
      <w:r>
        <w:br/>
        <w:t>\tag{3.10101}</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lastRenderedPageBreak/>
        <w:t>\boxed{\mathcal I_F(\mathcal M)=\left\{I_F:\forall(z_i,z_j)\in\mathcal T_F^{(\mathcal M)}:I_F(z_i)=I_F(z_j)\right\}.}</w:t>
      </w:r>
    </w:p>
    <w:p w:rsidR="00BB73F4" w:rsidRDefault="00E50336" w:rsidP="00BB73F4">
      <w:r>
        <w:pict>
          <v:rect id="_x0000_i3121" style="width:0;height:1.5pt" o:hralign="center" o:hrstd="t" o:hr="t" fillcolor="#a0a0a0" stroked="f"/>
        </w:pict>
      </w:r>
    </w:p>
    <w:p w:rsidR="00BB73F4" w:rsidRDefault="00BB73F4" w:rsidP="00BB73F4">
      <w:pPr>
        <w:pStyle w:val="berschrift1"/>
      </w:pPr>
      <w:r>
        <w:t>3.3.45.20 Nichttriviale Invariantenmenge</w:t>
      </w:r>
    </w:p>
    <w:p w:rsidR="00BB73F4" w:rsidRDefault="00BB73F4" w:rsidP="00BB73F4">
      <w:pPr>
        <w:pStyle w:val="StandardWeb"/>
      </w:pPr>
      <w:r>
        <w:t>Die nichttriviale Teilmenge kann geschrieben werden als</w:t>
      </w:r>
    </w:p>
    <w:p w:rsidR="00BB73F4" w:rsidRDefault="00BB73F4" w:rsidP="00BB73F4">
      <w:pPr>
        <w:pStyle w:val="berschrift1"/>
      </w:pPr>
      <w:r>
        <w:t>[</w:t>
      </w:r>
      <w:r>
        <w:br/>
        <w:t>\mathcal I_F^{\ast}(\mathcal M)</w:t>
      </w:r>
    </w:p>
    <w:p w:rsidR="00BB73F4" w:rsidRDefault="00BB73F4" w:rsidP="00BB73F4">
      <w:pPr>
        <w:pStyle w:val="StandardWeb"/>
      </w:pPr>
      <w:r>
        <w:t>\left{</w:t>
      </w:r>
      <w:r>
        <w:br/>
        <w:t>I_F\in\mathcal I_F(\mathcal M):</w:t>
      </w:r>
      <w:r>
        <w:br/>
        <w:t>I_F\not\equiv\mathrm{const}</w:t>
      </w:r>
      <w:r>
        <w:br/>
        <w:t>\right}.</w:t>
      </w:r>
      <w:r>
        <w:br/>
        <w:t>\tag{3.10102}</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\mathcal I_F^{\ast}(\mathcal M)=\left\{I_F\in\mathcal I_F(\mathcal M):I_F\not\equiv\mathrm{const}\right\}</w:t>
      </w:r>
    </w:p>
    <w:p w:rsidR="00BB73F4" w:rsidRDefault="00BB73F4" w:rsidP="00BB73F4">
      <w:pPr>
        <w:pStyle w:val="StandardWeb"/>
      </w:pPr>
      <w:r>
        <w:t>Damit gilt</w:t>
      </w:r>
    </w:p>
    <w:p w:rsidR="00BB73F4" w:rsidRDefault="00BB73F4" w:rsidP="00BB73F4">
      <w:pPr>
        <w:pStyle w:val="StandardWeb"/>
      </w:pPr>
      <w:r>
        <w:t>[</w:t>
      </w:r>
      <w:r>
        <w:br/>
        <w:t>M_I</w:t>
      </w:r>
      <w:r>
        <w:br/>
        <w:t>\Longleftrightarrow</w:t>
      </w:r>
      <w:r>
        <w:br/>
        <w:t>\mathcal I_F^{\ast}(\mathcal M)\neq\varnothing.</w:t>
      </w:r>
      <w:r>
        <w:br/>
        <w:t>\tag{3.10103}</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M_I\Longleftrightarrow\mathcal I_F^{\ast}(\mathcal M)\neq\varnothing</w:t>
      </w:r>
    </w:p>
    <w:p w:rsidR="00BB73F4" w:rsidRDefault="00E50336" w:rsidP="00BB73F4">
      <w:r>
        <w:pict>
          <v:rect id="_x0000_i3122" style="width:0;height:1.5pt" o:hralign="center" o:hrstd="t" o:hr="t" fillcolor="#a0a0a0" stroked="f"/>
        </w:pict>
      </w:r>
    </w:p>
    <w:p w:rsidR="00BB73F4" w:rsidRDefault="00BB73F4" w:rsidP="00BB73F4">
      <w:pPr>
        <w:pStyle w:val="berschrift1"/>
      </w:pPr>
      <w:r>
        <w:t>3.3.45.21 Keine automatische Identifikation mit physikalischen Erhaltungsgrößen</w:t>
      </w:r>
    </w:p>
    <w:p w:rsidR="00BB73F4" w:rsidRDefault="00BB73F4" w:rsidP="00BB73F4">
      <w:pPr>
        <w:pStyle w:val="StandardWeb"/>
      </w:pPr>
      <w:r>
        <w:t>Eine funktionale Invariante darf nicht ohne zusätzliche Begründung mit Energie, Impuls, Ladung oder einer anderen etablierten physikalischen Erhaltungsgröße identifiziert werden.</w:t>
      </w:r>
    </w:p>
    <w:p w:rsidR="00BB73F4" w:rsidRDefault="00BB73F4" w:rsidP="00BB73F4">
      <w:pPr>
        <w:pStyle w:val="StandardWeb"/>
      </w:pPr>
      <w:r>
        <w:t>Daher gilt</w:t>
      </w:r>
    </w:p>
    <w:p w:rsidR="00BB73F4" w:rsidRDefault="00BB73F4" w:rsidP="00BB73F4">
      <w:pPr>
        <w:pStyle w:val="StandardWeb"/>
      </w:pPr>
      <w:r>
        <w:t>[</w:t>
      </w:r>
      <w:r>
        <w:br/>
        <w:t>\boxed{</w:t>
      </w:r>
      <w:r>
        <w:br/>
        <w:t>I_F</w:t>
      </w:r>
      <w:r>
        <w:br/>
      </w:r>
      <w:r>
        <w:lastRenderedPageBreak/>
        <w:t>\not\equiv</w:t>
      </w:r>
      <w:r>
        <w:br/>
        <w:t>E</w:t>
      </w:r>
      <w:r>
        <w:br/>
        <w:t>}</w:t>
      </w:r>
      <w:r>
        <w:br/>
        <w:t>\tag{3.10104}</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\boxed{I_F\not\equiv E}</w:t>
      </w:r>
    </w:p>
    <w:p w:rsidR="00BB73F4" w:rsidRDefault="00BB73F4" w:rsidP="00BB73F4">
      <w:pPr>
        <w:pStyle w:val="StandardWeb"/>
      </w:pPr>
      <w:r>
        <w:t>ebenso wie</w:t>
      </w:r>
    </w:p>
    <w:p w:rsidR="00BB73F4" w:rsidRDefault="00BB73F4" w:rsidP="00BB73F4">
      <w:pPr>
        <w:pStyle w:val="StandardWeb"/>
      </w:pPr>
      <w:r>
        <w:t>[</w:t>
      </w:r>
      <w:r>
        <w:br/>
        <w:t>\boxed{</w:t>
      </w:r>
      <w:r>
        <w:br/>
        <w:t>I_F</w:t>
      </w:r>
      <w:r>
        <w:br/>
        <w:t>\not\equiv</w:t>
      </w:r>
      <w:r>
        <w:br/>
        <w:t>\mathbf p</w:t>
      </w:r>
      <w:r>
        <w:br/>
        <w:t>}</w:t>
      </w:r>
      <w:r>
        <w:br/>
        <w:t>\tag{3.10105}</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\boxed{I_F\not\equiv\mathbf p}</w:t>
      </w:r>
    </w:p>
    <w:p w:rsidR="00BB73F4" w:rsidRDefault="00BB73F4" w:rsidP="00BB73F4">
      <w:pPr>
        <w:pStyle w:val="StandardWeb"/>
      </w:pPr>
      <w:r>
        <w:t>ohne eine separate physikalische Modellzuordnung.</w:t>
      </w:r>
    </w:p>
    <w:p w:rsidR="00BB73F4" w:rsidRDefault="00E50336" w:rsidP="00BB73F4">
      <w:r>
        <w:pict>
          <v:rect id="_x0000_i3123" style="width:0;height:1.5pt" o:hralign="center" o:hrstd="t" o:hr="t" fillcolor="#a0a0a0" stroked="f"/>
        </w:pict>
      </w:r>
    </w:p>
    <w:p w:rsidR="00BB73F4" w:rsidRDefault="00BB73F4" w:rsidP="00BB73F4">
      <w:pPr>
        <w:pStyle w:val="berschrift1"/>
      </w:pPr>
      <w:r>
        <w:t>3.3.45.22 Invarianz und Kohärenz sind verschiedene Eigenschaften</w:t>
      </w:r>
    </w:p>
    <w:p w:rsidR="00BB73F4" w:rsidRDefault="00BB73F4" w:rsidP="00BB73F4">
      <w:pPr>
        <w:pStyle w:val="StandardWeb"/>
      </w:pPr>
      <w:r>
        <w:t>Auch funktionale Kohärenz selbst muss entlang eines Übergangs nicht invariant sein.</w:t>
      </w:r>
    </w:p>
    <w:p w:rsidR="00BB73F4" w:rsidRDefault="00BB73F4" w:rsidP="00BB73F4">
      <w:pPr>
        <w:pStyle w:val="StandardWeb"/>
      </w:pPr>
      <w:r>
        <w:t>Abschnitt 3.3.44 hat bereits gezeigt, dass</w:t>
      </w:r>
    </w:p>
    <w:p w:rsidR="00BB73F4" w:rsidRDefault="00BB73F4" w:rsidP="00BB73F4">
      <w:pPr>
        <w:pStyle w:val="StandardWeb"/>
      </w:pPr>
      <w:r>
        <w:t>[</w:t>
      </w:r>
      <w:r>
        <w:br/>
        <w:t>\Delta_T C_F</w:t>
      </w:r>
      <w:r>
        <w:br/>
        <w:t>\neq</w:t>
      </w:r>
      <w:r>
        <w:br/>
        <w:t>0</w:t>
      </w:r>
      <w:r>
        <w:br/>
        <w:t>\tag{3.10106}</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\Delta_T C_F\neq0</w:t>
      </w:r>
    </w:p>
    <w:p w:rsidR="00BB73F4" w:rsidRDefault="00BB73F4" w:rsidP="00BB73F4">
      <w:pPr>
        <w:pStyle w:val="StandardWeb"/>
      </w:pPr>
      <w:r>
        <w:t>zulässig ist.</w:t>
      </w:r>
    </w:p>
    <w:p w:rsidR="00BB73F4" w:rsidRDefault="00BB73F4" w:rsidP="00BB73F4">
      <w:pPr>
        <w:pStyle w:val="StandardWeb"/>
      </w:pPr>
      <w:r>
        <w:t>Damit gilt im Allgemeinen</w:t>
      </w:r>
    </w:p>
    <w:p w:rsidR="00BB73F4" w:rsidRDefault="00BB73F4" w:rsidP="00BB73F4">
      <w:pPr>
        <w:pStyle w:val="StandardWeb"/>
      </w:pPr>
      <w:r>
        <w:lastRenderedPageBreak/>
        <w:t>[</w:t>
      </w:r>
      <w:r>
        <w:br/>
        <w:t>\boxed{</w:t>
      </w:r>
      <w:r>
        <w:br/>
        <w:t>C_F</w:t>
      </w:r>
      <w:r>
        <w:br/>
        <w:t>\notin</w:t>
      </w:r>
      <w:r>
        <w:br/>
        <w:t>\mathcal I_F(\mathcal M).</w:t>
      </w:r>
      <w:r>
        <w:br/>
        <w:t>}</w:t>
      </w:r>
      <w:r>
        <w:br/>
        <w:t>\tag{3.10107}</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\boxed{C_F\notin\mathcal I_F(\mathcal M).}</w:t>
      </w:r>
    </w:p>
    <w:p w:rsidR="00BB73F4" w:rsidRDefault="00BB73F4" w:rsidP="00BB73F4">
      <w:pPr>
        <w:pStyle w:val="StandardWeb"/>
      </w:pPr>
      <w:r>
        <w:t>Eine Erhaltung der Kohärenz wäre daher eine zusätzliche Modellannahme.</w:t>
      </w:r>
    </w:p>
    <w:p w:rsidR="00BB73F4" w:rsidRDefault="00E50336" w:rsidP="00BB73F4">
      <w:r>
        <w:pict>
          <v:rect id="_x0000_i3124" style="width:0;height:1.5pt" o:hralign="center" o:hrstd="t" o:hr="t" fillcolor="#a0a0a0" stroked="f"/>
        </w:pict>
      </w:r>
    </w:p>
    <w:p w:rsidR="00BB73F4" w:rsidRDefault="00BB73F4" w:rsidP="00BB73F4">
      <w:pPr>
        <w:pStyle w:val="berschrift1"/>
      </w:pPr>
      <w:r>
        <w:t>3.3.45.23 Kandidat einer Kohärenzinvarianz</w:t>
      </w:r>
    </w:p>
    <w:p w:rsidR="00BB73F4" w:rsidRDefault="00BB73F4" w:rsidP="00BB73F4">
      <w:pPr>
        <w:pStyle w:val="StandardWeb"/>
      </w:pPr>
      <w:r>
        <w:t>Für spezielle Modelle kann die Forderung</w:t>
      </w:r>
    </w:p>
    <w:p w:rsidR="00BB73F4" w:rsidRDefault="00BB73F4" w:rsidP="00BB73F4">
      <w:pPr>
        <w:pStyle w:val="StandardWeb"/>
      </w:pPr>
      <w:r>
        <w:t>[</w:t>
      </w:r>
      <w:r>
        <w:br/>
        <w:t>M_I^{C}:</w:t>
      </w:r>
      <w:r>
        <w:br/>
        <w:t>\forall(z_i,z_j)\in\mathcal T_F:</w:t>
      </w:r>
      <w:r>
        <w:br/>
        <w:t>C_F(z_i)=C_F(z_j)</w:t>
      </w:r>
      <w:r>
        <w:br/>
        <w:t>\tag{3.10108}</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M_I^{C}:\forall(z_i,z_j)\in\mathcal T_F:C_F(z_i)=C_F(z_j)</w:t>
      </w:r>
    </w:p>
    <w:p w:rsidR="00BB73F4" w:rsidRDefault="00BB73F4" w:rsidP="00BB73F4">
      <w:pPr>
        <w:pStyle w:val="StandardWeb"/>
      </w:pPr>
      <w:r>
        <w:t>eingeführt werden.</w:t>
      </w:r>
    </w:p>
    <w:p w:rsidR="00BB73F4" w:rsidRDefault="00BB73F4" w:rsidP="00BB73F4">
      <w:pPr>
        <w:pStyle w:val="StandardWeb"/>
      </w:pPr>
      <w:r>
        <w:t>Sie entspricht</w:t>
      </w:r>
    </w:p>
    <w:p w:rsidR="00BB73F4" w:rsidRDefault="00BB73F4" w:rsidP="00BB73F4">
      <w:pPr>
        <w:pStyle w:val="StandardWeb"/>
      </w:pPr>
      <w:r>
        <w:t>[</w:t>
      </w:r>
      <w:r>
        <w:br/>
        <w:t>\Delta_T C_F(z_i,z_j)=0.</w:t>
      </w:r>
      <w:r>
        <w:br/>
        <w:t>\tag{3.10109}</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\Delta_T C_F(z_i,z_j)=0</w:t>
      </w:r>
    </w:p>
    <w:p w:rsidR="00BB73F4" w:rsidRDefault="00E50336" w:rsidP="00BB73F4">
      <w:r>
        <w:pict>
          <v:rect id="_x0000_i3125" style="width:0;height:1.5pt" o:hralign="center" o:hrstd="t" o:hr="t" fillcolor="#a0a0a0" stroked="f"/>
        </w:pict>
      </w:r>
    </w:p>
    <w:p w:rsidR="00BB73F4" w:rsidRDefault="00BB73F4" w:rsidP="00BB73F4">
      <w:pPr>
        <w:pStyle w:val="berschrift1"/>
      </w:pPr>
      <w:r>
        <w:t>3.3.45.24 Status der Kohärenzinvarianz</w:t>
      </w:r>
    </w:p>
    <w:p w:rsidR="00BB73F4" w:rsidRDefault="00BB73F4" w:rsidP="00BB73F4">
      <w:pPr>
        <w:pStyle w:val="StandardWeb"/>
      </w:pPr>
      <w:r>
        <w:t>Da Abschnitt 3.3.44 explizit Kohärenzzunahme und Kohärenzverlust zulässt, folgt</w:t>
      </w:r>
    </w:p>
    <w:p w:rsidR="00BB73F4" w:rsidRDefault="00BB73F4" w:rsidP="00BB73F4">
      <w:pPr>
        <w:pStyle w:val="StandardWeb"/>
      </w:pPr>
      <w:r>
        <w:lastRenderedPageBreak/>
        <w:t>[</w:t>
      </w:r>
      <w:r>
        <w:br/>
        <w:t>A_C\land M_T</w:t>
      </w:r>
      <w:r>
        <w:br/>
        <w:t>\nRightarrow</w:t>
      </w:r>
      <w:r>
        <w:br/>
        <w:t>M_I^C.</w:t>
      </w:r>
      <w:r>
        <w:br/>
        <w:t>\tag{3.10110}</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A_C\land M_T\nRightarrow M_I^C</w:t>
      </w:r>
    </w:p>
    <w:p w:rsidR="00BB73F4" w:rsidRDefault="00BB73F4" w:rsidP="00BB73F4">
      <w:pPr>
        <w:pStyle w:val="StandardWeb"/>
      </w:pPr>
      <w:r>
        <w:t>Daher gilt</w:t>
      </w:r>
    </w:p>
    <w:p w:rsidR="00BB73F4" w:rsidRDefault="00BB73F4" w:rsidP="00BB73F4">
      <w:pPr>
        <w:pStyle w:val="berschrift1"/>
      </w:pPr>
      <w:r>
        <w:t>[</w:t>
      </w:r>
      <w:r>
        <w:br/>
        <w:t>\boxed{</w:t>
      </w:r>
      <w:r>
        <w:br/>
        <w:t>\operatorname{Stat}(M_I^C)</w:t>
      </w:r>
    </w:p>
    <w:p w:rsidR="00BB73F4" w:rsidRDefault="00BB73F4" w:rsidP="00BB73F4">
      <w:pPr>
        <w:pStyle w:val="StandardWeb"/>
      </w:pPr>
      <w:r>
        <w:t>\mathrm{Mod}.</w:t>
      </w:r>
      <w:r>
        <w:br/>
        <w:t>}</w:t>
      </w:r>
      <w:r>
        <w:br/>
        <w:t>\tag{3.10111}</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\boxed{\operatorname{Stat}(M_I^C)=\mathrm{Mod}.}</w:t>
      </w:r>
    </w:p>
    <w:p w:rsidR="00BB73F4" w:rsidRDefault="00E50336" w:rsidP="00BB73F4">
      <w:r>
        <w:pict>
          <v:rect id="_x0000_i3126" style="width:0;height:1.5pt" o:hralign="center" o:hrstd="t" o:hr="t" fillcolor="#a0a0a0" stroked="f"/>
        </w:pict>
      </w:r>
    </w:p>
    <w:p w:rsidR="00BB73F4" w:rsidRDefault="00BB73F4" w:rsidP="00BB73F4">
      <w:pPr>
        <w:pStyle w:val="berschrift1"/>
      </w:pPr>
      <w:r>
        <w:t>3.3.45.25 Invarianz und Erhaltung</w:t>
      </w:r>
    </w:p>
    <w:p w:rsidR="00BB73F4" w:rsidRDefault="00BB73F4" w:rsidP="00BB73F4">
      <w:pPr>
        <w:pStyle w:val="StandardWeb"/>
      </w:pPr>
      <w:r>
        <w:t>Die Begriffe „Invarianz“ und „Erhaltung“ werden häufig eng miteinander verbunden. Für die FRZK-Konstruktion trenne ich sie zunächst.</w:t>
      </w:r>
    </w:p>
    <w:p w:rsidR="00BB73F4" w:rsidRDefault="00BB73F4" w:rsidP="00BB73F4">
      <w:pPr>
        <w:pStyle w:val="StandardWeb"/>
      </w:pPr>
      <w:r>
        <w:t>Eine Invarianz beschreibt formal</w:t>
      </w:r>
    </w:p>
    <w:p w:rsidR="00BB73F4" w:rsidRDefault="00BB73F4" w:rsidP="00BB73F4">
      <w:pPr>
        <w:pStyle w:val="StandardWeb"/>
      </w:pPr>
      <w:r>
        <w:t>[</w:t>
      </w:r>
      <w:r>
        <w:br/>
        <w:t>I_F(z_i)=I_F(z_j)</w:t>
      </w:r>
      <w:r>
        <w:br/>
        <w:t>\tag{3.10112}</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I_F(z_i)=I_F(z_j)</w:t>
      </w:r>
    </w:p>
    <w:p w:rsidR="00BB73F4" w:rsidRDefault="00BB73F4" w:rsidP="00BB73F4">
      <w:pPr>
        <w:pStyle w:val="StandardWeb"/>
      </w:pPr>
      <w:r>
        <w:t>für zulässige Übergänge.</w:t>
      </w:r>
    </w:p>
    <w:p w:rsidR="00BB73F4" w:rsidRDefault="00BB73F4" w:rsidP="00BB73F4">
      <w:pPr>
        <w:pStyle w:val="StandardWeb"/>
      </w:pPr>
      <w:r>
        <w:t>Eine Erhaltungsaussage kann dagegen zusätzlich eine Interpretation des erhaltenen Wertes als physikalisch oder funktional relevante Größe voraussetzen.</w:t>
      </w:r>
    </w:p>
    <w:p w:rsidR="00BB73F4" w:rsidRDefault="00BB73F4" w:rsidP="00BB73F4">
      <w:pPr>
        <w:pStyle w:val="StandardWeb"/>
      </w:pPr>
      <w:r>
        <w:t>Damit gilt methodisch</w:t>
      </w:r>
    </w:p>
    <w:p w:rsidR="00BB73F4" w:rsidRDefault="00BB73F4" w:rsidP="00BB73F4">
      <w:pPr>
        <w:pStyle w:val="StandardWeb"/>
      </w:pPr>
      <w:r>
        <w:lastRenderedPageBreak/>
        <w:t>[</w:t>
      </w:r>
      <w:r>
        <w:br/>
        <w:t>\boxed{</w:t>
      </w:r>
      <w:r>
        <w:br/>
        <w:t>\text{formale Invarianz}</w:t>
      </w:r>
      <w:r>
        <w:br/>
        <w:t>;\not\equiv;</w:t>
      </w:r>
      <w:r>
        <w:br/>
        <w:t>\text{physikalisches Erhaltungsgesetz}.</w:t>
      </w:r>
      <w:r>
        <w:br/>
        <w:t>}</w:t>
      </w:r>
      <w:r>
        <w:br/>
        <w:t>\tag{3.10113}</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\boxed{\text{formale Invarianz}\;\not\equiv\;\text{physikalisches Erhaltungsgesetz}.}</w:t>
      </w:r>
    </w:p>
    <w:p w:rsidR="00BB73F4" w:rsidRDefault="00E50336" w:rsidP="00BB73F4">
      <w:r>
        <w:pict>
          <v:rect id="_x0000_i3127" style="width:0;height:1.5pt" o:hralign="center" o:hrstd="t" o:hr="t" fillcolor="#a0a0a0" stroked="f"/>
        </w:pict>
      </w:r>
    </w:p>
    <w:p w:rsidR="00BB73F4" w:rsidRDefault="00BB73F4" w:rsidP="00BB73F4">
      <w:pPr>
        <w:pStyle w:val="berschrift1"/>
      </w:pPr>
      <w:r>
        <w:t>3.3.45.26 Zwischenstand der Primäraxiomprüfung</w:t>
      </w:r>
    </w:p>
    <w:p w:rsidR="00BB73F4" w:rsidRDefault="00BB73F4" w:rsidP="00BB73F4">
      <w:pPr>
        <w:pStyle w:val="StandardWeb"/>
      </w:pPr>
      <w:r>
        <w:t>Bis zu diesem Punkt ergibt sich</w:t>
      </w:r>
    </w:p>
    <w:p w:rsidR="00BB73F4" w:rsidRDefault="00BB73F4" w:rsidP="00BB73F4">
      <w:pPr>
        <w:pStyle w:val="StandardWeb"/>
      </w:pPr>
      <w:r>
        <w:t>[</w:t>
      </w:r>
      <w:r>
        <w:br/>
        <w:t>U_{\mathrm{Ax}}(A_I)=0</w:t>
      </w:r>
      <w:r>
        <w:br/>
        <w:t>\tag{3.10114}</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U_{\mathrm{Ax}}(A_I)=0</w:t>
      </w:r>
    </w:p>
    <w:p w:rsidR="00BB73F4" w:rsidRDefault="00BB73F4" w:rsidP="00BB73F4">
      <w:pPr>
        <w:pStyle w:val="StandardWeb"/>
      </w:pPr>
      <w:r>
        <w:t>und</w:t>
      </w:r>
    </w:p>
    <w:p w:rsidR="00BB73F4" w:rsidRDefault="00BB73F4" w:rsidP="00BB73F4">
      <w:pPr>
        <w:pStyle w:val="StandardWeb"/>
      </w:pPr>
      <w:r>
        <w:t>[</w:t>
      </w:r>
      <w:r>
        <w:br/>
        <w:t>\operatorname{Stat}(A_I)=\mathrm{Mod}.</w:t>
      </w:r>
      <w:r>
        <w:br/>
        <w:t>\tag{3.10115}</w:t>
      </w:r>
      <w:r>
        <w:br/>
        <w:t>]</w:t>
      </w:r>
    </w:p>
    <w:p w:rsidR="00BB73F4" w:rsidRDefault="00BB73F4" w:rsidP="00BB73F4">
      <w:pPr>
        <w:pStyle w:val="StandardWeb"/>
      </w:pPr>
      <w:r>
        <w:rPr>
          <w:rStyle w:val="Fett"/>
        </w:rPr>
        <w:t>Word-LaTeX</w:t>
      </w:r>
    </w:p>
    <w:p w:rsidR="00BB73F4" w:rsidRDefault="00BB73F4" w:rsidP="00BB73F4">
      <w:pPr>
        <w:pStyle w:val="HTMLVorformatiert"/>
        <w:rPr>
          <w:rStyle w:val="HTMLCode"/>
        </w:rPr>
      </w:pPr>
      <w:r>
        <w:rPr>
          <w:rStyle w:val="HTMLCode"/>
        </w:rPr>
        <w:t>\operatorname{Stat}(A_I)=\mathrm{Mod}</w:t>
      </w:r>
    </w:p>
    <w:p w:rsidR="00BB73F4" w:rsidRDefault="00BB73F4" w:rsidP="00BB73F4">
      <w:pPr>
        <w:pStyle w:val="StandardWeb"/>
      </w:pPr>
      <w:r>
        <w:t>Damit gilt vorläufig</w:t>
      </w:r>
    </w:p>
    <w:p w:rsidR="00BB73F4" w:rsidRDefault="00BB73F4" w:rsidP="00BB73F4">
      <w:pPr>
        <w:pStyle w:val="berschrift1"/>
      </w:pPr>
      <w:r>
        <w:t>[</w:t>
      </w:r>
      <w:r>
        <w:br/>
        <w:t>\boxed{</w:t>
      </w:r>
      <w:r>
        <w:br/>
        <w:t>\mathfrak A_{3.3.45}^{\mathrm{new}}</w:t>
      </w:r>
    </w:p>
    <w:p w:rsidR="00BB73F4" w:rsidRDefault="00BB73F4" w:rsidP="00BB73F4">
      <w:pPr>
        <w:pStyle w:val="StandardWeb"/>
      </w:pPr>
      <w:r>
        <w:t>\varnothing.</w:t>
      </w:r>
      <w:r>
        <w:br/>
        <w:t>}</w:t>
      </w:r>
      <w:r>
        <w:br/>
        <w:t>\tag{3.10116}</w:t>
      </w:r>
      <w:r>
        <w:br/>
        <w:t>]</w:t>
      </w:r>
    </w:p>
    <w:p w:rsidR="00BB73F4" w:rsidRDefault="00BB73F4" w:rsidP="00BB73F4">
      <w:pPr>
        <w:pStyle w:val="StandardWeb"/>
      </w:pPr>
      <w:r>
        <w:rPr>
          <w:rStyle w:val="Fett"/>
        </w:rPr>
        <w:lastRenderedPageBreak/>
        <w:t>Word-LaTeX</w:t>
      </w:r>
    </w:p>
    <w:p w:rsidR="00BB73F4" w:rsidRDefault="00BB73F4" w:rsidP="00BB73F4">
      <w:pPr>
        <w:pStyle w:val="HTMLVorformatiert"/>
        <w:rPr>
          <w:rStyle w:val="HTMLCode"/>
        </w:rPr>
      </w:pPr>
      <w:r>
        <w:rPr>
          <w:rStyle w:val="HTMLCode"/>
        </w:rPr>
        <w:t>\boxed{\mathfrak A_{3.3.45}^{\mathrm{new}}=\varnothing.}</w:t>
      </w:r>
    </w:p>
    <w:p w:rsidR="00BB73F4" w:rsidRDefault="00E50336" w:rsidP="00BB73F4">
      <w:r>
        <w:pict>
          <v:rect id="_x0000_i3128" style="width:0;height:1.5pt" o:hralign="center" o:hrstd="t" o:hr="t" fillcolor="#a0a0a0" stroked="f"/>
        </w:pict>
      </w:r>
    </w:p>
    <w:p w:rsidR="00BB73F4" w:rsidRDefault="00BB73F4" w:rsidP="00BB73F4">
      <w:pPr>
        <w:pStyle w:val="berschrift1"/>
      </w:pPr>
      <w:r>
        <w:t>3.3.45.27 Noch kein Abschluss von 3.3.45</w:t>
      </w:r>
    </w:p>
    <w:p w:rsidR="00BB73F4" w:rsidRDefault="00BB73F4" w:rsidP="00BB73F4">
      <w:pPr>
        <w:pStyle w:val="StandardWeb"/>
      </w:pPr>
      <w:r>
        <w:t xml:space="preserve">Abschnitt 3.3.45 ist damit </w:t>
      </w:r>
      <w:r>
        <w:rPr>
          <w:rStyle w:val="Fett"/>
        </w:rPr>
        <w:t>noch nicht abgeschlossen</w:t>
      </w:r>
      <w:r>
        <w:t>.</w:t>
      </w:r>
    </w:p>
    <w:p w:rsidR="00BB73F4" w:rsidRDefault="00BB73F4" w:rsidP="00BB73F4">
      <w:pPr>
        <w:pStyle w:val="StandardWeb"/>
      </w:pPr>
      <w:r>
        <w:t>Vor einer endgültigen Statusentscheidung müssen insbesondere noch geprüft werden:</w:t>
      </w:r>
    </w:p>
    <w:p w:rsidR="00BB73F4" w:rsidRDefault="00BB73F4" w:rsidP="00BB73F4">
      <w:pPr>
        <w:pStyle w:val="StandardWeb"/>
      </w:pPr>
      <w:r>
        <w:t>die Struktur von Invarianten auf Zusammenhangskomponenten der Übergangsrelation, lokale gegenüber globale Invarianz, additive und multiplikative Invarianten, Kompositionen von Invarianten, mögliche Symmetriebeziehungen, die Frage nach Noether-artigen Schlussformen sowie die strikte Trennung zwischen mathematischer Invarianz und physikalischen Erhaltungsgesetzen.</w:t>
      </w:r>
    </w:p>
    <w:p w:rsidR="00BB73F4" w:rsidRDefault="00BB73F4" w:rsidP="00BB73F4">
      <w:pPr>
        <w:pStyle w:val="StandardWeb"/>
      </w:pPr>
      <w:r>
        <w:t xml:space="preserve">Erst danach folgen die vollständige Statusmatrix sowie am Gesamtende von </w:t>
      </w:r>
      <w:r>
        <w:rPr>
          <w:rStyle w:val="Fett"/>
        </w:rPr>
        <w:t>3.3.45</w:t>
      </w:r>
      <w:r>
        <w:t xml:space="preserve"> die </w:t>
      </w:r>
      <w:r>
        <w:rPr>
          <w:rStyle w:val="Fett"/>
        </w:rPr>
        <w:t>Methodologischen Betrachtungen</w:t>
      </w:r>
      <w:r>
        <w:t xml:space="preserve"> und anschließend die </w:t>
      </w:r>
      <w:r>
        <w:rPr>
          <w:rStyle w:val="Fett"/>
        </w:rPr>
        <w:t>Didaktischen Betrachtungen</w:t>
      </w:r>
      <w:r>
        <w:t>.</w:t>
      </w:r>
    </w:p>
    <w:p w:rsidR="00BB73F4" w:rsidRDefault="00BB73F4" w:rsidP="00BB73F4">
      <w:pPr>
        <w:pStyle w:val="StandardWeb"/>
      </w:pPr>
      <w:r>
        <w:t xml:space="preserve">Der nächste Teil beginnt daher bei </w:t>
      </w:r>
      <w:r>
        <w:rPr>
          <w:rStyle w:val="Fett"/>
        </w:rPr>
        <w:t>3.3.45.28 / Gleichung (3.10117)</w:t>
      </w:r>
      <w:r>
        <w:t xml:space="preserve"> mit der Untersuchung der </w:t>
      </w:r>
      <w:r>
        <w:rPr>
          <w:rStyle w:val="Fett"/>
        </w:rPr>
        <w:t>lokalen und globalen funktionalen Invarianz sowie ihrer Beziehung zur Erreichbarkeitsstruktur</w:t>
      </w:r>
      <w:r>
        <w:t>.</w:t>
      </w:r>
    </w:p>
    <w:p w:rsidR="00D44893" w:rsidRDefault="00D44893" w:rsidP="00D44893">
      <w:pPr>
        <w:pStyle w:val="berschrift1"/>
        <w:rPr>
          <w:rFonts w:cs="Times New Roman"/>
          <w:sz w:val="48"/>
          <w:szCs w:val="48"/>
        </w:rPr>
      </w:pPr>
      <w:r>
        <w:t>3.3.45.28 Lokale und globale funktionale Invarianz</w:t>
      </w:r>
    </w:p>
    <w:p w:rsidR="00D44893" w:rsidRDefault="00D44893" w:rsidP="00D44893">
      <w:pPr>
        <w:pStyle w:val="StandardWeb"/>
      </w:pPr>
      <w:r>
        <w:t xml:space="preserve">Nachdem ich eine funktionale Invariante zunächst für sämtliche zulässigen Übergänge eines Modells definiert habe, muss ich nun zwischen </w:t>
      </w:r>
      <w:r>
        <w:rPr>
          <w:rStyle w:val="Fett"/>
        </w:rPr>
        <w:t>lokaler</w:t>
      </w:r>
      <w:r>
        <w:t xml:space="preserve"> und </w:t>
      </w:r>
      <w:r>
        <w:rPr>
          <w:rStyle w:val="Fett"/>
        </w:rPr>
        <w:t>globaler</w:t>
      </w:r>
      <w:r>
        <w:t xml:space="preserve"> Invarianz unterscheiden. Diese Trennung ist notwendig, weil eine Größe innerhalb eines begrenzten Teilbereichs der Übergangsstruktur erhalten sein kann, ohne auf dem gesamten Zustandsraum invariant zu sein.</w:t>
      </w:r>
    </w:p>
    <w:p w:rsidR="00D44893" w:rsidRDefault="00D44893" w:rsidP="00D44893">
      <w:pPr>
        <w:pStyle w:val="StandardWeb"/>
      </w:pPr>
      <w:r>
        <w:t>Ich betrachte dazu zunächst eine Teilmenge</w:t>
      </w:r>
    </w:p>
    <w:p w:rsidR="00D44893" w:rsidRDefault="00D44893" w:rsidP="00D44893">
      <w:pPr>
        <w:pStyle w:val="StandardWeb"/>
      </w:pPr>
      <w:r>
        <w:t>[</w:t>
      </w:r>
      <w:r>
        <w:br/>
        <w:t>U\subseteq\Omega_F.</w:t>
      </w:r>
      <w:r>
        <w:br/>
        <w:t>\tag{3.10117}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U\subseteq\Omega_F</w:t>
      </w:r>
    </w:p>
    <w:p w:rsidR="00D44893" w:rsidRDefault="00D44893" w:rsidP="00D44893">
      <w:pPr>
        <w:pStyle w:val="StandardWeb"/>
      </w:pPr>
      <w:r>
        <w:t>Für Zustände innerhalb dieser Teilmenge kann eine Invarianzbedingung eingeschränkt werden auf</w:t>
      </w:r>
    </w:p>
    <w:p w:rsidR="00D44893" w:rsidRDefault="00D44893" w:rsidP="00D44893">
      <w:pPr>
        <w:pStyle w:val="StandardWeb"/>
      </w:pPr>
      <w:r>
        <w:t>[</w:t>
      </w:r>
      <w:r>
        <w:br/>
        <w:t>(z_i,z_j)\in</w:t>
      </w:r>
      <w:r>
        <w:br/>
        <w:t>\mathcal T_F\cap(U\times U).</w:t>
      </w:r>
      <w:r>
        <w:br/>
      </w:r>
      <w:r>
        <w:lastRenderedPageBreak/>
        <w:t>\tag{3.10118}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(z_i,z_j)\in\mathcal T_F\cap(U\times U)</w:t>
      </w:r>
    </w:p>
    <w:p w:rsidR="00D44893" w:rsidRDefault="00D44893" w:rsidP="00D44893">
      <w:pPr>
        <w:pStyle w:val="StandardWeb"/>
      </w:pPr>
      <w:r>
        <w:t>Damit entsteht eine lokale Invarianzbedingung.</w:t>
      </w:r>
    </w:p>
    <w:p w:rsidR="00D44893" w:rsidRDefault="00E50336" w:rsidP="00D44893">
      <w:r>
        <w:pict>
          <v:rect id="_x0000_i3129" style="width:0;height:1.5pt" o:hralign="center" o:hrstd="t" o:hr="t" fillcolor="#a0a0a0" stroked="f"/>
        </w:pict>
      </w:r>
    </w:p>
    <w:p w:rsidR="00D44893" w:rsidRDefault="00D44893" w:rsidP="00D44893">
      <w:pPr>
        <w:pStyle w:val="berschrift1"/>
      </w:pPr>
      <w:r>
        <w:t>3.3.45.29 Definition 3.3.108 – Lokal funktionale Invariante</w:t>
      </w:r>
    </w:p>
    <w:p w:rsidR="00D44893" w:rsidRDefault="00D44893" w:rsidP="00D44893">
      <w:pPr>
        <w:pStyle w:val="berschrift3"/>
      </w:pPr>
      <w:r>
        <w:t>Definition 3.3.108</w:t>
      </w:r>
    </w:p>
    <w:p w:rsidR="00D44893" w:rsidRDefault="00D44893" w:rsidP="00D44893">
      <w:pPr>
        <w:pStyle w:val="StandardWeb"/>
      </w:pPr>
      <w:r>
        <w:t>Eine Größe</w:t>
      </w:r>
    </w:p>
    <w:p w:rsidR="00D44893" w:rsidRDefault="00D44893" w:rsidP="00D44893">
      <w:pPr>
        <w:pStyle w:val="StandardWeb"/>
      </w:pPr>
      <w:r>
        <w:t>[</w:t>
      </w:r>
      <w:r>
        <w:br/>
        <w:t>I_F:\Omega_F\rightarrow\mathcal V</w:t>
      </w:r>
      <w:r>
        <w:br/>
        <w:t>\tag{3.10119}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I_F:\Omega_F\rightarrow\mathcal V</w:t>
      </w:r>
    </w:p>
    <w:p w:rsidR="00D44893" w:rsidRDefault="00D44893" w:rsidP="00D44893">
      <w:pPr>
        <w:pStyle w:val="StandardWeb"/>
      </w:pPr>
      <w:r>
        <w:t xml:space="preserve">heißt </w:t>
      </w:r>
      <w:r>
        <w:rPr>
          <w:rStyle w:val="Fett"/>
        </w:rPr>
        <w:t>lokal funktional invariant auf (U\subseteq\Omega_F)</w:t>
      </w:r>
      <w:r>
        <w:t>, wenn</w:t>
      </w:r>
    </w:p>
    <w:p w:rsidR="00D44893" w:rsidRDefault="00D44893" w:rsidP="00D44893">
      <w:pPr>
        <w:pStyle w:val="StandardWeb"/>
      </w:pPr>
      <w:r>
        <w:t>[</w:t>
      </w:r>
      <w:r>
        <w:br/>
        <w:t>\boxed{</w:t>
      </w:r>
      <w:r>
        <w:br/>
        <w:t>\forall(z_i,z_j)\in</w:t>
      </w:r>
      <w:r>
        <w:br/>
        <w:t>\mathcal T_F\cap(U\times U):</w:t>
      </w:r>
      <w:r>
        <w:br/>
        <w:t>I_F(z_i)=I_F(z_j).</w:t>
      </w:r>
      <w:r>
        <w:br/>
        <w:t>}</w:t>
      </w:r>
      <w:r>
        <w:br/>
        <w:t>\tag{3.10120}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\boxed{\forall(z_i,z_j)\in\mathcal T_F\cap(U\times U):I_F(z_i)=I_F(z_j).}</w:t>
      </w:r>
    </w:p>
    <w:p w:rsidR="00D44893" w:rsidRDefault="00D44893" w:rsidP="00D44893">
      <w:pPr>
        <w:pStyle w:val="StandardWeb"/>
      </w:pPr>
      <w:r>
        <w:t>Die Definition verlangt keine Invarianz außerhalb von (U).</w:t>
      </w:r>
    </w:p>
    <w:p w:rsidR="00D44893" w:rsidRDefault="00E50336" w:rsidP="00D44893">
      <w:r>
        <w:pict>
          <v:rect id="_x0000_i3130" style="width:0;height:1.5pt" o:hralign="center" o:hrstd="t" o:hr="t" fillcolor="#a0a0a0" stroked="f"/>
        </w:pict>
      </w:r>
    </w:p>
    <w:p w:rsidR="00D44893" w:rsidRDefault="00D44893" w:rsidP="00D44893">
      <w:pPr>
        <w:pStyle w:val="berschrift1"/>
      </w:pPr>
      <w:r>
        <w:t>3.3.45.30 Globale Invarianz</w:t>
      </w:r>
    </w:p>
    <w:p w:rsidR="00D44893" w:rsidRDefault="00D44893" w:rsidP="00D44893">
      <w:pPr>
        <w:pStyle w:val="StandardWeb"/>
      </w:pPr>
      <w:r>
        <w:t>Die bereits in Definition 3.3.104 eingeführte Invarianz entspricht dem Spezialfall</w:t>
      </w:r>
    </w:p>
    <w:p w:rsidR="00D44893" w:rsidRDefault="00D44893" w:rsidP="00D44893">
      <w:pPr>
        <w:pStyle w:val="StandardWeb"/>
      </w:pPr>
      <w:r>
        <w:lastRenderedPageBreak/>
        <w:t>[</w:t>
      </w:r>
      <w:r>
        <w:br/>
        <w:t>U=\Omega_F.</w:t>
      </w:r>
      <w:r>
        <w:br/>
        <w:t>\tag{3.10121}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U=\Omega_F</w:t>
      </w:r>
    </w:p>
    <w:p w:rsidR="00D44893" w:rsidRDefault="00D44893" w:rsidP="00D44893">
      <w:pPr>
        <w:pStyle w:val="StandardWeb"/>
      </w:pPr>
      <w:r>
        <w:t>Dann gilt</w:t>
      </w:r>
    </w:p>
    <w:p w:rsidR="00D44893" w:rsidRDefault="00D44893" w:rsidP="00D44893">
      <w:pPr>
        <w:pStyle w:val="berschrift1"/>
      </w:pPr>
      <w:r>
        <w:t>[</w:t>
      </w:r>
      <w:r>
        <w:br/>
        <w:t>\mathcal T_F\cap</w:t>
      </w:r>
      <w:r>
        <w:br/>
        <w:t>(\Omega_F\times\Omega_F)</w:t>
      </w:r>
    </w:p>
    <w:p w:rsidR="00D44893" w:rsidRDefault="00D44893" w:rsidP="00D44893">
      <w:pPr>
        <w:pStyle w:val="StandardWeb"/>
      </w:pPr>
      <w:r>
        <w:t>\mathcal T_F.</w:t>
      </w:r>
      <w:r>
        <w:br/>
        <w:t>\tag{3.10122}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T_F\cap(\Omega_F\times\Omega_F)=\mathcal T_F</w:t>
      </w:r>
    </w:p>
    <w:p w:rsidR="00D44893" w:rsidRDefault="00D44893" w:rsidP="00D44893">
      <w:pPr>
        <w:pStyle w:val="StandardWeb"/>
      </w:pPr>
      <w:r>
        <w:t>Damit folgt unmittelbar die globale Bedingung</w:t>
      </w:r>
    </w:p>
    <w:p w:rsidR="00D44893" w:rsidRDefault="00D44893" w:rsidP="00D44893">
      <w:pPr>
        <w:pStyle w:val="StandardWeb"/>
      </w:pPr>
      <w:r>
        <w:t>[</w:t>
      </w:r>
      <w:r>
        <w:br/>
        <w:t>\forall(z_i,z_j)\in\mathcal T_F:</w:t>
      </w:r>
      <w:r>
        <w:br/>
        <w:t>I_F(z_i)=I_F(z_j).</w:t>
      </w:r>
      <w:r>
        <w:br/>
        <w:t>\tag{3.10123}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\forall(z_i,z_j)\in\mathcal T_F:I_F(z_i)=I_F(z_j)</w:t>
      </w:r>
    </w:p>
    <w:p w:rsidR="00D44893" w:rsidRDefault="00E50336" w:rsidP="00D44893">
      <w:r>
        <w:pict>
          <v:rect id="_x0000_i3131" style="width:0;height:1.5pt" o:hralign="center" o:hrstd="t" o:hr="t" fillcolor="#a0a0a0" stroked="f"/>
        </w:pict>
      </w:r>
    </w:p>
    <w:p w:rsidR="00D44893" w:rsidRDefault="00D44893" w:rsidP="00D44893">
      <w:pPr>
        <w:pStyle w:val="berschrift1"/>
      </w:pPr>
      <w:r>
        <w:t>3.3.45.31 Definition 3.3.109 – Global funktionale Invariante</w:t>
      </w:r>
    </w:p>
    <w:p w:rsidR="00D44893" w:rsidRDefault="00D44893" w:rsidP="00D44893">
      <w:pPr>
        <w:pStyle w:val="berschrift3"/>
      </w:pPr>
      <w:r>
        <w:t>Definition 3.3.109</w:t>
      </w:r>
    </w:p>
    <w:p w:rsidR="00D44893" w:rsidRDefault="00D44893" w:rsidP="00D44893">
      <w:pPr>
        <w:pStyle w:val="StandardWeb"/>
      </w:pPr>
      <w:r>
        <w:t xml:space="preserve">Eine funktionale Invariante heißt </w:t>
      </w:r>
      <w:r>
        <w:rPr>
          <w:rStyle w:val="Fett"/>
        </w:rPr>
        <w:t>global</w:t>
      </w:r>
      <w:r>
        <w:t>, wenn ihre Invarianzbedingung auf der gesamten Übergangsrelation gilt:</w:t>
      </w:r>
    </w:p>
    <w:p w:rsidR="00D44893" w:rsidRDefault="00D44893" w:rsidP="00D44893">
      <w:pPr>
        <w:pStyle w:val="StandardWeb"/>
      </w:pPr>
      <w:r>
        <w:t>[</w:t>
      </w:r>
      <w:r>
        <w:br/>
        <w:t>\boxed{</w:t>
      </w:r>
      <w:r>
        <w:br/>
        <w:t>\forall(z_i,z_j)\in\mathcal T_F:</w:t>
      </w:r>
      <w:r>
        <w:br/>
        <w:t>I_F(z_i)=I_F(z_j).</w:t>
      </w:r>
      <w:r>
        <w:br/>
      </w:r>
      <w:r>
        <w:lastRenderedPageBreak/>
        <w:t>}</w:t>
      </w:r>
      <w:r>
        <w:br/>
        <w:t>\tag{3.10124}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\boxed{\forall(z_i,z_j)\in\mathcal T_F:I_F(z_i)=I_F(z_j).}</w:t>
      </w:r>
    </w:p>
    <w:p w:rsidR="00D44893" w:rsidRDefault="00D44893" w:rsidP="00D44893">
      <w:pPr>
        <w:pStyle w:val="StandardWeb"/>
      </w:pPr>
      <w:r>
        <w:t>Damit ist jede globale Invariante zugleich lokal invariant auf jeder Teilmenge (U\subseteq\Omega_F).</w:t>
      </w:r>
    </w:p>
    <w:p w:rsidR="00D44893" w:rsidRDefault="00E50336" w:rsidP="00D44893">
      <w:r>
        <w:pict>
          <v:rect id="_x0000_i3132" style="width:0;height:1.5pt" o:hralign="center" o:hrstd="t" o:hr="t" fillcolor="#a0a0a0" stroked="f"/>
        </w:pict>
      </w:r>
    </w:p>
    <w:p w:rsidR="00D44893" w:rsidRDefault="00D44893" w:rsidP="00D44893">
      <w:pPr>
        <w:pStyle w:val="berschrift1"/>
      </w:pPr>
      <w:r>
        <w:t>3.3.45.32 Satz 3.3.35 – Globale Invarianz impliziert lokale Invarianz</w:t>
      </w:r>
    </w:p>
    <w:p w:rsidR="00D44893" w:rsidRDefault="00D44893" w:rsidP="00D44893">
      <w:pPr>
        <w:pStyle w:val="berschrift3"/>
      </w:pPr>
      <w:r>
        <w:t>Satz 3.3.35</w:t>
      </w:r>
    </w:p>
    <w:p w:rsidR="00D44893" w:rsidRDefault="00D44893" w:rsidP="00D44893">
      <w:pPr>
        <w:pStyle w:val="StandardWeb"/>
      </w:pPr>
      <w:r>
        <w:t>Ist (I_F) global funktional invariant, dann ist (I_F) auf jeder Teilmenge</w:t>
      </w:r>
    </w:p>
    <w:p w:rsidR="00D44893" w:rsidRDefault="00D44893" w:rsidP="00D44893">
      <w:pPr>
        <w:pStyle w:val="StandardWeb"/>
      </w:pPr>
      <w:r>
        <w:t>[</w:t>
      </w:r>
      <w:r>
        <w:br/>
        <w:t>U\subseteq\Omega_F</w:t>
      </w:r>
      <w:r>
        <w:br/>
        <w:t>\tag{3.10125}</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U\subseteq\Omega_F</w:t>
      </w:r>
    </w:p>
    <w:p w:rsidR="00D44893" w:rsidRDefault="00D44893" w:rsidP="00D44893">
      <w:pPr>
        <w:pStyle w:val="StandardWeb"/>
      </w:pPr>
      <w:r>
        <w:t>lokal invariant.</w:t>
      </w:r>
    </w:p>
    <w:p w:rsidR="00D44893" w:rsidRDefault="00D44893" w:rsidP="00D44893">
      <w:pPr>
        <w:pStyle w:val="StandardWeb"/>
      </w:pPr>
      <w:r>
        <w:t>Formal gilt</w:t>
      </w:r>
    </w:p>
    <w:p w:rsidR="00D44893" w:rsidRDefault="00D44893" w:rsidP="00D44893">
      <w:pPr>
        <w:pStyle w:val="StandardWeb"/>
      </w:pPr>
      <w:r>
        <w:t>[</w:t>
      </w:r>
      <w:r>
        <w:br/>
        <w:t>\boxed{</w:t>
      </w:r>
      <w:r>
        <w:br/>
        <w:t>\operatorname{Inv}</w:t>
      </w:r>
      <w:r>
        <w:rPr>
          <w:rStyle w:val="Hervorhebung"/>
        </w:rPr>
        <w:t>{F}^{\mathrm{glob}}(I_F)</w:t>
      </w:r>
      <w:r>
        <w:rPr>
          <w:i/>
          <w:iCs/>
        </w:rPr>
        <w:br/>
      </w:r>
      <w:r>
        <w:rPr>
          <w:rStyle w:val="Hervorhebung"/>
        </w:rPr>
        <w:t>\Rightarrow</w:t>
      </w:r>
      <w:r>
        <w:rPr>
          <w:i/>
          <w:iCs/>
        </w:rPr>
        <w:br/>
      </w:r>
      <w:r>
        <w:rPr>
          <w:rStyle w:val="Hervorhebung"/>
        </w:rPr>
        <w:t>\forall U\subseteq\Omega_F:</w:t>
      </w:r>
      <w:r>
        <w:rPr>
          <w:i/>
          <w:iCs/>
        </w:rPr>
        <w:br/>
      </w:r>
      <w:r>
        <w:rPr>
          <w:rStyle w:val="Hervorhebung"/>
        </w:rPr>
        <w:t>\operatorname{Inv}</w:t>
      </w:r>
      <w:r>
        <w:t>{F}^{U}(I_F).</w:t>
      </w:r>
      <w:r>
        <w:br/>
        <w:t>}</w:t>
      </w:r>
      <w:r>
        <w:br/>
        <w:t>\tag{3.10126}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\boxed{\operatorname{Inv}_{F}^{\mathrm{glob}}(I_F)\Rightarrow\forall U\subseteq\Omega_F:\operatorname{Inv}_{F}^{U}(I_F).}</w:t>
      </w:r>
    </w:p>
    <w:p w:rsidR="00D44893" w:rsidRDefault="00D44893" w:rsidP="00D44893">
      <w:pPr>
        <w:pStyle w:val="berschrift3"/>
      </w:pPr>
      <w:r>
        <w:t>Beweis</w:t>
      </w:r>
    </w:p>
    <w:p w:rsidR="00D44893" w:rsidRDefault="00D44893" w:rsidP="00D44893">
      <w:pPr>
        <w:pStyle w:val="StandardWeb"/>
      </w:pPr>
      <w:r>
        <w:t>Aus globaler Invarianz folgt</w:t>
      </w:r>
    </w:p>
    <w:p w:rsidR="00D44893" w:rsidRDefault="00D44893" w:rsidP="00D44893">
      <w:pPr>
        <w:pStyle w:val="StandardWeb"/>
      </w:pPr>
      <w:r>
        <w:lastRenderedPageBreak/>
        <w:t>[</w:t>
      </w:r>
      <w:r>
        <w:br/>
        <w:t>\forall(z_i,z_j)\in\mathcal T_F:</w:t>
      </w:r>
      <w:r>
        <w:br/>
        <w:t>I_F(z_i)=I_F(z_j).</w:t>
      </w:r>
      <w:r>
        <w:br/>
        <w:t>\tag{3.10127}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\forall(z_i,z_j)\in\mathcal T_F:I_F(z_i)=I_F(z_j)</w:t>
      </w:r>
    </w:p>
    <w:p w:rsidR="00D44893" w:rsidRDefault="00D44893" w:rsidP="00D44893">
      <w:pPr>
        <w:pStyle w:val="StandardWeb"/>
      </w:pPr>
      <w:r>
        <w:t>Für jede Teilmenge (U\subseteq\Omega_F) gilt</w:t>
      </w:r>
    </w:p>
    <w:p w:rsidR="00D44893" w:rsidRDefault="00D44893" w:rsidP="00D44893">
      <w:pPr>
        <w:pStyle w:val="StandardWeb"/>
      </w:pPr>
      <w:r>
        <w:t>[</w:t>
      </w:r>
      <w:r>
        <w:br/>
        <w:t>\mathcal T_F\cap(U\times U)</w:t>
      </w:r>
      <w:r>
        <w:br/>
        <w:t>\subseteq</w:t>
      </w:r>
      <w:r>
        <w:br/>
        <w:t>\mathcal T_F.</w:t>
      </w:r>
      <w:r>
        <w:br/>
        <w:t>\tag{3.10128}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T_F\cap(U\times U)\subseteq\mathcal T_F</w:t>
      </w:r>
    </w:p>
    <w:p w:rsidR="00D44893" w:rsidRDefault="00D44893" w:rsidP="00D44893">
      <w:pPr>
        <w:pStyle w:val="StandardWeb"/>
      </w:pPr>
      <w:r>
        <w:t>Damit gilt die Gleichheit der Invariantenwerte insbesondere auch für sämtliche Übergänge innerhalb von (U). Also ist (I_F) auf (U) lokal invariant. (\square)</w:t>
      </w:r>
    </w:p>
    <w:p w:rsidR="00D44893" w:rsidRDefault="00E50336" w:rsidP="00D44893">
      <w:r>
        <w:pict>
          <v:rect id="_x0000_i3133" style="width:0;height:1.5pt" o:hralign="center" o:hrstd="t" o:hr="t" fillcolor="#a0a0a0" stroked="f"/>
        </w:pict>
      </w:r>
    </w:p>
    <w:p w:rsidR="00D44893" w:rsidRDefault="00D44893" w:rsidP="00D44893">
      <w:pPr>
        <w:pStyle w:val="berschrift1"/>
      </w:pPr>
      <w:r>
        <w:t>3.3.45.33 Die Umkehrung gilt nicht</w:t>
      </w:r>
    </w:p>
    <w:p w:rsidR="00D44893" w:rsidRDefault="00D44893" w:rsidP="00D44893">
      <w:pPr>
        <w:pStyle w:val="StandardWeb"/>
      </w:pPr>
      <w:r>
        <w:t>Lokale Invarianz auf einer einzelnen Teilmenge genügt dagegen nicht für globale Invarianz.</w:t>
      </w:r>
    </w:p>
    <w:p w:rsidR="00D44893" w:rsidRDefault="00D44893" w:rsidP="00D44893">
      <w:pPr>
        <w:pStyle w:val="StandardWeb"/>
      </w:pPr>
      <w:r>
        <w:t>Formal gilt</w:t>
      </w:r>
    </w:p>
    <w:p w:rsidR="00D44893" w:rsidRDefault="00D44893" w:rsidP="00D44893">
      <w:pPr>
        <w:pStyle w:val="StandardWeb"/>
      </w:pPr>
      <w:r>
        <w:t>[</w:t>
      </w:r>
      <w:r>
        <w:br/>
        <w:t>\boxed{</w:t>
      </w:r>
      <w:r>
        <w:br/>
        <w:t>\operatorname{Inv}</w:t>
      </w:r>
      <w:r>
        <w:rPr>
          <w:rStyle w:val="Hervorhebung"/>
        </w:rPr>
        <w:t>{F}^{U}(I_F)</w:t>
      </w:r>
      <w:r>
        <w:rPr>
          <w:i/>
          <w:iCs/>
        </w:rPr>
        <w:br/>
      </w:r>
      <w:r>
        <w:rPr>
          <w:rStyle w:val="Hervorhebung"/>
        </w:rPr>
        <w:t>\nRightarrow</w:t>
      </w:r>
      <w:r>
        <w:rPr>
          <w:i/>
          <w:iCs/>
        </w:rPr>
        <w:br/>
      </w:r>
      <w:r>
        <w:rPr>
          <w:rStyle w:val="Hervorhebung"/>
        </w:rPr>
        <w:t>\operatorname{Inv}</w:t>
      </w:r>
      <w:r>
        <w:t>{F}^{\mathrm{glob}}(I_F).</w:t>
      </w:r>
      <w:r>
        <w:br/>
        <w:t>}</w:t>
      </w:r>
      <w:r>
        <w:br/>
        <w:t>\tag{3.10129}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\boxed{\operatorname{Inv}_{F}^{U}(I_F)\nRightarrow\operatorname{Inv}_{F}^{\mathrm{glob}}(I_F).}</w:t>
      </w:r>
    </w:p>
    <w:p w:rsidR="00D44893" w:rsidRDefault="00D44893" w:rsidP="00D44893">
      <w:pPr>
        <w:pStyle w:val="StandardWeb"/>
      </w:pPr>
      <w:r>
        <w:t>Dies kann bereits durch ein einfaches Gegenmodell gezeigt werden.</w:t>
      </w:r>
    </w:p>
    <w:p w:rsidR="00D44893" w:rsidRDefault="00E50336" w:rsidP="00D44893">
      <w:r>
        <w:pict>
          <v:rect id="_x0000_i3134" style="width:0;height:1.5pt" o:hralign="center" o:hrstd="t" o:hr="t" fillcolor="#a0a0a0" stroked="f"/>
        </w:pict>
      </w:r>
    </w:p>
    <w:p w:rsidR="00D44893" w:rsidRDefault="00D44893" w:rsidP="00D44893">
      <w:pPr>
        <w:pStyle w:val="berschrift1"/>
      </w:pPr>
      <w:r>
        <w:lastRenderedPageBreak/>
        <w:t>3.3.45.34 Gegenmodell zur Umkehrung</w:t>
      </w:r>
    </w:p>
    <w:p w:rsidR="00D44893" w:rsidRDefault="00D44893" w:rsidP="00D44893">
      <w:pPr>
        <w:pStyle w:val="StandardWeb"/>
      </w:pPr>
      <w:r>
        <w:t>Ich betrachte</w:t>
      </w:r>
    </w:p>
    <w:p w:rsidR="00D44893" w:rsidRDefault="00D44893" w:rsidP="00D44893">
      <w:pPr>
        <w:pStyle w:val="berschrift1"/>
      </w:pPr>
      <w:r>
        <w:t>[</w:t>
      </w:r>
      <w:r>
        <w:br/>
        <w:t>\Omega_F</w:t>
      </w:r>
    </w:p>
    <w:p w:rsidR="00D44893" w:rsidRDefault="00D44893" w:rsidP="00D44893">
      <w:pPr>
        <w:pStyle w:val="StandardWeb"/>
      </w:pPr>
      <w:r>
        <w:t>{z_1,z_2,z_3}</w:t>
      </w:r>
      <w:r>
        <w:br/>
        <w:t>\tag{3.10130}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\Omega_F=\{z_1,z_2,z_3\}</w:t>
      </w:r>
    </w:p>
    <w:p w:rsidR="00D44893" w:rsidRDefault="00D44893" w:rsidP="00D44893">
      <w:pPr>
        <w:pStyle w:val="StandardWeb"/>
      </w:pPr>
      <w:r>
        <w:t>mit</w:t>
      </w:r>
    </w:p>
    <w:p w:rsidR="00D44893" w:rsidRDefault="00D44893" w:rsidP="00D44893">
      <w:pPr>
        <w:pStyle w:val="berschrift1"/>
      </w:pPr>
      <w:r>
        <w:t>[</w:t>
      </w:r>
      <w:r>
        <w:br/>
        <w:t>\mathcal T_F</w:t>
      </w:r>
    </w:p>
    <w:p w:rsidR="00D44893" w:rsidRDefault="00D44893" w:rsidP="00D44893">
      <w:pPr>
        <w:pStyle w:val="StandardWeb"/>
      </w:pPr>
      <w:r>
        <w:t>{(z_1,z_2),(z_2,z_3)}.</w:t>
      </w:r>
      <w:r>
        <w:br/>
        <w:t>\tag{3.10131}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T_F=\{(z_1,z_2),(z_2,z_3)\}</w:t>
      </w:r>
    </w:p>
    <w:p w:rsidR="00D44893" w:rsidRDefault="00D44893" w:rsidP="00D44893">
      <w:pPr>
        <w:pStyle w:val="StandardWeb"/>
      </w:pPr>
      <w:r>
        <w:t>Ich setze</w:t>
      </w:r>
    </w:p>
    <w:p w:rsidR="00D44893" w:rsidRDefault="00D44893" w:rsidP="00D44893">
      <w:pPr>
        <w:pStyle w:val="StandardWeb"/>
      </w:pPr>
      <w:r>
        <w:t>[</w:t>
      </w:r>
      <w:r>
        <w:br/>
        <w:t>U={z_1,z_2}.</w:t>
      </w:r>
      <w:r>
        <w:br/>
        <w:t>\tag{3.10132}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U=\{z_1,z_2\}</w:t>
      </w:r>
    </w:p>
    <w:p w:rsidR="00D44893" w:rsidRDefault="00D44893" w:rsidP="00D44893">
      <w:pPr>
        <w:pStyle w:val="StandardWeb"/>
      </w:pPr>
      <w:r>
        <w:t>Sei weiter</w:t>
      </w:r>
    </w:p>
    <w:p w:rsidR="00D44893" w:rsidRDefault="00D44893" w:rsidP="00D44893">
      <w:pPr>
        <w:pStyle w:val="StandardWeb"/>
      </w:pPr>
      <w:r>
        <w:t>[</w:t>
      </w:r>
      <w:r>
        <w:br/>
        <w:t>I_F(z_1)=I_F(z_2)=a</w:t>
      </w:r>
      <w:r>
        <w:br/>
        <w:t>\tag{3.10133}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lastRenderedPageBreak/>
        <w:t>I_F(z_1)=I_F(z_2)=a</w:t>
      </w:r>
    </w:p>
    <w:p w:rsidR="00D44893" w:rsidRDefault="00D44893" w:rsidP="00D44893">
      <w:pPr>
        <w:pStyle w:val="StandardWeb"/>
      </w:pPr>
      <w:r>
        <w:t>und</w:t>
      </w:r>
    </w:p>
    <w:p w:rsidR="00D44893" w:rsidRDefault="00D44893" w:rsidP="00D44893">
      <w:pPr>
        <w:pStyle w:val="StandardWeb"/>
      </w:pPr>
      <w:r>
        <w:t>[</w:t>
      </w:r>
      <w:r>
        <w:br/>
        <w:t>I_F(z_3)=b,</w:t>
      </w:r>
      <w:r>
        <w:br/>
        <w:t>\qquad</w:t>
      </w:r>
      <w:r>
        <w:br/>
        <w:t>b\neq a.</w:t>
      </w:r>
      <w:r>
        <w:br/>
        <w:t>\tag{3.10134}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I_F(z_3)=b,\qquad b\neq a</w:t>
      </w:r>
    </w:p>
    <w:p w:rsidR="00D44893" w:rsidRDefault="00D44893" w:rsidP="00D44893">
      <w:pPr>
        <w:pStyle w:val="StandardWeb"/>
      </w:pPr>
      <w:r>
        <w:t>Dann ist (I_F) auf (U) lokal invariant, aber nicht global invariant.</w:t>
      </w:r>
    </w:p>
    <w:p w:rsidR="00D44893" w:rsidRDefault="00E50336" w:rsidP="00D44893">
      <w:r>
        <w:pict>
          <v:rect id="_x0000_i3135" style="width:0;height:1.5pt" o:hralign="center" o:hrstd="t" o:hr="t" fillcolor="#a0a0a0" stroked="f"/>
        </w:pict>
      </w:r>
    </w:p>
    <w:p w:rsidR="00D44893" w:rsidRDefault="00D44893" w:rsidP="00D44893">
      <w:pPr>
        <w:pStyle w:val="berschrift1"/>
      </w:pPr>
      <w:r>
        <w:t>3.3.45.35 Lokale Invarianz als schwächere Eigenschaft</w:t>
      </w:r>
    </w:p>
    <w:p w:rsidR="00D44893" w:rsidRDefault="00D44893" w:rsidP="00D44893">
      <w:pPr>
        <w:pStyle w:val="StandardWeb"/>
      </w:pPr>
      <w:r>
        <w:t>Damit ergibt sich die Implikationshierarchie</w:t>
      </w:r>
    </w:p>
    <w:p w:rsidR="00D44893" w:rsidRDefault="00D44893" w:rsidP="00D44893">
      <w:pPr>
        <w:pStyle w:val="StandardWeb"/>
      </w:pPr>
      <w:r>
        <w:t>[</w:t>
      </w:r>
      <w:r>
        <w:br/>
        <w:t>\operatorname{Inv}</w:t>
      </w:r>
      <w:r>
        <w:rPr>
          <w:rStyle w:val="Hervorhebung"/>
        </w:rPr>
        <w:t>{F}^{\mathrm{glob}}</w:t>
      </w:r>
      <w:r>
        <w:rPr>
          <w:i/>
          <w:iCs/>
        </w:rPr>
        <w:br/>
      </w:r>
      <w:r>
        <w:rPr>
          <w:rStyle w:val="Hervorhebung"/>
        </w:rPr>
        <w:t>\Rightarrow</w:t>
      </w:r>
      <w:r>
        <w:rPr>
          <w:i/>
          <w:iCs/>
        </w:rPr>
        <w:br/>
      </w:r>
      <w:r>
        <w:rPr>
          <w:rStyle w:val="Hervorhebung"/>
        </w:rPr>
        <w:t>\operatorname{Inv}</w:t>
      </w:r>
      <w:r>
        <w:t>{F}^{U},</w:t>
      </w:r>
      <w:r>
        <w:br/>
        <w:t>\tag{3.10135}</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\operatorname{Inv}_{F}^{\mathrm{glob}}\Rightarrow\operatorname{Inv}_{F}^{U}</w:t>
      </w:r>
    </w:p>
    <w:p w:rsidR="00D44893" w:rsidRDefault="00D44893" w:rsidP="00D44893">
      <w:pPr>
        <w:pStyle w:val="StandardWeb"/>
      </w:pPr>
      <w:r>
        <w:t>aber im Allgemeinen nicht</w:t>
      </w:r>
    </w:p>
    <w:p w:rsidR="00D44893" w:rsidRDefault="00D44893" w:rsidP="00D44893">
      <w:pPr>
        <w:pStyle w:val="StandardWeb"/>
      </w:pPr>
      <w:r>
        <w:t>[</w:t>
      </w:r>
      <w:r>
        <w:br/>
        <w:t>\operatorname{Inv}</w:t>
      </w:r>
      <w:r>
        <w:rPr>
          <w:rStyle w:val="Hervorhebung"/>
        </w:rPr>
        <w:t>{F}^{U}</w:t>
      </w:r>
      <w:r>
        <w:rPr>
          <w:i/>
          <w:iCs/>
        </w:rPr>
        <w:br/>
      </w:r>
      <w:r>
        <w:rPr>
          <w:rStyle w:val="Hervorhebung"/>
        </w:rPr>
        <w:t>\Rightarrow</w:t>
      </w:r>
      <w:r>
        <w:rPr>
          <w:i/>
          <w:iCs/>
        </w:rPr>
        <w:br/>
      </w:r>
      <w:r>
        <w:rPr>
          <w:rStyle w:val="Hervorhebung"/>
        </w:rPr>
        <w:t>\operatorname{Inv}</w:t>
      </w:r>
      <w:r>
        <w:t>{F}^{\mathrm{glob}}.</w:t>
      </w:r>
      <w:r>
        <w:br/>
        <w:t>\tag{3.10136}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\operatorname{Inv}_{F}^{U}\nRightarrow\operatorname{Inv}_{F}^{\mathrm{glob}}</w:t>
      </w:r>
    </w:p>
    <w:p w:rsidR="00D44893" w:rsidRDefault="00D44893" w:rsidP="00D44893">
      <w:pPr>
        <w:pStyle w:val="StandardWeb"/>
      </w:pPr>
      <w:r>
        <w:t>Lokale Invarianz ist somit die schwächere Struktur.</w:t>
      </w:r>
    </w:p>
    <w:p w:rsidR="00D44893" w:rsidRDefault="00E50336" w:rsidP="00D44893">
      <w:r>
        <w:pict>
          <v:rect id="_x0000_i3136" style="width:0;height:1.5pt" o:hralign="center" o:hrstd="t" o:hr="t" fillcolor="#a0a0a0" stroked="f"/>
        </w:pict>
      </w:r>
    </w:p>
    <w:p w:rsidR="00D44893" w:rsidRDefault="00D44893" w:rsidP="00D44893">
      <w:pPr>
        <w:pStyle w:val="berschrift1"/>
      </w:pPr>
      <w:r>
        <w:lastRenderedPageBreak/>
        <w:t>3.3.45.36 Beziehung zur funktionalen Erreichbarkeit</w:t>
      </w:r>
    </w:p>
    <w:p w:rsidR="00D44893" w:rsidRDefault="00D44893" w:rsidP="00D44893">
      <w:pPr>
        <w:pStyle w:val="StandardWeb"/>
      </w:pPr>
      <w:r>
        <w:t>Die in 3.3.44 eingeführte Erreichbarkeitsrelation erlaubt nun eine stärkere Aussage.</w:t>
      </w:r>
    </w:p>
    <w:p w:rsidR="00D44893" w:rsidRDefault="00D44893" w:rsidP="00D44893">
      <w:pPr>
        <w:pStyle w:val="StandardWeb"/>
      </w:pPr>
      <w:r>
        <w:t>Seien zwei Zustände (z_a,z_b) durch einen Übergangspfad verbunden:</w:t>
      </w:r>
    </w:p>
    <w:p w:rsidR="00D44893" w:rsidRDefault="00D44893" w:rsidP="00D44893">
      <w:pPr>
        <w:pStyle w:val="StandardWeb"/>
      </w:pPr>
      <w:r>
        <w:t>[</w:t>
      </w:r>
      <w:r>
        <w:br/>
        <w:t>\operatorname{Reach}_F(z_a,z_b)=1.</w:t>
      </w:r>
      <w:r>
        <w:br/>
        <w:t>\tag{3.10137}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\operatorname{Reach}_F(z_a,z_b)=1</w:t>
      </w:r>
    </w:p>
    <w:p w:rsidR="00D44893" w:rsidRDefault="00D44893" w:rsidP="00D44893">
      <w:pPr>
        <w:pStyle w:val="StandardWeb"/>
      </w:pPr>
      <w:r>
        <w:t>Dann existiert mindestens ein Pfad</w:t>
      </w:r>
    </w:p>
    <w:p w:rsidR="00D44893" w:rsidRDefault="00D44893" w:rsidP="00D44893">
      <w:pPr>
        <w:pStyle w:val="berschrift1"/>
      </w:pPr>
      <w:r>
        <w:t>[</w:t>
      </w:r>
      <w:r>
        <w:br/>
        <w:t>\Pi_F</w:t>
      </w:r>
    </w:p>
    <w:p w:rsidR="00D44893" w:rsidRDefault="00D44893" w:rsidP="00D44893">
      <w:pPr>
        <w:pStyle w:val="StandardWeb"/>
      </w:pPr>
      <w:r>
        <w:t>(z_0,z_1,\ldots,z_n)</w:t>
      </w:r>
      <w:r>
        <w:br/>
        <w:t>\tag{3.10138}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\Pi_F=(z_0,z_1,\ldots,z_n)</w:t>
      </w:r>
    </w:p>
    <w:p w:rsidR="00D44893" w:rsidRDefault="00D44893" w:rsidP="00D44893">
      <w:pPr>
        <w:pStyle w:val="StandardWeb"/>
      </w:pPr>
      <w:r>
        <w:t>mit</w:t>
      </w:r>
    </w:p>
    <w:p w:rsidR="00D44893" w:rsidRDefault="00D44893" w:rsidP="00D44893">
      <w:pPr>
        <w:pStyle w:val="StandardWeb"/>
      </w:pPr>
      <w:r>
        <w:t>[</w:t>
      </w:r>
      <w:r>
        <w:br/>
        <w:t>z_0=z_a,</w:t>
      </w:r>
      <w:r>
        <w:br/>
        <w:t>\qquad</w:t>
      </w:r>
      <w:r>
        <w:br/>
        <w:t>z_n=z_b,</w:t>
      </w:r>
      <w:r>
        <w:br/>
        <w:t>\tag{3.10139}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z_0=z_a,\qquad z_n=z_b</w:t>
      </w:r>
    </w:p>
    <w:p w:rsidR="00D44893" w:rsidRDefault="00D44893" w:rsidP="00D44893">
      <w:pPr>
        <w:pStyle w:val="StandardWeb"/>
      </w:pPr>
      <w:r>
        <w:t>und</w:t>
      </w:r>
    </w:p>
    <w:p w:rsidR="00D44893" w:rsidRDefault="00D44893" w:rsidP="00D44893">
      <w:pPr>
        <w:pStyle w:val="StandardWeb"/>
      </w:pPr>
      <w:r>
        <w:t>[</w:t>
      </w:r>
      <w:r>
        <w:br/>
        <w:t>(z_{k-1},z_k)\in\mathcal T_F</w:t>
      </w:r>
      <w:r>
        <w:br/>
        <w:t>\qquad</w:t>
      </w:r>
      <w:r>
        <w:br/>
        <w:t>\forall k.</w:t>
      </w:r>
      <w:r>
        <w:br/>
        <w:t>\tag{3.10140}</w:t>
      </w:r>
      <w:r>
        <w:br/>
        <w:t>]</w:t>
      </w:r>
    </w:p>
    <w:p w:rsidR="00D44893" w:rsidRDefault="00D44893" w:rsidP="00D44893">
      <w:pPr>
        <w:pStyle w:val="StandardWeb"/>
      </w:pPr>
      <w:r>
        <w:rPr>
          <w:rStyle w:val="Fett"/>
        </w:rPr>
        <w:lastRenderedPageBreak/>
        <w:t>Word-LaTeX</w:t>
      </w:r>
    </w:p>
    <w:p w:rsidR="00D44893" w:rsidRDefault="00D44893" w:rsidP="00D44893">
      <w:pPr>
        <w:pStyle w:val="HTMLVorformatiert"/>
        <w:rPr>
          <w:rStyle w:val="HTMLCode"/>
        </w:rPr>
      </w:pPr>
      <w:r>
        <w:rPr>
          <w:rStyle w:val="HTMLCode"/>
        </w:rPr>
        <w:t>(z_{k-1},z_k)\in\mathcal T_F\qquad\forall k</w:t>
      </w:r>
    </w:p>
    <w:p w:rsidR="00D44893" w:rsidRDefault="00E50336" w:rsidP="00D44893">
      <w:r>
        <w:pict>
          <v:rect id="_x0000_i3137" style="width:0;height:1.5pt" o:hralign="center" o:hrstd="t" o:hr="t" fillcolor="#a0a0a0" stroked="f"/>
        </w:pict>
      </w:r>
    </w:p>
    <w:p w:rsidR="00D44893" w:rsidRDefault="00D44893" w:rsidP="00D44893">
      <w:pPr>
        <w:pStyle w:val="berschrift1"/>
      </w:pPr>
      <w:r>
        <w:t>3.3.45.37 Invarianz entlang eines Übergangspfades</w:t>
      </w:r>
    </w:p>
    <w:p w:rsidR="00D44893" w:rsidRDefault="00D44893" w:rsidP="00D44893">
      <w:pPr>
        <w:pStyle w:val="StandardWeb"/>
      </w:pPr>
      <w:r>
        <w:t>Ist (I_F) auf jedem Einzelübergang des Pfades invariant, gilt</w:t>
      </w:r>
    </w:p>
    <w:p w:rsidR="00D44893" w:rsidRDefault="00D44893" w:rsidP="00D44893">
      <w:pPr>
        <w:pStyle w:val="StandardWeb"/>
      </w:pPr>
      <w:r>
        <w:t>[</w:t>
      </w:r>
      <w:r>
        <w:br/>
        <w:t>I_F(z_0)=I_F(z_1),</w:t>
      </w:r>
      <w:r>
        <w:br/>
        <w:t>\tag{3.10141}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I_F(z_0)=I_F(z_1)</w:t>
      </w:r>
    </w:p>
    <w:p w:rsidR="00D44893" w:rsidRDefault="00D44893" w:rsidP="00D44893">
      <w:pPr>
        <w:pStyle w:val="StandardWeb"/>
      </w:pPr>
      <w:r>
        <w:t>[</w:t>
      </w:r>
      <w:r>
        <w:br/>
        <w:t>I_F(z_1)=I_F(z_2),</w:t>
      </w:r>
      <w:r>
        <w:br/>
        <w:t>\tag{3.10142}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I_F(z_1)=I_F(z_2)</w:t>
      </w:r>
    </w:p>
    <w:p w:rsidR="00D44893" w:rsidRDefault="00D44893" w:rsidP="00D44893">
      <w:pPr>
        <w:pStyle w:val="StandardWeb"/>
      </w:pPr>
      <w:r>
        <w:t>und fortgesetzt</w:t>
      </w:r>
    </w:p>
    <w:p w:rsidR="00D44893" w:rsidRDefault="00D44893" w:rsidP="00D44893">
      <w:pPr>
        <w:pStyle w:val="StandardWeb"/>
      </w:pPr>
      <w:r>
        <w:t>[</w:t>
      </w:r>
      <w:r>
        <w:br/>
        <w:t>I_F(z_{n-1})=I_F(z_n).</w:t>
      </w:r>
      <w:r>
        <w:br/>
        <w:t>\tag{3.10143}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I_F(z_{n-1})=I_F(z_n)</w:t>
      </w:r>
    </w:p>
    <w:p w:rsidR="00D44893" w:rsidRDefault="00D44893" w:rsidP="00D44893">
      <w:pPr>
        <w:pStyle w:val="StandardWeb"/>
      </w:pPr>
      <w:r>
        <w:t>Aus der Transitivität der Gleichheit folgt damit</w:t>
      </w:r>
    </w:p>
    <w:p w:rsidR="00D44893" w:rsidRDefault="00D44893" w:rsidP="00D44893">
      <w:pPr>
        <w:pStyle w:val="StandardWeb"/>
      </w:pPr>
      <w:r>
        <w:t>[</w:t>
      </w:r>
      <w:r>
        <w:br/>
        <w:t>I_F(z_a)=I_F(z_b).</w:t>
      </w:r>
      <w:r>
        <w:br/>
        <w:t>\tag{3.10144}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I_F(z_a)=I_F(z_b)</w:t>
      </w:r>
    </w:p>
    <w:p w:rsidR="00D44893" w:rsidRDefault="00E50336" w:rsidP="00D44893">
      <w:r>
        <w:pict>
          <v:rect id="_x0000_i3138" style="width:0;height:1.5pt" o:hralign="center" o:hrstd="t" o:hr="t" fillcolor="#a0a0a0" stroked="f"/>
        </w:pict>
      </w:r>
    </w:p>
    <w:p w:rsidR="00D44893" w:rsidRDefault="00D44893" w:rsidP="00D44893">
      <w:pPr>
        <w:pStyle w:val="berschrift1"/>
      </w:pPr>
      <w:r>
        <w:lastRenderedPageBreak/>
        <w:t>3.3.45.38 Satz 3.3.36 – Invarianz entlang funktionaler Erreichbarkeit</w:t>
      </w:r>
    </w:p>
    <w:p w:rsidR="00D44893" w:rsidRDefault="00D44893" w:rsidP="00D44893">
      <w:pPr>
        <w:pStyle w:val="berschrift3"/>
      </w:pPr>
      <w:r>
        <w:t>Satz 3.3.36</w:t>
      </w:r>
    </w:p>
    <w:p w:rsidR="00D44893" w:rsidRDefault="00D44893" w:rsidP="00D44893">
      <w:pPr>
        <w:pStyle w:val="StandardWeb"/>
      </w:pPr>
      <w:r>
        <w:t>Ist (I_F) eine funktionale Invariante der Übergangsrelation (\mathcal T_F), dann gilt für jedes funktional erreichbare Zustandspaar</w:t>
      </w:r>
    </w:p>
    <w:p w:rsidR="00D44893" w:rsidRDefault="00D44893" w:rsidP="00D44893">
      <w:pPr>
        <w:pStyle w:val="StandardWeb"/>
      </w:pPr>
      <w:r>
        <w:t>[</w:t>
      </w:r>
      <w:r>
        <w:br/>
        <w:t>\boxed{</w:t>
      </w:r>
      <w:r>
        <w:br/>
        <w:t>\operatorname{Reach}_F(z_a,z_b)=1</w:t>
      </w:r>
      <w:r>
        <w:br/>
        <w:t>\Rightarrow</w:t>
      </w:r>
      <w:r>
        <w:br/>
        <w:t>I_F(z_a)=I_F(z_b).</w:t>
      </w:r>
      <w:r>
        <w:br/>
        <w:t>}</w:t>
      </w:r>
      <w:r>
        <w:br/>
        <w:t>\tag{3.10145}</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\boxed{\operatorname{Reach}_F(z_a,z_b)=1\Rightarrow I_F(z_a)=I_F(z_b).}</w:t>
      </w:r>
    </w:p>
    <w:p w:rsidR="00D44893" w:rsidRDefault="00D44893" w:rsidP="00D44893">
      <w:pPr>
        <w:pStyle w:val="berschrift3"/>
      </w:pPr>
      <w:r>
        <w:t>Beweis</w:t>
      </w:r>
    </w:p>
    <w:p w:rsidR="00D44893" w:rsidRDefault="00D44893" w:rsidP="00D44893">
      <w:pPr>
        <w:pStyle w:val="StandardWeb"/>
      </w:pPr>
      <w:r>
        <w:t>Aus</w:t>
      </w:r>
    </w:p>
    <w:p w:rsidR="00D44893" w:rsidRDefault="00D44893" w:rsidP="00D44893">
      <w:pPr>
        <w:pStyle w:val="StandardWeb"/>
      </w:pPr>
      <w:r>
        <w:t>[</w:t>
      </w:r>
      <w:r>
        <w:br/>
        <w:t>\operatorname{Reach}_F(z_a,z_b)=1</w:t>
      </w:r>
      <w:r>
        <w:br/>
        <w:t>\tag{3.10146}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\operatorname{Reach}_F(z_a,z_b)=1</w:t>
      </w:r>
    </w:p>
    <w:p w:rsidR="00D44893" w:rsidRDefault="00D44893" w:rsidP="00D44893">
      <w:pPr>
        <w:pStyle w:val="StandardWeb"/>
      </w:pPr>
      <w:r>
        <w:t>folgt die Existenz eines endlichen Übergangspfades</w:t>
      </w:r>
    </w:p>
    <w:p w:rsidR="00D44893" w:rsidRDefault="00D44893" w:rsidP="00D44893">
      <w:pPr>
        <w:pStyle w:val="StandardWeb"/>
      </w:pPr>
      <w:r>
        <w:t>[</w:t>
      </w:r>
      <w:r>
        <w:br/>
        <w:t>z_a=z_0\rightarrow z_1\rightarrow\cdots\rightarrow z_n=z_b.</w:t>
      </w:r>
      <w:r>
        <w:br/>
        <w:t>\tag{3.10147}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z_a=z_0\rightarrow z_1\rightarrow\cdots\rightarrow z_n=z_b</w:t>
      </w:r>
    </w:p>
    <w:p w:rsidR="00D44893" w:rsidRDefault="00D44893" w:rsidP="00D44893">
      <w:pPr>
        <w:pStyle w:val="StandardWeb"/>
      </w:pPr>
      <w:r>
        <w:t>Für jeden Einzelübergang gilt aufgrund der Invarianz</w:t>
      </w:r>
    </w:p>
    <w:p w:rsidR="00D44893" w:rsidRDefault="00D44893" w:rsidP="00D44893">
      <w:pPr>
        <w:pStyle w:val="StandardWeb"/>
      </w:pPr>
      <w:r>
        <w:t>[</w:t>
      </w:r>
      <w:r>
        <w:br/>
        <w:t>I_F(z_{k-1})=I_F(z_k).</w:t>
      </w:r>
      <w:r>
        <w:br/>
      </w:r>
      <w:r>
        <w:lastRenderedPageBreak/>
        <w:t>\tag{3.10148}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I_F(z_{k-1})=I_F(z_k)</w:t>
      </w:r>
    </w:p>
    <w:p w:rsidR="00D44893" w:rsidRDefault="00D44893" w:rsidP="00D44893">
      <w:pPr>
        <w:pStyle w:val="StandardWeb"/>
      </w:pPr>
      <w:r>
        <w:t>Durch sukzessive Anwendung der Transitivität der Gleichheit folgt</w:t>
      </w:r>
    </w:p>
    <w:p w:rsidR="00D44893" w:rsidRDefault="00D44893" w:rsidP="00D44893">
      <w:pPr>
        <w:pStyle w:val="StandardWeb"/>
      </w:pPr>
      <w:r>
        <w:t>[</w:t>
      </w:r>
      <w:r>
        <w:br/>
        <w:t>I_F(z_0)=I_F(z_n).</w:t>
      </w:r>
      <w:r>
        <w:br/>
        <w:t>\tag{3.10149}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I_F(z_0)=I_F(z_n)</w:t>
      </w:r>
    </w:p>
    <w:p w:rsidR="00D44893" w:rsidRDefault="00D44893" w:rsidP="00D44893">
      <w:pPr>
        <w:pStyle w:val="StandardWeb"/>
      </w:pPr>
      <w:r>
        <w:t>Mit (z_0=z_a) und (z_n=z_b) folgt die Behauptung. (\square)</w:t>
      </w:r>
    </w:p>
    <w:p w:rsidR="00D44893" w:rsidRDefault="00E50336" w:rsidP="00D44893">
      <w:r>
        <w:pict>
          <v:rect id="_x0000_i3139" style="width:0;height:1.5pt" o:hralign="center" o:hrstd="t" o:hr="t" fillcolor="#a0a0a0" stroked="f"/>
        </w:pict>
      </w:r>
    </w:p>
    <w:p w:rsidR="00D44893" w:rsidRDefault="00D44893" w:rsidP="00D44893">
      <w:pPr>
        <w:pStyle w:val="berschrift1"/>
      </w:pPr>
      <w:r>
        <w:t>3.3.45.39 Korollar 3.3.12 – Konstanz auf Erreichbarkeitsklassen</w:t>
      </w:r>
    </w:p>
    <w:p w:rsidR="00D44893" w:rsidRDefault="00D44893" w:rsidP="00D44893">
      <w:pPr>
        <w:pStyle w:val="berschrift3"/>
      </w:pPr>
      <w:r>
        <w:t>Korollar 3.3.12</w:t>
      </w:r>
    </w:p>
    <w:p w:rsidR="00D44893" w:rsidRDefault="00D44893" w:rsidP="00D44893">
      <w:pPr>
        <w:pStyle w:val="StandardWeb"/>
      </w:pPr>
      <w:r>
        <w:t>Ist eine Menge von Zuständen unter funktionaler Erreichbarkeit miteinander verbunden und ist (I_F) entlang aller Übergänge invariant, dann besitzt (I_F) auf dieser Menge einen konstanten Wert.</w:t>
      </w:r>
    </w:p>
    <w:p w:rsidR="00D44893" w:rsidRDefault="00D44893" w:rsidP="00D44893">
      <w:pPr>
        <w:pStyle w:val="StandardWeb"/>
      </w:pPr>
      <w:r>
        <w:t>Formal:</w:t>
      </w:r>
    </w:p>
    <w:p w:rsidR="00D44893" w:rsidRDefault="00D44893" w:rsidP="00D44893">
      <w:pPr>
        <w:pStyle w:val="StandardWeb"/>
      </w:pPr>
      <w:r>
        <w:t>[</w:t>
      </w:r>
      <w:r>
        <w:br/>
        <w:t>\boxed{</w:t>
      </w:r>
      <w:r>
        <w:br/>
        <w:t>z_a\sim_{\mathrm{Reach}}z_b</w:t>
      </w:r>
      <w:r>
        <w:br/>
        <w:t>\Rightarrow</w:t>
      </w:r>
      <w:r>
        <w:br/>
        <w:t>I_F(z_a)=I_F(z_b).</w:t>
      </w:r>
      <w:r>
        <w:br/>
        <w:t>}</w:t>
      </w:r>
      <w:r>
        <w:br/>
        <w:t>\tag{3.10150}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\boxed{z_a\sim_{\mathrm{Reach}}z_b\Rightarrow I_F(z_a)=I_F(z_b).}</w:t>
      </w:r>
    </w:p>
    <w:p w:rsidR="00D44893" w:rsidRDefault="00D44893" w:rsidP="00D44893">
      <w:pPr>
        <w:pStyle w:val="StandardWeb"/>
      </w:pPr>
      <w:r>
        <w:t>Dabei ist noch zu präzisieren, unter welchen Bedingungen (\sim_{\mathrm{Reach}}) tatsächlich eine Äquivalenzrelation bildet.</w:t>
      </w:r>
    </w:p>
    <w:p w:rsidR="00D44893" w:rsidRDefault="00E50336" w:rsidP="00D44893">
      <w:r>
        <w:pict>
          <v:rect id="_x0000_i3140" style="width:0;height:1.5pt" o:hralign="center" o:hrstd="t" o:hr="t" fillcolor="#a0a0a0" stroked="f"/>
        </w:pict>
      </w:r>
    </w:p>
    <w:p w:rsidR="00D44893" w:rsidRDefault="00D44893" w:rsidP="00D44893">
      <w:pPr>
        <w:pStyle w:val="berschrift1"/>
      </w:pPr>
      <w:r>
        <w:lastRenderedPageBreak/>
        <w:t>3.3.45.40 Gerichtete Erreichbarkeit ist nicht notwendig symmetrisch</w:t>
      </w:r>
    </w:p>
    <w:p w:rsidR="00D44893" w:rsidRDefault="00D44893" w:rsidP="00D44893">
      <w:pPr>
        <w:pStyle w:val="StandardWeb"/>
      </w:pPr>
      <w:r>
        <w:t>Die Relation</w:t>
      </w:r>
    </w:p>
    <w:p w:rsidR="00D44893" w:rsidRDefault="00D44893" w:rsidP="00D44893">
      <w:pPr>
        <w:pStyle w:val="StandardWeb"/>
      </w:pPr>
      <w:r>
        <w:t>[</w:t>
      </w:r>
      <w:r>
        <w:br/>
        <w:t>\operatorname{Reach}_F(z_i,z_j)</w:t>
      </w:r>
      <w:r>
        <w:br/>
        <w:t>\tag{3.10151}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\operatorname{Reach}_F(z_i,z_j)</w:t>
      </w:r>
    </w:p>
    <w:p w:rsidR="00D44893" w:rsidRDefault="00D44893" w:rsidP="00D44893">
      <w:pPr>
        <w:pStyle w:val="StandardWeb"/>
      </w:pPr>
      <w:r>
        <w:t>ist bei gerichteten Übergängen im Allgemeinen nicht symmetrisch.</w:t>
      </w:r>
    </w:p>
    <w:p w:rsidR="00D44893" w:rsidRDefault="00D44893" w:rsidP="00D44893">
      <w:pPr>
        <w:pStyle w:val="StandardWeb"/>
      </w:pPr>
      <w:r>
        <w:t>Es kann gelten</w:t>
      </w:r>
    </w:p>
    <w:p w:rsidR="00D44893" w:rsidRDefault="00D44893" w:rsidP="00D44893">
      <w:pPr>
        <w:pStyle w:val="StandardWeb"/>
      </w:pPr>
      <w:r>
        <w:t>[</w:t>
      </w:r>
      <w:r>
        <w:br/>
        <w:t>\operatorname{Reach}_F(z_i,z_j)=1</w:t>
      </w:r>
      <w:r>
        <w:br/>
        <w:t>\tag{3.10152}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\operatorname{Reach}_F(z_i,z_j)=1</w:t>
      </w:r>
    </w:p>
    <w:p w:rsidR="00D44893" w:rsidRDefault="00D44893" w:rsidP="00D44893">
      <w:pPr>
        <w:pStyle w:val="StandardWeb"/>
      </w:pPr>
      <w:r>
        <w:t>und zugleich</w:t>
      </w:r>
    </w:p>
    <w:p w:rsidR="00D44893" w:rsidRDefault="00D44893" w:rsidP="00D44893">
      <w:pPr>
        <w:pStyle w:val="StandardWeb"/>
      </w:pPr>
      <w:r>
        <w:t>[</w:t>
      </w:r>
      <w:r>
        <w:br/>
        <w:t>\operatorname{Reach}_F(z_j,z_i)=0.</w:t>
      </w:r>
      <w:r>
        <w:br/>
        <w:t>\tag{3.10153}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\operatorname{Reach}_F(z_j,z_i)=0</w:t>
      </w:r>
    </w:p>
    <w:p w:rsidR="00D44893" w:rsidRDefault="00D44893" w:rsidP="00D44893">
      <w:pPr>
        <w:pStyle w:val="StandardWeb"/>
      </w:pPr>
      <w:r>
        <w:t>Damit darf gerichtete Erreichbarkeit nicht ohne weitere Voraussetzung als Äquivalenzrelation behandelt werden.</w:t>
      </w:r>
    </w:p>
    <w:p w:rsidR="00D44893" w:rsidRDefault="00E50336" w:rsidP="00D44893">
      <w:r>
        <w:pict>
          <v:rect id="_x0000_i3141" style="width:0;height:1.5pt" o:hralign="center" o:hrstd="t" o:hr="t" fillcolor="#a0a0a0" stroked="f"/>
        </w:pict>
      </w:r>
    </w:p>
    <w:p w:rsidR="00D44893" w:rsidRDefault="00D44893" w:rsidP="00D44893">
      <w:pPr>
        <w:pStyle w:val="berschrift1"/>
      </w:pPr>
      <w:r>
        <w:t>3.3.45.41 Gegenseitige Erreichbarkeit</w:t>
      </w:r>
    </w:p>
    <w:p w:rsidR="00D44893" w:rsidRDefault="00D44893" w:rsidP="00D44893">
      <w:pPr>
        <w:pStyle w:val="StandardWeb"/>
      </w:pPr>
      <w:r>
        <w:t>Für die Bildung tatsächlicher Erreichbarkeitsklassen benötige ich daher gegenseitige Erreichbarkeit.</w:t>
      </w:r>
    </w:p>
    <w:p w:rsidR="00D44893" w:rsidRDefault="00D44893" w:rsidP="00D44893">
      <w:pPr>
        <w:pStyle w:val="StandardWeb"/>
      </w:pPr>
      <w:r>
        <w:t>Ich definiere</w:t>
      </w:r>
    </w:p>
    <w:p w:rsidR="00D44893" w:rsidRDefault="00D44893" w:rsidP="00D44893">
      <w:pPr>
        <w:pStyle w:val="StandardWeb"/>
      </w:pPr>
      <w:r>
        <w:lastRenderedPageBreak/>
        <w:t>[</w:t>
      </w:r>
      <w:r>
        <w:br/>
        <w:t>z_i\leftrightsquigarrow_F z_j</w:t>
      </w:r>
      <w:r>
        <w:br/>
        <w:t>\tag{3.10154}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z_i\leftrightsquigarrow_F z_j</w:t>
      </w:r>
    </w:p>
    <w:p w:rsidR="00D44893" w:rsidRDefault="00D44893" w:rsidP="00D44893">
      <w:pPr>
        <w:pStyle w:val="StandardWeb"/>
      </w:pPr>
      <w:r>
        <w:t>genau dann, wenn</w:t>
      </w:r>
    </w:p>
    <w:p w:rsidR="00D44893" w:rsidRDefault="00D44893" w:rsidP="00D44893">
      <w:pPr>
        <w:pStyle w:val="StandardWeb"/>
      </w:pPr>
      <w:r>
        <w:t>[</w:t>
      </w:r>
      <w:r>
        <w:br/>
        <w:t>\operatorname{Reach}_F(z_i,z_j)=1</w:t>
      </w:r>
      <w:r>
        <w:br/>
        <w:t>\land</w:t>
      </w:r>
      <w:r>
        <w:br/>
        <w:t>\operatorname{Reach}_F(z_j,z_i)=1.</w:t>
      </w:r>
      <w:r>
        <w:br/>
        <w:t>\tag{3.10155}</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\operatorname{Reach}_F(z_i,z_j)=1\land\operatorname{Reach}_F(z_j,z_i)=1</w:t>
      </w:r>
    </w:p>
    <w:p w:rsidR="00D44893" w:rsidRDefault="00E50336" w:rsidP="00D44893">
      <w:r>
        <w:pict>
          <v:rect id="_x0000_i3142" style="width:0;height:1.5pt" o:hralign="center" o:hrstd="t" o:hr="t" fillcolor="#a0a0a0" stroked="f"/>
        </w:pict>
      </w:r>
    </w:p>
    <w:p w:rsidR="00D44893" w:rsidRDefault="00D44893" w:rsidP="00D44893">
      <w:pPr>
        <w:pStyle w:val="berschrift1"/>
      </w:pPr>
      <w:r>
        <w:t>3.3.45.42 Definition 3.3.110 – Gegenseitige funktionale Erreichbarkeit</w:t>
      </w:r>
    </w:p>
    <w:p w:rsidR="00D44893" w:rsidRDefault="00D44893" w:rsidP="00D44893">
      <w:pPr>
        <w:pStyle w:val="berschrift3"/>
      </w:pPr>
      <w:r>
        <w:t>Definition 3.3.110</w:t>
      </w:r>
    </w:p>
    <w:p w:rsidR="00D44893" w:rsidRDefault="00D44893" w:rsidP="00D44893">
      <w:pPr>
        <w:pStyle w:val="StandardWeb"/>
      </w:pPr>
      <w:r>
        <w:t xml:space="preserve">Zwei Zustände heißen </w:t>
      </w:r>
      <w:r>
        <w:rPr>
          <w:rStyle w:val="Fett"/>
        </w:rPr>
        <w:t>gegenseitig funktional erreichbar</w:t>
      </w:r>
      <w:r>
        <w:t>, wenn jeder der beiden Zustände vom jeweils anderen über einen endlichen funktionalen Übergangspfad erreichbar ist:</w:t>
      </w:r>
    </w:p>
    <w:p w:rsidR="00D44893" w:rsidRDefault="00D44893" w:rsidP="00D44893">
      <w:pPr>
        <w:pStyle w:val="StandardWeb"/>
      </w:pPr>
      <w:r>
        <w:t>[</w:t>
      </w:r>
      <w:r>
        <w:br/>
        <w:t>\boxed{</w:t>
      </w:r>
      <w:r>
        <w:br/>
        <w:t>z_i\leftrightsquigarrow_F z_j</w:t>
      </w:r>
      <w:r>
        <w:br/>
        <w:t>\Longleftrightarrow</w:t>
      </w:r>
      <w:r>
        <w:br/>
        <w:t>\left[</w:t>
      </w:r>
      <w:r>
        <w:br/>
        <w:t>\operatorname{Reach}_F(z_i,z_j)=1</w:t>
      </w:r>
      <w:r>
        <w:br/>
        <w:t>\land</w:t>
      </w:r>
      <w:r>
        <w:br/>
        <w:t>\operatorname{Reach}_F(z_j,z_i)=1</w:t>
      </w:r>
      <w:r>
        <w:br/>
        <w:t>\right].</w:t>
      </w:r>
      <w:r>
        <w:br/>
        <w:t>}</w:t>
      </w:r>
      <w:r>
        <w:br/>
        <w:t>\tag{3.10156}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\boxed{z_i\leftrightsquigarrow_F z_j\Longleftrightarrow\left[\operatorname{Reach}_F(z_i,z_j)=1\land\operatorname{Reach}_F(z_j,z_i)=1\right].}</w:t>
      </w:r>
    </w:p>
    <w:p w:rsidR="00D44893" w:rsidRDefault="00E50336" w:rsidP="00D44893">
      <w:r>
        <w:pict>
          <v:rect id="_x0000_i3143" style="width:0;height:1.5pt" o:hralign="center" o:hrstd="t" o:hr="t" fillcolor="#a0a0a0" stroked="f"/>
        </w:pict>
      </w:r>
    </w:p>
    <w:p w:rsidR="00D44893" w:rsidRDefault="00D44893" w:rsidP="00D44893">
      <w:pPr>
        <w:pStyle w:val="berschrift1"/>
      </w:pPr>
      <w:r>
        <w:lastRenderedPageBreak/>
        <w:t>3.3.45.43 Reflexivität</w:t>
      </w:r>
    </w:p>
    <w:p w:rsidR="00D44893" w:rsidRDefault="00D44893" w:rsidP="00D44893">
      <w:pPr>
        <w:pStyle w:val="StandardWeb"/>
      </w:pPr>
      <w:r>
        <w:t>Sofern ein Pfad der Länge null zugelassen wird, gilt</w:t>
      </w:r>
    </w:p>
    <w:p w:rsidR="00D44893" w:rsidRDefault="00D44893" w:rsidP="00D44893">
      <w:pPr>
        <w:pStyle w:val="StandardWeb"/>
      </w:pPr>
      <w:r>
        <w:t>[</w:t>
      </w:r>
      <w:r>
        <w:br/>
        <w:t>\operatorname{Reach}_F(z,z)=1.</w:t>
      </w:r>
      <w:r>
        <w:br/>
        <w:t>\tag{3.10157}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\operatorname{Reach}_F(z,z)=1</w:t>
      </w:r>
    </w:p>
    <w:p w:rsidR="00D44893" w:rsidRDefault="00D44893" w:rsidP="00D44893">
      <w:pPr>
        <w:pStyle w:val="StandardWeb"/>
      </w:pPr>
      <w:r>
        <w:t>Damit folgt</w:t>
      </w:r>
    </w:p>
    <w:p w:rsidR="00D44893" w:rsidRDefault="00D44893" w:rsidP="00D44893">
      <w:pPr>
        <w:pStyle w:val="StandardWeb"/>
      </w:pPr>
      <w:r>
        <w:t>[</w:t>
      </w:r>
      <w:r>
        <w:br/>
        <w:t>z\leftrightsquigarrow_F z.</w:t>
      </w:r>
      <w:r>
        <w:br/>
        <w:t>\tag{3.10158}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z\leftrightsquigarrow_F z</w:t>
      </w:r>
    </w:p>
    <w:p w:rsidR="00D44893" w:rsidRDefault="00D44893" w:rsidP="00D44893">
      <w:pPr>
        <w:pStyle w:val="StandardWeb"/>
      </w:pPr>
      <w:r>
        <w:t>Die gegenseitige Erreichbarkeit ist dann reflexiv.</w:t>
      </w:r>
    </w:p>
    <w:p w:rsidR="00D44893" w:rsidRDefault="00E50336" w:rsidP="00D44893">
      <w:r>
        <w:pict>
          <v:rect id="_x0000_i3144" style="width:0;height:1.5pt" o:hralign="center" o:hrstd="t" o:hr="t" fillcolor="#a0a0a0" stroked="f"/>
        </w:pict>
      </w:r>
    </w:p>
    <w:p w:rsidR="00D44893" w:rsidRDefault="00D44893" w:rsidP="00D44893">
      <w:pPr>
        <w:pStyle w:val="berschrift1"/>
      </w:pPr>
      <w:r>
        <w:t>3.3.45.44 Symmetrie</w:t>
      </w:r>
    </w:p>
    <w:p w:rsidR="00D44893" w:rsidRDefault="00D44893" w:rsidP="00D44893">
      <w:pPr>
        <w:pStyle w:val="StandardWeb"/>
      </w:pPr>
      <w:r>
        <w:t>Aus der Definition folgt unmittelbar</w:t>
      </w:r>
    </w:p>
    <w:p w:rsidR="00D44893" w:rsidRDefault="00D44893" w:rsidP="00D44893">
      <w:pPr>
        <w:pStyle w:val="StandardWeb"/>
      </w:pPr>
      <w:r>
        <w:t>[</w:t>
      </w:r>
      <w:r>
        <w:br/>
        <w:t>z_i\leftrightsquigarrow_F z_j</w:t>
      </w:r>
      <w:r>
        <w:br/>
        <w:t>\Rightarrow</w:t>
      </w:r>
      <w:r>
        <w:br/>
        <w:t>z_j\leftrightsquigarrow_F z_i.</w:t>
      </w:r>
      <w:r>
        <w:br/>
        <w:t>\tag{3.10159}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z_i\leftrightsquigarrow_F z_j\Rightarrow z_j\leftrightsquigarrow_F z_i</w:t>
      </w:r>
    </w:p>
    <w:p w:rsidR="00D44893" w:rsidRDefault="00D44893" w:rsidP="00D44893">
      <w:pPr>
        <w:pStyle w:val="StandardWeb"/>
      </w:pPr>
      <w:r>
        <w:t>Damit ist die Relation symmetrisch.</w:t>
      </w:r>
    </w:p>
    <w:p w:rsidR="00D44893" w:rsidRDefault="00E50336" w:rsidP="00D44893">
      <w:r>
        <w:pict>
          <v:rect id="_x0000_i3145" style="width:0;height:1.5pt" o:hralign="center" o:hrstd="t" o:hr="t" fillcolor="#a0a0a0" stroked="f"/>
        </w:pict>
      </w:r>
    </w:p>
    <w:p w:rsidR="00D44893" w:rsidRDefault="00D44893" w:rsidP="00D44893">
      <w:pPr>
        <w:pStyle w:val="berschrift1"/>
      </w:pPr>
      <w:r>
        <w:t>3.3.45.45 Transitivität</w:t>
      </w:r>
    </w:p>
    <w:p w:rsidR="00D44893" w:rsidRDefault="00D44893" w:rsidP="00D44893">
      <w:pPr>
        <w:pStyle w:val="StandardWeb"/>
      </w:pPr>
      <w:r>
        <w:t>Seien</w:t>
      </w:r>
    </w:p>
    <w:p w:rsidR="00D44893" w:rsidRDefault="00D44893" w:rsidP="00D44893">
      <w:pPr>
        <w:pStyle w:val="StandardWeb"/>
      </w:pPr>
      <w:r>
        <w:lastRenderedPageBreak/>
        <w:t>[</w:t>
      </w:r>
      <w:r>
        <w:br/>
        <w:t>z_i\leftrightsquigarrow_F z_j</w:t>
      </w:r>
      <w:r>
        <w:br/>
        <w:t>\tag{3.10160}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z_i\leftrightsquigarrow_F z_j</w:t>
      </w:r>
    </w:p>
    <w:p w:rsidR="00D44893" w:rsidRDefault="00D44893" w:rsidP="00D44893">
      <w:pPr>
        <w:pStyle w:val="StandardWeb"/>
      </w:pPr>
      <w:r>
        <w:t>und</w:t>
      </w:r>
    </w:p>
    <w:p w:rsidR="00D44893" w:rsidRDefault="00D44893" w:rsidP="00D44893">
      <w:pPr>
        <w:pStyle w:val="StandardWeb"/>
      </w:pPr>
      <w:r>
        <w:t>[</w:t>
      </w:r>
      <w:r>
        <w:br/>
        <w:t>z_j\leftrightsquigarrow_F z_k.</w:t>
      </w:r>
      <w:r>
        <w:br/>
        <w:t>\tag{3.10161}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z_j\leftrightsquigarrow_F z_k</w:t>
      </w:r>
    </w:p>
    <w:p w:rsidR="00D44893" w:rsidRDefault="00D44893" w:rsidP="00D44893">
      <w:pPr>
        <w:pStyle w:val="StandardWeb"/>
      </w:pPr>
      <w:r>
        <w:t>Dann existieren Übergangspfade von (z_i) nach (z_j) und von (z_j) nach (z_k). Durch Konkatenation folgt</w:t>
      </w:r>
    </w:p>
    <w:p w:rsidR="00D44893" w:rsidRDefault="00D44893" w:rsidP="00D44893">
      <w:pPr>
        <w:pStyle w:val="StandardWeb"/>
      </w:pPr>
      <w:r>
        <w:t>[</w:t>
      </w:r>
      <w:r>
        <w:br/>
        <w:t>\operatorname{Reach}_F(z_i,z_k)=1.</w:t>
      </w:r>
      <w:r>
        <w:br/>
        <w:t>\tag{3.10162}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\operatorname{Reach}_F(z_i,z_k)=1</w:t>
      </w:r>
    </w:p>
    <w:p w:rsidR="00D44893" w:rsidRDefault="00D44893" w:rsidP="00D44893">
      <w:pPr>
        <w:pStyle w:val="StandardWeb"/>
      </w:pPr>
      <w:r>
        <w:t>Analog ergibt die Rückrichtung</w:t>
      </w:r>
    </w:p>
    <w:p w:rsidR="00D44893" w:rsidRDefault="00D44893" w:rsidP="00D44893">
      <w:pPr>
        <w:pStyle w:val="StandardWeb"/>
      </w:pPr>
      <w:r>
        <w:t>[</w:t>
      </w:r>
      <w:r>
        <w:br/>
        <w:t>\operatorname{Reach}_F(z_k,z_i)=1.</w:t>
      </w:r>
      <w:r>
        <w:br/>
        <w:t>\tag{3.10163}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\operatorname{Reach}_F(z_k,z_i)=1</w:t>
      </w:r>
    </w:p>
    <w:p w:rsidR="00D44893" w:rsidRDefault="00D44893" w:rsidP="00D44893">
      <w:pPr>
        <w:pStyle w:val="StandardWeb"/>
      </w:pPr>
      <w:r>
        <w:t>Somit gilt</w:t>
      </w:r>
    </w:p>
    <w:p w:rsidR="00D44893" w:rsidRDefault="00D44893" w:rsidP="00D44893">
      <w:pPr>
        <w:pStyle w:val="StandardWeb"/>
      </w:pPr>
      <w:r>
        <w:t>[</w:t>
      </w:r>
      <w:r>
        <w:br/>
        <w:t>z_i\leftrightsquigarrow_F z_k.</w:t>
      </w:r>
      <w:r>
        <w:br/>
        <w:t>\tag{3.10164}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lastRenderedPageBreak/>
        <w:t>z_i\leftrightsquigarrow_F z_k</w:t>
      </w:r>
    </w:p>
    <w:p w:rsidR="00D44893" w:rsidRDefault="00E50336" w:rsidP="00D44893">
      <w:r>
        <w:pict>
          <v:rect id="_x0000_i3146" style="width:0;height:1.5pt" o:hralign="center" o:hrstd="t" o:hr="t" fillcolor="#a0a0a0" stroked="f"/>
        </w:pict>
      </w:r>
    </w:p>
    <w:p w:rsidR="00D44893" w:rsidRDefault="00D44893" w:rsidP="00D44893">
      <w:pPr>
        <w:pStyle w:val="berschrift1"/>
      </w:pPr>
      <w:r>
        <w:t>3.3.45.46 Satz 3.3.37 – Gegenseitige Erreichbarkeit als Äquivalenzrelation</w:t>
      </w:r>
    </w:p>
    <w:p w:rsidR="00D44893" w:rsidRDefault="00D44893" w:rsidP="00D44893">
      <w:pPr>
        <w:pStyle w:val="berschrift3"/>
      </w:pPr>
      <w:r>
        <w:t>Satz 3.3.37</w:t>
      </w:r>
    </w:p>
    <w:p w:rsidR="00D44893" w:rsidRDefault="00D44893" w:rsidP="00D44893">
      <w:pPr>
        <w:pStyle w:val="StandardWeb"/>
      </w:pPr>
      <w:r>
        <w:t>Unter der Voraussetzung, dass Erreichbarkeit Pfade der Länge null einschließt, ist</w:t>
      </w:r>
    </w:p>
    <w:p w:rsidR="00D44893" w:rsidRDefault="00D44893" w:rsidP="00D44893">
      <w:pPr>
        <w:pStyle w:val="StandardWeb"/>
      </w:pPr>
      <w:r>
        <w:t>[</w:t>
      </w:r>
      <w:r>
        <w:br/>
        <w:t>\leftrightsquigarrow_F</w:t>
      </w:r>
      <w:r>
        <w:br/>
        <w:t>\tag{3.10165}</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\leftrightsquigarrow_F</w:t>
      </w:r>
    </w:p>
    <w:p w:rsidR="00D44893" w:rsidRDefault="00D44893" w:rsidP="00D44893">
      <w:pPr>
        <w:pStyle w:val="StandardWeb"/>
      </w:pPr>
      <w:r>
        <w:t>eine Äquivalenzrelation auf (\Omega_F):</w:t>
      </w:r>
    </w:p>
    <w:p w:rsidR="00D44893" w:rsidRDefault="00D44893" w:rsidP="00D44893">
      <w:pPr>
        <w:pStyle w:val="StandardWeb"/>
      </w:pPr>
      <w:r>
        <w:t>[</w:t>
      </w:r>
      <w:r>
        <w:br/>
        <w:t>\boxed{</w:t>
      </w:r>
      <w:r>
        <w:br/>
        <w:t>\leftrightsquigarrow_F</w:t>
      </w:r>
      <w:r>
        <w:br/>
        <w:t>\text{ ist reflexiv, symmetrisch und transitiv.}</w:t>
      </w:r>
      <w:r>
        <w:br/>
        <w:t>}</w:t>
      </w:r>
      <w:r>
        <w:br/>
        <w:t>\tag{3.10166}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\boxed{\leftrightsquigarrow_F\text{ ist reflexiv, symmetrisch und transitiv.}}</w:t>
      </w:r>
    </w:p>
    <w:p w:rsidR="00D44893" w:rsidRDefault="00D44893" w:rsidP="00D44893">
      <w:pPr>
        <w:pStyle w:val="StandardWeb"/>
      </w:pPr>
      <w:r>
        <w:t>Damit zerfällt der Zustandsraum in Äquivalenzklassen gegenseitiger Erreichbarkeit.</w:t>
      </w:r>
    </w:p>
    <w:p w:rsidR="00D44893" w:rsidRDefault="00E50336" w:rsidP="00D44893">
      <w:r>
        <w:pict>
          <v:rect id="_x0000_i3147" style="width:0;height:1.5pt" o:hralign="center" o:hrstd="t" o:hr="t" fillcolor="#a0a0a0" stroked="f"/>
        </w:pict>
      </w:r>
    </w:p>
    <w:p w:rsidR="00D44893" w:rsidRDefault="00D44893" w:rsidP="00D44893">
      <w:pPr>
        <w:pStyle w:val="berschrift1"/>
      </w:pPr>
      <w:r>
        <w:t>3.3.45.47 Definition 3.3.111 – Funktionale Erreichbarkeitskomponente</w:t>
      </w:r>
    </w:p>
    <w:p w:rsidR="00D44893" w:rsidRDefault="00D44893" w:rsidP="00D44893">
      <w:pPr>
        <w:pStyle w:val="berschrift3"/>
      </w:pPr>
      <w:r>
        <w:t>Definition 3.3.111</w:t>
      </w:r>
    </w:p>
    <w:p w:rsidR="00D44893" w:rsidRDefault="00D44893" w:rsidP="00D44893">
      <w:pPr>
        <w:pStyle w:val="StandardWeb"/>
      </w:pPr>
      <w:r>
        <w:t xml:space="preserve">Die </w:t>
      </w:r>
      <w:r>
        <w:rPr>
          <w:rStyle w:val="Fett"/>
        </w:rPr>
        <w:t>funktionale Erreichbarkeitskomponente</w:t>
      </w:r>
      <w:r>
        <w:t xml:space="preserve"> eines Zustandes (z) ist seine Äquivalenzklasse bezüglich gegenseitiger Erreichbarkeit:</w:t>
      </w:r>
    </w:p>
    <w:p w:rsidR="00D44893" w:rsidRDefault="00D44893" w:rsidP="00D44893">
      <w:pPr>
        <w:pStyle w:val="berschrift1"/>
      </w:pPr>
      <w:r>
        <w:lastRenderedPageBreak/>
        <w:t>[</w:t>
      </w:r>
      <w:r>
        <w:br/>
        <w:t>\boxed{</w:t>
      </w:r>
      <w:r>
        <w:br/>
        <w:t>[z]_F</w:t>
      </w:r>
    </w:p>
    <w:p w:rsidR="00D44893" w:rsidRDefault="00D44893" w:rsidP="00D44893">
      <w:pPr>
        <w:pStyle w:val="StandardWeb"/>
      </w:pPr>
      <w:r>
        <w:t>\left{</w:t>
      </w:r>
      <w:r>
        <w:br/>
        <w:t>y\in\Omega_F:</w:t>
      </w:r>
      <w:r>
        <w:br/>
        <w:t>y\leftrightsquigarrow_F z</w:t>
      </w:r>
      <w:r>
        <w:br/>
        <w:t>\right}.</w:t>
      </w:r>
      <w:r>
        <w:br/>
        <w:t>}</w:t>
      </w:r>
      <w:r>
        <w:br/>
        <w:t>\tag{3.10167}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\boxed{[z]_F=\left\{y\in\Omega_F:y\leftrightsquigarrow_F z\right\}.}</w:t>
      </w:r>
    </w:p>
    <w:p w:rsidR="00D44893" w:rsidRDefault="00D44893" w:rsidP="00D44893">
      <w:pPr>
        <w:pStyle w:val="StandardWeb"/>
      </w:pPr>
      <w:r>
        <w:t>Diese Struktur entspricht graphentheoretisch einer stark zusammenhängenden Komponente der gerichteten Übergangsstruktur, wird hier jedoch innerhalb der FRZK-Terminologie als funktionale Erreichbarkeitskomponente bezeichnet.</w:t>
      </w:r>
    </w:p>
    <w:p w:rsidR="00D44893" w:rsidRDefault="00E50336" w:rsidP="00D44893">
      <w:r>
        <w:pict>
          <v:rect id="_x0000_i3148" style="width:0;height:1.5pt" o:hralign="center" o:hrstd="t" o:hr="t" fillcolor="#a0a0a0" stroked="f"/>
        </w:pict>
      </w:r>
    </w:p>
    <w:p w:rsidR="00D44893" w:rsidRDefault="00D44893" w:rsidP="00D44893">
      <w:pPr>
        <w:pStyle w:val="berschrift1"/>
      </w:pPr>
      <w:r>
        <w:t>3.3.45.48 Zerlegung des Zustandsraumes</w:t>
      </w:r>
    </w:p>
    <w:p w:rsidR="00D44893" w:rsidRDefault="00D44893" w:rsidP="00D44893">
      <w:pPr>
        <w:pStyle w:val="StandardWeb"/>
      </w:pPr>
      <w:r>
        <w:t>Die Äquivalenzklassen bilden eine Partition des Zustandsraumes:</w:t>
      </w:r>
    </w:p>
    <w:p w:rsidR="00D44893" w:rsidRDefault="00D44893" w:rsidP="00D44893">
      <w:pPr>
        <w:pStyle w:val="berschrift1"/>
      </w:pPr>
      <w:r>
        <w:t>[</w:t>
      </w:r>
      <w:r>
        <w:br/>
        <w:t>\Omega_F</w:t>
      </w:r>
    </w:p>
    <w:p w:rsidR="00D44893" w:rsidRDefault="00D44893" w:rsidP="00D44893">
      <w:pPr>
        <w:pStyle w:val="StandardWeb"/>
      </w:pPr>
      <w:r>
        <w:t>\bigsqcup_{\alpha\in A}</w:t>
      </w:r>
      <w:r>
        <w:br/>
        <w:t>\mathcal C_\alpha.</w:t>
      </w:r>
      <w:r>
        <w:br/>
        <w:t>\tag{3.10168}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\Omega_F=\bigsqcup_{\alpha\in A}\mathcal C_\alpha</w:t>
      </w:r>
    </w:p>
    <w:p w:rsidR="00D44893" w:rsidRDefault="00D44893" w:rsidP="00D44893">
      <w:pPr>
        <w:pStyle w:val="StandardWeb"/>
      </w:pPr>
      <w:r>
        <w:t>Dabei sind die Komponenten paarweise disjunkt:</w:t>
      </w:r>
    </w:p>
    <w:p w:rsidR="00D44893" w:rsidRDefault="00D44893" w:rsidP="00D44893">
      <w:pPr>
        <w:pStyle w:val="berschrift1"/>
      </w:pPr>
      <w:r>
        <w:t>[</w:t>
      </w:r>
      <w:r>
        <w:br/>
        <w:t>\mathcal C_\alpha\cap\mathcal C_\beta</w:t>
      </w:r>
    </w:p>
    <w:p w:rsidR="00D44893" w:rsidRDefault="00D44893" w:rsidP="00D44893">
      <w:pPr>
        <w:pStyle w:val="StandardWeb"/>
      </w:pPr>
      <w:r>
        <w:t>\varnothing</w:t>
      </w:r>
      <w:r>
        <w:br/>
        <w:t>\qquad</w:t>
      </w:r>
      <w:r>
        <w:br/>
        <w:t>(\alpha\neq\beta).</w:t>
      </w:r>
      <w:r>
        <w:br/>
      </w:r>
      <w:r>
        <w:lastRenderedPageBreak/>
        <w:t>\tag{3.10169}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C_\alpha\cap\mathcal C_\beta=\varnothing\qquad(\alpha\neq\beta)</w:t>
      </w:r>
    </w:p>
    <w:p w:rsidR="00D44893" w:rsidRDefault="00E50336" w:rsidP="00D44893">
      <w:r>
        <w:pict>
          <v:rect id="_x0000_i3149" style="width:0;height:1.5pt" o:hralign="center" o:hrstd="t" o:hr="t" fillcolor="#a0a0a0" stroked="f"/>
        </w:pict>
      </w:r>
    </w:p>
    <w:p w:rsidR="00D44893" w:rsidRDefault="00D44893" w:rsidP="00D44893">
      <w:pPr>
        <w:pStyle w:val="berschrift1"/>
      </w:pPr>
      <w:r>
        <w:t>3.3.45.49 Invarianz innerhalb einer Erreichbarkeitskomponente</w:t>
      </w:r>
    </w:p>
    <w:p w:rsidR="00D44893" w:rsidRDefault="00D44893" w:rsidP="00D44893">
      <w:pPr>
        <w:pStyle w:val="StandardWeb"/>
      </w:pPr>
      <w:r>
        <w:t>Aus Satz 3.3.36 folgt für eine funktionale Invariante</w:t>
      </w:r>
    </w:p>
    <w:p w:rsidR="00D44893" w:rsidRDefault="00D44893" w:rsidP="00D44893">
      <w:pPr>
        <w:pStyle w:val="StandardWeb"/>
      </w:pPr>
      <w:r>
        <w:t>[</w:t>
      </w:r>
      <w:r>
        <w:br/>
        <w:t>z_a,z_b\in\mathcal C_\alpha</w:t>
      </w:r>
      <w:r>
        <w:br/>
        <w:t>\Rightarrow</w:t>
      </w:r>
      <w:r>
        <w:br/>
        <w:t>I_F(z_a)=I_F(z_b).</w:t>
      </w:r>
      <w:r>
        <w:br/>
        <w:t>\tag{3.10170}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z_a,z_b\in\mathcal C_\alpha\Rightarrow I_F(z_a)=I_F(z_b)</w:t>
      </w:r>
    </w:p>
    <w:p w:rsidR="00D44893" w:rsidRDefault="00D44893" w:rsidP="00D44893">
      <w:pPr>
        <w:pStyle w:val="StandardWeb"/>
      </w:pPr>
      <w:r>
        <w:t>Damit ist (I_F) auf jeder einzelnen funktionalen Erreichbarkeitskomponente konstant.</w:t>
      </w:r>
    </w:p>
    <w:p w:rsidR="00D44893" w:rsidRDefault="00E50336" w:rsidP="00D44893">
      <w:r>
        <w:pict>
          <v:rect id="_x0000_i3150" style="width:0;height:1.5pt" o:hralign="center" o:hrstd="t" o:hr="t" fillcolor="#a0a0a0" stroked="f"/>
        </w:pict>
      </w:r>
    </w:p>
    <w:p w:rsidR="00D44893" w:rsidRDefault="00D44893" w:rsidP="00D44893">
      <w:pPr>
        <w:pStyle w:val="berschrift1"/>
      </w:pPr>
      <w:r>
        <w:t>3.3.45.50 Satz 3.3.38 – Komponentenweise Konstanz funktionaler Invarianten</w:t>
      </w:r>
    </w:p>
    <w:p w:rsidR="00D44893" w:rsidRDefault="00D44893" w:rsidP="00D44893">
      <w:pPr>
        <w:pStyle w:val="berschrift3"/>
      </w:pPr>
      <w:r>
        <w:t>Satz 3.3.38</w:t>
      </w:r>
    </w:p>
    <w:p w:rsidR="00D44893" w:rsidRDefault="00D44893" w:rsidP="00D44893">
      <w:pPr>
        <w:pStyle w:val="StandardWeb"/>
      </w:pPr>
      <w:r>
        <w:t>Für jede funktionale Invariante (I_F) und jede funktionale Erreichbarkeitskomponente (\mathcal C_\alpha) gilt</w:t>
      </w:r>
    </w:p>
    <w:p w:rsidR="00D44893" w:rsidRDefault="00D44893" w:rsidP="00D44893">
      <w:pPr>
        <w:pStyle w:val="StandardWeb"/>
      </w:pPr>
      <w:r>
        <w:t>[</w:t>
      </w:r>
      <w:r>
        <w:br/>
        <w:t>\boxed{</w:t>
      </w:r>
      <w:r>
        <w:br/>
        <w:t>\forall z_a,z_b\in\mathcal C_\alpha:</w:t>
      </w:r>
      <w:r>
        <w:br/>
        <w:t>I_F(z_a)=I_F(z_b).</w:t>
      </w:r>
      <w:r>
        <w:br/>
        <w:t>}</w:t>
      </w:r>
      <w:r>
        <w:br/>
        <w:t>\tag{3.10171}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\boxed{\forall z_a,z_b\in\mathcal C_\alpha:I_F(z_a)=I_F(z_b).}</w:t>
      </w:r>
    </w:p>
    <w:p w:rsidR="00D44893" w:rsidRDefault="00D44893" w:rsidP="00D44893">
      <w:pPr>
        <w:pStyle w:val="berschrift3"/>
      </w:pPr>
      <w:r>
        <w:t>Beweis</w:t>
      </w:r>
    </w:p>
    <w:p w:rsidR="00D44893" w:rsidRDefault="00D44893" w:rsidP="00D44893">
      <w:pPr>
        <w:pStyle w:val="StandardWeb"/>
      </w:pPr>
      <w:r>
        <w:lastRenderedPageBreak/>
        <w:t>Für (z_a,z_b\in\mathcal C_\alpha) gilt nach Definition der Komponente</w:t>
      </w:r>
    </w:p>
    <w:p w:rsidR="00D44893" w:rsidRDefault="00D44893" w:rsidP="00D44893">
      <w:pPr>
        <w:pStyle w:val="StandardWeb"/>
      </w:pPr>
      <w:r>
        <w:t>[</w:t>
      </w:r>
      <w:r>
        <w:br/>
        <w:t>z_a\leftrightsquigarrow_F z_b.</w:t>
      </w:r>
      <w:r>
        <w:br/>
        <w:t>\tag{3.10172}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z_a\leftrightsquigarrow_F z_b</w:t>
      </w:r>
    </w:p>
    <w:p w:rsidR="00D44893" w:rsidRDefault="00D44893" w:rsidP="00D44893">
      <w:pPr>
        <w:pStyle w:val="StandardWeb"/>
      </w:pPr>
      <w:r>
        <w:t>Insbesondere gilt daher</w:t>
      </w:r>
    </w:p>
    <w:p w:rsidR="00D44893" w:rsidRDefault="00D44893" w:rsidP="00D44893">
      <w:pPr>
        <w:pStyle w:val="StandardWeb"/>
      </w:pPr>
      <w:r>
        <w:t>[</w:t>
      </w:r>
      <w:r>
        <w:br/>
        <w:t>\operatorname{Reach}_F(z_a,z_b)=1.</w:t>
      </w:r>
      <w:r>
        <w:br/>
        <w:t>\tag{3.10173}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\operatorname{Reach}_F(z_a,z_b)=1</w:t>
      </w:r>
    </w:p>
    <w:p w:rsidR="00D44893" w:rsidRDefault="00D44893" w:rsidP="00D44893">
      <w:pPr>
        <w:pStyle w:val="StandardWeb"/>
      </w:pPr>
      <w:r>
        <w:t>Nach Satz 3.3.36 folgt</w:t>
      </w:r>
    </w:p>
    <w:p w:rsidR="00D44893" w:rsidRDefault="00D44893" w:rsidP="00D44893">
      <w:pPr>
        <w:pStyle w:val="StandardWeb"/>
      </w:pPr>
      <w:r>
        <w:t>[</w:t>
      </w:r>
      <w:r>
        <w:br/>
        <w:t>I_F(z_a)=I_F(z_b).</w:t>
      </w:r>
      <w:r>
        <w:br/>
        <w:t>\tag{3.10174}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I_F(z_a)=I_F(z_b)</w:t>
      </w:r>
    </w:p>
    <w:p w:rsidR="00D44893" w:rsidRDefault="00D44893" w:rsidP="00D44893">
      <w:pPr>
        <w:pStyle w:val="StandardWeb"/>
      </w:pPr>
      <w:r>
        <w:t>Damit ist (I_F) auf (\mathcal C_\alpha) konstant. (\square)</w:t>
      </w:r>
    </w:p>
    <w:p w:rsidR="00D44893" w:rsidRDefault="00E50336" w:rsidP="00D44893">
      <w:r>
        <w:pict>
          <v:rect id="_x0000_i3151" style="width:0;height:1.5pt" o:hralign="center" o:hrstd="t" o:hr="t" fillcolor="#a0a0a0" stroked="f"/>
        </w:pict>
      </w:r>
    </w:p>
    <w:p w:rsidR="00D44893" w:rsidRDefault="00D44893" w:rsidP="00D44893">
      <w:pPr>
        <w:pStyle w:val="berschrift1"/>
      </w:pPr>
      <w:r>
        <w:t>3.3.45.51 Nichttriviale Invarianten benötigen mindestens zwei Komponenten oder getrennte Wertebereiche</w:t>
      </w:r>
    </w:p>
    <w:p w:rsidR="00D44893" w:rsidRDefault="00D44893" w:rsidP="00D44893">
      <w:pPr>
        <w:pStyle w:val="StandardWeb"/>
      </w:pPr>
      <w:r>
        <w:t>Satz 3.3.38 hat eine wichtige Konsequenz.</w:t>
      </w:r>
    </w:p>
    <w:p w:rsidR="00D44893" w:rsidRDefault="00D44893" w:rsidP="00D44893">
      <w:pPr>
        <w:pStyle w:val="StandardWeb"/>
      </w:pPr>
      <w:r>
        <w:t>Ist der gesamte Zustandsraum eine einzige funktionale Erreichbarkeitskomponente,</w:t>
      </w:r>
    </w:p>
    <w:p w:rsidR="00D44893" w:rsidRDefault="00D44893" w:rsidP="00D44893">
      <w:pPr>
        <w:pStyle w:val="StandardWeb"/>
      </w:pPr>
      <w:r>
        <w:t>[</w:t>
      </w:r>
      <w:r>
        <w:br/>
        <w:t>\Omega_F=\mathcal C_1,</w:t>
      </w:r>
      <w:r>
        <w:br/>
        <w:t>\tag{3.10175}</w:t>
      </w:r>
      <w:r>
        <w:br/>
        <w:t>]</w:t>
      </w:r>
    </w:p>
    <w:p w:rsidR="00D44893" w:rsidRDefault="00D44893" w:rsidP="00D44893">
      <w:pPr>
        <w:pStyle w:val="StandardWeb"/>
      </w:pPr>
      <w:r>
        <w:rPr>
          <w:rStyle w:val="Fett"/>
        </w:rPr>
        <w:lastRenderedPageBreak/>
        <w:t>Word-LaTeX</w:t>
      </w:r>
    </w:p>
    <w:p w:rsidR="00D44893" w:rsidRDefault="00D44893" w:rsidP="00D44893">
      <w:pPr>
        <w:pStyle w:val="HTMLVorformatiert"/>
        <w:rPr>
          <w:rStyle w:val="HTMLCode"/>
        </w:rPr>
      </w:pPr>
      <w:r>
        <w:rPr>
          <w:rStyle w:val="HTMLCode"/>
        </w:rPr>
        <w:t>\Omega_F=\mathcal C_1</w:t>
      </w:r>
    </w:p>
    <w:p w:rsidR="00D44893" w:rsidRDefault="00D44893" w:rsidP="00D44893">
      <w:pPr>
        <w:pStyle w:val="StandardWeb"/>
      </w:pPr>
      <w:r>
        <w:t>dann ist jede funktionale Invariante auf ganz (\Omega_F) konstant.</w:t>
      </w:r>
    </w:p>
    <w:p w:rsidR="00D44893" w:rsidRDefault="00D44893" w:rsidP="00D44893">
      <w:pPr>
        <w:pStyle w:val="StandardWeb"/>
      </w:pPr>
      <w:r>
        <w:t>Somit gilt</w:t>
      </w:r>
    </w:p>
    <w:p w:rsidR="00D44893" w:rsidRDefault="00D44893" w:rsidP="00D44893">
      <w:pPr>
        <w:pStyle w:val="StandardWeb"/>
      </w:pPr>
      <w:r>
        <w:t>[</w:t>
      </w:r>
      <w:r>
        <w:br/>
        <w:t>\boxed{</w:t>
      </w:r>
      <w:r>
        <w:br/>
        <w:t>|{\mathcal C_\alpha}|=1</w:t>
      </w:r>
      <w:r>
        <w:br/>
        <w:t>\Rightarrow</w:t>
      </w:r>
      <w:r>
        <w:br/>
        <w:t>\mathcal I_F^\ast(\mathcal M)=\varnothing.</w:t>
      </w:r>
      <w:r>
        <w:br/>
        <w:t>}</w:t>
      </w:r>
      <w:r>
        <w:br/>
        <w:t>\tag{3.10176}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\boxed{|\{\mathcal C_\alpha\}|=1\Rightarrow\mathcal I_F^\ast(\mathcal M)=\varnothing.}</w:t>
      </w:r>
    </w:p>
    <w:p w:rsidR="00D44893" w:rsidRDefault="00D44893" w:rsidP="00D44893">
      <w:pPr>
        <w:pStyle w:val="StandardWeb"/>
      </w:pPr>
      <w:r>
        <w:t>Damit wird das zuvor verwendete Zweizustandsgegenmodell verallgemeinert.</w:t>
      </w:r>
    </w:p>
    <w:p w:rsidR="00D44893" w:rsidRDefault="00E50336" w:rsidP="00D44893">
      <w:r>
        <w:pict>
          <v:rect id="_x0000_i3152" style="width:0;height:1.5pt" o:hralign="center" o:hrstd="t" o:hr="t" fillcolor="#a0a0a0" stroked="f"/>
        </w:pict>
      </w:r>
    </w:p>
    <w:p w:rsidR="00D44893" w:rsidRDefault="00D44893" w:rsidP="00D44893">
      <w:pPr>
        <w:pStyle w:val="berschrift1"/>
      </w:pPr>
      <w:r>
        <w:t>3.3.45.52 Mehrere Komponenten erlauben nichttriviale Invarianten</w:t>
      </w:r>
    </w:p>
    <w:p w:rsidR="00D44893" w:rsidRDefault="00D44893" w:rsidP="00D44893">
      <w:pPr>
        <w:pStyle w:val="StandardWeb"/>
      </w:pPr>
      <w:r>
        <w:t>Existieren dagegen mindestens zwei funktionale Erreichbarkeitskomponenten</w:t>
      </w:r>
    </w:p>
    <w:p w:rsidR="00D44893" w:rsidRDefault="00D44893" w:rsidP="00D44893">
      <w:pPr>
        <w:pStyle w:val="StandardWeb"/>
      </w:pPr>
      <w:r>
        <w:t>[</w:t>
      </w:r>
      <w:r>
        <w:br/>
        <w:t>\mathcal C_\alpha</w:t>
      </w:r>
      <w:r>
        <w:br/>
        <w:t>\neq</w:t>
      </w:r>
      <w:r>
        <w:br/>
        <w:t>\mathcal C_\beta,</w:t>
      </w:r>
      <w:r>
        <w:br/>
        <w:t>\tag{3.10177}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C_\alpha\neq\mathcal C_\beta</w:t>
      </w:r>
    </w:p>
    <w:p w:rsidR="00D44893" w:rsidRDefault="00D44893" w:rsidP="00D44893">
      <w:pPr>
        <w:pStyle w:val="StandardWeb"/>
      </w:pPr>
      <w:r>
        <w:t>kann eine Funktion konstruiert werden mit</w:t>
      </w:r>
    </w:p>
    <w:p w:rsidR="00D44893" w:rsidRDefault="00D44893" w:rsidP="00D44893">
      <w:pPr>
        <w:pStyle w:val="StandardWeb"/>
      </w:pPr>
      <w:r>
        <w:t>[</w:t>
      </w:r>
      <w:r>
        <w:br/>
        <w:t>I_F(z)=a</w:t>
      </w:r>
      <w:r>
        <w:br/>
        <w:t>\qquad</w:t>
      </w:r>
      <w:r>
        <w:br/>
        <w:t>z\in\mathcal C_\alpha</w:t>
      </w:r>
      <w:r>
        <w:br/>
        <w:t>\tag{3.10178}</w:t>
      </w:r>
      <w:r>
        <w:br/>
        <w:t>]</w:t>
      </w:r>
    </w:p>
    <w:p w:rsidR="00D44893" w:rsidRDefault="00D44893" w:rsidP="00D44893">
      <w:pPr>
        <w:pStyle w:val="StandardWeb"/>
      </w:pPr>
      <w:r>
        <w:rPr>
          <w:rStyle w:val="Fett"/>
        </w:rPr>
        <w:lastRenderedPageBreak/>
        <w:t>Word-LaTeX</w:t>
      </w:r>
    </w:p>
    <w:p w:rsidR="00D44893" w:rsidRDefault="00D44893" w:rsidP="00D44893">
      <w:pPr>
        <w:pStyle w:val="HTMLVorformatiert"/>
        <w:rPr>
          <w:rStyle w:val="HTMLCode"/>
        </w:rPr>
      </w:pPr>
      <w:r>
        <w:rPr>
          <w:rStyle w:val="HTMLCode"/>
        </w:rPr>
        <w:t>I_F(z)=a\qquad z\in\mathcal C_\alpha</w:t>
      </w:r>
    </w:p>
    <w:p w:rsidR="00D44893" w:rsidRDefault="00D44893" w:rsidP="00D44893">
      <w:pPr>
        <w:pStyle w:val="StandardWeb"/>
      </w:pPr>
      <w:r>
        <w:t>und</w:t>
      </w:r>
    </w:p>
    <w:p w:rsidR="00D44893" w:rsidRDefault="00D44893" w:rsidP="00D44893">
      <w:pPr>
        <w:pStyle w:val="StandardWeb"/>
      </w:pPr>
      <w:r>
        <w:t>[</w:t>
      </w:r>
      <w:r>
        <w:br/>
        <w:t>I_F(z)=b</w:t>
      </w:r>
      <w:r>
        <w:br/>
        <w:t>\qquad</w:t>
      </w:r>
      <w:r>
        <w:br/>
        <w:t>z\in\mathcal C_\beta,</w:t>
      </w:r>
      <w:r>
        <w:br/>
        <w:t>\qquad</w:t>
      </w:r>
      <w:r>
        <w:br/>
        <w:t>a\neq b.</w:t>
      </w:r>
      <w:r>
        <w:br/>
        <w:t>\tag{3.10179}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I_F(z)=b\qquad z\in\mathcal C_\beta,\qquad a\neq b</w:t>
      </w:r>
    </w:p>
    <w:p w:rsidR="00D44893" w:rsidRDefault="00D44893" w:rsidP="00D44893">
      <w:pPr>
        <w:pStyle w:val="StandardWeb"/>
      </w:pPr>
      <w:r>
        <w:t>Sofern keine Übergänge zwischen diesen Komponenten die Invarianzbedingung verletzen, ist (I_F) nichttrivial.</w:t>
      </w:r>
    </w:p>
    <w:p w:rsidR="00D44893" w:rsidRDefault="00E50336" w:rsidP="00D44893">
      <w:r>
        <w:pict>
          <v:rect id="_x0000_i3153" style="width:0;height:1.5pt" o:hralign="center" o:hrstd="t" o:hr="t" fillcolor="#a0a0a0" stroked="f"/>
        </w:pict>
      </w:r>
    </w:p>
    <w:p w:rsidR="00D44893" w:rsidRDefault="00D44893" w:rsidP="00D44893">
      <w:pPr>
        <w:pStyle w:val="berschrift1"/>
      </w:pPr>
      <w:r>
        <w:t>3.3.45.53 Quotientenraum der Erreichbarkeitskomponenten</w:t>
      </w:r>
    </w:p>
    <w:p w:rsidR="00D44893" w:rsidRDefault="00D44893" w:rsidP="00D44893">
      <w:pPr>
        <w:pStyle w:val="StandardWeb"/>
      </w:pPr>
      <w:r>
        <w:t>Die Menge der Erreichbarkeitskomponenten kann als Quotientenmenge geschrieben werden:</w:t>
      </w:r>
    </w:p>
    <w:p w:rsidR="00D44893" w:rsidRDefault="00D44893" w:rsidP="00D44893">
      <w:pPr>
        <w:pStyle w:val="StandardWeb"/>
      </w:pPr>
      <w:r>
        <w:t>[</w:t>
      </w:r>
      <w:r>
        <w:br/>
        <w:t>\Omega_F/{\leftrightsquigarrow_F}.</w:t>
      </w:r>
      <w:r>
        <w:br/>
        <w:t>\tag{3.10180}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\Omega_F/{\leftrightsquigarrow_F}</w:t>
      </w:r>
    </w:p>
    <w:p w:rsidR="00D44893" w:rsidRDefault="00D44893" w:rsidP="00D44893">
      <w:pPr>
        <w:pStyle w:val="StandardWeb"/>
      </w:pPr>
      <w:r>
        <w:t>Jede globale funktionale Invariante ist auf jeder Klasse konstant und kann daher auf Komponentenebene beschrieben werden.</w:t>
      </w:r>
    </w:p>
    <w:p w:rsidR="00D44893" w:rsidRDefault="00E50336" w:rsidP="00D44893">
      <w:r>
        <w:pict>
          <v:rect id="_x0000_i3154" style="width:0;height:1.5pt" o:hralign="center" o:hrstd="t" o:hr="t" fillcolor="#a0a0a0" stroked="f"/>
        </w:pict>
      </w:r>
    </w:p>
    <w:p w:rsidR="00D44893" w:rsidRDefault="00D44893" w:rsidP="00D44893">
      <w:pPr>
        <w:pStyle w:val="berschrift1"/>
      </w:pPr>
      <w:r>
        <w:t>3.3.45.54 Faktorisierung funktionaler Invarianten</w:t>
      </w:r>
    </w:p>
    <w:p w:rsidR="00D44893" w:rsidRDefault="00D44893" w:rsidP="00D44893">
      <w:pPr>
        <w:pStyle w:val="StandardWeb"/>
      </w:pPr>
      <w:r>
        <w:t>Es existiert somit eine Abbildung</w:t>
      </w:r>
    </w:p>
    <w:p w:rsidR="00D44893" w:rsidRDefault="00D44893" w:rsidP="00D44893">
      <w:pPr>
        <w:pStyle w:val="StandardWeb"/>
      </w:pPr>
      <w:r>
        <w:t>[</w:t>
      </w:r>
      <w:r>
        <w:br/>
        <w:t>\bar I_F:</w:t>
      </w:r>
      <w:r>
        <w:br/>
        <w:t>\Omega_F/{\leftrightsquigarrow_F}</w:t>
      </w:r>
      <w:r>
        <w:br/>
      </w:r>
      <w:r>
        <w:lastRenderedPageBreak/>
        <w:t>\rightarrow</w:t>
      </w:r>
      <w:r>
        <w:br/>
        <w:t>\mathcal V</w:t>
      </w:r>
      <w:r>
        <w:br/>
        <w:t>\tag{3.10181}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\bar I_F:\Omega_F/{\leftrightsquigarrow_F}\rightarrow\mathcal V</w:t>
      </w:r>
    </w:p>
    <w:p w:rsidR="00D44893" w:rsidRDefault="00D44893" w:rsidP="00D44893">
      <w:pPr>
        <w:pStyle w:val="StandardWeb"/>
      </w:pPr>
      <w:r>
        <w:t>mit</w:t>
      </w:r>
    </w:p>
    <w:p w:rsidR="00D44893" w:rsidRDefault="00D44893" w:rsidP="00D44893">
      <w:pPr>
        <w:pStyle w:val="berschrift1"/>
      </w:pPr>
      <w:r>
        <w:t>[</w:t>
      </w:r>
      <w:r>
        <w:br/>
        <w:t>I_F</w:t>
      </w:r>
    </w:p>
    <w:p w:rsidR="00D44893" w:rsidRDefault="00D44893" w:rsidP="00D44893">
      <w:pPr>
        <w:pStyle w:val="StandardWeb"/>
      </w:pPr>
      <w:r>
        <w:t>\bar I_F\circ\pi_F,</w:t>
      </w:r>
      <w:r>
        <w:br/>
        <w:t>\tag{3.10182}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I_F=\bar I_F\circ\pi_F</w:t>
      </w:r>
    </w:p>
    <w:p w:rsidR="00D44893" w:rsidRDefault="00D44893" w:rsidP="00D44893">
      <w:pPr>
        <w:pStyle w:val="StandardWeb"/>
      </w:pPr>
      <w:r>
        <w:t>wobei</w:t>
      </w:r>
    </w:p>
    <w:p w:rsidR="00D44893" w:rsidRDefault="00D44893" w:rsidP="00D44893">
      <w:pPr>
        <w:pStyle w:val="StandardWeb"/>
      </w:pPr>
      <w:r>
        <w:t>[</w:t>
      </w:r>
      <w:r>
        <w:br/>
        <w:t>\pi_F:</w:t>
      </w:r>
      <w:r>
        <w:br/>
        <w:t>\Omega_F</w:t>
      </w:r>
      <w:r>
        <w:br/>
        <w:t>\rightarrow</w:t>
      </w:r>
      <w:r>
        <w:br/>
        <w:t>\Omega_F/{\leftrightsquigarrow_F}</w:t>
      </w:r>
      <w:r>
        <w:br/>
        <w:t>\tag{3.10183}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\pi_F:\Omega_F\rightarrow\Omega_F/{\leftrightsquigarrow_F}</w:t>
      </w:r>
    </w:p>
    <w:p w:rsidR="00D44893" w:rsidRDefault="00D44893" w:rsidP="00D44893">
      <w:pPr>
        <w:pStyle w:val="StandardWeb"/>
      </w:pPr>
      <w:r>
        <w:t>die kanonische Projektion bezeichnet.</w:t>
      </w:r>
    </w:p>
    <w:p w:rsidR="00D44893" w:rsidRDefault="00E50336" w:rsidP="00D44893">
      <w:r>
        <w:pict>
          <v:rect id="_x0000_i3155" style="width:0;height:1.5pt" o:hralign="center" o:hrstd="t" o:hr="t" fillcolor="#a0a0a0" stroked="f"/>
        </w:pict>
      </w:r>
    </w:p>
    <w:p w:rsidR="00D44893" w:rsidRDefault="00D44893" w:rsidP="00D44893">
      <w:pPr>
        <w:pStyle w:val="berschrift1"/>
      </w:pPr>
      <w:r>
        <w:t>3.3.45.55 Satz 3.3.39 – Faktorisierung über Erreichbarkeitskomponenten</w:t>
      </w:r>
    </w:p>
    <w:p w:rsidR="00D44893" w:rsidRDefault="00D44893" w:rsidP="00D44893">
      <w:pPr>
        <w:pStyle w:val="berschrift3"/>
      </w:pPr>
      <w:r>
        <w:t>Satz 3.3.39</w:t>
      </w:r>
    </w:p>
    <w:p w:rsidR="00D44893" w:rsidRDefault="00D44893" w:rsidP="00D44893">
      <w:pPr>
        <w:pStyle w:val="StandardWeb"/>
      </w:pPr>
      <w:r>
        <w:t>Jede globale funktionale Invariante (I_F) faktorisiert über die Quotientenabbildung der gegenseitigen Erreichbarkeit:</w:t>
      </w:r>
    </w:p>
    <w:p w:rsidR="00D44893" w:rsidRDefault="00D44893" w:rsidP="00D44893">
      <w:pPr>
        <w:pStyle w:val="berschrift1"/>
      </w:pPr>
      <w:r>
        <w:lastRenderedPageBreak/>
        <w:t>[</w:t>
      </w:r>
      <w:r>
        <w:br/>
        <w:t>\boxed{</w:t>
      </w:r>
      <w:r>
        <w:br/>
        <w:t>I_F</w:t>
      </w:r>
    </w:p>
    <w:p w:rsidR="00D44893" w:rsidRDefault="00D44893" w:rsidP="00D44893">
      <w:pPr>
        <w:pStyle w:val="StandardWeb"/>
      </w:pPr>
      <w:r>
        <w:t>\bar I_F\circ\pi_F.</w:t>
      </w:r>
      <w:r>
        <w:br/>
        <w:t>}</w:t>
      </w:r>
      <w:r>
        <w:br/>
        <w:t>\tag{3.10184}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\boxed{I_F=\bar I_F\circ\pi_F.}</w:t>
      </w:r>
    </w:p>
    <w:p w:rsidR="00D44893" w:rsidRDefault="00D44893" w:rsidP="00D44893">
      <w:pPr>
        <w:pStyle w:val="berschrift3"/>
      </w:pPr>
      <w:r>
        <w:t>Beweis</w:t>
      </w:r>
    </w:p>
    <w:p w:rsidR="00D44893" w:rsidRDefault="00D44893" w:rsidP="00D44893">
      <w:pPr>
        <w:pStyle w:val="StandardWeb"/>
      </w:pPr>
      <w:r>
        <w:t>Nach Satz 3.3.38 besitzt (I_F) auf jeder Äquivalenzklasse ([z]_F) einen eindeutigen konstanten Wert. Deshalb kann ich definieren</w:t>
      </w:r>
    </w:p>
    <w:p w:rsidR="00D44893" w:rsidRDefault="00D44893" w:rsidP="00D44893">
      <w:pPr>
        <w:pStyle w:val="berschrift1"/>
      </w:pPr>
      <w:r>
        <w:t>[</w:t>
      </w:r>
      <w:r>
        <w:br/>
        <w:t>\bar I_F([z]_F)</w:t>
      </w:r>
    </w:p>
    <w:p w:rsidR="00D44893" w:rsidRDefault="00D44893" w:rsidP="00D44893">
      <w:pPr>
        <w:pStyle w:val="StandardWeb"/>
      </w:pPr>
      <w:r>
        <w:t>I_F(z).</w:t>
      </w:r>
      <w:r>
        <w:br/>
        <w:t>\tag{3.10185}</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\bar I_F([z]_F)=I_F(z)</w:t>
      </w:r>
    </w:p>
    <w:p w:rsidR="00D44893" w:rsidRDefault="00D44893" w:rsidP="00D44893">
      <w:pPr>
        <w:pStyle w:val="StandardWeb"/>
      </w:pPr>
      <w:r>
        <w:t>Diese Definition ist wohldefiniert, weil für zwei Repräsentanten derselben Klasse</w:t>
      </w:r>
    </w:p>
    <w:p w:rsidR="00D44893" w:rsidRDefault="00D44893" w:rsidP="00D44893">
      <w:pPr>
        <w:pStyle w:val="StandardWeb"/>
      </w:pPr>
      <w:r>
        <w:t>[</w:t>
      </w:r>
      <w:r>
        <w:br/>
        <w:t>[z_a]_F=[z_b]_F</w:t>
      </w:r>
      <w:r>
        <w:br/>
        <w:t>\tag{3.10186}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[z_a]_F=[z_b]_F</w:t>
      </w:r>
    </w:p>
    <w:p w:rsidR="00D44893" w:rsidRDefault="00D44893" w:rsidP="00D44893">
      <w:pPr>
        <w:pStyle w:val="StandardWeb"/>
      </w:pPr>
      <w:r>
        <w:t>nach Satz 3.3.38 gilt</w:t>
      </w:r>
    </w:p>
    <w:p w:rsidR="00D44893" w:rsidRDefault="00D44893" w:rsidP="00D44893">
      <w:pPr>
        <w:pStyle w:val="StandardWeb"/>
      </w:pPr>
      <w:r>
        <w:t>[</w:t>
      </w:r>
      <w:r>
        <w:br/>
        <w:t>I_F(z_a)=I_F(z_b).</w:t>
      </w:r>
      <w:r>
        <w:br/>
        <w:t>\tag{3.10187}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lastRenderedPageBreak/>
        <w:t>I_F(z_a)=I_F(z_b)</w:t>
      </w:r>
    </w:p>
    <w:p w:rsidR="00D44893" w:rsidRDefault="00D44893" w:rsidP="00D44893">
      <w:pPr>
        <w:pStyle w:val="StandardWeb"/>
      </w:pPr>
      <w:r>
        <w:t>Damit gilt für jedes (z\in\Omega_F)</w:t>
      </w:r>
    </w:p>
    <w:p w:rsidR="00D44893" w:rsidRDefault="00D44893" w:rsidP="00D44893">
      <w:pPr>
        <w:pStyle w:val="berschrift1"/>
      </w:pPr>
      <w:r>
        <w:t>[</w:t>
      </w:r>
      <w:r>
        <w:br/>
        <w:t>(\bar I_F\circ\pi_F)(z)</w:t>
      </w:r>
    </w:p>
    <w:p w:rsidR="00D44893" w:rsidRDefault="00D44893" w:rsidP="00D44893">
      <w:pPr>
        <w:pStyle w:val="berschrift1"/>
      </w:pPr>
      <w:r>
        <w:t>\bar I_F([z]_F)</w:t>
      </w:r>
    </w:p>
    <w:p w:rsidR="00D44893" w:rsidRDefault="00D44893" w:rsidP="00D44893">
      <w:pPr>
        <w:pStyle w:val="StandardWeb"/>
      </w:pPr>
      <w:r>
        <w:t>I_F(z).</w:t>
      </w:r>
      <w:r>
        <w:br/>
        <w:t>\tag{3.10188}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(\bar I_F\circ\pi_F)(z)=\bar I_F([z]_F)=I_F(z)</w:t>
      </w:r>
    </w:p>
    <w:p w:rsidR="00D44893" w:rsidRDefault="00D44893" w:rsidP="00D44893">
      <w:pPr>
        <w:pStyle w:val="StandardWeb"/>
      </w:pPr>
      <w:r>
        <w:t>Also folgt die Behauptung. (\square)</w:t>
      </w:r>
    </w:p>
    <w:p w:rsidR="00D44893" w:rsidRDefault="00E50336" w:rsidP="00D44893">
      <w:r>
        <w:pict>
          <v:rect id="_x0000_i3156" style="width:0;height:1.5pt" o:hralign="center" o:hrstd="t" o:hr="t" fillcolor="#a0a0a0" stroked="f"/>
        </w:pict>
      </w:r>
    </w:p>
    <w:p w:rsidR="00D44893" w:rsidRDefault="00D44893" w:rsidP="00D44893">
      <w:pPr>
        <w:pStyle w:val="berschrift1"/>
      </w:pPr>
      <w:r>
        <w:t>3.3.45.56 Bedeutung der Faktorisierung</w:t>
      </w:r>
    </w:p>
    <w:p w:rsidR="00D44893" w:rsidRDefault="00D44893" w:rsidP="00D44893">
      <w:pPr>
        <w:pStyle w:val="StandardWeb"/>
      </w:pPr>
      <w:r>
        <w:t>Die Faktorisierung zeigt, dass globale funktionale Invarianten keine Detailinformation innerhalb einer gegenseitig erreichbaren Komponente unterscheiden können.</w:t>
      </w:r>
    </w:p>
    <w:p w:rsidR="00D44893" w:rsidRDefault="00D44893" w:rsidP="00D44893">
      <w:pPr>
        <w:pStyle w:val="StandardWeb"/>
      </w:pPr>
      <w:r>
        <w:t>Formal gilt</w:t>
      </w:r>
    </w:p>
    <w:p w:rsidR="00D44893" w:rsidRDefault="00D44893" w:rsidP="00D44893">
      <w:pPr>
        <w:pStyle w:val="StandardWeb"/>
      </w:pPr>
      <w:r>
        <w:t>[</w:t>
      </w:r>
      <w:r>
        <w:br/>
        <w:t>z_a\leftrightsquigarrow_F z_b</w:t>
      </w:r>
      <w:r>
        <w:br/>
        <w:t>\Rightarrow</w:t>
      </w:r>
      <w:r>
        <w:br/>
        <w:t>I_F(z_a)=I_F(z_b).</w:t>
      </w:r>
      <w:r>
        <w:br/>
        <w:t>\tag{3.10189}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z_a\leftrightsquigarrow_F z_b\Rightarrow I_F(z_a)=I_F(z_b)</w:t>
      </w:r>
    </w:p>
    <w:p w:rsidR="00D44893" w:rsidRDefault="00D44893" w:rsidP="00D44893">
      <w:pPr>
        <w:pStyle w:val="StandardWeb"/>
      </w:pPr>
      <w:r>
        <w:t>Eine globale Invariante kann daher höchstens zwischen verschiedenen Erreichbarkeitskomponenten unterscheiden.</w:t>
      </w:r>
    </w:p>
    <w:p w:rsidR="00D44893" w:rsidRDefault="00E50336" w:rsidP="00D44893">
      <w:r>
        <w:pict>
          <v:rect id="_x0000_i3157" style="width:0;height:1.5pt" o:hralign="center" o:hrstd="t" o:hr="t" fillcolor="#a0a0a0" stroked="f"/>
        </w:pict>
      </w:r>
    </w:p>
    <w:p w:rsidR="00D44893" w:rsidRDefault="00D44893" w:rsidP="00D44893">
      <w:pPr>
        <w:pStyle w:val="berschrift1"/>
      </w:pPr>
      <w:r>
        <w:t>3.3.45.57 Struktur der nichttrivialen Invarianz</w:t>
      </w:r>
    </w:p>
    <w:p w:rsidR="00D44893" w:rsidRDefault="00D44893" w:rsidP="00D44893">
      <w:pPr>
        <w:pStyle w:val="StandardWeb"/>
      </w:pPr>
      <w:r>
        <w:t>Damit wird auch die Bedingung für eine nichttriviale globale Invariante präziser.</w:t>
      </w:r>
    </w:p>
    <w:p w:rsidR="00D44893" w:rsidRDefault="00D44893" w:rsidP="00D44893">
      <w:pPr>
        <w:pStyle w:val="StandardWeb"/>
      </w:pPr>
      <w:r>
        <w:t>Mindestens notwendig ist, dass der Quotientenraum</w:t>
      </w:r>
    </w:p>
    <w:p w:rsidR="00D44893" w:rsidRDefault="00D44893" w:rsidP="00D44893">
      <w:pPr>
        <w:pStyle w:val="StandardWeb"/>
      </w:pPr>
      <w:r>
        <w:lastRenderedPageBreak/>
        <w:t>[</w:t>
      </w:r>
      <w:r>
        <w:br/>
        <w:t>\Omega_F/{\leftrightsquigarrow_F}</w:t>
      </w:r>
      <w:r>
        <w:br/>
        <w:t>\tag{3.10190}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\Omega_F/{\leftrightsquigarrow_F}</w:t>
      </w:r>
    </w:p>
    <w:p w:rsidR="00D44893" w:rsidRDefault="00D44893" w:rsidP="00D44893">
      <w:pPr>
        <w:pStyle w:val="StandardWeb"/>
      </w:pPr>
      <w:r>
        <w:t>mehr als ein unterscheidbares Element besitzt:</w:t>
      </w:r>
    </w:p>
    <w:p w:rsidR="00D44893" w:rsidRDefault="00D44893" w:rsidP="00D44893">
      <w:pPr>
        <w:pStyle w:val="StandardWeb"/>
      </w:pPr>
      <w:r>
        <w:t>[</w:t>
      </w:r>
      <w:r>
        <w:br/>
        <w:t>\left|</w:t>
      </w:r>
      <w:r>
        <w:br/>
        <w:t>\Omega_F/{\leftrightsquigarrow_F}</w:t>
      </w:r>
      <w:r>
        <w:br/>
        <w:t>\right|</w:t>
      </w:r>
      <w:r>
        <w:br/>
        <w:t>\geq2.</w:t>
      </w:r>
      <w:r>
        <w:br/>
        <w:t>\tag{3.10191}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\left|\Omega_F/{\leftrightsquigarrow_F}\right|\geq2</w:t>
      </w:r>
    </w:p>
    <w:p w:rsidR="00D44893" w:rsidRDefault="00E50336" w:rsidP="00D44893">
      <w:r>
        <w:pict>
          <v:rect id="_x0000_i3158" style="width:0;height:1.5pt" o:hralign="center" o:hrstd="t" o:hr="t" fillcolor="#a0a0a0" stroked="f"/>
        </w:pict>
      </w:r>
    </w:p>
    <w:p w:rsidR="00D44893" w:rsidRDefault="00D44893" w:rsidP="00D44893">
      <w:pPr>
        <w:pStyle w:val="berschrift1"/>
      </w:pPr>
      <w:r>
        <w:t>3.3.45.58 Notwendige Bedingung für nichttriviale globale Invarianz</w:t>
      </w:r>
    </w:p>
    <w:p w:rsidR="00D44893" w:rsidRDefault="00D44893" w:rsidP="00D44893">
      <w:pPr>
        <w:pStyle w:val="StandardWeb"/>
      </w:pPr>
      <w:r>
        <w:t>Damit gilt</w:t>
      </w:r>
    </w:p>
    <w:p w:rsidR="00D44893" w:rsidRDefault="00D44893" w:rsidP="00D44893">
      <w:pPr>
        <w:pStyle w:val="StandardWeb"/>
      </w:pPr>
      <w:r>
        <w:t>[</w:t>
      </w:r>
      <w:r>
        <w:br/>
        <w:t>\boxed{</w:t>
      </w:r>
      <w:r>
        <w:br/>
        <w:t>\mathcal I_F^\ast(\mathcal M)\neq\varnothing</w:t>
      </w:r>
      <w:r>
        <w:br/>
        <w:t>\Rightarrow</w:t>
      </w:r>
      <w:r>
        <w:br/>
        <w:t>\left|</w:t>
      </w:r>
      <w:r>
        <w:br/>
        <w:t>\Omega_F/{\leftrightsquigarrow_F}</w:t>
      </w:r>
      <w:r>
        <w:br/>
        <w:t>\right|</w:t>
      </w:r>
      <w:r>
        <w:br/>
        <w:t>\geq2.</w:t>
      </w:r>
      <w:r>
        <w:br/>
        <w:t>}</w:t>
      </w:r>
      <w:r>
        <w:br/>
        <w:t>\tag{3.10192}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\boxed{\mathcal I_F^\ast(\mathcal M)\neq\varnothing\Rightarrow\left|\Omega_F/{\leftrightsquigarrow_F}\right|\geq2.}</w:t>
      </w:r>
    </w:p>
    <w:p w:rsidR="00D44893" w:rsidRDefault="00D44893" w:rsidP="00D44893">
      <w:pPr>
        <w:pStyle w:val="StandardWeb"/>
      </w:pPr>
      <w:r>
        <w:t>Diese Aussage betrifft die hier definierte globale Invarianz gegenüber sämtlichen Übergängen.</w:t>
      </w:r>
    </w:p>
    <w:p w:rsidR="00D44893" w:rsidRDefault="00E50336" w:rsidP="00D44893">
      <w:r>
        <w:lastRenderedPageBreak/>
        <w:pict>
          <v:rect id="_x0000_i3159" style="width:0;height:1.5pt" o:hralign="center" o:hrstd="t" o:hr="t" fillcolor="#a0a0a0" stroked="f"/>
        </w:pict>
      </w:r>
    </w:p>
    <w:p w:rsidR="00D44893" w:rsidRDefault="00D44893" w:rsidP="00D44893">
      <w:pPr>
        <w:pStyle w:val="berschrift1"/>
      </w:pPr>
      <w:r>
        <w:t>3.3.45.59 Hinreichende Bedingung unter freier Wertewahl</w:t>
      </w:r>
    </w:p>
    <w:p w:rsidR="00D44893" w:rsidRDefault="00D44893" w:rsidP="00D44893">
      <w:pPr>
        <w:pStyle w:val="StandardWeb"/>
      </w:pPr>
      <w:r>
        <w:t>Sind mindestens zwei Komponenten vorhanden und darf die Zielmenge (\mathcal V) mindestens zwei verschiedene Werte enthalten,</w:t>
      </w:r>
    </w:p>
    <w:p w:rsidR="00D44893" w:rsidRDefault="00D44893" w:rsidP="00D44893">
      <w:pPr>
        <w:pStyle w:val="StandardWeb"/>
      </w:pPr>
      <w:r>
        <w:t>[</w:t>
      </w:r>
      <w:r>
        <w:br/>
        <w:t>|\mathcal V|\geq2,</w:t>
      </w:r>
      <w:r>
        <w:br/>
        <w:t>\tag{3.10193}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V|\geq2</w:t>
      </w:r>
    </w:p>
    <w:p w:rsidR="00D44893" w:rsidRDefault="00D44893" w:rsidP="00D44893">
      <w:pPr>
        <w:pStyle w:val="StandardWeb"/>
      </w:pPr>
      <w:r>
        <w:t>kann eine nichttriviale Invariante komponentenweise konstruiert werden.</w:t>
      </w:r>
    </w:p>
    <w:p w:rsidR="00D44893" w:rsidRDefault="00D44893" w:rsidP="00D44893">
      <w:pPr>
        <w:pStyle w:val="StandardWeb"/>
      </w:pPr>
      <w:r>
        <w:t>Damit gilt unter diesen Bedingungen</w:t>
      </w:r>
    </w:p>
    <w:p w:rsidR="00D44893" w:rsidRDefault="00D44893" w:rsidP="00D44893">
      <w:pPr>
        <w:pStyle w:val="StandardWeb"/>
      </w:pPr>
      <w:r>
        <w:t>[</w:t>
      </w:r>
      <w:r>
        <w:br/>
        <w:t>\left|</w:t>
      </w:r>
      <w:r>
        <w:br/>
        <w:t>\Omega_F/{\leftrightsquigarrow_F}</w:t>
      </w:r>
      <w:r>
        <w:br/>
        <w:t>\right|</w:t>
      </w:r>
      <w:r>
        <w:br/>
        <w:t>\geq2</w:t>
      </w:r>
      <w:r>
        <w:br/>
        <w:t>\Rightarrow</w:t>
      </w:r>
      <w:r>
        <w:br/>
        <w:t>\mathcal I_F^\ast(\mathcal M)\neq\varnothing.</w:t>
      </w:r>
      <w:r>
        <w:br/>
        <w:t>\tag{3.10194}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\left|\Omega_F/{\leftrightsquigarrow_F}\right|\geq2\Rightarrow\mathcal I_F^\ast(\mathcal M)\neq\varnothing</w:t>
      </w:r>
    </w:p>
    <w:p w:rsidR="00D44893" w:rsidRDefault="00E50336" w:rsidP="00D44893">
      <w:r>
        <w:pict>
          <v:rect id="_x0000_i3160" style="width:0;height:1.5pt" o:hralign="center" o:hrstd="t" o:hr="t" fillcolor="#a0a0a0" stroked="f"/>
        </w:pict>
      </w:r>
    </w:p>
    <w:p w:rsidR="00D44893" w:rsidRDefault="00D44893" w:rsidP="00D44893">
      <w:pPr>
        <w:pStyle w:val="berschrift1"/>
      </w:pPr>
      <w:r>
        <w:t>3.3.45.60 Satz 3.3.40 – Existenz nichttrivialer komponentenweiser Invarianten</w:t>
      </w:r>
    </w:p>
    <w:p w:rsidR="00D44893" w:rsidRDefault="00D44893" w:rsidP="00D44893">
      <w:pPr>
        <w:pStyle w:val="berschrift3"/>
      </w:pPr>
      <w:r>
        <w:t>Satz 3.3.40</w:t>
      </w:r>
    </w:p>
    <w:p w:rsidR="00D44893" w:rsidRDefault="00D44893" w:rsidP="00D44893">
      <w:pPr>
        <w:pStyle w:val="StandardWeb"/>
      </w:pPr>
      <w:r>
        <w:t>Sei</w:t>
      </w:r>
    </w:p>
    <w:p w:rsidR="00D44893" w:rsidRDefault="00D44893" w:rsidP="00D44893">
      <w:pPr>
        <w:pStyle w:val="StandardWeb"/>
      </w:pPr>
      <w:r>
        <w:t>[</w:t>
      </w:r>
      <w:r>
        <w:br/>
        <w:t>\left|</w:t>
      </w:r>
      <w:r>
        <w:br/>
        <w:t>\Omega_F/{\leftrightsquigarrow_F}</w:t>
      </w:r>
      <w:r>
        <w:br/>
        <w:t>\right|</w:t>
      </w:r>
      <w:r>
        <w:br/>
        <w:t>\geq2</w:t>
      </w:r>
      <w:r>
        <w:br/>
      </w:r>
      <w:r>
        <w:lastRenderedPageBreak/>
        <w:t>\tag{3.10195}</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\left|\Omega_F/{\leftrightsquigarrow_F}\right|\geq2</w:t>
      </w:r>
    </w:p>
    <w:p w:rsidR="00D44893" w:rsidRDefault="00D44893" w:rsidP="00D44893">
      <w:pPr>
        <w:pStyle w:val="StandardWeb"/>
      </w:pPr>
      <w:r>
        <w:t>und</w:t>
      </w:r>
    </w:p>
    <w:p w:rsidR="00D44893" w:rsidRDefault="00D44893" w:rsidP="00D44893">
      <w:pPr>
        <w:pStyle w:val="StandardWeb"/>
      </w:pPr>
      <w:r>
        <w:t>[</w:t>
      </w:r>
      <w:r>
        <w:br/>
        <w:t>|\mathcal V|\geq2.</w:t>
      </w:r>
      <w:r>
        <w:br/>
        <w:t>\tag{3.10196}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V|\geq2</w:t>
      </w:r>
    </w:p>
    <w:p w:rsidR="00D44893" w:rsidRDefault="00D44893" w:rsidP="00D44893">
      <w:pPr>
        <w:pStyle w:val="StandardWeb"/>
      </w:pPr>
      <w:r>
        <w:t>Dann existiert mindestens eine nichttriviale Funktion, die auf jeder Erreichbarkeitskomponente konstant ist:</w:t>
      </w:r>
    </w:p>
    <w:p w:rsidR="00D44893" w:rsidRDefault="00D44893" w:rsidP="00D44893">
      <w:pPr>
        <w:pStyle w:val="berschrift1"/>
      </w:pPr>
      <w:r>
        <w:t>[</w:t>
      </w:r>
      <w:r>
        <w:br/>
        <w:t>\boxed{</w:t>
      </w:r>
      <w:r>
        <w:br/>
        <w:t>\exists I_F\not\equiv\mathrm{const}:</w:t>
      </w:r>
      <w:r>
        <w:br/>
        <w:t>I_F|</w:t>
      </w:r>
      <w:r>
        <w:rPr>
          <w:rStyle w:val="Hervorhebung"/>
        </w:rPr>
        <w:t>{\mathcal C</w:t>
      </w:r>
      <w:r>
        <w:t>\alpha}</w:t>
      </w:r>
    </w:p>
    <w:p w:rsidR="00D44893" w:rsidRDefault="00D44893" w:rsidP="00D44893">
      <w:pPr>
        <w:pStyle w:val="StandardWeb"/>
      </w:pPr>
      <w:r>
        <w:t>\mathrm{const}</w:t>
      </w:r>
      <w:r>
        <w:br/>
        <w:t>\quad</w:t>
      </w:r>
      <w:r>
        <w:br/>
        <w:t>\forall\alpha.</w:t>
      </w:r>
      <w:r>
        <w:br/>
        <w:t>}</w:t>
      </w:r>
      <w:r>
        <w:br/>
        <w:t>\tag{3.10197}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\boxed{\exists I_F\not\equiv\mathrm{const}:I_F|_{\mathcal C_\alpha}=\mathrm{const}\quad\forall\alpha.}</w:t>
      </w:r>
    </w:p>
    <w:p w:rsidR="00D44893" w:rsidRDefault="00D44893" w:rsidP="00D44893">
      <w:pPr>
        <w:pStyle w:val="StandardWeb"/>
      </w:pPr>
      <w:r>
        <w:t>Eine solche Funktion ist gegenüber Übergängen innerhalb der jeweiligen Erreichbarkeitskomponenten invariant.</w:t>
      </w:r>
    </w:p>
    <w:p w:rsidR="00D44893" w:rsidRDefault="00E50336" w:rsidP="00D44893">
      <w:r>
        <w:pict>
          <v:rect id="_x0000_i3161" style="width:0;height:1.5pt" o:hralign="center" o:hrstd="t" o:hr="t" fillcolor="#a0a0a0" stroked="f"/>
        </w:pict>
      </w:r>
    </w:p>
    <w:p w:rsidR="00D44893" w:rsidRDefault="00D44893" w:rsidP="00D44893">
      <w:pPr>
        <w:pStyle w:val="berschrift1"/>
      </w:pPr>
      <w:r>
        <w:t>3.3.45.61 Wichtige Einschränkung bei Übergängen zwischen Komponenten</w:t>
      </w:r>
    </w:p>
    <w:p w:rsidR="00D44893" w:rsidRDefault="00D44893" w:rsidP="00D44893">
      <w:pPr>
        <w:pStyle w:val="StandardWeb"/>
      </w:pPr>
      <w:r>
        <w:t>Die bisherige Komponentenbetrachtung verlangt besondere Sorgfalt.</w:t>
      </w:r>
    </w:p>
    <w:p w:rsidR="00D44893" w:rsidRDefault="00D44893" w:rsidP="00D44893">
      <w:pPr>
        <w:pStyle w:val="StandardWeb"/>
      </w:pPr>
      <w:r>
        <w:lastRenderedPageBreak/>
        <w:t>Zwei verschiedene stark zusammenhängende Komponenten können durch einen gerichteten Übergang verbunden sein:</w:t>
      </w:r>
    </w:p>
    <w:p w:rsidR="00D44893" w:rsidRDefault="00D44893" w:rsidP="00D44893">
      <w:pPr>
        <w:pStyle w:val="StandardWeb"/>
      </w:pPr>
      <w:r>
        <w:t>[</w:t>
      </w:r>
      <w:r>
        <w:br/>
        <w:t>\exists z_\alpha\in\mathcal C_\alpha,</w:t>
      </w:r>
      <w:r>
        <w:br/>
        <w:t>;</w:t>
      </w:r>
      <w:r>
        <w:br/>
        <w:t>z_\beta\in\mathcal C_\beta:</w:t>
      </w:r>
      <w:r>
        <w:br/>
        <w:t>(z_\alpha,z_\beta)\in\mathcal T_F.</w:t>
      </w:r>
      <w:r>
        <w:br/>
        <w:t>\tag{3.10198}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\exists z_\alpha\in\mathcal C_\alpha,\;z_\beta\in\mathcal C_\beta:(z_\alpha,z_\beta)\in\mathcal T_F</w:t>
      </w:r>
    </w:p>
    <w:p w:rsidR="00D44893" w:rsidRDefault="00D44893" w:rsidP="00D44893">
      <w:pPr>
        <w:pStyle w:val="StandardWeb"/>
      </w:pPr>
      <w:r>
        <w:t>Dann fordert globale Invarianz zusätzlich</w:t>
      </w:r>
    </w:p>
    <w:p w:rsidR="00D44893" w:rsidRDefault="00D44893" w:rsidP="00D44893">
      <w:pPr>
        <w:pStyle w:val="berschrift1"/>
      </w:pPr>
      <w:r>
        <w:t>[</w:t>
      </w:r>
      <w:r>
        <w:br/>
        <w:t>I_F(\mathcal C_\alpha)</w:t>
      </w:r>
    </w:p>
    <w:p w:rsidR="00D44893" w:rsidRDefault="00D44893" w:rsidP="00D44893">
      <w:pPr>
        <w:pStyle w:val="StandardWeb"/>
      </w:pPr>
      <w:r>
        <w:t>I_F(\mathcal C_\beta).</w:t>
      </w:r>
      <w:r>
        <w:br/>
        <w:t>\tag{3.10199}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I_F(\mathcal C_\alpha)=I_F(\mathcal C_\beta)</w:t>
      </w:r>
    </w:p>
    <w:p w:rsidR="00D44893" w:rsidRDefault="00D44893" w:rsidP="00D44893">
      <w:pPr>
        <w:pStyle w:val="StandardWeb"/>
      </w:pPr>
      <w:r>
        <w:t>Damit können auch verschiedene gegenseitige Erreichbarkeitskomponenten denselben Invariantenwert erhalten müssen.</w:t>
      </w:r>
    </w:p>
    <w:p w:rsidR="00D44893" w:rsidRDefault="00E50336" w:rsidP="00D44893">
      <w:r>
        <w:pict>
          <v:rect id="_x0000_i3162" style="width:0;height:1.5pt" o:hralign="center" o:hrstd="t" o:hr="t" fillcolor="#a0a0a0" stroked="f"/>
        </w:pict>
      </w:r>
    </w:p>
    <w:p w:rsidR="00D44893" w:rsidRDefault="00D44893" w:rsidP="00D44893">
      <w:pPr>
        <w:pStyle w:val="berschrift1"/>
      </w:pPr>
      <w:r>
        <w:t>3.3.45.62 Kondensationsstruktur</w:t>
      </w:r>
    </w:p>
    <w:p w:rsidR="00D44893" w:rsidRDefault="00D44893" w:rsidP="00D44893">
      <w:pPr>
        <w:pStyle w:val="StandardWeb"/>
      </w:pPr>
      <w:r>
        <w:t>Um dies korrekt zu beschreiben, betrachte ich den Quotientengraphen beziehungsweise die Kondensationsstruktur der Erreichbarkeitskomponenten.</w:t>
      </w:r>
    </w:p>
    <w:p w:rsidR="00D44893" w:rsidRDefault="00D44893" w:rsidP="00D44893">
      <w:pPr>
        <w:pStyle w:val="StandardWeb"/>
      </w:pPr>
      <w:r>
        <w:t>Ich schreibe</w:t>
      </w:r>
    </w:p>
    <w:p w:rsidR="00D44893" w:rsidRDefault="00D44893" w:rsidP="00D44893">
      <w:pPr>
        <w:pStyle w:val="berschrift1"/>
      </w:pPr>
      <w:r>
        <w:t>[</w:t>
      </w:r>
      <w:r>
        <w:br/>
        <w:t>\mathcal G_F^{\mathrm{cond}}</w:t>
      </w:r>
    </w:p>
    <w:p w:rsidR="00D44893" w:rsidRDefault="00D44893" w:rsidP="00D44893">
      <w:pPr>
        <w:pStyle w:val="StandardWeb"/>
      </w:pPr>
      <w:r>
        <w:t>\left(</w:t>
      </w:r>
      <w:r>
        <w:br/>
        <w:t>\mathcal C_F,</w:t>
      </w:r>
      <w:r>
        <w:br/>
        <w:t>\mathcal E_F^{\mathrm{cond}}</w:t>
      </w:r>
      <w:r>
        <w:br/>
        <w:t>\right),</w:t>
      </w:r>
      <w:r>
        <w:br/>
      </w:r>
      <w:r>
        <w:lastRenderedPageBreak/>
        <w:t>\tag{3.10200}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G_F^{\mathrm{cond}}=\left(\mathcal C_F,\mathcal E_F^{\mathrm{cond}}\right)</w:t>
      </w:r>
    </w:p>
    <w:p w:rsidR="00D44893" w:rsidRDefault="00D44893" w:rsidP="00D44893">
      <w:pPr>
        <w:pStyle w:val="StandardWeb"/>
      </w:pPr>
      <w:r>
        <w:t>wobei (\mathcal C_F) die Menge der Erreichbarkeitskomponenten bezeichnet.</w:t>
      </w:r>
    </w:p>
    <w:p w:rsidR="00D44893" w:rsidRDefault="00E50336" w:rsidP="00D44893">
      <w:r>
        <w:pict>
          <v:rect id="_x0000_i3163" style="width:0;height:1.5pt" o:hralign="center" o:hrstd="t" o:hr="t" fillcolor="#a0a0a0" stroked="f"/>
        </w:pict>
      </w:r>
    </w:p>
    <w:p w:rsidR="00D44893" w:rsidRDefault="00D44893" w:rsidP="00D44893">
      <w:pPr>
        <w:pStyle w:val="berschrift1"/>
      </w:pPr>
      <w:r>
        <w:t>3.3.45.63 Definition 3.3.112 – Funktionale Kondensationsstruktur</w:t>
      </w:r>
    </w:p>
    <w:p w:rsidR="00D44893" w:rsidRDefault="00D44893" w:rsidP="00D44893">
      <w:pPr>
        <w:pStyle w:val="berschrift3"/>
      </w:pPr>
      <w:r>
        <w:t>Definition 3.3.112</w:t>
      </w:r>
    </w:p>
    <w:p w:rsidR="00D44893" w:rsidRDefault="00D44893" w:rsidP="00D44893">
      <w:pPr>
        <w:pStyle w:val="StandardWeb"/>
      </w:pPr>
      <w:r>
        <w:t xml:space="preserve">Die </w:t>
      </w:r>
      <w:r>
        <w:rPr>
          <w:rStyle w:val="Fett"/>
        </w:rPr>
        <w:t>funktionale Kondensationsstruktur</w:t>
      </w:r>
      <w:r>
        <w:t xml:space="preserve"> ist der gerichtete Quotient der Übergangsstruktur bezüglich gegenseitiger Erreichbarkeit:</w:t>
      </w:r>
    </w:p>
    <w:p w:rsidR="00D44893" w:rsidRDefault="00D44893" w:rsidP="00D44893">
      <w:pPr>
        <w:pStyle w:val="berschrift1"/>
      </w:pPr>
      <w:r>
        <w:t>[</w:t>
      </w:r>
      <w:r>
        <w:br/>
        <w:t>\boxed{</w:t>
      </w:r>
      <w:r>
        <w:br/>
        <w:t>\mathcal G_F^{\mathrm{cond}}</w:t>
      </w:r>
    </w:p>
    <w:p w:rsidR="00D44893" w:rsidRDefault="00D44893" w:rsidP="00D44893">
      <w:pPr>
        <w:pStyle w:val="StandardWeb"/>
      </w:pPr>
      <w:r>
        <w:t>\left(</w:t>
      </w:r>
      <w:r>
        <w:br/>
        <w:t>\Omega_F/{\leftrightsquigarrow_F},</w:t>
      </w:r>
      <w:r>
        <w:br/>
        <w:t>\mathcal E_F^{\mathrm{cond}}</w:t>
      </w:r>
      <w:r>
        <w:br/>
        <w:t>\right).</w:t>
      </w:r>
      <w:r>
        <w:br/>
        <w:t>}</w:t>
      </w:r>
      <w:r>
        <w:br/>
        <w:t>\tag{3.10201}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\boxed{\mathcal G_F^{\mathrm{cond}}=\left(\Omega_F/{\leftrightsquigarrow_F},\mathcal E_F^{\mathrm{cond}}\right).}</w:t>
      </w:r>
    </w:p>
    <w:p w:rsidR="00D44893" w:rsidRDefault="00D44893" w:rsidP="00D44893">
      <w:pPr>
        <w:pStyle w:val="StandardWeb"/>
      </w:pPr>
      <w:r>
        <w:t>Dabei gilt</w:t>
      </w:r>
    </w:p>
    <w:p w:rsidR="00D44893" w:rsidRDefault="00D44893" w:rsidP="00D44893">
      <w:pPr>
        <w:pStyle w:val="StandardWeb"/>
      </w:pPr>
      <w:r>
        <w:t>[</w:t>
      </w:r>
      <w:r>
        <w:br/>
        <w:t>(\mathcal C_\alpha,\mathcal C_\beta)</w:t>
      </w:r>
      <w:r>
        <w:br/>
        <w:t>\in</w:t>
      </w:r>
      <w:r>
        <w:br/>
        <w:t>\mathcal E_F^{\mathrm{cond}}</w:t>
      </w:r>
      <w:r>
        <w:br/>
        <w:t>\tag{3.10202}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lastRenderedPageBreak/>
        <w:t>(\mathcal C_\alpha,\mathcal C_\beta)\in\mathcal E_F^{\mathrm{cond}}</w:t>
      </w:r>
    </w:p>
    <w:p w:rsidR="00D44893" w:rsidRDefault="00D44893" w:rsidP="00D44893">
      <w:pPr>
        <w:pStyle w:val="StandardWeb"/>
      </w:pPr>
      <w:r>
        <w:t>genau dann, wenn mindestens ein Übergang von einem Zustand in (\mathcal C_\alpha) zu einem Zustand in (\mathcal C_\beta) existiert.</w:t>
      </w:r>
    </w:p>
    <w:p w:rsidR="00D44893" w:rsidRDefault="00E50336" w:rsidP="00D44893">
      <w:r>
        <w:pict>
          <v:rect id="_x0000_i3164" style="width:0;height:1.5pt" o:hralign="center" o:hrstd="t" o:hr="t" fillcolor="#a0a0a0" stroked="f"/>
        </w:pict>
      </w:r>
    </w:p>
    <w:p w:rsidR="00D44893" w:rsidRDefault="00D44893" w:rsidP="00D44893">
      <w:pPr>
        <w:pStyle w:val="berschrift1"/>
      </w:pPr>
      <w:r>
        <w:t>3.3.45.64 Globale Invarianz auf der Kondensationsstruktur</w:t>
      </w:r>
    </w:p>
    <w:p w:rsidR="00D44893" w:rsidRDefault="00D44893" w:rsidP="00D44893">
      <w:pPr>
        <w:pStyle w:val="StandardWeb"/>
      </w:pPr>
      <w:r>
        <w:t>Für jede Kante</w:t>
      </w:r>
    </w:p>
    <w:p w:rsidR="00D44893" w:rsidRDefault="00D44893" w:rsidP="00D44893">
      <w:pPr>
        <w:pStyle w:val="StandardWeb"/>
      </w:pPr>
      <w:r>
        <w:t>[</w:t>
      </w:r>
      <w:r>
        <w:br/>
        <w:t>(\mathcal C_\alpha,\mathcal C_\beta)</w:t>
      </w:r>
      <w:r>
        <w:br/>
        <w:t>\in</w:t>
      </w:r>
      <w:r>
        <w:br/>
        <w:t>\mathcal E_F^{\mathrm{cond}}</w:t>
      </w:r>
      <w:r>
        <w:br/>
        <w:t>\tag{3.10203}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C_\alpha,\mathcal C_\beta)\in\mathcal E_F^{\mathrm{cond}}</w:t>
      </w:r>
    </w:p>
    <w:p w:rsidR="00D44893" w:rsidRDefault="00D44893" w:rsidP="00D44893">
      <w:pPr>
        <w:pStyle w:val="StandardWeb"/>
      </w:pPr>
      <w:r>
        <w:t>muss eine globale Invariante erfüllen</w:t>
      </w:r>
    </w:p>
    <w:p w:rsidR="00D44893" w:rsidRDefault="00D44893" w:rsidP="00D44893">
      <w:pPr>
        <w:pStyle w:val="berschrift1"/>
      </w:pPr>
      <w:r>
        <w:t>[</w:t>
      </w:r>
      <w:r>
        <w:br/>
        <w:t>\bar I_F(\mathcal C_\alpha)</w:t>
      </w:r>
    </w:p>
    <w:p w:rsidR="00D44893" w:rsidRDefault="00D44893" w:rsidP="00D44893">
      <w:pPr>
        <w:pStyle w:val="StandardWeb"/>
      </w:pPr>
      <w:r>
        <w:t>\bar I_F(\mathcal C_\beta).</w:t>
      </w:r>
      <w:r>
        <w:br/>
        <w:t>\tag{3.10204}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\bar I_F(\mathcal C_\alpha)=\bar I_F(\mathcal C_\beta)</w:t>
      </w:r>
    </w:p>
    <w:p w:rsidR="00D44893" w:rsidRDefault="00D44893" w:rsidP="00D44893">
      <w:pPr>
        <w:pStyle w:val="StandardWeb"/>
      </w:pPr>
      <w:r>
        <w:t>Damit propagiert der Invariantenwert entlang gerichteter Kanten der Kondensationsstruktur.</w:t>
      </w:r>
    </w:p>
    <w:p w:rsidR="00D44893" w:rsidRDefault="00E50336" w:rsidP="00D44893">
      <w:r>
        <w:pict>
          <v:rect id="_x0000_i3165" style="width:0;height:1.5pt" o:hralign="center" o:hrstd="t" o:hr="t" fillcolor="#a0a0a0" stroked="f"/>
        </w:pict>
      </w:r>
    </w:p>
    <w:p w:rsidR="00D44893" w:rsidRDefault="00D44893" w:rsidP="00D44893">
      <w:pPr>
        <w:pStyle w:val="berschrift1"/>
      </w:pPr>
      <w:r>
        <w:t>3.3.45.65 Invarianz entlang gerichteter Erreichbarkeit auf Komponentenebene</w:t>
      </w:r>
    </w:p>
    <w:p w:rsidR="00D44893" w:rsidRDefault="00D44893" w:rsidP="00D44893">
      <w:pPr>
        <w:pStyle w:val="StandardWeb"/>
      </w:pPr>
      <w:r>
        <w:t>Existiert ein gerichteter Pfad</w:t>
      </w:r>
    </w:p>
    <w:p w:rsidR="00D44893" w:rsidRDefault="00D44893" w:rsidP="00D44893">
      <w:pPr>
        <w:pStyle w:val="StandardWeb"/>
      </w:pPr>
      <w:r>
        <w:t>[</w:t>
      </w:r>
      <w:r>
        <w:br/>
        <w:t>\mathcal C_\alpha</w:t>
      </w:r>
      <w:r>
        <w:br/>
        <w:t>\rightsquigarrow</w:t>
      </w:r>
      <w:r>
        <w:br/>
      </w:r>
      <w:r>
        <w:lastRenderedPageBreak/>
        <w:t>\mathcal C_\beta,</w:t>
      </w:r>
      <w:r>
        <w:br/>
        <w:t>\tag{3.10205}</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C_\alpha\rightsquigarrow\mathcal C_\beta</w:t>
      </w:r>
    </w:p>
    <w:p w:rsidR="00D44893" w:rsidRDefault="00D44893" w:rsidP="00D44893">
      <w:pPr>
        <w:pStyle w:val="StandardWeb"/>
      </w:pPr>
      <w:r>
        <w:t>folgt</w:t>
      </w:r>
    </w:p>
    <w:p w:rsidR="00D44893" w:rsidRDefault="00D44893" w:rsidP="00D44893">
      <w:pPr>
        <w:pStyle w:val="berschrift1"/>
      </w:pPr>
      <w:r>
        <w:t>[</w:t>
      </w:r>
      <w:r>
        <w:br/>
        <w:t>\bar I_F(\mathcal C_\alpha)</w:t>
      </w:r>
    </w:p>
    <w:p w:rsidR="00D44893" w:rsidRDefault="00D44893" w:rsidP="00D44893">
      <w:pPr>
        <w:pStyle w:val="StandardWeb"/>
      </w:pPr>
      <w:r>
        <w:t>\bar I_F(\mathcal C_\beta).</w:t>
      </w:r>
      <w:r>
        <w:br/>
        <w:t>\tag{3.10206}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\bar I_F(\mathcal C_\alpha)=\bar I_F(\mathcal C_\beta)</w:t>
      </w:r>
    </w:p>
    <w:p w:rsidR="00D44893" w:rsidRDefault="00D44893" w:rsidP="00D44893">
      <w:pPr>
        <w:pStyle w:val="StandardWeb"/>
      </w:pPr>
      <w:r>
        <w:t>Damit ist die bloße Anzahl stark zusammenhängender Komponenten noch nicht hinreichend für eine nichttriviale globale Invariante.</w:t>
      </w:r>
    </w:p>
    <w:p w:rsidR="00D44893" w:rsidRDefault="00E50336" w:rsidP="00D44893">
      <w:r>
        <w:pict>
          <v:rect id="_x0000_i3166" style="width:0;height:1.5pt" o:hralign="center" o:hrstd="t" o:hr="t" fillcolor="#a0a0a0" stroked="f"/>
        </w:pict>
      </w:r>
    </w:p>
    <w:p w:rsidR="00D44893" w:rsidRDefault="00D44893" w:rsidP="00D44893">
      <w:pPr>
        <w:pStyle w:val="berschrift1"/>
      </w:pPr>
      <w:r>
        <w:t>3.3.45.66 Korrektur der einfachen Komponentenbedingung</w:t>
      </w:r>
    </w:p>
    <w:p w:rsidR="00D44893" w:rsidRDefault="00D44893" w:rsidP="00D44893">
      <w:pPr>
        <w:pStyle w:val="StandardWeb"/>
      </w:pPr>
      <w:r>
        <w:t>Die vorherige notwendige Bedingung</w:t>
      </w:r>
    </w:p>
    <w:p w:rsidR="00D44893" w:rsidRDefault="00D44893" w:rsidP="00D44893">
      <w:pPr>
        <w:pStyle w:val="StandardWeb"/>
      </w:pPr>
      <w:r>
        <w:t>[</w:t>
      </w:r>
      <w:r>
        <w:br/>
        <w:t>\left|</w:t>
      </w:r>
      <w:r>
        <w:br/>
        <w:t>\Omega_F/{\leftrightsquigarrow_F}</w:t>
      </w:r>
      <w:r>
        <w:br/>
        <w:t>\right|</w:t>
      </w:r>
      <w:r>
        <w:br/>
        <w:t>\geq2</w:t>
      </w:r>
      <w:r>
        <w:br/>
        <w:t>\tag{3.10207}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\left|\Omega_F/{\leftrightsquigarrow_F}\right|\geq2</w:t>
      </w:r>
    </w:p>
    <w:p w:rsidR="00D44893" w:rsidRDefault="00D44893" w:rsidP="00D44893">
      <w:pPr>
        <w:pStyle w:val="StandardWeb"/>
      </w:pPr>
      <w:r>
        <w:t>ist daher nur eine notwendige, nicht allgemein hinreichende Bedingung.</w:t>
      </w:r>
    </w:p>
    <w:p w:rsidR="00D44893" w:rsidRDefault="00D44893" w:rsidP="00D44893">
      <w:pPr>
        <w:pStyle w:val="StandardWeb"/>
      </w:pPr>
      <w:r>
        <w:t>Für globale Invarianz müssen zusätzlich diejenigen Komponenten denselben Wert erhalten, zwischen denen gerichtete Erreichbarkeit besteht.</w:t>
      </w:r>
    </w:p>
    <w:p w:rsidR="00D44893" w:rsidRDefault="00E50336" w:rsidP="00D44893">
      <w:r>
        <w:pict>
          <v:rect id="_x0000_i3167" style="width:0;height:1.5pt" o:hralign="center" o:hrstd="t" o:hr="t" fillcolor="#a0a0a0" stroked="f"/>
        </w:pict>
      </w:r>
    </w:p>
    <w:p w:rsidR="00D44893" w:rsidRDefault="00D44893" w:rsidP="00D44893">
      <w:pPr>
        <w:pStyle w:val="berschrift1"/>
      </w:pPr>
      <w:r>
        <w:lastRenderedPageBreak/>
        <w:t>3.3.45.67 Ungeordnete Invariantenkomponenten</w:t>
      </w:r>
    </w:p>
    <w:p w:rsidR="00D44893" w:rsidRDefault="00D44893" w:rsidP="00D44893">
      <w:pPr>
        <w:pStyle w:val="StandardWeb"/>
      </w:pPr>
      <w:r>
        <w:t>Ich führe deshalb eine gröbere Relation ein.</w:t>
      </w:r>
    </w:p>
    <w:p w:rsidR="00D44893" w:rsidRDefault="00D44893" w:rsidP="00D44893">
      <w:pPr>
        <w:pStyle w:val="StandardWeb"/>
      </w:pPr>
      <w:r>
        <w:t>Zwei Zustände sollen genau dann derselben Invariantenkomponente angehören, wenn sie durch eine endliche Folge von Übergängen verbunden sind, wobei die Richtung der Einzelübergänge für diese reine Zusammenhangsbetrachtung ignoriert wird.</w:t>
      </w:r>
    </w:p>
    <w:p w:rsidR="00D44893" w:rsidRDefault="00D44893" w:rsidP="00D44893">
      <w:pPr>
        <w:pStyle w:val="StandardWeb"/>
      </w:pPr>
      <w:r>
        <w:t>Formal verwende ich die symmetrisierte Übergangsrelation</w:t>
      </w:r>
    </w:p>
    <w:p w:rsidR="00D44893" w:rsidRDefault="00D44893" w:rsidP="00D44893">
      <w:pPr>
        <w:pStyle w:val="berschrift1"/>
      </w:pPr>
      <w:r>
        <w:t>[</w:t>
      </w:r>
      <w:r>
        <w:br/>
        <w:t>\mathcal T_F^{\pm}</w:t>
      </w:r>
    </w:p>
    <w:p w:rsidR="00D44893" w:rsidRDefault="00D44893" w:rsidP="00D44893">
      <w:pPr>
        <w:pStyle w:val="StandardWeb"/>
      </w:pPr>
      <w:r>
        <w:t>\mathcal T_F</w:t>
      </w:r>
      <w:r>
        <w:br/>
        <w:t>\cup</w:t>
      </w:r>
      <w:r>
        <w:br/>
        <w:t>\mathcal T_F^{-1}.</w:t>
      </w:r>
      <w:r>
        <w:br/>
        <w:t>\tag{3.10208}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T_F^{\pm}=\mathcal T_F\cup\mathcal T_F^{-1}</w:t>
      </w:r>
    </w:p>
    <w:p w:rsidR="00D44893" w:rsidRDefault="00E50336" w:rsidP="00D44893">
      <w:r>
        <w:pict>
          <v:rect id="_x0000_i3168" style="width:0;height:1.5pt" o:hralign="center" o:hrstd="t" o:hr="t" fillcolor="#a0a0a0" stroked="f"/>
        </w:pict>
      </w:r>
    </w:p>
    <w:p w:rsidR="00D44893" w:rsidRDefault="00D44893" w:rsidP="00D44893">
      <w:pPr>
        <w:pStyle w:val="berschrift1"/>
      </w:pPr>
      <w:r>
        <w:t>3.3.45.68 Definition 3.3.113 – Symmetrisierte Übergangsrelation</w:t>
      </w:r>
    </w:p>
    <w:p w:rsidR="00D44893" w:rsidRDefault="00D44893" w:rsidP="00D44893">
      <w:pPr>
        <w:pStyle w:val="berschrift3"/>
      </w:pPr>
      <w:r>
        <w:t>Definition 3.3.113</w:t>
      </w:r>
    </w:p>
    <w:p w:rsidR="00D44893" w:rsidRDefault="00D44893" w:rsidP="00D44893">
      <w:pPr>
        <w:pStyle w:val="StandardWeb"/>
      </w:pPr>
      <w:r>
        <w:t xml:space="preserve">Die </w:t>
      </w:r>
      <w:r>
        <w:rPr>
          <w:rStyle w:val="Fett"/>
        </w:rPr>
        <w:t>symmetrisierte funktionale Übergangsrelation</w:t>
      </w:r>
      <w:r>
        <w:t xml:space="preserve"> ist</w:t>
      </w:r>
    </w:p>
    <w:p w:rsidR="00D44893" w:rsidRDefault="00D44893" w:rsidP="00D44893">
      <w:pPr>
        <w:pStyle w:val="berschrift1"/>
      </w:pPr>
      <w:r>
        <w:t>[</w:t>
      </w:r>
      <w:r>
        <w:br/>
        <w:t>\boxed{</w:t>
      </w:r>
      <w:r>
        <w:br/>
        <w:t>\mathcal T_F^{\pm}</w:t>
      </w:r>
    </w:p>
    <w:p w:rsidR="00D44893" w:rsidRDefault="00D44893" w:rsidP="00D44893">
      <w:pPr>
        <w:pStyle w:val="StandardWeb"/>
      </w:pPr>
      <w:r>
        <w:t>\mathcal T_F</w:t>
      </w:r>
      <w:r>
        <w:br/>
        <w:t>\cup</w:t>
      </w:r>
      <w:r>
        <w:br/>
        <w:t>\left{</w:t>
      </w:r>
      <w:r>
        <w:br/>
        <w:t>(z_j,z_i):</w:t>
      </w:r>
      <w:r>
        <w:br/>
        <w:t>(z_i,z_j)\in\mathcal T_F</w:t>
      </w:r>
      <w:r>
        <w:br/>
        <w:t>\right}.</w:t>
      </w:r>
      <w:r>
        <w:br/>
        <w:t>}</w:t>
      </w:r>
      <w:r>
        <w:br/>
        <w:t>\tag{3.10209}</w:t>
      </w:r>
      <w:r>
        <w:br/>
        <w:t>]</w:t>
      </w:r>
    </w:p>
    <w:p w:rsidR="00D44893" w:rsidRDefault="00D44893" w:rsidP="00D44893">
      <w:pPr>
        <w:pStyle w:val="StandardWeb"/>
      </w:pPr>
      <w:r>
        <w:rPr>
          <w:rStyle w:val="Fett"/>
        </w:rPr>
        <w:lastRenderedPageBreak/>
        <w:t>Word-LaTeX</w:t>
      </w:r>
    </w:p>
    <w:p w:rsidR="00D44893" w:rsidRDefault="00D44893" w:rsidP="00D44893">
      <w:pPr>
        <w:pStyle w:val="HTMLVorformatiert"/>
        <w:rPr>
          <w:rStyle w:val="HTMLCode"/>
        </w:rPr>
      </w:pPr>
      <w:r>
        <w:rPr>
          <w:rStyle w:val="HTMLCode"/>
        </w:rPr>
        <w:t>\boxed{\mathcal T_F^{\pm}=\mathcal T_F\cup\left\{(z_j,z_i):(z_i,z_j)\in\mathcal T_F\right\}.}</w:t>
      </w:r>
    </w:p>
    <w:p w:rsidR="00D44893" w:rsidRDefault="00D44893" w:rsidP="00D44893">
      <w:pPr>
        <w:pStyle w:val="StandardWeb"/>
      </w:pPr>
      <w:r>
        <w:t>Sie dient ausschließlich der Zusammenhangsanalyse und ersetzt nicht die gerichtete Übergangsrelation (\mathcal T_F).</w:t>
      </w:r>
    </w:p>
    <w:p w:rsidR="00D44893" w:rsidRDefault="00E50336" w:rsidP="00D44893">
      <w:r>
        <w:pict>
          <v:rect id="_x0000_i3169" style="width:0;height:1.5pt" o:hralign="center" o:hrstd="t" o:hr="t" fillcolor="#a0a0a0" stroked="f"/>
        </w:pict>
      </w:r>
    </w:p>
    <w:p w:rsidR="00D44893" w:rsidRDefault="00D44893" w:rsidP="00D44893">
      <w:pPr>
        <w:pStyle w:val="berschrift1"/>
      </w:pPr>
      <w:r>
        <w:t>3.3.45.69 Ungerichtete funktionale Verbundenheit</w:t>
      </w:r>
    </w:p>
    <w:p w:rsidR="00D44893" w:rsidRDefault="00D44893" w:rsidP="00D44893">
      <w:pPr>
        <w:pStyle w:val="StandardWeb"/>
      </w:pPr>
      <w:r>
        <w:t>Ich bezeichne</w:t>
      </w:r>
    </w:p>
    <w:p w:rsidR="00D44893" w:rsidRDefault="00D44893" w:rsidP="00D44893">
      <w:pPr>
        <w:pStyle w:val="StandardWeb"/>
      </w:pPr>
      <w:r>
        <w:t>[</w:t>
      </w:r>
      <w:r>
        <w:br/>
        <w:t>z_i\sim_F^{\pm}z_j</w:t>
      </w:r>
      <w:r>
        <w:br/>
        <w:t>\tag{3.10210}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z_i\sim_F^{\pm}z_j</w:t>
      </w:r>
    </w:p>
    <w:p w:rsidR="00D44893" w:rsidRDefault="00D44893" w:rsidP="00D44893">
      <w:pPr>
        <w:pStyle w:val="StandardWeb"/>
      </w:pPr>
      <w:r>
        <w:t>wenn (z_i) und (z_j) durch einen endlichen Pfad in (\mathcal T_F^\pm) verbunden sind.</w:t>
      </w:r>
    </w:p>
    <w:p w:rsidR="00D44893" w:rsidRDefault="00D44893" w:rsidP="00D44893">
      <w:pPr>
        <w:pStyle w:val="StandardWeb"/>
      </w:pPr>
      <w:r>
        <w:t>Diese Relation erfasst den zusammenhängenden Träger der Übergangsstruktur unabhängig von der Übergangsrichtung.</w:t>
      </w:r>
    </w:p>
    <w:p w:rsidR="00D44893" w:rsidRDefault="00E50336" w:rsidP="00D44893">
      <w:r>
        <w:pict>
          <v:rect id="_x0000_i3170" style="width:0;height:1.5pt" o:hralign="center" o:hrstd="t" o:hr="t" fillcolor="#a0a0a0" stroked="f"/>
        </w:pict>
      </w:r>
    </w:p>
    <w:p w:rsidR="00D44893" w:rsidRDefault="00D44893" w:rsidP="00D44893">
      <w:pPr>
        <w:pStyle w:val="berschrift1"/>
      </w:pPr>
      <w:r>
        <w:t>3.3.45.70 Definition 3.3.114 – Funktionale Zusammenhangskomponente</w:t>
      </w:r>
    </w:p>
    <w:p w:rsidR="00D44893" w:rsidRDefault="00D44893" w:rsidP="00D44893">
      <w:pPr>
        <w:pStyle w:val="berschrift3"/>
      </w:pPr>
      <w:r>
        <w:t>Definition 3.3.114</w:t>
      </w:r>
    </w:p>
    <w:p w:rsidR="00D44893" w:rsidRDefault="00D44893" w:rsidP="00D44893">
      <w:pPr>
        <w:pStyle w:val="StandardWeb"/>
      </w:pPr>
      <w:r>
        <w:t xml:space="preserve">Die </w:t>
      </w:r>
      <w:r>
        <w:rPr>
          <w:rStyle w:val="Fett"/>
        </w:rPr>
        <w:t>funktionale Zusammenhangskomponente</w:t>
      </w:r>
      <w:r>
        <w:t xml:space="preserve"> eines Zustands (z) ist</w:t>
      </w:r>
    </w:p>
    <w:p w:rsidR="00D44893" w:rsidRDefault="00D44893" w:rsidP="00D44893">
      <w:pPr>
        <w:pStyle w:val="berschrift1"/>
      </w:pPr>
      <w:r>
        <w:t>[</w:t>
      </w:r>
      <w:r>
        <w:br/>
        <w:t>\boxed{</w:t>
      </w:r>
      <w:r>
        <w:br/>
        <w:t>[z]_{\pm}</w:t>
      </w:r>
    </w:p>
    <w:p w:rsidR="00D44893" w:rsidRDefault="00D44893" w:rsidP="00D44893">
      <w:pPr>
        <w:pStyle w:val="StandardWeb"/>
      </w:pPr>
      <w:r>
        <w:t>\left{</w:t>
      </w:r>
      <w:r>
        <w:br/>
        <w:t>y\in\Omega_F:</w:t>
      </w:r>
      <w:r>
        <w:br/>
        <w:t>y\sim_F^{\pm}z</w:t>
      </w:r>
      <w:r>
        <w:br/>
        <w:t>\right}.</w:t>
      </w:r>
      <w:r>
        <w:br/>
        <w:t>}</w:t>
      </w:r>
      <w:r>
        <w:br/>
        <w:t>\tag{3.10211}</w:t>
      </w:r>
      <w:r>
        <w:br/>
        <w:t>]</w:t>
      </w:r>
    </w:p>
    <w:p w:rsidR="00D44893" w:rsidRDefault="00D44893" w:rsidP="00D44893">
      <w:pPr>
        <w:pStyle w:val="StandardWeb"/>
      </w:pPr>
      <w:r>
        <w:rPr>
          <w:rStyle w:val="Fett"/>
        </w:rPr>
        <w:lastRenderedPageBreak/>
        <w:t>Word-LaTeX</w:t>
      </w:r>
    </w:p>
    <w:p w:rsidR="00D44893" w:rsidRDefault="00D44893" w:rsidP="00D44893">
      <w:pPr>
        <w:pStyle w:val="HTMLVorformatiert"/>
        <w:rPr>
          <w:rStyle w:val="HTMLCode"/>
        </w:rPr>
      </w:pPr>
      <w:r>
        <w:rPr>
          <w:rStyle w:val="HTMLCode"/>
        </w:rPr>
        <w:t>\boxed{[z]_{\pm}=\left\{y\in\Omega_F:y\sim_F^{\pm}z\right\}.}</w:t>
      </w:r>
    </w:p>
    <w:p w:rsidR="00D44893" w:rsidRDefault="00E50336" w:rsidP="00D44893">
      <w:r>
        <w:pict>
          <v:rect id="_x0000_i3171" style="width:0;height:1.5pt" o:hralign="center" o:hrstd="t" o:hr="t" fillcolor="#a0a0a0" stroked="f"/>
        </w:pict>
      </w:r>
    </w:p>
    <w:p w:rsidR="00D44893" w:rsidRDefault="00D44893" w:rsidP="00D44893">
      <w:pPr>
        <w:pStyle w:val="berschrift1"/>
      </w:pPr>
      <w:r>
        <w:t>3.3.45.71 Globale Invarianten sind auf Zusammenhangskomponenten konstant</w:t>
      </w:r>
    </w:p>
    <w:p w:rsidR="00D44893" w:rsidRDefault="00D44893" w:rsidP="00D44893">
      <w:pPr>
        <w:pStyle w:val="StandardWeb"/>
      </w:pPr>
      <w:r>
        <w:t>Besitzt die ursprüngliche gerichtete Übergangsrelation eine Kante zwischen zwei Zuständen, so fordert globale Invarianz Gleichheit der Invariantenwerte unabhängig von der Kantenrichtung.</w:t>
      </w:r>
    </w:p>
    <w:p w:rsidR="00D44893" w:rsidRDefault="00D44893" w:rsidP="00D44893">
      <w:pPr>
        <w:pStyle w:val="StandardWeb"/>
      </w:pPr>
      <w:r>
        <w:t>Daher propagiert die Gleichheit auch entlang der symmetrisierten Übergangsrelation.</w:t>
      </w:r>
    </w:p>
    <w:p w:rsidR="00D44893" w:rsidRDefault="00D44893" w:rsidP="00D44893">
      <w:pPr>
        <w:pStyle w:val="StandardWeb"/>
      </w:pPr>
      <w:r>
        <w:t>Damit gilt</w:t>
      </w:r>
    </w:p>
    <w:p w:rsidR="00D44893" w:rsidRDefault="00D44893" w:rsidP="00D44893">
      <w:pPr>
        <w:pStyle w:val="StandardWeb"/>
      </w:pPr>
      <w:r>
        <w:t>[</w:t>
      </w:r>
      <w:r>
        <w:br/>
        <w:t>z_i\sim_F^{\pm}z_j</w:t>
      </w:r>
      <w:r>
        <w:br/>
        <w:t>\Rightarrow</w:t>
      </w:r>
      <w:r>
        <w:br/>
        <w:t>I_F(z_i)=I_F(z_j).</w:t>
      </w:r>
      <w:r>
        <w:br/>
        <w:t>\tag{3.10212}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z_i\sim_F^{\pm}z_j\Rightarrow I_F(z_i)=I_F(z_j)</w:t>
      </w:r>
    </w:p>
    <w:p w:rsidR="00D44893" w:rsidRDefault="00E50336" w:rsidP="00D44893">
      <w:r>
        <w:pict>
          <v:rect id="_x0000_i3172" style="width:0;height:1.5pt" o:hralign="center" o:hrstd="t" o:hr="t" fillcolor="#a0a0a0" stroked="f"/>
        </w:pict>
      </w:r>
    </w:p>
    <w:p w:rsidR="00D44893" w:rsidRDefault="00D44893" w:rsidP="00D44893">
      <w:pPr>
        <w:pStyle w:val="berschrift1"/>
      </w:pPr>
      <w:r>
        <w:t>3.3.45.72 Satz 3.3.41 – Konstanz globaler Invarianten auf funktionalen Zusammenhangskomponenten</w:t>
      </w:r>
    </w:p>
    <w:p w:rsidR="00D44893" w:rsidRDefault="00D44893" w:rsidP="00D44893">
      <w:pPr>
        <w:pStyle w:val="berschrift3"/>
      </w:pPr>
      <w:r>
        <w:t>Satz 3.3.41</w:t>
      </w:r>
    </w:p>
    <w:p w:rsidR="00D44893" w:rsidRDefault="00D44893" w:rsidP="00D44893">
      <w:pPr>
        <w:pStyle w:val="StandardWeb"/>
      </w:pPr>
      <w:r>
        <w:t>Für jede globale funktionale Invariante gilt</w:t>
      </w:r>
    </w:p>
    <w:p w:rsidR="00D44893" w:rsidRDefault="00D44893" w:rsidP="00D44893">
      <w:pPr>
        <w:pStyle w:val="StandardWeb"/>
      </w:pPr>
      <w:r>
        <w:t>[</w:t>
      </w:r>
      <w:r>
        <w:br/>
        <w:t>\boxed{</w:t>
      </w:r>
      <w:r>
        <w:br/>
        <w:t>z_i\sim_F^{\pm}z_j</w:t>
      </w:r>
      <w:r>
        <w:br/>
        <w:t>\Rightarrow</w:t>
      </w:r>
      <w:r>
        <w:br/>
        <w:t>I_F(z_i)=I_F(z_j).</w:t>
      </w:r>
      <w:r>
        <w:br/>
        <w:t>}</w:t>
      </w:r>
      <w:r>
        <w:br/>
        <w:t>\tag{3.10213}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\boxed{z_i\sim_F^{\pm}z_j\Rightarrow I_F(z_i)=I_F(z_j).}</w:t>
      </w:r>
    </w:p>
    <w:p w:rsidR="00D44893" w:rsidRDefault="00D44893" w:rsidP="00D44893">
      <w:pPr>
        <w:pStyle w:val="berschrift3"/>
      </w:pPr>
      <w:r>
        <w:t>Beweis</w:t>
      </w:r>
    </w:p>
    <w:p w:rsidR="00D44893" w:rsidRDefault="00D44893" w:rsidP="00D44893">
      <w:pPr>
        <w:pStyle w:val="StandardWeb"/>
      </w:pPr>
      <w:r>
        <w:lastRenderedPageBreak/>
        <w:t>Seien (z_i) und (z_j) durch einen endlichen Pfad der symmetrisierten Relation verbunden:</w:t>
      </w:r>
    </w:p>
    <w:p w:rsidR="00D44893" w:rsidRDefault="00D44893" w:rsidP="00D44893">
      <w:pPr>
        <w:pStyle w:val="StandardWeb"/>
      </w:pPr>
      <w:r>
        <w:t>[</w:t>
      </w:r>
      <w:r>
        <w:br/>
        <w:t>z_i=x_0,x_1,\ldots,x_n=z_j.</w:t>
      </w:r>
      <w:r>
        <w:br/>
        <w:t>\tag{3.10214}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z_i=x_0,x_1,\ldots,x_n=z_j</w:t>
      </w:r>
    </w:p>
    <w:p w:rsidR="00D44893" w:rsidRDefault="00D44893" w:rsidP="00D44893">
      <w:pPr>
        <w:pStyle w:val="StandardWeb"/>
      </w:pPr>
      <w:r>
        <w:t>Für jedes benachbarte Paar gilt entweder</w:t>
      </w:r>
    </w:p>
    <w:p w:rsidR="00D44893" w:rsidRDefault="00D44893" w:rsidP="00D44893">
      <w:pPr>
        <w:pStyle w:val="StandardWeb"/>
      </w:pPr>
      <w:r>
        <w:t>[</w:t>
      </w:r>
      <w:r>
        <w:br/>
        <w:t>(x_{k-1},x_k)\in\mathcal T_F</w:t>
      </w:r>
      <w:r>
        <w:br/>
        <w:t>\tag{3.10215}</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(x_{k-1},x_k)\in\mathcal T_F</w:t>
      </w:r>
    </w:p>
    <w:p w:rsidR="00D44893" w:rsidRDefault="00D44893" w:rsidP="00D44893">
      <w:pPr>
        <w:pStyle w:val="StandardWeb"/>
      </w:pPr>
      <w:r>
        <w:t>oder</w:t>
      </w:r>
    </w:p>
    <w:p w:rsidR="00D44893" w:rsidRDefault="00D44893" w:rsidP="00D44893">
      <w:pPr>
        <w:pStyle w:val="StandardWeb"/>
      </w:pPr>
      <w:r>
        <w:t>[</w:t>
      </w:r>
      <w:r>
        <w:br/>
        <w:t>(x_k,x_{k-1})\in\mathcal T_F.</w:t>
      </w:r>
      <w:r>
        <w:br/>
        <w:t>\tag{3.10216}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(x_k,x_{k-1})\in\mathcal T_F</w:t>
      </w:r>
    </w:p>
    <w:p w:rsidR="00D44893" w:rsidRDefault="00D44893" w:rsidP="00D44893">
      <w:pPr>
        <w:pStyle w:val="StandardWeb"/>
      </w:pPr>
      <w:r>
        <w:t>In beiden Fällen liefert globale Invarianz</w:t>
      </w:r>
    </w:p>
    <w:p w:rsidR="00D44893" w:rsidRDefault="00D44893" w:rsidP="00D44893">
      <w:pPr>
        <w:pStyle w:val="StandardWeb"/>
      </w:pPr>
      <w:r>
        <w:t>[</w:t>
      </w:r>
      <w:r>
        <w:br/>
        <w:t>I_F(x_{k-1})=I_F(x_k).</w:t>
      </w:r>
      <w:r>
        <w:br/>
        <w:t>\tag{3.10217}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I_F(x_{k-1})=I_F(x_k)</w:t>
      </w:r>
    </w:p>
    <w:p w:rsidR="00D44893" w:rsidRDefault="00D44893" w:rsidP="00D44893">
      <w:pPr>
        <w:pStyle w:val="StandardWeb"/>
      </w:pPr>
      <w:r>
        <w:t>Durch Transitivität der Gleichheit folgt</w:t>
      </w:r>
    </w:p>
    <w:p w:rsidR="00D44893" w:rsidRDefault="00D44893" w:rsidP="00D44893">
      <w:pPr>
        <w:pStyle w:val="StandardWeb"/>
      </w:pPr>
      <w:r>
        <w:t>[</w:t>
      </w:r>
      <w:r>
        <w:br/>
        <w:t>I_F(z_i)=I_F(z_j).</w:t>
      </w:r>
      <w:r>
        <w:br/>
        <w:t>\tag{3.10218}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lastRenderedPageBreak/>
        <w:t>I_F(z_i)=I_F(z_j)</w:t>
      </w:r>
    </w:p>
    <w:p w:rsidR="00D44893" w:rsidRDefault="00D44893" w:rsidP="00D44893">
      <w:pPr>
        <w:pStyle w:val="StandardWeb"/>
      </w:pPr>
      <w:r>
        <w:t>Damit ist die Behauptung gezeigt. (\square)</w:t>
      </w:r>
    </w:p>
    <w:p w:rsidR="00D44893" w:rsidRDefault="00E50336" w:rsidP="00D44893">
      <w:r>
        <w:pict>
          <v:rect id="_x0000_i3173" style="width:0;height:1.5pt" o:hralign="center" o:hrstd="t" o:hr="t" fillcolor="#a0a0a0" stroked="f"/>
        </w:pict>
      </w:r>
    </w:p>
    <w:p w:rsidR="00D44893" w:rsidRDefault="00D44893" w:rsidP="00D44893">
      <w:pPr>
        <w:pStyle w:val="berschrift1"/>
      </w:pPr>
      <w:r>
        <w:t>3.3.45.73 Exakte Struktur globaler Invarianten</w:t>
      </w:r>
    </w:p>
    <w:p w:rsidR="00D44893" w:rsidRDefault="00D44893" w:rsidP="00D44893">
      <w:pPr>
        <w:pStyle w:val="StandardWeb"/>
      </w:pPr>
      <w:r>
        <w:t>Satz 3.3.41 liefert nun die präzisere Struktur.</w:t>
      </w:r>
    </w:p>
    <w:p w:rsidR="00D44893" w:rsidRDefault="00D44893" w:rsidP="00D44893">
      <w:pPr>
        <w:pStyle w:val="StandardWeb"/>
      </w:pPr>
      <w:r>
        <w:t>Globale funktionale Invarianten sind genau solche Funktionen, die auf jeder funktionalen Zusammenhangskomponente konstant sind.</w:t>
      </w:r>
    </w:p>
    <w:p w:rsidR="00D44893" w:rsidRDefault="00D44893" w:rsidP="00D44893">
      <w:pPr>
        <w:pStyle w:val="StandardWeb"/>
      </w:pPr>
      <w:r>
        <w:t>Ich bezeichne die Menge dieser Komponenten durch</w:t>
      </w:r>
    </w:p>
    <w:p w:rsidR="00D44893" w:rsidRDefault="00D44893" w:rsidP="00D44893">
      <w:pPr>
        <w:pStyle w:val="berschrift1"/>
      </w:pPr>
      <w:r>
        <w:t>[</w:t>
      </w:r>
      <w:r>
        <w:br/>
        <w:t>\mathcal C_F^{\pm}</w:t>
      </w:r>
    </w:p>
    <w:p w:rsidR="00D44893" w:rsidRDefault="00D44893" w:rsidP="00D44893">
      <w:pPr>
        <w:pStyle w:val="StandardWeb"/>
      </w:pPr>
      <w:r>
        <w:t>\Omega_F/{\sim_F^{\pm}}.</w:t>
      </w:r>
      <w:r>
        <w:br/>
        <w:t>\tag{3.10219}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C_F^{\pm}=\Omega_F/{\sim_F^{\pm}}</w:t>
      </w:r>
    </w:p>
    <w:p w:rsidR="00D44893" w:rsidRDefault="00E50336" w:rsidP="00D44893">
      <w:r>
        <w:pict>
          <v:rect id="_x0000_i3174" style="width:0;height:1.5pt" o:hralign="center" o:hrstd="t" o:hr="t" fillcolor="#a0a0a0" stroked="f"/>
        </w:pict>
      </w:r>
    </w:p>
    <w:p w:rsidR="00D44893" w:rsidRDefault="00D44893" w:rsidP="00D44893">
      <w:pPr>
        <w:pStyle w:val="berschrift1"/>
      </w:pPr>
      <w:r>
        <w:t>3.3.45.74 Quotientenabbildung der Zusammenhangskomponenten</w:t>
      </w:r>
    </w:p>
    <w:p w:rsidR="00D44893" w:rsidRDefault="00D44893" w:rsidP="00D44893">
      <w:pPr>
        <w:pStyle w:val="StandardWeb"/>
      </w:pPr>
      <w:r>
        <w:t>Es existiert die kanonische Projektion</w:t>
      </w:r>
    </w:p>
    <w:p w:rsidR="00D44893" w:rsidRDefault="00D44893" w:rsidP="00D44893">
      <w:pPr>
        <w:pStyle w:val="StandardWeb"/>
      </w:pPr>
      <w:r>
        <w:t>[</w:t>
      </w:r>
      <w:r>
        <w:br/>
        <w:t>\pi_F^{\pm}:</w:t>
      </w:r>
      <w:r>
        <w:br/>
        <w:t>\Omega_F</w:t>
      </w:r>
      <w:r>
        <w:br/>
        <w:t>\rightarrow</w:t>
      </w:r>
      <w:r>
        <w:br/>
        <w:t>\mathcal C_F^{\pm}.</w:t>
      </w:r>
      <w:r>
        <w:br/>
        <w:t>\tag{3.10220}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\pi_F^{\pm}:\Omega_F\rightarrow\mathcal C_F^{\pm}</w:t>
      </w:r>
    </w:p>
    <w:p w:rsidR="00D44893" w:rsidRDefault="00D44893" w:rsidP="00D44893">
      <w:pPr>
        <w:pStyle w:val="StandardWeb"/>
      </w:pPr>
      <w:r>
        <w:t>Jede globale Invariante kann deshalb als</w:t>
      </w:r>
    </w:p>
    <w:p w:rsidR="00D44893" w:rsidRDefault="00D44893" w:rsidP="00D44893">
      <w:pPr>
        <w:pStyle w:val="berschrift1"/>
      </w:pPr>
      <w:r>
        <w:lastRenderedPageBreak/>
        <w:t>[</w:t>
      </w:r>
      <w:r>
        <w:br/>
        <w:t>I_F</w:t>
      </w:r>
    </w:p>
    <w:p w:rsidR="00D44893" w:rsidRDefault="00D44893" w:rsidP="00D44893">
      <w:pPr>
        <w:pStyle w:val="StandardWeb"/>
      </w:pPr>
      <w:r>
        <w:t>\widetilde I_F</w:t>
      </w:r>
      <w:r>
        <w:br/>
        <w:t>\circ</w:t>
      </w:r>
      <w:r>
        <w:br/>
        <w:t>\pi_F^{\pm}</w:t>
      </w:r>
      <w:r>
        <w:br/>
        <w:t>\tag{3.10221}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I_F=\widetilde I_F\circ\pi_F^{\pm}</w:t>
      </w:r>
    </w:p>
    <w:p w:rsidR="00D44893" w:rsidRDefault="00D44893" w:rsidP="00D44893">
      <w:pPr>
        <w:pStyle w:val="StandardWeb"/>
      </w:pPr>
      <w:r>
        <w:t>geschrieben werden.</w:t>
      </w:r>
    </w:p>
    <w:p w:rsidR="00D44893" w:rsidRDefault="00E50336" w:rsidP="00D44893">
      <w:r>
        <w:pict>
          <v:rect id="_x0000_i3175" style="width:0;height:1.5pt" o:hralign="center" o:hrstd="t" o:hr="t" fillcolor="#a0a0a0" stroked="f"/>
        </w:pict>
      </w:r>
    </w:p>
    <w:p w:rsidR="00D44893" w:rsidRDefault="00D44893" w:rsidP="00D44893">
      <w:pPr>
        <w:pStyle w:val="berschrift1"/>
      </w:pPr>
      <w:r>
        <w:t>3.3.45.75 Satz 3.3.42 – Charakterisierung globaler funktionaler Invarianten</w:t>
      </w:r>
    </w:p>
    <w:p w:rsidR="00D44893" w:rsidRDefault="00D44893" w:rsidP="00D44893">
      <w:pPr>
        <w:pStyle w:val="berschrift3"/>
      </w:pPr>
      <w:r>
        <w:t>Satz 3.3.42</w:t>
      </w:r>
    </w:p>
    <w:p w:rsidR="00D44893" w:rsidRDefault="00D44893" w:rsidP="00D44893">
      <w:pPr>
        <w:pStyle w:val="StandardWeb"/>
      </w:pPr>
      <w:r>
        <w:t>Eine Funktion</w:t>
      </w:r>
    </w:p>
    <w:p w:rsidR="00D44893" w:rsidRDefault="00D44893" w:rsidP="00D44893">
      <w:pPr>
        <w:pStyle w:val="StandardWeb"/>
      </w:pPr>
      <w:r>
        <w:t>[</w:t>
      </w:r>
      <w:r>
        <w:br/>
        <w:t>I_F:\Omega_F\rightarrow\mathcal V</w:t>
      </w:r>
      <w:r>
        <w:br/>
        <w:t>\tag{3.10222}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I_F:\Omega_F\rightarrow\mathcal V</w:t>
      </w:r>
    </w:p>
    <w:p w:rsidR="00D44893" w:rsidRDefault="00D44893" w:rsidP="00D44893">
      <w:pPr>
        <w:pStyle w:val="StandardWeb"/>
      </w:pPr>
      <w:r>
        <w:t>ist genau dann global funktional invariant, wenn sie auf jeder Zusammenhangskomponente der symmetrisierten Übergangsrelation konstant ist.</w:t>
      </w:r>
    </w:p>
    <w:p w:rsidR="00D44893" w:rsidRDefault="00D44893" w:rsidP="00D44893">
      <w:pPr>
        <w:pStyle w:val="StandardWeb"/>
      </w:pPr>
      <w:r>
        <w:t>Formal:</w:t>
      </w:r>
    </w:p>
    <w:p w:rsidR="00D44893" w:rsidRDefault="00D44893" w:rsidP="00D44893">
      <w:pPr>
        <w:pStyle w:val="StandardWeb"/>
      </w:pPr>
      <w:r>
        <w:t>[</w:t>
      </w:r>
      <w:r>
        <w:br/>
        <w:t>\boxed{</w:t>
      </w:r>
      <w:r>
        <w:br/>
        <w:t>I_F\in\mathcal I_F(\mathcal M)</w:t>
      </w:r>
      <w:r>
        <w:br/>
        <w:t>\Longleftrightarrow</w:t>
      </w:r>
      <w:r>
        <w:br/>
        <w:t>\exists\widetilde I_F:</w:t>
      </w:r>
      <w:r>
        <w:br/>
        <w:t>I_F=\widetilde I_F\circ\pi_F^{\pm}.</w:t>
      </w:r>
      <w:r>
        <w:br/>
        <w:t>}</w:t>
      </w:r>
      <w:r>
        <w:br/>
        <w:t>\tag{3.10223}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lastRenderedPageBreak/>
        <w:t>\boxed{I_F\in\mathcal I_F(\mathcal M)\Longleftrightarrow\exists\widetilde I_F:I_F=\widetilde I_F\circ\pi_F^{\pm}.}</w:t>
      </w:r>
    </w:p>
    <w:p w:rsidR="00D44893" w:rsidRDefault="00D44893" w:rsidP="00D44893">
      <w:pPr>
        <w:pStyle w:val="StandardWeb"/>
      </w:pPr>
      <w:r>
        <w:t>Diese Charakterisierung ist stärker als die vorherige Betrachtung ausschließlich stark zusammenhängender Komponenten.</w:t>
      </w:r>
    </w:p>
    <w:p w:rsidR="00D44893" w:rsidRDefault="00E50336" w:rsidP="00D44893">
      <w:r>
        <w:pict>
          <v:rect id="_x0000_i3176" style="width:0;height:1.5pt" o:hralign="center" o:hrstd="t" o:hr="t" fillcolor="#a0a0a0" stroked="f"/>
        </w:pict>
      </w:r>
    </w:p>
    <w:p w:rsidR="00D44893" w:rsidRDefault="00D44893" w:rsidP="00D44893">
      <w:pPr>
        <w:pStyle w:val="berschrift1"/>
      </w:pPr>
      <w:r>
        <w:t>3.3.45.76 Konsequenz für nichttriviale Invarianten</w:t>
      </w:r>
    </w:p>
    <w:p w:rsidR="00D44893" w:rsidRDefault="00D44893" w:rsidP="00D44893">
      <w:pPr>
        <w:pStyle w:val="StandardWeb"/>
      </w:pPr>
      <w:r>
        <w:t>Nun lässt sich die Existenz nichttrivialer globaler Invarianten exakt an die Zusammenhangsstruktur koppeln.</w:t>
      </w:r>
    </w:p>
    <w:p w:rsidR="00D44893" w:rsidRDefault="00D44893" w:rsidP="00D44893">
      <w:pPr>
        <w:pStyle w:val="StandardWeb"/>
      </w:pPr>
      <w:r>
        <w:t>Ist</w:t>
      </w:r>
    </w:p>
    <w:p w:rsidR="00D44893" w:rsidRDefault="00D44893" w:rsidP="00D44893">
      <w:pPr>
        <w:pStyle w:val="berschrift1"/>
      </w:pPr>
      <w:r>
        <w:t>[</w:t>
      </w:r>
      <w:r>
        <w:br/>
        <w:t>\left|</w:t>
      </w:r>
      <w:r>
        <w:br/>
        <w:t>\mathcal C_F^{\pm}</w:t>
      </w:r>
      <w:r>
        <w:br/>
        <w:t>\right|</w:t>
      </w:r>
    </w:p>
    <w:p w:rsidR="00D44893" w:rsidRDefault="00D44893" w:rsidP="00D44893">
      <w:pPr>
        <w:pStyle w:val="StandardWeb"/>
      </w:pPr>
      <w:r>
        <w:t>1,</w:t>
      </w:r>
      <w:r>
        <w:br/>
        <w:t>\tag{3.10224}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\left|\mathcal C_F^{\pm}\right|=1</w:t>
      </w:r>
    </w:p>
    <w:p w:rsidR="00D44893" w:rsidRDefault="00D44893" w:rsidP="00D44893">
      <w:pPr>
        <w:pStyle w:val="StandardWeb"/>
      </w:pPr>
      <w:r>
        <w:t>so ist jede globale Invariante konstant.</w:t>
      </w:r>
    </w:p>
    <w:p w:rsidR="00D44893" w:rsidRDefault="00D44893" w:rsidP="00D44893">
      <w:pPr>
        <w:pStyle w:val="StandardWeb"/>
      </w:pPr>
      <w:r>
        <w:t>Damit gilt</w:t>
      </w:r>
    </w:p>
    <w:p w:rsidR="00D44893" w:rsidRDefault="00D44893" w:rsidP="00D44893">
      <w:pPr>
        <w:pStyle w:val="StandardWeb"/>
      </w:pPr>
      <w:r>
        <w:t>[</w:t>
      </w:r>
      <w:r>
        <w:br/>
        <w:t>\boxed{</w:t>
      </w:r>
      <w:r>
        <w:br/>
        <w:t>|\mathcal C_F^{\pm}|=1</w:t>
      </w:r>
      <w:r>
        <w:br/>
        <w:t>\Rightarrow</w:t>
      </w:r>
      <w:r>
        <w:br/>
        <w:t>\mathcal I_F^\ast(\mathcal M)=\varnothing.</w:t>
      </w:r>
      <w:r>
        <w:br/>
        <w:t>}</w:t>
      </w:r>
      <w:r>
        <w:br/>
        <w:t>\tag{3.10225}</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\boxed{|\mathcal C_F^{\pm}|=1\Rightarrow\mathcal I_F^\ast(\mathcal M)=\varnothing.}</w:t>
      </w:r>
    </w:p>
    <w:p w:rsidR="00D44893" w:rsidRDefault="00E50336" w:rsidP="00D44893">
      <w:r>
        <w:pict>
          <v:rect id="_x0000_i3177" style="width:0;height:1.5pt" o:hralign="center" o:hrstd="t" o:hr="t" fillcolor="#a0a0a0" stroked="f"/>
        </w:pict>
      </w:r>
    </w:p>
    <w:p w:rsidR="00D44893" w:rsidRDefault="00D44893" w:rsidP="00D44893">
      <w:pPr>
        <w:pStyle w:val="berschrift1"/>
      </w:pPr>
      <w:r>
        <w:lastRenderedPageBreak/>
        <w:t>3.3.45.77 Existenz bei mehreren Zusammenhangskomponenten</w:t>
      </w:r>
    </w:p>
    <w:p w:rsidR="00D44893" w:rsidRDefault="00D44893" w:rsidP="00D44893">
      <w:pPr>
        <w:pStyle w:val="StandardWeb"/>
      </w:pPr>
      <w:r>
        <w:t>Sind dagegen mindestens zwei Zusammenhangskomponenten vorhanden,</w:t>
      </w:r>
    </w:p>
    <w:p w:rsidR="00D44893" w:rsidRDefault="00D44893" w:rsidP="00D44893">
      <w:pPr>
        <w:pStyle w:val="StandardWeb"/>
      </w:pPr>
      <w:r>
        <w:t>[</w:t>
      </w:r>
      <w:r>
        <w:br/>
        <w:t>|\mathcal C_F^{\pm}|\geq2,</w:t>
      </w:r>
      <w:r>
        <w:br/>
        <w:t>\tag{3.10226}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C_F^{\pm}|\geq2</w:t>
      </w:r>
    </w:p>
    <w:p w:rsidR="00D44893" w:rsidRDefault="00D44893" w:rsidP="00D44893">
      <w:pPr>
        <w:pStyle w:val="StandardWeb"/>
      </w:pPr>
      <w:r>
        <w:t>und besitzt der Zielraum wenigstens zwei verschiedene Werte,</w:t>
      </w:r>
    </w:p>
    <w:p w:rsidR="00D44893" w:rsidRDefault="00D44893" w:rsidP="00D44893">
      <w:pPr>
        <w:pStyle w:val="StandardWeb"/>
      </w:pPr>
      <w:r>
        <w:t>[</w:t>
      </w:r>
      <w:r>
        <w:br/>
        <w:t>|\mathcal V|\geq2,</w:t>
      </w:r>
      <w:r>
        <w:br/>
        <w:t>\tag{3.10227}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V|\geq2</w:t>
      </w:r>
    </w:p>
    <w:p w:rsidR="00D44893" w:rsidRDefault="00D44893" w:rsidP="00D44893">
      <w:pPr>
        <w:pStyle w:val="StandardWeb"/>
      </w:pPr>
      <w:r>
        <w:t>kann eine nichttriviale globale Invariante durch unterschiedliche konstante Werte auf verschiedenen Zusammenhangskomponenten konstruiert werden.</w:t>
      </w:r>
    </w:p>
    <w:p w:rsidR="00D44893" w:rsidRDefault="00E50336" w:rsidP="00D44893">
      <w:r>
        <w:pict>
          <v:rect id="_x0000_i3178" style="width:0;height:1.5pt" o:hralign="center" o:hrstd="t" o:hr="t" fillcolor="#a0a0a0" stroked="f"/>
        </w:pict>
      </w:r>
    </w:p>
    <w:p w:rsidR="00D44893" w:rsidRDefault="00D44893" w:rsidP="00D44893">
      <w:pPr>
        <w:pStyle w:val="berschrift1"/>
      </w:pPr>
      <w:r>
        <w:t>3.3.45.78 Satz 3.3.43 – Existenzkriterium für nichttriviale globale Invarianten</w:t>
      </w:r>
    </w:p>
    <w:p w:rsidR="00D44893" w:rsidRDefault="00D44893" w:rsidP="00D44893">
      <w:pPr>
        <w:pStyle w:val="berschrift3"/>
      </w:pPr>
      <w:r>
        <w:t>Satz 3.3.43</w:t>
      </w:r>
    </w:p>
    <w:p w:rsidR="00D44893" w:rsidRDefault="00D44893" w:rsidP="00D44893">
      <w:pPr>
        <w:pStyle w:val="StandardWeb"/>
      </w:pPr>
      <w:r>
        <w:t>Unter der Voraussetzung</w:t>
      </w:r>
    </w:p>
    <w:p w:rsidR="00D44893" w:rsidRDefault="00D44893" w:rsidP="00D44893">
      <w:pPr>
        <w:pStyle w:val="StandardWeb"/>
      </w:pPr>
      <w:r>
        <w:t>[</w:t>
      </w:r>
      <w:r>
        <w:br/>
        <w:t>|\mathcal V|\geq2</w:t>
      </w:r>
      <w:r>
        <w:br/>
        <w:t>\tag{3.10228}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V|\geq2</w:t>
      </w:r>
    </w:p>
    <w:p w:rsidR="00D44893" w:rsidRDefault="00D44893" w:rsidP="00D44893">
      <w:pPr>
        <w:pStyle w:val="StandardWeb"/>
      </w:pPr>
      <w:r>
        <w:t>gilt</w:t>
      </w:r>
    </w:p>
    <w:p w:rsidR="00D44893" w:rsidRDefault="00D44893" w:rsidP="00D44893">
      <w:pPr>
        <w:pStyle w:val="StandardWeb"/>
      </w:pPr>
      <w:r>
        <w:lastRenderedPageBreak/>
        <w:t>[</w:t>
      </w:r>
      <w:r>
        <w:br/>
        <w:t>\boxed{</w:t>
      </w:r>
      <w:r>
        <w:br/>
        <w:t>\mathcal I_F^\ast(\mathcal M)\neq\varnothing</w:t>
      </w:r>
      <w:r>
        <w:br/>
        <w:t>\Longleftrightarrow</w:t>
      </w:r>
      <w:r>
        <w:br/>
        <w:t>|\mathcal C_F^{\pm}|\geq2.</w:t>
      </w:r>
      <w:r>
        <w:br/>
        <w:t>}</w:t>
      </w:r>
      <w:r>
        <w:br/>
        <w:t>\tag{3.10229}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\boxed{\mathcal I_F^\ast(\mathcal M)\neq\varnothing\Longleftrightarrow|\mathcal C_F^{\pm}|\geq2.}</w:t>
      </w:r>
    </w:p>
    <w:p w:rsidR="00D44893" w:rsidRDefault="00D44893" w:rsidP="00D44893">
      <w:pPr>
        <w:pStyle w:val="berschrift3"/>
      </w:pPr>
      <w:r>
        <w:t>Beweis</w:t>
      </w:r>
    </w:p>
    <w:p w:rsidR="00D44893" w:rsidRDefault="00D44893" w:rsidP="00D44893">
      <w:pPr>
        <w:pStyle w:val="StandardWeb"/>
      </w:pPr>
      <w:r>
        <w:t>Ist eine nichttriviale globale Invariante vorhanden, muss sie nach Satz 3.3.42 auf jeder Zusammenhangskomponente konstant sein. Da sie nicht global konstant ist, müssen mindestens zwei verschiedene Zusammenhangskomponenten existieren.</w:t>
      </w:r>
    </w:p>
    <w:p w:rsidR="00D44893" w:rsidRDefault="00D44893" w:rsidP="00D44893">
      <w:pPr>
        <w:pStyle w:val="StandardWeb"/>
      </w:pPr>
      <w:r>
        <w:t>Umgekehrt seien mindestens zwei Zusammenhangskomponenten (\mathcal C_\alpha) und (\mathcal C_\beta) vorhanden. Wegen (|\mathcal V|\geq2) wähle ich (a,b\in\mathcal V) mit</w:t>
      </w:r>
    </w:p>
    <w:p w:rsidR="00D44893" w:rsidRDefault="00D44893" w:rsidP="00D44893">
      <w:pPr>
        <w:pStyle w:val="StandardWeb"/>
      </w:pPr>
      <w:r>
        <w:t>[</w:t>
      </w:r>
      <w:r>
        <w:br/>
        <w:t>a\neq b.</w:t>
      </w:r>
      <w:r>
        <w:br/>
        <w:t>\tag{3.10230}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a\neq b</w:t>
      </w:r>
    </w:p>
    <w:p w:rsidR="00D44893" w:rsidRDefault="00D44893" w:rsidP="00D44893">
      <w:pPr>
        <w:pStyle w:val="StandardWeb"/>
      </w:pPr>
      <w:r>
        <w:t>Ich definiere (I_F=a) auf (\mathcal C_\alpha) und (I_F=b) auf (\mathcal C_\beta). Auf jeder weiteren Zusammenhangskomponente wähle ich einen beliebigen festen Wert. Da zwischen verschiedenen Zusammenhangskomponenten keine Kante der symmetrisierten Übergangsrelation existiert, ist (I_F) entlang sämtlicher ursprünglicher Übergänge invariant und wegen (a\neq b) nichttrivial. (\square)</w:t>
      </w:r>
    </w:p>
    <w:p w:rsidR="00D44893" w:rsidRDefault="00E50336" w:rsidP="00D44893">
      <w:r>
        <w:pict>
          <v:rect id="_x0000_i3179" style="width:0;height:1.5pt" o:hralign="center" o:hrstd="t" o:hr="t" fillcolor="#a0a0a0" stroked="f"/>
        </w:pict>
      </w:r>
    </w:p>
    <w:p w:rsidR="00D44893" w:rsidRDefault="00D44893" w:rsidP="00D44893">
      <w:pPr>
        <w:pStyle w:val="berschrift1"/>
      </w:pPr>
      <w:r>
        <w:t>3.3.45.79 Konsequenz für die Modellannahme (M_I)</w:t>
      </w:r>
    </w:p>
    <w:p w:rsidR="00D44893" w:rsidRDefault="00D44893" w:rsidP="00D44893">
      <w:pPr>
        <w:pStyle w:val="StandardWeb"/>
      </w:pPr>
      <w:r>
        <w:t>Definition 3.3.106 und Satz 3.3.43 liefern damit</w:t>
      </w:r>
    </w:p>
    <w:p w:rsidR="00D44893" w:rsidRDefault="00D44893" w:rsidP="00D44893">
      <w:pPr>
        <w:pStyle w:val="StandardWeb"/>
      </w:pPr>
      <w:r>
        <w:t>[</w:t>
      </w:r>
      <w:r>
        <w:br/>
        <w:t>M_I</w:t>
      </w:r>
      <w:r>
        <w:br/>
        <w:t>\Longleftrightarrow</w:t>
      </w:r>
      <w:r>
        <w:br/>
        <w:t>|\mathcal C_F^{\pm}|\geq2</w:t>
      </w:r>
      <w:r>
        <w:br/>
        <w:t>\tag{3.10231}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lastRenderedPageBreak/>
        <w:t>M_I\Longleftrightarrow|\mathcal C_F^{\pm}|\geq2</w:t>
      </w:r>
    </w:p>
    <w:p w:rsidR="00D44893" w:rsidRDefault="00D44893" w:rsidP="00D44893">
      <w:pPr>
        <w:pStyle w:val="StandardWeb"/>
      </w:pPr>
      <w:r>
        <w:t>unter der Voraussetzung eines Zielraumes mit mindestens zwei unterscheidbaren Werten.</w:t>
      </w:r>
    </w:p>
    <w:p w:rsidR="00D44893" w:rsidRDefault="00D44893" w:rsidP="00D44893">
      <w:pPr>
        <w:pStyle w:val="StandardWeb"/>
      </w:pPr>
      <w:r>
        <w:t>Damit erhält die Invarianzmodellannahme eine rein strukturelle Charakterisierung.</w:t>
      </w:r>
    </w:p>
    <w:p w:rsidR="00D44893" w:rsidRDefault="00E50336" w:rsidP="00D44893">
      <w:r>
        <w:pict>
          <v:rect id="_x0000_i3180" style="width:0;height:1.5pt" o:hralign="center" o:hrstd="t" o:hr="t" fillcolor="#a0a0a0" stroked="f"/>
        </w:pict>
      </w:r>
    </w:p>
    <w:p w:rsidR="00D44893" w:rsidRDefault="00D44893" w:rsidP="00D44893">
      <w:pPr>
        <w:pStyle w:val="berschrift1"/>
      </w:pPr>
      <w:r>
        <w:t>3.3.45.80 Keine universelle Invarianz aus der Übergangsarchitektur</w:t>
      </w:r>
    </w:p>
    <w:p w:rsidR="00D44893" w:rsidRDefault="00D44893" w:rsidP="00D44893">
      <w:pPr>
        <w:pStyle w:val="StandardWeb"/>
      </w:pPr>
      <w:r>
        <w:t>Die Übergangsarchitektur aus 3.3.44 legt jedoch nicht fest, wie viele Zusammenhangskomponenten existieren müssen.</w:t>
      </w:r>
    </w:p>
    <w:p w:rsidR="00D44893" w:rsidRDefault="00D44893" w:rsidP="00D44893">
      <w:pPr>
        <w:pStyle w:val="StandardWeb"/>
      </w:pPr>
      <w:r>
        <w:t>Insbesondere sind sowohl</w:t>
      </w:r>
    </w:p>
    <w:p w:rsidR="00D44893" w:rsidRDefault="00D44893" w:rsidP="00D44893">
      <w:pPr>
        <w:pStyle w:val="StandardWeb"/>
      </w:pPr>
      <w:r>
        <w:t>[</w:t>
      </w:r>
      <w:r>
        <w:br/>
        <w:t>|\mathcal C_F^{\pm}|=1</w:t>
      </w:r>
      <w:r>
        <w:br/>
        <w:t>\tag{3.10232}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C_F^{\pm}|=1</w:t>
      </w:r>
    </w:p>
    <w:p w:rsidR="00D44893" w:rsidRDefault="00D44893" w:rsidP="00D44893">
      <w:pPr>
        <w:pStyle w:val="StandardWeb"/>
      </w:pPr>
      <w:r>
        <w:t>als auch</w:t>
      </w:r>
    </w:p>
    <w:p w:rsidR="00D44893" w:rsidRDefault="00D44893" w:rsidP="00D44893">
      <w:pPr>
        <w:pStyle w:val="StandardWeb"/>
      </w:pPr>
      <w:r>
        <w:t>[</w:t>
      </w:r>
      <w:r>
        <w:br/>
        <w:t>|\mathcal C_F^{\pm}|\geq2</w:t>
      </w:r>
      <w:r>
        <w:br/>
        <w:t>\tag{3.10233}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C_F^{\pm}|\geq2</w:t>
      </w:r>
    </w:p>
    <w:p w:rsidR="00D44893" w:rsidRDefault="00D44893" w:rsidP="00D44893">
      <w:pPr>
        <w:pStyle w:val="StandardWeb"/>
      </w:pPr>
      <w:r>
        <w:t>zulässige Modellstrukturen.</w:t>
      </w:r>
    </w:p>
    <w:p w:rsidR="00D44893" w:rsidRDefault="00D44893" w:rsidP="00D44893">
      <w:pPr>
        <w:pStyle w:val="StandardWeb"/>
      </w:pPr>
      <w:r>
        <w:t>Daher bleibt</w:t>
      </w:r>
    </w:p>
    <w:p w:rsidR="00D44893" w:rsidRDefault="00D44893" w:rsidP="00D44893">
      <w:pPr>
        <w:pStyle w:val="StandardWeb"/>
      </w:pPr>
      <w:r>
        <w:t>[</w:t>
      </w:r>
      <w:r>
        <w:br/>
        <w:t>\boxed{</w:t>
      </w:r>
      <w:r>
        <w:br/>
        <w:t>\mathfrak U_F</w:t>
      </w:r>
      <w:r>
        <w:br/>
        <w:t>\nRightarrow</w:t>
      </w:r>
      <w:r>
        <w:br/>
        <w:t>M_I.</w:t>
      </w:r>
      <w:r>
        <w:br/>
        <w:t>}</w:t>
      </w:r>
      <w:r>
        <w:br/>
        <w:t>\tag{3.10234}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lastRenderedPageBreak/>
        <w:t>\boxed{\mathfrak U_F\nRightarrow M_I.}</w:t>
      </w:r>
    </w:p>
    <w:p w:rsidR="00D44893" w:rsidRDefault="00E50336" w:rsidP="00D44893">
      <w:r>
        <w:pict>
          <v:rect id="_x0000_i3181" style="width:0;height:1.5pt" o:hralign="center" o:hrstd="t" o:hr="t" fillcolor="#a0a0a0" stroked="f"/>
        </w:pict>
      </w:r>
    </w:p>
    <w:p w:rsidR="00D44893" w:rsidRDefault="00D44893" w:rsidP="00D44893">
      <w:pPr>
        <w:pStyle w:val="berschrift1"/>
      </w:pPr>
      <w:r>
        <w:t>3.3.45.81 Erneute Primäraxiomprüfung nach struktureller Charakterisierung</w:t>
      </w:r>
    </w:p>
    <w:p w:rsidR="00D44893" w:rsidRDefault="00D44893" w:rsidP="00D44893">
      <w:pPr>
        <w:pStyle w:val="StandardWeb"/>
      </w:pPr>
      <w:r>
        <w:t>Die genauere Zusammenhangsanalyse ändert damit die frühere Axiomentscheidung nicht.</w:t>
      </w:r>
    </w:p>
    <w:p w:rsidR="00D44893" w:rsidRDefault="00D44893" w:rsidP="00D44893">
      <w:pPr>
        <w:pStyle w:val="StandardWeb"/>
      </w:pPr>
      <w:r>
        <w:t>Es gilt weiterhin</w:t>
      </w:r>
    </w:p>
    <w:p w:rsidR="00D44893" w:rsidRDefault="00D44893" w:rsidP="00D44893">
      <w:pPr>
        <w:pStyle w:val="StandardWeb"/>
      </w:pPr>
      <w:r>
        <w:t>[</w:t>
      </w:r>
      <w:r>
        <w:br/>
        <w:t>U_{\mathrm{Ax}}(A_I)=0.</w:t>
      </w:r>
      <w:r>
        <w:br/>
        <w:t>\tag{3.10235}</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U_{\mathrm{Ax}}(A_I)=0</w:t>
      </w:r>
    </w:p>
    <w:p w:rsidR="00D44893" w:rsidRDefault="00D44893" w:rsidP="00D44893">
      <w:pPr>
        <w:pStyle w:val="StandardWeb"/>
      </w:pPr>
      <w:r>
        <w:t>und damit</w:t>
      </w:r>
    </w:p>
    <w:p w:rsidR="00D44893" w:rsidRDefault="00D44893" w:rsidP="00D44893">
      <w:pPr>
        <w:pStyle w:val="StandardWeb"/>
      </w:pPr>
      <w:r>
        <w:t>[</w:t>
      </w:r>
      <w:r>
        <w:br/>
        <w:t>\boxed{</w:t>
      </w:r>
      <w:r>
        <w:br/>
        <w:t>\operatorname{Stat}(A_I)=\mathrm{Mod}.</w:t>
      </w:r>
      <w:r>
        <w:br/>
        <w:t>}</w:t>
      </w:r>
      <w:r>
        <w:br/>
        <w:t>\tag{3.10236}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\boxed{\operatorname{Stat}(A_I)=\mathrm{Mod}.}</w:t>
      </w:r>
    </w:p>
    <w:p w:rsidR="00D44893" w:rsidRDefault="00E50336" w:rsidP="00D44893">
      <w:r>
        <w:pict>
          <v:rect id="_x0000_i3182" style="width:0;height:1.5pt" o:hralign="center" o:hrstd="t" o:hr="t" fillcolor="#a0a0a0" stroked="f"/>
        </w:pict>
      </w:r>
    </w:p>
    <w:p w:rsidR="00D44893" w:rsidRDefault="00D44893" w:rsidP="00D44893">
      <w:pPr>
        <w:pStyle w:val="berschrift1"/>
      </w:pPr>
      <w:r>
        <w:t>3.3.45.82 Lokale Invarianz kann dennoch überall auftreten</w:t>
      </w:r>
    </w:p>
    <w:p w:rsidR="00D44893" w:rsidRDefault="00D44893" w:rsidP="00D44893">
      <w:pPr>
        <w:pStyle w:val="StandardWeb"/>
      </w:pPr>
      <w:r>
        <w:t>Die Ablehnung eines globalen Invarianzprimäraxioms bedeutet nicht, dass lokale Invarianten unbedeutend wären.</w:t>
      </w:r>
    </w:p>
    <w:p w:rsidR="00D44893" w:rsidRDefault="00D44893" w:rsidP="00D44893">
      <w:pPr>
        <w:pStyle w:val="StandardWeb"/>
      </w:pPr>
      <w:r>
        <w:t>Für unterschiedliche Teilräume</w:t>
      </w:r>
    </w:p>
    <w:p w:rsidR="00D44893" w:rsidRDefault="00D44893" w:rsidP="00D44893">
      <w:pPr>
        <w:pStyle w:val="StandardWeb"/>
      </w:pPr>
      <w:r>
        <w:t>[</w:t>
      </w:r>
      <w:r>
        <w:br/>
        <w:t>U_\alpha\subseteq\Omega_F</w:t>
      </w:r>
      <w:r>
        <w:br/>
        <w:t>\tag{3.10237}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U_\alpha\subseteq\Omega_F</w:t>
      </w:r>
    </w:p>
    <w:p w:rsidR="00D44893" w:rsidRDefault="00D44893" w:rsidP="00D44893">
      <w:pPr>
        <w:pStyle w:val="StandardWeb"/>
      </w:pPr>
      <w:r>
        <w:lastRenderedPageBreak/>
        <w:t>können jeweils unterschiedliche lokale Invarianten</w:t>
      </w:r>
    </w:p>
    <w:p w:rsidR="00D44893" w:rsidRDefault="00D44893" w:rsidP="00D44893">
      <w:pPr>
        <w:pStyle w:val="StandardWeb"/>
      </w:pPr>
      <w:r>
        <w:t>[</w:t>
      </w:r>
      <w:r>
        <w:br/>
        <w:t>I_F^{(\alpha)}</w:t>
      </w:r>
      <w:r>
        <w:br/>
        <w:t>\tag{3.10238}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I_F^{(\alpha)}</w:t>
      </w:r>
    </w:p>
    <w:p w:rsidR="00D44893" w:rsidRDefault="00D44893" w:rsidP="00D44893">
      <w:pPr>
        <w:pStyle w:val="StandardWeb"/>
      </w:pPr>
      <w:r>
        <w:t>existieren.</w:t>
      </w:r>
    </w:p>
    <w:p w:rsidR="00D44893" w:rsidRDefault="00D44893" w:rsidP="00D44893">
      <w:pPr>
        <w:pStyle w:val="StandardWeb"/>
      </w:pPr>
      <w:r>
        <w:t>Damit kann ein Modell lokal hochgradig invariant strukturiert sein, obwohl keine einzige nichttriviale globale Invariante existiert.</w:t>
      </w:r>
    </w:p>
    <w:p w:rsidR="00D44893" w:rsidRDefault="00E50336" w:rsidP="00D44893">
      <w:r>
        <w:pict>
          <v:rect id="_x0000_i3183" style="width:0;height:1.5pt" o:hralign="center" o:hrstd="t" o:hr="t" fillcolor="#a0a0a0" stroked="f"/>
        </w:pict>
      </w:r>
    </w:p>
    <w:p w:rsidR="00D44893" w:rsidRDefault="00D44893" w:rsidP="00D44893">
      <w:pPr>
        <w:pStyle w:val="berschrift1"/>
      </w:pPr>
      <w:r>
        <w:t>3.3.45.83 Definition 3.3.115 – Lokale Invariantenfamilie</w:t>
      </w:r>
    </w:p>
    <w:p w:rsidR="00D44893" w:rsidRDefault="00D44893" w:rsidP="00D44893">
      <w:pPr>
        <w:pStyle w:val="berschrift3"/>
      </w:pPr>
      <w:r>
        <w:t>Definition 3.3.115</w:t>
      </w:r>
    </w:p>
    <w:p w:rsidR="00D44893" w:rsidRDefault="00D44893" w:rsidP="00D44893">
      <w:pPr>
        <w:pStyle w:val="StandardWeb"/>
      </w:pPr>
      <w:r>
        <w:t xml:space="preserve">Eine </w:t>
      </w:r>
      <w:r>
        <w:rPr>
          <w:rStyle w:val="Fett"/>
        </w:rPr>
        <w:t>lokale Invariantenfamilie</w:t>
      </w:r>
      <w:r>
        <w:t xml:space="preserve"> ist eine Familie</w:t>
      </w:r>
    </w:p>
    <w:p w:rsidR="00D44893" w:rsidRDefault="00D44893" w:rsidP="00D44893">
      <w:pPr>
        <w:pStyle w:val="berschrift1"/>
      </w:pPr>
      <w:r>
        <w:t>[</w:t>
      </w:r>
      <w:r>
        <w:br/>
        <w:t>\boxed{</w:t>
      </w:r>
      <w:r>
        <w:br/>
        <w:t>\mathfrak I_F^{\mathrm{loc}}</w:t>
      </w:r>
    </w:p>
    <w:p w:rsidR="00D44893" w:rsidRDefault="00D44893" w:rsidP="00D44893">
      <w:pPr>
        <w:pStyle w:val="StandardWeb"/>
      </w:pPr>
      <w:r>
        <w:t>\left{</w:t>
      </w:r>
      <w:r>
        <w:br/>
        <w:t>(U_\alpha,I_F^{(\alpha)})</w:t>
      </w:r>
      <w:r>
        <w:br/>
        <w:t>\right}_{\alpha\in A},</w:t>
      </w:r>
      <w:r>
        <w:br/>
        <w:t>}</w:t>
      </w:r>
      <w:r>
        <w:br/>
        <w:t>\tag{3.10239}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\boxed{\mathfrak I_F^{\mathrm{loc}}=\left\{(U_\alpha,I_F^{(\alpha)})\right\}_{\alpha\in A}.}</w:t>
      </w:r>
    </w:p>
    <w:p w:rsidR="00D44893" w:rsidRDefault="00D44893" w:rsidP="00D44893">
      <w:pPr>
        <w:pStyle w:val="StandardWeb"/>
      </w:pPr>
      <w:r>
        <w:t>wobei jedes (I_F^{(\alpha)}) auf (U_\alpha) lokal funktional invariant ist.</w:t>
      </w:r>
    </w:p>
    <w:p w:rsidR="00D44893" w:rsidRDefault="00E50336" w:rsidP="00D44893">
      <w:r>
        <w:pict>
          <v:rect id="_x0000_i3184" style="width:0;height:1.5pt" o:hralign="center" o:hrstd="t" o:hr="t" fillcolor="#a0a0a0" stroked="f"/>
        </w:pict>
      </w:r>
    </w:p>
    <w:p w:rsidR="00D44893" w:rsidRDefault="00D44893" w:rsidP="00D44893">
      <w:pPr>
        <w:pStyle w:val="berschrift1"/>
      </w:pPr>
      <w:r>
        <w:t>3.3.45.84 Überlappende lokale Invarianten</w:t>
      </w:r>
    </w:p>
    <w:p w:rsidR="00D44893" w:rsidRDefault="00D44893" w:rsidP="00D44893">
      <w:pPr>
        <w:pStyle w:val="StandardWeb"/>
      </w:pPr>
      <w:r>
        <w:t>Für zwei lokale Bereiche</w:t>
      </w:r>
    </w:p>
    <w:p w:rsidR="00D44893" w:rsidRDefault="00D44893" w:rsidP="00D44893">
      <w:pPr>
        <w:pStyle w:val="StandardWeb"/>
      </w:pPr>
      <w:r>
        <w:lastRenderedPageBreak/>
        <w:t>[</w:t>
      </w:r>
      <w:r>
        <w:br/>
        <w:t>U_\alpha\cap U_\beta\neq\varnothing</w:t>
      </w:r>
      <w:r>
        <w:br/>
        <w:t>\tag{3.10240}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U_\alpha\cap U_\beta\neq\varnothing</w:t>
      </w:r>
    </w:p>
    <w:p w:rsidR="00D44893" w:rsidRDefault="00D44893" w:rsidP="00D44893">
      <w:pPr>
        <w:pStyle w:val="StandardWeb"/>
      </w:pPr>
      <w:r>
        <w:t>müssen die zugehörigen Invarianten nicht automatisch übereinstimmen.</w:t>
      </w:r>
    </w:p>
    <w:p w:rsidR="00D44893" w:rsidRDefault="00D44893" w:rsidP="00D44893">
      <w:pPr>
        <w:pStyle w:val="StandardWeb"/>
      </w:pPr>
      <w:r>
        <w:t>Es kann gelten</w:t>
      </w:r>
    </w:p>
    <w:p w:rsidR="00D44893" w:rsidRDefault="00D44893" w:rsidP="00D44893">
      <w:pPr>
        <w:pStyle w:val="StandardWeb"/>
      </w:pPr>
      <w:r>
        <w:t>[</w:t>
      </w:r>
      <w:r>
        <w:br/>
        <w:t>I_F^{(\alpha)}|</w:t>
      </w:r>
      <w:r>
        <w:rPr>
          <w:rStyle w:val="Hervorhebung"/>
        </w:rPr>
        <w:t>{U</w:t>
      </w:r>
      <w:r>
        <w:t>\alpha\cap U_\beta}</w:t>
      </w:r>
      <w:r>
        <w:br/>
        <w:t>\neq</w:t>
      </w:r>
      <w:r>
        <w:br/>
        <w:t>I_F^{(\beta)}|</w:t>
      </w:r>
      <w:r>
        <w:rPr>
          <w:rStyle w:val="Hervorhebung"/>
        </w:rPr>
        <w:t>{U</w:t>
      </w:r>
      <w:r>
        <w:t>\alpha\cap U_\beta}.</w:t>
      </w:r>
      <w:r>
        <w:br/>
        <w:t>\tag{3.10241}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I_F^{(\alpha)}|_{U_\alpha\cap U_\beta}\neq I_F^{(\beta)}|_{U_\alpha\cap U_\beta}</w:t>
      </w:r>
    </w:p>
    <w:p w:rsidR="00D44893" w:rsidRDefault="00D44893" w:rsidP="00D44893">
      <w:pPr>
        <w:pStyle w:val="StandardWeb"/>
      </w:pPr>
      <w:r>
        <w:t>Damit ist eine lokale Invariantenfamilie noch keine globale Invariante.</w:t>
      </w:r>
    </w:p>
    <w:p w:rsidR="00D44893" w:rsidRDefault="00E50336" w:rsidP="00D44893">
      <w:r>
        <w:pict>
          <v:rect id="_x0000_i3185" style="width:0;height:1.5pt" o:hralign="center" o:hrstd="t" o:hr="t" fillcolor="#a0a0a0" stroked="f"/>
        </w:pict>
      </w:r>
    </w:p>
    <w:p w:rsidR="00D44893" w:rsidRDefault="00D44893" w:rsidP="00D44893">
      <w:pPr>
        <w:pStyle w:val="berschrift1"/>
      </w:pPr>
      <w:r>
        <w:t>3.3.45.85 Kompatibilitätsbedingung lokaler Invarianten</w:t>
      </w:r>
    </w:p>
    <w:p w:rsidR="00D44893" w:rsidRDefault="00D44893" w:rsidP="00D44893">
      <w:pPr>
        <w:pStyle w:val="StandardWeb"/>
      </w:pPr>
      <w:r>
        <w:t>Eine mögliche Verklebungsbedingung lautet</w:t>
      </w:r>
    </w:p>
    <w:p w:rsidR="00D44893" w:rsidRDefault="00D44893" w:rsidP="00D44893">
      <w:pPr>
        <w:pStyle w:val="berschrift1"/>
      </w:pPr>
      <w:r>
        <w:t>[</w:t>
      </w:r>
      <w:r>
        <w:br/>
        <w:t>I_F^{(\alpha)}|</w:t>
      </w:r>
      <w:r>
        <w:rPr>
          <w:rStyle w:val="Hervorhebung"/>
        </w:rPr>
        <w:t>{U</w:t>
      </w:r>
      <w:r>
        <w:t>\alpha\cap U_\beta}</w:t>
      </w:r>
    </w:p>
    <w:p w:rsidR="00D44893" w:rsidRDefault="00D44893" w:rsidP="00D44893">
      <w:pPr>
        <w:pStyle w:val="StandardWeb"/>
      </w:pPr>
      <w:r>
        <w:t>I_F^{(\beta)}|</w:t>
      </w:r>
      <w:r>
        <w:rPr>
          <w:rStyle w:val="Hervorhebung"/>
        </w:rPr>
        <w:t>{U</w:t>
      </w:r>
      <w:r>
        <w:t>\alpha\cap U_\beta}.</w:t>
      </w:r>
      <w:r>
        <w:br/>
        <w:t>\tag{3.10242}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I_F^{(\alpha)}|_{U_\alpha\cap U_\beta}=I_F^{(\beta)}|_{U_\alpha\cap U_\beta}</w:t>
      </w:r>
    </w:p>
    <w:p w:rsidR="00D44893" w:rsidRDefault="00D44893" w:rsidP="00D44893">
      <w:pPr>
        <w:pStyle w:val="StandardWeb"/>
      </w:pPr>
      <w:r>
        <w:t>Sind sämtliche lokalen Invarianten auf allen Überlappungen kompatibel, kann unter geeigneten Voraussetzungen eine gemeinsame globale Funktion konstruiert werden.</w:t>
      </w:r>
    </w:p>
    <w:p w:rsidR="00D44893" w:rsidRDefault="00E50336" w:rsidP="00D44893">
      <w:r>
        <w:lastRenderedPageBreak/>
        <w:pict>
          <v:rect id="_x0000_i3186" style="width:0;height:1.5pt" o:hralign="center" o:hrstd="t" o:hr="t" fillcolor="#a0a0a0" stroked="f"/>
        </w:pict>
      </w:r>
    </w:p>
    <w:p w:rsidR="00D44893" w:rsidRDefault="00D44893" w:rsidP="00D44893">
      <w:pPr>
        <w:pStyle w:val="berschrift1"/>
      </w:pPr>
      <w:r>
        <w:t>3.3.45.86 Definition 3.3.116 – Kompatible lokale Invariantenfamilie</w:t>
      </w:r>
    </w:p>
    <w:p w:rsidR="00D44893" w:rsidRDefault="00D44893" w:rsidP="00D44893">
      <w:pPr>
        <w:pStyle w:val="berschrift3"/>
      </w:pPr>
      <w:r>
        <w:t>Definition 3.3.116</w:t>
      </w:r>
    </w:p>
    <w:p w:rsidR="00D44893" w:rsidRDefault="00D44893" w:rsidP="00D44893">
      <w:pPr>
        <w:pStyle w:val="StandardWeb"/>
      </w:pPr>
      <w:r>
        <w:t xml:space="preserve">Eine lokale Invariantenfamilie heißt </w:t>
      </w:r>
      <w:r>
        <w:rPr>
          <w:rStyle w:val="Fett"/>
        </w:rPr>
        <w:t>kompatibel</w:t>
      </w:r>
      <w:r>
        <w:t>, wenn für alle überlappenden Bereiche gilt</w:t>
      </w:r>
    </w:p>
    <w:p w:rsidR="00D44893" w:rsidRDefault="00D44893" w:rsidP="00D44893">
      <w:pPr>
        <w:pStyle w:val="berschrift1"/>
      </w:pPr>
      <w:r>
        <w:t>[</w:t>
      </w:r>
      <w:r>
        <w:br/>
        <w:t>\boxed{</w:t>
      </w:r>
      <w:r>
        <w:br/>
        <w:t>U_\alpha\cap U_\beta\neq\varnothing</w:t>
      </w:r>
      <w:r>
        <w:br/>
        <w:t>\Rightarrow</w:t>
      </w:r>
      <w:r>
        <w:br/>
        <w:t>I_F^{(\alpha)}|</w:t>
      </w:r>
      <w:r>
        <w:rPr>
          <w:rStyle w:val="Hervorhebung"/>
        </w:rPr>
        <w:t>{U</w:t>
      </w:r>
      <w:r>
        <w:t>\alpha\cap U_\beta}</w:t>
      </w:r>
    </w:p>
    <w:p w:rsidR="00D44893" w:rsidRDefault="00D44893" w:rsidP="00D44893">
      <w:pPr>
        <w:pStyle w:val="StandardWeb"/>
      </w:pPr>
      <w:r>
        <w:t>I_F^{(\beta)}|</w:t>
      </w:r>
      <w:r>
        <w:rPr>
          <w:rStyle w:val="Hervorhebung"/>
        </w:rPr>
        <w:t>{U</w:t>
      </w:r>
      <w:r>
        <w:t>\alpha\cap U_\beta}.</w:t>
      </w:r>
      <w:r>
        <w:br/>
        <w:t>}</w:t>
      </w:r>
      <w:r>
        <w:br/>
        <w:t>\tag{3.10243}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\boxed{U_\alpha\cap U_\beta\neq\varnothing\Rightarrow I_F^{(\alpha)}|_{U_\alpha\cap U_\beta}=I_F^{(\beta)}|_{U_\alpha\cap U_\beta}.}</w:t>
      </w:r>
    </w:p>
    <w:p w:rsidR="00D44893" w:rsidRDefault="00E50336" w:rsidP="00D44893">
      <w:r>
        <w:pict>
          <v:rect id="_x0000_i3187" style="width:0;height:1.5pt" o:hralign="center" o:hrstd="t" o:hr="t" fillcolor="#a0a0a0" stroked="f"/>
        </w:pict>
      </w:r>
    </w:p>
    <w:p w:rsidR="00D44893" w:rsidRDefault="00D44893" w:rsidP="00D44893">
      <w:pPr>
        <w:pStyle w:val="berschrift1"/>
      </w:pPr>
      <w:r>
        <w:t>3.3.45.87 Lokale-zu-globale-Frage</w:t>
      </w:r>
    </w:p>
    <w:p w:rsidR="00D44893" w:rsidRDefault="00D44893" w:rsidP="00D44893">
      <w:pPr>
        <w:pStyle w:val="StandardWeb"/>
      </w:pPr>
      <w:r>
        <w:t>Damit entsteht die Frage, ob</w:t>
      </w:r>
    </w:p>
    <w:p w:rsidR="00D44893" w:rsidRDefault="00D44893" w:rsidP="00D44893">
      <w:pPr>
        <w:pStyle w:val="StandardWeb"/>
      </w:pPr>
      <w:r>
        <w:t>[</w:t>
      </w:r>
      <w:r>
        <w:br/>
        <w:t>\mathfrak I_F^{\mathrm{loc}}</w:t>
      </w:r>
      <w:r>
        <w:br/>
        <w:t>\tag{3.10244}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\mathfrak I_F^{\mathrm{loc}}</w:t>
      </w:r>
    </w:p>
    <w:p w:rsidR="00D44893" w:rsidRDefault="00D44893" w:rsidP="00D44893">
      <w:pPr>
        <w:pStyle w:val="StandardWeb"/>
      </w:pPr>
      <w:r>
        <w:t>zu einer globalen Invarianten</w:t>
      </w:r>
    </w:p>
    <w:p w:rsidR="00D44893" w:rsidRDefault="00D44893" w:rsidP="00D44893">
      <w:pPr>
        <w:pStyle w:val="StandardWeb"/>
      </w:pPr>
      <w:r>
        <w:t>[</w:t>
      </w:r>
      <w:r>
        <w:br/>
        <w:t>I_F</w:t>
      </w:r>
      <w:r>
        <w:br/>
        <w:t>\tag{3.10245}</w:t>
      </w:r>
      <w:r>
        <w:br/>
        <w:t>]</w:t>
      </w:r>
    </w:p>
    <w:p w:rsidR="00D44893" w:rsidRDefault="00D44893" w:rsidP="00D44893">
      <w:pPr>
        <w:pStyle w:val="StandardWeb"/>
      </w:pPr>
      <w:r>
        <w:rPr>
          <w:rStyle w:val="Fett"/>
        </w:rPr>
        <w:lastRenderedPageBreak/>
        <w:t>Word-LaTeX</w:t>
      </w:r>
    </w:p>
    <w:p w:rsidR="00D44893" w:rsidRDefault="00D44893" w:rsidP="00D44893">
      <w:pPr>
        <w:pStyle w:val="HTMLVorformatiert"/>
        <w:rPr>
          <w:rStyle w:val="HTMLCode"/>
        </w:rPr>
      </w:pPr>
      <w:r>
        <w:rPr>
          <w:rStyle w:val="HTMLCode"/>
        </w:rPr>
        <w:t>I_F</w:t>
      </w:r>
    </w:p>
    <w:p w:rsidR="00D44893" w:rsidRDefault="00D44893" w:rsidP="00D44893">
      <w:pPr>
        <w:pStyle w:val="StandardWeb"/>
      </w:pPr>
      <w:r>
        <w:t>zusammengesetzt werden kann.</w:t>
      </w:r>
    </w:p>
    <w:p w:rsidR="00D44893" w:rsidRDefault="00D44893" w:rsidP="00D44893">
      <w:pPr>
        <w:pStyle w:val="StandardWeb"/>
      </w:pPr>
      <w:r>
        <w:t>Diese Frage ist strukturell von der ursprünglichen Existenzfrage (A_I) zu unterscheiden.</w:t>
      </w:r>
    </w:p>
    <w:p w:rsidR="00D44893" w:rsidRDefault="00E50336" w:rsidP="00D44893">
      <w:r>
        <w:pict>
          <v:rect id="_x0000_i3188" style="width:0;height:1.5pt" o:hralign="center" o:hrstd="t" o:hr="t" fillcolor="#a0a0a0" stroked="f"/>
        </w:pict>
      </w:r>
    </w:p>
    <w:p w:rsidR="00D44893" w:rsidRDefault="00D44893" w:rsidP="00D44893">
      <w:pPr>
        <w:pStyle w:val="berschrift1"/>
      </w:pPr>
      <w:r>
        <w:t>3.3.45.88 Verklebung bei vollständiger Überdeckung</w:t>
      </w:r>
    </w:p>
    <w:p w:rsidR="00D44893" w:rsidRDefault="00D44893" w:rsidP="00D44893">
      <w:pPr>
        <w:pStyle w:val="StandardWeb"/>
      </w:pPr>
      <w:r>
        <w:t>Sei</w:t>
      </w:r>
    </w:p>
    <w:p w:rsidR="00D44893" w:rsidRDefault="00D44893" w:rsidP="00D44893">
      <w:pPr>
        <w:pStyle w:val="berschrift1"/>
      </w:pPr>
      <w:r>
        <w:t>[</w:t>
      </w:r>
      <w:r>
        <w:br/>
        <w:t>\Omega_F</w:t>
      </w:r>
    </w:p>
    <w:p w:rsidR="00D44893" w:rsidRDefault="00D44893" w:rsidP="00D44893">
      <w:pPr>
        <w:pStyle w:val="StandardWeb"/>
      </w:pPr>
      <w:r>
        <w:t>\bigcup_{\alpha\in A}</w:t>
      </w:r>
      <w:r>
        <w:br/>
        <w:t>U_\alpha.</w:t>
      </w:r>
      <w:r>
        <w:br/>
        <w:t>\tag{3.10246}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\Omega_F=\bigcup_{\alpha\in A}U_\alpha</w:t>
      </w:r>
    </w:p>
    <w:p w:rsidR="00D44893" w:rsidRDefault="00D44893" w:rsidP="00D44893">
      <w:pPr>
        <w:pStyle w:val="StandardWeb"/>
      </w:pPr>
      <w:r>
        <w:t>Sind die lokalen Funktionen auf allen Überlappungen kompatibel, kann ich punktweise</w:t>
      </w:r>
    </w:p>
    <w:p w:rsidR="00D44893" w:rsidRDefault="00D44893" w:rsidP="00D44893">
      <w:pPr>
        <w:pStyle w:val="berschrift1"/>
      </w:pPr>
      <w:r>
        <w:t>[</w:t>
      </w:r>
      <w:r>
        <w:br/>
        <w:t>I_F(z)</w:t>
      </w:r>
    </w:p>
    <w:p w:rsidR="00D44893" w:rsidRDefault="00D44893" w:rsidP="00D44893">
      <w:pPr>
        <w:pStyle w:val="StandardWeb"/>
      </w:pPr>
      <w:r>
        <w:t>I_F^{(\alpha)}(z)</w:t>
      </w:r>
      <w:r>
        <w:br/>
        <w:t>\qquad</w:t>
      </w:r>
      <w:r>
        <w:br/>
        <w:t>\text{für }z\in U_\alpha</w:t>
      </w:r>
      <w:r>
        <w:br/>
        <w:t>\tag{3.10247}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I_F(z)=I_F^{(\alpha)}(z)\qquad\text{für }z\in U_\alpha</w:t>
      </w:r>
    </w:p>
    <w:p w:rsidR="00D44893" w:rsidRDefault="00D44893" w:rsidP="00D44893">
      <w:pPr>
        <w:pStyle w:val="StandardWeb"/>
      </w:pPr>
      <w:r>
        <w:t>definieren.</w:t>
      </w:r>
    </w:p>
    <w:p w:rsidR="00D44893" w:rsidRDefault="00D44893" w:rsidP="00D44893">
      <w:pPr>
        <w:pStyle w:val="StandardWeb"/>
      </w:pPr>
      <w:r>
        <w:t>Die Kompatibilitätsbedingung stellt sicher, dass diese Definition unabhängig von der Wahl des Teilbereichs ist.</w:t>
      </w:r>
    </w:p>
    <w:p w:rsidR="00D44893" w:rsidRDefault="00E50336" w:rsidP="00D44893">
      <w:r>
        <w:pict>
          <v:rect id="_x0000_i3189" style="width:0;height:1.5pt" o:hralign="center" o:hrstd="t" o:hr="t" fillcolor="#a0a0a0" stroked="f"/>
        </w:pict>
      </w:r>
    </w:p>
    <w:p w:rsidR="00D44893" w:rsidRDefault="00D44893" w:rsidP="00D44893">
      <w:pPr>
        <w:pStyle w:val="berschrift1"/>
      </w:pPr>
      <w:r>
        <w:lastRenderedPageBreak/>
        <w:t>3.3.45.89 Satz 3.3.44 – Verklebung kompatibler lokaler Invarianten</w:t>
      </w:r>
    </w:p>
    <w:p w:rsidR="00D44893" w:rsidRDefault="00D44893" w:rsidP="00D44893">
      <w:pPr>
        <w:pStyle w:val="berschrift3"/>
      </w:pPr>
      <w:r>
        <w:t>Satz 3.3.44</w:t>
      </w:r>
    </w:p>
    <w:p w:rsidR="00D44893" w:rsidRDefault="00D44893" w:rsidP="00D44893">
      <w:pPr>
        <w:pStyle w:val="StandardWeb"/>
      </w:pPr>
      <w:r>
        <w:t>Sei</w:t>
      </w:r>
    </w:p>
    <w:p w:rsidR="00D44893" w:rsidRDefault="00D44893" w:rsidP="00D44893">
      <w:pPr>
        <w:pStyle w:val="StandardWeb"/>
      </w:pPr>
      <w:r>
        <w:t>[</w:t>
      </w:r>
      <w:r>
        <w:br/>
        <w:t>\Omega_F=\bigcup_{\alpha\in A}U_\alpha</w:t>
      </w:r>
      <w:r>
        <w:br/>
        <w:t>\tag{3.10248}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\Omega_F=\bigcup_{\alpha\in A}U_\alpha</w:t>
      </w:r>
    </w:p>
    <w:p w:rsidR="00D44893" w:rsidRDefault="00D44893" w:rsidP="00D44893">
      <w:pPr>
        <w:pStyle w:val="StandardWeb"/>
      </w:pPr>
      <w:r>
        <w:t>und sei ({I_F^{(\alpha)}}) eine kompatible lokale Invariantenfamilie.</w:t>
      </w:r>
    </w:p>
    <w:p w:rsidR="00D44893" w:rsidRDefault="00D44893" w:rsidP="00D44893">
      <w:pPr>
        <w:pStyle w:val="StandardWeb"/>
      </w:pPr>
      <w:r>
        <w:t>Dann existiert eine eindeutig bestimmte Funktion</w:t>
      </w:r>
    </w:p>
    <w:p w:rsidR="00D44893" w:rsidRDefault="00D44893" w:rsidP="00D44893">
      <w:pPr>
        <w:pStyle w:val="StandardWeb"/>
      </w:pPr>
      <w:r>
        <w:t>[</w:t>
      </w:r>
      <w:r>
        <w:br/>
        <w:t>I_F:\Omega_F\rightarrow\mathcal V</w:t>
      </w:r>
      <w:r>
        <w:br/>
        <w:t>\tag{3.10249}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I_F:\Omega_F\rightarrow\mathcal V</w:t>
      </w:r>
    </w:p>
    <w:p w:rsidR="00D44893" w:rsidRDefault="00D44893" w:rsidP="00D44893">
      <w:pPr>
        <w:pStyle w:val="StandardWeb"/>
      </w:pPr>
      <w:r>
        <w:t>mit</w:t>
      </w:r>
    </w:p>
    <w:p w:rsidR="00D44893" w:rsidRDefault="00D44893" w:rsidP="00D44893">
      <w:pPr>
        <w:pStyle w:val="StandardWeb"/>
      </w:pPr>
      <w:r>
        <w:t>[</w:t>
      </w:r>
      <w:r>
        <w:br/>
        <w:t>\boxed{</w:t>
      </w:r>
      <w:r>
        <w:br/>
        <w:t>I_F|</w:t>
      </w:r>
      <w:r>
        <w:rPr>
          <w:rStyle w:val="Hervorhebung"/>
        </w:rPr>
        <w:t>{U</w:t>
      </w:r>
      <w:r>
        <w:t>\alpha}=I_F^{(\alpha)}</w:t>
      </w:r>
      <w:r>
        <w:br/>
        <w:t>\qquad</w:t>
      </w:r>
      <w:r>
        <w:br/>
        <w:t>\forall\alpha.</w:t>
      </w:r>
      <w:r>
        <w:br/>
        <w:t>}</w:t>
      </w:r>
      <w:r>
        <w:br/>
        <w:t>\tag{3.10250}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\boxed{I_F|_{U_\alpha}=I_F^{(\alpha)}\qquad\forall\alpha.}</w:t>
      </w:r>
    </w:p>
    <w:p w:rsidR="00D44893" w:rsidRDefault="00D44893" w:rsidP="00D44893">
      <w:pPr>
        <w:pStyle w:val="berschrift3"/>
      </w:pPr>
      <w:r>
        <w:t>Beweis</w:t>
      </w:r>
    </w:p>
    <w:p w:rsidR="00D44893" w:rsidRDefault="00D44893" w:rsidP="00D44893">
      <w:pPr>
        <w:pStyle w:val="StandardWeb"/>
      </w:pPr>
      <w:r>
        <w:t>Für (z\in\Omega_F) existiert wegen der Überdeckung mindestens ein (\alpha) mit (z\in U_\alpha). Ich setze</w:t>
      </w:r>
    </w:p>
    <w:p w:rsidR="00D44893" w:rsidRDefault="00D44893" w:rsidP="00D44893">
      <w:pPr>
        <w:pStyle w:val="StandardWeb"/>
      </w:pPr>
      <w:r>
        <w:lastRenderedPageBreak/>
        <w:t>[</w:t>
      </w:r>
      <w:r>
        <w:br/>
        <w:t>I_F(z)=I_F^{(\alpha)}(z).</w:t>
      </w:r>
      <w:r>
        <w:br/>
        <w:t>\tag{3.10251}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I_F(z)=I_F^{(\alpha)}(z)</w:t>
      </w:r>
    </w:p>
    <w:p w:rsidR="00D44893" w:rsidRDefault="00D44893" w:rsidP="00D44893">
      <w:pPr>
        <w:pStyle w:val="StandardWeb"/>
      </w:pPr>
      <w:r>
        <w:t>Liegt (z) zugleich in (U_\alpha) und (U_\beta), liefert die Kompatibilitätsbedingung</w:t>
      </w:r>
    </w:p>
    <w:p w:rsidR="00D44893" w:rsidRDefault="00D44893" w:rsidP="00D44893">
      <w:pPr>
        <w:pStyle w:val="berschrift1"/>
      </w:pPr>
      <w:r>
        <w:t>[</w:t>
      </w:r>
      <w:r>
        <w:br/>
        <w:t>I_F^{(\alpha)}(z)</w:t>
      </w:r>
    </w:p>
    <w:p w:rsidR="00D44893" w:rsidRDefault="00D44893" w:rsidP="00D44893">
      <w:pPr>
        <w:pStyle w:val="StandardWeb"/>
      </w:pPr>
      <w:r>
        <w:t>I_F^{(\beta)}(z).</w:t>
      </w:r>
      <w:r>
        <w:br/>
        <w:t>\tag{3.10252}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I_F^{(\alpha)}(z)=I_F^{(\beta)}(z)</w:t>
      </w:r>
    </w:p>
    <w:p w:rsidR="00D44893" w:rsidRDefault="00D44893" w:rsidP="00D44893">
      <w:pPr>
        <w:pStyle w:val="StandardWeb"/>
      </w:pPr>
      <w:r>
        <w:t>Damit ist (I_F) wohldefiniert und eindeutig. (\square)</w:t>
      </w:r>
    </w:p>
    <w:p w:rsidR="00D44893" w:rsidRDefault="00E50336" w:rsidP="00D44893">
      <w:r>
        <w:pict>
          <v:rect id="_x0000_i3190" style="width:0;height:1.5pt" o:hralign="center" o:hrstd="t" o:hr="t" fillcolor="#a0a0a0" stroked="f"/>
        </w:pict>
      </w:r>
    </w:p>
    <w:p w:rsidR="00D44893" w:rsidRDefault="00D44893" w:rsidP="00D44893">
      <w:pPr>
        <w:pStyle w:val="berschrift1"/>
      </w:pPr>
      <w:r>
        <w:t>3.3.45.90 Wann ist die verklebte Funktion global invariant?</w:t>
      </w:r>
    </w:p>
    <w:p w:rsidR="00D44893" w:rsidRDefault="00D44893" w:rsidP="00D44893">
      <w:pPr>
        <w:pStyle w:val="StandardWeb"/>
      </w:pPr>
      <w:r>
        <w:t>Die bloße Verklebung lokaler Funktionen reicht noch nicht aus, wenn ein Übergang Zustände aus zwei Bereichen verbindet, die nicht gemeinsam von einem lokalen Invarianzbereich erfasst werden.</w:t>
      </w:r>
    </w:p>
    <w:p w:rsidR="00D44893" w:rsidRDefault="00D44893" w:rsidP="00D44893">
      <w:pPr>
        <w:pStyle w:val="StandardWeb"/>
      </w:pPr>
      <w:r>
        <w:t>Für globale Invarianz muss für jeden Übergang</w:t>
      </w:r>
    </w:p>
    <w:p w:rsidR="00D44893" w:rsidRDefault="00D44893" w:rsidP="00D44893">
      <w:pPr>
        <w:pStyle w:val="StandardWeb"/>
      </w:pPr>
      <w:r>
        <w:t>[</w:t>
      </w:r>
      <w:r>
        <w:br/>
        <w:t>(z_i,z_j)\in\mathcal T_F</w:t>
      </w:r>
      <w:r>
        <w:br/>
        <w:t>\tag{3.10253}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(z_i,z_j)\in\mathcal T_F</w:t>
      </w:r>
    </w:p>
    <w:p w:rsidR="00D44893" w:rsidRDefault="00D44893" w:rsidP="00D44893">
      <w:pPr>
        <w:pStyle w:val="StandardWeb"/>
      </w:pPr>
      <w:r>
        <w:t>mindestens ein Bereich (U_\alpha) existieren mit</w:t>
      </w:r>
    </w:p>
    <w:p w:rsidR="00D44893" w:rsidRDefault="00D44893" w:rsidP="00D44893">
      <w:pPr>
        <w:pStyle w:val="StandardWeb"/>
      </w:pPr>
      <w:r>
        <w:t>[</w:t>
      </w:r>
      <w:r>
        <w:br/>
        <w:t>z_i,z_j\in U_\alpha.</w:t>
      </w:r>
      <w:r>
        <w:br/>
      </w:r>
      <w:r>
        <w:lastRenderedPageBreak/>
        <w:t>\tag{3.10254}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z_i,z_j\in U_\alpha</w:t>
      </w:r>
    </w:p>
    <w:p w:rsidR="00D44893" w:rsidRDefault="00E50336" w:rsidP="00D44893">
      <w:r>
        <w:pict>
          <v:rect id="_x0000_i3191" style="width:0;height:1.5pt" o:hralign="center" o:hrstd="t" o:hr="t" fillcolor="#a0a0a0" stroked="f"/>
        </w:pict>
      </w:r>
    </w:p>
    <w:p w:rsidR="00D44893" w:rsidRDefault="00D44893" w:rsidP="00D44893">
      <w:pPr>
        <w:pStyle w:val="berschrift1"/>
      </w:pPr>
      <w:r>
        <w:t>3.3.45.91 Übergangsüberdeckende Familie</w:t>
      </w:r>
    </w:p>
    <w:p w:rsidR="00D44893" w:rsidRDefault="00D44893" w:rsidP="00D44893">
      <w:pPr>
        <w:pStyle w:val="StandardWeb"/>
      </w:pPr>
      <w:r>
        <w:t>Ich definiere daher die Bedingung</w:t>
      </w:r>
    </w:p>
    <w:p w:rsidR="00D44893" w:rsidRDefault="00D44893" w:rsidP="00D44893">
      <w:pPr>
        <w:pStyle w:val="StandardWeb"/>
      </w:pPr>
      <w:r>
        <w:t>[</w:t>
      </w:r>
      <w:r>
        <w:br/>
        <w:t>\forall(z_i,z_j)\in\mathcal T_F</w:t>
      </w:r>
      <w:r>
        <w:br/>
        <w:t>;</w:t>
      </w:r>
      <w:r>
        <w:br/>
        <w:t>\exists\alpha:</w:t>
      </w:r>
      <w:r>
        <w:br/>
        <w:t>z_i,z_j\in U_\alpha.</w:t>
      </w:r>
      <w:r>
        <w:br/>
        <w:t>\tag{3.10255}</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\forall(z_i,z_j)\in\mathcal T_F\;\exists\alpha:z_i,z_j\in U_\alpha</w:t>
      </w:r>
    </w:p>
    <w:p w:rsidR="00D44893" w:rsidRDefault="00D44893" w:rsidP="00D44893">
      <w:pPr>
        <w:pStyle w:val="StandardWeb"/>
      </w:pPr>
      <w:r>
        <w:t>Eine solche Überdeckung erfasst jeden zulässigen Einzelübergang vollständig innerhalb mindestens eines lokalen Bereichs.</w:t>
      </w:r>
    </w:p>
    <w:p w:rsidR="00D44893" w:rsidRDefault="00E50336" w:rsidP="00D44893">
      <w:r>
        <w:pict>
          <v:rect id="_x0000_i3192" style="width:0;height:1.5pt" o:hralign="center" o:hrstd="t" o:hr="t" fillcolor="#a0a0a0" stroked="f"/>
        </w:pict>
      </w:r>
    </w:p>
    <w:p w:rsidR="00D44893" w:rsidRDefault="00D44893" w:rsidP="00D44893">
      <w:pPr>
        <w:pStyle w:val="berschrift1"/>
      </w:pPr>
      <w:r>
        <w:t>3.3.45.92 Definition 3.3.117 – Übergangsüberdeckung</w:t>
      </w:r>
    </w:p>
    <w:p w:rsidR="00D44893" w:rsidRDefault="00D44893" w:rsidP="00D44893">
      <w:pPr>
        <w:pStyle w:val="berschrift3"/>
      </w:pPr>
      <w:r>
        <w:t>Definition 3.3.117</w:t>
      </w:r>
    </w:p>
    <w:p w:rsidR="00D44893" w:rsidRDefault="00D44893" w:rsidP="00D44893">
      <w:pPr>
        <w:pStyle w:val="StandardWeb"/>
      </w:pPr>
      <w:r>
        <w:t>Eine Familie</w:t>
      </w:r>
    </w:p>
    <w:p w:rsidR="00D44893" w:rsidRDefault="00D44893" w:rsidP="00D44893">
      <w:pPr>
        <w:pStyle w:val="StandardWeb"/>
      </w:pPr>
      <w:r>
        <w:t>[</w:t>
      </w:r>
      <w:r>
        <w:br/>
        <w:t>\mathcal U={U_\alpha}_{\alpha\in A}</w:t>
      </w:r>
      <w:r>
        <w:br/>
        <w:t>\tag{3.10256}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\mathcal U=\{U_\alpha\}_{\alpha\in A}</w:t>
      </w:r>
    </w:p>
    <w:p w:rsidR="00D44893" w:rsidRDefault="00D44893" w:rsidP="00D44893">
      <w:pPr>
        <w:pStyle w:val="StandardWeb"/>
      </w:pPr>
      <w:r>
        <w:t xml:space="preserve">heißt </w:t>
      </w:r>
      <w:r>
        <w:rPr>
          <w:rStyle w:val="Fett"/>
        </w:rPr>
        <w:t>Übergangsüberdeckung</w:t>
      </w:r>
      <w:r>
        <w:t xml:space="preserve"> von ((\Omega_F,\mathcal T_F)), wenn</w:t>
      </w:r>
    </w:p>
    <w:p w:rsidR="00D44893" w:rsidRDefault="00D44893" w:rsidP="00D44893">
      <w:pPr>
        <w:pStyle w:val="StandardWeb"/>
      </w:pPr>
      <w:r>
        <w:t>[</w:t>
      </w:r>
      <w:r>
        <w:br/>
        <w:t>\boxed{</w:t>
      </w:r>
      <w:r>
        <w:br/>
        <w:t>\Omega_F=\bigcup_{\alpha\in A}U_\alpha</w:t>
      </w:r>
      <w:r>
        <w:br/>
        <w:t>\land</w:t>
      </w:r>
      <w:r>
        <w:br/>
        <w:t>\forall(z_i,z_j)\in\mathcal T_F;</w:t>
      </w:r>
      <w:r>
        <w:br/>
      </w:r>
      <w:r>
        <w:lastRenderedPageBreak/>
        <w:t>\exists\alpha:</w:t>
      </w:r>
      <w:r>
        <w:br/>
        <w:t>z_i,z_j\in U_\alpha.</w:t>
      </w:r>
      <w:r>
        <w:br/>
        <w:t>}</w:t>
      </w:r>
      <w:r>
        <w:br/>
        <w:t>\tag{3.10257}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\boxed{\Omega_F=\bigcup_{\alpha\in A}U_\alpha\land\forall(z_i,z_j)\in\mathcal T_F\;\exists\alpha:z_i,z_j\in U_\alpha.}</w:t>
      </w:r>
    </w:p>
    <w:p w:rsidR="00D44893" w:rsidRDefault="00E50336" w:rsidP="00D44893">
      <w:r>
        <w:pict>
          <v:rect id="_x0000_i3193" style="width:0;height:1.5pt" o:hralign="center" o:hrstd="t" o:hr="t" fillcolor="#a0a0a0" stroked="f"/>
        </w:pict>
      </w:r>
    </w:p>
    <w:p w:rsidR="00D44893" w:rsidRDefault="00D44893" w:rsidP="00D44893">
      <w:pPr>
        <w:pStyle w:val="berschrift1"/>
      </w:pPr>
      <w:r>
        <w:t>3.3.45.93 Satz 3.3.45 – Lokale Invarianz plus Kompatibilität impliziert globale Invarianz</w:t>
      </w:r>
    </w:p>
    <w:p w:rsidR="00D44893" w:rsidRDefault="00D44893" w:rsidP="00D44893">
      <w:pPr>
        <w:pStyle w:val="berschrift3"/>
      </w:pPr>
      <w:r>
        <w:t>Satz 3.3.45</w:t>
      </w:r>
    </w:p>
    <w:p w:rsidR="00D44893" w:rsidRDefault="00D44893" w:rsidP="00D44893">
      <w:pPr>
        <w:pStyle w:val="StandardWeb"/>
      </w:pPr>
      <w:r>
        <w:t>Sei ({U_\alpha}) eine Übergangsüberdeckung und seien (I_F^{(\alpha)}) kompatible lokale Invarianten.</w:t>
      </w:r>
    </w:p>
    <w:p w:rsidR="00D44893" w:rsidRDefault="00D44893" w:rsidP="00D44893">
      <w:pPr>
        <w:pStyle w:val="StandardWeb"/>
      </w:pPr>
      <w:r>
        <w:t>Dann ist die nach Satz 3.3.44 verklebte Funktion (I_F) global funktional invariant:</w:t>
      </w:r>
    </w:p>
    <w:p w:rsidR="00D44893" w:rsidRDefault="00D44893" w:rsidP="00D44893">
      <w:pPr>
        <w:pStyle w:val="StandardWeb"/>
      </w:pPr>
      <w:r>
        <w:t>[</w:t>
      </w:r>
      <w:r>
        <w:br/>
        <w:t>\boxed{</w:t>
      </w:r>
      <w:r>
        <w:br/>
        <w:t>\forall(z_i,z_j)\in\mathcal T_F:</w:t>
      </w:r>
      <w:r>
        <w:br/>
        <w:t>I_F(z_i)=I_F(z_j).</w:t>
      </w:r>
      <w:r>
        <w:br/>
        <w:t>}</w:t>
      </w:r>
      <w:r>
        <w:br/>
        <w:t>\tag{3.10258}</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\boxed{\forall(z_i,z_j)\in\mathcal T_F:I_F(z_i)=I_F(z_j).}</w:t>
      </w:r>
    </w:p>
    <w:p w:rsidR="00D44893" w:rsidRDefault="00D44893" w:rsidP="00D44893">
      <w:pPr>
        <w:pStyle w:val="berschrift3"/>
      </w:pPr>
      <w:r>
        <w:t>Beweis</w:t>
      </w:r>
    </w:p>
    <w:p w:rsidR="00D44893" w:rsidRDefault="00D44893" w:rsidP="00D44893">
      <w:pPr>
        <w:pStyle w:val="StandardWeb"/>
      </w:pPr>
      <w:r>
        <w:t>Sei</w:t>
      </w:r>
    </w:p>
    <w:p w:rsidR="00D44893" w:rsidRDefault="00D44893" w:rsidP="00D44893">
      <w:pPr>
        <w:pStyle w:val="StandardWeb"/>
      </w:pPr>
      <w:r>
        <w:t>[</w:t>
      </w:r>
      <w:r>
        <w:br/>
        <w:t>(z_i,z_j)\in\mathcal T_F.</w:t>
      </w:r>
      <w:r>
        <w:br/>
        <w:t>\tag{3.10259}</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(z_i,z_j)\in\mathcal T_F</w:t>
      </w:r>
    </w:p>
    <w:p w:rsidR="00D44893" w:rsidRDefault="00D44893" w:rsidP="00D44893">
      <w:pPr>
        <w:pStyle w:val="StandardWeb"/>
      </w:pPr>
      <w:r>
        <w:t>Da ({U_\alpha}) eine Übergangsüberdeckung ist, existiert ein (\alpha) mit</w:t>
      </w:r>
    </w:p>
    <w:p w:rsidR="00D44893" w:rsidRDefault="00D44893" w:rsidP="00D44893">
      <w:pPr>
        <w:pStyle w:val="StandardWeb"/>
      </w:pPr>
      <w:r>
        <w:lastRenderedPageBreak/>
        <w:t>[</w:t>
      </w:r>
      <w:r>
        <w:br/>
        <w:t>z_i,z_j\in U_\alpha.</w:t>
      </w:r>
      <w:r>
        <w:br/>
        <w:t>\tag{3.10260}</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z_i,z_j\in U_\alpha</w:t>
      </w:r>
    </w:p>
    <w:p w:rsidR="00D44893" w:rsidRDefault="00D44893" w:rsidP="00D44893">
      <w:pPr>
        <w:pStyle w:val="StandardWeb"/>
      </w:pPr>
      <w:r>
        <w:t>Da (I_F^{(\alpha)}) auf (U_\alpha) lokal invariant ist,</w:t>
      </w:r>
    </w:p>
    <w:p w:rsidR="00D44893" w:rsidRDefault="00D44893" w:rsidP="00D44893">
      <w:pPr>
        <w:pStyle w:val="berschrift1"/>
      </w:pPr>
      <w:r>
        <w:t>[</w:t>
      </w:r>
      <w:r>
        <w:br/>
        <w:t>I_F^{(\alpha)}(z_i)</w:t>
      </w:r>
    </w:p>
    <w:p w:rsidR="00D44893" w:rsidRDefault="00D44893" w:rsidP="00D44893">
      <w:pPr>
        <w:pStyle w:val="StandardWeb"/>
      </w:pPr>
      <w:r>
        <w:t>I_F^{(\alpha)}(z_j).</w:t>
      </w:r>
      <w:r>
        <w:br/>
        <w:t>\tag{3.10261}</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I_F^{(\alpha)}(z_i)=I_F^{(\alpha)}(z_j)</w:t>
      </w:r>
    </w:p>
    <w:p w:rsidR="00D44893" w:rsidRDefault="00D44893" w:rsidP="00D44893">
      <w:pPr>
        <w:pStyle w:val="StandardWeb"/>
      </w:pPr>
      <w:r>
        <w:t>Wegen der Verklebung gilt</w:t>
      </w:r>
    </w:p>
    <w:p w:rsidR="00D44893" w:rsidRDefault="00D44893" w:rsidP="00D44893">
      <w:pPr>
        <w:pStyle w:val="berschrift1"/>
      </w:pPr>
      <w:r>
        <w:t>[</w:t>
      </w:r>
      <w:r>
        <w:br/>
        <w:t>I_F(z_i)</w:t>
      </w:r>
    </w:p>
    <w:p w:rsidR="00D44893" w:rsidRDefault="00D44893" w:rsidP="00D44893">
      <w:pPr>
        <w:pStyle w:val="StandardWeb"/>
      </w:pPr>
      <w:r>
        <w:t>I_F^{(\alpha)}(z_i)</w:t>
      </w:r>
      <w:r>
        <w:br/>
        <w:t>\tag{3.10262}</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I_F(z_i)=I_F^{(\alpha)}(z_i)</w:t>
      </w:r>
    </w:p>
    <w:p w:rsidR="00D44893" w:rsidRDefault="00D44893" w:rsidP="00D44893">
      <w:pPr>
        <w:pStyle w:val="StandardWeb"/>
      </w:pPr>
      <w:r>
        <w:t>und</w:t>
      </w:r>
    </w:p>
    <w:p w:rsidR="00D44893" w:rsidRDefault="00D44893" w:rsidP="00D44893">
      <w:pPr>
        <w:pStyle w:val="berschrift1"/>
      </w:pPr>
      <w:r>
        <w:t>[</w:t>
      </w:r>
      <w:r>
        <w:br/>
        <w:t>I_F(z_j)</w:t>
      </w:r>
    </w:p>
    <w:p w:rsidR="00D44893" w:rsidRDefault="00D44893" w:rsidP="00D44893">
      <w:pPr>
        <w:pStyle w:val="StandardWeb"/>
      </w:pPr>
      <w:r>
        <w:t>I_F^{(\alpha)}(z_j).</w:t>
      </w:r>
      <w:r>
        <w:br/>
        <w:t>\tag{3.10263}</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I_F(z_j)=I_F^{(\alpha)}(z_j)</w:t>
      </w:r>
    </w:p>
    <w:p w:rsidR="00D44893" w:rsidRDefault="00D44893" w:rsidP="00D44893">
      <w:pPr>
        <w:pStyle w:val="StandardWeb"/>
      </w:pPr>
      <w:r>
        <w:lastRenderedPageBreak/>
        <w:t>Somit folgt (I_F(z_i)=I_F(z_j)). (\square)</w:t>
      </w:r>
    </w:p>
    <w:p w:rsidR="00D44893" w:rsidRDefault="00E50336" w:rsidP="00D44893">
      <w:r>
        <w:pict>
          <v:rect id="_x0000_i3194" style="width:0;height:1.5pt" o:hralign="center" o:hrstd="t" o:hr="t" fillcolor="#a0a0a0" stroked="f"/>
        </w:pict>
      </w:r>
    </w:p>
    <w:p w:rsidR="00D44893" w:rsidRDefault="00D44893" w:rsidP="00D44893">
      <w:pPr>
        <w:pStyle w:val="berschrift1"/>
      </w:pPr>
      <w:r>
        <w:t>3.3.45.94 Lokale Invarianz ersetzt kein Primäraxiom</w:t>
      </w:r>
    </w:p>
    <w:p w:rsidR="00D44893" w:rsidRDefault="00D44893" w:rsidP="00D44893">
      <w:pPr>
        <w:pStyle w:val="StandardWeb"/>
      </w:pPr>
      <w:r>
        <w:t>Auch die lokale-zu-globale-Struktur führt nicht zu einer universellen Invarianzforderung.</w:t>
      </w:r>
    </w:p>
    <w:p w:rsidR="00D44893" w:rsidRDefault="00D44893" w:rsidP="00D44893">
      <w:pPr>
        <w:pStyle w:val="StandardWeb"/>
      </w:pPr>
      <w:r>
        <w:t>Sie zeigt lediglich:</w:t>
      </w:r>
    </w:p>
    <w:p w:rsidR="00D44893" w:rsidRDefault="00D44893" w:rsidP="00D44893">
      <w:pPr>
        <w:pStyle w:val="StandardWeb"/>
      </w:pPr>
      <w:r>
        <w:t>[</w:t>
      </w:r>
      <w:r>
        <w:br/>
        <w:t>\boxed{</w:t>
      </w:r>
      <w:r>
        <w:br/>
        <w:t>\text{lokale Invarianz}</w:t>
      </w:r>
      <w:r>
        <w:br/>
        <w:t>+</w:t>
      </w:r>
      <w:r>
        <w:br/>
        <w:t>\text{Kompatibilität}</w:t>
      </w:r>
      <w:r>
        <w:br/>
        <w:t>+</w:t>
      </w:r>
      <w:r>
        <w:br/>
        <w:t>\text{Übergangsüberdeckung}</w:t>
      </w:r>
      <w:r>
        <w:br/>
        <w:t>\Rightarrow</w:t>
      </w:r>
      <w:r>
        <w:br/>
        <w:t>\text{globale Invarianz}.</w:t>
      </w:r>
      <w:r>
        <w:br/>
        <w:t>}</w:t>
      </w:r>
      <w:r>
        <w:br/>
        <w:t>\tag{3.10264}</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\boxed{\text{lokale Invarianz}+\text{Kompatibilität}+\text{Übergangsüberdeckung}\Rightarrow\text{globale Invarianz}.}</w:t>
      </w:r>
    </w:p>
    <w:p w:rsidR="00D44893" w:rsidRDefault="00D44893" w:rsidP="00D44893">
      <w:pPr>
        <w:pStyle w:val="StandardWeb"/>
      </w:pPr>
      <w:r>
        <w:t>Alle drei Voraussetzungen können in einem konkreten Modell fehlen.</w:t>
      </w:r>
    </w:p>
    <w:p w:rsidR="00D44893" w:rsidRDefault="00E50336" w:rsidP="00D44893">
      <w:r>
        <w:pict>
          <v:rect id="_x0000_i3195" style="width:0;height:1.5pt" o:hralign="center" o:hrstd="t" o:hr="t" fillcolor="#a0a0a0" stroked="f"/>
        </w:pict>
      </w:r>
    </w:p>
    <w:p w:rsidR="00D44893" w:rsidRDefault="00D44893" w:rsidP="00D44893">
      <w:pPr>
        <w:pStyle w:val="berschrift1"/>
      </w:pPr>
      <w:r>
        <w:t>3.3.45.95 Status der lokalen Invarianzstruktur</w:t>
      </w:r>
    </w:p>
    <w:p w:rsidR="00D44893" w:rsidRDefault="00D44893" w:rsidP="00D44893">
      <w:pPr>
        <w:pStyle w:val="StandardWeb"/>
      </w:pPr>
      <w:r>
        <w:t>Die lokale Invarianz ist damit eine definitorische Erweiterung der allgemeinen Invarianzarchitektur.</w:t>
      </w:r>
    </w:p>
    <w:p w:rsidR="00D44893" w:rsidRDefault="00D44893" w:rsidP="00D44893">
      <w:pPr>
        <w:pStyle w:val="StandardWeb"/>
      </w:pPr>
      <w:r>
        <w:t xml:space="preserve">Dagegen sind Aussagen darüber, </w:t>
      </w:r>
      <w:r>
        <w:rPr>
          <w:rStyle w:val="Fett"/>
        </w:rPr>
        <w:t>welche</w:t>
      </w:r>
      <w:r>
        <w:t xml:space="preserve"> konkreten lokalen Invarianten existieren, modellabhängig.</w:t>
      </w:r>
    </w:p>
    <w:p w:rsidR="00D44893" w:rsidRDefault="00D44893" w:rsidP="00D44893">
      <w:pPr>
        <w:pStyle w:val="StandardWeb"/>
      </w:pPr>
      <w:r>
        <w:t>Die Trennung lautet</w:t>
      </w:r>
    </w:p>
    <w:p w:rsidR="00D44893" w:rsidRDefault="00D44893" w:rsidP="00D44893">
      <w:pPr>
        <w:pStyle w:val="berschrift1"/>
      </w:pPr>
      <w:r>
        <w:t>[</w:t>
      </w:r>
      <w:r>
        <w:br/>
        <w:t>\boxed{</w:t>
      </w:r>
      <w:r>
        <w:br/>
        <w:t>\operatorname{Stat}</w:t>
      </w:r>
      <w:r>
        <w:br/>
        <w:t>\left(</w:t>
      </w:r>
      <w:r>
        <w:br/>
      </w:r>
      <w:r>
        <w:lastRenderedPageBreak/>
        <w:t>\operatorname{Inv}^{U}_F</w:t>
      </w:r>
      <w:r>
        <w:br/>
        <w:t>\right)</w:t>
      </w:r>
    </w:p>
    <w:p w:rsidR="00D44893" w:rsidRDefault="00D44893" w:rsidP="00D44893">
      <w:pPr>
        <w:pStyle w:val="berschrift1"/>
      </w:pPr>
      <w:r>
        <w:t>\mathrm{Def},</w:t>
      </w:r>
      <w:r>
        <w:br/>
        <w:t>\qquad</w:t>
      </w:r>
      <w:r>
        <w:br/>
        <w:t>\operatorname{Stat}</w:t>
      </w:r>
      <w:r>
        <w:br/>
        <w:t>\left(</w:t>
      </w:r>
      <w:r>
        <w:br/>
        <w:t>\exists I_F^{(U)}</w:t>
      </w:r>
      <w:r>
        <w:br/>
        <w:t>\right)</w:t>
      </w:r>
    </w:p>
    <w:p w:rsidR="00D44893" w:rsidRDefault="00D44893" w:rsidP="00D44893">
      <w:pPr>
        <w:pStyle w:val="StandardWeb"/>
      </w:pPr>
      <w:r>
        <w:t>\mathrm{Mod}.</w:t>
      </w:r>
      <w:r>
        <w:br/>
        <w:t>}</w:t>
      </w:r>
      <w:r>
        <w:br/>
        <w:t>\tag{3.10265}</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\boxed{\operatorname{Stat}\left(\operatorname{Inv}^{U}_F\right)=\mathrm{Def},\qquad\operatorname{Stat}\left(\exists I_F^{(U)}\right)=\mathrm{Mod}.}</w:t>
      </w:r>
    </w:p>
    <w:p w:rsidR="00D44893" w:rsidRDefault="00E50336" w:rsidP="00D44893">
      <w:r>
        <w:pict>
          <v:rect id="_x0000_i3196" style="width:0;height:1.5pt" o:hralign="center" o:hrstd="t" o:hr="t" fillcolor="#a0a0a0" stroked="f"/>
        </w:pict>
      </w:r>
    </w:p>
    <w:p w:rsidR="00D44893" w:rsidRDefault="00D44893" w:rsidP="00D44893">
      <w:pPr>
        <w:pStyle w:val="berschrift1"/>
      </w:pPr>
      <w:r>
        <w:t>3.3.45.96 Zwischenbilanz der Erreichbarkeits- und Invarianzstruktur</w:t>
      </w:r>
    </w:p>
    <w:p w:rsidR="00D44893" w:rsidRDefault="00D44893" w:rsidP="00D44893">
      <w:pPr>
        <w:pStyle w:val="StandardWeb"/>
      </w:pPr>
      <w:r>
        <w:t>Die bisherige Struktur kann ich nun zusammenfassen als</w:t>
      </w:r>
    </w:p>
    <w:p w:rsidR="00D44893" w:rsidRDefault="00D44893" w:rsidP="00D44893">
      <w:pPr>
        <w:pStyle w:val="berschrift1"/>
      </w:pPr>
      <w:r>
        <w:t>[</w:t>
      </w:r>
      <w:r>
        <w:br/>
        <w:t>\mathfrak I_{F,1}</w:t>
      </w:r>
    </w:p>
    <w:p w:rsidR="00D44893" w:rsidRDefault="00D44893" w:rsidP="00D44893">
      <w:pPr>
        <w:pStyle w:val="StandardWeb"/>
      </w:pPr>
      <w:r>
        <w:t>\left(</w:t>
      </w:r>
      <w:r>
        <w:br/>
        <w:t>\mathcal I_F,</w:t>
      </w:r>
      <w:r>
        <w:br/>
        <w:t>\mathcal I_F^\ast,</w:t>
      </w:r>
      <w:r>
        <w:br/>
        <w:t>\mathfrak I_F^{\mathrm{loc}},</w:t>
      </w:r>
      <w:r>
        <w:br/>
        <w:t>\leftrightsquigarrow_F,</w:t>
      </w:r>
      <w:r>
        <w:br/>
        <w:t>\sim_F^\pm,</w:t>
      </w:r>
      <w:r>
        <w:br/>
        <w:t>\mathcal C_F^\pm,</w:t>
      </w:r>
      <w:r>
        <w:br/>
        <w:t>\mathcal G_F^{\mathrm{cond}}</w:t>
      </w:r>
      <w:r>
        <w:br/>
        <w:t>\right).</w:t>
      </w:r>
      <w:r>
        <w:br/>
        <w:t>\tag{3.10266}</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lastRenderedPageBreak/>
        <w:t>\mathfrak I_{F,1}=\left(\mathcal I_F,\mathcal I_F^\ast,\mathfrak I_F^{\mathrm{loc}},\leftrightsquigarrow_F,\sim_F^\pm,\mathcal C_F^\pm,\mathcal G_F^{\mathrm{cond}}\right)</w:t>
      </w:r>
    </w:p>
    <w:p w:rsidR="00D44893" w:rsidRDefault="00D44893" w:rsidP="00D44893">
      <w:pPr>
        <w:pStyle w:val="StandardWeb"/>
      </w:pPr>
      <w:r>
        <w:t>Diese Struktur erlaubt eine deutlich präzisere Beschreibung der Bedingungen, unter denen globale oder lokale funktionale Invarianten auftreten können.</w:t>
      </w:r>
    </w:p>
    <w:p w:rsidR="00D44893" w:rsidRDefault="00E50336" w:rsidP="00D44893">
      <w:r>
        <w:pict>
          <v:rect id="_x0000_i3197" style="width:0;height:1.5pt" o:hralign="center" o:hrstd="t" o:hr="t" fillcolor="#a0a0a0" stroked="f"/>
        </w:pict>
      </w:r>
    </w:p>
    <w:p w:rsidR="00D44893" w:rsidRDefault="00D44893" w:rsidP="00D44893">
      <w:pPr>
        <w:pStyle w:val="berschrift1"/>
      </w:pPr>
      <w:r>
        <w:t>3.3.45.97 Primäraxiomstatus bleibt unverändert</w:t>
      </w:r>
    </w:p>
    <w:p w:rsidR="00D44893" w:rsidRDefault="00D44893" w:rsidP="00D44893">
      <w:pPr>
        <w:pStyle w:val="StandardWeb"/>
      </w:pPr>
      <w:r>
        <w:t>Trotz dieser strukturellen Verfeinerung gilt weiterhin</w:t>
      </w:r>
    </w:p>
    <w:p w:rsidR="00D44893" w:rsidRDefault="00D44893" w:rsidP="00D44893">
      <w:pPr>
        <w:pStyle w:val="berschrift1"/>
      </w:pPr>
      <w:r>
        <w:t>[</w:t>
      </w:r>
      <w:r>
        <w:br/>
        <w:t>\boxed{</w:t>
      </w:r>
      <w:r>
        <w:br/>
        <w:t>\mathfrak A_{3.3.45}^{\mathrm{new}}</w:t>
      </w:r>
    </w:p>
    <w:p w:rsidR="00D44893" w:rsidRDefault="00D44893" w:rsidP="00D44893">
      <w:pPr>
        <w:pStyle w:val="StandardWeb"/>
      </w:pPr>
      <w:r>
        <w:t>\varnothing.</w:t>
      </w:r>
      <w:r>
        <w:br/>
        <w:t>}</w:t>
      </w:r>
      <w:r>
        <w:br/>
        <w:t>\tag{3.10267}</w:t>
      </w:r>
      <w:r>
        <w:br/>
        <w:t>]</w:t>
      </w:r>
    </w:p>
    <w:p w:rsidR="00D44893" w:rsidRDefault="00D44893" w:rsidP="00D44893">
      <w:pPr>
        <w:pStyle w:val="StandardWeb"/>
      </w:pPr>
      <w:r>
        <w:rPr>
          <w:rStyle w:val="Fett"/>
        </w:rPr>
        <w:t>Word-LaTeX</w:t>
      </w:r>
    </w:p>
    <w:p w:rsidR="00D44893" w:rsidRDefault="00D44893" w:rsidP="00D44893">
      <w:pPr>
        <w:pStyle w:val="HTMLVorformatiert"/>
        <w:rPr>
          <w:rStyle w:val="HTMLCode"/>
        </w:rPr>
      </w:pPr>
      <w:r>
        <w:rPr>
          <w:rStyle w:val="HTMLCode"/>
        </w:rPr>
        <w:t>\boxed{\mathfrak A_{3.3.45}^{\mathrm{new}}=\varnothing.}</w:t>
      </w:r>
    </w:p>
    <w:p w:rsidR="00D44893" w:rsidRDefault="00D44893" w:rsidP="00D44893">
      <w:pPr>
        <w:pStyle w:val="StandardWeb"/>
      </w:pPr>
      <w:r>
        <w:t>Die Existenz nichttrivialer Invarianten bleibt eine Eigenschaft bestimmter Übergangsstrukturen beziehungsweise Modellklassen.</w:t>
      </w:r>
    </w:p>
    <w:p w:rsidR="00D44893" w:rsidRDefault="00E50336" w:rsidP="00D44893">
      <w:r>
        <w:pict>
          <v:rect id="_x0000_i3198" style="width:0;height:1.5pt" o:hralign="center" o:hrstd="t" o:hr="t" fillcolor="#a0a0a0" stroked="f"/>
        </w:pict>
      </w:r>
    </w:p>
    <w:p w:rsidR="00D44893" w:rsidRDefault="00D44893" w:rsidP="00D44893">
      <w:pPr>
        <w:pStyle w:val="berschrift1"/>
      </w:pPr>
      <w:r>
        <w:t>3.3.45.98 Noch kein Abschluss von 3.3.45</w:t>
      </w:r>
    </w:p>
    <w:p w:rsidR="00D44893" w:rsidRDefault="00D44893" w:rsidP="00D44893">
      <w:pPr>
        <w:pStyle w:val="StandardWeb"/>
      </w:pPr>
      <w:r>
        <w:t xml:space="preserve">Abschnitt 3.3.45 ist weiterhin </w:t>
      </w:r>
      <w:r>
        <w:rPr>
          <w:rStyle w:val="Fett"/>
        </w:rPr>
        <w:t>nicht abgeschlossen</w:t>
      </w:r>
      <w:r>
        <w:t>.</w:t>
      </w:r>
    </w:p>
    <w:p w:rsidR="00D44893" w:rsidRDefault="00D44893" w:rsidP="00D44893">
      <w:pPr>
        <w:pStyle w:val="StandardWeb"/>
      </w:pPr>
      <w:r>
        <w:t>Als nächstes muss ich untersuchen, welche algebraischen Strukturen die Menge funktionaler Invarianten besitzt. Dazu gehören insbesondere die Komposition von Invarianten, additive und multiplikative Kombinationen, lineare Räume von Invarianten unter geeigneten Voraussetzungen und die Frage, ob aus Symmetrien systematisch Invarianten konstruiert werden können.</w:t>
      </w:r>
    </w:p>
    <w:p w:rsidR="00D44893" w:rsidRDefault="00D44893" w:rsidP="00D44893">
      <w:pPr>
        <w:pStyle w:val="StandardWeb"/>
      </w:pPr>
      <w:r>
        <w:t>Erst danach kann geprüft werden, ob eine Noether-artige Beziehung innerhalb des FRZK sinnvoll formulierbar ist, ohne etablierte physikalische Noether-Theoreme unzulässig auf die FRZK-Struktur zu übertragen.</w:t>
      </w:r>
    </w:p>
    <w:p w:rsidR="00D44893" w:rsidRDefault="00D44893" w:rsidP="00D44893">
      <w:pPr>
        <w:pStyle w:val="StandardWeb"/>
      </w:pPr>
      <w:r>
        <w:t xml:space="preserve">Der nächste Teil beginnt deshalb bei </w:t>
      </w:r>
      <w:r>
        <w:rPr>
          <w:rStyle w:val="Fett"/>
        </w:rPr>
        <w:t>3.3.45.99 / Gleichung (3.10268)</w:t>
      </w:r>
      <w:r>
        <w:t xml:space="preserve"> mit der </w:t>
      </w:r>
      <w:r>
        <w:rPr>
          <w:rStyle w:val="Fett"/>
        </w:rPr>
        <w:t>algebraischen Struktur funktionaler Invarianten und ihrer Abgeschlossenheit unter geeigneten Verknüpfungen</w:t>
      </w:r>
      <w:r>
        <w:t>.</w:t>
      </w:r>
    </w:p>
    <w:p w:rsidR="00CB6E1D" w:rsidRDefault="00CB6E1D" w:rsidP="00CB6E1D">
      <w:pPr>
        <w:pStyle w:val="berschrift1"/>
        <w:rPr>
          <w:rFonts w:cs="Times New Roman"/>
          <w:sz w:val="48"/>
          <w:szCs w:val="48"/>
        </w:rPr>
      </w:pPr>
      <w:r>
        <w:lastRenderedPageBreak/>
        <w:t>3.3.45.99 Algebraische Struktur funktionaler Invarianten</w:t>
      </w:r>
    </w:p>
    <w:p w:rsidR="00CB6E1D" w:rsidRDefault="00CB6E1D" w:rsidP="00CB6E1D">
      <w:pPr>
        <w:pStyle w:val="StandardWeb"/>
      </w:pPr>
      <w:r>
        <w:t xml:space="preserve">Nachdem ich die Existenz funktionaler Invarianten auf die Zusammenhangsstruktur der Übergangsrelation zurückgeführt habe, untersuche ich nun, unter welchen Voraussetzungen mehrere Invarianten miteinander verknüpft werden können. Dabei ist entscheidend, dass eine algebraische Struktur der Invarianten </w:t>
      </w:r>
      <w:r>
        <w:rPr>
          <w:rStyle w:val="Fett"/>
        </w:rPr>
        <w:t>nicht vorausgesetzt</w:t>
      </w:r>
      <w:r>
        <w:t>, sondern aus der Struktur ihres Zielraumes abgeleitet werden muss.</w:t>
      </w:r>
    </w:p>
    <w:p w:rsidR="00CB6E1D" w:rsidRDefault="00CB6E1D" w:rsidP="00CB6E1D">
      <w:pPr>
        <w:pStyle w:val="StandardWeb"/>
      </w:pPr>
      <w:r>
        <w:t>Seien daher</w:t>
      </w:r>
    </w:p>
    <w:p w:rsidR="00CB6E1D" w:rsidRDefault="00CB6E1D" w:rsidP="00CB6E1D">
      <w:pPr>
        <w:pStyle w:val="StandardWeb"/>
      </w:pPr>
      <w:r>
        <w:t>[</w:t>
      </w:r>
      <w:r>
        <w:br/>
        <w:t>I_F,J_F\in\mathcal I_F(\mathcal M)</w:t>
      </w:r>
      <w:r>
        <w:br/>
        <w:t>\tag{3.10268}</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I_F,J_F\in\mathcal I_F(\mathcal M)</w:t>
      </w:r>
    </w:p>
    <w:p w:rsidR="00CB6E1D" w:rsidRDefault="00CB6E1D" w:rsidP="00CB6E1D">
      <w:pPr>
        <w:pStyle w:val="StandardWeb"/>
      </w:pPr>
      <w:r>
        <w:t>zwei globale funktionale Invarianten eines Modells (\mathcal M).</w:t>
      </w:r>
    </w:p>
    <w:p w:rsidR="00CB6E1D" w:rsidRDefault="00CB6E1D" w:rsidP="00CB6E1D">
      <w:pPr>
        <w:pStyle w:val="StandardWeb"/>
      </w:pPr>
      <w:r>
        <w:t>Für jeden zulässigen Übergang gilt dann</w:t>
      </w:r>
    </w:p>
    <w:p w:rsidR="00CB6E1D" w:rsidRDefault="00CB6E1D" w:rsidP="00CB6E1D">
      <w:pPr>
        <w:pStyle w:val="StandardWeb"/>
      </w:pPr>
      <w:r>
        <w:t>[</w:t>
      </w:r>
      <w:r>
        <w:br/>
        <w:t>I_F(z_i)=I_F(z_j)</w:t>
      </w:r>
      <w:r>
        <w:br/>
        <w:t>\tag{3.10269}</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I_F(z_i)=I_F(z_j)</w:t>
      </w:r>
    </w:p>
    <w:p w:rsidR="00CB6E1D" w:rsidRDefault="00CB6E1D" w:rsidP="00CB6E1D">
      <w:pPr>
        <w:pStyle w:val="StandardWeb"/>
      </w:pPr>
      <w:r>
        <w:t>und</w:t>
      </w:r>
    </w:p>
    <w:p w:rsidR="00CB6E1D" w:rsidRDefault="00CB6E1D" w:rsidP="00CB6E1D">
      <w:pPr>
        <w:pStyle w:val="StandardWeb"/>
      </w:pPr>
      <w:r>
        <w:t>[</w:t>
      </w:r>
      <w:r>
        <w:br/>
        <w:t>J_F(z_i)=J_F(z_j).</w:t>
      </w:r>
      <w:r>
        <w:br/>
        <w:t>\tag{3.10270}</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J_F(z_i)=J_F(z_j)</w:t>
      </w:r>
    </w:p>
    <w:p w:rsidR="00CB6E1D" w:rsidRDefault="00CB6E1D" w:rsidP="00CB6E1D">
      <w:pPr>
        <w:pStyle w:val="StandardWeb"/>
      </w:pPr>
      <w:r>
        <w:t>Damit stellt sich die Frage, welche Operationen diese Invarianzeigenschaft erhalten.</w:t>
      </w:r>
    </w:p>
    <w:p w:rsidR="00CB6E1D" w:rsidRDefault="00E50336" w:rsidP="00CB6E1D">
      <w:r>
        <w:pict>
          <v:rect id="_x0000_i3199" style="width:0;height:1.5pt" o:hralign="center" o:hrstd="t" o:hr="t" fillcolor="#a0a0a0" stroked="f"/>
        </w:pict>
      </w:r>
    </w:p>
    <w:p w:rsidR="00CB6E1D" w:rsidRDefault="00CB6E1D" w:rsidP="00CB6E1D">
      <w:pPr>
        <w:pStyle w:val="berschrift1"/>
      </w:pPr>
      <w:r>
        <w:lastRenderedPageBreak/>
        <w:t>3.3.45.100 Komposition mit einer beliebigen Abbildung</w:t>
      </w:r>
    </w:p>
    <w:p w:rsidR="00CB6E1D" w:rsidRDefault="00CB6E1D" w:rsidP="00CB6E1D">
      <w:pPr>
        <w:pStyle w:val="StandardWeb"/>
      </w:pPr>
      <w:r>
        <w:t>Sei</w:t>
      </w:r>
    </w:p>
    <w:p w:rsidR="00CB6E1D" w:rsidRDefault="00CB6E1D" w:rsidP="00CB6E1D">
      <w:pPr>
        <w:pStyle w:val="StandardWeb"/>
      </w:pPr>
      <w:r>
        <w:t>[</w:t>
      </w:r>
      <w:r>
        <w:br/>
        <w:t>\varphi:\mathcal V\rightarrow\mathcal W</w:t>
      </w:r>
      <w:r>
        <w:br/>
        <w:t>\tag{3.10271}</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\varphi:\mathcal V\rightarrow\mathcal W</w:t>
      </w:r>
    </w:p>
    <w:p w:rsidR="00CB6E1D" w:rsidRDefault="00CB6E1D" w:rsidP="00CB6E1D">
      <w:pPr>
        <w:pStyle w:val="StandardWeb"/>
      </w:pPr>
      <w:r>
        <w:t>eine beliebige wohldefinierte Abbildung.</w:t>
      </w:r>
    </w:p>
    <w:p w:rsidR="00CB6E1D" w:rsidRDefault="00CB6E1D" w:rsidP="00CB6E1D">
      <w:pPr>
        <w:pStyle w:val="StandardWeb"/>
      </w:pPr>
      <w:r>
        <w:t>Aus</w:t>
      </w:r>
    </w:p>
    <w:p w:rsidR="00CB6E1D" w:rsidRDefault="00CB6E1D" w:rsidP="00CB6E1D">
      <w:pPr>
        <w:pStyle w:val="StandardWeb"/>
      </w:pPr>
      <w:r>
        <w:t>[</w:t>
      </w:r>
      <w:r>
        <w:br/>
        <w:t>I_F(z_i)=I_F(z_j)</w:t>
      </w:r>
      <w:r>
        <w:br/>
        <w:t>\tag{3.10272}</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I_F(z_i)=I_F(z_j)</w:t>
      </w:r>
    </w:p>
    <w:p w:rsidR="00CB6E1D" w:rsidRDefault="00CB6E1D" w:rsidP="00CB6E1D">
      <w:pPr>
        <w:pStyle w:val="StandardWeb"/>
      </w:pPr>
      <w:r>
        <w:t>folgt unmittelbar</w:t>
      </w:r>
    </w:p>
    <w:p w:rsidR="00CB6E1D" w:rsidRDefault="00CB6E1D" w:rsidP="00CB6E1D">
      <w:pPr>
        <w:pStyle w:val="berschrift1"/>
      </w:pPr>
      <w:r>
        <w:t>[</w:t>
      </w:r>
      <w:r>
        <w:br/>
        <w:t>\varphi(I_F(z_i))</w:t>
      </w:r>
    </w:p>
    <w:p w:rsidR="00CB6E1D" w:rsidRDefault="00CB6E1D" w:rsidP="00CB6E1D">
      <w:pPr>
        <w:pStyle w:val="StandardWeb"/>
      </w:pPr>
      <w:r>
        <w:t>\varphi(I_F(z_j)).</w:t>
      </w:r>
      <w:r>
        <w:br/>
        <w:t>\tag{3.10273}</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\varphi(I_F(z_i))=\varphi(I_F(z_j))</w:t>
      </w:r>
    </w:p>
    <w:p w:rsidR="00CB6E1D" w:rsidRDefault="00CB6E1D" w:rsidP="00CB6E1D">
      <w:pPr>
        <w:pStyle w:val="StandardWeb"/>
      </w:pPr>
      <w:r>
        <w:t>Damit bleibt Invarianz unter Nachkomposition erhalten.</w:t>
      </w:r>
    </w:p>
    <w:p w:rsidR="00CB6E1D" w:rsidRDefault="00E50336" w:rsidP="00CB6E1D">
      <w:r>
        <w:pict>
          <v:rect id="_x0000_i3200" style="width:0;height:1.5pt" o:hralign="center" o:hrstd="t" o:hr="t" fillcolor="#a0a0a0" stroked="f"/>
        </w:pict>
      </w:r>
    </w:p>
    <w:p w:rsidR="00CB6E1D" w:rsidRDefault="00CB6E1D" w:rsidP="00CB6E1D">
      <w:pPr>
        <w:pStyle w:val="berschrift1"/>
      </w:pPr>
      <w:r>
        <w:t>3.3.45.101 Satz 3.3.46 – Kompositionserhaltung funktionaler Invarianz</w:t>
      </w:r>
    </w:p>
    <w:p w:rsidR="00CB6E1D" w:rsidRDefault="00CB6E1D" w:rsidP="00CB6E1D">
      <w:pPr>
        <w:pStyle w:val="berschrift3"/>
      </w:pPr>
      <w:r>
        <w:t>Satz 3.3.46</w:t>
      </w:r>
    </w:p>
    <w:p w:rsidR="00CB6E1D" w:rsidRDefault="00CB6E1D" w:rsidP="00CB6E1D">
      <w:pPr>
        <w:pStyle w:val="StandardWeb"/>
      </w:pPr>
      <w:r>
        <w:lastRenderedPageBreak/>
        <w:t>Ist</w:t>
      </w:r>
    </w:p>
    <w:p w:rsidR="00CB6E1D" w:rsidRDefault="00CB6E1D" w:rsidP="00CB6E1D">
      <w:pPr>
        <w:pStyle w:val="StandardWeb"/>
      </w:pPr>
      <w:r>
        <w:t>[</w:t>
      </w:r>
      <w:r>
        <w:br/>
        <w:t>I_F\in\mathcal I_F(\mathcal M)</w:t>
      </w:r>
      <w:r>
        <w:br/>
        <w:t>\tag{3.10274}</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I_F\in\mathcal I_F(\mathcal M)</w:t>
      </w:r>
    </w:p>
    <w:p w:rsidR="00CB6E1D" w:rsidRDefault="00CB6E1D" w:rsidP="00CB6E1D">
      <w:pPr>
        <w:pStyle w:val="StandardWeb"/>
      </w:pPr>
      <w:r>
        <w:t>und ist</w:t>
      </w:r>
    </w:p>
    <w:p w:rsidR="00CB6E1D" w:rsidRDefault="00CB6E1D" w:rsidP="00CB6E1D">
      <w:pPr>
        <w:pStyle w:val="StandardWeb"/>
      </w:pPr>
      <w:r>
        <w:t>[</w:t>
      </w:r>
      <w:r>
        <w:br/>
        <w:t>\varphi:\mathcal V\rightarrow\mathcal W</w:t>
      </w:r>
      <w:r>
        <w:br/>
        <w:t>\tag{3.10275}</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\varphi:\mathcal V\rightarrow\mathcal W</w:t>
      </w:r>
    </w:p>
    <w:p w:rsidR="00CB6E1D" w:rsidRDefault="00CB6E1D" w:rsidP="00CB6E1D">
      <w:pPr>
        <w:pStyle w:val="StandardWeb"/>
      </w:pPr>
      <w:r>
        <w:t>eine wohldefinierte Abbildung, dann ist auch</w:t>
      </w:r>
    </w:p>
    <w:p w:rsidR="00CB6E1D" w:rsidRDefault="00CB6E1D" w:rsidP="00CB6E1D">
      <w:pPr>
        <w:pStyle w:val="StandardWeb"/>
      </w:pPr>
      <w:r>
        <w:t>[</w:t>
      </w:r>
      <w:r>
        <w:br/>
        <w:t>\boxed{</w:t>
      </w:r>
      <w:r>
        <w:br/>
        <w:t>\varphi\circ I_F</w:t>
      </w:r>
      <w:r>
        <w:br/>
        <w:t>\in</w:t>
      </w:r>
      <w:r>
        <w:br/>
        <w:t>\mathcal I_F(\mathcal M).</w:t>
      </w:r>
      <w:r>
        <w:br/>
        <w:t>}</w:t>
      </w:r>
      <w:r>
        <w:br/>
        <w:t>\tag{3.10276}</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\boxed{\varphi\circ I_F\in\mathcal I_F(\mathcal M).}</w:t>
      </w:r>
    </w:p>
    <w:p w:rsidR="00CB6E1D" w:rsidRDefault="00CB6E1D" w:rsidP="00CB6E1D">
      <w:pPr>
        <w:pStyle w:val="berschrift3"/>
      </w:pPr>
      <w:r>
        <w:t>Beweis</w:t>
      </w:r>
    </w:p>
    <w:p w:rsidR="00CB6E1D" w:rsidRDefault="00CB6E1D" w:rsidP="00CB6E1D">
      <w:pPr>
        <w:pStyle w:val="StandardWeb"/>
      </w:pPr>
      <w:r>
        <w:t>Für jeden Übergang</w:t>
      </w:r>
    </w:p>
    <w:p w:rsidR="00CB6E1D" w:rsidRDefault="00CB6E1D" w:rsidP="00CB6E1D">
      <w:pPr>
        <w:pStyle w:val="StandardWeb"/>
      </w:pPr>
      <w:r>
        <w:t>[</w:t>
      </w:r>
      <w:r>
        <w:br/>
        <w:t>(z_i,z_j)\in\mathcal T_F</w:t>
      </w:r>
      <w:r>
        <w:br/>
        <w:t>\tag{3.10277}</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(z_i,z_j)\in\mathcal T_F</w:t>
      </w:r>
    </w:p>
    <w:p w:rsidR="00CB6E1D" w:rsidRDefault="00CB6E1D" w:rsidP="00CB6E1D">
      <w:pPr>
        <w:pStyle w:val="StandardWeb"/>
      </w:pPr>
      <w:r>
        <w:t>gilt wegen der Invarianz von (I_F)</w:t>
      </w:r>
    </w:p>
    <w:p w:rsidR="00CB6E1D" w:rsidRDefault="00CB6E1D" w:rsidP="00CB6E1D">
      <w:pPr>
        <w:pStyle w:val="StandardWeb"/>
      </w:pPr>
      <w:r>
        <w:lastRenderedPageBreak/>
        <w:t>[</w:t>
      </w:r>
      <w:r>
        <w:br/>
        <w:t>I_F(z_i)=I_F(z_j).</w:t>
      </w:r>
      <w:r>
        <w:br/>
        <w:t>\tag{3.10278}</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I_F(z_i)=I_F(z_j)</w:t>
      </w:r>
    </w:p>
    <w:p w:rsidR="00CB6E1D" w:rsidRDefault="00CB6E1D" w:rsidP="00CB6E1D">
      <w:pPr>
        <w:pStyle w:val="StandardWeb"/>
      </w:pPr>
      <w:r>
        <w:t>Durch Anwendung von (\varphi) auf beide Seiten folgt</w:t>
      </w:r>
    </w:p>
    <w:p w:rsidR="00CB6E1D" w:rsidRDefault="00CB6E1D" w:rsidP="00CB6E1D">
      <w:pPr>
        <w:pStyle w:val="berschrift1"/>
      </w:pPr>
      <w:r>
        <w:t>[</w:t>
      </w:r>
      <w:r>
        <w:br/>
        <w:t>(\varphi\circ I_F)(z_i)</w:t>
      </w:r>
    </w:p>
    <w:p w:rsidR="00CB6E1D" w:rsidRDefault="00CB6E1D" w:rsidP="00CB6E1D">
      <w:pPr>
        <w:pStyle w:val="StandardWeb"/>
      </w:pPr>
      <w:r>
        <w:t>(\varphi\circ I_F)(z_j).</w:t>
      </w:r>
      <w:r>
        <w:br/>
        <w:t>\tag{3.10279}</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(\varphi\circ I_F)(z_i)=(\varphi\circ I_F)(z_j)</w:t>
      </w:r>
    </w:p>
    <w:p w:rsidR="00CB6E1D" w:rsidRDefault="00CB6E1D" w:rsidP="00CB6E1D">
      <w:pPr>
        <w:pStyle w:val="StandardWeb"/>
      </w:pPr>
      <w:r>
        <w:t>Damit ist (\varphi\circ I_F) funktional invariant. (\square)</w:t>
      </w:r>
    </w:p>
    <w:p w:rsidR="00CB6E1D" w:rsidRDefault="00E50336" w:rsidP="00CB6E1D">
      <w:r>
        <w:pict>
          <v:rect id="_x0000_i3201" style="width:0;height:1.5pt" o:hralign="center" o:hrstd="t" o:hr="t" fillcolor="#a0a0a0" stroked="f"/>
        </w:pict>
      </w:r>
    </w:p>
    <w:p w:rsidR="00CB6E1D" w:rsidRDefault="00CB6E1D" w:rsidP="00CB6E1D">
      <w:pPr>
        <w:pStyle w:val="berschrift1"/>
      </w:pPr>
      <w:r>
        <w:t>3.3.45.102 Konsequenz der Komposition</w:t>
      </w:r>
    </w:p>
    <w:p w:rsidR="00CB6E1D" w:rsidRDefault="00CB6E1D" w:rsidP="00CB6E1D">
      <w:pPr>
        <w:pStyle w:val="StandardWeb"/>
      </w:pPr>
      <w:r>
        <w:t>Aus einer einzigen Invarianten können damit im Allgemeinen zahlreiche weitere Invarianten konstruiert werden.</w:t>
      </w:r>
    </w:p>
    <w:p w:rsidR="00CB6E1D" w:rsidRDefault="00CB6E1D" w:rsidP="00CB6E1D">
      <w:pPr>
        <w:pStyle w:val="StandardWeb"/>
      </w:pPr>
      <w:r>
        <w:t>Für beispielsweise</w:t>
      </w:r>
    </w:p>
    <w:p w:rsidR="00CB6E1D" w:rsidRDefault="00CB6E1D" w:rsidP="00CB6E1D">
      <w:pPr>
        <w:pStyle w:val="StandardWeb"/>
      </w:pPr>
      <w:r>
        <w:t>[</w:t>
      </w:r>
      <w:r>
        <w:br/>
        <w:t>\varphi(x)=x^2</w:t>
      </w:r>
      <w:r>
        <w:br/>
        <w:t>\tag{3.10280}</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\varphi(x)=x^2</w:t>
      </w:r>
    </w:p>
    <w:p w:rsidR="00CB6E1D" w:rsidRDefault="00CB6E1D" w:rsidP="00CB6E1D">
      <w:pPr>
        <w:pStyle w:val="StandardWeb"/>
      </w:pPr>
      <w:r>
        <w:t>folgt aus der Invarianz von (I_F) unmittelbar</w:t>
      </w:r>
    </w:p>
    <w:p w:rsidR="00CB6E1D" w:rsidRDefault="00CB6E1D" w:rsidP="00CB6E1D">
      <w:pPr>
        <w:pStyle w:val="StandardWeb"/>
      </w:pPr>
      <w:r>
        <w:t>[</w:t>
      </w:r>
      <w:r>
        <w:br/>
        <w:t>I_F^2</w:t>
      </w:r>
      <w:r>
        <w:br/>
        <w:t>\in</w:t>
      </w:r>
      <w:r>
        <w:br/>
        <w:t>\mathcal I_F(\mathcal M).</w:t>
      </w:r>
      <w:r>
        <w:br/>
        <w:t>\tag{3.10281}</w:t>
      </w:r>
      <w:r>
        <w:br/>
        <w:t>]</w:t>
      </w:r>
    </w:p>
    <w:p w:rsidR="00CB6E1D" w:rsidRDefault="00CB6E1D" w:rsidP="00CB6E1D">
      <w:pPr>
        <w:pStyle w:val="StandardWeb"/>
      </w:pPr>
      <w:r>
        <w:rPr>
          <w:rStyle w:val="Fett"/>
        </w:rPr>
        <w:lastRenderedPageBreak/>
        <w:t>Word-LaTeX</w:t>
      </w:r>
    </w:p>
    <w:p w:rsidR="00CB6E1D" w:rsidRDefault="00CB6E1D" w:rsidP="00CB6E1D">
      <w:pPr>
        <w:pStyle w:val="HTMLVorformatiert"/>
        <w:rPr>
          <w:rStyle w:val="HTMLCode"/>
        </w:rPr>
      </w:pPr>
      <w:r>
        <w:rPr>
          <w:rStyle w:val="HTMLCode"/>
        </w:rPr>
        <w:t>I_F^2\in\mathcal I_F(\mathcal M)</w:t>
      </w:r>
    </w:p>
    <w:p w:rsidR="00CB6E1D" w:rsidRDefault="00CB6E1D" w:rsidP="00CB6E1D">
      <w:pPr>
        <w:pStyle w:val="StandardWeb"/>
      </w:pPr>
      <w:r>
        <w:t>Daraus darf jedoch nicht geschlossen werden, dass (I_F) und (I_F^2) zwei wissenschaftlich unabhängige Erhaltungsgrößen darstellen.</w:t>
      </w:r>
    </w:p>
    <w:p w:rsidR="00CB6E1D" w:rsidRDefault="00E50336" w:rsidP="00CB6E1D">
      <w:r>
        <w:pict>
          <v:rect id="_x0000_i3202" style="width:0;height:1.5pt" o:hralign="center" o:hrstd="t" o:hr="t" fillcolor="#a0a0a0" stroked="f"/>
        </w:pict>
      </w:r>
    </w:p>
    <w:p w:rsidR="00CB6E1D" w:rsidRDefault="00CB6E1D" w:rsidP="00CB6E1D">
      <w:pPr>
        <w:pStyle w:val="berschrift1"/>
      </w:pPr>
      <w:r>
        <w:t>3.3.45.103 Funktionale Abhängigkeit von Invarianten</w:t>
      </w:r>
    </w:p>
    <w:p w:rsidR="00CB6E1D" w:rsidRDefault="00CB6E1D" w:rsidP="00CB6E1D">
      <w:pPr>
        <w:pStyle w:val="StandardWeb"/>
      </w:pPr>
      <w:r>
        <w:t>Sind zwei Invarianten durch</w:t>
      </w:r>
    </w:p>
    <w:p w:rsidR="00CB6E1D" w:rsidRDefault="00CB6E1D" w:rsidP="00CB6E1D">
      <w:pPr>
        <w:pStyle w:val="berschrift1"/>
      </w:pPr>
      <w:r>
        <w:t>[</w:t>
      </w:r>
      <w:r>
        <w:br/>
        <w:t>J_F</w:t>
      </w:r>
    </w:p>
    <w:p w:rsidR="00CB6E1D" w:rsidRDefault="00CB6E1D" w:rsidP="00CB6E1D">
      <w:pPr>
        <w:pStyle w:val="StandardWeb"/>
      </w:pPr>
      <w:r>
        <w:t>\varphi\circ I_F</w:t>
      </w:r>
      <w:r>
        <w:br/>
        <w:t>\tag{3.10282}</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J_F=\varphi\circ I_F</w:t>
      </w:r>
    </w:p>
    <w:p w:rsidR="00CB6E1D" w:rsidRDefault="00CB6E1D" w:rsidP="00CB6E1D">
      <w:pPr>
        <w:pStyle w:val="StandardWeb"/>
      </w:pPr>
      <w:r>
        <w:t>miteinander verbunden, dann enthält (J_F) keine unabhängig erzeugte Zustandsklassifikation gegenüber (I_F), sofern (\varphi) lediglich eine Umparametrisierung der vorhandenen Invariantenwerte darstellt.</w:t>
      </w:r>
    </w:p>
    <w:p w:rsidR="00CB6E1D" w:rsidRDefault="00CB6E1D" w:rsidP="00CB6E1D">
      <w:pPr>
        <w:pStyle w:val="StandardWeb"/>
      </w:pPr>
      <w:r>
        <w:t xml:space="preserve">Ich muss daher zwischen </w:t>
      </w:r>
      <w:r>
        <w:rPr>
          <w:rStyle w:val="Fett"/>
        </w:rPr>
        <w:t>Existenz mehrerer Invarianten</w:t>
      </w:r>
      <w:r>
        <w:t xml:space="preserve"> und </w:t>
      </w:r>
      <w:r>
        <w:rPr>
          <w:rStyle w:val="Fett"/>
        </w:rPr>
        <w:t>funktionaler Unabhängigkeit</w:t>
      </w:r>
      <w:r>
        <w:t xml:space="preserve"> unterscheiden.</w:t>
      </w:r>
    </w:p>
    <w:p w:rsidR="00CB6E1D" w:rsidRDefault="00E50336" w:rsidP="00CB6E1D">
      <w:r>
        <w:pict>
          <v:rect id="_x0000_i3203" style="width:0;height:1.5pt" o:hralign="center" o:hrstd="t" o:hr="t" fillcolor="#a0a0a0" stroked="f"/>
        </w:pict>
      </w:r>
    </w:p>
    <w:p w:rsidR="00CB6E1D" w:rsidRDefault="00CB6E1D" w:rsidP="00CB6E1D">
      <w:pPr>
        <w:pStyle w:val="berschrift1"/>
      </w:pPr>
      <w:r>
        <w:t>3.3.45.104 Definition 3.3.118 – Funktional abhängige Invarianten</w:t>
      </w:r>
    </w:p>
    <w:p w:rsidR="00CB6E1D" w:rsidRDefault="00CB6E1D" w:rsidP="00CB6E1D">
      <w:pPr>
        <w:pStyle w:val="berschrift3"/>
      </w:pPr>
      <w:r>
        <w:t>Definition 3.3.118</w:t>
      </w:r>
    </w:p>
    <w:p w:rsidR="00CB6E1D" w:rsidRDefault="00CB6E1D" w:rsidP="00CB6E1D">
      <w:pPr>
        <w:pStyle w:val="StandardWeb"/>
      </w:pPr>
      <w:r>
        <w:t xml:space="preserve">Eine funktionale Invariante (J_F) heißt von (I_F) </w:t>
      </w:r>
      <w:r>
        <w:rPr>
          <w:rStyle w:val="Fett"/>
        </w:rPr>
        <w:t>funktional abhängig</w:t>
      </w:r>
      <w:r>
        <w:t>, wenn eine Abbildung (\varphi) existiert mit</w:t>
      </w:r>
    </w:p>
    <w:p w:rsidR="00CB6E1D" w:rsidRDefault="00CB6E1D" w:rsidP="00CB6E1D">
      <w:pPr>
        <w:pStyle w:val="berschrift1"/>
      </w:pPr>
      <w:r>
        <w:t>[</w:t>
      </w:r>
      <w:r>
        <w:br/>
        <w:t>\boxed{</w:t>
      </w:r>
      <w:r>
        <w:br/>
        <w:t>J_F</w:t>
      </w:r>
    </w:p>
    <w:p w:rsidR="00CB6E1D" w:rsidRDefault="00CB6E1D" w:rsidP="00CB6E1D">
      <w:pPr>
        <w:pStyle w:val="StandardWeb"/>
      </w:pPr>
      <w:r>
        <w:lastRenderedPageBreak/>
        <w:t>\varphi\circ I_F.</w:t>
      </w:r>
      <w:r>
        <w:br/>
        <w:t>}</w:t>
      </w:r>
      <w:r>
        <w:br/>
        <w:t>\tag{3.10283}</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\boxed{J_F=\varphi\circ I_F.}</w:t>
      </w:r>
    </w:p>
    <w:p w:rsidR="00CB6E1D" w:rsidRDefault="00CB6E1D" w:rsidP="00CB6E1D">
      <w:pPr>
        <w:pStyle w:val="StandardWeb"/>
      </w:pPr>
      <w:r>
        <w:t>Diese Definition ist rein strukturell und enthält noch keinen Differenzierbarkeits- oder Rangbegriff.</w:t>
      </w:r>
    </w:p>
    <w:p w:rsidR="00CB6E1D" w:rsidRDefault="00E50336" w:rsidP="00CB6E1D">
      <w:r>
        <w:pict>
          <v:rect id="_x0000_i3204" style="width:0;height:1.5pt" o:hralign="center" o:hrstd="t" o:hr="t" fillcolor="#a0a0a0" stroked="f"/>
        </w:pict>
      </w:r>
    </w:p>
    <w:p w:rsidR="00CB6E1D" w:rsidRDefault="00CB6E1D" w:rsidP="00CB6E1D">
      <w:pPr>
        <w:pStyle w:val="berschrift1"/>
      </w:pPr>
      <w:r>
        <w:t>3.3.45.105 Paarweise Kombination zweier Invarianten</w:t>
      </w:r>
    </w:p>
    <w:p w:rsidR="00CB6E1D" w:rsidRDefault="00CB6E1D" w:rsidP="00CB6E1D">
      <w:pPr>
        <w:pStyle w:val="StandardWeb"/>
      </w:pPr>
      <w:r>
        <w:t>Für zwei Invarianten kann außerdem die Produktabbildung</w:t>
      </w:r>
    </w:p>
    <w:p w:rsidR="00CB6E1D" w:rsidRDefault="00CB6E1D" w:rsidP="00CB6E1D">
      <w:pPr>
        <w:pStyle w:val="StandardWeb"/>
      </w:pPr>
      <w:r>
        <w:t>[</w:t>
      </w:r>
      <w:r>
        <w:br/>
        <w:t>(I_F,J_F):</w:t>
      </w:r>
      <w:r>
        <w:br/>
        <w:t>\Omega_F</w:t>
      </w:r>
      <w:r>
        <w:br/>
        <w:t>\rightarrow</w:t>
      </w:r>
      <w:r>
        <w:br/>
        <w:t>\mathcal V_I\times\mathcal V_J</w:t>
      </w:r>
      <w:r>
        <w:br/>
        <w:t>\tag{3.10284}</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(I_F,J_F):\Omega_F\rightarrow\mathcal V_I\times\mathcal V_J</w:t>
      </w:r>
    </w:p>
    <w:p w:rsidR="00CB6E1D" w:rsidRDefault="00CB6E1D" w:rsidP="00CB6E1D">
      <w:pPr>
        <w:pStyle w:val="StandardWeb"/>
      </w:pPr>
      <w:r>
        <w:t>gebildet werden.</w:t>
      </w:r>
    </w:p>
    <w:p w:rsidR="00CB6E1D" w:rsidRDefault="00CB6E1D" w:rsidP="00CB6E1D">
      <w:pPr>
        <w:pStyle w:val="StandardWeb"/>
      </w:pPr>
      <w:r>
        <w:t>Für jeden zulässigen Übergang gilt</w:t>
      </w:r>
    </w:p>
    <w:p w:rsidR="00CB6E1D" w:rsidRDefault="00CB6E1D" w:rsidP="00CB6E1D">
      <w:pPr>
        <w:pStyle w:val="berschrift1"/>
      </w:pPr>
      <w:r>
        <w:t>[</w:t>
      </w:r>
      <w:r>
        <w:br/>
        <w:t>(I_F(z_i),J_F(z_i))</w:t>
      </w:r>
    </w:p>
    <w:p w:rsidR="00CB6E1D" w:rsidRDefault="00CB6E1D" w:rsidP="00CB6E1D">
      <w:pPr>
        <w:pStyle w:val="StandardWeb"/>
      </w:pPr>
      <w:r>
        <w:t>(I_F(z_j),J_F(z_j)).</w:t>
      </w:r>
      <w:r>
        <w:br/>
        <w:t>\tag{3.10285}</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(I_F(z_i),J_F(z_i))=(I_F(z_j),J_F(z_j))</w:t>
      </w:r>
    </w:p>
    <w:p w:rsidR="00CB6E1D" w:rsidRDefault="00E50336" w:rsidP="00CB6E1D">
      <w:r>
        <w:pict>
          <v:rect id="_x0000_i3205" style="width:0;height:1.5pt" o:hralign="center" o:hrstd="t" o:hr="t" fillcolor="#a0a0a0" stroked="f"/>
        </w:pict>
      </w:r>
    </w:p>
    <w:p w:rsidR="00CB6E1D" w:rsidRDefault="00CB6E1D" w:rsidP="00CB6E1D">
      <w:pPr>
        <w:pStyle w:val="berschrift1"/>
      </w:pPr>
      <w:r>
        <w:t>3.3.45.106 Satz 3.3.47 – Produktbildung funktionaler Invarianten</w:t>
      </w:r>
    </w:p>
    <w:p w:rsidR="00CB6E1D" w:rsidRDefault="00CB6E1D" w:rsidP="00CB6E1D">
      <w:pPr>
        <w:pStyle w:val="berschrift3"/>
      </w:pPr>
      <w:r>
        <w:lastRenderedPageBreak/>
        <w:t>Satz 3.3.47</w:t>
      </w:r>
    </w:p>
    <w:p w:rsidR="00CB6E1D" w:rsidRDefault="00CB6E1D" w:rsidP="00CB6E1D">
      <w:pPr>
        <w:pStyle w:val="StandardWeb"/>
      </w:pPr>
      <w:r>
        <w:t>Sind (I_F) und (J_F) funktionale Invarianten, dann ist auch ihre gemeinsame Abbildung</w:t>
      </w:r>
    </w:p>
    <w:p w:rsidR="00CB6E1D" w:rsidRDefault="00CB6E1D" w:rsidP="00CB6E1D">
      <w:pPr>
        <w:pStyle w:val="StandardWeb"/>
      </w:pPr>
      <w:r>
        <w:t>[</w:t>
      </w:r>
      <w:r>
        <w:br/>
        <w:t>\boxed{</w:t>
      </w:r>
      <w:r>
        <w:br/>
        <w:t>(I_F,J_F)</w:t>
      </w:r>
      <w:r>
        <w:br/>
        <w:t>\in</w:t>
      </w:r>
      <w:r>
        <w:br/>
        <w:t>\mathcal I_F</w:t>
      </w:r>
      <w:r>
        <w:br/>
        <w:t>\left(</w:t>
      </w:r>
      <w:r>
        <w:br/>
        <w:t>\mathcal M;</w:t>
      </w:r>
      <w:r>
        <w:br/>
        <w:t>\mathcal V_I\times\mathcal V_J</w:t>
      </w:r>
      <w:r>
        <w:br/>
        <w:t>\right)</w:t>
      </w:r>
      <w:r>
        <w:br/>
        <w:t>}</w:t>
      </w:r>
      <w:r>
        <w:br/>
        <w:t>\tag{3.10286}</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\boxed{(I_F,J_F)\in\mathcal I_F\left(\mathcal M;\mathcal V_I\times\mathcal V_J\right)}</w:t>
      </w:r>
    </w:p>
    <w:p w:rsidR="00CB6E1D" w:rsidRDefault="00CB6E1D" w:rsidP="00CB6E1D">
      <w:pPr>
        <w:pStyle w:val="StandardWeb"/>
      </w:pPr>
      <w:r>
        <w:t>funktional invariant.</w:t>
      </w:r>
    </w:p>
    <w:p w:rsidR="00CB6E1D" w:rsidRDefault="00CB6E1D" w:rsidP="00CB6E1D">
      <w:pPr>
        <w:pStyle w:val="berschrift3"/>
      </w:pPr>
      <w:r>
        <w:t>Beweis</w:t>
      </w:r>
    </w:p>
    <w:p w:rsidR="00CB6E1D" w:rsidRDefault="00CB6E1D" w:rsidP="00CB6E1D">
      <w:pPr>
        <w:pStyle w:val="StandardWeb"/>
      </w:pPr>
      <w:r>
        <w:t>Aus</w:t>
      </w:r>
    </w:p>
    <w:p w:rsidR="00CB6E1D" w:rsidRDefault="00CB6E1D" w:rsidP="00CB6E1D">
      <w:pPr>
        <w:pStyle w:val="StandardWeb"/>
      </w:pPr>
      <w:r>
        <w:t>[</w:t>
      </w:r>
      <w:r>
        <w:br/>
        <w:t>I_F(z_i)=I_F(z_j)</w:t>
      </w:r>
      <w:r>
        <w:br/>
        <w:t>\tag{3.10287}</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I_F(z_i)=I_F(z_j)</w:t>
      </w:r>
    </w:p>
    <w:p w:rsidR="00CB6E1D" w:rsidRDefault="00CB6E1D" w:rsidP="00CB6E1D">
      <w:pPr>
        <w:pStyle w:val="StandardWeb"/>
      </w:pPr>
      <w:r>
        <w:t>und</w:t>
      </w:r>
    </w:p>
    <w:p w:rsidR="00CB6E1D" w:rsidRDefault="00CB6E1D" w:rsidP="00CB6E1D">
      <w:pPr>
        <w:pStyle w:val="StandardWeb"/>
      </w:pPr>
      <w:r>
        <w:t>[</w:t>
      </w:r>
      <w:r>
        <w:br/>
        <w:t>J_F(z_i)=J_F(z_j)</w:t>
      </w:r>
      <w:r>
        <w:br/>
        <w:t>\tag{3.10288}</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J_F(z_i)=J_F(z_j)</w:t>
      </w:r>
    </w:p>
    <w:p w:rsidR="00CB6E1D" w:rsidRDefault="00CB6E1D" w:rsidP="00CB6E1D">
      <w:pPr>
        <w:pStyle w:val="StandardWeb"/>
      </w:pPr>
      <w:r>
        <w:t>folgt komponentenweise</w:t>
      </w:r>
    </w:p>
    <w:p w:rsidR="00CB6E1D" w:rsidRDefault="00CB6E1D" w:rsidP="00CB6E1D">
      <w:pPr>
        <w:pStyle w:val="berschrift1"/>
      </w:pPr>
      <w:r>
        <w:lastRenderedPageBreak/>
        <w:t>[</w:t>
      </w:r>
      <w:r>
        <w:br/>
        <w:t>(I_F,J_F)(z_i)</w:t>
      </w:r>
    </w:p>
    <w:p w:rsidR="00CB6E1D" w:rsidRDefault="00CB6E1D" w:rsidP="00CB6E1D">
      <w:pPr>
        <w:pStyle w:val="StandardWeb"/>
      </w:pPr>
      <w:r>
        <w:t>(I_F,J_F)(z_j).</w:t>
      </w:r>
      <w:r>
        <w:br/>
        <w:t>\tag{3.10289}</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(I_F,J_F)(z_i)=(I_F,J_F)(z_j)</w:t>
      </w:r>
    </w:p>
    <w:p w:rsidR="00CB6E1D" w:rsidRDefault="00CB6E1D" w:rsidP="00CB6E1D">
      <w:pPr>
        <w:pStyle w:val="StandardWeb"/>
      </w:pPr>
      <w:r>
        <w:t>Damit ist die Produktabbildung invariant. (\square)</w:t>
      </w:r>
    </w:p>
    <w:p w:rsidR="00CB6E1D" w:rsidRDefault="00E50336" w:rsidP="00CB6E1D">
      <w:r>
        <w:pict>
          <v:rect id="_x0000_i3206" style="width:0;height:1.5pt" o:hralign="center" o:hrstd="t" o:hr="t" fillcolor="#a0a0a0" stroked="f"/>
        </w:pict>
      </w:r>
    </w:p>
    <w:p w:rsidR="00CB6E1D" w:rsidRDefault="00CB6E1D" w:rsidP="00CB6E1D">
      <w:pPr>
        <w:pStyle w:val="berschrift1"/>
      </w:pPr>
      <w:r>
        <w:t>3.3.45.107 Algebraische Zusatzstruktur des Zielraumes</w:t>
      </w:r>
    </w:p>
    <w:p w:rsidR="00CB6E1D" w:rsidRDefault="00CB6E1D" w:rsidP="00CB6E1D">
      <w:pPr>
        <w:pStyle w:val="StandardWeb"/>
      </w:pPr>
      <w:r>
        <w:t>Additive oder multiplikative Aussagen können erst formuliert werden, wenn der Zielraum der Invarianten entsprechende Operationen besitzt.</w:t>
      </w:r>
    </w:p>
    <w:p w:rsidR="00CB6E1D" w:rsidRDefault="00CB6E1D" w:rsidP="00CB6E1D">
      <w:pPr>
        <w:pStyle w:val="StandardWeb"/>
      </w:pPr>
      <w:r>
        <w:t>Sei deshalb zunächst</w:t>
      </w:r>
    </w:p>
    <w:p w:rsidR="00CB6E1D" w:rsidRDefault="00CB6E1D" w:rsidP="00CB6E1D">
      <w:pPr>
        <w:pStyle w:val="StandardWeb"/>
      </w:pPr>
      <w:r>
        <w:t>[</w:t>
      </w:r>
      <w:r>
        <w:br/>
        <w:t>\mathcal V</w:t>
      </w:r>
      <w:r>
        <w:br/>
        <w:t>]</w:t>
      </w:r>
    </w:p>
    <w:p w:rsidR="00CB6E1D" w:rsidRDefault="00CB6E1D" w:rsidP="00CB6E1D">
      <w:pPr>
        <w:pStyle w:val="StandardWeb"/>
      </w:pPr>
      <w:r>
        <w:t>ein Vektorraum über einem Körper (\mathbb K).</w:t>
      </w:r>
    </w:p>
    <w:p w:rsidR="00CB6E1D" w:rsidRDefault="00CB6E1D" w:rsidP="00CB6E1D">
      <w:pPr>
        <w:pStyle w:val="StandardWeb"/>
      </w:pPr>
      <w:r>
        <w:t>Dann sind für</w:t>
      </w:r>
    </w:p>
    <w:p w:rsidR="00CB6E1D" w:rsidRDefault="00CB6E1D" w:rsidP="00CB6E1D">
      <w:pPr>
        <w:pStyle w:val="StandardWeb"/>
      </w:pPr>
      <w:r>
        <w:t>[</w:t>
      </w:r>
      <w:r>
        <w:br/>
        <w:t>a,b\in\mathbb K</w:t>
      </w:r>
      <w:r>
        <w:br/>
        <w:t>\tag{3.10290}</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a,b\in\mathbb K</w:t>
      </w:r>
    </w:p>
    <w:p w:rsidR="00CB6E1D" w:rsidRDefault="00CB6E1D" w:rsidP="00CB6E1D">
      <w:pPr>
        <w:pStyle w:val="StandardWeb"/>
      </w:pPr>
      <w:r>
        <w:t>lineare Kombinationen der Form</w:t>
      </w:r>
    </w:p>
    <w:p w:rsidR="00CB6E1D" w:rsidRDefault="00CB6E1D" w:rsidP="00CB6E1D">
      <w:pPr>
        <w:pStyle w:val="StandardWeb"/>
      </w:pPr>
      <w:r>
        <w:t>[</w:t>
      </w:r>
      <w:r>
        <w:br/>
        <w:t>aI_F+bJ_F</w:t>
      </w:r>
      <w:r>
        <w:br/>
        <w:t>\tag{3.10291}</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aI_F+bJ_F</w:t>
      </w:r>
    </w:p>
    <w:p w:rsidR="00CB6E1D" w:rsidRDefault="00CB6E1D" w:rsidP="00CB6E1D">
      <w:pPr>
        <w:pStyle w:val="StandardWeb"/>
      </w:pPr>
      <w:r>
        <w:lastRenderedPageBreak/>
        <w:t>definiert.</w:t>
      </w:r>
    </w:p>
    <w:p w:rsidR="00CB6E1D" w:rsidRDefault="00E50336" w:rsidP="00CB6E1D">
      <w:r>
        <w:pict>
          <v:rect id="_x0000_i3207" style="width:0;height:1.5pt" o:hralign="center" o:hrstd="t" o:hr="t" fillcolor="#a0a0a0" stroked="f"/>
        </w:pict>
      </w:r>
    </w:p>
    <w:p w:rsidR="00CB6E1D" w:rsidRDefault="00CB6E1D" w:rsidP="00CB6E1D">
      <w:pPr>
        <w:pStyle w:val="berschrift1"/>
      </w:pPr>
      <w:r>
        <w:t>3.3.45.108 Lineare Kombinationen</w:t>
      </w:r>
    </w:p>
    <w:p w:rsidR="00CB6E1D" w:rsidRDefault="00CB6E1D" w:rsidP="00CB6E1D">
      <w:pPr>
        <w:pStyle w:val="StandardWeb"/>
      </w:pPr>
      <w:r>
        <w:t>Für einen zulässigen Übergang gilt</w:t>
      </w:r>
    </w:p>
    <w:p w:rsidR="00CB6E1D" w:rsidRDefault="00CB6E1D" w:rsidP="00CB6E1D">
      <w:pPr>
        <w:pStyle w:val="StandardWeb"/>
      </w:pPr>
      <w:r>
        <w:t>[</w:t>
      </w:r>
      <w:r>
        <w:br/>
        <w:t>I_F(z_i)=I_F(z_j)</w:t>
      </w:r>
      <w:r>
        <w:br/>
        <w:t>\tag{3.10292}</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I_F(z_i)=I_F(z_j)</w:t>
      </w:r>
    </w:p>
    <w:p w:rsidR="00CB6E1D" w:rsidRDefault="00CB6E1D" w:rsidP="00CB6E1D">
      <w:pPr>
        <w:pStyle w:val="StandardWeb"/>
      </w:pPr>
      <w:r>
        <w:t>und</w:t>
      </w:r>
    </w:p>
    <w:p w:rsidR="00CB6E1D" w:rsidRDefault="00CB6E1D" w:rsidP="00CB6E1D">
      <w:pPr>
        <w:pStyle w:val="StandardWeb"/>
      </w:pPr>
      <w:r>
        <w:t>[</w:t>
      </w:r>
      <w:r>
        <w:br/>
        <w:t>J_F(z_i)=J_F(z_j).</w:t>
      </w:r>
      <w:r>
        <w:br/>
        <w:t>\tag{3.10293}</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J_F(z_i)=J_F(z_j)</w:t>
      </w:r>
    </w:p>
    <w:p w:rsidR="00CB6E1D" w:rsidRDefault="00CB6E1D" w:rsidP="00CB6E1D">
      <w:pPr>
        <w:pStyle w:val="StandardWeb"/>
      </w:pPr>
      <w:r>
        <w:t>Daher folgt</w:t>
      </w:r>
    </w:p>
    <w:p w:rsidR="00CB6E1D" w:rsidRDefault="00CB6E1D" w:rsidP="00CB6E1D">
      <w:pPr>
        <w:pStyle w:val="berschrift1"/>
      </w:pPr>
      <w:r>
        <w:t>[</w:t>
      </w:r>
      <w:r>
        <w:br/>
        <w:t>aI_F(z_i)+bJ_F(z_i)</w:t>
      </w:r>
    </w:p>
    <w:p w:rsidR="00CB6E1D" w:rsidRDefault="00CB6E1D" w:rsidP="00CB6E1D">
      <w:pPr>
        <w:pStyle w:val="StandardWeb"/>
      </w:pPr>
      <w:r>
        <w:t>aI_F(z_j)+bJ_F(z_j).</w:t>
      </w:r>
      <w:r>
        <w:br/>
        <w:t>\tag{3.10294}</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aI_F(z_i)+bJ_F(z_i)=aI_F(z_j)+bJ_F(z_j)</w:t>
      </w:r>
    </w:p>
    <w:p w:rsidR="00CB6E1D" w:rsidRDefault="00E50336" w:rsidP="00CB6E1D">
      <w:r>
        <w:pict>
          <v:rect id="_x0000_i3208" style="width:0;height:1.5pt" o:hralign="center" o:hrstd="t" o:hr="t" fillcolor="#a0a0a0" stroked="f"/>
        </w:pict>
      </w:r>
    </w:p>
    <w:p w:rsidR="00CB6E1D" w:rsidRDefault="00CB6E1D" w:rsidP="00CB6E1D">
      <w:pPr>
        <w:pStyle w:val="berschrift1"/>
      </w:pPr>
      <w:r>
        <w:t>3.3.45.109 Satz 3.3.48 – Lineare Abgeschlossenheit</w:t>
      </w:r>
    </w:p>
    <w:p w:rsidR="00CB6E1D" w:rsidRDefault="00CB6E1D" w:rsidP="00CB6E1D">
      <w:pPr>
        <w:pStyle w:val="berschrift3"/>
      </w:pPr>
      <w:r>
        <w:t>Satz 3.3.48</w:t>
      </w:r>
    </w:p>
    <w:p w:rsidR="00CB6E1D" w:rsidRDefault="00CB6E1D" w:rsidP="00CB6E1D">
      <w:pPr>
        <w:pStyle w:val="StandardWeb"/>
      </w:pPr>
      <w:r>
        <w:t>Ist (\mathcal V) ein Vektorraum über (\mathbb K), dann gilt für</w:t>
      </w:r>
    </w:p>
    <w:p w:rsidR="00CB6E1D" w:rsidRDefault="00CB6E1D" w:rsidP="00CB6E1D">
      <w:pPr>
        <w:pStyle w:val="StandardWeb"/>
      </w:pPr>
      <w:r>
        <w:lastRenderedPageBreak/>
        <w:t>[</w:t>
      </w:r>
      <w:r>
        <w:br/>
        <w:t>I_F,J_F\in\mathcal I_F(\mathcal M;\mathcal V)</w:t>
      </w:r>
      <w:r>
        <w:br/>
        <w:t>\tag{3.10295}</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I_F,J_F\in\mathcal I_F(\mathcal M;\mathcal V)</w:t>
      </w:r>
    </w:p>
    <w:p w:rsidR="00CB6E1D" w:rsidRDefault="00CB6E1D" w:rsidP="00CB6E1D">
      <w:pPr>
        <w:pStyle w:val="StandardWeb"/>
      </w:pPr>
      <w:r>
        <w:t>und beliebige (a,b\in\mathbb K)</w:t>
      </w:r>
    </w:p>
    <w:p w:rsidR="00CB6E1D" w:rsidRDefault="00CB6E1D" w:rsidP="00CB6E1D">
      <w:pPr>
        <w:pStyle w:val="StandardWeb"/>
      </w:pPr>
      <w:r>
        <w:t>[</w:t>
      </w:r>
      <w:r>
        <w:br/>
        <w:t>\boxed{</w:t>
      </w:r>
      <w:r>
        <w:br/>
        <w:t>aI_F+bJ_F</w:t>
      </w:r>
      <w:r>
        <w:br/>
        <w:t>\in</w:t>
      </w:r>
      <w:r>
        <w:br/>
        <w:t>\mathcal I_F(\mathcal M;\mathcal V).</w:t>
      </w:r>
      <w:r>
        <w:br/>
        <w:t>}</w:t>
      </w:r>
      <w:r>
        <w:br/>
        <w:t>\tag{3.10296}</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\boxed{aI_F+bJ_F\in\mathcal I_F(\mathcal M;\mathcal V).}</w:t>
      </w:r>
    </w:p>
    <w:p w:rsidR="00CB6E1D" w:rsidRDefault="00CB6E1D" w:rsidP="00CB6E1D">
      <w:pPr>
        <w:pStyle w:val="berschrift3"/>
      </w:pPr>
      <w:r>
        <w:t>Beweis</w:t>
      </w:r>
    </w:p>
    <w:p w:rsidR="00CB6E1D" w:rsidRDefault="00CB6E1D" w:rsidP="00CB6E1D">
      <w:pPr>
        <w:pStyle w:val="StandardWeb"/>
      </w:pPr>
      <w:r>
        <w:t>Für jeden zulässigen Übergang folgt aus der Invarianz von (I_F) und (J_F)</w:t>
      </w:r>
    </w:p>
    <w:p w:rsidR="00CB6E1D" w:rsidRDefault="00CB6E1D" w:rsidP="00CB6E1D">
      <w:pPr>
        <w:pStyle w:val="berschrift1"/>
      </w:pPr>
      <w:r>
        <w:t>[</w:t>
      </w:r>
      <w:r>
        <w:br/>
        <w:t>aI_F(z_i)+bJ_F(z_i)</w:t>
      </w:r>
    </w:p>
    <w:p w:rsidR="00CB6E1D" w:rsidRDefault="00CB6E1D" w:rsidP="00CB6E1D">
      <w:pPr>
        <w:pStyle w:val="StandardWeb"/>
      </w:pPr>
      <w:r>
        <w:t>aI_F(z_j)+bJ_F(z_j).</w:t>
      </w:r>
      <w:r>
        <w:br/>
        <w:t>\tag{3.10297}</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aI_F(z_i)+bJ_F(z_i)=aI_F(z_j)+bJ_F(z_j)</w:t>
      </w:r>
    </w:p>
    <w:p w:rsidR="00CB6E1D" w:rsidRDefault="00CB6E1D" w:rsidP="00CB6E1D">
      <w:pPr>
        <w:pStyle w:val="StandardWeb"/>
      </w:pPr>
      <w:r>
        <w:t>Die lineare Kombination ist damit invariant. (\square)</w:t>
      </w:r>
    </w:p>
    <w:p w:rsidR="00CB6E1D" w:rsidRDefault="00E50336" w:rsidP="00CB6E1D">
      <w:r>
        <w:pict>
          <v:rect id="_x0000_i3209" style="width:0;height:1.5pt" o:hralign="center" o:hrstd="t" o:hr="t" fillcolor="#a0a0a0" stroked="f"/>
        </w:pict>
      </w:r>
    </w:p>
    <w:p w:rsidR="00CB6E1D" w:rsidRDefault="00CB6E1D" w:rsidP="00CB6E1D">
      <w:pPr>
        <w:pStyle w:val="berschrift1"/>
      </w:pPr>
      <w:r>
        <w:t>3.3.45.110 Nullinvariante</w:t>
      </w:r>
    </w:p>
    <w:p w:rsidR="00CB6E1D" w:rsidRDefault="00CB6E1D" w:rsidP="00CB6E1D">
      <w:pPr>
        <w:pStyle w:val="StandardWeb"/>
      </w:pPr>
      <w:r>
        <w:t>Die konstante Nullabbildung</w:t>
      </w:r>
    </w:p>
    <w:p w:rsidR="00CB6E1D" w:rsidRDefault="00CB6E1D" w:rsidP="00CB6E1D">
      <w:pPr>
        <w:pStyle w:val="StandardWeb"/>
      </w:pPr>
      <w:r>
        <w:t>[</w:t>
      </w:r>
      <w:r>
        <w:br/>
        <w:t>0_F:</w:t>
      </w:r>
      <w:r>
        <w:br/>
        <w:t>\Omega_F\rightarrow\mathcal V,</w:t>
      </w:r>
      <w:r>
        <w:br/>
      </w:r>
      <w:r>
        <w:lastRenderedPageBreak/>
        <w:t>\qquad</w:t>
      </w:r>
      <w:r>
        <w:br/>
        <w:t>0_F(z)=0</w:t>
      </w:r>
      <w:r>
        <w:br/>
        <w:t>\tag{3.10298}</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0_F:\Omega_F\rightarrow\mathcal V,\qquad 0_F(z)=0</w:t>
      </w:r>
    </w:p>
    <w:p w:rsidR="00CB6E1D" w:rsidRDefault="00CB6E1D" w:rsidP="00CB6E1D">
      <w:pPr>
        <w:pStyle w:val="StandardWeb"/>
      </w:pPr>
      <w:r>
        <w:t>ist stets invariant.</w:t>
      </w:r>
    </w:p>
    <w:p w:rsidR="00CB6E1D" w:rsidRDefault="00CB6E1D" w:rsidP="00CB6E1D">
      <w:pPr>
        <w:pStyle w:val="StandardWeb"/>
      </w:pPr>
      <w:r>
        <w:t>Daher gilt</w:t>
      </w:r>
    </w:p>
    <w:p w:rsidR="00CB6E1D" w:rsidRDefault="00CB6E1D" w:rsidP="00CB6E1D">
      <w:pPr>
        <w:pStyle w:val="StandardWeb"/>
      </w:pPr>
      <w:r>
        <w:t>[</w:t>
      </w:r>
      <w:r>
        <w:br/>
        <w:t>0_F</w:t>
      </w:r>
      <w:r>
        <w:br/>
        <w:t>\in</w:t>
      </w:r>
      <w:r>
        <w:br/>
        <w:t>\mathcal I_F(\mathcal M;\mathcal V).</w:t>
      </w:r>
      <w:r>
        <w:br/>
        <w:t>\tag{3.10299}</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0_F\in\mathcal I_F(\mathcal M;\mathcal V)</w:t>
      </w:r>
    </w:p>
    <w:p w:rsidR="00CB6E1D" w:rsidRDefault="00E50336" w:rsidP="00CB6E1D">
      <w:r>
        <w:pict>
          <v:rect id="_x0000_i3210" style="width:0;height:1.5pt" o:hralign="center" o:hrstd="t" o:hr="t" fillcolor="#a0a0a0" stroked="f"/>
        </w:pict>
      </w:r>
    </w:p>
    <w:p w:rsidR="00CB6E1D" w:rsidRDefault="00CB6E1D" w:rsidP="00CB6E1D">
      <w:pPr>
        <w:pStyle w:val="berschrift1"/>
      </w:pPr>
      <w:r>
        <w:t>3.3.45.111 Additive Inverse</w:t>
      </w:r>
    </w:p>
    <w:p w:rsidR="00CB6E1D" w:rsidRDefault="00CB6E1D" w:rsidP="00CB6E1D">
      <w:pPr>
        <w:pStyle w:val="StandardWeb"/>
      </w:pPr>
      <w:r>
        <w:t>Ist (I_F) invariant, dann gilt auch</w:t>
      </w:r>
    </w:p>
    <w:p w:rsidR="00CB6E1D" w:rsidRDefault="00CB6E1D" w:rsidP="00CB6E1D">
      <w:pPr>
        <w:pStyle w:val="berschrift1"/>
      </w:pPr>
      <w:r>
        <w:t>[</w:t>
      </w:r>
      <w:r>
        <w:br/>
        <w:t>-I_F(z_i)</w:t>
      </w:r>
    </w:p>
    <w:p w:rsidR="00CB6E1D" w:rsidRDefault="00CB6E1D" w:rsidP="00CB6E1D">
      <w:pPr>
        <w:pStyle w:val="StandardWeb"/>
      </w:pPr>
      <w:r>
        <w:t>-I_F(z_j)</w:t>
      </w:r>
      <w:r>
        <w:br/>
        <w:t>\tag{3.10300}</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-I_F(z_i)=-I_F(z_j)</w:t>
      </w:r>
    </w:p>
    <w:p w:rsidR="00CB6E1D" w:rsidRDefault="00CB6E1D" w:rsidP="00CB6E1D">
      <w:pPr>
        <w:pStyle w:val="StandardWeb"/>
      </w:pPr>
      <w:r>
        <w:t>für jeden zulässigen Übergang.</w:t>
      </w:r>
    </w:p>
    <w:p w:rsidR="00CB6E1D" w:rsidRDefault="00CB6E1D" w:rsidP="00CB6E1D">
      <w:pPr>
        <w:pStyle w:val="StandardWeb"/>
      </w:pPr>
      <w:r>
        <w:t>Damit folgt</w:t>
      </w:r>
    </w:p>
    <w:p w:rsidR="00CB6E1D" w:rsidRDefault="00CB6E1D" w:rsidP="00CB6E1D">
      <w:pPr>
        <w:pStyle w:val="StandardWeb"/>
      </w:pPr>
      <w:r>
        <w:t>[</w:t>
      </w:r>
      <w:r>
        <w:br/>
        <w:t>-I_F</w:t>
      </w:r>
      <w:r>
        <w:br/>
        <w:t>\in</w:t>
      </w:r>
      <w:r>
        <w:br/>
        <w:t>\mathcal I_F(\mathcal M;\mathcal V).</w:t>
      </w:r>
      <w:r>
        <w:br/>
      </w:r>
      <w:r>
        <w:lastRenderedPageBreak/>
        <w:t>\tag{3.10301}</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-I_F\in\mathcal I_F(\mathcal M;\mathcal V)</w:t>
      </w:r>
    </w:p>
    <w:p w:rsidR="00CB6E1D" w:rsidRDefault="00E50336" w:rsidP="00CB6E1D">
      <w:r>
        <w:pict>
          <v:rect id="_x0000_i3211" style="width:0;height:1.5pt" o:hralign="center" o:hrstd="t" o:hr="t" fillcolor="#a0a0a0" stroked="f"/>
        </w:pict>
      </w:r>
    </w:p>
    <w:p w:rsidR="00CB6E1D" w:rsidRDefault="00CB6E1D" w:rsidP="00CB6E1D">
      <w:pPr>
        <w:pStyle w:val="berschrift1"/>
      </w:pPr>
      <w:r>
        <w:t>3.3.45.112 Satz 3.3.49 – Vektorraum der funktionalen Invarianten</w:t>
      </w:r>
    </w:p>
    <w:p w:rsidR="00CB6E1D" w:rsidRDefault="00CB6E1D" w:rsidP="00CB6E1D">
      <w:pPr>
        <w:pStyle w:val="berschrift3"/>
      </w:pPr>
      <w:r>
        <w:t>Satz 3.3.49</w:t>
      </w:r>
    </w:p>
    <w:p w:rsidR="00CB6E1D" w:rsidRDefault="00CB6E1D" w:rsidP="00CB6E1D">
      <w:pPr>
        <w:pStyle w:val="StandardWeb"/>
      </w:pPr>
      <w:r>
        <w:t>Ist der Zielraum (\mathcal V) ein Vektorraum über (\mathbb K), dann bildet</w:t>
      </w:r>
    </w:p>
    <w:p w:rsidR="00CB6E1D" w:rsidRDefault="00CB6E1D" w:rsidP="00CB6E1D">
      <w:pPr>
        <w:pStyle w:val="StandardWeb"/>
      </w:pPr>
      <w:r>
        <w:t>[</w:t>
      </w:r>
      <w:r>
        <w:br/>
        <w:t>\mathcal I_F(\mathcal M;\mathcal V)</w:t>
      </w:r>
      <w:r>
        <w:br/>
        <w:t>\tag{3.10302}</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\mathcal I_F(\mathcal M;\mathcal V)</w:t>
      </w:r>
    </w:p>
    <w:p w:rsidR="00CB6E1D" w:rsidRDefault="00CB6E1D" w:rsidP="00CB6E1D">
      <w:pPr>
        <w:pStyle w:val="StandardWeb"/>
      </w:pPr>
      <w:r>
        <w:t>unter punktweiser Addition und skalarer Multiplikation einen Vektorraum:</w:t>
      </w:r>
    </w:p>
    <w:p w:rsidR="00CB6E1D" w:rsidRDefault="00CB6E1D" w:rsidP="00CB6E1D">
      <w:pPr>
        <w:pStyle w:val="StandardWeb"/>
      </w:pPr>
      <w:r>
        <w:t>[</w:t>
      </w:r>
      <w:r>
        <w:br/>
        <w:t>\boxed{</w:t>
      </w:r>
      <w:r>
        <w:br/>
        <w:t>\mathcal I_F(\mathcal M;\mathcal V)</w:t>
      </w:r>
      <w:r>
        <w:br/>
        <w:t>\leq</w:t>
      </w:r>
      <w:r>
        <w:br/>
        <w:t>\mathcal V^{\Omega_F}.</w:t>
      </w:r>
      <w:r>
        <w:br/>
        <w:t>}</w:t>
      </w:r>
      <w:r>
        <w:br/>
        <w:t>\tag{3.10303}</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\boxed{\mathcal I_F(\mathcal M;\mathcal V)\leq\mathcal V^{\Omega_F}.}</w:t>
      </w:r>
    </w:p>
    <w:p w:rsidR="00CB6E1D" w:rsidRDefault="00CB6E1D" w:rsidP="00CB6E1D">
      <w:pPr>
        <w:pStyle w:val="StandardWeb"/>
      </w:pPr>
      <w:r>
        <w:t>Dabei bezeichnet (\mathcal V^{\Omega_F}) den Vektorraum aller Abbildungen von (\Omega_F) nach (\mathcal V).</w:t>
      </w:r>
    </w:p>
    <w:p w:rsidR="00CB6E1D" w:rsidRDefault="00E50336" w:rsidP="00CB6E1D">
      <w:r>
        <w:pict>
          <v:rect id="_x0000_i3212" style="width:0;height:1.5pt" o:hralign="center" o:hrstd="t" o:hr="t" fillcolor="#a0a0a0" stroked="f"/>
        </w:pict>
      </w:r>
    </w:p>
    <w:p w:rsidR="00CB6E1D" w:rsidRDefault="00CB6E1D" w:rsidP="00CB6E1D">
      <w:pPr>
        <w:pStyle w:val="berschrift1"/>
      </w:pPr>
      <w:r>
        <w:t>3.3.45.113 Definition 3.3.119 – Funktionaler Invariantenraum</w:t>
      </w:r>
    </w:p>
    <w:p w:rsidR="00CB6E1D" w:rsidRDefault="00CB6E1D" w:rsidP="00CB6E1D">
      <w:pPr>
        <w:pStyle w:val="berschrift3"/>
      </w:pPr>
      <w:r>
        <w:t>Definition 3.3.119</w:t>
      </w:r>
    </w:p>
    <w:p w:rsidR="00CB6E1D" w:rsidRDefault="00CB6E1D" w:rsidP="00CB6E1D">
      <w:pPr>
        <w:pStyle w:val="StandardWeb"/>
      </w:pPr>
      <w:r>
        <w:lastRenderedPageBreak/>
        <w:t>Ist der Zielraum (\mathcal V) ein Vektorraum, nenne ich</w:t>
      </w:r>
    </w:p>
    <w:p w:rsidR="00CB6E1D" w:rsidRDefault="00CB6E1D" w:rsidP="00CB6E1D">
      <w:pPr>
        <w:pStyle w:val="StandardWeb"/>
      </w:pPr>
      <w:r>
        <w:t>[</w:t>
      </w:r>
      <w:r>
        <w:br/>
        <w:t>\boxed{</w:t>
      </w:r>
      <w:r>
        <w:br/>
        <w:t>\mathfrak V_I(\mathcal M)</w:t>
      </w:r>
      <w:r>
        <w:br/>
        <w:t>:=</w:t>
      </w:r>
      <w:r>
        <w:br/>
        <w:t>\mathcal I_F(\mathcal M;\mathcal V)</w:t>
      </w:r>
      <w:r>
        <w:br/>
        <w:t>}</w:t>
      </w:r>
      <w:r>
        <w:br/>
        <w:t>\tag{3.10304}</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\boxed{\mathfrak V_I(\mathcal M):=\mathcal I_F(\mathcal M;\mathcal V)}</w:t>
      </w:r>
    </w:p>
    <w:p w:rsidR="00CB6E1D" w:rsidRDefault="00CB6E1D" w:rsidP="00CB6E1D">
      <w:pPr>
        <w:pStyle w:val="StandardWeb"/>
      </w:pPr>
      <w:r>
        <w:t xml:space="preserve">den </w:t>
      </w:r>
      <w:r>
        <w:rPr>
          <w:rStyle w:val="Fett"/>
        </w:rPr>
        <w:t>funktionalen Invariantenraum</w:t>
      </w:r>
      <w:r>
        <w:t xml:space="preserve"> des Modells bezüglich (\mathcal V).</w:t>
      </w:r>
    </w:p>
    <w:p w:rsidR="00CB6E1D" w:rsidRDefault="00CB6E1D" w:rsidP="00CB6E1D">
      <w:pPr>
        <w:pStyle w:val="StandardWeb"/>
      </w:pPr>
      <w:r>
        <w:t>Diese Bezeichnung ist nur unter den genannten linearen Voraussetzungen zulässig.</w:t>
      </w:r>
    </w:p>
    <w:p w:rsidR="00CB6E1D" w:rsidRDefault="00E50336" w:rsidP="00CB6E1D">
      <w:r>
        <w:pict>
          <v:rect id="_x0000_i3213" style="width:0;height:1.5pt" o:hralign="center" o:hrstd="t" o:hr="t" fillcolor="#a0a0a0" stroked="f"/>
        </w:pict>
      </w:r>
    </w:p>
    <w:p w:rsidR="00CB6E1D" w:rsidRDefault="00CB6E1D" w:rsidP="00CB6E1D">
      <w:pPr>
        <w:pStyle w:val="berschrift1"/>
      </w:pPr>
      <w:r>
        <w:t>3.3.45.114 Dimensionsbegriff</w:t>
      </w:r>
    </w:p>
    <w:p w:rsidR="00CB6E1D" w:rsidRDefault="00CB6E1D" w:rsidP="00CB6E1D">
      <w:pPr>
        <w:pStyle w:val="StandardWeb"/>
      </w:pPr>
      <w:r>
        <w:t>Ist (\mathfrak V_I(\mathcal M)) endlichdimensional, kann ich seine Dimension definieren durch</w:t>
      </w:r>
    </w:p>
    <w:p w:rsidR="00CB6E1D" w:rsidRDefault="00CB6E1D" w:rsidP="00CB6E1D">
      <w:pPr>
        <w:pStyle w:val="berschrift1"/>
      </w:pPr>
      <w:r>
        <w:t>[</w:t>
      </w:r>
      <w:r>
        <w:br/>
        <w:t>d_I(\mathcal M)</w:t>
      </w:r>
    </w:p>
    <w:p w:rsidR="00CB6E1D" w:rsidRDefault="00CB6E1D" w:rsidP="00CB6E1D">
      <w:pPr>
        <w:pStyle w:val="StandardWeb"/>
      </w:pPr>
      <w:r>
        <w:t>\dim</w:t>
      </w:r>
      <w:r>
        <w:br/>
        <w:t>\mathfrak V_I(\mathcal M).</w:t>
      </w:r>
      <w:r>
        <w:br/>
        <w:t>\tag{3.10305}</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d_I(\mathcal M)=\dim\mathfrak V_I(\mathcal M)</w:t>
      </w:r>
    </w:p>
    <w:p w:rsidR="00CB6E1D" w:rsidRDefault="00CB6E1D" w:rsidP="00CB6E1D">
      <w:pPr>
        <w:pStyle w:val="StandardWeb"/>
      </w:pPr>
      <w:r>
        <w:t>Diese Zahl misst die Dimension des linearen Raumes aller betrachteten Invarianten, nicht automatisch die Anzahl physikalisch unabhängiger Erhaltungsgesetze.</w:t>
      </w:r>
    </w:p>
    <w:p w:rsidR="00CB6E1D" w:rsidRDefault="00E50336" w:rsidP="00CB6E1D">
      <w:r>
        <w:pict>
          <v:rect id="_x0000_i3214" style="width:0;height:1.5pt" o:hralign="center" o:hrstd="t" o:hr="t" fillcolor="#a0a0a0" stroked="f"/>
        </w:pict>
      </w:r>
    </w:p>
    <w:p w:rsidR="00CB6E1D" w:rsidRDefault="00CB6E1D" w:rsidP="00CB6E1D">
      <w:pPr>
        <w:pStyle w:val="berschrift1"/>
      </w:pPr>
      <w:r>
        <w:t>3.3.45.115 Definition 3.3.120 – Lineare Invariantendimension</w:t>
      </w:r>
    </w:p>
    <w:p w:rsidR="00CB6E1D" w:rsidRDefault="00CB6E1D" w:rsidP="00CB6E1D">
      <w:pPr>
        <w:pStyle w:val="berschrift3"/>
      </w:pPr>
      <w:r>
        <w:t>Definition 3.3.120</w:t>
      </w:r>
    </w:p>
    <w:p w:rsidR="00CB6E1D" w:rsidRDefault="00CB6E1D" w:rsidP="00CB6E1D">
      <w:pPr>
        <w:pStyle w:val="StandardWeb"/>
      </w:pPr>
      <w:r>
        <w:t>Für einen endlichdimensionalen funktionalen Invariantenraum definiere ich</w:t>
      </w:r>
    </w:p>
    <w:p w:rsidR="00CB6E1D" w:rsidRDefault="00CB6E1D" w:rsidP="00CB6E1D">
      <w:pPr>
        <w:pStyle w:val="StandardWeb"/>
      </w:pPr>
      <w:r>
        <w:lastRenderedPageBreak/>
        <w:t>[</w:t>
      </w:r>
      <w:r>
        <w:br/>
        <w:t>\boxed{</w:t>
      </w:r>
      <w:r>
        <w:br/>
        <w:t>d_I(\mathcal M)</w:t>
      </w:r>
      <w:r>
        <w:br/>
        <w:t>:=</w:t>
      </w:r>
      <w:r>
        <w:br/>
        <w:t>\dim</w:t>
      </w:r>
      <w:r>
        <w:br/>
        <w:t>\mathfrak V_I(\mathcal M).</w:t>
      </w:r>
      <w:r>
        <w:br/>
        <w:t>}</w:t>
      </w:r>
      <w:r>
        <w:br/>
        <w:t>\tag{3.10306}</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\boxed{d_I(\mathcal M):=\dim\mathfrak V_I(\mathcal M).}</w:t>
      </w:r>
    </w:p>
    <w:p w:rsidR="00CB6E1D" w:rsidRDefault="00CB6E1D" w:rsidP="00CB6E1D">
      <w:pPr>
        <w:pStyle w:val="StandardWeb"/>
      </w:pPr>
      <w:r>
        <w:t>Der Wert hängt ausdrücklich von der gewählten Zielraumstruktur und dem zugelassenen Invariantenraum ab.</w:t>
      </w:r>
    </w:p>
    <w:p w:rsidR="00CB6E1D" w:rsidRDefault="00E50336" w:rsidP="00CB6E1D">
      <w:r>
        <w:pict>
          <v:rect id="_x0000_i3215" style="width:0;height:1.5pt" o:hralign="center" o:hrstd="t" o:hr="t" fillcolor="#a0a0a0" stroked="f"/>
        </w:pict>
      </w:r>
    </w:p>
    <w:p w:rsidR="00CB6E1D" w:rsidRDefault="00CB6E1D" w:rsidP="00CB6E1D">
      <w:pPr>
        <w:pStyle w:val="berschrift1"/>
      </w:pPr>
      <w:r>
        <w:t>3.3.45.116 Multiplikative Struktur</w:t>
      </w:r>
    </w:p>
    <w:p w:rsidR="00CB6E1D" w:rsidRDefault="00CB6E1D" w:rsidP="00CB6E1D">
      <w:pPr>
        <w:pStyle w:val="StandardWeb"/>
      </w:pPr>
      <w:r>
        <w:t>Besitzt (\mathcal V) zusätzlich eine Multiplikation, etwa</w:t>
      </w:r>
    </w:p>
    <w:p w:rsidR="00CB6E1D" w:rsidRDefault="00CB6E1D" w:rsidP="00CB6E1D">
      <w:pPr>
        <w:pStyle w:val="StandardWeb"/>
      </w:pPr>
      <w:r>
        <w:t>[</w:t>
      </w:r>
      <w:r>
        <w:br/>
        <w:t>\mathcal V=\mathbb R</w:t>
      </w:r>
      <w:r>
        <w:br/>
        <w:t>\tag{3.10307}</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\mathcal V=\mathbb R</w:t>
      </w:r>
    </w:p>
    <w:p w:rsidR="00CB6E1D" w:rsidRDefault="00CB6E1D" w:rsidP="00CB6E1D">
      <w:pPr>
        <w:pStyle w:val="StandardWeb"/>
      </w:pPr>
      <w:r>
        <w:t>oder allgemeiner eine Algebra, kann für zwei Invarianten das punktweise Produkt</w:t>
      </w:r>
    </w:p>
    <w:p w:rsidR="00CB6E1D" w:rsidRDefault="00CB6E1D" w:rsidP="00CB6E1D">
      <w:pPr>
        <w:pStyle w:val="berschrift1"/>
      </w:pPr>
      <w:r>
        <w:t>[</w:t>
      </w:r>
      <w:r>
        <w:br/>
        <w:t>(I_FJ_F)(z)</w:t>
      </w:r>
    </w:p>
    <w:p w:rsidR="00CB6E1D" w:rsidRDefault="00CB6E1D" w:rsidP="00CB6E1D">
      <w:pPr>
        <w:pStyle w:val="StandardWeb"/>
      </w:pPr>
      <w:r>
        <w:t>I_F(z)J_F(z)</w:t>
      </w:r>
      <w:r>
        <w:br/>
        <w:t>\tag{3.10308}</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(I_FJ_F)(z)=I_F(z)J_F(z)</w:t>
      </w:r>
    </w:p>
    <w:p w:rsidR="00CB6E1D" w:rsidRDefault="00CB6E1D" w:rsidP="00CB6E1D">
      <w:pPr>
        <w:pStyle w:val="StandardWeb"/>
      </w:pPr>
      <w:r>
        <w:t>gebildet werden.</w:t>
      </w:r>
    </w:p>
    <w:p w:rsidR="00CB6E1D" w:rsidRDefault="00E50336" w:rsidP="00CB6E1D">
      <w:r>
        <w:pict>
          <v:rect id="_x0000_i3216" style="width:0;height:1.5pt" o:hralign="center" o:hrstd="t" o:hr="t" fillcolor="#a0a0a0" stroked="f"/>
        </w:pict>
      </w:r>
    </w:p>
    <w:p w:rsidR="00CB6E1D" w:rsidRDefault="00CB6E1D" w:rsidP="00CB6E1D">
      <w:pPr>
        <w:pStyle w:val="berschrift1"/>
      </w:pPr>
      <w:r>
        <w:lastRenderedPageBreak/>
        <w:t>3.3.45.117 Satz 3.3.50 – Multiplikative Abgeschlossenheit</w:t>
      </w:r>
    </w:p>
    <w:p w:rsidR="00CB6E1D" w:rsidRDefault="00CB6E1D" w:rsidP="00CB6E1D">
      <w:pPr>
        <w:pStyle w:val="berschrift3"/>
      </w:pPr>
      <w:r>
        <w:t>Satz 3.3.50</w:t>
      </w:r>
    </w:p>
    <w:p w:rsidR="00CB6E1D" w:rsidRDefault="00CB6E1D" w:rsidP="00CB6E1D">
      <w:pPr>
        <w:pStyle w:val="StandardWeb"/>
      </w:pPr>
      <w:r>
        <w:t>Sind (I_F) und (J_F) Invarianten mit Werten in einer Algebra (\mathcal A), dann gilt</w:t>
      </w:r>
    </w:p>
    <w:p w:rsidR="00CB6E1D" w:rsidRDefault="00CB6E1D" w:rsidP="00CB6E1D">
      <w:pPr>
        <w:pStyle w:val="StandardWeb"/>
      </w:pPr>
      <w:r>
        <w:t>[</w:t>
      </w:r>
      <w:r>
        <w:br/>
        <w:t>\boxed{</w:t>
      </w:r>
      <w:r>
        <w:br/>
        <w:t>I_FJ_F</w:t>
      </w:r>
      <w:r>
        <w:br/>
        <w:t>\in</w:t>
      </w:r>
      <w:r>
        <w:br/>
        <w:t>\mathcal I_F(\mathcal M;\mathcal A).</w:t>
      </w:r>
      <w:r>
        <w:br/>
        <w:t>}</w:t>
      </w:r>
      <w:r>
        <w:br/>
        <w:t>\tag{3.10309}</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\boxed{I_FJ_F\in\mathcal I_F(\mathcal M;\mathcal A).}</w:t>
      </w:r>
    </w:p>
    <w:p w:rsidR="00CB6E1D" w:rsidRDefault="00CB6E1D" w:rsidP="00CB6E1D">
      <w:pPr>
        <w:pStyle w:val="berschrift3"/>
      </w:pPr>
      <w:r>
        <w:t>Beweis</w:t>
      </w:r>
    </w:p>
    <w:p w:rsidR="00CB6E1D" w:rsidRDefault="00CB6E1D" w:rsidP="00CB6E1D">
      <w:pPr>
        <w:pStyle w:val="StandardWeb"/>
      </w:pPr>
      <w:r>
        <w:t>Für einen zulässigen Übergang gilt</w:t>
      </w:r>
    </w:p>
    <w:p w:rsidR="00CB6E1D" w:rsidRDefault="00CB6E1D" w:rsidP="00CB6E1D">
      <w:pPr>
        <w:pStyle w:val="StandardWeb"/>
      </w:pPr>
      <w:r>
        <w:t>[</w:t>
      </w:r>
      <w:r>
        <w:br/>
        <w:t>I_F(z_i)=I_F(z_j)</w:t>
      </w:r>
      <w:r>
        <w:br/>
        <w:t>\tag{3.10310}</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I_F(z_i)=I_F(z_j)</w:t>
      </w:r>
    </w:p>
    <w:p w:rsidR="00CB6E1D" w:rsidRDefault="00CB6E1D" w:rsidP="00CB6E1D">
      <w:pPr>
        <w:pStyle w:val="StandardWeb"/>
      </w:pPr>
      <w:r>
        <w:t>und</w:t>
      </w:r>
    </w:p>
    <w:p w:rsidR="00CB6E1D" w:rsidRDefault="00CB6E1D" w:rsidP="00CB6E1D">
      <w:pPr>
        <w:pStyle w:val="StandardWeb"/>
      </w:pPr>
      <w:r>
        <w:t>[</w:t>
      </w:r>
      <w:r>
        <w:br/>
        <w:t>J_F(z_i)=J_F(z_j).</w:t>
      </w:r>
      <w:r>
        <w:br/>
        <w:t>\tag{3.10311}</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J_F(z_i)=J_F(z_j)</w:t>
      </w:r>
    </w:p>
    <w:p w:rsidR="00CB6E1D" w:rsidRDefault="00CB6E1D" w:rsidP="00CB6E1D">
      <w:pPr>
        <w:pStyle w:val="StandardWeb"/>
      </w:pPr>
      <w:r>
        <w:t>Daher folgt</w:t>
      </w:r>
    </w:p>
    <w:p w:rsidR="00CB6E1D" w:rsidRDefault="00CB6E1D" w:rsidP="00CB6E1D">
      <w:pPr>
        <w:pStyle w:val="berschrift1"/>
      </w:pPr>
      <w:r>
        <w:t>[</w:t>
      </w:r>
      <w:r>
        <w:br/>
        <w:t>I_F(z_i)J_F(z_i)</w:t>
      </w:r>
    </w:p>
    <w:p w:rsidR="00CB6E1D" w:rsidRDefault="00CB6E1D" w:rsidP="00CB6E1D">
      <w:pPr>
        <w:pStyle w:val="StandardWeb"/>
      </w:pPr>
      <w:r>
        <w:lastRenderedPageBreak/>
        <w:t>I_F(z_j)J_F(z_j).</w:t>
      </w:r>
      <w:r>
        <w:br/>
        <w:t>\tag{3.10312}</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I_F(z_i)J_F(z_i)=I_F(z_j)J_F(z_j)</w:t>
      </w:r>
    </w:p>
    <w:p w:rsidR="00CB6E1D" w:rsidRDefault="00CB6E1D" w:rsidP="00CB6E1D">
      <w:pPr>
        <w:pStyle w:val="StandardWeb"/>
      </w:pPr>
      <w:r>
        <w:t>Somit ist auch das punktweise Produkt invariant. (\square)</w:t>
      </w:r>
    </w:p>
    <w:p w:rsidR="00CB6E1D" w:rsidRDefault="00E50336" w:rsidP="00CB6E1D">
      <w:r>
        <w:pict>
          <v:rect id="_x0000_i3217" style="width:0;height:1.5pt" o:hralign="center" o:hrstd="t" o:hr="t" fillcolor="#a0a0a0" stroked="f"/>
        </w:pict>
      </w:r>
    </w:p>
    <w:p w:rsidR="00CB6E1D" w:rsidRDefault="00CB6E1D" w:rsidP="00CB6E1D">
      <w:pPr>
        <w:pStyle w:val="berschrift1"/>
      </w:pPr>
      <w:r>
        <w:t>3.3.45.118 Algebra der Invarianten</w:t>
      </w:r>
    </w:p>
    <w:p w:rsidR="00CB6E1D" w:rsidRDefault="00CB6E1D" w:rsidP="00CB6E1D">
      <w:pPr>
        <w:pStyle w:val="StandardWeb"/>
      </w:pPr>
      <w:r>
        <w:t>Sind Addition, skalare Multiplikation und Multiplikation des Zielraumes miteinander verträglich, kann die Invariantenmenge damit eine Algebra bilden.</w:t>
      </w:r>
    </w:p>
    <w:p w:rsidR="00CB6E1D" w:rsidRDefault="00CB6E1D" w:rsidP="00CB6E1D">
      <w:pPr>
        <w:pStyle w:val="StandardWeb"/>
      </w:pPr>
      <w:r>
        <w:t>Formal kann dann geschrieben werden</w:t>
      </w:r>
    </w:p>
    <w:p w:rsidR="00CB6E1D" w:rsidRDefault="00CB6E1D" w:rsidP="00CB6E1D">
      <w:pPr>
        <w:pStyle w:val="berschrift1"/>
      </w:pPr>
      <w:r>
        <w:t>[</w:t>
      </w:r>
      <w:r>
        <w:br/>
        <w:t>\boxed{</w:t>
      </w:r>
      <w:r>
        <w:br/>
        <w:t>\mathfrak A_I(\mathcal M)</w:t>
      </w:r>
    </w:p>
    <w:p w:rsidR="00CB6E1D" w:rsidRDefault="00CB6E1D" w:rsidP="00CB6E1D">
      <w:pPr>
        <w:pStyle w:val="StandardWeb"/>
      </w:pPr>
      <w:r>
        <w:t>\mathcal I_F(\mathcal M;\mathcal A).</w:t>
      </w:r>
      <w:r>
        <w:br/>
        <w:t>}</w:t>
      </w:r>
      <w:r>
        <w:br/>
        <w:t>\tag{3.10313}</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\boxed{\mathfrak A_I(\mathcal M)=\mathcal I_F(\mathcal M;\mathcal A).}</w:t>
      </w:r>
    </w:p>
    <w:p w:rsidR="00CB6E1D" w:rsidRDefault="00E50336" w:rsidP="00CB6E1D">
      <w:r>
        <w:pict>
          <v:rect id="_x0000_i3218" style="width:0;height:1.5pt" o:hralign="center" o:hrstd="t" o:hr="t" fillcolor="#a0a0a0" stroked="f"/>
        </w:pict>
      </w:r>
    </w:p>
    <w:p w:rsidR="00CB6E1D" w:rsidRDefault="00CB6E1D" w:rsidP="00CB6E1D">
      <w:pPr>
        <w:pStyle w:val="berschrift1"/>
      </w:pPr>
      <w:r>
        <w:t>3.3.45.119 Definition 3.3.121 – Funktionale Invariantenalgebra</w:t>
      </w:r>
    </w:p>
    <w:p w:rsidR="00CB6E1D" w:rsidRDefault="00CB6E1D" w:rsidP="00CB6E1D">
      <w:pPr>
        <w:pStyle w:val="berschrift3"/>
      </w:pPr>
      <w:r>
        <w:t>Definition 3.3.121</w:t>
      </w:r>
    </w:p>
    <w:p w:rsidR="00CB6E1D" w:rsidRDefault="00CB6E1D" w:rsidP="00CB6E1D">
      <w:pPr>
        <w:pStyle w:val="StandardWeb"/>
      </w:pPr>
      <w:r>
        <w:t>Ist der Zielraum (\mathcal A) eine Algebra und ist die Menge funktionaler Invarianten unter den punktweisen Algebraoperationen abgeschlossen, dann nenne ich</w:t>
      </w:r>
    </w:p>
    <w:p w:rsidR="00CB6E1D" w:rsidRDefault="00CB6E1D" w:rsidP="00CB6E1D">
      <w:pPr>
        <w:pStyle w:val="StandardWeb"/>
      </w:pPr>
      <w:r>
        <w:t>[</w:t>
      </w:r>
      <w:r>
        <w:br/>
        <w:t>\boxed{</w:t>
      </w:r>
      <w:r>
        <w:br/>
        <w:t>\mathfrak A_I(\mathcal M)</w:t>
      </w:r>
      <w:r>
        <w:br/>
        <w:t>:=</w:t>
      </w:r>
      <w:r>
        <w:br/>
        <w:t>\mathcal I_F(\mathcal M;\mathcal A)</w:t>
      </w:r>
      <w:r>
        <w:br/>
        <w:t>}</w:t>
      </w:r>
      <w:r>
        <w:br/>
      </w:r>
      <w:r>
        <w:lastRenderedPageBreak/>
        <w:t>\tag{3.10314}</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\boxed{\mathfrak A_I(\mathcal M):=\mathcal I_F(\mathcal M;\mathcal A)}</w:t>
      </w:r>
    </w:p>
    <w:p w:rsidR="00CB6E1D" w:rsidRDefault="00CB6E1D" w:rsidP="00CB6E1D">
      <w:pPr>
        <w:pStyle w:val="StandardWeb"/>
      </w:pPr>
      <w:r>
        <w:t xml:space="preserve">die </w:t>
      </w:r>
      <w:r>
        <w:rPr>
          <w:rStyle w:val="Fett"/>
        </w:rPr>
        <w:t>funktionale Invariantenalgebra</w:t>
      </w:r>
      <w:r>
        <w:t xml:space="preserve"> des Modells.</w:t>
      </w:r>
    </w:p>
    <w:p w:rsidR="00CB6E1D" w:rsidRDefault="00E50336" w:rsidP="00CB6E1D">
      <w:r>
        <w:pict>
          <v:rect id="_x0000_i3219" style="width:0;height:1.5pt" o:hralign="center" o:hrstd="t" o:hr="t" fillcolor="#a0a0a0" stroked="f"/>
        </w:pict>
      </w:r>
    </w:p>
    <w:p w:rsidR="00CB6E1D" w:rsidRDefault="00CB6E1D" w:rsidP="00CB6E1D">
      <w:pPr>
        <w:pStyle w:val="berschrift1"/>
      </w:pPr>
      <w:r>
        <w:t>3.3.45.120 Quotienten und Inversionen</w:t>
      </w:r>
    </w:p>
    <w:p w:rsidR="00CB6E1D" w:rsidRDefault="00CB6E1D" w:rsidP="00CB6E1D">
      <w:pPr>
        <w:pStyle w:val="StandardWeb"/>
      </w:pPr>
      <w:r>
        <w:t>Ist eine Invariante (J_F) nirgends null,</w:t>
      </w:r>
    </w:p>
    <w:p w:rsidR="00CB6E1D" w:rsidRDefault="00CB6E1D" w:rsidP="00CB6E1D">
      <w:pPr>
        <w:pStyle w:val="StandardWeb"/>
      </w:pPr>
      <w:r>
        <w:t>[</w:t>
      </w:r>
      <w:r>
        <w:br/>
        <w:t>J_F(z)\neq0</w:t>
      </w:r>
      <w:r>
        <w:br/>
        <w:t>\qquad</w:t>
      </w:r>
      <w:r>
        <w:br/>
        <w:t>\forall z\in\Omega_F,</w:t>
      </w:r>
      <w:r>
        <w:br/>
        <w:t>\tag{3.10315}</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J_F(z)\neq0\qquad\forall z\in\Omega_F</w:t>
      </w:r>
    </w:p>
    <w:p w:rsidR="00CB6E1D" w:rsidRDefault="00CB6E1D" w:rsidP="00CB6E1D">
      <w:pPr>
        <w:pStyle w:val="StandardWeb"/>
      </w:pPr>
      <w:r>
        <w:t>dann ist auch</w:t>
      </w:r>
    </w:p>
    <w:p w:rsidR="00CB6E1D" w:rsidRDefault="00CB6E1D" w:rsidP="00CB6E1D">
      <w:pPr>
        <w:pStyle w:val="StandardWeb"/>
      </w:pPr>
      <w:r>
        <w:t>[</w:t>
      </w:r>
      <w:r>
        <w:br/>
        <w:t>\frac{I_F}{J_F}</w:t>
      </w:r>
      <w:r>
        <w:br/>
        <w:t>\tag{3.10316}</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\frac{I_F}{J_F}</w:t>
      </w:r>
    </w:p>
    <w:p w:rsidR="00CB6E1D" w:rsidRDefault="00CB6E1D" w:rsidP="00CB6E1D">
      <w:pPr>
        <w:pStyle w:val="StandardWeb"/>
      </w:pPr>
      <w:r>
        <w:t>invariant, sofern die Division im Zielraum definiert ist.</w:t>
      </w:r>
    </w:p>
    <w:p w:rsidR="00CB6E1D" w:rsidRDefault="00E50336" w:rsidP="00CB6E1D">
      <w:r>
        <w:pict>
          <v:rect id="_x0000_i3220" style="width:0;height:1.5pt" o:hralign="center" o:hrstd="t" o:hr="t" fillcolor="#a0a0a0" stroked="f"/>
        </w:pict>
      </w:r>
    </w:p>
    <w:p w:rsidR="00CB6E1D" w:rsidRDefault="00CB6E1D" w:rsidP="00CB6E1D">
      <w:pPr>
        <w:pStyle w:val="berschrift1"/>
      </w:pPr>
      <w:r>
        <w:t>3.3.45.121 Satz 3.3.51 – Quotient zweier Invarianten</w:t>
      </w:r>
    </w:p>
    <w:p w:rsidR="00CB6E1D" w:rsidRDefault="00CB6E1D" w:rsidP="00CB6E1D">
      <w:pPr>
        <w:pStyle w:val="berschrift3"/>
      </w:pPr>
      <w:r>
        <w:t>Satz 3.3.51</w:t>
      </w:r>
    </w:p>
    <w:p w:rsidR="00CB6E1D" w:rsidRDefault="00CB6E1D" w:rsidP="00CB6E1D">
      <w:pPr>
        <w:pStyle w:val="StandardWeb"/>
      </w:pPr>
      <w:r>
        <w:t>Sind (I_F) und (J_F) skalare funktionale Invarianten und gilt</w:t>
      </w:r>
    </w:p>
    <w:p w:rsidR="00CB6E1D" w:rsidRDefault="00CB6E1D" w:rsidP="00CB6E1D">
      <w:pPr>
        <w:pStyle w:val="StandardWeb"/>
      </w:pPr>
      <w:r>
        <w:t>[</w:t>
      </w:r>
      <w:r>
        <w:br/>
        <w:t>J_F(z)\neq0</w:t>
      </w:r>
      <w:r>
        <w:br/>
        <w:t>\qquad</w:t>
      </w:r>
      <w:r>
        <w:br/>
        <w:t>\forall z,</w:t>
      </w:r>
      <w:r>
        <w:br/>
      </w:r>
      <w:r>
        <w:lastRenderedPageBreak/>
        <w:t>\tag{3.10317}</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J_F(z)\neq0\qquad\forall z</w:t>
      </w:r>
    </w:p>
    <w:p w:rsidR="00CB6E1D" w:rsidRDefault="00CB6E1D" w:rsidP="00CB6E1D">
      <w:pPr>
        <w:pStyle w:val="StandardWeb"/>
      </w:pPr>
      <w:r>
        <w:t>dann gilt</w:t>
      </w:r>
    </w:p>
    <w:p w:rsidR="00CB6E1D" w:rsidRDefault="00CB6E1D" w:rsidP="00CB6E1D">
      <w:pPr>
        <w:pStyle w:val="StandardWeb"/>
      </w:pPr>
      <w:r>
        <w:t>[</w:t>
      </w:r>
      <w:r>
        <w:br/>
        <w:t>\boxed{</w:t>
      </w:r>
      <w:r>
        <w:br/>
        <w:t>\frac{I_F}{J_F}</w:t>
      </w:r>
      <w:r>
        <w:br/>
        <w:t>\in</w:t>
      </w:r>
      <w:r>
        <w:br/>
        <w:t>\mathcal I_F(\mathcal M).</w:t>
      </w:r>
      <w:r>
        <w:br/>
        <w:t>}</w:t>
      </w:r>
      <w:r>
        <w:br/>
        <w:t>\tag{3.10318}</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\boxed{\frac{I_F}{J_F}\in\mathcal I_F(\mathcal M).}</w:t>
      </w:r>
    </w:p>
    <w:p w:rsidR="00CB6E1D" w:rsidRDefault="00E50336" w:rsidP="00CB6E1D">
      <w:r>
        <w:pict>
          <v:rect id="_x0000_i3221" style="width:0;height:1.5pt" o:hralign="center" o:hrstd="t" o:hr="t" fillcolor="#a0a0a0" stroked="f"/>
        </w:pict>
      </w:r>
    </w:p>
    <w:p w:rsidR="00CB6E1D" w:rsidRDefault="00CB6E1D" w:rsidP="00CB6E1D">
      <w:pPr>
        <w:pStyle w:val="berschrift1"/>
      </w:pPr>
      <w:r>
        <w:t>3.3.45.122 Potenzen und Polynome</w:t>
      </w:r>
    </w:p>
    <w:p w:rsidR="00CB6E1D" w:rsidRDefault="00CB6E1D" w:rsidP="00CB6E1D">
      <w:pPr>
        <w:pStyle w:val="StandardWeb"/>
      </w:pPr>
      <w:r>
        <w:t>Aus den bisherigen Aussagen folgt insbesondere, dass für eine skalare Invariante (I_F)</w:t>
      </w:r>
    </w:p>
    <w:p w:rsidR="00CB6E1D" w:rsidRDefault="00CB6E1D" w:rsidP="00CB6E1D">
      <w:pPr>
        <w:pStyle w:val="StandardWeb"/>
      </w:pPr>
      <w:r>
        <w:t>[</w:t>
      </w:r>
      <w:r>
        <w:br/>
        <w:t>I_F^n</w:t>
      </w:r>
      <w:r>
        <w:br/>
        <w:t>\tag{3.10319}</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I_F^n</w:t>
      </w:r>
    </w:p>
    <w:p w:rsidR="00CB6E1D" w:rsidRDefault="00CB6E1D" w:rsidP="00CB6E1D">
      <w:pPr>
        <w:pStyle w:val="StandardWeb"/>
      </w:pPr>
      <w:r>
        <w:t>für jedes geeignete (n) invariant ist.</w:t>
      </w:r>
    </w:p>
    <w:p w:rsidR="00CB6E1D" w:rsidRDefault="00CB6E1D" w:rsidP="00CB6E1D">
      <w:pPr>
        <w:pStyle w:val="StandardWeb"/>
      </w:pPr>
      <w:r>
        <w:t>Ebenso ist jedes Polynom</w:t>
      </w:r>
    </w:p>
    <w:p w:rsidR="00CB6E1D" w:rsidRDefault="00CB6E1D" w:rsidP="00CB6E1D">
      <w:pPr>
        <w:pStyle w:val="berschrift1"/>
      </w:pPr>
      <w:r>
        <w:t>[</w:t>
      </w:r>
      <w:r>
        <w:br/>
        <w:t>P(I_F)</w:t>
      </w:r>
    </w:p>
    <w:p w:rsidR="00CB6E1D" w:rsidRDefault="00CB6E1D" w:rsidP="00CB6E1D">
      <w:pPr>
        <w:pStyle w:val="StandardWeb"/>
      </w:pPr>
      <w:r>
        <w:t>\sum_{k=0}^{m}</w:t>
      </w:r>
      <w:r>
        <w:br/>
        <w:t>a_kI_F^k</w:t>
      </w:r>
      <w:r>
        <w:br/>
        <w:t>\tag{3.10320}</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lastRenderedPageBreak/>
        <w:t>P(I_F)=\sum_{k=0}^{m}a_kI_F^k</w:t>
      </w:r>
    </w:p>
    <w:p w:rsidR="00CB6E1D" w:rsidRDefault="00CB6E1D" w:rsidP="00CB6E1D">
      <w:pPr>
        <w:pStyle w:val="StandardWeb"/>
      </w:pPr>
      <w:r>
        <w:t>eine funktionale Invariante.</w:t>
      </w:r>
    </w:p>
    <w:p w:rsidR="00CB6E1D" w:rsidRDefault="00E50336" w:rsidP="00CB6E1D">
      <w:r>
        <w:pict>
          <v:rect id="_x0000_i3222" style="width:0;height:1.5pt" o:hralign="center" o:hrstd="t" o:hr="t" fillcolor="#a0a0a0" stroked="f"/>
        </w:pict>
      </w:r>
    </w:p>
    <w:p w:rsidR="00CB6E1D" w:rsidRDefault="00CB6E1D" w:rsidP="00CB6E1D">
      <w:pPr>
        <w:pStyle w:val="berschrift1"/>
      </w:pPr>
      <w:r>
        <w:t>3.3.45.123 Korollar 3.3.13 – Polynome funktionaler Invarianten</w:t>
      </w:r>
    </w:p>
    <w:p w:rsidR="00CB6E1D" w:rsidRDefault="00CB6E1D" w:rsidP="00CB6E1D">
      <w:pPr>
        <w:pStyle w:val="berschrift3"/>
      </w:pPr>
      <w:r>
        <w:t>Korollar 3.3.13</w:t>
      </w:r>
    </w:p>
    <w:p w:rsidR="00CB6E1D" w:rsidRDefault="00CB6E1D" w:rsidP="00CB6E1D">
      <w:pPr>
        <w:pStyle w:val="StandardWeb"/>
      </w:pPr>
      <w:r>
        <w:t>Für jede skalare funktionale Invariante (I_F) und jedes wohldefinierte Polynom (P) gilt</w:t>
      </w:r>
    </w:p>
    <w:p w:rsidR="00CB6E1D" w:rsidRDefault="00CB6E1D" w:rsidP="00CB6E1D">
      <w:pPr>
        <w:pStyle w:val="StandardWeb"/>
      </w:pPr>
      <w:r>
        <w:t>[</w:t>
      </w:r>
      <w:r>
        <w:br/>
        <w:t>\boxed{</w:t>
      </w:r>
      <w:r>
        <w:br/>
        <w:t>P(I_F)</w:t>
      </w:r>
      <w:r>
        <w:br/>
        <w:t>\in</w:t>
      </w:r>
      <w:r>
        <w:br/>
        <w:t>\mathcal I_F(\mathcal M).</w:t>
      </w:r>
      <w:r>
        <w:br/>
        <w:t>}</w:t>
      </w:r>
      <w:r>
        <w:br/>
        <w:t>\tag{3.10321}</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\boxed{P(I_F)\in\mathcal I_F(\mathcal M).}</w:t>
      </w:r>
    </w:p>
    <w:p w:rsidR="00CB6E1D" w:rsidRDefault="00E50336" w:rsidP="00CB6E1D">
      <w:r>
        <w:pict>
          <v:rect id="_x0000_i3223" style="width:0;height:1.5pt" o:hralign="center" o:hrstd="t" o:hr="t" fillcolor="#a0a0a0" stroked="f"/>
        </w:pict>
      </w:r>
    </w:p>
    <w:p w:rsidR="00CB6E1D" w:rsidRDefault="00CB6E1D" w:rsidP="00CB6E1D">
      <w:pPr>
        <w:pStyle w:val="berschrift1"/>
      </w:pPr>
      <w:r>
        <w:t>3.3.45.124 Konsequenz für das Zählen von Invarianten</w:t>
      </w:r>
    </w:p>
    <w:p w:rsidR="00CB6E1D" w:rsidRDefault="00CB6E1D" w:rsidP="00CB6E1D">
      <w:pPr>
        <w:pStyle w:val="StandardWeb"/>
      </w:pPr>
      <w:r>
        <w:t>Damit kann die bloße Anzahl formulierbarer Invarianten kein sinnvolles Maß für die strukturelle Komplexität eines Modells sein.</w:t>
      </w:r>
    </w:p>
    <w:p w:rsidR="00CB6E1D" w:rsidRDefault="00CB6E1D" w:rsidP="00CB6E1D">
      <w:pPr>
        <w:pStyle w:val="StandardWeb"/>
      </w:pPr>
      <w:r>
        <w:t>Aus einer Invarianten (I_F) können beispielsweise</w:t>
      </w:r>
    </w:p>
    <w:p w:rsidR="00CB6E1D" w:rsidRDefault="00CB6E1D" w:rsidP="00CB6E1D">
      <w:pPr>
        <w:pStyle w:val="StandardWeb"/>
      </w:pPr>
      <w:r>
        <w:t>[</w:t>
      </w:r>
      <w:r>
        <w:br/>
        <w:t>I_F,;</w:t>
      </w:r>
      <w:r>
        <w:br/>
        <w:t>I_F^2,;</w:t>
      </w:r>
      <w:r>
        <w:br/>
        <w:t>I_F^3,;</w:t>
      </w:r>
      <w:r>
        <w:br/>
        <w:t>e^{I_F},</w:t>
      </w:r>
      <w:r>
        <w:br/>
        <w:t>\ldots</w:t>
      </w:r>
      <w:r>
        <w:br/>
        <w:t>\tag{3.10322}</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I_F,\;I_F^2,\;I_F^3,\;e^{I_F},\ldots</w:t>
      </w:r>
    </w:p>
    <w:p w:rsidR="00CB6E1D" w:rsidRDefault="00CB6E1D" w:rsidP="00CB6E1D">
      <w:pPr>
        <w:pStyle w:val="StandardWeb"/>
      </w:pPr>
      <w:r>
        <w:t>erzeugt werden, sofern die entsprechenden Operationen definiert sind.</w:t>
      </w:r>
    </w:p>
    <w:p w:rsidR="00CB6E1D" w:rsidRDefault="00CB6E1D" w:rsidP="00CB6E1D">
      <w:pPr>
        <w:pStyle w:val="StandardWeb"/>
      </w:pPr>
      <w:r>
        <w:t>Daher gilt</w:t>
      </w:r>
    </w:p>
    <w:p w:rsidR="00CB6E1D" w:rsidRDefault="00CB6E1D" w:rsidP="00CB6E1D">
      <w:pPr>
        <w:pStyle w:val="StandardWeb"/>
      </w:pPr>
      <w:r>
        <w:lastRenderedPageBreak/>
        <w:t>[</w:t>
      </w:r>
      <w:r>
        <w:br/>
        <w:t>\boxed{</w:t>
      </w:r>
      <w:r>
        <w:br/>
        <w:t>|\mathcal I_F|</w:t>
      </w:r>
      <w:r>
        <w:br/>
        <w:t>\text{ misst nicht die Zahl unabhängiger Invarianten.}</w:t>
      </w:r>
      <w:r>
        <w:br/>
        <w:t>}</w:t>
      </w:r>
      <w:r>
        <w:br/>
        <w:t>\tag{3.10323}</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\boxed{|\mathcal I_F|\text{ misst nicht die Zahl unabhängiger Invarianten.}}</w:t>
      </w:r>
    </w:p>
    <w:p w:rsidR="00CB6E1D" w:rsidRDefault="00E50336" w:rsidP="00CB6E1D">
      <w:r>
        <w:pict>
          <v:rect id="_x0000_i3224" style="width:0;height:1.5pt" o:hralign="center" o:hrstd="t" o:hr="t" fillcolor="#a0a0a0" stroked="f"/>
        </w:pict>
      </w:r>
    </w:p>
    <w:p w:rsidR="00CB6E1D" w:rsidRDefault="00CB6E1D" w:rsidP="00CB6E1D">
      <w:pPr>
        <w:pStyle w:val="berschrift1"/>
      </w:pPr>
      <w:r>
        <w:t>3.3.45.125 Äquivalente Invarianten</w:t>
      </w:r>
    </w:p>
    <w:p w:rsidR="00CB6E1D" w:rsidRDefault="00CB6E1D" w:rsidP="00CB6E1D">
      <w:pPr>
        <w:pStyle w:val="StandardWeb"/>
      </w:pPr>
      <w:r>
        <w:t>Sind zwei Invarianten über eine bijektive Umparametrisierung miteinander verbunden,</w:t>
      </w:r>
    </w:p>
    <w:p w:rsidR="00CB6E1D" w:rsidRDefault="00CB6E1D" w:rsidP="00CB6E1D">
      <w:pPr>
        <w:pStyle w:val="berschrift1"/>
      </w:pPr>
      <w:r>
        <w:t>[</w:t>
      </w:r>
      <w:r>
        <w:br/>
        <w:t>J_F</w:t>
      </w:r>
    </w:p>
    <w:p w:rsidR="00CB6E1D" w:rsidRDefault="00CB6E1D" w:rsidP="00CB6E1D">
      <w:pPr>
        <w:pStyle w:val="StandardWeb"/>
      </w:pPr>
      <w:r>
        <w:t>\varphi\circ I_F,</w:t>
      </w:r>
      <w:r>
        <w:br/>
        <w:t>\qquad</w:t>
      </w:r>
      <w:r>
        <w:br/>
        <w:t>\varphi\text{ bijektiv},</w:t>
      </w:r>
      <w:r>
        <w:br/>
        <w:t>\tag{3.10324}</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J_F=\varphi\circ I_F,\qquad\varphi\text{ bijektiv}</w:t>
      </w:r>
    </w:p>
    <w:p w:rsidR="00CB6E1D" w:rsidRDefault="00CB6E1D" w:rsidP="00CB6E1D">
      <w:pPr>
        <w:pStyle w:val="StandardWeb"/>
      </w:pPr>
      <w:r>
        <w:t>dann erzeugen beide dieselbe Zerlegung des Zustandsraumes nach Invariantenwerten.</w:t>
      </w:r>
    </w:p>
    <w:p w:rsidR="00CB6E1D" w:rsidRDefault="00E50336" w:rsidP="00CB6E1D">
      <w:r>
        <w:pict>
          <v:rect id="_x0000_i3225" style="width:0;height:1.5pt" o:hralign="center" o:hrstd="t" o:hr="t" fillcolor="#a0a0a0" stroked="f"/>
        </w:pict>
      </w:r>
    </w:p>
    <w:p w:rsidR="00CB6E1D" w:rsidRDefault="00CB6E1D" w:rsidP="00CB6E1D">
      <w:pPr>
        <w:pStyle w:val="berschrift1"/>
      </w:pPr>
      <w:r>
        <w:t>3.3.45.126 Definition 3.3.122 – Äquivalente funktionale Invarianten</w:t>
      </w:r>
    </w:p>
    <w:p w:rsidR="00CB6E1D" w:rsidRDefault="00CB6E1D" w:rsidP="00CB6E1D">
      <w:pPr>
        <w:pStyle w:val="berschrift3"/>
      </w:pPr>
      <w:r>
        <w:t>Definition 3.3.122</w:t>
      </w:r>
    </w:p>
    <w:p w:rsidR="00CB6E1D" w:rsidRDefault="00CB6E1D" w:rsidP="00CB6E1D">
      <w:pPr>
        <w:pStyle w:val="StandardWeb"/>
      </w:pPr>
      <w:r>
        <w:t xml:space="preserve">Zwei funktionale Invarianten (I_F) und (J_F) heißen </w:t>
      </w:r>
      <w:r>
        <w:rPr>
          <w:rStyle w:val="Fett"/>
        </w:rPr>
        <w:t>wertäquivalent</w:t>
      </w:r>
      <w:r>
        <w:t>, wenn eine bijektive Abbildung (\varphi) existiert mit</w:t>
      </w:r>
    </w:p>
    <w:p w:rsidR="00CB6E1D" w:rsidRDefault="00CB6E1D" w:rsidP="00CB6E1D">
      <w:pPr>
        <w:pStyle w:val="berschrift1"/>
      </w:pPr>
      <w:r>
        <w:t>[</w:t>
      </w:r>
      <w:r>
        <w:br/>
        <w:t>\boxed{</w:t>
      </w:r>
      <w:r>
        <w:br/>
        <w:t>J_F</w:t>
      </w:r>
    </w:p>
    <w:p w:rsidR="00CB6E1D" w:rsidRDefault="00CB6E1D" w:rsidP="00CB6E1D">
      <w:pPr>
        <w:pStyle w:val="StandardWeb"/>
      </w:pPr>
      <w:r>
        <w:lastRenderedPageBreak/>
        <w:t>\varphi\circ I_F.</w:t>
      </w:r>
      <w:r>
        <w:br/>
        <w:t>}</w:t>
      </w:r>
      <w:r>
        <w:br/>
        <w:t>\tag{3.10325}</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\boxed{J_F=\varphi\circ I_F.}</w:t>
      </w:r>
    </w:p>
    <w:p w:rsidR="00CB6E1D" w:rsidRDefault="00CB6E1D" w:rsidP="00CB6E1D">
      <w:pPr>
        <w:pStyle w:val="StandardWeb"/>
      </w:pPr>
      <w:r>
        <w:t>Ich schreibe in diesem Fall</w:t>
      </w:r>
    </w:p>
    <w:p w:rsidR="00CB6E1D" w:rsidRDefault="00CB6E1D" w:rsidP="00CB6E1D">
      <w:pPr>
        <w:pStyle w:val="StandardWeb"/>
      </w:pPr>
      <w:r>
        <w:t>[</w:t>
      </w:r>
      <w:r>
        <w:br/>
        <w:t>I_F\sim_I J_F.</w:t>
      </w:r>
      <w:r>
        <w:br/>
        <w:t>\tag{3.10326}</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I_F\sim_I J_F</w:t>
      </w:r>
    </w:p>
    <w:p w:rsidR="00CB6E1D" w:rsidRDefault="00E50336" w:rsidP="00CB6E1D">
      <w:r>
        <w:pict>
          <v:rect id="_x0000_i3226" style="width:0;height:1.5pt" o:hralign="center" o:hrstd="t" o:hr="t" fillcolor="#a0a0a0" stroked="f"/>
        </w:pict>
      </w:r>
    </w:p>
    <w:p w:rsidR="00CB6E1D" w:rsidRDefault="00CB6E1D" w:rsidP="00CB6E1D">
      <w:pPr>
        <w:pStyle w:val="berschrift1"/>
      </w:pPr>
      <w:r>
        <w:t>3.3.45.127 Äquivalenzrelation der Wertäquivalenz</w:t>
      </w:r>
    </w:p>
    <w:p w:rsidR="00CB6E1D" w:rsidRDefault="00CB6E1D" w:rsidP="00CB6E1D">
      <w:pPr>
        <w:pStyle w:val="StandardWeb"/>
      </w:pPr>
      <w:r>
        <w:t>Die Relation (\sim_I) ist reflexiv, da die Identität</w:t>
      </w:r>
    </w:p>
    <w:p w:rsidR="00CB6E1D" w:rsidRDefault="00CB6E1D" w:rsidP="00CB6E1D">
      <w:pPr>
        <w:pStyle w:val="StandardWeb"/>
      </w:pPr>
      <w:r>
        <w:t>[</w:t>
      </w:r>
      <w:r>
        <w:br/>
        <w:t>\operatorname{id}_{\mathcal V}</w:t>
      </w:r>
      <w:r>
        <w:br/>
        <w:t>\tag{3.10327}</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\operatorname{id}_{\mathcal V}</w:t>
      </w:r>
    </w:p>
    <w:p w:rsidR="00CB6E1D" w:rsidRDefault="00CB6E1D" w:rsidP="00CB6E1D">
      <w:pPr>
        <w:pStyle w:val="StandardWeb"/>
      </w:pPr>
      <w:r>
        <w:t>bijektiv ist.</w:t>
      </w:r>
    </w:p>
    <w:p w:rsidR="00CB6E1D" w:rsidRDefault="00CB6E1D" w:rsidP="00CB6E1D">
      <w:pPr>
        <w:pStyle w:val="StandardWeb"/>
      </w:pPr>
      <w:r>
        <w:t>Sie ist symmetrisch, weil zu jeder bijektiven (\varphi) eine Umkehrabbildung</w:t>
      </w:r>
    </w:p>
    <w:p w:rsidR="00CB6E1D" w:rsidRDefault="00CB6E1D" w:rsidP="00CB6E1D">
      <w:pPr>
        <w:pStyle w:val="StandardWeb"/>
      </w:pPr>
      <w:r>
        <w:t>[</w:t>
      </w:r>
      <w:r>
        <w:br/>
        <w:t>\varphi^{-1}</w:t>
      </w:r>
      <w:r>
        <w:br/>
        <w:t>\tag{3.10328}</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\varphi^{-1}</w:t>
      </w:r>
    </w:p>
    <w:p w:rsidR="00CB6E1D" w:rsidRDefault="00CB6E1D" w:rsidP="00CB6E1D">
      <w:pPr>
        <w:pStyle w:val="StandardWeb"/>
      </w:pPr>
      <w:r>
        <w:t>existiert.</w:t>
      </w:r>
    </w:p>
    <w:p w:rsidR="00CB6E1D" w:rsidRDefault="00CB6E1D" w:rsidP="00CB6E1D">
      <w:pPr>
        <w:pStyle w:val="StandardWeb"/>
      </w:pPr>
      <w:r>
        <w:t>Sie ist transitiv, weil die Komposition zweier Bijektionen wiederum bijektiv ist.</w:t>
      </w:r>
    </w:p>
    <w:p w:rsidR="00CB6E1D" w:rsidRDefault="00E50336" w:rsidP="00CB6E1D">
      <w:r>
        <w:lastRenderedPageBreak/>
        <w:pict>
          <v:rect id="_x0000_i3227" style="width:0;height:1.5pt" o:hralign="center" o:hrstd="t" o:hr="t" fillcolor="#a0a0a0" stroked="f"/>
        </w:pict>
      </w:r>
    </w:p>
    <w:p w:rsidR="00CB6E1D" w:rsidRDefault="00CB6E1D" w:rsidP="00CB6E1D">
      <w:pPr>
        <w:pStyle w:val="berschrift1"/>
      </w:pPr>
      <w:r>
        <w:t>3.3.45.128 Satz 3.3.52 – Wertäquivalenz ist eine Äquivalenzrelation</w:t>
      </w:r>
    </w:p>
    <w:p w:rsidR="00CB6E1D" w:rsidRDefault="00CB6E1D" w:rsidP="00CB6E1D">
      <w:pPr>
        <w:pStyle w:val="berschrift3"/>
      </w:pPr>
      <w:r>
        <w:t>Satz 3.3.52</w:t>
      </w:r>
    </w:p>
    <w:p w:rsidR="00CB6E1D" w:rsidRDefault="00CB6E1D" w:rsidP="00CB6E1D">
      <w:pPr>
        <w:pStyle w:val="StandardWeb"/>
      </w:pPr>
      <w:r>
        <w:t>Auf einer geeigneten Klasse funktionaler Invarianten gilt</w:t>
      </w:r>
    </w:p>
    <w:p w:rsidR="00CB6E1D" w:rsidRDefault="00CB6E1D" w:rsidP="00CB6E1D">
      <w:pPr>
        <w:pStyle w:val="StandardWeb"/>
      </w:pPr>
      <w:r>
        <w:t>[</w:t>
      </w:r>
      <w:r>
        <w:br/>
        <w:t>\boxed{</w:t>
      </w:r>
      <w:r>
        <w:br/>
        <w:t>\sim_I</w:t>
      </w:r>
      <w:r>
        <w:br/>
        <w:t>\text{ ist eine Äquivalenzrelation.}</w:t>
      </w:r>
      <w:r>
        <w:br/>
        <w:t>}</w:t>
      </w:r>
      <w:r>
        <w:br/>
        <w:t>\tag{3.10329}</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\boxed{\sim_I\text{ ist eine Äquivalenzrelation.}}</w:t>
      </w:r>
    </w:p>
    <w:p w:rsidR="00CB6E1D" w:rsidRDefault="00CB6E1D" w:rsidP="00CB6E1D">
      <w:pPr>
        <w:pStyle w:val="StandardWeb"/>
      </w:pPr>
      <w:r>
        <w:t>Damit kann anstelle einzelner Darstellungen mit Äquivalenzklassen von Invarianten gearbeitet werden.</w:t>
      </w:r>
    </w:p>
    <w:p w:rsidR="00CB6E1D" w:rsidRDefault="00E50336" w:rsidP="00CB6E1D">
      <w:r>
        <w:pict>
          <v:rect id="_x0000_i3228" style="width:0;height:1.5pt" o:hralign="center" o:hrstd="t" o:hr="t" fillcolor="#a0a0a0" stroked="f"/>
        </w:pict>
      </w:r>
    </w:p>
    <w:p w:rsidR="00CB6E1D" w:rsidRDefault="00CB6E1D" w:rsidP="00CB6E1D">
      <w:pPr>
        <w:pStyle w:val="berschrift1"/>
      </w:pPr>
      <w:r>
        <w:t>3.3.45.129 Quotientenmenge der Invarianten</w:t>
      </w:r>
    </w:p>
    <w:p w:rsidR="00CB6E1D" w:rsidRDefault="00CB6E1D" w:rsidP="00CB6E1D">
      <w:pPr>
        <w:pStyle w:val="StandardWeb"/>
      </w:pPr>
      <w:r>
        <w:t>Ich kann daher schreiben</w:t>
      </w:r>
    </w:p>
    <w:p w:rsidR="00CB6E1D" w:rsidRDefault="00CB6E1D" w:rsidP="00CB6E1D">
      <w:pPr>
        <w:pStyle w:val="StandardWeb"/>
      </w:pPr>
      <w:r>
        <w:t>[</w:t>
      </w:r>
      <w:r>
        <w:br/>
        <w:t>\mathcal I_F/{\sim_I}.</w:t>
      </w:r>
      <w:r>
        <w:br/>
        <w:t>\tag{3.10330}</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\mathcal I_F/{\sim_I}</w:t>
      </w:r>
    </w:p>
    <w:p w:rsidR="00CB6E1D" w:rsidRDefault="00CB6E1D" w:rsidP="00CB6E1D">
      <w:pPr>
        <w:pStyle w:val="StandardWeb"/>
      </w:pPr>
      <w:r>
        <w:t>Diese Quotientenmenge entfernt rein bijektive Umparametrisierungen aus der formalen Zählung.</w:t>
      </w:r>
    </w:p>
    <w:p w:rsidR="00CB6E1D" w:rsidRDefault="00CB6E1D" w:rsidP="00CB6E1D">
      <w:pPr>
        <w:pStyle w:val="StandardWeb"/>
      </w:pPr>
      <w:r>
        <w:t>Sie löst jedoch noch nicht das allgemeinere Problem funktionaler Abhängigkeiten zwischen mehreren Invarianten.</w:t>
      </w:r>
    </w:p>
    <w:p w:rsidR="00CB6E1D" w:rsidRDefault="00E50336" w:rsidP="00CB6E1D">
      <w:r>
        <w:pict>
          <v:rect id="_x0000_i3229" style="width:0;height:1.5pt" o:hralign="center" o:hrstd="t" o:hr="t" fillcolor="#a0a0a0" stroked="f"/>
        </w:pict>
      </w:r>
    </w:p>
    <w:p w:rsidR="00CB6E1D" w:rsidRDefault="00CB6E1D" w:rsidP="00CB6E1D">
      <w:pPr>
        <w:pStyle w:val="berschrift1"/>
      </w:pPr>
      <w:r>
        <w:t>3.3.45.130 Gemeinsame Invariantenabbildung</w:t>
      </w:r>
    </w:p>
    <w:p w:rsidR="00CB6E1D" w:rsidRDefault="00CB6E1D" w:rsidP="00CB6E1D">
      <w:pPr>
        <w:pStyle w:val="StandardWeb"/>
      </w:pPr>
      <w:r>
        <w:t>Für (m) Invarianten</w:t>
      </w:r>
    </w:p>
    <w:p w:rsidR="00CB6E1D" w:rsidRDefault="00CB6E1D" w:rsidP="00CB6E1D">
      <w:pPr>
        <w:pStyle w:val="StandardWeb"/>
      </w:pPr>
      <w:r>
        <w:lastRenderedPageBreak/>
        <w:t>[</w:t>
      </w:r>
      <w:r>
        <w:br/>
        <w:t>I_F^{(1)},\ldots,I_F^{(m)}</w:t>
      </w:r>
      <w:r>
        <w:br/>
        <w:t>\tag{3.10331}</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I_F^{(1)},\ldots,I_F^{(m)}</w:t>
      </w:r>
    </w:p>
    <w:p w:rsidR="00CB6E1D" w:rsidRDefault="00CB6E1D" w:rsidP="00CB6E1D">
      <w:pPr>
        <w:pStyle w:val="StandardWeb"/>
      </w:pPr>
      <w:r>
        <w:t>definiere ich die gemeinsame Abbildung</w:t>
      </w:r>
    </w:p>
    <w:p w:rsidR="00CB6E1D" w:rsidRDefault="00CB6E1D" w:rsidP="00CB6E1D">
      <w:pPr>
        <w:pStyle w:val="berschrift1"/>
      </w:pPr>
      <w:r>
        <w:t>[</w:t>
      </w:r>
      <w:r>
        <w:br/>
        <w:t>\mathbf I_F</w:t>
      </w:r>
    </w:p>
    <w:p w:rsidR="00CB6E1D" w:rsidRDefault="00CB6E1D" w:rsidP="00CB6E1D">
      <w:pPr>
        <w:pStyle w:val="StandardWeb"/>
      </w:pPr>
      <w:r>
        <w:t>\left(</w:t>
      </w:r>
      <w:r>
        <w:br/>
        <w:t>I_F^{(1)},</w:t>
      </w:r>
      <w:r>
        <w:br/>
        <w:t>\ldots,</w:t>
      </w:r>
      <w:r>
        <w:br/>
        <w:t>I_F^{(m)}</w:t>
      </w:r>
      <w:r>
        <w:br/>
        <w:t>\right).</w:t>
      </w:r>
      <w:r>
        <w:br/>
        <w:t>\tag{3.10332}</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\mathbf I_F=\left(I_F^{(1)},\ldots,I_F^{(m)}\right)</w:t>
      </w:r>
    </w:p>
    <w:p w:rsidR="00CB6E1D" w:rsidRDefault="00CB6E1D" w:rsidP="00CB6E1D">
      <w:pPr>
        <w:pStyle w:val="StandardWeb"/>
      </w:pPr>
      <w:r>
        <w:t>Nach wiederholter Anwendung von Satz 3.3.47 ist auch (\mathbf I_F) invariant.</w:t>
      </w:r>
    </w:p>
    <w:p w:rsidR="00CB6E1D" w:rsidRDefault="00E50336" w:rsidP="00CB6E1D">
      <w:r>
        <w:pict>
          <v:rect id="_x0000_i3230" style="width:0;height:1.5pt" o:hralign="center" o:hrstd="t" o:hr="t" fillcolor="#a0a0a0" stroked="f"/>
        </w:pict>
      </w:r>
    </w:p>
    <w:p w:rsidR="00CB6E1D" w:rsidRDefault="00CB6E1D" w:rsidP="00CB6E1D">
      <w:pPr>
        <w:pStyle w:val="berschrift1"/>
      </w:pPr>
      <w:r>
        <w:t>3.3.45.131 Definition 3.3.123 – Funktionaler Invariantenvektor</w:t>
      </w:r>
    </w:p>
    <w:p w:rsidR="00CB6E1D" w:rsidRDefault="00CB6E1D" w:rsidP="00CB6E1D">
      <w:pPr>
        <w:pStyle w:val="berschrift3"/>
      </w:pPr>
      <w:r>
        <w:t>Definition 3.3.123</w:t>
      </w:r>
    </w:p>
    <w:p w:rsidR="00CB6E1D" w:rsidRDefault="00CB6E1D" w:rsidP="00CB6E1D">
      <w:pPr>
        <w:pStyle w:val="StandardWeb"/>
      </w:pPr>
      <w:r>
        <w:t xml:space="preserve">Ein </w:t>
      </w:r>
      <w:r>
        <w:rPr>
          <w:rStyle w:val="Fett"/>
        </w:rPr>
        <w:t>funktionaler Invariantenvektor</w:t>
      </w:r>
      <w:r>
        <w:t xml:space="preserve"> ist eine endliche Zusammenfassung funktionaler Invarianten</w:t>
      </w:r>
    </w:p>
    <w:p w:rsidR="00CB6E1D" w:rsidRDefault="00CB6E1D" w:rsidP="00CB6E1D">
      <w:pPr>
        <w:pStyle w:val="berschrift1"/>
      </w:pPr>
      <w:r>
        <w:t>[</w:t>
      </w:r>
      <w:r>
        <w:br/>
        <w:t>\boxed{</w:t>
      </w:r>
      <w:r>
        <w:br/>
        <w:t>\mathbf I_F</w:t>
      </w:r>
    </w:p>
    <w:p w:rsidR="00CB6E1D" w:rsidRDefault="00CB6E1D" w:rsidP="00CB6E1D">
      <w:pPr>
        <w:pStyle w:val="StandardWeb"/>
      </w:pPr>
      <w:r>
        <w:t>\left(</w:t>
      </w:r>
      <w:r>
        <w:br/>
        <w:t>I_F^{(1)},\ldots,I_F^{(m)}</w:t>
      </w:r>
      <w:r>
        <w:br/>
        <w:t>\right).</w:t>
      </w:r>
      <w:r>
        <w:br/>
        <w:t>}</w:t>
      </w:r>
      <w:r>
        <w:br/>
      </w:r>
      <w:r>
        <w:lastRenderedPageBreak/>
        <w:t>\tag{3.10333}</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\boxed{\mathbf I_F=\left(I_F^{(1)},\ldots,I_F^{(m)}\right).}</w:t>
      </w:r>
    </w:p>
    <w:p w:rsidR="00CB6E1D" w:rsidRDefault="00CB6E1D" w:rsidP="00CB6E1D">
      <w:pPr>
        <w:pStyle w:val="StandardWeb"/>
      </w:pPr>
      <w:r>
        <w:t>Er bildet den Zustandsraum in einen Produktraum der jeweiligen Zielräume ab.</w:t>
      </w:r>
    </w:p>
    <w:p w:rsidR="00CB6E1D" w:rsidRDefault="00E50336" w:rsidP="00CB6E1D">
      <w:r>
        <w:pict>
          <v:rect id="_x0000_i3231" style="width:0;height:1.5pt" o:hralign="center" o:hrstd="t" o:hr="t" fillcolor="#a0a0a0" stroked="f"/>
        </w:pict>
      </w:r>
    </w:p>
    <w:p w:rsidR="00CB6E1D" w:rsidRDefault="00CB6E1D" w:rsidP="00CB6E1D">
      <w:pPr>
        <w:pStyle w:val="berschrift1"/>
      </w:pPr>
      <w:r>
        <w:t>3.3.45.132 Fasern des Invariantenvektors</w:t>
      </w:r>
    </w:p>
    <w:p w:rsidR="00CB6E1D" w:rsidRDefault="00CB6E1D" w:rsidP="00CB6E1D">
      <w:pPr>
        <w:pStyle w:val="StandardWeb"/>
      </w:pPr>
      <w:r>
        <w:t>Für einen Wert</w:t>
      </w:r>
    </w:p>
    <w:p w:rsidR="00CB6E1D" w:rsidRDefault="00CB6E1D" w:rsidP="00CB6E1D">
      <w:pPr>
        <w:pStyle w:val="StandardWeb"/>
      </w:pPr>
      <w:r>
        <w:t>[</w:t>
      </w:r>
      <w:r>
        <w:br/>
        <w:t>\mathbf c</w:t>
      </w:r>
      <w:r>
        <w:br/>
        <w:t>\in</w:t>
      </w:r>
      <w:r>
        <w:br/>
        <w:t>\operatorname{im}\mathbf I_F</w:t>
      </w:r>
      <w:r>
        <w:br/>
        <w:t>\tag{3.10334}</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\mathbf c\in\operatorname{im}\mathbf I_F</w:t>
      </w:r>
    </w:p>
    <w:p w:rsidR="00CB6E1D" w:rsidRDefault="00CB6E1D" w:rsidP="00CB6E1D">
      <w:pPr>
        <w:pStyle w:val="StandardWeb"/>
      </w:pPr>
      <w:r>
        <w:t>definiert der Invariantenvektor die Faser</w:t>
      </w:r>
    </w:p>
    <w:p w:rsidR="00CB6E1D" w:rsidRDefault="00CB6E1D" w:rsidP="00CB6E1D">
      <w:pPr>
        <w:pStyle w:val="berschrift1"/>
      </w:pPr>
      <w:r>
        <w:t>[</w:t>
      </w:r>
      <w:r>
        <w:br/>
        <w:t>\mathbf I_F^{-1}(\mathbf c)</w:t>
      </w:r>
    </w:p>
    <w:p w:rsidR="00CB6E1D" w:rsidRDefault="00CB6E1D" w:rsidP="00CB6E1D">
      <w:pPr>
        <w:pStyle w:val="StandardWeb"/>
      </w:pPr>
      <w:r>
        <w:t>\left{</w:t>
      </w:r>
      <w:r>
        <w:br/>
        <w:t>z\in\Omega_F:</w:t>
      </w:r>
      <w:r>
        <w:br/>
        <w:t>\mathbf I_F(z)=\mathbf c</w:t>
      </w:r>
      <w:r>
        <w:br/>
        <w:t>\right}.</w:t>
      </w:r>
      <w:r>
        <w:br/>
        <w:t>\tag{3.10335}</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\mathbf I_F^{-1}(\mathbf c)=\left\{z\in\Omega_F:\mathbf I_F(z)=\mathbf c\right\}</w:t>
      </w:r>
    </w:p>
    <w:p w:rsidR="00CB6E1D" w:rsidRDefault="00CB6E1D" w:rsidP="00CB6E1D">
      <w:pPr>
        <w:pStyle w:val="StandardWeb"/>
      </w:pPr>
      <w:r>
        <w:t>Jeder zulässige Übergang verbleibt innerhalb einer solchen Faser.</w:t>
      </w:r>
    </w:p>
    <w:p w:rsidR="00CB6E1D" w:rsidRDefault="00E50336" w:rsidP="00CB6E1D">
      <w:r>
        <w:pict>
          <v:rect id="_x0000_i3232" style="width:0;height:1.5pt" o:hralign="center" o:hrstd="t" o:hr="t" fillcolor="#a0a0a0" stroked="f"/>
        </w:pict>
      </w:r>
    </w:p>
    <w:p w:rsidR="00CB6E1D" w:rsidRDefault="00CB6E1D" w:rsidP="00CB6E1D">
      <w:pPr>
        <w:pStyle w:val="berschrift1"/>
      </w:pPr>
      <w:r>
        <w:t>3.3.45.133 Satz 3.3.53 – Übergänge verbleiben in Invariantenfasern</w:t>
      </w:r>
    </w:p>
    <w:p w:rsidR="00CB6E1D" w:rsidRDefault="00CB6E1D" w:rsidP="00CB6E1D">
      <w:pPr>
        <w:pStyle w:val="berschrift3"/>
      </w:pPr>
      <w:r>
        <w:lastRenderedPageBreak/>
        <w:t>Satz 3.3.53</w:t>
      </w:r>
    </w:p>
    <w:p w:rsidR="00CB6E1D" w:rsidRDefault="00CB6E1D" w:rsidP="00CB6E1D">
      <w:pPr>
        <w:pStyle w:val="StandardWeb"/>
      </w:pPr>
      <w:r>
        <w:t>Ist (\mathbf I_F) ein funktionaler Invariantenvektor, dann gilt</w:t>
      </w:r>
    </w:p>
    <w:p w:rsidR="00CB6E1D" w:rsidRDefault="00CB6E1D" w:rsidP="00CB6E1D">
      <w:pPr>
        <w:pStyle w:val="berschrift1"/>
      </w:pPr>
      <w:r>
        <w:t>[</w:t>
      </w:r>
      <w:r>
        <w:br/>
        <w:t>\boxed{</w:t>
      </w:r>
      <w:r>
        <w:br/>
        <w:t>(z_i,z_j)\in\mathcal T_F</w:t>
      </w:r>
      <w:r>
        <w:br/>
        <w:t>\Rightarrow</w:t>
      </w:r>
      <w:r>
        <w:br/>
        <w:t>\mathbf I_F(z_i)</w:t>
      </w:r>
    </w:p>
    <w:p w:rsidR="00CB6E1D" w:rsidRDefault="00CB6E1D" w:rsidP="00CB6E1D">
      <w:pPr>
        <w:pStyle w:val="StandardWeb"/>
      </w:pPr>
      <w:r>
        <w:t>\mathbf I_F(z_j).</w:t>
      </w:r>
      <w:r>
        <w:br/>
        <w:t>}</w:t>
      </w:r>
      <w:r>
        <w:br/>
        <w:t>\tag{3.10336}</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\boxed{(z_i,z_j)\in\mathcal T_F\Rightarrow\mathbf I_F(z_i)=\mathbf I_F(z_j).}</w:t>
      </w:r>
    </w:p>
    <w:p w:rsidR="00CB6E1D" w:rsidRDefault="00CB6E1D" w:rsidP="00CB6E1D">
      <w:pPr>
        <w:pStyle w:val="StandardWeb"/>
      </w:pPr>
      <w:r>
        <w:t>Damit kann kein zulässiger Übergang zwei unterschiedliche Fasern desselben Invariantenvektors verbinden.</w:t>
      </w:r>
    </w:p>
    <w:p w:rsidR="00CB6E1D" w:rsidRDefault="00E50336" w:rsidP="00CB6E1D">
      <w:r>
        <w:pict>
          <v:rect id="_x0000_i3233" style="width:0;height:1.5pt" o:hralign="center" o:hrstd="t" o:hr="t" fillcolor="#a0a0a0" stroked="f"/>
        </w:pict>
      </w:r>
    </w:p>
    <w:p w:rsidR="00CB6E1D" w:rsidRDefault="00CB6E1D" w:rsidP="00CB6E1D">
      <w:pPr>
        <w:pStyle w:val="berschrift1"/>
      </w:pPr>
      <w:r>
        <w:t>3.3.45.134 Invarianten induzieren eine Zustandszerlegung</w:t>
      </w:r>
    </w:p>
    <w:p w:rsidR="00CB6E1D" w:rsidRDefault="00CB6E1D" w:rsidP="00CB6E1D">
      <w:pPr>
        <w:pStyle w:val="StandardWeb"/>
      </w:pPr>
      <w:r>
        <w:t>Die Fasern eines Invariantenvektors erzeugen eine Partition</w:t>
      </w:r>
    </w:p>
    <w:p w:rsidR="00CB6E1D" w:rsidRDefault="00CB6E1D" w:rsidP="00CB6E1D">
      <w:pPr>
        <w:pStyle w:val="berschrift1"/>
      </w:pPr>
      <w:r>
        <w:t>[</w:t>
      </w:r>
      <w:r>
        <w:br/>
        <w:t>\Omega_F</w:t>
      </w:r>
    </w:p>
    <w:p w:rsidR="00CB6E1D" w:rsidRDefault="00CB6E1D" w:rsidP="00CB6E1D">
      <w:pPr>
        <w:pStyle w:val="StandardWeb"/>
      </w:pPr>
      <w:r>
        <w:t>\bigsqcup_{\mathbf c}</w:t>
      </w:r>
      <w:r>
        <w:br/>
        <w:t>\mathbf I_F^{-1}(\mathbf c).</w:t>
      </w:r>
      <w:r>
        <w:br/>
        <w:t>\tag{3.10337}</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\Omega_F=\bigsqcup_{\mathbf c}\mathbf I_F^{-1}(\mathbf c)</w:t>
      </w:r>
    </w:p>
    <w:p w:rsidR="00CB6E1D" w:rsidRDefault="00CB6E1D" w:rsidP="00CB6E1D">
      <w:pPr>
        <w:pStyle w:val="StandardWeb"/>
      </w:pPr>
      <w:r>
        <w:t>Diese Partition muss nicht mit der Partition in funktionale Zusammenhangskomponenten identisch sein.</w:t>
      </w:r>
    </w:p>
    <w:p w:rsidR="00CB6E1D" w:rsidRDefault="00E50336" w:rsidP="00CB6E1D">
      <w:r>
        <w:lastRenderedPageBreak/>
        <w:pict>
          <v:rect id="_x0000_i3234" style="width:0;height:1.5pt" o:hralign="center" o:hrstd="t" o:hr="t" fillcolor="#a0a0a0" stroked="f"/>
        </w:pict>
      </w:r>
    </w:p>
    <w:p w:rsidR="00CB6E1D" w:rsidRDefault="00CB6E1D" w:rsidP="00CB6E1D">
      <w:pPr>
        <w:pStyle w:val="berschrift1"/>
      </w:pPr>
      <w:r>
        <w:t>3.3.45.135 Vergleich mit Zusammenhangskomponenten</w:t>
      </w:r>
    </w:p>
    <w:p w:rsidR="00CB6E1D" w:rsidRDefault="00CB6E1D" w:rsidP="00CB6E1D">
      <w:pPr>
        <w:pStyle w:val="StandardWeb"/>
      </w:pPr>
      <w:r>
        <w:t>Da jede funktionale Invariante auf jeder Zusammenhangskomponente konstant ist, liegt jede Zusammenhangskomponente vollständig in einer Invariantenfaser:</w:t>
      </w:r>
    </w:p>
    <w:p w:rsidR="00CB6E1D" w:rsidRDefault="00CB6E1D" w:rsidP="00CB6E1D">
      <w:pPr>
        <w:pStyle w:val="StandardWeb"/>
      </w:pPr>
      <w:r>
        <w:t>[</w:t>
      </w:r>
      <w:r>
        <w:br/>
        <w:t>\mathcal C_\alpha^\pm</w:t>
      </w:r>
      <w:r>
        <w:br/>
        <w:t>\subseteq</w:t>
      </w:r>
      <w:r>
        <w:br/>
        <w:t>\mathbf I_F^{-1}(\mathbf c_\alpha).</w:t>
      </w:r>
      <w:r>
        <w:br/>
        <w:t>\tag{3.10338}</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\mathcal C_\alpha^\pm\subseteq\mathbf I_F^{-1}(\mathbf c_\alpha)</w:t>
      </w:r>
    </w:p>
    <w:p w:rsidR="00CB6E1D" w:rsidRDefault="00CB6E1D" w:rsidP="00CB6E1D">
      <w:pPr>
        <w:pStyle w:val="StandardWeb"/>
      </w:pPr>
      <w:r>
        <w:t>Mehrere verschiedene Zusammenhangskomponenten können jedoch denselben Invariantenwert besitzen.</w:t>
      </w:r>
    </w:p>
    <w:p w:rsidR="00CB6E1D" w:rsidRDefault="00E50336" w:rsidP="00CB6E1D">
      <w:r>
        <w:pict>
          <v:rect id="_x0000_i3235" style="width:0;height:1.5pt" o:hralign="center" o:hrstd="t" o:hr="t" fillcolor="#a0a0a0" stroked="f"/>
        </w:pict>
      </w:r>
    </w:p>
    <w:p w:rsidR="00CB6E1D" w:rsidRDefault="00CB6E1D" w:rsidP="00CB6E1D">
      <w:pPr>
        <w:pStyle w:val="berschrift1"/>
      </w:pPr>
      <w:r>
        <w:t>3.3.45.136 Invarianten trennen Komponenten nicht notwendig vollständig</w:t>
      </w:r>
    </w:p>
    <w:p w:rsidR="00CB6E1D" w:rsidRDefault="00CB6E1D" w:rsidP="00CB6E1D">
      <w:pPr>
        <w:pStyle w:val="StandardWeb"/>
      </w:pPr>
      <w:r>
        <w:t>Es gilt daher im Allgemeinen nicht</w:t>
      </w:r>
    </w:p>
    <w:p w:rsidR="00CB6E1D" w:rsidRDefault="00CB6E1D" w:rsidP="00CB6E1D">
      <w:pPr>
        <w:pStyle w:val="berschrift1"/>
      </w:pPr>
      <w:r>
        <w:t>[</w:t>
      </w:r>
      <w:r>
        <w:br/>
        <w:t>\mathcal C_\alpha^\pm</w:t>
      </w:r>
    </w:p>
    <w:p w:rsidR="00CB6E1D" w:rsidRDefault="00CB6E1D" w:rsidP="00CB6E1D">
      <w:pPr>
        <w:pStyle w:val="StandardWeb"/>
      </w:pPr>
      <w:r>
        <w:t>\mathbf I_F^{-1}(\mathbf c_\alpha).</w:t>
      </w:r>
      <w:r>
        <w:br/>
        <w:t>\tag{3.10339}</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\mathcal C_\alpha^\pm=\mathbf I_F^{-1}(\mathbf c_\alpha)</w:t>
      </w:r>
    </w:p>
    <w:p w:rsidR="00CB6E1D" w:rsidRDefault="00CB6E1D" w:rsidP="00CB6E1D">
      <w:pPr>
        <w:pStyle w:val="StandardWeb"/>
      </w:pPr>
      <w:r>
        <w:t>Vielmehr kann</w:t>
      </w:r>
    </w:p>
    <w:p w:rsidR="00CB6E1D" w:rsidRDefault="00CB6E1D" w:rsidP="00CB6E1D">
      <w:pPr>
        <w:pStyle w:val="StandardWeb"/>
      </w:pPr>
      <w:r>
        <w:t>[</w:t>
      </w:r>
      <w:r>
        <w:br/>
        <w:t>\mathcal C_\alpha^\pm</w:t>
      </w:r>
      <w:r>
        <w:br/>
        <w:t>\cup</w:t>
      </w:r>
      <w:r>
        <w:br/>
        <w:t>\mathcal C_\beta^\pm</w:t>
      </w:r>
      <w:r>
        <w:br/>
        <w:t>\subseteq</w:t>
      </w:r>
      <w:r>
        <w:br/>
        <w:t>\mathbf I_F^{-1}(\mathbf c)</w:t>
      </w:r>
      <w:r>
        <w:br/>
      </w:r>
      <w:r>
        <w:lastRenderedPageBreak/>
        <w:t>\tag{3.10340}</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\mathcal C_\alpha^\pm\cup\mathcal C_\beta^\pm\subseteq\mathbf I_F^{-1}(\mathbf c)</w:t>
      </w:r>
    </w:p>
    <w:p w:rsidR="00CB6E1D" w:rsidRDefault="00CB6E1D" w:rsidP="00CB6E1D">
      <w:pPr>
        <w:pStyle w:val="StandardWeb"/>
      </w:pPr>
      <w:r>
        <w:t>für verschiedene Komponenten (\alpha\neq\beta) gelten.</w:t>
      </w:r>
    </w:p>
    <w:p w:rsidR="00CB6E1D" w:rsidRDefault="00E50336" w:rsidP="00CB6E1D">
      <w:r>
        <w:pict>
          <v:rect id="_x0000_i3236" style="width:0;height:1.5pt" o:hralign="center" o:hrstd="t" o:hr="t" fillcolor="#a0a0a0" stroked="f"/>
        </w:pict>
      </w:r>
    </w:p>
    <w:p w:rsidR="00CB6E1D" w:rsidRDefault="00CB6E1D" w:rsidP="00CB6E1D">
      <w:pPr>
        <w:pStyle w:val="berschrift1"/>
      </w:pPr>
      <w:r>
        <w:t>3.3.45.137 Trennende Invariantenfamilie</w:t>
      </w:r>
    </w:p>
    <w:p w:rsidR="00CB6E1D" w:rsidRDefault="00CB6E1D" w:rsidP="00CB6E1D">
      <w:pPr>
        <w:pStyle w:val="StandardWeb"/>
      </w:pPr>
      <w:r>
        <w:t>Besonders interessant ist daher eine Familie von Invarianten, die unterschiedliche funktionale Zusammenhangskomponenten tatsächlich unterscheiden kann.</w:t>
      </w:r>
    </w:p>
    <w:p w:rsidR="00CB6E1D" w:rsidRDefault="00E50336" w:rsidP="00CB6E1D">
      <w:r>
        <w:pict>
          <v:rect id="_x0000_i3237" style="width:0;height:1.5pt" o:hralign="center" o:hrstd="t" o:hr="t" fillcolor="#a0a0a0" stroked="f"/>
        </w:pict>
      </w:r>
    </w:p>
    <w:p w:rsidR="00CB6E1D" w:rsidRDefault="00CB6E1D" w:rsidP="00CB6E1D">
      <w:pPr>
        <w:pStyle w:val="berschrift1"/>
      </w:pPr>
      <w:r>
        <w:t>3.3.45.138 Definition 3.3.124 – Trennende funktionale Invariantenfamilie</w:t>
      </w:r>
    </w:p>
    <w:p w:rsidR="00CB6E1D" w:rsidRDefault="00CB6E1D" w:rsidP="00CB6E1D">
      <w:pPr>
        <w:pStyle w:val="berschrift3"/>
      </w:pPr>
      <w:r>
        <w:t>Definition 3.3.124</w:t>
      </w:r>
    </w:p>
    <w:p w:rsidR="00CB6E1D" w:rsidRDefault="00CB6E1D" w:rsidP="00CB6E1D">
      <w:pPr>
        <w:pStyle w:val="StandardWeb"/>
      </w:pPr>
      <w:r>
        <w:t xml:space="preserve">Eine Invariantenfamilie ({I_F^{(\alpha)}}_{\alpha\in A}) heißt </w:t>
      </w:r>
      <w:r>
        <w:rPr>
          <w:rStyle w:val="Fett"/>
        </w:rPr>
        <w:t>trennend</w:t>
      </w:r>
      <w:r>
        <w:t>, wenn für Zustände aus verschiedenen funktionalen Zusammenhangskomponenten mindestens eine Invariante unterschiedliche Werte annimmt:</w:t>
      </w:r>
    </w:p>
    <w:p w:rsidR="00CB6E1D" w:rsidRDefault="00CB6E1D" w:rsidP="00CB6E1D">
      <w:pPr>
        <w:pStyle w:val="StandardWeb"/>
      </w:pPr>
      <w:r>
        <w:t>[</w:t>
      </w:r>
      <w:r>
        <w:br/>
        <w:t>\boxed{</w:t>
      </w:r>
      <w:r>
        <w:br/>
        <w:t>[z_i]</w:t>
      </w:r>
      <w:r>
        <w:rPr>
          <w:rStyle w:val="Hervorhebung"/>
        </w:rPr>
        <w:t>{\pm}\neq[z_j]</w:t>
      </w:r>
      <w:r>
        <w:t>{\pm}</w:t>
      </w:r>
      <w:r>
        <w:br/>
        <w:t>\Rightarrow</w:t>
      </w:r>
      <w:r>
        <w:br/>
        <w:t>\exists\alpha:</w:t>
      </w:r>
      <w:r>
        <w:br/>
        <w:t>I_F^{(\alpha)}(z_i)</w:t>
      </w:r>
      <w:r>
        <w:br/>
        <w:t>\neq</w:t>
      </w:r>
      <w:r>
        <w:br/>
        <w:t>I_F^{(\alpha)}(z_j).</w:t>
      </w:r>
      <w:r>
        <w:br/>
        <w:t>}</w:t>
      </w:r>
      <w:r>
        <w:br/>
        <w:t>\tag{3.10341}</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\boxed{[z_i]_{\pm}\neq[z_j]_{\pm}\Rightarrow\exists\alpha:I_F^{(\alpha)}(z_i)\neq I_F^{(\alpha)}(z_j).}</w:t>
      </w:r>
    </w:p>
    <w:p w:rsidR="00CB6E1D" w:rsidRDefault="00E50336" w:rsidP="00CB6E1D">
      <w:r>
        <w:pict>
          <v:rect id="_x0000_i3238" style="width:0;height:1.5pt" o:hralign="center" o:hrstd="t" o:hr="t" fillcolor="#a0a0a0" stroked="f"/>
        </w:pict>
      </w:r>
    </w:p>
    <w:p w:rsidR="00CB6E1D" w:rsidRDefault="00CB6E1D" w:rsidP="00CB6E1D">
      <w:pPr>
        <w:pStyle w:val="berschrift1"/>
      </w:pPr>
      <w:r>
        <w:t>3.3.45.139 Vollständige Trennung durch Quotientenkoordinaten</w:t>
      </w:r>
    </w:p>
    <w:p w:rsidR="00CB6E1D" w:rsidRDefault="00CB6E1D" w:rsidP="00CB6E1D">
      <w:pPr>
        <w:pStyle w:val="StandardWeb"/>
      </w:pPr>
      <w:r>
        <w:lastRenderedPageBreak/>
        <w:t>Da funktionale Invarianten genau Funktionen auf der Quotientenmenge der Zusammenhangskomponenten entsprechen, kann prinzipiell eine trennende Invariantenfamilie konstruiert werden, sofern der Zielraum genügend unterscheidbare Werte bereitstellt.</w:t>
      </w:r>
    </w:p>
    <w:p w:rsidR="00CB6E1D" w:rsidRDefault="00CB6E1D" w:rsidP="00CB6E1D">
      <w:pPr>
        <w:pStyle w:val="StandardWeb"/>
      </w:pPr>
      <w:r>
        <w:t>Eine besonders direkte Konstruktion ist die Klassenabbildung</w:t>
      </w:r>
    </w:p>
    <w:p w:rsidR="00CB6E1D" w:rsidRDefault="00CB6E1D" w:rsidP="00CB6E1D">
      <w:pPr>
        <w:pStyle w:val="berschrift1"/>
      </w:pPr>
      <w:r>
        <w:t>[</w:t>
      </w:r>
      <w:r>
        <w:br/>
        <w:t>I_{\mathrm{class}}(z)</w:t>
      </w:r>
    </w:p>
    <w:p w:rsidR="00CB6E1D" w:rsidRDefault="00CB6E1D" w:rsidP="00CB6E1D">
      <w:pPr>
        <w:pStyle w:val="StandardWeb"/>
      </w:pPr>
      <w:r>
        <w:t>[z]_{\pm}.</w:t>
      </w:r>
      <w:r>
        <w:br/>
        <w:t>\tag{3.10342}</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I_{\mathrm{class}}(z)=[z]_{\pm}</w:t>
      </w:r>
    </w:p>
    <w:p w:rsidR="00CB6E1D" w:rsidRDefault="00E50336" w:rsidP="00CB6E1D">
      <w:r>
        <w:pict>
          <v:rect id="_x0000_i3239" style="width:0;height:1.5pt" o:hralign="center" o:hrstd="t" o:hr="t" fillcolor="#a0a0a0" stroked="f"/>
        </w:pict>
      </w:r>
    </w:p>
    <w:p w:rsidR="00CB6E1D" w:rsidRDefault="00CB6E1D" w:rsidP="00CB6E1D">
      <w:pPr>
        <w:pStyle w:val="berschrift1"/>
      </w:pPr>
      <w:r>
        <w:t>3.3.45.140 Definition 3.3.125 – Kanonische Zusammenhangsinvariante</w:t>
      </w:r>
    </w:p>
    <w:p w:rsidR="00CB6E1D" w:rsidRDefault="00CB6E1D" w:rsidP="00CB6E1D">
      <w:pPr>
        <w:pStyle w:val="berschrift3"/>
      </w:pPr>
      <w:r>
        <w:t>Definition 3.3.125</w:t>
      </w:r>
    </w:p>
    <w:p w:rsidR="00CB6E1D" w:rsidRDefault="00CB6E1D" w:rsidP="00CB6E1D">
      <w:pPr>
        <w:pStyle w:val="StandardWeb"/>
      </w:pPr>
      <w:r>
        <w:t>Die Abbildung</w:t>
      </w:r>
    </w:p>
    <w:p w:rsidR="00CB6E1D" w:rsidRDefault="00CB6E1D" w:rsidP="00CB6E1D">
      <w:pPr>
        <w:pStyle w:val="StandardWeb"/>
      </w:pPr>
      <w:r>
        <w:t>[</w:t>
      </w:r>
      <w:r>
        <w:br/>
        <w:t>\boxed{</w:t>
      </w:r>
      <w:r>
        <w:br/>
        <w:t>I_{\mathrm{class}}</w:t>
      </w:r>
      <w:r>
        <w:br/>
        <w:t>:=</w:t>
      </w:r>
      <w:r>
        <w:br/>
        <w:t>\pi_F^{\pm}</w:t>
      </w:r>
      <w:r>
        <w:br/>
        <w:t>}</w:t>
      </w:r>
      <w:r>
        <w:br/>
        <w:t>\tag{3.10343}</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\boxed{I_{\mathrm{class}}:=\pi_F^{\pm}}</w:t>
      </w:r>
    </w:p>
    <w:p w:rsidR="00CB6E1D" w:rsidRDefault="00CB6E1D" w:rsidP="00CB6E1D">
      <w:pPr>
        <w:pStyle w:val="StandardWeb"/>
      </w:pPr>
      <w:r>
        <w:t xml:space="preserve">nenne ich die </w:t>
      </w:r>
      <w:r>
        <w:rPr>
          <w:rStyle w:val="Fett"/>
        </w:rPr>
        <w:t>kanonische Zusammenhangsinvariante</w:t>
      </w:r>
      <w:r>
        <w:t xml:space="preserve"> der Übergangsstruktur.</w:t>
      </w:r>
    </w:p>
    <w:p w:rsidR="00CB6E1D" w:rsidRDefault="00CB6E1D" w:rsidP="00CB6E1D">
      <w:pPr>
        <w:pStyle w:val="StandardWeb"/>
      </w:pPr>
      <w:r>
        <w:t>Sie ordnet jedem Zustand unmittelbar seine funktionale Zusammenhangskomponente zu.</w:t>
      </w:r>
    </w:p>
    <w:p w:rsidR="00CB6E1D" w:rsidRDefault="00E50336" w:rsidP="00CB6E1D">
      <w:r>
        <w:pict>
          <v:rect id="_x0000_i3240" style="width:0;height:1.5pt" o:hralign="center" o:hrstd="t" o:hr="t" fillcolor="#a0a0a0" stroked="f"/>
        </w:pict>
      </w:r>
    </w:p>
    <w:p w:rsidR="00CB6E1D" w:rsidRDefault="00CB6E1D" w:rsidP="00CB6E1D">
      <w:pPr>
        <w:pStyle w:val="berschrift1"/>
      </w:pPr>
      <w:r>
        <w:t>3.3.45.141 Invarianz der kanonischen Zusammenhangsabbildung</w:t>
      </w:r>
    </w:p>
    <w:p w:rsidR="00CB6E1D" w:rsidRDefault="00CB6E1D" w:rsidP="00CB6E1D">
      <w:pPr>
        <w:pStyle w:val="StandardWeb"/>
      </w:pPr>
      <w:r>
        <w:t>Für jeden zulässigen Übergang</w:t>
      </w:r>
    </w:p>
    <w:p w:rsidR="00CB6E1D" w:rsidRDefault="00CB6E1D" w:rsidP="00CB6E1D">
      <w:pPr>
        <w:pStyle w:val="StandardWeb"/>
      </w:pPr>
      <w:r>
        <w:lastRenderedPageBreak/>
        <w:t>[</w:t>
      </w:r>
      <w:r>
        <w:br/>
        <w:t>(z_i,z_j)\in\mathcal T_F</w:t>
      </w:r>
      <w:r>
        <w:br/>
        <w:t>\tag{3.10344}</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(z_i,z_j)\in\mathcal T_F</w:t>
      </w:r>
    </w:p>
    <w:p w:rsidR="00CB6E1D" w:rsidRDefault="00CB6E1D" w:rsidP="00CB6E1D">
      <w:pPr>
        <w:pStyle w:val="StandardWeb"/>
      </w:pPr>
      <w:r>
        <w:t>liegen (z_i) und (z_j) definitionsgemäß in derselben Zusammenhangskomponente der symmetrisierten Relation.</w:t>
      </w:r>
    </w:p>
    <w:p w:rsidR="00CB6E1D" w:rsidRDefault="00CB6E1D" w:rsidP="00CB6E1D">
      <w:pPr>
        <w:pStyle w:val="StandardWeb"/>
      </w:pPr>
      <w:r>
        <w:t>Daher gilt</w:t>
      </w:r>
    </w:p>
    <w:p w:rsidR="00CB6E1D" w:rsidRDefault="00CB6E1D" w:rsidP="00CB6E1D">
      <w:pPr>
        <w:pStyle w:val="berschrift1"/>
      </w:pPr>
      <w:r>
        <w:t>[</w:t>
      </w:r>
      <w:r>
        <w:br/>
        <w:t>[z_i]_{\pm}</w:t>
      </w:r>
    </w:p>
    <w:p w:rsidR="00CB6E1D" w:rsidRDefault="00CB6E1D" w:rsidP="00CB6E1D">
      <w:pPr>
        <w:pStyle w:val="StandardWeb"/>
      </w:pPr>
      <w:r>
        <w:t>[z_j]_{\pm}.</w:t>
      </w:r>
      <w:r>
        <w:br/>
        <w:t>\tag{3.10345}</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[z_i]_{\pm}=[z_j]_{\pm}</w:t>
      </w:r>
    </w:p>
    <w:p w:rsidR="00CB6E1D" w:rsidRDefault="00CB6E1D" w:rsidP="00CB6E1D">
      <w:pPr>
        <w:pStyle w:val="StandardWeb"/>
      </w:pPr>
      <w:r>
        <w:t>Somit ist (I_{\mathrm{class}}) global invariant.</w:t>
      </w:r>
    </w:p>
    <w:p w:rsidR="00CB6E1D" w:rsidRDefault="00E50336" w:rsidP="00CB6E1D">
      <w:r>
        <w:pict>
          <v:rect id="_x0000_i3241" style="width:0;height:1.5pt" o:hralign="center" o:hrstd="t" o:hr="t" fillcolor="#a0a0a0" stroked="f"/>
        </w:pict>
      </w:r>
    </w:p>
    <w:p w:rsidR="00CB6E1D" w:rsidRDefault="00CB6E1D" w:rsidP="00CB6E1D">
      <w:pPr>
        <w:pStyle w:val="berschrift1"/>
      </w:pPr>
      <w:r>
        <w:t>3.3.45.142 Satz 3.3.54 – Universalität der Zusammenhangsinvariante</w:t>
      </w:r>
    </w:p>
    <w:p w:rsidR="00CB6E1D" w:rsidRDefault="00CB6E1D" w:rsidP="00CB6E1D">
      <w:pPr>
        <w:pStyle w:val="berschrift3"/>
      </w:pPr>
      <w:r>
        <w:t>Satz 3.3.54</w:t>
      </w:r>
    </w:p>
    <w:p w:rsidR="00CB6E1D" w:rsidRDefault="00CB6E1D" w:rsidP="00CB6E1D">
      <w:pPr>
        <w:pStyle w:val="StandardWeb"/>
      </w:pPr>
      <w:r>
        <w:t>Jede globale funktionale Invariante (I_F) faktorisiert über die kanonische Zusammenhangsinvariante:</w:t>
      </w:r>
    </w:p>
    <w:p w:rsidR="00CB6E1D" w:rsidRDefault="00CB6E1D" w:rsidP="00CB6E1D">
      <w:pPr>
        <w:pStyle w:val="berschrift1"/>
      </w:pPr>
      <w:r>
        <w:t>[</w:t>
      </w:r>
      <w:r>
        <w:br/>
        <w:t>\boxed{</w:t>
      </w:r>
      <w:r>
        <w:br/>
        <w:t>I_F</w:t>
      </w:r>
    </w:p>
    <w:p w:rsidR="00CB6E1D" w:rsidRDefault="00CB6E1D" w:rsidP="00CB6E1D">
      <w:pPr>
        <w:pStyle w:val="StandardWeb"/>
      </w:pPr>
      <w:r>
        <w:t>\widetilde I_F</w:t>
      </w:r>
      <w:r>
        <w:br/>
        <w:t>\circ</w:t>
      </w:r>
      <w:r>
        <w:br/>
        <w:t>I_{\mathrm{class}}.</w:t>
      </w:r>
      <w:r>
        <w:br/>
        <w:t>}</w:t>
      </w:r>
      <w:r>
        <w:br/>
        <w:t>\tag{3.10346}</w:t>
      </w:r>
      <w:r>
        <w:br/>
        <w:t>]</w:t>
      </w:r>
    </w:p>
    <w:p w:rsidR="00CB6E1D" w:rsidRDefault="00CB6E1D" w:rsidP="00CB6E1D">
      <w:pPr>
        <w:pStyle w:val="StandardWeb"/>
      </w:pPr>
      <w:r>
        <w:rPr>
          <w:rStyle w:val="Fett"/>
        </w:rPr>
        <w:lastRenderedPageBreak/>
        <w:t>Word-LaTeX</w:t>
      </w:r>
    </w:p>
    <w:p w:rsidR="00CB6E1D" w:rsidRDefault="00CB6E1D" w:rsidP="00CB6E1D">
      <w:pPr>
        <w:pStyle w:val="HTMLVorformatiert"/>
        <w:rPr>
          <w:rStyle w:val="HTMLCode"/>
        </w:rPr>
      </w:pPr>
      <w:r>
        <w:rPr>
          <w:rStyle w:val="HTMLCode"/>
        </w:rPr>
        <w:t>\boxed{I_F=\widetilde I_F\circ I_{\mathrm{class}}.}</w:t>
      </w:r>
    </w:p>
    <w:p w:rsidR="00CB6E1D" w:rsidRDefault="00CB6E1D" w:rsidP="00CB6E1D">
      <w:pPr>
        <w:pStyle w:val="StandardWeb"/>
      </w:pPr>
      <w:r>
        <w:t>Damit ist (I_{\mathrm{class}}) hinsichtlich der hier betrachteten Übergangsinvarianz eine universelle strukturierende Invariante.</w:t>
      </w:r>
    </w:p>
    <w:p w:rsidR="00CB6E1D" w:rsidRDefault="00E50336" w:rsidP="00CB6E1D">
      <w:r>
        <w:pict>
          <v:rect id="_x0000_i3242" style="width:0;height:1.5pt" o:hralign="center" o:hrstd="t" o:hr="t" fillcolor="#a0a0a0" stroked="f"/>
        </w:pict>
      </w:r>
    </w:p>
    <w:p w:rsidR="00CB6E1D" w:rsidRDefault="00CB6E1D" w:rsidP="00CB6E1D">
      <w:pPr>
        <w:pStyle w:val="berschrift1"/>
      </w:pPr>
      <w:r>
        <w:t>3.3.45.143 Keine physikalische Erhaltungsgröße</w:t>
      </w:r>
    </w:p>
    <w:p w:rsidR="00CB6E1D" w:rsidRDefault="00CB6E1D" w:rsidP="00CB6E1D">
      <w:pPr>
        <w:pStyle w:val="StandardWeb"/>
      </w:pPr>
      <w:r>
        <w:t>Die Universalität von (I_{\mathrm{class}}) darf nicht mit einer physikalischen Erhaltungsgröße verwechselt werden.</w:t>
      </w:r>
    </w:p>
    <w:p w:rsidR="00CB6E1D" w:rsidRDefault="00CB6E1D" w:rsidP="00CB6E1D">
      <w:pPr>
        <w:pStyle w:val="StandardWeb"/>
      </w:pPr>
      <w:r>
        <w:t>Es gilt ausdrücklich</w:t>
      </w:r>
    </w:p>
    <w:p w:rsidR="00CB6E1D" w:rsidRDefault="00CB6E1D" w:rsidP="00CB6E1D">
      <w:pPr>
        <w:pStyle w:val="StandardWeb"/>
      </w:pPr>
      <w:r>
        <w:t>[</w:t>
      </w:r>
      <w:r>
        <w:br/>
        <w:t>\boxed{</w:t>
      </w:r>
      <w:r>
        <w:br/>
        <w:t>I_{\mathrm{class}}</w:t>
      </w:r>
      <w:r>
        <w:br/>
        <w:t>\not\equiv</w:t>
      </w:r>
      <w:r>
        <w:br/>
        <w:t>\text{Energie, Impuls, Ladung oder andere etablierte Erhaltungsgröße}.</w:t>
      </w:r>
      <w:r>
        <w:br/>
        <w:t>}</w:t>
      </w:r>
      <w:r>
        <w:br/>
        <w:t>\tag{3.10347}</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\boxed{I_{\mathrm{class}}\not\equiv\text{Energie, Impuls, Ladung oder andere etablierte Erhaltungsgröße}.}</w:t>
      </w:r>
    </w:p>
    <w:p w:rsidR="00CB6E1D" w:rsidRDefault="00CB6E1D" w:rsidP="00CB6E1D">
      <w:pPr>
        <w:pStyle w:val="StandardWeb"/>
      </w:pPr>
      <w:r>
        <w:t>(I_{\mathrm{class}}) beschreibt lediglich die Zusammenhangsklasse eines Zustands bezüglich der FRZK-Übergangsstruktur.</w:t>
      </w:r>
    </w:p>
    <w:p w:rsidR="00CB6E1D" w:rsidRDefault="00E50336" w:rsidP="00CB6E1D">
      <w:r>
        <w:pict>
          <v:rect id="_x0000_i3243" style="width:0;height:1.5pt" o:hralign="center" o:hrstd="t" o:hr="t" fillcolor="#a0a0a0" stroked="f"/>
        </w:pict>
      </w:r>
    </w:p>
    <w:p w:rsidR="00CB6E1D" w:rsidRDefault="00CB6E1D" w:rsidP="00CB6E1D">
      <w:pPr>
        <w:pStyle w:val="berschrift1"/>
      </w:pPr>
      <w:r>
        <w:t>3.3.45.144 Neue Prüfung des Primäraxiomkandidaten</w:t>
      </w:r>
    </w:p>
    <w:p w:rsidR="00CB6E1D" w:rsidRDefault="00CB6E1D" w:rsidP="00CB6E1D">
      <w:pPr>
        <w:pStyle w:val="StandardWeb"/>
      </w:pPr>
      <w:r>
        <w:t>Die Existenz der kanonischen Zusammenhangsinvariante könnte zunächst den Eindruck erwecken, dass nun doch eine universelle Invariante gefunden wurde.</w:t>
      </w:r>
    </w:p>
    <w:p w:rsidR="00CB6E1D" w:rsidRDefault="00CB6E1D" w:rsidP="00CB6E1D">
      <w:pPr>
        <w:pStyle w:val="StandardWeb"/>
      </w:pPr>
      <w:r>
        <w:t>Tatsächlich gilt für jedes Modell formal</w:t>
      </w:r>
    </w:p>
    <w:p w:rsidR="00CB6E1D" w:rsidRDefault="00CB6E1D" w:rsidP="00CB6E1D">
      <w:pPr>
        <w:pStyle w:val="berschrift1"/>
      </w:pPr>
      <w:r>
        <w:t>[</w:t>
      </w:r>
      <w:r>
        <w:br/>
        <w:t>I_{\mathrm{class}}</w:t>
      </w:r>
    </w:p>
    <w:p w:rsidR="00CB6E1D" w:rsidRDefault="00CB6E1D" w:rsidP="00CB6E1D">
      <w:pPr>
        <w:pStyle w:val="StandardWeb"/>
      </w:pPr>
      <w:r>
        <w:t>\pi_F^\pm.</w:t>
      </w:r>
      <w:r>
        <w:br/>
        <w:t>\tag{3.10348}</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lastRenderedPageBreak/>
        <w:t>I_{\mathrm{class}}=\pi_F^\pm</w:t>
      </w:r>
    </w:p>
    <w:p w:rsidR="00CB6E1D" w:rsidRDefault="00CB6E1D" w:rsidP="00CB6E1D">
      <w:pPr>
        <w:pStyle w:val="StandardWeb"/>
      </w:pPr>
      <w:r>
        <w:t>Diese Invariante kann jedoch trivial sein.</w:t>
      </w:r>
    </w:p>
    <w:p w:rsidR="00CB6E1D" w:rsidRDefault="00CB6E1D" w:rsidP="00CB6E1D">
      <w:pPr>
        <w:pStyle w:val="StandardWeb"/>
      </w:pPr>
      <w:r>
        <w:t>Ist</w:t>
      </w:r>
    </w:p>
    <w:p w:rsidR="00CB6E1D" w:rsidRDefault="00CB6E1D" w:rsidP="00CB6E1D">
      <w:pPr>
        <w:pStyle w:val="StandardWeb"/>
      </w:pPr>
      <w:r>
        <w:t>[</w:t>
      </w:r>
      <w:r>
        <w:br/>
        <w:t>|\mathcal C_F^\pm|=1,</w:t>
      </w:r>
      <w:r>
        <w:br/>
        <w:t>\tag{3.10349}</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|\mathcal C_F^\pm|=1</w:t>
      </w:r>
    </w:p>
    <w:p w:rsidR="00CB6E1D" w:rsidRDefault="00CB6E1D" w:rsidP="00CB6E1D">
      <w:pPr>
        <w:pStyle w:val="StandardWeb"/>
      </w:pPr>
      <w:r>
        <w:t>dann ist</w:t>
      </w:r>
    </w:p>
    <w:p w:rsidR="00CB6E1D" w:rsidRDefault="00CB6E1D" w:rsidP="00CB6E1D">
      <w:pPr>
        <w:pStyle w:val="StandardWeb"/>
      </w:pPr>
      <w:r>
        <w:t>[</w:t>
      </w:r>
      <w:r>
        <w:br/>
        <w:t>I_{\mathrm{class}}</w:t>
      </w:r>
      <w:r>
        <w:br/>
        <w:t>\equiv</w:t>
      </w:r>
      <w:r>
        <w:br/>
        <w:t>\mathrm{const}.</w:t>
      </w:r>
      <w:r>
        <w:br/>
        <w:t>\tag{3.10350}</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I_{\mathrm{class}}\equiv\mathrm{const}</w:t>
      </w:r>
    </w:p>
    <w:p w:rsidR="00CB6E1D" w:rsidRDefault="00E50336" w:rsidP="00CB6E1D">
      <w:r>
        <w:pict>
          <v:rect id="_x0000_i3244" style="width:0;height:1.5pt" o:hralign="center" o:hrstd="t" o:hr="t" fillcolor="#a0a0a0" stroked="f"/>
        </w:pict>
      </w:r>
    </w:p>
    <w:p w:rsidR="00CB6E1D" w:rsidRDefault="00CB6E1D" w:rsidP="00CB6E1D">
      <w:pPr>
        <w:pStyle w:val="berschrift1"/>
      </w:pPr>
      <w:r>
        <w:t>3.3.45.145 Konsequenz für (A_I)</w:t>
      </w:r>
    </w:p>
    <w:p w:rsidR="00CB6E1D" w:rsidRDefault="00CB6E1D" w:rsidP="00CB6E1D">
      <w:pPr>
        <w:pStyle w:val="StandardWeb"/>
      </w:pPr>
      <w:r>
        <w:t>Damit widerlegt auch die kanonische Zusammenhangsinvariante nicht die frühere Gegenmodellargumentation.</w:t>
      </w:r>
    </w:p>
    <w:p w:rsidR="00CB6E1D" w:rsidRDefault="00CB6E1D" w:rsidP="00CB6E1D">
      <w:pPr>
        <w:pStyle w:val="StandardWeb"/>
      </w:pPr>
      <w:r>
        <w:t>Es gilt weiterhin</w:t>
      </w:r>
    </w:p>
    <w:p w:rsidR="00CB6E1D" w:rsidRDefault="00CB6E1D" w:rsidP="00CB6E1D">
      <w:pPr>
        <w:pStyle w:val="StandardWeb"/>
      </w:pPr>
      <w:r>
        <w:t>[</w:t>
      </w:r>
      <w:r>
        <w:br/>
        <w:t>\boxed{</w:t>
      </w:r>
      <w:r>
        <w:br/>
        <w:t>A_C\land\mathfrak U_F</w:t>
      </w:r>
      <w:r>
        <w:br/>
        <w:t>\nRightarrow</w:t>
      </w:r>
      <w:r>
        <w:br/>
        <w:t>\exists I_F\not\equiv\mathrm{const}.</w:t>
      </w:r>
      <w:r>
        <w:br/>
        <w:t>}</w:t>
      </w:r>
      <w:r>
        <w:br/>
        <w:t>\tag{3.10351}</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\boxed{A_C\land\mathfrak U_F\nRightarrow\exists I_F\not\equiv\mathrm{const}.}</w:t>
      </w:r>
    </w:p>
    <w:p w:rsidR="00CB6E1D" w:rsidRDefault="00CB6E1D" w:rsidP="00CB6E1D">
      <w:pPr>
        <w:pStyle w:val="StandardWeb"/>
      </w:pPr>
      <w:r>
        <w:t>Der Primäraxiomkandidat (A_I) bleibt damit verworfen.</w:t>
      </w:r>
    </w:p>
    <w:p w:rsidR="00CB6E1D" w:rsidRDefault="00E50336" w:rsidP="00CB6E1D">
      <w:r>
        <w:lastRenderedPageBreak/>
        <w:pict>
          <v:rect id="_x0000_i3245" style="width:0;height:1.5pt" o:hralign="center" o:hrstd="t" o:hr="t" fillcolor="#a0a0a0" stroked="f"/>
        </w:pict>
      </w:r>
    </w:p>
    <w:p w:rsidR="00CB6E1D" w:rsidRDefault="00CB6E1D" w:rsidP="00CB6E1D">
      <w:pPr>
        <w:pStyle w:val="berschrift1"/>
      </w:pPr>
      <w:r>
        <w:t>3.3.45.146 Symmetrien als nächster Kandidat</w:t>
      </w:r>
    </w:p>
    <w:p w:rsidR="00CB6E1D" w:rsidRDefault="00CB6E1D" w:rsidP="00CB6E1D">
      <w:pPr>
        <w:pStyle w:val="StandardWeb"/>
      </w:pPr>
      <w:r>
        <w:t>Eine klassische Quelle von Invarianten sind Symmetrien. Deshalb muss ich nun prüfen, ob funktionale Symmetrien innerhalb des FRZK definiert werden können und welche Beziehung sie zu den bisher konstruierten Invarianten besitzen.</w:t>
      </w:r>
    </w:p>
    <w:p w:rsidR="00CB6E1D" w:rsidRDefault="00CB6E1D" w:rsidP="00CB6E1D">
      <w:pPr>
        <w:pStyle w:val="StandardWeb"/>
      </w:pPr>
      <w:r>
        <w:t>Ich beginne mit einer Transformation</w:t>
      </w:r>
    </w:p>
    <w:p w:rsidR="00CB6E1D" w:rsidRDefault="00CB6E1D" w:rsidP="00CB6E1D">
      <w:pPr>
        <w:pStyle w:val="StandardWeb"/>
      </w:pPr>
      <w:r>
        <w:t>[</w:t>
      </w:r>
      <w:r>
        <w:br/>
        <w:t>S:</w:t>
      </w:r>
      <w:r>
        <w:br/>
        <w:t>\Omega_F\rightarrow\Omega_F.</w:t>
      </w:r>
      <w:r>
        <w:br/>
        <w:t>\tag{3.10352}</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S:\Omega_F\rightarrow\Omega_F</w:t>
      </w:r>
    </w:p>
    <w:p w:rsidR="00CB6E1D" w:rsidRDefault="00E50336" w:rsidP="00CB6E1D">
      <w:r>
        <w:pict>
          <v:rect id="_x0000_i3246" style="width:0;height:1.5pt" o:hralign="center" o:hrstd="t" o:hr="t" fillcolor="#a0a0a0" stroked="f"/>
        </w:pict>
      </w:r>
    </w:p>
    <w:p w:rsidR="00CB6E1D" w:rsidRDefault="00CB6E1D" w:rsidP="00CB6E1D">
      <w:pPr>
        <w:pStyle w:val="berschrift1"/>
      </w:pPr>
      <w:r>
        <w:t>3.3.45.147 Erhaltung der Übergangsstruktur</w:t>
      </w:r>
    </w:p>
    <w:p w:rsidR="00CB6E1D" w:rsidRDefault="00CB6E1D" w:rsidP="00CB6E1D">
      <w:pPr>
        <w:pStyle w:val="StandardWeb"/>
      </w:pPr>
      <w:r>
        <w:t>Eine funktionale Symmetrie soll nicht nur Zustände auf Zustände abbilden, sondern die zulässige Übergangsstruktur erhalten.</w:t>
      </w:r>
    </w:p>
    <w:p w:rsidR="00CB6E1D" w:rsidRDefault="00CB6E1D" w:rsidP="00CB6E1D">
      <w:pPr>
        <w:pStyle w:val="StandardWeb"/>
      </w:pPr>
      <w:r>
        <w:t>Eine natürliche Bedingung lautet</w:t>
      </w:r>
    </w:p>
    <w:p w:rsidR="00CB6E1D" w:rsidRDefault="00CB6E1D" w:rsidP="00CB6E1D">
      <w:pPr>
        <w:pStyle w:val="StandardWeb"/>
      </w:pPr>
      <w:r>
        <w:t>[</w:t>
      </w:r>
      <w:r>
        <w:br/>
        <w:t>(z_i,z_j)\in\mathcal T_F</w:t>
      </w:r>
      <w:r>
        <w:br/>
        <w:t>\Rightarrow</w:t>
      </w:r>
      <w:r>
        <w:br/>
        <w:t>(Sz_i,Sz_j)\in\mathcal T_F.</w:t>
      </w:r>
      <w:r>
        <w:br/>
        <w:t>\tag{3.10353}</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(z_i,z_j)\in\mathcal T_F\Rightarrow(Sz_i,Sz_j)\in\mathcal T_F</w:t>
      </w:r>
    </w:p>
    <w:p w:rsidR="00CB6E1D" w:rsidRDefault="00CB6E1D" w:rsidP="00CB6E1D">
      <w:pPr>
        <w:pStyle w:val="StandardWeb"/>
      </w:pPr>
      <w:r>
        <w:t>Für eine echte Strukturautomorphie fordere ich zusätzlich die Umkehrbarkeit von (S).</w:t>
      </w:r>
    </w:p>
    <w:p w:rsidR="00CB6E1D" w:rsidRDefault="00E50336" w:rsidP="00CB6E1D">
      <w:r>
        <w:pict>
          <v:rect id="_x0000_i3247" style="width:0;height:1.5pt" o:hralign="center" o:hrstd="t" o:hr="t" fillcolor="#a0a0a0" stroked="f"/>
        </w:pict>
      </w:r>
    </w:p>
    <w:p w:rsidR="00CB6E1D" w:rsidRDefault="00CB6E1D" w:rsidP="00CB6E1D">
      <w:pPr>
        <w:pStyle w:val="berschrift1"/>
      </w:pPr>
      <w:r>
        <w:t>3.3.45.148 Definition 3.3.126 – Funktionale Übergangssymmetrie</w:t>
      </w:r>
    </w:p>
    <w:p w:rsidR="00CB6E1D" w:rsidRDefault="00CB6E1D" w:rsidP="00CB6E1D">
      <w:pPr>
        <w:pStyle w:val="berschrift3"/>
      </w:pPr>
      <w:r>
        <w:t>Definition 3.3.126</w:t>
      </w:r>
    </w:p>
    <w:p w:rsidR="00CB6E1D" w:rsidRDefault="00CB6E1D" w:rsidP="00CB6E1D">
      <w:pPr>
        <w:pStyle w:val="StandardWeb"/>
      </w:pPr>
      <w:r>
        <w:t>Eine bijektive Abbildung</w:t>
      </w:r>
    </w:p>
    <w:p w:rsidR="00CB6E1D" w:rsidRDefault="00CB6E1D" w:rsidP="00CB6E1D">
      <w:pPr>
        <w:pStyle w:val="StandardWeb"/>
      </w:pPr>
      <w:r>
        <w:lastRenderedPageBreak/>
        <w:t>[</w:t>
      </w:r>
      <w:r>
        <w:br/>
        <w:t>S:\Omega_F\rightarrow\Omega_F</w:t>
      </w:r>
      <w:r>
        <w:br/>
        <w:t>\tag{3.10354}</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S:\Omega_F\rightarrow\Omega_F</w:t>
      </w:r>
    </w:p>
    <w:p w:rsidR="00CB6E1D" w:rsidRDefault="00CB6E1D" w:rsidP="00CB6E1D">
      <w:pPr>
        <w:pStyle w:val="StandardWeb"/>
      </w:pPr>
      <w:r>
        <w:t xml:space="preserve">heißt </w:t>
      </w:r>
      <w:r>
        <w:rPr>
          <w:rStyle w:val="Fett"/>
        </w:rPr>
        <w:t>funktionale Übergangssymmetrie</w:t>
      </w:r>
      <w:r>
        <w:t>, wenn</w:t>
      </w:r>
    </w:p>
    <w:p w:rsidR="00CB6E1D" w:rsidRDefault="00CB6E1D" w:rsidP="00CB6E1D">
      <w:pPr>
        <w:pStyle w:val="StandardWeb"/>
      </w:pPr>
      <w:r>
        <w:t>[</w:t>
      </w:r>
      <w:r>
        <w:br/>
        <w:t>\boxed{</w:t>
      </w:r>
      <w:r>
        <w:br/>
        <w:t>(z_i,z_j)\in\mathcal T_F</w:t>
      </w:r>
      <w:r>
        <w:br/>
        <w:t>\Longleftrightarrow</w:t>
      </w:r>
      <w:r>
        <w:br/>
        <w:t>(Sz_i,Sz_j)\in\mathcal T_F.</w:t>
      </w:r>
      <w:r>
        <w:br/>
        <w:t>}</w:t>
      </w:r>
      <w:r>
        <w:br/>
        <w:t>\tag{3.10355}</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\boxed{(z_i,z_j)\in\mathcal T_F\Longleftrightarrow(Sz_i,Sz_j)\in\mathcal T_F.}</w:t>
      </w:r>
    </w:p>
    <w:p w:rsidR="00CB6E1D" w:rsidRDefault="00CB6E1D" w:rsidP="00CB6E1D">
      <w:pPr>
        <w:pStyle w:val="StandardWeb"/>
      </w:pPr>
      <w:r>
        <w:t>Damit erhält (S) die gesamte gerichtete Übergangsstruktur.</w:t>
      </w:r>
    </w:p>
    <w:p w:rsidR="00CB6E1D" w:rsidRDefault="00E50336" w:rsidP="00CB6E1D">
      <w:r>
        <w:pict>
          <v:rect id="_x0000_i3248" style="width:0;height:1.5pt" o:hralign="center" o:hrstd="t" o:hr="t" fillcolor="#a0a0a0" stroked="f"/>
        </w:pict>
      </w:r>
    </w:p>
    <w:p w:rsidR="00CB6E1D" w:rsidRDefault="00CB6E1D" w:rsidP="00CB6E1D">
      <w:pPr>
        <w:pStyle w:val="berschrift1"/>
      </w:pPr>
      <w:r>
        <w:t>3.3.45.149 Menge aller funktionalen Übergangssymmetrien</w:t>
      </w:r>
    </w:p>
    <w:p w:rsidR="00CB6E1D" w:rsidRDefault="00CB6E1D" w:rsidP="00CB6E1D">
      <w:pPr>
        <w:pStyle w:val="StandardWeb"/>
      </w:pPr>
      <w:r>
        <w:t>Ich bezeichne die Menge aller solchen Symmetrien durch</w:t>
      </w:r>
    </w:p>
    <w:p w:rsidR="00CB6E1D" w:rsidRDefault="00CB6E1D" w:rsidP="00CB6E1D">
      <w:pPr>
        <w:pStyle w:val="StandardWeb"/>
      </w:pPr>
      <w:r>
        <w:t>[</w:t>
      </w:r>
      <w:r>
        <w:br/>
        <w:t>\operatorname{Sym}_F(\mathcal M).</w:t>
      </w:r>
      <w:r>
        <w:br/>
        <w:t>\tag{3.10356}</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\operatorname{Sym}_F(\mathcal M)</w:t>
      </w:r>
    </w:p>
    <w:p w:rsidR="00CB6E1D" w:rsidRDefault="00CB6E1D" w:rsidP="00CB6E1D">
      <w:pPr>
        <w:pStyle w:val="StandardWeb"/>
      </w:pPr>
      <w:r>
        <w:t>Die Identität</w:t>
      </w:r>
    </w:p>
    <w:p w:rsidR="00CB6E1D" w:rsidRDefault="00CB6E1D" w:rsidP="00CB6E1D">
      <w:pPr>
        <w:pStyle w:val="StandardWeb"/>
      </w:pPr>
      <w:r>
        <w:t>[</w:t>
      </w:r>
      <w:r>
        <w:br/>
        <w:t>\operatorname{id}_{\Omega_F}</w:t>
      </w:r>
      <w:r>
        <w:br/>
        <w:t>\tag{3.10357}</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lastRenderedPageBreak/>
        <w:t>\operatorname{id}_{\Omega_F}</w:t>
      </w:r>
    </w:p>
    <w:p w:rsidR="00CB6E1D" w:rsidRDefault="00CB6E1D" w:rsidP="00CB6E1D">
      <w:pPr>
        <w:pStyle w:val="StandardWeb"/>
      </w:pPr>
      <w:r>
        <w:t>gehört stets zu dieser Menge.</w:t>
      </w:r>
    </w:p>
    <w:p w:rsidR="00CB6E1D" w:rsidRDefault="00E50336" w:rsidP="00CB6E1D">
      <w:r>
        <w:pict>
          <v:rect id="_x0000_i3249" style="width:0;height:1.5pt" o:hralign="center" o:hrstd="t" o:hr="t" fillcolor="#a0a0a0" stroked="f"/>
        </w:pict>
      </w:r>
    </w:p>
    <w:p w:rsidR="00CB6E1D" w:rsidRDefault="00CB6E1D" w:rsidP="00CB6E1D">
      <w:pPr>
        <w:pStyle w:val="berschrift1"/>
      </w:pPr>
      <w:r>
        <w:t>3.3.45.150 Komposition von Symmetrien</w:t>
      </w:r>
    </w:p>
    <w:p w:rsidR="00CB6E1D" w:rsidRDefault="00CB6E1D" w:rsidP="00CB6E1D">
      <w:pPr>
        <w:pStyle w:val="StandardWeb"/>
      </w:pPr>
      <w:r>
        <w:t>Sind (S_1) und (S_2) funktionale Übergangssymmetrien, dann ist auch</w:t>
      </w:r>
    </w:p>
    <w:p w:rsidR="00CB6E1D" w:rsidRDefault="00CB6E1D" w:rsidP="00CB6E1D">
      <w:pPr>
        <w:pStyle w:val="StandardWeb"/>
      </w:pPr>
      <w:r>
        <w:t>[</w:t>
      </w:r>
      <w:r>
        <w:br/>
        <w:t>S_2\circ S_1</w:t>
      </w:r>
      <w:r>
        <w:br/>
        <w:t>\tag{3.10358}</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S_2\circ S_1</w:t>
      </w:r>
    </w:p>
    <w:p w:rsidR="00CB6E1D" w:rsidRDefault="00CB6E1D" w:rsidP="00CB6E1D">
      <w:pPr>
        <w:pStyle w:val="StandardWeb"/>
      </w:pPr>
      <w:r>
        <w:t>eine bijektive Abbildung, die die Übergangsrelation erhält.</w:t>
      </w:r>
    </w:p>
    <w:p w:rsidR="00CB6E1D" w:rsidRDefault="00CB6E1D" w:rsidP="00CB6E1D">
      <w:pPr>
        <w:pStyle w:val="StandardWeb"/>
      </w:pPr>
      <w:r>
        <w:t>Ebenso ist zu jeder Symmetrie die Umkehrabbildung</w:t>
      </w:r>
    </w:p>
    <w:p w:rsidR="00CB6E1D" w:rsidRDefault="00CB6E1D" w:rsidP="00CB6E1D">
      <w:pPr>
        <w:pStyle w:val="StandardWeb"/>
      </w:pPr>
      <w:r>
        <w:t>[</w:t>
      </w:r>
      <w:r>
        <w:br/>
        <w:t>S^{-1}</w:t>
      </w:r>
      <w:r>
        <w:br/>
        <w:t>\tag{3.10359}</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S^{-1}</w:t>
      </w:r>
    </w:p>
    <w:p w:rsidR="00CB6E1D" w:rsidRDefault="00CB6E1D" w:rsidP="00CB6E1D">
      <w:pPr>
        <w:pStyle w:val="StandardWeb"/>
      </w:pPr>
      <w:r>
        <w:t>wieder eine Übergangssymmetrie.</w:t>
      </w:r>
    </w:p>
    <w:p w:rsidR="00CB6E1D" w:rsidRDefault="00E50336" w:rsidP="00CB6E1D">
      <w:r>
        <w:pict>
          <v:rect id="_x0000_i3250" style="width:0;height:1.5pt" o:hralign="center" o:hrstd="t" o:hr="t" fillcolor="#a0a0a0" stroked="f"/>
        </w:pict>
      </w:r>
    </w:p>
    <w:p w:rsidR="00CB6E1D" w:rsidRDefault="00CB6E1D" w:rsidP="00CB6E1D">
      <w:pPr>
        <w:pStyle w:val="berschrift1"/>
      </w:pPr>
      <w:r>
        <w:t>3.3.45.151 Satz 3.3.55 – Symmetriegruppe der Übergangsstruktur</w:t>
      </w:r>
    </w:p>
    <w:p w:rsidR="00CB6E1D" w:rsidRDefault="00CB6E1D" w:rsidP="00CB6E1D">
      <w:pPr>
        <w:pStyle w:val="berschrift3"/>
      </w:pPr>
      <w:r>
        <w:t>Satz 3.3.55</w:t>
      </w:r>
    </w:p>
    <w:p w:rsidR="00CB6E1D" w:rsidRDefault="00CB6E1D" w:rsidP="00CB6E1D">
      <w:pPr>
        <w:pStyle w:val="StandardWeb"/>
      </w:pPr>
      <w:r>
        <w:t>Die Menge funktionaler Übergangssymmetrien bildet unter Komposition eine Gruppe:</w:t>
      </w:r>
    </w:p>
    <w:p w:rsidR="00CB6E1D" w:rsidRDefault="00CB6E1D" w:rsidP="00CB6E1D">
      <w:pPr>
        <w:pStyle w:val="StandardWeb"/>
      </w:pPr>
      <w:r>
        <w:t>[</w:t>
      </w:r>
      <w:r>
        <w:br/>
        <w:t>\boxed{</w:t>
      </w:r>
      <w:r>
        <w:br/>
        <w:t>\operatorname{Sym}_F(\mathcal M)</w:t>
      </w:r>
      <w:r>
        <w:br/>
        <w:t>\leq</w:t>
      </w:r>
      <w:r>
        <w:br/>
        <w:t>\operatorname{Bij}(\Omega_F).</w:t>
      </w:r>
      <w:r>
        <w:br/>
        <w:t>}</w:t>
      </w:r>
      <w:r>
        <w:br/>
      </w:r>
      <w:r>
        <w:lastRenderedPageBreak/>
        <w:t>\tag{3.10360}</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\boxed{\operatorname{Sym}_F(\mathcal M)\leq\operatorname{Bij}(\Omega_F).}</w:t>
      </w:r>
    </w:p>
    <w:p w:rsidR="00CB6E1D" w:rsidRDefault="00CB6E1D" w:rsidP="00CB6E1D">
      <w:pPr>
        <w:pStyle w:val="StandardWeb"/>
      </w:pPr>
      <w:r>
        <w:t>Dabei bezeichnet (\operatorname{Bij}(\Omega_F)) die Gruppe aller Bijektionen des Zustandsraumes.</w:t>
      </w:r>
    </w:p>
    <w:p w:rsidR="00CB6E1D" w:rsidRDefault="00E50336" w:rsidP="00CB6E1D">
      <w:r>
        <w:pict>
          <v:rect id="_x0000_i3251" style="width:0;height:1.5pt" o:hralign="center" o:hrstd="t" o:hr="t" fillcolor="#a0a0a0" stroked="f"/>
        </w:pict>
      </w:r>
    </w:p>
    <w:p w:rsidR="00CB6E1D" w:rsidRDefault="00CB6E1D" w:rsidP="00CB6E1D">
      <w:pPr>
        <w:pStyle w:val="berschrift1"/>
      </w:pPr>
      <w:r>
        <w:t>3.3.45.152 Definition 3.3.127 – Funktionale Symmetriegruppe</w:t>
      </w:r>
    </w:p>
    <w:p w:rsidR="00CB6E1D" w:rsidRDefault="00CB6E1D" w:rsidP="00CB6E1D">
      <w:pPr>
        <w:pStyle w:val="berschrift3"/>
      </w:pPr>
      <w:r>
        <w:t>Definition 3.3.127</w:t>
      </w:r>
    </w:p>
    <w:p w:rsidR="00CB6E1D" w:rsidRDefault="00CB6E1D" w:rsidP="00CB6E1D">
      <w:pPr>
        <w:pStyle w:val="StandardWeb"/>
      </w:pPr>
      <w:r>
        <w:t>Die Gruppe</w:t>
      </w:r>
    </w:p>
    <w:p w:rsidR="00CB6E1D" w:rsidRDefault="00CB6E1D" w:rsidP="00CB6E1D">
      <w:pPr>
        <w:pStyle w:val="StandardWeb"/>
      </w:pPr>
      <w:r>
        <w:t>[</w:t>
      </w:r>
      <w:r>
        <w:br/>
        <w:t>\boxed{</w:t>
      </w:r>
      <w:r>
        <w:br/>
        <w:t>\mathfrak G_F(\mathcal M)</w:t>
      </w:r>
      <w:r>
        <w:br/>
        <w:t>:=</w:t>
      </w:r>
      <w:r>
        <w:br/>
        <w:t>\operatorname{Sym}_F(\mathcal M)</w:t>
      </w:r>
      <w:r>
        <w:br/>
        <w:t>}</w:t>
      </w:r>
      <w:r>
        <w:br/>
        <w:t>\tag{3.10361}</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\boxed{\mathfrak G_F(\mathcal M):=\operatorname{Sym}_F(\mathcal M)}</w:t>
      </w:r>
    </w:p>
    <w:p w:rsidR="00CB6E1D" w:rsidRDefault="00CB6E1D" w:rsidP="00CB6E1D">
      <w:pPr>
        <w:pStyle w:val="StandardWeb"/>
      </w:pPr>
      <w:r>
        <w:t xml:space="preserve">nenne ich die </w:t>
      </w:r>
      <w:r>
        <w:rPr>
          <w:rStyle w:val="Fett"/>
        </w:rPr>
        <w:t>funktionale Symmetriegruppe</w:t>
      </w:r>
      <w:r>
        <w:t xml:space="preserve"> des Modells bezüglich seiner Übergangsstruktur.</w:t>
      </w:r>
    </w:p>
    <w:p w:rsidR="00CB6E1D" w:rsidRDefault="00E50336" w:rsidP="00CB6E1D">
      <w:r>
        <w:pict>
          <v:rect id="_x0000_i3252" style="width:0;height:1.5pt" o:hralign="center" o:hrstd="t" o:hr="t" fillcolor="#a0a0a0" stroked="f"/>
        </w:pict>
      </w:r>
    </w:p>
    <w:p w:rsidR="00CB6E1D" w:rsidRDefault="00CB6E1D" w:rsidP="00CB6E1D">
      <w:pPr>
        <w:pStyle w:val="berschrift1"/>
      </w:pPr>
      <w:r>
        <w:t>3.3.45.153 Wirkung der Symmetriegruppe</w:t>
      </w:r>
    </w:p>
    <w:p w:rsidR="00CB6E1D" w:rsidRDefault="00CB6E1D" w:rsidP="00CB6E1D">
      <w:pPr>
        <w:pStyle w:val="StandardWeb"/>
      </w:pPr>
      <w:r>
        <w:t>Die Gruppe wirkt auf dem Zustandsraum durch</w:t>
      </w:r>
    </w:p>
    <w:p w:rsidR="00CB6E1D" w:rsidRDefault="00CB6E1D" w:rsidP="00CB6E1D">
      <w:pPr>
        <w:pStyle w:val="StandardWeb"/>
      </w:pPr>
      <w:r>
        <w:t>[</w:t>
      </w:r>
      <w:r>
        <w:br/>
        <w:t>\mathfrak G_F\times\Omega_F</w:t>
      </w:r>
      <w:r>
        <w:br/>
        <w:t>\rightarrow</w:t>
      </w:r>
      <w:r>
        <w:br/>
        <w:t>\Omega_F,</w:t>
      </w:r>
      <w:r>
        <w:br/>
        <w:t>\qquad</w:t>
      </w:r>
      <w:r>
        <w:br/>
        <w:t>(S,z)\mapsto S(z).</w:t>
      </w:r>
      <w:r>
        <w:br/>
        <w:t>\tag{3.10362}</w:t>
      </w:r>
      <w:r>
        <w:br/>
        <w:t>]</w:t>
      </w:r>
    </w:p>
    <w:p w:rsidR="00CB6E1D" w:rsidRDefault="00CB6E1D" w:rsidP="00CB6E1D">
      <w:pPr>
        <w:pStyle w:val="StandardWeb"/>
      </w:pPr>
      <w:r>
        <w:rPr>
          <w:rStyle w:val="Fett"/>
        </w:rPr>
        <w:lastRenderedPageBreak/>
        <w:t>Word-LaTeX</w:t>
      </w:r>
    </w:p>
    <w:p w:rsidR="00CB6E1D" w:rsidRDefault="00CB6E1D" w:rsidP="00CB6E1D">
      <w:pPr>
        <w:pStyle w:val="HTMLVorformatiert"/>
        <w:rPr>
          <w:rStyle w:val="HTMLCode"/>
        </w:rPr>
      </w:pPr>
      <w:r>
        <w:rPr>
          <w:rStyle w:val="HTMLCode"/>
        </w:rPr>
        <w:t>\mathfrak G_F\times\Omega_F\rightarrow\Omega_F,\qquad(S,z)\mapsto S(z)</w:t>
      </w:r>
    </w:p>
    <w:p w:rsidR="00CB6E1D" w:rsidRDefault="00CB6E1D" w:rsidP="00CB6E1D">
      <w:pPr>
        <w:pStyle w:val="StandardWeb"/>
      </w:pPr>
      <w:r>
        <w:t>Dadurch entstehen Symmetrieorbits.</w:t>
      </w:r>
    </w:p>
    <w:p w:rsidR="00CB6E1D" w:rsidRDefault="00E50336" w:rsidP="00CB6E1D">
      <w:r>
        <w:pict>
          <v:rect id="_x0000_i3253" style="width:0;height:1.5pt" o:hralign="center" o:hrstd="t" o:hr="t" fillcolor="#a0a0a0" stroked="f"/>
        </w:pict>
      </w:r>
    </w:p>
    <w:p w:rsidR="00CB6E1D" w:rsidRDefault="00CB6E1D" w:rsidP="00CB6E1D">
      <w:pPr>
        <w:pStyle w:val="berschrift1"/>
      </w:pPr>
      <w:r>
        <w:t>3.3.45.154 Definition 3.3.128 – Funktionaler Symmetrieorbit</w:t>
      </w:r>
    </w:p>
    <w:p w:rsidR="00CB6E1D" w:rsidRDefault="00CB6E1D" w:rsidP="00CB6E1D">
      <w:pPr>
        <w:pStyle w:val="berschrift3"/>
      </w:pPr>
      <w:r>
        <w:t>Definition 3.3.128</w:t>
      </w:r>
    </w:p>
    <w:p w:rsidR="00CB6E1D" w:rsidRDefault="00CB6E1D" w:rsidP="00CB6E1D">
      <w:pPr>
        <w:pStyle w:val="StandardWeb"/>
      </w:pPr>
      <w:r>
        <w:t xml:space="preserve">Der </w:t>
      </w:r>
      <w:r>
        <w:rPr>
          <w:rStyle w:val="Fett"/>
        </w:rPr>
        <w:t>funktionale Symmetrieorbit</w:t>
      </w:r>
      <w:r>
        <w:t xml:space="preserve"> eines Zustands (z) ist</w:t>
      </w:r>
    </w:p>
    <w:p w:rsidR="00CB6E1D" w:rsidRDefault="00CB6E1D" w:rsidP="00CB6E1D">
      <w:pPr>
        <w:pStyle w:val="berschrift1"/>
      </w:pPr>
      <w:r>
        <w:t>[</w:t>
      </w:r>
      <w:r>
        <w:br/>
        <w:t>\boxed{</w:t>
      </w:r>
      <w:r>
        <w:br/>
        <w:t>\mathcal O_S(z)</w:t>
      </w:r>
    </w:p>
    <w:p w:rsidR="00CB6E1D" w:rsidRDefault="00CB6E1D" w:rsidP="00CB6E1D">
      <w:pPr>
        <w:pStyle w:val="StandardWeb"/>
      </w:pPr>
      <w:r>
        <w:t>\left{</w:t>
      </w:r>
      <w:r>
        <w:br/>
        <w:t>S(z):</w:t>
      </w:r>
      <w:r>
        <w:br/>
        <w:t>S\in\mathfrak G_F</w:t>
      </w:r>
      <w:r>
        <w:br/>
        <w:t>\right}.</w:t>
      </w:r>
      <w:r>
        <w:br/>
        <w:t>}</w:t>
      </w:r>
      <w:r>
        <w:br/>
        <w:t>\tag{3.10363}</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\boxed{\mathcal O_S(z)=\left\{S(z):S\in\mathfrak G_F\right\}.}</w:t>
      </w:r>
    </w:p>
    <w:p w:rsidR="00CB6E1D" w:rsidRDefault="00E50336" w:rsidP="00CB6E1D">
      <w:r>
        <w:pict>
          <v:rect id="_x0000_i3254" style="width:0;height:1.5pt" o:hralign="center" o:hrstd="t" o:hr="t" fillcolor="#a0a0a0" stroked="f"/>
        </w:pict>
      </w:r>
    </w:p>
    <w:p w:rsidR="00CB6E1D" w:rsidRDefault="00CB6E1D" w:rsidP="00CB6E1D">
      <w:pPr>
        <w:pStyle w:val="berschrift1"/>
      </w:pPr>
      <w:r>
        <w:t>3.3.45.155 Symmetrieinvariante Größen</w:t>
      </w:r>
    </w:p>
    <w:p w:rsidR="00CB6E1D" w:rsidRDefault="00CB6E1D" w:rsidP="00CB6E1D">
      <w:pPr>
        <w:pStyle w:val="StandardWeb"/>
      </w:pPr>
      <w:r>
        <w:t>Eine Größe (Q_F) kann gegenüber der Symmetriegruppe invariant sein, wenn</w:t>
      </w:r>
    </w:p>
    <w:p w:rsidR="00CB6E1D" w:rsidRDefault="00CB6E1D" w:rsidP="00CB6E1D">
      <w:pPr>
        <w:pStyle w:val="berschrift1"/>
      </w:pPr>
      <w:r>
        <w:t>[</w:t>
      </w:r>
      <w:r>
        <w:br/>
        <w:t>Q_F(Sz)</w:t>
      </w:r>
    </w:p>
    <w:p w:rsidR="00CB6E1D" w:rsidRDefault="00CB6E1D" w:rsidP="00CB6E1D">
      <w:pPr>
        <w:pStyle w:val="StandardWeb"/>
      </w:pPr>
      <w:r>
        <w:t>Q_F(z)</w:t>
      </w:r>
      <w:r>
        <w:br/>
        <w:t>\tag{3.10364}</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Q_F(Sz)=Q_F(z)</w:t>
      </w:r>
    </w:p>
    <w:p w:rsidR="00CB6E1D" w:rsidRDefault="00CB6E1D" w:rsidP="00CB6E1D">
      <w:pPr>
        <w:pStyle w:val="StandardWeb"/>
      </w:pPr>
      <w:r>
        <w:lastRenderedPageBreak/>
        <w:t>für alle (S\in\mathfrak G_F) gilt.</w:t>
      </w:r>
    </w:p>
    <w:p w:rsidR="00CB6E1D" w:rsidRDefault="00CB6E1D" w:rsidP="00CB6E1D">
      <w:pPr>
        <w:pStyle w:val="StandardWeb"/>
      </w:pPr>
      <w:r>
        <w:t xml:space="preserve">Diese Form der Invarianz ist zunächst von der zuvor untersuchten </w:t>
      </w:r>
      <w:r>
        <w:rPr>
          <w:rStyle w:val="Fett"/>
        </w:rPr>
        <w:t>Übergangsinvarianz</w:t>
      </w:r>
      <w:r>
        <w:t xml:space="preserve"> zu unterscheiden.</w:t>
      </w:r>
    </w:p>
    <w:p w:rsidR="00CB6E1D" w:rsidRDefault="00E50336" w:rsidP="00CB6E1D">
      <w:r>
        <w:pict>
          <v:rect id="_x0000_i3255" style="width:0;height:1.5pt" o:hralign="center" o:hrstd="t" o:hr="t" fillcolor="#a0a0a0" stroked="f"/>
        </w:pict>
      </w:r>
    </w:p>
    <w:p w:rsidR="00CB6E1D" w:rsidRDefault="00CB6E1D" w:rsidP="00CB6E1D">
      <w:pPr>
        <w:pStyle w:val="berschrift1"/>
      </w:pPr>
      <w:r>
        <w:t>3.3.45.156 Definition 3.3.129 – Symmetrieinvariante funktionale Größe</w:t>
      </w:r>
    </w:p>
    <w:p w:rsidR="00CB6E1D" w:rsidRDefault="00CB6E1D" w:rsidP="00CB6E1D">
      <w:pPr>
        <w:pStyle w:val="berschrift3"/>
      </w:pPr>
      <w:r>
        <w:t>Definition 3.3.129</w:t>
      </w:r>
    </w:p>
    <w:p w:rsidR="00CB6E1D" w:rsidRDefault="00CB6E1D" w:rsidP="00CB6E1D">
      <w:pPr>
        <w:pStyle w:val="StandardWeb"/>
      </w:pPr>
      <w:r>
        <w:t>Eine Größe</w:t>
      </w:r>
    </w:p>
    <w:p w:rsidR="00CB6E1D" w:rsidRDefault="00CB6E1D" w:rsidP="00CB6E1D">
      <w:pPr>
        <w:pStyle w:val="StandardWeb"/>
      </w:pPr>
      <w:r>
        <w:t>[</w:t>
      </w:r>
      <w:r>
        <w:br/>
        <w:t>Q_F:\Omega_F\rightarrow\mathcal V</w:t>
      </w:r>
      <w:r>
        <w:br/>
        <w:t>\tag{3.10365}</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Q_F:\Omega_F\rightarrow\mathcal V</w:t>
      </w:r>
    </w:p>
    <w:p w:rsidR="00CB6E1D" w:rsidRDefault="00CB6E1D" w:rsidP="00CB6E1D">
      <w:pPr>
        <w:pStyle w:val="StandardWeb"/>
      </w:pPr>
      <w:r>
        <w:t xml:space="preserve">heißt </w:t>
      </w:r>
      <w:r>
        <w:rPr>
          <w:rStyle w:val="Fett"/>
        </w:rPr>
        <w:t>symmetrieinvariant</w:t>
      </w:r>
      <w:r>
        <w:t xml:space="preserve"> bezüglich (\mathfrak G_F), wenn</w:t>
      </w:r>
    </w:p>
    <w:p w:rsidR="00CB6E1D" w:rsidRDefault="00CB6E1D" w:rsidP="00CB6E1D">
      <w:pPr>
        <w:pStyle w:val="StandardWeb"/>
      </w:pPr>
      <w:r>
        <w:t>[</w:t>
      </w:r>
      <w:r>
        <w:br/>
        <w:t>\boxed{</w:t>
      </w:r>
      <w:r>
        <w:br/>
        <w:t>\forall S\in\mathfrak G_F</w:t>
      </w:r>
      <w:r>
        <w:br/>
        <w:t>;</w:t>
      </w:r>
      <w:r>
        <w:br/>
        <w:t>\forall z\in\Omega_F:</w:t>
      </w:r>
      <w:r>
        <w:br/>
        <w:t>Q_F(Sz)=Q_F(z).</w:t>
      </w:r>
      <w:r>
        <w:br/>
        <w:t>}</w:t>
      </w:r>
      <w:r>
        <w:br/>
        <w:t>\tag{3.10366}</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\boxed{\forall S\in\mathfrak G_F\;\forall z\in\Omega_F:Q_F(Sz)=Q_F(z).}</w:t>
      </w:r>
    </w:p>
    <w:p w:rsidR="00CB6E1D" w:rsidRDefault="00E50336" w:rsidP="00CB6E1D">
      <w:r>
        <w:pict>
          <v:rect id="_x0000_i3256" style="width:0;height:1.5pt" o:hralign="center" o:hrstd="t" o:hr="t" fillcolor="#a0a0a0" stroked="f"/>
        </w:pict>
      </w:r>
    </w:p>
    <w:p w:rsidR="00CB6E1D" w:rsidRDefault="00CB6E1D" w:rsidP="00CB6E1D">
      <w:pPr>
        <w:pStyle w:val="berschrift1"/>
      </w:pPr>
      <w:r>
        <w:t>3.3.45.157 Übergangsinvarianz und Symmetrieinvarianz sind verschieden</w:t>
      </w:r>
    </w:p>
    <w:p w:rsidR="00CB6E1D" w:rsidRDefault="00CB6E1D" w:rsidP="00CB6E1D">
      <w:pPr>
        <w:pStyle w:val="StandardWeb"/>
      </w:pPr>
      <w:r>
        <w:t>Die beiden Bedingungen lauten</w:t>
      </w:r>
    </w:p>
    <w:p w:rsidR="00CB6E1D" w:rsidRDefault="00CB6E1D" w:rsidP="00CB6E1D">
      <w:pPr>
        <w:pStyle w:val="StandardWeb"/>
      </w:pPr>
      <w:r>
        <w:t>[</w:t>
      </w:r>
      <w:r>
        <w:br/>
        <w:t>(z_i,z_j)\in\mathcal T_F</w:t>
      </w:r>
      <w:r>
        <w:br/>
        <w:t>\Rightarrow</w:t>
      </w:r>
      <w:r>
        <w:br/>
        <w:t>I_F(z_i)=I_F(z_j)</w:t>
      </w:r>
      <w:r>
        <w:br/>
      </w:r>
      <w:r>
        <w:lastRenderedPageBreak/>
        <w:t>\tag{3.10367}</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(z_i,z_j)\in\mathcal T_F\Rightarrow I_F(z_i)=I_F(z_j)</w:t>
      </w:r>
    </w:p>
    <w:p w:rsidR="00CB6E1D" w:rsidRDefault="00CB6E1D" w:rsidP="00CB6E1D">
      <w:pPr>
        <w:pStyle w:val="StandardWeb"/>
      </w:pPr>
      <w:r>
        <w:t>und</w:t>
      </w:r>
    </w:p>
    <w:p w:rsidR="00CB6E1D" w:rsidRDefault="00CB6E1D" w:rsidP="00CB6E1D">
      <w:pPr>
        <w:pStyle w:val="StandardWeb"/>
      </w:pPr>
      <w:r>
        <w:t>[</w:t>
      </w:r>
      <w:r>
        <w:br/>
        <w:t>Q_F(Sz)=Q_F(z).</w:t>
      </w:r>
      <w:r>
        <w:br/>
        <w:t>\tag{3.10368}</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Q_F(Sz)=Q_F(z)</w:t>
      </w:r>
    </w:p>
    <w:p w:rsidR="00CB6E1D" w:rsidRDefault="00CB6E1D" w:rsidP="00CB6E1D">
      <w:pPr>
        <w:pStyle w:val="StandardWeb"/>
      </w:pPr>
      <w:r>
        <w:t>Sie beziehen sich auf unterschiedliche Relationen: die erste auf dynamisch beziehungsweise strukturell zulässige Übergänge, die zweite auf Transformationen des Zustandsraumes.</w:t>
      </w:r>
    </w:p>
    <w:p w:rsidR="00CB6E1D" w:rsidRDefault="00CB6E1D" w:rsidP="00CB6E1D">
      <w:pPr>
        <w:pStyle w:val="StandardWeb"/>
      </w:pPr>
      <w:r>
        <w:t>Daher gilt im Allgemeinen</w:t>
      </w:r>
    </w:p>
    <w:p w:rsidR="00CB6E1D" w:rsidRDefault="00CB6E1D" w:rsidP="00CB6E1D">
      <w:pPr>
        <w:pStyle w:val="StandardWeb"/>
      </w:pPr>
      <w:r>
        <w:t>[</w:t>
      </w:r>
      <w:r>
        <w:br/>
        <w:t>\boxed{</w:t>
      </w:r>
      <w:r>
        <w:br/>
        <w:t>\operatorname{Inv}</w:t>
      </w:r>
      <w:r>
        <w:rPr>
          <w:rStyle w:val="Hervorhebung"/>
        </w:rPr>
        <w:t>{T}</w:t>
      </w:r>
      <w:r>
        <w:rPr>
          <w:i/>
          <w:iCs/>
        </w:rPr>
        <w:br/>
      </w:r>
      <w:r>
        <w:rPr>
          <w:rStyle w:val="Hervorhebung"/>
        </w:rPr>
        <w:t>\not\equiv</w:t>
      </w:r>
      <w:r>
        <w:rPr>
          <w:i/>
          <w:iCs/>
        </w:rPr>
        <w:br/>
      </w:r>
      <w:r>
        <w:rPr>
          <w:rStyle w:val="Hervorhebung"/>
        </w:rPr>
        <w:t>\operatorname{Inv}</w:t>
      </w:r>
      <w:r>
        <w:t>{S}.</w:t>
      </w:r>
      <w:r>
        <w:br/>
        <w:t>}</w:t>
      </w:r>
      <w:r>
        <w:br/>
        <w:t>\tag{3.10369}</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\boxed{\operatorname{Inv}_{T}\not\equiv\operatorname{Inv}_{S}.}</w:t>
      </w:r>
    </w:p>
    <w:p w:rsidR="00CB6E1D" w:rsidRDefault="00E50336" w:rsidP="00CB6E1D">
      <w:r>
        <w:pict>
          <v:rect id="_x0000_i3257" style="width:0;height:1.5pt" o:hralign="center" o:hrstd="t" o:hr="t" fillcolor="#a0a0a0" stroked="f"/>
        </w:pict>
      </w:r>
    </w:p>
    <w:p w:rsidR="00CB6E1D" w:rsidRDefault="00CB6E1D" w:rsidP="00CB6E1D">
      <w:pPr>
        <w:pStyle w:val="berschrift1"/>
      </w:pPr>
      <w:r>
        <w:t>3.3.45.158 Symmetrieinvarianz impliziert nicht automatisch Erhaltung entlang Übergängen</w:t>
      </w:r>
    </w:p>
    <w:p w:rsidR="00CB6E1D" w:rsidRDefault="00CB6E1D" w:rsidP="00CB6E1D">
      <w:pPr>
        <w:pStyle w:val="StandardWeb"/>
      </w:pPr>
      <w:r>
        <w:t>Eine Größe kann unter allen Symmetrien invariant sein, aber zwischen zwei durch (\mathcal T_F) verbundenen Zuständen unterschiedliche Werte besitzen.</w:t>
      </w:r>
    </w:p>
    <w:p w:rsidR="00CB6E1D" w:rsidRDefault="00CB6E1D" w:rsidP="00CB6E1D">
      <w:pPr>
        <w:pStyle w:val="StandardWeb"/>
      </w:pPr>
      <w:r>
        <w:t>Daher gilt ohne zusätzliche Struktur</w:t>
      </w:r>
    </w:p>
    <w:p w:rsidR="00CB6E1D" w:rsidRDefault="00CB6E1D" w:rsidP="00CB6E1D">
      <w:pPr>
        <w:pStyle w:val="StandardWeb"/>
      </w:pPr>
      <w:r>
        <w:t>[</w:t>
      </w:r>
      <w:r>
        <w:br/>
        <w:t>\boxed{</w:t>
      </w:r>
      <w:r>
        <w:br/>
        <w:t>\operatorname{Inv}</w:t>
      </w:r>
      <w:r>
        <w:rPr>
          <w:rStyle w:val="Hervorhebung"/>
        </w:rPr>
        <w:t>{S}(Q_F)</w:t>
      </w:r>
      <w:r>
        <w:rPr>
          <w:i/>
          <w:iCs/>
        </w:rPr>
        <w:br/>
      </w:r>
      <w:r>
        <w:rPr>
          <w:rStyle w:val="Hervorhebung"/>
        </w:rPr>
        <w:t>\nRightarrow</w:t>
      </w:r>
      <w:r>
        <w:rPr>
          <w:i/>
          <w:iCs/>
        </w:rPr>
        <w:br/>
      </w:r>
      <w:r>
        <w:rPr>
          <w:rStyle w:val="Hervorhebung"/>
        </w:rPr>
        <w:t>\operatorname{Inv}</w:t>
      </w:r>
      <w:r>
        <w:t>{T}(Q_F).</w:t>
      </w:r>
      <w:r>
        <w:br/>
      </w:r>
      <w:r>
        <w:lastRenderedPageBreak/>
        <w:t>}</w:t>
      </w:r>
      <w:r>
        <w:br/>
        <w:t>\tag{3.10370}</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\boxed{\operatorname{Inv}_{S}(Q_F)\nRightarrow\operatorname{Inv}_{T}(Q_F).}</w:t>
      </w:r>
    </w:p>
    <w:p w:rsidR="00CB6E1D" w:rsidRDefault="00E50336" w:rsidP="00CB6E1D">
      <w:r>
        <w:pict>
          <v:rect id="_x0000_i3258" style="width:0;height:1.5pt" o:hralign="center" o:hrstd="t" o:hr="t" fillcolor="#a0a0a0" stroked="f"/>
        </w:pict>
      </w:r>
    </w:p>
    <w:p w:rsidR="00CB6E1D" w:rsidRDefault="00CB6E1D" w:rsidP="00CB6E1D">
      <w:pPr>
        <w:pStyle w:val="berschrift1"/>
      </w:pPr>
      <w:r>
        <w:t>3.3.45.159 Übergangsinvarianz impliziert nicht automatisch Symmetrieinvarianz</w:t>
      </w:r>
    </w:p>
    <w:p w:rsidR="00CB6E1D" w:rsidRDefault="00CB6E1D" w:rsidP="00CB6E1D">
      <w:pPr>
        <w:pStyle w:val="StandardWeb"/>
      </w:pPr>
      <w:r>
        <w:t>Umgekehrt kann eine Größe entlang sämtlicher Übergänge invariant sein, aber unter einer Symmetrietransformation ihren Wert ändern, sofern die Symmetrie verschiedene funktionale Zusammenhangskomponenten vertauscht.</w:t>
      </w:r>
    </w:p>
    <w:p w:rsidR="00CB6E1D" w:rsidRDefault="00CB6E1D" w:rsidP="00CB6E1D">
      <w:pPr>
        <w:pStyle w:val="StandardWeb"/>
      </w:pPr>
      <w:r>
        <w:t>Damit gilt ebenfalls</w:t>
      </w:r>
    </w:p>
    <w:p w:rsidR="00CB6E1D" w:rsidRDefault="00CB6E1D" w:rsidP="00CB6E1D">
      <w:pPr>
        <w:pStyle w:val="StandardWeb"/>
      </w:pPr>
      <w:r>
        <w:t>[</w:t>
      </w:r>
      <w:r>
        <w:br/>
        <w:t>\boxed{</w:t>
      </w:r>
      <w:r>
        <w:br/>
        <w:t>\operatorname{Inv}</w:t>
      </w:r>
      <w:r>
        <w:rPr>
          <w:rStyle w:val="Hervorhebung"/>
        </w:rPr>
        <w:t>{T}(I_F)</w:t>
      </w:r>
      <w:r>
        <w:rPr>
          <w:i/>
          <w:iCs/>
        </w:rPr>
        <w:br/>
      </w:r>
      <w:r>
        <w:rPr>
          <w:rStyle w:val="Hervorhebung"/>
        </w:rPr>
        <w:t>\nRightarrow</w:t>
      </w:r>
      <w:r>
        <w:rPr>
          <w:i/>
          <w:iCs/>
        </w:rPr>
        <w:br/>
      </w:r>
      <w:r>
        <w:rPr>
          <w:rStyle w:val="Hervorhebung"/>
        </w:rPr>
        <w:t>\operatorname{Inv}</w:t>
      </w:r>
      <w:r>
        <w:t>{S}(I_F).</w:t>
      </w:r>
      <w:r>
        <w:br/>
        <w:t>}</w:t>
      </w:r>
      <w:r>
        <w:br/>
        <w:t>\tag{3.10371}</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\boxed{\operatorname{Inv}_{T}(I_F)\nRightarrow\operatorname{Inv}_{S}(I_F).}</w:t>
      </w:r>
    </w:p>
    <w:p w:rsidR="00CB6E1D" w:rsidRDefault="00E50336" w:rsidP="00CB6E1D">
      <w:r>
        <w:pict>
          <v:rect id="_x0000_i3259" style="width:0;height:1.5pt" o:hralign="center" o:hrstd="t" o:hr="t" fillcolor="#a0a0a0" stroked="f"/>
        </w:pict>
      </w:r>
    </w:p>
    <w:p w:rsidR="00CB6E1D" w:rsidRDefault="00CB6E1D" w:rsidP="00CB6E1D">
      <w:pPr>
        <w:pStyle w:val="berschrift1"/>
      </w:pPr>
      <w:r>
        <w:t>3.3.45.160 Keine Noether-Aussage aus den bisherigen Definitionen</w:t>
      </w:r>
    </w:p>
    <w:p w:rsidR="00CB6E1D" w:rsidRDefault="00CB6E1D" w:rsidP="00CB6E1D">
      <w:pPr>
        <w:pStyle w:val="StandardWeb"/>
      </w:pPr>
      <w:r>
        <w:t>Die bisher eingeführte Symmetriegruppe allein reicht somit nicht aus, um aus einer Symmetrie eine Erhaltungsgröße abzuleiten.</w:t>
      </w:r>
    </w:p>
    <w:p w:rsidR="00CB6E1D" w:rsidRDefault="00CB6E1D" w:rsidP="00CB6E1D">
      <w:pPr>
        <w:pStyle w:val="StandardWeb"/>
      </w:pPr>
      <w:r>
        <w:t>Insbesondere folgt aus</w:t>
      </w:r>
    </w:p>
    <w:p w:rsidR="00CB6E1D" w:rsidRDefault="00CB6E1D" w:rsidP="00CB6E1D">
      <w:pPr>
        <w:pStyle w:val="StandardWeb"/>
      </w:pPr>
      <w:r>
        <w:t>[</w:t>
      </w:r>
      <w:r>
        <w:br/>
        <w:t>S\in\mathfrak G_F</w:t>
      </w:r>
      <w:r>
        <w:br/>
        <w:t>\tag{3.10372}</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S\in\mathfrak G_F</w:t>
      </w:r>
    </w:p>
    <w:p w:rsidR="00CB6E1D" w:rsidRDefault="00CB6E1D" w:rsidP="00CB6E1D">
      <w:pPr>
        <w:pStyle w:val="StandardWeb"/>
      </w:pPr>
      <w:r>
        <w:lastRenderedPageBreak/>
        <w:t>nicht</w:t>
      </w:r>
    </w:p>
    <w:p w:rsidR="00CB6E1D" w:rsidRDefault="00CB6E1D" w:rsidP="00CB6E1D">
      <w:pPr>
        <w:pStyle w:val="StandardWeb"/>
      </w:pPr>
      <w:r>
        <w:t>[</w:t>
      </w:r>
      <w:r>
        <w:br/>
        <w:t>\exists I_F\not\equiv\mathrm{const}</w:t>
      </w:r>
      <w:r>
        <w:br/>
        <w:t>\tag{3.10373}</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\exists I_F\not\equiv\mathrm{const}</w:t>
      </w:r>
    </w:p>
    <w:p w:rsidR="00CB6E1D" w:rsidRDefault="00CB6E1D" w:rsidP="00CB6E1D">
      <w:pPr>
        <w:pStyle w:val="StandardWeb"/>
      </w:pPr>
      <w:r>
        <w:t>und erst recht nicht die Existenz einer physikalischen Erhaltungsgröße.</w:t>
      </w:r>
    </w:p>
    <w:p w:rsidR="00CB6E1D" w:rsidRDefault="00CB6E1D" w:rsidP="00CB6E1D">
      <w:pPr>
        <w:pStyle w:val="StandardWeb"/>
      </w:pPr>
      <w:r>
        <w:t>Damit gilt im gegenwärtigen FRZK-Stand</w:t>
      </w:r>
    </w:p>
    <w:p w:rsidR="00CB6E1D" w:rsidRDefault="00CB6E1D" w:rsidP="00CB6E1D">
      <w:pPr>
        <w:pStyle w:val="StandardWeb"/>
      </w:pPr>
      <w:r>
        <w:t>[</w:t>
      </w:r>
      <w:r>
        <w:br/>
        <w:t>\boxed{</w:t>
      </w:r>
      <w:r>
        <w:br/>
        <w:t>\text{funktionale Symmetrie}</w:t>
      </w:r>
      <w:r>
        <w:br/>
        <w:t>\nRightarrow</w:t>
      </w:r>
      <w:r>
        <w:br/>
        <w:t>\text{funktionales Erhaltungsgesetz}.</w:t>
      </w:r>
      <w:r>
        <w:br/>
        <w:t>}</w:t>
      </w:r>
      <w:r>
        <w:br/>
        <w:t>\tag{3.10374}</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\boxed{\text{funktionale Symmetrie}\nRightarrow\text{funktionales Erhaltungsgesetz}.}</w:t>
      </w:r>
    </w:p>
    <w:p w:rsidR="00CB6E1D" w:rsidRDefault="00E50336" w:rsidP="00CB6E1D">
      <w:r>
        <w:pict>
          <v:rect id="_x0000_i3260" style="width:0;height:1.5pt" o:hralign="center" o:hrstd="t" o:hr="t" fillcolor="#a0a0a0" stroked="f"/>
        </w:pict>
      </w:r>
    </w:p>
    <w:p w:rsidR="00CB6E1D" w:rsidRDefault="00CB6E1D" w:rsidP="00CB6E1D">
      <w:pPr>
        <w:pStyle w:val="berschrift1"/>
      </w:pPr>
      <w:r>
        <w:t>3.3.45.161 Vorläufige Noether-Grenze</w:t>
      </w:r>
    </w:p>
    <w:p w:rsidR="00CB6E1D" w:rsidRDefault="00CB6E1D" w:rsidP="00CB6E1D">
      <w:pPr>
        <w:pStyle w:val="StandardWeb"/>
      </w:pPr>
      <w:r>
        <w:t>Für eine Noether-artige Aussage wären zusätzliche Strukturen erforderlich, insbesondere eine kontinuierliche Transformationsgruppe, ein geeigneter differenzierbarer Zustandsraum, eine Dynamik beziehungsweise Variationsstruktur und eine präzise Definition dessen, was als erhaltene Größe gelten soll.</w:t>
      </w:r>
    </w:p>
    <w:p w:rsidR="00CB6E1D" w:rsidRDefault="00CB6E1D" w:rsidP="00CB6E1D">
      <w:pPr>
        <w:pStyle w:val="StandardWeb"/>
      </w:pPr>
      <w:r>
        <w:t>Ich fasse diese bislang fehlenden Voraussetzungen formal zusammen als</w:t>
      </w:r>
    </w:p>
    <w:p w:rsidR="00CB6E1D" w:rsidRDefault="00CB6E1D" w:rsidP="00CB6E1D">
      <w:pPr>
        <w:pStyle w:val="berschrift1"/>
      </w:pPr>
      <w:r>
        <w:t>[</w:t>
      </w:r>
      <w:r>
        <w:br/>
        <w:t>\mathcal N_F</w:t>
      </w:r>
    </w:p>
    <w:p w:rsidR="00CB6E1D" w:rsidRDefault="00CB6E1D" w:rsidP="00CB6E1D">
      <w:pPr>
        <w:pStyle w:val="StandardWeb"/>
      </w:pPr>
      <w:r>
        <w:t>\left(</w:t>
      </w:r>
      <w:r>
        <w:br/>
        <w:t>\mathfrak G_F^{\mathrm{cont}},</w:t>
      </w:r>
      <w:r>
        <w:br/>
        <w:t>\mathcal D_F,</w:t>
      </w:r>
      <w:r>
        <w:br/>
        <w:t>\mathcal L_F,</w:t>
      </w:r>
      <w:r>
        <w:br/>
        <w:t>\mathcal V_F</w:t>
      </w:r>
      <w:r>
        <w:br/>
        <w:t>\right).</w:t>
      </w:r>
      <w:r>
        <w:br/>
      </w:r>
      <w:r>
        <w:lastRenderedPageBreak/>
        <w:t>\tag{3.10375}</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\mathcal N_F=\left(\mathfrak G_F^{\mathrm{cont}},\mathcal D_F,\mathcal L_F,\mathcal V_F\right)</w:t>
      </w:r>
    </w:p>
    <w:p w:rsidR="00CB6E1D" w:rsidRDefault="00CB6E1D" w:rsidP="00CB6E1D">
      <w:pPr>
        <w:pStyle w:val="StandardWeb"/>
      </w:pPr>
      <w:r>
        <w:t>Keine dieser Strukturen ist durch die bisherige Primäraxiomatik universell vorgegeben.</w:t>
      </w:r>
    </w:p>
    <w:p w:rsidR="00CB6E1D" w:rsidRDefault="00E50336" w:rsidP="00CB6E1D">
      <w:r>
        <w:pict>
          <v:rect id="_x0000_i3261" style="width:0;height:1.5pt" o:hralign="center" o:hrstd="t" o:hr="t" fillcolor="#a0a0a0" stroked="f"/>
        </w:pict>
      </w:r>
    </w:p>
    <w:p w:rsidR="00CB6E1D" w:rsidRDefault="00CB6E1D" w:rsidP="00CB6E1D">
      <w:pPr>
        <w:pStyle w:val="berschrift1"/>
      </w:pPr>
      <w:r>
        <w:t>3.3.45.162 Keine unzulässige Übertragung des Noether-Theorems</w:t>
      </w:r>
    </w:p>
    <w:p w:rsidR="00CB6E1D" w:rsidRDefault="00CB6E1D" w:rsidP="00CB6E1D">
      <w:pPr>
        <w:pStyle w:val="StandardWeb"/>
      </w:pPr>
      <w:r>
        <w:t>Daher darf ich nicht schreiben</w:t>
      </w:r>
    </w:p>
    <w:p w:rsidR="00CB6E1D" w:rsidRDefault="00CB6E1D" w:rsidP="00CB6E1D">
      <w:pPr>
        <w:pStyle w:val="StandardWeb"/>
      </w:pPr>
      <w:r>
        <w:t>[</w:t>
      </w:r>
      <w:r>
        <w:br/>
        <w:t>\text{FRZK-Symmetrie}</w:t>
      </w:r>
      <w:r>
        <w:br/>
        <w:t>\Rightarrow</w:t>
      </w:r>
      <w:r>
        <w:br/>
        <w:t>\text{FRZK-Erhaltung}</w:t>
      </w:r>
      <w:r>
        <w:br/>
        <w:t>\tag{3.10376}</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\text{FRZK-Symmetrie}\Rightarrow\text{FRZK-Erhaltung}</w:t>
      </w:r>
    </w:p>
    <w:p w:rsidR="00CB6E1D" w:rsidRDefault="00CB6E1D" w:rsidP="00CB6E1D">
      <w:pPr>
        <w:pStyle w:val="StandardWeb"/>
      </w:pPr>
      <w:r>
        <w:t>als allgemeines Theorem.</w:t>
      </w:r>
    </w:p>
    <w:p w:rsidR="00CB6E1D" w:rsidRDefault="00CB6E1D" w:rsidP="00CB6E1D">
      <w:pPr>
        <w:pStyle w:val="StandardWeb"/>
      </w:pPr>
      <w:r>
        <w:t>Die korrekte Aussage lautet vielmehr</w:t>
      </w:r>
    </w:p>
    <w:p w:rsidR="00CB6E1D" w:rsidRDefault="00CB6E1D" w:rsidP="00CB6E1D">
      <w:pPr>
        <w:pStyle w:val="StandardWeb"/>
      </w:pPr>
      <w:r>
        <w:t>[</w:t>
      </w:r>
      <w:r>
        <w:br/>
        <w:t>\boxed{</w:t>
      </w:r>
      <w:r>
        <w:br/>
        <w:t>\text{Eine Noether-artige Beziehung ist im bisherigen FRZK-Rahmen nicht hergeleitet.}</w:t>
      </w:r>
      <w:r>
        <w:br/>
        <w:t>}</w:t>
      </w:r>
      <w:r>
        <w:br/>
        <w:t>\tag{3.10377}</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\boxed{\text{Eine Noether-artige Beziehung ist im bisherigen FRZK-Rahmen nicht hergeleitet.}}</w:t>
      </w:r>
    </w:p>
    <w:p w:rsidR="00CB6E1D" w:rsidRDefault="00E50336" w:rsidP="00CB6E1D">
      <w:r>
        <w:pict>
          <v:rect id="_x0000_i3262" style="width:0;height:1.5pt" o:hralign="center" o:hrstd="t" o:hr="t" fillcolor="#a0a0a0" stroked="f"/>
        </w:pict>
      </w:r>
    </w:p>
    <w:p w:rsidR="00CB6E1D" w:rsidRDefault="00CB6E1D" w:rsidP="00CB6E1D">
      <w:pPr>
        <w:pStyle w:val="berschrift1"/>
      </w:pPr>
      <w:r>
        <w:t>3.3.45.163 Status der Symmetriestruktur</w:t>
      </w:r>
    </w:p>
    <w:p w:rsidR="00CB6E1D" w:rsidRDefault="00CB6E1D" w:rsidP="00CB6E1D">
      <w:pPr>
        <w:pStyle w:val="StandardWeb"/>
      </w:pPr>
      <w:r>
        <w:t>Die eingeführte Übergangssymmetrie ist eine Definition:</w:t>
      </w:r>
    </w:p>
    <w:p w:rsidR="00CB6E1D" w:rsidRDefault="00CB6E1D" w:rsidP="00CB6E1D">
      <w:pPr>
        <w:pStyle w:val="berschrift1"/>
      </w:pPr>
      <w:r>
        <w:lastRenderedPageBreak/>
        <w:t>[</w:t>
      </w:r>
      <w:r>
        <w:br/>
        <w:t>\boxed{</w:t>
      </w:r>
      <w:r>
        <w:br/>
        <w:t>\operatorname{Stat}(\mathfrak G_F)</w:t>
      </w:r>
    </w:p>
    <w:p w:rsidR="00CB6E1D" w:rsidRDefault="00CB6E1D" w:rsidP="00CB6E1D">
      <w:pPr>
        <w:pStyle w:val="StandardWeb"/>
      </w:pPr>
      <w:r>
        <w:t>\mathrm{Def}.</w:t>
      </w:r>
      <w:r>
        <w:br/>
        <w:t>}</w:t>
      </w:r>
      <w:r>
        <w:br/>
        <w:t>\tag{3.10378}</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\boxed{\operatorname{Stat}(\mathfrak G_F)=\mathrm{Def}.}</w:t>
      </w:r>
    </w:p>
    <w:p w:rsidR="00CB6E1D" w:rsidRDefault="00CB6E1D" w:rsidP="00CB6E1D">
      <w:pPr>
        <w:pStyle w:val="StandardWeb"/>
      </w:pPr>
      <w:r>
        <w:t>Die Forderung, dass ein konkretes FRZK-Modell eine nichttriviale Symmetriegruppe besitzen müsse, wäre dagegen eine Modellannahme:</w:t>
      </w:r>
    </w:p>
    <w:p w:rsidR="00CB6E1D" w:rsidRDefault="00CB6E1D" w:rsidP="00CB6E1D">
      <w:pPr>
        <w:pStyle w:val="berschrift1"/>
      </w:pPr>
      <w:r>
        <w:t>[</w:t>
      </w:r>
      <w:r>
        <w:br/>
        <w:t>\boxed{</w:t>
      </w:r>
      <w:r>
        <w:br/>
        <w:t>\operatorname{Stat}</w:t>
      </w:r>
      <w:r>
        <w:br/>
        <w:t>\left(</w:t>
      </w:r>
      <w:r>
        <w:br/>
        <w:t>|\mathfrak G_F|&gt;1</w:t>
      </w:r>
      <w:r>
        <w:br/>
        <w:t>\right)</w:t>
      </w:r>
    </w:p>
    <w:p w:rsidR="00CB6E1D" w:rsidRDefault="00CB6E1D" w:rsidP="00CB6E1D">
      <w:pPr>
        <w:pStyle w:val="StandardWeb"/>
      </w:pPr>
      <w:r>
        <w:t>\mathrm{Mod}.</w:t>
      </w:r>
      <w:r>
        <w:br/>
        <w:t>}</w:t>
      </w:r>
      <w:r>
        <w:br/>
        <w:t>\tag{3.10379}</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\boxed{\operatorname{Stat}\left(|\mathfrak G_F|&gt;1\right)=\mathrm{Mod}.}</w:t>
      </w:r>
    </w:p>
    <w:p w:rsidR="00CB6E1D" w:rsidRDefault="00E50336" w:rsidP="00CB6E1D">
      <w:r>
        <w:pict>
          <v:rect id="_x0000_i3263" style="width:0;height:1.5pt" o:hralign="center" o:hrstd="t" o:hr="t" fillcolor="#a0a0a0" stroked="f"/>
        </w:pict>
      </w:r>
    </w:p>
    <w:p w:rsidR="00CB6E1D" w:rsidRDefault="00CB6E1D" w:rsidP="00CB6E1D">
      <w:pPr>
        <w:pStyle w:val="berschrift1"/>
      </w:pPr>
      <w:r>
        <w:t>3.3.45.164 Keine neue Primäraxiomatik durch die algebraische Erweiterung</w:t>
      </w:r>
    </w:p>
    <w:p w:rsidR="00CB6E1D" w:rsidRDefault="00CB6E1D" w:rsidP="00CB6E1D">
      <w:pPr>
        <w:pStyle w:val="StandardWeb"/>
      </w:pPr>
      <w:r>
        <w:t>Die algebraische Struktur der Invarianten und die Einführung funktionaler Symmetrien verändern die bisherige Axiomentscheidung nicht.</w:t>
      </w:r>
    </w:p>
    <w:p w:rsidR="00CB6E1D" w:rsidRDefault="00CB6E1D" w:rsidP="00CB6E1D">
      <w:pPr>
        <w:pStyle w:val="StandardWeb"/>
      </w:pPr>
      <w:r>
        <w:t>Es gilt weiterhin</w:t>
      </w:r>
    </w:p>
    <w:p w:rsidR="00CB6E1D" w:rsidRDefault="00CB6E1D" w:rsidP="00CB6E1D">
      <w:pPr>
        <w:pStyle w:val="StandardWeb"/>
      </w:pPr>
      <w:r>
        <w:t>[</w:t>
      </w:r>
      <w:r>
        <w:br/>
        <w:t>U_{\mathrm{Ax}}(A_I)=0</w:t>
      </w:r>
      <w:r>
        <w:br/>
      </w:r>
      <w:r>
        <w:lastRenderedPageBreak/>
        <w:t>\tag{3.10380}</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U_{\mathrm{Ax}}(A_I)=0</w:t>
      </w:r>
    </w:p>
    <w:p w:rsidR="00CB6E1D" w:rsidRDefault="00CB6E1D" w:rsidP="00CB6E1D">
      <w:pPr>
        <w:pStyle w:val="StandardWeb"/>
      </w:pPr>
      <w:r>
        <w:t>und</w:t>
      </w:r>
    </w:p>
    <w:p w:rsidR="00CB6E1D" w:rsidRDefault="00CB6E1D" w:rsidP="00CB6E1D">
      <w:pPr>
        <w:pStyle w:val="berschrift1"/>
      </w:pPr>
      <w:r>
        <w:t>[</w:t>
      </w:r>
      <w:r>
        <w:br/>
        <w:t>\boxed{</w:t>
      </w:r>
      <w:r>
        <w:br/>
        <w:t>\mathfrak A_{3.3.45}^{\mathrm{new}}</w:t>
      </w:r>
    </w:p>
    <w:p w:rsidR="00CB6E1D" w:rsidRDefault="00CB6E1D" w:rsidP="00CB6E1D">
      <w:pPr>
        <w:pStyle w:val="StandardWeb"/>
      </w:pPr>
      <w:r>
        <w:t>\varnothing.</w:t>
      </w:r>
      <w:r>
        <w:br/>
        <w:t>}</w:t>
      </w:r>
      <w:r>
        <w:br/>
        <w:t>\tag{3.10381}</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t>\boxed{\mathfrak A_{3.3.45}^{\mathrm{new}}=\varnothing.}</w:t>
      </w:r>
    </w:p>
    <w:p w:rsidR="00CB6E1D" w:rsidRDefault="00E50336" w:rsidP="00CB6E1D">
      <w:r>
        <w:pict>
          <v:rect id="_x0000_i3264" style="width:0;height:1.5pt" o:hralign="center" o:hrstd="t" o:hr="t" fillcolor="#a0a0a0" stroked="f"/>
        </w:pict>
      </w:r>
    </w:p>
    <w:p w:rsidR="00CB6E1D" w:rsidRDefault="00CB6E1D" w:rsidP="00CB6E1D">
      <w:pPr>
        <w:pStyle w:val="berschrift1"/>
      </w:pPr>
      <w:r>
        <w:t>3.3.45.165 Zwischenstruktur nach algebraischer und symmetrischer Erweiterung</w:t>
      </w:r>
    </w:p>
    <w:p w:rsidR="00CB6E1D" w:rsidRDefault="00CB6E1D" w:rsidP="00CB6E1D">
      <w:pPr>
        <w:pStyle w:val="StandardWeb"/>
      </w:pPr>
      <w:r>
        <w:t>Die bisher entwickelte Invarianzarchitektur kann nun erweitert werden zu</w:t>
      </w:r>
    </w:p>
    <w:p w:rsidR="00CB6E1D" w:rsidRDefault="00CB6E1D" w:rsidP="00CB6E1D">
      <w:pPr>
        <w:pStyle w:val="berschrift1"/>
      </w:pPr>
      <w:r>
        <w:t>[</w:t>
      </w:r>
      <w:r>
        <w:br/>
        <w:t>\mathfrak I_{F,2}</w:t>
      </w:r>
    </w:p>
    <w:p w:rsidR="00CB6E1D" w:rsidRDefault="00CB6E1D" w:rsidP="00CB6E1D">
      <w:pPr>
        <w:pStyle w:val="StandardWeb"/>
      </w:pPr>
      <w:r>
        <w:t>\left(</w:t>
      </w:r>
      <w:r>
        <w:br/>
        <w:t>\mathfrak I_{F,1},</w:t>
      </w:r>
      <w:r>
        <w:br/>
        <w:t>\mathfrak V_I,</w:t>
      </w:r>
      <w:r>
        <w:br/>
        <w:t>\mathfrak A_I,</w:t>
      </w:r>
      <w:r>
        <w:br/>
        <w:t>\mathcal I_F/{\sim_I},</w:t>
      </w:r>
      <w:r>
        <w:br/>
        <w:t>\mathbf I_F,</w:t>
      </w:r>
      <w:r>
        <w:br/>
        <w:t>I_{\mathrm{class}},</w:t>
      </w:r>
      <w:r>
        <w:br/>
        <w:t>\mathfrak G_F</w:t>
      </w:r>
      <w:r>
        <w:br/>
        <w:t>\right).</w:t>
      </w:r>
      <w:r>
        <w:br/>
        <w:t>\tag{3.10382}</w:t>
      </w:r>
      <w:r>
        <w:br/>
        <w:t>]</w:t>
      </w:r>
    </w:p>
    <w:p w:rsidR="00CB6E1D" w:rsidRDefault="00CB6E1D" w:rsidP="00CB6E1D">
      <w:pPr>
        <w:pStyle w:val="StandardWeb"/>
      </w:pPr>
      <w:r>
        <w:rPr>
          <w:rStyle w:val="Fett"/>
        </w:rPr>
        <w:t>Word-LaTeX</w:t>
      </w:r>
    </w:p>
    <w:p w:rsidR="00CB6E1D" w:rsidRDefault="00CB6E1D" w:rsidP="00CB6E1D">
      <w:pPr>
        <w:pStyle w:val="HTMLVorformatiert"/>
        <w:rPr>
          <w:rStyle w:val="HTMLCode"/>
        </w:rPr>
      </w:pPr>
      <w:r>
        <w:rPr>
          <w:rStyle w:val="HTMLCode"/>
        </w:rPr>
        <w:lastRenderedPageBreak/>
        <w:t>\mathfrak I_{F,2}=\left(\mathfrak I_{F,1},\mathfrak V_I,\mathfrak A_I,\mathcal I_F/{\sim_I},\mathbf I_F,I_{\mathrm{class}},\mathfrak G_F\right)</w:t>
      </w:r>
    </w:p>
    <w:p w:rsidR="00CB6E1D" w:rsidRDefault="00CB6E1D" w:rsidP="00CB6E1D">
      <w:pPr>
        <w:pStyle w:val="StandardWeb"/>
      </w:pPr>
      <w:r>
        <w:t>Diese Struktur enthält weiterhin keine universelle physikalische Erhaltungsbehauptung.</w:t>
      </w:r>
    </w:p>
    <w:p w:rsidR="00CB6E1D" w:rsidRDefault="00E50336" w:rsidP="00CB6E1D">
      <w:r>
        <w:pict>
          <v:rect id="_x0000_i3265" style="width:0;height:1.5pt" o:hralign="center" o:hrstd="t" o:hr="t" fillcolor="#a0a0a0" stroked="f"/>
        </w:pict>
      </w:r>
    </w:p>
    <w:p w:rsidR="00CB6E1D" w:rsidRDefault="00CB6E1D" w:rsidP="00CB6E1D">
      <w:pPr>
        <w:pStyle w:val="berschrift1"/>
      </w:pPr>
      <w:r>
        <w:t>3.3.45.166 Noch kein Abschluss von 3.3.45</w:t>
      </w:r>
    </w:p>
    <w:p w:rsidR="00CB6E1D" w:rsidRDefault="00CB6E1D" w:rsidP="00CB6E1D">
      <w:pPr>
        <w:pStyle w:val="StandardWeb"/>
      </w:pPr>
      <w:r>
        <w:t xml:space="preserve">Abschnitt </w:t>
      </w:r>
      <w:r>
        <w:rPr>
          <w:rStyle w:val="Fett"/>
        </w:rPr>
        <w:t>3.3.45 ist weiterhin nicht abgeschlossen</w:t>
      </w:r>
      <w:r>
        <w:t>.</w:t>
      </w:r>
    </w:p>
    <w:p w:rsidR="00CB6E1D" w:rsidRDefault="00CB6E1D" w:rsidP="00CB6E1D">
      <w:pPr>
        <w:pStyle w:val="StandardWeb"/>
      </w:pPr>
      <w:r>
        <w:t xml:space="preserve">Als nächstes muss ich die Symmetriestruktur tiefer prüfen: insbesondere Symmetrieorbits und deren Verhältnis zu funktionalen Zusammenhangskomponenten, Stabilisatorgruppen, Quotienten unter Symmetrien, kontinuierliche Symmetriegruppen als </w:t>
      </w:r>
      <w:r>
        <w:rPr>
          <w:rStyle w:val="Fett"/>
        </w:rPr>
        <w:t>optionale Modellstruktur</w:t>
      </w:r>
      <w:r>
        <w:t xml:space="preserve"> sowie die genaue Frage, welche zusätzlichen Voraussetzungen für eine überhaupt sinnvoll formulierbare Noether-artige FRZK-Aussage notwendig wären.</w:t>
      </w:r>
    </w:p>
    <w:p w:rsidR="00CB6E1D" w:rsidRDefault="00CB6E1D" w:rsidP="00CB6E1D">
      <w:pPr>
        <w:pStyle w:val="StandardWeb"/>
      </w:pPr>
      <w:r>
        <w:t xml:space="preserve">Dabei darf eine solche Beziehung nur als </w:t>
      </w:r>
      <w:r>
        <w:rPr>
          <w:rStyle w:val="Fett"/>
        </w:rPr>
        <w:t>bedingter Satz innerhalb einer speziellen Modellklasse</w:t>
      </w:r>
      <w:r>
        <w:t xml:space="preserve"> eingeführt werden, wenn ihre Voraussetzungen vollständig angegeben und tatsächlich hergeleitet werden können. Sie darf nicht rückwirkend zum Primäraxiom erklärt werden.</w:t>
      </w:r>
    </w:p>
    <w:p w:rsidR="00CB6E1D" w:rsidRDefault="00CB6E1D" w:rsidP="00CB6E1D">
      <w:pPr>
        <w:pStyle w:val="StandardWeb"/>
      </w:pPr>
      <w:r>
        <w:t xml:space="preserve">Der nächste Teil beginnt daher bei </w:t>
      </w:r>
      <w:r>
        <w:rPr>
          <w:rStyle w:val="Fett"/>
        </w:rPr>
        <w:t>3.3.45.167 / Gleichung (3.10383)</w:t>
      </w:r>
      <w:r>
        <w:t xml:space="preserve"> mit der Untersuchung der </w:t>
      </w:r>
      <w:r>
        <w:rPr>
          <w:rStyle w:val="Fett"/>
        </w:rPr>
        <w:t>Symmetrieorbits, Stabilisatoren und der Abgrenzung zwischen diskreter struktureller Symmetrie und kontinuierlicher dynamischer Symmetrie</w:t>
      </w:r>
      <w:r>
        <w:t>.</w:t>
      </w:r>
    </w:p>
    <w:p w:rsidR="0068496A" w:rsidRDefault="0068496A" w:rsidP="0068496A">
      <w:pPr>
        <w:pStyle w:val="berschrift1"/>
        <w:rPr>
          <w:rFonts w:cs="Times New Roman"/>
          <w:sz w:val="48"/>
          <w:szCs w:val="48"/>
        </w:rPr>
      </w:pPr>
      <w:r>
        <w:t>3.3.45.167 Symmetrieorbits und Stabilisatoren</w:t>
      </w:r>
    </w:p>
    <w:p w:rsidR="0068496A" w:rsidRDefault="0068496A" w:rsidP="0068496A">
      <w:pPr>
        <w:pStyle w:val="StandardWeb"/>
      </w:pPr>
      <w:r>
        <w:t>Nachdem ich die funktionale Symmetriegruppe (\mathfrak G_F(\mathcal M)) eingeführt habe, untersuche ich nun genauer, wie diese Gruppe den Zustandsraum strukturiert. Dazu muss ich zwischen Zuständen unterscheiden, die durch Symmetrietransformationen ineinander überführt werden können, und solchen, die unter bestimmten Transformationen unverändert bleiben.</w:t>
      </w:r>
    </w:p>
    <w:p w:rsidR="0068496A" w:rsidRDefault="0068496A" w:rsidP="0068496A">
      <w:pPr>
        <w:pStyle w:val="StandardWeb"/>
      </w:pPr>
      <w:r>
        <w:t>Für einen Zustand (z\in\Omega_F) ist der bereits definierte Symmetrieorbit</w:t>
      </w:r>
    </w:p>
    <w:p w:rsidR="0068496A" w:rsidRDefault="0068496A" w:rsidP="0068496A">
      <w:pPr>
        <w:pStyle w:val="berschrift1"/>
      </w:pPr>
      <w:r>
        <w:t>[</w:t>
      </w:r>
      <w:r>
        <w:br/>
        <w:t>\mathcal O_S(z)</w:t>
      </w:r>
    </w:p>
    <w:p w:rsidR="0068496A" w:rsidRDefault="0068496A" w:rsidP="0068496A">
      <w:pPr>
        <w:pStyle w:val="StandardWeb"/>
      </w:pPr>
      <w:r>
        <w:t>\left{</w:t>
      </w:r>
      <w:r>
        <w:br/>
        <w:t>S(z):</w:t>
      </w:r>
      <w:r>
        <w:br/>
        <w:t>S\in\mathfrak G_F</w:t>
      </w:r>
      <w:r>
        <w:br/>
        <w:t>\right}.</w:t>
      </w:r>
      <w:r>
        <w:br/>
        <w:t>\tag{3.10383}</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lastRenderedPageBreak/>
        <w:t>\mathcal O_S(z)=\left\{S(z):S\in\mathfrak G_F\right\}</w:t>
      </w:r>
    </w:p>
    <w:p w:rsidR="0068496A" w:rsidRDefault="0068496A" w:rsidP="0068496A">
      <w:pPr>
        <w:pStyle w:val="StandardWeb"/>
      </w:pPr>
      <w:r>
        <w:t>Der Orbit enthält damit sämtliche Zustände, die aus (z) ausschließlich durch funktionale Übergangssymmetrien erzeugt werden können.</w:t>
      </w:r>
    </w:p>
    <w:p w:rsidR="0068496A" w:rsidRDefault="00E50336" w:rsidP="0068496A">
      <w:r>
        <w:pict>
          <v:rect id="_x0000_i3266" style="width:0;height:1.5pt" o:hralign="center" o:hrstd="t" o:hr="t" fillcolor="#a0a0a0" stroked="f"/>
        </w:pict>
      </w:r>
    </w:p>
    <w:p w:rsidR="0068496A" w:rsidRDefault="0068496A" w:rsidP="0068496A">
      <w:pPr>
        <w:pStyle w:val="berschrift1"/>
      </w:pPr>
      <w:r>
        <w:t>3.3.45.168 Orbitrelation</w:t>
      </w:r>
    </w:p>
    <w:p w:rsidR="0068496A" w:rsidRDefault="0068496A" w:rsidP="0068496A">
      <w:pPr>
        <w:pStyle w:val="StandardWeb"/>
      </w:pPr>
      <w:r>
        <w:t>Ich definiere zunächst eine Relation</w:t>
      </w:r>
    </w:p>
    <w:p w:rsidR="0068496A" w:rsidRDefault="0068496A" w:rsidP="0068496A">
      <w:pPr>
        <w:pStyle w:val="StandardWeb"/>
      </w:pPr>
      <w:r>
        <w:t>[</w:t>
      </w:r>
      <w:r>
        <w:br/>
        <w:t>z_i\sim_S z_j</w:t>
      </w:r>
      <w:r>
        <w:br/>
        <w:t>\tag{3.10384}</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z_i\sim_S z_j</w:t>
      </w:r>
    </w:p>
    <w:p w:rsidR="0068496A" w:rsidRDefault="0068496A" w:rsidP="0068496A">
      <w:pPr>
        <w:pStyle w:val="StandardWeb"/>
      </w:pPr>
      <w:r>
        <w:t>durch</w:t>
      </w:r>
    </w:p>
    <w:p w:rsidR="0068496A" w:rsidRDefault="0068496A" w:rsidP="0068496A">
      <w:pPr>
        <w:pStyle w:val="StandardWeb"/>
      </w:pPr>
      <w:r>
        <w:t>[</w:t>
      </w:r>
      <w:r>
        <w:br/>
        <w:t>z_i\sim_S z_j</w:t>
      </w:r>
      <w:r>
        <w:br/>
        <w:t>\Longleftrightarrow</w:t>
      </w:r>
      <w:r>
        <w:br/>
        <w:t>\exists S\in\mathfrak G_F:</w:t>
      </w:r>
      <w:r>
        <w:br/>
        <w:t>S(z_i)=z_j.</w:t>
      </w:r>
      <w:r>
        <w:br/>
        <w:t>\tag{3.10385}</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z_i\sim_S z_j\Longleftrightarrow\exists S\in\mathfrak G_F:S(z_i)=z_j</w:t>
      </w:r>
    </w:p>
    <w:p w:rsidR="0068496A" w:rsidRDefault="0068496A" w:rsidP="0068496A">
      <w:pPr>
        <w:pStyle w:val="StandardWeb"/>
      </w:pPr>
      <w:r>
        <w:t>Diese Relation beschreibt nicht funktionale Übergänge, sondern reine Symmetrieäquivalenz.</w:t>
      </w:r>
    </w:p>
    <w:p w:rsidR="0068496A" w:rsidRDefault="00E50336" w:rsidP="0068496A">
      <w:r>
        <w:pict>
          <v:rect id="_x0000_i3267" style="width:0;height:1.5pt" o:hralign="center" o:hrstd="t" o:hr="t" fillcolor="#a0a0a0" stroked="f"/>
        </w:pict>
      </w:r>
    </w:p>
    <w:p w:rsidR="0068496A" w:rsidRDefault="0068496A" w:rsidP="0068496A">
      <w:pPr>
        <w:pStyle w:val="berschrift1"/>
      </w:pPr>
      <w:r>
        <w:t>3.3.45.169 Reflexivität der Orbitrelation</w:t>
      </w:r>
    </w:p>
    <w:p w:rsidR="0068496A" w:rsidRDefault="0068496A" w:rsidP="0068496A">
      <w:pPr>
        <w:pStyle w:val="StandardWeb"/>
      </w:pPr>
      <w:r>
        <w:t>Da die Identität</w:t>
      </w:r>
    </w:p>
    <w:p w:rsidR="0068496A" w:rsidRDefault="0068496A" w:rsidP="0068496A">
      <w:pPr>
        <w:pStyle w:val="StandardWeb"/>
      </w:pPr>
      <w:r>
        <w:t>[</w:t>
      </w:r>
      <w:r>
        <w:br/>
        <w:t>\operatorname{id}_{\Omega_F}</w:t>
      </w:r>
      <w:r>
        <w:br/>
        <w:t>\in</w:t>
      </w:r>
      <w:r>
        <w:br/>
        <w:t>\mathfrak G_F</w:t>
      </w:r>
      <w:r>
        <w:br/>
        <w:t>\tag{3.10386}</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lastRenderedPageBreak/>
        <w:t>\operatorname{id}_{\Omega_F}\in\mathfrak G_F</w:t>
      </w:r>
    </w:p>
    <w:p w:rsidR="0068496A" w:rsidRDefault="0068496A" w:rsidP="0068496A">
      <w:pPr>
        <w:pStyle w:val="StandardWeb"/>
      </w:pPr>
      <w:r>
        <w:t>gilt, folgt für jeden Zustand</w:t>
      </w:r>
    </w:p>
    <w:p w:rsidR="0068496A" w:rsidRDefault="0068496A" w:rsidP="0068496A">
      <w:pPr>
        <w:pStyle w:val="StandardWeb"/>
      </w:pPr>
      <w:r>
        <w:t>[</w:t>
      </w:r>
      <w:r>
        <w:br/>
        <w:t>\operatorname{id}_{\Omega_F}(z)=z.</w:t>
      </w:r>
      <w:r>
        <w:br/>
        <w:t>\tag{3.10387}</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\operatorname{id}_{\Omega_F}(z)=z</w:t>
      </w:r>
    </w:p>
    <w:p w:rsidR="0068496A" w:rsidRDefault="0068496A" w:rsidP="0068496A">
      <w:pPr>
        <w:pStyle w:val="StandardWeb"/>
      </w:pPr>
      <w:r>
        <w:t>Damit ist</w:t>
      </w:r>
    </w:p>
    <w:p w:rsidR="0068496A" w:rsidRDefault="0068496A" w:rsidP="0068496A">
      <w:pPr>
        <w:pStyle w:val="StandardWeb"/>
      </w:pPr>
      <w:r>
        <w:t>[</w:t>
      </w:r>
      <w:r>
        <w:br/>
        <w:t>z\sim_S z.</w:t>
      </w:r>
      <w:r>
        <w:br/>
        <w:t>\tag{3.10388}</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z\sim_S z</w:t>
      </w:r>
    </w:p>
    <w:p w:rsidR="0068496A" w:rsidRDefault="00E50336" w:rsidP="0068496A">
      <w:r>
        <w:pict>
          <v:rect id="_x0000_i3268" style="width:0;height:1.5pt" o:hralign="center" o:hrstd="t" o:hr="t" fillcolor="#a0a0a0" stroked="f"/>
        </w:pict>
      </w:r>
    </w:p>
    <w:p w:rsidR="0068496A" w:rsidRDefault="0068496A" w:rsidP="0068496A">
      <w:pPr>
        <w:pStyle w:val="berschrift1"/>
      </w:pPr>
      <w:r>
        <w:t>3.3.45.170 Symmetrie der Orbitrelation</w:t>
      </w:r>
    </w:p>
    <w:p w:rsidR="0068496A" w:rsidRDefault="0068496A" w:rsidP="0068496A">
      <w:pPr>
        <w:pStyle w:val="StandardWeb"/>
      </w:pPr>
      <w:r>
        <w:t>Gilt</w:t>
      </w:r>
    </w:p>
    <w:p w:rsidR="0068496A" w:rsidRDefault="0068496A" w:rsidP="0068496A">
      <w:pPr>
        <w:pStyle w:val="StandardWeb"/>
      </w:pPr>
      <w:r>
        <w:t>[</w:t>
      </w:r>
      <w:r>
        <w:br/>
        <w:t>z_i\sim_S z_j,</w:t>
      </w:r>
      <w:r>
        <w:br/>
        <w:t>\tag{3.10389}</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z_i\sim_S z_j</w:t>
      </w:r>
    </w:p>
    <w:p w:rsidR="0068496A" w:rsidRDefault="0068496A" w:rsidP="0068496A">
      <w:pPr>
        <w:pStyle w:val="StandardWeb"/>
      </w:pPr>
      <w:r>
        <w:t>so existiert ein (S\in\mathfrak G_F) mit</w:t>
      </w:r>
    </w:p>
    <w:p w:rsidR="0068496A" w:rsidRDefault="0068496A" w:rsidP="0068496A">
      <w:pPr>
        <w:pStyle w:val="StandardWeb"/>
      </w:pPr>
      <w:r>
        <w:t>[</w:t>
      </w:r>
      <w:r>
        <w:br/>
        <w:t>S(z_i)=z_j.</w:t>
      </w:r>
      <w:r>
        <w:br/>
        <w:t>\tag{3.10390}</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S(z_i)=z_j</w:t>
      </w:r>
    </w:p>
    <w:p w:rsidR="0068496A" w:rsidRDefault="0068496A" w:rsidP="0068496A">
      <w:pPr>
        <w:pStyle w:val="StandardWeb"/>
      </w:pPr>
      <w:r>
        <w:t>Da (S) invertierbar ist und (S^{-1}\in\mathfrak G_F) gilt,</w:t>
      </w:r>
    </w:p>
    <w:p w:rsidR="0068496A" w:rsidRDefault="0068496A" w:rsidP="0068496A">
      <w:pPr>
        <w:pStyle w:val="StandardWeb"/>
      </w:pPr>
      <w:r>
        <w:lastRenderedPageBreak/>
        <w:t>[</w:t>
      </w:r>
      <w:r>
        <w:br/>
        <w:t>S^{-1}(z_j)=z_i.</w:t>
      </w:r>
      <w:r>
        <w:br/>
        <w:t>\tag{3.10391}</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S^{-1}(z_j)=z_i</w:t>
      </w:r>
    </w:p>
    <w:p w:rsidR="0068496A" w:rsidRDefault="0068496A" w:rsidP="0068496A">
      <w:pPr>
        <w:pStyle w:val="StandardWeb"/>
      </w:pPr>
      <w:r>
        <w:t>Somit gilt</w:t>
      </w:r>
    </w:p>
    <w:p w:rsidR="0068496A" w:rsidRDefault="0068496A" w:rsidP="0068496A">
      <w:pPr>
        <w:pStyle w:val="StandardWeb"/>
      </w:pPr>
      <w:r>
        <w:t>[</w:t>
      </w:r>
      <w:r>
        <w:br/>
        <w:t>z_j\sim_S z_i.</w:t>
      </w:r>
      <w:r>
        <w:br/>
        <w:t>\tag{3.10392}</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z_j\sim_S z_i</w:t>
      </w:r>
    </w:p>
    <w:p w:rsidR="0068496A" w:rsidRDefault="00E50336" w:rsidP="0068496A">
      <w:r>
        <w:pict>
          <v:rect id="_x0000_i3269" style="width:0;height:1.5pt" o:hralign="center" o:hrstd="t" o:hr="t" fillcolor="#a0a0a0" stroked="f"/>
        </w:pict>
      </w:r>
    </w:p>
    <w:p w:rsidR="0068496A" w:rsidRDefault="0068496A" w:rsidP="0068496A">
      <w:pPr>
        <w:pStyle w:val="berschrift1"/>
      </w:pPr>
      <w:r>
        <w:t>3.3.45.171 Transitivität der Orbitrelation</w:t>
      </w:r>
    </w:p>
    <w:p w:rsidR="0068496A" w:rsidRDefault="0068496A" w:rsidP="0068496A">
      <w:pPr>
        <w:pStyle w:val="StandardWeb"/>
      </w:pPr>
      <w:r>
        <w:t>Seien</w:t>
      </w:r>
    </w:p>
    <w:p w:rsidR="0068496A" w:rsidRDefault="0068496A" w:rsidP="0068496A">
      <w:pPr>
        <w:pStyle w:val="StandardWeb"/>
      </w:pPr>
      <w:r>
        <w:t>[</w:t>
      </w:r>
      <w:r>
        <w:br/>
        <w:t>z_i\sim_S z_j</w:t>
      </w:r>
      <w:r>
        <w:br/>
        <w:t>\tag{3.10393}</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z_i\sim_S z_j</w:t>
      </w:r>
    </w:p>
    <w:p w:rsidR="0068496A" w:rsidRDefault="0068496A" w:rsidP="0068496A">
      <w:pPr>
        <w:pStyle w:val="StandardWeb"/>
      </w:pPr>
      <w:r>
        <w:t>und</w:t>
      </w:r>
    </w:p>
    <w:p w:rsidR="0068496A" w:rsidRDefault="0068496A" w:rsidP="0068496A">
      <w:pPr>
        <w:pStyle w:val="StandardWeb"/>
      </w:pPr>
      <w:r>
        <w:t>[</w:t>
      </w:r>
      <w:r>
        <w:br/>
        <w:t>z_j\sim_S z_k.</w:t>
      </w:r>
      <w:r>
        <w:br/>
        <w:t>\tag{3.10394}</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z_j\sim_S z_k</w:t>
      </w:r>
    </w:p>
    <w:p w:rsidR="0068496A" w:rsidRDefault="0068496A" w:rsidP="0068496A">
      <w:pPr>
        <w:pStyle w:val="StandardWeb"/>
      </w:pPr>
      <w:r>
        <w:t>Dann existieren (S_1,S_2\in\mathfrak G_F) mit</w:t>
      </w:r>
    </w:p>
    <w:p w:rsidR="0068496A" w:rsidRDefault="0068496A" w:rsidP="0068496A">
      <w:pPr>
        <w:pStyle w:val="StandardWeb"/>
      </w:pPr>
      <w:r>
        <w:t>[</w:t>
      </w:r>
      <w:r>
        <w:br/>
        <w:t>S_1(z_i)=z_j</w:t>
      </w:r>
      <w:r>
        <w:br/>
        <w:t>\tag{3.10395}</w:t>
      </w:r>
      <w:r>
        <w:br/>
        <w:t>]</w:t>
      </w:r>
    </w:p>
    <w:p w:rsidR="0068496A" w:rsidRDefault="0068496A" w:rsidP="0068496A">
      <w:pPr>
        <w:pStyle w:val="StandardWeb"/>
      </w:pPr>
      <w:r>
        <w:rPr>
          <w:rStyle w:val="Fett"/>
        </w:rPr>
        <w:lastRenderedPageBreak/>
        <w:t>Word-LaTeX</w:t>
      </w:r>
    </w:p>
    <w:p w:rsidR="0068496A" w:rsidRDefault="0068496A" w:rsidP="0068496A">
      <w:pPr>
        <w:pStyle w:val="HTMLVorformatiert"/>
        <w:rPr>
          <w:rStyle w:val="HTMLCode"/>
        </w:rPr>
      </w:pPr>
      <w:r>
        <w:rPr>
          <w:rStyle w:val="HTMLCode"/>
        </w:rPr>
        <w:t>S_1(z_i)=z_j</w:t>
      </w:r>
    </w:p>
    <w:p w:rsidR="0068496A" w:rsidRDefault="0068496A" w:rsidP="0068496A">
      <w:pPr>
        <w:pStyle w:val="StandardWeb"/>
      </w:pPr>
      <w:r>
        <w:t>und</w:t>
      </w:r>
    </w:p>
    <w:p w:rsidR="0068496A" w:rsidRDefault="0068496A" w:rsidP="0068496A">
      <w:pPr>
        <w:pStyle w:val="StandardWeb"/>
      </w:pPr>
      <w:r>
        <w:t>[</w:t>
      </w:r>
      <w:r>
        <w:br/>
        <w:t>S_2(z_j)=z_k.</w:t>
      </w:r>
      <w:r>
        <w:br/>
        <w:t>\tag{3.10396}</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S_2(z_j)=z_k</w:t>
      </w:r>
    </w:p>
    <w:p w:rsidR="0068496A" w:rsidRDefault="0068496A" w:rsidP="0068496A">
      <w:pPr>
        <w:pStyle w:val="StandardWeb"/>
      </w:pPr>
      <w:r>
        <w:t>Damit folgt</w:t>
      </w:r>
    </w:p>
    <w:p w:rsidR="0068496A" w:rsidRDefault="0068496A" w:rsidP="0068496A">
      <w:pPr>
        <w:pStyle w:val="StandardWeb"/>
      </w:pPr>
      <w:r>
        <w:t>[</w:t>
      </w:r>
      <w:r>
        <w:br/>
        <w:t>(S_2\circ S_1)(z_i)=z_k.</w:t>
      </w:r>
      <w:r>
        <w:br/>
        <w:t>\tag{3.10397}</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(S_2\circ S_1)(z_i)=z_k</w:t>
      </w:r>
    </w:p>
    <w:p w:rsidR="0068496A" w:rsidRDefault="0068496A" w:rsidP="0068496A">
      <w:pPr>
        <w:pStyle w:val="StandardWeb"/>
      </w:pPr>
      <w:r>
        <w:t>Da (S_2\circ S_1\in\mathfrak G_F), gilt</w:t>
      </w:r>
    </w:p>
    <w:p w:rsidR="0068496A" w:rsidRDefault="0068496A" w:rsidP="0068496A">
      <w:pPr>
        <w:pStyle w:val="StandardWeb"/>
      </w:pPr>
      <w:r>
        <w:t>[</w:t>
      </w:r>
      <w:r>
        <w:br/>
        <w:t>z_i\sim_S z_k.</w:t>
      </w:r>
      <w:r>
        <w:br/>
        <w:t>\tag{3.10398}</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z_i\sim_S z_k</w:t>
      </w:r>
    </w:p>
    <w:p w:rsidR="0068496A" w:rsidRDefault="00E50336" w:rsidP="0068496A">
      <w:r>
        <w:pict>
          <v:rect id="_x0000_i3270" style="width:0;height:1.5pt" o:hralign="center" o:hrstd="t" o:hr="t" fillcolor="#a0a0a0" stroked="f"/>
        </w:pict>
      </w:r>
    </w:p>
    <w:p w:rsidR="0068496A" w:rsidRDefault="0068496A" w:rsidP="0068496A">
      <w:pPr>
        <w:pStyle w:val="berschrift1"/>
      </w:pPr>
      <w:r>
        <w:t>3.3.45.172 Satz 3.3.56 – Orbitrelation als Äquivalenzrelation</w:t>
      </w:r>
    </w:p>
    <w:p w:rsidR="0068496A" w:rsidRDefault="0068496A" w:rsidP="0068496A">
      <w:pPr>
        <w:pStyle w:val="berschrift3"/>
      </w:pPr>
      <w:r>
        <w:t>Satz 3.3.56</w:t>
      </w:r>
    </w:p>
    <w:p w:rsidR="0068496A" w:rsidRDefault="0068496A" w:rsidP="0068496A">
      <w:pPr>
        <w:pStyle w:val="StandardWeb"/>
      </w:pPr>
      <w:r>
        <w:t>Die durch die funktionale Symmetriegruppe induzierte Relation (\sim_S) ist eine Äquivalenzrelation auf (\Omega_F):</w:t>
      </w:r>
    </w:p>
    <w:p w:rsidR="0068496A" w:rsidRDefault="0068496A" w:rsidP="0068496A">
      <w:pPr>
        <w:pStyle w:val="StandardWeb"/>
      </w:pPr>
      <w:r>
        <w:t>[</w:t>
      </w:r>
      <w:r>
        <w:br/>
        <w:t>\boxed{</w:t>
      </w:r>
      <w:r>
        <w:br/>
        <w:t>\sim_S</w:t>
      </w:r>
      <w:r>
        <w:br/>
        <w:t>\text{ ist reflexiv, symmetrisch und transitiv.}</w:t>
      </w:r>
      <w:r>
        <w:br/>
      </w:r>
      <w:r>
        <w:lastRenderedPageBreak/>
        <w:t>}</w:t>
      </w:r>
      <w:r>
        <w:br/>
        <w:t>\tag{3.10399}</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\boxed{\sim_S\text{ ist reflexiv, symmetrisch und transitiv.}}</w:t>
      </w:r>
    </w:p>
    <w:p w:rsidR="0068496A" w:rsidRDefault="0068496A" w:rsidP="0068496A">
      <w:pPr>
        <w:pStyle w:val="berschrift3"/>
      </w:pPr>
      <w:r>
        <w:t>Beweis</w:t>
      </w:r>
    </w:p>
    <w:p w:rsidR="0068496A" w:rsidRDefault="0068496A" w:rsidP="0068496A">
      <w:pPr>
        <w:pStyle w:val="StandardWeb"/>
      </w:pPr>
      <w:r>
        <w:t>Reflexivität folgt aus der Identität der Gruppe, Symmetrie aus der Existenz inverser Gruppenelemente und Transitivität aus der Abgeschlossenheit bezüglich der Komposition. (\square)</w:t>
      </w:r>
    </w:p>
    <w:p w:rsidR="0068496A" w:rsidRDefault="00E50336" w:rsidP="0068496A">
      <w:r>
        <w:pict>
          <v:rect id="_x0000_i3271" style="width:0;height:1.5pt" o:hralign="center" o:hrstd="t" o:hr="t" fillcolor="#a0a0a0" stroked="f"/>
        </w:pict>
      </w:r>
    </w:p>
    <w:p w:rsidR="0068496A" w:rsidRDefault="0068496A" w:rsidP="0068496A">
      <w:pPr>
        <w:pStyle w:val="berschrift1"/>
      </w:pPr>
      <w:r>
        <w:t>3.3.45.173 Orbit als Äquivalenzklasse</w:t>
      </w:r>
    </w:p>
    <w:p w:rsidR="0068496A" w:rsidRDefault="0068496A" w:rsidP="0068496A">
      <w:pPr>
        <w:pStyle w:val="StandardWeb"/>
      </w:pPr>
      <w:r>
        <w:t>Damit ist der Symmetrieorbit eines Zustandes zugleich seine Äquivalenzklasse bezüglich (\sim_S):</w:t>
      </w:r>
    </w:p>
    <w:p w:rsidR="0068496A" w:rsidRDefault="0068496A" w:rsidP="0068496A">
      <w:pPr>
        <w:pStyle w:val="berschrift1"/>
      </w:pPr>
      <w:r>
        <w:t>[</w:t>
      </w:r>
      <w:r>
        <w:br/>
        <w:t>\boxed{</w:t>
      </w:r>
      <w:r>
        <w:br/>
        <w:t>\mathcal O_S(z)</w:t>
      </w:r>
    </w:p>
    <w:p w:rsidR="0068496A" w:rsidRDefault="0068496A" w:rsidP="0068496A">
      <w:pPr>
        <w:pStyle w:val="StandardWeb"/>
      </w:pPr>
      <w:r>
        <w:t>[z]_S.</w:t>
      </w:r>
      <w:r>
        <w:br/>
        <w:t>}</w:t>
      </w:r>
      <w:r>
        <w:br/>
        <w:t>\tag{3.10400}</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\boxed{\mathcal O_S(z)=[z]_S.}</w:t>
      </w:r>
    </w:p>
    <w:p w:rsidR="0068496A" w:rsidRDefault="0068496A" w:rsidP="0068496A">
      <w:pPr>
        <w:pStyle w:val="StandardWeb"/>
      </w:pPr>
      <w:r>
        <w:t>Die Symmetrieorbits bilden daher eine Partition des Zustandsraumes.</w:t>
      </w:r>
    </w:p>
    <w:p w:rsidR="0068496A" w:rsidRDefault="00E50336" w:rsidP="0068496A">
      <w:r>
        <w:pict>
          <v:rect id="_x0000_i3272" style="width:0;height:1.5pt" o:hralign="center" o:hrstd="t" o:hr="t" fillcolor="#a0a0a0" stroked="f"/>
        </w:pict>
      </w:r>
    </w:p>
    <w:p w:rsidR="0068496A" w:rsidRDefault="0068496A" w:rsidP="0068496A">
      <w:pPr>
        <w:pStyle w:val="berschrift1"/>
      </w:pPr>
      <w:r>
        <w:t>3.3.45.174 Orbitzerlegung des Zustandsraumes</w:t>
      </w:r>
    </w:p>
    <w:p w:rsidR="0068496A" w:rsidRDefault="0068496A" w:rsidP="0068496A">
      <w:pPr>
        <w:pStyle w:val="StandardWeb"/>
      </w:pPr>
      <w:r>
        <w:t>Es gilt</w:t>
      </w:r>
    </w:p>
    <w:p w:rsidR="0068496A" w:rsidRDefault="0068496A" w:rsidP="0068496A">
      <w:pPr>
        <w:pStyle w:val="berschrift1"/>
      </w:pPr>
      <w:r>
        <w:t>[</w:t>
      </w:r>
      <w:r>
        <w:br/>
        <w:t>\Omega_F</w:t>
      </w:r>
    </w:p>
    <w:p w:rsidR="0068496A" w:rsidRDefault="0068496A" w:rsidP="0068496A">
      <w:pPr>
        <w:pStyle w:val="StandardWeb"/>
      </w:pPr>
      <w:r>
        <w:t>\bigsqcup_{\alpha\in A_S}</w:t>
      </w:r>
      <w:r>
        <w:br/>
        <w:t>\mathcal O_\alpha.</w:t>
      </w:r>
      <w:r>
        <w:br/>
      </w:r>
      <w:r>
        <w:lastRenderedPageBreak/>
        <w:t>\tag{3.10401}</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\Omega_F=\bigsqcup_{\alpha\in A_S}\mathcal O_\alpha</w:t>
      </w:r>
    </w:p>
    <w:p w:rsidR="0068496A" w:rsidRDefault="0068496A" w:rsidP="0068496A">
      <w:pPr>
        <w:pStyle w:val="StandardWeb"/>
      </w:pPr>
      <w:r>
        <w:t>Für zwei verschiedene Orbits gilt</w:t>
      </w:r>
    </w:p>
    <w:p w:rsidR="0068496A" w:rsidRDefault="0068496A" w:rsidP="0068496A">
      <w:pPr>
        <w:pStyle w:val="berschrift1"/>
      </w:pPr>
      <w:r>
        <w:t>[</w:t>
      </w:r>
      <w:r>
        <w:br/>
        <w:t>\mathcal O_\alpha</w:t>
      </w:r>
      <w:r>
        <w:br/>
        <w:t>\cap</w:t>
      </w:r>
      <w:r>
        <w:br/>
        <w:t>\mathcal O_\beta</w:t>
      </w:r>
    </w:p>
    <w:p w:rsidR="0068496A" w:rsidRDefault="0068496A" w:rsidP="0068496A">
      <w:pPr>
        <w:pStyle w:val="StandardWeb"/>
      </w:pPr>
      <w:r>
        <w:t>\varnothing</w:t>
      </w:r>
      <w:r>
        <w:br/>
        <w:t>\qquad</w:t>
      </w:r>
      <w:r>
        <w:br/>
        <w:t>(\alpha\neq\beta).</w:t>
      </w:r>
      <w:r>
        <w:br/>
        <w:t>\tag{3.10402}</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\mathcal O_\alpha\cap\mathcal O_\beta=\varnothing\qquad(\alpha\neq\beta)</w:t>
      </w:r>
    </w:p>
    <w:p w:rsidR="0068496A" w:rsidRDefault="00E50336" w:rsidP="0068496A">
      <w:r>
        <w:pict>
          <v:rect id="_x0000_i3273" style="width:0;height:1.5pt" o:hralign="center" o:hrstd="t" o:hr="t" fillcolor="#a0a0a0" stroked="f"/>
        </w:pict>
      </w:r>
    </w:p>
    <w:p w:rsidR="0068496A" w:rsidRDefault="0068496A" w:rsidP="0068496A">
      <w:pPr>
        <w:pStyle w:val="berschrift1"/>
      </w:pPr>
      <w:r>
        <w:t>3.3.45.175 Definition 3.3.130 – Funktionale Orbitpartition</w:t>
      </w:r>
    </w:p>
    <w:p w:rsidR="0068496A" w:rsidRDefault="0068496A" w:rsidP="0068496A">
      <w:pPr>
        <w:pStyle w:val="berschrift3"/>
      </w:pPr>
      <w:r>
        <w:t>Definition 3.3.130</w:t>
      </w:r>
    </w:p>
    <w:p w:rsidR="0068496A" w:rsidRDefault="0068496A" w:rsidP="0068496A">
      <w:pPr>
        <w:pStyle w:val="StandardWeb"/>
      </w:pPr>
      <w:r>
        <w:t>Die Menge aller Symmetrieorbits</w:t>
      </w:r>
    </w:p>
    <w:p w:rsidR="0068496A" w:rsidRDefault="0068496A" w:rsidP="0068496A">
      <w:pPr>
        <w:pStyle w:val="berschrift1"/>
      </w:pPr>
      <w:r>
        <w:t>[</w:t>
      </w:r>
      <w:r>
        <w:br/>
        <w:t>\boxed{</w:t>
      </w:r>
      <w:r>
        <w:br/>
        <w:t>\Omega_F/\mathfrak G_F</w:t>
      </w:r>
    </w:p>
    <w:p w:rsidR="0068496A" w:rsidRDefault="0068496A" w:rsidP="0068496A">
      <w:pPr>
        <w:pStyle w:val="StandardWeb"/>
      </w:pPr>
      <w:r>
        <w:t>\left{</w:t>
      </w:r>
      <w:r>
        <w:br/>
        <w:t>\mathcal O_S(z):</w:t>
      </w:r>
      <w:r>
        <w:br/>
        <w:t>z\in\Omega_F</w:t>
      </w:r>
      <w:r>
        <w:br/>
        <w:t>\right}</w:t>
      </w:r>
      <w:r>
        <w:br/>
        <w:t>}</w:t>
      </w:r>
      <w:r>
        <w:br/>
        <w:t>\tag{3.10403}</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lastRenderedPageBreak/>
        <w:t>\boxed{\Omega_F/\mathfrak G_F=\left\{\mathcal O_S(z):z\in\Omega_F\right\}}</w:t>
      </w:r>
    </w:p>
    <w:p w:rsidR="0068496A" w:rsidRDefault="0068496A" w:rsidP="0068496A">
      <w:pPr>
        <w:pStyle w:val="StandardWeb"/>
      </w:pPr>
      <w:r>
        <w:t xml:space="preserve">nenne ich die </w:t>
      </w:r>
      <w:r>
        <w:rPr>
          <w:rStyle w:val="Fett"/>
        </w:rPr>
        <w:t>funktionale Orbitpartition</w:t>
      </w:r>
      <w:r>
        <w:t xml:space="preserve"> des Zustandsraumes bezüglich der Symmetriegruppe.</w:t>
      </w:r>
    </w:p>
    <w:p w:rsidR="0068496A" w:rsidRDefault="00E50336" w:rsidP="0068496A">
      <w:r>
        <w:pict>
          <v:rect id="_x0000_i3274" style="width:0;height:1.5pt" o:hralign="center" o:hrstd="t" o:hr="t" fillcolor="#a0a0a0" stroked="f"/>
        </w:pict>
      </w:r>
    </w:p>
    <w:p w:rsidR="0068496A" w:rsidRDefault="0068496A" w:rsidP="0068496A">
      <w:pPr>
        <w:pStyle w:val="berschrift1"/>
      </w:pPr>
      <w:r>
        <w:t>3.3.45.176 Symmetrieinvariante Größen sind auf Orbits konstant</w:t>
      </w:r>
    </w:p>
    <w:p w:rsidR="0068496A" w:rsidRDefault="0068496A" w:rsidP="0068496A">
      <w:pPr>
        <w:pStyle w:val="StandardWeb"/>
      </w:pPr>
      <w:r>
        <w:t>Ist (Q_F) symmetrieinvariant, so gilt für jedes (S\in\mathfrak G_F)</w:t>
      </w:r>
    </w:p>
    <w:p w:rsidR="0068496A" w:rsidRDefault="0068496A" w:rsidP="0068496A">
      <w:pPr>
        <w:pStyle w:val="StandardWeb"/>
      </w:pPr>
      <w:r>
        <w:t>[</w:t>
      </w:r>
      <w:r>
        <w:br/>
        <w:t>Q_F(Sz)=Q_F(z).</w:t>
      </w:r>
      <w:r>
        <w:br/>
        <w:t>\tag{3.10404}</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Q_F(Sz)=Q_F(z)</w:t>
      </w:r>
    </w:p>
    <w:p w:rsidR="0068496A" w:rsidRDefault="0068496A" w:rsidP="0068496A">
      <w:pPr>
        <w:pStyle w:val="StandardWeb"/>
      </w:pPr>
      <w:r>
        <w:t>Damit folgt unmittelbar</w:t>
      </w:r>
    </w:p>
    <w:p w:rsidR="0068496A" w:rsidRDefault="0068496A" w:rsidP="0068496A">
      <w:pPr>
        <w:pStyle w:val="StandardWeb"/>
      </w:pPr>
      <w:r>
        <w:t>[</w:t>
      </w:r>
      <w:r>
        <w:br/>
        <w:t>z_i\sim_S z_j</w:t>
      </w:r>
      <w:r>
        <w:br/>
        <w:t>\Rightarrow</w:t>
      </w:r>
      <w:r>
        <w:br/>
        <w:t>Q_F(z_i)=Q_F(z_j).</w:t>
      </w:r>
      <w:r>
        <w:br/>
        <w:t>\tag{3.10405}</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z_i\sim_S z_j\Rightarrow Q_F(z_i)=Q_F(z_j)</w:t>
      </w:r>
    </w:p>
    <w:p w:rsidR="0068496A" w:rsidRDefault="00E50336" w:rsidP="0068496A">
      <w:r>
        <w:pict>
          <v:rect id="_x0000_i3275" style="width:0;height:1.5pt" o:hralign="center" o:hrstd="t" o:hr="t" fillcolor="#a0a0a0" stroked="f"/>
        </w:pict>
      </w:r>
    </w:p>
    <w:p w:rsidR="0068496A" w:rsidRDefault="0068496A" w:rsidP="0068496A">
      <w:pPr>
        <w:pStyle w:val="berschrift1"/>
      </w:pPr>
      <w:r>
        <w:t>3.3.45.177 Satz 3.3.57 – Konstanz symmetrieinvarianter Größen auf Orbits</w:t>
      </w:r>
    </w:p>
    <w:p w:rsidR="0068496A" w:rsidRDefault="0068496A" w:rsidP="0068496A">
      <w:pPr>
        <w:pStyle w:val="berschrift3"/>
      </w:pPr>
      <w:r>
        <w:t>Satz 3.3.57</w:t>
      </w:r>
    </w:p>
    <w:p w:rsidR="0068496A" w:rsidRDefault="0068496A" w:rsidP="0068496A">
      <w:pPr>
        <w:pStyle w:val="StandardWeb"/>
      </w:pPr>
      <w:r>
        <w:t>Für jede symmetrieinvariante funktionale Größe (Q_F) gilt</w:t>
      </w:r>
    </w:p>
    <w:p w:rsidR="0068496A" w:rsidRDefault="0068496A" w:rsidP="0068496A">
      <w:pPr>
        <w:pStyle w:val="StandardWeb"/>
      </w:pPr>
      <w:r>
        <w:t>[</w:t>
      </w:r>
      <w:r>
        <w:br/>
        <w:t>\boxed{</w:t>
      </w:r>
      <w:r>
        <w:br/>
        <w:t>z_i\sim_S z_j</w:t>
      </w:r>
      <w:r>
        <w:br/>
        <w:t>\Rightarrow</w:t>
      </w:r>
      <w:r>
        <w:br/>
        <w:t>Q_F(z_i)=Q_F(z_j).</w:t>
      </w:r>
      <w:r>
        <w:br/>
        <w:t>}</w:t>
      </w:r>
      <w:r>
        <w:br/>
      </w:r>
      <w:r>
        <w:lastRenderedPageBreak/>
        <w:t>\tag{3.10406}</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\boxed{z_i\sim_S z_j\Rightarrow Q_F(z_i)=Q_F(z_j).}</w:t>
      </w:r>
    </w:p>
    <w:p w:rsidR="0068496A" w:rsidRDefault="0068496A" w:rsidP="0068496A">
      <w:pPr>
        <w:pStyle w:val="berschrift3"/>
      </w:pPr>
      <w:r>
        <w:t>Beweis</w:t>
      </w:r>
    </w:p>
    <w:p w:rsidR="0068496A" w:rsidRDefault="0068496A" w:rsidP="0068496A">
      <w:pPr>
        <w:pStyle w:val="StandardWeb"/>
      </w:pPr>
      <w:r>
        <w:t>Aus (z_i\sim_S z_j) folgt die Existenz eines (S\in\mathfrak G_F) mit (S(z_i)=z_j). Wegen der Symmetrieinvarianz gilt</w:t>
      </w:r>
    </w:p>
    <w:p w:rsidR="0068496A" w:rsidRDefault="0068496A" w:rsidP="0068496A">
      <w:pPr>
        <w:pStyle w:val="berschrift1"/>
      </w:pPr>
      <w:r>
        <w:t>[</w:t>
      </w:r>
      <w:r>
        <w:br/>
        <w:t>Q_F(z_j)</w:t>
      </w:r>
    </w:p>
    <w:p w:rsidR="0068496A" w:rsidRDefault="0068496A" w:rsidP="0068496A">
      <w:pPr>
        <w:pStyle w:val="berschrift1"/>
      </w:pPr>
      <w:r>
        <w:t>Q_F(Sz_i)</w:t>
      </w:r>
    </w:p>
    <w:p w:rsidR="0068496A" w:rsidRDefault="0068496A" w:rsidP="0068496A">
      <w:pPr>
        <w:pStyle w:val="StandardWeb"/>
      </w:pPr>
      <w:r>
        <w:t>Q_F(z_i).</w:t>
      </w:r>
      <w:r>
        <w:br/>
        <w:t>\tag{3.10407}</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Q_F(z_j)=Q_F(Sz_i)=Q_F(z_i)</w:t>
      </w:r>
    </w:p>
    <w:p w:rsidR="0068496A" w:rsidRDefault="0068496A" w:rsidP="0068496A">
      <w:pPr>
        <w:pStyle w:val="StandardWeb"/>
      </w:pPr>
      <w:r>
        <w:t>Damit ist die Aussage gezeigt. (\square)</w:t>
      </w:r>
    </w:p>
    <w:p w:rsidR="0068496A" w:rsidRDefault="00E50336" w:rsidP="0068496A">
      <w:r>
        <w:pict>
          <v:rect id="_x0000_i3276" style="width:0;height:1.5pt" o:hralign="center" o:hrstd="t" o:hr="t" fillcolor="#a0a0a0" stroked="f"/>
        </w:pict>
      </w:r>
    </w:p>
    <w:p w:rsidR="0068496A" w:rsidRDefault="0068496A" w:rsidP="0068496A">
      <w:pPr>
        <w:pStyle w:val="berschrift1"/>
      </w:pPr>
      <w:r>
        <w:t>3.3.45.178 Faktorisierung symmetrieinvarianter Größen</w:t>
      </w:r>
    </w:p>
    <w:p w:rsidR="0068496A" w:rsidRDefault="0068496A" w:rsidP="0068496A">
      <w:pPr>
        <w:pStyle w:val="StandardWeb"/>
      </w:pPr>
      <w:r>
        <w:t>Wie bei den Übergangsinvarianten kann ich auch hier eine Quotientenabbildung definieren:</w:t>
      </w:r>
    </w:p>
    <w:p w:rsidR="0068496A" w:rsidRDefault="0068496A" w:rsidP="0068496A">
      <w:pPr>
        <w:pStyle w:val="StandardWeb"/>
      </w:pPr>
      <w:r>
        <w:t>[</w:t>
      </w:r>
      <w:r>
        <w:br/>
        <w:t>\pi_S:</w:t>
      </w:r>
      <w:r>
        <w:br/>
        <w:t>\Omega_F</w:t>
      </w:r>
      <w:r>
        <w:br/>
        <w:t>\rightarrow</w:t>
      </w:r>
      <w:r>
        <w:br/>
        <w:t>\Omega_F/\mathfrak G_F.</w:t>
      </w:r>
      <w:r>
        <w:br/>
        <w:t>\tag{3.10408}</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\pi_S:\Omega_F\rightarrow\Omega_F/\mathfrak G_F</w:t>
      </w:r>
    </w:p>
    <w:p w:rsidR="0068496A" w:rsidRDefault="0068496A" w:rsidP="0068496A">
      <w:pPr>
        <w:pStyle w:val="StandardWeb"/>
      </w:pPr>
      <w:r>
        <w:t>Jede symmetrieinvariante Größe (Q_F) faktorisiert über diese Orbitabbildung:</w:t>
      </w:r>
    </w:p>
    <w:p w:rsidR="0068496A" w:rsidRDefault="0068496A" w:rsidP="0068496A">
      <w:pPr>
        <w:pStyle w:val="berschrift1"/>
      </w:pPr>
      <w:r>
        <w:lastRenderedPageBreak/>
        <w:t>[</w:t>
      </w:r>
      <w:r>
        <w:br/>
        <w:t>Q_F</w:t>
      </w:r>
    </w:p>
    <w:p w:rsidR="0068496A" w:rsidRDefault="0068496A" w:rsidP="0068496A">
      <w:pPr>
        <w:pStyle w:val="StandardWeb"/>
      </w:pPr>
      <w:r>
        <w:t>\widetilde Q_F</w:t>
      </w:r>
      <w:r>
        <w:br/>
        <w:t>\circ</w:t>
      </w:r>
      <w:r>
        <w:br/>
        <w:t>\pi_S.</w:t>
      </w:r>
      <w:r>
        <w:br/>
        <w:t>\tag{3.10409}</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Q_F=\widetilde Q_F\circ\pi_S</w:t>
      </w:r>
    </w:p>
    <w:p w:rsidR="0068496A" w:rsidRDefault="00E50336" w:rsidP="0068496A">
      <w:r>
        <w:pict>
          <v:rect id="_x0000_i3277" style="width:0;height:1.5pt" o:hralign="center" o:hrstd="t" o:hr="t" fillcolor="#a0a0a0" stroked="f"/>
        </w:pict>
      </w:r>
    </w:p>
    <w:p w:rsidR="0068496A" w:rsidRDefault="0068496A" w:rsidP="0068496A">
      <w:pPr>
        <w:pStyle w:val="berschrift1"/>
      </w:pPr>
      <w:r>
        <w:t>3.3.45.179 Satz 3.3.58 – Faktorisierung symmetrieinvarianter Größen</w:t>
      </w:r>
    </w:p>
    <w:p w:rsidR="0068496A" w:rsidRDefault="0068496A" w:rsidP="0068496A">
      <w:pPr>
        <w:pStyle w:val="berschrift3"/>
      </w:pPr>
      <w:r>
        <w:t>Satz 3.3.58</w:t>
      </w:r>
    </w:p>
    <w:p w:rsidR="0068496A" w:rsidRDefault="0068496A" w:rsidP="0068496A">
      <w:pPr>
        <w:pStyle w:val="StandardWeb"/>
      </w:pPr>
      <w:r>
        <w:t>Eine Größe (Q_F) ist symmetrieinvariant genau dann, wenn eine Abbildung (\widetilde Q_F) auf dem Orbitraum existiert mit</w:t>
      </w:r>
    </w:p>
    <w:p w:rsidR="0068496A" w:rsidRDefault="0068496A" w:rsidP="0068496A">
      <w:pPr>
        <w:pStyle w:val="berschrift1"/>
      </w:pPr>
      <w:r>
        <w:t>[</w:t>
      </w:r>
      <w:r>
        <w:br/>
        <w:t>\boxed{</w:t>
      </w:r>
      <w:r>
        <w:br/>
        <w:t>Q_F</w:t>
      </w:r>
    </w:p>
    <w:p w:rsidR="0068496A" w:rsidRDefault="0068496A" w:rsidP="0068496A">
      <w:pPr>
        <w:pStyle w:val="StandardWeb"/>
      </w:pPr>
      <w:r>
        <w:t>\widetilde Q_F</w:t>
      </w:r>
      <w:r>
        <w:br/>
        <w:t>\circ</w:t>
      </w:r>
      <w:r>
        <w:br/>
        <w:t>\pi_S.</w:t>
      </w:r>
      <w:r>
        <w:br/>
        <w:t>}</w:t>
      </w:r>
      <w:r>
        <w:br/>
        <w:t>\tag{3.10410}</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\boxed{Q_F=\widetilde Q_F\circ\pi_S.}</w:t>
      </w:r>
    </w:p>
    <w:p w:rsidR="0068496A" w:rsidRDefault="0068496A" w:rsidP="0068496A">
      <w:pPr>
        <w:pStyle w:val="StandardWeb"/>
      </w:pPr>
      <w:r>
        <w:t>Diese Aussage ist die symmetriebezogene Entsprechung zur Faktorisierung von Übergangsinvarianten über funktionale Zusammenhangskomponenten.</w:t>
      </w:r>
    </w:p>
    <w:p w:rsidR="0068496A" w:rsidRDefault="00E50336" w:rsidP="0068496A">
      <w:r>
        <w:pict>
          <v:rect id="_x0000_i3278" style="width:0;height:1.5pt" o:hralign="center" o:hrstd="t" o:hr="t" fillcolor="#a0a0a0" stroked="f"/>
        </w:pict>
      </w:r>
    </w:p>
    <w:p w:rsidR="0068496A" w:rsidRDefault="0068496A" w:rsidP="0068496A">
      <w:pPr>
        <w:pStyle w:val="berschrift1"/>
      </w:pPr>
      <w:r>
        <w:t>3.3.45.180 Stabilisator eines Zustandes</w:t>
      </w:r>
    </w:p>
    <w:p w:rsidR="0068496A" w:rsidRDefault="0068496A" w:rsidP="0068496A">
      <w:pPr>
        <w:pStyle w:val="StandardWeb"/>
      </w:pPr>
      <w:r>
        <w:t>Neben dem Orbit ist entscheidend, welche Symmetrien einen Zustand unverändert lassen.</w:t>
      </w:r>
    </w:p>
    <w:p w:rsidR="0068496A" w:rsidRDefault="0068496A" w:rsidP="0068496A">
      <w:pPr>
        <w:pStyle w:val="StandardWeb"/>
      </w:pPr>
      <w:r>
        <w:lastRenderedPageBreak/>
        <w:t>Für (z\in\Omega_F) betrachte ich die Menge</w:t>
      </w:r>
    </w:p>
    <w:p w:rsidR="0068496A" w:rsidRDefault="0068496A" w:rsidP="0068496A">
      <w:pPr>
        <w:pStyle w:val="StandardWeb"/>
      </w:pPr>
      <w:r>
        <w:t>[</w:t>
      </w:r>
      <w:r>
        <w:br/>
        <w:t>\left{</w:t>
      </w:r>
      <w:r>
        <w:br/>
        <w:t>S\in\mathfrak G_F:</w:t>
      </w:r>
      <w:r>
        <w:br/>
        <w:t>S(z)=z</w:t>
      </w:r>
      <w:r>
        <w:br/>
        <w:t>\right}.</w:t>
      </w:r>
      <w:r>
        <w:br/>
        <w:t>\tag{3.10411}</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\left\{S\in\mathfrak G_F:S(z)=z\right\}</w:t>
      </w:r>
    </w:p>
    <w:p w:rsidR="0068496A" w:rsidRDefault="00E50336" w:rsidP="0068496A">
      <w:r>
        <w:pict>
          <v:rect id="_x0000_i3279" style="width:0;height:1.5pt" o:hralign="center" o:hrstd="t" o:hr="t" fillcolor="#a0a0a0" stroked="f"/>
        </w:pict>
      </w:r>
    </w:p>
    <w:p w:rsidR="0068496A" w:rsidRDefault="0068496A" w:rsidP="0068496A">
      <w:pPr>
        <w:pStyle w:val="berschrift1"/>
      </w:pPr>
      <w:r>
        <w:t>3.3.45.181 Definition 3.3.131 – Funktionaler Stabilisator</w:t>
      </w:r>
    </w:p>
    <w:p w:rsidR="0068496A" w:rsidRDefault="0068496A" w:rsidP="0068496A">
      <w:pPr>
        <w:pStyle w:val="berschrift3"/>
      </w:pPr>
      <w:r>
        <w:t>Definition 3.3.131</w:t>
      </w:r>
    </w:p>
    <w:p w:rsidR="0068496A" w:rsidRDefault="0068496A" w:rsidP="0068496A">
      <w:pPr>
        <w:pStyle w:val="StandardWeb"/>
      </w:pPr>
      <w:r>
        <w:t xml:space="preserve">Der </w:t>
      </w:r>
      <w:r>
        <w:rPr>
          <w:rStyle w:val="Fett"/>
        </w:rPr>
        <w:t>funktionale Stabilisator</w:t>
      </w:r>
      <w:r>
        <w:t xml:space="preserve"> eines Zustandes (z) ist</w:t>
      </w:r>
    </w:p>
    <w:p w:rsidR="0068496A" w:rsidRDefault="0068496A" w:rsidP="0068496A">
      <w:pPr>
        <w:pStyle w:val="berschrift1"/>
      </w:pPr>
      <w:r>
        <w:t>[</w:t>
      </w:r>
      <w:r>
        <w:br/>
        <w:t>\boxed{</w:t>
      </w:r>
      <w:r>
        <w:br/>
        <w:t>\operatorname{Stab}_F(z)</w:t>
      </w:r>
    </w:p>
    <w:p w:rsidR="0068496A" w:rsidRDefault="0068496A" w:rsidP="0068496A">
      <w:pPr>
        <w:pStyle w:val="StandardWeb"/>
      </w:pPr>
      <w:r>
        <w:t>\left{</w:t>
      </w:r>
      <w:r>
        <w:br/>
        <w:t>S\in\mathfrak G_F:</w:t>
      </w:r>
      <w:r>
        <w:br/>
        <w:t>S(z)=z</w:t>
      </w:r>
      <w:r>
        <w:br/>
        <w:t>\right}.</w:t>
      </w:r>
      <w:r>
        <w:br/>
        <w:t>}</w:t>
      </w:r>
      <w:r>
        <w:br/>
        <w:t>\tag{3.10412}</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\boxed{\operatorname{Stab}_F(z)=\left\{S\in\mathfrak G_F:S(z)=z\right\}.}</w:t>
      </w:r>
    </w:p>
    <w:p w:rsidR="0068496A" w:rsidRDefault="00E50336" w:rsidP="0068496A">
      <w:r>
        <w:pict>
          <v:rect id="_x0000_i3280" style="width:0;height:1.5pt" o:hralign="center" o:hrstd="t" o:hr="t" fillcolor="#a0a0a0" stroked="f"/>
        </w:pict>
      </w:r>
    </w:p>
    <w:p w:rsidR="0068496A" w:rsidRDefault="0068496A" w:rsidP="0068496A">
      <w:pPr>
        <w:pStyle w:val="berschrift1"/>
      </w:pPr>
      <w:r>
        <w:t>3.3.45.182 Identität im Stabilisator</w:t>
      </w:r>
    </w:p>
    <w:p w:rsidR="0068496A" w:rsidRDefault="0068496A" w:rsidP="0068496A">
      <w:pPr>
        <w:pStyle w:val="StandardWeb"/>
      </w:pPr>
      <w:r>
        <w:t>Da</w:t>
      </w:r>
    </w:p>
    <w:p w:rsidR="0068496A" w:rsidRDefault="0068496A" w:rsidP="0068496A">
      <w:pPr>
        <w:pStyle w:val="StandardWeb"/>
      </w:pPr>
      <w:r>
        <w:t>[</w:t>
      </w:r>
      <w:r>
        <w:br/>
        <w:t>\operatorname{id}_{\Omega_F}(z)=z</w:t>
      </w:r>
      <w:r>
        <w:br/>
        <w:t>\tag{3.10413}</w:t>
      </w:r>
      <w:r>
        <w:br/>
        <w:t>]</w:t>
      </w:r>
    </w:p>
    <w:p w:rsidR="0068496A" w:rsidRDefault="0068496A" w:rsidP="0068496A">
      <w:pPr>
        <w:pStyle w:val="StandardWeb"/>
      </w:pPr>
      <w:r>
        <w:rPr>
          <w:rStyle w:val="Fett"/>
        </w:rPr>
        <w:lastRenderedPageBreak/>
        <w:t>Word-LaTeX</w:t>
      </w:r>
    </w:p>
    <w:p w:rsidR="0068496A" w:rsidRDefault="0068496A" w:rsidP="0068496A">
      <w:pPr>
        <w:pStyle w:val="HTMLVorformatiert"/>
        <w:rPr>
          <w:rStyle w:val="HTMLCode"/>
        </w:rPr>
      </w:pPr>
      <w:r>
        <w:rPr>
          <w:rStyle w:val="HTMLCode"/>
        </w:rPr>
        <w:t>\operatorname{id}_{\Omega_F}(z)=z</w:t>
      </w:r>
    </w:p>
    <w:p w:rsidR="0068496A" w:rsidRDefault="0068496A" w:rsidP="0068496A">
      <w:pPr>
        <w:pStyle w:val="StandardWeb"/>
      </w:pPr>
      <w:r>
        <w:t>gilt stets</w:t>
      </w:r>
    </w:p>
    <w:p w:rsidR="0068496A" w:rsidRDefault="0068496A" w:rsidP="0068496A">
      <w:pPr>
        <w:pStyle w:val="StandardWeb"/>
      </w:pPr>
      <w:r>
        <w:t>[</w:t>
      </w:r>
      <w:r>
        <w:br/>
        <w:t>\operatorname{id}_{\Omega_F}</w:t>
      </w:r>
      <w:r>
        <w:br/>
        <w:t>\in</w:t>
      </w:r>
      <w:r>
        <w:br/>
        <w:t>\operatorname{Stab}_F(z).</w:t>
      </w:r>
      <w:r>
        <w:br/>
        <w:t>\tag{3.10414}</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\operatorname{id}_{\Omega_F}\in\operatorname{Stab}_F(z)</w:t>
      </w:r>
    </w:p>
    <w:p w:rsidR="0068496A" w:rsidRDefault="0068496A" w:rsidP="0068496A">
      <w:pPr>
        <w:pStyle w:val="StandardWeb"/>
      </w:pPr>
      <w:r>
        <w:t>Der Stabilisator ist daher niemals leer.</w:t>
      </w:r>
    </w:p>
    <w:p w:rsidR="0068496A" w:rsidRDefault="00E50336" w:rsidP="0068496A">
      <w:r>
        <w:pict>
          <v:rect id="_x0000_i3281" style="width:0;height:1.5pt" o:hralign="center" o:hrstd="t" o:hr="t" fillcolor="#a0a0a0" stroked="f"/>
        </w:pict>
      </w:r>
    </w:p>
    <w:p w:rsidR="0068496A" w:rsidRDefault="0068496A" w:rsidP="0068496A">
      <w:pPr>
        <w:pStyle w:val="berschrift1"/>
      </w:pPr>
      <w:r>
        <w:t>3.3.45.183 Abgeschlossenheit des Stabilisators</w:t>
      </w:r>
    </w:p>
    <w:p w:rsidR="0068496A" w:rsidRDefault="0068496A" w:rsidP="0068496A">
      <w:pPr>
        <w:pStyle w:val="StandardWeb"/>
      </w:pPr>
      <w:r>
        <w:t>Sind</w:t>
      </w:r>
    </w:p>
    <w:p w:rsidR="0068496A" w:rsidRDefault="0068496A" w:rsidP="0068496A">
      <w:pPr>
        <w:pStyle w:val="StandardWeb"/>
      </w:pPr>
      <w:r>
        <w:t>[</w:t>
      </w:r>
      <w:r>
        <w:br/>
        <w:t>S_1,S_2</w:t>
      </w:r>
      <w:r>
        <w:br/>
        <w:t>\in</w:t>
      </w:r>
      <w:r>
        <w:br/>
        <w:t>\operatorname{Stab}_F(z),</w:t>
      </w:r>
      <w:r>
        <w:br/>
        <w:t>\tag{3.10415}</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S_1,S_2\in\operatorname{Stab}_F(z)</w:t>
      </w:r>
    </w:p>
    <w:p w:rsidR="0068496A" w:rsidRDefault="0068496A" w:rsidP="0068496A">
      <w:pPr>
        <w:pStyle w:val="StandardWeb"/>
      </w:pPr>
      <w:r>
        <w:t>dann gilt</w:t>
      </w:r>
    </w:p>
    <w:p w:rsidR="0068496A" w:rsidRDefault="0068496A" w:rsidP="0068496A">
      <w:pPr>
        <w:pStyle w:val="StandardWeb"/>
      </w:pPr>
      <w:r>
        <w:t>[</w:t>
      </w:r>
      <w:r>
        <w:br/>
        <w:t>S_1(z)=z</w:t>
      </w:r>
      <w:r>
        <w:br/>
        <w:t>\tag{3.10416}</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S_1(z)=z</w:t>
      </w:r>
    </w:p>
    <w:p w:rsidR="0068496A" w:rsidRDefault="0068496A" w:rsidP="0068496A">
      <w:pPr>
        <w:pStyle w:val="StandardWeb"/>
      </w:pPr>
      <w:r>
        <w:t>und</w:t>
      </w:r>
    </w:p>
    <w:p w:rsidR="0068496A" w:rsidRDefault="0068496A" w:rsidP="0068496A">
      <w:pPr>
        <w:pStyle w:val="StandardWeb"/>
      </w:pPr>
      <w:r>
        <w:t>[</w:t>
      </w:r>
      <w:r>
        <w:br/>
        <w:t>S_2(z)=z.</w:t>
      </w:r>
      <w:r>
        <w:br/>
      </w:r>
      <w:r>
        <w:lastRenderedPageBreak/>
        <w:t>\tag{3.10417}</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S_2(z)=z</w:t>
      </w:r>
    </w:p>
    <w:p w:rsidR="0068496A" w:rsidRDefault="0068496A" w:rsidP="0068496A">
      <w:pPr>
        <w:pStyle w:val="StandardWeb"/>
      </w:pPr>
      <w:r>
        <w:t>Damit folgt</w:t>
      </w:r>
    </w:p>
    <w:p w:rsidR="0068496A" w:rsidRDefault="0068496A" w:rsidP="0068496A">
      <w:pPr>
        <w:pStyle w:val="berschrift1"/>
      </w:pPr>
      <w:r>
        <w:t>[</w:t>
      </w:r>
      <w:r>
        <w:br/>
        <w:t>(S_2\circ S_1)(z)</w:t>
      </w:r>
    </w:p>
    <w:p w:rsidR="0068496A" w:rsidRDefault="0068496A" w:rsidP="0068496A">
      <w:pPr>
        <w:pStyle w:val="StandardWeb"/>
      </w:pPr>
      <w:r>
        <w:t>z.</w:t>
      </w:r>
      <w:r>
        <w:br/>
        <w:t>\tag{3.10418}</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(S_2\circ S_1)(z)=z</w:t>
      </w:r>
    </w:p>
    <w:p w:rsidR="0068496A" w:rsidRDefault="00E50336" w:rsidP="0068496A">
      <w:r>
        <w:pict>
          <v:rect id="_x0000_i3282" style="width:0;height:1.5pt" o:hralign="center" o:hrstd="t" o:hr="t" fillcolor="#a0a0a0" stroked="f"/>
        </w:pict>
      </w:r>
    </w:p>
    <w:p w:rsidR="0068496A" w:rsidRDefault="0068496A" w:rsidP="0068496A">
      <w:pPr>
        <w:pStyle w:val="berschrift1"/>
      </w:pPr>
      <w:r>
        <w:t>3.3.45.184 Inversenstabilität</w:t>
      </w:r>
    </w:p>
    <w:p w:rsidR="0068496A" w:rsidRDefault="0068496A" w:rsidP="0068496A">
      <w:pPr>
        <w:pStyle w:val="StandardWeb"/>
      </w:pPr>
      <w:r>
        <w:t>Ist</w:t>
      </w:r>
    </w:p>
    <w:p w:rsidR="0068496A" w:rsidRDefault="0068496A" w:rsidP="0068496A">
      <w:pPr>
        <w:pStyle w:val="StandardWeb"/>
      </w:pPr>
      <w:r>
        <w:t>[</w:t>
      </w:r>
      <w:r>
        <w:br/>
        <w:t>S(z)=z,</w:t>
      </w:r>
      <w:r>
        <w:br/>
        <w:t>\tag{3.10419}</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S(z)=z</w:t>
      </w:r>
    </w:p>
    <w:p w:rsidR="0068496A" w:rsidRDefault="0068496A" w:rsidP="0068496A">
      <w:pPr>
        <w:pStyle w:val="StandardWeb"/>
      </w:pPr>
      <w:r>
        <w:t>so folgt durch Anwendung von (S^{-1})</w:t>
      </w:r>
    </w:p>
    <w:p w:rsidR="0068496A" w:rsidRDefault="0068496A" w:rsidP="0068496A">
      <w:pPr>
        <w:pStyle w:val="StandardWeb"/>
      </w:pPr>
      <w:r>
        <w:t>[</w:t>
      </w:r>
      <w:r>
        <w:br/>
        <w:t>S^{-1}(z)=z.</w:t>
      </w:r>
      <w:r>
        <w:br/>
        <w:t>\tag{3.10420}</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S^{-1}(z)=z</w:t>
      </w:r>
    </w:p>
    <w:p w:rsidR="0068496A" w:rsidRDefault="0068496A" w:rsidP="0068496A">
      <w:pPr>
        <w:pStyle w:val="StandardWeb"/>
      </w:pPr>
      <w:r>
        <w:t>Somit enthält der Stabilisator mit jedem Element auch dessen Inverses.</w:t>
      </w:r>
    </w:p>
    <w:p w:rsidR="0068496A" w:rsidRDefault="00E50336" w:rsidP="0068496A">
      <w:r>
        <w:pict>
          <v:rect id="_x0000_i3283" style="width:0;height:1.5pt" o:hralign="center" o:hrstd="t" o:hr="t" fillcolor="#a0a0a0" stroked="f"/>
        </w:pict>
      </w:r>
    </w:p>
    <w:p w:rsidR="0068496A" w:rsidRDefault="0068496A" w:rsidP="0068496A">
      <w:pPr>
        <w:pStyle w:val="berschrift1"/>
      </w:pPr>
      <w:r>
        <w:lastRenderedPageBreak/>
        <w:t>3.3.45.185 Satz 3.3.59 – Stabilisator als Untergruppe</w:t>
      </w:r>
    </w:p>
    <w:p w:rsidR="0068496A" w:rsidRDefault="0068496A" w:rsidP="0068496A">
      <w:pPr>
        <w:pStyle w:val="berschrift3"/>
      </w:pPr>
      <w:r>
        <w:t>Satz 3.3.59</w:t>
      </w:r>
    </w:p>
    <w:p w:rsidR="0068496A" w:rsidRDefault="0068496A" w:rsidP="0068496A">
      <w:pPr>
        <w:pStyle w:val="StandardWeb"/>
      </w:pPr>
      <w:r>
        <w:t>Für jeden Zustand (z\in\Omega_F) ist</w:t>
      </w:r>
    </w:p>
    <w:p w:rsidR="0068496A" w:rsidRDefault="0068496A" w:rsidP="0068496A">
      <w:pPr>
        <w:pStyle w:val="StandardWeb"/>
      </w:pPr>
      <w:r>
        <w:t>[</w:t>
      </w:r>
      <w:r>
        <w:br/>
        <w:t>\boxed{</w:t>
      </w:r>
      <w:r>
        <w:br/>
        <w:t>\operatorname{Stab}_F(z)</w:t>
      </w:r>
      <w:r>
        <w:br/>
        <w:t>\leq</w:t>
      </w:r>
      <w:r>
        <w:br/>
        <w:t>\mathfrak G_F.</w:t>
      </w:r>
      <w:r>
        <w:br/>
        <w:t>}</w:t>
      </w:r>
      <w:r>
        <w:br/>
        <w:t>\tag{3.10421}</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\boxed{\operatorname{Stab}_F(z)\leq\mathfrak G_F.}</w:t>
      </w:r>
    </w:p>
    <w:p w:rsidR="0068496A" w:rsidRDefault="0068496A" w:rsidP="0068496A">
      <w:pPr>
        <w:pStyle w:val="StandardWeb"/>
      </w:pPr>
      <w:r>
        <w:t>Der funktionale Stabilisator ist damit eine Untergruppe der funktionalen Symmetriegruppe.</w:t>
      </w:r>
    </w:p>
    <w:p w:rsidR="0068496A" w:rsidRDefault="00E50336" w:rsidP="0068496A">
      <w:r>
        <w:pict>
          <v:rect id="_x0000_i3284" style="width:0;height:1.5pt" o:hralign="center" o:hrstd="t" o:hr="t" fillcolor="#a0a0a0" stroked="f"/>
        </w:pict>
      </w:r>
    </w:p>
    <w:p w:rsidR="0068496A" w:rsidRDefault="0068496A" w:rsidP="0068496A">
      <w:pPr>
        <w:pStyle w:val="berschrift1"/>
      </w:pPr>
      <w:r>
        <w:t>3.3.45.186 Definition 3.3.132 – Funktionaler Symmetriegrad eines Zustandes</w:t>
      </w:r>
    </w:p>
    <w:p w:rsidR="0068496A" w:rsidRDefault="0068496A" w:rsidP="0068496A">
      <w:pPr>
        <w:pStyle w:val="StandardWeb"/>
      </w:pPr>
      <w:r>
        <w:t>Ist die Symmetriegruppe endlich, kann ich die Größe</w:t>
      </w:r>
    </w:p>
    <w:p w:rsidR="0068496A" w:rsidRDefault="0068496A" w:rsidP="0068496A">
      <w:pPr>
        <w:pStyle w:val="berschrift1"/>
      </w:pPr>
      <w:r>
        <w:t>[</w:t>
      </w:r>
      <w:r>
        <w:br/>
        <w:t>\sigma_F(z)</w:t>
      </w:r>
    </w:p>
    <w:p w:rsidR="0068496A" w:rsidRDefault="0068496A" w:rsidP="0068496A">
      <w:pPr>
        <w:pStyle w:val="StandardWeb"/>
      </w:pPr>
      <w:r>
        <w:t>\left|</w:t>
      </w:r>
      <w:r>
        <w:br/>
        <w:t>\operatorname{Stab}_F(z)</w:t>
      </w:r>
      <w:r>
        <w:br/>
        <w:t>\right|</w:t>
      </w:r>
      <w:r>
        <w:br/>
        <w:t>\tag{3.10422}</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\sigma_F(z)=\left|\operatorname{Stab}_F(z)\right|</w:t>
      </w:r>
    </w:p>
    <w:p w:rsidR="0068496A" w:rsidRDefault="0068496A" w:rsidP="0068496A">
      <w:pPr>
        <w:pStyle w:val="StandardWeb"/>
      </w:pPr>
      <w:r>
        <w:t>als einfache diskrete Kennzahl verwenden.</w:t>
      </w:r>
    </w:p>
    <w:p w:rsidR="0068496A" w:rsidRDefault="0068496A" w:rsidP="0068496A">
      <w:pPr>
        <w:pStyle w:val="berschrift3"/>
      </w:pPr>
      <w:r>
        <w:t>Definition 3.3.132</w:t>
      </w:r>
    </w:p>
    <w:p w:rsidR="0068496A" w:rsidRDefault="0068496A" w:rsidP="0068496A">
      <w:pPr>
        <w:pStyle w:val="StandardWeb"/>
      </w:pPr>
      <w:r>
        <w:t xml:space="preserve">Für eine endliche funktionale Symmetriegruppe definiere ich den </w:t>
      </w:r>
      <w:r>
        <w:rPr>
          <w:rStyle w:val="Fett"/>
        </w:rPr>
        <w:t>funktionalen Symmetriegrad eines Zustandes</w:t>
      </w:r>
      <w:r>
        <w:t xml:space="preserve"> durch</w:t>
      </w:r>
    </w:p>
    <w:p w:rsidR="0068496A" w:rsidRDefault="0068496A" w:rsidP="0068496A">
      <w:pPr>
        <w:pStyle w:val="StandardWeb"/>
      </w:pPr>
      <w:r>
        <w:lastRenderedPageBreak/>
        <w:t>[</w:t>
      </w:r>
      <w:r>
        <w:br/>
        <w:t>\boxed{</w:t>
      </w:r>
      <w:r>
        <w:br/>
        <w:t>\sigma_F(z)</w:t>
      </w:r>
      <w:r>
        <w:br/>
        <w:t>:=</w:t>
      </w:r>
      <w:r>
        <w:br/>
        <w:t>\left|</w:t>
      </w:r>
      <w:r>
        <w:br/>
        <w:t>\operatorname{Stab}_F(z)</w:t>
      </w:r>
      <w:r>
        <w:br/>
        <w:t>\right|.</w:t>
      </w:r>
      <w:r>
        <w:br/>
        <w:t>}</w:t>
      </w:r>
      <w:r>
        <w:br/>
        <w:t>\tag{3.10423}</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\boxed{\sigma_F(z):=\left|\operatorname{Stab}_F(z)\right|.}</w:t>
      </w:r>
    </w:p>
    <w:p w:rsidR="0068496A" w:rsidRDefault="0068496A" w:rsidP="0068496A">
      <w:pPr>
        <w:pStyle w:val="StandardWeb"/>
      </w:pPr>
      <w:r>
        <w:t>Diese Größe ist eine Operationalisierung der Anzahl zustandserhaltender diskreter Symmetrien und keine physikalische Observable ohne zusätzliche Modellzuordnung.</w:t>
      </w:r>
    </w:p>
    <w:p w:rsidR="0068496A" w:rsidRDefault="00E50336" w:rsidP="0068496A">
      <w:r>
        <w:pict>
          <v:rect id="_x0000_i3285" style="width:0;height:1.5pt" o:hralign="center" o:hrstd="t" o:hr="t" fillcolor="#a0a0a0" stroked="f"/>
        </w:pict>
      </w:r>
    </w:p>
    <w:p w:rsidR="0068496A" w:rsidRDefault="0068496A" w:rsidP="0068496A">
      <w:pPr>
        <w:pStyle w:val="berschrift1"/>
      </w:pPr>
      <w:r>
        <w:t>3.3.45.187 Orbit-Stabilisator-Beziehung für endliche Symmetriegruppen</w:t>
      </w:r>
    </w:p>
    <w:p w:rsidR="0068496A" w:rsidRDefault="0068496A" w:rsidP="0068496A">
      <w:pPr>
        <w:pStyle w:val="StandardWeb"/>
      </w:pPr>
      <w:r>
        <w:t>Für endliche Gruppen gilt die bekannte gruppentheoretische Orbit-Stabilisator-Struktur.</w:t>
      </w:r>
    </w:p>
    <w:p w:rsidR="0068496A" w:rsidRDefault="0068496A" w:rsidP="0068496A">
      <w:pPr>
        <w:pStyle w:val="StandardWeb"/>
      </w:pPr>
      <w:r>
        <w:t>Im FRZK-Kontext kann sie für eine endliche funktionale Symmetriegruppe geschrieben werden als</w:t>
      </w:r>
    </w:p>
    <w:p w:rsidR="0068496A" w:rsidRDefault="0068496A" w:rsidP="0068496A">
      <w:pPr>
        <w:pStyle w:val="berschrift1"/>
      </w:pPr>
      <w:r>
        <w:t>[</w:t>
      </w:r>
      <w:r>
        <w:br/>
        <w:t>|\mathfrak G_F|</w:t>
      </w:r>
    </w:p>
    <w:p w:rsidR="0068496A" w:rsidRDefault="0068496A" w:rsidP="0068496A">
      <w:pPr>
        <w:pStyle w:val="StandardWeb"/>
      </w:pPr>
      <w:r>
        <w:t>|\mathcal O_S(z)|</w:t>
      </w:r>
      <w:r>
        <w:br/>
        <w:t>,</w:t>
      </w:r>
      <w:r>
        <w:br/>
        <w:t>|\operatorname{Stab}_F(z)|.</w:t>
      </w:r>
      <w:r>
        <w:br/>
        <w:t>\tag{3.10424}</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|\mathfrak G_F|=|\mathcal O_S(z)|\,|\operatorname{Stab}_F(z)|</w:t>
      </w:r>
    </w:p>
    <w:p w:rsidR="0068496A" w:rsidRDefault="00E50336" w:rsidP="0068496A">
      <w:r>
        <w:pict>
          <v:rect id="_x0000_i3286" style="width:0;height:1.5pt" o:hralign="center" o:hrstd="t" o:hr="t" fillcolor="#a0a0a0" stroked="f"/>
        </w:pict>
      </w:r>
    </w:p>
    <w:p w:rsidR="0068496A" w:rsidRDefault="0068496A" w:rsidP="0068496A">
      <w:pPr>
        <w:pStyle w:val="berschrift1"/>
      </w:pPr>
      <w:r>
        <w:t>3.3.45.188 Satz 3.3.60 – Orbit-Stabilisator-Beziehung</w:t>
      </w:r>
    </w:p>
    <w:p w:rsidR="0068496A" w:rsidRDefault="0068496A" w:rsidP="0068496A">
      <w:pPr>
        <w:pStyle w:val="berschrift3"/>
      </w:pPr>
      <w:r>
        <w:t>Satz 3.3.60</w:t>
      </w:r>
    </w:p>
    <w:p w:rsidR="0068496A" w:rsidRDefault="0068496A" w:rsidP="0068496A">
      <w:pPr>
        <w:pStyle w:val="StandardWeb"/>
      </w:pPr>
      <w:r>
        <w:t>Ist (\mathfrak G_F) endlich, dann gilt für jeden Zustand (z)</w:t>
      </w:r>
    </w:p>
    <w:p w:rsidR="0068496A" w:rsidRDefault="0068496A" w:rsidP="0068496A">
      <w:pPr>
        <w:pStyle w:val="berschrift1"/>
      </w:pPr>
      <w:r>
        <w:lastRenderedPageBreak/>
        <w:t>[</w:t>
      </w:r>
      <w:r>
        <w:br/>
        <w:t>\boxed{</w:t>
      </w:r>
      <w:r>
        <w:br/>
        <w:t>|\mathcal O_S(z)|</w:t>
      </w:r>
    </w:p>
    <w:p w:rsidR="0068496A" w:rsidRDefault="0068496A" w:rsidP="0068496A">
      <w:pPr>
        <w:pStyle w:val="StandardWeb"/>
      </w:pPr>
      <w:r>
        <w:t>\frac{|\mathfrak G_F|}</w:t>
      </w:r>
      <w:r>
        <w:br/>
        <w:t>{|\operatorname{Stab}_F(z)|}.</w:t>
      </w:r>
      <w:r>
        <w:br/>
        <w:t>}</w:t>
      </w:r>
      <w:r>
        <w:br/>
        <w:t>\tag{3.10425}</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\boxed{|\mathcal O_S(z)|=\frac{|\mathfrak G_F|}{|\operatorname{Stab}_F(z)|}.}</w:t>
      </w:r>
    </w:p>
    <w:p w:rsidR="0068496A" w:rsidRDefault="0068496A" w:rsidP="0068496A">
      <w:pPr>
        <w:pStyle w:val="StandardWeb"/>
      </w:pPr>
      <w:r>
        <w:t>Diese Beziehung ist eine direkte Anwendung der allgemeinen Gruppenwirkung und führt keine zusätzliche FRZK-Axiomatik ein.</w:t>
      </w:r>
    </w:p>
    <w:p w:rsidR="0068496A" w:rsidRDefault="00E50336" w:rsidP="0068496A">
      <w:r>
        <w:pict>
          <v:rect id="_x0000_i3287" style="width:0;height:1.5pt" o:hralign="center" o:hrstd="t" o:hr="t" fillcolor="#a0a0a0" stroked="f"/>
        </w:pict>
      </w:r>
    </w:p>
    <w:p w:rsidR="0068496A" w:rsidRDefault="0068496A" w:rsidP="0068496A">
      <w:pPr>
        <w:pStyle w:val="berschrift1"/>
      </w:pPr>
      <w:r>
        <w:t>3.3.45.189 Orbitgröße als Strukturkennzahl</w:t>
      </w:r>
    </w:p>
    <w:p w:rsidR="0068496A" w:rsidRDefault="0068496A" w:rsidP="0068496A">
      <w:pPr>
        <w:pStyle w:val="StandardWeb"/>
      </w:pPr>
      <w:r>
        <w:t>Für endliche Gruppen kann ich ergänzend definieren</w:t>
      </w:r>
    </w:p>
    <w:p w:rsidR="0068496A" w:rsidRDefault="0068496A" w:rsidP="0068496A">
      <w:pPr>
        <w:pStyle w:val="berschrift1"/>
      </w:pPr>
      <w:r>
        <w:t>[</w:t>
      </w:r>
      <w:r>
        <w:br/>
        <w:t>o_F(z)</w:t>
      </w:r>
    </w:p>
    <w:p w:rsidR="0068496A" w:rsidRDefault="0068496A" w:rsidP="0068496A">
      <w:pPr>
        <w:pStyle w:val="StandardWeb"/>
      </w:pPr>
      <w:r>
        <w:t>|\mathcal O_S(z)|.</w:t>
      </w:r>
      <w:r>
        <w:br/>
        <w:t>\tag{3.10426}</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o_F(z)=|\mathcal O_S(z)|</w:t>
      </w:r>
    </w:p>
    <w:p w:rsidR="0068496A" w:rsidRDefault="0068496A" w:rsidP="0068496A">
      <w:pPr>
        <w:pStyle w:val="StandardWeb"/>
      </w:pPr>
      <w:r>
        <w:t>Dann gilt</w:t>
      </w:r>
    </w:p>
    <w:p w:rsidR="0068496A" w:rsidRDefault="0068496A" w:rsidP="0068496A">
      <w:pPr>
        <w:pStyle w:val="berschrift1"/>
      </w:pPr>
      <w:r>
        <w:t>[</w:t>
      </w:r>
      <w:r>
        <w:br/>
        <w:t>o_F(z)</w:t>
      </w:r>
    </w:p>
    <w:p w:rsidR="0068496A" w:rsidRDefault="0068496A" w:rsidP="0068496A">
      <w:pPr>
        <w:pStyle w:val="StandardWeb"/>
      </w:pPr>
      <w:r>
        <w:t>\frac{|\mathfrak G_F|}</w:t>
      </w:r>
      <w:r>
        <w:br/>
        <w:t>{\sigma_F(z)}.</w:t>
      </w:r>
      <w:r>
        <w:br/>
        <w:t>\tag{3.10427}</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lastRenderedPageBreak/>
        <w:t>o_F(z)=\frac{|\mathfrak G_F|}{\sigma_F(z)}</w:t>
      </w:r>
    </w:p>
    <w:p w:rsidR="0068496A" w:rsidRDefault="0068496A" w:rsidP="0068496A">
      <w:pPr>
        <w:pStyle w:val="StandardWeb"/>
      </w:pPr>
      <w:r>
        <w:t>Ein großer Stabilisator entspricht somit bei fester endlicher Gruppe einem kleinen Orbit.</w:t>
      </w:r>
    </w:p>
    <w:p w:rsidR="0068496A" w:rsidRDefault="00E50336" w:rsidP="0068496A">
      <w:r>
        <w:pict>
          <v:rect id="_x0000_i3288" style="width:0;height:1.5pt" o:hralign="center" o:hrstd="t" o:hr="t" fillcolor="#a0a0a0" stroked="f"/>
        </w:pict>
      </w:r>
    </w:p>
    <w:p w:rsidR="0068496A" w:rsidRDefault="0068496A" w:rsidP="0068496A">
      <w:pPr>
        <w:pStyle w:val="berschrift1"/>
      </w:pPr>
      <w:r>
        <w:t>3.3.45.190 Symmetrisch ausgezeichnete Zustände</w:t>
      </w:r>
    </w:p>
    <w:p w:rsidR="0068496A" w:rsidRDefault="0068496A" w:rsidP="0068496A">
      <w:pPr>
        <w:pStyle w:val="StandardWeb"/>
      </w:pPr>
      <w:r>
        <w:t>Ein Zustand kann als besonders symmetrisch gelten, wenn sein Stabilisator groß ist.</w:t>
      </w:r>
    </w:p>
    <w:p w:rsidR="0068496A" w:rsidRDefault="0068496A" w:rsidP="0068496A">
      <w:pPr>
        <w:pStyle w:val="StandardWeb"/>
      </w:pPr>
      <w:r>
        <w:t>Formal könnte ich zwei Zustände (z_a,z_b) vergleichen über</w:t>
      </w:r>
    </w:p>
    <w:p w:rsidR="0068496A" w:rsidRDefault="0068496A" w:rsidP="0068496A">
      <w:pPr>
        <w:pStyle w:val="StandardWeb"/>
      </w:pPr>
      <w:r>
        <w:t>[</w:t>
      </w:r>
      <w:r>
        <w:br/>
        <w:t>\sigma_F(z_a)</w:t>
      </w:r>
    </w:p>
    <w:p w:rsidR="0068496A" w:rsidRDefault="0068496A" w:rsidP="0068496A">
      <w:pPr>
        <w:pStyle w:val="StandardWeb"/>
      </w:pPr>
      <w:r>
        <w:t>\sigma_F(z_b).</w:t>
      </w:r>
      <w:r>
        <w:br/>
        <w:t>\tag{3.10428}</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\sigma_F(z_a)&gt;\sigma_F(z_b)</w:t>
      </w:r>
    </w:p>
    <w:p w:rsidR="0068496A" w:rsidRDefault="0068496A" w:rsidP="0068496A">
      <w:pPr>
        <w:pStyle w:val="StandardWeb"/>
      </w:pPr>
      <w:r>
        <w:t>Diese Relation beschreibt jedoch lediglich die Anzahl zustandserhaltender diskreter Symmetrien.</w:t>
      </w:r>
    </w:p>
    <w:p w:rsidR="0068496A" w:rsidRDefault="00E50336" w:rsidP="0068496A">
      <w:r>
        <w:pict>
          <v:rect id="_x0000_i3289" style="width:0;height:1.5pt" o:hralign="center" o:hrstd="t" o:hr="t" fillcolor="#a0a0a0" stroked="f"/>
        </w:pict>
      </w:r>
    </w:p>
    <w:p w:rsidR="0068496A" w:rsidRDefault="0068496A" w:rsidP="0068496A">
      <w:pPr>
        <w:pStyle w:val="berschrift1"/>
      </w:pPr>
      <w:r>
        <w:t>3.3.45.191 Keine universelle physikalische Bedeutung des Symmetriegrades</w:t>
      </w:r>
    </w:p>
    <w:p w:rsidR="0068496A" w:rsidRDefault="0068496A" w:rsidP="0068496A">
      <w:pPr>
        <w:pStyle w:val="StandardWeb"/>
      </w:pPr>
      <w:r>
        <w:t>Es gilt ausdrücklich</w:t>
      </w:r>
    </w:p>
    <w:p w:rsidR="0068496A" w:rsidRDefault="0068496A" w:rsidP="0068496A">
      <w:pPr>
        <w:pStyle w:val="StandardWeb"/>
      </w:pPr>
      <w:r>
        <w:t>[</w:t>
      </w:r>
      <w:r>
        <w:br/>
        <w:t>\boxed{</w:t>
      </w:r>
      <w:r>
        <w:br/>
        <w:t>\sigma_F(z)</w:t>
      </w:r>
      <w:r>
        <w:br/>
        <w:t>\not\equiv</w:t>
      </w:r>
      <w:r>
        <w:br/>
        <w:t>\text{physikalischer Stabilitätsgrad}.</w:t>
      </w:r>
      <w:r>
        <w:br/>
        <w:t>}</w:t>
      </w:r>
      <w:r>
        <w:br/>
        <w:t>\tag{3.10429}</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\boxed{\sigma_F(z)\not\equiv\text{physikalischer Stabilitätsgrad}.}</w:t>
      </w:r>
    </w:p>
    <w:p w:rsidR="0068496A" w:rsidRDefault="0068496A" w:rsidP="0068496A">
      <w:pPr>
        <w:pStyle w:val="StandardWeb"/>
      </w:pPr>
      <w:r>
        <w:t>Ebenso folgt nicht</w:t>
      </w:r>
    </w:p>
    <w:p w:rsidR="0068496A" w:rsidRDefault="0068496A" w:rsidP="0068496A">
      <w:pPr>
        <w:pStyle w:val="StandardWeb"/>
      </w:pPr>
      <w:r>
        <w:t>[</w:t>
      </w:r>
      <w:r>
        <w:br/>
        <w:t>\sigma_F(z_a)&gt;\sigma_F(z_b)</w:t>
      </w:r>
      <w:r>
        <w:br/>
      </w:r>
      <w:r>
        <w:lastRenderedPageBreak/>
        <w:t>\Rightarrow</w:t>
      </w:r>
      <w:r>
        <w:br/>
        <w:t>C_F(z_a)&gt;C_F(z_b).</w:t>
      </w:r>
      <w:r>
        <w:br/>
        <w:t>\tag{3.10430}</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\sigma_F(z_a)&gt;\sigma_F(z_b)\Rightarrow C_F(z_a)&gt;C_F(z_b)</w:t>
      </w:r>
    </w:p>
    <w:p w:rsidR="0068496A" w:rsidRDefault="0068496A" w:rsidP="0068496A">
      <w:pPr>
        <w:pStyle w:val="StandardWeb"/>
      </w:pPr>
      <w:r>
        <w:t>Eine Beziehung zwischen Symmetriegrad und Kohärenz müsste separat als Modellannahme oder empirisch prüfbare Hypothese eingeführt werden.</w:t>
      </w:r>
    </w:p>
    <w:p w:rsidR="0068496A" w:rsidRDefault="00E50336" w:rsidP="0068496A">
      <w:r>
        <w:pict>
          <v:rect id="_x0000_i3290" style="width:0;height:1.5pt" o:hralign="center" o:hrstd="t" o:hr="t" fillcolor="#a0a0a0" stroked="f"/>
        </w:pict>
      </w:r>
    </w:p>
    <w:p w:rsidR="0068496A" w:rsidRDefault="0068496A" w:rsidP="0068496A">
      <w:pPr>
        <w:pStyle w:val="berschrift1"/>
      </w:pPr>
      <w:r>
        <w:t>3.3.45.192 Symmetrieorbits und funktionale Zusammenhangskomponenten</w:t>
      </w:r>
    </w:p>
    <w:p w:rsidR="0068496A" w:rsidRDefault="0068496A" w:rsidP="0068496A">
      <w:pPr>
        <w:pStyle w:val="StandardWeb"/>
      </w:pPr>
      <w:r>
        <w:t>Nun muss ich die Symmetriepartition mit der zuvor entwickelten Zusammenhangspartition vergleichen.</w:t>
      </w:r>
    </w:p>
    <w:p w:rsidR="0068496A" w:rsidRDefault="0068496A" w:rsidP="0068496A">
      <w:pPr>
        <w:pStyle w:val="StandardWeb"/>
      </w:pPr>
      <w:r>
        <w:t>Für einen Zustand (z) existieren zwei verschiedene Mengen:</w:t>
      </w:r>
    </w:p>
    <w:p w:rsidR="0068496A" w:rsidRDefault="0068496A" w:rsidP="0068496A">
      <w:pPr>
        <w:pStyle w:val="StandardWeb"/>
      </w:pPr>
      <w:r>
        <w:t>[</w:t>
      </w:r>
      <w:r>
        <w:br/>
        <w:t>\mathcal O_S(z)</w:t>
      </w:r>
      <w:r>
        <w:br/>
        <w:t>\tag{3.10431}</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\mathcal O_S(z)</w:t>
      </w:r>
    </w:p>
    <w:p w:rsidR="0068496A" w:rsidRDefault="0068496A" w:rsidP="0068496A">
      <w:pPr>
        <w:pStyle w:val="StandardWeb"/>
      </w:pPr>
      <w:r>
        <w:t>und</w:t>
      </w:r>
    </w:p>
    <w:p w:rsidR="0068496A" w:rsidRDefault="0068496A" w:rsidP="0068496A">
      <w:pPr>
        <w:pStyle w:val="StandardWeb"/>
      </w:pPr>
      <w:r>
        <w:t>[</w:t>
      </w:r>
      <w:r>
        <w:br/>
        <w:t>[z]_{\pm}.</w:t>
      </w:r>
      <w:r>
        <w:br/>
        <w:t>\tag{3.10432}</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[z]_{\pm}</w:t>
      </w:r>
    </w:p>
    <w:p w:rsidR="0068496A" w:rsidRDefault="0068496A" w:rsidP="0068496A">
      <w:pPr>
        <w:pStyle w:val="StandardWeb"/>
      </w:pPr>
      <w:r>
        <w:t>Der erste Begriff beruht auf Symmetrietransformationen, der zweite auf der Übergangsrelation.</w:t>
      </w:r>
    </w:p>
    <w:p w:rsidR="0068496A" w:rsidRDefault="00E50336" w:rsidP="0068496A">
      <w:r>
        <w:pict>
          <v:rect id="_x0000_i3291" style="width:0;height:1.5pt" o:hralign="center" o:hrstd="t" o:hr="t" fillcolor="#a0a0a0" stroked="f"/>
        </w:pict>
      </w:r>
    </w:p>
    <w:p w:rsidR="0068496A" w:rsidRDefault="0068496A" w:rsidP="0068496A">
      <w:pPr>
        <w:pStyle w:val="berschrift1"/>
      </w:pPr>
      <w:r>
        <w:t>3.3.45.193 Keine automatische Gleichheit beider Partitionen</w:t>
      </w:r>
    </w:p>
    <w:p w:rsidR="0068496A" w:rsidRDefault="0068496A" w:rsidP="0068496A">
      <w:pPr>
        <w:pStyle w:val="StandardWeb"/>
      </w:pPr>
      <w:r>
        <w:lastRenderedPageBreak/>
        <w:t>Im Allgemeinen gilt nicht</w:t>
      </w:r>
    </w:p>
    <w:p w:rsidR="0068496A" w:rsidRDefault="0068496A" w:rsidP="0068496A">
      <w:pPr>
        <w:pStyle w:val="berschrift1"/>
      </w:pPr>
      <w:r>
        <w:t>[</w:t>
      </w:r>
      <w:r>
        <w:br/>
        <w:t>\boxed{</w:t>
      </w:r>
      <w:r>
        <w:br/>
        <w:t>\mathcal O_S(z)</w:t>
      </w:r>
    </w:p>
    <w:p w:rsidR="0068496A" w:rsidRDefault="0068496A" w:rsidP="0068496A">
      <w:pPr>
        <w:pStyle w:val="StandardWeb"/>
      </w:pPr>
      <w:r>
        <w:t>[z]_{\pm}.</w:t>
      </w:r>
      <w:r>
        <w:br/>
        <w:t>}</w:t>
      </w:r>
      <w:r>
        <w:br/>
        <w:t>\tag{3.10433}</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\boxed{\mathcal O_S(z)=[z]_{\pm}.}</w:t>
      </w:r>
    </w:p>
    <w:p w:rsidR="0068496A" w:rsidRDefault="0068496A" w:rsidP="0068496A">
      <w:pPr>
        <w:pStyle w:val="StandardWeb"/>
      </w:pPr>
      <w:r>
        <w:t>Diese Gleichheit wäre eine zusätzliche Strukturbedingung und folgt nicht aus den bisherigen Definitionen.</w:t>
      </w:r>
    </w:p>
    <w:p w:rsidR="0068496A" w:rsidRDefault="00E50336" w:rsidP="0068496A">
      <w:r>
        <w:pict>
          <v:rect id="_x0000_i3292" style="width:0;height:1.5pt" o:hralign="center" o:hrstd="t" o:hr="t" fillcolor="#a0a0a0" stroked="f"/>
        </w:pict>
      </w:r>
    </w:p>
    <w:p w:rsidR="0068496A" w:rsidRDefault="0068496A" w:rsidP="0068496A">
      <w:pPr>
        <w:pStyle w:val="berschrift1"/>
      </w:pPr>
      <w:r>
        <w:t>3.3.45.194 Symmetrien können verschiedene Zusammenhangskomponenten vertauschen</w:t>
      </w:r>
    </w:p>
    <w:p w:rsidR="0068496A" w:rsidRDefault="0068496A" w:rsidP="0068496A">
      <w:pPr>
        <w:pStyle w:val="StandardWeb"/>
      </w:pPr>
      <w:r>
        <w:t>Da eine Übergangssymmetrie die Übergangsrelation als Ganzes erhält, kann sie eine Zusammenhangskomponente auf eine andere isomorphe Zusammenhangskomponente abbilden.</w:t>
      </w:r>
    </w:p>
    <w:p w:rsidR="0068496A" w:rsidRDefault="0068496A" w:rsidP="0068496A">
      <w:pPr>
        <w:pStyle w:val="StandardWeb"/>
      </w:pPr>
      <w:r>
        <w:t>Damit kann gelten</w:t>
      </w:r>
    </w:p>
    <w:p w:rsidR="0068496A" w:rsidRDefault="0068496A" w:rsidP="0068496A">
      <w:pPr>
        <w:pStyle w:val="berschrift1"/>
      </w:pPr>
      <w:r>
        <w:t>[</w:t>
      </w:r>
      <w:r>
        <w:br/>
        <w:t>S([z]_{\pm})</w:t>
      </w:r>
    </w:p>
    <w:p w:rsidR="0068496A" w:rsidRDefault="0068496A" w:rsidP="0068496A">
      <w:pPr>
        <w:pStyle w:val="StandardWeb"/>
      </w:pPr>
      <w:r>
        <w:t>[S(z)]_{\pm}</w:t>
      </w:r>
      <w:r>
        <w:br/>
        <w:t>\tag{3.10434}</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S([z]_{\pm})=[S(z)]_{\pm}</w:t>
      </w:r>
    </w:p>
    <w:p w:rsidR="0068496A" w:rsidRDefault="0068496A" w:rsidP="0068496A">
      <w:pPr>
        <w:pStyle w:val="StandardWeb"/>
      </w:pPr>
      <w:r>
        <w:t>mit</w:t>
      </w:r>
    </w:p>
    <w:p w:rsidR="0068496A" w:rsidRDefault="0068496A" w:rsidP="0068496A">
      <w:pPr>
        <w:pStyle w:val="StandardWeb"/>
      </w:pPr>
      <w:r>
        <w:t>[</w:t>
      </w:r>
      <w:r>
        <w:br/>
        <w:t>[z]</w:t>
      </w:r>
      <w:r>
        <w:rPr>
          <w:rStyle w:val="Hervorhebung"/>
        </w:rPr>
        <w:t>{\pm}</w:t>
      </w:r>
      <w:r>
        <w:rPr>
          <w:i/>
          <w:iCs/>
        </w:rPr>
        <w:br/>
      </w:r>
      <w:r>
        <w:rPr>
          <w:rStyle w:val="Hervorhebung"/>
        </w:rPr>
        <w:t>\neq</w:t>
      </w:r>
      <w:r>
        <w:rPr>
          <w:i/>
          <w:iCs/>
        </w:rPr>
        <w:br/>
      </w:r>
      <w:r>
        <w:rPr>
          <w:rStyle w:val="Hervorhebung"/>
        </w:rPr>
        <w:t>[S(z)]</w:t>
      </w:r>
      <w:r>
        <w:t>{\pm}.</w:t>
      </w:r>
      <w:r>
        <w:br/>
      </w:r>
      <w:r>
        <w:lastRenderedPageBreak/>
        <w:t>\tag{3.10435}</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[z]_{\pm}\neq[S(z)]_{\pm}</w:t>
      </w:r>
    </w:p>
    <w:p w:rsidR="0068496A" w:rsidRDefault="00E50336" w:rsidP="0068496A">
      <w:r>
        <w:pict>
          <v:rect id="_x0000_i3293" style="width:0;height:1.5pt" o:hralign="center" o:hrstd="t" o:hr="t" fillcolor="#a0a0a0" stroked="f"/>
        </w:pict>
      </w:r>
    </w:p>
    <w:p w:rsidR="0068496A" w:rsidRDefault="0068496A" w:rsidP="0068496A">
      <w:pPr>
        <w:pStyle w:val="berschrift1"/>
      </w:pPr>
      <w:r>
        <w:t>3.3.45.195 Satz 3.3.61 – Symmetrien permutieren funktionale Zusammenhangskomponenten</w:t>
      </w:r>
    </w:p>
    <w:p w:rsidR="0068496A" w:rsidRDefault="0068496A" w:rsidP="0068496A">
      <w:pPr>
        <w:pStyle w:val="berschrift3"/>
      </w:pPr>
      <w:r>
        <w:t>Satz 3.3.61</w:t>
      </w:r>
    </w:p>
    <w:p w:rsidR="0068496A" w:rsidRDefault="0068496A" w:rsidP="0068496A">
      <w:pPr>
        <w:pStyle w:val="StandardWeb"/>
      </w:pPr>
      <w:r>
        <w:t>Für jede funktionale Übergangssymmetrie (S) gilt</w:t>
      </w:r>
    </w:p>
    <w:p w:rsidR="0068496A" w:rsidRDefault="0068496A" w:rsidP="0068496A">
      <w:pPr>
        <w:pStyle w:val="berschrift1"/>
      </w:pPr>
      <w:r>
        <w:t>[</w:t>
      </w:r>
      <w:r>
        <w:br/>
        <w:t>\boxed{</w:t>
      </w:r>
      <w:r>
        <w:br/>
        <w:t>S([z]_{\pm})</w:t>
      </w:r>
    </w:p>
    <w:p w:rsidR="0068496A" w:rsidRDefault="0068496A" w:rsidP="0068496A">
      <w:pPr>
        <w:pStyle w:val="StandardWeb"/>
      </w:pPr>
      <w:r>
        <w:t>[S(z)]_{\pm}.</w:t>
      </w:r>
      <w:r>
        <w:br/>
        <w:t>}</w:t>
      </w:r>
      <w:r>
        <w:br/>
        <w:t>\tag{3.10436}</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\boxed{S([z]_{\pm})=[S(z)]_{\pm}.}</w:t>
      </w:r>
    </w:p>
    <w:p w:rsidR="0068496A" w:rsidRDefault="0068496A" w:rsidP="0068496A">
      <w:pPr>
        <w:pStyle w:val="berschrift3"/>
      </w:pPr>
      <w:r>
        <w:t>Beweis</w:t>
      </w:r>
    </w:p>
    <w:p w:rsidR="0068496A" w:rsidRDefault="0068496A" w:rsidP="0068496A">
      <w:pPr>
        <w:pStyle w:val="StandardWeb"/>
      </w:pPr>
      <w:r>
        <w:t>Ist (y\in[z]_{\pm}), so existiert ein Pfad in der symmetrisierten Übergangsrelation von (z) nach (y). Da (S) sowohl die ursprüngliche Übergangsrelation als auch deren Umkehrung erhält, wird dieser Pfad auf einen Pfad von (S(z)) nach (S(y)) abgebildet. Damit ist</w:t>
      </w:r>
    </w:p>
    <w:p w:rsidR="0068496A" w:rsidRDefault="0068496A" w:rsidP="0068496A">
      <w:pPr>
        <w:pStyle w:val="StandardWeb"/>
      </w:pPr>
      <w:r>
        <w:t>[</w:t>
      </w:r>
      <w:r>
        <w:br/>
        <w:t>S(y)</w:t>
      </w:r>
      <w:r>
        <w:br/>
        <w:t>\in</w:t>
      </w:r>
      <w:r>
        <w:br/>
        <w:t>[S(z)]_{\pm}.</w:t>
      </w:r>
      <w:r>
        <w:br/>
        <w:t>\tag{3.10437}</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S(y)\in[S(z)]_{\pm}</w:t>
      </w:r>
    </w:p>
    <w:p w:rsidR="0068496A" w:rsidRDefault="0068496A" w:rsidP="0068496A">
      <w:pPr>
        <w:pStyle w:val="StandardWeb"/>
      </w:pPr>
      <w:r>
        <w:t>Die umgekehrte Inklusion folgt durch Anwendung von (S^{-1}). (\square)</w:t>
      </w:r>
    </w:p>
    <w:p w:rsidR="0068496A" w:rsidRDefault="00E50336" w:rsidP="0068496A">
      <w:r>
        <w:pict>
          <v:rect id="_x0000_i3294" style="width:0;height:1.5pt" o:hralign="center" o:hrstd="t" o:hr="t" fillcolor="#a0a0a0" stroked="f"/>
        </w:pict>
      </w:r>
    </w:p>
    <w:p w:rsidR="0068496A" w:rsidRDefault="0068496A" w:rsidP="0068496A">
      <w:pPr>
        <w:pStyle w:val="berschrift1"/>
      </w:pPr>
      <w:r>
        <w:lastRenderedPageBreak/>
        <w:t>3.3.45.196 Induzierte Symmetrie auf dem Komponentenquotienten</w:t>
      </w:r>
    </w:p>
    <w:p w:rsidR="0068496A" w:rsidRDefault="0068496A" w:rsidP="0068496A">
      <w:pPr>
        <w:pStyle w:val="StandardWeb"/>
      </w:pPr>
      <w:r>
        <w:t>Satz 3.3.61 erlaubt es, jede funktionale Übergangssymmetrie auf die Menge der Zusammenhangskomponenten zu übertragen.</w:t>
      </w:r>
    </w:p>
    <w:p w:rsidR="0068496A" w:rsidRDefault="0068496A" w:rsidP="0068496A">
      <w:pPr>
        <w:pStyle w:val="StandardWeb"/>
      </w:pPr>
      <w:r>
        <w:t>Ich definiere</w:t>
      </w:r>
    </w:p>
    <w:p w:rsidR="0068496A" w:rsidRDefault="0068496A" w:rsidP="0068496A">
      <w:pPr>
        <w:pStyle w:val="StandardWeb"/>
      </w:pPr>
      <w:r>
        <w:t>[</w:t>
      </w:r>
      <w:r>
        <w:br/>
        <w:t>\bar S:</w:t>
      </w:r>
      <w:r>
        <w:br/>
        <w:t>\mathcal C_F^{\pm}</w:t>
      </w:r>
      <w:r>
        <w:br/>
        <w:t>\rightarrow</w:t>
      </w:r>
      <w:r>
        <w:br/>
        <w:t>\mathcal C_F^{\pm}</w:t>
      </w:r>
      <w:r>
        <w:br/>
        <w:t>\tag{3.10438}</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\bar S:\mathcal C_F^{\pm}\rightarrow\mathcal C_F^{\pm}</w:t>
      </w:r>
    </w:p>
    <w:p w:rsidR="0068496A" w:rsidRDefault="0068496A" w:rsidP="0068496A">
      <w:pPr>
        <w:pStyle w:val="StandardWeb"/>
      </w:pPr>
      <w:r>
        <w:t>durch</w:t>
      </w:r>
    </w:p>
    <w:p w:rsidR="0068496A" w:rsidRDefault="0068496A" w:rsidP="0068496A">
      <w:pPr>
        <w:pStyle w:val="berschrift1"/>
      </w:pPr>
      <w:r>
        <w:t>[</w:t>
      </w:r>
      <w:r>
        <w:br/>
        <w:t>\bar S([z]_{\pm})</w:t>
      </w:r>
    </w:p>
    <w:p w:rsidR="0068496A" w:rsidRDefault="0068496A" w:rsidP="0068496A">
      <w:pPr>
        <w:pStyle w:val="StandardWeb"/>
      </w:pPr>
      <w:r>
        <w:t>[S(z)]_{\pm}.</w:t>
      </w:r>
      <w:r>
        <w:br/>
        <w:t>\tag{3.10439}</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\bar S([z]_{\pm})=[S(z)]_{\pm}</w:t>
      </w:r>
    </w:p>
    <w:p w:rsidR="0068496A" w:rsidRDefault="00E50336" w:rsidP="0068496A">
      <w:r>
        <w:pict>
          <v:rect id="_x0000_i3295" style="width:0;height:1.5pt" o:hralign="center" o:hrstd="t" o:hr="t" fillcolor="#a0a0a0" stroked="f"/>
        </w:pict>
      </w:r>
    </w:p>
    <w:p w:rsidR="0068496A" w:rsidRDefault="0068496A" w:rsidP="0068496A">
      <w:pPr>
        <w:pStyle w:val="berschrift1"/>
      </w:pPr>
      <w:r>
        <w:t>3.3.45.197 Definition 3.3.133 – Induzierte Komponentensymmetrie</w:t>
      </w:r>
    </w:p>
    <w:p w:rsidR="0068496A" w:rsidRDefault="0068496A" w:rsidP="0068496A">
      <w:pPr>
        <w:pStyle w:val="berschrift3"/>
      </w:pPr>
      <w:r>
        <w:t>Definition 3.3.133</w:t>
      </w:r>
    </w:p>
    <w:p w:rsidR="0068496A" w:rsidRDefault="0068496A" w:rsidP="0068496A">
      <w:pPr>
        <w:pStyle w:val="StandardWeb"/>
      </w:pPr>
      <w:r>
        <w:t>Die durch (S\in\mathfrak G_F) induzierte Abbildung</w:t>
      </w:r>
    </w:p>
    <w:p w:rsidR="0068496A" w:rsidRDefault="0068496A" w:rsidP="0068496A">
      <w:pPr>
        <w:pStyle w:val="berschrift1"/>
      </w:pPr>
      <w:r>
        <w:t>[</w:t>
      </w:r>
      <w:r>
        <w:br/>
        <w:t>\boxed{</w:t>
      </w:r>
      <w:r>
        <w:br/>
        <w:t>\bar S([z]_{\pm})</w:t>
      </w:r>
    </w:p>
    <w:p w:rsidR="0068496A" w:rsidRDefault="0068496A" w:rsidP="0068496A">
      <w:pPr>
        <w:pStyle w:val="StandardWeb"/>
      </w:pPr>
      <w:r>
        <w:lastRenderedPageBreak/>
        <w:t>[S(z)]_{\pm}</w:t>
      </w:r>
      <w:r>
        <w:br/>
        <w:t>}</w:t>
      </w:r>
      <w:r>
        <w:br/>
        <w:t>\tag{3.10440}</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\boxed{\bar S([z]_{\pm})=[S(z)]_{\pm}}</w:t>
      </w:r>
    </w:p>
    <w:p w:rsidR="0068496A" w:rsidRDefault="0068496A" w:rsidP="0068496A">
      <w:pPr>
        <w:pStyle w:val="StandardWeb"/>
      </w:pPr>
      <w:r>
        <w:t xml:space="preserve">nenne ich die </w:t>
      </w:r>
      <w:r>
        <w:rPr>
          <w:rStyle w:val="Fett"/>
        </w:rPr>
        <w:t>induzierte funktionale Komponentensymmetrie</w:t>
      </w:r>
      <w:r>
        <w:t>.</w:t>
      </w:r>
    </w:p>
    <w:p w:rsidR="0068496A" w:rsidRDefault="00E50336" w:rsidP="0068496A">
      <w:r>
        <w:pict>
          <v:rect id="_x0000_i3296" style="width:0;height:1.5pt" o:hralign="center" o:hrstd="t" o:hr="t" fillcolor="#a0a0a0" stroked="f"/>
        </w:pict>
      </w:r>
    </w:p>
    <w:p w:rsidR="0068496A" w:rsidRDefault="0068496A" w:rsidP="0068496A">
      <w:pPr>
        <w:pStyle w:val="berschrift1"/>
      </w:pPr>
      <w:r>
        <w:t>3.3.45.198 Wirkung auf dem Komponentenquotienten</w:t>
      </w:r>
    </w:p>
    <w:p w:rsidR="0068496A" w:rsidRDefault="0068496A" w:rsidP="0068496A">
      <w:pPr>
        <w:pStyle w:val="StandardWeb"/>
      </w:pPr>
      <w:r>
        <w:t>Damit entsteht eine Gruppenwirkung</w:t>
      </w:r>
    </w:p>
    <w:p w:rsidR="0068496A" w:rsidRDefault="0068496A" w:rsidP="0068496A">
      <w:pPr>
        <w:pStyle w:val="StandardWeb"/>
      </w:pPr>
      <w:r>
        <w:t>[</w:t>
      </w:r>
      <w:r>
        <w:br/>
        <w:t>\mathfrak G_F</w:t>
      </w:r>
      <w:r>
        <w:br/>
        <w:t>\times</w:t>
      </w:r>
      <w:r>
        <w:br/>
        <w:t>\mathcal C_F^{\pm}</w:t>
      </w:r>
      <w:r>
        <w:br/>
        <w:t>\rightarrow</w:t>
      </w:r>
      <w:r>
        <w:br/>
        <w:t>\mathcal C_F^{\pm}.</w:t>
      </w:r>
      <w:r>
        <w:br/>
        <w:t>\tag{3.10441}</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\mathfrak G_F\times\mathcal C_F^{\pm}\rightarrow\mathcal C_F^{\pm}</w:t>
      </w:r>
    </w:p>
    <w:p w:rsidR="0068496A" w:rsidRDefault="0068496A" w:rsidP="0068496A">
      <w:pPr>
        <w:pStyle w:val="StandardWeb"/>
      </w:pPr>
      <w:r>
        <w:t>Einige Symmetrien können jede Zusammenhangskomponente einzeln erhalten, andere können mehrere Komponenten untereinander permutieren.</w:t>
      </w:r>
    </w:p>
    <w:p w:rsidR="0068496A" w:rsidRDefault="00E50336" w:rsidP="0068496A">
      <w:r>
        <w:pict>
          <v:rect id="_x0000_i3297" style="width:0;height:1.5pt" o:hralign="center" o:hrstd="t" o:hr="t" fillcolor="#a0a0a0" stroked="f"/>
        </w:pict>
      </w:r>
    </w:p>
    <w:p w:rsidR="0068496A" w:rsidRDefault="0068496A" w:rsidP="0068496A">
      <w:pPr>
        <w:pStyle w:val="berschrift1"/>
      </w:pPr>
      <w:r>
        <w:t>3.3.45.199 Komponentenerhaltende Symmetrien</w:t>
      </w:r>
    </w:p>
    <w:p w:rsidR="0068496A" w:rsidRDefault="0068496A" w:rsidP="0068496A">
      <w:pPr>
        <w:pStyle w:val="StandardWeb"/>
      </w:pPr>
      <w:r>
        <w:t>Ich definiere die Teilmenge</w:t>
      </w:r>
    </w:p>
    <w:p w:rsidR="0068496A" w:rsidRDefault="0068496A" w:rsidP="0068496A">
      <w:pPr>
        <w:pStyle w:val="berschrift1"/>
      </w:pPr>
      <w:r>
        <w:t>[</w:t>
      </w:r>
      <w:r>
        <w:br/>
        <w:t>\mathfrak G_F^{\mathrm{comp}}</w:t>
      </w:r>
    </w:p>
    <w:p w:rsidR="0068496A" w:rsidRDefault="0068496A" w:rsidP="0068496A">
      <w:pPr>
        <w:pStyle w:val="StandardWeb"/>
      </w:pPr>
      <w:r>
        <w:t>\left{</w:t>
      </w:r>
      <w:r>
        <w:br/>
        <w:t>S\in\mathfrak G_F:</w:t>
      </w:r>
      <w:r>
        <w:br/>
        <w:t>S(\mathcal C_\alpha)=\mathcal C_\alpha</w:t>
      </w:r>
      <w:r>
        <w:br/>
        <w:t>;\forall\alpha</w:t>
      </w:r>
      <w:r>
        <w:br/>
        <w:t>\right}.</w:t>
      </w:r>
      <w:r>
        <w:br/>
        <w:t>\tag{3.10442}</w:t>
      </w:r>
      <w:r>
        <w:br/>
        <w:t>]</w:t>
      </w:r>
    </w:p>
    <w:p w:rsidR="0068496A" w:rsidRDefault="0068496A" w:rsidP="0068496A">
      <w:pPr>
        <w:pStyle w:val="StandardWeb"/>
      </w:pPr>
      <w:r>
        <w:rPr>
          <w:rStyle w:val="Fett"/>
        </w:rPr>
        <w:lastRenderedPageBreak/>
        <w:t>Word-LaTeX</w:t>
      </w:r>
    </w:p>
    <w:p w:rsidR="0068496A" w:rsidRDefault="0068496A" w:rsidP="0068496A">
      <w:pPr>
        <w:pStyle w:val="HTMLVorformatiert"/>
        <w:rPr>
          <w:rStyle w:val="HTMLCode"/>
        </w:rPr>
      </w:pPr>
      <w:r>
        <w:rPr>
          <w:rStyle w:val="HTMLCode"/>
        </w:rPr>
        <w:t>\mathfrak G_F^{\mathrm{comp}}=\left\{S\in\mathfrak G_F:S(\mathcal C_\alpha)=\mathcal C_\alpha\;\forall\alpha\right\}</w:t>
      </w:r>
    </w:p>
    <w:p w:rsidR="0068496A" w:rsidRDefault="00E50336" w:rsidP="0068496A">
      <w:r>
        <w:pict>
          <v:rect id="_x0000_i3298" style="width:0;height:1.5pt" o:hralign="center" o:hrstd="t" o:hr="t" fillcolor="#a0a0a0" stroked="f"/>
        </w:pict>
      </w:r>
    </w:p>
    <w:p w:rsidR="0068496A" w:rsidRDefault="0068496A" w:rsidP="0068496A">
      <w:pPr>
        <w:pStyle w:val="berschrift1"/>
      </w:pPr>
      <w:r>
        <w:t>3.3.45.200 Definition 3.3.134 – Komponentenerhaltende Symmetriegruppe</w:t>
      </w:r>
    </w:p>
    <w:p w:rsidR="0068496A" w:rsidRDefault="0068496A" w:rsidP="0068496A">
      <w:pPr>
        <w:pStyle w:val="berschrift3"/>
      </w:pPr>
      <w:r>
        <w:t>Definition 3.3.134</w:t>
      </w:r>
    </w:p>
    <w:p w:rsidR="0068496A" w:rsidRDefault="0068496A" w:rsidP="0068496A">
      <w:pPr>
        <w:pStyle w:val="StandardWeb"/>
      </w:pPr>
      <w:r>
        <w:t xml:space="preserve">Die </w:t>
      </w:r>
      <w:r>
        <w:rPr>
          <w:rStyle w:val="Fett"/>
        </w:rPr>
        <w:t>komponentenerhaltende funktionale Symmetriegruppe</w:t>
      </w:r>
      <w:r>
        <w:t xml:space="preserve"> ist</w:t>
      </w:r>
    </w:p>
    <w:p w:rsidR="0068496A" w:rsidRDefault="0068496A" w:rsidP="0068496A">
      <w:pPr>
        <w:pStyle w:val="berschrift1"/>
      </w:pPr>
      <w:r>
        <w:t>[</w:t>
      </w:r>
      <w:r>
        <w:br/>
        <w:t>\boxed{</w:t>
      </w:r>
      <w:r>
        <w:br/>
        <w:t>\mathfrak G_F^{\mathrm{comp}}</w:t>
      </w:r>
    </w:p>
    <w:p w:rsidR="0068496A" w:rsidRDefault="0068496A" w:rsidP="0068496A">
      <w:pPr>
        <w:pStyle w:val="StandardWeb"/>
      </w:pPr>
      <w:r>
        <w:t>\left{</w:t>
      </w:r>
      <w:r>
        <w:br/>
        <w:t>S\in\mathfrak G_F:</w:t>
      </w:r>
      <w:r>
        <w:br/>
        <w:t>\bar S=\operatorname{id}_{\mathcal C_F^{\pm}}</w:t>
      </w:r>
      <w:r>
        <w:br/>
        <w:t>\right}.</w:t>
      </w:r>
      <w:r>
        <w:br/>
        <w:t>}</w:t>
      </w:r>
      <w:r>
        <w:br/>
        <w:t>\tag{3.10443}</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\boxed{\mathfrak G_F^{\mathrm{comp}}=\left\{S\in\mathfrak G_F:\bar S=\operatorname{id}_{\mathcal C_F^{\pm}}\right\}.}</w:t>
      </w:r>
    </w:p>
    <w:p w:rsidR="0068496A" w:rsidRDefault="0068496A" w:rsidP="0068496A">
      <w:pPr>
        <w:pStyle w:val="StandardWeb"/>
      </w:pPr>
      <w:r>
        <w:t>Diese Symmetrien verändern einen Zustand möglicherweise innerhalb seiner Zusammenhangskomponente, verschieben ihn aber nicht in eine andere Komponente.</w:t>
      </w:r>
    </w:p>
    <w:p w:rsidR="0068496A" w:rsidRDefault="00E50336" w:rsidP="0068496A">
      <w:r>
        <w:pict>
          <v:rect id="_x0000_i3299" style="width:0;height:1.5pt" o:hralign="center" o:hrstd="t" o:hr="t" fillcolor="#a0a0a0" stroked="f"/>
        </w:pict>
      </w:r>
    </w:p>
    <w:p w:rsidR="0068496A" w:rsidRDefault="0068496A" w:rsidP="0068496A">
      <w:pPr>
        <w:pStyle w:val="berschrift1"/>
      </w:pPr>
      <w:r>
        <w:t>3.3.45.201 Wirkung auf Übergangsinvarianten</w:t>
      </w:r>
    </w:p>
    <w:p w:rsidR="0068496A" w:rsidRDefault="0068496A" w:rsidP="0068496A">
      <w:pPr>
        <w:pStyle w:val="StandardWeb"/>
      </w:pPr>
      <w:r>
        <w:t>Für eine globale Übergangsinvariante gilt</w:t>
      </w:r>
    </w:p>
    <w:p w:rsidR="0068496A" w:rsidRDefault="0068496A" w:rsidP="0068496A">
      <w:pPr>
        <w:pStyle w:val="berschrift1"/>
      </w:pPr>
      <w:r>
        <w:t>[</w:t>
      </w:r>
      <w:r>
        <w:br/>
        <w:t>I_F</w:t>
      </w:r>
    </w:p>
    <w:p w:rsidR="0068496A" w:rsidRDefault="0068496A" w:rsidP="0068496A">
      <w:pPr>
        <w:pStyle w:val="StandardWeb"/>
      </w:pPr>
      <w:r>
        <w:t>\widetilde I_F</w:t>
      </w:r>
      <w:r>
        <w:br/>
        <w:t>\circ</w:t>
      </w:r>
      <w:r>
        <w:br/>
        <w:t>\pi_F^{\pm}.</w:t>
      </w:r>
      <w:r>
        <w:br/>
      </w:r>
      <w:r>
        <w:lastRenderedPageBreak/>
        <w:t>\tag{3.10444}</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I_F=\widetilde I_F\circ\pi_F^{\pm}</w:t>
      </w:r>
    </w:p>
    <w:p w:rsidR="0068496A" w:rsidRDefault="0068496A" w:rsidP="0068496A">
      <w:pPr>
        <w:pStyle w:val="StandardWeb"/>
      </w:pPr>
      <w:r>
        <w:t>Ist (S\in\mathfrak G_F^{\mathrm{comp}}), dann gilt</w:t>
      </w:r>
    </w:p>
    <w:p w:rsidR="0068496A" w:rsidRDefault="0068496A" w:rsidP="0068496A">
      <w:pPr>
        <w:pStyle w:val="berschrift1"/>
      </w:pPr>
      <w:r>
        <w:t>[</w:t>
      </w:r>
      <w:r>
        <w:br/>
        <w:t>\pi_F^{\pm}(Sz)</w:t>
      </w:r>
    </w:p>
    <w:p w:rsidR="0068496A" w:rsidRDefault="0068496A" w:rsidP="0068496A">
      <w:pPr>
        <w:pStyle w:val="StandardWeb"/>
      </w:pPr>
      <w:r>
        <w:t>\pi_F^{\pm}(z).</w:t>
      </w:r>
      <w:r>
        <w:br/>
        <w:t>\tag{3.10445}</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\pi_F^{\pm}(Sz)=\pi_F^{\pm}(z)</w:t>
      </w:r>
    </w:p>
    <w:p w:rsidR="0068496A" w:rsidRDefault="0068496A" w:rsidP="0068496A">
      <w:pPr>
        <w:pStyle w:val="StandardWeb"/>
      </w:pPr>
      <w:r>
        <w:t>Daher folgt</w:t>
      </w:r>
    </w:p>
    <w:p w:rsidR="0068496A" w:rsidRDefault="0068496A" w:rsidP="0068496A">
      <w:pPr>
        <w:pStyle w:val="StandardWeb"/>
      </w:pPr>
      <w:r>
        <w:t>[</w:t>
      </w:r>
      <w:r>
        <w:br/>
        <w:t>I_F(Sz)=I_F(z).</w:t>
      </w:r>
      <w:r>
        <w:br/>
        <w:t>\tag{3.10446}</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I_F(Sz)=I_F(z)</w:t>
      </w:r>
    </w:p>
    <w:p w:rsidR="0068496A" w:rsidRDefault="00E50336" w:rsidP="0068496A">
      <w:r>
        <w:pict>
          <v:rect id="_x0000_i3300" style="width:0;height:1.5pt" o:hralign="center" o:hrstd="t" o:hr="t" fillcolor="#a0a0a0" stroked="f"/>
        </w:pict>
      </w:r>
    </w:p>
    <w:p w:rsidR="0068496A" w:rsidRDefault="0068496A" w:rsidP="0068496A">
      <w:pPr>
        <w:pStyle w:val="berschrift1"/>
      </w:pPr>
      <w:r>
        <w:t>3.3.45.202 Satz 3.3.62 – Komponentenerhaltende Symmetrien erhalten alle globalen Übergangsinvarianten</w:t>
      </w:r>
    </w:p>
    <w:p w:rsidR="0068496A" w:rsidRDefault="0068496A" w:rsidP="0068496A">
      <w:pPr>
        <w:pStyle w:val="berschrift3"/>
      </w:pPr>
      <w:r>
        <w:t>Satz 3.3.62</w:t>
      </w:r>
    </w:p>
    <w:p w:rsidR="0068496A" w:rsidRDefault="0068496A" w:rsidP="0068496A">
      <w:pPr>
        <w:pStyle w:val="StandardWeb"/>
      </w:pPr>
      <w:r>
        <w:t>Für jede globale funktionale Übergangsinvariante (I_F) und jede komponentenerhaltende Symmetrie (S) gilt</w:t>
      </w:r>
    </w:p>
    <w:p w:rsidR="0068496A" w:rsidRDefault="0068496A" w:rsidP="0068496A">
      <w:pPr>
        <w:pStyle w:val="StandardWeb"/>
      </w:pPr>
      <w:r>
        <w:t>[</w:t>
      </w:r>
      <w:r>
        <w:br/>
        <w:t>\boxed{</w:t>
      </w:r>
      <w:r>
        <w:br/>
        <w:t>I_F(Sz)=I_F(z)</w:t>
      </w:r>
      <w:r>
        <w:br/>
        <w:t>\qquad</w:t>
      </w:r>
      <w:r>
        <w:br/>
        <w:t>\forall z\in\Omega_F.</w:t>
      </w:r>
      <w:r>
        <w:br/>
        <w:t>}</w:t>
      </w:r>
      <w:r>
        <w:br/>
      </w:r>
      <w:r>
        <w:lastRenderedPageBreak/>
        <w:t>\tag{3.10447}</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\boxed{I_F(Sz)=I_F(z)\qquad\forall z\in\Omega_F.}</w:t>
      </w:r>
    </w:p>
    <w:p w:rsidR="0068496A" w:rsidRDefault="0068496A" w:rsidP="0068496A">
      <w:pPr>
        <w:pStyle w:val="StandardWeb"/>
      </w:pPr>
      <w:r>
        <w:t>Damit ist jede globale Übergangsinvariante automatisch symmetrieinvariant gegenüber der Untergruppe (\mathfrak G_F^{\mathrm{comp}}).</w:t>
      </w:r>
    </w:p>
    <w:p w:rsidR="0068496A" w:rsidRDefault="00E50336" w:rsidP="0068496A">
      <w:r>
        <w:pict>
          <v:rect id="_x0000_i3301" style="width:0;height:1.5pt" o:hralign="center" o:hrstd="t" o:hr="t" fillcolor="#a0a0a0" stroked="f"/>
        </w:pict>
      </w:r>
    </w:p>
    <w:p w:rsidR="0068496A" w:rsidRDefault="0068496A" w:rsidP="0068496A">
      <w:pPr>
        <w:pStyle w:val="berschrift1"/>
      </w:pPr>
      <w:r>
        <w:t>3.3.45.203 Warum dies noch kein Noether-Zusammenhang ist</w:t>
      </w:r>
    </w:p>
    <w:p w:rsidR="0068496A" w:rsidRDefault="0068496A" w:rsidP="0068496A">
      <w:pPr>
        <w:pStyle w:val="StandardWeb"/>
      </w:pPr>
      <w:r>
        <w:t>Satz 3.3.62 geht von einer bereits vorhandenen Übergangsinvarianten aus und zeigt lediglich, dass bestimmte Symmetrien diese Invariante ebenfalls erhalten.</w:t>
      </w:r>
    </w:p>
    <w:p w:rsidR="0068496A" w:rsidRDefault="0068496A" w:rsidP="0068496A">
      <w:pPr>
        <w:pStyle w:val="StandardWeb"/>
      </w:pPr>
      <w:r>
        <w:t>Die logische Richtung lautet</w:t>
      </w:r>
    </w:p>
    <w:p w:rsidR="0068496A" w:rsidRDefault="0068496A" w:rsidP="0068496A">
      <w:pPr>
        <w:pStyle w:val="StandardWeb"/>
      </w:pPr>
      <w:r>
        <w:t>[</w:t>
      </w:r>
      <w:r>
        <w:br/>
        <w:t>\operatorname{Inv}_T(I_F)</w:t>
      </w:r>
      <w:r>
        <w:br/>
        <w:t>+</w:t>
      </w:r>
      <w:r>
        <w:br/>
        <w:t>S\in\mathfrak G_F^{\mathrm{comp}}</w:t>
      </w:r>
      <w:r>
        <w:br/>
        <w:t>\Rightarrow</w:t>
      </w:r>
      <w:r>
        <w:br/>
        <w:t>\operatorname{Inv}_S(I_F).</w:t>
      </w:r>
      <w:r>
        <w:br/>
        <w:t>\tag{3.10448}</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\operatorname{Inv}_T(I_F)+S\in\mathfrak G_F^{\mathrm{comp}}\Rightarrow\operatorname{Inv}_S(I_F)</w:t>
      </w:r>
    </w:p>
    <w:p w:rsidR="0068496A" w:rsidRDefault="0068496A" w:rsidP="0068496A">
      <w:pPr>
        <w:pStyle w:val="StandardWeb"/>
      </w:pPr>
      <w:r>
        <w:t>Dies ist nicht die Noether-artige Richtung</w:t>
      </w:r>
    </w:p>
    <w:p w:rsidR="0068496A" w:rsidRDefault="0068496A" w:rsidP="0068496A">
      <w:pPr>
        <w:pStyle w:val="StandardWeb"/>
      </w:pPr>
      <w:r>
        <w:t>[</w:t>
      </w:r>
      <w:r>
        <w:br/>
        <w:t>\operatorname{Symmetrie}</w:t>
      </w:r>
      <w:r>
        <w:br/>
        <w:t>\Rightarrow</w:t>
      </w:r>
      <w:r>
        <w:br/>
        <w:t>\operatorname{Erhaltungsgröße}.</w:t>
      </w:r>
      <w:r>
        <w:br/>
        <w:t>\tag{3.10449}</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\operatorname{Symmetrie}\Rightarrow\operatorname{Erhaltungsgröße}</w:t>
      </w:r>
    </w:p>
    <w:p w:rsidR="0068496A" w:rsidRDefault="00E50336" w:rsidP="0068496A">
      <w:r>
        <w:pict>
          <v:rect id="_x0000_i3302" style="width:0;height:1.5pt" o:hralign="center" o:hrstd="t" o:hr="t" fillcolor="#a0a0a0" stroked="f"/>
        </w:pict>
      </w:r>
    </w:p>
    <w:p w:rsidR="0068496A" w:rsidRDefault="0068496A" w:rsidP="0068496A">
      <w:pPr>
        <w:pStyle w:val="berschrift1"/>
      </w:pPr>
      <w:r>
        <w:t>3.3.45.204 Diskrete und kontinuierliche Symmetrien</w:t>
      </w:r>
    </w:p>
    <w:p w:rsidR="0068496A" w:rsidRDefault="0068496A" w:rsidP="0068496A">
      <w:pPr>
        <w:pStyle w:val="StandardWeb"/>
      </w:pPr>
      <w:r>
        <w:lastRenderedPageBreak/>
        <w:t>Bislang ist (\mathfrak G_F) lediglich eine abstrakte Gruppe.</w:t>
      </w:r>
    </w:p>
    <w:p w:rsidR="0068496A" w:rsidRDefault="0068496A" w:rsidP="0068496A">
      <w:pPr>
        <w:pStyle w:val="StandardWeb"/>
      </w:pPr>
      <w:r>
        <w:t>Eine Symmetrie kann daher diskret sein, beispielsweise durch eine endliche Permutation von Zuständen, ohne dass ein kontinuierlicher Parameter existiert.</w:t>
      </w:r>
    </w:p>
    <w:p w:rsidR="0068496A" w:rsidRDefault="0068496A" w:rsidP="0068496A">
      <w:pPr>
        <w:pStyle w:val="StandardWeb"/>
      </w:pPr>
      <w:r>
        <w:t>Ich unterscheide deshalb zunächst formal</w:t>
      </w:r>
    </w:p>
    <w:p w:rsidR="0068496A" w:rsidRDefault="0068496A" w:rsidP="0068496A">
      <w:pPr>
        <w:pStyle w:val="StandardWeb"/>
      </w:pPr>
      <w:r>
        <w:t>[</w:t>
      </w:r>
      <w:r>
        <w:br/>
        <w:t>\mathfrak G_F^{\mathrm{disc}}</w:t>
      </w:r>
      <w:r>
        <w:br/>
        <w:t>\tag{3.10450}</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\mathfrak G_F^{\mathrm{disc}}</w:t>
      </w:r>
    </w:p>
    <w:p w:rsidR="0068496A" w:rsidRDefault="0068496A" w:rsidP="0068496A">
      <w:pPr>
        <w:pStyle w:val="StandardWeb"/>
      </w:pPr>
      <w:r>
        <w:t>und</w:t>
      </w:r>
    </w:p>
    <w:p w:rsidR="0068496A" w:rsidRDefault="0068496A" w:rsidP="0068496A">
      <w:pPr>
        <w:pStyle w:val="StandardWeb"/>
      </w:pPr>
      <w:r>
        <w:t>[</w:t>
      </w:r>
      <w:r>
        <w:br/>
        <w:t>\mathfrak G_F^{\mathrm{cont}}.</w:t>
      </w:r>
      <w:r>
        <w:br/>
        <w:t>\tag{3.10451}</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\mathfrak G_F^{\mathrm{cont}}</w:t>
      </w:r>
    </w:p>
    <w:p w:rsidR="0068496A" w:rsidRDefault="0068496A" w:rsidP="0068496A">
      <w:pPr>
        <w:pStyle w:val="StandardWeb"/>
      </w:pPr>
      <w:r>
        <w:t>Diese Bezeichnungen sind nur sinnvoll, wenn zusätzliche topologische beziehungsweise differenzierbare Strukturen vorliegen.</w:t>
      </w:r>
    </w:p>
    <w:p w:rsidR="0068496A" w:rsidRDefault="00E50336" w:rsidP="0068496A">
      <w:r>
        <w:pict>
          <v:rect id="_x0000_i3303" style="width:0;height:1.5pt" o:hralign="center" o:hrstd="t" o:hr="t" fillcolor="#a0a0a0" stroked="f"/>
        </w:pict>
      </w:r>
    </w:p>
    <w:p w:rsidR="0068496A" w:rsidRDefault="0068496A" w:rsidP="0068496A">
      <w:pPr>
        <w:pStyle w:val="berschrift1"/>
      </w:pPr>
      <w:r>
        <w:t>3.3.45.205 Diskrete funktionale Symmetrie</w:t>
      </w:r>
    </w:p>
    <w:p w:rsidR="0068496A" w:rsidRDefault="0068496A" w:rsidP="0068496A">
      <w:pPr>
        <w:pStyle w:val="StandardWeb"/>
      </w:pPr>
      <w:r>
        <w:t>Eine diskrete Symmetrie benötigt zunächst keine kontinuierliche Parametrisierung.</w:t>
      </w:r>
    </w:p>
    <w:p w:rsidR="0068496A" w:rsidRDefault="0068496A" w:rsidP="0068496A">
      <w:pPr>
        <w:pStyle w:val="StandardWeb"/>
      </w:pPr>
      <w:r>
        <w:t>Ein einfaches Beispiel ist eine Involution</w:t>
      </w:r>
    </w:p>
    <w:p w:rsidR="0068496A" w:rsidRDefault="0068496A" w:rsidP="0068496A">
      <w:pPr>
        <w:pStyle w:val="berschrift1"/>
      </w:pPr>
      <w:r>
        <w:t>[</w:t>
      </w:r>
      <w:r>
        <w:br/>
        <w:t>S^2</w:t>
      </w:r>
    </w:p>
    <w:p w:rsidR="0068496A" w:rsidRDefault="0068496A" w:rsidP="0068496A">
      <w:pPr>
        <w:pStyle w:val="StandardWeb"/>
      </w:pPr>
      <w:r>
        <w:t>\operatorname{id}_{\Omega_F}.</w:t>
      </w:r>
      <w:r>
        <w:br/>
        <w:t>\tag{3.10452}</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S^2=\operatorname{id}_{\Omega_F}</w:t>
      </w:r>
    </w:p>
    <w:p w:rsidR="0068496A" w:rsidRDefault="0068496A" w:rsidP="0068496A">
      <w:pPr>
        <w:pStyle w:val="StandardWeb"/>
      </w:pPr>
      <w:r>
        <w:t>Sie kann Zustände paarweise vertauschen oder einzelne Zustände fixieren.</w:t>
      </w:r>
    </w:p>
    <w:p w:rsidR="0068496A" w:rsidRDefault="00E50336" w:rsidP="0068496A">
      <w:r>
        <w:lastRenderedPageBreak/>
        <w:pict>
          <v:rect id="_x0000_i3304" style="width:0;height:1.5pt" o:hralign="center" o:hrstd="t" o:hr="t" fillcolor="#a0a0a0" stroked="f"/>
        </w:pict>
      </w:r>
    </w:p>
    <w:p w:rsidR="0068496A" w:rsidRDefault="0068496A" w:rsidP="0068496A">
      <w:pPr>
        <w:pStyle w:val="berschrift1"/>
      </w:pPr>
      <w:r>
        <w:t>3.3.45.206 Definition 3.3.135 – Involutive funktionale Symmetrie</w:t>
      </w:r>
    </w:p>
    <w:p w:rsidR="0068496A" w:rsidRDefault="0068496A" w:rsidP="0068496A">
      <w:pPr>
        <w:pStyle w:val="berschrift3"/>
      </w:pPr>
      <w:r>
        <w:t>Definition 3.3.135</w:t>
      </w:r>
    </w:p>
    <w:p w:rsidR="0068496A" w:rsidRDefault="0068496A" w:rsidP="0068496A">
      <w:pPr>
        <w:pStyle w:val="StandardWeb"/>
      </w:pPr>
      <w:r>
        <w:t xml:space="preserve">Eine funktionale Übergangssymmetrie (S) heißt </w:t>
      </w:r>
      <w:r>
        <w:rPr>
          <w:rStyle w:val="Fett"/>
        </w:rPr>
        <w:t>involutiv</w:t>
      </w:r>
      <w:r>
        <w:t>, wenn</w:t>
      </w:r>
    </w:p>
    <w:p w:rsidR="0068496A" w:rsidRDefault="0068496A" w:rsidP="0068496A">
      <w:pPr>
        <w:pStyle w:val="berschrift1"/>
      </w:pPr>
      <w:r>
        <w:t>[</w:t>
      </w:r>
      <w:r>
        <w:br/>
        <w:t>\boxed{</w:t>
      </w:r>
      <w:r>
        <w:br/>
        <w:t>S^2</w:t>
      </w:r>
    </w:p>
    <w:p w:rsidR="0068496A" w:rsidRDefault="0068496A" w:rsidP="0068496A">
      <w:pPr>
        <w:pStyle w:val="StandardWeb"/>
      </w:pPr>
      <w:r>
        <w:t>\operatorname{id}_{\Omega_F}.</w:t>
      </w:r>
      <w:r>
        <w:br/>
        <w:t>}</w:t>
      </w:r>
      <w:r>
        <w:br/>
        <w:t>\tag{3.10453}</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\boxed{S^2=\operatorname{id}_{\Omega_F}.}</w:t>
      </w:r>
    </w:p>
    <w:p w:rsidR="0068496A" w:rsidRDefault="0068496A" w:rsidP="0068496A">
      <w:pPr>
        <w:pStyle w:val="StandardWeb"/>
      </w:pPr>
      <w:r>
        <w:t>Eine solche Symmetrie ist ein einfaches Beispiel einer diskreten Struktur.</w:t>
      </w:r>
    </w:p>
    <w:p w:rsidR="0068496A" w:rsidRDefault="00E50336" w:rsidP="0068496A">
      <w:r>
        <w:pict>
          <v:rect id="_x0000_i3305" style="width:0;height:1.5pt" o:hralign="center" o:hrstd="t" o:hr="t" fillcolor="#a0a0a0" stroked="f"/>
        </w:pict>
      </w:r>
    </w:p>
    <w:p w:rsidR="0068496A" w:rsidRDefault="0068496A" w:rsidP="0068496A">
      <w:pPr>
        <w:pStyle w:val="berschrift1"/>
      </w:pPr>
      <w:r>
        <w:t>3.3.45.207 Kontinuierliche Parametrisierung</w:t>
      </w:r>
    </w:p>
    <w:p w:rsidR="0068496A" w:rsidRDefault="0068496A" w:rsidP="0068496A">
      <w:pPr>
        <w:pStyle w:val="StandardWeb"/>
      </w:pPr>
      <w:r>
        <w:t>Für eine kontinuierliche Symmetrie müsste dagegen mindestens eine Familie</w:t>
      </w:r>
    </w:p>
    <w:p w:rsidR="0068496A" w:rsidRDefault="0068496A" w:rsidP="0068496A">
      <w:pPr>
        <w:pStyle w:val="StandardWeb"/>
      </w:pPr>
      <w:r>
        <w:t>[</w:t>
      </w:r>
      <w:r>
        <w:br/>
        <w:t>{S_\lambda}_{\lambda\in\Lambda}</w:t>
      </w:r>
      <w:r>
        <w:br/>
        <w:t>\tag{3.10454}</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\{S_\lambda\}_{\lambda\in\Lambda}</w:t>
      </w:r>
    </w:p>
    <w:p w:rsidR="0068496A" w:rsidRDefault="0068496A" w:rsidP="0068496A">
      <w:pPr>
        <w:pStyle w:val="StandardWeb"/>
      </w:pPr>
      <w:r>
        <w:t>existieren, wobei der Parameterraum (\Lambda) eine geeignete kontinuierliche Struktur besitzt.</w:t>
      </w:r>
    </w:p>
    <w:p w:rsidR="0068496A" w:rsidRDefault="0068496A" w:rsidP="0068496A">
      <w:pPr>
        <w:pStyle w:val="StandardWeb"/>
      </w:pPr>
      <w:r>
        <w:t>Eine typische Gruppenbedingung wäre</w:t>
      </w:r>
    </w:p>
    <w:p w:rsidR="0068496A" w:rsidRDefault="0068496A" w:rsidP="0068496A">
      <w:pPr>
        <w:pStyle w:val="berschrift1"/>
      </w:pPr>
      <w:r>
        <w:t>[</w:t>
      </w:r>
      <w:r>
        <w:br/>
        <w:t>S_{\lambda_1}</w:t>
      </w:r>
      <w:r>
        <w:br/>
      </w:r>
      <w:r>
        <w:lastRenderedPageBreak/>
        <w:t>\circ</w:t>
      </w:r>
      <w:r>
        <w:br/>
        <w:t>S_{\lambda_2}</w:t>
      </w:r>
    </w:p>
    <w:p w:rsidR="0068496A" w:rsidRDefault="0068496A" w:rsidP="0068496A">
      <w:pPr>
        <w:pStyle w:val="StandardWeb"/>
      </w:pPr>
      <w:r>
        <w:t>S_{\lambda_1\star\lambda_2}.</w:t>
      </w:r>
      <w:r>
        <w:br/>
        <w:t>\tag{3.10455}</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S_{\lambda_1}\circ S_{\lambda_2}=S_{\lambda_1\star\lambda_2}</w:t>
      </w:r>
    </w:p>
    <w:p w:rsidR="0068496A" w:rsidRDefault="00E50336" w:rsidP="0068496A">
      <w:r>
        <w:pict>
          <v:rect id="_x0000_i3306" style="width:0;height:1.5pt" o:hralign="center" o:hrstd="t" o:hr="t" fillcolor="#a0a0a0" stroked="f"/>
        </w:pict>
      </w:r>
    </w:p>
    <w:p w:rsidR="0068496A" w:rsidRDefault="0068496A" w:rsidP="0068496A">
      <w:pPr>
        <w:pStyle w:val="berschrift1"/>
      </w:pPr>
      <w:r>
        <w:t>3.3.45.208 Keine Kontinuität ohne Topologie</w:t>
      </w:r>
    </w:p>
    <w:p w:rsidR="0068496A" w:rsidRDefault="0068496A" w:rsidP="0068496A">
      <w:pPr>
        <w:pStyle w:val="StandardWeb"/>
      </w:pPr>
      <w:r>
        <w:t>Die Aussage</w:t>
      </w:r>
    </w:p>
    <w:p w:rsidR="0068496A" w:rsidRDefault="0068496A" w:rsidP="0068496A">
      <w:pPr>
        <w:pStyle w:val="StandardWeb"/>
      </w:pPr>
      <w:r>
        <w:t>[</w:t>
      </w:r>
      <w:r>
        <w:br/>
        <w:t>\lambda</w:t>
      </w:r>
      <w:r>
        <w:br/>
        <w:t>\mapsto</w:t>
      </w:r>
      <w:r>
        <w:br/>
        <w:t>S_\lambda</w:t>
      </w:r>
      <w:r>
        <w:br/>
        <w:t>\tag{3.10456}</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\lambda\mapsto S_\lambda</w:t>
      </w:r>
    </w:p>
    <w:p w:rsidR="0068496A" w:rsidRDefault="0068496A" w:rsidP="0068496A">
      <w:pPr>
        <w:pStyle w:val="StandardWeb"/>
      </w:pPr>
      <w:r>
        <w:t>sei kontinuierlich, ist jedoch bedeutungslos, solange weder auf dem Parameterraum noch auf dem Zustandsraum beziehungsweise Transformationsraum eine passende Topologie festgelegt wurde.</w:t>
      </w:r>
    </w:p>
    <w:p w:rsidR="0068496A" w:rsidRDefault="0068496A" w:rsidP="0068496A">
      <w:pPr>
        <w:pStyle w:val="StandardWeb"/>
      </w:pPr>
      <w:r>
        <w:t>Daher gilt</w:t>
      </w:r>
    </w:p>
    <w:p w:rsidR="0068496A" w:rsidRDefault="0068496A" w:rsidP="0068496A">
      <w:pPr>
        <w:pStyle w:val="StandardWeb"/>
      </w:pPr>
      <w:r>
        <w:t>[</w:t>
      </w:r>
      <w:r>
        <w:br/>
        <w:t>\boxed{</w:t>
      </w:r>
      <w:r>
        <w:br/>
        <w:t>\text{Kontinuität einer Symmetrie}</w:t>
      </w:r>
      <w:r>
        <w:br/>
        <w:t>\Rightarrow</w:t>
      </w:r>
      <w:r>
        <w:br/>
        <w:t>\text{zusätzliche topologische Struktur erforderlich}.</w:t>
      </w:r>
      <w:r>
        <w:br/>
        <w:t>}</w:t>
      </w:r>
      <w:r>
        <w:br/>
        <w:t>\tag{3.10457}</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\boxed{\text{Kontinuität einer Symmetrie}\Rightarrow\text{zusätzliche topologische Struktur erforderlich}.}</w:t>
      </w:r>
    </w:p>
    <w:p w:rsidR="0068496A" w:rsidRDefault="00E50336" w:rsidP="0068496A">
      <w:r>
        <w:pict>
          <v:rect id="_x0000_i3307" style="width:0;height:1.5pt" o:hralign="center" o:hrstd="t" o:hr="t" fillcolor="#a0a0a0" stroked="f"/>
        </w:pict>
      </w:r>
    </w:p>
    <w:p w:rsidR="0068496A" w:rsidRDefault="0068496A" w:rsidP="0068496A">
      <w:pPr>
        <w:pStyle w:val="berschrift1"/>
      </w:pPr>
      <w:r>
        <w:lastRenderedPageBreak/>
        <w:t>3.3.45.209 Keine Differenzierbarkeit ohne differenzierbare Struktur</w:t>
      </w:r>
    </w:p>
    <w:p w:rsidR="0068496A" w:rsidRDefault="0068496A" w:rsidP="0068496A">
      <w:pPr>
        <w:pStyle w:val="StandardWeb"/>
      </w:pPr>
      <w:r>
        <w:t>Ebenso kann ein infinitesimaler Generator nur dann definiert werden, wenn eine geeignete Differenzierbarkeit vorhanden ist.</w:t>
      </w:r>
    </w:p>
    <w:p w:rsidR="0068496A" w:rsidRDefault="0068496A" w:rsidP="0068496A">
      <w:pPr>
        <w:pStyle w:val="StandardWeb"/>
      </w:pPr>
      <w:r>
        <w:t>Ein Ausdruck wie</w:t>
      </w:r>
    </w:p>
    <w:p w:rsidR="0068496A" w:rsidRDefault="0068496A" w:rsidP="0068496A">
      <w:pPr>
        <w:pStyle w:val="berschrift1"/>
      </w:pPr>
      <w:r>
        <w:t>[</w:t>
      </w:r>
      <w:r>
        <w:br/>
        <w:t>X_F(z)</w:t>
      </w:r>
    </w:p>
    <w:p w:rsidR="0068496A" w:rsidRDefault="0068496A" w:rsidP="0068496A">
      <w:pPr>
        <w:pStyle w:val="StandardWeb"/>
      </w:pPr>
      <w:r>
        <w:t>\left.</w:t>
      </w:r>
      <w:r>
        <w:br/>
        <w:t>\frac{d}{d\lambda}</w:t>
      </w:r>
      <w:r>
        <w:br/>
        <w:t>S_\lambda(z)</w:t>
      </w:r>
      <w:r>
        <w:br/>
        <w:t>\right|_{\lambda=0}</w:t>
      </w:r>
      <w:r>
        <w:br/>
        <w:t>\tag{3.10458}</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X_F(z)=\left.\frac{d}{d\lambda}S_\lambda(z)\right|_{\lambda=0}</w:t>
      </w:r>
    </w:p>
    <w:p w:rsidR="0068496A" w:rsidRDefault="0068496A" w:rsidP="0068496A">
      <w:pPr>
        <w:pStyle w:val="StandardWeb"/>
      </w:pPr>
      <w:r>
        <w:t>ist daher keine allgemein zulässige FRZK-Konstruktion.</w:t>
      </w:r>
    </w:p>
    <w:p w:rsidR="0068496A" w:rsidRDefault="00E50336" w:rsidP="0068496A">
      <w:r>
        <w:pict>
          <v:rect id="_x0000_i3308" style="width:0;height:1.5pt" o:hralign="center" o:hrstd="t" o:hr="t" fillcolor="#a0a0a0" stroked="f"/>
        </w:pict>
      </w:r>
    </w:p>
    <w:p w:rsidR="0068496A" w:rsidRDefault="0068496A" w:rsidP="0068496A">
      <w:pPr>
        <w:pStyle w:val="berschrift1"/>
      </w:pPr>
      <w:r>
        <w:t>3.3.45.210 Modellannahme einer differenzierbaren Symmetriestruktur</w:t>
      </w:r>
    </w:p>
    <w:p w:rsidR="0068496A" w:rsidRDefault="0068496A" w:rsidP="0068496A">
      <w:pPr>
        <w:pStyle w:val="StandardWeb"/>
      </w:pPr>
      <w:r>
        <w:t>Für spezielle Modelle kann ich jedoch eine Zusatzstruktur fordern.</w:t>
      </w:r>
    </w:p>
    <w:p w:rsidR="0068496A" w:rsidRDefault="0068496A" w:rsidP="0068496A">
      <w:pPr>
        <w:pStyle w:val="StandardWeb"/>
      </w:pPr>
      <w:r>
        <w:t>Ich bezeichne diese vorläufig als</w:t>
      </w:r>
    </w:p>
    <w:p w:rsidR="0068496A" w:rsidRDefault="0068496A" w:rsidP="0068496A">
      <w:pPr>
        <w:pStyle w:val="StandardWeb"/>
      </w:pPr>
      <w:r>
        <w:t>[</w:t>
      </w:r>
      <w:r>
        <w:br/>
        <w:t>M_S^{\mathrm{diff}}.</w:t>
      </w:r>
      <w:r>
        <w:br/>
        <w:t>\tag{3.10459}</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M_S^{\mathrm{diff}}</w:t>
      </w:r>
    </w:p>
    <w:p w:rsidR="0068496A" w:rsidRDefault="0068496A" w:rsidP="0068496A">
      <w:pPr>
        <w:pStyle w:val="StandardWeb"/>
      </w:pPr>
      <w:r>
        <w:t>Sie soll ausdrücken, dass Zustandsraum, Parameterraum und Gruppenwirkung genügend differenzierbar strukturiert sind.</w:t>
      </w:r>
    </w:p>
    <w:p w:rsidR="0068496A" w:rsidRDefault="00E50336" w:rsidP="0068496A">
      <w:r>
        <w:pict>
          <v:rect id="_x0000_i3309" style="width:0;height:1.5pt" o:hralign="center" o:hrstd="t" o:hr="t" fillcolor="#a0a0a0" stroked="f"/>
        </w:pict>
      </w:r>
    </w:p>
    <w:p w:rsidR="0068496A" w:rsidRDefault="0068496A" w:rsidP="0068496A">
      <w:pPr>
        <w:pStyle w:val="berschrift1"/>
      </w:pPr>
      <w:r>
        <w:lastRenderedPageBreak/>
        <w:t>3.3.45.211 Definition 3.3.136 – Differenzierbare Symmetriemodellannahme</w:t>
      </w:r>
    </w:p>
    <w:p w:rsidR="0068496A" w:rsidRDefault="0068496A" w:rsidP="0068496A">
      <w:pPr>
        <w:pStyle w:val="berschrift3"/>
      </w:pPr>
      <w:r>
        <w:t>Definition 3.3.136</w:t>
      </w:r>
    </w:p>
    <w:p w:rsidR="0068496A" w:rsidRDefault="0068496A" w:rsidP="0068496A">
      <w:pPr>
        <w:pStyle w:val="StandardWeb"/>
      </w:pPr>
      <w:r>
        <w:t xml:space="preserve">Die </w:t>
      </w:r>
      <w:r>
        <w:rPr>
          <w:rStyle w:val="Fett"/>
        </w:rPr>
        <w:t>differenzierbare Symmetriemodellannahme</w:t>
      </w:r>
      <w:r>
        <w:t xml:space="preserve"> (M_S^{\mathrm{diff}}) fordert für eine spezielle FRZK-Modellklasse eine kontinuierlich parametrisierte Symmetriegruppe und eine mathematische Struktur, in der Ableitungen der Gruppenwirkung wohldefiniert sind:</w:t>
      </w:r>
    </w:p>
    <w:p w:rsidR="0068496A" w:rsidRDefault="0068496A" w:rsidP="0068496A">
      <w:pPr>
        <w:pStyle w:val="StandardWeb"/>
      </w:pPr>
      <w:r>
        <w:t>[</w:t>
      </w:r>
      <w:r>
        <w:br/>
        <w:t>\boxed{</w:t>
      </w:r>
      <w:r>
        <w:br/>
        <w:t>M_S^{\mathrm{diff}}</w:t>
      </w:r>
      <w:r>
        <w:br/>
        <w:t>:</w:t>
      </w:r>
      <w:r>
        <w:br/>
        <w:t>\mathfrak G_F^{\mathrm{cont}}</w:t>
      </w:r>
      <w:r>
        <w:br/>
        <w:t>\text{ besitzt eine wohldefinierte differenzierbare Wirkung auf }\Omega_F.</w:t>
      </w:r>
      <w:r>
        <w:br/>
        <w:t>}</w:t>
      </w:r>
      <w:r>
        <w:br/>
        <w:t>\tag{3.10460}</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\boxed{M_S^{\mathrm{diff}}:\mathfrak G_F^{\mathrm{cont}}\text{ besitzt eine wohldefinierte differenzierbare Wirkung auf }\Omega_F.}</w:t>
      </w:r>
    </w:p>
    <w:p w:rsidR="0068496A" w:rsidRDefault="0068496A" w:rsidP="0068496A">
      <w:pPr>
        <w:pStyle w:val="StandardWeb"/>
      </w:pPr>
      <w:r>
        <w:t>Diese Forderung ist ausdrücklich eine Modellannahme.</w:t>
      </w:r>
    </w:p>
    <w:p w:rsidR="0068496A" w:rsidRDefault="00E50336" w:rsidP="0068496A">
      <w:r>
        <w:pict>
          <v:rect id="_x0000_i3310" style="width:0;height:1.5pt" o:hralign="center" o:hrstd="t" o:hr="t" fillcolor="#a0a0a0" stroked="f"/>
        </w:pict>
      </w:r>
    </w:p>
    <w:p w:rsidR="0068496A" w:rsidRDefault="0068496A" w:rsidP="0068496A">
      <w:pPr>
        <w:pStyle w:val="berschrift1"/>
      </w:pPr>
      <w:r>
        <w:t>3.3.45.212 Status der differenzierbaren Symmetriestruktur</w:t>
      </w:r>
    </w:p>
    <w:p w:rsidR="0068496A" w:rsidRDefault="0068496A" w:rsidP="0068496A">
      <w:pPr>
        <w:pStyle w:val="StandardWeb"/>
      </w:pPr>
      <w:r>
        <w:t>Es gilt daher</w:t>
      </w:r>
    </w:p>
    <w:p w:rsidR="0068496A" w:rsidRDefault="0068496A" w:rsidP="0068496A">
      <w:pPr>
        <w:pStyle w:val="berschrift1"/>
      </w:pPr>
      <w:r>
        <w:t>[</w:t>
      </w:r>
      <w:r>
        <w:br/>
        <w:t>\boxed{</w:t>
      </w:r>
      <w:r>
        <w:br/>
        <w:t>\operatorname{Stat}</w:t>
      </w:r>
      <w:r>
        <w:br/>
        <w:t>\left(</w:t>
      </w:r>
      <w:r>
        <w:br/>
        <w:t>M_S^{\mathrm{diff}}</w:t>
      </w:r>
      <w:r>
        <w:br/>
        <w:t>\right)</w:t>
      </w:r>
    </w:p>
    <w:p w:rsidR="0068496A" w:rsidRDefault="0068496A" w:rsidP="0068496A">
      <w:pPr>
        <w:pStyle w:val="StandardWeb"/>
      </w:pPr>
      <w:r>
        <w:t>\mathrm{Mod}.</w:t>
      </w:r>
      <w:r>
        <w:br/>
        <w:t>}</w:t>
      </w:r>
      <w:r>
        <w:br/>
        <w:t>\tag{3.10461}</w:t>
      </w:r>
      <w:r>
        <w:br/>
        <w:t>]</w:t>
      </w:r>
    </w:p>
    <w:p w:rsidR="0068496A" w:rsidRDefault="0068496A" w:rsidP="0068496A">
      <w:pPr>
        <w:pStyle w:val="StandardWeb"/>
      </w:pPr>
      <w:r>
        <w:rPr>
          <w:rStyle w:val="Fett"/>
        </w:rPr>
        <w:lastRenderedPageBreak/>
        <w:t>Word-LaTeX</w:t>
      </w:r>
    </w:p>
    <w:p w:rsidR="0068496A" w:rsidRDefault="0068496A" w:rsidP="0068496A">
      <w:pPr>
        <w:pStyle w:val="HTMLVorformatiert"/>
        <w:rPr>
          <w:rStyle w:val="HTMLCode"/>
        </w:rPr>
      </w:pPr>
      <w:r>
        <w:rPr>
          <w:rStyle w:val="HTMLCode"/>
        </w:rPr>
        <w:t>\boxed{\operatorname{Stat}\left(M_S^{\mathrm{diff}}\right)=\mathrm{Mod}.}</w:t>
      </w:r>
    </w:p>
    <w:p w:rsidR="0068496A" w:rsidRDefault="0068496A" w:rsidP="0068496A">
      <w:pPr>
        <w:pStyle w:val="StandardWeb"/>
      </w:pPr>
      <w:r>
        <w:t>Sie folgt weder aus (A_C) noch aus der allgemeinen Übergangsarchitektur.</w:t>
      </w:r>
    </w:p>
    <w:p w:rsidR="0068496A" w:rsidRDefault="00E50336" w:rsidP="0068496A">
      <w:r>
        <w:pict>
          <v:rect id="_x0000_i3311" style="width:0;height:1.5pt" o:hralign="center" o:hrstd="t" o:hr="t" fillcolor="#a0a0a0" stroked="f"/>
        </w:pict>
      </w:r>
    </w:p>
    <w:p w:rsidR="0068496A" w:rsidRDefault="0068496A" w:rsidP="0068496A">
      <w:pPr>
        <w:pStyle w:val="berschrift1"/>
      </w:pPr>
      <w:r>
        <w:t>3.3.45.213 Infinitesimaler Generator unter Zusatzannahmen</w:t>
      </w:r>
    </w:p>
    <w:p w:rsidR="0068496A" w:rsidRDefault="0068496A" w:rsidP="0068496A">
      <w:pPr>
        <w:pStyle w:val="StandardWeb"/>
      </w:pPr>
      <w:r>
        <w:t>Nur unter (M_S^{\mathrm{diff}}) kann ich einen Generator</w:t>
      </w:r>
    </w:p>
    <w:p w:rsidR="0068496A" w:rsidRDefault="0068496A" w:rsidP="0068496A">
      <w:pPr>
        <w:pStyle w:val="StandardWeb"/>
      </w:pPr>
      <w:r>
        <w:t>[</w:t>
      </w:r>
      <w:r>
        <w:br/>
        <w:t>X_F</w:t>
      </w:r>
      <w:r>
        <w:br/>
        <w:t>\tag{3.10462}</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X_F</w:t>
      </w:r>
    </w:p>
    <w:p w:rsidR="0068496A" w:rsidRDefault="0068496A" w:rsidP="0068496A">
      <w:pPr>
        <w:pStyle w:val="StandardWeb"/>
      </w:pPr>
      <w:r>
        <w:t>durch</w:t>
      </w:r>
    </w:p>
    <w:p w:rsidR="0068496A" w:rsidRDefault="0068496A" w:rsidP="0068496A">
      <w:pPr>
        <w:pStyle w:val="berschrift1"/>
      </w:pPr>
      <w:r>
        <w:t>[</w:t>
      </w:r>
      <w:r>
        <w:br/>
        <w:t>X_F(z)</w:t>
      </w:r>
    </w:p>
    <w:p w:rsidR="0068496A" w:rsidRDefault="0068496A" w:rsidP="0068496A">
      <w:pPr>
        <w:pStyle w:val="StandardWeb"/>
      </w:pPr>
      <w:r>
        <w:t>\left.</w:t>
      </w:r>
      <w:r>
        <w:br/>
        <w:t>\frac{d}{d\lambda}</w:t>
      </w:r>
      <w:r>
        <w:br/>
        <w:t>S_\lambda(z)</w:t>
      </w:r>
      <w:r>
        <w:br/>
        <w:t>\right|_{\lambda=0}</w:t>
      </w:r>
      <w:r>
        <w:br/>
        <w:t>\tag{3.10463}</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X_F(z)=\left.\frac{d}{d\lambda}S_\lambda(z)\right|_{\lambda=0}</w:t>
      </w:r>
    </w:p>
    <w:p w:rsidR="0068496A" w:rsidRDefault="0068496A" w:rsidP="0068496A">
      <w:pPr>
        <w:pStyle w:val="StandardWeb"/>
      </w:pPr>
      <w:r>
        <w:t>definieren.</w:t>
      </w:r>
    </w:p>
    <w:p w:rsidR="0068496A" w:rsidRDefault="00E50336" w:rsidP="0068496A">
      <w:r>
        <w:pict>
          <v:rect id="_x0000_i3312" style="width:0;height:1.5pt" o:hralign="center" o:hrstd="t" o:hr="t" fillcolor="#a0a0a0" stroked="f"/>
        </w:pict>
      </w:r>
    </w:p>
    <w:p w:rsidR="0068496A" w:rsidRDefault="0068496A" w:rsidP="0068496A">
      <w:pPr>
        <w:pStyle w:val="berschrift1"/>
      </w:pPr>
      <w:r>
        <w:t>3.3.45.214 Definition 3.3.137 – Funktionaler Symmetriegenerator</w:t>
      </w:r>
    </w:p>
    <w:p w:rsidR="0068496A" w:rsidRDefault="0068496A" w:rsidP="0068496A">
      <w:pPr>
        <w:pStyle w:val="berschrift3"/>
      </w:pPr>
      <w:r>
        <w:t>Definition 3.3.137</w:t>
      </w:r>
    </w:p>
    <w:p w:rsidR="0068496A" w:rsidRDefault="0068496A" w:rsidP="0068496A">
      <w:pPr>
        <w:pStyle w:val="StandardWeb"/>
      </w:pPr>
      <w:r>
        <w:t>Unter der Modellannahme (M_S^{\mathrm{diff}}) heißt</w:t>
      </w:r>
    </w:p>
    <w:p w:rsidR="0068496A" w:rsidRDefault="0068496A" w:rsidP="0068496A">
      <w:pPr>
        <w:pStyle w:val="StandardWeb"/>
      </w:pPr>
      <w:r>
        <w:lastRenderedPageBreak/>
        <w:t>[</w:t>
      </w:r>
      <w:r>
        <w:br/>
        <w:t>\boxed{</w:t>
      </w:r>
      <w:r>
        <w:br/>
        <w:t>X_F(z)</w:t>
      </w:r>
      <w:r>
        <w:br/>
        <w:t>:=</w:t>
      </w:r>
      <w:r>
        <w:br/>
        <w:t>\left.</w:t>
      </w:r>
      <w:r>
        <w:br/>
        <w:t>\frac{d}{d\lambda}</w:t>
      </w:r>
      <w:r>
        <w:br/>
        <w:t>S_\lambda(z)</w:t>
      </w:r>
      <w:r>
        <w:br/>
        <w:t>\right|_{\lambda=0}</w:t>
      </w:r>
      <w:r>
        <w:br/>
        <w:t>}</w:t>
      </w:r>
      <w:r>
        <w:br/>
        <w:t>\tag{3.10464}</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\boxed{X_F(z):=\left.\frac{d}{d\lambda}S_\lambda(z)\right|_{\lambda=0}}</w:t>
      </w:r>
    </w:p>
    <w:p w:rsidR="0068496A" w:rsidRDefault="0068496A" w:rsidP="0068496A">
      <w:pPr>
        <w:pStyle w:val="StandardWeb"/>
      </w:pPr>
      <w:r>
        <w:t xml:space="preserve">der </w:t>
      </w:r>
      <w:r>
        <w:rPr>
          <w:rStyle w:val="Fett"/>
        </w:rPr>
        <w:t>funktionale Symmetriegenerator</w:t>
      </w:r>
      <w:r>
        <w:t xml:space="preserve"> der betrachteten eindimensional parametrisierten Symmetrie.</w:t>
      </w:r>
    </w:p>
    <w:p w:rsidR="0068496A" w:rsidRDefault="0068496A" w:rsidP="0068496A">
      <w:pPr>
        <w:pStyle w:val="StandardWeb"/>
      </w:pPr>
      <w:r>
        <w:t>Diese Definition besitzt außerhalb einer geeigneten differenzierbaren Modellklasse keine Bedeutung.</w:t>
      </w:r>
    </w:p>
    <w:p w:rsidR="0068496A" w:rsidRDefault="00E50336" w:rsidP="0068496A">
      <w:r>
        <w:pict>
          <v:rect id="_x0000_i3313" style="width:0;height:1.5pt" o:hralign="center" o:hrstd="t" o:hr="t" fillcolor="#a0a0a0" stroked="f"/>
        </w:pict>
      </w:r>
    </w:p>
    <w:p w:rsidR="0068496A" w:rsidRDefault="0068496A" w:rsidP="0068496A">
      <w:pPr>
        <w:pStyle w:val="berschrift1"/>
      </w:pPr>
      <w:r>
        <w:t>3.3.45.215 Generator und symmetrieinvariante Größen</w:t>
      </w:r>
    </w:p>
    <w:p w:rsidR="0068496A" w:rsidRDefault="0068496A" w:rsidP="0068496A">
      <w:pPr>
        <w:pStyle w:val="StandardWeb"/>
      </w:pPr>
      <w:r>
        <w:t>Ist (Q_F) hinreichend differenzierbar und unter (S_\lambda) invariant,</w:t>
      </w:r>
    </w:p>
    <w:p w:rsidR="0068496A" w:rsidRDefault="0068496A" w:rsidP="0068496A">
      <w:pPr>
        <w:pStyle w:val="berschrift1"/>
      </w:pPr>
      <w:r>
        <w:t>[</w:t>
      </w:r>
      <w:r>
        <w:br/>
        <w:t>Q_F(S_\lambda z)</w:t>
      </w:r>
    </w:p>
    <w:p w:rsidR="0068496A" w:rsidRDefault="0068496A" w:rsidP="0068496A">
      <w:pPr>
        <w:pStyle w:val="StandardWeb"/>
      </w:pPr>
      <w:r>
        <w:t>Q_F(z),</w:t>
      </w:r>
      <w:r>
        <w:br/>
        <w:t>\tag{3.10465}</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Q_F(S_\lambda z)=Q_F(z)</w:t>
      </w:r>
    </w:p>
    <w:p w:rsidR="0068496A" w:rsidRDefault="0068496A" w:rsidP="0068496A">
      <w:pPr>
        <w:pStyle w:val="StandardWeb"/>
      </w:pPr>
      <w:r>
        <w:t>so ergibt Differentiation nach (\lambda)</w:t>
      </w:r>
    </w:p>
    <w:p w:rsidR="0068496A" w:rsidRDefault="0068496A" w:rsidP="0068496A">
      <w:pPr>
        <w:pStyle w:val="berschrift1"/>
      </w:pPr>
      <w:r>
        <w:t>[</w:t>
      </w:r>
      <w:r>
        <w:br/>
        <w:t>\left.</w:t>
      </w:r>
      <w:r>
        <w:br/>
        <w:t>\frac{d}{d\lambda}</w:t>
      </w:r>
      <w:r>
        <w:br/>
      </w:r>
      <w:r>
        <w:lastRenderedPageBreak/>
        <w:t>Q_F(S_\lambda z)</w:t>
      </w:r>
      <w:r>
        <w:br/>
        <w:t>\right|_{\lambda=0}</w:t>
      </w:r>
    </w:p>
    <w:p w:rsidR="0068496A" w:rsidRDefault="0068496A" w:rsidP="00152216">
      <w:pPr>
        <w:numPr>
          <w:ilvl w:val="0"/>
          <w:numId w:val="456"/>
        </w:numPr>
        <w:spacing w:before="100" w:beforeAutospacing="1" w:after="100" w:afterAutospacing="1"/>
      </w:pPr>
    </w:p>
    <w:p w:rsidR="0068496A" w:rsidRDefault="0068496A" w:rsidP="0068496A">
      <w:pPr>
        <w:pStyle w:val="StandardWeb"/>
      </w:pPr>
      <w:r>
        <w:t>\tag{3.10466}</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\left.\frac{d}{d\lambda}Q_F(S_\lambda z)\right|_{\lambda=0}=0</w:t>
      </w:r>
    </w:p>
    <w:p w:rsidR="0068496A" w:rsidRDefault="0068496A" w:rsidP="0068496A">
      <w:pPr>
        <w:pStyle w:val="StandardWeb"/>
      </w:pPr>
      <w:r>
        <w:t>Dies beschreibt die infinitesimale Symmetrieinvarianz von (Q_F).</w:t>
      </w:r>
    </w:p>
    <w:p w:rsidR="0068496A" w:rsidRDefault="00E50336" w:rsidP="0068496A">
      <w:r>
        <w:pict>
          <v:rect id="_x0000_i3314" style="width:0;height:1.5pt" o:hralign="center" o:hrstd="t" o:hr="t" fillcolor="#a0a0a0" stroked="f"/>
        </w:pict>
      </w:r>
    </w:p>
    <w:p w:rsidR="0068496A" w:rsidRDefault="0068496A" w:rsidP="0068496A">
      <w:pPr>
        <w:pStyle w:val="berschrift1"/>
      </w:pPr>
      <w:r>
        <w:t>3.3.45.216 Noch keine Übergangserhaltung</w:t>
      </w:r>
    </w:p>
    <w:p w:rsidR="0068496A" w:rsidRDefault="0068496A" w:rsidP="0068496A">
      <w:pPr>
        <w:pStyle w:val="StandardWeb"/>
      </w:pPr>
      <w:r>
        <w:t>Aus</w:t>
      </w:r>
    </w:p>
    <w:p w:rsidR="0068496A" w:rsidRDefault="0068496A" w:rsidP="0068496A">
      <w:pPr>
        <w:pStyle w:val="berschrift1"/>
      </w:pPr>
      <w:r>
        <w:t>[</w:t>
      </w:r>
      <w:r>
        <w:br/>
        <w:t>X_F[Q_F]</w:t>
      </w:r>
    </w:p>
    <w:p w:rsidR="0068496A" w:rsidRDefault="0068496A" w:rsidP="0068496A">
      <w:pPr>
        <w:pStyle w:val="StandardWeb"/>
      </w:pPr>
      <w:r>
        <w:t>0</w:t>
      </w:r>
      <w:r>
        <w:br/>
        <w:t>\tag{3.10467}</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X_F[Q_F]=0</w:t>
      </w:r>
    </w:p>
    <w:p w:rsidR="0068496A" w:rsidRDefault="0068496A" w:rsidP="0068496A">
      <w:pPr>
        <w:pStyle w:val="StandardWeb"/>
      </w:pPr>
      <w:r>
        <w:t>folgt jedoch lediglich Symmetrieinvarianz entlang des Symmetriegenerators.</w:t>
      </w:r>
    </w:p>
    <w:p w:rsidR="0068496A" w:rsidRDefault="0068496A" w:rsidP="0068496A">
      <w:pPr>
        <w:pStyle w:val="StandardWeb"/>
      </w:pPr>
      <w:r>
        <w:t>Es folgt nicht automatisch</w:t>
      </w:r>
    </w:p>
    <w:p w:rsidR="0068496A" w:rsidRDefault="0068496A" w:rsidP="0068496A">
      <w:pPr>
        <w:pStyle w:val="StandardWeb"/>
      </w:pPr>
      <w:r>
        <w:t>[</w:t>
      </w:r>
      <w:r>
        <w:br/>
        <w:t>I_F(z_i)=I_F(z_j)</w:t>
      </w:r>
      <w:r>
        <w:br/>
        <w:t>\qquad</w:t>
      </w:r>
      <w:r>
        <w:br/>
        <w:t>\forall(z_i,z_j)\in\mathcal T_F.</w:t>
      </w:r>
      <w:r>
        <w:br/>
        <w:t>\tag{3.10468}</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I_F(z_i)=I_F(z_j)\qquad\forall(z_i,z_j)\in\mathcal T_F</w:t>
      </w:r>
    </w:p>
    <w:p w:rsidR="0068496A" w:rsidRDefault="0068496A" w:rsidP="0068496A">
      <w:pPr>
        <w:pStyle w:val="StandardWeb"/>
      </w:pPr>
      <w:r>
        <w:t>Damit bleibt die Trennung zwischen Symmetrie- und Übergangsinvarianz bestehen.</w:t>
      </w:r>
    </w:p>
    <w:p w:rsidR="0068496A" w:rsidRDefault="00E50336" w:rsidP="0068496A">
      <w:r>
        <w:lastRenderedPageBreak/>
        <w:pict>
          <v:rect id="_x0000_i3315" style="width:0;height:1.5pt" o:hralign="center" o:hrstd="t" o:hr="t" fillcolor="#a0a0a0" stroked="f"/>
        </w:pict>
      </w:r>
    </w:p>
    <w:p w:rsidR="0068496A" w:rsidRDefault="0068496A" w:rsidP="0068496A">
      <w:pPr>
        <w:pStyle w:val="berschrift1"/>
      </w:pPr>
      <w:r>
        <w:t>3.3.45.217 Dynamikgenerator als zusätzliche Struktur</w:t>
      </w:r>
    </w:p>
    <w:p w:rsidR="0068496A" w:rsidRDefault="0068496A" w:rsidP="0068496A">
      <w:pPr>
        <w:pStyle w:val="StandardWeb"/>
      </w:pPr>
      <w:r>
        <w:t>Für eine Noether-artige Beziehung müsste zusätzlich ein dynamischer beziehungsweise variationaler Mechanismus vorhanden sein.</w:t>
      </w:r>
    </w:p>
    <w:p w:rsidR="0068496A" w:rsidRDefault="0068496A" w:rsidP="0068496A">
      <w:pPr>
        <w:pStyle w:val="StandardWeb"/>
      </w:pPr>
      <w:r>
        <w:t>Ein möglicher dynamischer Generator könnte formal durch</w:t>
      </w:r>
    </w:p>
    <w:p w:rsidR="0068496A" w:rsidRDefault="0068496A" w:rsidP="0068496A">
      <w:pPr>
        <w:pStyle w:val="StandardWeb"/>
      </w:pPr>
      <w:r>
        <w:t>[</w:t>
      </w:r>
      <w:r>
        <w:br/>
        <w:t>D_F</w:t>
      </w:r>
      <w:r>
        <w:br/>
        <w:t>\tag{3.10469}</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D_F</w:t>
      </w:r>
    </w:p>
    <w:p w:rsidR="0068496A" w:rsidRDefault="0068496A" w:rsidP="0068496A">
      <w:pPr>
        <w:pStyle w:val="StandardWeb"/>
      </w:pPr>
      <w:r>
        <w:t>bezeichnet werden.</w:t>
      </w:r>
    </w:p>
    <w:p w:rsidR="0068496A" w:rsidRDefault="0068496A" w:rsidP="0068496A">
      <w:pPr>
        <w:pStyle w:val="StandardWeb"/>
      </w:pPr>
      <w:r>
        <w:t>Eine Übergangsinvariante müsste dann beispielsweise eine Bedingung der Form</w:t>
      </w:r>
    </w:p>
    <w:p w:rsidR="0068496A" w:rsidRDefault="0068496A" w:rsidP="0068496A">
      <w:pPr>
        <w:pStyle w:val="berschrift1"/>
      </w:pPr>
      <w:r>
        <w:t>[</w:t>
      </w:r>
      <w:r>
        <w:br/>
        <w:t>D_F[I_F]</w:t>
      </w:r>
    </w:p>
    <w:p w:rsidR="0068496A" w:rsidRDefault="0068496A" w:rsidP="0068496A">
      <w:pPr>
        <w:pStyle w:val="StandardWeb"/>
      </w:pPr>
      <w:r>
        <w:t>0</w:t>
      </w:r>
      <w:r>
        <w:br/>
        <w:t>\tag{3.10470}</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D_F[I_F]=0</w:t>
      </w:r>
    </w:p>
    <w:p w:rsidR="0068496A" w:rsidRDefault="0068496A" w:rsidP="0068496A">
      <w:pPr>
        <w:pStyle w:val="StandardWeb"/>
      </w:pPr>
      <w:r>
        <w:t>erfüllen.</w:t>
      </w:r>
    </w:p>
    <w:p w:rsidR="0068496A" w:rsidRDefault="0068496A" w:rsidP="0068496A">
      <w:pPr>
        <w:pStyle w:val="StandardWeb"/>
      </w:pPr>
      <w:r>
        <w:t>Diese Struktur wurde jedoch bislang nicht als universeller Bestandteil des FRZK eingeführt.</w:t>
      </w:r>
    </w:p>
    <w:p w:rsidR="0068496A" w:rsidRDefault="00E50336" w:rsidP="0068496A">
      <w:r>
        <w:pict>
          <v:rect id="_x0000_i3316" style="width:0;height:1.5pt" o:hralign="center" o:hrstd="t" o:hr="t" fillcolor="#a0a0a0" stroked="f"/>
        </w:pict>
      </w:r>
    </w:p>
    <w:p w:rsidR="0068496A" w:rsidRDefault="0068496A" w:rsidP="0068496A">
      <w:pPr>
        <w:pStyle w:val="berschrift1"/>
      </w:pPr>
      <w:r>
        <w:t>3.3.45.218 Symmetriegenerator und Dynamikgenerator sind nicht identisch</w:t>
      </w:r>
    </w:p>
    <w:p w:rsidR="0068496A" w:rsidRDefault="0068496A" w:rsidP="0068496A">
      <w:pPr>
        <w:pStyle w:val="StandardWeb"/>
      </w:pPr>
      <w:r>
        <w:t>Es gilt insbesondere nicht allgemein</w:t>
      </w:r>
    </w:p>
    <w:p w:rsidR="0068496A" w:rsidRDefault="0068496A" w:rsidP="0068496A">
      <w:pPr>
        <w:pStyle w:val="berschrift1"/>
      </w:pPr>
      <w:r>
        <w:lastRenderedPageBreak/>
        <w:t>[</w:t>
      </w:r>
      <w:r>
        <w:br/>
        <w:t>\boxed{</w:t>
      </w:r>
      <w:r>
        <w:br/>
        <w:t>X_F</w:t>
      </w:r>
    </w:p>
    <w:p w:rsidR="0068496A" w:rsidRDefault="0068496A" w:rsidP="0068496A">
      <w:pPr>
        <w:pStyle w:val="StandardWeb"/>
      </w:pPr>
      <w:r>
        <w:t>D_F.</w:t>
      </w:r>
      <w:r>
        <w:br/>
        <w:t>}</w:t>
      </w:r>
      <w:r>
        <w:br/>
        <w:t>\tag{3.10471}</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\boxed{X_F=D_F.}</w:t>
      </w:r>
    </w:p>
    <w:p w:rsidR="0068496A" w:rsidRDefault="0068496A" w:rsidP="0068496A">
      <w:pPr>
        <w:pStyle w:val="StandardWeb"/>
      </w:pPr>
      <w:r>
        <w:t>Der Symmetriegenerator beschreibt eine Transformation des Zustandsraumes, während ein Dynamikgenerator die Entwicklung beziehungsweise Übergangsbewegung eines Modells bestimmen würde.</w:t>
      </w:r>
    </w:p>
    <w:p w:rsidR="0068496A" w:rsidRDefault="00E50336" w:rsidP="0068496A">
      <w:r>
        <w:pict>
          <v:rect id="_x0000_i3317" style="width:0;height:1.5pt" o:hralign="center" o:hrstd="t" o:hr="t" fillcolor="#a0a0a0" stroked="f"/>
        </w:pict>
      </w:r>
    </w:p>
    <w:p w:rsidR="0068496A" w:rsidRDefault="0068496A" w:rsidP="0068496A">
      <w:pPr>
        <w:pStyle w:val="berschrift1"/>
      </w:pPr>
      <w:r>
        <w:t>3.3.45.219 Variationsstruktur als weitere Voraussetzung</w:t>
      </w:r>
    </w:p>
    <w:p w:rsidR="0068496A" w:rsidRDefault="0068496A" w:rsidP="0068496A">
      <w:pPr>
        <w:pStyle w:val="StandardWeb"/>
      </w:pPr>
      <w:r>
        <w:t>Das klassische Noether-Prinzip beruht nicht lediglich auf einer beliebigen Symmetrie, sondern auf der Invarianz einer geeigneten Wirkungs- beziehungsweise Variationsstruktur.</w:t>
      </w:r>
    </w:p>
    <w:p w:rsidR="0068496A" w:rsidRDefault="0068496A" w:rsidP="0068496A">
      <w:pPr>
        <w:pStyle w:val="StandardWeb"/>
      </w:pPr>
      <w:r>
        <w:t>Für eine FRZK-Analogie müsste daher zunächst ein Objekt</w:t>
      </w:r>
    </w:p>
    <w:p w:rsidR="0068496A" w:rsidRDefault="0068496A" w:rsidP="0068496A">
      <w:pPr>
        <w:pStyle w:val="StandardWeb"/>
      </w:pPr>
      <w:r>
        <w:t>[</w:t>
      </w:r>
      <w:r>
        <w:br/>
        <w:t>\mathcal A_F</w:t>
      </w:r>
      <w:r>
        <w:br/>
        <w:t>\tag{3.10472}</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\mathcal A_F</w:t>
      </w:r>
    </w:p>
    <w:p w:rsidR="0068496A" w:rsidRDefault="0068496A" w:rsidP="0068496A">
      <w:pPr>
        <w:pStyle w:val="StandardWeb"/>
      </w:pPr>
      <w:r>
        <w:t>oder eine entsprechende funktionale Wirkungsstruktur definiert werden.</w:t>
      </w:r>
    </w:p>
    <w:p w:rsidR="0068496A" w:rsidRDefault="0068496A" w:rsidP="0068496A">
      <w:pPr>
        <w:pStyle w:val="StandardWeb"/>
      </w:pPr>
      <w:r>
        <w:t>Ohne eine solche Struktur gibt es keinen mathematisch gerechtfertigten Ausgangspunkt für eine Noether-artige Ableitung.</w:t>
      </w:r>
    </w:p>
    <w:p w:rsidR="0068496A" w:rsidRDefault="00E50336" w:rsidP="0068496A">
      <w:r>
        <w:pict>
          <v:rect id="_x0000_i3318" style="width:0;height:1.5pt" o:hralign="center" o:hrstd="t" o:hr="t" fillcolor="#a0a0a0" stroked="f"/>
        </w:pict>
      </w:r>
    </w:p>
    <w:p w:rsidR="0068496A" w:rsidRDefault="0068496A" w:rsidP="0068496A">
      <w:pPr>
        <w:pStyle w:val="berschrift1"/>
      </w:pPr>
      <w:r>
        <w:t>3.3.45.220 Modellannahme einer funktionalen Variationsstruktur</w:t>
      </w:r>
    </w:p>
    <w:p w:rsidR="0068496A" w:rsidRDefault="0068496A" w:rsidP="0068496A">
      <w:pPr>
        <w:pStyle w:val="StandardWeb"/>
      </w:pPr>
      <w:r>
        <w:t>Ich kann für spezielle Modelle formal eine Zusatzannahme</w:t>
      </w:r>
    </w:p>
    <w:p w:rsidR="0068496A" w:rsidRDefault="0068496A" w:rsidP="0068496A">
      <w:pPr>
        <w:pStyle w:val="StandardWeb"/>
      </w:pPr>
      <w:r>
        <w:lastRenderedPageBreak/>
        <w:t>[</w:t>
      </w:r>
      <w:r>
        <w:br/>
        <w:t>M_V</w:t>
      </w:r>
      <w:r>
        <w:br/>
        <w:t>\tag{3.10473}</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M_V</w:t>
      </w:r>
    </w:p>
    <w:p w:rsidR="0068496A" w:rsidRDefault="0068496A" w:rsidP="0068496A">
      <w:pPr>
        <w:pStyle w:val="StandardWeb"/>
      </w:pPr>
      <w:r>
        <w:t>einführen.</w:t>
      </w:r>
    </w:p>
    <w:p w:rsidR="0068496A" w:rsidRDefault="0068496A" w:rsidP="0068496A">
      <w:pPr>
        <w:pStyle w:val="StandardWeb"/>
      </w:pPr>
      <w:r>
        <w:t>Sie fordert die Existenz einer geeigneten Variationsstruktur, deren stationäre beziehungsweise extremale Bedingungen die betrachtete Dynamik bestimmen.</w:t>
      </w:r>
    </w:p>
    <w:p w:rsidR="0068496A" w:rsidRDefault="00E50336" w:rsidP="0068496A">
      <w:r>
        <w:pict>
          <v:rect id="_x0000_i3319" style="width:0;height:1.5pt" o:hralign="center" o:hrstd="t" o:hr="t" fillcolor="#a0a0a0" stroked="f"/>
        </w:pict>
      </w:r>
    </w:p>
    <w:p w:rsidR="0068496A" w:rsidRDefault="0068496A" w:rsidP="0068496A">
      <w:pPr>
        <w:pStyle w:val="berschrift1"/>
      </w:pPr>
      <w:r>
        <w:t>3.3.45.221 Definition 3.3.138 – Funktionale Variationsmodellannahme</w:t>
      </w:r>
    </w:p>
    <w:p w:rsidR="0068496A" w:rsidRDefault="0068496A" w:rsidP="0068496A">
      <w:pPr>
        <w:pStyle w:val="berschrift3"/>
      </w:pPr>
      <w:r>
        <w:t>Definition 3.3.138</w:t>
      </w:r>
    </w:p>
    <w:p w:rsidR="0068496A" w:rsidRDefault="0068496A" w:rsidP="0068496A">
      <w:pPr>
        <w:pStyle w:val="StandardWeb"/>
      </w:pPr>
      <w:r>
        <w:t xml:space="preserve">Die </w:t>
      </w:r>
      <w:r>
        <w:rPr>
          <w:rStyle w:val="Fett"/>
        </w:rPr>
        <w:t>funktionale Variationsmodellannahme</w:t>
      </w:r>
      <w:r>
        <w:t xml:space="preserve"> (M_V) fordert die Existenz einer wohldefinierten Funktionalstruktur</w:t>
      </w:r>
    </w:p>
    <w:p w:rsidR="0068496A" w:rsidRDefault="0068496A" w:rsidP="0068496A">
      <w:pPr>
        <w:pStyle w:val="StandardWeb"/>
      </w:pPr>
      <w:r>
        <w:t>[</w:t>
      </w:r>
      <w:r>
        <w:br/>
        <w:t>\mathcal A_F</w:t>
      </w:r>
      <w:r>
        <w:br/>
        <w:t>\tag{3.10474}</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\mathcal A_F</w:t>
      </w:r>
    </w:p>
    <w:p w:rsidR="0068496A" w:rsidRDefault="0068496A" w:rsidP="0068496A">
      <w:pPr>
        <w:pStyle w:val="StandardWeb"/>
      </w:pPr>
      <w:r>
        <w:t>und einer Variationsoperation (\delta), so dass für die betrachtete Modellklasse eine Bedingung</w:t>
      </w:r>
    </w:p>
    <w:p w:rsidR="0068496A" w:rsidRDefault="0068496A" w:rsidP="0068496A">
      <w:pPr>
        <w:pStyle w:val="berschrift1"/>
      </w:pPr>
      <w:r>
        <w:t>[</w:t>
      </w:r>
      <w:r>
        <w:br/>
        <w:t>\boxed{</w:t>
      </w:r>
      <w:r>
        <w:br/>
        <w:t>\delta\mathcal A_F</w:t>
      </w:r>
    </w:p>
    <w:p w:rsidR="0068496A" w:rsidRDefault="0068496A" w:rsidP="0068496A">
      <w:pPr>
        <w:pStyle w:val="StandardWeb"/>
      </w:pPr>
      <w:r>
        <w:t>0</w:t>
      </w:r>
      <w:r>
        <w:br/>
        <w:t>}</w:t>
      </w:r>
      <w:r>
        <w:br/>
        <w:t>\tag{3.10475}</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\boxed{\delta\mathcal A_F=0}</w:t>
      </w:r>
    </w:p>
    <w:p w:rsidR="0068496A" w:rsidRDefault="0068496A" w:rsidP="0068496A">
      <w:pPr>
        <w:pStyle w:val="StandardWeb"/>
      </w:pPr>
      <w:r>
        <w:lastRenderedPageBreak/>
        <w:t>als Modellgleichung oder Auswahlbedingung sinnvoll definiert werden kann.</w:t>
      </w:r>
    </w:p>
    <w:p w:rsidR="0068496A" w:rsidRDefault="0068496A" w:rsidP="0068496A">
      <w:pPr>
        <w:pStyle w:val="StandardWeb"/>
      </w:pPr>
      <w:r>
        <w:t>Diese Struktur ist eine optionale Modellannahme und kein Primäraxiom.</w:t>
      </w:r>
    </w:p>
    <w:p w:rsidR="0068496A" w:rsidRDefault="00E50336" w:rsidP="0068496A">
      <w:r>
        <w:pict>
          <v:rect id="_x0000_i3320" style="width:0;height:1.5pt" o:hralign="center" o:hrstd="t" o:hr="t" fillcolor="#a0a0a0" stroked="f"/>
        </w:pict>
      </w:r>
    </w:p>
    <w:p w:rsidR="0068496A" w:rsidRDefault="0068496A" w:rsidP="0068496A">
      <w:pPr>
        <w:pStyle w:val="berschrift1"/>
      </w:pPr>
      <w:r>
        <w:t>3.3.45.222 Status der Variationsstruktur</w:t>
      </w:r>
    </w:p>
    <w:p w:rsidR="0068496A" w:rsidRDefault="0068496A" w:rsidP="0068496A">
      <w:pPr>
        <w:pStyle w:val="StandardWeb"/>
      </w:pPr>
      <w:r>
        <w:t>Daher gilt</w:t>
      </w:r>
    </w:p>
    <w:p w:rsidR="0068496A" w:rsidRDefault="0068496A" w:rsidP="0068496A">
      <w:pPr>
        <w:pStyle w:val="berschrift1"/>
      </w:pPr>
      <w:r>
        <w:t>[</w:t>
      </w:r>
      <w:r>
        <w:br/>
        <w:t>\boxed{</w:t>
      </w:r>
      <w:r>
        <w:br/>
        <w:t>\operatorname{Stat}(M_V)</w:t>
      </w:r>
    </w:p>
    <w:p w:rsidR="0068496A" w:rsidRDefault="0068496A" w:rsidP="0068496A">
      <w:pPr>
        <w:pStyle w:val="StandardWeb"/>
      </w:pPr>
      <w:r>
        <w:t>\mathrm{Mod}.</w:t>
      </w:r>
      <w:r>
        <w:br/>
        <w:t>}</w:t>
      </w:r>
      <w:r>
        <w:br/>
        <w:t>\tag{3.10476}</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\boxed{\operatorname{Stat}(M_V)=\mathrm{Mod}.}</w:t>
      </w:r>
    </w:p>
    <w:p w:rsidR="0068496A" w:rsidRDefault="0068496A" w:rsidP="0068496A">
      <w:pPr>
        <w:pStyle w:val="StandardWeb"/>
      </w:pPr>
      <w:r>
        <w:t>Die bisherige FRZK-Axiomatik erzwingt keine Wirkungs- oder Variationsstruktur.</w:t>
      </w:r>
    </w:p>
    <w:p w:rsidR="0068496A" w:rsidRDefault="00E50336" w:rsidP="0068496A">
      <w:r>
        <w:pict>
          <v:rect id="_x0000_i3321" style="width:0;height:1.5pt" o:hralign="center" o:hrstd="t" o:hr="t" fillcolor="#a0a0a0" stroked="f"/>
        </w:pict>
      </w:r>
    </w:p>
    <w:p w:rsidR="0068496A" w:rsidRDefault="0068496A" w:rsidP="0068496A">
      <w:pPr>
        <w:pStyle w:val="berschrift1"/>
      </w:pPr>
      <w:r>
        <w:t>3.3.45.223 Symmetrie der Variationsstruktur</w:t>
      </w:r>
    </w:p>
    <w:p w:rsidR="0068496A" w:rsidRDefault="0068496A" w:rsidP="0068496A">
      <w:pPr>
        <w:pStyle w:val="StandardWeb"/>
      </w:pPr>
      <w:r>
        <w:t>Unter zusätzlichen Voraussetzungen könnte eine kontinuierliche Symmetrie die Variationsstruktur erhalten:</w:t>
      </w:r>
    </w:p>
    <w:p w:rsidR="0068496A" w:rsidRDefault="0068496A" w:rsidP="0068496A">
      <w:pPr>
        <w:pStyle w:val="berschrift1"/>
      </w:pPr>
      <w:r>
        <w:t>[</w:t>
      </w:r>
      <w:r>
        <w:br/>
        <w:t>\mathcal A_F[S_\lambda z]</w:t>
      </w:r>
    </w:p>
    <w:p w:rsidR="0068496A" w:rsidRDefault="0068496A" w:rsidP="0068496A">
      <w:pPr>
        <w:pStyle w:val="StandardWeb"/>
      </w:pPr>
      <w:r>
        <w:t>\mathcal A_F[z].</w:t>
      </w:r>
      <w:r>
        <w:br/>
        <w:t>\tag{3.10477}</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\mathcal A_F[S_\lambda z]=\mathcal A_F[z]</w:t>
      </w:r>
    </w:p>
    <w:p w:rsidR="0068496A" w:rsidRDefault="0068496A" w:rsidP="0068496A">
      <w:pPr>
        <w:pStyle w:val="StandardWeb"/>
      </w:pPr>
      <w:r>
        <w:t>Erst eine solche Bedingung nähert sich strukturell dem Ausgangspunkt einer Noether-artigen Argumentation.</w:t>
      </w:r>
    </w:p>
    <w:p w:rsidR="0068496A" w:rsidRDefault="00E50336" w:rsidP="0068496A">
      <w:r>
        <w:pict>
          <v:rect id="_x0000_i3322" style="width:0;height:1.5pt" o:hralign="center" o:hrstd="t" o:hr="t" fillcolor="#a0a0a0" stroked="f"/>
        </w:pict>
      </w:r>
    </w:p>
    <w:p w:rsidR="0068496A" w:rsidRDefault="0068496A" w:rsidP="0068496A">
      <w:pPr>
        <w:pStyle w:val="berschrift1"/>
      </w:pPr>
      <w:r>
        <w:lastRenderedPageBreak/>
        <w:t>3.3.45.224 Noch fehlende Ableitung einer Erhaltungsgröße</w:t>
      </w:r>
    </w:p>
    <w:p w:rsidR="0068496A" w:rsidRDefault="0068496A" w:rsidP="0068496A">
      <w:pPr>
        <w:pStyle w:val="StandardWeb"/>
      </w:pPr>
      <w:r>
        <w:t>Selbst dann müsste eine konkrete Größe (J_F) konstruiert werden, für die sich aus den Modellgleichungen tatsächlich</w:t>
      </w:r>
    </w:p>
    <w:p w:rsidR="0068496A" w:rsidRDefault="0068496A" w:rsidP="0068496A">
      <w:pPr>
        <w:pStyle w:val="berschrift1"/>
      </w:pPr>
      <w:r>
        <w:t>[</w:t>
      </w:r>
      <w:r>
        <w:br/>
        <w:t>D_F[J_F]</w:t>
      </w:r>
    </w:p>
    <w:p w:rsidR="0068496A" w:rsidRDefault="0068496A" w:rsidP="0068496A">
      <w:pPr>
        <w:pStyle w:val="StandardWeb"/>
      </w:pPr>
      <w:r>
        <w:t>0</w:t>
      </w:r>
      <w:r>
        <w:br/>
        <w:t>\tag{3.10478}</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D_F[J_F]=0</w:t>
      </w:r>
    </w:p>
    <w:p w:rsidR="0068496A" w:rsidRDefault="0068496A" w:rsidP="0068496A">
      <w:pPr>
        <w:pStyle w:val="StandardWeb"/>
      </w:pPr>
      <w:r>
        <w:t>ableiten lässt.</w:t>
      </w:r>
    </w:p>
    <w:p w:rsidR="0068496A" w:rsidRDefault="0068496A" w:rsidP="0068496A">
      <w:pPr>
        <w:pStyle w:val="StandardWeb"/>
      </w:pPr>
      <w:r>
        <w:t>Ohne diesen Ableitungsschritt wäre die Aussage</w:t>
      </w:r>
    </w:p>
    <w:p w:rsidR="0068496A" w:rsidRDefault="0068496A" w:rsidP="0068496A">
      <w:pPr>
        <w:pStyle w:val="StandardWeb"/>
      </w:pPr>
      <w:r>
        <w:t>[</w:t>
      </w:r>
      <w:r>
        <w:br/>
        <w:t>J_F</w:t>
      </w:r>
      <w:r>
        <w:br/>
        <w:t>\text{ ist erhalten}</w:t>
      </w:r>
      <w:r>
        <w:br/>
        <w:t>\tag{3.10479}</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J_F\text{ ist erhalten}</w:t>
      </w:r>
    </w:p>
    <w:p w:rsidR="0068496A" w:rsidRDefault="0068496A" w:rsidP="0068496A">
      <w:pPr>
        <w:pStyle w:val="StandardWeb"/>
      </w:pPr>
      <w:r>
        <w:t>lediglich eine Behauptung.</w:t>
      </w:r>
    </w:p>
    <w:p w:rsidR="0068496A" w:rsidRDefault="00E50336" w:rsidP="0068496A">
      <w:r>
        <w:pict>
          <v:rect id="_x0000_i3323" style="width:0;height:1.5pt" o:hralign="center" o:hrstd="t" o:hr="t" fillcolor="#a0a0a0" stroked="f"/>
        </w:pict>
      </w:r>
    </w:p>
    <w:p w:rsidR="0068496A" w:rsidRDefault="0068496A" w:rsidP="0068496A">
      <w:pPr>
        <w:pStyle w:val="berschrift1"/>
      </w:pPr>
      <w:r>
        <w:t>3.3.45.225 Bedingungskette einer Noether-artigen FRZK-Struktur</w:t>
      </w:r>
    </w:p>
    <w:p w:rsidR="0068496A" w:rsidRDefault="0068496A" w:rsidP="0068496A">
      <w:pPr>
        <w:pStyle w:val="StandardWeb"/>
      </w:pPr>
      <w:r>
        <w:t>Ich kann daher die notwendigen Modellschichten zunächst als Bedingungskette formulieren:</w:t>
      </w:r>
    </w:p>
    <w:p w:rsidR="0068496A" w:rsidRDefault="0068496A" w:rsidP="0068496A">
      <w:pPr>
        <w:pStyle w:val="StandardWeb"/>
      </w:pPr>
      <w:r>
        <w:t>[</w:t>
      </w:r>
      <w:r>
        <w:br/>
        <w:t>M_S^{\mathrm{diff}}</w:t>
      </w:r>
      <w:r>
        <w:br/>
        <w:t>\land</w:t>
      </w:r>
      <w:r>
        <w:br/>
        <w:t>M_V</w:t>
      </w:r>
      <w:r>
        <w:br/>
        <w:t>\land</w:t>
      </w:r>
      <w:r>
        <w:br/>
        <w:t>M_D</w:t>
      </w:r>
      <w:r>
        <w:br/>
        <w:t>\land</w:t>
      </w:r>
      <w:r>
        <w:br/>
      </w:r>
      <w:r>
        <w:lastRenderedPageBreak/>
        <w:t>M_{\mathrm{sym}}</w:t>
      </w:r>
      <w:r>
        <w:br/>
        <w:t>\land</w:t>
      </w:r>
      <w:r>
        <w:br/>
        <w:t>M_{\mathrm{der}}</w:t>
      </w:r>
      <w:r>
        <w:br/>
        <w:t>\tag{3.10480}</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M_S^{\mathrm{diff}}\land M_V\land M_D\land M_{\mathrm{sym}}\land M_{\mathrm{der}}</w:t>
      </w:r>
    </w:p>
    <w:p w:rsidR="0068496A" w:rsidRDefault="0068496A" w:rsidP="0068496A">
      <w:pPr>
        <w:pStyle w:val="StandardWeb"/>
      </w:pPr>
      <w:r>
        <w:t>wobei (M_D) eine geeignete Dynamikstruktur, (M_{\mathrm{sym}}) die Symmetrie der Variationsstruktur und (M_{\mathrm{der}}) die tatsächliche Herleitbarkeit einer Erhaltungsrelation bezeichnet.</w:t>
      </w:r>
    </w:p>
    <w:p w:rsidR="0068496A" w:rsidRDefault="00E50336" w:rsidP="0068496A">
      <w:r>
        <w:pict>
          <v:rect id="_x0000_i3324" style="width:0;height:1.5pt" o:hralign="center" o:hrstd="t" o:hr="t" fillcolor="#a0a0a0" stroked="f"/>
        </w:pict>
      </w:r>
    </w:p>
    <w:p w:rsidR="0068496A" w:rsidRDefault="0068496A" w:rsidP="0068496A">
      <w:pPr>
        <w:pStyle w:val="berschrift1"/>
      </w:pPr>
      <w:r>
        <w:t>3.3.45.226 Definition 3.3.139 – Noether-artige Modellvoraussetzungen</w:t>
      </w:r>
    </w:p>
    <w:p w:rsidR="0068496A" w:rsidRDefault="0068496A" w:rsidP="0068496A">
      <w:pPr>
        <w:pStyle w:val="berschrift3"/>
      </w:pPr>
      <w:r>
        <w:t>Definition 3.3.139</w:t>
      </w:r>
    </w:p>
    <w:p w:rsidR="0068496A" w:rsidRDefault="0068496A" w:rsidP="0068496A">
      <w:pPr>
        <w:pStyle w:val="StandardWeb"/>
      </w:pPr>
      <w:r>
        <w:t>Die Menge der für eine mögliche Noether-artige FRZK-Aussage erforderlichen Zusatzannahmen fasse ich zusammen als</w:t>
      </w:r>
    </w:p>
    <w:p w:rsidR="0068496A" w:rsidRDefault="0068496A" w:rsidP="0068496A">
      <w:pPr>
        <w:pStyle w:val="berschrift1"/>
      </w:pPr>
      <w:r>
        <w:t>[</w:t>
      </w:r>
      <w:r>
        <w:br/>
        <w:t>\boxed{</w:t>
      </w:r>
      <w:r>
        <w:br/>
        <w:t>\mathfrak N_F</w:t>
      </w:r>
    </w:p>
    <w:p w:rsidR="0068496A" w:rsidRDefault="0068496A" w:rsidP="0068496A">
      <w:pPr>
        <w:pStyle w:val="StandardWeb"/>
      </w:pPr>
      <w:r>
        <w:t>\left(</w:t>
      </w:r>
      <w:r>
        <w:br/>
        <w:t>M_S^{\mathrm{diff}},</w:t>
      </w:r>
      <w:r>
        <w:br/>
        <w:t>M_V,</w:t>
      </w:r>
      <w:r>
        <w:br/>
        <w:t>M_D,</w:t>
      </w:r>
      <w:r>
        <w:br/>
        <w:t>M_{\mathrm{sym}},</w:t>
      </w:r>
      <w:r>
        <w:br/>
        <w:t>M_{\mathrm{der}}</w:t>
      </w:r>
      <w:r>
        <w:br/>
        <w:t>\right).</w:t>
      </w:r>
      <w:r>
        <w:br/>
        <w:t>}</w:t>
      </w:r>
      <w:r>
        <w:br/>
        <w:t>\tag{3.10481}</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\boxed{\mathfrak N_F=\left(M_S^{\mathrm{diff}},M_V,M_D,M_{\mathrm{sym}},M_{\mathrm{der}}\right).}</w:t>
      </w:r>
    </w:p>
    <w:p w:rsidR="0068496A" w:rsidRDefault="0068496A" w:rsidP="0068496A">
      <w:pPr>
        <w:pStyle w:val="StandardWeb"/>
      </w:pPr>
      <w:r>
        <w:t>Diese Struktur ist keine Erweiterung der Primäraxiomatik, sondern eine Checkliste zusätzlicher Voraussetzungen für spezielle Modellklassen.</w:t>
      </w:r>
    </w:p>
    <w:p w:rsidR="0068496A" w:rsidRDefault="00E50336" w:rsidP="0068496A">
      <w:r>
        <w:lastRenderedPageBreak/>
        <w:pict>
          <v:rect id="_x0000_i3325" style="width:0;height:1.5pt" o:hralign="center" o:hrstd="t" o:hr="t" fillcolor="#a0a0a0" stroked="f"/>
        </w:pict>
      </w:r>
    </w:p>
    <w:p w:rsidR="0068496A" w:rsidRDefault="0068496A" w:rsidP="0068496A">
      <w:pPr>
        <w:pStyle w:val="berschrift1"/>
      </w:pPr>
      <w:r>
        <w:t>3.3.45.227 Keine Noether-artige Aussage ohne vollständige Voraussetzungskette</w:t>
      </w:r>
    </w:p>
    <w:p w:rsidR="0068496A" w:rsidRDefault="0068496A" w:rsidP="0068496A">
      <w:pPr>
        <w:pStyle w:val="StandardWeb"/>
      </w:pPr>
      <w:r>
        <w:t>Solange mindestens eine notwendige Struktur fehlt, darf nicht geschlossen werden:</w:t>
      </w:r>
    </w:p>
    <w:p w:rsidR="0068496A" w:rsidRDefault="0068496A" w:rsidP="0068496A">
      <w:pPr>
        <w:pStyle w:val="StandardWeb"/>
      </w:pPr>
      <w:r>
        <w:t>[</w:t>
      </w:r>
      <w:r>
        <w:br/>
        <w:t>\mathfrak G_F^{\mathrm{cont}}</w:t>
      </w:r>
      <w:r>
        <w:br/>
        <w:t>\Rightarrow</w:t>
      </w:r>
      <w:r>
        <w:br/>
        <w:t>\exists J_F:</w:t>
      </w:r>
      <w:r>
        <w:br/>
        <w:t>D_F[J_F]=0.</w:t>
      </w:r>
      <w:r>
        <w:br/>
        <w:t>\tag{3.10482}</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\mathfrak G_F^{\mathrm{cont}}\Rightarrow\exists J_F:D_F[J_F]=0</w:t>
      </w:r>
    </w:p>
    <w:p w:rsidR="0068496A" w:rsidRDefault="0068496A" w:rsidP="0068496A">
      <w:pPr>
        <w:pStyle w:val="StandardWeb"/>
      </w:pPr>
      <w:r>
        <w:t>Die korrekte Aussage lautet</w:t>
      </w:r>
    </w:p>
    <w:p w:rsidR="0068496A" w:rsidRDefault="0068496A" w:rsidP="0068496A">
      <w:pPr>
        <w:pStyle w:val="StandardWeb"/>
      </w:pPr>
      <w:r>
        <w:t>[</w:t>
      </w:r>
      <w:r>
        <w:br/>
        <w:t>\boxed{</w:t>
      </w:r>
      <w:r>
        <w:br/>
        <w:t>\mathfrak N_F</w:t>
      </w:r>
      <w:r>
        <w:br/>
        <w:t>\text{ muss vor jeder Noether-artigen Ableitung vollständig spezifiziert werden.}</w:t>
      </w:r>
      <w:r>
        <w:br/>
        <w:t>}</w:t>
      </w:r>
      <w:r>
        <w:br/>
        <w:t>\tag{3.10483}</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\boxed{\mathfrak N_F\text{ muss vor jeder Noether-artigen Ableitung vollständig spezifiziert werden.}}</w:t>
      </w:r>
    </w:p>
    <w:p w:rsidR="0068496A" w:rsidRDefault="00E50336" w:rsidP="0068496A">
      <w:r>
        <w:pict>
          <v:rect id="_x0000_i3326" style="width:0;height:1.5pt" o:hralign="center" o:hrstd="t" o:hr="t" fillcolor="#a0a0a0" stroked="f"/>
        </w:pict>
      </w:r>
    </w:p>
    <w:p w:rsidR="0068496A" w:rsidRDefault="0068496A" w:rsidP="0068496A">
      <w:pPr>
        <w:pStyle w:val="berschrift1"/>
      </w:pPr>
      <w:r>
        <w:t>3.3.45.228 Bedingter Noether-Kandidat</w:t>
      </w:r>
    </w:p>
    <w:p w:rsidR="0068496A" w:rsidRDefault="0068496A" w:rsidP="0068496A">
      <w:pPr>
        <w:pStyle w:val="StandardWeb"/>
      </w:pPr>
      <w:r>
        <w:t>Erst innerhalb einer Modellklasse, welche sämtliche Voraussetzungen erfüllt, kann ein bedingter Kandidat der Form</w:t>
      </w:r>
    </w:p>
    <w:p w:rsidR="0068496A" w:rsidRDefault="0068496A" w:rsidP="0068496A">
      <w:pPr>
        <w:pStyle w:val="StandardWeb"/>
      </w:pPr>
      <w:r>
        <w:t>[</w:t>
      </w:r>
      <w:r>
        <w:br/>
        <w:t>\mathfrak N_F</w:t>
      </w:r>
      <w:r>
        <w:br/>
        <w:t>\Rightarrow</w:t>
      </w:r>
      <w:r>
        <w:br/>
        <w:t>\left[</w:t>
      </w:r>
      <w:r>
        <w:br/>
        <w:t>\text{Symmetrie}</w:t>
      </w:r>
      <w:r>
        <w:br/>
        <w:t>\Rightarrow</w:t>
      </w:r>
      <w:r>
        <w:br/>
        <w:t>\text{Erhaltungsrelation}</w:t>
      </w:r>
      <w:r>
        <w:br/>
        <w:t>\right]</w:t>
      </w:r>
      <w:r>
        <w:br/>
        <w:t>\tag{3.10484}</w:t>
      </w:r>
      <w:r>
        <w:br/>
        <w:t>]</w:t>
      </w:r>
    </w:p>
    <w:p w:rsidR="0068496A" w:rsidRDefault="0068496A" w:rsidP="0068496A">
      <w:pPr>
        <w:pStyle w:val="StandardWeb"/>
      </w:pPr>
      <w:r>
        <w:rPr>
          <w:rStyle w:val="Fett"/>
        </w:rPr>
        <w:lastRenderedPageBreak/>
        <w:t>Word-LaTeX</w:t>
      </w:r>
    </w:p>
    <w:p w:rsidR="0068496A" w:rsidRDefault="0068496A" w:rsidP="0068496A">
      <w:pPr>
        <w:pStyle w:val="HTMLVorformatiert"/>
        <w:rPr>
          <w:rStyle w:val="HTMLCode"/>
        </w:rPr>
      </w:pPr>
      <w:r>
        <w:rPr>
          <w:rStyle w:val="HTMLCode"/>
        </w:rPr>
        <w:t>\mathfrak N_F\Rightarrow\left[\text{Symmetrie}\Rightarrow\text{Erhaltungsrelation}\right]</w:t>
      </w:r>
    </w:p>
    <w:p w:rsidR="0068496A" w:rsidRDefault="0068496A" w:rsidP="0068496A">
      <w:pPr>
        <w:pStyle w:val="StandardWeb"/>
      </w:pPr>
      <w:r>
        <w:t>untersucht werden.</w:t>
      </w:r>
    </w:p>
    <w:p w:rsidR="0068496A" w:rsidRDefault="0068496A" w:rsidP="0068496A">
      <w:pPr>
        <w:pStyle w:val="StandardWeb"/>
      </w:pPr>
      <w:r>
        <w:t>Dieser Kandidat wäre kein Primäraxiom, sondern ein möglicherweise herleitbarer Satz innerhalb einer eingeschränkten Modellklasse.</w:t>
      </w:r>
    </w:p>
    <w:p w:rsidR="0068496A" w:rsidRDefault="00E50336" w:rsidP="0068496A">
      <w:r>
        <w:pict>
          <v:rect id="_x0000_i3327" style="width:0;height:1.5pt" o:hralign="center" o:hrstd="t" o:hr="t" fillcolor="#a0a0a0" stroked="f"/>
        </w:pict>
      </w:r>
    </w:p>
    <w:p w:rsidR="0068496A" w:rsidRDefault="0068496A" w:rsidP="0068496A">
      <w:pPr>
        <w:pStyle w:val="berschrift1"/>
      </w:pPr>
      <w:r>
        <w:t>3.3.45.229 Status einer möglichen Noether-artigen FRZK-Beziehung</w:t>
      </w:r>
    </w:p>
    <w:p w:rsidR="0068496A" w:rsidRDefault="0068496A" w:rsidP="0068496A">
      <w:pPr>
        <w:pStyle w:val="StandardWeb"/>
      </w:pPr>
      <w:r>
        <w:t>Solange eine konkrete Herleitung noch nicht durchgeführt wurde, gilt</w:t>
      </w:r>
    </w:p>
    <w:p w:rsidR="0068496A" w:rsidRDefault="0068496A" w:rsidP="0068496A">
      <w:pPr>
        <w:pStyle w:val="berschrift1"/>
      </w:pPr>
      <w:r>
        <w:t>[</w:t>
      </w:r>
      <w:r>
        <w:br/>
        <w:t>\boxed{</w:t>
      </w:r>
      <w:r>
        <w:br/>
        <w:t>\operatorname{Stat}</w:t>
      </w:r>
      <w:r>
        <w:br/>
        <w:t>\left(</w:t>
      </w:r>
      <w:r>
        <w:br/>
        <w:t>N_F</w:t>
      </w:r>
      <w:r>
        <w:br/>
        <w:t>\right)</w:t>
      </w:r>
    </w:p>
    <w:p w:rsidR="0068496A" w:rsidRDefault="0068496A" w:rsidP="0068496A">
      <w:pPr>
        <w:pStyle w:val="StandardWeb"/>
      </w:pPr>
      <w:r>
        <w:t>\mathrm{offen}.</w:t>
      </w:r>
      <w:r>
        <w:br/>
        <w:t>}</w:t>
      </w:r>
      <w:r>
        <w:br/>
        <w:t>\tag{3.10485}</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\boxed{\operatorname{Stat}\left(N_F\right)=\mathrm{offen}.}</w:t>
      </w:r>
    </w:p>
    <w:p w:rsidR="0068496A" w:rsidRDefault="0068496A" w:rsidP="0068496A">
      <w:pPr>
        <w:pStyle w:val="StandardWeb"/>
      </w:pPr>
      <w:r>
        <w:t>Dabei bezeichnet (N_F) ausschließlich einen möglichen bedingten Satz, nicht ein Axiom.</w:t>
      </w:r>
    </w:p>
    <w:p w:rsidR="0068496A" w:rsidRDefault="00E50336" w:rsidP="0068496A">
      <w:r>
        <w:pict>
          <v:rect id="_x0000_i3328" style="width:0;height:1.5pt" o:hralign="center" o:hrstd="t" o:hr="t" fillcolor="#a0a0a0" stroked="f"/>
        </w:pict>
      </w:r>
    </w:p>
    <w:p w:rsidR="0068496A" w:rsidRDefault="0068496A" w:rsidP="0068496A">
      <w:pPr>
        <w:pStyle w:val="berschrift1"/>
      </w:pPr>
      <w:r>
        <w:t>3.3.45.230 Ausschluss eines Primäraxiomstatus</w:t>
      </w:r>
    </w:p>
    <w:p w:rsidR="0068496A" w:rsidRDefault="0068496A" w:rsidP="0068496A">
      <w:pPr>
        <w:pStyle w:val="StandardWeb"/>
      </w:pPr>
      <w:r>
        <w:t>Unabhängig davon kann bereits jetzt festgestellt werden, dass eine Noether-artige Beziehung nicht zur minimalen Primäraxiomatik gehört, weil ihre Voraussetzungen nicht universell gegeben sind.</w:t>
      </w:r>
    </w:p>
    <w:p w:rsidR="0068496A" w:rsidRDefault="0068496A" w:rsidP="0068496A">
      <w:pPr>
        <w:pStyle w:val="StandardWeb"/>
      </w:pPr>
      <w:r>
        <w:t>Damit gilt</w:t>
      </w:r>
    </w:p>
    <w:p w:rsidR="0068496A" w:rsidRDefault="0068496A" w:rsidP="0068496A">
      <w:pPr>
        <w:pStyle w:val="StandardWeb"/>
      </w:pPr>
      <w:r>
        <w:lastRenderedPageBreak/>
        <w:t>[</w:t>
      </w:r>
      <w:r>
        <w:br/>
        <w:t>\boxed{</w:t>
      </w:r>
      <w:r>
        <w:br/>
        <w:t>U_{\mathrm{Ax}}(N_F)=0.</w:t>
      </w:r>
      <w:r>
        <w:br/>
        <w:t>}</w:t>
      </w:r>
      <w:r>
        <w:br/>
        <w:t>\tag{3.10486}</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\boxed{U_{\mathrm{Ax}}(N_F)=0.}</w:t>
      </w:r>
    </w:p>
    <w:p w:rsidR="0068496A" w:rsidRDefault="00E50336" w:rsidP="0068496A">
      <w:r>
        <w:pict>
          <v:rect id="_x0000_i3329" style="width:0;height:1.5pt" o:hralign="center" o:hrstd="t" o:hr="t" fillcolor="#a0a0a0" stroked="f"/>
        </w:pict>
      </w:r>
    </w:p>
    <w:p w:rsidR="0068496A" w:rsidRDefault="0068496A" w:rsidP="0068496A">
      <w:pPr>
        <w:pStyle w:val="berschrift1"/>
      </w:pPr>
      <w:r>
        <w:t>3.3.45.231 Symmetrie und Kohärenz</w:t>
      </w:r>
    </w:p>
    <w:p w:rsidR="0068496A" w:rsidRDefault="0068496A" w:rsidP="0068496A">
      <w:pPr>
        <w:pStyle w:val="StandardWeb"/>
      </w:pPr>
      <w:r>
        <w:t>Eine weitere mögliche Modellfrage betrifft die Beziehung zwischen funktionaler Symmetrie und funktionaler Kohärenz.</w:t>
      </w:r>
    </w:p>
    <w:p w:rsidR="0068496A" w:rsidRDefault="0068496A" w:rsidP="0068496A">
      <w:pPr>
        <w:pStyle w:val="StandardWeb"/>
      </w:pPr>
      <w:r>
        <w:t>Eine Symmetrie könnte beispielsweise Kohärenz erhalten:</w:t>
      </w:r>
    </w:p>
    <w:p w:rsidR="0068496A" w:rsidRDefault="0068496A" w:rsidP="0068496A">
      <w:pPr>
        <w:pStyle w:val="berschrift1"/>
      </w:pPr>
      <w:r>
        <w:t>[</w:t>
      </w:r>
      <w:r>
        <w:br/>
        <w:t>C_F(Sz)</w:t>
      </w:r>
    </w:p>
    <w:p w:rsidR="0068496A" w:rsidRDefault="0068496A" w:rsidP="0068496A">
      <w:pPr>
        <w:pStyle w:val="StandardWeb"/>
      </w:pPr>
      <w:r>
        <w:t>C_F(z).</w:t>
      </w:r>
      <w:r>
        <w:br/>
        <w:t>\tag{3.10487}</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C_F(Sz)=C_F(z)</w:t>
      </w:r>
    </w:p>
    <w:p w:rsidR="0068496A" w:rsidRDefault="0068496A" w:rsidP="0068496A">
      <w:pPr>
        <w:pStyle w:val="StandardWeb"/>
      </w:pPr>
      <w:r>
        <w:t>Diese Bedingung folgt jedoch nicht aus der Definition einer Übergangssymmetrie.</w:t>
      </w:r>
    </w:p>
    <w:p w:rsidR="0068496A" w:rsidRDefault="00E50336" w:rsidP="0068496A">
      <w:r>
        <w:pict>
          <v:rect id="_x0000_i3330" style="width:0;height:1.5pt" o:hralign="center" o:hrstd="t" o:hr="t" fillcolor="#a0a0a0" stroked="f"/>
        </w:pict>
      </w:r>
    </w:p>
    <w:p w:rsidR="0068496A" w:rsidRDefault="0068496A" w:rsidP="0068496A">
      <w:pPr>
        <w:pStyle w:val="berschrift1"/>
      </w:pPr>
      <w:r>
        <w:t>3.3.45.232 Kohärenzerhaltende Symmetrie</w:t>
      </w:r>
    </w:p>
    <w:p w:rsidR="0068496A" w:rsidRDefault="0068496A" w:rsidP="0068496A">
      <w:pPr>
        <w:pStyle w:val="StandardWeb"/>
      </w:pPr>
      <w:r>
        <w:t>Ich kann daher eine spezielle Unterklasse von Symmetrien definieren.</w:t>
      </w:r>
    </w:p>
    <w:p w:rsidR="0068496A" w:rsidRDefault="00E50336" w:rsidP="0068496A">
      <w:r>
        <w:pict>
          <v:rect id="_x0000_i3331" style="width:0;height:1.5pt" o:hralign="center" o:hrstd="t" o:hr="t" fillcolor="#a0a0a0" stroked="f"/>
        </w:pict>
      </w:r>
    </w:p>
    <w:p w:rsidR="0068496A" w:rsidRDefault="0068496A" w:rsidP="0068496A">
      <w:pPr>
        <w:pStyle w:val="berschrift1"/>
      </w:pPr>
      <w:r>
        <w:t>3.3.45.233 Definition 3.3.140 – Kohärenzerhaltende funktionale Symmetrie</w:t>
      </w:r>
    </w:p>
    <w:p w:rsidR="0068496A" w:rsidRDefault="0068496A" w:rsidP="0068496A">
      <w:pPr>
        <w:pStyle w:val="berschrift3"/>
      </w:pPr>
      <w:r>
        <w:t>Definition 3.3.140</w:t>
      </w:r>
    </w:p>
    <w:p w:rsidR="0068496A" w:rsidRDefault="0068496A" w:rsidP="0068496A">
      <w:pPr>
        <w:pStyle w:val="StandardWeb"/>
      </w:pPr>
      <w:r>
        <w:t xml:space="preserve">Eine funktionale Übergangssymmetrie (S) heißt </w:t>
      </w:r>
      <w:r>
        <w:rPr>
          <w:rStyle w:val="Fett"/>
        </w:rPr>
        <w:t>kohärenzerhaltend</w:t>
      </w:r>
      <w:r>
        <w:t>, wenn zusätzlich</w:t>
      </w:r>
    </w:p>
    <w:p w:rsidR="0068496A" w:rsidRDefault="0068496A" w:rsidP="0068496A">
      <w:pPr>
        <w:pStyle w:val="berschrift1"/>
      </w:pPr>
      <w:r>
        <w:lastRenderedPageBreak/>
        <w:t>[</w:t>
      </w:r>
      <w:r>
        <w:br/>
        <w:t>\boxed{</w:t>
      </w:r>
      <w:r>
        <w:br/>
        <w:t>C_F(Sz)</w:t>
      </w:r>
    </w:p>
    <w:p w:rsidR="0068496A" w:rsidRDefault="0068496A" w:rsidP="0068496A">
      <w:pPr>
        <w:pStyle w:val="StandardWeb"/>
      </w:pPr>
      <w:r>
        <w:t>C_F(z)</w:t>
      </w:r>
      <w:r>
        <w:br/>
        <w:t>\qquad</w:t>
      </w:r>
      <w:r>
        <w:br/>
        <w:t>\forall z\in\Omega_F.</w:t>
      </w:r>
      <w:r>
        <w:br/>
        <w:t>}</w:t>
      </w:r>
      <w:r>
        <w:br/>
        <w:t>\tag{3.10488}</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\boxed{C_F(Sz)=C_F(z)\qquad\forall z\in\Omega_F.}</w:t>
      </w:r>
    </w:p>
    <w:p w:rsidR="0068496A" w:rsidRDefault="0068496A" w:rsidP="0068496A">
      <w:pPr>
        <w:pStyle w:val="StandardWeb"/>
      </w:pPr>
      <w:r>
        <w:t>gilt.</w:t>
      </w:r>
    </w:p>
    <w:p w:rsidR="0068496A" w:rsidRDefault="00E50336" w:rsidP="0068496A">
      <w:r>
        <w:pict>
          <v:rect id="_x0000_i3332" style="width:0;height:1.5pt" o:hralign="center" o:hrstd="t" o:hr="t" fillcolor="#a0a0a0" stroked="f"/>
        </w:pict>
      </w:r>
    </w:p>
    <w:p w:rsidR="0068496A" w:rsidRDefault="0068496A" w:rsidP="0068496A">
      <w:pPr>
        <w:pStyle w:val="berschrift1"/>
      </w:pPr>
      <w:r>
        <w:t>3.3.45.234 Kohärenzerhaltende Symmetriegruppe</w:t>
      </w:r>
    </w:p>
    <w:p w:rsidR="0068496A" w:rsidRDefault="0068496A" w:rsidP="0068496A">
      <w:pPr>
        <w:pStyle w:val="StandardWeb"/>
      </w:pPr>
      <w:r>
        <w:t>Ich bezeichne</w:t>
      </w:r>
    </w:p>
    <w:p w:rsidR="0068496A" w:rsidRDefault="0068496A" w:rsidP="0068496A">
      <w:pPr>
        <w:pStyle w:val="berschrift1"/>
      </w:pPr>
      <w:r>
        <w:t>[</w:t>
      </w:r>
      <w:r>
        <w:br/>
        <w:t>\mathfrak G_F^{C}</w:t>
      </w:r>
    </w:p>
    <w:p w:rsidR="0068496A" w:rsidRDefault="0068496A" w:rsidP="0068496A">
      <w:pPr>
        <w:pStyle w:val="StandardWeb"/>
      </w:pPr>
      <w:r>
        <w:t>\left{</w:t>
      </w:r>
      <w:r>
        <w:br/>
        <w:t>S\in\mathfrak G_F:</w:t>
      </w:r>
      <w:r>
        <w:br/>
        <w:t>C_F\circ S=C_F</w:t>
      </w:r>
      <w:r>
        <w:br/>
        <w:t>\right}.</w:t>
      </w:r>
      <w:r>
        <w:br/>
        <w:t>\tag{3.10489}</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\mathfrak G_F^{C}=\left\{S\in\mathfrak G_F:C_F\circ S=C_F\right\}</w:t>
      </w:r>
    </w:p>
    <w:p w:rsidR="0068496A" w:rsidRDefault="00E50336" w:rsidP="0068496A">
      <w:r>
        <w:pict>
          <v:rect id="_x0000_i3333" style="width:0;height:1.5pt" o:hralign="center" o:hrstd="t" o:hr="t" fillcolor="#a0a0a0" stroked="f"/>
        </w:pict>
      </w:r>
    </w:p>
    <w:p w:rsidR="0068496A" w:rsidRDefault="0068496A" w:rsidP="0068496A">
      <w:pPr>
        <w:pStyle w:val="berschrift1"/>
      </w:pPr>
      <w:r>
        <w:t>3.3.45.235 Satz 3.3.63 – Kohärenzerhaltende Symmetrien bilden eine Untergruppe</w:t>
      </w:r>
    </w:p>
    <w:p w:rsidR="0068496A" w:rsidRDefault="0068496A" w:rsidP="0068496A">
      <w:pPr>
        <w:pStyle w:val="berschrift3"/>
      </w:pPr>
      <w:r>
        <w:t>Satz 3.3.63</w:t>
      </w:r>
    </w:p>
    <w:p w:rsidR="0068496A" w:rsidRDefault="0068496A" w:rsidP="0068496A">
      <w:pPr>
        <w:pStyle w:val="StandardWeb"/>
      </w:pPr>
      <w:r>
        <w:t>Die Menge der kohärenzerhaltenden funktionalen Übergangssymmetrien bildet eine Untergruppe:</w:t>
      </w:r>
    </w:p>
    <w:p w:rsidR="0068496A" w:rsidRDefault="0068496A" w:rsidP="0068496A">
      <w:pPr>
        <w:pStyle w:val="StandardWeb"/>
      </w:pPr>
      <w:r>
        <w:lastRenderedPageBreak/>
        <w:t>[</w:t>
      </w:r>
      <w:r>
        <w:br/>
        <w:t>\boxed{</w:t>
      </w:r>
      <w:r>
        <w:br/>
        <w:t>\mathfrak G_F^{C}</w:t>
      </w:r>
      <w:r>
        <w:br/>
        <w:t>\leq</w:t>
      </w:r>
      <w:r>
        <w:br/>
        <w:t>\mathfrak G_F.</w:t>
      </w:r>
      <w:r>
        <w:br/>
        <w:t>}</w:t>
      </w:r>
      <w:r>
        <w:br/>
        <w:t>\tag{3.10490}</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\boxed{\mathfrak G_F^{C}\leq\mathfrak G_F.}</w:t>
      </w:r>
    </w:p>
    <w:p w:rsidR="0068496A" w:rsidRDefault="0068496A" w:rsidP="0068496A">
      <w:pPr>
        <w:pStyle w:val="berschrift3"/>
      </w:pPr>
      <w:r>
        <w:t>Beweis</w:t>
      </w:r>
    </w:p>
    <w:p w:rsidR="0068496A" w:rsidRDefault="0068496A" w:rsidP="0068496A">
      <w:pPr>
        <w:pStyle w:val="StandardWeb"/>
      </w:pPr>
      <w:r>
        <w:t>Die Identität erhält (C_F). Sind (S_1,S_2\in\mathfrak G_F^C), dann gilt</w:t>
      </w:r>
    </w:p>
    <w:p w:rsidR="0068496A" w:rsidRDefault="0068496A" w:rsidP="0068496A">
      <w:pPr>
        <w:pStyle w:val="berschrift1"/>
      </w:pPr>
      <w:r>
        <w:t>[</w:t>
      </w:r>
      <w:r>
        <w:br/>
        <w:t>C_F(S_2(S_1z))</w:t>
      </w:r>
    </w:p>
    <w:p w:rsidR="0068496A" w:rsidRDefault="0068496A" w:rsidP="0068496A">
      <w:pPr>
        <w:pStyle w:val="berschrift1"/>
      </w:pPr>
      <w:r>
        <w:t>C_F(S_1z)</w:t>
      </w:r>
    </w:p>
    <w:p w:rsidR="0068496A" w:rsidRDefault="0068496A" w:rsidP="0068496A">
      <w:pPr>
        <w:pStyle w:val="StandardWeb"/>
      </w:pPr>
      <w:r>
        <w:t>C_F(z).</w:t>
      </w:r>
      <w:r>
        <w:br/>
        <w:t>\tag{3.10491}</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C_F(S_2(S_1z))=C_F(S_1z)=C_F(z)</w:t>
      </w:r>
    </w:p>
    <w:p w:rsidR="0068496A" w:rsidRDefault="0068496A" w:rsidP="0068496A">
      <w:pPr>
        <w:pStyle w:val="StandardWeb"/>
      </w:pPr>
      <w:r>
        <w:t>Damit ist die Komposition kohärenzerhaltend. Ist (S) kohärenzerhaltend, so folgt aus (C_F(Sz)=C_F(z)) nach geeigneter Variablensubstitution auch</w:t>
      </w:r>
    </w:p>
    <w:p w:rsidR="0068496A" w:rsidRDefault="0068496A" w:rsidP="0068496A">
      <w:pPr>
        <w:pStyle w:val="StandardWeb"/>
      </w:pPr>
      <w:r>
        <w:t>[</w:t>
      </w:r>
      <w:r>
        <w:br/>
        <w:t>C_F(S^{-1}z)=C_F(z).</w:t>
      </w:r>
      <w:r>
        <w:br/>
        <w:t>\tag{3.10492}</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C_F(S^{-1}z)=C_F(z)</w:t>
      </w:r>
    </w:p>
    <w:p w:rsidR="0068496A" w:rsidRDefault="0068496A" w:rsidP="0068496A">
      <w:pPr>
        <w:pStyle w:val="StandardWeb"/>
      </w:pPr>
      <w:r>
        <w:t>Somit ist auch das Inverse enthalten. (\square)</w:t>
      </w:r>
    </w:p>
    <w:p w:rsidR="0068496A" w:rsidRDefault="00E50336" w:rsidP="0068496A">
      <w:r>
        <w:pict>
          <v:rect id="_x0000_i3334" style="width:0;height:1.5pt" o:hralign="center" o:hrstd="t" o:hr="t" fillcolor="#a0a0a0" stroked="f"/>
        </w:pict>
      </w:r>
    </w:p>
    <w:p w:rsidR="0068496A" w:rsidRDefault="0068496A" w:rsidP="0068496A">
      <w:pPr>
        <w:pStyle w:val="berschrift1"/>
      </w:pPr>
      <w:r>
        <w:t>3.3.45.236 Kohärenzerhaltung unter Symmetrien ist keine Übergangserhaltung</w:t>
      </w:r>
    </w:p>
    <w:p w:rsidR="0068496A" w:rsidRDefault="0068496A" w:rsidP="0068496A">
      <w:pPr>
        <w:pStyle w:val="StandardWeb"/>
      </w:pPr>
      <w:r>
        <w:lastRenderedPageBreak/>
        <w:t>Auch hier gilt</w:t>
      </w:r>
    </w:p>
    <w:p w:rsidR="0068496A" w:rsidRDefault="0068496A" w:rsidP="0068496A">
      <w:pPr>
        <w:pStyle w:val="StandardWeb"/>
      </w:pPr>
      <w:r>
        <w:t>[</w:t>
      </w:r>
      <w:r>
        <w:br/>
        <w:t>C_F(Sz)=C_F(z)</w:t>
      </w:r>
      <w:r>
        <w:br/>
        <w:t>\tag{3.10493}</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C_F(Sz)=C_F(z)</w:t>
      </w:r>
    </w:p>
    <w:p w:rsidR="0068496A" w:rsidRDefault="0068496A" w:rsidP="0068496A">
      <w:pPr>
        <w:pStyle w:val="StandardWeb"/>
      </w:pPr>
      <w:r>
        <w:t>nicht gleichbedeutend mit</w:t>
      </w:r>
    </w:p>
    <w:p w:rsidR="0068496A" w:rsidRDefault="0068496A" w:rsidP="0068496A">
      <w:pPr>
        <w:pStyle w:val="StandardWeb"/>
      </w:pPr>
      <w:r>
        <w:t>[</w:t>
      </w:r>
      <w:r>
        <w:br/>
        <w:t>C_F(z_i)=C_F(z_j)</w:t>
      </w:r>
      <w:r>
        <w:br/>
        <w:t>\qquad</w:t>
      </w:r>
      <w:r>
        <w:br/>
        <w:t>\forall(z_i,z_j)\in\mathcal T_F.</w:t>
      </w:r>
      <w:r>
        <w:br/>
        <w:t>\tag{3.10494}</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C_F(z_i)=C_F(z_j)\qquad\forall(z_i,z_j)\in\mathcal T_F</w:t>
      </w:r>
    </w:p>
    <w:p w:rsidR="0068496A" w:rsidRDefault="0068496A" w:rsidP="0068496A">
      <w:pPr>
        <w:pStyle w:val="StandardWeb"/>
      </w:pPr>
      <w:r>
        <w:t>Symmetrieerhaltung und Übergangserhaltung bleiben getrennte Eigenschaften.</w:t>
      </w:r>
    </w:p>
    <w:p w:rsidR="0068496A" w:rsidRDefault="00E50336" w:rsidP="0068496A">
      <w:r>
        <w:pict>
          <v:rect id="_x0000_i3335" style="width:0;height:1.5pt" o:hralign="center" o:hrstd="t" o:hr="t" fillcolor="#a0a0a0" stroked="f"/>
        </w:pict>
      </w:r>
    </w:p>
    <w:p w:rsidR="0068496A" w:rsidRDefault="0068496A" w:rsidP="0068496A">
      <w:pPr>
        <w:pStyle w:val="berschrift1"/>
      </w:pPr>
      <w:r>
        <w:t>3.3.45.237 Modellannahme einer kohärenzerhaltenden Gesamtsymmetrie</w:t>
      </w:r>
    </w:p>
    <w:p w:rsidR="0068496A" w:rsidRDefault="0068496A" w:rsidP="0068496A">
      <w:pPr>
        <w:pStyle w:val="StandardWeb"/>
      </w:pPr>
      <w:r>
        <w:t>Soll jede funktionale Übergangssymmetrie zugleich Kohärenz erhalten, müsste zusätzlich gelten</w:t>
      </w:r>
    </w:p>
    <w:p w:rsidR="0068496A" w:rsidRDefault="0068496A" w:rsidP="0068496A">
      <w:pPr>
        <w:pStyle w:val="berschrift1"/>
      </w:pPr>
      <w:r>
        <w:t>[</w:t>
      </w:r>
      <w:r>
        <w:br/>
        <w:t>\mathfrak G_F^{C}</w:t>
      </w:r>
    </w:p>
    <w:p w:rsidR="0068496A" w:rsidRDefault="0068496A" w:rsidP="0068496A">
      <w:pPr>
        <w:pStyle w:val="StandardWeb"/>
      </w:pPr>
      <w:r>
        <w:t>\mathfrak G_F.</w:t>
      </w:r>
      <w:r>
        <w:br/>
        <w:t>\tag{3.10495}</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\mathfrak G_F^{C}=\mathfrak G_F</w:t>
      </w:r>
    </w:p>
    <w:p w:rsidR="0068496A" w:rsidRDefault="0068496A" w:rsidP="0068496A">
      <w:pPr>
        <w:pStyle w:val="StandardWeb"/>
      </w:pPr>
      <w:r>
        <w:t>Dies wäre eine Modellannahme.</w:t>
      </w:r>
    </w:p>
    <w:p w:rsidR="0068496A" w:rsidRDefault="00E50336" w:rsidP="0068496A">
      <w:r>
        <w:pict>
          <v:rect id="_x0000_i3336" style="width:0;height:1.5pt" o:hralign="center" o:hrstd="t" o:hr="t" fillcolor="#a0a0a0" stroked="f"/>
        </w:pict>
      </w:r>
    </w:p>
    <w:p w:rsidR="0068496A" w:rsidRDefault="0068496A" w:rsidP="0068496A">
      <w:pPr>
        <w:pStyle w:val="berschrift1"/>
      </w:pPr>
      <w:r>
        <w:lastRenderedPageBreak/>
        <w:t>3.3.45.238 Status der Gesamtkohärenz-Symmetrieannahme</w:t>
      </w:r>
    </w:p>
    <w:p w:rsidR="0068496A" w:rsidRDefault="0068496A" w:rsidP="0068496A">
      <w:pPr>
        <w:pStyle w:val="StandardWeb"/>
      </w:pPr>
      <w:r>
        <w:t>Daher gilt</w:t>
      </w:r>
    </w:p>
    <w:p w:rsidR="0068496A" w:rsidRDefault="0068496A" w:rsidP="0068496A">
      <w:pPr>
        <w:pStyle w:val="berschrift1"/>
      </w:pPr>
      <w:r>
        <w:t>[</w:t>
      </w:r>
      <w:r>
        <w:br/>
        <w:t>\boxed{</w:t>
      </w:r>
      <w:r>
        <w:br/>
        <w:t>\operatorname{Stat}</w:t>
      </w:r>
      <w:r>
        <w:br/>
        <w:t>\left(</w:t>
      </w:r>
      <w:r>
        <w:br/>
        <w:t>\mathfrak G_F^{C}</w:t>
      </w:r>
    </w:p>
    <w:p w:rsidR="0068496A" w:rsidRDefault="0068496A" w:rsidP="0068496A">
      <w:pPr>
        <w:pStyle w:val="berschrift1"/>
      </w:pPr>
      <w:r>
        <w:t>\mathfrak G_F</w:t>
      </w:r>
      <w:r>
        <w:br/>
        <w:t>\right)</w:t>
      </w:r>
    </w:p>
    <w:p w:rsidR="0068496A" w:rsidRDefault="0068496A" w:rsidP="0068496A">
      <w:pPr>
        <w:pStyle w:val="StandardWeb"/>
      </w:pPr>
      <w:r>
        <w:t>\mathrm{Mod}.</w:t>
      </w:r>
      <w:r>
        <w:br/>
        <w:t>}</w:t>
      </w:r>
      <w:r>
        <w:br/>
        <w:t>\tag{3.10496}</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\boxed{\operatorname{Stat}\left(\mathfrak G_F^{C}=\mathfrak G_F\right)=\mathrm{Mod}.}</w:t>
      </w:r>
    </w:p>
    <w:p w:rsidR="0068496A" w:rsidRDefault="00E50336" w:rsidP="0068496A">
      <w:r>
        <w:pict>
          <v:rect id="_x0000_i3337" style="width:0;height:1.5pt" o:hralign="center" o:hrstd="t" o:hr="t" fillcolor="#a0a0a0" stroked="f"/>
        </w:pict>
      </w:r>
    </w:p>
    <w:p w:rsidR="0068496A" w:rsidRDefault="0068496A" w:rsidP="0068496A">
      <w:pPr>
        <w:pStyle w:val="berschrift1"/>
      </w:pPr>
      <w:r>
        <w:t>3.3.45.239 Symmetrie kann ohne Kohärenzerhaltung existieren</w:t>
      </w:r>
    </w:p>
    <w:p w:rsidR="0068496A" w:rsidRDefault="0068496A" w:rsidP="0068496A">
      <w:pPr>
        <w:pStyle w:val="StandardWeb"/>
      </w:pPr>
      <w:r>
        <w:t>Es sind Modelle denkbar, in denen eine Transformation die Übergangsrelation erhält, aber die Kohärenzwerte permutierter Zustände unterschiedlich sind.</w:t>
      </w:r>
    </w:p>
    <w:p w:rsidR="0068496A" w:rsidRDefault="0068496A" w:rsidP="0068496A">
      <w:pPr>
        <w:pStyle w:val="StandardWeb"/>
      </w:pPr>
      <w:r>
        <w:t>Somit gilt</w:t>
      </w:r>
    </w:p>
    <w:p w:rsidR="0068496A" w:rsidRDefault="0068496A" w:rsidP="0068496A">
      <w:pPr>
        <w:pStyle w:val="StandardWeb"/>
      </w:pPr>
      <w:r>
        <w:t>[</w:t>
      </w:r>
      <w:r>
        <w:br/>
        <w:t>\boxed{</w:t>
      </w:r>
      <w:r>
        <w:br/>
        <w:t>S\in\mathfrak G_F</w:t>
      </w:r>
      <w:r>
        <w:br/>
        <w:t>\nRightarrow</w:t>
      </w:r>
      <w:r>
        <w:br/>
        <w:t>S\in\mathfrak G_F^{C}.</w:t>
      </w:r>
      <w:r>
        <w:br/>
        <w:t>}</w:t>
      </w:r>
      <w:r>
        <w:br/>
        <w:t>\tag{3.10497}</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lastRenderedPageBreak/>
        <w:t>\boxed{S\in\mathfrak G_F\nRightarrow S\in\mathfrak G_F^{C}.}</w:t>
      </w:r>
    </w:p>
    <w:p w:rsidR="0068496A" w:rsidRDefault="00E50336" w:rsidP="0068496A">
      <w:r>
        <w:pict>
          <v:rect id="_x0000_i3338" style="width:0;height:1.5pt" o:hralign="center" o:hrstd="t" o:hr="t" fillcolor="#a0a0a0" stroked="f"/>
        </w:pict>
      </w:r>
    </w:p>
    <w:p w:rsidR="0068496A" w:rsidRDefault="0068496A" w:rsidP="0068496A">
      <w:pPr>
        <w:pStyle w:val="berschrift1"/>
      </w:pPr>
      <w:r>
        <w:t>3.3.45.240 Primäraxiomprüfung nach der Symmetrievertiefung</w:t>
      </w:r>
    </w:p>
    <w:p w:rsidR="0068496A" w:rsidRDefault="0068496A" w:rsidP="0068496A">
      <w:pPr>
        <w:pStyle w:val="StandardWeb"/>
      </w:pPr>
      <w:r>
        <w:t>Die tiefere Symmetrieanalyse hat mehrere zusätzliche Strukturen erzeugt:</w:t>
      </w:r>
    </w:p>
    <w:p w:rsidR="0068496A" w:rsidRDefault="0068496A" w:rsidP="0068496A">
      <w:pPr>
        <w:pStyle w:val="StandardWeb"/>
      </w:pPr>
      <w:r>
        <w:t>[</w:t>
      </w:r>
      <w:r>
        <w:br/>
        <w:t>\mathcal O_S,</w:t>
      </w:r>
      <w:r>
        <w:br/>
        <w:t>\quad</w:t>
      </w:r>
      <w:r>
        <w:br/>
        <w:t>\operatorname{Stab}_F,</w:t>
      </w:r>
      <w:r>
        <w:br/>
        <w:t>\quad</w:t>
      </w:r>
      <w:r>
        <w:br/>
        <w:t>\mathfrak G_F^{\mathrm{comp}},</w:t>
      </w:r>
      <w:r>
        <w:br/>
        <w:t>\quad</w:t>
      </w:r>
      <w:r>
        <w:br/>
        <w:t>M_S^{\mathrm{diff}},</w:t>
      </w:r>
      <w:r>
        <w:br/>
        <w:t>\quad</w:t>
      </w:r>
      <w:r>
        <w:br/>
        <w:t>\mathfrak N_F,</w:t>
      </w:r>
      <w:r>
        <w:br/>
        <w:t>\quad</w:t>
      </w:r>
      <w:r>
        <w:br/>
        <w:t>\mathfrak G_F^{C}.</w:t>
      </w:r>
      <w:r>
        <w:br/>
        <w:t>\tag{3.10498}</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\mathcal O_S,\quad\operatorname{Stab}_F,\quad\mathfrak G_F^{\mathrm{comp}},\quad M_S^{\mathrm{diff}},\quad\mathfrak N_F,\quad\mathfrak G_F^{C}</w:t>
      </w:r>
    </w:p>
    <w:p w:rsidR="0068496A" w:rsidRDefault="0068496A" w:rsidP="0068496A">
      <w:pPr>
        <w:pStyle w:val="StandardWeb"/>
      </w:pPr>
      <w:r>
        <w:t>Keine dieser Strukturen ist jedoch für jedes zulässige FRZK-Modell als nichttriviale Struktur erforderlich.</w:t>
      </w:r>
    </w:p>
    <w:p w:rsidR="0068496A" w:rsidRDefault="00E50336" w:rsidP="0068496A">
      <w:r>
        <w:pict>
          <v:rect id="_x0000_i3339" style="width:0;height:1.5pt" o:hralign="center" o:hrstd="t" o:hr="t" fillcolor="#a0a0a0" stroked="f"/>
        </w:pict>
      </w:r>
    </w:p>
    <w:p w:rsidR="0068496A" w:rsidRDefault="0068496A" w:rsidP="0068496A">
      <w:pPr>
        <w:pStyle w:val="berschrift1"/>
      </w:pPr>
      <w:r>
        <w:t>3.3.45.241 Keine neue axiomatische Notwendigkeit</w:t>
      </w:r>
    </w:p>
    <w:p w:rsidR="0068496A" w:rsidRDefault="0068496A" w:rsidP="0068496A">
      <w:pPr>
        <w:pStyle w:val="StandardWeb"/>
      </w:pPr>
      <w:r>
        <w:t>Damit gilt weiterhin</w:t>
      </w:r>
    </w:p>
    <w:p w:rsidR="0068496A" w:rsidRDefault="0068496A" w:rsidP="0068496A">
      <w:pPr>
        <w:pStyle w:val="berschrift1"/>
      </w:pPr>
      <w:r>
        <w:t>[</w:t>
      </w:r>
      <w:r>
        <w:br/>
        <w:t>\boxed{</w:t>
      </w:r>
      <w:r>
        <w:br/>
        <w:t>\mathfrak A_{3.3.45}^{\mathrm{new}}</w:t>
      </w:r>
    </w:p>
    <w:p w:rsidR="0068496A" w:rsidRDefault="0068496A" w:rsidP="0068496A">
      <w:pPr>
        <w:pStyle w:val="StandardWeb"/>
      </w:pPr>
      <w:r>
        <w:t>\varnothing.</w:t>
      </w:r>
      <w:r>
        <w:br/>
        <w:t>}</w:t>
      </w:r>
      <w:r>
        <w:br/>
        <w:t>\tag{3.10499}</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lastRenderedPageBreak/>
        <w:t>\boxed{\mathfrak A_{3.3.45}^{\mathrm{new}}=\varnothing.}</w:t>
      </w:r>
    </w:p>
    <w:p w:rsidR="0068496A" w:rsidRDefault="0068496A" w:rsidP="0068496A">
      <w:pPr>
        <w:pStyle w:val="StandardWeb"/>
      </w:pPr>
      <w:r>
        <w:t>Auch die Symmetriestruktur erzeugt somit bislang kein neues Primäraxiom.</w:t>
      </w:r>
    </w:p>
    <w:p w:rsidR="0068496A" w:rsidRDefault="00E50336" w:rsidP="0068496A">
      <w:r>
        <w:pict>
          <v:rect id="_x0000_i3340" style="width:0;height:1.5pt" o:hralign="center" o:hrstd="t" o:hr="t" fillcolor="#a0a0a0" stroked="f"/>
        </w:pict>
      </w:r>
    </w:p>
    <w:p w:rsidR="0068496A" w:rsidRDefault="0068496A" w:rsidP="0068496A">
      <w:pPr>
        <w:pStyle w:val="berschrift1"/>
      </w:pPr>
      <w:r>
        <w:t>3.3.45.242 Zwischenstruktur nach der Symmetrievertiefung</w:t>
      </w:r>
    </w:p>
    <w:p w:rsidR="0068496A" w:rsidRDefault="0068496A" w:rsidP="0068496A">
      <w:pPr>
        <w:pStyle w:val="StandardWeb"/>
      </w:pPr>
      <w:r>
        <w:t>Ich erweitere die bisherige Invarianzarchitektur zu</w:t>
      </w:r>
    </w:p>
    <w:p w:rsidR="0068496A" w:rsidRDefault="0068496A" w:rsidP="0068496A">
      <w:pPr>
        <w:pStyle w:val="berschrift1"/>
      </w:pPr>
      <w:r>
        <w:t>[</w:t>
      </w:r>
      <w:r>
        <w:br/>
        <w:t>\mathfrak I_{F,3}</w:t>
      </w:r>
    </w:p>
    <w:p w:rsidR="0068496A" w:rsidRDefault="0068496A" w:rsidP="0068496A">
      <w:pPr>
        <w:pStyle w:val="StandardWeb"/>
      </w:pPr>
      <w:r>
        <w:t>\left(</w:t>
      </w:r>
      <w:r>
        <w:br/>
        <w:t>\mathfrak I_{F,2},</w:t>
      </w:r>
      <w:r>
        <w:br/>
        <w:t>\Omega_F/\mathfrak G_F,</w:t>
      </w:r>
      <w:r>
        <w:br/>
        <w:t>\operatorname{Stab}_F,</w:t>
      </w:r>
      <w:r>
        <w:br/>
        <w:t>\mathfrak G_F^{\mathrm{comp}},</w:t>
      </w:r>
      <w:r>
        <w:br/>
        <w:t>M_S^{\mathrm{diff}},</w:t>
      </w:r>
      <w:r>
        <w:br/>
        <w:t>\mathfrak N_F,</w:t>
      </w:r>
      <w:r>
        <w:br/>
        <w:t>\mathfrak G_F^{C}</w:t>
      </w:r>
      <w:r>
        <w:br/>
        <w:t>\right).</w:t>
      </w:r>
      <w:r>
        <w:br/>
        <w:t>\tag{3.10500}</w:t>
      </w:r>
      <w:r>
        <w:br/>
        <w:t>]</w:t>
      </w:r>
    </w:p>
    <w:p w:rsidR="0068496A" w:rsidRDefault="0068496A" w:rsidP="0068496A">
      <w:pPr>
        <w:pStyle w:val="StandardWeb"/>
      </w:pPr>
      <w:r>
        <w:rPr>
          <w:rStyle w:val="Fett"/>
        </w:rPr>
        <w:t>Word-LaTeX</w:t>
      </w:r>
    </w:p>
    <w:p w:rsidR="0068496A" w:rsidRDefault="0068496A" w:rsidP="0068496A">
      <w:pPr>
        <w:pStyle w:val="HTMLVorformatiert"/>
        <w:rPr>
          <w:rStyle w:val="HTMLCode"/>
        </w:rPr>
      </w:pPr>
      <w:r>
        <w:rPr>
          <w:rStyle w:val="HTMLCode"/>
        </w:rPr>
        <w:t>\mathfrak I_{F,3}=\left(\mathfrak I_{F,2},\Omega_F/\mathfrak G_F,\operatorname{Stab}_F,\mathfrak G_F^{\mathrm{comp}},M_S^{\mathrm{diff}},\mathfrak N_F,\mathfrak G_F^{C}\right)</w:t>
      </w:r>
    </w:p>
    <w:p w:rsidR="0068496A" w:rsidRDefault="0068496A" w:rsidP="0068496A">
      <w:pPr>
        <w:pStyle w:val="StandardWeb"/>
      </w:pPr>
      <w:r>
        <w:t>Diese Architektur trennt nun deutlich zwischen Übergangsinvarianz, Symmetrieinvarianz, diskreter Gruppenstruktur, kontinuierlicher Modellstruktur und möglicher Variationsdynamik.</w:t>
      </w:r>
    </w:p>
    <w:p w:rsidR="0068496A" w:rsidRDefault="00E50336" w:rsidP="0068496A">
      <w:r>
        <w:pict>
          <v:rect id="_x0000_i3341" style="width:0;height:1.5pt" o:hralign="center" o:hrstd="t" o:hr="t" fillcolor="#a0a0a0" stroked="f"/>
        </w:pict>
      </w:r>
    </w:p>
    <w:p w:rsidR="0068496A" w:rsidRDefault="0068496A" w:rsidP="0068496A">
      <w:pPr>
        <w:pStyle w:val="berschrift1"/>
      </w:pPr>
      <w:r>
        <w:t>3.3.45.243 Noch kein Abschluss von 3.3.45</w:t>
      </w:r>
    </w:p>
    <w:p w:rsidR="0068496A" w:rsidRDefault="0068496A" w:rsidP="0068496A">
      <w:pPr>
        <w:pStyle w:val="StandardWeb"/>
      </w:pPr>
      <w:r>
        <w:t xml:space="preserve">Abschnitt </w:t>
      </w:r>
      <w:r>
        <w:rPr>
          <w:rStyle w:val="Fett"/>
        </w:rPr>
        <w:t>3.3.45 ist weiterhin nicht abgeschlossen</w:t>
      </w:r>
      <w:r>
        <w:t>.</w:t>
      </w:r>
    </w:p>
    <w:p w:rsidR="0068496A" w:rsidRDefault="0068496A" w:rsidP="0068496A">
      <w:pPr>
        <w:pStyle w:val="StandardWeb"/>
      </w:pPr>
      <w:r>
        <w:t xml:space="preserve">Als nächstes muss ich die bisher eingeführten Erhaltungs- und Symmetriestrukturen auf ihre </w:t>
      </w:r>
      <w:r>
        <w:rPr>
          <w:rStyle w:val="Fett"/>
        </w:rPr>
        <w:t>endgültige wissenschaftliche Klassifikation</w:t>
      </w:r>
      <w:r>
        <w:t xml:space="preserve"> vorbereiten. Dazu gehören insbesondere die Unterscheidung zwischen Definition, mathematisch abgeleiteter Aussage, Modellannahme und Operationalisierung sowie eine erneute Prüfung, ob sich unter den zahlreichen Invarianz- und Symmetriebegriffen verdeckte Primäraxiome eingeschlichen haben.</w:t>
      </w:r>
    </w:p>
    <w:p w:rsidR="0068496A" w:rsidRDefault="0068496A" w:rsidP="0068496A">
      <w:pPr>
        <w:pStyle w:val="StandardWeb"/>
      </w:pPr>
      <w:r>
        <w:lastRenderedPageBreak/>
        <w:t xml:space="preserve">Zusätzlich muss ich noch klären, welche Rolle </w:t>
      </w:r>
      <w:r>
        <w:rPr>
          <w:rStyle w:val="Fett"/>
        </w:rPr>
        <w:t>partielle, approximative und gestörte Invarianz</w:t>
      </w:r>
      <w:r>
        <w:t xml:space="preserve"> in konkreten Modellen spielen kann. Gerade für empirische Anwendungen wäre die Forderung exakter Gleichheit häufig zu stark. Eine solche Erweiterung darf jedoch nicht rückwirkend die exakte Invarianzdefinition verändern.</w:t>
      </w:r>
    </w:p>
    <w:p w:rsidR="0068496A" w:rsidRDefault="0068496A" w:rsidP="0068496A">
      <w:pPr>
        <w:pStyle w:val="StandardWeb"/>
      </w:pPr>
      <w:r>
        <w:t xml:space="preserve">Der nächste Teil beginnt daher bei </w:t>
      </w:r>
      <w:r>
        <w:rPr>
          <w:rStyle w:val="Fett"/>
        </w:rPr>
        <w:t>3.3.45.244 / Gleichung (3.10501)</w:t>
      </w:r>
      <w:r>
        <w:t xml:space="preserve"> mit der Untersuchung der </w:t>
      </w:r>
      <w:r>
        <w:rPr>
          <w:rStyle w:val="Fett"/>
        </w:rPr>
        <w:t>approximativen funktionalen Invarianz, Invarianzverletzung und ihrer Operationalisierung</w:t>
      </w:r>
      <w:r>
        <w:t xml:space="preserve">. Erst danach folgt die vollständige Statusmatrix des Gesamtabschnitts und ganz am Ende von </w:t>
      </w:r>
      <w:r>
        <w:rPr>
          <w:rStyle w:val="Fett"/>
        </w:rPr>
        <w:t>3.3.45</w:t>
      </w:r>
      <w:r>
        <w:t xml:space="preserve"> die </w:t>
      </w:r>
      <w:r>
        <w:rPr>
          <w:rStyle w:val="Fett"/>
        </w:rPr>
        <w:t>Methodologischen Betrachtungen</w:t>
      </w:r>
      <w:r>
        <w:t xml:space="preserve"> und anschließend die </w:t>
      </w:r>
      <w:r>
        <w:rPr>
          <w:rStyle w:val="Fett"/>
        </w:rPr>
        <w:t>Didaktischen Betrachtungen</w:t>
      </w:r>
      <w:r>
        <w:t>.</w:t>
      </w:r>
    </w:p>
    <w:p w:rsidR="009A2130" w:rsidRDefault="009A2130" w:rsidP="009A2130">
      <w:pPr>
        <w:pStyle w:val="berschrift1"/>
        <w:rPr>
          <w:rFonts w:cs="Times New Roman"/>
          <w:sz w:val="48"/>
          <w:szCs w:val="48"/>
        </w:rPr>
      </w:pPr>
      <w:r>
        <w:t>3.3.45.244 Approximative funktionale Invarianz</w:t>
      </w:r>
    </w:p>
    <w:p w:rsidR="009A2130" w:rsidRDefault="009A2130" w:rsidP="009A2130">
      <w:pPr>
        <w:pStyle w:val="StandardWeb"/>
      </w:pPr>
      <w:r>
        <w:t>Die bisherige Invarianzdefinition fordert exakte Gleichheit entlang jedes zulässigen Übergangs. Für theoretische Grundstrukturen ist diese Forderung klar und mathematisch sauber. In empirischen oder numerischen Anwendungen können jedoch Messfehler, Diskretisierung, Rundung, Störungen oder modellinterne Approximationen dazu führen, dass eine Größe nicht exakt, sondern nur näherungsweise erhalten bleibt.</w:t>
      </w:r>
    </w:p>
    <w:p w:rsidR="009A2130" w:rsidRDefault="009A2130" w:rsidP="009A2130">
      <w:pPr>
        <w:pStyle w:val="StandardWeb"/>
      </w:pPr>
      <w:r>
        <w:t>Ich führe deshalb zunächst eine Abweichungsgröße ein.</w:t>
      </w:r>
    </w:p>
    <w:p w:rsidR="009A2130" w:rsidRDefault="009A2130" w:rsidP="009A2130">
      <w:pPr>
        <w:pStyle w:val="StandardWeb"/>
      </w:pPr>
      <w:r>
        <w:t>Für eine skalare funktionale Größe (I_F) definiere ich entlang eines zulässigen Übergangs</w:t>
      </w:r>
    </w:p>
    <w:p w:rsidR="009A2130" w:rsidRDefault="009A2130" w:rsidP="009A2130">
      <w:pPr>
        <w:pStyle w:val="StandardWeb"/>
      </w:pPr>
      <w:r>
        <w:t>[</w:t>
      </w:r>
      <w:r>
        <w:br/>
        <w:t>(z_i,z_j)\in\mathcal T_F</w:t>
      </w:r>
      <w:r>
        <w:br/>
        <w:t>\tag{3.10501}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(z_i,z_j)\in\mathcal T_F</w:t>
      </w:r>
    </w:p>
    <w:p w:rsidR="009A2130" w:rsidRDefault="009A2130" w:rsidP="009A2130">
      <w:pPr>
        <w:pStyle w:val="StandardWeb"/>
      </w:pPr>
      <w:r>
        <w:t>die absolute Invarianzabweichung durch</w:t>
      </w:r>
    </w:p>
    <w:p w:rsidR="009A2130" w:rsidRDefault="009A2130" w:rsidP="009A2130">
      <w:pPr>
        <w:pStyle w:val="berschrift1"/>
      </w:pPr>
      <w:r>
        <w:t>[</w:t>
      </w:r>
      <w:r>
        <w:br/>
        <w:t>\Delta_I(z_i,z_j)</w:t>
      </w:r>
    </w:p>
    <w:p w:rsidR="009A2130" w:rsidRDefault="009A2130" w:rsidP="009A2130">
      <w:pPr>
        <w:pStyle w:val="StandardWeb"/>
      </w:pPr>
      <w:r>
        <w:t>\left|</w:t>
      </w:r>
      <w:r>
        <w:br/>
        <w:t>I_F(z_j)-I_F(z_i)</w:t>
      </w:r>
      <w:r>
        <w:br/>
        <w:t>\right|.</w:t>
      </w:r>
      <w:r>
        <w:br/>
        <w:t>\tag{3.10502}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\Delta_I(z_i,z_j)=\left|I_F(z_j)-I_F(z_i)\right|</w:t>
      </w:r>
    </w:p>
    <w:p w:rsidR="009A2130" w:rsidRDefault="009A2130" w:rsidP="009A2130">
      <w:pPr>
        <w:pStyle w:val="StandardWeb"/>
      </w:pPr>
      <w:r>
        <w:t>Für eine exakt funktional invariante Größe gilt damit</w:t>
      </w:r>
    </w:p>
    <w:p w:rsidR="009A2130" w:rsidRDefault="009A2130" w:rsidP="009A2130">
      <w:pPr>
        <w:pStyle w:val="StandardWeb"/>
      </w:pPr>
      <w:r>
        <w:lastRenderedPageBreak/>
        <w:t>[</w:t>
      </w:r>
      <w:r>
        <w:br/>
        <w:t>\Delta_I(z_i,z_j)=0</w:t>
      </w:r>
      <w:r>
        <w:br/>
        <w:t>\qquad</w:t>
      </w:r>
      <w:r>
        <w:br/>
        <w:t>\forall(z_i,z_j)\in\mathcal T_F.</w:t>
      </w:r>
      <w:r>
        <w:br/>
        <w:t>\tag{3.10503}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\Delta_I(z_i,z_j)=0\qquad\forall(z_i,z_j)\in\mathcal T_F</w:t>
      </w:r>
    </w:p>
    <w:p w:rsidR="009A2130" w:rsidRDefault="00E50336" w:rsidP="009A2130">
      <w:r>
        <w:pict>
          <v:rect id="_x0000_i3342" style="width:0;height:1.5pt" o:hralign="center" o:hrstd="t" o:hr="t" fillcolor="#a0a0a0" stroked="f"/>
        </w:pict>
      </w:r>
    </w:p>
    <w:p w:rsidR="009A2130" w:rsidRDefault="009A2130" w:rsidP="009A2130">
      <w:pPr>
        <w:pStyle w:val="berschrift1"/>
      </w:pPr>
      <w:r>
        <w:t>3.3.45.245 Definition 3.3.141 – Absolute funktionale Invarianzabweichung</w:t>
      </w:r>
    </w:p>
    <w:p w:rsidR="009A2130" w:rsidRDefault="009A2130" w:rsidP="009A2130">
      <w:pPr>
        <w:pStyle w:val="berschrift3"/>
      </w:pPr>
      <w:r>
        <w:t>Definition 3.3.141</w:t>
      </w:r>
    </w:p>
    <w:p w:rsidR="009A2130" w:rsidRDefault="009A2130" w:rsidP="009A2130">
      <w:pPr>
        <w:pStyle w:val="StandardWeb"/>
      </w:pPr>
      <w:r>
        <w:t xml:space="preserve">Für eine skalare funktionale Größe (I_F) definiere ich die </w:t>
      </w:r>
      <w:r>
        <w:rPr>
          <w:rStyle w:val="Fett"/>
        </w:rPr>
        <w:t>absolute funktionale Invarianzabweichung</w:t>
      </w:r>
      <w:r>
        <w:t xml:space="preserve"> eines Übergangs durch</w:t>
      </w:r>
    </w:p>
    <w:p w:rsidR="009A2130" w:rsidRDefault="009A2130" w:rsidP="009A2130">
      <w:pPr>
        <w:pStyle w:val="StandardWeb"/>
      </w:pPr>
      <w:r>
        <w:t>[</w:t>
      </w:r>
      <w:r>
        <w:br/>
        <w:t>\boxed{</w:t>
      </w:r>
      <w:r>
        <w:br/>
        <w:t>\Delta_I(z_i,z_j)</w:t>
      </w:r>
      <w:r>
        <w:br/>
        <w:t>:=</w:t>
      </w:r>
      <w:r>
        <w:br/>
        <w:t>\left|</w:t>
      </w:r>
      <w:r>
        <w:br/>
        <w:t>I_F(z_j)-I_F(z_i)</w:t>
      </w:r>
      <w:r>
        <w:br/>
        <w:t>\right|.</w:t>
      </w:r>
      <w:r>
        <w:br/>
        <w:t>}</w:t>
      </w:r>
      <w:r>
        <w:br/>
        <w:t>\tag{3.10504}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\boxed{\Delta_I(z_i,z_j):=\left|I_F(z_j)-I_F(z_i)\right|.}</w:t>
      </w:r>
    </w:p>
    <w:p w:rsidR="009A2130" w:rsidRDefault="009A2130" w:rsidP="009A2130">
      <w:pPr>
        <w:pStyle w:val="StandardWeb"/>
      </w:pPr>
      <w:r>
        <w:t>Diese Größe ist eine Operationalisierung der Abweichung von exakter Übergangsinvarianz.</w:t>
      </w:r>
    </w:p>
    <w:p w:rsidR="009A2130" w:rsidRDefault="00E50336" w:rsidP="009A2130">
      <w:r>
        <w:pict>
          <v:rect id="_x0000_i3343" style="width:0;height:1.5pt" o:hralign="center" o:hrstd="t" o:hr="t" fillcolor="#a0a0a0" stroked="f"/>
        </w:pict>
      </w:r>
    </w:p>
    <w:p w:rsidR="009A2130" w:rsidRDefault="009A2130" w:rsidP="009A2130">
      <w:pPr>
        <w:pStyle w:val="berschrift1"/>
      </w:pPr>
      <w:r>
        <w:t>3.3.45.246 Exakte Invarianz als Spezialfall</w:t>
      </w:r>
    </w:p>
    <w:p w:rsidR="009A2130" w:rsidRDefault="009A2130" w:rsidP="009A2130">
      <w:pPr>
        <w:pStyle w:val="StandardWeb"/>
      </w:pPr>
      <w:r>
        <w:t>Die bisherige exakte Invarianz lässt sich nun äquivalent schreiben als</w:t>
      </w:r>
    </w:p>
    <w:p w:rsidR="009A2130" w:rsidRDefault="009A2130" w:rsidP="009A2130">
      <w:pPr>
        <w:pStyle w:val="StandardWeb"/>
      </w:pPr>
      <w:r>
        <w:t>[</w:t>
      </w:r>
      <w:r>
        <w:br/>
        <w:t>\boxed{</w:t>
      </w:r>
      <w:r>
        <w:br/>
        <w:t>I_F\in\mathcal I_F(\mathcal M)</w:t>
      </w:r>
      <w:r>
        <w:br/>
        <w:t>\Longleftrightarrow</w:t>
      </w:r>
      <w:r>
        <w:br/>
        <w:t>\Delta_I(z_i,z_j)=0</w:t>
      </w:r>
      <w:r>
        <w:br/>
        <w:t>\quad</w:t>
      </w:r>
      <w:r>
        <w:br/>
        <w:t>\forall(z_i,z_j)\in\mathcal T_F.</w:t>
      </w:r>
      <w:r>
        <w:br/>
      </w:r>
      <w:r>
        <w:lastRenderedPageBreak/>
        <w:t>}</w:t>
      </w:r>
      <w:r>
        <w:br/>
        <w:t>\tag{3.10505}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\boxed{I_F\in\mathcal I_F(\mathcal M)\Longleftrightarrow\Delta_I(z_i,z_j)=0\quad\forall(z_i,z_j)\in\mathcal T_F.}</w:t>
      </w:r>
    </w:p>
    <w:p w:rsidR="009A2130" w:rsidRDefault="009A2130" w:rsidP="009A2130">
      <w:pPr>
        <w:pStyle w:val="StandardWeb"/>
      </w:pPr>
      <w:r>
        <w:t>Die approximative Erweiterung ersetzt daher nicht die exakte Definition, sondern erweitert sie um eine quantitative Abweichungsbeschreibung.</w:t>
      </w:r>
    </w:p>
    <w:p w:rsidR="009A2130" w:rsidRDefault="00E50336" w:rsidP="009A2130">
      <w:r>
        <w:pict>
          <v:rect id="_x0000_i3344" style="width:0;height:1.5pt" o:hralign="center" o:hrstd="t" o:hr="t" fillcolor="#a0a0a0" stroked="f"/>
        </w:pict>
      </w:r>
    </w:p>
    <w:p w:rsidR="009A2130" w:rsidRDefault="009A2130" w:rsidP="009A2130">
      <w:pPr>
        <w:pStyle w:val="berschrift1"/>
      </w:pPr>
      <w:r>
        <w:t>3.3.45.247 Toleranzparameter</w:t>
      </w:r>
    </w:p>
    <w:p w:rsidR="009A2130" w:rsidRDefault="009A2130" w:rsidP="009A2130">
      <w:pPr>
        <w:pStyle w:val="StandardWeb"/>
      </w:pPr>
      <w:r>
        <w:t>Für eine approximative Invarianz benötige ich einen nichtnegativen Toleranzparameter</w:t>
      </w:r>
    </w:p>
    <w:p w:rsidR="009A2130" w:rsidRDefault="009A2130" w:rsidP="009A2130">
      <w:pPr>
        <w:pStyle w:val="StandardWeb"/>
      </w:pPr>
      <w:r>
        <w:t>[</w:t>
      </w:r>
      <w:r>
        <w:br/>
        <w:t>\varepsilon_I\geq0.</w:t>
      </w:r>
      <w:r>
        <w:br/>
        <w:t>\tag{3.10506}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\varepsilon_I\geq0</w:t>
      </w:r>
    </w:p>
    <w:p w:rsidR="009A2130" w:rsidRDefault="009A2130" w:rsidP="009A2130">
      <w:pPr>
        <w:pStyle w:val="StandardWeb"/>
      </w:pPr>
      <w:r>
        <w:t>Eine Größe soll dann als approximativ invariant gelten, wenn ihre Abweichung auf jedem betrachteten Übergang höchstens diese Toleranz erreicht.</w:t>
      </w:r>
    </w:p>
    <w:p w:rsidR="009A2130" w:rsidRDefault="00E50336" w:rsidP="009A2130">
      <w:r>
        <w:pict>
          <v:rect id="_x0000_i3345" style="width:0;height:1.5pt" o:hralign="center" o:hrstd="t" o:hr="t" fillcolor="#a0a0a0" stroked="f"/>
        </w:pict>
      </w:r>
    </w:p>
    <w:p w:rsidR="009A2130" w:rsidRDefault="009A2130" w:rsidP="009A2130">
      <w:pPr>
        <w:pStyle w:val="berschrift1"/>
      </w:pPr>
      <w:r>
        <w:t>3.3.45.248 Definition 3.3.142 – (\varepsilon)-funktionale Invarianz</w:t>
      </w:r>
    </w:p>
    <w:p w:rsidR="009A2130" w:rsidRDefault="009A2130" w:rsidP="009A2130">
      <w:pPr>
        <w:pStyle w:val="berschrift3"/>
      </w:pPr>
      <w:r>
        <w:t>Definition 3.3.142</w:t>
      </w:r>
    </w:p>
    <w:p w:rsidR="009A2130" w:rsidRDefault="009A2130" w:rsidP="009A2130">
      <w:pPr>
        <w:pStyle w:val="StandardWeb"/>
      </w:pPr>
      <w:r>
        <w:t xml:space="preserve">Eine skalare funktionale Größe (I_F) heißt </w:t>
      </w:r>
      <w:r>
        <w:rPr>
          <w:rStyle w:val="Fett"/>
        </w:rPr>
        <w:t>(\varepsilon_I)-funktional invariant</w:t>
      </w:r>
      <w:r>
        <w:t>, wenn</w:t>
      </w:r>
    </w:p>
    <w:p w:rsidR="009A2130" w:rsidRDefault="009A2130" w:rsidP="009A2130">
      <w:pPr>
        <w:pStyle w:val="StandardWeb"/>
      </w:pPr>
      <w:r>
        <w:t>[</w:t>
      </w:r>
      <w:r>
        <w:br/>
        <w:t>\boxed{</w:t>
      </w:r>
      <w:r>
        <w:br/>
        <w:t>\Delta_I(z_i,z_j)</w:t>
      </w:r>
      <w:r>
        <w:br/>
        <w:t>\leq</w:t>
      </w:r>
      <w:r>
        <w:br/>
        <w:t>\varepsilon_I</w:t>
      </w:r>
      <w:r>
        <w:br/>
        <w:t>\qquad</w:t>
      </w:r>
      <w:r>
        <w:br/>
        <w:t>\forall(z_i,z_j)\in\mathcal T_F.</w:t>
      </w:r>
      <w:r>
        <w:br/>
        <w:t>}</w:t>
      </w:r>
      <w:r>
        <w:br/>
        <w:t>\tag{3.10507}</w:t>
      </w:r>
      <w:r>
        <w:br/>
        <w:t>]</w:t>
      </w:r>
    </w:p>
    <w:p w:rsidR="009A2130" w:rsidRDefault="009A2130" w:rsidP="009A2130">
      <w:pPr>
        <w:pStyle w:val="StandardWeb"/>
      </w:pPr>
      <w:r>
        <w:rPr>
          <w:rStyle w:val="Fett"/>
        </w:rPr>
        <w:lastRenderedPageBreak/>
        <w:t>Word-LaTeX</w:t>
      </w:r>
    </w:p>
    <w:p w:rsidR="009A2130" w:rsidRDefault="009A2130" w:rsidP="009A2130">
      <w:pPr>
        <w:pStyle w:val="HTMLVorformatiert"/>
        <w:rPr>
          <w:rStyle w:val="HTMLCode"/>
        </w:rPr>
      </w:pPr>
      <w:r>
        <w:rPr>
          <w:rStyle w:val="HTMLCode"/>
        </w:rPr>
        <w:t>\boxed{\Delta_I(z_i,z_j)\leq\varepsilon_I\qquad\forall(z_i,z_j)\in\mathcal T_F.}</w:t>
      </w:r>
    </w:p>
    <w:p w:rsidR="009A2130" w:rsidRDefault="009A2130" w:rsidP="009A2130">
      <w:pPr>
        <w:pStyle w:val="StandardWeb"/>
      </w:pPr>
      <w:r>
        <w:t>Ich bezeichne die entsprechende Menge durch</w:t>
      </w:r>
    </w:p>
    <w:p w:rsidR="009A2130" w:rsidRDefault="009A2130" w:rsidP="009A2130">
      <w:pPr>
        <w:pStyle w:val="StandardWeb"/>
      </w:pPr>
      <w:r>
        <w:t>[</w:t>
      </w:r>
      <w:r>
        <w:br/>
        <w:t>\mathcal I_F^{(\varepsilon_I)}(\mathcal M).</w:t>
      </w:r>
      <w:r>
        <w:br/>
        <w:t>\tag{3.10508}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\mathcal I_F^{(\varepsilon_I)}(\mathcal M)</w:t>
      </w:r>
    </w:p>
    <w:p w:rsidR="009A2130" w:rsidRDefault="00E50336" w:rsidP="009A2130">
      <w:r>
        <w:pict>
          <v:rect id="_x0000_i3346" style="width:0;height:1.5pt" o:hralign="center" o:hrstd="t" o:hr="t" fillcolor="#a0a0a0" stroked="f"/>
        </w:pict>
      </w:r>
    </w:p>
    <w:p w:rsidR="009A2130" w:rsidRDefault="009A2130" w:rsidP="009A2130">
      <w:pPr>
        <w:pStyle w:val="berschrift1"/>
      </w:pPr>
      <w:r>
        <w:t>3.3.45.249 Exakte Invarianz bei verschwindender Toleranz</w:t>
      </w:r>
    </w:p>
    <w:p w:rsidR="009A2130" w:rsidRDefault="009A2130" w:rsidP="009A2130">
      <w:pPr>
        <w:pStyle w:val="StandardWeb"/>
      </w:pPr>
      <w:r>
        <w:t>Für</w:t>
      </w:r>
    </w:p>
    <w:p w:rsidR="009A2130" w:rsidRDefault="009A2130" w:rsidP="009A2130">
      <w:pPr>
        <w:pStyle w:val="StandardWeb"/>
      </w:pPr>
      <w:r>
        <w:t>[</w:t>
      </w:r>
      <w:r>
        <w:br/>
        <w:t>\varepsilon_I=0</w:t>
      </w:r>
      <w:r>
        <w:br/>
        <w:t>\tag{3.10509}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\varepsilon_I=0</w:t>
      </w:r>
    </w:p>
    <w:p w:rsidR="009A2130" w:rsidRDefault="009A2130" w:rsidP="009A2130">
      <w:pPr>
        <w:pStyle w:val="StandardWeb"/>
      </w:pPr>
      <w:r>
        <w:t>geht Definition 3.3.142 unmittelbar in die exakte funktionale Invarianz über:</w:t>
      </w:r>
    </w:p>
    <w:p w:rsidR="009A2130" w:rsidRDefault="009A2130" w:rsidP="009A2130">
      <w:pPr>
        <w:pStyle w:val="berschrift1"/>
      </w:pPr>
      <w:r>
        <w:t>[</w:t>
      </w:r>
      <w:r>
        <w:br/>
        <w:t>\boxed{</w:t>
      </w:r>
      <w:r>
        <w:br/>
        <w:t>\mathcal I_F^{(0)}(\mathcal M)</w:t>
      </w:r>
    </w:p>
    <w:p w:rsidR="009A2130" w:rsidRDefault="009A2130" w:rsidP="009A2130">
      <w:pPr>
        <w:pStyle w:val="StandardWeb"/>
      </w:pPr>
      <w:r>
        <w:t>\mathcal I_F(\mathcal M).</w:t>
      </w:r>
      <w:r>
        <w:br/>
        <w:t>}</w:t>
      </w:r>
      <w:r>
        <w:br/>
        <w:t>\tag{3.10510}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\boxed{\mathcal I_F^{(0)}(\mathcal M)=\mathcal I_F(\mathcal M).}</w:t>
      </w:r>
    </w:p>
    <w:p w:rsidR="009A2130" w:rsidRDefault="00E50336" w:rsidP="009A2130">
      <w:r>
        <w:pict>
          <v:rect id="_x0000_i3347" style="width:0;height:1.5pt" o:hralign="center" o:hrstd="t" o:hr="t" fillcolor="#a0a0a0" stroked="f"/>
        </w:pict>
      </w:r>
    </w:p>
    <w:p w:rsidR="009A2130" w:rsidRDefault="009A2130" w:rsidP="009A2130">
      <w:pPr>
        <w:pStyle w:val="berschrift1"/>
      </w:pPr>
      <w:r>
        <w:lastRenderedPageBreak/>
        <w:t>3.3.45.250 Satz 3.3.64 – Exakte Invarianz impliziert jede positive Toleranzinvarianz</w:t>
      </w:r>
    </w:p>
    <w:p w:rsidR="009A2130" w:rsidRDefault="009A2130" w:rsidP="009A2130">
      <w:pPr>
        <w:pStyle w:val="berschrift3"/>
      </w:pPr>
      <w:r>
        <w:t>Satz 3.3.64</w:t>
      </w:r>
    </w:p>
    <w:p w:rsidR="009A2130" w:rsidRDefault="009A2130" w:rsidP="009A2130">
      <w:pPr>
        <w:pStyle w:val="StandardWeb"/>
      </w:pPr>
      <w:r>
        <w:t>Ist (I_F) exakt funktional invariant, dann ist (I_F) für jedes (\varepsilon_I\geq0) auch (\varepsilon_I)-funktional invariant:</w:t>
      </w:r>
    </w:p>
    <w:p w:rsidR="009A2130" w:rsidRDefault="009A2130" w:rsidP="009A2130">
      <w:pPr>
        <w:pStyle w:val="StandardWeb"/>
      </w:pPr>
      <w:r>
        <w:t>[</w:t>
      </w:r>
      <w:r>
        <w:br/>
        <w:t>\boxed{</w:t>
      </w:r>
      <w:r>
        <w:br/>
        <w:t>I_F\in\mathcal I_F(\mathcal M)</w:t>
      </w:r>
      <w:r>
        <w:br/>
        <w:t>\Rightarrow</w:t>
      </w:r>
      <w:r>
        <w:br/>
        <w:t>I_F\in\mathcal I_F^{(\varepsilon_I)}(\mathcal M)</w:t>
      </w:r>
      <w:r>
        <w:br/>
        <w:t>\qquad</w:t>
      </w:r>
      <w:r>
        <w:br/>
        <w:t>\forall\varepsilon_I\geq0.</w:t>
      </w:r>
      <w:r>
        <w:br/>
        <w:t>}</w:t>
      </w:r>
      <w:r>
        <w:br/>
        <w:t>\tag{3.10511}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\boxed{I_F\in\mathcal I_F(\mathcal M)\Rightarrow I_F\in\mathcal I_F^{(\varepsilon_I)}(\mathcal M)\qquad\forall\varepsilon_I\geq0.}</w:t>
      </w:r>
    </w:p>
    <w:p w:rsidR="009A2130" w:rsidRDefault="009A2130" w:rsidP="009A2130">
      <w:pPr>
        <w:pStyle w:val="berschrift3"/>
      </w:pPr>
      <w:r>
        <w:t>Beweis</w:t>
      </w:r>
    </w:p>
    <w:p w:rsidR="009A2130" w:rsidRDefault="009A2130" w:rsidP="009A2130">
      <w:pPr>
        <w:pStyle w:val="StandardWeb"/>
      </w:pPr>
      <w:r>
        <w:t>Aus exakter Invarianz folgt</w:t>
      </w:r>
    </w:p>
    <w:p w:rsidR="009A2130" w:rsidRDefault="009A2130" w:rsidP="009A2130">
      <w:pPr>
        <w:pStyle w:val="StandardWeb"/>
      </w:pPr>
      <w:r>
        <w:t>[</w:t>
      </w:r>
      <w:r>
        <w:br/>
        <w:t>\Delta_I(z_i,z_j)=0</w:t>
      </w:r>
      <w:r>
        <w:br/>
        <w:t>\tag{3.10512}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\Delta_I(z_i,z_j)=0</w:t>
      </w:r>
    </w:p>
    <w:p w:rsidR="009A2130" w:rsidRDefault="009A2130" w:rsidP="009A2130">
      <w:pPr>
        <w:pStyle w:val="StandardWeb"/>
      </w:pPr>
      <w:r>
        <w:t>für jeden zulässigen Übergang.</w:t>
      </w:r>
    </w:p>
    <w:p w:rsidR="009A2130" w:rsidRDefault="009A2130" w:rsidP="009A2130">
      <w:pPr>
        <w:pStyle w:val="StandardWeb"/>
      </w:pPr>
      <w:r>
        <w:t>Für (\varepsilon_I\geq0) gilt daher</w:t>
      </w:r>
    </w:p>
    <w:p w:rsidR="009A2130" w:rsidRDefault="009A2130" w:rsidP="009A2130">
      <w:pPr>
        <w:pStyle w:val="StandardWeb"/>
      </w:pPr>
      <w:r>
        <w:t>[</w:t>
      </w:r>
      <w:r>
        <w:br/>
        <w:t>0</w:t>
      </w:r>
      <w:r>
        <w:br/>
        <w:t>\leq</w:t>
      </w:r>
      <w:r>
        <w:br/>
        <w:t>\varepsilon_I.</w:t>
      </w:r>
      <w:r>
        <w:br/>
        <w:t>\tag{3.10513}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0\leq\varepsilon_I</w:t>
      </w:r>
    </w:p>
    <w:p w:rsidR="009A2130" w:rsidRDefault="009A2130" w:rsidP="009A2130">
      <w:pPr>
        <w:pStyle w:val="StandardWeb"/>
      </w:pPr>
      <w:r>
        <w:lastRenderedPageBreak/>
        <w:t>Damit ist die (\varepsilon_I)-Bedingung erfüllt. (\square)</w:t>
      </w:r>
    </w:p>
    <w:p w:rsidR="009A2130" w:rsidRDefault="00E50336" w:rsidP="009A2130">
      <w:r>
        <w:pict>
          <v:rect id="_x0000_i3348" style="width:0;height:1.5pt" o:hralign="center" o:hrstd="t" o:hr="t" fillcolor="#a0a0a0" stroked="f"/>
        </w:pict>
      </w:r>
    </w:p>
    <w:p w:rsidR="009A2130" w:rsidRDefault="009A2130" w:rsidP="009A2130">
      <w:pPr>
        <w:pStyle w:val="berschrift1"/>
      </w:pPr>
      <w:r>
        <w:t>3.3.45.251 Monotonie bezüglich der Toleranz</w:t>
      </w:r>
    </w:p>
    <w:p w:rsidR="009A2130" w:rsidRDefault="009A2130" w:rsidP="009A2130">
      <w:pPr>
        <w:pStyle w:val="StandardWeb"/>
      </w:pPr>
      <w:r>
        <w:t>Seien</w:t>
      </w:r>
    </w:p>
    <w:p w:rsidR="009A2130" w:rsidRDefault="009A2130" w:rsidP="009A2130">
      <w:pPr>
        <w:pStyle w:val="StandardWeb"/>
      </w:pPr>
      <w:r>
        <w:t>[</w:t>
      </w:r>
      <w:r>
        <w:br/>
        <w:t>0\leq\varepsilon_1\leq\varepsilon_2.</w:t>
      </w:r>
      <w:r>
        <w:br/>
        <w:t>\tag{3.10514}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0\leq\varepsilon_1\leq\varepsilon_2</w:t>
      </w:r>
    </w:p>
    <w:p w:rsidR="009A2130" w:rsidRDefault="009A2130" w:rsidP="009A2130">
      <w:pPr>
        <w:pStyle w:val="StandardWeb"/>
      </w:pPr>
      <w:r>
        <w:t>Dann muss jede Größe, welche die strengere Schranke (\varepsilon_1) erfüllt, auch die schwächere Schranke (\varepsilon_2) erfüllen.</w:t>
      </w:r>
    </w:p>
    <w:p w:rsidR="009A2130" w:rsidRDefault="00E50336" w:rsidP="009A2130">
      <w:r>
        <w:pict>
          <v:rect id="_x0000_i3349" style="width:0;height:1.5pt" o:hralign="center" o:hrstd="t" o:hr="t" fillcolor="#a0a0a0" stroked="f"/>
        </w:pict>
      </w:r>
    </w:p>
    <w:p w:rsidR="009A2130" w:rsidRDefault="009A2130" w:rsidP="009A2130">
      <w:pPr>
        <w:pStyle w:val="berschrift1"/>
      </w:pPr>
      <w:r>
        <w:t>3.3.45.252 Satz 3.3.65 – Monotonie approximativer Invariantenmengen</w:t>
      </w:r>
    </w:p>
    <w:p w:rsidR="009A2130" w:rsidRDefault="009A2130" w:rsidP="009A2130">
      <w:pPr>
        <w:pStyle w:val="berschrift3"/>
      </w:pPr>
      <w:r>
        <w:t>Satz 3.3.65</w:t>
      </w:r>
    </w:p>
    <w:p w:rsidR="009A2130" w:rsidRDefault="009A2130" w:rsidP="009A2130">
      <w:pPr>
        <w:pStyle w:val="StandardWeb"/>
      </w:pPr>
      <w:r>
        <w:t>Für</w:t>
      </w:r>
    </w:p>
    <w:p w:rsidR="009A2130" w:rsidRDefault="009A2130" w:rsidP="009A2130">
      <w:pPr>
        <w:pStyle w:val="StandardWeb"/>
      </w:pPr>
      <w:r>
        <w:t>[</w:t>
      </w:r>
      <w:r>
        <w:br/>
        <w:t>0\leq\varepsilon_1\leq\varepsilon_2</w:t>
      </w:r>
      <w:r>
        <w:br/>
        <w:t>\tag{3.10515}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0\leq\varepsilon_1\leq\varepsilon_2</w:t>
      </w:r>
    </w:p>
    <w:p w:rsidR="009A2130" w:rsidRDefault="009A2130" w:rsidP="009A2130">
      <w:pPr>
        <w:pStyle w:val="StandardWeb"/>
      </w:pPr>
      <w:r>
        <w:t>gilt</w:t>
      </w:r>
    </w:p>
    <w:p w:rsidR="009A2130" w:rsidRDefault="009A2130" w:rsidP="009A2130">
      <w:pPr>
        <w:pStyle w:val="StandardWeb"/>
      </w:pPr>
      <w:r>
        <w:t>[</w:t>
      </w:r>
      <w:r>
        <w:br/>
        <w:t>\boxed{</w:t>
      </w:r>
      <w:r>
        <w:br/>
        <w:t>\mathcal I_F^{(\varepsilon_1)}(\mathcal M)</w:t>
      </w:r>
      <w:r>
        <w:br/>
        <w:t>\subseteq</w:t>
      </w:r>
      <w:r>
        <w:br/>
        <w:t>\mathcal I_F^{(\varepsilon_2)}(\mathcal M).</w:t>
      </w:r>
      <w:r>
        <w:br/>
        <w:t>}</w:t>
      </w:r>
      <w:r>
        <w:br/>
        <w:t>\tag{3.10516}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lastRenderedPageBreak/>
        <w:t>\boxed{\mathcal I_F^{(\varepsilon_1)}(\mathcal M)\subseteq\mathcal I_F^{(\varepsilon_2)}(\mathcal M).}</w:t>
      </w:r>
    </w:p>
    <w:p w:rsidR="009A2130" w:rsidRDefault="009A2130" w:rsidP="009A2130">
      <w:pPr>
        <w:pStyle w:val="StandardWeb"/>
      </w:pPr>
      <w:r>
        <w:t>Die Menge akzeptierter approximativer Invarianten wächst somit mit der zugelassenen Toleranz.</w:t>
      </w:r>
    </w:p>
    <w:p w:rsidR="009A2130" w:rsidRDefault="00E50336" w:rsidP="009A2130">
      <w:r>
        <w:pict>
          <v:rect id="_x0000_i3350" style="width:0;height:1.5pt" o:hralign="center" o:hrstd="t" o:hr="t" fillcolor="#a0a0a0" stroked="f"/>
        </w:pict>
      </w:r>
    </w:p>
    <w:p w:rsidR="009A2130" w:rsidRDefault="009A2130" w:rsidP="009A2130">
      <w:pPr>
        <w:pStyle w:val="berschrift1"/>
      </w:pPr>
      <w:r>
        <w:t>3.3.45.253 Keine objektive Bedeutung von (\varepsilon_I) ohne Festlegung</w:t>
      </w:r>
    </w:p>
    <w:p w:rsidR="009A2130" w:rsidRDefault="009A2130" w:rsidP="009A2130">
      <w:pPr>
        <w:pStyle w:val="StandardWeb"/>
      </w:pPr>
      <w:r>
        <w:t>Der Toleranzparameter besitzt zunächst keine universelle Bedeutung.</w:t>
      </w:r>
    </w:p>
    <w:p w:rsidR="009A2130" w:rsidRDefault="009A2130" w:rsidP="009A2130">
      <w:pPr>
        <w:pStyle w:val="StandardWeb"/>
      </w:pPr>
      <w:r>
        <w:t>Insbesondere gilt nicht</w:t>
      </w:r>
    </w:p>
    <w:p w:rsidR="009A2130" w:rsidRDefault="009A2130" w:rsidP="009A2130">
      <w:pPr>
        <w:pStyle w:val="berschrift1"/>
      </w:pPr>
      <w:r>
        <w:t>[</w:t>
      </w:r>
      <w:r>
        <w:br/>
        <w:t>\boxed{</w:t>
      </w:r>
      <w:r>
        <w:br/>
        <w:t>\varepsilon_I</w:t>
      </w:r>
    </w:p>
    <w:p w:rsidR="009A2130" w:rsidRDefault="009A2130" w:rsidP="009A2130">
      <w:pPr>
        <w:pStyle w:val="StandardWeb"/>
      </w:pPr>
      <w:r>
        <w:t>\text{universelle FRZK-Konstante}.</w:t>
      </w:r>
      <w:r>
        <w:br/>
        <w:t>}</w:t>
      </w:r>
      <w:r>
        <w:br/>
        <w:t>\tag{3.10517}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\boxed{\varepsilon_I=\text{universelle FRZK-Konstante}.}</w:t>
      </w:r>
    </w:p>
    <w:p w:rsidR="009A2130" w:rsidRDefault="009A2130" w:rsidP="009A2130">
      <w:pPr>
        <w:pStyle w:val="StandardWeb"/>
      </w:pPr>
      <w:r>
        <w:t>Sein Wert muss aus Messauflösung, numerischer Genauigkeit, Modellanforderungen oder einem anderen expliziten Kriterium begründet werden.</w:t>
      </w:r>
    </w:p>
    <w:p w:rsidR="009A2130" w:rsidRDefault="00E50336" w:rsidP="009A2130">
      <w:r>
        <w:pict>
          <v:rect id="_x0000_i3351" style="width:0;height:1.5pt" o:hralign="center" o:hrstd="t" o:hr="t" fillcolor="#a0a0a0" stroked="f"/>
        </w:pict>
      </w:r>
    </w:p>
    <w:p w:rsidR="009A2130" w:rsidRDefault="009A2130" w:rsidP="009A2130">
      <w:pPr>
        <w:pStyle w:val="berschrift1"/>
      </w:pPr>
      <w:r>
        <w:t>3.3.45.254 Status des Toleranzparameters</w:t>
      </w:r>
    </w:p>
    <w:p w:rsidR="009A2130" w:rsidRDefault="009A2130" w:rsidP="009A2130">
      <w:pPr>
        <w:pStyle w:val="StandardWeb"/>
      </w:pPr>
      <w:r>
        <w:t>Daher klassifiziere ich</w:t>
      </w:r>
    </w:p>
    <w:p w:rsidR="009A2130" w:rsidRDefault="009A2130" w:rsidP="009A2130">
      <w:pPr>
        <w:pStyle w:val="StandardWeb"/>
      </w:pPr>
      <w:r>
        <w:t>[</w:t>
      </w:r>
      <w:r>
        <w:br/>
        <w:t>\varepsilon_I</w:t>
      </w:r>
      <w:r>
        <w:br/>
        <w:t>\tag{3.10518}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\varepsilon_I</w:t>
      </w:r>
    </w:p>
    <w:p w:rsidR="009A2130" w:rsidRDefault="009A2130" w:rsidP="009A2130">
      <w:pPr>
        <w:pStyle w:val="StandardWeb"/>
      </w:pPr>
      <w:r>
        <w:t>nicht als Primäraxiom, sondern als Operationalisierungsparameter beziehungsweise modellabhängige Schwelle:</w:t>
      </w:r>
    </w:p>
    <w:p w:rsidR="009A2130" w:rsidRDefault="009A2130" w:rsidP="009A2130">
      <w:pPr>
        <w:pStyle w:val="berschrift1"/>
      </w:pPr>
      <w:r>
        <w:lastRenderedPageBreak/>
        <w:t>[</w:t>
      </w:r>
      <w:r>
        <w:br/>
        <w:t>\boxed{</w:t>
      </w:r>
      <w:r>
        <w:br/>
        <w:t>\operatorname{Stat}(\varepsilon_I)</w:t>
      </w:r>
    </w:p>
    <w:p w:rsidR="009A2130" w:rsidRDefault="009A2130" w:rsidP="009A2130">
      <w:pPr>
        <w:pStyle w:val="StandardWeb"/>
      </w:pPr>
      <w:r>
        <w:t>\mathrm{Op/Mod}.</w:t>
      </w:r>
      <w:r>
        <w:br/>
        <w:t>}</w:t>
      </w:r>
      <w:r>
        <w:br/>
        <w:t>\tag{3.10519}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\boxed{\operatorname{Stat}(\varepsilon_I)=\mathrm{Op/Mod}.}</w:t>
      </w:r>
    </w:p>
    <w:p w:rsidR="009A2130" w:rsidRDefault="00E50336" w:rsidP="009A2130">
      <w:r>
        <w:pict>
          <v:rect id="_x0000_i3352" style="width:0;height:1.5pt" o:hralign="center" o:hrstd="t" o:hr="t" fillcolor="#a0a0a0" stroked="f"/>
        </w:pict>
      </w:r>
    </w:p>
    <w:p w:rsidR="009A2130" w:rsidRDefault="009A2130" w:rsidP="009A2130">
      <w:pPr>
        <w:pStyle w:val="berschrift1"/>
      </w:pPr>
      <w:r>
        <w:t>3.3.45.255 Relative Invarianzabweichung</w:t>
      </w:r>
    </w:p>
    <w:p w:rsidR="009A2130" w:rsidRDefault="009A2130" w:rsidP="009A2130">
      <w:pPr>
        <w:pStyle w:val="StandardWeb"/>
      </w:pPr>
      <w:r>
        <w:t>Die absolute Abweichung ist problematisch, wenn verschiedene Größen stark unterschiedliche Skalen besitzen.</w:t>
      </w:r>
    </w:p>
    <w:p w:rsidR="009A2130" w:rsidRDefault="009A2130" w:rsidP="009A2130">
      <w:pPr>
        <w:pStyle w:val="StandardWeb"/>
      </w:pPr>
      <w:r>
        <w:t>Für (I_F(z_i)\neq0) kann deshalb eine relative Abweichung definiert werden:</w:t>
      </w:r>
    </w:p>
    <w:p w:rsidR="009A2130" w:rsidRDefault="009A2130" w:rsidP="009A2130">
      <w:pPr>
        <w:pStyle w:val="berschrift1"/>
      </w:pPr>
      <w:r>
        <w:t>[</w:t>
      </w:r>
      <w:r>
        <w:br/>
        <w:t>\delta_I^{\mathrm{rel}}(z_i,z_j)</w:t>
      </w:r>
    </w:p>
    <w:p w:rsidR="009A2130" w:rsidRDefault="009A2130" w:rsidP="009A2130">
      <w:pPr>
        <w:pStyle w:val="StandardWeb"/>
      </w:pPr>
      <w:r>
        <w:t>\frac{</w:t>
      </w:r>
      <w:r>
        <w:br/>
        <w:t>|I_F(z_j)-I_F(z_i)|</w:t>
      </w:r>
      <w:r>
        <w:br/>
        <w:t>}{</w:t>
      </w:r>
      <w:r>
        <w:br/>
        <w:t>|I_F(z_i)|</w:t>
      </w:r>
      <w:r>
        <w:br/>
        <w:t>}.</w:t>
      </w:r>
      <w:r>
        <w:br/>
        <w:t>\tag{3.10520}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\delta_I^{\mathrm{rel}}(z_i,z_j)=\frac{|I_F(z_j)-I_F(z_i)|}{|I_F(z_i)|}</w:t>
      </w:r>
    </w:p>
    <w:p w:rsidR="009A2130" w:rsidRDefault="009A2130" w:rsidP="009A2130">
      <w:pPr>
        <w:pStyle w:val="StandardWeb"/>
      </w:pPr>
      <w:r>
        <w:t>Diese Definition ist jedoch an eine von null verschiedene Referenzgröße gebunden.</w:t>
      </w:r>
    </w:p>
    <w:p w:rsidR="009A2130" w:rsidRDefault="00E50336" w:rsidP="009A2130">
      <w:r>
        <w:pict>
          <v:rect id="_x0000_i3353" style="width:0;height:1.5pt" o:hralign="center" o:hrstd="t" o:hr="t" fillcolor="#a0a0a0" stroked="f"/>
        </w:pict>
      </w:r>
    </w:p>
    <w:p w:rsidR="009A2130" w:rsidRDefault="009A2130" w:rsidP="009A2130">
      <w:pPr>
        <w:pStyle w:val="berschrift1"/>
      </w:pPr>
      <w:r>
        <w:t>3.3.45.256 Definition 3.3.143 – Relative funktionale Invarianzabweichung</w:t>
      </w:r>
    </w:p>
    <w:p w:rsidR="009A2130" w:rsidRDefault="009A2130" w:rsidP="009A2130">
      <w:pPr>
        <w:pStyle w:val="berschrift3"/>
      </w:pPr>
      <w:r>
        <w:t>Definition 3.3.143</w:t>
      </w:r>
    </w:p>
    <w:p w:rsidR="009A2130" w:rsidRDefault="009A2130" w:rsidP="009A2130">
      <w:pPr>
        <w:pStyle w:val="StandardWeb"/>
      </w:pPr>
      <w:r>
        <w:t>Für (I_F(z_i)\neq0) definiere ich</w:t>
      </w:r>
    </w:p>
    <w:p w:rsidR="009A2130" w:rsidRDefault="009A2130" w:rsidP="009A2130">
      <w:pPr>
        <w:pStyle w:val="StandardWeb"/>
      </w:pPr>
      <w:r>
        <w:lastRenderedPageBreak/>
        <w:t>[</w:t>
      </w:r>
      <w:r>
        <w:br/>
        <w:t>\boxed{</w:t>
      </w:r>
      <w:r>
        <w:br/>
        <w:t>\delta_I^{\mathrm{rel}}(z_i,z_j)</w:t>
      </w:r>
      <w:r>
        <w:br/>
        <w:t>:=</w:t>
      </w:r>
      <w:r>
        <w:br/>
        <w:t>\frac{</w:t>
      </w:r>
      <w:r>
        <w:br/>
        <w:t>|I_F(z_j)-I_F(z_i)|</w:t>
      </w:r>
      <w:r>
        <w:br/>
        <w:t>}{</w:t>
      </w:r>
      <w:r>
        <w:br/>
        <w:t>|I_F(z_i)|</w:t>
      </w:r>
      <w:r>
        <w:br/>
        <w:t>}.</w:t>
      </w:r>
      <w:r>
        <w:br/>
        <w:t>}</w:t>
      </w:r>
      <w:r>
        <w:br/>
        <w:t>\tag{3.10521}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\boxed{\delta_I^{\mathrm{rel}}(z_i,z_j):=\frac{|I_F(z_j)-I_F(z_i)|}{|I_F(z_i)|}.}</w:t>
      </w:r>
    </w:p>
    <w:p w:rsidR="009A2130" w:rsidRDefault="009A2130" w:rsidP="009A2130">
      <w:pPr>
        <w:pStyle w:val="StandardWeb"/>
      </w:pPr>
      <w:r>
        <w:t>Sie ist eine dimensionslose Operationalisierung der relativen Invarianzverletzung.</w:t>
      </w:r>
    </w:p>
    <w:p w:rsidR="009A2130" w:rsidRDefault="00E50336" w:rsidP="009A2130">
      <w:r>
        <w:pict>
          <v:rect id="_x0000_i3354" style="width:0;height:1.5pt" o:hralign="center" o:hrstd="t" o:hr="t" fillcolor="#a0a0a0" stroked="f"/>
        </w:pict>
      </w:r>
    </w:p>
    <w:p w:rsidR="009A2130" w:rsidRDefault="009A2130" w:rsidP="009A2130">
      <w:pPr>
        <w:pStyle w:val="berschrift1"/>
      </w:pPr>
      <w:r>
        <w:t>3.3.45.257 Problem am Nullpunkt</w:t>
      </w:r>
    </w:p>
    <w:p w:rsidR="009A2130" w:rsidRDefault="009A2130" w:rsidP="009A2130">
      <w:pPr>
        <w:pStyle w:val="StandardWeb"/>
      </w:pPr>
      <w:r>
        <w:t>Für</w:t>
      </w:r>
    </w:p>
    <w:p w:rsidR="009A2130" w:rsidRDefault="009A2130" w:rsidP="009A2130">
      <w:pPr>
        <w:pStyle w:val="StandardWeb"/>
      </w:pPr>
      <w:r>
        <w:t>[</w:t>
      </w:r>
      <w:r>
        <w:br/>
        <w:t>I_F(z_i)=0</w:t>
      </w:r>
      <w:r>
        <w:br/>
        <w:t>\tag{3.10522}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I_F(z_i)=0</w:t>
      </w:r>
    </w:p>
    <w:p w:rsidR="009A2130" w:rsidRDefault="009A2130" w:rsidP="009A2130">
      <w:pPr>
        <w:pStyle w:val="StandardWeb"/>
      </w:pPr>
      <w:r>
        <w:t>ist die relative Abweichung nach Definition 3.3.143 nicht definiert.</w:t>
      </w:r>
    </w:p>
    <w:p w:rsidR="009A2130" w:rsidRDefault="009A2130" w:rsidP="009A2130">
      <w:pPr>
        <w:pStyle w:val="StandardWeb"/>
      </w:pPr>
      <w:r>
        <w:t>Es wäre methodisch falsch, diesen Fall stillschweigend durch Division durch null zu behandeln.</w:t>
      </w:r>
    </w:p>
    <w:p w:rsidR="009A2130" w:rsidRDefault="00E50336" w:rsidP="009A2130">
      <w:r>
        <w:pict>
          <v:rect id="_x0000_i3355" style="width:0;height:1.5pt" o:hralign="center" o:hrstd="t" o:hr="t" fillcolor="#a0a0a0" stroked="f"/>
        </w:pict>
      </w:r>
    </w:p>
    <w:p w:rsidR="009A2130" w:rsidRDefault="009A2130" w:rsidP="009A2130">
      <w:pPr>
        <w:pStyle w:val="berschrift1"/>
      </w:pPr>
      <w:r>
        <w:t>3.3.45.258 Symmetrisch normalisierte Abweichung</w:t>
      </w:r>
    </w:p>
    <w:p w:rsidR="009A2130" w:rsidRDefault="009A2130" w:rsidP="009A2130">
      <w:pPr>
        <w:pStyle w:val="StandardWeb"/>
      </w:pPr>
      <w:r>
        <w:t>Eine alternative dimensionslose Kennzahl kann über beide Werte symmetrisch normiert werden:</w:t>
      </w:r>
    </w:p>
    <w:p w:rsidR="009A2130" w:rsidRDefault="009A2130" w:rsidP="009A2130">
      <w:pPr>
        <w:pStyle w:val="berschrift1"/>
      </w:pPr>
      <w:r>
        <w:t>[</w:t>
      </w:r>
      <w:r>
        <w:br/>
        <w:t>\delta_I^{\mathrm{sym}}(z_i,z_j)</w:t>
      </w:r>
    </w:p>
    <w:p w:rsidR="009A2130" w:rsidRDefault="009A2130" w:rsidP="009A2130">
      <w:pPr>
        <w:pStyle w:val="StandardWeb"/>
      </w:pPr>
      <w:r>
        <w:lastRenderedPageBreak/>
        <w:t>\frac{</w:t>
      </w:r>
      <w:r>
        <w:br/>
        <w:t>2|I_F(z_j)-I_F(z_i)|</w:t>
      </w:r>
      <w:r>
        <w:br/>
        <w:t>}{</w:t>
      </w:r>
      <w:r>
        <w:br/>
        <w:t>|I_F(z_i)|+|I_F(z_j)|</w:t>
      </w:r>
      <w:r>
        <w:br/>
        <w:t>}.</w:t>
      </w:r>
      <w:r>
        <w:br/>
        <w:t>\tag{3.10523}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\delta_I^{\mathrm{sym}}(z_i,z_j)=\frac{2|I_F(z_j)-I_F(z_i)|}{|I_F(z_i)|+|I_F(z_j)|}</w:t>
      </w:r>
    </w:p>
    <w:p w:rsidR="009A2130" w:rsidRDefault="009A2130" w:rsidP="009A2130">
      <w:pPr>
        <w:pStyle w:val="StandardWeb"/>
      </w:pPr>
      <w:r>
        <w:t>Diese Größe ist definiert, solange nicht beide Werte gleichzeitig null sind.</w:t>
      </w:r>
    </w:p>
    <w:p w:rsidR="009A2130" w:rsidRDefault="00E50336" w:rsidP="009A2130">
      <w:r>
        <w:pict>
          <v:rect id="_x0000_i3356" style="width:0;height:1.5pt" o:hralign="center" o:hrstd="t" o:hr="t" fillcolor="#a0a0a0" stroked="f"/>
        </w:pict>
      </w:r>
    </w:p>
    <w:p w:rsidR="009A2130" w:rsidRDefault="009A2130" w:rsidP="009A2130">
      <w:pPr>
        <w:pStyle w:val="berschrift1"/>
      </w:pPr>
      <w:r>
        <w:t>3.3.45.259 Definition 3.3.144 – Symmetrisch normalisierte Invarianzabweichung</w:t>
      </w:r>
    </w:p>
    <w:p w:rsidR="009A2130" w:rsidRDefault="009A2130" w:rsidP="009A2130">
      <w:pPr>
        <w:pStyle w:val="berschrift3"/>
      </w:pPr>
      <w:r>
        <w:t>Definition 3.3.144</w:t>
      </w:r>
    </w:p>
    <w:p w:rsidR="009A2130" w:rsidRDefault="009A2130" w:rsidP="009A2130">
      <w:pPr>
        <w:pStyle w:val="StandardWeb"/>
      </w:pPr>
      <w:r>
        <w:t>Für</w:t>
      </w:r>
    </w:p>
    <w:p w:rsidR="009A2130" w:rsidRDefault="009A2130" w:rsidP="009A2130">
      <w:pPr>
        <w:pStyle w:val="StandardWeb"/>
      </w:pPr>
      <w:r>
        <w:t>[</w:t>
      </w:r>
      <w:r>
        <w:br/>
        <w:t>|I_F(z_i)|+|I_F(z_j)|&gt;0</w:t>
      </w:r>
      <w:r>
        <w:br/>
        <w:t>\tag{3.10524}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|I_F(z_i)|+|I_F(z_j)|&gt;0</w:t>
      </w:r>
    </w:p>
    <w:p w:rsidR="009A2130" w:rsidRDefault="009A2130" w:rsidP="009A2130">
      <w:pPr>
        <w:pStyle w:val="StandardWeb"/>
      </w:pPr>
      <w:r>
        <w:t>definiere ich</w:t>
      </w:r>
    </w:p>
    <w:p w:rsidR="009A2130" w:rsidRDefault="009A2130" w:rsidP="009A2130">
      <w:pPr>
        <w:pStyle w:val="StandardWeb"/>
      </w:pPr>
      <w:r>
        <w:t>[</w:t>
      </w:r>
      <w:r>
        <w:br/>
        <w:t>\boxed{</w:t>
      </w:r>
      <w:r>
        <w:br/>
        <w:t>\delta_I^{\mathrm{sym}}(z_i,z_j)</w:t>
      </w:r>
      <w:r>
        <w:br/>
        <w:t>:=</w:t>
      </w:r>
      <w:r>
        <w:br/>
        <w:t>\frac{</w:t>
      </w:r>
      <w:r>
        <w:br/>
        <w:t>2|I_F(z_j)-I_F(z_i)|</w:t>
      </w:r>
      <w:r>
        <w:br/>
        <w:t>}{</w:t>
      </w:r>
      <w:r>
        <w:br/>
        <w:t>|I_F(z_i)|+|I_F(z_j)|</w:t>
      </w:r>
      <w:r>
        <w:br/>
        <w:t>}.</w:t>
      </w:r>
      <w:r>
        <w:br/>
        <w:t>}</w:t>
      </w:r>
      <w:r>
        <w:br/>
        <w:t>\tag{3.10525}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lastRenderedPageBreak/>
        <w:t>\boxed{\delta_I^{\mathrm{sym}}(z_i,z_j):=\frac{2|I_F(z_j)-I_F(z_i)|}{|I_F(z_i)|+|I_F(z_j)|}.}</w:t>
      </w:r>
    </w:p>
    <w:p w:rsidR="009A2130" w:rsidRDefault="009A2130" w:rsidP="009A2130">
      <w:pPr>
        <w:pStyle w:val="StandardWeb"/>
      </w:pPr>
      <w:r>
        <w:t>Auch diese Größe ist eine Operationalisierung und keine neue fundamentale Struktur.</w:t>
      </w:r>
    </w:p>
    <w:p w:rsidR="009A2130" w:rsidRDefault="00E50336" w:rsidP="009A2130">
      <w:r>
        <w:pict>
          <v:rect id="_x0000_i3357" style="width:0;height:1.5pt" o:hralign="center" o:hrstd="t" o:hr="t" fillcolor="#a0a0a0" stroked="f"/>
        </w:pict>
      </w:r>
    </w:p>
    <w:p w:rsidR="009A2130" w:rsidRDefault="009A2130" w:rsidP="009A2130">
      <w:pPr>
        <w:pStyle w:val="berschrift1"/>
      </w:pPr>
      <w:r>
        <w:t>3.3.45.260 Vektorwertige Invarianten</w:t>
      </w:r>
    </w:p>
    <w:p w:rsidR="009A2130" w:rsidRDefault="009A2130" w:rsidP="009A2130">
      <w:pPr>
        <w:pStyle w:val="StandardWeb"/>
      </w:pPr>
      <w:r>
        <w:t>Ist</w:t>
      </w:r>
    </w:p>
    <w:p w:rsidR="009A2130" w:rsidRDefault="009A2130" w:rsidP="009A2130">
      <w:pPr>
        <w:pStyle w:val="StandardWeb"/>
      </w:pPr>
      <w:r>
        <w:t>[</w:t>
      </w:r>
      <w:r>
        <w:br/>
        <w:t>I_F:</w:t>
      </w:r>
      <w:r>
        <w:br/>
        <w:t>\Omega_F</w:t>
      </w:r>
      <w:r>
        <w:br/>
        <w:t>\rightarrow</w:t>
      </w:r>
      <w:r>
        <w:br/>
        <w:t>\mathcal V</w:t>
      </w:r>
      <w:r>
        <w:br/>
        <w:t>\tag{3.10526}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I_F:\Omega_F\rightarrow\mathcal V</w:t>
      </w:r>
    </w:p>
    <w:p w:rsidR="009A2130" w:rsidRDefault="009A2130" w:rsidP="009A2130">
      <w:pPr>
        <w:pStyle w:val="StandardWeb"/>
      </w:pPr>
      <w:r>
        <w:t>vektorwertig und besitzt (\mathcal V) eine Norm (|\cdot|), kann die Invarianzabweichung verallgemeinert werden zu</w:t>
      </w:r>
    </w:p>
    <w:p w:rsidR="009A2130" w:rsidRDefault="009A2130" w:rsidP="009A2130">
      <w:pPr>
        <w:pStyle w:val="berschrift1"/>
      </w:pPr>
      <w:r>
        <w:t>[</w:t>
      </w:r>
      <w:r>
        <w:br/>
        <w:t>\Delta_I^{|\cdot|}(z_i,z_j)</w:t>
      </w:r>
    </w:p>
    <w:p w:rsidR="009A2130" w:rsidRDefault="009A2130" w:rsidP="009A2130">
      <w:pPr>
        <w:pStyle w:val="StandardWeb"/>
      </w:pPr>
      <w:r>
        <w:t>\left|</w:t>
      </w:r>
      <w:r>
        <w:br/>
        <w:t>I_F(z_j)-I_F(z_i)</w:t>
      </w:r>
      <w:r>
        <w:br/>
        <w:t>\right|.</w:t>
      </w:r>
      <w:r>
        <w:br/>
        <w:t>\tag{3.10527}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\Delta_I^{\|\cdot\|}(z_i,z_j)=\left\|I_F(z_j)-I_F(z_i)\right\|</w:t>
      </w:r>
    </w:p>
    <w:p w:rsidR="009A2130" w:rsidRDefault="00E50336" w:rsidP="009A2130">
      <w:r>
        <w:pict>
          <v:rect id="_x0000_i3358" style="width:0;height:1.5pt" o:hralign="center" o:hrstd="t" o:hr="t" fillcolor="#a0a0a0" stroked="f"/>
        </w:pict>
      </w:r>
    </w:p>
    <w:p w:rsidR="009A2130" w:rsidRDefault="009A2130" w:rsidP="009A2130">
      <w:pPr>
        <w:pStyle w:val="berschrift1"/>
      </w:pPr>
      <w:r>
        <w:t>3.3.45.261 Definition 3.3.145 – Normbasierte Invarianzabweichung</w:t>
      </w:r>
    </w:p>
    <w:p w:rsidR="009A2130" w:rsidRDefault="009A2130" w:rsidP="009A2130">
      <w:pPr>
        <w:pStyle w:val="berschrift3"/>
      </w:pPr>
      <w:r>
        <w:t>Definition 3.3.145</w:t>
      </w:r>
    </w:p>
    <w:p w:rsidR="009A2130" w:rsidRDefault="009A2130" w:rsidP="009A2130">
      <w:pPr>
        <w:pStyle w:val="StandardWeb"/>
      </w:pPr>
      <w:r>
        <w:t xml:space="preserve">Besitzt der Zielraum einer funktionalen Größe eine Norm, definiere ich die </w:t>
      </w:r>
      <w:r>
        <w:rPr>
          <w:rStyle w:val="Fett"/>
        </w:rPr>
        <w:t>normbasierte funktionale Invarianzabweichung</w:t>
      </w:r>
      <w:r>
        <w:t xml:space="preserve"> durch</w:t>
      </w:r>
    </w:p>
    <w:p w:rsidR="009A2130" w:rsidRDefault="009A2130" w:rsidP="009A2130">
      <w:pPr>
        <w:pStyle w:val="StandardWeb"/>
      </w:pPr>
      <w:r>
        <w:lastRenderedPageBreak/>
        <w:t>[</w:t>
      </w:r>
      <w:r>
        <w:br/>
        <w:t>\boxed{</w:t>
      </w:r>
      <w:r>
        <w:br/>
        <w:t>\Delta_I^{|\cdot|}(z_i,z_j)</w:t>
      </w:r>
      <w:r>
        <w:br/>
        <w:t>:=</w:t>
      </w:r>
      <w:r>
        <w:br/>
        <w:t>\left|</w:t>
      </w:r>
      <w:r>
        <w:br/>
        <w:t>I_F(z_j)-I_F(z_i)</w:t>
      </w:r>
      <w:r>
        <w:br/>
        <w:t>\right|.</w:t>
      </w:r>
      <w:r>
        <w:br/>
        <w:t>}</w:t>
      </w:r>
      <w:r>
        <w:br/>
        <w:t>\tag{3.10528}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\boxed{\Delta_I^{\|\cdot\|}(z_i,z_j):=\left\|I_F(z_j)-I_F(z_i)\right\|.}</w:t>
      </w:r>
    </w:p>
    <w:p w:rsidR="009A2130" w:rsidRDefault="009A2130" w:rsidP="009A2130">
      <w:pPr>
        <w:pStyle w:val="StandardWeb"/>
      </w:pPr>
      <w:r>
        <w:t>Die Wahl der Norm gehört zur mathematischen Modellstruktur und darf nicht als selbstverständlich vorausgesetzt werden.</w:t>
      </w:r>
    </w:p>
    <w:p w:rsidR="009A2130" w:rsidRDefault="00E50336" w:rsidP="009A2130">
      <w:r>
        <w:pict>
          <v:rect id="_x0000_i3359" style="width:0;height:1.5pt" o:hralign="center" o:hrstd="t" o:hr="t" fillcolor="#a0a0a0" stroked="f"/>
        </w:pict>
      </w:r>
    </w:p>
    <w:p w:rsidR="009A2130" w:rsidRDefault="009A2130" w:rsidP="009A2130">
      <w:pPr>
        <w:pStyle w:val="berschrift1"/>
      </w:pPr>
      <w:r>
        <w:t>3.3.45.262 Normabhängigkeit</w:t>
      </w:r>
    </w:p>
    <w:p w:rsidR="009A2130" w:rsidRDefault="009A2130" w:rsidP="009A2130">
      <w:pPr>
        <w:pStyle w:val="StandardWeb"/>
      </w:pPr>
      <w:r>
        <w:t>Für unterschiedliche Normen</w:t>
      </w:r>
    </w:p>
    <w:p w:rsidR="009A2130" w:rsidRDefault="009A2130" w:rsidP="009A2130">
      <w:pPr>
        <w:pStyle w:val="StandardWeb"/>
      </w:pPr>
      <w:r>
        <w:t>[</w:t>
      </w:r>
      <w:r>
        <w:br/>
        <w:t>|\cdot|_a</w:t>
      </w:r>
      <w:r>
        <w:br/>
        <w:t>\qquad\text{und}\qquad</w:t>
      </w:r>
      <w:r>
        <w:br/>
        <w:t>|\cdot|_b</w:t>
      </w:r>
      <w:r>
        <w:br/>
        <w:t>\tag{3.10529}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\|\cdot\|_a\qquad\text{und}\qquad\|\cdot\|_b</w:t>
      </w:r>
    </w:p>
    <w:p w:rsidR="009A2130" w:rsidRDefault="009A2130" w:rsidP="009A2130">
      <w:pPr>
        <w:pStyle w:val="StandardWeb"/>
      </w:pPr>
      <w:r>
        <w:t>können verschiedene numerische Abweichungswerte entstehen:</w:t>
      </w:r>
    </w:p>
    <w:p w:rsidR="009A2130" w:rsidRDefault="009A2130" w:rsidP="009A2130">
      <w:pPr>
        <w:pStyle w:val="StandardWeb"/>
      </w:pPr>
      <w:r>
        <w:t>[</w:t>
      </w:r>
      <w:r>
        <w:br/>
        <w:t>\Delta_I^{(a)}</w:t>
      </w:r>
      <w:r>
        <w:br/>
        <w:t>\neq</w:t>
      </w:r>
      <w:r>
        <w:br/>
        <w:t>\Delta_I^{(b)}.</w:t>
      </w:r>
      <w:r>
        <w:br/>
        <w:t>\tag{3.10530}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\Delta_I^{(a)}\neq\Delta_I^{(b)}</w:t>
      </w:r>
    </w:p>
    <w:p w:rsidR="009A2130" w:rsidRDefault="009A2130" w:rsidP="009A2130">
      <w:pPr>
        <w:pStyle w:val="StandardWeb"/>
      </w:pPr>
      <w:r>
        <w:t>Damit ist auch die Wahl der Norm Teil der Operationalisierung.</w:t>
      </w:r>
    </w:p>
    <w:p w:rsidR="009A2130" w:rsidRDefault="00E50336" w:rsidP="009A2130">
      <w:r>
        <w:pict>
          <v:rect id="_x0000_i3360" style="width:0;height:1.5pt" o:hralign="center" o:hrstd="t" o:hr="t" fillcolor="#a0a0a0" stroked="f"/>
        </w:pict>
      </w:r>
    </w:p>
    <w:p w:rsidR="009A2130" w:rsidRDefault="009A2130" w:rsidP="009A2130">
      <w:pPr>
        <w:pStyle w:val="berschrift1"/>
      </w:pPr>
      <w:r>
        <w:lastRenderedPageBreak/>
        <w:t>3.3.45.263 Übergangsweise Invarianzverletzung</w:t>
      </w:r>
    </w:p>
    <w:p w:rsidR="009A2130" w:rsidRDefault="009A2130" w:rsidP="009A2130">
      <w:pPr>
        <w:pStyle w:val="StandardWeb"/>
      </w:pPr>
      <w:r>
        <w:t>Ich kann nun explizit kennzeichnen, ob ein einzelner Übergang eine vorgegebene Toleranz verletzt.</w:t>
      </w:r>
    </w:p>
    <w:p w:rsidR="009A2130" w:rsidRDefault="009A2130" w:rsidP="009A2130">
      <w:pPr>
        <w:pStyle w:val="StandardWeb"/>
      </w:pPr>
      <w:r>
        <w:t>Dazu definiere ich eine Indikatorfunktion</w:t>
      </w:r>
    </w:p>
    <w:p w:rsidR="009A2130" w:rsidRDefault="009A2130" w:rsidP="009A2130">
      <w:pPr>
        <w:pStyle w:val="StandardWeb"/>
      </w:pPr>
      <w:r>
        <w:t>[</w:t>
      </w:r>
      <w:r>
        <w:br/>
        <w:t>V_I^{(\varepsilon)}(z_i,z_j)</w:t>
      </w:r>
      <w:r>
        <w:br/>
        <w:t>\in</w:t>
      </w:r>
      <w:r>
        <w:br/>
        <w:t>{0,1}.</w:t>
      </w:r>
      <w:r>
        <w:br/>
        <w:t>\tag{3.10531}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V_I^{(\varepsilon)}(z_i,z_j)\in\{0,1\}</w:t>
      </w:r>
    </w:p>
    <w:p w:rsidR="009A2130" w:rsidRDefault="00E50336" w:rsidP="009A2130">
      <w:r>
        <w:pict>
          <v:rect id="_x0000_i3361" style="width:0;height:1.5pt" o:hralign="center" o:hrstd="t" o:hr="t" fillcolor="#a0a0a0" stroked="f"/>
        </w:pict>
      </w:r>
    </w:p>
    <w:p w:rsidR="009A2130" w:rsidRDefault="009A2130" w:rsidP="009A2130">
      <w:pPr>
        <w:pStyle w:val="berschrift1"/>
      </w:pPr>
      <w:r>
        <w:t>3.3.45.264 Definition 3.3.146 – Indikator einer Invarianzverletzung</w:t>
      </w:r>
    </w:p>
    <w:p w:rsidR="009A2130" w:rsidRDefault="009A2130" w:rsidP="009A2130">
      <w:pPr>
        <w:pStyle w:val="berschrift3"/>
      </w:pPr>
      <w:r>
        <w:t>Definition 3.3.146</w:t>
      </w:r>
    </w:p>
    <w:p w:rsidR="009A2130" w:rsidRDefault="009A2130" w:rsidP="009A2130">
      <w:pPr>
        <w:pStyle w:val="StandardWeb"/>
      </w:pPr>
      <w:r>
        <w:t>Für einen Toleranzwert (\varepsilon_I) definiere ich</w:t>
      </w:r>
    </w:p>
    <w:p w:rsidR="009A2130" w:rsidRDefault="009A2130" w:rsidP="009A2130">
      <w:pPr>
        <w:pStyle w:val="berschrift1"/>
      </w:pPr>
      <w:r>
        <w:t>[</w:t>
      </w:r>
      <w:r>
        <w:br/>
        <w:t>\boxed{</w:t>
      </w:r>
      <w:r>
        <w:br/>
        <w:t>V_I^{(\varepsilon_I)}(z_i,z_j)</w:t>
      </w:r>
    </w:p>
    <w:p w:rsidR="009A2130" w:rsidRDefault="009A2130" w:rsidP="009A2130">
      <w:pPr>
        <w:pStyle w:val="StandardWeb"/>
      </w:pPr>
      <w:r>
        <w:t>\begin{cases}</w:t>
      </w:r>
      <w:r>
        <w:br/>
        <w:t>0,&amp;\Delta_I(z_i,z_j)\leq\varepsilon_I,\</w:t>
      </w:r>
      <w:r>
        <w:br/>
        <w:t>1,&amp;\Delta_I(z_i,z_j)&gt;\varepsilon_I.</w:t>
      </w:r>
      <w:r>
        <w:br/>
        <w:t>\end{cases}</w:t>
      </w:r>
      <w:r>
        <w:br/>
        <w:t>}</w:t>
      </w:r>
      <w:r>
        <w:br/>
        <w:t>\tag{3.10532}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\boxed{V_I^{(\varepsilon_I)}(z_i,z_j)=\begin{cases}0,&amp;\Delta_I(z_i,z_j)\leq\varepsilon_I,\\1,&amp;\Delta_I(z_i,z_j)&gt;\varepsilon_I.\end{cases}}</w:t>
      </w:r>
    </w:p>
    <w:p w:rsidR="009A2130" w:rsidRDefault="009A2130" w:rsidP="009A2130">
      <w:pPr>
        <w:pStyle w:val="StandardWeb"/>
      </w:pPr>
      <w:r>
        <w:t>Dabei bedeutet (1) eine Verletzung der gewählten approximativen Invarianzbedingung.</w:t>
      </w:r>
    </w:p>
    <w:p w:rsidR="009A2130" w:rsidRDefault="00E50336" w:rsidP="009A2130">
      <w:r>
        <w:pict>
          <v:rect id="_x0000_i3362" style="width:0;height:1.5pt" o:hralign="center" o:hrstd="t" o:hr="t" fillcolor="#a0a0a0" stroked="f"/>
        </w:pict>
      </w:r>
    </w:p>
    <w:p w:rsidR="009A2130" w:rsidRDefault="009A2130" w:rsidP="009A2130">
      <w:pPr>
        <w:pStyle w:val="berschrift1"/>
      </w:pPr>
      <w:r>
        <w:lastRenderedPageBreak/>
        <w:t>3.3.45.265 Verletzungsmenge</w:t>
      </w:r>
    </w:p>
    <w:p w:rsidR="009A2130" w:rsidRDefault="009A2130" w:rsidP="009A2130">
      <w:pPr>
        <w:pStyle w:val="StandardWeb"/>
      </w:pPr>
      <w:r>
        <w:t>Die Menge aller verletzenden Übergänge ist</w:t>
      </w:r>
    </w:p>
    <w:p w:rsidR="009A2130" w:rsidRDefault="009A2130" w:rsidP="009A2130">
      <w:pPr>
        <w:pStyle w:val="berschrift1"/>
      </w:pPr>
      <w:r>
        <w:t>[</w:t>
      </w:r>
      <w:r>
        <w:br/>
        <w:t>\mathcal V_I^{(\varepsilon_I)}</w:t>
      </w:r>
    </w:p>
    <w:p w:rsidR="009A2130" w:rsidRDefault="009A2130" w:rsidP="009A2130">
      <w:pPr>
        <w:pStyle w:val="StandardWeb"/>
      </w:pPr>
      <w:r>
        <w:t>\left{</w:t>
      </w:r>
      <w:r>
        <w:br/>
        <w:t>(z_i,z_j)\in\mathcal T_F:</w:t>
      </w:r>
      <w:r>
        <w:br/>
        <w:t>\Delta_I(z_i,z_j)&gt;\varepsilon_I</w:t>
      </w:r>
      <w:r>
        <w:br/>
        <w:t>\right}.</w:t>
      </w:r>
      <w:r>
        <w:br/>
        <w:t>\tag{3.10533}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\mathcal V_I^{(\varepsilon_I)}=\left\{(z_i,z_j)\in\mathcal T_F:\Delta_I(z_i,z_j)&gt;\varepsilon_I\right\}</w:t>
      </w:r>
    </w:p>
    <w:p w:rsidR="009A2130" w:rsidRDefault="00E50336" w:rsidP="009A2130">
      <w:r>
        <w:pict>
          <v:rect id="_x0000_i3363" style="width:0;height:1.5pt" o:hralign="center" o:hrstd="t" o:hr="t" fillcolor="#a0a0a0" stroked="f"/>
        </w:pict>
      </w:r>
    </w:p>
    <w:p w:rsidR="009A2130" w:rsidRDefault="009A2130" w:rsidP="009A2130">
      <w:pPr>
        <w:pStyle w:val="berschrift1"/>
      </w:pPr>
      <w:r>
        <w:t>3.3.45.266 Definition 3.3.147 – Funktionale Invarianzverletzungsmenge</w:t>
      </w:r>
    </w:p>
    <w:p w:rsidR="009A2130" w:rsidRDefault="009A2130" w:rsidP="009A2130">
      <w:pPr>
        <w:pStyle w:val="berschrift3"/>
      </w:pPr>
      <w:r>
        <w:t>Definition 3.3.147</w:t>
      </w:r>
    </w:p>
    <w:p w:rsidR="009A2130" w:rsidRDefault="009A2130" w:rsidP="009A2130">
      <w:pPr>
        <w:pStyle w:val="StandardWeb"/>
      </w:pPr>
      <w:r>
        <w:t>Ich definiere</w:t>
      </w:r>
    </w:p>
    <w:p w:rsidR="009A2130" w:rsidRDefault="009A2130" w:rsidP="009A2130">
      <w:pPr>
        <w:pStyle w:val="StandardWeb"/>
      </w:pPr>
      <w:r>
        <w:t>[</w:t>
      </w:r>
      <w:r>
        <w:br/>
        <w:t>\boxed{</w:t>
      </w:r>
      <w:r>
        <w:br/>
        <w:t>\mathcal V_I^{(\varepsilon_I)}</w:t>
      </w:r>
      <w:r>
        <w:br/>
        <w:t>:=</w:t>
      </w:r>
      <w:r>
        <w:br/>
        <w:t>\left{</w:t>
      </w:r>
      <w:r>
        <w:br/>
        <w:t>(z_i,z_j)\in\mathcal T_F:</w:t>
      </w:r>
      <w:r>
        <w:br/>
        <w:t>\Delta_I(z_i,z_j)&gt;\varepsilon_I</w:t>
      </w:r>
      <w:r>
        <w:br/>
        <w:t>\right}.</w:t>
      </w:r>
      <w:r>
        <w:br/>
        <w:t>}</w:t>
      </w:r>
      <w:r>
        <w:br/>
        <w:t>\tag{3.10534}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\boxed{\mathcal V_I^{(\varepsilon_I)}:=\left\{(z_i,z_j)\in\mathcal T_F:\Delta_I(z_i,z_j)&gt;\varepsilon_I\right\}.}</w:t>
      </w:r>
    </w:p>
    <w:p w:rsidR="009A2130" w:rsidRDefault="009A2130" w:rsidP="009A2130">
      <w:pPr>
        <w:pStyle w:val="StandardWeb"/>
      </w:pPr>
      <w:r>
        <w:t>Exakte beziehungsweise approximative Invarianz kann damit über die Leere dieser Menge geprüft werden.</w:t>
      </w:r>
    </w:p>
    <w:p w:rsidR="009A2130" w:rsidRDefault="00E50336" w:rsidP="009A2130">
      <w:r>
        <w:pict>
          <v:rect id="_x0000_i3364" style="width:0;height:1.5pt" o:hralign="center" o:hrstd="t" o:hr="t" fillcolor="#a0a0a0" stroked="f"/>
        </w:pict>
      </w:r>
    </w:p>
    <w:p w:rsidR="009A2130" w:rsidRDefault="009A2130" w:rsidP="009A2130">
      <w:pPr>
        <w:pStyle w:val="berschrift1"/>
      </w:pPr>
      <w:r>
        <w:lastRenderedPageBreak/>
        <w:t>3.3.45.267 Satz 3.3.66 – Charakterisierung approximativer Invarianz durch die Verletzungsmenge</w:t>
      </w:r>
    </w:p>
    <w:p w:rsidR="009A2130" w:rsidRDefault="009A2130" w:rsidP="009A2130">
      <w:pPr>
        <w:pStyle w:val="berschrift3"/>
      </w:pPr>
      <w:r>
        <w:t>Satz 3.3.66</w:t>
      </w:r>
    </w:p>
    <w:p w:rsidR="009A2130" w:rsidRDefault="009A2130" w:rsidP="009A2130">
      <w:pPr>
        <w:pStyle w:val="StandardWeb"/>
      </w:pPr>
      <w:r>
        <w:t>Es gilt</w:t>
      </w:r>
    </w:p>
    <w:p w:rsidR="009A2130" w:rsidRDefault="009A2130" w:rsidP="009A2130">
      <w:pPr>
        <w:pStyle w:val="berschrift1"/>
      </w:pPr>
      <w:r>
        <w:t>[</w:t>
      </w:r>
      <w:r>
        <w:br/>
        <w:t>\boxed{</w:t>
      </w:r>
      <w:r>
        <w:br/>
        <w:t>I_F</w:t>
      </w:r>
      <w:r>
        <w:br/>
        <w:t>\in</w:t>
      </w:r>
      <w:r>
        <w:br/>
        <w:t>\mathcal I_F^{(\varepsilon_I)}(\mathcal M)</w:t>
      </w:r>
      <w:r>
        <w:br/>
        <w:t>\Longleftrightarrow</w:t>
      </w:r>
      <w:r>
        <w:br/>
        <w:t>\mathcal V_I^{(\varepsilon_I)}</w:t>
      </w:r>
    </w:p>
    <w:p w:rsidR="009A2130" w:rsidRDefault="009A2130" w:rsidP="009A2130">
      <w:pPr>
        <w:pStyle w:val="StandardWeb"/>
      </w:pPr>
      <w:r>
        <w:t>\varnothing.</w:t>
      </w:r>
      <w:r>
        <w:br/>
        <w:t>}</w:t>
      </w:r>
      <w:r>
        <w:br/>
        <w:t>\tag{3.10535}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\boxed{I_F\in\mathcal I_F^{(\varepsilon_I)}(\mathcal M)\Longleftrightarrow\mathcal V_I^{(\varepsilon_I)}=\varnothing.}</w:t>
      </w:r>
    </w:p>
    <w:p w:rsidR="009A2130" w:rsidRDefault="009A2130" w:rsidP="009A2130">
      <w:pPr>
        <w:pStyle w:val="berschrift3"/>
      </w:pPr>
      <w:r>
        <w:t>Beweis</w:t>
      </w:r>
    </w:p>
    <w:p w:rsidR="009A2130" w:rsidRDefault="009A2130" w:rsidP="009A2130">
      <w:pPr>
        <w:pStyle w:val="StandardWeb"/>
      </w:pPr>
      <w:r>
        <w:t>Nach Definition ist (I_F) genau dann (\varepsilon_I)-invariant, wenn auf keinem zulässigen Übergang die Abweichung größer als (\varepsilon_I) ist. Dies ist äquivalent zur Leere der Verletzungsmenge. (\square)</w:t>
      </w:r>
    </w:p>
    <w:p w:rsidR="009A2130" w:rsidRDefault="00E50336" w:rsidP="009A2130">
      <w:r>
        <w:pict>
          <v:rect id="_x0000_i3365" style="width:0;height:1.5pt" o:hralign="center" o:hrstd="t" o:hr="t" fillcolor="#a0a0a0" stroked="f"/>
        </w:pict>
      </w:r>
    </w:p>
    <w:p w:rsidR="009A2130" w:rsidRDefault="009A2130" w:rsidP="009A2130">
      <w:pPr>
        <w:pStyle w:val="berschrift1"/>
      </w:pPr>
      <w:r>
        <w:t>3.3.45.268 Verletzungsrate</w:t>
      </w:r>
    </w:p>
    <w:p w:rsidR="009A2130" w:rsidRDefault="009A2130" w:rsidP="009A2130">
      <w:pPr>
        <w:pStyle w:val="StandardWeb"/>
      </w:pPr>
      <w:r>
        <w:t>Für eine endliche Übergangsmenge kann ich die relative Häufigkeit verletzender Übergänge definieren:</w:t>
      </w:r>
    </w:p>
    <w:p w:rsidR="009A2130" w:rsidRDefault="009A2130" w:rsidP="009A2130">
      <w:pPr>
        <w:pStyle w:val="berschrift1"/>
      </w:pPr>
      <w:r>
        <w:t>[</w:t>
      </w:r>
      <w:r>
        <w:br/>
        <w:t>r_I^{(\varepsilon_I)}</w:t>
      </w:r>
    </w:p>
    <w:p w:rsidR="009A2130" w:rsidRDefault="009A2130" w:rsidP="009A2130">
      <w:pPr>
        <w:pStyle w:val="StandardWeb"/>
      </w:pPr>
      <w:r>
        <w:t>\frac{</w:t>
      </w:r>
      <w:r>
        <w:br/>
        <w:t>|\mathcal V_I^{(\varepsilon_I)}|</w:t>
      </w:r>
      <w:r>
        <w:br/>
      </w:r>
      <w:r>
        <w:lastRenderedPageBreak/>
        <w:t>}{</w:t>
      </w:r>
      <w:r>
        <w:br/>
        <w:t>|\mathcal T_F|</w:t>
      </w:r>
      <w:r>
        <w:br/>
        <w:t>}.</w:t>
      </w:r>
      <w:r>
        <w:br/>
        <w:t>\tag{3.10536}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r_I^{(\varepsilon_I)}=\frac{|\mathcal V_I^{(\varepsilon_I)}|}{|\mathcal T_F|}</w:t>
      </w:r>
    </w:p>
    <w:p w:rsidR="009A2130" w:rsidRDefault="00E50336" w:rsidP="009A2130">
      <w:r>
        <w:pict>
          <v:rect id="_x0000_i3366" style="width:0;height:1.5pt" o:hralign="center" o:hrstd="t" o:hr="t" fillcolor="#a0a0a0" stroked="f"/>
        </w:pict>
      </w:r>
    </w:p>
    <w:p w:rsidR="009A2130" w:rsidRDefault="009A2130" w:rsidP="009A2130">
      <w:pPr>
        <w:pStyle w:val="berschrift1"/>
      </w:pPr>
      <w:r>
        <w:t>3.3.45.269 Definition 3.3.148 – Funktionale Invarianzverletzungsrate</w:t>
      </w:r>
    </w:p>
    <w:p w:rsidR="009A2130" w:rsidRDefault="009A2130" w:rsidP="009A2130">
      <w:pPr>
        <w:pStyle w:val="berschrift3"/>
      </w:pPr>
      <w:r>
        <w:t>Definition 3.3.148</w:t>
      </w:r>
    </w:p>
    <w:p w:rsidR="009A2130" w:rsidRDefault="009A2130" w:rsidP="009A2130">
      <w:pPr>
        <w:pStyle w:val="StandardWeb"/>
      </w:pPr>
      <w:r>
        <w:t>Für eine endliche und nichtleere Übergangsmenge definiere ich</w:t>
      </w:r>
    </w:p>
    <w:p w:rsidR="009A2130" w:rsidRDefault="009A2130" w:rsidP="009A2130">
      <w:pPr>
        <w:pStyle w:val="StandardWeb"/>
      </w:pPr>
      <w:r>
        <w:t>[</w:t>
      </w:r>
      <w:r>
        <w:br/>
        <w:t>\boxed{</w:t>
      </w:r>
      <w:r>
        <w:br/>
        <w:t>r_I^{(\varepsilon_I)}</w:t>
      </w:r>
      <w:r>
        <w:br/>
        <w:t>:=</w:t>
      </w:r>
      <w:r>
        <w:br/>
        <w:t>\frac{</w:t>
      </w:r>
      <w:r>
        <w:br/>
        <w:t>|\mathcal V_I^{(\varepsilon_I)}|</w:t>
      </w:r>
      <w:r>
        <w:br/>
        <w:t>}{</w:t>
      </w:r>
      <w:r>
        <w:br/>
        <w:t>|\mathcal T_F|</w:t>
      </w:r>
      <w:r>
        <w:br/>
        <w:t>}.</w:t>
      </w:r>
      <w:r>
        <w:br/>
        <w:t>}</w:t>
      </w:r>
      <w:r>
        <w:br/>
        <w:t>\tag{3.10537}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\boxed{r_I^{(\varepsilon_I)}:=\frac{|\mathcal V_I^{(\varepsilon_I)}|}{|\mathcal T_F|}.}</w:t>
      </w:r>
    </w:p>
    <w:p w:rsidR="009A2130" w:rsidRDefault="009A2130" w:rsidP="009A2130">
      <w:pPr>
        <w:pStyle w:val="StandardWeb"/>
      </w:pPr>
      <w:r>
        <w:t>Es gilt</w:t>
      </w:r>
    </w:p>
    <w:p w:rsidR="009A2130" w:rsidRDefault="009A2130" w:rsidP="009A2130">
      <w:pPr>
        <w:pStyle w:val="StandardWeb"/>
      </w:pPr>
      <w:r>
        <w:t>[</w:t>
      </w:r>
      <w:r>
        <w:br/>
        <w:t>0</w:t>
      </w:r>
      <w:r>
        <w:br/>
        <w:t>\leq</w:t>
      </w:r>
      <w:r>
        <w:br/>
        <w:t>r_I^{(\varepsilon_I)}</w:t>
      </w:r>
      <w:r>
        <w:br/>
        <w:t>\leq</w:t>
      </w:r>
      <w:r>
        <w:br/>
        <w:t>1.</w:t>
      </w:r>
      <w:r>
        <w:br/>
        <w:t>\tag{3.10538}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0\leq r_I^{(\varepsilon_I)}\leq1</w:t>
      </w:r>
    </w:p>
    <w:p w:rsidR="009A2130" w:rsidRDefault="00E50336" w:rsidP="009A2130">
      <w:r>
        <w:lastRenderedPageBreak/>
        <w:pict>
          <v:rect id="_x0000_i3367" style="width:0;height:1.5pt" o:hralign="center" o:hrstd="t" o:hr="t" fillcolor="#a0a0a0" stroked="f"/>
        </w:pict>
      </w:r>
    </w:p>
    <w:p w:rsidR="009A2130" w:rsidRDefault="009A2130" w:rsidP="009A2130">
      <w:pPr>
        <w:pStyle w:val="berschrift1"/>
      </w:pPr>
      <w:r>
        <w:t>3.3.45.270 Exakte beziehungsweise vollständige approximative Invarianz</w:t>
      </w:r>
    </w:p>
    <w:p w:rsidR="009A2130" w:rsidRDefault="009A2130" w:rsidP="009A2130">
      <w:pPr>
        <w:pStyle w:val="StandardWeb"/>
      </w:pPr>
      <w:r>
        <w:t>Für</w:t>
      </w:r>
    </w:p>
    <w:p w:rsidR="009A2130" w:rsidRDefault="009A2130" w:rsidP="009A2130">
      <w:pPr>
        <w:pStyle w:val="StandardWeb"/>
      </w:pPr>
      <w:r>
        <w:t>[</w:t>
      </w:r>
      <w:r>
        <w:br/>
        <w:t>r_I^{(\varepsilon_I)}=0</w:t>
      </w:r>
      <w:r>
        <w:br/>
        <w:t>\tag{3.10539}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r_I^{(\varepsilon_I)}=0</w:t>
      </w:r>
    </w:p>
    <w:p w:rsidR="009A2130" w:rsidRDefault="009A2130" w:rsidP="009A2130">
      <w:pPr>
        <w:pStyle w:val="StandardWeb"/>
      </w:pPr>
      <w:r>
        <w:t>liegt keine Verletzung der gewählten Toleranz vor.</w:t>
      </w:r>
    </w:p>
    <w:p w:rsidR="009A2130" w:rsidRDefault="009A2130" w:rsidP="009A2130">
      <w:pPr>
        <w:pStyle w:val="StandardWeb"/>
      </w:pPr>
      <w:r>
        <w:t>Für</w:t>
      </w:r>
    </w:p>
    <w:p w:rsidR="009A2130" w:rsidRDefault="009A2130" w:rsidP="009A2130">
      <w:pPr>
        <w:pStyle w:val="StandardWeb"/>
      </w:pPr>
      <w:r>
        <w:t>[</w:t>
      </w:r>
      <w:r>
        <w:br/>
        <w:t>r_I^{(\varepsilon_I)}=1</w:t>
      </w:r>
      <w:r>
        <w:br/>
        <w:t>\tag{3.10540}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r_I^{(\varepsilon_I)}=1</w:t>
      </w:r>
    </w:p>
    <w:p w:rsidR="009A2130" w:rsidRDefault="009A2130" w:rsidP="009A2130">
      <w:pPr>
        <w:pStyle w:val="StandardWeb"/>
      </w:pPr>
      <w:r>
        <w:t>verletzen dagegen sämtliche betrachteten Übergänge die vorgegebene Toleranz.</w:t>
      </w:r>
    </w:p>
    <w:p w:rsidR="009A2130" w:rsidRDefault="00E50336" w:rsidP="009A2130">
      <w:r>
        <w:pict>
          <v:rect id="_x0000_i3368" style="width:0;height:1.5pt" o:hralign="center" o:hrstd="t" o:hr="t" fillcolor="#a0a0a0" stroked="f"/>
        </w:pict>
      </w:r>
    </w:p>
    <w:p w:rsidR="009A2130" w:rsidRDefault="009A2130" w:rsidP="009A2130">
      <w:pPr>
        <w:pStyle w:val="berschrift1"/>
      </w:pPr>
      <w:r>
        <w:t>3.3.45.271 Mittlere Invarianzabweichung</w:t>
      </w:r>
    </w:p>
    <w:p w:rsidR="009A2130" w:rsidRDefault="009A2130" w:rsidP="009A2130">
      <w:pPr>
        <w:pStyle w:val="StandardWeb"/>
      </w:pPr>
      <w:r>
        <w:t>Neben der Verletzungsrate ist die durchschnittliche Größe der Abweichung relevant.</w:t>
      </w:r>
    </w:p>
    <w:p w:rsidR="009A2130" w:rsidRDefault="009A2130" w:rsidP="009A2130">
      <w:pPr>
        <w:pStyle w:val="StandardWeb"/>
      </w:pPr>
      <w:r>
        <w:t>Für eine endliche nichtleere Übergangsmenge definiere ich</w:t>
      </w:r>
    </w:p>
    <w:p w:rsidR="009A2130" w:rsidRDefault="009A2130" w:rsidP="009A2130">
      <w:pPr>
        <w:pStyle w:val="berschrift1"/>
      </w:pPr>
      <w:r>
        <w:t>[</w:t>
      </w:r>
      <w:r>
        <w:br/>
        <w:t>\overline{\Delta}_I</w:t>
      </w:r>
    </w:p>
    <w:p w:rsidR="009A2130" w:rsidRDefault="009A2130" w:rsidP="009A2130">
      <w:pPr>
        <w:pStyle w:val="StandardWeb"/>
      </w:pPr>
      <w:r>
        <w:t>\frac{1}{|\mathcal T_F|}</w:t>
      </w:r>
      <w:r>
        <w:br/>
        <w:t>\sum_{(z_i,z_j)\in\mathcal T_F}</w:t>
      </w:r>
      <w:r>
        <w:br/>
        <w:t>\Delta_I(z_i,z_j).</w:t>
      </w:r>
      <w:r>
        <w:br/>
        <w:t>\tag{3.10541}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lastRenderedPageBreak/>
        <w:t>\overline{\Delta}_I=\frac{1}{|\mathcal T_F|}\sum_{(z_i,z_j)\in\mathcal T_F}\Delta_I(z_i,z_j)</w:t>
      </w:r>
    </w:p>
    <w:p w:rsidR="009A2130" w:rsidRDefault="00E50336" w:rsidP="009A2130">
      <w:r>
        <w:pict>
          <v:rect id="_x0000_i3369" style="width:0;height:1.5pt" o:hralign="center" o:hrstd="t" o:hr="t" fillcolor="#a0a0a0" stroked="f"/>
        </w:pict>
      </w:r>
    </w:p>
    <w:p w:rsidR="009A2130" w:rsidRDefault="009A2130" w:rsidP="009A2130">
      <w:pPr>
        <w:pStyle w:val="berschrift1"/>
      </w:pPr>
      <w:r>
        <w:t>3.3.45.272 Definition 3.3.149 – Mittlere funktionale Invarianzabweichung</w:t>
      </w:r>
    </w:p>
    <w:p w:rsidR="009A2130" w:rsidRDefault="009A2130" w:rsidP="009A2130">
      <w:pPr>
        <w:pStyle w:val="berschrift3"/>
      </w:pPr>
      <w:r>
        <w:t>Definition 3.3.149</w:t>
      </w:r>
    </w:p>
    <w:p w:rsidR="009A2130" w:rsidRDefault="009A2130" w:rsidP="009A2130">
      <w:pPr>
        <w:pStyle w:val="StandardWeb"/>
      </w:pPr>
      <w:r>
        <w:t>Für eine endliche nichtleere Übergangsmenge definiere ich</w:t>
      </w:r>
    </w:p>
    <w:p w:rsidR="009A2130" w:rsidRDefault="009A2130" w:rsidP="009A2130">
      <w:pPr>
        <w:pStyle w:val="StandardWeb"/>
      </w:pPr>
      <w:r>
        <w:t>[</w:t>
      </w:r>
      <w:r>
        <w:br/>
        <w:t>\boxed{</w:t>
      </w:r>
      <w:r>
        <w:br/>
        <w:t>\overline{\Delta}</w:t>
      </w:r>
      <w:r>
        <w:rPr>
          <w:rStyle w:val="Hervorhebung"/>
        </w:rPr>
        <w:t>I</w:t>
      </w:r>
      <w:r>
        <w:rPr>
          <w:i/>
          <w:iCs/>
        </w:rPr>
        <w:br/>
      </w:r>
      <w:r>
        <w:rPr>
          <w:rStyle w:val="Hervorhebung"/>
        </w:rPr>
        <w:t>:=</w:t>
      </w:r>
      <w:r>
        <w:rPr>
          <w:i/>
          <w:iCs/>
        </w:rPr>
        <w:br/>
      </w:r>
      <w:r>
        <w:rPr>
          <w:rStyle w:val="Hervorhebung"/>
        </w:rPr>
        <w:t>\frac{1}{|\mathcal T_F|}</w:t>
      </w:r>
      <w:r>
        <w:rPr>
          <w:i/>
          <w:iCs/>
        </w:rPr>
        <w:br/>
      </w:r>
      <w:r>
        <w:rPr>
          <w:rStyle w:val="Hervorhebung"/>
        </w:rPr>
        <w:t>\sum</w:t>
      </w:r>
      <w:r>
        <w:t>{(z_i,z_j)\in\mathcal T_F}</w:t>
      </w:r>
      <w:r>
        <w:br/>
        <w:t>\Delta_I(z_i,z_j).</w:t>
      </w:r>
      <w:r>
        <w:br/>
        <w:t>}</w:t>
      </w:r>
      <w:r>
        <w:br/>
        <w:t>\tag{3.10542}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\boxed{\overline{\Delta}_I:=\frac{1}{|\mathcal T_F|}\sum_{(z_i,z_j)\in\mathcal T_F}\Delta_I(z_i,z_j).}</w:t>
      </w:r>
    </w:p>
    <w:p w:rsidR="009A2130" w:rsidRDefault="009A2130" w:rsidP="009A2130">
      <w:pPr>
        <w:pStyle w:val="StandardWeb"/>
      </w:pPr>
      <w:r>
        <w:t>Diese Kennzahl beschreibt die mittlere Übergangsabweichung, nicht deren Extremwert.</w:t>
      </w:r>
    </w:p>
    <w:p w:rsidR="009A2130" w:rsidRDefault="00E50336" w:rsidP="009A2130">
      <w:r>
        <w:pict>
          <v:rect id="_x0000_i3370" style="width:0;height:1.5pt" o:hralign="center" o:hrstd="t" o:hr="t" fillcolor="#a0a0a0" stroked="f"/>
        </w:pict>
      </w:r>
    </w:p>
    <w:p w:rsidR="009A2130" w:rsidRDefault="009A2130" w:rsidP="009A2130">
      <w:pPr>
        <w:pStyle w:val="berschrift1"/>
      </w:pPr>
      <w:r>
        <w:t>3.3.45.273 Maximale Invarianzabweichung</w:t>
      </w:r>
    </w:p>
    <w:p w:rsidR="009A2130" w:rsidRDefault="009A2130" w:rsidP="009A2130">
      <w:pPr>
        <w:pStyle w:val="StandardWeb"/>
      </w:pPr>
      <w:r>
        <w:t>Die maximale beobachtete Abweichung ist</w:t>
      </w:r>
    </w:p>
    <w:p w:rsidR="009A2130" w:rsidRDefault="009A2130" w:rsidP="009A2130">
      <w:pPr>
        <w:pStyle w:val="berschrift1"/>
      </w:pPr>
      <w:r>
        <w:t>[</w:t>
      </w:r>
      <w:r>
        <w:br/>
        <w:t>\Delta_I^{\max}</w:t>
      </w:r>
    </w:p>
    <w:p w:rsidR="009A2130" w:rsidRDefault="009A2130" w:rsidP="009A2130">
      <w:pPr>
        <w:pStyle w:val="StandardWeb"/>
      </w:pPr>
      <w:r>
        <w:t>\max_{(z_i,z_j)\in\mathcal T_F}</w:t>
      </w:r>
      <w:r>
        <w:br/>
        <w:t>\Delta_I(z_i,z_j).</w:t>
      </w:r>
      <w:r>
        <w:br/>
        <w:t>\tag{3.10543}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\Delta_I^{\max}=\max_{(z_i,z_j)\in\mathcal T_F}\Delta_I(z_i,z_j)</w:t>
      </w:r>
    </w:p>
    <w:p w:rsidR="009A2130" w:rsidRDefault="00E50336" w:rsidP="009A2130">
      <w:r>
        <w:pict>
          <v:rect id="_x0000_i3371" style="width:0;height:1.5pt" o:hralign="center" o:hrstd="t" o:hr="t" fillcolor="#a0a0a0" stroked="f"/>
        </w:pict>
      </w:r>
    </w:p>
    <w:p w:rsidR="009A2130" w:rsidRDefault="009A2130" w:rsidP="009A2130">
      <w:pPr>
        <w:pStyle w:val="berschrift1"/>
      </w:pPr>
      <w:r>
        <w:lastRenderedPageBreak/>
        <w:t>3.3.45.274 Definition 3.3.150 – Maximale funktionale Invarianzabweichung</w:t>
      </w:r>
    </w:p>
    <w:p w:rsidR="009A2130" w:rsidRDefault="009A2130" w:rsidP="009A2130">
      <w:pPr>
        <w:pStyle w:val="berschrift3"/>
      </w:pPr>
      <w:r>
        <w:t>Definition 3.3.150</w:t>
      </w:r>
    </w:p>
    <w:p w:rsidR="009A2130" w:rsidRDefault="009A2130" w:rsidP="009A2130">
      <w:pPr>
        <w:pStyle w:val="StandardWeb"/>
      </w:pPr>
      <w:r>
        <w:t>Für eine endliche nichtleere Übergangsmenge definiere ich</w:t>
      </w:r>
    </w:p>
    <w:p w:rsidR="009A2130" w:rsidRDefault="009A2130" w:rsidP="009A2130">
      <w:pPr>
        <w:pStyle w:val="StandardWeb"/>
      </w:pPr>
      <w:r>
        <w:t>[</w:t>
      </w:r>
      <w:r>
        <w:br/>
        <w:t>\boxed{</w:t>
      </w:r>
      <w:r>
        <w:br/>
        <w:t>\Delta_I^{\max}</w:t>
      </w:r>
      <w:r>
        <w:br/>
        <w:t>:=</w:t>
      </w:r>
      <w:r>
        <w:br/>
        <w:t>\max_{(z_i,z_j)\in\mathcal T_F}</w:t>
      </w:r>
      <w:r>
        <w:br/>
        <w:t>\Delta_I(z_i,z_j).</w:t>
      </w:r>
      <w:r>
        <w:br/>
        <w:t>}</w:t>
      </w:r>
      <w:r>
        <w:br/>
        <w:t>\tag{3.10544}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\boxed{\Delta_I^{\max}:=\max_{(z_i,z_j)\in\mathcal T_F}\Delta_I(z_i,z_j).}</w:t>
      </w:r>
    </w:p>
    <w:p w:rsidR="009A2130" w:rsidRDefault="00E50336" w:rsidP="009A2130">
      <w:r>
        <w:pict>
          <v:rect id="_x0000_i3372" style="width:0;height:1.5pt" o:hralign="center" o:hrstd="t" o:hr="t" fillcolor="#a0a0a0" stroked="f"/>
        </w:pict>
      </w:r>
    </w:p>
    <w:p w:rsidR="009A2130" w:rsidRDefault="009A2130" w:rsidP="009A2130">
      <w:pPr>
        <w:pStyle w:val="berschrift1"/>
      </w:pPr>
      <w:r>
        <w:t>3.3.45.275 Charakterisierung über die maximale Abweichung</w:t>
      </w:r>
    </w:p>
    <w:p w:rsidR="009A2130" w:rsidRDefault="009A2130" w:rsidP="009A2130">
      <w:pPr>
        <w:pStyle w:val="StandardWeb"/>
      </w:pPr>
      <w:r>
        <w:t>Für endliche Übergangsmengen gilt</w:t>
      </w:r>
    </w:p>
    <w:p w:rsidR="009A2130" w:rsidRDefault="009A2130" w:rsidP="009A2130">
      <w:pPr>
        <w:pStyle w:val="StandardWeb"/>
      </w:pPr>
      <w:r>
        <w:t>[</w:t>
      </w:r>
      <w:r>
        <w:br/>
        <w:t>I_F</w:t>
      </w:r>
      <w:r>
        <w:br/>
        <w:t>\in</w:t>
      </w:r>
      <w:r>
        <w:br/>
        <w:t>\mathcal I_F^{(\varepsilon_I)}(\mathcal M)</w:t>
      </w:r>
      <w:r>
        <w:br/>
        <w:t>\Longleftrightarrow</w:t>
      </w:r>
      <w:r>
        <w:br/>
        <w:t>\Delta_I^{\max}</w:t>
      </w:r>
      <w:r>
        <w:br/>
        <w:t>\leq</w:t>
      </w:r>
      <w:r>
        <w:br/>
        <w:t>\varepsilon_I.</w:t>
      </w:r>
      <w:r>
        <w:br/>
        <w:t>\tag{3.10545}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I_F\in\mathcal I_F^{(\varepsilon_I)}(\mathcal M)\Longleftrightarrow\Delta_I^{\max}\leq\varepsilon_I</w:t>
      </w:r>
    </w:p>
    <w:p w:rsidR="009A2130" w:rsidRDefault="00E50336" w:rsidP="009A2130">
      <w:r>
        <w:pict>
          <v:rect id="_x0000_i3373" style="width:0;height:1.5pt" o:hralign="center" o:hrstd="t" o:hr="t" fillcolor="#a0a0a0" stroked="f"/>
        </w:pict>
      </w:r>
    </w:p>
    <w:p w:rsidR="009A2130" w:rsidRDefault="009A2130" w:rsidP="009A2130">
      <w:pPr>
        <w:pStyle w:val="berschrift1"/>
      </w:pPr>
      <w:r>
        <w:t>3.3.45.276 Satz 3.3.67 – Maximumskriterium approximativer Invarianz</w:t>
      </w:r>
    </w:p>
    <w:p w:rsidR="009A2130" w:rsidRDefault="009A2130" w:rsidP="009A2130">
      <w:pPr>
        <w:pStyle w:val="berschrift3"/>
      </w:pPr>
      <w:r>
        <w:t>Satz 3.3.67</w:t>
      </w:r>
    </w:p>
    <w:p w:rsidR="009A2130" w:rsidRDefault="009A2130" w:rsidP="009A2130">
      <w:pPr>
        <w:pStyle w:val="StandardWeb"/>
      </w:pPr>
      <w:r>
        <w:lastRenderedPageBreak/>
        <w:t>Für eine endliche nichtleere Übergangsmenge gilt</w:t>
      </w:r>
    </w:p>
    <w:p w:rsidR="009A2130" w:rsidRDefault="009A2130" w:rsidP="009A2130">
      <w:pPr>
        <w:pStyle w:val="StandardWeb"/>
      </w:pPr>
      <w:r>
        <w:t>[</w:t>
      </w:r>
      <w:r>
        <w:br/>
        <w:t>\boxed{</w:t>
      </w:r>
      <w:r>
        <w:br/>
        <w:t>I_F</w:t>
      </w:r>
      <w:r>
        <w:br/>
        <w:t>\in</w:t>
      </w:r>
      <w:r>
        <w:br/>
        <w:t>\mathcal I_F^{(\varepsilon_I)}(\mathcal M)</w:t>
      </w:r>
      <w:r>
        <w:br/>
        <w:t>\Longleftrightarrow</w:t>
      </w:r>
      <w:r>
        <w:br/>
        <w:t>\Delta_I^{\max}</w:t>
      </w:r>
      <w:r>
        <w:br/>
        <w:t>\leq</w:t>
      </w:r>
      <w:r>
        <w:br/>
        <w:t>\varepsilon_I.</w:t>
      </w:r>
      <w:r>
        <w:br/>
        <w:t>}</w:t>
      </w:r>
      <w:r>
        <w:br/>
        <w:t>\tag{3.10546}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\boxed{I_F\in\mathcal I_F^{(\varepsilon_I)}(\mathcal M)\Longleftrightarrow\Delta_I^{\max}\leq\varepsilon_I.}</w:t>
      </w:r>
    </w:p>
    <w:p w:rsidR="009A2130" w:rsidRDefault="009A2130" w:rsidP="009A2130">
      <w:pPr>
        <w:pStyle w:val="StandardWeb"/>
      </w:pPr>
      <w:r>
        <w:t>Der Satz überführt eine punktweise Bedingung in ein einziges Maximumskriterium.</w:t>
      </w:r>
    </w:p>
    <w:p w:rsidR="009A2130" w:rsidRDefault="00E50336" w:rsidP="009A2130">
      <w:r>
        <w:pict>
          <v:rect id="_x0000_i3374" style="width:0;height:1.5pt" o:hralign="center" o:hrstd="t" o:hr="t" fillcolor="#a0a0a0" stroked="f"/>
        </w:pict>
      </w:r>
    </w:p>
    <w:p w:rsidR="009A2130" w:rsidRDefault="009A2130" w:rsidP="009A2130">
      <w:pPr>
        <w:pStyle w:val="berschrift1"/>
      </w:pPr>
      <w:r>
        <w:t>3.3.45.277 Quantile der Invarianzabweichung</w:t>
      </w:r>
    </w:p>
    <w:p w:rsidR="009A2130" w:rsidRDefault="009A2130" w:rsidP="009A2130">
      <w:pPr>
        <w:pStyle w:val="StandardWeb"/>
      </w:pPr>
      <w:r>
        <w:t>Bei großen empirischen Datensätzen kann ein einzelner Ausreißer das Maximum dominieren.</w:t>
      </w:r>
    </w:p>
    <w:p w:rsidR="009A2130" w:rsidRDefault="009A2130" w:rsidP="009A2130">
      <w:pPr>
        <w:pStyle w:val="StandardWeb"/>
      </w:pPr>
      <w:r>
        <w:t>Daher kann ergänzend ein Quantil</w:t>
      </w:r>
    </w:p>
    <w:p w:rsidR="009A2130" w:rsidRDefault="009A2130" w:rsidP="009A2130">
      <w:pPr>
        <w:pStyle w:val="StandardWeb"/>
      </w:pPr>
      <w:r>
        <w:t>[</w:t>
      </w:r>
      <w:r>
        <w:br/>
        <w:t>Q_p(\Delta_I)</w:t>
      </w:r>
      <w:r>
        <w:br/>
        <w:t>\tag{3.10547}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Q_p(\Delta_I)</w:t>
      </w:r>
    </w:p>
    <w:p w:rsidR="009A2130" w:rsidRDefault="009A2130" w:rsidP="009A2130">
      <w:pPr>
        <w:pStyle w:val="StandardWeb"/>
      </w:pPr>
      <w:r>
        <w:t>für (0&lt;p&lt;1) verwendet werden.</w:t>
      </w:r>
    </w:p>
    <w:p w:rsidR="009A2130" w:rsidRDefault="009A2130" w:rsidP="009A2130">
      <w:pPr>
        <w:pStyle w:val="StandardWeb"/>
      </w:pPr>
      <w:r>
        <w:t>Diese Größe verändert jedoch nicht die Definition exakter oder (\varepsilon)-globaler Invarianz, sondern dient lediglich der robusteren empirischen Beschreibung.</w:t>
      </w:r>
    </w:p>
    <w:p w:rsidR="009A2130" w:rsidRDefault="00E50336" w:rsidP="009A2130">
      <w:r>
        <w:pict>
          <v:rect id="_x0000_i3375" style="width:0;height:1.5pt" o:hralign="center" o:hrstd="t" o:hr="t" fillcolor="#a0a0a0" stroked="f"/>
        </w:pict>
      </w:r>
    </w:p>
    <w:p w:rsidR="009A2130" w:rsidRDefault="009A2130" w:rsidP="009A2130">
      <w:pPr>
        <w:pStyle w:val="berschrift1"/>
      </w:pPr>
      <w:r>
        <w:t>3.3.45.278 Partielle Invarianz</w:t>
      </w:r>
    </w:p>
    <w:p w:rsidR="009A2130" w:rsidRDefault="009A2130" w:rsidP="009A2130">
      <w:pPr>
        <w:pStyle w:val="StandardWeb"/>
      </w:pPr>
      <w:r>
        <w:t>Eine weitere Möglichkeit besteht darin, Invarianz nicht auf der gesamten Übergangsrelation, sondern nur auf einer Teilrelation zu fordern.</w:t>
      </w:r>
    </w:p>
    <w:p w:rsidR="009A2130" w:rsidRDefault="009A2130" w:rsidP="009A2130">
      <w:pPr>
        <w:pStyle w:val="StandardWeb"/>
      </w:pPr>
      <w:r>
        <w:lastRenderedPageBreak/>
        <w:t>Sei</w:t>
      </w:r>
    </w:p>
    <w:p w:rsidR="009A2130" w:rsidRDefault="009A2130" w:rsidP="009A2130">
      <w:pPr>
        <w:pStyle w:val="StandardWeb"/>
      </w:pPr>
      <w:r>
        <w:t>[</w:t>
      </w:r>
      <w:r>
        <w:br/>
        <w:t>\mathcal T_F'</w:t>
      </w:r>
      <w:r>
        <w:br/>
        <w:t>\subseteq</w:t>
      </w:r>
      <w:r>
        <w:br/>
        <w:t>\mathcal T_F.</w:t>
      </w:r>
      <w:r>
        <w:br/>
        <w:t>\tag{3.10548}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\mathcal T_F'\subseteq\mathcal T_F</w:t>
      </w:r>
    </w:p>
    <w:p w:rsidR="009A2130" w:rsidRDefault="009A2130" w:rsidP="009A2130">
      <w:pPr>
        <w:pStyle w:val="StandardWeb"/>
      </w:pPr>
      <w:r>
        <w:t>Dann kann eine Größe auf (\mathcal T_F') exakt invariant sein, obwohl sie auf (\mathcal T_F) nicht invariant ist.</w:t>
      </w:r>
    </w:p>
    <w:p w:rsidR="009A2130" w:rsidRDefault="00E50336" w:rsidP="009A2130">
      <w:r>
        <w:pict>
          <v:rect id="_x0000_i3376" style="width:0;height:1.5pt" o:hralign="center" o:hrstd="t" o:hr="t" fillcolor="#a0a0a0" stroked="f"/>
        </w:pict>
      </w:r>
    </w:p>
    <w:p w:rsidR="009A2130" w:rsidRDefault="009A2130" w:rsidP="009A2130">
      <w:pPr>
        <w:pStyle w:val="berschrift1"/>
      </w:pPr>
      <w:r>
        <w:t>3.3.45.279 Definition 3.3.151 – Partielle funktionale Invarianz</w:t>
      </w:r>
    </w:p>
    <w:p w:rsidR="009A2130" w:rsidRDefault="009A2130" w:rsidP="009A2130">
      <w:pPr>
        <w:pStyle w:val="berschrift3"/>
      </w:pPr>
      <w:r>
        <w:t>Definition 3.3.151</w:t>
      </w:r>
    </w:p>
    <w:p w:rsidR="009A2130" w:rsidRDefault="009A2130" w:rsidP="009A2130">
      <w:pPr>
        <w:pStyle w:val="StandardWeb"/>
      </w:pPr>
      <w:r>
        <w:t xml:space="preserve">Eine funktionale Größe (I_F) heißt bezüglich einer Teilrelation (\mathcal T_F'\subseteq\mathcal T_F) </w:t>
      </w:r>
      <w:r>
        <w:rPr>
          <w:rStyle w:val="Fett"/>
        </w:rPr>
        <w:t>partiell funktional invariant</w:t>
      </w:r>
      <w:r>
        <w:t>, wenn</w:t>
      </w:r>
    </w:p>
    <w:p w:rsidR="009A2130" w:rsidRDefault="009A2130" w:rsidP="009A2130">
      <w:pPr>
        <w:pStyle w:val="StandardWeb"/>
      </w:pPr>
      <w:r>
        <w:t>[</w:t>
      </w:r>
      <w:r>
        <w:br/>
        <w:t>\boxed{</w:t>
      </w:r>
      <w:r>
        <w:br/>
        <w:t>I_F(z_i)=I_F(z_j)</w:t>
      </w:r>
      <w:r>
        <w:br/>
        <w:t>\qquad</w:t>
      </w:r>
      <w:r>
        <w:br/>
        <w:t>\forall(z_i,z_j)\in\mathcal T_F'.</w:t>
      </w:r>
      <w:r>
        <w:br/>
        <w:t>}</w:t>
      </w:r>
      <w:r>
        <w:br/>
        <w:t>\tag{3.10549}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\boxed{I_F(z_i)=I_F(z_j)\qquad\forall(z_i,z_j)\in\mathcal T_F'.}</w:t>
      </w:r>
    </w:p>
    <w:p w:rsidR="009A2130" w:rsidRDefault="00E50336" w:rsidP="009A2130">
      <w:r>
        <w:pict>
          <v:rect id="_x0000_i3377" style="width:0;height:1.5pt" o:hralign="center" o:hrstd="t" o:hr="t" fillcolor="#a0a0a0" stroked="f"/>
        </w:pict>
      </w:r>
    </w:p>
    <w:p w:rsidR="009A2130" w:rsidRDefault="009A2130" w:rsidP="009A2130">
      <w:pPr>
        <w:pStyle w:val="berschrift1"/>
      </w:pPr>
      <w:r>
        <w:t>3.3.45.280 Lokale und partielle Invarianz sind nicht identisch</w:t>
      </w:r>
    </w:p>
    <w:p w:rsidR="009A2130" w:rsidRDefault="009A2130" w:rsidP="009A2130">
      <w:pPr>
        <w:pStyle w:val="StandardWeb"/>
      </w:pPr>
      <w:r>
        <w:t>Lokale Invarianz beschränkt den Zustandsbereich:</w:t>
      </w:r>
    </w:p>
    <w:p w:rsidR="009A2130" w:rsidRDefault="009A2130" w:rsidP="009A2130">
      <w:pPr>
        <w:pStyle w:val="StandardWeb"/>
      </w:pPr>
      <w:r>
        <w:t>[</w:t>
      </w:r>
      <w:r>
        <w:br/>
        <w:t>\mathcal T_F</w:t>
      </w:r>
      <w:r>
        <w:br/>
        <w:t>\cap</w:t>
      </w:r>
      <w:r>
        <w:br/>
        <w:t>(U\times U),</w:t>
      </w:r>
      <w:r>
        <w:br/>
      </w:r>
      <w:r>
        <w:lastRenderedPageBreak/>
        <w:t>\tag{3.10550}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\mathcal T_F\cap(U\times U)</w:t>
      </w:r>
    </w:p>
    <w:p w:rsidR="009A2130" w:rsidRDefault="009A2130" w:rsidP="009A2130">
      <w:pPr>
        <w:pStyle w:val="StandardWeb"/>
      </w:pPr>
      <w:r>
        <w:t>während partielle Invarianz eine beliebige Teilrelation</w:t>
      </w:r>
    </w:p>
    <w:p w:rsidR="009A2130" w:rsidRDefault="009A2130" w:rsidP="009A2130">
      <w:pPr>
        <w:pStyle w:val="StandardWeb"/>
      </w:pPr>
      <w:r>
        <w:t>[</w:t>
      </w:r>
      <w:r>
        <w:br/>
        <w:t>\mathcal T_F'</w:t>
      </w:r>
      <w:r>
        <w:br/>
        <w:t>\subseteq</w:t>
      </w:r>
      <w:r>
        <w:br/>
        <w:t>\mathcal T_F</w:t>
      </w:r>
      <w:r>
        <w:br/>
        <w:t>\tag{3.10551}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\mathcal T_F'\subseteq\mathcal T_F</w:t>
      </w:r>
    </w:p>
    <w:p w:rsidR="009A2130" w:rsidRDefault="009A2130" w:rsidP="009A2130">
      <w:pPr>
        <w:pStyle w:val="StandardWeb"/>
      </w:pPr>
      <w:r>
        <w:t>zulässt.</w:t>
      </w:r>
    </w:p>
    <w:p w:rsidR="009A2130" w:rsidRDefault="009A2130" w:rsidP="009A2130">
      <w:pPr>
        <w:pStyle w:val="StandardWeb"/>
      </w:pPr>
      <w:r>
        <w:t>Daher gilt</w:t>
      </w:r>
    </w:p>
    <w:p w:rsidR="009A2130" w:rsidRDefault="009A2130" w:rsidP="009A2130">
      <w:pPr>
        <w:pStyle w:val="StandardWeb"/>
      </w:pPr>
      <w:r>
        <w:t>[</w:t>
      </w:r>
      <w:r>
        <w:br/>
        <w:t>\boxed{</w:t>
      </w:r>
      <w:r>
        <w:br/>
        <w:t>\operatorname{Inv}</w:t>
      </w:r>
      <w:r>
        <w:rPr>
          <w:rStyle w:val="Hervorhebung"/>
        </w:rPr>
        <w:t>{\mathrm{lokal}}</w:t>
      </w:r>
      <w:r>
        <w:rPr>
          <w:i/>
          <w:iCs/>
        </w:rPr>
        <w:br/>
      </w:r>
      <w:r>
        <w:rPr>
          <w:rStyle w:val="Hervorhebung"/>
        </w:rPr>
        <w:t>\not\equiv</w:t>
      </w:r>
      <w:r>
        <w:rPr>
          <w:i/>
          <w:iCs/>
        </w:rPr>
        <w:br/>
      </w:r>
      <w:r>
        <w:rPr>
          <w:rStyle w:val="Hervorhebung"/>
        </w:rPr>
        <w:t>\operatorname{Inv}</w:t>
      </w:r>
      <w:r>
        <w:t>{\mathrm{partiell}}.</w:t>
      </w:r>
      <w:r>
        <w:br/>
        <w:t>}</w:t>
      </w:r>
      <w:r>
        <w:br/>
        <w:t>\tag{3.10552}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\boxed{\operatorname{Inv}_{\mathrm{lokal}}\not\equiv\operatorname{Inv}_{\mathrm{partiell}}.}</w:t>
      </w:r>
    </w:p>
    <w:p w:rsidR="009A2130" w:rsidRDefault="00E50336" w:rsidP="009A2130">
      <w:r>
        <w:pict>
          <v:rect id="_x0000_i3378" style="width:0;height:1.5pt" o:hralign="center" o:hrstd="t" o:hr="t" fillcolor="#a0a0a0" stroked="f"/>
        </w:pict>
      </w:r>
    </w:p>
    <w:p w:rsidR="009A2130" w:rsidRDefault="009A2130" w:rsidP="009A2130">
      <w:pPr>
        <w:pStyle w:val="berschrift1"/>
      </w:pPr>
      <w:r>
        <w:t>3.3.45.281 Approximativ-partielle Invarianz</w:t>
      </w:r>
    </w:p>
    <w:p w:rsidR="009A2130" w:rsidRDefault="009A2130" w:rsidP="009A2130">
      <w:pPr>
        <w:pStyle w:val="StandardWeb"/>
      </w:pPr>
      <w:r>
        <w:t>Beide Erweiterungen können kombiniert werden:</w:t>
      </w:r>
    </w:p>
    <w:p w:rsidR="009A2130" w:rsidRDefault="009A2130" w:rsidP="009A2130">
      <w:pPr>
        <w:pStyle w:val="StandardWeb"/>
      </w:pPr>
      <w:r>
        <w:t>[</w:t>
      </w:r>
      <w:r>
        <w:br/>
        <w:t>\Delta_I(z_i,z_j)</w:t>
      </w:r>
      <w:r>
        <w:br/>
        <w:t>\leq</w:t>
      </w:r>
      <w:r>
        <w:br/>
        <w:t>\varepsilon_I</w:t>
      </w:r>
      <w:r>
        <w:br/>
        <w:t>\qquad</w:t>
      </w:r>
      <w:r>
        <w:br/>
        <w:t>\forall(z_i,z_j)\in\mathcal T_F'.</w:t>
      </w:r>
      <w:r>
        <w:br/>
        <w:t>\tag{3.10553}</w:t>
      </w:r>
      <w:r>
        <w:br/>
        <w:t>]</w:t>
      </w:r>
    </w:p>
    <w:p w:rsidR="009A2130" w:rsidRDefault="009A2130" w:rsidP="009A2130">
      <w:pPr>
        <w:pStyle w:val="StandardWeb"/>
      </w:pPr>
      <w:r>
        <w:rPr>
          <w:rStyle w:val="Fett"/>
        </w:rPr>
        <w:lastRenderedPageBreak/>
        <w:t>Word-LaTeX</w:t>
      </w:r>
    </w:p>
    <w:p w:rsidR="009A2130" w:rsidRDefault="009A2130" w:rsidP="009A2130">
      <w:pPr>
        <w:pStyle w:val="HTMLVorformatiert"/>
        <w:rPr>
          <w:rStyle w:val="HTMLCode"/>
        </w:rPr>
      </w:pPr>
      <w:r>
        <w:rPr>
          <w:rStyle w:val="HTMLCode"/>
        </w:rPr>
        <w:t>\Delta_I(z_i,z_j)\leq\varepsilon_I\qquad\forall(z_i,z_j)\in\mathcal T_F'</w:t>
      </w:r>
    </w:p>
    <w:p w:rsidR="009A2130" w:rsidRDefault="00E50336" w:rsidP="009A2130">
      <w:r>
        <w:pict>
          <v:rect id="_x0000_i3379" style="width:0;height:1.5pt" o:hralign="center" o:hrstd="t" o:hr="t" fillcolor="#a0a0a0" stroked="f"/>
        </w:pict>
      </w:r>
    </w:p>
    <w:p w:rsidR="009A2130" w:rsidRDefault="009A2130" w:rsidP="009A2130">
      <w:pPr>
        <w:pStyle w:val="berschrift1"/>
      </w:pPr>
      <w:r>
        <w:t>3.3.45.282 Definition 3.3.152 – Approximativ-partielle funktionale Invarianz</w:t>
      </w:r>
    </w:p>
    <w:p w:rsidR="009A2130" w:rsidRDefault="009A2130" w:rsidP="009A2130">
      <w:pPr>
        <w:pStyle w:val="berschrift3"/>
      </w:pPr>
      <w:r>
        <w:t>Definition 3.3.152</w:t>
      </w:r>
    </w:p>
    <w:p w:rsidR="009A2130" w:rsidRDefault="009A2130" w:rsidP="009A2130">
      <w:pPr>
        <w:pStyle w:val="StandardWeb"/>
      </w:pPr>
      <w:r>
        <w:t xml:space="preserve">Eine funktionale Größe (I_F) heißt auf einer Teilrelation (\mathcal T_F') </w:t>
      </w:r>
      <w:r>
        <w:rPr>
          <w:rStyle w:val="Fett"/>
        </w:rPr>
        <w:t>(\varepsilon_I)-partiell invariant</w:t>
      </w:r>
      <w:r>
        <w:t>, wenn</w:t>
      </w:r>
    </w:p>
    <w:p w:rsidR="009A2130" w:rsidRDefault="009A2130" w:rsidP="009A2130">
      <w:pPr>
        <w:pStyle w:val="StandardWeb"/>
      </w:pPr>
      <w:r>
        <w:t>[</w:t>
      </w:r>
      <w:r>
        <w:br/>
        <w:t>\boxed{</w:t>
      </w:r>
      <w:r>
        <w:br/>
        <w:t>\Delta_I(z_i,z_j)</w:t>
      </w:r>
      <w:r>
        <w:br/>
        <w:t>\leq</w:t>
      </w:r>
      <w:r>
        <w:br/>
        <w:t>\varepsilon_I</w:t>
      </w:r>
      <w:r>
        <w:br/>
        <w:t>\qquad</w:t>
      </w:r>
      <w:r>
        <w:br/>
        <w:t>\forall(z_i,z_j)\in\mathcal T_F'.</w:t>
      </w:r>
      <w:r>
        <w:br/>
        <w:t>}</w:t>
      </w:r>
      <w:r>
        <w:br/>
        <w:t>\tag{3.10554}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\boxed{\Delta_I(z_i,z_j)\leq\varepsilon_I\qquad\forall(z_i,z_j)\in\mathcal T_F'.}</w:t>
      </w:r>
    </w:p>
    <w:p w:rsidR="009A2130" w:rsidRDefault="009A2130" w:rsidP="009A2130">
      <w:pPr>
        <w:pStyle w:val="StandardWeb"/>
      </w:pPr>
      <w:r>
        <w:t>Diese Definition erlaubt eine kontrollierte Beschreibung begrenzter empirischer Gültigkeitsbereiche.</w:t>
      </w:r>
    </w:p>
    <w:p w:rsidR="009A2130" w:rsidRDefault="00E50336" w:rsidP="009A2130">
      <w:r>
        <w:pict>
          <v:rect id="_x0000_i3380" style="width:0;height:1.5pt" o:hralign="center" o:hrstd="t" o:hr="t" fillcolor="#a0a0a0" stroked="f"/>
        </w:pict>
      </w:r>
    </w:p>
    <w:p w:rsidR="009A2130" w:rsidRDefault="009A2130" w:rsidP="009A2130">
      <w:pPr>
        <w:pStyle w:val="berschrift1"/>
      </w:pPr>
      <w:r>
        <w:t>3.3.45.283 Gewichtete Invarianzabweichung</w:t>
      </w:r>
    </w:p>
    <w:p w:rsidR="009A2130" w:rsidRDefault="009A2130" w:rsidP="009A2130">
      <w:pPr>
        <w:pStyle w:val="StandardWeb"/>
      </w:pPr>
      <w:r>
        <w:t>Nicht jeder Übergang muss in einer empirischen Analyse dieselbe Bedeutung besitzen.</w:t>
      </w:r>
    </w:p>
    <w:p w:rsidR="009A2130" w:rsidRDefault="009A2130" w:rsidP="009A2130">
      <w:pPr>
        <w:pStyle w:val="StandardWeb"/>
      </w:pPr>
      <w:r>
        <w:t>Sei daher eine Gewichtsfunktion</w:t>
      </w:r>
    </w:p>
    <w:p w:rsidR="009A2130" w:rsidRDefault="009A2130" w:rsidP="009A2130">
      <w:pPr>
        <w:pStyle w:val="StandardWeb"/>
      </w:pPr>
      <w:r>
        <w:t>[</w:t>
      </w:r>
      <w:r>
        <w:br/>
        <w:t>w:</w:t>
      </w:r>
      <w:r>
        <w:br/>
        <w:t>\mathcal T_F</w:t>
      </w:r>
      <w:r>
        <w:br/>
        <w:t>\rightarrow</w:t>
      </w:r>
      <w:r>
        <w:br/>
        <w:t>\mathbb R_{\geq0}</w:t>
      </w:r>
      <w:r>
        <w:br/>
        <w:t>\tag{3.10555}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lastRenderedPageBreak/>
        <w:t>w:\mathcal T_F\rightarrow\mathbb R_{\geq0}</w:t>
      </w:r>
    </w:p>
    <w:p w:rsidR="009A2130" w:rsidRDefault="009A2130" w:rsidP="009A2130">
      <w:pPr>
        <w:pStyle w:val="StandardWeb"/>
      </w:pPr>
      <w:r>
        <w:t>mit</w:t>
      </w:r>
    </w:p>
    <w:p w:rsidR="009A2130" w:rsidRDefault="009A2130" w:rsidP="009A2130">
      <w:pPr>
        <w:pStyle w:val="berschrift1"/>
      </w:pPr>
      <w:r>
        <w:t>[</w:t>
      </w:r>
      <w:r>
        <w:br/>
        <w:t>\sum_{(z_i,z_j)\in\mathcal T_F}</w:t>
      </w:r>
      <w:r>
        <w:br/>
        <w:t>w(z_i,z_j)</w:t>
      </w:r>
    </w:p>
    <w:p w:rsidR="009A2130" w:rsidRDefault="009A2130" w:rsidP="00152216">
      <w:pPr>
        <w:numPr>
          <w:ilvl w:val="0"/>
          <w:numId w:val="457"/>
        </w:numPr>
        <w:spacing w:before="100" w:beforeAutospacing="1" w:after="100" w:afterAutospacing="1"/>
      </w:pPr>
    </w:p>
    <w:p w:rsidR="009A2130" w:rsidRDefault="009A2130" w:rsidP="009A2130">
      <w:pPr>
        <w:pStyle w:val="StandardWeb"/>
      </w:pPr>
      <w:r>
        <w:t>\tag{3.10556}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\sum_{(z_i,z_j)\in\mathcal T_F}w(z_i,z_j)=1</w:t>
      </w:r>
    </w:p>
    <w:p w:rsidR="009A2130" w:rsidRDefault="009A2130" w:rsidP="009A2130">
      <w:pPr>
        <w:pStyle w:val="StandardWeb"/>
      </w:pPr>
      <w:r>
        <w:t>Dann kann eine gewichtete mittlere Abweichung gebildet werden.</w:t>
      </w:r>
    </w:p>
    <w:p w:rsidR="009A2130" w:rsidRDefault="00E50336" w:rsidP="009A2130">
      <w:r>
        <w:pict>
          <v:rect id="_x0000_i3381" style="width:0;height:1.5pt" o:hralign="center" o:hrstd="t" o:hr="t" fillcolor="#a0a0a0" stroked="f"/>
        </w:pict>
      </w:r>
    </w:p>
    <w:p w:rsidR="009A2130" w:rsidRDefault="009A2130" w:rsidP="009A2130">
      <w:pPr>
        <w:pStyle w:val="berschrift1"/>
      </w:pPr>
      <w:r>
        <w:t>3.3.45.284 Definition 3.3.153 – Gewichtete mittlere Invarianzabweichung</w:t>
      </w:r>
    </w:p>
    <w:p w:rsidR="009A2130" w:rsidRDefault="009A2130" w:rsidP="009A2130">
      <w:pPr>
        <w:pStyle w:val="berschrift3"/>
      </w:pPr>
      <w:r>
        <w:t>Definition 3.3.153</w:t>
      </w:r>
    </w:p>
    <w:p w:rsidR="009A2130" w:rsidRDefault="009A2130" w:rsidP="009A2130">
      <w:pPr>
        <w:pStyle w:val="StandardWeb"/>
      </w:pPr>
      <w:r>
        <w:t>Für eine normierte nichtnegative Gewichtsfunktion definiere ich</w:t>
      </w:r>
    </w:p>
    <w:p w:rsidR="009A2130" w:rsidRDefault="009A2130" w:rsidP="009A2130">
      <w:pPr>
        <w:pStyle w:val="StandardWeb"/>
      </w:pPr>
      <w:r>
        <w:t>[</w:t>
      </w:r>
      <w:r>
        <w:br/>
        <w:t>\boxed{</w:t>
      </w:r>
      <w:r>
        <w:br/>
        <w:t>\overline{\Delta}</w:t>
      </w:r>
      <w:r>
        <w:rPr>
          <w:rStyle w:val="Hervorhebung"/>
        </w:rPr>
        <w:t>{I,w}</w:t>
      </w:r>
      <w:r>
        <w:rPr>
          <w:i/>
          <w:iCs/>
        </w:rPr>
        <w:br/>
      </w:r>
      <w:r>
        <w:rPr>
          <w:rStyle w:val="Hervorhebung"/>
        </w:rPr>
        <w:t>:=</w:t>
      </w:r>
      <w:r>
        <w:rPr>
          <w:i/>
          <w:iCs/>
        </w:rPr>
        <w:br/>
      </w:r>
      <w:r>
        <w:rPr>
          <w:rStyle w:val="Hervorhebung"/>
        </w:rPr>
        <w:t>\sum</w:t>
      </w:r>
      <w:r>
        <w:t>{(z_i,z_j)\in\mathcal T_F}</w:t>
      </w:r>
      <w:r>
        <w:br/>
        <w:t>w(z_i,z_j),</w:t>
      </w:r>
      <w:r>
        <w:br/>
        <w:t>\Delta_I(z_i,z_j).</w:t>
      </w:r>
      <w:r>
        <w:br/>
        <w:t>}</w:t>
      </w:r>
      <w:r>
        <w:br/>
        <w:t>\tag{3.10557}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\boxed{\overline{\Delta}_{I,w}:=\sum_{(z_i,z_j)\in\mathcal T_F}w(z_i,z_j)\,\Delta_I(z_i,z_j).}</w:t>
      </w:r>
    </w:p>
    <w:p w:rsidR="009A2130" w:rsidRDefault="009A2130" w:rsidP="009A2130">
      <w:pPr>
        <w:pStyle w:val="StandardWeb"/>
      </w:pPr>
      <w:r>
        <w:t>Die Gewichtsfunktion ist Teil der Operationalisierung und muss begründet werden.</w:t>
      </w:r>
    </w:p>
    <w:p w:rsidR="009A2130" w:rsidRDefault="00E50336" w:rsidP="009A2130">
      <w:r>
        <w:pict>
          <v:rect id="_x0000_i3382" style="width:0;height:1.5pt" o:hralign="center" o:hrstd="t" o:hr="t" fillcolor="#a0a0a0" stroked="f"/>
        </w:pict>
      </w:r>
    </w:p>
    <w:p w:rsidR="009A2130" w:rsidRDefault="009A2130" w:rsidP="009A2130">
      <w:pPr>
        <w:pStyle w:val="berschrift1"/>
      </w:pPr>
      <w:r>
        <w:lastRenderedPageBreak/>
        <w:t>3.3.45.285 Keine Neutralität der Gewichtung</w:t>
      </w:r>
    </w:p>
    <w:p w:rsidR="009A2130" w:rsidRDefault="009A2130" w:rsidP="009A2130">
      <w:pPr>
        <w:pStyle w:val="StandardWeb"/>
      </w:pPr>
      <w:r>
        <w:t>Unterschiedliche Gewichtungen können bei identischen Übergangsdaten unterschiedliche aggregierte Werte erzeugen:</w:t>
      </w:r>
    </w:p>
    <w:p w:rsidR="009A2130" w:rsidRDefault="009A2130" w:rsidP="009A2130">
      <w:pPr>
        <w:pStyle w:val="StandardWeb"/>
      </w:pPr>
      <w:r>
        <w:t>[</w:t>
      </w:r>
      <w:r>
        <w:br/>
        <w:t>w_1\neq w_2</w:t>
      </w:r>
      <w:r>
        <w:br/>
        <w:t>\Rightarrow</w:t>
      </w:r>
      <w:r>
        <w:br/>
        <w:t>\overline{\Delta}</w:t>
      </w:r>
      <w:r>
        <w:rPr>
          <w:rStyle w:val="Hervorhebung"/>
        </w:rPr>
        <w:t>{I,w_1}</w:t>
      </w:r>
      <w:r>
        <w:rPr>
          <w:i/>
          <w:iCs/>
        </w:rPr>
        <w:br/>
      </w:r>
      <w:r>
        <w:rPr>
          <w:rStyle w:val="Hervorhebung"/>
        </w:rPr>
        <w:t>\neq</w:t>
      </w:r>
      <w:r>
        <w:rPr>
          <w:i/>
          <w:iCs/>
        </w:rPr>
        <w:br/>
      </w:r>
      <w:r>
        <w:rPr>
          <w:rStyle w:val="Hervorhebung"/>
        </w:rPr>
        <w:t>\overline{\Delta}</w:t>
      </w:r>
      <w:r>
        <w:t>{I,w_2}</w:t>
      </w:r>
      <w:r>
        <w:br/>
        <w:t>\tag{3.10558}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w_1\neq w_2\Rightarrow\overline{\Delta}_{I,w_1}\neq\overline{\Delta}_{I,w_2}</w:t>
      </w:r>
    </w:p>
    <w:p w:rsidR="009A2130" w:rsidRDefault="009A2130" w:rsidP="009A2130">
      <w:pPr>
        <w:pStyle w:val="StandardWeb"/>
      </w:pPr>
      <w:r>
        <w:t>im Allgemeinen.</w:t>
      </w:r>
    </w:p>
    <w:p w:rsidR="009A2130" w:rsidRDefault="009A2130" w:rsidP="009A2130">
      <w:pPr>
        <w:pStyle w:val="StandardWeb"/>
      </w:pPr>
      <w:r>
        <w:t>Damit ist die Gewichtswahl keine rein technische Nebensache.</w:t>
      </w:r>
    </w:p>
    <w:p w:rsidR="009A2130" w:rsidRDefault="00E50336" w:rsidP="009A2130">
      <w:r>
        <w:pict>
          <v:rect id="_x0000_i3383" style="width:0;height:1.5pt" o:hralign="center" o:hrstd="t" o:hr="t" fillcolor="#a0a0a0" stroked="f"/>
        </w:pict>
      </w:r>
    </w:p>
    <w:p w:rsidR="009A2130" w:rsidRDefault="009A2130" w:rsidP="009A2130">
      <w:pPr>
        <w:pStyle w:val="berschrift1"/>
      </w:pPr>
      <w:r>
        <w:t>3.3.45.286 Messunsicherheit und beobachtete Invarianz</w:t>
      </w:r>
    </w:p>
    <w:p w:rsidR="009A2130" w:rsidRDefault="009A2130" w:rsidP="009A2130">
      <w:pPr>
        <w:pStyle w:val="StandardWeb"/>
      </w:pPr>
      <w:r>
        <w:t>Empirisch wird häufig nicht (I_F(z)) selbst beobachtet, sondern ein Messwert</w:t>
      </w:r>
    </w:p>
    <w:p w:rsidR="009A2130" w:rsidRDefault="009A2130" w:rsidP="009A2130">
      <w:pPr>
        <w:pStyle w:val="StandardWeb"/>
      </w:pPr>
      <w:r>
        <w:t>[</w:t>
      </w:r>
      <w:r>
        <w:br/>
        <w:t>\widehat I_F(z).</w:t>
      </w:r>
      <w:r>
        <w:br/>
        <w:t>\tag{3.10559}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\widehat I_F(z)</w:t>
      </w:r>
    </w:p>
    <w:p w:rsidR="009A2130" w:rsidRDefault="009A2130" w:rsidP="009A2130">
      <w:pPr>
        <w:pStyle w:val="StandardWeb"/>
      </w:pPr>
      <w:r>
        <w:t>Ich kann ihn formal schreiben als</w:t>
      </w:r>
    </w:p>
    <w:p w:rsidR="009A2130" w:rsidRDefault="009A2130" w:rsidP="009A2130">
      <w:pPr>
        <w:pStyle w:val="berschrift1"/>
      </w:pPr>
      <w:r>
        <w:t>[</w:t>
      </w:r>
      <w:r>
        <w:br/>
        <w:t>\widehat I_F(z)</w:t>
      </w:r>
    </w:p>
    <w:p w:rsidR="009A2130" w:rsidRDefault="009A2130" w:rsidP="009A2130">
      <w:pPr>
        <w:pStyle w:val="StandardWeb"/>
      </w:pPr>
      <w:r>
        <w:t>I_F(z)</w:t>
      </w:r>
      <w:r>
        <w:br/>
        <w:t>+</w:t>
      </w:r>
      <w:r>
        <w:br/>
        <w:t>\eta_I(z),</w:t>
      </w:r>
      <w:r>
        <w:br/>
      </w:r>
      <w:r>
        <w:lastRenderedPageBreak/>
        <w:t>\tag{3.10560}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\widehat I_F(z)=I_F(z)+\eta_I(z)</w:t>
      </w:r>
    </w:p>
    <w:p w:rsidR="009A2130" w:rsidRDefault="009A2130" w:rsidP="009A2130">
      <w:pPr>
        <w:pStyle w:val="StandardWeb"/>
      </w:pPr>
      <w:r>
        <w:t>wobei (\eta_I(z)) einen Mess- oder Schätzfehler bezeichnet.</w:t>
      </w:r>
    </w:p>
    <w:p w:rsidR="009A2130" w:rsidRDefault="00E50336" w:rsidP="009A2130">
      <w:r>
        <w:pict>
          <v:rect id="_x0000_i3384" style="width:0;height:1.5pt" o:hralign="center" o:hrstd="t" o:hr="t" fillcolor="#a0a0a0" stroked="f"/>
        </w:pict>
      </w:r>
    </w:p>
    <w:p w:rsidR="009A2130" w:rsidRDefault="009A2130" w:rsidP="009A2130">
      <w:pPr>
        <w:pStyle w:val="berschrift1"/>
      </w:pPr>
      <w:r>
        <w:t>3.3.45.287 Beobachtete Abweichung</w:t>
      </w:r>
    </w:p>
    <w:p w:rsidR="009A2130" w:rsidRDefault="009A2130" w:rsidP="009A2130">
      <w:pPr>
        <w:pStyle w:val="StandardWeb"/>
      </w:pPr>
      <w:r>
        <w:t>Die beobachtete Übergangsabweichung lautet dann</w:t>
      </w:r>
    </w:p>
    <w:p w:rsidR="009A2130" w:rsidRDefault="009A2130" w:rsidP="009A2130">
      <w:pPr>
        <w:pStyle w:val="berschrift1"/>
      </w:pPr>
      <w:r>
        <w:t>[</w:t>
      </w:r>
      <w:r>
        <w:br/>
        <w:t>\widehat{\Delta}_I(z_i,z_j)</w:t>
      </w:r>
    </w:p>
    <w:p w:rsidR="009A2130" w:rsidRDefault="009A2130" w:rsidP="009A2130">
      <w:pPr>
        <w:pStyle w:val="berschrift2"/>
      </w:pPr>
      <w:r>
        <w:t>\left|</w:t>
      </w:r>
      <w:r>
        <w:br/>
        <w:t>\widehat I_F(z_j)</w:t>
      </w:r>
    </w:p>
    <w:p w:rsidR="009A2130" w:rsidRDefault="009A2130" w:rsidP="009A2130">
      <w:pPr>
        <w:pStyle w:val="StandardWeb"/>
      </w:pPr>
      <w:r>
        <w:t>\widehat I_F(z_i)</w:t>
      </w:r>
      <w:r>
        <w:br/>
        <w:t>\right|.</w:t>
      </w:r>
      <w:r>
        <w:br/>
        <w:t>\tag{3.10561}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\widehat{\Delta}_I(z_i,z_j)=\left|\widehat I_F(z_j)-\widehat I_F(z_i)\right|</w:t>
      </w:r>
    </w:p>
    <w:p w:rsidR="009A2130" w:rsidRDefault="009A2130" w:rsidP="009A2130">
      <w:pPr>
        <w:pStyle w:val="StandardWeb"/>
      </w:pPr>
      <w:r>
        <w:t>Auch bei exakt invariantem (I_F) kann deshalb</w:t>
      </w:r>
    </w:p>
    <w:p w:rsidR="009A2130" w:rsidRDefault="009A2130" w:rsidP="009A2130">
      <w:pPr>
        <w:pStyle w:val="StandardWeb"/>
      </w:pPr>
      <w:r>
        <w:t>[</w:t>
      </w:r>
      <w:r>
        <w:br/>
        <w:t>\widehat{\Delta}_I(z_i,z_j)&gt;0</w:t>
      </w:r>
      <w:r>
        <w:br/>
        <w:t>\tag{3.10562}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\widehat{\Delta}_I(z_i,z_j)&gt;0</w:t>
      </w:r>
    </w:p>
    <w:p w:rsidR="009A2130" w:rsidRDefault="009A2130" w:rsidP="009A2130">
      <w:pPr>
        <w:pStyle w:val="StandardWeb"/>
      </w:pPr>
      <w:r>
        <w:t>auftreten.</w:t>
      </w:r>
    </w:p>
    <w:p w:rsidR="009A2130" w:rsidRDefault="00E50336" w:rsidP="009A2130">
      <w:r>
        <w:pict>
          <v:rect id="_x0000_i3385" style="width:0;height:1.5pt" o:hralign="center" o:hrstd="t" o:hr="t" fillcolor="#a0a0a0" stroked="f"/>
        </w:pict>
      </w:r>
    </w:p>
    <w:p w:rsidR="009A2130" w:rsidRDefault="009A2130" w:rsidP="009A2130">
      <w:pPr>
        <w:pStyle w:val="berschrift1"/>
      </w:pPr>
      <w:r>
        <w:t>3.3.45.288 Definition 3.3.154 – Beobachtete funktionale Invarianzabweichung</w:t>
      </w:r>
    </w:p>
    <w:p w:rsidR="009A2130" w:rsidRDefault="009A2130" w:rsidP="009A2130">
      <w:pPr>
        <w:pStyle w:val="berschrift3"/>
      </w:pPr>
      <w:r>
        <w:lastRenderedPageBreak/>
        <w:t>Definition 3.3.154</w:t>
      </w:r>
    </w:p>
    <w:p w:rsidR="009A2130" w:rsidRDefault="009A2130" w:rsidP="009A2130">
      <w:pPr>
        <w:pStyle w:val="StandardWeb"/>
      </w:pPr>
      <w:r>
        <w:t>Für eine beobachtete oder geschätzte Größe (\widehat I_F) definiere ich</w:t>
      </w:r>
    </w:p>
    <w:p w:rsidR="009A2130" w:rsidRDefault="009A2130" w:rsidP="009A2130">
      <w:pPr>
        <w:pStyle w:val="berschrift2"/>
      </w:pPr>
      <w:r>
        <w:t>[</w:t>
      </w:r>
      <w:r>
        <w:br/>
        <w:t>\boxed{</w:t>
      </w:r>
      <w:r>
        <w:br/>
        <w:t>\widehat{\Delta}_I(z_i,z_j)</w:t>
      </w:r>
      <w:r>
        <w:br/>
        <w:t>:=</w:t>
      </w:r>
      <w:r>
        <w:br/>
        <w:t>\left|</w:t>
      </w:r>
      <w:r>
        <w:br/>
        <w:t>\widehat I_F(z_j)</w:t>
      </w:r>
    </w:p>
    <w:p w:rsidR="009A2130" w:rsidRDefault="009A2130" w:rsidP="009A2130">
      <w:pPr>
        <w:pStyle w:val="StandardWeb"/>
      </w:pPr>
      <w:r>
        <w:t>\widehat I_F(z_i)</w:t>
      </w:r>
      <w:r>
        <w:br/>
        <w:t>\right|.</w:t>
      </w:r>
      <w:r>
        <w:br/>
        <w:t>}</w:t>
      </w:r>
      <w:r>
        <w:br/>
        <w:t>\tag{3.10563}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\boxed{\widehat{\Delta}_I(z_i,z_j):=\left|\widehat I_F(z_j)-\widehat I_F(z_i)\right|.}</w:t>
      </w:r>
    </w:p>
    <w:p w:rsidR="009A2130" w:rsidRDefault="009A2130" w:rsidP="009A2130">
      <w:pPr>
        <w:pStyle w:val="StandardWeb"/>
      </w:pPr>
      <w:r>
        <w:t>Diese Größe darf nicht ohne Unsicherheitsmodell unmittelbar mit einer theoretischen Invarianzverletzung gleichgesetzt werden.</w:t>
      </w:r>
    </w:p>
    <w:p w:rsidR="009A2130" w:rsidRDefault="00E50336" w:rsidP="009A2130">
      <w:r>
        <w:pict>
          <v:rect id="_x0000_i3386" style="width:0;height:1.5pt" o:hralign="center" o:hrstd="t" o:hr="t" fillcolor="#a0a0a0" stroked="f"/>
        </w:pict>
      </w:r>
    </w:p>
    <w:p w:rsidR="009A2130" w:rsidRDefault="009A2130" w:rsidP="009A2130">
      <w:pPr>
        <w:pStyle w:val="berschrift1"/>
      </w:pPr>
      <w:r>
        <w:t>3.3.45.289 Fehlerfortpflanzung</w:t>
      </w:r>
    </w:p>
    <w:p w:rsidR="009A2130" w:rsidRDefault="009A2130" w:rsidP="009A2130">
      <w:pPr>
        <w:pStyle w:val="StandardWeb"/>
      </w:pPr>
      <w:r>
        <w:t>Aus</w:t>
      </w:r>
    </w:p>
    <w:p w:rsidR="009A2130" w:rsidRDefault="009A2130" w:rsidP="009A2130">
      <w:pPr>
        <w:pStyle w:val="berschrift1"/>
      </w:pPr>
      <w:r>
        <w:t>[</w:t>
      </w:r>
      <w:r>
        <w:br/>
        <w:t>\widehat I_F(z)</w:t>
      </w:r>
    </w:p>
    <w:p w:rsidR="009A2130" w:rsidRDefault="009A2130" w:rsidP="009A2130">
      <w:pPr>
        <w:pStyle w:val="StandardWeb"/>
      </w:pPr>
      <w:r>
        <w:t>I_F(z)+\eta_I(z)</w:t>
      </w:r>
      <w:r>
        <w:br/>
        <w:t>\tag{3.10564}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\widehat I_F(z)=I_F(z)+\eta_I(z)</w:t>
      </w:r>
    </w:p>
    <w:p w:rsidR="009A2130" w:rsidRDefault="009A2130" w:rsidP="009A2130">
      <w:pPr>
        <w:pStyle w:val="StandardWeb"/>
      </w:pPr>
      <w:r>
        <w:t>folgt</w:t>
      </w:r>
    </w:p>
    <w:p w:rsidR="009A2130" w:rsidRDefault="009A2130" w:rsidP="009A2130">
      <w:pPr>
        <w:pStyle w:val="berschrift1"/>
      </w:pPr>
      <w:r>
        <w:lastRenderedPageBreak/>
        <w:t>[</w:t>
      </w:r>
      <w:r>
        <w:br/>
        <w:t>\widehat I_F(z_j)-\widehat I_F(z_i)</w:t>
      </w:r>
    </w:p>
    <w:p w:rsidR="009A2130" w:rsidRDefault="009A2130" w:rsidP="009A2130">
      <w:pPr>
        <w:pStyle w:val="StandardWeb"/>
      </w:pPr>
      <w:r>
        <w:t>I_F(z_j)-I_F(z_i)</w:t>
      </w:r>
      <w:r>
        <w:br/>
        <w:t>+</w:t>
      </w:r>
      <w:r>
        <w:br/>
        <w:t>\eta_I(z_j)-\eta_I(z_i).</w:t>
      </w:r>
      <w:r>
        <w:br/>
        <w:t>\tag{3.10565}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\widehat I_F(z_j)-\widehat I_F(z_i)=I_F(z_j)-I_F(z_i)+\eta_I(z_j)-\eta_I(z_i)</w:t>
      </w:r>
    </w:p>
    <w:p w:rsidR="009A2130" w:rsidRDefault="009A2130" w:rsidP="009A2130">
      <w:pPr>
        <w:pStyle w:val="StandardWeb"/>
      </w:pPr>
      <w:r>
        <w:t>Ist (I_F) exakt invariant, reduziert sich dies auf</w:t>
      </w:r>
    </w:p>
    <w:p w:rsidR="009A2130" w:rsidRDefault="009A2130" w:rsidP="009A2130">
      <w:pPr>
        <w:pStyle w:val="berschrift1"/>
      </w:pPr>
      <w:r>
        <w:t>[</w:t>
      </w:r>
      <w:r>
        <w:br/>
        <w:t>\widehat I_F(z_j)-\widehat I_F(z_i)</w:t>
      </w:r>
    </w:p>
    <w:p w:rsidR="009A2130" w:rsidRDefault="009A2130" w:rsidP="009A2130">
      <w:pPr>
        <w:pStyle w:val="StandardWeb"/>
      </w:pPr>
      <w:r>
        <w:t>\eta_I(z_j)-\eta_I(z_i).</w:t>
      </w:r>
      <w:r>
        <w:br/>
        <w:t>\tag{3.10566}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\widehat I_F(z_j)-\widehat I_F(z_i)=\eta_I(z_j)-\eta_I(z_i)</w:t>
      </w:r>
    </w:p>
    <w:p w:rsidR="009A2130" w:rsidRDefault="00E50336" w:rsidP="009A2130">
      <w:r>
        <w:pict>
          <v:rect id="_x0000_i3387" style="width:0;height:1.5pt" o:hralign="center" o:hrstd="t" o:hr="t" fillcolor="#a0a0a0" stroked="f"/>
        </w:pict>
      </w:r>
    </w:p>
    <w:p w:rsidR="009A2130" w:rsidRDefault="009A2130" w:rsidP="009A2130">
      <w:pPr>
        <w:pStyle w:val="berschrift1"/>
      </w:pPr>
      <w:r>
        <w:t>3.3.45.290 Satz 3.3.68 – Beobachtete Abweichung bei theoretisch exakter Invarianz</w:t>
      </w:r>
    </w:p>
    <w:p w:rsidR="009A2130" w:rsidRDefault="009A2130" w:rsidP="009A2130">
      <w:pPr>
        <w:pStyle w:val="berschrift3"/>
      </w:pPr>
      <w:r>
        <w:t>Satz 3.3.68</w:t>
      </w:r>
    </w:p>
    <w:p w:rsidR="009A2130" w:rsidRDefault="009A2130" w:rsidP="009A2130">
      <w:pPr>
        <w:pStyle w:val="StandardWeb"/>
      </w:pPr>
      <w:r>
        <w:t>Ist (I_F) theoretisch exakt invariant, dann gilt für die beobachtete Differenz</w:t>
      </w:r>
    </w:p>
    <w:p w:rsidR="009A2130" w:rsidRDefault="009A2130" w:rsidP="009A2130">
      <w:pPr>
        <w:pStyle w:val="berschrift1"/>
      </w:pPr>
      <w:r>
        <w:t>[</w:t>
      </w:r>
      <w:r>
        <w:br/>
        <w:t>\boxed{</w:t>
      </w:r>
      <w:r>
        <w:br/>
        <w:t>\widehat I_F(z_j)-\widehat I_F(z_i)</w:t>
      </w:r>
    </w:p>
    <w:p w:rsidR="009A2130" w:rsidRDefault="009A2130" w:rsidP="009A2130">
      <w:pPr>
        <w:pStyle w:val="StandardWeb"/>
      </w:pPr>
      <w:r>
        <w:t>\eta_I(z_j)-\eta_I(z_i).</w:t>
      </w:r>
      <w:r>
        <w:br/>
        <w:t>}</w:t>
      </w:r>
      <w:r>
        <w:br/>
        <w:t>\tag{3.10567}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lastRenderedPageBreak/>
        <w:t>\boxed{\widehat I_F(z_j)-\widehat I_F(z_i)=\eta_I(z_j)-\eta_I(z_i).}</w:t>
      </w:r>
    </w:p>
    <w:p w:rsidR="009A2130" w:rsidRDefault="009A2130" w:rsidP="009A2130">
      <w:pPr>
        <w:pStyle w:val="StandardWeb"/>
      </w:pPr>
      <w:r>
        <w:t>Eine beobachtete Abweichung ist daher nicht automatisch ein Gegenbeweis gegen theoretische Invarianz.</w:t>
      </w:r>
    </w:p>
    <w:p w:rsidR="009A2130" w:rsidRDefault="00E50336" w:rsidP="009A2130">
      <w:r>
        <w:pict>
          <v:rect id="_x0000_i3388" style="width:0;height:1.5pt" o:hralign="center" o:hrstd="t" o:hr="t" fillcolor="#a0a0a0" stroked="f"/>
        </w:pict>
      </w:r>
    </w:p>
    <w:p w:rsidR="009A2130" w:rsidRDefault="009A2130" w:rsidP="009A2130">
      <w:pPr>
        <w:pStyle w:val="berschrift1"/>
      </w:pPr>
      <w:r>
        <w:t>3.3.45.291 Umgekehrte Vorsicht</w:t>
      </w:r>
    </w:p>
    <w:p w:rsidR="009A2130" w:rsidRDefault="009A2130" w:rsidP="009A2130">
      <w:pPr>
        <w:pStyle w:val="StandardWeb"/>
      </w:pPr>
      <w:r>
        <w:t>Aus einer kleinen beobachteten Abweichung folgt umgekehrt ebenfalls nicht automatisch eine exakte theoretische Invarianz.</w:t>
      </w:r>
    </w:p>
    <w:p w:rsidR="009A2130" w:rsidRDefault="009A2130" w:rsidP="009A2130">
      <w:pPr>
        <w:pStyle w:val="StandardWeb"/>
      </w:pPr>
      <w:r>
        <w:t>Es gilt nicht</w:t>
      </w:r>
    </w:p>
    <w:p w:rsidR="009A2130" w:rsidRDefault="009A2130" w:rsidP="009A2130">
      <w:pPr>
        <w:pStyle w:val="StandardWeb"/>
      </w:pPr>
      <w:r>
        <w:t>[</w:t>
      </w:r>
      <w:r>
        <w:br/>
        <w:t>\boxed{</w:t>
      </w:r>
      <w:r>
        <w:br/>
        <w:t>\widehat{\Delta}_I\approx0</w:t>
      </w:r>
      <w:r>
        <w:br/>
        <w:t>\Rightarrow</w:t>
      </w:r>
      <w:r>
        <w:br/>
        <w:t>\Delta_I=0.</w:t>
      </w:r>
      <w:r>
        <w:br/>
        <w:t>}</w:t>
      </w:r>
      <w:r>
        <w:br/>
        <w:t>\tag{3.10568}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\boxed{\widehat{\Delta}_I\approx0\Rightarrow\Delta_I=0.}</w:t>
      </w:r>
    </w:p>
    <w:p w:rsidR="009A2130" w:rsidRDefault="009A2130" w:rsidP="009A2130">
      <w:pPr>
        <w:pStyle w:val="StandardWeb"/>
      </w:pPr>
      <w:r>
        <w:t>Messfehler können theoretische Veränderungen sowohl vergrößern als auch teilweise kompensieren.</w:t>
      </w:r>
    </w:p>
    <w:p w:rsidR="009A2130" w:rsidRDefault="00E50336" w:rsidP="009A2130">
      <w:r>
        <w:pict>
          <v:rect id="_x0000_i3389" style="width:0;height:1.5pt" o:hralign="center" o:hrstd="t" o:hr="t" fillcolor="#a0a0a0" stroked="f"/>
        </w:pict>
      </w:r>
    </w:p>
    <w:p w:rsidR="009A2130" w:rsidRDefault="009A2130" w:rsidP="009A2130">
      <w:pPr>
        <w:pStyle w:val="berschrift1"/>
      </w:pPr>
      <w:r>
        <w:t>3.3.45.292 Statistische Invarianzprüfung</w:t>
      </w:r>
    </w:p>
    <w:p w:rsidR="009A2130" w:rsidRDefault="009A2130" w:rsidP="009A2130">
      <w:pPr>
        <w:pStyle w:val="StandardWeb"/>
      </w:pPr>
      <w:r>
        <w:t>Für empirische Daten kann eine statistische Prüfung notwendig werden.</w:t>
      </w:r>
    </w:p>
    <w:p w:rsidR="009A2130" w:rsidRDefault="009A2130" w:rsidP="009A2130">
      <w:pPr>
        <w:pStyle w:val="StandardWeb"/>
      </w:pPr>
      <w:r>
        <w:t>Eine Nullhypothese könnte beispielsweise lauten</w:t>
      </w:r>
    </w:p>
    <w:p w:rsidR="009A2130" w:rsidRDefault="009A2130" w:rsidP="009A2130">
      <w:pPr>
        <w:pStyle w:val="berschrift1"/>
      </w:pPr>
      <w:r>
        <w:t>[</w:t>
      </w:r>
      <w:r>
        <w:br/>
        <w:t>H_0:</w:t>
      </w:r>
      <w:r>
        <w:br/>
        <w:t>\Delta_I</w:t>
      </w:r>
    </w:p>
    <w:p w:rsidR="009A2130" w:rsidRDefault="009A2130" w:rsidP="009A2130">
      <w:pPr>
        <w:pStyle w:val="StandardWeb"/>
      </w:pPr>
      <w:r>
        <w:t>0</w:t>
      </w:r>
      <w:r>
        <w:br/>
        <w:t>\tag{3.10569}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H_0:\Delta_I=0</w:t>
      </w:r>
    </w:p>
    <w:p w:rsidR="009A2130" w:rsidRDefault="009A2130" w:rsidP="009A2130">
      <w:pPr>
        <w:pStyle w:val="StandardWeb"/>
      </w:pPr>
      <w:r>
        <w:lastRenderedPageBreak/>
        <w:t>oder bei approximativer Prüfung</w:t>
      </w:r>
    </w:p>
    <w:p w:rsidR="009A2130" w:rsidRDefault="009A2130" w:rsidP="009A2130">
      <w:pPr>
        <w:pStyle w:val="StandardWeb"/>
      </w:pPr>
      <w:r>
        <w:t>[</w:t>
      </w:r>
      <w:r>
        <w:br/>
        <w:t>H_0:</w:t>
      </w:r>
      <w:r>
        <w:br/>
        <w:t>\Delta_I</w:t>
      </w:r>
      <w:r>
        <w:br/>
        <w:t>\leq</w:t>
      </w:r>
      <w:r>
        <w:br/>
        <w:t>\varepsilon_I.</w:t>
      </w:r>
      <w:r>
        <w:br/>
        <w:t>\tag{3.10570}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H_0:\Delta_I\leq\varepsilon_I</w:t>
      </w:r>
    </w:p>
    <w:p w:rsidR="009A2130" w:rsidRDefault="009A2130" w:rsidP="009A2130">
      <w:pPr>
        <w:pStyle w:val="StandardWeb"/>
      </w:pPr>
      <w:r>
        <w:t>Die konkrete Wahl eines statistischen Testverfahrens gehört jedoch nicht zur Primäraxiomatik.</w:t>
      </w:r>
    </w:p>
    <w:p w:rsidR="009A2130" w:rsidRDefault="00E50336" w:rsidP="009A2130">
      <w:r>
        <w:pict>
          <v:rect id="_x0000_i3390" style="width:0;height:1.5pt" o:hralign="center" o:hrstd="t" o:hr="t" fillcolor="#a0a0a0" stroked="f"/>
        </w:pict>
      </w:r>
    </w:p>
    <w:p w:rsidR="009A2130" w:rsidRDefault="009A2130" w:rsidP="009A2130">
      <w:pPr>
        <w:pStyle w:val="berschrift1"/>
      </w:pPr>
      <w:r>
        <w:t>3.3.45.293 Status statistischer Prüfverfahren</w:t>
      </w:r>
    </w:p>
    <w:p w:rsidR="009A2130" w:rsidRDefault="009A2130" w:rsidP="009A2130">
      <w:pPr>
        <w:pStyle w:val="StandardWeb"/>
      </w:pPr>
      <w:r>
        <w:t>Ich klassifiziere daher</w:t>
      </w:r>
    </w:p>
    <w:p w:rsidR="009A2130" w:rsidRDefault="009A2130" w:rsidP="009A2130">
      <w:pPr>
        <w:pStyle w:val="berschrift1"/>
      </w:pPr>
      <w:r>
        <w:t>[</w:t>
      </w:r>
      <w:r>
        <w:br/>
        <w:t>\boxed{</w:t>
      </w:r>
      <w:r>
        <w:br/>
        <w:t>\operatorname{Stat}</w:t>
      </w:r>
      <w:r>
        <w:br/>
        <w:t>\left(</w:t>
      </w:r>
      <w:r>
        <w:br/>
        <w:t>\text{statistischer Invarianztest}</w:t>
      </w:r>
      <w:r>
        <w:br/>
        <w:t>\right)</w:t>
      </w:r>
    </w:p>
    <w:p w:rsidR="009A2130" w:rsidRDefault="009A2130" w:rsidP="009A2130">
      <w:pPr>
        <w:pStyle w:val="StandardWeb"/>
      </w:pPr>
      <w:r>
        <w:t>\mathrm{Op}.</w:t>
      </w:r>
      <w:r>
        <w:br/>
        <w:t>}</w:t>
      </w:r>
      <w:r>
        <w:br/>
        <w:t>\tag{3.10571}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\boxed{\operatorname{Stat}\left(\text{statistischer Invarianztest}\right)=\mathrm{Op}.}</w:t>
      </w:r>
    </w:p>
    <w:p w:rsidR="009A2130" w:rsidRDefault="009A2130" w:rsidP="009A2130">
      <w:pPr>
        <w:pStyle w:val="StandardWeb"/>
      </w:pPr>
      <w:r>
        <w:t>Das Testverfahren ist ein empirisches Auswertungswerkzeug.</w:t>
      </w:r>
    </w:p>
    <w:p w:rsidR="009A2130" w:rsidRDefault="00E50336" w:rsidP="009A2130">
      <w:r>
        <w:pict>
          <v:rect id="_x0000_i3391" style="width:0;height:1.5pt" o:hralign="center" o:hrstd="t" o:hr="t" fillcolor="#a0a0a0" stroked="f"/>
        </w:pict>
      </w:r>
    </w:p>
    <w:p w:rsidR="009A2130" w:rsidRDefault="009A2130" w:rsidP="009A2130">
      <w:pPr>
        <w:pStyle w:val="berschrift1"/>
      </w:pPr>
      <w:r>
        <w:t>3.3.45.294 Invarianzverletzung als Signal einer Modellgrenze</w:t>
      </w:r>
    </w:p>
    <w:p w:rsidR="009A2130" w:rsidRDefault="009A2130" w:rsidP="009A2130">
      <w:pPr>
        <w:pStyle w:val="StandardWeb"/>
      </w:pPr>
      <w:r>
        <w:lastRenderedPageBreak/>
        <w:t>Eine systematische Invarianzverletzung kann verschiedene Ursachen besitzen:</w:t>
      </w:r>
    </w:p>
    <w:p w:rsidR="009A2130" w:rsidRDefault="009A2130" w:rsidP="009A2130">
      <w:pPr>
        <w:pStyle w:val="StandardWeb"/>
      </w:pPr>
      <w:r>
        <w:t>[</w:t>
      </w:r>
      <w:r>
        <w:br/>
        <w:t>\text{Messfehler},</w:t>
      </w:r>
      <w:r>
        <w:br/>
        <w:t>\quad</w:t>
      </w:r>
      <w:r>
        <w:br/>
        <w:t>\text{Modellfehler},</w:t>
      </w:r>
      <w:r>
        <w:br/>
        <w:t>\quad</w:t>
      </w:r>
      <w:r>
        <w:br/>
        <w:t>\text{fehlende Zustandsvariable},</w:t>
      </w:r>
      <w:r>
        <w:br/>
        <w:t>\quad</w:t>
      </w:r>
      <w:r>
        <w:br/>
        <w:t>\text{falsche Übergangsrelation},</w:t>
      </w:r>
      <w:r>
        <w:br/>
        <w:t>\quad</w:t>
      </w:r>
      <w:r>
        <w:br/>
        <w:t>\text{tatsächliche Nichtinvarianz}.</w:t>
      </w:r>
      <w:r>
        <w:br/>
        <w:t>\tag{3.10572}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\text{Messfehler},\quad\text{Modellfehler},\quad\text{fehlende Zustandsvariable},\quad\text{falsche Übergangsrelation},\quad\text{tatsächliche Nichtinvarianz}</w:t>
      </w:r>
    </w:p>
    <w:p w:rsidR="009A2130" w:rsidRDefault="009A2130" w:rsidP="009A2130">
      <w:pPr>
        <w:pStyle w:val="StandardWeb"/>
      </w:pPr>
      <w:r>
        <w:t>Deshalb darf eine Verletzung nicht ohne zusätzliche Analyse kausal interpretiert werden.</w:t>
      </w:r>
    </w:p>
    <w:p w:rsidR="009A2130" w:rsidRDefault="00E50336" w:rsidP="009A2130">
      <w:r>
        <w:pict>
          <v:rect id="_x0000_i3392" style="width:0;height:1.5pt" o:hralign="center" o:hrstd="t" o:hr="t" fillcolor="#a0a0a0" stroked="f"/>
        </w:pict>
      </w:r>
    </w:p>
    <w:p w:rsidR="009A2130" w:rsidRDefault="009A2130" w:rsidP="009A2130">
      <w:pPr>
        <w:pStyle w:val="berschrift1"/>
      </w:pPr>
      <w:r>
        <w:t>3.3.45.295 Invarianzresiduum</w:t>
      </w:r>
    </w:p>
    <w:p w:rsidR="009A2130" w:rsidRDefault="009A2130" w:rsidP="009A2130">
      <w:pPr>
        <w:pStyle w:val="StandardWeb"/>
      </w:pPr>
      <w:r>
        <w:t>Für signierte skalare Größen kann statt des Absolutbetrags zunächst ein Residuum verwendet werden:</w:t>
      </w:r>
    </w:p>
    <w:p w:rsidR="009A2130" w:rsidRDefault="009A2130" w:rsidP="009A2130">
      <w:pPr>
        <w:pStyle w:val="berschrift1"/>
      </w:pPr>
      <w:r>
        <w:t>[</w:t>
      </w:r>
      <w:r>
        <w:br/>
        <w:t>R_I(z_i,z_j)</w:t>
      </w:r>
    </w:p>
    <w:p w:rsidR="009A2130" w:rsidRDefault="009A2130" w:rsidP="009A2130">
      <w:pPr>
        <w:pStyle w:val="StandardWeb"/>
      </w:pPr>
      <w:r>
        <w:t>I_F(z_j)-I_F(z_i).</w:t>
      </w:r>
      <w:r>
        <w:br/>
        <w:t>\tag{3.10573}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R_I(z_i,z_j)=I_F(z_j)-I_F(z_i)</w:t>
      </w:r>
    </w:p>
    <w:p w:rsidR="009A2130" w:rsidRDefault="00E50336" w:rsidP="009A2130">
      <w:r>
        <w:pict>
          <v:rect id="_x0000_i3393" style="width:0;height:1.5pt" o:hralign="center" o:hrstd="t" o:hr="t" fillcolor="#a0a0a0" stroked="f"/>
        </w:pict>
      </w:r>
    </w:p>
    <w:p w:rsidR="009A2130" w:rsidRDefault="009A2130" w:rsidP="009A2130">
      <w:pPr>
        <w:pStyle w:val="berschrift1"/>
      </w:pPr>
      <w:r>
        <w:t>3.3.45.296 Definition 3.3.155 – Funktionales Invarianzresiduum</w:t>
      </w:r>
    </w:p>
    <w:p w:rsidR="009A2130" w:rsidRDefault="009A2130" w:rsidP="009A2130">
      <w:pPr>
        <w:pStyle w:val="berschrift3"/>
      </w:pPr>
      <w:r>
        <w:t>Definition 3.3.155</w:t>
      </w:r>
    </w:p>
    <w:p w:rsidR="009A2130" w:rsidRDefault="009A2130" w:rsidP="009A2130">
      <w:pPr>
        <w:pStyle w:val="StandardWeb"/>
      </w:pPr>
      <w:r>
        <w:t xml:space="preserve">Für eine skalare funktionale Größe definiere ich das </w:t>
      </w:r>
      <w:r>
        <w:rPr>
          <w:rStyle w:val="Fett"/>
        </w:rPr>
        <w:t>funktionale Invarianzresiduum</w:t>
      </w:r>
      <w:r>
        <w:t xml:space="preserve"> durch</w:t>
      </w:r>
    </w:p>
    <w:p w:rsidR="009A2130" w:rsidRDefault="009A2130" w:rsidP="009A2130">
      <w:pPr>
        <w:pStyle w:val="StandardWeb"/>
      </w:pPr>
      <w:r>
        <w:lastRenderedPageBreak/>
        <w:t>[</w:t>
      </w:r>
      <w:r>
        <w:br/>
        <w:t>\boxed{</w:t>
      </w:r>
      <w:r>
        <w:br/>
        <w:t>R_I(z_i,z_j)</w:t>
      </w:r>
      <w:r>
        <w:br/>
        <w:t>:=</w:t>
      </w:r>
      <w:r>
        <w:br/>
        <w:t>I_F(z_j)-I_F(z_i).</w:t>
      </w:r>
      <w:r>
        <w:br/>
        <w:t>}</w:t>
      </w:r>
      <w:r>
        <w:br/>
        <w:t>\tag{3.10574}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\boxed{R_I(z_i,z_j):=I_F(z_j)-I_F(z_i).}</w:t>
      </w:r>
    </w:p>
    <w:p w:rsidR="009A2130" w:rsidRDefault="009A2130" w:rsidP="009A2130">
      <w:pPr>
        <w:pStyle w:val="StandardWeb"/>
      </w:pPr>
      <w:r>
        <w:t>Es gilt</w:t>
      </w:r>
    </w:p>
    <w:p w:rsidR="009A2130" w:rsidRDefault="009A2130" w:rsidP="009A2130">
      <w:pPr>
        <w:pStyle w:val="berschrift1"/>
      </w:pPr>
      <w:r>
        <w:t>[</w:t>
      </w:r>
      <w:r>
        <w:br/>
        <w:t>\Delta_I(z_i,z_j)</w:t>
      </w:r>
    </w:p>
    <w:p w:rsidR="009A2130" w:rsidRDefault="009A2130" w:rsidP="009A2130">
      <w:pPr>
        <w:pStyle w:val="StandardWeb"/>
      </w:pPr>
      <w:r>
        <w:t>|R_I(z_i,z_j)|.</w:t>
      </w:r>
      <w:r>
        <w:br/>
        <w:t>\tag{3.10575}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\Delta_I(z_i,z_j)=|R_I(z_i,z_j)|</w:t>
      </w:r>
    </w:p>
    <w:p w:rsidR="009A2130" w:rsidRDefault="00E50336" w:rsidP="009A2130">
      <w:r>
        <w:pict>
          <v:rect id="_x0000_i3394" style="width:0;height:1.5pt" o:hralign="center" o:hrstd="t" o:hr="t" fillcolor="#a0a0a0" stroked="f"/>
        </w:pict>
      </w:r>
    </w:p>
    <w:p w:rsidR="009A2130" w:rsidRDefault="009A2130" w:rsidP="009A2130">
      <w:pPr>
        <w:pStyle w:val="berschrift1"/>
      </w:pPr>
      <w:r>
        <w:t>3.3.45.297 Richtung einer Invarianzverletzung</w:t>
      </w:r>
    </w:p>
    <w:p w:rsidR="009A2130" w:rsidRDefault="009A2130" w:rsidP="009A2130">
      <w:pPr>
        <w:pStyle w:val="StandardWeb"/>
      </w:pPr>
      <w:r>
        <w:t>Im Gegensatz zu (\Delta_I) enthält (R_I) Vorzeicheninformation.</w:t>
      </w:r>
    </w:p>
    <w:p w:rsidR="009A2130" w:rsidRDefault="009A2130" w:rsidP="009A2130">
      <w:pPr>
        <w:pStyle w:val="StandardWeb"/>
      </w:pPr>
      <w:r>
        <w:t>Es gilt</w:t>
      </w:r>
    </w:p>
    <w:p w:rsidR="009A2130" w:rsidRDefault="009A2130" w:rsidP="009A2130">
      <w:pPr>
        <w:pStyle w:val="StandardWeb"/>
      </w:pPr>
      <w:r>
        <w:t>[</w:t>
      </w:r>
      <w:r>
        <w:br/>
        <w:t>R_I&gt;0</w:t>
      </w:r>
      <w:r>
        <w:br/>
        <w:t>\tag{3.10576}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R_I&gt;0</w:t>
      </w:r>
    </w:p>
    <w:p w:rsidR="009A2130" w:rsidRDefault="009A2130" w:rsidP="009A2130">
      <w:pPr>
        <w:pStyle w:val="StandardWeb"/>
      </w:pPr>
      <w:r>
        <w:t>für eine Zunahme und</w:t>
      </w:r>
    </w:p>
    <w:p w:rsidR="009A2130" w:rsidRDefault="009A2130" w:rsidP="009A2130">
      <w:pPr>
        <w:pStyle w:val="StandardWeb"/>
      </w:pPr>
      <w:r>
        <w:t>[</w:t>
      </w:r>
      <w:r>
        <w:br/>
        <w:t>R_I&lt;0</w:t>
      </w:r>
      <w:r>
        <w:br/>
        <w:t>\tag{3.10577}</w:t>
      </w:r>
      <w:r>
        <w:br/>
        <w:t>]</w:t>
      </w:r>
    </w:p>
    <w:p w:rsidR="009A2130" w:rsidRDefault="009A2130" w:rsidP="009A2130">
      <w:pPr>
        <w:pStyle w:val="StandardWeb"/>
      </w:pPr>
      <w:r>
        <w:rPr>
          <w:rStyle w:val="Fett"/>
        </w:rPr>
        <w:lastRenderedPageBreak/>
        <w:t>Word-LaTeX</w:t>
      </w:r>
    </w:p>
    <w:p w:rsidR="009A2130" w:rsidRDefault="009A2130" w:rsidP="009A2130">
      <w:pPr>
        <w:pStyle w:val="HTMLVorformatiert"/>
        <w:rPr>
          <w:rStyle w:val="HTMLCode"/>
        </w:rPr>
      </w:pPr>
      <w:r>
        <w:rPr>
          <w:rStyle w:val="HTMLCode"/>
        </w:rPr>
        <w:t>R_I&lt;0</w:t>
      </w:r>
    </w:p>
    <w:p w:rsidR="009A2130" w:rsidRDefault="009A2130" w:rsidP="009A2130">
      <w:pPr>
        <w:pStyle w:val="StandardWeb"/>
      </w:pPr>
      <w:r>
        <w:t>für eine Abnahme der betrachteten Größe entlang des Übergangs.</w:t>
      </w:r>
    </w:p>
    <w:p w:rsidR="009A2130" w:rsidRDefault="009A2130" w:rsidP="009A2130">
      <w:pPr>
        <w:pStyle w:val="StandardWeb"/>
      </w:pPr>
      <w:r>
        <w:t>Diese Interpretation setzt allerdings voraus, dass der Zielraum eine geordnete skalare Struktur besitzt.</w:t>
      </w:r>
    </w:p>
    <w:p w:rsidR="009A2130" w:rsidRDefault="00E50336" w:rsidP="009A2130">
      <w:r>
        <w:pict>
          <v:rect id="_x0000_i3395" style="width:0;height:1.5pt" o:hralign="center" o:hrstd="t" o:hr="t" fillcolor="#a0a0a0" stroked="f"/>
        </w:pict>
      </w:r>
    </w:p>
    <w:p w:rsidR="009A2130" w:rsidRDefault="009A2130" w:rsidP="009A2130">
      <w:pPr>
        <w:pStyle w:val="berschrift1"/>
      </w:pPr>
      <w:r>
        <w:t>3.3.45.298 Mittleres Residuum</w:t>
      </w:r>
    </w:p>
    <w:p w:rsidR="009A2130" w:rsidRDefault="009A2130" w:rsidP="009A2130">
      <w:pPr>
        <w:pStyle w:val="StandardWeb"/>
      </w:pPr>
      <w:r>
        <w:t>Für eine endliche Übergangsmenge kann</w:t>
      </w:r>
    </w:p>
    <w:p w:rsidR="009A2130" w:rsidRDefault="009A2130" w:rsidP="009A2130">
      <w:pPr>
        <w:pStyle w:val="berschrift1"/>
      </w:pPr>
      <w:r>
        <w:t>[</w:t>
      </w:r>
      <w:r>
        <w:br/>
        <w:t>\overline R_I</w:t>
      </w:r>
    </w:p>
    <w:p w:rsidR="009A2130" w:rsidRDefault="009A2130" w:rsidP="009A2130">
      <w:pPr>
        <w:pStyle w:val="StandardWeb"/>
      </w:pPr>
      <w:r>
        <w:t>\frac{1}{|\mathcal T_F|}</w:t>
      </w:r>
      <w:r>
        <w:br/>
        <w:t>\sum_{(z_i,z_j)\in\mathcal T_F}</w:t>
      </w:r>
      <w:r>
        <w:br/>
        <w:t>R_I(z_i,z_j)</w:t>
      </w:r>
      <w:r>
        <w:br/>
        <w:t>\tag{3.10578}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\overline R_I=\frac{1}{|\mathcal T_F|}\sum_{(z_i,z_j)\in\mathcal T_F}R_I(z_i,z_j)</w:t>
      </w:r>
    </w:p>
    <w:p w:rsidR="009A2130" w:rsidRDefault="009A2130" w:rsidP="009A2130">
      <w:pPr>
        <w:pStyle w:val="StandardWeb"/>
      </w:pPr>
      <w:r>
        <w:t>gebildet werden.</w:t>
      </w:r>
    </w:p>
    <w:p w:rsidR="009A2130" w:rsidRDefault="009A2130" w:rsidP="009A2130">
      <w:pPr>
        <w:pStyle w:val="StandardWeb"/>
      </w:pPr>
      <w:r>
        <w:t>Ein Wert nahe null garantiert jedoch keine Invarianz.</w:t>
      </w:r>
    </w:p>
    <w:p w:rsidR="009A2130" w:rsidRDefault="00E50336" w:rsidP="009A2130">
      <w:r>
        <w:pict>
          <v:rect id="_x0000_i3396" style="width:0;height:1.5pt" o:hralign="center" o:hrstd="t" o:hr="t" fillcolor="#a0a0a0" stroked="f"/>
        </w:pict>
      </w:r>
    </w:p>
    <w:p w:rsidR="009A2130" w:rsidRDefault="009A2130" w:rsidP="009A2130">
      <w:pPr>
        <w:pStyle w:val="berschrift1"/>
      </w:pPr>
      <w:r>
        <w:t>3.3.45.299 Kompensation positiver und negativer Verletzungen</w:t>
      </w:r>
    </w:p>
    <w:p w:rsidR="009A2130" w:rsidRDefault="009A2130" w:rsidP="009A2130">
      <w:pPr>
        <w:pStyle w:val="StandardWeb"/>
      </w:pPr>
      <w:r>
        <w:t>Es kann beispielsweise gelten</w:t>
      </w:r>
    </w:p>
    <w:p w:rsidR="009A2130" w:rsidRDefault="009A2130" w:rsidP="009A2130">
      <w:pPr>
        <w:pStyle w:val="berschrift1"/>
      </w:pPr>
      <w:r>
        <w:t>[</w:t>
      </w:r>
      <w:r>
        <w:br/>
        <w:t>R_I^{(1)}</w:t>
      </w:r>
    </w:p>
    <w:p w:rsidR="009A2130" w:rsidRDefault="009A2130" w:rsidP="009A2130">
      <w:pPr>
        <w:pStyle w:val="StandardWeb"/>
      </w:pPr>
      <w:r>
        <w:t>+a</w:t>
      </w:r>
      <w:r>
        <w:br/>
        <w:t>\tag{3.10579}</w:t>
      </w:r>
      <w:r>
        <w:br/>
        <w:t>]</w:t>
      </w:r>
    </w:p>
    <w:p w:rsidR="009A2130" w:rsidRDefault="009A2130" w:rsidP="009A2130">
      <w:pPr>
        <w:pStyle w:val="StandardWeb"/>
      </w:pPr>
      <w:r>
        <w:rPr>
          <w:rStyle w:val="Fett"/>
        </w:rPr>
        <w:lastRenderedPageBreak/>
        <w:t>Word-LaTeX</w:t>
      </w:r>
    </w:p>
    <w:p w:rsidR="009A2130" w:rsidRDefault="009A2130" w:rsidP="009A2130">
      <w:pPr>
        <w:pStyle w:val="HTMLVorformatiert"/>
        <w:rPr>
          <w:rStyle w:val="HTMLCode"/>
        </w:rPr>
      </w:pPr>
      <w:r>
        <w:rPr>
          <w:rStyle w:val="HTMLCode"/>
        </w:rPr>
        <w:t>R_I^{(1)}=+a</w:t>
      </w:r>
    </w:p>
    <w:p w:rsidR="009A2130" w:rsidRDefault="009A2130" w:rsidP="009A2130">
      <w:pPr>
        <w:pStyle w:val="StandardWeb"/>
      </w:pPr>
      <w:r>
        <w:t>und</w:t>
      </w:r>
    </w:p>
    <w:p w:rsidR="009A2130" w:rsidRDefault="009A2130" w:rsidP="009A2130">
      <w:pPr>
        <w:pStyle w:val="berschrift1"/>
      </w:pPr>
      <w:r>
        <w:t>[</w:t>
      </w:r>
      <w:r>
        <w:br/>
        <w:t>R_I^{(2)}</w:t>
      </w:r>
    </w:p>
    <w:p w:rsidR="009A2130" w:rsidRDefault="009A2130" w:rsidP="009A2130">
      <w:pPr>
        <w:pStyle w:val="StandardWeb"/>
      </w:pPr>
      <w:r>
        <w:t>-a,</w:t>
      </w:r>
      <w:r>
        <w:br/>
        <w:t>\tag{3.10580}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R_I^{(2)}=-a</w:t>
      </w:r>
    </w:p>
    <w:p w:rsidR="009A2130" w:rsidRDefault="009A2130" w:rsidP="009A2130">
      <w:pPr>
        <w:pStyle w:val="StandardWeb"/>
      </w:pPr>
      <w:r>
        <w:t>so dass</w:t>
      </w:r>
    </w:p>
    <w:p w:rsidR="009A2130" w:rsidRDefault="009A2130" w:rsidP="009A2130">
      <w:pPr>
        <w:pStyle w:val="StandardWeb"/>
      </w:pPr>
      <w:r>
        <w:t>[</w:t>
      </w:r>
      <w:r>
        <w:br/>
        <w:t>\overline R_I=0</w:t>
      </w:r>
      <w:r>
        <w:br/>
        <w:t>\tag{3.10581}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\overline R_I=0</w:t>
      </w:r>
    </w:p>
    <w:p w:rsidR="009A2130" w:rsidRDefault="009A2130" w:rsidP="009A2130">
      <w:pPr>
        <w:pStyle w:val="StandardWeb"/>
      </w:pPr>
      <w:r>
        <w:t>obwohl beide Übergänge die exakte Invarianz verletzen.</w:t>
      </w:r>
    </w:p>
    <w:p w:rsidR="009A2130" w:rsidRDefault="009A2130" w:rsidP="009A2130">
      <w:pPr>
        <w:pStyle w:val="StandardWeb"/>
      </w:pPr>
      <w:r>
        <w:t>Daher gilt</w:t>
      </w:r>
    </w:p>
    <w:p w:rsidR="009A2130" w:rsidRDefault="009A2130" w:rsidP="009A2130">
      <w:pPr>
        <w:pStyle w:val="StandardWeb"/>
      </w:pPr>
      <w:r>
        <w:t>[</w:t>
      </w:r>
      <w:r>
        <w:br/>
        <w:t>\boxed{</w:t>
      </w:r>
      <w:r>
        <w:br/>
        <w:t>\overline R_I=0</w:t>
      </w:r>
      <w:r>
        <w:br/>
        <w:t>\nRightarrow</w:t>
      </w:r>
      <w:r>
        <w:br/>
        <w:t>I_F\in\mathcal I_F.</w:t>
      </w:r>
      <w:r>
        <w:br/>
        <w:t>}</w:t>
      </w:r>
      <w:r>
        <w:br/>
        <w:t>\tag{3.10582}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\boxed{\overline R_I=0\nRightarrow I_F\in\mathcal I_F.}</w:t>
      </w:r>
    </w:p>
    <w:p w:rsidR="009A2130" w:rsidRDefault="00E50336" w:rsidP="009A2130">
      <w:r>
        <w:pict>
          <v:rect id="_x0000_i3397" style="width:0;height:1.5pt" o:hralign="center" o:hrstd="t" o:hr="t" fillcolor="#a0a0a0" stroked="f"/>
        </w:pict>
      </w:r>
    </w:p>
    <w:p w:rsidR="009A2130" w:rsidRDefault="009A2130" w:rsidP="009A2130">
      <w:pPr>
        <w:pStyle w:val="berschrift1"/>
      </w:pPr>
      <w:r>
        <w:t>3.3.45.300 Quadratische Invarianzabweichung</w:t>
      </w:r>
    </w:p>
    <w:p w:rsidR="009A2130" w:rsidRDefault="009A2130" w:rsidP="009A2130">
      <w:pPr>
        <w:pStyle w:val="StandardWeb"/>
      </w:pPr>
      <w:r>
        <w:t>Für eine stärkere Gewichtung großer Residuen kann definiert werden</w:t>
      </w:r>
    </w:p>
    <w:p w:rsidR="009A2130" w:rsidRDefault="009A2130" w:rsidP="009A2130">
      <w:pPr>
        <w:pStyle w:val="berschrift1"/>
      </w:pPr>
      <w:r>
        <w:lastRenderedPageBreak/>
        <w:t>[</w:t>
      </w:r>
      <w:r>
        <w:br/>
        <w:t>E_I^{(2)}</w:t>
      </w:r>
    </w:p>
    <w:p w:rsidR="009A2130" w:rsidRDefault="009A2130" w:rsidP="009A2130">
      <w:pPr>
        <w:pStyle w:val="StandardWeb"/>
      </w:pPr>
      <w:r>
        <w:t>\frac{1}{|\mathcal T_F|}</w:t>
      </w:r>
      <w:r>
        <w:br/>
        <w:t>\sum_{(z_i,z_j)\in\mathcal T_F}</w:t>
      </w:r>
      <w:r>
        <w:br/>
        <w:t>R_I(z_i,z_j)^2.</w:t>
      </w:r>
      <w:r>
        <w:br/>
        <w:t>\tag{3.10583}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E_I^{(2)}=\frac{1}{|\mathcal T_F|}\sum_{(z_i,z_j)\in\mathcal T_F}R_I(z_i,z_j)^2</w:t>
      </w:r>
    </w:p>
    <w:p w:rsidR="009A2130" w:rsidRDefault="00E50336" w:rsidP="009A2130">
      <w:r>
        <w:pict>
          <v:rect id="_x0000_i3398" style="width:0;height:1.5pt" o:hralign="center" o:hrstd="t" o:hr="t" fillcolor="#a0a0a0" stroked="f"/>
        </w:pict>
      </w:r>
    </w:p>
    <w:p w:rsidR="009A2130" w:rsidRDefault="009A2130" w:rsidP="009A2130">
      <w:pPr>
        <w:pStyle w:val="berschrift1"/>
      </w:pPr>
      <w:r>
        <w:t>3.3.45.301 Definition 3.3.156 – Mittlere quadratische Invarianzverletzung</w:t>
      </w:r>
    </w:p>
    <w:p w:rsidR="009A2130" w:rsidRDefault="009A2130" w:rsidP="009A2130">
      <w:pPr>
        <w:pStyle w:val="berschrift3"/>
      </w:pPr>
      <w:r>
        <w:t>Definition 3.3.156</w:t>
      </w:r>
    </w:p>
    <w:p w:rsidR="009A2130" w:rsidRDefault="009A2130" w:rsidP="009A2130">
      <w:pPr>
        <w:pStyle w:val="StandardWeb"/>
      </w:pPr>
      <w:r>
        <w:t>Für eine endliche nichtleere Übergangsmenge definiere ich</w:t>
      </w:r>
    </w:p>
    <w:p w:rsidR="009A2130" w:rsidRDefault="009A2130" w:rsidP="009A2130">
      <w:pPr>
        <w:pStyle w:val="StandardWeb"/>
      </w:pPr>
      <w:r>
        <w:t>[</w:t>
      </w:r>
      <w:r>
        <w:br/>
        <w:t>\boxed{</w:t>
      </w:r>
      <w:r>
        <w:br/>
        <w:t>E_I^{(2)}</w:t>
      </w:r>
      <w:r>
        <w:br/>
        <w:t>:=</w:t>
      </w:r>
      <w:r>
        <w:br/>
        <w:t>\frac{1}{|\mathcal T_F|}</w:t>
      </w:r>
      <w:r>
        <w:br/>
        <w:t>\sum_{(z_i,z_j)\in\mathcal T_F}</w:t>
      </w:r>
      <w:r>
        <w:br/>
        <w:t>R_I(z_i,z_j)^2.</w:t>
      </w:r>
      <w:r>
        <w:br/>
        <w:t>}</w:t>
      </w:r>
      <w:r>
        <w:br/>
        <w:t>\tag{3.10584}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\boxed{E_I^{(2)}:=\frac{1}{|\mathcal T_F|}\sum_{(z_i,z_j)\in\mathcal T_F}R_I(z_i,z_j)^2.}</w:t>
      </w:r>
    </w:p>
    <w:p w:rsidR="009A2130" w:rsidRDefault="00E50336" w:rsidP="009A2130">
      <w:r>
        <w:pict>
          <v:rect id="_x0000_i3399" style="width:0;height:1.5pt" o:hralign="center" o:hrstd="t" o:hr="t" fillcolor="#a0a0a0" stroked="f"/>
        </w:pict>
      </w:r>
    </w:p>
    <w:p w:rsidR="009A2130" w:rsidRDefault="009A2130" w:rsidP="009A2130">
      <w:pPr>
        <w:pStyle w:val="berschrift1"/>
      </w:pPr>
      <w:r>
        <w:t>3.3.45.302 Nullkriterium der quadratischen Verletzung</w:t>
      </w:r>
    </w:p>
    <w:p w:rsidR="009A2130" w:rsidRDefault="009A2130" w:rsidP="009A2130">
      <w:pPr>
        <w:pStyle w:val="StandardWeb"/>
      </w:pPr>
      <w:r>
        <w:t>Da sämtliche Summanden nichtnegativ sind, gilt</w:t>
      </w:r>
    </w:p>
    <w:p w:rsidR="009A2130" w:rsidRDefault="009A2130" w:rsidP="009A2130">
      <w:pPr>
        <w:pStyle w:val="StandardWeb"/>
      </w:pPr>
      <w:r>
        <w:t>[</w:t>
      </w:r>
      <w:r>
        <w:br/>
        <w:t>E_I^{(2)}=0</w:t>
      </w:r>
      <w:r>
        <w:br/>
        <w:t>\Longleftrightarrow</w:t>
      </w:r>
      <w:r>
        <w:br/>
        <w:t>R_I(z_i,z_j)=0</w:t>
      </w:r>
      <w:r>
        <w:br/>
        <w:t>\quad</w:t>
      </w:r>
      <w:r>
        <w:br/>
      </w:r>
      <w:r>
        <w:lastRenderedPageBreak/>
        <w:t>\forall(z_i,z_j)\in\mathcal T_F.</w:t>
      </w:r>
      <w:r>
        <w:br/>
        <w:t>\tag{3.10585}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E_I^{(2)}=0\Longleftrightarrow R_I(z_i,z_j)=0\quad\forall(z_i,z_j)\in\mathcal T_F</w:t>
      </w:r>
    </w:p>
    <w:p w:rsidR="009A2130" w:rsidRDefault="00E50336" w:rsidP="009A2130">
      <w:r>
        <w:pict>
          <v:rect id="_x0000_i3400" style="width:0;height:1.5pt" o:hralign="center" o:hrstd="t" o:hr="t" fillcolor="#a0a0a0" stroked="f"/>
        </w:pict>
      </w:r>
    </w:p>
    <w:p w:rsidR="009A2130" w:rsidRDefault="009A2130" w:rsidP="009A2130">
      <w:pPr>
        <w:pStyle w:val="berschrift1"/>
      </w:pPr>
      <w:r>
        <w:t>3.3.45.303 Satz 3.3.69 – Nullkriterium der mittleren quadratischen Invarianzverletzung</w:t>
      </w:r>
    </w:p>
    <w:p w:rsidR="009A2130" w:rsidRDefault="009A2130" w:rsidP="009A2130">
      <w:pPr>
        <w:pStyle w:val="berschrift3"/>
      </w:pPr>
      <w:r>
        <w:t>Satz 3.3.69</w:t>
      </w:r>
    </w:p>
    <w:p w:rsidR="009A2130" w:rsidRDefault="009A2130" w:rsidP="009A2130">
      <w:pPr>
        <w:pStyle w:val="StandardWeb"/>
      </w:pPr>
      <w:r>
        <w:t>Für eine endliche nichtleere Übergangsmenge gilt</w:t>
      </w:r>
    </w:p>
    <w:p w:rsidR="009A2130" w:rsidRDefault="009A2130" w:rsidP="009A2130">
      <w:pPr>
        <w:pStyle w:val="berschrift1"/>
      </w:pPr>
      <w:r>
        <w:t>[</w:t>
      </w:r>
      <w:r>
        <w:br/>
        <w:t>\boxed{</w:t>
      </w:r>
      <w:r>
        <w:br/>
        <w:t>E_I^{(2)}</w:t>
      </w:r>
    </w:p>
    <w:p w:rsidR="009A2130" w:rsidRDefault="009A2130" w:rsidP="009A2130">
      <w:pPr>
        <w:pStyle w:val="StandardWeb"/>
      </w:pPr>
      <w:r>
        <w:t>0</w:t>
      </w:r>
      <w:r>
        <w:br/>
        <w:t>\Longleftrightarrow</w:t>
      </w:r>
      <w:r>
        <w:br/>
        <w:t>I_F</w:t>
      </w:r>
      <w:r>
        <w:br/>
        <w:t>\in</w:t>
      </w:r>
      <w:r>
        <w:br/>
        <w:t>\mathcal I_F(\mathcal M).</w:t>
      </w:r>
      <w:r>
        <w:br/>
        <w:t>}</w:t>
      </w:r>
      <w:r>
        <w:br/>
        <w:t>\tag{3.10586}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\boxed{E_I^{(2)}=0\Longleftrightarrow I_F\in\mathcal I_F(\mathcal M).}</w:t>
      </w:r>
    </w:p>
    <w:p w:rsidR="009A2130" w:rsidRDefault="009A2130" w:rsidP="009A2130">
      <w:pPr>
        <w:pStyle w:val="berschrift3"/>
      </w:pPr>
      <w:r>
        <w:t>Beweis</w:t>
      </w:r>
    </w:p>
    <w:p w:rsidR="009A2130" w:rsidRDefault="009A2130" w:rsidP="009A2130">
      <w:pPr>
        <w:pStyle w:val="StandardWeb"/>
      </w:pPr>
      <w:r>
        <w:t>Die Summe von Quadraten ist genau dann null, wenn jeder einzelne Summand null ist. Damit gilt (R_I=0) auf jedem zulässigen Übergang, was exakt der Invarianzbedingung entspricht. (\square)</w:t>
      </w:r>
    </w:p>
    <w:p w:rsidR="009A2130" w:rsidRDefault="00E50336" w:rsidP="009A2130">
      <w:r>
        <w:pict>
          <v:rect id="_x0000_i3401" style="width:0;height:1.5pt" o:hralign="center" o:hrstd="t" o:hr="t" fillcolor="#a0a0a0" stroked="f"/>
        </w:pict>
      </w:r>
    </w:p>
    <w:p w:rsidR="009A2130" w:rsidRDefault="009A2130" w:rsidP="009A2130">
      <w:pPr>
        <w:pStyle w:val="berschrift1"/>
      </w:pPr>
      <w:r>
        <w:t>3.3.45.304 Wurzel der mittleren quadratischen Verletzung</w:t>
      </w:r>
    </w:p>
    <w:p w:rsidR="009A2130" w:rsidRDefault="009A2130" w:rsidP="009A2130">
      <w:pPr>
        <w:pStyle w:val="StandardWeb"/>
      </w:pPr>
      <w:r>
        <w:t>Als dimensionsgleiche Kennzahl kann</w:t>
      </w:r>
    </w:p>
    <w:p w:rsidR="009A2130" w:rsidRDefault="009A2130" w:rsidP="009A2130">
      <w:pPr>
        <w:pStyle w:val="berschrift1"/>
      </w:pPr>
      <w:r>
        <w:lastRenderedPageBreak/>
        <w:t>[</w:t>
      </w:r>
      <w:r>
        <w:br/>
        <w:t>\operatorname{RMS}_I</w:t>
      </w:r>
    </w:p>
    <w:p w:rsidR="009A2130" w:rsidRDefault="009A2130" w:rsidP="009A2130">
      <w:pPr>
        <w:pStyle w:val="StandardWeb"/>
      </w:pPr>
      <w:r>
        <w:t>\sqrt{</w:t>
      </w:r>
      <w:r>
        <w:br/>
        <w:t>E_I^{(2)}</w:t>
      </w:r>
      <w:r>
        <w:br/>
        <w:t>}</w:t>
      </w:r>
      <w:r>
        <w:br/>
        <w:t>\tag{3.10587}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\operatorname{RMS}_I=\sqrt{E_I^{(2)}}</w:t>
      </w:r>
    </w:p>
    <w:p w:rsidR="009A2130" w:rsidRDefault="009A2130" w:rsidP="009A2130">
      <w:pPr>
        <w:pStyle w:val="StandardWeb"/>
      </w:pPr>
      <w:r>
        <w:t>verwendet werden.</w:t>
      </w:r>
    </w:p>
    <w:p w:rsidR="009A2130" w:rsidRDefault="009A2130" w:rsidP="009A2130">
      <w:pPr>
        <w:pStyle w:val="StandardWeb"/>
      </w:pPr>
      <w:r>
        <w:t>Auch diese Größe ist ein Analysewerkzeug und keine neue theoretische Grundannahme.</w:t>
      </w:r>
    </w:p>
    <w:p w:rsidR="009A2130" w:rsidRDefault="00E50336" w:rsidP="009A2130">
      <w:r>
        <w:pict>
          <v:rect id="_x0000_i3402" style="width:0;height:1.5pt" o:hralign="center" o:hrstd="t" o:hr="t" fillcolor="#a0a0a0" stroked="f"/>
        </w:pict>
      </w:r>
    </w:p>
    <w:p w:rsidR="009A2130" w:rsidRDefault="009A2130" w:rsidP="009A2130">
      <w:pPr>
        <w:pStyle w:val="berschrift1"/>
      </w:pPr>
      <w:r>
        <w:t>3.3.45.305 Pfadweise Fehlerakkumulation</w:t>
      </w:r>
    </w:p>
    <w:p w:rsidR="009A2130" w:rsidRDefault="009A2130" w:rsidP="009A2130">
      <w:pPr>
        <w:pStyle w:val="StandardWeb"/>
      </w:pPr>
      <w:r>
        <w:t>Bislang wurden Einzelübergänge betrachtet.</w:t>
      </w:r>
    </w:p>
    <w:p w:rsidR="009A2130" w:rsidRDefault="009A2130" w:rsidP="009A2130">
      <w:pPr>
        <w:pStyle w:val="StandardWeb"/>
      </w:pPr>
      <w:r>
        <w:t>Für einen Pfad</w:t>
      </w:r>
    </w:p>
    <w:p w:rsidR="009A2130" w:rsidRDefault="009A2130" w:rsidP="009A2130">
      <w:pPr>
        <w:pStyle w:val="StandardWeb"/>
      </w:pPr>
      <w:r>
        <w:t>[</w:t>
      </w:r>
      <w:r>
        <w:br/>
        <w:t>z_0</w:t>
      </w:r>
      <w:r>
        <w:br/>
        <w:t>\rightarrow</w:t>
      </w:r>
      <w:r>
        <w:br/>
        <w:t>z_1</w:t>
      </w:r>
      <w:r>
        <w:br/>
        <w:t>\rightarrow</w:t>
      </w:r>
      <w:r>
        <w:br/>
        <w:t>\cdots</w:t>
      </w:r>
      <w:r>
        <w:br/>
        <w:t>\rightarrow</w:t>
      </w:r>
      <w:r>
        <w:br/>
        <w:t>z_n</w:t>
      </w:r>
      <w:r>
        <w:br/>
        <w:t>\tag{3.10588}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z_0\rightarrow z_1\rightarrow\cdots\rightarrow z_n</w:t>
      </w:r>
    </w:p>
    <w:p w:rsidR="009A2130" w:rsidRDefault="009A2130" w:rsidP="009A2130">
      <w:pPr>
        <w:pStyle w:val="StandardWeb"/>
      </w:pPr>
      <w:r>
        <w:t>können sich kleine Einzelabweichungen akkumulieren.</w:t>
      </w:r>
    </w:p>
    <w:p w:rsidR="009A2130" w:rsidRDefault="00E50336" w:rsidP="009A2130">
      <w:r>
        <w:pict>
          <v:rect id="_x0000_i3403" style="width:0;height:1.5pt" o:hralign="center" o:hrstd="t" o:hr="t" fillcolor="#a0a0a0" stroked="f"/>
        </w:pict>
      </w:r>
    </w:p>
    <w:p w:rsidR="009A2130" w:rsidRDefault="009A2130" w:rsidP="009A2130">
      <w:pPr>
        <w:pStyle w:val="berschrift1"/>
      </w:pPr>
      <w:r>
        <w:t>3.3.45.306 Teleskopierende Residuen</w:t>
      </w:r>
    </w:p>
    <w:p w:rsidR="009A2130" w:rsidRDefault="009A2130" w:rsidP="009A2130">
      <w:pPr>
        <w:pStyle w:val="StandardWeb"/>
      </w:pPr>
      <w:r>
        <w:t>Für das signierte Residuum gilt</w:t>
      </w:r>
    </w:p>
    <w:p w:rsidR="009A2130" w:rsidRDefault="009A2130" w:rsidP="009A2130">
      <w:pPr>
        <w:pStyle w:val="berschrift1"/>
      </w:pPr>
      <w:r>
        <w:lastRenderedPageBreak/>
        <w:t>[</w:t>
      </w:r>
      <w:r>
        <w:br/>
        <w:t>\sum_{k=1}^{n}</w:t>
      </w:r>
      <w:r>
        <w:br/>
        <w:t>R_I(z_{k-1},z_k)</w:t>
      </w:r>
    </w:p>
    <w:p w:rsidR="009A2130" w:rsidRDefault="009A2130" w:rsidP="009A2130">
      <w:pPr>
        <w:pStyle w:val="StandardWeb"/>
      </w:pPr>
      <w:r>
        <w:t>I_F(z_n)-I_F(z_0).</w:t>
      </w:r>
      <w:r>
        <w:br/>
        <w:t>\tag{3.10589}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\sum_{k=1}^{n}R_I(z_{k-1},z_k)=I_F(z_n)-I_F(z_0)</w:t>
      </w:r>
    </w:p>
    <w:p w:rsidR="009A2130" w:rsidRDefault="009A2130" w:rsidP="009A2130">
      <w:pPr>
        <w:pStyle w:val="StandardWeb"/>
      </w:pPr>
      <w:r>
        <w:t>Die Zwischenterme heben sich gegenseitig auf.</w:t>
      </w:r>
    </w:p>
    <w:p w:rsidR="009A2130" w:rsidRDefault="00E50336" w:rsidP="009A2130">
      <w:r>
        <w:pict>
          <v:rect id="_x0000_i3404" style="width:0;height:1.5pt" o:hralign="center" o:hrstd="t" o:hr="t" fillcolor="#a0a0a0" stroked="f"/>
        </w:pict>
      </w:r>
    </w:p>
    <w:p w:rsidR="009A2130" w:rsidRDefault="009A2130" w:rsidP="009A2130">
      <w:pPr>
        <w:pStyle w:val="berschrift1"/>
      </w:pPr>
      <w:r>
        <w:t>3.3.45.307 Satz 3.3.70 – Teleskopierende Residuen entlang eines Pfades</w:t>
      </w:r>
    </w:p>
    <w:p w:rsidR="009A2130" w:rsidRDefault="009A2130" w:rsidP="009A2130">
      <w:pPr>
        <w:pStyle w:val="berschrift3"/>
      </w:pPr>
      <w:r>
        <w:t>Satz 3.3.70</w:t>
      </w:r>
    </w:p>
    <w:p w:rsidR="009A2130" w:rsidRDefault="009A2130" w:rsidP="009A2130">
      <w:pPr>
        <w:pStyle w:val="StandardWeb"/>
      </w:pPr>
      <w:r>
        <w:t>Für jeden endlichen funktionalen Übergangspfad gilt</w:t>
      </w:r>
    </w:p>
    <w:p w:rsidR="009A2130" w:rsidRDefault="009A2130" w:rsidP="009A2130">
      <w:pPr>
        <w:pStyle w:val="berschrift1"/>
      </w:pPr>
      <w:r>
        <w:t>[</w:t>
      </w:r>
      <w:r>
        <w:br/>
        <w:t>\boxed{</w:t>
      </w:r>
      <w:r>
        <w:br/>
        <w:t>\sum_{k=1}^{n}</w:t>
      </w:r>
      <w:r>
        <w:br/>
        <w:t>R_I(z_{k-1},z_k)</w:t>
      </w:r>
    </w:p>
    <w:p w:rsidR="009A2130" w:rsidRDefault="009A2130" w:rsidP="009A2130">
      <w:pPr>
        <w:pStyle w:val="StandardWeb"/>
      </w:pPr>
      <w:r>
        <w:t>I_F(z_n)-I_F(z_0).</w:t>
      </w:r>
      <w:r>
        <w:br/>
        <w:t>}</w:t>
      </w:r>
      <w:r>
        <w:br/>
        <w:t>\tag{3.10590}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\boxed{\sum_{k=1}^{n}R_I(z_{k-1},z_k)=I_F(z_n)-I_F(z_0).}</w:t>
      </w:r>
    </w:p>
    <w:p w:rsidR="009A2130" w:rsidRDefault="009A2130" w:rsidP="009A2130">
      <w:pPr>
        <w:pStyle w:val="berschrift3"/>
      </w:pPr>
      <w:r>
        <w:t>Beweis</w:t>
      </w:r>
    </w:p>
    <w:p w:rsidR="009A2130" w:rsidRDefault="009A2130" w:rsidP="009A2130">
      <w:pPr>
        <w:pStyle w:val="StandardWeb"/>
      </w:pPr>
      <w:r>
        <w:t>Einsetzen der Residuen liefert</w:t>
      </w:r>
    </w:p>
    <w:p w:rsidR="009A2130" w:rsidRDefault="009A2130" w:rsidP="009A2130">
      <w:pPr>
        <w:pStyle w:val="StandardWeb"/>
      </w:pPr>
      <w:r>
        <w:t>[</w:t>
      </w:r>
      <w:r>
        <w:br/>
        <w:t>\sum_{k=1}^{n}</w:t>
      </w:r>
      <w:r>
        <w:br/>
        <w:t>\left(</w:t>
      </w:r>
      <w:r>
        <w:br/>
        <w:t>I_F(z_k)-I_F(z_{k-1})</w:t>
      </w:r>
      <w:r>
        <w:br/>
      </w:r>
      <w:r>
        <w:lastRenderedPageBreak/>
        <w:t>\right).</w:t>
      </w:r>
      <w:r>
        <w:br/>
        <w:t>\tag{3.10591}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\sum_{k=1}^{n}\left(I_F(z_k)-I_F(z_{k-1})\right)</w:t>
      </w:r>
    </w:p>
    <w:p w:rsidR="009A2130" w:rsidRDefault="009A2130" w:rsidP="009A2130">
      <w:pPr>
        <w:pStyle w:val="StandardWeb"/>
      </w:pPr>
      <w:r>
        <w:t>Alle inneren Terme treten einmal positiv und einmal negativ auf. Übrig bleiben (I_F(z_n)-I_F(z_0)). (\square)</w:t>
      </w:r>
    </w:p>
    <w:p w:rsidR="009A2130" w:rsidRDefault="00E50336" w:rsidP="009A2130">
      <w:r>
        <w:pict>
          <v:rect id="_x0000_i3405" style="width:0;height:1.5pt" o:hralign="center" o:hrstd="t" o:hr="t" fillcolor="#a0a0a0" stroked="f"/>
        </w:pict>
      </w:r>
    </w:p>
    <w:p w:rsidR="009A2130" w:rsidRDefault="009A2130" w:rsidP="009A2130">
      <w:pPr>
        <w:pStyle w:val="berschrift1"/>
      </w:pPr>
      <w:r>
        <w:t>3.3.45.308 Schranke der Endpunktabweichung</w:t>
      </w:r>
    </w:p>
    <w:p w:rsidR="009A2130" w:rsidRDefault="009A2130" w:rsidP="009A2130">
      <w:pPr>
        <w:pStyle w:val="StandardWeb"/>
      </w:pPr>
      <w:r>
        <w:t>Aus der Dreiecksungleichung folgt</w:t>
      </w:r>
    </w:p>
    <w:p w:rsidR="009A2130" w:rsidRDefault="009A2130" w:rsidP="009A2130">
      <w:pPr>
        <w:pStyle w:val="StandardWeb"/>
      </w:pPr>
      <w:r>
        <w:t>[</w:t>
      </w:r>
      <w:r>
        <w:br/>
        <w:t>\left|</w:t>
      </w:r>
      <w:r>
        <w:br/>
        <w:t>I_F(z_n)-I_F(z_0)</w:t>
      </w:r>
      <w:r>
        <w:br/>
        <w:t>\right|</w:t>
      </w:r>
      <w:r>
        <w:br/>
        <w:t>\leq</w:t>
      </w:r>
      <w:r>
        <w:br/>
        <w:t>\sum_{k=1}^{n}</w:t>
      </w:r>
      <w:r>
        <w:br/>
        <w:t>\Delta_I(z_{k-1},z_k).</w:t>
      </w:r>
      <w:r>
        <w:br/>
        <w:t>\tag{3.10592}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\left|I_F(z_n)-I_F(z_0)\right|\leq\sum_{k=1}^{n}\Delta_I(z_{k-1},z_k)</w:t>
      </w:r>
    </w:p>
    <w:p w:rsidR="009A2130" w:rsidRDefault="00E50336" w:rsidP="009A2130">
      <w:r>
        <w:pict>
          <v:rect id="_x0000_i3406" style="width:0;height:1.5pt" o:hralign="center" o:hrstd="t" o:hr="t" fillcolor="#a0a0a0" stroked="f"/>
        </w:pict>
      </w:r>
    </w:p>
    <w:p w:rsidR="009A2130" w:rsidRDefault="009A2130" w:rsidP="009A2130">
      <w:pPr>
        <w:pStyle w:val="berschrift1"/>
      </w:pPr>
      <w:r>
        <w:t>3.3.45.309 Satz 3.3.71 – Akkumulationsschranke approximativer Invarianz</w:t>
      </w:r>
    </w:p>
    <w:p w:rsidR="009A2130" w:rsidRDefault="009A2130" w:rsidP="009A2130">
      <w:pPr>
        <w:pStyle w:val="berschrift3"/>
      </w:pPr>
      <w:r>
        <w:t>Satz 3.3.71</w:t>
      </w:r>
    </w:p>
    <w:p w:rsidR="009A2130" w:rsidRDefault="009A2130" w:rsidP="009A2130">
      <w:pPr>
        <w:pStyle w:val="StandardWeb"/>
      </w:pPr>
      <w:r>
        <w:t>Gilt auf jedem Übergang eines Pfades</w:t>
      </w:r>
    </w:p>
    <w:p w:rsidR="009A2130" w:rsidRDefault="009A2130" w:rsidP="009A2130">
      <w:pPr>
        <w:pStyle w:val="StandardWeb"/>
      </w:pPr>
      <w:r>
        <w:t>[</w:t>
      </w:r>
      <w:r>
        <w:br/>
        <w:t>\Delta_I(z_{k-1},z_k)</w:t>
      </w:r>
      <w:r>
        <w:br/>
        <w:t>\leq</w:t>
      </w:r>
      <w:r>
        <w:br/>
        <w:t>\varepsilon_I,</w:t>
      </w:r>
      <w:r>
        <w:br/>
        <w:t>\tag{3.10593}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\Delta_I(z_{k-1},z_k)\leq\varepsilon_I</w:t>
      </w:r>
    </w:p>
    <w:p w:rsidR="009A2130" w:rsidRDefault="009A2130" w:rsidP="009A2130">
      <w:pPr>
        <w:pStyle w:val="StandardWeb"/>
      </w:pPr>
      <w:r>
        <w:lastRenderedPageBreak/>
        <w:t>dann gilt</w:t>
      </w:r>
    </w:p>
    <w:p w:rsidR="009A2130" w:rsidRDefault="009A2130" w:rsidP="009A2130">
      <w:pPr>
        <w:pStyle w:val="StandardWeb"/>
      </w:pPr>
      <w:r>
        <w:t>[</w:t>
      </w:r>
      <w:r>
        <w:br/>
        <w:t>\boxed{</w:t>
      </w:r>
      <w:r>
        <w:br/>
        <w:t>|I_F(z_n)-I_F(z_0)|</w:t>
      </w:r>
      <w:r>
        <w:br/>
        <w:t>\leq</w:t>
      </w:r>
      <w:r>
        <w:br/>
        <w:t>n\varepsilon_I.</w:t>
      </w:r>
      <w:r>
        <w:br/>
        <w:t>}</w:t>
      </w:r>
      <w:r>
        <w:br/>
        <w:t>\tag{3.10594}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\boxed{|I_F(z_n)-I_F(z_0)|\leq n\varepsilon_I.}</w:t>
      </w:r>
    </w:p>
    <w:p w:rsidR="009A2130" w:rsidRDefault="009A2130" w:rsidP="009A2130">
      <w:pPr>
        <w:pStyle w:val="StandardWeb"/>
      </w:pPr>
      <w:r>
        <w:t>Approximative Einzelübergangsinvarianz garantiert daher nicht automatisch eine pfadlängenunabhängige globale Schranke.</w:t>
      </w:r>
    </w:p>
    <w:p w:rsidR="009A2130" w:rsidRDefault="00E50336" w:rsidP="009A2130">
      <w:r>
        <w:pict>
          <v:rect id="_x0000_i3407" style="width:0;height:1.5pt" o:hralign="center" o:hrstd="t" o:hr="t" fillcolor="#a0a0a0" stroked="f"/>
        </w:pict>
      </w:r>
    </w:p>
    <w:p w:rsidR="009A2130" w:rsidRDefault="009A2130" w:rsidP="009A2130">
      <w:pPr>
        <w:pStyle w:val="berschrift1"/>
      </w:pPr>
      <w:r>
        <w:t>3.3.45.310 Konsequenz für lange Pfade</w:t>
      </w:r>
    </w:p>
    <w:p w:rsidR="009A2130" w:rsidRDefault="009A2130" w:rsidP="009A2130">
      <w:pPr>
        <w:pStyle w:val="StandardWeb"/>
      </w:pPr>
      <w:r>
        <w:t>Für wachsendes (n) kann die Schranke</w:t>
      </w:r>
    </w:p>
    <w:p w:rsidR="009A2130" w:rsidRDefault="009A2130" w:rsidP="009A2130">
      <w:pPr>
        <w:pStyle w:val="StandardWeb"/>
      </w:pPr>
      <w:r>
        <w:t>[</w:t>
      </w:r>
      <w:r>
        <w:br/>
        <w:t>n\varepsilon_I</w:t>
      </w:r>
      <w:r>
        <w:br/>
        <w:t>\tag{3.10595}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n\varepsilon_I</w:t>
      </w:r>
    </w:p>
    <w:p w:rsidR="009A2130" w:rsidRDefault="009A2130" w:rsidP="009A2130">
      <w:pPr>
        <w:pStyle w:val="StandardWeb"/>
      </w:pPr>
      <w:r>
        <w:t>beliebig groß werden.</w:t>
      </w:r>
    </w:p>
    <w:p w:rsidR="009A2130" w:rsidRDefault="009A2130" w:rsidP="009A2130">
      <w:pPr>
        <w:pStyle w:val="StandardWeb"/>
      </w:pPr>
      <w:r>
        <w:t>Daher gilt</w:t>
      </w:r>
    </w:p>
    <w:p w:rsidR="009A2130" w:rsidRDefault="009A2130" w:rsidP="009A2130">
      <w:pPr>
        <w:pStyle w:val="StandardWeb"/>
      </w:pPr>
      <w:r>
        <w:t>[</w:t>
      </w:r>
      <w:r>
        <w:br/>
        <w:t>\boxed{</w:t>
      </w:r>
      <w:r>
        <w:br/>
        <w:t>\text{lokale }\varepsilon\text{-Invarianz}</w:t>
      </w:r>
      <w:r>
        <w:br/>
        <w:t>\nRightarrow</w:t>
      </w:r>
      <w:r>
        <w:br/>
        <w:t>\text{globale pfadlängenunabhängige }\varepsilon\text{-Invarianz}.</w:t>
      </w:r>
      <w:r>
        <w:br/>
        <w:t>}</w:t>
      </w:r>
      <w:r>
        <w:br/>
        <w:t>\tag{3.10596}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\boxed{\text{lokale }\varepsilon\text{-Invarianz}\nRightarrow\text{globale pfadlängenunabhängige }\varepsilon\text{-Invarianz}.}</w:t>
      </w:r>
    </w:p>
    <w:p w:rsidR="009A2130" w:rsidRDefault="00E50336" w:rsidP="009A2130">
      <w:r>
        <w:pict>
          <v:rect id="_x0000_i3408" style="width:0;height:1.5pt" o:hralign="center" o:hrstd="t" o:hr="t" fillcolor="#a0a0a0" stroked="f"/>
        </w:pict>
      </w:r>
    </w:p>
    <w:p w:rsidR="009A2130" w:rsidRDefault="009A2130" w:rsidP="009A2130">
      <w:pPr>
        <w:pStyle w:val="berschrift1"/>
      </w:pPr>
      <w:r>
        <w:lastRenderedPageBreak/>
        <w:t>3.3.45.311 Gleichmäßige Pfadinvarianz</w:t>
      </w:r>
    </w:p>
    <w:p w:rsidR="009A2130" w:rsidRDefault="009A2130" w:rsidP="009A2130">
      <w:pPr>
        <w:pStyle w:val="StandardWeb"/>
      </w:pPr>
      <w:r>
        <w:t>Soll eine Abweichung unabhängig von der Pfadlänge begrenzt bleiben, muss dies als zusätzliche Bedingung formuliert werden.</w:t>
      </w:r>
    </w:p>
    <w:p w:rsidR="009A2130" w:rsidRDefault="00E50336" w:rsidP="009A2130">
      <w:r>
        <w:pict>
          <v:rect id="_x0000_i3409" style="width:0;height:1.5pt" o:hralign="center" o:hrstd="t" o:hr="t" fillcolor="#a0a0a0" stroked="f"/>
        </w:pict>
      </w:r>
    </w:p>
    <w:p w:rsidR="009A2130" w:rsidRDefault="009A2130" w:rsidP="009A2130">
      <w:pPr>
        <w:pStyle w:val="berschrift1"/>
      </w:pPr>
      <w:r>
        <w:t>3.3.45.312 Definition 3.3.157 – Gleichmäßig approximative Pfadinvarianz</w:t>
      </w:r>
    </w:p>
    <w:p w:rsidR="009A2130" w:rsidRDefault="009A2130" w:rsidP="009A2130">
      <w:pPr>
        <w:pStyle w:val="berschrift3"/>
      </w:pPr>
      <w:r>
        <w:t>Definition 3.3.157</w:t>
      </w:r>
    </w:p>
    <w:p w:rsidR="009A2130" w:rsidRDefault="009A2130" w:rsidP="009A2130">
      <w:pPr>
        <w:pStyle w:val="StandardWeb"/>
      </w:pPr>
      <w:r>
        <w:t xml:space="preserve">Eine funktionale Größe heißt </w:t>
      </w:r>
      <w:r>
        <w:rPr>
          <w:rStyle w:val="Fett"/>
        </w:rPr>
        <w:t>gleichmäßig (\varepsilon_I)-pfadinvariant</w:t>
      </w:r>
      <w:r>
        <w:t>, wenn für jeden zulässigen endlichen Übergangspfad</w:t>
      </w:r>
    </w:p>
    <w:p w:rsidR="009A2130" w:rsidRDefault="009A2130" w:rsidP="009A2130">
      <w:pPr>
        <w:pStyle w:val="StandardWeb"/>
      </w:pPr>
      <w:r>
        <w:t>[</w:t>
      </w:r>
      <w:r>
        <w:br/>
        <w:t>z_0\rightarrow\cdots\rightarrow z_n</w:t>
      </w:r>
      <w:r>
        <w:br/>
        <w:t>\tag{3.10597}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z_0\rightarrow\cdots\rightarrow z_n</w:t>
      </w:r>
    </w:p>
    <w:p w:rsidR="009A2130" w:rsidRDefault="009A2130" w:rsidP="009A2130">
      <w:pPr>
        <w:pStyle w:val="StandardWeb"/>
      </w:pPr>
      <w:r>
        <w:t>gilt</w:t>
      </w:r>
    </w:p>
    <w:p w:rsidR="009A2130" w:rsidRDefault="009A2130" w:rsidP="009A2130">
      <w:pPr>
        <w:pStyle w:val="StandardWeb"/>
      </w:pPr>
      <w:r>
        <w:t>[</w:t>
      </w:r>
      <w:r>
        <w:br/>
        <w:t>\boxed{</w:t>
      </w:r>
      <w:r>
        <w:br/>
        <w:t>|I_F(z_n)-I_F(z_0)|</w:t>
      </w:r>
      <w:r>
        <w:br/>
        <w:t>\leq</w:t>
      </w:r>
      <w:r>
        <w:br/>
        <w:t>\varepsilon_I.</w:t>
      </w:r>
      <w:r>
        <w:br/>
        <w:t>}</w:t>
      </w:r>
      <w:r>
        <w:br/>
        <w:t>\tag{3.10598}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\boxed{|I_F(z_n)-I_F(z_0)|\leq\varepsilon_I.}</w:t>
      </w:r>
    </w:p>
    <w:p w:rsidR="009A2130" w:rsidRDefault="009A2130" w:rsidP="009A2130">
      <w:pPr>
        <w:pStyle w:val="StandardWeb"/>
      </w:pPr>
      <w:r>
        <w:t>Diese Bedingung ist stärker als eine bloße (\varepsilon_I)-Schranke pro Einzelübergang.</w:t>
      </w:r>
    </w:p>
    <w:p w:rsidR="009A2130" w:rsidRDefault="00E50336" w:rsidP="009A2130">
      <w:r>
        <w:pict>
          <v:rect id="_x0000_i3410" style="width:0;height:1.5pt" o:hralign="center" o:hrstd="t" o:hr="t" fillcolor="#a0a0a0" stroked="f"/>
        </w:pict>
      </w:r>
    </w:p>
    <w:p w:rsidR="009A2130" w:rsidRDefault="009A2130" w:rsidP="009A2130">
      <w:pPr>
        <w:pStyle w:val="berschrift1"/>
      </w:pPr>
      <w:r>
        <w:t>3.3.45.313 Exakte Pfadinvarianz</w:t>
      </w:r>
    </w:p>
    <w:p w:rsidR="009A2130" w:rsidRDefault="009A2130" w:rsidP="009A2130">
      <w:pPr>
        <w:pStyle w:val="StandardWeb"/>
      </w:pPr>
      <w:r>
        <w:t>Für</w:t>
      </w:r>
    </w:p>
    <w:p w:rsidR="009A2130" w:rsidRDefault="009A2130" w:rsidP="009A2130">
      <w:pPr>
        <w:pStyle w:val="StandardWeb"/>
      </w:pPr>
      <w:r>
        <w:t>[</w:t>
      </w:r>
      <w:r>
        <w:br/>
        <w:t>\varepsilon_I=0</w:t>
      </w:r>
      <w:r>
        <w:br/>
      </w:r>
      <w:r>
        <w:lastRenderedPageBreak/>
        <w:t>\tag{3.10599}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\varepsilon_I=0</w:t>
      </w:r>
    </w:p>
    <w:p w:rsidR="009A2130" w:rsidRDefault="009A2130" w:rsidP="009A2130">
      <w:pPr>
        <w:pStyle w:val="StandardWeb"/>
      </w:pPr>
      <w:r>
        <w:t>reduziert sich Definition 3.3.157 auf</w:t>
      </w:r>
    </w:p>
    <w:p w:rsidR="009A2130" w:rsidRDefault="009A2130" w:rsidP="009A2130">
      <w:pPr>
        <w:pStyle w:val="StandardWeb"/>
      </w:pPr>
      <w:r>
        <w:t>[</w:t>
      </w:r>
      <w:r>
        <w:br/>
        <w:t>I_F(z_n)=I_F(z_0)</w:t>
      </w:r>
      <w:r>
        <w:br/>
        <w:t>\tag{3.10600}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I_F(z_n)=I_F(z_0)</w:t>
      </w:r>
    </w:p>
    <w:p w:rsidR="009A2130" w:rsidRDefault="009A2130" w:rsidP="009A2130">
      <w:pPr>
        <w:pStyle w:val="StandardWeb"/>
      </w:pPr>
      <w:r>
        <w:t>für jeden zulässigen Pfad.</w:t>
      </w:r>
    </w:p>
    <w:p w:rsidR="009A2130" w:rsidRDefault="009A2130" w:rsidP="009A2130">
      <w:pPr>
        <w:pStyle w:val="StandardWeb"/>
      </w:pPr>
      <w:r>
        <w:t>Dies stimmt mit der zuvor hergeleiteten Invarianz entlang funktionaler Erreichbarkeit überein.</w:t>
      </w:r>
    </w:p>
    <w:p w:rsidR="009A2130" w:rsidRDefault="00E50336" w:rsidP="009A2130">
      <w:r>
        <w:pict>
          <v:rect id="_x0000_i3411" style="width:0;height:1.5pt" o:hralign="center" o:hrstd="t" o:hr="t" fillcolor="#a0a0a0" stroked="f"/>
        </w:pict>
      </w:r>
    </w:p>
    <w:p w:rsidR="009A2130" w:rsidRDefault="009A2130" w:rsidP="009A2130">
      <w:pPr>
        <w:pStyle w:val="berschrift1"/>
      </w:pPr>
      <w:r>
        <w:t>3.3.45.314 Invarianzdrift</w:t>
      </w:r>
    </w:p>
    <w:p w:rsidR="009A2130" w:rsidRDefault="009A2130" w:rsidP="009A2130">
      <w:pPr>
        <w:pStyle w:val="StandardWeb"/>
      </w:pPr>
      <w:r>
        <w:t>Für längere Übergangsfolgen kann außerdem eine mittlere Drift pro Übergang definiert werden:</w:t>
      </w:r>
    </w:p>
    <w:p w:rsidR="009A2130" w:rsidRDefault="009A2130" w:rsidP="009A2130">
      <w:pPr>
        <w:pStyle w:val="berschrift1"/>
      </w:pPr>
      <w:r>
        <w:t>[</w:t>
      </w:r>
      <w:r>
        <w:br/>
        <w:t>D_I(z_0,z_n)</w:t>
      </w:r>
    </w:p>
    <w:p w:rsidR="009A2130" w:rsidRDefault="009A2130" w:rsidP="009A2130">
      <w:pPr>
        <w:pStyle w:val="StandardWeb"/>
      </w:pPr>
      <w:r>
        <w:t>\frac{</w:t>
      </w:r>
      <w:r>
        <w:br/>
        <w:t>I_F(z_n)-I_F(z_0)</w:t>
      </w:r>
      <w:r>
        <w:br/>
        <w:t>}{</w:t>
      </w:r>
      <w:r>
        <w:br/>
        <w:t>n</w:t>
      </w:r>
      <w:r>
        <w:br/>
        <w:t>}.</w:t>
      </w:r>
      <w:r>
        <w:br/>
        <w:t>\tag{3.10601}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D_I(z_0,z_n)=\frac{I_F(z_n)-I_F(z_0)}{n}</w:t>
      </w:r>
    </w:p>
    <w:p w:rsidR="009A2130" w:rsidRDefault="00E50336" w:rsidP="009A2130">
      <w:r>
        <w:pict>
          <v:rect id="_x0000_i3412" style="width:0;height:1.5pt" o:hralign="center" o:hrstd="t" o:hr="t" fillcolor="#a0a0a0" stroked="f"/>
        </w:pict>
      </w:r>
    </w:p>
    <w:p w:rsidR="009A2130" w:rsidRDefault="009A2130" w:rsidP="009A2130">
      <w:pPr>
        <w:pStyle w:val="berschrift1"/>
      </w:pPr>
      <w:r>
        <w:t>3.3.45.315 Definition 3.3.158 – Funktionale Invarianzdrift</w:t>
      </w:r>
    </w:p>
    <w:p w:rsidR="009A2130" w:rsidRDefault="009A2130" w:rsidP="009A2130">
      <w:pPr>
        <w:pStyle w:val="berschrift3"/>
      </w:pPr>
      <w:r>
        <w:lastRenderedPageBreak/>
        <w:t>Definition 3.3.158</w:t>
      </w:r>
    </w:p>
    <w:p w:rsidR="009A2130" w:rsidRDefault="009A2130" w:rsidP="009A2130">
      <w:pPr>
        <w:pStyle w:val="StandardWeb"/>
      </w:pPr>
      <w:r>
        <w:t xml:space="preserve">Für einen Übergangspfad der Länge (n\geq1) definiere ich die </w:t>
      </w:r>
      <w:r>
        <w:rPr>
          <w:rStyle w:val="Fett"/>
        </w:rPr>
        <w:t>funktionale Invarianzdrift</w:t>
      </w:r>
    </w:p>
    <w:p w:rsidR="009A2130" w:rsidRDefault="009A2130" w:rsidP="009A2130">
      <w:pPr>
        <w:pStyle w:val="StandardWeb"/>
      </w:pPr>
      <w:r>
        <w:t>[</w:t>
      </w:r>
      <w:r>
        <w:br/>
        <w:t>\boxed{</w:t>
      </w:r>
      <w:r>
        <w:br/>
        <w:t>D_I(z_0,z_n)</w:t>
      </w:r>
      <w:r>
        <w:br/>
        <w:t>:=</w:t>
      </w:r>
      <w:r>
        <w:br/>
        <w:t>\frac{</w:t>
      </w:r>
      <w:r>
        <w:br/>
        <w:t>I_F(z_n)-I_F(z_0)</w:t>
      </w:r>
      <w:r>
        <w:br/>
        <w:t>}{</w:t>
      </w:r>
      <w:r>
        <w:br/>
        <w:t>n</w:t>
      </w:r>
      <w:r>
        <w:br/>
        <w:t>}.</w:t>
      </w:r>
      <w:r>
        <w:br/>
        <w:t>}</w:t>
      </w:r>
      <w:r>
        <w:br/>
        <w:t>\tag{3.10602}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\boxed{D_I(z_0,z_n):=\frac{I_F(z_n)-I_F(z_0)}{n}.}</w:t>
      </w:r>
    </w:p>
    <w:p w:rsidR="009A2130" w:rsidRDefault="009A2130" w:rsidP="009A2130">
      <w:pPr>
        <w:pStyle w:val="StandardWeb"/>
      </w:pPr>
      <w:r>
        <w:t>Die Drift ist eine pfadabhängige Operationalisierung und keine eigenständige fundamentale Größe.</w:t>
      </w:r>
    </w:p>
    <w:p w:rsidR="009A2130" w:rsidRDefault="00E50336" w:rsidP="009A2130">
      <w:r>
        <w:pict>
          <v:rect id="_x0000_i3413" style="width:0;height:1.5pt" o:hralign="center" o:hrstd="t" o:hr="t" fillcolor="#a0a0a0" stroked="f"/>
        </w:pict>
      </w:r>
    </w:p>
    <w:p w:rsidR="009A2130" w:rsidRDefault="009A2130" w:rsidP="009A2130">
      <w:pPr>
        <w:pStyle w:val="berschrift1"/>
      </w:pPr>
      <w:r>
        <w:t>3.3.45.316 Verschwindende Drift garantiert keine Invarianz</w:t>
      </w:r>
    </w:p>
    <w:p w:rsidR="009A2130" w:rsidRDefault="009A2130" w:rsidP="009A2130">
      <w:pPr>
        <w:pStyle w:val="StandardWeb"/>
      </w:pPr>
      <w:r>
        <w:t>Eine verschwindende mittlere Drift kann durch kompensierende Änderungen entstehen.</w:t>
      </w:r>
    </w:p>
    <w:p w:rsidR="009A2130" w:rsidRDefault="009A2130" w:rsidP="009A2130">
      <w:pPr>
        <w:pStyle w:val="StandardWeb"/>
      </w:pPr>
      <w:r>
        <w:t>Daher gilt</w:t>
      </w:r>
    </w:p>
    <w:p w:rsidR="009A2130" w:rsidRDefault="009A2130" w:rsidP="009A2130">
      <w:pPr>
        <w:pStyle w:val="StandardWeb"/>
      </w:pPr>
      <w:r>
        <w:t>[</w:t>
      </w:r>
      <w:r>
        <w:br/>
        <w:t>\boxed{</w:t>
      </w:r>
      <w:r>
        <w:br/>
        <w:t>D_I(z_0,z_n)=0</w:t>
      </w:r>
      <w:r>
        <w:br/>
        <w:t>\nRightarrow</w:t>
      </w:r>
      <w:r>
        <w:br/>
        <w:t>R_I(z_{k-1},z_k)=0</w:t>
      </w:r>
      <w:r>
        <w:br/>
        <w:t>\quad</w:t>
      </w:r>
      <w:r>
        <w:br/>
        <w:t>\forall k.</w:t>
      </w:r>
      <w:r>
        <w:br/>
        <w:t>}</w:t>
      </w:r>
      <w:r>
        <w:br/>
        <w:t>\tag{3.10603}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\boxed{D_I(z_0,z_n)=0\nRightarrow R_I(z_{k-1},z_k)=0\quad\forall k.}</w:t>
      </w:r>
    </w:p>
    <w:p w:rsidR="009A2130" w:rsidRDefault="009A2130" w:rsidP="009A2130">
      <w:pPr>
        <w:pStyle w:val="StandardWeb"/>
      </w:pPr>
      <w:r>
        <w:t>Auch hier ist zwischen globaler Kompensation und lokaler Erhaltung zu unterscheiden.</w:t>
      </w:r>
    </w:p>
    <w:p w:rsidR="009A2130" w:rsidRDefault="00E50336" w:rsidP="009A2130">
      <w:r>
        <w:lastRenderedPageBreak/>
        <w:pict>
          <v:rect id="_x0000_i3414" style="width:0;height:1.5pt" o:hralign="center" o:hrstd="t" o:hr="t" fillcolor="#a0a0a0" stroked="f"/>
        </w:pict>
      </w:r>
    </w:p>
    <w:p w:rsidR="009A2130" w:rsidRDefault="009A2130" w:rsidP="009A2130">
      <w:pPr>
        <w:pStyle w:val="berschrift1"/>
      </w:pPr>
      <w:r>
        <w:t>3.3.45.317 Störung einer exakt invarianten Größe</w:t>
      </w:r>
    </w:p>
    <w:p w:rsidR="009A2130" w:rsidRDefault="009A2130" w:rsidP="009A2130">
      <w:pPr>
        <w:pStyle w:val="StandardWeb"/>
      </w:pPr>
      <w:r>
        <w:t>Eine approximative Invariante kann formal als Störung einer exakt invarianten Größe dargestellt werden.</w:t>
      </w:r>
    </w:p>
    <w:p w:rsidR="009A2130" w:rsidRDefault="009A2130" w:rsidP="009A2130">
      <w:pPr>
        <w:pStyle w:val="StandardWeb"/>
      </w:pPr>
      <w:r>
        <w:t>Sei</w:t>
      </w:r>
    </w:p>
    <w:p w:rsidR="009A2130" w:rsidRDefault="009A2130" w:rsidP="009A2130">
      <w:pPr>
        <w:pStyle w:val="StandardWeb"/>
      </w:pPr>
      <w:r>
        <w:t>[</w:t>
      </w:r>
      <w:r>
        <w:br/>
        <w:t>I_F^{(0)}</w:t>
      </w:r>
      <w:r>
        <w:br/>
        <w:t>\in</w:t>
      </w:r>
      <w:r>
        <w:br/>
        <w:t>\mathcal I_F(\mathcal M)</w:t>
      </w:r>
      <w:r>
        <w:br/>
        <w:t>\tag{3.10604}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I_F^{(0)}\in\mathcal I_F(\mathcal M)</w:t>
      </w:r>
    </w:p>
    <w:p w:rsidR="009A2130" w:rsidRDefault="009A2130" w:rsidP="009A2130">
      <w:pPr>
        <w:pStyle w:val="StandardWeb"/>
      </w:pPr>
      <w:r>
        <w:t>und</w:t>
      </w:r>
    </w:p>
    <w:p w:rsidR="009A2130" w:rsidRDefault="009A2130" w:rsidP="009A2130">
      <w:pPr>
        <w:pStyle w:val="berschrift1"/>
      </w:pPr>
      <w:r>
        <w:t>[</w:t>
      </w:r>
      <w:r>
        <w:br/>
        <w:t>I_F^{(\delta)}</w:t>
      </w:r>
    </w:p>
    <w:p w:rsidR="009A2130" w:rsidRDefault="009A2130" w:rsidP="009A2130">
      <w:pPr>
        <w:pStyle w:val="StandardWeb"/>
      </w:pPr>
      <w:r>
        <w:t>I_F^{(0)}</w:t>
      </w:r>
      <w:r>
        <w:br/>
        <w:t>+</w:t>
      </w:r>
      <w:r>
        <w:br/>
        <w:t>\delta J_F.</w:t>
      </w:r>
      <w:r>
        <w:br/>
        <w:t>\tag{3.10605}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I_F^{(\delta)}=I_F^{(0)}+\delta J_F</w:t>
      </w:r>
    </w:p>
    <w:p w:rsidR="009A2130" w:rsidRDefault="009A2130" w:rsidP="009A2130">
      <w:pPr>
        <w:pStyle w:val="StandardWeb"/>
      </w:pPr>
      <w:r>
        <w:t>Dann folgt für einen Übergang</w:t>
      </w:r>
    </w:p>
    <w:p w:rsidR="009A2130" w:rsidRDefault="009A2130" w:rsidP="009A2130">
      <w:pPr>
        <w:pStyle w:val="berschrift1"/>
      </w:pPr>
      <w:r>
        <w:t>[</w:t>
      </w:r>
      <w:r>
        <w:br/>
        <w:t>R_{I^{(\delta)}}</w:t>
      </w:r>
    </w:p>
    <w:p w:rsidR="009A2130" w:rsidRDefault="009A2130" w:rsidP="009A2130">
      <w:pPr>
        <w:pStyle w:val="StandardWeb"/>
      </w:pPr>
      <w:r>
        <w:t>\delta</w:t>
      </w:r>
      <w:r>
        <w:br/>
        <w:t>\left(</w:t>
      </w:r>
      <w:r>
        <w:br/>
        <w:t>J_F(z_j)-J_F(z_i)</w:t>
      </w:r>
      <w:r>
        <w:br/>
        <w:t>\right).</w:t>
      </w:r>
      <w:r>
        <w:br/>
        <w:t>\tag{3.10606}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lastRenderedPageBreak/>
        <w:t>R_{I^{(\delta)}}=\delta\left(J_F(z_j)-J_F(z_i)\right)</w:t>
      </w:r>
    </w:p>
    <w:p w:rsidR="009A2130" w:rsidRDefault="00E50336" w:rsidP="009A2130">
      <w:r>
        <w:pict>
          <v:rect id="_x0000_i3415" style="width:0;height:1.5pt" o:hralign="center" o:hrstd="t" o:hr="t" fillcolor="#a0a0a0" stroked="f"/>
        </w:pict>
      </w:r>
    </w:p>
    <w:p w:rsidR="009A2130" w:rsidRDefault="009A2130" w:rsidP="009A2130">
      <w:pPr>
        <w:pStyle w:val="berschrift1"/>
      </w:pPr>
      <w:r>
        <w:t>3.3.45.318 Satz 3.3.72 – Residuum einer gestörten Invarianten</w:t>
      </w:r>
    </w:p>
    <w:p w:rsidR="009A2130" w:rsidRDefault="009A2130" w:rsidP="009A2130">
      <w:pPr>
        <w:pStyle w:val="berschrift3"/>
      </w:pPr>
      <w:r>
        <w:t>Satz 3.3.72</w:t>
      </w:r>
    </w:p>
    <w:p w:rsidR="009A2130" w:rsidRDefault="009A2130" w:rsidP="009A2130">
      <w:pPr>
        <w:pStyle w:val="StandardWeb"/>
      </w:pPr>
      <w:r>
        <w:t>Ist (I_F^{(0)}) exakt invariant und</w:t>
      </w:r>
    </w:p>
    <w:p w:rsidR="009A2130" w:rsidRDefault="009A2130" w:rsidP="009A2130">
      <w:pPr>
        <w:pStyle w:val="berschrift1"/>
      </w:pPr>
      <w:r>
        <w:t>[</w:t>
      </w:r>
      <w:r>
        <w:br/>
        <w:t>I_F^{(\delta)}</w:t>
      </w:r>
    </w:p>
    <w:p w:rsidR="009A2130" w:rsidRDefault="009A2130" w:rsidP="009A2130">
      <w:pPr>
        <w:pStyle w:val="StandardWeb"/>
      </w:pPr>
      <w:r>
        <w:t>I_F^{(0)}+\delta J_F,</w:t>
      </w:r>
      <w:r>
        <w:br/>
        <w:t>\tag{3.10607}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I_F^{(\delta)}=I_F^{(0)}+\delta J_F</w:t>
      </w:r>
    </w:p>
    <w:p w:rsidR="009A2130" w:rsidRDefault="009A2130" w:rsidP="009A2130">
      <w:pPr>
        <w:pStyle w:val="StandardWeb"/>
      </w:pPr>
      <w:r>
        <w:t>dann gilt für jeden zulässigen Übergang</w:t>
      </w:r>
    </w:p>
    <w:p w:rsidR="009A2130" w:rsidRDefault="009A2130" w:rsidP="009A2130">
      <w:pPr>
        <w:pStyle w:val="berschrift1"/>
      </w:pPr>
      <w:r>
        <w:t>[</w:t>
      </w:r>
      <w:r>
        <w:br/>
        <w:t>\boxed{</w:t>
      </w:r>
      <w:r>
        <w:br/>
        <w:t>R_{I^{(\delta)}}(z_i,z_j)</w:t>
      </w:r>
    </w:p>
    <w:p w:rsidR="009A2130" w:rsidRDefault="009A2130" w:rsidP="009A2130">
      <w:pPr>
        <w:pStyle w:val="StandardWeb"/>
      </w:pPr>
      <w:r>
        <w:t>\delta</w:t>
      </w:r>
      <w:r>
        <w:br/>
        <w:t>\left[</w:t>
      </w:r>
      <w:r>
        <w:br/>
        <w:t>J_F(z_j)-J_F(z_i)</w:t>
      </w:r>
      <w:r>
        <w:br/>
        <w:t>\right].</w:t>
      </w:r>
      <w:r>
        <w:br/>
        <w:t>}</w:t>
      </w:r>
      <w:r>
        <w:br/>
        <w:t>\tag{3.10608}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\boxed{R_{I^{(\delta)}}(z_i,z_j)=\delta\left[J_F(z_j)-J_F(z_i)\right].}</w:t>
      </w:r>
    </w:p>
    <w:p w:rsidR="009A2130" w:rsidRDefault="009A2130" w:rsidP="009A2130">
      <w:pPr>
        <w:pStyle w:val="berschrift3"/>
      </w:pPr>
      <w:r>
        <w:t>Beweis</w:t>
      </w:r>
    </w:p>
    <w:p w:rsidR="009A2130" w:rsidRDefault="009A2130" w:rsidP="009A2130">
      <w:pPr>
        <w:pStyle w:val="StandardWeb"/>
      </w:pPr>
      <w:r>
        <w:t>Einsetzen von (I_F^{(\delta)}) in das Residuum liefert</w:t>
      </w:r>
    </w:p>
    <w:p w:rsidR="009A2130" w:rsidRDefault="009A2130" w:rsidP="009A2130">
      <w:pPr>
        <w:pStyle w:val="StandardWeb"/>
      </w:pPr>
      <w:r>
        <w:t>[</w:t>
      </w:r>
      <w:r>
        <w:br/>
        <w:t>I_F^{(0)}(z_j)-I_F^{(0)}(z_i)</w:t>
      </w:r>
      <w:r>
        <w:br/>
        <w:t>+</w:t>
      </w:r>
      <w:r>
        <w:br/>
        <w:t>\delta</w:t>
      </w:r>
      <w:r>
        <w:br/>
      </w:r>
      <w:r>
        <w:lastRenderedPageBreak/>
        <w:t>\left[</w:t>
      </w:r>
      <w:r>
        <w:br/>
        <w:t>J_F(z_j)-J_F(z_i)</w:t>
      </w:r>
      <w:r>
        <w:br/>
        <w:t>\right].</w:t>
      </w:r>
      <w:r>
        <w:br/>
        <w:t>\tag{3.10609}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I_F^{(0)}(z_j)-I_F^{(0)}(z_i)+\delta\left[J_F(z_j)-J_F(z_i)\right]</w:t>
      </w:r>
    </w:p>
    <w:p w:rsidR="009A2130" w:rsidRDefault="009A2130" w:rsidP="009A2130">
      <w:pPr>
        <w:pStyle w:val="StandardWeb"/>
      </w:pPr>
      <w:r>
        <w:t>Der erste Term verschwindet aufgrund der exakten Invarianz von (I_F^{(0)}). (\square)</w:t>
      </w:r>
    </w:p>
    <w:p w:rsidR="009A2130" w:rsidRDefault="00E50336" w:rsidP="009A2130">
      <w:r>
        <w:pict>
          <v:rect id="_x0000_i3416" style="width:0;height:1.5pt" o:hralign="center" o:hrstd="t" o:hr="t" fillcolor="#a0a0a0" stroked="f"/>
        </w:pict>
      </w:r>
    </w:p>
    <w:p w:rsidR="009A2130" w:rsidRDefault="009A2130" w:rsidP="009A2130">
      <w:pPr>
        <w:pStyle w:val="berschrift1"/>
      </w:pPr>
      <w:r>
        <w:t>3.3.45.319 Lineare Skalierung der Verletzung</w:t>
      </w:r>
    </w:p>
    <w:p w:rsidR="009A2130" w:rsidRDefault="009A2130" w:rsidP="009A2130">
      <w:pPr>
        <w:pStyle w:val="StandardWeb"/>
      </w:pPr>
      <w:r>
        <w:t>Aus Satz 3.3.72 folgt</w:t>
      </w:r>
    </w:p>
    <w:p w:rsidR="009A2130" w:rsidRDefault="009A2130" w:rsidP="009A2130">
      <w:pPr>
        <w:pStyle w:val="berschrift1"/>
      </w:pPr>
      <w:r>
        <w:t>[</w:t>
      </w:r>
      <w:r>
        <w:br/>
        <w:t>\Delta_{I^{(\delta)}}</w:t>
      </w:r>
    </w:p>
    <w:p w:rsidR="009A2130" w:rsidRDefault="009A2130" w:rsidP="009A2130">
      <w:pPr>
        <w:pStyle w:val="StandardWeb"/>
      </w:pPr>
      <w:r>
        <w:t>|\delta|</w:t>
      </w:r>
      <w:r>
        <w:br/>
        <w:t>,</w:t>
      </w:r>
      <w:r>
        <w:br/>
        <w:t>\left|</w:t>
      </w:r>
      <w:r>
        <w:br/>
        <w:t>J_F(z_j)-J_F(z_i)</w:t>
      </w:r>
      <w:r>
        <w:br/>
        <w:t>\right|.</w:t>
      </w:r>
      <w:r>
        <w:br/>
        <w:t>\tag{3.10610}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\Delta_{I^{(\delta)}}=|\delta|\,\left|J_F(z_j)-J_F(z_i)\right|</w:t>
      </w:r>
    </w:p>
    <w:p w:rsidR="009A2130" w:rsidRDefault="009A2130" w:rsidP="009A2130">
      <w:pPr>
        <w:pStyle w:val="StandardWeb"/>
      </w:pPr>
      <w:r>
        <w:t>Für kleine (|\delta|) kann damit eine entsprechend kleine Invarianzverletzung entstehen, sofern die (J_F)-Differenzen beschränkt sind.</w:t>
      </w:r>
    </w:p>
    <w:p w:rsidR="009A2130" w:rsidRDefault="00E50336" w:rsidP="009A2130">
      <w:r>
        <w:pict>
          <v:rect id="_x0000_i3417" style="width:0;height:1.5pt" o:hralign="center" o:hrstd="t" o:hr="t" fillcolor="#a0a0a0" stroked="f"/>
        </w:pict>
      </w:r>
    </w:p>
    <w:p w:rsidR="009A2130" w:rsidRDefault="009A2130" w:rsidP="009A2130">
      <w:pPr>
        <w:pStyle w:val="berschrift1"/>
      </w:pPr>
      <w:r>
        <w:t>3.3.45.320 Beschränkte Störung</w:t>
      </w:r>
    </w:p>
    <w:p w:rsidR="009A2130" w:rsidRDefault="009A2130" w:rsidP="009A2130">
      <w:pPr>
        <w:pStyle w:val="StandardWeb"/>
      </w:pPr>
      <w:r>
        <w:t>Gilt</w:t>
      </w:r>
    </w:p>
    <w:p w:rsidR="009A2130" w:rsidRDefault="009A2130" w:rsidP="009A2130">
      <w:pPr>
        <w:pStyle w:val="StandardWeb"/>
      </w:pPr>
      <w:r>
        <w:t>[</w:t>
      </w:r>
      <w:r>
        <w:br/>
        <w:t>\left|</w:t>
      </w:r>
      <w:r>
        <w:br/>
        <w:t>J_F(z_j)-J_F(z_i)</w:t>
      </w:r>
      <w:r>
        <w:br/>
        <w:t>\right|</w:t>
      </w:r>
      <w:r>
        <w:br/>
        <w:t>\leq</w:t>
      </w:r>
      <w:r>
        <w:br/>
        <w:t>M_J</w:t>
      </w:r>
      <w:r>
        <w:br/>
      </w:r>
      <w:r>
        <w:lastRenderedPageBreak/>
        <w:t>\tag{3.10611}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\left|J_F(z_j)-J_F(z_i)\right|\leq M_J</w:t>
      </w:r>
    </w:p>
    <w:p w:rsidR="009A2130" w:rsidRDefault="009A2130" w:rsidP="009A2130">
      <w:pPr>
        <w:pStyle w:val="StandardWeb"/>
      </w:pPr>
      <w:r>
        <w:t>für sämtliche betrachteten Übergänge, so folgt</w:t>
      </w:r>
    </w:p>
    <w:p w:rsidR="009A2130" w:rsidRDefault="009A2130" w:rsidP="009A2130">
      <w:pPr>
        <w:pStyle w:val="StandardWeb"/>
      </w:pPr>
      <w:r>
        <w:t>[</w:t>
      </w:r>
      <w:r>
        <w:br/>
        <w:t>\Delta_{I^{(\delta)}}</w:t>
      </w:r>
      <w:r>
        <w:br/>
        <w:t>\leq</w:t>
      </w:r>
      <w:r>
        <w:br/>
        <w:t>|\delta|M_J.</w:t>
      </w:r>
      <w:r>
        <w:br/>
        <w:t>\tag{3.10612}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\Delta_{I^{(\delta)}}\leq|\delta|M_J</w:t>
      </w:r>
    </w:p>
    <w:p w:rsidR="009A2130" w:rsidRDefault="00E50336" w:rsidP="009A2130">
      <w:r>
        <w:pict>
          <v:rect id="_x0000_i3418" style="width:0;height:1.5pt" o:hralign="center" o:hrstd="t" o:hr="t" fillcolor="#a0a0a0" stroked="f"/>
        </w:pict>
      </w:r>
    </w:p>
    <w:p w:rsidR="009A2130" w:rsidRDefault="009A2130" w:rsidP="009A2130">
      <w:pPr>
        <w:pStyle w:val="berschrift1"/>
      </w:pPr>
      <w:r>
        <w:t>3.3.45.321 Korollar 3.3.14 – Approximative Invarianz einer beschränkt gestörten exakten Invarianten</w:t>
      </w:r>
    </w:p>
    <w:p w:rsidR="009A2130" w:rsidRDefault="009A2130" w:rsidP="009A2130">
      <w:pPr>
        <w:pStyle w:val="berschrift3"/>
      </w:pPr>
      <w:r>
        <w:t>Korollar 3.3.14</w:t>
      </w:r>
    </w:p>
    <w:p w:rsidR="009A2130" w:rsidRDefault="009A2130" w:rsidP="009A2130">
      <w:pPr>
        <w:pStyle w:val="StandardWeb"/>
      </w:pPr>
      <w:r>
        <w:t>Unter den Voraussetzungen von Satz 3.3.72 und</w:t>
      </w:r>
    </w:p>
    <w:p w:rsidR="009A2130" w:rsidRDefault="009A2130" w:rsidP="009A2130">
      <w:pPr>
        <w:pStyle w:val="StandardWeb"/>
      </w:pPr>
      <w:r>
        <w:t>[</w:t>
      </w:r>
      <w:r>
        <w:br/>
        <w:t>|J_F(z_j)-J_F(z_i)|</w:t>
      </w:r>
      <w:r>
        <w:br/>
        <w:t>\leq</w:t>
      </w:r>
      <w:r>
        <w:br/>
        <w:t>M_J</w:t>
      </w:r>
      <w:r>
        <w:br/>
        <w:t>\tag{3.10613}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|J_F(z_j)-J_F(z_i)|\leq M_J</w:t>
      </w:r>
    </w:p>
    <w:p w:rsidR="009A2130" w:rsidRDefault="009A2130" w:rsidP="009A2130">
      <w:pPr>
        <w:pStyle w:val="StandardWeb"/>
      </w:pPr>
      <w:r>
        <w:t>gilt</w:t>
      </w:r>
    </w:p>
    <w:p w:rsidR="009A2130" w:rsidRDefault="009A2130" w:rsidP="009A2130">
      <w:pPr>
        <w:pStyle w:val="StandardWeb"/>
      </w:pPr>
      <w:r>
        <w:t>[</w:t>
      </w:r>
      <w:r>
        <w:br/>
        <w:t>\boxed{</w:t>
      </w:r>
      <w:r>
        <w:br/>
        <w:t>I_F^{(\delta)}</w:t>
      </w:r>
      <w:r>
        <w:br/>
        <w:t>\in</w:t>
      </w:r>
      <w:r>
        <w:br/>
        <w:t>\mathcal I_F^{(|\delta|M_J)}(\mathcal M).</w:t>
      </w:r>
      <w:r>
        <w:br/>
        <w:t>}</w:t>
      </w:r>
      <w:r>
        <w:br/>
        <w:t>\tag{3.10614}</w:t>
      </w:r>
      <w:r>
        <w:br/>
        <w:t>]</w:t>
      </w:r>
    </w:p>
    <w:p w:rsidR="009A2130" w:rsidRDefault="009A2130" w:rsidP="009A2130">
      <w:pPr>
        <w:pStyle w:val="StandardWeb"/>
      </w:pPr>
      <w:r>
        <w:rPr>
          <w:rStyle w:val="Fett"/>
        </w:rPr>
        <w:lastRenderedPageBreak/>
        <w:t>Word-LaTeX</w:t>
      </w:r>
    </w:p>
    <w:p w:rsidR="009A2130" w:rsidRDefault="009A2130" w:rsidP="009A2130">
      <w:pPr>
        <w:pStyle w:val="HTMLVorformatiert"/>
        <w:rPr>
          <w:rStyle w:val="HTMLCode"/>
        </w:rPr>
      </w:pPr>
      <w:r>
        <w:rPr>
          <w:rStyle w:val="HTMLCode"/>
        </w:rPr>
        <w:t>\boxed{I_F^{(\delta)}\in\mathcal I_F^{(|\delta|M_J)}(\mathcal M).}</w:t>
      </w:r>
    </w:p>
    <w:p w:rsidR="009A2130" w:rsidRDefault="009A2130" w:rsidP="009A2130">
      <w:pPr>
        <w:pStyle w:val="StandardWeb"/>
      </w:pPr>
      <w:r>
        <w:t>Damit lässt sich approximative Invarianz in speziellen Modellen aus einer kontrollierten Störung exakt invarianter Strukturen herleiten.</w:t>
      </w:r>
    </w:p>
    <w:p w:rsidR="009A2130" w:rsidRDefault="00E50336" w:rsidP="009A2130">
      <w:r>
        <w:pict>
          <v:rect id="_x0000_i3419" style="width:0;height:1.5pt" o:hralign="center" o:hrstd="t" o:hr="t" fillcolor="#a0a0a0" stroked="f"/>
        </w:pict>
      </w:r>
    </w:p>
    <w:p w:rsidR="009A2130" w:rsidRDefault="009A2130" w:rsidP="009A2130">
      <w:pPr>
        <w:pStyle w:val="berschrift1"/>
      </w:pPr>
      <w:r>
        <w:t>3.3.45.322 Strukturell stabile Invarianz</w:t>
      </w:r>
    </w:p>
    <w:p w:rsidR="009A2130" w:rsidRDefault="009A2130" w:rsidP="009A2130">
      <w:pPr>
        <w:pStyle w:val="StandardWeb"/>
      </w:pPr>
      <w:r>
        <w:t>Es wäre nun naheliegend, eine Invariante als stabil zu bezeichnen, wenn kleine Modellstörungen nur kleine Invarianzverletzungen erzeugen.</w:t>
      </w:r>
    </w:p>
    <w:p w:rsidR="009A2130" w:rsidRDefault="009A2130" w:rsidP="009A2130">
      <w:pPr>
        <w:pStyle w:val="StandardWeb"/>
      </w:pPr>
      <w:r>
        <w:t>Dies setzt jedoch zunächst einen mathematischen Begriff der Modellnähe voraus.</w:t>
      </w:r>
    </w:p>
    <w:p w:rsidR="009A2130" w:rsidRDefault="009A2130" w:rsidP="009A2130">
      <w:pPr>
        <w:pStyle w:val="StandardWeb"/>
      </w:pPr>
      <w:r>
        <w:t>Seien zwei Modelle</w:t>
      </w:r>
    </w:p>
    <w:p w:rsidR="009A2130" w:rsidRDefault="009A2130" w:rsidP="009A2130">
      <w:pPr>
        <w:pStyle w:val="StandardWeb"/>
      </w:pPr>
      <w:r>
        <w:t>[</w:t>
      </w:r>
      <w:r>
        <w:br/>
        <w:t>\mathcal M</w:t>
      </w:r>
      <w:r>
        <w:br/>
        <w:t>\qquad\text{und}\qquad</w:t>
      </w:r>
      <w:r>
        <w:br/>
        <w:t>\mathcal M'.</w:t>
      </w:r>
      <w:r>
        <w:br/>
        <w:t>\tag{3.10615}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\mathcal M\qquad\text{und}\qquad\mathcal M'</w:t>
      </w:r>
    </w:p>
    <w:p w:rsidR="009A2130" w:rsidRDefault="009A2130" w:rsidP="009A2130">
      <w:pPr>
        <w:pStyle w:val="StandardWeb"/>
      </w:pPr>
      <w:r>
        <w:t>Ohne eine Metrik oder Topologie auf dem Modellraum ist die Aussage</w:t>
      </w:r>
    </w:p>
    <w:p w:rsidR="009A2130" w:rsidRDefault="009A2130" w:rsidP="009A2130">
      <w:pPr>
        <w:pStyle w:val="StandardWeb"/>
      </w:pPr>
      <w:r>
        <w:t>[</w:t>
      </w:r>
      <w:r>
        <w:br/>
        <w:t>\mathcal M'</w:t>
      </w:r>
      <w:r>
        <w:br/>
        <w:t>\approx</w:t>
      </w:r>
      <w:r>
        <w:br/>
        <w:t>\mathcal M</w:t>
      </w:r>
      <w:r>
        <w:br/>
        <w:t>\tag{3.10616}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\mathcal M'\approx\mathcal M</w:t>
      </w:r>
    </w:p>
    <w:p w:rsidR="009A2130" w:rsidRDefault="009A2130" w:rsidP="009A2130">
      <w:pPr>
        <w:pStyle w:val="StandardWeb"/>
      </w:pPr>
      <w:r>
        <w:t>nicht mathematisch präzise.</w:t>
      </w:r>
    </w:p>
    <w:p w:rsidR="009A2130" w:rsidRDefault="00E50336" w:rsidP="009A2130">
      <w:r>
        <w:pict>
          <v:rect id="_x0000_i3420" style="width:0;height:1.5pt" o:hralign="center" o:hrstd="t" o:hr="t" fillcolor="#a0a0a0" stroked="f"/>
        </w:pict>
      </w:r>
    </w:p>
    <w:p w:rsidR="009A2130" w:rsidRDefault="009A2130" w:rsidP="009A2130">
      <w:pPr>
        <w:pStyle w:val="berschrift1"/>
      </w:pPr>
      <w:r>
        <w:t>3.3.45.323 Keine Stabilität ohne Modellraumstruktur</w:t>
      </w:r>
    </w:p>
    <w:p w:rsidR="009A2130" w:rsidRDefault="009A2130" w:rsidP="009A2130">
      <w:pPr>
        <w:pStyle w:val="StandardWeb"/>
      </w:pPr>
      <w:r>
        <w:t>Daher gilt</w:t>
      </w:r>
    </w:p>
    <w:p w:rsidR="009A2130" w:rsidRDefault="009A2130" w:rsidP="009A2130">
      <w:pPr>
        <w:pStyle w:val="StandardWeb"/>
      </w:pPr>
      <w:r>
        <w:lastRenderedPageBreak/>
        <w:t>[</w:t>
      </w:r>
      <w:r>
        <w:br/>
        <w:t>\boxed{</w:t>
      </w:r>
      <w:r>
        <w:br/>
        <w:t>\text{Stabilität einer Invariante gegenüber Modellstörungen}</w:t>
      </w:r>
      <w:r>
        <w:br/>
        <w:t>\Rightarrow</w:t>
      </w:r>
      <w:r>
        <w:br/>
        <w:t>\text{Struktur auf dem Modellraum erforderlich}.</w:t>
      </w:r>
      <w:r>
        <w:br/>
        <w:t>}</w:t>
      </w:r>
      <w:r>
        <w:br/>
        <w:t>\tag{3.10617}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\boxed{\text{Stabilität einer Invariante gegenüber Modellstörungen}\Rightarrow\text{Struktur auf dem Modellraum erforderlich}.}</w:t>
      </w:r>
    </w:p>
    <w:p w:rsidR="009A2130" w:rsidRDefault="009A2130" w:rsidP="009A2130">
      <w:pPr>
        <w:pStyle w:val="StandardWeb"/>
      </w:pPr>
      <w:r>
        <w:t>Eine solche Struktur ist bislang nicht Bestandteil der allgemeinen FRZK-Axiomatik.</w:t>
      </w:r>
    </w:p>
    <w:p w:rsidR="009A2130" w:rsidRDefault="00E50336" w:rsidP="009A2130">
      <w:r>
        <w:pict>
          <v:rect id="_x0000_i3421" style="width:0;height:1.5pt" o:hralign="center" o:hrstd="t" o:hr="t" fillcolor="#a0a0a0" stroked="f"/>
        </w:pict>
      </w:r>
    </w:p>
    <w:p w:rsidR="009A2130" w:rsidRDefault="009A2130" w:rsidP="009A2130">
      <w:pPr>
        <w:pStyle w:val="berschrift1"/>
      </w:pPr>
      <w:r>
        <w:t>3.3.45.324 Modellannahme eines metrischen Modellraumes</w:t>
      </w:r>
    </w:p>
    <w:p w:rsidR="009A2130" w:rsidRDefault="009A2130" w:rsidP="009A2130">
      <w:pPr>
        <w:pStyle w:val="StandardWeb"/>
      </w:pPr>
      <w:r>
        <w:t>Für spezielle Analysen kann eine Distanz</w:t>
      </w:r>
    </w:p>
    <w:p w:rsidR="009A2130" w:rsidRDefault="009A2130" w:rsidP="009A2130">
      <w:pPr>
        <w:pStyle w:val="StandardWeb"/>
      </w:pPr>
      <w:r>
        <w:t>[</w:t>
      </w:r>
      <w:r>
        <w:br/>
        <w:t>d_{\mathfrak M}</w:t>
      </w:r>
      <w:r>
        <w:br/>
        <w:t>:</w:t>
      </w:r>
      <w:r>
        <w:br/>
        <w:t>\mathfrak M_F\times\mathfrak M_F</w:t>
      </w:r>
      <w:r>
        <w:br/>
        <w:t>\rightarrow</w:t>
      </w:r>
      <w:r>
        <w:br/>
        <w:t>\mathbb R_{\geq0}</w:t>
      </w:r>
      <w:r>
        <w:br/>
        <w:t>\tag{3.10618}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d_{\mathfrak M}:\mathfrak M_F\times\mathfrak M_F\rightarrow\mathbb R_{\geq0}</w:t>
      </w:r>
    </w:p>
    <w:p w:rsidR="009A2130" w:rsidRDefault="009A2130" w:rsidP="009A2130">
      <w:pPr>
        <w:pStyle w:val="StandardWeb"/>
      </w:pPr>
      <w:r>
        <w:t>zwischen Modellen eingeführt werden.</w:t>
      </w:r>
    </w:p>
    <w:p w:rsidR="009A2130" w:rsidRDefault="00E50336" w:rsidP="009A2130">
      <w:r>
        <w:pict>
          <v:rect id="_x0000_i3422" style="width:0;height:1.5pt" o:hralign="center" o:hrstd="t" o:hr="t" fillcolor="#a0a0a0" stroked="f"/>
        </w:pict>
      </w:r>
    </w:p>
    <w:p w:rsidR="009A2130" w:rsidRDefault="009A2130" w:rsidP="009A2130">
      <w:pPr>
        <w:pStyle w:val="berschrift1"/>
      </w:pPr>
      <w:r>
        <w:t>3.3.45.325 Definition 3.3.159 – Metrische Modellraumannahme</w:t>
      </w:r>
    </w:p>
    <w:p w:rsidR="009A2130" w:rsidRDefault="009A2130" w:rsidP="009A2130">
      <w:pPr>
        <w:pStyle w:val="berschrift3"/>
      </w:pPr>
      <w:r>
        <w:t>Definition 3.3.159</w:t>
      </w:r>
    </w:p>
    <w:p w:rsidR="009A2130" w:rsidRDefault="009A2130" w:rsidP="009A2130">
      <w:pPr>
        <w:pStyle w:val="StandardWeb"/>
      </w:pPr>
      <w:r>
        <w:t xml:space="preserve">Die </w:t>
      </w:r>
      <w:r>
        <w:rPr>
          <w:rStyle w:val="Fett"/>
        </w:rPr>
        <w:t>metrische Modellraumannahme</w:t>
      </w:r>
      <w:r>
        <w:t xml:space="preserve"> (M_{\mathfrak M}) fordert, dass eine betrachtete Klasse funktionaler Modelle mit einer Distanz</w:t>
      </w:r>
    </w:p>
    <w:p w:rsidR="009A2130" w:rsidRDefault="009A2130" w:rsidP="009A2130">
      <w:pPr>
        <w:pStyle w:val="StandardWeb"/>
      </w:pPr>
      <w:r>
        <w:lastRenderedPageBreak/>
        <w:t>[</w:t>
      </w:r>
      <w:r>
        <w:br/>
        <w:t>\boxed{</w:t>
      </w:r>
      <w:r>
        <w:br/>
        <w:t>d_{\mathfrak M}</w:t>
      </w:r>
      <w:r>
        <w:br/>
        <w:t>:</w:t>
      </w:r>
      <w:r>
        <w:br/>
        <w:t>\mathfrak M_F\times\mathfrak M_F</w:t>
      </w:r>
      <w:r>
        <w:br/>
        <w:t>\rightarrow</w:t>
      </w:r>
      <w:r>
        <w:br/>
        <w:t>\mathbb R_{\geq0}</w:t>
      </w:r>
      <w:r>
        <w:br/>
        <w:t>}</w:t>
      </w:r>
      <w:r>
        <w:br/>
        <w:t>\tag{3.10619}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\boxed{d_{\mathfrak M}:\mathfrak M_F\times\mathfrak M_F\rightarrow\mathbb R_{\geq0}}</w:t>
      </w:r>
    </w:p>
    <w:p w:rsidR="009A2130" w:rsidRDefault="009A2130" w:rsidP="009A2130">
      <w:pPr>
        <w:pStyle w:val="StandardWeb"/>
      </w:pPr>
      <w:r>
        <w:t>ausgestattet ist.</w:t>
      </w:r>
    </w:p>
    <w:p w:rsidR="009A2130" w:rsidRDefault="009A2130" w:rsidP="009A2130">
      <w:pPr>
        <w:pStyle w:val="StandardWeb"/>
      </w:pPr>
      <w:r>
        <w:t>Diese Annahme ist modelltheoretische Zusatzstruktur.</w:t>
      </w:r>
    </w:p>
    <w:p w:rsidR="009A2130" w:rsidRDefault="00E50336" w:rsidP="009A2130">
      <w:r>
        <w:pict>
          <v:rect id="_x0000_i3423" style="width:0;height:1.5pt" o:hralign="center" o:hrstd="t" o:hr="t" fillcolor="#a0a0a0" stroked="f"/>
        </w:pict>
      </w:r>
    </w:p>
    <w:p w:rsidR="009A2130" w:rsidRDefault="009A2130" w:rsidP="009A2130">
      <w:pPr>
        <w:pStyle w:val="berschrift1"/>
      </w:pPr>
      <w:r>
        <w:t>3.3.45.326 Definition 3.3.160 – Robust approximative funktionale Invarianz</w:t>
      </w:r>
    </w:p>
    <w:p w:rsidR="009A2130" w:rsidRDefault="009A2130" w:rsidP="009A2130">
      <w:pPr>
        <w:pStyle w:val="berschrift3"/>
      </w:pPr>
      <w:r>
        <w:t>Definition 3.3.160</w:t>
      </w:r>
    </w:p>
    <w:p w:rsidR="009A2130" w:rsidRDefault="009A2130" w:rsidP="009A2130">
      <w:pPr>
        <w:pStyle w:val="StandardWeb"/>
      </w:pPr>
      <w:r>
        <w:t xml:space="preserve">Unter (M_{\mathfrak M}) heißt eine Invarianzstruktur </w:t>
      </w:r>
      <w:r>
        <w:rPr>
          <w:rStyle w:val="Fett"/>
        </w:rPr>
        <w:t>robust approximativ</w:t>
      </w:r>
      <w:r>
        <w:t>, wenn zu jedem (\varepsilon_I&gt;0) ein (\delta_{\mathfrak M}&gt;0) existiert, so dass</w:t>
      </w:r>
    </w:p>
    <w:p w:rsidR="009A2130" w:rsidRDefault="009A2130" w:rsidP="009A2130">
      <w:pPr>
        <w:pStyle w:val="StandardWeb"/>
      </w:pPr>
      <w:r>
        <w:t>[</w:t>
      </w:r>
      <w:r>
        <w:br/>
        <w:t>d_{\mathfrak M}(\mathcal M,\mathcal M')</w:t>
      </w:r>
      <w:r>
        <w:br/>
        <w:t>&lt;</w:t>
      </w:r>
      <w:r>
        <w:br/>
        <w:t>\delta_{\mathfrak M}</w:t>
      </w:r>
      <w:r>
        <w:br/>
        <w:t>\tag{3.10620}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d_{\mathfrak M}(\mathcal M,\mathcal M')&lt;\delta_{\mathfrak M}</w:t>
      </w:r>
    </w:p>
    <w:p w:rsidR="009A2130" w:rsidRDefault="009A2130" w:rsidP="009A2130">
      <w:pPr>
        <w:pStyle w:val="StandardWeb"/>
      </w:pPr>
      <w:r>
        <w:t>impliziert</w:t>
      </w:r>
    </w:p>
    <w:p w:rsidR="009A2130" w:rsidRDefault="009A2130" w:rsidP="009A2130">
      <w:pPr>
        <w:pStyle w:val="StandardWeb"/>
      </w:pPr>
      <w:r>
        <w:t>[</w:t>
      </w:r>
      <w:r>
        <w:br/>
        <w:t>\boxed{</w:t>
      </w:r>
      <w:r>
        <w:br/>
        <w:t>\Delta_{I,\mathcal M'}</w:t>
      </w:r>
      <w:r>
        <w:br/>
        <w:t>\leq</w:t>
      </w:r>
      <w:r>
        <w:br/>
        <w:t>\varepsilon_I</w:t>
      </w:r>
      <w:r>
        <w:br/>
        <w:t>}</w:t>
      </w:r>
      <w:r>
        <w:br/>
        <w:t>\tag{3.10621}</w:t>
      </w:r>
      <w:r>
        <w:br/>
        <w:t>]</w:t>
      </w:r>
    </w:p>
    <w:p w:rsidR="009A2130" w:rsidRDefault="009A2130" w:rsidP="009A2130">
      <w:pPr>
        <w:pStyle w:val="StandardWeb"/>
      </w:pPr>
      <w:r>
        <w:rPr>
          <w:rStyle w:val="Fett"/>
        </w:rPr>
        <w:lastRenderedPageBreak/>
        <w:t>Word-LaTeX</w:t>
      </w:r>
    </w:p>
    <w:p w:rsidR="009A2130" w:rsidRDefault="009A2130" w:rsidP="009A2130">
      <w:pPr>
        <w:pStyle w:val="HTMLVorformatiert"/>
        <w:rPr>
          <w:rStyle w:val="HTMLCode"/>
        </w:rPr>
      </w:pPr>
      <w:r>
        <w:rPr>
          <w:rStyle w:val="HTMLCode"/>
        </w:rPr>
        <w:t>\boxed{\Delta_{I,\mathcal M'}\leq\varepsilon_I}</w:t>
      </w:r>
    </w:p>
    <w:p w:rsidR="009A2130" w:rsidRDefault="009A2130" w:rsidP="009A2130">
      <w:pPr>
        <w:pStyle w:val="StandardWeb"/>
      </w:pPr>
      <w:r>
        <w:t>auf der jeweils spezifizierten Übergangsrelation.</w:t>
      </w:r>
    </w:p>
    <w:p w:rsidR="009A2130" w:rsidRDefault="009A2130" w:rsidP="009A2130">
      <w:pPr>
        <w:pStyle w:val="StandardWeb"/>
      </w:pPr>
      <w:r>
        <w:t>Diese Definition ist nur innerhalb eines geeigneten metrischen Modellraumes sinnvoll.</w:t>
      </w:r>
    </w:p>
    <w:p w:rsidR="009A2130" w:rsidRDefault="00E50336" w:rsidP="009A2130">
      <w:r>
        <w:pict>
          <v:rect id="_x0000_i3424" style="width:0;height:1.5pt" o:hralign="center" o:hrstd="t" o:hr="t" fillcolor="#a0a0a0" stroked="f"/>
        </w:pict>
      </w:r>
    </w:p>
    <w:p w:rsidR="009A2130" w:rsidRDefault="009A2130" w:rsidP="009A2130">
      <w:pPr>
        <w:pStyle w:val="berschrift1"/>
      </w:pPr>
      <w:r>
        <w:t>3.3.45.327 Status robuster Invarianz</w:t>
      </w:r>
    </w:p>
    <w:p w:rsidR="009A2130" w:rsidRDefault="009A2130" w:rsidP="009A2130">
      <w:pPr>
        <w:pStyle w:val="StandardWeb"/>
      </w:pPr>
      <w:r>
        <w:t>Die robuste Invarianz ist damit kein universelles FRZK-Prinzip:</w:t>
      </w:r>
    </w:p>
    <w:p w:rsidR="009A2130" w:rsidRDefault="009A2130" w:rsidP="009A2130">
      <w:pPr>
        <w:pStyle w:val="berschrift1"/>
      </w:pPr>
      <w:r>
        <w:t>[</w:t>
      </w:r>
      <w:r>
        <w:br/>
        <w:t>\boxed{</w:t>
      </w:r>
      <w:r>
        <w:br/>
        <w:t>\operatorname{Stat}</w:t>
      </w:r>
      <w:r>
        <w:br/>
        <w:t>\left(</w:t>
      </w:r>
      <w:r>
        <w:br/>
        <w:t>\operatorname{RobInv}_F</w:t>
      </w:r>
      <w:r>
        <w:br/>
        <w:t>\right)</w:t>
      </w:r>
    </w:p>
    <w:p w:rsidR="009A2130" w:rsidRDefault="009A2130" w:rsidP="009A2130">
      <w:pPr>
        <w:pStyle w:val="StandardWeb"/>
      </w:pPr>
      <w:r>
        <w:t>\mathrm{Def/Mod}.</w:t>
      </w:r>
      <w:r>
        <w:br/>
        <w:t>}</w:t>
      </w:r>
      <w:r>
        <w:br/>
        <w:t>\tag{3.10622}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\boxed{\operatorname{Stat}\left(\operatorname{RobInv}_F\right)=\mathrm{Def/Mod}.}</w:t>
      </w:r>
    </w:p>
    <w:p w:rsidR="009A2130" w:rsidRDefault="009A2130" w:rsidP="009A2130">
      <w:pPr>
        <w:pStyle w:val="StandardWeb"/>
      </w:pPr>
      <w:r>
        <w:t>Ihre Definition ist mathematisch, ihre Anwendbarkeit jedoch modellabhängig.</w:t>
      </w:r>
    </w:p>
    <w:p w:rsidR="009A2130" w:rsidRDefault="00E50336" w:rsidP="009A2130">
      <w:r>
        <w:pict>
          <v:rect id="_x0000_i3425" style="width:0;height:1.5pt" o:hralign="center" o:hrstd="t" o:hr="t" fillcolor="#a0a0a0" stroked="f"/>
        </w:pict>
      </w:r>
    </w:p>
    <w:p w:rsidR="009A2130" w:rsidRDefault="009A2130" w:rsidP="009A2130">
      <w:pPr>
        <w:pStyle w:val="berschrift1"/>
      </w:pPr>
      <w:r>
        <w:t>3.3.45.328 Approximative Symmetrie</w:t>
      </w:r>
    </w:p>
    <w:p w:rsidR="009A2130" w:rsidRDefault="009A2130" w:rsidP="009A2130">
      <w:pPr>
        <w:pStyle w:val="StandardWeb"/>
      </w:pPr>
      <w:r>
        <w:t>Analog zur approximativen Übergangsinvarianz könnte auch eine Symmetrie nur näherungsweise erhalten sein.</w:t>
      </w:r>
    </w:p>
    <w:p w:rsidR="009A2130" w:rsidRDefault="009A2130" w:rsidP="009A2130">
      <w:pPr>
        <w:pStyle w:val="StandardWeb"/>
      </w:pPr>
      <w:r>
        <w:t>Dazu wäre zunächst eine Distanz</w:t>
      </w:r>
    </w:p>
    <w:p w:rsidR="009A2130" w:rsidRDefault="009A2130" w:rsidP="009A2130">
      <w:pPr>
        <w:pStyle w:val="StandardWeb"/>
      </w:pPr>
      <w:r>
        <w:t>[</w:t>
      </w:r>
      <w:r>
        <w:br/>
        <w:t>d_{\Omega}</w:t>
      </w:r>
      <w:r>
        <w:br/>
        <w:t>\tag{3.10623}</w:t>
      </w:r>
      <w:r>
        <w:br/>
        <w:t>]</w:t>
      </w:r>
    </w:p>
    <w:p w:rsidR="009A2130" w:rsidRDefault="009A2130" w:rsidP="009A2130">
      <w:pPr>
        <w:pStyle w:val="StandardWeb"/>
      </w:pPr>
      <w:r>
        <w:rPr>
          <w:rStyle w:val="Fett"/>
        </w:rPr>
        <w:lastRenderedPageBreak/>
        <w:t>Word-LaTeX</w:t>
      </w:r>
    </w:p>
    <w:p w:rsidR="009A2130" w:rsidRDefault="009A2130" w:rsidP="009A2130">
      <w:pPr>
        <w:pStyle w:val="HTMLVorformatiert"/>
        <w:rPr>
          <w:rStyle w:val="HTMLCode"/>
        </w:rPr>
      </w:pPr>
      <w:r>
        <w:rPr>
          <w:rStyle w:val="HTMLCode"/>
        </w:rPr>
        <w:t>d_{\Omega}</w:t>
      </w:r>
    </w:p>
    <w:p w:rsidR="009A2130" w:rsidRDefault="009A2130" w:rsidP="009A2130">
      <w:pPr>
        <w:pStyle w:val="StandardWeb"/>
      </w:pPr>
      <w:r>
        <w:t>oder eine geeignete Struktur auf Zuständen beziehungsweise Übergängen erforderlich.</w:t>
      </w:r>
    </w:p>
    <w:p w:rsidR="009A2130" w:rsidRDefault="009A2130" w:rsidP="009A2130">
      <w:pPr>
        <w:pStyle w:val="StandardWeb"/>
      </w:pPr>
      <w:r>
        <w:t>Ohne diese Zusatzstruktur ist der Begriff einer „annähernden Symmetrie“ nicht wohldefiniert.</w:t>
      </w:r>
    </w:p>
    <w:p w:rsidR="009A2130" w:rsidRDefault="00E50336" w:rsidP="009A2130">
      <w:r>
        <w:pict>
          <v:rect id="_x0000_i3426" style="width:0;height:1.5pt" o:hralign="center" o:hrstd="t" o:hr="t" fillcolor="#a0a0a0" stroked="f"/>
        </w:pict>
      </w:r>
    </w:p>
    <w:p w:rsidR="009A2130" w:rsidRDefault="009A2130" w:rsidP="009A2130">
      <w:pPr>
        <w:pStyle w:val="berschrift1"/>
      </w:pPr>
      <w:r>
        <w:t>3.3.45.329 Näherungsweise Kohärenzerhaltung</w:t>
      </w:r>
    </w:p>
    <w:p w:rsidR="009A2130" w:rsidRDefault="009A2130" w:rsidP="009A2130">
      <w:pPr>
        <w:pStyle w:val="StandardWeb"/>
      </w:pPr>
      <w:r>
        <w:t>Für eine skalare Kohärenzgröße kann dagegen direkt eine numerische Bedingung formuliert werden:</w:t>
      </w:r>
    </w:p>
    <w:p w:rsidR="009A2130" w:rsidRDefault="009A2130" w:rsidP="009A2130">
      <w:pPr>
        <w:pStyle w:val="StandardWeb"/>
      </w:pPr>
      <w:r>
        <w:t>[</w:t>
      </w:r>
      <w:r>
        <w:br/>
        <w:t>|C_F(Sz)-C_F(z)|</w:t>
      </w:r>
      <w:r>
        <w:br/>
        <w:t>\leq</w:t>
      </w:r>
      <w:r>
        <w:br/>
        <w:t>\varepsilon_C.</w:t>
      </w:r>
      <w:r>
        <w:br/>
        <w:t>\tag{3.10624}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|C_F(Sz)-C_F(z)|\leq\varepsilon_C</w:t>
      </w:r>
    </w:p>
    <w:p w:rsidR="009A2130" w:rsidRDefault="00E50336" w:rsidP="009A2130">
      <w:r>
        <w:pict>
          <v:rect id="_x0000_i3427" style="width:0;height:1.5pt" o:hralign="center" o:hrstd="t" o:hr="t" fillcolor="#a0a0a0" stroked="f"/>
        </w:pict>
      </w:r>
    </w:p>
    <w:p w:rsidR="009A2130" w:rsidRDefault="009A2130" w:rsidP="009A2130">
      <w:pPr>
        <w:pStyle w:val="berschrift1"/>
      </w:pPr>
      <w:r>
        <w:t>3.3.45.330 Definition 3.3.161 – Approximativ kohärenzerhaltende Symmetrie</w:t>
      </w:r>
    </w:p>
    <w:p w:rsidR="009A2130" w:rsidRDefault="009A2130" w:rsidP="009A2130">
      <w:pPr>
        <w:pStyle w:val="berschrift3"/>
      </w:pPr>
      <w:r>
        <w:t>Definition 3.3.161</w:t>
      </w:r>
    </w:p>
    <w:p w:rsidR="009A2130" w:rsidRDefault="009A2130" w:rsidP="009A2130">
      <w:pPr>
        <w:pStyle w:val="StandardWeb"/>
      </w:pPr>
      <w:r>
        <w:t xml:space="preserve">Eine funktionale Übergangssymmetrie (S) heißt </w:t>
      </w:r>
      <w:r>
        <w:rPr>
          <w:rStyle w:val="Fett"/>
        </w:rPr>
        <w:t>(\varepsilon_C)-kohärenzerhaltend</w:t>
      </w:r>
      <w:r>
        <w:t>, wenn</w:t>
      </w:r>
    </w:p>
    <w:p w:rsidR="009A2130" w:rsidRDefault="009A2130" w:rsidP="009A2130">
      <w:pPr>
        <w:pStyle w:val="StandardWeb"/>
      </w:pPr>
      <w:r>
        <w:t>[</w:t>
      </w:r>
      <w:r>
        <w:br/>
        <w:t>\boxed{</w:t>
      </w:r>
      <w:r>
        <w:br/>
        <w:t>|C_F(Sz)-C_F(z)|</w:t>
      </w:r>
      <w:r>
        <w:br/>
        <w:t>\leq</w:t>
      </w:r>
      <w:r>
        <w:br/>
        <w:t>\varepsilon_C</w:t>
      </w:r>
      <w:r>
        <w:br/>
        <w:t>\qquad</w:t>
      </w:r>
      <w:r>
        <w:br/>
        <w:t>\forall z\in\Omega_F.</w:t>
      </w:r>
      <w:r>
        <w:br/>
        <w:t>}</w:t>
      </w:r>
      <w:r>
        <w:br/>
        <w:t>\tag{3.10625}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\boxed{|C_F(Sz)-C_F(z)|\leq\varepsilon_C\qquad\forall z\in\Omega_F.}</w:t>
      </w:r>
    </w:p>
    <w:p w:rsidR="009A2130" w:rsidRDefault="009A2130" w:rsidP="009A2130">
      <w:pPr>
        <w:pStyle w:val="StandardWeb"/>
      </w:pPr>
      <w:r>
        <w:t>Für (\varepsilon_C=0) erhält man die exakt kohärenzerhaltenden Symmetrien zurück.</w:t>
      </w:r>
    </w:p>
    <w:p w:rsidR="009A2130" w:rsidRDefault="00E50336" w:rsidP="009A2130">
      <w:r>
        <w:lastRenderedPageBreak/>
        <w:pict>
          <v:rect id="_x0000_i3428" style="width:0;height:1.5pt" o:hralign="center" o:hrstd="t" o:hr="t" fillcolor="#a0a0a0" stroked="f"/>
        </w:pict>
      </w:r>
    </w:p>
    <w:p w:rsidR="009A2130" w:rsidRDefault="009A2130" w:rsidP="009A2130">
      <w:pPr>
        <w:pStyle w:val="berschrift1"/>
      </w:pPr>
      <w:r>
        <w:t>3.3.45.331 Exakte Kohärenzerhaltung als Spezialfall</w:t>
      </w:r>
    </w:p>
    <w:p w:rsidR="009A2130" w:rsidRDefault="009A2130" w:rsidP="009A2130">
      <w:pPr>
        <w:pStyle w:val="StandardWeb"/>
      </w:pPr>
      <w:r>
        <w:t>Es gilt</w:t>
      </w:r>
    </w:p>
    <w:p w:rsidR="009A2130" w:rsidRDefault="009A2130" w:rsidP="009A2130">
      <w:pPr>
        <w:pStyle w:val="berschrift1"/>
      </w:pPr>
      <w:r>
        <w:t>[</w:t>
      </w:r>
      <w:r>
        <w:br/>
        <w:t>\boxed{</w:t>
      </w:r>
      <w:r>
        <w:br/>
        <w:t>\mathfrak G_F^{C}</w:t>
      </w:r>
    </w:p>
    <w:p w:rsidR="009A2130" w:rsidRDefault="009A2130" w:rsidP="009A2130">
      <w:pPr>
        <w:pStyle w:val="StandardWeb"/>
      </w:pPr>
      <w:r>
        <w:t>\mathfrak G_F^{C,(0)}.</w:t>
      </w:r>
      <w:r>
        <w:br/>
        <w:t>}</w:t>
      </w:r>
      <w:r>
        <w:br/>
        <w:t>\tag{3.10626}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\boxed{\mathfrak G_F^{C}=\mathfrak G_F^{C,(0)}.}</w:t>
      </w:r>
    </w:p>
    <w:p w:rsidR="009A2130" w:rsidRDefault="009A2130" w:rsidP="009A2130">
      <w:pPr>
        <w:pStyle w:val="StandardWeb"/>
      </w:pPr>
      <w:r>
        <w:t>Die approximative Erweiterung verändert somit auch hier nicht die exakte Ausgangsdefinition.</w:t>
      </w:r>
    </w:p>
    <w:p w:rsidR="009A2130" w:rsidRDefault="00E50336" w:rsidP="009A2130">
      <w:r>
        <w:pict>
          <v:rect id="_x0000_i3429" style="width:0;height:1.5pt" o:hralign="center" o:hrstd="t" o:hr="t" fillcolor="#a0a0a0" stroked="f"/>
        </w:pict>
      </w:r>
    </w:p>
    <w:p w:rsidR="009A2130" w:rsidRDefault="009A2130" w:rsidP="009A2130">
      <w:pPr>
        <w:pStyle w:val="berschrift1"/>
      </w:pPr>
      <w:r>
        <w:t>3.3.45.332 Approximative Invarianz ist kein Primäraxiom</w:t>
      </w:r>
    </w:p>
    <w:p w:rsidR="009A2130" w:rsidRDefault="009A2130" w:rsidP="009A2130">
      <w:pPr>
        <w:pStyle w:val="StandardWeb"/>
      </w:pPr>
      <w:r>
        <w:t>Die Existenz einer sinnvollen Toleranz, Norm, Metrik, Gewichtung oder Messunsicherheit ist nicht für jedes abstrakte FRZK-Modell garantiert.</w:t>
      </w:r>
    </w:p>
    <w:p w:rsidR="009A2130" w:rsidRDefault="009A2130" w:rsidP="009A2130">
      <w:pPr>
        <w:pStyle w:val="StandardWeb"/>
      </w:pPr>
      <w:r>
        <w:t>Daher gilt</w:t>
      </w:r>
    </w:p>
    <w:p w:rsidR="009A2130" w:rsidRDefault="009A2130" w:rsidP="009A2130">
      <w:pPr>
        <w:pStyle w:val="berschrift1"/>
      </w:pPr>
      <w:r>
        <w:t>[</w:t>
      </w:r>
      <w:r>
        <w:br/>
        <w:t>\boxed{</w:t>
      </w:r>
      <w:r>
        <w:br/>
        <w:t>U_{\mathrm{Ax}}</w:t>
      </w:r>
      <w:r>
        <w:br/>
        <w:t>\left(</w:t>
      </w:r>
      <w:r>
        <w:br/>
        <w:t>\operatorname{ApproxInv}_F</w:t>
      </w:r>
      <w:r>
        <w:br/>
        <w:t>\right)</w:t>
      </w:r>
    </w:p>
    <w:p w:rsidR="009A2130" w:rsidRDefault="009A2130" w:rsidP="00152216">
      <w:pPr>
        <w:numPr>
          <w:ilvl w:val="0"/>
          <w:numId w:val="458"/>
        </w:numPr>
        <w:spacing w:before="100" w:beforeAutospacing="1" w:after="100" w:afterAutospacing="1"/>
      </w:pPr>
    </w:p>
    <w:p w:rsidR="009A2130" w:rsidRDefault="009A2130" w:rsidP="009A2130">
      <w:pPr>
        <w:pStyle w:val="StandardWeb"/>
      </w:pPr>
      <w:r>
        <w:lastRenderedPageBreak/>
        <w:t>}</w:t>
      </w:r>
      <w:r>
        <w:br/>
        <w:t>\tag{3.10627}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\boxed{U_{\mathrm{Ax}}\left(\operatorname{ApproxInv}_F\right)=0.}</w:t>
      </w:r>
    </w:p>
    <w:p w:rsidR="009A2130" w:rsidRDefault="00E50336" w:rsidP="009A2130">
      <w:r>
        <w:pict>
          <v:rect id="_x0000_i3430" style="width:0;height:1.5pt" o:hralign="center" o:hrstd="t" o:hr="t" fillcolor="#a0a0a0" stroked="f"/>
        </w:pict>
      </w:r>
    </w:p>
    <w:p w:rsidR="009A2130" w:rsidRDefault="009A2130" w:rsidP="009A2130">
      <w:pPr>
        <w:pStyle w:val="berschrift1"/>
      </w:pPr>
      <w:r>
        <w:t>3.3.45.333 Keine Aufweichung exakter Invarianz</w:t>
      </w:r>
    </w:p>
    <w:p w:rsidR="009A2130" w:rsidRDefault="009A2130" w:rsidP="009A2130">
      <w:pPr>
        <w:pStyle w:val="StandardWeb"/>
      </w:pPr>
      <w:r>
        <w:t>Die approximativen Definitionen dürfen nicht verwendet werden, um eine theoretisch behauptete exakte Invarianz nachträglich gegen Gegenbeispiele zu immunisieren.</w:t>
      </w:r>
    </w:p>
    <w:p w:rsidR="009A2130" w:rsidRDefault="009A2130" w:rsidP="009A2130">
      <w:pPr>
        <w:pStyle w:val="StandardWeb"/>
      </w:pPr>
      <w:r>
        <w:t>Es gilt methodisch</w:t>
      </w:r>
    </w:p>
    <w:p w:rsidR="009A2130" w:rsidRDefault="009A2130" w:rsidP="009A2130">
      <w:pPr>
        <w:pStyle w:val="StandardWeb"/>
      </w:pPr>
      <w:r>
        <w:t>[</w:t>
      </w:r>
      <w:r>
        <w:br/>
        <w:t>\boxed{</w:t>
      </w:r>
      <w:r>
        <w:br/>
        <w:t>\text{exakte Behauptung}</w:t>
      </w:r>
      <w:r>
        <w:br/>
        <w:t>\neq</w:t>
      </w:r>
      <w:r>
        <w:br/>
        <w:t>\text{approximative Behauptung}.</w:t>
      </w:r>
      <w:r>
        <w:br/>
        <w:t>}</w:t>
      </w:r>
      <w:r>
        <w:br/>
        <w:t>\tag{3.10628}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\boxed{\text{exakte Behauptung}\neq\text{approximative Behauptung}.}</w:t>
      </w:r>
    </w:p>
    <w:p w:rsidR="009A2130" w:rsidRDefault="009A2130" w:rsidP="009A2130">
      <w:pPr>
        <w:pStyle w:val="StandardWeb"/>
      </w:pPr>
      <w:r>
        <w:t>Wird eine exakte Invarianz empirisch verworfen, darf nicht ohne neue Begründung lediglich die Toleranz erhöht werden.</w:t>
      </w:r>
    </w:p>
    <w:p w:rsidR="009A2130" w:rsidRDefault="00E50336" w:rsidP="009A2130">
      <w:r>
        <w:pict>
          <v:rect id="_x0000_i3431" style="width:0;height:1.5pt" o:hralign="center" o:hrstd="t" o:hr="t" fillcolor="#a0a0a0" stroked="f"/>
        </w:pict>
      </w:r>
    </w:p>
    <w:p w:rsidR="009A2130" w:rsidRDefault="009A2130" w:rsidP="009A2130">
      <w:pPr>
        <w:pStyle w:val="berschrift1"/>
      </w:pPr>
      <w:r>
        <w:t>3.3.45.334 Vorab festgelegte Toleranz</w:t>
      </w:r>
    </w:p>
    <w:p w:rsidR="009A2130" w:rsidRDefault="009A2130" w:rsidP="009A2130">
      <w:pPr>
        <w:pStyle w:val="StandardWeb"/>
      </w:pPr>
      <w:r>
        <w:t>Für eine empirische Prüfung sollte deshalb der Toleranzwert nach Möglichkeit vor Auswertung der betreffenden Daten festgelegt werden.</w:t>
      </w:r>
    </w:p>
    <w:p w:rsidR="009A2130" w:rsidRDefault="009A2130" w:rsidP="009A2130">
      <w:pPr>
        <w:pStyle w:val="StandardWeb"/>
      </w:pPr>
      <w:r>
        <w:t>Formal kann dies als zeitliche beziehungsweise logische Reihenfolge geschrieben werden:</w:t>
      </w:r>
    </w:p>
    <w:p w:rsidR="009A2130" w:rsidRDefault="009A2130" w:rsidP="009A2130">
      <w:pPr>
        <w:pStyle w:val="StandardWeb"/>
      </w:pPr>
      <w:r>
        <w:t>[</w:t>
      </w:r>
      <w:r>
        <w:br/>
        <w:t>\varepsilon_I</w:t>
      </w:r>
      <w:r>
        <w:br/>
        <w:t>\prec</w:t>
      </w:r>
      <w:r>
        <w:br/>
        <w:t>\operatorname{Testdatenanalyse}.</w:t>
      </w:r>
      <w:r>
        <w:br/>
        <w:t>\tag{3.10629}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\varepsilon_I\prec\operatorname{Testdatenanalyse}</w:t>
      </w:r>
    </w:p>
    <w:p w:rsidR="009A2130" w:rsidRDefault="009A2130" w:rsidP="009A2130">
      <w:pPr>
        <w:pStyle w:val="StandardWeb"/>
      </w:pPr>
      <w:r>
        <w:lastRenderedPageBreak/>
        <w:t>Dies ist keine mathematische Axiomatik, sondern eine methodologische Forderung an die empirische Operationalisierung.</w:t>
      </w:r>
    </w:p>
    <w:p w:rsidR="009A2130" w:rsidRDefault="00E50336" w:rsidP="009A2130">
      <w:r>
        <w:pict>
          <v:rect id="_x0000_i3432" style="width:0;height:1.5pt" o:hralign="center" o:hrstd="t" o:hr="t" fillcolor="#a0a0a0" stroked="f"/>
        </w:pict>
      </w:r>
    </w:p>
    <w:p w:rsidR="009A2130" w:rsidRDefault="009A2130" w:rsidP="009A2130">
      <w:pPr>
        <w:pStyle w:val="berschrift1"/>
      </w:pPr>
      <w:r>
        <w:t>3.3.45.335 Statusmatrix der approximativen Erweiterung</w:t>
      </w:r>
    </w:p>
    <w:p w:rsidR="009A2130" w:rsidRDefault="009A2130" w:rsidP="009A2130">
      <w:pPr>
        <w:pStyle w:val="StandardWeb"/>
      </w:pPr>
      <w:r>
        <w:t>Die bislang eingeführten Strukturen lassen sich vorläufig wie folgt einordnen:</w:t>
      </w:r>
    </w:p>
    <w:p w:rsidR="009A2130" w:rsidRDefault="009A2130" w:rsidP="009A2130">
      <w:pPr>
        <w:pStyle w:val="StandardWeb"/>
      </w:pPr>
      <w:r>
        <w:t>[</w:t>
      </w:r>
      <w:r>
        <w:br/>
        <w:t>\Delta_I</w:t>
      </w:r>
      <w:r>
        <w:br/>
        <w:t>\rightarrow</w:t>
      </w:r>
      <w:r>
        <w:br/>
        <w:t>\mathrm{Op},</w:t>
      </w:r>
      <w:r>
        <w:br/>
        <w:t>\qquad</w:t>
      </w:r>
      <w:r>
        <w:br/>
        <w:t>\varepsilon_I\text{-Invarianz}</w:t>
      </w:r>
      <w:r>
        <w:br/>
        <w:t>\rightarrow</w:t>
      </w:r>
      <w:r>
        <w:br/>
        <w:t>\mathrm{Def},</w:t>
      </w:r>
      <w:r>
        <w:br/>
        <w:t>\qquad</w:t>
      </w:r>
      <w:r>
        <w:br/>
        <w:t>\varepsilon_I</w:t>
      </w:r>
      <w:r>
        <w:br/>
        <w:t>\rightarrow</w:t>
      </w:r>
      <w:r>
        <w:br/>
        <w:t>\mathrm{Op/Mod},</w:t>
      </w:r>
      <w:r>
        <w:br/>
        <w:t>\tag{3.10630}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\Delta_I\rightarrow\mathrm{Op},\qquad\varepsilon_I\text{-Invarianz}\rightarrow\mathrm{Def},\qquad\varepsilon_I\rightarrow\mathrm{Op/Mod}</w:t>
      </w:r>
    </w:p>
    <w:p w:rsidR="009A2130" w:rsidRDefault="009A2130" w:rsidP="009A2130">
      <w:pPr>
        <w:pStyle w:val="StandardWeb"/>
      </w:pPr>
      <w:r>
        <w:t>sowie</w:t>
      </w:r>
    </w:p>
    <w:p w:rsidR="009A2130" w:rsidRDefault="009A2130" w:rsidP="009A2130">
      <w:pPr>
        <w:pStyle w:val="StandardWeb"/>
      </w:pPr>
      <w:r>
        <w:t>[</w:t>
      </w:r>
      <w:r>
        <w:br/>
        <w:t>\mathcal V_I^{(\varepsilon)}</w:t>
      </w:r>
      <w:r>
        <w:br/>
        <w:t>\rightarrow</w:t>
      </w:r>
      <w:r>
        <w:br/>
        <w:t>\mathrm{Def},</w:t>
      </w:r>
      <w:r>
        <w:br/>
        <w:t>\qquad</w:t>
      </w:r>
      <w:r>
        <w:br/>
        <w:t>r_I^{(\varepsilon)}</w:t>
      </w:r>
      <w:r>
        <w:br/>
        <w:t>\rightarrow</w:t>
      </w:r>
      <w:r>
        <w:br/>
        <w:t>\mathrm{Op},</w:t>
      </w:r>
      <w:r>
        <w:br/>
        <w:t>\qquad</w:t>
      </w:r>
      <w:r>
        <w:br/>
        <w:t>\overline{\Delta}_I</w:t>
      </w:r>
      <w:r>
        <w:br/>
        <w:t>\rightarrow</w:t>
      </w:r>
      <w:r>
        <w:br/>
        <w:t>\mathrm{Op}.</w:t>
      </w:r>
      <w:r>
        <w:br/>
        <w:t>\tag{3.10631}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lastRenderedPageBreak/>
        <w:t>\mathcal V_I^{(\varepsilon)}\rightarrow\mathrm{Def},\qquad r_I^{(\varepsilon)}\rightarrow\mathrm{Op},\qquad\overline{\Delta}_I\rightarrow\mathrm{Op}</w:t>
      </w:r>
    </w:p>
    <w:p w:rsidR="009A2130" w:rsidRDefault="00E50336" w:rsidP="009A2130">
      <w:r>
        <w:pict>
          <v:rect id="_x0000_i3433" style="width:0;height:1.5pt" o:hralign="center" o:hrstd="t" o:hr="t" fillcolor="#a0a0a0" stroked="f"/>
        </w:pict>
      </w:r>
    </w:p>
    <w:p w:rsidR="009A2130" w:rsidRDefault="009A2130" w:rsidP="009A2130">
      <w:pPr>
        <w:pStyle w:val="berschrift1"/>
      </w:pPr>
      <w:r>
        <w:t>3.3.45.336 Weitere Klassifikation</w:t>
      </w:r>
    </w:p>
    <w:p w:rsidR="009A2130" w:rsidRDefault="009A2130" w:rsidP="009A2130">
      <w:pPr>
        <w:pStyle w:val="StandardWeb"/>
      </w:pPr>
      <w:r>
        <w:t>Ebenso gilt</w:t>
      </w:r>
    </w:p>
    <w:p w:rsidR="009A2130" w:rsidRDefault="009A2130" w:rsidP="009A2130">
      <w:pPr>
        <w:pStyle w:val="StandardWeb"/>
      </w:pPr>
      <w:r>
        <w:t>[</w:t>
      </w:r>
      <w:r>
        <w:br/>
        <w:t>\Delta_I^{\max}</w:t>
      </w:r>
      <w:r>
        <w:br/>
        <w:t>\rightarrow</w:t>
      </w:r>
      <w:r>
        <w:br/>
        <w:t>\mathrm{Op},</w:t>
      </w:r>
      <w:r>
        <w:br/>
        <w:t>\qquad</w:t>
      </w:r>
      <w:r>
        <w:br/>
        <w:t>R_I</w:t>
      </w:r>
      <w:r>
        <w:br/>
        <w:t>\rightarrow</w:t>
      </w:r>
      <w:r>
        <w:br/>
        <w:t>\mathrm{Op},</w:t>
      </w:r>
      <w:r>
        <w:br/>
        <w:t>\qquad</w:t>
      </w:r>
      <w:r>
        <w:br/>
        <w:t>E_I^{(2)}</w:t>
      </w:r>
      <w:r>
        <w:br/>
        <w:t>\rightarrow</w:t>
      </w:r>
      <w:r>
        <w:br/>
        <w:t>\mathrm{Op},</w:t>
      </w:r>
      <w:r>
        <w:br/>
        <w:t>\tag{3.10632}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\Delta_I^{\max}\rightarrow\mathrm{Op},\qquad R_I\rightarrow\mathrm{Op},\qquad E_I^{(2)}\rightarrow\mathrm{Op}</w:t>
      </w:r>
    </w:p>
    <w:p w:rsidR="009A2130" w:rsidRDefault="009A2130" w:rsidP="009A2130">
      <w:pPr>
        <w:pStyle w:val="StandardWeb"/>
      </w:pPr>
      <w:r>
        <w:t>und</w:t>
      </w:r>
    </w:p>
    <w:p w:rsidR="009A2130" w:rsidRDefault="009A2130" w:rsidP="009A2130">
      <w:pPr>
        <w:pStyle w:val="StandardWeb"/>
      </w:pPr>
      <w:r>
        <w:t>[</w:t>
      </w:r>
      <w:r>
        <w:br/>
        <w:t>M_{\mathfrak M}</w:t>
      </w:r>
      <w:r>
        <w:br/>
        <w:t>\rightarrow</w:t>
      </w:r>
      <w:r>
        <w:br/>
        <w:t>\mathrm{Mod},</w:t>
      </w:r>
      <w:r>
        <w:br/>
        <w:t>\qquad</w:t>
      </w:r>
      <w:r>
        <w:br/>
        <w:t>\operatorname{RobInv}_F</w:t>
      </w:r>
      <w:r>
        <w:br/>
        <w:t>\rightarrow</w:t>
      </w:r>
      <w:r>
        <w:br/>
        <w:t>\mathrm{Def/Mod}.</w:t>
      </w:r>
      <w:r>
        <w:br/>
        <w:t>\tag{3.10633}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M_{\mathfrak M}\rightarrow\mathrm{Mod},\qquad\operatorname{RobInv}_F\rightarrow\mathrm{Def/Mod}</w:t>
      </w:r>
    </w:p>
    <w:p w:rsidR="009A2130" w:rsidRDefault="00E50336" w:rsidP="009A2130">
      <w:r>
        <w:pict>
          <v:rect id="_x0000_i3434" style="width:0;height:1.5pt" o:hralign="center" o:hrstd="t" o:hr="t" fillcolor="#a0a0a0" stroked="f"/>
        </w:pict>
      </w:r>
    </w:p>
    <w:p w:rsidR="009A2130" w:rsidRDefault="009A2130" w:rsidP="009A2130">
      <w:pPr>
        <w:pStyle w:val="berschrift1"/>
      </w:pPr>
      <w:r>
        <w:lastRenderedPageBreak/>
        <w:t>3.3.45.337 Keine neuen Primäraxiome durch approximative Invarianz</w:t>
      </w:r>
    </w:p>
    <w:p w:rsidR="009A2130" w:rsidRDefault="009A2130" w:rsidP="009A2130">
      <w:pPr>
        <w:pStyle w:val="StandardWeb"/>
      </w:pPr>
      <w:r>
        <w:t>Damit ergibt die erneute Axiomprüfung</w:t>
      </w:r>
    </w:p>
    <w:p w:rsidR="009A2130" w:rsidRDefault="009A2130" w:rsidP="009A2130">
      <w:pPr>
        <w:pStyle w:val="berschrift1"/>
      </w:pPr>
      <w:r>
        <w:t>[</w:t>
      </w:r>
      <w:r>
        <w:br/>
        <w:t>\boxed{</w:t>
      </w:r>
      <w:r>
        <w:br/>
        <w:t>\mathfrak A_{3.3.45}^{\mathrm{new}}</w:t>
      </w:r>
    </w:p>
    <w:p w:rsidR="009A2130" w:rsidRDefault="009A2130" w:rsidP="009A2130">
      <w:pPr>
        <w:pStyle w:val="StandardWeb"/>
      </w:pPr>
      <w:r>
        <w:t>\varnothing.</w:t>
      </w:r>
      <w:r>
        <w:br/>
        <w:t>}</w:t>
      </w:r>
      <w:r>
        <w:br/>
        <w:t>\tag{3.10634}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\boxed{\mathfrak A_{3.3.45}^{\mathrm{new}}=\varnothing.}</w:t>
      </w:r>
    </w:p>
    <w:p w:rsidR="009A2130" w:rsidRDefault="009A2130" w:rsidP="009A2130">
      <w:pPr>
        <w:pStyle w:val="StandardWeb"/>
      </w:pPr>
      <w:r>
        <w:t>Die approximative Erweiterung ist vollständig auf Definitionen, Operationalisierungen, mathematische Folgerungen und Modellannahmen zurückführbar.</w:t>
      </w:r>
    </w:p>
    <w:p w:rsidR="009A2130" w:rsidRDefault="00E50336" w:rsidP="009A2130">
      <w:r>
        <w:pict>
          <v:rect id="_x0000_i3435" style="width:0;height:1.5pt" o:hralign="center" o:hrstd="t" o:hr="t" fillcolor="#a0a0a0" stroked="f"/>
        </w:pict>
      </w:r>
    </w:p>
    <w:p w:rsidR="009A2130" w:rsidRDefault="009A2130" w:rsidP="009A2130">
      <w:pPr>
        <w:pStyle w:val="berschrift1"/>
      </w:pPr>
      <w:r>
        <w:t>3.3.45.338 Erweiterte Invarianzarchitektur</w:t>
      </w:r>
    </w:p>
    <w:p w:rsidR="009A2130" w:rsidRDefault="009A2130" w:rsidP="009A2130">
      <w:pPr>
        <w:pStyle w:val="StandardWeb"/>
      </w:pPr>
      <w:r>
        <w:t>Ich kann die bisherige Struktur nun ergänzen zu</w:t>
      </w:r>
    </w:p>
    <w:p w:rsidR="009A2130" w:rsidRDefault="009A2130" w:rsidP="009A2130">
      <w:pPr>
        <w:pStyle w:val="berschrift1"/>
      </w:pPr>
      <w:r>
        <w:t>[</w:t>
      </w:r>
      <w:r>
        <w:br/>
        <w:t>\mathfrak I_{F,4}</w:t>
      </w:r>
    </w:p>
    <w:p w:rsidR="009A2130" w:rsidRDefault="009A2130" w:rsidP="009A2130">
      <w:pPr>
        <w:pStyle w:val="StandardWeb"/>
      </w:pPr>
      <w:r>
        <w:t>\left(</w:t>
      </w:r>
      <w:r>
        <w:br/>
        <w:t>\mathfrak I_{F,3},</w:t>
      </w:r>
      <w:r>
        <w:br/>
        <w:t>\Delta_I,</w:t>
      </w:r>
      <w:r>
        <w:br/>
        <w:t>\mathcal I_F^{(\varepsilon)},</w:t>
      </w:r>
      <w:r>
        <w:br/>
        <w:t>\mathcal V_I^{(\varepsilon)},</w:t>
      </w:r>
      <w:r>
        <w:br/>
        <w:t>r_I^{(\varepsilon)},</w:t>
      </w:r>
      <w:r>
        <w:br/>
        <w:t>\overline{\Delta}</w:t>
      </w:r>
      <w:r>
        <w:rPr>
          <w:rStyle w:val="Hervorhebung"/>
        </w:rPr>
        <w:t>I,</w:t>
      </w:r>
      <w:r>
        <w:rPr>
          <w:i/>
          <w:iCs/>
        </w:rPr>
        <w:br/>
      </w:r>
      <w:r>
        <w:rPr>
          <w:rStyle w:val="Hervorhebung"/>
        </w:rPr>
        <w:t>\Delta_I^{\max},</w:t>
      </w:r>
      <w:r>
        <w:rPr>
          <w:i/>
          <w:iCs/>
        </w:rPr>
        <w:br/>
      </w:r>
      <w:r>
        <w:rPr>
          <w:rStyle w:val="Hervorhebung"/>
        </w:rPr>
        <w:t>R_I,</w:t>
      </w:r>
      <w:r>
        <w:rPr>
          <w:i/>
          <w:iCs/>
        </w:rPr>
        <w:br/>
      </w:r>
      <w:r>
        <w:rPr>
          <w:rStyle w:val="Hervorhebung"/>
        </w:rPr>
        <w:t>E_I^{(2)},</w:t>
      </w:r>
      <w:r>
        <w:rPr>
          <w:i/>
          <w:iCs/>
        </w:rPr>
        <w:br/>
      </w:r>
      <w:r>
        <w:rPr>
          <w:rStyle w:val="Hervorhebung"/>
        </w:rPr>
        <w:t>D_I,</w:t>
      </w:r>
      <w:r>
        <w:rPr>
          <w:i/>
          <w:iCs/>
        </w:rPr>
        <w:br/>
      </w:r>
      <w:r>
        <w:rPr>
          <w:rStyle w:val="Hervorhebung"/>
        </w:rPr>
        <w:t>M</w:t>
      </w:r>
      <w:r>
        <w:t>{\mathfrak M},</w:t>
      </w:r>
      <w:r>
        <w:br/>
        <w:t>\operatorname{RobInv}_F</w:t>
      </w:r>
      <w:r>
        <w:br/>
        <w:t>\right).</w:t>
      </w:r>
      <w:r>
        <w:br/>
        <w:t>\tag{3.10635}</w:t>
      </w:r>
      <w:r>
        <w:br/>
        <w:t>]</w:t>
      </w:r>
    </w:p>
    <w:p w:rsidR="009A2130" w:rsidRDefault="009A2130" w:rsidP="009A2130">
      <w:pPr>
        <w:pStyle w:val="StandardWeb"/>
      </w:pPr>
      <w:r>
        <w:rPr>
          <w:rStyle w:val="Fett"/>
        </w:rPr>
        <w:lastRenderedPageBreak/>
        <w:t>Word-LaTeX</w:t>
      </w:r>
    </w:p>
    <w:p w:rsidR="009A2130" w:rsidRDefault="009A2130" w:rsidP="009A2130">
      <w:pPr>
        <w:pStyle w:val="HTMLVorformatiert"/>
        <w:rPr>
          <w:rStyle w:val="HTMLCode"/>
        </w:rPr>
      </w:pPr>
      <w:r>
        <w:rPr>
          <w:rStyle w:val="HTMLCode"/>
        </w:rPr>
        <w:t>\mathfrak I_{F,4}=\left(\mathfrak I_{F,3},\Delta_I,\mathcal I_F^{(\varepsilon)},\mathcal V_I^{(\varepsilon)},r_I^{(\varepsilon)},\overline{\Delta}_I,\Delta_I^{\max},R_I,E_I^{(2)},D_I,M_{\mathfrak M},\operatorname{RobInv}_F\right)</w:t>
      </w:r>
    </w:p>
    <w:p w:rsidR="009A2130" w:rsidRDefault="00E50336" w:rsidP="009A2130">
      <w:r>
        <w:pict>
          <v:rect id="_x0000_i3436" style="width:0;height:1.5pt" o:hralign="center" o:hrstd="t" o:hr="t" fillcolor="#a0a0a0" stroked="f"/>
        </w:pict>
      </w:r>
    </w:p>
    <w:p w:rsidR="009A2130" w:rsidRDefault="009A2130" w:rsidP="009A2130">
      <w:pPr>
        <w:pStyle w:val="berschrift1"/>
      </w:pPr>
      <w:r>
        <w:t>3.3.45.339 Vorbereitung der endgültigen Statusprüfung</w:t>
      </w:r>
    </w:p>
    <w:p w:rsidR="009A2130" w:rsidRDefault="009A2130" w:rsidP="009A2130">
      <w:pPr>
        <w:pStyle w:val="StandardWeb"/>
      </w:pPr>
      <w:r>
        <w:t>Damit liegen nun vier große Invarianzblöcke vor:</w:t>
      </w:r>
    </w:p>
    <w:p w:rsidR="009A2130" w:rsidRDefault="009A2130" w:rsidP="009A2130">
      <w:pPr>
        <w:pStyle w:val="StandardWeb"/>
      </w:pPr>
      <w:r>
        <w:t>[</w:t>
      </w:r>
      <w:r>
        <w:br/>
        <w:t>\text{exakte Übergangsinvarianz},</w:t>
      </w:r>
      <w:r>
        <w:br/>
        <w:t>\tag{3.10636}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\text{exakte Übergangsinvarianz}</w:t>
      </w:r>
    </w:p>
    <w:p w:rsidR="009A2130" w:rsidRDefault="009A2130" w:rsidP="009A2130">
      <w:pPr>
        <w:pStyle w:val="StandardWeb"/>
      </w:pPr>
      <w:r>
        <w:t>[</w:t>
      </w:r>
      <w:r>
        <w:br/>
        <w:t>\text{algebraische Invariantenstruktur},</w:t>
      </w:r>
      <w:r>
        <w:br/>
        <w:t>\tag{3.10637}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\text{algebraische Invariantenstruktur}</w:t>
      </w:r>
    </w:p>
    <w:p w:rsidR="009A2130" w:rsidRDefault="009A2130" w:rsidP="009A2130">
      <w:pPr>
        <w:pStyle w:val="StandardWeb"/>
      </w:pPr>
      <w:r>
        <w:t>[</w:t>
      </w:r>
      <w:r>
        <w:br/>
        <w:t>\text{Symmetriestruktur},</w:t>
      </w:r>
      <w:r>
        <w:br/>
        <w:t>\tag{3.10638}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\text{Symmetriestruktur}</w:t>
      </w:r>
    </w:p>
    <w:p w:rsidR="009A2130" w:rsidRDefault="009A2130" w:rsidP="009A2130">
      <w:pPr>
        <w:pStyle w:val="StandardWeb"/>
      </w:pPr>
      <w:r>
        <w:t>und</w:t>
      </w:r>
    </w:p>
    <w:p w:rsidR="009A2130" w:rsidRDefault="009A2130" w:rsidP="009A2130">
      <w:pPr>
        <w:pStyle w:val="StandardWeb"/>
      </w:pPr>
      <w:r>
        <w:t>[</w:t>
      </w:r>
      <w:r>
        <w:br/>
        <w:t>\text{approximative beziehungsweise empirische Invarianzstruktur}.</w:t>
      </w:r>
      <w:r>
        <w:br/>
        <w:t>\tag{3.10639}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\text{approximative beziehungsweise empirische Invarianzstruktur}</w:t>
      </w:r>
    </w:p>
    <w:p w:rsidR="009A2130" w:rsidRDefault="009A2130" w:rsidP="009A2130">
      <w:pPr>
        <w:pStyle w:val="StandardWeb"/>
      </w:pPr>
      <w:r>
        <w:lastRenderedPageBreak/>
        <w:t>Diese Strukturen müssen nun gemeinsam auf ihren endgültigen wissenschaftlichen Status geprüft werden.</w:t>
      </w:r>
    </w:p>
    <w:p w:rsidR="009A2130" w:rsidRDefault="00E50336" w:rsidP="009A2130">
      <w:r>
        <w:pict>
          <v:rect id="_x0000_i3437" style="width:0;height:1.5pt" o:hralign="center" o:hrstd="t" o:hr="t" fillcolor="#a0a0a0" stroked="f"/>
        </w:pict>
      </w:r>
    </w:p>
    <w:p w:rsidR="009A2130" w:rsidRDefault="009A2130" w:rsidP="009A2130">
      <w:pPr>
        <w:pStyle w:val="berschrift1"/>
      </w:pPr>
      <w:r>
        <w:t>3.3.45.340 Klassifikationsklassen</w:t>
      </w:r>
    </w:p>
    <w:p w:rsidR="009A2130" w:rsidRDefault="009A2130" w:rsidP="009A2130">
      <w:pPr>
        <w:pStyle w:val="StandardWeb"/>
      </w:pPr>
      <w:r>
        <w:t>Für die endgültige Statusmatrix verwende ich erneut die Kategorien</w:t>
      </w:r>
    </w:p>
    <w:p w:rsidR="009A2130" w:rsidRDefault="009A2130" w:rsidP="009A2130">
      <w:pPr>
        <w:pStyle w:val="berschrift1"/>
      </w:pPr>
      <w:r>
        <w:t>[</w:t>
      </w:r>
      <w:r>
        <w:br/>
        <w:t>\mathcal K_{\mathrm{stat}}</w:t>
      </w:r>
    </w:p>
    <w:p w:rsidR="009A2130" w:rsidRDefault="009A2130" w:rsidP="009A2130">
      <w:pPr>
        <w:pStyle w:val="StandardWeb"/>
      </w:pPr>
      <w:r>
        <w:t>{</w:t>
      </w:r>
      <w:r>
        <w:br/>
        <w:t>\mathrm{Def},</w:t>
      </w:r>
      <w:r>
        <w:br/>
        <w:t>\mathrm{Der},</w:t>
      </w:r>
      <w:r>
        <w:br/>
        <w:t>\mathrm{Mod},</w:t>
      </w:r>
      <w:r>
        <w:br/>
        <w:t>\mathrm{Op},</w:t>
      </w:r>
      <w:r>
        <w:br/>
        <w:t>\mathrm{Ax}</w:t>
      </w:r>
      <w:r>
        <w:br/>
        <w:t>}.</w:t>
      </w:r>
      <w:r>
        <w:br/>
        <w:t>\tag{3.10640}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\mathcal K_{\mathrm{stat}}=\{\mathrm{Def},\mathrm{Der},\mathrm{Mod},\mathrm{Op},\mathrm{Ax}\}</w:t>
      </w:r>
    </w:p>
    <w:p w:rsidR="009A2130" w:rsidRDefault="009A2130" w:rsidP="009A2130">
      <w:pPr>
        <w:pStyle w:val="StandardWeb"/>
      </w:pPr>
      <w:r>
        <w:t>Dabei bedeuten:</w:t>
      </w:r>
    </w:p>
    <w:p w:rsidR="009A2130" w:rsidRDefault="009A2130" w:rsidP="009A2130">
      <w:pPr>
        <w:pStyle w:val="berschrift1"/>
      </w:pPr>
      <w:r>
        <w:t>[</w:t>
      </w:r>
      <w:r>
        <w:br/>
        <w:t>\mathrm{Def}</w:t>
      </w:r>
    </w:p>
    <w:p w:rsidR="009A2130" w:rsidRDefault="009A2130" w:rsidP="009A2130">
      <w:pPr>
        <w:pStyle w:val="StandardWeb"/>
      </w:pPr>
      <w:r>
        <w:t>\text{Definition},</w:t>
      </w:r>
      <w:r>
        <w:br/>
        <w:t>\tag{3.10641}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\mathrm{Def}=\text{Definition}</w:t>
      </w:r>
    </w:p>
    <w:p w:rsidR="009A2130" w:rsidRDefault="009A2130" w:rsidP="009A2130">
      <w:pPr>
        <w:pStyle w:val="berschrift1"/>
      </w:pPr>
      <w:r>
        <w:t>[</w:t>
      </w:r>
      <w:r>
        <w:br/>
        <w:t>\mathrm{Der}</w:t>
      </w:r>
    </w:p>
    <w:p w:rsidR="009A2130" w:rsidRDefault="009A2130" w:rsidP="009A2130">
      <w:pPr>
        <w:pStyle w:val="StandardWeb"/>
      </w:pPr>
      <w:r>
        <w:t>\text{mathematisch abgeleitet},</w:t>
      </w:r>
      <w:r>
        <w:br/>
        <w:t>\tag{3.10642}</w:t>
      </w:r>
      <w:r>
        <w:br/>
        <w:t>]</w:t>
      </w:r>
    </w:p>
    <w:p w:rsidR="009A2130" w:rsidRDefault="009A2130" w:rsidP="009A2130">
      <w:pPr>
        <w:pStyle w:val="StandardWeb"/>
      </w:pPr>
      <w:r>
        <w:rPr>
          <w:rStyle w:val="Fett"/>
        </w:rPr>
        <w:lastRenderedPageBreak/>
        <w:t>Word-LaTeX</w:t>
      </w:r>
    </w:p>
    <w:p w:rsidR="009A2130" w:rsidRDefault="009A2130" w:rsidP="009A2130">
      <w:pPr>
        <w:pStyle w:val="HTMLVorformatiert"/>
        <w:rPr>
          <w:rStyle w:val="HTMLCode"/>
        </w:rPr>
      </w:pPr>
      <w:r>
        <w:rPr>
          <w:rStyle w:val="HTMLCode"/>
        </w:rPr>
        <w:t>\mathrm{Der}=\text{mathematisch abgeleitet}</w:t>
      </w:r>
    </w:p>
    <w:p w:rsidR="009A2130" w:rsidRDefault="009A2130" w:rsidP="009A2130">
      <w:pPr>
        <w:pStyle w:val="berschrift1"/>
      </w:pPr>
      <w:r>
        <w:t>[</w:t>
      </w:r>
      <w:r>
        <w:br/>
        <w:t>\mathrm{Mod}</w:t>
      </w:r>
    </w:p>
    <w:p w:rsidR="009A2130" w:rsidRDefault="009A2130" w:rsidP="009A2130">
      <w:pPr>
        <w:pStyle w:val="StandardWeb"/>
      </w:pPr>
      <w:r>
        <w:t>\text{Modellannahme},</w:t>
      </w:r>
      <w:r>
        <w:br/>
        <w:t>\tag{3.10643}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\mathrm{Mod}=\text{Modellannahme}</w:t>
      </w:r>
    </w:p>
    <w:p w:rsidR="009A2130" w:rsidRDefault="009A2130" w:rsidP="009A2130">
      <w:pPr>
        <w:pStyle w:val="berschrift1"/>
      </w:pPr>
      <w:r>
        <w:t>[</w:t>
      </w:r>
      <w:r>
        <w:br/>
        <w:t>\mathrm{Op}</w:t>
      </w:r>
    </w:p>
    <w:p w:rsidR="009A2130" w:rsidRDefault="009A2130" w:rsidP="009A2130">
      <w:pPr>
        <w:pStyle w:val="StandardWeb"/>
      </w:pPr>
      <w:r>
        <w:t>\text{Operationalisierung}</w:t>
      </w:r>
      <w:r>
        <w:br/>
        <w:t>\tag{3.10644}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\mathrm{Op}=\text{Operationalisierung}</w:t>
      </w:r>
    </w:p>
    <w:p w:rsidR="009A2130" w:rsidRDefault="009A2130" w:rsidP="009A2130">
      <w:pPr>
        <w:pStyle w:val="StandardWeb"/>
      </w:pPr>
      <w:r>
        <w:t>und</w:t>
      </w:r>
    </w:p>
    <w:p w:rsidR="009A2130" w:rsidRDefault="009A2130" w:rsidP="009A2130">
      <w:pPr>
        <w:pStyle w:val="berschrift1"/>
      </w:pPr>
      <w:r>
        <w:t>[</w:t>
      </w:r>
      <w:r>
        <w:br/>
        <w:t>\mathrm{Ax}</w:t>
      </w:r>
    </w:p>
    <w:p w:rsidR="009A2130" w:rsidRDefault="009A2130" w:rsidP="009A2130">
      <w:pPr>
        <w:pStyle w:val="StandardWeb"/>
      </w:pPr>
      <w:r>
        <w:t>\text{Primäraxiom}.</w:t>
      </w:r>
      <w:r>
        <w:br/>
        <w:t>\tag{3.10645}</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\mathrm{Ax}=\text{Primäraxiom}</w:t>
      </w:r>
    </w:p>
    <w:p w:rsidR="009A2130" w:rsidRDefault="00E50336" w:rsidP="009A2130">
      <w:r>
        <w:pict>
          <v:rect id="_x0000_i3438" style="width:0;height:1.5pt" o:hralign="center" o:hrstd="t" o:hr="t" fillcolor="#a0a0a0" stroked="f"/>
        </w:pict>
      </w:r>
    </w:p>
    <w:p w:rsidR="009A2130" w:rsidRDefault="009A2130" w:rsidP="009A2130">
      <w:pPr>
        <w:pStyle w:val="berschrift1"/>
      </w:pPr>
      <w:r>
        <w:t>3.3.45.341 Strenge Axiomklasse</w:t>
      </w:r>
    </w:p>
    <w:p w:rsidR="009A2130" w:rsidRDefault="009A2130" w:rsidP="009A2130">
      <w:pPr>
        <w:pStyle w:val="StandardWeb"/>
      </w:pPr>
      <w:r>
        <w:t>Eine Struktur darf nur dann als Primäraxiom klassifiziert werden, wenn sie nicht lediglich bequem, anschaulich oder in bestimmten Modellen erfolgreich ist, sondern für die theoretische Grundkonstruktion logisch unverzichtbar ist.</w:t>
      </w:r>
    </w:p>
    <w:p w:rsidR="009A2130" w:rsidRDefault="009A2130" w:rsidP="009A2130">
      <w:pPr>
        <w:pStyle w:val="StandardWeb"/>
      </w:pPr>
      <w:r>
        <w:t>Ich schreibe erneut</w:t>
      </w:r>
    </w:p>
    <w:p w:rsidR="009A2130" w:rsidRDefault="009A2130" w:rsidP="009A2130">
      <w:pPr>
        <w:pStyle w:val="berschrift1"/>
      </w:pPr>
      <w:r>
        <w:lastRenderedPageBreak/>
        <w:t>[</w:t>
      </w:r>
      <w:r>
        <w:br/>
        <w:t>U_{\mathrm{Ax}}(X)</w:t>
      </w:r>
    </w:p>
    <w:p w:rsidR="009A2130" w:rsidRDefault="009A2130" w:rsidP="009A2130">
      <w:pPr>
        <w:pStyle w:val="StandardWeb"/>
      </w:pPr>
      <w:r>
        <w:t>1</w:t>
      </w:r>
      <w:r>
        <w:br/>
        <w:t>\tag{3.10646}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U_{\mathrm{Ax}}(X)=1</w:t>
      </w:r>
    </w:p>
    <w:p w:rsidR="009A2130" w:rsidRDefault="009A2130" w:rsidP="009A2130">
      <w:pPr>
        <w:pStyle w:val="StandardWeb"/>
      </w:pPr>
      <w:r>
        <w:t>nur dann, wenn (X) nicht aus bereits akzeptierten Strukturen hergeleitet werden kann und sein Wegfall die betreffende fundamentale Theoriearchitektur zerstören würde.</w:t>
      </w:r>
    </w:p>
    <w:p w:rsidR="009A2130" w:rsidRDefault="00E50336" w:rsidP="009A2130">
      <w:r>
        <w:pict>
          <v:rect id="_x0000_i3439" style="width:0;height:1.5pt" o:hralign="center" o:hrstd="t" o:hr="t" fillcolor="#a0a0a0" stroked="f"/>
        </w:pict>
      </w:r>
    </w:p>
    <w:p w:rsidR="009A2130" w:rsidRDefault="009A2130" w:rsidP="009A2130">
      <w:pPr>
        <w:pStyle w:val="berschrift1"/>
      </w:pPr>
      <w:r>
        <w:t>3.3.45.342 Prüfung der exakten Invarianzexistenz</w:t>
      </w:r>
    </w:p>
    <w:p w:rsidR="009A2130" w:rsidRDefault="009A2130" w:rsidP="009A2130">
      <w:pPr>
        <w:pStyle w:val="StandardWeb"/>
      </w:pPr>
      <w:r>
        <w:t>Die Aussage</w:t>
      </w:r>
    </w:p>
    <w:p w:rsidR="009A2130" w:rsidRDefault="009A2130" w:rsidP="009A2130">
      <w:pPr>
        <w:pStyle w:val="StandardWeb"/>
      </w:pPr>
      <w:r>
        <w:t>[</w:t>
      </w:r>
      <w:r>
        <w:br/>
        <w:t>\exists I_F\not\equiv\mathrm{const}</w:t>
      </w:r>
      <w:r>
        <w:br/>
        <w:t>\tag{3.10647}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\exists I_F\not\equiv\mathrm{const}</w:t>
      </w:r>
    </w:p>
    <w:p w:rsidR="009A2130" w:rsidRDefault="009A2130" w:rsidP="009A2130">
      <w:pPr>
        <w:pStyle w:val="StandardWeb"/>
      </w:pPr>
      <w:r>
        <w:t>wurde bereits durch Gegenmodelle als nicht universal notwendig erkannt.</w:t>
      </w:r>
    </w:p>
    <w:p w:rsidR="009A2130" w:rsidRDefault="009A2130" w:rsidP="009A2130">
      <w:pPr>
        <w:pStyle w:val="StandardWeb"/>
      </w:pPr>
      <w:r>
        <w:t>Daher bleibt</w:t>
      </w:r>
    </w:p>
    <w:p w:rsidR="009A2130" w:rsidRDefault="009A2130" w:rsidP="009A2130">
      <w:pPr>
        <w:pStyle w:val="StandardWeb"/>
      </w:pPr>
      <w:r>
        <w:t>[</w:t>
      </w:r>
      <w:r>
        <w:br/>
        <w:t>\boxed{</w:t>
      </w:r>
      <w:r>
        <w:br/>
        <w:t>U_{\mathrm{Ax}}(A_I)=0.</w:t>
      </w:r>
      <w:r>
        <w:br/>
        <w:t>}</w:t>
      </w:r>
      <w:r>
        <w:br/>
        <w:t>\tag{3.10648}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\boxed{U_{\mathrm{Ax}}(A_I)=0.}</w:t>
      </w:r>
    </w:p>
    <w:p w:rsidR="009A2130" w:rsidRDefault="00E50336" w:rsidP="009A2130">
      <w:r>
        <w:pict>
          <v:rect id="_x0000_i3440" style="width:0;height:1.5pt" o:hralign="center" o:hrstd="t" o:hr="t" fillcolor="#a0a0a0" stroked="f"/>
        </w:pict>
      </w:r>
    </w:p>
    <w:p w:rsidR="009A2130" w:rsidRDefault="009A2130" w:rsidP="009A2130">
      <w:pPr>
        <w:pStyle w:val="berschrift1"/>
      </w:pPr>
      <w:r>
        <w:t>3.3.45.343 Prüfung der Symmetrieexistenz</w:t>
      </w:r>
    </w:p>
    <w:p w:rsidR="009A2130" w:rsidRDefault="009A2130" w:rsidP="009A2130">
      <w:pPr>
        <w:pStyle w:val="StandardWeb"/>
      </w:pPr>
      <w:r>
        <w:t>Ebenso ist die Forderung</w:t>
      </w:r>
    </w:p>
    <w:p w:rsidR="009A2130" w:rsidRDefault="009A2130" w:rsidP="009A2130">
      <w:pPr>
        <w:pStyle w:val="StandardWeb"/>
      </w:pPr>
      <w:r>
        <w:lastRenderedPageBreak/>
        <w:t>[</w:t>
      </w:r>
      <w:r>
        <w:br/>
        <w:t>|\mathfrak G_F|&gt;1</w:t>
      </w:r>
      <w:r>
        <w:br/>
        <w:t>\tag{3.10649}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|\mathfrak G_F|&gt;1</w:t>
      </w:r>
    </w:p>
    <w:p w:rsidR="009A2130" w:rsidRDefault="009A2130" w:rsidP="009A2130">
      <w:pPr>
        <w:pStyle w:val="StandardWeb"/>
      </w:pPr>
      <w:r>
        <w:t>nicht universal notwendig.</w:t>
      </w:r>
    </w:p>
    <w:p w:rsidR="009A2130" w:rsidRDefault="009A2130" w:rsidP="009A2130">
      <w:pPr>
        <w:pStyle w:val="StandardWeb"/>
      </w:pPr>
      <w:r>
        <w:t>Ein funktionales Modell kann nur die triviale Identitätssymmetrie besitzen.</w:t>
      </w:r>
    </w:p>
    <w:p w:rsidR="009A2130" w:rsidRDefault="009A2130" w:rsidP="009A2130">
      <w:pPr>
        <w:pStyle w:val="StandardWeb"/>
      </w:pPr>
      <w:r>
        <w:t>Damit gilt</w:t>
      </w:r>
    </w:p>
    <w:p w:rsidR="009A2130" w:rsidRDefault="009A2130" w:rsidP="009A2130">
      <w:pPr>
        <w:pStyle w:val="berschrift1"/>
      </w:pPr>
      <w:r>
        <w:t>[</w:t>
      </w:r>
      <w:r>
        <w:br/>
        <w:t>\boxed{</w:t>
      </w:r>
      <w:r>
        <w:br/>
        <w:t>U_{\mathrm{Ax}}</w:t>
      </w:r>
      <w:r>
        <w:br/>
        <w:t>\left(</w:t>
      </w:r>
      <w:r>
        <w:br/>
        <w:t>|\mathfrak G_F|&gt;1</w:t>
      </w:r>
      <w:r>
        <w:br/>
        <w:t>\right)</w:t>
      </w:r>
    </w:p>
    <w:p w:rsidR="009A2130" w:rsidRDefault="009A2130" w:rsidP="00152216">
      <w:pPr>
        <w:numPr>
          <w:ilvl w:val="0"/>
          <w:numId w:val="459"/>
        </w:numPr>
        <w:spacing w:before="100" w:beforeAutospacing="1" w:after="100" w:afterAutospacing="1"/>
      </w:pPr>
    </w:p>
    <w:p w:rsidR="009A2130" w:rsidRDefault="009A2130" w:rsidP="009A2130">
      <w:pPr>
        <w:pStyle w:val="StandardWeb"/>
      </w:pPr>
      <w:r>
        <w:t>}</w:t>
      </w:r>
      <w:r>
        <w:br/>
        <w:t>\tag{3.10650}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\boxed{U_{\mathrm{Ax}}\left(|\mathfrak G_F|&gt;1\right)=0.}</w:t>
      </w:r>
    </w:p>
    <w:p w:rsidR="009A2130" w:rsidRDefault="00E50336" w:rsidP="009A2130">
      <w:r>
        <w:pict>
          <v:rect id="_x0000_i3441" style="width:0;height:1.5pt" o:hralign="center" o:hrstd="t" o:hr="t" fillcolor="#a0a0a0" stroked="f"/>
        </w:pict>
      </w:r>
    </w:p>
    <w:p w:rsidR="009A2130" w:rsidRDefault="009A2130" w:rsidP="009A2130">
      <w:pPr>
        <w:pStyle w:val="berschrift1"/>
      </w:pPr>
      <w:r>
        <w:t>3.3.45.344 Prüfung kontinuierlicher Symmetrie</w:t>
      </w:r>
    </w:p>
    <w:p w:rsidR="009A2130" w:rsidRDefault="009A2130" w:rsidP="009A2130">
      <w:pPr>
        <w:pStyle w:val="StandardWeb"/>
      </w:pPr>
      <w:r>
        <w:t>Die Existenz einer kontinuierlichen Symmetriegruppe setzt zusätzliche Topologie und Differenzierbarkeit voraus.</w:t>
      </w:r>
    </w:p>
    <w:p w:rsidR="009A2130" w:rsidRDefault="009A2130" w:rsidP="009A2130">
      <w:pPr>
        <w:pStyle w:val="StandardWeb"/>
      </w:pPr>
      <w:r>
        <w:t>Damit folgt</w:t>
      </w:r>
    </w:p>
    <w:p w:rsidR="009A2130" w:rsidRDefault="009A2130" w:rsidP="009A2130">
      <w:pPr>
        <w:pStyle w:val="berschrift1"/>
      </w:pPr>
      <w:r>
        <w:t>[</w:t>
      </w:r>
      <w:r>
        <w:br/>
        <w:t>\boxed{</w:t>
      </w:r>
      <w:r>
        <w:br/>
        <w:t>U_{\mathrm{Ax}}</w:t>
      </w:r>
      <w:r>
        <w:br/>
      </w:r>
      <w:r>
        <w:lastRenderedPageBreak/>
        <w:t>\left(</w:t>
      </w:r>
      <w:r>
        <w:br/>
        <w:t>\mathfrak G_F^{\mathrm{cont}}</w:t>
      </w:r>
      <w:r>
        <w:br/>
        <w:t>\right)</w:t>
      </w:r>
    </w:p>
    <w:p w:rsidR="009A2130" w:rsidRDefault="009A2130" w:rsidP="00152216">
      <w:pPr>
        <w:numPr>
          <w:ilvl w:val="0"/>
          <w:numId w:val="460"/>
        </w:numPr>
        <w:spacing w:before="100" w:beforeAutospacing="1" w:after="100" w:afterAutospacing="1"/>
      </w:pPr>
    </w:p>
    <w:p w:rsidR="009A2130" w:rsidRDefault="009A2130" w:rsidP="009A2130">
      <w:pPr>
        <w:pStyle w:val="StandardWeb"/>
      </w:pPr>
      <w:r>
        <w:t>}</w:t>
      </w:r>
      <w:r>
        <w:br/>
        <w:t>\tag{3.10651}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\boxed{U_{\mathrm{Ax}}\left(\mathfrak G_F^{\mathrm{cont}}\right)=0.}</w:t>
      </w:r>
    </w:p>
    <w:p w:rsidR="009A2130" w:rsidRDefault="00E50336" w:rsidP="009A2130">
      <w:r>
        <w:pict>
          <v:rect id="_x0000_i3442" style="width:0;height:1.5pt" o:hralign="center" o:hrstd="t" o:hr="t" fillcolor="#a0a0a0" stroked="f"/>
        </w:pict>
      </w:r>
    </w:p>
    <w:p w:rsidR="009A2130" w:rsidRDefault="009A2130" w:rsidP="009A2130">
      <w:pPr>
        <w:pStyle w:val="berschrift1"/>
      </w:pPr>
      <w:r>
        <w:t>3.3.45.345 Prüfung der Variationsstruktur</w:t>
      </w:r>
    </w:p>
    <w:p w:rsidR="009A2130" w:rsidRDefault="009A2130" w:rsidP="009A2130">
      <w:pPr>
        <w:pStyle w:val="StandardWeb"/>
      </w:pPr>
      <w:r>
        <w:t>Dasselbe gilt für</w:t>
      </w:r>
    </w:p>
    <w:p w:rsidR="009A2130" w:rsidRDefault="009A2130" w:rsidP="009A2130">
      <w:pPr>
        <w:pStyle w:val="StandardWeb"/>
      </w:pPr>
      <w:r>
        <w:t>[</w:t>
      </w:r>
      <w:r>
        <w:br/>
        <w:t>M_V.</w:t>
      </w:r>
      <w:r>
        <w:br/>
        <w:t>\tag{3.10652}</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M_V</w:t>
      </w:r>
    </w:p>
    <w:p w:rsidR="009A2130" w:rsidRDefault="009A2130" w:rsidP="009A2130">
      <w:pPr>
        <w:pStyle w:val="StandardWeb"/>
      </w:pPr>
      <w:r>
        <w:t>Die allgemeine FRZK-Struktur erfordert keine Variationsrechnung.</w:t>
      </w:r>
    </w:p>
    <w:p w:rsidR="009A2130" w:rsidRDefault="009A2130" w:rsidP="009A2130">
      <w:pPr>
        <w:pStyle w:val="StandardWeb"/>
      </w:pPr>
      <w:r>
        <w:t>Daher</w:t>
      </w:r>
    </w:p>
    <w:p w:rsidR="009A2130" w:rsidRDefault="009A2130" w:rsidP="009A2130">
      <w:pPr>
        <w:pStyle w:val="StandardWeb"/>
      </w:pPr>
      <w:r>
        <w:t>[</w:t>
      </w:r>
      <w:r>
        <w:br/>
        <w:t>\boxed{</w:t>
      </w:r>
      <w:r>
        <w:br/>
        <w:t>U_{\mathrm{Ax}}(M_V)=0.</w:t>
      </w:r>
      <w:r>
        <w:br/>
        <w:t>}</w:t>
      </w:r>
      <w:r>
        <w:br/>
        <w:t>\tag{3.10653}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\boxed{U_{\mathrm{Ax}}(M_V)=0.}</w:t>
      </w:r>
    </w:p>
    <w:p w:rsidR="009A2130" w:rsidRDefault="00E50336" w:rsidP="009A2130">
      <w:r>
        <w:pict>
          <v:rect id="_x0000_i3443" style="width:0;height:1.5pt" o:hralign="center" o:hrstd="t" o:hr="t" fillcolor="#a0a0a0" stroked="f"/>
        </w:pict>
      </w:r>
    </w:p>
    <w:p w:rsidR="009A2130" w:rsidRDefault="009A2130" w:rsidP="009A2130">
      <w:pPr>
        <w:pStyle w:val="berschrift1"/>
      </w:pPr>
      <w:r>
        <w:t>3.3.45.346 Prüfung approximativer Invarianz</w:t>
      </w:r>
    </w:p>
    <w:p w:rsidR="009A2130" w:rsidRDefault="009A2130" w:rsidP="009A2130">
      <w:pPr>
        <w:pStyle w:val="StandardWeb"/>
      </w:pPr>
      <w:r>
        <w:t>Approximative Invarianz setzt eine Abweichungsstruktur und einen Toleranzbegriff voraus.</w:t>
      </w:r>
    </w:p>
    <w:p w:rsidR="009A2130" w:rsidRDefault="009A2130" w:rsidP="009A2130">
      <w:pPr>
        <w:pStyle w:val="StandardWeb"/>
      </w:pPr>
      <w:r>
        <w:lastRenderedPageBreak/>
        <w:t>Sie ist insbesondere für empirische Modelle nützlich, aber nicht logisch notwendig für jedes abstrakte FRZK-Modell.</w:t>
      </w:r>
    </w:p>
    <w:p w:rsidR="009A2130" w:rsidRDefault="009A2130" w:rsidP="009A2130">
      <w:pPr>
        <w:pStyle w:val="StandardWeb"/>
      </w:pPr>
      <w:r>
        <w:t>Damit gilt</w:t>
      </w:r>
    </w:p>
    <w:p w:rsidR="009A2130" w:rsidRDefault="009A2130" w:rsidP="009A2130">
      <w:pPr>
        <w:pStyle w:val="berschrift1"/>
      </w:pPr>
      <w:r>
        <w:t>[</w:t>
      </w:r>
      <w:r>
        <w:br/>
        <w:t>\boxed{</w:t>
      </w:r>
      <w:r>
        <w:br/>
        <w:t>U_{\mathrm{Ax}}</w:t>
      </w:r>
      <w:r>
        <w:br/>
        <w:t>\left(</w:t>
      </w:r>
      <w:r>
        <w:br/>
        <w:t>\mathcal I_F^{(\varepsilon)}</w:t>
      </w:r>
      <w:r>
        <w:br/>
        <w:t>\right)</w:t>
      </w:r>
    </w:p>
    <w:p w:rsidR="009A2130" w:rsidRDefault="009A2130" w:rsidP="00152216">
      <w:pPr>
        <w:numPr>
          <w:ilvl w:val="0"/>
          <w:numId w:val="461"/>
        </w:numPr>
        <w:spacing w:before="100" w:beforeAutospacing="1" w:after="100" w:afterAutospacing="1"/>
      </w:pPr>
    </w:p>
    <w:p w:rsidR="009A2130" w:rsidRDefault="009A2130" w:rsidP="009A2130">
      <w:pPr>
        <w:pStyle w:val="StandardWeb"/>
      </w:pPr>
      <w:r>
        <w:t>}</w:t>
      </w:r>
      <w:r>
        <w:br/>
        <w:t>\tag{3.10654}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\boxed{U_{\mathrm{Ax}}\left(\mathcal I_F^{(\varepsilon)}\right)=0.}</w:t>
      </w:r>
    </w:p>
    <w:p w:rsidR="009A2130" w:rsidRDefault="00E50336" w:rsidP="009A2130">
      <w:r>
        <w:pict>
          <v:rect id="_x0000_i3444" style="width:0;height:1.5pt" o:hralign="center" o:hrstd="t" o:hr="t" fillcolor="#a0a0a0" stroked="f"/>
        </w:pict>
      </w:r>
    </w:p>
    <w:p w:rsidR="009A2130" w:rsidRDefault="009A2130" w:rsidP="009A2130">
      <w:pPr>
        <w:pStyle w:val="berschrift1"/>
      </w:pPr>
      <w:r>
        <w:t>3.3.45.347 Prüfung der algebraischen Invariantenstruktur</w:t>
      </w:r>
    </w:p>
    <w:p w:rsidR="009A2130" w:rsidRDefault="009A2130" w:rsidP="009A2130">
      <w:pPr>
        <w:pStyle w:val="StandardWeb"/>
      </w:pPr>
      <w:r>
        <w:t>Auch ein Vektorraum oder eine Algebra von Invarianten ist nur definiert, wenn der Zielraum entsprechende Operationen besitzt.</w:t>
      </w:r>
    </w:p>
    <w:p w:rsidR="009A2130" w:rsidRDefault="009A2130" w:rsidP="009A2130">
      <w:pPr>
        <w:pStyle w:val="StandardWeb"/>
      </w:pPr>
      <w:r>
        <w:t>Daher gilt</w:t>
      </w:r>
    </w:p>
    <w:p w:rsidR="009A2130" w:rsidRDefault="009A2130" w:rsidP="009A2130">
      <w:pPr>
        <w:pStyle w:val="berschrift1"/>
      </w:pPr>
      <w:r>
        <w:t>[</w:t>
      </w:r>
      <w:r>
        <w:br/>
        <w:t>\boxed{</w:t>
      </w:r>
      <w:r>
        <w:br/>
        <w:t>U_{\mathrm{Ax}}(\mathfrak V_I)</w:t>
      </w:r>
    </w:p>
    <w:p w:rsidR="009A2130" w:rsidRDefault="009A2130" w:rsidP="009A2130">
      <w:pPr>
        <w:pStyle w:val="berschrift1"/>
      </w:pPr>
      <w:r>
        <w:t>U_{\mathrm{Ax}}(\mathfrak A_I)</w:t>
      </w:r>
    </w:p>
    <w:p w:rsidR="009A2130" w:rsidRDefault="009A2130" w:rsidP="00152216">
      <w:pPr>
        <w:numPr>
          <w:ilvl w:val="0"/>
          <w:numId w:val="462"/>
        </w:numPr>
        <w:spacing w:before="100" w:beforeAutospacing="1" w:after="100" w:afterAutospacing="1"/>
      </w:pPr>
    </w:p>
    <w:p w:rsidR="009A2130" w:rsidRDefault="009A2130" w:rsidP="009A2130">
      <w:pPr>
        <w:pStyle w:val="StandardWeb"/>
      </w:pPr>
      <w:r>
        <w:t>}</w:t>
      </w:r>
      <w:r>
        <w:br/>
        <w:t>\tag{3.10655}</w:t>
      </w:r>
      <w:r>
        <w:br/>
        <w:t>]</w:t>
      </w:r>
    </w:p>
    <w:p w:rsidR="009A2130" w:rsidRDefault="009A2130" w:rsidP="009A2130">
      <w:pPr>
        <w:pStyle w:val="StandardWeb"/>
      </w:pPr>
      <w:r>
        <w:rPr>
          <w:rStyle w:val="Fett"/>
        </w:rPr>
        <w:lastRenderedPageBreak/>
        <w:t>Word-LaTeX</w:t>
      </w:r>
    </w:p>
    <w:p w:rsidR="009A2130" w:rsidRDefault="009A2130" w:rsidP="009A2130">
      <w:pPr>
        <w:pStyle w:val="HTMLVorformatiert"/>
        <w:rPr>
          <w:rStyle w:val="HTMLCode"/>
        </w:rPr>
      </w:pPr>
      <w:r>
        <w:rPr>
          <w:rStyle w:val="HTMLCode"/>
        </w:rPr>
        <w:t>\boxed{U_{\mathrm{Ax}}(\mathfrak V_I)=U_{\mathrm{Ax}}(\mathfrak A_I)=0.}</w:t>
      </w:r>
    </w:p>
    <w:p w:rsidR="009A2130" w:rsidRDefault="00E50336" w:rsidP="009A2130">
      <w:r>
        <w:pict>
          <v:rect id="_x0000_i3445" style="width:0;height:1.5pt" o:hralign="center" o:hrstd="t" o:hr="t" fillcolor="#a0a0a0" stroked="f"/>
        </w:pict>
      </w:r>
    </w:p>
    <w:p w:rsidR="009A2130" w:rsidRDefault="009A2130" w:rsidP="009A2130">
      <w:pPr>
        <w:pStyle w:val="berschrift1"/>
      </w:pPr>
      <w:r>
        <w:t>3.3.45.348 Prüfung der kanonischen Zusammenhangsinvariante</w:t>
      </w:r>
    </w:p>
    <w:p w:rsidR="009A2130" w:rsidRDefault="009A2130" w:rsidP="009A2130">
      <w:pPr>
        <w:pStyle w:val="StandardWeb"/>
      </w:pPr>
      <w:r>
        <w:t>Die kanonische Zusammenhangsinvariante</w:t>
      </w:r>
    </w:p>
    <w:p w:rsidR="009A2130" w:rsidRDefault="009A2130" w:rsidP="009A2130">
      <w:pPr>
        <w:pStyle w:val="berschrift1"/>
      </w:pPr>
      <w:r>
        <w:t>[</w:t>
      </w:r>
      <w:r>
        <w:br/>
        <w:t>I_{\mathrm{class}}</w:t>
      </w:r>
    </w:p>
    <w:p w:rsidR="009A2130" w:rsidRDefault="009A2130" w:rsidP="009A2130">
      <w:pPr>
        <w:pStyle w:val="StandardWeb"/>
      </w:pPr>
      <w:r>
        <w:t>\pi_F^{\pm}</w:t>
      </w:r>
      <w:r>
        <w:br/>
        <w:t>\tag{3.10656}</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I_{\mathrm{class}}=\pi_F^{\pm}</w:t>
      </w:r>
    </w:p>
    <w:p w:rsidR="009A2130" w:rsidRDefault="009A2130" w:rsidP="009A2130">
      <w:pPr>
        <w:pStyle w:val="StandardWeb"/>
      </w:pPr>
      <w:r>
        <w:t>existiert aufgrund der zuvor definierten Zusammenhangsquotientierung.</w:t>
      </w:r>
    </w:p>
    <w:p w:rsidR="009A2130" w:rsidRDefault="009A2130" w:rsidP="009A2130">
      <w:pPr>
        <w:pStyle w:val="StandardWeb"/>
      </w:pPr>
      <w:r>
        <w:t>Sie ist damit keine zusätzliche axiomatische Forderung, sondern eine abgeleitete beziehungsweise definitorisch kanonische Konstruktion:</w:t>
      </w:r>
    </w:p>
    <w:p w:rsidR="009A2130" w:rsidRDefault="009A2130" w:rsidP="009A2130">
      <w:pPr>
        <w:pStyle w:val="berschrift1"/>
      </w:pPr>
      <w:r>
        <w:t>[</w:t>
      </w:r>
      <w:r>
        <w:br/>
        <w:t>\boxed{</w:t>
      </w:r>
      <w:r>
        <w:br/>
        <w:t>\operatorname{Stat}(I_{\mathrm{class}})</w:t>
      </w:r>
    </w:p>
    <w:p w:rsidR="009A2130" w:rsidRDefault="009A2130" w:rsidP="009A2130">
      <w:pPr>
        <w:pStyle w:val="StandardWeb"/>
      </w:pPr>
      <w:r>
        <w:t>\mathrm{Der/Def}.</w:t>
      </w:r>
      <w:r>
        <w:br/>
        <w:t>}</w:t>
      </w:r>
      <w:r>
        <w:br/>
        <w:t>\tag{3.10657}</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\boxed{\operatorname{Stat}(I_{\mathrm{class}})=\mathrm{Der/Def}.}</w:t>
      </w:r>
    </w:p>
    <w:p w:rsidR="009A2130" w:rsidRDefault="00E50336" w:rsidP="009A2130">
      <w:r>
        <w:pict>
          <v:rect id="_x0000_i3446" style="width:0;height:1.5pt" o:hralign="center" o:hrstd="t" o:hr="t" fillcolor="#a0a0a0" stroked="f"/>
        </w:pict>
      </w:r>
    </w:p>
    <w:p w:rsidR="009A2130" w:rsidRDefault="009A2130" w:rsidP="009A2130">
      <w:pPr>
        <w:pStyle w:val="berschrift1"/>
      </w:pPr>
      <w:r>
        <w:t>3.3.45.349 Prüfung der Orbitstruktur</w:t>
      </w:r>
    </w:p>
    <w:p w:rsidR="009A2130" w:rsidRDefault="009A2130" w:rsidP="009A2130">
      <w:pPr>
        <w:pStyle w:val="StandardWeb"/>
      </w:pPr>
      <w:r>
        <w:t>Die Orbitstruktur entsteht aus einer gegebenen Symmetriegruppenwirkung.</w:t>
      </w:r>
    </w:p>
    <w:p w:rsidR="009A2130" w:rsidRDefault="009A2130" w:rsidP="009A2130">
      <w:pPr>
        <w:pStyle w:val="StandardWeb"/>
      </w:pPr>
      <w:r>
        <w:t>Daher gilt</w:t>
      </w:r>
    </w:p>
    <w:p w:rsidR="009A2130" w:rsidRDefault="009A2130" w:rsidP="009A2130">
      <w:pPr>
        <w:pStyle w:val="berschrift1"/>
      </w:pPr>
      <w:r>
        <w:lastRenderedPageBreak/>
        <w:t>[</w:t>
      </w:r>
      <w:r>
        <w:br/>
        <w:t>\boxed{</w:t>
      </w:r>
      <w:r>
        <w:br/>
        <w:t>\operatorname{Stat}</w:t>
      </w:r>
      <w:r>
        <w:br/>
        <w:t>\left(</w:t>
      </w:r>
      <w:r>
        <w:br/>
        <w:t>\Omega_F/\mathfrak G_F</w:t>
      </w:r>
      <w:r>
        <w:br/>
        <w:t>\right)</w:t>
      </w:r>
    </w:p>
    <w:p w:rsidR="009A2130" w:rsidRDefault="009A2130" w:rsidP="009A2130">
      <w:pPr>
        <w:pStyle w:val="StandardWeb"/>
      </w:pPr>
      <w:r>
        <w:t>\mathrm{Der/Def}.</w:t>
      </w:r>
      <w:r>
        <w:br/>
        <w:t>}</w:t>
      </w:r>
      <w:r>
        <w:br/>
        <w:t>\tag{3.10658}</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\boxed{\operatorname{Stat}\left(\Omega_F/\mathfrak G_F\right)=\mathrm{Der/Def}.}</w:t>
      </w:r>
    </w:p>
    <w:p w:rsidR="009A2130" w:rsidRDefault="009A2130" w:rsidP="009A2130">
      <w:pPr>
        <w:pStyle w:val="StandardWeb"/>
      </w:pPr>
      <w:r>
        <w:t>Ihre Existenz als nichttriviale Partition hängt dagegen von der konkreten Gruppenwirkung ab.</w:t>
      </w:r>
    </w:p>
    <w:p w:rsidR="009A2130" w:rsidRDefault="00E50336" w:rsidP="009A2130">
      <w:r>
        <w:pict>
          <v:rect id="_x0000_i3447" style="width:0;height:1.5pt" o:hralign="center" o:hrstd="t" o:hr="t" fillcolor="#a0a0a0" stroked="f"/>
        </w:pict>
      </w:r>
    </w:p>
    <w:p w:rsidR="009A2130" w:rsidRDefault="009A2130" w:rsidP="009A2130">
      <w:pPr>
        <w:pStyle w:val="berschrift1"/>
      </w:pPr>
      <w:r>
        <w:t>3.3.45.350 Prüfung der Stabilisatorstruktur</w:t>
      </w:r>
    </w:p>
    <w:p w:rsidR="009A2130" w:rsidRDefault="009A2130" w:rsidP="009A2130">
      <w:pPr>
        <w:pStyle w:val="StandardWeb"/>
      </w:pPr>
      <w:r>
        <w:t>Der Stabilisator ist aus Gruppenwirkung und Zustand definiert:</w:t>
      </w:r>
    </w:p>
    <w:p w:rsidR="009A2130" w:rsidRDefault="009A2130" w:rsidP="009A2130">
      <w:pPr>
        <w:pStyle w:val="berschrift1"/>
      </w:pPr>
      <w:r>
        <w:t>[</w:t>
      </w:r>
      <w:r>
        <w:br/>
        <w:t>\operatorname{Stab}_F(z)</w:t>
      </w:r>
    </w:p>
    <w:p w:rsidR="009A2130" w:rsidRDefault="009A2130" w:rsidP="009A2130">
      <w:pPr>
        <w:pStyle w:val="StandardWeb"/>
      </w:pPr>
      <w:r>
        <w:t>{S:S(z)=z}.</w:t>
      </w:r>
      <w:r>
        <w:br/>
        <w:t>\tag{3.10659}</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\operatorname{Stab}_F(z)=\{S:S(z)=z\}</w:t>
      </w:r>
    </w:p>
    <w:p w:rsidR="009A2130" w:rsidRDefault="009A2130" w:rsidP="009A2130">
      <w:pPr>
        <w:pStyle w:val="StandardWeb"/>
      </w:pPr>
      <w:r>
        <w:t>Damit gilt</w:t>
      </w:r>
    </w:p>
    <w:p w:rsidR="009A2130" w:rsidRDefault="009A2130" w:rsidP="009A2130">
      <w:pPr>
        <w:pStyle w:val="berschrift1"/>
      </w:pPr>
      <w:r>
        <w:t>[</w:t>
      </w:r>
      <w:r>
        <w:br/>
        <w:t>\boxed{</w:t>
      </w:r>
      <w:r>
        <w:br/>
        <w:t>\operatorname{Stat}</w:t>
      </w:r>
      <w:r>
        <w:br/>
        <w:t>\left(</w:t>
      </w:r>
      <w:r>
        <w:br/>
      </w:r>
      <w:r>
        <w:lastRenderedPageBreak/>
        <w:t>\operatorname{Stab}_F</w:t>
      </w:r>
      <w:r>
        <w:br/>
        <w:t>\right)</w:t>
      </w:r>
    </w:p>
    <w:p w:rsidR="009A2130" w:rsidRDefault="009A2130" w:rsidP="009A2130">
      <w:pPr>
        <w:pStyle w:val="StandardWeb"/>
      </w:pPr>
      <w:r>
        <w:t>\mathrm{Def}.</w:t>
      </w:r>
      <w:r>
        <w:br/>
        <w:t>}</w:t>
      </w:r>
      <w:r>
        <w:br/>
        <w:t>\tag{3.10660}</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\boxed{\operatorname{Stat}\left(\operatorname{Stab}_F\right)=\mathrm{Def}.}</w:t>
      </w:r>
    </w:p>
    <w:p w:rsidR="009A2130" w:rsidRDefault="00E50336" w:rsidP="009A2130">
      <w:r>
        <w:pict>
          <v:rect id="_x0000_i3448" style="width:0;height:1.5pt" o:hralign="center" o:hrstd="t" o:hr="t" fillcolor="#a0a0a0" stroked="f"/>
        </w:pict>
      </w:r>
    </w:p>
    <w:p w:rsidR="009A2130" w:rsidRDefault="009A2130" w:rsidP="009A2130">
      <w:pPr>
        <w:pStyle w:val="berschrift1"/>
      </w:pPr>
      <w:r>
        <w:t>3.3.45.351 Prüfung der Kohärenzerhaltung durch Symmetrien</w:t>
      </w:r>
    </w:p>
    <w:p w:rsidR="009A2130" w:rsidRDefault="009A2130" w:rsidP="009A2130">
      <w:pPr>
        <w:pStyle w:val="StandardWeb"/>
      </w:pPr>
      <w:r>
        <w:t>Die Eigenschaft</w:t>
      </w:r>
    </w:p>
    <w:p w:rsidR="009A2130" w:rsidRDefault="009A2130" w:rsidP="009A2130">
      <w:pPr>
        <w:pStyle w:val="StandardWeb"/>
      </w:pPr>
      <w:r>
        <w:t>[</w:t>
      </w:r>
      <w:r>
        <w:br/>
        <w:t>C_F(Sz)=C_F(z)</w:t>
      </w:r>
      <w:r>
        <w:br/>
        <w:t>\tag{3.10661}</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C_F(Sz)=C_F(z)</w:t>
      </w:r>
    </w:p>
    <w:p w:rsidR="009A2130" w:rsidRDefault="009A2130" w:rsidP="009A2130">
      <w:pPr>
        <w:pStyle w:val="StandardWeb"/>
      </w:pPr>
      <w:r>
        <w:t>ist nicht Bestandteil der allgemeinen Definition einer Übergangssymmetrie.</w:t>
      </w:r>
    </w:p>
    <w:p w:rsidR="009A2130" w:rsidRDefault="009A2130" w:rsidP="009A2130">
      <w:pPr>
        <w:pStyle w:val="StandardWeb"/>
      </w:pPr>
      <w:r>
        <w:t>Die Definition einer kohärenzerhaltenden Symmetrie ist definitorisch, die Forderung ihrer universellen Existenz modellabhängig:</w:t>
      </w:r>
    </w:p>
    <w:p w:rsidR="009A2130" w:rsidRDefault="009A2130" w:rsidP="009A2130">
      <w:pPr>
        <w:pStyle w:val="berschrift1"/>
      </w:pPr>
      <w:r>
        <w:t>[</w:t>
      </w:r>
      <w:r>
        <w:br/>
        <w:t>\boxed{</w:t>
      </w:r>
      <w:r>
        <w:br/>
        <w:t>\operatorname{Stat}</w:t>
      </w:r>
      <w:r>
        <w:br/>
        <w:t>\left(</w:t>
      </w:r>
      <w:r>
        <w:br/>
        <w:t>\mathfrak G_F^{C}</w:t>
      </w:r>
      <w:r>
        <w:br/>
        <w:t>\right)</w:t>
      </w:r>
    </w:p>
    <w:p w:rsidR="009A2130" w:rsidRDefault="009A2130" w:rsidP="009A2130">
      <w:pPr>
        <w:pStyle w:val="StandardWeb"/>
      </w:pPr>
      <w:r>
        <w:t>\mathrm{Def/Mod}.</w:t>
      </w:r>
      <w:r>
        <w:br/>
        <w:t>}</w:t>
      </w:r>
      <w:r>
        <w:br/>
        <w:t>\tag{3.10662}</w:t>
      </w:r>
      <w:r>
        <w:br/>
        <w:t>]</w:t>
      </w:r>
    </w:p>
    <w:p w:rsidR="009A2130" w:rsidRDefault="009A2130" w:rsidP="009A2130">
      <w:pPr>
        <w:pStyle w:val="StandardWeb"/>
      </w:pPr>
      <w:r>
        <w:rPr>
          <w:rStyle w:val="Fett"/>
        </w:rPr>
        <w:lastRenderedPageBreak/>
        <w:t>Word-LaTeX</w:t>
      </w:r>
    </w:p>
    <w:p w:rsidR="009A2130" w:rsidRDefault="009A2130" w:rsidP="009A2130">
      <w:pPr>
        <w:pStyle w:val="HTMLVorformatiert"/>
        <w:rPr>
          <w:rStyle w:val="HTMLCode"/>
        </w:rPr>
      </w:pPr>
      <w:r>
        <w:rPr>
          <w:rStyle w:val="HTMLCode"/>
        </w:rPr>
        <w:t>\boxed{\operatorname{Stat}\left(\mathfrak G_F^{C}\right)=\mathrm{Def/Mod}.}</w:t>
      </w:r>
    </w:p>
    <w:p w:rsidR="009A2130" w:rsidRDefault="00E50336" w:rsidP="009A2130">
      <w:r>
        <w:pict>
          <v:rect id="_x0000_i3449" style="width:0;height:1.5pt" o:hralign="center" o:hrstd="t" o:hr="t" fillcolor="#a0a0a0" stroked="f"/>
        </w:pict>
      </w:r>
    </w:p>
    <w:p w:rsidR="009A2130" w:rsidRDefault="009A2130" w:rsidP="009A2130">
      <w:pPr>
        <w:pStyle w:val="berschrift1"/>
      </w:pPr>
      <w:r>
        <w:t>3.3.45.352 Vorbereitung der vollständigen Statusmatrix</w:t>
      </w:r>
    </w:p>
    <w:p w:rsidR="009A2130" w:rsidRDefault="009A2130" w:rsidP="009A2130">
      <w:pPr>
        <w:pStyle w:val="StandardWeb"/>
      </w:pPr>
      <w:r>
        <w:t>Damit sind nun sämtliche zentralen Kandidaten des Abschnitts hinreichend vorbereitet, um in einer einzigen Statusmatrix zusammengeführt zu werden.</w:t>
      </w:r>
    </w:p>
    <w:p w:rsidR="009A2130" w:rsidRDefault="009A2130" w:rsidP="009A2130">
      <w:pPr>
        <w:pStyle w:val="StandardWeb"/>
      </w:pPr>
      <w:r>
        <w:t>Die Matrix muss mindestens enthalten:</w:t>
      </w:r>
    </w:p>
    <w:p w:rsidR="009A2130" w:rsidRDefault="009A2130" w:rsidP="009A2130">
      <w:pPr>
        <w:pStyle w:val="StandardWeb"/>
      </w:pPr>
      <w:r>
        <w:t>[</w:t>
      </w:r>
      <w:r>
        <w:br/>
        <w:t>\text{Objekt},</w:t>
      </w:r>
      <w:r>
        <w:br/>
        <w:t>\quad</w:t>
      </w:r>
      <w:r>
        <w:br/>
        <w:t>\text{Definition},</w:t>
      </w:r>
      <w:r>
        <w:br/>
        <w:t>\quad</w:t>
      </w:r>
      <w:r>
        <w:br/>
        <w:t>\text{Herleitung},</w:t>
      </w:r>
      <w:r>
        <w:br/>
        <w:t>\quad</w:t>
      </w:r>
      <w:r>
        <w:br/>
        <w:t>\text{Modellabhängigkeit},</w:t>
      </w:r>
      <w:r>
        <w:br/>
        <w:t>\quad</w:t>
      </w:r>
      <w:r>
        <w:br/>
        <w:t>\text{Operationalisierung},</w:t>
      </w:r>
      <w:r>
        <w:br/>
        <w:t>\quad</w:t>
      </w:r>
      <w:r>
        <w:br/>
        <w:t>U_{\mathrm{Ax}}.</w:t>
      </w:r>
      <w:r>
        <w:br/>
        <w:t>\tag{3.10663}</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\text{Objekt},\quad\text{Definition},\quad\text{Herleitung},\quad\text{Modellabhängigkeit},\quad\text{Operationalisierung},\quad U_{\mathrm{Ax}}</w:t>
      </w:r>
    </w:p>
    <w:p w:rsidR="009A2130" w:rsidRDefault="00E50336" w:rsidP="009A2130">
      <w:r>
        <w:pict>
          <v:rect id="_x0000_i3450" style="width:0;height:1.5pt" o:hralign="center" o:hrstd="t" o:hr="t" fillcolor="#a0a0a0" stroked="f"/>
        </w:pict>
      </w:r>
    </w:p>
    <w:p w:rsidR="009A2130" w:rsidRDefault="009A2130" w:rsidP="009A2130">
      <w:pPr>
        <w:pStyle w:val="berschrift1"/>
      </w:pPr>
      <w:r>
        <w:t>3.3.45.353 Noch kein Gesamtabschluss</w:t>
      </w:r>
    </w:p>
    <w:p w:rsidR="009A2130" w:rsidRDefault="009A2130" w:rsidP="009A2130">
      <w:pPr>
        <w:pStyle w:val="StandardWeb"/>
      </w:pPr>
      <w:r>
        <w:t xml:space="preserve">Abschnitt </w:t>
      </w:r>
      <w:r>
        <w:rPr>
          <w:rStyle w:val="Fett"/>
        </w:rPr>
        <w:t>3.3.45 ist weiterhin nicht abgeschlossen</w:t>
      </w:r>
      <w:r>
        <w:t>.</w:t>
      </w:r>
    </w:p>
    <w:p w:rsidR="009A2130" w:rsidRDefault="009A2130" w:rsidP="009A2130">
      <w:pPr>
        <w:pStyle w:val="StandardWeb"/>
      </w:pPr>
      <w:r>
        <w:t xml:space="preserve">Der nächste Block muss nun die </w:t>
      </w:r>
      <w:r>
        <w:rPr>
          <w:rStyle w:val="Fett"/>
        </w:rPr>
        <w:t>vollständige Statusmatrix aller in 3.3.45 eingeführten Invarianz-, Erhaltungs-, Symmetrie-, Störungs- und Operationalisierungsstrukturen</w:t>
      </w:r>
      <w:r>
        <w:t xml:space="preserve"> erstellen. Dabei muss für jedes relevante Objekt endgültig entschieden werden, ob es sich um</w:t>
      </w:r>
    </w:p>
    <w:p w:rsidR="009A2130" w:rsidRDefault="009A2130" w:rsidP="009A2130">
      <w:pPr>
        <w:pStyle w:val="StandardWeb"/>
      </w:pPr>
      <w:r>
        <w:t>[</w:t>
      </w:r>
      <w:r>
        <w:br/>
        <w:t>\mathrm{Def},</w:t>
      </w:r>
      <w:r>
        <w:br/>
        <w:t>\quad</w:t>
      </w:r>
      <w:r>
        <w:br/>
        <w:t>\mathrm{Der},</w:t>
      </w:r>
      <w:r>
        <w:br/>
        <w:t>\quad</w:t>
      </w:r>
      <w:r>
        <w:br/>
        <w:t>\mathrm{Mod},</w:t>
      </w:r>
      <w:r>
        <w:br/>
        <w:t>\quad</w:t>
      </w:r>
      <w:r>
        <w:br/>
        <w:t>\mathrm{Op}</w:t>
      </w:r>
      <w:r>
        <w:br/>
      </w:r>
      <w:r>
        <w:lastRenderedPageBreak/>
        <w:t>\quad\text{oder}\quad</w:t>
      </w:r>
      <w:r>
        <w:br/>
        <w:t>\mathrm{Ax}</w:t>
      </w:r>
      <w:r>
        <w:br/>
        <w:t>\tag{3.10664}</w:t>
      </w:r>
      <w:r>
        <w:br/>
        <w:t>]</w:t>
      </w:r>
    </w:p>
    <w:p w:rsidR="009A2130" w:rsidRDefault="009A2130" w:rsidP="009A2130">
      <w:pPr>
        <w:pStyle w:val="StandardWeb"/>
      </w:pPr>
      <w:r>
        <w:rPr>
          <w:rStyle w:val="Fett"/>
        </w:rPr>
        <w:t>Word-LaTeX</w:t>
      </w:r>
    </w:p>
    <w:p w:rsidR="009A2130" w:rsidRDefault="009A2130" w:rsidP="009A2130">
      <w:pPr>
        <w:pStyle w:val="HTMLVorformatiert"/>
        <w:rPr>
          <w:rStyle w:val="HTMLCode"/>
        </w:rPr>
      </w:pPr>
      <w:r>
        <w:rPr>
          <w:rStyle w:val="HTMLCode"/>
        </w:rPr>
        <w:t>\mathrm{Def},\quad\mathrm{Der},\quad\mathrm{Mod},\quad\mathrm{Op}\quad\text{oder}\quad\mathrm{Ax}</w:t>
      </w:r>
    </w:p>
    <w:p w:rsidR="009A2130" w:rsidRDefault="009A2130" w:rsidP="009A2130">
      <w:pPr>
        <w:pStyle w:val="StandardWeb"/>
      </w:pPr>
      <w:r>
        <w:t>handelt.</w:t>
      </w:r>
    </w:p>
    <w:p w:rsidR="009A2130" w:rsidRDefault="009A2130" w:rsidP="009A2130">
      <w:pPr>
        <w:pStyle w:val="StandardWeb"/>
      </w:pPr>
      <w:r>
        <w:t xml:space="preserve">Erst </w:t>
      </w:r>
      <w:r>
        <w:rPr>
          <w:rStyle w:val="Fett"/>
        </w:rPr>
        <w:t>nach dieser vollständigen Statusmatrix und der abschließenden Primäraxiomprüfung</w:t>
      </w:r>
      <w:r>
        <w:t xml:space="preserve"> folgen am tatsächlichen Gesamtende von 3.3.45 die </w:t>
      </w:r>
      <w:r>
        <w:rPr>
          <w:rStyle w:val="Fett"/>
        </w:rPr>
        <w:t>Methodologischen Betrachtungen</w:t>
      </w:r>
      <w:r>
        <w:t xml:space="preserve"> und unmittelbar danach die </w:t>
      </w:r>
      <w:r>
        <w:rPr>
          <w:rStyle w:val="Fett"/>
        </w:rPr>
        <w:t>Didaktischen Betrachtungen</w:t>
      </w:r>
      <w:r>
        <w:t>.</w:t>
      </w:r>
    </w:p>
    <w:p w:rsidR="009A2130" w:rsidRDefault="009A2130" w:rsidP="009A2130">
      <w:pPr>
        <w:pStyle w:val="StandardWeb"/>
      </w:pPr>
      <w:r>
        <w:t xml:space="preserve">Der nächste Teil beginnt daher bei </w:t>
      </w:r>
      <w:r>
        <w:rPr>
          <w:rStyle w:val="Fett"/>
        </w:rPr>
        <w:t>3.3.45.354 / Gleichung (3.10665)</w:t>
      </w:r>
      <w:r>
        <w:t xml:space="preserve"> mit der </w:t>
      </w:r>
      <w:r>
        <w:rPr>
          <w:rStyle w:val="Fett"/>
        </w:rPr>
        <w:t>endgültigen Statusmatrix von Abschnitt 3.3.45</w:t>
      </w:r>
      <w:r>
        <w:t>.</w:t>
      </w:r>
    </w:p>
    <w:p w:rsidR="00FE0098" w:rsidRDefault="00FE0098" w:rsidP="00FE0098">
      <w:pPr>
        <w:pStyle w:val="berschrift1"/>
        <w:rPr>
          <w:rFonts w:cs="Times New Roman"/>
          <w:sz w:val="48"/>
          <w:szCs w:val="48"/>
        </w:rPr>
      </w:pPr>
      <w:r>
        <w:t>3.3.45.354 Endgültige Statusmatrix der funktionalen Invarianzarchitektur</w:t>
      </w:r>
    </w:p>
    <w:p w:rsidR="00FE0098" w:rsidRDefault="00FE0098" w:rsidP="00FE0098">
      <w:pPr>
        <w:pStyle w:val="StandardWeb"/>
      </w:pPr>
      <w:r>
        <w:t>Nachdem ich die exakte, algebraische, symmetriebezogene und approximative Invarianzstruktur getrennt entwickelt habe, kann ich nun sämtliche zentralen Objekte von Abschnitt 3.3.45 gemeinsam klassifizieren. Entscheidend ist dabei nicht, ob eine Konstruktion mathematisch nützlich oder physikalisch anschlussfähig erscheint, sondern ausschließlich, aus welcher theoretischen Schicht sie stammt.</w:t>
      </w:r>
    </w:p>
    <w:p w:rsidR="00FE0098" w:rsidRDefault="00FE0098" w:rsidP="00FE0098">
      <w:pPr>
        <w:pStyle w:val="StandardWeb"/>
      </w:pPr>
      <w:r>
        <w:t>Ich verwende dafür die bereits festgelegte Statusmenge</w:t>
      </w:r>
    </w:p>
    <w:p w:rsidR="00FE0098" w:rsidRDefault="00FE0098" w:rsidP="00FE0098">
      <w:pPr>
        <w:pStyle w:val="berschrift1"/>
      </w:pPr>
      <w:r>
        <w:t>[</w:t>
      </w:r>
      <w:r>
        <w:br/>
        <w:t>\mathcal K_{\mathrm{stat}}</w:t>
      </w:r>
    </w:p>
    <w:p w:rsidR="00FE0098" w:rsidRDefault="00FE0098" w:rsidP="00FE0098">
      <w:pPr>
        <w:pStyle w:val="StandardWeb"/>
      </w:pPr>
      <w:r>
        <w:t>{</w:t>
      </w:r>
      <w:r>
        <w:br/>
        <w:t>\mathrm{Def},</w:t>
      </w:r>
      <w:r>
        <w:br/>
        <w:t>\mathrm{Der},</w:t>
      </w:r>
      <w:r>
        <w:br/>
        <w:t>\mathrm{Mod},</w:t>
      </w:r>
      <w:r>
        <w:br/>
        <w:t>\mathrm{Op},</w:t>
      </w:r>
      <w:r>
        <w:br/>
        <w:t>\mathrm{Ax}</w:t>
      </w:r>
      <w:r>
        <w:br/>
        <w:t>}.</w:t>
      </w:r>
      <w:r>
        <w:br/>
        <w:t>\tag{3.10665}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\mathcal K_{\mathrm{stat}}=\{\mathrm{Def},\mathrm{Der},\mathrm{Mod},\mathrm{Op},\mathrm{Ax}\}</w:t>
      </w:r>
    </w:p>
    <w:p w:rsidR="00FE0098" w:rsidRDefault="00FE0098" w:rsidP="00FE0098">
      <w:pPr>
        <w:pStyle w:val="StandardWeb"/>
      </w:pPr>
      <w:r>
        <w:lastRenderedPageBreak/>
        <w:t>Dabei soll jedes zentrale Objekt (X) mindestens durch</w:t>
      </w:r>
    </w:p>
    <w:p w:rsidR="00FE0098" w:rsidRDefault="00FE0098" w:rsidP="00FE0098">
      <w:pPr>
        <w:pStyle w:val="StandardWeb"/>
      </w:pPr>
      <w:r>
        <w:t>[</w:t>
      </w:r>
      <w:r>
        <w:br/>
        <w:t>\operatorname{Stat}(X)</w:t>
      </w:r>
      <w:r>
        <w:br/>
        <w:t>\in</w:t>
      </w:r>
      <w:r>
        <w:br/>
        <w:t>\mathcal K_{\mathrm{stat}}</w:t>
      </w:r>
      <w:r>
        <w:br/>
        <w:t>\tag{3.10666}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\operatorname{Stat}(X)\in\mathcal K_{\mathrm{stat}}</w:t>
      </w:r>
    </w:p>
    <w:p w:rsidR="00FE0098" w:rsidRDefault="00FE0098" w:rsidP="00FE0098">
      <w:pPr>
        <w:pStyle w:val="StandardWeb"/>
      </w:pPr>
      <w:r>
        <w:t>klassifiziert werden.</w:t>
      </w:r>
    </w:p>
    <w:p w:rsidR="00FE0098" w:rsidRDefault="00E50336" w:rsidP="00FE0098">
      <w:r>
        <w:pict>
          <v:rect id="_x0000_i3451" style="width:0;height:1.5pt" o:hralign="center" o:hrstd="t" o:hr="t" fillcolor="#a0a0a0" stroked="f"/>
        </w:pict>
      </w:r>
    </w:p>
    <w:p w:rsidR="00FE0098" w:rsidRDefault="00FE0098" w:rsidP="00FE0098">
      <w:pPr>
        <w:pStyle w:val="berschrift1"/>
      </w:pPr>
      <w:r>
        <w:t>3.3.45.355 Primäraxiomkriterium der Statusmatrix</w:t>
      </w:r>
    </w:p>
    <w:p w:rsidR="00FE0098" w:rsidRDefault="00FE0098" w:rsidP="00FE0098">
      <w:pPr>
        <w:pStyle w:val="StandardWeb"/>
      </w:pPr>
      <w:r>
        <w:t>Für die Axiomklassifikation verwende ich weiterhin das strenge Kriterium</w:t>
      </w:r>
    </w:p>
    <w:p w:rsidR="00FE0098" w:rsidRDefault="00FE0098" w:rsidP="00FE0098">
      <w:pPr>
        <w:pStyle w:val="StandardWeb"/>
      </w:pPr>
      <w:r>
        <w:t>[</w:t>
      </w:r>
      <w:r>
        <w:br/>
        <w:t>U_{\mathrm{Ax}}(X)</w:t>
      </w:r>
      <w:r>
        <w:br/>
        <w:t>\in</w:t>
      </w:r>
      <w:r>
        <w:br/>
        <w:t>{0,1}.</w:t>
      </w:r>
      <w:r>
        <w:br/>
        <w:t>\tag{3.10667}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U_{\mathrm{Ax}}(X)\in\{0,1\}</w:t>
      </w:r>
    </w:p>
    <w:p w:rsidR="00FE0098" w:rsidRDefault="00FE0098" w:rsidP="00FE0098">
      <w:pPr>
        <w:pStyle w:val="StandardWeb"/>
      </w:pPr>
      <w:r>
        <w:t>Nur für</w:t>
      </w:r>
    </w:p>
    <w:p w:rsidR="00FE0098" w:rsidRDefault="00FE0098" w:rsidP="00FE0098">
      <w:pPr>
        <w:pStyle w:val="StandardWeb"/>
      </w:pPr>
      <w:r>
        <w:t>[</w:t>
      </w:r>
      <w:r>
        <w:br/>
        <w:t>U_{\mathrm{Ax}}(X)=1</w:t>
      </w:r>
      <w:r>
        <w:br/>
        <w:t>\tag{3.10668}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U_{\mathrm{Ax}}(X)=1</w:t>
      </w:r>
    </w:p>
    <w:p w:rsidR="00FE0098" w:rsidRDefault="00FE0098" w:rsidP="00FE0098">
      <w:pPr>
        <w:pStyle w:val="StandardWeb"/>
      </w:pPr>
      <w:r>
        <w:t>darf ein Objekt als Primäraxiom klassifiziert werden.</w:t>
      </w:r>
    </w:p>
    <w:p w:rsidR="00FE0098" w:rsidRDefault="00FE0098" w:rsidP="00FE0098">
      <w:pPr>
        <w:pStyle w:val="StandardWeb"/>
      </w:pPr>
      <w:r>
        <w:t>Damit gilt</w:t>
      </w:r>
    </w:p>
    <w:p w:rsidR="00FE0098" w:rsidRDefault="00FE0098" w:rsidP="00FE0098">
      <w:pPr>
        <w:pStyle w:val="StandardWeb"/>
      </w:pPr>
      <w:r>
        <w:t>[</w:t>
      </w:r>
      <w:r>
        <w:br/>
        <w:t>\boxed{</w:t>
      </w:r>
      <w:r>
        <w:br/>
        <w:t>\operatorname{Stat}(X)=\mathrm{Ax}</w:t>
      </w:r>
      <w:r>
        <w:br/>
        <w:t>\Rightarrow</w:t>
      </w:r>
      <w:r>
        <w:br/>
      </w:r>
      <w:r>
        <w:lastRenderedPageBreak/>
        <w:t>U_{\mathrm{Ax}}(X)=1.</w:t>
      </w:r>
      <w:r>
        <w:br/>
        <w:t>}</w:t>
      </w:r>
      <w:r>
        <w:br/>
        <w:t>\tag{3.10669}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\boxed{\operatorname{Stat}(X)=\mathrm{Ax}\Rightarrow U_{\mathrm{Ax}}(X)=1.}</w:t>
      </w:r>
    </w:p>
    <w:p w:rsidR="00FE0098" w:rsidRDefault="00FE0098" w:rsidP="00FE0098">
      <w:pPr>
        <w:pStyle w:val="StandardWeb"/>
      </w:pPr>
      <w:r>
        <w:t>Die Umkehrung ist innerhalb der verwendeten Klassifikation ebenfalls vorgesehen.</w:t>
      </w:r>
    </w:p>
    <w:p w:rsidR="00FE0098" w:rsidRDefault="00E50336" w:rsidP="00FE0098">
      <w:r>
        <w:pict>
          <v:rect id="_x0000_i3452" style="width:0;height:1.5pt" o:hralign="center" o:hrstd="t" o:hr="t" fillcolor="#a0a0a0" stroked="f"/>
        </w:pict>
      </w:r>
    </w:p>
    <w:p w:rsidR="00FE0098" w:rsidRDefault="00FE0098" w:rsidP="00FE0098">
      <w:pPr>
        <w:pStyle w:val="berschrift1"/>
      </w:pPr>
      <w:r>
        <w:t>3.3.45.356 Status der funktionalen Übergangsinvarianz</w:t>
      </w:r>
    </w:p>
    <w:p w:rsidR="00FE0098" w:rsidRDefault="00FE0098" w:rsidP="00FE0098">
      <w:pPr>
        <w:pStyle w:val="StandardWeb"/>
      </w:pPr>
      <w:r>
        <w:t>Die Aussage</w:t>
      </w:r>
    </w:p>
    <w:p w:rsidR="00FE0098" w:rsidRDefault="00FE0098" w:rsidP="00FE0098">
      <w:pPr>
        <w:pStyle w:val="StandardWeb"/>
      </w:pPr>
      <w:r>
        <w:t>[</w:t>
      </w:r>
      <w:r>
        <w:br/>
        <w:t>I_F(z_i)=I_F(z_j)</w:t>
      </w:r>
      <w:r>
        <w:br/>
        <w:t>\qquad</w:t>
      </w:r>
      <w:r>
        <w:br/>
        <w:t>\forall(z_i,z_j)\in\mathcal T_F</w:t>
      </w:r>
      <w:r>
        <w:br/>
        <w:t>\tag{3.10670}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I_F(z_i)=I_F(z_j)\qquad\forall(z_i,z_j)\in\mathcal T_F</w:t>
      </w:r>
    </w:p>
    <w:p w:rsidR="00FE0098" w:rsidRDefault="00FE0098" w:rsidP="00FE0098">
      <w:pPr>
        <w:pStyle w:val="StandardWeb"/>
      </w:pPr>
      <w:r>
        <w:t>ist die definierende Bedingung exakter funktionaler Übergangsinvarianz.</w:t>
      </w:r>
    </w:p>
    <w:p w:rsidR="00FE0098" w:rsidRDefault="00FE0098" w:rsidP="00FE0098">
      <w:pPr>
        <w:pStyle w:val="StandardWeb"/>
      </w:pPr>
      <w:r>
        <w:t>Daher gilt</w:t>
      </w:r>
    </w:p>
    <w:p w:rsidR="00FE0098" w:rsidRDefault="00FE0098" w:rsidP="00FE0098">
      <w:pPr>
        <w:pStyle w:val="berschrift1"/>
      </w:pPr>
      <w:r>
        <w:t>[</w:t>
      </w:r>
      <w:r>
        <w:br/>
        <w:t>\boxed{</w:t>
      </w:r>
      <w:r>
        <w:br/>
        <w:t>\operatorname{Stat}</w:t>
      </w:r>
      <w:r>
        <w:br/>
        <w:t>\left(</w:t>
      </w:r>
      <w:r>
        <w:br/>
        <w:t>\operatorname{Inv}_T</w:t>
      </w:r>
      <w:r>
        <w:br/>
        <w:t>\right)</w:t>
      </w:r>
    </w:p>
    <w:p w:rsidR="00FE0098" w:rsidRDefault="00FE0098" w:rsidP="00FE0098">
      <w:pPr>
        <w:pStyle w:val="StandardWeb"/>
      </w:pPr>
      <w:r>
        <w:t>\mathrm{Def}.</w:t>
      </w:r>
      <w:r>
        <w:br/>
        <w:t>}</w:t>
      </w:r>
      <w:r>
        <w:br/>
        <w:t>\tag{3.10671}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lastRenderedPageBreak/>
        <w:t>\boxed{\operatorname{Stat}\left(\operatorname{Inv}_T\right)=\mathrm{Def}.}</w:t>
      </w:r>
    </w:p>
    <w:p w:rsidR="00FE0098" w:rsidRDefault="00FE0098" w:rsidP="00FE0098">
      <w:pPr>
        <w:pStyle w:val="StandardWeb"/>
      </w:pPr>
      <w:r>
        <w:t>Die Existenz einer nichtkonstanten Größe, welche diese Definition erfüllt, ist davon strikt zu unterscheiden.</w:t>
      </w:r>
    </w:p>
    <w:p w:rsidR="00FE0098" w:rsidRDefault="00E50336" w:rsidP="00FE0098">
      <w:r>
        <w:pict>
          <v:rect id="_x0000_i3453" style="width:0;height:1.5pt" o:hralign="center" o:hrstd="t" o:hr="t" fillcolor="#a0a0a0" stroked="f"/>
        </w:pict>
      </w:r>
    </w:p>
    <w:p w:rsidR="00FE0098" w:rsidRDefault="00FE0098" w:rsidP="00FE0098">
      <w:pPr>
        <w:pStyle w:val="berschrift1"/>
      </w:pPr>
      <w:r>
        <w:t>3.3.45.357 Status der nichttrivialen Invarianzexistenz</w:t>
      </w:r>
    </w:p>
    <w:p w:rsidR="00FE0098" w:rsidRDefault="00FE0098" w:rsidP="00FE0098">
      <w:pPr>
        <w:pStyle w:val="StandardWeb"/>
      </w:pPr>
      <w:r>
        <w:t>Die Behauptung</w:t>
      </w:r>
    </w:p>
    <w:p w:rsidR="00FE0098" w:rsidRDefault="00FE0098" w:rsidP="00FE0098">
      <w:pPr>
        <w:pStyle w:val="StandardWeb"/>
      </w:pPr>
      <w:r>
        <w:t>[</w:t>
      </w:r>
      <w:r>
        <w:br/>
        <w:t>\exists I_F\not\equiv\mathrm{const}</w:t>
      </w:r>
      <w:r>
        <w:br/>
        <w:t>:</w:t>
      </w:r>
      <w:r>
        <w:br/>
        <w:t>I_F\in\mathcal I_F(\mathcal M)</w:t>
      </w:r>
      <w:r>
        <w:br/>
        <w:t>\tag{3.10672}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\exists I_F\not\equiv\mathrm{const}:I_F\in\mathcal I_F(\mathcal M)</w:t>
      </w:r>
    </w:p>
    <w:p w:rsidR="00FE0098" w:rsidRDefault="00FE0098" w:rsidP="00FE0098">
      <w:pPr>
        <w:pStyle w:val="StandardWeb"/>
      </w:pPr>
      <w:r>
        <w:t>ist keine Definition, sondern eine Aussage über die konkrete Struktur eines Modells.</w:t>
      </w:r>
    </w:p>
    <w:p w:rsidR="00FE0098" w:rsidRDefault="00FE0098" w:rsidP="00FE0098">
      <w:pPr>
        <w:pStyle w:val="StandardWeb"/>
      </w:pPr>
      <w:r>
        <w:t>Daher gilt</w:t>
      </w:r>
    </w:p>
    <w:p w:rsidR="00FE0098" w:rsidRDefault="00FE0098" w:rsidP="00FE0098">
      <w:pPr>
        <w:pStyle w:val="berschrift1"/>
      </w:pPr>
      <w:r>
        <w:t>[</w:t>
      </w:r>
      <w:r>
        <w:br/>
        <w:t>\boxed{</w:t>
      </w:r>
      <w:r>
        <w:br/>
        <w:t>\operatorname{Stat}</w:t>
      </w:r>
      <w:r>
        <w:br/>
        <w:t>\left(</w:t>
      </w:r>
      <w:r>
        <w:br/>
        <w:t>\exists I_F\not\equiv\mathrm{const}</w:t>
      </w:r>
      <w:r>
        <w:br/>
        <w:t>\right)</w:t>
      </w:r>
    </w:p>
    <w:p w:rsidR="00FE0098" w:rsidRDefault="00FE0098" w:rsidP="00FE0098">
      <w:pPr>
        <w:pStyle w:val="StandardWeb"/>
      </w:pPr>
      <w:r>
        <w:t>\mathrm{Mod}.</w:t>
      </w:r>
      <w:r>
        <w:br/>
        <w:t>}</w:t>
      </w:r>
      <w:r>
        <w:br/>
        <w:t>\tag{3.10673}</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\boxed{\operatorname{Stat}\left(\exists I_F\not\equiv\mathrm{const}\right)=\mathrm{Mod}.}</w:t>
      </w:r>
    </w:p>
    <w:p w:rsidR="00FE0098" w:rsidRDefault="00FE0098" w:rsidP="00FE0098">
      <w:pPr>
        <w:pStyle w:val="StandardWeb"/>
      </w:pPr>
      <w:r>
        <w:t>Zugleich bleibt</w:t>
      </w:r>
    </w:p>
    <w:p w:rsidR="00FE0098" w:rsidRDefault="00FE0098" w:rsidP="00FE0098">
      <w:pPr>
        <w:pStyle w:val="StandardWeb"/>
      </w:pPr>
      <w:r>
        <w:t>[</w:t>
      </w:r>
      <w:r>
        <w:br/>
        <w:t>U_{\mathrm{Ax}}(A_I)=0.</w:t>
      </w:r>
      <w:r>
        <w:br/>
      </w:r>
      <w:r>
        <w:lastRenderedPageBreak/>
        <w:t>\tag{3.10674}</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U_{\mathrm{Ax}}(A_I)=0</w:t>
      </w:r>
    </w:p>
    <w:p w:rsidR="00FE0098" w:rsidRDefault="00E50336" w:rsidP="00FE0098">
      <w:r>
        <w:pict>
          <v:rect id="_x0000_i3454" style="width:0;height:1.5pt" o:hralign="center" o:hrstd="t" o:hr="t" fillcolor="#a0a0a0" stroked="f"/>
        </w:pict>
      </w:r>
    </w:p>
    <w:p w:rsidR="00FE0098" w:rsidRDefault="00FE0098" w:rsidP="00FE0098">
      <w:pPr>
        <w:pStyle w:val="berschrift1"/>
      </w:pPr>
      <w:r>
        <w:t>3.3.45.358 Status der konstanten Invarianten</w:t>
      </w:r>
    </w:p>
    <w:p w:rsidR="00FE0098" w:rsidRDefault="00FE0098" w:rsidP="00FE0098">
      <w:pPr>
        <w:pStyle w:val="StandardWeb"/>
      </w:pPr>
      <w:r>
        <w:t>Für jede Konstante (c) gilt</w:t>
      </w:r>
    </w:p>
    <w:p w:rsidR="00FE0098" w:rsidRDefault="00FE0098" w:rsidP="00FE0098">
      <w:pPr>
        <w:pStyle w:val="StandardWeb"/>
      </w:pPr>
      <w:r>
        <w:t>[</w:t>
      </w:r>
      <w:r>
        <w:br/>
        <w:t>I_F(z)=c</w:t>
      </w:r>
      <w:r>
        <w:br/>
        <w:t>\qquad</w:t>
      </w:r>
      <w:r>
        <w:br/>
        <w:t>\forall z\in\Omega_F.</w:t>
      </w:r>
      <w:r>
        <w:br/>
        <w:t>\tag{3.10675}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I_F(z)=c\qquad\forall z\in\Omega_F</w:t>
      </w:r>
    </w:p>
    <w:p w:rsidR="00FE0098" w:rsidRDefault="00FE0098" w:rsidP="00FE0098">
      <w:pPr>
        <w:pStyle w:val="StandardWeb"/>
      </w:pPr>
      <w:r>
        <w:t>Eine solche Größe erfüllt automatisch</w:t>
      </w:r>
    </w:p>
    <w:p w:rsidR="00FE0098" w:rsidRDefault="00FE0098" w:rsidP="00FE0098">
      <w:pPr>
        <w:pStyle w:val="StandardWeb"/>
      </w:pPr>
      <w:r>
        <w:t>[</w:t>
      </w:r>
      <w:r>
        <w:br/>
        <w:t>I_F(z_i)=I_F(z_j)</w:t>
      </w:r>
      <w:r>
        <w:br/>
        <w:t>\tag{3.10676}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I_F(z_i)=I_F(z_j)</w:t>
      </w:r>
    </w:p>
    <w:p w:rsidR="00FE0098" w:rsidRDefault="00FE0098" w:rsidP="00FE0098">
      <w:pPr>
        <w:pStyle w:val="StandardWeb"/>
      </w:pPr>
      <w:r>
        <w:t>für jeden zulässigen Übergang.</w:t>
      </w:r>
    </w:p>
    <w:p w:rsidR="00FE0098" w:rsidRDefault="00FE0098" w:rsidP="00FE0098">
      <w:pPr>
        <w:pStyle w:val="StandardWeb"/>
      </w:pPr>
      <w:r>
        <w:t>Damit ist die Aussage</w:t>
      </w:r>
    </w:p>
    <w:p w:rsidR="00FE0098" w:rsidRDefault="00FE0098" w:rsidP="00FE0098">
      <w:pPr>
        <w:pStyle w:val="StandardWeb"/>
      </w:pPr>
      <w:r>
        <w:t>[</w:t>
      </w:r>
      <w:r>
        <w:br/>
        <w:t>\boxed{</w:t>
      </w:r>
      <w:r>
        <w:br/>
        <w:t>I_F\equiv c</w:t>
      </w:r>
      <w:r>
        <w:br/>
        <w:t>\Rightarrow</w:t>
      </w:r>
      <w:r>
        <w:br/>
        <w:t>I_F\in\mathcal I_F(\mathcal M)</w:t>
      </w:r>
      <w:r>
        <w:br/>
        <w:t>}</w:t>
      </w:r>
      <w:r>
        <w:br/>
        <w:t>\tag{3.10677}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\boxed{I_F\equiv c\Rightarrow I_F\in\mathcal I_F(\mathcal M)}</w:t>
      </w:r>
    </w:p>
    <w:p w:rsidR="00FE0098" w:rsidRDefault="00FE0098" w:rsidP="00FE0098">
      <w:pPr>
        <w:pStyle w:val="StandardWeb"/>
      </w:pPr>
      <w:r>
        <w:lastRenderedPageBreak/>
        <w:t>mathematisch abgeleitet.</w:t>
      </w:r>
    </w:p>
    <w:p w:rsidR="00FE0098" w:rsidRDefault="00FE0098" w:rsidP="00FE0098">
      <w:pPr>
        <w:pStyle w:val="StandardWeb"/>
      </w:pPr>
      <w:r>
        <w:t>Daher gilt</w:t>
      </w:r>
    </w:p>
    <w:p w:rsidR="00FE0098" w:rsidRDefault="00FE0098" w:rsidP="00FE0098">
      <w:pPr>
        <w:pStyle w:val="berschrift1"/>
      </w:pPr>
      <w:r>
        <w:t>[</w:t>
      </w:r>
      <w:r>
        <w:br/>
        <w:t>\operatorname{Stat}</w:t>
      </w:r>
      <w:r>
        <w:br/>
        <w:t>\left(</w:t>
      </w:r>
      <w:r>
        <w:br/>
        <w:t>I_F\equiv c\Rightarrow I_F\in\mathcal I_F</w:t>
      </w:r>
      <w:r>
        <w:br/>
        <w:t>\right)</w:t>
      </w:r>
    </w:p>
    <w:p w:rsidR="00FE0098" w:rsidRDefault="00FE0098" w:rsidP="00FE0098">
      <w:pPr>
        <w:pStyle w:val="StandardWeb"/>
      </w:pPr>
      <w:r>
        <w:t>\mathrm{Der}.</w:t>
      </w:r>
      <w:r>
        <w:br/>
        <w:t>\tag{3.10678}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\operatorname{Stat}\left(I_F\equiv c\Rightarrow I_F\in\mathcal I_F\right)=\mathrm{Der}</w:t>
      </w:r>
    </w:p>
    <w:p w:rsidR="00FE0098" w:rsidRDefault="00E50336" w:rsidP="00FE0098">
      <w:r>
        <w:pict>
          <v:rect id="_x0000_i3455" style="width:0;height:1.5pt" o:hralign="center" o:hrstd="t" o:hr="t" fillcolor="#a0a0a0" stroked="f"/>
        </w:pict>
      </w:r>
    </w:p>
    <w:p w:rsidR="00FE0098" w:rsidRDefault="00FE0098" w:rsidP="00FE0098">
      <w:pPr>
        <w:pStyle w:val="berschrift1"/>
      </w:pPr>
      <w:r>
        <w:t>3.3.45.359 Status der Erreichbarkeitsinvarianz</w:t>
      </w:r>
    </w:p>
    <w:p w:rsidR="00FE0098" w:rsidRDefault="00FE0098" w:rsidP="00FE0098">
      <w:pPr>
        <w:pStyle w:val="StandardWeb"/>
      </w:pPr>
      <w:r>
        <w:t>Aus der Übergangsinvarianz wurde hergeleitet, dass eine globale Invariante auf jedem durch Übergänge erreichbaren Pfad konstant bleibt.</w:t>
      </w:r>
    </w:p>
    <w:p w:rsidR="00FE0098" w:rsidRDefault="00FE0098" w:rsidP="00FE0098">
      <w:pPr>
        <w:pStyle w:val="StandardWeb"/>
      </w:pPr>
      <w:r>
        <w:t>Formal gilt</w:t>
      </w:r>
    </w:p>
    <w:p w:rsidR="00FE0098" w:rsidRDefault="00FE0098" w:rsidP="00FE0098">
      <w:pPr>
        <w:pStyle w:val="StandardWeb"/>
      </w:pPr>
      <w:r>
        <w:t>[</w:t>
      </w:r>
      <w:r>
        <w:br/>
        <w:t>z_i\leadsto z_j</w:t>
      </w:r>
      <w:r>
        <w:br/>
        <w:t>\Rightarrow</w:t>
      </w:r>
      <w:r>
        <w:br/>
        <w:t>I_F(z_i)=I_F(z_j).</w:t>
      </w:r>
      <w:r>
        <w:br/>
        <w:t>\tag{3.10679}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z_i\leadsto z_j\Rightarrow I_F(z_i)=I_F(z_j)</w:t>
      </w:r>
    </w:p>
    <w:p w:rsidR="00FE0098" w:rsidRDefault="00FE0098" w:rsidP="00FE0098">
      <w:pPr>
        <w:pStyle w:val="StandardWeb"/>
      </w:pPr>
      <w:r>
        <w:t>Damit ist</w:t>
      </w:r>
    </w:p>
    <w:p w:rsidR="00FE0098" w:rsidRDefault="00FE0098" w:rsidP="00FE0098">
      <w:pPr>
        <w:pStyle w:val="berschrift1"/>
      </w:pPr>
      <w:r>
        <w:t>[</w:t>
      </w:r>
      <w:r>
        <w:br/>
        <w:t>\boxed{</w:t>
      </w:r>
      <w:r>
        <w:br/>
        <w:t>\operatorname{Stat}</w:t>
      </w:r>
      <w:r>
        <w:br/>
        <w:t>\left(</w:t>
      </w:r>
      <w:r>
        <w:br/>
      </w:r>
      <w:r>
        <w:lastRenderedPageBreak/>
        <w:t>\text{Erreichbarkeitsinvarianz}</w:t>
      </w:r>
      <w:r>
        <w:br/>
        <w:t>\right)</w:t>
      </w:r>
    </w:p>
    <w:p w:rsidR="00FE0098" w:rsidRDefault="00FE0098" w:rsidP="00FE0098">
      <w:pPr>
        <w:pStyle w:val="StandardWeb"/>
      </w:pPr>
      <w:r>
        <w:t>\mathrm{Der}.</w:t>
      </w:r>
      <w:r>
        <w:br/>
        <w:t>}</w:t>
      </w:r>
      <w:r>
        <w:br/>
        <w:t>\tag{3.10680}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\boxed{\operatorname{Stat}\left(\text{Erreichbarkeitsinvarianz}\right)=\mathrm{Der}.}</w:t>
      </w:r>
    </w:p>
    <w:p w:rsidR="00FE0098" w:rsidRDefault="00E50336" w:rsidP="00FE0098">
      <w:r>
        <w:pict>
          <v:rect id="_x0000_i3456" style="width:0;height:1.5pt" o:hralign="center" o:hrstd="t" o:hr="t" fillcolor="#a0a0a0" stroked="f"/>
        </w:pict>
      </w:r>
    </w:p>
    <w:p w:rsidR="00FE0098" w:rsidRDefault="00FE0098" w:rsidP="00FE0098">
      <w:pPr>
        <w:pStyle w:val="berschrift1"/>
      </w:pPr>
      <w:r>
        <w:t>3.3.45.360 Status der Zusammenhangsinvarianz</w:t>
      </w:r>
    </w:p>
    <w:p w:rsidR="00FE0098" w:rsidRDefault="00FE0098" w:rsidP="00FE0098">
      <w:pPr>
        <w:pStyle w:val="StandardWeb"/>
      </w:pPr>
      <w:r>
        <w:t>Die Konstanz auf funktionalen Zusammenhangskomponenten folgt ebenfalls aus der Übergangsstruktur.</w:t>
      </w:r>
    </w:p>
    <w:p w:rsidR="00FE0098" w:rsidRDefault="00FE0098" w:rsidP="00FE0098">
      <w:pPr>
        <w:pStyle w:val="StandardWeb"/>
      </w:pPr>
      <w:r>
        <w:t>Damit gilt</w:t>
      </w:r>
    </w:p>
    <w:p w:rsidR="00FE0098" w:rsidRDefault="00FE0098" w:rsidP="00FE0098">
      <w:pPr>
        <w:pStyle w:val="berschrift1"/>
      </w:pPr>
      <w:r>
        <w:t>[</w:t>
      </w:r>
      <w:r>
        <w:br/>
        <w:t>[z_i]_{\pm}</w:t>
      </w:r>
    </w:p>
    <w:p w:rsidR="00FE0098" w:rsidRDefault="00FE0098" w:rsidP="00FE0098">
      <w:pPr>
        <w:pStyle w:val="StandardWeb"/>
      </w:pPr>
      <w:r>
        <w:t>[z_j]_{\pm}</w:t>
      </w:r>
      <w:r>
        <w:br/>
        <w:t>\Rightarrow</w:t>
      </w:r>
      <w:r>
        <w:br/>
        <w:t>I_F(z_i)=I_F(z_j).</w:t>
      </w:r>
      <w:r>
        <w:br/>
        <w:t>\tag{3.10681}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[z_i]_{\pm}=[z_j]_{\pm}\Rightarrow I_F(z_i)=I_F(z_j)</w:t>
      </w:r>
    </w:p>
    <w:p w:rsidR="00FE0098" w:rsidRDefault="00FE0098" w:rsidP="00FE0098">
      <w:pPr>
        <w:pStyle w:val="StandardWeb"/>
      </w:pPr>
      <w:r>
        <w:t>und daher</w:t>
      </w:r>
    </w:p>
    <w:p w:rsidR="00FE0098" w:rsidRDefault="00FE0098" w:rsidP="00FE0098">
      <w:pPr>
        <w:pStyle w:val="berschrift1"/>
      </w:pPr>
      <w:r>
        <w:t>[</w:t>
      </w:r>
      <w:r>
        <w:br/>
        <w:t>\boxed{</w:t>
      </w:r>
      <w:r>
        <w:br/>
        <w:t>\operatorname{Stat}</w:t>
      </w:r>
      <w:r>
        <w:br/>
        <w:t>\left(</w:t>
      </w:r>
      <w:r>
        <w:br/>
        <w:t>\text{Zusammenhangsinvarianz}</w:t>
      </w:r>
      <w:r>
        <w:br/>
        <w:t>\right)</w:t>
      </w:r>
    </w:p>
    <w:p w:rsidR="00FE0098" w:rsidRDefault="00FE0098" w:rsidP="00FE0098">
      <w:pPr>
        <w:pStyle w:val="StandardWeb"/>
      </w:pPr>
      <w:r>
        <w:lastRenderedPageBreak/>
        <w:t>\mathrm{Der}.</w:t>
      </w:r>
      <w:r>
        <w:br/>
        <w:t>}</w:t>
      </w:r>
      <w:r>
        <w:br/>
        <w:t>\tag{3.10682}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\boxed{\operatorname{Stat}\left(\text{Zusammenhangsinvarianz}\right)=\mathrm{Der}.}</w:t>
      </w:r>
    </w:p>
    <w:p w:rsidR="00FE0098" w:rsidRDefault="00E50336" w:rsidP="00FE0098">
      <w:r>
        <w:pict>
          <v:rect id="_x0000_i3457" style="width:0;height:1.5pt" o:hralign="center" o:hrstd="t" o:hr="t" fillcolor="#a0a0a0" stroked="f"/>
        </w:pict>
      </w:r>
    </w:p>
    <w:p w:rsidR="00FE0098" w:rsidRDefault="00FE0098" w:rsidP="00FE0098">
      <w:pPr>
        <w:pStyle w:val="berschrift1"/>
      </w:pPr>
      <w:r>
        <w:t>3.3.45.361 Status der kanonischen Zusammenhangsinvariante</w:t>
      </w:r>
    </w:p>
    <w:p w:rsidR="00FE0098" w:rsidRDefault="00FE0098" w:rsidP="00FE0098">
      <w:pPr>
        <w:pStyle w:val="StandardWeb"/>
      </w:pPr>
      <w:r>
        <w:t>Die Konstruktion</w:t>
      </w:r>
    </w:p>
    <w:p w:rsidR="00FE0098" w:rsidRDefault="00FE0098" w:rsidP="00FE0098">
      <w:pPr>
        <w:pStyle w:val="berschrift1"/>
      </w:pPr>
      <w:r>
        <w:t>[</w:t>
      </w:r>
      <w:r>
        <w:br/>
        <w:t>I_{\mathrm{class}}</w:t>
      </w:r>
    </w:p>
    <w:p w:rsidR="00FE0098" w:rsidRDefault="00FE0098" w:rsidP="00FE0098">
      <w:pPr>
        <w:pStyle w:val="StandardWeb"/>
      </w:pPr>
      <w:r>
        <w:t>\pi_F^{\pm}</w:t>
      </w:r>
      <w:r>
        <w:br/>
        <w:t>\tag{3.10683}</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I_{\mathrm{class}}=\pi_F^{\pm}</w:t>
      </w:r>
    </w:p>
    <w:p w:rsidR="00FE0098" w:rsidRDefault="00FE0098" w:rsidP="00FE0098">
      <w:pPr>
        <w:pStyle w:val="StandardWeb"/>
      </w:pPr>
      <w:r>
        <w:t>entsteht unmittelbar aus der Quotientierung des Zustandsraumes nach funktionaler Zusammenhangsäquivalenz.</w:t>
      </w:r>
    </w:p>
    <w:p w:rsidR="00FE0098" w:rsidRDefault="00FE0098" w:rsidP="00FE0098">
      <w:pPr>
        <w:pStyle w:val="StandardWeb"/>
      </w:pPr>
      <w:r>
        <w:t>Damit gilt endgültig</w:t>
      </w:r>
    </w:p>
    <w:p w:rsidR="00FE0098" w:rsidRDefault="00FE0098" w:rsidP="00FE0098">
      <w:pPr>
        <w:pStyle w:val="berschrift1"/>
      </w:pPr>
      <w:r>
        <w:t>[</w:t>
      </w:r>
      <w:r>
        <w:br/>
        <w:t>\boxed{</w:t>
      </w:r>
      <w:r>
        <w:br/>
        <w:t>\operatorname{Stat}(I_{\mathrm{class}})</w:t>
      </w:r>
    </w:p>
    <w:p w:rsidR="00FE0098" w:rsidRDefault="00FE0098" w:rsidP="00FE0098">
      <w:pPr>
        <w:pStyle w:val="StandardWeb"/>
      </w:pPr>
      <w:r>
        <w:t>\mathrm{Der/Def}.</w:t>
      </w:r>
      <w:r>
        <w:br/>
        <w:t>}</w:t>
      </w:r>
      <w:r>
        <w:br/>
        <w:t>\tag{3.10684}</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\boxed{\operatorname{Stat}(I_{\mathrm{class}})=\mathrm{Der/Def}.}</w:t>
      </w:r>
    </w:p>
    <w:p w:rsidR="00FE0098" w:rsidRDefault="00FE0098" w:rsidP="00FE0098">
      <w:pPr>
        <w:pStyle w:val="StandardWeb"/>
      </w:pPr>
      <w:r>
        <w:t>Sie ist keine zusätzliche physikalische Erhaltungsgröße.</w:t>
      </w:r>
    </w:p>
    <w:p w:rsidR="00FE0098" w:rsidRDefault="00E50336" w:rsidP="00FE0098">
      <w:r>
        <w:lastRenderedPageBreak/>
        <w:pict>
          <v:rect id="_x0000_i3458" style="width:0;height:1.5pt" o:hralign="center" o:hrstd="t" o:hr="t" fillcolor="#a0a0a0" stroked="f"/>
        </w:pict>
      </w:r>
    </w:p>
    <w:p w:rsidR="00FE0098" w:rsidRDefault="00FE0098" w:rsidP="00FE0098">
      <w:pPr>
        <w:pStyle w:val="berschrift1"/>
      </w:pPr>
      <w:r>
        <w:t>3.3.45.362 Keine Gleichsetzung mit Energie, Impuls oder Ladung</w:t>
      </w:r>
    </w:p>
    <w:p w:rsidR="00FE0098" w:rsidRDefault="00FE0098" w:rsidP="00FE0098">
      <w:pPr>
        <w:pStyle w:val="StandardWeb"/>
      </w:pPr>
      <w:r>
        <w:t>Die Zusammenhangsinvariante ist ausschließlich strukturell definiert.</w:t>
      </w:r>
    </w:p>
    <w:p w:rsidR="00FE0098" w:rsidRDefault="00FE0098" w:rsidP="00FE0098">
      <w:pPr>
        <w:pStyle w:val="StandardWeb"/>
      </w:pPr>
      <w:r>
        <w:t>Daher gilt weiterhin</w:t>
      </w:r>
    </w:p>
    <w:p w:rsidR="00FE0098" w:rsidRDefault="00FE0098" w:rsidP="00FE0098">
      <w:pPr>
        <w:pStyle w:val="StandardWeb"/>
      </w:pPr>
      <w:r>
        <w:t>[</w:t>
      </w:r>
      <w:r>
        <w:br/>
        <w:t>\boxed{</w:t>
      </w:r>
      <w:r>
        <w:br/>
        <w:t>I_{\mathrm{class}}</w:t>
      </w:r>
      <w:r>
        <w:br/>
        <w:t>\not\equiv</w:t>
      </w:r>
      <w:r>
        <w:br/>
        <w:t>E</w:t>
      </w:r>
      <w:r>
        <w:br/>
        <w:t>}</w:t>
      </w:r>
      <w:r>
        <w:br/>
        <w:t>\tag{3.10685}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\boxed{I_{\mathrm{class}}\not\equiv E}</w:t>
      </w:r>
    </w:p>
    <w:p w:rsidR="00FE0098" w:rsidRDefault="00FE0098" w:rsidP="00FE0098">
      <w:pPr>
        <w:pStyle w:val="StandardWeb"/>
      </w:pPr>
      <w:r>
        <w:t>sowie</w:t>
      </w:r>
    </w:p>
    <w:p w:rsidR="00FE0098" w:rsidRDefault="00FE0098" w:rsidP="00FE0098">
      <w:pPr>
        <w:pStyle w:val="StandardWeb"/>
      </w:pPr>
      <w:r>
        <w:t>[</w:t>
      </w:r>
      <w:r>
        <w:br/>
        <w:t>\boxed{</w:t>
      </w:r>
      <w:r>
        <w:br/>
        <w:t>I_{\mathrm{class}}</w:t>
      </w:r>
      <w:r>
        <w:br/>
        <w:t>\not\equiv</w:t>
      </w:r>
      <w:r>
        <w:br/>
        <w:t>\mathbf p</w:t>
      </w:r>
      <w:r>
        <w:br/>
        <w:t>}</w:t>
      </w:r>
      <w:r>
        <w:br/>
        <w:t>\tag{3.10686}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\boxed{I_{\mathrm{class}}\not\equiv\mathbf p}</w:t>
      </w:r>
    </w:p>
    <w:p w:rsidR="00FE0098" w:rsidRDefault="00FE0098" w:rsidP="00FE0098">
      <w:pPr>
        <w:pStyle w:val="StandardWeb"/>
      </w:pPr>
      <w:r>
        <w:t>und</w:t>
      </w:r>
    </w:p>
    <w:p w:rsidR="00FE0098" w:rsidRDefault="00FE0098" w:rsidP="00FE0098">
      <w:pPr>
        <w:pStyle w:val="StandardWeb"/>
      </w:pPr>
      <w:r>
        <w:t>[</w:t>
      </w:r>
      <w:r>
        <w:br/>
        <w:t>\boxed{</w:t>
      </w:r>
      <w:r>
        <w:br/>
        <w:t>I_{\mathrm{class}}</w:t>
      </w:r>
      <w:r>
        <w:br/>
        <w:t>\not\equiv</w:t>
      </w:r>
      <w:r>
        <w:br/>
        <w:t>Q.</w:t>
      </w:r>
      <w:r>
        <w:br/>
        <w:t>}</w:t>
      </w:r>
      <w:r>
        <w:br/>
        <w:t>\tag{3.10687}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\boxed{I_{\mathrm{class}}\not\equiv Q.}</w:t>
      </w:r>
    </w:p>
    <w:p w:rsidR="00FE0098" w:rsidRDefault="00FE0098" w:rsidP="00FE0098">
      <w:pPr>
        <w:pStyle w:val="StandardWeb"/>
      </w:pPr>
      <w:r>
        <w:lastRenderedPageBreak/>
        <w:t>Eine solche physikalische Identifikation müsste in einem konkreten Modell separat hergeleitet und empirisch begründet werden.</w:t>
      </w:r>
    </w:p>
    <w:p w:rsidR="00FE0098" w:rsidRDefault="00E50336" w:rsidP="00FE0098">
      <w:r>
        <w:pict>
          <v:rect id="_x0000_i3459" style="width:0;height:1.5pt" o:hralign="center" o:hrstd="t" o:hr="t" fillcolor="#a0a0a0" stroked="f"/>
        </w:pict>
      </w:r>
    </w:p>
    <w:p w:rsidR="00FE0098" w:rsidRDefault="00FE0098" w:rsidP="00FE0098">
      <w:pPr>
        <w:pStyle w:val="berschrift1"/>
      </w:pPr>
      <w:r>
        <w:t>3.3.45.363 Status der Komposition funktionaler Invarianten</w:t>
      </w:r>
    </w:p>
    <w:p w:rsidR="00FE0098" w:rsidRDefault="00FE0098" w:rsidP="00FE0098">
      <w:pPr>
        <w:pStyle w:val="StandardWeb"/>
      </w:pPr>
      <w:r>
        <w:t>Für</w:t>
      </w:r>
    </w:p>
    <w:p w:rsidR="00FE0098" w:rsidRDefault="00FE0098" w:rsidP="00FE0098">
      <w:pPr>
        <w:pStyle w:val="berschrift1"/>
      </w:pPr>
      <w:r>
        <w:t>[</w:t>
      </w:r>
      <w:r>
        <w:br/>
        <w:t>J_F</w:t>
      </w:r>
    </w:p>
    <w:p w:rsidR="00FE0098" w:rsidRDefault="00FE0098" w:rsidP="00FE0098">
      <w:pPr>
        <w:pStyle w:val="StandardWeb"/>
      </w:pPr>
      <w:r>
        <w:t>\varphi\circ I_F</w:t>
      </w:r>
      <w:r>
        <w:br/>
        <w:t>\tag{3.10688}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J_F=\varphi\circ I_F</w:t>
      </w:r>
    </w:p>
    <w:p w:rsidR="00FE0098" w:rsidRDefault="00FE0098" w:rsidP="00FE0098">
      <w:pPr>
        <w:pStyle w:val="StandardWeb"/>
      </w:pPr>
      <w:r>
        <w:t>folgt die Invarianz von (J_F) aus der Invarianz von (I_F).</w:t>
      </w:r>
    </w:p>
    <w:p w:rsidR="00FE0098" w:rsidRDefault="00FE0098" w:rsidP="00FE0098">
      <w:pPr>
        <w:pStyle w:val="StandardWeb"/>
      </w:pPr>
      <w:r>
        <w:t>Damit gilt</w:t>
      </w:r>
    </w:p>
    <w:p w:rsidR="00FE0098" w:rsidRDefault="00FE0098" w:rsidP="00FE0098">
      <w:pPr>
        <w:pStyle w:val="berschrift1"/>
      </w:pPr>
      <w:r>
        <w:t>[</w:t>
      </w:r>
      <w:r>
        <w:br/>
        <w:t>\boxed{</w:t>
      </w:r>
      <w:r>
        <w:br/>
        <w:t>\operatorname{Stat}</w:t>
      </w:r>
      <w:r>
        <w:br/>
        <w:t>\left(</w:t>
      </w:r>
      <w:r>
        <w:br/>
        <w:t>\varphi\circ I_F\in\mathcal I_F</w:t>
      </w:r>
      <w:r>
        <w:br/>
        <w:t>\right)</w:t>
      </w:r>
    </w:p>
    <w:p w:rsidR="00FE0098" w:rsidRDefault="00FE0098" w:rsidP="00FE0098">
      <w:pPr>
        <w:pStyle w:val="StandardWeb"/>
      </w:pPr>
      <w:r>
        <w:t>\mathrm{Der}.</w:t>
      </w:r>
      <w:r>
        <w:br/>
        <w:t>}</w:t>
      </w:r>
      <w:r>
        <w:br/>
        <w:t>\tag{3.10689}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\boxed{\operatorname{Stat}\left(\varphi\circ I_F\in\mathcal I_F\right)=\mathrm{Der}.}</w:t>
      </w:r>
    </w:p>
    <w:p w:rsidR="00FE0098" w:rsidRDefault="00E50336" w:rsidP="00FE0098">
      <w:r>
        <w:pict>
          <v:rect id="_x0000_i3460" style="width:0;height:1.5pt" o:hralign="center" o:hrstd="t" o:hr="t" fillcolor="#a0a0a0" stroked="f"/>
        </w:pict>
      </w:r>
    </w:p>
    <w:p w:rsidR="00FE0098" w:rsidRDefault="00FE0098" w:rsidP="00FE0098">
      <w:pPr>
        <w:pStyle w:val="berschrift1"/>
      </w:pPr>
      <w:r>
        <w:t>3.3.45.364 Status funktionaler Abhängigkeit</w:t>
      </w:r>
    </w:p>
    <w:p w:rsidR="00FE0098" w:rsidRDefault="00FE0098" w:rsidP="00FE0098">
      <w:pPr>
        <w:pStyle w:val="StandardWeb"/>
      </w:pPr>
      <w:r>
        <w:lastRenderedPageBreak/>
        <w:t>Die Relation</w:t>
      </w:r>
    </w:p>
    <w:p w:rsidR="00FE0098" w:rsidRDefault="00FE0098" w:rsidP="00FE0098">
      <w:pPr>
        <w:pStyle w:val="berschrift1"/>
      </w:pPr>
      <w:r>
        <w:t>[</w:t>
      </w:r>
      <w:r>
        <w:br/>
        <w:t>J_F</w:t>
      </w:r>
    </w:p>
    <w:p w:rsidR="00FE0098" w:rsidRDefault="00FE0098" w:rsidP="00FE0098">
      <w:pPr>
        <w:pStyle w:val="StandardWeb"/>
      </w:pPr>
      <w:r>
        <w:t>\varphi\circ I_F</w:t>
      </w:r>
      <w:r>
        <w:br/>
        <w:t>\tag{3.10690}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J_F=\varphi\circ I_F</w:t>
      </w:r>
    </w:p>
    <w:p w:rsidR="00FE0098" w:rsidRDefault="00FE0098" w:rsidP="00FE0098">
      <w:pPr>
        <w:pStyle w:val="StandardWeb"/>
      </w:pPr>
      <w:r>
        <w:t>wurde zugleich zur Definition funktionaler Abhängigkeit verwendet.</w:t>
      </w:r>
    </w:p>
    <w:p w:rsidR="00FE0098" w:rsidRDefault="00FE0098" w:rsidP="00FE0098">
      <w:pPr>
        <w:pStyle w:val="StandardWeb"/>
      </w:pPr>
      <w:r>
        <w:t>Daher gilt</w:t>
      </w:r>
    </w:p>
    <w:p w:rsidR="00FE0098" w:rsidRDefault="00FE0098" w:rsidP="00FE0098">
      <w:pPr>
        <w:pStyle w:val="berschrift1"/>
      </w:pPr>
      <w:r>
        <w:t>[</w:t>
      </w:r>
      <w:r>
        <w:br/>
        <w:t>\boxed{</w:t>
      </w:r>
      <w:r>
        <w:br/>
        <w:t>\operatorname{Stat}</w:t>
      </w:r>
      <w:r>
        <w:br/>
        <w:t>\left(</w:t>
      </w:r>
      <w:r>
        <w:br/>
        <w:t>J_F\text{ funktional abhängig von }I_F</w:t>
      </w:r>
      <w:r>
        <w:br/>
        <w:t>\right)</w:t>
      </w:r>
    </w:p>
    <w:p w:rsidR="00FE0098" w:rsidRDefault="00FE0098" w:rsidP="00FE0098">
      <w:pPr>
        <w:pStyle w:val="StandardWeb"/>
      </w:pPr>
      <w:r>
        <w:t>\mathrm{Def}.</w:t>
      </w:r>
      <w:r>
        <w:br/>
        <w:t>}</w:t>
      </w:r>
      <w:r>
        <w:br/>
        <w:t>\tag{3.10691}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\boxed{\operatorname{Stat}\left(J_F\text{ funktional abhängig von }I_F\right)=\mathrm{Def}.}</w:t>
      </w:r>
    </w:p>
    <w:p w:rsidR="00FE0098" w:rsidRDefault="00E50336" w:rsidP="00FE0098">
      <w:r>
        <w:pict>
          <v:rect id="_x0000_i3461" style="width:0;height:1.5pt" o:hralign="center" o:hrstd="t" o:hr="t" fillcolor="#a0a0a0" stroked="f"/>
        </w:pict>
      </w:r>
    </w:p>
    <w:p w:rsidR="00FE0098" w:rsidRDefault="00FE0098" w:rsidP="00FE0098">
      <w:pPr>
        <w:pStyle w:val="berschrift1"/>
      </w:pPr>
      <w:r>
        <w:t>3.3.45.365 Status des funktionalen Invariantenraumes</w:t>
      </w:r>
    </w:p>
    <w:p w:rsidR="00FE0098" w:rsidRDefault="00FE0098" w:rsidP="00FE0098">
      <w:pPr>
        <w:pStyle w:val="StandardWeb"/>
      </w:pPr>
      <w:r>
        <w:t>Die Bezeichnung</w:t>
      </w:r>
    </w:p>
    <w:p w:rsidR="00FE0098" w:rsidRDefault="00FE0098" w:rsidP="00FE0098">
      <w:pPr>
        <w:pStyle w:val="berschrift1"/>
      </w:pPr>
      <w:r>
        <w:t>[</w:t>
      </w:r>
      <w:r>
        <w:br/>
        <w:t>\mathfrak V_I(\mathcal M)</w:t>
      </w:r>
    </w:p>
    <w:p w:rsidR="00FE0098" w:rsidRDefault="00FE0098" w:rsidP="00FE0098">
      <w:pPr>
        <w:pStyle w:val="StandardWeb"/>
      </w:pPr>
      <w:r>
        <w:lastRenderedPageBreak/>
        <w:t>\mathcal I_F(\mathcal M;\mathcal V)</w:t>
      </w:r>
      <w:r>
        <w:br/>
        <w:t>\tag{3.10692}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\mathfrak V_I(\mathcal M)=\mathcal I_F(\mathcal M;\mathcal V)</w:t>
      </w:r>
    </w:p>
    <w:p w:rsidR="00FE0098" w:rsidRDefault="00FE0098" w:rsidP="00FE0098">
      <w:pPr>
        <w:pStyle w:val="StandardWeb"/>
      </w:pPr>
      <w:r>
        <w:t>ist definitorisch.</w:t>
      </w:r>
    </w:p>
    <w:p w:rsidR="00FE0098" w:rsidRDefault="00FE0098" w:rsidP="00FE0098">
      <w:pPr>
        <w:pStyle w:val="StandardWeb"/>
      </w:pPr>
      <w:r>
        <w:t>Dass diese Menge einen Vektorraum bildet, folgt jedoch aus den Vektorraumoperationen des Zielraumes und der linearen Abgeschlossenheit.</w:t>
      </w:r>
    </w:p>
    <w:p w:rsidR="00FE0098" w:rsidRDefault="00FE0098" w:rsidP="00FE0098">
      <w:pPr>
        <w:pStyle w:val="StandardWeb"/>
      </w:pPr>
      <w:r>
        <w:t>Damit gilt</w:t>
      </w:r>
    </w:p>
    <w:p w:rsidR="00FE0098" w:rsidRDefault="00FE0098" w:rsidP="00FE0098">
      <w:pPr>
        <w:pStyle w:val="berschrift1"/>
      </w:pPr>
      <w:r>
        <w:t>[</w:t>
      </w:r>
      <w:r>
        <w:br/>
        <w:t>\boxed{</w:t>
      </w:r>
      <w:r>
        <w:br/>
        <w:t>\operatorname{Stat}</w:t>
      </w:r>
      <w:r>
        <w:br/>
        <w:t>\left(</w:t>
      </w:r>
      <w:r>
        <w:br/>
        <w:t>\mathfrak V_I</w:t>
      </w:r>
      <w:r>
        <w:br/>
        <w:t>\right)</w:t>
      </w:r>
    </w:p>
    <w:p w:rsidR="00FE0098" w:rsidRDefault="00FE0098" w:rsidP="00FE0098">
      <w:pPr>
        <w:pStyle w:val="StandardWeb"/>
      </w:pPr>
      <w:r>
        <w:t>\mathrm{Def/Der}.</w:t>
      </w:r>
      <w:r>
        <w:br/>
        <w:t>}</w:t>
      </w:r>
      <w:r>
        <w:br/>
        <w:t>\tag{3.10693}</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\boxed{\operatorname{Stat}\left(\mathfrak V_I\right)=\mathrm{Def/Der}.}</w:t>
      </w:r>
    </w:p>
    <w:p w:rsidR="00FE0098" w:rsidRDefault="00E50336" w:rsidP="00FE0098">
      <w:r>
        <w:pict>
          <v:rect id="_x0000_i3462" style="width:0;height:1.5pt" o:hralign="center" o:hrstd="t" o:hr="t" fillcolor="#a0a0a0" stroked="f"/>
        </w:pict>
      </w:r>
    </w:p>
    <w:p w:rsidR="00FE0098" w:rsidRDefault="00FE0098" w:rsidP="00FE0098">
      <w:pPr>
        <w:pStyle w:val="berschrift1"/>
      </w:pPr>
      <w:r>
        <w:t>3.3.45.366 Status der funktionalen Invariantenalgebra</w:t>
      </w:r>
    </w:p>
    <w:p w:rsidR="00FE0098" w:rsidRDefault="00FE0098" w:rsidP="00FE0098">
      <w:pPr>
        <w:pStyle w:val="StandardWeb"/>
      </w:pPr>
      <w:r>
        <w:t>Analog gilt</w:t>
      </w:r>
    </w:p>
    <w:p w:rsidR="00FE0098" w:rsidRDefault="00FE0098" w:rsidP="00FE0098">
      <w:pPr>
        <w:pStyle w:val="berschrift1"/>
      </w:pPr>
      <w:r>
        <w:t>[</w:t>
      </w:r>
      <w:r>
        <w:br/>
        <w:t>\mathfrak A_I(\mathcal M)</w:t>
      </w:r>
    </w:p>
    <w:p w:rsidR="00FE0098" w:rsidRDefault="00FE0098" w:rsidP="00FE0098">
      <w:pPr>
        <w:pStyle w:val="StandardWeb"/>
      </w:pPr>
      <w:r>
        <w:t>\mathcal I_F(\mathcal M;\mathcal A).</w:t>
      </w:r>
      <w:r>
        <w:br/>
        <w:t>\tag{3.10694}</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lastRenderedPageBreak/>
        <w:t>\mathfrak A_I(\mathcal M)=\mathcal I_F(\mathcal M;\mathcal A)</w:t>
      </w:r>
    </w:p>
    <w:p w:rsidR="00FE0098" w:rsidRDefault="00FE0098" w:rsidP="00FE0098">
      <w:pPr>
        <w:pStyle w:val="StandardWeb"/>
      </w:pPr>
      <w:r>
        <w:t>Die Bezeichnung ist definitorisch, die algebraische Abgeschlossenheit wird aus den vorausgesetzten Operationen hergeleitet.</w:t>
      </w:r>
    </w:p>
    <w:p w:rsidR="00FE0098" w:rsidRDefault="00FE0098" w:rsidP="00FE0098">
      <w:pPr>
        <w:pStyle w:val="StandardWeb"/>
      </w:pPr>
      <w:r>
        <w:t>Daher</w:t>
      </w:r>
    </w:p>
    <w:p w:rsidR="00FE0098" w:rsidRDefault="00FE0098" w:rsidP="00FE0098">
      <w:pPr>
        <w:pStyle w:val="berschrift1"/>
      </w:pPr>
      <w:r>
        <w:t>[</w:t>
      </w:r>
      <w:r>
        <w:br/>
        <w:t>\boxed{</w:t>
      </w:r>
      <w:r>
        <w:br/>
        <w:t>\operatorname{Stat}</w:t>
      </w:r>
      <w:r>
        <w:br/>
        <w:t>\left(</w:t>
      </w:r>
      <w:r>
        <w:br/>
        <w:t>\mathfrak A_I</w:t>
      </w:r>
      <w:r>
        <w:br/>
        <w:t>\right)</w:t>
      </w:r>
    </w:p>
    <w:p w:rsidR="00FE0098" w:rsidRDefault="00FE0098" w:rsidP="00FE0098">
      <w:pPr>
        <w:pStyle w:val="StandardWeb"/>
      </w:pPr>
      <w:r>
        <w:t>\mathrm{Def/Der/Mod}.</w:t>
      </w:r>
      <w:r>
        <w:br/>
        <w:t>}</w:t>
      </w:r>
      <w:r>
        <w:br/>
        <w:t>\tag{3.10695}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\boxed{\operatorname{Stat}\left(\mathfrak A_I\right)=\mathrm{Def/Der/Mod}.}</w:t>
      </w:r>
    </w:p>
    <w:p w:rsidR="00FE0098" w:rsidRDefault="00FE0098" w:rsidP="00FE0098">
      <w:pPr>
        <w:pStyle w:val="StandardWeb"/>
      </w:pPr>
      <w:r>
        <w:t>Der Zusatz (\mathrm{Mod}) berücksichtigt, dass eine geeignete Algebra als Zielraum nicht universal vorausgesetzt ist.</w:t>
      </w:r>
    </w:p>
    <w:p w:rsidR="00FE0098" w:rsidRDefault="00E50336" w:rsidP="00FE0098">
      <w:r>
        <w:pict>
          <v:rect id="_x0000_i3463" style="width:0;height:1.5pt" o:hralign="center" o:hrstd="t" o:hr="t" fillcolor="#a0a0a0" stroked="f"/>
        </w:pict>
      </w:r>
    </w:p>
    <w:p w:rsidR="00FE0098" w:rsidRDefault="00FE0098" w:rsidP="00FE0098">
      <w:pPr>
        <w:pStyle w:val="berschrift1"/>
      </w:pPr>
      <w:r>
        <w:t>3.3.45.367 Status des Invariantenvektors</w:t>
      </w:r>
    </w:p>
    <w:p w:rsidR="00FE0098" w:rsidRDefault="00FE0098" w:rsidP="00FE0098">
      <w:pPr>
        <w:pStyle w:val="StandardWeb"/>
      </w:pPr>
      <w:r>
        <w:t>Die Zusammenfassung</w:t>
      </w:r>
    </w:p>
    <w:p w:rsidR="00FE0098" w:rsidRDefault="00FE0098" w:rsidP="00FE0098">
      <w:pPr>
        <w:pStyle w:val="berschrift1"/>
      </w:pPr>
      <w:r>
        <w:t>[</w:t>
      </w:r>
      <w:r>
        <w:br/>
        <w:t>\mathbf I_F</w:t>
      </w:r>
    </w:p>
    <w:p w:rsidR="00FE0098" w:rsidRDefault="00FE0098" w:rsidP="00FE0098">
      <w:pPr>
        <w:pStyle w:val="StandardWeb"/>
      </w:pPr>
      <w:r>
        <w:t>\left(</w:t>
      </w:r>
      <w:r>
        <w:br/>
        <w:t>I_F^{(1)},</w:t>
      </w:r>
      <w:r>
        <w:br/>
        <w:t>\ldots,</w:t>
      </w:r>
      <w:r>
        <w:br/>
        <w:t>I_F^{(m)}</w:t>
      </w:r>
      <w:r>
        <w:br/>
        <w:t>\right)</w:t>
      </w:r>
      <w:r>
        <w:br/>
        <w:t>\tag{3.10696}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lastRenderedPageBreak/>
        <w:t>\mathbf I_F=\left(I_F^{(1)},\ldots,I_F^{(m)}\right)</w:t>
      </w:r>
    </w:p>
    <w:p w:rsidR="00FE0098" w:rsidRDefault="00FE0098" w:rsidP="00FE0098">
      <w:pPr>
        <w:pStyle w:val="StandardWeb"/>
      </w:pPr>
      <w:r>
        <w:t>ist eine Definition.</w:t>
      </w:r>
    </w:p>
    <w:p w:rsidR="00FE0098" w:rsidRDefault="00FE0098" w:rsidP="00FE0098">
      <w:pPr>
        <w:pStyle w:val="StandardWeb"/>
      </w:pPr>
      <w:r>
        <w:t>Die Invarianz dieses Vektors folgt aus der Invarianz sämtlicher Komponenten.</w:t>
      </w:r>
    </w:p>
    <w:p w:rsidR="00FE0098" w:rsidRDefault="00FE0098" w:rsidP="00FE0098">
      <w:pPr>
        <w:pStyle w:val="StandardWeb"/>
      </w:pPr>
      <w:r>
        <w:t>Damit gilt</w:t>
      </w:r>
    </w:p>
    <w:p w:rsidR="00FE0098" w:rsidRDefault="00FE0098" w:rsidP="00FE0098">
      <w:pPr>
        <w:pStyle w:val="berschrift1"/>
      </w:pPr>
      <w:r>
        <w:t>[</w:t>
      </w:r>
      <w:r>
        <w:br/>
        <w:t>\boxed{</w:t>
      </w:r>
      <w:r>
        <w:br/>
        <w:t>\operatorname{Stat}(\mathbf I_F)</w:t>
      </w:r>
    </w:p>
    <w:p w:rsidR="00FE0098" w:rsidRDefault="00FE0098" w:rsidP="00FE0098">
      <w:pPr>
        <w:pStyle w:val="StandardWeb"/>
      </w:pPr>
      <w:r>
        <w:t>\mathrm{Def/Der}.</w:t>
      </w:r>
      <w:r>
        <w:br/>
        <w:t>}</w:t>
      </w:r>
      <w:r>
        <w:br/>
        <w:t>\tag{3.10697}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\boxed{\operatorname{Stat}(\mathbf I_F)=\mathrm{Def/Der}.}</w:t>
      </w:r>
    </w:p>
    <w:p w:rsidR="00FE0098" w:rsidRDefault="00E50336" w:rsidP="00FE0098">
      <w:r>
        <w:pict>
          <v:rect id="_x0000_i3464" style="width:0;height:1.5pt" o:hralign="center" o:hrstd="t" o:hr="t" fillcolor="#a0a0a0" stroked="f"/>
        </w:pict>
      </w:r>
    </w:p>
    <w:p w:rsidR="00FE0098" w:rsidRDefault="00FE0098" w:rsidP="00FE0098">
      <w:pPr>
        <w:pStyle w:val="berschrift1"/>
      </w:pPr>
      <w:r>
        <w:t>3.3.45.368 Status der trennenden Invariantenfamilie</w:t>
      </w:r>
    </w:p>
    <w:p w:rsidR="00FE0098" w:rsidRDefault="00FE0098" w:rsidP="00FE0098">
      <w:pPr>
        <w:pStyle w:val="StandardWeb"/>
      </w:pPr>
      <w:r>
        <w:t>Die Bedingung</w:t>
      </w:r>
    </w:p>
    <w:p w:rsidR="00FE0098" w:rsidRDefault="00FE0098" w:rsidP="00FE0098">
      <w:pPr>
        <w:pStyle w:val="StandardWeb"/>
      </w:pPr>
      <w:r>
        <w:t>[</w:t>
      </w:r>
      <w:r>
        <w:br/>
        <w:t>[z_i]</w:t>
      </w:r>
      <w:r>
        <w:rPr>
          <w:rStyle w:val="Hervorhebung"/>
        </w:rPr>
        <w:t>{\pm}\neq[z_j]</w:t>
      </w:r>
      <w:r>
        <w:t>{\pm}</w:t>
      </w:r>
      <w:r>
        <w:br/>
        <w:t>\Rightarrow</w:t>
      </w:r>
      <w:r>
        <w:br/>
        <w:t>\exists\alpha:</w:t>
      </w:r>
      <w:r>
        <w:br/>
        <w:t>I_F^{(\alpha)}(z_i)</w:t>
      </w:r>
      <w:r>
        <w:br/>
        <w:t>\neq</w:t>
      </w:r>
      <w:r>
        <w:br/>
        <w:t>I_F^{(\alpha)}(z_j)</w:t>
      </w:r>
      <w:r>
        <w:br/>
        <w:t>\tag{3.10698}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[z_i]_{\pm}\neq[z_j]_{\pm}\Rightarrow\exists\alpha:I_F^{(\alpha)}(z_i)\neq I_F^{(\alpha)}(z_j)</w:t>
      </w:r>
    </w:p>
    <w:p w:rsidR="00FE0098" w:rsidRDefault="00FE0098" w:rsidP="00FE0098">
      <w:pPr>
        <w:pStyle w:val="StandardWeb"/>
      </w:pPr>
      <w:r>
        <w:t>definiert eine trennende Invariantenfamilie.</w:t>
      </w:r>
    </w:p>
    <w:p w:rsidR="00FE0098" w:rsidRDefault="00FE0098" w:rsidP="00FE0098">
      <w:pPr>
        <w:pStyle w:val="StandardWeb"/>
      </w:pPr>
      <w:r>
        <w:t>Damit gilt</w:t>
      </w:r>
    </w:p>
    <w:p w:rsidR="00FE0098" w:rsidRDefault="00FE0098" w:rsidP="00FE0098">
      <w:pPr>
        <w:pStyle w:val="berschrift1"/>
      </w:pPr>
      <w:r>
        <w:t>[</w:t>
      </w:r>
      <w:r>
        <w:br/>
        <w:t>\boxed{</w:t>
      </w:r>
      <w:r>
        <w:br/>
      </w:r>
      <w:r>
        <w:lastRenderedPageBreak/>
        <w:t>\operatorname{Stat}</w:t>
      </w:r>
      <w:r>
        <w:br/>
        <w:t>\left(</w:t>
      </w:r>
      <w:r>
        <w:br/>
        <w:t>\text{trennende Invariantenfamilie}</w:t>
      </w:r>
      <w:r>
        <w:br/>
        <w:t>\right)</w:t>
      </w:r>
    </w:p>
    <w:p w:rsidR="00FE0098" w:rsidRDefault="00FE0098" w:rsidP="00FE0098">
      <w:pPr>
        <w:pStyle w:val="StandardWeb"/>
      </w:pPr>
      <w:r>
        <w:t>\mathrm{Def}.</w:t>
      </w:r>
      <w:r>
        <w:br/>
        <w:t>}</w:t>
      </w:r>
      <w:r>
        <w:br/>
        <w:t>\tag{3.10699}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\boxed{\operatorname{Stat}\left(\text{trennende Invariantenfamilie}\right)=\mathrm{Def}.}</w:t>
      </w:r>
    </w:p>
    <w:p w:rsidR="00FE0098" w:rsidRDefault="00FE0098" w:rsidP="00FE0098">
      <w:pPr>
        <w:pStyle w:val="StandardWeb"/>
      </w:pPr>
      <w:r>
        <w:t>Ihre Existenz ist dagegen modellabhängig.</w:t>
      </w:r>
    </w:p>
    <w:p w:rsidR="00FE0098" w:rsidRDefault="00E50336" w:rsidP="00FE0098">
      <w:r>
        <w:pict>
          <v:rect id="_x0000_i3465" style="width:0;height:1.5pt" o:hralign="center" o:hrstd="t" o:hr="t" fillcolor="#a0a0a0" stroked="f"/>
        </w:pict>
      </w:r>
    </w:p>
    <w:p w:rsidR="00FE0098" w:rsidRDefault="00FE0098" w:rsidP="00FE0098">
      <w:pPr>
        <w:pStyle w:val="berschrift1"/>
      </w:pPr>
      <w:r>
        <w:t>3.3.45.369 Status der funktionalen Übergangssymmetrie</w:t>
      </w:r>
    </w:p>
    <w:p w:rsidR="00FE0098" w:rsidRDefault="00FE0098" w:rsidP="00FE0098">
      <w:pPr>
        <w:pStyle w:val="StandardWeb"/>
      </w:pPr>
      <w:r>
        <w:t>Die Bedingung</w:t>
      </w:r>
    </w:p>
    <w:p w:rsidR="00FE0098" w:rsidRDefault="00FE0098" w:rsidP="00FE0098">
      <w:pPr>
        <w:pStyle w:val="StandardWeb"/>
      </w:pPr>
      <w:r>
        <w:t>[</w:t>
      </w:r>
      <w:r>
        <w:br/>
        <w:t>(z_i,z_j)\in\mathcal T_F</w:t>
      </w:r>
      <w:r>
        <w:br/>
        <w:t>\Longleftrightarrow</w:t>
      </w:r>
      <w:r>
        <w:br/>
        <w:t>(Sz_i,Sz_j)\in\mathcal T_F</w:t>
      </w:r>
      <w:r>
        <w:br/>
        <w:t>\tag{3.10700}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(z_i,z_j)\in\mathcal T_F\Longleftrightarrow(Sz_i,Sz_j)\in\mathcal T_F</w:t>
      </w:r>
    </w:p>
    <w:p w:rsidR="00FE0098" w:rsidRDefault="00FE0098" w:rsidP="00FE0098">
      <w:pPr>
        <w:pStyle w:val="StandardWeb"/>
      </w:pPr>
      <w:r>
        <w:t>definiert eine funktionale Übergangssymmetrie.</w:t>
      </w:r>
    </w:p>
    <w:p w:rsidR="00FE0098" w:rsidRDefault="00FE0098" w:rsidP="00FE0098">
      <w:pPr>
        <w:pStyle w:val="StandardWeb"/>
      </w:pPr>
      <w:r>
        <w:t>Daher gilt</w:t>
      </w:r>
    </w:p>
    <w:p w:rsidR="00FE0098" w:rsidRDefault="00FE0098" w:rsidP="00FE0098">
      <w:pPr>
        <w:pStyle w:val="berschrift1"/>
      </w:pPr>
      <w:r>
        <w:t>[</w:t>
      </w:r>
      <w:r>
        <w:br/>
        <w:t>\boxed{</w:t>
      </w:r>
      <w:r>
        <w:br/>
        <w:t>\operatorname{Stat}</w:t>
      </w:r>
      <w:r>
        <w:br/>
        <w:t>\left(</w:t>
      </w:r>
      <w:r>
        <w:br/>
      </w:r>
      <w:r>
        <w:lastRenderedPageBreak/>
        <w:t>\operatorname{Sym}_F</w:t>
      </w:r>
      <w:r>
        <w:br/>
        <w:t>\right)</w:t>
      </w:r>
    </w:p>
    <w:p w:rsidR="00FE0098" w:rsidRDefault="00FE0098" w:rsidP="00FE0098">
      <w:pPr>
        <w:pStyle w:val="StandardWeb"/>
      </w:pPr>
      <w:r>
        <w:t>\mathrm{Def}.</w:t>
      </w:r>
      <w:r>
        <w:br/>
        <w:t>}</w:t>
      </w:r>
      <w:r>
        <w:br/>
        <w:t>\tag{3.10701}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\boxed{\operatorname{Stat}\left(\operatorname{Sym}_F\right)=\mathrm{Def}.}</w:t>
      </w:r>
    </w:p>
    <w:p w:rsidR="00FE0098" w:rsidRDefault="00E50336" w:rsidP="00FE0098">
      <w:r>
        <w:pict>
          <v:rect id="_x0000_i3466" style="width:0;height:1.5pt" o:hralign="center" o:hrstd="t" o:hr="t" fillcolor="#a0a0a0" stroked="f"/>
        </w:pict>
      </w:r>
    </w:p>
    <w:p w:rsidR="00FE0098" w:rsidRDefault="00FE0098" w:rsidP="00FE0098">
      <w:pPr>
        <w:pStyle w:val="berschrift1"/>
      </w:pPr>
      <w:r>
        <w:t>3.3.45.370 Status der funktionalen Symmetriegruppe</w:t>
      </w:r>
    </w:p>
    <w:p w:rsidR="00FE0098" w:rsidRDefault="00FE0098" w:rsidP="00FE0098">
      <w:pPr>
        <w:pStyle w:val="StandardWeb"/>
      </w:pPr>
      <w:r>
        <w:t>Dass alle Übergangssymmetrien unter Komposition eine Gruppe bilden, wurde hergeleitet.</w:t>
      </w:r>
    </w:p>
    <w:p w:rsidR="00FE0098" w:rsidRDefault="00FE0098" w:rsidP="00FE0098">
      <w:pPr>
        <w:pStyle w:val="StandardWeb"/>
      </w:pPr>
      <w:r>
        <w:t>Damit gilt für</w:t>
      </w:r>
    </w:p>
    <w:p w:rsidR="00FE0098" w:rsidRDefault="00FE0098" w:rsidP="00FE0098">
      <w:pPr>
        <w:pStyle w:val="berschrift1"/>
      </w:pPr>
      <w:r>
        <w:t>[</w:t>
      </w:r>
      <w:r>
        <w:br/>
        <w:t>\mathfrak G_F</w:t>
      </w:r>
    </w:p>
    <w:p w:rsidR="00FE0098" w:rsidRDefault="00FE0098" w:rsidP="00FE0098">
      <w:pPr>
        <w:pStyle w:val="StandardWeb"/>
      </w:pPr>
      <w:r>
        <w:t>\operatorname{Sym}_F(\mathcal M)</w:t>
      </w:r>
      <w:r>
        <w:br/>
        <w:t>\tag{3.10702}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\mathfrak G_F=\operatorname{Sym}_F(\mathcal M)</w:t>
      </w:r>
    </w:p>
    <w:p w:rsidR="00FE0098" w:rsidRDefault="00FE0098" w:rsidP="00FE0098">
      <w:pPr>
        <w:pStyle w:val="StandardWeb"/>
      </w:pPr>
      <w:r>
        <w:t>die Klassifikation</w:t>
      </w:r>
    </w:p>
    <w:p w:rsidR="00FE0098" w:rsidRDefault="00FE0098" w:rsidP="00FE0098">
      <w:pPr>
        <w:pStyle w:val="berschrift1"/>
      </w:pPr>
      <w:r>
        <w:t>[</w:t>
      </w:r>
      <w:r>
        <w:br/>
        <w:t>\boxed{</w:t>
      </w:r>
      <w:r>
        <w:br/>
        <w:t>\operatorname{Stat}</w:t>
      </w:r>
      <w:r>
        <w:br/>
        <w:t>\left(</w:t>
      </w:r>
      <w:r>
        <w:br/>
        <w:t>\mathfrak G_F</w:t>
      </w:r>
      <w:r>
        <w:br/>
        <w:t>\right)</w:t>
      </w:r>
    </w:p>
    <w:p w:rsidR="00FE0098" w:rsidRDefault="00FE0098" w:rsidP="00FE0098">
      <w:pPr>
        <w:pStyle w:val="StandardWeb"/>
      </w:pPr>
      <w:r>
        <w:t>\mathrm{Def/Der}.</w:t>
      </w:r>
      <w:r>
        <w:br/>
        <w:t>}</w:t>
      </w:r>
      <w:r>
        <w:br/>
        <w:t>\tag{3.10703}</w:t>
      </w:r>
      <w:r>
        <w:br/>
        <w:t>]</w:t>
      </w:r>
    </w:p>
    <w:p w:rsidR="00FE0098" w:rsidRDefault="00FE0098" w:rsidP="00FE0098">
      <w:pPr>
        <w:pStyle w:val="StandardWeb"/>
      </w:pPr>
      <w:r>
        <w:rPr>
          <w:rStyle w:val="Fett"/>
        </w:rPr>
        <w:lastRenderedPageBreak/>
        <w:t>Word-LaTeX</w:t>
      </w:r>
    </w:p>
    <w:p w:rsidR="00FE0098" w:rsidRDefault="00FE0098" w:rsidP="00FE0098">
      <w:pPr>
        <w:pStyle w:val="HTMLVorformatiert"/>
        <w:rPr>
          <w:rStyle w:val="HTMLCode"/>
        </w:rPr>
      </w:pPr>
      <w:r>
        <w:rPr>
          <w:rStyle w:val="HTMLCode"/>
        </w:rPr>
        <w:t>\boxed{\operatorname{Stat}\left(\mathfrak G_F\right)=\mathrm{Def/Der}.}</w:t>
      </w:r>
    </w:p>
    <w:p w:rsidR="00FE0098" w:rsidRDefault="00E50336" w:rsidP="00FE0098">
      <w:r>
        <w:pict>
          <v:rect id="_x0000_i3467" style="width:0;height:1.5pt" o:hralign="center" o:hrstd="t" o:hr="t" fillcolor="#a0a0a0" stroked="f"/>
        </w:pict>
      </w:r>
    </w:p>
    <w:p w:rsidR="00FE0098" w:rsidRDefault="00FE0098" w:rsidP="00FE0098">
      <w:pPr>
        <w:pStyle w:val="berschrift1"/>
      </w:pPr>
      <w:r>
        <w:t>3.3.45.371 Status nichttrivialer Symmetrie</w:t>
      </w:r>
    </w:p>
    <w:p w:rsidR="00FE0098" w:rsidRDefault="00FE0098" w:rsidP="00FE0098">
      <w:pPr>
        <w:pStyle w:val="StandardWeb"/>
      </w:pPr>
      <w:r>
        <w:t>Die Aussage</w:t>
      </w:r>
    </w:p>
    <w:p w:rsidR="00FE0098" w:rsidRDefault="00FE0098" w:rsidP="00FE0098">
      <w:pPr>
        <w:pStyle w:val="StandardWeb"/>
      </w:pPr>
      <w:r>
        <w:t>[</w:t>
      </w:r>
      <w:r>
        <w:br/>
        <w:t>|\mathfrak G_F|&gt;1</w:t>
      </w:r>
      <w:r>
        <w:br/>
        <w:t>\tag{3.10704}</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|\mathfrak G_F|&gt;1</w:t>
      </w:r>
    </w:p>
    <w:p w:rsidR="00FE0098" w:rsidRDefault="00FE0098" w:rsidP="00FE0098">
      <w:pPr>
        <w:pStyle w:val="StandardWeb"/>
      </w:pPr>
      <w:r>
        <w:t>ist modellabhängig.</w:t>
      </w:r>
    </w:p>
    <w:p w:rsidR="00FE0098" w:rsidRDefault="00FE0098" w:rsidP="00FE0098">
      <w:pPr>
        <w:pStyle w:val="StandardWeb"/>
      </w:pPr>
      <w:r>
        <w:t>Daher gilt</w:t>
      </w:r>
    </w:p>
    <w:p w:rsidR="00FE0098" w:rsidRDefault="00FE0098" w:rsidP="00FE0098">
      <w:pPr>
        <w:pStyle w:val="berschrift1"/>
      </w:pPr>
      <w:r>
        <w:t>[</w:t>
      </w:r>
      <w:r>
        <w:br/>
        <w:t>\boxed{</w:t>
      </w:r>
      <w:r>
        <w:br/>
        <w:t>\operatorname{Stat}</w:t>
      </w:r>
      <w:r>
        <w:br/>
        <w:t>\left(</w:t>
      </w:r>
      <w:r>
        <w:br/>
        <w:t>|\mathfrak G_F|&gt;1</w:t>
      </w:r>
      <w:r>
        <w:br/>
        <w:t>\right)</w:t>
      </w:r>
    </w:p>
    <w:p w:rsidR="00FE0098" w:rsidRDefault="00FE0098" w:rsidP="00FE0098">
      <w:pPr>
        <w:pStyle w:val="StandardWeb"/>
      </w:pPr>
      <w:r>
        <w:t>\mathrm{Mod}.</w:t>
      </w:r>
      <w:r>
        <w:br/>
        <w:t>}</w:t>
      </w:r>
      <w:r>
        <w:br/>
        <w:t>\tag{3.10705}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\boxed{\operatorname{Stat}\left(|\mathfrak G_F|&gt;1\right)=\mathrm{Mod}.}</w:t>
      </w:r>
    </w:p>
    <w:p w:rsidR="00FE0098" w:rsidRDefault="00FE0098" w:rsidP="00FE0098">
      <w:pPr>
        <w:pStyle w:val="StandardWeb"/>
      </w:pPr>
      <w:r>
        <w:t>und</w:t>
      </w:r>
    </w:p>
    <w:p w:rsidR="00FE0098" w:rsidRDefault="00FE0098" w:rsidP="00FE0098">
      <w:pPr>
        <w:pStyle w:val="berschrift1"/>
      </w:pPr>
      <w:r>
        <w:t>[</w:t>
      </w:r>
      <w:r>
        <w:br/>
        <w:t>U_{\mathrm{Ax}}</w:t>
      </w:r>
      <w:r>
        <w:br/>
        <w:t>\left(</w:t>
      </w:r>
      <w:r>
        <w:br/>
      </w:r>
      <w:r>
        <w:lastRenderedPageBreak/>
        <w:t>|\mathfrak G_F|&gt;1</w:t>
      </w:r>
      <w:r>
        <w:br/>
        <w:t>\right)</w:t>
      </w:r>
    </w:p>
    <w:p w:rsidR="00FE0098" w:rsidRDefault="00FE0098" w:rsidP="00152216">
      <w:pPr>
        <w:numPr>
          <w:ilvl w:val="0"/>
          <w:numId w:val="463"/>
        </w:numPr>
        <w:spacing w:before="100" w:beforeAutospacing="1" w:after="100" w:afterAutospacing="1"/>
      </w:pPr>
    </w:p>
    <w:p w:rsidR="00FE0098" w:rsidRDefault="00FE0098" w:rsidP="00FE0098">
      <w:pPr>
        <w:pStyle w:val="StandardWeb"/>
      </w:pPr>
      <w:r>
        <w:t>\tag{3.10706}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U_{\mathrm{Ax}}\left(|\mathfrak G_F|&gt;1\right)=0</w:t>
      </w:r>
    </w:p>
    <w:p w:rsidR="00FE0098" w:rsidRDefault="00E50336" w:rsidP="00FE0098">
      <w:r>
        <w:pict>
          <v:rect id="_x0000_i3468" style="width:0;height:1.5pt" o:hralign="center" o:hrstd="t" o:hr="t" fillcolor="#a0a0a0" stroked="f"/>
        </w:pict>
      </w:r>
    </w:p>
    <w:p w:rsidR="00FE0098" w:rsidRDefault="00FE0098" w:rsidP="00FE0098">
      <w:pPr>
        <w:pStyle w:val="berschrift1"/>
      </w:pPr>
      <w:r>
        <w:t>3.3.45.372 Status der Orbitrelation</w:t>
      </w:r>
    </w:p>
    <w:p w:rsidR="00FE0098" w:rsidRDefault="00FE0098" w:rsidP="00FE0098">
      <w:pPr>
        <w:pStyle w:val="StandardWeb"/>
      </w:pPr>
      <w:r>
        <w:t>Die Relation</w:t>
      </w:r>
    </w:p>
    <w:p w:rsidR="00FE0098" w:rsidRDefault="00FE0098" w:rsidP="00FE0098">
      <w:pPr>
        <w:pStyle w:val="StandardWeb"/>
      </w:pPr>
      <w:r>
        <w:t>[</w:t>
      </w:r>
      <w:r>
        <w:br/>
        <w:t>z_i\sim_S z_j</w:t>
      </w:r>
      <w:r>
        <w:br/>
        <w:t>\Longleftrightarrow</w:t>
      </w:r>
      <w:r>
        <w:br/>
        <w:t>\exists S\in\mathfrak G_F:</w:t>
      </w:r>
      <w:r>
        <w:br/>
        <w:t>S(z_i)=z_j</w:t>
      </w:r>
      <w:r>
        <w:br/>
        <w:t>\tag{3.10707}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z_i\sim_S z_j\Longleftrightarrow\exists S\in\mathfrak G_F:S(z_i)=z_j</w:t>
      </w:r>
    </w:p>
    <w:p w:rsidR="00FE0098" w:rsidRDefault="00FE0098" w:rsidP="00FE0098">
      <w:pPr>
        <w:pStyle w:val="StandardWeb"/>
      </w:pPr>
      <w:r>
        <w:t>ist definitorisch eingeführt worden.</w:t>
      </w:r>
    </w:p>
    <w:p w:rsidR="00FE0098" w:rsidRDefault="00FE0098" w:rsidP="00FE0098">
      <w:pPr>
        <w:pStyle w:val="StandardWeb"/>
      </w:pPr>
      <w:r>
        <w:t>Dass sie eine Äquivalenzrelation bildet, ist mathematisch abgeleitet.</w:t>
      </w:r>
    </w:p>
    <w:p w:rsidR="00FE0098" w:rsidRDefault="00FE0098" w:rsidP="00FE0098">
      <w:pPr>
        <w:pStyle w:val="StandardWeb"/>
      </w:pPr>
      <w:r>
        <w:t>Daher gilt</w:t>
      </w:r>
    </w:p>
    <w:p w:rsidR="00FE0098" w:rsidRDefault="00FE0098" w:rsidP="00FE0098">
      <w:pPr>
        <w:pStyle w:val="berschrift1"/>
      </w:pPr>
      <w:r>
        <w:t>[</w:t>
      </w:r>
      <w:r>
        <w:br/>
        <w:t>\boxed{</w:t>
      </w:r>
      <w:r>
        <w:br/>
        <w:t>\operatorname{Stat}(\sim_S)</w:t>
      </w:r>
    </w:p>
    <w:p w:rsidR="00FE0098" w:rsidRDefault="00FE0098" w:rsidP="00FE0098">
      <w:pPr>
        <w:pStyle w:val="StandardWeb"/>
      </w:pPr>
      <w:r>
        <w:t>\mathrm{Def/Der}.</w:t>
      </w:r>
      <w:r>
        <w:br/>
        <w:t>}</w:t>
      </w:r>
      <w:r>
        <w:br/>
        <w:t>\tag{3.10708}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\boxed{\operatorname{Stat}(\sim_S)=\mathrm{Def/Der}.}</w:t>
      </w:r>
    </w:p>
    <w:p w:rsidR="00FE0098" w:rsidRDefault="00E50336" w:rsidP="00FE0098">
      <w:r>
        <w:lastRenderedPageBreak/>
        <w:pict>
          <v:rect id="_x0000_i3469" style="width:0;height:1.5pt" o:hralign="center" o:hrstd="t" o:hr="t" fillcolor="#a0a0a0" stroked="f"/>
        </w:pict>
      </w:r>
    </w:p>
    <w:p w:rsidR="00FE0098" w:rsidRDefault="00FE0098" w:rsidP="00FE0098">
      <w:pPr>
        <w:pStyle w:val="berschrift1"/>
      </w:pPr>
      <w:r>
        <w:t>3.3.45.373 Status des Orbitraumes</w:t>
      </w:r>
    </w:p>
    <w:p w:rsidR="00FE0098" w:rsidRDefault="00FE0098" w:rsidP="00FE0098">
      <w:pPr>
        <w:pStyle w:val="StandardWeb"/>
      </w:pPr>
      <w:r>
        <w:t>Der Quotient</w:t>
      </w:r>
    </w:p>
    <w:p w:rsidR="00FE0098" w:rsidRDefault="00FE0098" w:rsidP="00FE0098">
      <w:pPr>
        <w:pStyle w:val="StandardWeb"/>
      </w:pPr>
      <w:r>
        <w:t>[</w:t>
      </w:r>
      <w:r>
        <w:br/>
        <w:t>\Omega_F/\mathfrak G_F</w:t>
      </w:r>
      <w:r>
        <w:br/>
        <w:t>\tag{3.10709}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\Omega_F/\mathfrak G_F</w:t>
      </w:r>
    </w:p>
    <w:p w:rsidR="00FE0098" w:rsidRDefault="00FE0098" w:rsidP="00FE0098">
      <w:pPr>
        <w:pStyle w:val="StandardWeb"/>
      </w:pPr>
      <w:r>
        <w:t>wird durch die Orbitrelation erzeugt.</w:t>
      </w:r>
    </w:p>
    <w:p w:rsidR="00FE0098" w:rsidRDefault="00FE0098" w:rsidP="00FE0098">
      <w:pPr>
        <w:pStyle w:val="StandardWeb"/>
      </w:pPr>
      <w:r>
        <w:t>Damit gilt</w:t>
      </w:r>
    </w:p>
    <w:p w:rsidR="00FE0098" w:rsidRDefault="00FE0098" w:rsidP="00FE0098">
      <w:pPr>
        <w:pStyle w:val="berschrift1"/>
      </w:pPr>
      <w:r>
        <w:t>[</w:t>
      </w:r>
      <w:r>
        <w:br/>
        <w:t>\boxed{</w:t>
      </w:r>
      <w:r>
        <w:br/>
        <w:t>\operatorname{Stat}</w:t>
      </w:r>
      <w:r>
        <w:br/>
        <w:t>\left(</w:t>
      </w:r>
      <w:r>
        <w:br/>
        <w:t>\Omega_F/\mathfrak G_F</w:t>
      </w:r>
      <w:r>
        <w:br/>
        <w:t>\right)</w:t>
      </w:r>
    </w:p>
    <w:p w:rsidR="00FE0098" w:rsidRDefault="00FE0098" w:rsidP="00FE0098">
      <w:pPr>
        <w:pStyle w:val="StandardWeb"/>
      </w:pPr>
      <w:r>
        <w:t>\mathrm{Def/Der}.</w:t>
      </w:r>
      <w:r>
        <w:br/>
        <w:t>}</w:t>
      </w:r>
      <w:r>
        <w:br/>
        <w:t>\tag{3.10710}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\boxed{\operatorname{Stat}\left(\Omega_F/\mathfrak G_F\right)=\mathrm{Def/Der}.}</w:t>
      </w:r>
    </w:p>
    <w:p w:rsidR="00FE0098" w:rsidRDefault="00E50336" w:rsidP="00FE0098">
      <w:r>
        <w:pict>
          <v:rect id="_x0000_i3470" style="width:0;height:1.5pt" o:hralign="center" o:hrstd="t" o:hr="t" fillcolor="#a0a0a0" stroked="f"/>
        </w:pict>
      </w:r>
    </w:p>
    <w:p w:rsidR="00FE0098" w:rsidRDefault="00FE0098" w:rsidP="00FE0098">
      <w:pPr>
        <w:pStyle w:val="berschrift1"/>
      </w:pPr>
      <w:r>
        <w:t>3.3.45.374 Status des funktionalen Stabilisators</w:t>
      </w:r>
    </w:p>
    <w:p w:rsidR="00FE0098" w:rsidRDefault="00FE0098" w:rsidP="00FE0098">
      <w:pPr>
        <w:pStyle w:val="StandardWeb"/>
      </w:pPr>
      <w:r>
        <w:t>Die Menge</w:t>
      </w:r>
    </w:p>
    <w:p w:rsidR="00FE0098" w:rsidRDefault="00FE0098" w:rsidP="00FE0098">
      <w:pPr>
        <w:pStyle w:val="berschrift1"/>
      </w:pPr>
      <w:r>
        <w:t>[</w:t>
      </w:r>
      <w:r>
        <w:br/>
        <w:t>\operatorname{Stab}_F(z)</w:t>
      </w:r>
    </w:p>
    <w:p w:rsidR="00FE0098" w:rsidRDefault="00FE0098" w:rsidP="00FE0098">
      <w:pPr>
        <w:pStyle w:val="StandardWeb"/>
      </w:pPr>
      <w:r>
        <w:lastRenderedPageBreak/>
        <w:t>\left{</w:t>
      </w:r>
      <w:r>
        <w:br/>
        <w:t>S\in\mathfrak G_F:</w:t>
      </w:r>
      <w:r>
        <w:br/>
        <w:t>S(z)=z</w:t>
      </w:r>
      <w:r>
        <w:br/>
        <w:t>\right}</w:t>
      </w:r>
      <w:r>
        <w:br/>
        <w:t>\tag{3.10711}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\operatorname{Stab}_F(z)=\left\{S\in\mathfrak G_F:S(z)=z\right\}</w:t>
      </w:r>
    </w:p>
    <w:p w:rsidR="00FE0098" w:rsidRDefault="00FE0098" w:rsidP="00FE0098">
      <w:pPr>
        <w:pStyle w:val="StandardWeb"/>
      </w:pPr>
      <w:r>
        <w:t>ist definitorisch.</w:t>
      </w:r>
    </w:p>
    <w:p w:rsidR="00FE0098" w:rsidRDefault="00FE0098" w:rsidP="00FE0098">
      <w:pPr>
        <w:pStyle w:val="StandardWeb"/>
      </w:pPr>
      <w:r>
        <w:t>Dass sie eine Untergruppe bildet, wurde hergeleitet.</w:t>
      </w:r>
    </w:p>
    <w:p w:rsidR="00FE0098" w:rsidRDefault="00FE0098" w:rsidP="00FE0098">
      <w:pPr>
        <w:pStyle w:val="StandardWeb"/>
      </w:pPr>
      <w:r>
        <w:t>Somit gilt</w:t>
      </w:r>
    </w:p>
    <w:p w:rsidR="00FE0098" w:rsidRDefault="00FE0098" w:rsidP="00FE0098">
      <w:pPr>
        <w:pStyle w:val="berschrift1"/>
      </w:pPr>
      <w:r>
        <w:t>[</w:t>
      </w:r>
      <w:r>
        <w:br/>
        <w:t>\boxed{</w:t>
      </w:r>
      <w:r>
        <w:br/>
        <w:t>\operatorname{Stat}</w:t>
      </w:r>
      <w:r>
        <w:br/>
        <w:t>\left(</w:t>
      </w:r>
      <w:r>
        <w:br/>
        <w:t>\operatorname{Stab}_F</w:t>
      </w:r>
      <w:r>
        <w:br/>
        <w:t>\right)</w:t>
      </w:r>
    </w:p>
    <w:p w:rsidR="00FE0098" w:rsidRDefault="00FE0098" w:rsidP="00FE0098">
      <w:pPr>
        <w:pStyle w:val="StandardWeb"/>
      </w:pPr>
      <w:r>
        <w:t>\mathrm{Def/Der}.</w:t>
      </w:r>
      <w:r>
        <w:br/>
        <w:t>}</w:t>
      </w:r>
      <w:r>
        <w:br/>
        <w:t>\tag{3.10712}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\boxed{\operatorname{Stat}\left(\operatorname{Stab}_F\right)=\mathrm{Def/Der}.}</w:t>
      </w:r>
    </w:p>
    <w:p w:rsidR="00FE0098" w:rsidRDefault="00E50336" w:rsidP="00FE0098">
      <w:r>
        <w:pict>
          <v:rect id="_x0000_i3471" style="width:0;height:1.5pt" o:hralign="center" o:hrstd="t" o:hr="t" fillcolor="#a0a0a0" stroked="f"/>
        </w:pict>
      </w:r>
    </w:p>
    <w:p w:rsidR="00FE0098" w:rsidRDefault="00FE0098" w:rsidP="00FE0098">
      <w:pPr>
        <w:pStyle w:val="berschrift1"/>
      </w:pPr>
      <w:r>
        <w:t>3.3.45.375 Status des funktionalen Symmetriegrades</w:t>
      </w:r>
    </w:p>
    <w:p w:rsidR="00FE0098" w:rsidRDefault="00FE0098" w:rsidP="00FE0098">
      <w:pPr>
        <w:pStyle w:val="StandardWeb"/>
      </w:pPr>
      <w:r>
        <w:t>Für endliche Symmetriegruppen wurde</w:t>
      </w:r>
    </w:p>
    <w:p w:rsidR="00FE0098" w:rsidRDefault="00FE0098" w:rsidP="00FE0098">
      <w:pPr>
        <w:pStyle w:val="berschrift1"/>
      </w:pPr>
      <w:r>
        <w:t>[</w:t>
      </w:r>
      <w:r>
        <w:br/>
        <w:t>\sigma_F(z)</w:t>
      </w:r>
    </w:p>
    <w:p w:rsidR="00FE0098" w:rsidRDefault="00FE0098" w:rsidP="00FE0098">
      <w:pPr>
        <w:pStyle w:val="StandardWeb"/>
      </w:pPr>
      <w:r>
        <w:t>|\operatorname{Stab}_F(z)|</w:t>
      </w:r>
      <w:r>
        <w:br/>
        <w:t>\tag{3.10713}</w:t>
      </w:r>
      <w:r>
        <w:br/>
        <w:t>]</w:t>
      </w:r>
    </w:p>
    <w:p w:rsidR="00FE0098" w:rsidRDefault="00FE0098" w:rsidP="00FE0098">
      <w:pPr>
        <w:pStyle w:val="StandardWeb"/>
      </w:pPr>
      <w:r>
        <w:rPr>
          <w:rStyle w:val="Fett"/>
        </w:rPr>
        <w:lastRenderedPageBreak/>
        <w:t>Word-LaTeX</w:t>
      </w:r>
    </w:p>
    <w:p w:rsidR="00FE0098" w:rsidRDefault="00FE0098" w:rsidP="00FE0098">
      <w:pPr>
        <w:pStyle w:val="HTMLVorformatiert"/>
        <w:rPr>
          <w:rStyle w:val="HTMLCode"/>
        </w:rPr>
      </w:pPr>
      <w:r>
        <w:rPr>
          <w:rStyle w:val="HTMLCode"/>
        </w:rPr>
        <w:t>\sigma_F(z)=|\operatorname{Stab}_F(z)|</w:t>
      </w:r>
    </w:p>
    <w:p w:rsidR="00FE0098" w:rsidRDefault="00FE0098" w:rsidP="00FE0098">
      <w:pPr>
        <w:pStyle w:val="StandardWeb"/>
      </w:pPr>
      <w:r>
        <w:t>definiert.</w:t>
      </w:r>
    </w:p>
    <w:p w:rsidR="00FE0098" w:rsidRDefault="00FE0098" w:rsidP="00FE0098">
      <w:pPr>
        <w:pStyle w:val="StandardWeb"/>
      </w:pPr>
      <w:r>
        <w:t>Da die Größe vor allem als numerische Kennzahl verwendet wird, gilt</w:t>
      </w:r>
    </w:p>
    <w:p w:rsidR="00FE0098" w:rsidRDefault="00FE0098" w:rsidP="00FE0098">
      <w:pPr>
        <w:pStyle w:val="berschrift1"/>
      </w:pPr>
      <w:r>
        <w:t>[</w:t>
      </w:r>
      <w:r>
        <w:br/>
        <w:t>\boxed{</w:t>
      </w:r>
      <w:r>
        <w:br/>
        <w:t>\operatorname{Stat}(\sigma_F)</w:t>
      </w:r>
    </w:p>
    <w:p w:rsidR="00FE0098" w:rsidRDefault="00FE0098" w:rsidP="00FE0098">
      <w:pPr>
        <w:pStyle w:val="StandardWeb"/>
      </w:pPr>
      <w:r>
        <w:t>\mathrm{Def/Op}.</w:t>
      </w:r>
      <w:r>
        <w:br/>
        <w:t>}</w:t>
      </w:r>
      <w:r>
        <w:br/>
        <w:t>\tag{3.10714}</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\boxed{\operatorname{Stat}(\sigma_F)=\mathrm{Def/Op}.}</w:t>
      </w:r>
    </w:p>
    <w:p w:rsidR="00FE0098" w:rsidRDefault="00E50336" w:rsidP="00FE0098">
      <w:r>
        <w:pict>
          <v:rect id="_x0000_i3472" style="width:0;height:1.5pt" o:hralign="center" o:hrstd="t" o:hr="t" fillcolor="#a0a0a0" stroked="f"/>
        </w:pict>
      </w:r>
    </w:p>
    <w:p w:rsidR="00FE0098" w:rsidRDefault="00FE0098" w:rsidP="00FE0098">
      <w:pPr>
        <w:pStyle w:val="berschrift1"/>
      </w:pPr>
      <w:r>
        <w:t>3.3.45.376 Status der Orbit-Stabilisator-Beziehung</w:t>
      </w:r>
    </w:p>
    <w:p w:rsidR="00FE0098" w:rsidRDefault="00FE0098" w:rsidP="00FE0098">
      <w:pPr>
        <w:pStyle w:val="StandardWeb"/>
      </w:pPr>
      <w:r>
        <w:t>Für endliche Gruppen gilt</w:t>
      </w:r>
    </w:p>
    <w:p w:rsidR="00FE0098" w:rsidRDefault="00FE0098" w:rsidP="00FE0098">
      <w:pPr>
        <w:pStyle w:val="berschrift1"/>
      </w:pPr>
      <w:r>
        <w:t>[</w:t>
      </w:r>
      <w:r>
        <w:br/>
        <w:t>|\mathcal O_S(z)|</w:t>
      </w:r>
    </w:p>
    <w:p w:rsidR="00FE0098" w:rsidRDefault="00FE0098" w:rsidP="00FE0098">
      <w:pPr>
        <w:pStyle w:val="StandardWeb"/>
      </w:pPr>
      <w:r>
        <w:t>\frac{</w:t>
      </w:r>
      <w:r>
        <w:br/>
        <w:t>|\mathfrak G_F|</w:t>
      </w:r>
      <w:r>
        <w:br/>
        <w:t>}{</w:t>
      </w:r>
      <w:r>
        <w:br/>
        <w:t>|\operatorname{Stab}_F(z)|</w:t>
      </w:r>
      <w:r>
        <w:br/>
        <w:t>}.</w:t>
      </w:r>
      <w:r>
        <w:br/>
        <w:t>\tag{3.10715}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|\mathcal O_S(z)|=\frac{|\mathfrak G_F|}{|\operatorname{Stab}_F(z)|}</w:t>
      </w:r>
    </w:p>
    <w:p w:rsidR="00FE0098" w:rsidRDefault="00FE0098" w:rsidP="00FE0098">
      <w:pPr>
        <w:pStyle w:val="StandardWeb"/>
      </w:pPr>
      <w:r>
        <w:t>Diese Beziehung ist ein mathematisch abgeleiteter gruppentheoretischer Satz.</w:t>
      </w:r>
    </w:p>
    <w:p w:rsidR="00FE0098" w:rsidRDefault="00FE0098" w:rsidP="00FE0098">
      <w:pPr>
        <w:pStyle w:val="StandardWeb"/>
      </w:pPr>
      <w:r>
        <w:t>Daher</w:t>
      </w:r>
    </w:p>
    <w:p w:rsidR="00FE0098" w:rsidRDefault="00FE0098" w:rsidP="00FE0098">
      <w:pPr>
        <w:pStyle w:val="berschrift1"/>
      </w:pPr>
      <w:r>
        <w:lastRenderedPageBreak/>
        <w:t>[</w:t>
      </w:r>
      <w:r>
        <w:br/>
        <w:t>\boxed{</w:t>
      </w:r>
      <w:r>
        <w:br/>
        <w:t>\operatorname{Stat}</w:t>
      </w:r>
      <w:r>
        <w:br/>
        <w:t>\left(</w:t>
      </w:r>
      <w:r>
        <w:br/>
        <w:t>\text{Orbit-Stabilisator-Beziehung}</w:t>
      </w:r>
      <w:r>
        <w:br/>
        <w:t>\right)</w:t>
      </w:r>
    </w:p>
    <w:p w:rsidR="00FE0098" w:rsidRDefault="00FE0098" w:rsidP="00FE0098">
      <w:pPr>
        <w:pStyle w:val="StandardWeb"/>
      </w:pPr>
      <w:r>
        <w:t>\mathrm{Der}.</w:t>
      </w:r>
      <w:r>
        <w:br/>
        <w:t>}</w:t>
      </w:r>
      <w:r>
        <w:br/>
        <w:t>\tag{3.10716}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\boxed{\operatorname{Stat}\left(\text{Orbit-Stabilisator-Beziehung}\right)=\mathrm{Der}.}</w:t>
      </w:r>
    </w:p>
    <w:p w:rsidR="00FE0098" w:rsidRDefault="00E50336" w:rsidP="00FE0098">
      <w:r>
        <w:pict>
          <v:rect id="_x0000_i3473" style="width:0;height:1.5pt" o:hralign="center" o:hrstd="t" o:hr="t" fillcolor="#a0a0a0" stroked="f"/>
        </w:pict>
      </w:r>
    </w:p>
    <w:p w:rsidR="00FE0098" w:rsidRDefault="00FE0098" w:rsidP="00FE0098">
      <w:pPr>
        <w:pStyle w:val="berschrift1"/>
      </w:pPr>
      <w:r>
        <w:t>3.3.45.377 Status der komponentenerhaltenden Symmetriegruppe</w:t>
      </w:r>
    </w:p>
    <w:p w:rsidR="00FE0098" w:rsidRDefault="00FE0098" w:rsidP="00FE0098">
      <w:pPr>
        <w:pStyle w:val="StandardWeb"/>
      </w:pPr>
      <w:r>
        <w:t>Die Bedingung</w:t>
      </w:r>
    </w:p>
    <w:p w:rsidR="00FE0098" w:rsidRDefault="00FE0098" w:rsidP="00FE0098">
      <w:pPr>
        <w:pStyle w:val="berschrift1"/>
      </w:pPr>
      <w:r>
        <w:t>[</w:t>
      </w:r>
      <w:r>
        <w:br/>
        <w:t>\bar S</w:t>
      </w:r>
    </w:p>
    <w:p w:rsidR="00FE0098" w:rsidRDefault="00FE0098" w:rsidP="00FE0098">
      <w:pPr>
        <w:pStyle w:val="StandardWeb"/>
      </w:pPr>
      <w:r>
        <w:t>\operatorname{id}_{\mathcal C_F^{\pm}}</w:t>
      </w:r>
      <w:r>
        <w:br/>
        <w:t>\tag{3.10717}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\bar S=\operatorname{id}_{\mathcal C_F^{\pm}}</w:t>
      </w:r>
    </w:p>
    <w:p w:rsidR="00FE0098" w:rsidRDefault="00FE0098" w:rsidP="00FE0098">
      <w:pPr>
        <w:pStyle w:val="StandardWeb"/>
      </w:pPr>
      <w:r>
        <w:t>definiert die komponentenerhaltenden Symmetrien.</w:t>
      </w:r>
    </w:p>
    <w:p w:rsidR="00FE0098" w:rsidRDefault="00FE0098" w:rsidP="00FE0098">
      <w:pPr>
        <w:pStyle w:val="StandardWeb"/>
      </w:pPr>
      <w:r>
        <w:t>Somit gilt</w:t>
      </w:r>
    </w:p>
    <w:p w:rsidR="00FE0098" w:rsidRDefault="00FE0098" w:rsidP="00FE0098">
      <w:pPr>
        <w:pStyle w:val="berschrift1"/>
      </w:pPr>
      <w:r>
        <w:t>[</w:t>
      </w:r>
      <w:r>
        <w:br/>
        <w:t>\boxed{</w:t>
      </w:r>
      <w:r>
        <w:br/>
        <w:t>\operatorname{Stat}</w:t>
      </w:r>
      <w:r>
        <w:br/>
      </w:r>
      <w:r>
        <w:lastRenderedPageBreak/>
        <w:t>\left(</w:t>
      </w:r>
      <w:r>
        <w:br/>
        <w:t>\mathfrak G_F^{\mathrm{comp}}</w:t>
      </w:r>
      <w:r>
        <w:br/>
        <w:t>\right)</w:t>
      </w:r>
    </w:p>
    <w:p w:rsidR="00FE0098" w:rsidRDefault="00FE0098" w:rsidP="00FE0098">
      <w:pPr>
        <w:pStyle w:val="StandardWeb"/>
      </w:pPr>
      <w:r>
        <w:t>\mathrm{Def}.</w:t>
      </w:r>
      <w:r>
        <w:br/>
        <w:t>}</w:t>
      </w:r>
      <w:r>
        <w:br/>
        <w:t>\tag{3.10718}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\boxed{\operatorname{Stat}\left(\mathfrak G_F^{\mathrm{comp}}\right)=\mathrm{Def}.}</w:t>
      </w:r>
    </w:p>
    <w:p w:rsidR="00FE0098" w:rsidRDefault="00E50336" w:rsidP="00FE0098">
      <w:r>
        <w:pict>
          <v:rect id="_x0000_i3474" style="width:0;height:1.5pt" o:hralign="center" o:hrstd="t" o:hr="t" fillcolor="#a0a0a0" stroked="f"/>
        </w:pict>
      </w:r>
    </w:p>
    <w:p w:rsidR="00FE0098" w:rsidRDefault="00FE0098" w:rsidP="00FE0098">
      <w:pPr>
        <w:pStyle w:val="berschrift1"/>
      </w:pPr>
      <w:r>
        <w:t>3.3.45.378 Status kontinuierlicher Symmetrien</w:t>
      </w:r>
    </w:p>
    <w:p w:rsidR="00FE0098" w:rsidRDefault="00FE0098" w:rsidP="00FE0098">
      <w:pPr>
        <w:pStyle w:val="StandardWeb"/>
      </w:pPr>
      <w:r>
        <w:t>Eine kontinuierliche Symmetrie setzt zusätzliche topologische Strukturen voraus.</w:t>
      </w:r>
    </w:p>
    <w:p w:rsidR="00FE0098" w:rsidRDefault="00FE0098" w:rsidP="00FE0098">
      <w:pPr>
        <w:pStyle w:val="StandardWeb"/>
      </w:pPr>
      <w:r>
        <w:t>Daher gilt</w:t>
      </w:r>
    </w:p>
    <w:p w:rsidR="00FE0098" w:rsidRDefault="00FE0098" w:rsidP="00FE0098">
      <w:pPr>
        <w:pStyle w:val="berschrift1"/>
      </w:pPr>
      <w:r>
        <w:t>[</w:t>
      </w:r>
      <w:r>
        <w:br/>
        <w:t>\boxed{</w:t>
      </w:r>
      <w:r>
        <w:br/>
        <w:t>\operatorname{Stat}</w:t>
      </w:r>
      <w:r>
        <w:br/>
        <w:t>\left(</w:t>
      </w:r>
      <w:r>
        <w:br/>
        <w:t>\mathfrak G_F^{\mathrm{cont}}</w:t>
      </w:r>
      <w:r>
        <w:br/>
        <w:t>\right)</w:t>
      </w:r>
    </w:p>
    <w:p w:rsidR="00FE0098" w:rsidRDefault="00FE0098" w:rsidP="00FE0098">
      <w:pPr>
        <w:pStyle w:val="StandardWeb"/>
      </w:pPr>
      <w:r>
        <w:t>\mathrm{Mod}.</w:t>
      </w:r>
      <w:r>
        <w:br/>
        <w:t>}</w:t>
      </w:r>
      <w:r>
        <w:br/>
        <w:t>\tag{3.10719}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\boxed{\operatorname{Stat}\left(\mathfrak G_F^{\mathrm{cont}}\right)=\mathrm{Mod}.}</w:t>
      </w:r>
    </w:p>
    <w:p w:rsidR="00FE0098" w:rsidRDefault="00FE0098" w:rsidP="00FE0098">
      <w:pPr>
        <w:pStyle w:val="StandardWeb"/>
      </w:pPr>
      <w:r>
        <w:t>Die allgemeine FRZK-Struktur erzwingt keine kontinuierliche Gruppenstruktur.</w:t>
      </w:r>
    </w:p>
    <w:p w:rsidR="00FE0098" w:rsidRDefault="00E50336" w:rsidP="00FE0098">
      <w:r>
        <w:pict>
          <v:rect id="_x0000_i3475" style="width:0;height:1.5pt" o:hralign="center" o:hrstd="t" o:hr="t" fillcolor="#a0a0a0" stroked="f"/>
        </w:pict>
      </w:r>
    </w:p>
    <w:p w:rsidR="00FE0098" w:rsidRDefault="00FE0098" w:rsidP="00FE0098">
      <w:pPr>
        <w:pStyle w:val="berschrift1"/>
      </w:pPr>
      <w:r>
        <w:lastRenderedPageBreak/>
        <w:t>3.3.45.379 Status der differenzierbaren Symmetriestruktur</w:t>
      </w:r>
    </w:p>
    <w:p w:rsidR="00FE0098" w:rsidRDefault="00FE0098" w:rsidP="00FE0098">
      <w:pPr>
        <w:pStyle w:val="StandardWeb"/>
      </w:pPr>
      <w:r>
        <w:t>Für</w:t>
      </w:r>
    </w:p>
    <w:p w:rsidR="00FE0098" w:rsidRDefault="00FE0098" w:rsidP="00FE0098">
      <w:pPr>
        <w:pStyle w:val="StandardWeb"/>
      </w:pPr>
      <w:r>
        <w:t>[</w:t>
      </w:r>
      <w:r>
        <w:br/>
        <w:t>M_S^{\mathrm{diff}}</w:t>
      </w:r>
      <w:r>
        <w:br/>
        <w:t>\tag{3.10720}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M_S^{\mathrm{diff}}</w:t>
      </w:r>
    </w:p>
    <w:p w:rsidR="00FE0098" w:rsidRDefault="00FE0098" w:rsidP="00FE0098">
      <w:pPr>
        <w:pStyle w:val="StandardWeb"/>
      </w:pPr>
      <w:r>
        <w:t>gilt bereits ausdrücklich</w:t>
      </w:r>
    </w:p>
    <w:p w:rsidR="00FE0098" w:rsidRDefault="00FE0098" w:rsidP="00FE0098">
      <w:pPr>
        <w:pStyle w:val="berschrift1"/>
      </w:pPr>
      <w:r>
        <w:t>[</w:t>
      </w:r>
      <w:r>
        <w:br/>
        <w:t>\boxed{</w:t>
      </w:r>
      <w:r>
        <w:br/>
        <w:t>\operatorname{Stat}</w:t>
      </w:r>
      <w:r>
        <w:br/>
        <w:t>\left(</w:t>
      </w:r>
      <w:r>
        <w:br/>
        <w:t>M_S^{\mathrm{diff}}</w:t>
      </w:r>
      <w:r>
        <w:br/>
        <w:t>\right)</w:t>
      </w:r>
    </w:p>
    <w:p w:rsidR="00FE0098" w:rsidRDefault="00FE0098" w:rsidP="00FE0098">
      <w:pPr>
        <w:pStyle w:val="StandardWeb"/>
      </w:pPr>
      <w:r>
        <w:t>\mathrm{Mod}.</w:t>
      </w:r>
      <w:r>
        <w:br/>
        <w:t>}</w:t>
      </w:r>
      <w:r>
        <w:br/>
        <w:t>\tag{3.10721}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\boxed{\operatorname{Stat}\left(M_S^{\mathrm{diff}}\right)=\mathrm{Mod}.}</w:t>
      </w:r>
    </w:p>
    <w:p w:rsidR="00FE0098" w:rsidRDefault="00E50336" w:rsidP="00FE0098">
      <w:r>
        <w:pict>
          <v:rect id="_x0000_i3476" style="width:0;height:1.5pt" o:hralign="center" o:hrstd="t" o:hr="t" fillcolor="#a0a0a0" stroked="f"/>
        </w:pict>
      </w:r>
    </w:p>
    <w:p w:rsidR="00FE0098" w:rsidRDefault="00FE0098" w:rsidP="00FE0098">
      <w:pPr>
        <w:pStyle w:val="berschrift1"/>
      </w:pPr>
      <w:r>
        <w:t>3.3.45.380 Status des funktionalen Symmetriegenerators</w:t>
      </w:r>
    </w:p>
    <w:p w:rsidR="00FE0098" w:rsidRDefault="00FE0098" w:rsidP="00FE0098">
      <w:pPr>
        <w:pStyle w:val="StandardWeb"/>
      </w:pPr>
      <w:r>
        <w:t>Der Generator</w:t>
      </w:r>
    </w:p>
    <w:p w:rsidR="00FE0098" w:rsidRDefault="00FE0098" w:rsidP="00FE0098">
      <w:pPr>
        <w:pStyle w:val="berschrift1"/>
      </w:pPr>
      <w:r>
        <w:t>[</w:t>
      </w:r>
      <w:r>
        <w:br/>
        <w:t>X_F(z)</w:t>
      </w:r>
    </w:p>
    <w:p w:rsidR="00FE0098" w:rsidRDefault="00FE0098" w:rsidP="00FE0098">
      <w:pPr>
        <w:pStyle w:val="StandardWeb"/>
      </w:pPr>
      <w:r>
        <w:lastRenderedPageBreak/>
        <w:t>\left.</w:t>
      </w:r>
      <w:r>
        <w:br/>
        <w:t>\frac{d}{d\lambda}</w:t>
      </w:r>
      <w:r>
        <w:br/>
        <w:t>S_\lambda(z)</w:t>
      </w:r>
      <w:r>
        <w:br/>
        <w:t>\right|_{\lambda=0}</w:t>
      </w:r>
      <w:r>
        <w:br/>
        <w:t>\tag{3.10722}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X_F(z)=\left.\frac{d}{d\lambda}S_\lambda(z)\right|_{\lambda=0}</w:t>
      </w:r>
    </w:p>
    <w:p w:rsidR="00FE0098" w:rsidRDefault="00FE0098" w:rsidP="00FE0098">
      <w:pPr>
        <w:pStyle w:val="StandardWeb"/>
      </w:pPr>
      <w:r>
        <w:t>ist innerhalb einer differenzierbaren Symmetriemodellklasse definiert.</w:t>
      </w:r>
    </w:p>
    <w:p w:rsidR="00FE0098" w:rsidRDefault="00FE0098" w:rsidP="00FE0098">
      <w:pPr>
        <w:pStyle w:val="StandardWeb"/>
      </w:pPr>
      <w:r>
        <w:t>Daher gilt</w:t>
      </w:r>
    </w:p>
    <w:p w:rsidR="00FE0098" w:rsidRDefault="00FE0098" w:rsidP="00FE0098">
      <w:pPr>
        <w:pStyle w:val="berschrift1"/>
      </w:pPr>
      <w:r>
        <w:t>[</w:t>
      </w:r>
      <w:r>
        <w:br/>
        <w:t>\boxed{</w:t>
      </w:r>
      <w:r>
        <w:br/>
        <w:t>\operatorname{Stat}(X_F)</w:t>
      </w:r>
    </w:p>
    <w:p w:rsidR="00FE0098" w:rsidRDefault="00FE0098" w:rsidP="00FE0098">
      <w:pPr>
        <w:pStyle w:val="StandardWeb"/>
      </w:pPr>
      <w:r>
        <w:t>\mathrm{Def/Mod}.</w:t>
      </w:r>
      <w:r>
        <w:br/>
        <w:t>}</w:t>
      </w:r>
      <w:r>
        <w:br/>
        <w:t>\tag{3.10723}</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\boxed{\operatorname{Stat}(X_F)=\mathrm{Def/Mod}.}</w:t>
      </w:r>
    </w:p>
    <w:p w:rsidR="00FE0098" w:rsidRDefault="00E50336" w:rsidP="00FE0098">
      <w:r>
        <w:pict>
          <v:rect id="_x0000_i3477" style="width:0;height:1.5pt" o:hralign="center" o:hrstd="t" o:hr="t" fillcolor="#a0a0a0" stroked="f"/>
        </w:pict>
      </w:r>
    </w:p>
    <w:p w:rsidR="00FE0098" w:rsidRDefault="00FE0098" w:rsidP="00FE0098">
      <w:pPr>
        <w:pStyle w:val="berschrift1"/>
      </w:pPr>
      <w:r>
        <w:t>3.3.45.381 Status der Variationsstruktur</w:t>
      </w:r>
    </w:p>
    <w:p w:rsidR="00FE0098" w:rsidRDefault="00FE0098" w:rsidP="00FE0098">
      <w:pPr>
        <w:pStyle w:val="StandardWeb"/>
      </w:pPr>
      <w:r>
        <w:t>Die Forderung</w:t>
      </w:r>
    </w:p>
    <w:p w:rsidR="00FE0098" w:rsidRDefault="00FE0098" w:rsidP="00FE0098">
      <w:pPr>
        <w:pStyle w:val="StandardWeb"/>
      </w:pPr>
      <w:r>
        <w:t>[</w:t>
      </w:r>
      <w:r>
        <w:br/>
        <w:t>\delta\mathcal A_F=0</w:t>
      </w:r>
      <w:r>
        <w:br/>
        <w:t>\tag{3.10724}</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\delta\mathcal A_F=0</w:t>
      </w:r>
    </w:p>
    <w:p w:rsidR="00FE0098" w:rsidRDefault="00FE0098" w:rsidP="00FE0098">
      <w:pPr>
        <w:pStyle w:val="StandardWeb"/>
      </w:pPr>
      <w:r>
        <w:t>setzt eine zusätzliche Funktional- und Variationsstruktur voraus.</w:t>
      </w:r>
    </w:p>
    <w:p w:rsidR="00FE0098" w:rsidRDefault="00FE0098" w:rsidP="00FE0098">
      <w:pPr>
        <w:pStyle w:val="StandardWeb"/>
      </w:pPr>
      <w:r>
        <w:t>Damit gilt</w:t>
      </w:r>
    </w:p>
    <w:p w:rsidR="00FE0098" w:rsidRDefault="00FE0098" w:rsidP="00FE0098">
      <w:pPr>
        <w:pStyle w:val="berschrift1"/>
      </w:pPr>
      <w:r>
        <w:lastRenderedPageBreak/>
        <w:t>[</w:t>
      </w:r>
      <w:r>
        <w:br/>
        <w:t>\boxed{</w:t>
      </w:r>
      <w:r>
        <w:br/>
        <w:t>\operatorname{Stat}(M_V)</w:t>
      </w:r>
    </w:p>
    <w:p w:rsidR="00FE0098" w:rsidRDefault="00FE0098" w:rsidP="00FE0098">
      <w:pPr>
        <w:pStyle w:val="StandardWeb"/>
      </w:pPr>
      <w:r>
        <w:t>\mathrm{Mod}.</w:t>
      </w:r>
      <w:r>
        <w:br/>
        <w:t>}</w:t>
      </w:r>
      <w:r>
        <w:br/>
        <w:t>\tag{3.10725}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\boxed{\operatorname{Stat}(M_V)=\mathrm{Mod}.}</w:t>
      </w:r>
    </w:p>
    <w:p w:rsidR="00FE0098" w:rsidRDefault="00FE0098" w:rsidP="00FE0098">
      <w:pPr>
        <w:pStyle w:val="StandardWeb"/>
      </w:pPr>
      <w:r>
        <w:t>und</w:t>
      </w:r>
    </w:p>
    <w:p w:rsidR="00FE0098" w:rsidRDefault="00FE0098" w:rsidP="00FE0098">
      <w:pPr>
        <w:pStyle w:val="StandardWeb"/>
      </w:pPr>
      <w:r>
        <w:t>[</w:t>
      </w:r>
      <w:r>
        <w:br/>
        <w:t>U_{\mathrm{Ax}}(M_V)=0.</w:t>
      </w:r>
      <w:r>
        <w:br/>
        <w:t>\tag{3.10726}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U_{\mathrm{Ax}}(M_V)=0</w:t>
      </w:r>
    </w:p>
    <w:p w:rsidR="00FE0098" w:rsidRDefault="00E50336" w:rsidP="00FE0098">
      <w:r>
        <w:pict>
          <v:rect id="_x0000_i3478" style="width:0;height:1.5pt" o:hralign="center" o:hrstd="t" o:hr="t" fillcolor="#a0a0a0" stroked="f"/>
        </w:pict>
      </w:r>
    </w:p>
    <w:p w:rsidR="00FE0098" w:rsidRDefault="00FE0098" w:rsidP="00FE0098">
      <w:pPr>
        <w:pStyle w:val="berschrift1"/>
      </w:pPr>
      <w:r>
        <w:t>3.3.45.382 Status der Noether-artigen Voraussetzungskette</w:t>
      </w:r>
    </w:p>
    <w:p w:rsidR="00FE0098" w:rsidRDefault="00FE0098" w:rsidP="00FE0098">
      <w:pPr>
        <w:pStyle w:val="StandardWeb"/>
      </w:pPr>
      <w:r>
        <w:t>Die Struktur</w:t>
      </w:r>
    </w:p>
    <w:p w:rsidR="00FE0098" w:rsidRDefault="00FE0098" w:rsidP="00FE0098">
      <w:pPr>
        <w:pStyle w:val="berschrift1"/>
      </w:pPr>
      <w:r>
        <w:t>[</w:t>
      </w:r>
      <w:r>
        <w:br/>
        <w:t>\mathfrak N_F</w:t>
      </w:r>
    </w:p>
    <w:p w:rsidR="00FE0098" w:rsidRDefault="00FE0098" w:rsidP="00FE0098">
      <w:pPr>
        <w:pStyle w:val="StandardWeb"/>
      </w:pPr>
      <w:r>
        <w:t>\left(</w:t>
      </w:r>
      <w:r>
        <w:br/>
        <w:t>M_S^{\mathrm{diff}},</w:t>
      </w:r>
      <w:r>
        <w:br/>
        <w:t>M_V,</w:t>
      </w:r>
      <w:r>
        <w:br/>
        <w:t>M_D,</w:t>
      </w:r>
      <w:r>
        <w:br/>
        <w:t>M_{\mathrm{sym}},</w:t>
      </w:r>
      <w:r>
        <w:br/>
        <w:t>M_{\mathrm{der}}</w:t>
      </w:r>
      <w:r>
        <w:br/>
        <w:t>\right)</w:t>
      </w:r>
      <w:r>
        <w:br/>
        <w:t>\tag{3.10727}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lastRenderedPageBreak/>
        <w:t>\mathfrak N_F=\left(M_S^{\mathrm{diff}},M_V,M_D,M_{\mathrm{sym}},M_{\mathrm{der}}\right)</w:t>
      </w:r>
    </w:p>
    <w:p w:rsidR="00FE0098" w:rsidRDefault="00FE0098" w:rsidP="00FE0098">
      <w:pPr>
        <w:pStyle w:val="StandardWeb"/>
      </w:pPr>
      <w:r>
        <w:t>ist eine definitorische Zusammenfassung modellabhängiger Voraussetzungen.</w:t>
      </w:r>
    </w:p>
    <w:p w:rsidR="00FE0098" w:rsidRDefault="00FE0098" w:rsidP="00FE0098">
      <w:pPr>
        <w:pStyle w:val="StandardWeb"/>
      </w:pPr>
      <w:r>
        <w:t>Damit gilt</w:t>
      </w:r>
    </w:p>
    <w:p w:rsidR="00FE0098" w:rsidRDefault="00FE0098" w:rsidP="00FE0098">
      <w:pPr>
        <w:pStyle w:val="berschrift1"/>
      </w:pPr>
      <w:r>
        <w:t>[</w:t>
      </w:r>
      <w:r>
        <w:br/>
        <w:t>\boxed{</w:t>
      </w:r>
      <w:r>
        <w:br/>
        <w:t>\operatorname{Stat}</w:t>
      </w:r>
      <w:r>
        <w:br/>
        <w:t>\left(</w:t>
      </w:r>
      <w:r>
        <w:br/>
        <w:t>\mathfrak N_F</w:t>
      </w:r>
      <w:r>
        <w:br/>
        <w:t>\right)</w:t>
      </w:r>
    </w:p>
    <w:p w:rsidR="00FE0098" w:rsidRDefault="00FE0098" w:rsidP="00FE0098">
      <w:pPr>
        <w:pStyle w:val="StandardWeb"/>
      </w:pPr>
      <w:r>
        <w:t>\mathrm{Def/Mod}.</w:t>
      </w:r>
      <w:r>
        <w:br/>
        <w:t>}</w:t>
      </w:r>
      <w:r>
        <w:br/>
        <w:t>\tag{3.10728}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\boxed{\operatorname{Stat}\left(\mathfrak N_F\right)=\mathrm{Def/Mod}.}</w:t>
      </w:r>
    </w:p>
    <w:p w:rsidR="00FE0098" w:rsidRDefault="00E50336" w:rsidP="00FE0098">
      <w:r>
        <w:pict>
          <v:rect id="_x0000_i3479" style="width:0;height:1.5pt" o:hralign="center" o:hrstd="t" o:hr="t" fillcolor="#a0a0a0" stroked="f"/>
        </w:pict>
      </w:r>
    </w:p>
    <w:p w:rsidR="00FE0098" w:rsidRDefault="00FE0098" w:rsidP="00FE0098">
      <w:pPr>
        <w:pStyle w:val="berschrift1"/>
      </w:pPr>
      <w:r>
        <w:t>3.3.45.383 Status einer Noether-artigen FRZK-Beziehung</w:t>
      </w:r>
    </w:p>
    <w:p w:rsidR="00FE0098" w:rsidRDefault="00FE0098" w:rsidP="00FE0098">
      <w:pPr>
        <w:pStyle w:val="StandardWeb"/>
      </w:pPr>
      <w:r>
        <w:t>Eine Beziehung</w:t>
      </w:r>
    </w:p>
    <w:p w:rsidR="00FE0098" w:rsidRDefault="00FE0098" w:rsidP="00FE0098">
      <w:pPr>
        <w:pStyle w:val="StandardWeb"/>
      </w:pPr>
      <w:r>
        <w:t>[</w:t>
      </w:r>
      <w:r>
        <w:br/>
        <w:t>\text{Symmetrie}</w:t>
      </w:r>
      <w:r>
        <w:br/>
        <w:t>\Rightarrow</w:t>
      </w:r>
      <w:r>
        <w:br/>
        <w:t>\text{Erhaltungsrelation}</w:t>
      </w:r>
      <w:r>
        <w:br/>
        <w:t>\tag{3.10729}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\text{Symmetrie}\Rightarrow\text{Erhaltungsrelation}</w:t>
      </w:r>
    </w:p>
    <w:p w:rsidR="00FE0098" w:rsidRDefault="00FE0098" w:rsidP="00FE0098">
      <w:pPr>
        <w:pStyle w:val="StandardWeb"/>
      </w:pPr>
      <w:r>
        <w:t>wurde im allgemeinen FRZK-Rahmen nicht hergeleitet.</w:t>
      </w:r>
    </w:p>
    <w:p w:rsidR="00FE0098" w:rsidRDefault="00FE0098" w:rsidP="00FE0098">
      <w:pPr>
        <w:pStyle w:val="StandardWeb"/>
      </w:pPr>
      <w:r>
        <w:t>Daher gilt</w:t>
      </w:r>
    </w:p>
    <w:p w:rsidR="00FE0098" w:rsidRDefault="00FE0098" w:rsidP="00FE0098">
      <w:pPr>
        <w:pStyle w:val="berschrift1"/>
      </w:pPr>
      <w:r>
        <w:lastRenderedPageBreak/>
        <w:t>[</w:t>
      </w:r>
      <w:r>
        <w:br/>
        <w:t>\boxed{</w:t>
      </w:r>
      <w:r>
        <w:br/>
        <w:t>\operatorname{Stat}(N_F)</w:t>
      </w:r>
    </w:p>
    <w:p w:rsidR="00FE0098" w:rsidRDefault="00FE0098" w:rsidP="00FE0098">
      <w:pPr>
        <w:pStyle w:val="StandardWeb"/>
      </w:pPr>
      <w:r>
        <w:t>\mathrm{offen}</w:t>
      </w:r>
      <w:r>
        <w:br/>
        <w:t>}</w:t>
      </w:r>
      <w:r>
        <w:br/>
        <w:t>\tag{3.10730}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\boxed{\operatorname{Stat}(N_F)=\mathrm{offen}}</w:t>
      </w:r>
    </w:p>
    <w:p w:rsidR="00FE0098" w:rsidRDefault="00FE0098" w:rsidP="00FE0098">
      <w:pPr>
        <w:pStyle w:val="StandardWeb"/>
      </w:pPr>
      <w:r>
        <w:t>und zugleich</w:t>
      </w:r>
    </w:p>
    <w:p w:rsidR="00FE0098" w:rsidRDefault="00FE0098" w:rsidP="00FE0098">
      <w:pPr>
        <w:pStyle w:val="StandardWeb"/>
      </w:pPr>
      <w:r>
        <w:t>[</w:t>
      </w:r>
      <w:r>
        <w:br/>
        <w:t>\boxed{</w:t>
      </w:r>
      <w:r>
        <w:br/>
        <w:t>U_{\mathrm{Ax}}(N_F)=0.</w:t>
      </w:r>
      <w:r>
        <w:br/>
        <w:t>}</w:t>
      </w:r>
      <w:r>
        <w:br/>
        <w:t>\tag{3.10731}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\boxed{U_{\mathrm{Ax}}(N_F)=0.}</w:t>
      </w:r>
    </w:p>
    <w:p w:rsidR="00FE0098" w:rsidRDefault="00FE0098" w:rsidP="00FE0098">
      <w:pPr>
        <w:pStyle w:val="StandardWeb"/>
      </w:pPr>
      <w:r>
        <w:t>Eine spätere Herleitung innerhalb spezieller Modellklassen würde (N_F) gegebenenfalls zu einem Satz, nicht zu einem Primäraxiom machen.</w:t>
      </w:r>
    </w:p>
    <w:p w:rsidR="00FE0098" w:rsidRDefault="00E50336" w:rsidP="00FE0098">
      <w:r>
        <w:pict>
          <v:rect id="_x0000_i3480" style="width:0;height:1.5pt" o:hralign="center" o:hrstd="t" o:hr="t" fillcolor="#a0a0a0" stroked="f"/>
        </w:pict>
      </w:r>
    </w:p>
    <w:p w:rsidR="00FE0098" w:rsidRDefault="00FE0098" w:rsidP="00FE0098">
      <w:pPr>
        <w:pStyle w:val="berschrift1"/>
      </w:pPr>
      <w:r>
        <w:t>3.3.45.384 Status kohärenzerhaltender Symmetrien</w:t>
      </w:r>
    </w:p>
    <w:p w:rsidR="00FE0098" w:rsidRDefault="00FE0098" w:rsidP="00FE0098">
      <w:pPr>
        <w:pStyle w:val="StandardWeb"/>
      </w:pPr>
      <w:r>
        <w:t>Die Bedingung</w:t>
      </w:r>
    </w:p>
    <w:p w:rsidR="00FE0098" w:rsidRDefault="00FE0098" w:rsidP="00FE0098">
      <w:pPr>
        <w:pStyle w:val="StandardWeb"/>
      </w:pPr>
      <w:r>
        <w:t>[</w:t>
      </w:r>
      <w:r>
        <w:br/>
        <w:t>C_F(Sz)=C_F(z)</w:t>
      </w:r>
      <w:r>
        <w:br/>
        <w:t>\tag{3.10732}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C_F(Sz)=C_F(z)</w:t>
      </w:r>
    </w:p>
    <w:p w:rsidR="00FE0098" w:rsidRDefault="00FE0098" w:rsidP="00FE0098">
      <w:pPr>
        <w:pStyle w:val="StandardWeb"/>
      </w:pPr>
      <w:r>
        <w:t>definiert die kohärenzerhaltende Symmetrie.</w:t>
      </w:r>
    </w:p>
    <w:p w:rsidR="00FE0098" w:rsidRDefault="00FE0098" w:rsidP="00FE0098">
      <w:pPr>
        <w:pStyle w:val="StandardWeb"/>
      </w:pPr>
      <w:r>
        <w:t>Daher gilt</w:t>
      </w:r>
    </w:p>
    <w:p w:rsidR="00FE0098" w:rsidRDefault="00FE0098" w:rsidP="00FE0098">
      <w:pPr>
        <w:pStyle w:val="berschrift1"/>
      </w:pPr>
      <w:r>
        <w:lastRenderedPageBreak/>
        <w:t>[</w:t>
      </w:r>
      <w:r>
        <w:br/>
        <w:t>\boxed{</w:t>
      </w:r>
      <w:r>
        <w:br/>
        <w:t>\operatorname{Stat}</w:t>
      </w:r>
      <w:r>
        <w:br/>
        <w:t>\left(</w:t>
      </w:r>
      <w:r>
        <w:br/>
        <w:t>\mathfrak G_F^C</w:t>
      </w:r>
      <w:r>
        <w:br/>
        <w:t>\right)</w:t>
      </w:r>
    </w:p>
    <w:p w:rsidR="00FE0098" w:rsidRDefault="00FE0098" w:rsidP="00FE0098">
      <w:pPr>
        <w:pStyle w:val="StandardWeb"/>
      </w:pPr>
      <w:r>
        <w:t>\mathrm{Def/Mod}.</w:t>
      </w:r>
      <w:r>
        <w:br/>
        <w:t>}</w:t>
      </w:r>
      <w:r>
        <w:br/>
        <w:t>\tag{3.10733}</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\boxed{\operatorname{Stat}\left(\mathfrak G_F^C\right)=\mathrm{Def/Mod}.}</w:t>
      </w:r>
    </w:p>
    <w:p w:rsidR="00FE0098" w:rsidRDefault="00FE0098" w:rsidP="00FE0098">
      <w:pPr>
        <w:pStyle w:val="StandardWeb"/>
      </w:pPr>
      <w:r>
        <w:t>Der definitorische Anteil betrifft die Auswahl der Untergruppe; ihre Nichttrivialität ist modellabhängig.</w:t>
      </w:r>
    </w:p>
    <w:p w:rsidR="00FE0098" w:rsidRDefault="00E50336" w:rsidP="00FE0098">
      <w:r>
        <w:pict>
          <v:rect id="_x0000_i3481" style="width:0;height:1.5pt" o:hralign="center" o:hrstd="t" o:hr="t" fillcolor="#a0a0a0" stroked="f"/>
        </w:pict>
      </w:r>
    </w:p>
    <w:p w:rsidR="00FE0098" w:rsidRDefault="00FE0098" w:rsidP="00FE0098">
      <w:pPr>
        <w:pStyle w:val="berschrift1"/>
      </w:pPr>
      <w:r>
        <w:t>3.3.45.385 Status der absoluten Invarianzabweichung</w:t>
      </w:r>
    </w:p>
    <w:p w:rsidR="00FE0098" w:rsidRDefault="00FE0098" w:rsidP="00FE0098">
      <w:pPr>
        <w:pStyle w:val="StandardWeb"/>
      </w:pPr>
      <w:r>
        <w:t>Für</w:t>
      </w:r>
    </w:p>
    <w:p w:rsidR="00FE0098" w:rsidRDefault="00FE0098" w:rsidP="00FE0098">
      <w:pPr>
        <w:pStyle w:val="berschrift1"/>
      </w:pPr>
      <w:r>
        <w:t>[</w:t>
      </w:r>
      <w:r>
        <w:br/>
        <w:t>\Delta_I(z_i,z_j)</w:t>
      </w:r>
    </w:p>
    <w:p w:rsidR="00FE0098" w:rsidRDefault="00FE0098" w:rsidP="00FE0098">
      <w:pPr>
        <w:pStyle w:val="StandardWeb"/>
      </w:pPr>
      <w:r>
        <w:t>|I_F(z_j)-I_F(z_i)|</w:t>
      </w:r>
      <w:r>
        <w:br/>
        <w:t>\tag{3.10734}</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\Delta_I(z_i,z_j)=|I_F(z_j)-I_F(z_i)|</w:t>
      </w:r>
    </w:p>
    <w:p w:rsidR="00FE0098" w:rsidRDefault="00FE0098" w:rsidP="00FE0098">
      <w:pPr>
        <w:pStyle w:val="StandardWeb"/>
      </w:pPr>
      <w:r>
        <w:t>gilt</w:t>
      </w:r>
    </w:p>
    <w:p w:rsidR="00FE0098" w:rsidRDefault="00FE0098" w:rsidP="00FE0098">
      <w:pPr>
        <w:pStyle w:val="berschrift1"/>
      </w:pPr>
      <w:r>
        <w:t>[</w:t>
      </w:r>
      <w:r>
        <w:br/>
        <w:t>\boxed{</w:t>
      </w:r>
      <w:r>
        <w:br/>
        <w:t>\operatorname{Stat}(\Delta_I)</w:t>
      </w:r>
    </w:p>
    <w:p w:rsidR="00FE0098" w:rsidRDefault="00FE0098" w:rsidP="00FE0098">
      <w:pPr>
        <w:pStyle w:val="StandardWeb"/>
      </w:pPr>
      <w:r>
        <w:lastRenderedPageBreak/>
        <w:t>\mathrm{Def/Op}.</w:t>
      </w:r>
      <w:r>
        <w:br/>
        <w:t>}</w:t>
      </w:r>
      <w:r>
        <w:br/>
        <w:t>\tag{3.10735}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\boxed{\operatorname{Stat}(\Delta_I)=\mathrm{Def/Op}.}</w:t>
      </w:r>
    </w:p>
    <w:p w:rsidR="00FE0098" w:rsidRDefault="00FE0098" w:rsidP="00FE0098">
      <w:pPr>
        <w:pStyle w:val="StandardWeb"/>
      </w:pPr>
      <w:r>
        <w:t>Die mathematische Größe ist definiert, ihre praktische Verwendung dient der Operationalisierung.</w:t>
      </w:r>
    </w:p>
    <w:p w:rsidR="00FE0098" w:rsidRDefault="00E50336" w:rsidP="00FE0098">
      <w:r>
        <w:pict>
          <v:rect id="_x0000_i3482" style="width:0;height:1.5pt" o:hralign="center" o:hrstd="t" o:hr="t" fillcolor="#a0a0a0" stroked="f"/>
        </w:pict>
      </w:r>
    </w:p>
    <w:p w:rsidR="00FE0098" w:rsidRDefault="00FE0098" w:rsidP="00FE0098">
      <w:pPr>
        <w:pStyle w:val="berschrift1"/>
      </w:pPr>
      <w:r>
        <w:t>3.3.45.386 Status der (\varepsilon)-Invarianz</w:t>
      </w:r>
    </w:p>
    <w:p w:rsidR="00FE0098" w:rsidRDefault="00FE0098" w:rsidP="00FE0098">
      <w:pPr>
        <w:pStyle w:val="StandardWeb"/>
      </w:pPr>
      <w:r>
        <w:t>Die Bedingung</w:t>
      </w:r>
    </w:p>
    <w:p w:rsidR="00FE0098" w:rsidRDefault="00FE0098" w:rsidP="00FE0098">
      <w:pPr>
        <w:pStyle w:val="StandardWeb"/>
      </w:pPr>
      <w:r>
        <w:t>[</w:t>
      </w:r>
      <w:r>
        <w:br/>
        <w:t>\Delta_I</w:t>
      </w:r>
      <w:r>
        <w:br/>
        <w:t>\leq</w:t>
      </w:r>
      <w:r>
        <w:br/>
        <w:t>\varepsilon_I</w:t>
      </w:r>
      <w:r>
        <w:br/>
        <w:t>\tag{3.10736}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\Delta_I\leq\varepsilon_I</w:t>
      </w:r>
    </w:p>
    <w:p w:rsidR="00FE0098" w:rsidRDefault="00FE0098" w:rsidP="00FE0098">
      <w:pPr>
        <w:pStyle w:val="StandardWeb"/>
      </w:pPr>
      <w:r>
        <w:t>definiert approximative Invarianz.</w:t>
      </w:r>
    </w:p>
    <w:p w:rsidR="00FE0098" w:rsidRDefault="00FE0098" w:rsidP="00FE0098">
      <w:pPr>
        <w:pStyle w:val="StandardWeb"/>
      </w:pPr>
      <w:r>
        <w:t>Damit gilt</w:t>
      </w:r>
    </w:p>
    <w:p w:rsidR="00FE0098" w:rsidRDefault="00FE0098" w:rsidP="00FE0098">
      <w:pPr>
        <w:pStyle w:val="berschrift1"/>
      </w:pPr>
      <w:r>
        <w:t>[</w:t>
      </w:r>
      <w:r>
        <w:br/>
        <w:t>\boxed{</w:t>
      </w:r>
      <w:r>
        <w:br/>
        <w:t>\operatorname{Stat}</w:t>
      </w:r>
      <w:r>
        <w:br/>
        <w:t>\left(</w:t>
      </w:r>
      <w:r>
        <w:br/>
        <w:t>\mathcal I_F^{(\varepsilon)}</w:t>
      </w:r>
      <w:r>
        <w:br/>
        <w:t>\right)</w:t>
      </w:r>
    </w:p>
    <w:p w:rsidR="00FE0098" w:rsidRDefault="00FE0098" w:rsidP="00FE0098">
      <w:pPr>
        <w:pStyle w:val="StandardWeb"/>
      </w:pPr>
      <w:r>
        <w:t>\mathrm{Def}.</w:t>
      </w:r>
      <w:r>
        <w:br/>
        <w:t>}</w:t>
      </w:r>
      <w:r>
        <w:br/>
        <w:t>\tag{3.10737}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lastRenderedPageBreak/>
        <w:t>\boxed{\operatorname{Stat}\left(\mathcal I_F^{(\varepsilon)}\right)=\mathrm{Def}.}</w:t>
      </w:r>
    </w:p>
    <w:p w:rsidR="00FE0098" w:rsidRDefault="00FE0098" w:rsidP="00FE0098">
      <w:pPr>
        <w:pStyle w:val="StandardWeb"/>
      </w:pPr>
      <w:r>
        <w:t>Die Wahl von (\varepsilon_I) ist dagegen nicht Teil dieser Definition.</w:t>
      </w:r>
    </w:p>
    <w:p w:rsidR="00FE0098" w:rsidRDefault="00E50336" w:rsidP="00FE0098">
      <w:r>
        <w:pict>
          <v:rect id="_x0000_i3483" style="width:0;height:1.5pt" o:hralign="center" o:hrstd="t" o:hr="t" fillcolor="#a0a0a0" stroked="f"/>
        </w:pict>
      </w:r>
    </w:p>
    <w:p w:rsidR="00FE0098" w:rsidRDefault="00FE0098" w:rsidP="00FE0098">
      <w:pPr>
        <w:pStyle w:val="berschrift1"/>
      </w:pPr>
      <w:r>
        <w:t>3.3.45.387 Status des Toleranzparameters</w:t>
      </w:r>
    </w:p>
    <w:p w:rsidR="00FE0098" w:rsidRDefault="00FE0098" w:rsidP="00FE0098">
      <w:pPr>
        <w:pStyle w:val="StandardWeb"/>
      </w:pPr>
      <w:r>
        <w:t>Für den Toleranzparameter gilt endgültig</w:t>
      </w:r>
    </w:p>
    <w:p w:rsidR="00FE0098" w:rsidRDefault="00FE0098" w:rsidP="00FE0098">
      <w:pPr>
        <w:pStyle w:val="berschrift1"/>
      </w:pPr>
      <w:r>
        <w:t>[</w:t>
      </w:r>
      <w:r>
        <w:br/>
        <w:t>\boxed{</w:t>
      </w:r>
      <w:r>
        <w:br/>
        <w:t>\operatorname{Stat}(\varepsilon_I)</w:t>
      </w:r>
    </w:p>
    <w:p w:rsidR="00FE0098" w:rsidRDefault="00FE0098" w:rsidP="00FE0098">
      <w:pPr>
        <w:pStyle w:val="StandardWeb"/>
      </w:pPr>
      <w:r>
        <w:t>\mathrm{Op/Mod}.</w:t>
      </w:r>
      <w:r>
        <w:br/>
        <w:t>}</w:t>
      </w:r>
      <w:r>
        <w:br/>
        <w:t>\tag{3.10738}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\boxed{\operatorname{Stat}(\varepsilon_I)=\mathrm{Op/Mod}.}</w:t>
      </w:r>
    </w:p>
    <w:p w:rsidR="00FE0098" w:rsidRDefault="00FE0098" w:rsidP="00FE0098">
      <w:pPr>
        <w:pStyle w:val="StandardWeb"/>
      </w:pPr>
      <w:r>
        <w:t>Er kann aus einer empirischen Messauflösung, numerischen Genauigkeit oder modellabhängigen Akzeptanzgrenze stammen.</w:t>
      </w:r>
    </w:p>
    <w:p w:rsidR="00FE0098" w:rsidRDefault="00E50336" w:rsidP="00FE0098">
      <w:r>
        <w:pict>
          <v:rect id="_x0000_i3484" style="width:0;height:1.5pt" o:hralign="center" o:hrstd="t" o:hr="t" fillcolor="#a0a0a0" stroked="f"/>
        </w:pict>
      </w:r>
    </w:p>
    <w:p w:rsidR="00FE0098" w:rsidRDefault="00FE0098" w:rsidP="00FE0098">
      <w:pPr>
        <w:pStyle w:val="berschrift1"/>
      </w:pPr>
      <w:r>
        <w:t>3.3.45.388 Status relativer und normierter Abweichungen</w:t>
      </w:r>
    </w:p>
    <w:p w:rsidR="00FE0098" w:rsidRDefault="00FE0098" w:rsidP="00FE0098">
      <w:pPr>
        <w:pStyle w:val="StandardWeb"/>
      </w:pPr>
      <w:r>
        <w:t>Für</w:t>
      </w:r>
    </w:p>
    <w:p w:rsidR="00FE0098" w:rsidRDefault="00FE0098" w:rsidP="00FE0098">
      <w:pPr>
        <w:pStyle w:val="StandardWeb"/>
      </w:pPr>
      <w:r>
        <w:t>[</w:t>
      </w:r>
      <w:r>
        <w:br/>
        <w:t>\delta_I^{\mathrm{rel}},</w:t>
      </w:r>
      <w:r>
        <w:br/>
        <w:t>\qquad</w:t>
      </w:r>
      <w:r>
        <w:br/>
        <w:t>\delta_I^{\mathrm{sym}},</w:t>
      </w:r>
      <w:r>
        <w:br/>
        <w:t>\qquad</w:t>
      </w:r>
      <w:r>
        <w:br/>
        <w:t>\Delta_I^{|\cdot|}</w:t>
      </w:r>
      <w:r>
        <w:br/>
        <w:t>\tag{3.10739}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\delta_I^{\mathrm{rel}},\qquad\delta_I^{\mathrm{sym}},\qquad\Delta_I^{\|\cdot\|}</w:t>
      </w:r>
    </w:p>
    <w:p w:rsidR="00FE0098" w:rsidRDefault="00FE0098" w:rsidP="00FE0098">
      <w:pPr>
        <w:pStyle w:val="StandardWeb"/>
      </w:pPr>
      <w:r>
        <w:lastRenderedPageBreak/>
        <w:t>gilt gemeinsam</w:t>
      </w:r>
    </w:p>
    <w:p w:rsidR="00FE0098" w:rsidRDefault="00FE0098" w:rsidP="00FE0098">
      <w:pPr>
        <w:pStyle w:val="berschrift1"/>
      </w:pPr>
      <w:r>
        <w:t>[</w:t>
      </w:r>
      <w:r>
        <w:br/>
        <w:t>\boxed{</w:t>
      </w:r>
      <w:r>
        <w:br/>
        <w:t>\operatorname{Stat}</w:t>
      </w:r>
    </w:p>
    <w:p w:rsidR="00FE0098" w:rsidRDefault="00FE0098" w:rsidP="00FE0098">
      <w:pPr>
        <w:pStyle w:val="StandardWeb"/>
      </w:pPr>
      <w:r>
        <w:t>\mathrm{Def/Op}.</w:t>
      </w:r>
      <w:r>
        <w:br/>
        <w:t>}</w:t>
      </w:r>
      <w:r>
        <w:br/>
        <w:t>\tag{3.10740}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\boxed{\operatorname{Stat}=\mathrm{Def/Op}.}</w:t>
      </w:r>
    </w:p>
    <w:p w:rsidR="00FE0098" w:rsidRDefault="00FE0098" w:rsidP="00FE0098">
      <w:pPr>
        <w:pStyle w:val="StandardWeb"/>
      </w:pPr>
      <w:r>
        <w:t>Die konkrete Norm- beziehungsweise Normalisierungswahl kann zusätzlich modellabhängig sein.</w:t>
      </w:r>
    </w:p>
    <w:p w:rsidR="00FE0098" w:rsidRDefault="00E50336" w:rsidP="00FE0098">
      <w:r>
        <w:pict>
          <v:rect id="_x0000_i3485" style="width:0;height:1.5pt" o:hralign="center" o:hrstd="t" o:hr="t" fillcolor="#a0a0a0" stroked="f"/>
        </w:pict>
      </w:r>
    </w:p>
    <w:p w:rsidR="00FE0098" w:rsidRDefault="00FE0098" w:rsidP="00FE0098">
      <w:pPr>
        <w:pStyle w:val="berschrift1"/>
      </w:pPr>
      <w:r>
        <w:t>3.3.45.389 Status der Verletzungsmenge</w:t>
      </w:r>
    </w:p>
    <w:p w:rsidR="00FE0098" w:rsidRDefault="00FE0098" w:rsidP="00FE0098">
      <w:pPr>
        <w:pStyle w:val="StandardWeb"/>
      </w:pPr>
      <w:r>
        <w:t>Die Menge</w:t>
      </w:r>
    </w:p>
    <w:p w:rsidR="00FE0098" w:rsidRDefault="00FE0098" w:rsidP="00FE0098">
      <w:pPr>
        <w:pStyle w:val="berschrift1"/>
      </w:pPr>
      <w:r>
        <w:t>[</w:t>
      </w:r>
      <w:r>
        <w:br/>
        <w:t>\mathcal V_I^{(\varepsilon)}</w:t>
      </w:r>
    </w:p>
    <w:p w:rsidR="00FE0098" w:rsidRDefault="00FE0098" w:rsidP="00FE0098">
      <w:pPr>
        <w:pStyle w:val="StandardWeb"/>
      </w:pPr>
      <w:r>
        <w:t>\left{</w:t>
      </w:r>
      <w:r>
        <w:br/>
        <w:t>e\in\mathcal T_F:</w:t>
      </w:r>
      <w:r>
        <w:br/>
        <w:t>\Delta_I(e)&gt;\varepsilon_I</w:t>
      </w:r>
      <w:r>
        <w:br/>
        <w:t>\right}</w:t>
      </w:r>
      <w:r>
        <w:br/>
        <w:t>\tag{3.10741}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\mathcal V_I^{(\varepsilon)}=\left\{e\in\mathcal T_F:\Delta_I(e)&gt;\varepsilon_I\right\}</w:t>
      </w:r>
    </w:p>
    <w:p w:rsidR="00FE0098" w:rsidRDefault="00FE0098" w:rsidP="00FE0098">
      <w:pPr>
        <w:pStyle w:val="StandardWeb"/>
      </w:pPr>
      <w:r>
        <w:t>ist definitorisch.</w:t>
      </w:r>
    </w:p>
    <w:p w:rsidR="00FE0098" w:rsidRDefault="00FE0098" w:rsidP="00FE0098">
      <w:pPr>
        <w:pStyle w:val="StandardWeb"/>
      </w:pPr>
      <w:r>
        <w:t>Daher gilt</w:t>
      </w:r>
    </w:p>
    <w:p w:rsidR="00FE0098" w:rsidRDefault="00FE0098" w:rsidP="00FE0098">
      <w:pPr>
        <w:pStyle w:val="berschrift1"/>
      </w:pPr>
      <w:r>
        <w:t>[</w:t>
      </w:r>
      <w:r>
        <w:br/>
        <w:t>\boxed{</w:t>
      </w:r>
      <w:r>
        <w:br/>
      </w:r>
      <w:r>
        <w:lastRenderedPageBreak/>
        <w:t>\operatorname{Stat}</w:t>
      </w:r>
      <w:r>
        <w:br/>
        <w:t>\left(</w:t>
      </w:r>
      <w:r>
        <w:br/>
        <w:t>\mathcal V_I^{(\varepsilon)}</w:t>
      </w:r>
      <w:r>
        <w:br/>
        <w:t>\right)</w:t>
      </w:r>
    </w:p>
    <w:p w:rsidR="00FE0098" w:rsidRDefault="00FE0098" w:rsidP="00FE0098">
      <w:pPr>
        <w:pStyle w:val="StandardWeb"/>
      </w:pPr>
      <w:r>
        <w:t>\mathrm{Def}.</w:t>
      </w:r>
      <w:r>
        <w:br/>
        <w:t>}</w:t>
      </w:r>
      <w:r>
        <w:br/>
        <w:t>\tag{3.10742}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\boxed{\operatorname{Stat}\left(\mathcal V_I^{(\varepsilon)}\right)=\mathrm{Def}.}</w:t>
      </w:r>
    </w:p>
    <w:p w:rsidR="00FE0098" w:rsidRDefault="00E50336" w:rsidP="00FE0098">
      <w:r>
        <w:pict>
          <v:rect id="_x0000_i3486" style="width:0;height:1.5pt" o:hralign="center" o:hrstd="t" o:hr="t" fillcolor="#a0a0a0" stroked="f"/>
        </w:pict>
      </w:r>
    </w:p>
    <w:p w:rsidR="00FE0098" w:rsidRDefault="00FE0098" w:rsidP="00FE0098">
      <w:pPr>
        <w:pStyle w:val="berschrift1"/>
      </w:pPr>
      <w:r>
        <w:t>3.3.45.390 Status der Verletzungsrate</w:t>
      </w:r>
    </w:p>
    <w:p w:rsidR="00FE0098" w:rsidRDefault="00FE0098" w:rsidP="00FE0098">
      <w:pPr>
        <w:pStyle w:val="StandardWeb"/>
      </w:pPr>
      <w:r>
        <w:t>Die Größe</w:t>
      </w:r>
    </w:p>
    <w:p w:rsidR="00FE0098" w:rsidRDefault="00FE0098" w:rsidP="00FE0098">
      <w:pPr>
        <w:pStyle w:val="berschrift1"/>
      </w:pPr>
      <w:r>
        <w:t>[</w:t>
      </w:r>
      <w:r>
        <w:br/>
        <w:t>r_I^{(\varepsilon)}</w:t>
      </w:r>
    </w:p>
    <w:p w:rsidR="00FE0098" w:rsidRDefault="00FE0098" w:rsidP="00FE0098">
      <w:pPr>
        <w:pStyle w:val="StandardWeb"/>
      </w:pPr>
      <w:r>
        <w:t>\frac{</w:t>
      </w:r>
      <w:r>
        <w:br/>
        <w:t>|\mathcal V_I^{(\varepsilon)}|</w:t>
      </w:r>
      <w:r>
        <w:br/>
        <w:t>}{</w:t>
      </w:r>
      <w:r>
        <w:br/>
        <w:t>|\mathcal T_F|</w:t>
      </w:r>
      <w:r>
        <w:br/>
        <w:t>}</w:t>
      </w:r>
      <w:r>
        <w:br/>
        <w:t>\tag{3.10743}</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r_I^{(\varepsilon)}=\frac{|\mathcal V_I^{(\varepsilon)}|}{|\mathcal T_F|}</w:t>
      </w:r>
    </w:p>
    <w:p w:rsidR="00FE0098" w:rsidRDefault="00FE0098" w:rsidP="00FE0098">
      <w:pPr>
        <w:pStyle w:val="StandardWeb"/>
      </w:pPr>
      <w:r>
        <w:t>ist eine empirische beziehungsweise numerische Kennzahl.</w:t>
      </w:r>
    </w:p>
    <w:p w:rsidR="00FE0098" w:rsidRDefault="00FE0098" w:rsidP="00FE0098">
      <w:pPr>
        <w:pStyle w:val="StandardWeb"/>
      </w:pPr>
      <w:r>
        <w:t>Damit gilt</w:t>
      </w:r>
    </w:p>
    <w:p w:rsidR="00FE0098" w:rsidRDefault="00FE0098" w:rsidP="00FE0098">
      <w:pPr>
        <w:pStyle w:val="berschrift1"/>
      </w:pPr>
      <w:r>
        <w:t>[</w:t>
      </w:r>
      <w:r>
        <w:br/>
        <w:t>\boxed{</w:t>
      </w:r>
      <w:r>
        <w:br/>
        <w:t>\operatorname{Stat}</w:t>
      </w:r>
      <w:r>
        <w:br/>
        <w:t>\left(</w:t>
      </w:r>
      <w:r>
        <w:br/>
      </w:r>
      <w:r>
        <w:lastRenderedPageBreak/>
        <w:t>r_I^{(\varepsilon)}</w:t>
      </w:r>
      <w:r>
        <w:br/>
        <w:t>\right)</w:t>
      </w:r>
    </w:p>
    <w:p w:rsidR="00FE0098" w:rsidRDefault="00FE0098" w:rsidP="00FE0098">
      <w:pPr>
        <w:pStyle w:val="StandardWeb"/>
      </w:pPr>
      <w:r>
        <w:t>\mathrm{Def/Op}.</w:t>
      </w:r>
      <w:r>
        <w:br/>
        <w:t>}</w:t>
      </w:r>
      <w:r>
        <w:br/>
        <w:t>\tag{3.10744}</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\boxed{\operatorname{Stat}\left(r_I^{(\varepsilon)}\right)=\mathrm{Def/Op}.}</w:t>
      </w:r>
    </w:p>
    <w:p w:rsidR="00FE0098" w:rsidRDefault="00E50336" w:rsidP="00FE0098">
      <w:r>
        <w:pict>
          <v:rect id="_x0000_i3487" style="width:0;height:1.5pt" o:hralign="center" o:hrstd="t" o:hr="t" fillcolor="#a0a0a0" stroked="f"/>
        </w:pict>
      </w:r>
    </w:p>
    <w:p w:rsidR="00FE0098" w:rsidRDefault="00FE0098" w:rsidP="00FE0098">
      <w:pPr>
        <w:pStyle w:val="berschrift1"/>
      </w:pPr>
      <w:r>
        <w:t>3.3.45.391 Status der mittleren und maximalen Abweichung</w:t>
      </w:r>
    </w:p>
    <w:p w:rsidR="00FE0098" w:rsidRDefault="00FE0098" w:rsidP="00FE0098">
      <w:pPr>
        <w:pStyle w:val="StandardWeb"/>
      </w:pPr>
      <w:r>
        <w:t>Für</w:t>
      </w:r>
    </w:p>
    <w:p w:rsidR="00FE0098" w:rsidRDefault="00FE0098" w:rsidP="00FE0098">
      <w:pPr>
        <w:pStyle w:val="StandardWeb"/>
      </w:pPr>
      <w:r>
        <w:t>[</w:t>
      </w:r>
      <w:r>
        <w:br/>
        <w:t>\overline{\Delta}_I</w:t>
      </w:r>
      <w:r>
        <w:br/>
        <w:t>\tag{3.10745}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\overline{\Delta}_I</w:t>
      </w:r>
    </w:p>
    <w:p w:rsidR="00FE0098" w:rsidRDefault="00FE0098" w:rsidP="00FE0098">
      <w:pPr>
        <w:pStyle w:val="StandardWeb"/>
      </w:pPr>
      <w:r>
        <w:t>und</w:t>
      </w:r>
    </w:p>
    <w:p w:rsidR="00FE0098" w:rsidRDefault="00FE0098" w:rsidP="00FE0098">
      <w:pPr>
        <w:pStyle w:val="StandardWeb"/>
      </w:pPr>
      <w:r>
        <w:t>[</w:t>
      </w:r>
      <w:r>
        <w:br/>
        <w:t>\Delta_I^{\max}</w:t>
      </w:r>
      <w:r>
        <w:br/>
        <w:t>\tag{3.10746}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\Delta_I^{\max}</w:t>
      </w:r>
    </w:p>
    <w:p w:rsidR="00FE0098" w:rsidRDefault="00FE0098" w:rsidP="00FE0098">
      <w:pPr>
        <w:pStyle w:val="StandardWeb"/>
      </w:pPr>
      <w:r>
        <w:t>gilt</w:t>
      </w:r>
    </w:p>
    <w:p w:rsidR="00FE0098" w:rsidRDefault="00FE0098" w:rsidP="00FE0098">
      <w:pPr>
        <w:pStyle w:val="berschrift1"/>
      </w:pPr>
      <w:r>
        <w:t>[</w:t>
      </w:r>
      <w:r>
        <w:br/>
        <w:t>\boxed{</w:t>
      </w:r>
      <w:r>
        <w:br/>
        <w:t>\operatorname{Stat}</w:t>
      </w:r>
      <w:r>
        <w:br/>
        <w:t>\left(</w:t>
      </w:r>
      <w:r>
        <w:br/>
      </w:r>
      <w:r>
        <w:lastRenderedPageBreak/>
        <w:t>\overline{\Delta}_I</w:t>
      </w:r>
      <w:r>
        <w:br/>
        <w:t>\right)</w:t>
      </w:r>
    </w:p>
    <w:p w:rsidR="00FE0098" w:rsidRDefault="00FE0098" w:rsidP="00FE0098">
      <w:pPr>
        <w:pStyle w:val="berschrift1"/>
      </w:pPr>
      <w:r>
        <w:t>\operatorname{Stat}</w:t>
      </w:r>
      <w:r>
        <w:br/>
        <w:t>\left(</w:t>
      </w:r>
      <w:r>
        <w:br/>
        <w:t>\Delta_I^{\max}</w:t>
      </w:r>
      <w:r>
        <w:br/>
        <w:t>\right)</w:t>
      </w:r>
    </w:p>
    <w:p w:rsidR="00FE0098" w:rsidRDefault="00FE0098" w:rsidP="00FE0098">
      <w:pPr>
        <w:pStyle w:val="StandardWeb"/>
      </w:pPr>
      <w:r>
        <w:t>\mathrm{Def/Op}.</w:t>
      </w:r>
      <w:r>
        <w:br/>
        <w:t>}</w:t>
      </w:r>
      <w:r>
        <w:br/>
        <w:t>\tag{3.10747}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\boxed{\operatorname{Stat}\left(\overline{\Delta}_I\right)=\operatorname{Stat}\left(\Delta_I^{\max}\right)=\mathrm{Def/Op}.}</w:t>
      </w:r>
    </w:p>
    <w:p w:rsidR="00FE0098" w:rsidRDefault="00E50336" w:rsidP="00FE0098">
      <w:r>
        <w:pict>
          <v:rect id="_x0000_i3488" style="width:0;height:1.5pt" o:hralign="center" o:hrstd="t" o:hr="t" fillcolor="#a0a0a0" stroked="f"/>
        </w:pict>
      </w:r>
    </w:p>
    <w:p w:rsidR="00FE0098" w:rsidRDefault="00FE0098" w:rsidP="00FE0098">
      <w:pPr>
        <w:pStyle w:val="berschrift1"/>
      </w:pPr>
      <w:r>
        <w:t>3.3.45.392 Status des Invarianzresiduums</w:t>
      </w:r>
    </w:p>
    <w:p w:rsidR="00FE0098" w:rsidRDefault="00FE0098" w:rsidP="00FE0098">
      <w:pPr>
        <w:pStyle w:val="StandardWeb"/>
      </w:pPr>
      <w:r>
        <w:t>Das Residuum</w:t>
      </w:r>
    </w:p>
    <w:p w:rsidR="00FE0098" w:rsidRDefault="00FE0098" w:rsidP="00FE0098">
      <w:pPr>
        <w:pStyle w:val="berschrift1"/>
      </w:pPr>
      <w:r>
        <w:t>[</w:t>
      </w:r>
      <w:r>
        <w:br/>
        <w:t>R_I(z_i,z_j)</w:t>
      </w:r>
    </w:p>
    <w:p w:rsidR="00FE0098" w:rsidRDefault="00FE0098" w:rsidP="00FE0098">
      <w:pPr>
        <w:pStyle w:val="StandardWeb"/>
      </w:pPr>
      <w:r>
        <w:t>I_F(z_j)-I_F(z_i)</w:t>
      </w:r>
      <w:r>
        <w:br/>
        <w:t>\tag{3.10748}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R_I(z_i,z_j)=I_F(z_j)-I_F(z_i)</w:t>
      </w:r>
    </w:p>
    <w:p w:rsidR="00FE0098" w:rsidRDefault="00FE0098" w:rsidP="00FE0098">
      <w:pPr>
        <w:pStyle w:val="StandardWeb"/>
      </w:pPr>
      <w:r>
        <w:t>ist definiert und kann operational verwendet werden.</w:t>
      </w:r>
    </w:p>
    <w:p w:rsidR="00FE0098" w:rsidRDefault="00FE0098" w:rsidP="00FE0098">
      <w:pPr>
        <w:pStyle w:val="StandardWeb"/>
      </w:pPr>
      <w:r>
        <w:t>Daher</w:t>
      </w:r>
    </w:p>
    <w:p w:rsidR="00FE0098" w:rsidRDefault="00FE0098" w:rsidP="00FE0098">
      <w:pPr>
        <w:pStyle w:val="berschrift1"/>
      </w:pPr>
      <w:r>
        <w:t>[</w:t>
      </w:r>
      <w:r>
        <w:br/>
        <w:t>\boxed{</w:t>
      </w:r>
      <w:r>
        <w:br/>
        <w:t>\operatorname{Stat}(R_I)</w:t>
      </w:r>
    </w:p>
    <w:p w:rsidR="00FE0098" w:rsidRDefault="00FE0098" w:rsidP="00FE0098">
      <w:pPr>
        <w:pStyle w:val="StandardWeb"/>
      </w:pPr>
      <w:r>
        <w:lastRenderedPageBreak/>
        <w:t>\mathrm{Def/Op}.</w:t>
      </w:r>
      <w:r>
        <w:br/>
        <w:t>}</w:t>
      </w:r>
      <w:r>
        <w:br/>
        <w:t>\tag{3.10749}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\boxed{\operatorname{Stat}(R_I)=\mathrm{Def/Op}.}</w:t>
      </w:r>
    </w:p>
    <w:p w:rsidR="00FE0098" w:rsidRDefault="00E50336" w:rsidP="00FE0098">
      <w:r>
        <w:pict>
          <v:rect id="_x0000_i3489" style="width:0;height:1.5pt" o:hralign="center" o:hrstd="t" o:hr="t" fillcolor="#a0a0a0" stroked="f"/>
        </w:pict>
      </w:r>
    </w:p>
    <w:p w:rsidR="00FE0098" w:rsidRDefault="00FE0098" w:rsidP="00FE0098">
      <w:pPr>
        <w:pStyle w:val="berschrift1"/>
      </w:pPr>
      <w:r>
        <w:t>3.3.45.393 Status der quadratischen Invarianzverletzung</w:t>
      </w:r>
    </w:p>
    <w:p w:rsidR="00FE0098" w:rsidRDefault="00FE0098" w:rsidP="00FE0098">
      <w:pPr>
        <w:pStyle w:val="StandardWeb"/>
      </w:pPr>
      <w:r>
        <w:t>Für</w:t>
      </w:r>
    </w:p>
    <w:p w:rsidR="00FE0098" w:rsidRDefault="00FE0098" w:rsidP="00FE0098">
      <w:pPr>
        <w:pStyle w:val="berschrift1"/>
      </w:pPr>
      <w:r>
        <w:t>[</w:t>
      </w:r>
      <w:r>
        <w:br/>
        <w:t>E_I^{(2)}</w:t>
      </w:r>
    </w:p>
    <w:p w:rsidR="00FE0098" w:rsidRDefault="00FE0098" w:rsidP="00FE0098">
      <w:pPr>
        <w:pStyle w:val="StandardWeb"/>
      </w:pPr>
      <w:r>
        <w:t>\frac{1}{|\mathcal T_F|}</w:t>
      </w:r>
      <w:r>
        <w:br/>
        <w:t>\sum</w:t>
      </w:r>
      <w:r>
        <w:br/>
        <w:t>R_I^2</w:t>
      </w:r>
      <w:r>
        <w:br/>
        <w:t>\tag{3.10750}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E_I^{(2)}=\frac{1}{|\mathcal T_F|}\sum R_I^2</w:t>
      </w:r>
    </w:p>
    <w:p w:rsidR="00FE0098" w:rsidRDefault="00FE0098" w:rsidP="00FE0098">
      <w:pPr>
        <w:pStyle w:val="StandardWeb"/>
      </w:pPr>
      <w:r>
        <w:t>gilt ebenfalls</w:t>
      </w:r>
    </w:p>
    <w:p w:rsidR="00FE0098" w:rsidRDefault="00FE0098" w:rsidP="00FE0098">
      <w:pPr>
        <w:pStyle w:val="berschrift1"/>
      </w:pPr>
      <w:r>
        <w:t>[</w:t>
      </w:r>
      <w:r>
        <w:br/>
        <w:t>\boxed{</w:t>
      </w:r>
      <w:r>
        <w:br/>
        <w:t>\operatorname{Stat}</w:t>
      </w:r>
      <w:r>
        <w:br/>
        <w:t>\left(</w:t>
      </w:r>
      <w:r>
        <w:br/>
        <w:t>E_I^{(2)}</w:t>
      </w:r>
      <w:r>
        <w:br/>
        <w:t>\right)</w:t>
      </w:r>
    </w:p>
    <w:p w:rsidR="00FE0098" w:rsidRDefault="00FE0098" w:rsidP="00FE0098">
      <w:pPr>
        <w:pStyle w:val="StandardWeb"/>
      </w:pPr>
      <w:r>
        <w:t>\mathrm{Def/Op}.</w:t>
      </w:r>
      <w:r>
        <w:br/>
        <w:t>}</w:t>
      </w:r>
      <w:r>
        <w:br/>
        <w:t>\tag{3.10751}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lastRenderedPageBreak/>
        <w:t>\boxed{\operatorname{Stat}\left(E_I^{(2)}\right)=\mathrm{Def/Op}.}</w:t>
      </w:r>
    </w:p>
    <w:p w:rsidR="00FE0098" w:rsidRDefault="00FE0098" w:rsidP="00FE0098">
      <w:pPr>
        <w:pStyle w:val="StandardWeb"/>
      </w:pPr>
      <w:r>
        <w:t>Das Nullkriterium</w:t>
      </w:r>
    </w:p>
    <w:p w:rsidR="00FE0098" w:rsidRDefault="00FE0098" w:rsidP="00FE0098">
      <w:pPr>
        <w:pStyle w:val="StandardWeb"/>
      </w:pPr>
      <w:r>
        <w:t>[</w:t>
      </w:r>
      <w:r>
        <w:br/>
        <w:t>E_I^{(2)}=0</w:t>
      </w:r>
      <w:r>
        <w:br/>
        <w:t>\Longleftrightarrow</w:t>
      </w:r>
      <w:r>
        <w:br/>
        <w:t>I_F\in\mathcal I_F</w:t>
      </w:r>
      <w:r>
        <w:br/>
        <w:t>\tag{3.10752}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E_I^{(2)}=0\Longleftrightarrow I_F\in\mathcal I_F</w:t>
      </w:r>
    </w:p>
    <w:p w:rsidR="00FE0098" w:rsidRDefault="00FE0098" w:rsidP="00FE0098">
      <w:pPr>
        <w:pStyle w:val="StandardWeb"/>
      </w:pPr>
      <w:r>
        <w:t>ist dagegen mathematisch abgeleitet.</w:t>
      </w:r>
    </w:p>
    <w:p w:rsidR="00FE0098" w:rsidRDefault="00E50336" w:rsidP="00FE0098">
      <w:r>
        <w:pict>
          <v:rect id="_x0000_i3490" style="width:0;height:1.5pt" o:hralign="center" o:hrstd="t" o:hr="t" fillcolor="#a0a0a0" stroked="f"/>
        </w:pict>
      </w:r>
    </w:p>
    <w:p w:rsidR="00FE0098" w:rsidRDefault="00FE0098" w:rsidP="00FE0098">
      <w:pPr>
        <w:pStyle w:val="berschrift1"/>
      </w:pPr>
      <w:r>
        <w:t>3.3.45.394 Status der partiellen Invarianz</w:t>
      </w:r>
    </w:p>
    <w:p w:rsidR="00FE0098" w:rsidRDefault="00FE0098" w:rsidP="00FE0098">
      <w:pPr>
        <w:pStyle w:val="StandardWeb"/>
      </w:pPr>
      <w:r>
        <w:t>Die Einschränkung auf</w:t>
      </w:r>
    </w:p>
    <w:p w:rsidR="00FE0098" w:rsidRDefault="00FE0098" w:rsidP="00FE0098">
      <w:pPr>
        <w:pStyle w:val="StandardWeb"/>
      </w:pPr>
      <w:r>
        <w:t>[</w:t>
      </w:r>
      <w:r>
        <w:br/>
        <w:t>\mathcal T_F'</w:t>
      </w:r>
      <w:r>
        <w:br/>
        <w:t>\subseteq</w:t>
      </w:r>
      <w:r>
        <w:br/>
        <w:t>\mathcal T_F</w:t>
      </w:r>
      <w:r>
        <w:br/>
        <w:t>\tag{3.10753}</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\mathcal T_F'\subseteq\mathcal T_F</w:t>
      </w:r>
    </w:p>
    <w:p w:rsidR="00FE0098" w:rsidRDefault="00FE0098" w:rsidP="00FE0098">
      <w:pPr>
        <w:pStyle w:val="StandardWeb"/>
      </w:pPr>
      <w:r>
        <w:t>und die Forderung</w:t>
      </w:r>
    </w:p>
    <w:p w:rsidR="00FE0098" w:rsidRDefault="00FE0098" w:rsidP="00FE0098">
      <w:pPr>
        <w:pStyle w:val="StandardWeb"/>
      </w:pPr>
      <w:r>
        <w:t>[</w:t>
      </w:r>
      <w:r>
        <w:br/>
        <w:t>I_F(z_i)=I_F(z_j)</w:t>
      </w:r>
      <w:r>
        <w:br/>
        <w:t>\qquad</w:t>
      </w:r>
      <w:r>
        <w:br/>
        <w:t>\forall(z_i,z_j)\in\mathcal T_F'</w:t>
      </w:r>
      <w:r>
        <w:br/>
        <w:t>\tag{3.10754}</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I_F(z_i)=I_F(z_j)\qquad\forall(z_i,z_j)\in\mathcal T_F'</w:t>
      </w:r>
    </w:p>
    <w:p w:rsidR="00FE0098" w:rsidRDefault="00FE0098" w:rsidP="00FE0098">
      <w:pPr>
        <w:pStyle w:val="StandardWeb"/>
      </w:pPr>
      <w:r>
        <w:t>definieren partielle Invarianz.</w:t>
      </w:r>
    </w:p>
    <w:p w:rsidR="00FE0098" w:rsidRDefault="00FE0098" w:rsidP="00FE0098">
      <w:pPr>
        <w:pStyle w:val="StandardWeb"/>
      </w:pPr>
      <w:r>
        <w:t>Somit gilt</w:t>
      </w:r>
    </w:p>
    <w:p w:rsidR="00FE0098" w:rsidRDefault="00FE0098" w:rsidP="00FE0098">
      <w:pPr>
        <w:pStyle w:val="berschrift1"/>
      </w:pPr>
      <w:r>
        <w:lastRenderedPageBreak/>
        <w:t>[</w:t>
      </w:r>
      <w:r>
        <w:br/>
        <w:t>\boxed{</w:t>
      </w:r>
      <w:r>
        <w:br/>
        <w:t>\operatorname{Stat}</w:t>
      </w:r>
      <w:r>
        <w:br/>
        <w:t>\left(</w:t>
      </w:r>
      <w:r>
        <w:br/>
        <w:t>\operatorname{Inv}_{\mathrm{part}}</w:t>
      </w:r>
      <w:r>
        <w:br/>
        <w:t>\right)</w:t>
      </w:r>
    </w:p>
    <w:p w:rsidR="00FE0098" w:rsidRDefault="00FE0098" w:rsidP="00FE0098">
      <w:pPr>
        <w:pStyle w:val="StandardWeb"/>
      </w:pPr>
      <w:r>
        <w:t>\mathrm{Def}.</w:t>
      </w:r>
      <w:r>
        <w:br/>
        <w:t>}</w:t>
      </w:r>
      <w:r>
        <w:br/>
        <w:t>\tag{3.10755}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\boxed{\operatorname{Stat}\left(\operatorname{Inv}_{\mathrm{part}}\right)=\mathrm{Def}.}</w:t>
      </w:r>
    </w:p>
    <w:p w:rsidR="00FE0098" w:rsidRDefault="00FE0098" w:rsidP="00FE0098">
      <w:pPr>
        <w:pStyle w:val="StandardWeb"/>
      </w:pPr>
      <w:r>
        <w:t>Die Wahl der Teilrelation ist modell- oder auswertungsabhängig.</w:t>
      </w:r>
    </w:p>
    <w:p w:rsidR="00FE0098" w:rsidRDefault="00E50336" w:rsidP="00FE0098">
      <w:r>
        <w:pict>
          <v:rect id="_x0000_i3491" style="width:0;height:1.5pt" o:hralign="center" o:hrstd="t" o:hr="t" fillcolor="#a0a0a0" stroked="f"/>
        </w:pict>
      </w:r>
    </w:p>
    <w:p w:rsidR="00FE0098" w:rsidRDefault="00FE0098" w:rsidP="00FE0098">
      <w:pPr>
        <w:pStyle w:val="berschrift1"/>
      </w:pPr>
      <w:r>
        <w:t>3.3.45.395 Status der gewichteten Invarianzabweichung</w:t>
      </w:r>
    </w:p>
    <w:p w:rsidR="00FE0098" w:rsidRDefault="00FE0098" w:rsidP="00FE0098">
      <w:pPr>
        <w:pStyle w:val="StandardWeb"/>
      </w:pPr>
      <w:r>
        <w:t>Für</w:t>
      </w:r>
    </w:p>
    <w:p w:rsidR="00FE0098" w:rsidRDefault="00FE0098" w:rsidP="00FE0098">
      <w:pPr>
        <w:pStyle w:val="berschrift1"/>
      </w:pPr>
      <w:r>
        <w:t>[</w:t>
      </w:r>
      <w:r>
        <w:br/>
        <w:t>\overline{\Delta}_{I,w}</w:t>
      </w:r>
    </w:p>
    <w:p w:rsidR="00FE0098" w:rsidRDefault="00FE0098" w:rsidP="00FE0098">
      <w:pPr>
        <w:pStyle w:val="StandardWeb"/>
      </w:pPr>
      <w:r>
        <w:t>\sum</w:t>
      </w:r>
      <w:r>
        <w:br/>
        <w:t>w(e)\Delta_I(e)</w:t>
      </w:r>
      <w:r>
        <w:br/>
        <w:t>\tag{3.10756}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\overline{\Delta}_{I,w}=\sum w(e)\Delta_I(e)</w:t>
      </w:r>
    </w:p>
    <w:p w:rsidR="00FE0098" w:rsidRDefault="00FE0098" w:rsidP="00FE0098">
      <w:pPr>
        <w:pStyle w:val="StandardWeb"/>
      </w:pPr>
      <w:r>
        <w:t>gilt</w:t>
      </w:r>
    </w:p>
    <w:p w:rsidR="00FE0098" w:rsidRDefault="00FE0098" w:rsidP="00FE0098">
      <w:pPr>
        <w:pStyle w:val="berschrift1"/>
      </w:pPr>
      <w:r>
        <w:t>[</w:t>
      </w:r>
      <w:r>
        <w:br/>
        <w:t>\boxed{</w:t>
      </w:r>
      <w:r>
        <w:br/>
      </w:r>
      <w:r>
        <w:lastRenderedPageBreak/>
        <w:t>\operatorname{Stat}</w:t>
      </w:r>
      <w:r>
        <w:br/>
        <w:t>\left(</w:t>
      </w:r>
      <w:r>
        <w:br/>
        <w:t>\overline{\Delta}_{I,w}</w:t>
      </w:r>
      <w:r>
        <w:br/>
        <w:t>\right)</w:t>
      </w:r>
    </w:p>
    <w:p w:rsidR="00FE0098" w:rsidRDefault="00FE0098" w:rsidP="00FE0098">
      <w:pPr>
        <w:pStyle w:val="StandardWeb"/>
      </w:pPr>
      <w:r>
        <w:t>\mathrm{Def/Op}.</w:t>
      </w:r>
      <w:r>
        <w:br/>
        <w:t>}</w:t>
      </w:r>
      <w:r>
        <w:br/>
        <w:t>\tag{3.10757}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\boxed{\operatorname{Stat}\left(\overline{\Delta}_{I,w}\right)=\mathrm{Def/Op}.}</w:t>
      </w:r>
    </w:p>
    <w:p w:rsidR="00FE0098" w:rsidRDefault="00FE0098" w:rsidP="00FE0098">
      <w:pPr>
        <w:pStyle w:val="StandardWeb"/>
      </w:pPr>
      <w:r>
        <w:t>Die Wahl von (w) selbst besitzt dagegen Status</w:t>
      </w:r>
    </w:p>
    <w:p w:rsidR="00FE0098" w:rsidRDefault="00FE0098" w:rsidP="00FE0098">
      <w:pPr>
        <w:pStyle w:val="berschrift1"/>
      </w:pPr>
      <w:r>
        <w:t>[</w:t>
      </w:r>
      <w:r>
        <w:br/>
        <w:t>\boxed{</w:t>
      </w:r>
      <w:r>
        <w:br/>
        <w:t>\operatorname{Stat}(w)</w:t>
      </w:r>
    </w:p>
    <w:p w:rsidR="00FE0098" w:rsidRDefault="00FE0098" w:rsidP="00FE0098">
      <w:pPr>
        <w:pStyle w:val="StandardWeb"/>
      </w:pPr>
      <w:r>
        <w:t>\mathrm{Op/Mod}.</w:t>
      </w:r>
      <w:r>
        <w:br/>
        <w:t>}</w:t>
      </w:r>
      <w:r>
        <w:br/>
        <w:t>\tag{3.10758}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\boxed{\operatorname{Stat}(w)=\mathrm{Op/Mod}.}</w:t>
      </w:r>
    </w:p>
    <w:p w:rsidR="00FE0098" w:rsidRDefault="00E50336" w:rsidP="00FE0098">
      <w:r>
        <w:pict>
          <v:rect id="_x0000_i3492" style="width:0;height:1.5pt" o:hralign="center" o:hrstd="t" o:hr="t" fillcolor="#a0a0a0" stroked="f"/>
        </w:pict>
      </w:r>
    </w:p>
    <w:p w:rsidR="00FE0098" w:rsidRDefault="00FE0098" w:rsidP="00FE0098">
      <w:pPr>
        <w:pStyle w:val="berschrift1"/>
      </w:pPr>
      <w:r>
        <w:t>3.3.45.396 Status der Messfehlerstruktur</w:t>
      </w:r>
    </w:p>
    <w:p w:rsidR="00FE0098" w:rsidRDefault="00FE0098" w:rsidP="00FE0098">
      <w:pPr>
        <w:pStyle w:val="StandardWeb"/>
      </w:pPr>
      <w:r>
        <w:t>Die Beobachtungsbeziehung</w:t>
      </w:r>
    </w:p>
    <w:p w:rsidR="00FE0098" w:rsidRDefault="00FE0098" w:rsidP="00FE0098">
      <w:pPr>
        <w:pStyle w:val="berschrift1"/>
      </w:pPr>
      <w:r>
        <w:t>[</w:t>
      </w:r>
      <w:r>
        <w:br/>
        <w:t>\widehat I_F(z)</w:t>
      </w:r>
    </w:p>
    <w:p w:rsidR="00FE0098" w:rsidRDefault="00FE0098" w:rsidP="00FE0098">
      <w:pPr>
        <w:pStyle w:val="StandardWeb"/>
      </w:pPr>
      <w:r>
        <w:t>I_F(z)+\eta_I(z)</w:t>
      </w:r>
      <w:r>
        <w:br/>
        <w:t>\tag{3.10759}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lastRenderedPageBreak/>
        <w:t>\widehat I_F(z)=I_F(z)+\eta_I(z)</w:t>
      </w:r>
    </w:p>
    <w:p w:rsidR="00FE0098" w:rsidRDefault="00FE0098" w:rsidP="00FE0098">
      <w:pPr>
        <w:pStyle w:val="StandardWeb"/>
      </w:pPr>
      <w:r>
        <w:t>ist keine universelle FRZK-Struktur, sondern ein mögliches Messmodell.</w:t>
      </w:r>
    </w:p>
    <w:p w:rsidR="00FE0098" w:rsidRDefault="00FE0098" w:rsidP="00FE0098">
      <w:pPr>
        <w:pStyle w:val="StandardWeb"/>
      </w:pPr>
      <w:r>
        <w:t>Daher gilt</w:t>
      </w:r>
    </w:p>
    <w:p w:rsidR="00FE0098" w:rsidRDefault="00FE0098" w:rsidP="00FE0098">
      <w:pPr>
        <w:pStyle w:val="berschrift1"/>
      </w:pPr>
      <w:r>
        <w:t>[</w:t>
      </w:r>
      <w:r>
        <w:br/>
        <w:t>\boxed{</w:t>
      </w:r>
      <w:r>
        <w:br/>
        <w:t>\operatorname{Stat}</w:t>
      </w:r>
      <w:r>
        <w:br/>
        <w:t>\left(</w:t>
      </w:r>
      <w:r>
        <w:br/>
        <w:t>\widehat I_F=I_F+\eta_I</w:t>
      </w:r>
      <w:r>
        <w:br/>
        <w:t>\right)</w:t>
      </w:r>
    </w:p>
    <w:p w:rsidR="00FE0098" w:rsidRDefault="00FE0098" w:rsidP="00FE0098">
      <w:pPr>
        <w:pStyle w:val="StandardWeb"/>
      </w:pPr>
      <w:r>
        <w:t>\mathrm{Mod}.</w:t>
      </w:r>
      <w:r>
        <w:br/>
        <w:t>}</w:t>
      </w:r>
      <w:r>
        <w:br/>
        <w:t>\tag{3.10760}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\boxed{\operatorname{Stat}\left(\widehat I_F=I_F+\eta_I\right)=\mathrm{Mod}.}</w:t>
      </w:r>
    </w:p>
    <w:p w:rsidR="00FE0098" w:rsidRDefault="00E50336" w:rsidP="00FE0098">
      <w:r>
        <w:pict>
          <v:rect id="_x0000_i3493" style="width:0;height:1.5pt" o:hralign="center" o:hrstd="t" o:hr="t" fillcolor="#a0a0a0" stroked="f"/>
        </w:pict>
      </w:r>
    </w:p>
    <w:p w:rsidR="00FE0098" w:rsidRDefault="00FE0098" w:rsidP="00FE0098">
      <w:pPr>
        <w:pStyle w:val="berschrift1"/>
      </w:pPr>
      <w:r>
        <w:t>3.3.45.397 Status statistischer Invarianztests</w:t>
      </w:r>
    </w:p>
    <w:p w:rsidR="00FE0098" w:rsidRDefault="00FE0098" w:rsidP="00FE0098">
      <w:pPr>
        <w:pStyle w:val="StandardWeb"/>
      </w:pPr>
      <w:r>
        <w:t>Ein statistischer Test der Form</w:t>
      </w:r>
    </w:p>
    <w:p w:rsidR="00FE0098" w:rsidRDefault="00FE0098" w:rsidP="00FE0098">
      <w:pPr>
        <w:pStyle w:val="StandardWeb"/>
      </w:pPr>
      <w:r>
        <w:t>[</w:t>
      </w:r>
      <w:r>
        <w:br/>
        <w:t>H_0:</w:t>
      </w:r>
      <w:r>
        <w:br/>
        <w:t>\Delta_I\leq\varepsilon_I</w:t>
      </w:r>
      <w:r>
        <w:br/>
        <w:t>\tag{3.10761}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H_0:\Delta_I\leq\varepsilon_I</w:t>
      </w:r>
    </w:p>
    <w:p w:rsidR="00FE0098" w:rsidRDefault="00FE0098" w:rsidP="00FE0098">
      <w:pPr>
        <w:pStyle w:val="StandardWeb"/>
      </w:pPr>
      <w:r>
        <w:t>ist ein empirisches Auswertungswerkzeug.</w:t>
      </w:r>
    </w:p>
    <w:p w:rsidR="00FE0098" w:rsidRDefault="00FE0098" w:rsidP="00FE0098">
      <w:pPr>
        <w:pStyle w:val="StandardWeb"/>
      </w:pPr>
      <w:r>
        <w:t>Damit gilt</w:t>
      </w:r>
    </w:p>
    <w:p w:rsidR="00FE0098" w:rsidRDefault="00FE0098" w:rsidP="00FE0098">
      <w:pPr>
        <w:pStyle w:val="berschrift1"/>
      </w:pPr>
      <w:r>
        <w:t>[</w:t>
      </w:r>
      <w:r>
        <w:br/>
        <w:t>\boxed{</w:t>
      </w:r>
      <w:r>
        <w:br/>
      </w:r>
      <w:r>
        <w:lastRenderedPageBreak/>
        <w:t>\operatorname{Stat}</w:t>
      </w:r>
      <w:r>
        <w:br/>
        <w:t>\left(</w:t>
      </w:r>
      <w:r>
        <w:br/>
        <w:t>\operatorname{Test}_I</w:t>
      </w:r>
      <w:r>
        <w:br/>
        <w:t>\right)</w:t>
      </w:r>
    </w:p>
    <w:p w:rsidR="00FE0098" w:rsidRDefault="00FE0098" w:rsidP="00FE0098">
      <w:pPr>
        <w:pStyle w:val="StandardWeb"/>
      </w:pPr>
      <w:r>
        <w:t>\mathrm{Op}.</w:t>
      </w:r>
      <w:r>
        <w:br/>
        <w:t>}</w:t>
      </w:r>
      <w:r>
        <w:br/>
        <w:t>\tag{3.10762}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\boxed{\operatorname{Stat}\left(\operatorname{Test}_I\right)=\mathrm{Op}.}</w:t>
      </w:r>
    </w:p>
    <w:p w:rsidR="00FE0098" w:rsidRDefault="00E50336" w:rsidP="00FE0098">
      <w:r>
        <w:pict>
          <v:rect id="_x0000_i3494" style="width:0;height:1.5pt" o:hralign="center" o:hrstd="t" o:hr="t" fillcolor="#a0a0a0" stroked="f"/>
        </w:pict>
      </w:r>
    </w:p>
    <w:p w:rsidR="00FE0098" w:rsidRDefault="00FE0098" w:rsidP="00FE0098">
      <w:pPr>
        <w:pStyle w:val="berschrift1"/>
      </w:pPr>
      <w:r>
        <w:t>3.3.45.398 Status der funktionalen Invarianzdrift</w:t>
      </w:r>
    </w:p>
    <w:p w:rsidR="00FE0098" w:rsidRDefault="00FE0098" w:rsidP="00FE0098">
      <w:pPr>
        <w:pStyle w:val="StandardWeb"/>
      </w:pPr>
      <w:r>
        <w:t>Für</w:t>
      </w:r>
    </w:p>
    <w:p w:rsidR="00FE0098" w:rsidRDefault="00FE0098" w:rsidP="00FE0098">
      <w:pPr>
        <w:pStyle w:val="berschrift1"/>
      </w:pPr>
      <w:r>
        <w:t>[</w:t>
      </w:r>
      <w:r>
        <w:br/>
        <w:t>D_I(z_0,z_n)</w:t>
      </w:r>
    </w:p>
    <w:p w:rsidR="00FE0098" w:rsidRDefault="00FE0098" w:rsidP="00FE0098">
      <w:pPr>
        <w:pStyle w:val="StandardWeb"/>
      </w:pPr>
      <w:r>
        <w:t>\frac{</w:t>
      </w:r>
      <w:r>
        <w:br/>
        <w:t>I_F(z_n)-I_F(z_0)</w:t>
      </w:r>
      <w:r>
        <w:br/>
        <w:t>}{</w:t>
      </w:r>
      <w:r>
        <w:br/>
        <w:t>n</w:t>
      </w:r>
      <w:r>
        <w:br/>
        <w:t>}</w:t>
      </w:r>
      <w:r>
        <w:br/>
        <w:t>\tag{3.10763}</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D_I(z_0,z_n)=\frac{I_F(z_n)-I_F(z_0)}{n}</w:t>
      </w:r>
    </w:p>
    <w:p w:rsidR="00FE0098" w:rsidRDefault="00FE0098" w:rsidP="00FE0098">
      <w:pPr>
        <w:pStyle w:val="StandardWeb"/>
      </w:pPr>
      <w:r>
        <w:t>gilt</w:t>
      </w:r>
    </w:p>
    <w:p w:rsidR="00FE0098" w:rsidRDefault="00FE0098" w:rsidP="00FE0098">
      <w:pPr>
        <w:pStyle w:val="berschrift1"/>
      </w:pPr>
      <w:r>
        <w:t>[</w:t>
      </w:r>
      <w:r>
        <w:br/>
        <w:t>\boxed{</w:t>
      </w:r>
      <w:r>
        <w:br/>
        <w:t>\operatorname{Stat}(D_I)</w:t>
      </w:r>
    </w:p>
    <w:p w:rsidR="00FE0098" w:rsidRDefault="00FE0098" w:rsidP="00FE0098">
      <w:pPr>
        <w:pStyle w:val="StandardWeb"/>
      </w:pPr>
      <w:r>
        <w:t>\mathrm{Def/Op}.</w:t>
      </w:r>
      <w:r>
        <w:br/>
        <w:t>}</w:t>
      </w:r>
      <w:r>
        <w:br/>
        <w:t>\tag{3.10764}</w:t>
      </w:r>
      <w:r>
        <w:br/>
        <w:t>]</w:t>
      </w:r>
    </w:p>
    <w:p w:rsidR="00FE0098" w:rsidRDefault="00FE0098" w:rsidP="00FE0098">
      <w:pPr>
        <w:pStyle w:val="StandardWeb"/>
      </w:pPr>
      <w:r>
        <w:rPr>
          <w:rStyle w:val="Fett"/>
        </w:rPr>
        <w:lastRenderedPageBreak/>
        <w:t>Word-LaTeX</w:t>
      </w:r>
    </w:p>
    <w:p w:rsidR="00FE0098" w:rsidRDefault="00FE0098" w:rsidP="00FE0098">
      <w:pPr>
        <w:pStyle w:val="HTMLVorformatiert"/>
        <w:rPr>
          <w:rStyle w:val="HTMLCode"/>
        </w:rPr>
      </w:pPr>
      <w:r>
        <w:rPr>
          <w:rStyle w:val="HTMLCode"/>
        </w:rPr>
        <w:t>\boxed{\operatorname{Stat}(D_I)=\mathrm{Def/Op}.}</w:t>
      </w:r>
    </w:p>
    <w:p w:rsidR="00FE0098" w:rsidRDefault="00E50336" w:rsidP="00FE0098">
      <w:r>
        <w:pict>
          <v:rect id="_x0000_i3495" style="width:0;height:1.5pt" o:hralign="center" o:hrstd="t" o:hr="t" fillcolor="#a0a0a0" stroked="f"/>
        </w:pict>
      </w:r>
    </w:p>
    <w:p w:rsidR="00FE0098" w:rsidRDefault="00FE0098" w:rsidP="00FE0098">
      <w:pPr>
        <w:pStyle w:val="berschrift1"/>
      </w:pPr>
      <w:r>
        <w:t>3.3.45.399 Status der metrischen Modellraumannahme</w:t>
      </w:r>
    </w:p>
    <w:p w:rsidR="00FE0098" w:rsidRDefault="00FE0098" w:rsidP="00FE0098">
      <w:pPr>
        <w:pStyle w:val="StandardWeb"/>
      </w:pPr>
      <w:r>
        <w:t>Für</w:t>
      </w:r>
    </w:p>
    <w:p w:rsidR="00FE0098" w:rsidRDefault="00FE0098" w:rsidP="00FE0098">
      <w:pPr>
        <w:pStyle w:val="StandardWeb"/>
      </w:pPr>
      <w:r>
        <w:t>[</w:t>
      </w:r>
      <w:r>
        <w:br/>
        <w:t>d_{\mathfrak M}</w:t>
      </w:r>
      <w:r>
        <w:br/>
        <w:t>:</w:t>
      </w:r>
      <w:r>
        <w:br/>
        <w:t>\mathfrak M_F</w:t>
      </w:r>
      <w:r>
        <w:br/>
        <w:t>\times</w:t>
      </w:r>
      <w:r>
        <w:br/>
        <w:t>\mathfrak M_F</w:t>
      </w:r>
      <w:r>
        <w:br/>
        <w:t>\rightarrow</w:t>
      </w:r>
      <w:r>
        <w:br/>
        <w:t>\mathbb R_{\geq0}</w:t>
      </w:r>
      <w:r>
        <w:br/>
        <w:t>\tag{3.10765}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d_{\mathfrak M}:\mathfrak M_F\times\mathfrak M_F\rightarrow\mathbb R_{\geq0}</w:t>
      </w:r>
    </w:p>
    <w:p w:rsidR="00FE0098" w:rsidRDefault="00FE0098" w:rsidP="00FE0098">
      <w:pPr>
        <w:pStyle w:val="StandardWeb"/>
      </w:pPr>
      <w:r>
        <w:t>gilt</w:t>
      </w:r>
    </w:p>
    <w:p w:rsidR="00FE0098" w:rsidRDefault="00FE0098" w:rsidP="00FE0098">
      <w:pPr>
        <w:pStyle w:val="berschrift1"/>
      </w:pPr>
      <w:r>
        <w:t>[</w:t>
      </w:r>
      <w:r>
        <w:br/>
        <w:t>\boxed{</w:t>
      </w:r>
      <w:r>
        <w:br/>
        <w:t>\operatorname{Stat}</w:t>
      </w:r>
      <w:r>
        <w:br/>
        <w:t>\left(</w:t>
      </w:r>
      <w:r>
        <w:br/>
        <w:t>M_{\mathfrak M}</w:t>
      </w:r>
      <w:r>
        <w:br/>
        <w:t>\right)</w:t>
      </w:r>
    </w:p>
    <w:p w:rsidR="00FE0098" w:rsidRDefault="00FE0098" w:rsidP="00FE0098">
      <w:pPr>
        <w:pStyle w:val="StandardWeb"/>
      </w:pPr>
      <w:r>
        <w:t>\mathrm{Mod}.</w:t>
      </w:r>
      <w:r>
        <w:br/>
        <w:t>}</w:t>
      </w:r>
      <w:r>
        <w:br/>
        <w:t>\tag{3.10766}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\boxed{\operatorname{Stat}\left(M_{\mathfrak M}\right)=\mathrm{Mod}.}</w:t>
      </w:r>
    </w:p>
    <w:p w:rsidR="00FE0098" w:rsidRDefault="00E50336" w:rsidP="00FE0098">
      <w:r>
        <w:pict>
          <v:rect id="_x0000_i3496" style="width:0;height:1.5pt" o:hralign="center" o:hrstd="t" o:hr="t" fillcolor="#a0a0a0" stroked="f"/>
        </w:pict>
      </w:r>
    </w:p>
    <w:p w:rsidR="00FE0098" w:rsidRDefault="00FE0098" w:rsidP="00FE0098">
      <w:pPr>
        <w:pStyle w:val="berschrift1"/>
      </w:pPr>
      <w:r>
        <w:lastRenderedPageBreak/>
        <w:t>3.3.45.400 Status robuster approximativer Invarianz</w:t>
      </w:r>
    </w:p>
    <w:p w:rsidR="00FE0098" w:rsidRDefault="00FE0098" w:rsidP="00FE0098">
      <w:pPr>
        <w:pStyle w:val="StandardWeb"/>
      </w:pPr>
      <w:r>
        <w:t>Die robuste approximative Invarianz wird innerhalb eines metrischen Modellraumes definiert.</w:t>
      </w:r>
    </w:p>
    <w:p w:rsidR="00FE0098" w:rsidRDefault="00FE0098" w:rsidP="00FE0098">
      <w:pPr>
        <w:pStyle w:val="StandardWeb"/>
      </w:pPr>
      <w:r>
        <w:t>Daher gilt</w:t>
      </w:r>
    </w:p>
    <w:p w:rsidR="00FE0098" w:rsidRDefault="00FE0098" w:rsidP="00FE0098">
      <w:pPr>
        <w:pStyle w:val="berschrift1"/>
      </w:pPr>
      <w:r>
        <w:t>[</w:t>
      </w:r>
      <w:r>
        <w:br/>
        <w:t>\boxed{</w:t>
      </w:r>
      <w:r>
        <w:br/>
        <w:t>\operatorname{Stat}</w:t>
      </w:r>
      <w:r>
        <w:br/>
        <w:t>\left(</w:t>
      </w:r>
      <w:r>
        <w:br/>
        <w:t>\operatorname{RobInv}_F</w:t>
      </w:r>
      <w:r>
        <w:br/>
        <w:t>\right)</w:t>
      </w:r>
    </w:p>
    <w:p w:rsidR="00FE0098" w:rsidRDefault="00FE0098" w:rsidP="00FE0098">
      <w:pPr>
        <w:pStyle w:val="StandardWeb"/>
      </w:pPr>
      <w:r>
        <w:t>\mathrm{Def/Mod}.</w:t>
      </w:r>
      <w:r>
        <w:br/>
        <w:t>}</w:t>
      </w:r>
      <w:r>
        <w:br/>
        <w:t>\tag{3.10767}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\boxed{\operatorname{Stat}\left(\operatorname{RobInv}_F\right)=\mathrm{Def/Mod}.}</w:t>
      </w:r>
    </w:p>
    <w:p w:rsidR="00FE0098" w:rsidRDefault="00E50336" w:rsidP="00FE0098">
      <w:r>
        <w:pict>
          <v:rect id="_x0000_i3497" style="width:0;height:1.5pt" o:hralign="center" o:hrstd="t" o:hr="t" fillcolor="#a0a0a0" stroked="f"/>
        </w:pict>
      </w:r>
    </w:p>
    <w:p w:rsidR="00FE0098" w:rsidRDefault="00FE0098" w:rsidP="00FE0098">
      <w:pPr>
        <w:pStyle w:val="berschrift1"/>
      </w:pPr>
      <w:r>
        <w:t>3.3.45.401 Status approximativ kohärenzerhaltender Symmetrien</w:t>
      </w:r>
    </w:p>
    <w:p w:rsidR="00FE0098" w:rsidRDefault="00FE0098" w:rsidP="00FE0098">
      <w:pPr>
        <w:pStyle w:val="StandardWeb"/>
      </w:pPr>
      <w:r>
        <w:t>Für</w:t>
      </w:r>
    </w:p>
    <w:p w:rsidR="00FE0098" w:rsidRDefault="00FE0098" w:rsidP="00FE0098">
      <w:pPr>
        <w:pStyle w:val="StandardWeb"/>
      </w:pPr>
      <w:r>
        <w:t>[</w:t>
      </w:r>
      <w:r>
        <w:br/>
        <w:t>|C_F(Sz)-C_F(z)|</w:t>
      </w:r>
      <w:r>
        <w:br/>
        <w:t>\leq</w:t>
      </w:r>
      <w:r>
        <w:br/>
        <w:t>\varepsilon_C</w:t>
      </w:r>
      <w:r>
        <w:br/>
        <w:t>\tag{3.10768}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|C_F(Sz)-C_F(z)|\leq\varepsilon_C</w:t>
      </w:r>
    </w:p>
    <w:p w:rsidR="00FE0098" w:rsidRDefault="00FE0098" w:rsidP="00FE0098">
      <w:pPr>
        <w:pStyle w:val="StandardWeb"/>
      </w:pPr>
      <w:r>
        <w:t>gilt</w:t>
      </w:r>
    </w:p>
    <w:p w:rsidR="00FE0098" w:rsidRDefault="00FE0098" w:rsidP="00FE0098">
      <w:pPr>
        <w:pStyle w:val="berschrift1"/>
      </w:pPr>
      <w:r>
        <w:lastRenderedPageBreak/>
        <w:t>[</w:t>
      </w:r>
      <w:r>
        <w:br/>
        <w:t>\boxed{</w:t>
      </w:r>
      <w:r>
        <w:br/>
        <w:t>\operatorname{Stat}</w:t>
      </w:r>
      <w:r>
        <w:br/>
        <w:t>\left(</w:t>
      </w:r>
      <w:r>
        <w:br/>
        <w:t>\mathfrak G_F^{C,(\varepsilon_C)}</w:t>
      </w:r>
      <w:r>
        <w:br/>
        <w:t>\right)</w:t>
      </w:r>
    </w:p>
    <w:p w:rsidR="00FE0098" w:rsidRDefault="00FE0098" w:rsidP="00FE0098">
      <w:pPr>
        <w:pStyle w:val="StandardWeb"/>
      </w:pPr>
      <w:r>
        <w:t>\mathrm{Def/Mod}.</w:t>
      </w:r>
      <w:r>
        <w:br/>
        <w:t>}</w:t>
      </w:r>
      <w:r>
        <w:br/>
        <w:t>\tag{3.10769}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\boxed{\operatorname{Stat}\left(\mathfrak G_F^{C,(\varepsilon_C)}\right)=\mathrm{Def/Mod}.}</w:t>
      </w:r>
    </w:p>
    <w:p w:rsidR="00FE0098" w:rsidRDefault="00E50336" w:rsidP="00FE0098">
      <w:r>
        <w:pict>
          <v:rect id="_x0000_i3498" style="width:0;height:1.5pt" o:hralign="center" o:hrstd="t" o:hr="t" fillcolor="#a0a0a0" stroked="f"/>
        </w:pict>
      </w:r>
    </w:p>
    <w:p w:rsidR="00FE0098" w:rsidRDefault="00FE0098" w:rsidP="00FE0098">
      <w:pPr>
        <w:pStyle w:val="berschrift1"/>
      </w:pPr>
      <w:r>
        <w:t>3.3.45.402 Zusammenfassung der Definitionsschicht</w:t>
      </w:r>
    </w:p>
    <w:p w:rsidR="00FE0098" w:rsidRDefault="00FE0098" w:rsidP="00FE0098">
      <w:pPr>
        <w:pStyle w:val="StandardWeb"/>
      </w:pPr>
      <w:r>
        <w:t>Die wesentlichen rein definitorischen Konstruktionen des Abschnitts lassen sich zusammenfassen als</w:t>
      </w:r>
    </w:p>
    <w:p w:rsidR="00FE0098" w:rsidRDefault="00FE0098" w:rsidP="00FE0098">
      <w:pPr>
        <w:pStyle w:val="berschrift1"/>
      </w:pPr>
      <w:r>
        <w:t>[</w:t>
      </w:r>
      <w:r>
        <w:br/>
        <w:t>\mathfrak D_I</w:t>
      </w:r>
    </w:p>
    <w:p w:rsidR="00FE0098" w:rsidRDefault="00FE0098" w:rsidP="00FE0098">
      <w:pPr>
        <w:pStyle w:val="StandardWeb"/>
      </w:pPr>
      <w:r>
        <w:t>\left{</w:t>
      </w:r>
      <w:r>
        <w:br/>
        <w:t>\operatorname{Inv}_T,</w:t>
      </w:r>
      <w:r>
        <w:br/>
        <w:t>\sim_I,</w:t>
      </w:r>
      <w:r>
        <w:br/>
        <w:t>\mathbf I_F,</w:t>
      </w:r>
      <w:r>
        <w:br/>
        <w:t>\operatorname{Sym}_F,</w:t>
      </w:r>
      <w:r>
        <w:br/>
        <w:t>\sim_S,</w:t>
      </w:r>
      <w:r>
        <w:br/>
        <w:t>\operatorname{Stab}</w:t>
      </w:r>
      <w:r>
        <w:rPr>
          <w:rStyle w:val="Hervorhebung"/>
        </w:rPr>
        <w:t>F,</w:t>
      </w:r>
      <w:r>
        <w:rPr>
          <w:i/>
          <w:iCs/>
        </w:rPr>
        <w:br/>
      </w:r>
      <w:r>
        <w:rPr>
          <w:rStyle w:val="Hervorhebung"/>
        </w:rPr>
        <w:t>\Delta_I,</w:t>
      </w:r>
      <w:r>
        <w:rPr>
          <w:i/>
          <w:iCs/>
        </w:rPr>
        <w:br/>
      </w:r>
      <w:r>
        <w:rPr>
          <w:rStyle w:val="Hervorhebung"/>
        </w:rPr>
        <w:t>\mathcal I_F^{(\varepsilon)},</w:t>
      </w:r>
      <w:r>
        <w:rPr>
          <w:i/>
          <w:iCs/>
        </w:rPr>
        <w:br/>
      </w:r>
      <w:r>
        <w:rPr>
          <w:rStyle w:val="Hervorhebung"/>
        </w:rPr>
        <w:t>R_I,</w:t>
      </w:r>
      <w:r>
        <w:rPr>
          <w:i/>
          <w:iCs/>
        </w:rPr>
        <w:br/>
      </w:r>
      <w:r>
        <w:rPr>
          <w:rStyle w:val="Hervorhebung"/>
        </w:rPr>
        <w:t>\operatorname{Inv}</w:t>
      </w:r>
      <w:r>
        <w:t>{\mathrm{part}}</w:t>
      </w:r>
      <w:r>
        <w:br/>
        <w:t>\right}.</w:t>
      </w:r>
      <w:r>
        <w:br/>
        <w:t>\tag{3.10770}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lastRenderedPageBreak/>
        <w:t>\mathfrak D_I=\left\{\operatorname{Inv}_T,\sim_I,\mathbf I_F,\operatorname{Sym}_F,\sim_S,\operatorname{Stab}_F,\Delta_I,\mathcal I_F^{(\varepsilon)},R_I,\operatorname{Inv}_{\mathrm{part}}\right\}</w:t>
      </w:r>
    </w:p>
    <w:p w:rsidR="00FE0098" w:rsidRDefault="00FE0098" w:rsidP="00FE0098">
      <w:pPr>
        <w:pStyle w:val="StandardWeb"/>
      </w:pPr>
      <w:r>
        <w:t>Diese Menge ist keine neue mathematische Entität des FRZK, sondern eine Metaklassifikation der in diesem Abschnitt verwendeten Definitionsschicht.</w:t>
      </w:r>
    </w:p>
    <w:p w:rsidR="00FE0098" w:rsidRDefault="00E50336" w:rsidP="00FE0098">
      <w:r>
        <w:pict>
          <v:rect id="_x0000_i3499" style="width:0;height:1.5pt" o:hralign="center" o:hrstd="t" o:hr="t" fillcolor="#a0a0a0" stroked="f"/>
        </w:pict>
      </w:r>
    </w:p>
    <w:p w:rsidR="00FE0098" w:rsidRDefault="00FE0098" w:rsidP="00FE0098">
      <w:pPr>
        <w:pStyle w:val="berschrift1"/>
      </w:pPr>
      <w:r>
        <w:t>3.3.45.403 Zusammenfassung der Ableitungsschicht</w:t>
      </w:r>
    </w:p>
    <w:p w:rsidR="00FE0098" w:rsidRDefault="00FE0098" w:rsidP="00FE0098">
      <w:pPr>
        <w:pStyle w:val="StandardWeb"/>
      </w:pPr>
      <w:r>
        <w:t>Die wichtigsten mathematisch abgeleiteten Resultate fasse ich zusammen als</w:t>
      </w:r>
    </w:p>
    <w:p w:rsidR="00FE0098" w:rsidRDefault="00FE0098" w:rsidP="00FE0098">
      <w:pPr>
        <w:pStyle w:val="berschrift1"/>
      </w:pPr>
      <w:r>
        <w:t>[</w:t>
      </w:r>
      <w:r>
        <w:br/>
        <w:t>\mathfrak R_I</w:t>
      </w:r>
    </w:p>
    <w:p w:rsidR="00FE0098" w:rsidRDefault="00FE0098" w:rsidP="00FE0098">
      <w:pPr>
        <w:pStyle w:val="StandardWeb"/>
      </w:pPr>
      <w:r>
        <w:t>\left{</w:t>
      </w:r>
      <w:r>
        <w:br/>
        <w:t>\text{Pfadinvarianz},</w:t>
      </w:r>
      <w:r>
        <w:br/>
        <w:t>\text{Zusammenhangsinvarianz},</w:t>
      </w:r>
      <w:r>
        <w:br/>
        <w:t>\text{Kompositionsabschluss},</w:t>
      </w:r>
      <w:r>
        <w:br/>
        <w:t>\text{Vektorraumabschluss},</w:t>
      </w:r>
      <w:r>
        <w:br/>
        <w:t>\text{Algebraabschluss},</w:t>
      </w:r>
      <w:r>
        <w:br/>
        <w:t>\text{Orbitäquivalenz},</w:t>
      </w:r>
      <w:r>
        <w:br/>
        <w:t>\text{Orbit-Stabilisator},</w:t>
      </w:r>
      <w:r>
        <w:br/>
        <w:t>\text{Maximumskriterium},</w:t>
      </w:r>
      <w:r>
        <w:br/>
        <w:t>\text{Teleskopsumme}</w:t>
      </w:r>
      <w:r>
        <w:br/>
        <w:t>\right}.</w:t>
      </w:r>
      <w:r>
        <w:br/>
        <w:t>\tag{3.10771}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\mathfrak R_I=\left\{\text{Pfadinvarianz},\text{Zusammenhangsinvarianz},\text{Kompositionsabschluss},\text{Vektorraumabschluss},\text{Algebraabschluss},\text{Orbitäquivalenz},\text{Orbit-Stabilisator},\text{Maximumskriterium},\text{Teleskopsumme}\right\}</w:t>
      </w:r>
    </w:p>
    <w:p w:rsidR="00FE0098" w:rsidRDefault="00FE0098" w:rsidP="00FE0098">
      <w:pPr>
        <w:pStyle w:val="StandardWeb"/>
      </w:pPr>
      <w:r>
        <w:t>Für diese Schicht gilt</w:t>
      </w:r>
    </w:p>
    <w:p w:rsidR="00FE0098" w:rsidRDefault="00FE0098" w:rsidP="00FE0098">
      <w:pPr>
        <w:pStyle w:val="berschrift1"/>
      </w:pPr>
      <w:r>
        <w:t>[</w:t>
      </w:r>
      <w:r>
        <w:br/>
        <w:t>\boxed{</w:t>
      </w:r>
      <w:r>
        <w:br/>
        <w:t>\operatorname{Stat}(\mathfrak R_I)</w:t>
      </w:r>
    </w:p>
    <w:p w:rsidR="00FE0098" w:rsidRDefault="00FE0098" w:rsidP="00FE0098">
      <w:pPr>
        <w:pStyle w:val="StandardWeb"/>
      </w:pPr>
      <w:r>
        <w:t>\mathrm{Der}.</w:t>
      </w:r>
      <w:r>
        <w:br/>
        <w:t>}</w:t>
      </w:r>
      <w:r>
        <w:br/>
        <w:t>\tag{3.10772}</w:t>
      </w:r>
      <w:r>
        <w:br/>
        <w:t>]</w:t>
      </w:r>
    </w:p>
    <w:p w:rsidR="00FE0098" w:rsidRDefault="00FE0098" w:rsidP="00FE0098">
      <w:pPr>
        <w:pStyle w:val="StandardWeb"/>
      </w:pPr>
      <w:r>
        <w:rPr>
          <w:rStyle w:val="Fett"/>
        </w:rPr>
        <w:lastRenderedPageBreak/>
        <w:t>Word-LaTeX</w:t>
      </w:r>
    </w:p>
    <w:p w:rsidR="00FE0098" w:rsidRDefault="00FE0098" w:rsidP="00FE0098">
      <w:pPr>
        <w:pStyle w:val="HTMLVorformatiert"/>
        <w:rPr>
          <w:rStyle w:val="HTMLCode"/>
        </w:rPr>
      </w:pPr>
      <w:r>
        <w:rPr>
          <w:rStyle w:val="HTMLCode"/>
        </w:rPr>
        <w:t>\boxed{\operatorname{Stat}(\mathfrak R_I)=\mathrm{Der}.}</w:t>
      </w:r>
    </w:p>
    <w:p w:rsidR="00FE0098" w:rsidRDefault="00E50336" w:rsidP="00FE0098">
      <w:r>
        <w:pict>
          <v:rect id="_x0000_i3500" style="width:0;height:1.5pt" o:hralign="center" o:hrstd="t" o:hr="t" fillcolor="#a0a0a0" stroked="f"/>
        </w:pict>
      </w:r>
    </w:p>
    <w:p w:rsidR="00FE0098" w:rsidRDefault="00FE0098" w:rsidP="00FE0098">
      <w:pPr>
        <w:pStyle w:val="berschrift1"/>
      </w:pPr>
      <w:r>
        <w:t>3.3.45.404 Zusammenfassung der Modellannahmen</w:t>
      </w:r>
    </w:p>
    <w:p w:rsidR="00FE0098" w:rsidRDefault="00FE0098" w:rsidP="00FE0098">
      <w:pPr>
        <w:pStyle w:val="StandardWeb"/>
      </w:pPr>
      <w:r>
        <w:t>Die wesentlichen Modellannahmen des Abschnitts sind</w:t>
      </w:r>
    </w:p>
    <w:p w:rsidR="00FE0098" w:rsidRDefault="00FE0098" w:rsidP="00FE0098">
      <w:pPr>
        <w:pStyle w:val="berschrift1"/>
      </w:pPr>
      <w:r>
        <w:t>[</w:t>
      </w:r>
      <w:r>
        <w:br/>
        <w:t>\mathfrak M_I</w:t>
      </w:r>
    </w:p>
    <w:p w:rsidR="00FE0098" w:rsidRDefault="00FE0098" w:rsidP="00FE0098">
      <w:pPr>
        <w:pStyle w:val="StandardWeb"/>
      </w:pPr>
      <w:r>
        <w:t>\left{</w:t>
      </w:r>
      <w:r>
        <w:br/>
        <w:t>\exists I_F\not\equiv\mathrm{const},</w:t>
      </w:r>
      <w:r>
        <w:br/>
        <w:t>|\mathfrak G_F|&gt;1,</w:t>
      </w:r>
      <w:r>
        <w:br/>
        <w:t>M_S^{\mathrm{diff}},</w:t>
      </w:r>
      <w:r>
        <w:br/>
        <w:t>M_V,</w:t>
      </w:r>
      <w:r>
        <w:br/>
        <w:t>M_D,</w:t>
      </w:r>
      <w:r>
        <w:br/>
        <w:t>M_{\mathfrak M}</w:t>
      </w:r>
      <w:r>
        <w:br/>
        <w:t>\right}.</w:t>
      </w:r>
      <w:r>
        <w:br/>
        <w:t>\tag{3.10773}</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\mathfrak M_I=\left\{\exists I_F\not\equiv\mathrm{const},|\mathfrak G_F|&gt;1,M_S^{\mathrm{diff}},M_V,M_D,M_{\mathfrak M}\right\}</w:t>
      </w:r>
    </w:p>
    <w:p w:rsidR="00FE0098" w:rsidRDefault="00FE0098" w:rsidP="00FE0098">
      <w:pPr>
        <w:pStyle w:val="StandardWeb"/>
      </w:pPr>
      <w:r>
        <w:t>Für diese Klasse gilt</w:t>
      </w:r>
    </w:p>
    <w:p w:rsidR="00FE0098" w:rsidRDefault="00FE0098" w:rsidP="00FE0098">
      <w:pPr>
        <w:pStyle w:val="berschrift1"/>
      </w:pPr>
      <w:r>
        <w:t>[</w:t>
      </w:r>
      <w:r>
        <w:br/>
        <w:t>\boxed{</w:t>
      </w:r>
      <w:r>
        <w:br/>
        <w:t>\operatorname{Stat}(\mathfrak M_I)</w:t>
      </w:r>
    </w:p>
    <w:p w:rsidR="00FE0098" w:rsidRDefault="00FE0098" w:rsidP="00FE0098">
      <w:pPr>
        <w:pStyle w:val="StandardWeb"/>
      </w:pPr>
      <w:r>
        <w:t>\mathrm{Mod}.</w:t>
      </w:r>
      <w:r>
        <w:br/>
        <w:t>}</w:t>
      </w:r>
      <w:r>
        <w:br/>
        <w:t>\tag{3.10774}</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\boxed{\operatorname{Stat}(\mathfrak M_I)=\mathrm{Mod}.}</w:t>
      </w:r>
    </w:p>
    <w:p w:rsidR="00FE0098" w:rsidRDefault="00E50336" w:rsidP="00FE0098">
      <w:r>
        <w:pict>
          <v:rect id="_x0000_i3501" style="width:0;height:1.5pt" o:hralign="center" o:hrstd="t" o:hr="t" fillcolor="#a0a0a0" stroked="f"/>
        </w:pict>
      </w:r>
    </w:p>
    <w:p w:rsidR="00FE0098" w:rsidRDefault="00FE0098" w:rsidP="00FE0098">
      <w:pPr>
        <w:pStyle w:val="berschrift1"/>
      </w:pPr>
      <w:r>
        <w:t>3.3.45.405 Zusammenfassung der Operationalisierungen</w:t>
      </w:r>
    </w:p>
    <w:p w:rsidR="00FE0098" w:rsidRDefault="00FE0098" w:rsidP="00FE0098">
      <w:pPr>
        <w:pStyle w:val="StandardWeb"/>
      </w:pPr>
      <w:r>
        <w:lastRenderedPageBreak/>
        <w:t>Die empirisch beziehungsweise numerisch verwendbaren Kennzahlen umfassen insbesondere</w:t>
      </w:r>
    </w:p>
    <w:p w:rsidR="00FE0098" w:rsidRDefault="00FE0098" w:rsidP="00FE0098">
      <w:pPr>
        <w:pStyle w:val="berschrift1"/>
      </w:pPr>
      <w:r>
        <w:t>[</w:t>
      </w:r>
      <w:r>
        <w:br/>
        <w:t>\mathfrak O_I</w:t>
      </w:r>
    </w:p>
    <w:p w:rsidR="00FE0098" w:rsidRDefault="00FE0098" w:rsidP="00FE0098">
      <w:pPr>
        <w:pStyle w:val="StandardWeb"/>
      </w:pPr>
      <w:r>
        <w:t>\left{</w:t>
      </w:r>
      <w:r>
        <w:br/>
        <w:t>\Delta_I,</w:t>
      </w:r>
      <w:r>
        <w:br/>
        <w:t>\delta_I^{\mathrm{rel}},</w:t>
      </w:r>
      <w:r>
        <w:br/>
        <w:t>\delta_I^{\mathrm{sym}},</w:t>
      </w:r>
      <w:r>
        <w:br/>
        <w:t>r_I^{(\varepsilon)},</w:t>
      </w:r>
      <w:r>
        <w:br/>
        <w:t>\overline{\Delta}</w:t>
      </w:r>
      <w:r>
        <w:rPr>
          <w:rStyle w:val="Hervorhebung"/>
        </w:rPr>
        <w:t>I,</w:t>
      </w:r>
      <w:r>
        <w:rPr>
          <w:i/>
          <w:iCs/>
        </w:rPr>
        <w:br/>
      </w:r>
      <w:r>
        <w:rPr>
          <w:rStyle w:val="Hervorhebung"/>
        </w:rPr>
        <w:t>\Delta_I^{\max},</w:t>
      </w:r>
      <w:r>
        <w:rPr>
          <w:i/>
          <w:iCs/>
        </w:rPr>
        <w:br/>
      </w:r>
      <w:r>
        <w:rPr>
          <w:rStyle w:val="Hervorhebung"/>
        </w:rPr>
        <w:t>\overline{\Delta}</w:t>
      </w:r>
      <w:r>
        <w:t>{I,w},</w:t>
      </w:r>
      <w:r>
        <w:br/>
        <w:t>\widehat{\Delta}_I,</w:t>
      </w:r>
      <w:r>
        <w:br/>
        <w:t>E_I^{(2)},</w:t>
      </w:r>
      <w:r>
        <w:br/>
        <w:t>D_I</w:t>
      </w:r>
      <w:r>
        <w:br/>
        <w:t>\right}.</w:t>
      </w:r>
      <w:r>
        <w:br/>
        <w:t>\tag{3.10775}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\mathfrak O_I=\left\{\Delta_I,\delta_I^{\mathrm{rel}},\delta_I^{\mathrm{sym}},r_I^{(\varepsilon)},\overline{\Delta}_I,\Delta_I^{\max},\overline{\Delta}_{I,w},\widehat{\Delta}_I,E_I^{(2)},D_I\right\}</w:t>
      </w:r>
    </w:p>
    <w:p w:rsidR="00FE0098" w:rsidRDefault="00FE0098" w:rsidP="00FE0098">
      <w:pPr>
        <w:pStyle w:val="StandardWeb"/>
      </w:pPr>
      <w:r>
        <w:t>Damit gilt</w:t>
      </w:r>
    </w:p>
    <w:p w:rsidR="00FE0098" w:rsidRDefault="00FE0098" w:rsidP="00FE0098">
      <w:pPr>
        <w:pStyle w:val="berschrift1"/>
      </w:pPr>
      <w:r>
        <w:t>[</w:t>
      </w:r>
      <w:r>
        <w:br/>
        <w:t>\boxed{</w:t>
      </w:r>
      <w:r>
        <w:br/>
        <w:t>\operatorname{Stat}(\mathfrak O_I)</w:t>
      </w:r>
    </w:p>
    <w:p w:rsidR="00FE0098" w:rsidRDefault="00FE0098" w:rsidP="00FE0098">
      <w:pPr>
        <w:pStyle w:val="StandardWeb"/>
      </w:pPr>
      <w:r>
        <w:t>\mathrm{Op}.</w:t>
      </w:r>
      <w:r>
        <w:br/>
        <w:t>}</w:t>
      </w:r>
      <w:r>
        <w:br/>
        <w:t>\tag{3.10776}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\boxed{\operatorname{Stat}(\mathfrak O_I)=\mathrm{Op}.}</w:t>
      </w:r>
    </w:p>
    <w:p w:rsidR="00FE0098" w:rsidRDefault="00E50336" w:rsidP="00FE0098">
      <w:r>
        <w:pict>
          <v:rect id="_x0000_i3502" style="width:0;height:1.5pt" o:hralign="center" o:hrstd="t" o:hr="t" fillcolor="#a0a0a0" stroked="f"/>
        </w:pict>
      </w:r>
    </w:p>
    <w:p w:rsidR="00FE0098" w:rsidRDefault="00FE0098" w:rsidP="00FE0098">
      <w:pPr>
        <w:pStyle w:val="berschrift1"/>
      </w:pPr>
      <w:r>
        <w:t>3.3.45.406 Primäraxiomschicht</w:t>
      </w:r>
    </w:p>
    <w:p w:rsidR="00FE0098" w:rsidRDefault="00FE0098" w:rsidP="00FE0098">
      <w:pPr>
        <w:pStyle w:val="StandardWeb"/>
      </w:pPr>
      <w:r>
        <w:t>Nun bleibt die entscheidende Frage, ob aus dem gesamten Abschnitt irgendeine neue Primäraxiomstruktur hervorgegangen ist.</w:t>
      </w:r>
    </w:p>
    <w:p w:rsidR="00FE0098" w:rsidRDefault="00FE0098" w:rsidP="00FE0098">
      <w:pPr>
        <w:pStyle w:val="StandardWeb"/>
      </w:pPr>
      <w:r>
        <w:lastRenderedPageBreak/>
        <w:t>Ich definiere die Menge aller in 3.3.45 neu bestätigten Primäraxiome als</w:t>
      </w:r>
    </w:p>
    <w:p w:rsidR="00FE0098" w:rsidRDefault="00FE0098" w:rsidP="00FE0098">
      <w:pPr>
        <w:pStyle w:val="berschrift1"/>
      </w:pPr>
      <w:r>
        <w:t>[</w:t>
      </w:r>
      <w:r>
        <w:br/>
        <w:t>\mathfrak A_I^{\mathrm{new}}</w:t>
      </w:r>
    </w:p>
    <w:p w:rsidR="00FE0098" w:rsidRDefault="00FE0098" w:rsidP="00FE0098">
      <w:pPr>
        <w:pStyle w:val="StandardWeb"/>
      </w:pPr>
      <w:r>
        <w:t>\left{</w:t>
      </w:r>
      <w:r>
        <w:br/>
        <w:t>X:</w:t>
      </w:r>
      <w:r>
        <w:br/>
        <w:t>X\text{ wurde in 3.3.45 neu eingeführt}</w:t>
      </w:r>
      <w:r>
        <w:br/>
        <w:t>\land</w:t>
      </w:r>
      <w:r>
        <w:br/>
        <w:t>U_{\mathrm{Ax}}(X)=1</w:t>
      </w:r>
      <w:r>
        <w:br/>
        <w:t>\right}.</w:t>
      </w:r>
      <w:r>
        <w:br/>
        <w:t>\tag{3.10777}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\mathfrak A_I^{\mathrm{new}}=\left\{X:X\text{ wurde in 3.3.45 neu eingeführt}\land U_{\mathrm{Ax}}(X)=1\right\}</w:t>
      </w:r>
    </w:p>
    <w:p w:rsidR="00FE0098" w:rsidRDefault="00E50336" w:rsidP="00FE0098">
      <w:r>
        <w:pict>
          <v:rect id="_x0000_i3503" style="width:0;height:1.5pt" o:hralign="center" o:hrstd="t" o:hr="t" fillcolor="#a0a0a0" stroked="f"/>
        </w:pict>
      </w:r>
    </w:p>
    <w:p w:rsidR="00FE0098" w:rsidRDefault="00FE0098" w:rsidP="00FE0098">
      <w:pPr>
        <w:pStyle w:val="berschrift1"/>
      </w:pPr>
      <w:r>
        <w:t>3.3.45.407 Endgültiges Ergebnis der Primäraxiomprüfung</w:t>
      </w:r>
    </w:p>
    <w:p w:rsidR="00FE0098" w:rsidRDefault="00FE0098" w:rsidP="00FE0098">
      <w:pPr>
        <w:pStyle w:val="StandardWeb"/>
      </w:pPr>
      <w:r>
        <w:t>Für sämtliche geprüften Kandidaten gilt</w:t>
      </w:r>
    </w:p>
    <w:p w:rsidR="00FE0098" w:rsidRDefault="00FE0098" w:rsidP="00FE0098">
      <w:pPr>
        <w:pStyle w:val="StandardWeb"/>
      </w:pPr>
      <w:r>
        <w:t>[</w:t>
      </w:r>
      <w:r>
        <w:br/>
        <w:t>U_{\mathrm{Ax}}(X)=0.</w:t>
      </w:r>
      <w:r>
        <w:br/>
        <w:t>\tag{3.10778}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U_{\mathrm{Ax}}(X)=0</w:t>
      </w:r>
    </w:p>
    <w:p w:rsidR="00FE0098" w:rsidRDefault="00FE0098" w:rsidP="00FE0098">
      <w:pPr>
        <w:pStyle w:val="StandardWeb"/>
      </w:pPr>
      <w:r>
        <w:t>Damit folgt</w:t>
      </w:r>
    </w:p>
    <w:p w:rsidR="00FE0098" w:rsidRDefault="00FE0098" w:rsidP="00FE0098">
      <w:pPr>
        <w:pStyle w:val="berschrift1"/>
      </w:pPr>
      <w:r>
        <w:t>[</w:t>
      </w:r>
      <w:r>
        <w:br/>
        <w:t>\boxed{</w:t>
      </w:r>
      <w:r>
        <w:br/>
        <w:t>\mathfrak A_I^{\mathrm{new}}</w:t>
      </w:r>
    </w:p>
    <w:p w:rsidR="00FE0098" w:rsidRDefault="00FE0098" w:rsidP="00FE0098">
      <w:pPr>
        <w:pStyle w:val="StandardWeb"/>
      </w:pPr>
      <w:r>
        <w:t>\varnothing.</w:t>
      </w:r>
      <w:r>
        <w:br/>
        <w:t>}</w:t>
      </w:r>
      <w:r>
        <w:br/>
        <w:t>\tag{3.10779}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lastRenderedPageBreak/>
        <w:t>\boxed{\mathfrak A_I^{\mathrm{new}}=\varnothing.}</w:t>
      </w:r>
    </w:p>
    <w:p w:rsidR="00FE0098" w:rsidRDefault="00FE0098" w:rsidP="00FE0098">
      <w:pPr>
        <w:pStyle w:val="StandardWeb"/>
      </w:pPr>
      <w:r>
        <w:t xml:space="preserve">Abschnitt 3.3.45 führt somit </w:t>
      </w:r>
      <w:r>
        <w:rPr>
          <w:rStyle w:val="Fett"/>
        </w:rPr>
        <w:t>kein neues Primäraxiom</w:t>
      </w:r>
      <w:r>
        <w:t xml:space="preserve"> in das FRZK ein.</w:t>
      </w:r>
    </w:p>
    <w:p w:rsidR="00FE0098" w:rsidRDefault="00E50336" w:rsidP="00FE0098">
      <w:r>
        <w:pict>
          <v:rect id="_x0000_i3504" style="width:0;height:1.5pt" o:hralign="center" o:hrstd="t" o:hr="t" fillcolor="#a0a0a0" stroked="f"/>
        </w:pict>
      </w:r>
    </w:p>
    <w:p w:rsidR="00FE0098" w:rsidRDefault="00FE0098" w:rsidP="00FE0098">
      <w:pPr>
        <w:pStyle w:val="berschrift1"/>
      </w:pPr>
      <w:r>
        <w:t>3.3.45.408 Satz 3.3.73 – Keine neue Primäraxiomatik aus der Invarianzstruktur</w:t>
      </w:r>
    </w:p>
    <w:p w:rsidR="00FE0098" w:rsidRDefault="00FE0098" w:rsidP="00FE0098">
      <w:pPr>
        <w:pStyle w:val="berschrift3"/>
      </w:pPr>
      <w:r>
        <w:t>Satz 3.3.73</w:t>
      </w:r>
    </w:p>
    <w:p w:rsidR="00FE0098" w:rsidRDefault="00FE0098" w:rsidP="00FE0098">
      <w:pPr>
        <w:pStyle w:val="StandardWeb"/>
      </w:pPr>
      <w:r>
        <w:t>Die in Abschnitt 3.3.45 entwickelten Strukturen der exakten Invarianz, algebraischen Invariantenbildung, funktionalen Symmetrie und approximativen Invarianz lassen sich vollständig als Definitionen, mathematische Ableitungen, Modellannahmen oder Operationalisierungen klassifizieren. Keine dieser neu eingeführten Strukturen ist als zusätzliches Primäraxiom erforderlich.</w:t>
      </w:r>
    </w:p>
    <w:p w:rsidR="00FE0098" w:rsidRDefault="00FE0098" w:rsidP="00FE0098">
      <w:pPr>
        <w:pStyle w:val="StandardWeb"/>
      </w:pPr>
      <w:r>
        <w:t>Formal gilt</w:t>
      </w:r>
    </w:p>
    <w:p w:rsidR="00FE0098" w:rsidRDefault="00FE0098" w:rsidP="00FE0098">
      <w:pPr>
        <w:pStyle w:val="berschrift1"/>
      </w:pPr>
      <w:r>
        <w:t>[</w:t>
      </w:r>
      <w:r>
        <w:br/>
        <w:t>\boxed{</w:t>
      </w:r>
      <w:r>
        <w:br/>
        <w:t>\mathfrak A_I^{\mathrm{new}}</w:t>
      </w:r>
    </w:p>
    <w:p w:rsidR="00FE0098" w:rsidRDefault="00FE0098" w:rsidP="00FE0098">
      <w:pPr>
        <w:pStyle w:val="StandardWeb"/>
      </w:pPr>
      <w:r>
        <w:t>\varnothing.</w:t>
      </w:r>
      <w:r>
        <w:br/>
        <w:t>}</w:t>
      </w:r>
      <w:r>
        <w:br/>
        <w:t>\tag{3.10780}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\boxed{\mathfrak A_I^{\mathrm{new}}=\varnothing.}</w:t>
      </w:r>
    </w:p>
    <w:p w:rsidR="00FE0098" w:rsidRDefault="00FE0098" w:rsidP="00FE0098">
      <w:pPr>
        <w:pStyle w:val="berschrift3"/>
      </w:pPr>
      <w:r>
        <w:t>Beweis</w:t>
      </w:r>
    </w:p>
    <w:p w:rsidR="00FE0098" w:rsidRDefault="00FE0098" w:rsidP="00FE0098">
      <w:pPr>
        <w:pStyle w:val="StandardWeb"/>
      </w:pPr>
      <w:r>
        <w:t>Für sämtliche im Abschnitt geprüften Axiomkandidaten wurde entweder gezeigt, dass sie aus bereits eingeführten Strukturen folgen, lediglich definitorisch sind, eine zusätzliche Modellstruktur voraussetzen oder der Operationalisierung dienen. Für keinen Kandidaten ergibt sich daher</w:t>
      </w:r>
    </w:p>
    <w:p w:rsidR="00FE0098" w:rsidRDefault="00FE0098" w:rsidP="00FE0098">
      <w:pPr>
        <w:pStyle w:val="StandardWeb"/>
      </w:pPr>
      <w:r>
        <w:t>[</w:t>
      </w:r>
      <w:r>
        <w:br/>
        <w:t>U_{\mathrm{Ax}}(X)=1.</w:t>
      </w:r>
      <w:r>
        <w:br/>
        <w:t>\tag{3.10781}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U_{\mathrm{Ax}}(X)=1</w:t>
      </w:r>
    </w:p>
    <w:p w:rsidR="00FE0098" w:rsidRDefault="00FE0098" w:rsidP="00FE0098">
      <w:pPr>
        <w:pStyle w:val="StandardWeb"/>
      </w:pPr>
      <w:r>
        <w:t>Somit enthält die Menge neu bestätigter Primäraxiome kein Element. (\square)</w:t>
      </w:r>
    </w:p>
    <w:p w:rsidR="00FE0098" w:rsidRDefault="00E50336" w:rsidP="00FE0098">
      <w:r>
        <w:lastRenderedPageBreak/>
        <w:pict>
          <v:rect id="_x0000_i3505" style="width:0;height:1.5pt" o:hralign="center" o:hrstd="t" o:hr="t" fillcolor="#a0a0a0" stroked="f"/>
        </w:pict>
      </w:r>
    </w:p>
    <w:p w:rsidR="00FE0098" w:rsidRDefault="00FE0098" w:rsidP="00FE0098">
      <w:pPr>
        <w:pStyle w:val="berschrift1"/>
      </w:pPr>
      <w:r>
        <w:t>3.3.45.409 Konsequenz für den Primäraxiomkandidaten (A_I)</w:t>
      </w:r>
    </w:p>
    <w:p w:rsidR="00FE0098" w:rsidRDefault="00FE0098" w:rsidP="00FE0098">
      <w:pPr>
        <w:pStyle w:val="StandardWeb"/>
      </w:pPr>
      <w:r>
        <w:t>Der ursprünglich untersuchte Kandidat</w:t>
      </w:r>
    </w:p>
    <w:p w:rsidR="00FE0098" w:rsidRDefault="00FE0098" w:rsidP="00FE0098">
      <w:pPr>
        <w:pStyle w:val="StandardWeb"/>
      </w:pPr>
      <w:r>
        <w:t>[</w:t>
      </w:r>
      <w:r>
        <w:br/>
        <w:t>A_I:</w:t>
      </w:r>
      <w:r>
        <w:br/>
        <w:t>\exists I_F\not\equiv\mathrm{const}</w:t>
      </w:r>
      <w:r>
        <w:br/>
        <w:t>\tag{3.10782}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A_I:\exists I_F\not\equiv\mathrm{const}</w:t>
      </w:r>
    </w:p>
    <w:p w:rsidR="00FE0098" w:rsidRDefault="00FE0098" w:rsidP="00FE0098">
      <w:pPr>
        <w:pStyle w:val="StandardWeb"/>
      </w:pPr>
      <w:r>
        <w:t>bleibt endgültig verworfen.</w:t>
      </w:r>
    </w:p>
    <w:p w:rsidR="00FE0098" w:rsidRDefault="00FE0098" w:rsidP="00FE0098">
      <w:pPr>
        <w:pStyle w:val="StandardWeb"/>
      </w:pPr>
      <w:r>
        <w:t>Damit gilt</w:t>
      </w:r>
    </w:p>
    <w:p w:rsidR="00FE0098" w:rsidRDefault="00FE0098" w:rsidP="00FE0098">
      <w:pPr>
        <w:pStyle w:val="berschrift1"/>
      </w:pPr>
      <w:r>
        <w:t>[</w:t>
      </w:r>
      <w:r>
        <w:br/>
        <w:t>\boxed{</w:t>
      </w:r>
      <w:r>
        <w:br/>
        <w:t>\operatorname{Stat}(A_I)</w:t>
      </w:r>
    </w:p>
    <w:p w:rsidR="00FE0098" w:rsidRDefault="00FE0098" w:rsidP="00FE0098">
      <w:pPr>
        <w:pStyle w:val="StandardWeb"/>
      </w:pPr>
      <w:r>
        <w:t>\mathrm{verworfen\ als\ Primäraxiom}.</w:t>
      </w:r>
      <w:r>
        <w:br/>
        <w:t>}</w:t>
      </w:r>
      <w:r>
        <w:br/>
        <w:t>\tag{3.10783}</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\boxed{\operatorname{Stat}(A_I)=\mathrm{verworfen\ als\ Primäraxiom}.}</w:t>
      </w:r>
    </w:p>
    <w:p w:rsidR="00FE0098" w:rsidRDefault="00E50336" w:rsidP="00FE0098">
      <w:r>
        <w:pict>
          <v:rect id="_x0000_i3506" style="width:0;height:1.5pt" o:hralign="center" o:hrstd="t" o:hr="t" fillcolor="#a0a0a0" stroked="f"/>
        </w:pict>
      </w:r>
    </w:p>
    <w:p w:rsidR="00FE0098" w:rsidRDefault="00FE0098" w:rsidP="00FE0098">
      <w:pPr>
        <w:pStyle w:val="berschrift1"/>
      </w:pPr>
      <w:r>
        <w:t>3.3.45.410 Konsequenz für Symmetrieaxiome</w:t>
      </w:r>
    </w:p>
    <w:p w:rsidR="00FE0098" w:rsidRDefault="00FE0098" w:rsidP="00FE0098">
      <w:pPr>
        <w:pStyle w:val="StandardWeb"/>
      </w:pPr>
      <w:r>
        <w:t>Ebenso wird kein Axiom</w:t>
      </w:r>
    </w:p>
    <w:p w:rsidR="00FE0098" w:rsidRDefault="00FE0098" w:rsidP="00FE0098">
      <w:pPr>
        <w:pStyle w:val="StandardWeb"/>
      </w:pPr>
      <w:r>
        <w:t>[</w:t>
      </w:r>
      <w:r>
        <w:br/>
        <w:t>A_S:</w:t>
      </w:r>
      <w:r>
        <w:br/>
        <w:t>|\mathfrak G_F|&gt;1</w:t>
      </w:r>
      <w:r>
        <w:br/>
        <w:t>\tag{3.10784}</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A_S:|\mathfrak G_F|&gt;1</w:t>
      </w:r>
    </w:p>
    <w:p w:rsidR="00FE0098" w:rsidRDefault="00FE0098" w:rsidP="00FE0098">
      <w:pPr>
        <w:pStyle w:val="StandardWeb"/>
      </w:pPr>
      <w:r>
        <w:lastRenderedPageBreak/>
        <w:t>eingeführt.</w:t>
      </w:r>
    </w:p>
    <w:p w:rsidR="00FE0098" w:rsidRDefault="00FE0098" w:rsidP="00FE0098">
      <w:pPr>
        <w:pStyle w:val="StandardWeb"/>
      </w:pPr>
      <w:r>
        <w:t>Es gilt</w:t>
      </w:r>
    </w:p>
    <w:p w:rsidR="00FE0098" w:rsidRDefault="00FE0098" w:rsidP="00FE0098">
      <w:pPr>
        <w:pStyle w:val="berschrift1"/>
      </w:pPr>
      <w:r>
        <w:t>[</w:t>
      </w:r>
      <w:r>
        <w:br/>
        <w:t>\boxed{</w:t>
      </w:r>
      <w:r>
        <w:br/>
        <w:t>\operatorname{Stat}(A_S)</w:t>
      </w:r>
    </w:p>
    <w:p w:rsidR="00FE0098" w:rsidRDefault="00FE0098" w:rsidP="00FE0098">
      <w:pPr>
        <w:pStyle w:val="StandardWeb"/>
      </w:pPr>
      <w:r>
        <w:t>\mathrm{verworfen\ als\ Primäraxiom}.</w:t>
      </w:r>
      <w:r>
        <w:br/>
        <w:t>}</w:t>
      </w:r>
      <w:r>
        <w:br/>
        <w:t>\tag{3.10785}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\boxed{\operatorname{Stat}(A_S)=\mathrm{verworfen\ als\ Primäraxiom}.}</w:t>
      </w:r>
    </w:p>
    <w:p w:rsidR="00FE0098" w:rsidRDefault="00E50336" w:rsidP="00FE0098">
      <w:r>
        <w:pict>
          <v:rect id="_x0000_i3507" style="width:0;height:1.5pt" o:hralign="center" o:hrstd="t" o:hr="t" fillcolor="#a0a0a0" stroked="f"/>
        </w:pict>
      </w:r>
    </w:p>
    <w:p w:rsidR="00FE0098" w:rsidRDefault="00FE0098" w:rsidP="00FE0098">
      <w:pPr>
        <w:pStyle w:val="berschrift1"/>
      </w:pPr>
      <w:r>
        <w:t>3.3.45.411 Konsequenz für Noether-artige Axiome</w:t>
      </w:r>
    </w:p>
    <w:p w:rsidR="00FE0098" w:rsidRDefault="00FE0098" w:rsidP="00FE0098">
      <w:pPr>
        <w:pStyle w:val="StandardWeb"/>
      </w:pPr>
      <w:r>
        <w:t>Auch eine postulierte Beziehung</w:t>
      </w:r>
    </w:p>
    <w:p w:rsidR="00FE0098" w:rsidRDefault="00FE0098" w:rsidP="00FE0098">
      <w:pPr>
        <w:pStyle w:val="StandardWeb"/>
      </w:pPr>
      <w:r>
        <w:t>[</w:t>
      </w:r>
      <w:r>
        <w:br/>
        <w:t>A_N:</w:t>
      </w:r>
      <w:r>
        <w:br/>
        <w:t>\text{Symmetrie}</w:t>
      </w:r>
      <w:r>
        <w:br/>
        <w:t>\Rightarrow</w:t>
      </w:r>
      <w:r>
        <w:br/>
        <w:t>\text{Erhaltung}</w:t>
      </w:r>
      <w:r>
        <w:br/>
        <w:t>\tag{3.10786}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A_N:\text{Symmetrie}\Rightarrow\text{Erhaltung}</w:t>
      </w:r>
    </w:p>
    <w:p w:rsidR="00FE0098" w:rsidRDefault="00FE0098" w:rsidP="00FE0098">
      <w:pPr>
        <w:pStyle w:val="StandardWeb"/>
      </w:pPr>
      <w:r>
        <w:t>wird nicht als Primäraxiom eingeführt.</w:t>
      </w:r>
    </w:p>
    <w:p w:rsidR="00FE0098" w:rsidRDefault="00FE0098" w:rsidP="00FE0098">
      <w:pPr>
        <w:pStyle w:val="StandardWeb"/>
      </w:pPr>
      <w:r>
        <w:t>Damit gilt</w:t>
      </w:r>
    </w:p>
    <w:p w:rsidR="00FE0098" w:rsidRDefault="00FE0098" w:rsidP="00FE0098">
      <w:pPr>
        <w:pStyle w:val="berschrift1"/>
      </w:pPr>
      <w:r>
        <w:t>[</w:t>
      </w:r>
      <w:r>
        <w:br/>
        <w:t>\boxed{</w:t>
      </w:r>
      <w:r>
        <w:br/>
        <w:t>\operatorname{Stat}(A_N)</w:t>
      </w:r>
    </w:p>
    <w:p w:rsidR="00FE0098" w:rsidRDefault="00FE0098" w:rsidP="00FE0098">
      <w:pPr>
        <w:pStyle w:val="StandardWeb"/>
      </w:pPr>
      <w:r>
        <w:t>\mathrm{verworfen\ als\ Primäraxiom}.</w:t>
      </w:r>
      <w:r>
        <w:br/>
        <w:t>}</w:t>
      </w:r>
      <w:r>
        <w:br/>
        <w:t>\tag{3.10787}</w:t>
      </w:r>
      <w:r>
        <w:br/>
        <w:t>]</w:t>
      </w:r>
    </w:p>
    <w:p w:rsidR="00FE0098" w:rsidRDefault="00FE0098" w:rsidP="00FE0098">
      <w:pPr>
        <w:pStyle w:val="StandardWeb"/>
      </w:pPr>
      <w:r>
        <w:rPr>
          <w:rStyle w:val="Fett"/>
        </w:rPr>
        <w:lastRenderedPageBreak/>
        <w:t>Word-LaTeX</w:t>
      </w:r>
    </w:p>
    <w:p w:rsidR="00FE0098" w:rsidRDefault="00FE0098" w:rsidP="00FE0098">
      <w:pPr>
        <w:pStyle w:val="HTMLVorformatiert"/>
        <w:rPr>
          <w:rStyle w:val="HTMLCode"/>
        </w:rPr>
      </w:pPr>
      <w:r>
        <w:rPr>
          <w:rStyle w:val="HTMLCode"/>
        </w:rPr>
        <w:t>\boxed{\operatorname{Stat}(A_N)=\mathrm{verworfen\ als\ Primäraxiom}.}</w:t>
      </w:r>
    </w:p>
    <w:p w:rsidR="00FE0098" w:rsidRDefault="00FE0098" w:rsidP="00FE0098">
      <w:pPr>
        <w:pStyle w:val="StandardWeb"/>
      </w:pPr>
      <w:r>
        <w:t>Eine Noether-artige Beziehung bleibt ausschließlich als möglicher späterer Satz spezieller Modellklassen offen.</w:t>
      </w:r>
    </w:p>
    <w:p w:rsidR="00FE0098" w:rsidRDefault="00E50336" w:rsidP="00FE0098">
      <w:r>
        <w:pict>
          <v:rect id="_x0000_i3508" style="width:0;height:1.5pt" o:hralign="center" o:hrstd="t" o:hr="t" fillcolor="#a0a0a0" stroked="f"/>
        </w:pict>
      </w:r>
    </w:p>
    <w:p w:rsidR="00FE0098" w:rsidRDefault="00FE0098" w:rsidP="00FE0098">
      <w:pPr>
        <w:pStyle w:val="berschrift1"/>
      </w:pPr>
      <w:r>
        <w:t>3.3.45.412 Endgültige Architektur von Abschnitt 3.3.45</w:t>
      </w:r>
    </w:p>
    <w:p w:rsidR="00FE0098" w:rsidRDefault="00FE0098" w:rsidP="00FE0098">
      <w:pPr>
        <w:pStyle w:val="StandardWeb"/>
      </w:pPr>
      <w:r>
        <w:t>Die vollständige Invarianzarchitektur kann nun zusammengefasst werden als</w:t>
      </w:r>
    </w:p>
    <w:p w:rsidR="00FE0098" w:rsidRDefault="00FE0098" w:rsidP="00FE0098">
      <w:pPr>
        <w:pStyle w:val="berschrift1"/>
      </w:pPr>
      <w:r>
        <w:t>[</w:t>
      </w:r>
      <w:r>
        <w:br/>
        <w:t>\mathfrak I_F^{\mathrm{final}}</w:t>
      </w:r>
    </w:p>
    <w:p w:rsidR="00FE0098" w:rsidRDefault="00FE0098" w:rsidP="00FE0098">
      <w:pPr>
        <w:pStyle w:val="StandardWeb"/>
      </w:pPr>
      <w:r>
        <w:t>\left(</w:t>
      </w:r>
      <w:r>
        <w:br/>
        <w:t>\mathfrak D_I,</w:t>
      </w:r>
      <w:r>
        <w:br/>
        <w:t>\mathfrak R_I,</w:t>
      </w:r>
      <w:r>
        <w:br/>
        <w:t>\mathfrak M_I,</w:t>
      </w:r>
      <w:r>
        <w:br/>
        <w:t>\mathfrak O_I</w:t>
      </w:r>
      <w:r>
        <w:br/>
        <w:t>\right).</w:t>
      </w:r>
      <w:r>
        <w:br/>
        <w:t>\tag{3.10788}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\mathfrak I_F^{\mathrm{final}}=\left(\mathfrak D_I,\mathfrak R_I,\mathfrak M_I,\mathfrak O_I\right)</w:t>
      </w:r>
    </w:p>
    <w:p w:rsidR="00FE0098" w:rsidRDefault="00FE0098" w:rsidP="00FE0098">
      <w:pPr>
        <w:pStyle w:val="StandardWeb"/>
      </w:pPr>
      <w:r>
        <w:t>Eine zusätzliche Primäraxiomkomponente ist nicht erforderlich:</w:t>
      </w:r>
    </w:p>
    <w:p w:rsidR="00FE0098" w:rsidRDefault="00FE0098" w:rsidP="00FE0098">
      <w:pPr>
        <w:pStyle w:val="berschrift1"/>
      </w:pPr>
      <w:r>
        <w:t>[</w:t>
      </w:r>
      <w:r>
        <w:br/>
        <w:t>\boxed{</w:t>
      </w:r>
      <w:r>
        <w:br/>
        <w:t>\mathfrak I_F^{\mathrm{final}}</w:t>
      </w:r>
    </w:p>
    <w:p w:rsidR="00FE0098" w:rsidRDefault="00FE0098" w:rsidP="00FE0098">
      <w:pPr>
        <w:pStyle w:val="StandardWeb"/>
      </w:pPr>
      <w:r>
        <w:t>\left(</w:t>
      </w:r>
      <w:r>
        <w:br/>
        <w:t>\mathfrak D_I,</w:t>
      </w:r>
      <w:r>
        <w:br/>
        <w:t>\mathfrak R_I,</w:t>
      </w:r>
      <w:r>
        <w:br/>
        <w:t>\mathfrak M_I,</w:t>
      </w:r>
      <w:r>
        <w:br/>
        <w:t>\mathfrak O_I,</w:t>
      </w:r>
      <w:r>
        <w:br/>
        <w:t>\varnothing_{\mathrm{Ax}}</w:t>
      </w:r>
      <w:r>
        <w:br/>
        <w:t>\right).</w:t>
      </w:r>
      <w:r>
        <w:br/>
        <w:t>}</w:t>
      </w:r>
      <w:r>
        <w:br/>
        <w:t>\tag{3.10789}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lastRenderedPageBreak/>
        <w:t>\boxed{\mathfrak I_F^{\mathrm{final}}=\left(\mathfrak D_I,\mathfrak R_I,\mathfrak M_I,\mathfrak O_I,\varnothing_{\mathrm{Ax}}\right).}</w:t>
      </w:r>
    </w:p>
    <w:p w:rsidR="00FE0098" w:rsidRDefault="00E50336" w:rsidP="00FE0098">
      <w:r>
        <w:pict>
          <v:rect id="_x0000_i3509" style="width:0;height:1.5pt" o:hralign="center" o:hrstd="t" o:hr="t" fillcolor="#a0a0a0" stroked="f"/>
        </w:pict>
      </w:r>
    </w:p>
    <w:p w:rsidR="00FE0098" w:rsidRDefault="00FE0098" w:rsidP="00FE0098">
      <w:pPr>
        <w:pStyle w:val="berschrift1"/>
      </w:pPr>
      <w:r>
        <w:t>3.3.45.413 Beziehung zur bestehenden FRZK-Primäraxiomatik</w:t>
      </w:r>
    </w:p>
    <w:p w:rsidR="00FE0098" w:rsidRDefault="00FE0098" w:rsidP="00FE0098">
      <w:pPr>
        <w:pStyle w:val="StandardWeb"/>
      </w:pPr>
      <w:r>
        <w:t>Die Invarianzarchitektur setzt auf der bereits entwickelten FRZK-Grundstruktur auf.</w:t>
      </w:r>
    </w:p>
    <w:p w:rsidR="00FE0098" w:rsidRDefault="00FE0098" w:rsidP="00FE0098">
      <w:pPr>
        <w:pStyle w:val="StandardWeb"/>
      </w:pPr>
      <w:r>
        <w:t>Sie verändert die zuvor bestätigten Primäraxiome nicht.</w:t>
      </w:r>
    </w:p>
    <w:p w:rsidR="00FE0098" w:rsidRDefault="00FE0098" w:rsidP="00FE0098">
      <w:pPr>
        <w:pStyle w:val="StandardWeb"/>
      </w:pPr>
      <w:r>
        <w:t>Daher gilt</w:t>
      </w:r>
    </w:p>
    <w:p w:rsidR="00FE0098" w:rsidRDefault="00FE0098" w:rsidP="00FE0098">
      <w:pPr>
        <w:pStyle w:val="berschrift1"/>
      </w:pPr>
      <w:r>
        <w:t>[</w:t>
      </w:r>
      <w:r>
        <w:br/>
        <w:t>\boxed{</w:t>
      </w:r>
      <w:r>
        <w:br/>
        <w:t>\mathfrak A_F^{\mathrm{nach};3.3.45}</w:t>
      </w:r>
    </w:p>
    <w:p w:rsidR="00FE0098" w:rsidRDefault="00FE0098" w:rsidP="00FE0098">
      <w:pPr>
        <w:pStyle w:val="StandardWeb"/>
      </w:pPr>
      <w:r>
        <w:t>\mathfrak A_F^{\mathrm{vor};3.3.45}.</w:t>
      </w:r>
      <w:r>
        <w:br/>
        <w:t>}</w:t>
      </w:r>
      <w:r>
        <w:br/>
        <w:t>\tag{3.10790}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\boxed{\mathfrak A_F^{\mathrm{nach}\;3.3.45}=\mathfrak A_F^{\mathrm{vor}\;3.3.45}.}</w:t>
      </w:r>
    </w:p>
    <w:p w:rsidR="00FE0098" w:rsidRDefault="00E50336" w:rsidP="00FE0098">
      <w:r>
        <w:pict>
          <v:rect id="_x0000_i3510" style="width:0;height:1.5pt" o:hralign="center" o:hrstd="t" o:hr="t" fillcolor="#a0a0a0" stroked="f"/>
        </w:pict>
      </w:r>
    </w:p>
    <w:p w:rsidR="00FE0098" w:rsidRDefault="00FE0098" w:rsidP="00FE0098">
      <w:pPr>
        <w:pStyle w:val="berschrift1"/>
      </w:pPr>
      <w:r>
        <w:t>3.3.45.414 Wissenschaftliche Rolle der Invarianzstruktur</w:t>
      </w:r>
    </w:p>
    <w:p w:rsidR="00FE0098" w:rsidRDefault="00FE0098" w:rsidP="00FE0098">
      <w:pPr>
        <w:pStyle w:val="StandardWeb"/>
      </w:pPr>
      <w:r>
        <w:t>Damit erhält die funktionale Invarianz im FRZK eine präzise Rolle:</w:t>
      </w:r>
    </w:p>
    <w:p w:rsidR="00FE0098" w:rsidRDefault="00FE0098" w:rsidP="00FE0098">
      <w:pPr>
        <w:pStyle w:val="berschrift1"/>
      </w:pPr>
      <w:r>
        <w:t>[</w:t>
      </w:r>
      <w:r>
        <w:br/>
        <w:t>\boxed{</w:t>
      </w:r>
      <w:r>
        <w:br/>
        <w:t>\text{Invarianz}</w:t>
      </w:r>
    </w:p>
    <w:p w:rsidR="00FE0098" w:rsidRDefault="00FE0098" w:rsidP="00FE0098">
      <w:pPr>
        <w:pStyle w:val="StandardWeb"/>
      </w:pPr>
      <w:r>
        <w:t>\text{Struktureigenschaft eines Modells}</w:t>
      </w:r>
      <w:r>
        <w:br/>
        <w:t>}</w:t>
      </w:r>
      <w:r>
        <w:br/>
        <w:t>\tag{3.10791}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lastRenderedPageBreak/>
        <w:t>\boxed{\text{Invarianz}=\text{Struktureigenschaft eines Modells}}</w:t>
      </w:r>
    </w:p>
    <w:p w:rsidR="00FE0098" w:rsidRDefault="00FE0098" w:rsidP="00FE0098">
      <w:pPr>
        <w:pStyle w:val="StandardWeb"/>
      </w:pPr>
      <w:r>
        <w:t>und nicht</w:t>
      </w:r>
    </w:p>
    <w:p w:rsidR="00FE0098" w:rsidRDefault="00FE0098" w:rsidP="00FE0098">
      <w:pPr>
        <w:pStyle w:val="berschrift1"/>
      </w:pPr>
      <w:r>
        <w:t>[</w:t>
      </w:r>
      <w:r>
        <w:br/>
        <w:t>\boxed{</w:t>
      </w:r>
      <w:r>
        <w:br/>
        <w:t>\text{Invarianz}</w:t>
      </w:r>
    </w:p>
    <w:p w:rsidR="00FE0098" w:rsidRDefault="00FE0098" w:rsidP="00FE0098">
      <w:pPr>
        <w:pStyle w:val="StandardWeb"/>
      </w:pPr>
      <w:r>
        <w:t>\text{universell postulierte Erhaltung}.</w:t>
      </w:r>
      <w:r>
        <w:br/>
        <w:t>}</w:t>
      </w:r>
      <w:r>
        <w:br/>
        <w:t>\tag{3.10792}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\boxed{\text{Invarianz}=\text{universell postulierte Erhaltung}.}</w:t>
      </w:r>
    </w:p>
    <w:p w:rsidR="00FE0098" w:rsidRDefault="00FE0098" w:rsidP="00FE0098">
      <w:pPr>
        <w:pStyle w:val="StandardWeb"/>
      </w:pPr>
      <w:r>
        <w:t xml:space="preserve">Die zweite Gleichsetzung ist ausdrücklich </w:t>
      </w:r>
      <w:r>
        <w:rPr>
          <w:rStyle w:val="Fett"/>
        </w:rPr>
        <w:t>nicht</w:t>
      </w:r>
      <w:r>
        <w:t xml:space="preserve"> Bestandteil der Theorie.</w:t>
      </w:r>
    </w:p>
    <w:p w:rsidR="00FE0098" w:rsidRDefault="00E50336" w:rsidP="00FE0098">
      <w:r>
        <w:pict>
          <v:rect id="_x0000_i3511" style="width:0;height:1.5pt" o:hralign="center" o:hrstd="t" o:hr="t" fillcolor="#a0a0a0" stroked="f"/>
        </w:pict>
      </w:r>
    </w:p>
    <w:p w:rsidR="00FE0098" w:rsidRDefault="00FE0098" w:rsidP="00FE0098">
      <w:pPr>
        <w:pStyle w:val="berschrift1"/>
      </w:pPr>
      <w:r>
        <w:t>3.3.45.415 Unterschied zwischen mathematischer und physikalischer Erhaltung</w:t>
      </w:r>
    </w:p>
    <w:p w:rsidR="00FE0098" w:rsidRDefault="00FE0098" w:rsidP="00FE0098">
      <w:pPr>
        <w:pStyle w:val="StandardWeb"/>
      </w:pPr>
      <w:r>
        <w:t>Eine mathematische Invariante ist zunächst eine Größe mit</w:t>
      </w:r>
    </w:p>
    <w:p w:rsidR="00FE0098" w:rsidRDefault="00FE0098" w:rsidP="00FE0098">
      <w:pPr>
        <w:pStyle w:val="StandardWeb"/>
      </w:pPr>
      <w:r>
        <w:t>[</w:t>
      </w:r>
      <w:r>
        <w:br/>
        <w:t>I_F(z_i)=I_F(z_j)</w:t>
      </w:r>
      <w:r>
        <w:br/>
        <w:t>\tag{3.10793}</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I_F(z_i)=I_F(z_j)</w:t>
      </w:r>
    </w:p>
    <w:p w:rsidR="00FE0098" w:rsidRDefault="00FE0098" w:rsidP="00FE0098">
      <w:pPr>
        <w:pStyle w:val="StandardWeb"/>
      </w:pPr>
      <w:r>
        <w:t>für spezifizierte Übergänge.</w:t>
      </w:r>
    </w:p>
    <w:p w:rsidR="00FE0098" w:rsidRDefault="00FE0098" w:rsidP="00FE0098">
      <w:pPr>
        <w:pStyle w:val="StandardWeb"/>
      </w:pPr>
      <w:r>
        <w:t>Eine physikalische Erhaltungsgröße erfordert darüber hinaus eine begründete Zuordnung zu einem empirisch interpretierbaren physikalischen Objekt.</w:t>
      </w:r>
    </w:p>
    <w:p w:rsidR="00FE0098" w:rsidRDefault="00FE0098" w:rsidP="00FE0098">
      <w:pPr>
        <w:pStyle w:val="StandardWeb"/>
      </w:pPr>
      <w:r>
        <w:t>Daher gilt</w:t>
      </w:r>
    </w:p>
    <w:p w:rsidR="00FE0098" w:rsidRDefault="00FE0098" w:rsidP="00FE0098">
      <w:pPr>
        <w:pStyle w:val="StandardWeb"/>
      </w:pPr>
      <w:r>
        <w:t>[</w:t>
      </w:r>
      <w:r>
        <w:br/>
        <w:t>\boxed{</w:t>
      </w:r>
      <w:r>
        <w:br/>
        <w:t>\operatorname{Inv}</w:t>
      </w:r>
      <w:r>
        <w:rPr>
          <w:rStyle w:val="Hervorhebung"/>
        </w:rPr>
        <w:t>F</w:t>
      </w:r>
      <w:r>
        <w:rPr>
          <w:i/>
          <w:iCs/>
        </w:rPr>
        <w:br/>
      </w:r>
      <w:r>
        <w:rPr>
          <w:rStyle w:val="Hervorhebung"/>
        </w:rPr>
        <w:t>\nRightarrow</w:t>
      </w:r>
      <w:r>
        <w:rPr>
          <w:i/>
          <w:iCs/>
        </w:rPr>
        <w:br/>
      </w:r>
      <w:r>
        <w:rPr>
          <w:rStyle w:val="Hervorhebung"/>
        </w:rPr>
        <w:t>\operatorname{Conservation}</w:t>
      </w:r>
      <w:r>
        <w:t>{\mathrm{phys}}.</w:t>
      </w:r>
      <w:r>
        <w:br/>
        <w:t>}</w:t>
      </w:r>
      <w:r>
        <w:br/>
      </w:r>
      <w:r>
        <w:lastRenderedPageBreak/>
        <w:t>\tag{3.10794}</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\boxed{\operatorname{Inv}_F\nRightarrow\operatorname{Conservation}_{\mathrm{phys}}.}</w:t>
      </w:r>
    </w:p>
    <w:p w:rsidR="00FE0098" w:rsidRDefault="00E50336" w:rsidP="00FE0098">
      <w:r>
        <w:pict>
          <v:rect id="_x0000_i3512" style="width:0;height:1.5pt" o:hralign="center" o:hrstd="t" o:hr="t" fillcolor="#a0a0a0" stroked="f"/>
        </w:pict>
      </w:r>
    </w:p>
    <w:p w:rsidR="00FE0098" w:rsidRDefault="00FE0098" w:rsidP="00FE0098">
      <w:pPr>
        <w:pStyle w:val="berschrift1"/>
      </w:pPr>
      <w:r>
        <w:t>3.3.45.416 Keine Ontologisierung mathematischer Symmetrie</w:t>
      </w:r>
    </w:p>
    <w:p w:rsidR="00FE0098" w:rsidRDefault="00FE0098" w:rsidP="00FE0098">
      <w:pPr>
        <w:pStyle w:val="StandardWeb"/>
      </w:pPr>
      <w:r>
        <w:t>Ebenso darf aus einer mathematischen Symmetrie des Modells nicht unmittelbar geschlossen werden, dass dieselbe Symmetrie eine ontologische Eigenschaft der physikalischen Realität darstellt.</w:t>
      </w:r>
    </w:p>
    <w:p w:rsidR="00FE0098" w:rsidRDefault="00FE0098" w:rsidP="00FE0098">
      <w:pPr>
        <w:pStyle w:val="StandardWeb"/>
      </w:pPr>
      <w:r>
        <w:t>Formal trenne ich</w:t>
      </w:r>
    </w:p>
    <w:p w:rsidR="00FE0098" w:rsidRDefault="00FE0098" w:rsidP="00FE0098">
      <w:pPr>
        <w:pStyle w:val="StandardWeb"/>
      </w:pPr>
      <w:r>
        <w:t>[</w:t>
      </w:r>
      <w:r>
        <w:br/>
        <w:t>\operatorname{Sym}_{\mathrm{Modell}}</w:t>
      </w:r>
      <w:r>
        <w:br/>
        <w:t>\tag{3.10795}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\operatorname{Sym}_{\mathrm{Modell}}</w:t>
      </w:r>
    </w:p>
    <w:p w:rsidR="00FE0098" w:rsidRDefault="00FE0098" w:rsidP="00FE0098">
      <w:pPr>
        <w:pStyle w:val="StandardWeb"/>
      </w:pPr>
      <w:r>
        <w:t>von</w:t>
      </w:r>
    </w:p>
    <w:p w:rsidR="00FE0098" w:rsidRDefault="00FE0098" w:rsidP="00FE0098">
      <w:pPr>
        <w:pStyle w:val="StandardWeb"/>
      </w:pPr>
      <w:r>
        <w:t>[</w:t>
      </w:r>
      <w:r>
        <w:br/>
        <w:t>\operatorname{Sym}_{\mathrm{Realität}}.</w:t>
      </w:r>
      <w:r>
        <w:br/>
        <w:t>\tag{3.10796}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\operatorname{Sym}_{\mathrm{Realität}}</w:t>
      </w:r>
    </w:p>
    <w:p w:rsidR="00FE0098" w:rsidRDefault="00FE0098" w:rsidP="00FE0098">
      <w:pPr>
        <w:pStyle w:val="StandardWeb"/>
      </w:pPr>
      <w:r>
        <w:t>Damit gilt methodologisch</w:t>
      </w:r>
    </w:p>
    <w:p w:rsidR="00FE0098" w:rsidRDefault="00FE0098" w:rsidP="00FE0098">
      <w:pPr>
        <w:pStyle w:val="StandardWeb"/>
      </w:pPr>
      <w:r>
        <w:t>[</w:t>
      </w:r>
      <w:r>
        <w:br/>
        <w:t>\boxed{</w:t>
      </w:r>
      <w:r>
        <w:br/>
        <w:t>\operatorname{Sym}</w:t>
      </w:r>
      <w:r>
        <w:rPr>
          <w:rStyle w:val="Hervorhebung"/>
        </w:rPr>
        <w:t>{\mathrm{Modell}}</w:t>
      </w:r>
      <w:r>
        <w:rPr>
          <w:i/>
          <w:iCs/>
        </w:rPr>
        <w:br/>
      </w:r>
      <w:r>
        <w:rPr>
          <w:rStyle w:val="Hervorhebung"/>
        </w:rPr>
        <w:t>\nRightarrow</w:t>
      </w:r>
      <w:r>
        <w:rPr>
          <w:i/>
          <w:iCs/>
        </w:rPr>
        <w:br/>
      </w:r>
      <w:r>
        <w:rPr>
          <w:rStyle w:val="Hervorhebung"/>
        </w:rPr>
        <w:t>\operatorname{Sym}</w:t>
      </w:r>
      <w:r>
        <w:t>{\mathrm{Realität}}.</w:t>
      </w:r>
      <w:r>
        <w:br/>
        <w:t>}</w:t>
      </w:r>
      <w:r>
        <w:br/>
        <w:t>\tag{3.10797}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lastRenderedPageBreak/>
        <w:t>\boxed{\operatorname{Sym}_{\mathrm{Modell}}\nRightarrow\operatorname{Sym}_{\mathrm{Realität}}.}</w:t>
      </w:r>
    </w:p>
    <w:p w:rsidR="00FE0098" w:rsidRDefault="00E50336" w:rsidP="00FE0098">
      <w:r>
        <w:pict>
          <v:rect id="_x0000_i3513" style="width:0;height:1.5pt" o:hralign="center" o:hrstd="t" o:hr="t" fillcolor="#a0a0a0" stroked="f"/>
        </w:pict>
      </w:r>
    </w:p>
    <w:p w:rsidR="00FE0098" w:rsidRDefault="00FE0098" w:rsidP="00FE0098">
      <w:pPr>
        <w:pStyle w:val="berschrift1"/>
      </w:pPr>
      <w:r>
        <w:t>3.3.45.417 Keine empirische Bestätigung durch Definition</w:t>
      </w:r>
    </w:p>
    <w:p w:rsidR="00FE0098" w:rsidRDefault="00FE0098" w:rsidP="00FE0098">
      <w:pPr>
        <w:pStyle w:val="StandardWeb"/>
      </w:pPr>
      <w:r>
        <w:t>Umgekehrt bestätigt die mathematische Wohldefiniertheit einer Invarianzstruktur nicht ihre empirische Realisierung.</w:t>
      </w:r>
    </w:p>
    <w:p w:rsidR="00FE0098" w:rsidRDefault="00FE0098" w:rsidP="00FE0098">
      <w:pPr>
        <w:pStyle w:val="StandardWeb"/>
      </w:pPr>
      <w:r>
        <w:t>Es gilt</w:t>
      </w:r>
    </w:p>
    <w:p w:rsidR="00FE0098" w:rsidRDefault="00FE0098" w:rsidP="00FE0098">
      <w:pPr>
        <w:pStyle w:val="StandardWeb"/>
      </w:pPr>
      <w:r>
        <w:t>[</w:t>
      </w:r>
      <w:r>
        <w:br/>
        <w:t>\boxed{</w:t>
      </w:r>
      <w:r>
        <w:br/>
        <w:t>\operatorname{Def}(I_F)</w:t>
      </w:r>
      <w:r>
        <w:br/>
        <w:t>\nRightarrow</w:t>
      </w:r>
      <w:r>
        <w:br/>
        <w:t>\operatorname{Emp}(I_F).</w:t>
      </w:r>
      <w:r>
        <w:br/>
        <w:t>}</w:t>
      </w:r>
      <w:r>
        <w:br/>
        <w:t>\tag{3.10798}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\boxed{\operatorname{Def}(I_F)\nRightarrow\operatorname{Emp}(I_F).}</w:t>
      </w:r>
    </w:p>
    <w:p w:rsidR="00FE0098" w:rsidRDefault="00FE0098" w:rsidP="00FE0098">
      <w:pPr>
        <w:pStyle w:val="StandardWeb"/>
      </w:pPr>
      <w:r>
        <w:t>Die empirische Prüfung bleibt eine eigenständige Ebene.</w:t>
      </w:r>
    </w:p>
    <w:p w:rsidR="00FE0098" w:rsidRDefault="00E50336" w:rsidP="00FE0098">
      <w:r>
        <w:pict>
          <v:rect id="_x0000_i3514" style="width:0;height:1.5pt" o:hralign="center" o:hrstd="t" o:hr="t" fillcolor="#a0a0a0" stroked="f"/>
        </w:pict>
      </w:r>
    </w:p>
    <w:p w:rsidR="00FE0098" w:rsidRDefault="00FE0098" w:rsidP="00FE0098">
      <w:pPr>
        <w:pStyle w:val="berschrift1"/>
      </w:pPr>
      <w:r>
        <w:t>3.3.45.418 Falsifizierbarkeit konkreter Invarianzbehauptungen</w:t>
      </w:r>
    </w:p>
    <w:p w:rsidR="00FE0098" w:rsidRDefault="00FE0098" w:rsidP="00FE0098">
      <w:pPr>
        <w:pStyle w:val="StandardWeb"/>
      </w:pPr>
      <w:r>
        <w:t>Wird für ein konkretes Modell behauptet</w:t>
      </w:r>
    </w:p>
    <w:p w:rsidR="00FE0098" w:rsidRDefault="00FE0098" w:rsidP="00FE0098">
      <w:pPr>
        <w:pStyle w:val="StandardWeb"/>
      </w:pPr>
      <w:r>
        <w:t>[</w:t>
      </w:r>
      <w:r>
        <w:br/>
        <w:t>I_F(z_i)=I_F(z_j)</w:t>
      </w:r>
      <w:r>
        <w:br/>
        <w:t>\qquad</w:t>
      </w:r>
      <w:r>
        <w:br/>
        <w:t>\forall(z_i,z_j)\in\mathcal T_F,</w:t>
      </w:r>
      <w:r>
        <w:br/>
        <w:t>\tag{3.10799}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I_F(z_i)=I_F(z_j)\qquad\forall(z_i,z_j)\in\mathcal T_F</w:t>
      </w:r>
    </w:p>
    <w:p w:rsidR="00FE0098" w:rsidRDefault="00FE0098" w:rsidP="00FE0098">
      <w:pPr>
        <w:pStyle w:val="StandardWeb"/>
      </w:pPr>
      <w:r>
        <w:t>so genügt ein zulässiger Übergang mit</w:t>
      </w:r>
    </w:p>
    <w:p w:rsidR="00FE0098" w:rsidRDefault="00FE0098" w:rsidP="00FE0098">
      <w:pPr>
        <w:pStyle w:val="StandardWeb"/>
      </w:pPr>
      <w:r>
        <w:t>[</w:t>
      </w:r>
      <w:r>
        <w:br/>
        <w:t>I_F(z_i)\neq I_F(z_j),</w:t>
      </w:r>
      <w:r>
        <w:br/>
      </w:r>
      <w:r>
        <w:lastRenderedPageBreak/>
        <w:t>\tag{3.10800}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I_F(z_i)\neq I_F(z_j)</w:t>
      </w:r>
    </w:p>
    <w:p w:rsidR="00FE0098" w:rsidRDefault="00FE0098" w:rsidP="00FE0098">
      <w:pPr>
        <w:pStyle w:val="StandardWeb"/>
      </w:pPr>
      <w:r>
        <w:t>um diese konkrete exakte Invarianzbehauptung zu widerlegen, sofern Mess- und Modellbedingungen hinreichend bestimmt sind.</w:t>
      </w:r>
    </w:p>
    <w:p w:rsidR="00FE0098" w:rsidRDefault="00E50336" w:rsidP="00FE0098">
      <w:r>
        <w:pict>
          <v:rect id="_x0000_i3515" style="width:0;height:1.5pt" o:hralign="center" o:hrstd="t" o:hr="t" fillcolor="#a0a0a0" stroked="f"/>
        </w:pict>
      </w:r>
    </w:p>
    <w:p w:rsidR="00FE0098" w:rsidRDefault="00FE0098" w:rsidP="00FE0098">
      <w:pPr>
        <w:pStyle w:val="berschrift1"/>
      </w:pPr>
      <w:r>
        <w:t>3.3.45.419 Approximative Aussagen benötigen eigene Falsifikationsgrenze</w:t>
      </w:r>
    </w:p>
    <w:p w:rsidR="00FE0098" w:rsidRDefault="00FE0098" w:rsidP="00FE0098">
      <w:pPr>
        <w:pStyle w:val="StandardWeb"/>
      </w:pPr>
      <w:r>
        <w:t>Für die approximative Behauptung</w:t>
      </w:r>
    </w:p>
    <w:p w:rsidR="00FE0098" w:rsidRDefault="00FE0098" w:rsidP="00FE0098">
      <w:pPr>
        <w:pStyle w:val="StandardWeb"/>
      </w:pPr>
      <w:r>
        <w:t>[</w:t>
      </w:r>
      <w:r>
        <w:br/>
        <w:t>\Delta_I</w:t>
      </w:r>
      <w:r>
        <w:br/>
        <w:t>\leq</w:t>
      </w:r>
      <w:r>
        <w:br/>
        <w:t>\varepsilon_I</w:t>
      </w:r>
      <w:r>
        <w:br/>
        <w:t>\tag{3.10801}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\Delta_I\leq\varepsilon_I</w:t>
      </w:r>
    </w:p>
    <w:p w:rsidR="00FE0098" w:rsidRDefault="00FE0098" w:rsidP="00FE0098">
      <w:pPr>
        <w:pStyle w:val="StandardWeb"/>
      </w:pPr>
      <w:r>
        <w:t>liegt eine Verletzung erst bei</w:t>
      </w:r>
    </w:p>
    <w:p w:rsidR="00FE0098" w:rsidRDefault="00FE0098" w:rsidP="00FE0098">
      <w:pPr>
        <w:pStyle w:val="StandardWeb"/>
      </w:pPr>
      <w:r>
        <w:t>[</w:t>
      </w:r>
      <w:r>
        <w:br/>
        <w:t>\Delta_I</w:t>
      </w:r>
    </w:p>
    <w:p w:rsidR="00FE0098" w:rsidRDefault="00FE0098" w:rsidP="00FE0098">
      <w:pPr>
        <w:pStyle w:val="StandardWeb"/>
      </w:pPr>
      <w:r>
        <w:t>\varepsilon_I</w:t>
      </w:r>
      <w:r>
        <w:br/>
        <w:t>\tag{3.10802}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\Delta_I&gt;\varepsilon_I</w:t>
      </w:r>
    </w:p>
    <w:p w:rsidR="00FE0098" w:rsidRDefault="00FE0098" w:rsidP="00FE0098">
      <w:pPr>
        <w:pStyle w:val="StandardWeb"/>
      </w:pPr>
      <w:r>
        <w:t>vor.</w:t>
      </w:r>
    </w:p>
    <w:p w:rsidR="00FE0098" w:rsidRDefault="00FE0098" w:rsidP="00FE0098">
      <w:pPr>
        <w:pStyle w:val="StandardWeb"/>
      </w:pPr>
      <w:r>
        <w:t>Daher müssen exakte und approximative Aussagen getrennt getestet werden.</w:t>
      </w:r>
    </w:p>
    <w:p w:rsidR="00FE0098" w:rsidRDefault="00E50336" w:rsidP="00FE0098">
      <w:r>
        <w:pict>
          <v:rect id="_x0000_i3516" style="width:0;height:1.5pt" o:hralign="center" o:hrstd="t" o:hr="t" fillcolor="#a0a0a0" stroked="f"/>
        </w:pict>
      </w:r>
    </w:p>
    <w:p w:rsidR="00FE0098" w:rsidRDefault="00FE0098" w:rsidP="00FE0098">
      <w:pPr>
        <w:pStyle w:val="berschrift1"/>
      </w:pPr>
      <w:r>
        <w:t>3.3.45.420 Methodologische Betrachtungen</w:t>
      </w:r>
    </w:p>
    <w:p w:rsidR="00FE0098" w:rsidRDefault="00FE0098" w:rsidP="00FE0098">
      <w:pPr>
        <w:pStyle w:val="StandardWeb"/>
      </w:pPr>
      <w:r>
        <w:lastRenderedPageBreak/>
        <w:t>Die Entwicklung dieses Abschnitts zeigt mir besonders deutlich, dass ich den Begriff der Invarianz nicht als physikalische Erhaltung voraussetzen darf. Mathematisch kann ich sehr leicht Größen definieren, die auf Übergängen, Zusammenhangskomponenten oder Symmetrieorbits konstant bleiben. Daraus folgt jedoch noch nicht, dass diese Größen in einem physikalischen Sinn Energie, Impuls, Ladung oder eine andere bekannte Erhaltungsgröße darstellen. Diese Zuordnung muss in jeder konkreten Anwendung unabhängig begründet werden.</w:t>
      </w:r>
    </w:p>
    <w:p w:rsidR="00FE0098" w:rsidRDefault="00FE0098" w:rsidP="00FE0098">
      <w:pPr>
        <w:pStyle w:val="StandardWeb"/>
      </w:pPr>
      <w:r>
        <w:t>Ich habe deshalb die logische Reihenfolge bewusst eingehalten:</w:t>
      </w:r>
    </w:p>
    <w:p w:rsidR="00FE0098" w:rsidRDefault="00FE0098" w:rsidP="00FE0098">
      <w:pPr>
        <w:pStyle w:val="StandardWeb"/>
      </w:pPr>
      <w:r>
        <w:t>[</w:t>
      </w:r>
      <w:r>
        <w:br/>
        <w:t>\text{Grundstruktur}</w:t>
      </w:r>
      <w:r>
        <w:br/>
        <w:t>\rightarrow</w:t>
      </w:r>
      <w:r>
        <w:br/>
        <w:t>\text{Definition}</w:t>
      </w:r>
      <w:r>
        <w:br/>
        <w:t>\rightarrow</w:t>
      </w:r>
      <w:r>
        <w:br/>
        <w:t>\text{Herleitung}</w:t>
      </w:r>
      <w:r>
        <w:br/>
        <w:t>\rightarrow</w:t>
      </w:r>
      <w:r>
        <w:br/>
        <w:t>\text{Modellannahme}</w:t>
      </w:r>
      <w:r>
        <w:br/>
        <w:t>\rightarrow</w:t>
      </w:r>
      <w:r>
        <w:br/>
        <w:t>\text{Operationalisierung}</w:t>
      </w:r>
      <w:r>
        <w:br/>
        <w:t>\rightarrow</w:t>
      </w:r>
      <w:r>
        <w:br/>
        <w:t>\text{empirische Prüfung}.</w:t>
      </w:r>
      <w:r>
        <w:br/>
        <w:t>\tag{3.10803}</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\text{Grundstruktur}\rightarrow\text{Definition}\rightarrow\text{Herleitung}\rightarrow\text{Modellannahme}\rightarrow\text{Operationalisierung}\rightarrow\text{empirische Prüfung}</w:t>
      </w:r>
    </w:p>
    <w:p w:rsidR="00FE0098" w:rsidRDefault="00FE0098" w:rsidP="00FE0098">
      <w:pPr>
        <w:pStyle w:val="StandardWeb"/>
      </w:pPr>
      <w:r>
        <w:t>Diese Reihenfolge verhindert insbesondere, dass ich eine mathematisch definierte Größe nachträglich allein aufgrund ihrer formalen Eigenschaften als physikalisch real interpretiere.</w:t>
      </w:r>
    </w:p>
    <w:p w:rsidR="00FE0098" w:rsidRDefault="00FE0098" w:rsidP="00FE0098">
      <w:pPr>
        <w:pStyle w:val="StandardWeb"/>
      </w:pPr>
      <w:r>
        <w:t>Ein zweiter methodologischer Punkt betrifft die Symmetriestruktur. Die Existenz einer abstrakten Symmetriegruppe folgt zwar aus der Definition aller Automorphismen einer Übergangsrelation, doch daraus folgt weder die Existenz nichttrivialer Symmetrien noch die Existenz kontinuierlicher Gruppen. Noch weniger folgt daraus automatisch eine Noether-artige Erhaltungsrelation. Dafür wären zusätzliche topologische, differenzierbare, dynamische und variationale Strukturen erforderlich.</w:t>
      </w:r>
    </w:p>
    <w:p w:rsidR="00FE0098" w:rsidRDefault="00FE0098" w:rsidP="00FE0098">
      <w:pPr>
        <w:pStyle w:val="StandardWeb"/>
      </w:pPr>
      <w:r>
        <w:t>Ich halte deshalb fest:</w:t>
      </w:r>
    </w:p>
    <w:p w:rsidR="00FE0098" w:rsidRDefault="00FE0098" w:rsidP="00FE0098">
      <w:pPr>
        <w:pStyle w:val="StandardWeb"/>
      </w:pPr>
      <w:r>
        <w:t>[</w:t>
      </w:r>
      <w:r>
        <w:br/>
        <w:t>\boxed{</w:t>
      </w:r>
      <w:r>
        <w:br/>
        <w:t>\text{Symmetrie}</w:t>
      </w:r>
      <w:r>
        <w:br/>
        <w:t>\nRightarrow</w:t>
      </w:r>
      <w:r>
        <w:br/>
        <w:t>\text{Erhaltung}</w:t>
      </w:r>
      <w:r>
        <w:br/>
        <w:t>}</w:t>
      </w:r>
      <w:r>
        <w:br/>
        <w:t>\tag{3.10804}</w:t>
      </w:r>
      <w:r>
        <w:br/>
        <w:t>]</w:t>
      </w:r>
    </w:p>
    <w:p w:rsidR="00FE0098" w:rsidRDefault="00FE0098" w:rsidP="00FE0098">
      <w:pPr>
        <w:pStyle w:val="StandardWeb"/>
      </w:pPr>
      <w:r>
        <w:rPr>
          <w:rStyle w:val="Fett"/>
        </w:rPr>
        <w:lastRenderedPageBreak/>
        <w:t>Word-LaTeX</w:t>
      </w:r>
    </w:p>
    <w:p w:rsidR="00FE0098" w:rsidRDefault="00FE0098" w:rsidP="00FE0098">
      <w:pPr>
        <w:pStyle w:val="HTMLVorformatiert"/>
        <w:rPr>
          <w:rStyle w:val="HTMLCode"/>
        </w:rPr>
      </w:pPr>
      <w:r>
        <w:rPr>
          <w:rStyle w:val="HTMLCode"/>
        </w:rPr>
        <w:t>\boxed{\text{Symmetrie}\nRightarrow\text{Erhaltung}}</w:t>
      </w:r>
    </w:p>
    <w:p w:rsidR="00FE0098" w:rsidRDefault="00FE0098" w:rsidP="00FE0098">
      <w:pPr>
        <w:pStyle w:val="StandardWeb"/>
      </w:pPr>
      <w:r>
        <w:t>ohne zusätzliche Voraussetzungen.</w:t>
      </w:r>
    </w:p>
    <w:p w:rsidR="00FE0098" w:rsidRDefault="00FE0098" w:rsidP="00FE0098">
      <w:pPr>
        <w:pStyle w:val="StandardWeb"/>
      </w:pPr>
      <w:r>
        <w:t>Ein dritter methodologischer Punkt betrifft die approximative Invarianz. Sie ist notwendig, wenn theoretische Größen mit numerischen oder empirischen Daten verglichen werden. Sie darf aber nicht dazu benutzt werden, eine zuvor exakt formulierte Behauptung nachträglich gegen Widerlegung zu schützen.</w:t>
      </w:r>
    </w:p>
    <w:p w:rsidR="00FE0098" w:rsidRDefault="00FE0098" w:rsidP="00FE0098">
      <w:pPr>
        <w:pStyle w:val="StandardWeb"/>
      </w:pPr>
      <w:r>
        <w:t>Daher gilt für mich verbindlich</w:t>
      </w:r>
    </w:p>
    <w:p w:rsidR="00FE0098" w:rsidRDefault="00FE0098" w:rsidP="00FE0098">
      <w:pPr>
        <w:pStyle w:val="StandardWeb"/>
      </w:pPr>
      <w:r>
        <w:t>[</w:t>
      </w:r>
      <w:r>
        <w:br/>
        <w:t>\boxed{</w:t>
      </w:r>
      <w:r>
        <w:br/>
        <w:t>\text{Änderung der Toleranz}</w:t>
      </w:r>
      <w:r>
        <w:br/>
        <w:t>\Rightarrow</w:t>
      </w:r>
      <w:r>
        <w:br/>
        <w:t>\text{Änderung der geprüften Hypothese}.</w:t>
      </w:r>
      <w:r>
        <w:br/>
        <w:t>}</w:t>
      </w:r>
      <w:r>
        <w:br/>
        <w:t>\tag{3.10805}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\boxed{\text{Änderung der Toleranz}\Rightarrow\text{Änderung der geprüften Hypothese}.}</w:t>
      </w:r>
    </w:p>
    <w:p w:rsidR="00FE0098" w:rsidRDefault="00FE0098" w:rsidP="00FE0098">
      <w:pPr>
        <w:pStyle w:val="StandardWeb"/>
      </w:pPr>
      <w:r>
        <w:t>Eine Erhöhung von (\varepsilon_I) ist deshalb keine bloße technische Anpassung, sondern verändert den Inhalt der Aussage.</w:t>
      </w:r>
    </w:p>
    <w:p w:rsidR="00FE0098" w:rsidRDefault="00FE0098" w:rsidP="00FE0098">
      <w:pPr>
        <w:pStyle w:val="StandardWeb"/>
      </w:pPr>
      <w:r>
        <w:t>Ein vierter Punkt betrifft die Modellabhängigkeit. Nichttriviale Invarianten, Symmetrien, Vektorraumstrukturen, Algebren, differenzierbare Gruppenwirkungen, Variationsprinzipien und metrische Modellräume können in speziellen FRZK-Modellen sinnvoll sein. Sie gehören jedoch nicht allein deshalb zur Primäraxiomatik.</w:t>
      </w:r>
    </w:p>
    <w:p w:rsidR="00FE0098" w:rsidRDefault="00FE0098" w:rsidP="00FE0098">
      <w:pPr>
        <w:pStyle w:val="StandardWeb"/>
      </w:pPr>
      <w:r>
        <w:t>Die zentrale methodologische Konsequenz dieses Abschnitts lautet daher</w:t>
      </w:r>
    </w:p>
    <w:p w:rsidR="00FE0098" w:rsidRDefault="00FE0098" w:rsidP="00FE0098">
      <w:pPr>
        <w:pStyle w:val="StandardWeb"/>
      </w:pPr>
      <w:r>
        <w:t>[</w:t>
      </w:r>
      <w:r>
        <w:br/>
        <w:t>\boxed{</w:t>
      </w:r>
      <w:r>
        <w:br/>
        <w:t>\text{mathematische Reichhaltigkeit}</w:t>
      </w:r>
      <w:r>
        <w:br/>
        <w:t>\nRightarrow</w:t>
      </w:r>
      <w:r>
        <w:br/>
        <w:t>\text{axiomatische Notwendigkeit}.</w:t>
      </w:r>
      <w:r>
        <w:br/>
        <w:t>}</w:t>
      </w:r>
      <w:r>
        <w:br/>
        <w:t>\tag{3.10806}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\boxed{\text{mathematische Reichhaltigkeit}\nRightarrow\text{axiomatische Notwendigkeit}.}</w:t>
      </w:r>
    </w:p>
    <w:p w:rsidR="00FE0098" w:rsidRDefault="00FE0098" w:rsidP="00FE0098">
      <w:pPr>
        <w:pStyle w:val="StandardWeb"/>
      </w:pPr>
      <w:r>
        <w:lastRenderedPageBreak/>
        <w:t>Gerade weil sich aus wenigen Grundstrukturen zahlreiche mathematische Konstruktionen entwickeln lassen, muss ich die Zahl der Primäraxiome möglichst klein halten.</w:t>
      </w:r>
    </w:p>
    <w:p w:rsidR="00FE0098" w:rsidRDefault="00E50336" w:rsidP="00FE0098">
      <w:r>
        <w:pict>
          <v:rect id="_x0000_i3517" style="width:0;height:1.5pt" o:hralign="center" o:hrstd="t" o:hr="t" fillcolor="#a0a0a0" stroked="f"/>
        </w:pict>
      </w:r>
    </w:p>
    <w:p w:rsidR="00FE0098" w:rsidRDefault="00FE0098" w:rsidP="00FE0098">
      <w:pPr>
        <w:pStyle w:val="berschrift1"/>
      </w:pPr>
      <w:r>
        <w:t>3.3.45.421 Didaktische Betrachtungen</w:t>
      </w:r>
    </w:p>
    <w:p w:rsidR="00FE0098" w:rsidRDefault="00FE0098" w:rsidP="00FE0098">
      <w:pPr>
        <w:pStyle w:val="StandardWeb"/>
      </w:pPr>
      <w:r>
        <w:t xml:space="preserve">Didaktisch erscheint mir der Begriff der Invarianz zunächst einfach: Eine Größe „bleibt gleich“. Die eigentliche Schwierigkeit entsteht erst dadurch, dass präzisiert werden muss, </w:t>
      </w:r>
      <w:r>
        <w:rPr>
          <w:rStyle w:val="Fett"/>
        </w:rPr>
        <w:t>wobei</w:t>
      </w:r>
      <w:r>
        <w:t xml:space="preserve"> sie gleich bleibt.</w:t>
      </w:r>
    </w:p>
    <w:p w:rsidR="00FE0098" w:rsidRDefault="00FE0098" w:rsidP="00FE0098">
      <w:pPr>
        <w:pStyle w:val="StandardWeb"/>
      </w:pPr>
      <w:r>
        <w:t>Eine Größe kann konstant sein</w:t>
      </w:r>
    </w:p>
    <w:p w:rsidR="00FE0098" w:rsidRDefault="00FE0098" w:rsidP="00FE0098">
      <w:pPr>
        <w:pStyle w:val="StandardWeb"/>
      </w:pPr>
      <w:r>
        <w:t>[</w:t>
      </w:r>
      <w:r>
        <w:br/>
        <w:t>\text{auf einem Übergang},</w:t>
      </w:r>
      <w:r>
        <w:br/>
        <w:t>\tag{3.10807}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\text{auf einem Übergang}</w:t>
      </w:r>
    </w:p>
    <w:p w:rsidR="00FE0098" w:rsidRDefault="00FE0098" w:rsidP="00FE0098">
      <w:pPr>
        <w:pStyle w:val="StandardWeb"/>
      </w:pPr>
      <w:r>
        <w:t>[</w:t>
      </w:r>
      <w:r>
        <w:br/>
        <w:t>\text{entlang eines Pfades},</w:t>
      </w:r>
      <w:r>
        <w:br/>
        <w:t>\tag{3.10808}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\text{entlang eines Pfades}</w:t>
      </w:r>
    </w:p>
    <w:p w:rsidR="00FE0098" w:rsidRDefault="00FE0098" w:rsidP="00FE0098">
      <w:pPr>
        <w:pStyle w:val="StandardWeb"/>
      </w:pPr>
      <w:r>
        <w:t>[</w:t>
      </w:r>
      <w:r>
        <w:br/>
        <w:t>\text{auf einer Zusammenhangskomponente},</w:t>
      </w:r>
      <w:r>
        <w:br/>
        <w:t>\tag{3.10809}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\text{auf einer Zusammenhangskomponente}</w:t>
      </w:r>
    </w:p>
    <w:p w:rsidR="00FE0098" w:rsidRDefault="00FE0098" w:rsidP="00FE0098">
      <w:pPr>
        <w:pStyle w:val="StandardWeb"/>
      </w:pPr>
      <w:r>
        <w:t>oder</w:t>
      </w:r>
    </w:p>
    <w:p w:rsidR="00FE0098" w:rsidRDefault="00FE0098" w:rsidP="00FE0098">
      <w:pPr>
        <w:pStyle w:val="StandardWeb"/>
      </w:pPr>
      <w:r>
        <w:t>[</w:t>
      </w:r>
      <w:r>
        <w:br/>
        <w:t>\text{auf einem Symmetrieorbit}.</w:t>
      </w:r>
      <w:r>
        <w:br/>
        <w:t>\tag{3.10810}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\text{auf einem Symmetrieorbit}</w:t>
      </w:r>
    </w:p>
    <w:p w:rsidR="00FE0098" w:rsidRDefault="00FE0098" w:rsidP="00FE0098">
      <w:pPr>
        <w:pStyle w:val="StandardWeb"/>
      </w:pPr>
      <w:r>
        <w:lastRenderedPageBreak/>
        <w:t>Diese vier Aussagen sehen ähnlich aus, beruhen aber auf unterschiedlichen mathematischen Relationen.</w:t>
      </w:r>
    </w:p>
    <w:p w:rsidR="00FE0098" w:rsidRDefault="00FE0098" w:rsidP="00FE0098">
      <w:pPr>
        <w:pStyle w:val="StandardWeb"/>
      </w:pPr>
      <w:r>
        <w:t>Für die Vermittlung halte ich deshalb die Reihenfolge</w:t>
      </w:r>
    </w:p>
    <w:p w:rsidR="00FE0098" w:rsidRDefault="00FE0098" w:rsidP="00FE0098">
      <w:pPr>
        <w:pStyle w:val="StandardWeb"/>
      </w:pPr>
      <w:r>
        <w:t>[</w:t>
      </w:r>
      <w:r>
        <w:br/>
        <w:t>\boxed{</w:t>
      </w:r>
      <w:r>
        <w:br/>
        <w:t>\text{Übergang}</w:t>
      </w:r>
      <w:r>
        <w:br/>
        <w:t>\rightarrow</w:t>
      </w:r>
      <w:r>
        <w:br/>
        <w:t>\text{Pfad}</w:t>
      </w:r>
      <w:r>
        <w:br/>
        <w:t>\rightarrow</w:t>
      </w:r>
      <w:r>
        <w:br/>
        <w:t>\text{Zusammenhang}</w:t>
      </w:r>
      <w:r>
        <w:br/>
        <w:t>\rightarrow</w:t>
      </w:r>
      <w:r>
        <w:br/>
        <w:t>\text{Symmetrieorbit}</w:t>
      </w:r>
      <w:r>
        <w:br/>
        <w:t>}</w:t>
      </w:r>
      <w:r>
        <w:br/>
        <w:t>\tag{3.10811}</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\boxed{\text{Übergang}\rightarrow\text{Pfad}\rightarrow\text{Zusammenhang}\rightarrow\text{Symmetrieorbit}}</w:t>
      </w:r>
    </w:p>
    <w:p w:rsidR="00FE0098" w:rsidRDefault="00FE0098" w:rsidP="00FE0098">
      <w:pPr>
        <w:pStyle w:val="StandardWeb"/>
      </w:pPr>
      <w:r>
        <w:t>für besonders geeignet.</w:t>
      </w:r>
    </w:p>
    <w:p w:rsidR="00FE0098" w:rsidRDefault="00FE0098" w:rsidP="00FE0098">
      <w:pPr>
        <w:pStyle w:val="StandardWeb"/>
      </w:pPr>
      <w:r>
        <w:t>Ein einfaches Beispiel kann aus vier Zuständen bestehen:</w:t>
      </w:r>
    </w:p>
    <w:p w:rsidR="00FE0098" w:rsidRDefault="00FE0098" w:rsidP="00FE0098">
      <w:pPr>
        <w:pStyle w:val="berschrift1"/>
      </w:pPr>
      <w:r>
        <w:t>[</w:t>
      </w:r>
      <w:r>
        <w:br/>
        <w:t>\Omega_F</w:t>
      </w:r>
    </w:p>
    <w:p w:rsidR="00FE0098" w:rsidRDefault="00FE0098" w:rsidP="00FE0098">
      <w:pPr>
        <w:pStyle w:val="StandardWeb"/>
      </w:pPr>
      <w:r>
        <w:t>{z_1,z_2,z_3,z_4}.</w:t>
      </w:r>
      <w:r>
        <w:br/>
        <w:t>\tag{3.10812}</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\Omega_F=\{z_1,z_2,z_3,z_4\}</w:t>
      </w:r>
    </w:p>
    <w:p w:rsidR="00FE0098" w:rsidRDefault="00FE0098" w:rsidP="00FE0098">
      <w:pPr>
        <w:pStyle w:val="StandardWeb"/>
      </w:pPr>
      <w:r>
        <w:t>Existieren etwa nur die Übergänge</w:t>
      </w:r>
    </w:p>
    <w:p w:rsidR="00FE0098" w:rsidRDefault="00FE0098" w:rsidP="00FE0098">
      <w:pPr>
        <w:pStyle w:val="StandardWeb"/>
      </w:pPr>
      <w:r>
        <w:t>[</w:t>
      </w:r>
      <w:r>
        <w:br/>
        <w:t>z_1\rightarrow z_2</w:t>
      </w:r>
      <w:r>
        <w:br/>
        <w:t>\qquad\text{und}\qquad</w:t>
      </w:r>
      <w:r>
        <w:br/>
        <w:t>z_3\rightarrow z_4,</w:t>
      </w:r>
      <w:r>
        <w:br/>
        <w:t>\tag{3.10813}</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z_1\rightarrow z_2\qquad\text{und}\qquad z_3\rightarrow z_4</w:t>
      </w:r>
    </w:p>
    <w:p w:rsidR="00FE0098" w:rsidRDefault="00FE0098" w:rsidP="00FE0098">
      <w:pPr>
        <w:pStyle w:val="StandardWeb"/>
      </w:pPr>
      <w:r>
        <w:lastRenderedPageBreak/>
        <w:t>kann eine Invariante auf den beiden Zusammenhangskomponenten unterschiedliche Werte besitzen:</w:t>
      </w:r>
    </w:p>
    <w:p w:rsidR="00FE0098" w:rsidRDefault="00FE0098" w:rsidP="00FE0098">
      <w:pPr>
        <w:pStyle w:val="StandardWeb"/>
      </w:pPr>
      <w:r>
        <w:t>[</w:t>
      </w:r>
      <w:r>
        <w:br/>
        <w:t>I_F(z_1)=I_F(z_2)=a,</w:t>
      </w:r>
      <w:r>
        <w:br/>
        <w:t>\tag{3.10814}</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I_F(z_1)=I_F(z_2)=a</w:t>
      </w:r>
    </w:p>
    <w:p w:rsidR="00FE0098" w:rsidRDefault="00FE0098" w:rsidP="00FE0098">
      <w:pPr>
        <w:pStyle w:val="StandardWeb"/>
      </w:pPr>
      <w:r>
        <w:t>[</w:t>
      </w:r>
      <w:r>
        <w:br/>
        <w:t>I_F(z_3)=I_F(z_4)=b.</w:t>
      </w:r>
      <w:r>
        <w:br/>
        <w:t>\tag{3.10815}</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I_F(z_3)=I_F(z_4)=b</w:t>
      </w:r>
    </w:p>
    <w:p w:rsidR="00FE0098" w:rsidRDefault="00FE0098" w:rsidP="00FE0098">
      <w:pPr>
        <w:pStyle w:val="StandardWeb"/>
      </w:pPr>
      <w:r>
        <w:t>Dabei darf durchaus</w:t>
      </w:r>
    </w:p>
    <w:p w:rsidR="00FE0098" w:rsidRDefault="00FE0098" w:rsidP="00FE0098">
      <w:pPr>
        <w:pStyle w:val="StandardWeb"/>
      </w:pPr>
      <w:r>
        <w:t>[</w:t>
      </w:r>
      <w:r>
        <w:br/>
        <w:t>a\neq b</w:t>
      </w:r>
      <w:r>
        <w:br/>
        <w:t>\tag{3.10816}</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a\neq b</w:t>
      </w:r>
    </w:p>
    <w:p w:rsidR="00FE0098" w:rsidRDefault="00FE0098" w:rsidP="00FE0098">
      <w:pPr>
        <w:pStyle w:val="StandardWeb"/>
      </w:pPr>
      <w:r>
        <w:t>gelten.</w:t>
      </w:r>
    </w:p>
    <w:p w:rsidR="00FE0098" w:rsidRDefault="00FE0098" w:rsidP="00FE0098">
      <w:pPr>
        <w:pStyle w:val="StandardWeb"/>
      </w:pPr>
      <w:r>
        <w:t>Dieses Beispiel macht unmittelbar sichtbar, dass funktionale Invarianz nicht bedeutet, dass eine Größe im gesamten Zustandsraum denselben Wert besitzen muss.</w:t>
      </w:r>
    </w:p>
    <w:p w:rsidR="00FE0098" w:rsidRDefault="00FE0098" w:rsidP="00FE0098">
      <w:pPr>
        <w:pStyle w:val="StandardWeb"/>
      </w:pPr>
      <w:r>
        <w:t xml:space="preserve">Ein zweiter didaktisch wichtiger Schritt ist die Einführung approximativer Invarianz erst </w:t>
      </w:r>
      <w:r>
        <w:rPr>
          <w:rStyle w:val="Fett"/>
        </w:rPr>
        <w:t>nach</w:t>
      </w:r>
      <w:r>
        <w:t xml:space="preserve"> der exakten Invarianz. Würde ich mit Toleranzen beginnen, bliebe unklar, welches mathematische Ideal überhaupt approximiert wird.</w:t>
      </w:r>
    </w:p>
    <w:p w:rsidR="00FE0098" w:rsidRDefault="00FE0098" w:rsidP="00FE0098">
      <w:pPr>
        <w:pStyle w:val="StandardWeb"/>
      </w:pPr>
      <w:r>
        <w:t>Daher verwende ich die Reihenfolge</w:t>
      </w:r>
    </w:p>
    <w:p w:rsidR="00FE0098" w:rsidRDefault="00FE0098" w:rsidP="00FE0098">
      <w:pPr>
        <w:pStyle w:val="StandardWeb"/>
      </w:pPr>
      <w:r>
        <w:t>[</w:t>
      </w:r>
      <w:r>
        <w:br/>
        <w:t>\boxed{</w:t>
      </w:r>
      <w:r>
        <w:br/>
        <w:t>\Delta_I=0</w:t>
      </w:r>
      <w:r>
        <w:br/>
        <w:t>\rightarrow</w:t>
      </w:r>
      <w:r>
        <w:br/>
        <w:t>\Delta_I\leq\varepsilon_I</w:t>
      </w:r>
      <w:r>
        <w:br/>
        <w:t>\rightarrow</w:t>
      </w:r>
      <w:r>
        <w:br/>
        <w:t>\text{empirische Auswertung}.</w:t>
      </w:r>
      <w:r>
        <w:br/>
        <w:t>}</w:t>
      </w:r>
      <w:r>
        <w:br/>
      </w:r>
      <w:r>
        <w:lastRenderedPageBreak/>
        <w:t>\tag{3.10817}</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\boxed{\Delta_I=0\rightarrow\Delta_I\leq\varepsilon_I\rightarrow\text{empirische Auswertung}.}</w:t>
      </w:r>
    </w:p>
    <w:p w:rsidR="00FE0098" w:rsidRDefault="00FE0098" w:rsidP="00FE0098">
      <w:pPr>
        <w:pStyle w:val="StandardWeb"/>
      </w:pPr>
      <w:r>
        <w:t>Ein dritter didaktischer Schwerpunkt ist die Trennung von Symmetrie und Erhaltung. Beide Begriffe werden in der Physik häufig gemeinsam behandelt. In der hier entwickelten abstrakten FRZK-Struktur muss jedoch zunächst verstanden werden, dass sie mathematisch unterschiedliche Aussagen beschreiben.</w:t>
      </w:r>
    </w:p>
    <w:p w:rsidR="00FE0098" w:rsidRDefault="00FE0098" w:rsidP="00FE0098">
      <w:pPr>
        <w:pStyle w:val="StandardWeb"/>
      </w:pPr>
      <w:r>
        <w:t>Ich fasse diese Unterscheidung didaktisch zusammen als</w:t>
      </w:r>
    </w:p>
    <w:p w:rsidR="00FE0098" w:rsidRDefault="00FE0098" w:rsidP="00FE0098">
      <w:pPr>
        <w:pStyle w:val="StandardWeb"/>
      </w:pPr>
      <w:r>
        <w:t>[</w:t>
      </w:r>
      <w:r>
        <w:br/>
        <w:t>\boxed{</w:t>
      </w:r>
      <w:r>
        <w:br/>
        <w:t>\begin{aligned}</w:t>
      </w:r>
      <w:r>
        <w:br/>
        <w:t>\operatorname{Inv}_T &amp;: \text{Vergleich von Übergangszuständen},\</w:t>
      </w:r>
      <w:r>
        <w:br/>
        <w:t>\operatorname{Inv}_S &amp;: \text{Vergleich eines Zustandes mit seinem Symmetriebild}.</w:t>
      </w:r>
      <w:r>
        <w:br/>
        <w:t>\end{aligned}</w:t>
      </w:r>
      <w:r>
        <w:br/>
        <w:t>}</w:t>
      </w:r>
      <w:r>
        <w:br/>
        <w:t>\tag{3.10818}</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\boxed{\begin{aligned}\operatorname{Inv}_T&amp;:\text{Vergleich von Übergangszuständen},\\\operatorname{Inv}_S&amp;:\text{Vergleich eines Zustandes mit seinem Symmetriebild}.\end{aligned}}</w:t>
      </w:r>
    </w:p>
    <w:p w:rsidR="00FE0098" w:rsidRDefault="00FE0098" w:rsidP="00FE0098">
      <w:pPr>
        <w:pStyle w:val="StandardWeb"/>
      </w:pPr>
      <w:r>
        <w:t>Erst wenn diese beiden Ebenen getrennt verstanden werden, kann sinnvoll untersucht werden, unter welchen zusätzlichen Voraussetzungen Beziehungen zwischen ihnen bestehen.</w:t>
      </w:r>
    </w:p>
    <w:p w:rsidR="00FE0098" w:rsidRDefault="00E50336" w:rsidP="00FE0098">
      <w:r>
        <w:pict>
          <v:rect id="_x0000_i3518" style="width:0;height:1.5pt" o:hralign="center" o:hrstd="t" o:hr="t" fillcolor="#a0a0a0" stroked="f"/>
        </w:pict>
      </w:r>
    </w:p>
    <w:p w:rsidR="00FE0098" w:rsidRDefault="00FE0098" w:rsidP="00FE0098">
      <w:pPr>
        <w:pStyle w:val="berschrift1"/>
      </w:pPr>
      <w:r>
        <w:t>3.3.45.422 Gesamtabschluss von Abschnitt 3.3.45</w:t>
      </w:r>
    </w:p>
    <w:p w:rsidR="00FE0098" w:rsidRDefault="00FE0098" w:rsidP="00FE0098">
      <w:pPr>
        <w:pStyle w:val="StandardWeb"/>
      </w:pPr>
      <w:r>
        <w:t xml:space="preserve">Damit ist Abschnitt </w:t>
      </w:r>
      <w:r>
        <w:rPr>
          <w:rStyle w:val="Fett"/>
        </w:rPr>
        <w:t>3.3.45 vollständig abgeschlossen</w:t>
      </w:r>
      <w:r>
        <w:t>.</w:t>
      </w:r>
    </w:p>
    <w:p w:rsidR="00FE0098" w:rsidRDefault="00FE0098" w:rsidP="00FE0098">
      <w:pPr>
        <w:pStyle w:val="StandardWeb"/>
      </w:pPr>
      <w:r>
        <w:t>Ich habe die funktionale Invarianz von der elementaren Übergangsdefinition über Pfad- und Zusammenhangsinvarianz, algebraische Invariantenstrukturen, Symmetriegruppen, Orbit- und Stabilisatorstrukturen bis zur approximativen und empirisch operationalisierbaren Invarianz entwickelt.</w:t>
      </w:r>
    </w:p>
    <w:p w:rsidR="00FE0098" w:rsidRDefault="00FE0098" w:rsidP="00FE0098">
      <w:pPr>
        <w:pStyle w:val="StandardWeb"/>
      </w:pPr>
      <w:r>
        <w:t>Die abschließende Theoriearchitektur lautet</w:t>
      </w:r>
    </w:p>
    <w:p w:rsidR="00FE0098" w:rsidRDefault="00FE0098" w:rsidP="00FE0098">
      <w:pPr>
        <w:pStyle w:val="berschrift1"/>
      </w:pPr>
      <w:r>
        <w:lastRenderedPageBreak/>
        <w:t>[</w:t>
      </w:r>
      <w:r>
        <w:br/>
        <w:t>\boxed{</w:t>
      </w:r>
      <w:r>
        <w:br/>
        <w:t>\mathfrak I_F^{\mathrm{final}}</w:t>
      </w:r>
    </w:p>
    <w:p w:rsidR="00FE0098" w:rsidRDefault="00FE0098" w:rsidP="00FE0098">
      <w:pPr>
        <w:pStyle w:val="StandardWeb"/>
      </w:pPr>
      <w:r>
        <w:t>\left(</w:t>
      </w:r>
      <w:r>
        <w:br/>
        <w:t>\mathfrak D_I,</w:t>
      </w:r>
      <w:r>
        <w:br/>
        <w:t>\mathfrak R_I,</w:t>
      </w:r>
      <w:r>
        <w:br/>
        <w:t>\mathfrak M_I,</w:t>
      </w:r>
      <w:r>
        <w:br/>
        <w:t>\mathfrak O_I,</w:t>
      </w:r>
      <w:r>
        <w:br/>
        <w:t>\varnothing_{\mathrm{Ax}}</w:t>
      </w:r>
      <w:r>
        <w:br/>
        <w:t>\right).</w:t>
      </w:r>
      <w:r>
        <w:br/>
        <w:t>}</w:t>
      </w:r>
      <w:r>
        <w:br/>
        <w:t>\tag{3.10819}</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\boxed{\mathfrak I_F^{\mathrm{final}}=\left(\mathfrak D_I,\mathfrak R_I,\mathfrak M_I,\mathfrak O_I,\varnothing_{\mathrm{Ax}}\right).}</w:t>
      </w:r>
    </w:p>
    <w:p w:rsidR="00FE0098" w:rsidRDefault="00FE0098" w:rsidP="00FE0098">
      <w:pPr>
        <w:pStyle w:val="StandardWeb"/>
      </w:pPr>
      <w:r>
        <w:t>Das zentrale axiomatische Ergebnis lautet</w:t>
      </w:r>
    </w:p>
    <w:p w:rsidR="00FE0098" w:rsidRDefault="00FE0098" w:rsidP="00FE0098">
      <w:pPr>
        <w:pStyle w:val="berschrift1"/>
      </w:pPr>
      <w:r>
        <w:t>[</w:t>
      </w:r>
      <w:r>
        <w:br/>
        <w:t>\boxed{</w:t>
      </w:r>
      <w:r>
        <w:br/>
        <w:t>\mathfrak A_{3.3.45}^{\mathrm{new}}</w:t>
      </w:r>
    </w:p>
    <w:p w:rsidR="00FE0098" w:rsidRDefault="00FE0098" w:rsidP="00FE0098">
      <w:pPr>
        <w:pStyle w:val="StandardWeb"/>
      </w:pPr>
      <w:r>
        <w:t>\varnothing.</w:t>
      </w:r>
      <w:r>
        <w:br/>
        <w:t>}</w:t>
      </w:r>
      <w:r>
        <w:br/>
        <w:t>\tag{3.10820}</w:t>
      </w:r>
      <w:r>
        <w:br/>
        <w:t>]</w:t>
      </w:r>
    </w:p>
    <w:p w:rsidR="00FE0098" w:rsidRDefault="00FE0098" w:rsidP="00FE0098">
      <w:pPr>
        <w:pStyle w:val="StandardWeb"/>
      </w:pPr>
      <w:r>
        <w:rPr>
          <w:rStyle w:val="Fett"/>
        </w:rPr>
        <w:t>Word-LaTeX</w:t>
      </w:r>
    </w:p>
    <w:p w:rsidR="00FE0098" w:rsidRDefault="00FE0098" w:rsidP="00FE0098">
      <w:pPr>
        <w:pStyle w:val="HTMLVorformatiert"/>
        <w:rPr>
          <w:rStyle w:val="HTMLCode"/>
        </w:rPr>
      </w:pPr>
      <w:r>
        <w:rPr>
          <w:rStyle w:val="HTMLCode"/>
        </w:rPr>
        <w:t>\boxed{\mathfrak A_{3.3.45}^{\mathrm{new}}=\varnothing.}</w:t>
      </w:r>
    </w:p>
    <w:p w:rsidR="00FE0098" w:rsidRDefault="00FE0098" w:rsidP="00FE0098">
      <w:pPr>
        <w:pStyle w:val="StandardWeb"/>
      </w:pPr>
      <w:r>
        <w:t>Damit verändert Abschnitt 3.3.45 die zuvor bestehende Primäraxiomatik nicht:</w:t>
      </w:r>
    </w:p>
    <w:p w:rsidR="00FE0098" w:rsidRDefault="00FE0098" w:rsidP="00FE0098">
      <w:pPr>
        <w:pStyle w:val="berschrift1"/>
      </w:pPr>
      <w:r>
        <w:t>[</w:t>
      </w:r>
      <w:r>
        <w:br/>
        <w:t>\boxed{</w:t>
      </w:r>
      <w:r>
        <w:br/>
        <w:t>\mathfrak A_F^{\mathrm{nach};3.3.45}</w:t>
      </w:r>
    </w:p>
    <w:p w:rsidR="00FE0098" w:rsidRDefault="00FE0098" w:rsidP="00FE0098">
      <w:pPr>
        <w:pStyle w:val="StandardWeb"/>
      </w:pPr>
      <w:r>
        <w:t>\mathfrak A_F^{\mathrm{vor};3.3.45}.</w:t>
      </w:r>
      <w:r>
        <w:br/>
        <w:t>}</w:t>
      </w:r>
      <w:r>
        <w:br/>
        <w:t>\tag{3.10821}</w:t>
      </w:r>
      <w:r>
        <w:br/>
        <w:t>]</w:t>
      </w:r>
    </w:p>
    <w:p w:rsidR="00FE0098" w:rsidRDefault="00FE0098" w:rsidP="00FE0098">
      <w:pPr>
        <w:pStyle w:val="StandardWeb"/>
      </w:pPr>
      <w:r>
        <w:rPr>
          <w:rStyle w:val="Fett"/>
        </w:rPr>
        <w:lastRenderedPageBreak/>
        <w:t>Word-LaTeX</w:t>
      </w:r>
    </w:p>
    <w:p w:rsidR="00FE0098" w:rsidRDefault="00FE0098" w:rsidP="00FE0098">
      <w:pPr>
        <w:pStyle w:val="HTMLVorformatiert"/>
        <w:rPr>
          <w:rStyle w:val="HTMLCode"/>
        </w:rPr>
      </w:pPr>
      <w:r>
        <w:rPr>
          <w:rStyle w:val="HTMLCode"/>
        </w:rPr>
        <w:t>\boxed{\mathfrak A_F^{\mathrm{nach}\;3.3.45}=\mathfrak A_F^{\mathrm{vor}\;3.3.45}.}</w:t>
      </w:r>
    </w:p>
    <w:p w:rsidR="00FE0098" w:rsidRDefault="00FE0098" w:rsidP="00FE0098">
      <w:pPr>
        <w:pStyle w:val="StandardWeb"/>
      </w:pPr>
      <w:r>
        <w:t xml:space="preserve">Der Abschnitt liefert damit eine umfangreiche </w:t>
      </w:r>
      <w:r>
        <w:rPr>
          <w:rStyle w:val="Fett"/>
        </w:rPr>
        <w:t>mathematische und operationalisierbare Invarianzarchitektur</w:t>
      </w:r>
      <w:r>
        <w:t>, ohne zusätzliche fundamentale Voraussetzungen in die Theorie einzuschleusen.</w:t>
      </w:r>
    </w:p>
    <w:p w:rsidR="00FE0098" w:rsidRDefault="00FE0098" w:rsidP="00FE0098">
      <w:pPr>
        <w:pStyle w:val="StandardWeb"/>
      </w:pPr>
      <w:r>
        <w:t xml:space="preserve">Der nächste Abschnitt beginnt bei </w:t>
      </w:r>
      <w:r>
        <w:rPr>
          <w:rStyle w:val="Fett"/>
        </w:rPr>
        <w:t>3.3.46.0 / Gleichung (3.10822)</w:t>
      </w:r>
      <w:r>
        <w:t>.</w:t>
      </w:r>
    </w:p>
    <w:p w:rsidR="00231D66" w:rsidRDefault="00231D66" w:rsidP="00231D66">
      <w:pPr>
        <w:pStyle w:val="berschrift1"/>
        <w:rPr>
          <w:rFonts w:cs="Times New Roman"/>
          <w:sz w:val="48"/>
          <w:szCs w:val="48"/>
        </w:rPr>
      </w:pPr>
      <w:r>
        <w:t>3.3.46 Funktionale Skalierung, Homogenität und dimensionslose Struktur</w:t>
      </w:r>
    </w:p>
    <w:p w:rsidR="00231D66" w:rsidRDefault="00231D66" w:rsidP="00231D66">
      <w:pPr>
        <w:pStyle w:val="berschrift1"/>
      </w:pPr>
      <w:r>
        <w:t>3.3.46.0 Ausgangspunkt und wissenschaftliche Fragestellung</w:t>
      </w:r>
    </w:p>
    <w:p w:rsidR="00231D66" w:rsidRDefault="00231D66" w:rsidP="00231D66">
      <w:pPr>
        <w:pStyle w:val="StandardWeb"/>
      </w:pPr>
      <w:r>
        <w:t>Mit Abschnitt 3.3.45 habe ich gezeigt, dass funktionale Invarianz, Symmetrie und approximative Erhaltung keine zusätzliche Primäraxiomatik des FRZK erzwingen. Der nächste konsequente Schritt besteht darin, eine andere häufig implizit vorausgesetzte mathematische Eigenschaft zu prüfen: die Frage, ob funktionale Zustandsgrößen oder Operatoren unter einer Änderung ihres Maßstabes bestimmte strukturelle Beziehungen erhalten.</w:t>
      </w:r>
    </w:p>
    <w:p w:rsidR="00231D66" w:rsidRDefault="00231D66" w:rsidP="00231D66">
      <w:pPr>
        <w:pStyle w:val="StandardWeb"/>
      </w:pPr>
      <w:r>
        <w:t>Dabei muss ich zunächst strikt zwischen einer bloßen Multiplikation mit einem Skalar und einer physikalisch interpretierten Skalentransformation unterscheiden. Mathematisch kann ich für eine Größe (X) eine Abbildung</w:t>
      </w:r>
    </w:p>
    <w:p w:rsidR="00231D66" w:rsidRDefault="00231D66" w:rsidP="00231D66">
      <w:pPr>
        <w:pStyle w:val="berschrift1"/>
      </w:pPr>
      <w:r>
        <w:t>[</w:t>
      </w:r>
      <w:r>
        <w:br/>
        <w:t>S_\lambda(X)</w:t>
      </w:r>
    </w:p>
    <w:p w:rsidR="00231D66" w:rsidRDefault="00231D66" w:rsidP="00231D66">
      <w:pPr>
        <w:pStyle w:val="StandardWeb"/>
      </w:pPr>
      <w:r>
        <w:t>\lambda X</w:t>
      </w:r>
      <w:r>
        <w:br/>
        <w:t>\tag{3.10822}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S_\lambda(X)=\lambda X</w:t>
      </w:r>
    </w:p>
    <w:p w:rsidR="00231D66" w:rsidRDefault="00231D66" w:rsidP="00231D66">
      <w:pPr>
        <w:pStyle w:val="StandardWeb"/>
      </w:pPr>
      <w:r>
        <w:t>betrachten, sofern die zugrunde liegende Struktur eine solche Skalarmultiplikation überhaupt zulässt.</w:t>
      </w:r>
    </w:p>
    <w:p w:rsidR="00231D66" w:rsidRDefault="00231D66" w:rsidP="00231D66">
      <w:pPr>
        <w:pStyle w:val="StandardWeb"/>
      </w:pPr>
      <w:r>
        <w:t>Diese Operation besitzt zunächst ausschließlich mathematische Bedeutung. Aus</w:t>
      </w:r>
    </w:p>
    <w:p w:rsidR="00231D66" w:rsidRDefault="00231D66" w:rsidP="00231D66">
      <w:pPr>
        <w:pStyle w:val="StandardWeb"/>
      </w:pPr>
      <w:r>
        <w:t>[</w:t>
      </w:r>
      <w:r>
        <w:br/>
        <w:t>X</w:t>
      </w:r>
      <w:r>
        <w:br/>
        <w:t>\mapsto</w:t>
      </w:r>
      <w:r>
        <w:br/>
        <w:t>\lambda X</w:t>
      </w:r>
      <w:r>
        <w:br/>
      </w:r>
      <w:r>
        <w:lastRenderedPageBreak/>
        <w:t>\tag{3.10823}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X\mapsto\lambda X</w:t>
      </w:r>
    </w:p>
    <w:p w:rsidR="00231D66" w:rsidRDefault="00231D66" w:rsidP="00231D66">
      <w:pPr>
        <w:pStyle w:val="StandardWeb"/>
      </w:pPr>
      <w:r>
        <w:t>folgt weder, dass sich ein reales physikalisches System tatsächlich „vergrößert“, noch dass sämtliche funktionalen Beziehungen unverändert bleiben.</w:t>
      </w:r>
    </w:p>
    <w:p w:rsidR="00231D66" w:rsidRDefault="00E50336" w:rsidP="00231D66">
      <w:r>
        <w:pict>
          <v:rect id="_x0000_i3519" style="width:0;height:1.5pt" o:hralign="center" o:hrstd="t" o:hr="t" fillcolor="#a0a0a0" stroked="f"/>
        </w:pict>
      </w:r>
    </w:p>
    <w:p w:rsidR="00231D66" w:rsidRDefault="00231D66" w:rsidP="00231D66">
      <w:pPr>
        <w:pStyle w:val="berschrift1"/>
      </w:pPr>
      <w:r>
        <w:t>3.3.46.1 Skalierbarkeit setzt algebraische Struktur voraus</w:t>
      </w:r>
    </w:p>
    <w:p w:rsidR="00231D66" w:rsidRDefault="00231D66" w:rsidP="00231D66">
      <w:pPr>
        <w:pStyle w:val="StandardWeb"/>
      </w:pPr>
      <w:r>
        <w:t>Eine Skalarmultiplikation ist nicht auf jeder beliebigen Menge definiert.</w:t>
      </w:r>
    </w:p>
    <w:p w:rsidR="00231D66" w:rsidRDefault="00231D66" w:rsidP="00231D66">
      <w:pPr>
        <w:pStyle w:val="StandardWeb"/>
      </w:pPr>
      <w:r>
        <w:t>Damit ein Ausdruck wie</w:t>
      </w:r>
    </w:p>
    <w:p w:rsidR="00231D66" w:rsidRDefault="00231D66" w:rsidP="00231D66">
      <w:pPr>
        <w:pStyle w:val="StandardWeb"/>
      </w:pPr>
      <w:r>
        <w:t>[</w:t>
      </w:r>
      <w:r>
        <w:br/>
        <w:t>\lambda X</w:t>
      </w:r>
      <w:r>
        <w:br/>
        <w:t>\tag{3.10824}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\lambda X</w:t>
      </w:r>
    </w:p>
    <w:p w:rsidR="00231D66" w:rsidRDefault="00231D66" w:rsidP="00231D66">
      <w:pPr>
        <w:pStyle w:val="StandardWeb"/>
      </w:pPr>
      <w:r>
        <w:t>überhaupt mathematisch zulässig ist, muss für den betrachteten Objektbereich eine entsprechende äußere Verknüpfung existieren.</w:t>
      </w:r>
    </w:p>
    <w:p w:rsidR="00231D66" w:rsidRDefault="00231D66" w:rsidP="00231D66">
      <w:pPr>
        <w:pStyle w:val="StandardWeb"/>
      </w:pPr>
      <w:r>
        <w:t>Formal benötige ich mindestens eine Abbildung</w:t>
      </w:r>
    </w:p>
    <w:p w:rsidR="00231D66" w:rsidRDefault="00231D66" w:rsidP="00231D66">
      <w:pPr>
        <w:pStyle w:val="StandardWeb"/>
      </w:pPr>
      <w:r>
        <w:t>[</w:t>
      </w:r>
      <w:r>
        <w:br/>
        <w:t>\mu:</w:t>
      </w:r>
      <w:r>
        <w:br/>
        <w:t>\mathbb K\times\mathcal X_F</w:t>
      </w:r>
      <w:r>
        <w:br/>
        <w:t>\rightarrow</w:t>
      </w:r>
      <w:r>
        <w:br/>
        <w:t>\mathcal X_F</w:t>
      </w:r>
      <w:r>
        <w:br/>
        <w:t>\tag{3.10825}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\mu:\mathbb K\times\mathcal X_F\rightarrow\mathcal X_F</w:t>
      </w:r>
    </w:p>
    <w:p w:rsidR="00231D66" w:rsidRDefault="00231D66" w:rsidP="00231D66">
      <w:pPr>
        <w:pStyle w:val="StandardWeb"/>
      </w:pPr>
      <w:r>
        <w:t>mit</w:t>
      </w:r>
    </w:p>
    <w:p w:rsidR="00231D66" w:rsidRDefault="00231D66" w:rsidP="00231D66">
      <w:pPr>
        <w:pStyle w:val="berschrift1"/>
      </w:pPr>
      <w:r>
        <w:t>[</w:t>
      </w:r>
      <w:r>
        <w:br/>
        <w:t>\mu(\lambda,X)</w:t>
      </w:r>
    </w:p>
    <w:p w:rsidR="00231D66" w:rsidRDefault="00231D66" w:rsidP="00231D66">
      <w:pPr>
        <w:pStyle w:val="StandardWeb"/>
      </w:pPr>
      <w:r>
        <w:lastRenderedPageBreak/>
        <w:t>\lambda X.</w:t>
      </w:r>
      <w:r>
        <w:br/>
        <w:t>\tag{3.10826}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\mu(\lambda,X)=\lambda X</w:t>
      </w:r>
    </w:p>
    <w:p w:rsidR="00231D66" w:rsidRDefault="00231D66" w:rsidP="00231D66">
      <w:pPr>
        <w:pStyle w:val="StandardWeb"/>
      </w:pPr>
      <w:r>
        <w:t>Hier bezeichnet (\mathbb K) den verwendeten Skalarkörper beziehungsweise einen geeigneten Skalarenbereich.</w:t>
      </w:r>
    </w:p>
    <w:p w:rsidR="00231D66" w:rsidRDefault="00E50336" w:rsidP="00231D66">
      <w:r>
        <w:pict>
          <v:rect id="_x0000_i3520" style="width:0;height:1.5pt" o:hralign="center" o:hrstd="t" o:hr="t" fillcolor="#a0a0a0" stroked="f"/>
        </w:pict>
      </w:r>
    </w:p>
    <w:p w:rsidR="00231D66" w:rsidRDefault="00231D66" w:rsidP="00231D66">
      <w:pPr>
        <w:pStyle w:val="berschrift1"/>
      </w:pPr>
      <w:r>
        <w:t>3.3.46.2 Keine universelle Skalarmultiplikation</w:t>
      </w:r>
    </w:p>
    <w:p w:rsidR="00231D66" w:rsidRDefault="00231D66" w:rsidP="00231D66">
      <w:pPr>
        <w:pStyle w:val="StandardWeb"/>
      </w:pPr>
      <w:r>
        <w:t>Für einen abstrakten funktionalen Zustandsraum (\Omega_F) wurde bislang nicht allgemein vorausgesetzt, dass seine Elemente mit Skalaren multipliziert werden können.</w:t>
      </w:r>
    </w:p>
    <w:p w:rsidR="00231D66" w:rsidRDefault="00231D66" w:rsidP="00231D66">
      <w:pPr>
        <w:pStyle w:val="StandardWeb"/>
      </w:pPr>
      <w:r>
        <w:t>Daher gilt ausdrücklich nicht</w:t>
      </w:r>
    </w:p>
    <w:p w:rsidR="00231D66" w:rsidRDefault="00231D66" w:rsidP="00231D66">
      <w:pPr>
        <w:pStyle w:val="StandardWeb"/>
      </w:pPr>
      <w:r>
        <w:t>[</w:t>
      </w:r>
      <w:r>
        <w:br/>
        <w:t>\boxed{</w:t>
      </w:r>
      <w:r>
        <w:br/>
        <w:t>\forall z\in\Omega_F;</w:t>
      </w:r>
      <w:r>
        <w:br/>
        <w:t>\forall\lambda\in\mathbb K:</w:t>
      </w:r>
      <w:r>
        <w:br/>
        <w:t>\lambda z\in\Omega_F.</w:t>
      </w:r>
      <w:r>
        <w:br/>
        <w:t>}</w:t>
      </w:r>
      <w:r>
        <w:br/>
        <w:t>\tag{3.10827}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\boxed{\forall z\in\Omega_F\;\forall\lambda\in\mathbb K:\lambda z\in\Omega_F.}</w:t>
      </w:r>
    </w:p>
    <w:p w:rsidR="00231D66" w:rsidRDefault="00231D66" w:rsidP="00231D66">
      <w:pPr>
        <w:pStyle w:val="StandardWeb"/>
      </w:pPr>
      <w:r>
        <w:t>Diese Aussage wäre eine zusätzliche algebraische Strukturannahme.</w:t>
      </w:r>
    </w:p>
    <w:p w:rsidR="00231D66" w:rsidRDefault="00E50336" w:rsidP="00231D66">
      <w:r>
        <w:pict>
          <v:rect id="_x0000_i3521" style="width:0;height:1.5pt" o:hralign="center" o:hrstd="t" o:hr="t" fillcolor="#a0a0a0" stroked="f"/>
        </w:pict>
      </w:r>
    </w:p>
    <w:p w:rsidR="00231D66" w:rsidRDefault="00231D66" w:rsidP="00231D66">
      <w:pPr>
        <w:pStyle w:val="berschrift1"/>
      </w:pPr>
      <w:r>
        <w:t>3.3.46.3 Modellannahme eines skalierbaren Zustandsraumes</w:t>
      </w:r>
    </w:p>
    <w:p w:rsidR="00231D66" w:rsidRDefault="00231D66" w:rsidP="00231D66">
      <w:pPr>
        <w:pStyle w:val="StandardWeb"/>
      </w:pPr>
      <w:r>
        <w:t>Für spezielle FRZK-Modelle kann eine solche Struktur jedoch sinnvoll eingeführt werden.</w:t>
      </w:r>
    </w:p>
    <w:p w:rsidR="00231D66" w:rsidRDefault="00231D66" w:rsidP="00231D66">
      <w:pPr>
        <w:pStyle w:val="StandardWeb"/>
      </w:pPr>
      <w:r>
        <w:t>Ich bezeichne die entsprechende Modellannahme mit</w:t>
      </w:r>
    </w:p>
    <w:p w:rsidR="00231D66" w:rsidRDefault="00231D66" w:rsidP="00231D66">
      <w:pPr>
        <w:pStyle w:val="StandardWeb"/>
      </w:pPr>
      <w:r>
        <w:t>[</w:t>
      </w:r>
      <w:r>
        <w:br/>
        <w:t>M_{\mathrm{sc}}.</w:t>
      </w:r>
      <w:r>
        <w:br/>
        <w:t>\tag{3.10828}</w:t>
      </w:r>
      <w:r>
        <w:br/>
        <w:t>]</w:t>
      </w:r>
    </w:p>
    <w:p w:rsidR="00231D66" w:rsidRDefault="00231D66" w:rsidP="00231D66">
      <w:pPr>
        <w:pStyle w:val="StandardWeb"/>
      </w:pPr>
      <w:r>
        <w:rPr>
          <w:rStyle w:val="Fett"/>
        </w:rPr>
        <w:lastRenderedPageBreak/>
        <w:t>Word-LaTeX</w:t>
      </w:r>
    </w:p>
    <w:p w:rsidR="00231D66" w:rsidRDefault="00231D66" w:rsidP="00231D66">
      <w:pPr>
        <w:pStyle w:val="HTMLVorformatiert"/>
        <w:rPr>
          <w:rStyle w:val="HTMLCode"/>
        </w:rPr>
      </w:pPr>
      <w:r>
        <w:rPr>
          <w:rStyle w:val="HTMLCode"/>
        </w:rPr>
        <w:t>M_{\mathrm{sc}}</w:t>
      </w:r>
    </w:p>
    <w:p w:rsidR="00231D66" w:rsidRDefault="00231D66" w:rsidP="00231D66">
      <w:pPr>
        <w:pStyle w:val="StandardWeb"/>
      </w:pPr>
      <w:r>
        <w:t>Sie fordert, dass auf dem betrachteten funktionalen Zustands- oder Größenraum eine geeignete Skalarmultiplikation definiert ist.</w:t>
      </w:r>
    </w:p>
    <w:p w:rsidR="00231D66" w:rsidRDefault="00E50336" w:rsidP="00231D66">
      <w:r>
        <w:pict>
          <v:rect id="_x0000_i3522" style="width:0;height:1.5pt" o:hralign="center" o:hrstd="t" o:hr="t" fillcolor="#a0a0a0" stroked="f"/>
        </w:pict>
      </w:r>
    </w:p>
    <w:p w:rsidR="00231D66" w:rsidRDefault="00231D66" w:rsidP="00231D66">
      <w:pPr>
        <w:pStyle w:val="berschrift1"/>
      </w:pPr>
      <w:r>
        <w:t>3.3.46.4 Definition 3.3.162 – Skalierbare funktionale Modellstruktur</w:t>
      </w:r>
    </w:p>
    <w:p w:rsidR="00231D66" w:rsidRDefault="00231D66" w:rsidP="00231D66">
      <w:pPr>
        <w:pStyle w:val="berschrift3"/>
      </w:pPr>
      <w:r>
        <w:t>Definition 3.3.162</w:t>
      </w:r>
    </w:p>
    <w:p w:rsidR="00231D66" w:rsidRDefault="00231D66" w:rsidP="00231D66">
      <w:pPr>
        <w:pStyle w:val="StandardWeb"/>
      </w:pPr>
      <w:r>
        <w:t xml:space="preserve">Eine funktionale Modellstruktur heißt </w:t>
      </w:r>
      <w:r>
        <w:rPr>
          <w:rStyle w:val="Fett"/>
        </w:rPr>
        <w:t>skalierbar</w:t>
      </w:r>
      <w:r>
        <w:t>, wenn für einen spezifizierten Skalarenbereich (\Lambda) eine Abbildung</w:t>
      </w:r>
    </w:p>
    <w:p w:rsidR="00231D66" w:rsidRDefault="00231D66" w:rsidP="00231D66">
      <w:pPr>
        <w:pStyle w:val="StandardWeb"/>
      </w:pPr>
      <w:r>
        <w:t>[</w:t>
      </w:r>
      <w:r>
        <w:br/>
        <w:t>\boxed{</w:t>
      </w:r>
      <w:r>
        <w:br/>
        <w:t>S:</w:t>
      </w:r>
      <w:r>
        <w:br/>
        <w:t>\Lambda\times\mathcal X_F</w:t>
      </w:r>
      <w:r>
        <w:br/>
        <w:t>\rightarrow</w:t>
      </w:r>
      <w:r>
        <w:br/>
        <w:t>\mathcal X_F,</w:t>
      </w:r>
      <w:r>
        <w:br/>
        <w:t>\qquad</w:t>
      </w:r>
      <w:r>
        <w:br/>
        <w:t>(\lambda,X)\mapsto S_\lambda(X)</w:t>
      </w:r>
      <w:r>
        <w:br/>
        <w:t>}</w:t>
      </w:r>
      <w:r>
        <w:br/>
        <w:t>\tag{3.10829}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\boxed{S:\Lambda\times\mathcal X_F\rightarrow\mathcal X_F,\qquad(\lambda,X)\mapsto S_\lambda(X)}</w:t>
      </w:r>
    </w:p>
    <w:p w:rsidR="00231D66" w:rsidRDefault="00231D66" w:rsidP="00231D66">
      <w:pPr>
        <w:pStyle w:val="StandardWeb"/>
      </w:pPr>
      <w:r>
        <w:t>definiert ist.</w:t>
      </w:r>
    </w:p>
    <w:p w:rsidR="00231D66" w:rsidRDefault="00231D66" w:rsidP="00231D66">
      <w:pPr>
        <w:pStyle w:val="StandardWeb"/>
      </w:pPr>
      <w:r>
        <w:t>Für die lineare Standardskalierung gilt gegebenenfalls</w:t>
      </w:r>
    </w:p>
    <w:p w:rsidR="00231D66" w:rsidRDefault="00231D66" w:rsidP="00231D66">
      <w:pPr>
        <w:pStyle w:val="berschrift1"/>
      </w:pPr>
      <w:r>
        <w:t>[</w:t>
      </w:r>
      <w:r>
        <w:br/>
        <w:t>S_\lambda(X)</w:t>
      </w:r>
    </w:p>
    <w:p w:rsidR="00231D66" w:rsidRDefault="00231D66" w:rsidP="00231D66">
      <w:pPr>
        <w:pStyle w:val="StandardWeb"/>
      </w:pPr>
      <w:r>
        <w:t>\lambda X.</w:t>
      </w:r>
      <w:r>
        <w:br/>
        <w:t>\tag{3.10830}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S_\lambda(X)=\lambda X</w:t>
      </w:r>
    </w:p>
    <w:p w:rsidR="00231D66" w:rsidRDefault="00231D66" w:rsidP="00231D66">
      <w:pPr>
        <w:pStyle w:val="StandardWeb"/>
      </w:pPr>
      <w:r>
        <w:lastRenderedPageBreak/>
        <w:t>Die konkrete Form von (S_\lambda) ist Bestandteil des jeweiligen Modells.</w:t>
      </w:r>
    </w:p>
    <w:p w:rsidR="00231D66" w:rsidRDefault="00E50336" w:rsidP="00231D66">
      <w:r>
        <w:pict>
          <v:rect id="_x0000_i3523" style="width:0;height:1.5pt" o:hralign="center" o:hrstd="t" o:hr="t" fillcolor="#a0a0a0" stroked="f"/>
        </w:pict>
      </w:r>
    </w:p>
    <w:p w:rsidR="00231D66" w:rsidRDefault="00231D66" w:rsidP="00231D66">
      <w:pPr>
        <w:pStyle w:val="berschrift1"/>
      </w:pPr>
      <w:r>
        <w:t>3.3.46.5 Status der skalierbaren Modellstruktur</w:t>
      </w:r>
    </w:p>
    <w:p w:rsidR="00231D66" w:rsidRDefault="00231D66" w:rsidP="00231D66">
      <w:pPr>
        <w:pStyle w:val="StandardWeb"/>
      </w:pPr>
      <w:r>
        <w:t>Da die allgemeine FRZK-Zustandsarchitektur keine Skalarmultiplikation voraussetzt, gilt</w:t>
      </w:r>
    </w:p>
    <w:p w:rsidR="00231D66" w:rsidRDefault="00231D66" w:rsidP="00231D66">
      <w:pPr>
        <w:pStyle w:val="berschrift1"/>
      </w:pPr>
      <w:r>
        <w:t>[</w:t>
      </w:r>
      <w:r>
        <w:br/>
        <w:t>\boxed{</w:t>
      </w:r>
      <w:r>
        <w:br/>
        <w:t>\operatorname{Stat}</w:t>
      </w:r>
      <w:r>
        <w:br/>
        <w:t>\left(</w:t>
      </w:r>
      <w:r>
        <w:br/>
        <w:t>M_{\mathrm{sc}}</w:t>
      </w:r>
      <w:r>
        <w:br/>
        <w:t>\right)</w:t>
      </w:r>
    </w:p>
    <w:p w:rsidR="00231D66" w:rsidRDefault="00231D66" w:rsidP="00231D66">
      <w:pPr>
        <w:pStyle w:val="StandardWeb"/>
      </w:pPr>
      <w:r>
        <w:t>\mathrm{Mod}.</w:t>
      </w:r>
      <w:r>
        <w:br/>
        <w:t>}</w:t>
      </w:r>
      <w:r>
        <w:br/>
        <w:t>\tag{3.10831}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\boxed{\operatorname{Stat}\left(M_{\mathrm{sc}}\right)=\mathrm{Mod}.}</w:t>
      </w:r>
    </w:p>
    <w:p w:rsidR="00231D66" w:rsidRDefault="00231D66" w:rsidP="00231D66">
      <w:pPr>
        <w:pStyle w:val="StandardWeb"/>
      </w:pPr>
      <w:r>
        <w:t>Damit ist bereits ausgeschlossen, Skalierbarkeit ohne weitere Prüfung als Primäraxiom einzuführen.</w:t>
      </w:r>
    </w:p>
    <w:p w:rsidR="00231D66" w:rsidRDefault="00E50336" w:rsidP="00231D66">
      <w:r>
        <w:pict>
          <v:rect id="_x0000_i3524" style="width:0;height:1.5pt" o:hralign="center" o:hrstd="t" o:hr="t" fillcolor="#a0a0a0" stroked="f"/>
        </w:pict>
      </w:r>
    </w:p>
    <w:p w:rsidR="00231D66" w:rsidRDefault="00231D66" w:rsidP="00231D66">
      <w:pPr>
        <w:pStyle w:val="berschrift1"/>
      </w:pPr>
      <w:r>
        <w:t>3.3.46.6 Skalentransformation und Identität</w:t>
      </w:r>
    </w:p>
    <w:p w:rsidR="00231D66" w:rsidRDefault="00231D66" w:rsidP="00231D66">
      <w:pPr>
        <w:pStyle w:val="StandardWeb"/>
      </w:pPr>
      <w:r>
        <w:t>Eine sinnvolle Skalierungsfamilie sollte mindestens einen neutralen Skalierungsparameter besitzen.</w:t>
      </w:r>
    </w:p>
    <w:p w:rsidR="00231D66" w:rsidRDefault="00231D66" w:rsidP="00231D66">
      <w:pPr>
        <w:pStyle w:val="StandardWeb"/>
      </w:pPr>
      <w:r>
        <w:t>Für die lineare Skalierung ist dies</w:t>
      </w:r>
    </w:p>
    <w:p w:rsidR="00231D66" w:rsidRDefault="00231D66" w:rsidP="00231D66">
      <w:pPr>
        <w:pStyle w:val="StandardWeb"/>
      </w:pPr>
      <w:r>
        <w:t>[</w:t>
      </w:r>
      <w:r>
        <w:br/>
        <w:t>\lambda=1.</w:t>
      </w:r>
      <w:r>
        <w:br/>
        <w:t>\tag{3.10832}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\lambda=1</w:t>
      </w:r>
    </w:p>
    <w:p w:rsidR="00231D66" w:rsidRDefault="00231D66" w:rsidP="00231D66">
      <w:pPr>
        <w:pStyle w:val="StandardWeb"/>
      </w:pPr>
      <w:r>
        <w:t>Dann gilt</w:t>
      </w:r>
    </w:p>
    <w:p w:rsidR="00231D66" w:rsidRDefault="00231D66" w:rsidP="00231D66">
      <w:pPr>
        <w:pStyle w:val="StandardWeb"/>
      </w:pPr>
      <w:r>
        <w:lastRenderedPageBreak/>
        <w:t>[</w:t>
      </w:r>
      <w:r>
        <w:br/>
        <w:t>S_1(X)=X.</w:t>
      </w:r>
      <w:r>
        <w:br/>
        <w:t>\tag{3.10833}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S_1(X)=X</w:t>
      </w:r>
    </w:p>
    <w:p w:rsidR="00231D66" w:rsidRDefault="00E50336" w:rsidP="00231D66">
      <w:r>
        <w:pict>
          <v:rect id="_x0000_i3525" style="width:0;height:1.5pt" o:hralign="center" o:hrstd="t" o:hr="t" fillcolor="#a0a0a0" stroked="f"/>
        </w:pict>
      </w:r>
    </w:p>
    <w:p w:rsidR="00231D66" w:rsidRDefault="00231D66" w:rsidP="00231D66">
      <w:pPr>
        <w:pStyle w:val="berschrift1"/>
      </w:pPr>
      <w:r>
        <w:t>3.3.46.7 Komposition von Skalierungen</w:t>
      </w:r>
    </w:p>
    <w:p w:rsidR="00231D66" w:rsidRDefault="00231D66" w:rsidP="00231D66">
      <w:pPr>
        <w:pStyle w:val="StandardWeb"/>
      </w:pPr>
      <w:r>
        <w:t>Für die lineare Skalierung gilt</w:t>
      </w:r>
    </w:p>
    <w:p w:rsidR="00231D66" w:rsidRDefault="00231D66" w:rsidP="00231D66">
      <w:pPr>
        <w:pStyle w:val="berschrift1"/>
      </w:pPr>
      <w:r>
        <w:t>[</w:t>
      </w:r>
      <w:r>
        <w:br/>
        <w:t>S_{\lambda_1}</w:t>
      </w:r>
      <w:r>
        <w:br/>
        <w:t>\circ</w:t>
      </w:r>
      <w:r>
        <w:br/>
        <w:t>S_{\lambda_2}(X)</w:t>
      </w:r>
    </w:p>
    <w:p w:rsidR="00231D66" w:rsidRDefault="00231D66" w:rsidP="00231D66">
      <w:pPr>
        <w:pStyle w:val="StandardWeb"/>
      </w:pPr>
      <w:r>
        <w:t>\lambda_1\lambda_2X.</w:t>
      </w:r>
      <w:r>
        <w:br/>
        <w:t>\tag{3.10834}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S_{\lambda_1}\circ S_{\lambda_2}(X)=\lambda_1\lambda_2X</w:t>
      </w:r>
    </w:p>
    <w:p w:rsidR="00231D66" w:rsidRDefault="00231D66" w:rsidP="00231D66">
      <w:pPr>
        <w:pStyle w:val="StandardWeb"/>
      </w:pPr>
      <w:r>
        <w:t>Damit folgt</w:t>
      </w:r>
    </w:p>
    <w:p w:rsidR="00231D66" w:rsidRDefault="00231D66" w:rsidP="00231D66">
      <w:pPr>
        <w:pStyle w:val="berschrift1"/>
      </w:pPr>
      <w:r>
        <w:t>[</w:t>
      </w:r>
      <w:r>
        <w:br/>
        <w:t>S_{\lambda_1}</w:t>
      </w:r>
      <w:r>
        <w:br/>
        <w:t>\circ</w:t>
      </w:r>
      <w:r>
        <w:br/>
        <w:t>S_{\lambda_2}</w:t>
      </w:r>
    </w:p>
    <w:p w:rsidR="00231D66" w:rsidRDefault="00231D66" w:rsidP="00231D66">
      <w:pPr>
        <w:pStyle w:val="StandardWeb"/>
      </w:pPr>
      <w:r>
        <w:t>S_{\lambda_1\lambda_2}.</w:t>
      </w:r>
      <w:r>
        <w:br/>
        <w:t>\tag{3.10835}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S_{\lambda_1}\circ S_{\lambda_2}=S_{\lambda_1\lambda_2}</w:t>
      </w:r>
    </w:p>
    <w:p w:rsidR="00231D66" w:rsidRDefault="00231D66" w:rsidP="00231D66">
      <w:pPr>
        <w:pStyle w:val="StandardWeb"/>
      </w:pPr>
      <w:r>
        <w:t>Diese Beziehung beschreibt eine multiplikative Kompositionsstruktur.</w:t>
      </w:r>
    </w:p>
    <w:p w:rsidR="00231D66" w:rsidRDefault="00E50336" w:rsidP="00231D66">
      <w:r>
        <w:pict>
          <v:rect id="_x0000_i3526" style="width:0;height:1.5pt" o:hralign="center" o:hrstd="t" o:hr="t" fillcolor="#a0a0a0" stroked="f"/>
        </w:pict>
      </w:r>
    </w:p>
    <w:p w:rsidR="00231D66" w:rsidRDefault="00231D66" w:rsidP="00231D66">
      <w:pPr>
        <w:pStyle w:val="berschrift1"/>
      </w:pPr>
      <w:r>
        <w:lastRenderedPageBreak/>
        <w:t>3.3.46.8 Einschränkung auf von null verschiedene Skalare</w:t>
      </w:r>
    </w:p>
    <w:p w:rsidR="00231D66" w:rsidRDefault="00231D66" w:rsidP="00231D66">
      <w:pPr>
        <w:pStyle w:val="StandardWeb"/>
      </w:pPr>
      <w:r>
        <w:t>Soll jede Skalierung invertierbar sein, muss für die lineare Skalierung gelten</w:t>
      </w:r>
    </w:p>
    <w:p w:rsidR="00231D66" w:rsidRDefault="00231D66" w:rsidP="00231D66">
      <w:pPr>
        <w:pStyle w:val="StandardWeb"/>
      </w:pPr>
      <w:r>
        <w:t>[</w:t>
      </w:r>
      <w:r>
        <w:br/>
        <w:t>\lambda\neq0.</w:t>
      </w:r>
      <w:r>
        <w:br/>
        <w:t>\tag{3.10836}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\lambda\neq0</w:t>
      </w:r>
    </w:p>
    <w:p w:rsidR="00231D66" w:rsidRDefault="00231D66" w:rsidP="00231D66">
      <w:pPr>
        <w:pStyle w:val="StandardWeb"/>
      </w:pPr>
      <w:r>
        <w:t>Dann existiert</w:t>
      </w:r>
    </w:p>
    <w:p w:rsidR="00231D66" w:rsidRDefault="00231D66" w:rsidP="00231D66">
      <w:pPr>
        <w:pStyle w:val="berschrift1"/>
      </w:pPr>
      <w:r>
        <w:t>[</w:t>
      </w:r>
      <w:r>
        <w:br/>
        <w:t>S_\lambda^{-1}</w:t>
      </w:r>
    </w:p>
    <w:p w:rsidR="00231D66" w:rsidRDefault="00231D66" w:rsidP="00231D66">
      <w:pPr>
        <w:pStyle w:val="StandardWeb"/>
      </w:pPr>
      <w:r>
        <w:t>S_{\lambda^{-1}}.</w:t>
      </w:r>
      <w:r>
        <w:br/>
        <w:t>\tag{3.10837}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S_\lambda^{-1}=S_{\lambda^{-1}}</w:t>
      </w:r>
    </w:p>
    <w:p w:rsidR="00231D66" w:rsidRDefault="00231D66" w:rsidP="00231D66">
      <w:pPr>
        <w:pStyle w:val="StandardWeb"/>
      </w:pPr>
      <w:r>
        <w:t>Für</w:t>
      </w:r>
    </w:p>
    <w:p w:rsidR="00231D66" w:rsidRDefault="00231D66" w:rsidP="00231D66">
      <w:pPr>
        <w:pStyle w:val="StandardWeb"/>
      </w:pPr>
      <w:r>
        <w:t>[</w:t>
      </w:r>
      <w:r>
        <w:br/>
        <w:t>\lambda=0</w:t>
      </w:r>
      <w:r>
        <w:br/>
        <w:t>\tag{3.10838}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\lambda=0</w:t>
      </w:r>
    </w:p>
    <w:p w:rsidR="00231D66" w:rsidRDefault="00231D66" w:rsidP="00231D66">
      <w:pPr>
        <w:pStyle w:val="StandardWeb"/>
      </w:pPr>
      <w:r>
        <w:t>geht diese Invertierbarkeit verloren.</w:t>
      </w:r>
    </w:p>
    <w:p w:rsidR="00231D66" w:rsidRDefault="00E50336" w:rsidP="00231D66">
      <w:r>
        <w:pict>
          <v:rect id="_x0000_i3527" style="width:0;height:1.5pt" o:hralign="center" o:hrstd="t" o:hr="t" fillcolor="#a0a0a0" stroked="f"/>
        </w:pict>
      </w:r>
    </w:p>
    <w:p w:rsidR="00231D66" w:rsidRDefault="00231D66" w:rsidP="00231D66">
      <w:pPr>
        <w:pStyle w:val="berschrift1"/>
      </w:pPr>
      <w:r>
        <w:t>3.3.46.9 Besondere Rolle der Nullskalierung</w:t>
      </w:r>
    </w:p>
    <w:p w:rsidR="00231D66" w:rsidRDefault="00231D66" w:rsidP="00231D66">
      <w:pPr>
        <w:pStyle w:val="StandardWeb"/>
      </w:pPr>
      <w:r>
        <w:t>Die Nullskalierung ist mathematisch nicht lediglich eine „kleine“ Skalierung.</w:t>
      </w:r>
    </w:p>
    <w:p w:rsidR="00231D66" w:rsidRDefault="00231D66" w:rsidP="00231D66">
      <w:pPr>
        <w:pStyle w:val="StandardWeb"/>
      </w:pPr>
      <w:r>
        <w:t>Für eine gewöhnliche lineare Skalarmultiplikation gilt</w:t>
      </w:r>
    </w:p>
    <w:p w:rsidR="00231D66" w:rsidRDefault="00231D66" w:rsidP="00231D66">
      <w:pPr>
        <w:pStyle w:val="berschrift1"/>
      </w:pPr>
      <w:r>
        <w:lastRenderedPageBreak/>
        <w:t>[</w:t>
      </w:r>
      <w:r>
        <w:br/>
        <w:t>S_0(X)</w:t>
      </w:r>
    </w:p>
    <w:p w:rsidR="00231D66" w:rsidRDefault="00231D66" w:rsidP="00152216">
      <w:pPr>
        <w:numPr>
          <w:ilvl w:val="0"/>
          <w:numId w:val="464"/>
        </w:numPr>
        <w:spacing w:before="100" w:beforeAutospacing="1" w:after="100" w:afterAutospacing="1"/>
      </w:pPr>
    </w:p>
    <w:p w:rsidR="00231D66" w:rsidRDefault="00231D66" w:rsidP="00231D66">
      <w:pPr>
        <w:pStyle w:val="StandardWeb"/>
      </w:pPr>
      <w:r>
        <w:t>\tag{3.10839}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S_0(X)=0</w:t>
      </w:r>
    </w:p>
    <w:p w:rsidR="00231D66" w:rsidRDefault="00231D66" w:rsidP="00231D66">
      <w:pPr>
        <w:pStyle w:val="StandardWeb"/>
      </w:pPr>
      <w:r>
        <w:t>Alle Elemente werden dabei auf das Nullelement abgebildet.</w:t>
      </w:r>
    </w:p>
    <w:p w:rsidR="00231D66" w:rsidRDefault="00231D66" w:rsidP="00231D66">
      <w:pPr>
        <w:pStyle w:val="StandardWeb"/>
      </w:pPr>
      <w:r>
        <w:t>Daraus folgt für (X_1\neq X_2)</w:t>
      </w:r>
    </w:p>
    <w:p w:rsidR="00231D66" w:rsidRDefault="00231D66" w:rsidP="00231D66">
      <w:pPr>
        <w:pStyle w:val="berschrift1"/>
      </w:pPr>
      <w:r>
        <w:t>[</w:t>
      </w:r>
      <w:r>
        <w:br/>
        <w:t>S_0(X_1)</w:t>
      </w:r>
    </w:p>
    <w:p w:rsidR="00231D66" w:rsidRDefault="00231D66" w:rsidP="00231D66">
      <w:pPr>
        <w:pStyle w:val="StandardWeb"/>
      </w:pPr>
      <w:r>
        <w:t>S_0(X_2).</w:t>
      </w:r>
      <w:r>
        <w:br/>
        <w:t>\tag{3.10840}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S_0(X_1)=S_0(X_2)</w:t>
      </w:r>
    </w:p>
    <w:p w:rsidR="00231D66" w:rsidRDefault="00231D66" w:rsidP="00231D66">
      <w:pPr>
        <w:pStyle w:val="StandardWeb"/>
      </w:pPr>
      <w:r>
        <w:t>Die Transformation ist daher im Allgemeinen nicht injektiv.</w:t>
      </w:r>
    </w:p>
    <w:p w:rsidR="00231D66" w:rsidRDefault="00E50336" w:rsidP="00231D66">
      <w:r>
        <w:pict>
          <v:rect id="_x0000_i3528" style="width:0;height:1.5pt" o:hralign="center" o:hrstd="t" o:hr="t" fillcolor="#a0a0a0" stroked="f"/>
        </w:pict>
      </w:r>
    </w:p>
    <w:p w:rsidR="00231D66" w:rsidRDefault="00231D66" w:rsidP="00231D66">
      <w:pPr>
        <w:pStyle w:val="berschrift1"/>
      </w:pPr>
      <w:r>
        <w:t>3.3.46.10 Satz 3.3.74 – Nichtinvertierbarkeit der gewöhnlichen Nullskalierung</w:t>
      </w:r>
    </w:p>
    <w:p w:rsidR="00231D66" w:rsidRDefault="00231D66" w:rsidP="00231D66">
      <w:pPr>
        <w:pStyle w:val="berschrift3"/>
      </w:pPr>
      <w:r>
        <w:t>Satz 3.3.74</w:t>
      </w:r>
    </w:p>
    <w:p w:rsidR="00231D66" w:rsidRDefault="00231D66" w:rsidP="00231D66">
      <w:pPr>
        <w:pStyle w:val="StandardWeb"/>
      </w:pPr>
      <w:r>
        <w:t>Besitzt (\mathcal X_F) mindestens zwei verschiedene Elemente und ist</w:t>
      </w:r>
    </w:p>
    <w:p w:rsidR="00231D66" w:rsidRDefault="00231D66" w:rsidP="00231D66">
      <w:pPr>
        <w:pStyle w:val="StandardWeb"/>
      </w:pPr>
      <w:r>
        <w:t>[</w:t>
      </w:r>
      <w:r>
        <w:br/>
        <w:t>S_0(X)=0</w:t>
      </w:r>
      <w:r>
        <w:br/>
        <w:t>\qquad</w:t>
      </w:r>
      <w:r>
        <w:br/>
        <w:t>\forall X\in\mathcal X_F,</w:t>
      </w:r>
      <w:r>
        <w:br/>
        <w:t>\tag{3.10841}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S_0(X)=0\qquad\forall X\in\mathcal X_F</w:t>
      </w:r>
    </w:p>
    <w:p w:rsidR="00231D66" w:rsidRDefault="00231D66" w:rsidP="00231D66">
      <w:pPr>
        <w:pStyle w:val="StandardWeb"/>
      </w:pPr>
      <w:r>
        <w:lastRenderedPageBreak/>
        <w:t>dann ist (S_0) nicht invertierbar.</w:t>
      </w:r>
    </w:p>
    <w:p w:rsidR="00231D66" w:rsidRDefault="00231D66" w:rsidP="00231D66">
      <w:pPr>
        <w:pStyle w:val="StandardWeb"/>
      </w:pPr>
      <w:r>
        <w:t>Formal gilt</w:t>
      </w:r>
    </w:p>
    <w:p w:rsidR="00231D66" w:rsidRDefault="00231D66" w:rsidP="00231D66">
      <w:pPr>
        <w:pStyle w:val="StandardWeb"/>
      </w:pPr>
      <w:r>
        <w:t>[</w:t>
      </w:r>
      <w:r>
        <w:br/>
        <w:t>\boxed{</w:t>
      </w:r>
      <w:r>
        <w:br/>
        <w:t>|\mathcal X_F|&gt;1</w:t>
      </w:r>
      <w:r>
        <w:br/>
        <w:t>\Rightarrow</w:t>
      </w:r>
      <w:r>
        <w:br/>
        <w:t>S_0^{-1}</w:t>
      </w:r>
      <w:r>
        <w:br/>
        <w:t>\text{ existiert nicht}.</w:t>
      </w:r>
      <w:r>
        <w:br/>
        <w:t>}</w:t>
      </w:r>
      <w:r>
        <w:br/>
        <w:t>\tag{3.10842}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\boxed{|\mathcal X_F|&gt;1\Rightarrow S_0^{-1}\text{ existiert nicht}.}</w:t>
      </w:r>
    </w:p>
    <w:p w:rsidR="00231D66" w:rsidRDefault="00231D66" w:rsidP="00231D66">
      <w:pPr>
        <w:pStyle w:val="berschrift3"/>
      </w:pPr>
      <w:r>
        <w:t>Beweis</w:t>
      </w:r>
    </w:p>
    <w:p w:rsidR="00231D66" w:rsidRDefault="00231D66" w:rsidP="00231D66">
      <w:pPr>
        <w:pStyle w:val="StandardWeb"/>
      </w:pPr>
      <w:r>
        <w:t>Wähle zwei verschiedene Elemente</w:t>
      </w:r>
    </w:p>
    <w:p w:rsidR="00231D66" w:rsidRDefault="00231D66" w:rsidP="00231D66">
      <w:pPr>
        <w:pStyle w:val="StandardWeb"/>
      </w:pPr>
      <w:r>
        <w:t>[</w:t>
      </w:r>
      <w:r>
        <w:br/>
        <w:t>X_1\neq X_2.</w:t>
      </w:r>
      <w:r>
        <w:br/>
        <w:t>\tag{3.10843}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X_1\neq X_2</w:t>
      </w:r>
    </w:p>
    <w:p w:rsidR="00231D66" w:rsidRDefault="00231D66" w:rsidP="00231D66">
      <w:pPr>
        <w:pStyle w:val="StandardWeb"/>
      </w:pPr>
      <w:r>
        <w:t>Wegen der Nullskalierung gilt</w:t>
      </w:r>
    </w:p>
    <w:p w:rsidR="00231D66" w:rsidRDefault="00231D66" w:rsidP="00231D66">
      <w:pPr>
        <w:pStyle w:val="StandardWeb"/>
      </w:pPr>
      <w:r>
        <w:t>[</w:t>
      </w:r>
      <w:r>
        <w:br/>
        <w:t>S_0(X_1)=0</w:t>
      </w:r>
      <w:r>
        <w:br/>
        <w:t>\tag{3.10844}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S_0(X_1)=0</w:t>
      </w:r>
    </w:p>
    <w:p w:rsidR="00231D66" w:rsidRDefault="00231D66" w:rsidP="00231D66">
      <w:pPr>
        <w:pStyle w:val="StandardWeb"/>
      </w:pPr>
      <w:r>
        <w:t>und</w:t>
      </w:r>
    </w:p>
    <w:p w:rsidR="00231D66" w:rsidRDefault="00231D66" w:rsidP="00231D66">
      <w:pPr>
        <w:pStyle w:val="StandardWeb"/>
      </w:pPr>
      <w:r>
        <w:t>[</w:t>
      </w:r>
      <w:r>
        <w:br/>
        <w:t>S_0(X_2)=0.</w:t>
      </w:r>
      <w:r>
        <w:br/>
        <w:t>\tag{3.10845}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S_0(X_2)=0</w:t>
      </w:r>
    </w:p>
    <w:p w:rsidR="00231D66" w:rsidRDefault="00231D66" w:rsidP="00231D66">
      <w:pPr>
        <w:pStyle w:val="StandardWeb"/>
      </w:pPr>
      <w:r>
        <w:lastRenderedPageBreak/>
        <w:t>Damit ist (S_0) nicht injektiv und folglich nicht bijektiv. Eine inverse Abbildung existiert daher nicht. (\square)</w:t>
      </w:r>
    </w:p>
    <w:p w:rsidR="00231D66" w:rsidRDefault="00E50336" w:rsidP="00231D66">
      <w:r>
        <w:pict>
          <v:rect id="_x0000_i3529" style="width:0;height:1.5pt" o:hralign="center" o:hrstd="t" o:hr="t" fillcolor="#a0a0a0" stroked="f"/>
        </w:pict>
      </w:r>
    </w:p>
    <w:p w:rsidR="00231D66" w:rsidRDefault="00231D66" w:rsidP="00231D66">
      <w:pPr>
        <w:pStyle w:val="berschrift1"/>
      </w:pPr>
      <w:r>
        <w:t>3.3.46.11 Skalierung als Gruppenwirkung</w:t>
      </w:r>
    </w:p>
    <w:p w:rsidR="00231D66" w:rsidRDefault="00231D66" w:rsidP="00231D66">
      <w:pPr>
        <w:pStyle w:val="StandardWeb"/>
      </w:pPr>
      <w:r>
        <w:t>Beschränke ich die Skalare auf die multiplikative Gruppe</w:t>
      </w:r>
    </w:p>
    <w:p w:rsidR="00231D66" w:rsidRDefault="00231D66" w:rsidP="00231D66">
      <w:pPr>
        <w:pStyle w:val="berschrift1"/>
      </w:pPr>
      <w:r>
        <w:t>[</w:t>
      </w:r>
      <w:r>
        <w:br/>
        <w:t>\mathbb K^\times</w:t>
      </w:r>
    </w:p>
    <w:p w:rsidR="00231D66" w:rsidRDefault="00231D66" w:rsidP="00231D66">
      <w:pPr>
        <w:pStyle w:val="StandardWeb"/>
      </w:pPr>
      <w:r>
        <w:t>\mathbb K\setminus{0},</w:t>
      </w:r>
      <w:r>
        <w:br/>
        <w:t>\tag{3.10846}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\mathbb K^\times=\mathbb K\setminus\{0\}</w:t>
      </w:r>
    </w:p>
    <w:p w:rsidR="00231D66" w:rsidRDefault="00231D66" w:rsidP="00231D66">
      <w:pPr>
        <w:pStyle w:val="StandardWeb"/>
      </w:pPr>
      <w:r>
        <w:t>kann die lineare Skalierung eine Gruppenwirkung bilden:</w:t>
      </w:r>
    </w:p>
    <w:p w:rsidR="00231D66" w:rsidRDefault="00231D66" w:rsidP="00231D66">
      <w:pPr>
        <w:pStyle w:val="StandardWeb"/>
      </w:pPr>
      <w:r>
        <w:t>[</w:t>
      </w:r>
      <w:r>
        <w:br/>
        <w:t>\mathbb K^\times</w:t>
      </w:r>
      <w:r>
        <w:br/>
        <w:t>\times</w:t>
      </w:r>
      <w:r>
        <w:br/>
        <w:t>\mathcal X_F</w:t>
      </w:r>
      <w:r>
        <w:br/>
        <w:t>\rightarrow</w:t>
      </w:r>
      <w:r>
        <w:br/>
        <w:t>\mathcal X_F.</w:t>
      </w:r>
      <w:r>
        <w:br/>
        <w:t>\tag{3.10847}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\mathbb K^\times\times\mathcal X_F\rightarrow\mathcal X_F</w:t>
      </w:r>
    </w:p>
    <w:p w:rsidR="00231D66" w:rsidRDefault="00E50336" w:rsidP="00231D66">
      <w:r>
        <w:pict>
          <v:rect id="_x0000_i3530" style="width:0;height:1.5pt" o:hralign="center" o:hrstd="t" o:hr="t" fillcolor="#a0a0a0" stroked="f"/>
        </w:pict>
      </w:r>
    </w:p>
    <w:p w:rsidR="00231D66" w:rsidRDefault="00231D66" w:rsidP="00231D66">
      <w:pPr>
        <w:pStyle w:val="berschrift1"/>
      </w:pPr>
      <w:r>
        <w:t>3.3.46.12 Definition 3.3.163 – Funktionale Skalierungswirkung</w:t>
      </w:r>
    </w:p>
    <w:p w:rsidR="00231D66" w:rsidRDefault="00231D66" w:rsidP="00231D66">
      <w:pPr>
        <w:pStyle w:val="berschrift3"/>
      </w:pPr>
      <w:r>
        <w:t>Definition 3.3.163</w:t>
      </w:r>
    </w:p>
    <w:p w:rsidR="00231D66" w:rsidRDefault="00231D66" w:rsidP="00231D66">
      <w:pPr>
        <w:pStyle w:val="StandardWeb"/>
      </w:pPr>
      <w:r>
        <w:t xml:space="preserve">Eine </w:t>
      </w:r>
      <w:r>
        <w:rPr>
          <w:rStyle w:val="Fett"/>
        </w:rPr>
        <w:t>funktionale Skalierungswirkung</w:t>
      </w:r>
      <w:r>
        <w:t xml:space="preserve"> ist eine Gruppenwirkung einer multiplikativen Skalierungsgruppe (\Lambda^\times) auf einem funktionalen Objektbereich (\mathcal X_F):</w:t>
      </w:r>
    </w:p>
    <w:p w:rsidR="00231D66" w:rsidRDefault="00231D66" w:rsidP="00231D66">
      <w:pPr>
        <w:pStyle w:val="StandardWeb"/>
      </w:pPr>
      <w:r>
        <w:t>[</w:t>
      </w:r>
      <w:r>
        <w:br/>
        <w:t>\boxed{</w:t>
      </w:r>
      <w:r>
        <w:br/>
        <w:t>S:</w:t>
      </w:r>
      <w:r>
        <w:br/>
        <w:t>\Lambda^\times</w:t>
      </w:r>
      <w:r>
        <w:br/>
      </w:r>
      <w:r>
        <w:lastRenderedPageBreak/>
        <w:t>\times</w:t>
      </w:r>
      <w:r>
        <w:br/>
        <w:t>\mathcal X_F</w:t>
      </w:r>
      <w:r>
        <w:br/>
        <w:t>\rightarrow</w:t>
      </w:r>
      <w:r>
        <w:br/>
        <w:t>\mathcal X_F</w:t>
      </w:r>
      <w:r>
        <w:br/>
        <w:t>}</w:t>
      </w:r>
      <w:r>
        <w:br/>
        <w:t>\tag{3.10848}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\boxed{S:\Lambda^\times\times\mathcal X_F\rightarrow\mathcal X_F}</w:t>
      </w:r>
    </w:p>
    <w:p w:rsidR="00231D66" w:rsidRDefault="00231D66" w:rsidP="00231D66">
      <w:pPr>
        <w:pStyle w:val="StandardWeb"/>
      </w:pPr>
      <w:r>
        <w:t>mit</w:t>
      </w:r>
    </w:p>
    <w:p w:rsidR="00231D66" w:rsidRDefault="00231D66" w:rsidP="00231D66">
      <w:pPr>
        <w:pStyle w:val="berschrift1"/>
      </w:pPr>
      <w:r>
        <w:t>[</w:t>
      </w:r>
      <w:r>
        <w:br/>
        <w:t>S_1</w:t>
      </w:r>
    </w:p>
    <w:p w:rsidR="00231D66" w:rsidRDefault="00231D66" w:rsidP="00231D66">
      <w:pPr>
        <w:pStyle w:val="StandardWeb"/>
      </w:pPr>
      <w:r>
        <w:t>\operatorname{id}_{\mathcal X_F}</w:t>
      </w:r>
      <w:r>
        <w:br/>
        <w:t>\tag{3.10849}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S_1=\operatorname{id}_{\mathcal X_F}</w:t>
      </w:r>
    </w:p>
    <w:p w:rsidR="00231D66" w:rsidRDefault="00231D66" w:rsidP="00231D66">
      <w:pPr>
        <w:pStyle w:val="StandardWeb"/>
      </w:pPr>
      <w:r>
        <w:t>und</w:t>
      </w:r>
    </w:p>
    <w:p w:rsidR="00231D66" w:rsidRDefault="00231D66" w:rsidP="00231D66">
      <w:pPr>
        <w:pStyle w:val="berschrift1"/>
      </w:pPr>
      <w:r>
        <w:t>[</w:t>
      </w:r>
      <w:r>
        <w:br/>
        <w:t>S_{\lambda_1}</w:t>
      </w:r>
      <w:r>
        <w:br/>
        <w:t>\circ</w:t>
      </w:r>
      <w:r>
        <w:br/>
        <w:t>S_{\lambda_2}</w:t>
      </w:r>
    </w:p>
    <w:p w:rsidR="00231D66" w:rsidRDefault="00231D66" w:rsidP="00231D66">
      <w:pPr>
        <w:pStyle w:val="StandardWeb"/>
      </w:pPr>
      <w:r>
        <w:t>S_{\lambda_1\lambda_2}.</w:t>
      </w:r>
      <w:r>
        <w:br/>
        <w:t>\tag{3.10850}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S_{\lambda_1}\circ S_{\lambda_2}=S_{\lambda_1\lambda_2}</w:t>
      </w:r>
    </w:p>
    <w:p w:rsidR="00231D66" w:rsidRDefault="00E50336" w:rsidP="00231D66">
      <w:r>
        <w:pict>
          <v:rect id="_x0000_i3531" style="width:0;height:1.5pt" o:hralign="center" o:hrstd="t" o:hr="t" fillcolor="#a0a0a0" stroked="f"/>
        </w:pict>
      </w:r>
    </w:p>
    <w:p w:rsidR="00231D66" w:rsidRDefault="00231D66" w:rsidP="00231D66">
      <w:pPr>
        <w:pStyle w:val="berschrift1"/>
      </w:pPr>
      <w:r>
        <w:t>3.3.46.13 Skalierungsorbit</w:t>
      </w:r>
    </w:p>
    <w:p w:rsidR="00231D66" w:rsidRDefault="00231D66" w:rsidP="00231D66">
      <w:pPr>
        <w:pStyle w:val="StandardWeb"/>
      </w:pPr>
      <w:r>
        <w:t>Analog zur Symmetriegruppenwirkung kann ich für ein Objekt (X) einen Skalierungsorbit definieren:</w:t>
      </w:r>
    </w:p>
    <w:p w:rsidR="00231D66" w:rsidRDefault="00231D66" w:rsidP="00231D66">
      <w:pPr>
        <w:pStyle w:val="berschrift1"/>
      </w:pPr>
      <w:r>
        <w:lastRenderedPageBreak/>
        <w:t>[</w:t>
      </w:r>
      <w:r>
        <w:br/>
        <w:t>\mathcal O_{\mathrm{sc}}(X)</w:t>
      </w:r>
    </w:p>
    <w:p w:rsidR="00231D66" w:rsidRDefault="00231D66" w:rsidP="00231D66">
      <w:pPr>
        <w:pStyle w:val="StandardWeb"/>
      </w:pPr>
      <w:r>
        <w:t>\left{</w:t>
      </w:r>
      <w:r>
        <w:br/>
        <w:t>S_\lambda(X):</w:t>
      </w:r>
      <w:r>
        <w:br/>
        <w:t>\lambda\in\Lambda^\times</w:t>
      </w:r>
      <w:r>
        <w:br/>
        <w:t>\right}.</w:t>
      </w:r>
      <w:r>
        <w:br/>
        <w:t>\tag{3.10851}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\mathcal O_{\mathrm{sc}}(X)=\left\{S_\lambda(X):\lambda\in\Lambda^\times\right\}</w:t>
      </w:r>
    </w:p>
    <w:p w:rsidR="00231D66" w:rsidRDefault="00E50336" w:rsidP="00231D66">
      <w:r>
        <w:pict>
          <v:rect id="_x0000_i3532" style="width:0;height:1.5pt" o:hralign="center" o:hrstd="t" o:hr="t" fillcolor="#a0a0a0" stroked="f"/>
        </w:pict>
      </w:r>
    </w:p>
    <w:p w:rsidR="00231D66" w:rsidRDefault="00231D66" w:rsidP="00231D66">
      <w:pPr>
        <w:pStyle w:val="berschrift1"/>
      </w:pPr>
      <w:r>
        <w:t>3.3.46.14 Definition 3.3.164 – Funktionaler Skalierungsorbit</w:t>
      </w:r>
    </w:p>
    <w:p w:rsidR="00231D66" w:rsidRDefault="00231D66" w:rsidP="00231D66">
      <w:pPr>
        <w:pStyle w:val="berschrift3"/>
      </w:pPr>
      <w:r>
        <w:t>Definition 3.3.164</w:t>
      </w:r>
    </w:p>
    <w:p w:rsidR="00231D66" w:rsidRDefault="00231D66" w:rsidP="00231D66">
      <w:pPr>
        <w:pStyle w:val="StandardWeb"/>
      </w:pPr>
      <w:r>
        <w:t xml:space="preserve">Der </w:t>
      </w:r>
      <w:r>
        <w:rPr>
          <w:rStyle w:val="Fett"/>
        </w:rPr>
        <w:t>funktionale Skalierungsorbit</w:t>
      </w:r>
      <w:r>
        <w:t xml:space="preserve"> eines Objekts (X) ist</w:t>
      </w:r>
    </w:p>
    <w:p w:rsidR="00231D66" w:rsidRDefault="00231D66" w:rsidP="00231D66">
      <w:pPr>
        <w:pStyle w:val="StandardWeb"/>
      </w:pPr>
      <w:r>
        <w:t>[</w:t>
      </w:r>
      <w:r>
        <w:br/>
        <w:t>\boxed{</w:t>
      </w:r>
      <w:r>
        <w:br/>
        <w:t>\mathcal O_{\mathrm{sc}}(X)</w:t>
      </w:r>
      <w:r>
        <w:br/>
        <w:t>:=</w:t>
      </w:r>
      <w:r>
        <w:br/>
        <w:t>\left{</w:t>
      </w:r>
      <w:r>
        <w:br/>
        <w:t>S_\lambda(X):</w:t>
      </w:r>
      <w:r>
        <w:br/>
        <w:t>\lambda\in\Lambda^\times</w:t>
      </w:r>
      <w:r>
        <w:br/>
        <w:t>\right}.</w:t>
      </w:r>
      <w:r>
        <w:br/>
        <w:t>}</w:t>
      </w:r>
      <w:r>
        <w:br/>
        <w:t>\tag{3.10852}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\boxed{\mathcal O_{\mathrm{sc}}(X):=\left\{S_\lambda(X):\lambda\in\Lambda^\times\right\}.}</w:t>
      </w:r>
    </w:p>
    <w:p w:rsidR="00231D66" w:rsidRDefault="00231D66" w:rsidP="00231D66">
      <w:pPr>
        <w:pStyle w:val="StandardWeb"/>
      </w:pPr>
      <w:r>
        <w:t>Objekte im selben Skalierungsorbit unterscheiden sich ausschließlich durch die gewählte Skalierungswirkung.</w:t>
      </w:r>
    </w:p>
    <w:p w:rsidR="00231D66" w:rsidRDefault="00E50336" w:rsidP="00231D66">
      <w:r>
        <w:pict>
          <v:rect id="_x0000_i3533" style="width:0;height:1.5pt" o:hralign="center" o:hrstd="t" o:hr="t" fillcolor="#a0a0a0" stroked="f"/>
        </w:pict>
      </w:r>
    </w:p>
    <w:p w:rsidR="00231D66" w:rsidRDefault="00231D66" w:rsidP="00231D66">
      <w:pPr>
        <w:pStyle w:val="berschrift1"/>
      </w:pPr>
      <w:r>
        <w:t>3.3.46.15 Skalierungsäquivalenz</w:t>
      </w:r>
    </w:p>
    <w:p w:rsidR="00231D66" w:rsidRDefault="00231D66" w:rsidP="00231D66">
      <w:pPr>
        <w:pStyle w:val="StandardWeb"/>
      </w:pPr>
      <w:r>
        <w:t>Ich definiere</w:t>
      </w:r>
    </w:p>
    <w:p w:rsidR="00231D66" w:rsidRDefault="00231D66" w:rsidP="00231D66">
      <w:pPr>
        <w:pStyle w:val="StandardWeb"/>
      </w:pPr>
      <w:r>
        <w:lastRenderedPageBreak/>
        <w:t>[</w:t>
      </w:r>
      <w:r>
        <w:br/>
        <w:t>X\sim_{\mathrm{sc}}Y</w:t>
      </w:r>
      <w:r>
        <w:br/>
        <w:t>\tag{3.10853}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X\sim_{\mathrm{sc}}Y</w:t>
      </w:r>
    </w:p>
    <w:p w:rsidR="00231D66" w:rsidRDefault="00231D66" w:rsidP="00231D66">
      <w:pPr>
        <w:pStyle w:val="StandardWeb"/>
      </w:pPr>
      <w:r>
        <w:t>genau dann, wenn ein (\lambda\in\Lambda^\times) existiert mit</w:t>
      </w:r>
    </w:p>
    <w:p w:rsidR="00231D66" w:rsidRDefault="00231D66" w:rsidP="00231D66">
      <w:pPr>
        <w:pStyle w:val="StandardWeb"/>
      </w:pPr>
      <w:r>
        <w:t>[</w:t>
      </w:r>
      <w:r>
        <w:br/>
        <w:t>Y=S_\lambda(X).</w:t>
      </w:r>
      <w:r>
        <w:br/>
        <w:t>\tag{3.10854}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Y=S_\lambda(X)</w:t>
      </w:r>
    </w:p>
    <w:p w:rsidR="00231D66" w:rsidRDefault="00E50336" w:rsidP="00231D66">
      <w:r>
        <w:pict>
          <v:rect id="_x0000_i3534" style="width:0;height:1.5pt" o:hralign="center" o:hrstd="t" o:hr="t" fillcolor="#a0a0a0" stroked="f"/>
        </w:pict>
      </w:r>
    </w:p>
    <w:p w:rsidR="00231D66" w:rsidRDefault="00231D66" w:rsidP="00231D66">
      <w:pPr>
        <w:pStyle w:val="berschrift1"/>
      </w:pPr>
      <w:r>
        <w:t>3.3.46.16 Definition 3.3.165 – Funktionale Skalierungsäquivalenz</w:t>
      </w:r>
    </w:p>
    <w:p w:rsidR="00231D66" w:rsidRDefault="00231D66" w:rsidP="00231D66">
      <w:pPr>
        <w:pStyle w:val="berschrift3"/>
      </w:pPr>
      <w:r>
        <w:t>Definition 3.3.165</w:t>
      </w:r>
    </w:p>
    <w:p w:rsidR="00231D66" w:rsidRDefault="00231D66" w:rsidP="00231D66">
      <w:pPr>
        <w:pStyle w:val="StandardWeb"/>
      </w:pPr>
      <w:r>
        <w:t xml:space="preserve">Zwei funktionale Objekte (X) und (Y) heißen </w:t>
      </w:r>
      <w:r>
        <w:rPr>
          <w:rStyle w:val="Fett"/>
        </w:rPr>
        <w:t>skalierungsäquivalent</w:t>
      </w:r>
      <w:r>
        <w:t>, wenn</w:t>
      </w:r>
    </w:p>
    <w:p w:rsidR="00231D66" w:rsidRDefault="00231D66" w:rsidP="00231D66">
      <w:pPr>
        <w:pStyle w:val="StandardWeb"/>
      </w:pPr>
      <w:r>
        <w:t>[</w:t>
      </w:r>
      <w:r>
        <w:br/>
        <w:t>\boxed{</w:t>
      </w:r>
      <w:r>
        <w:br/>
        <w:t>X\sim_{\mathrm{sc}}Y</w:t>
      </w:r>
      <w:r>
        <w:br/>
        <w:t>\Longleftrightarrow</w:t>
      </w:r>
      <w:r>
        <w:br/>
        <w:t>\exists\lambda\in\Lambda^\times:</w:t>
      </w:r>
      <w:r>
        <w:br/>
        <w:t>Y=S_\lambda(X).</w:t>
      </w:r>
      <w:r>
        <w:br/>
        <w:t>}</w:t>
      </w:r>
      <w:r>
        <w:br/>
        <w:t>\tag{3.10855}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\boxed{X\sim_{\mathrm{sc}}Y\Longleftrightarrow\exists\lambda\in\Lambda^\times:Y=S_\lambda(X).}</w:t>
      </w:r>
    </w:p>
    <w:p w:rsidR="00231D66" w:rsidRDefault="00E50336" w:rsidP="00231D66">
      <w:r>
        <w:pict>
          <v:rect id="_x0000_i3535" style="width:0;height:1.5pt" o:hralign="center" o:hrstd="t" o:hr="t" fillcolor="#a0a0a0" stroked="f"/>
        </w:pict>
      </w:r>
    </w:p>
    <w:p w:rsidR="00231D66" w:rsidRDefault="00231D66" w:rsidP="00231D66">
      <w:pPr>
        <w:pStyle w:val="berschrift1"/>
      </w:pPr>
      <w:r>
        <w:t>3.3.46.17 Reflexivität der Skalierungsäquivalenz</w:t>
      </w:r>
    </w:p>
    <w:p w:rsidR="00231D66" w:rsidRDefault="00231D66" w:rsidP="00231D66">
      <w:pPr>
        <w:pStyle w:val="StandardWeb"/>
      </w:pPr>
      <w:r>
        <w:t>Da</w:t>
      </w:r>
    </w:p>
    <w:p w:rsidR="00231D66" w:rsidRDefault="00231D66" w:rsidP="00231D66">
      <w:pPr>
        <w:pStyle w:val="StandardWeb"/>
      </w:pPr>
      <w:r>
        <w:t>[</w:t>
      </w:r>
      <w:r>
        <w:br/>
        <w:t>S_1(X)=X,</w:t>
      </w:r>
      <w:r>
        <w:br/>
      </w:r>
      <w:r>
        <w:lastRenderedPageBreak/>
        <w:t>\tag{3.10856}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S_1(X)=X</w:t>
      </w:r>
    </w:p>
    <w:p w:rsidR="00231D66" w:rsidRDefault="00231D66" w:rsidP="00231D66">
      <w:pPr>
        <w:pStyle w:val="StandardWeb"/>
      </w:pPr>
      <w:r>
        <w:t>gilt</w:t>
      </w:r>
    </w:p>
    <w:p w:rsidR="00231D66" w:rsidRDefault="00231D66" w:rsidP="00231D66">
      <w:pPr>
        <w:pStyle w:val="StandardWeb"/>
      </w:pPr>
      <w:r>
        <w:t>[</w:t>
      </w:r>
      <w:r>
        <w:br/>
        <w:t>X\sim_{\mathrm{sc}}X.</w:t>
      </w:r>
      <w:r>
        <w:br/>
        <w:t>\tag{3.10857}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X\sim_{\mathrm{sc}}X</w:t>
      </w:r>
    </w:p>
    <w:p w:rsidR="00231D66" w:rsidRDefault="00E50336" w:rsidP="00231D66">
      <w:r>
        <w:pict>
          <v:rect id="_x0000_i3536" style="width:0;height:1.5pt" o:hralign="center" o:hrstd="t" o:hr="t" fillcolor="#a0a0a0" stroked="f"/>
        </w:pict>
      </w:r>
    </w:p>
    <w:p w:rsidR="00231D66" w:rsidRDefault="00231D66" w:rsidP="00231D66">
      <w:pPr>
        <w:pStyle w:val="berschrift1"/>
      </w:pPr>
      <w:r>
        <w:t>3.3.46.18 Symmetrie der Skalierungsäquivalenz</w:t>
      </w:r>
    </w:p>
    <w:p w:rsidR="00231D66" w:rsidRDefault="00231D66" w:rsidP="00231D66">
      <w:pPr>
        <w:pStyle w:val="StandardWeb"/>
      </w:pPr>
      <w:r>
        <w:t>Aus</w:t>
      </w:r>
    </w:p>
    <w:p w:rsidR="00231D66" w:rsidRDefault="00231D66" w:rsidP="00231D66">
      <w:pPr>
        <w:pStyle w:val="StandardWeb"/>
      </w:pPr>
      <w:r>
        <w:t>[</w:t>
      </w:r>
      <w:r>
        <w:br/>
        <w:t>Y=S_\lambda(X)</w:t>
      </w:r>
      <w:r>
        <w:br/>
        <w:t>\tag{3.10858}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Y=S_\lambda(X)</w:t>
      </w:r>
    </w:p>
    <w:p w:rsidR="00231D66" w:rsidRDefault="00231D66" w:rsidP="00231D66">
      <w:pPr>
        <w:pStyle w:val="StandardWeb"/>
      </w:pPr>
      <w:r>
        <w:t>folgt wegen der Invertierbarkeit für (\lambda\neq0)</w:t>
      </w:r>
    </w:p>
    <w:p w:rsidR="00231D66" w:rsidRDefault="00231D66" w:rsidP="00231D66">
      <w:pPr>
        <w:pStyle w:val="berschrift1"/>
      </w:pPr>
      <w:r>
        <w:t>[</w:t>
      </w:r>
      <w:r>
        <w:br/>
        <w:t>X</w:t>
      </w:r>
    </w:p>
    <w:p w:rsidR="00231D66" w:rsidRDefault="00231D66" w:rsidP="00231D66">
      <w:pPr>
        <w:pStyle w:val="StandardWeb"/>
      </w:pPr>
      <w:r>
        <w:t>S_{\lambda^{-1}}(Y).</w:t>
      </w:r>
      <w:r>
        <w:br/>
        <w:t>\tag{3.10859}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X=S_{\lambda^{-1}}(Y)</w:t>
      </w:r>
    </w:p>
    <w:p w:rsidR="00231D66" w:rsidRDefault="00231D66" w:rsidP="00231D66">
      <w:pPr>
        <w:pStyle w:val="StandardWeb"/>
      </w:pPr>
      <w:r>
        <w:t>Daher gilt</w:t>
      </w:r>
    </w:p>
    <w:p w:rsidR="00231D66" w:rsidRDefault="00231D66" w:rsidP="00231D66">
      <w:pPr>
        <w:pStyle w:val="StandardWeb"/>
      </w:pPr>
      <w:r>
        <w:t>[</w:t>
      </w:r>
      <w:r>
        <w:br/>
        <w:t>X\sim_{\mathrm{sc}}Y</w:t>
      </w:r>
      <w:r>
        <w:br/>
      </w:r>
      <w:r>
        <w:lastRenderedPageBreak/>
        <w:t>\Rightarrow</w:t>
      </w:r>
      <w:r>
        <w:br/>
        <w:t>Y\sim_{\mathrm{sc}}X.</w:t>
      </w:r>
      <w:r>
        <w:br/>
        <w:t>\tag{3.10860}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X\sim_{\mathrm{sc}}Y\Rightarrow Y\sim_{\mathrm{sc}}X</w:t>
      </w:r>
    </w:p>
    <w:p w:rsidR="00231D66" w:rsidRDefault="00E50336" w:rsidP="00231D66">
      <w:r>
        <w:pict>
          <v:rect id="_x0000_i3537" style="width:0;height:1.5pt" o:hralign="center" o:hrstd="t" o:hr="t" fillcolor="#a0a0a0" stroked="f"/>
        </w:pict>
      </w:r>
    </w:p>
    <w:p w:rsidR="00231D66" w:rsidRDefault="00231D66" w:rsidP="00231D66">
      <w:pPr>
        <w:pStyle w:val="berschrift1"/>
      </w:pPr>
      <w:r>
        <w:t>3.3.46.19 Transitivität der Skalierungsäquivalenz</w:t>
      </w:r>
    </w:p>
    <w:p w:rsidR="00231D66" w:rsidRDefault="00231D66" w:rsidP="00231D66">
      <w:pPr>
        <w:pStyle w:val="StandardWeb"/>
      </w:pPr>
      <w:r>
        <w:t>Gelten</w:t>
      </w:r>
    </w:p>
    <w:p w:rsidR="00231D66" w:rsidRDefault="00231D66" w:rsidP="00231D66">
      <w:pPr>
        <w:pStyle w:val="StandardWeb"/>
      </w:pPr>
      <w:r>
        <w:t>[</w:t>
      </w:r>
      <w:r>
        <w:br/>
        <w:t>Y=S_{\lambda_1}(X)</w:t>
      </w:r>
      <w:r>
        <w:br/>
        <w:t>\tag{3.10861}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Y=S_{\lambda_1}(X)</w:t>
      </w:r>
    </w:p>
    <w:p w:rsidR="00231D66" w:rsidRDefault="00231D66" w:rsidP="00231D66">
      <w:pPr>
        <w:pStyle w:val="StandardWeb"/>
      </w:pPr>
      <w:r>
        <w:t>und</w:t>
      </w:r>
    </w:p>
    <w:p w:rsidR="00231D66" w:rsidRDefault="00231D66" w:rsidP="00231D66">
      <w:pPr>
        <w:pStyle w:val="StandardWeb"/>
      </w:pPr>
      <w:r>
        <w:t>[</w:t>
      </w:r>
      <w:r>
        <w:br/>
        <w:t>Z=S_{\lambda_2}(Y),</w:t>
      </w:r>
      <w:r>
        <w:br/>
        <w:t>\tag{3.10862}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Z=S_{\lambda_2}(Y)</w:t>
      </w:r>
    </w:p>
    <w:p w:rsidR="00231D66" w:rsidRDefault="00231D66" w:rsidP="00231D66">
      <w:pPr>
        <w:pStyle w:val="StandardWeb"/>
      </w:pPr>
      <w:r>
        <w:t>so folgt</w:t>
      </w:r>
    </w:p>
    <w:p w:rsidR="00231D66" w:rsidRDefault="00231D66" w:rsidP="00231D66">
      <w:pPr>
        <w:pStyle w:val="berschrift1"/>
      </w:pPr>
      <w:r>
        <w:t>[</w:t>
      </w:r>
      <w:r>
        <w:br/>
        <w:t>Z</w:t>
      </w:r>
    </w:p>
    <w:p w:rsidR="00231D66" w:rsidRDefault="00231D66" w:rsidP="00231D66">
      <w:pPr>
        <w:pStyle w:val="StandardWeb"/>
      </w:pPr>
      <w:r>
        <w:t>S_{\lambda_2\lambda_1}(X).</w:t>
      </w:r>
      <w:r>
        <w:br/>
        <w:t>\tag{3.10863}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Z=S_{\lambda_2\lambda_1}(X)</w:t>
      </w:r>
    </w:p>
    <w:p w:rsidR="00231D66" w:rsidRDefault="00231D66" w:rsidP="00231D66">
      <w:pPr>
        <w:pStyle w:val="StandardWeb"/>
      </w:pPr>
      <w:r>
        <w:t>Damit ist die Relation transitiv.</w:t>
      </w:r>
    </w:p>
    <w:p w:rsidR="00231D66" w:rsidRDefault="00E50336" w:rsidP="00231D66">
      <w:r>
        <w:lastRenderedPageBreak/>
        <w:pict>
          <v:rect id="_x0000_i3538" style="width:0;height:1.5pt" o:hralign="center" o:hrstd="t" o:hr="t" fillcolor="#a0a0a0" stroked="f"/>
        </w:pict>
      </w:r>
    </w:p>
    <w:p w:rsidR="00231D66" w:rsidRDefault="00231D66" w:rsidP="00231D66">
      <w:pPr>
        <w:pStyle w:val="berschrift1"/>
      </w:pPr>
      <w:r>
        <w:t>3.3.46.20 Satz 3.3.75 – Skalierungsäquivalenz als Äquivalenzrelation</w:t>
      </w:r>
    </w:p>
    <w:p w:rsidR="00231D66" w:rsidRDefault="00231D66" w:rsidP="00231D66">
      <w:pPr>
        <w:pStyle w:val="berschrift3"/>
      </w:pPr>
      <w:r>
        <w:t>Satz 3.3.75</w:t>
      </w:r>
    </w:p>
    <w:p w:rsidR="00231D66" w:rsidRDefault="00231D66" w:rsidP="00231D66">
      <w:pPr>
        <w:pStyle w:val="StandardWeb"/>
      </w:pPr>
      <w:r>
        <w:t>Unter einer funktionalen Skalierungswirkung einer Gruppe (\Lambda^\times) ist die Relation (\sim_{\mathrm{sc}}) eine Äquivalenzrelation:</w:t>
      </w:r>
    </w:p>
    <w:p w:rsidR="00231D66" w:rsidRDefault="00231D66" w:rsidP="00231D66">
      <w:pPr>
        <w:pStyle w:val="StandardWeb"/>
      </w:pPr>
      <w:r>
        <w:t>[</w:t>
      </w:r>
      <w:r>
        <w:br/>
        <w:t>\boxed{</w:t>
      </w:r>
      <w:r>
        <w:br/>
        <w:t>\sim_{\mathrm{sc}}</w:t>
      </w:r>
      <w:r>
        <w:br/>
        <w:t>\text{ ist reflexiv, symmetrisch und transitiv}.</w:t>
      </w:r>
      <w:r>
        <w:br/>
        <w:t>}</w:t>
      </w:r>
      <w:r>
        <w:br/>
        <w:t>\tag{3.10864}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\boxed{\sim_{\mathrm{sc}}\text{ ist reflexiv, symmetrisch und transitiv}.}</w:t>
      </w:r>
    </w:p>
    <w:p w:rsidR="00231D66" w:rsidRDefault="00231D66" w:rsidP="00231D66">
      <w:pPr>
        <w:pStyle w:val="berschrift3"/>
      </w:pPr>
      <w:r>
        <w:t>Beweis</w:t>
      </w:r>
    </w:p>
    <w:p w:rsidR="00231D66" w:rsidRDefault="00231D66" w:rsidP="00231D66">
      <w:pPr>
        <w:pStyle w:val="StandardWeb"/>
      </w:pPr>
      <w:r>
        <w:t>Reflexivität folgt aus dem neutralen Gruppenelement (1), Symmetrie aus der Existenz von (\lambda^{-1}) und Transitivität aus der multiplikativen Abgeschlossenheit der Skalierungsgruppe. (\square)</w:t>
      </w:r>
    </w:p>
    <w:p w:rsidR="00231D66" w:rsidRDefault="00E50336" w:rsidP="00231D66">
      <w:r>
        <w:pict>
          <v:rect id="_x0000_i3539" style="width:0;height:1.5pt" o:hralign="center" o:hrstd="t" o:hr="t" fillcolor="#a0a0a0" stroked="f"/>
        </w:pict>
      </w:r>
    </w:p>
    <w:p w:rsidR="00231D66" w:rsidRDefault="00231D66" w:rsidP="00231D66">
      <w:pPr>
        <w:pStyle w:val="berschrift1"/>
      </w:pPr>
      <w:r>
        <w:t>3.3.46.21 Skalierungsquotient</w:t>
      </w:r>
    </w:p>
    <w:p w:rsidR="00231D66" w:rsidRDefault="00231D66" w:rsidP="00231D66">
      <w:pPr>
        <w:pStyle w:val="StandardWeb"/>
      </w:pPr>
      <w:r>
        <w:t>Damit kann ein Quotientenraum bezüglich der Skalierungsäquivalenz gebildet werden:</w:t>
      </w:r>
    </w:p>
    <w:p w:rsidR="00231D66" w:rsidRDefault="00231D66" w:rsidP="00231D66">
      <w:pPr>
        <w:pStyle w:val="StandardWeb"/>
      </w:pPr>
      <w:r>
        <w:t>[</w:t>
      </w:r>
      <w:r>
        <w:br/>
        <w:t>\mathcal X_F/!\sim_{\mathrm{sc}}.</w:t>
      </w:r>
      <w:r>
        <w:br/>
        <w:t>\tag{3.10865}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\mathcal X_F/\!\sim_{\mathrm{sc}}</w:t>
      </w:r>
    </w:p>
    <w:p w:rsidR="00231D66" w:rsidRDefault="00231D66" w:rsidP="00231D66">
      <w:pPr>
        <w:pStyle w:val="StandardWeb"/>
      </w:pPr>
      <w:r>
        <w:t>Äquivalent kann ich bei gegebener Gruppenwirkung schreiben</w:t>
      </w:r>
    </w:p>
    <w:p w:rsidR="00231D66" w:rsidRDefault="00231D66" w:rsidP="00231D66">
      <w:pPr>
        <w:pStyle w:val="StandardWeb"/>
      </w:pPr>
      <w:r>
        <w:t>[</w:t>
      </w:r>
      <w:r>
        <w:br/>
        <w:t>\mathcal X_F/\Lambda^\times.</w:t>
      </w:r>
      <w:r>
        <w:br/>
        <w:t>\tag{3.10866}</w:t>
      </w:r>
      <w:r>
        <w:br/>
        <w:t>]</w:t>
      </w:r>
    </w:p>
    <w:p w:rsidR="00231D66" w:rsidRDefault="00231D66" w:rsidP="00231D66">
      <w:pPr>
        <w:pStyle w:val="StandardWeb"/>
      </w:pPr>
      <w:r>
        <w:rPr>
          <w:rStyle w:val="Fett"/>
        </w:rPr>
        <w:lastRenderedPageBreak/>
        <w:t>Word-LaTeX</w:t>
      </w:r>
    </w:p>
    <w:p w:rsidR="00231D66" w:rsidRDefault="00231D66" w:rsidP="00231D66">
      <w:pPr>
        <w:pStyle w:val="HTMLVorformatiert"/>
        <w:rPr>
          <w:rStyle w:val="HTMLCode"/>
        </w:rPr>
      </w:pPr>
      <w:r>
        <w:rPr>
          <w:rStyle w:val="HTMLCode"/>
        </w:rPr>
        <w:t>\mathcal X_F/\Lambda^\times</w:t>
      </w:r>
    </w:p>
    <w:p w:rsidR="00231D66" w:rsidRDefault="00E50336" w:rsidP="00231D66">
      <w:r>
        <w:pict>
          <v:rect id="_x0000_i3540" style="width:0;height:1.5pt" o:hralign="center" o:hrstd="t" o:hr="t" fillcolor="#a0a0a0" stroked="f"/>
        </w:pict>
      </w:r>
    </w:p>
    <w:p w:rsidR="00231D66" w:rsidRDefault="00231D66" w:rsidP="00231D66">
      <w:pPr>
        <w:pStyle w:val="berschrift1"/>
      </w:pPr>
      <w:r>
        <w:t>3.3.46.22 Definition 3.3.166 – Funktionaler Skalierungsquotient</w:t>
      </w:r>
    </w:p>
    <w:p w:rsidR="00231D66" w:rsidRDefault="00231D66" w:rsidP="00231D66">
      <w:pPr>
        <w:pStyle w:val="berschrift3"/>
      </w:pPr>
      <w:r>
        <w:t>Definition 3.3.166</w:t>
      </w:r>
    </w:p>
    <w:p w:rsidR="00231D66" w:rsidRDefault="00231D66" w:rsidP="00231D66">
      <w:pPr>
        <w:pStyle w:val="StandardWeb"/>
      </w:pPr>
      <w:r>
        <w:t xml:space="preserve">Der </w:t>
      </w:r>
      <w:r>
        <w:rPr>
          <w:rStyle w:val="Fett"/>
        </w:rPr>
        <w:t>funktionale Skalierungsquotient</w:t>
      </w:r>
      <w:r>
        <w:t xml:space="preserve"> ist die Menge der Skalierungsäquivalenzklassen</w:t>
      </w:r>
    </w:p>
    <w:p w:rsidR="00231D66" w:rsidRDefault="00231D66" w:rsidP="00231D66">
      <w:pPr>
        <w:pStyle w:val="StandardWeb"/>
      </w:pPr>
      <w:r>
        <w:t>[</w:t>
      </w:r>
      <w:r>
        <w:br/>
        <w:t>\boxed{</w:t>
      </w:r>
      <w:r>
        <w:br/>
        <w:t>\mathcal Q_{\mathrm{sc}}</w:t>
      </w:r>
      <w:r>
        <w:br/>
        <w:t>:=</w:t>
      </w:r>
      <w:r>
        <w:br/>
        <w:t>\mathcal X_F/!\sim_{\mathrm{sc}}.</w:t>
      </w:r>
      <w:r>
        <w:br/>
        <w:t>}</w:t>
      </w:r>
      <w:r>
        <w:br/>
        <w:t>\tag{3.10867}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\boxed{\mathcal Q_{\mathrm{sc}}:=\mathcal X_F/\!\sim_{\mathrm{sc}}.}</w:t>
      </w:r>
    </w:p>
    <w:p w:rsidR="00231D66" w:rsidRDefault="00231D66" w:rsidP="00231D66">
      <w:pPr>
        <w:pStyle w:val="StandardWeb"/>
      </w:pPr>
      <w:r>
        <w:t>Ein Element dieses Quotienten repräsentiert nicht einen einzelnen Wert, sondern eine vollständige Skalierungsäquivalenzklasse.</w:t>
      </w:r>
    </w:p>
    <w:p w:rsidR="00231D66" w:rsidRDefault="00E50336" w:rsidP="00231D66">
      <w:r>
        <w:pict>
          <v:rect id="_x0000_i3541" style="width:0;height:1.5pt" o:hralign="center" o:hrstd="t" o:hr="t" fillcolor="#a0a0a0" stroked="f"/>
        </w:pict>
      </w:r>
    </w:p>
    <w:p w:rsidR="00231D66" w:rsidRDefault="00231D66" w:rsidP="00231D66">
      <w:pPr>
        <w:pStyle w:val="berschrift1"/>
      </w:pPr>
      <w:r>
        <w:t>3.3.46.23 Skalierungsinvariante Größen</w:t>
      </w:r>
    </w:p>
    <w:p w:rsidR="00231D66" w:rsidRDefault="00231D66" w:rsidP="00231D66">
      <w:pPr>
        <w:pStyle w:val="StandardWeb"/>
      </w:pPr>
      <w:r>
        <w:t>Eine Größe (Q) kann gegenüber Skalierungen invariant sein.</w:t>
      </w:r>
    </w:p>
    <w:p w:rsidR="00231D66" w:rsidRDefault="00231D66" w:rsidP="00231D66">
      <w:pPr>
        <w:pStyle w:val="StandardWeb"/>
      </w:pPr>
      <w:r>
        <w:t>Dann gilt</w:t>
      </w:r>
    </w:p>
    <w:p w:rsidR="00231D66" w:rsidRDefault="00231D66" w:rsidP="00231D66">
      <w:pPr>
        <w:pStyle w:val="berschrift1"/>
      </w:pPr>
      <w:r>
        <w:t>[</w:t>
      </w:r>
      <w:r>
        <w:br/>
        <w:t>Q(S_\lambda X)</w:t>
      </w:r>
    </w:p>
    <w:p w:rsidR="00231D66" w:rsidRDefault="00231D66" w:rsidP="00231D66">
      <w:pPr>
        <w:pStyle w:val="StandardWeb"/>
      </w:pPr>
      <w:r>
        <w:t>Q(X)</w:t>
      </w:r>
      <w:r>
        <w:br/>
        <w:t>\tag{3.10868}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Q(S_\lambda X)=Q(X)</w:t>
      </w:r>
    </w:p>
    <w:p w:rsidR="00231D66" w:rsidRDefault="00231D66" w:rsidP="00231D66">
      <w:pPr>
        <w:pStyle w:val="StandardWeb"/>
      </w:pPr>
      <w:r>
        <w:t>für alle zulässigen Skalierungsparameter.</w:t>
      </w:r>
    </w:p>
    <w:p w:rsidR="00231D66" w:rsidRDefault="00E50336" w:rsidP="00231D66">
      <w:r>
        <w:lastRenderedPageBreak/>
        <w:pict>
          <v:rect id="_x0000_i3542" style="width:0;height:1.5pt" o:hralign="center" o:hrstd="t" o:hr="t" fillcolor="#a0a0a0" stroked="f"/>
        </w:pict>
      </w:r>
    </w:p>
    <w:p w:rsidR="00231D66" w:rsidRDefault="00231D66" w:rsidP="00231D66">
      <w:pPr>
        <w:pStyle w:val="berschrift1"/>
      </w:pPr>
      <w:r>
        <w:t>3.3.46.24 Definition 3.3.167 – Funktionale Skalierungsinvarianz</w:t>
      </w:r>
    </w:p>
    <w:p w:rsidR="00231D66" w:rsidRDefault="00231D66" w:rsidP="00231D66">
      <w:pPr>
        <w:pStyle w:val="berschrift3"/>
      </w:pPr>
      <w:r>
        <w:t>Definition 3.3.167</w:t>
      </w:r>
    </w:p>
    <w:p w:rsidR="00231D66" w:rsidRDefault="00231D66" w:rsidP="00231D66">
      <w:pPr>
        <w:pStyle w:val="StandardWeb"/>
      </w:pPr>
      <w:r>
        <w:t xml:space="preserve">Eine funktionale Größe (Q) heißt </w:t>
      </w:r>
      <w:r>
        <w:rPr>
          <w:rStyle w:val="Fett"/>
        </w:rPr>
        <w:t>skalierungsinvariant</w:t>
      </w:r>
      <w:r>
        <w:t>, wenn</w:t>
      </w:r>
    </w:p>
    <w:p w:rsidR="00231D66" w:rsidRDefault="00231D66" w:rsidP="00231D66">
      <w:pPr>
        <w:pStyle w:val="berschrift1"/>
      </w:pPr>
      <w:r>
        <w:t>[</w:t>
      </w:r>
      <w:r>
        <w:br/>
        <w:t>\boxed{</w:t>
      </w:r>
      <w:r>
        <w:br/>
        <w:t>Q(S_\lambda X)</w:t>
      </w:r>
    </w:p>
    <w:p w:rsidR="00231D66" w:rsidRDefault="00231D66" w:rsidP="00231D66">
      <w:pPr>
        <w:pStyle w:val="StandardWeb"/>
      </w:pPr>
      <w:r>
        <w:t>Q(X)</w:t>
      </w:r>
      <w:r>
        <w:br/>
        <w:t>\qquad</w:t>
      </w:r>
      <w:r>
        <w:br/>
        <w:t>\forall\lambda\in\Lambda^\times.</w:t>
      </w:r>
      <w:r>
        <w:br/>
        <w:t>}</w:t>
      </w:r>
      <w:r>
        <w:br/>
        <w:t>\tag{3.10869}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\boxed{Q(S_\lambda X)=Q(X)\qquad\forall\lambda\in\Lambda^\times.}</w:t>
      </w:r>
    </w:p>
    <w:p w:rsidR="00231D66" w:rsidRDefault="00231D66" w:rsidP="00231D66">
      <w:pPr>
        <w:pStyle w:val="StandardWeb"/>
      </w:pPr>
      <w:r>
        <w:t>Eine skalierungsinvariante Größe ist auf jedem Skalierungsorbit konstant.</w:t>
      </w:r>
    </w:p>
    <w:p w:rsidR="00231D66" w:rsidRDefault="00E50336" w:rsidP="00231D66">
      <w:r>
        <w:pict>
          <v:rect id="_x0000_i3543" style="width:0;height:1.5pt" o:hralign="center" o:hrstd="t" o:hr="t" fillcolor="#a0a0a0" stroked="f"/>
        </w:pict>
      </w:r>
    </w:p>
    <w:p w:rsidR="00231D66" w:rsidRDefault="00231D66" w:rsidP="00231D66">
      <w:pPr>
        <w:pStyle w:val="berschrift1"/>
      </w:pPr>
      <w:r>
        <w:t>3.3.46.25 Satz 3.3.76 – Skalierungsinvariante Größen sind auf Skalierungsorbits konstant</w:t>
      </w:r>
    </w:p>
    <w:p w:rsidR="00231D66" w:rsidRDefault="00231D66" w:rsidP="00231D66">
      <w:pPr>
        <w:pStyle w:val="berschrift3"/>
      </w:pPr>
      <w:r>
        <w:t>Satz 3.3.76</w:t>
      </w:r>
    </w:p>
    <w:p w:rsidR="00231D66" w:rsidRDefault="00231D66" w:rsidP="00231D66">
      <w:pPr>
        <w:pStyle w:val="StandardWeb"/>
      </w:pPr>
      <w:r>
        <w:t>Ist (Q) skalierungsinvariant, dann gilt</w:t>
      </w:r>
    </w:p>
    <w:p w:rsidR="00231D66" w:rsidRDefault="00231D66" w:rsidP="00231D66">
      <w:pPr>
        <w:pStyle w:val="StandardWeb"/>
      </w:pPr>
      <w:r>
        <w:t>[</w:t>
      </w:r>
      <w:r>
        <w:br/>
        <w:t>\boxed{</w:t>
      </w:r>
      <w:r>
        <w:br/>
        <w:t>X\sim_{\mathrm{sc}}Y</w:t>
      </w:r>
      <w:r>
        <w:br/>
        <w:t>\Rightarrow</w:t>
      </w:r>
      <w:r>
        <w:br/>
        <w:t>Q(X)=Q(Y).</w:t>
      </w:r>
      <w:r>
        <w:br/>
        <w:t>}</w:t>
      </w:r>
      <w:r>
        <w:br/>
        <w:t>\tag{3.10870}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\boxed{X\sim_{\mathrm{sc}}Y\Rightarrow Q(X)=Q(Y).}</w:t>
      </w:r>
    </w:p>
    <w:p w:rsidR="00231D66" w:rsidRDefault="00231D66" w:rsidP="00231D66">
      <w:pPr>
        <w:pStyle w:val="berschrift3"/>
      </w:pPr>
      <w:r>
        <w:lastRenderedPageBreak/>
        <w:t>Beweis</w:t>
      </w:r>
    </w:p>
    <w:p w:rsidR="00231D66" w:rsidRDefault="00231D66" w:rsidP="00231D66">
      <w:pPr>
        <w:pStyle w:val="StandardWeb"/>
      </w:pPr>
      <w:r>
        <w:t>Aus (X\sim_{\mathrm{sc}}Y) folgt ein (\lambda\in\Lambda^\times) mit</w:t>
      </w:r>
    </w:p>
    <w:p w:rsidR="00231D66" w:rsidRDefault="00231D66" w:rsidP="00231D66">
      <w:pPr>
        <w:pStyle w:val="StandardWeb"/>
      </w:pPr>
      <w:r>
        <w:t>[</w:t>
      </w:r>
      <w:r>
        <w:br/>
        <w:t>Y=S_\lambda(X).</w:t>
      </w:r>
      <w:r>
        <w:br/>
        <w:t>\tag{3.10871}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Y=S_\lambda(X)</w:t>
      </w:r>
    </w:p>
    <w:p w:rsidR="00231D66" w:rsidRDefault="00231D66" w:rsidP="00231D66">
      <w:pPr>
        <w:pStyle w:val="StandardWeb"/>
      </w:pPr>
      <w:r>
        <w:t>Wegen der Skalierungsinvarianz ist</w:t>
      </w:r>
    </w:p>
    <w:p w:rsidR="00231D66" w:rsidRDefault="00231D66" w:rsidP="00231D66">
      <w:pPr>
        <w:pStyle w:val="berschrift1"/>
      </w:pPr>
      <w:r>
        <w:t>[</w:t>
      </w:r>
      <w:r>
        <w:br/>
        <w:t>Q(Y)</w:t>
      </w:r>
    </w:p>
    <w:p w:rsidR="00231D66" w:rsidRDefault="00231D66" w:rsidP="00231D66">
      <w:pPr>
        <w:pStyle w:val="berschrift1"/>
      </w:pPr>
      <w:r>
        <w:t>Q(S_\lambda X)</w:t>
      </w:r>
    </w:p>
    <w:p w:rsidR="00231D66" w:rsidRDefault="00231D66" w:rsidP="00231D66">
      <w:pPr>
        <w:pStyle w:val="StandardWeb"/>
      </w:pPr>
      <w:r>
        <w:t>Q(X).</w:t>
      </w:r>
      <w:r>
        <w:br/>
        <w:t>\tag{3.10872}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Q(Y)=Q(S_\lambda X)=Q(X)</w:t>
      </w:r>
    </w:p>
    <w:p w:rsidR="00231D66" w:rsidRDefault="00231D66" w:rsidP="00231D66">
      <w:pPr>
        <w:pStyle w:val="StandardWeb"/>
      </w:pPr>
      <w:r>
        <w:t>Damit ist die Aussage gezeigt. (\square)</w:t>
      </w:r>
    </w:p>
    <w:p w:rsidR="00231D66" w:rsidRDefault="00E50336" w:rsidP="00231D66">
      <w:r>
        <w:pict>
          <v:rect id="_x0000_i3544" style="width:0;height:1.5pt" o:hralign="center" o:hrstd="t" o:hr="t" fillcolor="#a0a0a0" stroked="f"/>
        </w:pict>
      </w:r>
    </w:p>
    <w:p w:rsidR="00231D66" w:rsidRDefault="00231D66" w:rsidP="00231D66">
      <w:pPr>
        <w:pStyle w:val="berschrift1"/>
      </w:pPr>
      <w:r>
        <w:t>3.3.46.26 Faktorisierung über den Skalierungsquotienten</w:t>
      </w:r>
    </w:p>
    <w:p w:rsidR="00231D66" w:rsidRDefault="00231D66" w:rsidP="00231D66">
      <w:pPr>
        <w:pStyle w:val="StandardWeb"/>
      </w:pPr>
      <w:r>
        <w:t>Eine skalierungsinvariante Größe kann daher über den Skalierungsquotienten faktorisiert werden:</w:t>
      </w:r>
    </w:p>
    <w:p w:rsidR="00231D66" w:rsidRDefault="00231D66" w:rsidP="00231D66">
      <w:pPr>
        <w:pStyle w:val="berschrift1"/>
      </w:pPr>
      <w:r>
        <w:t>[</w:t>
      </w:r>
      <w:r>
        <w:br/>
        <w:t>Q</w:t>
      </w:r>
    </w:p>
    <w:p w:rsidR="00231D66" w:rsidRDefault="00231D66" w:rsidP="00231D66">
      <w:pPr>
        <w:pStyle w:val="StandardWeb"/>
      </w:pPr>
      <w:r>
        <w:t>\widetilde Q</w:t>
      </w:r>
      <w:r>
        <w:br/>
        <w:t>\circ</w:t>
      </w:r>
      <w:r>
        <w:br/>
        <w:t>\pi_{\mathrm{sc}},</w:t>
      </w:r>
      <w:r>
        <w:br/>
        <w:t>\tag{3.10873}</w:t>
      </w:r>
      <w:r>
        <w:br/>
        <w:t>]</w:t>
      </w:r>
    </w:p>
    <w:p w:rsidR="00231D66" w:rsidRDefault="00231D66" w:rsidP="00231D66">
      <w:pPr>
        <w:pStyle w:val="StandardWeb"/>
      </w:pPr>
      <w:r>
        <w:rPr>
          <w:rStyle w:val="Fett"/>
        </w:rPr>
        <w:lastRenderedPageBreak/>
        <w:t>Word-LaTeX</w:t>
      </w:r>
    </w:p>
    <w:p w:rsidR="00231D66" w:rsidRDefault="00231D66" w:rsidP="00231D66">
      <w:pPr>
        <w:pStyle w:val="HTMLVorformatiert"/>
        <w:rPr>
          <w:rStyle w:val="HTMLCode"/>
        </w:rPr>
      </w:pPr>
      <w:r>
        <w:rPr>
          <w:rStyle w:val="HTMLCode"/>
        </w:rPr>
        <w:t>Q=\widetilde Q\circ\pi_{\mathrm{sc}}</w:t>
      </w:r>
    </w:p>
    <w:p w:rsidR="00231D66" w:rsidRDefault="00231D66" w:rsidP="00231D66">
      <w:pPr>
        <w:pStyle w:val="StandardWeb"/>
      </w:pPr>
      <w:r>
        <w:t>wobei</w:t>
      </w:r>
    </w:p>
    <w:p w:rsidR="00231D66" w:rsidRDefault="00231D66" w:rsidP="00231D66">
      <w:pPr>
        <w:pStyle w:val="StandardWeb"/>
      </w:pPr>
      <w:r>
        <w:t>[</w:t>
      </w:r>
      <w:r>
        <w:br/>
        <w:t>\pi_{\mathrm{sc}}</w:t>
      </w:r>
      <w:r>
        <w:br/>
        <w:t>:</w:t>
      </w:r>
      <w:r>
        <w:br/>
        <w:t>\mathcal X_F</w:t>
      </w:r>
      <w:r>
        <w:br/>
        <w:t>\rightarrow</w:t>
      </w:r>
      <w:r>
        <w:br/>
        <w:t>\mathcal Q_{\mathrm{sc}}</w:t>
      </w:r>
      <w:r>
        <w:br/>
        <w:t>\tag{3.10874}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\pi_{\mathrm{sc}}:\mathcal X_F\rightarrow\mathcal Q_{\mathrm{sc}}</w:t>
      </w:r>
    </w:p>
    <w:p w:rsidR="00231D66" w:rsidRDefault="00231D66" w:rsidP="00231D66">
      <w:pPr>
        <w:pStyle w:val="StandardWeb"/>
      </w:pPr>
      <w:r>
        <w:t>die kanonische Quotientenabbildung bezeichnet.</w:t>
      </w:r>
    </w:p>
    <w:p w:rsidR="00231D66" w:rsidRDefault="00E50336" w:rsidP="00231D66">
      <w:r>
        <w:pict>
          <v:rect id="_x0000_i3545" style="width:0;height:1.5pt" o:hralign="center" o:hrstd="t" o:hr="t" fillcolor="#a0a0a0" stroked="f"/>
        </w:pict>
      </w:r>
    </w:p>
    <w:p w:rsidR="00231D66" w:rsidRDefault="00231D66" w:rsidP="00231D66">
      <w:pPr>
        <w:pStyle w:val="berschrift1"/>
      </w:pPr>
      <w:r>
        <w:t>3.3.46.27 Homogene Größen</w:t>
      </w:r>
    </w:p>
    <w:p w:rsidR="00231D66" w:rsidRDefault="00231D66" w:rsidP="00231D66">
      <w:pPr>
        <w:pStyle w:val="StandardWeb"/>
      </w:pPr>
      <w:r>
        <w:t>Skalierungsinvarianz entspricht nur dem Spezialfall, dass eine Größe unter einer Skalierung überhaupt nicht verändert wird.</w:t>
      </w:r>
    </w:p>
    <w:p w:rsidR="00231D66" w:rsidRDefault="00231D66" w:rsidP="00231D66">
      <w:pPr>
        <w:pStyle w:val="StandardWeb"/>
      </w:pPr>
      <w:r>
        <w:t>Allgemeiner kann eine Größe nach einer Potenz des Skalierungsfaktors transformieren:</w:t>
      </w:r>
    </w:p>
    <w:p w:rsidR="00231D66" w:rsidRDefault="00231D66" w:rsidP="00231D66">
      <w:pPr>
        <w:pStyle w:val="berschrift1"/>
      </w:pPr>
      <w:r>
        <w:t>[</w:t>
      </w:r>
      <w:r>
        <w:br/>
        <w:t>Q(S_\lambda X)</w:t>
      </w:r>
    </w:p>
    <w:p w:rsidR="00231D66" w:rsidRDefault="00231D66" w:rsidP="00231D66">
      <w:pPr>
        <w:pStyle w:val="StandardWeb"/>
      </w:pPr>
      <w:r>
        <w:t>\lambda^k Q(X).</w:t>
      </w:r>
      <w:r>
        <w:br/>
        <w:t>\tag{3.10875}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Q(S_\lambda X)=\lambda^k Q(X)</w:t>
      </w:r>
    </w:p>
    <w:p w:rsidR="00231D66" w:rsidRDefault="00231D66" w:rsidP="00231D66">
      <w:pPr>
        <w:pStyle w:val="StandardWeb"/>
      </w:pPr>
      <w:r>
        <w:t>Der Exponent (k) beschreibt dann den Homogenitätsgrad.</w:t>
      </w:r>
    </w:p>
    <w:p w:rsidR="00231D66" w:rsidRDefault="00E50336" w:rsidP="00231D66">
      <w:r>
        <w:pict>
          <v:rect id="_x0000_i3546" style="width:0;height:1.5pt" o:hralign="center" o:hrstd="t" o:hr="t" fillcolor="#a0a0a0" stroked="f"/>
        </w:pict>
      </w:r>
    </w:p>
    <w:p w:rsidR="00231D66" w:rsidRDefault="00231D66" w:rsidP="00231D66">
      <w:pPr>
        <w:pStyle w:val="berschrift1"/>
      </w:pPr>
      <w:r>
        <w:t>3.3.46.28 Definition 3.3.168 – Funktionale Homogenität</w:t>
      </w:r>
    </w:p>
    <w:p w:rsidR="00231D66" w:rsidRDefault="00231D66" w:rsidP="00231D66">
      <w:pPr>
        <w:pStyle w:val="berschrift3"/>
      </w:pPr>
      <w:r>
        <w:t>Definition 3.3.168</w:t>
      </w:r>
    </w:p>
    <w:p w:rsidR="00231D66" w:rsidRDefault="00231D66" w:rsidP="00231D66">
      <w:pPr>
        <w:pStyle w:val="StandardWeb"/>
      </w:pPr>
      <w:r>
        <w:lastRenderedPageBreak/>
        <w:t xml:space="preserve">Eine funktionale Größe (Q) heißt bezüglich der Skalierungswirkung (S_\lambda) </w:t>
      </w:r>
      <w:r>
        <w:rPr>
          <w:rStyle w:val="Fett"/>
        </w:rPr>
        <w:t>homogen vom Grad (k)</w:t>
      </w:r>
      <w:r>
        <w:t>, wenn</w:t>
      </w:r>
    </w:p>
    <w:p w:rsidR="00231D66" w:rsidRDefault="00231D66" w:rsidP="00231D66">
      <w:pPr>
        <w:pStyle w:val="berschrift1"/>
      </w:pPr>
      <w:r>
        <w:t>[</w:t>
      </w:r>
      <w:r>
        <w:br/>
        <w:t>\boxed{</w:t>
      </w:r>
      <w:r>
        <w:br/>
        <w:t>Q(S_\lambda X)</w:t>
      </w:r>
    </w:p>
    <w:p w:rsidR="00231D66" w:rsidRDefault="00231D66" w:rsidP="00231D66">
      <w:pPr>
        <w:pStyle w:val="StandardWeb"/>
      </w:pPr>
      <w:r>
        <w:t>\lambda^k Q(X)</w:t>
      </w:r>
      <w:r>
        <w:br/>
        <w:t>}</w:t>
      </w:r>
      <w:r>
        <w:br/>
        <w:t>\tag{3.10876}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\boxed{Q(S_\lambda X)=\lambda^k Q(X)}</w:t>
      </w:r>
    </w:p>
    <w:p w:rsidR="00231D66" w:rsidRDefault="00231D66" w:rsidP="00231D66">
      <w:pPr>
        <w:pStyle w:val="StandardWeb"/>
      </w:pPr>
      <w:r>
        <w:t>für alle zulässigen (\lambda) gilt.</w:t>
      </w:r>
    </w:p>
    <w:p w:rsidR="00231D66" w:rsidRDefault="00E50336" w:rsidP="00231D66">
      <w:r>
        <w:pict>
          <v:rect id="_x0000_i3547" style="width:0;height:1.5pt" o:hralign="center" o:hrstd="t" o:hr="t" fillcolor="#a0a0a0" stroked="f"/>
        </w:pict>
      </w:r>
    </w:p>
    <w:p w:rsidR="00231D66" w:rsidRDefault="00231D66" w:rsidP="00231D66">
      <w:pPr>
        <w:pStyle w:val="berschrift1"/>
      </w:pPr>
      <w:r>
        <w:t>3.3.46.29 Skalierungsinvarianz als Homogenität vom Grad null</w:t>
      </w:r>
    </w:p>
    <w:p w:rsidR="00231D66" w:rsidRDefault="00231D66" w:rsidP="00231D66">
      <w:pPr>
        <w:pStyle w:val="StandardWeb"/>
      </w:pPr>
      <w:r>
        <w:t>Für</w:t>
      </w:r>
    </w:p>
    <w:p w:rsidR="00231D66" w:rsidRDefault="00231D66" w:rsidP="00231D66">
      <w:pPr>
        <w:pStyle w:val="StandardWeb"/>
      </w:pPr>
      <w:r>
        <w:t>[</w:t>
      </w:r>
      <w:r>
        <w:br/>
        <w:t>k=0</w:t>
      </w:r>
      <w:r>
        <w:br/>
        <w:t>\tag{3.10877}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k=0</w:t>
      </w:r>
    </w:p>
    <w:p w:rsidR="00231D66" w:rsidRDefault="00231D66" w:rsidP="00231D66">
      <w:pPr>
        <w:pStyle w:val="StandardWeb"/>
      </w:pPr>
      <w:r>
        <w:t>gilt</w:t>
      </w:r>
    </w:p>
    <w:p w:rsidR="00231D66" w:rsidRDefault="00231D66" w:rsidP="00231D66">
      <w:pPr>
        <w:pStyle w:val="StandardWeb"/>
      </w:pPr>
      <w:r>
        <w:t>[</w:t>
      </w:r>
      <w:r>
        <w:br/>
        <w:t>\lambda^0=1.</w:t>
      </w:r>
      <w:r>
        <w:br/>
        <w:t>\tag{3.10878}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\lambda^0=1</w:t>
      </w:r>
    </w:p>
    <w:p w:rsidR="00231D66" w:rsidRDefault="00231D66" w:rsidP="00231D66">
      <w:pPr>
        <w:pStyle w:val="StandardWeb"/>
      </w:pPr>
      <w:r>
        <w:t>Damit folgt</w:t>
      </w:r>
    </w:p>
    <w:p w:rsidR="00231D66" w:rsidRDefault="00231D66" w:rsidP="00231D66">
      <w:pPr>
        <w:pStyle w:val="berschrift1"/>
      </w:pPr>
      <w:r>
        <w:lastRenderedPageBreak/>
        <w:t>[</w:t>
      </w:r>
      <w:r>
        <w:br/>
        <w:t>Q(S_\lambda X)</w:t>
      </w:r>
    </w:p>
    <w:p w:rsidR="00231D66" w:rsidRDefault="00231D66" w:rsidP="00231D66">
      <w:pPr>
        <w:pStyle w:val="StandardWeb"/>
      </w:pPr>
      <w:r>
        <w:t>Q(X).</w:t>
      </w:r>
      <w:r>
        <w:br/>
        <w:t>\tag{3.10879}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Q(S_\lambda X)=Q(X)</w:t>
      </w:r>
    </w:p>
    <w:p w:rsidR="00231D66" w:rsidRDefault="00E50336" w:rsidP="00231D66">
      <w:r>
        <w:pict>
          <v:rect id="_x0000_i3548" style="width:0;height:1.5pt" o:hralign="center" o:hrstd="t" o:hr="t" fillcolor="#a0a0a0" stroked="f"/>
        </w:pict>
      </w:r>
    </w:p>
    <w:p w:rsidR="00231D66" w:rsidRDefault="00231D66" w:rsidP="00231D66">
      <w:pPr>
        <w:pStyle w:val="berschrift1"/>
      </w:pPr>
      <w:r>
        <w:t>3.3.46.30 Satz 3.3.77 – Skalierungsinvarianz ist Homogenität vom Grad null</w:t>
      </w:r>
    </w:p>
    <w:p w:rsidR="00231D66" w:rsidRDefault="00231D66" w:rsidP="00231D66">
      <w:pPr>
        <w:pStyle w:val="berschrift3"/>
      </w:pPr>
      <w:r>
        <w:t>Satz 3.3.77</w:t>
      </w:r>
    </w:p>
    <w:p w:rsidR="00231D66" w:rsidRDefault="00231D66" w:rsidP="00231D66">
      <w:pPr>
        <w:pStyle w:val="StandardWeb"/>
      </w:pPr>
      <w:r>
        <w:t>Für eine Größe (Q) gilt</w:t>
      </w:r>
    </w:p>
    <w:p w:rsidR="00231D66" w:rsidRDefault="00231D66" w:rsidP="00231D66">
      <w:pPr>
        <w:pStyle w:val="StandardWeb"/>
      </w:pPr>
      <w:r>
        <w:t>[</w:t>
      </w:r>
      <w:r>
        <w:br/>
        <w:t>\boxed{</w:t>
      </w:r>
      <w:r>
        <w:br/>
        <w:t>Q\text{ ist skalierungsinvariant}</w:t>
      </w:r>
      <w:r>
        <w:br/>
        <w:t>\Longleftrightarrow</w:t>
      </w:r>
      <w:r>
        <w:br/>
        <w:t>Q\text{ ist homogen vom Grad }0.</w:t>
      </w:r>
      <w:r>
        <w:br/>
        <w:t>}</w:t>
      </w:r>
      <w:r>
        <w:br/>
        <w:t>\tag{3.10880}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\boxed{Q\text{ ist skalierungsinvariant}\Longleftrightarrow Q\text{ ist homogen vom Grad }0.}</w:t>
      </w:r>
    </w:p>
    <w:p w:rsidR="00231D66" w:rsidRDefault="00231D66" w:rsidP="00231D66">
      <w:pPr>
        <w:pStyle w:val="StandardWeb"/>
      </w:pPr>
      <w:r>
        <w:t>Die Aussage folgt unmittelbar aus (\lambda^0=1). (\square)</w:t>
      </w:r>
    </w:p>
    <w:p w:rsidR="00231D66" w:rsidRDefault="00E50336" w:rsidP="00231D66">
      <w:r>
        <w:pict>
          <v:rect id="_x0000_i3549" style="width:0;height:1.5pt" o:hralign="center" o:hrstd="t" o:hr="t" fillcolor="#a0a0a0" stroked="f"/>
        </w:pict>
      </w:r>
    </w:p>
    <w:p w:rsidR="00231D66" w:rsidRDefault="00231D66" w:rsidP="00231D66">
      <w:pPr>
        <w:pStyle w:val="berschrift1"/>
      </w:pPr>
      <w:r>
        <w:t>3.3.46.31 Lineare Homogenität</w:t>
      </w:r>
    </w:p>
    <w:p w:rsidR="00231D66" w:rsidRDefault="00231D66" w:rsidP="00231D66">
      <w:pPr>
        <w:pStyle w:val="StandardWeb"/>
      </w:pPr>
      <w:r>
        <w:t>Für</w:t>
      </w:r>
    </w:p>
    <w:p w:rsidR="00231D66" w:rsidRDefault="00231D66" w:rsidP="00231D66">
      <w:pPr>
        <w:pStyle w:val="StandardWeb"/>
      </w:pPr>
      <w:r>
        <w:t>[</w:t>
      </w:r>
      <w:r>
        <w:br/>
        <w:t>k=1</w:t>
      </w:r>
      <w:r>
        <w:br/>
        <w:t>\tag{3.10881}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k=1</w:t>
      </w:r>
    </w:p>
    <w:p w:rsidR="00231D66" w:rsidRDefault="00231D66" w:rsidP="00231D66">
      <w:pPr>
        <w:pStyle w:val="StandardWeb"/>
      </w:pPr>
      <w:r>
        <w:lastRenderedPageBreak/>
        <w:t>gilt</w:t>
      </w:r>
    </w:p>
    <w:p w:rsidR="00231D66" w:rsidRDefault="00231D66" w:rsidP="00231D66">
      <w:pPr>
        <w:pStyle w:val="berschrift1"/>
      </w:pPr>
      <w:r>
        <w:t>[</w:t>
      </w:r>
      <w:r>
        <w:br/>
        <w:t>Q(S_\lambda X)</w:t>
      </w:r>
    </w:p>
    <w:p w:rsidR="00231D66" w:rsidRDefault="00231D66" w:rsidP="00231D66">
      <w:pPr>
        <w:pStyle w:val="StandardWeb"/>
      </w:pPr>
      <w:r>
        <w:t>\lambda Q(X).</w:t>
      </w:r>
      <w:r>
        <w:br/>
        <w:t>\tag{3.10882}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Q(S_\lambda X)=\lambda Q(X)</w:t>
      </w:r>
    </w:p>
    <w:p w:rsidR="00231D66" w:rsidRDefault="00231D66" w:rsidP="00231D66">
      <w:pPr>
        <w:pStyle w:val="StandardWeb"/>
      </w:pPr>
      <w:r>
        <w:t>Dies ist Skalierungskovarianz vom Grad eins, nicht Skalierungsinvarianz.</w:t>
      </w:r>
    </w:p>
    <w:p w:rsidR="00231D66" w:rsidRDefault="00E50336" w:rsidP="00231D66">
      <w:r>
        <w:pict>
          <v:rect id="_x0000_i3550" style="width:0;height:1.5pt" o:hralign="center" o:hrstd="t" o:hr="t" fillcolor="#a0a0a0" stroked="f"/>
        </w:pict>
      </w:r>
    </w:p>
    <w:p w:rsidR="00231D66" w:rsidRDefault="00231D66" w:rsidP="00231D66">
      <w:pPr>
        <w:pStyle w:val="berschrift1"/>
      </w:pPr>
      <w:r>
        <w:t>3.3.46.32 Negative Homogenitätsgrade</w:t>
      </w:r>
    </w:p>
    <w:p w:rsidR="00231D66" w:rsidRDefault="00231D66" w:rsidP="00231D66">
      <w:pPr>
        <w:pStyle w:val="StandardWeb"/>
      </w:pPr>
      <w:r>
        <w:t>Auch</w:t>
      </w:r>
    </w:p>
    <w:p w:rsidR="00231D66" w:rsidRDefault="00231D66" w:rsidP="00231D66">
      <w:pPr>
        <w:pStyle w:val="StandardWeb"/>
      </w:pPr>
      <w:r>
        <w:t>[</w:t>
      </w:r>
      <w:r>
        <w:br/>
        <w:t>k&lt;0</w:t>
      </w:r>
      <w:r>
        <w:br/>
        <w:t>\tag{3.10883}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k&lt;0</w:t>
      </w:r>
    </w:p>
    <w:p w:rsidR="00231D66" w:rsidRDefault="00231D66" w:rsidP="00231D66">
      <w:pPr>
        <w:pStyle w:val="StandardWeb"/>
      </w:pPr>
      <w:r>
        <w:t>ist grundsätzlich möglich.</w:t>
      </w:r>
    </w:p>
    <w:p w:rsidR="00231D66" w:rsidRDefault="00231D66" w:rsidP="00231D66">
      <w:pPr>
        <w:pStyle w:val="StandardWeb"/>
      </w:pPr>
      <w:r>
        <w:t>Beispielsweise bedeutet</w:t>
      </w:r>
    </w:p>
    <w:p w:rsidR="00231D66" w:rsidRDefault="00231D66" w:rsidP="00231D66">
      <w:pPr>
        <w:pStyle w:val="StandardWeb"/>
      </w:pPr>
      <w:r>
        <w:t>[</w:t>
      </w:r>
      <w:r>
        <w:br/>
        <w:t>k=-1</w:t>
      </w:r>
      <w:r>
        <w:br/>
        <w:t>\tag{3.10884}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k=-1</w:t>
      </w:r>
    </w:p>
    <w:p w:rsidR="00231D66" w:rsidRDefault="00231D66" w:rsidP="00231D66">
      <w:pPr>
        <w:pStyle w:val="StandardWeb"/>
      </w:pPr>
      <w:r>
        <w:t>die Transformation</w:t>
      </w:r>
    </w:p>
    <w:p w:rsidR="00231D66" w:rsidRDefault="00231D66" w:rsidP="00231D66">
      <w:pPr>
        <w:pStyle w:val="berschrift1"/>
      </w:pPr>
      <w:r>
        <w:t>[</w:t>
      </w:r>
      <w:r>
        <w:br/>
        <w:t>Q(S_\lambda X)</w:t>
      </w:r>
    </w:p>
    <w:p w:rsidR="00231D66" w:rsidRDefault="00231D66" w:rsidP="00231D66">
      <w:pPr>
        <w:pStyle w:val="StandardWeb"/>
      </w:pPr>
      <w:r>
        <w:lastRenderedPageBreak/>
        <w:t>\lambda^{-1}Q(X).</w:t>
      </w:r>
      <w:r>
        <w:br/>
        <w:t>\tag{3.10885}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Q(S_\lambda X)=\lambda^{-1}Q(X)</w:t>
      </w:r>
    </w:p>
    <w:p w:rsidR="00231D66" w:rsidRDefault="00231D66" w:rsidP="00231D66">
      <w:pPr>
        <w:pStyle w:val="StandardWeb"/>
      </w:pPr>
      <w:r>
        <w:t>Solche Beziehungen setzen allerdings voraus, dass (\lambda\neq0).</w:t>
      </w:r>
    </w:p>
    <w:p w:rsidR="00231D66" w:rsidRDefault="00E50336" w:rsidP="00231D66">
      <w:r>
        <w:pict>
          <v:rect id="_x0000_i3551" style="width:0;height:1.5pt" o:hralign="center" o:hrstd="t" o:hr="t" fillcolor="#a0a0a0" stroked="f"/>
        </w:pict>
      </w:r>
    </w:p>
    <w:p w:rsidR="00231D66" w:rsidRDefault="00231D66" w:rsidP="00231D66">
      <w:pPr>
        <w:pStyle w:val="berschrift1"/>
      </w:pPr>
      <w:r>
        <w:t>3.3.46.33 Skalierungsgewicht</w:t>
      </w:r>
    </w:p>
    <w:p w:rsidR="00231D66" w:rsidRDefault="00231D66" w:rsidP="00231D66">
      <w:pPr>
        <w:pStyle w:val="StandardWeb"/>
      </w:pPr>
      <w:r>
        <w:t>Ich kann den Homogenitätsgrad auch als Skalierungsgewicht bezeichnen:</w:t>
      </w:r>
    </w:p>
    <w:p w:rsidR="00231D66" w:rsidRDefault="00231D66" w:rsidP="00231D66">
      <w:pPr>
        <w:pStyle w:val="berschrift1"/>
      </w:pPr>
      <w:r>
        <w:t>[</w:t>
      </w:r>
      <w:r>
        <w:br/>
        <w:t>w_{\mathrm{sc}}(Q)</w:t>
      </w:r>
    </w:p>
    <w:p w:rsidR="00231D66" w:rsidRDefault="00231D66" w:rsidP="00231D66">
      <w:pPr>
        <w:pStyle w:val="StandardWeb"/>
      </w:pPr>
      <w:r>
        <w:t>k.</w:t>
      </w:r>
      <w:r>
        <w:br/>
        <w:t>\tag{3.10886}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w_{\mathrm{sc}}(Q)=k</w:t>
      </w:r>
    </w:p>
    <w:p w:rsidR="00231D66" w:rsidRDefault="00E50336" w:rsidP="00231D66">
      <w:r>
        <w:pict>
          <v:rect id="_x0000_i3552" style="width:0;height:1.5pt" o:hralign="center" o:hrstd="t" o:hr="t" fillcolor="#a0a0a0" stroked="f"/>
        </w:pict>
      </w:r>
    </w:p>
    <w:p w:rsidR="00231D66" w:rsidRDefault="00231D66" w:rsidP="00231D66">
      <w:pPr>
        <w:pStyle w:val="berschrift1"/>
      </w:pPr>
      <w:r>
        <w:t>3.3.46.34 Definition 3.3.169 – Funktionales Skalierungsgewicht</w:t>
      </w:r>
    </w:p>
    <w:p w:rsidR="00231D66" w:rsidRDefault="00231D66" w:rsidP="00231D66">
      <w:pPr>
        <w:pStyle w:val="berschrift3"/>
      </w:pPr>
      <w:r>
        <w:t>Definition 3.3.169</w:t>
      </w:r>
    </w:p>
    <w:p w:rsidR="00231D66" w:rsidRDefault="00231D66" w:rsidP="00231D66">
      <w:pPr>
        <w:pStyle w:val="StandardWeb"/>
      </w:pPr>
      <w:r>
        <w:t xml:space="preserve">Ist (Q) homogen vom Grad (k), definiere ich ihr </w:t>
      </w:r>
      <w:r>
        <w:rPr>
          <w:rStyle w:val="Fett"/>
        </w:rPr>
        <w:t>funktionales Skalierungsgewicht</w:t>
      </w:r>
      <w:r>
        <w:t xml:space="preserve"> als</w:t>
      </w:r>
    </w:p>
    <w:p w:rsidR="00231D66" w:rsidRDefault="00231D66" w:rsidP="00231D66">
      <w:pPr>
        <w:pStyle w:val="StandardWeb"/>
      </w:pPr>
      <w:r>
        <w:t>[</w:t>
      </w:r>
      <w:r>
        <w:br/>
        <w:t>\boxed{</w:t>
      </w:r>
      <w:r>
        <w:br/>
        <w:t>w_{\mathrm{sc}}(Q)</w:t>
      </w:r>
      <w:r>
        <w:br/>
        <w:t>:=</w:t>
      </w:r>
      <w:r>
        <w:br/>
        <w:t>k.</w:t>
      </w:r>
      <w:r>
        <w:br/>
        <w:t>}</w:t>
      </w:r>
      <w:r>
        <w:br/>
        <w:t>\tag{3.10887}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\boxed{w_{\mathrm{sc}}(Q):=k.}</w:t>
      </w:r>
    </w:p>
    <w:p w:rsidR="00231D66" w:rsidRDefault="00231D66" w:rsidP="00231D66">
      <w:pPr>
        <w:pStyle w:val="StandardWeb"/>
      </w:pPr>
      <w:r>
        <w:lastRenderedPageBreak/>
        <w:t>Diese Kennzahl beschreibt ausschließlich das Transformationsverhalten unter der spezifizierten Skalierungswirkung.</w:t>
      </w:r>
    </w:p>
    <w:p w:rsidR="00231D66" w:rsidRDefault="00E50336" w:rsidP="00231D66">
      <w:r>
        <w:pict>
          <v:rect id="_x0000_i3553" style="width:0;height:1.5pt" o:hralign="center" o:hrstd="t" o:hr="t" fillcolor="#a0a0a0" stroked="f"/>
        </w:pict>
      </w:r>
    </w:p>
    <w:p w:rsidR="00231D66" w:rsidRDefault="00231D66" w:rsidP="00231D66">
      <w:pPr>
        <w:pStyle w:val="berschrift1"/>
      </w:pPr>
      <w:r>
        <w:t>3.3.46.35 Produkt homogener Größen</w:t>
      </w:r>
    </w:p>
    <w:p w:rsidR="00231D66" w:rsidRDefault="00231D66" w:rsidP="00231D66">
      <w:pPr>
        <w:pStyle w:val="StandardWeb"/>
      </w:pPr>
      <w:r>
        <w:t>Seien (Q_1) und (Q_2) homogen mit Graden (k_1) beziehungsweise (k_2).</w:t>
      </w:r>
    </w:p>
    <w:p w:rsidR="00231D66" w:rsidRDefault="00231D66" w:rsidP="00231D66">
      <w:pPr>
        <w:pStyle w:val="StandardWeb"/>
      </w:pPr>
      <w:r>
        <w:t>Dann gilt</w:t>
      </w:r>
    </w:p>
    <w:p w:rsidR="00231D66" w:rsidRDefault="00231D66" w:rsidP="00231D66">
      <w:pPr>
        <w:pStyle w:val="berschrift1"/>
      </w:pPr>
      <w:r>
        <w:t>[</w:t>
      </w:r>
      <w:r>
        <w:br/>
        <w:t>Q_1(S_\lambda X)</w:t>
      </w:r>
    </w:p>
    <w:p w:rsidR="00231D66" w:rsidRDefault="00231D66" w:rsidP="00231D66">
      <w:pPr>
        <w:pStyle w:val="StandardWeb"/>
      </w:pPr>
      <w:r>
        <w:t>\lambda^{k_1}Q_1(X)</w:t>
      </w:r>
      <w:r>
        <w:br/>
        <w:t>\tag{3.10888}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Q_1(S_\lambda X)=\lambda^{k_1}Q_1(X)</w:t>
      </w:r>
    </w:p>
    <w:p w:rsidR="00231D66" w:rsidRDefault="00231D66" w:rsidP="00231D66">
      <w:pPr>
        <w:pStyle w:val="StandardWeb"/>
      </w:pPr>
      <w:r>
        <w:t>und</w:t>
      </w:r>
    </w:p>
    <w:p w:rsidR="00231D66" w:rsidRDefault="00231D66" w:rsidP="00231D66">
      <w:pPr>
        <w:pStyle w:val="berschrift1"/>
      </w:pPr>
      <w:r>
        <w:t>[</w:t>
      </w:r>
      <w:r>
        <w:br/>
        <w:t>Q_2(S_\lambda X)</w:t>
      </w:r>
    </w:p>
    <w:p w:rsidR="00231D66" w:rsidRDefault="00231D66" w:rsidP="00231D66">
      <w:pPr>
        <w:pStyle w:val="StandardWeb"/>
      </w:pPr>
      <w:r>
        <w:t>\lambda^{k_2}Q_2(X).</w:t>
      </w:r>
      <w:r>
        <w:br/>
        <w:t>\tag{3.10889}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Q_2(S_\lambda X)=\lambda^{k_2}Q_2(X)</w:t>
      </w:r>
    </w:p>
    <w:p w:rsidR="00231D66" w:rsidRDefault="00231D66" w:rsidP="00231D66">
      <w:pPr>
        <w:pStyle w:val="StandardWeb"/>
      </w:pPr>
      <w:r>
        <w:t>Damit folgt</w:t>
      </w:r>
    </w:p>
    <w:p w:rsidR="00231D66" w:rsidRDefault="00231D66" w:rsidP="00231D66">
      <w:pPr>
        <w:pStyle w:val="berschrift1"/>
      </w:pPr>
      <w:r>
        <w:t>[</w:t>
      </w:r>
      <w:r>
        <w:br/>
        <w:t>(Q_1Q_2)(S_\lambda X)</w:t>
      </w:r>
    </w:p>
    <w:p w:rsidR="00231D66" w:rsidRDefault="00231D66" w:rsidP="00231D66">
      <w:pPr>
        <w:pStyle w:val="StandardWeb"/>
      </w:pPr>
      <w:r>
        <w:t>\lambda^{k_1+k_2}</w:t>
      </w:r>
      <w:r>
        <w:br/>
        <w:t>Q_1(X)Q_2(X).</w:t>
      </w:r>
      <w:r>
        <w:br/>
        <w:t>\tag{3.10890}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lastRenderedPageBreak/>
        <w:t>(Q_1Q_2)(S_\lambda X)=\lambda^{k_1+k_2}Q_1(X)Q_2(X)</w:t>
      </w:r>
    </w:p>
    <w:p w:rsidR="00231D66" w:rsidRDefault="00E50336" w:rsidP="00231D66">
      <w:r>
        <w:pict>
          <v:rect id="_x0000_i3554" style="width:0;height:1.5pt" o:hralign="center" o:hrstd="t" o:hr="t" fillcolor="#a0a0a0" stroked="f"/>
        </w:pict>
      </w:r>
    </w:p>
    <w:p w:rsidR="00231D66" w:rsidRDefault="00231D66" w:rsidP="00231D66">
      <w:pPr>
        <w:pStyle w:val="berschrift1"/>
      </w:pPr>
      <w:r>
        <w:t>3.3.46.36 Satz 3.3.78 – Additivität der Skalierungsgewichte bei Produkten</w:t>
      </w:r>
    </w:p>
    <w:p w:rsidR="00231D66" w:rsidRDefault="00231D66" w:rsidP="00231D66">
      <w:pPr>
        <w:pStyle w:val="berschrift3"/>
      </w:pPr>
      <w:r>
        <w:t>Satz 3.3.78</w:t>
      </w:r>
    </w:p>
    <w:p w:rsidR="00231D66" w:rsidRDefault="00231D66" w:rsidP="00231D66">
      <w:pPr>
        <w:pStyle w:val="StandardWeb"/>
      </w:pPr>
      <w:r>
        <w:t>Für homogene Größen (Q_1,Q_2) gilt</w:t>
      </w:r>
    </w:p>
    <w:p w:rsidR="00231D66" w:rsidRDefault="00231D66" w:rsidP="00231D66">
      <w:pPr>
        <w:pStyle w:val="berschrift1"/>
      </w:pPr>
      <w:r>
        <w:t>[</w:t>
      </w:r>
      <w:r>
        <w:br/>
        <w:t>\boxed{</w:t>
      </w:r>
      <w:r>
        <w:br/>
        <w:t>w_{\mathrm{sc}}(Q_1Q_2)</w:t>
      </w:r>
    </w:p>
    <w:p w:rsidR="00231D66" w:rsidRDefault="00231D66" w:rsidP="00231D66">
      <w:pPr>
        <w:pStyle w:val="StandardWeb"/>
      </w:pPr>
      <w:r>
        <w:t>w_{\mathrm{sc}}(Q_1)</w:t>
      </w:r>
      <w:r>
        <w:br/>
        <w:t>+</w:t>
      </w:r>
      <w:r>
        <w:br/>
        <w:t>w_{\mathrm{sc}}(Q_2).</w:t>
      </w:r>
      <w:r>
        <w:br/>
        <w:t>}</w:t>
      </w:r>
      <w:r>
        <w:br/>
        <w:t>\tag{3.10891}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\boxed{w_{\mathrm{sc}}(Q_1Q_2)=w_{\mathrm{sc}}(Q_1)+w_{\mathrm{sc}}(Q_2).}</w:t>
      </w:r>
    </w:p>
    <w:p w:rsidR="00231D66" w:rsidRDefault="00231D66" w:rsidP="00231D66">
      <w:pPr>
        <w:pStyle w:val="berschrift3"/>
      </w:pPr>
      <w:r>
        <w:t>Beweis</w:t>
      </w:r>
    </w:p>
    <w:p w:rsidR="00231D66" w:rsidRDefault="00231D66" w:rsidP="00231D66">
      <w:pPr>
        <w:pStyle w:val="StandardWeb"/>
      </w:pPr>
      <w:r>
        <w:t>Die Behauptung folgt unmittelbar aus</w:t>
      </w:r>
    </w:p>
    <w:p w:rsidR="00231D66" w:rsidRDefault="00231D66" w:rsidP="00231D66">
      <w:pPr>
        <w:pStyle w:val="berschrift1"/>
      </w:pPr>
      <w:r>
        <w:t>[</w:t>
      </w:r>
      <w:r>
        <w:br/>
        <w:t>\lambda^{k_1}\lambda^{k_2}</w:t>
      </w:r>
    </w:p>
    <w:p w:rsidR="00231D66" w:rsidRDefault="00231D66" w:rsidP="00231D66">
      <w:pPr>
        <w:pStyle w:val="StandardWeb"/>
      </w:pPr>
      <w:r>
        <w:t>\lambda^{k_1+k_2}.</w:t>
      </w:r>
      <w:r>
        <w:br/>
        <w:t>\tag{3.10892}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\lambda^{k_1}\lambda^{k_2}=\lambda^{k_1+k_2}</w:t>
      </w:r>
    </w:p>
    <w:p w:rsidR="00231D66" w:rsidRDefault="00231D66" w:rsidP="00231D66">
      <w:pPr>
        <w:pStyle w:val="StandardWeb"/>
      </w:pPr>
      <w:r>
        <w:t>(\square)</w:t>
      </w:r>
    </w:p>
    <w:p w:rsidR="00231D66" w:rsidRDefault="00E50336" w:rsidP="00231D66">
      <w:r>
        <w:pict>
          <v:rect id="_x0000_i3555" style="width:0;height:1.5pt" o:hralign="center" o:hrstd="t" o:hr="t" fillcolor="#a0a0a0" stroked="f"/>
        </w:pict>
      </w:r>
    </w:p>
    <w:p w:rsidR="00231D66" w:rsidRDefault="00231D66" w:rsidP="00231D66">
      <w:pPr>
        <w:pStyle w:val="berschrift1"/>
      </w:pPr>
      <w:r>
        <w:t>3.3.46.37 Quotienten homogener Größen</w:t>
      </w:r>
    </w:p>
    <w:p w:rsidR="00231D66" w:rsidRDefault="00231D66" w:rsidP="00231D66">
      <w:pPr>
        <w:pStyle w:val="StandardWeb"/>
      </w:pPr>
      <w:r>
        <w:lastRenderedPageBreak/>
        <w:t>Ist (Q_2(X)\neq0), gilt</w:t>
      </w:r>
    </w:p>
    <w:p w:rsidR="00231D66" w:rsidRDefault="00231D66" w:rsidP="00231D66">
      <w:pPr>
        <w:pStyle w:val="berschrift1"/>
      </w:pPr>
      <w:r>
        <w:t>[</w:t>
      </w:r>
      <w:r>
        <w:br/>
        <w:t>\frac{Q_1(S_\lambda X)}</w:t>
      </w:r>
      <w:r>
        <w:br/>
        <w:t>{Q_2(S_\lambda X)}</w:t>
      </w:r>
    </w:p>
    <w:p w:rsidR="00231D66" w:rsidRDefault="00231D66" w:rsidP="00231D66">
      <w:pPr>
        <w:pStyle w:val="StandardWeb"/>
      </w:pPr>
      <w:r>
        <w:t>\lambda^{k_1-k_2}</w:t>
      </w:r>
      <w:r>
        <w:br/>
        <w:t>\frac{Q_1(X)}</w:t>
      </w:r>
      <w:r>
        <w:br/>
        <w:t>{Q_2(X)}.</w:t>
      </w:r>
      <w:r>
        <w:br/>
        <w:t>\tag{3.10893}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\frac{Q_1(S_\lambda X)}{Q_2(S_\lambda X)}=\lambda^{k_1-k_2}\frac{Q_1(X)}{Q_2(X)}</w:t>
      </w:r>
    </w:p>
    <w:p w:rsidR="00231D66" w:rsidRDefault="00E50336" w:rsidP="00231D66">
      <w:r>
        <w:pict>
          <v:rect id="_x0000_i3556" style="width:0;height:1.5pt" o:hralign="center" o:hrstd="t" o:hr="t" fillcolor="#a0a0a0" stroked="f"/>
        </w:pict>
      </w:r>
    </w:p>
    <w:p w:rsidR="00231D66" w:rsidRDefault="00231D66" w:rsidP="00231D66">
      <w:pPr>
        <w:pStyle w:val="berschrift1"/>
      </w:pPr>
      <w:r>
        <w:t>3.3.46.38 Korollar 3.3.15 – Differenz der Skalierungsgewichte bei Quotienten</w:t>
      </w:r>
    </w:p>
    <w:p w:rsidR="00231D66" w:rsidRDefault="00231D66" w:rsidP="00231D66">
      <w:pPr>
        <w:pStyle w:val="berschrift3"/>
      </w:pPr>
      <w:r>
        <w:t>Korollar 3.3.15</w:t>
      </w:r>
    </w:p>
    <w:p w:rsidR="00231D66" w:rsidRDefault="00231D66" w:rsidP="00231D66">
      <w:pPr>
        <w:pStyle w:val="StandardWeb"/>
      </w:pPr>
      <w:r>
        <w:t>Für homogene Größen (Q_1,Q_2) mit (Q_2\neq0) gilt</w:t>
      </w:r>
    </w:p>
    <w:p w:rsidR="00231D66" w:rsidRDefault="00231D66" w:rsidP="00231D66">
      <w:pPr>
        <w:pStyle w:val="berschrift1"/>
      </w:pPr>
      <w:r>
        <w:t>[</w:t>
      </w:r>
      <w:r>
        <w:br/>
        <w:t>\boxed{</w:t>
      </w:r>
      <w:r>
        <w:br/>
        <w:t>w_{\mathrm{sc}}</w:t>
      </w:r>
      <w:r>
        <w:br/>
        <w:t>\left(</w:t>
      </w:r>
      <w:r>
        <w:br/>
        <w:t>\frac{Q_1}{Q_2}</w:t>
      </w:r>
      <w:r>
        <w:br/>
        <w:t>\right)</w:t>
      </w:r>
    </w:p>
    <w:p w:rsidR="00231D66" w:rsidRDefault="00231D66" w:rsidP="00231D66">
      <w:pPr>
        <w:pStyle w:val="berschrift2"/>
      </w:pPr>
      <w:r>
        <w:t>w_{\mathrm{sc}}(Q_1)</w:t>
      </w:r>
    </w:p>
    <w:p w:rsidR="00231D66" w:rsidRDefault="00231D66" w:rsidP="00231D66">
      <w:pPr>
        <w:pStyle w:val="StandardWeb"/>
      </w:pPr>
      <w:r>
        <w:t>w_{\mathrm{sc}}(Q_2).</w:t>
      </w:r>
      <w:r>
        <w:br/>
        <w:t>}</w:t>
      </w:r>
      <w:r>
        <w:br/>
        <w:t>\tag{3.10894}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\boxed{w_{\mathrm{sc}}\left(\frac{Q_1}{Q_2}\right)=w_{\mathrm{sc}}(Q_1)-w_{\mathrm{sc}}(Q_2).}</w:t>
      </w:r>
    </w:p>
    <w:p w:rsidR="00231D66" w:rsidRDefault="00E50336" w:rsidP="00231D66">
      <w:r>
        <w:lastRenderedPageBreak/>
        <w:pict>
          <v:rect id="_x0000_i3557" style="width:0;height:1.5pt" o:hralign="center" o:hrstd="t" o:hr="t" fillcolor="#a0a0a0" stroked="f"/>
        </w:pict>
      </w:r>
    </w:p>
    <w:p w:rsidR="00231D66" w:rsidRDefault="00231D66" w:rsidP="00231D66">
      <w:pPr>
        <w:pStyle w:val="berschrift1"/>
      </w:pPr>
      <w:r>
        <w:t>3.3.46.39 Dimensionslose Quotienten gleicher Skalierungsgewichte</w:t>
      </w:r>
    </w:p>
    <w:p w:rsidR="00231D66" w:rsidRDefault="00231D66" w:rsidP="00231D66">
      <w:pPr>
        <w:pStyle w:val="StandardWeb"/>
      </w:pPr>
      <w:r>
        <w:t>Sind</w:t>
      </w:r>
    </w:p>
    <w:p w:rsidR="00231D66" w:rsidRDefault="00231D66" w:rsidP="00231D66">
      <w:pPr>
        <w:pStyle w:val="berschrift1"/>
      </w:pPr>
      <w:r>
        <w:t>[</w:t>
      </w:r>
      <w:r>
        <w:br/>
        <w:t>w_{\mathrm{sc}}(Q_1)</w:t>
      </w:r>
    </w:p>
    <w:p w:rsidR="00231D66" w:rsidRDefault="00231D66" w:rsidP="00231D66">
      <w:pPr>
        <w:pStyle w:val="StandardWeb"/>
      </w:pPr>
      <w:r>
        <w:t>w_{\mathrm{sc}}(Q_2),</w:t>
      </w:r>
      <w:r>
        <w:br/>
        <w:t>\tag{3.10895}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w_{\mathrm{sc}}(Q_1)=w_{\mathrm{sc}}(Q_2)</w:t>
      </w:r>
    </w:p>
    <w:p w:rsidR="00231D66" w:rsidRDefault="00231D66" w:rsidP="00231D66">
      <w:pPr>
        <w:pStyle w:val="StandardWeb"/>
      </w:pPr>
      <w:r>
        <w:t>so besitzt ihr Quotient Skalierungsgewicht null:</w:t>
      </w:r>
    </w:p>
    <w:p w:rsidR="00231D66" w:rsidRDefault="00231D66" w:rsidP="00231D66">
      <w:pPr>
        <w:pStyle w:val="berschrift1"/>
      </w:pPr>
      <w:r>
        <w:t>[</w:t>
      </w:r>
      <w:r>
        <w:br/>
        <w:t>w_{\mathrm{sc}}</w:t>
      </w:r>
      <w:r>
        <w:br/>
        <w:t>\left(</w:t>
      </w:r>
      <w:r>
        <w:br/>
        <w:t>\frac{Q_1}{Q_2}</w:t>
      </w:r>
      <w:r>
        <w:br/>
        <w:t>\right)</w:t>
      </w:r>
    </w:p>
    <w:p w:rsidR="00231D66" w:rsidRDefault="00231D66" w:rsidP="00152216">
      <w:pPr>
        <w:numPr>
          <w:ilvl w:val="0"/>
          <w:numId w:val="465"/>
        </w:numPr>
        <w:spacing w:before="100" w:beforeAutospacing="1" w:after="100" w:afterAutospacing="1"/>
      </w:pPr>
    </w:p>
    <w:p w:rsidR="00231D66" w:rsidRDefault="00231D66" w:rsidP="00231D66">
      <w:pPr>
        <w:pStyle w:val="StandardWeb"/>
      </w:pPr>
      <w:r>
        <w:t>\tag{3.10896}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w_{\mathrm{sc}}\left(\frac{Q_1}{Q_2}\right)=0</w:t>
      </w:r>
    </w:p>
    <w:p w:rsidR="00231D66" w:rsidRDefault="00231D66" w:rsidP="00231D66">
      <w:pPr>
        <w:pStyle w:val="StandardWeb"/>
      </w:pPr>
      <w:r>
        <w:t>Damit ist der Quotient skalierungsinvariant.</w:t>
      </w:r>
    </w:p>
    <w:p w:rsidR="00231D66" w:rsidRDefault="00E50336" w:rsidP="00231D66">
      <w:r>
        <w:pict>
          <v:rect id="_x0000_i3558" style="width:0;height:1.5pt" o:hralign="center" o:hrstd="t" o:hr="t" fillcolor="#a0a0a0" stroked="f"/>
        </w:pict>
      </w:r>
    </w:p>
    <w:p w:rsidR="00231D66" w:rsidRDefault="00231D66" w:rsidP="00231D66">
      <w:pPr>
        <w:pStyle w:val="berschrift1"/>
      </w:pPr>
      <w:r>
        <w:t>3.3.46.40 Satz 3.3.79 – Quotient gleicher Skalierungsgewichte ist skalierungsinvariant</w:t>
      </w:r>
    </w:p>
    <w:p w:rsidR="00231D66" w:rsidRDefault="00231D66" w:rsidP="00231D66">
      <w:pPr>
        <w:pStyle w:val="berschrift3"/>
      </w:pPr>
      <w:r>
        <w:t>Satz 3.3.79</w:t>
      </w:r>
    </w:p>
    <w:p w:rsidR="00231D66" w:rsidRDefault="00231D66" w:rsidP="00231D66">
      <w:pPr>
        <w:pStyle w:val="StandardWeb"/>
      </w:pPr>
      <w:r>
        <w:lastRenderedPageBreak/>
        <w:t>Sind (Q_1) und (Q_2) homogen mit identischem Skalierungsgewicht und ist (Q_2\neq0), dann gilt</w:t>
      </w:r>
    </w:p>
    <w:p w:rsidR="00231D66" w:rsidRDefault="00231D66" w:rsidP="00231D66">
      <w:pPr>
        <w:pStyle w:val="StandardWeb"/>
      </w:pPr>
      <w:r>
        <w:t>[</w:t>
      </w:r>
      <w:r>
        <w:br/>
        <w:t>\boxed{</w:t>
      </w:r>
      <w:r>
        <w:br/>
        <w:t>\frac{Q_1}{Q_2}</w:t>
      </w:r>
      <w:r>
        <w:br/>
        <w:t>\text{ ist skalierungsinvariant}.</w:t>
      </w:r>
      <w:r>
        <w:br/>
        <w:t>}</w:t>
      </w:r>
      <w:r>
        <w:br/>
        <w:t>\tag{3.10897}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\boxed{\frac{Q_1}{Q_2}\text{ ist skalierungsinvariant}.}</w:t>
      </w:r>
    </w:p>
    <w:p w:rsidR="00231D66" w:rsidRDefault="00231D66" w:rsidP="00231D66">
      <w:pPr>
        <w:pStyle w:val="StandardWeb"/>
      </w:pPr>
      <w:r>
        <w:t>Dies liefert eine systematische Möglichkeit, dimensionslose beziehungsweise maßstabsunabhängige Verhältnisgrößen zu konstruieren.</w:t>
      </w:r>
    </w:p>
    <w:p w:rsidR="00231D66" w:rsidRDefault="00E50336" w:rsidP="00231D66">
      <w:r>
        <w:pict>
          <v:rect id="_x0000_i3559" style="width:0;height:1.5pt" o:hralign="center" o:hrstd="t" o:hr="t" fillcolor="#a0a0a0" stroked="f"/>
        </w:pict>
      </w:r>
    </w:p>
    <w:p w:rsidR="00231D66" w:rsidRDefault="00231D66" w:rsidP="00231D66">
      <w:pPr>
        <w:pStyle w:val="berschrift1"/>
      </w:pPr>
      <w:r>
        <w:t>3.3.46.41 Skalierungsgewicht ist nicht physikalische Dimension</w:t>
      </w:r>
    </w:p>
    <w:p w:rsidR="00231D66" w:rsidRDefault="00231D66" w:rsidP="00231D66">
      <w:pPr>
        <w:pStyle w:val="StandardWeb"/>
      </w:pPr>
      <w:r>
        <w:t>Der Homogenitätsgrad unter einer gewählten Skalierungswirkung darf nicht automatisch mit einer physikalischen Dimension gleichgesetzt werden.</w:t>
      </w:r>
    </w:p>
    <w:p w:rsidR="00231D66" w:rsidRDefault="00231D66" w:rsidP="00231D66">
      <w:pPr>
        <w:pStyle w:val="StandardWeb"/>
      </w:pPr>
      <w:r>
        <w:t>Es gilt</w:t>
      </w:r>
    </w:p>
    <w:p w:rsidR="00231D66" w:rsidRDefault="00231D66" w:rsidP="00231D66">
      <w:pPr>
        <w:pStyle w:val="StandardWeb"/>
      </w:pPr>
      <w:r>
        <w:t>[</w:t>
      </w:r>
      <w:r>
        <w:br/>
        <w:t>\boxed{</w:t>
      </w:r>
      <w:r>
        <w:br/>
        <w:t>w_{\mathrm{sc}}(Q)</w:t>
      </w:r>
      <w:r>
        <w:br/>
        <w:t>\not\equiv</w:t>
      </w:r>
      <w:r>
        <w:br/>
        <w:t>\dim_{\mathrm{phys}}(Q).</w:t>
      </w:r>
      <w:r>
        <w:br/>
        <w:t>}</w:t>
      </w:r>
      <w:r>
        <w:br/>
        <w:t>\tag{3.10898}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\boxed{w_{\mathrm{sc}}(Q)\not\equiv\dim_{\mathrm{phys}}(Q).}</w:t>
      </w:r>
    </w:p>
    <w:p w:rsidR="00231D66" w:rsidRDefault="00231D66" w:rsidP="00231D66">
      <w:pPr>
        <w:pStyle w:val="StandardWeb"/>
      </w:pPr>
      <w:r>
        <w:t>Eine physikalische Dimension bezieht sich auf ein festgelegtes Größensystem und dessen Basiseinheiten; das Skalierungsgewicht beschreibt dagegen das Verhalten unter einer konkret definierten mathematischen Transformation.</w:t>
      </w:r>
    </w:p>
    <w:p w:rsidR="00231D66" w:rsidRDefault="00E50336" w:rsidP="00231D66">
      <w:r>
        <w:pict>
          <v:rect id="_x0000_i3560" style="width:0;height:1.5pt" o:hralign="center" o:hrstd="t" o:hr="t" fillcolor="#a0a0a0" stroked="f"/>
        </w:pict>
      </w:r>
    </w:p>
    <w:p w:rsidR="00231D66" w:rsidRDefault="00231D66" w:rsidP="00231D66">
      <w:pPr>
        <w:pStyle w:val="berschrift1"/>
      </w:pPr>
      <w:r>
        <w:t>3.3.46.42 Dimensionsstruktur als zusätzliche Modellschicht</w:t>
      </w:r>
    </w:p>
    <w:p w:rsidR="00231D66" w:rsidRDefault="00231D66" w:rsidP="00231D66">
      <w:pPr>
        <w:pStyle w:val="StandardWeb"/>
      </w:pPr>
      <w:r>
        <w:lastRenderedPageBreak/>
        <w:t>Soll eine physikalische Dimensionsanalyse durchgeführt werden, benötige ich eine Menge von Basisdimensionen.</w:t>
      </w:r>
    </w:p>
    <w:p w:rsidR="00231D66" w:rsidRDefault="00231D66" w:rsidP="00231D66">
      <w:pPr>
        <w:pStyle w:val="StandardWeb"/>
      </w:pPr>
      <w:r>
        <w:t>Formal kann ich schreiben</w:t>
      </w:r>
    </w:p>
    <w:p w:rsidR="00231D66" w:rsidRDefault="00231D66" w:rsidP="00231D66">
      <w:pPr>
        <w:pStyle w:val="berschrift1"/>
      </w:pPr>
      <w:r>
        <w:t>[</w:t>
      </w:r>
      <w:r>
        <w:br/>
        <w:t>\mathfrak D_{\mathrm{phys}}</w:t>
      </w:r>
    </w:p>
    <w:p w:rsidR="00231D66" w:rsidRDefault="00231D66" w:rsidP="00231D66">
      <w:pPr>
        <w:pStyle w:val="StandardWeb"/>
      </w:pPr>
      <w:r>
        <w:t>{</w:t>
      </w:r>
      <w:r>
        <w:br/>
        <w:t>D_1,\ldots,D_m</w:t>
      </w:r>
      <w:r>
        <w:br/>
        <w:t>}.</w:t>
      </w:r>
      <w:r>
        <w:br/>
        <w:t>\tag{3.10899}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\mathfrak D_{\mathrm{phys}}=\{D_1,\ldots,D_m\}</w:t>
      </w:r>
    </w:p>
    <w:p w:rsidR="00231D66" w:rsidRDefault="00231D66" w:rsidP="00231D66">
      <w:pPr>
        <w:pStyle w:val="StandardWeb"/>
      </w:pPr>
      <w:r>
        <w:t>Eine Größe (Q) kann dann eine Dimensionsdarstellung</w:t>
      </w:r>
    </w:p>
    <w:p w:rsidR="00231D66" w:rsidRDefault="00231D66" w:rsidP="00231D66">
      <w:pPr>
        <w:pStyle w:val="berschrift1"/>
      </w:pPr>
      <w:r>
        <w:t>[</w:t>
      </w:r>
      <w:r>
        <w:br/>
        <w:t>[Q]</w:t>
      </w:r>
    </w:p>
    <w:p w:rsidR="00231D66" w:rsidRDefault="00231D66" w:rsidP="00231D66">
      <w:pPr>
        <w:pStyle w:val="StandardWeb"/>
      </w:pPr>
      <w:r>
        <w:t>D_1^{a_1}\cdots D_m^{a_m}</w:t>
      </w:r>
      <w:r>
        <w:br/>
        <w:t>\tag{3.10900}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[Q]=D_1^{a_1}\cdots D_m^{a_m}</w:t>
      </w:r>
    </w:p>
    <w:p w:rsidR="00231D66" w:rsidRDefault="00231D66" w:rsidP="00231D66">
      <w:pPr>
        <w:pStyle w:val="StandardWeb"/>
      </w:pPr>
      <w:r>
        <w:t>besitzen.</w:t>
      </w:r>
    </w:p>
    <w:p w:rsidR="00231D66" w:rsidRDefault="00E50336" w:rsidP="00231D66">
      <w:r>
        <w:pict>
          <v:rect id="_x0000_i3561" style="width:0;height:1.5pt" o:hralign="center" o:hrstd="t" o:hr="t" fillcolor="#a0a0a0" stroked="f"/>
        </w:pict>
      </w:r>
    </w:p>
    <w:p w:rsidR="00231D66" w:rsidRDefault="00231D66" w:rsidP="00231D66">
      <w:pPr>
        <w:pStyle w:val="berschrift1"/>
      </w:pPr>
      <w:r>
        <w:t>3.3.46.43 Definition 3.3.170 – Funktionale Dimensionszuordnung</w:t>
      </w:r>
    </w:p>
    <w:p w:rsidR="00231D66" w:rsidRDefault="00231D66" w:rsidP="00231D66">
      <w:pPr>
        <w:pStyle w:val="berschrift3"/>
      </w:pPr>
      <w:r>
        <w:t>Definition 3.3.170</w:t>
      </w:r>
    </w:p>
    <w:p w:rsidR="00231D66" w:rsidRDefault="00231D66" w:rsidP="00231D66">
      <w:pPr>
        <w:pStyle w:val="StandardWeb"/>
      </w:pPr>
      <w:r>
        <w:t xml:space="preserve">Eine </w:t>
      </w:r>
      <w:r>
        <w:rPr>
          <w:rStyle w:val="Fett"/>
        </w:rPr>
        <w:t>funktionale Dimensionszuordnung</w:t>
      </w:r>
      <w:r>
        <w:t xml:space="preserve"> ist eine Abbildung</w:t>
      </w:r>
    </w:p>
    <w:p w:rsidR="00231D66" w:rsidRDefault="00231D66" w:rsidP="00231D66">
      <w:pPr>
        <w:pStyle w:val="StandardWeb"/>
      </w:pPr>
      <w:r>
        <w:t>[</w:t>
      </w:r>
      <w:r>
        <w:br/>
        <w:t>\boxed{</w:t>
      </w:r>
      <w:r>
        <w:br/>
        <w:t>\operatorname{Dim}:</w:t>
      </w:r>
      <w:r>
        <w:br/>
        <w:t>\mathcal Q_F</w:t>
      </w:r>
      <w:r>
        <w:br/>
        <w:t>\rightarrow</w:t>
      </w:r>
      <w:r>
        <w:br/>
      </w:r>
      <w:r>
        <w:lastRenderedPageBreak/>
        <w:t>\mathfrak D</w:t>
      </w:r>
      <w:r>
        <w:br/>
        <w:t>}</w:t>
      </w:r>
      <w:r>
        <w:br/>
        <w:t>\tag{3.10901}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\boxed{\operatorname{Dim}:\mathcal Q_F\rightarrow\mathfrak D}</w:t>
      </w:r>
    </w:p>
    <w:p w:rsidR="00231D66" w:rsidRDefault="00231D66" w:rsidP="00231D66">
      <w:pPr>
        <w:pStyle w:val="StandardWeb"/>
      </w:pPr>
      <w:r>
        <w:t>von einem betrachteten Größenbereich (\mathcal Q_F) in eine spezifizierte Dimensionsstruktur (\mathfrak D).</w:t>
      </w:r>
    </w:p>
    <w:p w:rsidR="00231D66" w:rsidRDefault="00231D66" w:rsidP="00231D66">
      <w:pPr>
        <w:pStyle w:val="StandardWeb"/>
      </w:pPr>
      <w:r>
        <w:t>Die Definition einer solchen Zuordnung bedeutet noch nicht, dass (\mathfrak D) bereits physikalisch interpretiert ist.</w:t>
      </w:r>
    </w:p>
    <w:p w:rsidR="00231D66" w:rsidRDefault="00E50336" w:rsidP="00231D66">
      <w:r>
        <w:pict>
          <v:rect id="_x0000_i3562" style="width:0;height:1.5pt" o:hralign="center" o:hrstd="t" o:hr="t" fillcolor="#a0a0a0" stroked="f"/>
        </w:pict>
      </w:r>
    </w:p>
    <w:p w:rsidR="00231D66" w:rsidRDefault="00231D66" w:rsidP="00231D66">
      <w:pPr>
        <w:pStyle w:val="berschrift1"/>
      </w:pPr>
      <w:r>
        <w:t>3.3.46.44 Dimensionslose funktionale Größe</w:t>
      </w:r>
    </w:p>
    <w:p w:rsidR="00231D66" w:rsidRDefault="00231D66" w:rsidP="00231D66">
      <w:pPr>
        <w:pStyle w:val="StandardWeb"/>
      </w:pPr>
      <w:r>
        <w:t>Eine Größe heißt dimensionslos, wenn ihr Dimensionsvektor dem neutralen Element entspricht.</w:t>
      </w:r>
    </w:p>
    <w:p w:rsidR="00231D66" w:rsidRDefault="00231D66" w:rsidP="00231D66">
      <w:pPr>
        <w:pStyle w:val="StandardWeb"/>
      </w:pPr>
      <w:r>
        <w:t>Formal schreibe ich</w:t>
      </w:r>
    </w:p>
    <w:p w:rsidR="00231D66" w:rsidRDefault="00231D66" w:rsidP="00231D66">
      <w:pPr>
        <w:pStyle w:val="berschrift1"/>
      </w:pPr>
      <w:r>
        <w:t>[</w:t>
      </w:r>
      <w:r>
        <w:br/>
        <w:t>\operatorname{Dim}(Q)</w:t>
      </w:r>
    </w:p>
    <w:p w:rsidR="00231D66" w:rsidRDefault="00231D66" w:rsidP="00231D66">
      <w:pPr>
        <w:pStyle w:val="StandardWeb"/>
      </w:pPr>
      <w:r>
        <w:t>\mathbf 0_D.</w:t>
      </w:r>
      <w:r>
        <w:br/>
        <w:t>\tag{3.10902}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\operatorname{Dim}(Q)=\mathbf 0_D</w:t>
      </w:r>
    </w:p>
    <w:p w:rsidR="00231D66" w:rsidRDefault="00E50336" w:rsidP="00231D66">
      <w:r>
        <w:pict>
          <v:rect id="_x0000_i3563" style="width:0;height:1.5pt" o:hralign="center" o:hrstd="t" o:hr="t" fillcolor="#a0a0a0" stroked="f"/>
        </w:pict>
      </w:r>
    </w:p>
    <w:p w:rsidR="00231D66" w:rsidRDefault="00231D66" w:rsidP="00231D66">
      <w:pPr>
        <w:pStyle w:val="berschrift1"/>
      </w:pPr>
      <w:r>
        <w:t>3.3.46.45 Definition 3.3.171 – Dimensionslose funktionale Größe</w:t>
      </w:r>
    </w:p>
    <w:p w:rsidR="00231D66" w:rsidRDefault="00231D66" w:rsidP="00231D66">
      <w:pPr>
        <w:pStyle w:val="berschrift3"/>
      </w:pPr>
      <w:r>
        <w:t>Definition 3.3.171</w:t>
      </w:r>
    </w:p>
    <w:p w:rsidR="00231D66" w:rsidRDefault="00231D66" w:rsidP="00231D66">
      <w:pPr>
        <w:pStyle w:val="StandardWeb"/>
      </w:pPr>
      <w:r>
        <w:t xml:space="preserve">Eine funktionale Größe (Q) heißt bezüglich einer vorgegebenen Dimensionsstruktur </w:t>
      </w:r>
      <w:r>
        <w:rPr>
          <w:rStyle w:val="Fett"/>
        </w:rPr>
        <w:t>dimensionslos</w:t>
      </w:r>
      <w:r>
        <w:t>, wenn</w:t>
      </w:r>
    </w:p>
    <w:p w:rsidR="00231D66" w:rsidRDefault="00231D66" w:rsidP="00231D66">
      <w:pPr>
        <w:pStyle w:val="berschrift1"/>
      </w:pPr>
      <w:r>
        <w:lastRenderedPageBreak/>
        <w:t>[</w:t>
      </w:r>
      <w:r>
        <w:br/>
        <w:t>\boxed{</w:t>
      </w:r>
      <w:r>
        <w:br/>
        <w:t>\operatorname{Dim}(Q)</w:t>
      </w:r>
    </w:p>
    <w:p w:rsidR="00231D66" w:rsidRDefault="00231D66" w:rsidP="00231D66">
      <w:pPr>
        <w:pStyle w:val="StandardWeb"/>
      </w:pPr>
      <w:r>
        <w:t>\mathbf 0_D.</w:t>
      </w:r>
      <w:r>
        <w:br/>
        <w:t>}</w:t>
      </w:r>
      <w:r>
        <w:br/>
        <w:t>\tag{3.10903}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\boxed{\operatorname{Dim}(Q)=\mathbf 0_D.}</w:t>
      </w:r>
    </w:p>
    <w:p w:rsidR="00231D66" w:rsidRDefault="00231D66" w:rsidP="00231D66">
      <w:pPr>
        <w:pStyle w:val="StandardWeb"/>
      </w:pPr>
      <w:r>
        <w:t>Diese Eigenschaft ist stets relativ zur verwendeten Dimensionszuordnung.</w:t>
      </w:r>
    </w:p>
    <w:p w:rsidR="00231D66" w:rsidRDefault="00E50336" w:rsidP="00231D66">
      <w:r>
        <w:pict>
          <v:rect id="_x0000_i3564" style="width:0;height:1.5pt" o:hralign="center" o:hrstd="t" o:hr="t" fillcolor="#a0a0a0" stroked="f"/>
        </w:pict>
      </w:r>
    </w:p>
    <w:p w:rsidR="00231D66" w:rsidRDefault="00231D66" w:rsidP="00231D66">
      <w:pPr>
        <w:pStyle w:val="berschrift1"/>
      </w:pPr>
      <w:r>
        <w:t>3.3.46.46 Dimensionslosigkeit und Skalierungsinvarianz sind nicht identisch</w:t>
      </w:r>
    </w:p>
    <w:p w:rsidR="00231D66" w:rsidRDefault="00231D66" w:rsidP="00231D66">
      <w:pPr>
        <w:pStyle w:val="StandardWeb"/>
      </w:pPr>
      <w:r>
        <w:t>Eine dimensionslose Größe kann unter einer anderen mathematischen Skalierungswirkung trotzdem nicht invariant sein.</w:t>
      </w:r>
    </w:p>
    <w:p w:rsidR="00231D66" w:rsidRDefault="00231D66" w:rsidP="00231D66">
      <w:pPr>
        <w:pStyle w:val="StandardWeb"/>
      </w:pPr>
      <w:r>
        <w:t>Umgekehrt kann eine dimensionsbehaftete Größe unter einer bestimmten Transformation invariant bleiben.</w:t>
      </w:r>
    </w:p>
    <w:p w:rsidR="00231D66" w:rsidRDefault="00231D66" w:rsidP="00231D66">
      <w:pPr>
        <w:pStyle w:val="StandardWeb"/>
      </w:pPr>
      <w:r>
        <w:t>Daher gilt allgemein</w:t>
      </w:r>
    </w:p>
    <w:p w:rsidR="00231D66" w:rsidRDefault="00231D66" w:rsidP="00231D66">
      <w:pPr>
        <w:pStyle w:val="StandardWeb"/>
      </w:pPr>
      <w:r>
        <w:t>[</w:t>
      </w:r>
      <w:r>
        <w:br/>
        <w:t>\boxed{</w:t>
      </w:r>
      <w:r>
        <w:br/>
        <w:t>\operatorname{Dim}(Q)=\mathbf 0_D</w:t>
      </w:r>
      <w:r>
        <w:br/>
        <w:t>\nLeftrightarrow</w:t>
      </w:r>
      <w:r>
        <w:br/>
        <w:t>w_{\mathrm{sc}}(Q)=0.</w:t>
      </w:r>
      <w:r>
        <w:br/>
        <w:t>}</w:t>
      </w:r>
      <w:r>
        <w:br/>
        <w:t>\tag{3.10904}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\boxed{\operatorname{Dim}(Q)=\mathbf 0_D\nLeftrightarrow w_{\mathrm{sc}}(Q)=0.}</w:t>
      </w:r>
    </w:p>
    <w:p w:rsidR="00231D66" w:rsidRDefault="00231D66" w:rsidP="00231D66">
      <w:pPr>
        <w:pStyle w:val="StandardWeb"/>
      </w:pPr>
      <w:r>
        <w:t>Die beiden Konzepte dürfen nur dann identifiziert werden, wenn das betreffende Modell eine entsprechende Beziehung explizit festlegt.</w:t>
      </w:r>
    </w:p>
    <w:p w:rsidR="00231D66" w:rsidRDefault="00E50336" w:rsidP="00231D66">
      <w:r>
        <w:pict>
          <v:rect id="_x0000_i3565" style="width:0;height:1.5pt" o:hralign="center" o:hrstd="t" o:hr="t" fillcolor="#a0a0a0" stroked="f"/>
        </w:pict>
      </w:r>
    </w:p>
    <w:p w:rsidR="00231D66" w:rsidRDefault="00231D66" w:rsidP="00231D66">
      <w:pPr>
        <w:pStyle w:val="berschrift1"/>
      </w:pPr>
      <w:r>
        <w:t>3.3.46.47 Dimensionshomogene Gleichungen</w:t>
      </w:r>
    </w:p>
    <w:p w:rsidR="00231D66" w:rsidRDefault="00231D66" w:rsidP="00231D66">
      <w:pPr>
        <w:pStyle w:val="StandardWeb"/>
      </w:pPr>
      <w:r>
        <w:lastRenderedPageBreak/>
        <w:t>Sind zwei Größen durch</w:t>
      </w:r>
    </w:p>
    <w:p w:rsidR="00231D66" w:rsidRDefault="00231D66" w:rsidP="00231D66">
      <w:pPr>
        <w:pStyle w:val="StandardWeb"/>
      </w:pPr>
      <w:r>
        <w:t>[</w:t>
      </w:r>
      <w:r>
        <w:br/>
        <w:t>Q_1=Q_2</w:t>
      </w:r>
      <w:r>
        <w:br/>
        <w:t>\tag{3.10905}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Q_1=Q_2</w:t>
      </w:r>
    </w:p>
    <w:p w:rsidR="00231D66" w:rsidRDefault="00231D66" w:rsidP="00231D66">
      <w:pPr>
        <w:pStyle w:val="StandardWeb"/>
      </w:pPr>
      <w:r>
        <w:t>verbunden, kann in einem dimensionsbehafteten Modell die Forderung</w:t>
      </w:r>
    </w:p>
    <w:p w:rsidR="00231D66" w:rsidRDefault="00231D66" w:rsidP="00231D66">
      <w:pPr>
        <w:pStyle w:val="berschrift1"/>
      </w:pPr>
      <w:r>
        <w:t>[</w:t>
      </w:r>
      <w:r>
        <w:br/>
        <w:t>\operatorname{Dim}(Q_1)</w:t>
      </w:r>
    </w:p>
    <w:p w:rsidR="00231D66" w:rsidRDefault="00231D66" w:rsidP="00231D66">
      <w:pPr>
        <w:pStyle w:val="StandardWeb"/>
      </w:pPr>
      <w:r>
        <w:t>\operatorname{Dim}(Q_2)</w:t>
      </w:r>
      <w:r>
        <w:br/>
        <w:t>\tag{3.10906}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\operatorname{Dim}(Q_1)=\operatorname{Dim}(Q_2)</w:t>
      </w:r>
    </w:p>
    <w:p w:rsidR="00231D66" w:rsidRDefault="00231D66" w:rsidP="00231D66">
      <w:pPr>
        <w:pStyle w:val="StandardWeb"/>
      </w:pPr>
      <w:r>
        <w:t>gestellt werden.</w:t>
      </w:r>
    </w:p>
    <w:p w:rsidR="00231D66" w:rsidRDefault="00E50336" w:rsidP="00231D66">
      <w:r>
        <w:pict>
          <v:rect id="_x0000_i3566" style="width:0;height:1.5pt" o:hralign="center" o:hrstd="t" o:hr="t" fillcolor="#a0a0a0" stroked="f"/>
        </w:pict>
      </w:r>
    </w:p>
    <w:p w:rsidR="00231D66" w:rsidRDefault="00231D66" w:rsidP="00231D66">
      <w:pPr>
        <w:pStyle w:val="berschrift1"/>
      </w:pPr>
      <w:r>
        <w:t>3.3.46.48 Definition 3.3.172 – Dimensionshomogene funktionale Gleichung</w:t>
      </w:r>
    </w:p>
    <w:p w:rsidR="00231D66" w:rsidRDefault="00231D66" w:rsidP="00231D66">
      <w:pPr>
        <w:pStyle w:val="berschrift3"/>
      </w:pPr>
      <w:r>
        <w:t>Definition 3.3.172</w:t>
      </w:r>
    </w:p>
    <w:p w:rsidR="00231D66" w:rsidRDefault="00231D66" w:rsidP="00231D66">
      <w:pPr>
        <w:pStyle w:val="StandardWeb"/>
      </w:pPr>
      <w:r>
        <w:t>Eine funktionale Gleichung</w:t>
      </w:r>
    </w:p>
    <w:p w:rsidR="00231D66" w:rsidRDefault="00231D66" w:rsidP="00231D66">
      <w:pPr>
        <w:pStyle w:val="StandardWeb"/>
      </w:pPr>
      <w:r>
        <w:t>[</w:t>
      </w:r>
      <w:r>
        <w:br/>
        <w:t>F_L=F_R</w:t>
      </w:r>
      <w:r>
        <w:br/>
        <w:t>\tag{3.10907}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F_L=F_R</w:t>
      </w:r>
    </w:p>
    <w:p w:rsidR="00231D66" w:rsidRDefault="00231D66" w:rsidP="00231D66">
      <w:pPr>
        <w:pStyle w:val="StandardWeb"/>
      </w:pPr>
      <w:r>
        <w:t xml:space="preserve">heißt </w:t>
      </w:r>
      <w:r>
        <w:rPr>
          <w:rStyle w:val="Fett"/>
        </w:rPr>
        <w:t>dimensionshomogen</w:t>
      </w:r>
      <w:r>
        <w:t>, wenn</w:t>
      </w:r>
    </w:p>
    <w:p w:rsidR="00231D66" w:rsidRDefault="00231D66" w:rsidP="00231D66">
      <w:pPr>
        <w:pStyle w:val="berschrift1"/>
      </w:pPr>
      <w:r>
        <w:lastRenderedPageBreak/>
        <w:t>[</w:t>
      </w:r>
      <w:r>
        <w:br/>
        <w:t>\boxed{</w:t>
      </w:r>
      <w:r>
        <w:br/>
        <w:t>\operatorname{Dim}(F_L)</w:t>
      </w:r>
    </w:p>
    <w:p w:rsidR="00231D66" w:rsidRDefault="00231D66" w:rsidP="00231D66">
      <w:pPr>
        <w:pStyle w:val="StandardWeb"/>
      </w:pPr>
      <w:r>
        <w:t>\operatorname{Dim}(F_R).</w:t>
      </w:r>
      <w:r>
        <w:br/>
        <w:t>}</w:t>
      </w:r>
      <w:r>
        <w:br/>
        <w:t>\tag{3.10908}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\boxed{\operatorname{Dim}(F_L)=\operatorname{Dim}(F_R).}</w:t>
      </w:r>
    </w:p>
    <w:p w:rsidR="00231D66" w:rsidRDefault="00E50336" w:rsidP="00231D66">
      <w:r>
        <w:pict>
          <v:rect id="_x0000_i3567" style="width:0;height:1.5pt" o:hralign="center" o:hrstd="t" o:hr="t" fillcolor="#a0a0a0" stroked="f"/>
        </w:pict>
      </w:r>
    </w:p>
    <w:p w:rsidR="00231D66" w:rsidRDefault="00231D66" w:rsidP="00231D66">
      <w:pPr>
        <w:pStyle w:val="berschrift1"/>
      </w:pPr>
      <w:r>
        <w:t>3.3.46.49 Dimensionshomogenität als Konsistenzprüfung</w:t>
      </w:r>
    </w:p>
    <w:p w:rsidR="00231D66" w:rsidRDefault="00231D66" w:rsidP="00231D66">
      <w:pPr>
        <w:pStyle w:val="StandardWeb"/>
      </w:pPr>
      <w:r>
        <w:t>Ist eine Dimensionsstruktur Bestandteil eines konkreten Modells, kann eine Verletzung</w:t>
      </w:r>
    </w:p>
    <w:p w:rsidR="00231D66" w:rsidRDefault="00231D66" w:rsidP="00231D66">
      <w:pPr>
        <w:pStyle w:val="StandardWeb"/>
      </w:pPr>
      <w:r>
        <w:t>[</w:t>
      </w:r>
      <w:r>
        <w:br/>
        <w:t>\operatorname{Dim}(F_L)</w:t>
      </w:r>
      <w:r>
        <w:br/>
        <w:t>\neq</w:t>
      </w:r>
      <w:r>
        <w:br/>
        <w:t>\operatorname{Dim}(F_R)</w:t>
      </w:r>
      <w:r>
        <w:br/>
        <w:t>\tag{3.10909}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\operatorname{Dim}(F_L)\neq\operatorname{Dim}(F_R)</w:t>
      </w:r>
    </w:p>
    <w:p w:rsidR="00231D66" w:rsidRDefault="00231D66" w:rsidP="00231D66">
      <w:pPr>
        <w:pStyle w:val="StandardWeb"/>
      </w:pPr>
      <w:r>
        <w:t>ein Hinweis auf einen formalen Fehler sein.</w:t>
      </w:r>
    </w:p>
    <w:p w:rsidR="00231D66" w:rsidRDefault="00231D66" w:rsidP="00231D66">
      <w:pPr>
        <w:pStyle w:val="StandardWeb"/>
      </w:pPr>
      <w:r>
        <w:t>Dies ist jedoch eine Konsistenzprüfung innerhalb des gewählten Dimensionsmodells, kein allgemeines FRZK-Primäraxiom.</w:t>
      </w:r>
    </w:p>
    <w:p w:rsidR="00231D66" w:rsidRDefault="00E50336" w:rsidP="00231D66">
      <w:r>
        <w:pict>
          <v:rect id="_x0000_i3568" style="width:0;height:1.5pt" o:hralign="center" o:hrstd="t" o:hr="t" fillcolor="#a0a0a0" stroked="f"/>
        </w:pict>
      </w:r>
    </w:p>
    <w:p w:rsidR="00231D66" w:rsidRDefault="00231D66" w:rsidP="00231D66">
      <w:pPr>
        <w:pStyle w:val="berschrift1"/>
      </w:pPr>
      <w:r>
        <w:t>3.3.46.50 Modellannahme einer Dimensionsstruktur</w:t>
      </w:r>
    </w:p>
    <w:p w:rsidR="00231D66" w:rsidRDefault="00231D66" w:rsidP="00231D66">
      <w:pPr>
        <w:pStyle w:val="StandardWeb"/>
      </w:pPr>
      <w:r>
        <w:t>Ich fasse die zusätzliche Voraussetzung als</w:t>
      </w:r>
    </w:p>
    <w:p w:rsidR="00231D66" w:rsidRDefault="00231D66" w:rsidP="00231D66">
      <w:pPr>
        <w:pStyle w:val="StandardWeb"/>
      </w:pPr>
      <w:r>
        <w:t>[</w:t>
      </w:r>
      <w:r>
        <w:br/>
        <w:t>M_D^{\mathrm{dim}}</w:t>
      </w:r>
      <w:r>
        <w:br/>
        <w:t>\tag{3.10910}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lastRenderedPageBreak/>
        <w:t>M_D^{\mathrm{dim}}</w:t>
      </w:r>
    </w:p>
    <w:p w:rsidR="00231D66" w:rsidRDefault="00231D66" w:rsidP="00231D66">
      <w:pPr>
        <w:pStyle w:val="StandardWeb"/>
      </w:pPr>
      <w:r>
        <w:t>zusammen.</w:t>
      </w:r>
    </w:p>
    <w:p w:rsidR="00231D66" w:rsidRDefault="00231D66" w:rsidP="00231D66">
      <w:pPr>
        <w:pStyle w:val="StandardWeb"/>
      </w:pPr>
      <w:r>
        <w:t>Sie fordert die Existenz einer konsistenten Dimensionszuordnung für die betrachteten funktionalen Größen.</w:t>
      </w:r>
    </w:p>
    <w:p w:rsidR="00231D66" w:rsidRDefault="00E50336" w:rsidP="00231D66">
      <w:r>
        <w:pict>
          <v:rect id="_x0000_i3569" style="width:0;height:1.5pt" o:hralign="center" o:hrstd="t" o:hr="t" fillcolor="#a0a0a0" stroked="f"/>
        </w:pict>
      </w:r>
    </w:p>
    <w:p w:rsidR="00231D66" w:rsidRDefault="00231D66" w:rsidP="00231D66">
      <w:pPr>
        <w:pStyle w:val="berschrift1"/>
      </w:pPr>
      <w:r>
        <w:t>3.3.46.51 Definition 3.3.173 – Dimensionsmodellannahme</w:t>
      </w:r>
    </w:p>
    <w:p w:rsidR="00231D66" w:rsidRDefault="00231D66" w:rsidP="00231D66">
      <w:pPr>
        <w:pStyle w:val="berschrift3"/>
      </w:pPr>
      <w:r>
        <w:t>Definition 3.3.173</w:t>
      </w:r>
    </w:p>
    <w:p w:rsidR="00231D66" w:rsidRDefault="00231D66" w:rsidP="00231D66">
      <w:pPr>
        <w:pStyle w:val="StandardWeb"/>
      </w:pPr>
      <w:r>
        <w:t xml:space="preserve">Die </w:t>
      </w:r>
      <w:r>
        <w:rPr>
          <w:rStyle w:val="Fett"/>
        </w:rPr>
        <w:t>Dimensionsmodellannahme</w:t>
      </w:r>
    </w:p>
    <w:p w:rsidR="00231D66" w:rsidRDefault="00231D66" w:rsidP="00231D66">
      <w:pPr>
        <w:pStyle w:val="StandardWeb"/>
      </w:pPr>
      <w:r>
        <w:t>[</w:t>
      </w:r>
      <w:r>
        <w:br/>
        <w:t>M_D^{\mathrm{dim}}</w:t>
      </w:r>
      <w:r>
        <w:br/>
        <w:t>\tag{3.10911}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M_D^{\mathrm{dim}}</w:t>
      </w:r>
    </w:p>
    <w:p w:rsidR="00231D66" w:rsidRDefault="00231D66" w:rsidP="00231D66">
      <w:pPr>
        <w:pStyle w:val="StandardWeb"/>
      </w:pPr>
      <w:r>
        <w:t>fordert die Existenz einer Dimensionsstruktur (\mathfrak D) und einer Zuordnung</w:t>
      </w:r>
    </w:p>
    <w:p w:rsidR="00231D66" w:rsidRDefault="00231D66" w:rsidP="00231D66">
      <w:pPr>
        <w:pStyle w:val="StandardWeb"/>
      </w:pPr>
      <w:r>
        <w:t>[</w:t>
      </w:r>
      <w:r>
        <w:br/>
        <w:t>\boxed{</w:t>
      </w:r>
      <w:r>
        <w:br/>
        <w:t>\operatorname{Dim}:</w:t>
      </w:r>
      <w:r>
        <w:br/>
        <w:t>\mathcal Q_F</w:t>
      </w:r>
      <w:r>
        <w:br/>
        <w:t>\rightarrow</w:t>
      </w:r>
      <w:r>
        <w:br/>
        <w:t>\mathfrak D</w:t>
      </w:r>
      <w:r>
        <w:br/>
        <w:t>}</w:t>
      </w:r>
      <w:r>
        <w:br/>
        <w:t>\tag{3.10912}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\boxed{\operatorname{Dim}:\mathcal Q_F\rightarrow\mathfrak D}</w:t>
      </w:r>
    </w:p>
    <w:p w:rsidR="00231D66" w:rsidRDefault="00231D66" w:rsidP="00231D66">
      <w:pPr>
        <w:pStyle w:val="StandardWeb"/>
      </w:pPr>
      <w:r>
        <w:t>für die in der jeweiligen Modellklasse verwendeten Größen.</w:t>
      </w:r>
    </w:p>
    <w:p w:rsidR="00231D66" w:rsidRDefault="00E50336" w:rsidP="00231D66">
      <w:r>
        <w:pict>
          <v:rect id="_x0000_i3570" style="width:0;height:1.5pt" o:hralign="center" o:hrstd="t" o:hr="t" fillcolor="#a0a0a0" stroked="f"/>
        </w:pict>
      </w:r>
    </w:p>
    <w:p w:rsidR="00231D66" w:rsidRDefault="00231D66" w:rsidP="00231D66">
      <w:pPr>
        <w:pStyle w:val="berschrift1"/>
      </w:pPr>
      <w:r>
        <w:t>3.3.46.52 Status der Dimensionsmodellannahme</w:t>
      </w:r>
    </w:p>
    <w:p w:rsidR="00231D66" w:rsidRDefault="00231D66" w:rsidP="00231D66">
      <w:pPr>
        <w:pStyle w:val="StandardWeb"/>
      </w:pPr>
      <w:r>
        <w:t>Die bisherige FRZK-Axiomatik erzwingt keine physikalische Dimensionsstruktur.</w:t>
      </w:r>
    </w:p>
    <w:p w:rsidR="00231D66" w:rsidRDefault="00231D66" w:rsidP="00231D66">
      <w:pPr>
        <w:pStyle w:val="StandardWeb"/>
      </w:pPr>
      <w:r>
        <w:t>Daher gilt</w:t>
      </w:r>
    </w:p>
    <w:p w:rsidR="00231D66" w:rsidRDefault="00231D66" w:rsidP="00231D66">
      <w:pPr>
        <w:pStyle w:val="berschrift1"/>
      </w:pPr>
      <w:r>
        <w:lastRenderedPageBreak/>
        <w:t>[</w:t>
      </w:r>
      <w:r>
        <w:br/>
        <w:t>\boxed{</w:t>
      </w:r>
      <w:r>
        <w:br/>
        <w:t>\operatorname{Stat}</w:t>
      </w:r>
      <w:r>
        <w:br/>
        <w:t>\left(</w:t>
      </w:r>
      <w:r>
        <w:br/>
        <w:t>M_D^{\mathrm{dim}}</w:t>
      </w:r>
      <w:r>
        <w:br/>
        <w:t>\right)</w:t>
      </w:r>
    </w:p>
    <w:p w:rsidR="00231D66" w:rsidRDefault="00231D66" w:rsidP="00231D66">
      <w:pPr>
        <w:pStyle w:val="StandardWeb"/>
      </w:pPr>
      <w:r>
        <w:t>\mathrm{Mod}.</w:t>
      </w:r>
      <w:r>
        <w:br/>
        <w:t>}</w:t>
      </w:r>
      <w:r>
        <w:br/>
        <w:t>\tag{3.10913}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\boxed{\operatorname{Stat}\left(M_D^{\mathrm{dim}}\right)=\mathrm{Mod}.}</w:t>
      </w:r>
    </w:p>
    <w:p w:rsidR="00231D66" w:rsidRDefault="00231D66" w:rsidP="00231D66">
      <w:pPr>
        <w:pStyle w:val="StandardWeb"/>
      </w:pPr>
      <w:r>
        <w:t>und folglich</w:t>
      </w:r>
    </w:p>
    <w:p w:rsidR="00231D66" w:rsidRDefault="00231D66" w:rsidP="00231D66">
      <w:pPr>
        <w:pStyle w:val="berschrift1"/>
      </w:pPr>
      <w:r>
        <w:t>[</w:t>
      </w:r>
      <w:r>
        <w:br/>
        <w:t>\boxed{</w:t>
      </w:r>
      <w:r>
        <w:br/>
        <w:t>U_{\mathrm{Ax}}</w:t>
      </w:r>
      <w:r>
        <w:br/>
        <w:t>\left(</w:t>
      </w:r>
      <w:r>
        <w:br/>
        <w:t>M_D^{\mathrm{dim}}</w:t>
      </w:r>
      <w:r>
        <w:br/>
        <w:t>\right)</w:t>
      </w:r>
    </w:p>
    <w:p w:rsidR="00231D66" w:rsidRDefault="00231D66" w:rsidP="00152216">
      <w:pPr>
        <w:numPr>
          <w:ilvl w:val="0"/>
          <w:numId w:val="466"/>
        </w:numPr>
        <w:spacing w:before="100" w:beforeAutospacing="1" w:after="100" w:afterAutospacing="1"/>
      </w:pPr>
    </w:p>
    <w:p w:rsidR="00231D66" w:rsidRDefault="00231D66" w:rsidP="00231D66">
      <w:pPr>
        <w:pStyle w:val="StandardWeb"/>
      </w:pPr>
      <w:r>
        <w:t>}</w:t>
      </w:r>
      <w:r>
        <w:br/>
        <w:t>\tag{3.10914}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\boxed{U_{\mathrm{Ax}}\left(M_D^{\mathrm{dim}}\right)=0.}</w:t>
      </w:r>
    </w:p>
    <w:p w:rsidR="00231D66" w:rsidRDefault="00E50336" w:rsidP="00231D66">
      <w:r>
        <w:pict>
          <v:rect id="_x0000_i3571" style="width:0;height:1.5pt" o:hralign="center" o:hrstd="t" o:hr="t" fillcolor="#a0a0a0" stroked="f"/>
        </w:pict>
      </w:r>
    </w:p>
    <w:p w:rsidR="00231D66" w:rsidRDefault="00231D66" w:rsidP="00231D66">
      <w:pPr>
        <w:pStyle w:val="berschrift1"/>
      </w:pPr>
      <w:r>
        <w:t>3.3.46.53 Einheiten und Dimensionen</w:t>
      </w:r>
    </w:p>
    <w:p w:rsidR="00231D66" w:rsidRDefault="00231D66" w:rsidP="00231D66">
      <w:pPr>
        <w:pStyle w:val="StandardWeb"/>
      </w:pPr>
      <w:r>
        <w:t>Auch Dimension und Einheit müssen getrennt werden.</w:t>
      </w:r>
    </w:p>
    <w:p w:rsidR="00231D66" w:rsidRDefault="00231D66" w:rsidP="00231D66">
      <w:pPr>
        <w:pStyle w:val="StandardWeb"/>
      </w:pPr>
      <w:r>
        <w:lastRenderedPageBreak/>
        <w:t>Eine Länge kann beispielsweise dieselbe physikalische Dimension besitzen, unabhängig davon, ob sie in Metern, Zentimetern oder einer anderen Längeneinheit dargestellt wird.</w:t>
      </w:r>
    </w:p>
    <w:p w:rsidR="00231D66" w:rsidRDefault="00231D66" w:rsidP="00231D66">
      <w:pPr>
        <w:pStyle w:val="StandardWeb"/>
      </w:pPr>
      <w:r>
        <w:t>Formal unterscheide ich daher</w:t>
      </w:r>
    </w:p>
    <w:p w:rsidR="00231D66" w:rsidRDefault="00231D66" w:rsidP="00231D66">
      <w:pPr>
        <w:pStyle w:val="StandardWeb"/>
      </w:pPr>
      <w:r>
        <w:t>[</w:t>
      </w:r>
      <w:r>
        <w:br/>
        <w:t>\operatorname{Dim}(Q)</w:t>
      </w:r>
      <w:r>
        <w:br/>
        <w:t>\tag{3.10915}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\operatorname{Dim}(Q)</w:t>
      </w:r>
    </w:p>
    <w:p w:rsidR="00231D66" w:rsidRDefault="00231D66" w:rsidP="00231D66">
      <w:pPr>
        <w:pStyle w:val="StandardWeb"/>
      </w:pPr>
      <w:r>
        <w:t>von einer Einheitendarstellung</w:t>
      </w:r>
    </w:p>
    <w:p w:rsidR="00231D66" w:rsidRDefault="00231D66" w:rsidP="00231D66">
      <w:pPr>
        <w:pStyle w:val="StandardWeb"/>
      </w:pPr>
      <w:r>
        <w:t>[</w:t>
      </w:r>
      <w:r>
        <w:br/>
        <w:t>\operatorname{Unit}(Q).</w:t>
      </w:r>
      <w:r>
        <w:br/>
        <w:t>\tag{3.10916}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\operatorname{Unit}(Q)</w:t>
      </w:r>
    </w:p>
    <w:p w:rsidR="00231D66" w:rsidRDefault="00E50336" w:rsidP="00231D66">
      <w:r>
        <w:pict>
          <v:rect id="_x0000_i3572" style="width:0;height:1.5pt" o:hralign="center" o:hrstd="t" o:hr="t" fillcolor="#a0a0a0" stroked="f"/>
        </w:pict>
      </w:r>
    </w:p>
    <w:p w:rsidR="00231D66" w:rsidRDefault="00231D66" w:rsidP="00231D66">
      <w:pPr>
        <w:pStyle w:val="berschrift1"/>
      </w:pPr>
      <w:r>
        <w:t>3.3.46.54 Definition 3.3.174 – Funktionale Einheitendarstellung</w:t>
      </w:r>
    </w:p>
    <w:p w:rsidR="00231D66" w:rsidRDefault="00231D66" w:rsidP="00231D66">
      <w:pPr>
        <w:pStyle w:val="berschrift3"/>
      </w:pPr>
      <w:r>
        <w:t>Definition 3.3.174</w:t>
      </w:r>
    </w:p>
    <w:p w:rsidR="00231D66" w:rsidRDefault="00231D66" w:rsidP="00231D66">
      <w:pPr>
        <w:pStyle w:val="StandardWeb"/>
      </w:pPr>
      <w:r>
        <w:t xml:space="preserve">Eine </w:t>
      </w:r>
      <w:r>
        <w:rPr>
          <w:rStyle w:val="Fett"/>
        </w:rPr>
        <w:t>funktionale Einheitendarstellung</w:t>
      </w:r>
      <w:r>
        <w:t xml:space="preserve"> ist eine modellabhängige Zuordnung</w:t>
      </w:r>
    </w:p>
    <w:p w:rsidR="00231D66" w:rsidRDefault="00231D66" w:rsidP="00231D66">
      <w:pPr>
        <w:pStyle w:val="StandardWeb"/>
      </w:pPr>
      <w:r>
        <w:t>[</w:t>
      </w:r>
      <w:r>
        <w:br/>
        <w:t>\boxed{</w:t>
      </w:r>
      <w:r>
        <w:br/>
        <w:t>\operatorname{Unit}:</w:t>
      </w:r>
      <w:r>
        <w:br/>
        <w:t>\mathcal Q_F</w:t>
      </w:r>
      <w:r>
        <w:br/>
        <w:t>\rightarrow</w:t>
      </w:r>
      <w:r>
        <w:br/>
        <w:t>\mathfrak U</w:t>
      </w:r>
      <w:r>
        <w:br/>
        <w:t>}</w:t>
      </w:r>
      <w:r>
        <w:br/>
        <w:t>\tag{3.10917}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\boxed{\operatorname{Unit}:\mathcal Q_F\rightarrow\mathfrak U}</w:t>
      </w:r>
    </w:p>
    <w:p w:rsidR="00231D66" w:rsidRDefault="00231D66" w:rsidP="00231D66">
      <w:pPr>
        <w:pStyle w:val="StandardWeb"/>
      </w:pPr>
      <w:r>
        <w:t>in einen festgelegten Einheitenraum (\mathfrak U).</w:t>
      </w:r>
    </w:p>
    <w:p w:rsidR="00231D66" w:rsidRDefault="00E50336" w:rsidP="00231D66">
      <w:r>
        <w:pict>
          <v:rect id="_x0000_i3573" style="width:0;height:1.5pt" o:hralign="center" o:hrstd="t" o:hr="t" fillcolor="#a0a0a0" stroked="f"/>
        </w:pict>
      </w:r>
    </w:p>
    <w:p w:rsidR="00231D66" w:rsidRDefault="00231D66" w:rsidP="00231D66">
      <w:pPr>
        <w:pStyle w:val="berschrift1"/>
      </w:pPr>
      <w:r>
        <w:lastRenderedPageBreak/>
        <w:t>3.3.46.55 Einheitenwechsel</w:t>
      </w:r>
    </w:p>
    <w:p w:rsidR="00231D66" w:rsidRDefault="00231D66" w:rsidP="00231D66">
      <w:pPr>
        <w:pStyle w:val="StandardWeb"/>
      </w:pPr>
      <w:r>
        <w:t>Ein Einheitenwechsel verändert die numerische Darstellung einer Größe, nicht notwendigerweise die zugrunde liegende physikalische Größe.</w:t>
      </w:r>
    </w:p>
    <w:p w:rsidR="00231D66" w:rsidRDefault="00231D66" w:rsidP="00231D66">
      <w:pPr>
        <w:pStyle w:val="StandardWeb"/>
      </w:pPr>
      <w:r>
        <w:t>Für einen skalaren Umrechnungsfaktor (c\neq0) kann formal gelten</w:t>
      </w:r>
    </w:p>
    <w:p w:rsidR="00231D66" w:rsidRDefault="00231D66" w:rsidP="00231D66">
      <w:pPr>
        <w:pStyle w:val="berschrift1"/>
      </w:pPr>
      <w:r>
        <w:t>[</w:t>
      </w:r>
      <w:r>
        <w:br/>
        <w:t>q'</w:t>
      </w:r>
    </w:p>
    <w:p w:rsidR="00231D66" w:rsidRDefault="00231D66" w:rsidP="00231D66">
      <w:pPr>
        <w:pStyle w:val="StandardWeb"/>
      </w:pPr>
      <w:r>
        <w:t>c,q.</w:t>
      </w:r>
      <w:r>
        <w:br/>
        <w:t>\tag{3.10918}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q'=c\,q</w:t>
      </w:r>
    </w:p>
    <w:p w:rsidR="00231D66" w:rsidRDefault="00231D66" w:rsidP="00231D66">
      <w:pPr>
        <w:pStyle w:val="StandardWeb"/>
      </w:pPr>
      <w:r>
        <w:t>Dabei kann</w:t>
      </w:r>
    </w:p>
    <w:p w:rsidR="00231D66" w:rsidRDefault="00231D66" w:rsidP="00231D66">
      <w:pPr>
        <w:pStyle w:val="berschrift1"/>
      </w:pPr>
      <w:r>
        <w:t>[</w:t>
      </w:r>
      <w:r>
        <w:br/>
        <w:t>Q_{\mathrm{phys}}'</w:t>
      </w:r>
    </w:p>
    <w:p w:rsidR="00231D66" w:rsidRDefault="00231D66" w:rsidP="00231D66">
      <w:pPr>
        <w:pStyle w:val="StandardWeb"/>
      </w:pPr>
      <w:r>
        <w:t>Q_{\mathrm{phys}}</w:t>
      </w:r>
      <w:r>
        <w:br/>
        <w:t>\tag{3.10919}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Q_{\mathrm{phys}}'=Q_{\mathrm{phys}}</w:t>
      </w:r>
    </w:p>
    <w:p w:rsidR="00231D66" w:rsidRDefault="00231D66" w:rsidP="00231D66">
      <w:pPr>
        <w:pStyle w:val="StandardWeb"/>
      </w:pPr>
      <w:r>
        <w:t>bleiben, obwohl sich der Zahlenwert verändert.</w:t>
      </w:r>
    </w:p>
    <w:p w:rsidR="00231D66" w:rsidRDefault="00E50336" w:rsidP="00231D66">
      <w:r>
        <w:pict>
          <v:rect id="_x0000_i3574" style="width:0;height:1.5pt" o:hralign="center" o:hrstd="t" o:hr="t" fillcolor="#a0a0a0" stroked="f"/>
        </w:pict>
      </w:r>
    </w:p>
    <w:p w:rsidR="00231D66" w:rsidRDefault="00231D66" w:rsidP="00231D66">
      <w:pPr>
        <w:pStyle w:val="berschrift1"/>
      </w:pPr>
      <w:r>
        <w:t>3.3.46.56 Keine Gleichsetzung von Skalierung und Einheitenwechsel</w:t>
      </w:r>
    </w:p>
    <w:p w:rsidR="00231D66" w:rsidRDefault="00231D66" w:rsidP="00231D66">
      <w:pPr>
        <w:pStyle w:val="StandardWeb"/>
      </w:pPr>
      <w:r>
        <w:t>Daraus folgt eine weitere wichtige Trennung:</w:t>
      </w:r>
    </w:p>
    <w:p w:rsidR="00231D66" w:rsidRDefault="00231D66" w:rsidP="00231D66">
      <w:pPr>
        <w:pStyle w:val="StandardWeb"/>
      </w:pPr>
      <w:r>
        <w:t>[</w:t>
      </w:r>
      <w:r>
        <w:br/>
        <w:t>\boxed{</w:t>
      </w:r>
      <w:r>
        <w:br/>
        <w:t>\text{Skalierung eines Modellobjekts}</w:t>
      </w:r>
      <w:r>
        <w:br/>
        <w:t>\not\equiv</w:t>
      </w:r>
      <w:r>
        <w:br/>
        <w:t>\text{Einheitenwechsel}.</w:t>
      </w:r>
      <w:r>
        <w:br/>
        <w:t>}</w:t>
      </w:r>
      <w:r>
        <w:br/>
      </w:r>
      <w:r>
        <w:lastRenderedPageBreak/>
        <w:t>\tag{3.10920}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\boxed{\text{Skalierung eines Modellobjekts}\not\equiv\text{Einheitenwechsel}.}</w:t>
      </w:r>
    </w:p>
    <w:p w:rsidR="00231D66" w:rsidRDefault="00231D66" w:rsidP="00231D66">
      <w:pPr>
        <w:pStyle w:val="StandardWeb"/>
      </w:pPr>
      <w:r>
        <w:t>Eine mathematische Skalentransformation kann ein Objekt verändern; ein reiner Einheitenwechsel ändert lediglich seine Repräsentation.</w:t>
      </w:r>
    </w:p>
    <w:p w:rsidR="00231D66" w:rsidRDefault="00E50336" w:rsidP="00231D66">
      <w:r>
        <w:pict>
          <v:rect id="_x0000_i3575" style="width:0;height:1.5pt" o:hralign="center" o:hrstd="t" o:hr="t" fillcolor="#a0a0a0" stroked="f"/>
        </w:pict>
      </w:r>
    </w:p>
    <w:p w:rsidR="00231D66" w:rsidRDefault="00231D66" w:rsidP="00231D66">
      <w:pPr>
        <w:pStyle w:val="berschrift1"/>
      </w:pPr>
      <w:r>
        <w:t>3.3.46.57 Repräsentationsinvarianz</w:t>
      </w:r>
    </w:p>
    <w:p w:rsidR="00231D66" w:rsidRDefault="00231D66" w:rsidP="00231D66">
      <w:pPr>
        <w:pStyle w:val="StandardWeb"/>
      </w:pPr>
      <w:r>
        <w:t>Eine physikalisch sinnvoll formulierte Aussage sollte gegebenenfalls unabhängig von der verwendeten Einheitendarstellung sein.</w:t>
      </w:r>
    </w:p>
    <w:p w:rsidR="00231D66" w:rsidRDefault="00231D66" w:rsidP="00231D66">
      <w:pPr>
        <w:pStyle w:val="StandardWeb"/>
      </w:pPr>
      <w:r>
        <w:t>Sei (U) ein zulässiger Einheitenwechsel.</w:t>
      </w:r>
    </w:p>
    <w:p w:rsidR="00231D66" w:rsidRDefault="00231D66" w:rsidP="00231D66">
      <w:pPr>
        <w:pStyle w:val="StandardWeb"/>
      </w:pPr>
      <w:r>
        <w:t>Dann kann gefordert werden</w:t>
      </w:r>
    </w:p>
    <w:p w:rsidR="00231D66" w:rsidRDefault="00231D66" w:rsidP="00231D66">
      <w:pPr>
        <w:pStyle w:val="berschrift1"/>
      </w:pPr>
      <w:r>
        <w:t>[</w:t>
      </w:r>
      <w:r>
        <w:br/>
        <w:t>\mathcal P(UQ)</w:t>
      </w:r>
    </w:p>
    <w:p w:rsidR="00231D66" w:rsidRDefault="00231D66" w:rsidP="00231D66">
      <w:pPr>
        <w:pStyle w:val="StandardWeb"/>
      </w:pPr>
      <w:r>
        <w:t>\mathcal P(Q)</w:t>
      </w:r>
      <w:r>
        <w:br/>
        <w:t>\tag{3.10921}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\mathcal P(UQ)=\mathcal P(Q)</w:t>
      </w:r>
    </w:p>
    <w:p w:rsidR="00231D66" w:rsidRDefault="00231D66" w:rsidP="00231D66">
      <w:pPr>
        <w:pStyle w:val="StandardWeb"/>
      </w:pPr>
      <w:r>
        <w:t>für eine repräsentationsunabhängige Aussage (\mathcal P).</w:t>
      </w:r>
    </w:p>
    <w:p w:rsidR="00231D66" w:rsidRDefault="00E50336" w:rsidP="00231D66">
      <w:r>
        <w:pict>
          <v:rect id="_x0000_i3576" style="width:0;height:1.5pt" o:hralign="center" o:hrstd="t" o:hr="t" fillcolor="#a0a0a0" stroked="f"/>
        </w:pict>
      </w:r>
    </w:p>
    <w:p w:rsidR="00231D66" w:rsidRDefault="00231D66" w:rsidP="00231D66">
      <w:pPr>
        <w:pStyle w:val="berschrift1"/>
      </w:pPr>
      <w:r>
        <w:t>3.3.46.58 Definition 3.3.175 – Einheitendarstellungsinvarianz</w:t>
      </w:r>
    </w:p>
    <w:p w:rsidR="00231D66" w:rsidRDefault="00231D66" w:rsidP="00231D66">
      <w:pPr>
        <w:pStyle w:val="berschrift3"/>
      </w:pPr>
      <w:r>
        <w:t>Definition 3.3.175</w:t>
      </w:r>
    </w:p>
    <w:p w:rsidR="00231D66" w:rsidRDefault="00231D66" w:rsidP="00231D66">
      <w:pPr>
        <w:pStyle w:val="StandardWeb"/>
      </w:pPr>
      <w:r>
        <w:t xml:space="preserve">Eine Aussage oder Eigenschaft (\mathcal P) heißt </w:t>
      </w:r>
      <w:r>
        <w:rPr>
          <w:rStyle w:val="Fett"/>
        </w:rPr>
        <w:t>einheitendarstellungsinvariant</w:t>
      </w:r>
      <w:r>
        <w:t>, wenn</w:t>
      </w:r>
    </w:p>
    <w:p w:rsidR="00231D66" w:rsidRDefault="00231D66" w:rsidP="00231D66">
      <w:pPr>
        <w:pStyle w:val="berschrift1"/>
      </w:pPr>
      <w:r>
        <w:t>[</w:t>
      </w:r>
      <w:r>
        <w:br/>
        <w:t>\boxed{</w:t>
      </w:r>
      <w:r>
        <w:br/>
        <w:t>\mathcal P(UQ)</w:t>
      </w:r>
    </w:p>
    <w:p w:rsidR="00231D66" w:rsidRDefault="00231D66" w:rsidP="00231D66">
      <w:pPr>
        <w:pStyle w:val="StandardWeb"/>
      </w:pPr>
      <w:r>
        <w:lastRenderedPageBreak/>
        <w:t>\mathcal P(Q)</w:t>
      </w:r>
      <w:r>
        <w:br/>
        <w:t>}</w:t>
      </w:r>
      <w:r>
        <w:br/>
        <w:t>\tag{3.10922}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\boxed{\mathcal P(UQ)=\mathcal P(Q)}</w:t>
      </w:r>
    </w:p>
    <w:p w:rsidR="00231D66" w:rsidRDefault="00231D66" w:rsidP="00231D66">
      <w:pPr>
        <w:pStyle w:val="StandardWeb"/>
      </w:pPr>
      <w:r>
        <w:t>für jeden im Modell zugelassenen Einheitenwechsel (U) gilt.</w:t>
      </w:r>
    </w:p>
    <w:p w:rsidR="00231D66" w:rsidRDefault="00E50336" w:rsidP="00231D66">
      <w:r>
        <w:pict>
          <v:rect id="_x0000_i3577" style="width:0;height:1.5pt" o:hralign="center" o:hrstd="t" o:hr="t" fillcolor="#a0a0a0" stroked="f"/>
        </w:pict>
      </w:r>
    </w:p>
    <w:p w:rsidR="00231D66" w:rsidRDefault="00231D66" w:rsidP="00231D66">
      <w:pPr>
        <w:pStyle w:val="berschrift1"/>
      </w:pPr>
      <w:r>
        <w:t>3.3.46.59 Einheitendarstellungsinvarianz ist keine neue Physik</w:t>
      </w:r>
    </w:p>
    <w:p w:rsidR="00231D66" w:rsidRDefault="00231D66" w:rsidP="00231D66">
      <w:pPr>
        <w:pStyle w:val="StandardWeb"/>
      </w:pPr>
      <w:r>
        <w:t>Diese Invarianz verhindert lediglich, dass eine theoretische Aussage von einer willkürlichen Repräsentationswahl abhängt.</w:t>
      </w:r>
    </w:p>
    <w:p w:rsidR="00231D66" w:rsidRDefault="00231D66" w:rsidP="00231D66">
      <w:pPr>
        <w:pStyle w:val="StandardWeb"/>
      </w:pPr>
      <w:r>
        <w:t>Damit gilt</w:t>
      </w:r>
    </w:p>
    <w:p w:rsidR="00231D66" w:rsidRDefault="00231D66" w:rsidP="00231D66">
      <w:pPr>
        <w:pStyle w:val="berschrift1"/>
      </w:pPr>
      <w:r>
        <w:t>[</w:t>
      </w:r>
      <w:r>
        <w:br/>
        <w:t>\boxed{</w:t>
      </w:r>
      <w:r>
        <w:br/>
        <w:t>\operatorname{Stat}</w:t>
      </w:r>
      <w:r>
        <w:br/>
        <w:t>\left(</w:t>
      </w:r>
      <w:r>
        <w:br/>
        <w:t>\operatorname{Inv}_{\mathrm{unit}}</w:t>
      </w:r>
      <w:r>
        <w:br/>
        <w:t>\right)</w:t>
      </w:r>
    </w:p>
    <w:p w:rsidR="00231D66" w:rsidRDefault="00231D66" w:rsidP="00231D66">
      <w:pPr>
        <w:pStyle w:val="StandardWeb"/>
      </w:pPr>
      <w:r>
        <w:t>\mathrm{Def/Mod}.</w:t>
      </w:r>
      <w:r>
        <w:br/>
        <w:t>}</w:t>
      </w:r>
      <w:r>
        <w:br/>
        <w:t>\tag{3.10923}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\boxed{\operatorname{Stat}\left(\operatorname{Inv}_{\mathrm{unit}}\right)=\mathrm{Def/Mod}.}</w:t>
      </w:r>
    </w:p>
    <w:p w:rsidR="00231D66" w:rsidRDefault="00231D66" w:rsidP="00231D66">
      <w:pPr>
        <w:pStyle w:val="StandardWeb"/>
      </w:pPr>
      <w:r>
        <w:t>Sie setzt überhaupt erst voraus, dass eine Einheitenstruktur Bestandteil des Modells ist.</w:t>
      </w:r>
    </w:p>
    <w:p w:rsidR="00231D66" w:rsidRDefault="00E50336" w:rsidP="00231D66">
      <w:r>
        <w:pict>
          <v:rect id="_x0000_i3578" style="width:0;height:1.5pt" o:hralign="center" o:hrstd="t" o:hr="t" fillcolor="#a0a0a0" stroked="f"/>
        </w:pict>
      </w:r>
    </w:p>
    <w:p w:rsidR="00231D66" w:rsidRDefault="00231D66" w:rsidP="00231D66">
      <w:pPr>
        <w:pStyle w:val="berschrift1"/>
      </w:pPr>
      <w:r>
        <w:t>3.3.46.60 Vorbereitung einer möglichen Dimensionsanalyse</w:t>
      </w:r>
    </w:p>
    <w:p w:rsidR="00231D66" w:rsidRDefault="00231D66" w:rsidP="00231D66">
      <w:pPr>
        <w:pStyle w:val="StandardWeb"/>
      </w:pPr>
      <w:r>
        <w:lastRenderedPageBreak/>
        <w:t>Sind mehrere dimensionsbehaftete Größen</w:t>
      </w:r>
    </w:p>
    <w:p w:rsidR="00231D66" w:rsidRDefault="00231D66" w:rsidP="00231D66">
      <w:pPr>
        <w:pStyle w:val="StandardWeb"/>
      </w:pPr>
      <w:r>
        <w:t>[</w:t>
      </w:r>
      <w:r>
        <w:br/>
        <w:t>Q_1,\ldots,Q_n</w:t>
      </w:r>
      <w:r>
        <w:br/>
        <w:t>\tag{3.10924}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Q_1,\ldots,Q_n</w:t>
      </w:r>
    </w:p>
    <w:p w:rsidR="00231D66" w:rsidRDefault="00231D66" w:rsidP="00231D66">
      <w:pPr>
        <w:pStyle w:val="StandardWeb"/>
      </w:pPr>
      <w:r>
        <w:t>gegeben, kann nach dimensionslosen Kombinationen gesucht werden.</w:t>
      </w:r>
    </w:p>
    <w:p w:rsidR="00231D66" w:rsidRDefault="00231D66" w:rsidP="00231D66">
      <w:pPr>
        <w:pStyle w:val="StandardWeb"/>
      </w:pPr>
      <w:r>
        <w:t>Eine allgemeine monomiale Kombination besitzt die Form</w:t>
      </w:r>
    </w:p>
    <w:p w:rsidR="00231D66" w:rsidRDefault="00231D66" w:rsidP="00231D66">
      <w:pPr>
        <w:pStyle w:val="berschrift1"/>
      </w:pPr>
      <w:r>
        <w:t>[</w:t>
      </w:r>
      <w:r>
        <w:br/>
        <w:t>\Pi</w:t>
      </w:r>
    </w:p>
    <w:p w:rsidR="00231D66" w:rsidRDefault="00231D66" w:rsidP="00231D66">
      <w:pPr>
        <w:pStyle w:val="StandardWeb"/>
      </w:pPr>
      <w:r>
        <w:t>\prod_{i=1}^{n}</w:t>
      </w:r>
      <w:r>
        <w:br/>
        <w:t>Q_i^{a_i}.</w:t>
      </w:r>
      <w:r>
        <w:br/>
        <w:t>\tag{3.10925}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\Pi=\prod_{i=1}^{n}Q_i^{a_i}</w:t>
      </w:r>
    </w:p>
    <w:p w:rsidR="00231D66" w:rsidRDefault="00E50336" w:rsidP="00231D66">
      <w:r>
        <w:pict>
          <v:rect id="_x0000_i3579" style="width:0;height:1.5pt" o:hralign="center" o:hrstd="t" o:hr="t" fillcolor="#a0a0a0" stroked="f"/>
        </w:pict>
      </w:r>
    </w:p>
    <w:p w:rsidR="00231D66" w:rsidRDefault="00231D66" w:rsidP="00231D66">
      <w:pPr>
        <w:pStyle w:val="berschrift1"/>
      </w:pPr>
      <w:r>
        <w:t>3.3.46.61 Dimensionsbedingung einer monomialen Kombination</w:t>
      </w:r>
    </w:p>
    <w:p w:rsidR="00231D66" w:rsidRDefault="00231D66" w:rsidP="00231D66">
      <w:pPr>
        <w:pStyle w:val="StandardWeb"/>
      </w:pPr>
      <w:r>
        <w:t>Sei die Dimensionsdarstellung jeder Größe durch einen Exponentenvektor</w:t>
      </w:r>
    </w:p>
    <w:p w:rsidR="00231D66" w:rsidRDefault="00231D66" w:rsidP="00231D66">
      <w:pPr>
        <w:pStyle w:val="StandardWeb"/>
      </w:pPr>
      <w:r>
        <w:t>[</w:t>
      </w:r>
      <w:r>
        <w:br/>
        <w:t>\mathbf d_i</w:t>
      </w:r>
      <w:r>
        <w:br/>
        <w:t>\in</w:t>
      </w:r>
      <w:r>
        <w:br/>
        <w:t>\mathbb R^m</w:t>
      </w:r>
      <w:r>
        <w:br/>
        <w:t>\tag{3.10926}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\mathbf d_i\in\mathbb R^m</w:t>
      </w:r>
    </w:p>
    <w:p w:rsidR="00231D66" w:rsidRDefault="00231D66" w:rsidP="00231D66">
      <w:pPr>
        <w:pStyle w:val="StandardWeb"/>
      </w:pPr>
      <w:r>
        <w:t>gegeben.</w:t>
      </w:r>
    </w:p>
    <w:p w:rsidR="00231D66" w:rsidRDefault="00231D66" w:rsidP="00231D66">
      <w:pPr>
        <w:pStyle w:val="StandardWeb"/>
      </w:pPr>
      <w:r>
        <w:t>Dann besitzt (\Pi) den Dimensionsvektor</w:t>
      </w:r>
    </w:p>
    <w:p w:rsidR="00231D66" w:rsidRDefault="00231D66" w:rsidP="00231D66">
      <w:pPr>
        <w:pStyle w:val="berschrift1"/>
      </w:pPr>
      <w:r>
        <w:lastRenderedPageBreak/>
        <w:t>[</w:t>
      </w:r>
      <w:r>
        <w:br/>
        <w:t>\mathbf d_\Pi</w:t>
      </w:r>
    </w:p>
    <w:p w:rsidR="00231D66" w:rsidRDefault="00231D66" w:rsidP="00231D66">
      <w:pPr>
        <w:pStyle w:val="StandardWeb"/>
      </w:pPr>
      <w:r>
        <w:t>\sum_{i=1}^{n}</w:t>
      </w:r>
      <w:r>
        <w:br/>
        <w:t>a_i\mathbf d_i.</w:t>
      </w:r>
      <w:r>
        <w:br/>
        <w:t>\tag{3.10927}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\mathbf d_\Pi=\sum_{i=1}^{n}a_i\mathbf d_i</w:t>
      </w:r>
    </w:p>
    <w:p w:rsidR="00231D66" w:rsidRDefault="00231D66" w:rsidP="00231D66">
      <w:pPr>
        <w:pStyle w:val="StandardWeb"/>
      </w:pPr>
      <w:r>
        <w:t>Dimensionslosigkeit fordert</w:t>
      </w:r>
    </w:p>
    <w:p w:rsidR="00231D66" w:rsidRDefault="00231D66" w:rsidP="00231D66">
      <w:pPr>
        <w:pStyle w:val="berschrift1"/>
      </w:pPr>
      <w:r>
        <w:t>[</w:t>
      </w:r>
      <w:r>
        <w:br/>
        <w:t>\mathbf d_\Pi</w:t>
      </w:r>
    </w:p>
    <w:p w:rsidR="00231D66" w:rsidRDefault="00231D66" w:rsidP="00231D66">
      <w:pPr>
        <w:pStyle w:val="StandardWeb"/>
      </w:pPr>
      <w:r>
        <w:t>\mathbf 0.</w:t>
      </w:r>
      <w:r>
        <w:br/>
        <w:t>\tag{3.10928}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\mathbf d_\Pi=\mathbf 0</w:t>
      </w:r>
    </w:p>
    <w:p w:rsidR="00231D66" w:rsidRDefault="00E50336" w:rsidP="00231D66">
      <w:r>
        <w:pict>
          <v:rect id="_x0000_i3580" style="width:0;height:1.5pt" o:hralign="center" o:hrstd="t" o:hr="t" fillcolor="#a0a0a0" stroked="f"/>
        </w:pict>
      </w:r>
    </w:p>
    <w:p w:rsidR="00231D66" w:rsidRDefault="00231D66" w:rsidP="00231D66">
      <w:pPr>
        <w:pStyle w:val="berschrift1"/>
      </w:pPr>
      <w:r>
        <w:t>3.3.46.62 Definition 3.3.176 – Funktionale dimensionslose Produktgruppe</w:t>
      </w:r>
    </w:p>
    <w:p w:rsidR="00231D66" w:rsidRDefault="00231D66" w:rsidP="00231D66">
      <w:pPr>
        <w:pStyle w:val="berschrift3"/>
      </w:pPr>
      <w:r>
        <w:t>Definition 3.3.176</w:t>
      </w:r>
    </w:p>
    <w:p w:rsidR="00231D66" w:rsidRDefault="00231D66" w:rsidP="00231D66">
      <w:pPr>
        <w:pStyle w:val="StandardWeb"/>
      </w:pPr>
      <w:r>
        <w:t>Eine monomiale Kombination</w:t>
      </w:r>
    </w:p>
    <w:p w:rsidR="00231D66" w:rsidRDefault="00231D66" w:rsidP="00231D66">
      <w:pPr>
        <w:pStyle w:val="berschrift1"/>
      </w:pPr>
      <w:r>
        <w:t>[</w:t>
      </w:r>
      <w:r>
        <w:br/>
        <w:t>\Pi</w:t>
      </w:r>
    </w:p>
    <w:p w:rsidR="00231D66" w:rsidRDefault="00231D66" w:rsidP="00231D66">
      <w:pPr>
        <w:pStyle w:val="StandardWeb"/>
      </w:pPr>
      <w:r>
        <w:t>\prod_{i=1}^{n}Q_i^{a_i}</w:t>
      </w:r>
      <w:r>
        <w:br/>
        <w:t>\tag{3.10929}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\Pi=\prod_{i=1}^{n}Q_i^{a_i}</w:t>
      </w:r>
    </w:p>
    <w:p w:rsidR="00231D66" w:rsidRDefault="00231D66" w:rsidP="00231D66">
      <w:pPr>
        <w:pStyle w:val="StandardWeb"/>
      </w:pPr>
      <w:r>
        <w:t xml:space="preserve">nenne ich eine </w:t>
      </w:r>
      <w:r>
        <w:rPr>
          <w:rStyle w:val="Fett"/>
        </w:rPr>
        <w:t>funktionale dimensionslose Produktgruppe</w:t>
      </w:r>
      <w:r>
        <w:t>, wenn</w:t>
      </w:r>
    </w:p>
    <w:p w:rsidR="00231D66" w:rsidRDefault="00231D66" w:rsidP="00231D66">
      <w:pPr>
        <w:pStyle w:val="berschrift1"/>
      </w:pPr>
      <w:r>
        <w:lastRenderedPageBreak/>
        <w:t>[</w:t>
      </w:r>
      <w:r>
        <w:br/>
        <w:t>\boxed{</w:t>
      </w:r>
      <w:r>
        <w:br/>
        <w:t>\sum_{i=1}^{n}</w:t>
      </w:r>
      <w:r>
        <w:br/>
        <w:t>a_i\mathbf d_i</w:t>
      </w:r>
    </w:p>
    <w:p w:rsidR="00231D66" w:rsidRDefault="00231D66" w:rsidP="00231D66">
      <w:pPr>
        <w:pStyle w:val="StandardWeb"/>
      </w:pPr>
      <w:r>
        <w:t>\mathbf 0.</w:t>
      </w:r>
      <w:r>
        <w:br/>
        <w:t>}</w:t>
      </w:r>
      <w:r>
        <w:br/>
        <w:t>\tag{3.10930}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\boxed{\sum_{i=1}^{n}a_i\mathbf d_i=\mathbf 0.}</w:t>
      </w:r>
    </w:p>
    <w:p w:rsidR="00231D66" w:rsidRDefault="00E50336" w:rsidP="00231D66">
      <w:r>
        <w:pict>
          <v:rect id="_x0000_i3581" style="width:0;height:1.5pt" o:hralign="center" o:hrstd="t" o:hr="t" fillcolor="#a0a0a0" stroked="f"/>
        </w:pict>
      </w:r>
    </w:p>
    <w:p w:rsidR="00231D66" w:rsidRDefault="00231D66" w:rsidP="00231D66">
      <w:pPr>
        <w:pStyle w:val="berschrift1"/>
      </w:pPr>
      <w:r>
        <w:t>3.3.46.63 Lineare Algebra der Dimensionsanalyse</w:t>
      </w:r>
    </w:p>
    <w:p w:rsidR="00231D66" w:rsidRDefault="00231D66" w:rsidP="00231D66">
      <w:pPr>
        <w:pStyle w:val="StandardWeb"/>
      </w:pPr>
      <w:r>
        <w:t>Ordne ich die Dimensionsvektoren spaltenweise in einer Matrix an,</w:t>
      </w:r>
    </w:p>
    <w:p w:rsidR="00231D66" w:rsidRDefault="00231D66" w:rsidP="00231D66">
      <w:pPr>
        <w:pStyle w:val="berschrift1"/>
      </w:pPr>
      <w:r>
        <w:t>[</w:t>
      </w:r>
      <w:r>
        <w:br/>
        <w:t>D</w:t>
      </w:r>
    </w:p>
    <w:p w:rsidR="00231D66" w:rsidRDefault="00231D66" w:rsidP="00231D66">
      <w:pPr>
        <w:pStyle w:val="StandardWeb"/>
      </w:pPr>
      <w:r>
        <w:t>\begin{pmatrix}</w:t>
      </w:r>
      <w:r>
        <w:br/>
        <w:t>| &amp; &amp; |\</w:t>
      </w:r>
      <w:r>
        <w:br/>
        <w:t>\mathbf d_1 &amp; \cdots &amp; \mathbf d_n\</w:t>
      </w:r>
      <w:r>
        <w:br/>
        <w:t>| &amp; &amp; |</w:t>
      </w:r>
      <w:r>
        <w:br/>
        <w:t>\end{pmatrix},</w:t>
      </w:r>
      <w:r>
        <w:br/>
        <w:t>\tag{3.10931}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D=\begin{pmatrix}|&amp;&amp;|\\\mathbf d_1&amp;\cdots&amp;\mathbf d_n\\|&amp;&amp;|\end{pmatrix}</w:t>
      </w:r>
    </w:p>
    <w:p w:rsidR="00231D66" w:rsidRDefault="00231D66" w:rsidP="00231D66">
      <w:pPr>
        <w:pStyle w:val="StandardWeb"/>
      </w:pPr>
      <w:r>
        <w:t>und die Exponenten in</w:t>
      </w:r>
    </w:p>
    <w:p w:rsidR="00231D66" w:rsidRDefault="00231D66" w:rsidP="00231D66">
      <w:pPr>
        <w:pStyle w:val="berschrift1"/>
      </w:pPr>
      <w:r>
        <w:t>[</w:t>
      </w:r>
      <w:r>
        <w:br/>
        <w:t>\mathbf a</w:t>
      </w:r>
    </w:p>
    <w:p w:rsidR="00231D66" w:rsidRDefault="00231D66" w:rsidP="00231D66">
      <w:pPr>
        <w:pStyle w:val="StandardWeb"/>
      </w:pPr>
      <w:r>
        <w:t>(a_1,\ldots,a_n)^{\mathsf T},</w:t>
      </w:r>
      <w:r>
        <w:br/>
        <w:t>\tag{3.10932}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lastRenderedPageBreak/>
        <w:t>\mathbf a=(a_1,\ldots,a_n)^{\mathsf T}</w:t>
      </w:r>
    </w:p>
    <w:p w:rsidR="00231D66" w:rsidRDefault="00231D66" w:rsidP="00231D66">
      <w:pPr>
        <w:pStyle w:val="StandardWeb"/>
      </w:pPr>
      <w:r>
        <w:t>so ist die Dimensionslosigkeitsbedingung äquivalent zu</w:t>
      </w:r>
    </w:p>
    <w:p w:rsidR="00231D66" w:rsidRDefault="00231D66" w:rsidP="00231D66">
      <w:pPr>
        <w:pStyle w:val="berschrift1"/>
      </w:pPr>
      <w:r>
        <w:t>[</w:t>
      </w:r>
      <w:r>
        <w:br/>
        <w:t>D\mathbf a</w:t>
      </w:r>
    </w:p>
    <w:p w:rsidR="00231D66" w:rsidRDefault="00231D66" w:rsidP="00231D66">
      <w:pPr>
        <w:pStyle w:val="StandardWeb"/>
      </w:pPr>
      <w:r>
        <w:t>\mathbf 0.</w:t>
      </w:r>
      <w:r>
        <w:br/>
        <w:t>\tag{3.10933}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D\mathbf a=\mathbf 0</w:t>
      </w:r>
    </w:p>
    <w:p w:rsidR="00231D66" w:rsidRDefault="00E50336" w:rsidP="00231D66">
      <w:r>
        <w:pict>
          <v:rect id="_x0000_i3582" style="width:0;height:1.5pt" o:hralign="center" o:hrstd="t" o:hr="t" fillcolor="#a0a0a0" stroked="f"/>
        </w:pict>
      </w:r>
    </w:p>
    <w:p w:rsidR="00231D66" w:rsidRDefault="00231D66" w:rsidP="00231D66">
      <w:pPr>
        <w:pStyle w:val="berschrift1"/>
      </w:pPr>
      <w:r>
        <w:t>3.3.46.64 Satz 3.3.80 – Dimensionslose Produktgruppen als Kern der Dimensionsmatrix</w:t>
      </w:r>
    </w:p>
    <w:p w:rsidR="00231D66" w:rsidRDefault="00231D66" w:rsidP="00231D66">
      <w:pPr>
        <w:pStyle w:val="berschrift3"/>
      </w:pPr>
      <w:r>
        <w:t>Satz 3.3.80</w:t>
      </w:r>
    </w:p>
    <w:p w:rsidR="00231D66" w:rsidRDefault="00231D66" w:rsidP="00231D66">
      <w:pPr>
        <w:pStyle w:val="StandardWeb"/>
      </w:pPr>
      <w:r>
        <w:t>Die Exponentenvektoren monomialer dimensionsloser Produktgruppen sind genau die Elemente des Kerns der Dimensionsmatrix:</w:t>
      </w:r>
    </w:p>
    <w:p w:rsidR="00231D66" w:rsidRDefault="00231D66" w:rsidP="00231D66">
      <w:pPr>
        <w:pStyle w:val="StandardWeb"/>
      </w:pPr>
      <w:r>
        <w:t>[</w:t>
      </w:r>
      <w:r>
        <w:br/>
        <w:t>\boxed{</w:t>
      </w:r>
      <w:r>
        <w:br/>
        <w:t>\mathbf a</w:t>
      </w:r>
      <w:r>
        <w:br/>
        <w:t>\in</w:t>
      </w:r>
      <w:r>
        <w:br/>
        <w:t>\ker D</w:t>
      </w:r>
      <w:r>
        <w:br/>
        <w:t>\Longleftrightarrow</w:t>
      </w:r>
      <w:r>
        <w:br/>
        <w:t>\Pi(\mathbf a)</w:t>
      </w:r>
      <w:r>
        <w:br/>
        <w:t>\text{ ist dimensionslos}.</w:t>
      </w:r>
      <w:r>
        <w:br/>
        <w:t>}</w:t>
      </w:r>
      <w:r>
        <w:br/>
        <w:t>\tag{3.10934}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\boxed{\mathbf a\in\ker D\Longleftrightarrow\Pi(\mathbf a)\text{ ist dimensionslos}.}</w:t>
      </w:r>
    </w:p>
    <w:p w:rsidR="00231D66" w:rsidRDefault="00231D66" w:rsidP="00231D66">
      <w:pPr>
        <w:pStyle w:val="berschrift3"/>
      </w:pPr>
      <w:r>
        <w:t>Beweis</w:t>
      </w:r>
    </w:p>
    <w:p w:rsidR="00231D66" w:rsidRDefault="00231D66" w:rsidP="00231D66">
      <w:pPr>
        <w:pStyle w:val="StandardWeb"/>
      </w:pPr>
      <w:r>
        <w:t>Nach Definition ist (\Pi) genau dann dimensionslos, wenn</w:t>
      </w:r>
    </w:p>
    <w:p w:rsidR="00231D66" w:rsidRDefault="00231D66" w:rsidP="00231D66">
      <w:pPr>
        <w:pStyle w:val="berschrift1"/>
      </w:pPr>
      <w:r>
        <w:lastRenderedPageBreak/>
        <w:t>[</w:t>
      </w:r>
      <w:r>
        <w:br/>
        <w:t>\sum_{i=1}^{n}</w:t>
      </w:r>
      <w:r>
        <w:br/>
        <w:t>a_i\mathbf d_i</w:t>
      </w:r>
    </w:p>
    <w:p w:rsidR="00231D66" w:rsidRDefault="00231D66" w:rsidP="00231D66">
      <w:pPr>
        <w:pStyle w:val="StandardWeb"/>
      </w:pPr>
      <w:r>
        <w:t>\mathbf 0.</w:t>
      </w:r>
      <w:r>
        <w:br/>
        <w:t>\tag{3.10935}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\sum_{i=1}^{n}a_i\mathbf d_i=\mathbf 0</w:t>
      </w:r>
    </w:p>
    <w:p w:rsidR="00231D66" w:rsidRDefault="00231D66" w:rsidP="00231D66">
      <w:pPr>
        <w:pStyle w:val="StandardWeb"/>
      </w:pPr>
      <w:r>
        <w:t>Dies ist exakt die Matrixgleichung</w:t>
      </w:r>
    </w:p>
    <w:p w:rsidR="00231D66" w:rsidRDefault="00231D66" w:rsidP="00231D66">
      <w:pPr>
        <w:pStyle w:val="berschrift1"/>
      </w:pPr>
      <w:r>
        <w:t>[</w:t>
      </w:r>
      <w:r>
        <w:br/>
        <w:t>D\mathbf a</w:t>
      </w:r>
    </w:p>
    <w:p w:rsidR="00231D66" w:rsidRDefault="00231D66" w:rsidP="00231D66">
      <w:pPr>
        <w:pStyle w:val="StandardWeb"/>
      </w:pPr>
      <w:r>
        <w:t>\mathbf 0.</w:t>
      </w:r>
      <w:r>
        <w:br/>
        <w:t>\tag{3.10936}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D\mathbf a=\mathbf 0</w:t>
      </w:r>
    </w:p>
    <w:p w:rsidR="00231D66" w:rsidRDefault="00231D66" w:rsidP="00231D66">
      <w:pPr>
        <w:pStyle w:val="StandardWeb"/>
      </w:pPr>
      <w:r>
        <w:t>Damit ist (\mathbf a\in\ker D). Die Umkehrung folgt identisch. (\square)</w:t>
      </w:r>
    </w:p>
    <w:p w:rsidR="00231D66" w:rsidRDefault="00E50336" w:rsidP="00231D66">
      <w:r>
        <w:pict>
          <v:rect id="_x0000_i3583" style="width:0;height:1.5pt" o:hralign="center" o:hrstd="t" o:hr="t" fillcolor="#a0a0a0" stroked="f"/>
        </w:pict>
      </w:r>
    </w:p>
    <w:p w:rsidR="00231D66" w:rsidRDefault="00231D66" w:rsidP="00231D66">
      <w:pPr>
        <w:pStyle w:val="berschrift1"/>
      </w:pPr>
      <w:r>
        <w:t>3.3.46.65 Anzahl unabhängiger dimensionsloser Produktgruppen</w:t>
      </w:r>
    </w:p>
    <w:p w:rsidR="00231D66" w:rsidRDefault="00231D66" w:rsidP="00231D66">
      <w:pPr>
        <w:pStyle w:val="StandardWeb"/>
      </w:pPr>
      <w:r>
        <w:t>Aus dem Rang-Nullitätssatz folgt</w:t>
      </w:r>
    </w:p>
    <w:p w:rsidR="00231D66" w:rsidRDefault="00231D66" w:rsidP="00231D66">
      <w:pPr>
        <w:pStyle w:val="berschrift1"/>
      </w:pPr>
      <w:r>
        <w:t>[</w:t>
      </w:r>
      <w:r>
        <w:br/>
        <w:t>\dim(\ker D)</w:t>
      </w:r>
    </w:p>
    <w:p w:rsidR="00231D66" w:rsidRDefault="00231D66" w:rsidP="00231D66">
      <w:pPr>
        <w:pStyle w:val="StandardWeb"/>
      </w:pPr>
      <w:r>
        <w:t>n-\operatorname{rang}(D).</w:t>
      </w:r>
      <w:r>
        <w:br/>
        <w:t>\tag{3.10937}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\dim(\ker D)=n-\operatorname{rang}(D)</w:t>
      </w:r>
    </w:p>
    <w:p w:rsidR="00231D66" w:rsidRDefault="00E50336" w:rsidP="00231D66">
      <w:r>
        <w:pict>
          <v:rect id="_x0000_i3584" style="width:0;height:1.5pt" o:hralign="center" o:hrstd="t" o:hr="t" fillcolor="#a0a0a0" stroked="f"/>
        </w:pict>
      </w:r>
    </w:p>
    <w:p w:rsidR="00231D66" w:rsidRDefault="00231D66" w:rsidP="00231D66">
      <w:pPr>
        <w:pStyle w:val="berschrift1"/>
      </w:pPr>
      <w:r>
        <w:lastRenderedPageBreak/>
        <w:t>3.3.46.66 Korollar 3.3.16 – Anzahl unabhängiger dimensionsloser Produktgruppen</w:t>
      </w:r>
    </w:p>
    <w:p w:rsidR="00231D66" w:rsidRDefault="00231D66" w:rsidP="00231D66">
      <w:pPr>
        <w:pStyle w:val="berschrift3"/>
      </w:pPr>
      <w:r>
        <w:t>Korollar 3.3.16</w:t>
      </w:r>
    </w:p>
    <w:p w:rsidR="00231D66" w:rsidRDefault="00231D66" w:rsidP="00231D66">
      <w:pPr>
        <w:pStyle w:val="StandardWeb"/>
      </w:pPr>
      <w:r>
        <w:t>Besitzt die Dimensionsmatrix (D) (n) Spalten, dann ist die Dimension des Raumes der Exponentenvektoren dimensionsloser monomialer Kombinationen</w:t>
      </w:r>
    </w:p>
    <w:p w:rsidR="00231D66" w:rsidRDefault="00231D66" w:rsidP="00231D66">
      <w:pPr>
        <w:pStyle w:val="StandardWeb"/>
      </w:pPr>
      <w:r>
        <w:t>[</w:t>
      </w:r>
      <w:r>
        <w:br/>
        <w:t>\boxed{</w:t>
      </w:r>
      <w:r>
        <w:br/>
        <w:t>n-\operatorname{rang}(D).</w:t>
      </w:r>
      <w:r>
        <w:br/>
        <w:t>}</w:t>
      </w:r>
      <w:r>
        <w:br/>
        <w:t>\tag{3.10938}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\boxed{n-\operatorname{rang}(D).}</w:t>
      </w:r>
    </w:p>
    <w:p w:rsidR="00231D66" w:rsidRDefault="00231D66" w:rsidP="00231D66">
      <w:pPr>
        <w:pStyle w:val="StandardWeb"/>
      </w:pPr>
      <w:r>
        <w:t>Diese Aussage ist reine lineare Algebra.</w:t>
      </w:r>
    </w:p>
    <w:p w:rsidR="00231D66" w:rsidRDefault="00E50336" w:rsidP="00231D66">
      <w:r>
        <w:pict>
          <v:rect id="_x0000_i3585" style="width:0;height:1.5pt" o:hralign="center" o:hrstd="t" o:hr="t" fillcolor="#a0a0a0" stroked="f"/>
        </w:pict>
      </w:r>
    </w:p>
    <w:p w:rsidR="00231D66" w:rsidRDefault="00231D66" w:rsidP="00231D66">
      <w:pPr>
        <w:pStyle w:val="berschrift1"/>
      </w:pPr>
      <w:r>
        <w:t>3.3.46.67 Bezug zum Buckingham-(\Pi)-Prinzip</w:t>
      </w:r>
    </w:p>
    <w:p w:rsidR="00231D66" w:rsidRDefault="00231D66" w:rsidP="00231D66">
      <w:pPr>
        <w:pStyle w:val="StandardWeb"/>
      </w:pPr>
      <w:r>
        <w:t>Die vorangegangene lineare Algebra entspricht strukturell dem Kern des Buckingham-(\Pi)-Prinzips: Aus (n) dimensionsbehafteten Größen und einer Dimensionsmatrix vom Rang (r) lassen sich unter den üblichen Voraussetzungen (n-r) unabhängige dimensionslose Kombinationen konstruieren.</w:t>
      </w:r>
    </w:p>
    <w:p w:rsidR="00231D66" w:rsidRDefault="00231D66" w:rsidP="00231D66">
      <w:pPr>
        <w:pStyle w:val="StandardWeb"/>
      </w:pPr>
      <w:r>
        <w:t>Im FRZK-Kontext darf daraus jedoch nicht automatisch geschlossen werden, dass jede funktionale Modellbeziehung vollständig durch solche (\Pi)-Gruppen dargestellt werden kann. Dafür wären die konkreten Voraussetzungen des Dimensionsanalysemodells separat zu prüfen.</w:t>
      </w:r>
    </w:p>
    <w:p w:rsidR="00231D66" w:rsidRDefault="00E50336" w:rsidP="00231D66">
      <w:r>
        <w:pict>
          <v:rect id="_x0000_i3586" style="width:0;height:1.5pt" o:hralign="center" o:hrstd="t" o:hr="t" fillcolor="#a0a0a0" stroked="f"/>
        </w:pict>
      </w:r>
    </w:p>
    <w:p w:rsidR="00231D66" w:rsidRDefault="00231D66" w:rsidP="00231D66">
      <w:pPr>
        <w:pStyle w:val="berschrift1"/>
      </w:pPr>
      <w:r>
        <w:t>3.3.46.68 Keine automatische Gültigkeit des vollständigen (\Pi)-Theorems</w:t>
      </w:r>
    </w:p>
    <w:p w:rsidR="00231D66" w:rsidRDefault="00231D66" w:rsidP="00231D66">
      <w:pPr>
        <w:pStyle w:val="StandardWeb"/>
      </w:pPr>
      <w:r>
        <w:t>Die starke Aussage</w:t>
      </w:r>
    </w:p>
    <w:p w:rsidR="00231D66" w:rsidRDefault="00231D66" w:rsidP="00231D66">
      <w:pPr>
        <w:pStyle w:val="StandardWeb"/>
      </w:pPr>
      <w:r>
        <w:t>[</w:t>
      </w:r>
      <w:r>
        <w:br/>
        <w:t>F(Q_1,\ldots,Q_n)=0</w:t>
      </w:r>
      <w:r>
        <w:br/>
        <w:t>\Rightarrow</w:t>
      </w:r>
      <w:r>
        <w:br/>
        <w:t>\widetilde F(\Pi_1,\ldots,\Pi_{n-r})=0</w:t>
      </w:r>
      <w:r>
        <w:br/>
        <w:t>\tag{3.10939}</w:t>
      </w:r>
      <w:r>
        <w:br/>
        <w:t>]</w:t>
      </w:r>
    </w:p>
    <w:p w:rsidR="00231D66" w:rsidRDefault="00231D66" w:rsidP="00231D66">
      <w:pPr>
        <w:pStyle w:val="StandardWeb"/>
      </w:pPr>
      <w:r>
        <w:rPr>
          <w:rStyle w:val="Fett"/>
        </w:rPr>
        <w:lastRenderedPageBreak/>
        <w:t>Word-LaTeX</w:t>
      </w:r>
    </w:p>
    <w:p w:rsidR="00231D66" w:rsidRDefault="00231D66" w:rsidP="00231D66">
      <w:pPr>
        <w:pStyle w:val="HTMLVorformatiert"/>
        <w:rPr>
          <w:rStyle w:val="HTMLCode"/>
        </w:rPr>
      </w:pPr>
      <w:r>
        <w:rPr>
          <w:rStyle w:val="HTMLCode"/>
        </w:rPr>
        <w:t>F(Q_1,\ldots,Q_n)=0\Rightarrow\widetilde F(\Pi_1,\ldots,\Pi_{n-r})=0</w:t>
      </w:r>
    </w:p>
    <w:p w:rsidR="00231D66" w:rsidRDefault="00231D66" w:rsidP="00231D66">
      <w:pPr>
        <w:pStyle w:val="StandardWeb"/>
      </w:pPr>
      <w:r>
        <w:t>wird deshalb nicht als universelle FRZK-Struktur vorausgesetzt.</w:t>
      </w:r>
    </w:p>
    <w:p w:rsidR="00231D66" w:rsidRDefault="00E50336" w:rsidP="00231D66">
      <w:r>
        <w:pict>
          <v:rect id="_x0000_i3587" style="width:0;height:1.5pt" o:hralign="center" o:hrstd="t" o:hr="t" fillcolor="#a0a0a0" stroked="f"/>
        </w:pict>
      </w:r>
    </w:p>
    <w:p w:rsidR="00231D66" w:rsidRDefault="00231D66" w:rsidP="00231D66">
      <w:pPr>
        <w:pStyle w:val="berschrift1"/>
      </w:pPr>
      <w:r>
        <w:t>3.3.46.69 Modellannahme einer vollständigen Dimensionsreduzierbarkeit</w:t>
      </w:r>
    </w:p>
    <w:p w:rsidR="00231D66" w:rsidRDefault="00231D66" w:rsidP="00231D66">
      <w:pPr>
        <w:pStyle w:val="StandardWeb"/>
      </w:pPr>
      <w:r>
        <w:t>Soll eine Modellbeziehung vollständig auf dimensionslose Produktgruppen reduziert werden können, benötige ich eine Zusatzannahme</w:t>
      </w:r>
    </w:p>
    <w:p w:rsidR="00231D66" w:rsidRDefault="00231D66" w:rsidP="00231D66">
      <w:pPr>
        <w:pStyle w:val="StandardWeb"/>
      </w:pPr>
      <w:r>
        <w:t>[</w:t>
      </w:r>
      <w:r>
        <w:br/>
        <w:t>M_\Pi.</w:t>
      </w:r>
      <w:r>
        <w:br/>
        <w:t>\tag{3.10940}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M_\Pi</w:t>
      </w:r>
    </w:p>
    <w:p w:rsidR="00231D66" w:rsidRDefault="00E50336" w:rsidP="00231D66">
      <w:r>
        <w:pict>
          <v:rect id="_x0000_i3588" style="width:0;height:1.5pt" o:hralign="center" o:hrstd="t" o:hr="t" fillcolor="#a0a0a0" stroked="f"/>
        </w:pict>
      </w:r>
    </w:p>
    <w:p w:rsidR="00231D66" w:rsidRDefault="00231D66" w:rsidP="00231D66">
      <w:pPr>
        <w:pStyle w:val="berschrift1"/>
      </w:pPr>
      <w:r>
        <w:t>3.3.46.70 Definition 3.3.177 – Dimensionsreduzierbarkeitsannahme</w:t>
      </w:r>
    </w:p>
    <w:p w:rsidR="00231D66" w:rsidRDefault="00231D66" w:rsidP="00231D66">
      <w:pPr>
        <w:pStyle w:val="berschrift3"/>
      </w:pPr>
      <w:r>
        <w:t>Definition 3.3.177</w:t>
      </w:r>
    </w:p>
    <w:p w:rsidR="00231D66" w:rsidRDefault="00231D66" w:rsidP="00231D66">
      <w:pPr>
        <w:pStyle w:val="StandardWeb"/>
      </w:pPr>
      <w:r>
        <w:t xml:space="preserve">Die </w:t>
      </w:r>
      <w:r>
        <w:rPr>
          <w:rStyle w:val="Fett"/>
        </w:rPr>
        <w:t>Dimensionsreduzierbarkeitsannahme</w:t>
      </w:r>
      <w:r>
        <w:t xml:space="preserve"> (M_\Pi) fordert für eine spezifizierte Modellklasse, dass eine dimensionshomogene Beziehung</w:t>
      </w:r>
    </w:p>
    <w:p w:rsidR="00231D66" w:rsidRDefault="00231D66" w:rsidP="00231D66">
      <w:pPr>
        <w:pStyle w:val="StandardWeb"/>
      </w:pPr>
      <w:r>
        <w:t>[</w:t>
      </w:r>
      <w:r>
        <w:br/>
        <w:t>F(Q_1,\ldots,Q_n)=0</w:t>
      </w:r>
      <w:r>
        <w:br/>
        <w:t>\tag{3.10941}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F(Q_1,\ldots,Q_n)=0</w:t>
      </w:r>
    </w:p>
    <w:p w:rsidR="00231D66" w:rsidRDefault="00231D66" w:rsidP="00231D66">
      <w:pPr>
        <w:pStyle w:val="StandardWeb"/>
      </w:pPr>
      <w:r>
        <w:t>durch eine Beziehung zwischen unabhängigen dimensionslosen Produktgruppen dargestellt werden kann:</w:t>
      </w:r>
    </w:p>
    <w:p w:rsidR="00231D66" w:rsidRDefault="00231D66" w:rsidP="00231D66">
      <w:pPr>
        <w:pStyle w:val="berschrift1"/>
      </w:pPr>
      <w:r>
        <w:t>[</w:t>
      </w:r>
      <w:r>
        <w:br/>
        <w:t>\boxed{</w:t>
      </w:r>
      <w:r>
        <w:br/>
        <w:t>\widetilde F(\Pi_1,\ldots,\Pi_{n-r})</w:t>
      </w:r>
    </w:p>
    <w:p w:rsidR="00231D66" w:rsidRDefault="00231D66" w:rsidP="00152216">
      <w:pPr>
        <w:numPr>
          <w:ilvl w:val="0"/>
          <w:numId w:val="467"/>
        </w:numPr>
        <w:spacing w:before="100" w:beforeAutospacing="1" w:after="100" w:afterAutospacing="1"/>
      </w:pPr>
    </w:p>
    <w:p w:rsidR="00231D66" w:rsidRDefault="00231D66" w:rsidP="00231D66">
      <w:pPr>
        <w:pStyle w:val="StandardWeb"/>
      </w:pPr>
      <w:r>
        <w:t>}</w:t>
      </w:r>
      <w:r>
        <w:br/>
        <w:t>\tag{3.10942}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\boxed{\widetilde F(\Pi_1,\ldots,\Pi_{n-r})=0.}</w:t>
      </w:r>
    </w:p>
    <w:p w:rsidR="00231D66" w:rsidRDefault="00E50336" w:rsidP="00231D66">
      <w:r>
        <w:pict>
          <v:rect id="_x0000_i3589" style="width:0;height:1.5pt" o:hralign="center" o:hrstd="t" o:hr="t" fillcolor="#a0a0a0" stroked="f"/>
        </w:pict>
      </w:r>
    </w:p>
    <w:p w:rsidR="00231D66" w:rsidRDefault="00231D66" w:rsidP="00231D66">
      <w:pPr>
        <w:pStyle w:val="berschrift1"/>
      </w:pPr>
      <w:r>
        <w:t>3.3.46.71 Status der Dimensionsreduzierbarkeitsannahme</w:t>
      </w:r>
    </w:p>
    <w:p w:rsidR="00231D66" w:rsidRDefault="00231D66" w:rsidP="00231D66">
      <w:pPr>
        <w:pStyle w:val="StandardWeb"/>
      </w:pPr>
      <w:r>
        <w:t>Im allgemeinen FRZK ist diese Eigenschaft nicht universal notwendig.</w:t>
      </w:r>
    </w:p>
    <w:p w:rsidR="00231D66" w:rsidRDefault="00231D66" w:rsidP="00231D66">
      <w:pPr>
        <w:pStyle w:val="StandardWeb"/>
      </w:pPr>
      <w:r>
        <w:t>Daher gilt</w:t>
      </w:r>
    </w:p>
    <w:p w:rsidR="00231D66" w:rsidRDefault="00231D66" w:rsidP="00231D66">
      <w:pPr>
        <w:pStyle w:val="berschrift1"/>
      </w:pPr>
      <w:r>
        <w:t>[</w:t>
      </w:r>
      <w:r>
        <w:br/>
        <w:t>\boxed{</w:t>
      </w:r>
      <w:r>
        <w:br/>
        <w:t>\operatorname{Stat}(M_\Pi)</w:t>
      </w:r>
    </w:p>
    <w:p w:rsidR="00231D66" w:rsidRDefault="00231D66" w:rsidP="00231D66">
      <w:pPr>
        <w:pStyle w:val="StandardWeb"/>
      </w:pPr>
      <w:r>
        <w:t>\mathrm{Mod}.</w:t>
      </w:r>
      <w:r>
        <w:br/>
        <w:t>}</w:t>
      </w:r>
      <w:r>
        <w:br/>
        <w:t>\tag{3.10943}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\boxed{\operatorname{Stat}(M_\Pi)=\mathrm{Mod}.}</w:t>
      </w:r>
    </w:p>
    <w:p w:rsidR="00231D66" w:rsidRDefault="00231D66" w:rsidP="00231D66">
      <w:pPr>
        <w:pStyle w:val="StandardWeb"/>
      </w:pPr>
      <w:r>
        <w:t>und</w:t>
      </w:r>
    </w:p>
    <w:p w:rsidR="00231D66" w:rsidRDefault="00231D66" w:rsidP="00231D66">
      <w:pPr>
        <w:pStyle w:val="StandardWeb"/>
      </w:pPr>
      <w:r>
        <w:t>[</w:t>
      </w:r>
      <w:r>
        <w:br/>
        <w:t>\boxed{</w:t>
      </w:r>
      <w:r>
        <w:br/>
        <w:t>U_{\mathrm{Ax}}(M_\Pi)=0.</w:t>
      </w:r>
      <w:r>
        <w:br/>
        <w:t>}</w:t>
      </w:r>
      <w:r>
        <w:br/>
        <w:t>\tag{3.10944}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\boxed{U_{\mathrm{Ax}}(M_\Pi)=0.}</w:t>
      </w:r>
    </w:p>
    <w:p w:rsidR="00231D66" w:rsidRDefault="00E50336" w:rsidP="00231D66">
      <w:r>
        <w:pict>
          <v:rect id="_x0000_i3590" style="width:0;height:1.5pt" o:hralign="center" o:hrstd="t" o:hr="t" fillcolor="#a0a0a0" stroked="f"/>
        </w:pict>
      </w:r>
    </w:p>
    <w:p w:rsidR="00231D66" w:rsidRDefault="00231D66" w:rsidP="00231D66">
      <w:pPr>
        <w:pStyle w:val="berschrift1"/>
      </w:pPr>
      <w:r>
        <w:t>3.3.46.72 Maßstabsfreie funktionale Beschreibung</w:t>
      </w:r>
    </w:p>
    <w:p w:rsidR="00231D66" w:rsidRDefault="00231D66" w:rsidP="00231D66">
      <w:pPr>
        <w:pStyle w:val="StandardWeb"/>
      </w:pPr>
      <w:r>
        <w:lastRenderedPageBreak/>
        <w:t>Sind dimensionslose Gruppen (\Pi_\alpha) vorhanden, können sie eine vom gewählten absoluten Maßstab unabhängige Beschreibung ermöglichen.</w:t>
      </w:r>
    </w:p>
    <w:p w:rsidR="00231D66" w:rsidRDefault="00231D66" w:rsidP="00231D66">
      <w:pPr>
        <w:pStyle w:val="StandardWeb"/>
      </w:pPr>
      <w:r>
        <w:t>Dafür kann ich einen Vektor</w:t>
      </w:r>
    </w:p>
    <w:p w:rsidR="00231D66" w:rsidRDefault="00231D66" w:rsidP="00231D66">
      <w:pPr>
        <w:pStyle w:val="berschrift1"/>
      </w:pPr>
      <w:r>
        <w:t>[</w:t>
      </w:r>
      <w:r>
        <w:br/>
        <w:t>\boldsymbol\Pi</w:t>
      </w:r>
    </w:p>
    <w:p w:rsidR="00231D66" w:rsidRDefault="00231D66" w:rsidP="00231D66">
      <w:pPr>
        <w:pStyle w:val="StandardWeb"/>
      </w:pPr>
      <w:r>
        <w:t>(\Pi_1,\ldots,\Pi_m)</w:t>
      </w:r>
      <w:r>
        <w:br/>
        <w:t>\tag{3.10945}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\boldsymbol\Pi=(\Pi_1,\ldots,\Pi_m)</w:t>
      </w:r>
    </w:p>
    <w:p w:rsidR="00231D66" w:rsidRDefault="00231D66" w:rsidP="00231D66">
      <w:pPr>
        <w:pStyle w:val="StandardWeb"/>
      </w:pPr>
      <w:r>
        <w:t>bilden.</w:t>
      </w:r>
    </w:p>
    <w:p w:rsidR="00231D66" w:rsidRDefault="00E50336" w:rsidP="00231D66">
      <w:r>
        <w:pict>
          <v:rect id="_x0000_i3591" style="width:0;height:1.5pt" o:hralign="center" o:hrstd="t" o:hr="t" fillcolor="#a0a0a0" stroked="f"/>
        </w:pict>
      </w:r>
    </w:p>
    <w:p w:rsidR="00231D66" w:rsidRDefault="00231D66" w:rsidP="00231D66">
      <w:pPr>
        <w:pStyle w:val="berschrift1"/>
      </w:pPr>
      <w:r>
        <w:t>3.3.46.73 Definition 3.3.178 – Funktionaler dimensionsloser Zustandsvektor</w:t>
      </w:r>
    </w:p>
    <w:p w:rsidR="00231D66" w:rsidRDefault="00231D66" w:rsidP="00231D66">
      <w:pPr>
        <w:pStyle w:val="berschrift3"/>
      </w:pPr>
      <w:r>
        <w:t>Definition 3.3.178</w:t>
      </w:r>
    </w:p>
    <w:p w:rsidR="00231D66" w:rsidRDefault="00231D66" w:rsidP="00231D66">
      <w:pPr>
        <w:pStyle w:val="StandardWeb"/>
      </w:pPr>
      <w:r>
        <w:t xml:space="preserve">Ein </w:t>
      </w:r>
      <w:r>
        <w:rPr>
          <w:rStyle w:val="Fett"/>
        </w:rPr>
        <w:t>funktionaler dimensionsloser Zustandsvektor</w:t>
      </w:r>
      <w:r>
        <w:t xml:space="preserve"> ist eine Zusammenfassung dimensionsloser funktionaler Größen</w:t>
      </w:r>
    </w:p>
    <w:p w:rsidR="00231D66" w:rsidRDefault="00231D66" w:rsidP="00231D66">
      <w:pPr>
        <w:pStyle w:val="berschrift1"/>
      </w:pPr>
      <w:r>
        <w:t>[</w:t>
      </w:r>
      <w:r>
        <w:br/>
        <w:t>\boxed{</w:t>
      </w:r>
      <w:r>
        <w:br/>
        <w:t>\boldsymbol\Pi_F</w:t>
      </w:r>
    </w:p>
    <w:p w:rsidR="00231D66" w:rsidRDefault="00231D66" w:rsidP="00231D66">
      <w:pPr>
        <w:pStyle w:val="StandardWeb"/>
      </w:pPr>
      <w:r>
        <w:t>\left(</w:t>
      </w:r>
      <w:r>
        <w:br/>
        <w:t>\Pi_1,\ldots,\Pi_m</w:t>
      </w:r>
      <w:r>
        <w:br/>
        <w:t>\right).</w:t>
      </w:r>
      <w:r>
        <w:br/>
        <w:t>}</w:t>
      </w:r>
      <w:r>
        <w:br/>
        <w:t>\tag{3.10946}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\boxed{\boldsymbol\Pi_F=\left(\Pi_1,\ldots,\Pi_m\right).}</w:t>
      </w:r>
    </w:p>
    <w:p w:rsidR="00231D66" w:rsidRDefault="00231D66" w:rsidP="00231D66">
      <w:pPr>
        <w:pStyle w:val="StandardWeb"/>
      </w:pPr>
      <w:r>
        <w:t>Er stellt eine mögliche reduzierte Beschreibung eines Modells dar, sofern die gewählten (\Pi_\alpha) die für die jeweilige Fragestellung benötigte Information enthalten.</w:t>
      </w:r>
    </w:p>
    <w:p w:rsidR="00231D66" w:rsidRDefault="00E50336" w:rsidP="00231D66">
      <w:r>
        <w:pict>
          <v:rect id="_x0000_i3592" style="width:0;height:1.5pt" o:hralign="center" o:hrstd="t" o:hr="t" fillcolor="#a0a0a0" stroked="f"/>
        </w:pict>
      </w:r>
    </w:p>
    <w:p w:rsidR="00231D66" w:rsidRDefault="00231D66" w:rsidP="00231D66">
      <w:pPr>
        <w:pStyle w:val="berschrift1"/>
      </w:pPr>
      <w:r>
        <w:lastRenderedPageBreak/>
        <w:t>3.3.46.74 Informationsverlust durch Dimensionsreduktion</w:t>
      </w:r>
    </w:p>
    <w:p w:rsidR="00231D66" w:rsidRDefault="00231D66" w:rsidP="00231D66">
      <w:pPr>
        <w:pStyle w:val="StandardWeb"/>
      </w:pPr>
      <w:r>
        <w:t>Die Abbildung</w:t>
      </w:r>
    </w:p>
    <w:p w:rsidR="00231D66" w:rsidRDefault="00231D66" w:rsidP="00231D66">
      <w:pPr>
        <w:pStyle w:val="StandardWeb"/>
      </w:pPr>
      <w:r>
        <w:t>[</w:t>
      </w:r>
      <w:r>
        <w:br/>
        <w:t>\Pi:</w:t>
      </w:r>
      <w:r>
        <w:br/>
        <w:t>\mathcal X_F</w:t>
      </w:r>
      <w:r>
        <w:br/>
        <w:t>\rightarrow</w:t>
      </w:r>
      <w:r>
        <w:br/>
        <w:t>\mathcal P_F</w:t>
      </w:r>
      <w:r>
        <w:br/>
        <w:t>\tag{3.10947}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\Pi:\mathcal X_F\rightarrow\mathcal P_F</w:t>
      </w:r>
    </w:p>
    <w:p w:rsidR="00231D66" w:rsidRDefault="00231D66" w:rsidP="00231D66">
      <w:pPr>
        <w:pStyle w:val="StandardWeb"/>
      </w:pPr>
      <w:r>
        <w:t>muss nicht injektiv sein.</w:t>
      </w:r>
    </w:p>
    <w:p w:rsidR="00231D66" w:rsidRDefault="00231D66" w:rsidP="00231D66">
      <w:pPr>
        <w:pStyle w:val="StandardWeb"/>
      </w:pPr>
      <w:r>
        <w:t>Es können daher</w:t>
      </w:r>
    </w:p>
    <w:p w:rsidR="00231D66" w:rsidRDefault="00231D66" w:rsidP="00231D66">
      <w:pPr>
        <w:pStyle w:val="StandardWeb"/>
      </w:pPr>
      <w:r>
        <w:t>[</w:t>
      </w:r>
      <w:r>
        <w:br/>
        <w:t>X_1\neq X_2</w:t>
      </w:r>
      <w:r>
        <w:br/>
        <w:t>\tag{3.10948}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X_1\neq X_2</w:t>
      </w:r>
    </w:p>
    <w:p w:rsidR="00231D66" w:rsidRDefault="00231D66" w:rsidP="00231D66">
      <w:pPr>
        <w:pStyle w:val="StandardWeb"/>
      </w:pPr>
      <w:r>
        <w:t>mit</w:t>
      </w:r>
    </w:p>
    <w:p w:rsidR="00231D66" w:rsidRDefault="00231D66" w:rsidP="00231D66">
      <w:pPr>
        <w:pStyle w:val="berschrift1"/>
      </w:pPr>
      <w:r>
        <w:t>[</w:t>
      </w:r>
      <w:r>
        <w:br/>
        <w:t>\boldsymbol\Pi_F(X_1)</w:t>
      </w:r>
    </w:p>
    <w:p w:rsidR="00231D66" w:rsidRDefault="00231D66" w:rsidP="00231D66">
      <w:pPr>
        <w:pStyle w:val="StandardWeb"/>
      </w:pPr>
      <w:r>
        <w:t>\boldsymbol\Pi_F(X_2)</w:t>
      </w:r>
      <w:r>
        <w:br/>
        <w:t>\tag{3.10949}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\boldsymbol\Pi_F(X_1)=\boldsymbol\Pi_F(X_2)</w:t>
      </w:r>
    </w:p>
    <w:p w:rsidR="00231D66" w:rsidRDefault="00231D66" w:rsidP="00231D66">
      <w:pPr>
        <w:pStyle w:val="StandardWeb"/>
      </w:pPr>
      <w:r>
        <w:t>existieren.</w:t>
      </w:r>
    </w:p>
    <w:p w:rsidR="00231D66" w:rsidRDefault="00E50336" w:rsidP="00231D66">
      <w:r>
        <w:pict>
          <v:rect id="_x0000_i3593" style="width:0;height:1.5pt" o:hralign="center" o:hrstd="t" o:hr="t" fillcolor="#a0a0a0" stroked="f"/>
        </w:pict>
      </w:r>
    </w:p>
    <w:p w:rsidR="00231D66" w:rsidRDefault="00231D66" w:rsidP="00231D66">
      <w:pPr>
        <w:pStyle w:val="berschrift1"/>
      </w:pPr>
      <w:r>
        <w:t>3.3.46.75 Keine automatische Rekonstruierbarkeit</w:t>
      </w:r>
    </w:p>
    <w:p w:rsidR="00231D66" w:rsidRDefault="00231D66" w:rsidP="00231D66">
      <w:pPr>
        <w:pStyle w:val="StandardWeb"/>
      </w:pPr>
      <w:r>
        <w:lastRenderedPageBreak/>
        <w:t>Daher gilt im Allgemeinen nicht</w:t>
      </w:r>
    </w:p>
    <w:p w:rsidR="00231D66" w:rsidRDefault="00231D66" w:rsidP="00231D66">
      <w:pPr>
        <w:pStyle w:val="berschrift1"/>
      </w:pPr>
      <w:r>
        <w:t>[</w:t>
      </w:r>
      <w:r>
        <w:br/>
        <w:t>\boxed{</w:t>
      </w:r>
      <w:r>
        <w:br/>
        <w:t>\boldsymbol\Pi_F(X_1)</w:t>
      </w:r>
    </w:p>
    <w:p w:rsidR="00231D66" w:rsidRDefault="00231D66" w:rsidP="00231D66">
      <w:pPr>
        <w:pStyle w:val="StandardWeb"/>
      </w:pPr>
      <w:r>
        <w:t>\boldsymbol\Pi_F(X_2)</w:t>
      </w:r>
      <w:r>
        <w:br/>
        <w:t>\Rightarrow</w:t>
      </w:r>
      <w:r>
        <w:br/>
        <w:t>X_1=X_2.</w:t>
      </w:r>
      <w:r>
        <w:br/>
        <w:t>}</w:t>
      </w:r>
      <w:r>
        <w:br/>
        <w:t>\tag{3.10950}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\boxed{\boldsymbol\Pi_F(X_1)=\boldsymbol\Pi_F(X_2)\Rightarrow X_1=X_2.}</w:t>
      </w:r>
    </w:p>
    <w:p w:rsidR="00231D66" w:rsidRDefault="00231D66" w:rsidP="00231D66">
      <w:pPr>
        <w:pStyle w:val="StandardWeb"/>
      </w:pPr>
      <w:r>
        <w:t>Eine dimensionslose Reduktion kann also Information über den absoluten Maßstab entfernen.</w:t>
      </w:r>
    </w:p>
    <w:p w:rsidR="00231D66" w:rsidRDefault="00E50336" w:rsidP="00231D66">
      <w:r>
        <w:pict>
          <v:rect id="_x0000_i3594" style="width:0;height:1.5pt" o:hralign="center" o:hrstd="t" o:hr="t" fillcolor="#a0a0a0" stroked="f"/>
        </w:pict>
      </w:r>
    </w:p>
    <w:p w:rsidR="00231D66" w:rsidRDefault="00231D66" w:rsidP="00231D66">
      <w:pPr>
        <w:pStyle w:val="berschrift1"/>
      </w:pPr>
      <w:r>
        <w:t>3.3.46.76 Dimensionslose Äquivalenz</w:t>
      </w:r>
    </w:p>
    <w:p w:rsidR="00231D66" w:rsidRDefault="00231D66" w:rsidP="00231D66">
      <w:pPr>
        <w:pStyle w:val="StandardWeb"/>
      </w:pPr>
      <w:r>
        <w:t>Ich kann deshalb eine Relation definieren:</w:t>
      </w:r>
    </w:p>
    <w:p w:rsidR="00231D66" w:rsidRDefault="00231D66" w:rsidP="00231D66">
      <w:pPr>
        <w:pStyle w:val="berschrift1"/>
      </w:pPr>
      <w:r>
        <w:t>[</w:t>
      </w:r>
      <w:r>
        <w:br/>
        <w:t>X_1</w:t>
      </w:r>
      <w:r>
        <w:br/>
        <w:t>\sim_\Pi</w:t>
      </w:r>
      <w:r>
        <w:br/>
        <w:t>X_2</w:t>
      </w:r>
      <w:r>
        <w:br/>
        <w:t>\Longleftrightarrow</w:t>
      </w:r>
      <w:r>
        <w:br/>
        <w:t>\boldsymbol\Pi_F(X_1)</w:t>
      </w:r>
    </w:p>
    <w:p w:rsidR="00231D66" w:rsidRDefault="00231D66" w:rsidP="00231D66">
      <w:pPr>
        <w:pStyle w:val="StandardWeb"/>
      </w:pPr>
      <w:r>
        <w:t>\boldsymbol\Pi_F(X_2).</w:t>
      </w:r>
      <w:r>
        <w:br/>
        <w:t>\tag{3.10951}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X_1\sim_\Pi X_2\Longleftrightarrow\boldsymbol\Pi_F(X_1)=\boldsymbol\Pi_F(X_2)</w:t>
      </w:r>
    </w:p>
    <w:p w:rsidR="00231D66" w:rsidRDefault="00E50336" w:rsidP="00231D66">
      <w:r>
        <w:pict>
          <v:rect id="_x0000_i3595" style="width:0;height:1.5pt" o:hralign="center" o:hrstd="t" o:hr="t" fillcolor="#a0a0a0" stroked="f"/>
        </w:pict>
      </w:r>
    </w:p>
    <w:p w:rsidR="00231D66" w:rsidRDefault="00231D66" w:rsidP="00231D66">
      <w:pPr>
        <w:pStyle w:val="berschrift1"/>
      </w:pPr>
      <w:r>
        <w:lastRenderedPageBreak/>
        <w:t>3.3.46.77 Definition 3.3.179 – Funktionale Dimensionsäquivalenz</w:t>
      </w:r>
    </w:p>
    <w:p w:rsidR="00231D66" w:rsidRDefault="00231D66" w:rsidP="00231D66">
      <w:pPr>
        <w:pStyle w:val="berschrift3"/>
      </w:pPr>
      <w:r>
        <w:t>Definition 3.3.179</w:t>
      </w:r>
    </w:p>
    <w:p w:rsidR="00231D66" w:rsidRDefault="00231D66" w:rsidP="00231D66">
      <w:pPr>
        <w:pStyle w:val="StandardWeb"/>
      </w:pPr>
      <w:r>
        <w:t xml:space="preserve">Zwei funktionale Zustände oder Größenkonfigurationen heißen bezüglich eines gewählten dimensionslosen Zustandsvektors </w:t>
      </w:r>
      <w:r>
        <w:rPr>
          <w:rStyle w:val="Fett"/>
        </w:rPr>
        <w:t>dimensionsäquivalent</w:t>
      </w:r>
      <w:r>
        <w:t>, wenn</w:t>
      </w:r>
    </w:p>
    <w:p w:rsidR="00231D66" w:rsidRDefault="00231D66" w:rsidP="00231D66">
      <w:pPr>
        <w:pStyle w:val="berschrift1"/>
      </w:pPr>
      <w:r>
        <w:t>[</w:t>
      </w:r>
      <w:r>
        <w:br/>
        <w:t>\boxed{</w:t>
      </w:r>
      <w:r>
        <w:br/>
        <w:t>X_1</w:t>
      </w:r>
      <w:r>
        <w:br/>
        <w:t>\sim_\Pi</w:t>
      </w:r>
      <w:r>
        <w:br/>
        <w:t>X_2</w:t>
      </w:r>
      <w:r>
        <w:br/>
        <w:t>\Longleftrightarrow</w:t>
      </w:r>
      <w:r>
        <w:br/>
        <w:t>\boldsymbol\Pi_F(X_1)</w:t>
      </w:r>
    </w:p>
    <w:p w:rsidR="00231D66" w:rsidRDefault="00231D66" w:rsidP="00231D66">
      <w:pPr>
        <w:pStyle w:val="StandardWeb"/>
      </w:pPr>
      <w:r>
        <w:t>\boldsymbol\Pi_F(X_2).</w:t>
      </w:r>
      <w:r>
        <w:br/>
        <w:t>}</w:t>
      </w:r>
      <w:r>
        <w:br/>
        <w:t>\tag{3.10952}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\boxed{X_1\sim_\Pi X_2\Longleftrightarrow\boldsymbol\Pi_F(X_1)=\boldsymbol\Pi_F(X_2).}</w:t>
      </w:r>
    </w:p>
    <w:p w:rsidR="00231D66" w:rsidRDefault="00231D66" w:rsidP="00231D66">
      <w:pPr>
        <w:pStyle w:val="StandardWeb"/>
      </w:pPr>
      <w:r>
        <w:t>Diese Äquivalenz hängt ausdrücklich von der gewählten Menge dimensionsloser Gruppen ab.</w:t>
      </w:r>
    </w:p>
    <w:p w:rsidR="00231D66" w:rsidRDefault="00E50336" w:rsidP="00231D66">
      <w:r>
        <w:pict>
          <v:rect id="_x0000_i3596" style="width:0;height:1.5pt" o:hralign="center" o:hrstd="t" o:hr="t" fillcolor="#a0a0a0" stroked="f"/>
        </w:pict>
      </w:r>
    </w:p>
    <w:p w:rsidR="00231D66" w:rsidRDefault="00231D66" w:rsidP="00231D66">
      <w:pPr>
        <w:pStyle w:val="berschrift1"/>
      </w:pPr>
      <w:r>
        <w:t>3.3.46.78 Äquivalenzrelation der Dimensionsdarstellung</w:t>
      </w:r>
    </w:p>
    <w:p w:rsidR="00231D66" w:rsidRDefault="00231D66" w:rsidP="00231D66">
      <w:pPr>
        <w:pStyle w:val="StandardWeb"/>
      </w:pPr>
      <w:r>
        <w:t>Da Gleichheit reflexiv, symmetrisch und transitiv ist, folgt unmittelbar:</w:t>
      </w:r>
    </w:p>
    <w:p w:rsidR="00231D66" w:rsidRDefault="00231D66" w:rsidP="00231D66">
      <w:pPr>
        <w:pStyle w:val="StandardWeb"/>
      </w:pPr>
      <w:r>
        <w:t>[</w:t>
      </w:r>
      <w:r>
        <w:br/>
        <w:t>\boxed{</w:t>
      </w:r>
      <w:r>
        <w:br/>
        <w:t>\sim_\Pi</w:t>
      </w:r>
      <w:r>
        <w:br/>
        <w:t>\text{ ist eine Äquivalenzrelation}.</w:t>
      </w:r>
      <w:r>
        <w:br/>
        <w:t>}</w:t>
      </w:r>
      <w:r>
        <w:br/>
        <w:t>\tag{3.10953}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lastRenderedPageBreak/>
        <w:t>\boxed{\sim_\Pi\text{ ist eine Äquivalenzrelation}.}</w:t>
      </w:r>
    </w:p>
    <w:p w:rsidR="00231D66" w:rsidRDefault="00E50336" w:rsidP="00231D66">
      <w:r>
        <w:pict>
          <v:rect id="_x0000_i3597" style="width:0;height:1.5pt" o:hralign="center" o:hrstd="t" o:hr="t" fillcolor="#a0a0a0" stroked="f"/>
        </w:pict>
      </w:r>
    </w:p>
    <w:p w:rsidR="00231D66" w:rsidRDefault="00231D66" w:rsidP="00231D66">
      <w:pPr>
        <w:pStyle w:val="berschrift1"/>
      </w:pPr>
      <w:r>
        <w:t>3.3.46.79 Satz 3.3.81 – Dimensionsäquivalenz als Äquivalenzrelation</w:t>
      </w:r>
    </w:p>
    <w:p w:rsidR="00231D66" w:rsidRDefault="00231D66" w:rsidP="00231D66">
      <w:pPr>
        <w:pStyle w:val="berschrift3"/>
      </w:pPr>
      <w:r>
        <w:t>Satz 3.3.81</w:t>
      </w:r>
    </w:p>
    <w:p w:rsidR="00231D66" w:rsidRDefault="00231D66" w:rsidP="00231D66">
      <w:pPr>
        <w:pStyle w:val="StandardWeb"/>
      </w:pPr>
      <w:r>
        <w:t>Die durch einen festgelegten dimensionslosen Zustandsvektor induzierte Relation (\sim_\Pi) ist eine Äquivalenzrelation.</w:t>
      </w:r>
    </w:p>
    <w:p w:rsidR="00231D66" w:rsidRDefault="00231D66" w:rsidP="00231D66">
      <w:pPr>
        <w:pStyle w:val="StandardWeb"/>
      </w:pPr>
      <w:r>
        <w:t>[</w:t>
      </w:r>
      <w:r>
        <w:br/>
        <w:t>\boxed{</w:t>
      </w:r>
      <w:r>
        <w:br/>
        <w:t>\sim_\Pi</w:t>
      </w:r>
      <w:r>
        <w:br/>
        <w:t>\text{ ist reflexiv, symmetrisch und transitiv}.</w:t>
      </w:r>
      <w:r>
        <w:br/>
        <w:t>}</w:t>
      </w:r>
      <w:r>
        <w:br/>
        <w:t>\tag{3.10954}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\boxed{\sim_\Pi\text{ ist reflexiv, symmetrisch und transitiv}.}</w:t>
      </w:r>
    </w:p>
    <w:p w:rsidR="00231D66" w:rsidRDefault="00231D66" w:rsidP="00231D66">
      <w:pPr>
        <w:pStyle w:val="berschrift3"/>
      </w:pPr>
      <w:r>
        <w:t>Beweis</w:t>
      </w:r>
    </w:p>
    <w:p w:rsidR="00231D66" w:rsidRDefault="00231D66" w:rsidP="00231D66">
      <w:pPr>
        <w:pStyle w:val="StandardWeb"/>
      </w:pPr>
      <w:r>
        <w:t>Die Relation wird durch Gleichheit der Bilder unter (\boldsymbol\Pi_F) definiert. Reflexivität, Symmetrie und Transitivität folgen daher unmittelbar aus den entsprechenden Eigenschaften der Gleichheitsrelation. (\square)</w:t>
      </w:r>
    </w:p>
    <w:p w:rsidR="00231D66" w:rsidRDefault="00E50336" w:rsidP="00231D66">
      <w:r>
        <w:pict>
          <v:rect id="_x0000_i3598" style="width:0;height:1.5pt" o:hralign="center" o:hrstd="t" o:hr="t" fillcolor="#a0a0a0" stroked="f"/>
        </w:pict>
      </w:r>
    </w:p>
    <w:p w:rsidR="00231D66" w:rsidRDefault="00231D66" w:rsidP="00231D66">
      <w:pPr>
        <w:pStyle w:val="berschrift1"/>
      </w:pPr>
      <w:r>
        <w:t>3.3.46.80 Dimensionsquotient</w:t>
      </w:r>
    </w:p>
    <w:p w:rsidR="00231D66" w:rsidRDefault="00231D66" w:rsidP="00231D66">
      <w:pPr>
        <w:pStyle w:val="StandardWeb"/>
      </w:pPr>
      <w:r>
        <w:t>Damit kann ich</w:t>
      </w:r>
    </w:p>
    <w:p w:rsidR="00231D66" w:rsidRDefault="00231D66" w:rsidP="00231D66">
      <w:pPr>
        <w:pStyle w:val="berschrift1"/>
      </w:pPr>
      <w:r>
        <w:t>[</w:t>
      </w:r>
      <w:r>
        <w:br/>
        <w:t>\mathcal Q_\Pi</w:t>
      </w:r>
    </w:p>
    <w:p w:rsidR="00231D66" w:rsidRDefault="00231D66" w:rsidP="00231D66">
      <w:pPr>
        <w:pStyle w:val="StandardWeb"/>
      </w:pPr>
      <w:r>
        <w:t>\mathcal X_F/!\sim_\Pi</w:t>
      </w:r>
      <w:r>
        <w:br/>
        <w:t>\tag{3.10955}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\mathcal Q_\Pi=\mathcal X_F/\!\sim_\Pi</w:t>
      </w:r>
    </w:p>
    <w:p w:rsidR="00231D66" w:rsidRDefault="00231D66" w:rsidP="00231D66">
      <w:pPr>
        <w:pStyle w:val="StandardWeb"/>
      </w:pPr>
      <w:r>
        <w:t>bilden.</w:t>
      </w:r>
    </w:p>
    <w:p w:rsidR="00231D66" w:rsidRDefault="00E50336" w:rsidP="00231D66">
      <w:r>
        <w:pict>
          <v:rect id="_x0000_i3599" style="width:0;height:1.5pt" o:hralign="center" o:hrstd="t" o:hr="t" fillcolor="#a0a0a0" stroked="f"/>
        </w:pict>
      </w:r>
    </w:p>
    <w:p w:rsidR="00231D66" w:rsidRDefault="00231D66" w:rsidP="00231D66">
      <w:pPr>
        <w:pStyle w:val="berschrift1"/>
      </w:pPr>
      <w:r>
        <w:lastRenderedPageBreak/>
        <w:t>3.3.46.81 Definition 3.3.180 – Funktionaler Dimensionsquotient</w:t>
      </w:r>
    </w:p>
    <w:p w:rsidR="00231D66" w:rsidRDefault="00231D66" w:rsidP="00231D66">
      <w:pPr>
        <w:pStyle w:val="berschrift3"/>
      </w:pPr>
      <w:r>
        <w:t>Definition 3.3.180</w:t>
      </w:r>
    </w:p>
    <w:p w:rsidR="00231D66" w:rsidRDefault="00231D66" w:rsidP="00231D66">
      <w:pPr>
        <w:pStyle w:val="StandardWeb"/>
      </w:pPr>
      <w:r>
        <w:t xml:space="preserve">Der </w:t>
      </w:r>
      <w:r>
        <w:rPr>
          <w:rStyle w:val="Fett"/>
        </w:rPr>
        <w:t>funktionale Dimensionsquotient</w:t>
      </w:r>
      <w:r>
        <w:t xml:space="preserve"> bezüglich eines gewählten dimensionslosen Zustandsvektors ist</w:t>
      </w:r>
    </w:p>
    <w:p w:rsidR="00231D66" w:rsidRDefault="00231D66" w:rsidP="00231D66">
      <w:pPr>
        <w:pStyle w:val="StandardWeb"/>
      </w:pPr>
      <w:r>
        <w:t>[</w:t>
      </w:r>
      <w:r>
        <w:br/>
        <w:t>\boxed{</w:t>
      </w:r>
      <w:r>
        <w:br/>
        <w:t>\mathcal Q_\Pi</w:t>
      </w:r>
      <w:r>
        <w:br/>
        <w:t>:=</w:t>
      </w:r>
      <w:r>
        <w:br/>
        <w:t>\mathcal X_F/!\sim_\Pi.</w:t>
      </w:r>
      <w:r>
        <w:br/>
        <w:t>}</w:t>
      </w:r>
      <w:r>
        <w:br/>
        <w:t>\tag{3.10956}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\boxed{\mathcal Q_\Pi:=\mathcal X_F/\!\sim_\Pi.}</w:t>
      </w:r>
    </w:p>
    <w:p w:rsidR="00231D66" w:rsidRDefault="00231D66" w:rsidP="00231D66">
      <w:pPr>
        <w:pStyle w:val="StandardWeb"/>
      </w:pPr>
      <w:r>
        <w:t>Dieser Quotient gruppiert funktionale Konfigurationen nach identischer dimensionsloser Repräsentation.</w:t>
      </w:r>
    </w:p>
    <w:p w:rsidR="00231D66" w:rsidRDefault="00E50336" w:rsidP="00231D66">
      <w:r>
        <w:pict>
          <v:rect id="_x0000_i3600" style="width:0;height:1.5pt" o:hralign="center" o:hrstd="t" o:hr="t" fillcolor="#a0a0a0" stroked="f"/>
        </w:pict>
      </w:r>
    </w:p>
    <w:p w:rsidR="00231D66" w:rsidRDefault="00231D66" w:rsidP="00231D66">
      <w:pPr>
        <w:pStyle w:val="berschrift1"/>
      </w:pPr>
      <w:r>
        <w:t>3.3.46.82 Skalierungsäquivalenz und Dimensionsäquivalenz</w:t>
      </w:r>
    </w:p>
    <w:p w:rsidR="00231D66" w:rsidRDefault="00231D66" w:rsidP="00231D66">
      <w:pPr>
        <w:pStyle w:val="StandardWeb"/>
      </w:pPr>
      <w:r>
        <w:t>Es liegt nahe zu vermuten, dass Skalierungsäquivalenz und Dimensionsäquivalenz identisch seien.</w:t>
      </w:r>
    </w:p>
    <w:p w:rsidR="00231D66" w:rsidRDefault="00231D66" w:rsidP="00231D66">
      <w:pPr>
        <w:pStyle w:val="StandardWeb"/>
      </w:pPr>
      <w:r>
        <w:t>Das gilt jedoch nicht allgemein.</w:t>
      </w:r>
    </w:p>
    <w:p w:rsidR="00231D66" w:rsidRDefault="00231D66" w:rsidP="00231D66">
      <w:pPr>
        <w:pStyle w:val="StandardWeb"/>
      </w:pPr>
      <w:r>
        <w:t>Formal ist weder</w:t>
      </w:r>
    </w:p>
    <w:p w:rsidR="00231D66" w:rsidRDefault="00231D66" w:rsidP="00231D66">
      <w:pPr>
        <w:pStyle w:val="StandardWeb"/>
      </w:pPr>
      <w:r>
        <w:t>[</w:t>
      </w:r>
      <w:r>
        <w:br/>
        <w:t>X_1\sim_{\mathrm{sc}}X_2</w:t>
      </w:r>
      <w:r>
        <w:br/>
        <w:t>\Rightarrow</w:t>
      </w:r>
      <w:r>
        <w:br/>
        <w:t>X_1\sim_\Pi X_2</w:t>
      </w:r>
      <w:r>
        <w:br/>
        <w:t>\tag{3.10957}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X_1\sim_{\mathrm{sc}}X_2\Rightarrow X_1\sim_\Pi X_2</w:t>
      </w:r>
    </w:p>
    <w:p w:rsidR="00231D66" w:rsidRDefault="00231D66" w:rsidP="00231D66">
      <w:pPr>
        <w:pStyle w:val="StandardWeb"/>
      </w:pPr>
      <w:r>
        <w:t>noch die umgekehrte Richtung ohne zusätzliche Bedingungen universell garantiert.</w:t>
      </w:r>
    </w:p>
    <w:p w:rsidR="00231D66" w:rsidRDefault="00E50336" w:rsidP="00231D66">
      <w:r>
        <w:lastRenderedPageBreak/>
        <w:pict>
          <v:rect id="_x0000_i3601" style="width:0;height:1.5pt" o:hralign="center" o:hrstd="t" o:hr="t" fillcolor="#a0a0a0" stroked="f"/>
        </w:pict>
      </w:r>
    </w:p>
    <w:p w:rsidR="00231D66" w:rsidRDefault="00231D66" w:rsidP="00231D66">
      <w:pPr>
        <w:pStyle w:val="berschrift1"/>
      </w:pPr>
      <w:r>
        <w:t>3.3.46.83 Bedingung für Skalierungsinvarianz dimensionsloser Gruppen</w:t>
      </w:r>
    </w:p>
    <w:p w:rsidR="00231D66" w:rsidRDefault="00231D66" w:rsidP="00231D66">
      <w:pPr>
        <w:pStyle w:val="StandardWeb"/>
      </w:pPr>
      <w:r>
        <w:t>Sind sämtliche (\Pi_\alpha) unter der gewählten Skalierungswirkung invariant, gilt</w:t>
      </w:r>
    </w:p>
    <w:p w:rsidR="00231D66" w:rsidRDefault="00231D66" w:rsidP="00231D66">
      <w:pPr>
        <w:pStyle w:val="berschrift1"/>
      </w:pPr>
      <w:r>
        <w:t>[</w:t>
      </w:r>
      <w:r>
        <w:br/>
        <w:t>\Pi_\alpha(S_\lambda X)</w:t>
      </w:r>
    </w:p>
    <w:p w:rsidR="00231D66" w:rsidRDefault="00231D66" w:rsidP="00231D66">
      <w:pPr>
        <w:pStyle w:val="StandardWeb"/>
      </w:pPr>
      <w:r>
        <w:t>\Pi_\alpha(X).</w:t>
      </w:r>
      <w:r>
        <w:br/>
        <w:t>\tag{3.10958}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\Pi_\alpha(S_\lambda X)=\Pi_\alpha(X)</w:t>
      </w:r>
    </w:p>
    <w:p w:rsidR="00231D66" w:rsidRDefault="00231D66" w:rsidP="00231D66">
      <w:pPr>
        <w:pStyle w:val="StandardWeb"/>
      </w:pPr>
      <w:r>
        <w:t>Dann folgt</w:t>
      </w:r>
    </w:p>
    <w:p w:rsidR="00231D66" w:rsidRDefault="00231D66" w:rsidP="00231D66">
      <w:pPr>
        <w:pStyle w:val="StandardWeb"/>
      </w:pPr>
      <w:r>
        <w:t>[</w:t>
      </w:r>
      <w:r>
        <w:br/>
        <w:t>X\sim_{\mathrm{sc}}Y</w:t>
      </w:r>
      <w:r>
        <w:br/>
        <w:t>\Rightarrow</w:t>
      </w:r>
      <w:r>
        <w:br/>
        <w:t>X\sim_\Pi Y.</w:t>
      </w:r>
      <w:r>
        <w:br/>
        <w:t>\tag{3.10959}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X\sim_{\mathrm{sc}}Y\Rightarrow X\sim_\Pi Y</w:t>
      </w:r>
    </w:p>
    <w:p w:rsidR="00231D66" w:rsidRDefault="00E50336" w:rsidP="00231D66">
      <w:r>
        <w:pict>
          <v:rect id="_x0000_i3602" style="width:0;height:1.5pt" o:hralign="center" o:hrstd="t" o:hr="t" fillcolor="#a0a0a0" stroked="f"/>
        </w:pict>
      </w:r>
    </w:p>
    <w:p w:rsidR="00231D66" w:rsidRDefault="00231D66" w:rsidP="00231D66">
      <w:pPr>
        <w:pStyle w:val="berschrift1"/>
      </w:pPr>
      <w:r>
        <w:t>3.3.46.84 Satz 3.3.82 – Skalierungsäquivalenz impliziert Dimensionsäquivalenz bei skalierungsinvarianten (\Pi)-Gruppen</w:t>
      </w:r>
    </w:p>
    <w:p w:rsidR="00231D66" w:rsidRDefault="00231D66" w:rsidP="00231D66">
      <w:pPr>
        <w:pStyle w:val="berschrift3"/>
      </w:pPr>
      <w:r>
        <w:t>Satz 3.3.82</w:t>
      </w:r>
    </w:p>
    <w:p w:rsidR="00231D66" w:rsidRDefault="00231D66" w:rsidP="00231D66">
      <w:pPr>
        <w:pStyle w:val="StandardWeb"/>
      </w:pPr>
      <w:r>
        <w:t>Sind alle Komponenten des dimensionslosen Zustandsvektors skalierungsinvariant, dann gilt</w:t>
      </w:r>
    </w:p>
    <w:p w:rsidR="00231D66" w:rsidRDefault="00231D66" w:rsidP="00231D66">
      <w:pPr>
        <w:pStyle w:val="StandardWeb"/>
      </w:pPr>
      <w:r>
        <w:t>[</w:t>
      </w:r>
      <w:r>
        <w:br/>
        <w:t>\boxed{</w:t>
      </w:r>
      <w:r>
        <w:br/>
        <w:t>X\sim_{\mathrm{sc}}Y</w:t>
      </w:r>
      <w:r>
        <w:br/>
        <w:t>\Rightarrow</w:t>
      </w:r>
      <w:r>
        <w:br/>
        <w:t>X\sim_\Pi Y.</w:t>
      </w:r>
      <w:r>
        <w:br/>
        <w:t>}</w:t>
      </w:r>
      <w:r>
        <w:br/>
      </w:r>
      <w:r>
        <w:lastRenderedPageBreak/>
        <w:t>\tag{3.10960}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\boxed{X\sim_{\mathrm{sc}}Y\Rightarrow X\sim_\Pi Y.}</w:t>
      </w:r>
    </w:p>
    <w:p w:rsidR="00231D66" w:rsidRDefault="00231D66" w:rsidP="00231D66">
      <w:pPr>
        <w:pStyle w:val="berschrift3"/>
      </w:pPr>
      <w:r>
        <w:t>Beweis</w:t>
      </w:r>
    </w:p>
    <w:p w:rsidR="00231D66" w:rsidRDefault="00231D66" w:rsidP="00231D66">
      <w:pPr>
        <w:pStyle w:val="StandardWeb"/>
      </w:pPr>
      <w:r>
        <w:t>Aus (X\sim_{\mathrm{sc}}Y) folgt ein (\lambda) mit</w:t>
      </w:r>
    </w:p>
    <w:p w:rsidR="00231D66" w:rsidRDefault="00231D66" w:rsidP="00231D66">
      <w:pPr>
        <w:pStyle w:val="StandardWeb"/>
      </w:pPr>
      <w:r>
        <w:t>[</w:t>
      </w:r>
      <w:r>
        <w:br/>
        <w:t>Y=S_\lambda(X).</w:t>
      </w:r>
      <w:r>
        <w:br/>
        <w:t>\tag{3.10961}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Y=S_\lambda(X)</w:t>
      </w:r>
    </w:p>
    <w:p w:rsidR="00231D66" w:rsidRDefault="00231D66" w:rsidP="00231D66">
      <w:pPr>
        <w:pStyle w:val="StandardWeb"/>
      </w:pPr>
      <w:r>
        <w:t>Für jede Komponente gilt wegen Skalierungsinvarianz</w:t>
      </w:r>
    </w:p>
    <w:p w:rsidR="00231D66" w:rsidRDefault="00231D66" w:rsidP="00231D66">
      <w:pPr>
        <w:pStyle w:val="berschrift1"/>
      </w:pPr>
      <w:r>
        <w:t>[</w:t>
      </w:r>
      <w:r>
        <w:br/>
        <w:t>\Pi_\alpha(Y)</w:t>
      </w:r>
    </w:p>
    <w:p w:rsidR="00231D66" w:rsidRDefault="00231D66" w:rsidP="00231D66">
      <w:pPr>
        <w:pStyle w:val="berschrift1"/>
      </w:pPr>
      <w:r>
        <w:t>\Pi_\alpha(S_\lambda X)</w:t>
      </w:r>
    </w:p>
    <w:p w:rsidR="00231D66" w:rsidRDefault="00231D66" w:rsidP="00231D66">
      <w:pPr>
        <w:pStyle w:val="StandardWeb"/>
      </w:pPr>
      <w:r>
        <w:t>\Pi_\alpha(X).</w:t>
      </w:r>
      <w:r>
        <w:br/>
        <w:t>\tag{3.10962}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\Pi_\alpha(Y)=\Pi_\alpha(S_\lambda X)=\Pi_\alpha(X)</w:t>
      </w:r>
    </w:p>
    <w:p w:rsidR="00231D66" w:rsidRDefault="00231D66" w:rsidP="00231D66">
      <w:pPr>
        <w:pStyle w:val="StandardWeb"/>
      </w:pPr>
      <w:r>
        <w:t>Damit stimmen die vollständigen (\Pi)-Vektoren überein. (\square)</w:t>
      </w:r>
    </w:p>
    <w:p w:rsidR="00231D66" w:rsidRDefault="00E50336" w:rsidP="00231D66">
      <w:r>
        <w:pict>
          <v:rect id="_x0000_i3603" style="width:0;height:1.5pt" o:hralign="center" o:hrstd="t" o:hr="t" fillcolor="#a0a0a0" stroked="f"/>
        </w:pict>
      </w:r>
    </w:p>
    <w:p w:rsidR="00231D66" w:rsidRDefault="00231D66" w:rsidP="00231D66">
      <w:pPr>
        <w:pStyle w:val="berschrift1"/>
      </w:pPr>
      <w:r>
        <w:t>3.3.46.85 Die Umkehrung benötigt Vollständigkeit</w:t>
      </w:r>
    </w:p>
    <w:p w:rsidR="00231D66" w:rsidRDefault="00231D66" w:rsidP="00231D66">
      <w:pPr>
        <w:pStyle w:val="StandardWeb"/>
      </w:pPr>
      <w:r>
        <w:t>Aus</w:t>
      </w:r>
    </w:p>
    <w:p w:rsidR="00231D66" w:rsidRDefault="00231D66" w:rsidP="00231D66">
      <w:pPr>
        <w:pStyle w:val="berschrift1"/>
      </w:pPr>
      <w:r>
        <w:t>[</w:t>
      </w:r>
      <w:r>
        <w:br/>
        <w:t>\boldsymbol\Pi_F(X)</w:t>
      </w:r>
    </w:p>
    <w:p w:rsidR="00231D66" w:rsidRDefault="00231D66" w:rsidP="00231D66">
      <w:pPr>
        <w:pStyle w:val="StandardWeb"/>
      </w:pPr>
      <w:r>
        <w:lastRenderedPageBreak/>
        <w:t>\boldsymbol\Pi_F(Y)</w:t>
      </w:r>
      <w:r>
        <w:br/>
        <w:t>\tag{3.10963}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\boldsymbol\Pi_F(X)=\boldsymbol\Pi_F(Y)</w:t>
      </w:r>
    </w:p>
    <w:p w:rsidR="00231D66" w:rsidRDefault="00231D66" w:rsidP="00231D66">
      <w:pPr>
        <w:pStyle w:val="StandardWeb"/>
      </w:pPr>
      <w:r>
        <w:t>folgt dagegen nur dann eine Skalierungsäquivalenz, wenn die gewählten dimensionslosen Gruppen die Skalierungsorbits vollständig trennen.</w:t>
      </w:r>
    </w:p>
    <w:p w:rsidR="00231D66" w:rsidRDefault="00E50336" w:rsidP="00231D66">
      <w:r>
        <w:pict>
          <v:rect id="_x0000_i3604" style="width:0;height:1.5pt" o:hralign="center" o:hrstd="t" o:hr="t" fillcolor="#a0a0a0" stroked="f"/>
        </w:pict>
      </w:r>
    </w:p>
    <w:p w:rsidR="00231D66" w:rsidRDefault="00231D66" w:rsidP="00231D66">
      <w:pPr>
        <w:pStyle w:val="berschrift1"/>
      </w:pPr>
      <w:r>
        <w:t>3.3.46.86 Definition 3.3.181 – Skalierungsorbit-trennender (\Pi)-Vektor</w:t>
      </w:r>
    </w:p>
    <w:p w:rsidR="00231D66" w:rsidRDefault="00231D66" w:rsidP="00231D66">
      <w:pPr>
        <w:pStyle w:val="berschrift3"/>
      </w:pPr>
      <w:r>
        <w:t>Definition 3.3.181</w:t>
      </w:r>
    </w:p>
    <w:p w:rsidR="00231D66" w:rsidRDefault="00231D66" w:rsidP="00231D66">
      <w:pPr>
        <w:pStyle w:val="StandardWeb"/>
      </w:pPr>
      <w:r>
        <w:t xml:space="preserve">Ein dimensionsloser Zustandsvektor (\boldsymbol\Pi_F) heißt </w:t>
      </w:r>
      <w:r>
        <w:rPr>
          <w:rStyle w:val="Fett"/>
        </w:rPr>
        <w:t>skalierungsorbit-trennend</w:t>
      </w:r>
      <w:r>
        <w:t>, wenn</w:t>
      </w:r>
    </w:p>
    <w:p w:rsidR="00231D66" w:rsidRDefault="00231D66" w:rsidP="00231D66">
      <w:pPr>
        <w:pStyle w:val="berschrift1"/>
      </w:pPr>
      <w:r>
        <w:t>[</w:t>
      </w:r>
      <w:r>
        <w:br/>
        <w:t>\boxed{</w:t>
      </w:r>
      <w:r>
        <w:br/>
        <w:t>\boldsymbol\Pi_F(X)</w:t>
      </w:r>
    </w:p>
    <w:p w:rsidR="00231D66" w:rsidRDefault="00231D66" w:rsidP="00231D66">
      <w:pPr>
        <w:pStyle w:val="StandardWeb"/>
      </w:pPr>
      <w:r>
        <w:t>\boldsymbol\Pi_F(Y)</w:t>
      </w:r>
      <w:r>
        <w:br/>
        <w:t>\Rightarrow</w:t>
      </w:r>
      <w:r>
        <w:br/>
        <w:t>X\sim_{\mathrm{sc}}Y.</w:t>
      </w:r>
      <w:r>
        <w:br/>
        <w:t>}</w:t>
      </w:r>
      <w:r>
        <w:br/>
        <w:t>\tag{3.10964}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\boxed{\boldsymbol\Pi_F(X)=\boldsymbol\Pi_F(Y)\Rightarrow X\sim_{\mathrm{sc}}Y.}</w:t>
      </w:r>
    </w:p>
    <w:p w:rsidR="00231D66" w:rsidRDefault="00231D66" w:rsidP="00231D66">
      <w:pPr>
        <w:pStyle w:val="StandardWeb"/>
      </w:pPr>
      <w:r>
        <w:t>Diese Eigenschaft ist nicht automatisch erfüllt.</w:t>
      </w:r>
    </w:p>
    <w:p w:rsidR="00231D66" w:rsidRDefault="00E50336" w:rsidP="00231D66">
      <w:r>
        <w:pict>
          <v:rect id="_x0000_i3605" style="width:0;height:1.5pt" o:hralign="center" o:hrstd="t" o:hr="t" fillcolor="#a0a0a0" stroked="f"/>
        </w:pict>
      </w:r>
    </w:p>
    <w:p w:rsidR="00231D66" w:rsidRDefault="00231D66" w:rsidP="00231D66">
      <w:pPr>
        <w:pStyle w:val="berschrift1"/>
      </w:pPr>
      <w:r>
        <w:t>3.3.46.87 Vollständige Übereinstimmung beider Quotienten</w:t>
      </w:r>
    </w:p>
    <w:p w:rsidR="00231D66" w:rsidRDefault="00231D66" w:rsidP="00231D66">
      <w:pPr>
        <w:pStyle w:val="StandardWeb"/>
      </w:pPr>
      <w:r>
        <w:t>Sind die (\Pi)-Gruppen sowohl skalierungsinvariant als auch skalierungsorbit-trennend, gilt</w:t>
      </w:r>
    </w:p>
    <w:p w:rsidR="00231D66" w:rsidRDefault="00231D66" w:rsidP="00231D66">
      <w:pPr>
        <w:pStyle w:val="StandardWeb"/>
      </w:pPr>
      <w:r>
        <w:lastRenderedPageBreak/>
        <w:t>[</w:t>
      </w:r>
      <w:r>
        <w:br/>
        <w:t>X\sim_{\mathrm{sc}}Y</w:t>
      </w:r>
      <w:r>
        <w:br/>
        <w:t>\Longleftrightarrow</w:t>
      </w:r>
      <w:r>
        <w:br/>
        <w:t>X\sim_\Pi Y.</w:t>
      </w:r>
      <w:r>
        <w:br/>
        <w:t>\tag{3.10965}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X\sim_{\mathrm{sc}}Y\Longleftrightarrow X\sim_\Pi Y</w:t>
      </w:r>
    </w:p>
    <w:p w:rsidR="00231D66" w:rsidRDefault="00E50336" w:rsidP="00231D66">
      <w:r>
        <w:pict>
          <v:rect id="_x0000_i3606" style="width:0;height:1.5pt" o:hralign="center" o:hrstd="t" o:hr="t" fillcolor="#a0a0a0" stroked="f"/>
        </w:pict>
      </w:r>
    </w:p>
    <w:p w:rsidR="00231D66" w:rsidRDefault="00231D66" w:rsidP="00231D66">
      <w:pPr>
        <w:pStyle w:val="berschrift1"/>
      </w:pPr>
      <w:r>
        <w:t>3.3.46.88 Satz 3.3.83 – Äquivalenz von Skalierungs- und Dimensionsquotient unter Vollständigkeit</w:t>
      </w:r>
    </w:p>
    <w:p w:rsidR="00231D66" w:rsidRDefault="00231D66" w:rsidP="00231D66">
      <w:pPr>
        <w:pStyle w:val="berschrift3"/>
      </w:pPr>
      <w:r>
        <w:t>Satz 3.3.83</w:t>
      </w:r>
    </w:p>
    <w:p w:rsidR="00231D66" w:rsidRDefault="00231D66" w:rsidP="00231D66">
      <w:pPr>
        <w:pStyle w:val="StandardWeb"/>
      </w:pPr>
      <w:r>
        <w:t>Sind die Komponenten von (\boldsymbol\Pi_F) skalierungsinvariant und ist (\boldsymbol\Pi_F) skalierungsorbit-trennend, dann stimmen die Äquivalenzrelationen überein:</w:t>
      </w:r>
    </w:p>
    <w:p w:rsidR="00231D66" w:rsidRDefault="00231D66" w:rsidP="00231D66">
      <w:pPr>
        <w:pStyle w:val="berschrift1"/>
      </w:pPr>
      <w:r>
        <w:t>[</w:t>
      </w:r>
      <w:r>
        <w:br/>
        <w:t>\boxed{</w:t>
      </w:r>
      <w:r>
        <w:br/>
        <w:t>\sim_{\mathrm{sc}}</w:t>
      </w:r>
    </w:p>
    <w:p w:rsidR="00231D66" w:rsidRDefault="00231D66" w:rsidP="00231D66">
      <w:pPr>
        <w:pStyle w:val="StandardWeb"/>
      </w:pPr>
      <w:r>
        <w:t>\sim_\Pi.</w:t>
      </w:r>
      <w:r>
        <w:br/>
        <w:t>}</w:t>
      </w:r>
      <w:r>
        <w:br/>
        <w:t>\tag{3.10966}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\boxed{\sim_{\mathrm{sc}}=\sim_\Pi.}</w:t>
      </w:r>
    </w:p>
    <w:p w:rsidR="00231D66" w:rsidRDefault="00231D66" w:rsidP="00231D66">
      <w:pPr>
        <w:pStyle w:val="StandardWeb"/>
      </w:pPr>
      <w:r>
        <w:t>Daraus folgt eine kanonische Identifikation der Quotienten:</w:t>
      </w:r>
    </w:p>
    <w:p w:rsidR="00231D66" w:rsidRDefault="00231D66" w:rsidP="00231D66">
      <w:pPr>
        <w:pStyle w:val="StandardWeb"/>
      </w:pPr>
      <w:r>
        <w:t>[</w:t>
      </w:r>
      <w:r>
        <w:br/>
        <w:t>\boxed{</w:t>
      </w:r>
      <w:r>
        <w:br/>
        <w:t>\mathcal Q_{\mathrm{sc}}</w:t>
      </w:r>
      <w:r>
        <w:br/>
        <w:t>\cong</w:t>
      </w:r>
      <w:r>
        <w:br/>
        <w:t>\mathcal Q_\Pi.</w:t>
      </w:r>
      <w:r>
        <w:br/>
        <w:t>}</w:t>
      </w:r>
      <w:r>
        <w:br/>
        <w:t>\tag{3.10967}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\boxed{\mathcal Q_{\mathrm{sc}}\cong\mathcal Q_\Pi.}</w:t>
      </w:r>
    </w:p>
    <w:p w:rsidR="00231D66" w:rsidRDefault="00E50336" w:rsidP="00231D66">
      <w:r>
        <w:lastRenderedPageBreak/>
        <w:pict>
          <v:rect id="_x0000_i3607" style="width:0;height:1.5pt" o:hralign="center" o:hrstd="t" o:hr="t" fillcolor="#a0a0a0" stroked="f"/>
        </w:pict>
      </w:r>
    </w:p>
    <w:p w:rsidR="00231D66" w:rsidRDefault="00231D66" w:rsidP="00231D66">
      <w:pPr>
        <w:pStyle w:val="berschrift1"/>
      </w:pPr>
      <w:r>
        <w:t>3.3.46.89 Keine universelle Vollständigkeit dimensionsloser Gruppen</w:t>
      </w:r>
    </w:p>
    <w:p w:rsidR="00231D66" w:rsidRDefault="00231D66" w:rsidP="00231D66">
      <w:pPr>
        <w:pStyle w:val="StandardWeb"/>
      </w:pPr>
      <w:r>
        <w:t>Die Voraussetzung der Orbittrennung ist stark.</w:t>
      </w:r>
    </w:p>
    <w:p w:rsidR="00231D66" w:rsidRDefault="00231D66" w:rsidP="00231D66">
      <w:pPr>
        <w:pStyle w:val="StandardWeb"/>
      </w:pPr>
      <w:r>
        <w:t>Daher gilt nicht allgemein</w:t>
      </w:r>
    </w:p>
    <w:p w:rsidR="00231D66" w:rsidRDefault="00231D66" w:rsidP="00231D66">
      <w:pPr>
        <w:pStyle w:val="StandardWeb"/>
      </w:pPr>
      <w:r>
        <w:t>[</w:t>
      </w:r>
      <w:r>
        <w:br/>
        <w:t>\boxed{</w:t>
      </w:r>
      <w:r>
        <w:br/>
        <w:t>\boldsymbol\Pi_F</w:t>
      </w:r>
      <w:r>
        <w:br/>
        <w:t>\text{ trennt alle Skalierungsorbits}.</w:t>
      </w:r>
      <w:r>
        <w:br/>
        <w:t>}</w:t>
      </w:r>
      <w:r>
        <w:br/>
        <w:t>\tag{3.10968}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\boxed{\boldsymbol\Pi_F\text{ trennt alle Skalierungsorbits}.}</w:t>
      </w:r>
    </w:p>
    <w:p w:rsidR="00231D66" w:rsidRDefault="00231D66" w:rsidP="00231D66">
      <w:pPr>
        <w:pStyle w:val="StandardWeb"/>
      </w:pPr>
      <w:r>
        <w:t>Die dargestellte Aussage ist keine universelle FRZK-Eigenschaft.</w:t>
      </w:r>
    </w:p>
    <w:p w:rsidR="00231D66" w:rsidRDefault="00E50336" w:rsidP="00231D66">
      <w:r>
        <w:pict>
          <v:rect id="_x0000_i3608" style="width:0;height:1.5pt" o:hralign="center" o:hrstd="t" o:hr="t" fillcolor="#a0a0a0" stroked="f"/>
        </w:pict>
      </w:r>
    </w:p>
    <w:p w:rsidR="00231D66" w:rsidRDefault="00231D66" w:rsidP="00231D66">
      <w:pPr>
        <w:pStyle w:val="berschrift1"/>
      </w:pPr>
      <w:r>
        <w:t>3.3.46.90 Primäraxiomkandidat der Skalierbarkeit</w:t>
      </w:r>
    </w:p>
    <w:p w:rsidR="00231D66" w:rsidRDefault="00231D66" w:rsidP="00231D66">
      <w:pPr>
        <w:pStyle w:val="StandardWeb"/>
      </w:pPr>
      <w:r>
        <w:t>Nun kann die eigentliche axiomatische Frage formuliert werden.</w:t>
      </w:r>
    </w:p>
    <w:p w:rsidR="00231D66" w:rsidRDefault="00231D66" w:rsidP="00231D66">
      <w:pPr>
        <w:pStyle w:val="StandardWeb"/>
      </w:pPr>
      <w:r>
        <w:t>Ein möglicher Kandidat wäre</w:t>
      </w:r>
    </w:p>
    <w:p w:rsidR="00231D66" w:rsidRDefault="00231D66" w:rsidP="00231D66">
      <w:pPr>
        <w:pStyle w:val="StandardWeb"/>
      </w:pPr>
      <w:r>
        <w:t>[</w:t>
      </w:r>
      <w:r>
        <w:br/>
        <w:t>A_{\mathrm{sc}}:</w:t>
      </w:r>
      <w:r>
        <w:br/>
        <w:t>\forall X\in\mathcal X_F</w:t>
      </w:r>
      <w:r>
        <w:br/>
        <w:t>;\forall\lambda\in\Lambda:</w:t>
      </w:r>
      <w:r>
        <w:br/>
        <w:t>S_\lambda(X)</w:t>
      </w:r>
      <w:r>
        <w:br/>
        <w:t>\text{ existiert}.</w:t>
      </w:r>
      <w:r>
        <w:br/>
        <w:t>\tag{3.10969}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A_{\mathrm{sc}}:\forall X\in\mathcal X_F\;\forall\lambda\in\Lambda:S_\lambda(X)\text{ existiert}</w:t>
      </w:r>
    </w:p>
    <w:p w:rsidR="00231D66" w:rsidRDefault="00231D66" w:rsidP="00231D66">
      <w:pPr>
        <w:pStyle w:val="StandardWeb"/>
      </w:pPr>
      <w:r>
        <w:t>Dies würde jedem FRZK-Modell eine universelle Skalierungsstruktur auferlegen.</w:t>
      </w:r>
    </w:p>
    <w:p w:rsidR="00231D66" w:rsidRDefault="00E50336" w:rsidP="00231D66">
      <w:r>
        <w:pict>
          <v:rect id="_x0000_i3609" style="width:0;height:1.5pt" o:hralign="center" o:hrstd="t" o:hr="t" fillcolor="#a0a0a0" stroked="f"/>
        </w:pict>
      </w:r>
    </w:p>
    <w:p w:rsidR="00231D66" w:rsidRDefault="00231D66" w:rsidP="00231D66">
      <w:pPr>
        <w:pStyle w:val="berschrift1"/>
      </w:pPr>
      <w:r>
        <w:t>3.3.46.91 Minimalitätstest des Skalierungsaxioms</w:t>
      </w:r>
    </w:p>
    <w:p w:rsidR="00231D66" w:rsidRDefault="00231D66" w:rsidP="00231D66">
      <w:pPr>
        <w:pStyle w:val="StandardWeb"/>
      </w:pPr>
      <w:r>
        <w:lastRenderedPageBreak/>
        <w:t>Ich prüfe, ob das FRZK ohne (A_{\mathrm{sc}}) weiterhin logisch formulierbar bleibt.</w:t>
      </w:r>
    </w:p>
    <w:p w:rsidR="00231D66" w:rsidRDefault="00231D66" w:rsidP="00231D66">
      <w:pPr>
        <w:pStyle w:val="StandardWeb"/>
      </w:pPr>
      <w:r>
        <w:t>Die bereits eingeführten Grundobjekte</w:t>
      </w:r>
    </w:p>
    <w:p w:rsidR="00231D66" w:rsidRDefault="00231D66" w:rsidP="00231D66">
      <w:pPr>
        <w:pStyle w:val="StandardWeb"/>
      </w:pPr>
      <w:r>
        <w:t>[</w:t>
      </w:r>
      <w:r>
        <w:br/>
        <w:t>\Omega_F,</w:t>
      </w:r>
      <w:r>
        <w:br/>
        <w:t>\quad</w:t>
      </w:r>
      <w:r>
        <w:br/>
        <w:t>\mathcal T_F,</w:t>
      </w:r>
      <w:r>
        <w:br/>
        <w:t>\quad</w:t>
      </w:r>
      <w:r>
        <w:br/>
        <w:t>C_F,</w:t>
      </w:r>
      <w:r>
        <w:br/>
        <w:t>\quad</w:t>
      </w:r>
      <w:r>
        <w:br/>
        <w:t>\mathcal S_F</w:t>
      </w:r>
      <w:r>
        <w:br/>
        <w:t>\tag{3.10970}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\Omega_F,\quad\mathcal T_F,\quad C_F,\quad\mathcal S_F</w:t>
      </w:r>
    </w:p>
    <w:p w:rsidR="00231D66" w:rsidRDefault="00231D66" w:rsidP="00231D66">
      <w:pPr>
        <w:pStyle w:val="StandardWeb"/>
      </w:pPr>
      <w:r>
        <w:t>benötigen keine universelle Skalarmultiplikation.</w:t>
      </w:r>
    </w:p>
    <w:p w:rsidR="00231D66" w:rsidRDefault="00231D66" w:rsidP="00231D66">
      <w:pPr>
        <w:pStyle w:val="StandardWeb"/>
      </w:pPr>
      <w:r>
        <w:t>Damit kann ein zulässiges FRZK-Modell existieren, in dem</w:t>
      </w:r>
    </w:p>
    <w:p w:rsidR="00231D66" w:rsidRDefault="00231D66" w:rsidP="00231D66">
      <w:pPr>
        <w:pStyle w:val="StandardWeb"/>
      </w:pPr>
      <w:r>
        <w:t>[</w:t>
      </w:r>
      <w:r>
        <w:br/>
        <w:t>\lambda z</w:t>
      </w:r>
      <w:r>
        <w:br/>
        <w:t>\tag{3.10971}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\lambda z</w:t>
      </w:r>
    </w:p>
    <w:p w:rsidR="00231D66" w:rsidRDefault="00231D66" w:rsidP="00231D66">
      <w:pPr>
        <w:pStyle w:val="StandardWeb"/>
      </w:pPr>
      <w:r>
        <w:t>für Zustände überhaupt nicht definiert ist.</w:t>
      </w:r>
    </w:p>
    <w:p w:rsidR="00231D66" w:rsidRDefault="00E50336" w:rsidP="00231D66">
      <w:r>
        <w:pict>
          <v:rect id="_x0000_i3610" style="width:0;height:1.5pt" o:hralign="center" o:hrstd="t" o:hr="t" fillcolor="#a0a0a0" stroked="f"/>
        </w:pict>
      </w:r>
    </w:p>
    <w:p w:rsidR="00231D66" w:rsidRDefault="00231D66" w:rsidP="00231D66">
      <w:pPr>
        <w:pStyle w:val="berschrift1"/>
      </w:pPr>
      <w:r>
        <w:t>3.3.46.92 Gegenmodell ohne Skalierungsstruktur</w:t>
      </w:r>
    </w:p>
    <w:p w:rsidR="00231D66" w:rsidRDefault="00231D66" w:rsidP="00231D66">
      <w:pPr>
        <w:pStyle w:val="StandardWeb"/>
      </w:pPr>
      <w:r>
        <w:t>Sei etwa ein endlicher Zustandsraum</w:t>
      </w:r>
    </w:p>
    <w:p w:rsidR="00231D66" w:rsidRDefault="00231D66" w:rsidP="00231D66">
      <w:pPr>
        <w:pStyle w:val="berschrift1"/>
      </w:pPr>
      <w:r>
        <w:t>[</w:t>
      </w:r>
      <w:r>
        <w:br/>
        <w:t>\Omega_F</w:t>
      </w:r>
    </w:p>
    <w:p w:rsidR="00231D66" w:rsidRDefault="00231D66" w:rsidP="00231D66">
      <w:pPr>
        <w:pStyle w:val="StandardWeb"/>
      </w:pPr>
      <w:r>
        <w:t>{z_1,z_2,z_3}.</w:t>
      </w:r>
      <w:r>
        <w:br/>
        <w:t>\tag{3.10972}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\Omega_F=\{z_1,z_2,z_3\}</w:t>
      </w:r>
    </w:p>
    <w:p w:rsidR="00231D66" w:rsidRDefault="00231D66" w:rsidP="00231D66">
      <w:pPr>
        <w:pStyle w:val="StandardWeb"/>
      </w:pPr>
      <w:r>
        <w:lastRenderedPageBreak/>
        <w:t>Darauf kann eine Übergangsrelation</w:t>
      </w:r>
    </w:p>
    <w:p w:rsidR="00231D66" w:rsidRDefault="00231D66" w:rsidP="00231D66">
      <w:pPr>
        <w:pStyle w:val="StandardWeb"/>
      </w:pPr>
      <w:r>
        <w:t>[</w:t>
      </w:r>
      <w:r>
        <w:br/>
        <w:t>\mathcal T_F</w:t>
      </w:r>
      <w:r>
        <w:br/>
        <w:t>\subseteq</w:t>
      </w:r>
      <w:r>
        <w:br/>
        <w:t>\Omega_F\times\Omega_F</w:t>
      </w:r>
      <w:r>
        <w:br/>
        <w:t>\tag{3.10973}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\mathcal T_F\subseteq\Omega_F\times\Omega_F</w:t>
      </w:r>
    </w:p>
    <w:p w:rsidR="00231D66" w:rsidRDefault="00231D66" w:rsidP="00231D66">
      <w:pPr>
        <w:pStyle w:val="StandardWeb"/>
      </w:pPr>
      <w:r>
        <w:t>definiert werden, ohne irgendeine Bedeutung für</w:t>
      </w:r>
    </w:p>
    <w:p w:rsidR="00231D66" w:rsidRDefault="00231D66" w:rsidP="00231D66">
      <w:pPr>
        <w:pStyle w:val="StandardWeb"/>
      </w:pPr>
      <w:r>
        <w:t>[</w:t>
      </w:r>
      <w:r>
        <w:br/>
        <w:t>\lambda z_i.</w:t>
      </w:r>
      <w:r>
        <w:br/>
        <w:t>\tag{3.10974}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\lambda z_i</w:t>
      </w:r>
    </w:p>
    <w:p w:rsidR="00231D66" w:rsidRDefault="00231D66" w:rsidP="00231D66">
      <w:pPr>
        <w:pStyle w:val="StandardWeb"/>
      </w:pPr>
      <w:r>
        <w:t>Das Modell bleibt dennoch als relationale FRZK-Struktur wohldefiniert.</w:t>
      </w:r>
    </w:p>
    <w:p w:rsidR="00231D66" w:rsidRDefault="00E50336" w:rsidP="00231D66">
      <w:r>
        <w:pict>
          <v:rect id="_x0000_i3611" style="width:0;height:1.5pt" o:hralign="center" o:hrstd="t" o:hr="t" fillcolor="#a0a0a0" stroked="f"/>
        </w:pict>
      </w:r>
    </w:p>
    <w:p w:rsidR="00231D66" w:rsidRDefault="00231D66" w:rsidP="00231D66">
      <w:pPr>
        <w:pStyle w:val="berschrift1"/>
      </w:pPr>
      <w:r>
        <w:t>3.3.46.93 Ergebnis des Notwendigkeitstests</w:t>
      </w:r>
    </w:p>
    <w:p w:rsidR="00231D66" w:rsidRDefault="00231D66" w:rsidP="00231D66">
      <w:pPr>
        <w:pStyle w:val="StandardWeb"/>
      </w:pPr>
      <w:r>
        <w:t>Damit gilt</w:t>
      </w:r>
    </w:p>
    <w:p w:rsidR="00231D66" w:rsidRDefault="00231D66" w:rsidP="00231D66">
      <w:pPr>
        <w:pStyle w:val="berschrift1"/>
      </w:pPr>
      <w:r>
        <w:t>[</w:t>
      </w:r>
      <w:r>
        <w:br/>
        <w:t>\boxed{</w:t>
      </w:r>
      <w:r>
        <w:br/>
        <w:t>U_{\mathrm{Ax}}</w:t>
      </w:r>
      <w:r>
        <w:br/>
        <w:t>\left(</w:t>
      </w:r>
      <w:r>
        <w:br/>
        <w:t>A_{\mathrm{sc}}</w:t>
      </w:r>
      <w:r>
        <w:br/>
        <w:t>\right)</w:t>
      </w:r>
    </w:p>
    <w:p w:rsidR="00231D66" w:rsidRDefault="00231D66" w:rsidP="00152216">
      <w:pPr>
        <w:numPr>
          <w:ilvl w:val="0"/>
          <w:numId w:val="468"/>
        </w:numPr>
        <w:spacing w:before="100" w:beforeAutospacing="1" w:after="100" w:afterAutospacing="1"/>
      </w:pPr>
    </w:p>
    <w:p w:rsidR="00231D66" w:rsidRDefault="00231D66" w:rsidP="00231D66">
      <w:pPr>
        <w:pStyle w:val="StandardWeb"/>
      </w:pPr>
      <w:r>
        <w:t>}</w:t>
      </w:r>
      <w:r>
        <w:br/>
        <w:t>\tag{3.10975}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lastRenderedPageBreak/>
        <w:t>\boxed{U_{\mathrm{Ax}}\left(A_{\mathrm{sc}}\right)=0.}</w:t>
      </w:r>
    </w:p>
    <w:p w:rsidR="00231D66" w:rsidRDefault="00231D66" w:rsidP="00231D66">
      <w:pPr>
        <w:pStyle w:val="StandardWeb"/>
      </w:pPr>
      <w:r>
        <w:t>Eine universelle Skalierungsstruktur ist für die Existenz eines FRZK-Modells nicht notwendig.</w:t>
      </w:r>
    </w:p>
    <w:p w:rsidR="00231D66" w:rsidRDefault="00E50336" w:rsidP="00231D66">
      <w:r>
        <w:pict>
          <v:rect id="_x0000_i3612" style="width:0;height:1.5pt" o:hralign="center" o:hrstd="t" o:hr="t" fillcolor="#a0a0a0" stroked="f"/>
        </w:pict>
      </w:r>
    </w:p>
    <w:p w:rsidR="00231D66" w:rsidRDefault="00231D66" w:rsidP="00231D66">
      <w:pPr>
        <w:pStyle w:val="berschrift1"/>
      </w:pPr>
      <w:r>
        <w:t>3.3.46.94 Primäraxiomkandidat der Dimensionshomogenität</w:t>
      </w:r>
    </w:p>
    <w:p w:rsidR="00231D66" w:rsidRDefault="00231D66" w:rsidP="00231D66">
      <w:pPr>
        <w:pStyle w:val="StandardWeb"/>
      </w:pPr>
      <w:r>
        <w:t>Ein zweiter möglicher Kandidat wäre</w:t>
      </w:r>
    </w:p>
    <w:p w:rsidR="00231D66" w:rsidRDefault="00231D66" w:rsidP="00231D66">
      <w:pPr>
        <w:pStyle w:val="StandardWeb"/>
      </w:pPr>
      <w:r>
        <w:t>[</w:t>
      </w:r>
      <w:r>
        <w:br/>
        <w:t>A_{\mathrm{dim}}:</w:t>
      </w:r>
      <w:r>
        <w:br/>
        <w:t>\text{jede zulässige FRZK-Gleichung ist dimensionshomogen}.</w:t>
      </w:r>
      <w:r>
        <w:br/>
        <w:t>\tag{3.10976}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A_{\mathrm{dim}}:\text{jede zulässige FRZK-Gleichung ist dimensionshomogen}</w:t>
      </w:r>
    </w:p>
    <w:p w:rsidR="00231D66" w:rsidRDefault="00231D66" w:rsidP="00231D66">
      <w:pPr>
        <w:pStyle w:val="StandardWeb"/>
      </w:pPr>
      <w:r>
        <w:t>Auch dieser Kandidat setzt jedoch voraus, dass überhaupt eine physikalische Dimensionsstruktur definiert wurde.</w:t>
      </w:r>
    </w:p>
    <w:p w:rsidR="00231D66" w:rsidRDefault="00E50336" w:rsidP="00231D66">
      <w:r>
        <w:pict>
          <v:rect id="_x0000_i3613" style="width:0;height:1.5pt" o:hralign="center" o:hrstd="t" o:hr="t" fillcolor="#a0a0a0" stroked="f"/>
        </w:pict>
      </w:r>
    </w:p>
    <w:p w:rsidR="00231D66" w:rsidRDefault="00231D66" w:rsidP="00231D66">
      <w:pPr>
        <w:pStyle w:val="berschrift1"/>
      </w:pPr>
      <w:r>
        <w:t>3.3.46.95 Gegenmodell ohne physikalische Dimensionszuordnung</w:t>
      </w:r>
    </w:p>
    <w:p w:rsidR="00231D66" w:rsidRDefault="00231D66" w:rsidP="00231D66">
      <w:pPr>
        <w:pStyle w:val="StandardWeb"/>
      </w:pPr>
      <w:r>
        <w:t>Ein rein relationales Modell kann mit dimensionslosen symbolischen Zuständen arbeiten.</w:t>
      </w:r>
    </w:p>
    <w:p w:rsidR="00231D66" w:rsidRDefault="00231D66" w:rsidP="00231D66">
      <w:pPr>
        <w:pStyle w:val="StandardWeb"/>
      </w:pPr>
      <w:r>
        <w:t>Dann existiert möglicherweise keine Abbildung</w:t>
      </w:r>
    </w:p>
    <w:p w:rsidR="00231D66" w:rsidRDefault="00231D66" w:rsidP="00231D66">
      <w:pPr>
        <w:pStyle w:val="StandardWeb"/>
      </w:pPr>
      <w:r>
        <w:t>[</w:t>
      </w:r>
      <w:r>
        <w:br/>
        <w:t>\operatorname{Dim}.</w:t>
      </w:r>
      <w:r>
        <w:br/>
        <w:t>\tag{3.10977}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\operatorname{Dim}</w:t>
      </w:r>
    </w:p>
    <w:p w:rsidR="00231D66" w:rsidRDefault="00231D66" w:rsidP="00231D66">
      <w:pPr>
        <w:pStyle w:val="StandardWeb"/>
      </w:pPr>
      <w:r>
        <w:t>Das Modell ist dennoch mathematisch wohldefiniert.</w:t>
      </w:r>
    </w:p>
    <w:p w:rsidR="00231D66" w:rsidRDefault="00231D66" w:rsidP="00231D66">
      <w:pPr>
        <w:pStyle w:val="StandardWeb"/>
      </w:pPr>
      <w:r>
        <w:t>Daher ist auch eine universelle Dimensionshomogenitätsforderung nicht logisch unverzichtbar.</w:t>
      </w:r>
    </w:p>
    <w:p w:rsidR="00231D66" w:rsidRDefault="00E50336" w:rsidP="00231D66">
      <w:r>
        <w:pict>
          <v:rect id="_x0000_i3614" style="width:0;height:1.5pt" o:hralign="center" o:hrstd="t" o:hr="t" fillcolor="#a0a0a0" stroked="f"/>
        </w:pict>
      </w:r>
    </w:p>
    <w:p w:rsidR="00231D66" w:rsidRDefault="00231D66" w:rsidP="00231D66">
      <w:pPr>
        <w:pStyle w:val="berschrift1"/>
      </w:pPr>
      <w:r>
        <w:lastRenderedPageBreak/>
        <w:t>3.3.46.96 Ergebnis der Dimensionsaxiomprüfung</w:t>
      </w:r>
    </w:p>
    <w:p w:rsidR="00231D66" w:rsidRDefault="00231D66" w:rsidP="00231D66">
      <w:pPr>
        <w:pStyle w:val="StandardWeb"/>
      </w:pPr>
      <w:r>
        <w:t>Es folgt</w:t>
      </w:r>
    </w:p>
    <w:p w:rsidR="00231D66" w:rsidRDefault="00231D66" w:rsidP="00231D66">
      <w:pPr>
        <w:pStyle w:val="berschrift1"/>
      </w:pPr>
      <w:r>
        <w:t>[</w:t>
      </w:r>
      <w:r>
        <w:br/>
        <w:t>\boxed{</w:t>
      </w:r>
      <w:r>
        <w:br/>
        <w:t>U_{\mathrm{Ax}}</w:t>
      </w:r>
      <w:r>
        <w:br/>
        <w:t>\left(</w:t>
      </w:r>
      <w:r>
        <w:br/>
        <w:t>A_{\mathrm{dim}}</w:t>
      </w:r>
      <w:r>
        <w:br/>
        <w:t>\right)</w:t>
      </w:r>
    </w:p>
    <w:p w:rsidR="00231D66" w:rsidRDefault="00231D66" w:rsidP="00152216">
      <w:pPr>
        <w:numPr>
          <w:ilvl w:val="0"/>
          <w:numId w:val="469"/>
        </w:numPr>
        <w:spacing w:before="100" w:beforeAutospacing="1" w:after="100" w:afterAutospacing="1"/>
      </w:pPr>
    </w:p>
    <w:p w:rsidR="00231D66" w:rsidRDefault="00231D66" w:rsidP="00231D66">
      <w:pPr>
        <w:pStyle w:val="StandardWeb"/>
      </w:pPr>
      <w:r>
        <w:t>}</w:t>
      </w:r>
      <w:r>
        <w:br/>
        <w:t>\tag{3.10978}</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\boxed{U_{\mathrm{Ax}}\left(A_{\mathrm{dim}}\right)=0.}</w:t>
      </w:r>
    </w:p>
    <w:p w:rsidR="00231D66" w:rsidRDefault="00E50336" w:rsidP="00231D66">
      <w:r>
        <w:pict>
          <v:rect id="_x0000_i3615" style="width:0;height:1.5pt" o:hralign="center" o:hrstd="t" o:hr="t" fillcolor="#a0a0a0" stroked="f"/>
        </w:pict>
      </w:r>
    </w:p>
    <w:p w:rsidR="00231D66" w:rsidRDefault="00231D66" w:rsidP="00231D66">
      <w:pPr>
        <w:pStyle w:val="berschrift1"/>
      </w:pPr>
      <w:r>
        <w:t>3.3.46.97 Primäraxiomkandidat der Skaleninvarianz</w:t>
      </w:r>
    </w:p>
    <w:p w:rsidR="00231D66" w:rsidRDefault="00231D66" w:rsidP="00231D66">
      <w:pPr>
        <w:pStyle w:val="StandardWeb"/>
      </w:pPr>
      <w:r>
        <w:t>Ein noch stärkerer Kandidat wäre</w:t>
      </w:r>
    </w:p>
    <w:p w:rsidR="00231D66" w:rsidRDefault="00231D66" w:rsidP="00231D66">
      <w:pPr>
        <w:pStyle w:val="berschrift1"/>
      </w:pPr>
      <w:r>
        <w:t>[</w:t>
      </w:r>
      <w:r>
        <w:br/>
        <w:t>A_{\mathrm{SI}}:</w:t>
      </w:r>
      <w:r>
        <w:br/>
        <w:t>Q(S_\lambda X)</w:t>
      </w:r>
    </w:p>
    <w:p w:rsidR="00231D66" w:rsidRDefault="00231D66" w:rsidP="00231D66">
      <w:pPr>
        <w:pStyle w:val="StandardWeb"/>
      </w:pPr>
      <w:r>
        <w:t>Q(X)</w:t>
      </w:r>
      <w:r>
        <w:br/>
        <w:t>\tag{3.10979}</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A_{\mathrm{SI}}:Q(S_\lambda X)=Q(X)</w:t>
      </w:r>
    </w:p>
    <w:p w:rsidR="00231D66" w:rsidRDefault="00231D66" w:rsidP="00231D66">
      <w:pPr>
        <w:pStyle w:val="StandardWeb"/>
      </w:pPr>
      <w:r>
        <w:t>für bestimmte oder gar sämtliche funktionalen Größen.</w:t>
      </w:r>
    </w:p>
    <w:p w:rsidR="00231D66" w:rsidRDefault="00231D66" w:rsidP="00231D66">
      <w:pPr>
        <w:pStyle w:val="StandardWeb"/>
      </w:pPr>
      <w:r>
        <w:t>Dies würde Skalierungsinvarianz postulieren.</w:t>
      </w:r>
    </w:p>
    <w:p w:rsidR="00231D66" w:rsidRDefault="00E50336" w:rsidP="00231D66">
      <w:r>
        <w:pict>
          <v:rect id="_x0000_i3616" style="width:0;height:1.5pt" o:hralign="center" o:hrstd="t" o:hr="t" fillcolor="#a0a0a0" stroked="f"/>
        </w:pict>
      </w:r>
    </w:p>
    <w:p w:rsidR="00231D66" w:rsidRDefault="00231D66" w:rsidP="00231D66">
      <w:pPr>
        <w:pStyle w:val="berschrift1"/>
      </w:pPr>
      <w:r>
        <w:lastRenderedPageBreak/>
        <w:t>3.3.46.98 Gegenbeispiel homogenen Grades eins</w:t>
      </w:r>
    </w:p>
    <w:p w:rsidR="00231D66" w:rsidRDefault="00231D66" w:rsidP="00231D66">
      <w:pPr>
        <w:pStyle w:val="StandardWeb"/>
      </w:pPr>
      <w:r>
        <w:t>Bereits eine homogene Größe vom Grad eins erfüllt</w:t>
      </w:r>
    </w:p>
    <w:p w:rsidR="00231D66" w:rsidRDefault="00231D66" w:rsidP="00231D66">
      <w:pPr>
        <w:pStyle w:val="berschrift1"/>
      </w:pPr>
      <w:r>
        <w:t>[</w:t>
      </w:r>
      <w:r>
        <w:br/>
        <w:t>Q(S_\lambda X)</w:t>
      </w:r>
    </w:p>
    <w:p w:rsidR="00231D66" w:rsidRDefault="00231D66" w:rsidP="00231D66">
      <w:pPr>
        <w:pStyle w:val="StandardWeb"/>
      </w:pPr>
      <w:r>
        <w:t>\lambda Q(X).</w:t>
      </w:r>
      <w:r>
        <w:br/>
        <w:t>\tag{3.10980}</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Q(S_\lambda X)=\lambda Q(X)</w:t>
      </w:r>
    </w:p>
    <w:p w:rsidR="00231D66" w:rsidRDefault="00231D66" w:rsidP="00231D66">
      <w:pPr>
        <w:pStyle w:val="StandardWeb"/>
      </w:pPr>
      <w:r>
        <w:t>Für (\lambda\neq1) gilt im Allgemeinen</w:t>
      </w:r>
    </w:p>
    <w:p w:rsidR="00231D66" w:rsidRDefault="00231D66" w:rsidP="00231D66">
      <w:pPr>
        <w:pStyle w:val="StandardWeb"/>
      </w:pPr>
      <w:r>
        <w:t>[</w:t>
      </w:r>
      <w:r>
        <w:br/>
        <w:t>Q(S_\lambda X)</w:t>
      </w:r>
      <w:r>
        <w:br/>
        <w:t>\neq</w:t>
      </w:r>
      <w:r>
        <w:br/>
        <w:t>Q(X).</w:t>
      </w:r>
      <w:r>
        <w:br/>
        <w:t>\tag{3.10981}</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Q(S_\lambda X)\neq Q(X)</w:t>
      </w:r>
    </w:p>
    <w:p w:rsidR="00231D66" w:rsidRDefault="00231D66" w:rsidP="00231D66">
      <w:pPr>
        <w:pStyle w:val="StandardWeb"/>
      </w:pPr>
      <w:r>
        <w:t>Eine solche Größe ist mathematisch völlig zulässig.</w:t>
      </w:r>
    </w:p>
    <w:p w:rsidR="00231D66" w:rsidRDefault="00E50336" w:rsidP="00231D66">
      <w:r>
        <w:pict>
          <v:rect id="_x0000_i3617" style="width:0;height:1.5pt" o:hralign="center" o:hrstd="t" o:hr="t" fillcolor="#a0a0a0" stroked="f"/>
        </w:pict>
      </w:r>
    </w:p>
    <w:p w:rsidR="00231D66" w:rsidRDefault="00231D66" w:rsidP="00231D66">
      <w:pPr>
        <w:pStyle w:val="berschrift1"/>
      </w:pPr>
      <w:r>
        <w:t>3.3.46.99 Ergebnis der Skaleninvarianz-Axiomprüfung</w:t>
      </w:r>
    </w:p>
    <w:p w:rsidR="00231D66" w:rsidRDefault="00231D66" w:rsidP="00231D66">
      <w:pPr>
        <w:pStyle w:val="StandardWeb"/>
      </w:pPr>
      <w:r>
        <w:t>Damit gilt</w:t>
      </w:r>
    </w:p>
    <w:p w:rsidR="00231D66" w:rsidRDefault="00231D66" w:rsidP="00231D66">
      <w:pPr>
        <w:pStyle w:val="berschrift1"/>
      </w:pPr>
      <w:r>
        <w:t>[</w:t>
      </w:r>
      <w:r>
        <w:br/>
        <w:t>\boxed{</w:t>
      </w:r>
      <w:r>
        <w:br/>
        <w:t>U_{\mathrm{Ax}}</w:t>
      </w:r>
      <w:r>
        <w:br/>
        <w:t>\left(</w:t>
      </w:r>
      <w:r>
        <w:br/>
        <w:t>A_{\mathrm{SI}}</w:t>
      </w:r>
      <w:r>
        <w:br/>
        <w:t>\right)</w:t>
      </w:r>
    </w:p>
    <w:p w:rsidR="00231D66" w:rsidRDefault="00231D66" w:rsidP="00152216">
      <w:pPr>
        <w:numPr>
          <w:ilvl w:val="0"/>
          <w:numId w:val="470"/>
        </w:numPr>
        <w:spacing w:before="100" w:beforeAutospacing="1" w:after="100" w:afterAutospacing="1"/>
      </w:pPr>
    </w:p>
    <w:p w:rsidR="00231D66" w:rsidRDefault="00231D66" w:rsidP="00231D66">
      <w:pPr>
        <w:pStyle w:val="StandardWeb"/>
      </w:pPr>
      <w:r>
        <w:lastRenderedPageBreak/>
        <w:t>}</w:t>
      </w:r>
      <w:r>
        <w:br/>
        <w:t>\tag{3.10982}</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\boxed{U_{\mathrm{Ax}}\left(A_{\mathrm{SI}}\right)=0.}</w:t>
      </w:r>
    </w:p>
    <w:p w:rsidR="00231D66" w:rsidRDefault="00231D66" w:rsidP="00231D66">
      <w:pPr>
        <w:pStyle w:val="StandardWeb"/>
      </w:pPr>
      <w:r>
        <w:t>Skaleninvarianz ist eine mögliche Eigenschaft spezieller Größen oder Modelle, keine universelle Primärforderung.</w:t>
      </w:r>
    </w:p>
    <w:p w:rsidR="00231D66" w:rsidRDefault="00E50336" w:rsidP="00231D66">
      <w:r>
        <w:pict>
          <v:rect id="_x0000_i3618" style="width:0;height:1.5pt" o:hralign="center" o:hrstd="t" o:hr="t" fillcolor="#a0a0a0" stroked="f"/>
        </w:pict>
      </w:r>
    </w:p>
    <w:p w:rsidR="00231D66" w:rsidRDefault="00231D66" w:rsidP="00231D66">
      <w:pPr>
        <w:pStyle w:val="berschrift1"/>
      </w:pPr>
      <w:r>
        <w:t>3.3.46.100 Zwischenresultat der Axiomprüfung</w:t>
      </w:r>
    </w:p>
    <w:p w:rsidR="00231D66" w:rsidRDefault="00231D66" w:rsidP="00231D66">
      <w:pPr>
        <w:pStyle w:val="StandardWeb"/>
      </w:pPr>
      <w:r>
        <w:t>Für die drei naheliegenden Kandidaten gilt damit</w:t>
      </w:r>
    </w:p>
    <w:p w:rsidR="00231D66" w:rsidRDefault="00231D66" w:rsidP="00231D66">
      <w:pPr>
        <w:pStyle w:val="berschrift1"/>
      </w:pPr>
      <w:r>
        <w:t>[</w:t>
      </w:r>
      <w:r>
        <w:br/>
        <w:t>U_{\mathrm{Ax}}(A_{\mathrm{sc}})</w:t>
      </w:r>
    </w:p>
    <w:p w:rsidR="00231D66" w:rsidRDefault="00231D66" w:rsidP="00231D66">
      <w:pPr>
        <w:pStyle w:val="berschrift1"/>
      </w:pPr>
      <w:r>
        <w:t>U_{\mathrm{Ax}}(A_{\mathrm{dim}})</w:t>
      </w:r>
    </w:p>
    <w:p w:rsidR="00231D66" w:rsidRDefault="00231D66" w:rsidP="00231D66">
      <w:pPr>
        <w:pStyle w:val="berschrift1"/>
      </w:pPr>
      <w:r>
        <w:t>U_{\mathrm{Ax}}(A_{\mathrm{SI}})</w:t>
      </w:r>
    </w:p>
    <w:p w:rsidR="00231D66" w:rsidRDefault="00231D66" w:rsidP="00152216">
      <w:pPr>
        <w:numPr>
          <w:ilvl w:val="0"/>
          <w:numId w:val="471"/>
        </w:numPr>
        <w:spacing w:before="100" w:beforeAutospacing="1" w:after="100" w:afterAutospacing="1"/>
      </w:pPr>
    </w:p>
    <w:p w:rsidR="00231D66" w:rsidRDefault="00231D66" w:rsidP="00231D66">
      <w:pPr>
        <w:pStyle w:val="StandardWeb"/>
      </w:pPr>
      <w:r>
        <w:t>\tag{3.10983}</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U_{\mathrm{Ax}}(A_{\mathrm{sc}})=U_{\mathrm{Ax}}(A_{\mathrm{dim}})=U_{\mathrm{Ax}}(A_{\mathrm{SI}})=0</w:t>
      </w:r>
    </w:p>
    <w:p w:rsidR="00231D66" w:rsidRDefault="00E50336" w:rsidP="00231D66">
      <w:r>
        <w:pict>
          <v:rect id="_x0000_i3619" style="width:0;height:1.5pt" o:hralign="center" o:hrstd="t" o:hr="t" fillcolor="#a0a0a0" stroked="f"/>
        </w:pict>
      </w:r>
    </w:p>
    <w:p w:rsidR="00231D66" w:rsidRDefault="00231D66" w:rsidP="00231D66">
      <w:pPr>
        <w:pStyle w:val="berschrift1"/>
      </w:pPr>
      <w:r>
        <w:t>3.3.46.101 Satz 3.3.84 – Keine Primäraxiomnotwendigkeit der bisherigen Skalierungs- und Dimensionsstrukturen</w:t>
      </w:r>
    </w:p>
    <w:p w:rsidR="00231D66" w:rsidRDefault="00231D66" w:rsidP="00231D66">
      <w:pPr>
        <w:pStyle w:val="berschrift3"/>
      </w:pPr>
      <w:r>
        <w:t>Satz 3.3.84</w:t>
      </w:r>
    </w:p>
    <w:p w:rsidR="00231D66" w:rsidRDefault="00231D66" w:rsidP="00231D66">
      <w:pPr>
        <w:pStyle w:val="StandardWeb"/>
      </w:pPr>
      <w:r>
        <w:t>Weder eine universelle Skalierungsstruktur noch eine universelle Dimensionsstruktur noch eine universelle Skaleninvarianz ist für die allgemeine FRZK-Grundstruktur logisch erforderlich:</w:t>
      </w:r>
    </w:p>
    <w:p w:rsidR="00231D66" w:rsidRDefault="00231D66" w:rsidP="00231D66">
      <w:pPr>
        <w:pStyle w:val="berschrift1"/>
      </w:pPr>
      <w:r>
        <w:lastRenderedPageBreak/>
        <w:t>[</w:t>
      </w:r>
      <w:r>
        <w:br/>
        <w:t>\boxed{</w:t>
      </w:r>
      <w:r>
        <w:br/>
        <w:t>U_{\mathrm{Ax}}(A_{\mathrm{sc}})</w:t>
      </w:r>
    </w:p>
    <w:p w:rsidR="00231D66" w:rsidRDefault="00231D66" w:rsidP="00231D66">
      <w:pPr>
        <w:pStyle w:val="berschrift1"/>
      </w:pPr>
      <w:r>
        <w:t>U_{\mathrm{Ax}}(A_{\mathrm{dim}})</w:t>
      </w:r>
    </w:p>
    <w:p w:rsidR="00231D66" w:rsidRDefault="00231D66" w:rsidP="00231D66">
      <w:pPr>
        <w:pStyle w:val="berschrift1"/>
      </w:pPr>
      <w:r>
        <w:t>U_{\mathrm{Ax}}(A_{\mathrm{SI}})</w:t>
      </w:r>
    </w:p>
    <w:p w:rsidR="00231D66" w:rsidRDefault="00231D66" w:rsidP="00152216">
      <w:pPr>
        <w:numPr>
          <w:ilvl w:val="0"/>
          <w:numId w:val="472"/>
        </w:numPr>
        <w:spacing w:before="100" w:beforeAutospacing="1" w:after="100" w:afterAutospacing="1"/>
      </w:pPr>
    </w:p>
    <w:p w:rsidR="00231D66" w:rsidRDefault="00231D66" w:rsidP="00231D66">
      <w:pPr>
        <w:pStyle w:val="StandardWeb"/>
      </w:pPr>
      <w:r>
        <w:t>}</w:t>
      </w:r>
      <w:r>
        <w:br/>
        <w:t>\tag{3.10984}</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\boxed{U_{\mathrm{Ax}}(A_{\mathrm{sc}})=U_{\mathrm{Ax}}(A_{\mathrm{dim}})=U_{\mathrm{Ax}}(A_{\mathrm{SI}})=0.}</w:t>
      </w:r>
    </w:p>
    <w:p w:rsidR="00231D66" w:rsidRDefault="00231D66" w:rsidP="00231D66">
      <w:pPr>
        <w:pStyle w:val="berschrift3"/>
      </w:pPr>
      <w:r>
        <w:t>Beweis</w:t>
      </w:r>
    </w:p>
    <w:p w:rsidR="00231D66" w:rsidRDefault="00231D66" w:rsidP="00231D66">
      <w:pPr>
        <w:pStyle w:val="StandardWeb"/>
      </w:pPr>
      <w:r>
        <w:t>Ein FRZK-Modell kann als relationale Zustandsstruktur ohne Skalarmultiplikation formuliert werden. Ohne Skalarmultiplikation ist eine allgemeine Skalierungsstruktur nicht notwendig. Ebenso kann ein Modell ohne physikalische Dimensionszuordnung mathematisch konsistent sein. Schließlich können skalierbare Modelle homogene Größen mit von null verschiedenem Skalierungsgewicht enthalten und müssen deshalb nicht skaleninvariant sein. Keine der drei Forderungen ist daher universell unverzichtbar. (\square)</w:t>
      </w:r>
    </w:p>
    <w:p w:rsidR="00231D66" w:rsidRDefault="00E50336" w:rsidP="00231D66">
      <w:r>
        <w:pict>
          <v:rect id="_x0000_i3620" style="width:0;height:1.5pt" o:hralign="center" o:hrstd="t" o:hr="t" fillcolor="#a0a0a0" stroked="f"/>
        </w:pict>
      </w:r>
    </w:p>
    <w:p w:rsidR="00231D66" w:rsidRDefault="00231D66" w:rsidP="00231D66">
      <w:pPr>
        <w:pStyle w:val="berschrift1"/>
      </w:pPr>
      <w:r>
        <w:t>3.3.46.102 Vorläufige Strukturklassifikation</w:t>
      </w:r>
    </w:p>
    <w:p w:rsidR="00231D66" w:rsidRDefault="00231D66" w:rsidP="00231D66">
      <w:pPr>
        <w:pStyle w:val="StandardWeb"/>
      </w:pPr>
      <w:r>
        <w:t>Die bislang entwickelten Objekte können vorläufig zusammengefasst werden als</w:t>
      </w:r>
    </w:p>
    <w:p w:rsidR="00231D66" w:rsidRDefault="00231D66" w:rsidP="00231D66">
      <w:pPr>
        <w:pStyle w:val="berschrift1"/>
      </w:pPr>
      <w:r>
        <w:t>[</w:t>
      </w:r>
      <w:r>
        <w:br/>
        <w:t>\mathfrak S_{\mathrm{sc}}</w:t>
      </w:r>
    </w:p>
    <w:p w:rsidR="00231D66" w:rsidRDefault="00231D66" w:rsidP="00231D66">
      <w:pPr>
        <w:pStyle w:val="StandardWeb"/>
      </w:pPr>
      <w:r>
        <w:t>\left(</w:t>
      </w:r>
      <w:r>
        <w:br/>
        <w:t>M_{\mathrm{sc}},</w:t>
      </w:r>
      <w:r>
        <w:br/>
        <w:t>S_\lambda,</w:t>
      </w:r>
      <w:r>
        <w:br/>
        <w:t>\sim_{\mathrm{sc}},</w:t>
      </w:r>
      <w:r>
        <w:br/>
        <w:t>\mathcal Q_{\mathrm{sc}},</w:t>
      </w:r>
      <w:r>
        <w:br/>
        <w:t>w_{\mathrm{sc}},</w:t>
      </w:r>
      <w:r>
        <w:br/>
        <w:t>M_D^{\mathrm{dim}},</w:t>
      </w:r>
      <w:r>
        <w:br/>
        <w:t>\operatorname{Dim},</w:t>
      </w:r>
      <w:r>
        <w:br/>
        <w:t>\boldsymbol\Pi_F,</w:t>
      </w:r>
      <w:r>
        <w:br/>
        <w:t>M_\Pi</w:t>
      </w:r>
      <w:r>
        <w:br/>
      </w:r>
      <w:r>
        <w:lastRenderedPageBreak/>
        <w:t>\right).</w:t>
      </w:r>
      <w:r>
        <w:br/>
        <w:t>\tag{3.10985}</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\mathfrak S_{\mathrm{sc}}=\left(M_{\mathrm{sc}},S_\lambda,\sim_{\mathrm{sc}},\mathcal Q_{\mathrm{sc}},w_{\mathrm{sc}},M_D^{\mathrm{dim}},\operatorname{Dim},\boldsymbol\Pi_F,M_\Pi\right)</w:t>
      </w:r>
    </w:p>
    <w:p w:rsidR="00231D66" w:rsidRDefault="00E50336" w:rsidP="00231D66">
      <w:r>
        <w:pict>
          <v:rect id="_x0000_i3621" style="width:0;height:1.5pt" o:hralign="center" o:hrstd="t" o:hr="t" fillcolor="#a0a0a0" stroked="f"/>
        </w:pict>
      </w:r>
    </w:p>
    <w:p w:rsidR="00231D66" w:rsidRDefault="00231D66" w:rsidP="00231D66">
      <w:pPr>
        <w:pStyle w:val="berschrift1"/>
      </w:pPr>
      <w:r>
        <w:t>3.3.46.103 Status der bisher eingeführten Strukturen</w:t>
      </w:r>
    </w:p>
    <w:p w:rsidR="00231D66" w:rsidRDefault="00231D66" w:rsidP="00231D66">
      <w:pPr>
        <w:pStyle w:val="StandardWeb"/>
      </w:pPr>
      <w:r>
        <w:t>Vorläufig gilt</w:t>
      </w:r>
    </w:p>
    <w:p w:rsidR="00231D66" w:rsidRDefault="00231D66" w:rsidP="00231D66">
      <w:pPr>
        <w:pStyle w:val="StandardWeb"/>
      </w:pPr>
      <w:r>
        <w:t>[</w:t>
      </w:r>
      <w:r>
        <w:br/>
        <w:t>M_{\mathrm{sc}}</w:t>
      </w:r>
      <w:r>
        <w:br/>
        <w:t>\rightarrow</w:t>
      </w:r>
      <w:r>
        <w:br/>
        <w:t>\mathrm{Mod},</w:t>
      </w:r>
      <w:r>
        <w:br/>
        <w:t>\qquad</w:t>
      </w:r>
      <w:r>
        <w:br/>
        <w:t>S_\lambda</w:t>
      </w:r>
      <w:r>
        <w:br/>
        <w:t>\rightarrow</w:t>
      </w:r>
      <w:r>
        <w:br/>
        <w:t>\mathrm{Def/Mod},</w:t>
      </w:r>
      <w:r>
        <w:br/>
        <w:t>\qquad</w:t>
      </w:r>
      <w:r>
        <w:br/>
        <w:t>\sim_{\mathrm{sc}}</w:t>
      </w:r>
      <w:r>
        <w:br/>
        <w:t>\rightarrow</w:t>
      </w:r>
      <w:r>
        <w:br/>
        <w:t>\mathrm{Def},</w:t>
      </w:r>
      <w:r>
        <w:br/>
        <w:t>\tag{3.10986}</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M_{\mathrm{sc}}\rightarrow\mathrm{Mod},\qquad S_\lambda\rightarrow\mathrm{Def/Mod},\qquad\sim_{\mathrm{sc}}\rightarrow\mathrm{Def}</w:t>
      </w:r>
    </w:p>
    <w:p w:rsidR="00231D66" w:rsidRDefault="00231D66" w:rsidP="00231D66">
      <w:pPr>
        <w:pStyle w:val="StandardWeb"/>
      </w:pPr>
      <w:r>
        <w:t>sowie</w:t>
      </w:r>
    </w:p>
    <w:p w:rsidR="00231D66" w:rsidRDefault="00231D66" w:rsidP="00231D66">
      <w:pPr>
        <w:pStyle w:val="StandardWeb"/>
      </w:pPr>
      <w:r>
        <w:t>[</w:t>
      </w:r>
      <w:r>
        <w:br/>
        <w:t>w_{\mathrm{sc}}</w:t>
      </w:r>
      <w:r>
        <w:br/>
        <w:t>\rightarrow</w:t>
      </w:r>
      <w:r>
        <w:br/>
        <w:t>\mathrm{Def/Op},</w:t>
      </w:r>
      <w:r>
        <w:br/>
        <w:t>\qquad</w:t>
      </w:r>
      <w:r>
        <w:br/>
        <w:t>M_D^{\mathrm{dim}}</w:t>
      </w:r>
      <w:r>
        <w:br/>
        <w:t>\rightarrow</w:t>
      </w:r>
      <w:r>
        <w:br/>
        <w:t>\mathrm{Mod},</w:t>
      </w:r>
      <w:r>
        <w:br/>
        <w:t>\qquad</w:t>
      </w:r>
      <w:r>
        <w:br/>
        <w:t>M_\Pi</w:t>
      </w:r>
      <w:r>
        <w:br/>
        <w:t>\rightarrow</w:t>
      </w:r>
      <w:r>
        <w:br/>
        <w:t>\mathrm{Mod}.</w:t>
      </w:r>
      <w:r>
        <w:br/>
      </w:r>
      <w:r>
        <w:lastRenderedPageBreak/>
        <w:t>\tag{3.10987}</w:t>
      </w:r>
      <w:r>
        <w:br/>
        <w:t>]</w:t>
      </w:r>
    </w:p>
    <w:p w:rsidR="00231D66" w:rsidRDefault="00231D66" w:rsidP="00231D66">
      <w:pPr>
        <w:pStyle w:val="StandardWeb"/>
      </w:pPr>
      <w:r>
        <w:rPr>
          <w:rStyle w:val="Fett"/>
        </w:rPr>
        <w:t>Word-LaTeX</w:t>
      </w:r>
    </w:p>
    <w:p w:rsidR="00231D66" w:rsidRDefault="00231D66" w:rsidP="00231D66">
      <w:pPr>
        <w:pStyle w:val="HTMLVorformatiert"/>
        <w:rPr>
          <w:rStyle w:val="HTMLCode"/>
        </w:rPr>
      </w:pPr>
      <w:r>
        <w:rPr>
          <w:rStyle w:val="HTMLCode"/>
        </w:rPr>
        <w:t>w_{\mathrm{sc}}\rightarrow\mathrm{Def/Op},\qquad M_D^{\mathrm{dim}}\rightarrow\mathrm{Mod},\qquad M_\Pi\rightarrow\mathrm{Mod}</w:t>
      </w:r>
    </w:p>
    <w:p w:rsidR="00231D66" w:rsidRDefault="00E50336" w:rsidP="00231D66">
      <w:r>
        <w:pict>
          <v:rect id="_x0000_i3622" style="width:0;height:1.5pt" o:hralign="center" o:hrstd="t" o:hr="t" fillcolor="#a0a0a0" stroked="f"/>
        </w:pict>
      </w:r>
    </w:p>
    <w:p w:rsidR="00231D66" w:rsidRDefault="00231D66" w:rsidP="00231D66">
      <w:pPr>
        <w:pStyle w:val="berschrift1"/>
      </w:pPr>
      <w:r>
        <w:t>3.3.46.104 Noch kein Abschluss von 3.3.46</w:t>
      </w:r>
    </w:p>
    <w:p w:rsidR="00231D66" w:rsidRDefault="00231D66" w:rsidP="00231D66">
      <w:pPr>
        <w:pStyle w:val="StandardWeb"/>
      </w:pPr>
      <w:r>
        <w:t xml:space="preserve">Abschnitt </w:t>
      </w:r>
      <w:r>
        <w:rPr>
          <w:rStyle w:val="Fett"/>
        </w:rPr>
        <w:t>3.3.46 ist damit noch nicht abgeschlossen</w:t>
      </w:r>
      <w:r>
        <w:t>.</w:t>
      </w:r>
    </w:p>
    <w:p w:rsidR="00231D66" w:rsidRDefault="00231D66" w:rsidP="00231D66">
      <w:pPr>
        <w:pStyle w:val="StandardWeb"/>
      </w:pPr>
      <w:r>
        <w:t>Bis hierher habe ich lineare Skalierungswirkungen, Skalierungsäquivalenz, Homogenität, Skalierungsgewichte, Dimensionszuordnungen und dimensionslose Produktgruppen eingeführt und die naheliegenden Primäraxiomkandidaten erstmals verworfen.</w:t>
      </w:r>
    </w:p>
    <w:p w:rsidR="00231D66" w:rsidRDefault="00231D66" w:rsidP="00231D66">
      <w:pPr>
        <w:pStyle w:val="StandardWeb"/>
      </w:pPr>
      <w:r>
        <w:t xml:space="preserve">Vor einer endgültigen Statusmatrix muss ich jedoch noch untersuchen, wie sich </w:t>
      </w:r>
      <w:r>
        <w:rPr>
          <w:rStyle w:val="Fett"/>
        </w:rPr>
        <w:t>mehrparametrige Skalierungen</w:t>
      </w:r>
      <w:r>
        <w:t xml:space="preserve">, </w:t>
      </w:r>
      <w:r>
        <w:rPr>
          <w:rStyle w:val="Fett"/>
        </w:rPr>
        <w:t>anisotrope Skalierungen</w:t>
      </w:r>
      <w:r>
        <w:t xml:space="preserve">, </w:t>
      </w:r>
      <w:r>
        <w:rPr>
          <w:rStyle w:val="Fett"/>
        </w:rPr>
        <w:t>dimensionslose Kennzahlen</w:t>
      </w:r>
      <w:r>
        <w:t xml:space="preserve">, </w:t>
      </w:r>
      <w:r>
        <w:rPr>
          <w:rStyle w:val="Fett"/>
        </w:rPr>
        <w:t>Normalisierung</w:t>
      </w:r>
      <w:r>
        <w:t xml:space="preserve">, </w:t>
      </w:r>
      <w:r>
        <w:rPr>
          <w:rStyle w:val="Fett"/>
        </w:rPr>
        <w:t>Renormierung im rein mathematischen Sinn</w:t>
      </w:r>
      <w:r>
        <w:t xml:space="preserve">, </w:t>
      </w:r>
      <w:r>
        <w:rPr>
          <w:rStyle w:val="Fett"/>
        </w:rPr>
        <w:t>Skalenabhängigkeit funktionaler Operatoren</w:t>
      </w:r>
      <w:r>
        <w:t xml:space="preserve"> und </w:t>
      </w:r>
      <w:r>
        <w:rPr>
          <w:rStyle w:val="Fett"/>
        </w:rPr>
        <w:t>approximative Skaleninvarianz</w:t>
      </w:r>
      <w:r>
        <w:t xml:space="preserve"> innerhalb der FRZK-Struktur einordnen lassen.</w:t>
      </w:r>
    </w:p>
    <w:p w:rsidR="00231D66" w:rsidRDefault="00231D66" w:rsidP="00231D66">
      <w:pPr>
        <w:pStyle w:val="StandardWeb"/>
      </w:pPr>
      <w:r>
        <w:t>Dabei muss insbesondere verhindert werden, dass der mathematische Begriff der Renormierung vorschnell mit der Renormierung der Quantenfeldtheorie gleichgesetzt wird.</w:t>
      </w:r>
    </w:p>
    <w:p w:rsidR="00231D66" w:rsidRDefault="00231D66" w:rsidP="00231D66">
      <w:pPr>
        <w:pStyle w:val="StandardWeb"/>
      </w:pPr>
      <w:r>
        <w:t xml:space="preserve">Der nächste Teil beginnt daher bei </w:t>
      </w:r>
      <w:r>
        <w:rPr>
          <w:rStyle w:val="Fett"/>
        </w:rPr>
        <w:t>3.3.46.105 / Gleichung (3.10988)</w:t>
      </w:r>
      <w:r>
        <w:t xml:space="preserve"> mit der </w:t>
      </w:r>
      <w:r>
        <w:rPr>
          <w:rStyle w:val="Fett"/>
        </w:rPr>
        <w:t>mehrparametrigen und anisotropen funktionalen Skalierung</w:t>
      </w:r>
      <w:r>
        <w:t>.</w:t>
      </w:r>
    </w:p>
    <w:p w:rsidR="00197EC9" w:rsidRDefault="00197EC9" w:rsidP="00197EC9">
      <w:pPr>
        <w:pStyle w:val="berschrift1"/>
        <w:rPr>
          <w:rFonts w:cs="Times New Roman"/>
          <w:sz w:val="48"/>
          <w:szCs w:val="48"/>
        </w:rPr>
      </w:pPr>
      <w:r>
        <w:t>3.3.46.105 Mehrparametrige funktionale Skalierung</w:t>
      </w:r>
    </w:p>
    <w:p w:rsidR="00197EC9" w:rsidRDefault="00197EC9" w:rsidP="00197EC9">
      <w:pPr>
        <w:pStyle w:val="StandardWeb"/>
      </w:pPr>
      <w:r>
        <w:t>Die bisher betrachtete Skalierungswirkung verwendet einen einzigen Parameter (\lambda). Für funktionale Modelle mit mehreren voneinander unabhängigen Komponenten ist diese Einschränkung nicht notwendig. Ich kann stattdessen einen Skalierungsparametervektor</w:t>
      </w:r>
    </w:p>
    <w:p w:rsidR="00197EC9" w:rsidRDefault="00197EC9" w:rsidP="00197EC9">
      <w:pPr>
        <w:pStyle w:val="berschrift1"/>
      </w:pPr>
      <w:r>
        <w:t>[</w:t>
      </w:r>
      <w:r>
        <w:br/>
        <w:t>\boldsymbol{\lambda}</w:t>
      </w:r>
    </w:p>
    <w:p w:rsidR="00197EC9" w:rsidRDefault="00197EC9" w:rsidP="00197EC9">
      <w:pPr>
        <w:pStyle w:val="StandardWeb"/>
      </w:pPr>
      <w:r>
        <w:t>(\lambda_1,\ldots,\lambda_m)</w:t>
      </w:r>
      <w:r>
        <w:br/>
        <w:t>\tag{3.10988}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\boldsymbol{\lambda}=(\lambda_1,\ldots,\lambda_m)</w:t>
      </w:r>
    </w:p>
    <w:p w:rsidR="00197EC9" w:rsidRDefault="00197EC9" w:rsidP="00197EC9">
      <w:pPr>
        <w:pStyle w:val="StandardWeb"/>
      </w:pPr>
      <w:r>
        <w:t>einführen.</w:t>
      </w:r>
    </w:p>
    <w:p w:rsidR="00197EC9" w:rsidRDefault="00197EC9" w:rsidP="00197EC9">
      <w:pPr>
        <w:pStyle w:val="StandardWeb"/>
      </w:pPr>
      <w:r>
        <w:lastRenderedPageBreak/>
        <w:t>Eine solche Struktur erlaubt, verschiedene funktionale Komponenten unabhängig voneinander zu skalieren.</w:t>
      </w:r>
    </w:p>
    <w:p w:rsidR="00197EC9" w:rsidRDefault="00E50336" w:rsidP="00197EC9">
      <w:r>
        <w:pict>
          <v:rect id="_x0000_i3623" style="width:0;height:1.5pt" o:hralign="center" o:hrstd="t" o:hr="t" fillcolor="#a0a0a0" stroked="f"/>
        </w:pict>
      </w:r>
    </w:p>
    <w:p w:rsidR="00197EC9" w:rsidRDefault="00197EC9" w:rsidP="00197EC9">
      <w:pPr>
        <w:pStyle w:val="berschrift1"/>
      </w:pPr>
      <w:r>
        <w:t>3.3.46.106 Mehrparametriger Skalierungsraum</w:t>
      </w:r>
    </w:p>
    <w:p w:rsidR="00197EC9" w:rsidRDefault="00197EC9" w:rsidP="00197EC9">
      <w:pPr>
        <w:pStyle w:val="StandardWeb"/>
      </w:pPr>
      <w:r>
        <w:t>Als Parameterraum verwende ich zunächst</w:t>
      </w:r>
    </w:p>
    <w:p w:rsidR="00197EC9" w:rsidRDefault="00197EC9" w:rsidP="00197EC9">
      <w:pPr>
        <w:pStyle w:val="berschrift1"/>
      </w:pPr>
      <w:r>
        <w:t>[</w:t>
      </w:r>
      <w:r>
        <w:br/>
        <w:t>\Lambda^{(m)}</w:t>
      </w:r>
    </w:p>
    <w:p w:rsidR="00197EC9" w:rsidRDefault="00197EC9" w:rsidP="00197EC9">
      <w:pPr>
        <w:pStyle w:val="StandardWeb"/>
      </w:pPr>
      <w:r>
        <w:t>\Lambda_1\times\cdots\times\Lambda_m.</w:t>
      </w:r>
      <w:r>
        <w:br/>
        <w:t>\tag{3.10989}</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\Lambda^{(m)}=\Lambda_1\times\cdots\times\Lambda_m</w:t>
      </w:r>
    </w:p>
    <w:p w:rsidR="00197EC9" w:rsidRDefault="00197EC9" w:rsidP="00197EC9">
      <w:pPr>
        <w:pStyle w:val="StandardWeb"/>
      </w:pPr>
      <w:r>
        <w:t>Die zugehörige Skalierungsabbildung besitzt dann die Form</w:t>
      </w:r>
    </w:p>
    <w:p w:rsidR="00197EC9" w:rsidRDefault="00197EC9" w:rsidP="00197EC9">
      <w:pPr>
        <w:pStyle w:val="StandardWeb"/>
      </w:pPr>
      <w:r>
        <w:t>[</w:t>
      </w:r>
      <w:r>
        <w:br/>
        <w:t>S:</w:t>
      </w:r>
      <w:r>
        <w:br/>
        <w:t>\Lambda^{(m)}</w:t>
      </w:r>
      <w:r>
        <w:br/>
        <w:t>\times</w:t>
      </w:r>
      <w:r>
        <w:br/>
        <w:t>\mathcal X_F</w:t>
      </w:r>
      <w:r>
        <w:br/>
        <w:t>\rightarrow</w:t>
      </w:r>
      <w:r>
        <w:br/>
        <w:t>\mathcal X_F.</w:t>
      </w:r>
      <w:r>
        <w:br/>
        <w:t>\tag{3.10990}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S:\Lambda^{(m)}\times\mathcal X_F\rightarrow\mathcal X_F</w:t>
      </w:r>
    </w:p>
    <w:p w:rsidR="00197EC9" w:rsidRDefault="00E50336" w:rsidP="00197EC9">
      <w:r>
        <w:pict>
          <v:rect id="_x0000_i3624" style="width:0;height:1.5pt" o:hralign="center" o:hrstd="t" o:hr="t" fillcolor="#a0a0a0" stroked="f"/>
        </w:pict>
      </w:r>
    </w:p>
    <w:p w:rsidR="00197EC9" w:rsidRDefault="00197EC9" w:rsidP="00197EC9">
      <w:pPr>
        <w:pStyle w:val="berschrift1"/>
      </w:pPr>
      <w:r>
        <w:t>3.3.46.107 Definition 3.3.182 – Mehrparametrige funktionale Skalierung</w:t>
      </w:r>
    </w:p>
    <w:p w:rsidR="00197EC9" w:rsidRDefault="00197EC9" w:rsidP="00197EC9">
      <w:pPr>
        <w:pStyle w:val="berschrift3"/>
      </w:pPr>
      <w:r>
        <w:t>Definition 3.3.182</w:t>
      </w:r>
    </w:p>
    <w:p w:rsidR="00197EC9" w:rsidRDefault="00197EC9" w:rsidP="00197EC9">
      <w:pPr>
        <w:pStyle w:val="StandardWeb"/>
      </w:pPr>
      <w:r>
        <w:t xml:space="preserve">Eine </w:t>
      </w:r>
      <w:r>
        <w:rPr>
          <w:rStyle w:val="Fett"/>
        </w:rPr>
        <w:t>mehrparametrige funktionale Skalierung</w:t>
      </w:r>
      <w:r>
        <w:t xml:space="preserve"> ist eine Abbildung</w:t>
      </w:r>
    </w:p>
    <w:p w:rsidR="00197EC9" w:rsidRDefault="00197EC9" w:rsidP="00197EC9">
      <w:pPr>
        <w:pStyle w:val="berschrift1"/>
      </w:pPr>
      <w:r>
        <w:t>[</w:t>
      </w:r>
      <w:r>
        <w:br/>
        <w:t>\boxed{</w:t>
      </w:r>
      <w:r>
        <w:br/>
      </w:r>
      <w:r>
        <w:lastRenderedPageBreak/>
        <w:t>S_{\boldsymbol{\lambda}}</w:t>
      </w:r>
      <w:r>
        <w:br/>
        <w:t>:</w:t>
      </w:r>
      <w:r>
        <w:br/>
        <w:t>\mathcal X_F</w:t>
      </w:r>
      <w:r>
        <w:br/>
        <w:t>\rightarrow</w:t>
      </w:r>
      <w:r>
        <w:br/>
        <w:t>\mathcal X_F,</w:t>
      </w:r>
      <w:r>
        <w:br/>
        <w:t>\qquad</w:t>
      </w:r>
      <w:r>
        <w:br/>
        <w:t>\boldsymbol{\lambda}</w:t>
      </w:r>
    </w:p>
    <w:p w:rsidR="00197EC9" w:rsidRDefault="00197EC9" w:rsidP="00197EC9">
      <w:pPr>
        <w:pStyle w:val="StandardWeb"/>
      </w:pPr>
      <w:r>
        <w:t>(\lambda_1,\ldots,\lambda_m)</w:t>
      </w:r>
      <w:r>
        <w:br/>
        <w:t>}</w:t>
      </w:r>
      <w:r>
        <w:br/>
        <w:t>\tag{3.10991}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\boxed{S_{\boldsymbol{\lambda}}:\mathcal X_F\rightarrow\mathcal X_F,\qquad\boldsymbol{\lambda}=(\lambda_1,\ldots,\lambda_m)}</w:t>
      </w:r>
    </w:p>
    <w:p w:rsidR="00197EC9" w:rsidRDefault="00197EC9" w:rsidP="00197EC9">
      <w:pPr>
        <w:pStyle w:val="StandardWeb"/>
      </w:pPr>
      <w:r>
        <w:t>deren einzelne Skalierungsparameter verschiedene funktionale Komponenten oder Strukturrichtungen verändern können.</w:t>
      </w:r>
    </w:p>
    <w:p w:rsidR="00197EC9" w:rsidRDefault="00197EC9" w:rsidP="00197EC9">
      <w:pPr>
        <w:pStyle w:val="StandardWeb"/>
      </w:pPr>
      <w:r>
        <w:t>Die konkrete Wirkung von (S_{\boldsymbol{\lambda}}) ist modellabhängig.</w:t>
      </w:r>
    </w:p>
    <w:p w:rsidR="00197EC9" w:rsidRDefault="00E50336" w:rsidP="00197EC9">
      <w:r>
        <w:pict>
          <v:rect id="_x0000_i3625" style="width:0;height:1.5pt" o:hralign="center" o:hrstd="t" o:hr="t" fillcolor="#a0a0a0" stroked="f"/>
        </w:pict>
      </w:r>
    </w:p>
    <w:p w:rsidR="00197EC9" w:rsidRDefault="00197EC9" w:rsidP="00197EC9">
      <w:pPr>
        <w:pStyle w:val="berschrift1"/>
      </w:pPr>
      <w:r>
        <w:t>3.3.46.108 Komponentenweise Skalierung</w:t>
      </w:r>
    </w:p>
    <w:p w:rsidR="00197EC9" w:rsidRDefault="00197EC9" w:rsidP="00197EC9">
      <w:pPr>
        <w:pStyle w:val="StandardWeb"/>
      </w:pPr>
      <w:r>
        <w:t>Für einen Vektor</w:t>
      </w:r>
    </w:p>
    <w:p w:rsidR="00197EC9" w:rsidRDefault="00197EC9" w:rsidP="00197EC9">
      <w:pPr>
        <w:pStyle w:val="berschrift1"/>
      </w:pPr>
      <w:r>
        <w:t>[</w:t>
      </w:r>
      <w:r>
        <w:br/>
        <w:t>X</w:t>
      </w:r>
    </w:p>
    <w:p w:rsidR="00197EC9" w:rsidRDefault="00197EC9" w:rsidP="00197EC9">
      <w:pPr>
        <w:pStyle w:val="StandardWeb"/>
      </w:pPr>
      <w:r>
        <w:t>(X_1,\ldots,X_m)</w:t>
      </w:r>
      <w:r>
        <w:br/>
        <w:t>\tag{3.10992}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X=(X_1,\ldots,X_m)</w:t>
      </w:r>
    </w:p>
    <w:p w:rsidR="00197EC9" w:rsidRDefault="00197EC9" w:rsidP="00197EC9">
      <w:pPr>
        <w:pStyle w:val="StandardWeb"/>
      </w:pPr>
      <w:r>
        <w:t>kann beispielsweise</w:t>
      </w:r>
    </w:p>
    <w:p w:rsidR="00197EC9" w:rsidRDefault="00197EC9" w:rsidP="00197EC9">
      <w:pPr>
        <w:pStyle w:val="berschrift1"/>
      </w:pPr>
      <w:r>
        <w:lastRenderedPageBreak/>
        <w:t>[</w:t>
      </w:r>
      <w:r>
        <w:br/>
        <w:t>S_{\boldsymbol{\lambda}}(X)</w:t>
      </w:r>
    </w:p>
    <w:p w:rsidR="00197EC9" w:rsidRDefault="00197EC9" w:rsidP="00197EC9">
      <w:pPr>
        <w:pStyle w:val="StandardWeb"/>
      </w:pPr>
      <w:r>
        <w:t>(\lambda_1X_1,\ldots,\lambda_mX_m)</w:t>
      </w:r>
      <w:r>
        <w:br/>
        <w:t>\tag{3.10993}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S_{\boldsymbol{\lambda}}(X)=(\lambda_1X_1,\ldots,\lambda_mX_m)</w:t>
      </w:r>
    </w:p>
    <w:p w:rsidR="00197EC9" w:rsidRDefault="00197EC9" w:rsidP="00197EC9">
      <w:pPr>
        <w:pStyle w:val="StandardWeb"/>
      </w:pPr>
      <w:r>
        <w:t>definiert werden.</w:t>
      </w:r>
    </w:p>
    <w:p w:rsidR="00197EC9" w:rsidRDefault="00197EC9" w:rsidP="00197EC9">
      <w:pPr>
        <w:pStyle w:val="StandardWeb"/>
      </w:pPr>
      <w:r>
        <w:t>Diese komponentenweise Form ist ein mögliches Modell, aber keine universelle FRZK-Struktur.</w:t>
      </w:r>
    </w:p>
    <w:p w:rsidR="00197EC9" w:rsidRDefault="00E50336" w:rsidP="00197EC9">
      <w:r>
        <w:pict>
          <v:rect id="_x0000_i3626" style="width:0;height:1.5pt" o:hralign="center" o:hrstd="t" o:hr="t" fillcolor="#a0a0a0" stroked="f"/>
        </w:pict>
      </w:r>
    </w:p>
    <w:p w:rsidR="00197EC9" w:rsidRDefault="00197EC9" w:rsidP="00197EC9">
      <w:pPr>
        <w:pStyle w:val="berschrift1"/>
      </w:pPr>
      <w:r>
        <w:t>3.3.46.109 Isotrope Skalierung als Spezialfall</w:t>
      </w:r>
    </w:p>
    <w:p w:rsidR="00197EC9" w:rsidRDefault="00197EC9" w:rsidP="00197EC9">
      <w:pPr>
        <w:pStyle w:val="StandardWeb"/>
      </w:pPr>
      <w:r>
        <w:t>Sind sämtliche Skalierungsparameter identisch,</w:t>
      </w:r>
    </w:p>
    <w:p w:rsidR="00197EC9" w:rsidRDefault="00197EC9" w:rsidP="00197EC9">
      <w:pPr>
        <w:pStyle w:val="berschrift1"/>
      </w:pPr>
      <w:r>
        <w:t>[</w:t>
      </w:r>
      <w:r>
        <w:br/>
        <w:t>\lambda_1</w:t>
      </w:r>
    </w:p>
    <w:p w:rsidR="00197EC9" w:rsidRDefault="00197EC9" w:rsidP="00197EC9">
      <w:pPr>
        <w:pStyle w:val="berschrift1"/>
      </w:pPr>
      <w:r>
        <w:t>\cdots</w:t>
      </w:r>
    </w:p>
    <w:p w:rsidR="00197EC9" w:rsidRDefault="00197EC9" w:rsidP="00197EC9">
      <w:pPr>
        <w:pStyle w:val="berschrift1"/>
      </w:pPr>
      <w:r>
        <w:t>\lambda_m</w:t>
      </w:r>
    </w:p>
    <w:p w:rsidR="00197EC9" w:rsidRDefault="00197EC9" w:rsidP="00197EC9">
      <w:pPr>
        <w:pStyle w:val="StandardWeb"/>
      </w:pPr>
      <w:r>
        <w:t>\lambda,</w:t>
      </w:r>
      <w:r>
        <w:br/>
        <w:t>\tag{3.10994}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\lambda_1=\cdots=\lambda_m=\lambda</w:t>
      </w:r>
    </w:p>
    <w:p w:rsidR="00197EC9" w:rsidRDefault="00197EC9" w:rsidP="00197EC9">
      <w:pPr>
        <w:pStyle w:val="StandardWeb"/>
      </w:pPr>
      <w:r>
        <w:t>reduziert sich die mehrparametrige Skalierung auf eine isotrope Skalierung.</w:t>
      </w:r>
    </w:p>
    <w:p w:rsidR="00197EC9" w:rsidRDefault="00197EC9" w:rsidP="00197EC9">
      <w:pPr>
        <w:pStyle w:val="StandardWeb"/>
      </w:pPr>
      <w:r>
        <w:t>Dann gilt beispielsweise</w:t>
      </w:r>
    </w:p>
    <w:p w:rsidR="00197EC9" w:rsidRDefault="00197EC9" w:rsidP="00197EC9">
      <w:pPr>
        <w:pStyle w:val="berschrift1"/>
      </w:pPr>
      <w:r>
        <w:t>[</w:t>
      </w:r>
      <w:r>
        <w:br/>
        <w:t>S_{\boldsymbol{\lambda}}(X)</w:t>
      </w:r>
    </w:p>
    <w:p w:rsidR="00197EC9" w:rsidRDefault="00197EC9" w:rsidP="00197EC9">
      <w:pPr>
        <w:pStyle w:val="StandardWeb"/>
      </w:pPr>
      <w:r>
        <w:lastRenderedPageBreak/>
        <w:t>\lambda X.</w:t>
      </w:r>
      <w:r>
        <w:br/>
        <w:t>\tag{3.10995}</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S_{\boldsymbol{\lambda}}(X)=\lambda X</w:t>
      </w:r>
    </w:p>
    <w:p w:rsidR="00197EC9" w:rsidRDefault="00E50336" w:rsidP="00197EC9">
      <w:r>
        <w:pict>
          <v:rect id="_x0000_i3627" style="width:0;height:1.5pt" o:hralign="center" o:hrstd="t" o:hr="t" fillcolor="#a0a0a0" stroked="f"/>
        </w:pict>
      </w:r>
    </w:p>
    <w:p w:rsidR="00197EC9" w:rsidRDefault="00197EC9" w:rsidP="00197EC9">
      <w:pPr>
        <w:pStyle w:val="berschrift1"/>
      </w:pPr>
      <w:r>
        <w:t>3.3.46.110 Definition 3.3.183 – Isotrope funktionale Skalierung</w:t>
      </w:r>
    </w:p>
    <w:p w:rsidR="00197EC9" w:rsidRDefault="00197EC9" w:rsidP="00197EC9">
      <w:pPr>
        <w:pStyle w:val="berschrift3"/>
      </w:pPr>
      <w:r>
        <w:t>Definition 3.3.183</w:t>
      </w:r>
    </w:p>
    <w:p w:rsidR="00197EC9" w:rsidRDefault="00197EC9" w:rsidP="00197EC9">
      <w:pPr>
        <w:pStyle w:val="StandardWeb"/>
      </w:pPr>
      <w:r>
        <w:t xml:space="preserve">Eine mehrparametrige Skalierung heißt </w:t>
      </w:r>
      <w:r>
        <w:rPr>
          <w:rStyle w:val="Fett"/>
        </w:rPr>
        <w:t>isotrop</w:t>
      </w:r>
      <w:r>
        <w:t>, wenn alle relevanten Komponenten mit demselben Skalierungsparameter transformiert werden:</w:t>
      </w:r>
    </w:p>
    <w:p w:rsidR="00197EC9" w:rsidRDefault="00197EC9" w:rsidP="00197EC9">
      <w:pPr>
        <w:pStyle w:val="berschrift1"/>
      </w:pPr>
      <w:r>
        <w:t>[</w:t>
      </w:r>
      <w:r>
        <w:br/>
        <w:t>\boxed{</w:t>
      </w:r>
      <w:r>
        <w:br/>
        <w:t>\lambda_1</w:t>
      </w:r>
    </w:p>
    <w:p w:rsidR="00197EC9" w:rsidRDefault="00197EC9" w:rsidP="00197EC9">
      <w:pPr>
        <w:pStyle w:val="berschrift1"/>
      </w:pPr>
      <w:r>
        <w:t>\lambda_2</w:t>
      </w:r>
    </w:p>
    <w:p w:rsidR="00197EC9" w:rsidRDefault="00197EC9" w:rsidP="00197EC9">
      <w:pPr>
        <w:pStyle w:val="berschrift1"/>
      </w:pPr>
      <w:r>
        <w:t>\cdots</w:t>
      </w:r>
    </w:p>
    <w:p w:rsidR="00197EC9" w:rsidRDefault="00197EC9" w:rsidP="00197EC9">
      <w:pPr>
        <w:pStyle w:val="StandardWeb"/>
      </w:pPr>
      <w:r>
        <w:t>\lambda_m.</w:t>
      </w:r>
      <w:r>
        <w:br/>
        <w:t>}</w:t>
      </w:r>
      <w:r>
        <w:br/>
        <w:t>\tag{3.10996}</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\boxed{\lambda_1=\lambda_2=\cdots=\lambda_m.}</w:t>
      </w:r>
    </w:p>
    <w:p w:rsidR="00197EC9" w:rsidRDefault="00E50336" w:rsidP="00197EC9">
      <w:r>
        <w:pict>
          <v:rect id="_x0000_i3628" style="width:0;height:1.5pt" o:hralign="center" o:hrstd="t" o:hr="t" fillcolor="#a0a0a0" stroked="f"/>
        </w:pict>
      </w:r>
    </w:p>
    <w:p w:rsidR="00197EC9" w:rsidRDefault="00197EC9" w:rsidP="00197EC9">
      <w:pPr>
        <w:pStyle w:val="berschrift1"/>
      </w:pPr>
      <w:r>
        <w:t>3.3.46.111 Anisotrope Skalierung</w:t>
      </w:r>
    </w:p>
    <w:p w:rsidR="00197EC9" w:rsidRDefault="00197EC9" w:rsidP="00197EC9">
      <w:pPr>
        <w:pStyle w:val="StandardWeb"/>
      </w:pPr>
      <w:r>
        <w:t>Sind mindestens zwei Skalierungsparameter verschieden,</w:t>
      </w:r>
    </w:p>
    <w:p w:rsidR="00197EC9" w:rsidRDefault="00197EC9" w:rsidP="00197EC9">
      <w:pPr>
        <w:pStyle w:val="StandardWeb"/>
      </w:pPr>
      <w:r>
        <w:t>[</w:t>
      </w:r>
      <w:r>
        <w:br/>
        <w:t>\lambda_i</w:t>
      </w:r>
      <w:r>
        <w:br/>
        <w:t>\neq</w:t>
      </w:r>
      <w:r>
        <w:br/>
        <w:t>\lambda_j</w:t>
      </w:r>
      <w:r>
        <w:br/>
        <w:t>\tag{3.10997}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lastRenderedPageBreak/>
        <w:t>\lambda_i\neq\lambda_j</w:t>
      </w:r>
    </w:p>
    <w:p w:rsidR="00197EC9" w:rsidRDefault="00197EC9" w:rsidP="00197EC9">
      <w:pPr>
        <w:pStyle w:val="StandardWeb"/>
      </w:pPr>
      <w:r>
        <w:t>für wenigstens ein Paar (i\neq j), liegt keine isotrope Skalierung mehr vor.</w:t>
      </w:r>
    </w:p>
    <w:p w:rsidR="00197EC9" w:rsidRDefault="00E50336" w:rsidP="00197EC9">
      <w:r>
        <w:pict>
          <v:rect id="_x0000_i3629" style="width:0;height:1.5pt" o:hralign="center" o:hrstd="t" o:hr="t" fillcolor="#a0a0a0" stroked="f"/>
        </w:pict>
      </w:r>
    </w:p>
    <w:p w:rsidR="00197EC9" w:rsidRDefault="00197EC9" w:rsidP="00197EC9">
      <w:pPr>
        <w:pStyle w:val="berschrift1"/>
      </w:pPr>
      <w:r>
        <w:t>3.3.46.112 Definition 3.3.184 – Anisotrope funktionale Skalierung</w:t>
      </w:r>
    </w:p>
    <w:p w:rsidR="00197EC9" w:rsidRDefault="00197EC9" w:rsidP="00197EC9">
      <w:pPr>
        <w:pStyle w:val="berschrift3"/>
      </w:pPr>
      <w:r>
        <w:t>Definition 3.3.184</w:t>
      </w:r>
    </w:p>
    <w:p w:rsidR="00197EC9" w:rsidRDefault="00197EC9" w:rsidP="00197EC9">
      <w:pPr>
        <w:pStyle w:val="StandardWeb"/>
      </w:pPr>
      <w:r>
        <w:t xml:space="preserve">Eine mehrparametrige funktionale Skalierung heißt </w:t>
      </w:r>
      <w:r>
        <w:rPr>
          <w:rStyle w:val="Fett"/>
        </w:rPr>
        <w:t>anisotrop</w:t>
      </w:r>
      <w:r>
        <w:t>, wenn</w:t>
      </w:r>
    </w:p>
    <w:p w:rsidR="00197EC9" w:rsidRDefault="00197EC9" w:rsidP="00197EC9">
      <w:pPr>
        <w:pStyle w:val="StandardWeb"/>
      </w:pPr>
      <w:r>
        <w:t>[</w:t>
      </w:r>
      <w:r>
        <w:br/>
        <w:t>\boxed{</w:t>
      </w:r>
      <w:r>
        <w:br/>
        <w:t>\exists i\neq j:</w:t>
      </w:r>
      <w:r>
        <w:br/>
        <w:t>\lambda_i\neq\lambda_j.</w:t>
      </w:r>
      <w:r>
        <w:br/>
        <w:t>}</w:t>
      </w:r>
      <w:r>
        <w:br/>
        <w:t>\tag{3.10998}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\boxed{\exists i\neq j:\lambda_i\neq\lambda_j.}</w:t>
      </w:r>
    </w:p>
    <w:p w:rsidR="00197EC9" w:rsidRDefault="00197EC9" w:rsidP="00197EC9">
      <w:pPr>
        <w:pStyle w:val="StandardWeb"/>
      </w:pPr>
      <w:r>
        <w:t>Die Bezeichnung „anisotrop“ beschreibt hier zunächst ausschließlich unterschiedliche Skalierungswirkungen auf verschiedene mathematische Komponenten. Eine räumlich-physikalische Anisotropie ist damit nicht automatisch gemeint.</w:t>
      </w:r>
    </w:p>
    <w:p w:rsidR="00197EC9" w:rsidRDefault="00E50336" w:rsidP="00197EC9">
      <w:r>
        <w:pict>
          <v:rect id="_x0000_i3630" style="width:0;height:1.5pt" o:hralign="center" o:hrstd="t" o:hr="t" fillcolor="#a0a0a0" stroked="f"/>
        </w:pict>
      </w:r>
    </w:p>
    <w:p w:rsidR="00197EC9" w:rsidRDefault="00197EC9" w:rsidP="00197EC9">
      <w:pPr>
        <w:pStyle w:val="berschrift1"/>
      </w:pPr>
      <w:r>
        <w:t>3.3.46.113 Keine Gleichsetzung mit räumlicher Anisotropie</w:t>
      </w:r>
    </w:p>
    <w:p w:rsidR="00197EC9" w:rsidRDefault="00197EC9" w:rsidP="00197EC9">
      <w:pPr>
        <w:pStyle w:val="StandardWeb"/>
      </w:pPr>
      <w:r>
        <w:t>Daher gilt ausdrücklich</w:t>
      </w:r>
    </w:p>
    <w:p w:rsidR="00197EC9" w:rsidRDefault="00197EC9" w:rsidP="00197EC9">
      <w:pPr>
        <w:pStyle w:val="StandardWeb"/>
      </w:pPr>
      <w:r>
        <w:t>[</w:t>
      </w:r>
      <w:r>
        <w:br/>
        <w:t>\boxed{</w:t>
      </w:r>
      <w:r>
        <w:br/>
        <w:t>\operatorname{Aniso}</w:t>
      </w:r>
      <w:r>
        <w:rPr>
          <w:rStyle w:val="Hervorhebung"/>
        </w:rPr>
        <w:t>{\mathrm{sc}}</w:t>
      </w:r>
      <w:r>
        <w:rPr>
          <w:i/>
          <w:iCs/>
        </w:rPr>
        <w:br/>
      </w:r>
      <w:r>
        <w:rPr>
          <w:rStyle w:val="Hervorhebung"/>
        </w:rPr>
        <w:t>\not\equiv</w:t>
      </w:r>
      <w:r>
        <w:rPr>
          <w:i/>
          <w:iCs/>
        </w:rPr>
        <w:br/>
      </w:r>
      <w:r>
        <w:rPr>
          <w:rStyle w:val="Hervorhebung"/>
        </w:rPr>
        <w:t>\operatorname{Aniso}</w:t>
      </w:r>
      <w:r>
        <w:t>{\mathrm{space}}.</w:t>
      </w:r>
      <w:r>
        <w:br/>
        <w:t>}</w:t>
      </w:r>
      <w:r>
        <w:br/>
        <w:t>\tag{3.10999}</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\boxed{\operatorname{Aniso}_{\mathrm{sc}}\not\equiv\operatorname{Aniso}_{\mathrm{space}}.}</w:t>
      </w:r>
    </w:p>
    <w:p w:rsidR="00197EC9" w:rsidRDefault="00197EC9" w:rsidP="00197EC9">
      <w:pPr>
        <w:pStyle w:val="StandardWeb"/>
      </w:pPr>
      <w:r>
        <w:lastRenderedPageBreak/>
        <w:t>Erst ein konkretes physikalisches Modell kann beide Begriffe miteinander verbinden.</w:t>
      </w:r>
    </w:p>
    <w:p w:rsidR="00197EC9" w:rsidRDefault="00E50336" w:rsidP="00197EC9">
      <w:r>
        <w:pict>
          <v:rect id="_x0000_i3631" style="width:0;height:1.5pt" o:hralign="center" o:hrstd="t" o:hr="t" fillcolor="#a0a0a0" stroked="f"/>
        </w:pict>
      </w:r>
    </w:p>
    <w:p w:rsidR="00197EC9" w:rsidRDefault="00197EC9" w:rsidP="00197EC9">
      <w:pPr>
        <w:pStyle w:val="berschrift1"/>
      </w:pPr>
      <w:r>
        <w:t>3.3.46.114 Gewichtete Einparameterskalierung</w:t>
      </w:r>
    </w:p>
    <w:p w:rsidR="00197EC9" w:rsidRDefault="00197EC9" w:rsidP="00197EC9">
      <w:pPr>
        <w:pStyle w:val="StandardWeb"/>
      </w:pPr>
      <w:r>
        <w:t>Eine häufig nützliche Zwischenform besteht darin, weiterhin nur einen Parameter (\lambda) zu verwenden, einzelnen Komponenten aber unterschiedliche Exponenten zuzuordnen:</w:t>
      </w:r>
    </w:p>
    <w:p w:rsidR="00197EC9" w:rsidRDefault="00197EC9" w:rsidP="00197EC9">
      <w:pPr>
        <w:pStyle w:val="StandardWeb"/>
      </w:pPr>
      <w:r>
        <w:t>[</w:t>
      </w:r>
      <w:r>
        <w:br/>
        <w:t>X_i</w:t>
      </w:r>
      <w:r>
        <w:br/>
        <w:t>\mapsto</w:t>
      </w:r>
      <w:r>
        <w:br/>
        <w:t>\lambda^{w_i}X_i.</w:t>
      </w:r>
      <w:r>
        <w:br/>
        <w:t>\tag{3.11000}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X_i\mapsto\lambda^{w_i}X_i</w:t>
      </w:r>
    </w:p>
    <w:p w:rsidR="00197EC9" w:rsidRDefault="00E50336" w:rsidP="00197EC9">
      <w:r>
        <w:pict>
          <v:rect id="_x0000_i3632" style="width:0;height:1.5pt" o:hralign="center" o:hrstd="t" o:hr="t" fillcolor="#a0a0a0" stroked="f"/>
        </w:pict>
      </w:r>
    </w:p>
    <w:p w:rsidR="00197EC9" w:rsidRDefault="00197EC9" w:rsidP="00197EC9">
      <w:pPr>
        <w:pStyle w:val="berschrift1"/>
      </w:pPr>
      <w:r>
        <w:t>3.3.46.115 Definition 3.3.185 – Gewichtete funktionale Skalierung</w:t>
      </w:r>
    </w:p>
    <w:p w:rsidR="00197EC9" w:rsidRDefault="00197EC9" w:rsidP="00197EC9">
      <w:pPr>
        <w:pStyle w:val="berschrift3"/>
      </w:pPr>
      <w:r>
        <w:t>Definition 3.3.185</w:t>
      </w:r>
    </w:p>
    <w:p w:rsidR="00197EC9" w:rsidRDefault="00197EC9" w:rsidP="00197EC9">
      <w:pPr>
        <w:pStyle w:val="StandardWeb"/>
      </w:pPr>
      <w:r>
        <w:t xml:space="preserve">Eine </w:t>
      </w:r>
      <w:r>
        <w:rPr>
          <w:rStyle w:val="Fett"/>
        </w:rPr>
        <w:t>gewichtete funktionale Skalierung</w:t>
      </w:r>
      <w:r>
        <w:t xml:space="preserve"> ist eine Skalierungswirkung der Form</w:t>
      </w:r>
    </w:p>
    <w:p w:rsidR="00197EC9" w:rsidRDefault="00197EC9" w:rsidP="00197EC9">
      <w:pPr>
        <w:pStyle w:val="berschrift1"/>
      </w:pPr>
      <w:r>
        <w:t>[</w:t>
      </w:r>
      <w:r>
        <w:br/>
        <w:t>\boxed{</w:t>
      </w:r>
      <w:r>
        <w:br/>
        <w:t>S_\lambda(X_1,\ldots,X_m)</w:t>
      </w:r>
    </w:p>
    <w:p w:rsidR="00197EC9" w:rsidRDefault="00197EC9" w:rsidP="00197EC9">
      <w:pPr>
        <w:pStyle w:val="StandardWeb"/>
      </w:pPr>
      <w:r>
        <w:t>\left(</w:t>
      </w:r>
      <w:r>
        <w:br/>
        <w:t>\lambda^{w_1}X_1,</w:t>
      </w:r>
      <w:r>
        <w:br/>
        <w:t>\ldots,</w:t>
      </w:r>
      <w:r>
        <w:br/>
        <w:t>\lambda^{w_m}X_m</w:t>
      </w:r>
      <w:r>
        <w:br/>
        <w:t>\right).</w:t>
      </w:r>
      <w:r>
        <w:br/>
        <w:t>}</w:t>
      </w:r>
      <w:r>
        <w:br/>
        <w:t>\tag{3.11001}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\boxed{S_\lambda(X_1,\ldots,X_m)=\left(\lambda^{w_1}X_1,\ldots,\lambda^{w_m}X_m\right).}</w:t>
      </w:r>
    </w:p>
    <w:p w:rsidR="00197EC9" w:rsidRDefault="00197EC9" w:rsidP="00197EC9">
      <w:pPr>
        <w:pStyle w:val="StandardWeb"/>
      </w:pPr>
      <w:r>
        <w:t>Die Zahlen (w_i) bezeichne ich als Komponenten-Skalierungsgewichte.</w:t>
      </w:r>
    </w:p>
    <w:p w:rsidR="00197EC9" w:rsidRDefault="00E50336" w:rsidP="00197EC9">
      <w:r>
        <w:lastRenderedPageBreak/>
        <w:pict>
          <v:rect id="_x0000_i3633" style="width:0;height:1.5pt" o:hralign="center" o:hrstd="t" o:hr="t" fillcolor="#a0a0a0" stroked="f"/>
        </w:pict>
      </w:r>
    </w:p>
    <w:p w:rsidR="00197EC9" w:rsidRDefault="00197EC9" w:rsidP="00197EC9">
      <w:pPr>
        <w:pStyle w:val="berschrift1"/>
      </w:pPr>
      <w:r>
        <w:t>3.3.46.116 Isotrope gewichtete Skalierung</w:t>
      </w:r>
    </w:p>
    <w:p w:rsidR="00197EC9" w:rsidRDefault="00197EC9" w:rsidP="00197EC9">
      <w:pPr>
        <w:pStyle w:val="StandardWeb"/>
      </w:pPr>
      <w:r>
        <w:t>Für</w:t>
      </w:r>
    </w:p>
    <w:p w:rsidR="00197EC9" w:rsidRDefault="00197EC9" w:rsidP="00197EC9">
      <w:pPr>
        <w:pStyle w:val="berschrift1"/>
      </w:pPr>
      <w:r>
        <w:t>[</w:t>
      </w:r>
      <w:r>
        <w:br/>
        <w:t>w_1</w:t>
      </w:r>
    </w:p>
    <w:p w:rsidR="00197EC9" w:rsidRDefault="00197EC9" w:rsidP="00197EC9">
      <w:pPr>
        <w:pStyle w:val="berschrift1"/>
      </w:pPr>
      <w:r>
        <w:t>\cdots</w:t>
      </w:r>
    </w:p>
    <w:p w:rsidR="00197EC9" w:rsidRDefault="00197EC9" w:rsidP="00197EC9">
      <w:pPr>
        <w:pStyle w:val="StandardWeb"/>
      </w:pPr>
      <w:r>
        <w:t>w_m</w:t>
      </w:r>
      <w:r>
        <w:br/>
        <w:t>\tag{3.11002}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w_1=\cdots=w_m</w:t>
      </w:r>
    </w:p>
    <w:p w:rsidR="00197EC9" w:rsidRDefault="00197EC9" w:rsidP="00197EC9">
      <w:pPr>
        <w:pStyle w:val="StandardWeb"/>
      </w:pPr>
      <w:r>
        <w:t>werden sämtliche Komponenten mit demselben Potenzgesetz skaliert.</w:t>
      </w:r>
    </w:p>
    <w:p w:rsidR="00197EC9" w:rsidRDefault="00E50336" w:rsidP="00197EC9">
      <w:r>
        <w:pict>
          <v:rect id="_x0000_i3634" style="width:0;height:1.5pt" o:hralign="center" o:hrstd="t" o:hr="t" fillcolor="#a0a0a0" stroked="f"/>
        </w:pict>
      </w:r>
    </w:p>
    <w:p w:rsidR="00197EC9" w:rsidRDefault="00197EC9" w:rsidP="00197EC9">
      <w:pPr>
        <w:pStyle w:val="berschrift1"/>
      </w:pPr>
      <w:r>
        <w:t>3.3.46.117 Anisotrope gewichtete Skalierung</w:t>
      </w:r>
    </w:p>
    <w:p w:rsidR="00197EC9" w:rsidRDefault="00197EC9" w:rsidP="00197EC9">
      <w:pPr>
        <w:pStyle w:val="StandardWeb"/>
      </w:pPr>
      <w:r>
        <w:t>Sind dagegen</w:t>
      </w:r>
    </w:p>
    <w:p w:rsidR="00197EC9" w:rsidRDefault="00197EC9" w:rsidP="00197EC9">
      <w:pPr>
        <w:pStyle w:val="StandardWeb"/>
      </w:pPr>
      <w:r>
        <w:t>[</w:t>
      </w:r>
      <w:r>
        <w:br/>
        <w:t>w_i</w:t>
      </w:r>
      <w:r>
        <w:br/>
        <w:t>\neq</w:t>
      </w:r>
      <w:r>
        <w:br/>
        <w:t>w_j</w:t>
      </w:r>
      <w:r>
        <w:br/>
        <w:t>\tag{3.11003}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w_i\neq w_j</w:t>
      </w:r>
    </w:p>
    <w:p w:rsidR="00197EC9" w:rsidRDefault="00197EC9" w:rsidP="00197EC9">
      <w:pPr>
        <w:pStyle w:val="StandardWeb"/>
      </w:pPr>
      <w:r>
        <w:t>für wenigstens zwei Komponenten, besitzt die Skalierung unterschiedliche Skalierungsraten.</w:t>
      </w:r>
    </w:p>
    <w:p w:rsidR="00197EC9" w:rsidRDefault="00E50336" w:rsidP="00197EC9">
      <w:r>
        <w:pict>
          <v:rect id="_x0000_i3635" style="width:0;height:1.5pt" o:hralign="center" o:hrstd="t" o:hr="t" fillcolor="#a0a0a0" stroked="f"/>
        </w:pict>
      </w:r>
    </w:p>
    <w:p w:rsidR="00197EC9" w:rsidRDefault="00197EC9" w:rsidP="00197EC9">
      <w:pPr>
        <w:pStyle w:val="berschrift1"/>
      </w:pPr>
      <w:r>
        <w:t>3.3.46.118 Skalierungsgewichtsvektor</w:t>
      </w:r>
    </w:p>
    <w:p w:rsidR="00197EC9" w:rsidRDefault="00197EC9" w:rsidP="00197EC9">
      <w:pPr>
        <w:pStyle w:val="StandardWeb"/>
      </w:pPr>
      <w:r>
        <w:t>Die Komponenten-Skalierungsgewichte können zu einem Vektor zusammengefasst werden:</w:t>
      </w:r>
    </w:p>
    <w:p w:rsidR="00197EC9" w:rsidRDefault="00197EC9" w:rsidP="00197EC9">
      <w:pPr>
        <w:pStyle w:val="berschrift1"/>
      </w:pPr>
      <w:r>
        <w:lastRenderedPageBreak/>
        <w:t>[</w:t>
      </w:r>
      <w:r>
        <w:br/>
        <w:t>\mathbf w</w:t>
      </w:r>
    </w:p>
    <w:p w:rsidR="00197EC9" w:rsidRDefault="00197EC9" w:rsidP="00197EC9">
      <w:pPr>
        <w:pStyle w:val="StandardWeb"/>
      </w:pPr>
      <w:r>
        <w:t>(w_1,\ldots,w_m).</w:t>
      </w:r>
      <w:r>
        <w:br/>
        <w:t>\tag{3.11004}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\mathbf w=(w_1,\ldots,w_m)</w:t>
      </w:r>
    </w:p>
    <w:p w:rsidR="00197EC9" w:rsidRDefault="00E50336" w:rsidP="00197EC9">
      <w:r>
        <w:pict>
          <v:rect id="_x0000_i3636" style="width:0;height:1.5pt" o:hralign="center" o:hrstd="t" o:hr="t" fillcolor="#a0a0a0" stroked="f"/>
        </w:pict>
      </w:r>
    </w:p>
    <w:p w:rsidR="00197EC9" w:rsidRDefault="00197EC9" w:rsidP="00197EC9">
      <w:pPr>
        <w:pStyle w:val="berschrift1"/>
      </w:pPr>
      <w:r>
        <w:t>3.3.46.119 Definition 3.3.186 – Funktionaler Skalierungsgewichtsvektor</w:t>
      </w:r>
    </w:p>
    <w:p w:rsidR="00197EC9" w:rsidRDefault="00197EC9" w:rsidP="00197EC9">
      <w:pPr>
        <w:pStyle w:val="berschrift3"/>
      </w:pPr>
      <w:r>
        <w:t>Definition 3.3.186</w:t>
      </w:r>
    </w:p>
    <w:p w:rsidR="00197EC9" w:rsidRDefault="00197EC9" w:rsidP="00197EC9">
      <w:pPr>
        <w:pStyle w:val="StandardWeb"/>
      </w:pPr>
      <w:r>
        <w:t xml:space="preserve">Der </w:t>
      </w:r>
      <w:r>
        <w:rPr>
          <w:rStyle w:val="Fett"/>
        </w:rPr>
        <w:t>funktionale Skalierungsgewichtsvektor</w:t>
      </w:r>
      <w:r>
        <w:t xml:space="preserve"> einer gewichteten Skalierung ist</w:t>
      </w:r>
    </w:p>
    <w:p w:rsidR="00197EC9" w:rsidRDefault="00197EC9" w:rsidP="00197EC9">
      <w:pPr>
        <w:pStyle w:val="StandardWeb"/>
      </w:pPr>
      <w:r>
        <w:t>[</w:t>
      </w:r>
      <w:r>
        <w:br/>
        <w:t>\boxed{</w:t>
      </w:r>
      <w:r>
        <w:br/>
        <w:t>\mathbf w_{\mathrm{sc}}</w:t>
      </w:r>
      <w:r>
        <w:br/>
        <w:t>:=</w:t>
      </w:r>
      <w:r>
        <w:br/>
        <w:t>(w_1,\ldots,w_m).</w:t>
      </w:r>
      <w:r>
        <w:br/>
        <w:t>}</w:t>
      </w:r>
      <w:r>
        <w:br/>
        <w:t>\tag{3.11005}</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\boxed{\mathbf w_{\mathrm{sc}}:=(w_1,\ldots,w_m).}</w:t>
      </w:r>
    </w:p>
    <w:p w:rsidR="00197EC9" w:rsidRDefault="00E50336" w:rsidP="00197EC9">
      <w:r>
        <w:pict>
          <v:rect id="_x0000_i3637" style="width:0;height:1.5pt" o:hralign="center" o:hrstd="t" o:hr="t" fillcolor="#a0a0a0" stroked="f"/>
        </w:pict>
      </w:r>
    </w:p>
    <w:p w:rsidR="00197EC9" w:rsidRDefault="00197EC9" w:rsidP="00197EC9">
      <w:pPr>
        <w:pStyle w:val="berschrift1"/>
      </w:pPr>
      <w:r>
        <w:t>3.3.46.120 Komposition gewichteter Skalierungen</w:t>
      </w:r>
    </w:p>
    <w:p w:rsidR="00197EC9" w:rsidRDefault="00197EC9" w:rsidP="00197EC9">
      <w:pPr>
        <w:pStyle w:val="StandardWeb"/>
      </w:pPr>
      <w:r>
        <w:t>Für zwei Parameter (\lambda_1,\lambda_2) gilt komponentenweise</w:t>
      </w:r>
    </w:p>
    <w:p w:rsidR="00197EC9" w:rsidRDefault="00197EC9" w:rsidP="00197EC9">
      <w:pPr>
        <w:pStyle w:val="berschrift1"/>
      </w:pPr>
      <w:r>
        <w:t>[</w:t>
      </w:r>
      <w:r>
        <w:br/>
        <w:t>\lambda_1^{w_i}</w:t>
      </w:r>
      <w:r>
        <w:br/>
        <w:t>\lambda_2^{w_i}</w:t>
      </w:r>
    </w:p>
    <w:p w:rsidR="00197EC9" w:rsidRDefault="00197EC9" w:rsidP="00197EC9">
      <w:pPr>
        <w:pStyle w:val="StandardWeb"/>
      </w:pPr>
      <w:r>
        <w:t>(\lambda_1\lambda_2)^{w_i}.</w:t>
      </w:r>
      <w:r>
        <w:br/>
        <w:t>\tag{3.11006}</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lastRenderedPageBreak/>
        <w:t>\lambda_1^{w_i}\lambda_2^{w_i}=(\lambda_1\lambda_2)^{w_i}</w:t>
      </w:r>
    </w:p>
    <w:p w:rsidR="00197EC9" w:rsidRDefault="00197EC9" w:rsidP="00197EC9">
      <w:pPr>
        <w:pStyle w:val="StandardWeb"/>
      </w:pPr>
      <w:r>
        <w:t>Daraus folgt</w:t>
      </w:r>
    </w:p>
    <w:p w:rsidR="00197EC9" w:rsidRDefault="00197EC9" w:rsidP="00197EC9">
      <w:pPr>
        <w:pStyle w:val="berschrift1"/>
      </w:pPr>
      <w:r>
        <w:t>[</w:t>
      </w:r>
      <w:r>
        <w:br/>
        <w:t>S_{\lambda_1}</w:t>
      </w:r>
      <w:r>
        <w:br/>
        <w:t>\circ</w:t>
      </w:r>
      <w:r>
        <w:br/>
        <w:t>S_{\lambda_2}</w:t>
      </w:r>
    </w:p>
    <w:p w:rsidR="00197EC9" w:rsidRDefault="00197EC9" w:rsidP="00197EC9">
      <w:pPr>
        <w:pStyle w:val="StandardWeb"/>
      </w:pPr>
      <w:r>
        <w:t>S_{\lambda_1\lambda_2}.</w:t>
      </w:r>
      <w:r>
        <w:br/>
        <w:t>\tag{3.11007}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S_{\lambda_1}\circ S_{\lambda_2}=S_{\lambda_1\lambda_2}</w:t>
      </w:r>
    </w:p>
    <w:p w:rsidR="00197EC9" w:rsidRDefault="00E50336" w:rsidP="00197EC9">
      <w:r>
        <w:pict>
          <v:rect id="_x0000_i3638" style="width:0;height:1.5pt" o:hralign="center" o:hrstd="t" o:hr="t" fillcolor="#a0a0a0" stroked="f"/>
        </w:pict>
      </w:r>
    </w:p>
    <w:p w:rsidR="00197EC9" w:rsidRDefault="00197EC9" w:rsidP="00197EC9">
      <w:pPr>
        <w:pStyle w:val="berschrift1"/>
      </w:pPr>
      <w:r>
        <w:t>3.3.46.121 Satz 3.3.85 – Gewichtete Skalierungen bilden bei invertierbaren Parametern eine Gruppenwirkung</w:t>
      </w:r>
    </w:p>
    <w:p w:rsidR="00197EC9" w:rsidRDefault="00197EC9" w:rsidP="00197EC9">
      <w:pPr>
        <w:pStyle w:val="berschrift3"/>
      </w:pPr>
      <w:r>
        <w:t>Satz 3.3.85</w:t>
      </w:r>
    </w:p>
    <w:p w:rsidR="00197EC9" w:rsidRDefault="00197EC9" w:rsidP="00197EC9">
      <w:pPr>
        <w:pStyle w:val="StandardWeb"/>
      </w:pPr>
      <w:r>
        <w:t>Für (\lambda\in\Lambda^\times) bildet die gewichtete Skalierung</w:t>
      </w:r>
    </w:p>
    <w:p w:rsidR="00197EC9" w:rsidRDefault="00197EC9" w:rsidP="00197EC9">
      <w:pPr>
        <w:pStyle w:val="berschrift1"/>
      </w:pPr>
      <w:r>
        <w:t>[</w:t>
      </w:r>
      <w:r>
        <w:br/>
        <w:t>S_\lambda(X_i)</w:t>
      </w:r>
    </w:p>
    <w:p w:rsidR="00197EC9" w:rsidRDefault="00197EC9" w:rsidP="00197EC9">
      <w:pPr>
        <w:pStyle w:val="StandardWeb"/>
      </w:pPr>
      <w:r>
        <w:t>\lambda^{w_i}X_i</w:t>
      </w:r>
      <w:r>
        <w:br/>
        <w:t>\tag{3.11008}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S_\lambda(X_i)=\lambda^{w_i}X_i</w:t>
      </w:r>
    </w:p>
    <w:p w:rsidR="00197EC9" w:rsidRDefault="00197EC9" w:rsidP="00197EC9">
      <w:pPr>
        <w:pStyle w:val="StandardWeb"/>
      </w:pPr>
      <w:r>
        <w:t>eine Gruppenwirkung, sofern sämtliche Potenzen im betrachteten Skalarenbereich wohldefiniert sind.</w:t>
      </w:r>
    </w:p>
    <w:p w:rsidR="00197EC9" w:rsidRDefault="00197EC9" w:rsidP="00197EC9">
      <w:pPr>
        <w:pStyle w:val="StandardWeb"/>
      </w:pPr>
      <w:r>
        <w:t>Formal gilt</w:t>
      </w:r>
    </w:p>
    <w:p w:rsidR="00197EC9" w:rsidRDefault="00197EC9" w:rsidP="00197EC9">
      <w:pPr>
        <w:pStyle w:val="berschrift1"/>
      </w:pPr>
      <w:r>
        <w:lastRenderedPageBreak/>
        <w:t>[</w:t>
      </w:r>
      <w:r>
        <w:br/>
        <w:t>\boxed{</w:t>
      </w:r>
      <w:r>
        <w:br/>
        <w:t>S_1</w:t>
      </w:r>
    </w:p>
    <w:p w:rsidR="00197EC9" w:rsidRDefault="00197EC9" w:rsidP="00197EC9">
      <w:pPr>
        <w:pStyle w:val="berschrift1"/>
      </w:pPr>
      <w:r>
        <w:t>\operatorname{id},</w:t>
      </w:r>
      <w:r>
        <w:br/>
        <w:t>\qquad</w:t>
      </w:r>
      <w:r>
        <w:br/>
        <w:t>S_{\lambda_1}\circ S_{\lambda_2}</w:t>
      </w:r>
    </w:p>
    <w:p w:rsidR="00197EC9" w:rsidRDefault="00197EC9" w:rsidP="00197EC9">
      <w:pPr>
        <w:pStyle w:val="StandardWeb"/>
      </w:pPr>
      <w:r>
        <w:t>S_{\lambda_1\lambda_2}.</w:t>
      </w:r>
      <w:r>
        <w:br/>
        <w:t>}</w:t>
      </w:r>
      <w:r>
        <w:br/>
        <w:t>\tag{3.11009}</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\boxed{S_1=\operatorname{id},\qquad S_{\lambda_1}\circ S_{\lambda_2}=S_{\lambda_1\lambda_2}.}</w:t>
      </w:r>
    </w:p>
    <w:p w:rsidR="00197EC9" w:rsidRDefault="00197EC9" w:rsidP="00197EC9">
      <w:pPr>
        <w:pStyle w:val="berschrift3"/>
      </w:pPr>
      <w:r>
        <w:t>Beweis</w:t>
      </w:r>
    </w:p>
    <w:p w:rsidR="00197EC9" w:rsidRDefault="00197EC9" w:rsidP="00197EC9">
      <w:pPr>
        <w:pStyle w:val="StandardWeb"/>
      </w:pPr>
      <w:r>
        <w:t>Für jede Komponente gilt</w:t>
      </w:r>
    </w:p>
    <w:p w:rsidR="00197EC9" w:rsidRDefault="00197EC9" w:rsidP="00197EC9">
      <w:pPr>
        <w:pStyle w:val="berschrift1"/>
      </w:pPr>
      <w:r>
        <w:t>[</w:t>
      </w:r>
      <w:r>
        <w:br/>
        <w:t>S_1(X_i)</w:t>
      </w:r>
    </w:p>
    <w:p w:rsidR="00197EC9" w:rsidRDefault="00197EC9" w:rsidP="00197EC9">
      <w:pPr>
        <w:pStyle w:val="berschrift1"/>
      </w:pPr>
      <w:r>
        <w:t>1^{w_i}X_i</w:t>
      </w:r>
    </w:p>
    <w:p w:rsidR="00197EC9" w:rsidRDefault="00197EC9" w:rsidP="00197EC9">
      <w:pPr>
        <w:pStyle w:val="StandardWeb"/>
      </w:pPr>
      <w:r>
        <w:t>X_i.</w:t>
      </w:r>
      <w:r>
        <w:br/>
        <w:t>\tag{3.11010}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S_1(X_i)=1^{w_i}X_i=X_i</w:t>
      </w:r>
    </w:p>
    <w:p w:rsidR="00197EC9" w:rsidRDefault="00197EC9" w:rsidP="00197EC9">
      <w:pPr>
        <w:pStyle w:val="StandardWeb"/>
      </w:pPr>
      <w:r>
        <w:t>Außerdem gilt</w:t>
      </w:r>
    </w:p>
    <w:p w:rsidR="00197EC9" w:rsidRDefault="00197EC9" w:rsidP="00197EC9">
      <w:pPr>
        <w:pStyle w:val="berschrift1"/>
      </w:pPr>
      <w:r>
        <w:t>[</w:t>
      </w:r>
      <w:r>
        <w:br/>
        <w:t>S_{\lambda_1}</w:t>
      </w:r>
      <w:r>
        <w:br/>
        <w:t>\left(</w:t>
      </w:r>
      <w:r>
        <w:br/>
        <w:t>S_{\lambda_2}(X_i)</w:t>
      </w:r>
      <w:r>
        <w:br/>
        <w:t>\right)</w:t>
      </w:r>
    </w:p>
    <w:p w:rsidR="00197EC9" w:rsidRDefault="00197EC9" w:rsidP="00197EC9">
      <w:pPr>
        <w:pStyle w:val="berschrift1"/>
      </w:pPr>
      <w:r>
        <w:lastRenderedPageBreak/>
        <w:t>\lambda_1^{w_i}\lambda_2^{w_i}X_i</w:t>
      </w:r>
    </w:p>
    <w:p w:rsidR="00197EC9" w:rsidRDefault="00197EC9" w:rsidP="00197EC9">
      <w:pPr>
        <w:pStyle w:val="StandardWeb"/>
      </w:pPr>
      <w:r>
        <w:t>(\lambda_1\lambda_2)^{w_i}X_i.</w:t>
      </w:r>
      <w:r>
        <w:br/>
        <w:t>\tag{3.11011}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S_{\lambda_1}\left(S_{\lambda_2}(X_i)\right)=\lambda_1^{w_i}\lambda_2^{w_i}X_i=(\lambda_1\lambda_2)^{w_i}X_i</w:t>
      </w:r>
    </w:p>
    <w:p w:rsidR="00197EC9" w:rsidRDefault="00197EC9" w:rsidP="00197EC9">
      <w:pPr>
        <w:pStyle w:val="StandardWeb"/>
      </w:pPr>
      <w:r>
        <w:t>Damit gelten die Gruppenwirkungsbedingungen komponentenweise. (\square)</w:t>
      </w:r>
    </w:p>
    <w:p w:rsidR="00197EC9" w:rsidRDefault="00E50336" w:rsidP="00197EC9">
      <w:r>
        <w:pict>
          <v:rect id="_x0000_i3639" style="width:0;height:1.5pt" o:hralign="center" o:hrstd="t" o:hr="t" fillcolor="#a0a0a0" stroked="f"/>
        </w:pict>
      </w:r>
    </w:p>
    <w:p w:rsidR="00197EC9" w:rsidRDefault="00197EC9" w:rsidP="00197EC9">
      <w:pPr>
        <w:pStyle w:val="berschrift1"/>
      </w:pPr>
      <w:r>
        <w:t>3.3.46.122 Mehrparametrige Homogenität</w:t>
      </w:r>
    </w:p>
    <w:p w:rsidR="00197EC9" w:rsidRDefault="00197EC9" w:rsidP="00197EC9">
      <w:pPr>
        <w:pStyle w:val="StandardWeb"/>
      </w:pPr>
      <w:r>
        <w:t>Bei mehreren Skalierungsparametern reicht ein einzelner Homogenitätsgrad im Allgemeinen nicht mehr aus.</w:t>
      </w:r>
    </w:p>
    <w:p w:rsidR="00197EC9" w:rsidRDefault="00197EC9" w:rsidP="00197EC9">
      <w:pPr>
        <w:pStyle w:val="StandardWeb"/>
      </w:pPr>
      <w:r>
        <w:t>Stattdessen kann eine Größe (Q) nach</w:t>
      </w:r>
    </w:p>
    <w:p w:rsidR="00197EC9" w:rsidRDefault="00197EC9" w:rsidP="00197EC9">
      <w:pPr>
        <w:pStyle w:val="berschrift1"/>
      </w:pPr>
      <w:r>
        <w:t>[</w:t>
      </w:r>
      <w:r>
        <w:br/>
        <w:t>Q(S_{\boldsymbol{\lambda}}X)</w:t>
      </w:r>
    </w:p>
    <w:p w:rsidR="00197EC9" w:rsidRDefault="00197EC9" w:rsidP="00197EC9">
      <w:pPr>
        <w:pStyle w:val="StandardWeb"/>
      </w:pPr>
      <w:r>
        <w:t>\prod_{i=1}^{m}</w:t>
      </w:r>
      <w:r>
        <w:br/>
        <w:t>\lambda_i^{k_i}</w:t>
      </w:r>
      <w:r>
        <w:br/>
        <w:t>Q(X)</w:t>
      </w:r>
      <w:r>
        <w:br/>
        <w:t>\tag{3.11012}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Q(S_{\boldsymbol{\lambda}}X)=\prod_{i=1}^{m}\lambda_i^{k_i}Q(X)</w:t>
      </w:r>
    </w:p>
    <w:p w:rsidR="00197EC9" w:rsidRDefault="00197EC9" w:rsidP="00197EC9">
      <w:pPr>
        <w:pStyle w:val="StandardWeb"/>
      </w:pPr>
      <w:r>
        <w:t>transformieren.</w:t>
      </w:r>
    </w:p>
    <w:p w:rsidR="00197EC9" w:rsidRDefault="00E50336" w:rsidP="00197EC9">
      <w:r>
        <w:pict>
          <v:rect id="_x0000_i3640" style="width:0;height:1.5pt" o:hralign="center" o:hrstd="t" o:hr="t" fillcolor="#a0a0a0" stroked="f"/>
        </w:pict>
      </w:r>
    </w:p>
    <w:p w:rsidR="00197EC9" w:rsidRDefault="00197EC9" w:rsidP="00197EC9">
      <w:pPr>
        <w:pStyle w:val="berschrift1"/>
      </w:pPr>
      <w:r>
        <w:t>3.3.46.123 Definition 3.3.187 – Mehrparametrige funktionale Homogenität</w:t>
      </w:r>
    </w:p>
    <w:p w:rsidR="00197EC9" w:rsidRDefault="00197EC9" w:rsidP="00197EC9">
      <w:pPr>
        <w:pStyle w:val="berschrift3"/>
      </w:pPr>
      <w:r>
        <w:t>Definition 3.3.187</w:t>
      </w:r>
    </w:p>
    <w:p w:rsidR="00197EC9" w:rsidRDefault="00197EC9" w:rsidP="00197EC9">
      <w:pPr>
        <w:pStyle w:val="StandardWeb"/>
      </w:pPr>
      <w:r>
        <w:t xml:space="preserve">Eine funktionale Größe (Q) heißt </w:t>
      </w:r>
      <w:r>
        <w:rPr>
          <w:rStyle w:val="Fett"/>
        </w:rPr>
        <w:t>mehrparametrig homogen</w:t>
      </w:r>
      <w:r>
        <w:t xml:space="preserve"> mit Gewichtsvektor</w:t>
      </w:r>
    </w:p>
    <w:p w:rsidR="00197EC9" w:rsidRDefault="00197EC9" w:rsidP="00197EC9">
      <w:pPr>
        <w:pStyle w:val="berschrift1"/>
      </w:pPr>
      <w:r>
        <w:lastRenderedPageBreak/>
        <w:t>[</w:t>
      </w:r>
      <w:r>
        <w:br/>
        <w:t>\mathbf k</w:t>
      </w:r>
    </w:p>
    <w:p w:rsidR="00197EC9" w:rsidRDefault="00197EC9" w:rsidP="00197EC9">
      <w:pPr>
        <w:pStyle w:val="StandardWeb"/>
      </w:pPr>
      <w:r>
        <w:t>(k_1,\ldots,k_m),</w:t>
      </w:r>
      <w:r>
        <w:br/>
        <w:t>\tag{3.11013}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\mathbf k=(k_1,\ldots,k_m)</w:t>
      </w:r>
    </w:p>
    <w:p w:rsidR="00197EC9" w:rsidRDefault="00197EC9" w:rsidP="00197EC9">
      <w:pPr>
        <w:pStyle w:val="StandardWeb"/>
      </w:pPr>
      <w:r>
        <w:t>wenn</w:t>
      </w:r>
    </w:p>
    <w:p w:rsidR="00197EC9" w:rsidRDefault="00197EC9" w:rsidP="00197EC9">
      <w:pPr>
        <w:pStyle w:val="berschrift1"/>
      </w:pPr>
      <w:r>
        <w:t>[</w:t>
      </w:r>
      <w:r>
        <w:br/>
        <w:t>\boxed{</w:t>
      </w:r>
      <w:r>
        <w:br/>
        <w:t>Q(S_{\boldsymbol{\lambda}}X)</w:t>
      </w:r>
    </w:p>
    <w:p w:rsidR="00197EC9" w:rsidRDefault="00197EC9" w:rsidP="00197EC9">
      <w:pPr>
        <w:pStyle w:val="StandardWeb"/>
      </w:pPr>
      <w:r>
        <w:t>\left(</w:t>
      </w:r>
      <w:r>
        <w:br/>
        <w:t>\prod_{i=1}^{m}\lambda_i^{k_i}</w:t>
      </w:r>
      <w:r>
        <w:br/>
        <w:t>\right)</w:t>
      </w:r>
      <w:r>
        <w:br/>
        <w:t>Q(X).</w:t>
      </w:r>
      <w:r>
        <w:br/>
        <w:t>}</w:t>
      </w:r>
      <w:r>
        <w:br/>
        <w:t>\tag{3.11014}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\boxed{Q(S_{\boldsymbol{\lambda}}X)=\left(\prod_{i=1}^{m}\lambda_i^{k_i}\right)Q(X).}</w:t>
      </w:r>
    </w:p>
    <w:p w:rsidR="00197EC9" w:rsidRDefault="00E50336" w:rsidP="00197EC9">
      <w:r>
        <w:pict>
          <v:rect id="_x0000_i3641" style="width:0;height:1.5pt" o:hralign="center" o:hrstd="t" o:hr="t" fillcolor="#a0a0a0" stroked="f"/>
        </w:pict>
      </w:r>
    </w:p>
    <w:p w:rsidR="00197EC9" w:rsidRDefault="00197EC9" w:rsidP="00197EC9">
      <w:pPr>
        <w:pStyle w:val="berschrift1"/>
      </w:pPr>
      <w:r>
        <w:t>3.3.46.124 Mehrparametrige Skalierungsinvarianz</w:t>
      </w:r>
    </w:p>
    <w:p w:rsidR="00197EC9" w:rsidRDefault="00197EC9" w:rsidP="00197EC9">
      <w:pPr>
        <w:pStyle w:val="StandardWeb"/>
      </w:pPr>
      <w:r>
        <w:t>Für</w:t>
      </w:r>
    </w:p>
    <w:p w:rsidR="00197EC9" w:rsidRDefault="00197EC9" w:rsidP="00197EC9">
      <w:pPr>
        <w:pStyle w:val="berschrift1"/>
      </w:pPr>
      <w:r>
        <w:t>[</w:t>
      </w:r>
      <w:r>
        <w:br/>
        <w:t>k_1</w:t>
      </w:r>
    </w:p>
    <w:p w:rsidR="00197EC9" w:rsidRDefault="00197EC9" w:rsidP="00197EC9">
      <w:pPr>
        <w:pStyle w:val="berschrift1"/>
      </w:pPr>
      <w:r>
        <w:t>\cdots</w:t>
      </w:r>
    </w:p>
    <w:p w:rsidR="00197EC9" w:rsidRDefault="00197EC9" w:rsidP="00197EC9">
      <w:pPr>
        <w:pStyle w:val="berschrift1"/>
      </w:pPr>
      <w:r>
        <w:t>k_m</w:t>
      </w:r>
    </w:p>
    <w:p w:rsidR="00197EC9" w:rsidRDefault="00197EC9" w:rsidP="00197EC9">
      <w:pPr>
        <w:pStyle w:val="StandardWeb"/>
      </w:pPr>
      <w:r>
        <w:t>0</w:t>
      </w:r>
      <w:r>
        <w:br/>
        <w:t>\tag{3.11015}</w:t>
      </w:r>
      <w:r>
        <w:br/>
        <w:t>]</w:t>
      </w:r>
    </w:p>
    <w:p w:rsidR="00197EC9" w:rsidRDefault="00197EC9" w:rsidP="00197EC9">
      <w:pPr>
        <w:pStyle w:val="StandardWeb"/>
      </w:pPr>
      <w:r>
        <w:rPr>
          <w:rStyle w:val="Fett"/>
        </w:rPr>
        <w:lastRenderedPageBreak/>
        <w:t>Word-LaTeX</w:t>
      </w:r>
    </w:p>
    <w:p w:rsidR="00197EC9" w:rsidRDefault="00197EC9" w:rsidP="00197EC9">
      <w:pPr>
        <w:pStyle w:val="HTMLVorformatiert"/>
        <w:rPr>
          <w:rStyle w:val="HTMLCode"/>
        </w:rPr>
      </w:pPr>
      <w:r>
        <w:rPr>
          <w:rStyle w:val="HTMLCode"/>
        </w:rPr>
        <w:t>k_1=\cdots=k_m=0</w:t>
      </w:r>
    </w:p>
    <w:p w:rsidR="00197EC9" w:rsidRDefault="00197EC9" w:rsidP="00197EC9">
      <w:pPr>
        <w:pStyle w:val="StandardWeb"/>
      </w:pPr>
      <w:r>
        <w:t>gilt</w:t>
      </w:r>
    </w:p>
    <w:p w:rsidR="00197EC9" w:rsidRDefault="00197EC9" w:rsidP="00197EC9">
      <w:pPr>
        <w:pStyle w:val="berschrift1"/>
      </w:pPr>
      <w:r>
        <w:t>[</w:t>
      </w:r>
      <w:r>
        <w:br/>
        <w:t>Q(S_{\boldsymbol{\lambda}}X)</w:t>
      </w:r>
    </w:p>
    <w:p w:rsidR="00197EC9" w:rsidRDefault="00197EC9" w:rsidP="00197EC9">
      <w:pPr>
        <w:pStyle w:val="StandardWeb"/>
      </w:pPr>
      <w:r>
        <w:t>Q(X).</w:t>
      </w:r>
      <w:r>
        <w:br/>
        <w:t>\tag{3.11016}</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Q(S_{\boldsymbol{\lambda}}X)=Q(X)</w:t>
      </w:r>
    </w:p>
    <w:p w:rsidR="00197EC9" w:rsidRDefault="00E50336" w:rsidP="00197EC9">
      <w:r>
        <w:pict>
          <v:rect id="_x0000_i3642" style="width:0;height:1.5pt" o:hralign="center" o:hrstd="t" o:hr="t" fillcolor="#a0a0a0" stroked="f"/>
        </w:pict>
      </w:r>
    </w:p>
    <w:p w:rsidR="00197EC9" w:rsidRDefault="00197EC9" w:rsidP="00197EC9">
      <w:pPr>
        <w:pStyle w:val="berschrift1"/>
      </w:pPr>
      <w:r>
        <w:t>3.3.46.125 Satz 3.3.86 – Mehrparametrige Skalierungsinvarianz entspricht verschwindendem Gewichtsvektor</w:t>
      </w:r>
    </w:p>
    <w:p w:rsidR="00197EC9" w:rsidRDefault="00197EC9" w:rsidP="00197EC9">
      <w:pPr>
        <w:pStyle w:val="berschrift3"/>
      </w:pPr>
      <w:r>
        <w:t>Satz 3.3.86</w:t>
      </w:r>
    </w:p>
    <w:p w:rsidR="00197EC9" w:rsidRDefault="00197EC9" w:rsidP="00197EC9">
      <w:pPr>
        <w:pStyle w:val="StandardWeb"/>
      </w:pPr>
      <w:r>
        <w:t>Für eine mehrparametrig homogene Größe gilt</w:t>
      </w:r>
    </w:p>
    <w:p w:rsidR="00197EC9" w:rsidRDefault="00197EC9" w:rsidP="00197EC9">
      <w:pPr>
        <w:pStyle w:val="StandardWeb"/>
      </w:pPr>
      <w:r>
        <w:t>[</w:t>
      </w:r>
      <w:r>
        <w:br/>
        <w:t>\boxed{</w:t>
      </w:r>
      <w:r>
        <w:br/>
        <w:t>Q\text{ ist skalierungsinvariant}</w:t>
      </w:r>
      <w:r>
        <w:br/>
        <w:t>\Longleftrightarrow</w:t>
      </w:r>
      <w:r>
        <w:br/>
        <w:t>\mathbf k=\mathbf0.</w:t>
      </w:r>
      <w:r>
        <w:br/>
        <w:t>}</w:t>
      </w:r>
      <w:r>
        <w:br/>
        <w:t>\tag{3.11017}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\boxed{Q\text{ ist skalierungsinvariant}\Longleftrightarrow\mathbf k=\mathbf0.}</w:t>
      </w:r>
    </w:p>
    <w:p w:rsidR="00197EC9" w:rsidRDefault="00197EC9" w:rsidP="00197EC9">
      <w:pPr>
        <w:pStyle w:val="StandardWeb"/>
      </w:pPr>
      <w:r>
        <w:t>Die Aussage folgt unmittelbar aus</w:t>
      </w:r>
    </w:p>
    <w:p w:rsidR="00197EC9" w:rsidRDefault="00197EC9" w:rsidP="00197EC9">
      <w:pPr>
        <w:pStyle w:val="berschrift1"/>
      </w:pPr>
      <w:r>
        <w:t>[</w:t>
      </w:r>
      <w:r>
        <w:br/>
        <w:t>\prod_{i=1}^{m}\lambda_i^0</w:t>
      </w:r>
    </w:p>
    <w:p w:rsidR="00197EC9" w:rsidRDefault="00197EC9" w:rsidP="00152216">
      <w:pPr>
        <w:numPr>
          <w:ilvl w:val="0"/>
          <w:numId w:val="473"/>
        </w:numPr>
        <w:spacing w:before="100" w:beforeAutospacing="1" w:after="100" w:afterAutospacing="1"/>
      </w:pPr>
    </w:p>
    <w:p w:rsidR="00197EC9" w:rsidRDefault="00197EC9" w:rsidP="00197EC9">
      <w:pPr>
        <w:pStyle w:val="StandardWeb"/>
      </w:pPr>
      <w:r>
        <w:lastRenderedPageBreak/>
        <w:t>\tag{3.11018}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\prod_{i=1}^{m}\lambda_i^0=1</w:t>
      </w:r>
    </w:p>
    <w:p w:rsidR="00197EC9" w:rsidRDefault="00197EC9" w:rsidP="00197EC9">
      <w:pPr>
        <w:pStyle w:val="StandardWeb"/>
      </w:pPr>
      <w:r>
        <w:t>(\square)</w:t>
      </w:r>
    </w:p>
    <w:p w:rsidR="00197EC9" w:rsidRDefault="00E50336" w:rsidP="00197EC9">
      <w:r>
        <w:pict>
          <v:rect id="_x0000_i3643" style="width:0;height:1.5pt" o:hralign="center" o:hrstd="t" o:hr="t" fillcolor="#a0a0a0" stroked="f"/>
        </w:pict>
      </w:r>
    </w:p>
    <w:p w:rsidR="00197EC9" w:rsidRDefault="00197EC9" w:rsidP="00197EC9">
      <w:pPr>
        <w:pStyle w:val="berschrift1"/>
      </w:pPr>
      <w:r>
        <w:t>3.3.46.126 Skalierungsgewicht eines Produktes im Mehrparameterfall</w:t>
      </w:r>
    </w:p>
    <w:p w:rsidR="00197EC9" w:rsidRDefault="00197EC9" w:rsidP="00197EC9">
      <w:pPr>
        <w:pStyle w:val="StandardWeb"/>
      </w:pPr>
      <w:r>
        <w:t>Für zwei Größen mit Gewichtsvektoren</w:t>
      </w:r>
    </w:p>
    <w:p w:rsidR="00197EC9" w:rsidRDefault="00197EC9" w:rsidP="00197EC9">
      <w:pPr>
        <w:pStyle w:val="StandardWeb"/>
      </w:pPr>
      <w:r>
        <w:t>[</w:t>
      </w:r>
      <w:r>
        <w:br/>
        <w:t>\mathbf k_Q,</w:t>
      </w:r>
      <w:r>
        <w:br/>
        <w:t>\qquad</w:t>
      </w:r>
      <w:r>
        <w:br/>
        <w:t>\mathbf k_R</w:t>
      </w:r>
      <w:r>
        <w:br/>
        <w:t>\tag{3.11019}</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\mathbf k_Q,\qquad\mathbf k_R</w:t>
      </w:r>
    </w:p>
    <w:p w:rsidR="00197EC9" w:rsidRDefault="00197EC9" w:rsidP="00197EC9">
      <w:pPr>
        <w:pStyle w:val="StandardWeb"/>
      </w:pPr>
      <w:r>
        <w:t>gilt für das Produkt</w:t>
      </w:r>
    </w:p>
    <w:p w:rsidR="00197EC9" w:rsidRDefault="00197EC9" w:rsidP="00197EC9">
      <w:pPr>
        <w:pStyle w:val="berschrift1"/>
      </w:pPr>
      <w:r>
        <w:t>[</w:t>
      </w:r>
      <w:r>
        <w:br/>
        <w:t>\mathbf k_{QR}</w:t>
      </w:r>
    </w:p>
    <w:p w:rsidR="00197EC9" w:rsidRDefault="00197EC9" w:rsidP="00197EC9">
      <w:pPr>
        <w:pStyle w:val="StandardWeb"/>
      </w:pPr>
      <w:r>
        <w:t>\mathbf k_Q</w:t>
      </w:r>
      <w:r>
        <w:br/>
        <w:t>+</w:t>
      </w:r>
      <w:r>
        <w:br/>
        <w:t>\mathbf k_R.</w:t>
      </w:r>
      <w:r>
        <w:br/>
        <w:t>\tag{3.11020}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\mathbf k_{QR}=\mathbf k_Q+\mathbf k_R</w:t>
      </w:r>
    </w:p>
    <w:p w:rsidR="00197EC9" w:rsidRDefault="00E50336" w:rsidP="00197EC9">
      <w:r>
        <w:pict>
          <v:rect id="_x0000_i3644" style="width:0;height:1.5pt" o:hralign="center" o:hrstd="t" o:hr="t" fillcolor="#a0a0a0" stroked="f"/>
        </w:pict>
      </w:r>
    </w:p>
    <w:p w:rsidR="00197EC9" w:rsidRDefault="00197EC9" w:rsidP="00197EC9">
      <w:pPr>
        <w:pStyle w:val="berschrift1"/>
      </w:pPr>
      <w:r>
        <w:t>3.3.46.127 Satz 3.3.87 – Additivität mehrparametriger Skalierungsgewichte</w:t>
      </w:r>
    </w:p>
    <w:p w:rsidR="00197EC9" w:rsidRDefault="00197EC9" w:rsidP="00197EC9">
      <w:pPr>
        <w:pStyle w:val="berschrift3"/>
      </w:pPr>
      <w:r>
        <w:t>Satz 3.3.87</w:t>
      </w:r>
    </w:p>
    <w:p w:rsidR="00197EC9" w:rsidRDefault="00197EC9" w:rsidP="00197EC9">
      <w:pPr>
        <w:pStyle w:val="StandardWeb"/>
      </w:pPr>
      <w:r>
        <w:lastRenderedPageBreak/>
        <w:t>Für mehrparametrig homogene Größen (Q) und (R) gilt</w:t>
      </w:r>
    </w:p>
    <w:p w:rsidR="00197EC9" w:rsidRDefault="00197EC9" w:rsidP="00197EC9">
      <w:pPr>
        <w:pStyle w:val="berschrift1"/>
      </w:pPr>
      <w:r>
        <w:t>[</w:t>
      </w:r>
      <w:r>
        <w:br/>
        <w:t>\boxed{</w:t>
      </w:r>
      <w:r>
        <w:br/>
        <w:t>\mathbf k_{QR}</w:t>
      </w:r>
    </w:p>
    <w:p w:rsidR="00197EC9" w:rsidRDefault="00197EC9" w:rsidP="00197EC9">
      <w:pPr>
        <w:pStyle w:val="StandardWeb"/>
      </w:pPr>
      <w:r>
        <w:t>\mathbf k_Q</w:t>
      </w:r>
      <w:r>
        <w:br/>
        <w:t>+</w:t>
      </w:r>
      <w:r>
        <w:br/>
        <w:t>\mathbf k_R.</w:t>
      </w:r>
      <w:r>
        <w:br/>
        <w:t>}</w:t>
      </w:r>
      <w:r>
        <w:br/>
        <w:t>\tag{3.11021}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\boxed{\mathbf k_{QR}=\mathbf k_Q+\mathbf k_R.}</w:t>
      </w:r>
    </w:p>
    <w:p w:rsidR="00197EC9" w:rsidRDefault="00197EC9" w:rsidP="00197EC9">
      <w:pPr>
        <w:pStyle w:val="berschrift3"/>
      </w:pPr>
      <w:r>
        <w:t>Beweis</w:t>
      </w:r>
    </w:p>
    <w:p w:rsidR="00197EC9" w:rsidRDefault="00197EC9" w:rsidP="00197EC9">
      <w:pPr>
        <w:pStyle w:val="StandardWeb"/>
      </w:pPr>
      <w:r>
        <w:t>Aus</w:t>
      </w:r>
    </w:p>
    <w:p w:rsidR="00197EC9" w:rsidRDefault="00197EC9" w:rsidP="00197EC9">
      <w:pPr>
        <w:pStyle w:val="berschrift1"/>
      </w:pPr>
      <w:r>
        <w:t>[</w:t>
      </w:r>
      <w:r>
        <w:br/>
        <w:t>Q(S_{\boldsymbol{\lambda}}X)</w:t>
      </w:r>
    </w:p>
    <w:p w:rsidR="00197EC9" w:rsidRDefault="00197EC9" w:rsidP="00197EC9">
      <w:pPr>
        <w:pStyle w:val="StandardWeb"/>
      </w:pPr>
      <w:r>
        <w:t>\left(</w:t>
      </w:r>
      <w:r>
        <w:br/>
        <w:t>\prod_i\lambda_i^{k_{Q,i}}</w:t>
      </w:r>
      <w:r>
        <w:br/>
        <w:t>\right)Q(X)</w:t>
      </w:r>
      <w:r>
        <w:br/>
        <w:t>\tag{3.11022}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Q(S_{\boldsymbol{\lambda}}X)=\left(\prod_i\lambda_i^{k_{Q,i}}\right)Q(X)</w:t>
      </w:r>
    </w:p>
    <w:p w:rsidR="00197EC9" w:rsidRDefault="00197EC9" w:rsidP="00197EC9">
      <w:pPr>
        <w:pStyle w:val="StandardWeb"/>
      </w:pPr>
      <w:r>
        <w:t>und</w:t>
      </w:r>
    </w:p>
    <w:p w:rsidR="00197EC9" w:rsidRDefault="00197EC9" w:rsidP="00197EC9">
      <w:pPr>
        <w:pStyle w:val="berschrift1"/>
      </w:pPr>
      <w:r>
        <w:t>[</w:t>
      </w:r>
      <w:r>
        <w:br/>
        <w:t>R(S_{\boldsymbol{\lambda}}X)</w:t>
      </w:r>
    </w:p>
    <w:p w:rsidR="00197EC9" w:rsidRDefault="00197EC9" w:rsidP="00197EC9">
      <w:pPr>
        <w:pStyle w:val="StandardWeb"/>
      </w:pPr>
      <w:r>
        <w:t>\left(</w:t>
      </w:r>
      <w:r>
        <w:br/>
        <w:t>\prod_i\lambda_i^{k_{R,i}}</w:t>
      </w:r>
      <w:r>
        <w:br/>
        <w:t>\right)R(X)</w:t>
      </w:r>
      <w:r>
        <w:br/>
        <w:t>\tag{3.11023}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lastRenderedPageBreak/>
        <w:t>R(S_{\boldsymbol{\lambda}}X)=\left(\prod_i\lambda_i^{k_{R,i}}\right)R(X)</w:t>
      </w:r>
    </w:p>
    <w:p w:rsidR="00197EC9" w:rsidRDefault="00197EC9" w:rsidP="00197EC9">
      <w:pPr>
        <w:pStyle w:val="StandardWeb"/>
      </w:pPr>
      <w:r>
        <w:t>folgt</w:t>
      </w:r>
    </w:p>
    <w:p w:rsidR="00197EC9" w:rsidRDefault="00197EC9" w:rsidP="00197EC9">
      <w:pPr>
        <w:pStyle w:val="berschrift1"/>
      </w:pPr>
      <w:r>
        <w:t>[</w:t>
      </w:r>
      <w:r>
        <w:br/>
        <w:t>(QR)(S_{\boldsymbol{\lambda}}X)</w:t>
      </w:r>
    </w:p>
    <w:p w:rsidR="00197EC9" w:rsidRDefault="00197EC9" w:rsidP="00197EC9">
      <w:pPr>
        <w:pStyle w:val="StandardWeb"/>
      </w:pPr>
      <w:r>
        <w:t>\prod_i</w:t>
      </w:r>
      <w:r>
        <w:br/>
        <w:t>\lambda_i^{k_{Q,i}+k_{R,i}}</w:t>
      </w:r>
      <w:r>
        <w:br/>
        <w:t>Q(X)R(X).</w:t>
      </w:r>
      <w:r>
        <w:br/>
        <w:t>\tag{3.11024}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(QR)(S_{\boldsymbol{\lambda}}X)=\prod_i\lambda_i^{k_{Q,i}+k_{R,i}}Q(X)R(X)</w:t>
      </w:r>
    </w:p>
    <w:p w:rsidR="00197EC9" w:rsidRDefault="00197EC9" w:rsidP="00197EC9">
      <w:pPr>
        <w:pStyle w:val="StandardWeb"/>
      </w:pPr>
      <w:r>
        <w:t>Damit addieren sich die Gewichtsvektoren komponentenweise. (\square)</w:t>
      </w:r>
    </w:p>
    <w:p w:rsidR="00197EC9" w:rsidRDefault="00E50336" w:rsidP="00197EC9">
      <w:r>
        <w:pict>
          <v:rect id="_x0000_i3645" style="width:0;height:1.5pt" o:hralign="center" o:hrstd="t" o:hr="t" fillcolor="#a0a0a0" stroked="f"/>
        </w:pict>
      </w:r>
    </w:p>
    <w:p w:rsidR="00197EC9" w:rsidRDefault="00197EC9" w:rsidP="00197EC9">
      <w:pPr>
        <w:pStyle w:val="berschrift1"/>
      </w:pPr>
      <w:r>
        <w:t>3.3.46.128 Skalierung funktionaler Operatoren</w:t>
      </w:r>
    </w:p>
    <w:p w:rsidR="00197EC9" w:rsidRDefault="00197EC9" w:rsidP="00197EC9">
      <w:pPr>
        <w:pStyle w:val="StandardWeb"/>
      </w:pPr>
      <w:r>
        <w:t>Nicht nur Größen, sondern auch Operatoren können auf skalierbaren Räumen untersucht werden.</w:t>
      </w:r>
    </w:p>
    <w:p w:rsidR="00197EC9" w:rsidRDefault="00197EC9" w:rsidP="00197EC9">
      <w:pPr>
        <w:pStyle w:val="StandardWeb"/>
      </w:pPr>
      <w:r>
        <w:t>Sei</w:t>
      </w:r>
    </w:p>
    <w:p w:rsidR="00197EC9" w:rsidRDefault="00197EC9" w:rsidP="00197EC9">
      <w:pPr>
        <w:pStyle w:val="StandardWeb"/>
      </w:pPr>
      <w:r>
        <w:t>[</w:t>
      </w:r>
      <w:r>
        <w:br/>
        <w:t>\mathcal O:</w:t>
      </w:r>
      <w:r>
        <w:br/>
        <w:t>\mathcal X_F</w:t>
      </w:r>
      <w:r>
        <w:br/>
        <w:t>\rightarrow</w:t>
      </w:r>
      <w:r>
        <w:br/>
        <w:t>\mathcal Y_F.</w:t>
      </w:r>
      <w:r>
        <w:br/>
        <w:t>\tag{3.11025}</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O:\mathcal X_F\rightarrow\mathcal Y_F</w:t>
      </w:r>
    </w:p>
    <w:p w:rsidR="00197EC9" w:rsidRDefault="00197EC9" w:rsidP="00197EC9">
      <w:pPr>
        <w:pStyle w:val="StandardWeb"/>
      </w:pPr>
      <w:r>
        <w:t>Dann kann gefragt werden, wie (\mathcal O) mit einer Skalierung verträglich ist.</w:t>
      </w:r>
    </w:p>
    <w:p w:rsidR="00197EC9" w:rsidRDefault="00E50336" w:rsidP="00197EC9">
      <w:r>
        <w:pict>
          <v:rect id="_x0000_i3646" style="width:0;height:1.5pt" o:hralign="center" o:hrstd="t" o:hr="t" fillcolor="#a0a0a0" stroked="f"/>
        </w:pict>
      </w:r>
    </w:p>
    <w:p w:rsidR="00197EC9" w:rsidRDefault="00197EC9" w:rsidP="00197EC9">
      <w:pPr>
        <w:pStyle w:val="berschrift1"/>
      </w:pPr>
      <w:r>
        <w:t>3.3.46.129 Operator und Skalierung</w:t>
      </w:r>
    </w:p>
    <w:p w:rsidR="00197EC9" w:rsidRDefault="00197EC9" w:rsidP="00197EC9">
      <w:pPr>
        <w:pStyle w:val="StandardWeb"/>
      </w:pPr>
      <w:r>
        <w:t>Eine besonders einfache Beziehung lautet</w:t>
      </w:r>
    </w:p>
    <w:p w:rsidR="00197EC9" w:rsidRDefault="00197EC9" w:rsidP="00197EC9">
      <w:pPr>
        <w:pStyle w:val="berschrift1"/>
      </w:pPr>
      <w:r>
        <w:lastRenderedPageBreak/>
        <w:t>[</w:t>
      </w:r>
      <w:r>
        <w:br/>
        <w:t>\mathcal O(S_\lambda X)</w:t>
      </w:r>
    </w:p>
    <w:p w:rsidR="00197EC9" w:rsidRDefault="00197EC9" w:rsidP="00197EC9">
      <w:pPr>
        <w:pStyle w:val="StandardWeb"/>
      </w:pPr>
      <w:r>
        <w:t>S_\lambda(\mathcal OX).</w:t>
      </w:r>
      <w:r>
        <w:br/>
        <w:t>\tag{3.11026}</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O(S_\lambda X)=S_\lambda(\mathcal OX)</w:t>
      </w:r>
    </w:p>
    <w:p w:rsidR="00197EC9" w:rsidRDefault="00197EC9" w:rsidP="00197EC9">
      <w:pPr>
        <w:pStyle w:val="StandardWeb"/>
      </w:pPr>
      <w:r>
        <w:t>Diese Relation bedeutet, dass Operator und Skalierung kommutieren.</w:t>
      </w:r>
    </w:p>
    <w:p w:rsidR="00197EC9" w:rsidRDefault="00E50336" w:rsidP="00197EC9">
      <w:r>
        <w:pict>
          <v:rect id="_x0000_i3647" style="width:0;height:1.5pt" o:hralign="center" o:hrstd="t" o:hr="t" fillcolor="#a0a0a0" stroked="f"/>
        </w:pict>
      </w:r>
    </w:p>
    <w:p w:rsidR="00197EC9" w:rsidRDefault="00197EC9" w:rsidP="00197EC9">
      <w:pPr>
        <w:pStyle w:val="berschrift1"/>
      </w:pPr>
      <w:r>
        <w:t>3.3.46.130 Definition 3.3.188 – Skalierungskompatibler funktionaler Operator</w:t>
      </w:r>
    </w:p>
    <w:p w:rsidR="00197EC9" w:rsidRDefault="00197EC9" w:rsidP="00197EC9">
      <w:pPr>
        <w:pStyle w:val="berschrift3"/>
      </w:pPr>
      <w:r>
        <w:t>Definition 3.3.188</w:t>
      </w:r>
    </w:p>
    <w:p w:rsidR="00197EC9" w:rsidRDefault="00197EC9" w:rsidP="00197EC9">
      <w:pPr>
        <w:pStyle w:val="StandardWeb"/>
      </w:pPr>
      <w:r>
        <w:t xml:space="preserve">Ein funktionaler Operator (\mathcal O) heißt </w:t>
      </w:r>
      <w:r>
        <w:rPr>
          <w:rStyle w:val="Fett"/>
        </w:rPr>
        <w:t>skalierungskompatibel</w:t>
      </w:r>
      <w:r>
        <w:t>, wenn</w:t>
      </w:r>
    </w:p>
    <w:p w:rsidR="00197EC9" w:rsidRDefault="00197EC9" w:rsidP="00197EC9">
      <w:pPr>
        <w:pStyle w:val="berschrift1"/>
      </w:pPr>
      <w:r>
        <w:t>[</w:t>
      </w:r>
      <w:r>
        <w:br/>
        <w:t>\boxed{</w:t>
      </w:r>
      <w:r>
        <w:br/>
        <w:t>\mathcal O\circ S_\lambda</w:t>
      </w:r>
    </w:p>
    <w:p w:rsidR="00197EC9" w:rsidRDefault="00197EC9" w:rsidP="00197EC9">
      <w:pPr>
        <w:pStyle w:val="StandardWeb"/>
      </w:pPr>
      <w:r>
        <w:t>S_\lambda\circ\mathcal O</w:t>
      </w:r>
      <w:r>
        <w:br/>
        <w:t>}</w:t>
      </w:r>
      <w:r>
        <w:br/>
        <w:t>\tag{3.11027}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\boxed{\mathcal O\circ S_\lambda=S_\lambda\circ\mathcal O}</w:t>
      </w:r>
    </w:p>
    <w:p w:rsidR="00197EC9" w:rsidRDefault="00197EC9" w:rsidP="00197EC9">
      <w:pPr>
        <w:pStyle w:val="StandardWeb"/>
      </w:pPr>
      <w:r>
        <w:t>für alle betrachteten Skalierungsparameter gilt.</w:t>
      </w:r>
    </w:p>
    <w:p w:rsidR="00197EC9" w:rsidRDefault="00E50336" w:rsidP="00197EC9">
      <w:r>
        <w:pict>
          <v:rect id="_x0000_i3648" style="width:0;height:1.5pt" o:hralign="center" o:hrstd="t" o:hr="t" fillcolor="#a0a0a0" stroked="f"/>
        </w:pict>
      </w:r>
    </w:p>
    <w:p w:rsidR="00197EC9" w:rsidRDefault="00197EC9" w:rsidP="00197EC9">
      <w:pPr>
        <w:pStyle w:val="berschrift1"/>
      </w:pPr>
      <w:r>
        <w:t>3.3.46.131 Skalierungskovarianter Operator</w:t>
      </w:r>
    </w:p>
    <w:p w:rsidR="00197EC9" w:rsidRDefault="00197EC9" w:rsidP="00197EC9">
      <w:pPr>
        <w:pStyle w:val="StandardWeb"/>
      </w:pPr>
      <w:r>
        <w:t>Die Kommutationsbedingung ist jedoch nicht die einzige mögliche Transformationsregel.</w:t>
      </w:r>
    </w:p>
    <w:p w:rsidR="00197EC9" w:rsidRDefault="00197EC9" w:rsidP="00197EC9">
      <w:pPr>
        <w:pStyle w:val="StandardWeb"/>
      </w:pPr>
      <w:r>
        <w:t>Ein Operator kann auch nach</w:t>
      </w:r>
    </w:p>
    <w:p w:rsidR="00197EC9" w:rsidRDefault="00197EC9" w:rsidP="00197EC9">
      <w:pPr>
        <w:pStyle w:val="berschrift1"/>
      </w:pPr>
      <w:r>
        <w:lastRenderedPageBreak/>
        <w:t>[</w:t>
      </w:r>
      <w:r>
        <w:br/>
        <w:t>\mathcal O(S_\lambda X)</w:t>
      </w:r>
    </w:p>
    <w:p w:rsidR="00197EC9" w:rsidRDefault="00197EC9" w:rsidP="00197EC9">
      <w:pPr>
        <w:pStyle w:val="StandardWeb"/>
      </w:pPr>
      <w:r>
        <w:t>\lambda^\kappa</w:t>
      </w:r>
      <w:r>
        <w:br/>
        <w:t>S_\lambda(\mathcal OX)</w:t>
      </w:r>
      <w:r>
        <w:br/>
        <w:t>\tag{3.11028}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O(S_\lambda X)=\lambda^\kappa S_\lambda(\mathcal OX)</w:t>
      </w:r>
    </w:p>
    <w:p w:rsidR="00197EC9" w:rsidRDefault="00197EC9" w:rsidP="00197EC9">
      <w:pPr>
        <w:pStyle w:val="StandardWeb"/>
      </w:pPr>
      <w:r>
        <w:t>transformieren.</w:t>
      </w:r>
    </w:p>
    <w:p w:rsidR="00197EC9" w:rsidRDefault="00E50336" w:rsidP="00197EC9">
      <w:r>
        <w:pict>
          <v:rect id="_x0000_i3649" style="width:0;height:1.5pt" o:hralign="center" o:hrstd="t" o:hr="t" fillcolor="#a0a0a0" stroked="f"/>
        </w:pict>
      </w:r>
    </w:p>
    <w:p w:rsidR="00197EC9" w:rsidRDefault="00197EC9" w:rsidP="00197EC9">
      <w:pPr>
        <w:pStyle w:val="berschrift1"/>
      </w:pPr>
      <w:r>
        <w:t>3.3.46.132 Definition 3.3.189 – Skalierungskovarianter funktionaler Operator</w:t>
      </w:r>
    </w:p>
    <w:p w:rsidR="00197EC9" w:rsidRDefault="00197EC9" w:rsidP="00197EC9">
      <w:pPr>
        <w:pStyle w:val="berschrift3"/>
      </w:pPr>
      <w:r>
        <w:t>Definition 3.3.189</w:t>
      </w:r>
    </w:p>
    <w:p w:rsidR="00197EC9" w:rsidRDefault="00197EC9" w:rsidP="00197EC9">
      <w:pPr>
        <w:pStyle w:val="StandardWeb"/>
      </w:pPr>
      <w:r>
        <w:t xml:space="preserve">Ein funktionaler Operator (\mathcal O) heißt </w:t>
      </w:r>
      <w:r>
        <w:rPr>
          <w:rStyle w:val="Fett"/>
        </w:rPr>
        <w:t>skalierungskovariant vom Grad (\kappa)</w:t>
      </w:r>
      <w:r>
        <w:t>, wenn</w:t>
      </w:r>
    </w:p>
    <w:p w:rsidR="00197EC9" w:rsidRDefault="00197EC9" w:rsidP="00197EC9">
      <w:pPr>
        <w:pStyle w:val="berschrift1"/>
      </w:pPr>
      <w:r>
        <w:t>[</w:t>
      </w:r>
      <w:r>
        <w:br/>
        <w:t>\boxed{</w:t>
      </w:r>
      <w:r>
        <w:br/>
        <w:t>\mathcal O\circ S_\lambda</w:t>
      </w:r>
    </w:p>
    <w:p w:rsidR="00197EC9" w:rsidRDefault="00197EC9" w:rsidP="00197EC9">
      <w:pPr>
        <w:pStyle w:val="StandardWeb"/>
      </w:pPr>
      <w:r>
        <w:t>\lambda^\kappa</w:t>
      </w:r>
      <w:r>
        <w:br/>
        <w:t>S_\lambda\circ\mathcal O.</w:t>
      </w:r>
      <w:r>
        <w:br/>
        <w:t>}</w:t>
      </w:r>
      <w:r>
        <w:br/>
        <w:t>\tag{3.11029}</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\boxed{\mathcal O\circ S_\lambda=\lambda^\kappa S_\lambda\circ\mathcal O.}</w:t>
      </w:r>
    </w:p>
    <w:p w:rsidR="00197EC9" w:rsidRDefault="00197EC9" w:rsidP="00197EC9">
      <w:pPr>
        <w:pStyle w:val="StandardWeb"/>
      </w:pPr>
      <w:r>
        <w:t>Für (\kappa=0) erhält man Skalierungskompatibilität.</w:t>
      </w:r>
    </w:p>
    <w:p w:rsidR="00197EC9" w:rsidRDefault="00E50336" w:rsidP="00197EC9">
      <w:r>
        <w:pict>
          <v:rect id="_x0000_i3650" style="width:0;height:1.5pt" o:hralign="center" o:hrstd="t" o:hr="t" fillcolor="#a0a0a0" stroked="f"/>
        </w:pict>
      </w:r>
    </w:p>
    <w:p w:rsidR="00197EC9" w:rsidRDefault="00197EC9" w:rsidP="00197EC9">
      <w:pPr>
        <w:pStyle w:val="berschrift1"/>
      </w:pPr>
      <w:r>
        <w:t>3.3.46.133 Operator-Skalierungsgrad</w:t>
      </w:r>
    </w:p>
    <w:p w:rsidR="00197EC9" w:rsidRDefault="00197EC9" w:rsidP="00197EC9">
      <w:pPr>
        <w:pStyle w:val="StandardWeb"/>
      </w:pPr>
      <w:r>
        <w:t>Ich definiere daher</w:t>
      </w:r>
    </w:p>
    <w:p w:rsidR="00197EC9" w:rsidRDefault="00197EC9" w:rsidP="00197EC9">
      <w:pPr>
        <w:pStyle w:val="berschrift1"/>
      </w:pPr>
      <w:r>
        <w:lastRenderedPageBreak/>
        <w:t>[</w:t>
      </w:r>
      <w:r>
        <w:br/>
        <w:t>w_{\mathrm{sc}}(\mathcal O)</w:t>
      </w:r>
    </w:p>
    <w:p w:rsidR="00197EC9" w:rsidRDefault="00197EC9" w:rsidP="00197EC9">
      <w:pPr>
        <w:pStyle w:val="StandardWeb"/>
      </w:pPr>
      <w:r>
        <w:t>\kappa.</w:t>
      </w:r>
      <w:r>
        <w:br/>
        <w:t>\tag{3.11030}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w_{\mathrm{sc}}(\mathcal O)=\kappa</w:t>
      </w:r>
    </w:p>
    <w:p w:rsidR="00197EC9" w:rsidRDefault="00E50336" w:rsidP="00197EC9">
      <w:r>
        <w:pict>
          <v:rect id="_x0000_i3651" style="width:0;height:1.5pt" o:hralign="center" o:hrstd="t" o:hr="t" fillcolor="#a0a0a0" stroked="f"/>
        </w:pict>
      </w:r>
    </w:p>
    <w:p w:rsidR="00197EC9" w:rsidRDefault="00197EC9" w:rsidP="00197EC9">
      <w:pPr>
        <w:pStyle w:val="berschrift1"/>
      </w:pPr>
      <w:r>
        <w:t>3.3.46.134 Definition 3.3.190 – Funktionales Operator-Skalierungsgewicht</w:t>
      </w:r>
    </w:p>
    <w:p w:rsidR="00197EC9" w:rsidRDefault="00197EC9" w:rsidP="00197EC9">
      <w:pPr>
        <w:pStyle w:val="berschrift3"/>
      </w:pPr>
      <w:r>
        <w:t>Definition 3.3.190</w:t>
      </w:r>
    </w:p>
    <w:p w:rsidR="00197EC9" w:rsidRDefault="00197EC9" w:rsidP="00197EC9">
      <w:pPr>
        <w:pStyle w:val="StandardWeb"/>
      </w:pPr>
      <w:r>
        <w:t xml:space="preserve">Das </w:t>
      </w:r>
      <w:r>
        <w:rPr>
          <w:rStyle w:val="Fett"/>
        </w:rPr>
        <w:t>funktionale Operator-Skalierungsgewicht</w:t>
      </w:r>
      <w:r>
        <w:t xml:space="preserve"> eines skalierungskovarianten Operators ist</w:t>
      </w:r>
    </w:p>
    <w:p w:rsidR="00197EC9" w:rsidRDefault="00197EC9" w:rsidP="00197EC9">
      <w:pPr>
        <w:pStyle w:val="StandardWeb"/>
      </w:pPr>
      <w:r>
        <w:t>[</w:t>
      </w:r>
      <w:r>
        <w:br/>
        <w:t>\boxed{</w:t>
      </w:r>
      <w:r>
        <w:br/>
        <w:t>w_{\mathrm{sc}}(\mathcal O)</w:t>
      </w:r>
      <w:r>
        <w:br/>
        <w:t>:=</w:t>
      </w:r>
      <w:r>
        <w:br/>
        <w:t>\kappa.</w:t>
      </w:r>
      <w:r>
        <w:br/>
        <w:t>}</w:t>
      </w:r>
      <w:r>
        <w:br/>
        <w:t>\tag{3.11031}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\boxed{w_{\mathrm{sc}}(\mathcal O):=\kappa.}</w:t>
      </w:r>
    </w:p>
    <w:p w:rsidR="00197EC9" w:rsidRDefault="00E50336" w:rsidP="00197EC9">
      <w:r>
        <w:pict>
          <v:rect id="_x0000_i3652" style="width:0;height:1.5pt" o:hralign="center" o:hrstd="t" o:hr="t" fillcolor="#a0a0a0" stroked="f"/>
        </w:pict>
      </w:r>
    </w:p>
    <w:p w:rsidR="00197EC9" w:rsidRDefault="00197EC9" w:rsidP="00197EC9">
      <w:pPr>
        <w:pStyle w:val="berschrift1"/>
      </w:pPr>
      <w:r>
        <w:t>3.3.46.135 Komposition skalierungskovarianter Operatoren</w:t>
      </w:r>
    </w:p>
    <w:p w:rsidR="00197EC9" w:rsidRDefault="00197EC9" w:rsidP="00197EC9">
      <w:pPr>
        <w:pStyle w:val="StandardWeb"/>
      </w:pPr>
      <w:r>
        <w:t>Seien (\mathcal O_1,\mathcal O_2) skalierungskovariant mit Gewichten (\kappa_1,\kappa_2).</w:t>
      </w:r>
    </w:p>
    <w:p w:rsidR="00197EC9" w:rsidRDefault="00197EC9" w:rsidP="00197EC9">
      <w:pPr>
        <w:pStyle w:val="StandardWeb"/>
      </w:pPr>
      <w:r>
        <w:t>Dann gilt</w:t>
      </w:r>
    </w:p>
    <w:p w:rsidR="00197EC9" w:rsidRDefault="00197EC9" w:rsidP="00197EC9">
      <w:pPr>
        <w:pStyle w:val="berschrift1"/>
      </w:pPr>
      <w:r>
        <w:t>[</w:t>
      </w:r>
      <w:r>
        <w:br/>
        <w:t>\mathcal O_1\mathcal O_2S_\lambda</w:t>
      </w:r>
    </w:p>
    <w:p w:rsidR="00197EC9" w:rsidRDefault="00197EC9" w:rsidP="00197EC9">
      <w:pPr>
        <w:pStyle w:val="StandardWeb"/>
      </w:pPr>
      <w:r>
        <w:t>\lambda^{\kappa_1+\kappa_2}</w:t>
      </w:r>
      <w:r>
        <w:br/>
        <w:t>S_\lambda</w:t>
      </w:r>
      <w:r>
        <w:br/>
        <w:t>\mathcal O_1\mathcal O_2.</w:t>
      </w:r>
      <w:r>
        <w:br/>
      </w:r>
      <w:r>
        <w:lastRenderedPageBreak/>
        <w:t>\tag{3.11032}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O_1\mathcal O_2S_\lambda=\lambda^{\kappa_1+\kappa_2}S_\lambda\mathcal O_1\mathcal O_2</w:t>
      </w:r>
    </w:p>
    <w:p w:rsidR="00197EC9" w:rsidRDefault="00E50336" w:rsidP="00197EC9">
      <w:r>
        <w:pict>
          <v:rect id="_x0000_i3653" style="width:0;height:1.5pt" o:hralign="center" o:hrstd="t" o:hr="t" fillcolor="#a0a0a0" stroked="f"/>
        </w:pict>
      </w:r>
    </w:p>
    <w:p w:rsidR="00197EC9" w:rsidRDefault="00197EC9" w:rsidP="00197EC9">
      <w:pPr>
        <w:pStyle w:val="berschrift1"/>
      </w:pPr>
      <w:r>
        <w:t>3.3.46.136 Satz 3.3.88 – Additivität der Operator-Skalierungsgewichte</w:t>
      </w:r>
    </w:p>
    <w:p w:rsidR="00197EC9" w:rsidRDefault="00197EC9" w:rsidP="00197EC9">
      <w:pPr>
        <w:pStyle w:val="berschrift3"/>
      </w:pPr>
      <w:r>
        <w:t>Satz 3.3.88</w:t>
      </w:r>
    </w:p>
    <w:p w:rsidR="00197EC9" w:rsidRDefault="00197EC9" w:rsidP="00197EC9">
      <w:pPr>
        <w:pStyle w:val="StandardWeb"/>
      </w:pPr>
      <w:r>
        <w:t>Für die Komposition zweier skalierungskovarianter Operatoren gilt</w:t>
      </w:r>
    </w:p>
    <w:p w:rsidR="00197EC9" w:rsidRDefault="00197EC9" w:rsidP="00197EC9">
      <w:pPr>
        <w:pStyle w:val="berschrift1"/>
      </w:pPr>
      <w:r>
        <w:t>[</w:t>
      </w:r>
      <w:r>
        <w:br/>
        <w:t>\boxed{</w:t>
      </w:r>
      <w:r>
        <w:br/>
        <w:t>w_{\mathrm{sc}}</w:t>
      </w:r>
      <w:r>
        <w:br/>
        <w:t>(\mathcal O_1\circ\mathcal O_2)</w:t>
      </w:r>
    </w:p>
    <w:p w:rsidR="00197EC9" w:rsidRDefault="00197EC9" w:rsidP="00197EC9">
      <w:pPr>
        <w:pStyle w:val="StandardWeb"/>
      </w:pPr>
      <w:r>
        <w:t>w_{\mathrm{sc}}(\mathcal O_1)</w:t>
      </w:r>
      <w:r>
        <w:br/>
        <w:t>+</w:t>
      </w:r>
      <w:r>
        <w:br/>
        <w:t>w_{\mathrm{sc}}(\mathcal O_2).</w:t>
      </w:r>
      <w:r>
        <w:br/>
        <w:t>}</w:t>
      </w:r>
      <w:r>
        <w:br/>
        <w:t>\tag{3.11033}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\boxed{w_{\mathrm{sc}}(\mathcal O_1\circ\mathcal O_2)=w_{\mathrm{sc}}(\mathcal O_1)+w_{\mathrm{sc}}(\mathcal O_2).}</w:t>
      </w:r>
    </w:p>
    <w:p w:rsidR="00197EC9" w:rsidRDefault="00197EC9" w:rsidP="00197EC9">
      <w:pPr>
        <w:pStyle w:val="berschrift3"/>
      </w:pPr>
      <w:r>
        <w:t>Beweis</w:t>
      </w:r>
    </w:p>
    <w:p w:rsidR="00197EC9" w:rsidRDefault="00197EC9" w:rsidP="00197EC9">
      <w:pPr>
        <w:pStyle w:val="StandardWeb"/>
      </w:pPr>
      <w:r>
        <w:t>Aus</w:t>
      </w:r>
    </w:p>
    <w:p w:rsidR="00197EC9" w:rsidRDefault="00197EC9" w:rsidP="00197EC9">
      <w:pPr>
        <w:pStyle w:val="berschrift1"/>
      </w:pPr>
      <w:r>
        <w:t>[</w:t>
      </w:r>
      <w:r>
        <w:br/>
        <w:t>\mathcal O_2S_\lambda</w:t>
      </w:r>
    </w:p>
    <w:p w:rsidR="00197EC9" w:rsidRDefault="00197EC9" w:rsidP="00197EC9">
      <w:pPr>
        <w:pStyle w:val="StandardWeb"/>
      </w:pPr>
      <w:r>
        <w:t>\lambda^{\kappa_2}S_\lambda\mathcal O_2</w:t>
      </w:r>
      <w:r>
        <w:br/>
        <w:t>\tag{3.11034}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lastRenderedPageBreak/>
        <w:t>\mathcal O_2S_\lambda=\lambda^{\kappa_2}S_\lambda\mathcal O_2</w:t>
      </w:r>
    </w:p>
    <w:p w:rsidR="00197EC9" w:rsidRDefault="00197EC9" w:rsidP="00197EC9">
      <w:pPr>
        <w:pStyle w:val="StandardWeb"/>
      </w:pPr>
      <w:r>
        <w:t>folgt</w:t>
      </w:r>
    </w:p>
    <w:p w:rsidR="00197EC9" w:rsidRDefault="00197EC9" w:rsidP="00197EC9">
      <w:pPr>
        <w:pStyle w:val="berschrift1"/>
      </w:pPr>
      <w:r>
        <w:t>[</w:t>
      </w:r>
      <w:r>
        <w:br/>
        <w:t>\mathcal O_1\mathcal O_2S_\lambda</w:t>
      </w:r>
    </w:p>
    <w:p w:rsidR="00197EC9" w:rsidRDefault="00197EC9" w:rsidP="00197EC9">
      <w:pPr>
        <w:pStyle w:val="StandardWeb"/>
      </w:pPr>
      <w:r>
        <w:t>\lambda^{\kappa_2}</w:t>
      </w:r>
      <w:r>
        <w:br/>
        <w:t>\mathcal O_1S_\lambda\mathcal O_2.</w:t>
      </w:r>
      <w:r>
        <w:br/>
        <w:t>\tag{3.11035}</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O_1\mathcal O_2S_\lambda=\lambda^{\kappa_2}\mathcal O_1S_\lambda\mathcal O_2</w:t>
      </w:r>
    </w:p>
    <w:p w:rsidR="00197EC9" w:rsidRDefault="00197EC9" w:rsidP="00197EC9">
      <w:pPr>
        <w:pStyle w:val="StandardWeb"/>
      </w:pPr>
      <w:r>
        <w:t>Mit</w:t>
      </w:r>
    </w:p>
    <w:p w:rsidR="00197EC9" w:rsidRDefault="00197EC9" w:rsidP="00197EC9">
      <w:pPr>
        <w:pStyle w:val="berschrift1"/>
      </w:pPr>
      <w:r>
        <w:t>[</w:t>
      </w:r>
      <w:r>
        <w:br/>
        <w:t>\mathcal O_1S_\lambda</w:t>
      </w:r>
    </w:p>
    <w:p w:rsidR="00197EC9" w:rsidRDefault="00197EC9" w:rsidP="00197EC9">
      <w:pPr>
        <w:pStyle w:val="StandardWeb"/>
      </w:pPr>
      <w:r>
        <w:t>\lambda^{\kappa_1}S_\lambda\mathcal O_1</w:t>
      </w:r>
      <w:r>
        <w:br/>
        <w:t>\tag{3.11036}</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O_1S_\lambda=\lambda^{\kappa_1}S_\lambda\mathcal O_1</w:t>
      </w:r>
    </w:p>
    <w:p w:rsidR="00197EC9" w:rsidRDefault="00197EC9" w:rsidP="00197EC9">
      <w:pPr>
        <w:pStyle w:val="StandardWeb"/>
      </w:pPr>
      <w:r>
        <w:t>ergibt sich</w:t>
      </w:r>
    </w:p>
    <w:p w:rsidR="00197EC9" w:rsidRDefault="00197EC9" w:rsidP="00197EC9">
      <w:pPr>
        <w:pStyle w:val="berschrift1"/>
      </w:pPr>
      <w:r>
        <w:t>[</w:t>
      </w:r>
      <w:r>
        <w:br/>
        <w:t>\mathcal O_1\mathcal O_2S_\lambda</w:t>
      </w:r>
    </w:p>
    <w:p w:rsidR="00197EC9" w:rsidRDefault="00197EC9" w:rsidP="00197EC9">
      <w:pPr>
        <w:pStyle w:val="StandardWeb"/>
      </w:pPr>
      <w:r>
        <w:t>\lambda^{\kappa_1+\kappa_2}</w:t>
      </w:r>
      <w:r>
        <w:br/>
        <w:t>S_\lambda\mathcal O_1\mathcal O_2.</w:t>
      </w:r>
      <w:r>
        <w:br/>
        <w:t>\tag{3.11037}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O_1\mathcal O_2S_\lambda=\lambda^{\kappa_1+\kappa_2}S_\lambda\mathcal O_1\mathcal O_2</w:t>
      </w:r>
    </w:p>
    <w:p w:rsidR="00197EC9" w:rsidRDefault="00197EC9" w:rsidP="00197EC9">
      <w:pPr>
        <w:pStyle w:val="StandardWeb"/>
      </w:pPr>
      <w:r>
        <w:t>(\square)</w:t>
      </w:r>
    </w:p>
    <w:p w:rsidR="00197EC9" w:rsidRDefault="00E50336" w:rsidP="00197EC9">
      <w:r>
        <w:lastRenderedPageBreak/>
        <w:pict>
          <v:rect id="_x0000_i3654" style="width:0;height:1.5pt" o:hralign="center" o:hrstd="t" o:hr="t" fillcolor="#a0a0a0" stroked="f"/>
        </w:pict>
      </w:r>
    </w:p>
    <w:p w:rsidR="00197EC9" w:rsidRDefault="00197EC9" w:rsidP="00197EC9">
      <w:pPr>
        <w:pStyle w:val="berschrift1"/>
      </w:pPr>
      <w:r>
        <w:t>3.3.46.137 Skalierung von Operatorenkaskaden</w:t>
      </w:r>
    </w:p>
    <w:p w:rsidR="00197EC9" w:rsidRDefault="00197EC9" w:rsidP="00197EC9">
      <w:pPr>
        <w:pStyle w:val="StandardWeb"/>
      </w:pPr>
      <w:r>
        <w:t>Für eine Kaskade</w:t>
      </w:r>
    </w:p>
    <w:p w:rsidR="00197EC9" w:rsidRDefault="00197EC9" w:rsidP="00197EC9">
      <w:pPr>
        <w:pStyle w:val="berschrift1"/>
      </w:pPr>
      <w:r>
        <w:t>[</w:t>
      </w:r>
      <w:r>
        <w:br/>
        <w:t>\mathcal O</w:t>
      </w:r>
    </w:p>
    <w:p w:rsidR="00197EC9" w:rsidRDefault="00197EC9" w:rsidP="00197EC9">
      <w:pPr>
        <w:pStyle w:val="StandardWeb"/>
      </w:pPr>
      <w:r>
        <w:t>\mathcal O_n</w:t>
      </w:r>
      <w:r>
        <w:br/>
        <w:t>\circ\cdots\circ</w:t>
      </w:r>
      <w:r>
        <w:br/>
        <w:t>\mathcal O_1</w:t>
      </w:r>
      <w:r>
        <w:br/>
        <w:t>\tag{3.11038}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O=\mathcal O_n\circ\cdots\circ\mathcal O_1</w:t>
      </w:r>
    </w:p>
    <w:p w:rsidR="00197EC9" w:rsidRDefault="00197EC9" w:rsidP="00197EC9">
      <w:pPr>
        <w:pStyle w:val="StandardWeb"/>
      </w:pPr>
      <w:r>
        <w:t>folgt iterativ</w:t>
      </w:r>
    </w:p>
    <w:p w:rsidR="00197EC9" w:rsidRDefault="00197EC9" w:rsidP="00197EC9">
      <w:pPr>
        <w:pStyle w:val="berschrift1"/>
      </w:pPr>
      <w:r>
        <w:t>[</w:t>
      </w:r>
      <w:r>
        <w:br/>
        <w:t>w_{\mathrm{sc}}(\mathcal O)</w:t>
      </w:r>
    </w:p>
    <w:p w:rsidR="00197EC9" w:rsidRDefault="00197EC9" w:rsidP="00197EC9">
      <w:pPr>
        <w:pStyle w:val="StandardWeb"/>
      </w:pPr>
      <w:r>
        <w:t>\sum_{i=1}^{n}</w:t>
      </w:r>
      <w:r>
        <w:br/>
        <w:t>w_{\mathrm{sc}}(\mathcal O_i).</w:t>
      </w:r>
      <w:r>
        <w:br/>
        <w:t>\tag{3.11039}</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w_{\mathrm{sc}}(\mathcal O)=\sum_{i=1}^{n}w_{\mathrm{sc}}(\mathcal O_i)</w:t>
      </w:r>
    </w:p>
    <w:p w:rsidR="00197EC9" w:rsidRDefault="00E50336" w:rsidP="00197EC9">
      <w:r>
        <w:pict>
          <v:rect id="_x0000_i3655" style="width:0;height:1.5pt" o:hralign="center" o:hrstd="t" o:hr="t" fillcolor="#a0a0a0" stroked="f"/>
        </w:pict>
      </w:r>
    </w:p>
    <w:p w:rsidR="00197EC9" w:rsidRDefault="00197EC9" w:rsidP="00197EC9">
      <w:pPr>
        <w:pStyle w:val="berschrift1"/>
      </w:pPr>
      <w:r>
        <w:t>3.3.46.138 Korollar 3.3.17 – Skalierungsgewicht einer Operatorenkaskade</w:t>
      </w:r>
    </w:p>
    <w:p w:rsidR="00197EC9" w:rsidRDefault="00197EC9" w:rsidP="00197EC9">
      <w:pPr>
        <w:pStyle w:val="berschrift3"/>
      </w:pPr>
      <w:r>
        <w:t>Korollar 3.3.17</w:t>
      </w:r>
    </w:p>
    <w:p w:rsidR="00197EC9" w:rsidRDefault="00197EC9" w:rsidP="00197EC9">
      <w:pPr>
        <w:pStyle w:val="StandardWeb"/>
      </w:pPr>
      <w:r>
        <w:t>Für eine endliche Kaskade skalierungskovarianter Operatoren gilt</w:t>
      </w:r>
    </w:p>
    <w:p w:rsidR="00197EC9" w:rsidRDefault="00197EC9" w:rsidP="00197EC9">
      <w:pPr>
        <w:pStyle w:val="berschrift1"/>
      </w:pPr>
      <w:r>
        <w:t>[</w:t>
      </w:r>
      <w:r>
        <w:br/>
        <w:t>\boxed{</w:t>
      </w:r>
      <w:r>
        <w:br/>
        <w:t>w_{\mathrm{sc}}</w:t>
      </w:r>
      <w:r>
        <w:br/>
      </w:r>
      <w:r>
        <w:lastRenderedPageBreak/>
        <w:t>\left(</w:t>
      </w:r>
      <w:r>
        <w:br/>
        <w:t>\mathcal O_n\circ\cdots\circ\mathcal O_1</w:t>
      </w:r>
      <w:r>
        <w:br/>
        <w:t>\right)</w:t>
      </w:r>
    </w:p>
    <w:p w:rsidR="00197EC9" w:rsidRDefault="00197EC9" w:rsidP="00197EC9">
      <w:pPr>
        <w:pStyle w:val="StandardWeb"/>
      </w:pPr>
      <w:r>
        <w:t>\sum_{i=1}^{n}</w:t>
      </w:r>
      <w:r>
        <w:br/>
        <w:t>w_{\mathrm{sc}}(\mathcal O_i).</w:t>
      </w:r>
      <w:r>
        <w:br/>
        <w:t>}</w:t>
      </w:r>
      <w:r>
        <w:br/>
        <w:t>\tag{3.11040}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\boxed{w_{\mathrm{sc}}\left(\mathcal O_n\circ\cdots\circ\mathcal O_1\right)=\sum_{i=1}^{n}w_{\mathrm{sc}}(\mathcal O_i).}</w:t>
      </w:r>
    </w:p>
    <w:p w:rsidR="00197EC9" w:rsidRDefault="00E50336" w:rsidP="00197EC9">
      <w:r>
        <w:pict>
          <v:rect id="_x0000_i3656" style="width:0;height:1.5pt" o:hralign="center" o:hrstd="t" o:hr="t" fillcolor="#a0a0a0" stroked="f"/>
        </w:pict>
      </w:r>
    </w:p>
    <w:p w:rsidR="00197EC9" w:rsidRDefault="00197EC9" w:rsidP="00197EC9">
      <w:pPr>
        <w:pStyle w:val="berschrift1"/>
      </w:pPr>
      <w:r>
        <w:t>3.3.46.139 Skalenabhängige funktionale Operatoren</w:t>
      </w:r>
    </w:p>
    <w:p w:rsidR="00197EC9" w:rsidRDefault="00197EC9" w:rsidP="00197EC9">
      <w:pPr>
        <w:pStyle w:val="StandardWeb"/>
      </w:pPr>
      <w:r>
        <w:t>Ein Operator muss nicht mit einem festen Skalierungsgewicht transformieren.</w:t>
      </w:r>
    </w:p>
    <w:p w:rsidR="00197EC9" w:rsidRDefault="00197EC9" w:rsidP="00197EC9">
      <w:pPr>
        <w:pStyle w:val="StandardWeb"/>
      </w:pPr>
      <w:r>
        <w:t>Allgemeiner kann eine Familie</w:t>
      </w:r>
    </w:p>
    <w:p w:rsidR="00197EC9" w:rsidRDefault="00197EC9" w:rsidP="00197EC9">
      <w:pPr>
        <w:pStyle w:val="StandardWeb"/>
      </w:pPr>
      <w:r>
        <w:t>[</w:t>
      </w:r>
      <w:r>
        <w:br/>
        <w:t>\mathcal O_\lambda</w:t>
      </w:r>
      <w:r>
        <w:br/>
        <w:t>\tag{3.11041}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O_\lambda</w:t>
      </w:r>
    </w:p>
    <w:p w:rsidR="00197EC9" w:rsidRDefault="00197EC9" w:rsidP="00197EC9">
      <w:pPr>
        <w:pStyle w:val="StandardWeb"/>
      </w:pPr>
      <w:r>
        <w:t>selbst vom Skalierungsparameter abhängen.</w:t>
      </w:r>
    </w:p>
    <w:p w:rsidR="00197EC9" w:rsidRDefault="00E50336" w:rsidP="00197EC9">
      <w:r>
        <w:pict>
          <v:rect id="_x0000_i3657" style="width:0;height:1.5pt" o:hralign="center" o:hrstd="t" o:hr="t" fillcolor="#a0a0a0" stroked="f"/>
        </w:pict>
      </w:r>
    </w:p>
    <w:p w:rsidR="00197EC9" w:rsidRDefault="00197EC9" w:rsidP="00197EC9">
      <w:pPr>
        <w:pStyle w:val="berschrift1"/>
      </w:pPr>
      <w:r>
        <w:t>3.3.46.140 Definition 3.3.191 – Skalenabhängige funktionale Operatorfamilie</w:t>
      </w:r>
    </w:p>
    <w:p w:rsidR="00197EC9" w:rsidRDefault="00197EC9" w:rsidP="00197EC9">
      <w:pPr>
        <w:pStyle w:val="berschrift3"/>
      </w:pPr>
      <w:r>
        <w:t>Definition 3.3.191</w:t>
      </w:r>
    </w:p>
    <w:p w:rsidR="00197EC9" w:rsidRDefault="00197EC9" w:rsidP="00197EC9">
      <w:pPr>
        <w:pStyle w:val="StandardWeb"/>
      </w:pPr>
      <w:r>
        <w:t xml:space="preserve">Eine </w:t>
      </w:r>
      <w:r>
        <w:rPr>
          <w:rStyle w:val="Fett"/>
        </w:rPr>
        <w:t>skalenabhängige funktionale Operatorfamilie</w:t>
      </w:r>
      <w:r>
        <w:t xml:space="preserve"> ist eine parametrisierte Familie</w:t>
      </w:r>
    </w:p>
    <w:p w:rsidR="00197EC9" w:rsidRDefault="00197EC9" w:rsidP="00197EC9">
      <w:pPr>
        <w:pStyle w:val="StandardWeb"/>
      </w:pPr>
      <w:r>
        <w:t>[</w:t>
      </w:r>
      <w:r>
        <w:br/>
        <w:t>\boxed{</w:t>
      </w:r>
      <w:r>
        <w:br/>
        <w:t>{\mathcal O_\lambda}_{\lambda\in\Lambda}</w:t>
      </w:r>
      <w:r>
        <w:br/>
        <w:t>}</w:t>
      </w:r>
      <w:r>
        <w:br/>
        <w:t>\tag{3.11042}</w:t>
      </w:r>
      <w:r>
        <w:br/>
        <w:t>]</w:t>
      </w:r>
    </w:p>
    <w:p w:rsidR="00197EC9" w:rsidRDefault="00197EC9" w:rsidP="00197EC9">
      <w:pPr>
        <w:pStyle w:val="StandardWeb"/>
      </w:pPr>
      <w:r>
        <w:rPr>
          <w:rStyle w:val="Fett"/>
        </w:rPr>
        <w:lastRenderedPageBreak/>
        <w:t>Word-LaTeX</w:t>
      </w:r>
    </w:p>
    <w:p w:rsidR="00197EC9" w:rsidRDefault="00197EC9" w:rsidP="00197EC9">
      <w:pPr>
        <w:pStyle w:val="HTMLVorformatiert"/>
        <w:rPr>
          <w:rStyle w:val="HTMLCode"/>
        </w:rPr>
      </w:pPr>
      <w:r>
        <w:rPr>
          <w:rStyle w:val="HTMLCode"/>
        </w:rPr>
        <w:t>\boxed{\{\mathcal O_\lambda\}_{\lambda\in\Lambda}}</w:t>
      </w:r>
    </w:p>
    <w:p w:rsidR="00197EC9" w:rsidRDefault="00197EC9" w:rsidP="00197EC9">
      <w:pPr>
        <w:pStyle w:val="StandardWeb"/>
      </w:pPr>
      <w:r>
        <w:t>von Operatoren, deren Wirkung ausdrücklich vom gewählten Skalenparameter abhängt.</w:t>
      </w:r>
    </w:p>
    <w:p w:rsidR="00197EC9" w:rsidRDefault="00E50336" w:rsidP="00197EC9">
      <w:r>
        <w:pict>
          <v:rect id="_x0000_i3658" style="width:0;height:1.5pt" o:hralign="center" o:hrstd="t" o:hr="t" fillcolor="#a0a0a0" stroked="f"/>
        </w:pict>
      </w:r>
    </w:p>
    <w:p w:rsidR="00197EC9" w:rsidRDefault="00197EC9" w:rsidP="00197EC9">
      <w:pPr>
        <w:pStyle w:val="berschrift1"/>
      </w:pPr>
      <w:r>
        <w:t>3.3.46.141 Keine automatische physikalische Skalenabhängigkeit</w:t>
      </w:r>
    </w:p>
    <w:p w:rsidR="00197EC9" w:rsidRDefault="00197EC9" w:rsidP="00197EC9">
      <w:pPr>
        <w:pStyle w:val="StandardWeb"/>
      </w:pPr>
      <w:r>
        <w:t>Die mathematische Parametrisierung</w:t>
      </w:r>
    </w:p>
    <w:p w:rsidR="00197EC9" w:rsidRDefault="00197EC9" w:rsidP="00197EC9">
      <w:pPr>
        <w:pStyle w:val="StandardWeb"/>
      </w:pPr>
      <w:r>
        <w:t>[</w:t>
      </w:r>
      <w:r>
        <w:br/>
        <w:t>\mathcal O</w:t>
      </w:r>
      <w:r>
        <w:br/>
        <w:t>\mapsto</w:t>
      </w:r>
      <w:r>
        <w:br/>
        <w:t>\mathcal O_\lambda</w:t>
      </w:r>
      <w:r>
        <w:br/>
        <w:t>\tag{3.11043}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O\mapsto\mathcal O_\lambda</w:t>
      </w:r>
    </w:p>
    <w:p w:rsidR="00197EC9" w:rsidRDefault="00197EC9" w:rsidP="00197EC9">
      <w:pPr>
        <w:pStyle w:val="StandardWeb"/>
      </w:pPr>
      <w:r>
        <w:t>bedeutet nicht automatisch, dass ein physikalischer Kopplungsparameter mit Energie-, Längen- oder Impulsskala „läuft“.</w:t>
      </w:r>
    </w:p>
    <w:p w:rsidR="00197EC9" w:rsidRDefault="00197EC9" w:rsidP="00197EC9">
      <w:pPr>
        <w:pStyle w:val="StandardWeb"/>
      </w:pPr>
      <w:r>
        <w:t>Daher gilt</w:t>
      </w:r>
    </w:p>
    <w:p w:rsidR="00197EC9" w:rsidRDefault="00197EC9" w:rsidP="00197EC9">
      <w:pPr>
        <w:pStyle w:val="StandardWeb"/>
      </w:pPr>
      <w:r>
        <w:t>[</w:t>
      </w:r>
      <w:r>
        <w:br/>
        <w:t>\boxed{</w:t>
      </w:r>
      <w:r>
        <w:br/>
        <w:t>\mathcal O_\lambda</w:t>
      </w:r>
      <w:r>
        <w:br/>
        <w:t>\not\equiv</w:t>
      </w:r>
      <w:r>
        <w:br/>
        <w:t>\text{renormierungsgruppenabhängiger QFT-Operator}.</w:t>
      </w:r>
      <w:r>
        <w:br/>
        <w:t>}</w:t>
      </w:r>
      <w:r>
        <w:br/>
        <w:t>\tag{3.11044}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\boxed{\mathcal O_\lambda\not\equiv\text{renormierungsgruppenabhängiger QFT-Operator}.}</w:t>
      </w:r>
    </w:p>
    <w:p w:rsidR="00197EC9" w:rsidRDefault="00E50336" w:rsidP="00197EC9">
      <w:r>
        <w:pict>
          <v:rect id="_x0000_i3659" style="width:0;height:1.5pt" o:hralign="center" o:hrstd="t" o:hr="t" fillcolor="#a0a0a0" stroked="f"/>
        </w:pict>
      </w:r>
    </w:p>
    <w:p w:rsidR="00197EC9" w:rsidRDefault="00197EC9" w:rsidP="00197EC9">
      <w:pPr>
        <w:pStyle w:val="berschrift1"/>
      </w:pPr>
      <w:r>
        <w:t>3.3.46.142 Normalisierung</w:t>
      </w:r>
    </w:p>
    <w:p w:rsidR="00197EC9" w:rsidRDefault="00197EC9" w:rsidP="00197EC9">
      <w:pPr>
        <w:pStyle w:val="StandardWeb"/>
      </w:pPr>
      <w:r>
        <w:t>Von Skalierung muss außerdem die Normalisierung unterschieden werden.</w:t>
      </w:r>
    </w:p>
    <w:p w:rsidR="00197EC9" w:rsidRDefault="00197EC9" w:rsidP="00197EC9">
      <w:pPr>
        <w:pStyle w:val="StandardWeb"/>
      </w:pPr>
      <w:r>
        <w:t>Normalisierung bedeutet, ein Objekt durch eine geeignete Transformation auf eine festgelegte Referenzbedingung abzubilden.</w:t>
      </w:r>
    </w:p>
    <w:p w:rsidR="00197EC9" w:rsidRDefault="00E50336" w:rsidP="00197EC9">
      <w:r>
        <w:lastRenderedPageBreak/>
        <w:pict>
          <v:rect id="_x0000_i3660" style="width:0;height:1.5pt" o:hralign="center" o:hrstd="t" o:hr="t" fillcolor="#a0a0a0" stroked="f"/>
        </w:pict>
      </w:r>
    </w:p>
    <w:p w:rsidR="00197EC9" w:rsidRDefault="00197EC9" w:rsidP="00197EC9">
      <w:pPr>
        <w:pStyle w:val="berschrift1"/>
      </w:pPr>
      <w:r>
        <w:t>3.3.46.143 Referenzfunktional</w:t>
      </w:r>
    </w:p>
    <w:p w:rsidR="00197EC9" w:rsidRDefault="00197EC9" w:rsidP="00197EC9">
      <w:pPr>
        <w:pStyle w:val="StandardWeb"/>
      </w:pPr>
      <w:r>
        <w:t>Sei</w:t>
      </w:r>
    </w:p>
    <w:p w:rsidR="00197EC9" w:rsidRDefault="00197EC9" w:rsidP="00197EC9">
      <w:pPr>
        <w:pStyle w:val="StandardWeb"/>
      </w:pPr>
      <w:r>
        <w:t>[</w:t>
      </w:r>
      <w:r>
        <w:br/>
        <w:t>N:</w:t>
      </w:r>
      <w:r>
        <w:br/>
        <w:t>\mathcal X_F</w:t>
      </w:r>
      <w:r>
        <w:br/>
        <w:t>\rightarrow</w:t>
      </w:r>
      <w:r>
        <w:br/>
        <w:t>\mathbb R_{\geq0}</w:t>
      </w:r>
      <w:r>
        <w:br/>
        <w:t>\tag{3.11045}</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N:\mathcal X_F\rightarrow\mathbb R_{\geq0}</w:t>
      </w:r>
    </w:p>
    <w:p w:rsidR="00197EC9" w:rsidRDefault="00197EC9" w:rsidP="00197EC9">
      <w:pPr>
        <w:pStyle w:val="StandardWeb"/>
      </w:pPr>
      <w:r>
        <w:t>ein geeignetes Größenfunktional.</w:t>
      </w:r>
    </w:p>
    <w:p w:rsidR="00197EC9" w:rsidRDefault="00197EC9" w:rsidP="00197EC9">
      <w:pPr>
        <w:pStyle w:val="StandardWeb"/>
      </w:pPr>
      <w:r>
        <w:t>Eine Normierungsbedingung kann beispielsweise lauten</w:t>
      </w:r>
    </w:p>
    <w:p w:rsidR="00197EC9" w:rsidRDefault="00197EC9" w:rsidP="00197EC9">
      <w:pPr>
        <w:pStyle w:val="StandardWeb"/>
      </w:pPr>
      <w:r>
        <w:t>[</w:t>
      </w:r>
      <w:r>
        <w:br/>
        <w:t>N(X)=1.</w:t>
      </w:r>
      <w:r>
        <w:br/>
        <w:t>\tag{3.11046}</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N(X)=1</w:t>
      </w:r>
    </w:p>
    <w:p w:rsidR="00197EC9" w:rsidRDefault="00E50336" w:rsidP="00197EC9">
      <w:r>
        <w:pict>
          <v:rect id="_x0000_i3661" style="width:0;height:1.5pt" o:hralign="center" o:hrstd="t" o:hr="t" fillcolor="#a0a0a0" stroked="f"/>
        </w:pict>
      </w:r>
    </w:p>
    <w:p w:rsidR="00197EC9" w:rsidRDefault="00197EC9" w:rsidP="00197EC9">
      <w:pPr>
        <w:pStyle w:val="berschrift1"/>
      </w:pPr>
      <w:r>
        <w:t>3.3.46.144 Definition 3.3.192 – Funktionale Normalisierung</w:t>
      </w:r>
    </w:p>
    <w:p w:rsidR="00197EC9" w:rsidRDefault="00197EC9" w:rsidP="00197EC9">
      <w:pPr>
        <w:pStyle w:val="berschrift3"/>
      </w:pPr>
      <w:r>
        <w:t>Definition 3.3.192</w:t>
      </w:r>
    </w:p>
    <w:p w:rsidR="00197EC9" w:rsidRDefault="00197EC9" w:rsidP="00197EC9">
      <w:pPr>
        <w:pStyle w:val="StandardWeb"/>
      </w:pPr>
      <w:r>
        <w:t xml:space="preserve">Eine </w:t>
      </w:r>
      <w:r>
        <w:rPr>
          <w:rStyle w:val="Fett"/>
        </w:rPr>
        <w:t>funktionale Normalisierung</w:t>
      </w:r>
      <w:r>
        <w:t xml:space="preserve"> ist eine Abbildung</w:t>
      </w:r>
    </w:p>
    <w:p w:rsidR="00197EC9" w:rsidRDefault="00197EC9" w:rsidP="00197EC9">
      <w:pPr>
        <w:pStyle w:val="StandardWeb"/>
      </w:pPr>
      <w:r>
        <w:t>[</w:t>
      </w:r>
      <w:r>
        <w:br/>
        <w:t>\boxed{</w:t>
      </w:r>
      <w:r>
        <w:br/>
        <w:t>\mathcal N:</w:t>
      </w:r>
      <w:r>
        <w:br/>
        <w:t>\mathcal X_F^\ast</w:t>
      </w:r>
      <w:r>
        <w:br/>
        <w:t>\rightarrow</w:t>
      </w:r>
      <w:r>
        <w:br/>
        <w:t>\mathcal X_F</w:t>
      </w:r>
      <w:r>
        <w:br/>
        <w:t>}</w:t>
      </w:r>
      <w:r>
        <w:br/>
        <w:t>\tag{3.11047}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lastRenderedPageBreak/>
        <w:t>\boxed{\mathcal N:\mathcal X_F^\ast\rightarrow\mathcal X_F}</w:t>
      </w:r>
    </w:p>
    <w:p w:rsidR="00197EC9" w:rsidRDefault="00197EC9" w:rsidP="00197EC9">
      <w:pPr>
        <w:pStyle w:val="StandardWeb"/>
      </w:pPr>
      <w:r>
        <w:t>mit der Eigenschaft</w:t>
      </w:r>
    </w:p>
    <w:p w:rsidR="00197EC9" w:rsidRDefault="00197EC9" w:rsidP="00197EC9">
      <w:pPr>
        <w:pStyle w:val="berschrift1"/>
      </w:pPr>
      <w:r>
        <w:t>[</w:t>
      </w:r>
      <w:r>
        <w:br/>
        <w:t>\boxed{</w:t>
      </w:r>
      <w:r>
        <w:br/>
        <w:t>N(\mathcal N(X))</w:t>
      </w:r>
    </w:p>
    <w:p w:rsidR="00197EC9" w:rsidRDefault="00197EC9" w:rsidP="00197EC9">
      <w:pPr>
        <w:pStyle w:val="StandardWeb"/>
      </w:pPr>
      <w:r>
        <w:t>1</w:t>
      </w:r>
      <w:r>
        <w:br/>
        <w:t>}</w:t>
      </w:r>
      <w:r>
        <w:br/>
        <w:t>\tag{3.11048}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\boxed{N(\mathcal N(X))=1}</w:t>
      </w:r>
    </w:p>
    <w:p w:rsidR="00197EC9" w:rsidRDefault="00197EC9" w:rsidP="00197EC9">
      <w:pPr>
        <w:pStyle w:val="StandardWeb"/>
      </w:pPr>
      <w:r>
        <w:t>für alle zulässigen (X\in\mathcal X_F^\ast).</w:t>
      </w:r>
    </w:p>
    <w:p w:rsidR="00197EC9" w:rsidRDefault="00E50336" w:rsidP="00197EC9">
      <w:r>
        <w:pict>
          <v:rect id="_x0000_i3662" style="width:0;height:1.5pt" o:hralign="center" o:hrstd="t" o:hr="t" fillcolor="#a0a0a0" stroked="f"/>
        </w:pict>
      </w:r>
    </w:p>
    <w:p w:rsidR="00197EC9" w:rsidRDefault="00197EC9" w:rsidP="00197EC9">
      <w:pPr>
        <w:pStyle w:val="berschrift1"/>
      </w:pPr>
      <w:r>
        <w:t>3.3.46.145 Standardnormalisierung in einem normierten Raum</w:t>
      </w:r>
    </w:p>
    <w:p w:rsidR="00197EC9" w:rsidRDefault="00197EC9" w:rsidP="00197EC9">
      <w:pPr>
        <w:pStyle w:val="StandardWeb"/>
      </w:pPr>
      <w:r>
        <w:t>Ist eine Norm (|\cdot|) definiert, kann für (X\neq0)</w:t>
      </w:r>
    </w:p>
    <w:p w:rsidR="00197EC9" w:rsidRDefault="00197EC9" w:rsidP="00197EC9">
      <w:pPr>
        <w:pStyle w:val="berschrift1"/>
      </w:pPr>
      <w:r>
        <w:t>[</w:t>
      </w:r>
      <w:r>
        <w:br/>
        <w:t>\mathcal N(X)</w:t>
      </w:r>
    </w:p>
    <w:p w:rsidR="00197EC9" w:rsidRDefault="00197EC9" w:rsidP="00197EC9">
      <w:pPr>
        <w:pStyle w:val="StandardWeb"/>
      </w:pPr>
      <w:r>
        <w:t>\frac{X}{|X|}</w:t>
      </w:r>
      <w:r>
        <w:br/>
        <w:t>\tag{3.11049}</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N(X)=\frac{X}{\|X\|}</w:t>
      </w:r>
    </w:p>
    <w:p w:rsidR="00197EC9" w:rsidRDefault="00197EC9" w:rsidP="00197EC9">
      <w:pPr>
        <w:pStyle w:val="StandardWeb"/>
      </w:pPr>
      <w:r>
        <w:t>verwendet werden.</w:t>
      </w:r>
    </w:p>
    <w:p w:rsidR="00197EC9" w:rsidRDefault="00197EC9" w:rsidP="00197EC9">
      <w:pPr>
        <w:pStyle w:val="StandardWeb"/>
      </w:pPr>
      <w:r>
        <w:t>Dann gilt</w:t>
      </w:r>
    </w:p>
    <w:p w:rsidR="00197EC9" w:rsidRDefault="00197EC9" w:rsidP="00197EC9">
      <w:pPr>
        <w:pStyle w:val="berschrift1"/>
      </w:pPr>
      <w:r>
        <w:t>[</w:t>
      </w:r>
      <w:r>
        <w:br/>
        <w:t>\left|</w:t>
      </w:r>
      <w:r>
        <w:br/>
      </w:r>
      <w:r>
        <w:lastRenderedPageBreak/>
        <w:t>\mathcal N(X)</w:t>
      </w:r>
      <w:r>
        <w:br/>
        <w:t>\right|</w:t>
      </w:r>
    </w:p>
    <w:p w:rsidR="00197EC9" w:rsidRDefault="00197EC9" w:rsidP="00152216">
      <w:pPr>
        <w:numPr>
          <w:ilvl w:val="0"/>
          <w:numId w:val="474"/>
        </w:numPr>
        <w:spacing w:before="100" w:beforeAutospacing="1" w:after="100" w:afterAutospacing="1"/>
      </w:pPr>
    </w:p>
    <w:p w:rsidR="00197EC9" w:rsidRDefault="00197EC9" w:rsidP="00197EC9">
      <w:pPr>
        <w:pStyle w:val="StandardWeb"/>
      </w:pPr>
      <w:r>
        <w:t>\tag{3.11050}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\left\|\mathcal N(X)\right\|=1</w:t>
      </w:r>
    </w:p>
    <w:p w:rsidR="00197EC9" w:rsidRDefault="00E50336" w:rsidP="00197EC9">
      <w:r>
        <w:pict>
          <v:rect id="_x0000_i3663" style="width:0;height:1.5pt" o:hralign="center" o:hrstd="t" o:hr="t" fillcolor="#a0a0a0" stroked="f"/>
        </w:pict>
      </w:r>
    </w:p>
    <w:p w:rsidR="00197EC9" w:rsidRDefault="00197EC9" w:rsidP="00197EC9">
      <w:pPr>
        <w:pStyle w:val="berschrift1"/>
      </w:pPr>
      <w:r>
        <w:t>3.3.46.146 Normalisierung entfernt absolute Skalierungsinformation</w:t>
      </w:r>
    </w:p>
    <w:p w:rsidR="00197EC9" w:rsidRDefault="00197EC9" w:rsidP="00197EC9">
      <w:pPr>
        <w:pStyle w:val="StandardWeb"/>
      </w:pPr>
      <w:r>
        <w:t>Für positive (\lambda) und eine absolut homogene Norm gilt</w:t>
      </w:r>
    </w:p>
    <w:p w:rsidR="00197EC9" w:rsidRDefault="00197EC9" w:rsidP="00197EC9">
      <w:pPr>
        <w:pStyle w:val="berschrift1"/>
      </w:pPr>
      <w:r>
        <w:t>[</w:t>
      </w:r>
      <w:r>
        <w:br/>
        <w:t>\mathcal N(\lambda X)</w:t>
      </w:r>
    </w:p>
    <w:p w:rsidR="00197EC9" w:rsidRDefault="00197EC9" w:rsidP="00197EC9">
      <w:pPr>
        <w:pStyle w:val="berschrift1"/>
      </w:pPr>
      <w:r>
        <w:t>\frac{\lambda X}{|\lambda X|}</w:t>
      </w:r>
    </w:p>
    <w:p w:rsidR="00197EC9" w:rsidRDefault="00197EC9" w:rsidP="00197EC9">
      <w:pPr>
        <w:pStyle w:val="berschrift1"/>
      </w:pPr>
      <w:r>
        <w:t>\frac{\lambda X}{\lambda|X|}</w:t>
      </w:r>
    </w:p>
    <w:p w:rsidR="00197EC9" w:rsidRDefault="00197EC9" w:rsidP="00197EC9">
      <w:pPr>
        <w:pStyle w:val="StandardWeb"/>
      </w:pPr>
      <w:r>
        <w:t>\mathcal N(X).</w:t>
      </w:r>
      <w:r>
        <w:br/>
        <w:t>\tag{3.11051}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N(\lambda X)=\frac{\lambda X}{\|\lambda X\|}=\frac{\lambda X}{\lambda\|X\|}=\mathcal N(X)</w:t>
      </w:r>
    </w:p>
    <w:p w:rsidR="00197EC9" w:rsidRDefault="00E50336" w:rsidP="00197EC9">
      <w:r>
        <w:pict>
          <v:rect id="_x0000_i3664" style="width:0;height:1.5pt" o:hralign="center" o:hrstd="t" o:hr="t" fillcolor="#a0a0a0" stroked="f"/>
        </w:pict>
      </w:r>
    </w:p>
    <w:p w:rsidR="00197EC9" w:rsidRDefault="00197EC9" w:rsidP="00197EC9">
      <w:pPr>
        <w:pStyle w:val="berschrift1"/>
      </w:pPr>
      <w:r>
        <w:t>3.3.46.147 Satz 3.3.89 – Positive Skalierungsinvarianz der Standardnormalisierung</w:t>
      </w:r>
    </w:p>
    <w:p w:rsidR="00197EC9" w:rsidRDefault="00197EC9" w:rsidP="00197EC9">
      <w:pPr>
        <w:pStyle w:val="berschrift3"/>
      </w:pPr>
      <w:r>
        <w:t>Satz 3.3.89</w:t>
      </w:r>
    </w:p>
    <w:p w:rsidR="00197EC9" w:rsidRDefault="00197EC9" w:rsidP="00197EC9">
      <w:pPr>
        <w:pStyle w:val="StandardWeb"/>
      </w:pPr>
      <w:r>
        <w:t>Für einen normierten Raum und (\lambda&gt;0) gilt</w:t>
      </w:r>
    </w:p>
    <w:p w:rsidR="00197EC9" w:rsidRDefault="00197EC9" w:rsidP="00197EC9">
      <w:pPr>
        <w:pStyle w:val="berschrift1"/>
      </w:pPr>
      <w:r>
        <w:lastRenderedPageBreak/>
        <w:t>[</w:t>
      </w:r>
      <w:r>
        <w:br/>
        <w:t>\boxed{</w:t>
      </w:r>
      <w:r>
        <w:br/>
        <w:t>\mathcal N(\lambda X)</w:t>
      </w:r>
    </w:p>
    <w:p w:rsidR="00197EC9" w:rsidRDefault="00197EC9" w:rsidP="00197EC9">
      <w:pPr>
        <w:pStyle w:val="StandardWeb"/>
      </w:pPr>
      <w:r>
        <w:t>\mathcal N(X)</w:t>
      </w:r>
      <w:r>
        <w:br/>
        <w:t>}</w:t>
      </w:r>
      <w:r>
        <w:br/>
        <w:t>\tag{3.11052}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\boxed{\mathcal N(\lambda X)=\mathcal N(X)}</w:t>
      </w:r>
    </w:p>
    <w:p w:rsidR="00197EC9" w:rsidRDefault="00197EC9" w:rsidP="00197EC9">
      <w:pPr>
        <w:pStyle w:val="StandardWeb"/>
      </w:pPr>
      <w:r>
        <w:t>für jedes (X\neq0).</w:t>
      </w:r>
    </w:p>
    <w:p w:rsidR="00197EC9" w:rsidRDefault="00197EC9" w:rsidP="00197EC9">
      <w:pPr>
        <w:pStyle w:val="berschrift3"/>
      </w:pPr>
      <w:r>
        <w:t>Beweis</w:t>
      </w:r>
    </w:p>
    <w:p w:rsidR="00197EC9" w:rsidRDefault="00197EC9" w:rsidP="00197EC9">
      <w:pPr>
        <w:pStyle w:val="StandardWeb"/>
      </w:pPr>
      <w:r>
        <w:t>Wegen absoluter Homogenität der Norm gilt</w:t>
      </w:r>
    </w:p>
    <w:p w:rsidR="00197EC9" w:rsidRDefault="00197EC9" w:rsidP="00197EC9">
      <w:pPr>
        <w:pStyle w:val="berschrift1"/>
      </w:pPr>
      <w:r>
        <w:t>[</w:t>
      </w:r>
      <w:r>
        <w:br/>
        <w:t>|\lambda X|</w:t>
      </w:r>
    </w:p>
    <w:p w:rsidR="00197EC9" w:rsidRDefault="00197EC9" w:rsidP="00197EC9">
      <w:pPr>
        <w:pStyle w:val="StandardWeb"/>
      </w:pPr>
      <w:r>
        <w:t>|\lambda||X|.</w:t>
      </w:r>
      <w:r>
        <w:br/>
        <w:t>\tag{3.11053}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\|\lambda X\|=|\lambda|\|X\|</w:t>
      </w:r>
    </w:p>
    <w:p w:rsidR="00197EC9" w:rsidRDefault="00197EC9" w:rsidP="00197EC9">
      <w:pPr>
        <w:pStyle w:val="StandardWeb"/>
      </w:pPr>
      <w:r>
        <w:t>Für (\lambda&gt;0) ist (|\lambda|=\lambda), und damit folgt unmittelbar Gleichung (3.11052). (\square)</w:t>
      </w:r>
    </w:p>
    <w:p w:rsidR="00197EC9" w:rsidRDefault="00E50336" w:rsidP="00197EC9">
      <w:r>
        <w:pict>
          <v:rect id="_x0000_i3665" style="width:0;height:1.5pt" o:hralign="center" o:hrstd="t" o:hr="t" fillcolor="#a0a0a0" stroked="f"/>
        </w:pict>
      </w:r>
    </w:p>
    <w:p w:rsidR="00197EC9" w:rsidRDefault="00197EC9" w:rsidP="00197EC9">
      <w:pPr>
        <w:pStyle w:val="berschrift1"/>
      </w:pPr>
      <w:r>
        <w:t>3.3.46.148 Negative Skalierung und Orientierung</w:t>
      </w:r>
    </w:p>
    <w:p w:rsidR="00197EC9" w:rsidRDefault="00197EC9" w:rsidP="00197EC9">
      <w:pPr>
        <w:pStyle w:val="StandardWeb"/>
      </w:pPr>
      <w:r>
        <w:t>Für (\lambda&lt;0) gilt dagegen</w:t>
      </w:r>
    </w:p>
    <w:p w:rsidR="00197EC9" w:rsidRDefault="00197EC9" w:rsidP="00197EC9">
      <w:pPr>
        <w:pStyle w:val="berschrift1"/>
      </w:pPr>
      <w:r>
        <w:t>[</w:t>
      </w:r>
      <w:r>
        <w:br/>
        <w:t>\mathcal N(\lambda X)</w:t>
      </w:r>
    </w:p>
    <w:p w:rsidR="00197EC9" w:rsidRDefault="00197EC9" w:rsidP="00197EC9">
      <w:pPr>
        <w:pStyle w:val="StandardWeb"/>
      </w:pPr>
      <w:r>
        <w:t>-\mathcal N(X)</w:t>
      </w:r>
      <w:r>
        <w:br/>
        <w:t>\tag{3.11054}</w:t>
      </w:r>
      <w:r>
        <w:br/>
        <w:t>]</w:t>
      </w:r>
    </w:p>
    <w:p w:rsidR="00197EC9" w:rsidRDefault="00197EC9" w:rsidP="00197EC9">
      <w:pPr>
        <w:pStyle w:val="StandardWeb"/>
      </w:pPr>
      <w:r>
        <w:rPr>
          <w:rStyle w:val="Fett"/>
        </w:rPr>
        <w:lastRenderedPageBreak/>
        <w:t>Word-LaTeX</w:t>
      </w:r>
    </w:p>
    <w:p w:rsidR="00197EC9" w:rsidRDefault="00197EC9" w:rsidP="00197EC9">
      <w:pPr>
        <w:pStyle w:val="HTMLVorformatiert"/>
        <w:rPr>
          <w:rStyle w:val="HTMLCode"/>
        </w:rPr>
      </w:pPr>
      <w:r>
        <w:rPr>
          <w:rStyle w:val="HTMLCode"/>
        </w:rPr>
        <w:t>\mathcal N(\lambda X)=-\mathcal N(X)</w:t>
      </w:r>
    </w:p>
    <w:p w:rsidR="00197EC9" w:rsidRDefault="00197EC9" w:rsidP="00197EC9">
      <w:pPr>
        <w:pStyle w:val="StandardWeb"/>
      </w:pPr>
      <w:r>
        <w:t>bei der üblichen Normierung in einem reellen Vektorraum.</w:t>
      </w:r>
    </w:p>
    <w:p w:rsidR="00197EC9" w:rsidRDefault="00197EC9" w:rsidP="00197EC9">
      <w:pPr>
        <w:pStyle w:val="StandardWeb"/>
      </w:pPr>
      <w:r>
        <w:t>Eine Normalisierung entfernt daher den positiven Betrag des Maßstabes, aber nicht zwingend Orientierungs- oder Vorzeicheninformation.</w:t>
      </w:r>
    </w:p>
    <w:p w:rsidR="00197EC9" w:rsidRDefault="00E50336" w:rsidP="00197EC9">
      <w:r>
        <w:pict>
          <v:rect id="_x0000_i3666" style="width:0;height:1.5pt" o:hralign="center" o:hrstd="t" o:hr="t" fillcolor="#a0a0a0" stroked="f"/>
        </w:pict>
      </w:r>
    </w:p>
    <w:p w:rsidR="00197EC9" w:rsidRDefault="00197EC9" w:rsidP="00197EC9">
      <w:pPr>
        <w:pStyle w:val="berschrift1"/>
      </w:pPr>
      <w:r>
        <w:t>3.3.46.149 Normalisierung und Quotientenbildung</w:t>
      </w:r>
    </w:p>
    <w:p w:rsidR="00197EC9" w:rsidRDefault="00197EC9" w:rsidP="00197EC9">
      <w:pPr>
        <w:pStyle w:val="StandardWeb"/>
      </w:pPr>
      <w:r>
        <w:t>Die Standardnormalisierung kann als Auswahl eines Repräsentanten aus einem positiven Skalierungsorbit interpretiert werden.</w:t>
      </w:r>
    </w:p>
    <w:p w:rsidR="00197EC9" w:rsidRDefault="00197EC9" w:rsidP="00197EC9">
      <w:pPr>
        <w:pStyle w:val="StandardWeb"/>
      </w:pPr>
      <w:r>
        <w:t>Formal kann</w:t>
      </w:r>
    </w:p>
    <w:p w:rsidR="00197EC9" w:rsidRDefault="00197EC9" w:rsidP="00197EC9">
      <w:pPr>
        <w:pStyle w:val="StandardWeb"/>
      </w:pPr>
      <w:r>
        <w:t>[</w:t>
      </w:r>
      <w:r>
        <w:br/>
        <w:t>[X]_{\mathrm{sc}}</w:t>
      </w:r>
      <w:r>
        <w:br/>
        <w:t>\mapsto</w:t>
      </w:r>
      <w:r>
        <w:br/>
        <w:t>\mathcal N(X)</w:t>
      </w:r>
      <w:r>
        <w:br/>
        <w:t>\tag{3.11055}</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[X]_{\mathrm{sc}}\mapsto\mathcal N(X)</w:t>
      </w:r>
    </w:p>
    <w:p w:rsidR="00197EC9" w:rsidRDefault="00197EC9" w:rsidP="00197EC9">
      <w:pPr>
        <w:pStyle w:val="StandardWeb"/>
      </w:pPr>
      <w:r>
        <w:t>eine Repräsentantenauswahl erzeugen, sofern jeder relevante Orbit die gewählte Normierungsfläche eindeutig schneidet.</w:t>
      </w:r>
    </w:p>
    <w:p w:rsidR="00197EC9" w:rsidRDefault="00E50336" w:rsidP="00197EC9">
      <w:r>
        <w:pict>
          <v:rect id="_x0000_i3667" style="width:0;height:1.5pt" o:hralign="center" o:hrstd="t" o:hr="t" fillcolor="#a0a0a0" stroked="f"/>
        </w:pict>
      </w:r>
    </w:p>
    <w:p w:rsidR="00197EC9" w:rsidRDefault="00197EC9" w:rsidP="00197EC9">
      <w:pPr>
        <w:pStyle w:val="berschrift1"/>
      </w:pPr>
      <w:r>
        <w:t>3.3.46.150 Definition 3.3.193 – Funktionale Normierungsfläche</w:t>
      </w:r>
    </w:p>
    <w:p w:rsidR="00197EC9" w:rsidRDefault="00197EC9" w:rsidP="00197EC9">
      <w:pPr>
        <w:pStyle w:val="berschrift3"/>
      </w:pPr>
      <w:r>
        <w:t>Definition 3.3.193</w:t>
      </w:r>
    </w:p>
    <w:p w:rsidR="00197EC9" w:rsidRDefault="00197EC9" w:rsidP="00197EC9">
      <w:pPr>
        <w:pStyle w:val="StandardWeb"/>
      </w:pPr>
      <w:r>
        <w:t xml:space="preserve">Die </w:t>
      </w:r>
      <w:r>
        <w:rPr>
          <w:rStyle w:val="Fett"/>
        </w:rPr>
        <w:t>funktionale Normierungsfläche</w:t>
      </w:r>
      <w:r>
        <w:t xml:space="preserve"> zu einem Normalisierungsfunktional (N) ist</w:t>
      </w:r>
    </w:p>
    <w:p w:rsidR="00197EC9" w:rsidRDefault="00197EC9" w:rsidP="00197EC9">
      <w:pPr>
        <w:pStyle w:val="StandardWeb"/>
      </w:pPr>
      <w:r>
        <w:t>[</w:t>
      </w:r>
      <w:r>
        <w:br/>
        <w:t>\boxed{</w:t>
      </w:r>
      <w:r>
        <w:br/>
        <w:t>\Sigma_N</w:t>
      </w:r>
      <w:r>
        <w:br/>
        <w:t>:=</w:t>
      </w:r>
      <w:r>
        <w:br/>
        <w:t>{X\in\mathcal X_F:N(X)=1}.</w:t>
      </w:r>
      <w:r>
        <w:br/>
        <w:t>}</w:t>
      </w:r>
      <w:r>
        <w:br/>
        <w:t>\tag{3.11056}</w:t>
      </w:r>
      <w:r>
        <w:br/>
        <w:t>]</w:t>
      </w:r>
    </w:p>
    <w:p w:rsidR="00197EC9" w:rsidRDefault="00197EC9" w:rsidP="00197EC9">
      <w:pPr>
        <w:pStyle w:val="StandardWeb"/>
      </w:pPr>
      <w:r>
        <w:rPr>
          <w:rStyle w:val="Fett"/>
        </w:rPr>
        <w:lastRenderedPageBreak/>
        <w:t>Word-LaTeX</w:t>
      </w:r>
    </w:p>
    <w:p w:rsidR="00197EC9" w:rsidRDefault="00197EC9" w:rsidP="00197EC9">
      <w:pPr>
        <w:pStyle w:val="HTMLVorformatiert"/>
        <w:rPr>
          <w:rStyle w:val="HTMLCode"/>
        </w:rPr>
      </w:pPr>
      <w:r>
        <w:rPr>
          <w:rStyle w:val="HTMLCode"/>
        </w:rPr>
        <w:t>\boxed{\Sigma_N:=\{X\in\mathcal X_F:N(X)=1\}.}</w:t>
      </w:r>
    </w:p>
    <w:p w:rsidR="00197EC9" w:rsidRDefault="00E50336" w:rsidP="00197EC9">
      <w:r>
        <w:pict>
          <v:rect id="_x0000_i3668" style="width:0;height:1.5pt" o:hralign="center" o:hrstd="t" o:hr="t" fillcolor="#a0a0a0" stroked="f"/>
        </w:pict>
      </w:r>
    </w:p>
    <w:p w:rsidR="00197EC9" w:rsidRDefault="00197EC9" w:rsidP="00197EC9">
      <w:pPr>
        <w:pStyle w:val="berschrift1"/>
      </w:pPr>
      <w:r>
        <w:t>3.3.46.151 Eindeutiger Orbit-Schnitt</w:t>
      </w:r>
    </w:p>
    <w:p w:rsidR="00197EC9" w:rsidRDefault="00197EC9" w:rsidP="00197EC9">
      <w:pPr>
        <w:pStyle w:val="StandardWeb"/>
      </w:pPr>
      <w:r>
        <w:t>Ein Skalierungsorbit kann die Normierungsfläche einmal, mehrfach oder überhaupt nicht schneiden.</w:t>
      </w:r>
    </w:p>
    <w:p w:rsidR="00197EC9" w:rsidRDefault="00197EC9" w:rsidP="00197EC9">
      <w:pPr>
        <w:pStyle w:val="StandardWeb"/>
      </w:pPr>
      <w:r>
        <w:t>Ein besonders günstiger Fall liegt vor, wenn</w:t>
      </w:r>
    </w:p>
    <w:p w:rsidR="00197EC9" w:rsidRDefault="00197EC9" w:rsidP="00197EC9">
      <w:pPr>
        <w:pStyle w:val="berschrift1"/>
      </w:pPr>
      <w:r>
        <w:t>[</w:t>
      </w:r>
      <w:r>
        <w:br/>
        <w:t>\left|</w:t>
      </w:r>
      <w:r>
        <w:br/>
        <w:t>\mathcal O_{\mathrm{sc}}(X)</w:t>
      </w:r>
      <w:r>
        <w:br/>
        <w:t>\cap</w:t>
      </w:r>
      <w:r>
        <w:br/>
        <w:t>\Sigma_N</w:t>
      </w:r>
      <w:r>
        <w:br/>
        <w:t>\right|</w:t>
      </w:r>
    </w:p>
    <w:p w:rsidR="00197EC9" w:rsidRDefault="00197EC9" w:rsidP="00152216">
      <w:pPr>
        <w:numPr>
          <w:ilvl w:val="0"/>
          <w:numId w:val="475"/>
        </w:numPr>
        <w:spacing w:before="100" w:beforeAutospacing="1" w:after="100" w:afterAutospacing="1"/>
      </w:pPr>
    </w:p>
    <w:p w:rsidR="00197EC9" w:rsidRDefault="00197EC9" w:rsidP="00197EC9">
      <w:pPr>
        <w:pStyle w:val="StandardWeb"/>
      </w:pPr>
      <w:r>
        <w:t>\tag{3.11057}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\left|\mathcal O_{\mathrm{sc}}(X)\cap\Sigma_N\right|=1</w:t>
      </w:r>
    </w:p>
    <w:p w:rsidR="00197EC9" w:rsidRDefault="00E50336" w:rsidP="00197EC9">
      <w:r>
        <w:pict>
          <v:rect id="_x0000_i3669" style="width:0;height:1.5pt" o:hralign="center" o:hrstd="t" o:hr="t" fillcolor="#a0a0a0" stroked="f"/>
        </w:pict>
      </w:r>
    </w:p>
    <w:p w:rsidR="00197EC9" w:rsidRDefault="00197EC9" w:rsidP="00197EC9">
      <w:pPr>
        <w:pStyle w:val="berschrift1"/>
      </w:pPr>
      <w:r>
        <w:t>3.3.46.152 Definition 3.3.194 – Eindeutig normalisierbarer Skalierungsorbit</w:t>
      </w:r>
    </w:p>
    <w:p w:rsidR="00197EC9" w:rsidRDefault="00197EC9" w:rsidP="00197EC9">
      <w:pPr>
        <w:pStyle w:val="berschrift3"/>
      </w:pPr>
      <w:r>
        <w:t>Definition 3.3.194</w:t>
      </w:r>
    </w:p>
    <w:p w:rsidR="00197EC9" w:rsidRDefault="00197EC9" w:rsidP="00197EC9">
      <w:pPr>
        <w:pStyle w:val="StandardWeb"/>
      </w:pPr>
      <w:r>
        <w:t xml:space="preserve">Ein Skalierungsorbit heißt </w:t>
      </w:r>
      <w:r>
        <w:rPr>
          <w:rStyle w:val="Fett"/>
        </w:rPr>
        <w:t>eindeutig normalisierbar</w:t>
      </w:r>
      <w:r>
        <w:t>, wenn</w:t>
      </w:r>
    </w:p>
    <w:p w:rsidR="00197EC9" w:rsidRDefault="00197EC9" w:rsidP="00197EC9">
      <w:pPr>
        <w:pStyle w:val="berschrift1"/>
      </w:pPr>
      <w:r>
        <w:t>[</w:t>
      </w:r>
      <w:r>
        <w:br/>
        <w:t>\boxed{</w:t>
      </w:r>
      <w:r>
        <w:br/>
        <w:t>\left|</w:t>
      </w:r>
      <w:r>
        <w:br/>
        <w:t>\mathcal O_{\mathrm{sc}}(X)</w:t>
      </w:r>
      <w:r>
        <w:br/>
        <w:t>\cap</w:t>
      </w:r>
      <w:r>
        <w:br/>
      </w:r>
      <w:r>
        <w:lastRenderedPageBreak/>
        <w:t>\Sigma_N</w:t>
      </w:r>
      <w:r>
        <w:br/>
        <w:t>\right|</w:t>
      </w:r>
    </w:p>
    <w:p w:rsidR="00197EC9" w:rsidRDefault="00197EC9" w:rsidP="00152216">
      <w:pPr>
        <w:numPr>
          <w:ilvl w:val="0"/>
          <w:numId w:val="476"/>
        </w:numPr>
        <w:spacing w:before="100" w:beforeAutospacing="1" w:after="100" w:afterAutospacing="1"/>
      </w:pPr>
    </w:p>
    <w:p w:rsidR="00197EC9" w:rsidRDefault="00197EC9" w:rsidP="00197EC9">
      <w:pPr>
        <w:pStyle w:val="StandardWeb"/>
      </w:pPr>
      <w:r>
        <w:t>}</w:t>
      </w:r>
      <w:r>
        <w:br/>
        <w:t>\tag{3.11058}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\boxed{\left|\mathcal O_{\mathrm{sc}}(X)\cap\Sigma_N\right|=1.}</w:t>
      </w:r>
    </w:p>
    <w:p w:rsidR="00197EC9" w:rsidRDefault="00E50336" w:rsidP="00197EC9">
      <w:r>
        <w:pict>
          <v:rect id="_x0000_i3670" style="width:0;height:1.5pt" o:hralign="center" o:hrstd="t" o:hr="t" fillcolor="#a0a0a0" stroked="f"/>
        </w:pict>
      </w:r>
    </w:p>
    <w:p w:rsidR="00197EC9" w:rsidRDefault="00197EC9" w:rsidP="00197EC9">
      <w:pPr>
        <w:pStyle w:val="berschrift1"/>
      </w:pPr>
      <w:r>
        <w:t>3.3.46.153 Normalisierung ist keine Invertierung der Skalierung</w:t>
      </w:r>
    </w:p>
    <w:p w:rsidR="00197EC9" w:rsidRDefault="00197EC9" w:rsidP="00197EC9">
      <w:pPr>
        <w:pStyle w:val="StandardWeb"/>
      </w:pPr>
      <w:r>
        <w:t>Auch bei eindeutiger Normierung geht die absolute Skaleninformation verloren.</w:t>
      </w:r>
    </w:p>
    <w:p w:rsidR="00197EC9" w:rsidRDefault="00197EC9" w:rsidP="00197EC9">
      <w:pPr>
        <w:pStyle w:val="StandardWeb"/>
      </w:pPr>
      <w:r>
        <w:t>Daher gilt im Allgemeinen</w:t>
      </w:r>
    </w:p>
    <w:p w:rsidR="00197EC9" w:rsidRDefault="00197EC9" w:rsidP="00197EC9">
      <w:pPr>
        <w:pStyle w:val="StandardWeb"/>
      </w:pPr>
      <w:r>
        <w:t>[</w:t>
      </w:r>
      <w:r>
        <w:br/>
        <w:t>\boxed{</w:t>
      </w:r>
      <w:r>
        <w:br/>
        <w:t>\mathcal N^{-1}</w:t>
      </w:r>
      <w:r>
        <w:br/>
        <w:t>\text{ ist keine eindeutige Abbildung}.</w:t>
      </w:r>
      <w:r>
        <w:br/>
        <w:t>}</w:t>
      </w:r>
      <w:r>
        <w:br/>
        <w:t>\tag{3.11059}</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\boxed{\mathcal N^{-1}\text{ ist keine eindeutige Abbildung}.}</w:t>
      </w:r>
    </w:p>
    <w:p w:rsidR="00197EC9" w:rsidRDefault="00E50336" w:rsidP="00197EC9">
      <w:r>
        <w:pict>
          <v:rect id="_x0000_i3671" style="width:0;height:1.5pt" o:hralign="center" o:hrstd="t" o:hr="t" fillcolor="#a0a0a0" stroked="f"/>
        </w:pict>
      </w:r>
    </w:p>
    <w:p w:rsidR="00197EC9" w:rsidRDefault="00197EC9" w:rsidP="00197EC9">
      <w:pPr>
        <w:pStyle w:val="berschrift1"/>
      </w:pPr>
      <w:r>
        <w:t>3.3.46.154 Renormierung im rein mathematischen Sinn</w:t>
      </w:r>
    </w:p>
    <w:p w:rsidR="00197EC9" w:rsidRDefault="00197EC9" w:rsidP="00197EC9">
      <w:pPr>
        <w:pStyle w:val="StandardWeb"/>
      </w:pPr>
      <w:r>
        <w:t>Neben der Normalisierung kann eine Transformation verwendet werden, bei der ein Objekt relativ zu einer Referenzgröße neu skaliert oder parametrisiert wird.</w:t>
      </w:r>
    </w:p>
    <w:p w:rsidR="00197EC9" w:rsidRDefault="00197EC9" w:rsidP="00197EC9">
      <w:pPr>
        <w:pStyle w:val="StandardWeb"/>
      </w:pPr>
      <w:r>
        <w:t xml:space="preserve">Ich verwende dafür vorläufig den Begriff </w:t>
      </w:r>
      <w:r>
        <w:rPr>
          <w:rStyle w:val="Fett"/>
        </w:rPr>
        <w:t>funktionale Renormierung</w:t>
      </w:r>
      <w:r>
        <w:t>, muss ihn aber ausdrücklich von der Renormierung in Quantenfeldtheorien trennen.</w:t>
      </w:r>
    </w:p>
    <w:p w:rsidR="00197EC9" w:rsidRDefault="00E50336" w:rsidP="00197EC9">
      <w:r>
        <w:pict>
          <v:rect id="_x0000_i3672" style="width:0;height:1.5pt" o:hralign="center" o:hrstd="t" o:hr="t" fillcolor="#a0a0a0" stroked="f"/>
        </w:pict>
      </w:r>
    </w:p>
    <w:p w:rsidR="00197EC9" w:rsidRDefault="00197EC9" w:rsidP="00197EC9">
      <w:pPr>
        <w:pStyle w:val="berschrift1"/>
      </w:pPr>
      <w:r>
        <w:t>3.3.46.155 Referenzskala</w:t>
      </w:r>
    </w:p>
    <w:p w:rsidR="00197EC9" w:rsidRDefault="00197EC9" w:rsidP="00197EC9">
      <w:pPr>
        <w:pStyle w:val="StandardWeb"/>
      </w:pPr>
      <w:r>
        <w:lastRenderedPageBreak/>
        <w:t>Sei</w:t>
      </w:r>
    </w:p>
    <w:p w:rsidR="00197EC9" w:rsidRDefault="00197EC9" w:rsidP="00197EC9">
      <w:pPr>
        <w:pStyle w:val="StandardWeb"/>
      </w:pPr>
      <w:r>
        <w:t>[</w:t>
      </w:r>
      <w:r>
        <w:br/>
        <w:t>\mu</w:t>
      </w:r>
      <w:r>
        <w:br/>
        <w:t>\in</w:t>
      </w:r>
      <w:r>
        <w:br/>
        <w:t>\mathcal M_{\mathrm{ref}}</w:t>
      </w:r>
      <w:r>
        <w:br/>
        <w:t>\tag{3.11060}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\mu\in\mathcal M_{\mathrm{ref}}</w:t>
      </w:r>
    </w:p>
    <w:p w:rsidR="00197EC9" w:rsidRDefault="00197EC9" w:rsidP="00197EC9">
      <w:pPr>
        <w:pStyle w:val="StandardWeb"/>
      </w:pPr>
      <w:r>
        <w:t>eine Referenzskala.</w:t>
      </w:r>
    </w:p>
    <w:p w:rsidR="00197EC9" w:rsidRDefault="00197EC9" w:rsidP="00197EC9">
      <w:pPr>
        <w:pStyle w:val="StandardWeb"/>
      </w:pPr>
      <w:r>
        <w:t>Eine skalenabhängige Größe kann als</w:t>
      </w:r>
    </w:p>
    <w:p w:rsidR="00197EC9" w:rsidRDefault="00197EC9" w:rsidP="00197EC9">
      <w:pPr>
        <w:pStyle w:val="StandardWeb"/>
      </w:pPr>
      <w:r>
        <w:t>[</w:t>
      </w:r>
      <w:r>
        <w:br/>
        <w:t>Q_\mu</w:t>
      </w:r>
      <w:r>
        <w:br/>
        <w:t>\tag{3.11061}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Q_\mu</w:t>
      </w:r>
    </w:p>
    <w:p w:rsidR="00197EC9" w:rsidRDefault="00197EC9" w:rsidP="00197EC9">
      <w:pPr>
        <w:pStyle w:val="StandardWeb"/>
      </w:pPr>
      <w:r>
        <w:t>geschrieben werden.</w:t>
      </w:r>
    </w:p>
    <w:p w:rsidR="00197EC9" w:rsidRDefault="00E50336" w:rsidP="00197EC9">
      <w:r>
        <w:pict>
          <v:rect id="_x0000_i3673" style="width:0;height:1.5pt" o:hralign="center" o:hrstd="t" o:hr="t" fillcolor="#a0a0a0" stroked="f"/>
        </w:pict>
      </w:r>
    </w:p>
    <w:p w:rsidR="00197EC9" w:rsidRDefault="00197EC9" w:rsidP="00197EC9">
      <w:pPr>
        <w:pStyle w:val="berschrift1"/>
      </w:pPr>
      <w:r>
        <w:t>3.3.46.156 Definition 3.3.195 – Funktionale Renormierung</w:t>
      </w:r>
    </w:p>
    <w:p w:rsidR="00197EC9" w:rsidRDefault="00197EC9" w:rsidP="00197EC9">
      <w:pPr>
        <w:pStyle w:val="berschrift3"/>
      </w:pPr>
      <w:r>
        <w:t>Definition 3.3.195</w:t>
      </w:r>
    </w:p>
    <w:p w:rsidR="00197EC9" w:rsidRDefault="00197EC9" w:rsidP="00197EC9">
      <w:pPr>
        <w:pStyle w:val="StandardWeb"/>
      </w:pPr>
      <w:r>
        <w:t xml:space="preserve">Eine </w:t>
      </w:r>
      <w:r>
        <w:rPr>
          <w:rStyle w:val="Fett"/>
        </w:rPr>
        <w:t>funktionale Renormierung</w:t>
      </w:r>
      <w:r>
        <w:t xml:space="preserve"> ist hier eine Familie von Abbildungen</w:t>
      </w:r>
    </w:p>
    <w:p w:rsidR="00197EC9" w:rsidRDefault="00197EC9" w:rsidP="00197EC9">
      <w:pPr>
        <w:pStyle w:val="StandardWeb"/>
      </w:pPr>
      <w:r>
        <w:t>[</w:t>
      </w:r>
      <w:r>
        <w:br/>
        <w:t>\boxed{</w:t>
      </w:r>
      <w:r>
        <w:br/>
        <w:t>\mathcal R_{\mu\rightarrow\nu}</w:t>
      </w:r>
      <w:r>
        <w:br/>
        <w:t>:</w:t>
      </w:r>
      <w:r>
        <w:br/>
        <w:t>\mathcal X_\mu</w:t>
      </w:r>
      <w:r>
        <w:br/>
        <w:t>\rightarrow</w:t>
      </w:r>
      <w:r>
        <w:br/>
        <w:t>\mathcal X_\nu</w:t>
      </w:r>
      <w:r>
        <w:br/>
        <w:t>}</w:t>
      </w:r>
      <w:r>
        <w:br/>
        <w:t>\tag{3.11062}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lastRenderedPageBreak/>
        <w:t>\boxed{\mathcal R_{\mu\rightarrow\nu}:\mathcal X_\mu\rightarrow\mathcal X_\nu}</w:t>
      </w:r>
    </w:p>
    <w:p w:rsidR="00197EC9" w:rsidRDefault="00197EC9" w:rsidP="00197EC9">
      <w:pPr>
        <w:pStyle w:val="StandardWeb"/>
      </w:pPr>
      <w:r>
        <w:t>die eine funktionale Repräsentation relativ zu einer Referenzskala (\mu) in eine Repräsentation relativ zu einer Referenzskala (\nu) überführt.</w:t>
      </w:r>
    </w:p>
    <w:p w:rsidR="00197EC9" w:rsidRDefault="00197EC9" w:rsidP="00197EC9">
      <w:pPr>
        <w:pStyle w:val="StandardWeb"/>
      </w:pPr>
      <w:r>
        <w:t>Diese Definition besitzt zunächst ausschließlich mathematisch-modelltheoretischen Charakter.</w:t>
      </w:r>
    </w:p>
    <w:p w:rsidR="00197EC9" w:rsidRDefault="00E50336" w:rsidP="00197EC9">
      <w:r>
        <w:pict>
          <v:rect id="_x0000_i3674" style="width:0;height:1.5pt" o:hralign="center" o:hrstd="t" o:hr="t" fillcolor="#a0a0a0" stroked="f"/>
        </w:pict>
      </w:r>
    </w:p>
    <w:p w:rsidR="00197EC9" w:rsidRDefault="00197EC9" w:rsidP="00197EC9">
      <w:pPr>
        <w:pStyle w:val="berschrift1"/>
      </w:pPr>
      <w:r>
        <w:t>3.3.46.157 Identitätsbedingung der funktionalen Renormierung</w:t>
      </w:r>
    </w:p>
    <w:p w:rsidR="00197EC9" w:rsidRDefault="00197EC9" w:rsidP="00197EC9">
      <w:pPr>
        <w:pStyle w:val="StandardWeb"/>
      </w:pPr>
      <w:r>
        <w:t>Für identische Referenzskalen soll gelten</w:t>
      </w:r>
    </w:p>
    <w:p w:rsidR="00197EC9" w:rsidRDefault="00197EC9" w:rsidP="00197EC9">
      <w:pPr>
        <w:pStyle w:val="berschrift1"/>
      </w:pPr>
      <w:r>
        <w:t>[</w:t>
      </w:r>
      <w:r>
        <w:br/>
        <w:t>\mathcal R_{\mu\rightarrow\mu}</w:t>
      </w:r>
    </w:p>
    <w:p w:rsidR="00197EC9" w:rsidRDefault="00197EC9" w:rsidP="00197EC9">
      <w:pPr>
        <w:pStyle w:val="StandardWeb"/>
      </w:pPr>
      <w:r>
        <w:t>\operatorname{id}.</w:t>
      </w:r>
      <w:r>
        <w:br/>
        <w:t>\tag{3.11063}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R_{\mu\rightarrow\mu}=\operatorname{id}</w:t>
      </w:r>
    </w:p>
    <w:p w:rsidR="00197EC9" w:rsidRDefault="00E50336" w:rsidP="00197EC9">
      <w:r>
        <w:pict>
          <v:rect id="_x0000_i3675" style="width:0;height:1.5pt" o:hralign="center" o:hrstd="t" o:hr="t" fillcolor="#a0a0a0" stroked="f"/>
        </w:pict>
      </w:r>
    </w:p>
    <w:p w:rsidR="00197EC9" w:rsidRDefault="00197EC9" w:rsidP="00197EC9">
      <w:pPr>
        <w:pStyle w:val="berschrift1"/>
      </w:pPr>
      <w:r>
        <w:t>3.3.46.158 Kompositionsbedingung</w:t>
      </w:r>
    </w:p>
    <w:p w:rsidR="00197EC9" w:rsidRDefault="00197EC9" w:rsidP="00197EC9">
      <w:pPr>
        <w:pStyle w:val="StandardWeb"/>
      </w:pPr>
      <w:r>
        <w:t>Für drei Referenzskalen kann gefordert werden</w:t>
      </w:r>
    </w:p>
    <w:p w:rsidR="00197EC9" w:rsidRDefault="00197EC9" w:rsidP="00197EC9">
      <w:pPr>
        <w:pStyle w:val="berschrift1"/>
      </w:pPr>
      <w:r>
        <w:t>[</w:t>
      </w:r>
      <w:r>
        <w:br/>
        <w:t>\mathcal R_{\nu\rightarrow\rho}</w:t>
      </w:r>
      <w:r>
        <w:br/>
        <w:t>\circ</w:t>
      </w:r>
      <w:r>
        <w:br/>
        <w:t>\mathcal R_{\mu\rightarrow\nu}</w:t>
      </w:r>
    </w:p>
    <w:p w:rsidR="00197EC9" w:rsidRDefault="00197EC9" w:rsidP="00197EC9">
      <w:pPr>
        <w:pStyle w:val="StandardWeb"/>
      </w:pPr>
      <w:r>
        <w:t>\mathcal R_{\mu\rightarrow\rho}.</w:t>
      </w:r>
      <w:r>
        <w:br/>
        <w:t>\tag{3.11064}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R_{\nu\rightarrow\rho}\circ\mathcal R_{\mu\rightarrow\nu}=\mathcal R_{\mu\rightarrow\rho}</w:t>
      </w:r>
    </w:p>
    <w:p w:rsidR="00197EC9" w:rsidRDefault="00E50336" w:rsidP="00197EC9">
      <w:r>
        <w:lastRenderedPageBreak/>
        <w:pict>
          <v:rect id="_x0000_i3676" style="width:0;height:1.5pt" o:hralign="center" o:hrstd="t" o:hr="t" fillcolor="#a0a0a0" stroked="f"/>
        </w:pict>
      </w:r>
    </w:p>
    <w:p w:rsidR="00197EC9" w:rsidRDefault="00197EC9" w:rsidP="00197EC9">
      <w:pPr>
        <w:pStyle w:val="berschrift1"/>
      </w:pPr>
      <w:r>
        <w:t>3.3.46.159 Definition 3.3.196 – Kompositionskonsistente funktionale Renormierung</w:t>
      </w:r>
    </w:p>
    <w:p w:rsidR="00197EC9" w:rsidRDefault="00197EC9" w:rsidP="00197EC9">
      <w:pPr>
        <w:pStyle w:val="berschrift3"/>
      </w:pPr>
      <w:r>
        <w:t>Definition 3.3.196</w:t>
      </w:r>
    </w:p>
    <w:p w:rsidR="00197EC9" w:rsidRDefault="00197EC9" w:rsidP="00197EC9">
      <w:pPr>
        <w:pStyle w:val="StandardWeb"/>
      </w:pPr>
      <w:r>
        <w:t xml:space="preserve">Eine funktionale Renormierungsfamilie heißt </w:t>
      </w:r>
      <w:r>
        <w:rPr>
          <w:rStyle w:val="Fett"/>
        </w:rPr>
        <w:t>kompositionskonsistent</w:t>
      </w:r>
      <w:r>
        <w:t>, wenn</w:t>
      </w:r>
    </w:p>
    <w:p w:rsidR="00197EC9" w:rsidRDefault="00197EC9" w:rsidP="00197EC9">
      <w:pPr>
        <w:pStyle w:val="berschrift1"/>
      </w:pPr>
      <w:r>
        <w:t>[</w:t>
      </w:r>
      <w:r>
        <w:br/>
        <w:t>\boxed{</w:t>
      </w:r>
      <w:r>
        <w:br/>
        <w:t>\mathcal R_{\mu\rightarrow\mu}</w:t>
      </w:r>
    </w:p>
    <w:p w:rsidR="00197EC9" w:rsidRDefault="00197EC9" w:rsidP="00197EC9">
      <w:pPr>
        <w:pStyle w:val="StandardWeb"/>
      </w:pPr>
      <w:r>
        <w:t>\operatorname{id}</w:t>
      </w:r>
      <w:r>
        <w:br/>
        <w:t>}</w:t>
      </w:r>
      <w:r>
        <w:br/>
        <w:t>\tag{3.11065}</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\boxed{\mathcal R_{\mu\rightarrow\mu}=\operatorname{id}}</w:t>
      </w:r>
    </w:p>
    <w:p w:rsidR="00197EC9" w:rsidRDefault="00197EC9" w:rsidP="00197EC9">
      <w:pPr>
        <w:pStyle w:val="StandardWeb"/>
      </w:pPr>
      <w:r>
        <w:t>und</w:t>
      </w:r>
    </w:p>
    <w:p w:rsidR="00197EC9" w:rsidRDefault="00197EC9" w:rsidP="00197EC9">
      <w:pPr>
        <w:pStyle w:val="berschrift1"/>
      </w:pPr>
      <w:r>
        <w:t>[</w:t>
      </w:r>
      <w:r>
        <w:br/>
        <w:t>\boxed{</w:t>
      </w:r>
      <w:r>
        <w:br/>
        <w:t>\mathcal R_{\nu\rightarrow\rho}</w:t>
      </w:r>
      <w:r>
        <w:br/>
        <w:t>\circ</w:t>
      </w:r>
      <w:r>
        <w:br/>
        <w:t>\mathcal R_{\mu\rightarrow\nu}</w:t>
      </w:r>
    </w:p>
    <w:p w:rsidR="00197EC9" w:rsidRDefault="00197EC9" w:rsidP="00197EC9">
      <w:pPr>
        <w:pStyle w:val="StandardWeb"/>
      </w:pPr>
      <w:r>
        <w:t>\mathcal R_{\mu\rightarrow\rho}</w:t>
      </w:r>
      <w:r>
        <w:br/>
        <w:t>}</w:t>
      </w:r>
      <w:r>
        <w:br/>
        <w:t>\tag{3.11066}</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\boxed{\mathcal R_{\nu\rightarrow\rho}\circ\mathcal R_{\mu\rightarrow\nu}=\mathcal R_{\mu\rightarrow\rho}}</w:t>
      </w:r>
    </w:p>
    <w:p w:rsidR="00197EC9" w:rsidRDefault="00197EC9" w:rsidP="00197EC9">
      <w:pPr>
        <w:pStyle w:val="StandardWeb"/>
      </w:pPr>
      <w:r>
        <w:t>gelten.</w:t>
      </w:r>
    </w:p>
    <w:p w:rsidR="00197EC9" w:rsidRDefault="00E50336" w:rsidP="00197EC9">
      <w:r>
        <w:pict>
          <v:rect id="_x0000_i3677" style="width:0;height:1.5pt" o:hralign="center" o:hrstd="t" o:hr="t" fillcolor="#a0a0a0" stroked="f"/>
        </w:pict>
      </w:r>
    </w:p>
    <w:p w:rsidR="00197EC9" w:rsidRDefault="00197EC9" w:rsidP="00197EC9">
      <w:pPr>
        <w:pStyle w:val="berschrift1"/>
      </w:pPr>
      <w:r>
        <w:lastRenderedPageBreak/>
        <w:t>3.3.46.160 Gruppenartige und gruppoide Struktur</w:t>
      </w:r>
    </w:p>
    <w:p w:rsidR="00197EC9" w:rsidRDefault="00197EC9" w:rsidP="00197EC9">
      <w:pPr>
        <w:pStyle w:val="StandardWeb"/>
      </w:pPr>
      <w:r>
        <w:t>Ist jede Transformation invertierbar, gilt</w:t>
      </w:r>
    </w:p>
    <w:p w:rsidR="00197EC9" w:rsidRDefault="00197EC9" w:rsidP="00197EC9">
      <w:pPr>
        <w:pStyle w:val="berschrift1"/>
      </w:pPr>
      <w:r>
        <w:t>[</w:t>
      </w:r>
      <w:r>
        <w:br/>
        <w:t>\mathcal R_{\mu\rightarrow\nu}^{-1}</w:t>
      </w:r>
    </w:p>
    <w:p w:rsidR="00197EC9" w:rsidRDefault="00197EC9" w:rsidP="00197EC9">
      <w:pPr>
        <w:pStyle w:val="StandardWeb"/>
      </w:pPr>
      <w:r>
        <w:t>\mathcal R_{\nu\rightarrow\mu}.</w:t>
      </w:r>
      <w:r>
        <w:br/>
        <w:t>\tag{3.11067}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R_{\mu\rightarrow\nu}^{-1}=\mathcal R_{\nu\rightarrow\mu}</w:t>
      </w:r>
    </w:p>
    <w:p w:rsidR="00197EC9" w:rsidRDefault="00197EC9" w:rsidP="00197EC9">
      <w:pPr>
        <w:pStyle w:val="StandardWeb"/>
      </w:pPr>
      <w:r>
        <w:t>Da die Transformationen zwischen unterschiedlichen Referenzräumen wirken können, ist die natürliche Struktur im Allgemeinen eher gruppoidartig als eine einzelne Gruppenwirkung auf demselben Raum.</w:t>
      </w:r>
    </w:p>
    <w:p w:rsidR="00197EC9" w:rsidRDefault="00E50336" w:rsidP="00197EC9">
      <w:r>
        <w:pict>
          <v:rect id="_x0000_i3678" style="width:0;height:1.5pt" o:hralign="center" o:hrstd="t" o:hr="t" fillcolor="#a0a0a0" stroked="f"/>
        </w:pict>
      </w:r>
    </w:p>
    <w:p w:rsidR="00197EC9" w:rsidRDefault="00197EC9" w:rsidP="00197EC9">
      <w:pPr>
        <w:pStyle w:val="berschrift1"/>
      </w:pPr>
      <w:r>
        <w:t>3.3.46.161 Keine Gleichsetzung mit QFT-Renormierung</w:t>
      </w:r>
    </w:p>
    <w:p w:rsidR="00197EC9" w:rsidRDefault="00197EC9" w:rsidP="00197EC9">
      <w:pPr>
        <w:pStyle w:val="StandardWeb"/>
      </w:pPr>
      <w:r>
        <w:t>Ich halte ausdrücklich fest:</w:t>
      </w:r>
    </w:p>
    <w:p w:rsidR="00197EC9" w:rsidRDefault="00197EC9" w:rsidP="00197EC9">
      <w:pPr>
        <w:pStyle w:val="StandardWeb"/>
      </w:pPr>
      <w:r>
        <w:t>[</w:t>
      </w:r>
      <w:r>
        <w:br/>
        <w:t>\boxed{</w:t>
      </w:r>
      <w:r>
        <w:br/>
        <w:t>\operatorname{Renorm}</w:t>
      </w:r>
      <w:r>
        <w:rPr>
          <w:rStyle w:val="Hervorhebung"/>
        </w:rPr>
        <w:t>{F}</w:t>
      </w:r>
      <w:r>
        <w:rPr>
          <w:i/>
          <w:iCs/>
        </w:rPr>
        <w:br/>
      </w:r>
      <w:r>
        <w:rPr>
          <w:rStyle w:val="Hervorhebung"/>
        </w:rPr>
        <w:t>\not\equiv</w:t>
      </w:r>
      <w:r>
        <w:rPr>
          <w:i/>
          <w:iCs/>
        </w:rPr>
        <w:br/>
      </w:r>
      <w:r>
        <w:rPr>
          <w:rStyle w:val="Hervorhebung"/>
        </w:rPr>
        <w:t>\operatorname{Renorm}</w:t>
      </w:r>
      <w:r>
        <w:t>{\mathrm{QFT}}.</w:t>
      </w:r>
      <w:r>
        <w:br/>
        <w:t>}</w:t>
      </w:r>
      <w:r>
        <w:br/>
        <w:t>\tag{3.11068}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\boxed{\operatorname{Renorm}_{F}\not\equiv\operatorname{Renorm}_{\mathrm{QFT}}.}</w:t>
      </w:r>
    </w:p>
    <w:p w:rsidR="00197EC9" w:rsidRDefault="00197EC9" w:rsidP="00197EC9">
      <w:pPr>
        <w:pStyle w:val="StandardWeb"/>
      </w:pPr>
      <w:r>
        <w:t>Die hier eingeführte funktionale Renormierung enthält weder automatisch divergente Integrale noch Regularisierung, Gegen</w:t>
      </w:r>
      <w:r>
        <w:softHyphen/>
        <w:t>terme, laufende Kopplungen oder eine physikalische Renormierungsgruppe.</w:t>
      </w:r>
    </w:p>
    <w:p w:rsidR="00197EC9" w:rsidRDefault="00E50336" w:rsidP="00197EC9">
      <w:r>
        <w:pict>
          <v:rect id="_x0000_i3679" style="width:0;height:1.5pt" o:hralign="center" o:hrstd="t" o:hr="t" fillcolor="#a0a0a0" stroked="f"/>
        </w:pict>
      </w:r>
    </w:p>
    <w:p w:rsidR="00197EC9" w:rsidRDefault="00197EC9" w:rsidP="00197EC9">
      <w:pPr>
        <w:pStyle w:val="berschrift1"/>
      </w:pPr>
      <w:r>
        <w:t>3.3.46.162 Renormierungsinvariante Größe</w:t>
      </w:r>
    </w:p>
    <w:p w:rsidR="00197EC9" w:rsidRDefault="00197EC9" w:rsidP="00197EC9">
      <w:pPr>
        <w:pStyle w:val="StandardWeb"/>
      </w:pPr>
      <w:r>
        <w:lastRenderedPageBreak/>
        <w:t>Eine Größe kann gegenüber einem Wechsel der Referenzskala invariant sein:</w:t>
      </w:r>
    </w:p>
    <w:p w:rsidR="00197EC9" w:rsidRDefault="00197EC9" w:rsidP="00197EC9">
      <w:pPr>
        <w:pStyle w:val="berschrift1"/>
      </w:pPr>
      <w:r>
        <w:t>[</w:t>
      </w:r>
      <w:r>
        <w:br/>
        <w:t>Q_\nu</w:t>
      </w:r>
      <w:r>
        <w:br/>
        <w:t>\left(</w:t>
      </w:r>
      <w:r>
        <w:br/>
        <w:t>\mathcal R_{\mu\rightarrow\nu}X</w:t>
      </w:r>
      <w:r>
        <w:br/>
        <w:t>\right)</w:t>
      </w:r>
    </w:p>
    <w:p w:rsidR="00197EC9" w:rsidRDefault="00197EC9" w:rsidP="00197EC9">
      <w:pPr>
        <w:pStyle w:val="StandardWeb"/>
      </w:pPr>
      <w:r>
        <w:t>Q_\mu(X).</w:t>
      </w:r>
      <w:r>
        <w:br/>
        <w:t>\tag{3.11069}</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Q_\nu\left(\mathcal R_{\mu\rightarrow\nu}X\right)=Q_\mu(X)</w:t>
      </w:r>
    </w:p>
    <w:p w:rsidR="00197EC9" w:rsidRDefault="00E50336" w:rsidP="00197EC9">
      <w:r>
        <w:pict>
          <v:rect id="_x0000_i3680" style="width:0;height:1.5pt" o:hralign="center" o:hrstd="t" o:hr="t" fillcolor="#a0a0a0" stroked="f"/>
        </w:pict>
      </w:r>
    </w:p>
    <w:p w:rsidR="00197EC9" w:rsidRDefault="00197EC9" w:rsidP="00197EC9">
      <w:pPr>
        <w:pStyle w:val="berschrift1"/>
      </w:pPr>
      <w:r>
        <w:t>3.3.46.163 Definition 3.3.197 – Funktionale Renormierungsinvarianz</w:t>
      </w:r>
    </w:p>
    <w:p w:rsidR="00197EC9" w:rsidRDefault="00197EC9" w:rsidP="00197EC9">
      <w:pPr>
        <w:pStyle w:val="berschrift3"/>
      </w:pPr>
      <w:r>
        <w:t>Definition 3.3.197</w:t>
      </w:r>
    </w:p>
    <w:p w:rsidR="00197EC9" w:rsidRDefault="00197EC9" w:rsidP="00197EC9">
      <w:pPr>
        <w:pStyle w:val="StandardWeb"/>
      </w:pPr>
      <w:r>
        <w:t xml:space="preserve">Eine skalenabhängig repräsentierte Größe (Q_\mu) heißt </w:t>
      </w:r>
      <w:r>
        <w:rPr>
          <w:rStyle w:val="Fett"/>
        </w:rPr>
        <w:t>funktional renormierungsinvariant</w:t>
      </w:r>
      <w:r>
        <w:t>, wenn</w:t>
      </w:r>
    </w:p>
    <w:p w:rsidR="00197EC9" w:rsidRDefault="00197EC9" w:rsidP="00197EC9">
      <w:pPr>
        <w:pStyle w:val="berschrift1"/>
      </w:pPr>
      <w:r>
        <w:t>[</w:t>
      </w:r>
      <w:r>
        <w:br/>
        <w:t>\boxed{</w:t>
      </w:r>
      <w:r>
        <w:br/>
        <w:t>Q_\nu</w:t>
      </w:r>
      <w:r>
        <w:br/>
        <w:t>\left(</w:t>
      </w:r>
      <w:r>
        <w:br/>
        <w:t>\mathcal R_{\mu\rightarrow\nu}X</w:t>
      </w:r>
      <w:r>
        <w:br/>
        <w:t>\right)</w:t>
      </w:r>
    </w:p>
    <w:p w:rsidR="00197EC9" w:rsidRDefault="00197EC9" w:rsidP="00197EC9">
      <w:pPr>
        <w:pStyle w:val="StandardWeb"/>
      </w:pPr>
      <w:r>
        <w:t>Q_\mu(X)</w:t>
      </w:r>
      <w:r>
        <w:br/>
        <w:t>}</w:t>
      </w:r>
      <w:r>
        <w:br/>
        <w:t>\tag{3.11070}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\boxed{Q_\nu\left(\mathcal R_{\mu\rightarrow\nu}X\right)=Q_\mu(X)}</w:t>
      </w:r>
    </w:p>
    <w:p w:rsidR="00197EC9" w:rsidRDefault="00197EC9" w:rsidP="00197EC9">
      <w:pPr>
        <w:pStyle w:val="StandardWeb"/>
      </w:pPr>
      <w:r>
        <w:t>für alle zulässigen Referenzskalen (\mu,\nu) gilt.</w:t>
      </w:r>
    </w:p>
    <w:p w:rsidR="00197EC9" w:rsidRDefault="00E50336" w:rsidP="00197EC9">
      <w:r>
        <w:lastRenderedPageBreak/>
        <w:pict>
          <v:rect id="_x0000_i3681" style="width:0;height:1.5pt" o:hralign="center" o:hrstd="t" o:hr="t" fillcolor="#a0a0a0" stroked="f"/>
        </w:pict>
      </w:r>
    </w:p>
    <w:p w:rsidR="00197EC9" w:rsidRDefault="00197EC9" w:rsidP="00197EC9">
      <w:pPr>
        <w:pStyle w:val="berschrift1"/>
      </w:pPr>
      <w:r>
        <w:t>3.3.46.164 Physikalische Interpretation bleibt offen</w:t>
      </w:r>
    </w:p>
    <w:p w:rsidR="00197EC9" w:rsidRDefault="00197EC9" w:rsidP="00197EC9">
      <w:pPr>
        <w:pStyle w:val="StandardWeb"/>
      </w:pPr>
      <w:r>
        <w:t>Eine solche mathematische Referenzskaleninvarianz bedeutet zunächst nur</w:t>
      </w:r>
    </w:p>
    <w:p w:rsidR="00197EC9" w:rsidRDefault="00197EC9" w:rsidP="00197EC9">
      <w:pPr>
        <w:pStyle w:val="StandardWeb"/>
      </w:pPr>
      <w:r>
        <w:t>[</w:t>
      </w:r>
      <w:r>
        <w:br/>
        <w:t>\text{Referenzwechsel}</w:t>
      </w:r>
      <w:r>
        <w:br/>
        <w:t>\Rightarrow</w:t>
      </w:r>
      <w:r>
        <w:br/>
        <w:t>\text{gleicher funktionaler Aussagewert}.</w:t>
      </w:r>
      <w:r>
        <w:br/>
        <w:t>\tag{3.11071}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\text{Referenzwechsel}\Rightarrow\text{gleicher funktionaler Aussagewert}</w:t>
      </w:r>
    </w:p>
    <w:p w:rsidR="00197EC9" w:rsidRDefault="00197EC9" w:rsidP="00197EC9">
      <w:pPr>
        <w:pStyle w:val="StandardWeb"/>
      </w:pPr>
      <w:r>
        <w:t>Sie ist nicht automatisch eine Aussage über physikalische Messskalen.</w:t>
      </w:r>
    </w:p>
    <w:p w:rsidR="00197EC9" w:rsidRDefault="00E50336" w:rsidP="00197EC9">
      <w:r>
        <w:pict>
          <v:rect id="_x0000_i3682" style="width:0;height:1.5pt" o:hralign="center" o:hrstd="t" o:hr="t" fillcolor="#a0a0a0" stroked="f"/>
        </w:pict>
      </w:r>
    </w:p>
    <w:p w:rsidR="00197EC9" w:rsidRDefault="00197EC9" w:rsidP="00197EC9">
      <w:pPr>
        <w:pStyle w:val="berschrift1"/>
      </w:pPr>
      <w:r>
        <w:t>3.3.46.165 Approximate Skaleninvarianz</w:t>
      </w:r>
    </w:p>
    <w:p w:rsidR="00197EC9" w:rsidRDefault="00197EC9" w:rsidP="00197EC9">
      <w:pPr>
        <w:pStyle w:val="StandardWeb"/>
      </w:pPr>
      <w:r>
        <w:t>Wie bei der funktionalen Invarianz kann auch Skaleninvarianz approximativ formuliert werden.</w:t>
      </w:r>
    </w:p>
    <w:p w:rsidR="00197EC9" w:rsidRDefault="00197EC9" w:rsidP="00197EC9">
      <w:pPr>
        <w:pStyle w:val="StandardWeb"/>
      </w:pPr>
      <w:r>
        <w:t>Für eine skalare Größe (Q) definiere ich zunächst die Skalenabweichung.</w:t>
      </w:r>
    </w:p>
    <w:p w:rsidR="00197EC9" w:rsidRDefault="00E50336" w:rsidP="00197EC9">
      <w:r>
        <w:pict>
          <v:rect id="_x0000_i3683" style="width:0;height:1.5pt" o:hralign="center" o:hrstd="t" o:hr="t" fillcolor="#a0a0a0" stroked="f"/>
        </w:pict>
      </w:r>
    </w:p>
    <w:p w:rsidR="00197EC9" w:rsidRDefault="00197EC9" w:rsidP="00197EC9">
      <w:pPr>
        <w:pStyle w:val="berschrift1"/>
      </w:pPr>
      <w:r>
        <w:t>3.3.46.166 Definition 3.3.198 – Funktionale Skalenabweichung</w:t>
      </w:r>
    </w:p>
    <w:p w:rsidR="00197EC9" w:rsidRDefault="00197EC9" w:rsidP="00197EC9">
      <w:pPr>
        <w:pStyle w:val="berschrift3"/>
      </w:pPr>
      <w:r>
        <w:t>Definition 3.3.198</w:t>
      </w:r>
    </w:p>
    <w:p w:rsidR="00197EC9" w:rsidRDefault="00197EC9" w:rsidP="00197EC9">
      <w:pPr>
        <w:pStyle w:val="StandardWeb"/>
      </w:pPr>
      <w:r>
        <w:t xml:space="preserve">Die </w:t>
      </w:r>
      <w:r>
        <w:rPr>
          <w:rStyle w:val="Fett"/>
        </w:rPr>
        <w:t>funktionale Skalenabweichung</w:t>
      </w:r>
      <w:r>
        <w:t xml:space="preserve"> einer Größe (Q) bei Skalierungsparameter (\lambda) ist</w:t>
      </w:r>
    </w:p>
    <w:p w:rsidR="00197EC9" w:rsidRDefault="00197EC9" w:rsidP="00197EC9">
      <w:pPr>
        <w:pStyle w:val="StandardWeb"/>
      </w:pPr>
      <w:r>
        <w:t>[</w:t>
      </w:r>
      <w:r>
        <w:br/>
        <w:t>\boxed{</w:t>
      </w:r>
      <w:r>
        <w:br/>
        <w:t>\Delta_{\mathrm{sc}}Q(X;\lambda)</w:t>
      </w:r>
      <w:r>
        <w:br/>
        <w:t>:=</w:t>
      </w:r>
      <w:r>
        <w:br/>
        <w:t>\left|</w:t>
      </w:r>
      <w:r>
        <w:br/>
        <w:t>Q(S_\lambda X)-Q(X)</w:t>
      </w:r>
      <w:r>
        <w:br/>
        <w:t>\right|.</w:t>
      </w:r>
      <w:r>
        <w:br/>
        <w:t>}</w:t>
      </w:r>
      <w:r>
        <w:br/>
        <w:t>\tag{3.11072}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lastRenderedPageBreak/>
        <w:t>\boxed{\Delta_{\mathrm{sc}}Q(X;\lambda):=\left|Q(S_\lambda X)-Q(X)\right|.}</w:t>
      </w:r>
    </w:p>
    <w:p w:rsidR="00197EC9" w:rsidRDefault="00E50336" w:rsidP="00197EC9">
      <w:r>
        <w:pict>
          <v:rect id="_x0000_i3684" style="width:0;height:1.5pt" o:hralign="center" o:hrstd="t" o:hr="t" fillcolor="#a0a0a0" stroked="f"/>
        </w:pict>
      </w:r>
    </w:p>
    <w:p w:rsidR="00197EC9" w:rsidRDefault="00197EC9" w:rsidP="00197EC9">
      <w:pPr>
        <w:pStyle w:val="berschrift1"/>
      </w:pPr>
      <w:r>
        <w:t>3.3.46.167 Exakte Skaleninvarianz als Nullabweichung</w:t>
      </w:r>
    </w:p>
    <w:p w:rsidR="00197EC9" w:rsidRDefault="00197EC9" w:rsidP="00197EC9">
      <w:pPr>
        <w:pStyle w:val="StandardWeb"/>
      </w:pPr>
      <w:r>
        <w:t>Exakte Skaleninvarianz entspricht</w:t>
      </w:r>
    </w:p>
    <w:p w:rsidR="00197EC9" w:rsidRDefault="00197EC9" w:rsidP="00197EC9">
      <w:pPr>
        <w:pStyle w:val="berschrift1"/>
      </w:pPr>
      <w:r>
        <w:t>[</w:t>
      </w:r>
      <w:r>
        <w:br/>
        <w:t>\Delta_{\mathrm{sc}}Q(X;\lambda)</w:t>
      </w:r>
    </w:p>
    <w:p w:rsidR="00197EC9" w:rsidRDefault="00197EC9" w:rsidP="00152216">
      <w:pPr>
        <w:numPr>
          <w:ilvl w:val="0"/>
          <w:numId w:val="477"/>
        </w:numPr>
        <w:spacing w:before="100" w:beforeAutospacing="1" w:after="100" w:afterAutospacing="1"/>
      </w:pPr>
    </w:p>
    <w:p w:rsidR="00197EC9" w:rsidRDefault="00197EC9" w:rsidP="00197EC9">
      <w:pPr>
        <w:pStyle w:val="StandardWeb"/>
      </w:pPr>
      <w:r>
        <w:t>\tag{3.11073}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\Delta_{\mathrm{sc}}Q(X;\lambda)=0</w:t>
      </w:r>
    </w:p>
    <w:p w:rsidR="00197EC9" w:rsidRDefault="00E50336" w:rsidP="00197EC9">
      <w:r>
        <w:pict>
          <v:rect id="_x0000_i3685" style="width:0;height:1.5pt" o:hralign="center" o:hrstd="t" o:hr="t" fillcolor="#a0a0a0" stroked="f"/>
        </w:pict>
      </w:r>
    </w:p>
    <w:p w:rsidR="00197EC9" w:rsidRDefault="00197EC9" w:rsidP="00197EC9">
      <w:pPr>
        <w:pStyle w:val="berschrift1"/>
      </w:pPr>
      <w:r>
        <w:t>3.3.46.168 Definition 3.3.199 – Epsilon-Skaleninvarianz</w:t>
      </w:r>
    </w:p>
    <w:p w:rsidR="00197EC9" w:rsidRDefault="00197EC9" w:rsidP="00197EC9">
      <w:pPr>
        <w:pStyle w:val="berschrift3"/>
      </w:pPr>
      <w:r>
        <w:t>Definition 3.3.199</w:t>
      </w:r>
    </w:p>
    <w:p w:rsidR="00197EC9" w:rsidRDefault="00197EC9" w:rsidP="00197EC9">
      <w:pPr>
        <w:pStyle w:val="StandardWeb"/>
      </w:pPr>
      <w:r>
        <w:t xml:space="preserve">Eine Größe (Q) heißt </w:t>
      </w:r>
      <w:r>
        <w:rPr>
          <w:rStyle w:val="Fett"/>
        </w:rPr>
        <w:t>(\varepsilon_{\mathrm{sc}})-skaleninvariant</w:t>
      </w:r>
      <w:r>
        <w:t>, wenn</w:t>
      </w:r>
    </w:p>
    <w:p w:rsidR="00197EC9" w:rsidRDefault="00197EC9" w:rsidP="00197EC9">
      <w:pPr>
        <w:pStyle w:val="StandardWeb"/>
      </w:pPr>
      <w:r>
        <w:t>[</w:t>
      </w:r>
      <w:r>
        <w:br/>
        <w:t>\boxed{</w:t>
      </w:r>
      <w:r>
        <w:br/>
        <w:t>\Delta_{\mathrm{sc}}Q(X;\lambda)</w:t>
      </w:r>
      <w:r>
        <w:br/>
        <w:t>\leq</w:t>
      </w:r>
      <w:r>
        <w:br/>
        <w:t>\varepsilon_{\mathrm{sc}}</w:t>
      </w:r>
      <w:r>
        <w:br/>
        <w:t>}</w:t>
      </w:r>
      <w:r>
        <w:br/>
        <w:t>\tag{3.11074}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\boxed{\Delta_{\mathrm{sc}}Q(X;\lambda)\leq\varepsilon_{\mathrm{sc}}}</w:t>
      </w:r>
    </w:p>
    <w:p w:rsidR="00197EC9" w:rsidRDefault="00197EC9" w:rsidP="00197EC9">
      <w:pPr>
        <w:pStyle w:val="StandardWeb"/>
      </w:pPr>
      <w:r>
        <w:t>für alle spezifizierten (X) und Skalierungsparameter (\lambda) gilt.</w:t>
      </w:r>
    </w:p>
    <w:p w:rsidR="00197EC9" w:rsidRDefault="00E50336" w:rsidP="00197EC9">
      <w:r>
        <w:pict>
          <v:rect id="_x0000_i3686" style="width:0;height:1.5pt" o:hralign="center" o:hrstd="t" o:hr="t" fillcolor="#a0a0a0" stroked="f"/>
        </w:pict>
      </w:r>
    </w:p>
    <w:p w:rsidR="00197EC9" w:rsidRDefault="00197EC9" w:rsidP="00197EC9">
      <w:pPr>
        <w:pStyle w:val="berschrift1"/>
      </w:pPr>
      <w:r>
        <w:t>3.3.46.169 Approximativer Skaleninvariantenbereich</w:t>
      </w:r>
    </w:p>
    <w:p w:rsidR="00197EC9" w:rsidRDefault="00197EC9" w:rsidP="00197EC9">
      <w:pPr>
        <w:pStyle w:val="StandardWeb"/>
      </w:pPr>
      <w:r>
        <w:t>Die Forderung muss nicht auf dem gesamten Objekt- und Parameterraum gelten.</w:t>
      </w:r>
    </w:p>
    <w:p w:rsidR="00197EC9" w:rsidRDefault="00197EC9" w:rsidP="00197EC9">
      <w:pPr>
        <w:pStyle w:val="StandardWeb"/>
      </w:pPr>
      <w:r>
        <w:lastRenderedPageBreak/>
        <w:t>Ich kann einen Bereich</w:t>
      </w:r>
    </w:p>
    <w:p w:rsidR="00197EC9" w:rsidRDefault="00197EC9" w:rsidP="00197EC9">
      <w:pPr>
        <w:pStyle w:val="StandardWeb"/>
      </w:pPr>
      <w:r>
        <w:t>[</w:t>
      </w:r>
      <w:r>
        <w:br/>
        <w:t>\mathcal D_{\mathrm{sc}}</w:t>
      </w:r>
      <w:r>
        <w:br/>
        <w:t>\subseteq</w:t>
      </w:r>
      <w:r>
        <w:br/>
        <w:t>\mathcal X_F\times\Lambda</w:t>
      </w:r>
      <w:r>
        <w:br/>
        <w:t>\tag{3.11075}</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D_{\mathrm{sc}}\subseteq\mathcal X_F\times\Lambda</w:t>
      </w:r>
    </w:p>
    <w:p w:rsidR="00197EC9" w:rsidRDefault="00197EC9" w:rsidP="00197EC9">
      <w:pPr>
        <w:pStyle w:val="StandardWeb"/>
      </w:pPr>
      <w:r>
        <w:t>festlegen.</w:t>
      </w:r>
    </w:p>
    <w:p w:rsidR="00197EC9" w:rsidRDefault="00E50336" w:rsidP="00197EC9">
      <w:r>
        <w:pict>
          <v:rect id="_x0000_i3687" style="width:0;height:1.5pt" o:hralign="center" o:hrstd="t" o:hr="t" fillcolor="#a0a0a0" stroked="f"/>
        </w:pict>
      </w:r>
    </w:p>
    <w:p w:rsidR="00197EC9" w:rsidRDefault="00197EC9" w:rsidP="00197EC9">
      <w:pPr>
        <w:pStyle w:val="berschrift1"/>
      </w:pPr>
      <w:r>
        <w:t>3.3.46.170 Definition 3.3.200 – Lokaler Skaleninvariantenbereich</w:t>
      </w:r>
    </w:p>
    <w:p w:rsidR="00197EC9" w:rsidRDefault="00197EC9" w:rsidP="00197EC9">
      <w:pPr>
        <w:pStyle w:val="berschrift3"/>
      </w:pPr>
      <w:r>
        <w:t>Definition 3.3.200</w:t>
      </w:r>
    </w:p>
    <w:p w:rsidR="00197EC9" w:rsidRDefault="00197EC9" w:rsidP="00197EC9">
      <w:pPr>
        <w:pStyle w:val="StandardWeb"/>
      </w:pPr>
      <w:r>
        <w:t xml:space="preserve">Ein </w:t>
      </w:r>
      <w:r>
        <w:rPr>
          <w:rStyle w:val="Fett"/>
        </w:rPr>
        <w:t>lokaler Skaleninvariantenbereich</w:t>
      </w:r>
      <w:r>
        <w:t xml:space="preserve"> ist eine Teilmenge</w:t>
      </w:r>
    </w:p>
    <w:p w:rsidR="00197EC9" w:rsidRDefault="00197EC9" w:rsidP="00197EC9">
      <w:pPr>
        <w:pStyle w:val="StandardWeb"/>
      </w:pPr>
      <w:r>
        <w:t>[</w:t>
      </w:r>
      <w:r>
        <w:br/>
        <w:t>\boxed{</w:t>
      </w:r>
      <w:r>
        <w:br/>
        <w:t>\mathcal D_{\mathrm{sc}}</w:t>
      </w:r>
      <w:r>
        <w:br/>
        <w:t>\subseteq</w:t>
      </w:r>
      <w:r>
        <w:br/>
        <w:t>\mathcal X_F\times\Lambda</w:t>
      </w:r>
      <w:r>
        <w:br/>
        <w:t>}</w:t>
      </w:r>
      <w:r>
        <w:br/>
        <w:t>\tag{3.11076}</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\boxed{\mathcal D_{\mathrm{sc}}\subseteq\mathcal X_F\times\Lambda}</w:t>
      </w:r>
    </w:p>
    <w:p w:rsidR="00197EC9" w:rsidRDefault="00197EC9" w:rsidP="00197EC9">
      <w:pPr>
        <w:pStyle w:val="StandardWeb"/>
      </w:pPr>
      <w:r>
        <w:t>auf der eine spezifizierte exakte oder approximative Skalierungsrelation gilt.</w:t>
      </w:r>
    </w:p>
    <w:p w:rsidR="00197EC9" w:rsidRDefault="00E50336" w:rsidP="00197EC9">
      <w:r>
        <w:pict>
          <v:rect id="_x0000_i3688" style="width:0;height:1.5pt" o:hralign="center" o:hrstd="t" o:hr="t" fillcolor="#a0a0a0" stroked="f"/>
        </w:pict>
      </w:r>
    </w:p>
    <w:p w:rsidR="00197EC9" w:rsidRDefault="00197EC9" w:rsidP="00197EC9">
      <w:pPr>
        <w:pStyle w:val="berschrift1"/>
      </w:pPr>
      <w:r>
        <w:t>3.3.46.171 Lokale Skaleninvarianz ist keine globale Skaleninvarianz</w:t>
      </w:r>
    </w:p>
    <w:p w:rsidR="00197EC9" w:rsidRDefault="00197EC9" w:rsidP="00197EC9">
      <w:pPr>
        <w:pStyle w:val="StandardWeb"/>
      </w:pPr>
      <w:r>
        <w:t>Aus</w:t>
      </w:r>
    </w:p>
    <w:p w:rsidR="00197EC9" w:rsidRDefault="00197EC9" w:rsidP="00197EC9">
      <w:pPr>
        <w:pStyle w:val="StandardWeb"/>
      </w:pPr>
      <w:r>
        <w:t>[</w:t>
      </w:r>
      <w:r>
        <w:br/>
        <w:t>\Delta_{\mathrm{sc}}Q</w:t>
      </w:r>
      <w:r>
        <w:br/>
        <w:t>\leq</w:t>
      </w:r>
      <w:r>
        <w:br/>
        <w:t>\varepsilon_{\mathrm{sc}}</w:t>
      </w:r>
      <w:r>
        <w:br/>
      </w:r>
      <w:r>
        <w:lastRenderedPageBreak/>
        <w:t>\qquad</w:t>
      </w:r>
      <w:r>
        <w:br/>
        <w:t>\text{auf }\mathcal D_{\mathrm{sc}}</w:t>
      </w:r>
      <w:r>
        <w:br/>
        <w:t>\tag{3.11077}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\Delta_{\mathrm{sc}}Q\leq\varepsilon_{\mathrm{sc}}\qquad\text{auf }\mathcal D_{\mathrm{sc}}</w:t>
      </w:r>
    </w:p>
    <w:p w:rsidR="00197EC9" w:rsidRDefault="00197EC9" w:rsidP="00197EC9">
      <w:pPr>
        <w:pStyle w:val="StandardWeb"/>
      </w:pPr>
      <w:r>
        <w:t>folgt im Allgemeinen nicht</w:t>
      </w:r>
    </w:p>
    <w:p w:rsidR="00197EC9" w:rsidRDefault="00197EC9" w:rsidP="00197EC9">
      <w:pPr>
        <w:pStyle w:val="StandardWeb"/>
      </w:pPr>
      <w:r>
        <w:t>[</w:t>
      </w:r>
      <w:r>
        <w:br/>
        <w:t>\Delta_{\mathrm{sc}}Q</w:t>
      </w:r>
      <w:r>
        <w:br/>
        <w:t>\leq</w:t>
      </w:r>
      <w:r>
        <w:br/>
        <w:t>\varepsilon_{\mathrm{sc}}</w:t>
      </w:r>
      <w:r>
        <w:br/>
        <w:t>\qquad</w:t>
      </w:r>
      <w:r>
        <w:br/>
        <w:t>\text{auf }\mathcal X_F\times\Lambda.</w:t>
      </w:r>
      <w:r>
        <w:br/>
        <w:t>\tag{3.11078}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\Delta_{\mathrm{sc}}Q\leq\varepsilon_{\mathrm{sc}}\qquad\text{auf }\mathcal X_F\times\Lambda</w:t>
      </w:r>
    </w:p>
    <w:p w:rsidR="00197EC9" w:rsidRDefault="00E50336" w:rsidP="00197EC9">
      <w:r>
        <w:pict>
          <v:rect id="_x0000_i3689" style="width:0;height:1.5pt" o:hralign="center" o:hrstd="t" o:hr="t" fillcolor="#a0a0a0" stroked="f"/>
        </w:pict>
      </w:r>
    </w:p>
    <w:p w:rsidR="00197EC9" w:rsidRDefault="00197EC9" w:rsidP="00197EC9">
      <w:pPr>
        <w:pStyle w:val="berschrift1"/>
      </w:pPr>
      <w:r>
        <w:t>3.3.46.172 Skalenverletzungsmenge</w:t>
      </w:r>
    </w:p>
    <w:p w:rsidR="00197EC9" w:rsidRDefault="00197EC9" w:rsidP="00197EC9">
      <w:pPr>
        <w:pStyle w:val="StandardWeb"/>
      </w:pPr>
      <w:r>
        <w:t>Analog zur Invarianzverletzungsmenge definiere ich</w:t>
      </w:r>
    </w:p>
    <w:p w:rsidR="00197EC9" w:rsidRDefault="00197EC9" w:rsidP="00197EC9">
      <w:pPr>
        <w:pStyle w:val="berschrift1"/>
      </w:pPr>
      <w:r>
        <w:t>[</w:t>
      </w:r>
      <w:r>
        <w:br/>
        <w:t>\mathcal V_{\mathrm{sc}}^{(\varepsilon)}</w:t>
      </w:r>
    </w:p>
    <w:p w:rsidR="00197EC9" w:rsidRDefault="00197EC9" w:rsidP="00197EC9">
      <w:pPr>
        <w:pStyle w:val="StandardWeb"/>
      </w:pPr>
      <w:r>
        <w:t>\left{</w:t>
      </w:r>
      <w:r>
        <w:br/>
        <w:t>(X,\lambda):</w:t>
      </w:r>
      <w:r>
        <w:br/>
        <w:t>\Delta_{\mathrm{sc}}Q(X;\lambda)</w:t>
      </w:r>
    </w:p>
    <w:p w:rsidR="00197EC9" w:rsidRDefault="00197EC9" w:rsidP="00197EC9">
      <w:pPr>
        <w:pStyle w:val="StandardWeb"/>
      </w:pPr>
      <w:r>
        <w:t>\varepsilon_{\mathrm{sc}}</w:t>
      </w:r>
      <w:r>
        <w:br/>
        <w:t>\right}.</w:t>
      </w:r>
      <w:r>
        <w:br/>
        <w:t>\tag{3.11079}</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\mathcal V_{\mathrm{sc}}^{(\varepsilon)}=\left\{(X,\lambda):\Delta_{\mathrm{sc}}Q(X;\lambda)&gt;\varepsilon_{\mathrm{sc}}\right\}</w:t>
      </w:r>
    </w:p>
    <w:p w:rsidR="00197EC9" w:rsidRDefault="00E50336" w:rsidP="00197EC9">
      <w:r>
        <w:pict>
          <v:rect id="_x0000_i3690" style="width:0;height:1.5pt" o:hralign="center" o:hrstd="t" o:hr="t" fillcolor="#a0a0a0" stroked="f"/>
        </w:pict>
      </w:r>
    </w:p>
    <w:p w:rsidR="00197EC9" w:rsidRDefault="00197EC9" w:rsidP="00197EC9">
      <w:pPr>
        <w:pStyle w:val="berschrift1"/>
      </w:pPr>
      <w:r>
        <w:lastRenderedPageBreak/>
        <w:t>3.3.46.173 Definition 3.3.201 – Funktionale Skalenverletzungsmenge</w:t>
      </w:r>
    </w:p>
    <w:p w:rsidR="00197EC9" w:rsidRDefault="00197EC9" w:rsidP="00197EC9">
      <w:pPr>
        <w:pStyle w:val="berschrift3"/>
      </w:pPr>
      <w:r>
        <w:t>Definition 3.3.201</w:t>
      </w:r>
    </w:p>
    <w:p w:rsidR="00197EC9" w:rsidRDefault="00197EC9" w:rsidP="00197EC9">
      <w:pPr>
        <w:pStyle w:val="StandardWeb"/>
      </w:pPr>
      <w:r>
        <w:t xml:space="preserve">Die </w:t>
      </w:r>
      <w:r>
        <w:rPr>
          <w:rStyle w:val="Fett"/>
        </w:rPr>
        <w:t>funktionale Skalenverletzungsmenge</w:t>
      </w:r>
      <w:r>
        <w:t xml:space="preserve"> ist</w:t>
      </w:r>
    </w:p>
    <w:p w:rsidR="00197EC9" w:rsidRDefault="00197EC9" w:rsidP="00197EC9">
      <w:pPr>
        <w:pStyle w:val="StandardWeb"/>
      </w:pPr>
      <w:r>
        <w:t>[</w:t>
      </w:r>
      <w:r>
        <w:br/>
        <w:t>\boxed{</w:t>
      </w:r>
      <w:r>
        <w:br/>
        <w:t>\mathcal V_{\mathrm{sc}}^{(\varepsilon)}</w:t>
      </w:r>
      <w:r>
        <w:br/>
        <w:t>:=</w:t>
      </w:r>
      <w:r>
        <w:br/>
        <w:t>\left{</w:t>
      </w:r>
      <w:r>
        <w:br/>
        <w:t>(X,\lambda)\in\mathcal D_{\mathrm{sc}}:</w:t>
      </w:r>
      <w:r>
        <w:br/>
        <w:t>\Delta_{\mathrm{sc}}Q(X;\lambda)</w:t>
      </w:r>
    </w:p>
    <w:p w:rsidR="00197EC9" w:rsidRDefault="00197EC9" w:rsidP="00197EC9">
      <w:pPr>
        <w:pStyle w:val="StandardWeb"/>
      </w:pPr>
      <w:r>
        <w:t>\varepsilon_{\mathrm{sc}}</w:t>
      </w:r>
      <w:r>
        <w:br/>
        <w:t>\right}.</w:t>
      </w:r>
      <w:r>
        <w:br/>
        <w:t>}</w:t>
      </w:r>
      <w:r>
        <w:br/>
        <w:t>\tag{3.11080}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\boxed{\mathcal V_{\mathrm{sc}}^{(\varepsilon)}:=\left\{(X,\lambda)\in\mathcal D_{\mathrm{sc}}:\Delta_{\mathrm{sc}}Q(X;\lambda)&gt;\varepsilon_{\mathrm{sc}}\right\}.}</w:t>
      </w:r>
    </w:p>
    <w:p w:rsidR="00197EC9" w:rsidRDefault="00E50336" w:rsidP="00197EC9">
      <w:r>
        <w:pict>
          <v:rect id="_x0000_i3691" style="width:0;height:1.5pt" o:hralign="center" o:hrstd="t" o:hr="t" fillcolor="#a0a0a0" stroked="f"/>
        </w:pict>
      </w:r>
    </w:p>
    <w:p w:rsidR="00197EC9" w:rsidRDefault="00197EC9" w:rsidP="00197EC9">
      <w:pPr>
        <w:pStyle w:val="berschrift1"/>
      </w:pPr>
      <w:r>
        <w:t>3.3.46.174 Charakterisierung approximativer Skaleninvarianz</w:t>
      </w:r>
    </w:p>
    <w:p w:rsidR="00197EC9" w:rsidRDefault="00197EC9" w:rsidP="00197EC9">
      <w:pPr>
        <w:pStyle w:val="StandardWeb"/>
      </w:pPr>
      <w:r>
        <w:t>Damit gilt unmittelbar</w:t>
      </w:r>
    </w:p>
    <w:p w:rsidR="00197EC9" w:rsidRDefault="00197EC9" w:rsidP="00197EC9">
      <w:pPr>
        <w:pStyle w:val="berschrift1"/>
      </w:pPr>
      <w:r>
        <w:t>[</w:t>
      </w:r>
      <w:r>
        <w:br/>
        <w:t>Q</w:t>
      </w:r>
      <w:r>
        <w:br/>
        <w:t>\text{ ist }</w:t>
      </w:r>
      <w:r>
        <w:br/>
        <w:t>\varepsilon_{\mathrm{sc}}\text{-skaleninvariant}</w:t>
      </w:r>
      <w:r>
        <w:br/>
        <w:t>\Longleftrightarrow</w:t>
      </w:r>
      <w:r>
        <w:br/>
        <w:t>\mathcal V_{\mathrm{sc}}^{(\varepsilon)}</w:t>
      </w:r>
    </w:p>
    <w:p w:rsidR="00197EC9" w:rsidRDefault="00197EC9" w:rsidP="00197EC9">
      <w:pPr>
        <w:pStyle w:val="StandardWeb"/>
      </w:pPr>
      <w:r>
        <w:t>\varnothing.</w:t>
      </w:r>
      <w:r>
        <w:br/>
        <w:t>\tag{3.11081}</w:t>
      </w:r>
      <w:r>
        <w:br/>
        <w:t>]</w:t>
      </w:r>
    </w:p>
    <w:p w:rsidR="00197EC9" w:rsidRDefault="00197EC9" w:rsidP="00197EC9">
      <w:pPr>
        <w:pStyle w:val="StandardWeb"/>
      </w:pPr>
      <w:r>
        <w:rPr>
          <w:rStyle w:val="Fett"/>
        </w:rPr>
        <w:lastRenderedPageBreak/>
        <w:t>Word-LaTeX</w:t>
      </w:r>
    </w:p>
    <w:p w:rsidR="00197EC9" w:rsidRDefault="00197EC9" w:rsidP="00197EC9">
      <w:pPr>
        <w:pStyle w:val="HTMLVorformatiert"/>
        <w:rPr>
          <w:rStyle w:val="HTMLCode"/>
        </w:rPr>
      </w:pPr>
      <w:r>
        <w:rPr>
          <w:rStyle w:val="HTMLCode"/>
        </w:rPr>
        <w:t>Q\text{ ist }\varepsilon_{\mathrm{sc}}\text{-skaleninvariant}\Longleftrightarrow\mathcal V_{\mathrm{sc}}^{(\varepsilon)}=\varnothing</w:t>
      </w:r>
    </w:p>
    <w:p w:rsidR="00197EC9" w:rsidRDefault="00E50336" w:rsidP="00197EC9">
      <w:r>
        <w:pict>
          <v:rect id="_x0000_i3692" style="width:0;height:1.5pt" o:hralign="center" o:hrstd="t" o:hr="t" fillcolor="#a0a0a0" stroked="f"/>
        </w:pict>
      </w:r>
    </w:p>
    <w:p w:rsidR="00197EC9" w:rsidRDefault="00197EC9" w:rsidP="00197EC9">
      <w:pPr>
        <w:pStyle w:val="berschrift1"/>
      </w:pPr>
      <w:r>
        <w:t>3.3.46.175 Satz 3.3.90 – Verletzungsmengencharakterisierung approximativer Skaleninvarianz</w:t>
      </w:r>
    </w:p>
    <w:p w:rsidR="00197EC9" w:rsidRDefault="00197EC9" w:rsidP="00197EC9">
      <w:pPr>
        <w:pStyle w:val="berschrift3"/>
      </w:pPr>
      <w:r>
        <w:t>Satz 3.3.90</w:t>
      </w:r>
    </w:p>
    <w:p w:rsidR="00197EC9" w:rsidRDefault="00197EC9" w:rsidP="00197EC9">
      <w:pPr>
        <w:pStyle w:val="StandardWeb"/>
      </w:pPr>
      <w:r>
        <w:t>Auf einem festgelegten Skalenbereich gilt</w:t>
      </w:r>
    </w:p>
    <w:p w:rsidR="00197EC9" w:rsidRDefault="00197EC9" w:rsidP="00197EC9">
      <w:pPr>
        <w:pStyle w:val="berschrift1"/>
      </w:pPr>
      <w:r>
        <w:t>[</w:t>
      </w:r>
      <w:r>
        <w:br/>
        <w:t>\boxed{</w:t>
      </w:r>
      <w:r>
        <w:br/>
        <w:t>Q</w:t>
      </w:r>
      <w:r>
        <w:br/>
        <w:t>\in</w:t>
      </w:r>
      <w:r>
        <w:br/>
        <w:t>\mathcal I_{\mathrm{sc}}^{(\varepsilon)}</w:t>
      </w:r>
      <w:r>
        <w:br/>
        <w:t>\Longleftrightarrow</w:t>
      </w:r>
      <w:r>
        <w:br/>
        <w:t>\mathcal V_{\mathrm{sc}}^{(\varepsilon)}</w:t>
      </w:r>
    </w:p>
    <w:p w:rsidR="00197EC9" w:rsidRDefault="00197EC9" w:rsidP="00197EC9">
      <w:pPr>
        <w:pStyle w:val="StandardWeb"/>
      </w:pPr>
      <w:r>
        <w:t>\varnothing.</w:t>
      </w:r>
      <w:r>
        <w:br/>
        <w:t>}</w:t>
      </w:r>
      <w:r>
        <w:br/>
        <w:t>\tag{3.11082}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\boxed{Q\in\mathcal I_{\mathrm{sc}}^{(\varepsilon)}\Longleftrightarrow\mathcal V_{\mathrm{sc}}^{(\varepsilon)}=\varnothing.}</w:t>
      </w:r>
    </w:p>
    <w:p w:rsidR="00197EC9" w:rsidRDefault="00197EC9" w:rsidP="00197EC9">
      <w:pPr>
        <w:pStyle w:val="berschrift3"/>
      </w:pPr>
      <w:r>
        <w:t>Beweis</w:t>
      </w:r>
    </w:p>
    <w:p w:rsidR="00197EC9" w:rsidRDefault="00197EC9" w:rsidP="00197EC9">
      <w:pPr>
        <w:pStyle w:val="StandardWeb"/>
      </w:pPr>
      <w:r>
        <w:t>Nach Definition enthält die Verletzungsmenge genau diejenigen Paare, für die</w:t>
      </w:r>
    </w:p>
    <w:p w:rsidR="00197EC9" w:rsidRDefault="00197EC9" w:rsidP="00197EC9">
      <w:pPr>
        <w:pStyle w:val="StandardWeb"/>
      </w:pPr>
      <w:r>
        <w:t>[</w:t>
      </w:r>
      <w:r>
        <w:br/>
        <w:t>\Delta_{\mathrm{sc}}Q</w:t>
      </w:r>
    </w:p>
    <w:p w:rsidR="00197EC9" w:rsidRDefault="00197EC9" w:rsidP="00197EC9">
      <w:pPr>
        <w:pStyle w:val="StandardWeb"/>
      </w:pPr>
      <w:r>
        <w:t>\varepsilon_{\mathrm{sc}}</w:t>
      </w:r>
      <w:r>
        <w:br/>
        <w:t>\tag{3.11083}</w:t>
      </w:r>
      <w:r>
        <w:br/>
        <w:t>]</w:t>
      </w:r>
    </w:p>
    <w:p w:rsidR="00197EC9" w:rsidRDefault="00197EC9" w:rsidP="00197EC9">
      <w:pPr>
        <w:pStyle w:val="StandardWeb"/>
      </w:pPr>
      <w:r>
        <w:rPr>
          <w:rStyle w:val="Fett"/>
        </w:rPr>
        <w:lastRenderedPageBreak/>
        <w:t>Word-LaTeX</w:t>
      </w:r>
    </w:p>
    <w:p w:rsidR="00197EC9" w:rsidRDefault="00197EC9" w:rsidP="00197EC9">
      <w:pPr>
        <w:pStyle w:val="HTMLVorformatiert"/>
        <w:rPr>
          <w:rStyle w:val="HTMLCode"/>
        </w:rPr>
      </w:pPr>
      <w:r>
        <w:rPr>
          <w:rStyle w:val="HTMLCode"/>
        </w:rPr>
        <w:t>\Delta_{\mathrm{sc}}Q&gt;\varepsilon_{\mathrm{sc}}</w:t>
      </w:r>
    </w:p>
    <w:p w:rsidR="00197EC9" w:rsidRDefault="00197EC9" w:rsidP="00197EC9">
      <w:pPr>
        <w:pStyle w:val="StandardWeb"/>
      </w:pPr>
      <w:r>
        <w:t>gilt. Sie ist daher genau dann leer, wenn für alle betrachteten Paare die Toleranzbedingung erfüllt ist. (\square)</w:t>
      </w:r>
    </w:p>
    <w:p w:rsidR="00197EC9" w:rsidRDefault="00E50336" w:rsidP="00197EC9">
      <w:r>
        <w:pict>
          <v:rect id="_x0000_i3693" style="width:0;height:1.5pt" o:hralign="center" o:hrstd="t" o:hr="t" fillcolor="#a0a0a0" stroked="f"/>
        </w:pict>
      </w:r>
    </w:p>
    <w:p w:rsidR="00197EC9" w:rsidRDefault="00197EC9" w:rsidP="00197EC9">
      <w:pPr>
        <w:pStyle w:val="berschrift1"/>
      </w:pPr>
      <w:r>
        <w:t>3.3.46.176 Relative Skalenabweichung</w:t>
      </w:r>
    </w:p>
    <w:p w:rsidR="00197EC9" w:rsidRDefault="00197EC9" w:rsidP="00197EC9">
      <w:pPr>
        <w:pStyle w:val="StandardWeb"/>
      </w:pPr>
      <w:r>
        <w:t>Für (Q(X)\neq0) kann ich außerdem</w:t>
      </w:r>
    </w:p>
    <w:p w:rsidR="00197EC9" w:rsidRDefault="00197EC9" w:rsidP="00197EC9">
      <w:pPr>
        <w:pStyle w:val="berschrift1"/>
      </w:pPr>
      <w:r>
        <w:t>[</w:t>
      </w:r>
      <w:r>
        <w:br/>
        <w:t>\delta_{\mathrm{sc}}^{\mathrm{rel}}</w:t>
      </w:r>
      <w:r>
        <w:br/>
        <w:t>(X;\lambda)</w:t>
      </w:r>
    </w:p>
    <w:p w:rsidR="00197EC9" w:rsidRDefault="00197EC9" w:rsidP="00197EC9">
      <w:pPr>
        <w:pStyle w:val="StandardWeb"/>
      </w:pPr>
      <w:r>
        <w:t>\frac{</w:t>
      </w:r>
      <w:r>
        <w:br/>
        <w:t>|Q(S_\lambda X)-Q(X)|</w:t>
      </w:r>
      <w:r>
        <w:br/>
        <w:t>}{</w:t>
      </w:r>
      <w:r>
        <w:br/>
        <w:t>|Q(X)|</w:t>
      </w:r>
      <w:r>
        <w:br/>
        <w:t>}</w:t>
      </w:r>
      <w:r>
        <w:br/>
        <w:t>\tag{3.11084}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\delta_{\mathrm{sc}}^{\mathrm{rel}}(X;\lambda)=\frac{|Q(S_\lambda X)-Q(X)|}{|Q(X)|}</w:t>
      </w:r>
    </w:p>
    <w:p w:rsidR="00197EC9" w:rsidRDefault="00197EC9" w:rsidP="00197EC9">
      <w:pPr>
        <w:pStyle w:val="StandardWeb"/>
      </w:pPr>
      <w:r>
        <w:t>verwenden.</w:t>
      </w:r>
    </w:p>
    <w:p w:rsidR="00197EC9" w:rsidRDefault="00E50336" w:rsidP="00197EC9">
      <w:r>
        <w:pict>
          <v:rect id="_x0000_i3694" style="width:0;height:1.5pt" o:hralign="center" o:hrstd="t" o:hr="t" fillcolor="#a0a0a0" stroked="f"/>
        </w:pict>
      </w:r>
    </w:p>
    <w:p w:rsidR="00197EC9" w:rsidRDefault="00197EC9" w:rsidP="00197EC9">
      <w:pPr>
        <w:pStyle w:val="berschrift1"/>
      </w:pPr>
      <w:r>
        <w:t>3.3.46.177 Definition 3.3.202 – Relative funktionale Skalenabweichung</w:t>
      </w:r>
    </w:p>
    <w:p w:rsidR="00197EC9" w:rsidRDefault="00197EC9" w:rsidP="00197EC9">
      <w:pPr>
        <w:pStyle w:val="berschrift3"/>
      </w:pPr>
      <w:r>
        <w:t>Definition 3.3.202</w:t>
      </w:r>
    </w:p>
    <w:p w:rsidR="00197EC9" w:rsidRDefault="00197EC9" w:rsidP="00197EC9">
      <w:pPr>
        <w:pStyle w:val="StandardWeb"/>
      </w:pPr>
      <w:r>
        <w:t xml:space="preserve">Die </w:t>
      </w:r>
      <w:r>
        <w:rPr>
          <w:rStyle w:val="Fett"/>
        </w:rPr>
        <w:t>relative funktionale Skalenabweichung</w:t>
      </w:r>
      <w:r>
        <w:t xml:space="preserve"> ist</w:t>
      </w:r>
    </w:p>
    <w:p w:rsidR="00197EC9" w:rsidRDefault="00197EC9" w:rsidP="00197EC9">
      <w:pPr>
        <w:pStyle w:val="StandardWeb"/>
      </w:pPr>
      <w:r>
        <w:t>[</w:t>
      </w:r>
      <w:r>
        <w:br/>
        <w:t>\boxed{</w:t>
      </w:r>
      <w:r>
        <w:br/>
        <w:t>\delta_{\mathrm{sc}}^{\mathrm{rel}}</w:t>
      </w:r>
      <w:r>
        <w:br/>
        <w:t>(X;\lambda)</w:t>
      </w:r>
      <w:r>
        <w:br/>
        <w:t>:=</w:t>
      </w:r>
      <w:r>
        <w:br/>
        <w:t>\frac{</w:t>
      </w:r>
      <w:r>
        <w:br/>
        <w:t>|Q(S_\lambda X)-Q(X)|</w:t>
      </w:r>
      <w:r>
        <w:br/>
      </w:r>
      <w:r>
        <w:lastRenderedPageBreak/>
        <w:t>}{</w:t>
      </w:r>
      <w:r>
        <w:br/>
        <w:t>|Q(X)|</w:t>
      </w:r>
      <w:r>
        <w:br/>
        <w:t>}.</w:t>
      </w:r>
      <w:r>
        <w:br/>
        <w:t>}</w:t>
      </w:r>
      <w:r>
        <w:br/>
        <w:t>\tag{3.11085}</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\boxed{\delta_{\mathrm{sc}}^{\mathrm{rel}}(X;\lambda):=\frac{|Q(S_\lambda X)-Q(X)|}{|Q(X)|}.}</w:t>
      </w:r>
    </w:p>
    <w:p w:rsidR="00197EC9" w:rsidRDefault="00197EC9" w:rsidP="00197EC9">
      <w:pPr>
        <w:pStyle w:val="StandardWeb"/>
      </w:pPr>
      <w:r>
        <w:t>Sie ist nur für (Q(X)\neq0) definiert.</w:t>
      </w:r>
    </w:p>
    <w:p w:rsidR="00197EC9" w:rsidRDefault="00E50336" w:rsidP="00197EC9">
      <w:r>
        <w:pict>
          <v:rect id="_x0000_i3695" style="width:0;height:1.5pt" o:hralign="center" o:hrstd="t" o:hr="t" fillcolor="#a0a0a0" stroked="f"/>
        </w:pict>
      </w:r>
    </w:p>
    <w:p w:rsidR="00197EC9" w:rsidRDefault="00197EC9" w:rsidP="00197EC9">
      <w:pPr>
        <w:pStyle w:val="berschrift1"/>
      </w:pPr>
      <w:r>
        <w:t>3.3.46.178 Logarithmische Skalierungsvariable</w:t>
      </w:r>
    </w:p>
    <w:p w:rsidR="00197EC9" w:rsidRDefault="00197EC9" w:rsidP="00197EC9">
      <w:pPr>
        <w:pStyle w:val="StandardWeb"/>
      </w:pPr>
      <w:r>
        <w:t>Für positive Skalierungsparameter kann eine logarithmische Variable eingeführt werden:</w:t>
      </w:r>
    </w:p>
    <w:p w:rsidR="00197EC9" w:rsidRDefault="00197EC9" w:rsidP="00197EC9">
      <w:pPr>
        <w:pStyle w:val="berschrift1"/>
      </w:pPr>
      <w:r>
        <w:t>[</w:t>
      </w:r>
      <w:r>
        <w:br/>
        <w:t>\tau</w:t>
      </w:r>
    </w:p>
    <w:p w:rsidR="00197EC9" w:rsidRDefault="00197EC9" w:rsidP="00197EC9">
      <w:pPr>
        <w:pStyle w:val="StandardWeb"/>
      </w:pPr>
      <w:r>
        <w:t>\ln\lambda.</w:t>
      </w:r>
      <w:r>
        <w:br/>
        <w:t>\tag{3.11086}</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\tau=\ln\lambda</w:t>
      </w:r>
    </w:p>
    <w:p w:rsidR="00197EC9" w:rsidRDefault="00197EC9" w:rsidP="00197EC9">
      <w:pPr>
        <w:pStyle w:val="StandardWeb"/>
      </w:pPr>
      <w:r>
        <w:t>Dann gilt</w:t>
      </w:r>
    </w:p>
    <w:p w:rsidR="00197EC9" w:rsidRDefault="00197EC9" w:rsidP="00197EC9">
      <w:pPr>
        <w:pStyle w:val="berschrift1"/>
      </w:pPr>
      <w:r>
        <w:t>[</w:t>
      </w:r>
      <w:r>
        <w:br/>
        <w:t>\lambda</w:t>
      </w:r>
    </w:p>
    <w:p w:rsidR="00197EC9" w:rsidRDefault="00197EC9" w:rsidP="00197EC9">
      <w:pPr>
        <w:pStyle w:val="StandardWeb"/>
      </w:pPr>
      <w:r>
        <w:t>e^\tau.</w:t>
      </w:r>
      <w:r>
        <w:br/>
        <w:t>\tag{3.11087}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\lambda=e^\tau</w:t>
      </w:r>
    </w:p>
    <w:p w:rsidR="00197EC9" w:rsidRDefault="00E50336" w:rsidP="00197EC9">
      <w:r>
        <w:pict>
          <v:rect id="_x0000_i3696" style="width:0;height:1.5pt" o:hralign="center" o:hrstd="t" o:hr="t" fillcolor="#a0a0a0" stroked="f"/>
        </w:pict>
      </w:r>
    </w:p>
    <w:p w:rsidR="00197EC9" w:rsidRDefault="00197EC9" w:rsidP="00197EC9">
      <w:pPr>
        <w:pStyle w:val="berschrift1"/>
      </w:pPr>
      <w:r>
        <w:t>3.3.46.179 Multiplikative Skalierung wird additive Translation</w:t>
      </w:r>
    </w:p>
    <w:p w:rsidR="00197EC9" w:rsidRDefault="00197EC9" w:rsidP="00197EC9">
      <w:pPr>
        <w:pStyle w:val="StandardWeb"/>
      </w:pPr>
      <w:r>
        <w:lastRenderedPageBreak/>
        <w:t>Für zwei Skalierungsparameter gilt</w:t>
      </w:r>
    </w:p>
    <w:p w:rsidR="00197EC9" w:rsidRDefault="00197EC9" w:rsidP="00197EC9">
      <w:pPr>
        <w:pStyle w:val="berschrift1"/>
      </w:pPr>
      <w:r>
        <w:t>[</w:t>
      </w:r>
      <w:r>
        <w:br/>
        <w:t>\ln(\lambda_1\lambda_2)</w:t>
      </w:r>
    </w:p>
    <w:p w:rsidR="00197EC9" w:rsidRDefault="00197EC9" w:rsidP="00197EC9">
      <w:pPr>
        <w:pStyle w:val="StandardWeb"/>
      </w:pPr>
      <w:r>
        <w:t>\ln\lambda_1</w:t>
      </w:r>
      <w:r>
        <w:br/>
        <w:t>+</w:t>
      </w:r>
      <w:r>
        <w:br/>
        <w:t>\ln\lambda_2.</w:t>
      </w:r>
      <w:r>
        <w:br/>
        <w:t>\tag{3.11088}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\ln(\lambda_1\lambda_2)=\ln\lambda_1+\ln\lambda_2</w:t>
      </w:r>
    </w:p>
    <w:p w:rsidR="00197EC9" w:rsidRDefault="00197EC9" w:rsidP="00197EC9">
      <w:pPr>
        <w:pStyle w:val="StandardWeb"/>
      </w:pPr>
      <w:r>
        <w:t>Damit wird die multiplikative Skalierungsstruktur in logarithmischen Koordinaten additiv.</w:t>
      </w:r>
    </w:p>
    <w:p w:rsidR="00197EC9" w:rsidRDefault="00E50336" w:rsidP="00197EC9">
      <w:r>
        <w:pict>
          <v:rect id="_x0000_i3697" style="width:0;height:1.5pt" o:hralign="center" o:hrstd="t" o:hr="t" fillcolor="#a0a0a0" stroked="f"/>
        </w:pict>
      </w:r>
    </w:p>
    <w:p w:rsidR="00197EC9" w:rsidRDefault="00197EC9" w:rsidP="00197EC9">
      <w:pPr>
        <w:pStyle w:val="berschrift1"/>
      </w:pPr>
      <w:r>
        <w:t>3.3.46.180 Definition 3.3.203 – Logarithmische funktionale Skalenkoordinate</w:t>
      </w:r>
    </w:p>
    <w:p w:rsidR="00197EC9" w:rsidRDefault="00197EC9" w:rsidP="00197EC9">
      <w:pPr>
        <w:pStyle w:val="berschrift3"/>
      </w:pPr>
      <w:r>
        <w:t>Definition 3.3.203</w:t>
      </w:r>
    </w:p>
    <w:p w:rsidR="00197EC9" w:rsidRDefault="00197EC9" w:rsidP="00197EC9">
      <w:pPr>
        <w:pStyle w:val="StandardWeb"/>
      </w:pPr>
      <w:r>
        <w:t xml:space="preserve">Für (\lambda&gt;0) definiere ich die </w:t>
      </w:r>
      <w:r>
        <w:rPr>
          <w:rStyle w:val="Fett"/>
        </w:rPr>
        <w:t>logarithmische funktionale Skalenkoordinate</w:t>
      </w:r>
    </w:p>
    <w:p w:rsidR="00197EC9" w:rsidRDefault="00197EC9" w:rsidP="00197EC9">
      <w:pPr>
        <w:pStyle w:val="StandardWeb"/>
      </w:pPr>
      <w:r>
        <w:t>[</w:t>
      </w:r>
      <w:r>
        <w:br/>
        <w:t>\boxed{</w:t>
      </w:r>
      <w:r>
        <w:br/>
        <w:t>\tau</w:t>
      </w:r>
      <w:r>
        <w:br/>
        <w:t>:=</w:t>
      </w:r>
      <w:r>
        <w:br/>
        <w:t>\ln\lambda.</w:t>
      </w:r>
      <w:r>
        <w:br/>
        <w:t>}</w:t>
      </w:r>
      <w:r>
        <w:br/>
        <w:t>\tag{3.11089}</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\boxed{\tau:=\ln\lambda.}</w:t>
      </w:r>
    </w:p>
    <w:p w:rsidR="00197EC9" w:rsidRDefault="00E50336" w:rsidP="00197EC9">
      <w:r>
        <w:pict>
          <v:rect id="_x0000_i3698" style="width:0;height:1.5pt" o:hralign="center" o:hrstd="t" o:hr="t" fillcolor="#a0a0a0" stroked="f"/>
        </w:pict>
      </w:r>
    </w:p>
    <w:p w:rsidR="00197EC9" w:rsidRDefault="00197EC9" w:rsidP="00197EC9">
      <w:pPr>
        <w:pStyle w:val="berschrift1"/>
      </w:pPr>
      <w:r>
        <w:t>3.3.46.181 Skalierungsfluss</w:t>
      </w:r>
    </w:p>
    <w:p w:rsidR="00197EC9" w:rsidRDefault="00197EC9" w:rsidP="00197EC9">
      <w:pPr>
        <w:pStyle w:val="StandardWeb"/>
      </w:pPr>
      <w:r>
        <w:t>Ist die Skalierungswirkung hinreichend regulär, kann ich schreiben</w:t>
      </w:r>
    </w:p>
    <w:p w:rsidR="00197EC9" w:rsidRDefault="00197EC9" w:rsidP="00197EC9">
      <w:pPr>
        <w:pStyle w:val="berschrift1"/>
      </w:pPr>
      <w:r>
        <w:t>[</w:t>
      </w:r>
      <w:r>
        <w:br/>
        <w:t>S_\tau</w:t>
      </w:r>
    </w:p>
    <w:p w:rsidR="00197EC9" w:rsidRDefault="00197EC9" w:rsidP="00197EC9">
      <w:pPr>
        <w:pStyle w:val="StandardWeb"/>
      </w:pPr>
      <w:r>
        <w:lastRenderedPageBreak/>
        <w:t>S_{e^\tau}.</w:t>
      </w:r>
      <w:r>
        <w:br/>
        <w:t>\tag{3.11090}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S_\tau=S_{e^\tau}</w:t>
      </w:r>
    </w:p>
    <w:p w:rsidR="00197EC9" w:rsidRDefault="00197EC9" w:rsidP="00197EC9">
      <w:pPr>
        <w:pStyle w:val="StandardWeb"/>
      </w:pPr>
      <w:r>
        <w:t>Dann gilt</w:t>
      </w:r>
    </w:p>
    <w:p w:rsidR="00197EC9" w:rsidRDefault="00197EC9" w:rsidP="00197EC9">
      <w:pPr>
        <w:pStyle w:val="berschrift1"/>
      </w:pPr>
      <w:r>
        <w:t>[</w:t>
      </w:r>
      <w:r>
        <w:br/>
        <w:t>S_{\tau_1}</w:t>
      </w:r>
      <w:r>
        <w:br/>
        <w:t>\circ</w:t>
      </w:r>
      <w:r>
        <w:br/>
        <w:t>S_{\tau_2}</w:t>
      </w:r>
    </w:p>
    <w:p w:rsidR="00197EC9" w:rsidRDefault="00197EC9" w:rsidP="00197EC9">
      <w:pPr>
        <w:pStyle w:val="StandardWeb"/>
      </w:pPr>
      <w:r>
        <w:t>S_{\tau_1+\tau_2}.</w:t>
      </w:r>
      <w:r>
        <w:br/>
        <w:t>\tag{3.11091}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S_{\tau_1}\circ S_{\tau_2}=S_{\tau_1+\tau_2}</w:t>
      </w:r>
    </w:p>
    <w:p w:rsidR="00197EC9" w:rsidRDefault="00E50336" w:rsidP="00197EC9">
      <w:r>
        <w:pict>
          <v:rect id="_x0000_i3699" style="width:0;height:1.5pt" o:hralign="center" o:hrstd="t" o:hr="t" fillcolor="#a0a0a0" stroked="f"/>
        </w:pict>
      </w:r>
    </w:p>
    <w:p w:rsidR="00197EC9" w:rsidRDefault="00197EC9" w:rsidP="00197EC9">
      <w:pPr>
        <w:pStyle w:val="berschrift1"/>
      </w:pPr>
      <w:r>
        <w:t>3.3.46.182 Definition 3.3.204 – Funktionaler Skalierungsfluss</w:t>
      </w:r>
    </w:p>
    <w:p w:rsidR="00197EC9" w:rsidRDefault="00197EC9" w:rsidP="00197EC9">
      <w:pPr>
        <w:pStyle w:val="berschrift3"/>
      </w:pPr>
      <w:r>
        <w:t>Definition 3.3.204</w:t>
      </w:r>
    </w:p>
    <w:p w:rsidR="00197EC9" w:rsidRDefault="00197EC9" w:rsidP="00197EC9">
      <w:pPr>
        <w:pStyle w:val="StandardWeb"/>
      </w:pPr>
      <w:r>
        <w:t xml:space="preserve">Eine stetig parametrisierte Skalierungswirkung heißt </w:t>
      </w:r>
      <w:r>
        <w:rPr>
          <w:rStyle w:val="Fett"/>
        </w:rPr>
        <w:t>funktionaler Skalierungsfluss</w:t>
      </w:r>
      <w:r>
        <w:t>, wenn</w:t>
      </w:r>
    </w:p>
    <w:p w:rsidR="00197EC9" w:rsidRDefault="00197EC9" w:rsidP="00197EC9">
      <w:pPr>
        <w:pStyle w:val="berschrift1"/>
      </w:pPr>
      <w:r>
        <w:t>[</w:t>
      </w:r>
      <w:r>
        <w:br/>
        <w:t>\boxed{</w:t>
      </w:r>
      <w:r>
        <w:br/>
        <w:t>S_{\tau_1}</w:t>
      </w:r>
      <w:r>
        <w:br/>
        <w:t>\circ</w:t>
      </w:r>
      <w:r>
        <w:br/>
        <w:t>S_{\tau_2}</w:t>
      </w:r>
    </w:p>
    <w:p w:rsidR="00197EC9" w:rsidRDefault="00197EC9" w:rsidP="00197EC9">
      <w:pPr>
        <w:pStyle w:val="berschrift1"/>
      </w:pPr>
      <w:r>
        <w:t>S_{\tau_1+\tau_2},</w:t>
      </w:r>
      <w:r>
        <w:br/>
        <w:t>\qquad</w:t>
      </w:r>
      <w:r>
        <w:br/>
        <w:t>S_0</w:t>
      </w:r>
    </w:p>
    <w:p w:rsidR="00197EC9" w:rsidRDefault="00197EC9" w:rsidP="00197EC9">
      <w:pPr>
        <w:pStyle w:val="StandardWeb"/>
      </w:pPr>
      <w:r>
        <w:lastRenderedPageBreak/>
        <w:t>\operatorname{id}.</w:t>
      </w:r>
      <w:r>
        <w:br/>
        <w:t>}</w:t>
      </w:r>
      <w:r>
        <w:br/>
        <w:t>\tag{3.11092}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\boxed{S_{\tau_1}\circ S_{\tau_2}=S_{\tau_1+\tau_2},\qquad S_0=\operatorname{id}.}</w:t>
      </w:r>
    </w:p>
    <w:p w:rsidR="00197EC9" w:rsidRDefault="00197EC9" w:rsidP="00197EC9">
      <w:pPr>
        <w:pStyle w:val="StandardWeb"/>
      </w:pPr>
      <w:r>
        <w:t xml:space="preserve">Hier bezeichnet (S_0) die Identität des logarithmisch parametrisierten Flusses und </w:t>
      </w:r>
      <w:r>
        <w:rPr>
          <w:rStyle w:val="Fett"/>
        </w:rPr>
        <w:t>nicht</w:t>
      </w:r>
      <w:r>
        <w:t xml:space="preserve"> die zuvor betrachtete lineare Nullskalierung (X\mapsto0).</w:t>
      </w:r>
    </w:p>
    <w:p w:rsidR="00197EC9" w:rsidRDefault="00E50336" w:rsidP="00197EC9">
      <w:r>
        <w:pict>
          <v:rect id="_x0000_i3700" style="width:0;height:1.5pt" o:hralign="center" o:hrstd="t" o:hr="t" fillcolor="#a0a0a0" stroked="f"/>
        </w:pict>
      </w:r>
    </w:p>
    <w:p w:rsidR="00197EC9" w:rsidRDefault="00197EC9" w:rsidP="00197EC9">
      <w:pPr>
        <w:pStyle w:val="berschrift1"/>
      </w:pPr>
      <w:r>
        <w:t>3.3.46.183 Notationskonflikt der Null</w:t>
      </w:r>
    </w:p>
    <w:p w:rsidR="00197EC9" w:rsidRDefault="00197EC9" w:rsidP="00197EC9">
      <w:pPr>
        <w:pStyle w:val="StandardWeb"/>
      </w:pPr>
      <w:r>
        <w:t>Dieser Unterschied ist wesentlich:</w:t>
      </w:r>
    </w:p>
    <w:p w:rsidR="00197EC9" w:rsidRDefault="00197EC9" w:rsidP="00197EC9">
      <w:pPr>
        <w:pStyle w:val="berschrift1"/>
      </w:pPr>
      <w:r>
        <w:t>[</w:t>
      </w:r>
      <w:r>
        <w:br/>
        <w:t>S_{\lambda=0}(X)</w:t>
      </w:r>
    </w:p>
    <w:p w:rsidR="00197EC9" w:rsidRDefault="00197EC9" w:rsidP="00197EC9">
      <w:pPr>
        <w:pStyle w:val="StandardWeb"/>
      </w:pPr>
      <w:r>
        <w:t>0</w:t>
      </w:r>
      <w:r>
        <w:br/>
        <w:t>\tag{3.11093}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S_{\lambda=0}(X)=0</w:t>
      </w:r>
    </w:p>
    <w:p w:rsidR="00197EC9" w:rsidRDefault="00197EC9" w:rsidP="00197EC9">
      <w:pPr>
        <w:pStyle w:val="StandardWeb"/>
      </w:pPr>
      <w:r>
        <w:t>ist die lineare Nullskalierung, während</w:t>
      </w:r>
    </w:p>
    <w:p w:rsidR="00197EC9" w:rsidRDefault="00197EC9" w:rsidP="00197EC9">
      <w:pPr>
        <w:pStyle w:val="berschrift1"/>
      </w:pPr>
      <w:r>
        <w:t>[</w:t>
      </w:r>
      <w:r>
        <w:br/>
        <w:t>S_{\tau=0}</w:t>
      </w:r>
    </w:p>
    <w:p w:rsidR="00197EC9" w:rsidRDefault="00197EC9" w:rsidP="00197EC9">
      <w:pPr>
        <w:pStyle w:val="berschrift1"/>
      </w:pPr>
      <w:r>
        <w:t>S_{\lambda=1}</w:t>
      </w:r>
    </w:p>
    <w:p w:rsidR="00197EC9" w:rsidRDefault="00197EC9" w:rsidP="00197EC9">
      <w:pPr>
        <w:pStyle w:val="StandardWeb"/>
      </w:pPr>
      <w:r>
        <w:t>\operatorname{id}</w:t>
      </w:r>
      <w:r>
        <w:br/>
        <w:t>\tag{3.11094}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S_{\tau=0}=S_{\lambda=1}=\operatorname{id}</w:t>
      </w:r>
    </w:p>
    <w:p w:rsidR="00197EC9" w:rsidRDefault="00197EC9" w:rsidP="00197EC9">
      <w:pPr>
        <w:pStyle w:val="StandardWeb"/>
      </w:pPr>
      <w:r>
        <w:t>die Identität des logarithmischen Skalierungsflusses ist.</w:t>
      </w:r>
    </w:p>
    <w:p w:rsidR="00197EC9" w:rsidRDefault="00E50336" w:rsidP="00197EC9">
      <w:r>
        <w:pict>
          <v:rect id="_x0000_i3701" style="width:0;height:1.5pt" o:hralign="center" o:hrstd="t" o:hr="t" fillcolor="#a0a0a0" stroked="f"/>
        </w:pict>
      </w:r>
    </w:p>
    <w:p w:rsidR="00197EC9" w:rsidRDefault="00197EC9" w:rsidP="00197EC9">
      <w:pPr>
        <w:pStyle w:val="berschrift1"/>
      </w:pPr>
      <w:r>
        <w:lastRenderedPageBreak/>
        <w:t>3.3.46.184 Skalierungsgenerator</w:t>
      </w:r>
    </w:p>
    <w:p w:rsidR="00197EC9" w:rsidRDefault="00197EC9" w:rsidP="00197EC9">
      <w:pPr>
        <w:pStyle w:val="StandardWeb"/>
      </w:pPr>
      <w:r>
        <w:t>Ist der Skalierungsfluss differenzierbar, kann ein infinitesimaler Generator definiert werden:</w:t>
      </w:r>
    </w:p>
    <w:p w:rsidR="00197EC9" w:rsidRDefault="00197EC9" w:rsidP="00197EC9">
      <w:pPr>
        <w:pStyle w:val="berschrift1"/>
      </w:pPr>
      <w:r>
        <w:t>[</w:t>
      </w:r>
      <w:r>
        <w:br/>
        <w:t>G_{\mathrm{sc}}X</w:t>
      </w:r>
    </w:p>
    <w:p w:rsidR="00197EC9" w:rsidRDefault="00197EC9" w:rsidP="00197EC9">
      <w:pPr>
        <w:pStyle w:val="StandardWeb"/>
      </w:pPr>
      <w:r>
        <w:t>\left.</w:t>
      </w:r>
      <w:r>
        <w:br/>
        <w:t>\frac{d}{d\tau}</w:t>
      </w:r>
      <w:r>
        <w:br/>
        <w:t>S_\tau X</w:t>
      </w:r>
      <w:r>
        <w:br/>
        <w:t>\right|_{\tau=0}.</w:t>
      </w:r>
      <w:r>
        <w:br/>
        <w:t>\tag{3.11095}</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G_{\mathrm{sc}}X=\left.\frac{d}{d\tau}S_\tau X\right|_{\tau=0}</w:t>
      </w:r>
    </w:p>
    <w:p w:rsidR="00197EC9" w:rsidRDefault="00E50336" w:rsidP="00197EC9">
      <w:r>
        <w:pict>
          <v:rect id="_x0000_i3702" style="width:0;height:1.5pt" o:hralign="center" o:hrstd="t" o:hr="t" fillcolor="#a0a0a0" stroked="f"/>
        </w:pict>
      </w:r>
    </w:p>
    <w:p w:rsidR="00197EC9" w:rsidRDefault="00197EC9" w:rsidP="00197EC9">
      <w:pPr>
        <w:pStyle w:val="berschrift1"/>
      </w:pPr>
      <w:r>
        <w:t>3.3.46.185 Definition 3.3.205 – Funktionaler Skalierungsgenerator</w:t>
      </w:r>
    </w:p>
    <w:p w:rsidR="00197EC9" w:rsidRDefault="00197EC9" w:rsidP="00197EC9">
      <w:pPr>
        <w:pStyle w:val="berschrift3"/>
      </w:pPr>
      <w:r>
        <w:t>Definition 3.3.205</w:t>
      </w:r>
    </w:p>
    <w:p w:rsidR="00197EC9" w:rsidRDefault="00197EC9" w:rsidP="00197EC9">
      <w:pPr>
        <w:pStyle w:val="StandardWeb"/>
      </w:pPr>
      <w:r>
        <w:t xml:space="preserve">Für einen differenzierbaren funktionalen Skalierungsfluss definiere ich den </w:t>
      </w:r>
      <w:r>
        <w:rPr>
          <w:rStyle w:val="Fett"/>
        </w:rPr>
        <w:t>funktionalen Skalierungsgenerator</w:t>
      </w:r>
    </w:p>
    <w:p w:rsidR="00197EC9" w:rsidRDefault="00197EC9" w:rsidP="00197EC9">
      <w:pPr>
        <w:pStyle w:val="StandardWeb"/>
      </w:pPr>
      <w:r>
        <w:t>[</w:t>
      </w:r>
      <w:r>
        <w:br/>
        <w:t>\boxed{</w:t>
      </w:r>
      <w:r>
        <w:br/>
        <w:t>G_{\mathrm{sc}}</w:t>
      </w:r>
      <w:r>
        <w:br/>
        <w:t>:=</w:t>
      </w:r>
      <w:r>
        <w:br/>
        <w:t>\left.</w:t>
      </w:r>
      <w:r>
        <w:br/>
        <w:t>\frac{d}{d\tau}</w:t>
      </w:r>
      <w:r>
        <w:br/>
        <w:t>S_\tau</w:t>
      </w:r>
      <w:r>
        <w:br/>
        <w:t>\right|_{\tau=0}.</w:t>
      </w:r>
      <w:r>
        <w:br/>
        <w:t>}</w:t>
      </w:r>
      <w:r>
        <w:br/>
        <w:t>\tag{3.11096}</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\boxed{G_{\mathrm{sc}}:=\left.\frac{d}{d\tau}S_\tau\right|_{\tau=0}.}</w:t>
      </w:r>
    </w:p>
    <w:p w:rsidR="00197EC9" w:rsidRDefault="00197EC9" w:rsidP="00197EC9">
      <w:pPr>
        <w:pStyle w:val="StandardWeb"/>
      </w:pPr>
      <w:r>
        <w:t>Die Existenz dieses Generators setzt ausdrücklich Differenzierbarkeit voraus.</w:t>
      </w:r>
    </w:p>
    <w:p w:rsidR="00197EC9" w:rsidRDefault="00E50336" w:rsidP="00197EC9">
      <w:r>
        <w:pict>
          <v:rect id="_x0000_i3703" style="width:0;height:1.5pt" o:hralign="center" o:hrstd="t" o:hr="t" fillcolor="#a0a0a0" stroked="f"/>
        </w:pict>
      </w:r>
    </w:p>
    <w:p w:rsidR="00197EC9" w:rsidRDefault="00197EC9" w:rsidP="00197EC9">
      <w:pPr>
        <w:pStyle w:val="berschrift1"/>
      </w:pPr>
      <w:r>
        <w:lastRenderedPageBreak/>
        <w:t>3.3.46.186 Generator einer linearen gewichteten Skalierung</w:t>
      </w:r>
    </w:p>
    <w:p w:rsidR="00197EC9" w:rsidRDefault="00197EC9" w:rsidP="00197EC9">
      <w:pPr>
        <w:pStyle w:val="StandardWeb"/>
      </w:pPr>
      <w:r>
        <w:t>Für</w:t>
      </w:r>
    </w:p>
    <w:p w:rsidR="00197EC9" w:rsidRDefault="00197EC9" w:rsidP="00197EC9">
      <w:pPr>
        <w:pStyle w:val="berschrift1"/>
      </w:pPr>
      <w:r>
        <w:t>[</w:t>
      </w:r>
      <w:r>
        <w:br/>
        <w:t>S_\tau(X_i)</w:t>
      </w:r>
    </w:p>
    <w:p w:rsidR="00197EC9" w:rsidRDefault="00197EC9" w:rsidP="00197EC9">
      <w:pPr>
        <w:pStyle w:val="StandardWeb"/>
      </w:pPr>
      <w:r>
        <w:t>e^{w_i\tau}X_i</w:t>
      </w:r>
      <w:r>
        <w:br/>
        <w:t>\tag{3.11097}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S_\tau(X_i)=e^{w_i\tau}X_i</w:t>
      </w:r>
    </w:p>
    <w:p w:rsidR="00197EC9" w:rsidRDefault="00197EC9" w:rsidP="00197EC9">
      <w:pPr>
        <w:pStyle w:val="StandardWeb"/>
      </w:pPr>
      <w:r>
        <w:t>gilt</w:t>
      </w:r>
    </w:p>
    <w:p w:rsidR="00197EC9" w:rsidRDefault="00197EC9" w:rsidP="00197EC9">
      <w:pPr>
        <w:pStyle w:val="berschrift1"/>
      </w:pPr>
      <w:r>
        <w:t>[</w:t>
      </w:r>
      <w:r>
        <w:br/>
        <w:t>G_{\mathrm{sc}}X_i</w:t>
      </w:r>
    </w:p>
    <w:p w:rsidR="00197EC9" w:rsidRDefault="00197EC9" w:rsidP="00197EC9">
      <w:pPr>
        <w:pStyle w:val="StandardWeb"/>
      </w:pPr>
      <w:r>
        <w:t>w_iX_i.</w:t>
      </w:r>
      <w:r>
        <w:br/>
        <w:t>\tag{3.11098}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G_{\mathrm{sc}}X_i=w_iX_i</w:t>
      </w:r>
    </w:p>
    <w:p w:rsidR="00197EC9" w:rsidRDefault="00E50336" w:rsidP="00197EC9">
      <w:r>
        <w:pict>
          <v:rect id="_x0000_i3704" style="width:0;height:1.5pt" o:hralign="center" o:hrstd="t" o:hr="t" fillcolor="#a0a0a0" stroked="f"/>
        </w:pict>
      </w:r>
    </w:p>
    <w:p w:rsidR="00197EC9" w:rsidRDefault="00197EC9" w:rsidP="00197EC9">
      <w:pPr>
        <w:pStyle w:val="berschrift1"/>
      </w:pPr>
      <w:r>
        <w:t>3.3.46.187 Satz 3.3.91 – Eigenwertbeziehung des Skalierungsgenerators</w:t>
      </w:r>
    </w:p>
    <w:p w:rsidR="00197EC9" w:rsidRDefault="00197EC9" w:rsidP="00197EC9">
      <w:pPr>
        <w:pStyle w:val="berschrift3"/>
      </w:pPr>
      <w:r>
        <w:t>Satz 3.3.91</w:t>
      </w:r>
    </w:p>
    <w:p w:rsidR="00197EC9" w:rsidRDefault="00197EC9" w:rsidP="00197EC9">
      <w:pPr>
        <w:pStyle w:val="StandardWeb"/>
      </w:pPr>
      <w:r>
        <w:t>Für eine gewichtete Skalierung</w:t>
      </w:r>
    </w:p>
    <w:p w:rsidR="00197EC9" w:rsidRDefault="00197EC9" w:rsidP="00197EC9">
      <w:pPr>
        <w:pStyle w:val="berschrift1"/>
      </w:pPr>
      <w:r>
        <w:t>[</w:t>
      </w:r>
      <w:r>
        <w:br/>
        <w:t>S_\tau(X_i)</w:t>
      </w:r>
    </w:p>
    <w:p w:rsidR="00197EC9" w:rsidRDefault="00197EC9" w:rsidP="00197EC9">
      <w:pPr>
        <w:pStyle w:val="StandardWeb"/>
      </w:pPr>
      <w:r>
        <w:t>e^{w_i\tau}X_i</w:t>
      </w:r>
      <w:r>
        <w:br/>
        <w:t>\tag{3.11099}</w:t>
      </w:r>
      <w:r>
        <w:br/>
        <w:t>]</w:t>
      </w:r>
    </w:p>
    <w:p w:rsidR="00197EC9" w:rsidRDefault="00197EC9" w:rsidP="00197EC9">
      <w:pPr>
        <w:pStyle w:val="StandardWeb"/>
      </w:pPr>
      <w:r>
        <w:rPr>
          <w:rStyle w:val="Fett"/>
        </w:rPr>
        <w:lastRenderedPageBreak/>
        <w:t>Word-LaTeX</w:t>
      </w:r>
    </w:p>
    <w:p w:rsidR="00197EC9" w:rsidRDefault="00197EC9" w:rsidP="00197EC9">
      <w:pPr>
        <w:pStyle w:val="HTMLVorformatiert"/>
        <w:rPr>
          <w:rStyle w:val="HTMLCode"/>
        </w:rPr>
      </w:pPr>
      <w:r>
        <w:rPr>
          <w:rStyle w:val="HTMLCode"/>
        </w:rPr>
        <w:t>S_\tau(X_i)=e^{w_i\tau}X_i</w:t>
      </w:r>
    </w:p>
    <w:p w:rsidR="00197EC9" w:rsidRDefault="00197EC9" w:rsidP="00197EC9">
      <w:pPr>
        <w:pStyle w:val="StandardWeb"/>
      </w:pPr>
      <w:r>
        <w:t>ist (X_i) formal ein Eigenobjekt des Skalierungsgenerators mit Eigenwert (w_i):</w:t>
      </w:r>
    </w:p>
    <w:p w:rsidR="00197EC9" w:rsidRDefault="00197EC9" w:rsidP="00197EC9">
      <w:pPr>
        <w:pStyle w:val="berschrift1"/>
      </w:pPr>
      <w:r>
        <w:t>[</w:t>
      </w:r>
      <w:r>
        <w:br/>
        <w:t>\boxed{</w:t>
      </w:r>
      <w:r>
        <w:br/>
        <w:t>G_{\mathrm{sc}}X_i</w:t>
      </w:r>
    </w:p>
    <w:p w:rsidR="00197EC9" w:rsidRDefault="00197EC9" w:rsidP="00197EC9">
      <w:pPr>
        <w:pStyle w:val="StandardWeb"/>
      </w:pPr>
      <w:r>
        <w:t>w_iX_i.</w:t>
      </w:r>
      <w:r>
        <w:br/>
        <w:t>}</w:t>
      </w:r>
      <w:r>
        <w:br/>
        <w:t>\tag{3.11100}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\boxed{G_{\mathrm{sc}}X_i=w_iX_i.}</w:t>
      </w:r>
    </w:p>
    <w:p w:rsidR="00197EC9" w:rsidRDefault="00197EC9" w:rsidP="00197EC9">
      <w:pPr>
        <w:pStyle w:val="berschrift3"/>
      </w:pPr>
      <w:r>
        <w:t>Beweis</w:t>
      </w:r>
    </w:p>
    <w:p w:rsidR="00197EC9" w:rsidRDefault="00197EC9" w:rsidP="00197EC9">
      <w:pPr>
        <w:pStyle w:val="StandardWeb"/>
      </w:pPr>
      <w:r>
        <w:t>Ableiten nach (\tau) ergibt</w:t>
      </w:r>
    </w:p>
    <w:p w:rsidR="00197EC9" w:rsidRDefault="00197EC9" w:rsidP="00197EC9">
      <w:pPr>
        <w:pStyle w:val="berschrift1"/>
      </w:pPr>
      <w:r>
        <w:t>[</w:t>
      </w:r>
      <w:r>
        <w:br/>
        <w:t>\frac{d}{d\tau}</w:t>
      </w:r>
      <w:r>
        <w:br/>
        <w:t>e^{w_i\tau}X_i</w:t>
      </w:r>
    </w:p>
    <w:p w:rsidR="00197EC9" w:rsidRDefault="00197EC9" w:rsidP="00197EC9">
      <w:pPr>
        <w:pStyle w:val="StandardWeb"/>
      </w:pPr>
      <w:r>
        <w:t>w_i</w:t>
      </w:r>
      <w:r>
        <w:br/>
        <w:t>e^{w_i\tau}X_i.</w:t>
      </w:r>
      <w:r>
        <w:br/>
        <w:t>\tag{3.11101}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\frac{d}{d\tau}e^{w_i\tau}X_i=w_i e^{w_i\tau}X_i</w:t>
      </w:r>
    </w:p>
    <w:p w:rsidR="00197EC9" w:rsidRDefault="00197EC9" w:rsidP="00197EC9">
      <w:pPr>
        <w:pStyle w:val="StandardWeb"/>
      </w:pPr>
      <w:r>
        <w:t>Für (\tau=0) folgt</w:t>
      </w:r>
    </w:p>
    <w:p w:rsidR="00197EC9" w:rsidRDefault="00197EC9" w:rsidP="00197EC9">
      <w:pPr>
        <w:pStyle w:val="berschrift1"/>
      </w:pPr>
      <w:r>
        <w:t>[</w:t>
      </w:r>
      <w:r>
        <w:br/>
        <w:t>G_{\mathrm{sc}}X_i</w:t>
      </w:r>
    </w:p>
    <w:p w:rsidR="00197EC9" w:rsidRDefault="00197EC9" w:rsidP="00197EC9">
      <w:pPr>
        <w:pStyle w:val="StandardWeb"/>
      </w:pPr>
      <w:r>
        <w:t>w_iX_i.</w:t>
      </w:r>
      <w:r>
        <w:br/>
        <w:t>\tag{3.11102}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lastRenderedPageBreak/>
        <w:t>G_{\mathrm{sc}}X_i=w_iX_i</w:t>
      </w:r>
    </w:p>
    <w:p w:rsidR="00197EC9" w:rsidRDefault="00197EC9" w:rsidP="00197EC9">
      <w:pPr>
        <w:pStyle w:val="StandardWeb"/>
      </w:pPr>
      <w:r>
        <w:t>(\square)</w:t>
      </w:r>
    </w:p>
    <w:p w:rsidR="00197EC9" w:rsidRDefault="00E50336" w:rsidP="00197EC9">
      <w:r>
        <w:pict>
          <v:rect id="_x0000_i3705" style="width:0;height:1.5pt" o:hralign="center" o:hrstd="t" o:hr="t" fillcolor="#a0a0a0" stroked="f"/>
        </w:pict>
      </w:r>
    </w:p>
    <w:p w:rsidR="00197EC9" w:rsidRDefault="00197EC9" w:rsidP="00197EC9">
      <w:pPr>
        <w:pStyle w:val="berschrift1"/>
      </w:pPr>
      <w:r>
        <w:t>3.3.46.188 Generatorbedingung für skalierungsinvariante Größen</w:t>
      </w:r>
    </w:p>
    <w:p w:rsidR="00197EC9" w:rsidRDefault="00197EC9" w:rsidP="00197EC9">
      <w:pPr>
        <w:pStyle w:val="StandardWeb"/>
      </w:pPr>
      <w:r>
        <w:t>Ist (Q) unter dem gesamten differenzierbaren Skalierungsfluss invariant,</w:t>
      </w:r>
    </w:p>
    <w:p w:rsidR="00197EC9" w:rsidRDefault="00197EC9" w:rsidP="00197EC9">
      <w:pPr>
        <w:pStyle w:val="berschrift1"/>
      </w:pPr>
      <w:r>
        <w:t>[</w:t>
      </w:r>
      <w:r>
        <w:br/>
        <w:t>Q(S_\tau X)</w:t>
      </w:r>
    </w:p>
    <w:p w:rsidR="00197EC9" w:rsidRDefault="00197EC9" w:rsidP="00197EC9">
      <w:pPr>
        <w:pStyle w:val="StandardWeb"/>
      </w:pPr>
      <w:r>
        <w:t>Q(X),</w:t>
      </w:r>
      <w:r>
        <w:br/>
        <w:t>\tag{3.11103}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Q(S_\tau X)=Q(X)</w:t>
      </w:r>
    </w:p>
    <w:p w:rsidR="00197EC9" w:rsidRDefault="00197EC9" w:rsidP="00197EC9">
      <w:pPr>
        <w:pStyle w:val="StandardWeb"/>
      </w:pPr>
      <w:r>
        <w:t>so ist</w:t>
      </w:r>
    </w:p>
    <w:p w:rsidR="00197EC9" w:rsidRDefault="00197EC9" w:rsidP="00197EC9">
      <w:pPr>
        <w:pStyle w:val="berschrift1"/>
      </w:pPr>
      <w:r>
        <w:t>[</w:t>
      </w:r>
      <w:r>
        <w:br/>
        <w:t>\frac{d}{d\tau}</w:t>
      </w:r>
      <w:r>
        <w:br/>
        <w:t>Q(S_\tau X)</w:t>
      </w:r>
    </w:p>
    <w:p w:rsidR="00197EC9" w:rsidRDefault="00197EC9" w:rsidP="00152216">
      <w:pPr>
        <w:numPr>
          <w:ilvl w:val="0"/>
          <w:numId w:val="478"/>
        </w:numPr>
        <w:spacing w:before="100" w:beforeAutospacing="1" w:after="100" w:afterAutospacing="1"/>
      </w:pPr>
    </w:p>
    <w:p w:rsidR="00197EC9" w:rsidRDefault="00197EC9" w:rsidP="00197EC9">
      <w:pPr>
        <w:pStyle w:val="StandardWeb"/>
      </w:pPr>
      <w:r>
        <w:t>\tag{3.11104}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\frac{d}{d\tau}Q(S_\tau X)=0</w:t>
      </w:r>
    </w:p>
    <w:p w:rsidR="00197EC9" w:rsidRDefault="00E50336" w:rsidP="00197EC9">
      <w:r>
        <w:pict>
          <v:rect id="_x0000_i3706" style="width:0;height:1.5pt" o:hralign="center" o:hrstd="t" o:hr="t" fillcolor="#a0a0a0" stroked="f"/>
        </w:pict>
      </w:r>
    </w:p>
    <w:p w:rsidR="00197EC9" w:rsidRDefault="00197EC9" w:rsidP="00197EC9">
      <w:pPr>
        <w:pStyle w:val="berschrift1"/>
      </w:pPr>
      <w:r>
        <w:t>3.3.46.189 Infinitesimale Skaleninvarianz</w:t>
      </w:r>
    </w:p>
    <w:p w:rsidR="00197EC9" w:rsidRDefault="00197EC9" w:rsidP="00197EC9">
      <w:pPr>
        <w:pStyle w:val="StandardWeb"/>
      </w:pPr>
      <w:r>
        <w:t>Unter geeigneten Differenzierbarkeitsvoraussetzungen kann die Bedingung formal als</w:t>
      </w:r>
    </w:p>
    <w:p w:rsidR="00197EC9" w:rsidRDefault="00197EC9" w:rsidP="00197EC9">
      <w:pPr>
        <w:pStyle w:val="berschrift1"/>
      </w:pPr>
      <w:r>
        <w:t>[</w:t>
      </w:r>
      <w:r>
        <w:br/>
        <w:t>G_{\mathrm{sc}}Q</w:t>
      </w:r>
    </w:p>
    <w:p w:rsidR="00197EC9" w:rsidRDefault="00197EC9" w:rsidP="00197EC9">
      <w:pPr>
        <w:pStyle w:val="StandardWeb"/>
      </w:pPr>
      <w:r>
        <w:lastRenderedPageBreak/>
        <w:t>0</w:t>
      </w:r>
      <w:r>
        <w:br/>
        <w:t>\tag{3.11105}</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G_{\mathrm{sc}}Q=0</w:t>
      </w:r>
    </w:p>
    <w:p w:rsidR="00197EC9" w:rsidRDefault="00197EC9" w:rsidP="00197EC9">
      <w:pPr>
        <w:pStyle w:val="StandardWeb"/>
      </w:pPr>
      <w:r>
        <w:t>geschrieben werden.</w:t>
      </w:r>
    </w:p>
    <w:p w:rsidR="00197EC9" w:rsidRDefault="00E50336" w:rsidP="00197EC9">
      <w:r>
        <w:pict>
          <v:rect id="_x0000_i3707" style="width:0;height:1.5pt" o:hralign="center" o:hrstd="t" o:hr="t" fillcolor="#a0a0a0" stroked="f"/>
        </w:pict>
      </w:r>
    </w:p>
    <w:p w:rsidR="00197EC9" w:rsidRDefault="00197EC9" w:rsidP="00197EC9">
      <w:pPr>
        <w:pStyle w:val="berschrift1"/>
      </w:pPr>
      <w:r>
        <w:t>3.3.46.190 Definition 3.3.206 – Infinitesimale funktionale Skaleninvarianz</w:t>
      </w:r>
    </w:p>
    <w:p w:rsidR="00197EC9" w:rsidRDefault="00197EC9" w:rsidP="00197EC9">
      <w:pPr>
        <w:pStyle w:val="berschrift3"/>
      </w:pPr>
      <w:r>
        <w:t>Definition 3.3.206</w:t>
      </w:r>
    </w:p>
    <w:p w:rsidR="00197EC9" w:rsidRDefault="00197EC9" w:rsidP="00197EC9">
      <w:pPr>
        <w:pStyle w:val="StandardWeb"/>
      </w:pPr>
      <w:r>
        <w:t xml:space="preserve">Eine differenzierbare funktionale Größe heißt </w:t>
      </w:r>
      <w:r>
        <w:rPr>
          <w:rStyle w:val="Fett"/>
        </w:rPr>
        <w:t>infinitesimal skaleninvariant</w:t>
      </w:r>
      <w:r>
        <w:t>, wenn</w:t>
      </w:r>
    </w:p>
    <w:p w:rsidR="00197EC9" w:rsidRDefault="00197EC9" w:rsidP="00197EC9">
      <w:pPr>
        <w:pStyle w:val="berschrift1"/>
      </w:pPr>
      <w:r>
        <w:t>[</w:t>
      </w:r>
      <w:r>
        <w:br/>
        <w:t>\boxed{</w:t>
      </w:r>
      <w:r>
        <w:br/>
        <w:t>G_{\mathrm{sc}}Q</w:t>
      </w:r>
    </w:p>
    <w:p w:rsidR="00197EC9" w:rsidRDefault="00197EC9" w:rsidP="00152216">
      <w:pPr>
        <w:numPr>
          <w:ilvl w:val="0"/>
          <w:numId w:val="479"/>
        </w:numPr>
        <w:spacing w:before="100" w:beforeAutospacing="1" w:after="100" w:afterAutospacing="1"/>
      </w:pPr>
    </w:p>
    <w:p w:rsidR="00197EC9" w:rsidRDefault="00197EC9" w:rsidP="00197EC9">
      <w:pPr>
        <w:pStyle w:val="StandardWeb"/>
      </w:pPr>
      <w:r>
        <w:t>}</w:t>
      </w:r>
      <w:r>
        <w:br/>
        <w:t>\tag{3.11106}</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\boxed{G_{\mathrm{sc}}Q=0.}</w:t>
      </w:r>
    </w:p>
    <w:p w:rsidR="00197EC9" w:rsidRDefault="00E50336" w:rsidP="00197EC9">
      <w:r>
        <w:pict>
          <v:rect id="_x0000_i3708" style="width:0;height:1.5pt" o:hralign="center" o:hrstd="t" o:hr="t" fillcolor="#a0a0a0" stroked="f"/>
        </w:pict>
      </w:r>
    </w:p>
    <w:p w:rsidR="00197EC9" w:rsidRDefault="00197EC9" w:rsidP="00197EC9">
      <w:pPr>
        <w:pStyle w:val="berschrift1"/>
      </w:pPr>
      <w:r>
        <w:t>3.3.46.191 Globale Invarianz impliziert infinitesimale Invarianz</w:t>
      </w:r>
    </w:p>
    <w:p w:rsidR="00197EC9" w:rsidRDefault="00197EC9" w:rsidP="00197EC9">
      <w:pPr>
        <w:pStyle w:val="StandardWeb"/>
      </w:pPr>
      <w:r>
        <w:t>Ist (Q(S_\tau X)=Q(X)) für alle (\tau), dann folgt durch Differentiation</w:t>
      </w:r>
    </w:p>
    <w:p w:rsidR="00197EC9" w:rsidRDefault="00197EC9" w:rsidP="00197EC9">
      <w:pPr>
        <w:pStyle w:val="berschrift1"/>
      </w:pPr>
      <w:r>
        <w:t>[</w:t>
      </w:r>
      <w:r>
        <w:br/>
        <w:t>G_{\mathrm{sc}}Q</w:t>
      </w:r>
    </w:p>
    <w:p w:rsidR="00197EC9" w:rsidRDefault="00197EC9" w:rsidP="00152216">
      <w:pPr>
        <w:numPr>
          <w:ilvl w:val="0"/>
          <w:numId w:val="480"/>
        </w:numPr>
        <w:spacing w:before="100" w:beforeAutospacing="1" w:after="100" w:afterAutospacing="1"/>
      </w:pPr>
    </w:p>
    <w:p w:rsidR="00197EC9" w:rsidRDefault="00197EC9" w:rsidP="00197EC9">
      <w:pPr>
        <w:pStyle w:val="StandardWeb"/>
      </w:pPr>
      <w:r>
        <w:lastRenderedPageBreak/>
        <w:t>\tag{3.11107}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G_{\mathrm{sc}}Q=0</w:t>
      </w:r>
    </w:p>
    <w:p w:rsidR="00197EC9" w:rsidRDefault="00E50336" w:rsidP="00197EC9">
      <w:r>
        <w:pict>
          <v:rect id="_x0000_i3709" style="width:0;height:1.5pt" o:hralign="center" o:hrstd="t" o:hr="t" fillcolor="#a0a0a0" stroked="f"/>
        </w:pict>
      </w:r>
    </w:p>
    <w:p w:rsidR="00197EC9" w:rsidRDefault="00197EC9" w:rsidP="00197EC9">
      <w:pPr>
        <w:pStyle w:val="berschrift1"/>
      </w:pPr>
      <w:r>
        <w:t>3.3.46.192 Satz 3.3.92 – Globale differenzierbare Skaleninvarianz impliziert infinitesimale Skaleninvarianz</w:t>
      </w:r>
    </w:p>
    <w:p w:rsidR="00197EC9" w:rsidRDefault="00197EC9" w:rsidP="00197EC9">
      <w:pPr>
        <w:pStyle w:val="berschrift3"/>
      </w:pPr>
      <w:r>
        <w:t>Satz 3.3.92</w:t>
      </w:r>
    </w:p>
    <w:p w:rsidR="00197EC9" w:rsidRDefault="00197EC9" w:rsidP="00197EC9">
      <w:pPr>
        <w:pStyle w:val="StandardWeb"/>
      </w:pPr>
      <w:r>
        <w:t>Für einen differenzierbaren Skalierungsfluss gilt</w:t>
      </w:r>
    </w:p>
    <w:p w:rsidR="00197EC9" w:rsidRDefault="00197EC9" w:rsidP="00197EC9">
      <w:pPr>
        <w:pStyle w:val="StandardWeb"/>
      </w:pPr>
      <w:r>
        <w:t>[</w:t>
      </w:r>
      <w:r>
        <w:br/>
        <w:t>\boxed{</w:t>
      </w:r>
      <w:r>
        <w:br/>
        <w:t>Q(S_\tau X)=Q(X)\quad\forall\tau</w:t>
      </w:r>
      <w:r>
        <w:br/>
        <w:t>\Rightarrow</w:t>
      </w:r>
      <w:r>
        <w:br/>
        <w:t>G_{\mathrm{sc}}Q=0.</w:t>
      </w:r>
      <w:r>
        <w:br/>
        <w:t>}</w:t>
      </w:r>
      <w:r>
        <w:br/>
        <w:t>\tag{3.11108}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\boxed{Q(S_\tau X)=Q(X)\quad\forall\tau\Rightarrow G_{\mathrm{sc}}Q=0.}</w:t>
      </w:r>
    </w:p>
    <w:p w:rsidR="00197EC9" w:rsidRDefault="00197EC9" w:rsidP="00197EC9">
      <w:pPr>
        <w:pStyle w:val="berschrift3"/>
      </w:pPr>
      <w:r>
        <w:t>Beweis</w:t>
      </w:r>
    </w:p>
    <w:p w:rsidR="00197EC9" w:rsidRDefault="00197EC9" w:rsidP="00197EC9">
      <w:pPr>
        <w:pStyle w:val="StandardWeb"/>
      </w:pPr>
      <w:r>
        <w:t>Die linke Seite ist bezüglich (\tau) konstant. Daher verschwindet ihre Ableitung bei (\tau=0). (\square)</w:t>
      </w:r>
    </w:p>
    <w:p w:rsidR="00197EC9" w:rsidRDefault="00E50336" w:rsidP="00197EC9">
      <w:r>
        <w:pict>
          <v:rect id="_x0000_i3710" style="width:0;height:1.5pt" o:hralign="center" o:hrstd="t" o:hr="t" fillcolor="#a0a0a0" stroked="f"/>
        </w:pict>
      </w:r>
    </w:p>
    <w:p w:rsidR="00197EC9" w:rsidRDefault="00197EC9" w:rsidP="00197EC9">
      <w:pPr>
        <w:pStyle w:val="berschrift1"/>
      </w:pPr>
      <w:r>
        <w:t>3.3.46.193 Die Umkehrung benötigt zusätzliche Voraussetzungen</w:t>
      </w:r>
    </w:p>
    <w:p w:rsidR="00197EC9" w:rsidRDefault="00197EC9" w:rsidP="00197EC9">
      <w:pPr>
        <w:pStyle w:val="StandardWeb"/>
      </w:pPr>
      <w:r>
        <w:t>Aus</w:t>
      </w:r>
    </w:p>
    <w:p w:rsidR="00197EC9" w:rsidRDefault="00197EC9" w:rsidP="00197EC9">
      <w:pPr>
        <w:pStyle w:val="berschrift1"/>
      </w:pPr>
      <w:r>
        <w:t>[</w:t>
      </w:r>
      <w:r>
        <w:br/>
        <w:t>G_{\mathrm{sc}}Q</w:t>
      </w:r>
    </w:p>
    <w:p w:rsidR="00197EC9" w:rsidRDefault="00197EC9" w:rsidP="00197EC9">
      <w:pPr>
        <w:pStyle w:val="StandardWeb"/>
      </w:pPr>
      <w:r>
        <w:t>0</w:t>
      </w:r>
      <w:r>
        <w:br/>
        <w:t>\tag{3.11109}</w:t>
      </w:r>
      <w:r>
        <w:br/>
        <w:t>]</w:t>
      </w:r>
    </w:p>
    <w:p w:rsidR="00197EC9" w:rsidRDefault="00197EC9" w:rsidP="00197EC9">
      <w:pPr>
        <w:pStyle w:val="StandardWeb"/>
      </w:pPr>
      <w:r>
        <w:rPr>
          <w:rStyle w:val="Fett"/>
        </w:rPr>
        <w:lastRenderedPageBreak/>
        <w:t>Word-LaTeX</w:t>
      </w:r>
    </w:p>
    <w:p w:rsidR="00197EC9" w:rsidRDefault="00197EC9" w:rsidP="00197EC9">
      <w:pPr>
        <w:pStyle w:val="HTMLVorformatiert"/>
        <w:rPr>
          <w:rStyle w:val="HTMLCode"/>
        </w:rPr>
      </w:pPr>
      <w:r>
        <w:rPr>
          <w:rStyle w:val="HTMLCode"/>
        </w:rPr>
        <w:t>G_{\mathrm{sc}}Q=0</w:t>
      </w:r>
    </w:p>
    <w:p w:rsidR="00197EC9" w:rsidRDefault="00197EC9" w:rsidP="00197EC9">
      <w:pPr>
        <w:pStyle w:val="StandardWeb"/>
      </w:pPr>
      <w:r>
        <w:t>folgt ohne zusätzliche Regularitäts-, Zusammenhangs- und Integrabilitätsbedingungen nicht automatisch eine globale Aussage auf einem beliebigen Skalierungsraum.</w:t>
      </w:r>
    </w:p>
    <w:p w:rsidR="00197EC9" w:rsidRDefault="00197EC9" w:rsidP="00197EC9">
      <w:pPr>
        <w:pStyle w:val="StandardWeb"/>
      </w:pPr>
      <w:r>
        <w:t>Daher verwende ich nicht allgemein</w:t>
      </w:r>
    </w:p>
    <w:p w:rsidR="00197EC9" w:rsidRDefault="00197EC9" w:rsidP="00197EC9">
      <w:pPr>
        <w:pStyle w:val="StandardWeb"/>
      </w:pPr>
      <w:r>
        <w:t>[</w:t>
      </w:r>
      <w:r>
        <w:br/>
        <w:t>\boxed{</w:t>
      </w:r>
      <w:r>
        <w:br/>
        <w:t>G_{\mathrm{sc}}Q=0</w:t>
      </w:r>
      <w:r>
        <w:br/>
        <w:t>\Rightarrow</w:t>
      </w:r>
      <w:r>
        <w:br/>
        <w:t>Q(S_\tau X)=Q(X)</w:t>
      </w:r>
      <w:r>
        <w:br/>
        <w:t>\quad</w:t>
      </w:r>
      <w:r>
        <w:br/>
        <w:t>\forall\tau.</w:t>
      </w:r>
      <w:r>
        <w:br/>
        <w:t>}</w:t>
      </w:r>
      <w:r>
        <w:br/>
        <w:t>\tag{3.11110}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\boxed{G_{\mathrm{sc}}Q=0\Rightarrow Q(S_\tau X)=Q(X)\quad\forall\tau.}</w:t>
      </w:r>
    </w:p>
    <w:p w:rsidR="00197EC9" w:rsidRDefault="00197EC9" w:rsidP="00197EC9">
      <w:pPr>
        <w:pStyle w:val="StandardWeb"/>
      </w:pPr>
      <w:r>
        <w:t>Die dargestellte Implikation ist ohne Zusatzbedingungen nicht als universelle FRZK-Aussage zugelassen.</w:t>
      </w:r>
    </w:p>
    <w:p w:rsidR="00197EC9" w:rsidRDefault="00E50336" w:rsidP="00197EC9">
      <w:r>
        <w:pict>
          <v:rect id="_x0000_i3711" style="width:0;height:1.5pt" o:hralign="center" o:hrstd="t" o:hr="t" fillcolor="#a0a0a0" stroked="f"/>
        </w:pict>
      </w:r>
    </w:p>
    <w:p w:rsidR="00197EC9" w:rsidRDefault="00197EC9" w:rsidP="00197EC9">
      <w:pPr>
        <w:pStyle w:val="berschrift1"/>
      </w:pPr>
      <w:r>
        <w:t>3.3.46.194 Differentiale Skalenabweichung</w:t>
      </w:r>
    </w:p>
    <w:p w:rsidR="00197EC9" w:rsidRDefault="00197EC9" w:rsidP="00197EC9">
      <w:pPr>
        <w:pStyle w:val="StandardWeb"/>
      </w:pPr>
      <w:r>
        <w:t>Für eine skalenabhängige Größe (Q(\tau)) kann ich</w:t>
      </w:r>
    </w:p>
    <w:p w:rsidR="00197EC9" w:rsidRDefault="00197EC9" w:rsidP="00197EC9">
      <w:pPr>
        <w:pStyle w:val="berschrift1"/>
      </w:pPr>
      <w:r>
        <w:t>[</w:t>
      </w:r>
      <w:r>
        <w:br/>
        <w:t>\beta_Q(\tau)</w:t>
      </w:r>
    </w:p>
    <w:p w:rsidR="00197EC9" w:rsidRDefault="00197EC9" w:rsidP="00197EC9">
      <w:pPr>
        <w:pStyle w:val="StandardWeb"/>
      </w:pPr>
      <w:r>
        <w:t>\frac{dQ}{d\tau}</w:t>
      </w:r>
      <w:r>
        <w:br/>
        <w:t>\tag{3.11111}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\beta_Q(\tau)=\frac{dQ}{d\tau}</w:t>
      </w:r>
    </w:p>
    <w:p w:rsidR="00197EC9" w:rsidRDefault="00197EC9" w:rsidP="00197EC9">
      <w:pPr>
        <w:pStyle w:val="StandardWeb"/>
      </w:pPr>
      <w:r>
        <w:t>als mathematische Änderungsrate bezüglich der logarithmischen Skalenkoordinate definieren.</w:t>
      </w:r>
    </w:p>
    <w:p w:rsidR="00197EC9" w:rsidRDefault="00E50336" w:rsidP="00197EC9">
      <w:r>
        <w:pict>
          <v:rect id="_x0000_i3712" style="width:0;height:1.5pt" o:hralign="center" o:hrstd="t" o:hr="t" fillcolor="#a0a0a0" stroked="f"/>
        </w:pict>
      </w:r>
    </w:p>
    <w:p w:rsidR="00197EC9" w:rsidRDefault="00197EC9" w:rsidP="00197EC9">
      <w:pPr>
        <w:pStyle w:val="berschrift1"/>
      </w:pPr>
      <w:r>
        <w:lastRenderedPageBreak/>
        <w:t>3.3.46.195 Definition 3.3.207 – Funktionale Skalenänderungsrate</w:t>
      </w:r>
    </w:p>
    <w:p w:rsidR="00197EC9" w:rsidRDefault="00197EC9" w:rsidP="00197EC9">
      <w:pPr>
        <w:pStyle w:val="berschrift3"/>
      </w:pPr>
      <w:r>
        <w:t>Definition 3.3.207</w:t>
      </w:r>
    </w:p>
    <w:p w:rsidR="00197EC9" w:rsidRDefault="00197EC9" w:rsidP="00197EC9">
      <w:pPr>
        <w:pStyle w:val="StandardWeb"/>
      </w:pPr>
      <w:r>
        <w:t xml:space="preserve">Die </w:t>
      </w:r>
      <w:r>
        <w:rPr>
          <w:rStyle w:val="Fett"/>
        </w:rPr>
        <w:t>funktionale Skalenänderungsrate</w:t>
      </w:r>
      <w:r>
        <w:t xml:space="preserve"> einer differenzierbaren skalenabhängigen Größe (Q(\tau)) ist</w:t>
      </w:r>
    </w:p>
    <w:p w:rsidR="00197EC9" w:rsidRDefault="00197EC9" w:rsidP="00197EC9">
      <w:pPr>
        <w:pStyle w:val="StandardWeb"/>
      </w:pPr>
      <w:r>
        <w:t>[</w:t>
      </w:r>
      <w:r>
        <w:br/>
        <w:t>\boxed{</w:t>
      </w:r>
      <w:r>
        <w:br/>
        <w:t>\beta_Q(\tau)</w:t>
      </w:r>
      <w:r>
        <w:br/>
        <w:t>:=</w:t>
      </w:r>
      <w:r>
        <w:br/>
        <w:t>\frac{dQ}{d\tau}.</w:t>
      </w:r>
      <w:r>
        <w:br/>
        <w:t>}</w:t>
      </w:r>
      <w:r>
        <w:br/>
        <w:t>\tag{3.11112}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\boxed{\beta_Q(\tau):=\frac{dQ}{d\tau}.}</w:t>
      </w:r>
    </w:p>
    <w:p w:rsidR="00197EC9" w:rsidRDefault="00197EC9" w:rsidP="00197EC9">
      <w:pPr>
        <w:pStyle w:val="StandardWeb"/>
      </w:pPr>
      <w:r>
        <w:t>Die Bezeichnung (\beta_Q) ist hier rein mathematisch.</w:t>
      </w:r>
    </w:p>
    <w:p w:rsidR="00197EC9" w:rsidRDefault="00E50336" w:rsidP="00197EC9">
      <w:r>
        <w:pict>
          <v:rect id="_x0000_i3713" style="width:0;height:1.5pt" o:hralign="center" o:hrstd="t" o:hr="t" fillcolor="#a0a0a0" stroked="f"/>
        </w:pict>
      </w:r>
    </w:p>
    <w:p w:rsidR="00197EC9" w:rsidRDefault="00197EC9" w:rsidP="00197EC9">
      <w:pPr>
        <w:pStyle w:val="berschrift1"/>
      </w:pPr>
      <w:r>
        <w:t>3.3.46.196 Keine automatische Gleichsetzung mit einer Beta-Funktion der Quantenfeldtheorie</w:t>
      </w:r>
    </w:p>
    <w:p w:rsidR="00197EC9" w:rsidRDefault="00197EC9" w:rsidP="00197EC9">
      <w:pPr>
        <w:pStyle w:val="StandardWeb"/>
      </w:pPr>
      <w:r>
        <w:t>Daher gilt ausdrücklich</w:t>
      </w:r>
    </w:p>
    <w:p w:rsidR="00197EC9" w:rsidRDefault="00197EC9" w:rsidP="00197EC9">
      <w:pPr>
        <w:pStyle w:val="StandardWeb"/>
      </w:pPr>
      <w:r>
        <w:t>[</w:t>
      </w:r>
      <w:r>
        <w:br/>
        <w:t>\boxed{</w:t>
      </w:r>
      <w:r>
        <w:br/>
        <w:t>\beta_Q</w:t>
      </w:r>
      <w:r>
        <w:br/>
        <w:t>\not\equiv</w:t>
      </w:r>
      <w:r>
        <w:br/>
        <w:t>\beta_{\mathrm{QFT}}.</w:t>
      </w:r>
      <w:r>
        <w:br/>
        <w:t>}</w:t>
      </w:r>
      <w:r>
        <w:br/>
        <w:t>\tag{3.11113}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\boxed{\beta_Q\not\equiv\beta_{\mathrm{QFT}}.}</w:t>
      </w:r>
    </w:p>
    <w:p w:rsidR="00197EC9" w:rsidRDefault="00197EC9" w:rsidP="00197EC9">
      <w:pPr>
        <w:pStyle w:val="StandardWeb"/>
      </w:pPr>
      <w:r>
        <w:t>Eine physikalische Beta-Funktion erfordert eine wesentlich spezifischere Theorie- und Renormierungsstruktur.</w:t>
      </w:r>
    </w:p>
    <w:p w:rsidR="00197EC9" w:rsidRDefault="00E50336" w:rsidP="00197EC9">
      <w:r>
        <w:pict>
          <v:rect id="_x0000_i3714" style="width:0;height:1.5pt" o:hralign="center" o:hrstd="t" o:hr="t" fillcolor="#a0a0a0" stroked="f"/>
        </w:pict>
      </w:r>
    </w:p>
    <w:p w:rsidR="00197EC9" w:rsidRDefault="00197EC9" w:rsidP="00197EC9">
      <w:pPr>
        <w:pStyle w:val="berschrift1"/>
      </w:pPr>
      <w:r>
        <w:t>3.3.46.197 Skalenfixpunkt</w:t>
      </w:r>
    </w:p>
    <w:p w:rsidR="00197EC9" w:rsidRDefault="00197EC9" w:rsidP="00197EC9">
      <w:pPr>
        <w:pStyle w:val="StandardWeb"/>
      </w:pPr>
      <w:r>
        <w:lastRenderedPageBreak/>
        <w:t>Ein Skalenwert (\tau_\ast) kann durch</w:t>
      </w:r>
    </w:p>
    <w:p w:rsidR="00197EC9" w:rsidRDefault="00197EC9" w:rsidP="00197EC9">
      <w:pPr>
        <w:pStyle w:val="berschrift1"/>
      </w:pPr>
      <w:r>
        <w:t>[</w:t>
      </w:r>
      <w:r>
        <w:br/>
        <w:t>\beta_Q(\tau_\ast)</w:t>
      </w:r>
    </w:p>
    <w:p w:rsidR="00197EC9" w:rsidRDefault="00197EC9" w:rsidP="00197EC9">
      <w:pPr>
        <w:pStyle w:val="StandardWeb"/>
      </w:pPr>
      <w:r>
        <w:t>0</w:t>
      </w:r>
      <w:r>
        <w:br/>
        <w:t>\tag{3.11114}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\beta_Q(\tau_\ast)=0</w:t>
      </w:r>
    </w:p>
    <w:p w:rsidR="00197EC9" w:rsidRDefault="00197EC9" w:rsidP="00197EC9">
      <w:pPr>
        <w:pStyle w:val="StandardWeb"/>
      </w:pPr>
      <w:r>
        <w:t>ausgezeichnet sein.</w:t>
      </w:r>
    </w:p>
    <w:p w:rsidR="00197EC9" w:rsidRDefault="00E50336" w:rsidP="00197EC9">
      <w:r>
        <w:pict>
          <v:rect id="_x0000_i3715" style="width:0;height:1.5pt" o:hralign="center" o:hrstd="t" o:hr="t" fillcolor="#a0a0a0" stroked="f"/>
        </w:pict>
      </w:r>
    </w:p>
    <w:p w:rsidR="00197EC9" w:rsidRDefault="00197EC9" w:rsidP="00197EC9">
      <w:pPr>
        <w:pStyle w:val="berschrift1"/>
      </w:pPr>
      <w:r>
        <w:t>3.3.46.198 Definition 3.3.208 – Funktionaler Skalenfixpunkt einer Größe</w:t>
      </w:r>
    </w:p>
    <w:p w:rsidR="00197EC9" w:rsidRDefault="00197EC9" w:rsidP="00197EC9">
      <w:pPr>
        <w:pStyle w:val="berschrift3"/>
      </w:pPr>
      <w:r>
        <w:t>Definition 3.3.208</w:t>
      </w:r>
    </w:p>
    <w:p w:rsidR="00197EC9" w:rsidRDefault="00197EC9" w:rsidP="00197EC9">
      <w:pPr>
        <w:pStyle w:val="StandardWeb"/>
      </w:pPr>
      <w:r>
        <w:t xml:space="preserve">Ein Skalenwert (\tau_\ast) heißt </w:t>
      </w:r>
      <w:r>
        <w:rPr>
          <w:rStyle w:val="Fett"/>
        </w:rPr>
        <w:t>funktionaler Skalenfixpunkt der Größe (Q)</w:t>
      </w:r>
      <w:r>
        <w:t>, wenn</w:t>
      </w:r>
    </w:p>
    <w:p w:rsidR="00197EC9" w:rsidRDefault="00197EC9" w:rsidP="00197EC9">
      <w:pPr>
        <w:pStyle w:val="berschrift1"/>
      </w:pPr>
      <w:r>
        <w:t>[</w:t>
      </w:r>
      <w:r>
        <w:br/>
        <w:t>\boxed{</w:t>
      </w:r>
      <w:r>
        <w:br/>
        <w:t>\beta_Q(\tau_\ast)</w:t>
      </w:r>
    </w:p>
    <w:p w:rsidR="00197EC9" w:rsidRDefault="00197EC9" w:rsidP="00152216">
      <w:pPr>
        <w:numPr>
          <w:ilvl w:val="0"/>
          <w:numId w:val="481"/>
        </w:numPr>
        <w:spacing w:before="100" w:beforeAutospacing="1" w:after="100" w:afterAutospacing="1"/>
      </w:pPr>
    </w:p>
    <w:p w:rsidR="00197EC9" w:rsidRDefault="00197EC9" w:rsidP="00197EC9">
      <w:pPr>
        <w:pStyle w:val="StandardWeb"/>
      </w:pPr>
      <w:r>
        <w:t>}</w:t>
      </w:r>
      <w:r>
        <w:br/>
        <w:t>\tag{3.11115}</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\boxed{\beta_Q(\tau_\ast)=0.}</w:t>
      </w:r>
    </w:p>
    <w:p w:rsidR="00197EC9" w:rsidRDefault="00197EC9" w:rsidP="00197EC9">
      <w:pPr>
        <w:pStyle w:val="StandardWeb"/>
      </w:pPr>
      <w:r>
        <w:t>Dies bedeutet zunächst nur, dass die lokale Änderungsrate von (Q) bezüglich der gewählten Skalenkoordinate dort verschwindet.</w:t>
      </w:r>
    </w:p>
    <w:p w:rsidR="00197EC9" w:rsidRDefault="00E50336" w:rsidP="00197EC9">
      <w:r>
        <w:pict>
          <v:rect id="_x0000_i3716" style="width:0;height:1.5pt" o:hralign="center" o:hrstd="t" o:hr="t" fillcolor="#a0a0a0" stroked="f"/>
        </w:pict>
      </w:r>
    </w:p>
    <w:p w:rsidR="00197EC9" w:rsidRDefault="00197EC9" w:rsidP="00197EC9">
      <w:pPr>
        <w:pStyle w:val="berschrift1"/>
      </w:pPr>
      <w:r>
        <w:t>3.3.46.199 Verschwindende lokale Änderungsrate ist keine globale Skaleninvarianz</w:t>
      </w:r>
    </w:p>
    <w:p w:rsidR="00197EC9" w:rsidRDefault="00197EC9" w:rsidP="00197EC9">
      <w:pPr>
        <w:pStyle w:val="StandardWeb"/>
      </w:pPr>
      <w:r>
        <w:lastRenderedPageBreak/>
        <w:t>Aus</w:t>
      </w:r>
    </w:p>
    <w:p w:rsidR="00197EC9" w:rsidRDefault="00197EC9" w:rsidP="00197EC9">
      <w:pPr>
        <w:pStyle w:val="StandardWeb"/>
      </w:pPr>
      <w:r>
        <w:t>[</w:t>
      </w:r>
      <w:r>
        <w:br/>
        <w:t>\beta_Q(\tau_\ast)=0</w:t>
      </w:r>
      <w:r>
        <w:br/>
        <w:t>\tag{3.11116}</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\beta_Q(\tau_\ast)=0</w:t>
      </w:r>
    </w:p>
    <w:p w:rsidR="00197EC9" w:rsidRDefault="00197EC9" w:rsidP="00197EC9">
      <w:pPr>
        <w:pStyle w:val="StandardWeb"/>
      </w:pPr>
      <w:r>
        <w:t>folgt im Allgemeinen nicht</w:t>
      </w:r>
    </w:p>
    <w:p w:rsidR="00197EC9" w:rsidRDefault="00197EC9" w:rsidP="00197EC9">
      <w:pPr>
        <w:pStyle w:val="berschrift1"/>
      </w:pPr>
      <w:r>
        <w:t>[</w:t>
      </w:r>
      <w:r>
        <w:br/>
        <w:t>Q(\tau)</w:t>
      </w:r>
    </w:p>
    <w:p w:rsidR="00197EC9" w:rsidRDefault="00197EC9" w:rsidP="00197EC9">
      <w:pPr>
        <w:pStyle w:val="StandardWeb"/>
      </w:pPr>
      <w:r>
        <w:t>\mathrm{const}</w:t>
      </w:r>
      <w:r>
        <w:br/>
        <w:t>\qquad</w:t>
      </w:r>
      <w:r>
        <w:br/>
        <w:t>\forall\tau.</w:t>
      </w:r>
      <w:r>
        <w:br/>
        <w:t>\tag{3.11117}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Q(\tau)=\mathrm{const}\qquad\forall\tau</w:t>
      </w:r>
    </w:p>
    <w:p w:rsidR="00197EC9" w:rsidRDefault="00E50336" w:rsidP="00197EC9">
      <w:r>
        <w:pict>
          <v:rect id="_x0000_i3717" style="width:0;height:1.5pt" o:hralign="center" o:hrstd="t" o:hr="t" fillcolor="#a0a0a0" stroked="f"/>
        </w:pict>
      </w:r>
    </w:p>
    <w:p w:rsidR="00197EC9" w:rsidRDefault="00197EC9" w:rsidP="00197EC9">
      <w:pPr>
        <w:pStyle w:val="berschrift1"/>
      </w:pPr>
      <w:r>
        <w:t>3.3.46.200 Lokale Stabilität eines Skalenfixpunktes</w:t>
      </w:r>
    </w:p>
    <w:p w:rsidR="00197EC9" w:rsidRDefault="00197EC9" w:rsidP="00197EC9">
      <w:pPr>
        <w:pStyle w:val="StandardWeb"/>
      </w:pPr>
      <w:r>
        <w:t>Ist (Q) eindimensional und zweimal differenzierbar, kann in einer speziellen Modellklasse zusätzlich die Ableitung</w:t>
      </w:r>
    </w:p>
    <w:p w:rsidR="00197EC9" w:rsidRDefault="00197EC9" w:rsidP="00197EC9">
      <w:pPr>
        <w:pStyle w:val="StandardWeb"/>
      </w:pPr>
      <w:r>
        <w:t>[</w:t>
      </w:r>
      <w:r>
        <w:br/>
        <w:t>\beta_Q'(\tau_\ast)</w:t>
      </w:r>
      <w:r>
        <w:br/>
        <w:t>\tag{3.11118}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\beta_Q'(\tau_\ast)</w:t>
      </w:r>
    </w:p>
    <w:p w:rsidR="00197EC9" w:rsidRDefault="00197EC9" w:rsidP="00197EC9">
      <w:pPr>
        <w:pStyle w:val="StandardWeb"/>
      </w:pPr>
      <w:r>
        <w:t>zur lokalen Analyse verwendet werden.</w:t>
      </w:r>
    </w:p>
    <w:p w:rsidR="00197EC9" w:rsidRDefault="00197EC9" w:rsidP="00197EC9">
      <w:pPr>
        <w:pStyle w:val="StandardWeb"/>
      </w:pPr>
      <w:r>
        <w:t>Eine solche Stabilitätsinterpretation gehört jedoch bereits zur Dynamik des jeweiligen Skalenmodells und wird nicht universell vorausgesetzt.</w:t>
      </w:r>
    </w:p>
    <w:p w:rsidR="00197EC9" w:rsidRDefault="00E50336" w:rsidP="00197EC9">
      <w:r>
        <w:pict>
          <v:rect id="_x0000_i3718" style="width:0;height:1.5pt" o:hralign="center" o:hrstd="t" o:hr="t" fillcolor="#a0a0a0" stroked="f"/>
        </w:pict>
      </w:r>
    </w:p>
    <w:p w:rsidR="00197EC9" w:rsidRDefault="00197EC9" w:rsidP="00197EC9">
      <w:pPr>
        <w:pStyle w:val="berschrift1"/>
      </w:pPr>
      <w:r>
        <w:t>3.3.46.201 Status der Skalenänderungsrate</w:t>
      </w:r>
    </w:p>
    <w:p w:rsidR="00197EC9" w:rsidRDefault="00197EC9" w:rsidP="00197EC9">
      <w:pPr>
        <w:pStyle w:val="StandardWeb"/>
      </w:pPr>
      <w:r>
        <w:lastRenderedPageBreak/>
        <w:t>Die Größe</w:t>
      </w:r>
    </w:p>
    <w:p w:rsidR="00197EC9" w:rsidRDefault="00197EC9" w:rsidP="00197EC9">
      <w:pPr>
        <w:pStyle w:val="berschrift1"/>
      </w:pPr>
      <w:r>
        <w:t>[</w:t>
      </w:r>
      <w:r>
        <w:br/>
        <w:t>\beta_Q</w:t>
      </w:r>
    </w:p>
    <w:p w:rsidR="00197EC9" w:rsidRDefault="00197EC9" w:rsidP="00197EC9">
      <w:pPr>
        <w:pStyle w:val="StandardWeb"/>
      </w:pPr>
      <w:r>
        <w:t>\frac{dQ}{d\tau}</w:t>
      </w:r>
      <w:r>
        <w:br/>
        <w:t>\tag{3.11119}</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\beta_Q=\frac{dQ}{d\tau}</w:t>
      </w:r>
    </w:p>
    <w:p w:rsidR="00197EC9" w:rsidRDefault="00197EC9" w:rsidP="00197EC9">
      <w:pPr>
        <w:pStyle w:val="StandardWeb"/>
      </w:pPr>
      <w:r>
        <w:t>ist definitorisch, sobald eine differenzierbare Skalenabhängigkeit gegeben ist.</w:t>
      </w:r>
    </w:p>
    <w:p w:rsidR="00197EC9" w:rsidRDefault="00197EC9" w:rsidP="00197EC9">
      <w:pPr>
        <w:pStyle w:val="StandardWeb"/>
      </w:pPr>
      <w:r>
        <w:t>Daher gilt vorläufig</w:t>
      </w:r>
    </w:p>
    <w:p w:rsidR="00197EC9" w:rsidRDefault="00197EC9" w:rsidP="00197EC9">
      <w:pPr>
        <w:pStyle w:val="berschrift1"/>
      </w:pPr>
      <w:r>
        <w:t>[</w:t>
      </w:r>
      <w:r>
        <w:br/>
        <w:t>\boxed{</w:t>
      </w:r>
      <w:r>
        <w:br/>
        <w:t>\operatorname{Stat}(\beta_Q)</w:t>
      </w:r>
    </w:p>
    <w:p w:rsidR="00197EC9" w:rsidRDefault="00197EC9" w:rsidP="00197EC9">
      <w:pPr>
        <w:pStyle w:val="StandardWeb"/>
      </w:pPr>
      <w:r>
        <w:t>\mathrm{Def/Op/Mod}.</w:t>
      </w:r>
      <w:r>
        <w:br/>
        <w:t>}</w:t>
      </w:r>
      <w:r>
        <w:br/>
        <w:t>\tag{3.11120}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\boxed{\operatorname{Stat}(\beta_Q)=\mathrm{Def/Op/Mod}.}</w:t>
      </w:r>
    </w:p>
    <w:p w:rsidR="00197EC9" w:rsidRDefault="00E50336" w:rsidP="00197EC9">
      <w:r>
        <w:pict>
          <v:rect id="_x0000_i3719" style="width:0;height:1.5pt" o:hralign="center" o:hrstd="t" o:hr="t" fillcolor="#a0a0a0" stroked="f"/>
        </w:pict>
      </w:r>
    </w:p>
    <w:p w:rsidR="00197EC9" w:rsidRDefault="00197EC9" w:rsidP="00197EC9">
      <w:pPr>
        <w:pStyle w:val="berschrift1"/>
      </w:pPr>
      <w:r>
        <w:t>3.3.46.202 Primäraxiomprüfung der erweiterten Skalierungsstruktur</w:t>
      </w:r>
    </w:p>
    <w:p w:rsidR="00197EC9" w:rsidRDefault="00197EC9" w:rsidP="00197EC9">
      <w:pPr>
        <w:pStyle w:val="StandardWeb"/>
      </w:pPr>
      <w:r>
        <w:t>Die neu eingeführten Strukturen setzen sämtlich zusätzliche Modellannahmen voraus:</w:t>
      </w:r>
    </w:p>
    <w:p w:rsidR="00197EC9" w:rsidRDefault="00197EC9" w:rsidP="00197EC9">
      <w:pPr>
        <w:pStyle w:val="StandardWeb"/>
      </w:pPr>
      <w:r>
        <w:t>[</w:t>
      </w:r>
      <w:r>
        <w:br/>
        <w:t>\text{Mehrparameterskalierung},</w:t>
      </w:r>
      <w:r>
        <w:br/>
        <w:t>\quad</w:t>
      </w:r>
      <w:r>
        <w:br/>
        <w:t>\text{Anisotropie},</w:t>
      </w:r>
      <w:r>
        <w:br/>
        <w:t>\quad</w:t>
      </w:r>
      <w:r>
        <w:br/>
        <w:t>\text{Normalisierung},</w:t>
      </w:r>
      <w:r>
        <w:br/>
        <w:t>\quad</w:t>
      </w:r>
      <w:r>
        <w:br/>
        <w:t>\text{Renormierung},</w:t>
      </w:r>
      <w:r>
        <w:br/>
        <w:t>\quad</w:t>
      </w:r>
      <w:r>
        <w:br/>
        <w:t>\text{Skalierungsfluss},</w:t>
      </w:r>
      <w:r>
        <w:br/>
      </w:r>
      <w:r>
        <w:lastRenderedPageBreak/>
        <w:t>\quad</w:t>
      </w:r>
      <w:r>
        <w:br/>
        <w:t>\text{Skalierungsgenerator}.</w:t>
      </w:r>
      <w:r>
        <w:br/>
        <w:t>\tag{3.11121}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\text{Mehrparameterskalierung},\quad\text{Anisotropie},\quad\text{Normalisierung},\quad\text{Renormierung},\quad\text{Skalierungsfluss},\quad\text{Skalierungsgenerator}</w:t>
      </w:r>
    </w:p>
    <w:p w:rsidR="00197EC9" w:rsidRDefault="00197EC9" w:rsidP="00197EC9">
      <w:pPr>
        <w:pStyle w:val="StandardWeb"/>
      </w:pPr>
      <w:r>
        <w:t>Keine dieser Strukturen ist bereits für ein beliebiges relationales FRZK-Modell erforderlich.</w:t>
      </w:r>
    </w:p>
    <w:p w:rsidR="00197EC9" w:rsidRDefault="00E50336" w:rsidP="00197EC9">
      <w:r>
        <w:pict>
          <v:rect id="_x0000_i3720" style="width:0;height:1.5pt" o:hralign="center" o:hrstd="t" o:hr="t" fillcolor="#a0a0a0" stroked="f"/>
        </w:pict>
      </w:r>
    </w:p>
    <w:p w:rsidR="00197EC9" w:rsidRDefault="00197EC9" w:rsidP="00197EC9">
      <w:pPr>
        <w:pStyle w:val="berschrift1"/>
      </w:pPr>
      <w:r>
        <w:t>3.3.46.203 Erweiterter Axiomkandidat</w:t>
      </w:r>
    </w:p>
    <w:p w:rsidR="00197EC9" w:rsidRDefault="00197EC9" w:rsidP="00197EC9">
      <w:pPr>
        <w:pStyle w:val="StandardWeb"/>
      </w:pPr>
      <w:r>
        <w:t>Ein maximal starker Kandidat könnte lauten</w:t>
      </w:r>
    </w:p>
    <w:p w:rsidR="00197EC9" w:rsidRDefault="00197EC9" w:rsidP="00197EC9">
      <w:pPr>
        <w:pStyle w:val="StandardWeb"/>
      </w:pPr>
      <w:r>
        <w:t>[</w:t>
      </w:r>
      <w:r>
        <w:br/>
        <w:t>A_{\mathrm{sc}}^{+}:</w:t>
      </w:r>
      <w:r>
        <w:br/>
        <w:t>\text{Jedes FRZK-Modell besitzt eine differenzierbare, mehrparametrige und renormierungskonsistente Skalierungsstruktur}.</w:t>
      </w:r>
      <w:r>
        <w:br/>
        <w:t>\tag{3.11122}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A_{\mathrm{sc}}^{+}:\text{Jedes FRZK-Modell besitzt eine differenzierbare, mehrparametrige und renormierungskonsistente Skalierungsstruktur}</w:t>
      </w:r>
    </w:p>
    <w:p w:rsidR="00197EC9" w:rsidRDefault="00197EC9" w:rsidP="00197EC9">
      <w:pPr>
        <w:pStyle w:val="StandardWeb"/>
      </w:pPr>
      <w:r>
        <w:t>Dieser Kandidat ist deutlich stärker als das bereits verworfene (A_{\mathrm{sc}}).</w:t>
      </w:r>
    </w:p>
    <w:p w:rsidR="00197EC9" w:rsidRDefault="00E50336" w:rsidP="00197EC9">
      <w:r>
        <w:pict>
          <v:rect id="_x0000_i3721" style="width:0;height:1.5pt" o:hralign="center" o:hrstd="t" o:hr="t" fillcolor="#a0a0a0" stroked="f"/>
        </w:pict>
      </w:r>
    </w:p>
    <w:p w:rsidR="00197EC9" w:rsidRDefault="00197EC9" w:rsidP="00197EC9">
      <w:pPr>
        <w:pStyle w:val="berschrift1"/>
      </w:pPr>
      <w:r>
        <w:t>3.3.46.204 Verwerfung des erweiterten Skalierungsaxioms</w:t>
      </w:r>
    </w:p>
    <w:p w:rsidR="00197EC9" w:rsidRDefault="00197EC9" w:rsidP="00197EC9">
      <w:pPr>
        <w:pStyle w:val="StandardWeb"/>
      </w:pPr>
      <w:r>
        <w:t>Da bereits die einfache universelle Skalierbarkeit nicht erforderlich ist, kann eine stärkere Forderung ebenfalls nicht notwendig sein.</w:t>
      </w:r>
    </w:p>
    <w:p w:rsidR="00197EC9" w:rsidRDefault="00197EC9" w:rsidP="00197EC9">
      <w:pPr>
        <w:pStyle w:val="StandardWeb"/>
      </w:pPr>
      <w:r>
        <w:t>Formal gilt</w:t>
      </w:r>
    </w:p>
    <w:p w:rsidR="00197EC9" w:rsidRDefault="00197EC9" w:rsidP="00197EC9">
      <w:pPr>
        <w:pStyle w:val="berschrift1"/>
      </w:pPr>
      <w:r>
        <w:t>[</w:t>
      </w:r>
      <w:r>
        <w:br/>
        <w:t>U_{\mathrm{Ax}}(A_{\mathrm{sc}})</w:t>
      </w:r>
    </w:p>
    <w:p w:rsidR="00197EC9" w:rsidRDefault="00197EC9" w:rsidP="00197EC9">
      <w:pPr>
        <w:pStyle w:val="berschrift1"/>
      </w:pPr>
      <w:r>
        <w:lastRenderedPageBreak/>
        <w:t>0</w:t>
      </w:r>
      <w:r>
        <w:br/>
        <w:t>\Rightarrow</w:t>
      </w:r>
      <w:r>
        <w:br/>
        <w:t>U_{\mathrm{Ax}}(A_{\mathrm{sc}}^{+})</w:t>
      </w:r>
    </w:p>
    <w:p w:rsidR="00197EC9" w:rsidRDefault="00197EC9" w:rsidP="00152216">
      <w:pPr>
        <w:numPr>
          <w:ilvl w:val="0"/>
          <w:numId w:val="482"/>
        </w:numPr>
        <w:spacing w:before="100" w:beforeAutospacing="1" w:after="100" w:afterAutospacing="1"/>
      </w:pPr>
    </w:p>
    <w:p w:rsidR="00197EC9" w:rsidRDefault="00197EC9" w:rsidP="00197EC9">
      <w:pPr>
        <w:pStyle w:val="StandardWeb"/>
      </w:pPr>
      <w:r>
        <w:t>\tag{3.11123}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U_{\mathrm{Ax}}(A_{\mathrm{sc}})=0\Rightarrow U_{\mathrm{Ax}}(A_{\mathrm{sc}}^{+})=0</w:t>
      </w:r>
    </w:p>
    <w:p w:rsidR="00197EC9" w:rsidRDefault="00E50336" w:rsidP="00197EC9">
      <w:r>
        <w:pict>
          <v:rect id="_x0000_i3722" style="width:0;height:1.5pt" o:hralign="center" o:hrstd="t" o:hr="t" fillcolor="#a0a0a0" stroked="f"/>
        </w:pict>
      </w:r>
    </w:p>
    <w:p w:rsidR="00197EC9" w:rsidRDefault="00197EC9" w:rsidP="00197EC9">
      <w:pPr>
        <w:pStyle w:val="berschrift1"/>
      </w:pPr>
      <w:r>
        <w:t>3.3.46.205 Satz 3.3.93 – Keine Primäraxiomnotwendigkeit der erweiterten Skalierungsarchitektur</w:t>
      </w:r>
    </w:p>
    <w:p w:rsidR="00197EC9" w:rsidRDefault="00197EC9" w:rsidP="00197EC9">
      <w:pPr>
        <w:pStyle w:val="berschrift3"/>
      </w:pPr>
      <w:r>
        <w:t>Satz 3.3.93</w:t>
      </w:r>
    </w:p>
    <w:p w:rsidR="00197EC9" w:rsidRDefault="00197EC9" w:rsidP="00197EC9">
      <w:pPr>
        <w:pStyle w:val="StandardWeb"/>
      </w:pPr>
      <w:r>
        <w:t>Mehrparametrige Skalierung, anisotrope Skalierung, funktionale Normalisierung, funktionale Renormierung, approximative Skaleninvarianz, differenzierbare Skalierungsflüsse und Skalenänderungsraten sind keine universell notwendigen Primärstrukturen des FRZK.</w:t>
      </w:r>
    </w:p>
    <w:p w:rsidR="00197EC9" w:rsidRDefault="00197EC9" w:rsidP="00197EC9">
      <w:pPr>
        <w:pStyle w:val="StandardWeb"/>
      </w:pPr>
      <w:r>
        <w:t>Damit gilt</w:t>
      </w:r>
    </w:p>
    <w:p w:rsidR="00197EC9" w:rsidRDefault="00197EC9" w:rsidP="00197EC9">
      <w:pPr>
        <w:pStyle w:val="berschrift1"/>
      </w:pPr>
      <w:r>
        <w:t>[</w:t>
      </w:r>
      <w:r>
        <w:br/>
        <w:t>\boxed{</w:t>
      </w:r>
      <w:r>
        <w:br/>
        <w:t>U_{\mathrm{Ax}}</w:t>
      </w:r>
      <w:r>
        <w:br/>
        <w:t>\left(</w:t>
      </w:r>
      <w:r>
        <w:br/>
        <w:t>A_{\mathrm{sc}}^{+}</w:t>
      </w:r>
      <w:r>
        <w:br/>
        <w:t>\right)</w:t>
      </w:r>
    </w:p>
    <w:p w:rsidR="00197EC9" w:rsidRDefault="00197EC9" w:rsidP="00152216">
      <w:pPr>
        <w:numPr>
          <w:ilvl w:val="0"/>
          <w:numId w:val="483"/>
        </w:numPr>
        <w:spacing w:before="100" w:beforeAutospacing="1" w:after="100" w:afterAutospacing="1"/>
      </w:pPr>
    </w:p>
    <w:p w:rsidR="00197EC9" w:rsidRDefault="00197EC9" w:rsidP="00197EC9">
      <w:pPr>
        <w:pStyle w:val="StandardWeb"/>
      </w:pPr>
      <w:r>
        <w:t>}</w:t>
      </w:r>
      <w:r>
        <w:br/>
        <w:t>\tag{3.11124}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\boxed{U_{\mathrm{Ax}}\left(A_{\mathrm{sc}}^{+}\right)=0.}</w:t>
      </w:r>
    </w:p>
    <w:p w:rsidR="00197EC9" w:rsidRDefault="00197EC9" w:rsidP="00197EC9">
      <w:pPr>
        <w:pStyle w:val="berschrift3"/>
      </w:pPr>
      <w:r>
        <w:lastRenderedPageBreak/>
        <w:t>Beweis</w:t>
      </w:r>
    </w:p>
    <w:p w:rsidR="00197EC9" w:rsidRDefault="00197EC9" w:rsidP="00197EC9">
      <w:pPr>
        <w:pStyle w:val="StandardWeb"/>
      </w:pPr>
      <w:r>
        <w:t>Ein allgemeines relationales FRZK-Modell kann bereits ohne eine einfache Skalarmultiplikation formuliert werden. Mehrparametrige oder anisotrope Skalierung setzt daher erst recht zusätzliche Struktur voraus. Normalisierung erfordert ein geeignetes Normalisierungsfunktional, Renormierung benötigt Referenzskalen und entsprechende Transformationsabbildungen, ein Skalierungsfluss setzt eine kontinuierliche Parametrisierung voraus und ein Skalierungsgenerator zusätzlich Differenzierbarkeit. Keine dieser Voraussetzungen ist für die minimale Existenz eines FRZK-Modells logisch erforderlich. (\square)</w:t>
      </w:r>
    </w:p>
    <w:p w:rsidR="00197EC9" w:rsidRDefault="00E50336" w:rsidP="00197EC9">
      <w:r>
        <w:pict>
          <v:rect id="_x0000_i3723" style="width:0;height:1.5pt" o:hralign="center" o:hrstd="t" o:hr="t" fillcolor="#a0a0a0" stroked="f"/>
        </w:pict>
      </w:r>
    </w:p>
    <w:p w:rsidR="00197EC9" w:rsidRDefault="00197EC9" w:rsidP="00197EC9">
      <w:pPr>
        <w:pStyle w:val="berschrift1"/>
      </w:pPr>
      <w:r>
        <w:t>3.3.46.206 Erweiterte vorläufige Skalierungsarchitektur</w:t>
      </w:r>
    </w:p>
    <w:p w:rsidR="00197EC9" w:rsidRDefault="00197EC9" w:rsidP="00197EC9">
      <w:pPr>
        <w:pStyle w:val="StandardWeb"/>
      </w:pPr>
      <w:r>
        <w:t>Nach diesem zweiten Entwicklungsblock kann ich die Skalierungsstruktur erweitern zu</w:t>
      </w:r>
    </w:p>
    <w:p w:rsidR="00197EC9" w:rsidRDefault="00197EC9" w:rsidP="00197EC9">
      <w:pPr>
        <w:pStyle w:val="berschrift1"/>
      </w:pPr>
      <w:r>
        <w:t>[</w:t>
      </w:r>
      <w:r>
        <w:br/>
        <w:t>\mathfrak S_{\mathrm{sc}}^{(2)}</w:t>
      </w:r>
    </w:p>
    <w:p w:rsidR="00197EC9" w:rsidRDefault="00197EC9" w:rsidP="00197EC9">
      <w:pPr>
        <w:pStyle w:val="StandardWeb"/>
      </w:pPr>
      <w:r>
        <w:t>\left(</w:t>
      </w:r>
      <w:r>
        <w:br/>
        <w:t>\mathfrak S_{\mathrm{sc}},</w:t>
      </w:r>
      <w:r>
        <w:br/>
        <w:t>S_{\boldsymbol{\lambda}},</w:t>
      </w:r>
      <w:r>
        <w:br/>
        <w:t>\mathbf w_{\mathrm{sc}},</w:t>
      </w:r>
      <w:r>
        <w:br/>
        <w:t>\operatorname{Cov}</w:t>
      </w:r>
      <w:r>
        <w:rPr>
          <w:rStyle w:val="Hervorhebung"/>
        </w:rPr>
        <w:t>{\mathrm{sc}},</w:t>
      </w:r>
      <w:r>
        <w:rPr>
          <w:i/>
          <w:iCs/>
        </w:rPr>
        <w:br/>
      </w:r>
      <w:r>
        <w:rPr>
          <w:rStyle w:val="Hervorhebung"/>
        </w:rPr>
        <w:t>\mathcal N,</w:t>
      </w:r>
      <w:r>
        <w:rPr>
          <w:i/>
          <w:iCs/>
        </w:rPr>
        <w:br/>
      </w:r>
      <w:r>
        <w:rPr>
          <w:rStyle w:val="Hervorhebung"/>
        </w:rPr>
        <w:t>\Sigma_N,</w:t>
      </w:r>
      <w:r>
        <w:rPr>
          <w:i/>
          <w:iCs/>
        </w:rPr>
        <w:br/>
      </w:r>
      <w:r>
        <w:rPr>
          <w:rStyle w:val="Hervorhebung"/>
        </w:rPr>
        <w:t>\mathcal R</w:t>
      </w:r>
      <w:r>
        <w:t>{\mu\rightarrow\nu},</w:t>
      </w:r>
      <w:r>
        <w:br/>
        <w:t>\Delta_{\mathrm{sc}},</w:t>
      </w:r>
      <w:r>
        <w:br/>
        <w:t>\mathcal V_{\mathrm{sc}}^{(\varepsilon)},</w:t>
      </w:r>
      <w:r>
        <w:br/>
        <w:t>S_\tau,</w:t>
      </w:r>
      <w:r>
        <w:br/>
        <w:t>G_{\mathrm{sc}},</w:t>
      </w:r>
      <w:r>
        <w:br/>
        <w:t>\beta_Q</w:t>
      </w:r>
      <w:r>
        <w:br/>
        <w:t>\right).</w:t>
      </w:r>
      <w:r>
        <w:br/>
        <w:t>\tag{3.11125}</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\mathfrak S_{\mathrm{sc}}^{(2)}=\left(\mathfrak S_{\mathrm{sc}},S_{\boldsymbol{\lambda}},\mathbf w_{\mathrm{sc}},\operatorname{Cov}_{\mathrm{sc}},\mathcal N,\Sigma_N,\mathcal R_{\mu\rightarrow\nu},\Delta_{\mathrm{sc}},\mathcal V_{\mathrm{sc}}^{(\varepsilon)},S_\tau,G_{\mathrm{sc}},\beta_Q\right)</w:t>
      </w:r>
    </w:p>
    <w:p w:rsidR="00197EC9" w:rsidRDefault="00E50336" w:rsidP="00197EC9">
      <w:r>
        <w:pict>
          <v:rect id="_x0000_i3724" style="width:0;height:1.5pt" o:hralign="center" o:hrstd="t" o:hr="t" fillcolor="#a0a0a0" stroked="f"/>
        </w:pict>
      </w:r>
    </w:p>
    <w:p w:rsidR="00197EC9" w:rsidRDefault="00197EC9" w:rsidP="00197EC9">
      <w:pPr>
        <w:pStyle w:val="berschrift1"/>
      </w:pPr>
      <w:r>
        <w:lastRenderedPageBreak/>
        <w:t>3.3.46.207 Vorläufige Statuszuordnung der neuen Strukturen</w:t>
      </w:r>
    </w:p>
    <w:p w:rsidR="00197EC9" w:rsidRDefault="00197EC9" w:rsidP="00197EC9">
      <w:pPr>
        <w:pStyle w:val="StandardWeb"/>
      </w:pPr>
      <w:r>
        <w:t>Für die mehrparametrige Skalierung gilt</w:t>
      </w:r>
    </w:p>
    <w:p w:rsidR="00197EC9" w:rsidRDefault="00197EC9" w:rsidP="00197EC9">
      <w:pPr>
        <w:pStyle w:val="berschrift1"/>
      </w:pPr>
      <w:r>
        <w:t>[</w:t>
      </w:r>
      <w:r>
        <w:br/>
        <w:t>\operatorname{Stat}(S_{\boldsymbol{\lambda}})</w:t>
      </w:r>
    </w:p>
    <w:p w:rsidR="00197EC9" w:rsidRDefault="00197EC9" w:rsidP="00197EC9">
      <w:pPr>
        <w:pStyle w:val="StandardWeb"/>
      </w:pPr>
      <w:r>
        <w:t>\mathrm{Def/Mod}.</w:t>
      </w:r>
      <w:r>
        <w:br/>
        <w:t>\tag{3.11126}</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\operatorname{Stat}(S_{\boldsymbol{\lambda}})=\mathrm{Def/Mod}</w:t>
      </w:r>
    </w:p>
    <w:p w:rsidR="00197EC9" w:rsidRDefault="00197EC9" w:rsidP="00197EC9">
      <w:pPr>
        <w:pStyle w:val="StandardWeb"/>
      </w:pPr>
      <w:r>
        <w:t>Für die Anisotropie gilt</w:t>
      </w:r>
    </w:p>
    <w:p w:rsidR="00197EC9" w:rsidRDefault="00197EC9" w:rsidP="00197EC9">
      <w:pPr>
        <w:pStyle w:val="berschrift1"/>
      </w:pPr>
      <w:r>
        <w:t>[</w:t>
      </w:r>
      <w:r>
        <w:br/>
        <w:t>\operatorname{Stat}</w:t>
      </w:r>
      <w:r>
        <w:br/>
        <w:t>(\operatorname{Aniso}_{\mathrm{sc}})</w:t>
      </w:r>
    </w:p>
    <w:p w:rsidR="00197EC9" w:rsidRDefault="00197EC9" w:rsidP="00197EC9">
      <w:pPr>
        <w:pStyle w:val="StandardWeb"/>
      </w:pPr>
      <w:r>
        <w:t>\mathrm{Def/Mod}.</w:t>
      </w:r>
      <w:r>
        <w:br/>
        <w:t>\tag{3.11127}</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\operatorname{Stat}(\operatorname{Aniso}_{\mathrm{sc}})=\mathrm{Def/Mod}</w:t>
      </w:r>
    </w:p>
    <w:p w:rsidR="00197EC9" w:rsidRDefault="00197EC9" w:rsidP="00197EC9">
      <w:pPr>
        <w:pStyle w:val="StandardWeb"/>
      </w:pPr>
      <w:r>
        <w:t>Für Normalisierung gilt</w:t>
      </w:r>
    </w:p>
    <w:p w:rsidR="00197EC9" w:rsidRDefault="00197EC9" w:rsidP="00197EC9">
      <w:pPr>
        <w:pStyle w:val="berschrift1"/>
      </w:pPr>
      <w:r>
        <w:t>[</w:t>
      </w:r>
      <w:r>
        <w:br/>
        <w:t>\operatorname{Stat}(\mathcal N)</w:t>
      </w:r>
    </w:p>
    <w:p w:rsidR="00197EC9" w:rsidRDefault="00197EC9" w:rsidP="00197EC9">
      <w:pPr>
        <w:pStyle w:val="StandardWeb"/>
      </w:pPr>
      <w:r>
        <w:t>\mathrm{Def/Op/Mod}.</w:t>
      </w:r>
      <w:r>
        <w:br/>
        <w:t>\tag{3.11128}</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\operatorname{Stat}(\mathcal N)=\mathrm{Def/Op/Mod}</w:t>
      </w:r>
    </w:p>
    <w:p w:rsidR="00197EC9" w:rsidRDefault="00E50336" w:rsidP="00197EC9">
      <w:r>
        <w:pict>
          <v:rect id="_x0000_i3725" style="width:0;height:1.5pt" o:hralign="center" o:hrstd="t" o:hr="t" fillcolor="#a0a0a0" stroked="f"/>
        </w:pict>
      </w:r>
    </w:p>
    <w:p w:rsidR="00197EC9" w:rsidRDefault="00197EC9" w:rsidP="00197EC9">
      <w:pPr>
        <w:pStyle w:val="berschrift1"/>
      </w:pPr>
      <w:r>
        <w:lastRenderedPageBreak/>
        <w:t>3.3.46.208 Status der funktionalen Renormierung</w:t>
      </w:r>
    </w:p>
    <w:p w:rsidR="00197EC9" w:rsidRDefault="00197EC9" w:rsidP="00197EC9">
      <w:pPr>
        <w:pStyle w:val="StandardWeb"/>
      </w:pPr>
      <w:r>
        <w:t>Die funktionale Renormierung ist formal definierbar, setzt jedoch Referenzskalen und Transformationsstrukturen voraus:</w:t>
      </w:r>
    </w:p>
    <w:p w:rsidR="00197EC9" w:rsidRDefault="00197EC9" w:rsidP="00197EC9">
      <w:pPr>
        <w:pStyle w:val="berschrift1"/>
      </w:pPr>
      <w:r>
        <w:t>[</w:t>
      </w:r>
      <w:r>
        <w:br/>
        <w:t>\boxed{</w:t>
      </w:r>
      <w:r>
        <w:br/>
        <w:t>\operatorname{Stat}</w:t>
      </w:r>
      <w:r>
        <w:br/>
        <w:t>(\mathcal R_{\mu\rightarrow\nu})</w:t>
      </w:r>
    </w:p>
    <w:p w:rsidR="00197EC9" w:rsidRDefault="00197EC9" w:rsidP="00197EC9">
      <w:pPr>
        <w:pStyle w:val="StandardWeb"/>
      </w:pPr>
      <w:r>
        <w:t>\mathrm{Def/Mod}.</w:t>
      </w:r>
      <w:r>
        <w:br/>
        <w:t>}</w:t>
      </w:r>
      <w:r>
        <w:br/>
        <w:t>\tag{3.11129}</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\boxed{\operatorname{Stat}(\mathcal R_{\mu\rightarrow\nu})=\mathrm{Def/Mod}.}</w:t>
      </w:r>
    </w:p>
    <w:p w:rsidR="00197EC9" w:rsidRDefault="00E50336" w:rsidP="00197EC9">
      <w:r>
        <w:pict>
          <v:rect id="_x0000_i3726" style="width:0;height:1.5pt" o:hralign="center" o:hrstd="t" o:hr="t" fillcolor="#a0a0a0" stroked="f"/>
        </w:pict>
      </w:r>
    </w:p>
    <w:p w:rsidR="00197EC9" w:rsidRDefault="00197EC9" w:rsidP="00197EC9">
      <w:pPr>
        <w:pStyle w:val="berschrift1"/>
      </w:pPr>
      <w:r>
        <w:t>3.3.46.209 Status approximativer Skaleninvarianz</w:t>
      </w:r>
    </w:p>
    <w:p w:rsidR="00197EC9" w:rsidRDefault="00197EC9" w:rsidP="00197EC9">
      <w:pPr>
        <w:pStyle w:val="StandardWeb"/>
      </w:pPr>
      <w:r>
        <w:t>Für die approximative Skaleninvarianz gilt</w:t>
      </w:r>
    </w:p>
    <w:p w:rsidR="00197EC9" w:rsidRDefault="00197EC9" w:rsidP="00197EC9">
      <w:pPr>
        <w:pStyle w:val="berschrift1"/>
      </w:pPr>
      <w:r>
        <w:t>[</w:t>
      </w:r>
      <w:r>
        <w:br/>
        <w:t>\boxed{</w:t>
      </w:r>
      <w:r>
        <w:br/>
        <w:t>\operatorname{Stat}</w:t>
      </w:r>
      <w:r>
        <w:br/>
        <w:t>\left(</w:t>
      </w:r>
      <w:r>
        <w:br/>
        <w:t>\mathcal I_{\mathrm{sc}}^{(\varepsilon)}</w:t>
      </w:r>
      <w:r>
        <w:br/>
        <w:t>\right)</w:t>
      </w:r>
    </w:p>
    <w:p w:rsidR="00197EC9" w:rsidRDefault="00197EC9" w:rsidP="00197EC9">
      <w:pPr>
        <w:pStyle w:val="StandardWeb"/>
      </w:pPr>
      <w:r>
        <w:t>\mathrm{Def/Op}.</w:t>
      </w:r>
      <w:r>
        <w:br/>
        <w:t>}</w:t>
      </w:r>
      <w:r>
        <w:br/>
        <w:t>\tag{3.11130}</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\boxed{\operatorname{Stat}\left(\mathcal I_{\mathrm{sc}}^{(\varepsilon)}\right)=\mathrm{Def/Op}.}</w:t>
      </w:r>
    </w:p>
    <w:p w:rsidR="00197EC9" w:rsidRDefault="00197EC9" w:rsidP="00197EC9">
      <w:pPr>
        <w:pStyle w:val="StandardWeb"/>
      </w:pPr>
      <w:r>
        <w:t>Der Toleranzparameter besitzt dagegen wiederum den Status</w:t>
      </w:r>
    </w:p>
    <w:p w:rsidR="00197EC9" w:rsidRDefault="00197EC9" w:rsidP="00197EC9">
      <w:pPr>
        <w:pStyle w:val="berschrift1"/>
      </w:pPr>
      <w:r>
        <w:lastRenderedPageBreak/>
        <w:t>[</w:t>
      </w:r>
      <w:r>
        <w:br/>
        <w:t>\boxed{</w:t>
      </w:r>
      <w:r>
        <w:br/>
        <w:t>\operatorname{Stat}</w:t>
      </w:r>
      <w:r>
        <w:br/>
        <w:t>(\varepsilon_{\mathrm{sc}})</w:t>
      </w:r>
    </w:p>
    <w:p w:rsidR="00197EC9" w:rsidRDefault="00197EC9" w:rsidP="00197EC9">
      <w:pPr>
        <w:pStyle w:val="StandardWeb"/>
      </w:pPr>
      <w:r>
        <w:t>\mathrm{Op/Mod}.</w:t>
      </w:r>
      <w:r>
        <w:br/>
        <w:t>}</w:t>
      </w:r>
      <w:r>
        <w:br/>
        <w:t>\tag{3.11131}</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\boxed{\operatorname{Stat}(\varepsilon_{\mathrm{sc}})=\mathrm{Op/Mod}.}</w:t>
      </w:r>
    </w:p>
    <w:p w:rsidR="00197EC9" w:rsidRDefault="00E50336" w:rsidP="00197EC9">
      <w:r>
        <w:pict>
          <v:rect id="_x0000_i3727" style="width:0;height:1.5pt" o:hralign="center" o:hrstd="t" o:hr="t" fillcolor="#a0a0a0" stroked="f"/>
        </w:pict>
      </w:r>
    </w:p>
    <w:p w:rsidR="00197EC9" w:rsidRDefault="00197EC9" w:rsidP="00197EC9">
      <w:pPr>
        <w:pStyle w:val="berschrift1"/>
      </w:pPr>
      <w:r>
        <w:t>3.3.46.210 Status des Skalierungsflusses und Generators</w:t>
      </w:r>
    </w:p>
    <w:p w:rsidR="00197EC9" w:rsidRDefault="00197EC9" w:rsidP="00197EC9">
      <w:pPr>
        <w:pStyle w:val="StandardWeb"/>
      </w:pPr>
      <w:r>
        <w:t>Für einen kontinuierlichen Skalierungsfluss gilt</w:t>
      </w:r>
    </w:p>
    <w:p w:rsidR="00197EC9" w:rsidRDefault="00197EC9" w:rsidP="00197EC9">
      <w:pPr>
        <w:pStyle w:val="berschrift1"/>
      </w:pPr>
      <w:r>
        <w:t>[</w:t>
      </w:r>
      <w:r>
        <w:br/>
        <w:t>\boxed{</w:t>
      </w:r>
      <w:r>
        <w:br/>
        <w:t>\operatorname{Stat}(S_\tau)</w:t>
      </w:r>
    </w:p>
    <w:p w:rsidR="00197EC9" w:rsidRDefault="00197EC9" w:rsidP="00197EC9">
      <w:pPr>
        <w:pStyle w:val="StandardWeb"/>
      </w:pPr>
      <w:r>
        <w:t>\mathrm{Def/Mod}.</w:t>
      </w:r>
      <w:r>
        <w:br/>
        <w:t>}</w:t>
      </w:r>
      <w:r>
        <w:br/>
        <w:t>\tag{3.11132}</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\boxed{\operatorname{Stat}(S_\tau)=\mathrm{Def/Mod}.}</w:t>
      </w:r>
    </w:p>
    <w:p w:rsidR="00197EC9" w:rsidRDefault="00197EC9" w:rsidP="00197EC9">
      <w:pPr>
        <w:pStyle w:val="StandardWeb"/>
      </w:pPr>
      <w:r>
        <w:t>Für den Generator gilt wegen der zusätzlichen Differenzierbarkeitsvoraussetzung</w:t>
      </w:r>
    </w:p>
    <w:p w:rsidR="00197EC9" w:rsidRDefault="00197EC9" w:rsidP="00197EC9">
      <w:pPr>
        <w:pStyle w:val="berschrift1"/>
      </w:pPr>
      <w:r>
        <w:t>[</w:t>
      </w:r>
      <w:r>
        <w:br/>
        <w:t>\boxed{</w:t>
      </w:r>
      <w:r>
        <w:br/>
        <w:t>\operatorname{Stat}(G_{\mathrm{sc}})</w:t>
      </w:r>
    </w:p>
    <w:p w:rsidR="00197EC9" w:rsidRDefault="00197EC9" w:rsidP="00197EC9">
      <w:pPr>
        <w:pStyle w:val="StandardWeb"/>
      </w:pPr>
      <w:r>
        <w:t>\mathrm{Def/Mod}.</w:t>
      </w:r>
      <w:r>
        <w:br/>
        <w:t>}</w:t>
      </w:r>
      <w:r>
        <w:br/>
      </w:r>
      <w:r>
        <w:lastRenderedPageBreak/>
        <w:t>\tag{3.11133}</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\boxed{\operatorname{Stat}(G_{\mathrm{sc}})=\mathrm{Def/Mod}.}</w:t>
      </w:r>
    </w:p>
    <w:p w:rsidR="00197EC9" w:rsidRDefault="00E50336" w:rsidP="00197EC9">
      <w:r>
        <w:pict>
          <v:rect id="_x0000_i3728" style="width:0;height:1.5pt" o:hralign="center" o:hrstd="t" o:hr="t" fillcolor="#a0a0a0" stroked="f"/>
        </w:pict>
      </w:r>
    </w:p>
    <w:p w:rsidR="00197EC9" w:rsidRDefault="00197EC9" w:rsidP="00197EC9">
      <w:pPr>
        <w:pStyle w:val="berschrift1"/>
      </w:pPr>
      <w:r>
        <w:t>3.3.46.211 Keine neuen Primäraxiome im zweiten Skalierungsblock</w:t>
      </w:r>
    </w:p>
    <w:p w:rsidR="00197EC9" w:rsidRDefault="00197EC9" w:rsidP="00197EC9">
      <w:pPr>
        <w:pStyle w:val="StandardWeb"/>
      </w:pPr>
      <w:r>
        <w:t>Damit bleibt auch nach der Erweiterung</w:t>
      </w:r>
    </w:p>
    <w:p w:rsidR="00197EC9" w:rsidRDefault="00197EC9" w:rsidP="00197EC9">
      <w:pPr>
        <w:pStyle w:val="berschrift1"/>
      </w:pPr>
      <w:r>
        <w:t>[</w:t>
      </w:r>
      <w:r>
        <w:br/>
        <w:t>\boxed{</w:t>
      </w:r>
      <w:r>
        <w:br/>
        <w:t>\mathfrak A_{3.3.46}^{\mathrm{new},(2)}</w:t>
      </w:r>
    </w:p>
    <w:p w:rsidR="00197EC9" w:rsidRDefault="00197EC9" w:rsidP="00197EC9">
      <w:pPr>
        <w:pStyle w:val="StandardWeb"/>
      </w:pPr>
      <w:r>
        <w:t>\varnothing.</w:t>
      </w:r>
      <w:r>
        <w:br/>
        <w:t>}</w:t>
      </w:r>
      <w:r>
        <w:br/>
        <w:t>\tag{3.11134}</w:t>
      </w:r>
      <w:r>
        <w:br/>
        <w:t>]</w:t>
      </w:r>
    </w:p>
    <w:p w:rsidR="00197EC9" w:rsidRDefault="00197EC9" w:rsidP="00197EC9">
      <w:pPr>
        <w:pStyle w:val="StandardWeb"/>
      </w:pPr>
      <w:r>
        <w:rPr>
          <w:rStyle w:val="Fett"/>
        </w:rPr>
        <w:t>Word-LaTeX</w:t>
      </w:r>
    </w:p>
    <w:p w:rsidR="00197EC9" w:rsidRDefault="00197EC9" w:rsidP="00197EC9">
      <w:pPr>
        <w:pStyle w:val="HTMLVorformatiert"/>
        <w:rPr>
          <w:rStyle w:val="HTMLCode"/>
        </w:rPr>
      </w:pPr>
      <w:r>
        <w:rPr>
          <w:rStyle w:val="HTMLCode"/>
        </w:rPr>
        <w:t>\boxed{\mathfrak A_{3.3.46}^{\mathrm{new},(2)}=\varnothing.}</w:t>
      </w:r>
    </w:p>
    <w:p w:rsidR="00197EC9" w:rsidRDefault="00E50336" w:rsidP="00197EC9">
      <w:r>
        <w:pict>
          <v:rect id="_x0000_i3729" style="width:0;height:1.5pt" o:hralign="center" o:hrstd="t" o:hr="t" fillcolor="#a0a0a0" stroked="f"/>
        </w:pict>
      </w:r>
    </w:p>
    <w:p w:rsidR="00197EC9" w:rsidRDefault="00197EC9" w:rsidP="00197EC9">
      <w:pPr>
        <w:pStyle w:val="berschrift1"/>
      </w:pPr>
      <w:r>
        <w:t>3.3.46.212 Noch kein Gesamtabschluss von 3.3.46</w:t>
      </w:r>
    </w:p>
    <w:p w:rsidR="00197EC9" w:rsidRDefault="00197EC9" w:rsidP="00197EC9">
      <w:pPr>
        <w:pStyle w:val="StandardWeb"/>
      </w:pPr>
      <w:r>
        <w:t xml:space="preserve">Abschnitt </w:t>
      </w:r>
      <w:r>
        <w:rPr>
          <w:rStyle w:val="Fett"/>
        </w:rPr>
        <w:t>3.3.46 ist auch an dieser Stelle noch nicht vollständig abgeschlossen</w:t>
      </w:r>
      <w:r>
        <w:t>.</w:t>
      </w:r>
    </w:p>
    <w:p w:rsidR="00197EC9" w:rsidRDefault="00197EC9" w:rsidP="00197EC9">
      <w:pPr>
        <w:pStyle w:val="StandardWeb"/>
      </w:pPr>
      <w:r>
        <w:t>Die Skalierungsarchitektur enthält nun einfache, mehrparametrige und anisotrope Skalierungen, Homogenitätsgewichte, dimensionslose Strukturen, Normalisierung, eine ausdrücklich rein mathematisch definierte Renormierung, skalenabhängige Operatoren, approximative Skaleninvarianz sowie differenzierbare Skalierungsflüsse und deren Generatoren.</w:t>
      </w:r>
    </w:p>
    <w:p w:rsidR="00197EC9" w:rsidRDefault="00197EC9" w:rsidP="00197EC9">
      <w:pPr>
        <w:pStyle w:val="StandardWeb"/>
      </w:pPr>
      <w:r>
        <w:t>Vor der endgültigen Statusmatrix muss ich noch drei Punkte systematisch untersuchen:</w:t>
      </w:r>
    </w:p>
    <w:p w:rsidR="00197EC9" w:rsidRDefault="00197EC9" w:rsidP="00197EC9">
      <w:pPr>
        <w:pStyle w:val="StandardWeb"/>
      </w:pPr>
      <w:r>
        <w:t>[</w:t>
      </w:r>
      <w:r>
        <w:br/>
        <w:t>\text{Skalenkompatibilität mit Übergängen},</w:t>
      </w:r>
      <w:r>
        <w:br/>
        <w:t>\qquad</w:t>
      </w:r>
      <w:r>
        <w:br/>
        <w:t>\text{Skalenkompatibilität mit Kohärenz},</w:t>
      </w:r>
      <w:r>
        <w:br/>
        <w:t>\qquad</w:t>
      </w:r>
      <w:r>
        <w:br/>
        <w:t>\text{Skalenkompatibilität mit den bisherigen FRZK-Operatoren}.</w:t>
      </w:r>
      <w:r>
        <w:br/>
        <w:t>\tag{3.11135}</w:t>
      </w:r>
      <w:r>
        <w:br/>
        <w:t>]</w:t>
      </w:r>
    </w:p>
    <w:p w:rsidR="00197EC9" w:rsidRDefault="00197EC9" w:rsidP="00197EC9">
      <w:pPr>
        <w:pStyle w:val="StandardWeb"/>
      </w:pPr>
      <w:r>
        <w:rPr>
          <w:rStyle w:val="Fett"/>
        </w:rPr>
        <w:lastRenderedPageBreak/>
        <w:t>Word-LaTeX</w:t>
      </w:r>
    </w:p>
    <w:p w:rsidR="00197EC9" w:rsidRDefault="00197EC9" w:rsidP="00197EC9">
      <w:pPr>
        <w:pStyle w:val="HTMLVorformatiert"/>
        <w:rPr>
          <w:rStyle w:val="HTMLCode"/>
        </w:rPr>
      </w:pPr>
      <w:r>
        <w:rPr>
          <w:rStyle w:val="HTMLCode"/>
        </w:rPr>
        <w:t>\text{Skalenkompatibilität mit Übergängen},\qquad\text{Skalenkompatibilität mit Kohärenz},\qquad\text{Skalenkompatibilität mit den bisherigen FRZK-Operatoren}</w:t>
      </w:r>
    </w:p>
    <w:p w:rsidR="00197EC9" w:rsidRDefault="00197EC9" w:rsidP="00197EC9">
      <w:pPr>
        <w:pStyle w:val="StandardWeb"/>
      </w:pPr>
      <w:r>
        <w:t>Erst danach kann entschieden werden, welche Teile der Skalierungsarchitektur lediglich mathematische Zusatzwerkzeuge sind und welche davon in späteren FRZK-Modellklassen tatsächlich strukturell relevant werden.</w:t>
      </w:r>
    </w:p>
    <w:p w:rsidR="00197EC9" w:rsidRDefault="00197EC9" w:rsidP="00197EC9">
      <w:pPr>
        <w:pStyle w:val="StandardWeb"/>
      </w:pPr>
      <w:r>
        <w:t xml:space="preserve">Der nächste Teil beginnt daher bei </w:t>
      </w:r>
      <w:r>
        <w:rPr>
          <w:rStyle w:val="Fett"/>
        </w:rPr>
        <w:t>3.3.46.213 / Gleichung (3.11136)</w:t>
      </w:r>
      <w:r>
        <w:t xml:space="preserve"> mit der </w:t>
      </w:r>
      <w:r>
        <w:rPr>
          <w:rStyle w:val="Fett"/>
        </w:rPr>
        <w:t>Skalenverträglichkeit der funktionalen Übergangsrelation und der funktionalen Kohärenz</w:t>
      </w:r>
      <w:r>
        <w:t>.</w:t>
      </w:r>
    </w:p>
    <w:p w:rsidR="00453A3F" w:rsidRDefault="00453A3F" w:rsidP="00453A3F">
      <w:pPr>
        <w:pStyle w:val="berschrift1"/>
        <w:rPr>
          <w:rFonts w:cs="Times New Roman"/>
          <w:sz w:val="48"/>
          <w:szCs w:val="48"/>
        </w:rPr>
      </w:pPr>
      <w:r>
        <w:t>3.3.46.213 Skalenverträglichkeit der funktionalen Übergangsrelation</w:t>
      </w:r>
    </w:p>
    <w:p w:rsidR="00453A3F" w:rsidRDefault="00453A3F" w:rsidP="00453A3F">
      <w:pPr>
        <w:pStyle w:val="StandardWeb"/>
      </w:pPr>
      <w:r>
        <w:t>Nachdem ich die Skalierungsarchitektur selbst entwickelt habe, muss ich nun prüfen, ob und unter welchen Bedingungen eine Skalierung mit der bereits eingeführten funktionalen Übergangsrelation verträglich ist. Die zentrale Frage lautet dabei, ob ein zulässiger Übergang auch nach Anwendung einer Skalierung zulässig bleibt.</w:t>
      </w:r>
    </w:p>
    <w:p w:rsidR="00453A3F" w:rsidRDefault="00453A3F" w:rsidP="00453A3F">
      <w:pPr>
        <w:pStyle w:val="StandardWeb"/>
      </w:pPr>
      <w:r>
        <w:t>Ausgangspunkt ist ein Übergang</w:t>
      </w:r>
    </w:p>
    <w:p w:rsidR="00453A3F" w:rsidRDefault="00453A3F" w:rsidP="00453A3F">
      <w:pPr>
        <w:pStyle w:val="StandardWeb"/>
      </w:pPr>
      <w:r>
        <w:t>[</w:t>
      </w:r>
      <w:r>
        <w:br/>
        <w:t>(z_i,z_j)\in\mathcal T_F.</w:t>
      </w:r>
      <w:r>
        <w:br/>
        <w:t>\tag{3.11136}</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(z_i,z_j)\in\mathcal T_F</w:t>
      </w:r>
    </w:p>
    <w:p w:rsidR="00453A3F" w:rsidRDefault="00453A3F" w:rsidP="00453A3F">
      <w:pPr>
        <w:pStyle w:val="StandardWeb"/>
      </w:pPr>
      <w:r>
        <w:t>Eine Skalierung bildet beide Zustände auf</w:t>
      </w:r>
    </w:p>
    <w:p w:rsidR="00453A3F" w:rsidRDefault="00453A3F" w:rsidP="00453A3F">
      <w:pPr>
        <w:pStyle w:val="StandardWeb"/>
      </w:pPr>
      <w:r>
        <w:t>[</w:t>
      </w:r>
      <w:r>
        <w:br/>
        <w:t>S_\lambda z_i,</w:t>
      </w:r>
      <w:r>
        <w:br/>
        <w:t>\qquad</w:t>
      </w:r>
      <w:r>
        <w:br/>
        <w:t>S_\lambda z_j</w:t>
      </w:r>
      <w:r>
        <w:br/>
        <w:t>\tag{3.11137}</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S_\lambda z_i,\qquad S_\lambda z_j</w:t>
      </w:r>
    </w:p>
    <w:p w:rsidR="00453A3F" w:rsidRDefault="00453A3F" w:rsidP="00453A3F">
      <w:pPr>
        <w:pStyle w:val="StandardWeb"/>
      </w:pPr>
      <w:r>
        <w:t>ab.</w:t>
      </w:r>
    </w:p>
    <w:p w:rsidR="00453A3F" w:rsidRDefault="00453A3F" w:rsidP="00453A3F">
      <w:pPr>
        <w:pStyle w:val="StandardWeb"/>
      </w:pPr>
      <w:r>
        <w:t>Die Zulässigkeit des transformierten Übergangs ist jedoch zunächst nicht garantiert.</w:t>
      </w:r>
    </w:p>
    <w:p w:rsidR="00453A3F" w:rsidRDefault="00E50336" w:rsidP="00453A3F">
      <w:r>
        <w:lastRenderedPageBreak/>
        <w:pict>
          <v:rect id="_x0000_i3730" style="width:0;height:1.5pt" o:hralign="center" o:hrstd="t" o:hr="t" fillcolor="#a0a0a0" stroked="f"/>
        </w:pict>
      </w:r>
    </w:p>
    <w:p w:rsidR="00453A3F" w:rsidRDefault="00453A3F" w:rsidP="00453A3F">
      <w:pPr>
        <w:pStyle w:val="berschrift1"/>
      </w:pPr>
      <w:r>
        <w:t>3.3.46.214 Übergangserhaltende Skalierung</w:t>
      </w:r>
    </w:p>
    <w:p w:rsidR="00453A3F" w:rsidRDefault="00453A3F" w:rsidP="00453A3F">
      <w:pPr>
        <w:pStyle w:val="StandardWeb"/>
      </w:pPr>
      <w:r>
        <w:t>Eine besonders starke Verträglichkeitsbedingung lautet</w:t>
      </w:r>
    </w:p>
    <w:p w:rsidR="00453A3F" w:rsidRDefault="00453A3F" w:rsidP="00453A3F">
      <w:pPr>
        <w:pStyle w:val="StandardWeb"/>
      </w:pPr>
      <w:r>
        <w:t>[</w:t>
      </w:r>
      <w:r>
        <w:br/>
        <w:t>(z_i,z_j)\in\mathcal T_F</w:t>
      </w:r>
      <w:r>
        <w:br/>
        <w:t>\Rightarrow</w:t>
      </w:r>
      <w:r>
        <w:br/>
        <w:t>(S_\lambda z_i,S_\lambda z_j)\in\mathcal T_F.</w:t>
      </w:r>
      <w:r>
        <w:br/>
        <w:t>\tag{3.11138}</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(z_i,z_j)\in\mathcal T_F\Rightarrow(S_\lambda z_i,S_\lambda z_j)\in\mathcal T_F</w:t>
      </w:r>
    </w:p>
    <w:p w:rsidR="00453A3F" w:rsidRDefault="00453A3F" w:rsidP="00453A3F">
      <w:pPr>
        <w:pStyle w:val="StandardWeb"/>
      </w:pPr>
      <w:r>
        <w:t>Damit bleibt die Zulässigkeit jedes Übergangs unter der Skalierung erhalten.</w:t>
      </w:r>
    </w:p>
    <w:p w:rsidR="00453A3F" w:rsidRDefault="00E50336" w:rsidP="00453A3F">
      <w:r>
        <w:pict>
          <v:rect id="_x0000_i3731" style="width:0;height:1.5pt" o:hralign="center" o:hrstd="t" o:hr="t" fillcolor="#a0a0a0" stroked="f"/>
        </w:pict>
      </w:r>
    </w:p>
    <w:p w:rsidR="00453A3F" w:rsidRDefault="00453A3F" w:rsidP="00453A3F">
      <w:pPr>
        <w:pStyle w:val="berschrift1"/>
      </w:pPr>
      <w:r>
        <w:t>3.3.46.215 Definition 3.3.209 – Übergangserhaltende funktionale Skalierung</w:t>
      </w:r>
    </w:p>
    <w:p w:rsidR="00453A3F" w:rsidRDefault="00453A3F" w:rsidP="00453A3F">
      <w:pPr>
        <w:pStyle w:val="berschrift3"/>
      </w:pPr>
      <w:r>
        <w:t>Definition 3.3.209</w:t>
      </w:r>
    </w:p>
    <w:p w:rsidR="00453A3F" w:rsidRDefault="00453A3F" w:rsidP="00453A3F">
      <w:pPr>
        <w:pStyle w:val="StandardWeb"/>
      </w:pPr>
      <w:r>
        <w:t xml:space="preserve">Eine Skalierung (S_\lambda) heißt </w:t>
      </w:r>
      <w:r>
        <w:rPr>
          <w:rStyle w:val="Fett"/>
        </w:rPr>
        <w:t>übergangserhaltend</w:t>
      </w:r>
      <w:r>
        <w:t>, wenn</w:t>
      </w:r>
    </w:p>
    <w:p w:rsidR="00453A3F" w:rsidRDefault="00453A3F" w:rsidP="00453A3F">
      <w:pPr>
        <w:pStyle w:val="StandardWeb"/>
      </w:pPr>
      <w:r>
        <w:t>[</w:t>
      </w:r>
      <w:r>
        <w:br/>
        <w:t>\boxed{</w:t>
      </w:r>
      <w:r>
        <w:br/>
        <w:t>(z_i,z_j)\in\mathcal T_F</w:t>
      </w:r>
      <w:r>
        <w:br/>
        <w:t>\Rightarrow</w:t>
      </w:r>
      <w:r>
        <w:br/>
        <w:t>(S_\lambda z_i,S_\lambda z_j)\in\mathcal T_F</w:t>
      </w:r>
      <w:r>
        <w:br/>
        <w:t>}</w:t>
      </w:r>
      <w:r>
        <w:br/>
        <w:t>\tag{3.11139}</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\boxed{(z_i,z_j)\in\mathcal T_F\Rightarrow(S_\lambda z_i,S_\lambda z_j)\in\mathcal T_F}</w:t>
      </w:r>
    </w:p>
    <w:p w:rsidR="00453A3F" w:rsidRDefault="00453A3F" w:rsidP="00453A3F">
      <w:pPr>
        <w:pStyle w:val="StandardWeb"/>
      </w:pPr>
      <w:r>
        <w:t>für alle zulässigen Übergänge und alle betrachteten Skalierungsparameter gilt.</w:t>
      </w:r>
    </w:p>
    <w:p w:rsidR="00453A3F" w:rsidRDefault="00E50336" w:rsidP="00453A3F">
      <w:r>
        <w:pict>
          <v:rect id="_x0000_i3732" style="width:0;height:1.5pt" o:hralign="center" o:hrstd="t" o:hr="t" fillcolor="#a0a0a0" stroked="f"/>
        </w:pict>
      </w:r>
    </w:p>
    <w:p w:rsidR="00453A3F" w:rsidRDefault="00453A3F" w:rsidP="00453A3F">
      <w:pPr>
        <w:pStyle w:val="berschrift1"/>
      </w:pPr>
      <w:r>
        <w:t>3.3.46.216 Bidirektionale Übergangserhaltung</w:t>
      </w:r>
    </w:p>
    <w:p w:rsidR="00453A3F" w:rsidRDefault="00453A3F" w:rsidP="00453A3F">
      <w:pPr>
        <w:pStyle w:val="StandardWeb"/>
      </w:pPr>
      <w:r>
        <w:lastRenderedPageBreak/>
        <w:t>Ist (S_\lambda) invertierbar und sowohl (S_\lambda) als auch (S_\lambda^{-1}) übergangserhaltend, folgt die stärkere Beziehung</w:t>
      </w:r>
    </w:p>
    <w:p w:rsidR="00453A3F" w:rsidRDefault="00453A3F" w:rsidP="00453A3F">
      <w:pPr>
        <w:pStyle w:val="StandardWeb"/>
      </w:pPr>
      <w:r>
        <w:t>[</w:t>
      </w:r>
      <w:r>
        <w:br/>
        <w:t>(z_i,z_j)\in\mathcal T_F</w:t>
      </w:r>
      <w:r>
        <w:br/>
        <w:t>\Longleftrightarrow</w:t>
      </w:r>
      <w:r>
        <w:br/>
        <w:t>(S_\lambda z_i,S_\lambda z_j)\in\mathcal T_F.</w:t>
      </w:r>
      <w:r>
        <w:br/>
        <w:t>\tag{3.11140}</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(z_i,z_j)\in\mathcal T_F\Longleftrightarrow(S_\lambda z_i,S_\lambda z_j)\in\mathcal T_F</w:t>
      </w:r>
    </w:p>
    <w:p w:rsidR="00453A3F" w:rsidRDefault="00453A3F" w:rsidP="00453A3F">
      <w:pPr>
        <w:pStyle w:val="StandardWeb"/>
      </w:pPr>
      <w:r>
        <w:t>Damit ist die Übergangsstruktur unter der Skalierung exakt erhalten.</w:t>
      </w:r>
    </w:p>
    <w:p w:rsidR="00453A3F" w:rsidRDefault="00E50336" w:rsidP="00453A3F">
      <w:r>
        <w:pict>
          <v:rect id="_x0000_i3733" style="width:0;height:1.5pt" o:hralign="center" o:hrstd="t" o:hr="t" fillcolor="#a0a0a0" stroked="f"/>
        </w:pict>
      </w:r>
    </w:p>
    <w:p w:rsidR="00453A3F" w:rsidRDefault="00453A3F" w:rsidP="00453A3F">
      <w:pPr>
        <w:pStyle w:val="berschrift1"/>
      </w:pPr>
      <w:r>
        <w:t>3.3.46.217 Definition 3.3.210 – Übergangsstrukturerhaltende Skalierung</w:t>
      </w:r>
    </w:p>
    <w:p w:rsidR="00453A3F" w:rsidRDefault="00453A3F" w:rsidP="00453A3F">
      <w:pPr>
        <w:pStyle w:val="berschrift3"/>
      </w:pPr>
      <w:r>
        <w:t>Definition 3.3.210</w:t>
      </w:r>
    </w:p>
    <w:p w:rsidR="00453A3F" w:rsidRDefault="00453A3F" w:rsidP="00453A3F">
      <w:pPr>
        <w:pStyle w:val="StandardWeb"/>
      </w:pPr>
      <w:r>
        <w:t xml:space="preserve">Eine invertierbare Skalierung (S_\lambda) heißt </w:t>
      </w:r>
      <w:r>
        <w:rPr>
          <w:rStyle w:val="Fett"/>
        </w:rPr>
        <w:t>übergangsstrukturerhaltend</w:t>
      </w:r>
      <w:r>
        <w:t>, wenn</w:t>
      </w:r>
    </w:p>
    <w:p w:rsidR="00453A3F" w:rsidRDefault="00453A3F" w:rsidP="00453A3F">
      <w:pPr>
        <w:pStyle w:val="StandardWeb"/>
      </w:pPr>
      <w:r>
        <w:t>[</w:t>
      </w:r>
      <w:r>
        <w:br/>
        <w:t>\boxed{</w:t>
      </w:r>
      <w:r>
        <w:br/>
        <w:t>(z_i,z_j)\in\mathcal T_F</w:t>
      </w:r>
      <w:r>
        <w:br/>
        <w:t>\Longleftrightarrow</w:t>
      </w:r>
      <w:r>
        <w:br/>
        <w:t>(S_\lambda z_i,S_\lambda z_j)\in\mathcal T_F.</w:t>
      </w:r>
      <w:r>
        <w:br/>
        <w:t>}</w:t>
      </w:r>
      <w:r>
        <w:br/>
        <w:t>\tag{3.11141}</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\boxed{(z_i,z_j)\in\mathcal T_F\Longleftrightarrow(S_\lambda z_i,S_\lambda z_j)\in\mathcal T_F.}</w:t>
      </w:r>
    </w:p>
    <w:p w:rsidR="00453A3F" w:rsidRDefault="00453A3F" w:rsidP="00453A3F">
      <w:pPr>
        <w:pStyle w:val="StandardWeb"/>
      </w:pPr>
      <w:r>
        <w:t>Diese Bedingung ist stärker als die einseitige Übergangserhaltung.</w:t>
      </w:r>
    </w:p>
    <w:p w:rsidR="00453A3F" w:rsidRDefault="00E50336" w:rsidP="00453A3F">
      <w:r>
        <w:pict>
          <v:rect id="_x0000_i3734" style="width:0;height:1.5pt" o:hralign="center" o:hrstd="t" o:hr="t" fillcolor="#a0a0a0" stroked="f"/>
        </w:pict>
      </w:r>
    </w:p>
    <w:p w:rsidR="00453A3F" w:rsidRDefault="00453A3F" w:rsidP="00453A3F">
      <w:pPr>
        <w:pStyle w:val="berschrift1"/>
      </w:pPr>
      <w:r>
        <w:t>3.3.46.218 Übergangserhaltende Skalierungen als Automorphismen</w:t>
      </w:r>
    </w:p>
    <w:p w:rsidR="00453A3F" w:rsidRDefault="00453A3F" w:rsidP="00453A3F">
      <w:pPr>
        <w:pStyle w:val="StandardWeb"/>
      </w:pPr>
      <w:r>
        <w:t>Eine bijektive übergangsstrukturerhaltende Skalierung ist strukturell ein Automorphismus der gerichteten Übergangsrelation.</w:t>
      </w:r>
    </w:p>
    <w:p w:rsidR="00453A3F" w:rsidRDefault="00453A3F" w:rsidP="00453A3F">
      <w:pPr>
        <w:pStyle w:val="StandardWeb"/>
      </w:pPr>
      <w:r>
        <w:lastRenderedPageBreak/>
        <w:t>Damit gilt</w:t>
      </w:r>
    </w:p>
    <w:p w:rsidR="00453A3F" w:rsidRDefault="00453A3F" w:rsidP="00453A3F">
      <w:pPr>
        <w:pStyle w:val="StandardWeb"/>
      </w:pPr>
      <w:r>
        <w:t>[</w:t>
      </w:r>
      <w:r>
        <w:br/>
        <w:t>S_\lambda</w:t>
      </w:r>
      <w:r>
        <w:br/>
        <w:t>\in</w:t>
      </w:r>
      <w:r>
        <w:br/>
        <w:t>\operatorname{Aut}(\Omega_F,\mathcal T_F)</w:t>
      </w:r>
      <w:r>
        <w:br/>
        <w:t>\tag{3.11142}</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S_\lambda\in\operatorname{Aut}(\Omega_F,\mathcal T_F)</w:t>
      </w:r>
    </w:p>
    <w:p w:rsidR="00453A3F" w:rsidRDefault="00453A3F" w:rsidP="00453A3F">
      <w:pPr>
        <w:pStyle w:val="StandardWeb"/>
      </w:pPr>
      <w:r>
        <w:t>sofern die entsprechenden Voraussetzungen erfüllt sind.</w:t>
      </w:r>
    </w:p>
    <w:p w:rsidR="00453A3F" w:rsidRDefault="00E50336" w:rsidP="00453A3F">
      <w:r>
        <w:pict>
          <v:rect id="_x0000_i3735" style="width:0;height:1.5pt" o:hralign="center" o:hrstd="t" o:hr="t" fillcolor="#a0a0a0" stroked="f"/>
        </w:pict>
      </w:r>
    </w:p>
    <w:p w:rsidR="00453A3F" w:rsidRDefault="00453A3F" w:rsidP="00453A3F">
      <w:pPr>
        <w:pStyle w:val="berschrift1"/>
      </w:pPr>
      <w:r>
        <w:t>3.3.46.219 Satz 3.3.94 – Invertierbare übergangsstrukturerhaltende Skalierungen sind Übergangsautomorphismen</w:t>
      </w:r>
    </w:p>
    <w:p w:rsidR="00453A3F" w:rsidRDefault="00453A3F" w:rsidP="00453A3F">
      <w:pPr>
        <w:pStyle w:val="berschrift3"/>
      </w:pPr>
      <w:r>
        <w:t>Satz 3.3.94</w:t>
      </w:r>
    </w:p>
    <w:p w:rsidR="00453A3F" w:rsidRDefault="00453A3F" w:rsidP="00453A3F">
      <w:pPr>
        <w:pStyle w:val="StandardWeb"/>
      </w:pPr>
      <w:r>
        <w:t>Ist (S_\lambda:\Omega_F\rightarrow\Omega_F) bijektiv und gilt</w:t>
      </w:r>
    </w:p>
    <w:p w:rsidR="00453A3F" w:rsidRDefault="00453A3F" w:rsidP="00453A3F">
      <w:pPr>
        <w:pStyle w:val="StandardWeb"/>
      </w:pPr>
      <w:r>
        <w:t>[</w:t>
      </w:r>
      <w:r>
        <w:br/>
        <w:t>(z_i,z_j)\in\mathcal T_F</w:t>
      </w:r>
      <w:r>
        <w:br/>
        <w:t>\Longleftrightarrow</w:t>
      </w:r>
      <w:r>
        <w:br/>
        <w:t>(S_\lambda z_i,S_\lambda z_j)\in\mathcal T_F,</w:t>
      </w:r>
      <w:r>
        <w:br/>
        <w:t>\tag{3.11143}</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(z_i,z_j)\in\mathcal T_F\Longleftrightarrow(S_\lambda z_i,S_\lambda z_j)\in\mathcal T_F</w:t>
      </w:r>
    </w:p>
    <w:p w:rsidR="00453A3F" w:rsidRDefault="00453A3F" w:rsidP="00453A3F">
      <w:pPr>
        <w:pStyle w:val="StandardWeb"/>
      </w:pPr>
      <w:r>
        <w:t>dann ist (S_\lambda) ein Automorphismus der funktionalen Übergangsstruktur:</w:t>
      </w:r>
    </w:p>
    <w:p w:rsidR="00453A3F" w:rsidRDefault="00453A3F" w:rsidP="00453A3F">
      <w:pPr>
        <w:pStyle w:val="StandardWeb"/>
      </w:pPr>
      <w:r>
        <w:t>[</w:t>
      </w:r>
      <w:r>
        <w:br/>
        <w:t>\boxed{</w:t>
      </w:r>
      <w:r>
        <w:br/>
        <w:t>S_\lambda</w:t>
      </w:r>
      <w:r>
        <w:br/>
        <w:t>\in</w:t>
      </w:r>
      <w:r>
        <w:br/>
        <w:t>\operatorname{Aut}(\Omega_F,\mathcal T_F).</w:t>
      </w:r>
      <w:r>
        <w:br/>
        <w:t>}</w:t>
      </w:r>
      <w:r>
        <w:br/>
        <w:t>\tag{3.11144}</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lastRenderedPageBreak/>
        <w:t>\boxed{S_\lambda\in\operatorname{Aut}(\Omega_F,\mathcal T_F).}</w:t>
      </w:r>
    </w:p>
    <w:p w:rsidR="00453A3F" w:rsidRDefault="00453A3F" w:rsidP="00453A3F">
      <w:pPr>
        <w:pStyle w:val="berschrift3"/>
      </w:pPr>
      <w:r>
        <w:t>Beweis</w:t>
      </w:r>
    </w:p>
    <w:p w:rsidR="00453A3F" w:rsidRDefault="00453A3F" w:rsidP="00453A3F">
      <w:pPr>
        <w:pStyle w:val="StandardWeb"/>
      </w:pPr>
      <w:r>
        <w:t>Ein Automorphismus einer relationalen Struktur ist eine bijektive Selbstabbildung, welche die Relation in beide Richtungen erhält. Genau diese beiden Eigenschaften sind vorausgesetzt. Damit erfüllt (S_\lambda) die Automorphismusbedingung. (\square)</w:t>
      </w:r>
    </w:p>
    <w:p w:rsidR="00453A3F" w:rsidRDefault="00E50336" w:rsidP="00453A3F">
      <w:r>
        <w:pict>
          <v:rect id="_x0000_i3736" style="width:0;height:1.5pt" o:hralign="center" o:hrstd="t" o:hr="t" fillcolor="#a0a0a0" stroked="f"/>
        </w:pict>
      </w:r>
    </w:p>
    <w:p w:rsidR="00453A3F" w:rsidRDefault="00453A3F" w:rsidP="00453A3F">
      <w:pPr>
        <w:pStyle w:val="berschrift1"/>
      </w:pPr>
      <w:r>
        <w:t>3.3.46.220 Skalenverträglichkeit und Symmetrie</w:t>
      </w:r>
    </w:p>
    <w:p w:rsidR="00453A3F" w:rsidRDefault="00453A3F" w:rsidP="00453A3F">
      <w:pPr>
        <w:pStyle w:val="StandardWeb"/>
      </w:pPr>
      <w:r>
        <w:t>Damit zeigt sich eine strukturelle Verbindung zu Abschnitt 3.3.45.</w:t>
      </w:r>
    </w:p>
    <w:p w:rsidR="00453A3F" w:rsidRDefault="00453A3F" w:rsidP="00453A3F">
      <w:pPr>
        <w:pStyle w:val="StandardWeb"/>
      </w:pPr>
      <w:r>
        <w:t>Eine invertierbare übergangsstrukturerhaltende Skalierung ist zugleich eine funktionale Übergangssymmetrie:</w:t>
      </w:r>
    </w:p>
    <w:p w:rsidR="00453A3F" w:rsidRDefault="00453A3F" w:rsidP="00453A3F">
      <w:pPr>
        <w:pStyle w:val="StandardWeb"/>
      </w:pPr>
      <w:r>
        <w:t>[</w:t>
      </w:r>
      <w:r>
        <w:br/>
        <w:t>S_\lambda</w:t>
      </w:r>
      <w:r>
        <w:br/>
        <w:t>\in</w:t>
      </w:r>
      <w:r>
        <w:br/>
        <w:t>\mathfrak G_F.</w:t>
      </w:r>
      <w:r>
        <w:br/>
        <w:t>\tag{3.11145}</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S_\lambda\in\mathfrak G_F</w:t>
      </w:r>
    </w:p>
    <w:p w:rsidR="00453A3F" w:rsidRDefault="00453A3F" w:rsidP="00453A3F">
      <w:pPr>
        <w:pStyle w:val="StandardWeb"/>
      </w:pPr>
      <w:r>
        <w:t>Dies bedeutet jedoch nicht, dass jede funktionale Symmetrie eine Skalierung ist.</w:t>
      </w:r>
    </w:p>
    <w:p w:rsidR="00453A3F" w:rsidRDefault="00E50336" w:rsidP="00453A3F">
      <w:r>
        <w:pict>
          <v:rect id="_x0000_i3737" style="width:0;height:1.5pt" o:hralign="center" o:hrstd="t" o:hr="t" fillcolor="#a0a0a0" stroked="f"/>
        </w:pict>
      </w:r>
    </w:p>
    <w:p w:rsidR="00453A3F" w:rsidRDefault="00453A3F" w:rsidP="00453A3F">
      <w:pPr>
        <w:pStyle w:val="berschrift1"/>
      </w:pPr>
      <w:r>
        <w:t>3.3.46.221 Keine Umkehrung der Einbettung</w:t>
      </w:r>
    </w:p>
    <w:p w:rsidR="00453A3F" w:rsidRDefault="00453A3F" w:rsidP="00453A3F">
      <w:pPr>
        <w:pStyle w:val="StandardWeb"/>
      </w:pPr>
      <w:r>
        <w:t>Im Allgemeinen gilt lediglich</w:t>
      </w:r>
    </w:p>
    <w:p w:rsidR="00453A3F" w:rsidRDefault="00453A3F" w:rsidP="00453A3F">
      <w:pPr>
        <w:pStyle w:val="StandardWeb"/>
      </w:pPr>
      <w:r>
        <w:t>[</w:t>
      </w:r>
      <w:r>
        <w:br/>
        <w:t>\mathfrak G_{\mathrm{sc},T}</w:t>
      </w:r>
      <w:r>
        <w:br/>
        <w:t>\subseteq</w:t>
      </w:r>
      <w:r>
        <w:br/>
        <w:t>\mathfrak G_F,</w:t>
      </w:r>
      <w:r>
        <w:br/>
        <w:t>\tag{3.11146}</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\mathfrak G_{\mathrm{sc},T}\subseteq\mathfrak G_F</w:t>
      </w:r>
    </w:p>
    <w:p w:rsidR="00453A3F" w:rsidRDefault="00453A3F" w:rsidP="00453A3F">
      <w:pPr>
        <w:pStyle w:val="StandardWeb"/>
      </w:pPr>
      <w:r>
        <w:t>wobei (\mathfrak G_{\mathrm{sc},T}) die Menge der invertierbaren übergangsstrukturerhaltenden Skalierungen bezeichnet.</w:t>
      </w:r>
    </w:p>
    <w:p w:rsidR="00453A3F" w:rsidRDefault="00453A3F" w:rsidP="00453A3F">
      <w:pPr>
        <w:pStyle w:val="StandardWeb"/>
      </w:pPr>
      <w:r>
        <w:t>Nicht allgemein gilt</w:t>
      </w:r>
    </w:p>
    <w:p w:rsidR="00453A3F" w:rsidRDefault="00453A3F" w:rsidP="00453A3F">
      <w:pPr>
        <w:pStyle w:val="StandardWeb"/>
      </w:pPr>
      <w:r>
        <w:lastRenderedPageBreak/>
        <w:t>[</w:t>
      </w:r>
      <w:r>
        <w:br/>
        <w:t>\boxed{</w:t>
      </w:r>
      <w:r>
        <w:br/>
        <w:t>\mathfrak G_F</w:t>
      </w:r>
      <w:r>
        <w:br/>
        <w:t>\subseteq</w:t>
      </w:r>
      <w:r>
        <w:br/>
        <w:t>\mathfrak G_{\mathrm{sc},T}.</w:t>
      </w:r>
      <w:r>
        <w:br/>
        <w:t>}</w:t>
      </w:r>
      <w:r>
        <w:br/>
        <w:t>\tag{3.11147}</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\boxed{\mathfrak G_F\subseteq\mathfrak G_{\mathrm{sc},T}.}</w:t>
      </w:r>
    </w:p>
    <w:p w:rsidR="00453A3F" w:rsidRDefault="00453A3F" w:rsidP="00453A3F">
      <w:pPr>
        <w:pStyle w:val="StandardWeb"/>
      </w:pPr>
      <w:r>
        <w:t>Die dargestellte Inklusion ist im Allgemeinen falsch.</w:t>
      </w:r>
    </w:p>
    <w:p w:rsidR="00453A3F" w:rsidRDefault="00E50336" w:rsidP="00453A3F">
      <w:r>
        <w:pict>
          <v:rect id="_x0000_i3738" style="width:0;height:1.5pt" o:hralign="center" o:hrstd="t" o:hr="t" fillcolor="#a0a0a0" stroked="f"/>
        </w:pict>
      </w:r>
    </w:p>
    <w:p w:rsidR="00453A3F" w:rsidRDefault="00453A3F" w:rsidP="00453A3F">
      <w:pPr>
        <w:pStyle w:val="berschrift1"/>
      </w:pPr>
      <w:r>
        <w:t>3.3.46.222 Definition 3.3.211 – Übergangsskalierungsgruppe</w:t>
      </w:r>
    </w:p>
    <w:p w:rsidR="00453A3F" w:rsidRDefault="00453A3F" w:rsidP="00453A3F">
      <w:pPr>
        <w:pStyle w:val="berschrift3"/>
      </w:pPr>
      <w:r>
        <w:t>Definition 3.3.211</w:t>
      </w:r>
    </w:p>
    <w:p w:rsidR="00453A3F" w:rsidRDefault="00453A3F" w:rsidP="00453A3F">
      <w:pPr>
        <w:pStyle w:val="StandardWeb"/>
      </w:pPr>
      <w:r>
        <w:t xml:space="preserve">Die Menge aller invertierbaren Skalierungen, welche die funktionale Übergangsrelation exakt erhalten, definiere ich als </w:t>
      </w:r>
      <w:r>
        <w:rPr>
          <w:rStyle w:val="Fett"/>
        </w:rPr>
        <w:t>Übergangsskalierungsgruppe</w:t>
      </w:r>
    </w:p>
    <w:p w:rsidR="00453A3F" w:rsidRDefault="00453A3F" w:rsidP="00453A3F">
      <w:pPr>
        <w:pStyle w:val="StandardWeb"/>
      </w:pPr>
      <w:r>
        <w:t>[</w:t>
      </w:r>
      <w:r>
        <w:br/>
        <w:t>\boxed{</w:t>
      </w:r>
      <w:r>
        <w:br/>
        <w:t>\mathfrak G_{\mathrm{sc},T}</w:t>
      </w:r>
      <w:r>
        <w:br/>
        <w:t>:=</w:t>
      </w:r>
      <w:r>
        <w:br/>
        <w:t>\left{</w:t>
      </w:r>
      <w:r>
        <w:br/>
        <w:t>S_\lambda:</w:t>
      </w:r>
      <w:r>
        <w:br/>
        <w:t>(z_i,z_j)\in\mathcal T_F</w:t>
      </w:r>
      <w:r>
        <w:br/>
        <w:t>\Longleftrightarrow</w:t>
      </w:r>
      <w:r>
        <w:br/>
        <w:t>(S_\lambda z_i,S_\lambda z_j)\in\mathcal T_F</w:t>
      </w:r>
      <w:r>
        <w:br/>
        <w:t>\right}.</w:t>
      </w:r>
      <w:r>
        <w:br/>
        <w:t>}</w:t>
      </w:r>
      <w:r>
        <w:br/>
        <w:t>\tag{3.11148}</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\boxed{\mathfrak G_{\mathrm{sc},T}:=\left\{S_\lambda:(z_i,z_j)\in\mathcal T_F\Longleftrightarrow(S_\lambda z_i,S_\lambda z_j)\in\mathcal T_F\right\}.}</w:t>
      </w:r>
    </w:p>
    <w:p w:rsidR="00453A3F" w:rsidRDefault="00E50336" w:rsidP="00453A3F">
      <w:r>
        <w:pict>
          <v:rect id="_x0000_i3739" style="width:0;height:1.5pt" o:hralign="center" o:hrstd="t" o:hr="t" fillcolor="#a0a0a0" stroked="f"/>
        </w:pict>
      </w:r>
    </w:p>
    <w:p w:rsidR="00453A3F" w:rsidRDefault="00453A3F" w:rsidP="00453A3F">
      <w:pPr>
        <w:pStyle w:val="berschrift1"/>
      </w:pPr>
      <w:r>
        <w:t>3.3.46.223 Abschluss unter Komposition</w:t>
      </w:r>
    </w:p>
    <w:p w:rsidR="00453A3F" w:rsidRDefault="00453A3F" w:rsidP="00453A3F">
      <w:pPr>
        <w:pStyle w:val="StandardWeb"/>
      </w:pPr>
      <w:r>
        <w:t>Sind (S_{\lambda_1}) und (S_{\lambda_2}) übergangsstrukturerhaltend, dann ist auch ihre Komposition übergangsstrukturerhaltend.</w:t>
      </w:r>
    </w:p>
    <w:p w:rsidR="00453A3F" w:rsidRDefault="00453A3F" w:rsidP="00453A3F">
      <w:pPr>
        <w:pStyle w:val="StandardWeb"/>
      </w:pPr>
      <w:r>
        <w:lastRenderedPageBreak/>
        <w:t>Aus</w:t>
      </w:r>
    </w:p>
    <w:p w:rsidR="00453A3F" w:rsidRDefault="00453A3F" w:rsidP="00453A3F">
      <w:pPr>
        <w:pStyle w:val="StandardWeb"/>
      </w:pPr>
      <w:r>
        <w:t>[</w:t>
      </w:r>
      <w:r>
        <w:br/>
        <w:t>(z_i,z_j)\in\mathcal T_F</w:t>
      </w:r>
      <w:r>
        <w:br/>
        <w:t>\tag{3.11149}</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(z_i,z_j)\in\mathcal T_F</w:t>
      </w:r>
    </w:p>
    <w:p w:rsidR="00453A3F" w:rsidRDefault="00453A3F" w:rsidP="00453A3F">
      <w:pPr>
        <w:pStyle w:val="StandardWeb"/>
      </w:pPr>
      <w:r>
        <w:t>folgt zunächst</w:t>
      </w:r>
    </w:p>
    <w:p w:rsidR="00453A3F" w:rsidRDefault="00453A3F" w:rsidP="00453A3F">
      <w:pPr>
        <w:pStyle w:val="StandardWeb"/>
      </w:pPr>
      <w:r>
        <w:t>[</w:t>
      </w:r>
      <w:r>
        <w:br/>
        <w:t>(S_{\lambda_2}z_i,S_{\lambda_2}z_j)\in\mathcal T_F</w:t>
      </w:r>
      <w:r>
        <w:br/>
        <w:t>\tag{3.11150}</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(S_{\lambda_2}z_i,S_{\lambda_2}z_j)\in\mathcal T_F</w:t>
      </w:r>
    </w:p>
    <w:p w:rsidR="00453A3F" w:rsidRDefault="00453A3F" w:rsidP="00453A3F">
      <w:pPr>
        <w:pStyle w:val="StandardWeb"/>
      </w:pPr>
      <w:r>
        <w:t>und anschließend</w:t>
      </w:r>
    </w:p>
    <w:p w:rsidR="00453A3F" w:rsidRDefault="00453A3F" w:rsidP="00453A3F">
      <w:pPr>
        <w:pStyle w:val="StandardWeb"/>
      </w:pPr>
      <w:r>
        <w:t>[</w:t>
      </w:r>
      <w:r>
        <w:br/>
        <w:t>(S_{\lambda_1}S_{\lambda_2}z_i,</w:t>
      </w:r>
      <w:r>
        <w:br/>
        <w:t>S_{\lambda_1}S_{\lambda_2}z_j)</w:t>
      </w:r>
      <w:r>
        <w:br/>
        <w:t>\in</w:t>
      </w:r>
      <w:r>
        <w:br/>
        <w:t>\mathcal T_F.</w:t>
      </w:r>
      <w:r>
        <w:br/>
        <w:t>\tag{3.11151}</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(S_{\lambda_1}S_{\lambda_2}z_i,S_{\lambda_1}S_{\lambda_2}z_j)\in\mathcal T_F</w:t>
      </w:r>
    </w:p>
    <w:p w:rsidR="00453A3F" w:rsidRDefault="00E50336" w:rsidP="00453A3F">
      <w:r>
        <w:pict>
          <v:rect id="_x0000_i3740" style="width:0;height:1.5pt" o:hralign="center" o:hrstd="t" o:hr="t" fillcolor="#a0a0a0" stroked="f"/>
        </w:pict>
      </w:r>
    </w:p>
    <w:p w:rsidR="00453A3F" w:rsidRDefault="00453A3F" w:rsidP="00453A3F">
      <w:pPr>
        <w:pStyle w:val="berschrift1"/>
      </w:pPr>
      <w:r>
        <w:t>3.3.46.224 Satz 3.3.95 – Gruppenabschluss übergangsstrukturerhaltender Skalierungen</w:t>
      </w:r>
    </w:p>
    <w:p w:rsidR="00453A3F" w:rsidRDefault="00453A3F" w:rsidP="00453A3F">
      <w:pPr>
        <w:pStyle w:val="berschrift3"/>
      </w:pPr>
      <w:r>
        <w:t>Satz 3.3.95</w:t>
      </w:r>
    </w:p>
    <w:p w:rsidR="00453A3F" w:rsidRDefault="00453A3F" w:rsidP="00453A3F">
      <w:pPr>
        <w:pStyle w:val="StandardWeb"/>
      </w:pPr>
      <w:r>
        <w:t>Sind die Skalierungsabbildungen invertierbar und unter Komposition geschlossen, dann bildet die Menge der übergangsstrukturerhaltenden Skalierungen eine Untergruppe der funktionalen Symmetriegruppe:</w:t>
      </w:r>
    </w:p>
    <w:p w:rsidR="00453A3F" w:rsidRDefault="00453A3F" w:rsidP="00453A3F">
      <w:pPr>
        <w:pStyle w:val="StandardWeb"/>
      </w:pPr>
      <w:r>
        <w:t>[</w:t>
      </w:r>
      <w:r>
        <w:br/>
        <w:t>\boxed{</w:t>
      </w:r>
      <w:r>
        <w:br/>
        <w:t>\mathfrak G_{\mathrm{sc},T}</w:t>
      </w:r>
      <w:r>
        <w:br/>
      </w:r>
      <w:r>
        <w:lastRenderedPageBreak/>
        <w:t>\leq</w:t>
      </w:r>
      <w:r>
        <w:br/>
        <w:t>\mathfrak G_F.</w:t>
      </w:r>
      <w:r>
        <w:br/>
        <w:t>}</w:t>
      </w:r>
      <w:r>
        <w:br/>
        <w:t>\tag{3.11152}</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\boxed{\mathfrak G_{\mathrm{sc},T}\leq\mathfrak G_F.}</w:t>
      </w:r>
    </w:p>
    <w:p w:rsidR="00453A3F" w:rsidRDefault="00453A3F" w:rsidP="00453A3F">
      <w:pPr>
        <w:pStyle w:val="berschrift3"/>
      </w:pPr>
      <w:r>
        <w:t>Beweis</w:t>
      </w:r>
    </w:p>
    <w:p w:rsidR="00453A3F" w:rsidRDefault="00453A3F" w:rsidP="00453A3F">
      <w:pPr>
        <w:pStyle w:val="StandardWeb"/>
      </w:pPr>
      <w:r>
        <w:t>Die Identität erhält die Übergangsrelation. Die Komposition zweier übergangsstrukturerhaltender Skalierungen erhält die Relation ebenfalls. Wegen der bidirektionalen Erhaltungsbedingung besitzt jedes Element innerhalb der betrachteten Skalierungsgruppe ein ebenfalls relationserhaltendes Inverses. Damit sind die Untergruppenkriterien erfüllt. (\square)</w:t>
      </w:r>
    </w:p>
    <w:p w:rsidR="00453A3F" w:rsidRDefault="00E50336" w:rsidP="00453A3F">
      <w:r>
        <w:pict>
          <v:rect id="_x0000_i3741" style="width:0;height:1.5pt" o:hralign="center" o:hrstd="t" o:hr="t" fillcolor="#a0a0a0" stroked="f"/>
        </w:pict>
      </w:r>
    </w:p>
    <w:p w:rsidR="00453A3F" w:rsidRDefault="00453A3F" w:rsidP="00453A3F">
      <w:pPr>
        <w:pStyle w:val="berschrift1"/>
      </w:pPr>
      <w:r>
        <w:t>3.3.46.225 Übergangskompatibilität ist modellabhängig</w:t>
      </w:r>
    </w:p>
    <w:p w:rsidR="00453A3F" w:rsidRDefault="00453A3F" w:rsidP="00453A3F">
      <w:pPr>
        <w:pStyle w:val="StandardWeb"/>
      </w:pPr>
      <w:r>
        <w:t>Die allgemeine FRZK-Struktur verlangt nicht, dass Skalierungen überhaupt definiert sind. Noch weniger verlangt sie, dass diese Skalierungen die Übergangsrelation erhalten.</w:t>
      </w:r>
    </w:p>
    <w:p w:rsidR="00453A3F" w:rsidRDefault="00453A3F" w:rsidP="00453A3F">
      <w:pPr>
        <w:pStyle w:val="StandardWeb"/>
      </w:pPr>
      <w:r>
        <w:t>Daher gilt</w:t>
      </w:r>
    </w:p>
    <w:p w:rsidR="00453A3F" w:rsidRDefault="00453A3F" w:rsidP="00453A3F">
      <w:pPr>
        <w:pStyle w:val="berschrift1"/>
      </w:pPr>
      <w:r>
        <w:t>[</w:t>
      </w:r>
      <w:r>
        <w:br/>
        <w:t>\boxed{</w:t>
      </w:r>
      <w:r>
        <w:br/>
        <w:t>\operatorname{Stat}</w:t>
      </w:r>
      <w:r>
        <w:br/>
        <w:t>(\mathfrak G_{\mathrm{sc},T})</w:t>
      </w:r>
    </w:p>
    <w:p w:rsidR="00453A3F" w:rsidRDefault="00453A3F" w:rsidP="00453A3F">
      <w:pPr>
        <w:pStyle w:val="StandardWeb"/>
      </w:pPr>
      <w:r>
        <w:t>\mathrm{Def/Mod}.</w:t>
      </w:r>
      <w:r>
        <w:br/>
        <w:t>}</w:t>
      </w:r>
      <w:r>
        <w:br/>
        <w:t>\tag{3.11153}</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\boxed{\operatorname{Stat}(\mathfrak G_{\mathrm{sc},T})=\mathrm{Def/Mod}.}</w:t>
      </w:r>
    </w:p>
    <w:p w:rsidR="00453A3F" w:rsidRDefault="00E50336" w:rsidP="00453A3F">
      <w:r>
        <w:pict>
          <v:rect id="_x0000_i3742" style="width:0;height:1.5pt" o:hralign="center" o:hrstd="t" o:hr="t" fillcolor="#a0a0a0" stroked="f"/>
        </w:pict>
      </w:r>
    </w:p>
    <w:p w:rsidR="00453A3F" w:rsidRDefault="00453A3F" w:rsidP="00453A3F">
      <w:pPr>
        <w:pStyle w:val="berschrift1"/>
      </w:pPr>
      <w:r>
        <w:t>3.3.46.226 Skalenverträglichkeit funktionaler Kohärenz</w:t>
      </w:r>
    </w:p>
    <w:p w:rsidR="00453A3F" w:rsidRDefault="00453A3F" w:rsidP="00453A3F">
      <w:pPr>
        <w:pStyle w:val="StandardWeb"/>
      </w:pPr>
      <w:r>
        <w:lastRenderedPageBreak/>
        <w:t>Im nächsten Schritt prüfe ich die funktionale Kohärenz.</w:t>
      </w:r>
    </w:p>
    <w:p w:rsidR="00453A3F" w:rsidRDefault="00453A3F" w:rsidP="00453A3F">
      <w:pPr>
        <w:pStyle w:val="StandardWeb"/>
      </w:pPr>
      <w:r>
        <w:t>Sei</w:t>
      </w:r>
    </w:p>
    <w:p w:rsidR="00453A3F" w:rsidRDefault="00453A3F" w:rsidP="00453A3F">
      <w:pPr>
        <w:pStyle w:val="StandardWeb"/>
      </w:pPr>
      <w:r>
        <w:t>[</w:t>
      </w:r>
      <w:r>
        <w:br/>
        <w:t>C_F(z)</w:t>
      </w:r>
      <w:r>
        <w:br/>
        <w:t>\tag{3.11154}</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C_F(z)</w:t>
      </w:r>
    </w:p>
    <w:p w:rsidR="00453A3F" w:rsidRDefault="00453A3F" w:rsidP="00453A3F">
      <w:pPr>
        <w:pStyle w:val="StandardWeb"/>
      </w:pPr>
      <w:r>
        <w:t>eine bereits definierte zustandsbezogene Kohärenzgröße.</w:t>
      </w:r>
    </w:p>
    <w:p w:rsidR="00453A3F" w:rsidRDefault="00453A3F" w:rsidP="00453A3F">
      <w:pPr>
        <w:pStyle w:val="StandardWeb"/>
      </w:pPr>
      <w:r>
        <w:t>Unter einer Skalierung entsteht</w:t>
      </w:r>
    </w:p>
    <w:p w:rsidR="00453A3F" w:rsidRDefault="00453A3F" w:rsidP="00453A3F">
      <w:pPr>
        <w:pStyle w:val="StandardWeb"/>
      </w:pPr>
      <w:r>
        <w:t>[</w:t>
      </w:r>
      <w:r>
        <w:br/>
        <w:t>C_F(S_\lambda z).</w:t>
      </w:r>
      <w:r>
        <w:br/>
        <w:t>\tag{3.11155}</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w:t>
      </w:r>
    </w:p>
    <w:p w:rsidR="00453A3F" w:rsidRDefault="00453A3F" w:rsidP="00453A3F">
      <w:pPr>
        <w:pStyle w:val="StandardWeb"/>
      </w:pPr>
      <w:r>
        <w:t>Es ist zunächst offen, wie dieser Wert mit (C_F(z)) zusammenhängt.</w:t>
      </w:r>
    </w:p>
    <w:p w:rsidR="00453A3F" w:rsidRDefault="00E50336" w:rsidP="00453A3F">
      <w:r>
        <w:pict>
          <v:rect id="_x0000_i3743" style="width:0;height:1.5pt" o:hralign="center" o:hrstd="t" o:hr="t" fillcolor="#a0a0a0" stroked="f"/>
        </w:pict>
      </w:r>
    </w:p>
    <w:p w:rsidR="00453A3F" w:rsidRDefault="00453A3F" w:rsidP="00453A3F">
      <w:pPr>
        <w:pStyle w:val="berschrift1"/>
      </w:pPr>
      <w:r>
        <w:t>3.3.46.227 Kohärenzerhaltende Skalierung</w:t>
      </w:r>
    </w:p>
    <w:p w:rsidR="00453A3F" w:rsidRDefault="00453A3F" w:rsidP="00453A3F">
      <w:pPr>
        <w:pStyle w:val="StandardWeb"/>
      </w:pPr>
      <w:r>
        <w:t>Die stärkste natürliche Bedingung lautet</w:t>
      </w:r>
    </w:p>
    <w:p w:rsidR="00453A3F" w:rsidRDefault="00453A3F" w:rsidP="00453A3F">
      <w:pPr>
        <w:pStyle w:val="berschrift1"/>
      </w:pPr>
      <w:r>
        <w:t>[</w:t>
      </w:r>
      <w:r>
        <w:br/>
        <w:t>C_F(S_\lambda z)</w:t>
      </w:r>
    </w:p>
    <w:p w:rsidR="00453A3F" w:rsidRDefault="00453A3F" w:rsidP="00453A3F">
      <w:pPr>
        <w:pStyle w:val="StandardWeb"/>
      </w:pPr>
      <w:r>
        <w:t>C_F(z).</w:t>
      </w:r>
      <w:r>
        <w:br/>
        <w:t>\tag{3.11156}</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z)=C_F(z)</w:t>
      </w:r>
    </w:p>
    <w:p w:rsidR="00453A3F" w:rsidRDefault="00E50336" w:rsidP="00453A3F">
      <w:r>
        <w:pict>
          <v:rect id="_x0000_i3744" style="width:0;height:1.5pt" o:hralign="center" o:hrstd="t" o:hr="t" fillcolor="#a0a0a0" stroked="f"/>
        </w:pict>
      </w:r>
    </w:p>
    <w:p w:rsidR="00453A3F" w:rsidRDefault="00453A3F" w:rsidP="00453A3F">
      <w:pPr>
        <w:pStyle w:val="berschrift1"/>
      </w:pPr>
      <w:r>
        <w:t>3.3.46.228 Definition 3.3.212 – Kohärenzerhaltende funktionale Skalierung</w:t>
      </w:r>
    </w:p>
    <w:p w:rsidR="00453A3F" w:rsidRDefault="00453A3F" w:rsidP="00453A3F">
      <w:pPr>
        <w:pStyle w:val="berschrift3"/>
      </w:pPr>
      <w:r>
        <w:lastRenderedPageBreak/>
        <w:t>Definition 3.3.212</w:t>
      </w:r>
    </w:p>
    <w:p w:rsidR="00453A3F" w:rsidRDefault="00453A3F" w:rsidP="00453A3F">
      <w:pPr>
        <w:pStyle w:val="StandardWeb"/>
      </w:pPr>
      <w:r>
        <w:t xml:space="preserve">Eine Skalierung (S_\lambda) heißt </w:t>
      </w:r>
      <w:r>
        <w:rPr>
          <w:rStyle w:val="Fett"/>
        </w:rPr>
        <w:t>kohärenzerhaltend</w:t>
      </w:r>
      <w:r>
        <w:t>, wenn</w:t>
      </w:r>
    </w:p>
    <w:p w:rsidR="00453A3F" w:rsidRDefault="00453A3F" w:rsidP="00453A3F">
      <w:pPr>
        <w:pStyle w:val="berschrift1"/>
      </w:pPr>
      <w:r>
        <w:t>[</w:t>
      </w:r>
      <w:r>
        <w:br/>
        <w:t>\boxed{</w:t>
      </w:r>
      <w:r>
        <w:br/>
        <w:t>C_F(S_\lambda z)</w:t>
      </w:r>
    </w:p>
    <w:p w:rsidR="00453A3F" w:rsidRDefault="00453A3F" w:rsidP="00453A3F">
      <w:pPr>
        <w:pStyle w:val="StandardWeb"/>
      </w:pPr>
      <w:r>
        <w:t>C_F(z)</w:t>
      </w:r>
      <w:r>
        <w:br/>
        <w:t>}</w:t>
      </w:r>
      <w:r>
        <w:br/>
        <w:t>\tag{3.11157}</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\boxed{C_F(S_\lambda z)=C_F(z)}</w:t>
      </w:r>
    </w:p>
    <w:p w:rsidR="00453A3F" w:rsidRDefault="00453A3F" w:rsidP="00453A3F">
      <w:pPr>
        <w:pStyle w:val="StandardWeb"/>
      </w:pPr>
      <w:r>
        <w:t>für alle betrachteten Zustände und Skalierungsparameter gilt.</w:t>
      </w:r>
    </w:p>
    <w:p w:rsidR="00453A3F" w:rsidRDefault="00E50336" w:rsidP="00453A3F">
      <w:r>
        <w:pict>
          <v:rect id="_x0000_i3745" style="width:0;height:1.5pt" o:hralign="center" o:hrstd="t" o:hr="t" fillcolor="#a0a0a0" stroked="f"/>
        </w:pict>
      </w:r>
    </w:p>
    <w:p w:rsidR="00453A3F" w:rsidRDefault="00453A3F" w:rsidP="00453A3F">
      <w:pPr>
        <w:pStyle w:val="berschrift1"/>
      </w:pPr>
      <w:r>
        <w:t>3.3.46.229 Kohärenzkovariante Skalierung</w:t>
      </w:r>
    </w:p>
    <w:p w:rsidR="00453A3F" w:rsidRDefault="00453A3F" w:rsidP="00453A3F">
      <w:pPr>
        <w:pStyle w:val="StandardWeb"/>
      </w:pPr>
      <w:r>
        <w:t>Kohärenz muss jedoch nicht invariant sein.</w:t>
      </w:r>
    </w:p>
    <w:p w:rsidR="00453A3F" w:rsidRDefault="00453A3F" w:rsidP="00453A3F">
      <w:pPr>
        <w:pStyle w:val="StandardWeb"/>
      </w:pPr>
      <w:r>
        <w:t>Allgemeiner kann</w:t>
      </w:r>
    </w:p>
    <w:p w:rsidR="00453A3F" w:rsidRDefault="00453A3F" w:rsidP="00453A3F">
      <w:pPr>
        <w:pStyle w:val="berschrift1"/>
      </w:pPr>
      <w:r>
        <w:t>[</w:t>
      </w:r>
      <w:r>
        <w:br/>
        <w:t>C_F(S_\lambda z)</w:t>
      </w:r>
    </w:p>
    <w:p w:rsidR="00453A3F" w:rsidRDefault="00453A3F" w:rsidP="00453A3F">
      <w:pPr>
        <w:pStyle w:val="StandardWeb"/>
      </w:pPr>
      <w:r>
        <w:t>\lambda^{\kappa_C}</w:t>
      </w:r>
      <w:r>
        <w:br/>
        <w:t>C_F(z)</w:t>
      </w:r>
      <w:r>
        <w:br/>
        <w:t>\tag{3.11158}</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z)=\lambda^{\kappa_C}C_F(z)</w:t>
      </w:r>
    </w:p>
    <w:p w:rsidR="00453A3F" w:rsidRDefault="00453A3F" w:rsidP="00453A3F">
      <w:pPr>
        <w:pStyle w:val="StandardWeb"/>
      </w:pPr>
      <w:r>
        <w:t>gelten.</w:t>
      </w:r>
    </w:p>
    <w:p w:rsidR="00453A3F" w:rsidRDefault="00E50336" w:rsidP="00453A3F">
      <w:r>
        <w:pict>
          <v:rect id="_x0000_i3746" style="width:0;height:1.5pt" o:hralign="center" o:hrstd="t" o:hr="t" fillcolor="#a0a0a0" stroked="f"/>
        </w:pict>
      </w:r>
    </w:p>
    <w:p w:rsidR="00453A3F" w:rsidRDefault="00453A3F" w:rsidP="00453A3F">
      <w:pPr>
        <w:pStyle w:val="berschrift1"/>
      </w:pPr>
      <w:r>
        <w:t>3.3.46.230 Definition 3.3.213 – Kohärenzskalierungsgewicht</w:t>
      </w:r>
    </w:p>
    <w:p w:rsidR="00453A3F" w:rsidRDefault="00453A3F" w:rsidP="00453A3F">
      <w:pPr>
        <w:pStyle w:val="berschrift3"/>
      </w:pPr>
      <w:r>
        <w:lastRenderedPageBreak/>
        <w:t>Definition 3.3.213</w:t>
      </w:r>
    </w:p>
    <w:p w:rsidR="00453A3F" w:rsidRDefault="00453A3F" w:rsidP="00453A3F">
      <w:pPr>
        <w:pStyle w:val="StandardWeb"/>
      </w:pPr>
      <w:r>
        <w:t>Gilt</w:t>
      </w:r>
    </w:p>
    <w:p w:rsidR="00453A3F" w:rsidRDefault="00453A3F" w:rsidP="00453A3F">
      <w:pPr>
        <w:pStyle w:val="berschrift1"/>
      </w:pPr>
      <w:r>
        <w:t>[</w:t>
      </w:r>
      <w:r>
        <w:br/>
        <w:t>C_F(S_\lambda z)</w:t>
      </w:r>
    </w:p>
    <w:p w:rsidR="00453A3F" w:rsidRDefault="00453A3F" w:rsidP="00453A3F">
      <w:pPr>
        <w:pStyle w:val="StandardWeb"/>
      </w:pPr>
      <w:r>
        <w:t>\lambda^{\kappa_C}C_F(z),</w:t>
      </w:r>
      <w:r>
        <w:br/>
        <w:t>\tag{3.11159}</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z)=\lambda^{\kappa_C}C_F(z)</w:t>
      </w:r>
    </w:p>
    <w:p w:rsidR="00453A3F" w:rsidRDefault="00453A3F" w:rsidP="00453A3F">
      <w:pPr>
        <w:pStyle w:val="StandardWeb"/>
      </w:pPr>
      <w:r>
        <w:t xml:space="preserve">definiere ich das </w:t>
      </w:r>
      <w:r>
        <w:rPr>
          <w:rStyle w:val="Fett"/>
        </w:rPr>
        <w:t>Kohärenzskalierungsgewicht</w:t>
      </w:r>
    </w:p>
    <w:p w:rsidR="00453A3F" w:rsidRDefault="00453A3F" w:rsidP="00453A3F">
      <w:pPr>
        <w:pStyle w:val="StandardWeb"/>
      </w:pPr>
      <w:r>
        <w:t>[</w:t>
      </w:r>
      <w:r>
        <w:br/>
        <w:t>\boxed{</w:t>
      </w:r>
      <w:r>
        <w:br/>
        <w:t>w_{\mathrm{sc}}(C_F)</w:t>
      </w:r>
      <w:r>
        <w:br/>
        <w:t>:=</w:t>
      </w:r>
      <w:r>
        <w:br/>
        <w:t>\kappa_C.</w:t>
      </w:r>
      <w:r>
        <w:br/>
        <w:t>}</w:t>
      </w:r>
      <w:r>
        <w:br/>
        <w:t>\tag{3.11160}</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\boxed{w_{\mathrm{sc}}(C_F):=\kappa_C.}</w:t>
      </w:r>
    </w:p>
    <w:p w:rsidR="00453A3F" w:rsidRDefault="00E50336" w:rsidP="00453A3F">
      <w:r>
        <w:pict>
          <v:rect id="_x0000_i3747" style="width:0;height:1.5pt" o:hralign="center" o:hrstd="t" o:hr="t" fillcolor="#a0a0a0" stroked="f"/>
        </w:pict>
      </w:r>
    </w:p>
    <w:p w:rsidR="00453A3F" w:rsidRDefault="00453A3F" w:rsidP="00453A3F">
      <w:pPr>
        <w:pStyle w:val="berschrift1"/>
      </w:pPr>
      <w:r>
        <w:t>3.3.46.231 Kohärenzerhaltung als Nullgewicht</w:t>
      </w:r>
    </w:p>
    <w:p w:rsidR="00453A3F" w:rsidRDefault="00453A3F" w:rsidP="00453A3F">
      <w:pPr>
        <w:pStyle w:val="StandardWeb"/>
      </w:pPr>
      <w:r>
        <w:t>Für</w:t>
      </w:r>
    </w:p>
    <w:p w:rsidR="00453A3F" w:rsidRDefault="00453A3F" w:rsidP="00453A3F">
      <w:pPr>
        <w:pStyle w:val="StandardWeb"/>
      </w:pPr>
      <w:r>
        <w:t>[</w:t>
      </w:r>
      <w:r>
        <w:br/>
        <w:t>\kappa_C=0</w:t>
      </w:r>
      <w:r>
        <w:br/>
        <w:t>\tag{3.11161}</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\kappa_C=0</w:t>
      </w:r>
    </w:p>
    <w:p w:rsidR="00453A3F" w:rsidRDefault="00453A3F" w:rsidP="00453A3F">
      <w:pPr>
        <w:pStyle w:val="StandardWeb"/>
      </w:pPr>
      <w:r>
        <w:t>folgt</w:t>
      </w:r>
    </w:p>
    <w:p w:rsidR="00453A3F" w:rsidRDefault="00453A3F" w:rsidP="00453A3F">
      <w:pPr>
        <w:pStyle w:val="berschrift1"/>
      </w:pPr>
      <w:r>
        <w:lastRenderedPageBreak/>
        <w:t>[</w:t>
      </w:r>
      <w:r>
        <w:br/>
        <w:t>C_F(S_\lambda z)</w:t>
      </w:r>
    </w:p>
    <w:p w:rsidR="00453A3F" w:rsidRDefault="00453A3F" w:rsidP="00453A3F">
      <w:pPr>
        <w:pStyle w:val="StandardWeb"/>
      </w:pPr>
      <w:r>
        <w:t>C_F(z).</w:t>
      </w:r>
      <w:r>
        <w:br/>
        <w:t>\tag{3.11162}</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z)=C_F(z)</w:t>
      </w:r>
    </w:p>
    <w:p w:rsidR="00453A3F" w:rsidRDefault="00E50336" w:rsidP="00453A3F">
      <w:r>
        <w:pict>
          <v:rect id="_x0000_i3748" style="width:0;height:1.5pt" o:hralign="center" o:hrstd="t" o:hr="t" fillcolor="#a0a0a0" stroked="f"/>
        </w:pict>
      </w:r>
    </w:p>
    <w:p w:rsidR="00453A3F" w:rsidRDefault="00453A3F" w:rsidP="00453A3F">
      <w:pPr>
        <w:pStyle w:val="berschrift1"/>
      </w:pPr>
      <w:r>
        <w:t>3.3.46.232 Satz 3.3.96 – Kohärenzerhaltung entspricht Homogenität vom Grad null</w:t>
      </w:r>
    </w:p>
    <w:p w:rsidR="00453A3F" w:rsidRDefault="00453A3F" w:rsidP="00453A3F">
      <w:pPr>
        <w:pStyle w:val="berschrift3"/>
      </w:pPr>
      <w:r>
        <w:t>Satz 3.3.96</w:t>
      </w:r>
    </w:p>
    <w:p w:rsidR="00453A3F" w:rsidRDefault="00453A3F" w:rsidP="00453A3F">
      <w:pPr>
        <w:pStyle w:val="StandardWeb"/>
      </w:pPr>
      <w:r>
        <w:t>Ist (C_F) bezüglich einer Skalierung homogen, dann gilt</w:t>
      </w:r>
    </w:p>
    <w:p w:rsidR="00453A3F" w:rsidRDefault="00453A3F" w:rsidP="00453A3F">
      <w:pPr>
        <w:pStyle w:val="StandardWeb"/>
      </w:pPr>
      <w:r>
        <w:t>[</w:t>
      </w:r>
      <w:r>
        <w:br/>
        <w:t>\boxed{</w:t>
      </w:r>
      <w:r>
        <w:br/>
        <w:t>C_F\text{ ist skalierungsinvariant}</w:t>
      </w:r>
      <w:r>
        <w:br/>
        <w:t>\Longleftrightarrow</w:t>
      </w:r>
      <w:r>
        <w:br/>
        <w:t>w_{\mathrm{sc}}(C_F)=0.</w:t>
      </w:r>
      <w:r>
        <w:br/>
        <w:t>}</w:t>
      </w:r>
      <w:r>
        <w:br/>
        <w:t>\tag{3.11163}</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\boxed{C_F\text{ ist skalierungsinvariant}\Longleftrightarrow w_{\mathrm{sc}}(C_F)=0.}</w:t>
      </w:r>
    </w:p>
    <w:p w:rsidR="00453A3F" w:rsidRDefault="00453A3F" w:rsidP="00453A3F">
      <w:pPr>
        <w:pStyle w:val="berschrift3"/>
      </w:pPr>
      <w:r>
        <w:t>Beweis</w:t>
      </w:r>
    </w:p>
    <w:p w:rsidR="00453A3F" w:rsidRDefault="00453A3F" w:rsidP="00453A3F">
      <w:pPr>
        <w:pStyle w:val="StandardWeb"/>
      </w:pPr>
      <w:r>
        <w:t>Die Aussage ist der Spezialfall der bereits hergeleiteten Homogenitätsrelation für die funktionale Kohärenzgröße. Für (\kappa_C=0) gilt (\lambda^{\kappa_C}=1). (\square)</w:t>
      </w:r>
    </w:p>
    <w:p w:rsidR="00453A3F" w:rsidRDefault="00E50336" w:rsidP="00453A3F">
      <w:r>
        <w:pict>
          <v:rect id="_x0000_i3749" style="width:0;height:1.5pt" o:hralign="center" o:hrstd="t" o:hr="t" fillcolor="#a0a0a0" stroked="f"/>
        </w:pict>
      </w:r>
    </w:p>
    <w:p w:rsidR="00453A3F" w:rsidRDefault="00453A3F" w:rsidP="00453A3F">
      <w:pPr>
        <w:pStyle w:val="berschrift1"/>
      </w:pPr>
      <w:r>
        <w:t>3.3.46.233 Kohärenzordnung statt Kohärenzwert</w:t>
      </w:r>
    </w:p>
    <w:p w:rsidR="00453A3F" w:rsidRDefault="00453A3F" w:rsidP="00453A3F">
      <w:pPr>
        <w:pStyle w:val="StandardWeb"/>
      </w:pPr>
      <w:r>
        <w:t>Für manche Anwendungen kann es ausreichen, dass eine Skalierung nicht den numerischen Kohärenzwert, sondern lediglich dessen Ordnung erhält.</w:t>
      </w:r>
    </w:p>
    <w:p w:rsidR="00453A3F" w:rsidRDefault="00453A3F" w:rsidP="00453A3F">
      <w:pPr>
        <w:pStyle w:val="StandardWeb"/>
      </w:pPr>
      <w:r>
        <w:t>Für zwei Zustände sei</w:t>
      </w:r>
    </w:p>
    <w:p w:rsidR="00453A3F" w:rsidRDefault="00453A3F" w:rsidP="00453A3F">
      <w:pPr>
        <w:pStyle w:val="StandardWeb"/>
      </w:pPr>
      <w:r>
        <w:t>[</w:t>
      </w:r>
      <w:r>
        <w:br/>
        <w:t>C_F(z_i)</w:t>
      </w:r>
      <w:r>
        <w:br/>
      </w:r>
      <w:r>
        <w:lastRenderedPageBreak/>
        <w:t>\leq</w:t>
      </w:r>
      <w:r>
        <w:br/>
        <w:t>C_F(z_j).</w:t>
      </w:r>
      <w:r>
        <w:br/>
        <w:t>\tag{3.11164}</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C_F(z_i)\leq C_F(z_j)</w:t>
      </w:r>
    </w:p>
    <w:p w:rsidR="00453A3F" w:rsidRDefault="00453A3F" w:rsidP="00453A3F">
      <w:pPr>
        <w:pStyle w:val="StandardWeb"/>
      </w:pPr>
      <w:r>
        <w:t>Eine ordnungserhaltende Skalierung erfüllt dann</w:t>
      </w:r>
    </w:p>
    <w:p w:rsidR="00453A3F" w:rsidRDefault="00453A3F" w:rsidP="00453A3F">
      <w:pPr>
        <w:pStyle w:val="StandardWeb"/>
      </w:pPr>
      <w:r>
        <w:t>[</w:t>
      </w:r>
      <w:r>
        <w:br/>
        <w:t>C_F(S_\lambda z_i)</w:t>
      </w:r>
      <w:r>
        <w:br/>
        <w:t>\leq</w:t>
      </w:r>
      <w:r>
        <w:br/>
        <w:t>C_F(S_\lambda z_j).</w:t>
      </w:r>
      <w:r>
        <w:br/>
        <w:t>\tag{3.11165}</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z_i)\leq C_F(S_\lambda z_j)</w:t>
      </w:r>
    </w:p>
    <w:p w:rsidR="00453A3F" w:rsidRDefault="00E50336" w:rsidP="00453A3F">
      <w:r>
        <w:pict>
          <v:rect id="_x0000_i3750" style="width:0;height:1.5pt" o:hralign="center" o:hrstd="t" o:hr="t" fillcolor="#a0a0a0" stroked="f"/>
        </w:pict>
      </w:r>
    </w:p>
    <w:p w:rsidR="00453A3F" w:rsidRDefault="00453A3F" w:rsidP="00453A3F">
      <w:pPr>
        <w:pStyle w:val="berschrift1"/>
      </w:pPr>
      <w:r>
        <w:t>3.3.46.234 Definition 3.3.214 – Kohärenzordnungserhaltende Skalierung</w:t>
      </w:r>
    </w:p>
    <w:p w:rsidR="00453A3F" w:rsidRDefault="00453A3F" w:rsidP="00453A3F">
      <w:pPr>
        <w:pStyle w:val="berschrift3"/>
      </w:pPr>
      <w:r>
        <w:t>Definition 3.3.214</w:t>
      </w:r>
    </w:p>
    <w:p w:rsidR="00453A3F" w:rsidRDefault="00453A3F" w:rsidP="00453A3F">
      <w:pPr>
        <w:pStyle w:val="StandardWeb"/>
      </w:pPr>
      <w:r>
        <w:t xml:space="preserve">Eine Skalierung (S_\lambda) heißt </w:t>
      </w:r>
      <w:r>
        <w:rPr>
          <w:rStyle w:val="Fett"/>
        </w:rPr>
        <w:t>kohärenzordnungserhaltend</w:t>
      </w:r>
      <w:r>
        <w:t>, wenn</w:t>
      </w:r>
    </w:p>
    <w:p w:rsidR="00453A3F" w:rsidRDefault="00453A3F" w:rsidP="00453A3F">
      <w:pPr>
        <w:pStyle w:val="StandardWeb"/>
      </w:pPr>
      <w:r>
        <w:t>[</w:t>
      </w:r>
      <w:r>
        <w:br/>
        <w:t>\boxed{</w:t>
      </w:r>
      <w:r>
        <w:br/>
        <w:t>C_F(z_i)\leq C_F(z_j)</w:t>
      </w:r>
      <w:r>
        <w:br/>
        <w:t>\Rightarrow</w:t>
      </w:r>
      <w:r>
        <w:br/>
        <w:t>C_F(S_\lambda z_i)</w:t>
      </w:r>
      <w:r>
        <w:br/>
        <w:t>\leq</w:t>
      </w:r>
      <w:r>
        <w:br/>
        <w:t>C_F(S_\lambda z_j).</w:t>
      </w:r>
      <w:r>
        <w:br/>
        <w:t>}</w:t>
      </w:r>
      <w:r>
        <w:br/>
        <w:t>\tag{3.11166}</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\boxed{C_F(z_i)\leq C_F(z_j)\Rightarrow C_F(S_\lambda z_i)\leq C_F(S_\lambda z_j).}</w:t>
      </w:r>
    </w:p>
    <w:p w:rsidR="00453A3F" w:rsidRDefault="00453A3F" w:rsidP="00453A3F">
      <w:pPr>
        <w:pStyle w:val="StandardWeb"/>
      </w:pPr>
      <w:r>
        <w:t>Diese Bedingung ist schwächer als die exakte Kohärenzerhaltung.</w:t>
      </w:r>
    </w:p>
    <w:p w:rsidR="00453A3F" w:rsidRDefault="00E50336" w:rsidP="00453A3F">
      <w:r>
        <w:pict>
          <v:rect id="_x0000_i3751" style="width:0;height:1.5pt" o:hralign="center" o:hrstd="t" o:hr="t" fillcolor="#a0a0a0" stroked="f"/>
        </w:pict>
      </w:r>
    </w:p>
    <w:p w:rsidR="00453A3F" w:rsidRDefault="00453A3F" w:rsidP="00453A3F">
      <w:pPr>
        <w:pStyle w:val="berschrift1"/>
      </w:pPr>
      <w:r>
        <w:lastRenderedPageBreak/>
        <w:t>3.3.46.235 Exakte Kohärenzerhaltung impliziert Ordnungserhaltung</w:t>
      </w:r>
    </w:p>
    <w:p w:rsidR="00453A3F" w:rsidRDefault="00453A3F" w:rsidP="00453A3F">
      <w:pPr>
        <w:pStyle w:val="StandardWeb"/>
      </w:pPr>
      <w:r>
        <w:t>Gilt für alle Zustände</w:t>
      </w:r>
    </w:p>
    <w:p w:rsidR="00453A3F" w:rsidRDefault="00453A3F" w:rsidP="00453A3F">
      <w:pPr>
        <w:pStyle w:val="StandardWeb"/>
      </w:pPr>
      <w:r>
        <w:t>[</w:t>
      </w:r>
      <w:r>
        <w:br/>
        <w:t>C_F(S_\lambda z)=C_F(z),</w:t>
      </w:r>
      <w:r>
        <w:br/>
        <w:t>\tag{3.11167}</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z)=C_F(z)</w:t>
      </w:r>
    </w:p>
    <w:p w:rsidR="00453A3F" w:rsidRDefault="00453A3F" w:rsidP="00453A3F">
      <w:pPr>
        <w:pStyle w:val="StandardWeb"/>
      </w:pPr>
      <w:r>
        <w:t>so folgt unmittelbar die Erhaltung jeder Kohärenzordnung.</w:t>
      </w:r>
    </w:p>
    <w:p w:rsidR="00453A3F" w:rsidRDefault="00E50336" w:rsidP="00453A3F">
      <w:r>
        <w:pict>
          <v:rect id="_x0000_i3752" style="width:0;height:1.5pt" o:hralign="center" o:hrstd="t" o:hr="t" fillcolor="#a0a0a0" stroked="f"/>
        </w:pict>
      </w:r>
    </w:p>
    <w:p w:rsidR="00453A3F" w:rsidRDefault="00453A3F" w:rsidP="00453A3F">
      <w:pPr>
        <w:pStyle w:val="berschrift1"/>
      </w:pPr>
      <w:r>
        <w:t>3.3.46.236 Satz 3.3.97 – Kohärenzerhaltung impliziert Kohärenzordnungserhaltung</w:t>
      </w:r>
    </w:p>
    <w:p w:rsidR="00453A3F" w:rsidRDefault="00453A3F" w:rsidP="00453A3F">
      <w:pPr>
        <w:pStyle w:val="berschrift3"/>
      </w:pPr>
      <w:r>
        <w:t>Satz 3.3.97</w:t>
      </w:r>
    </w:p>
    <w:p w:rsidR="00453A3F" w:rsidRDefault="00453A3F" w:rsidP="00453A3F">
      <w:pPr>
        <w:pStyle w:val="StandardWeb"/>
      </w:pPr>
      <w:r>
        <w:t>Ist (S_\lambda) kohärenzerhaltend, dann ist (S_\lambda) auch kohärenzordnungserhaltend:</w:t>
      </w:r>
    </w:p>
    <w:p w:rsidR="00453A3F" w:rsidRDefault="00453A3F" w:rsidP="00453A3F">
      <w:pPr>
        <w:pStyle w:val="StandardWeb"/>
      </w:pPr>
      <w:r>
        <w:t>[</w:t>
      </w:r>
      <w:r>
        <w:br/>
        <w:t>\boxed{</w:t>
      </w:r>
      <w:r>
        <w:br/>
        <w:t>\operatorname{Inv}</w:t>
      </w:r>
      <w:r>
        <w:rPr>
          <w:rStyle w:val="Hervorhebung"/>
        </w:rPr>
        <w:t>{\mathrm{sc}}(C_F)</w:t>
      </w:r>
      <w:r>
        <w:rPr>
          <w:i/>
          <w:iCs/>
        </w:rPr>
        <w:br/>
      </w:r>
      <w:r>
        <w:rPr>
          <w:rStyle w:val="Hervorhebung"/>
        </w:rPr>
        <w:t>\Rightarrow</w:t>
      </w:r>
      <w:r>
        <w:rPr>
          <w:i/>
          <w:iCs/>
        </w:rPr>
        <w:br/>
      </w:r>
      <w:r>
        <w:rPr>
          <w:rStyle w:val="Hervorhebung"/>
        </w:rPr>
        <w:t>\operatorname{OrdInv}</w:t>
      </w:r>
      <w:r>
        <w:t>{\mathrm{sc}}(C_F).</w:t>
      </w:r>
      <w:r>
        <w:br/>
        <w:t>}</w:t>
      </w:r>
      <w:r>
        <w:br/>
        <w:t>\tag{3.11168}</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\boxed{\operatorname{Inv}_{\mathrm{sc}}(C_F)\Rightarrow\operatorname{OrdInv}_{\mathrm{sc}}(C_F).}</w:t>
      </w:r>
    </w:p>
    <w:p w:rsidR="00453A3F" w:rsidRDefault="00453A3F" w:rsidP="00453A3F">
      <w:pPr>
        <w:pStyle w:val="berschrift3"/>
      </w:pPr>
      <w:r>
        <w:t>Beweis</w:t>
      </w:r>
    </w:p>
    <w:p w:rsidR="00453A3F" w:rsidRDefault="00453A3F" w:rsidP="00453A3F">
      <w:pPr>
        <w:pStyle w:val="StandardWeb"/>
      </w:pPr>
      <w:r>
        <w:t>Aus (C_F(S_\lambda z_i)=C_F(z_i)) und (C_F(S_\lambda z_j)=C_F(z_j)) bleibt jede bestehende Ungleichungsrelation zwischen beiden Werten unverändert. (\square)</w:t>
      </w:r>
    </w:p>
    <w:p w:rsidR="00453A3F" w:rsidRDefault="00E50336" w:rsidP="00453A3F">
      <w:r>
        <w:pict>
          <v:rect id="_x0000_i3753" style="width:0;height:1.5pt" o:hralign="center" o:hrstd="t" o:hr="t" fillcolor="#a0a0a0" stroked="f"/>
        </w:pict>
      </w:r>
    </w:p>
    <w:p w:rsidR="00453A3F" w:rsidRDefault="00453A3F" w:rsidP="00453A3F">
      <w:pPr>
        <w:pStyle w:val="berschrift1"/>
      </w:pPr>
      <w:r>
        <w:t>3.3.46.237 Die Umkehrung gilt nicht allgemein</w:t>
      </w:r>
    </w:p>
    <w:p w:rsidR="00453A3F" w:rsidRDefault="00453A3F" w:rsidP="00453A3F">
      <w:pPr>
        <w:pStyle w:val="StandardWeb"/>
      </w:pPr>
      <w:r>
        <w:t>Ordnungserhaltung verlangt nicht, dass die Werte selbst gleich bleiben.</w:t>
      </w:r>
    </w:p>
    <w:p w:rsidR="00453A3F" w:rsidRDefault="00453A3F" w:rsidP="00453A3F">
      <w:pPr>
        <w:pStyle w:val="StandardWeb"/>
      </w:pPr>
      <w:r>
        <w:lastRenderedPageBreak/>
        <w:t>Beispielsweise kann</w:t>
      </w:r>
    </w:p>
    <w:p w:rsidR="00453A3F" w:rsidRDefault="00453A3F" w:rsidP="00453A3F">
      <w:pPr>
        <w:pStyle w:val="berschrift1"/>
      </w:pPr>
      <w:r>
        <w:t>[</w:t>
      </w:r>
      <w:r>
        <w:br/>
        <w:t>C_F(S_\lambda z)</w:t>
      </w:r>
    </w:p>
    <w:p w:rsidR="00453A3F" w:rsidRDefault="00453A3F" w:rsidP="00453A3F">
      <w:pPr>
        <w:pStyle w:val="StandardWeb"/>
      </w:pPr>
      <w:r>
        <w:t>2C_F(z)</w:t>
      </w:r>
      <w:r>
        <w:br/>
        <w:t>\tag{3.11169}</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z)=2C_F(z)</w:t>
      </w:r>
    </w:p>
    <w:p w:rsidR="00453A3F" w:rsidRDefault="00453A3F" w:rsidP="00453A3F">
      <w:pPr>
        <w:pStyle w:val="StandardWeb"/>
      </w:pPr>
      <w:r>
        <w:t>die Ordnung erhalten, obwohl</w:t>
      </w:r>
    </w:p>
    <w:p w:rsidR="00453A3F" w:rsidRDefault="00453A3F" w:rsidP="00453A3F">
      <w:pPr>
        <w:pStyle w:val="StandardWeb"/>
      </w:pPr>
      <w:r>
        <w:t>[</w:t>
      </w:r>
      <w:r>
        <w:br/>
        <w:t>C_F(S_\lambda z)</w:t>
      </w:r>
      <w:r>
        <w:br/>
        <w:t>\neq</w:t>
      </w:r>
      <w:r>
        <w:br/>
        <w:t>C_F(z).</w:t>
      </w:r>
      <w:r>
        <w:br/>
        <w:t>\tag{3.11170}</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z)\neq C_F(z)</w:t>
      </w:r>
    </w:p>
    <w:p w:rsidR="00453A3F" w:rsidRDefault="00453A3F" w:rsidP="00453A3F">
      <w:pPr>
        <w:pStyle w:val="StandardWeb"/>
      </w:pPr>
      <w:r>
        <w:t>Daher gilt nicht allgemein</w:t>
      </w:r>
    </w:p>
    <w:p w:rsidR="00453A3F" w:rsidRDefault="00453A3F" w:rsidP="00453A3F">
      <w:pPr>
        <w:pStyle w:val="StandardWeb"/>
      </w:pPr>
      <w:r>
        <w:t>[</w:t>
      </w:r>
      <w:r>
        <w:br/>
        <w:t>\boxed{</w:t>
      </w:r>
      <w:r>
        <w:br/>
        <w:t>\operatorname{OrdInv}</w:t>
      </w:r>
      <w:r>
        <w:rPr>
          <w:rStyle w:val="Hervorhebung"/>
        </w:rPr>
        <w:t>{\mathrm{sc}}(C_F)</w:t>
      </w:r>
      <w:r>
        <w:rPr>
          <w:i/>
          <w:iCs/>
        </w:rPr>
        <w:br/>
      </w:r>
      <w:r>
        <w:rPr>
          <w:rStyle w:val="Hervorhebung"/>
        </w:rPr>
        <w:t>\Rightarrow</w:t>
      </w:r>
      <w:r>
        <w:rPr>
          <w:i/>
          <w:iCs/>
        </w:rPr>
        <w:br/>
      </w:r>
      <w:r>
        <w:rPr>
          <w:rStyle w:val="Hervorhebung"/>
        </w:rPr>
        <w:t>\operatorname{Inv}</w:t>
      </w:r>
      <w:r>
        <w:t>{\mathrm{sc}}(C_F).</w:t>
      </w:r>
      <w:r>
        <w:br/>
        <w:t>}</w:t>
      </w:r>
      <w:r>
        <w:br/>
        <w:t>\tag{3.11171}</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\boxed{\operatorname{OrdInv}_{\mathrm{sc}}(C_F)\Rightarrow\operatorname{Inv}_{\mathrm{sc}}(C_F).}</w:t>
      </w:r>
    </w:p>
    <w:p w:rsidR="00453A3F" w:rsidRDefault="00E50336" w:rsidP="00453A3F">
      <w:r>
        <w:pict>
          <v:rect id="_x0000_i3754" style="width:0;height:1.5pt" o:hralign="center" o:hrstd="t" o:hr="t" fillcolor="#a0a0a0" stroked="f"/>
        </w:pict>
      </w:r>
    </w:p>
    <w:p w:rsidR="00453A3F" w:rsidRDefault="00453A3F" w:rsidP="00453A3F">
      <w:pPr>
        <w:pStyle w:val="berschrift1"/>
      </w:pPr>
      <w:r>
        <w:t>3.3.46.238 Kohärenznullmenge</w:t>
      </w:r>
    </w:p>
    <w:p w:rsidR="00453A3F" w:rsidRDefault="00453A3F" w:rsidP="00453A3F">
      <w:pPr>
        <w:pStyle w:val="StandardWeb"/>
      </w:pPr>
      <w:r>
        <w:t>Besonders wichtig kann die Frage sein, ob eine Skalierung die Grenze zwischen verschwindender und nichtverschwindender Kohärenz erhält.</w:t>
      </w:r>
    </w:p>
    <w:p w:rsidR="00453A3F" w:rsidRDefault="00453A3F" w:rsidP="00453A3F">
      <w:pPr>
        <w:pStyle w:val="StandardWeb"/>
      </w:pPr>
      <w:r>
        <w:t>Ich definiere</w:t>
      </w:r>
    </w:p>
    <w:p w:rsidR="00453A3F" w:rsidRDefault="00453A3F" w:rsidP="00453A3F">
      <w:pPr>
        <w:pStyle w:val="berschrift1"/>
      </w:pPr>
      <w:r>
        <w:lastRenderedPageBreak/>
        <w:t>[</w:t>
      </w:r>
      <w:r>
        <w:br/>
        <w:t>\mathcal Z_C</w:t>
      </w:r>
    </w:p>
    <w:p w:rsidR="00453A3F" w:rsidRDefault="00453A3F" w:rsidP="00453A3F">
      <w:pPr>
        <w:pStyle w:val="StandardWeb"/>
      </w:pPr>
      <w:r>
        <w:t>{z\in\Omega_F:C_F(z)=0}.</w:t>
      </w:r>
      <w:r>
        <w:br/>
        <w:t>\tag{3.11172}</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\mathcal Z_C=\{z\in\Omega_F:C_F(z)=0\}</w:t>
      </w:r>
    </w:p>
    <w:p w:rsidR="00453A3F" w:rsidRDefault="00E50336" w:rsidP="00453A3F">
      <w:r>
        <w:pict>
          <v:rect id="_x0000_i3755" style="width:0;height:1.5pt" o:hralign="center" o:hrstd="t" o:hr="t" fillcolor="#a0a0a0" stroked="f"/>
        </w:pict>
      </w:r>
    </w:p>
    <w:p w:rsidR="00453A3F" w:rsidRDefault="00453A3F" w:rsidP="00453A3F">
      <w:pPr>
        <w:pStyle w:val="berschrift1"/>
      </w:pPr>
      <w:r>
        <w:t>3.3.46.239 Definition 3.3.215 – Kohärenznullmengenerhaltende Skalierung</w:t>
      </w:r>
    </w:p>
    <w:p w:rsidR="00453A3F" w:rsidRDefault="00453A3F" w:rsidP="00453A3F">
      <w:pPr>
        <w:pStyle w:val="berschrift3"/>
      </w:pPr>
      <w:r>
        <w:t>Definition 3.3.215</w:t>
      </w:r>
    </w:p>
    <w:p w:rsidR="00453A3F" w:rsidRDefault="00453A3F" w:rsidP="00453A3F">
      <w:pPr>
        <w:pStyle w:val="StandardWeb"/>
      </w:pPr>
      <w:r>
        <w:t xml:space="preserve">Eine Skalierung (S_\lambda) heißt </w:t>
      </w:r>
      <w:r>
        <w:rPr>
          <w:rStyle w:val="Fett"/>
        </w:rPr>
        <w:t>kohärenznullmengenerhaltend</w:t>
      </w:r>
      <w:r>
        <w:t>, wenn</w:t>
      </w:r>
    </w:p>
    <w:p w:rsidR="00453A3F" w:rsidRDefault="00453A3F" w:rsidP="00453A3F">
      <w:pPr>
        <w:pStyle w:val="StandardWeb"/>
      </w:pPr>
      <w:r>
        <w:t>[</w:t>
      </w:r>
      <w:r>
        <w:br/>
        <w:t>\boxed{</w:t>
      </w:r>
      <w:r>
        <w:br/>
        <w:t>z\in\mathcal Z_C</w:t>
      </w:r>
      <w:r>
        <w:br/>
        <w:t>\Longleftrightarrow</w:t>
      </w:r>
      <w:r>
        <w:br/>
        <w:t>S_\lambda z\in\mathcal Z_C.</w:t>
      </w:r>
      <w:r>
        <w:br/>
        <w:t>}</w:t>
      </w:r>
      <w:r>
        <w:br/>
        <w:t>\tag{3.11173}</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\boxed{z\in\mathcal Z_C\Longleftrightarrow S_\lambda z\in\mathcal Z_C.}</w:t>
      </w:r>
    </w:p>
    <w:p w:rsidR="00453A3F" w:rsidRDefault="00E50336" w:rsidP="00453A3F">
      <w:r>
        <w:pict>
          <v:rect id="_x0000_i3756" style="width:0;height:1.5pt" o:hralign="center" o:hrstd="t" o:hr="t" fillcolor="#a0a0a0" stroked="f"/>
        </w:pict>
      </w:r>
    </w:p>
    <w:p w:rsidR="00453A3F" w:rsidRDefault="00453A3F" w:rsidP="00453A3F">
      <w:pPr>
        <w:pStyle w:val="berschrift1"/>
      </w:pPr>
      <w:r>
        <w:t>3.3.46.240 Homogene Kohärenz und Nullmengenerhaltung</w:t>
      </w:r>
    </w:p>
    <w:p w:rsidR="00453A3F" w:rsidRDefault="00453A3F" w:rsidP="00453A3F">
      <w:pPr>
        <w:pStyle w:val="StandardWeb"/>
      </w:pPr>
      <w:r>
        <w:t>Ist</w:t>
      </w:r>
    </w:p>
    <w:p w:rsidR="00453A3F" w:rsidRDefault="00453A3F" w:rsidP="00453A3F">
      <w:pPr>
        <w:pStyle w:val="berschrift1"/>
      </w:pPr>
      <w:r>
        <w:t>[</w:t>
      </w:r>
      <w:r>
        <w:br/>
        <w:t>C_F(S_\lambda z)</w:t>
      </w:r>
    </w:p>
    <w:p w:rsidR="00453A3F" w:rsidRDefault="00453A3F" w:rsidP="00453A3F">
      <w:pPr>
        <w:pStyle w:val="StandardWeb"/>
      </w:pPr>
      <w:r>
        <w:t>\lambda^{\kappa_C}C_F(z)</w:t>
      </w:r>
      <w:r>
        <w:br/>
        <w:t>\tag{3.11174}</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lastRenderedPageBreak/>
        <w:t>C_F(S_\lambda z)=\lambda^{\kappa_C}C_F(z)</w:t>
      </w:r>
    </w:p>
    <w:p w:rsidR="00453A3F" w:rsidRDefault="00453A3F" w:rsidP="00453A3F">
      <w:pPr>
        <w:pStyle w:val="StandardWeb"/>
      </w:pPr>
      <w:r>
        <w:t>und gilt</w:t>
      </w:r>
    </w:p>
    <w:p w:rsidR="00453A3F" w:rsidRDefault="00453A3F" w:rsidP="00453A3F">
      <w:pPr>
        <w:pStyle w:val="StandardWeb"/>
      </w:pPr>
      <w:r>
        <w:t>[</w:t>
      </w:r>
      <w:r>
        <w:br/>
        <w:t>\lambda^{\kappa_C}\neq0,</w:t>
      </w:r>
      <w:r>
        <w:br/>
        <w:t>\tag{3.11175}</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\lambda^{\kappa_C}\neq0</w:t>
      </w:r>
    </w:p>
    <w:p w:rsidR="00453A3F" w:rsidRDefault="00453A3F" w:rsidP="00453A3F">
      <w:pPr>
        <w:pStyle w:val="StandardWeb"/>
      </w:pPr>
      <w:r>
        <w:t>so gilt</w:t>
      </w:r>
    </w:p>
    <w:p w:rsidR="00453A3F" w:rsidRDefault="00453A3F" w:rsidP="00453A3F">
      <w:pPr>
        <w:pStyle w:val="StandardWeb"/>
      </w:pPr>
      <w:r>
        <w:t>[</w:t>
      </w:r>
      <w:r>
        <w:br/>
        <w:t>C_F(S_\lambda z)=0</w:t>
      </w:r>
      <w:r>
        <w:br/>
        <w:t>\Longleftrightarrow</w:t>
      </w:r>
      <w:r>
        <w:br/>
        <w:t>C_F(z)=0.</w:t>
      </w:r>
      <w:r>
        <w:br/>
        <w:t>\tag{3.11176}</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z)=0\Longleftrightarrow C_F(z)=0</w:t>
      </w:r>
    </w:p>
    <w:p w:rsidR="00453A3F" w:rsidRDefault="00E50336" w:rsidP="00453A3F">
      <w:r>
        <w:pict>
          <v:rect id="_x0000_i3757" style="width:0;height:1.5pt" o:hralign="center" o:hrstd="t" o:hr="t" fillcolor="#a0a0a0" stroked="f"/>
        </w:pict>
      </w:r>
    </w:p>
    <w:p w:rsidR="00453A3F" w:rsidRDefault="00453A3F" w:rsidP="00453A3F">
      <w:pPr>
        <w:pStyle w:val="berschrift1"/>
      </w:pPr>
      <w:r>
        <w:t>3.3.46.241 Satz 3.3.98 – Nichtverschwindende homogene Skalierung erhält die Kohärenznullmenge</w:t>
      </w:r>
    </w:p>
    <w:p w:rsidR="00453A3F" w:rsidRDefault="00453A3F" w:rsidP="00453A3F">
      <w:pPr>
        <w:pStyle w:val="berschrift3"/>
      </w:pPr>
      <w:r>
        <w:t>Satz 3.3.98</w:t>
      </w:r>
    </w:p>
    <w:p w:rsidR="00453A3F" w:rsidRDefault="00453A3F" w:rsidP="00453A3F">
      <w:pPr>
        <w:pStyle w:val="StandardWeb"/>
      </w:pPr>
      <w:r>
        <w:t>Ist (C_F) homogen mit</w:t>
      </w:r>
    </w:p>
    <w:p w:rsidR="00453A3F" w:rsidRDefault="00453A3F" w:rsidP="00453A3F">
      <w:pPr>
        <w:pStyle w:val="berschrift1"/>
      </w:pPr>
      <w:r>
        <w:t>[</w:t>
      </w:r>
      <w:r>
        <w:br/>
        <w:t>C_F(S_\lambda z)</w:t>
      </w:r>
    </w:p>
    <w:p w:rsidR="00453A3F" w:rsidRDefault="00453A3F" w:rsidP="00453A3F">
      <w:pPr>
        <w:pStyle w:val="StandardWeb"/>
      </w:pPr>
      <w:r>
        <w:t>\lambda^{\kappa_C}C_F(z)</w:t>
      </w:r>
      <w:r>
        <w:br/>
        <w:t>\tag{3.11177}</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z)=\lambda^{\kappa_C}C_F(z)</w:t>
      </w:r>
    </w:p>
    <w:p w:rsidR="00453A3F" w:rsidRDefault="00453A3F" w:rsidP="00453A3F">
      <w:pPr>
        <w:pStyle w:val="StandardWeb"/>
      </w:pPr>
      <w:r>
        <w:t>und ist der Skalierungsfaktor (\lambda^{\kappa_C}) ungleich null, dann gilt</w:t>
      </w:r>
    </w:p>
    <w:p w:rsidR="00453A3F" w:rsidRDefault="00453A3F" w:rsidP="00453A3F">
      <w:pPr>
        <w:pStyle w:val="StandardWeb"/>
      </w:pPr>
      <w:r>
        <w:t>[</w:t>
      </w:r>
      <w:r>
        <w:br/>
        <w:t>\boxed{</w:t>
      </w:r>
      <w:r>
        <w:br/>
      </w:r>
      <w:r>
        <w:lastRenderedPageBreak/>
        <w:t>z\in\mathcal Z_C</w:t>
      </w:r>
      <w:r>
        <w:br/>
        <w:t>\Longleftrightarrow</w:t>
      </w:r>
      <w:r>
        <w:br/>
        <w:t>S_\lambda z\in\mathcal Z_C.</w:t>
      </w:r>
      <w:r>
        <w:br/>
        <w:t>}</w:t>
      </w:r>
      <w:r>
        <w:br/>
        <w:t>\tag{3.11178}</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\boxed{z\in\mathcal Z_C\Longleftrightarrow S_\lambda z\in\mathcal Z_C.}</w:t>
      </w:r>
    </w:p>
    <w:p w:rsidR="00453A3F" w:rsidRDefault="00453A3F" w:rsidP="00453A3F">
      <w:pPr>
        <w:pStyle w:val="berschrift3"/>
      </w:pPr>
      <w:r>
        <w:t>Beweis</w:t>
      </w:r>
    </w:p>
    <w:p w:rsidR="00453A3F" w:rsidRDefault="00453A3F" w:rsidP="00453A3F">
      <w:pPr>
        <w:pStyle w:val="StandardWeb"/>
      </w:pPr>
      <w:r>
        <w:t>Multiplikation mit einem von null verschiedenen Skalar verändert nicht, ob ein Wert null oder ungleich null ist. Daher sind die Nullbedingungen vor und nach der Skalierung äquivalent. (\square)</w:t>
      </w:r>
    </w:p>
    <w:p w:rsidR="00453A3F" w:rsidRDefault="00E50336" w:rsidP="00453A3F">
      <w:r>
        <w:pict>
          <v:rect id="_x0000_i3758" style="width:0;height:1.5pt" o:hralign="center" o:hrstd="t" o:hr="t" fillcolor="#a0a0a0" stroked="f"/>
        </w:pict>
      </w:r>
    </w:p>
    <w:p w:rsidR="00453A3F" w:rsidRDefault="00453A3F" w:rsidP="00453A3F">
      <w:pPr>
        <w:pStyle w:val="berschrift1"/>
      </w:pPr>
      <w:r>
        <w:t>3.3.46.242 Positivitätsmengenerhaltung</w:t>
      </w:r>
    </w:p>
    <w:p w:rsidR="00453A3F" w:rsidRDefault="00453A3F" w:rsidP="00453A3F">
      <w:pPr>
        <w:pStyle w:val="StandardWeb"/>
      </w:pPr>
      <w:r>
        <w:t>Ist die Kohärenz nichtnegativ,</w:t>
      </w:r>
    </w:p>
    <w:p w:rsidR="00453A3F" w:rsidRDefault="00453A3F" w:rsidP="00453A3F">
      <w:pPr>
        <w:pStyle w:val="StandardWeb"/>
      </w:pPr>
      <w:r>
        <w:t>[</w:t>
      </w:r>
      <w:r>
        <w:br/>
        <w:t>C_F(z)\geq0,</w:t>
      </w:r>
      <w:r>
        <w:br/>
        <w:t>\tag{3.11179}</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C_F(z)\geq0</w:t>
      </w:r>
    </w:p>
    <w:p w:rsidR="00453A3F" w:rsidRDefault="00453A3F" w:rsidP="00453A3F">
      <w:pPr>
        <w:pStyle w:val="StandardWeb"/>
      </w:pPr>
      <w:r>
        <w:t>und gilt eine positive Skalierung</w:t>
      </w:r>
    </w:p>
    <w:p w:rsidR="00453A3F" w:rsidRDefault="00453A3F" w:rsidP="00453A3F">
      <w:pPr>
        <w:pStyle w:val="berschrift1"/>
      </w:pPr>
      <w:r>
        <w:t>[</w:t>
      </w:r>
      <w:r>
        <w:br/>
        <w:t>C_F(S_\lambda z)</w:t>
      </w:r>
    </w:p>
    <w:p w:rsidR="00453A3F" w:rsidRDefault="00453A3F" w:rsidP="00453A3F">
      <w:pPr>
        <w:pStyle w:val="StandardWeb"/>
      </w:pPr>
      <w:r>
        <w:t>a_\lambda C_F(z),</w:t>
      </w:r>
      <w:r>
        <w:br/>
        <w:t>\qquad</w:t>
      </w:r>
      <w:r>
        <w:br/>
        <w:t>a_\lambda&gt;0,</w:t>
      </w:r>
      <w:r>
        <w:br/>
        <w:t>\tag{3.11180}</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z)=a_\lambda C_F(z),\qquad a_\lambda&gt;0</w:t>
      </w:r>
    </w:p>
    <w:p w:rsidR="00453A3F" w:rsidRDefault="00453A3F" w:rsidP="00453A3F">
      <w:pPr>
        <w:pStyle w:val="StandardWeb"/>
      </w:pPr>
      <w:r>
        <w:t>so bleibt auch die Menge</w:t>
      </w:r>
    </w:p>
    <w:p w:rsidR="00453A3F" w:rsidRDefault="00453A3F" w:rsidP="00453A3F">
      <w:pPr>
        <w:pStyle w:val="berschrift1"/>
      </w:pPr>
      <w:r>
        <w:lastRenderedPageBreak/>
        <w:t>[</w:t>
      </w:r>
      <w:r>
        <w:br/>
        <w:t>\mathcal P_C</w:t>
      </w:r>
    </w:p>
    <w:p w:rsidR="00453A3F" w:rsidRDefault="00453A3F" w:rsidP="00453A3F">
      <w:pPr>
        <w:pStyle w:val="StandardWeb"/>
      </w:pPr>
      <w:r>
        <w:t>{z:C_F(z)&gt;0}</w:t>
      </w:r>
      <w:r>
        <w:br/>
        <w:t>\tag{3.11181}</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\mathcal P_C=\{z:C_F(z)&gt;0\}</w:t>
      </w:r>
    </w:p>
    <w:p w:rsidR="00453A3F" w:rsidRDefault="00453A3F" w:rsidP="00453A3F">
      <w:pPr>
        <w:pStyle w:val="StandardWeb"/>
      </w:pPr>
      <w:r>
        <w:t>erhalten.</w:t>
      </w:r>
    </w:p>
    <w:p w:rsidR="00453A3F" w:rsidRDefault="00E50336" w:rsidP="00453A3F">
      <w:r>
        <w:pict>
          <v:rect id="_x0000_i3759" style="width:0;height:1.5pt" o:hralign="center" o:hrstd="t" o:hr="t" fillcolor="#a0a0a0" stroked="f"/>
        </w:pict>
      </w:r>
    </w:p>
    <w:p w:rsidR="00453A3F" w:rsidRDefault="00453A3F" w:rsidP="00453A3F">
      <w:pPr>
        <w:pStyle w:val="berschrift1"/>
      </w:pPr>
      <w:r>
        <w:t>3.3.46.243 Definition 3.3.216 – Kohärenzpositivitätsmengenerhaltende Skalierung</w:t>
      </w:r>
    </w:p>
    <w:p w:rsidR="00453A3F" w:rsidRDefault="00453A3F" w:rsidP="00453A3F">
      <w:pPr>
        <w:pStyle w:val="berschrift3"/>
      </w:pPr>
      <w:r>
        <w:t>Definition 3.3.216</w:t>
      </w:r>
    </w:p>
    <w:p w:rsidR="00453A3F" w:rsidRDefault="00453A3F" w:rsidP="00453A3F">
      <w:pPr>
        <w:pStyle w:val="StandardWeb"/>
      </w:pPr>
      <w:r>
        <w:t xml:space="preserve">Eine Skalierung heißt </w:t>
      </w:r>
      <w:r>
        <w:rPr>
          <w:rStyle w:val="Fett"/>
        </w:rPr>
        <w:t>kohärenzpositivitätsmengenerhaltend</w:t>
      </w:r>
      <w:r>
        <w:t>, wenn</w:t>
      </w:r>
    </w:p>
    <w:p w:rsidR="00453A3F" w:rsidRDefault="00453A3F" w:rsidP="00453A3F">
      <w:pPr>
        <w:pStyle w:val="StandardWeb"/>
      </w:pPr>
      <w:r>
        <w:t>[</w:t>
      </w:r>
      <w:r>
        <w:br/>
        <w:t>\boxed{</w:t>
      </w:r>
      <w:r>
        <w:br/>
        <w:t>C_F(z)&gt;0</w:t>
      </w:r>
      <w:r>
        <w:br/>
        <w:t>\Longleftrightarrow</w:t>
      </w:r>
      <w:r>
        <w:br/>
        <w:t>C_F(S_\lambda z)&gt;0.</w:t>
      </w:r>
      <w:r>
        <w:br/>
        <w:t>}</w:t>
      </w:r>
      <w:r>
        <w:br/>
        <w:t>\tag{3.11182}</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\boxed{C_F(z)&gt;0\Longleftrightarrow C_F(S_\lambda z)&gt;0.}</w:t>
      </w:r>
    </w:p>
    <w:p w:rsidR="00453A3F" w:rsidRDefault="00E50336" w:rsidP="00453A3F">
      <w:r>
        <w:pict>
          <v:rect id="_x0000_i3760" style="width:0;height:1.5pt" o:hralign="center" o:hrstd="t" o:hr="t" fillcolor="#a0a0a0" stroked="f"/>
        </w:pict>
      </w:r>
    </w:p>
    <w:p w:rsidR="00453A3F" w:rsidRDefault="00453A3F" w:rsidP="00453A3F">
      <w:pPr>
        <w:pStyle w:val="berschrift1"/>
      </w:pPr>
      <w:r>
        <w:t>3.3.46.244 Bedeutung für das Kohärenzprimäraxiom</w:t>
      </w:r>
    </w:p>
    <w:p w:rsidR="00453A3F" w:rsidRDefault="00453A3F" w:rsidP="00453A3F">
      <w:pPr>
        <w:pStyle w:val="StandardWeb"/>
      </w:pPr>
      <w:r>
        <w:t>In Abschnitt 3.3.43 wurde eine positive funktionale Kohärenz für mindestens eine relevante Teilstruktur als Primäraxiomkandidat bestätigt.</w:t>
      </w:r>
    </w:p>
    <w:p w:rsidR="00453A3F" w:rsidRDefault="00453A3F" w:rsidP="00453A3F">
      <w:pPr>
        <w:pStyle w:val="StandardWeb"/>
      </w:pPr>
      <w:r>
        <w:t>Eine Skalierung, welche positive Kohärenz zerstören könnte, wäre daher nicht automatisch mit jeder Realisierung dieses Axioms kompatibel.</w:t>
      </w:r>
    </w:p>
    <w:p w:rsidR="00453A3F" w:rsidRDefault="00453A3F" w:rsidP="00453A3F">
      <w:pPr>
        <w:pStyle w:val="StandardWeb"/>
      </w:pPr>
      <w:r>
        <w:t>Ist jedoch</w:t>
      </w:r>
    </w:p>
    <w:p w:rsidR="00453A3F" w:rsidRDefault="00453A3F" w:rsidP="00453A3F">
      <w:pPr>
        <w:pStyle w:val="StandardWeb"/>
      </w:pPr>
      <w:r>
        <w:t>[</w:t>
      </w:r>
      <w:r>
        <w:br/>
        <w:t>C_F(\mathcal S_C;z)&gt;0</w:t>
      </w:r>
      <w:r>
        <w:br/>
      </w:r>
      <w:r>
        <w:lastRenderedPageBreak/>
        <w:t>\tag{3.11183}</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C_F(\mathcal S_C;z)&gt;0</w:t>
      </w:r>
    </w:p>
    <w:p w:rsidR="00453A3F" w:rsidRDefault="00453A3F" w:rsidP="00453A3F">
      <w:pPr>
        <w:pStyle w:val="StandardWeb"/>
      </w:pPr>
      <w:r>
        <w:t>und eine Skalierung positivitätserhaltend, folgt</w:t>
      </w:r>
    </w:p>
    <w:p w:rsidR="00453A3F" w:rsidRDefault="00453A3F" w:rsidP="00453A3F">
      <w:pPr>
        <w:pStyle w:val="StandardWeb"/>
      </w:pPr>
      <w:r>
        <w:t>[</w:t>
      </w:r>
      <w:r>
        <w:br/>
        <w:t>C_F(S_\lambda\mathcal S_C;S_\lambda z)&gt;0.</w:t>
      </w:r>
      <w:r>
        <w:br/>
        <w:t>\tag{3.11184}</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C_F(S_\lambda\mathcal S_C;S_\lambda z)&gt;0</w:t>
      </w:r>
    </w:p>
    <w:p w:rsidR="00453A3F" w:rsidRDefault="00E50336" w:rsidP="00453A3F">
      <w:r>
        <w:pict>
          <v:rect id="_x0000_i3761" style="width:0;height:1.5pt" o:hralign="center" o:hrstd="t" o:hr="t" fillcolor="#a0a0a0" stroked="f"/>
        </w:pict>
      </w:r>
    </w:p>
    <w:p w:rsidR="00453A3F" w:rsidRDefault="00453A3F" w:rsidP="00453A3F">
      <w:pPr>
        <w:pStyle w:val="berschrift1"/>
      </w:pPr>
      <w:r>
        <w:t>3.3.46.245 Skalierung verändert das Kohärenzaxiom nicht automatisch</w:t>
      </w:r>
    </w:p>
    <w:p w:rsidR="00453A3F" w:rsidRDefault="00453A3F" w:rsidP="00453A3F">
      <w:pPr>
        <w:pStyle w:val="StandardWeb"/>
      </w:pPr>
      <w:r>
        <w:t>Aus der Existenz eines Kohärenzprimäraxioms folgt jedoch nicht, dass jede zulässige Skalierung die Kohärenz erhalten muss.</w:t>
      </w:r>
    </w:p>
    <w:p w:rsidR="00453A3F" w:rsidRDefault="00453A3F" w:rsidP="00453A3F">
      <w:pPr>
        <w:pStyle w:val="StandardWeb"/>
      </w:pPr>
      <w:r>
        <w:t>Daher gilt nicht</w:t>
      </w:r>
    </w:p>
    <w:p w:rsidR="00453A3F" w:rsidRDefault="00453A3F" w:rsidP="00453A3F">
      <w:pPr>
        <w:pStyle w:val="StandardWeb"/>
      </w:pPr>
      <w:r>
        <w:t>[</w:t>
      </w:r>
      <w:r>
        <w:br/>
        <w:t>\boxed{</w:t>
      </w:r>
      <w:r>
        <w:br/>
        <w:t>A_C</w:t>
      </w:r>
      <w:r>
        <w:br/>
        <w:t>\Rightarrow</w:t>
      </w:r>
      <w:r>
        <w:br/>
        <w:t>\forall\lambda:</w:t>
      </w:r>
      <w:r>
        <w:br/>
        <w:t>C_F(S_\lambda z)=C_F(z).</w:t>
      </w:r>
      <w:r>
        <w:br/>
        <w:t>}</w:t>
      </w:r>
      <w:r>
        <w:br/>
        <w:t>\tag{3.11185}</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\boxed{A_C\Rightarrow\forall\lambda:C_F(S_\lambda z)=C_F(z).}</w:t>
      </w:r>
    </w:p>
    <w:p w:rsidR="00453A3F" w:rsidRDefault="00453A3F" w:rsidP="00453A3F">
      <w:pPr>
        <w:pStyle w:val="StandardWeb"/>
      </w:pPr>
      <w:r>
        <w:t>Die dargestellte Implikation gehört nicht zur bisherigen Primäraxiomatik.</w:t>
      </w:r>
    </w:p>
    <w:p w:rsidR="00453A3F" w:rsidRDefault="00E50336" w:rsidP="00453A3F">
      <w:r>
        <w:pict>
          <v:rect id="_x0000_i3762" style="width:0;height:1.5pt" o:hralign="center" o:hrstd="t" o:hr="t" fillcolor="#a0a0a0" stroked="f"/>
        </w:pict>
      </w:r>
    </w:p>
    <w:p w:rsidR="00453A3F" w:rsidRDefault="00453A3F" w:rsidP="00453A3F">
      <w:pPr>
        <w:pStyle w:val="berschrift1"/>
      </w:pPr>
      <w:r>
        <w:t>3.3.46.246 Skalierungskompatibilität mit einem Kohärenzmodell</w:t>
      </w:r>
    </w:p>
    <w:p w:rsidR="00453A3F" w:rsidRDefault="00453A3F" w:rsidP="00453A3F">
      <w:pPr>
        <w:pStyle w:val="StandardWeb"/>
      </w:pPr>
      <w:r>
        <w:t>Für eine konkrete Modellklasse kann ich dagegen eine Zusatzannahme formulieren:</w:t>
      </w:r>
    </w:p>
    <w:p w:rsidR="00453A3F" w:rsidRDefault="00453A3F" w:rsidP="00453A3F">
      <w:pPr>
        <w:pStyle w:val="berschrift1"/>
      </w:pPr>
      <w:r>
        <w:lastRenderedPageBreak/>
        <w:t>[</w:t>
      </w:r>
      <w:r>
        <w:br/>
        <w:t>M_{\mathrm{sc},C}:</w:t>
      </w:r>
      <w:r>
        <w:br/>
        <w:t>C_F(S_\lambda z)</w:t>
      </w:r>
    </w:p>
    <w:p w:rsidR="00453A3F" w:rsidRDefault="00453A3F" w:rsidP="00453A3F">
      <w:pPr>
        <w:pStyle w:val="StandardWeb"/>
      </w:pPr>
      <w:r>
        <w:t>f_\lambda(C_F(z)).</w:t>
      </w:r>
      <w:r>
        <w:br/>
        <w:t>\tag{3.11186}</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M_{\mathrm{sc},C}:C_F(S_\lambda z)=f_\lambda(C_F(z))</w:t>
      </w:r>
    </w:p>
    <w:p w:rsidR="00453A3F" w:rsidRDefault="00453A3F" w:rsidP="00453A3F">
      <w:pPr>
        <w:pStyle w:val="StandardWeb"/>
      </w:pPr>
      <w:r>
        <w:t>Dabei beschreibt (f_\lambda) die skalierungsabhängige Transformation des Kohärenzwertes.</w:t>
      </w:r>
    </w:p>
    <w:p w:rsidR="00453A3F" w:rsidRDefault="00E50336" w:rsidP="00453A3F">
      <w:r>
        <w:pict>
          <v:rect id="_x0000_i3763" style="width:0;height:1.5pt" o:hralign="center" o:hrstd="t" o:hr="t" fillcolor="#a0a0a0" stroked="f"/>
        </w:pict>
      </w:r>
    </w:p>
    <w:p w:rsidR="00453A3F" w:rsidRDefault="00453A3F" w:rsidP="00453A3F">
      <w:pPr>
        <w:pStyle w:val="berschrift1"/>
      </w:pPr>
      <w:r>
        <w:t>3.3.46.247 Definition 3.3.217 – Kohärenzskalierungsmodell</w:t>
      </w:r>
    </w:p>
    <w:p w:rsidR="00453A3F" w:rsidRDefault="00453A3F" w:rsidP="00453A3F">
      <w:pPr>
        <w:pStyle w:val="berschrift3"/>
      </w:pPr>
      <w:r>
        <w:t>Definition 3.3.217</w:t>
      </w:r>
    </w:p>
    <w:p w:rsidR="00453A3F" w:rsidRDefault="00453A3F" w:rsidP="00453A3F">
      <w:pPr>
        <w:pStyle w:val="StandardWeb"/>
      </w:pPr>
      <w:r>
        <w:t xml:space="preserve">Ein </w:t>
      </w:r>
      <w:r>
        <w:rPr>
          <w:rStyle w:val="Fett"/>
        </w:rPr>
        <w:t>Kohärenzskalierungsmodell</w:t>
      </w:r>
      <w:r>
        <w:t xml:space="preserve"> ist eine Familie von Abbildungen (f_\lambda), für die</w:t>
      </w:r>
    </w:p>
    <w:p w:rsidR="00453A3F" w:rsidRDefault="00453A3F" w:rsidP="00453A3F">
      <w:pPr>
        <w:pStyle w:val="berschrift1"/>
      </w:pPr>
      <w:r>
        <w:t>[</w:t>
      </w:r>
      <w:r>
        <w:br/>
        <w:t>\boxed{</w:t>
      </w:r>
      <w:r>
        <w:br/>
        <w:t>C_F(S_\lambda z)</w:t>
      </w:r>
    </w:p>
    <w:p w:rsidR="00453A3F" w:rsidRDefault="00453A3F" w:rsidP="00453A3F">
      <w:pPr>
        <w:pStyle w:val="StandardWeb"/>
      </w:pPr>
      <w:r>
        <w:t>f_\lambda(C_F(z)).</w:t>
      </w:r>
      <w:r>
        <w:br/>
        <w:t>}</w:t>
      </w:r>
      <w:r>
        <w:br/>
        <w:t>\tag{3.11187}</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\boxed{C_F(S_\lambda z)=f_\lambda(C_F(z)).}</w:t>
      </w:r>
    </w:p>
    <w:p w:rsidR="00453A3F" w:rsidRDefault="00453A3F" w:rsidP="00453A3F">
      <w:pPr>
        <w:pStyle w:val="StandardWeb"/>
      </w:pPr>
      <w:r>
        <w:t>Die Wahl von (f_\lambda) ist Bestandteil des jeweiligen Modells.</w:t>
      </w:r>
    </w:p>
    <w:p w:rsidR="00453A3F" w:rsidRDefault="00E50336" w:rsidP="00453A3F">
      <w:r>
        <w:pict>
          <v:rect id="_x0000_i3764" style="width:0;height:1.5pt" o:hralign="center" o:hrstd="t" o:hr="t" fillcolor="#a0a0a0" stroked="f"/>
        </w:pict>
      </w:r>
    </w:p>
    <w:p w:rsidR="00453A3F" w:rsidRDefault="00453A3F" w:rsidP="00453A3F">
      <w:pPr>
        <w:pStyle w:val="berschrift1"/>
      </w:pPr>
      <w:r>
        <w:t>3.3.46.248 Spezialfälle des Kohärenzskalierungsmodells</w:t>
      </w:r>
    </w:p>
    <w:p w:rsidR="00453A3F" w:rsidRDefault="00453A3F" w:rsidP="00453A3F">
      <w:pPr>
        <w:pStyle w:val="StandardWeb"/>
      </w:pPr>
      <w:r>
        <w:t>Für</w:t>
      </w:r>
    </w:p>
    <w:p w:rsidR="00453A3F" w:rsidRDefault="00453A3F" w:rsidP="00453A3F">
      <w:pPr>
        <w:pStyle w:val="StandardWeb"/>
      </w:pPr>
      <w:r>
        <w:lastRenderedPageBreak/>
        <w:t>[</w:t>
      </w:r>
      <w:r>
        <w:br/>
        <w:t>f_\lambda(c)=c</w:t>
      </w:r>
      <w:r>
        <w:br/>
        <w:t>\tag{3.11188}</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f_\lambda(c)=c</w:t>
      </w:r>
    </w:p>
    <w:p w:rsidR="00453A3F" w:rsidRDefault="00453A3F" w:rsidP="00453A3F">
      <w:pPr>
        <w:pStyle w:val="StandardWeb"/>
      </w:pPr>
      <w:r>
        <w:t>liegt exakte Kohärenzerhaltung vor.</w:t>
      </w:r>
    </w:p>
    <w:p w:rsidR="00453A3F" w:rsidRDefault="00453A3F" w:rsidP="00453A3F">
      <w:pPr>
        <w:pStyle w:val="StandardWeb"/>
      </w:pPr>
      <w:r>
        <w:t>Für</w:t>
      </w:r>
    </w:p>
    <w:p w:rsidR="00453A3F" w:rsidRDefault="00453A3F" w:rsidP="00453A3F">
      <w:pPr>
        <w:pStyle w:val="berschrift1"/>
      </w:pPr>
      <w:r>
        <w:t>[</w:t>
      </w:r>
      <w:r>
        <w:br/>
        <w:t>f_\lambda(c)</w:t>
      </w:r>
    </w:p>
    <w:p w:rsidR="00453A3F" w:rsidRDefault="00453A3F" w:rsidP="00453A3F">
      <w:pPr>
        <w:pStyle w:val="StandardWeb"/>
      </w:pPr>
      <w:r>
        <w:t>\lambda^{\kappa_C}c</w:t>
      </w:r>
      <w:r>
        <w:br/>
        <w:t>\tag{3.11189}</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f_\lambda(c)=\lambda^{\kappa_C}c</w:t>
      </w:r>
    </w:p>
    <w:p w:rsidR="00453A3F" w:rsidRDefault="00453A3F" w:rsidP="00453A3F">
      <w:pPr>
        <w:pStyle w:val="StandardWeb"/>
      </w:pPr>
      <w:r>
        <w:t>liegt homogene Kohärenzskalierung vor.</w:t>
      </w:r>
    </w:p>
    <w:p w:rsidR="00453A3F" w:rsidRDefault="00453A3F" w:rsidP="00453A3F">
      <w:pPr>
        <w:pStyle w:val="StandardWeb"/>
      </w:pPr>
      <w:r>
        <w:t>Für monotones (f_\lambda) kann lediglich die Kohärenzordnung erhalten bleiben.</w:t>
      </w:r>
    </w:p>
    <w:p w:rsidR="00453A3F" w:rsidRDefault="00E50336" w:rsidP="00453A3F">
      <w:r>
        <w:pict>
          <v:rect id="_x0000_i3765" style="width:0;height:1.5pt" o:hralign="center" o:hrstd="t" o:hr="t" fillcolor="#a0a0a0" stroked="f"/>
        </w:pict>
      </w:r>
    </w:p>
    <w:p w:rsidR="00453A3F" w:rsidRDefault="00453A3F" w:rsidP="00453A3F">
      <w:pPr>
        <w:pStyle w:val="berschrift1"/>
      </w:pPr>
      <w:r>
        <w:t>3.3.46.249 Komposition der Kohärenzskalierung</w:t>
      </w:r>
    </w:p>
    <w:p w:rsidR="00453A3F" w:rsidRDefault="00453A3F" w:rsidP="00453A3F">
      <w:pPr>
        <w:pStyle w:val="StandardWeb"/>
      </w:pPr>
      <w:r>
        <w:t>Soll das Kohärenzskalierungsmodell mit einer Skalierungsgruppenwirkung verträglich sein, ist die Bedingung</w:t>
      </w:r>
    </w:p>
    <w:p w:rsidR="00453A3F" w:rsidRDefault="00453A3F" w:rsidP="00453A3F">
      <w:pPr>
        <w:pStyle w:val="berschrift1"/>
      </w:pPr>
      <w:r>
        <w:t>[</w:t>
      </w:r>
      <w:r>
        <w:br/>
        <w:t>f_{\lambda_1}</w:t>
      </w:r>
      <w:r>
        <w:br/>
        <w:t>\circ</w:t>
      </w:r>
      <w:r>
        <w:br/>
        <w:t>f_{\lambda_2}</w:t>
      </w:r>
    </w:p>
    <w:p w:rsidR="00453A3F" w:rsidRDefault="00453A3F" w:rsidP="00453A3F">
      <w:pPr>
        <w:pStyle w:val="StandardWeb"/>
      </w:pPr>
      <w:r>
        <w:t>f_{\lambda_1\lambda_2}</w:t>
      </w:r>
      <w:r>
        <w:br/>
        <w:t>\tag{3.11190}</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f_{\lambda_1}\circ f_{\lambda_2}=f_{\lambda_1\lambda_2}</w:t>
      </w:r>
    </w:p>
    <w:p w:rsidR="00453A3F" w:rsidRDefault="00453A3F" w:rsidP="00453A3F">
      <w:pPr>
        <w:pStyle w:val="StandardWeb"/>
      </w:pPr>
      <w:r>
        <w:lastRenderedPageBreak/>
        <w:t>naheliegend.</w:t>
      </w:r>
    </w:p>
    <w:p w:rsidR="00453A3F" w:rsidRDefault="00E50336" w:rsidP="00453A3F">
      <w:r>
        <w:pict>
          <v:rect id="_x0000_i3766" style="width:0;height:1.5pt" o:hralign="center" o:hrstd="t" o:hr="t" fillcolor="#a0a0a0" stroked="f"/>
        </w:pict>
      </w:r>
    </w:p>
    <w:p w:rsidR="00453A3F" w:rsidRDefault="00453A3F" w:rsidP="00453A3F">
      <w:pPr>
        <w:pStyle w:val="berschrift1"/>
      </w:pPr>
      <w:r>
        <w:t>3.3.46.250 Definition 3.3.218 – Kompositionskonsistentes Kohärenzskalierungsmodell</w:t>
      </w:r>
    </w:p>
    <w:p w:rsidR="00453A3F" w:rsidRDefault="00453A3F" w:rsidP="00453A3F">
      <w:pPr>
        <w:pStyle w:val="berschrift3"/>
      </w:pPr>
      <w:r>
        <w:t>Definition 3.3.218</w:t>
      </w:r>
    </w:p>
    <w:p w:rsidR="00453A3F" w:rsidRDefault="00453A3F" w:rsidP="00453A3F">
      <w:pPr>
        <w:pStyle w:val="StandardWeb"/>
      </w:pPr>
      <w:r>
        <w:t xml:space="preserve">Ein Kohärenzskalierungsmodell heißt </w:t>
      </w:r>
      <w:r>
        <w:rPr>
          <w:rStyle w:val="Fett"/>
        </w:rPr>
        <w:t>kompositionskonsistent</w:t>
      </w:r>
      <w:r>
        <w:t>, wenn</w:t>
      </w:r>
    </w:p>
    <w:p w:rsidR="00453A3F" w:rsidRDefault="00453A3F" w:rsidP="00453A3F">
      <w:pPr>
        <w:pStyle w:val="berschrift1"/>
      </w:pPr>
      <w:r>
        <w:t>[</w:t>
      </w:r>
      <w:r>
        <w:br/>
        <w:t>\boxed{</w:t>
      </w:r>
      <w:r>
        <w:br/>
        <w:t>f_1</w:t>
      </w:r>
    </w:p>
    <w:p w:rsidR="00453A3F" w:rsidRDefault="00453A3F" w:rsidP="00453A3F">
      <w:pPr>
        <w:pStyle w:val="StandardWeb"/>
      </w:pPr>
      <w:r>
        <w:t>\operatorname{id}</w:t>
      </w:r>
      <w:r>
        <w:br/>
        <w:t>}</w:t>
      </w:r>
      <w:r>
        <w:br/>
        <w:t>\tag{3.11191}</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\boxed{f_1=\operatorname{id}}</w:t>
      </w:r>
    </w:p>
    <w:p w:rsidR="00453A3F" w:rsidRDefault="00453A3F" w:rsidP="00453A3F">
      <w:pPr>
        <w:pStyle w:val="StandardWeb"/>
      </w:pPr>
      <w:r>
        <w:t>und</w:t>
      </w:r>
    </w:p>
    <w:p w:rsidR="00453A3F" w:rsidRDefault="00453A3F" w:rsidP="00453A3F">
      <w:pPr>
        <w:pStyle w:val="berschrift1"/>
      </w:pPr>
      <w:r>
        <w:t>[</w:t>
      </w:r>
      <w:r>
        <w:br/>
        <w:t>\boxed{</w:t>
      </w:r>
      <w:r>
        <w:br/>
        <w:t>f_{\lambda_1}</w:t>
      </w:r>
      <w:r>
        <w:br/>
        <w:t>\circ</w:t>
      </w:r>
      <w:r>
        <w:br/>
        <w:t>f_{\lambda_2}</w:t>
      </w:r>
    </w:p>
    <w:p w:rsidR="00453A3F" w:rsidRDefault="00453A3F" w:rsidP="00453A3F">
      <w:pPr>
        <w:pStyle w:val="StandardWeb"/>
      </w:pPr>
      <w:r>
        <w:t>f_{\lambda_1\lambda_2}</w:t>
      </w:r>
      <w:r>
        <w:br/>
        <w:t>}</w:t>
      </w:r>
      <w:r>
        <w:br/>
        <w:t>\tag{3.11192}</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\boxed{f_{\lambda_1}\circ f_{\lambda_2}=f_{\lambda_1\lambda_2}}</w:t>
      </w:r>
    </w:p>
    <w:p w:rsidR="00453A3F" w:rsidRDefault="00453A3F" w:rsidP="00453A3F">
      <w:pPr>
        <w:pStyle w:val="StandardWeb"/>
      </w:pPr>
      <w:r>
        <w:t>gelten.</w:t>
      </w:r>
    </w:p>
    <w:p w:rsidR="00453A3F" w:rsidRDefault="00E50336" w:rsidP="00453A3F">
      <w:r>
        <w:pict>
          <v:rect id="_x0000_i3767" style="width:0;height:1.5pt" o:hralign="center" o:hrstd="t" o:hr="t" fillcolor="#a0a0a0" stroked="f"/>
        </w:pict>
      </w:r>
    </w:p>
    <w:p w:rsidR="00453A3F" w:rsidRDefault="00453A3F" w:rsidP="00453A3F">
      <w:pPr>
        <w:pStyle w:val="berschrift1"/>
      </w:pPr>
      <w:r>
        <w:lastRenderedPageBreak/>
        <w:t>3.3.46.251 Skalenverträglichkeit der Übergangskohärenz</w:t>
      </w:r>
    </w:p>
    <w:p w:rsidR="00453A3F" w:rsidRDefault="00453A3F" w:rsidP="00453A3F">
      <w:pPr>
        <w:pStyle w:val="StandardWeb"/>
      </w:pPr>
      <w:r>
        <w:t>Neben einer zustandsbezogenen Kohärenz kann eine Kohärenzgröße auch von Übergängen abhängen.</w:t>
      </w:r>
    </w:p>
    <w:p w:rsidR="00453A3F" w:rsidRDefault="00453A3F" w:rsidP="00453A3F">
      <w:pPr>
        <w:pStyle w:val="StandardWeb"/>
      </w:pPr>
      <w:r>
        <w:t>Sei</w:t>
      </w:r>
    </w:p>
    <w:p w:rsidR="00453A3F" w:rsidRDefault="00453A3F" w:rsidP="00453A3F">
      <w:pPr>
        <w:pStyle w:val="StandardWeb"/>
      </w:pPr>
      <w:r>
        <w:t>[</w:t>
      </w:r>
      <w:r>
        <w:br/>
        <w:t>C_F(z_i,z_j).</w:t>
      </w:r>
      <w:r>
        <w:br/>
        <w:t>\tag{3.11193}</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C_F(z_i,z_j)</w:t>
      </w:r>
    </w:p>
    <w:p w:rsidR="00453A3F" w:rsidRDefault="00453A3F" w:rsidP="00453A3F">
      <w:pPr>
        <w:pStyle w:val="StandardWeb"/>
      </w:pPr>
      <w:r>
        <w:t>Dann kann die Skalierung auf beide Argumente wirken:</w:t>
      </w:r>
    </w:p>
    <w:p w:rsidR="00453A3F" w:rsidRDefault="00453A3F" w:rsidP="00453A3F">
      <w:pPr>
        <w:pStyle w:val="StandardWeb"/>
      </w:pPr>
      <w:r>
        <w:t>[</w:t>
      </w:r>
      <w:r>
        <w:br/>
        <w:t>C_F(S_\lambda z_i,S_\lambda z_j).</w:t>
      </w:r>
      <w:r>
        <w:br/>
        <w:t>\tag{3.11194}</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z_i,S_\lambda z_j)</w:t>
      </w:r>
    </w:p>
    <w:p w:rsidR="00453A3F" w:rsidRDefault="00E50336" w:rsidP="00453A3F">
      <w:r>
        <w:pict>
          <v:rect id="_x0000_i3768" style="width:0;height:1.5pt" o:hralign="center" o:hrstd="t" o:hr="t" fillcolor="#a0a0a0" stroked="f"/>
        </w:pict>
      </w:r>
    </w:p>
    <w:p w:rsidR="00453A3F" w:rsidRDefault="00453A3F" w:rsidP="00453A3F">
      <w:pPr>
        <w:pStyle w:val="berschrift1"/>
      </w:pPr>
      <w:r>
        <w:t>3.3.46.252 Definition 3.3.219 – Übergangskohärenzerhaltende Skalierung</w:t>
      </w:r>
    </w:p>
    <w:p w:rsidR="00453A3F" w:rsidRDefault="00453A3F" w:rsidP="00453A3F">
      <w:pPr>
        <w:pStyle w:val="berschrift3"/>
      </w:pPr>
      <w:r>
        <w:t>Definition 3.3.219</w:t>
      </w:r>
    </w:p>
    <w:p w:rsidR="00453A3F" w:rsidRDefault="00453A3F" w:rsidP="00453A3F">
      <w:pPr>
        <w:pStyle w:val="StandardWeb"/>
      </w:pPr>
      <w:r>
        <w:t xml:space="preserve">Eine Skalierung heißt </w:t>
      </w:r>
      <w:r>
        <w:rPr>
          <w:rStyle w:val="Fett"/>
        </w:rPr>
        <w:t>übergangskohärenzerhaltend</w:t>
      </w:r>
      <w:r>
        <w:t>, wenn</w:t>
      </w:r>
    </w:p>
    <w:p w:rsidR="00453A3F" w:rsidRDefault="00453A3F" w:rsidP="00453A3F">
      <w:pPr>
        <w:pStyle w:val="berschrift1"/>
      </w:pPr>
      <w:r>
        <w:t>[</w:t>
      </w:r>
      <w:r>
        <w:br/>
        <w:t>\boxed{</w:t>
      </w:r>
      <w:r>
        <w:br/>
        <w:t>C_F(S_\lambda z_i,S_\lambda z_j)</w:t>
      </w:r>
    </w:p>
    <w:p w:rsidR="00453A3F" w:rsidRDefault="00453A3F" w:rsidP="00453A3F">
      <w:pPr>
        <w:pStyle w:val="StandardWeb"/>
      </w:pPr>
      <w:r>
        <w:t>C_F(z_i,z_j)</w:t>
      </w:r>
      <w:r>
        <w:br/>
        <w:t>}</w:t>
      </w:r>
      <w:r>
        <w:br/>
        <w:t>\tag{3.11195}</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lastRenderedPageBreak/>
        <w:t>\boxed{C_F(S_\lambda z_i,S_\lambda z_j)=C_F(z_i,z_j)}</w:t>
      </w:r>
    </w:p>
    <w:p w:rsidR="00453A3F" w:rsidRDefault="00453A3F" w:rsidP="00453A3F">
      <w:pPr>
        <w:pStyle w:val="StandardWeb"/>
      </w:pPr>
      <w:r>
        <w:t>für alle betrachteten Übergänge gilt.</w:t>
      </w:r>
    </w:p>
    <w:p w:rsidR="00453A3F" w:rsidRDefault="00E50336" w:rsidP="00453A3F">
      <w:r>
        <w:pict>
          <v:rect id="_x0000_i3769" style="width:0;height:1.5pt" o:hralign="center" o:hrstd="t" o:hr="t" fillcolor="#a0a0a0" stroked="f"/>
        </w:pict>
      </w:r>
    </w:p>
    <w:p w:rsidR="00453A3F" w:rsidRDefault="00453A3F" w:rsidP="00453A3F">
      <w:pPr>
        <w:pStyle w:val="berschrift1"/>
      </w:pPr>
      <w:r>
        <w:t>3.3.46.253 Übergangs- und Kohärenzerhaltung sind unabhängig</w:t>
      </w:r>
    </w:p>
    <w:p w:rsidR="00453A3F" w:rsidRDefault="00453A3F" w:rsidP="00453A3F">
      <w:pPr>
        <w:pStyle w:val="StandardWeb"/>
      </w:pPr>
      <w:r>
        <w:t>Eine Skalierung kann die Übergangsrelation erhalten, ohne den numerischen Kohärenzwert zu erhalten.</w:t>
      </w:r>
    </w:p>
    <w:p w:rsidR="00453A3F" w:rsidRDefault="00453A3F" w:rsidP="00453A3F">
      <w:pPr>
        <w:pStyle w:val="StandardWeb"/>
      </w:pPr>
      <w:r>
        <w:t>Ebenso kann sie für bestimmte Zustände Kohärenzwerte erhalten, ohne sämtliche zulässigen Übergänge auf zulässige Übergänge abzubilden.</w:t>
      </w:r>
    </w:p>
    <w:p w:rsidR="00453A3F" w:rsidRDefault="00453A3F" w:rsidP="00453A3F">
      <w:pPr>
        <w:pStyle w:val="StandardWeb"/>
      </w:pPr>
      <w:r>
        <w:t>Daher gilt im Allgemeinen weder</w:t>
      </w:r>
    </w:p>
    <w:p w:rsidR="00453A3F" w:rsidRDefault="00453A3F" w:rsidP="00453A3F">
      <w:pPr>
        <w:pStyle w:val="StandardWeb"/>
      </w:pPr>
      <w:r>
        <w:t>[</w:t>
      </w:r>
      <w:r>
        <w:br/>
        <w:t>\operatorname{Inv}</w:t>
      </w:r>
      <w:r>
        <w:rPr>
          <w:rStyle w:val="Hervorhebung"/>
        </w:rPr>
        <w:t>{\mathrm{sc}}(\mathcal T_F)</w:t>
      </w:r>
      <w:r>
        <w:rPr>
          <w:i/>
          <w:iCs/>
        </w:rPr>
        <w:br/>
      </w:r>
      <w:r>
        <w:rPr>
          <w:rStyle w:val="Hervorhebung"/>
        </w:rPr>
        <w:t>\Rightarrow</w:t>
      </w:r>
      <w:r>
        <w:rPr>
          <w:i/>
          <w:iCs/>
        </w:rPr>
        <w:br/>
      </w:r>
      <w:r>
        <w:rPr>
          <w:rStyle w:val="Hervorhebung"/>
        </w:rPr>
        <w:t>\operatorname{Inv}</w:t>
      </w:r>
      <w:r>
        <w:t>{\mathrm{sc}}(C_F)</w:t>
      </w:r>
      <w:r>
        <w:br/>
        <w:t>\tag{3.11196}</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\operatorname{Inv}_{\mathrm{sc}}(\mathcal T_F)\Rightarrow\operatorname{Inv}_{\mathrm{sc}}(C_F)</w:t>
      </w:r>
    </w:p>
    <w:p w:rsidR="00453A3F" w:rsidRDefault="00453A3F" w:rsidP="00453A3F">
      <w:pPr>
        <w:pStyle w:val="StandardWeb"/>
      </w:pPr>
      <w:r>
        <w:t>noch</w:t>
      </w:r>
    </w:p>
    <w:p w:rsidR="00453A3F" w:rsidRDefault="00453A3F" w:rsidP="00453A3F">
      <w:pPr>
        <w:pStyle w:val="StandardWeb"/>
      </w:pPr>
      <w:r>
        <w:t>[</w:t>
      </w:r>
      <w:r>
        <w:br/>
        <w:t>\operatorname{Inv}</w:t>
      </w:r>
      <w:r>
        <w:rPr>
          <w:rStyle w:val="Hervorhebung"/>
        </w:rPr>
        <w:t>{\mathrm{sc}}(C_F)</w:t>
      </w:r>
      <w:r>
        <w:rPr>
          <w:i/>
          <w:iCs/>
        </w:rPr>
        <w:br/>
      </w:r>
      <w:r>
        <w:rPr>
          <w:rStyle w:val="Hervorhebung"/>
        </w:rPr>
        <w:t>\Rightarrow</w:t>
      </w:r>
      <w:r>
        <w:rPr>
          <w:i/>
          <w:iCs/>
        </w:rPr>
        <w:br/>
      </w:r>
      <w:r>
        <w:rPr>
          <w:rStyle w:val="Hervorhebung"/>
        </w:rPr>
        <w:t>\operatorname{Inv}</w:t>
      </w:r>
      <w:r>
        <w:t>{\mathrm{sc}}(\mathcal T_F).</w:t>
      </w:r>
      <w:r>
        <w:br/>
        <w:t>\tag{3.11197}</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\operatorname{Inv}_{\mathrm{sc}}(C_F)\Rightarrow\operatorname{Inv}_{\mathrm{sc}}(\mathcal T_F)</w:t>
      </w:r>
    </w:p>
    <w:p w:rsidR="00453A3F" w:rsidRDefault="00E50336" w:rsidP="00453A3F">
      <w:r>
        <w:pict>
          <v:rect id="_x0000_i3770" style="width:0;height:1.5pt" o:hralign="center" o:hrstd="t" o:hr="t" fillcolor="#a0a0a0" stroked="f"/>
        </w:pict>
      </w:r>
    </w:p>
    <w:p w:rsidR="00453A3F" w:rsidRDefault="00453A3F" w:rsidP="00453A3F">
      <w:pPr>
        <w:pStyle w:val="berschrift1"/>
      </w:pPr>
      <w:r>
        <w:t>3.3.46.254 Definition 3.3.220 – Vollständig skalenkompatible Übergangs-Kohärenz-Struktur</w:t>
      </w:r>
    </w:p>
    <w:p w:rsidR="00453A3F" w:rsidRDefault="00453A3F" w:rsidP="00453A3F">
      <w:pPr>
        <w:pStyle w:val="berschrift3"/>
      </w:pPr>
      <w:r>
        <w:t>Definition 3.3.220</w:t>
      </w:r>
    </w:p>
    <w:p w:rsidR="00453A3F" w:rsidRDefault="00453A3F" w:rsidP="00453A3F">
      <w:pPr>
        <w:pStyle w:val="StandardWeb"/>
      </w:pPr>
      <w:r>
        <w:lastRenderedPageBreak/>
        <w:t xml:space="preserve">Eine Skalierung heißt bezüglich eines Modells </w:t>
      </w:r>
      <w:r>
        <w:rPr>
          <w:rStyle w:val="Fett"/>
        </w:rPr>
        <w:t>vollständig übergangs-kohärenz-kompatibel</w:t>
      </w:r>
      <w:r>
        <w:t>, wenn sowohl</w:t>
      </w:r>
    </w:p>
    <w:p w:rsidR="00453A3F" w:rsidRDefault="00453A3F" w:rsidP="00453A3F">
      <w:pPr>
        <w:pStyle w:val="StandardWeb"/>
      </w:pPr>
      <w:r>
        <w:t>[</w:t>
      </w:r>
      <w:r>
        <w:br/>
        <w:t>(z_i,z_j)\in\mathcal T_F</w:t>
      </w:r>
      <w:r>
        <w:br/>
        <w:t>\Longleftrightarrow</w:t>
      </w:r>
      <w:r>
        <w:br/>
        <w:t>(S_\lambda z_i,S_\lambda z_j)\in\mathcal T_F</w:t>
      </w:r>
      <w:r>
        <w:br/>
        <w:t>\tag{3.11198}</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(z_i,z_j)\in\mathcal T_F\Longleftrightarrow(S_\lambda z_i,S_\lambda z_j)\in\mathcal T_F</w:t>
      </w:r>
    </w:p>
    <w:p w:rsidR="00453A3F" w:rsidRDefault="00453A3F" w:rsidP="00453A3F">
      <w:pPr>
        <w:pStyle w:val="StandardWeb"/>
      </w:pPr>
      <w:r>
        <w:t>als auch</w:t>
      </w:r>
    </w:p>
    <w:p w:rsidR="00453A3F" w:rsidRDefault="00453A3F" w:rsidP="00453A3F">
      <w:pPr>
        <w:pStyle w:val="berschrift1"/>
      </w:pPr>
      <w:r>
        <w:t>[</w:t>
      </w:r>
      <w:r>
        <w:br/>
        <w:t>C_F(S_\lambda z_i,S_\lambda z_j)</w:t>
      </w:r>
    </w:p>
    <w:p w:rsidR="00453A3F" w:rsidRDefault="00453A3F" w:rsidP="00453A3F">
      <w:pPr>
        <w:pStyle w:val="StandardWeb"/>
      </w:pPr>
      <w:r>
        <w:t>C_F(z_i,z_j)</w:t>
      </w:r>
      <w:r>
        <w:br/>
        <w:t>\tag{3.11199}</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C_F(S_\lambda z_i,S_\lambda z_j)=C_F(z_i,z_j)</w:t>
      </w:r>
    </w:p>
    <w:p w:rsidR="00453A3F" w:rsidRDefault="00453A3F" w:rsidP="00453A3F">
      <w:pPr>
        <w:pStyle w:val="StandardWeb"/>
      </w:pPr>
      <w:r>
        <w:t>gelten.</w:t>
      </w:r>
    </w:p>
    <w:p w:rsidR="00453A3F" w:rsidRDefault="00453A3F" w:rsidP="00453A3F">
      <w:pPr>
        <w:pStyle w:val="StandardWeb"/>
      </w:pPr>
      <w:r>
        <w:t>Ich fasse beide Bedingungen zusammen als</w:t>
      </w:r>
    </w:p>
    <w:p w:rsidR="00453A3F" w:rsidRDefault="00453A3F" w:rsidP="00453A3F">
      <w:pPr>
        <w:pStyle w:val="StandardWeb"/>
      </w:pPr>
      <w:r>
        <w:t>[</w:t>
      </w:r>
      <w:r>
        <w:br/>
        <w:t>\boxed{</w:t>
      </w:r>
      <w:r>
        <w:br/>
        <w:t>\operatorname{Comp}_{\mathrm{sc}}(\mathcal T_F,C_F)=1.</w:t>
      </w:r>
      <w:r>
        <w:br/>
        <w:t>}</w:t>
      </w:r>
      <w:r>
        <w:br/>
        <w:t>\tag{3.11200}</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\boxed{\operatorname{Comp}_{\mathrm{sc}}(\mathcal T_F,C_F)=1.}</w:t>
      </w:r>
    </w:p>
    <w:p w:rsidR="00453A3F" w:rsidRDefault="00E50336" w:rsidP="00453A3F">
      <w:r>
        <w:pict>
          <v:rect id="_x0000_i3771" style="width:0;height:1.5pt" o:hralign="center" o:hrstd="t" o:hr="t" fillcolor="#a0a0a0" stroked="f"/>
        </w:pict>
      </w:r>
    </w:p>
    <w:p w:rsidR="00453A3F" w:rsidRDefault="00453A3F" w:rsidP="00453A3F">
      <w:pPr>
        <w:pStyle w:val="berschrift1"/>
      </w:pPr>
      <w:r>
        <w:t>3.3.46.255 Skalenkompatibilität funktionaler Operatoren</w:t>
      </w:r>
    </w:p>
    <w:p w:rsidR="00453A3F" w:rsidRDefault="00453A3F" w:rsidP="00453A3F">
      <w:pPr>
        <w:pStyle w:val="StandardWeb"/>
      </w:pPr>
      <w:r>
        <w:t>Nun kann ich die bereits vorhandenen FRZK-Operatoren in dieselbe Prüfung einbeziehen.</w:t>
      </w:r>
    </w:p>
    <w:p w:rsidR="00453A3F" w:rsidRDefault="00453A3F" w:rsidP="00453A3F">
      <w:pPr>
        <w:pStyle w:val="StandardWeb"/>
      </w:pPr>
      <w:r>
        <w:lastRenderedPageBreak/>
        <w:t>Sei ein funktionaler Operator</w:t>
      </w:r>
    </w:p>
    <w:p w:rsidR="00453A3F" w:rsidRDefault="00453A3F" w:rsidP="00453A3F">
      <w:pPr>
        <w:pStyle w:val="StandardWeb"/>
      </w:pPr>
      <w:r>
        <w:t>[</w:t>
      </w:r>
      <w:r>
        <w:br/>
        <w:t>\mathcal O:</w:t>
      </w:r>
      <w:r>
        <w:br/>
        <w:t>\Omega_F</w:t>
      </w:r>
      <w:r>
        <w:br/>
        <w:t>\rightarrow</w:t>
      </w:r>
      <w:r>
        <w:br/>
        <w:t>\Omega_F.</w:t>
      </w:r>
      <w:r>
        <w:br/>
        <w:t>\tag{3.11201}</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\mathcal O:\Omega_F\rightarrow\Omega_F</w:t>
      </w:r>
    </w:p>
    <w:p w:rsidR="00453A3F" w:rsidRDefault="00453A3F" w:rsidP="00453A3F">
      <w:pPr>
        <w:pStyle w:val="StandardWeb"/>
      </w:pPr>
      <w:r>
        <w:t>Die stärkste einfache Verträglichkeitsbedingung ist</w:t>
      </w:r>
    </w:p>
    <w:p w:rsidR="00453A3F" w:rsidRDefault="00453A3F" w:rsidP="00453A3F">
      <w:pPr>
        <w:pStyle w:val="berschrift1"/>
      </w:pPr>
      <w:r>
        <w:t>[</w:t>
      </w:r>
      <w:r>
        <w:br/>
        <w:t>\mathcal O(S_\lambda z)</w:t>
      </w:r>
    </w:p>
    <w:p w:rsidR="00453A3F" w:rsidRDefault="00453A3F" w:rsidP="00453A3F">
      <w:pPr>
        <w:pStyle w:val="StandardWeb"/>
      </w:pPr>
      <w:r>
        <w:t>S_\lambda(\mathcal O z).</w:t>
      </w:r>
      <w:r>
        <w:br/>
        <w:t>\tag{3.11202}</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\mathcal O(S_\lambda z)=S_\lambda(\mathcal O z)</w:t>
      </w:r>
    </w:p>
    <w:p w:rsidR="00453A3F" w:rsidRDefault="00E50336" w:rsidP="00453A3F">
      <w:r>
        <w:pict>
          <v:rect id="_x0000_i3772" style="width:0;height:1.5pt" o:hralign="center" o:hrstd="t" o:hr="t" fillcolor="#a0a0a0" stroked="f"/>
        </w:pict>
      </w:r>
    </w:p>
    <w:p w:rsidR="00453A3F" w:rsidRDefault="00453A3F" w:rsidP="00453A3F">
      <w:pPr>
        <w:pStyle w:val="berschrift1"/>
      </w:pPr>
      <w:r>
        <w:t>3.3.46.256 Definition 3.3.221 – Skalenkommutierender FRZK-Operator</w:t>
      </w:r>
    </w:p>
    <w:p w:rsidR="00453A3F" w:rsidRDefault="00453A3F" w:rsidP="00453A3F">
      <w:pPr>
        <w:pStyle w:val="berschrift3"/>
      </w:pPr>
      <w:r>
        <w:t>Definition 3.3.221</w:t>
      </w:r>
    </w:p>
    <w:p w:rsidR="00453A3F" w:rsidRDefault="00453A3F" w:rsidP="00453A3F">
      <w:pPr>
        <w:pStyle w:val="StandardWeb"/>
      </w:pPr>
      <w:r>
        <w:t xml:space="preserve">Ein FRZK-Operator (\mathcal O) heißt </w:t>
      </w:r>
      <w:r>
        <w:rPr>
          <w:rStyle w:val="Fett"/>
        </w:rPr>
        <w:t>skalenkommutierend</w:t>
      </w:r>
      <w:r>
        <w:t>, wenn</w:t>
      </w:r>
    </w:p>
    <w:p w:rsidR="00453A3F" w:rsidRDefault="00453A3F" w:rsidP="00453A3F">
      <w:pPr>
        <w:pStyle w:val="berschrift1"/>
      </w:pPr>
      <w:r>
        <w:t>[</w:t>
      </w:r>
      <w:r>
        <w:br/>
        <w:t>\boxed{</w:t>
      </w:r>
      <w:r>
        <w:br/>
        <w:t>[\mathcal O,S_\lambda]</w:t>
      </w:r>
    </w:p>
    <w:p w:rsidR="00453A3F" w:rsidRDefault="00453A3F" w:rsidP="00453A3F">
      <w:pPr>
        <w:pStyle w:val="StandardWeb"/>
      </w:pPr>
      <w:r>
        <w:t>0,</w:t>
      </w:r>
      <w:r>
        <w:br/>
        <w:t>}</w:t>
      </w:r>
      <w:r>
        <w:br/>
        <w:t>\tag{3.11203}</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lastRenderedPageBreak/>
        <w:t>\boxed{[\mathcal O,S_\lambda]=0,}</w:t>
      </w:r>
    </w:p>
    <w:p w:rsidR="00453A3F" w:rsidRDefault="00453A3F" w:rsidP="00453A3F">
      <w:pPr>
        <w:pStyle w:val="StandardWeb"/>
      </w:pPr>
      <w:r>
        <w:t>wobei</w:t>
      </w:r>
    </w:p>
    <w:p w:rsidR="00453A3F" w:rsidRDefault="00453A3F" w:rsidP="00453A3F">
      <w:pPr>
        <w:pStyle w:val="berschrift2"/>
      </w:pPr>
      <w:r>
        <w:t>[</w:t>
      </w:r>
      <w:r>
        <w:br/>
        <w:t>[\mathcal O,S_\lambda]</w:t>
      </w:r>
      <w:r>
        <w:br/>
        <w:t>:=</w:t>
      </w:r>
      <w:r>
        <w:br/>
        <w:t>\mathcal O S_\lambda</w:t>
      </w:r>
    </w:p>
    <w:p w:rsidR="00453A3F" w:rsidRDefault="00453A3F" w:rsidP="00453A3F">
      <w:pPr>
        <w:pStyle w:val="StandardWeb"/>
      </w:pPr>
      <w:r>
        <w:t>S_\lambda\mathcal O.</w:t>
      </w:r>
      <w:r>
        <w:br/>
        <w:t>\tag{3.11204}</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[\mathcal O,S_\lambda]:=\mathcal O S_\lambda-S_\lambda\mathcal O</w:t>
      </w:r>
    </w:p>
    <w:p w:rsidR="00453A3F" w:rsidRDefault="00E50336" w:rsidP="00453A3F">
      <w:r>
        <w:pict>
          <v:rect id="_x0000_i3773" style="width:0;height:1.5pt" o:hralign="center" o:hrstd="t" o:hr="t" fillcolor="#a0a0a0" stroked="f"/>
        </w:pict>
      </w:r>
    </w:p>
    <w:p w:rsidR="00453A3F" w:rsidRDefault="00453A3F" w:rsidP="00453A3F">
      <w:pPr>
        <w:pStyle w:val="berschrift1"/>
      </w:pPr>
      <w:r>
        <w:t>3.3.46.257 Kommutator nur bei geeigneter algebraischer Struktur</w:t>
      </w:r>
    </w:p>
    <w:p w:rsidR="00453A3F" w:rsidRDefault="00453A3F" w:rsidP="00453A3F">
      <w:pPr>
        <w:pStyle w:val="StandardWeb"/>
      </w:pPr>
      <w:r>
        <w:t>Der Ausdruck</w:t>
      </w:r>
    </w:p>
    <w:p w:rsidR="00453A3F" w:rsidRDefault="00453A3F" w:rsidP="00453A3F">
      <w:pPr>
        <w:pStyle w:val="berschrift2"/>
      </w:pPr>
      <w:r>
        <w:t>[</w:t>
      </w:r>
      <w:r>
        <w:br/>
        <w:t>\mathcal O S_\lambda</w:t>
      </w:r>
    </w:p>
    <w:p w:rsidR="00453A3F" w:rsidRDefault="00453A3F" w:rsidP="00453A3F">
      <w:pPr>
        <w:pStyle w:val="StandardWeb"/>
      </w:pPr>
      <w:r>
        <w:t>S_\lambda\mathcal O</w:t>
      </w:r>
      <w:r>
        <w:br/>
        <w:t>\tag{3.11205}</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\mathcal O S_\lambda-S_\lambda\mathcal O</w:t>
      </w:r>
    </w:p>
    <w:p w:rsidR="00453A3F" w:rsidRDefault="00453A3F" w:rsidP="00453A3F">
      <w:pPr>
        <w:pStyle w:val="StandardWeb"/>
      </w:pPr>
      <w:r>
        <w:t>setzt voraus, dass Operatoren addiert beziehungsweise subtrahiert werden können.</w:t>
      </w:r>
    </w:p>
    <w:p w:rsidR="00453A3F" w:rsidRDefault="00453A3F" w:rsidP="00453A3F">
      <w:pPr>
        <w:pStyle w:val="StandardWeb"/>
      </w:pPr>
      <w:r>
        <w:t>In einer rein relationalen Modellklasse muss ich daher gegebenenfalls ausschließlich die Gleichheit</w:t>
      </w:r>
    </w:p>
    <w:p w:rsidR="00453A3F" w:rsidRDefault="00453A3F" w:rsidP="00453A3F">
      <w:pPr>
        <w:pStyle w:val="berschrift1"/>
      </w:pPr>
      <w:r>
        <w:t>[</w:t>
      </w:r>
      <w:r>
        <w:br/>
        <w:t>\mathcal O\circ S_\lambda</w:t>
      </w:r>
    </w:p>
    <w:p w:rsidR="00453A3F" w:rsidRDefault="00453A3F" w:rsidP="00453A3F">
      <w:pPr>
        <w:pStyle w:val="StandardWeb"/>
      </w:pPr>
      <w:r>
        <w:t>S_\lambda\circ\mathcal O</w:t>
      </w:r>
      <w:r>
        <w:br/>
        <w:t>\tag{3.11206}</w:t>
      </w:r>
      <w:r>
        <w:br/>
        <w:t>]</w:t>
      </w:r>
    </w:p>
    <w:p w:rsidR="00453A3F" w:rsidRDefault="00453A3F" w:rsidP="00453A3F">
      <w:pPr>
        <w:pStyle w:val="StandardWeb"/>
      </w:pPr>
      <w:r>
        <w:rPr>
          <w:rStyle w:val="Fett"/>
        </w:rPr>
        <w:lastRenderedPageBreak/>
        <w:t>Word-LaTeX</w:t>
      </w:r>
    </w:p>
    <w:p w:rsidR="00453A3F" w:rsidRDefault="00453A3F" w:rsidP="00453A3F">
      <w:pPr>
        <w:pStyle w:val="HTMLVorformatiert"/>
        <w:rPr>
          <w:rStyle w:val="HTMLCode"/>
        </w:rPr>
      </w:pPr>
      <w:r>
        <w:rPr>
          <w:rStyle w:val="HTMLCode"/>
        </w:rPr>
        <w:t>\mathcal O\circ S_\lambda=S_\lambda\circ\mathcal O</w:t>
      </w:r>
    </w:p>
    <w:p w:rsidR="00453A3F" w:rsidRDefault="00453A3F" w:rsidP="00453A3F">
      <w:pPr>
        <w:pStyle w:val="StandardWeb"/>
      </w:pPr>
      <w:r>
        <w:t>verwenden.</w:t>
      </w:r>
    </w:p>
    <w:p w:rsidR="00453A3F" w:rsidRDefault="00E50336" w:rsidP="00453A3F">
      <w:r>
        <w:pict>
          <v:rect id="_x0000_i3774" style="width:0;height:1.5pt" o:hralign="center" o:hrstd="t" o:hr="t" fillcolor="#a0a0a0" stroked="f"/>
        </w:pict>
      </w:r>
    </w:p>
    <w:p w:rsidR="00453A3F" w:rsidRDefault="00453A3F" w:rsidP="00453A3F">
      <w:pPr>
        <w:pStyle w:val="berschrift1"/>
      </w:pPr>
      <w:r>
        <w:t>3.3.46.258 Skalenkompatibilität einer Operatorfamilie</w:t>
      </w:r>
    </w:p>
    <w:p w:rsidR="00453A3F" w:rsidRDefault="00453A3F" w:rsidP="00453A3F">
      <w:pPr>
        <w:pStyle w:val="StandardWeb"/>
      </w:pPr>
      <w:r>
        <w:t>Für eine Menge funktionaler Operatoren</w:t>
      </w:r>
    </w:p>
    <w:p w:rsidR="00453A3F" w:rsidRDefault="00453A3F" w:rsidP="00453A3F">
      <w:pPr>
        <w:pStyle w:val="berschrift1"/>
      </w:pPr>
      <w:r>
        <w:t>[</w:t>
      </w:r>
      <w:r>
        <w:br/>
        <w:t>\mathfrak O_F</w:t>
      </w:r>
    </w:p>
    <w:p w:rsidR="00453A3F" w:rsidRDefault="00453A3F" w:rsidP="00453A3F">
      <w:pPr>
        <w:pStyle w:val="StandardWeb"/>
      </w:pPr>
      <w:r>
        <w:t>{\mathcal O_1,\ldots,\mathcal O_n}</w:t>
      </w:r>
      <w:r>
        <w:br/>
        <w:t>\tag{3.11207}</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\mathfrak O_F=\{\mathcal O_1,\ldots,\mathcal O_n\}</w:t>
      </w:r>
    </w:p>
    <w:p w:rsidR="00453A3F" w:rsidRDefault="00453A3F" w:rsidP="00453A3F">
      <w:pPr>
        <w:pStyle w:val="StandardWeb"/>
      </w:pPr>
      <w:r>
        <w:t>kann verlangt werden</w:t>
      </w:r>
    </w:p>
    <w:p w:rsidR="00453A3F" w:rsidRDefault="00453A3F" w:rsidP="00453A3F">
      <w:pPr>
        <w:pStyle w:val="berschrift1"/>
      </w:pPr>
      <w:r>
        <w:t>[</w:t>
      </w:r>
      <w:r>
        <w:br/>
        <w:t>\mathcal O_iS_\lambda</w:t>
      </w:r>
    </w:p>
    <w:p w:rsidR="00453A3F" w:rsidRDefault="00453A3F" w:rsidP="00453A3F">
      <w:pPr>
        <w:pStyle w:val="StandardWeb"/>
      </w:pPr>
      <w:r>
        <w:t>S_\lambda\mathcal O_i</w:t>
      </w:r>
      <w:r>
        <w:br/>
        <w:t>\qquad</w:t>
      </w:r>
      <w:r>
        <w:br/>
        <w:t>\forall i.</w:t>
      </w:r>
      <w:r>
        <w:br/>
        <w:t>\tag{3.11208}</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\mathcal O_iS_\lambda=S_\lambda\mathcal O_i\qquad\forall i</w:t>
      </w:r>
    </w:p>
    <w:p w:rsidR="00453A3F" w:rsidRDefault="00E50336" w:rsidP="00453A3F">
      <w:r>
        <w:pict>
          <v:rect id="_x0000_i3775" style="width:0;height:1.5pt" o:hralign="center" o:hrstd="t" o:hr="t" fillcolor="#a0a0a0" stroked="f"/>
        </w:pict>
      </w:r>
    </w:p>
    <w:p w:rsidR="00453A3F" w:rsidRDefault="00453A3F" w:rsidP="00453A3F">
      <w:pPr>
        <w:pStyle w:val="berschrift1"/>
      </w:pPr>
      <w:r>
        <w:t>3.3.46.259 Definition 3.3.222 – Vollständig skalenkompatible Operatorfamilie</w:t>
      </w:r>
    </w:p>
    <w:p w:rsidR="00453A3F" w:rsidRDefault="00453A3F" w:rsidP="00453A3F">
      <w:pPr>
        <w:pStyle w:val="berschrift3"/>
      </w:pPr>
      <w:r>
        <w:t>Definition 3.3.222</w:t>
      </w:r>
    </w:p>
    <w:p w:rsidR="00453A3F" w:rsidRDefault="00453A3F" w:rsidP="00453A3F">
      <w:pPr>
        <w:pStyle w:val="StandardWeb"/>
      </w:pPr>
      <w:r>
        <w:t xml:space="preserve">Eine Operatorfamilie (\mathfrak O_F) heißt </w:t>
      </w:r>
      <w:r>
        <w:rPr>
          <w:rStyle w:val="Fett"/>
        </w:rPr>
        <w:t>vollständig skalenkompatibel</w:t>
      </w:r>
      <w:r>
        <w:t>, wenn</w:t>
      </w:r>
    </w:p>
    <w:p w:rsidR="00453A3F" w:rsidRDefault="00453A3F" w:rsidP="00453A3F">
      <w:pPr>
        <w:pStyle w:val="berschrift1"/>
      </w:pPr>
      <w:r>
        <w:lastRenderedPageBreak/>
        <w:t>[</w:t>
      </w:r>
      <w:r>
        <w:br/>
        <w:t>\boxed{</w:t>
      </w:r>
      <w:r>
        <w:br/>
        <w:t>\mathcal O_i\circ S_\lambda</w:t>
      </w:r>
    </w:p>
    <w:p w:rsidR="00453A3F" w:rsidRDefault="00453A3F" w:rsidP="00453A3F">
      <w:pPr>
        <w:pStyle w:val="StandardWeb"/>
      </w:pPr>
      <w:r>
        <w:t>S_\lambda\circ\mathcal O_i</w:t>
      </w:r>
      <w:r>
        <w:br/>
        <w:t>\qquad</w:t>
      </w:r>
      <w:r>
        <w:br/>
        <w:t>\forall\mathcal O_i\in\mathfrak O_F.</w:t>
      </w:r>
      <w:r>
        <w:br/>
        <w:t>}</w:t>
      </w:r>
      <w:r>
        <w:br/>
        <w:t>\tag{3.11209}</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\boxed{\mathcal O_i\circ S_\lambda=S_\lambda\circ\mathcal O_i\qquad\forall\mathcal O_i\in\mathfrak O_F.}</w:t>
      </w:r>
    </w:p>
    <w:p w:rsidR="00453A3F" w:rsidRDefault="00E50336" w:rsidP="00453A3F">
      <w:r>
        <w:pict>
          <v:rect id="_x0000_i3776" style="width:0;height:1.5pt" o:hralign="center" o:hrstd="t" o:hr="t" fillcolor="#a0a0a0" stroked="f"/>
        </w:pict>
      </w:r>
    </w:p>
    <w:p w:rsidR="00453A3F" w:rsidRDefault="00453A3F" w:rsidP="00453A3F">
      <w:pPr>
        <w:pStyle w:val="berschrift1"/>
      </w:pPr>
      <w:r>
        <w:t>3.3.46.260 Kompatibilität mit einer Operatorenkaskade</w:t>
      </w:r>
    </w:p>
    <w:p w:rsidR="00453A3F" w:rsidRDefault="00453A3F" w:rsidP="00453A3F">
      <w:pPr>
        <w:pStyle w:val="StandardWeb"/>
      </w:pPr>
      <w:r>
        <w:t>Sind alle Operatoren einer Kaskade skalenkommutierend, dann ist auch ihre Komposition skalenkommutierend.</w:t>
      </w:r>
    </w:p>
    <w:p w:rsidR="00453A3F" w:rsidRDefault="00453A3F" w:rsidP="00453A3F">
      <w:pPr>
        <w:pStyle w:val="StandardWeb"/>
      </w:pPr>
      <w:r>
        <w:t>Sei</w:t>
      </w:r>
    </w:p>
    <w:p w:rsidR="00453A3F" w:rsidRDefault="00453A3F" w:rsidP="00453A3F">
      <w:pPr>
        <w:pStyle w:val="berschrift1"/>
      </w:pPr>
      <w:r>
        <w:t>[</w:t>
      </w:r>
      <w:r>
        <w:br/>
        <w:t>\mathcal K</w:t>
      </w:r>
    </w:p>
    <w:p w:rsidR="00453A3F" w:rsidRDefault="00453A3F" w:rsidP="00453A3F">
      <w:pPr>
        <w:pStyle w:val="StandardWeb"/>
      </w:pPr>
      <w:r>
        <w:t>\mathcal O_n\circ\cdots\circ\mathcal O_1.</w:t>
      </w:r>
      <w:r>
        <w:br/>
        <w:t>\tag{3.11210}</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\mathcal K=\mathcal O_n\circ\cdots\circ\mathcal O_1</w:t>
      </w:r>
    </w:p>
    <w:p w:rsidR="00453A3F" w:rsidRDefault="00453A3F" w:rsidP="00453A3F">
      <w:pPr>
        <w:pStyle w:val="StandardWeb"/>
      </w:pPr>
      <w:r>
        <w:t>Dann gilt</w:t>
      </w:r>
    </w:p>
    <w:p w:rsidR="00453A3F" w:rsidRDefault="00453A3F" w:rsidP="00453A3F">
      <w:pPr>
        <w:pStyle w:val="berschrift1"/>
      </w:pPr>
      <w:r>
        <w:t>[</w:t>
      </w:r>
      <w:r>
        <w:br/>
        <w:t>\mathcal KS_\lambda</w:t>
      </w:r>
    </w:p>
    <w:p w:rsidR="00453A3F" w:rsidRDefault="00453A3F" w:rsidP="00453A3F">
      <w:pPr>
        <w:pStyle w:val="StandardWeb"/>
      </w:pPr>
      <w:r>
        <w:t>S_\lambda\mathcal K.</w:t>
      </w:r>
      <w:r>
        <w:br/>
        <w:t>\tag{3.11211}</w:t>
      </w:r>
      <w:r>
        <w:br/>
        <w:t>]</w:t>
      </w:r>
    </w:p>
    <w:p w:rsidR="00453A3F" w:rsidRDefault="00453A3F" w:rsidP="00453A3F">
      <w:pPr>
        <w:pStyle w:val="StandardWeb"/>
      </w:pPr>
      <w:r>
        <w:rPr>
          <w:rStyle w:val="Fett"/>
        </w:rPr>
        <w:lastRenderedPageBreak/>
        <w:t>Word-LaTeX</w:t>
      </w:r>
    </w:p>
    <w:p w:rsidR="00453A3F" w:rsidRDefault="00453A3F" w:rsidP="00453A3F">
      <w:pPr>
        <w:pStyle w:val="HTMLVorformatiert"/>
        <w:rPr>
          <w:rStyle w:val="HTMLCode"/>
        </w:rPr>
      </w:pPr>
      <w:r>
        <w:rPr>
          <w:rStyle w:val="HTMLCode"/>
        </w:rPr>
        <w:t>\mathcal KS_\lambda=S_\lambda\mathcal K</w:t>
      </w:r>
    </w:p>
    <w:p w:rsidR="00453A3F" w:rsidRDefault="00E50336" w:rsidP="00453A3F">
      <w:r>
        <w:pict>
          <v:rect id="_x0000_i3777" style="width:0;height:1.5pt" o:hralign="center" o:hrstd="t" o:hr="t" fillcolor="#a0a0a0" stroked="f"/>
        </w:pict>
      </w:r>
    </w:p>
    <w:p w:rsidR="00453A3F" w:rsidRDefault="00453A3F" w:rsidP="00453A3F">
      <w:pPr>
        <w:pStyle w:val="berschrift1"/>
      </w:pPr>
      <w:r>
        <w:t>3.3.46.261 Satz 3.3.99 – Komposition skalenkommutierender Operatoren ist skalenkommutierend</w:t>
      </w:r>
    </w:p>
    <w:p w:rsidR="00453A3F" w:rsidRDefault="00453A3F" w:rsidP="00453A3F">
      <w:pPr>
        <w:pStyle w:val="berschrift3"/>
      </w:pPr>
      <w:r>
        <w:t>Satz 3.3.99</w:t>
      </w:r>
    </w:p>
    <w:p w:rsidR="00453A3F" w:rsidRDefault="00453A3F" w:rsidP="00453A3F">
      <w:pPr>
        <w:pStyle w:val="StandardWeb"/>
      </w:pPr>
      <w:r>
        <w:t>Sind</w:t>
      </w:r>
    </w:p>
    <w:p w:rsidR="00453A3F" w:rsidRDefault="00453A3F" w:rsidP="00453A3F">
      <w:pPr>
        <w:pStyle w:val="berschrift1"/>
      </w:pPr>
      <w:r>
        <w:t>[</w:t>
      </w:r>
      <w:r>
        <w:br/>
        <w:t>\mathcal O_iS_\lambda</w:t>
      </w:r>
    </w:p>
    <w:p w:rsidR="00453A3F" w:rsidRDefault="00453A3F" w:rsidP="00453A3F">
      <w:pPr>
        <w:pStyle w:val="StandardWeb"/>
      </w:pPr>
      <w:r>
        <w:t>S_\lambda\mathcal O_i</w:t>
      </w:r>
      <w:r>
        <w:br/>
        <w:t>\qquad</w:t>
      </w:r>
      <w:r>
        <w:br/>
        <w:t>\forall i,</w:t>
      </w:r>
      <w:r>
        <w:br/>
        <w:t>\tag{3.11212}</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\mathcal O_iS_\lambda=S_\lambda\mathcal O_i\qquad\forall i</w:t>
      </w:r>
    </w:p>
    <w:p w:rsidR="00453A3F" w:rsidRDefault="00453A3F" w:rsidP="00453A3F">
      <w:pPr>
        <w:pStyle w:val="StandardWeb"/>
      </w:pPr>
      <w:r>
        <w:t>dann gilt für die Kaskade</w:t>
      </w:r>
    </w:p>
    <w:p w:rsidR="00453A3F" w:rsidRDefault="00453A3F" w:rsidP="00453A3F">
      <w:pPr>
        <w:pStyle w:val="berschrift1"/>
      </w:pPr>
      <w:r>
        <w:t>[</w:t>
      </w:r>
      <w:r>
        <w:br/>
        <w:t>\boxed{</w:t>
      </w:r>
      <w:r>
        <w:br/>
        <w:t>(\mathcal O_n\circ\cdots\circ\mathcal O_1)</w:t>
      </w:r>
      <w:r>
        <w:br/>
        <w:t>\circ</w:t>
      </w:r>
      <w:r>
        <w:br/>
        <w:t>S_\lambda</w:t>
      </w:r>
    </w:p>
    <w:p w:rsidR="00453A3F" w:rsidRDefault="00453A3F" w:rsidP="00453A3F">
      <w:pPr>
        <w:pStyle w:val="StandardWeb"/>
      </w:pPr>
      <w:r>
        <w:t>S_\lambda</w:t>
      </w:r>
      <w:r>
        <w:br/>
        <w:t>\circ</w:t>
      </w:r>
      <w:r>
        <w:br/>
        <w:t>(\mathcal O_n\circ\cdots\circ\mathcal O_1).</w:t>
      </w:r>
      <w:r>
        <w:br/>
        <w:t>}</w:t>
      </w:r>
      <w:r>
        <w:br/>
        <w:t>\tag{3.11213}</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lastRenderedPageBreak/>
        <w:t>\boxed{(\mathcal O_n\circ\cdots\circ\mathcal O_1)\circ S_\lambda=S_\lambda\circ(\mathcal O_n\circ\cdots\circ\mathcal O_1).}</w:t>
      </w:r>
    </w:p>
    <w:p w:rsidR="00453A3F" w:rsidRDefault="00453A3F" w:rsidP="00453A3F">
      <w:pPr>
        <w:pStyle w:val="berschrift3"/>
      </w:pPr>
      <w:r>
        <w:t>Beweis</w:t>
      </w:r>
    </w:p>
    <w:p w:rsidR="00453A3F" w:rsidRDefault="00453A3F" w:rsidP="00453A3F">
      <w:pPr>
        <w:pStyle w:val="StandardWeb"/>
      </w:pPr>
      <w:r>
        <w:t>Die Skalierungsabbildung kann wegen der Kommutationsbedingung sukzessive durch jeden Operator der Kaskade verschoben werden. Nach (n) Schritten befindet sie sich links von der vollständigen Operatorenkaskade. (\square)</w:t>
      </w:r>
    </w:p>
    <w:p w:rsidR="00453A3F" w:rsidRDefault="00E50336" w:rsidP="00453A3F">
      <w:r>
        <w:pict>
          <v:rect id="_x0000_i3778" style="width:0;height:1.5pt" o:hralign="center" o:hrstd="t" o:hr="t" fillcolor="#a0a0a0" stroked="f"/>
        </w:pict>
      </w:r>
    </w:p>
    <w:p w:rsidR="00453A3F" w:rsidRDefault="00453A3F" w:rsidP="00453A3F">
      <w:pPr>
        <w:pStyle w:val="berschrift1"/>
      </w:pPr>
      <w:r>
        <w:t>3.3.46.262 Skalenkompatibilität der speziellen FRZK-Operatorenkaskade</w:t>
      </w:r>
    </w:p>
    <w:p w:rsidR="00453A3F" w:rsidRDefault="00453A3F" w:rsidP="00453A3F">
      <w:pPr>
        <w:pStyle w:val="StandardWeb"/>
      </w:pPr>
      <w:r>
        <w:t>Für eine bereits verwendete Operatorenfolge</w:t>
      </w:r>
    </w:p>
    <w:p w:rsidR="00453A3F" w:rsidRDefault="00453A3F" w:rsidP="00453A3F">
      <w:pPr>
        <w:pStyle w:val="berschrift1"/>
      </w:pPr>
      <w:r>
        <w:t>[</w:t>
      </w:r>
      <w:r>
        <w:br/>
        <w:t>\mathcal K_F</w:t>
      </w:r>
    </w:p>
    <w:p w:rsidR="00453A3F" w:rsidRDefault="00453A3F" w:rsidP="00453A3F">
      <w:pPr>
        <w:pStyle w:val="StandardWeb"/>
      </w:pPr>
      <w:r>
        <w:t>E\circ R\circ M\circ\sigma</w:t>
      </w:r>
      <w:r>
        <w:br/>
        <w:t>\tag{3.11214}</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\mathcal K_F=E\circ R\circ M\circ\sigma</w:t>
      </w:r>
    </w:p>
    <w:p w:rsidR="00453A3F" w:rsidRDefault="00453A3F" w:rsidP="00453A3F">
      <w:pPr>
        <w:pStyle w:val="StandardWeb"/>
      </w:pPr>
      <w:r>
        <w:t>könnte beispielsweise geprüft werden, ob</w:t>
      </w:r>
    </w:p>
    <w:p w:rsidR="00453A3F" w:rsidRDefault="00453A3F" w:rsidP="00453A3F">
      <w:pPr>
        <w:pStyle w:val="berschrift1"/>
      </w:pPr>
      <w:r>
        <w:t>[</w:t>
      </w:r>
      <w:r>
        <w:br/>
        <w:t>\sigma S_\lambda</w:t>
      </w:r>
    </w:p>
    <w:p w:rsidR="00453A3F" w:rsidRDefault="00453A3F" w:rsidP="00453A3F">
      <w:pPr>
        <w:pStyle w:val="StandardWeb"/>
      </w:pPr>
      <w:r>
        <w:t>S_\lambda\sigma,</w:t>
      </w:r>
      <w:r>
        <w:br/>
        <w:t>\tag{3.11215}</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\sigma S_\lambda=S_\lambda\sigma</w:t>
      </w:r>
    </w:p>
    <w:p w:rsidR="00453A3F" w:rsidRDefault="00453A3F" w:rsidP="00453A3F">
      <w:pPr>
        <w:pStyle w:val="berschrift1"/>
      </w:pPr>
      <w:r>
        <w:t>[</w:t>
      </w:r>
      <w:r>
        <w:br/>
        <w:t>MS_\lambda</w:t>
      </w:r>
    </w:p>
    <w:p w:rsidR="00453A3F" w:rsidRDefault="00453A3F" w:rsidP="00453A3F">
      <w:pPr>
        <w:pStyle w:val="StandardWeb"/>
      </w:pPr>
      <w:r>
        <w:t>S_\lambda M,</w:t>
      </w:r>
      <w:r>
        <w:br/>
        <w:t>\tag{3.11216}</w:t>
      </w:r>
      <w:r>
        <w:br/>
        <w:t>]</w:t>
      </w:r>
    </w:p>
    <w:p w:rsidR="00453A3F" w:rsidRDefault="00453A3F" w:rsidP="00453A3F">
      <w:pPr>
        <w:pStyle w:val="StandardWeb"/>
      </w:pPr>
      <w:r>
        <w:rPr>
          <w:rStyle w:val="Fett"/>
        </w:rPr>
        <w:lastRenderedPageBreak/>
        <w:t>Word-LaTeX</w:t>
      </w:r>
    </w:p>
    <w:p w:rsidR="00453A3F" w:rsidRDefault="00453A3F" w:rsidP="00453A3F">
      <w:pPr>
        <w:pStyle w:val="HTMLVorformatiert"/>
        <w:rPr>
          <w:rStyle w:val="HTMLCode"/>
        </w:rPr>
      </w:pPr>
      <w:r>
        <w:rPr>
          <w:rStyle w:val="HTMLCode"/>
        </w:rPr>
        <w:t>MS_\lambda=S_\lambda M</w:t>
      </w:r>
    </w:p>
    <w:p w:rsidR="00453A3F" w:rsidRDefault="00453A3F" w:rsidP="00453A3F">
      <w:pPr>
        <w:pStyle w:val="berschrift1"/>
      </w:pPr>
      <w:r>
        <w:t>[</w:t>
      </w:r>
      <w:r>
        <w:br/>
        <w:t>RS_\lambda</w:t>
      </w:r>
    </w:p>
    <w:p w:rsidR="00453A3F" w:rsidRDefault="00453A3F" w:rsidP="00453A3F">
      <w:pPr>
        <w:pStyle w:val="StandardWeb"/>
      </w:pPr>
      <w:r>
        <w:t>S_\lambda R</w:t>
      </w:r>
      <w:r>
        <w:br/>
        <w:t>\tag{3.11217}</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RS_\lambda=S_\lambda R</w:t>
      </w:r>
    </w:p>
    <w:p w:rsidR="00453A3F" w:rsidRDefault="00453A3F" w:rsidP="00453A3F">
      <w:pPr>
        <w:pStyle w:val="StandardWeb"/>
      </w:pPr>
      <w:r>
        <w:t>und</w:t>
      </w:r>
    </w:p>
    <w:p w:rsidR="00453A3F" w:rsidRDefault="00453A3F" w:rsidP="00453A3F">
      <w:pPr>
        <w:pStyle w:val="berschrift1"/>
      </w:pPr>
      <w:r>
        <w:t>[</w:t>
      </w:r>
      <w:r>
        <w:br/>
        <w:t>ES_\lambda</w:t>
      </w:r>
    </w:p>
    <w:p w:rsidR="00453A3F" w:rsidRDefault="00453A3F" w:rsidP="00453A3F">
      <w:pPr>
        <w:pStyle w:val="StandardWeb"/>
      </w:pPr>
      <w:r>
        <w:t>S_\lambda E</w:t>
      </w:r>
      <w:r>
        <w:br/>
        <w:t>\tag{3.11218}</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ES_\lambda=S_\lambda E</w:t>
      </w:r>
    </w:p>
    <w:p w:rsidR="00453A3F" w:rsidRDefault="00453A3F" w:rsidP="00453A3F">
      <w:pPr>
        <w:pStyle w:val="StandardWeb"/>
      </w:pPr>
      <w:r>
        <w:t>gelten.</w:t>
      </w:r>
    </w:p>
    <w:p w:rsidR="00453A3F" w:rsidRDefault="00453A3F" w:rsidP="00453A3F">
      <w:pPr>
        <w:pStyle w:val="StandardWeb"/>
      </w:pPr>
      <w:r>
        <w:t>Diese Beziehungen werden an dieser Stelle nicht als universal gültig vorausgesetzt.</w:t>
      </w:r>
    </w:p>
    <w:p w:rsidR="00453A3F" w:rsidRDefault="00E50336" w:rsidP="00453A3F">
      <w:r>
        <w:pict>
          <v:rect id="_x0000_i3779" style="width:0;height:1.5pt" o:hralign="center" o:hrstd="t" o:hr="t" fillcolor="#a0a0a0" stroked="f"/>
        </w:pict>
      </w:r>
    </w:p>
    <w:p w:rsidR="00453A3F" w:rsidRDefault="00453A3F" w:rsidP="00453A3F">
      <w:pPr>
        <w:pStyle w:val="berschrift1"/>
      </w:pPr>
      <w:r>
        <w:t>3.3.46.263 Unterschiedliche Operator-Skalierungsgewichte</w:t>
      </w:r>
    </w:p>
    <w:p w:rsidR="00453A3F" w:rsidRDefault="00453A3F" w:rsidP="00453A3F">
      <w:pPr>
        <w:pStyle w:val="StandardWeb"/>
      </w:pPr>
      <w:r>
        <w:t>Allgemeiner können die einzelnen Operatoren eigene Skalierungsgewichte besitzen:</w:t>
      </w:r>
    </w:p>
    <w:p w:rsidR="00453A3F" w:rsidRDefault="00453A3F" w:rsidP="00453A3F">
      <w:pPr>
        <w:pStyle w:val="berschrift1"/>
      </w:pPr>
      <w:r>
        <w:t>[</w:t>
      </w:r>
      <w:r>
        <w:br/>
        <w:t>w_{\mathrm{sc}}(\sigma)</w:t>
      </w:r>
    </w:p>
    <w:p w:rsidR="00453A3F" w:rsidRDefault="00453A3F" w:rsidP="00453A3F">
      <w:pPr>
        <w:pStyle w:val="StandardWeb"/>
      </w:pPr>
      <w:r>
        <w:t>\kappa_\sigma,</w:t>
      </w:r>
      <w:r>
        <w:br/>
        <w:t>\tag{3.11219}</w:t>
      </w:r>
      <w:r>
        <w:br/>
        <w:t>]</w:t>
      </w:r>
    </w:p>
    <w:p w:rsidR="00453A3F" w:rsidRDefault="00453A3F" w:rsidP="00453A3F">
      <w:pPr>
        <w:pStyle w:val="StandardWeb"/>
      </w:pPr>
      <w:r>
        <w:rPr>
          <w:rStyle w:val="Fett"/>
        </w:rPr>
        <w:lastRenderedPageBreak/>
        <w:t>Word-LaTeX</w:t>
      </w:r>
    </w:p>
    <w:p w:rsidR="00453A3F" w:rsidRDefault="00453A3F" w:rsidP="00453A3F">
      <w:pPr>
        <w:pStyle w:val="HTMLVorformatiert"/>
        <w:rPr>
          <w:rStyle w:val="HTMLCode"/>
        </w:rPr>
      </w:pPr>
      <w:r>
        <w:rPr>
          <w:rStyle w:val="HTMLCode"/>
        </w:rPr>
        <w:t>w_{\mathrm{sc}}(\sigma)=\kappa_\sigma</w:t>
      </w:r>
    </w:p>
    <w:p w:rsidR="00453A3F" w:rsidRDefault="00453A3F" w:rsidP="00453A3F">
      <w:pPr>
        <w:pStyle w:val="berschrift1"/>
      </w:pPr>
      <w:r>
        <w:t>[</w:t>
      </w:r>
      <w:r>
        <w:br/>
        <w:t>w_{\mathrm{sc}}(M)</w:t>
      </w:r>
    </w:p>
    <w:p w:rsidR="00453A3F" w:rsidRDefault="00453A3F" w:rsidP="00453A3F">
      <w:pPr>
        <w:pStyle w:val="StandardWeb"/>
      </w:pPr>
      <w:r>
        <w:t>\kappa_M,</w:t>
      </w:r>
      <w:r>
        <w:br/>
        <w:t>\tag{3.11220}</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w_{\mathrm{sc}}(M)=\kappa_M</w:t>
      </w:r>
    </w:p>
    <w:p w:rsidR="00453A3F" w:rsidRDefault="00453A3F" w:rsidP="00453A3F">
      <w:pPr>
        <w:pStyle w:val="berschrift1"/>
      </w:pPr>
      <w:r>
        <w:t>[</w:t>
      </w:r>
      <w:r>
        <w:br/>
        <w:t>w_{\mathrm{sc}}(R)</w:t>
      </w:r>
    </w:p>
    <w:p w:rsidR="00453A3F" w:rsidRDefault="00453A3F" w:rsidP="00453A3F">
      <w:pPr>
        <w:pStyle w:val="StandardWeb"/>
      </w:pPr>
      <w:r>
        <w:t>\kappa_R,</w:t>
      </w:r>
      <w:r>
        <w:br/>
        <w:t>\tag{3.11221}</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w_{\mathrm{sc}}(R)=\kappa_R</w:t>
      </w:r>
    </w:p>
    <w:p w:rsidR="00453A3F" w:rsidRDefault="00453A3F" w:rsidP="00453A3F">
      <w:pPr>
        <w:pStyle w:val="StandardWeb"/>
      </w:pPr>
      <w:r>
        <w:t>und</w:t>
      </w:r>
    </w:p>
    <w:p w:rsidR="00453A3F" w:rsidRDefault="00453A3F" w:rsidP="00453A3F">
      <w:pPr>
        <w:pStyle w:val="berschrift1"/>
      </w:pPr>
      <w:r>
        <w:t>[</w:t>
      </w:r>
      <w:r>
        <w:br/>
        <w:t>w_{\mathrm{sc}}(E)</w:t>
      </w:r>
    </w:p>
    <w:p w:rsidR="00453A3F" w:rsidRDefault="00453A3F" w:rsidP="00453A3F">
      <w:pPr>
        <w:pStyle w:val="StandardWeb"/>
      </w:pPr>
      <w:r>
        <w:t>\kappa_E.</w:t>
      </w:r>
      <w:r>
        <w:br/>
        <w:t>\tag{3.11222}</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w_{\mathrm{sc}}(E)=\kappa_E</w:t>
      </w:r>
    </w:p>
    <w:p w:rsidR="00453A3F" w:rsidRDefault="00E50336" w:rsidP="00453A3F">
      <w:r>
        <w:pict>
          <v:rect id="_x0000_i3780" style="width:0;height:1.5pt" o:hralign="center" o:hrstd="t" o:hr="t" fillcolor="#a0a0a0" stroked="f"/>
        </w:pict>
      </w:r>
    </w:p>
    <w:p w:rsidR="00453A3F" w:rsidRDefault="00453A3F" w:rsidP="00453A3F">
      <w:pPr>
        <w:pStyle w:val="berschrift1"/>
      </w:pPr>
      <w:r>
        <w:t>3.3.46.264 Gesamtgewicht der FRZK-Operatorenkaskade</w:t>
      </w:r>
    </w:p>
    <w:p w:rsidR="00453A3F" w:rsidRDefault="00453A3F" w:rsidP="00453A3F">
      <w:pPr>
        <w:pStyle w:val="StandardWeb"/>
      </w:pPr>
      <w:r>
        <w:t>Nach Satz 3.3.88 beziehungsweise Korollar 3.3.17 folgt dann</w:t>
      </w:r>
    </w:p>
    <w:p w:rsidR="00453A3F" w:rsidRDefault="00453A3F" w:rsidP="00453A3F">
      <w:pPr>
        <w:pStyle w:val="berschrift1"/>
      </w:pPr>
      <w:r>
        <w:lastRenderedPageBreak/>
        <w:t>[</w:t>
      </w:r>
      <w:r>
        <w:br/>
        <w:t>w_{\mathrm{sc}}(\mathcal K_F)</w:t>
      </w:r>
    </w:p>
    <w:p w:rsidR="00453A3F" w:rsidRDefault="00453A3F" w:rsidP="00453A3F">
      <w:pPr>
        <w:pStyle w:val="StandardWeb"/>
      </w:pPr>
      <w:r>
        <w:t>\kappa_\sigma</w:t>
      </w:r>
      <w:r>
        <w:br/>
        <w:t>+</w:t>
      </w:r>
      <w:r>
        <w:br/>
        <w:t>\kappa_M</w:t>
      </w:r>
      <w:r>
        <w:br/>
        <w:t>+</w:t>
      </w:r>
      <w:r>
        <w:br/>
        <w:t>\kappa_R</w:t>
      </w:r>
      <w:r>
        <w:br/>
        <w:t>+</w:t>
      </w:r>
      <w:r>
        <w:br/>
        <w:t>\kappa_E.</w:t>
      </w:r>
      <w:r>
        <w:br/>
        <w:t>\tag{3.11223}</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w_{\mathrm{sc}}(\mathcal K_F)=\kappa_\sigma+\kappa_M+\kappa_R+\kappa_E</w:t>
      </w:r>
    </w:p>
    <w:p w:rsidR="00453A3F" w:rsidRDefault="00E50336" w:rsidP="00453A3F">
      <w:r>
        <w:pict>
          <v:rect id="_x0000_i3781" style="width:0;height:1.5pt" o:hralign="center" o:hrstd="t" o:hr="t" fillcolor="#a0a0a0" stroked="f"/>
        </w:pict>
      </w:r>
    </w:p>
    <w:p w:rsidR="00453A3F" w:rsidRDefault="00453A3F" w:rsidP="00453A3F">
      <w:pPr>
        <w:pStyle w:val="berschrift1"/>
      </w:pPr>
      <w:r>
        <w:t>3.3.46.265 Korollar 3.3.18 – Skalenkompatibilität der FRZK-Operatorenkaskade bei verschwindendem Gesamtgewicht</w:t>
      </w:r>
    </w:p>
    <w:p w:rsidR="00453A3F" w:rsidRDefault="00453A3F" w:rsidP="00453A3F">
      <w:pPr>
        <w:pStyle w:val="berschrift3"/>
      </w:pPr>
      <w:r>
        <w:t>Korollar 3.3.18</w:t>
      </w:r>
    </w:p>
    <w:p w:rsidR="00453A3F" w:rsidRDefault="00453A3F" w:rsidP="00453A3F">
      <w:pPr>
        <w:pStyle w:val="StandardWeb"/>
      </w:pPr>
      <w:r>
        <w:t>Ist die gesamte Operatorenkaskade homogen und gilt</w:t>
      </w:r>
    </w:p>
    <w:p w:rsidR="00453A3F" w:rsidRDefault="00453A3F" w:rsidP="00453A3F">
      <w:pPr>
        <w:pStyle w:val="berschrift1"/>
      </w:pPr>
      <w:r>
        <w:t>[</w:t>
      </w:r>
      <w:r>
        <w:br/>
        <w:t>\kappa_\sigma</w:t>
      </w:r>
      <w:r>
        <w:br/>
        <w:t>+</w:t>
      </w:r>
      <w:r>
        <w:br/>
        <w:t>\kappa_M</w:t>
      </w:r>
      <w:r>
        <w:br/>
        <w:t>+</w:t>
      </w:r>
      <w:r>
        <w:br/>
        <w:t>\kappa_R</w:t>
      </w:r>
      <w:r>
        <w:br/>
        <w:t>+</w:t>
      </w:r>
      <w:r>
        <w:br/>
        <w:t>\kappa_E</w:t>
      </w:r>
    </w:p>
    <w:p w:rsidR="00453A3F" w:rsidRDefault="00453A3F" w:rsidP="00453A3F">
      <w:pPr>
        <w:pStyle w:val="StandardWeb"/>
      </w:pPr>
      <w:r>
        <w:t>0,</w:t>
      </w:r>
      <w:r>
        <w:br/>
        <w:t>\tag{3.11224}</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\kappa_\sigma+\kappa_M+\kappa_R+\kappa_E=0</w:t>
      </w:r>
    </w:p>
    <w:p w:rsidR="00453A3F" w:rsidRDefault="00453A3F" w:rsidP="00453A3F">
      <w:pPr>
        <w:pStyle w:val="StandardWeb"/>
      </w:pPr>
      <w:r>
        <w:lastRenderedPageBreak/>
        <w:t>dann besitzt die Kaskade insgesamt Skalierungsgewicht null:</w:t>
      </w:r>
    </w:p>
    <w:p w:rsidR="00453A3F" w:rsidRDefault="00453A3F" w:rsidP="00453A3F">
      <w:pPr>
        <w:pStyle w:val="berschrift1"/>
      </w:pPr>
      <w:r>
        <w:t>[</w:t>
      </w:r>
      <w:r>
        <w:br/>
        <w:t>\boxed{</w:t>
      </w:r>
      <w:r>
        <w:br/>
        <w:t>w_{\mathrm{sc}}(\mathcal K_F)</w:t>
      </w:r>
    </w:p>
    <w:p w:rsidR="00453A3F" w:rsidRDefault="00453A3F" w:rsidP="00152216">
      <w:pPr>
        <w:numPr>
          <w:ilvl w:val="0"/>
          <w:numId w:val="484"/>
        </w:numPr>
        <w:spacing w:before="100" w:beforeAutospacing="1" w:after="100" w:afterAutospacing="1"/>
      </w:pPr>
    </w:p>
    <w:p w:rsidR="00453A3F" w:rsidRDefault="00453A3F" w:rsidP="00453A3F">
      <w:pPr>
        <w:pStyle w:val="StandardWeb"/>
      </w:pPr>
      <w:r>
        <w:t>}</w:t>
      </w:r>
      <w:r>
        <w:br/>
        <w:t>\tag{3.11225}</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\boxed{w_{\mathrm{sc}}(\mathcal K_F)=0.}</w:t>
      </w:r>
    </w:p>
    <w:p w:rsidR="00453A3F" w:rsidRDefault="00453A3F" w:rsidP="00453A3F">
      <w:pPr>
        <w:pStyle w:val="StandardWeb"/>
      </w:pPr>
      <w:r>
        <w:t>Dies bedeutet eine Gesamt-Skalierungskompatibilität der Kaskade im Sinne ihrer Homogenität, nicht zwingend die individuelle Skalierungsinvarianz jedes Einzeloperators.</w:t>
      </w:r>
    </w:p>
    <w:p w:rsidR="00453A3F" w:rsidRDefault="00E50336" w:rsidP="00453A3F">
      <w:r>
        <w:pict>
          <v:rect id="_x0000_i3782" style="width:0;height:1.5pt" o:hralign="center" o:hrstd="t" o:hr="t" fillcolor="#a0a0a0" stroked="f"/>
        </w:pict>
      </w:r>
    </w:p>
    <w:p w:rsidR="00453A3F" w:rsidRDefault="00453A3F" w:rsidP="00453A3F">
      <w:pPr>
        <w:pStyle w:val="berschrift1"/>
      </w:pPr>
      <w:r>
        <w:t>3.3.46.266 Kompensation von Skalierungsgewichten</w:t>
      </w:r>
    </w:p>
    <w:p w:rsidR="00453A3F" w:rsidRDefault="00453A3F" w:rsidP="00453A3F">
      <w:pPr>
        <w:pStyle w:val="StandardWeb"/>
      </w:pPr>
      <w:r>
        <w:t>Damit ist insbesondere möglich, dass</w:t>
      </w:r>
    </w:p>
    <w:p w:rsidR="00453A3F" w:rsidRDefault="00453A3F" w:rsidP="00453A3F">
      <w:pPr>
        <w:pStyle w:val="StandardWeb"/>
      </w:pPr>
      <w:r>
        <w:t>[</w:t>
      </w:r>
      <w:r>
        <w:br/>
        <w:t>\kappa_\sigma\neq0</w:t>
      </w:r>
      <w:r>
        <w:br/>
        <w:t>\tag{3.11226}</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\kappa_\sigma\neq0</w:t>
      </w:r>
    </w:p>
    <w:p w:rsidR="00453A3F" w:rsidRDefault="00453A3F" w:rsidP="00453A3F">
      <w:pPr>
        <w:pStyle w:val="StandardWeb"/>
      </w:pPr>
      <w:r>
        <w:t>und zugleich</w:t>
      </w:r>
    </w:p>
    <w:p w:rsidR="00453A3F" w:rsidRDefault="00453A3F" w:rsidP="00453A3F">
      <w:pPr>
        <w:pStyle w:val="berschrift1"/>
      </w:pPr>
      <w:r>
        <w:t>[</w:t>
      </w:r>
      <w:r>
        <w:br/>
        <w:t>\kappa_M+\kappa_R+\kappa_E</w:t>
      </w:r>
    </w:p>
    <w:p w:rsidR="00453A3F" w:rsidRDefault="00453A3F" w:rsidP="00453A3F">
      <w:pPr>
        <w:pStyle w:val="StandardWeb"/>
      </w:pPr>
      <w:r>
        <w:t>-\kappa_\sigma.</w:t>
      </w:r>
      <w:r>
        <w:br/>
        <w:t>\tag{3.11227}</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\kappa_M+\kappa_R+\kappa_E=-\kappa_\sigma</w:t>
      </w:r>
    </w:p>
    <w:p w:rsidR="00453A3F" w:rsidRDefault="00453A3F" w:rsidP="00453A3F">
      <w:pPr>
        <w:pStyle w:val="StandardWeb"/>
      </w:pPr>
      <w:r>
        <w:lastRenderedPageBreak/>
        <w:t>Die Gesamtkaskade kann damit Skalierungsgewicht null besitzen, obwohl ihre Komponenten jeweils skalenkovariant und nicht skaleninvariant sind.</w:t>
      </w:r>
    </w:p>
    <w:p w:rsidR="00453A3F" w:rsidRDefault="00E50336" w:rsidP="00453A3F">
      <w:r>
        <w:pict>
          <v:rect id="_x0000_i3783" style="width:0;height:1.5pt" o:hralign="center" o:hrstd="t" o:hr="t" fillcolor="#a0a0a0" stroked="f"/>
        </w:pict>
      </w:r>
    </w:p>
    <w:p w:rsidR="00453A3F" w:rsidRDefault="00453A3F" w:rsidP="00453A3F">
      <w:pPr>
        <w:pStyle w:val="berschrift1"/>
      </w:pPr>
      <w:r>
        <w:t>3.3.46.267 Definition 3.3.223 – Skalierungsgewichtskompensierte Operatorenkaskade</w:t>
      </w:r>
    </w:p>
    <w:p w:rsidR="00453A3F" w:rsidRDefault="00453A3F" w:rsidP="00453A3F">
      <w:pPr>
        <w:pStyle w:val="berschrift3"/>
      </w:pPr>
      <w:r>
        <w:t>Definition 3.3.223</w:t>
      </w:r>
    </w:p>
    <w:p w:rsidR="00453A3F" w:rsidRDefault="00453A3F" w:rsidP="00453A3F">
      <w:pPr>
        <w:pStyle w:val="StandardWeb"/>
      </w:pPr>
      <w:r>
        <w:t xml:space="preserve">Eine Operatorenkaskade heißt </w:t>
      </w:r>
      <w:r>
        <w:rPr>
          <w:rStyle w:val="Fett"/>
        </w:rPr>
        <w:t>skalierungsgewichtskompensiert</w:t>
      </w:r>
      <w:r>
        <w:t>, wenn</w:t>
      </w:r>
    </w:p>
    <w:p w:rsidR="00453A3F" w:rsidRDefault="00453A3F" w:rsidP="00453A3F">
      <w:pPr>
        <w:pStyle w:val="berschrift1"/>
      </w:pPr>
      <w:r>
        <w:t>[</w:t>
      </w:r>
      <w:r>
        <w:br/>
        <w:t>\boxed{</w:t>
      </w:r>
      <w:r>
        <w:br/>
        <w:t>\sum_{i=1}^{n}</w:t>
      </w:r>
      <w:r>
        <w:br/>
        <w:t>w_{\mathrm{sc}}(\mathcal O_i)</w:t>
      </w:r>
    </w:p>
    <w:p w:rsidR="00453A3F" w:rsidRDefault="00453A3F" w:rsidP="00152216">
      <w:pPr>
        <w:numPr>
          <w:ilvl w:val="0"/>
          <w:numId w:val="485"/>
        </w:numPr>
        <w:spacing w:before="100" w:beforeAutospacing="1" w:after="100" w:afterAutospacing="1"/>
      </w:pPr>
    </w:p>
    <w:p w:rsidR="00453A3F" w:rsidRDefault="00453A3F" w:rsidP="00453A3F">
      <w:pPr>
        <w:pStyle w:val="StandardWeb"/>
      </w:pPr>
      <w:r>
        <w:t>}</w:t>
      </w:r>
      <w:r>
        <w:br/>
        <w:t>\tag{3.11228}</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\boxed{\sum_{i=1}^{n}w_{\mathrm{sc}}(\mathcal O_i)=0.}</w:t>
      </w:r>
    </w:p>
    <w:p w:rsidR="00453A3F" w:rsidRDefault="00E50336" w:rsidP="00453A3F">
      <w:r>
        <w:pict>
          <v:rect id="_x0000_i3784" style="width:0;height:1.5pt" o:hralign="center" o:hrstd="t" o:hr="t" fillcolor="#a0a0a0" stroked="f"/>
        </w:pict>
      </w:r>
    </w:p>
    <w:p w:rsidR="00453A3F" w:rsidRDefault="00453A3F" w:rsidP="00453A3F">
      <w:pPr>
        <w:pStyle w:val="berschrift1"/>
      </w:pPr>
      <w:r>
        <w:t>3.3.46.268 Skalenverträglichkeit eines vollständigen FRZK-Modells</w:t>
      </w:r>
    </w:p>
    <w:p w:rsidR="00453A3F" w:rsidRDefault="00453A3F" w:rsidP="00453A3F">
      <w:pPr>
        <w:pStyle w:val="StandardWeb"/>
      </w:pPr>
      <w:r>
        <w:t>Die bisher einzeln untersuchten Bedingungen können nun gemeinsam betrachtet werden.</w:t>
      </w:r>
    </w:p>
    <w:p w:rsidR="00453A3F" w:rsidRDefault="00453A3F" w:rsidP="00453A3F">
      <w:pPr>
        <w:pStyle w:val="StandardWeb"/>
      </w:pPr>
      <w:r>
        <w:t>Ein skalenkompatibles Modell müsste mindestens spezifizieren, wie Skalierungen mit</w:t>
      </w:r>
    </w:p>
    <w:p w:rsidR="00453A3F" w:rsidRDefault="00453A3F" w:rsidP="00453A3F">
      <w:pPr>
        <w:pStyle w:val="StandardWeb"/>
      </w:pPr>
      <w:r>
        <w:t>[</w:t>
      </w:r>
      <w:r>
        <w:br/>
        <w:t>\Omega_F,</w:t>
      </w:r>
      <w:r>
        <w:br/>
        <w:t>\quad</w:t>
      </w:r>
      <w:r>
        <w:br/>
        <w:t>\mathcal T_F,</w:t>
      </w:r>
      <w:r>
        <w:br/>
        <w:t>\quad</w:t>
      </w:r>
      <w:r>
        <w:br/>
        <w:t>C_F,</w:t>
      </w:r>
      <w:r>
        <w:br/>
        <w:t>\quad</w:t>
      </w:r>
      <w:r>
        <w:br/>
        <w:t>\mathfrak O_F</w:t>
      </w:r>
      <w:r>
        <w:br/>
        <w:t>\tag{3.11229}</w:t>
      </w:r>
      <w:r>
        <w:br/>
        <w:t>]</w:t>
      </w:r>
    </w:p>
    <w:p w:rsidR="00453A3F" w:rsidRDefault="00453A3F" w:rsidP="00453A3F">
      <w:pPr>
        <w:pStyle w:val="StandardWeb"/>
      </w:pPr>
      <w:r>
        <w:rPr>
          <w:rStyle w:val="Fett"/>
        </w:rPr>
        <w:lastRenderedPageBreak/>
        <w:t>Word-LaTeX</w:t>
      </w:r>
    </w:p>
    <w:p w:rsidR="00453A3F" w:rsidRDefault="00453A3F" w:rsidP="00453A3F">
      <w:pPr>
        <w:pStyle w:val="HTMLVorformatiert"/>
        <w:rPr>
          <w:rStyle w:val="HTMLCode"/>
        </w:rPr>
      </w:pPr>
      <w:r>
        <w:rPr>
          <w:rStyle w:val="HTMLCode"/>
        </w:rPr>
        <w:t>\Omega_F,\quad\mathcal T_F,\quad C_F,\quad\mathfrak O_F</w:t>
      </w:r>
    </w:p>
    <w:p w:rsidR="00453A3F" w:rsidRDefault="00453A3F" w:rsidP="00453A3F">
      <w:pPr>
        <w:pStyle w:val="StandardWeb"/>
      </w:pPr>
      <w:r>
        <w:t>zusammenwirken.</w:t>
      </w:r>
    </w:p>
    <w:p w:rsidR="00453A3F" w:rsidRDefault="00E50336" w:rsidP="00453A3F">
      <w:r>
        <w:pict>
          <v:rect id="_x0000_i3785" style="width:0;height:1.5pt" o:hralign="center" o:hrstd="t" o:hr="t" fillcolor="#a0a0a0" stroked="f"/>
        </w:pict>
      </w:r>
    </w:p>
    <w:p w:rsidR="00453A3F" w:rsidRDefault="00453A3F" w:rsidP="00453A3F">
      <w:pPr>
        <w:pStyle w:val="berschrift1"/>
      </w:pPr>
      <w:r>
        <w:t>3.3.46.269 Definition 3.3.224 – Funktionales Skalenkompatibilitätsprofil</w:t>
      </w:r>
    </w:p>
    <w:p w:rsidR="00453A3F" w:rsidRDefault="00453A3F" w:rsidP="00453A3F">
      <w:pPr>
        <w:pStyle w:val="berschrift3"/>
      </w:pPr>
      <w:r>
        <w:t>Definition 3.3.224</w:t>
      </w:r>
    </w:p>
    <w:p w:rsidR="00453A3F" w:rsidRDefault="00453A3F" w:rsidP="00453A3F">
      <w:pPr>
        <w:pStyle w:val="StandardWeb"/>
      </w:pPr>
      <w:r>
        <w:t xml:space="preserve">Das </w:t>
      </w:r>
      <w:r>
        <w:rPr>
          <w:rStyle w:val="Fett"/>
        </w:rPr>
        <w:t>funktionale Skalenkompatibilitätsprofil</w:t>
      </w:r>
      <w:r>
        <w:t xml:space="preserve"> eines Modells definiere ich als</w:t>
      </w:r>
    </w:p>
    <w:p w:rsidR="00453A3F" w:rsidRDefault="00453A3F" w:rsidP="00453A3F">
      <w:pPr>
        <w:pStyle w:val="berschrift1"/>
      </w:pPr>
      <w:r>
        <w:t>[</w:t>
      </w:r>
      <w:r>
        <w:br/>
        <w:t>\boxed{</w:t>
      </w:r>
      <w:r>
        <w:br/>
        <w:t>\mathfrak P_{\mathrm{sc}}</w:t>
      </w:r>
    </w:p>
    <w:p w:rsidR="00453A3F" w:rsidRDefault="00453A3F" w:rsidP="00453A3F">
      <w:pPr>
        <w:pStyle w:val="StandardWeb"/>
      </w:pPr>
      <w:r>
        <w:t>\left(</w:t>
      </w:r>
      <w:r>
        <w:br/>
        <w:t>K_\Omega,</w:t>
      </w:r>
      <w:r>
        <w:br/>
        <w:t>K_T,</w:t>
      </w:r>
      <w:r>
        <w:br/>
        <w:t>K_C,</w:t>
      </w:r>
      <w:r>
        <w:br/>
        <w:t>K_O</w:t>
      </w:r>
      <w:r>
        <w:br/>
        <w:t>\right),</w:t>
      </w:r>
      <w:r>
        <w:br/>
        <w:t>}</w:t>
      </w:r>
      <w:r>
        <w:br/>
        <w:t>\tag{3.11230}</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\boxed{\mathfrak P_{\mathrm{sc}}=\left(K_\Omega,K_T,K_C,K_O\right),}</w:t>
      </w:r>
    </w:p>
    <w:p w:rsidR="00453A3F" w:rsidRDefault="00453A3F" w:rsidP="00453A3F">
      <w:pPr>
        <w:pStyle w:val="StandardWeb"/>
      </w:pPr>
      <w:r>
        <w:t>wobei die Komponenten angeben, ob die Skalierung mit Zustandsraum, Übergangsrelation, Kohärenzstruktur und Operatorstruktur verträglich ist.</w:t>
      </w:r>
    </w:p>
    <w:p w:rsidR="00453A3F" w:rsidRDefault="00E50336" w:rsidP="00453A3F">
      <w:r>
        <w:pict>
          <v:rect id="_x0000_i3786" style="width:0;height:1.5pt" o:hralign="center" o:hrstd="t" o:hr="t" fillcolor="#a0a0a0" stroked="f"/>
        </w:pict>
      </w:r>
    </w:p>
    <w:p w:rsidR="00453A3F" w:rsidRDefault="00453A3F" w:rsidP="00453A3F">
      <w:pPr>
        <w:pStyle w:val="berschrift1"/>
      </w:pPr>
      <w:r>
        <w:t>3.3.46.270 Binäre Kompatibilitätsdarstellung</w:t>
      </w:r>
    </w:p>
    <w:p w:rsidR="00453A3F" w:rsidRDefault="00453A3F" w:rsidP="00453A3F">
      <w:pPr>
        <w:pStyle w:val="StandardWeb"/>
      </w:pPr>
      <w:r>
        <w:t>In einer einfachen binären Darstellung kann ich</w:t>
      </w:r>
    </w:p>
    <w:p w:rsidR="00453A3F" w:rsidRDefault="00453A3F" w:rsidP="00453A3F">
      <w:pPr>
        <w:pStyle w:val="StandardWeb"/>
      </w:pPr>
      <w:r>
        <w:t>[</w:t>
      </w:r>
      <w:r>
        <w:br/>
        <w:t>K_X</w:t>
      </w:r>
      <w:r>
        <w:br/>
        <w:t>\in</w:t>
      </w:r>
      <w:r>
        <w:br/>
        <w:t>{0,1}</w:t>
      </w:r>
      <w:r>
        <w:br/>
        <w:t>\tag{3.11231}</w:t>
      </w:r>
      <w:r>
        <w:br/>
        <w:t>]</w:t>
      </w:r>
    </w:p>
    <w:p w:rsidR="00453A3F" w:rsidRDefault="00453A3F" w:rsidP="00453A3F">
      <w:pPr>
        <w:pStyle w:val="StandardWeb"/>
      </w:pPr>
      <w:r>
        <w:rPr>
          <w:rStyle w:val="Fett"/>
        </w:rPr>
        <w:lastRenderedPageBreak/>
        <w:t>Word-LaTeX</w:t>
      </w:r>
    </w:p>
    <w:p w:rsidR="00453A3F" w:rsidRDefault="00453A3F" w:rsidP="00453A3F">
      <w:pPr>
        <w:pStyle w:val="HTMLVorformatiert"/>
        <w:rPr>
          <w:rStyle w:val="HTMLCode"/>
        </w:rPr>
      </w:pPr>
      <w:r>
        <w:rPr>
          <w:rStyle w:val="HTMLCode"/>
        </w:rPr>
        <w:t>K_X\in\{0,1\}</w:t>
      </w:r>
    </w:p>
    <w:p w:rsidR="00453A3F" w:rsidRDefault="00453A3F" w:rsidP="00453A3F">
      <w:pPr>
        <w:pStyle w:val="StandardWeb"/>
      </w:pPr>
      <w:r>
        <w:t>setzen.</w:t>
      </w:r>
    </w:p>
    <w:p w:rsidR="00453A3F" w:rsidRDefault="00453A3F" w:rsidP="00453A3F">
      <w:pPr>
        <w:pStyle w:val="StandardWeb"/>
      </w:pPr>
      <w:r>
        <w:t>Dann bedeutet</w:t>
      </w:r>
    </w:p>
    <w:p w:rsidR="00453A3F" w:rsidRDefault="00453A3F" w:rsidP="00453A3F">
      <w:pPr>
        <w:pStyle w:val="berschrift1"/>
      </w:pPr>
      <w:r>
        <w:t>[</w:t>
      </w:r>
      <w:r>
        <w:br/>
        <w:t>\mathfrak P_{\mathrm{sc}}</w:t>
      </w:r>
    </w:p>
    <w:p w:rsidR="00453A3F" w:rsidRDefault="00453A3F" w:rsidP="00453A3F">
      <w:pPr>
        <w:pStyle w:val="StandardWeb"/>
      </w:pPr>
      <w:r>
        <w:t>(1,1,1,1)</w:t>
      </w:r>
      <w:r>
        <w:br/>
        <w:t>\tag{3.11232}</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\mathfrak P_{\mathrm{sc}}=(1,1,1,1)</w:t>
      </w:r>
    </w:p>
    <w:p w:rsidR="00453A3F" w:rsidRDefault="00453A3F" w:rsidP="00453A3F">
      <w:pPr>
        <w:pStyle w:val="StandardWeb"/>
      </w:pPr>
      <w:r>
        <w:t>vollständige Kompatibilität bezüglich der vier betrachteten Strukturklassen.</w:t>
      </w:r>
    </w:p>
    <w:p w:rsidR="00453A3F" w:rsidRDefault="00E50336" w:rsidP="00453A3F">
      <w:r>
        <w:pict>
          <v:rect id="_x0000_i3787" style="width:0;height:1.5pt" o:hralign="center" o:hrstd="t" o:hr="t" fillcolor="#a0a0a0" stroked="f"/>
        </w:pict>
      </w:r>
    </w:p>
    <w:p w:rsidR="00453A3F" w:rsidRDefault="00453A3F" w:rsidP="00453A3F">
      <w:pPr>
        <w:pStyle w:val="berschrift1"/>
      </w:pPr>
      <w:r>
        <w:t>3.3.46.271 Definition 3.3.225 – Vollständig skalenkompatibles FRZK-Modell</w:t>
      </w:r>
    </w:p>
    <w:p w:rsidR="00453A3F" w:rsidRDefault="00453A3F" w:rsidP="00453A3F">
      <w:pPr>
        <w:pStyle w:val="berschrift3"/>
      </w:pPr>
      <w:r>
        <w:t>Definition 3.3.225</w:t>
      </w:r>
    </w:p>
    <w:p w:rsidR="00453A3F" w:rsidRDefault="00453A3F" w:rsidP="00453A3F">
      <w:pPr>
        <w:pStyle w:val="StandardWeb"/>
      </w:pPr>
      <w:r>
        <w:t xml:space="preserve">Ein FRZK-Modell heißt bezüglich einer spezifizierten Skalierungswirkung </w:t>
      </w:r>
      <w:r>
        <w:rPr>
          <w:rStyle w:val="Fett"/>
        </w:rPr>
        <w:t>vollständig skalenkompatibel</w:t>
      </w:r>
      <w:r>
        <w:t>, wenn</w:t>
      </w:r>
    </w:p>
    <w:p w:rsidR="00453A3F" w:rsidRDefault="00453A3F" w:rsidP="00453A3F">
      <w:pPr>
        <w:pStyle w:val="berschrift1"/>
      </w:pPr>
      <w:r>
        <w:t>[</w:t>
      </w:r>
      <w:r>
        <w:br/>
        <w:t>\boxed{</w:t>
      </w:r>
      <w:r>
        <w:br/>
        <w:t>\mathfrak P_{\mathrm{sc}}</w:t>
      </w:r>
    </w:p>
    <w:p w:rsidR="00453A3F" w:rsidRDefault="00453A3F" w:rsidP="00453A3F">
      <w:pPr>
        <w:pStyle w:val="StandardWeb"/>
      </w:pPr>
      <w:r>
        <w:t>(1,1,1,1).</w:t>
      </w:r>
      <w:r>
        <w:br/>
        <w:t>}</w:t>
      </w:r>
      <w:r>
        <w:br/>
        <w:t>\tag{3.11233}</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\boxed{\mathfrak P_{\mathrm{sc}}=(1,1,1,1).}</w:t>
      </w:r>
    </w:p>
    <w:p w:rsidR="00453A3F" w:rsidRDefault="00453A3F" w:rsidP="00453A3F">
      <w:pPr>
        <w:pStyle w:val="StandardWeb"/>
      </w:pPr>
      <w:r>
        <w:t>Diese Definition bezieht sich ausschließlich auf die im Profil explizit erfassten Strukturkomponenten.</w:t>
      </w:r>
    </w:p>
    <w:p w:rsidR="00453A3F" w:rsidRDefault="00E50336" w:rsidP="00453A3F">
      <w:r>
        <w:lastRenderedPageBreak/>
        <w:pict>
          <v:rect id="_x0000_i3788" style="width:0;height:1.5pt" o:hralign="center" o:hrstd="t" o:hr="t" fillcolor="#a0a0a0" stroked="f"/>
        </w:pict>
      </w:r>
    </w:p>
    <w:p w:rsidR="00453A3F" w:rsidRDefault="00453A3F" w:rsidP="00453A3F">
      <w:pPr>
        <w:pStyle w:val="berschrift1"/>
      </w:pPr>
      <w:r>
        <w:t>3.3.46.272 Vollständige Skalenkompatibilität ist modellabhängig</w:t>
      </w:r>
    </w:p>
    <w:p w:rsidR="00453A3F" w:rsidRDefault="00453A3F" w:rsidP="00453A3F">
      <w:pPr>
        <w:pStyle w:val="StandardWeb"/>
      </w:pPr>
      <w:r>
        <w:t>Ein beliebiges FRZK-Modell muss kein solches Profil besitzen.</w:t>
      </w:r>
    </w:p>
    <w:p w:rsidR="00453A3F" w:rsidRDefault="00453A3F" w:rsidP="00453A3F">
      <w:pPr>
        <w:pStyle w:val="StandardWeb"/>
      </w:pPr>
      <w:r>
        <w:t>Insbesondere gilt nicht universal</w:t>
      </w:r>
    </w:p>
    <w:p w:rsidR="00453A3F" w:rsidRDefault="00453A3F" w:rsidP="00453A3F">
      <w:pPr>
        <w:pStyle w:val="berschrift1"/>
      </w:pPr>
      <w:r>
        <w:t>[</w:t>
      </w:r>
      <w:r>
        <w:br/>
        <w:t>\boxed{</w:t>
      </w:r>
      <w:r>
        <w:br/>
        <w:t>\mathfrak P_{\mathrm{sc}}</w:t>
      </w:r>
    </w:p>
    <w:p w:rsidR="00453A3F" w:rsidRDefault="00453A3F" w:rsidP="00453A3F">
      <w:pPr>
        <w:pStyle w:val="StandardWeb"/>
      </w:pPr>
      <w:r>
        <w:t>(1,1,1,1).</w:t>
      </w:r>
      <w:r>
        <w:br/>
        <w:t>}</w:t>
      </w:r>
      <w:r>
        <w:br/>
        <w:t>\tag{3.11234}</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\boxed{\mathfrak P_{\mathrm{sc}}=(1,1,1,1).}</w:t>
      </w:r>
    </w:p>
    <w:p w:rsidR="00453A3F" w:rsidRDefault="00453A3F" w:rsidP="00453A3F">
      <w:pPr>
        <w:pStyle w:val="StandardWeb"/>
      </w:pPr>
      <w:r>
        <w:t>Die dargestellte Bedingung ist eine zusätzliche Modelleistenschaft.</w:t>
      </w:r>
    </w:p>
    <w:p w:rsidR="00453A3F" w:rsidRDefault="00E50336" w:rsidP="00453A3F">
      <w:r>
        <w:pict>
          <v:rect id="_x0000_i3789" style="width:0;height:1.5pt" o:hralign="center" o:hrstd="t" o:hr="t" fillcolor="#a0a0a0" stroked="f"/>
        </w:pict>
      </w:r>
    </w:p>
    <w:p w:rsidR="00453A3F" w:rsidRDefault="00453A3F" w:rsidP="00453A3F">
      <w:pPr>
        <w:pStyle w:val="berschrift1"/>
      </w:pPr>
      <w:r>
        <w:t>3.3.46.273 Primäraxiomkandidat vollständiger Skalenkompatibilität</w:t>
      </w:r>
    </w:p>
    <w:p w:rsidR="00453A3F" w:rsidRDefault="00453A3F" w:rsidP="00453A3F">
      <w:pPr>
        <w:pStyle w:val="StandardWeb"/>
      </w:pPr>
      <w:r>
        <w:t>Ein möglicher neuer Kandidat wäre</w:t>
      </w:r>
    </w:p>
    <w:p w:rsidR="00453A3F" w:rsidRDefault="00453A3F" w:rsidP="00453A3F">
      <w:pPr>
        <w:pStyle w:val="berschrift1"/>
      </w:pPr>
      <w:r>
        <w:t>[</w:t>
      </w:r>
      <w:r>
        <w:br/>
        <w:t>A_{\mathrm{SC}}:</w:t>
      </w:r>
      <w:r>
        <w:br/>
        <w:t>\mathfrak P_{\mathrm{sc}}</w:t>
      </w:r>
    </w:p>
    <w:p w:rsidR="00453A3F" w:rsidRDefault="00453A3F" w:rsidP="00453A3F">
      <w:pPr>
        <w:pStyle w:val="StandardWeb"/>
      </w:pPr>
      <w:r>
        <w:t>(1,1,1,1).</w:t>
      </w:r>
      <w:r>
        <w:br/>
        <w:t>\tag{3.11235}</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A_{\mathrm{SC}}:\mathfrak P_{\mathrm{sc}}=(1,1,1,1)</w:t>
      </w:r>
    </w:p>
    <w:p w:rsidR="00453A3F" w:rsidRDefault="00453A3F" w:rsidP="00453A3F">
      <w:pPr>
        <w:pStyle w:val="StandardWeb"/>
      </w:pPr>
      <w:r>
        <w:t>Dieser Kandidat würde jedem FRZK-Modell eine vollständig skalenkompatible Struktur aufzwingen.</w:t>
      </w:r>
    </w:p>
    <w:p w:rsidR="00453A3F" w:rsidRDefault="00E50336" w:rsidP="00453A3F">
      <w:r>
        <w:lastRenderedPageBreak/>
        <w:pict>
          <v:rect id="_x0000_i3790" style="width:0;height:1.5pt" o:hralign="center" o:hrstd="t" o:hr="t" fillcolor="#a0a0a0" stroked="f"/>
        </w:pict>
      </w:r>
    </w:p>
    <w:p w:rsidR="00453A3F" w:rsidRDefault="00453A3F" w:rsidP="00453A3F">
      <w:pPr>
        <w:pStyle w:val="berschrift1"/>
      </w:pPr>
      <w:r>
        <w:t>3.3.46.274 Notwendigkeitstest</w:t>
      </w:r>
    </w:p>
    <w:p w:rsidR="00453A3F" w:rsidRDefault="00453A3F" w:rsidP="00453A3F">
      <w:pPr>
        <w:pStyle w:val="StandardWeb"/>
      </w:pPr>
      <w:r>
        <w:t>Bereits zuvor wurde gezeigt, dass ein FRZK-Modell ohne irgendeine Skalierungswirkung formulierbar ist.</w:t>
      </w:r>
    </w:p>
    <w:p w:rsidR="00453A3F" w:rsidRDefault="00453A3F" w:rsidP="00453A3F">
      <w:pPr>
        <w:pStyle w:val="StandardWeb"/>
      </w:pPr>
      <w:r>
        <w:t>Damit existieren zulässige Modelle, für die</w:t>
      </w:r>
    </w:p>
    <w:p w:rsidR="00453A3F" w:rsidRDefault="00453A3F" w:rsidP="00453A3F">
      <w:pPr>
        <w:pStyle w:val="StandardWeb"/>
      </w:pPr>
      <w:r>
        <w:t>[</w:t>
      </w:r>
      <w:r>
        <w:br/>
        <w:t>\mathfrak P_{\mathrm{sc}}</w:t>
      </w:r>
      <w:r>
        <w:br/>
        <w:t>\tag{3.11236}</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\mathfrak P_{\mathrm{sc}}</w:t>
      </w:r>
    </w:p>
    <w:p w:rsidR="00453A3F" w:rsidRDefault="00453A3F" w:rsidP="00453A3F">
      <w:pPr>
        <w:pStyle w:val="StandardWeb"/>
      </w:pPr>
      <w:r>
        <w:t>überhaupt nicht definiert werden muss.</w:t>
      </w:r>
    </w:p>
    <w:p w:rsidR="00453A3F" w:rsidRDefault="00453A3F" w:rsidP="00453A3F">
      <w:pPr>
        <w:pStyle w:val="StandardWeb"/>
      </w:pPr>
      <w:r>
        <w:t>Ein Axiom, welches</w:t>
      </w:r>
    </w:p>
    <w:p w:rsidR="00453A3F" w:rsidRDefault="00453A3F" w:rsidP="00453A3F">
      <w:pPr>
        <w:pStyle w:val="berschrift1"/>
      </w:pPr>
      <w:r>
        <w:t>[</w:t>
      </w:r>
      <w:r>
        <w:br/>
        <w:t>\mathfrak P_{\mathrm{sc}}</w:t>
      </w:r>
    </w:p>
    <w:p w:rsidR="00453A3F" w:rsidRDefault="00453A3F" w:rsidP="00453A3F">
      <w:pPr>
        <w:pStyle w:val="StandardWeb"/>
      </w:pPr>
      <w:r>
        <w:t>(1,1,1,1)</w:t>
      </w:r>
      <w:r>
        <w:br/>
        <w:t>\tag{3.11237}</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\mathfrak P_{\mathrm{sc}}=(1,1,1,1)</w:t>
      </w:r>
    </w:p>
    <w:p w:rsidR="00453A3F" w:rsidRDefault="00453A3F" w:rsidP="00453A3F">
      <w:pPr>
        <w:pStyle w:val="StandardWeb"/>
      </w:pPr>
      <w:r>
        <w:t>fordert, kann daher nicht minimal notwendig sein.</w:t>
      </w:r>
    </w:p>
    <w:p w:rsidR="00453A3F" w:rsidRDefault="00E50336" w:rsidP="00453A3F">
      <w:r>
        <w:pict>
          <v:rect id="_x0000_i3791" style="width:0;height:1.5pt" o:hralign="center" o:hrstd="t" o:hr="t" fillcolor="#a0a0a0" stroked="f"/>
        </w:pict>
      </w:r>
    </w:p>
    <w:p w:rsidR="00453A3F" w:rsidRDefault="00453A3F" w:rsidP="00453A3F">
      <w:pPr>
        <w:pStyle w:val="berschrift1"/>
      </w:pPr>
      <w:r>
        <w:t>3.3.46.275 Ergebnis der Axiomprüfung vollständiger Skalenkompatibilität</w:t>
      </w:r>
    </w:p>
    <w:p w:rsidR="00453A3F" w:rsidRDefault="00453A3F" w:rsidP="00453A3F">
      <w:pPr>
        <w:pStyle w:val="StandardWeb"/>
      </w:pPr>
      <w:r>
        <w:t>Es folgt</w:t>
      </w:r>
    </w:p>
    <w:p w:rsidR="00453A3F" w:rsidRDefault="00453A3F" w:rsidP="00453A3F">
      <w:pPr>
        <w:pStyle w:val="berschrift1"/>
      </w:pPr>
      <w:r>
        <w:t>[</w:t>
      </w:r>
      <w:r>
        <w:br/>
        <w:t>\boxed{</w:t>
      </w:r>
      <w:r>
        <w:br/>
      </w:r>
      <w:r>
        <w:lastRenderedPageBreak/>
        <w:t>U_{\mathrm{Ax}}</w:t>
      </w:r>
      <w:r>
        <w:br/>
        <w:t>(A_{\mathrm{SC}})</w:t>
      </w:r>
    </w:p>
    <w:p w:rsidR="00453A3F" w:rsidRDefault="00453A3F" w:rsidP="00152216">
      <w:pPr>
        <w:numPr>
          <w:ilvl w:val="0"/>
          <w:numId w:val="486"/>
        </w:numPr>
        <w:spacing w:before="100" w:beforeAutospacing="1" w:after="100" w:afterAutospacing="1"/>
      </w:pPr>
    </w:p>
    <w:p w:rsidR="00453A3F" w:rsidRDefault="00453A3F" w:rsidP="00453A3F">
      <w:pPr>
        <w:pStyle w:val="StandardWeb"/>
      </w:pPr>
      <w:r>
        <w:t>}</w:t>
      </w:r>
      <w:r>
        <w:br/>
        <w:t>\tag{3.11238}</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\boxed{U_{\mathrm{Ax}}(A_{\mathrm{SC}})=0.}</w:t>
      </w:r>
    </w:p>
    <w:p w:rsidR="00453A3F" w:rsidRDefault="00E50336" w:rsidP="00453A3F">
      <w:r>
        <w:pict>
          <v:rect id="_x0000_i3792" style="width:0;height:1.5pt" o:hralign="center" o:hrstd="t" o:hr="t" fillcolor="#a0a0a0" stroked="f"/>
        </w:pict>
      </w:r>
    </w:p>
    <w:p w:rsidR="00453A3F" w:rsidRDefault="00453A3F" w:rsidP="00453A3F">
      <w:pPr>
        <w:pStyle w:val="berschrift1"/>
      </w:pPr>
      <w:r>
        <w:t>3.3.46.276 Satz 3.3.100 – Vollständige Skalenkompatibilität ist kein Primäraxiom</w:t>
      </w:r>
    </w:p>
    <w:p w:rsidR="00453A3F" w:rsidRDefault="00453A3F" w:rsidP="00453A3F">
      <w:pPr>
        <w:pStyle w:val="berschrift3"/>
      </w:pPr>
      <w:r>
        <w:t>Satz 3.3.100</w:t>
      </w:r>
    </w:p>
    <w:p w:rsidR="00453A3F" w:rsidRDefault="00453A3F" w:rsidP="00453A3F">
      <w:pPr>
        <w:pStyle w:val="StandardWeb"/>
      </w:pPr>
      <w:r>
        <w:t>Die Forderung, dass Zustandsraum, Übergangsrelation, Kohärenzstruktur und sämtliche funktionalen Operatoren mit einer gemeinsamen Skalierungswirkung vollständig kompatibel sind, ist keine universell notwendige Primärstruktur des FRZK.</w:t>
      </w:r>
    </w:p>
    <w:p w:rsidR="00453A3F" w:rsidRDefault="00453A3F" w:rsidP="00453A3F">
      <w:pPr>
        <w:pStyle w:val="StandardWeb"/>
      </w:pPr>
      <w:r>
        <w:t>Formal gilt</w:t>
      </w:r>
    </w:p>
    <w:p w:rsidR="00453A3F" w:rsidRDefault="00453A3F" w:rsidP="00453A3F">
      <w:pPr>
        <w:pStyle w:val="berschrift1"/>
      </w:pPr>
      <w:r>
        <w:t>[</w:t>
      </w:r>
      <w:r>
        <w:br/>
        <w:t>\boxed{</w:t>
      </w:r>
      <w:r>
        <w:br/>
        <w:t>U_{\mathrm{Ax}}</w:t>
      </w:r>
      <w:r>
        <w:br/>
        <w:t>(A_{\mathrm{SC}})</w:t>
      </w:r>
    </w:p>
    <w:p w:rsidR="00453A3F" w:rsidRDefault="00453A3F" w:rsidP="00152216">
      <w:pPr>
        <w:numPr>
          <w:ilvl w:val="0"/>
          <w:numId w:val="487"/>
        </w:numPr>
        <w:spacing w:before="100" w:beforeAutospacing="1" w:after="100" w:afterAutospacing="1"/>
      </w:pPr>
    </w:p>
    <w:p w:rsidR="00453A3F" w:rsidRDefault="00453A3F" w:rsidP="00453A3F">
      <w:pPr>
        <w:pStyle w:val="StandardWeb"/>
      </w:pPr>
      <w:r>
        <w:t>}</w:t>
      </w:r>
      <w:r>
        <w:br/>
        <w:t>\tag{3.11239}</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\boxed{U_{\mathrm{Ax}}(A_{\mathrm{SC}})=0.}</w:t>
      </w:r>
    </w:p>
    <w:p w:rsidR="00453A3F" w:rsidRDefault="00453A3F" w:rsidP="00453A3F">
      <w:pPr>
        <w:pStyle w:val="berschrift3"/>
      </w:pPr>
      <w:r>
        <w:t>Beweis</w:t>
      </w:r>
    </w:p>
    <w:p w:rsidR="00453A3F" w:rsidRDefault="00453A3F" w:rsidP="00453A3F">
      <w:pPr>
        <w:pStyle w:val="StandardWeb"/>
      </w:pPr>
      <w:r>
        <w:t>Ein allgemeines relationales FRZK-Modell benötigt keine Skalierungsstruktur. Damit kann vollständige Kompatibilität mit einer Skalierungsstruktur erst recht keine notwendige Voraussetzung für die Existenz jedes FRZK-Modells sein. Die Bedingung ist daher eine mögliche zusätzliche Modelleistenschaft, aber kein Primäraxiom. (\square)</w:t>
      </w:r>
    </w:p>
    <w:p w:rsidR="00453A3F" w:rsidRDefault="00E50336" w:rsidP="00453A3F">
      <w:r>
        <w:lastRenderedPageBreak/>
        <w:pict>
          <v:rect id="_x0000_i3793" style="width:0;height:1.5pt" o:hralign="center" o:hrstd="t" o:hr="t" fillcolor="#a0a0a0" stroked="f"/>
        </w:pict>
      </w:r>
    </w:p>
    <w:p w:rsidR="00453A3F" w:rsidRDefault="00453A3F" w:rsidP="00453A3F">
      <w:pPr>
        <w:pStyle w:val="berschrift1"/>
      </w:pPr>
      <w:r>
        <w:t>3.3.46.277 Status der Übergangsskalenkompatibilität</w:t>
      </w:r>
    </w:p>
    <w:p w:rsidR="00453A3F" w:rsidRDefault="00453A3F" w:rsidP="00453A3F">
      <w:pPr>
        <w:pStyle w:val="StandardWeb"/>
      </w:pPr>
      <w:r>
        <w:t>Für die Übergangserhaltung gilt damit</w:t>
      </w:r>
    </w:p>
    <w:p w:rsidR="00453A3F" w:rsidRDefault="00453A3F" w:rsidP="00453A3F">
      <w:pPr>
        <w:pStyle w:val="berschrift1"/>
      </w:pPr>
      <w:r>
        <w:t>[</w:t>
      </w:r>
      <w:r>
        <w:br/>
        <w:t>\boxed{</w:t>
      </w:r>
      <w:r>
        <w:br/>
        <w:t>\operatorname{Stat}</w:t>
      </w:r>
      <w:r>
        <w:br/>
        <w:t>\left(</w:t>
      </w:r>
      <w:r>
        <w:br/>
        <w:t>\operatorname{Comp}_{\mathrm{sc}}(\mathcal T_F)</w:t>
      </w:r>
      <w:r>
        <w:br/>
        <w:t>\right)</w:t>
      </w:r>
    </w:p>
    <w:p w:rsidR="00453A3F" w:rsidRDefault="00453A3F" w:rsidP="00453A3F">
      <w:pPr>
        <w:pStyle w:val="StandardWeb"/>
      </w:pPr>
      <w:r>
        <w:t>\mathrm{Def/Mod}.</w:t>
      </w:r>
      <w:r>
        <w:br/>
        <w:t>}</w:t>
      </w:r>
      <w:r>
        <w:br/>
        <w:t>\tag{3.11240}</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\boxed{\operatorname{Stat}\left(\operatorname{Comp}_{\mathrm{sc}}(\mathcal T_F)\right)=\mathrm{Def/Mod}.}</w:t>
      </w:r>
    </w:p>
    <w:p w:rsidR="00453A3F" w:rsidRDefault="00E50336" w:rsidP="00453A3F">
      <w:r>
        <w:pict>
          <v:rect id="_x0000_i3794" style="width:0;height:1.5pt" o:hralign="center" o:hrstd="t" o:hr="t" fillcolor="#a0a0a0" stroked="f"/>
        </w:pict>
      </w:r>
    </w:p>
    <w:p w:rsidR="00453A3F" w:rsidRDefault="00453A3F" w:rsidP="00453A3F">
      <w:pPr>
        <w:pStyle w:val="berschrift1"/>
      </w:pPr>
      <w:r>
        <w:t>3.3.46.278 Status der Kohärenzskalierung</w:t>
      </w:r>
    </w:p>
    <w:p w:rsidR="00453A3F" w:rsidRDefault="00453A3F" w:rsidP="00453A3F">
      <w:pPr>
        <w:pStyle w:val="StandardWeb"/>
      </w:pPr>
      <w:r>
        <w:t>Für das allgemeine Kohärenzskalierungsmodell gilt</w:t>
      </w:r>
    </w:p>
    <w:p w:rsidR="00453A3F" w:rsidRDefault="00453A3F" w:rsidP="00453A3F">
      <w:pPr>
        <w:pStyle w:val="berschrift1"/>
      </w:pPr>
      <w:r>
        <w:t>[</w:t>
      </w:r>
      <w:r>
        <w:br/>
        <w:t>\boxed{</w:t>
      </w:r>
      <w:r>
        <w:br/>
        <w:t>\operatorname{Stat}</w:t>
      </w:r>
      <w:r>
        <w:br/>
        <w:t>(f_\lambda)</w:t>
      </w:r>
    </w:p>
    <w:p w:rsidR="00453A3F" w:rsidRDefault="00453A3F" w:rsidP="00453A3F">
      <w:pPr>
        <w:pStyle w:val="StandardWeb"/>
      </w:pPr>
      <w:r>
        <w:t>\mathrm{Def/Mod}.</w:t>
      </w:r>
      <w:r>
        <w:br/>
        <w:t>}</w:t>
      </w:r>
      <w:r>
        <w:br/>
        <w:t>\tag{3.11241}</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\boxed{\operatorname{Stat}(f_\lambda)=\mathrm{Def/Mod}.}</w:t>
      </w:r>
    </w:p>
    <w:p w:rsidR="00453A3F" w:rsidRDefault="00E50336" w:rsidP="00453A3F">
      <w:r>
        <w:pict>
          <v:rect id="_x0000_i3795" style="width:0;height:1.5pt" o:hralign="center" o:hrstd="t" o:hr="t" fillcolor="#a0a0a0" stroked="f"/>
        </w:pict>
      </w:r>
    </w:p>
    <w:p w:rsidR="00453A3F" w:rsidRDefault="00453A3F" w:rsidP="00453A3F">
      <w:pPr>
        <w:pStyle w:val="berschrift1"/>
      </w:pPr>
      <w:r>
        <w:lastRenderedPageBreak/>
        <w:t>3.3.46.279 Status der Kohärenzordnungserhaltung</w:t>
      </w:r>
    </w:p>
    <w:p w:rsidR="00453A3F" w:rsidRDefault="00453A3F" w:rsidP="00453A3F">
      <w:pPr>
        <w:pStyle w:val="StandardWeb"/>
      </w:pPr>
      <w:r>
        <w:t>Die Kohärenzordnungserhaltung ist definitorisch formulierbar und modellabhängig realisiert:</w:t>
      </w:r>
    </w:p>
    <w:p w:rsidR="00453A3F" w:rsidRDefault="00453A3F" w:rsidP="00453A3F">
      <w:pPr>
        <w:pStyle w:val="berschrift1"/>
      </w:pPr>
      <w:r>
        <w:t>[</w:t>
      </w:r>
      <w:r>
        <w:br/>
        <w:t>\boxed{</w:t>
      </w:r>
      <w:r>
        <w:br/>
        <w:t>\operatorname{Stat}</w:t>
      </w:r>
      <w:r>
        <w:br/>
        <w:t>\left(</w:t>
      </w:r>
      <w:r>
        <w:br/>
        <w:t>\operatorname{OrdInv}_{\mathrm{sc}}(C_F)</w:t>
      </w:r>
      <w:r>
        <w:br/>
        <w:t>\right)</w:t>
      </w:r>
    </w:p>
    <w:p w:rsidR="00453A3F" w:rsidRDefault="00453A3F" w:rsidP="00453A3F">
      <w:pPr>
        <w:pStyle w:val="StandardWeb"/>
      </w:pPr>
      <w:r>
        <w:t>\mathrm{Def/Mod}.</w:t>
      </w:r>
      <w:r>
        <w:br/>
        <w:t>}</w:t>
      </w:r>
      <w:r>
        <w:br/>
        <w:t>\tag{3.11242}</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\boxed{\operatorname{Stat}\left(\operatorname{OrdInv}_{\mathrm{sc}}(C_F)\right)=\mathrm{Def/Mod}.}</w:t>
      </w:r>
    </w:p>
    <w:p w:rsidR="00453A3F" w:rsidRDefault="00E50336" w:rsidP="00453A3F">
      <w:r>
        <w:pict>
          <v:rect id="_x0000_i3796" style="width:0;height:1.5pt" o:hralign="center" o:hrstd="t" o:hr="t" fillcolor="#a0a0a0" stroked="f"/>
        </w:pict>
      </w:r>
    </w:p>
    <w:p w:rsidR="00453A3F" w:rsidRDefault="00453A3F" w:rsidP="00453A3F">
      <w:pPr>
        <w:pStyle w:val="berschrift1"/>
      </w:pPr>
      <w:r>
        <w:t>3.3.46.280 Status der Skalenkompatibilität funktionaler Operatoren</w:t>
      </w:r>
    </w:p>
    <w:p w:rsidR="00453A3F" w:rsidRDefault="00453A3F" w:rsidP="00453A3F">
      <w:pPr>
        <w:pStyle w:val="StandardWeb"/>
      </w:pPr>
      <w:r>
        <w:t>Für eine konkrete Operatorfamilie gilt</w:t>
      </w:r>
    </w:p>
    <w:p w:rsidR="00453A3F" w:rsidRDefault="00453A3F" w:rsidP="00453A3F">
      <w:pPr>
        <w:pStyle w:val="berschrift1"/>
      </w:pPr>
      <w:r>
        <w:t>[</w:t>
      </w:r>
      <w:r>
        <w:br/>
        <w:t>\boxed{</w:t>
      </w:r>
      <w:r>
        <w:br/>
        <w:t>\operatorname{Stat}</w:t>
      </w:r>
      <w:r>
        <w:br/>
        <w:t>\left(</w:t>
      </w:r>
      <w:r>
        <w:br/>
        <w:t>\operatorname{Comp}_{\mathrm{sc}}(\mathfrak O_F)</w:t>
      </w:r>
      <w:r>
        <w:br/>
        <w:t>\right)</w:t>
      </w:r>
    </w:p>
    <w:p w:rsidR="00453A3F" w:rsidRDefault="00453A3F" w:rsidP="00453A3F">
      <w:pPr>
        <w:pStyle w:val="StandardWeb"/>
      </w:pPr>
      <w:r>
        <w:t>\mathrm{Def/Mod}.</w:t>
      </w:r>
      <w:r>
        <w:br/>
        <w:t>}</w:t>
      </w:r>
      <w:r>
        <w:br/>
        <w:t>\tag{3.11243}</w:t>
      </w:r>
      <w:r>
        <w:br/>
        <w:t>]</w:t>
      </w:r>
    </w:p>
    <w:p w:rsidR="00453A3F" w:rsidRDefault="00453A3F" w:rsidP="00453A3F">
      <w:pPr>
        <w:pStyle w:val="StandardWeb"/>
      </w:pPr>
      <w:r>
        <w:rPr>
          <w:rStyle w:val="Fett"/>
        </w:rPr>
        <w:lastRenderedPageBreak/>
        <w:t>Word-LaTeX</w:t>
      </w:r>
    </w:p>
    <w:p w:rsidR="00453A3F" w:rsidRDefault="00453A3F" w:rsidP="00453A3F">
      <w:pPr>
        <w:pStyle w:val="HTMLVorformatiert"/>
        <w:rPr>
          <w:rStyle w:val="HTMLCode"/>
        </w:rPr>
      </w:pPr>
      <w:r>
        <w:rPr>
          <w:rStyle w:val="HTMLCode"/>
        </w:rPr>
        <w:t>\boxed{\operatorname{Stat}\left(\operatorname{Comp}_{\mathrm{sc}}(\mathfrak O_F)\right)=\mathrm{Def/Mod}.}</w:t>
      </w:r>
    </w:p>
    <w:p w:rsidR="00453A3F" w:rsidRDefault="00E50336" w:rsidP="00453A3F">
      <w:r>
        <w:pict>
          <v:rect id="_x0000_i3797" style="width:0;height:1.5pt" o:hralign="center" o:hrstd="t" o:hr="t" fillcolor="#a0a0a0" stroked="f"/>
        </w:pict>
      </w:r>
    </w:p>
    <w:p w:rsidR="00453A3F" w:rsidRDefault="00453A3F" w:rsidP="00453A3F">
      <w:pPr>
        <w:pStyle w:val="berschrift1"/>
      </w:pPr>
      <w:r>
        <w:t>3.3.46.281 Status des Skalenkompatibilitätsprofils</w:t>
      </w:r>
    </w:p>
    <w:p w:rsidR="00453A3F" w:rsidRDefault="00453A3F" w:rsidP="00453A3F">
      <w:pPr>
        <w:pStyle w:val="StandardWeb"/>
      </w:pPr>
      <w:r>
        <w:t>Das Profil</w:t>
      </w:r>
    </w:p>
    <w:p w:rsidR="00453A3F" w:rsidRDefault="00453A3F" w:rsidP="00453A3F">
      <w:pPr>
        <w:pStyle w:val="berschrift1"/>
      </w:pPr>
      <w:r>
        <w:t>[</w:t>
      </w:r>
      <w:r>
        <w:br/>
        <w:t>\mathfrak P_{\mathrm{sc}}</w:t>
      </w:r>
    </w:p>
    <w:p w:rsidR="00453A3F" w:rsidRDefault="00453A3F" w:rsidP="00453A3F">
      <w:pPr>
        <w:pStyle w:val="StandardWeb"/>
      </w:pPr>
      <w:r>
        <w:t>(K_\Omega,K_T,K_C,K_O)</w:t>
      </w:r>
      <w:r>
        <w:br/>
        <w:t>\tag{3.11244}</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\mathfrak P_{\mathrm{sc}}=(K_\Omega,K_T,K_C,K_O)</w:t>
      </w:r>
    </w:p>
    <w:p w:rsidR="00453A3F" w:rsidRDefault="00453A3F" w:rsidP="00453A3F">
      <w:pPr>
        <w:pStyle w:val="StandardWeb"/>
      </w:pPr>
      <w:r>
        <w:t>ist eine definitorische und operationalisierbare Zusammenfassung.</w:t>
      </w:r>
    </w:p>
    <w:p w:rsidR="00453A3F" w:rsidRDefault="00453A3F" w:rsidP="00453A3F">
      <w:pPr>
        <w:pStyle w:val="StandardWeb"/>
      </w:pPr>
      <w:r>
        <w:t>Daher gilt</w:t>
      </w:r>
    </w:p>
    <w:p w:rsidR="00453A3F" w:rsidRDefault="00453A3F" w:rsidP="00453A3F">
      <w:pPr>
        <w:pStyle w:val="berschrift1"/>
      </w:pPr>
      <w:r>
        <w:t>[</w:t>
      </w:r>
      <w:r>
        <w:br/>
        <w:t>\boxed{</w:t>
      </w:r>
      <w:r>
        <w:br/>
        <w:t>\operatorname{Stat}</w:t>
      </w:r>
      <w:r>
        <w:br/>
        <w:t>(\mathfrak P_{\mathrm{sc}})</w:t>
      </w:r>
    </w:p>
    <w:p w:rsidR="00453A3F" w:rsidRDefault="00453A3F" w:rsidP="00453A3F">
      <w:pPr>
        <w:pStyle w:val="StandardWeb"/>
      </w:pPr>
      <w:r>
        <w:t>\mathrm{Def/Op}.</w:t>
      </w:r>
      <w:r>
        <w:br/>
        <w:t>}</w:t>
      </w:r>
      <w:r>
        <w:br/>
        <w:t>\tag{3.11245}</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\boxed{\operatorname{Stat}(\mathfrak P_{\mathrm{sc}})=\mathrm{Def/Op}.}</w:t>
      </w:r>
    </w:p>
    <w:p w:rsidR="00453A3F" w:rsidRDefault="00E50336" w:rsidP="00453A3F">
      <w:r>
        <w:pict>
          <v:rect id="_x0000_i3798" style="width:0;height:1.5pt" o:hralign="center" o:hrstd="t" o:hr="t" fillcolor="#a0a0a0" stroked="f"/>
        </w:pict>
      </w:r>
    </w:p>
    <w:p w:rsidR="00453A3F" w:rsidRDefault="00453A3F" w:rsidP="00453A3F">
      <w:pPr>
        <w:pStyle w:val="berschrift1"/>
      </w:pPr>
      <w:r>
        <w:t>3.3.46.282 Erweiterte Primäraxiombilanz</w:t>
      </w:r>
    </w:p>
    <w:p w:rsidR="00453A3F" w:rsidRDefault="00453A3F" w:rsidP="00453A3F">
      <w:pPr>
        <w:pStyle w:val="StandardWeb"/>
      </w:pPr>
      <w:r>
        <w:t>Nach dem dritten Entwicklungsblock sind nun folgende Primäraxiomkandidaten verworfen:</w:t>
      </w:r>
    </w:p>
    <w:p w:rsidR="00453A3F" w:rsidRDefault="00453A3F" w:rsidP="00453A3F">
      <w:pPr>
        <w:pStyle w:val="StandardWeb"/>
      </w:pPr>
      <w:r>
        <w:t>[</w:t>
      </w:r>
      <w:r>
        <w:br/>
        <w:t>A_{\mathrm{sc}},</w:t>
      </w:r>
      <w:r>
        <w:br/>
      </w:r>
      <w:r>
        <w:lastRenderedPageBreak/>
        <w:t>\quad</w:t>
      </w:r>
      <w:r>
        <w:br/>
        <w:t>A_{\mathrm{dim}},</w:t>
      </w:r>
      <w:r>
        <w:br/>
        <w:t>\quad</w:t>
      </w:r>
      <w:r>
        <w:br/>
        <w:t>A_{\mathrm{SI}},</w:t>
      </w:r>
      <w:r>
        <w:br/>
        <w:t>\quad</w:t>
      </w:r>
      <w:r>
        <w:br/>
        <w:t>A_{\mathrm{sc}}^{+},</w:t>
      </w:r>
      <w:r>
        <w:br/>
        <w:t>\quad</w:t>
      </w:r>
      <w:r>
        <w:br/>
        <w:t>A_{\mathrm{SC}}.</w:t>
      </w:r>
      <w:r>
        <w:br/>
        <w:t>\tag{3.11246}</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A_{\mathrm{sc}},\quad A_{\mathrm{dim}},\quad A_{\mathrm{SI}},\quad A_{\mathrm{sc}}^{+},\quad A_{\mathrm{SC}}</w:t>
      </w:r>
    </w:p>
    <w:p w:rsidR="00453A3F" w:rsidRDefault="00453A3F" w:rsidP="00453A3F">
      <w:pPr>
        <w:pStyle w:val="StandardWeb"/>
      </w:pPr>
      <w:r>
        <w:t>Für alle gilt</w:t>
      </w:r>
    </w:p>
    <w:p w:rsidR="00453A3F" w:rsidRDefault="00453A3F" w:rsidP="00453A3F">
      <w:pPr>
        <w:pStyle w:val="berschrift1"/>
      </w:pPr>
      <w:r>
        <w:t>[</w:t>
      </w:r>
      <w:r>
        <w:br/>
        <w:t>\boxed{</w:t>
      </w:r>
      <w:r>
        <w:br/>
        <w:t>U_{\mathrm{Ax}}(A)</w:t>
      </w:r>
    </w:p>
    <w:p w:rsidR="00453A3F" w:rsidRDefault="00453A3F" w:rsidP="00152216">
      <w:pPr>
        <w:numPr>
          <w:ilvl w:val="0"/>
          <w:numId w:val="488"/>
        </w:numPr>
        <w:spacing w:before="100" w:beforeAutospacing="1" w:after="100" w:afterAutospacing="1"/>
      </w:pPr>
    </w:p>
    <w:p w:rsidR="00453A3F" w:rsidRDefault="00453A3F" w:rsidP="00453A3F">
      <w:pPr>
        <w:pStyle w:val="StandardWeb"/>
      </w:pPr>
      <w:r>
        <w:t>}</w:t>
      </w:r>
      <w:r>
        <w:br/>
        <w:t>\tag{3.11247}</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\boxed{U_{\mathrm{Ax}}(A)=0.}</w:t>
      </w:r>
    </w:p>
    <w:p w:rsidR="00453A3F" w:rsidRDefault="00E50336" w:rsidP="00453A3F">
      <w:r>
        <w:pict>
          <v:rect id="_x0000_i3799" style="width:0;height:1.5pt" o:hralign="center" o:hrstd="t" o:hr="t" fillcolor="#a0a0a0" stroked="f"/>
        </w:pict>
      </w:r>
    </w:p>
    <w:p w:rsidR="00453A3F" w:rsidRDefault="00453A3F" w:rsidP="00453A3F">
      <w:pPr>
        <w:pStyle w:val="berschrift1"/>
      </w:pPr>
      <w:r>
        <w:t>3.3.46.283 Keine neuen Primäraxiome nach der Kompatibilitätsprüfung</w:t>
      </w:r>
    </w:p>
    <w:p w:rsidR="00453A3F" w:rsidRDefault="00453A3F" w:rsidP="00453A3F">
      <w:pPr>
        <w:pStyle w:val="StandardWeb"/>
      </w:pPr>
      <w:r>
        <w:t>Damit bleibt</w:t>
      </w:r>
    </w:p>
    <w:p w:rsidR="00453A3F" w:rsidRDefault="00453A3F" w:rsidP="00453A3F">
      <w:pPr>
        <w:pStyle w:val="berschrift1"/>
      </w:pPr>
      <w:r>
        <w:t>[</w:t>
      </w:r>
      <w:r>
        <w:br/>
        <w:t>\boxed{</w:t>
      </w:r>
      <w:r>
        <w:br/>
        <w:t>\mathfrak A_{3.3.46}^{\mathrm{new},(3)}</w:t>
      </w:r>
    </w:p>
    <w:p w:rsidR="00453A3F" w:rsidRDefault="00453A3F" w:rsidP="00453A3F">
      <w:pPr>
        <w:pStyle w:val="StandardWeb"/>
      </w:pPr>
      <w:r>
        <w:t>\varnothing.</w:t>
      </w:r>
      <w:r>
        <w:br/>
        <w:t>}</w:t>
      </w:r>
      <w:r>
        <w:br/>
      </w:r>
      <w:r>
        <w:lastRenderedPageBreak/>
        <w:t>\tag{3.11248}</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\boxed{\mathfrak A_{3.3.46}^{\mathrm{new},(3)}=\varnothing.}</w:t>
      </w:r>
    </w:p>
    <w:p w:rsidR="00453A3F" w:rsidRDefault="00E50336" w:rsidP="00453A3F">
      <w:r>
        <w:pict>
          <v:rect id="_x0000_i3800" style="width:0;height:1.5pt" o:hralign="center" o:hrstd="t" o:hr="t" fillcolor="#a0a0a0" stroked="f"/>
        </w:pict>
      </w:r>
    </w:p>
    <w:p w:rsidR="00453A3F" w:rsidRDefault="00453A3F" w:rsidP="00453A3F">
      <w:pPr>
        <w:pStyle w:val="berschrift1"/>
      </w:pPr>
      <w:r>
        <w:t>3.3.46.284 Zusammenführung der drei Skalierungsblöcke</w:t>
      </w:r>
    </w:p>
    <w:p w:rsidR="00453A3F" w:rsidRDefault="00453A3F" w:rsidP="00453A3F">
      <w:pPr>
        <w:pStyle w:val="StandardWeb"/>
      </w:pPr>
      <w:r>
        <w:t>Die bisherige Gesamtstruktur kann nun als</w:t>
      </w:r>
    </w:p>
    <w:p w:rsidR="00453A3F" w:rsidRDefault="00453A3F" w:rsidP="00453A3F">
      <w:pPr>
        <w:pStyle w:val="berschrift1"/>
      </w:pPr>
      <w:r>
        <w:t>[</w:t>
      </w:r>
      <w:r>
        <w:br/>
        <w:t>\mathfrak S_{3.3.46}^{(3)}</w:t>
      </w:r>
    </w:p>
    <w:p w:rsidR="00453A3F" w:rsidRDefault="00453A3F" w:rsidP="00453A3F">
      <w:pPr>
        <w:pStyle w:val="StandardWeb"/>
      </w:pPr>
      <w:r>
        <w:t>\left(</w:t>
      </w:r>
      <w:r>
        <w:br/>
        <w:t>\mathfrak S_{\mathrm{sc}}^{(2)},</w:t>
      </w:r>
      <w:r>
        <w:br/>
        <w:t>\mathfrak G_{\mathrm{sc},T},</w:t>
      </w:r>
      <w:r>
        <w:br/>
        <w:t>f_\lambda,</w:t>
      </w:r>
      <w:r>
        <w:br/>
        <w:t>\operatorname{OrdInv}</w:t>
      </w:r>
      <w:r>
        <w:rPr>
          <w:rStyle w:val="Hervorhebung"/>
        </w:rPr>
        <w:t>{\mathrm{sc}},</w:t>
      </w:r>
      <w:r>
        <w:rPr>
          <w:i/>
          <w:iCs/>
        </w:rPr>
        <w:br/>
      </w:r>
      <w:r>
        <w:rPr>
          <w:rStyle w:val="Hervorhebung"/>
        </w:rPr>
        <w:t>\operatorname{Comp}</w:t>
      </w:r>
      <w:r>
        <w:t>{\mathrm{sc}},</w:t>
      </w:r>
      <w:r>
        <w:br/>
        <w:t>\mathfrak P_{\mathrm{sc}}</w:t>
      </w:r>
      <w:r>
        <w:br/>
        <w:t>\right)</w:t>
      </w:r>
      <w:r>
        <w:br/>
        <w:t>\tag{3.11249}</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\mathfrak S_{3.3.46}^{(3)}=\left(\mathfrak S_{\mathrm{sc}}^{(2)},\mathfrak G_{\mathrm{sc},T},f_\lambda,\operatorname{OrdInv}_{\mathrm{sc}},\operatorname{Comp}_{\mathrm{sc}},\mathfrak P_{\mathrm{sc}}\right)</w:t>
      </w:r>
    </w:p>
    <w:p w:rsidR="00453A3F" w:rsidRDefault="00453A3F" w:rsidP="00453A3F">
      <w:pPr>
        <w:pStyle w:val="StandardWeb"/>
      </w:pPr>
      <w:r>
        <w:t>zusammengefasst werden.</w:t>
      </w:r>
    </w:p>
    <w:p w:rsidR="00453A3F" w:rsidRDefault="00E50336" w:rsidP="00453A3F">
      <w:r>
        <w:pict>
          <v:rect id="_x0000_i3801" style="width:0;height:1.5pt" o:hralign="center" o:hrstd="t" o:hr="t" fillcolor="#a0a0a0" stroked="f"/>
        </w:pict>
      </w:r>
    </w:p>
    <w:p w:rsidR="00453A3F" w:rsidRDefault="00453A3F" w:rsidP="00453A3F">
      <w:pPr>
        <w:pStyle w:val="berschrift1"/>
      </w:pPr>
      <w:r>
        <w:t>3.3.46.285 Noch kein endgültiger Gesamtabschluss</w:t>
      </w:r>
    </w:p>
    <w:p w:rsidR="00453A3F" w:rsidRDefault="00453A3F" w:rsidP="00453A3F">
      <w:pPr>
        <w:pStyle w:val="StandardWeb"/>
      </w:pPr>
      <w:r>
        <w:t xml:space="preserve">Abschnitt </w:t>
      </w:r>
      <w:r>
        <w:rPr>
          <w:rStyle w:val="Fett"/>
        </w:rPr>
        <w:t>3.3.46 ist auch nach diesem Kompatibilitätsblock noch nicht vollständig abgeschlossen</w:t>
      </w:r>
      <w:r>
        <w:t>.</w:t>
      </w:r>
    </w:p>
    <w:p w:rsidR="00453A3F" w:rsidRDefault="00453A3F" w:rsidP="00453A3F">
      <w:pPr>
        <w:pStyle w:val="StandardWeb"/>
      </w:pPr>
      <w:r>
        <w:t xml:space="preserve">Die inhaltliche Entwicklung ist nun weitgehend vollständig. Vor den verpflichtenden </w:t>
      </w:r>
      <w:r>
        <w:rPr>
          <w:rStyle w:val="Fett"/>
        </w:rPr>
        <w:t>Methodologischen Betrachtungen</w:t>
      </w:r>
      <w:r>
        <w:t xml:space="preserve">, den </w:t>
      </w:r>
      <w:r>
        <w:rPr>
          <w:rStyle w:val="Fett"/>
        </w:rPr>
        <w:t>Didaktischen Betrachtungen</w:t>
      </w:r>
      <w:r>
        <w:t xml:space="preserve"> und dem formalen Gesamtabschluss fehlt jedoch noch die endgültige Statusmatrix sämtlicher in 3.3.46 eingeführten Strukturen.</w:t>
      </w:r>
    </w:p>
    <w:p w:rsidR="00453A3F" w:rsidRDefault="00453A3F" w:rsidP="00453A3F">
      <w:pPr>
        <w:pStyle w:val="StandardWeb"/>
      </w:pPr>
      <w:r>
        <w:t>Dabei muss insbesondere zwischen</w:t>
      </w:r>
    </w:p>
    <w:p w:rsidR="00453A3F" w:rsidRDefault="00453A3F" w:rsidP="00453A3F">
      <w:pPr>
        <w:pStyle w:val="StandardWeb"/>
      </w:pPr>
      <w:r>
        <w:lastRenderedPageBreak/>
        <w:t>[</w:t>
      </w:r>
      <w:r>
        <w:br/>
        <w:t>\text{Definition},</w:t>
      </w:r>
      <w:r>
        <w:br/>
        <w:t>\qquad</w:t>
      </w:r>
      <w:r>
        <w:br/>
        <w:t>\text{mathematische Ableitung},</w:t>
      </w:r>
      <w:r>
        <w:br/>
        <w:t>\qquad</w:t>
      </w:r>
      <w:r>
        <w:br/>
        <w:t>\text{Modellannahme},</w:t>
      </w:r>
      <w:r>
        <w:br/>
        <w:t>\qquad</w:t>
      </w:r>
      <w:r>
        <w:br/>
        <w:t>\text{Operationalisierung},</w:t>
      </w:r>
      <w:r>
        <w:br/>
        <w:t>\qquad</w:t>
      </w:r>
      <w:r>
        <w:br/>
        <w:t>\text{Primäraxiom}</w:t>
      </w:r>
      <w:r>
        <w:br/>
        <w:t>\tag{3.11250}</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\text{Definition},\qquad\text{mathematische Ableitung},\qquad\text{Modellannahme},\qquad\text{Operationalisierung},\qquad\text{Primäraxiom}</w:t>
      </w:r>
    </w:p>
    <w:p w:rsidR="00453A3F" w:rsidRDefault="00453A3F" w:rsidP="00453A3F">
      <w:pPr>
        <w:pStyle w:val="StandardWeb"/>
      </w:pPr>
      <w:r>
        <w:t>unterschieden werden.</w:t>
      </w:r>
    </w:p>
    <w:p w:rsidR="00453A3F" w:rsidRDefault="00453A3F" w:rsidP="00453A3F">
      <w:pPr>
        <w:pStyle w:val="StandardWeb"/>
      </w:pPr>
      <w:r>
        <w:t>Erst danach kann ich abschließend entscheiden, ob tatsächlich</w:t>
      </w:r>
    </w:p>
    <w:p w:rsidR="00453A3F" w:rsidRDefault="00453A3F" w:rsidP="00453A3F">
      <w:pPr>
        <w:pStyle w:val="berschrift1"/>
      </w:pPr>
      <w:r>
        <w:t>[</w:t>
      </w:r>
      <w:r>
        <w:br/>
        <w:t>\mathfrak A_{3.3.46}^{\mathrm{new}}</w:t>
      </w:r>
    </w:p>
    <w:p w:rsidR="00453A3F" w:rsidRDefault="00453A3F" w:rsidP="00453A3F">
      <w:pPr>
        <w:pStyle w:val="StandardWeb"/>
      </w:pPr>
      <w:r>
        <w:t>\varnothing</w:t>
      </w:r>
      <w:r>
        <w:br/>
        <w:t>\tag{3.11251}</w:t>
      </w:r>
      <w:r>
        <w:br/>
        <w:t>]</w:t>
      </w:r>
    </w:p>
    <w:p w:rsidR="00453A3F" w:rsidRDefault="00453A3F" w:rsidP="00453A3F">
      <w:pPr>
        <w:pStyle w:val="StandardWeb"/>
      </w:pPr>
      <w:r>
        <w:rPr>
          <w:rStyle w:val="Fett"/>
        </w:rPr>
        <w:t>Word-LaTeX</w:t>
      </w:r>
    </w:p>
    <w:p w:rsidR="00453A3F" w:rsidRDefault="00453A3F" w:rsidP="00453A3F">
      <w:pPr>
        <w:pStyle w:val="HTMLVorformatiert"/>
        <w:rPr>
          <w:rStyle w:val="HTMLCode"/>
        </w:rPr>
      </w:pPr>
      <w:r>
        <w:rPr>
          <w:rStyle w:val="HTMLCode"/>
        </w:rPr>
        <w:t>\mathfrak A_{3.3.46}^{\mathrm{new}}=\varnothing</w:t>
      </w:r>
    </w:p>
    <w:p w:rsidR="00453A3F" w:rsidRDefault="00453A3F" w:rsidP="00453A3F">
      <w:pPr>
        <w:pStyle w:val="StandardWeb"/>
      </w:pPr>
      <w:r>
        <w:t xml:space="preserve">für den </w:t>
      </w:r>
      <w:r>
        <w:rPr>
          <w:rStyle w:val="Fett"/>
        </w:rPr>
        <w:t>gesamten</w:t>
      </w:r>
      <w:r>
        <w:t xml:space="preserve"> Abschnitt bestätigt werden kann.</w:t>
      </w:r>
    </w:p>
    <w:p w:rsidR="00453A3F" w:rsidRDefault="00453A3F" w:rsidP="00453A3F">
      <w:pPr>
        <w:pStyle w:val="StandardWeb"/>
      </w:pPr>
      <w:r>
        <w:t xml:space="preserve">Der nächste Teil beginnt deshalb bei </w:t>
      </w:r>
      <w:r>
        <w:rPr>
          <w:rStyle w:val="Fett"/>
        </w:rPr>
        <w:t>3.3.46.286 / Gleichung (3.11252)</w:t>
      </w:r>
      <w:r>
        <w:t xml:space="preserve"> mit der </w:t>
      </w:r>
      <w:r>
        <w:rPr>
          <w:rStyle w:val="Fett"/>
        </w:rPr>
        <w:t>endgültigen Statusmatrix aller Skalierungs-, Dimensions-, Normalisierungs-, Renormierungs- und Kompatibilitätsstrukturen von Abschnitt 3.3.46</w:t>
      </w:r>
      <w:r>
        <w:t>.</w:t>
      </w:r>
    </w:p>
    <w:p w:rsidR="005469D0" w:rsidRDefault="005469D0" w:rsidP="005469D0">
      <w:pPr>
        <w:pStyle w:val="berschrift1"/>
        <w:rPr>
          <w:rFonts w:cs="Times New Roman"/>
          <w:sz w:val="48"/>
          <w:szCs w:val="48"/>
        </w:rPr>
      </w:pPr>
      <w:r>
        <w:t>3.3.46.286 Endgültige Statusmatrix der Skalierungsarchitektur</w:t>
      </w:r>
    </w:p>
    <w:p w:rsidR="005469D0" w:rsidRDefault="005469D0" w:rsidP="005469D0">
      <w:pPr>
        <w:pStyle w:val="StandardWeb"/>
      </w:pPr>
      <w:r>
        <w:t>Nach den drei vorangegangenen Entwicklungsblöcken kann ich nun sämtliche in Abschnitt 3.3.46 eingeführten Strukturen systematisch klassifizieren. Entscheidend ist dabei, dass nicht jede mathematisch sinnvolle Konstruktion denselben erkenntnistheoretischen Status besitzt. Insbesondere darf eine Definition nicht nachträglich zu einem Primäraxiom erklärt werden, nur weil sie innerhalb einer bestimmten Modellklasse zweckmäßig ist.</w:t>
      </w:r>
    </w:p>
    <w:p w:rsidR="005469D0" w:rsidRDefault="005469D0" w:rsidP="005469D0">
      <w:pPr>
        <w:pStyle w:val="StandardWeb"/>
      </w:pPr>
      <w:r>
        <w:lastRenderedPageBreak/>
        <w:t>Ich verwende für die abschließende Klassifikation die Statusmenge</w:t>
      </w:r>
    </w:p>
    <w:p w:rsidR="005469D0" w:rsidRDefault="005469D0" w:rsidP="005469D0">
      <w:pPr>
        <w:pStyle w:val="berschrift1"/>
      </w:pPr>
      <w:r>
        <w:t>[</w:t>
      </w:r>
      <w:r>
        <w:br/>
        <w:t>\mathfrak S_{\mathrm{stat}}</w:t>
      </w:r>
    </w:p>
    <w:p w:rsidR="005469D0" w:rsidRDefault="005469D0" w:rsidP="005469D0">
      <w:pPr>
        <w:pStyle w:val="StandardWeb"/>
      </w:pPr>
      <w:r>
        <w:t>\left{</w:t>
      </w:r>
      <w:r>
        <w:br/>
        <w:t>\mathrm{Def},</w:t>
      </w:r>
      <w:r>
        <w:br/>
        <w:t>\mathrm{Der},</w:t>
      </w:r>
      <w:r>
        <w:br/>
        <w:t>\mathrm{Mod},</w:t>
      </w:r>
      <w:r>
        <w:br/>
        <w:t>\mathrm{Op},</w:t>
      </w:r>
      <w:r>
        <w:br/>
        <w:t>\mathrm{Ax}</w:t>
      </w:r>
      <w:r>
        <w:br/>
        <w:t>\right}.</w:t>
      </w:r>
      <w:r>
        <w:br/>
        <w:t>\tag{3.11252}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\mathfrak S_{\mathrm{stat}}=\left\{\mathrm{Def},\mathrm{Der},\mathrm{Mod},\mathrm{Op},\mathrm{Ax}\right\}</w:t>
      </w:r>
    </w:p>
    <w:p w:rsidR="005469D0" w:rsidRDefault="005469D0" w:rsidP="005469D0">
      <w:pPr>
        <w:pStyle w:val="StandardWeb"/>
      </w:pPr>
      <w:r>
        <w:t>Dabei bedeuten</w:t>
      </w:r>
    </w:p>
    <w:p w:rsidR="005469D0" w:rsidRDefault="005469D0" w:rsidP="005469D0">
      <w:pPr>
        <w:pStyle w:val="berschrift1"/>
      </w:pPr>
      <w:r>
        <w:t>[</w:t>
      </w:r>
      <w:r>
        <w:br/>
        <w:t>\mathrm{Def}</w:t>
      </w:r>
    </w:p>
    <w:p w:rsidR="005469D0" w:rsidRDefault="005469D0" w:rsidP="005469D0">
      <w:pPr>
        <w:pStyle w:val="StandardWeb"/>
      </w:pPr>
      <w:r>
        <w:t>\text{Definition},</w:t>
      </w:r>
      <w:r>
        <w:br/>
        <w:t>\tag{3.11253}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\mathrm{Def}=\text{Definition}</w:t>
      </w:r>
    </w:p>
    <w:p w:rsidR="005469D0" w:rsidRDefault="005469D0" w:rsidP="005469D0">
      <w:pPr>
        <w:pStyle w:val="berschrift1"/>
      </w:pPr>
      <w:r>
        <w:t>[</w:t>
      </w:r>
      <w:r>
        <w:br/>
        <w:t>\mathrm{Der}</w:t>
      </w:r>
    </w:p>
    <w:p w:rsidR="005469D0" w:rsidRDefault="005469D0" w:rsidP="005469D0">
      <w:pPr>
        <w:pStyle w:val="StandardWeb"/>
      </w:pPr>
      <w:r>
        <w:t>\text{mathematisch abgeleitete Aussage},</w:t>
      </w:r>
      <w:r>
        <w:br/>
        <w:t>\tag{3.11254}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\mathrm{Der}=\text{mathematisch abgeleitete Aussage}</w:t>
      </w:r>
    </w:p>
    <w:p w:rsidR="005469D0" w:rsidRDefault="005469D0" w:rsidP="005469D0">
      <w:pPr>
        <w:pStyle w:val="berschrift1"/>
      </w:pPr>
      <w:r>
        <w:t>[</w:t>
      </w:r>
      <w:r>
        <w:br/>
        <w:t>\mathrm{Mod}</w:t>
      </w:r>
    </w:p>
    <w:p w:rsidR="005469D0" w:rsidRDefault="005469D0" w:rsidP="005469D0">
      <w:pPr>
        <w:pStyle w:val="StandardWeb"/>
      </w:pPr>
      <w:r>
        <w:lastRenderedPageBreak/>
        <w:t>\text{Modellannahme},</w:t>
      </w:r>
      <w:r>
        <w:br/>
        <w:t>\tag{3.11255}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\mathrm{Mod}=\text{Modellannahme}</w:t>
      </w:r>
    </w:p>
    <w:p w:rsidR="005469D0" w:rsidRDefault="005469D0" w:rsidP="005469D0">
      <w:pPr>
        <w:pStyle w:val="berschrift1"/>
      </w:pPr>
      <w:r>
        <w:t>[</w:t>
      </w:r>
      <w:r>
        <w:br/>
        <w:t>\mathrm{Op}</w:t>
      </w:r>
    </w:p>
    <w:p w:rsidR="005469D0" w:rsidRDefault="005469D0" w:rsidP="005469D0">
      <w:pPr>
        <w:pStyle w:val="StandardWeb"/>
      </w:pPr>
      <w:r>
        <w:t>\text{Operationalisierung}</w:t>
      </w:r>
      <w:r>
        <w:br/>
        <w:t>\tag{3.11256}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\mathrm{Op}=\text{Operationalisierung}</w:t>
      </w:r>
    </w:p>
    <w:p w:rsidR="005469D0" w:rsidRDefault="005469D0" w:rsidP="005469D0">
      <w:pPr>
        <w:pStyle w:val="StandardWeb"/>
      </w:pPr>
      <w:r>
        <w:t>und</w:t>
      </w:r>
    </w:p>
    <w:p w:rsidR="005469D0" w:rsidRDefault="005469D0" w:rsidP="005469D0">
      <w:pPr>
        <w:pStyle w:val="berschrift1"/>
      </w:pPr>
      <w:r>
        <w:t>[</w:t>
      </w:r>
      <w:r>
        <w:br/>
        <w:t>\mathrm{Ax}</w:t>
      </w:r>
    </w:p>
    <w:p w:rsidR="005469D0" w:rsidRDefault="005469D0" w:rsidP="005469D0">
      <w:pPr>
        <w:pStyle w:val="StandardWeb"/>
      </w:pPr>
      <w:r>
        <w:t>\text{Primäraxiom}.</w:t>
      </w:r>
      <w:r>
        <w:br/>
        <w:t>\tag{3.11257}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\mathrm{Ax}=\text{Primäraxiom}</w:t>
      </w:r>
    </w:p>
    <w:p w:rsidR="005469D0" w:rsidRDefault="005469D0" w:rsidP="005469D0">
      <w:pPr>
        <w:pStyle w:val="StandardWeb"/>
      </w:pPr>
      <w:r>
        <w:t>Mehrfachzuordnungen sind zulässig, wenn eine Struktur beispielsweise zunächst definitorisch eingeführt und anschließend operationalisiert wird.</w:t>
      </w:r>
    </w:p>
    <w:p w:rsidR="005469D0" w:rsidRDefault="00E50336" w:rsidP="005469D0">
      <w:r>
        <w:pict>
          <v:rect id="_x0000_i3802" style="width:0;height:1.5pt" o:hralign="center" o:hrstd="t" o:hr="t" fillcolor="#a0a0a0" stroked="f"/>
        </w:pict>
      </w:r>
    </w:p>
    <w:p w:rsidR="005469D0" w:rsidRDefault="005469D0" w:rsidP="005469D0">
      <w:pPr>
        <w:pStyle w:val="berschrift1"/>
      </w:pPr>
      <w:r>
        <w:t>3.3.46.287 Status der elementaren Skalierungsabbildung</w:t>
      </w:r>
    </w:p>
    <w:p w:rsidR="005469D0" w:rsidRDefault="005469D0" w:rsidP="005469D0">
      <w:pPr>
        <w:pStyle w:val="StandardWeb"/>
      </w:pPr>
      <w:r>
        <w:t>Die allgemeine Skalierungsabbildung</w:t>
      </w:r>
    </w:p>
    <w:p w:rsidR="005469D0" w:rsidRDefault="005469D0" w:rsidP="005469D0">
      <w:pPr>
        <w:pStyle w:val="StandardWeb"/>
      </w:pPr>
      <w:r>
        <w:t>[</w:t>
      </w:r>
      <w:r>
        <w:br/>
        <w:t>S:</w:t>
      </w:r>
      <w:r>
        <w:br/>
        <w:t>\Lambda\times\mathcal X_F</w:t>
      </w:r>
      <w:r>
        <w:br/>
        <w:t>\rightarrow</w:t>
      </w:r>
      <w:r>
        <w:br/>
        <w:t>\mathcal X_F</w:t>
      </w:r>
      <w:r>
        <w:br/>
      </w:r>
      <w:r>
        <w:lastRenderedPageBreak/>
        <w:t>\tag{3.11258}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S:\Lambda\times\mathcal X_F\rightarrow\mathcal X_F</w:t>
      </w:r>
    </w:p>
    <w:p w:rsidR="005469D0" w:rsidRDefault="005469D0" w:rsidP="005469D0">
      <w:pPr>
        <w:pStyle w:val="StandardWeb"/>
      </w:pPr>
      <w:r>
        <w:t>ist nur dann vorhanden, wenn die jeweilige Modellklasse eine entsprechende Wirkung definiert.</w:t>
      </w:r>
    </w:p>
    <w:p w:rsidR="005469D0" w:rsidRDefault="005469D0" w:rsidP="005469D0">
      <w:pPr>
        <w:pStyle w:val="StandardWeb"/>
      </w:pPr>
      <w:r>
        <w:t>Daher gilt endgültig</w:t>
      </w:r>
    </w:p>
    <w:p w:rsidR="005469D0" w:rsidRDefault="005469D0" w:rsidP="005469D0">
      <w:pPr>
        <w:pStyle w:val="berschrift1"/>
      </w:pPr>
      <w:r>
        <w:t>[</w:t>
      </w:r>
      <w:r>
        <w:br/>
        <w:t>\boxed{</w:t>
      </w:r>
      <w:r>
        <w:br/>
        <w:t>\operatorname{Stat}(S_\lambda)</w:t>
      </w:r>
    </w:p>
    <w:p w:rsidR="005469D0" w:rsidRDefault="005469D0" w:rsidP="005469D0">
      <w:pPr>
        <w:pStyle w:val="StandardWeb"/>
      </w:pPr>
      <w:r>
        <w:t>\mathrm{Def/Mod}.</w:t>
      </w:r>
      <w:r>
        <w:br/>
        <w:t>}</w:t>
      </w:r>
      <w:r>
        <w:br/>
        <w:t>\tag{3.11259}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\boxed{\operatorname{Stat}(S_\lambda)=\mathrm{Def/Mod}.}</w:t>
      </w:r>
    </w:p>
    <w:p w:rsidR="005469D0" w:rsidRDefault="00E50336" w:rsidP="005469D0">
      <w:r>
        <w:pict>
          <v:rect id="_x0000_i3803" style="width:0;height:1.5pt" o:hralign="center" o:hrstd="t" o:hr="t" fillcolor="#a0a0a0" stroked="f"/>
        </w:pict>
      </w:r>
    </w:p>
    <w:p w:rsidR="005469D0" w:rsidRDefault="005469D0" w:rsidP="005469D0">
      <w:pPr>
        <w:pStyle w:val="berschrift1"/>
      </w:pPr>
      <w:r>
        <w:t>3.3.46.288 Status der einfachen Skalierbarkeit</w:t>
      </w:r>
    </w:p>
    <w:p w:rsidR="005469D0" w:rsidRDefault="005469D0" w:rsidP="005469D0">
      <w:pPr>
        <w:pStyle w:val="StandardWeb"/>
      </w:pPr>
      <w:r>
        <w:t>Die Annahme</w:t>
      </w:r>
    </w:p>
    <w:p w:rsidR="005469D0" w:rsidRDefault="005469D0" w:rsidP="005469D0">
      <w:pPr>
        <w:pStyle w:val="StandardWeb"/>
      </w:pPr>
      <w:r>
        <w:t>[</w:t>
      </w:r>
      <w:r>
        <w:br/>
        <w:t>M_{\mathrm{sc}}</w:t>
      </w:r>
      <w:r>
        <w:br/>
        <w:t>\tag{3.11260}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M_{\mathrm{sc}}</w:t>
      </w:r>
    </w:p>
    <w:p w:rsidR="005469D0" w:rsidRDefault="005469D0" w:rsidP="005469D0">
      <w:pPr>
        <w:pStyle w:val="StandardWeb"/>
      </w:pPr>
      <w:r>
        <w:t>erweitert einen funktionalen Objektbereich um eine zusätzliche algebraische Struktur.</w:t>
      </w:r>
    </w:p>
    <w:p w:rsidR="005469D0" w:rsidRDefault="005469D0" w:rsidP="005469D0">
      <w:pPr>
        <w:pStyle w:val="StandardWeb"/>
      </w:pPr>
      <w:r>
        <w:t>Sie ist weder aus den bisherigen FRZK-Primäraxiomen ableitbar noch für jedes FRZK-Modell erforderlich.</w:t>
      </w:r>
    </w:p>
    <w:p w:rsidR="005469D0" w:rsidRDefault="005469D0" w:rsidP="005469D0">
      <w:pPr>
        <w:pStyle w:val="StandardWeb"/>
      </w:pPr>
      <w:r>
        <w:t>Damit gilt</w:t>
      </w:r>
    </w:p>
    <w:p w:rsidR="005469D0" w:rsidRDefault="005469D0" w:rsidP="005469D0">
      <w:pPr>
        <w:pStyle w:val="berschrift1"/>
      </w:pPr>
      <w:r>
        <w:lastRenderedPageBreak/>
        <w:t>[</w:t>
      </w:r>
      <w:r>
        <w:br/>
        <w:t>\boxed{</w:t>
      </w:r>
      <w:r>
        <w:br/>
        <w:t>\operatorname{Stat}(M_{\mathrm{sc}})</w:t>
      </w:r>
    </w:p>
    <w:p w:rsidR="005469D0" w:rsidRDefault="005469D0" w:rsidP="005469D0">
      <w:pPr>
        <w:pStyle w:val="StandardWeb"/>
      </w:pPr>
      <w:r>
        <w:t>\mathrm{Mod}.</w:t>
      </w:r>
      <w:r>
        <w:br/>
        <w:t>}</w:t>
      </w:r>
      <w:r>
        <w:br/>
        <w:t>\tag{3.11261}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\boxed{\operatorname{Stat}(M_{\mathrm{sc}})=\mathrm{Mod}.}</w:t>
      </w:r>
    </w:p>
    <w:p w:rsidR="005469D0" w:rsidRDefault="00E50336" w:rsidP="005469D0">
      <w:r>
        <w:pict>
          <v:rect id="_x0000_i3804" style="width:0;height:1.5pt" o:hralign="center" o:hrstd="t" o:hr="t" fillcolor="#a0a0a0" stroked="f"/>
        </w:pict>
      </w:r>
    </w:p>
    <w:p w:rsidR="005469D0" w:rsidRDefault="005469D0" w:rsidP="005469D0">
      <w:pPr>
        <w:pStyle w:val="berschrift1"/>
      </w:pPr>
      <w:r>
        <w:t>3.3.46.289 Status der Skalierungswirkung</w:t>
      </w:r>
    </w:p>
    <w:p w:rsidR="005469D0" w:rsidRDefault="005469D0" w:rsidP="005469D0">
      <w:pPr>
        <w:pStyle w:val="StandardWeb"/>
      </w:pPr>
      <w:r>
        <w:t>Wird eine multiplikative Gruppe invertierbarer Skalierungsparameter verwendet, kann die Skalierung als Gruppenwirkung formuliert werden.</w:t>
      </w:r>
    </w:p>
    <w:p w:rsidR="005469D0" w:rsidRDefault="005469D0" w:rsidP="005469D0">
      <w:pPr>
        <w:pStyle w:val="StandardWeb"/>
      </w:pPr>
      <w:r>
        <w:t>Die Struktur</w:t>
      </w:r>
    </w:p>
    <w:p w:rsidR="005469D0" w:rsidRDefault="005469D0" w:rsidP="005469D0">
      <w:pPr>
        <w:pStyle w:val="StandardWeb"/>
      </w:pPr>
      <w:r>
        <w:t>[</w:t>
      </w:r>
      <w:r>
        <w:br/>
        <w:t>S:</w:t>
      </w:r>
      <w:r>
        <w:br/>
        <w:t>\Lambda^\times\times\mathcal X_F</w:t>
      </w:r>
      <w:r>
        <w:br/>
        <w:t>\rightarrow</w:t>
      </w:r>
      <w:r>
        <w:br/>
        <w:t>\mathcal X_F</w:t>
      </w:r>
      <w:r>
        <w:br/>
        <w:t>\tag{3.11262}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S:\Lambda^\times\times\mathcal X_F\rightarrow\mathcal X_F</w:t>
      </w:r>
    </w:p>
    <w:p w:rsidR="005469D0" w:rsidRDefault="005469D0" w:rsidP="005469D0">
      <w:pPr>
        <w:pStyle w:val="StandardWeb"/>
      </w:pPr>
      <w:r>
        <w:t>ist damit definitorisch spezifizierbar, ihre Existenz jedoch modellabhängig.</w:t>
      </w:r>
    </w:p>
    <w:p w:rsidR="005469D0" w:rsidRDefault="005469D0" w:rsidP="005469D0">
      <w:pPr>
        <w:pStyle w:val="StandardWeb"/>
      </w:pPr>
      <w:r>
        <w:t>Folglich gilt</w:t>
      </w:r>
    </w:p>
    <w:p w:rsidR="005469D0" w:rsidRDefault="005469D0" w:rsidP="005469D0">
      <w:pPr>
        <w:pStyle w:val="berschrift1"/>
      </w:pPr>
      <w:r>
        <w:t>[</w:t>
      </w:r>
      <w:r>
        <w:br/>
        <w:t>\boxed{</w:t>
      </w:r>
      <w:r>
        <w:br/>
        <w:t>\operatorname{Stat}</w:t>
      </w:r>
      <w:r>
        <w:br/>
        <w:t>(S_{\Lambda^\times})</w:t>
      </w:r>
    </w:p>
    <w:p w:rsidR="005469D0" w:rsidRDefault="005469D0" w:rsidP="005469D0">
      <w:pPr>
        <w:pStyle w:val="StandardWeb"/>
      </w:pPr>
      <w:r>
        <w:t>\mathrm{Def/Mod}.</w:t>
      </w:r>
      <w:r>
        <w:br/>
        <w:t>}</w:t>
      </w:r>
      <w:r>
        <w:br/>
      </w:r>
      <w:r>
        <w:lastRenderedPageBreak/>
        <w:t>\tag{3.11263}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\boxed{\operatorname{Stat}(S_{\Lambda^\times})=\mathrm{Def/Mod}.}</w:t>
      </w:r>
    </w:p>
    <w:p w:rsidR="005469D0" w:rsidRDefault="00E50336" w:rsidP="005469D0">
      <w:r>
        <w:pict>
          <v:rect id="_x0000_i3805" style="width:0;height:1.5pt" o:hralign="center" o:hrstd="t" o:hr="t" fillcolor="#a0a0a0" stroked="f"/>
        </w:pict>
      </w:r>
    </w:p>
    <w:p w:rsidR="005469D0" w:rsidRDefault="005469D0" w:rsidP="005469D0">
      <w:pPr>
        <w:pStyle w:val="berschrift1"/>
      </w:pPr>
      <w:r>
        <w:t>3.3.46.290 Status des Skalierungsorbits</w:t>
      </w:r>
    </w:p>
    <w:p w:rsidR="005469D0" w:rsidRDefault="005469D0" w:rsidP="005469D0">
      <w:pPr>
        <w:pStyle w:val="StandardWeb"/>
      </w:pPr>
      <w:r>
        <w:t>Ist eine Skalierungswirkung vorhanden, folgt die Orbitstruktur unmittelbar aus der Gruppenwirkung:</w:t>
      </w:r>
    </w:p>
    <w:p w:rsidR="005469D0" w:rsidRDefault="005469D0" w:rsidP="005469D0">
      <w:pPr>
        <w:pStyle w:val="berschrift1"/>
      </w:pPr>
      <w:r>
        <w:t>[</w:t>
      </w:r>
      <w:r>
        <w:br/>
        <w:t>\mathcal O_{\mathrm{sc}}(X)</w:t>
      </w:r>
    </w:p>
    <w:p w:rsidR="005469D0" w:rsidRDefault="005469D0" w:rsidP="005469D0">
      <w:pPr>
        <w:pStyle w:val="StandardWeb"/>
      </w:pPr>
      <w:r>
        <w:t>\left{</w:t>
      </w:r>
      <w:r>
        <w:br/>
        <w:t>S_\lambda(X):</w:t>
      </w:r>
      <w:r>
        <w:br/>
        <w:t>\lambda\in\Lambda^\times</w:t>
      </w:r>
      <w:r>
        <w:br/>
        <w:t>\right}.</w:t>
      </w:r>
      <w:r>
        <w:br/>
        <w:t>\tag{3.11264}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\mathcal O_{\mathrm{sc}}(X)=\left\{S_\lambda(X):\lambda\in\Lambda^\times\right\}</w:t>
      </w:r>
    </w:p>
    <w:p w:rsidR="005469D0" w:rsidRDefault="005469D0" w:rsidP="005469D0">
      <w:pPr>
        <w:pStyle w:val="StandardWeb"/>
      </w:pPr>
      <w:r>
        <w:t>Der Orbit selbst ist daher eine Definition auf Grundlage der gewählten Modellstruktur.</w:t>
      </w:r>
    </w:p>
    <w:p w:rsidR="005469D0" w:rsidRDefault="005469D0" w:rsidP="005469D0">
      <w:pPr>
        <w:pStyle w:val="berschrift1"/>
      </w:pPr>
      <w:r>
        <w:t>[</w:t>
      </w:r>
      <w:r>
        <w:br/>
        <w:t>\boxed{</w:t>
      </w:r>
      <w:r>
        <w:br/>
        <w:t>\operatorname{Stat}</w:t>
      </w:r>
      <w:r>
        <w:br/>
        <w:t>(\mathcal O_{\mathrm{sc}})</w:t>
      </w:r>
    </w:p>
    <w:p w:rsidR="005469D0" w:rsidRDefault="005469D0" w:rsidP="005469D0">
      <w:pPr>
        <w:pStyle w:val="StandardWeb"/>
      </w:pPr>
      <w:r>
        <w:t>\mathrm{Def}.</w:t>
      </w:r>
      <w:r>
        <w:br/>
        <w:t>}</w:t>
      </w:r>
      <w:r>
        <w:br/>
        <w:t>\tag{3.11265}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\boxed{\operatorname{Stat}(\mathcal O_{\mathrm{sc}})=\mathrm{Def}.}</w:t>
      </w:r>
    </w:p>
    <w:p w:rsidR="005469D0" w:rsidRDefault="00E50336" w:rsidP="005469D0">
      <w:r>
        <w:pict>
          <v:rect id="_x0000_i3806" style="width:0;height:1.5pt" o:hralign="center" o:hrstd="t" o:hr="t" fillcolor="#a0a0a0" stroked="f"/>
        </w:pict>
      </w:r>
    </w:p>
    <w:p w:rsidR="005469D0" w:rsidRDefault="005469D0" w:rsidP="005469D0">
      <w:pPr>
        <w:pStyle w:val="berschrift1"/>
      </w:pPr>
      <w:r>
        <w:t>3.3.46.291 Status der Skalierungsäquivalenz</w:t>
      </w:r>
    </w:p>
    <w:p w:rsidR="005469D0" w:rsidRDefault="005469D0" w:rsidP="005469D0">
      <w:pPr>
        <w:pStyle w:val="StandardWeb"/>
      </w:pPr>
      <w:r>
        <w:lastRenderedPageBreak/>
        <w:t>Die Relation</w:t>
      </w:r>
    </w:p>
    <w:p w:rsidR="005469D0" w:rsidRDefault="005469D0" w:rsidP="005469D0">
      <w:pPr>
        <w:pStyle w:val="StandardWeb"/>
      </w:pPr>
      <w:r>
        <w:t>[</w:t>
      </w:r>
      <w:r>
        <w:br/>
        <w:t>X\sim_{\mathrm{sc}}Y</w:t>
      </w:r>
      <w:r>
        <w:br/>
        <w:t>\tag{3.11266}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X\sim_{\mathrm{sc}}Y</w:t>
      </w:r>
    </w:p>
    <w:p w:rsidR="005469D0" w:rsidRDefault="005469D0" w:rsidP="005469D0">
      <w:pPr>
        <w:pStyle w:val="StandardWeb"/>
      </w:pPr>
      <w:r>
        <w:t>wurde durch Zugehörigkeit zum selben Skalierungsorbit definiert.</w:t>
      </w:r>
    </w:p>
    <w:p w:rsidR="005469D0" w:rsidRDefault="005469D0" w:rsidP="005469D0">
      <w:pPr>
        <w:pStyle w:val="StandardWeb"/>
      </w:pPr>
      <w:r>
        <w:t>Ihre Reflexivität, Symmetrie und Transitivität folgen mathematisch aus der Gruppenwirkung.</w:t>
      </w:r>
    </w:p>
    <w:p w:rsidR="005469D0" w:rsidRDefault="005469D0" w:rsidP="005469D0">
      <w:pPr>
        <w:pStyle w:val="StandardWeb"/>
      </w:pPr>
      <w:r>
        <w:t>Damit muss zwischen der Relation selbst und ihrer Äquivalenzeigenschaft unterschieden werden:</w:t>
      </w:r>
    </w:p>
    <w:p w:rsidR="005469D0" w:rsidRDefault="005469D0" w:rsidP="005469D0">
      <w:pPr>
        <w:pStyle w:val="berschrift1"/>
      </w:pPr>
      <w:r>
        <w:t>[</w:t>
      </w:r>
      <w:r>
        <w:br/>
        <w:t>\boxed{</w:t>
      </w:r>
      <w:r>
        <w:br/>
        <w:t>\operatorname{Stat}</w:t>
      </w:r>
      <w:r>
        <w:br/>
        <w:t>(\sim_{\mathrm{sc}})</w:t>
      </w:r>
    </w:p>
    <w:p w:rsidR="005469D0" w:rsidRDefault="005469D0" w:rsidP="005469D0">
      <w:pPr>
        <w:pStyle w:val="StandardWeb"/>
      </w:pPr>
      <w:r>
        <w:t>\mathrm{Def},</w:t>
      </w:r>
      <w:r>
        <w:br/>
        <w:t>}</w:t>
      </w:r>
      <w:r>
        <w:br/>
        <w:t>\tag{3.11267}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\boxed{\operatorname{Stat}(\sim_{\mathrm{sc}})=\mathrm{Def},}</w:t>
      </w:r>
    </w:p>
    <w:p w:rsidR="005469D0" w:rsidRDefault="005469D0" w:rsidP="005469D0">
      <w:pPr>
        <w:pStyle w:val="StandardWeb"/>
      </w:pPr>
      <w:r>
        <w:t>während</w:t>
      </w:r>
    </w:p>
    <w:p w:rsidR="005469D0" w:rsidRDefault="005469D0" w:rsidP="005469D0">
      <w:pPr>
        <w:pStyle w:val="berschrift1"/>
      </w:pPr>
      <w:r>
        <w:t>[</w:t>
      </w:r>
      <w:r>
        <w:br/>
        <w:t>\boxed{</w:t>
      </w:r>
      <w:r>
        <w:br/>
        <w:t>\operatorname{Stat}</w:t>
      </w:r>
      <w:r>
        <w:br/>
        <w:t>\left(</w:t>
      </w:r>
      <w:r>
        <w:br/>
        <w:t>\sim_{\mathrm{sc}}</w:t>
      </w:r>
      <w:r>
        <w:br/>
        <w:t>\text{ ist Äquivalenzrelation}</w:t>
      </w:r>
      <w:r>
        <w:br/>
        <w:t>\right)</w:t>
      </w:r>
    </w:p>
    <w:p w:rsidR="005469D0" w:rsidRDefault="005469D0" w:rsidP="005469D0">
      <w:pPr>
        <w:pStyle w:val="StandardWeb"/>
      </w:pPr>
      <w:r>
        <w:lastRenderedPageBreak/>
        <w:t>\mathrm{Der}.</w:t>
      </w:r>
      <w:r>
        <w:br/>
        <w:t>}</w:t>
      </w:r>
      <w:r>
        <w:br/>
        <w:t>\tag{3.11268}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\boxed{\operatorname{Stat}\left(\sim_{\mathrm{sc}}\text{ ist Äquivalenzrelation}\right)=\mathrm{Der}.}</w:t>
      </w:r>
    </w:p>
    <w:p w:rsidR="005469D0" w:rsidRDefault="00E50336" w:rsidP="005469D0">
      <w:r>
        <w:pict>
          <v:rect id="_x0000_i3807" style="width:0;height:1.5pt" o:hralign="center" o:hrstd="t" o:hr="t" fillcolor="#a0a0a0" stroked="f"/>
        </w:pict>
      </w:r>
    </w:p>
    <w:p w:rsidR="005469D0" w:rsidRDefault="005469D0" w:rsidP="005469D0">
      <w:pPr>
        <w:pStyle w:val="berschrift1"/>
      </w:pPr>
      <w:r>
        <w:t>3.3.46.292 Status des Skalierungsquotienten</w:t>
      </w:r>
    </w:p>
    <w:p w:rsidR="005469D0" w:rsidRDefault="005469D0" w:rsidP="005469D0">
      <w:pPr>
        <w:pStyle w:val="StandardWeb"/>
      </w:pPr>
      <w:r>
        <w:t>Der Quotient</w:t>
      </w:r>
    </w:p>
    <w:p w:rsidR="005469D0" w:rsidRDefault="005469D0" w:rsidP="005469D0">
      <w:pPr>
        <w:pStyle w:val="berschrift1"/>
      </w:pPr>
      <w:r>
        <w:t>[</w:t>
      </w:r>
      <w:r>
        <w:br/>
        <w:t>\mathcal Q_{\mathrm{sc}}</w:t>
      </w:r>
    </w:p>
    <w:p w:rsidR="005469D0" w:rsidRDefault="005469D0" w:rsidP="005469D0">
      <w:pPr>
        <w:pStyle w:val="StandardWeb"/>
      </w:pPr>
      <w:r>
        <w:t>\mathcal X_F/!\sim_{\mathrm{sc}}</w:t>
      </w:r>
      <w:r>
        <w:br/>
        <w:t>\tag{3.11269}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\mathcal Q_{\mathrm{sc}}=\mathcal X_F/\!\sim_{\mathrm{sc}}</w:t>
      </w:r>
    </w:p>
    <w:p w:rsidR="005469D0" w:rsidRDefault="005469D0" w:rsidP="005469D0">
      <w:pPr>
        <w:pStyle w:val="StandardWeb"/>
      </w:pPr>
      <w:r>
        <w:t>ist nach Vorliegen der Äquivalenzrelation definierbar.</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(\mathcal Q_{\mathrm{sc}})</w:t>
      </w:r>
    </w:p>
    <w:p w:rsidR="005469D0" w:rsidRDefault="005469D0" w:rsidP="005469D0">
      <w:pPr>
        <w:pStyle w:val="StandardWeb"/>
      </w:pPr>
      <w:r>
        <w:t>\mathrm{Def}.</w:t>
      </w:r>
      <w:r>
        <w:br/>
        <w:t>}</w:t>
      </w:r>
      <w:r>
        <w:br/>
        <w:t>\tag{3.11270}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\boxed{\operatorname{Stat}(\mathcal Q_{\mathrm{sc}})=\mathrm{Def}.}</w:t>
      </w:r>
    </w:p>
    <w:p w:rsidR="005469D0" w:rsidRDefault="00E50336" w:rsidP="005469D0">
      <w:r>
        <w:pict>
          <v:rect id="_x0000_i3808" style="width:0;height:1.5pt" o:hralign="center" o:hrstd="t" o:hr="t" fillcolor="#a0a0a0" stroked="f"/>
        </w:pict>
      </w:r>
    </w:p>
    <w:p w:rsidR="005469D0" w:rsidRDefault="005469D0" w:rsidP="005469D0">
      <w:pPr>
        <w:pStyle w:val="berschrift1"/>
      </w:pPr>
      <w:r>
        <w:t>3.3.46.293 Status der Skalierungsinvarianz</w:t>
      </w:r>
    </w:p>
    <w:p w:rsidR="005469D0" w:rsidRDefault="005469D0" w:rsidP="005469D0">
      <w:pPr>
        <w:pStyle w:val="StandardWeb"/>
      </w:pPr>
      <w:r>
        <w:lastRenderedPageBreak/>
        <w:t>Die Bedingung</w:t>
      </w:r>
    </w:p>
    <w:p w:rsidR="005469D0" w:rsidRDefault="005469D0" w:rsidP="005469D0">
      <w:pPr>
        <w:pStyle w:val="berschrift1"/>
      </w:pPr>
      <w:r>
        <w:t>[</w:t>
      </w:r>
      <w:r>
        <w:br/>
        <w:t>Q(S_\lambda X)</w:t>
      </w:r>
    </w:p>
    <w:p w:rsidR="005469D0" w:rsidRDefault="005469D0" w:rsidP="005469D0">
      <w:pPr>
        <w:pStyle w:val="StandardWeb"/>
      </w:pPr>
      <w:r>
        <w:t>Q(X)</w:t>
      </w:r>
      <w:r>
        <w:br/>
        <w:t>\tag{3.11271}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Q(S_\lambda X)=Q(X)</w:t>
      </w:r>
    </w:p>
    <w:p w:rsidR="005469D0" w:rsidRDefault="005469D0" w:rsidP="005469D0">
      <w:pPr>
        <w:pStyle w:val="StandardWeb"/>
      </w:pPr>
      <w:r>
        <w:t>ist eine definierbare Eigenschaft einer konkreten Größe (Q).</w:t>
      </w:r>
    </w:p>
    <w:p w:rsidR="005469D0" w:rsidRDefault="005469D0" w:rsidP="005469D0">
      <w:pPr>
        <w:pStyle w:val="StandardWeb"/>
      </w:pPr>
      <w:r>
        <w:t>Sie ist weder für jede Größe noch für jedes Modell zwingend.</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(\operatorname{Inv}_{\mathrm{sc}}Q)</w:t>
      </w:r>
    </w:p>
    <w:p w:rsidR="005469D0" w:rsidRDefault="005469D0" w:rsidP="005469D0">
      <w:pPr>
        <w:pStyle w:val="StandardWeb"/>
      </w:pPr>
      <w:r>
        <w:t>\mathrm{Def/Mod}.</w:t>
      </w:r>
      <w:r>
        <w:br/>
        <w:t>}</w:t>
      </w:r>
      <w:r>
        <w:br/>
        <w:t>\tag{3.11272}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\boxed{\operatorname{Stat}(\operatorname{Inv}_{\mathrm{sc}}Q)=\mathrm{Def/Mod}.}</w:t>
      </w:r>
    </w:p>
    <w:p w:rsidR="005469D0" w:rsidRDefault="00E50336" w:rsidP="005469D0">
      <w:r>
        <w:pict>
          <v:rect id="_x0000_i3809" style="width:0;height:1.5pt" o:hralign="center" o:hrstd="t" o:hr="t" fillcolor="#a0a0a0" stroked="f"/>
        </w:pict>
      </w:r>
    </w:p>
    <w:p w:rsidR="005469D0" w:rsidRDefault="005469D0" w:rsidP="005469D0">
      <w:pPr>
        <w:pStyle w:val="berschrift1"/>
      </w:pPr>
      <w:r>
        <w:t>3.3.46.294 Status der Homogenität</w:t>
      </w:r>
    </w:p>
    <w:p w:rsidR="005469D0" w:rsidRDefault="005469D0" w:rsidP="005469D0">
      <w:pPr>
        <w:pStyle w:val="StandardWeb"/>
      </w:pPr>
      <w:r>
        <w:t>Auch die Beziehung</w:t>
      </w:r>
    </w:p>
    <w:p w:rsidR="005469D0" w:rsidRDefault="005469D0" w:rsidP="005469D0">
      <w:pPr>
        <w:pStyle w:val="berschrift1"/>
      </w:pPr>
      <w:r>
        <w:t>[</w:t>
      </w:r>
      <w:r>
        <w:br/>
        <w:t>Q(S_\lambda X)</w:t>
      </w:r>
    </w:p>
    <w:p w:rsidR="005469D0" w:rsidRDefault="005469D0" w:rsidP="005469D0">
      <w:pPr>
        <w:pStyle w:val="StandardWeb"/>
      </w:pPr>
      <w:r>
        <w:t>\lambda^kQ(X)</w:t>
      </w:r>
      <w:r>
        <w:br/>
        <w:t>\tag{3.11273}</w:t>
      </w:r>
      <w:r>
        <w:br/>
        <w:t>]</w:t>
      </w:r>
    </w:p>
    <w:p w:rsidR="005469D0" w:rsidRDefault="005469D0" w:rsidP="005469D0">
      <w:pPr>
        <w:pStyle w:val="StandardWeb"/>
      </w:pPr>
      <w:r>
        <w:rPr>
          <w:rStyle w:val="Fett"/>
        </w:rPr>
        <w:lastRenderedPageBreak/>
        <w:t>Word-LaTeX</w:t>
      </w:r>
    </w:p>
    <w:p w:rsidR="005469D0" w:rsidRDefault="005469D0" w:rsidP="005469D0">
      <w:pPr>
        <w:pStyle w:val="HTMLVorformatiert"/>
        <w:rPr>
          <w:rStyle w:val="HTMLCode"/>
        </w:rPr>
      </w:pPr>
      <w:r>
        <w:rPr>
          <w:rStyle w:val="HTMLCode"/>
        </w:rPr>
        <w:t>Q(S_\lambda X)=\lambda^kQ(X)</w:t>
      </w:r>
    </w:p>
    <w:p w:rsidR="005469D0" w:rsidRDefault="005469D0" w:rsidP="005469D0">
      <w:pPr>
        <w:pStyle w:val="StandardWeb"/>
      </w:pPr>
      <w:r>
        <w:t>definiert eine Transformationsklasse.</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(\operatorname{Hom}_{k}Q)</w:t>
      </w:r>
    </w:p>
    <w:p w:rsidR="005469D0" w:rsidRDefault="005469D0" w:rsidP="005469D0">
      <w:pPr>
        <w:pStyle w:val="StandardWeb"/>
      </w:pPr>
      <w:r>
        <w:t>\mathrm{Def/Mod}.</w:t>
      </w:r>
      <w:r>
        <w:br/>
        <w:t>}</w:t>
      </w:r>
      <w:r>
        <w:br/>
        <w:t>\tag{3.11274}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\boxed{\operatorname{Stat}(\operatorname{Hom}_{k}Q)=\mathrm{Def/Mod}.}</w:t>
      </w:r>
    </w:p>
    <w:p w:rsidR="005469D0" w:rsidRDefault="00E50336" w:rsidP="005469D0">
      <w:r>
        <w:pict>
          <v:rect id="_x0000_i3810" style="width:0;height:1.5pt" o:hralign="center" o:hrstd="t" o:hr="t" fillcolor="#a0a0a0" stroked="f"/>
        </w:pict>
      </w:r>
    </w:p>
    <w:p w:rsidR="005469D0" w:rsidRDefault="005469D0" w:rsidP="005469D0">
      <w:pPr>
        <w:pStyle w:val="berschrift1"/>
      </w:pPr>
      <w:r>
        <w:t>3.3.46.295 Status des Skalierungsgewichts</w:t>
      </w:r>
    </w:p>
    <w:p w:rsidR="005469D0" w:rsidRDefault="005469D0" w:rsidP="005469D0">
      <w:pPr>
        <w:pStyle w:val="StandardWeb"/>
      </w:pPr>
      <w:r>
        <w:t>Ist eine Homogenitätsrelation festgestellt, wird der Exponent als Skalierungsgewicht interpretiert:</w:t>
      </w:r>
    </w:p>
    <w:p w:rsidR="005469D0" w:rsidRDefault="005469D0" w:rsidP="005469D0">
      <w:pPr>
        <w:pStyle w:val="berschrift1"/>
      </w:pPr>
      <w:r>
        <w:t>[</w:t>
      </w:r>
      <w:r>
        <w:br/>
        <w:t>w_{\mathrm{sc}}(Q)</w:t>
      </w:r>
    </w:p>
    <w:p w:rsidR="005469D0" w:rsidRDefault="005469D0" w:rsidP="005469D0">
      <w:pPr>
        <w:pStyle w:val="StandardWeb"/>
      </w:pPr>
      <w:r>
        <w:t>k.</w:t>
      </w:r>
      <w:r>
        <w:br/>
        <w:t>\tag{3.11275}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w_{\mathrm{sc}}(Q)=k</w:t>
      </w:r>
    </w:p>
    <w:p w:rsidR="005469D0" w:rsidRDefault="005469D0" w:rsidP="005469D0">
      <w:pPr>
        <w:pStyle w:val="StandardWeb"/>
      </w:pPr>
      <w:r>
        <w:t>Dieses Gewicht kann außerdem zur Modellanalyse operationalisiert werden.</w:t>
      </w:r>
    </w:p>
    <w:p w:rsidR="005469D0" w:rsidRDefault="005469D0" w:rsidP="005469D0">
      <w:pPr>
        <w:pStyle w:val="StandardWeb"/>
      </w:pPr>
      <w:r>
        <w:t>Daher gilt</w:t>
      </w:r>
    </w:p>
    <w:p w:rsidR="005469D0" w:rsidRDefault="005469D0" w:rsidP="005469D0">
      <w:pPr>
        <w:pStyle w:val="berschrift1"/>
      </w:pPr>
      <w:r>
        <w:t>[</w:t>
      </w:r>
      <w:r>
        <w:br/>
        <w:t>\boxed{</w:t>
      </w:r>
      <w:r>
        <w:br/>
      </w:r>
      <w:r>
        <w:lastRenderedPageBreak/>
        <w:t>\operatorname{Stat}</w:t>
      </w:r>
      <w:r>
        <w:br/>
        <w:t>(w_{\mathrm{sc}})</w:t>
      </w:r>
    </w:p>
    <w:p w:rsidR="005469D0" w:rsidRDefault="005469D0" w:rsidP="005469D0">
      <w:pPr>
        <w:pStyle w:val="StandardWeb"/>
      </w:pPr>
      <w:r>
        <w:t>\mathrm{Def/Op}.</w:t>
      </w:r>
      <w:r>
        <w:br/>
        <w:t>}</w:t>
      </w:r>
      <w:r>
        <w:br/>
        <w:t>\tag{3.11276}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\boxed{\operatorname{Stat}(w_{\mathrm{sc}})=\mathrm{Def/Op}.}</w:t>
      </w:r>
    </w:p>
    <w:p w:rsidR="005469D0" w:rsidRDefault="00E50336" w:rsidP="005469D0">
      <w:r>
        <w:pict>
          <v:rect id="_x0000_i3811" style="width:0;height:1.5pt" o:hralign="center" o:hrstd="t" o:hr="t" fillcolor="#a0a0a0" stroked="f"/>
        </w:pict>
      </w:r>
    </w:p>
    <w:p w:rsidR="005469D0" w:rsidRDefault="005469D0" w:rsidP="005469D0">
      <w:pPr>
        <w:pStyle w:val="berschrift1"/>
      </w:pPr>
      <w:r>
        <w:t>3.3.46.296 Status der Gewichtsaddition</w:t>
      </w:r>
    </w:p>
    <w:p w:rsidR="005469D0" w:rsidRDefault="005469D0" w:rsidP="005469D0">
      <w:pPr>
        <w:pStyle w:val="StandardWeb"/>
      </w:pPr>
      <w:r>
        <w:t>Die Beziehungen</w:t>
      </w:r>
    </w:p>
    <w:p w:rsidR="005469D0" w:rsidRDefault="005469D0" w:rsidP="005469D0">
      <w:pPr>
        <w:pStyle w:val="berschrift1"/>
      </w:pPr>
      <w:r>
        <w:t>[</w:t>
      </w:r>
      <w:r>
        <w:br/>
        <w:t>w_{\mathrm{sc}}(Q_1Q_2)</w:t>
      </w:r>
    </w:p>
    <w:p w:rsidR="005469D0" w:rsidRDefault="005469D0" w:rsidP="005469D0">
      <w:pPr>
        <w:pStyle w:val="StandardWeb"/>
      </w:pPr>
      <w:r>
        <w:t>w_{\mathrm{sc}}(Q_1)</w:t>
      </w:r>
      <w:r>
        <w:br/>
        <w:t>+</w:t>
      </w:r>
      <w:r>
        <w:br/>
        <w:t>w_{\mathrm{sc}}(Q_2)</w:t>
      </w:r>
      <w:r>
        <w:br/>
        <w:t>\tag{3.11277}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w_{\mathrm{sc}}(Q_1Q_2)=w_{\mathrm{sc}}(Q_1)+w_{\mathrm{sc}}(Q_2)</w:t>
      </w:r>
    </w:p>
    <w:p w:rsidR="005469D0" w:rsidRDefault="005469D0" w:rsidP="005469D0">
      <w:pPr>
        <w:pStyle w:val="StandardWeb"/>
      </w:pPr>
      <w:r>
        <w:t>und</w:t>
      </w:r>
    </w:p>
    <w:p w:rsidR="005469D0" w:rsidRDefault="005469D0" w:rsidP="005469D0">
      <w:pPr>
        <w:pStyle w:val="berschrift1"/>
      </w:pPr>
      <w:r>
        <w:t>[</w:t>
      </w:r>
      <w:r>
        <w:br/>
        <w:t>w_{\mathrm{sc}}</w:t>
      </w:r>
      <w:r>
        <w:br/>
        <w:t>\left(</w:t>
      </w:r>
      <w:r>
        <w:br/>
        <w:t>\frac{Q_1}{Q_2}</w:t>
      </w:r>
      <w:r>
        <w:br/>
        <w:t>\right)</w:t>
      </w:r>
    </w:p>
    <w:p w:rsidR="005469D0" w:rsidRDefault="005469D0" w:rsidP="005469D0">
      <w:pPr>
        <w:pStyle w:val="berschrift2"/>
      </w:pPr>
      <w:r>
        <w:t>w_{\mathrm{sc}}(Q_1)</w:t>
      </w:r>
    </w:p>
    <w:p w:rsidR="005469D0" w:rsidRDefault="005469D0" w:rsidP="005469D0">
      <w:pPr>
        <w:pStyle w:val="StandardWeb"/>
      </w:pPr>
      <w:r>
        <w:t>w_{\mathrm{sc}}(Q_2)</w:t>
      </w:r>
      <w:r>
        <w:br/>
        <w:t>\tag{3.11278}</w:t>
      </w:r>
      <w:r>
        <w:br/>
        <w:t>]</w:t>
      </w:r>
    </w:p>
    <w:p w:rsidR="005469D0" w:rsidRDefault="005469D0" w:rsidP="005469D0">
      <w:pPr>
        <w:pStyle w:val="StandardWeb"/>
      </w:pPr>
      <w:r>
        <w:rPr>
          <w:rStyle w:val="Fett"/>
        </w:rPr>
        <w:lastRenderedPageBreak/>
        <w:t>Word-LaTeX</w:t>
      </w:r>
    </w:p>
    <w:p w:rsidR="005469D0" w:rsidRDefault="005469D0" w:rsidP="005469D0">
      <w:pPr>
        <w:pStyle w:val="HTMLVorformatiert"/>
        <w:rPr>
          <w:rStyle w:val="HTMLCode"/>
        </w:rPr>
      </w:pPr>
      <w:r>
        <w:rPr>
          <w:rStyle w:val="HTMLCode"/>
        </w:rPr>
        <w:t>w_{\mathrm{sc}}\left(\frac{Q_1}{Q_2}\right)=w_{\mathrm{sc}}(Q_1)-w_{\mathrm{sc}}(Q_2)</w:t>
      </w:r>
    </w:p>
    <w:p w:rsidR="005469D0" w:rsidRDefault="005469D0" w:rsidP="005469D0">
      <w:pPr>
        <w:pStyle w:val="StandardWeb"/>
      </w:pPr>
      <w:r>
        <w:t>folgen aus den Homogenitätsdefinitionen.</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(\text{Gewichtsaddition})</w:t>
      </w:r>
    </w:p>
    <w:p w:rsidR="005469D0" w:rsidRDefault="005469D0" w:rsidP="005469D0">
      <w:pPr>
        <w:pStyle w:val="StandardWeb"/>
      </w:pPr>
      <w:r>
        <w:t>\mathrm{Der}.</w:t>
      </w:r>
      <w:r>
        <w:br/>
        <w:t>}</w:t>
      </w:r>
      <w:r>
        <w:br/>
        <w:t>\tag{3.11279}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\boxed{\operatorname{Stat}(\text{Gewichtsaddition})=\mathrm{Der}.}</w:t>
      </w:r>
    </w:p>
    <w:p w:rsidR="005469D0" w:rsidRDefault="00E50336" w:rsidP="005469D0">
      <w:r>
        <w:pict>
          <v:rect id="_x0000_i3812" style="width:0;height:1.5pt" o:hralign="center" o:hrstd="t" o:hr="t" fillcolor="#a0a0a0" stroked="f"/>
        </w:pict>
      </w:r>
    </w:p>
    <w:p w:rsidR="005469D0" w:rsidRDefault="005469D0" w:rsidP="005469D0">
      <w:pPr>
        <w:pStyle w:val="berschrift1"/>
      </w:pPr>
      <w:r>
        <w:t>3.3.46.297 Status der Dimensionszuordnung</w:t>
      </w:r>
    </w:p>
    <w:p w:rsidR="005469D0" w:rsidRDefault="005469D0" w:rsidP="005469D0">
      <w:pPr>
        <w:pStyle w:val="StandardWeb"/>
      </w:pPr>
      <w:r>
        <w:t>Die Abbildung</w:t>
      </w:r>
    </w:p>
    <w:p w:rsidR="005469D0" w:rsidRDefault="005469D0" w:rsidP="005469D0">
      <w:pPr>
        <w:pStyle w:val="StandardWeb"/>
      </w:pPr>
      <w:r>
        <w:t>[</w:t>
      </w:r>
      <w:r>
        <w:br/>
        <w:t>\operatorname{Dim}:</w:t>
      </w:r>
      <w:r>
        <w:br/>
        <w:t>\mathcal Q_F</w:t>
      </w:r>
      <w:r>
        <w:br/>
        <w:t>\rightarrow</w:t>
      </w:r>
      <w:r>
        <w:br/>
        <w:t>\mathfrak D</w:t>
      </w:r>
      <w:r>
        <w:br/>
        <w:t>\tag{3.11280}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\operatorname{Dim}:\mathcal Q_F\rightarrow\mathfrak D</w:t>
      </w:r>
    </w:p>
    <w:p w:rsidR="005469D0" w:rsidRDefault="005469D0" w:rsidP="005469D0">
      <w:pPr>
        <w:pStyle w:val="StandardWeb"/>
      </w:pPr>
      <w:r>
        <w:t>setzt eine gewählte Dimensionsstruktur voraus.</w:t>
      </w:r>
    </w:p>
    <w:p w:rsidR="005469D0" w:rsidRDefault="005469D0" w:rsidP="005469D0">
      <w:pPr>
        <w:pStyle w:val="StandardWeb"/>
      </w:pPr>
      <w:r>
        <w:t>Sie ist damit definitorisch formulierbar, ihre Verfügbarkeit aber modellabhängig:</w:t>
      </w:r>
    </w:p>
    <w:p w:rsidR="005469D0" w:rsidRDefault="005469D0" w:rsidP="005469D0">
      <w:pPr>
        <w:pStyle w:val="berschrift1"/>
      </w:pPr>
      <w:r>
        <w:t>[</w:t>
      </w:r>
      <w:r>
        <w:br/>
        <w:t>\boxed{</w:t>
      </w:r>
      <w:r>
        <w:br/>
      </w:r>
      <w:r>
        <w:lastRenderedPageBreak/>
        <w:t>\operatorname{Stat}</w:t>
      </w:r>
      <w:r>
        <w:br/>
        <w:t>(\operatorname{Dim})</w:t>
      </w:r>
    </w:p>
    <w:p w:rsidR="005469D0" w:rsidRDefault="005469D0" w:rsidP="005469D0">
      <w:pPr>
        <w:pStyle w:val="StandardWeb"/>
      </w:pPr>
      <w:r>
        <w:t>\mathrm{Def/Mod}.</w:t>
      </w:r>
      <w:r>
        <w:br/>
        <w:t>}</w:t>
      </w:r>
      <w:r>
        <w:br/>
        <w:t>\tag{3.11281}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\boxed{\operatorname{Stat}(\operatorname{Dim})=\mathrm{Def/Mod}.}</w:t>
      </w:r>
    </w:p>
    <w:p w:rsidR="005469D0" w:rsidRDefault="00E50336" w:rsidP="005469D0">
      <w:r>
        <w:pict>
          <v:rect id="_x0000_i3813" style="width:0;height:1.5pt" o:hralign="center" o:hrstd="t" o:hr="t" fillcolor="#a0a0a0" stroked="f"/>
        </w:pict>
      </w:r>
    </w:p>
    <w:p w:rsidR="005469D0" w:rsidRDefault="005469D0" w:rsidP="005469D0">
      <w:pPr>
        <w:pStyle w:val="berschrift1"/>
      </w:pPr>
      <w:r>
        <w:t>3.3.46.298 Status der Dimensionsmodellannahme</w:t>
      </w:r>
    </w:p>
    <w:p w:rsidR="005469D0" w:rsidRDefault="005469D0" w:rsidP="005469D0">
      <w:pPr>
        <w:pStyle w:val="StandardWeb"/>
      </w:pPr>
      <w:r>
        <w:t>Die explizite Forderung nach einer Dimensionsstruktur wurde als</w:t>
      </w:r>
    </w:p>
    <w:p w:rsidR="005469D0" w:rsidRDefault="005469D0" w:rsidP="005469D0">
      <w:pPr>
        <w:pStyle w:val="StandardWeb"/>
      </w:pPr>
      <w:r>
        <w:t>[</w:t>
      </w:r>
      <w:r>
        <w:br/>
        <w:t>M_D^{\mathrm{dim}}</w:t>
      </w:r>
      <w:r>
        <w:br/>
        <w:t>\tag{3.11282}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M_D^{\mathrm{dim}}</w:t>
      </w:r>
    </w:p>
    <w:p w:rsidR="005469D0" w:rsidRDefault="005469D0" w:rsidP="005469D0">
      <w:pPr>
        <w:pStyle w:val="StandardWeb"/>
      </w:pPr>
      <w:r>
        <w:t>bezeichnet.</w:t>
      </w:r>
    </w:p>
    <w:p w:rsidR="005469D0" w:rsidRDefault="005469D0" w:rsidP="005469D0">
      <w:pPr>
        <w:pStyle w:val="StandardWeb"/>
      </w:pPr>
      <w:r>
        <w:t>Daher gilt eindeutig</w:t>
      </w:r>
    </w:p>
    <w:p w:rsidR="005469D0" w:rsidRDefault="005469D0" w:rsidP="005469D0">
      <w:pPr>
        <w:pStyle w:val="berschrift1"/>
      </w:pPr>
      <w:r>
        <w:t>[</w:t>
      </w:r>
      <w:r>
        <w:br/>
        <w:t>\boxed{</w:t>
      </w:r>
      <w:r>
        <w:br/>
        <w:t>\operatorname{Stat}</w:t>
      </w:r>
      <w:r>
        <w:br/>
        <w:t>(M_D^{\mathrm{dim}})</w:t>
      </w:r>
    </w:p>
    <w:p w:rsidR="005469D0" w:rsidRDefault="005469D0" w:rsidP="005469D0">
      <w:pPr>
        <w:pStyle w:val="StandardWeb"/>
      </w:pPr>
      <w:r>
        <w:t>\mathrm{Mod}.</w:t>
      </w:r>
      <w:r>
        <w:br/>
        <w:t>}</w:t>
      </w:r>
      <w:r>
        <w:br/>
        <w:t>\tag{3.11283}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\boxed{\operatorname{Stat}(M_D^{\mathrm{dim}})=\mathrm{Mod}.}</w:t>
      </w:r>
    </w:p>
    <w:p w:rsidR="005469D0" w:rsidRDefault="00E50336" w:rsidP="005469D0">
      <w:r>
        <w:pict>
          <v:rect id="_x0000_i3814" style="width:0;height:1.5pt" o:hralign="center" o:hrstd="t" o:hr="t" fillcolor="#a0a0a0" stroked="f"/>
        </w:pict>
      </w:r>
    </w:p>
    <w:p w:rsidR="005469D0" w:rsidRDefault="005469D0" w:rsidP="005469D0">
      <w:pPr>
        <w:pStyle w:val="berschrift1"/>
      </w:pPr>
      <w:r>
        <w:t>3.3.46.299 Status der Dimensionslosigkeit</w:t>
      </w:r>
    </w:p>
    <w:p w:rsidR="005469D0" w:rsidRDefault="005469D0" w:rsidP="005469D0">
      <w:pPr>
        <w:pStyle w:val="StandardWeb"/>
      </w:pPr>
      <w:r>
        <w:lastRenderedPageBreak/>
        <w:t>Die Eigenschaft</w:t>
      </w:r>
    </w:p>
    <w:p w:rsidR="005469D0" w:rsidRDefault="005469D0" w:rsidP="005469D0">
      <w:pPr>
        <w:pStyle w:val="berschrift1"/>
      </w:pPr>
      <w:r>
        <w:t>[</w:t>
      </w:r>
      <w:r>
        <w:br/>
        <w:t>\operatorname{Dim}(Q)</w:t>
      </w:r>
    </w:p>
    <w:p w:rsidR="005469D0" w:rsidRDefault="005469D0" w:rsidP="005469D0">
      <w:pPr>
        <w:pStyle w:val="StandardWeb"/>
      </w:pPr>
      <w:r>
        <w:t>\mathbf0_D</w:t>
      </w:r>
      <w:r>
        <w:br/>
        <w:t>\tag{3.11284}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\operatorname{Dim}(Q)=\mathbf0_D</w:t>
      </w:r>
    </w:p>
    <w:p w:rsidR="005469D0" w:rsidRDefault="005469D0" w:rsidP="005469D0">
      <w:pPr>
        <w:pStyle w:val="StandardWeb"/>
      </w:pPr>
      <w:r>
        <w:t>ist relativ zu einer bereits eingeführten Dimensionsstruktur definiert.</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(\operatorname{Dimless}Q)</w:t>
      </w:r>
    </w:p>
    <w:p w:rsidR="005469D0" w:rsidRDefault="005469D0" w:rsidP="005469D0">
      <w:pPr>
        <w:pStyle w:val="StandardWeb"/>
      </w:pPr>
      <w:r>
        <w:t>\mathrm{Def}.</w:t>
      </w:r>
      <w:r>
        <w:br/>
        <w:t>}</w:t>
      </w:r>
      <w:r>
        <w:br/>
        <w:t>\tag{3.11285}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\boxed{\operatorname{Stat}(\operatorname{Dimless}Q)=\mathrm{Def}.}</w:t>
      </w:r>
    </w:p>
    <w:p w:rsidR="005469D0" w:rsidRDefault="00E50336" w:rsidP="005469D0">
      <w:r>
        <w:pict>
          <v:rect id="_x0000_i3815" style="width:0;height:1.5pt" o:hralign="center" o:hrstd="t" o:hr="t" fillcolor="#a0a0a0" stroked="f"/>
        </w:pict>
      </w:r>
    </w:p>
    <w:p w:rsidR="005469D0" w:rsidRDefault="005469D0" w:rsidP="005469D0">
      <w:pPr>
        <w:pStyle w:val="berschrift1"/>
      </w:pPr>
      <w:r>
        <w:t>3.3.46.300 Status der Dimensionshomogenität</w:t>
      </w:r>
    </w:p>
    <w:p w:rsidR="005469D0" w:rsidRDefault="005469D0" w:rsidP="005469D0">
      <w:pPr>
        <w:pStyle w:val="StandardWeb"/>
      </w:pPr>
      <w:r>
        <w:t>Auch die Forderung</w:t>
      </w:r>
    </w:p>
    <w:p w:rsidR="005469D0" w:rsidRDefault="005469D0" w:rsidP="005469D0">
      <w:pPr>
        <w:pStyle w:val="berschrift1"/>
      </w:pPr>
      <w:r>
        <w:t>[</w:t>
      </w:r>
      <w:r>
        <w:br/>
        <w:t>\operatorname{Dim}(F_L)</w:t>
      </w:r>
    </w:p>
    <w:p w:rsidR="005469D0" w:rsidRDefault="005469D0" w:rsidP="005469D0">
      <w:pPr>
        <w:pStyle w:val="StandardWeb"/>
      </w:pPr>
      <w:r>
        <w:t>\operatorname{Dim}(F_R)</w:t>
      </w:r>
      <w:r>
        <w:br/>
        <w:t>\tag{3.11286}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lastRenderedPageBreak/>
        <w:t>\operatorname{Dim}(F_L)=\operatorname{Dim}(F_R)</w:t>
      </w:r>
    </w:p>
    <w:p w:rsidR="005469D0" w:rsidRDefault="005469D0" w:rsidP="005469D0">
      <w:pPr>
        <w:pStyle w:val="StandardWeb"/>
      </w:pPr>
      <w:r>
        <w:t>ist zunächst eine definitorische Konsistenzbedingung innerhalb eines Dimensionsmodells.</w:t>
      </w:r>
    </w:p>
    <w:p w:rsidR="005469D0" w:rsidRDefault="005469D0" w:rsidP="005469D0">
      <w:pPr>
        <w:pStyle w:val="StandardWeb"/>
      </w:pPr>
      <w:r>
        <w:t>Sie kann zusätzlich als Prüfwerkzeug operationalisiert werden.</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(\operatorname{DimHom})</w:t>
      </w:r>
    </w:p>
    <w:p w:rsidR="005469D0" w:rsidRDefault="005469D0" w:rsidP="005469D0">
      <w:pPr>
        <w:pStyle w:val="StandardWeb"/>
      </w:pPr>
      <w:r>
        <w:t>\mathrm{Def/Op}.</w:t>
      </w:r>
      <w:r>
        <w:br/>
        <w:t>}</w:t>
      </w:r>
      <w:r>
        <w:br/>
        <w:t>\tag{3.11287}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\boxed{\operatorname{Stat}(\operatorname{DimHom})=\mathrm{Def/Op}.}</w:t>
      </w:r>
    </w:p>
    <w:p w:rsidR="005469D0" w:rsidRDefault="00E50336" w:rsidP="005469D0">
      <w:r>
        <w:pict>
          <v:rect id="_x0000_i3816" style="width:0;height:1.5pt" o:hralign="center" o:hrstd="t" o:hr="t" fillcolor="#a0a0a0" stroked="f"/>
        </w:pict>
      </w:r>
    </w:p>
    <w:p w:rsidR="005469D0" w:rsidRDefault="005469D0" w:rsidP="005469D0">
      <w:pPr>
        <w:pStyle w:val="berschrift1"/>
      </w:pPr>
      <w:r>
        <w:t>3.3.46.301 Status der Einheitendarstellung</w:t>
      </w:r>
    </w:p>
    <w:p w:rsidR="005469D0" w:rsidRDefault="005469D0" w:rsidP="005469D0">
      <w:pPr>
        <w:pStyle w:val="StandardWeb"/>
      </w:pPr>
      <w:r>
        <w:t>Die Abbildung</w:t>
      </w:r>
    </w:p>
    <w:p w:rsidR="005469D0" w:rsidRDefault="005469D0" w:rsidP="005469D0">
      <w:pPr>
        <w:pStyle w:val="StandardWeb"/>
      </w:pPr>
      <w:r>
        <w:t>[</w:t>
      </w:r>
      <w:r>
        <w:br/>
        <w:t>\operatorname{Unit}:</w:t>
      </w:r>
      <w:r>
        <w:br/>
        <w:t>\mathcal Q_F</w:t>
      </w:r>
      <w:r>
        <w:br/>
        <w:t>\rightarrow</w:t>
      </w:r>
      <w:r>
        <w:br/>
        <w:t>\mathfrak U</w:t>
      </w:r>
      <w:r>
        <w:br/>
        <w:t>\tag{3.11288}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\operatorname{Unit}:\mathcal Q_F\rightarrow\mathfrak U</w:t>
      </w:r>
    </w:p>
    <w:p w:rsidR="005469D0" w:rsidRDefault="005469D0" w:rsidP="005469D0">
      <w:pPr>
        <w:pStyle w:val="StandardWeb"/>
      </w:pPr>
      <w:r>
        <w:t>ist ebenfalls modellabhängig.</w:t>
      </w:r>
    </w:p>
    <w:p w:rsidR="005469D0" w:rsidRDefault="005469D0" w:rsidP="005469D0">
      <w:pPr>
        <w:pStyle w:val="StandardWeb"/>
      </w:pPr>
      <w:r>
        <w:t>Damit gilt</w:t>
      </w:r>
    </w:p>
    <w:p w:rsidR="005469D0" w:rsidRDefault="005469D0" w:rsidP="005469D0">
      <w:pPr>
        <w:pStyle w:val="berschrift1"/>
      </w:pPr>
      <w:r>
        <w:t>[</w:t>
      </w:r>
      <w:r>
        <w:br/>
        <w:t>\boxed{</w:t>
      </w:r>
      <w:r>
        <w:br/>
      </w:r>
      <w:r>
        <w:lastRenderedPageBreak/>
        <w:t>\operatorname{Stat}</w:t>
      </w:r>
      <w:r>
        <w:br/>
        <w:t>(\operatorname{Unit})</w:t>
      </w:r>
    </w:p>
    <w:p w:rsidR="005469D0" w:rsidRDefault="005469D0" w:rsidP="005469D0">
      <w:pPr>
        <w:pStyle w:val="StandardWeb"/>
      </w:pPr>
      <w:r>
        <w:t>\mathrm{Def/Mod}.</w:t>
      </w:r>
      <w:r>
        <w:br/>
        <w:t>}</w:t>
      </w:r>
      <w:r>
        <w:br/>
        <w:t>\tag{3.11289}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\boxed{\operatorname{Stat}(\operatorname{Unit})=\mathrm{Def/Mod}.}</w:t>
      </w:r>
    </w:p>
    <w:p w:rsidR="005469D0" w:rsidRDefault="00E50336" w:rsidP="005469D0">
      <w:r>
        <w:pict>
          <v:rect id="_x0000_i3817" style="width:0;height:1.5pt" o:hralign="center" o:hrstd="t" o:hr="t" fillcolor="#a0a0a0" stroked="f"/>
        </w:pict>
      </w:r>
    </w:p>
    <w:p w:rsidR="005469D0" w:rsidRDefault="005469D0" w:rsidP="005469D0">
      <w:pPr>
        <w:pStyle w:val="berschrift1"/>
      </w:pPr>
      <w:r>
        <w:t>3.3.46.302 Status der Einheitendarstellungsinvarianz</w:t>
      </w:r>
    </w:p>
    <w:p w:rsidR="005469D0" w:rsidRDefault="005469D0" w:rsidP="005469D0">
      <w:pPr>
        <w:pStyle w:val="StandardWeb"/>
      </w:pPr>
      <w:r>
        <w:t>Die Forderung</w:t>
      </w:r>
    </w:p>
    <w:p w:rsidR="005469D0" w:rsidRDefault="005469D0" w:rsidP="005469D0">
      <w:pPr>
        <w:pStyle w:val="berschrift1"/>
      </w:pPr>
      <w:r>
        <w:t>[</w:t>
      </w:r>
      <w:r>
        <w:br/>
        <w:t>\mathcal P(UQ)</w:t>
      </w:r>
    </w:p>
    <w:p w:rsidR="005469D0" w:rsidRDefault="005469D0" w:rsidP="005469D0">
      <w:pPr>
        <w:pStyle w:val="StandardWeb"/>
      </w:pPr>
      <w:r>
        <w:t>\mathcal P(Q)</w:t>
      </w:r>
      <w:r>
        <w:br/>
        <w:t>\tag{3.11290}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\mathcal P(UQ)=\mathcal P(Q)</w:t>
      </w:r>
    </w:p>
    <w:p w:rsidR="005469D0" w:rsidRDefault="005469D0" w:rsidP="005469D0">
      <w:pPr>
        <w:pStyle w:val="StandardWeb"/>
      </w:pPr>
      <w:r>
        <w:t>ist eine definierbare Repräsentationsbedingung innerhalb eines Modells mit Einheitenstruktur.</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(\operatorname{Inv}_{\mathrm{unit}})</w:t>
      </w:r>
    </w:p>
    <w:p w:rsidR="005469D0" w:rsidRDefault="005469D0" w:rsidP="005469D0">
      <w:pPr>
        <w:pStyle w:val="StandardWeb"/>
      </w:pPr>
      <w:r>
        <w:t>\mathrm{Def/Mod}.</w:t>
      </w:r>
      <w:r>
        <w:br/>
        <w:t>}</w:t>
      </w:r>
      <w:r>
        <w:br/>
        <w:t>\tag{3.11291}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lastRenderedPageBreak/>
        <w:t>\boxed{\operatorname{Stat}(\operatorname{Inv}_{\mathrm{unit}})=\mathrm{Def/Mod}.}</w:t>
      </w:r>
    </w:p>
    <w:p w:rsidR="005469D0" w:rsidRDefault="00E50336" w:rsidP="005469D0">
      <w:r>
        <w:pict>
          <v:rect id="_x0000_i3818" style="width:0;height:1.5pt" o:hralign="center" o:hrstd="t" o:hr="t" fillcolor="#a0a0a0" stroked="f"/>
        </w:pict>
      </w:r>
    </w:p>
    <w:p w:rsidR="005469D0" w:rsidRDefault="005469D0" w:rsidP="005469D0">
      <w:pPr>
        <w:pStyle w:val="berschrift1"/>
      </w:pPr>
      <w:r>
        <w:t>3.3.46.303 Status dimensionsloser Produktgruppen</w:t>
      </w:r>
    </w:p>
    <w:p w:rsidR="005469D0" w:rsidRDefault="005469D0" w:rsidP="005469D0">
      <w:pPr>
        <w:pStyle w:val="StandardWeb"/>
      </w:pPr>
      <w:r>
        <w:t>Eine dimensionslose Produktgruppe</w:t>
      </w:r>
    </w:p>
    <w:p w:rsidR="005469D0" w:rsidRDefault="005469D0" w:rsidP="005469D0">
      <w:pPr>
        <w:pStyle w:val="berschrift1"/>
      </w:pPr>
      <w:r>
        <w:t>[</w:t>
      </w:r>
      <w:r>
        <w:br/>
        <w:t>\Pi</w:t>
      </w:r>
    </w:p>
    <w:p w:rsidR="005469D0" w:rsidRDefault="005469D0" w:rsidP="005469D0">
      <w:pPr>
        <w:pStyle w:val="StandardWeb"/>
      </w:pPr>
      <w:r>
        <w:t>\prod_{i=1}^{n}Q_i^{a_i}</w:t>
      </w:r>
      <w:r>
        <w:br/>
        <w:t>\tag{3.11292}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\Pi=\prod_{i=1}^{n}Q_i^{a_i}</w:t>
      </w:r>
    </w:p>
    <w:p w:rsidR="005469D0" w:rsidRDefault="005469D0" w:rsidP="005469D0">
      <w:pPr>
        <w:pStyle w:val="StandardWeb"/>
      </w:pPr>
      <w:r>
        <w:t>mit</w:t>
      </w:r>
    </w:p>
    <w:p w:rsidR="005469D0" w:rsidRDefault="005469D0" w:rsidP="005469D0">
      <w:pPr>
        <w:pStyle w:val="berschrift1"/>
      </w:pPr>
      <w:r>
        <w:t>[</w:t>
      </w:r>
      <w:r>
        <w:br/>
        <w:t>D\mathbf a</w:t>
      </w:r>
    </w:p>
    <w:p w:rsidR="005469D0" w:rsidRDefault="005469D0" w:rsidP="005469D0">
      <w:pPr>
        <w:pStyle w:val="StandardWeb"/>
      </w:pPr>
      <w:r>
        <w:t>\mathbf0</w:t>
      </w:r>
      <w:r>
        <w:br/>
        <w:t>\tag{3.11293}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D\mathbf a=\mathbf0</w:t>
      </w:r>
    </w:p>
    <w:p w:rsidR="005469D0" w:rsidRDefault="005469D0" w:rsidP="005469D0">
      <w:pPr>
        <w:pStyle w:val="StandardWeb"/>
      </w:pPr>
      <w:r>
        <w:t>ist definitorisch konstruiert.</w:t>
      </w:r>
    </w:p>
    <w:p w:rsidR="005469D0" w:rsidRDefault="005469D0" w:rsidP="005469D0">
      <w:pPr>
        <w:pStyle w:val="StandardWeb"/>
      </w:pPr>
      <w:r>
        <w:t>Die Kernbedingung selbst folgt mathematisch aus der Dimensionsdarstellung.</w:t>
      </w:r>
    </w:p>
    <w:p w:rsidR="005469D0" w:rsidRDefault="005469D0" w:rsidP="005469D0">
      <w:pPr>
        <w:pStyle w:val="StandardWeb"/>
      </w:pPr>
      <w:r>
        <w:t>Daher gilt</w:t>
      </w:r>
    </w:p>
    <w:p w:rsidR="005469D0" w:rsidRDefault="005469D0" w:rsidP="005469D0">
      <w:pPr>
        <w:pStyle w:val="berschrift1"/>
      </w:pPr>
      <w:r>
        <w:t>[</w:t>
      </w:r>
      <w:r>
        <w:br/>
        <w:t>\boxed{</w:t>
      </w:r>
      <w:r>
        <w:br/>
        <w:t>\operatorname{Stat}(\Pi)</w:t>
      </w:r>
    </w:p>
    <w:p w:rsidR="005469D0" w:rsidRDefault="005469D0" w:rsidP="005469D0">
      <w:pPr>
        <w:pStyle w:val="StandardWeb"/>
      </w:pPr>
      <w:r>
        <w:t>\mathrm{Def/Op},</w:t>
      </w:r>
      <w:r>
        <w:br/>
        <w:t>}</w:t>
      </w:r>
      <w:r>
        <w:br/>
        <w:t>\tag{3.11294}</w:t>
      </w:r>
      <w:r>
        <w:br/>
        <w:t>]</w:t>
      </w:r>
    </w:p>
    <w:p w:rsidR="005469D0" w:rsidRDefault="005469D0" w:rsidP="005469D0">
      <w:pPr>
        <w:pStyle w:val="StandardWeb"/>
      </w:pPr>
      <w:r>
        <w:rPr>
          <w:rStyle w:val="Fett"/>
        </w:rPr>
        <w:lastRenderedPageBreak/>
        <w:t>Word-LaTeX</w:t>
      </w:r>
    </w:p>
    <w:p w:rsidR="005469D0" w:rsidRDefault="005469D0" w:rsidP="005469D0">
      <w:pPr>
        <w:pStyle w:val="HTMLVorformatiert"/>
        <w:rPr>
          <w:rStyle w:val="HTMLCode"/>
        </w:rPr>
      </w:pPr>
      <w:r>
        <w:rPr>
          <w:rStyle w:val="HTMLCode"/>
        </w:rPr>
        <w:t>\boxed{\operatorname{Stat}(\Pi)=\mathrm{Def/Op},}</w:t>
      </w:r>
    </w:p>
    <w:p w:rsidR="005469D0" w:rsidRDefault="005469D0" w:rsidP="005469D0">
      <w:pPr>
        <w:pStyle w:val="StandardWeb"/>
      </w:pPr>
      <w:r>
        <w:t>und</w:t>
      </w:r>
    </w:p>
    <w:p w:rsidR="005469D0" w:rsidRDefault="005469D0" w:rsidP="005469D0">
      <w:pPr>
        <w:pStyle w:val="berschrift1"/>
      </w:pPr>
      <w:r>
        <w:t>[</w:t>
      </w:r>
      <w:r>
        <w:br/>
        <w:t>\boxed{</w:t>
      </w:r>
      <w:r>
        <w:br/>
        <w:t>\operatorname{Stat}</w:t>
      </w:r>
      <w:r>
        <w:br/>
        <w:t>(\mathbf a\in\ker D)</w:t>
      </w:r>
    </w:p>
    <w:p w:rsidR="005469D0" w:rsidRDefault="005469D0" w:rsidP="005469D0">
      <w:pPr>
        <w:pStyle w:val="StandardWeb"/>
      </w:pPr>
      <w:r>
        <w:t>\mathrm{Der}.</w:t>
      </w:r>
      <w:r>
        <w:br/>
        <w:t>}</w:t>
      </w:r>
      <w:r>
        <w:br/>
        <w:t>\tag{3.11295}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\boxed{\operatorname{Stat}(\mathbf a\in\ker D)=\mathrm{Der}.}</w:t>
      </w:r>
    </w:p>
    <w:p w:rsidR="005469D0" w:rsidRDefault="00E50336" w:rsidP="005469D0">
      <w:r>
        <w:pict>
          <v:rect id="_x0000_i3819" style="width:0;height:1.5pt" o:hralign="center" o:hrstd="t" o:hr="t" fillcolor="#a0a0a0" stroked="f"/>
        </w:pict>
      </w:r>
    </w:p>
    <w:p w:rsidR="005469D0" w:rsidRDefault="005469D0" w:rsidP="005469D0">
      <w:pPr>
        <w:pStyle w:val="berschrift1"/>
      </w:pPr>
      <w:r>
        <w:t>3.3.46.304 Status der Anzahl dimensionsloser Gruppen</w:t>
      </w:r>
    </w:p>
    <w:p w:rsidR="005469D0" w:rsidRDefault="005469D0" w:rsidP="005469D0">
      <w:pPr>
        <w:pStyle w:val="StandardWeb"/>
      </w:pPr>
      <w:r>
        <w:t>Die Beziehung</w:t>
      </w:r>
    </w:p>
    <w:p w:rsidR="005469D0" w:rsidRDefault="005469D0" w:rsidP="005469D0">
      <w:pPr>
        <w:pStyle w:val="berschrift1"/>
      </w:pPr>
      <w:r>
        <w:t>[</w:t>
      </w:r>
      <w:r>
        <w:br/>
        <w:t>\dim(\ker D)</w:t>
      </w:r>
    </w:p>
    <w:p w:rsidR="005469D0" w:rsidRDefault="005469D0" w:rsidP="005469D0">
      <w:pPr>
        <w:pStyle w:val="StandardWeb"/>
      </w:pPr>
      <w:r>
        <w:t>n-\operatorname{rang}(D)</w:t>
      </w:r>
      <w:r>
        <w:br/>
        <w:t>\tag{3.11296}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\dim(\ker D)=n-\operatorname{rang}(D)</w:t>
      </w:r>
    </w:p>
    <w:p w:rsidR="005469D0" w:rsidRDefault="005469D0" w:rsidP="005469D0">
      <w:pPr>
        <w:pStyle w:val="StandardWeb"/>
      </w:pPr>
      <w:r>
        <w:t>folgt aus dem Rang-Nullitätssatz.</w:t>
      </w:r>
    </w:p>
    <w:p w:rsidR="005469D0" w:rsidRDefault="005469D0" w:rsidP="005469D0">
      <w:pPr>
        <w:pStyle w:val="StandardWeb"/>
      </w:pPr>
      <w:r>
        <w:t>Damit besitzt sie eindeutig den Status</w:t>
      </w:r>
    </w:p>
    <w:p w:rsidR="005469D0" w:rsidRDefault="005469D0" w:rsidP="005469D0">
      <w:pPr>
        <w:pStyle w:val="berschrift1"/>
      </w:pPr>
      <w:r>
        <w:t>[</w:t>
      </w:r>
      <w:r>
        <w:br/>
        <w:t>\boxed{</w:t>
      </w:r>
      <w:r>
        <w:br/>
      </w:r>
      <w:r>
        <w:lastRenderedPageBreak/>
        <w:t>\operatorname{Stat}</w:t>
      </w:r>
      <w:r>
        <w:br/>
        <w:t>\left(</w:t>
      </w:r>
      <w:r>
        <w:br/>
        <w:t>\dim(\ker D)</w:t>
      </w:r>
    </w:p>
    <w:p w:rsidR="005469D0" w:rsidRDefault="005469D0" w:rsidP="005469D0">
      <w:pPr>
        <w:pStyle w:val="berschrift1"/>
      </w:pPr>
      <w:r>
        <w:t>n-\operatorname{rang}(D)</w:t>
      </w:r>
      <w:r>
        <w:br/>
        <w:t>\right)</w:t>
      </w:r>
    </w:p>
    <w:p w:rsidR="005469D0" w:rsidRDefault="005469D0" w:rsidP="005469D0">
      <w:pPr>
        <w:pStyle w:val="StandardWeb"/>
      </w:pPr>
      <w:r>
        <w:t>\mathrm{Der}.</w:t>
      </w:r>
      <w:r>
        <w:br/>
        <w:t>}</w:t>
      </w:r>
      <w:r>
        <w:br/>
        <w:t>\tag{3.11297}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\boxed{\operatorname{Stat}\left(\dim(\ker D)=n-\operatorname{rang}(D)\right)=\mathrm{Der}.}</w:t>
      </w:r>
    </w:p>
    <w:p w:rsidR="005469D0" w:rsidRDefault="00E50336" w:rsidP="005469D0">
      <w:r>
        <w:pict>
          <v:rect id="_x0000_i3820" style="width:0;height:1.5pt" o:hralign="center" o:hrstd="t" o:hr="t" fillcolor="#a0a0a0" stroked="f"/>
        </w:pict>
      </w:r>
    </w:p>
    <w:p w:rsidR="005469D0" w:rsidRDefault="005469D0" w:rsidP="005469D0">
      <w:pPr>
        <w:pStyle w:val="berschrift1"/>
      </w:pPr>
      <w:r>
        <w:t>3.3.46.305 Status der Dimensionsreduzierbarkeitsannahme</w:t>
      </w:r>
    </w:p>
    <w:p w:rsidR="005469D0" w:rsidRDefault="005469D0" w:rsidP="005469D0">
      <w:pPr>
        <w:pStyle w:val="StandardWeb"/>
      </w:pPr>
      <w:r>
        <w:t>Die Forderung, eine vollständige Modellbeziehung allein durch dimensionslose Gruppen darstellen zu können, wurde als</w:t>
      </w:r>
    </w:p>
    <w:p w:rsidR="005469D0" w:rsidRDefault="005469D0" w:rsidP="005469D0">
      <w:pPr>
        <w:pStyle w:val="StandardWeb"/>
      </w:pPr>
      <w:r>
        <w:t>[</w:t>
      </w:r>
      <w:r>
        <w:br/>
        <w:t>M_\Pi</w:t>
      </w:r>
      <w:r>
        <w:br/>
        <w:t>\tag{3.11298}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M_\Pi</w:t>
      </w:r>
    </w:p>
    <w:p w:rsidR="005469D0" w:rsidRDefault="005469D0" w:rsidP="005469D0">
      <w:pPr>
        <w:pStyle w:val="StandardWeb"/>
      </w:pPr>
      <w:r>
        <w:t>eingeführt.</w:t>
      </w:r>
    </w:p>
    <w:p w:rsidR="005469D0" w:rsidRDefault="005469D0" w:rsidP="005469D0">
      <w:pPr>
        <w:pStyle w:val="StandardWeb"/>
      </w:pPr>
      <w:r>
        <w:t>Damit gilt</w:t>
      </w:r>
    </w:p>
    <w:p w:rsidR="005469D0" w:rsidRDefault="005469D0" w:rsidP="005469D0">
      <w:pPr>
        <w:pStyle w:val="berschrift1"/>
      </w:pPr>
      <w:r>
        <w:t>[</w:t>
      </w:r>
      <w:r>
        <w:br/>
        <w:t>\boxed{</w:t>
      </w:r>
      <w:r>
        <w:br/>
        <w:t>\operatorname{Stat}(M_\Pi)</w:t>
      </w:r>
    </w:p>
    <w:p w:rsidR="005469D0" w:rsidRDefault="005469D0" w:rsidP="005469D0">
      <w:pPr>
        <w:pStyle w:val="StandardWeb"/>
      </w:pPr>
      <w:r>
        <w:t>\mathrm{Mod}.</w:t>
      </w:r>
      <w:r>
        <w:br/>
        <w:t>}</w:t>
      </w:r>
      <w:r>
        <w:br/>
        <w:t>\tag{3.11299}</w:t>
      </w:r>
      <w:r>
        <w:br/>
        <w:t>]</w:t>
      </w:r>
    </w:p>
    <w:p w:rsidR="005469D0" w:rsidRDefault="005469D0" w:rsidP="005469D0">
      <w:pPr>
        <w:pStyle w:val="StandardWeb"/>
      </w:pPr>
      <w:r>
        <w:rPr>
          <w:rStyle w:val="Fett"/>
        </w:rPr>
        <w:lastRenderedPageBreak/>
        <w:t>Word-LaTeX</w:t>
      </w:r>
    </w:p>
    <w:p w:rsidR="005469D0" w:rsidRDefault="005469D0" w:rsidP="005469D0">
      <w:pPr>
        <w:pStyle w:val="HTMLVorformatiert"/>
        <w:rPr>
          <w:rStyle w:val="HTMLCode"/>
        </w:rPr>
      </w:pPr>
      <w:r>
        <w:rPr>
          <w:rStyle w:val="HTMLCode"/>
        </w:rPr>
        <w:t>\boxed{\operatorname{Stat}(M_\Pi)=\mathrm{Mod}.}</w:t>
      </w:r>
    </w:p>
    <w:p w:rsidR="005469D0" w:rsidRDefault="00E50336" w:rsidP="005469D0">
      <w:r>
        <w:pict>
          <v:rect id="_x0000_i3821" style="width:0;height:1.5pt" o:hralign="center" o:hrstd="t" o:hr="t" fillcolor="#a0a0a0" stroked="f"/>
        </w:pict>
      </w:r>
    </w:p>
    <w:p w:rsidR="005469D0" w:rsidRDefault="005469D0" w:rsidP="005469D0">
      <w:pPr>
        <w:pStyle w:val="berschrift1"/>
      </w:pPr>
      <w:r>
        <w:t>3.3.46.306 Status des dimensionslosen Zustandsvektors</w:t>
      </w:r>
    </w:p>
    <w:p w:rsidR="005469D0" w:rsidRDefault="005469D0" w:rsidP="005469D0">
      <w:pPr>
        <w:pStyle w:val="StandardWeb"/>
      </w:pPr>
      <w:r>
        <w:t>Der Vektor</w:t>
      </w:r>
    </w:p>
    <w:p w:rsidR="005469D0" w:rsidRDefault="005469D0" w:rsidP="005469D0">
      <w:pPr>
        <w:pStyle w:val="berschrift1"/>
      </w:pPr>
      <w:r>
        <w:t>[</w:t>
      </w:r>
      <w:r>
        <w:br/>
        <w:t>\boldsymbol\Pi_F</w:t>
      </w:r>
    </w:p>
    <w:p w:rsidR="005469D0" w:rsidRDefault="005469D0" w:rsidP="005469D0">
      <w:pPr>
        <w:pStyle w:val="StandardWeb"/>
      </w:pPr>
      <w:r>
        <w:t>(\Pi_1,\ldots,\Pi_m)</w:t>
      </w:r>
      <w:r>
        <w:br/>
        <w:t>\tag{3.11300}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\boldsymbol\Pi_F=(\Pi_1,\ldots,\Pi_m)</w:t>
      </w:r>
    </w:p>
    <w:p w:rsidR="005469D0" w:rsidRDefault="005469D0" w:rsidP="005469D0">
      <w:pPr>
        <w:pStyle w:val="StandardWeb"/>
      </w:pPr>
      <w:r>
        <w:t>ist eine Zusammenfassung bereits konstruierter dimensionsloser Größen.</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(\boldsymbol\Pi_F)</w:t>
      </w:r>
    </w:p>
    <w:p w:rsidR="005469D0" w:rsidRDefault="005469D0" w:rsidP="005469D0">
      <w:pPr>
        <w:pStyle w:val="StandardWeb"/>
      </w:pPr>
      <w:r>
        <w:t>\mathrm{Def/Op}.</w:t>
      </w:r>
      <w:r>
        <w:br/>
        <w:t>}</w:t>
      </w:r>
      <w:r>
        <w:br/>
        <w:t>\tag{3.11301}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\boxed{\operatorname{Stat}(\boldsymbol\Pi_F)=\mathrm{Def/Op}.}</w:t>
      </w:r>
    </w:p>
    <w:p w:rsidR="005469D0" w:rsidRDefault="00E50336" w:rsidP="005469D0">
      <w:r>
        <w:pict>
          <v:rect id="_x0000_i3822" style="width:0;height:1.5pt" o:hralign="center" o:hrstd="t" o:hr="t" fillcolor="#a0a0a0" stroked="f"/>
        </w:pict>
      </w:r>
    </w:p>
    <w:p w:rsidR="005469D0" w:rsidRDefault="005469D0" w:rsidP="005469D0">
      <w:pPr>
        <w:pStyle w:val="berschrift1"/>
      </w:pPr>
      <w:r>
        <w:t>3.3.46.307 Status der Dimensionsäquivalenz</w:t>
      </w:r>
    </w:p>
    <w:p w:rsidR="005469D0" w:rsidRDefault="005469D0" w:rsidP="005469D0">
      <w:pPr>
        <w:pStyle w:val="StandardWeb"/>
      </w:pPr>
      <w:r>
        <w:t>Die Relation</w:t>
      </w:r>
    </w:p>
    <w:p w:rsidR="005469D0" w:rsidRDefault="005469D0" w:rsidP="005469D0">
      <w:pPr>
        <w:pStyle w:val="berschrift1"/>
      </w:pPr>
      <w:r>
        <w:lastRenderedPageBreak/>
        <w:t>[</w:t>
      </w:r>
      <w:r>
        <w:br/>
        <w:t>X_1\sim_\Pi X_2</w:t>
      </w:r>
      <w:r>
        <w:br/>
        <w:t>\Longleftrightarrow</w:t>
      </w:r>
      <w:r>
        <w:br/>
        <w:t>\boldsymbol\Pi_F(X_1)</w:t>
      </w:r>
    </w:p>
    <w:p w:rsidR="005469D0" w:rsidRDefault="005469D0" w:rsidP="005469D0">
      <w:pPr>
        <w:pStyle w:val="StandardWeb"/>
      </w:pPr>
      <w:r>
        <w:t>\boldsymbol\Pi_F(X_2)</w:t>
      </w:r>
      <w:r>
        <w:br/>
        <w:t>\tag{3.11302}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X_1\sim_\Pi X_2\Longleftrightarrow\boldsymbol\Pi_F(X_1)=\boldsymbol\Pi_F(X_2)</w:t>
      </w:r>
    </w:p>
    <w:p w:rsidR="005469D0" w:rsidRDefault="005469D0" w:rsidP="005469D0">
      <w:pPr>
        <w:pStyle w:val="StandardWeb"/>
      </w:pPr>
      <w:r>
        <w:t>ist definitorisch.</w:t>
      </w:r>
    </w:p>
    <w:p w:rsidR="005469D0" w:rsidRDefault="005469D0" w:rsidP="005469D0">
      <w:pPr>
        <w:pStyle w:val="StandardWeb"/>
      </w:pPr>
      <w:r>
        <w:t>Dass sie eine Äquivalenzrelation ist, folgt aus den Eigenschaften der Gleichheit.</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(\sim_\Pi)</w:t>
      </w:r>
    </w:p>
    <w:p w:rsidR="005469D0" w:rsidRDefault="005469D0" w:rsidP="005469D0">
      <w:pPr>
        <w:pStyle w:val="StandardWeb"/>
      </w:pPr>
      <w:r>
        <w:t>\mathrm{Def}</w:t>
      </w:r>
      <w:r>
        <w:br/>
        <w:t>}</w:t>
      </w:r>
      <w:r>
        <w:br/>
        <w:t>\tag{3.11303}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\boxed{\operatorname{Stat}(\sim_\Pi)=\mathrm{Def}}</w:t>
      </w:r>
    </w:p>
    <w:p w:rsidR="005469D0" w:rsidRDefault="005469D0" w:rsidP="005469D0">
      <w:pPr>
        <w:pStyle w:val="StandardWeb"/>
      </w:pPr>
      <w:r>
        <w:t>und</w:t>
      </w:r>
    </w:p>
    <w:p w:rsidR="005469D0" w:rsidRDefault="005469D0" w:rsidP="005469D0">
      <w:pPr>
        <w:pStyle w:val="berschrift1"/>
      </w:pPr>
      <w:r>
        <w:t>[</w:t>
      </w:r>
      <w:r>
        <w:br/>
        <w:t>\boxed{</w:t>
      </w:r>
      <w:r>
        <w:br/>
        <w:t>\operatorname{Stat}</w:t>
      </w:r>
      <w:r>
        <w:br/>
        <w:t>\left(</w:t>
      </w:r>
      <w:r>
        <w:br/>
        <w:t>\sim_\Pi</w:t>
      </w:r>
      <w:r>
        <w:br/>
      </w:r>
      <w:r>
        <w:lastRenderedPageBreak/>
        <w:t>\text{ ist Äquivalenzrelation}</w:t>
      </w:r>
      <w:r>
        <w:br/>
        <w:t>\right)</w:t>
      </w:r>
    </w:p>
    <w:p w:rsidR="005469D0" w:rsidRDefault="005469D0" w:rsidP="005469D0">
      <w:pPr>
        <w:pStyle w:val="StandardWeb"/>
      </w:pPr>
      <w:r>
        <w:t>\mathrm{Der}.</w:t>
      </w:r>
      <w:r>
        <w:br/>
        <w:t>}</w:t>
      </w:r>
      <w:r>
        <w:br/>
        <w:t>\tag{3.11304}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\boxed{\operatorname{Stat}\left(\sim_\Pi\text{ ist Äquivalenzrelation}\right)=\mathrm{Der}.}</w:t>
      </w:r>
    </w:p>
    <w:p w:rsidR="005469D0" w:rsidRDefault="00E50336" w:rsidP="005469D0">
      <w:r>
        <w:pict>
          <v:rect id="_x0000_i3823" style="width:0;height:1.5pt" o:hralign="center" o:hrstd="t" o:hr="t" fillcolor="#a0a0a0" stroked="f"/>
        </w:pict>
      </w:r>
    </w:p>
    <w:p w:rsidR="005469D0" w:rsidRDefault="005469D0" w:rsidP="005469D0">
      <w:pPr>
        <w:pStyle w:val="berschrift1"/>
      </w:pPr>
      <w:r>
        <w:t>3.3.46.308 Status der Orbittrennung</w:t>
      </w:r>
    </w:p>
    <w:p w:rsidR="005469D0" w:rsidRDefault="005469D0" w:rsidP="005469D0">
      <w:pPr>
        <w:pStyle w:val="StandardWeb"/>
      </w:pPr>
      <w:r>
        <w:t>Die Bedingung</w:t>
      </w:r>
    </w:p>
    <w:p w:rsidR="005469D0" w:rsidRDefault="005469D0" w:rsidP="005469D0">
      <w:pPr>
        <w:pStyle w:val="berschrift1"/>
      </w:pPr>
      <w:r>
        <w:t>[</w:t>
      </w:r>
      <w:r>
        <w:br/>
        <w:t>\boldsymbol\Pi_F(X)</w:t>
      </w:r>
    </w:p>
    <w:p w:rsidR="005469D0" w:rsidRDefault="005469D0" w:rsidP="005469D0">
      <w:pPr>
        <w:pStyle w:val="StandardWeb"/>
      </w:pPr>
      <w:r>
        <w:t>\boldsymbol\Pi_F(Y)</w:t>
      </w:r>
      <w:r>
        <w:br/>
        <w:t>\Rightarrow</w:t>
      </w:r>
      <w:r>
        <w:br/>
        <w:t>X\sim_{\mathrm{sc}}Y</w:t>
      </w:r>
      <w:r>
        <w:br/>
        <w:t>\tag{3.11305}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\boldsymbol\Pi_F(X)=\boldsymbol\Pi_F(Y)\Rightarrow X\sim_{\mathrm{sc}}Y</w:t>
      </w:r>
    </w:p>
    <w:p w:rsidR="005469D0" w:rsidRDefault="005469D0" w:rsidP="005469D0">
      <w:pPr>
        <w:pStyle w:val="StandardWeb"/>
      </w:pPr>
      <w:r>
        <w:t>ist eine zusätzliche Vollständigkeitseigenschaft des gewählten (\Pi)-Systems.</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(\operatorname{Sep}_{\Pi})</w:t>
      </w:r>
    </w:p>
    <w:p w:rsidR="005469D0" w:rsidRDefault="005469D0" w:rsidP="005469D0">
      <w:pPr>
        <w:pStyle w:val="StandardWeb"/>
      </w:pPr>
      <w:r>
        <w:t>\mathrm{Mod}.</w:t>
      </w:r>
      <w:r>
        <w:br/>
        <w:t>}</w:t>
      </w:r>
      <w:r>
        <w:br/>
        <w:t>\tag{3.11306}</w:t>
      </w:r>
      <w:r>
        <w:br/>
        <w:t>]</w:t>
      </w:r>
    </w:p>
    <w:p w:rsidR="005469D0" w:rsidRDefault="005469D0" w:rsidP="005469D0">
      <w:pPr>
        <w:pStyle w:val="StandardWeb"/>
      </w:pPr>
      <w:r>
        <w:rPr>
          <w:rStyle w:val="Fett"/>
        </w:rPr>
        <w:lastRenderedPageBreak/>
        <w:t>Word-LaTeX</w:t>
      </w:r>
    </w:p>
    <w:p w:rsidR="005469D0" w:rsidRDefault="005469D0" w:rsidP="005469D0">
      <w:pPr>
        <w:pStyle w:val="HTMLVorformatiert"/>
        <w:rPr>
          <w:rStyle w:val="HTMLCode"/>
        </w:rPr>
      </w:pPr>
      <w:r>
        <w:rPr>
          <w:rStyle w:val="HTMLCode"/>
        </w:rPr>
        <w:t>\boxed{\operatorname{Stat}(\operatorname{Sep}_{\Pi})=\mathrm{Mod}.}</w:t>
      </w:r>
    </w:p>
    <w:p w:rsidR="005469D0" w:rsidRDefault="00E50336" w:rsidP="005469D0">
      <w:r>
        <w:pict>
          <v:rect id="_x0000_i3824" style="width:0;height:1.5pt" o:hralign="center" o:hrstd="t" o:hr="t" fillcolor="#a0a0a0" stroked="f"/>
        </w:pict>
      </w:r>
    </w:p>
    <w:p w:rsidR="005469D0" w:rsidRDefault="005469D0" w:rsidP="005469D0">
      <w:pPr>
        <w:pStyle w:val="berschrift1"/>
      </w:pPr>
      <w:r>
        <w:t>3.3.46.309 Status der mehrparametrigen Skalierung</w:t>
      </w:r>
    </w:p>
    <w:p w:rsidR="005469D0" w:rsidRDefault="005469D0" w:rsidP="005469D0">
      <w:pPr>
        <w:pStyle w:val="StandardWeb"/>
      </w:pPr>
      <w:r>
        <w:t>Die mehrparametrige Skalierung</w:t>
      </w:r>
    </w:p>
    <w:p w:rsidR="005469D0" w:rsidRDefault="005469D0" w:rsidP="005469D0">
      <w:pPr>
        <w:pStyle w:val="StandardWeb"/>
      </w:pPr>
      <w:r>
        <w:t>[</w:t>
      </w:r>
      <w:r>
        <w:br/>
        <w:t>S_{\boldsymbol\lambda}</w:t>
      </w:r>
      <w:r>
        <w:br/>
        <w:t>\tag{3.11307}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S_{\boldsymbol\lambda}</w:t>
      </w:r>
    </w:p>
    <w:p w:rsidR="005469D0" w:rsidRDefault="005469D0" w:rsidP="005469D0">
      <w:pPr>
        <w:pStyle w:val="StandardWeb"/>
      </w:pPr>
      <w:r>
        <w:t>erweitert die einfache Skalierungsstruktur um mehrere unabhängige Parameter.</w:t>
      </w:r>
    </w:p>
    <w:p w:rsidR="005469D0" w:rsidRDefault="005469D0" w:rsidP="005469D0">
      <w:pPr>
        <w:pStyle w:val="StandardWeb"/>
      </w:pPr>
      <w:r>
        <w:t>Sie ist definitorisch beschreibbar, aber nicht universell erforderlich:</w:t>
      </w:r>
    </w:p>
    <w:p w:rsidR="005469D0" w:rsidRDefault="005469D0" w:rsidP="005469D0">
      <w:pPr>
        <w:pStyle w:val="berschrift1"/>
      </w:pPr>
      <w:r>
        <w:t>[</w:t>
      </w:r>
      <w:r>
        <w:br/>
        <w:t>\boxed{</w:t>
      </w:r>
      <w:r>
        <w:br/>
        <w:t>\operatorname{Stat}</w:t>
      </w:r>
      <w:r>
        <w:br/>
        <w:t>(S_{\boldsymbol\lambda})</w:t>
      </w:r>
    </w:p>
    <w:p w:rsidR="005469D0" w:rsidRDefault="005469D0" w:rsidP="005469D0">
      <w:pPr>
        <w:pStyle w:val="StandardWeb"/>
      </w:pPr>
      <w:r>
        <w:t>\mathrm{Def/Mod}.</w:t>
      </w:r>
      <w:r>
        <w:br/>
        <w:t>}</w:t>
      </w:r>
      <w:r>
        <w:br/>
        <w:t>\tag{3.11308}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\boxed{\operatorname{Stat}(S_{\boldsymbol\lambda})=\mathrm{Def/Mod}.}</w:t>
      </w:r>
    </w:p>
    <w:p w:rsidR="005469D0" w:rsidRDefault="00E50336" w:rsidP="005469D0">
      <w:r>
        <w:pict>
          <v:rect id="_x0000_i3825" style="width:0;height:1.5pt" o:hralign="center" o:hrstd="t" o:hr="t" fillcolor="#a0a0a0" stroked="f"/>
        </w:pict>
      </w:r>
    </w:p>
    <w:p w:rsidR="005469D0" w:rsidRDefault="005469D0" w:rsidP="005469D0">
      <w:pPr>
        <w:pStyle w:val="berschrift1"/>
      </w:pPr>
      <w:r>
        <w:t>3.3.46.310 Status von Isotropie und Anisotropie</w:t>
      </w:r>
    </w:p>
    <w:p w:rsidR="005469D0" w:rsidRDefault="005469D0" w:rsidP="005469D0">
      <w:pPr>
        <w:pStyle w:val="StandardWeb"/>
      </w:pPr>
      <w:r>
        <w:t>Die Bedingungen</w:t>
      </w:r>
    </w:p>
    <w:p w:rsidR="005469D0" w:rsidRDefault="005469D0" w:rsidP="005469D0">
      <w:pPr>
        <w:pStyle w:val="StandardWeb"/>
      </w:pPr>
      <w:r>
        <w:t>[</w:t>
      </w:r>
      <w:r>
        <w:br/>
        <w:t>\lambda_1=\cdots=\lambda_m</w:t>
      </w:r>
      <w:r>
        <w:br/>
        <w:t>\tag{3.11309}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lastRenderedPageBreak/>
        <w:t>\lambda_1=\cdots=\lambda_m</w:t>
      </w:r>
    </w:p>
    <w:p w:rsidR="005469D0" w:rsidRDefault="005469D0" w:rsidP="005469D0">
      <w:pPr>
        <w:pStyle w:val="StandardWeb"/>
      </w:pPr>
      <w:r>
        <w:t>beziehungsweise</w:t>
      </w:r>
    </w:p>
    <w:p w:rsidR="005469D0" w:rsidRDefault="005469D0" w:rsidP="005469D0">
      <w:pPr>
        <w:pStyle w:val="StandardWeb"/>
      </w:pPr>
      <w:r>
        <w:t>[</w:t>
      </w:r>
      <w:r>
        <w:br/>
        <w:t>\exists i\neq j:</w:t>
      </w:r>
      <w:r>
        <w:br/>
        <w:t>\lambda_i\neq\lambda_j</w:t>
      </w:r>
      <w:r>
        <w:br/>
        <w:t>\tag{3.11310}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\exists i\neq j:\lambda_i\neq\lambda_j</w:t>
      </w:r>
    </w:p>
    <w:p w:rsidR="005469D0" w:rsidRDefault="005469D0" w:rsidP="005469D0">
      <w:pPr>
        <w:pStyle w:val="StandardWeb"/>
      </w:pPr>
      <w:r>
        <w:t>klassifizieren eine vorhandene Mehrparameterskalierung.</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(\operatorname{Iso}_{\mathrm{sc}})</w:t>
      </w:r>
    </w:p>
    <w:p w:rsidR="005469D0" w:rsidRDefault="005469D0" w:rsidP="005469D0">
      <w:pPr>
        <w:pStyle w:val="berschrift1"/>
      </w:pPr>
      <w:r>
        <w:t>\operatorname{Stat}</w:t>
      </w:r>
      <w:r>
        <w:br/>
        <w:t>(\operatorname{Aniso}_{\mathrm{sc}})</w:t>
      </w:r>
    </w:p>
    <w:p w:rsidR="005469D0" w:rsidRDefault="005469D0" w:rsidP="005469D0">
      <w:pPr>
        <w:pStyle w:val="StandardWeb"/>
      </w:pPr>
      <w:r>
        <w:t>\mathrm{Def/Mod}.</w:t>
      </w:r>
      <w:r>
        <w:br/>
        <w:t>}</w:t>
      </w:r>
      <w:r>
        <w:br/>
        <w:t>\tag{3.11311}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\boxed{\operatorname{Stat}(\operatorname{Iso}_{\mathrm{sc}})=\operatorname{Stat}(\operatorname{Aniso}_{\mathrm{sc}})=\mathrm{Def/Mod}.}</w:t>
      </w:r>
    </w:p>
    <w:p w:rsidR="005469D0" w:rsidRDefault="00E50336" w:rsidP="005469D0">
      <w:r>
        <w:pict>
          <v:rect id="_x0000_i3826" style="width:0;height:1.5pt" o:hralign="center" o:hrstd="t" o:hr="t" fillcolor="#a0a0a0" stroked="f"/>
        </w:pict>
      </w:r>
    </w:p>
    <w:p w:rsidR="005469D0" w:rsidRDefault="005469D0" w:rsidP="005469D0">
      <w:pPr>
        <w:pStyle w:val="berschrift1"/>
      </w:pPr>
      <w:r>
        <w:t>3.3.46.311 Status der gewichteten Skalierung</w:t>
      </w:r>
    </w:p>
    <w:p w:rsidR="005469D0" w:rsidRDefault="005469D0" w:rsidP="005469D0">
      <w:pPr>
        <w:pStyle w:val="StandardWeb"/>
      </w:pPr>
      <w:r>
        <w:t>Die gewichtete Skalierung</w:t>
      </w:r>
    </w:p>
    <w:p w:rsidR="005469D0" w:rsidRDefault="005469D0" w:rsidP="005469D0">
      <w:pPr>
        <w:pStyle w:val="berschrift1"/>
      </w:pPr>
      <w:r>
        <w:t>[</w:t>
      </w:r>
      <w:r>
        <w:br/>
        <w:t>S_\lambda(X_i)</w:t>
      </w:r>
    </w:p>
    <w:p w:rsidR="005469D0" w:rsidRDefault="005469D0" w:rsidP="005469D0">
      <w:pPr>
        <w:pStyle w:val="StandardWeb"/>
      </w:pPr>
      <w:r>
        <w:lastRenderedPageBreak/>
        <w:t>\lambda^{w_i}X_i</w:t>
      </w:r>
      <w:r>
        <w:br/>
        <w:t>\tag{3.11312}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S_\lambda(X_i)=\lambda^{w_i}X_i</w:t>
      </w:r>
    </w:p>
    <w:p w:rsidR="005469D0" w:rsidRDefault="005469D0" w:rsidP="005469D0">
      <w:pPr>
        <w:pStyle w:val="StandardWeb"/>
      </w:pPr>
      <w:r>
        <w:t>ist eine spezielle Modellform.</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(S_{\lambda,\mathbf w})</w:t>
      </w:r>
    </w:p>
    <w:p w:rsidR="005469D0" w:rsidRDefault="005469D0" w:rsidP="005469D0">
      <w:pPr>
        <w:pStyle w:val="StandardWeb"/>
      </w:pPr>
      <w:r>
        <w:t>\mathrm{Def/Mod}.</w:t>
      </w:r>
      <w:r>
        <w:br/>
        <w:t>}</w:t>
      </w:r>
      <w:r>
        <w:br/>
        <w:t>\tag{3.11313}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\boxed{\operatorname{Stat}(S_{\lambda,\mathbf w})=\mathrm{Def/Mod}.}</w:t>
      </w:r>
    </w:p>
    <w:p w:rsidR="005469D0" w:rsidRDefault="00E50336" w:rsidP="005469D0">
      <w:r>
        <w:pict>
          <v:rect id="_x0000_i3827" style="width:0;height:1.5pt" o:hralign="center" o:hrstd="t" o:hr="t" fillcolor="#a0a0a0" stroked="f"/>
        </w:pict>
      </w:r>
    </w:p>
    <w:p w:rsidR="005469D0" w:rsidRDefault="005469D0" w:rsidP="005469D0">
      <w:pPr>
        <w:pStyle w:val="berschrift1"/>
      </w:pPr>
      <w:r>
        <w:t>3.3.46.312 Status der mehrparametrigen Homogenität</w:t>
      </w:r>
    </w:p>
    <w:p w:rsidR="005469D0" w:rsidRDefault="005469D0" w:rsidP="005469D0">
      <w:pPr>
        <w:pStyle w:val="StandardWeb"/>
      </w:pPr>
      <w:r>
        <w:t>Die Transformationsregel</w:t>
      </w:r>
    </w:p>
    <w:p w:rsidR="005469D0" w:rsidRDefault="005469D0" w:rsidP="005469D0">
      <w:pPr>
        <w:pStyle w:val="berschrift1"/>
      </w:pPr>
      <w:r>
        <w:t>[</w:t>
      </w:r>
      <w:r>
        <w:br/>
        <w:t>Q(S_{\boldsymbol\lambda}X)</w:t>
      </w:r>
    </w:p>
    <w:p w:rsidR="005469D0" w:rsidRDefault="005469D0" w:rsidP="005469D0">
      <w:pPr>
        <w:pStyle w:val="StandardWeb"/>
      </w:pPr>
      <w:r>
        <w:t>\left(</w:t>
      </w:r>
      <w:r>
        <w:br/>
        <w:t>\prod_i\lambda_i^{k_i}</w:t>
      </w:r>
      <w:r>
        <w:br/>
        <w:t>\right)</w:t>
      </w:r>
      <w:r>
        <w:br/>
        <w:t>Q(X)</w:t>
      </w:r>
      <w:r>
        <w:br/>
        <w:t>\tag{3.11314}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Q(S_{\boldsymbol\lambda}X)=\left(\prod_i\lambda_i^{k_i}\right)Q(X)</w:t>
      </w:r>
    </w:p>
    <w:p w:rsidR="005469D0" w:rsidRDefault="005469D0" w:rsidP="005469D0">
      <w:pPr>
        <w:pStyle w:val="StandardWeb"/>
      </w:pPr>
      <w:r>
        <w:t>ist eine definierte Eigenschaft innerhalb eines entsprechenden Skalierungsmodells.</w:t>
      </w:r>
    </w:p>
    <w:p w:rsidR="005469D0" w:rsidRDefault="005469D0" w:rsidP="005469D0">
      <w:pPr>
        <w:pStyle w:val="StandardWeb"/>
      </w:pPr>
      <w:r>
        <w:lastRenderedPageBreak/>
        <w:t>Daher gilt</w:t>
      </w:r>
    </w:p>
    <w:p w:rsidR="005469D0" w:rsidRDefault="005469D0" w:rsidP="005469D0">
      <w:pPr>
        <w:pStyle w:val="berschrift1"/>
      </w:pPr>
      <w:r>
        <w:t>[</w:t>
      </w:r>
      <w:r>
        <w:br/>
        <w:t>\boxed{</w:t>
      </w:r>
      <w:r>
        <w:br/>
        <w:t>\operatorname{Stat}</w:t>
      </w:r>
      <w:r>
        <w:br/>
        <w:t>(\operatorname{Hom}_{\mathbf k})</w:t>
      </w:r>
    </w:p>
    <w:p w:rsidR="005469D0" w:rsidRDefault="005469D0" w:rsidP="005469D0">
      <w:pPr>
        <w:pStyle w:val="StandardWeb"/>
      </w:pPr>
      <w:r>
        <w:t>\mathrm{Def/Mod}.</w:t>
      </w:r>
      <w:r>
        <w:br/>
        <w:t>}</w:t>
      </w:r>
      <w:r>
        <w:br/>
        <w:t>\tag{3.11315}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\boxed{\operatorname{Stat}(\operatorname{Hom}_{\mathbf k})=\mathrm{Def/Mod}.}</w:t>
      </w:r>
    </w:p>
    <w:p w:rsidR="005469D0" w:rsidRDefault="00E50336" w:rsidP="005469D0">
      <w:r>
        <w:pict>
          <v:rect id="_x0000_i3828" style="width:0;height:1.5pt" o:hralign="center" o:hrstd="t" o:hr="t" fillcolor="#a0a0a0" stroked="f"/>
        </w:pict>
      </w:r>
    </w:p>
    <w:p w:rsidR="005469D0" w:rsidRDefault="005469D0" w:rsidP="005469D0">
      <w:pPr>
        <w:pStyle w:val="berschrift1"/>
      </w:pPr>
      <w:r>
        <w:t>3.3.46.313 Status skalierungskovarianter Operatoren</w:t>
      </w:r>
    </w:p>
    <w:p w:rsidR="005469D0" w:rsidRDefault="005469D0" w:rsidP="005469D0">
      <w:pPr>
        <w:pStyle w:val="StandardWeb"/>
      </w:pPr>
      <w:r>
        <w:t>Die Beziehung</w:t>
      </w:r>
    </w:p>
    <w:p w:rsidR="005469D0" w:rsidRDefault="005469D0" w:rsidP="005469D0">
      <w:pPr>
        <w:pStyle w:val="berschrift1"/>
      </w:pPr>
      <w:r>
        <w:t>[</w:t>
      </w:r>
      <w:r>
        <w:br/>
        <w:t>\mathcal O S_\lambda</w:t>
      </w:r>
    </w:p>
    <w:p w:rsidR="005469D0" w:rsidRDefault="005469D0" w:rsidP="005469D0">
      <w:pPr>
        <w:pStyle w:val="StandardWeb"/>
      </w:pPr>
      <w:r>
        <w:t>\lambda^\kappa</w:t>
      </w:r>
      <w:r>
        <w:br/>
        <w:t>S_\lambda\mathcal O</w:t>
      </w:r>
      <w:r>
        <w:br/>
        <w:t>\tag{3.11316}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\mathcal O S_\lambda=\lambda^\kappa S_\lambda\mathcal O</w:t>
      </w:r>
    </w:p>
    <w:p w:rsidR="005469D0" w:rsidRDefault="005469D0" w:rsidP="005469D0">
      <w:pPr>
        <w:pStyle w:val="StandardWeb"/>
      </w:pPr>
      <w:r>
        <w:t>definiert eine Transformationsklasse funktionaler Operatoren.</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(\operatorname{Cov}_{\mathrm{sc}}\mathcal O)</w:t>
      </w:r>
    </w:p>
    <w:p w:rsidR="005469D0" w:rsidRDefault="005469D0" w:rsidP="005469D0">
      <w:pPr>
        <w:pStyle w:val="StandardWeb"/>
      </w:pPr>
      <w:r>
        <w:lastRenderedPageBreak/>
        <w:t>\mathrm{Def/Mod}.</w:t>
      </w:r>
      <w:r>
        <w:br/>
        <w:t>}</w:t>
      </w:r>
      <w:r>
        <w:br/>
        <w:t>\tag{3.11317}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\boxed{\operatorname{Stat}(\operatorname{Cov}_{\mathrm{sc}}\mathcal O)=\mathrm{Def/Mod}.}</w:t>
      </w:r>
    </w:p>
    <w:p w:rsidR="005469D0" w:rsidRDefault="00E50336" w:rsidP="005469D0">
      <w:r>
        <w:pict>
          <v:rect id="_x0000_i3829" style="width:0;height:1.5pt" o:hralign="center" o:hrstd="t" o:hr="t" fillcolor="#a0a0a0" stroked="f"/>
        </w:pict>
      </w:r>
    </w:p>
    <w:p w:rsidR="005469D0" w:rsidRDefault="005469D0" w:rsidP="005469D0">
      <w:pPr>
        <w:pStyle w:val="berschrift1"/>
      </w:pPr>
      <w:r>
        <w:t>3.3.46.314 Status des Operator-Skalierungsgewichts</w:t>
      </w:r>
    </w:p>
    <w:p w:rsidR="005469D0" w:rsidRDefault="005469D0" w:rsidP="005469D0">
      <w:pPr>
        <w:pStyle w:val="StandardWeb"/>
      </w:pPr>
      <w:r>
        <w:t>Das Operatorgewicht</w:t>
      </w:r>
    </w:p>
    <w:p w:rsidR="005469D0" w:rsidRDefault="005469D0" w:rsidP="005469D0">
      <w:pPr>
        <w:pStyle w:val="berschrift1"/>
      </w:pPr>
      <w:r>
        <w:t>[</w:t>
      </w:r>
      <w:r>
        <w:br/>
        <w:t>w_{\mathrm{sc}}(\mathcal O)</w:t>
      </w:r>
    </w:p>
    <w:p w:rsidR="005469D0" w:rsidRDefault="005469D0" w:rsidP="005469D0">
      <w:pPr>
        <w:pStyle w:val="StandardWeb"/>
      </w:pPr>
      <w:r>
        <w:t>\kappa</w:t>
      </w:r>
      <w:r>
        <w:br/>
        <w:t>\tag{3.11318}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w_{\mathrm{sc}}(\mathcal O)=\kappa</w:t>
      </w:r>
    </w:p>
    <w:p w:rsidR="005469D0" w:rsidRDefault="005469D0" w:rsidP="005469D0">
      <w:pPr>
        <w:pStyle w:val="StandardWeb"/>
      </w:pPr>
      <w:r>
        <w:t>ist definitorisch aus der Kovarianzrelation gewonnen und kann operationalisiert werden.</w:t>
      </w:r>
    </w:p>
    <w:p w:rsidR="005469D0" w:rsidRDefault="005469D0" w:rsidP="005469D0">
      <w:pPr>
        <w:pStyle w:val="berschrift1"/>
      </w:pPr>
      <w:r>
        <w:t>[</w:t>
      </w:r>
      <w:r>
        <w:br/>
        <w:t>\boxed{</w:t>
      </w:r>
      <w:r>
        <w:br/>
        <w:t>\operatorname{Stat}</w:t>
      </w:r>
      <w:r>
        <w:br/>
        <w:t>(w_{\mathrm{sc}}(\mathcal O))</w:t>
      </w:r>
    </w:p>
    <w:p w:rsidR="005469D0" w:rsidRDefault="005469D0" w:rsidP="005469D0">
      <w:pPr>
        <w:pStyle w:val="StandardWeb"/>
      </w:pPr>
      <w:r>
        <w:t>\mathrm{Def/Op}.</w:t>
      </w:r>
      <w:r>
        <w:br/>
        <w:t>}</w:t>
      </w:r>
      <w:r>
        <w:br/>
        <w:t>\tag{3.11319}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\boxed{\operatorname{Stat}(w_{\mathrm{sc}}(\mathcal O))=\mathrm{Def/Op}.}</w:t>
      </w:r>
    </w:p>
    <w:p w:rsidR="005469D0" w:rsidRDefault="00E50336" w:rsidP="005469D0">
      <w:r>
        <w:pict>
          <v:rect id="_x0000_i3830" style="width:0;height:1.5pt" o:hralign="center" o:hrstd="t" o:hr="t" fillcolor="#a0a0a0" stroked="f"/>
        </w:pict>
      </w:r>
    </w:p>
    <w:p w:rsidR="005469D0" w:rsidRDefault="005469D0" w:rsidP="005469D0">
      <w:pPr>
        <w:pStyle w:val="berschrift1"/>
      </w:pPr>
      <w:r>
        <w:t>3.3.46.315 Status der Gewichtsaddition von Operatoren</w:t>
      </w:r>
    </w:p>
    <w:p w:rsidR="005469D0" w:rsidRDefault="005469D0" w:rsidP="005469D0">
      <w:pPr>
        <w:pStyle w:val="StandardWeb"/>
      </w:pPr>
      <w:r>
        <w:lastRenderedPageBreak/>
        <w:t>Die Beziehung</w:t>
      </w:r>
    </w:p>
    <w:p w:rsidR="005469D0" w:rsidRDefault="005469D0" w:rsidP="005469D0">
      <w:pPr>
        <w:pStyle w:val="berschrift1"/>
      </w:pPr>
      <w:r>
        <w:t>[</w:t>
      </w:r>
      <w:r>
        <w:br/>
        <w:t>w_{\mathrm{sc}}</w:t>
      </w:r>
      <w:r>
        <w:br/>
        <w:t>(\mathcal O_1\circ\mathcal O_2)</w:t>
      </w:r>
    </w:p>
    <w:p w:rsidR="005469D0" w:rsidRDefault="005469D0" w:rsidP="005469D0">
      <w:pPr>
        <w:pStyle w:val="StandardWeb"/>
      </w:pPr>
      <w:r>
        <w:t>w_{\mathrm{sc}}(\mathcal O_1)</w:t>
      </w:r>
      <w:r>
        <w:br/>
        <w:t>+</w:t>
      </w:r>
      <w:r>
        <w:br/>
        <w:t>w_{\mathrm{sc}}(\mathcal O_2)</w:t>
      </w:r>
      <w:r>
        <w:br/>
        <w:t>\tag{3.11320}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w_{\mathrm{sc}}(\mathcal O_1\circ\mathcal O_2)=w_{\mathrm{sc}}(\mathcal O_1)+w_{\mathrm{sc}}(\mathcal O_2)</w:t>
      </w:r>
    </w:p>
    <w:p w:rsidR="005469D0" w:rsidRDefault="005469D0" w:rsidP="005469D0">
      <w:pPr>
        <w:pStyle w:val="StandardWeb"/>
      </w:pPr>
      <w:r>
        <w:t>wurde mathematisch hergeleitet.</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(\text{Operatorgewichtsaddition})</w:t>
      </w:r>
    </w:p>
    <w:p w:rsidR="005469D0" w:rsidRDefault="005469D0" w:rsidP="005469D0">
      <w:pPr>
        <w:pStyle w:val="StandardWeb"/>
      </w:pPr>
      <w:r>
        <w:t>\mathrm{Der}.</w:t>
      </w:r>
      <w:r>
        <w:br/>
        <w:t>}</w:t>
      </w:r>
      <w:r>
        <w:br/>
        <w:t>\tag{3.11321}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\boxed{\operatorname{Stat}(\text{Operatorgewichtsaddition})=\mathrm{Der}.}</w:t>
      </w:r>
    </w:p>
    <w:p w:rsidR="005469D0" w:rsidRDefault="00E50336" w:rsidP="005469D0">
      <w:r>
        <w:pict>
          <v:rect id="_x0000_i3831" style="width:0;height:1.5pt" o:hralign="center" o:hrstd="t" o:hr="t" fillcolor="#a0a0a0" stroked="f"/>
        </w:pict>
      </w:r>
    </w:p>
    <w:p w:rsidR="005469D0" w:rsidRDefault="005469D0" w:rsidP="005469D0">
      <w:pPr>
        <w:pStyle w:val="berschrift1"/>
      </w:pPr>
      <w:r>
        <w:t>3.3.46.316 Status der skalenabhängigen Operatorfamilie</w:t>
      </w:r>
    </w:p>
    <w:p w:rsidR="005469D0" w:rsidRDefault="005469D0" w:rsidP="005469D0">
      <w:pPr>
        <w:pStyle w:val="StandardWeb"/>
      </w:pPr>
      <w:r>
        <w:t>Eine Familie</w:t>
      </w:r>
    </w:p>
    <w:p w:rsidR="005469D0" w:rsidRDefault="005469D0" w:rsidP="005469D0">
      <w:pPr>
        <w:pStyle w:val="StandardWeb"/>
      </w:pPr>
      <w:r>
        <w:t>[</w:t>
      </w:r>
      <w:r>
        <w:br/>
        <w:t>{\mathcal O_\lambda}_{\lambda\in\Lambda}</w:t>
      </w:r>
      <w:r>
        <w:br/>
        <w:t>\tag{3.11322}</w:t>
      </w:r>
      <w:r>
        <w:br/>
        <w:t>]</w:t>
      </w:r>
    </w:p>
    <w:p w:rsidR="005469D0" w:rsidRDefault="005469D0" w:rsidP="005469D0">
      <w:pPr>
        <w:pStyle w:val="StandardWeb"/>
      </w:pPr>
      <w:r>
        <w:rPr>
          <w:rStyle w:val="Fett"/>
        </w:rPr>
        <w:lastRenderedPageBreak/>
        <w:t>Word-LaTeX</w:t>
      </w:r>
    </w:p>
    <w:p w:rsidR="005469D0" w:rsidRDefault="005469D0" w:rsidP="005469D0">
      <w:pPr>
        <w:pStyle w:val="HTMLVorformatiert"/>
        <w:rPr>
          <w:rStyle w:val="HTMLCode"/>
        </w:rPr>
      </w:pPr>
      <w:r>
        <w:rPr>
          <w:rStyle w:val="HTMLCode"/>
        </w:rPr>
        <w:t>\{\mathcal O_\lambda\}_{\lambda\in\Lambda}</w:t>
      </w:r>
    </w:p>
    <w:p w:rsidR="005469D0" w:rsidRDefault="005469D0" w:rsidP="005469D0">
      <w:pPr>
        <w:pStyle w:val="StandardWeb"/>
      </w:pPr>
      <w:r>
        <w:t>ist eine definitorische Erweiterung, deren Existenz von der jeweiligen Modellklasse abhängt.</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(\mathcal O_\lambda)</w:t>
      </w:r>
    </w:p>
    <w:p w:rsidR="005469D0" w:rsidRDefault="005469D0" w:rsidP="005469D0">
      <w:pPr>
        <w:pStyle w:val="StandardWeb"/>
      </w:pPr>
      <w:r>
        <w:t>\mathrm{Def/Mod}.</w:t>
      </w:r>
      <w:r>
        <w:br/>
        <w:t>}</w:t>
      </w:r>
      <w:r>
        <w:br/>
        <w:t>\tag{3.11323}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\boxed{\operatorname{Stat}(\mathcal O_\lambda)=\mathrm{Def/Mod}.}</w:t>
      </w:r>
    </w:p>
    <w:p w:rsidR="005469D0" w:rsidRDefault="00E50336" w:rsidP="005469D0">
      <w:r>
        <w:pict>
          <v:rect id="_x0000_i3832" style="width:0;height:1.5pt" o:hralign="center" o:hrstd="t" o:hr="t" fillcolor="#a0a0a0" stroked="f"/>
        </w:pict>
      </w:r>
    </w:p>
    <w:p w:rsidR="005469D0" w:rsidRDefault="005469D0" w:rsidP="005469D0">
      <w:pPr>
        <w:pStyle w:val="berschrift1"/>
      </w:pPr>
      <w:r>
        <w:t>3.3.46.317 Status der funktionalen Normalisierung</w:t>
      </w:r>
    </w:p>
    <w:p w:rsidR="005469D0" w:rsidRDefault="005469D0" w:rsidP="005469D0">
      <w:pPr>
        <w:pStyle w:val="StandardWeb"/>
      </w:pPr>
      <w:r>
        <w:t>Die Normalisierung</w:t>
      </w:r>
    </w:p>
    <w:p w:rsidR="005469D0" w:rsidRDefault="005469D0" w:rsidP="005469D0">
      <w:pPr>
        <w:pStyle w:val="StandardWeb"/>
      </w:pPr>
      <w:r>
        <w:t>[</w:t>
      </w:r>
      <w:r>
        <w:br/>
        <w:t>\mathcal N:</w:t>
      </w:r>
      <w:r>
        <w:br/>
        <w:t>\mathcal X_F^\ast</w:t>
      </w:r>
      <w:r>
        <w:br/>
        <w:t>\rightarrow</w:t>
      </w:r>
      <w:r>
        <w:br/>
        <w:t>\mathcal X_F</w:t>
      </w:r>
      <w:r>
        <w:br/>
        <w:t>\tag{3.11324}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\mathcal N:\mathcal X_F^\ast\rightarrow\mathcal X_F</w:t>
      </w:r>
    </w:p>
    <w:p w:rsidR="005469D0" w:rsidRDefault="005469D0" w:rsidP="005469D0">
      <w:pPr>
        <w:pStyle w:val="StandardWeb"/>
      </w:pPr>
      <w:r>
        <w:t>ist eine definierbare Transformation, setzt jedoch ein Normalisierungsfunktional oder eine äquivalente Referenzbedingung voraus.</w:t>
      </w:r>
    </w:p>
    <w:p w:rsidR="005469D0" w:rsidRDefault="005469D0" w:rsidP="005469D0">
      <w:pPr>
        <w:pStyle w:val="StandardWeb"/>
      </w:pPr>
      <w:r>
        <w:t>Sie kann zugleich als Daten- oder Modelloperation verwendet werden.</w:t>
      </w:r>
    </w:p>
    <w:p w:rsidR="005469D0" w:rsidRDefault="005469D0" w:rsidP="005469D0">
      <w:pPr>
        <w:pStyle w:val="StandardWeb"/>
      </w:pPr>
      <w:r>
        <w:t>Damit gilt</w:t>
      </w:r>
    </w:p>
    <w:p w:rsidR="005469D0" w:rsidRDefault="005469D0" w:rsidP="005469D0">
      <w:pPr>
        <w:pStyle w:val="berschrift1"/>
      </w:pPr>
      <w:r>
        <w:lastRenderedPageBreak/>
        <w:t>[</w:t>
      </w:r>
      <w:r>
        <w:br/>
        <w:t>\boxed{</w:t>
      </w:r>
      <w:r>
        <w:br/>
        <w:t>\operatorname{Stat}(\mathcal N)</w:t>
      </w:r>
    </w:p>
    <w:p w:rsidR="005469D0" w:rsidRDefault="005469D0" w:rsidP="005469D0">
      <w:pPr>
        <w:pStyle w:val="StandardWeb"/>
      </w:pPr>
      <w:r>
        <w:t>\mathrm{Def/Op/Mod}.</w:t>
      </w:r>
      <w:r>
        <w:br/>
        <w:t>}</w:t>
      </w:r>
      <w:r>
        <w:br/>
        <w:t>\tag{3.11325}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\boxed{\operatorname{Stat}(\mathcal N)=\mathrm{Def/Op/Mod}.}</w:t>
      </w:r>
    </w:p>
    <w:p w:rsidR="005469D0" w:rsidRDefault="00E50336" w:rsidP="005469D0">
      <w:r>
        <w:pict>
          <v:rect id="_x0000_i3833" style="width:0;height:1.5pt" o:hralign="center" o:hrstd="t" o:hr="t" fillcolor="#a0a0a0" stroked="f"/>
        </w:pict>
      </w:r>
    </w:p>
    <w:p w:rsidR="005469D0" w:rsidRDefault="005469D0" w:rsidP="005469D0">
      <w:pPr>
        <w:pStyle w:val="berschrift1"/>
      </w:pPr>
      <w:r>
        <w:t>3.3.46.318 Status der Normierungsfläche</w:t>
      </w:r>
    </w:p>
    <w:p w:rsidR="005469D0" w:rsidRDefault="005469D0" w:rsidP="005469D0">
      <w:pPr>
        <w:pStyle w:val="StandardWeb"/>
      </w:pPr>
      <w:r>
        <w:t>Die Menge</w:t>
      </w:r>
    </w:p>
    <w:p w:rsidR="005469D0" w:rsidRDefault="005469D0" w:rsidP="005469D0">
      <w:pPr>
        <w:pStyle w:val="berschrift1"/>
      </w:pPr>
      <w:r>
        <w:t>[</w:t>
      </w:r>
      <w:r>
        <w:br/>
        <w:t>\Sigma_N</w:t>
      </w:r>
    </w:p>
    <w:p w:rsidR="005469D0" w:rsidRDefault="005469D0" w:rsidP="005469D0">
      <w:pPr>
        <w:pStyle w:val="StandardWeb"/>
      </w:pPr>
      <w:r>
        <w:t>{X:N(X)=1}</w:t>
      </w:r>
      <w:r>
        <w:br/>
        <w:t>\tag{3.11326}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\Sigma_N=\{X:N(X)=1\}</w:t>
      </w:r>
    </w:p>
    <w:p w:rsidR="005469D0" w:rsidRDefault="005469D0" w:rsidP="005469D0">
      <w:pPr>
        <w:pStyle w:val="StandardWeb"/>
      </w:pPr>
      <w:r>
        <w:t>folgt unmittelbar aus der Wahl des Normalisierungsfunktionals.</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(\Sigma_N)</w:t>
      </w:r>
    </w:p>
    <w:p w:rsidR="005469D0" w:rsidRDefault="005469D0" w:rsidP="005469D0">
      <w:pPr>
        <w:pStyle w:val="StandardWeb"/>
      </w:pPr>
      <w:r>
        <w:t>\mathrm{Def}.</w:t>
      </w:r>
      <w:r>
        <w:br/>
        <w:t>}</w:t>
      </w:r>
      <w:r>
        <w:br/>
        <w:t>\tag{3.11327}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lastRenderedPageBreak/>
        <w:t>\boxed{\operatorname{Stat}(\Sigma_N)=\mathrm{Def}.}</w:t>
      </w:r>
    </w:p>
    <w:p w:rsidR="005469D0" w:rsidRDefault="00E50336" w:rsidP="005469D0">
      <w:r>
        <w:pict>
          <v:rect id="_x0000_i3834" style="width:0;height:1.5pt" o:hralign="center" o:hrstd="t" o:hr="t" fillcolor="#a0a0a0" stroked="f"/>
        </w:pict>
      </w:r>
    </w:p>
    <w:p w:rsidR="005469D0" w:rsidRDefault="005469D0" w:rsidP="005469D0">
      <w:pPr>
        <w:pStyle w:val="berschrift1"/>
      </w:pPr>
      <w:r>
        <w:t>3.3.46.319 Status der eindeutigen Normalisierbarkeit</w:t>
      </w:r>
    </w:p>
    <w:p w:rsidR="005469D0" w:rsidRDefault="005469D0" w:rsidP="005469D0">
      <w:pPr>
        <w:pStyle w:val="StandardWeb"/>
      </w:pPr>
      <w:r>
        <w:t>Die Bedingung</w:t>
      </w:r>
    </w:p>
    <w:p w:rsidR="005469D0" w:rsidRDefault="005469D0" w:rsidP="005469D0">
      <w:pPr>
        <w:pStyle w:val="berschrift1"/>
      </w:pPr>
      <w:r>
        <w:t>[</w:t>
      </w:r>
      <w:r>
        <w:br/>
        <w:t>\left|</w:t>
      </w:r>
      <w:r>
        <w:br/>
        <w:t>\mathcal O_{\mathrm{sc}}(X)</w:t>
      </w:r>
      <w:r>
        <w:br/>
        <w:t>\cap</w:t>
      </w:r>
      <w:r>
        <w:br/>
        <w:t>\Sigma_N</w:t>
      </w:r>
      <w:r>
        <w:br/>
        <w:t>\right|</w:t>
      </w:r>
    </w:p>
    <w:p w:rsidR="005469D0" w:rsidRDefault="005469D0" w:rsidP="005469D0">
      <w:pPr>
        <w:pStyle w:val="StandardWeb"/>
      </w:pPr>
      <w:r>
        <w:t>1</w:t>
      </w:r>
      <w:r>
        <w:br/>
        <w:t>\tag{3.11328}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\left|\mathcal O_{\mathrm{sc}}(X)\cap\Sigma_N\right|=1</w:t>
      </w:r>
    </w:p>
    <w:p w:rsidR="005469D0" w:rsidRDefault="005469D0" w:rsidP="005469D0">
      <w:pPr>
        <w:pStyle w:val="StandardWeb"/>
      </w:pPr>
      <w:r>
        <w:t>ist eine definierte Eigenschaft des betrachteten Orbits.</w:t>
      </w:r>
    </w:p>
    <w:p w:rsidR="005469D0" w:rsidRDefault="005469D0" w:rsidP="005469D0">
      <w:pPr>
        <w:pStyle w:val="StandardWeb"/>
      </w:pPr>
      <w:r>
        <w:t>Ihre tatsächliche Erfüllung ist modellabhängig.</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(\operatorname{UniNorm})</w:t>
      </w:r>
    </w:p>
    <w:p w:rsidR="005469D0" w:rsidRDefault="005469D0" w:rsidP="005469D0">
      <w:pPr>
        <w:pStyle w:val="StandardWeb"/>
      </w:pPr>
      <w:r>
        <w:t>\mathrm{Def/Mod}.</w:t>
      </w:r>
      <w:r>
        <w:br/>
        <w:t>}</w:t>
      </w:r>
      <w:r>
        <w:br/>
        <w:t>\tag{3.11329}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\boxed{\operatorname{Stat}(\operatorname{UniNorm})=\mathrm{Def/Mod}.}</w:t>
      </w:r>
    </w:p>
    <w:p w:rsidR="005469D0" w:rsidRDefault="00E50336" w:rsidP="005469D0">
      <w:r>
        <w:pict>
          <v:rect id="_x0000_i3835" style="width:0;height:1.5pt" o:hralign="center" o:hrstd="t" o:hr="t" fillcolor="#a0a0a0" stroked="f"/>
        </w:pict>
      </w:r>
    </w:p>
    <w:p w:rsidR="005469D0" w:rsidRDefault="005469D0" w:rsidP="005469D0">
      <w:pPr>
        <w:pStyle w:val="berschrift1"/>
      </w:pPr>
      <w:r>
        <w:lastRenderedPageBreak/>
        <w:t>3.3.46.320 Status der funktionalen Renormierung</w:t>
      </w:r>
    </w:p>
    <w:p w:rsidR="005469D0" w:rsidRDefault="005469D0" w:rsidP="005469D0">
      <w:pPr>
        <w:pStyle w:val="StandardWeb"/>
      </w:pPr>
      <w:r>
        <w:t>Die Transformation</w:t>
      </w:r>
    </w:p>
    <w:p w:rsidR="005469D0" w:rsidRDefault="005469D0" w:rsidP="005469D0">
      <w:pPr>
        <w:pStyle w:val="StandardWeb"/>
      </w:pPr>
      <w:r>
        <w:t>[</w:t>
      </w:r>
      <w:r>
        <w:br/>
        <w:t>\mathcal R_{\mu\rightarrow\nu}</w:t>
      </w:r>
      <w:r>
        <w:br/>
        <w:t>:</w:t>
      </w:r>
      <w:r>
        <w:br/>
        <w:t>\mathcal X_\mu</w:t>
      </w:r>
      <w:r>
        <w:br/>
        <w:t>\rightarrow</w:t>
      </w:r>
      <w:r>
        <w:br/>
        <w:t>\mathcal X_\nu</w:t>
      </w:r>
      <w:r>
        <w:br/>
        <w:t>\tag{3.11330}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\mathcal R_{\mu\rightarrow\nu}:\mathcal X_\mu\rightarrow\mathcal X_\nu</w:t>
      </w:r>
    </w:p>
    <w:p w:rsidR="005469D0" w:rsidRDefault="005469D0" w:rsidP="005469D0">
      <w:pPr>
        <w:pStyle w:val="StandardWeb"/>
      </w:pPr>
      <w:r>
        <w:t>wurde ausdrücklich als mathematisch-modelltheoretische Referenzskalentransformation eingeführt.</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(\mathcal R_{\mu\rightarrow\nu})</w:t>
      </w:r>
    </w:p>
    <w:p w:rsidR="005469D0" w:rsidRDefault="005469D0" w:rsidP="005469D0">
      <w:pPr>
        <w:pStyle w:val="StandardWeb"/>
      </w:pPr>
      <w:r>
        <w:t>\mathrm{Def/Mod}.</w:t>
      </w:r>
      <w:r>
        <w:br/>
        <w:t>}</w:t>
      </w:r>
      <w:r>
        <w:br/>
        <w:t>\tag{3.11331}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\boxed{\operatorname{Stat}(\mathcal R_{\mu\rightarrow\nu})=\mathrm{Def/Mod}.}</w:t>
      </w:r>
    </w:p>
    <w:p w:rsidR="005469D0" w:rsidRDefault="00E50336" w:rsidP="005469D0">
      <w:r>
        <w:pict>
          <v:rect id="_x0000_i3836" style="width:0;height:1.5pt" o:hralign="center" o:hrstd="t" o:hr="t" fillcolor="#a0a0a0" stroked="f"/>
        </w:pict>
      </w:r>
    </w:p>
    <w:p w:rsidR="005469D0" w:rsidRDefault="005469D0" w:rsidP="005469D0">
      <w:pPr>
        <w:pStyle w:val="berschrift1"/>
      </w:pPr>
      <w:r>
        <w:t>3.3.46.321 Status der Kompositionskonsistenz der Renormierung</w:t>
      </w:r>
    </w:p>
    <w:p w:rsidR="005469D0" w:rsidRDefault="005469D0" w:rsidP="005469D0">
      <w:pPr>
        <w:pStyle w:val="StandardWeb"/>
      </w:pPr>
      <w:r>
        <w:t>Die Bedingungen</w:t>
      </w:r>
    </w:p>
    <w:p w:rsidR="005469D0" w:rsidRDefault="005469D0" w:rsidP="005469D0">
      <w:pPr>
        <w:pStyle w:val="berschrift1"/>
      </w:pPr>
      <w:r>
        <w:t>[</w:t>
      </w:r>
      <w:r>
        <w:br/>
        <w:t>\mathcal R_{\mu\rightarrow\mu}</w:t>
      </w:r>
    </w:p>
    <w:p w:rsidR="005469D0" w:rsidRDefault="005469D0" w:rsidP="005469D0">
      <w:pPr>
        <w:pStyle w:val="StandardWeb"/>
      </w:pPr>
      <w:r>
        <w:lastRenderedPageBreak/>
        <w:t>\operatorname{id}</w:t>
      </w:r>
      <w:r>
        <w:br/>
        <w:t>\tag{3.11332}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\mathcal R_{\mu\rightarrow\mu}=\operatorname{id}</w:t>
      </w:r>
    </w:p>
    <w:p w:rsidR="005469D0" w:rsidRDefault="005469D0" w:rsidP="005469D0">
      <w:pPr>
        <w:pStyle w:val="StandardWeb"/>
      </w:pPr>
      <w:r>
        <w:t>und</w:t>
      </w:r>
    </w:p>
    <w:p w:rsidR="005469D0" w:rsidRDefault="005469D0" w:rsidP="005469D0">
      <w:pPr>
        <w:pStyle w:val="berschrift1"/>
      </w:pPr>
      <w:r>
        <w:t>[</w:t>
      </w:r>
      <w:r>
        <w:br/>
        <w:t>\mathcal R_{\nu\rightarrow\rho}</w:t>
      </w:r>
      <w:r>
        <w:br/>
        <w:t>\circ</w:t>
      </w:r>
      <w:r>
        <w:br/>
        <w:t>\mathcal R_{\mu\rightarrow\nu}</w:t>
      </w:r>
    </w:p>
    <w:p w:rsidR="005469D0" w:rsidRDefault="005469D0" w:rsidP="005469D0">
      <w:pPr>
        <w:pStyle w:val="StandardWeb"/>
      </w:pPr>
      <w:r>
        <w:t>\mathcal R_{\mu\rightarrow\rho}</w:t>
      </w:r>
      <w:r>
        <w:br/>
        <w:t>\tag{3.11333}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\mathcal R_{\nu\rightarrow\rho}\circ\mathcal R_{\mu\rightarrow\nu}=\mathcal R_{\mu\rightarrow\rho}</w:t>
      </w:r>
    </w:p>
    <w:p w:rsidR="005469D0" w:rsidRDefault="005469D0" w:rsidP="005469D0">
      <w:pPr>
        <w:pStyle w:val="StandardWeb"/>
      </w:pPr>
      <w:r>
        <w:t>sind definierte Konsistenzbedingungen.</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(\operatorname{Comp}\mathcal R)</w:t>
      </w:r>
    </w:p>
    <w:p w:rsidR="005469D0" w:rsidRDefault="005469D0" w:rsidP="005469D0">
      <w:pPr>
        <w:pStyle w:val="StandardWeb"/>
      </w:pPr>
      <w:r>
        <w:t>\mathrm{Def/Mod}.</w:t>
      </w:r>
      <w:r>
        <w:br/>
        <w:t>}</w:t>
      </w:r>
      <w:r>
        <w:br/>
        <w:t>\tag{3.11334}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\boxed{\operatorname{Stat}(\operatorname{Comp}\mathcal R)=\mathrm{Def/Mod}.}</w:t>
      </w:r>
    </w:p>
    <w:p w:rsidR="005469D0" w:rsidRDefault="00E50336" w:rsidP="005469D0">
      <w:r>
        <w:pict>
          <v:rect id="_x0000_i3837" style="width:0;height:1.5pt" o:hralign="center" o:hrstd="t" o:hr="t" fillcolor="#a0a0a0" stroked="f"/>
        </w:pict>
      </w:r>
    </w:p>
    <w:p w:rsidR="005469D0" w:rsidRDefault="005469D0" w:rsidP="005469D0">
      <w:pPr>
        <w:pStyle w:val="berschrift1"/>
      </w:pPr>
      <w:r>
        <w:t>3.3.46.322 Status der Renormierungsinvarianz</w:t>
      </w:r>
    </w:p>
    <w:p w:rsidR="005469D0" w:rsidRDefault="005469D0" w:rsidP="005469D0">
      <w:pPr>
        <w:pStyle w:val="StandardWeb"/>
      </w:pPr>
      <w:r>
        <w:lastRenderedPageBreak/>
        <w:t>Die Bedingung</w:t>
      </w:r>
    </w:p>
    <w:p w:rsidR="005469D0" w:rsidRDefault="005469D0" w:rsidP="005469D0">
      <w:pPr>
        <w:pStyle w:val="berschrift1"/>
      </w:pPr>
      <w:r>
        <w:t>[</w:t>
      </w:r>
      <w:r>
        <w:br/>
        <w:t>Q_\nu</w:t>
      </w:r>
      <w:r>
        <w:br/>
        <w:t>(\mathcal R_{\mu\rightarrow\nu}X)</w:t>
      </w:r>
    </w:p>
    <w:p w:rsidR="005469D0" w:rsidRDefault="005469D0" w:rsidP="005469D0">
      <w:pPr>
        <w:pStyle w:val="StandardWeb"/>
      </w:pPr>
      <w:r>
        <w:t>Q_\mu(X)</w:t>
      </w:r>
      <w:r>
        <w:br/>
        <w:t>\tag{3.11335}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Q_\nu(\mathcal R_{\mu\rightarrow\nu}X)=Q_\mu(X)</w:t>
      </w:r>
    </w:p>
    <w:p w:rsidR="005469D0" w:rsidRDefault="005469D0" w:rsidP="005469D0">
      <w:pPr>
        <w:pStyle w:val="StandardWeb"/>
      </w:pPr>
      <w:r>
        <w:t>definiert eine Referenzskaleninvarianz.</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(\operatorname{Inv}_{\mathcal R})</w:t>
      </w:r>
    </w:p>
    <w:p w:rsidR="005469D0" w:rsidRDefault="005469D0" w:rsidP="005469D0">
      <w:pPr>
        <w:pStyle w:val="StandardWeb"/>
      </w:pPr>
      <w:r>
        <w:t>\mathrm{Def/Mod}.</w:t>
      </w:r>
      <w:r>
        <w:br/>
        <w:t>}</w:t>
      </w:r>
      <w:r>
        <w:br/>
        <w:t>\tag{3.11336}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\boxed{\operatorname{Stat}(\operatorname{Inv}_{\mathcal R})=\mathrm{Def/Mod}.}</w:t>
      </w:r>
    </w:p>
    <w:p w:rsidR="005469D0" w:rsidRDefault="00E50336" w:rsidP="005469D0">
      <w:r>
        <w:pict>
          <v:rect id="_x0000_i3838" style="width:0;height:1.5pt" o:hralign="center" o:hrstd="t" o:hr="t" fillcolor="#a0a0a0" stroked="f"/>
        </w:pict>
      </w:r>
    </w:p>
    <w:p w:rsidR="005469D0" w:rsidRDefault="005469D0" w:rsidP="005469D0">
      <w:pPr>
        <w:pStyle w:val="berschrift1"/>
      </w:pPr>
      <w:r>
        <w:t>3.3.46.323 Status der Skalenabweichung</w:t>
      </w:r>
    </w:p>
    <w:p w:rsidR="005469D0" w:rsidRDefault="005469D0" w:rsidP="005469D0">
      <w:pPr>
        <w:pStyle w:val="StandardWeb"/>
      </w:pPr>
      <w:r>
        <w:t>Die Größe</w:t>
      </w:r>
    </w:p>
    <w:p w:rsidR="005469D0" w:rsidRDefault="005469D0" w:rsidP="005469D0">
      <w:pPr>
        <w:pStyle w:val="berschrift1"/>
      </w:pPr>
      <w:r>
        <w:t>[</w:t>
      </w:r>
      <w:r>
        <w:br/>
        <w:t>\Delta_{\mathrm{sc}}Q(X;\lambda)</w:t>
      </w:r>
    </w:p>
    <w:p w:rsidR="005469D0" w:rsidRDefault="005469D0" w:rsidP="005469D0">
      <w:pPr>
        <w:pStyle w:val="StandardWeb"/>
      </w:pPr>
      <w:r>
        <w:t>|Q(S_\lambda X)-Q(X)|</w:t>
      </w:r>
      <w:r>
        <w:br/>
        <w:t>\tag{3.11337}</w:t>
      </w:r>
      <w:r>
        <w:br/>
        <w:t>]</w:t>
      </w:r>
    </w:p>
    <w:p w:rsidR="005469D0" w:rsidRDefault="005469D0" w:rsidP="005469D0">
      <w:pPr>
        <w:pStyle w:val="StandardWeb"/>
      </w:pPr>
      <w:r>
        <w:rPr>
          <w:rStyle w:val="Fett"/>
        </w:rPr>
        <w:lastRenderedPageBreak/>
        <w:t>Word-LaTeX</w:t>
      </w:r>
    </w:p>
    <w:p w:rsidR="005469D0" w:rsidRDefault="005469D0" w:rsidP="005469D0">
      <w:pPr>
        <w:pStyle w:val="HTMLVorformatiert"/>
        <w:rPr>
          <w:rStyle w:val="HTMLCode"/>
        </w:rPr>
      </w:pPr>
      <w:r>
        <w:rPr>
          <w:rStyle w:val="HTMLCode"/>
        </w:rPr>
        <w:t>\Delta_{\mathrm{sc}}Q(X;\lambda)=|Q(S_\lambda X)-Q(X)|</w:t>
      </w:r>
    </w:p>
    <w:p w:rsidR="005469D0" w:rsidRDefault="005469D0" w:rsidP="005469D0">
      <w:pPr>
        <w:pStyle w:val="StandardWeb"/>
      </w:pPr>
      <w:r>
        <w:t>ist eine explizite Operationalisierung der Abweichung von exakter Skaleninvarianz.</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(\Delta_{\mathrm{sc}})</w:t>
      </w:r>
    </w:p>
    <w:p w:rsidR="005469D0" w:rsidRDefault="005469D0" w:rsidP="005469D0">
      <w:pPr>
        <w:pStyle w:val="StandardWeb"/>
      </w:pPr>
      <w:r>
        <w:t>\mathrm{Def/Op}.</w:t>
      </w:r>
      <w:r>
        <w:br/>
        <w:t>}</w:t>
      </w:r>
      <w:r>
        <w:br/>
        <w:t>\tag{3.11338}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\boxed{\operatorname{Stat}(\Delta_{\mathrm{sc}})=\mathrm{Def/Op}.}</w:t>
      </w:r>
    </w:p>
    <w:p w:rsidR="005469D0" w:rsidRDefault="00E50336" w:rsidP="005469D0">
      <w:r>
        <w:pict>
          <v:rect id="_x0000_i3839" style="width:0;height:1.5pt" o:hralign="center" o:hrstd="t" o:hr="t" fillcolor="#a0a0a0" stroked="f"/>
        </w:pict>
      </w:r>
    </w:p>
    <w:p w:rsidR="005469D0" w:rsidRDefault="005469D0" w:rsidP="005469D0">
      <w:pPr>
        <w:pStyle w:val="berschrift1"/>
      </w:pPr>
      <w:r>
        <w:t>3.3.46.324 Status der Epsilon-Skaleninvarianz</w:t>
      </w:r>
    </w:p>
    <w:p w:rsidR="005469D0" w:rsidRDefault="005469D0" w:rsidP="005469D0">
      <w:pPr>
        <w:pStyle w:val="StandardWeb"/>
      </w:pPr>
      <w:r>
        <w:t>Die Bedingung</w:t>
      </w:r>
    </w:p>
    <w:p w:rsidR="005469D0" w:rsidRDefault="005469D0" w:rsidP="005469D0">
      <w:pPr>
        <w:pStyle w:val="StandardWeb"/>
      </w:pPr>
      <w:r>
        <w:t>[</w:t>
      </w:r>
      <w:r>
        <w:br/>
        <w:t>\Delta_{\mathrm{sc}}Q</w:t>
      </w:r>
      <w:r>
        <w:br/>
        <w:t>\leq</w:t>
      </w:r>
      <w:r>
        <w:br/>
        <w:t>\varepsilon_{\mathrm{sc}}</w:t>
      </w:r>
      <w:r>
        <w:br/>
        <w:t>\tag{3.11339}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\Delta_{\mathrm{sc}}Q\leq\varepsilon_{\mathrm{sc}}</w:t>
      </w:r>
    </w:p>
    <w:p w:rsidR="005469D0" w:rsidRDefault="005469D0" w:rsidP="005469D0">
      <w:pPr>
        <w:pStyle w:val="StandardWeb"/>
      </w:pPr>
      <w:r>
        <w:t>ist eine Operationalisierung approximativer Invarianz.</w:t>
      </w:r>
    </w:p>
    <w:p w:rsidR="005469D0" w:rsidRDefault="005469D0" w:rsidP="005469D0">
      <w:pPr>
        <w:pStyle w:val="StandardWeb"/>
      </w:pPr>
      <w:r>
        <w:t>Die Toleranz (\varepsilon_{\mathrm{sc}}) selbst muss modell- oder datenbezogen festgelegt werden.</w:t>
      </w:r>
    </w:p>
    <w:p w:rsidR="005469D0" w:rsidRDefault="005469D0" w:rsidP="005469D0">
      <w:pPr>
        <w:pStyle w:val="StandardWeb"/>
      </w:pPr>
      <w:r>
        <w:t>Damit gilt</w:t>
      </w:r>
    </w:p>
    <w:p w:rsidR="005469D0" w:rsidRDefault="005469D0" w:rsidP="005469D0">
      <w:pPr>
        <w:pStyle w:val="berschrift1"/>
      </w:pPr>
      <w:r>
        <w:lastRenderedPageBreak/>
        <w:t>[</w:t>
      </w:r>
      <w:r>
        <w:br/>
        <w:t>\boxed{</w:t>
      </w:r>
      <w:r>
        <w:br/>
        <w:t>\operatorname{Stat}</w:t>
      </w:r>
      <w:r>
        <w:br/>
        <w:t>(\mathcal I_{\mathrm{sc}}^{(\varepsilon)})</w:t>
      </w:r>
    </w:p>
    <w:p w:rsidR="005469D0" w:rsidRDefault="005469D0" w:rsidP="005469D0">
      <w:pPr>
        <w:pStyle w:val="StandardWeb"/>
      </w:pPr>
      <w:r>
        <w:t>\mathrm{Def/Op}</w:t>
      </w:r>
      <w:r>
        <w:br/>
        <w:t>}</w:t>
      </w:r>
      <w:r>
        <w:br/>
        <w:t>\tag{3.11340}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\boxed{\operatorname{Stat}(\mathcal I_{\mathrm{sc}}^{(\varepsilon)})=\mathrm{Def/Op}}</w:t>
      </w:r>
    </w:p>
    <w:p w:rsidR="005469D0" w:rsidRDefault="005469D0" w:rsidP="005469D0">
      <w:pPr>
        <w:pStyle w:val="StandardWeb"/>
      </w:pPr>
      <w:r>
        <w:t>und</w:t>
      </w:r>
    </w:p>
    <w:p w:rsidR="005469D0" w:rsidRDefault="005469D0" w:rsidP="005469D0">
      <w:pPr>
        <w:pStyle w:val="berschrift1"/>
      </w:pPr>
      <w:r>
        <w:t>[</w:t>
      </w:r>
      <w:r>
        <w:br/>
        <w:t>\boxed{</w:t>
      </w:r>
      <w:r>
        <w:br/>
        <w:t>\operatorname{Stat}</w:t>
      </w:r>
      <w:r>
        <w:br/>
        <w:t>(\varepsilon_{\mathrm{sc}})</w:t>
      </w:r>
    </w:p>
    <w:p w:rsidR="005469D0" w:rsidRDefault="005469D0" w:rsidP="005469D0">
      <w:pPr>
        <w:pStyle w:val="StandardWeb"/>
      </w:pPr>
      <w:r>
        <w:t>\mathrm{Op/Mod}.</w:t>
      </w:r>
      <w:r>
        <w:br/>
        <w:t>}</w:t>
      </w:r>
      <w:r>
        <w:br/>
        <w:t>\tag{3.11341}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\boxed{\operatorname{Stat}(\varepsilon_{\mathrm{sc}})=\mathrm{Op/Mod}.}</w:t>
      </w:r>
    </w:p>
    <w:p w:rsidR="005469D0" w:rsidRDefault="00E50336" w:rsidP="005469D0">
      <w:r>
        <w:pict>
          <v:rect id="_x0000_i3840" style="width:0;height:1.5pt" o:hralign="center" o:hrstd="t" o:hr="t" fillcolor="#a0a0a0" stroked="f"/>
        </w:pict>
      </w:r>
    </w:p>
    <w:p w:rsidR="005469D0" w:rsidRDefault="005469D0" w:rsidP="005469D0">
      <w:pPr>
        <w:pStyle w:val="berschrift1"/>
      </w:pPr>
      <w:r>
        <w:t>3.3.46.325 Status der Skalenverletzungsmenge</w:t>
      </w:r>
    </w:p>
    <w:p w:rsidR="005469D0" w:rsidRDefault="005469D0" w:rsidP="005469D0">
      <w:pPr>
        <w:pStyle w:val="StandardWeb"/>
      </w:pPr>
      <w:r>
        <w:t>Die Menge</w:t>
      </w:r>
    </w:p>
    <w:p w:rsidR="005469D0" w:rsidRDefault="005469D0" w:rsidP="005469D0">
      <w:pPr>
        <w:pStyle w:val="StandardWeb"/>
      </w:pPr>
      <w:r>
        <w:t>[</w:t>
      </w:r>
      <w:r>
        <w:br/>
        <w:t>\mathcal V_{\mathrm{sc}}^{(\varepsilon)}</w:t>
      </w:r>
      <w:r>
        <w:br/>
        <w:t>\tag{3.11342}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\mathcal V_{\mathrm{sc}}^{(\varepsilon)}</w:t>
      </w:r>
    </w:p>
    <w:p w:rsidR="005469D0" w:rsidRDefault="005469D0" w:rsidP="005469D0">
      <w:pPr>
        <w:pStyle w:val="StandardWeb"/>
      </w:pPr>
      <w:r>
        <w:lastRenderedPageBreak/>
        <w:t>wurde direkt aus der Toleranzverletzung definiert.</w:t>
      </w:r>
    </w:p>
    <w:p w:rsidR="005469D0" w:rsidRDefault="005469D0" w:rsidP="005469D0">
      <w:pPr>
        <w:pStyle w:val="StandardWeb"/>
      </w:pPr>
      <w:r>
        <w:t>Sie kann zur empirischen oder numerischen Prüfung verwendet werden.</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(\mathcal V_{\mathrm{sc}}^{(\varepsilon)})</w:t>
      </w:r>
    </w:p>
    <w:p w:rsidR="005469D0" w:rsidRDefault="005469D0" w:rsidP="005469D0">
      <w:pPr>
        <w:pStyle w:val="StandardWeb"/>
      </w:pPr>
      <w:r>
        <w:t>\mathrm{Def/Op}.</w:t>
      </w:r>
      <w:r>
        <w:br/>
        <w:t>}</w:t>
      </w:r>
      <w:r>
        <w:br/>
        <w:t>\tag{3.11343}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\boxed{\operatorname{Stat}(\mathcal V_{\mathrm{sc}}^{(\varepsilon)})=\mathrm{Def/Op}.}</w:t>
      </w:r>
    </w:p>
    <w:p w:rsidR="005469D0" w:rsidRDefault="00E50336" w:rsidP="005469D0">
      <w:r>
        <w:pict>
          <v:rect id="_x0000_i3841" style="width:0;height:1.5pt" o:hralign="center" o:hrstd="t" o:hr="t" fillcolor="#a0a0a0" stroked="f"/>
        </w:pict>
      </w:r>
    </w:p>
    <w:p w:rsidR="005469D0" w:rsidRDefault="005469D0" w:rsidP="005469D0">
      <w:pPr>
        <w:pStyle w:val="berschrift1"/>
      </w:pPr>
      <w:r>
        <w:t>3.3.46.326 Status der logarithmischen Skalenkoordinate</w:t>
      </w:r>
    </w:p>
    <w:p w:rsidR="005469D0" w:rsidRDefault="005469D0" w:rsidP="005469D0">
      <w:pPr>
        <w:pStyle w:val="StandardWeb"/>
      </w:pPr>
      <w:r>
        <w:t>Für positive Skalierungsparameter wurde</w:t>
      </w:r>
    </w:p>
    <w:p w:rsidR="005469D0" w:rsidRDefault="005469D0" w:rsidP="005469D0">
      <w:pPr>
        <w:pStyle w:val="berschrift1"/>
      </w:pPr>
      <w:r>
        <w:t>[</w:t>
      </w:r>
      <w:r>
        <w:br/>
        <w:t>\tau</w:t>
      </w:r>
    </w:p>
    <w:p w:rsidR="005469D0" w:rsidRDefault="005469D0" w:rsidP="005469D0">
      <w:pPr>
        <w:pStyle w:val="StandardWeb"/>
      </w:pPr>
      <w:r>
        <w:t>\ln\lambda</w:t>
      </w:r>
      <w:r>
        <w:br/>
        <w:t>\tag{3.11344}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\tau=\ln\lambda</w:t>
      </w:r>
    </w:p>
    <w:p w:rsidR="005469D0" w:rsidRDefault="005469D0" w:rsidP="005469D0">
      <w:pPr>
        <w:pStyle w:val="StandardWeb"/>
      </w:pPr>
      <w:r>
        <w:t>definiert.</w:t>
      </w:r>
    </w:p>
    <w:p w:rsidR="005469D0" w:rsidRDefault="005469D0" w:rsidP="005469D0">
      <w:pPr>
        <w:pStyle w:val="StandardWeb"/>
      </w:pPr>
      <w:r>
        <w:t>Dies ist eine Koordinatentransformation und besitzt damit den Status</w:t>
      </w:r>
    </w:p>
    <w:p w:rsidR="005469D0" w:rsidRDefault="005469D0" w:rsidP="005469D0">
      <w:pPr>
        <w:pStyle w:val="berschrift1"/>
      </w:pPr>
      <w:r>
        <w:lastRenderedPageBreak/>
        <w:t>[</w:t>
      </w:r>
      <w:r>
        <w:br/>
        <w:t>\boxed{</w:t>
      </w:r>
      <w:r>
        <w:br/>
        <w:t>\operatorname{Stat}(\tau)</w:t>
      </w:r>
    </w:p>
    <w:p w:rsidR="005469D0" w:rsidRDefault="005469D0" w:rsidP="005469D0">
      <w:pPr>
        <w:pStyle w:val="StandardWeb"/>
      </w:pPr>
      <w:r>
        <w:t>\mathrm{Def}.</w:t>
      </w:r>
      <w:r>
        <w:br/>
        <w:t>}</w:t>
      </w:r>
      <w:r>
        <w:br/>
        <w:t>\tag{3.11345}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\boxed{\operatorname{Stat}(\tau)=\mathrm{Def}.}</w:t>
      </w:r>
    </w:p>
    <w:p w:rsidR="005469D0" w:rsidRDefault="00E50336" w:rsidP="005469D0">
      <w:r>
        <w:pict>
          <v:rect id="_x0000_i3842" style="width:0;height:1.5pt" o:hralign="center" o:hrstd="t" o:hr="t" fillcolor="#a0a0a0" stroked="f"/>
        </w:pict>
      </w:r>
    </w:p>
    <w:p w:rsidR="005469D0" w:rsidRDefault="005469D0" w:rsidP="005469D0">
      <w:pPr>
        <w:pStyle w:val="berschrift1"/>
      </w:pPr>
      <w:r>
        <w:t>3.3.46.327 Status des Skalierungsflusses</w:t>
      </w:r>
    </w:p>
    <w:p w:rsidR="005469D0" w:rsidRDefault="005469D0" w:rsidP="005469D0">
      <w:pPr>
        <w:pStyle w:val="StandardWeb"/>
      </w:pPr>
      <w:r>
        <w:t>Der Skalierungsfluss</w:t>
      </w:r>
    </w:p>
    <w:p w:rsidR="005469D0" w:rsidRDefault="005469D0" w:rsidP="005469D0">
      <w:pPr>
        <w:pStyle w:val="berschrift1"/>
      </w:pPr>
      <w:r>
        <w:t>[</w:t>
      </w:r>
      <w:r>
        <w:br/>
        <w:t>S_{\tau_1}\circ S_{\tau_2}</w:t>
      </w:r>
    </w:p>
    <w:p w:rsidR="005469D0" w:rsidRDefault="005469D0" w:rsidP="005469D0">
      <w:pPr>
        <w:pStyle w:val="StandardWeb"/>
      </w:pPr>
      <w:r>
        <w:t>S_{\tau_1+\tau_2}</w:t>
      </w:r>
      <w:r>
        <w:br/>
        <w:t>\tag{3.11346}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S_{\tau_1}\circ S_{\tau_2}=S_{\tau_1+\tau_2}</w:t>
      </w:r>
    </w:p>
    <w:p w:rsidR="005469D0" w:rsidRDefault="005469D0" w:rsidP="005469D0">
      <w:pPr>
        <w:pStyle w:val="StandardWeb"/>
      </w:pPr>
      <w:r>
        <w:t>setzt eine kontinuierlich parametrisierte Modellstruktur voraus.</w:t>
      </w:r>
    </w:p>
    <w:p w:rsidR="005469D0" w:rsidRDefault="005469D0" w:rsidP="005469D0">
      <w:pPr>
        <w:pStyle w:val="StandardWeb"/>
      </w:pPr>
      <w:r>
        <w:t>Daher gilt</w:t>
      </w:r>
    </w:p>
    <w:p w:rsidR="005469D0" w:rsidRDefault="005469D0" w:rsidP="005469D0">
      <w:pPr>
        <w:pStyle w:val="berschrift1"/>
      </w:pPr>
      <w:r>
        <w:t>[</w:t>
      </w:r>
      <w:r>
        <w:br/>
        <w:t>\boxed{</w:t>
      </w:r>
      <w:r>
        <w:br/>
        <w:t>\operatorname{Stat}(S_\tau)</w:t>
      </w:r>
    </w:p>
    <w:p w:rsidR="005469D0" w:rsidRDefault="005469D0" w:rsidP="005469D0">
      <w:pPr>
        <w:pStyle w:val="StandardWeb"/>
      </w:pPr>
      <w:r>
        <w:t>\mathrm{Def/Mod}.</w:t>
      </w:r>
      <w:r>
        <w:br/>
        <w:t>}</w:t>
      </w:r>
      <w:r>
        <w:br/>
        <w:t>\tag{3.11347}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\boxed{\operatorname{Stat}(S_\tau)=\mathrm{Def/Mod}.}</w:t>
      </w:r>
    </w:p>
    <w:p w:rsidR="005469D0" w:rsidRDefault="00E50336" w:rsidP="005469D0">
      <w:r>
        <w:lastRenderedPageBreak/>
        <w:pict>
          <v:rect id="_x0000_i3843" style="width:0;height:1.5pt" o:hralign="center" o:hrstd="t" o:hr="t" fillcolor="#a0a0a0" stroked="f"/>
        </w:pict>
      </w:r>
    </w:p>
    <w:p w:rsidR="005469D0" w:rsidRDefault="005469D0" w:rsidP="005469D0">
      <w:pPr>
        <w:pStyle w:val="berschrift1"/>
      </w:pPr>
      <w:r>
        <w:t>3.3.46.328 Status des Skalierungsgenerators</w:t>
      </w:r>
    </w:p>
    <w:p w:rsidR="005469D0" w:rsidRDefault="005469D0" w:rsidP="005469D0">
      <w:pPr>
        <w:pStyle w:val="StandardWeb"/>
      </w:pPr>
      <w:r>
        <w:t>Der Generator</w:t>
      </w:r>
    </w:p>
    <w:p w:rsidR="005469D0" w:rsidRDefault="005469D0" w:rsidP="005469D0">
      <w:pPr>
        <w:pStyle w:val="berschrift1"/>
      </w:pPr>
      <w:r>
        <w:t>[</w:t>
      </w:r>
      <w:r>
        <w:br/>
        <w:t>G_{\mathrm{sc}}</w:t>
      </w:r>
    </w:p>
    <w:p w:rsidR="005469D0" w:rsidRDefault="005469D0" w:rsidP="005469D0">
      <w:pPr>
        <w:pStyle w:val="StandardWeb"/>
      </w:pPr>
      <w:r>
        <w:t>\left.</w:t>
      </w:r>
      <w:r>
        <w:br/>
        <w:t>\frac{d}{d\tau}</w:t>
      </w:r>
      <w:r>
        <w:br/>
        <w:t>S_\tau</w:t>
      </w:r>
      <w:r>
        <w:br/>
        <w:t>\right|_{\tau=0}</w:t>
      </w:r>
      <w:r>
        <w:br/>
        <w:t>\tag{3.11348}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G_{\mathrm{sc}}=\left.\frac{d}{d\tau}S_\tau\right|_{\tau=0}</w:t>
      </w:r>
    </w:p>
    <w:p w:rsidR="005469D0" w:rsidRDefault="005469D0" w:rsidP="005469D0">
      <w:pPr>
        <w:pStyle w:val="StandardWeb"/>
      </w:pPr>
      <w:r>
        <w:t>setzt zusätzlich Differenzierbarkeit voraus.</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(G_{\mathrm{sc}})</w:t>
      </w:r>
    </w:p>
    <w:p w:rsidR="005469D0" w:rsidRDefault="005469D0" w:rsidP="005469D0">
      <w:pPr>
        <w:pStyle w:val="StandardWeb"/>
      </w:pPr>
      <w:r>
        <w:t>\mathrm{Def/Mod}.</w:t>
      </w:r>
      <w:r>
        <w:br/>
        <w:t>}</w:t>
      </w:r>
      <w:r>
        <w:br/>
        <w:t>\tag{3.11349}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\boxed{\operatorname{Stat}(G_{\mathrm{sc}})=\mathrm{Def/Mod}.}</w:t>
      </w:r>
    </w:p>
    <w:p w:rsidR="005469D0" w:rsidRDefault="00E50336" w:rsidP="005469D0">
      <w:r>
        <w:pict>
          <v:rect id="_x0000_i3844" style="width:0;height:1.5pt" o:hralign="center" o:hrstd="t" o:hr="t" fillcolor="#a0a0a0" stroked="f"/>
        </w:pict>
      </w:r>
    </w:p>
    <w:p w:rsidR="005469D0" w:rsidRDefault="005469D0" w:rsidP="005469D0">
      <w:pPr>
        <w:pStyle w:val="berschrift1"/>
      </w:pPr>
      <w:r>
        <w:t>3.3.46.329 Status der Generator-Eigenwertbeziehung</w:t>
      </w:r>
    </w:p>
    <w:p w:rsidR="005469D0" w:rsidRDefault="005469D0" w:rsidP="005469D0">
      <w:pPr>
        <w:pStyle w:val="StandardWeb"/>
      </w:pPr>
      <w:r>
        <w:t>Die Beziehung</w:t>
      </w:r>
    </w:p>
    <w:p w:rsidR="005469D0" w:rsidRDefault="005469D0" w:rsidP="005469D0">
      <w:pPr>
        <w:pStyle w:val="berschrift1"/>
      </w:pPr>
      <w:r>
        <w:lastRenderedPageBreak/>
        <w:t>[</w:t>
      </w:r>
      <w:r>
        <w:br/>
        <w:t>G_{\mathrm{sc}}X_i</w:t>
      </w:r>
    </w:p>
    <w:p w:rsidR="005469D0" w:rsidRDefault="005469D0" w:rsidP="005469D0">
      <w:pPr>
        <w:pStyle w:val="StandardWeb"/>
      </w:pPr>
      <w:r>
        <w:t>w_iX_i</w:t>
      </w:r>
      <w:r>
        <w:br/>
        <w:t>\tag{3.11350}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G_{\mathrm{sc}}X_i=w_iX_i</w:t>
      </w:r>
    </w:p>
    <w:p w:rsidR="005469D0" w:rsidRDefault="005469D0" w:rsidP="005469D0">
      <w:pPr>
        <w:pStyle w:val="StandardWeb"/>
      </w:pPr>
      <w:r>
        <w:t>folgt für die gewichtete Exponentialskalierung mathematisch aus der Differentiation.</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(G_{\mathrm{sc}}X_i=w_iX_i)</w:t>
      </w:r>
    </w:p>
    <w:p w:rsidR="005469D0" w:rsidRDefault="005469D0" w:rsidP="005469D0">
      <w:pPr>
        <w:pStyle w:val="StandardWeb"/>
      </w:pPr>
      <w:r>
        <w:t>\mathrm{Der}.</w:t>
      </w:r>
      <w:r>
        <w:br/>
        <w:t>}</w:t>
      </w:r>
      <w:r>
        <w:br/>
        <w:t>\tag{3.11351}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\boxed{\operatorname{Stat}(G_{\mathrm{sc}}X_i=w_iX_i)=\mathrm{Der}.}</w:t>
      </w:r>
    </w:p>
    <w:p w:rsidR="005469D0" w:rsidRDefault="00E50336" w:rsidP="005469D0">
      <w:r>
        <w:pict>
          <v:rect id="_x0000_i3845" style="width:0;height:1.5pt" o:hralign="center" o:hrstd="t" o:hr="t" fillcolor="#a0a0a0" stroked="f"/>
        </w:pict>
      </w:r>
    </w:p>
    <w:p w:rsidR="005469D0" w:rsidRDefault="005469D0" w:rsidP="005469D0">
      <w:pPr>
        <w:pStyle w:val="berschrift1"/>
      </w:pPr>
      <w:r>
        <w:t>3.3.46.330 Status der infinitesimalen Skaleninvarianz</w:t>
      </w:r>
    </w:p>
    <w:p w:rsidR="005469D0" w:rsidRDefault="005469D0" w:rsidP="005469D0">
      <w:pPr>
        <w:pStyle w:val="StandardWeb"/>
      </w:pPr>
      <w:r>
        <w:t>Die Bedingung</w:t>
      </w:r>
    </w:p>
    <w:p w:rsidR="005469D0" w:rsidRDefault="005469D0" w:rsidP="005469D0">
      <w:pPr>
        <w:pStyle w:val="berschrift1"/>
      </w:pPr>
      <w:r>
        <w:t>[</w:t>
      </w:r>
      <w:r>
        <w:br/>
        <w:t>G_{\mathrm{sc}}Q</w:t>
      </w:r>
    </w:p>
    <w:p w:rsidR="005469D0" w:rsidRDefault="005469D0" w:rsidP="005469D0">
      <w:pPr>
        <w:pStyle w:val="StandardWeb"/>
      </w:pPr>
      <w:r>
        <w:t>0</w:t>
      </w:r>
      <w:r>
        <w:br/>
        <w:t>\tag{3.11352}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G_{\mathrm{sc}}Q=0</w:t>
      </w:r>
    </w:p>
    <w:p w:rsidR="005469D0" w:rsidRDefault="005469D0" w:rsidP="005469D0">
      <w:pPr>
        <w:pStyle w:val="StandardWeb"/>
      </w:pPr>
      <w:r>
        <w:lastRenderedPageBreak/>
        <w:t>ist definitorisch als infinitesimale Skaleninvarianz eingeführt.</w:t>
      </w:r>
    </w:p>
    <w:p w:rsidR="005469D0" w:rsidRDefault="005469D0" w:rsidP="005469D0">
      <w:pPr>
        <w:pStyle w:val="StandardWeb"/>
      </w:pPr>
      <w:r>
        <w:t>Dass globale differenzierbare Invarianz diese Bedingung impliziert, ist dagegen abgeleitet.</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(G_{\mathrm{sc}}Q=0)</w:t>
      </w:r>
    </w:p>
    <w:p w:rsidR="005469D0" w:rsidRDefault="005469D0" w:rsidP="005469D0">
      <w:pPr>
        <w:pStyle w:val="StandardWeb"/>
      </w:pPr>
      <w:r>
        <w:t>\mathrm{Def},</w:t>
      </w:r>
      <w:r>
        <w:br/>
        <w:t>}</w:t>
      </w:r>
      <w:r>
        <w:br/>
        <w:t>\tag{3.11353}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\boxed{\operatorname{Stat}(G_{\mathrm{sc}}Q=0)=\mathrm{Def},}</w:t>
      </w:r>
    </w:p>
    <w:p w:rsidR="005469D0" w:rsidRDefault="005469D0" w:rsidP="005469D0">
      <w:pPr>
        <w:pStyle w:val="StandardWeb"/>
      </w:pPr>
      <w:r>
        <w:t>und</w:t>
      </w:r>
    </w:p>
    <w:p w:rsidR="005469D0" w:rsidRDefault="005469D0" w:rsidP="005469D0">
      <w:pPr>
        <w:pStyle w:val="berschrift1"/>
      </w:pPr>
      <w:r>
        <w:t>[</w:t>
      </w:r>
      <w:r>
        <w:br/>
        <w:t>\boxed{</w:t>
      </w:r>
      <w:r>
        <w:br/>
        <w:t>\operatorname{Stat}</w:t>
      </w:r>
      <w:r>
        <w:br/>
        <w:t>\left(</w:t>
      </w:r>
      <w:r>
        <w:br/>
        <w:t>\operatorname{Inv}</w:t>
      </w:r>
      <w:r>
        <w:rPr>
          <w:rStyle w:val="Hervorhebung"/>
        </w:rPr>
        <w:t>{\mathrm{global}}</w:t>
      </w:r>
      <w:r>
        <w:rPr>
          <w:i/>
          <w:iCs/>
        </w:rPr>
        <w:br/>
      </w:r>
      <w:r>
        <w:rPr>
          <w:rStyle w:val="Hervorhebung"/>
        </w:rPr>
        <w:t>\Rightarrow</w:t>
      </w:r>
      <w:r>
        <w:rPr>
          <w:i/>
          <w:iCs/>
        </w:rPr>
        <w:br/>
      </w:r>
      <w:r>
        <w:rPr>
          <w:rStyle w:val="Hervorhebung"/>
        </w:rPr>
        <w:t>G</w:t>
      </w:r>
      <w:r>
        <w:t>{\mathrm{sc}}Q=0</w:t>
      </w:r>
      <w:r>
        <w:br/>
        <w:t>\right)</w:t>
      </w:r>
    </w:p>
    <w:p w:rsidR="005469D0" w:rsidRDefault="005469D0" w:rsidP="005469D0">
      <w:pPr>
        <w:pStyle w:val="StandardWeb"/>
      </w:pPr>
      <w:r>
        <w:t>\mathrm{Der}.</w:t>
      </w:r>
      <w:r>
        <w:br/>
        <w:t>}</w:t>
      </w:r>
      <w:r>
        <w:br/>
        <w:t>\tag{3.11354}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\boxed{\operatorname{Stat}\left(\operatorname{Inv}_{\mathrm{global}}\Rightarrow G_{\mathrm{sc}}Q=0\right)=\mathrm{Der}.}</w:t>
      </w:r>
    </w:p>
    <w:p w:rsidR="005469D0" w:rsidRDefault="00E50336" w:rsidP="005469D0">
      <w:r>
        <w:pict>
          <v:rect id="_x0000_i3846" style="width:0;height:1.5pt" o:hralign="center" o:hrstd="t" o:hr="t" fillcolor="#a0a0a0" stroked="f"/>
        </w:pict>
      </w:r>
    </w:p>
    <w:p w:rsidR="005469D0" w:rsidRDefault="005469D0" w:rsidP="005469D0">
      <w:pPr>
        <w:pStyle w:val="berschrift1"/>
      </w:pPr>
      <w:r>
        <w:lastRenderedPageBreak/>
        <w:t>3.3.46.331 Status der Skalenänderungsrate</w:t>
      </w:r>
    </w:p>
    <w:p w:rsidR="005469D0" w:rsidRDefault="005469D0" w:rsidP="005469D0">
      <w:pPr>
        <w:pStyle w:val="StandardWeb"/>
      </w:pPr>
      <w:r>
        <w:t>Die Größe</w:t>
      </w:r>
    </w:p>
    <w:p w:rsidR="005469D0" w:rsidRDefault="005469D0" w:rsidP="005469D0">
      <w:pPr>
        <w:pStyle w:val="berschrift1"/>
      </w:pPr>
      <w:r>
        <w:t>[</w:t>
      </w:r>
      <w:r>
        <w:br/>
        <w:t>\beta_Q</w:t>
      </w:r>
    </w:p>
    <w:p w:rsidR="005469D0" w:rsidRDefault="005469D0" w:rsidP="005469D0">
      <w:pPr>
        <w:pStyle w:val="StandardWeb"/>
      </w:pPr>
      <w:r>
        <w:t>\frac{dQ}{d\tau}</w:t>
      </w:r>
      <w:r>
        <w:br/>
        <w:t>\tag{3.11355}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\beta_Q=\frac{dQ}{d\tau}</w:t>
      </w:r>
    </w:p>
    <w:p w:rsidR="005469D0" w:rsidRDefault="005469D0" w:rsidP="005469D0">
      <w:pPr>
        <w:pStyle w:val="StandardWeb"/>
      </w:pPr>
      <w:r>
        <w:t>ist eine mathematisch definierte Änderungsrate und zugleich operationalisierbar.</w:t>
      </w:r>
    </w:p>
    <w:p w:rsidR="005469D0" w:rsidRDefault="005469D0" w:rsidP="005469D0">
      <w:pPr>
        <w:pStyle w:val="StandardWeb"/>
      </w:pPr>
      <w:r>
        <w:t>Ihre Existenz setzt eine differenzierbare Skalenabhängigkeit voraus.</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(\beta_Q)</w:t>
      </w:r>
    </w:p>
    <w:p w:rsidR="005469D0" w:rsidRDefault="005469D0" w:rsidP="005469D0">
      <w:pPr>
        <w:pStyle w:val="StandardWeb"/>
      </w:pPr>
      <w:r>
        <w:t>\mathrm{Def/Op/Mod}.</w:t>
      </w:r>
      <w:r>
        <w:br/>
        <w:t>}</w:t>
      </w:r>
      <w:r>
        <w:br/>
        <w:t>\tag{3.11356}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\boxed{\operatorname{Stat}(\beta_Q)=\mathrm{Def/Op/Mod}.}</w:t>
      </w:r>
    </w:p>
    <w:p w:rsidR="005469D0" w:rsidRDefault="00E50336" w:rsidP="005469D0">
      <w:r>
        <w:pict>
          <v:rect id="_x0000_i3847" style="width:0;height:1.5pt" o:hralign="center" o:hrstd="t" o:hr="t" fillcolor="#a0a0a0" stroked="f"/>
        </w:pict>
      </w:r>
    </w:p>
    <w:p w:rsidR="005469D0" w:rsidRDefault="005469D0" w:rsidP="005469D0">
      <w:pPr>
        <w:pStyle w:val="berschrift1"/>
      </w:pPr>
      <w:r>
        <w:t>3.3.46.332 Status des Skalenfixpunktes</w:t>
      </w:r>
    </w:p>
    <w:p w:rsidR="005469D0" w:rsidRDefault="005469D0" w:rsidP="005469D0">
      <w:pPr>
        <w:pStyle w:val="StandardWeb"/>
      </w:pPr>
      <w:r>
        <w:t>Die Bedingung</w:t>
      </w:r>
    </w:p>
    <w:p w:rsidR="005469D0" w:rsidRDefault="005469D0" w:rsidP="005469D0">
      <w:pPr>
        <w:pStyle w:val="StandardWeb"/>
      </w:pPr>
      <w:r>
        <w:t>[</w:t>
      </w:r>
      <w:r>
        <w:br/>
        <w:t>\beta_Q(\tau_\ast)=0</w:t>
      </w:r>
      <w:r>
        <w:br/>
        <w:t>\tag{3.11357}</w:t>
      </w:r>
      <w:r>
        <w:br/>
        <w:t>]</w:t>
      </w:r>
    </w:p>
    <w:p w:rsidR="005469D0" w:rsidRDefault="005469D0" w:rsidP="005469D0">
      <w:pPr>
        <w:pStyle w:val="StandardWeb"/>
      </w:pPr>
      <w:r>
        <w:rPr>
          <w:rStyle w:val="Fett"/>
        </w:rPr>
        <w:lastRenderedPageBreak/>
        <w:t>Word-LaTeX</w:t>
      </w:r>
    </w:p>
    <w:p w:rsidR="005469D0" w:rsidRDefault="005469D0" w:rsidP="005469D0">
      <w:pPr>
        <w:pStyle w:val="HTMLVorformatiert"/>
        <w:rPr>
          <w:rStyle w:val="HTMLCode"/>
        </w:rPr>
      </w:pPr>
      <w:r>
        <w:rPr>
          <w:rStyle w:val="HTMLCode"/>
        </w:rPr>
        <w:t>\beta_Q(\tau_\ast)=0</w:t>
      </w:r>
    </w:p>
    <w:p w:rsidR="005469D0" w:rsidRDefault="005469D0" w:rsidP="005469D0">
      <w:pPr>
        <w:pStyle w:val="StandardWeb"/>
      </w:pPr>
      <w:r>
        <w:t>definiert einen lokalen Skalenfixpunkt der Größe (Q).</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(\tau_\ast)</w:t>
      </w:r>
    </w:p>
    <w:p w:rsidR="005469D0" w:rsidRDefault="005469D0" w:rsidP="005469D0">
      <w:pPr>
        <w:pStyle w:val="StandardWeb"/>
      </w:pPr>
      <w:r>
        <w:t>\mathrm{Def/Op}.</w:t>
      </w:r>
      <w:r>
        <w:br/>
        <w:t>}</w:t>
      </w:r>
      <w:r>
        <w:br/>
        <w:t>\tag{3.11358}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\boxed{\operatorname{Stat}(\tau_\ast)=\mathrm{Def/Op}.}</w:t>
      </w:r>
    </w:p>
    <w:p w:rsidR="005469D0" w:rsidRDefault="00E50336" w:rsidP="005469D0">
      <w:r>
        <w:pict>
          <v:rect id="_x0000_i3848" style="width:0;height:1.5pt" o:hralign="center" o:hrstd="t" o:hr="t" fillcolor="#a0a0a0" stroked="f"/>
        </w:pict>
      </w:r>
    </w:p>
    <w:p w:rsidR="005469D0" w:rsidRDefault="005469D0" w:rsidP="005469D0">
      <w:pPr>
        <w:pStyle w:val="berschrift1"/>
      </w:pPr>
      <w:r>
        <w:t>3.3.46.333 Status der Übergangserhaltung</w:t>
      </w:r>
    </w:p>
    <w:p w:rsidR="005469D0" w:rsidRDefault="005469D0" w:rsidP="005469D0">
      <w:pPr>
        <w:pStyle w:val="StandardWeb"/>
      </w:pPr>
      <w:r>
        <w:t>Die Eigenschaft</w:t>
      </w:r>
    </w:p>
    <w:p w:rsidR="005469D0" w:rsidRDefault="005469D0" w:rsidP="005469D0">
      <w:pPr>
        <w:pStyle w:val="StandardWeb"/>
      </w:pPr>
      <w:r>
        <w:t>[</w:t>
      </w:r>
      <w:r>
        <w:br/>
        <w:t>(z_i,z_j)\in\mathcal T_F</w:t>
      </w:r>
      <w:r>
        <w:br/>
        <w:t>\Rightarrow</w:t>
      </w:r>
      <w:r>
        <w:br/>
        <w:t>(S_\lambda z_i,S_\lambda z_j)\in\mathcal T_F</w:t>
      </w:r>
      <w:r>
        <w:br/>
        <w:t>\tag{3.11359}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(z_i,z_j)\in\mathcal T_F\Rightarrow(S_\lambda z_i,S_\lambda z_j)\in\mathcal T_F</w:t>
      </w:r>
    </w:p>
    <w:p w:rsidR="005469D0" w:rsidRDefault="005469D0" w:rsidP="005469D0">
      <w:pPr>
        <w:pStyle w:val="StandardWeb"/>
      </w:pPr>
      <w:r>
        <w:t>ist definitorisch beschreibbar und modellabhängig erfüllt.</w:t>
      </w:r>
    </w:p>
    <w:p w:rsidR="005469D0" w:rsidRDefault="005469D0" w:rsidP="005469D0">
      <w:pPr>
        <w:pStyle w:val="StandardWeb"/>
      </w:pPr>
      <w:r>
        <w:t>Damit gilt</w:t>
      </w:r>
    </w:p>
    <w:p w:rsidR="005469D0" w:rsidRDefault="005469D0" w:rsidP="005469D0">
      <w:pPr>
        <w:pStyle w:val="berschrift1"/>
      </w:pPr>
      <w:r>
        <w:t>[</w:t>
      </w:r>
      <w:r>
        <w:br/>
        <w:t>\boxed{</w:t>
      </w:r>
      <w:r>
        <w:br/>
      </w:r>
      <w:r>
        <w:lastRenderedPageBreak/>
        <w:t>\operatorname{Stat}</w:t>
      </w:r>
      <w:r>
        <w:br/>
        <w:t>(\operatorname{Comp}_{\mathrm{sc}}\mathcal T_F)</w:t>
      </w:r>
    </w:p>
    <w:p w:rsidR="005469D0" w:rsidRDefault="005469D0" w:rsidP="005469D0">
      <w:pPr>
        <w:pStyle w:val="StandardWeb"/>
      </w:pPr>
      <w:r>
        <w:t>\mathrm{Def/Mod}.</w:t>
      </w:r>
      <w:r>
        <w:br/>
        <w:t>}</w:t>
      </w:r>
      <w:r>
        <w:br/>
        <w:t>\tag{3.11360}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\boxed{\operatorname{Stat}(\operatorname{Comp}_{\mathrm{sc}}\mathcal T_F)=\mathrm{Def/Mod}.}</w:t>
      </w:r>
    </w:p>
    <w:p w:rsidR="005469D0" w:rsidRDefault="00E50336" w:rsidP="005469D0">
      <w:r>
        <w:pict>
          <v:rect id="_x0000_i3849" style="width:0;height:1.5pt" o:hralign="center" o:hrstd="t" o:hr="t" fillcolor="#a0a0a0" stroked="f"/>
        </w:pict>
      </w:r>
    </w:p>
    <w:p w:rsidR="005469D0" w:rsidRDefault="005469D0" w:rsidP="005469D0">
      <w:pPr>
        <w:pStyle w:val="berschrift1"/>
      </w:pPr>
      <w:r>
        <w:t>3.3.46.334 Status der Übergangsskalierungsgruppe</w:t>
      </w:r>
    </w:p>
    <w:p w:rsidR="005469D0" w:rsidRDefault="005469D0" w:rsidP="005469D0">
      <w:pPr>
        <w:pStyle w:val="StandardWeb"/>
      </w:pPr>
      <w:r>
        <w:t>Die Struktur</w:t>
      </w:r>
    </w:p>
    <w:p w:rsidR="005469D0" w:rsidRDefault="005469D0" w:rsidP="005469D0">
      <w:pPr>
        <w:pStyle w:val="StandardWeb"/>
      </w:pPr>
      <w:r>
        <w:t>[</w:t>
      </w:r>
      <w:r>
        <w:br/>
        <w:t>\mathfrak G_{\mathrm{sc},T}</w:t>
      </w:r>
      <w:r>
        <w:br/>
        <w:t>\tag{3.11361}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\mathfrak G_{\mathrm{sc},T}</w:t>
      </w:r>
    </w:p>
    <w:p w:rsidR="005469D0" w:rsidRDefault="005469D0" w:rsidP="005469D0">
      <w:pPr>
        <w:pStyle w:val="StandardWeb"/>
      </w:pPr>
      <w:r>
        <w:t>ist als Menge relationserhaltender Skalierungen definiert.</w:t>
      </w:r>
    </w:p>
    <w:p w:rsidR="005469D0" w:rsidRDefault="005469D0" w:rsidP="005469D0">
      <w:pPr>
        <w:pStyle w:val="StandardWeb"/>
      </w:pPr>
      <w:r>
        <w:t>Dass sie unter den angegebenen Voraussetzungen eine Untergruppe von (\mathfrak G_F) ist, wurde abgeleitet.</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(\mathfrak G_{\mathrm{sc},T})</w:t>
      </w:r>
    </w:p>
    <w:p w:rsidR="005469D0" w:rsidRDefault="005469D0" w:rsidP="005469D0">
      <w:pPr>
        <w:pStyle w:val="StandardWeb"/>
      </w:pPr>
      <w:r>
        <w:t>\mathrm{Def/Mod}</w:t>
      </w:r>
      <w:r>
        <w:br/>
        <w:t>}</w:t>
      </w:r>
      <w:r>
        <w:br/>
        <w:t>\tag{3.11362}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lastRenderedPageBreak/>
        <w:t>\boxed{\operatorname{Stat}(\mathfrak G_{\mathrm{sc},T})=\mathrm{Def/Mod}}</w:t>
      </w:r>
    </w:p>
    <w:p w:rsidR="005469D0" w:rsidRDefault="005469D0" w:rsidP="005469D0">
      <w:pPr>
        <w:pStyle w:val="StandardWeb"/>
      </w:pPr>
      <w:r>
        <w:t>und</w:t>
      </w:r>
    </w:p>
    <w:p w:rsidR="005469D0" w:rsidRDefault="005469D0" w:rsidP="005469D0">
      <w:pPr>
        <w:pStyle w:val="berschrift1"/>
      </w:pPr>
      <w:r>
        <w:t>[</w:t>
      </w:r>
      <w:r>
        <w:br/>
        <w:t>\boxed{</w:t>
      </w:r>
      <w:r>
        <w:br/>
        <w:t>\operatorname{Stat}</w:t>
      </w:r>
      <w:r>
        <w:br/>
        <w:t>(\mathfrak G_{\mathrm{sc},T}\leq\mathfrak G_F)</w:t>
      </w:r>
    </w:p>
    <w:p w:rsidR="005469D0" w:rsidRDefault="005469D0" w:rsidP="005469D0">
      <w:pPr>
        <w:pStyle w:val="StandardWeb"/>
      </w:pPr>
      <w:r>
        <w:t>\mathrm{Der}.</w:t>
      </w:r>
      <w:r>
        <w:br/>
        <w:t>}</w:t>
      </w:r>
      <w:r>
        <w:br/>
        <w:t>\tag{3.11363}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\boxed{\operatorname{Stat}(\mathfrak G_{\mathrm{sc},T}\leq\mathfrak G_F)=\mathrm{Der}.}</w:t>
      </w:r>
    </w:p>
    <w:p w:rsidR="005469D0" w:rsidRDefault="00E50336" w:rsidP="005469D0">
      <w:r>
        <w:pict>
          <v:rect id="_x0000_i3850" style="width:0;height:1.5pt" o:hralign="center" o:hrstd="t" o:hr="t" fillcolor="#a0a0a0" stroked="f"/>
        </w:pict>
      </w:r>
    </w:p>
    <w:p w:rsidR="005469D0" w:rsidRDefault="005469D0" w:rsidP="005469D0">
      <w:pPr>
        <w:pStyle w:val="berschrift1"/>
      </w:pPr>
      <w:r>
        <w:t>3.3.46.335 Status der Kohärenzerhaltung</w:t>
      </w:r>
    </w:p>
    <w:p w:rsidR="005469D0" w:rsidRDefault="005469D0" w:rsidP="005469D0">
      <w:pPr>
        <w:pStyle w:val="StandardWeb"/>
      </w:pPr>
      <w:r>
        <w:t>Die Bedingung</w:t>
      </w:r>
    </w:p>
    <w:p w:rsidR="005469D0" w:rsidRDefault="005469D0" w:rsidP="005469D0">
      <w:pPr>
        <w:pStyle w:val="berschrift1"/>
      </w:pPr>
      <w:r>
        <w:t>[</w:t>
      </w:r>
      <w:r>
        <w:br/>
        <w:t>C_F(S_\lambda z)</w:t>
      </w:r>
    </w:p>
    <w:p w:rsidR="005469D0" w:rsidRDefault="005469D0" w:rsidP="005469D0">
      <w:pPr>
        <w:pStyle w:val="StandardWeb"/>
      </w:pPr>
      <w:r>
        <w:t>C_F(z)</w:t>
      </w:r>
      <w:r>
        <w:br/>
        <w:t>\tag{3.11364}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C_F(S_\lambda z)=C_F(z)</w:t>
      </w:r>
    </w:p>
    <w:p w:rsidR="005469D0" w:rsidRDefault="005469D0" w:rsidP="005469D0">
      <w:pPr>
        <w:pStyle w:val="StandardWeb"/>
      </w:pPr>
      <w:r>
        <w:t>ist eine definierte Modelleistenschaft.</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(\operatorname{Inv}_{\mathrm{sc}}C_F)</w:t>
      </w:r>
    </w:p>
    <w:p w:rsidR="005469D0" w:rsidRDefault="005469D0" w:rsidP="005469D0">
      <w:pPr>
        <w:pStyle w:val="StandardWeb"/>
      </w:pPr>
      <w:r>
        <w:lastRenderedPageBreak/>
        <w:t>\mathrm{Def/Mod}.</w:t>
      </w:r>
      <w:r>
        <w:br/>
        <w:t>}</w:t>
      </w:r>
      <w:r>
        <w:br/>
        <w:t>\tag{3.11365}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\boxed{\operatorname{Stat}(\operatorname{Inv}_{\mathrm{sc}}C_F)=\mathrm{Def/Mod}.}</w:t>
      </w:r>
    </w:p>
    <w:p w:rsidR="005469D0" w:rsidRDefault="00E50336" w:rsidP="005469D0">
      <w:r>
        <w:pict>
          <v:rect id="_x0000_i3851" style="width:0;height:1.5pt" o:hralign="center" o:hrstd="t" o:hr="t" fillcolor="#a0a0a0" stroked="f"/>
        </w:pict>
      </w:r>
    </w:p>
    <w:p w:rsidR="005469D0" w:rsidRDefault="005469D0" w:rsidP="005469D0">
      <w:pPr>
        <w:pStyle w:val="berschrift1"/>
      </w:pPr>
      <w:r>
        <w:t>3.3.46.336 Status des Kohärenzskalierungsgewichts</w:t>
      </w:r>
    </w:p>
    <w:p w:rsidR="005469D0" w:rsidRDefault="005469D0" w:rsidP="005469D0">
      <w:pPr>
        <w:pStyle w:val="StandardWeb"/>
      </w:pPr>
      <w:r>
        <w:t>Das Gewicht</w:t>
      </w:r>
    </w:p>
    <w:p w:rsidR="005469D0" w:rsidRDefault="005469D0" w:rsidP="005469D0">
      <w:pPr>
        <w:pStyle w:val="berschrift1"/>
      </w:pPr>
      <w:r>
        <w:t>[</w:t>
      </w:r>
      <w:r>
        <w:br/>
        <w:t>w_{\mathrm{sc}}(C_F)</w:t>
      </w:r>
    </w:p>
    <w:p w:rsidR="005469D0" w:rsidRDefault="005469D0" w:rsidP="005469D0">
      <w:pPr>
        <w:pStyle w:val="StandardWeb"/>
      </w:pPr>
      <w:r>
        <w:t>\kappa_C</w:t>
      </w:r>
      <w:r>
        <w:br/>
        <w:t>\tag{3.11366}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w_{\mathrm{sc}}(C_F)=\kappa_C</w:t>
      </w:r>
    </w:p>
    <w:p w:rsidR="005469D0" w:rsidRDefault="005469D0" w:rsidP="005469D0">
      <w:pPr>
        <w:pStyle w:val="StandardWeb"/>
      </w:pPr>
      <w:r>
        <w:t>ist aus einer Homogenitätsrelation definiert und operationalisierbar.</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(w_{\mathrm{sc}}(C_F))</w:t>
      </w:r>
    </w:p>
    <w:p w:rsidR="005469D0" w:rsidRDefault="005469D0" w:rsidP="005469D0">
      <w:pPr>
        <w:pStyle w:val="StandardWeb"/>
      </w:pPr>
      <w:r>
        <w:t>\mathrm{Def/Op}.</w:t>
      </w:r>
      <w:r>
        <w:br/>
        <w:t>}</w:t>
      </w:r>
      <w:r>
        <w:br/>
        <w:t>\tag{3.11367}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\boxed{\operatorname{Stat}(w_{\mathrm{sc}}(C_F))=\mathrm{Def/Op}.}</w:t>
      </w:r>
    </w:p>
    <w:p w:rsidR="005469D0" w:rsidRDefault="00E50336" w:rsidP="005469D0">
      <w:r>
        <w:pict>
          <v:rect id="_x0000_i3852" style="width:0;height:1.5pt" o:hralign="center" o:hrstd="t" o:hr="t" fillcolor="#a0a0a0" stroked="f"/>
        </w:pict>
      </w:r>
    </w:p>
    <w:p w:rsidR="005469D0" w:rsidRDefault="005469D0" w:rsidP="005469D0">
      <w:pPr>
        <w:pStyle w:val="berschrift1"/>
      </w:pPr>
      <w:r>
        <w:t>3.3.46.337 Status der Kohärenzordnungserhaltung</w:t>
      </w:r>
    </w:p>
    <w:p w:rsidR="005469D0" w:rsidRDefault="005469D0" w:rsidP="005469D0">
      <w:pPr>
        <w:pStyle w:val="StandardWeb"/>
      </w:pPr>
      <w:r>
        <w:lastRenderedPageBreak/>
        <w:t>Die Eigenschaft</w:t>
      </w:r>
    </w:p>
    <w:p w:rsidR="005469D0" w:rsidRDefault="005469D0" w:rsidP="005469D0">
      <w:pPr>
        <w:pStyle w:val="StandardWeb"/>
      </w:pPr>
      <w:r>
        <w:t>[</w:t>
      </w:r>
      <w:r>
        <w:br/>
        <w:t>C_F(z_i)\leq C_F(z_j)</w:t>
      </w:r>
      <w:r>
        <w:br/>
        <w:t>\Rightarrow</w:t>
      </w:r>
      <w:r>
        <w:br/>
        <w:t>C_F(S_\lambda z_i)\leq C_F(S_\lambda z_j)</w:t>
      </w:r>
      <w:r>
        <w:br/>
        <w:t>\tag{3.11368}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C_F(z_i)\leq C_F(z_j)\Rightarrow C_F(S_\lambda z_i)\leq C_F(S_\lambda z_j)</w:t>
      </w:r>
    </w:p>
    <w:p w:rsidR="005469D0" w:rsidRDefault="005469D0" w:rsidP="005469D0">
      <w:pPr>
        <w:pStyle w:val="StandardWeb"/>
      </w:pPr>
      <w:r>
        <w:t>ist eine definierte und modellabhängige Eigenschaft.</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(\operatorname{OrdInv}_{\mathrm{sc}}C_F)</w:t>
      </w:r>
    </w:p>
    <w:p w:rsidR="005469D0" w:rsidRDefault="005469D0" w:rsidP="005469D0">
      <w:pPr>
        <w:pStyle w:val="StandardWeb"/>
      </w:pPr>
      <w:r>
        <w:t>\mathrm{Def/Mod}.</w:t>
      </w:r>
      <w:r>
        <w:br/>
        <w:t>}</w:t>
      </w:r>
      <w:r>
        <w:br/>
        <w:t>\tag{3.11369}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\boxed{\operatorname{Stat}(\operatorname{OrdInv}_{\mathrm{sc}}C_F)=\mathrm{Def/Mod}.}</w:t>
      </w:r>
    </w:p>
    <w:p w:rsidR="005469D0" w:rsidRDefault="00E50336" w:rsidP="005469D0">
      <w:r>
        <w:pict>
          <v:rect id="_x0000_i3853" style="width:0;height:1.5pt" o:hralign="center" o:hrstd="t" o:hr="t" fillcolor="#a0a0a0" stroked="f"/>
        </w:pict>
      </w:r>
    </w:p>
    <w:p w:rsidR="005469D0" w:rsidRDefault="005469D0" w:rsidP="005469D0">
      <w:pPr>
        <w:pStyle w:val="berschrift1"/>
      </w:pPr>
      <w:r>
        <w:t>3.3.46.338 Status von Null- und Positivitätsmengenerhaltung</w:t>
      </w:r>
    </w:p>
    <w:p w:rsidR="005469D0" w:rsidRDefault="005469D0" w:rsidP="005469D0">
      <w:pPr>
        <w:pStyle w:val="StandardWeb"/>
      </w:pPr>
      <w:r>
        <w:t>Die Erhaltung</w:t>
      </w:r>
    </w:p>
    <w:p w:rsidR="005469D0" w:rsidRDefault="005469D0" w:rsidP="005469D0">
      <w:pPr>
        <w:pStyle w:val="StandardWeb"/>
      </w:pPr>
      <w:r>
        <w:t>[</w:t>
      </w:r>
      <w:r>
        <w:br/>
        <w:t>z\in\mathcal Z_C</w:t>
      </w:r>
      <w:r>
        <w:br/>
        <w:t>\Longleftrightarrow</w:t>
      </w:r>
      <w:r>
        <w:br/>
        <w:t>S_\lambda z\in\mathcal Z_C</w:t>
      </w:r>
      <w:r>
        <w:br/>
        <w:t>\tag{3.11370}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lastRenderedPageBreak/>
        <w:t>z\in\mathcal Z_C\Longleftrightarrow S_\lambda z\in\mathcal Z_C</w:t>
      </w:r>
    </w:p>
    <w:p w:rsidR="005469D0" w:rsidRDefault="005469D0" w:rsidP="005469D0">
      <w:pPr>
        <w:pStyle w:val="StandardWeb"/>
      </w:pPr>
      <w:r>
        <w:t>und</w:t>
      </w:r>
    </w:p>
    <w:p w:rsidR="005469D0" w:rsidRDefault="005469D0" w:rsidP="005469D0">
      <w:pPr>
        <w:pStyle w:val="StandardWeb"/>
      </w:pPr>
      <w:r>
        <w:t>[</w:t>
      </w:r>
      <w:r>
        <w:br/>
        <w:t>C_F(z)&gt;0</w:t>
      </w:r>
      <w:r>
        <w:br/>
        <w:t>\Longleftrightarrow</w:t>
      </w:r>
      <w:r>
        <w:br/>
        <w:t>C_F(S_\lambda z)&gt;0</w:t>
      </w:r>
      <w:r>
        <w:br/>
        <w:t>\tag{3.11371}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C_F(z)&gt;0\Longleftrightarrow C_F(S_\lambda z)&gt;0</w:t>
      </w:r>
    </w:p>
    <w:p w:rsidR="005469D0" w:rsidRDefault="005469D0" w:rsidP="005469D0">
      <w:pPr>
        <w:pStyle w:val="StandardWeb"/>
      </w:pPr>
      <w:r>
        <w:t>sind definierbare Modelleistungen.</w:t>
      </w:r>
    </w:p>
    <w:p w:rsidR="005469D0" w:rsidRDefault="005469D0" w:rsidP="005469D0">
      <w:pPr>
        <w:pStyle w:val="StandardWeb"/>
      </w:pPr>
      <w:r>
        <w:t>Daher gilt</w:t>
      </w:r>
    </w:p>
    <w:p w:rsidR="005469D0" w:rsidRDefault="005469D0" w:rsidP="005469D0">
      <w:pPr>
        <w:pStyle w:val="berschrift1"/>
      </w:pPr>
      <w:r>
        <w:t>[</w:t>
      </w:r>
      <w:r>
        <w:br/>
        <w:t>\boxed{</w:t>
      </w:r>
      <w:r>
        <w:br/>
        <w:t>\operatorname{Stat}</w:t>
      </w:r>
      <w:r>
        <w:br/>
        <w:t>(\operatorname{Inv}_{\mathcal Z_C})</w:t>
      </w:r>
    </w:p>
    <w:p w:rsidR="005469D0" w:rsidRDefault="005469D0" w:rsidP="005469D0">
      <w:pPr>
        <w:pStyle w:val="berschrift1"/>
      </w:pPr>
      <w:r>
        <w:t>\operatorname{Stat}</w:t>
      </w:r>
      <w:r>
        <w:br/>
        <w:t>(\operatorname{Inv}_{\mathcal P_C})</w:t>
      </w:r>
    </w:p>
    <w:p w:rsidR="005469D0" w:rsidRDefault="005469D0" w:rsidP="005469D0">
      <w:pPr>
        <w:pStyle w:val="StandardWeb"/>
      </w:pPr>
      <w:r>
        <w:t>\mathrm{Def/Mod}.</w:t>
      </w:r>
      <w:r>
        <w:br/>
        <w:t>}</w:t>
      </w:r>
      <w:r>
        <w:br/>
        <w:t>\tag{3.11372}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\boxed{\operatorname{Stat}(\operatorname{Inv}_{\mathcal Z_C})=\operatorname{Stat}(\operatorname{Inv}_{\mathcal P_C})=\mathrm{Def/Mod}.}</w:t>
      </w:r>
    </w:p>
    <w:p w:rsidR="005469D0" w:rsidRDefault="00E50336" w:rsidP="005469D0">
      <w:r>
        <w:pict>
          <v:rect id="_x0000_i3854" style="width:0;height:1.5pt" o:hralign="center" o:hrstd="t" o:hr="t" fillcolor="#a0a0a0" stroked="f"/>
        </w:pict>
      </w:r>
    </w:p>
    <w:p w:rsidR="005469D0" w:rsidRDefault="005469D0" w:rsidP="005469D0">
      <w:pPr>
        <w:pStyle w:val="berschrift1"/>
      </w:pPr>
      <w:r>
        <w:t>3.3.46.339 Status des Kohärenzskalierungsmodells</w:t>
      </w:r>
    </w:p>
    <w:p w:rsidR="005469D0" w:rsidRDefault="005469D0" w:rsidP="005469D0">
      <w:pPr>
        <w:pStyle w:val="StandardWeb"/>
      </w:pPr>
      <w:r>
        <w:t>Die Beziehung</w:t>
      </w:r>
    </w:p>
    <w:p w:rsidR="005469D0" w:rsidRDefault="005469D0" w:rsidP="005469D0">
      <w:pPr>
        <w:pStyle w:val="berschrift1"/>
      </w:pPr>
      <w:r>
        <w:t>[</w:t>
      </w:r>
      <w:r>
        <w:br/>
        <w:t>C_F(S_\lambda z)</w:t>
      </w:r>
    </w:p>
    <w:p w:rsidR="005469D0" w:rsidRDefault="005469D0" w:rsidP="005469D0">
      <w:pPr>
        <w:pStyle w:val="StandardWeb"/>
      </w:pPr>
      <w:r>
        <w:lastRenderedPageBreak/>
        <w:t>f_\lambda(C_F(z))</w:t>
      </w:r>
      <w:r>
        <w:br/>
        <w:t>\tag{3.11373}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C_F(S_\lambda z)=f_\lambda(C_F(z))</w:t>
      </w:r>
    </w:p>
    <w:p w:rsidR="005469D0" w:rsidRDefault="005469D0" w:rsidP="005469D0">
      <w:pPr>
        <w:pStyle w:val="StandardWeb"/>
      </w:pPr>
      <w:r>
        <w:t>ist eine allgemeine Modellvorschrift.</w:t>
      </w:r>
    </w:p>
    <w:p w:rsidR="005469D0" w:rsidRDefault="005469D0" w:rsidP="005469D0">
      <w:pPr>
        <w:pStyle w:val="StandardWeb"/>
      </w:pPr>
      <w:r>
        <w:t>Damit gilt</w:t>
      </w:r>
    </w:p>
    <w:p w:rsidR="005469D0" w:rsidRDefault="005469D0" w:rsidP="005469D0">
      <w:pPr>
        <w:pStyle w:val="berschrift1"/>
      </w:pPr>
      <w:r>
        <w:t>[</w:t>
      </w:r>
      <w:r>
        <w:br/>
        <w:t>\boxed{</w:t>
      </w:r>
      <w:r>
        <w:br/>
        <w:t>\operatorname{Stat}</w:t>
      </w:r>
      <w:r>
        <w:br/>
        <w:t>(f_\lambda)</w:t>
      </w:r>
    </w:p>
    <w:p w:rsidR="005469D0" w:rsidRDefault="005469D0" w:rsidP="005469D0">
      <w:pPr>
        <w:pStyle w:val="StandardWeb"/>
      </w:pPr>
      <w:r>
        <w:t>\mathrm{Def/Mod}.</w:t>
      </w:r>
      <w:r>
        <w:br/>
        <w:t>}</w:t>
      </w:r>
      <w:r>
        <w:br/>
        <w:t>\tag{3.11374}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\boxed{\operatorname{Stat}(f_\lambda)=\mathrm{Def/Mod}.}</w:t>
      </w:r>
    </w:p>
    <w:p w:rsidR="005469D0" w:rsidRDefault="00E50336" w:rsidP="005469D0">
      <w:r>
        <w:pict>
          <v:rect id="_x0000_i3855" style="width:0;height:1.5pt" o:hralign="center" o:hrstd="t" o:hr="t" fillcolor="#a0a0a0" stroked="f"/>
        </w:pict>
      </w:r>
    </w:p>
    <w:p w:rsidR="005469D0" w:rsidRDefault="005469D0" w:rsidP="005469D0">
      <w:pPr>
        <w:pStyle w:val="berschrift1"/>
      </w:pPr>
      <w:r>
        <w:t>3.3.46.340 Status der Skalenkommutativität funktionaler Operatoren</w:t>
      </w:r>
    </w:p>
    <w:p w:rsidR="005469D0" w:rsidRDefault="005469D0" w:rsidP="005469D0">
      <w:pPr>
        <w:pStyle w:val="StandardWeb"/>
      </w:pPr>
      <w:r>
        <w:t>Die Beziehung</w:t>
      </w:r>
    </w:p>
    <w:p w:rsidR="005469D0" w:rsidRDefault="005469D0" w:rsidP="005469D0">
      <w:pPr>
        <w:pStyle w:val="berschrift1"/>
      </w:pPr>
      <w:r>
        <w:t>[</w:t>
      </w:r>
      <w:r>
        <w:br/>
        <w:t>\mathcal O\circ S_\lambda</w:t>
      </w:r>
    </w:p>
    <w:p w:rsidR="005469D0" w:rsidRDefault="005469D0" w:rsidP="005469D0">
      <w:pPr>
        <w:pStyle w:val="StandardWeb"/>
      </w:pPr>
      <w:r>
        <w:t>S_\lambda\circ\mathcal O</w:t>
      </w:r>
      <w:r>
        <w:br/>
        <w:t>\tag{3.11375}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\mathcal O\circ S_\lambda=S_\lambda\circ\mathcal O</w:t>
      </w:r>
    </w:p>
    <w:p w:rsidR="005469D0" w:rsidRDefault="005469D0" w:rsidP="005469D0">
      <w:pPr>
        <w:pStyle w:val="StandardWeb"/>
      </w:pPr>
      <w:r>
        <w:t>ist eine definierte Modelleistenschaft.</w:t>
      </w:r>
    </w:p>
    <w:p w:rsidR="005469D0" w:rsidRDefault="005469D0" w:rsidP="005469D0">
      <w:pPr>
        <w:pStyle w:val="StandardWeb"/>
      </w:pPr>
      <w:r>
        <w:t>Damit gilt</w:t>
      </w:r>
    </w:p>
    <w:p w:rsidR="005469D0" w:rsidRDefault="005469D0" w:rsidP="005469D0">
      <w:pPr>
        <w:pStyle w:val="berschrift1"/>
      </w:pPr>
      <w:r>
        <w:lastRenderedPageBreak/>
        <w:t>[</w:t>
      </w:r>
      <w:r>
        <w:br/>
        <w:t>\boxed{</w:t>
      </w:r>
      <w:r>
        <w:br/>
        <w:t>\operatorname{Stat}</w:t>
      </w:r>
      <w:r>
        <w:br/>
        <w:t>(\operatorname{Comm}_{\mathrm{sc}}\mathcal O)</w:t>
      </w:r>
    </w:p>
    <w:p w:rsidR="005469D0" w:rsidRDefault="005469D0" w:rsidP="005469D0">
      <w:pPr>
        <w:pStyle w:val="StandardWeb"/>
      </w:pPr>
      <w:r>
        <w:t>\mathrm{Def/Mod}.</w:t>
      </w:r>
      <w:r>
        <w:br/>
        <w:t>}</w:t>
      </w:r>
      <w:r>
        <w:br/>
        <w:t>\tag{3.11376}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\boxed{\operatorname{Stat}(\operatorname{Comm}_{\mathrm{sc}}\mathcal O)=\mathrm{Def/Mod}.}</w:t>
      </w:r>
    </w:p>
    <w:p w:rsidR="005469D0" w:rsidRDefault="00E50336" w:rsidP="005469D0">
      <w:r>
        <w:pict>
          <v:rect id="_x0000_i3856" style="width:0;height:1.5pt" o:hralign="center" o:hrstd="t" o:hr="t" fillcolor="#a0a0a0" stroked="f"/>
        </w:pict>
      </w:r>
    </w:p>
    <w:p w:rsidR="005469D0" w:rsidRDefault="005469D0" w:rsidP="005469D0">
      <w:pPr>
        <w:pStyle w:val="berschrift1"/>
      </w:pPr>
      <w:r>
        <w:t>3.3.46.341 Status der skalierungsgewichtskompensierten Kaskade</w:t>
      </w:r>
    </w:p>
    <w:p w:rsidR="005469D0" w:rsidRDefault="005469D0" w:rsidP="005469D0">
      <w:pPr>
        <w:pStyle w:val="StandardWeb"/>
      </w:pPr>
      <w:r>
        <w:t>Die Bedingung</w:t>
      </w:r>
    </w:p>
    <w:p w:rsidR="005469D0" w:rsidRDefault="005469D0" w:rsidP="005469D0">
      <w:pPr>
        <w:pStyle w:val="berschrift1"/>
      </w:pPr>
      <w:r>
        <w:t>[</w:t>
      </w:r>
      <w:r>
        <w:br/>
        <w:t>\sum_i</w:t>
      </w:r>
      <w:r>
        <w:br/>
        <w:t>w_{\mathrm{sc}}(\mathcal O_i)</w:t>
      </w:r>
    </w:p>
    <w:p w:rsidR="005469D0" w:rsidRDefault="005469D0" w:rsidP="005469D0">
      <w:pPr>
        <w:pStyle w:val="StandardWeb"/>
      </w:pPr>
      <w:r>
        <w:t>0</w:t>
      </w:r>
      <w:r>
        <w:br/>
        <w:t>\tag{3.11377}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\sum_i w_{\mathrm{sc}}(\mathcal O_i)=0</w:t>
      </w:r>
    </w:p>
    <w:p w:rsidR="005469D0" w:rsidRDefault="005469D0" w:rsidP="005469D0">
      <w:pPr>
        <w:pStyle w:val="StandardWeb"/>
      </w:pPr>
      <w:r>
        <w:t>wurde als Skalierungsgewichtskompensation definiert.</w:t>
      </w:r>
    </w:p>
    <w:p w:rsidR="005469D0" w:rsidRDefault="005469D0" w:rsidP="005469D0">
      <w:pPr>
        <w:pStyle w:val="StandardWeb"/>
      </w:pPr>
      <w:r>
        <w:t>Die Folgerung, dass die gesamte homogene Kaskade Skalierungsgewicht null besitzt, ist mathematisch abgeleitet.</w:t>
      </w:r>
    </w:p>
    <w:p w:rsidR="005469D0" w:rsidRDefault="005469D0" w:rsidP="005469D0">
      <w:pPr>
        <w:pStyle w:val="StandardWeb"/>
      </w:pPr>
      <w:r>
        <w:t>Daher gilt</w:t>
      </w:r>
    </w:p>
    <w:p w:rsidR="005469D0" w:rsidRDefault="005469D0" w:rsidP="005469D0">
      <w:pPr>
        <w:pStyle w:val="berschrift1"/>
      </w:pPr>
      <w:r>
        <w:t>[</w:t>
      </w:r>
      <w:r>
        <w:br/>
        <w:t>\boxed{</w:t>
      </w:r>
      <w:r>
        <w:br/>
      </w:r>
      <w:r>
        <w:lastRenderedPageBreak/>
        <w:t>\operatorname{Stat}</w:t>
      </w:r>
      <w:r>
        <w:br/>
        <w:t>(\operatorname{CompWeight}_{\mathrm{sc}})</w:t>
      </w:r>
    </w:p>
    <w:p w:rsidR="005469D0" w:rsidRDefault="005469D0" w:rsidP="005469D0">
      <w:pPr>
        <w:pStyle w:val="StandardWeb"/>
      </w:pPr>
      <w:r>
        <w:t>\mathrm{Def}</w:t>
      </w:r>
      <w:r>
        <w:br/>
        <w:t>}</w:t>
      </w:r>
      <w:r>
        <w:br/>
        <w:t>\tag{3.11378}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\boxed{\operatorname{Stat}(\operatorname{CompWeight}_{\mathrm{sc}})=\mathrm{Def}}</w:t>
      </w:r>
    </w:p>
    <w:p w:rsidR="005469D0" w:rsidRDefault="005469D0" w:rsidP="005469D0">
      <w:pPr>
        <w:pStyle w:val="StandardWeb"/>
      </w:pPr>
      <w:r>
        <w:t>und</w:t>
      </w:r>
    </w:p>
    <w:p w:rsidR="005469D0" w:rsidRDefault="005469D0" w:rsidP="005469D0">
      <w:pPr>
        <w:pStyle w:val="berschrift1"/>
      </w:pPr>
      <w:r>
        <w:t>[</w:t>
      </w:r>
      <w:r>
        <w:br/>
        <w:t>\boxed{</w:t>
      </w:r>
      <w:r>
        <w:br/>
        <w:t>\operatorname{Stat}</w:t>
      </w:r>
      <w:r>
        <w:br/>
        <w:t>\left(</w:t>
      </w:r>
      <w:r>
        <w:br/>
        <w:t>\sum_iw_i=0</w:t>
      </w:r>
      <w:r>
        <w:br/>
        <w:t>\Rightarrow</w:t>
      </w:r>
      <w:r>
        <w:br/>
        <w:t>w_{\mathrm{sc}}(\mathcal K_F)=0</w:t>
      </w:r>
      <w:r>
        <w:br/>
        <w:t>\right)</w:t>
      </w:r>
    </w:p>
    <w:p w:rsidR="005469D0" w:rsidRDefault="005469D0" w:rsidP="005469D0">
      <w:pPr>
        <w:pStyle w:val="StandardWeb"/>
      </w:pPr>
      <w:r>
        <w:t>\mathrm{Der}.</w:t>
      </w:r>
      <w:r>
        <w:br/>
        <w:t>}</w:t>
      </w:r>
      <w:r>
        <w:br/>
        <w:t>\tag{3.11379}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\boxed{\operatorname{Stat}\left(\sum_iw_i=0\Rightarrow w_{\mathrm{sc}}(\mathcal K_F)=0\right)=\mathrm{Der}.}</w:t>
      </w:r>
    </w:p>
    <w:p w:rsidR="005469D0" w:rsidRDefault="00E50336" w:rsidP="005469D0">
      <w:r>
        <w:pict>
          <v:rect id="_x0000_i3857" style="width:0;height:1.5pt" o:hralign="center" o:hrstd="t" o:hr="t" fillcolor="#a0a0a0" stroked="f"/>
        </w:pict>
      </w:r>
    </w:p>
    <w:p w:rsidR="005469D0" w:rsidRDefault="005469D0" w:rsidP="005469D0">
      <w:pPr>
        <w:pStyle w:val="berschrift1"/>
      </w:pPr>
      <w:r>
        <w:t>3.3.46.342 Status des Skalenkompatibilitätsprofils</w:t>
      </w:r>
    </w:p>
    <w:p w:rsidR="005469D0" w:rsidRDefault="005469D0" w:rsidP="005469D0">
      <w:pPr>
        <w:pStyle w:val="StandardWeb"/>
      </w:pPr>
      <w:r>
        <w:t>Das Profil</w:t>
      </w:r>
    </w:p>
    <w:p w:rsidR="005469D0" w:rsidRDefault="005469D0" w:rsidP="005469D0">
      <w:pPr>
        <w:pStyle w:val="berschrift1"/>
      </w:pPr>
      <w:r>
        <w:t>[</w:t>
      </w:r>
      <w:r>
        <w:br/>
        <w:t>\mathfrak P_{\mathrm{sc}}</w:t>
      </w:r>
    </w:p>
    <w:p w:rsidR="005469D0" w:rsidRDefault="005469D0" w:rsidP="005469D0">
      <w:pPr>
        <w:pStyle w:val="StandardWeb"/>
      </w:pPr>
      <w:r>
        <w:lastRenderedPageBreak/>
        <w:t>(K_\Omega,K_T,K_C,K_O)</w:t>
      </w:r>
      <w:r>
        <w:br/>
        <w:t>\tag{3.11380}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\mathfrak P_{\mathrm{sc}}=(K_\Omega,K_T,K_C,K_O)</w:t>
      </w:r>
    </w:p>
    <w:p w:rsidR="005469D0" w:rsidRDefault="005469D0" w:rsidP="005469D0">
      <w:pPr>
        <w:pStyle w:val="StandardWeb"/>
      </w:pPr>
      <w:r>
        <w:t>fasst mehrere Prüfbedingungen zusammen.</w:t>
      </w:r>
    </w:p>
    <w:p w:rsidR="005469D0" w:rsidRDefault="005469D0" w:rsidP="005469D0">
      <w:pPr>
        <w:pStyle w:val="StandardWeb"/>
      </w:pPr>
      <w:r>
        <w:t>Es ist damit definitorisch eingeführt und unmittelbar operationalisierbar.</w:t>
      </w:r>
    </w:p>
    <w:p w:rsidR="005469D0" w:rsidRDefault="005469D0" w:rsidP="005469D0">
      <w:pPr>
        <w:pStyle w:val="berschrift1"/>
      </w:pPr>
      <w:r>
        <w:t>[</w:t>
      </w:r>
      <w:r>
        <w:br/>
        <w:t>\boxed{</w:t>
      </w:r>
      <w:r>
        <w:br/>
        <w:t>\operatorname{Stat}</w:t>
      </w:r>
      <w:r>
        <w:br/>
        <w:t>(\mathfrak P_{\mathrm{sc}})</w:t>
      </w:r>
    </w:p>
    <w:p w:rsidR="005469D0" w:rsidRDefault="005469D0" w:rsidP="005469D0">
      <w:pPr>
        <w:pStyle w:val="StandardWeb"/>
      </w:pPr>
      <w:r>
        <w:t>\mathrm{Def/Op}.</w:t>
      </w:r>
      <w:r>
        <w:br/>
        <w:t>}</w:t>
      </w:r>
      <w:r>
        <w:br/>
        <w:t>\tag{3.11381}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\boxed{\operatorname{Stat}(\mathfrak P_{\mathrm{sc}})=\mathrm{Def/Op}.}</w:t>
      </w:r>
    </w:p>
    <w:p w:rsidR="005469D0" w:rsidRDefault="00E50336" w:rsidP="005469D0">
      <w:r>
        <w:pict>
          <v:rect id="_x0000_i3858" style="width:0;height:1.5pt" o:hralign="center" o:hrstd="t" o:hr="t" fillcolor="#a0a0a0" stroked="f"/>
        </w:pict>
      </w:r>
    </w:p>
    <w:p w:rsidR="005469D0" w:rsidRDefault="005469D0" w:rsidP="005469D0">
      <w:pPr>
        <w:pStyle w:val="berschrift1"/>
      </w:pPr>
      <w:r>
        <w:t>3.3.46.343 Status vollständiger Skalenkompatibilität</w:t>
      </w:r>
    </w:p>
    <w:p w:rsidR="005469D0" w:rsidRDefault="005469D0" w:rsidP="005469D0">
      <w:pPr>
        <w:pStyle w:val="StandardWeb"/>
      </w:pPr>
      <w:r>
        <w:t>Die Bedingung</w:t>
      </w:r>
    </w:p>
    <w:p w:rsidR="005469D0" w:rsidRDefault="005469D0" w:rsidP="005469D0">
      <w:pPr>
        <w:pStyle w:val="berschrift1"/>
      </w:pPr>
      <w:r>
        <w:t>[</w:t>
      </w:r>
      <w:r>
        <w:br/>
        <w:t>\mathfrak P_{\mathrm{sc}}</w:t>
      </w:r>
    </w:p>
    <w:p w:rsidR="005469D0" w:rsidRDefault="005469D0" w:rsidP="005469D0">
      <w:pPr>
        <w:pStyle w:val="StandardWeb"/>
      </w:pPr>
      <w:r>
        <w:t>(1,1,1,1)</w:t>
      </w:r>
      <w:r>
        <w:br/>
        <w:t>\tag{3.11382}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\mathfrak P_{\mathrm{sc}}=(1,1,1,1)</w:t>
      </w:r>
    </w:p>
    <w:p w:rsidR="005469D0" w:rsidRDefault="005469D0" w:rsidP="005469D0">
      <w:pPr>
        <w:pStyle w:val="StandardWeb"/>
      </w:pPr>
      <w:r>
        <w:t>ist eine mögliche Modelleistenschaft.</w:t>
      </w:r>
    </w:p>
    <w:p w:rsidR="005469D0" w:rsidRDefault="005469D0" w:rsidP="005469D0">
      <w:pPr>
        <w:pStyle w:val="StandardWeb"/>
      </w:pPr>
      <w:r>
        <w:t>Sie besitzt daher den Status</w:t>
      </w:r>
    </w:p>
    <w:p w:rsidR="005469D0" w:rsidRDefault="005469D0" w:rsidP="005469D0">
      <w:pPr>
        <w:pStyle w:val="berschrift1"/>
      </w:pPr>
      <w:r>
        <w:lastRenderedPageBreak/>
        <w:t>[</w:t>
      </w:r>
      <w:r>
        <w:br/>
        <w:t>\boxed{</w:t>
      </w:r>
      <w:r>
        <w:br/>
        <w:t>\operatorname{Stat}</w:t>
      </w:r>
      <w:r>
        <w:br/>
        <w:t>(\operatorname{FullComp}_{\mathrm{sc}})</w:t>
      </w:r>
    </w:p>
    <w:p w:rsidR="005469D0" w:rsidRDefault="005469D0" w:rsidP="005469D0">
      <w:pPr>
        <w:pStyle w:val="StandardWeb"/>
      </w:pPr>
      <w:r>
        <w:t>\mathrm{Def/Mod}.</w:t>
      </w:r>
      <w:r>
        <w:br/>
        <w:t>}</w:t>
      </w:r>
      <w:r>
        <w:br/>
        <w:t>\tag{3.11383}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\boxed{\operatorname{Stat}(\operatorname{FullComp}_{\mathrm{sc}})=\mathrm{Def/Mod}.}</w:t>
      </w:r>
    </w:p>
    <w:p w:rsidR="005469D0" w:rsidRDefault="00E50336" w:rsidP="005469D0">
      <w:r>
        <w:pict>
          <v:rect id="_x0000_i3859" style="width:0;height:1.5pt" o:hralign="center" o:hrstd="t" o:hr="t" fillcolor="#a0a0a0" stroked="f"/>
        </w:pict>
      </w:r>
    </w:p>
    <w:p w:rsidR="005469D0" w:rsidRDefault="005469D0" w:rsidP="005469D0">
      <w:pPr>
        <w:pStyle w:val="berschrift1"/>
      </w:pPr>
      <w:r>
        <w:t>3.3.46.344 Zusammenfassende Statusmatrix</w:t>
      </w:r>
    </w:p>
    <w:p w:rsidR="005469D0" w:rsidRDefault="005469D0" w:rsidP="005469D0">
      <w:pPr>
        <w:pStyle w:val="StandardWeb"/>
      </w:pPr>
      <w:r>
        <w:t>Die wesentlichen Ergebnisse kann ich nun in einer kompakten Matrix zusammenführen: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0"/>
        <w:gridCol w:w="409"/>
        <w:gridCol w:w="418"/>
        <w:gridCol w:w="528"/>
        <w:gridCol w:w="352"/>
        <w:gridCol w:w="513"/>
      </w:tblGrid>
      <w:tr w:rsidR="005469D0" w:rsidTr="005469D0">
        <w:trPr>
          <w:tblHeader/>
          <w:tblCellSpacing w:w="15" w:type="dxa"/>
        </w:trPr>
        <w:tc>
          <w:tcPr>
            <w:tcW w:w="0" w:type="auto"/>
            <w:vAlign w:val="center"/>
            <w:hideMark/>
          </w:tcPr>
          <w:p w:rsidR="005469D0" w:rsidRDefault="005469D0">
            <w:pPr>
              <w:jc w:val="center"/>
              <w:rPr>
                <w:b/>
              </w:rPr>
            </w:pPr>
            <w:r>
              <w:rPr>
                <w:b/>
                <w:bCs w:val="0"/>
              </w:rPr>
              <w:t>Struktur</w:t>
            </w:r>
          </w:p>
        </w:tc>
        <w:tc>
          <w:tcPr>
            <w:tcW w:w="0" w:type="auto"/>
            <w:vAlign w:val="center"/>
            <w:hideMark/>
          </w:tcPr>
          <w:p w:rsidR="005469D0" w:rsidRDefault="005469D0">
            <w:pPr>
              <w:jc w:val="center"/>
              <w:rPr>
                <w:b/>
                <w:bCs w:val="0"/>
              </w:rPr>
            </w:pPr>
            <w:r>
              <w:rPr>
                <w:b/>
                <w:bCs w:val="0"/>
              </w:rPr>
              <w:t>Def</w:t>
            </w:r>
          </w:p>
        </w:tc>
        <w:tc>
          <w:tcPr>
            <w:tcW w:w="0" w:type="auto"/>
            <w:vAlign w:val="center"/>
            <w:hideMark/>
          </w:tcPr>
          <w:p w:rsidR="005469D0" w:rsidRDefault="005469D0">
            <w:pPr>
              <w:jc w:val="center"/>
              <w:rPr>
                <w:b/>
                <w:bCs w:val="0"/>
              </w:rPr>
            </w:pPr>
            <w:r>
              <w:rPr>
                <w:b/>
                <w:bCs w:val="0"/>
              </w:rPr>
              <w:t>Der</w:t>
            </w:r>
          </w:p>
        </w:tc>
        <w:tc>
          <w:tcPr>
            <w:tcW w:w="0" w:type="auto"/>
            <w:vAlign w:val="center"/>
            <w:hideMark/>
          </w:tcPr>
          <w:p w:rsidR="005469D0" w:rsidRDefault="005469D0">
            <w:pPr>
              <w:jc w:val="center"/>
              <w:rPr>
                <w:b/>
                <w:bCs w:val="0"/>
              </w:rPr>
            </w:pPr>
            <w:r>
              <w:rPr>
                <w:b/>
                <w:bCs w:val="0"/>
              </w:rPr>
              <w:t>Mod</w:t>
            </w:r>
          </w:p>
        </w:tc>
        <w:tc>
          <w:tcPr>
            <w:tcW w:w="0" w:type="auto"/>
            <w:vAlign w:val="center"/>
            <w:hideMark/>
          </w:tcPr>
          <w:p w:rsidR="005469D0" w:rsidRDefault="005469D0">
            <w:pPr>
              <w:jc w:val="center"/>
              <w:rPr>
                <w:b/>
                <w:bCs w:val="0"/>
              </w:rPr>
            </w:pPr>
            <w:r>
              <w:rPr>
                <w:b/>
                <w:bCs w:val="0"/>
              </w:rPr>
              <w:t>Op</w:t>
            </w:r>
          </w:p>
        </w:tc>
        <w:tc>
          <w:tcPr>
            <w:tcW w:w="0" w:type="auto"/>
            <w:vAlign w:val="center"/>
            <w:hideMark/>
          </w:tcPr>
          <w:p w:rsidR="005469D0" w:rsidRDefault="005469D0">
            <w:pPr>
              <w:jc w:val="center"/>
              <w:rPr>
                <w:b/>
                <w:bCs w:val="0"/>
              </w:rPr>
            </w:pPr>
            <w:r>
              <w:rPr>
                <w:b/>
                <w:bCs w:val="0"/>
              </w:rPr>
              <w:t>Ax</w:t>
            </w:r>
          </w:p>
        </w:tc>
      </w:tr>
      <w:tr w:rsidR="005469D0" w:rsidTr="005469D0">
        <w:trPr>
          <w:tblCellSpacing w:w="15" w:type="dxa"/>
        </w:trPr>
        <w:tc>
          <w:tcPr>
            <w:tcW w:w="0" w:type="auto"/>
            <w:vAlign w:val="center"/>
            <w:hideMark/>
          </w:tcPr>
          <w:p w:rsidR="005469D0" w:rsidRDefault="005469D0">
            <w:pPr>
              <w:rPr>
                <w:bCs w:val="0"/>
              </w:rPr>
            </w:pPr>
            <w:r>
              <w:t>(S_\lambda)</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(M_{\mathrm{sc}})</w:t>
            </w:r>
          </w:p>
        </w:tc>
        <w:tc>
          <w:tcPr>
            <w:tcW w:w="0" w:type="auto"/>
            <w:vAlign w:val="center"/>
            <w:hideMark/>
          </w:tcPr>
          <w:p w:rsidR="005469D0" w:rsidRDefault="005469D0"/>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(\mathcal O_{\mathrm{sc}})</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(\sim_{\mathrm{sc}})</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Äquivalenzeigenschaft von (\sim_{\mathrm{sc}})</w:t>
            </w:r>
          </w:p>
        </w:tc>
        <w:tc>
          <w:tcPr>
            <w:tcW w:w="0" w:type="auto"/>
            <w:vAlign w:val="center"/>
            <w:hideMark/>
          </w:tcPr>
          <w:p w:rsidR="005469D0" w:rsidRDefault="005469D0"/>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(\mathcal Q_{\mathrm{sc}})</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Skalierungsinvarianz</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Homogenität</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(w_{\mathrm{sc}})</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r>
      <w:tr w:rsidR="005469D0" w:rsidTr="005469D0">
        <w:trPr>
          <w:tblCellSpacing w:w="15" w:type="dxa"/>
        </w:trPr>
        <w:tc>
          <w:tcPr>
            <w:tcW w:w="0" w:type="auto"/>
            <w:vAlign w:val="center"/>
            <w:hideMark/>
          </w:tcPr>
          <w:p w:rsidR="005469D0" w:rsidRDefault="005469D0">
            <w:r>
              <w:t>Gewichtsrechenregeln</w:t>
            </w:r>
          </w:p>
        </w:tc>
        <w:tc>
          <w:tcPr>
            <w:tcW w:w="0" w:type="auto"/>
            <w:vAlign w:val="center"/>
            <w:hideMark/>
          </w:tcPr>
          <w:p w:rsidR="005469D0" w:rsidRDefault="005469D0"/>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(\operatorname{Dim})</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(M_D^{\mathrm{dim}})</w:t>
            </w:r>
          </w:p>
        </w:tc>
        <w:tc>
          <w:tcPr>
            <w:tcW w:w="0" w:type="auto"/>
            <w:vAlign w:val="center"/>
            <w:hideMark/>
          </w:tcPr>
          <w:p w:rsidR="005469D0" w:rsidRDefault="005469D0"/>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Dimensionslosigkeit</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Dimensionshomogenität</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r>
      <w:tr w:rsidR="005469D0" w:rsidTr="005469D0">
        <w:trPr>
          <w:tblCellSpacing w:w="15" w:type="dxa"/>
        </w:trPr>
        <w:tc>
          <w:tcPr>
            <w:tcW w:w="0" w:type="auto"/>
            <w:vAlign w:val="center"/>
            <w:hideMark/>
          </w:tcPr>
          <w:p w:rsidR="005469D0" w:rsidRDefault="005469D0">
            <w:r>
              <w:lastRenderedPageBreak/>
              <w:t>(\operatorname{Unit})</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dimensionslose (\Pi)-Gruppen</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r>
      <w:tr w:rsidR="005469D0" w:rsidTr="005469D0">
        <w:trPr>
          <w:tblCellSpacing w:w="15" w:type="dxa"/>
        </w:trPr>
        <w:tc>
          <w:tcPr>
            <w:tcW w:w="0" w:type="auto"/>
            <w:vAlign w:val="center"/>
            <w:hideMark/>
          </w:tcPr>
          <w:p w:rsidR="005469D0" w:rsidRDefault="005469D0">
            <w:r>
              <w:t>Kernbeziehung (D\mathbf a=0)</w:t>
            </w:r>
          </w:p>
        </w:tc>
        <w:tc>
          <w:tcPr>
            <w:tcW w:w="0" w:type="auto"/>
            <w:vAlign w:val="center"/>
            <w:hideMark/>
          </w:tcPr>
          <w:p w:rsidR="005469D0" w:rsidRDefault="005469D0"/>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(M_\Pi)</w:t>
            </w:r>
          </w:p>
        </w:tc>
        <w:tc>
          <w:tcPr>
            <w:tcW w:w="0" w:type="auto"/>
            <w:vAlign w:val="center"/>
            <w:hideMark/>
          </w:tcPr>
          <w:p w:rsidR="005469D0" w:rsidRDefault="005469D0"/>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(\boldsymbol\Pi_F)</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r>
      <w:tr w:rsidR="005469D0" w:rsidTr="005469D0">
        <w:trPr>
          <w:tblCellSpacing w:w="15" w:type="dxa"/>
        </w:trPr>
        <w:tc>
          <w:tcPr>
            <w:tcW w:w="0" w:type="auto"/>
            <w:vAlign w:val="center"/>
            <w:hideMark/>
          </w:tcPr>
          <w:p w:rsidR="005469D0" w:rsidRDefault="005469D0">
            <w:r>
              <w:t>Orbittrennung</w:t>
            </w:r>
          </w:p>
        </w:tc>
        <w:tc>
          <w:tcPr>
            <w:tcW w:w="0" w:type="auto"/>
            <w:vAlign w:val="center"/>
            <w:hideMark/>
          </w:tcPr>
          <w:p w:rsidR="005469D0" w:rsidRDefault="005469D0"/>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Mehrparameterskalierung</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Isotropie/Anisotropie</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gewichtete Skalierung</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skalierungskovariante Operatoren</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Operator-Skalierungsgewicht</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r>
      <w:tr w:rsidR="005469D0" w:rsidTr="005469D0">
        <w:trPr>
          <w:tblCellSpacing w:w="15" w:type="dxa"/>
        </w:trPr>
        <w:tc>
          <w:tcPr>
            <w:tcW w:w="0" w:type="auto"/>
            <w:vAlign w:val="center"/>
            <w:hideMark/>
          </w:tcPr>
          <w:p w:rsidR="005469D0" w:rsidRDefault="005469D0">
            <w:r>
              <w:t>Normalisierung</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r>
      <w:tr w:rsidR="005469D0" w:rsidTr="005469D0">
        <w:trPr>
          <w:tblCellSpacing w:w="15" w:type="dxa"/>
        </w:trPr>
        <w:tc>
          <w:tcPr>
            <w:tcW w:w="0" w:type="auto"/>
            <w:vAlign w:val="center"/>
            <w:hideMark/>
          </w:tcPr>
          <w:p w:rsidR="005469D0" w:rsidRDefault="005469D0">
            <w:r>
              <w:t>Normierungsfläche</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funktionale Renormierung</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Skalenabweichung</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r>
      <w:tr w:rsidR="005469D0" w:rsidTr="005469D0">
        <w:trPr>
          <w:tblCellSpacing w:w="15" w:type="dxa"/>
        </w:trPr>
        <w:tc>
          <w:tcPr>
            <w:tcW w:w="0" w:type="auto"/>
            <w:vAlign w:val="center"/>
            <w:hideMark/>
          </w:tcPr>
          <w:p w:rsidR="005469D0" w:rsidRDefault="005469D0">
            <w:r>
              <w:t>(\varepsilon)-Skaleninvarianz</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r>
      <w:tr w:rsidR="005469D0" w:rsidTr="005469D0">
        <w:trPr>
          <w:tblCellSpacing w:w="15" w:type="dxa"/>
        </w:trPr>
        <w:tc>
          <w:tcPr>
            <w:tcW w:w="0" w:type="auto"/>
            <w:vAlign w:val="center"/>
            <w:hideMark/>
          </w:tcPr>
          <w:p w:rsidR="005469D0" w:rsidRDefault="005469D0">
            <w:r>
              <w:t>Skalenverletzungsmenge</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r>
      <w:tr w:rsidR="005469D0" w:rsidTr="005469D0">
        <w:trPr>
          <w:tblCellSpacing w:w="15" w:type="dxa"/>
        </w:trPr>
        <w:tc>
          <w:tcPr>
            <w:tcW w:w="0" w:type="auto"/>
            <w:vAlign w:val="center"/>
            <w:hideMark/>
          </w:tcPr>
          <w:p w:rsidR="005469D0" w:rsidRDefault="005469D0">
            <w:r>
              <w:t>(\tau=\ln\lambda)</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Skalierungsfluss</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Skalierungsgenerator</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Generator-Eigenwertbeziehung</w:t>
            </w:r>
          </w:p>
        </w:tc>
        <w:tc>
          <w:tcPr>
            <w:tcW w:w="0" w:type="auto"/>
            <w:vAlign w:val="center"/>
            <w:hideMark/>
          </w:tcPr>
          <w:p w:rsidR="005469D0" w:rsidRDefault="005469D0"/>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(\beta_Q)</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r>
      <w:tr w:rsidR="005469D0" w:rsidTr="005469D0">
        <w:trPr>
          <w:tblCellSpacing w:w="15" w:type="dxa"/>
        </w:trPr>
        <w:tc>
          <w:tcPr>
            <w:tcW w:w="0" w:type="auto"/>
            <w:vAlign w:val="center"/>
            <w:hideMark/>
          </w:tcPr>
          <w:p w:rsidR="005469D0" w:rsidRDefault="005469D0">
            <w:r>
              <w:t>Skalenfixpunkt</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r>
      <w:tr w:rsidR="005469D0" w:rsidTr="005469D0">
        <w:trPr>
          <w:tblCellSpacing w:w="15" w:type="dxa"/>
        </w:trPr>
        <w:tc>
          <w:tcPr>
            <w:tcW w:w="0" w:type="auto"/>
            <w:vAlign w:val="center"/>
            <w:hideMark/>
          </w:tcPr>
          <w:p w:rsidR="005469D0" w:rsidRDefault="005469D0">
            <w:r>
              <w:t>Übergangserhaltung</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(\mathfrak G_{\mathrm{sc},T})</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Untergruppenbeziehung</w:t>
            </w:r>
          </w:p>
        </w:tc>
        <w:tc>
          <w:tcPr>
            <w:tcW w:w="0" w:type="auto"/>
            <w:vAlign w:val="center"/>
            <w:hideMark/>
          </w:tcPr>
          <w:p w:rsidR="005469D0" w:rsidRDefault="005469D0"/>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Kohärenzerhaltung</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lastRenderedPageBreak/>
              <w:t>Kohärenzordnungserhaltung</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Kohärenznullmengenerhaltung</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Kohärenzpositivitätserhaltung</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(f_\lambda)</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Skalenkommutativität von Operatoren</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Gewichtskompensation</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(\mathfrak P_{\mathrm{sc}})</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r>
      <w:tr w:rsidR="005469D0" w:rsidTr="005469D0">
        <w:trPr>
          <w:tblCellSpacing w:w="15" w:type="dxa"/>
        </w:trPr>
        <w:tc>
          <w:tcPr>
            <w:tcW w:w="0" w:type="auto"/>
            <w:vAlign w:val="center"/>
            <w:hideMark/>
          </w:tcPr>
          <w:p w:rsidR="005469D0" w:rsidRDefault="005469D0">
            <w:r>
              <w:t>vollständige Skalenkompatibilität</w:t>
            </w: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pPr>
            <w:r>
              <w:rPr>
                <w:rFonts w:ascii="Segoe UI Symbol" w:hAnsi="Segoe UI Symbol" w:cs="Segoe UI Symbol"/>
              </w:rPr>
              <w:t>✓</w:t>
            </w:r>
          </w:p>
        </w:tc>
        <w:tc>
          <w:tcPr>
            <w:tcW w:w="0" w:type="auto"/>
            <w:vAlign w:val="center"/>
            <w:hideMark/>
          </w:tcPr>
          <w:p w:rsidR="005469D0" w:rsidRDefault="005469D0">
            <w:pPr>
              <w:jc w:val="center"/>
            </w:pPr>
          </w:p>
        </w:tc>
        <w:tc>
          <w:tcPr>
            <w:tcW w:w="0" w:type="auto"/>
            <w:vAlign w:val="center"/>
            <w:hideMark/>
          </w:tcPr>
          <w:p w:rsidR="005469D0" w:rsidRDefault="005469D0">
            <w:pPr>
              <w:jc w:val="center"/>
              <w:rPr>
                <w:sz w:val="20"/>
                <w:szCs w:val="20"/>
              </w:rPr>
            </w:pPr>
          </w:p>
        </w:tc>
      </w:tr>
      <w:tr w:rsidR="005469D0" w:rsidTr="005469D0">
        <w:trPr>
          <w:tblCellSpacing w:w="15" w:type="dxa"/>
        </w:trPr>
        <w:tc>
          <w:tcPr>
            <w:tcW w:w="0" w:type="auto"/>
            <w:vAlign w:val="center"/>
            <w:hideMark/>
          </w:tcPr>
          <w:p w:rsidR="005469D0" w:rsidRDefault="005469D0">
            <w:r>
              <w:t>neues Primäraxiom</w:t>
            </w:r>
          </w:p>
        </w:tc>
        <w:tc>
          <w:tcPr>
            <w:tcW w:w="0" w:type="auto"/>
            <w:vAlign w:val="center"/>
            <w:hideMark/>
          </w:tcPr>
          <w:p w:rsidR="005469D0" w:rsidRDefault="005469D0"/>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rPr>
                <w:sz w:val="20"/>
                <w:szCs w:val="20"/>
              </w:rPr>
            </w:pPr>
          </w:p>
        </w:tc>
        <w:tc>
          <w:tcPr>
            <w:tcW w:w="0" w:type="auto"/>
            <w:vAlign w:val="center"/>
            <w:hideMark/>
          </w:tcPr>
          <w:p w:rsidR="005469D0" w:rsidRDefault="005469D0">
            <w:pPr>
              <w:jc w:val="center"/>
            </w:pPr>
            <w:r>
              <w:rPr>
                <w:rStyle w:val="Fett"/>
              </w:rPr>
              <w:t>nein</w:t>
            </w:r>
          </w:p>
        </w:tc>
      </w:tr>
    </w:tbl>
    <w:p w:rsidR="005469D0" w:rsidRDefault="005469D0" w:rsidP="005469D0">
      <w:pPr>
        <w:pStyle w:val="StandardWeb"/>
      </w:pPr>
      <w:r>
        <w:t>Formal kann ich die Matrix als Statusabbildung</w:t>
      </w:r>
    </w:p>
    <w:p w:rsidR="005469D0" w:rsidRDefault="005469D0" w:rsidP="005469D0">
      <w:pPr>
        <w:pStyle w:val="StandardWeb"/>
      </w:pPr>
      <w:r>
        <w:t>[</w:t>
      </w:r>
      <w:r>
        <w:br/>
        <w:t>\Sigma_{3.3.46}:</w:t>
      </w:r>
      <w:r>
        <w:br/>
        <w:t>\mathfrak O_{3.3.46}</w:t>
      </w:r>
      <w:r>
        <w:br/>
        <w:t>\rightarrow</w:t>
      </w:r>
      <w:r>
        <w:br/>
        <w:t>\mathcal P(\mathfrak S_{\mathrm{stat}})</w:t>
      </w:r>
      <w:r>
        <w:br/>
        <w:t>\tag{3.11384}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\Sigma_{3.3.46}:\mathfrak O_{3.3.46}\rightarrow\mathcal P(\mathfrak S_{\mathrm{stat}})</w:t>
      </w:r>
    </w:p>
    <w:p w:rsidR="005469D0" w:rsidRDefault="005469D0" w:rsidP="005469D0">
      <w:pPr>
        <w:pStyle w:val="StandardWeb"/>
      </w:pPr>
      <w:r>
        <w:t>auffassen.</w:t>
      </w:r>
    </w:p>
    <w:p w:rsidR="005469D0" w:rsidRDefault="00E50336" w:rsidP="005469D0">
      <w:r>
        <w:pict>
          <v:rect id="_x0000_i3860" style="width:0;height:1.5pt" o:hralign="center" o:hrstd="t" o:hr="t" fillcolor="#a0a0a0" stroked="f"/>
        </w:pict>
      </w:r>
    </w:p>
    <w:p w:rsidR="005469D0" w:rsidRDefault="005469D0" w:rsidP="005469D0">
      <w:pPr>
        <w:pStyle w:val="berschrift1"/>
      </w:pPr>
      <w:r>
        <w:t>3.3.46.345 Ergebnis der vollständigen Primäraxiomprüfung</w:t>
      </w:r>
    </w:p>
    <w:p w:rsidR="005469D0" w:rsidRDefault="005469D0" w:rsidP="005469D0">
      <w:pPr>
        <w:pStyle w:val="StandardWeb"/>
      </w:pPr>
      <w:r>
        <w:t>Nun kann ich die in Abschnitt 3.3.46 geprüften Primäraxiomkandidaten vollständig zusammenfassen:</w:t>
      </w:r>
    </w:p>
    <w:p w:rsidR="005469D0" w:rsidRDefault="005469D0" w:rsidP="005469D0">
      <w:pPr>
        <w:pStyle w:val="berschrift1"/>
      </w:pPr>
      <w:r>
        <w:t>[</w:t>
      </w:r>
      <w:r>
        <w:br/>
        <w:t>\mathfrak A_{\mathrm{cand}}^{3.3.46}</w:t>
      </w:r>
    </w:p>
    <w:p w:rsidR="005469D0" w:rsidRDefault="005469D0" w:rsidP="005469D0">
      <w:pPr>
        <w:pStyle w:val="StandardWeb"/>
      </w:pPr>
      <w:r>
        <w:t>\left{</w:t>
      </w:r>
      <w:r>
        <w:br/>
        <w:t>A_{\mathrm{sc}},</w:t>
      </w:r>
      <w:r>
        <w:br/>
      </w:r>
      <w:r>
        <w:lastRenderedPageBreak/>
        <w:t>A_{\mathrm{dim}},</w:t>
      </w:r>
      <w:r>
        <w:br/>
        <w:t>A_{\mathrm{SI}},</w:t>
      </w:r>
      <w:r>
        <w:br/>
        <w:t>A_{\mathrm{sc}}^{+},</w:t>
      </w:r>
      <w:r>
        <w:br/>
        <w:t>A_{\mathrm{SC}}</w:t>
      </w:r>
      <w:r>
        <w:br/>
        <w:t>\right}.</w:t>
      </w:r>
      <w:r>
        <w:br/>
        <w:t>\tag{3.11385}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\mathfrak A_{\mathrm{cand}}^{3.3.46}=\left\{A_{\mathrm{sc}},A_{\mathrm{dim}},A_{\mathrm{SI}},A_{\mathrm{sc}}^{+},A_{\mathrm{SC}}\right\}</w:t>
      </w:r>
    </w:p>
    <w:p w:rsidR="005469D0" w:rsidRDefault="005469D0" w:rsidP="005469D0">
      <w:pPr>
        <w:pStyle w:val="StandardWeb"/>
      </w:pPr>
      <w:r>
        <w:t>Für jeden dieser Kandidaten wurde gezeigt:</w:t>
      </w:r>
    </w:p>
    <w:p w:rsidR="005469D0" w:rsidRDefault="005469D0" w:rsidP="005469D0">
      <w:pPr>
        <w:pStyle w:val="StandardWeb"/>
      </w:pPr>
      <w:r>
        <w:t>[</w:t>
      </w:r>
      <w:r>
        <w:br/>
        <w:t>U_{\mathrm{Ax}}(A)=0.</w:t>
      </w:r>
      <w:r>
        <w:br/>
        <w:t>\tag{3.11386}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U_{\mathrm{Ax}}(A)=0</w:t>
      </w:r>
    </w:p>
    <w:p w:rsidR="005469D0" w:rsidRDefault="005469D0" w:rsidP="005469D0">
      <w:pPr>
        <w:pStyle w:val="StandardWeb"/>
      </w:pPr>
      <w:r>
        <w:t>Damit folgt</w:t>
      </w:r>
    </w:p>
    <w:p w:rsidR="005469D0" w:rsidRDefault="005469D0" w:rsidP="005469D0">
      <w:pPr>
        <w:pStyle w:val="StandardWeb"/>
      </w:pPr>
      <w:r>
        <w:t>[</w:t>
      </w:r>
      <w:r>
        <w:br/>
        <w:t>\boxed{</w:t>
      </w:r>
      <w:r>
        <w:br/>
        <w:t>\forall</w:t>
      </w:r>
      <w:r>
        <w:br/>
        <w:t>A\in</w:t>
      </w:r>
      <w:r>
        <w:br/>
        <w:t>\mathfrak A_{\mathrm{cand}}^{3.3.46}:</w:t>
      </w:r>
      <w:r>
        <w:br/>
        <w:t>U_{\mathrm{Ax}}(A)=0.</w:t>
      </w:r>
      <w:r>
        <w:br/>
        <w:t>}</w:t>
      </w:r>
      <w:r>
        <w:br/>
        <w:t>\tag{3.11387}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\boxed{\forall A\in\mathfrak A_{\mathrm{cand}}^{3.3.46}:U_{\mathrm{Ax}}(A)=0.}</w:t>
      </w:r>
    </w:p>
    <w:p w:rsidR="005469D0" w:rsidRDefault="00E50336" w:rsidP="005469D0">
      <w:r>
        <w:pict>
          <v:rect id="_x0000_i3861" style="width:0;height:1.5pt" o:hralign="center" o:hrstd="t" o:hr="t" fillcolor="#a0a0a0" stroked="f"/>
        </w:pict>
      </w:r>
    </w:p>
    <w:p w:rsidR="005469D0" w:rsidRDefault="005469D0" w:rsidP="005469D0">
      <w:pPr>
        <w:pStyle w:val="berschrift1"/>
      </w:pPr>
      <w:r>
        <w:t>3.3.46.346 Satz 3.3.101 – Abschnitt 3.3.46 erzeugt kein neues Primäraxiom</w:t>
      </w:r>
    </w:p>
    <w:p w:rsidR="005469D0" w:rsidRDefault="005469D0" w:rsidP="005469D0">
      <w:pPr>
        <w:pStyle w:val="berschrift3"/>
      </w:pPr>
      <w:r>
        <w:t>Satz 3.3.101</w:t>
      </w:r>
    </w:p>
    <w:p w:rsidR="005469D0" w:rsidRDefault="005469D0" w:rsidP="005469D0">
      <w:pPr>
        <w:pStyle w:val="StandardWeb"/>
      </w:pPr>
      <w:r>
        <w:t>Keine der in Abschnitt 3.3.46 untersuchten Skalierungs-, Homogenitäts-, Dimensions-, Normalisierungs-, Renormierungs- oder Skalenkompatibilitätsstrukturen ist für die minimale Existenz eines allgemeinen FRZK-Modells universell notwendig.</w:t>
      </w:r>
    </w:p>
    <w:p w:rsidR="005469D0" w:rsidRDefault="005469D0" w:rsidP="005469D0">
      <w:pPr>
        <w:pStyle w:val="StandardWeb"/>
      </w:pPr>
      <w:r>
        <w:lastRenderedPageBreak/>
        <w:t>Daher gilt</w:t>
      </w:r>
    </w:p>
    <w:p w:rsidR="005469D0" w:rsidRDefault="005469D0" w:rsidP="005469D0">
      <w:pPr>
        <w:pStyle w:val="berschrift1"/>
      </w:pPr>
      <w:r>
        <w:t>[</w:t>
      </w:r>
      <w:r>
        <w:br/>
        <w:t>\boxed{</w:t>
      </w:r>
      <w:r>
        <w:br/>
        <w:t>\mathfrak A_{3.3.46}^{\mathrm{new}}</w:t>
      </w:r>
    </w:p>
    <w:p w:rsidR="005469D0" w:rsidRDefault="005469D0" w:rsidP="005469D0">
      <w:pPr>
        <w:pStyle w:val="StandardWeb"/>
      </w:pPr>
      <w:r>
        <w:t>\varnothing.</w:t>
      </w:r>
      <w:r>
        <w:br/>
        <w:t>}</w:t>
      </w:r>
      <w:r>
        <w:br/>
        <w:t>\tag{3.11388}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\boxed{\mathfrak A_{3.3.46}^{\mathrm{new}}=\varnothing.}</w:t>
      </w:r>
    </w:p>
    <w:p w:rsidR="005469D0" w:rsidRDefault="005469D0" w:rsidP="005469D0">
      <w:pPr>
        <w:pStyle w:val="berschrift3"/>
      </w:pPr>
      <w:r>
        <w:t>Beweis</w:t>
      </w:r>
    </w:p>
    <w:p w:rsidR="005469D0" w:rsidRDefault="005469D0" w:rsidP="005469D0">
      <w:pPr>
        <w:pStyle w:val="StandardWeb"/>
      </w:pPr>
      <w:r>
        <w:t>Die allgemeine FRZK-Struktur kann als relationale Zustands- und Übergangsstruktur formuliert werden, ohne dass eine Skalarmultiplikation, Skalierungswirkung, Dimensionszuordnung, Normalisierung, Renormierungsabbildung oder differenzierbare Skalenstruktur vorausgesetzt werden muss.</w:t>
      </w:r>
    </w:p>
    <w:p w:rsidR="005469D0" w:rsidRDefault="005469D0" w:rsidP="005469D0">
      <w:pPr>
        <w:pStyle w:val="StandardWeb"/>
      </w:pPr>
      <w:r>
        <w:t>Daher existieren zulässige FRZK-Modellklassen, in denen die in diesem Abschnitt eingeführten Strukturen nicht definiert sind.</w:t>
      </w:r>
    </w:p>
    <w:p w:rsidR="005469D0" w:rsidRDefault="005469D0" w:rsidP="005469D0">
      <w:pPr>
        <w:pStyle w:val="StandardWeb"/>
      </w:pPr>
      <w:r>
        <w:t>Aus</w:t>
      </w:r>
    </w:p>
    <w:p w:rsidR="005469D0" w:rsidRDefault="005469D0" w:rsidP="005469D0">
      <w:pPr>
        <w:pStyle w:val="StandardWeb"/>
      </w:pPr>
      <w:r>
        <w:t>[</w:t>
      </w:r>
      <w:r>
        <w:br/>
        <w:t>\exists</w:t>
      </w:r>
      <w:r>
        <w:br/>
        <w:t>\mathcal M_F:</w:t>
      </w:r>
      <w:r>
        <w:br/>
        <w:t>\neg S_\lambda</w:t>
      </w:r>
      <w:r>
        <w:br/>
        <w:t>\tag{3.11389}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\exists\mathcal M_F:\neg S_\lambda</w:t>
      </w:r>
    </w:p>
    <w:p w:rsidR="005469D0" w:rsidRDefault="005469D0" w:rsidP="005469D0">
      <w:pPr>
        <w:pStyle w:val="StandardWeb"/>
      </w:pPr>
      <w:r>
        <w:t>folgt insbesondere, dass jede Forderung, die eine Skalierungsstruktur bereits voraussetzt, nicht universal notwendig sein kann.</w:t>
      </w:r>
    </w:p>
    <w:p w:rsidR="005469D0" w:rsidRDefault="005469D0" w:rsidP="005469D0">
      <w:pPr>
        <w:pStyle w:val="StandardWeb"/>
      </w:pPr>
      <w:r>
        <w:t>Damit gilt für sämtliche untersuchten Kandidaten</w:t>
      </w:r>
    </w:p>
    <w:p w:rsidR="005469D0" w:rsidRDefault="005469D0" w:rsidP="005469D0">
      <w:pPr>
        <w:pStyle w:val="StandardWeb"/>
      </w:pPr>
      <w:r>
        <w:t>[</w:t>
      </w:r>
      <w:r>
        <w:br/>
        <w:t>U_{\mathrm{Ax}}(A)=0.</w:t>
      </w:r>
      <w:r>
        <w:br/>
        <w:t>\tag{3.11390}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lastRenderedPageBreak/>
        <w:t>U_{\mathrm{Ax}}(A)=0</w:t>
      </w:r>
    </w:p>
    <w:p w:rsidR="005469D0" w:rsidRDefault="005469D0" w:rsidP="005469D0">
      <w:pPr>
        <w:pStyle w:val="StandardWeb"/>
      </w:pPr>
      <w:r>
        <w:t>Folglich enthält Abschnitt 3.3.46 kein zusätzliches Primäraxiom. (\square)</w:t>
      </w:r>
    </w:p>
    <w:p w:rsidR="005469D0" w:rsidRDefault="00E50336" w:rsidP="005469D0">
      <w:r>
        <w:pict>
          <v:rect id="_x0000_i3862" style="width:0;height:1.5pt" o:hralign="center" o:hrstd="t" o:hr="t" fillcolor="#a0a0a0" stroked="f"/>
        </w:pict>
      </w:r>
    </w:p>
    <w:p w:rsidR="005469D0" w:rsidRDefault="005469D0" w:rsidP="005469D0">
      <w:pPr>
        <w:pStyle w:val="berschrift1"/>
      </w:pPr>
      <w:r>
        <w:t>3.3.46.347 Korollar 3.3.19 – Skalierungsstrukturen sind optionale FRZK-Modellerweiterungen</w:t>
      </w:r>
    </w:p>
    <w:p w:rsidR="005469D0" w:rsidRDefault="005469D0" w:rsidP="005469D0">
      <w:pPr>
        <w:pStyle w:val="berschrift3"/>
      </w:pPr>
      <w:r>
        <w:t>Korollar 3.3.19</w:t>
      </w:r>
    </w:p>
    <w:p w:rsidR="005469D0" w:rsidRDefault="005469D0" w:rsidP="005469D0">
      <w:pPr>
        <w:pStyle w:val="StandardWeb"/>
      </w:pPr>
      <w:r>
        <w:t>Aus Satz 3.3.101 folgt:</w:t>
      </w:r>
    </w:p>
    <w:p w:rsidR="005469D0" w:rsidRDefault="005469D0" w:rsidP="005469D0">
      <w:pPr>
        <w:pStyle w:val="StandardWeb"/>
      </w:pPr>
      <w:r>
        <w:t>[</w:t>
      </w:r>
      <w:r>
        <w:br/>
        <w:t>\boxed{</w:t>
      </w:r>
      <w:r>
        <w:br/>
        <w:t>\mathfrak S_{3.3.46}</w:t>
      </w:r>
      <w:r>
        <w:br/>
        <w:t>\subseteq</w:t>
      </w:r>
      <w:r>
        <w:br/>
        <w:t>\mathfrak M_{\mathrm{optional}}.</w:t>
      </w:r>
      <w:r>
        <w:br/>
        <w:t>}</w:t>
      </w:r>
      <w:r>
        <w:br/>
        <w:t>\tag{3.11391}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\boxed{\mathfrak S_{3.3.46}\subseteq\mathfrak M_{\mathrm{optional}}.}</w:t>
      </w:r>
    </w:p>
    <w:p w:rsidR="005469D0" w:rsidRDefault="005469D0" w:rsidP="005469D0">
      <w:pPr>
        <w:pStyle w:val="StandardWeb"/>
      </w:pPr>
      <w:r>
        <w:t>Alle in Abschnitt 3.3.46 entwickelten Skalierungsstrukturen können damit in geeigneten späteren Modellklassen verwendet werden, ohne Bestandteil der minimalen FRZK-Primäraxiomatik zu sein.</w:t>
      </w:r>
    </w:p>
    <w:p w:rsidR="005469D0" w:rsidRDefault="00E50336" w:rsidP="005469D0">
      <w:r>
        <w:pict>
          <v:rect id="_x0000_i3863" style="width:0;height:1.5pt" o:hralign="center" o:hrstd="t" o:hr="t" fillcolor="#a0a0a0" stroked="f"/>
        </w:pict>
      </w:r>
    </w:p>
    <w:p w:rsidR="005469D0" w:rsidRDefault="005469D0" w:rsidP="005469D0">
      <w:pPr>
        <w:pStyle w:val="berschrift1"/>
      </w:pPr>
      <w:r>
        <w:t>3.3.46.348 Verhältnis zum Kohärenzprimäraxiom</w:t>
      </w:r>
    </w:p>
    <w:p w:rsidR="005469D0" w:rsidRDefault="005469D0" w:rsidP="005469D0">
      <w:pPr>
        <w:pStyle w:val="StandardWeb"/>
      </w:pPr>
      <w:r>
        <w:t>Das Ergebnis bedeutet ausdrücklich nicht, dass Skalierungsstrukturen in späteren FRZK-Modellen bedeutungslos wären.</w:t>
      </w:r>
    </w:p>
    <w:p w:rsidR="005469D0" w:rsidRDefault="005469D0" w:rsidP="005469D0">
      <w:pPr>
        <w:pStyle w:val="StandardWeb"/>
      </w:pPr>
      <w:r>
        <w:t>Das bereits bestätigte Kohärenzprimäraxiom</w:t>
      </w:r>
    </w:p>
    <w:p w:rsidR="005469D0" w:rsidRDefault="005469D0" w:rsidP="005469D0">
      <w:pPr>
        <w:pStyle w:val="StandardWeb"/>
      </w:pPr>
      <w:r>
        <w:t>[</w:t>
      </w:r>
      <w:r>
        <w:br/>
        <w:t>A_C</w:t>
      </w:r>
      <w:r>
        <w:br/>
        <w:t>\tag{3.11392}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A_C</w:t>
      </w:r>
    </w:p>
    <w:p w:rsidR="005469D0" w:rsidRDefault="005469D0" w:rsidP="005469D0">
      <w:pPr>
        <w:pStyle w:val="StandardWeb"/>
      </w:pPr>
      <w:r>
        <w:t>kann beispielsweise in einer skalierbaren Modellklasse zusätzliche Kompatibilitätsbedingungen erhalten.</w:t>
      </w:r>
    </w:p>
    <w:p w:rsidR="005469D0" w:rsidRDefault="005469D0" w:rsidP="005469D0">
      <w:pPr>
        <w:pStyle w:val="StandardWeb"/>
      </w:pPr>
      <w:r>
        <w:lastRenderedPageBreak/>
        <w:t>Dabei bleibt jedoch die logische Richtung</w:t>
      </w:r>
    </w:p>
    <w:p w:rsidR="005469D0" w:rsidRDefault="005469D0" w:rsidP="005469D0">
      <w:pPr>
        <w:pStyle w:val="StandardWeb"/>
      </w:pPr>
      <w:r>
        <w:t>[</w:t>
      </w:r>
      <w:r>
        <w:br/>
        <w:t>A_C</w:t>
      </w:r>
      <w:r>
        <w:br/>
        <w:t>\not\Rightarrow</w:t>
      </w:r>
      <w:r>
        <w:br/>
        <w:t>M_{\mathrm{sc}}.</w:t>
      </w:r>
      <w:r>
        <w:br/>
        <w:t>\tag{3.11393}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A_C\not\Rightarrow M_{\mathrm{sc}}</w:t>
      </w:r>
    </w:p>
    <w:p w:rsidR="005469D0" w:rsidRDefault="005469D0" w:rsidP="005469D0">
      <w:pPr>
        <w:pStyle w:val="StandardWeb"/>
      </w:pPr>
      <w:r>
        <w:t>Ebenso gilt</w:t>
      </w:r>
    </w:p>
    <w:p w:rsidR="005469D0" w:rsidRDefault="005469D0" w:rsidP="005469D0">
      <w:pPr>
        <w:pStyle w:val="StandardWeb"/>
      </w:pPr>
      <w:r>
        <w:t>[</w:t>
      </w:r>
      <w:r>
        <w:br/>
        <w:t>M_{\mathrm{sc}}</w:t>
      </w:r>
      <w:r>
        <w:br/>
        <w:t>\not\Rightarrow</w:t>
      </w:r>
      <w:r>
        <w:br/>
        <w:t>A_C.</w:t>
      </w:r>
      <w:r>
        <w:br/>
        <w:t>\tag{3.11394}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M_{\mathrm{sc}}\not\Rightarrow A_C</w:t>
      </w:r>
    </w:p>
    <w:p w:rsidR="005469D0" w:rsidRDefault="005469D0" w:rsidP="005469D0">
      <w:pPr>
        <w:pStyle w:val="StandardWeb"/>
      </w:pPr>
      <w:r>
        <w:t>Kohärenz und Skalierbarkeit sind damit zunächst logisch unabhängige Strukturklassen.</w:t>
      </w:r>
    </w:p>
    <w:p w:rsidR="005469D0" w:rsidRDefault="00E50336" w:rsidP="005469D0">
      <w:r>
        <w:pict>
          <v:rect id="_x0000_i3864" style="width:0;height:1.5pt" o:hralign="center" o:hrstd="t" o:hr="t" fillcolor="#a0a0a0" stroked="f"/>
        </w:pict>
      </w:r>
    </w:p>
    <w:p w:rsidR="005469D0" w:rsidRDefault="005469D0" w:rsidP="005469D0">
      <w:pPr>
        <w:pStyle w:val="berschrift1"/>
      </w:pPr>
      <w:r>
        <w:t>3.3.46.349 Verhältnis zur Übergangsstruktur</w:t>
      </w:r>
    </w:p>
    <w:p w:rsidR="005469D0" w:rsidRDefault="005469D0" w:rsidP="005469D0">
      <w:pPr>
        <w:pStyle w:val="StandardWeb"/>
      </w:pPr>
      <w:r>
        <w:t>Auch aus der Existenz einer funktionalen Übergangsrelation</w:t>
      </w:r>
    </w:p>
    <w:p w:rsidR="005469D0" w:rsidRDefault="005469D0" w:rsidP="005469D0">
      <w:pPr>
        <w:pStyle w:val="StandardWeb"/>
      </w:pPr>
      <w:r>
        <w:t>[</w:t>
      </w:r>
      <w:r>
        <w:br/>
        <w:t>\mathcal T_F</w:t>
      </w:r>
      <w:r>
        <w:br/>
        <w:t>\tag{3.11395}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\mathcal T_F</w:t>
      </w:r>
    </w:p>
    <w:p w:rsidR="005469D0" w:rsidRDefault="005469D0" w:rsidP="005469D0">
      <w:pPr>
        <w:pStyle w:val="StandardWeb"/>
      </w:pPr>
      <w:r>
        <w:t>folgt keine Skalierung.</w:t>
      </w:r>
    </w:p>
    <w:p w:rsidR="005469D0" w:rsidRDefault="005469D0" w:rsidP="005469D0">
      <w:pPr>
        <w:pStyle w:val="StandardWeb"/>
      </w:pPr>
      <w:r>
        <w:t>Formal gilt</w:t>
      </w:r>
    </w:p>
    <w:p w:rsidR="005469D0" w:rsidRDefault="005469D0" w:rsidP="005469D0">
      <w:pPr>
        <w:pStyle w:val="StandardWeb"/>
      </w:pPr>
      <w:r>
        <w:t>[</w:t>
      </w:r>
      <w:r>
        <w:br/>
        <w:t>\mathcal T_F</w:t>
      </w:r>
      <w:r>
        <w:br/>
        <w:t>\not\Rightarrow</w:t>
      </w:r>
      <w:r>
        <w:br/>
        <w:t>S_\lambda.</w:t>
      </w:r>
      <w:r>
        <w:br/>
      </w:r>
      <w:r>
        <w:lastRenderedPageBreak/>
        <w:t>\tag{3.11396}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\mathcal T_F\not\Rightarrow S_\lambda</w:t>
      </w:r>
    </w:p>
    <w:p w:rsidR="005469D0" w:rsidRDefault="005469D0" w:rsidP="005469D0">
      <w:pPr>
        <w:pStyle w:val="StandardWeb"/>
      </w:pPr>
      <w:r>
        <w:t>Erst wenn eine konkrete Skalierungswirkung eingeführt wird, kann geprüft werden, ob sie Übergänge erhält.</w:t>
      </w:r>
    </w:p>
    <w:p w:rsidR="005469D0" w:rsidRDefault="00E50336" w:rsidP="005469D0">
      <w:r>
        <w:pict>
          <v:rect id="_x0000_i3865" style="width:0;height:1.5pt" o:hralign="center" o:hrstd="t" o:hr="t" fillcolor="#a0a0a0" stroked="f"/>
        </w:pict>
      </w:r>
    </w:p>
    <w:p w:rsidR="005469D0" w:rsidRDefault="005469D0" w:rsidP="005469D0">
      <w:pPr>
        <w:pStyle w:val="berschrift1"/>
      </w:pPr>
      <w:r>
        <w:t>3.3.46.350 Verhältnis zu Symmetrien</w:t>
      </w:r>
    </w:p>
    <w:p w:rsidR="005469D0" w:rsidRDefault="005469D0" w:rsidP="005469D0">
      <w:pPr>
        <w:pStyle w:val="StandardWeb"/>
      </w:pPr>
      <w:r>
        <w:t>Skalierungen können innerhalb bestimmter Modellklassen Symmetrien darstellen, müssen es aber nicht.</w:t>
      </w:r>
    </w:p>
    <w:p w:rsidR="005469D0" w:rsidRDefault="005469D0" w:rsidP="005469D0">
      <w:pPr>
        <w:pStyle w:val="StandardWeb"/>
      </w:pPr>
      <w:r>
        <w:t>Damit gilt</w:t>
      </w:r>
    </w:p>
    <w:p w:rsidR="005469D0" w:rsidRDefault="005469D0" w:rsidP="005469D0">
      <w:pPr>
        <w:pStyle w:val="StandardWeb"/>
      </w:pPr>
      <w:r>
        <w:t>[</w:t>
      </w:r>
      <w:r>
        <w:br/>
        <w:t>\mathfrak G_{\mathrm{sc},T}</w:t>
      </w:r>
      <w:r>
        <w:br/>
        <w:t>\leq</w:t>
      </w:r>
      <w:r>
        <w:br/>
        <w:t>\mathfrak G_F</w:t>
      </w:r>
      <w:r>
        <w:br/>
        <w:t>\tag{3.11397}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\mathfrak G_{\mathrm{sc},T}\leq\mathfrak G_F</w:t>
      </w:r>
    </w:p>
    <w:p w:rsidR="005469D0" w:rsidRDefault="005469D0" w:rsidP="005469D0">
      <w:pPr>
        <w:pStyle w:val="StandardWeb"/>
      </w:pPr>
      <w:r>
        <w:t>nur für diejenigen Skalierungen, welche die erforderlichen Strukturbedingungen tatsächlich erfüllen.</w:t>
      </w:r>
    </w:p>
    <w:p w:rsidR="005469D0" w:rsidRDefault="005469D0" w:rsidP="005469D0">
      <w:pPr>
        <w:pStyle w:val="StandardWeb"/>
      </w:pPr>
      <w:r>
        <w:t>Die Menge aller Skalierungen ist daher nicht generell mit der gesamten Symmetriegruppe identisch:</w:t>
      </w:r>
    </w:p>
    <w:p w:rsidR="005469D0" w:rsidRDefault="005469D0" w:rsidP="005469D0">
      <w:pPr>
        <w:pStyle w:val="StandardWeb"/>
      </w:pPr>
      <w:r>
        <w:t>[</w:t>
      </w:r>
      <w:r>
        <w:br/>
        <w:t>\boxed{</w:t>
      </w:r>
      <w:r>
        <w:br/>
        <w:t>\mathfrak G_{\mathrm{sc}}</w:t>
      </w:r>
      <w:r>
        <w:br/>
        <w:t>\not\equiv</w:t>
      </w:r>
      <w:r>
        <w:br/>
        <w:t>\mathfrak G_F.</w:t>
      </w:r>
      <w:r>
        <w:br/>
        <w:t>}</w:t>
      </w:r>
      <w:r>
        <w:br/>
        <w:t>\tag{3.11398}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\boxed{\mathfrak G_{\mathrm{sc}}\not\equiv\mathfrak G_F.}</w:t>
      </w:r>
    </w:p>
    <w:p w:rsidR="005469D0" w:rsidRDefault="00E50336" w:rsidP="005469D0">
      <w:r>
        <w:pict>
          <v:rect id="_x0000_i3866" style="width:0;height:1.5pt" o:hralign="center" o:hrstd="t" o:hr="t" fillcolor="#a0a0a0" stroked="f"/>
        </w:pict>
      </w:r>
    </w:p>
    <w:p w:rsidR="005469D0" w:rsidRDefault="005469D0" w:rsidP="005469D0">
      <w:pPr>
        <w:pStyle w:val="berschrift1"/>
      </w:pPr>
      <w:r>
        <w:t>3.3.46.351 Verhältnis zu physikalischen Dimensionen</w:t>
      </w:r>
    </w:p>
    <w:p w:rsidR="005469D0" w:rsidRDefault="005469D0" w:rsidP="005469D0">
      <w:pPr>
        <w:pStyle w:val="StandardWeb"/>
      </w:pPr>
      <w:r>
        <w:lastRenderedPageBreak/>
        <w:t>Ebenso bleibt die bereits herausgearbeitete Trennung bestehen:</w:t>
      </w:r>
    </w:p>
    <w:p w:rsidR="005469D0" w:rsidRDefault="005469D0" w:rsidP="005469D0">
      <w:pPr>
        <w:pStyle w:val="StandardWeb"/>
      </w:pPr>
      <w:r>
        <w:t>[</w:t>
      </w:r>
      <w:r>
        <w:br/>
        <w:t>w_{\mathrm{sc}}(Q)</w:t>
      </w:r>
      <w:r>
        <w:br/>
        <w:t>\not\equiv</w:t>
      </w:r>
      <w:r>
        <w:br/>
        <w:t>\operatorname{Dim}(Q).</w:t>
      </w:r>
      <w:r>
        <w:br/>
        <w:t>\tag{3.11399}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w_{\mathrm{sc}}(Q)\not\equiv\operatorname{Dim}(Q)</w:t>
      </w:r>
    </w:p>
    <w:p w:rsidR="005469D0" w:rsidRDefault="005469D0" w:rsidP="005469D0">
      <w:pPr>
        <w:pStyle w:val="StandardWeb"/>
      </w:pPr>
      <w:r>
        <w:t>Skalierungsgewicht und physikalische Dimension können innerhalb eines bestimmten Modells miteinander verknüpft werden, dürfen aber nicht ohne eine solche Modellvorschrift identifiziert werden.</w:t>
      </w:r>
    </w:p>
    <w:p w:rsidR="005469D0" w:rsidRDefault="00E50336" w:rsidP="005469D0">
      <w:r>
        <w:pict>
          <v:rect id="_x0000_i3867" style="width:0;height:1.5pt" o:hralign="center" o:hrstd="t" o:hr="t" fillcolor="#a0a0a0" stroked="f"/>
        </w:pict>
      </w:r>
    </w:p>
    <w:p w:rsidR="005469D0" w:rsidRDefault="005469D0" w:rsidP="005469D0">
      <w:pPr>
        <w:pStyle w:val="berschrift1"/>
      </w:pPr>
      <w:r>
        <w:t>3.3.46.352 Verhältnis zur Renormierung der Quantenfeldtheorie</w:t>
      </w:r>
    </w:p>
    <w:p w:rsidR="005469D0" w:rsidRDefault="005469D0" w:rsidP="005469D0">
      <w:pPr>
        <w:pStyle w:val="StandardWeb"/>
      </w:pPr>
      <w:r>
        <w:t>Besonders wichtig bleibt die begriffliche Grenze</w:t>
      </w:r>
    </w:p>
    <w:p w:rsidR="005469D0" w:rsidRDefault="005469D0" w:rsidP="005469D0">
      <w:pPr>
        <w:pStyle w:val="StandardWeb"/>
      </w:pPr>
      <w:r>
        <w:t>[</w:t>
      </w:r>
      <w:r>
        <w:br/>
        <w:t>\operatorname{Renorm}</w:t>
      </w:r>
      <w:r>
        <w:rPr>
          <w:rStyle w:val="Hervorhebung"/>
        </w:rPr>
        <w:t>F</w:t>
      </w:r>
      <w:r>
        <w:rPr>
          <w:i/>
          <w:iCs/>
        </w:rPr>
        <w:br/>
      </w:r>
      <w:r>
        <w:rPr>
          <w:rStyle w:val="Hervorhebung"/>
        </w:rPr>
        <w:t>\not\equiv</w:t>
      </w:r>
      <w:r>
        <w:rPr>
          <w:i/>
          <w:iCs/>
        </w:rPr>
        <w:br/>
      </w:r>
      <w:r>
        <w:rPr>
          <w:rStyle w:val="Hervorhebung"/>
        </w:rPr>
        <w:t>\operatorname{Renorm}</w:t>
      </w:r>
      <w:r>
        <w:t>{\mathrm{QFT}}.</w:t>
      </w:r>
      <w:r>
        <w:br/>
        <w:t>\tag{3.11400}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\operatorname{Renorm}_F\not\equiv\operatorname{Renorm}_{\mathrm{QFT}}</w:t>
      </w:r>
    </w:p>
    <w:p w:rsidR="005469D0" w:rsidRDefault="005469D0" w:rsidP="005469D0">
      <w:pPr>
        <w:pStyle w:val="StandardWeb"/>
      </w:pPr>
      <w:r>
        <w:t>Die in diesem Abschnitt verwendete funktionale Renormierung bezeichnet ausschließlich den Wechsel zwischen mathematisch definierten Referenzskalen oder Repräsentationen.</w:t>
      </w:r>
    </w:p>
    <w:p w:rsidR="005469D0" w:rsidRDefault="005469D0" w:rsidP="005469D0">
      <w:pPr>
        <w:pStyle w:val="StandardWeb"/>
      </w:pPr>
      <w:r>
        <w:t>Sie enthält nicht automatisch die theoretischen Strukturen einer renormierten Quantenfeldtheorie.</w:t>
      </w:r>
    </w:p>
    <w:p w:rsidR="005469D0" w:rsidRDefault="00E50336" w:rsidP="005469D0">
      <w:r>
        <w:pict>
          <v:rect id="_x0000_i3868" style="width:0;height:1.5pt" o:hralign="center" o:hrstd="t" o:hr="t" fillcolor="#a0a0a0" stroked="f"/>
        </w:pict>
      </w:r>
    </w:p>
    <w:p w:rsidR="005469D0" w:rsidRDefault="005469D0" w:rsidP="005469D0">
      <w:pPr>
        <w:pStyle w:val="berschrift1"/>
      </w:pPr>
      <w:r>
        <w:t>3.3.46.353 Verhältnis der Skalenänderungsrate zur physikalischen Beta-Funktion</w:t>
      </w:r>
    </w:p>
    <w:p w:rsidR="005469D0" w:rsidRDefault="005469D0" w:rsidP="005469D0">
      <w:pPr>
        <w:pStyle w:val="StandardWeb"/>
      </w:pPr>
      <w:r>
        <w:t>Entsprechend gilt</w:t>
      </w:r>
    </w:p>
    <w:p w:rsidR="005469D0" w:rsidRDefault="005469D0" w:rsidP="005469D0">
      <w:pPr>
        <w:pStyle w:val="StandardWeb"/>
      </w:pPr>
      <w:r>
        <w:lastRenderedPageBreak/>
        <w:t>[</w:t>
      </w:r>
      <w:r>
        <w:br/>
        <w:t>\beta_Q</w:t>
      </w:r>
      <w:r>
        <w:br/>
        <w:t>\not\equiv</w:t>
      </w:r>
      <w:r>
        <w:br/>
        <w:t>\beta_{\mathrm{QFT}}.</w:t>
      </w:r>
      <w:r>
        <w:br/>
        <w:t>\tag{3.11401}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\beta_Q\not\equiv\beta_{\mathrm{QFT}}</w:t>
      </w:r>
    </w:p>
    <w:p w:rsidR="005469D0" w:rsidRDefault="005469D0" w:rsidP="005469D0">
      <w:pPr>
        <w:pStyle w:val="StandardWeb"/>
      </w:pPr>
      <w:r>
        <w:t>Meine Definition</w:t>
      </w:r>
    </w:p>
    <w:p w:rsidR="005469D0" w:rsidRDefault="005469D0" w:rsidP="005469D0">
      <w:pPr>
        <w:pStyle w:val="berschrift1"/>
      </w:pPr>
      <w:r>
        <w:t>[</w:t>
      </w:r>
      <w:r>
        <w:br/>
        <w:t>\beta_Q</w:t>
      </w:r>
    </w:p>
    <w:p w:rsidR="005469D0" w:rsidRDefault="005469D0" w:rsidP="005469D0">
      <w:pPr>
        <w:pStyle w:val="StandardWeb"/>
      </w:pPr>
      <w:r>
        <w:t>\frac{dQ}{d\tau}</w:t>
      </w:r>
      <w:r>
        <w:br/>
        <w:t>\tag{3.11402}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\beta_Q=\frac{dQ}{d\tau}</w:t>
      </w:r>
    </w:p>
    <w:p w:rsidR="005469D0" w:rsidRDefault="005469D0" w:rsidP="005469D0">
      <w:pPr>
        <w:pStyle w:val="StandardWeb"/>
      </w:pPr>
      <w:r>
        <w:t>ist lediglich eine mathematische Änderungsrate bezüglich einer logarithmischen Skalenkoordinate.</w:t>
      </w:r>
    </w:p>
    <w:p w:rsidR="005469D0" w:rsidRDefault="00E50336" w:rsidP="005469D0">
      <w:r>
        <w:pict>
          <v:rect id="_x0000_i3869" style="width:0;height:1.5pt" o:hralign="center" o:hrstd="t" o:hr="t" fillcolor="#a0a0a0" stroked="f"/>
        </w:pict>
      </w:r>
    </w:p>
    <w:p w:rsidR="005469D0" w:rsidRDefault="005469D0" w:rsidP="005469D0">
      <w:pPr>
        <w:pStyle w:val="berschrift1"/>
      </w:pPr>
      <w:r>
        <w:t>3.3.46.354 Minimalstruktur des Abschnitts</w:t>
      </w:r>
    </w:p>
    <w:p w:rsidR="005469D0" w:rsidRDefault="005469D0" w:rsidP="005469D0">
      <w:pPr>
        <w:pStyle w:val="StandardWeb"/>
      </w:pPr>
      <w:r>
        <w:t>Nach Entfernung sämtlicher optionaler Modellannahmen verbleibt aus Abschnitt 3.3.46 keine zusätzliche Struktur, die zwingend in den minimalen FRZK-Kern aufgenommen werden müsste.</w:t>
      </w:r>
    </w:p>
    <w:p w:rsidR="005469D0" w:rsidRDefault="005469D0" w:rsidP="005469D0">
      <w:pPr>
        <w:pStyle w:val="StandardWeb"/>
      </w:pPr>
      <w:r>
        <w:t>Formal gilt daher</w:t>
      </w:r>
    </w:p>
    <w:p w:rsidR="005469D0" w:rsidRDefault="005469D0" w:rsidP="005469D0">
      <w:pPr>
        <w:pStyle w:val="berschrift1"/>
      </w:pPr>
      <w:r>
        <w:t>[</w:t>
      </w:r>
      <w:r>
        <w:br/>
        <w:t>\boxed{</w:t>
      </w:r>
      <w:r>
        <w:br/>
        <w:t>\mathfrak S_{3.3.46}^{\mathrm{min}}</w:t>
      </w:r>
    </w:p>
    <w:p w:rsidR="005469D0" w:rsidRDefault="005469D0" w:rsidP="005469D0">
      <w:pPr>
        <w:pStyle w:val="StandardWeb"/>
      </w:pPr>
      <w:r>
        <w:t>\varnothing.</w:t>
      </w:r>
      <w:r>
        <w:br/>
        <w:t>}</w:t>
      </w:r>
      <w:r>
        <w:br/>
        <w:t>\tag{3.11403}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lastRenderedPageBreak/>
        <w:t>\boxed{\mathfrak S_{3.3.46}^{\mathrm{min}}=\varnothing.}</w:t>
      </w:r>
    </w:p>
    <w:p w:rsidR="005469D0" w:rsidRDefault="005469D0" w:rsidP="005469D0">
      <w:pPr>
        <w:pStyle w:val="StandardWeb"/>
      </w:pPr>
      <w:r>
        <w:t>Dies bedeutet nicht, dass der Abschnitt inhaltlich leer wäre. Es bedeutet ausschließlich, dass seine Konstruktionen Erweiterungswerkzeuge und keine neuen Primärvoraussetzungen darstellen.</w:t>
      </w:r>
    </w:p>
    <w:p w:rsidR="005469D0" w:rsidRDefault="00E50336" w:rsidP="005469D0">
      <w:r>
        <w:pict>
          <v:rect id="_x0000_i3870" style="width:0;height:1.5pt" o:hralign="center" o:hrstd="t" o:hr="t" fillcolor="#a0a0a0" stroked="f"/>
        </w:pict>
      </w:r>
    </w:p>
    <w:p w:rsidR="005469D0" w:rsidRDefault="005469D0" w:rsidP="005469D0">
      <w:pPr>
        <w:pStyle w:val="berschrift1"/>
      </w:pPr>
      <w:r>
        <w:t>3.3.46.355 Erweiterungsstruktur des Abschnitts</w:t>
      </w:r>
    </w:p>
    <w:p w:rsidR="005469D0" w:rsidRDefault="005469D0" w:rsidP="005469D0">
      <w:pPr>
        <w:pStyle w:val="StandardWeb"/>
      </w:pPr>
      <w:r>
        <w:t>Die optional verfügbare Erweiterungsarchitektur kann dagegen zusammengefasst werden als</w:t>
      </w:r>
    </w:p>
    <w:p w:rsidR="005469D0" w:rsidRDefault="005469D0" w:rsidP="005469D0">
      <w:pPr>
        <w:pStyle w:val="berschrift1"/>
      </w:pPr>
      <w:r>
        <w:t>[</w:t>
      </w:r>
      <w:r>
        <w:br/>
        <w:t>\mathfrak E_{3.3.46}</w:t>
      </w:r>
    </w:p>
    <w:p w:rsidR="005469D0" w:rsidRDefault="005469D0" w:rsidP="005469D0">
      <w:pPr>
        <w:pStyle w:val="StandardWeb"/>
      </w:pPr>
      <w:r>
        <w:t>\left(</w:t>
      </w:r>
      <w:r>
        <w:br/>
        <w:t>S_\lambda,</w:t>
      </w:r>
      <w:r>
        <w:br/>
        <w:t>S_{\boldsymbol\lambda},</w:t>
      </w:r>
      <w:r>
        <w:br/>
        <w:t>w_{\mathrm{sc}},</w:t>
      </w:r>
      <w:r>
        <w:br/>
        <w:t>\operatorname{Dim},</w:t>
      </w:r>
      <w:r>
        <w:br/>
        <w:t>\Pi,</w:t>
      </w:r>
      <w:r>
        <w:br/>
        <w:t>\mathcal N,</w:t>
      </w:r>
      <w:r>
        <w:br/>
        <w:t>\mathcal R,</w:t>
      </w:r>
      <w:r>
        <w:br/>
        <w:t>S_\tau,</w:t>
      </w:r>
      <w:r>
        <w:br/>
        <w:t>G_{\mathrm{sc}},</w:t>
      </w:r>
      <w:r>
        <w:br/>
        <w:t>\beta_Q,</w:t>
      </w:r>
      <w:r>
        <w:br/>
        <w:t>\mathfrak G_{\mathrm{sc},T},</w:t>
      </w:r>
      <w:r>
        <w:br/>
        <w:t>f_\lambda,</w:t>
      </w:r>
      <w:r>
        <w:br/>
        <w:t>\mathfrak P_{\mathrm{sc}}</w:t>
      </w:r>
      <w:r>
        <w:br/>
        <w:t>\right).</w:t>
      </w:r>
      <w:r>
        <w:br/>
        <w:t>\tag{3.11404}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\mathfrak E_{3.3.46}=\left(S_\lambda,S_{\boldsymbol\lambda},w_{\mathrm{sc}},\operatorname{Dim},\Pi,\mathcal N,\mathcal R,S_\tau,G_{\mathrm{sc}},\beta_Q,\mathfrak G_{\mathrm{sc},T},f_\lambda,\mathfrak P_{\mathrm{sc}}\right)</w:t>
      </w:r>
    </w:p>
    <w:p w:rsidR="005469D0" w:rsidRDefault="005469D0" w:rsidP="005469D0">
      <w:pPr>
        <w:pStyle w:val="StandardWeb"/>
      </w:pPr>
      <w:r>
        <w:t>Damit unterscheide ich klar zwischen</w:t>
      </w:r>
    </w:p>
    <w:p w:rsidR="005469D0" w:rsidRDefault="005469D0" w:rsidP="005469D0">
      <w:pPr>
        <w:pStyle w:val="StandardWeb"/>
      </w:pPr>
      <w:r>
        <w:t>[</w:t>
      </w:r>
      <w:r>
        <w:br/>
        <w:t>\mathfrak S_{3.3.46}^{\mathrm{min}}</w:t>
      </w:r>
      <w:r>
        <w:br/>
        <w:t>\tag{3.11405}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\mathfrak S_{3.3.46}^{\mathrm{min}}</w:t>
      </w:r>
    </w:p>
    <w:p w:rsidR="005469D0" w:rsidRDefault="005469D0" w:rsidP="005469D0">
      <w:pPr>
        <w:pStyle w:val="StandardWeb"/>
      </w:pPr>
      <w:r>
        <w:lastRenderedPageBreak/>
        <w:t>und</w:t>
      </w:r>
    </w:p>
    <w:p w:rsidR="005469D0" w:rsidRDefault="005469D0" w:rsidP="005469D0">
      <w:pPr>
        <w:pStyle w:val="StandardWeb"/>
      </w:pPr>
      <w:r>
        <w:t>[</w:t>
      </w:r>
      <w:r>
        <w:br/>
        <w:t>\mathfrak E_{3.3.46}.</w:t>
      </w:r>
      <w:r>
        <w:br/>
        <w:t>\tag{3.11406}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\mathfrak E_{3.3.46}</w:t>
      </w:r>
    </w:p>
    <w:p w:rsidR="005469D0" w:rsidRDefault="00E50336" w:rsidP="005469D0">
      <w:r>
        <w:pict>
          <v:rect id="_x0000_i3871" style="width:0;height:1.5pt" o:hralign="center" o:hrstd="t" o:hr="t" fillcolor="#a0a0a0" stroked="f"/>
        </w:pict>
      </w:r>
    </w:p>
    <w:p w:rsidR="005469D0" w:rsidRDefault="005469D0" w:rsidP="005469D0">
      <w:pPr>
        <w:pStyle w:val="berschrift1"/>
      </w:pPr>
      <w:r>
        <w:t>3.3.46.356 Definition 3.3.226 – Optionale funktionale Skalierungserweiterung</w:t>
      </w:r>
    </w:p>
    <w:p w:rsidR="005469D0" w:rsidRDefault="005469D0" w:rsidP="005469D0">
      <w:pPr>
        <w:pStyle w:val="berschrift3"/>
      </w:pPr>
      <w:r>
        <w:t>Definition 3.3.226</w:t>
      </w:r>
    </w:p>
    <w:p w:rsidR="005469D0" w:rsidRDefault="005469D0" w:rsidP="005469D0">
      <w:pPr>
        <w:pStyle w:val="StandardWeb"/>
      </w:pPr>
      <w:r>
        <w:t xml:space="preserve">Die </w:t>
      </w:r>
      <w:r>
        <w:rPr>
          <w:rStyle w:val="Fett"/>
        </w:rPr>
        <w:t>optionale funktionale Skalierungserweiterung</w:t>
      </w:r>
      <w:r>
        <w:t xml:space="preserve"> eines FRZK-Modells ist eine Auswahl</w:t>
      </w:r>
    </w:p>
    <w:p w:rsidR="005469D0" w:rsidRDefault="005469D0" w:rsidP="005469D0">
      <w:pPr>
        <w:pStyle w:val="StandardWeb"/>
      </w:pPr>
      <w:r>
        <w:t>[</w:t>
      </w:r>
      <w:r>
        <w:br/>
        <w:t>\boxed{</w:t>
      </w:r>
      <w:r>
        <w:br/>
        <w:t>\mathfrak E_{\mathrm{sc}}</w:t>
      </w:r>
      <w:r>
        <w:br/>
        <w:t>\subseteq</w:t>
      </w:r>
      <w:r>
        <w:br/>
        <w:t>\mathfrak E_{3.3.46}</w:t>
      </w:r>
      <w:r>
        <w:br/>
        <w:t>}</w:t>
      </w:r>
      <w:r>
        <w:br/>
        <w:t>\tag{3.11407}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\boxed{\mathfrak E_{\mathrm{sc}}\subseteq\mathfrak E_{3.3.46}}</w:t>
      </w:r>
    </w:p>
    <w:p w:rsidR="005469D0" w:rsidRDefault="005469D0" w:rsidP="005469D0">
      <w:pPr>
        <w:pStyle w:val="StandardWeb"/>
      </w:pPr>
      <w:r>
        <w:t>derjenigen Skalierungs-, Dimensions-, Normalisierungs- oder Kompatibilitätsstrukturen, die für die jeweilige Modellklasse tatsächlich benötigt werden.</w:t>
      </w:r>
    </w:p>
    <w:p w:rsidR="005469D0" w:rsidRDefault="00E50336" w:rsidP="005469D0">
      <w:r>
        <w:pict>
          <v:rect id="_x0000_i3872" style="width:0;height:1.5pt" o:hralign="center" o:hrstd="t" o:hr="t" fillcolor="#a0a0a0" stroked="f"/>
        </w:pict>
      </w:r>
    </w:p>
    <w:p w:rsidR="005469D0" w:rsidRDefault="005469D0" w:rsidP="005469D0">
      <w:pPr>
        <w:pStyle w:val="berschrift1"/>
      </w:pPr>
      <w:r>
        <w:t>3.3.46.357 Prinzip der minimalen Erweiterung</w:t>
      </w:r>
    </w:p>
    <w:p w:rsidR="005469D0" w:rsidRDefault="005469D0" w:rsidP="005469D0">
      <w:pPr>
        <w:pStyle w:val="StandardWeb"/>
      </w:pPr>
      <w:r>
        <w:t>Für die weitere FRZK-Entwicklung verwende ich daher das Prinzip</w:t>
      </w:r>
    </w:p>
    <w:p w:rsidR="005469D0" w:rsidRDefault="005469D0" w:rsidP="005469D0">
      <w:pPr>
        <w:pStyle w:val="berschrift1"/>
      </w:pPr>
      <w:r>
        <w:t>[</w:t>
      </w:r>
      <w:r>
        <w:br/>
        <w:t>\boxed{</w:t>
      </w:r>
      <w:r>
        <w:br/>
        <w:t>\mathfrak E_{\mathrm{sc}}</w:t>
      </w:r>
    </w:p>
    <w:p w:rsidR="005469D0" w:rsidRDefault="005469D0" w:rsidP="005469D0">
      <w:pPr>
        <w:pStyle w:val="StandardWeb"/>
      </w:pPr>
      <w:r>
        <w:t>\text{nur die für das konkrete Modell erforderlichen Zusatzstrukturen}.</w:t>
      </w:r>
      <w:r>
        <w:br/>
        <w:t>}</w:t>
      </w:r>
      <w:r>
        <w:br/>
      </w:r>
      <w:r>
        <w:lastRenderedPageBreak/>
        <w:t>\tag{3.11408}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\boxed{\mathfrak E_{\mathrm{sc}}=\text{nur die für das konkrete Modell erforderlichen Zusatzstrukturen}.}</w:t>
      </w:r>
    </w:p>
    <w:p w:rsidR="005469D0" w:rsidRDefault="005469D0" w:rsidP="005469D0">
      <w:pPr>
        <w:pStyle w:val="StandardWeb"/>
      </w:pPr>
      <w:r>
        <w:t>Damit vermeide ich, dass mathematisch verfügbare Strukturen ohne Notwendigkeitsnachweis in die Grundaxiomatik aufgenommen werden.</w:t>
      </w:r>
    </w:p>
    <w:p w:rsidR="005469D0" w:rsidRDefault="00E50336" w:rsidP="005469D0">
      <w:r>
        <w:pict>
          <v:rect id="_x0000_i3873" style="width:0;height:1.5pt" o:hralign="center" o:hrstd="t" o:hr="t" fillcolor="#a0a0a0" stroked="f"/>
        </w:pict>
      </w:r>
    </w:p>
    <w:p w:rsidR="005469D0" w:rsidRDefault="005469D0" w:rsidP="005469D0">
      <w:pPr>
        <w:pStyle w:val="berschrift1"/>
      </w:pPr>
      <w:r>
        <w:t>3.3.46.358 Definition 3.3.227 – Prinzip der minimalen Skalierungserweiterung</w:t>
      </w:r>
    </w:p>
    <w:p w:rsidR="005469D0" w:rsidRDefault="005469D0" w:rsidP="005469D0">
      <w:pPr>
        <w:pStyle w:val="berschrift3"/>
      </w:pPr>
      <w:r>
        <w:t>Definition 3.3.227</w:t>
      </w:r>
    </w:p>
    <w:p w:rsidR="005469D0" w:rsidRDefault="005469D0" w:rsidP="005469D0">
      <w:pPr>
        <w:pStyle w:val="StandardWeb"/>
      </w:pPr>
      <w:r>
        <w:t xml:space="preserve">Das </w:t>
      </w:r>
      <w:r>
        <w:rPr>
          <w:rStyle w:val="Fett"/>
        </w:rPr>
        <w:t>Prinzip der minimalen Skalierungserweiterung</w:t>
      </w:r>
      <w:r>
        <w:t xml:space="preserve"> fordert, dass für eine konkrete FRZK-Modellklasse nur diejenigen Elemente aus (\mathfrak E_{3.3.46}) eingeführt werden, die für die betreffende Modellkonstruktion oder empirische Prüfung tatsächlich erforderlich sind.</w:t>
      </w:r>
    </w:p>
    <w:p w:rsidR="005469D0" w:rsidRDefault="005469D0" w:rsidP="005469D0">
      <w:pPr>
        <w:pStyle w:val="StandardWeb"/>
      </w:pPr>
      <w:r>
        <w:t>Formal:</w:t>
      </w:r>
    </w:p>
    <w:p w:rsidR="005469D0" w:rsidRDefault="005469D0" w:rsidP="005469D0">
      <w:pPr>
        <w:pStyle w:val="berschrift1"/>
      </w:pPr>
      <w:r>
        <w:t>[</w:t>
      </w:r>
      <w:r>
        <w:br/>
        <w:t>\boxed{</w:t>
      </w:r>
      <w:r>
        <w:br/>
        <w:t>\mathfrak E_{\mathrm{sc}}^{\ast}</w:t>
      </w:r>
    </w:p>
    <w:p w:rsidR="005469D0" w:rsidRDefault="005469D0" w:rsidP="005469D0">
      <w:pPr>
        <w:pStyle w:val="StandardWeb"/>
      </w:pPr>
      <w:r>
        <w:t>\arg\min_{\mathfrak E}</w:t>
      </w:r>
      <w:r>
        <w:br/>
        <w:t>\left{</w:t>
      </w:r>
      <w:r>
        <w:br/>
        <w:t>|\mathfrak E|:</w:t>
      </w:r>
      <w:r>
        <w:br/>
        <w:t>\mathfrak E</w:t>
      </w:r>
      <w:r>
        <w:br/>
        <w:t>\text{ erfüllt die Modellanforderungen}</w:t>
      </w:r>
      <w:r>
        <w:br/>
        <w:t>\right}.</w:t>
      </w:r>
      <w:r>
        <w:br/>
        <w:t>}</w:t>
      </w:r>
      <w:r>
        <w:br/>
        <w:t>\tag{3.11409}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\boxed{\mathfrak E_{\mathrm{sc}}^{\ast}=\arg\min_{\mathfrak E}\left\{|\mathfrak E|:\mathfrak E\text{ erfüllt die Modellanforderungen}\right\}.}</w:t>
      </w:r>
    </w:p>
    <w:p w:rsidR="005469D0" w:rsidRDefault="005469D0" w:rsidP="005469D0">
      <w:pPr>
        <w:pStyle w:val="StandardWeb"/>
      </w:pPr>
      <w:r>
        <w:t>Diese Definition ist eine methodologische Modellierungsregel und kein physikalisches Gesetz.</w:t>
      </w:r>
    </w:p>
    <w:p w:rsidR="005469D0" w:rsidRDefault="00E50336" w:rsidP="005469D0">
      <w:r>
        <w:pict>
          <v:rect id="_x0000_i3874" style="width:0;height:1.5pt" o:hralign="center" o:hrstd="t" o:hr="t" fillcolor="#a0a0a0" stroked="f"/>
        </w:pict>
      </w:r>
    </w:p>
    <w:p w:rsidR="005469D0" w:rsidRDefault="005469D0" w:rsidP="005469D0">
      <w:pPr>
        <w:pStyle w:val="berschrift1"/>
      </w:pPr>
      <w:r>
        <w:lastRenderedPageBreak/>
        <w:t>3.3.46.359 Status des Prinzips der minimalen Skalierungserweiterung</w:t>
      </w:r>
    </w:p>
    <w:p w:rsidR="005469D0" w:rsidRDefault="005469D0" w:rsidP="005469D0">
      <w:pPr>
        <w:pStyle w:val="StandardWeb"/>
      </w:pPr>
      <w:r>
        <w:t>Da dieses Prinzip festlegt, wie ich Modelle konstruiere, besitzt es keinen Primäraxiomstatus.</w:t>
      </w:r>
    </w:p>
    <w:p w:rsidR="005469D0" w:rsidRDefault="005469D0" w:rsidP="005469D0">
      <w:pPr>
        <w:pStyle w:val="StandardWeb"/>
      </w:pPr>
      <w:r>
        <w:t>Es gilt</w:t>
      </w:r>
    </w:p>
    <w:p w:rsidR="005469D0" w:rsidRDefault="005469D0" w:rsidP="005469D0">
      <w:pPr>
        <w:pStyle w:val="berschrift1"/>
      </w:pPr>
      <w:r>
        <w:t>[</w:t>
      </w:r>
      <w:r>
        <w:br/>
        <w:t>\boxed{</w:t>
      </w:r>
      <w:r>
        <w:br/>
        <w:t>\operatorname{Stat}</w:t>
      </w:r>
      <w:r>
        <w:br/>
        <w:t>(\mathfrak E_{\mathrm{sc}}^\ast)</w:t>
      </w:r>
    </w:p>
    <w:p w:rsidR="005469D0" w:rsidRDefault="005469D0" w:rsidP="005469D0">
      <w:pPr>
        <w:pStyle w:val="StandardWeb"/>
      </w:pPr>
      <w:r>
        <w:t>\mathrm{Meth}.</w:t>
      </w:r>
      <w:r>
        <w:br/>
        <w:t>}</w:t>
      </w:r>
      <w:r>
        <w:br/>
        <w:t>\tag{3.11410}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\boxed{\operatorname{Stat}(\mathfrak E_{\mathrm{sc}}^\ast)=\mathrm{Meth}.}</w:t>
      </w:r>
    </w:p>
    <w:p w:rsidR="005469D0" w:rsidRDefault="005469D0" w:rsidP="005469D0">
      <w:pPr>
        <w:pStyle w:val="StandardWeb"/>
      </w:pPr>
      <w:r>
        <w:t>Damit erweitere ich die bisherige Statusmenge für methodologische Regeln um</w:t>
      </w:r>
    </w:p>
    <w:p w:rsidR="005469D0" w:rsidRDefault="005469D0" w:rsidP="005469D0">
      <w:pPr>
        <w:pStyle w:val="berschrift1"/>
      </w:pPr>
      <w:r>
        <w:t>[</w:t>
      </w:r>
      <w:r>
        <w:br/>
        <w:t>\mathrm{Meth}</w:t>
      </w:r>
    </w:p>
    <w:p w:rsidR="005469D0" w:rsidRDefault="005469D0" w:rsidP="005469D0">
      <w:pPr>
        <w:pStyle w:val="StandardWeb"/>
      </w:pPr>
      <w:r>
        <w:t>\text{methodologische Konstruktionsregel}.</w:t>
      </w:r>
      <w:r>
        <w:br/>
        <w:t>\tag{3.11411}</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\mathrm{Meth}=\text{methodologische Konstruktionsregel}</w:t>
      </w:r>
    </w:p>
    <w:p w:rsidR="005469D0" w:rsidRDefault="00E50336" w:rsidP="005469D0">
      <w:r>
        <w:pict>
          <v:rect id="_x0000_i3875" style="width:0;height:1.5pt" o:hralign="center" o:hrstd="t" o:hr="t" fillcolor="#a0a0a0" stroked="f"/>
        </w:pict>
      </w:r>
    </w:p>
    <w:p w:rsidR="005469D0" w:rsidRDefault="005469D0" w:rsidP="005469D0">
      <w:pPr>
        <w:pStyle w:val="berschrift1"/>
      </w:pPr>
      <w:r>
        <w:t>3.3.46.360 Endgültige Axiombilanz</w:t>
      </w:r>
    </w:p>
    <w:p w:rsidR="005469D0" w:rsidRDefault="005469D0" w:rsidP="005469D0">
      <w:pPr>
        <w:pStyle w:val="StandardWeb"/>
      </w:pPr>
      <w:r>
        <w:t>Mit der vollständigen Statusprüfung ist die Primäraxiomfrage von Abschnitt 3.3.46 endgültig beantwortet.</w:t>
      </w:r>
    </w:p>
    <w:p w:rsidR="005469D0" w:rsidRDefault="005469D0" w:rsidP="005469D0">
      <w:pPr>
        <w:pStyle w:val="StandardWeb"/>
      </w:pPr>
      <w:r>
        <w:t>Es gilt</w:t>
      </w:r>
    </w:p>
    <w:p w:rsidR="005469D0" w:rsidRDefault="005469D0" w:rsidP="005469D0">
      <w:pPr>
        <w:pStyle w:val="berschrift1"/>
      </w:pPr>
      <w:r>
        <w:lastRenderedPageBreak/>
        <w:t>[</w:t>
      </w:r>
      <w:r>
        <w:br/>
        <w:t>\boxed{</w:t>
      </w:r>
      <w:r>
        <w:br/>
        <w:t>\mathfrak A_{3.3.46}^{\mathrm{new}}</w:t>
      </w:r>
    </w:p>
    <w:p w:rsidR="005469D0" w:rsidRDefault="005469D0" w:rsidP="005469D0">
      <w:pPr>
        <w:pStyle w:val="StandardWeb"/>
      </w:pPr>
      <w:r>
        <w:t>\varnothing</w:t>
      </w:r>
      <w:r>
        <w:br/>
        <w:t>}</w:t>
      </w:r>
      <w:r>
        <w:br/>
        <w:t>\tag{3.11412}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\boxed{\mathfrak A_{3.3.46}^{\mathrm{new}}=\varnothing}</w:t>
      </w:r>
    </w:p>
    <w:p w:rsidR="005469D0" w:rsidRDefault="005469D0" w:rsidP="005469D0">
      <w:pPr>
        <w:pStyle w:val="StandardWeb"/>
      </w:pPr>
      <w:r>
        <w:t>und zugleich</w:t>
      </w:r>
    </w:p>
    <w:p w:rsidR="005469D0" w:rsidRDefault="005469D0" w:rsidP="005469D0">
      <w:pPr>
        <w:pStyle w:val="StandardWeb"/>
      </w:pPr>
      <w:r>
        <w:t>[</w:t>
      </w:r>
      <w:r>
        <w:br/>
        <w:t>\boxed{</w:t>
      </w:r>
      <w:r>
        <w:br/>
        <w:t>\mathfrak E_{3.3.46}</w:t>
      </w:r>
      <w:r>
        <w:br/>
        <w:t>\neq</w:t>
      </w:r>
      <w:r>
        <w:br/>
        <w:t>\varnothing.</w:t>
      </w:r>
      <w:r>
        <w:br/>
        <w:t>}</w:t>
      </w:r>
      <w:r>
        <w:br/>
        <w:t>\tag{3.11413}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\boxed{\mathfrak E_{3.3.46}\neq\varnothing.}</w:t>
      </w:r>
    </w:p>
    <w:p w:rsidR="005469D0" w:rsidRDefault="005469D0" w:rsidP="005469D0">
      <w:pPr>
        <w:pStyle w:val="StandardWeb"/>
      </w:pPr>
      <w:r>
        <w:t>Der Abschnitt erweitert damit die mathematische Ausdrucksfähigkeit des FRZK erheblich, ohne dessen Primäraxiomatik zu vergrößern.</w:t>
      </w:r>
    </w:p>
    <w:p w:rsidR="005469D0" w:rsidRDefault="00E50336" w:rsidP="005469D0">
      <w:r>
        <w:pict>
          <v:rect id="_x0000_i3876" style="width:0;height:1.5pt" o:hralign="center" o:hrstd="t" o:hr="t" fillcolor="#a0a0a0" stroked="f"/>
        </w:pict>
      </w:r>
    </w:p>
    <w:p w:rsidR="005469D0" w:rsidRDefault="005469D0" w:rsidP="005469D0">
      <w:pPr>
        <w:pStyle w:val="berschrift1"/>
      </w:pPr>
      <w:r>
        <w:t>3.3.46.361 Methodologische Betrachtungen</w:t>
      </w:r>
    </w:p>
    <w:p w:rsidR="005469D0" w:rsidRDefault="005469D0" w:rsidP="005469D0">
      <w:pPr>
        <w:pStyle w:val="StandardWeb"/>
      </w:pPr>
      <w:r>
        <w:t xml:space="preserve">Die wichtigste methodologische Konsequenz dieses Abschnitts besteht für mich darin, </w:t>
      </w:r>
      <w:r>
        <w:rPr>
          <w:rStyle w:val="Fett"/>
        </w:rPr>
        <w:t>Skalierungsargumente nicht als selbstverständlich vorauszusetzen</w:t>
      </w:r>
      <w:r>
        <w:t>. In vielen mathematischen und physikalischen Theorien erscheinen Skalierungen so vertraut, dass leicht der Eindruck entsteht, jeder Zustandsraum müsse automatisch eine entsprechende Operation besitzen. Die Analyse dieses Abschnitts zeigt jedoch, dass bereits die Schreibweise (\lambda X) eine algebraische Struktur voraussetzt, die im allgemeinen FRZK zunächst nicht gegeben ist.</w:t>
      </w:r>
    </w:p>
    <w:p w:rsidR="005469D0" w:rsidRDefault="005469D0" w:rsidP="005469D0">
      <w:pPr>
        <w:pStyle w:val="StandardWeb"/>
      </w:pPr>
      <w:r>
        <w:t>Ich trenne daher systematisch zwischen der Existenz eines funktionalen Objekts und der zusätzlichen Möglichkeit, dieses Objekt zu skalieren. Diese Trennung verhindert, dass Eigenschaften eines Vektorraums oder eines normierten Raums unbemerkt auf allgemeine relationale Zustandsräume übertragen werden.</w:t>
      </w:r>
    </w:p>
    <w:p w:rsidR="005469D0" w:rsidRDefault="005469D0" w:rsidP="005469D0">
      <w:pPr>
        <w:pStyle w:val="StandardWeb"/>
      </w:pPr>
      <w:r>
        <w:lastRenderedPageBreak/>
        <w:t xml:space="preserve">Ebenso trenne ich </w:t>
      </w:r>
      <w:r>
        <w:rPr>
          <w:rStyle w:val="Fett"/>
        </w:rPr>
        <w:t>Skalierungsgewicht</w:t>
      </w:r>
      <w:r>
        <w:t xml:space="preserve">, </w:t>
      </w:r>
      <w:r>
        <w:rPr>
          <w:rStyle w:val="Fett"/>
        </w:rPr>
        <w:t>physikalische Dimension</w:t>
      </w:r>
      <w:r>
        <w:t xml:space="preserve"> und </w:t>
      </w:r>
      <w:r>
        <w:rPr>
          <w:rStyle w:val="Fett"/>
        </w:rPr>
        <w:t>Einheitendarstellung</w:t>
      </w:r>
      <w:r>
        <w:t>. Diese Begriffe können in speziellen Modellen miteinander verbunden sein, besitzen aber unterschiedliche mathematische Bedeutungen. Eine dimensionslose Größe ist nicht allein deshalb skalierungsinvariant, und eine skalierungsinvariante Größe ist nicht automatisch dimensionslos.</w:t>
      </w:r>
    </w:p>
    <w:p w:rsidR="005469D0" w:rsidRDefault="005469D0" w:rsidP="005469D0">
      <w:pPr>
        <w:pStyle w:val="StandardWeb"/>
      </w:pPr>
      <w:r>
        <w:t>Besondere Vorsicht ist auch beim Begriff der Renormierung erforderlich. Ich habe ihn nur in einem ausdrücklich eingeschränkten mathematischen Sinn eingeführt: als Transformation zwischen unterschiedlichen Referenzskalendarstellungen. Daraus folgt weder eine Verbindung zu divergenten Feldtheorien noch zu Regularisierung, Gegen</w:t>
      </w:r>
      <w:r>
        <w:softHyphen/>
        <w:t>termen oder laufenden physikalischen Kopplungen.</w:t>
      </w:r>
    </w:p>
    <w:p w:rsidR="005469D0" w:rsidRDefault="005469D0" w:rsidP="005469D0">
      <w:pPr>
        <w:pStyle w:val="StandardWeb"/>
      </w:pPr>
      <w:r>
        <w:t>Das gleiche gilt für die von mir verwendete Größe</w:t>
      </w:r>
    </w:p>
    <w:p w:rsidR="005469D0" w:rsidRDefault="005469D0" w:rsidP="005469D0">
      <w:pPr>
        <w:pStyle w:val="berschrift1"/>
      </w:pPr>
      <w:r>
        <w:t>[</w:t>
      </w:r>
      <w:r>
        <w:br/>
        <w:t>\beta_Q</w:t>
      </w:r>
    </w:p>
    <w:p w:rsidR="005469D0" w:rsidRDefault="005469D0" w:rsidP="005469D0">
      <w:pPr>
        <w:pStyle w:val="StandardWeb"/>
      </w:pPr>
      <w:r>
        <w:t>\frac{dQ}{d\tau}.</w:t>
      </w:r>
      <w:r>
        <w:br/>
        <w:t>\tag{3.11414}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\beta_Q=\frac{dQ}{d\tau}</w:t>
      </w:r>
    </w:p>
    <w:p w:rsidR="005469D0" w:rsidRDefault="005469D0" w:rsidP="005469D0">
      <w:pPr>
        <w:pStyle w:val="StandardWeb"/>
      </w:pPr>
      <w:r>
        <w:t>Sie darf ausschließlich als funktionale Skalenänderungsrate interpretiert werden, solange nicht in einer späteren Theorieentwicklung zusätzliche physikalische Bedeutungsbedingungen nachgewiesen werden.</w:t>
      </w:r>
    </w:p>
    <w:p w:rsidR="005469D0" w:rsidRDefault="005469D0" w:rsidP="005469D0">
      <w:pPr>
        <w:pStyle w:val="StandardWeb"/>
      </w:pPr>
      <w:r>
        <w:t>Methodologisch besonders wichtig ist ferner die Unterscheidung zwischen exakter und approximativer Skaleninvarianz. Für empirische Modelle ist eine exakte Beziehung</w:t>
      </w:r>
    </w:p>
    <w:p w:rsidR="005469D0" w:rsidRDefault="005469D0" w:rsidP="005469D0">
      <w:pPr>
        <w:pStyle w:val="berschrift1"/>
      </w:pPr>
      <w:r>
        <w:t>[</w:t>
      </w:r>
      <w:r>
        <w:br/>
        <w:t>Q(S_\lambda X)</w:t>
      </w:r>
    </w:p>
    <w:p w:rsidR="005469D0" w:rsidRDefault="005469D0" w:rsidP="005469D0">
      <w:pPr>
        <w:pStyle w:val="StandardWeb"/>
      </w:pPr>
      <w:r>
        <w:t>Q(X)</w:t>
      </w:r>
      <w:r>
        <w:br/>
        <w:t>\tag{3.11415}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Q(S_\lambda X)=Q(X)</w:t>
      </w:r>
    </w:p>
    <w:p w:rsidR="005469D0" w:rsidRDefault="005469D0" w:rsidP="005469D0">
      <w:pPr>
        <w:pStyle w:val="StandardWeb"/>
      </w:pPr>
      <w:r>
        <w:t>häufig zu stark. Deshalb habe ich mit</w:t>
      </w:r>
    </w:p>
    <w:p w:rsidR="005469D0" w:rsidRDefault="005469D0" w:rsidP="005469D0">
      <w:pPr>
        <w:pStyle w:val="StandardWeb"/>
      </w:pPr>
      <w:r>
        <w:t>[</w:t>
      </w:r>
      <w:r>
        <w:br/>
        <w:t>\Delta_{\mathrm{sc}}Q</w:t>
      </w:r>
      <w:r>
        <w:br/>
        <w:t>\leq</w:t>
      </w:r>
      <w:r>
        <w:br/>
      </w:r>
      <w:r>
        <w:lastRenderedPageBreak/>
        <w:t>\varepsilon_{\mathrm{sc}}</w:t>
      </w:r>
      <w:r>
        <w:br/>
        <w:t>\tag{3.11416}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\Delta_{\mathrm{sc}}Q\leq\varepsilon_{\mathrm{sc}}</w:t>
      </w:r>
    </w:p>
    <w:p w:rsidR="005469D0" w:rsidRDefault="005469D0" w:rsidP="005469D0">
      <w:pPr>
        <w:pStyle w:val="StandardWeb"/>
      </w:pPr>
      <w:r>
        <w:t>eine operationalisierbare approximative Form eingeführt. Dabei muss (\varepsilon_{\mathrm{sc}}) jedoch immer explizit begründet werden; andernfalls könnte eine beliebig große Toleranz jede gewünschte Skaleninvarianz scheinbar bestätigen.</w:t>
      </w:r>
    </w:p>
    <w:p w:rsidR="005469D0" w:rsidRDefault="005469D0" w:rsidP="005469D0">
      <w:pPr>
        <w:pStyle w:val="StandardWeb"/>
      </w:pPr>
      <w:r>
        <w:t>Die endgültige Axiomprüfung bestätigt außerdem die methodologische Linie der vorangegangenen Abschnitte: Ich führe eine mathematische Struktur nicht deshalb als Primäraxiom ein, weil sie elegant, vertraut oder später möglicherweise nützlich ist. Maßgeblich bleibt allein ihre nachgewiesene Unverzichtbarkeit für die minimale Theoriearchitektur.</w:t>
      </w:r>
    </w:p>
    <w:p w:rsidR="005469D0" w:rsidRDefault="005469D0" w:rsidP="005469D0">
      <w:pPr>
        <w:pStyle w:val="StandardWeb"/>
      </w:pPr>
      <w:r>
        <w:t>Diese Prüfung lässt sich formal zusammenfassen als</w:t>
      </w:r>
    </w:p>
    <w:p w:rsidR="005469D0" w:rsidRDefault="005469D0" w:rsidP="005469D0">
      <w:pPr>
        <w:pStyle w:val="StandardWeb"/>
      </w:pPr>
      <w:r>
        <w:t>[</w:t>
      </w:r>
      <w:r>
        <w:br/>
        <w:t>\boxed{</w:t>
      </w:r>
      <w:r>
        <w:br/>
        <w:t>\text{mathematische Nützlichkeit}</w:t>
      </w:r>
      <w:r>
        <w:br/>
        <w:t>\not\Rightarrow</w:t>
      </w:r>
      <w:r>
        <w:br/>
        <w:t>\text{Primäraxiomstatus}.</w:t>
      </w:r>
      <w:r>
        <w:br/>
        <w:t>}</w:t>
      </w:r>
      <w:r>
        <w:br/>
        <w:t>\tag{3.11417}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\boxed{\text{mathematische Nützlichkeit}\not\Rightarrow\text{Primäraxiomstatus}.}</w:t>
      </w:r>
    </w:p>
    <w:p w:rsidR="005469D0" w:rsidRDefault="005469D0" w:rsidP="005469D0">
      <w:pPr>
        <w:pStyle w:val="StandardWeb"/>
      </w:pPr>
      <w:r>
        <w:t>Gerade Abschnitt 3.3.46 zeigt dies besonders deutlich: Die entwickelte Skalierungsarchitektur ist umfangreich, mathematisch leistungsfähig und für spätere Modellklassen potenziell wichtig; dennoch erzeugt sie kein einziges neues Primäraxiom.</w:t>
      </w:r>
    </w:p>
    <w:p w:rsidR="005469D0" w:rsidRDefault="00E50336" w:rsidP="005469D0">
      <w:r>
        <w:pict>
          <v:rect id="_x0000_i3877" style="width:0;height:1.5pt" o:hralign="center" o:hrstd="t" o:hr="t" fillcolor="#a0a0a0" stroked="f"/>
        </w:pict>
      </w:r>
    </w:p>
    <w:p w:rsidR="005469D0" w:rsidRDefault="005469D0" w:rsidP="005469D0">
      <w:pPr>
        <w:pStyle w:val="berschrift1"/>
      </w:pPr>
      <w:r>
        <w:t>3.3.46.362 Didaktische Betrachtungen</w:t>
      </w:r>
    </w:p>
    <w:p w:rsidR="005469D0" w:rsidRDefault="005469D0" w:rsidP="005469D0">
      <w:pPr>
        <w:pStyle w:val="StandardWeb"/>
      </w:pPr>
      <w:r>
        <w:t xml:space="preserve">Didaktisch ist die Skalierungsproblematik besonders geeignet, um den Unterschied zwischen einer </w:t>
      </w:r>
      <w:r>
        <w:rPr>
          <w:rStyle w:val="Fett"/>
        </w:rPr>
        <w:t>Operation</w:t>
      </w:r>
      <w:r>
        <w:t xml:space="preserve">, einer </w:t>
      </w:r>
      <w:r>
        <w:rPr>
          <w:rStyle w:val="Fett"/>
        </w:rPr>
        <w:t>Eigenschaft</w:t>
      </w:r>
      <w:r>
        <w:t xml:space="preserve"> und einer </w:t>
      </w:r>
      <w:r>
        <w:rPr>
          <w:rStyle w:val="Fett"/>
        </w:rPr>
        <w:t>notwendigen Grundannahme</w:t>
      </w:r>
      <w:r>
        <w:t xml:space="preserve"> sichtbar zu machen.</w:t>
      </w:r>
    </w:p>
    <w:p w:rsidR="005469D0" w:rsidRDefault="005469D0" w:rsidP="005469D0">
      <w:pPr>
        <w:pStyle w:val="StandardWeb"/>
      </w:pPr>
      <w:r>
        <w:t>Am einfachsten lässt sich dieser Unterschied zunächst an einem gewöhnlichen Zahlenvektor zeigen. Für</w:t>
      </w:r>
    </w:p>
    <w:p w:rsidR="005469D0" w:rsidRDefault="005469D0" w:rsidP="005469D0">
      <w:pPr>
        <w:pStyle w:val="berschrift1"/>
      </w:pPr>
      <w:r>
        <w:lastRenderedPageBreak/>
        <w:t>[</w:t>
      </w:r>
      <w:r>
        <w:br/>
        <w:t>X</w:t>
      </w:r>
    </w:p>
    <w:p w:rsidR="005469D0" w:rsidRDefault="005469D0" w:rsidP="005469D0">
      <w:pPr>
        <w:pStyle w:val="StandardWeb"/>
      </w:pPr>
      <w:r>
        <w:t>\begin{pmatrix}</w:t>
      </w:r>
      <w:r>
        <w:br/>
        <w:t>1\</w:t>
      </w:r>
      <w:r>
        <w:br/>
        <w:t>2</w:t>
      </w:r>
      <w:r>
        <w:br/>
        <w:t>\end{pmatrix}</w:t>
      </w:r>
      <w:r>
        <w:br/>
        <w:t>\tag{3.11418}</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X=\begin{pmatrix}1\\2\end{pmatrix}</w:t>
      </w:r>
    </w:p>
    <w:p w:rsidR="005469D0" w:rsidRDefault="005469D0" w:rsidP="005469D0">
      <w:pPr>
        <w:pStyle w:val="StandardWeb"/>
      </w:pPr>
      <w:r>
        <w:t>ist die Skalierung</w:t>
      </w:r>
    </w:p>
    <w:p w:rsidR="005469D0" w:rsidRDefault="005469D0" w:rsidP="005469D0">
      <w:pPr>
        <w:pStyle w:val="berschrift1"/>
      </w:pPr>
      <w:r>
        <w:t>[</w:t>
      </w:r>
      <w:r>
        <w:br/>
        <w:t>2X</w:t>
      </w:r>
    </w:p>
    <w:p w:rsidR="005469D0" w:rsidRDefault="005469D0" w:rsidP="005469D0">
      <w:pPr>
        <w:pStyle w:val="StandardWeb"/>
      </w:pPr>
      <w:r>
        <w:t>\begin{pmatrix}</w:t>
      </w:r>
      <w:r>
        <w:br/>
        <w:t>2\</w:t>
      </w:r>
      <w:r>
        <w:br/>
        <w:t>4</w:t>
      </w:r>
      <w:r>
        <w:br/>
        <w:t>\end{pmatrix}</w:t>
      </w:r>
      <w:r>
        <w:br/>
        <w:t>\tag{3.11419}</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2X=\begin{pmatrix}2\\4\end{pmatrix}</w:t>
      </w:r>
    </w:p>
    <w:p w:rsidR="005469D0" w:rsidRDefault="005469D0" w:rsidP="005469D0">
      <w:pPr>
        <w:pStyle w:val="StandardWeb"/>
      </w:pPr>
      <w:r>
        <w:t>unmittelbar verständlich.</w:t>
      </w:r>
    </w:p>
    <w:p w:rsidR="005469D0" w:rsidRDefault="005469D0" w:rsidP="005469D0">
      <w:pPr>
        <w:pStyle w:val="StandardWeb"/>
      </w:pPr>
      <w:r>
        <w:t>Bei einem abstrakten Zustand</w:t>
      </w:r>
    </w:p>
    <w:p w:rsidR="005469D0" w:rsidRDefault="005469D0" w:rsidP="005469D0">
      <w:pPr>
        <w:pStyle w:val="StandardWeb"/>
      </w:pPr>
      <w:r>
        <w:t>[</w:t>
      </w:r>
      <w:r>
        <w:br/>
        <w:t>z\in\Omega_F</w:t>
      </w:r>
      <w:r>
        <w:br/>
        <w:t>\tag{3.11420}</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z\in\Omega_F</w:t>
      </w:r>
    </w:p>
    <w:p w:rsidR="005469D0" w:rsidRDefault="005469D0" w:rsidP="005469D0">
      <w:pPr>
        <w:pStyle w:val="StandardWeb"/>
      </w:pPr>
      <w:r>
        <w:t>ist dagegen keineswegs automatisch klar, was</w:t>
      </w:r>
    </w:p>
    <w:p w:rsidR="005469D0" w:rsidRDefault="005469D0" w:rsidP="005469D0">
      <w:pPr>
        <w:pStyle w:val="StandardWeb"/>
      </w:pPr>
      <w:r>
        <w:t>[</w:t>
      </w:r>
      <w:r>
        <w:br/>
        <w:t>2z</w:t>
      </w:r>
      <w:r>
        <w:br/>
        <w:t>\tag{3.11421}</w:t>
      </w:r>
      <w:r>
        <w:br/>
        <w:t>]</w:t>
      </w:r>
    </w:p>
    <w:p w:rsidR="005469D0" w:rsidRDefault="005469D0" w:rsidP="005469D0">
      <w:pPr>
        <w:pStyle w:val="StandardWeb"/>
      </w:pPr>
      <w:r>
        <w:rPr>
          <w:rStyle w:val="Fett"/>
        </w:rPr>
        <w:lastRenderedPageBreak/>
        <w:t>Word-LaTeX</w:t>
      </w:r>
    </w:p>
    <w:p w:rsidR="005469D0" w:rsidRDefault="005469D0" w:rsidP="005469D0">
      <w:pPr>
        <w:pStyle w:val="HTMLVorformatiert"/>
        <w:rPr>
          <w:rStyle w:val="HTMLCode"/>
        </w:rPr>
      </w:pPr>
      <w:r>
        <w:rPr>
          <w:rStyle w:val="HTMLCode"/>
        </w:rPr>
        <w:t>2z</w:t>
      </w:r>
    </w:p>
    <w:p w:rsidR="005469D0" w:rsidRDefault="005469D0" w:rsidP="005469D0">
      <w:pPr>
        <w:pStyle w:val="StandardWeb"/>
      </w:pPr>
      <w:r>
        <w:t>überhaupt bedeuten soll.</w:t>
      </w:r>
    </w:p>
    <w:p w:rsidR="005469D0" w:rsidRDefault="005469D0" w:rsidP="005469D0">
      <w:pPr>
        <w:pStyle w:val="StandardWeb"/>
      </w:pPr>
      <w:r>
        <w:t>Genau dieser Kontrast macht sichtbar, dass mathematische Operationen immer an eine definierte Struktur gebunden sind.</w:t>
      </w:r>
    </w:p>
    <w:p w:rsidR="005469D0" w:rsidRDefault="005469D0" w:rsidP="005469D0">
      <w:pPr>
        <w:pStyle w:val="StandardWeb"/>
      </w:pPr>
      <w:r>
        <w:t>Ein zweiter didaktisch hilfreicher Schritt ist die Unterscheidung von Skalierung und Normalisierung. Wird etwa ein Vektor (X) durch</w:t>
      </w:r>
    </w:p>
    <w:p w:rsidR="005469D0" w:rsidRDefault="005469D0" w:rsidP="005469D0">
      <w:pPr>
        <w:pStyle w:val="berschrift1"/>
      </w:pPr>
      <w:r>
        <w:t>[</w:t>
      </w:r>
      <w:r>
        <w:br/>
        <w:t>\mathcal N(X)</w:t>
      </w:r>
    </w:p>
    <w:p w:rsidR="005469D0" w:rsidRDefault="005469D0" w:rsidP="005469D0">
      <w:pPr>
        <w:pStyle w:val="StandardWeb"/>
      </w:pPr>
      <w:r>
        <w:t>\frac{X}{|X|}</w:t>
      </w:r>
      <w:r>
        <w:br/>
        <w:t>\tag{3.11422}</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\mathcal N(X)=\frac{X}{\|X\|}</w:t>
      </w:r>
    </w:p>
    <w:p w:rsidR="005469D0" w:rsidRDefault="005469D0" w:rsidP="005469D0">
      <w:pPr>
        <w:pStyle w:val="StandardWeb"/>
      </w:pPr>
      <w:r>
        <w:t>normalisiert, verschwindet die Information über seinen positiven Betrag, während seine Richtung erhalten bleibt.</w:t>
      </w:r>
    </w:p>
    <w:p w:rsidR="005469D0" w:rsidRDefault="005469D0" w:rsidP="005469D0">
      <w:pPr>
        <w:pStyle w:val="StandardWeb"/>
      </w:pPr>
      <w:r>
        <w:t>Damit lässt sich unmittelbar erkennen, warum aus einem normalisierten Objekt im Allgemeinen nicht eindeutig auf das ursprüngliche Objekt zurückgeschlossen werden kann.</w:t>
      </w:r>
    </w:p>
    <w:p w:rsidR="005469D0" w:rsidRDefault="005469D0" w:rsidP="005469D0">
      <w:pPr>
        <w:pStyle w:val="StandardWeb"/>
      </w:pPr>
      <w:r>
        <w:t>Ein dritter didaktischer Zugang ergibt sich aus der Dimensionsanalyse. Die Bedingung</w:t>
      </w:r>
    </w:p>
    <w:p w:rsidR="005469D0" w:rsidRDefault="005469D0" w:rsidP="005469D0">
      <w:pPr>
        <w:pStyle w:val="berschrift1"/>
      </w:pPr>
      <w:r>
        <w:t>[</w:t>
      </w:r>
      <w:r>
        <w:br/>
        <w:t>D\mathbf a</w:t>
      </w:r>
    </w:p>
    <w:p w:rsidR="005469D0" w:rsidRDefault="005469D0" w:rsidP="005469D0">
      <w:pPr>
        <w:pStyle w:val="StandardWeb"/>
      </w:pPr>
      <w:r>
        <w:t>\mathbf0</w:t>
      </w:r>
      <w:r>
        <w:br/>
        <w:t>\tag{3.11423}</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D\mathbf a=\mathbf0</w:t>
      </w:r>
    </w:p>
    <w:p w:rsidR="005469D0" w:rsidRDefault="005469D0" w:rsidP="005469D0">
      <w:pPr>
        <w:pStyle w:val="StandardWeb"/>
      </w:pPr>
      <w:r>
        <w:t>zeigt anschaulich, dass die Suche nach dimensionslosen Produktgruppen auf ein lineares Algebraproblem zurückgeführt werden kann. Dadurch wird eine scheinbar physikalische Spezialtechnik auf ein bereits bekanntes mathematisches Werkzeug zurückgeführt.</w:t>
      </w:r>
    </w:p>
    <w:p w:rsidR="005469D0" w:rsidRDefault="005469D0" w:rsidP="005469D0">
      <w:pPr>
        <w:pStyle w:val="StandardWeb"/>
      </w:pPr>
      <w:r>
        <w:t>Besonders wichtig ist mir schließlich die begriffliche Trennung zwischen mathematischer und physikalischer Sprache. Begriffe wie „Skalenfluss“, „Fixpunkt“, „Renormierung“ oder „Beta-</w:t>
      </w:r>
      <w:r>
        <w:lastRenderedPageBreak/>
        <w:t>Funktion“ können aufgrund ihrer Verwendung in etablierten physikalischen Theorien leicht zusätzliche Bedeutungen suggerieren. Deshalb muss beim Lernen und später beim Lesen des FRZK stets gefragt werden:</w:t>
      </w:r>
    </w:p>
    <w:p w:rsidR="005469D0" w:rsidRDefault="005469D0" w:rsidP="005469D0">
      <w:pPr>
        <w:pStyle w:val="StandardWeb"/>
      </w:pPr>
      <w:r>
        <w:t>[</w:t>
      </w:r>
      <w:r>
        <w:br/>
        <w:t>\boxed{</w:t>
      </w:r>
      <w:r>
        <w:br/>
        <w:t>\text{Was ist hier definiert}</w:t>
      </w:r>
      <w:r>
        <w:br/>
        <w:t>\quad\text{und}\quad</w:t>
      </w:r>
      <w:r>
        <w:br/>
        <w:t>\text{was wurde tatsächlich physikalisch begründet?}</w:t>
      </w:r>
      <w:r>
        <w:br/>
        <w:t>}</w:t>
      </w:r>
      <w:r>
        <w:br/>
        <w:t>\tag{3.11424}</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\boxed{\text{Was ist hier definiert}\quad\text{und}\quad\text{was wurde tatsächlich physikalisch begründet?}}</w:t>
      </w:r>
    </w:p>
    <w:p w:rsidR="005469D0" w:rsidRDefault="005469D0" w:rsidP="005469D0">
      <w:pPr>
        <w:pStyle w:val="StandardWeb"/>
      </w:pPr>
      <w:r>
        <w:t>Diese Frage bildet einen zentralen didaktischen Schutz gegen eine Überinterpretation mathematischer Formalismen.</w:t>
      </w:r>
    </w:p>
    <w:p w:rsidR="005469D0" w:rsidRDefault="00E50336" w:rsidP="005469D0">
      <w:r>
        <w:pict>
          <v:rect id="_x0000_i3878" style="width:0;height:1.5pt" o:hralign="center" o:hrstd="t" o:hr="t" fillcolor="#a0a0a0" stroked="f"/>
        </w:pict>
      </w:r>
    </w:p>
    <w:p w:rsidR="005469D0" w:rsidRDefault="005469D0" w:rsidP="005469D0">
      <w:pPr>
        <w:pStyle w:val="berschrift1"/>
      </w:pPr>
      <w:r>
        <w:t>3.3.46.363 Gesamtabschluss des Abschnitts</w:t>
      </w:r>
    </w:p>
    <w:p w:rsidR="005469D0" w:rsidRDefault="005469D0" w:rsidP="005469D0">
      <w:pPr>
        <w:pStyle w:val="StandardWeb"/>
      </w:pPr>
      <w:r>
        <w:t>Ich kann Abschnitt 3.3.46 nun vollständig abschließen.</w:t>
      </w:r>
    </w:p>
    <w:p w:rsidR="005469D0" w:rsidRDefault="005469D0" w:rsidP="005469D0">
      <w:pPr>
        <w:pStyle w:val="StandardWeb"/>
      </w:pPr>
      <w:r>
        <w:t>Die Untersuchung begann mit der Frage, ob Skalierbarkeit, Homogenität oder Dimensionsstruktur als zusätzliche Grundvoraussetzungen des FRZK benötigt werden. Darauf aufbauend wurden einfache und mehrparametrige Skalierungen, Isotropie und Anisotropie, Skalierungsgewichte, Dimensionsstrukturen, dimensionslose Produktgruppen, Normalisierung, funktionale Renormierung, approximative Skaleninvarianz, Skalierungsflüsse, Generatoren, Skalenänderungsraten sowie Kompatibilitätsbedingungen mit Übergängen, Kohärenz und Operatoren entwickelt.</w:t>
      </w:r>
    </w:p>
    <w:p w:rsidR="005469D0" w:rsidRDefault="005469D0" w:rsidP="005469D0">
      <w:pPr>
        <w:pStyle w:val="StandardWeb"/>
      </w:pPr>
      <w:r>
        <w:t>Die vollständige Analyse ergibt jedoch:</w:t>
      </w:r>
    </w:p>
    <w:p w:rsidR="005469D0" w:rsidRDefault="005469D0" w:rsidP="005469D0">
      <w:pPr>
        <w:pStyle w:val="berschrift1"/>
      </w:pPr>
      <w:r>
        <w:t>[</w:t>
      </w:r>
      <w:r>
        <w:br/>
        <w:t>\boxed{</w:t>
      </w:r>
      <w:r>
        <w:br/>
        <w:t>\mathfrak A_{3.3.46}^{\mathrm{new}}</w:t>
      </w:r>
    </w:p>
    <w:p w:rsidR="005469D0" w:rsidRDefault="005469D0" w:rsidP="005469D0">
      <w:pPr>
        <w:pStyle w:val="StandardWeb"/>
      </w:pPr>
      <w:r>
        <w:t>\varnothing.</w:t>
      </w:r>
      <w:r>
        <w:br/>
        <w:t>}</w:t>
      </w:r>
      <w:r>
        <w:br/>
        <w:t>\tag{3.11425}</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\boxed{\mathfrak A_{3.3.46}^{\mathrm{new}}=\varnothing.}</w:t>
      </w:r>
    </w:p>
    <w:p w:rsidR="005469D0" w:rsidRDefault="005469D0" w:rsidP="005469D0">
      <w:pPr>
        <w:pStyle w:val="StandardWeb"/>
      </w:pPr>
      <w:r>
        <w:lastRenderedPageBreak/>
        <w:t>Gleichzeitig steht für spätere Modellklassen eine umfangreiche optionale Erweiterungsarchitektur zur Verfügung:</w:t>
      </w:r>
    </w:p>
    <w:p w:rsidR="005469D0" w:rsidRDefault="005469D0" w:rsidP="005469D0">
      <w:pPr>
        <w:pStyle w:val="berschrift1"/>
      </w:pPr>
      <w:r>
        <w:t>[</w:t>
      </w:r>
      <w:r>
        <w:br/>
        <w:t>\boxed{</w:t>
      </w:r>
      <w:r>
        <w:br/>
        <w:t>\mathfrak E_{3.3.46}</w:t>
      </w:r>
    </w:p>
    <w:p w:rsidR="005469D0" w:rsidRDefault="005469D0" w:rsidP="005469D0">
      <w:pPr>
        <w:pStyle w:val="StandardWeb"/>
      </w:pPr>
      <w:r>
        <w:t>\left(</w:t>
      </w:r>
      <w:r>
        <w:br/>
        <w:t>S_\lambda,</w:t>
      </w:r>
      <w:r>
        <w:br/>
        <w:t>S_{\boldsymbol\lambda},</w:t>
      </w:r>
      <w:r>
        <w:br/>
        <w:t>w_{\mathrm{sc}},</w:t>
      </w:r>
      <w:r>
        <w:br/>
        <w:t>\operatorname{Dim},</w:t>
      </w:r>
      <w:r>
        <w:br/>
        <w:t>\Pi,</w:t>
      </w:r>
      <w:r>
        <w:br/>
        <w:t>\mathcal N,</w:t>
      </w:r>
      <w:r>
        <w:br/>
        <w:t>\mathcal R,</w:t>
      </w:r>
      <w:r>
        <w:br/>
        <w:t>S_\tau,</w:t>
      </w:r>
      <w:r>
        <w:br/>
        <w:t>G_{\mathrm{sc}},</w:t>
      </w:r>
      <w:r>
        <w:br/>
        <w:t>\beta_Q,</w:t>
      </w:r>
      <w:r>
        <w:br/>
        <w:t>\mathfrak G_{\mathrm{sc},T},</w:t>
      </w:r>
      <w:r>
        <w:br/>
        <w:t>f_\lambda,</w:t>
      </w:r>
      <w:r>
        <w:br/>
        <w:t>\mathfrak P_{\mathrm{sc}}</w:t>
      </w:r>
      <w:r>
        <w:br/>
        <w:t>\right).</w:t>
      </w:r>
      <w:r>
        <w:br/>
        <w:t>}</w:t>
      </w:r>
      <w:r>
        <w:br/>
        <w:t>\tag{3.11426}</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\boxed{\mathfrak E_{3.3.46}=\left(S_\lambda,S_{\boldsymbol\lambda},w_{\mathrm{sc}},\operatorname{Dim},\Pi,\mathcal N,\mathcal R,S_\tau,G_{\mathrm{sc}},\beta_Q,\mathfrak G_{\mathrm{sc},T},f_\lambda,\mathfrak P_{\mathrm{sc}}\right).}</w:t>
      </w:r>
    </w:p>
    <w:p w:rsidR="005469D0" w:rsidRDefault="005469D0" w:rsidP="005469D0">
      <w:pPr>
        <w:pStyle w:val="StandardWeb"/>
      </w:pPr>
      <w:r>
        <w:t xml:space="preserve">Der Abschnitt liefert damit </w:t>
      </w:r>
      <w:r>
        <w:rPr>
          <w:rStyle w:val="Fett"/>
        </w:rPr>
        <w:t>keine Erweiterung der Primäraxiomatik</w:t>
      </w:r>
      <w:r>
        <w:t>, sondern eine systematisch klassifizierte Sammlung mathematischer und operationaler Werkzeuge für solche FRZK-Modelle, in denen Skalierung tatsächlich benötigt wird.</w:t>
      </w:r>
    </w:p>
    <w:p w:rsidR="005469D0" w:rsidRDefault="005469D0" w:rsidP="005469D0">
      <w:pPr>
        <w:pStyle w:val="StandardWeb"/>
      </w:pPr>
      <w:r>
        <w:t>Der endgültige Status lautet deshalb</w:t>
      </w:r>
    </w:p>
    <w:p w:rsidR="005469D0" w:rsidRDefault="005469D0" w:rsidP="005469D0">
      <w:pPr>
        <w:pStyle w:val="berschrift1"/>
      </w:pPr>
      <w:r>
        <w:t>[</w:t>
      </w:r>
      <w:r>
        <w:br/>
        <w:t>\boxed{</w:t>
      </w:r>
      <w:r>
        <w:br/>
        <w:t>\operatorname{Status}(3.3.46)</w:t>
      </w:r>
    </w:p>
    <w:p w:rsidR="005469D0" w:rsidRDefault="005469D0" w:rsidP="005469D0">
      <w:pPr>
        <w:pStyle w:val="StandardWeb"/>
      </w:pPr>
      <w:r>
        <w:t>\mathrm{abgeschlossen}.</w:t>
      </w:r>
      <w:r>
        <w:br/>
        <w:t>}</w:t>
      </w:r>
      <w:r>
        <w:br/>
      </w:r>
      <w:r>
        <w:lastRenderedPageBreak/>
        <w:t>\tag{3.11427}</w:t>
      </w:r>
      <w:r>
        <w:br/>
        <w:t>]</w:t>
      </w:r>
    </w:p>
    <w:p w:rsidR="005469D0" w:rsidRDefault="005469D0" w:rsidP="005469D0">
      <w:pPr>
        <w:pStyle w:val="StandardWeb"/>
      </w:pPr>
      <w:r>
        <w:rPr>
          <w:rStyle w:val="Fett"/>
        </w:rPr>
        <w:t>Word-LaTeX</w:t>
      </w:r>
    </w:p>
    <w:p w:rsidR="005469D0" w:rsidRDefault="005469D0" w:rsidP="005469D0">
      <w:pPr>
        <w:pStyle w:val="HTMLVorformatiert"/>
        <w:rPr>
          <w:rStyle w:val="HTMLCode"/>
        </w:rPr>
      </w:pPr>
      <w:r>
        <w:rPr>
          <w:rStyle w:val="HTMLCode"/>
        </w:rPr>
        <w:t>\boxed{\operatorname{Status}(3.3.46)=\mathrm{abgeschlossen}.}</w:t>
      </w:r>
    </w:p>
    <w:p w:rsidR="005469D0" w:rsidRDefault="005469D0" w:rsidP="005469D0">
      <w:pPr>
        <w:pStyle w:val="StandardWeb"/>
      </w:pPr>
      <w:r>
        <w:t xml:space="preserve">Damit endet Abschnitt </w:t>
      </w:r>
      <w:r>
        <w:rPr>
          <w:rStyle w:val="Fett"/>
        </w:rPr>
        <w:t>3.3.46</w:t>
      </w:r>
      <w:r>
        <w:t xml:space="preserve"> bei </w:t>
      </w:r>
      <w:r>
        <w:rPr>
          <w:rStyle w:val="Fett"/>
        </w:rPr>
        <w:t>Gleichung (3.11427)</w:t>
      </w:r>
      <w:r>
        <w:t>.</w:t>
      </w:r>
    </w:p>
    <w:p w:rsidR="005469D0" w:rsidRDefault="005469D0" w:rsidP="005469D0">
      <w:pPr>
        <w:pStyle w:val="StandardWeb"/>
      </w:pPr>
      <w:r>
        <w:t xml:space="preserve">Der nächste Abschnitt beginnt folglich mit </w:t>
      </w:r>
      <w:r>
        <w:rPr>
          <w:rStyle w:val="Fett"/>
        </w:rPr>
        <w:t>3.3.47.0 / Gleichung (3.11428)</w:t>
      </w:r>
      <w:r>
        <w:t>.</w:t>
      </w:r>
    </w:p>
    <w:p w:rsidR="005E6418" w:rsidRDefault="005E6418" w:rsidP="005E6418">
      <w:pPr>
        <w:pStyle w:val="berschrift1"/>
        <w:rPr>
          <w:rFonts w:cs="Times New Roman"/>
          <w:sz w:val="48"/>
          <w:szCs w:val="48"/>
        </w:rPr>
      </w:pPr>
      <w:r>
        <w:t>3.3.47.0 Übergang zu funktionalen Erhaltungsgrößen und Bilanzstrukturen</w:t>
      </w:r>
    </w:p>
    <w:p w:rsidR="005E6418" w:rsidRDefault="005E6418" w:rsidP="005E6418">
      <w:pPr>
        <w:pStyle w:val="StandardWeb"/>
      </w:pPr>
      <w:r>
        <w:t xml:space="preserve">Nachdem ich in Abschnitt 3.3.46 Skalierungs-, Dimensions-, Normalisierungs- und Kompatibilitätsstrukturen untersucht und vollständig als </w:t>
      </w:r>
      <w:r>
        <w:rPr>
          <w:rStyle w:val="Fett"/>
        </w:rPr>
        <w:t>optionale Modellerweiterungen</w:t>
      </w:r>
      <w:r>
        <w:t xml:space="preserve"> klassifiziert habe, wende ich mich nun einer anderen Strukturklasse zu: funktionalen Größen, die sich entlang zulässiger Zustandsänderungen erhalten oder bilanziell verändern können.</w:t>
      </w:r>
    </w:p>
    <w:p w:rsidR="005E6418" w:rsidRDefault="005E6418" w:rsidP="005E6418">
      <w:pPr>
        <w:pStyle w:val="StandardWeb"/>
      </w:pPr>
      <w:r>
        <w:t>Ausgangspunkt ist ein zulässiger Übergang</w:t>
      </w:r>
    </w:p>
    <w:p w:rsidR="005E6418" w:rsidRDefault="005E6418" w:rsidP="005E6418">
      <w:pPr>
        <w:pStyle w:val="StandardWeb"/>
      </w:pPr>
      <w:r>
        <w:t>[</w:t>
      </w:r>
      <w:r>
        <w:br/>
        <w:t>(z_i,z_j)\in\mathcal T_F.</w:t>
      </w:r>
      <w:r>
        <w:br/>
        <w:t>\tag{3.11428}</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(z_i,z_j)\in\mathcal T_F</w:t>
      </w:r>
    </w:p>
    <w:p w:rsidR="005E6418" w:rsidRDefault="005E6418" w:rsidP="005E6418">
      <w:pPr>
        <w:pStyle w:val="StandardWeb"/>
      </w:pPr>
      <w:r>
        <w:t>Sei weiterhin</w:t>
      </w:r>
    </w:p>
    <w:p w:rsidR="005E6418" w:rsidRDefault="005E6418" w:rsidP="005E6418">
      <w:pPr>
        <w:pStyle w:val="StandardWeb"/>
      </w:pPr>
      <w:r>
        <w:t>[</w:t>
      </w:r>
      <w:r>
        <w:br/>
        <w:t>Q_F:</w:t>
      </w:r>
      <w:r>
        <w:br/>
        <w:t>\Omega_F</w:t>
      </w:r>
      <w:r>
        <w:br/>
        <w:t>\rightarrow</w:t>
      </w:r>
      <w:r>
        <w:br/>
        <w:t>\mathcal V_Q</w:t>
      </w:r>
      <w:r>
        <w:br/>
        <w:t>\tag{3.11429}</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Q_F:\Omega_F\rightarrow\mathcal V_Q</w:t>
      </w:r>
    </w:p>
    <w:p w:rsidR="005E6418" w:rsidRDefault="005E6418" w:rsidP="005E6418">
      <w:pPr>
        <w:pStyle w:val="StandardWeb"/>
      </w:pPr>
      <w:r>
        <w:t>eine funktionale Zustandsgröße.</w:t>
      </w:r>
    </w:p>
    <w:p w:rsidR="005E6418" w:rsidRDefault="005E6418" w:rsidP="005E6418">
      <w:pPr>
        <w:pStyle w:val="StandardWeb"/>
      </w:pPr>
      <w:r>
        <w:t>Die zentrale Frage dieses Abschnitts lautet, unter welchen Bedingungen aus</w:t>
      </w:r>
    </w:p>
    <w:p w:rsidR="005E6418" w:rsidRDefault="005E6418" w:rsidP="005E6418">
      <w:pPr>
        <w:pStyle w:val="StandardWeb"/>
      </w:pPr>
      <w:r>
        <w:t>[</w:t>
      </w:r>
      <w:r>
        <w:br/>
        <w:t>z_i</w:t>
      </w:r>
      <w:r>
        <w:br/>
      </w:r>
      <w:r>
        <w:lastRenderedPageBreak/>
        <w:t>\rightarrow</w:t>
      </w:r>
      <w:r>
        <w:br/>
        <w:t>z_j</w:t>
      </w:r>
      <w:r>
        <w:br/>
        <w:t>\tag{3.11430}</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z_i\rightarrow z_j</w:t>
      </w:r>
    </w:p>
    <w:p w:rsidR="005E6418" w:rsidRDefault="005E6418" w:rsidP="005E6418">
      <w:pPr>
        <w:pStyle w:val="StandardWeb"/>
      </w:pPr>
      <w:r>
        <w:t>eine Beziehung zwischen</w:t>
      </w:r>
    </w:p>
    <w:p w:rsidR="005E6418" w:rsidRDefault="005E6418" w:rsidP="005E6418">
      <w:pPr>
        <w:pStyle w:val="StandardWeb"/>
      </w:pPr>
      <w:r>
        <w:t>[</w:t>
      </w:r>
      <w:r>
        <w:br/>
        <w:t>Q_F(z_i)</w:t>
      </w:r>
      <w:r>
        <w:br/>
        <w:t>\qquad\text{und}\qquad</w:t>
      </w:r>
      <w:r>
        <w:br/>
        <w:t>Q_F(z_j)</w:t>
      </w:r>
      <w:r>
        <w:br/>
        <w:t>\tag{3.11431}</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Q_F(z_i)\qquad\text{und}\qquad Q_F(z_j)</w:t>
      </w:r>
    </w:p>
    <w:p w:rsidR="005E6418" w:rsidRDefault="005E6418" w:rsidP="005E6418">
      <w:pPr>
        <w:pStyle w:val="StandardWeb"/>
      </w:pPr>
      <w:r>
        <w:t>folgt.</w:t>
      </w:r>
    </w:p>
    <w:p w:rsidR="005E6418" w:rsidRDefault="005E6418" w:rsidP="005E6418">
      <w:pPr>
        <w:pStyle w:val="StandardWeb"/>
      </w:pPr>
      <w:r>
        <w:t>Ich unterscheide dabei zunächst drei grundsätzlich verschiedene Fälle:</w:t>
      </w:r>
    </w:p>
    <w:p w:rsidR="005E6418" w:rsidRDefault="005E6418" w:rsidP="005E6418">
      <w:pPr>
        <w:pStyle w:val="StandardWeb"/>
      </w:pPr>
      <w:r>
        <w:t>[</w:t>
      </w:r>
      <w:r>
        <w:br/>
        <w:t>Q_F(z_j)=Q_F(z_i),</w:t>
      </w:r>
      <w:r>
        <w:br/>
        <w:t>\tag{3.11432}</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Q_F(z_j)=Q_F(z_i)</w:t>
      </w:r>
    </w:p>
    <w:p w:rsidR="005E6418" w:rsidRDefault="005E6418" w:rsidP="005E6418">
      <w:pPr>
        <w:pStyle w:val="StandardWeb"/>
      </w:pPr>
      <w:r>
        <w:t>[</w:t>
      </w:r>
      <w:r>
        <w:br/>
        <w:t>Q_F(z_j)&gt;Q_F(z_i)</w:t>
      </w:r>
      <w:r>
        <w:br/>
        <w:t>\tag{3.11433}</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Q_F(z_j)&gt;Q_F(z_i)</w:t>
      </w:r>
    </w:p>
    <w:p w:rsidR="005E6418" w:rsidRDefault="005E6418" w:rsidP="005E6418">
      <w:pPr>
        <w:pStyle w:val="StandardWeb"/>
      </w:pPr>
      <w:r>
        <w:t>und</w:t>
      </w:r>
    </w:p>
    <w:p w:rsidR="005E6418" w:rsidRDefault="005E6418" w:rsidP="005E6418">
      <w:pPr>
        <w:pStyle w:val="StandardWeb"/>
      </w:pPr>
      <w:r>
        <w:t>[</w:t>
      </w:r>
      <w:r>
        <w:br/>
        <w:t>Q_F(z_j)&lt;Q_F(z_i).</w:t>
      </w:r>
      <w:r>
        <w:br/>
        <w:t>\tag{3.11434}</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lastRenderedPageBreak/>
        <w:t>Q_F(z_j)&lt;Q_F(z_i)</w:t>
      </w:r>
    </w:p>
    <w:p w:rsidR="005E6418" w:rsidRDefault="005E6418" w:rsidP="005E6418">
      <w:pPr>
        <w:pStyle w:val="StandardWeb"/>
      </w:pPr>
      <w:r>
        <w:t xml:space="preserve">Diese drei Möglichkeiten bezeichne ich vorläufig als </w:t>
      </w:r>
      <w:r>
        <w:rPr>
          <w:rStyle w:val="Fett"/>
        </w:rPr>
        <w:t>Erhaltung</w:t>
      </w:r>
      <w:r>
        <w:t xml:space="preserve">, </w:t>
      </w:r>
      <w:r>
        <w:rPr>
          <w:rStyle w:val="Fett"/>
        </w:rPr>
        <w:t>Zunahme</w:t>
      </w:r>
      <w:r>
        <w:t xml:space="preserve"> und </w:t>
      </w:r>
      <w:r>
        <w:rPr>
          <w:rStyle w:val="Fett"/>
        </w:rPr>
        <w:t>Abnahme</w:t>
      </w:r>
      <w:r>
        <w:t xml:space="preserve"> einer funktionalen Zustandsgröße.</w:t>
      </w:r>
    </w:p>
    <w:p w:rsidR="005E6418" w:rsidRDefault="00E50336" w:rsidP="005E6418">
      <w:r>
        <w:pict>
          <v:rect id="_x0000_i3879" style="width:0;height:1.5pt" o:hralign="center" o:hrstd="t" o:hr="t" fillcolor="#a0a0a0" stroked="f"/>
        </w:pict>
      </w:r>
    </w:p>
    <w:p w:rsidR="005E6418" w:rsidRDefault="005E6418" w:rsidP="005E6418">
      <w:pPr>
        <w:pStyle w:val="berschrift1"/>
      </w:pPr>
      <w:r>
        <w:t>3.3.47.1 Funktionale Erhaltung entlang eines Übergangs</w:t>
      </w:r>
    </w:p>
    <w:p w:rsidR="005E6418" w:rsidRDefault="005E6418" w:rsidP="005E6418">
      <w:pPr>
        <w:pStyle w:val="StandardWeb"/>
      </w:pPr>
      <w:r>
        <w:t>Der einfachste Fall liegt vor, wenn sich der Wert einer Zustandsgröße durch einen zulässigen Übergang nicht verändert:</w:t>
      </w:r>
    </w:p>
    <w:p w:rsidR="005E6418" w:rsidRDefault="005E6418" w:rsidP="005E6418">
      <w:pPr>
        <w:pStyle w:val="berschrift1"/>
      </w:pPr>
      <w:r>
        <w:t>[</w:t>
      </w:r>
      <w:r>
        <w:br/>
        <w:t>Q_F(z_j)-Q_F(z_i)</w:t>
      </w:r>
    </w:p>
    <w:p w:rsidR="005E6418" w:rsidRDefault="005E6418" w:rsidP="00152216">
      <w:pPr>
        <w:numPr>
          <w:ilvl w:val="0"/>
          <w:numId w:val="489"/>
        </w:numPr>
        <w:spacing w:before="100" w:beforeAutospacing="1" w:after="100" w:afterAutospacing="1"/>
      </w:pPr>
    </w:p>
    <w:p w:rsidR="005E6418" w:rsidRDefault="005E6418" w:rsidP="005E6418">
      <w:pPr>
        <w:pStyle w:val="StandardWeb"/>
      </w:pPr>
      <w:r>
        <w:t>\tag{3.11435}</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Q_F(z_j)-Q_F(z_i)=0</w:t>
      </w:r>
    </w:p>
    <w:p w:rsidR="005E6418" w:rsidRDefault="005E6418" w:rsidP="005E6418">
      <w:pPr>
        <w:pStyle w:val="StandardWeb"/>
      </w:pPr>
      <w:r>
        <w:t>Diese Aussage setzt weder voraus, dass (Q_F) eine physikalische Energie noch einen Impuls, eine Ladung oder eine andere bereits etablierte Erhaltungsgröße beschreibt.</w:t>
      </w:r>
    </w:p>
    <w:p w:rsidR="005E6418" w:rsidRDefault="005E6418" w:rsidP="005E6418">
      <w:pPr>
        <w:pStyle w:val="StandardWeb"/>
      </w:pPr>
      <w:r>
        <w:t>Sie bedeutet zunächst ausschließlich, dass der Wert der betrachteten funktionalen Größe vor und nach dem spezifizierten Übergang identisch ist.</w:t>
      </w:r>
    </w:p>
    <w:p w:rsidR="005E6418" w:rsidRDefault="00E50336" w:rsidP="005E6418">
      <w:r>
        <w:pict>
          <v:rect id="_x0000_i3880" style="width:0;height:1.5pt" o:hralign="center" o:hrstd="t" o:hr="t" fillcolor="#a0a0a0" stroked="f"/>
        </w:pict>
      </w:r>
    </w:p>
    <w:p w:rsidR="005E6418" w:rsidRDefault="005E6418" w:rsidP="005E6418">
      <w:pPr>
        <w:pStyle w:val="berschrift1"/>
      </w:pPr>
      <w:r>
        <w:t>3.3.47.2 Definition 3.3.228 – Übergangsbezogene funktionale Erhaltung</w:t>
      </w:r>
    </w:p>
    <w:p w:rsidR="005E6418" w:rsidRDefault="005E6418" w:rsidP="005E6418">
      <w:pPr>
        <w:pStyle w:val="berschrift3"/>
      </w:pPr>
      <w:r>
        <w:t>Definition 3.3.228</w:t>
      </w:r>
    </w:p>
    <w:p w:rsidR="005E6418" w:rsidRDefault="005E6418" w:rsidP="005E6418">
      <w:pPr>
        <w:pStyle w:val="StandardWeb"/>
      </w:pPr>
      <w:r>
        <w:t>Eine funktionale Zustandsgröße (Q_F) heißt bezüglich eines zulässigen Übergangs</w:t>
      </w:r>
    </w:p>
    <w:p w:rsidR="005E6418" w:rsidRDefault="005E6418" w:rsidP="005E6418">
      <w:pPr>
        <w:pStyle w:val="StandardWeb"/>
      </w:pPr>
      <w:r>
        <w:t>[</w:t>
      </w:r>
      <w:r>
        <w:br/>
        <w:t>z_i\rightarrow z_j</w:t>
      </w:r>
      <w:r>
        <w:br/>
        <w:t>\tag{3.11436}</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z_i\rightarrow z_j</w:t>
      </w:r>
    </w:p>
    <w:p w:rsidR="005E6418" w:rsidRDefault="005E6418" w:rsidP="005E6418">
      <w:pPr>
        <w:pStyle w:val="StandardWeb"/>
      </w:pPr>
      <w:r>
        <w:rPr>
          <w:rStyle w:val="Fett"/>
        </w:rPr>
        <w:lastRenderedPageBreak/>
        <w:t>übergangsbezogen erhalten</w:t>
      </w:r>
      <w:r>
        <w:t>, wenn</w:t>
      </w:r>
    </w:p>
    <w:p w:rsidR="005E6418" w:rsidRDefault="005E6418" w:rsidP="005E6418">
      <w:pPr>
        <w:pStyle w:val="berschrift1"/>
      </w:pPr>
      <w:r>
        <w:t>[</w:t>
      </w:r>
      <w:r>
        <w:br/>
        <w:t>\boxed{</w:t>
      </w:r>
      <w:r>
        <w:br/>
        <w:t>Q_F(z_j)</w:t>
      </w:r>
    </w:p>
    <w:p w:rsidR="005E6418" w:rsidRDefault="005E6418" w:rsidP="005E6418">
      <w:pPr>
        <w:pStyle w:val="StandardWeb"/>
      </w:pPr>
      <w:r>
        <w:t>Q_F(z_i).</w:t>
      </w:r>
      <w:r>
        <w:br/>
        <w:t>}</w:t>
      </w:r>
      <w:r>
        <w:br/>
        <w:t>\tag{3.11437}</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\boxed{Q_F(z_j)=Q_F(z_i).}</w:t>
      </w:r>
    </w:p>
    <w:p w:rsidR="005E6418" w:rsidRDefault="005E6418" w:rsidP="005E6418">
      <w:pPr>
        <w:pStyle w:val="StandardWeb"/>
      </w:pPr>
      <w:r>
        <w:t>Äquivalent gilt</w:t>
      </w:r>
    </w:p>
    <w:p w:rsidR="005E6418" w:rsidRDefault="005E6418" w:rsidP="005E6418">
      <w:pPr>
        <w:pStyle w:val="berschrift1"/>
      </w:pPr>
      <w:r>
        <w:t>[</w:t>
      </w:r>
      <w:r>
        <w:br/>
        <w:t>\boxed{</w:t>
      </w:r>
      <w:r>
        <w:br/>
        <w:t>\Delta_TQ_F(z_i,z_j)</w:t>
      </w:r>
    </w:p>
    <w:p w:rsidR="005E6418" w:rsidRDefault="005E6418" w:rsidP="005E6418">
      <w:pPr>
        <w:pStyle w:val="StandardWeb"/>
      </w:pPr>
      <w:r>
        <w:t>0,</w:t>
      </w:r>
      <w:r>
        <w:br/>
        <w:t>}</w:t>
      </w:r>
      <w:r>
        <w:br/>
        <w:t>\tag{3.11438}</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\boxed{\Delta_TQ_F(z_i,z_j)=0,}</w:t>
      </w:r>
    </w:p>
    <w:p w:rsidR="005E6418" w:rsidRDefault="005E6418" w:rsidP="005E6418">
      <w:pPr>
        <w:pStyle w:val="StandardWeb"/>
      </w:pPr>
      <w:r>
        <w:t>sofern die übergangsbezogene Änderung durch</w:t>
      </w:r>
    </w:p>
    <w:p w:rsidR="005E6418" w:rsidRDefault="005E6418" w:rsidP="005E6418">
      <w:pPr>
        <w:pStyle w:val="StandardWeb"/>
      </w:pPr>
      <w:r>
        <w:t>[</w:t>
      </w:r>
      <w:r>
        <w:br/>
        <w:t>\Delta_TQ_F(z_i,z_j)</w:t>
      </w:r>
      <w:r>
        <w:br/>
        <w:t>:=</w:t>
      </w:r>
      <w:r>
        <w:br/>
        <w:t>Q_F(z_j)-Q_F(z_i)</w:t>
      </w:r>
      <w:r>
        <w:br/>
        <w:t>\tag{3.11439}</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\Delta_TQ_F(z_i,z_j):=Q_F(z_j)-Q_F(z_i)</w:t>
      </w:r>
    </w:p>
    <w:p w:rsidR="005E6418" w:rsidRDefault="005E6418" w:rsidP="005E6418">
      <w:pPr>
        <w:pStyle w:val="StandardWeb"/>
      </w:pPr>
      <w:r>
        <w:t>definiert wird.</w:t>
      </w:r>
    </w:p>
    <w:p w:rsidR="005E6418" w:rsidRDefault="00E50336" w:rsidP="005E6418">
      <w:r>
        <w:pict>
          <v:rect id="_x0000_i3881" style="width:0;height:1.5pt" o:hralign="center" o:hrstd="t" o:hr="t" fillcolor="#a0a0a0" stroked="f"/>
        </w:pict>
      </w:r>
    </w:p>
    <w:p w:rsidR="005E6418" w:rsidRDefault="005E6418" w:rsidP="005E6418">
      <w:pPr>
        <w:pStyle w:val="berschrift1"/>
      </w:pPr>
      <w:r>
        <w:lastRenderedPageBreak/>
        <w:t>3.3.47.3 Definition 3.3.229 – Übergangsbezogene funktionale Änderung</w:t>
      </w:r>
    </w:p>
    <w:p w:rsidR="005E6418" w:rsidRDefault="005E6418" w:rsidP="005E6418">
      <w:pPr>
        <w:pStyle w:val="berschrift3"/>
      </w:pPr>
      <w:r>
        <w:t>Definition 3.3.229</w:t>
      </w:r>
    </w:p>
    <w:p w:rsidR="005E6418" w:rsidRDefault="005E6418" w:rsidP="005E6418">
      <w:pPr>
        <w:pStyle w:val="StandardWeb"/>
      </w:pPr>
      <w:r>
        <w:t xml:space="preserve">Die </w:t>
      </w:r>
      <w:r>
        <w:rPr>
          <w:rStyle w:val="Fett"/>
        </w:rPr>
        <w:t>übergangsbezogene funktionale Änderung</w:t>
      </w:r>
      <w:r>
        <w:t xml:space="preserve"> einer Zustandsgröße (Q_F) entlang eines zulässigen Übergangs ((z_i,z_j)\in\mathcal T_F) definiere ich als</w:t>
      </w:r>
    </w:p>
    <w:p w:rsidR="005E6418" w:rsidRDefault="005E6418" w:rsidP="005E6418">
      <w:pPr>
        <w:pStyle w:val="StandardWeb"/>
      </w:pPr>
      <w:r>
        <w:t>[</w:t>
      </w:r>
      <w:r>
        <w:br/>
        <w:t>\boxed{</w:t>
      </w:r>
      <w:r>
        <w:br/>
        <w:t>\Delta_TQ_F(z_i,z_j)</w:t>
      </w:r>
      <w:r>
        <w:br/>
        <w:t>:=</w:t>
      </w:r>
      <w:r>
        <w:br/>
        <w:t>Q_F(z_j)-Q_F(z_i).</w:t>
      </w:r>
      <w:r>
        <w:br/>
        <w:t>}</w:t>
      </w:r>
      <w:r>
        <w:br/>
        <w:t>\tag{3.11440}</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\boxed{\Delta_TQ_F(z_i,z_j):=Q_F(z_j)-Q_F(z_i).}</w:t>
      </w:r>
    </w:p>
    <w:p w:rsidR="005E6418" w:rsidRDefault="005E6418" w:rsidP="005E6418">
      <w:pPr>
        <w:pStyle w:val="StandardWeb"/>
      </w:pPr>
      <w:r>
        <w:t>Diese Definition besitzt zunächst rein mathematischen Charakter.</w:t>
      </w:r>
    </w:p>
    <w:p w:rsidR="005E6418" w:rsidRDefault="00E50336" w:rsidP="005E6418">
      <w:r>
        <w:pict>
          <v:rect id="_x0000_i3882" style="width:0;height:1.5pt" o:hralign="center" o:hrstd="t" o:hr="t" fillcolor="#a0a0a0" stroked="f"/>
        </w:pict>
      </w:r>
    </w:p>
    <w:p w:rsidR="005E6418" w:rsidRDefault="005E6418" w:rsidP="005E6418">
      <w:pPr>
        <w:pStyle w:val="berschrift1"/>
      </w:pPr>
      <w:r>
        <w:t>3.3.47.4 Vorzeichenklassifikation der funktionalen Änderung</w:t>
      </w:r>
    </w:p>
    <w:p w:rsidR="005E6418" w:rsidRDefault="005E6418" w:rsidP="005E6418">
      <w:pPr>
        <w:pStyle w:val="StandardWeb"/>
      </w:pPr>
      <w:r>
        <w:t>Aus Definition 3.3.229 folgt unmittelbar die Klassifikation</w:t>
      </w:r>
    </w:p>
    <w:p w:rsidR="005E6418" w:rsidRDefault="005E6418" w:rsidP="005E6418">
      <w:pPr>
        <w:pStyle w:val="berschrift1"/>
      </w:pPr>
      <w:r>
        <w:t>[</w:t>
      </w:r>
      <w:r>
        <w:br/>
        <w:t>\Delta_TQ_F</w:t>
      </w:r>
    </w:p>
    <w:p w:rsidR="005E6418" w:rsidRDefault="005E6418" w:rsidP="005E6418">
      <w:pPr>
        <w:pStyle w:val="StandardWeb"/>
      </w:pPr>
      <w:r>
        <w:t>0</w:t>
      </w:r>
      <w:r>
        <w:br/>
        <w:t>\quad\Longleftrightarrow\quad</w:t>
      </w:r>
      <w:r>
        <w:br/>
        <w:t>\text{Erhaltung},</w:t>
      </w:r>
      <w:r>
        <w:br/>
        <w:t>\tag{3.11441}</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\Delta_TQ_F=0\quad\Longleftrightarrow\quad\text{Erhaltung}</w:t>
      </w:r>
    </w:p>
    <w:p w:rsidR="005E6418" w:rsidRDefault="005E6418" w:rsidP="005E6418">
      <w:pPr>
        <w:pStyle w:val="StandardWeb"/>
      </w:pPr>
      <w:r>
        <w:t>[</w:t>
      </w:r>
      <w:r>
        <w:br/>
        <w:t>\Delta_TQ_F</w:t>
      </w:r>
    </w:p>
    <w:p w:rsidR="005E6418" w:rsidRDefault="005E6418" w:rsidP="005E6418">
      <w:pPr>
        <w:pStyle w:val="StandardWeb"/>
      </w:pPr>
      <w:r>
        <w:lastRenderedPageBreak/>
        <w:t>0</w:t>
      </w:r>
      <w:r>
        <w:br/>
        <w:t>\quad\Longleftrightarrow\quad</w:t>
      </w:r>
      <w:r>
        <w:br/>
        <w:t>\text{Zunahme},</w:t>
      </w:r>
      <w:r>
        <w:br/>
        <w:t>\tag{3.11442}</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\Delta_TQ_F&gt;0\quad\Longleftrightarrow\quad\text{Zunahme}</w:t>
      </w:r>
    </w:p>
    <w:p w:rsidR="005E6418" w:rsidRDefault="005E6418" w:rsidP="005E6418">
      <w:pPr>
        <w:pStyle w:val="StandardWeb"/>
      </w:pPr>
      <w:r>
        <w:t>und</w:t>
      </w:r>
    </w:p>
    <w:p w:rsidR="005E6418" w:rsidRDefault="005E6418" w:rsidP="005E6418">
      <w:pPr>
        <w:pStyle w:val="StandardWeb"/>
      </w:pPr>
      <w:r>
        <w:t>[</w:t>
      </w:r>
      <w:r>
        <w:br/>
        <w:t>\Delta_TQ_F</w:t>
      </w:r>
      <w:r>
        <w:br/>
        <w:t>&lt;</w:t>
      </w:r>
      <w:r>
        <w:br/>
        <w:t>0</w:t>
      </w:r>
      <w:r>
        <w:br/>
        <w:t>\quad\Longleftrightarrow\quad</w:t>
      </w:r>
      <w:r>
        <w:br/>
        <w:t>\text{Abnahme}.</w:t>
      </w:r>
      <w:r>
        <w:br/>
        <w:t>\tag{3.11443}</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\Delta_TQ_F&lt;0\quad\Longleftrightarrow\quad\text{Abnahme}</w:t>
      </w:r>
    </w:p>
    <w:p w:rsidR="005E6418" w:rsidRDefault="00E50336" w:rsidP="005E6418">
      <w:r>
        <w:pict>
          <v:rect id="_x0000_i3883" style="width:0;height:1.5pt" o:hralign="center" o:hrstd="t" o:hr="t" fillcolor="#a0a0a0" stroked="f"/>
        </w:pict>
      </w:r>
    </w:p>
    <w:p w:rsidR="005E6418" w:rsidRDefault="005E6418" w:rsidP="005E6418">
      <w:pPr>
        <w:pStyle w:val="berschrift1"/>
      </w:pPr>
      <w:r>
        <w:t>3.3.47.5 Definition 3.3.230 – Übergangsbezogener funktionaler Gewinn</w:t>
      </w:r>
    </w:p>
    <w:p w:rsidR="005E6418" w:rsidRDefault="005E6418" w:rsidP="005E6418">
      <w:pPr>
        <w:pStyle w:val="berschrift3"/>
      </w:pPr>
      <w:r>
        <w:t>Definition 3.3.230</w:t>
      </w:r>
    </w:p>
    <w:p w:rsidR="005E6418" w:rsidRDefault="005E6418" w:rsidP="005E6418">
      <w:pPr>
        <w:pStyle w:val="StandardWeb"/>
      </w:pPr>
      <w:r>
        <w:t xml:space="preserve">Den positiven Anteil einer funktionalen Änderung definiere ich als </w:t>
      </w:r>
      <w:r>
        <w:rPr>
          <w:rStyle w:val="Fett"/>
        </w:rPr>
        <w:t>funktionalen Gewinn</w:t>
      </w:r>
    </w:p>
    <w:p w:rsidR="005E6418" w:rsidRDefault="005E6418" w:rsidP="005E6418">
      <w:pPr>
        <w:pStyle w:val="StandardWeb"/>
      </w:pPr>
      <w:r>
        <w:t>[</w:t>
      </w:r>
      <w:r>
        <w:br/>
        <w:t>\boxed{</w:t>
      </w:r>
      <w:r>
        <w:br/>
        <w:t>G_Q(z_i,z_j)</w:t>
      </w:r>
      <w:r>
        <w:br/>
        <w:t>:=</w:t>
      </w:r>
      <w:r>
        <w:br/>
        <w:t>\max</w:t>
      </w:r>
      <w:r>
        <w:br/>
        <w:t>\left{</w:t>
      </w:r>
      <w:r>
        <w:br/>
        <w:t>\Delta_TQ_F(z_i,z_j),</w:t>
      </w:r>
      <w:r>
        <w:br/>
        <w:t>0</w:t>
      </w:r>
      <w:r>
        <w:br/>
        <w:t>\right}.</w:t>
      </w:r>
      <w:r>
        <w:br/>
        <w:t>}</w:t>
      </w:r>
      <w:r>
        <w:br/>
        <w:t>\tag{3.11444}</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\boxed{G_Q(z_i,z_j):=\max\left\{\Delta_TQ_F(z_i,z_j),0\right\}.}</w:t>
      </w:r>
    </w:p>
    <w:p w:rsidR="005E6418" w:rsidRDefault="005E6418" w:rsidP="005E6418">
      <w:pPr>
        <w:pStyle w:val="StandardWeb"/>
      </w:pPr>
      <w:r>
        <w:lastRenderedPageBreak/>
        <w:t>Damit gilt</w:t>
      </w:r>
    </w:p>
    <w:p w:rsidR="005E6418" w:rsidRDefault="005E6418" w:rsidP="005E6418">
      <w:pPr>
        <w:pStyle w:val="StandardWeb"/>
      </w:pPr>
      <w:r>
        <w:t>[</w:t>
      </w:r>
      <w:r>
        <w:br/>
        <w:t>G_Q(z_i,z_j)\geq0.</w:t>
      </w:r>
      <w:r>
        <w:br/>
        <w:t>\tag{3.11445}</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G_Q(z_i,z_j)\geq0</w:t>
      </w:r>
    </w:p>
    <w:p w:rsidR="005E6418" w:rsidRDefault="00E50336" w:rsidP="005E6418">
      <w:r>
        <w:pict>
          <v:rect id="_x0000_i3884" style="width:0;height:1.5pt" o:hralign="center" o:hrstd="t" o:hr="t" fillcolor="#a0a0a0" stroked="f"/>
        </w:pict>
      </w:r>
    </w:p>
    <w:p w:rsidR="005E6418" w:rsidRDefault="005E6418" w:rsidP="005E6418">
      <w:pPr>
        <w:pStyle w:val="berschrift1"/>
      </w:pPr>
      <w:r>
        <w:t>3.3.47.6 Definition 3.3.231 – Übergangsbezogener funktionaler Verlust</w:t>
      </w:r>
    </w:p>
    <w:p w:rsidR="005E6418" w:rsidRDefault="005E6418" w:rsidP="005E6418">
      <w:pPr>
        <w:pStyle w:val="berschrift3"/>
      </w:pPr>
      <w:r>
        <w:t>Definition 3.3.231</w:t>
      </w:r>
    </w:p>
    <w:p w:rsidR="005E6418" w:rsidRDefault="005E6418" w:rsidP="005E6418">
      <w:pPr>
        <w:pStyle w:val="StandardWeb"/>
      </w:pPr>
      <w:r>
        <w:t>Den negativen Anteil einer funktionalen Änderung schreibe ich als nichtnegative Verlustgröße</w:t>
      </w:r>
    </w:p>
    <w:p w:rsidR="005E6418" w:rsidRDefault="005E6418" w:rsidP="005E6418">
      <w:pPr>
        <w:pStyle w:val="StandardWeb"/>
      </w:pPr>
      <w:r>
        <w:t>[</w:t>
      </w:r>
      <w:r>
        <w:br/>
        <w:t>\boxed{</w:t>
      </w:r>
      <w:r>
        <w:br/>
        <w:t>L_Q(z_i,z_j)</w:t>
      </w:r>
      <w:r>
        <w:br/>
        <w:t>:=</w:t>
      </w:r>
      <w:r>
        <w:br/>
        <w:t>\max</w:t>
      </w:r>
      <w:r>
        <w:br/>
        <w:t>\left{</w:t>
      </w:r>
      <w:r>
        <w:br/>
        <w:t>-\Delta_TQ_F(z_i,z_j),</w:t>
      </w:r>
      <w:r>
        <w:br/>
        <w:t>0</w:t>
      </w:r>
      <w:r>
        <w:br/>
        <w:t>\right}.</w:t>
      </w:r>
      <w:r>
        <w:br/>
        <w:t>}</w:t>
      </w:r>
      <w:r>
        <w:br/>
        <w:t>\tag{3.11446}</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\boxed{L_Q(z_i,z_j):=\max\left\{-\Delta_TQ_F(z_i,z_j),0\right\}.}</w:t>
      </w:r>
    </w:p>
    <w:p w:rsidR="005E6418" w:rsidRDefault="005E6418" w:rsidP="005E6418">
      <w:pPr>
        <w:pStyle w:val="StandardWeb"/>
      </w:pPr>
      <w:r>
        <w:t>Damit gilt</w:t>
      </w:r>
    </w:p>
    <w:p w:rsidR="005E6418" w:rsidRDefault="005E6418" w:rsidP="005E6418">
      <w:pPr>
        <w:pStyle w:val="StandardWeb"/>
      </w:pPr>
      <w:r>
        <w:t>[</w:t>
      </w:r>
      <w:r>
        <w:br/>
        <w:t>L_Q(z_i,z_j)\geq0.</w:t>
      </w:r>
      <w:r>
        <w:br/>
        <w:t>\tag{3.11447}</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L_Q(z_i,z_j)\geq0</w:t>
      </w:r>
    </w:p>
    <w:p w:rsidR="005E6418" w:rsidRDefault="00E50336" w:rsidP="005E6418">
      <w:r>
        <w:pict>
          <v:rect id="_x0000_i3885" style="width:0;height:1.5pt" o:hralign="center" o:hrstd="t" o:hr="t" fillcolor="#a0a0a0" stroked="f"/>
        </w:pict>
      </w:r>
    </w:p>
    <w:p w:rsidR="005E6418" w:rsidRDefault="005E6418" w:rsidP="005E6418">
      <w:pPr>
        <w:pStyle w:val="berschrift1"/>
      </w:pPr>
      <w:r>
        <w:t>3.3.47.7 Zerlegung der funktionalen Änderung</w:t>
      </w:r>
    </w:p>
    <w:p w:rsidR="005E6418" w:rsidRDefault="005E6418" w:rsidP="005E6418">
      <w:pPr>
        <w:pStyle w:val="StandardWeb"/>
      </w:pPr>
      <w:r>
        <w:lastRenderedPageBreak/>
        <w:t>Aus den beiden Definitionen folgt für jeden zulässigen Übergang</w:t>
      </w:r>
    </w:p>
    <w:p w:rsidR="005E6418" w:rsidRDefault="005E6418" w:rsidP="005E6418">
      <w:pPr>
        <w:pStyle w:val="berschrift1"/>
      </w:pPr>
      <w:r>
        <w:t>[</w:t>
      </w:r>
      <w:r>
        <w:br/>
        <w:t>\Delta_TQ_F</w:t>
      </w:r>
    </w:p>
    <w:p w:rsidR="005E6418" w:rsidRDefault="005E6418" w:rsidP="005E6418">
      <w:pPr>
        <w:pStyle w:val="StandardWeb"/>
      </w:pPr>
      <w:r>
        <w:t>G_Q-L_Q.</w:t>
      </w:r>
      <w:r>
        <w:br/>
        <w:t>\tag{3.11448}</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\Delta_TQ_F=G_Q-L_Q</w:t>
      </w:r>
    </w:p>
    <w:p w:rsidR="005E6418" w:rsidRDefault="005E6418" w:rsidP="005E6418">
      <w:pPr>
        <w:pStyle w:val="StandardWeb"/>
      </w:pPr>
      <w:r>
        <w:t>Gleichzeitig können Gewinn und Verlust nicht beide strikt positiv sein:</w:t>
      </w:r>
    </w:p>
    <w:p w:rsidR="005E6418" w:rsidRDefault="005E6418" w:rsidP="005E6418">
      <w:pPr>
        <w:pStyle w:val="berschrift1"/>
      </w:pPr>
      <w:r>
        <w:t>[</w:t>
      </w:r>
      <w:r>
        <w:br/>
        <w:t>G_QL_Q</w:t>
      </w:r>
    </w:p>
    <w:p w:rsidR="005E6418" w:rsidRDefault="005E6418" w:rsidP="00152216">
      <w:pPr>
        <w:numPr>
          <w:ilvl w:val="0"/>
          <w:numId w:val="490"/>
        </w:numPr>
        <w:spacing w:before="100" w:beforeAutospacing="1" w:after="100" w:afterAutospacing="1"/>
      </w:pPr>
    </w:p>
    <w:p w:rsidR="005E6418" w:rsidRDefault="005E6418" w:rsidP="005E6418">
      <w:pPr>
        <w:pStyle w:val="StandardWeb"/>
      </w:pPr>
      <w:r>
        <w:t>\tag{3.11449}</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G_QL_Q=0</w:t>
      </w:r>
    </w:p>
    <w:p w:rsidR="005E6418" w:rsidRDefault="00E50336" w:rsidP="005E6418">
      <w:r>
        <w:pict>
          <v:rect id="_x0000_i3886" style="width:0;height:1.5pt" o:hralign="center" o:hrstd="t" o:hr="t" fillcolor="#a0a0a0" stroked="f"/>
        </w:pict>
      </w:r>
    </w:p>
    <w:p w:rsidR="005E6418" w:rsidRDefault="005E6418" w:rsidP="005E6418">
      <w:pPr>
        <w:pStyle w:val="berschrift1"/>
      </w:pPr>
      <w:r>
        <w:t>3.3.47.8 Satz 3.3.102 – Eindeutige Gewinn-Verlust-Zerlegung einer skalaren Übergangsänderung</w:t>
      </w:r>
    </w:p>
    <w:p w:rsidR="005E6418" w:rsidRDefault="005E6418" w:rsidP="005E6418">
      <w:pPr>
        <w:pStyle w:val="berschrift3"/>
      </w:pPr>
      <w:r>
        <w:t>Satz 3.3.102</w:t>
      </w:r>
    </w:p>
    <w:p w:rsidR="005E6418" w:rsidRDefault="005E6418" w:rsidP="005E6418">
      <w:pPr>
        <w:pStyle w:val="StandardWeb"/>
      </w:pPr>
      <w:r>
        <w:t>Für jede reellwertige übergangsbezogene funktionale Änderung gilt</w:t>
      </w:r>
    </w:p>
    <w:p w:rsidR="005E6418" w:rsidRDefault="005E6418" w:rsidP="005E6418">
      <w:pPr>
        <w:pStyle w:val="berschrift1"/>
      </w:pPr>
      <w:r>
        <w:t>[</w:t>
      </w:r>
      <w:r>
        <w:br/>
        <w:t>\boxed{</w:t>
      </w:r>
      <w:r>
        <w:br/>
        <w:t>\Delta_TQ_F</w:t>
      </w:r>
    </w:p>
    <w:p w:rsidR="005E6418" w:rsidRDefault="005E6418" w:rsidP="005E6418">
      <w:pPr>
        <w:pStyle w:val="StandardWeb"/>
      </w:pPr>
      <w:r>
        <w:t>G_Q-L_Q,</w:t>
      </w:r>
      <w:r>
        <w:br/>
        <w:t>\qquad</w:t>
      </w:r>
      <w:r>
        <w:br/>
        <w:t>G_Q\geq0,</w:t>
      </w:r>
      <w:r>
        <w:br/>
        <w:t>\qquad</w:t>
      </w:r>
      <w:r>
        <w:br/>
        <w:t>L_Q\geq0,</w:t>
      </w:r>
      <w:r>
        <w:br/>
        <w:t>\qquad</w:t>
      </w:r>
      <w:r>
        <w:br/>
      </w:r>
      <w:r>
        <w:lastRenderedPageBreak/>
        <w:t>G_QL_Q=0.</w:t>
      </w:r>
      <w:r>
        <w:br/>
        <w:t>}</w:t>
      </w:r>
      <w:r>
        <w:br/>
        <w:t>\tag{3.11450}</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\boxed{\Delta_TQ_F=G_Q-L_Q,\qquad G_Q\geq0,\qquad L_Q\geq0,\qquad G_QL_Q=0.}</w:t>
      </w:r>
    </w:p>
    <w:p w:rsidR="005E6418" w:rsidRDefault="005E6418" w:rsidP="005E6418">
      <w:pPr>
        <w:pStyle w:val="berschrift3"/>
      </w:pPr>
      <w:r>
        <w:t>Beweis</w:t>
      </w:r>
    </w:p>
    <w:p w:rsidR="005E6418" w:rsidRDefault="005E6418" w:rsidP="005E6418">
      <w:pPr>
        <w:pStyle w:val="StandardWeb"/>
      </w:pPr>
      <w:r>
        <w:t>Für</w:t>
      </w:r>
    </w:p>
    <w:p w:rsidR="005E6418" w:rsidRDefault="005E6418" w:rsidP="005E6418">
      <w:pPr>
        <w:pStyle w:val="StandardWeb"/>
      </w:pPr>
      <w:r>
        <w:t>[</w:t>
      </w:r>
      <w:r>
        <w:br/>
        <w:t>\Delta_TQ_F\geq0</w:t>
      </w:r>
      <w:r>
        <w:br/>
        <w:t>\tag{3.11451}</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\Delta_TQ_F\geq0</w:t>
      </w:r>
    </w:p>
    <w:p w:rsidR="005E6418" w:rsidRDefault="005E6418" w:rsidP="005E6418">
      <w:pPr>
        <w:pStyle w:val="StandardWeb"/>
      </w:pPr>
      <w:r>
        <w:t>gilt nach Definition</w:t>
      </w:r>
    </w:p>
    <w:p w:rsidR="005E6418" w:rsidRDefault="005E6418" w:rsidP="005E6418">
      <w:pPr>
        <w:pStyle w:val="StandardWeb"/>
      </w:pPr>
      <w:r>
        <w:t>[</w:t>
      </w:r>
      <w:r>
        <w:br/>
        <w:t>G_Q=\Delta_TQ_F,</w:t>
      </w:r>
      <w:r>
        <w:br/>
        <w:t>\qquad</w:t>
      </w:r>
      <w:r>
        <w:br/>
        <w:t>L_Q=0.</w:t>
      </w:r>
      <w:r>
        <w:br/>
        <w:t>\tag{3.11452}</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G_Q=\Delta_TQ_F,\qquad L_Q=0</w:t>
      </w:r>
    </w:p>
    <w:p w:rsidR="005E6418" w:rsidRDefault="005E6418" w:rsidP="005E6418">
      <w:pPr>
        <w:pStyle w:val="StandardWeb"/>
      </w:pPr>
      <w:r>
        <w:t>Für</w:t>
      </w:r>
    </w:p>
    <w:p w:rsidR="005E6418" w:rsidRDefault="005E6418" w:rsidP="005E6418">
      <w:pPr>
        <w:pStyle w:val="StandardWeb"/>
      </w:pPr>
      <w:r>
        <w:t>[</w:t>
      </w:r>
      <w:r>
        <w:br/>
        <w:t>\Delta_TQ_F&lt;0</w:t>
      </w:r>
      <w:r>
        <w:br/>
        <w:t>\tag{3.11453}</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\Delta_TQ_F&lt;0</w:t>
      </w:r>
    </w:p>
    <w:p w:rsidR="005E6418" w:rsidRDefault="005E6418" w:rsidP="005E6418">
      <w:pPr>
        <w:pStyle w:val="StandardWeb"/>
      </w:pPr>
      <w:r>
        <w:t>gilt dagegen</w:t>
      </w:r>
    </w:p>
    <w:p w:rsidR="005E6418" w:rsidRDefault="005E6418" w:rsidP="005E6418">
      <w:pPr>
        <w:pStyle w:val="StandardWeb"/>
      </w:pPr>
      <w:r>
        <w:t>[</w:t>
      </w:r>
      <w:r>
        <w:br/>
        <w:t>G_Q=0,</w:t>
      </w:r>
      <w:r>
        <w:br/>
        <w:t>\qquad</w:t>
      </w:r>
      <w:r>
        <w:br/>
      </w:r>
      <w:r>
        <w:lastRenderedPageBreak/>
        <w:t>L_Q=-\Delta_TQ_F.</w:t>
      </w:r>
      <w:r>
        <w:br/>
        <w:t>\tag{3.11454}</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G_Q=0,\qquad L_Q=-\Delta_TQ_F</w:t>
      </w:r>
    </w:p>
    <w:p w:rsidR="005E6418" w:rsidRDefault="005E6418" w:rsidP="005E6418">
      <w:pPr>
        <w:pStyle w:val="StandardWeb"/>
      </w:pPr>
      <w:r>
        <w:t>In beiden Fällen gilt damit</w:t>
      </w:r>
    </w:p>
    <w:p w:rsidR="005E6418" w:rsidRDefault="005E6418" w:rsidP="005E6418">
      <w:pPr>
        <w:pStyle w:val="berschrift1"/>
      </w:pPr>
      <w:r>
        <w:t>[</w:t>
      </w:r>
      <w:r>
        <w:br/>
        <w:t>\Delta_TQ_F</w:t>
      </w:r>
    </w:p>
    <w:p w:rsidR="005E6418" w:rsidRDefault="005E6418" w:rsidP="005E6418">
      <w:pPr>
        <w:pStyle w:val="StandardWeb"/>
      </w:pPr>
      <w:r>
        <w:t>G_Q-L_Q</w:t>
      </w:r>
      <w:r>
        <w:br/>
        <w:t>\tag{3.11455}</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\Delta_TQ_F=G_Q-L_Q</w:t>
      </w:r>
    </w:p>
    <w:p w:rsidR="005E6418" w:rsidRDefault="005E6418" w:rsidP="005E6418">
      <w:pPr>
        <w:pStyle w:val="StandardWeb"/>
      </w:pPr>
      <w:r>
        <w:t>und höchstens einer der beiden Werte kann strikt positiv sein. (\square)</w:t>
      </w:r>
    </w:p>
    <w:p w:rsidR="005E6418" w:rsidRDefault="00E50336" w:rsidP="005E6418">
      <w:r>
        <w:pict>
          <v:rect id="_x0000_i3887" style="width:0;height:1.5pt" o:hralign="center" o:hrstd="t" o:hr="t" fillcolor="#a0a0a0" stroked="f"/>
        </w:pict>
      </w:r>
    </w:p>
    <w:p w:rsidR="005E6418" w:rsidRDefault="005E6418" w:rsidP="005E6418">
      <w:pPr>
        <w:pStyle w:val="berschrift1"/>
      </w:pPr>
      <w:r>
        <w:t>3.3.47.9 Erhaltung als verschwindender Gewinn und Verlust</w:t>
      </w:r>
    </w:p>
    <w:p w:rsidR="005E6418" w:rsidRDefault="005E6418" w:rsidP="005E6418">
      <w:pPr>
        <w:pStyle w:val="StandardWeb"/>
      </w:pPr>
      <w:r>
        <w:t>Für einen erhaltenen Übergang gilt</w:t>
      </w:r>
    </w:p>
    <w:p w:rsidR="005E6418" w:rsidRDefault="005E6418" w:rsidP="005E6418">
      <w:pPr>
        <w:pStyle w:val="StandardWeb"/>
      </w:pPr>
      <w:r>
        <w:t>[</w:t>
      </w:r>
      <w:r>
        <w:br/>
        <w:t>\Delta_TQ_F=0.</w:t>
      </w:r>
      <w:r>
        <w:br/>
        <w:t>\tag{3.11456}</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\Delta_TQ_F=0</w:t>
      </w:r>
    </w:p>
    <w:p w:rsidR="005E6418" w:rsidRDefault="005E6418" w:rsidP="005E6418">
      <w:pPr>
        <w:pStyle w:val="StandardWeb"/>
      </w:pPr>
      <w:r>
        <w:t>Daraus folgt unmittelbar</w:t>
      </w:r>
    </w:p>
    <w:p w:rsidR="005E6418" w:rsidRDefault="005E6418" w:rsidP="005E6418">
      <w:pPr>
        <w:pStyle w:val="StandardWeb"/>
      </w:pPr>
      <w:r>
        <w:t>[</w:t>
      </w:r>
      <w:r>
        <w:br/>
        <w:t>G_Q=0</w:t>
      </w:r>
      <w:r>
        <w:br/>
        <w:t>\qquad\text{und}\qquad</w:t>
      </w:r>
      <w:r>
        <w:br/>
        <w:t>L_Q=0.</w:t>
      </w:r>
      <w:r>
        <w:br/>
        <w:t>\tag{3.11457}</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lastRenderedPageBreak/>
        <w:t>G_Q=0\qquad\text{und}\qquad L_Q=0</w:t>
      </w:r>
    </w:p>
    <w:p w:rsidR="005E6418" w:rsidRDefault="00E50336" w:rsidP="005E6418">
      <w:r>
        <w:pict>
          <v:rect id="_x0000_i3888" style="width:0;height:1.5pt" o:hralign="center" o:hrstd="t" o:hr="t" fillcolor="#a0a0a0" stroked="f"/>
        </w:pict>
      </w:r>
    </w:p>
    <w:p w:rsidR="005E6418" w:rsidRDefault="005E6418" w:rsidP="005E6418">
      <w:pPr>
        <w:pStyle w:val="berschrift1"/>
      </w:pPr>
      <w:r>
        <w:t>3.3.47.10 Korollar 3.3.20 – Charakterisierung funktionaler Erhaltung durch Gewinn und Verlust</w:t>
      </w:r>
    </w:p>
    <w:p w:rsidR="005E6418" w:rsidRDefault="005E6418" w:rsidP="005E6418">
      <w:pPr>
        <w:pStyle w:val="berschrift3"/>
      </w:pPr>
      <w:r>
        <w:t>Korollar 3.3.20</w:t>
      </w:r>
    </w:p>
    <w:p w:rsidR="005E6418" w:rsidRDefault="005E6418" w:rsidP="005E6418">
      <w:pPr>
        <w:pStyle w:val="StandardWeb"/>
      </w:pPr>
      <w:r>
        <w:t>Für eine reellwertige funktionale Zustandsgröße gilt</w:t>
      </w:r>
    </w:p>
    <w:p w:rsidR="005E6418" w:rsidRDefault="005E6418" w:rsidP="005E6418">
      <w:pPr>
        <w:pStyle w:val="StandardWeb"/>
      </w:pPr>
      <w:r>
        <w:t>[</w:t>
      </w:r>
      <w:r>
        <w:br/>
        <w:t>\boxed{</w:t>
      </w:r>
      <w:r>
        <w:br/>
        <w:t>\Delta_TQ_F=0</w:t>
      </w:r>
      <w:r>
        <w:br/>
        <w:t>\Longleftrightarrow</w:t>
      </w:r>
      <w:r>
        <w:br/>
        <w:t>G_Q=L_Q=0.</w:t>
      </w:r>
      <w:r>
        <w:br/>
        <w:t>}</w:t>
      </w:r>
      <w:r>
        <w:br/>
        <w:t>\tag{3.11458}</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\boxed{\Delta_TQ_F=0\Longleftrightarrow G_Q=L_Q=0.}</w:t>
      </w:r>
    </w:p>
    <w:p w:rsidR="005E6418" w:rsidRDefault="00E50336" w:rsidP="005E6418">
      <w:r>
        <w:pict>
          <v:rect id="_x0000_i3889" style="width:0;height:1.5pt" o:hralign="center" o:hrstd="t" o:hr="t" fillcolor="#a0a0a0" stroked="f"/>
        </w:pict>
      </w:r>
    </w:p>
    <w:p w:rsidR="005E6418" w:rsidRDefault="005E6418" w:rsidP="005E6418">
      <w:pPr>
        <w:pStyle w:val="berschrift1"/>
      </w:pPr>
      <w:r>
        <w:t>3.3.47.11 Erhaltung auf einer Menge von Übergängen</w:t>
      </w:r>
    </w:p>
    <w:p w:rsidR="005E6418" w:rsidRDefault="005E6418" w:rsidP="005E6418">
      <w:pPr>
        <w:pStyle w:val="StandardWeb"/>
      </w:pPr>
      <w:r>
        <w:t>Eine einzelne Erhaltungsrelation sagt noch nichts darüber aus, ob (Q_F) bei anderen Übergängen ebenfalls erhalten bleibt.</w:t>
      </w:r>
    </w:p>
    <w:p w:rsidR="005E6418" w:rsidRDefault="005E6418" w:rsidP="005E6418">
      <w:pPr>
        <w:pStyle w:val="StandardWeb"/>
      </w:pPr>
      <w:r>
        <w:t>Für eine Teilmenge</w:t>
      </w:r>
    </w:p>
    <w:p w:rsidR="005E6418" w:rsidRDefault="005E6418" w:rsidP="005E6418">
      <w:pPr>
        <w:pStyle w:val="StandardWeb"/>
      </w:pPr>
      <w:r>
        <w:t>[</w:t>
      </w:r>
      <w:r>
        <w:br/>
        <w:t>\mathcal T_Q</w:t>
      </w:r>
      <w:r>
        <w:br/>
        <w:t>\subseteq</w:t>
      </w:r>
      <w:r>
        <w:br/>
        <w:t>\mathcal T_F</w:t>
      </w:r>
      <w:r>
        <w:br/>
        <w:t>\tag{3.11459}</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\mathcal T_Q\subseteq\mathcal T_F</w:t>
      </w:r>
    </w:p>
    <w:p w:rsidR="005E6418" w:rsidRDefault="005E6418" w:rsidP="005E6418">
      <w:pPr>
        <w:pStyle w:val="StandardWeb"/>
      </w:pPr>
      <w:r>
        <w:t>kann daher verlangt werden</w:t>
      </w:r>
    </w:p>
    <w:p w:rsidR="005E6418" w:rsidRDefault="005E6418" w:rsidP="005E6418">
      <w:pPr>
        <w:pStyle w:val="berschrift1"/>
      </w:pPr>
      <w:r>
        <w:t>[</w:t>
      </w:r>
      <w:r>
        <w:br/>
        <w:t>\Delta_TQ_F(z_i,z_j)</w:t>
      </w:r>
    </w:p>
    <w:p w:rsidR="005E6418" w:rsidRDefault="005E6418" w:rsidP="005E6418">
      <w:pPr>
        <w:pStyle w:val="StandardWeb"/>
      </w:pPr>
      <w:r>
        <w:lastRenderedPageBreak/>
        <w:t>0</w:t>
      </w:r>
      <w:r>
        <w:br/>
        <w:t>\qquad</w:t>
      </w:r>
      <w:r>
        <w:br/>
        <w:t>\forall</w:t>
      </w:r>
      <w:r>
        <w:br/>
        <w:t>(z_i,z_j)\in\mathcal T_Q.</w:t>
      </w:r>
      <w:r>
        <w:br/>
        <w:t>\tag{3.11460}</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\Delta_TQ_F(z_i,z_j)=0\qquad\forall(z_i,z_j)\in\mathcal T_Q</w:t>
      </w:r>
    </w:p>
    <w:p w:rsidR="005E6418" w:rsidRDefault="00E50336" w:rsidP="005E6418">
      <w:r>
        <w:pict>
          <v:rect id="_x0000_i3890" style="width:0;height:1.5pt" o:hralign="center" o:hrstd="t" o:hr="t" fillcolor="#a0a0a0" stroked="f"/>
        </w:pict>
      </w:r>
    </w:p>
    <w:p w:rsidR="005E6418" w:rsidRDefault="005E6418" w:rsidP="005E6418">
      <w:pPr>
        <w:pStyle w:val="berschrift1"/>
      </w:pPr>
      <w:r>
        <w:t>3.3.47.12 Definition 3.3.232 – Funktionale Erhaltungsdomäne</w:t>
      </w:r>
    </w:p>
    <w:p w:rsidR="005E6418" w:rsidRDefault="005E6418" w:rsidP="005E6418">
      <w:pPr>
        <w:pStyle w:val="berschrift3"/>
      </w:pPr>
      <w:r>
        <w:t>Definition 3.3.232</w:t>
      </w:r>
    </w:p>
    <w:p w:rsidR="005E6418" w:rsidRDefault="005E6418" w:rsidP="005E6418">
      <w:pPr>
        <w:pStyle w:val="StandardWeb"/>
      </w:pPr>
      <w:r>
        <w:t>Eine Teilmenge</w:t>
      </w:r>
    </w:p>
    <w:p w:rsidR="005E6418" w:rsidRDefault="005E6418" w:rsidP="005E6418">
      <w:pPr>
        <w:pStyle w:val="StandardWeb"/>
      </w:pPr>
      <w:r>
        <w:t>[</w:t>
      </w:r>
      <w:r>
        <w:br/>
        <w:t>\mathcal T_Q</w:t>
      </w:r>
      <w:r>
        <w:br/>
        <w:t>\subseteq</w:t>
      </w:r>
      <w:r>
        <w:br/>
        <w:t>\mathcal T_F</w:t>
      </w:r>
      <w:r>
        <w:br/>
        <w:t>\tag{3.11461}</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\mathcal T_Q\subseteq\mathcal T_F</w:t>
      </w:r>
    </w:p>
    <w:p w:rsidR="005E6418" w:rsidRDefault="005E6418" w:rsidP="005E6418">
      <w:pPr>
        <w:pStyle w:val="StandardWeb"/>
      </w:pPr>
      <w:r>
        <w:t xml:space="preserve">heißt </w:t>
      </w:r>
      <w:r>
        <w:rPr>
          <w:rStyle w:val="Fett"/>
        </w:rPr>
        <w:t>funktionale Erhaltungsdomäne</w:t>
      </w:r>
      <w:r>
        <w:t xml:space="preserve"> von (Q_F), wenn</w:t>
      </w:r>
    </w:p>
    <w:p w:rsidR="005E6418" w:rsidRDefault="005E6418" w:rsidP="005E6418">
      <w:pPr>
        <w:pStyle w:val="StandardWeb"/>
      </w:pPr>
      <w:r>
        <w:t>[</w:t>
      </w:r>
      <w:r>
        <w:br/>
        <w:t>\boxed{</w:t>
      </w:r>
      <w:r>
        <w:br/>
        <w:t>\Delta_TQ_F(z_i,z_j)=0</w:t>
      </w:r>
      <w:r>
        <w:br/>
        <w:t>\qquad</w:t>
      </w:r>
      <w:r>
        <w:br/>
        <w:t>\forall(z_i,z_j)\in\mathcal T_Q.</w:t>
      </w:r>
      <w:r>
        <w:br/>
        <w:t>}</w:t>
      </w:r>
      <w:r>
        <w:br/>
        <w:t>\tag{3.11462}</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\boxed{\Delta_TQ_F(z_i,z_j)=0\qquad\forall(z_i,z_j)\in\mathcal T_Q.}</w:t>
      </w:r>
    </w:p>
    <w:p w:rsidR="005E6418" w:rsidRDefault="00E50336" w:rsidP="005E6418">
      <w:r>
        <w:pict>
          <v:rect id="_x0000_i3891" style="width:0;height:1.5pt" o:hralign="center" o:hrstd="t" o:hr="t" fillcolor="#a0a0a0" stroked="f"/>
        </w:pict>
      </w:r>
    </w:p>
    <w:p w:rsidR="005E6418" w:rsidRDefault="005E6418" w:rsidP="005E6418">
      <w:pPr>
        <w:pStyle w:val="berschrift1"/>
      </w:pPr>
      <w:r>
        <w:t>3.3.47.13 Globale funktionale Erhaltung</w:t>
      </w:r>
    </w:p>
    <w:p w:rsidR="005E6418" w:rsidRDefault="005E6418" w:rsidP="005E6418">
      <w:pPr>
        <w:pStyle w:val="StandardWeb"/>
      </w:pPr>
      <w:r>
        <w:t>Der stärkste Übergangsfall liegt vor, wenn</w:t>
      </w:r>
    </w:p>
    <w:p w:rsidR="005E6418" w:rsidRDefault="005E6418" w:rsidP="005E6418">
      <w:pPr>
        <w:pStyle w:val="berschrift1"/>
      </w:pPr>
      <w:r>
        <w:lastRenderedPageBreak/>
        <w:t>[</w:t>
      </w:r>
      <w:r>
        <w:br/>
        <w:t>\mathcal T_Q</w:t>
      </w:r>
    </w:p>
    <w:p w:rsidR="005E6418" w:rsidRDefault="005E6418" w:rsidP="005E6418">
      <w:pPr>
        <w:pStyle w:val="StandardWeb"/>
      </w:pPr>
      <w:r>
        <w:t>\mathcal T_F.</w:t>
      </w:r>
      <w:r>
        <w:br/>
        <w:t>\tag{3.11463}</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\mathcal T_Q=\mathcal T_F</w:t>
      </w:r>
    </w:p>
    <w:p w:rsidR="005E6418" w:rsidRDefault="005E6418" w:rsidP="005E6418">
      <w:pPr>
        <w:pStyle w:val="StandardWeb"/>
      </w:pPr>
      <w:r>
        <w:t>Dann ist (Q_F) auf sämtlichen zulässigen Übergängen erhalten.</w:t>
      </w:r>
    </w:p>
    <w:p w:rsidR="005E6418" w:rsidRDefault="00E50336" w:rsidP="005E6418">
      <w:r>
        <w:pict>
          <v:rect id="_x0000_i3892" style="width:0;height:1.5pt" o:hralign="center" o:hrstd="t" o:hr="t" fillcolor="#a0a0a0" stroked="f"/>
        </w:pict>
      </w:r>
    </w:p>
    <w:p w:rsidR="005E6418" w:rsidRDefault="005E6418" w:rsidP="005E6418">
      <w:pPr>
        <w:pStyle w:val="berschrift1"/>
      </w:pPr>
      <w:r>
        <w:t>3.3.47.14 Definition 3.3.233 – Global funktional erhaltene Größe</w:t>
      </w:r>
    </w:p>
    <w:p w:rsidR="005E6418" w:rsidRDefault="005E6418" w:rsidP="005E6418">
      <w:pPr>
        <w:pStyle w:val="berschrift3"/>
      </w:pPr>
      <w:r>
        <w:t>Definition 3.3.233</w:t>
      </w:r>
    </w:p>
    <w:p w:rsidR="005E6418" w:rsidRDefault="005E6418" w:rsidP="005E6418">
      <w:pPr>
        <w:pStyle w:val="StandardWeb"/>
      </w:pPr>
      <w:r>
        <w:t xml:space="preserve">Eine funktionale Zustandsgröße (Q_F) heißt </w:t>
      </w:r>
      <w:r>
        <w:rPr>
          <w:rStyle w:val="Fett"/>
        </w:rPr>
        <w:t>global funktional erhalten</w:t>
      </w:r>
      <w:r>
        <w:t>, wenn</w:t>
      </w:r>
    </w:p>
    <w:p w:rsidR="005E6418" w:rsidRDefault="005E6418" w:rsidP="005E6418">
      <w:pPr>
        <w:pStyle w:val="berschrift1"/>
      </w:pPr>
      <w:r>
        <w:t>[</w:t>
      </w:r>
      <w:r>
        <w:br/>
        <w:t>\boxed{</w:t>
      </w:r>
      <w:r>
        <w:br/>
        <w:t>\Delta_TQ_F(z_i,z_j)</w:t>
      </w:r>
    </w:p>
    <w:p w:rsidR="005E6418" w:rsidRDefault="005E6418" w:rsidP="005E6418">
      <w:pPr>
        <w:pStyle w:val="StandardWeb"/>
      </w:pPr>
      <w:r>
        <w:t>0</w:t>
      </w:r>
      <w:r>
        <w:br/>
        <w:t>\qquad</w:t>
      </w:r>
      <w:r>
        <w:br/>
        <w:t>\forall</w:t>
      </w:r>
      <w:r>
        <w:br/>
        <w:t>(z_i,z_j)\in\mathcal T_F.</w:t>
      </w:r>
      <w:r>
        <w:br/>
        <w:t>}</w:t>
      </w:r>
      <w:r>
        <w:br/>
        <w:t>\tag{3.11464}</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\boxed{\Delta_TQ_F(z_i,z_j)=0\qquad\forall(z_i,z_j)\in\mathcal T_F.}</w:t>
      </w:r>
    </w:p>
    <w:p w:rsidR="005E6418" w:rsidRDefault="00E50336" w:rsidP="005E6418">
      <w:r>
        <w:pict>
          <v:rect id="_x0000_i3893" style="width:0;height:1.5pt" o:hralign="center" o:hrstd="t" o:hr="t" fillcolor="#a0a0a0" stroked="f"/>
        </w:pict>
      </w:r>
    </w:p>
    <w:p w:rsidR="005E6418" w:rsidRDefault="005E6418" w:rsidP="005E6418">
      <w:pPr>
        <w:pStyle w:val="berschrift1"/>
      </w:pPr>
      <w:r>
        <w:t>3.3.47.15 Erhaltung entlang eines Übergangspfades</w:t>
      </w:r>
    </w:p>
    <w:p w:rsidR="005E6418" w:rsidRDefault="005E6418" w:rsidP="005E6418">
      <w:pPr>
        <w:pStyle w:val="StandardWeb"/>
      </w:pPr>
      <w:r>
        <w:t>Sei ein endlicher zulässiger Übergangspfad</w:t>
      </w:r>
    </w:p>
    <w:p w:rsidR="005E6418" w:rsidRDefault="005E6418" w:rsidP="005E6418">
      <w:pPr>
        <w:pStyle w:val="berschrift1"/>
      </w:pPr>
      <w:r>
        <w:lastRenderedPageBreak/>
        <w:t>[</w:t>
      </w:r>
      <w:r>
        <w:br/>
        <w:t>\gamma</w:t>
      </w:r>
    </w:p>
    <w:p w:rsidR="005E6418" w:rsidRDefault="005E6418" w:rsidP="005E6418">
      <w:pPr>
        <w:pStyle w:val="StandardWeb"/>
      </w:pPr>
      <w:r>
        <w:t>(z_0,z_1,\ldots,z_n)</w:t>
      </w:r>
      <w:r>
        <w:br/>
        <w:t>\tag{3.11465}</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\gamma=(z_0,z_1,\ldots,z_n)</w:t>
      </w:r>
    </w:p>
    <w:p w:rsidR="005E6418" w:rsidRDefault="005E6418" w:rsidP="005E6418">
      <w:pPr>
        <w:pStyle w:val="StandardWeb"/>
      </w:pPr>
      <w:r>
        <w:t>mit</w:t>
      </w:r>
    </w:p>
    <w:p w:rsidR="005E6418" w:rsidRDefault="005E6418" w:rsidP="005E6418">
      <w:pPr>
        <w:pStyle w:val="StandardWeb"/>
      </w:pPr>
      <w:r>
        <w:t>[</w:t>
      </w:r>
      <w:r>
        <w:br/>
        <w:t>(z_{k-1},z_k)\in\mathcal T_F</w:t>
      </w:r>
      <w:r>
        <w:br/>
        <w:t>\qquad</w:t>
      </w:r>
      <w:r>
        <w:br/>
        <w:t>k=1,\ldots,n.</w:t>
      </w:r>
      <w:r>
        <w:br/>
        <w:t>\tag{3.11466}</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(z_{k-1},z_k)\in\mathcal T_F\qquad k=1,\ldots,n</w:t>
      </w:r>
    </w:p>
    <w:p w:rsidR="005E6418" w:rsidRDefault="005E6418" w:rsidP="005E6418">
      <w:pPr>
        <w:pStyle w:val="StandardWeb"/>
      </w:pPr>
      <w:r>
        <w:t>Dann ergibt sich die gesamte Änderung zwischen Anfangs- und Endzustand durch</w:t>
      </w:r>
    </w:p>
    <w:p w:rsidR="005E6418" w:rsidRDefault="005E6418" w:rsidP="005E6418">
      <w:pPr>
        <w:pStyle w:val="StandardWeb"/>
      </w:pPr>
      <w:r>
        <w:t>[</w:t>
      </w:r>
      <w:r>
        <w:br/>
        <w:t>Q_F(z_n)-Q_F(z_0).</w:t>
      </w:r>
      <w:r>
        <w:br/>
        <w:t>\tag{3.11467}</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Q_F(z_n)-Q_F(z_0)</w:t>
      </w:r>
    </w:p>
    <w:p w:rsidR="005E6418" w:rsidRDefault="00E50336" w:rsidP="005E6418">
      <w:r>
        <w:pict>
          <v:rect id="_x0000_i3894" style="width:0;height:1.5pt" o:hralign="center" o:hrstd="t" o:hr="t" fillcolor="#a0a0a0" stroked="f"/>
        </w:pict>
      </w:r>
    </w:p>
    <w:p w:rsidR="005E6418" w:rsidRDefault="005E6418" w:rsidP="005E6418">
      <w:pPr>
        <w:pStyle w:val="berschrift1"/>
      </w:pPr>
      <w:r>
        <w:t>3.3.47.16 Teleskopsumme der Übergangsänderungen</w:t>
      </w:r>
    </w:p>
    <w:p w:rsidR="005E6418" w:rsidRDefault="005E6418" w:rsidP="005E6418">
      <w:pPr>
        <w:pStyle w:val="StandardWeb"/>
      </w:pPr>
      <w:r>
        <w:t>Es gilt</w:t>
      </w:r>
    </w:p>
    <w:p w:rsidR="005E6418" w:rsidRDefault="005E6418" w:rsidP="005E6418">
      <w:pPr>
        <w:pStyle w:val="berschrift1"/>
      </w:pPr>
      <w:r>
        <w:t>[</w:t>
      </w:r>
      <w:r>
        <w:br/>
        <w:t>Q_F(z_n)-Q_F(z_0)</w:t>
      </w:r>
    </w:p>
    <w:p w:rsidR="005E6418" w:rsidRDefault="005E6418" w:rsidP="005E6418">
      <w:pPr>
        <w:pStyle w:val="StandardWeb"/>
      </w:pPr>
      <w:r>
        <w:t>\sum_{k=1}^{n}</w:t>
      </w:r>
      <w:r>
        <w:br/>
        <w:t>\left[</w:t>
      </w:r>
      <w:r>
        <w:br/>
        <w:t>Q_F(z_k)-Q_F(z_{k-1})</w:t>
      </w:r>
      <w:r>
        <w:br/>
        <w:t>\right].</w:t>
      </w:r>
      <w:r>
        <w:br/>
      </w:r>
      <w:r>
        <w:lastRenderedPageBreak/>
        <w:t>\tag{3.11468}</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Q_F(z_n)-Q_F(z_0)=\sum_{k=1}^{n}\left[Q_F(z_k)-Q_F(z_{k-1})\right]</w:t>
      </w:r>
    </w:p>
    <w:p w:rsidR="005E6418" w:rsidRDefault="005E6418" w:rsidP="005E6418">
      <w:pPr>
        <w:pStyle w:val="StandardWeb"/>
      </w:pPr>
      <w:r>
        <w:t>Mit Definition 3.3.229 folgt</w:t>
      </w:r>
    </w:p>
    <w:p w:rsidR="005E6418" w:rsidRDefault="005E6418" w:rsidP="005E6418">
      <w:pPr>
        <w:pStyle w:val="berschrift1"/>
      </w:pPr>
      <w:r>
        <w:t>[</w:t>
      </w:r>
      <w:r>
        <w:br/>
        <w:t>\boxed{</w:t>
      </w:r>
      <w:r>
        <w:br/>
        <w:t>\Delta_\gamma Q_F</w:t>
      </w:r>
    </w:p>
    <w:p w:rsidR="005E6418" w:rsidRDefault="005E6418" w:rsidP="005E6418">
      <w:pPr>
        <w:pStyle w:val="StandardWeb"/>
      </w:pPr>
      <w:r>
        <w:t>\sum_{k=1}^{n}</w:t>
      </w:r>
      <w:r>
        <w:br/>
        <w:t>\Delta_TQ_F(z_{k-1},z_k).</w:t>
      </w:r>
      <w:r>
        <w:br/>
        <w:t>}</w:t>
      </w:r>
      <w:r>
        <w:br/>
        <w:t>\tag{3.11469}</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\boxed{\Delta_\gamma Q_F=\sum_{k=1}^{n}\Delta_TQ_F(z_{k-1},z_k).}</w:t>
      </w:r>
    </w:p>
    <w:p w:rsidR="005E6418" w:rsidRDefault="00E50336" w:rsidP="005E6418">
      <w:r>
        <w:pict>
          <v:rect id="_x0000_i3895" style="width:0;height:1.5pt" o:hralign="center" o:hrstd="t" o:hr="t" fillcolor="#a0a0a0" stroked="f"/>
        </w:pict>
      </w:r>
    </w:p>
    <w:p w:rsidR="005E6418" w:rsidRDefault="005E6418" w:rsidP="005E6418">
      <w:pPr>
        <w:pStyle w:val="berschrift1"/>
      </w:pPr>
      <w:r>
        <w:t>3.3.47.17 Definition 3.3.234 – Pfadbezogene funktionale Änderung</w:t>
      </w:r>
    </w:p>
    <w:p w:rsidR="005E6418" w:rsidRDefault="005E6418" w:rsidP="005E6418">
      <w:pPr>
        <w:pStyle w:val="berschrift3"/>
      </w:pPr>
      <w:r>
        <w:t>Definition 3.3.234</w:t>
      </w:r>
    </w:p>
    <w:p w:rsidR="005E6418" w:rsidRDefault="005E6418" w:rsidP="005E6418">
      <w:pPr>
        <w:pStyle w:val="StandardWeb"/>
      </w:pPr>
      <w:r>
        <w:t xml:space="preserve">Für einen endlichen zulässigen Übergangspfad (\gamma=(z_0,\ldots,z_n)) definiere ich die </w:t>
      </w:r>
      <w:r>
        <w:rPr>
          <w:rStyle w:val="Fett"/>
        </w:rPr>
        <w:t>pfadbezogene funktionale Änderung</w:t>
      </w:r>
      <w:r>
        <w:t xml:space="preserve"> durch</w:t>
      </w:r>
    </w:p>
    <w:p w:rsidR="005E6418" w:rsidRDefault="005E6418" w:rsidP="005E6418">
      <w:pPr>
        <w:pStyle w:val="StandardWeb"/>
      </w:pPr>
      <w:r>
        <w:t>[</w:t>
      </w:r>
      <w:r>
        <w:br/>
        <w:t>\boxed{</w:t>
      </w:r>
      <w:r>
        <w:br/>
        <w:t>\Delta_\gamma Q_F</w:t>
      </w:r>
      <w:r>
        <w:br/>
        <w:t>:=</w:t>
      </w:r>
      <w:r>
        <w:br/>
        <w:t>Q_F(z_n)-Q_F(z_0).</w:t>
      </w:r>
      <w:r>
        <w:br/>
        <w:t>}</w:t>
      </w:r>
      <w:r>
        <w:br/>
        <w:t>\tag{3.11470}</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\boxed{\Delta_\gamma Q_F:=Q_F(z_n)-Q_F(z_0).}</w:t>
      </w:r>
    </w:p>
    <w:p w:rsidR="005E6418" w:rsidRDefault="005E6418" w:rsidP="005E6418">
      <w:pPr>
        <w:pStyle w:val="StandardWeb"/>
      </w:pPr>
      <w:r>
        <w:t>Äquivalent gilt</w:t>
      </w:r>
    </w:p>
    <w:p w:rsidR="005E6418" w:rsidRDefault="005E6418" w:rsidP="005E6418">
      <w:pPr>
        <w:pStyle w:val="berschrift1"/>
      </w:pPr>
      <w:r>
        <w:lastRenderedPageBreak/>
        <w:t>[</w:t>
      </w:r>
      <w:r>
        <w:br/>
        <w:t>\boxed{</w:t>
      </w:r>
      <w:r>
        <w:br/>
        <w:t>\Delta_\gamma Q_F</w:t>
      </w:r>
    </w:p>
    <w:p w:rsidR="005E6418" w:rsidRDefault="005E6418" w:rsidP="005E6418">
      <w:pPr>
        <w:pStyle w:val="StandardWeb"/>
      </w:pPr>
      <w:r>
        <w:t>\sum_{k=1}^{n}</w:t>
      </w:r>
      <w:r>
        <w:br/>
        <w:t>\Delta_TQ_F(z_{k-1},z_k).</w:t>
      </w:r>
      <w:r>
        <w:br/>
        <w:t>}</w:t>
      </w:r>
      <w:r>
        <w:br/>
        <w:t>\tag{3.11471}</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\boxed{\Delta_\gamma Q_F=\sum_{k=1}^{n}\Delta_TQ_F(z_{k-1},z_k).}</w:t>
      </w:r>
    </w:p>
    <w:p w:rsidR="005E6418" w:rsidRDefault="00E50336" w:rsidP="005E6418">
      <w:r>
        <w:pict>
          <v:rect id="_x0000_i3896" style="width:0;height:1.5pt" o:hralign="center" o:hrstd="t" o:hr="t" fillcolor="#a0a0a0" stroked="f"/>
        </w:pict>
      </w:r>
    </w:p>
    <w:p w:rsidR="005E6418" w:rsidRDefault="005E6418" w:rsidP="005E6418">
      <w:pPr>
        <w:pStyle w:val="berschrift1"/>
      </w:pPr>
      <w:r>
        <w:t>3.3.47.18 Satz 3.3.103 – Lokale Erhaltung entlang eines Pfades impliziert Pfaderhaltung</w:t>
      </w:r>
    </w:p>
    <w:p w:rsidR="005E6418" w:rsidRDefault="005E6418" w:rsidP="005E6418">
      <w:pPr>
        <w:pStyle w:val="berschrift3"/>
      </w:pPr>
      <w:r>
        <w:t>Satz 3.3.103</w:t>
      </w:r>
    </w:p>
    <w:p w:rsidR="005E6418" w:rsidRDefault="005E6418" w:rsidP="005E6418">
      <w:pPr>
        <w:pStyle w:val="StandardWeb"/>
      </w:pPr>
      <w:r>
        <w:t>Gilt entlang eines endlichen zulässigen Pfades</w:t>
      </w:r>
    </w:p>
    <w:p w:rsidR="005E6418" w:rsidRDefault="005E6418" w:rsidP="005E6418">
      <w:pPr>
        <w:pStyle w:val="StandardWeb"/>
      </w:pPr>
      <w:r>
        <w:t>[</w:t>
      </w:r>
      <w:r>
        <w:br/>
        <w:t>\Delta_TQ_F(z_{k-1},z_k)=0</w:t>
      </w:r>
      <w:r>
        <w:br/>
        <w:t>\qquad</w:t>
      </w:r>
      <w:r>
        <w:br/>
        <w:t>\forall k,</w:t>
      </w:r>
      <w:r>
        <w:br/>
        <w:t>\tag{3.11472}</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\Delta_TQ_F(z_{k-1},z_k)=0\qquad\forall k</w:t>
      </w:r>
    </w:p>
    <w:p w:rsidR="005E6418" w:rsidRDefault="005E6418" w:rsidP="005E6418">
      <w:pPr>
        <w:pStyle w:val="StandardWeb"/>
      </w:pPr>
      <w:r>
        <w:t>dann gilt</w:t>
      </w:r>
    </w:p>
    <w:p w:rsidR="005E6418" w:rsidRDefault="005E6418" w:rsidP="005E6418">
      <w:pPr>
        <w:pStyle w:val="StandardWeb"/>
      </w:pPr>
      <w:r>
        <w:t>[</w:t>
      </w:r>
      <w:r>
        <w:br/>
        <w:t>\boxed{</w:t>
      </w:r>
      <w:r>
        <w:br/>
        <w:t>\Delta_\gamma Q_F=0.</w:t>
      </w:r>
      <w:r>
        <w:br/>
        <w:t>}</w:t>
      </w:r>
      <w:r>
        <w:br/>
        <w:t>\tag{3.11473}</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\boxed{\Delta_\gamma Q_F=0.}</w:t>
      </w:r>
    </w:p>
    <w:p w:rsidR="005E6418" w:rsidRDefault="005E6418" w:rsidP="005E6418">
      <w:pPr>
        <w:pStyle w:val="berschrift3"/>
      </w:pPr>
      <w:r>
        <w:t>Beweis</w:t>
      </w:r>
    </w:p>
    <w:p w:rsidR="005E6418" w:rsidRDefault="005E6418" w:rsidP="005E6418">
      <w:pPr>
        <w:pStyle w:val="StandardWeb"/>
      </w:pPr>
      <w:r>
        <w:lastRenderedPageBreak/>
        <w:t>Nach Gleichung (3.11471) ist</w:t>
      </w:r>
    </w:p>
    <w:p w:rsidR="005E6418" w:rsidRDefault="005E6418" w:rsidP="005E6418">
      <w:pPr>
        <w:pStyle w:val="berschrift1"/>
      </w:pPr>
      <w:r>
        <w:t>[</w:t>
      </w:r>
      <w:r>
        <w:br/>
        <w:t>\Delta_\gamma Q_F</w:t>
      </w:r>
    </w:p>
    <w:p w:rsidR="005E6418" w:rsidRDefault="005E6418" w:rsidP="005E6418">
      <w:pPr>
        <w:pStyle w:val="berschrift1"/>
      </w:pPr>
      <w:r>
        <w:t>\sum_{k=1}^{n}</w:t>
      </w:r>
      <w:r>
        <w:br/>
        <w:t>0</w:t>
      </w:r>
    </w:p>
    <w:p w:rsidR="005E6418" w:rsidRDefault="005E6418" w:rsidP="00152216">
      <w:pPr>
        <w:numPr>
          <w:ilvl w:val="0"/>
          <w:numId w:val="491"/>
        </w:numPr>
        <w:spacing w:before="100" w:beforeAutospacing="1" w:after="100" w:afterAutospacing="1"/>
      </w:pPr>
    </w:p>
    <w:p w:rsidR="005E6418" w:rsidRDefault="005E6418" w:rsidP="005E6418">
      <w:pPr>
        <w:pStyle w:val="StandardWeb"/>
      </w:pPr>
      <w:r>
        <w:t>\tag{3.11474}</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\Delta_\gamma Q_F=\sum_{k=1}^{n}0=0</w:t>
      </w:r>
    </w:p>
    <w:p w:rsidR="005E6418" w:rsidRDefault="005E6418" w:rsidP="005E6418">
      <w:pPr>
        <w:pStyle w:val="StandardWeb"/>
      </w:pPr>
      <w:r>
        <w:t>(\square)</w:t>
      </w:r>
    </w:p>
    <w:p w:rsidR="005E6418" w:rsidRDefault="00E50336" w:rsidP="005E6418">
      <w:r>
        <w:pict>
          <v:rect id="_x0000_i3897" style="width:0;height:1.5pt" o:hralign="center" o:hrstd="t" o:hr="t" fillcolor="#a0a0a0" stroked="f"/>
        </w:pict>
      </w:r>
    </w:p>
    <w:p w:rsidR="005E6418" w:rsidRDefault="005E6418" w:rsidP="005E6418">
      <w:pPr>
        <w:pStyle w:val="berschrift1"/>
      </w:pPr>
      <w:r>
        <w:t>3.3.47.19 Die Umkehrung gilt nicht</w:t>
      </w:r>
    </w:p>
    <w:p w:rsidR="005E6418" w:rsidRDefault="005E6418" w:rsidP="005E6418">
      <w:pPr>
        <w:pStyle w:val="StandardWeb"/>
      </w:pPr>
      <w:r>
        <w:t>Aus</w:t>
      </w:r>
    </w:p>
    <w:p w:rsidR="005E6418" w:rsidRDefault="005E6418" w:rsidP="005E6418">
      <w:pPr>
        <w:pStyle w:val="StandardWeb"/>
      </w:pPr>
      <w:r>
        <w:t>[</w:t>
      </w:r>
      <w:r>
        <w:br/>
        <w:t>\Delta_\gamma Q_F=0</w:t>
      </w:r>
      <w:r>
        <w:br/>
        <w:t>\tag{3.11475}</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\Delta_\gamma Q_F=0</w:t>
      </w:r>
    </w:p>
    <w:p w:rsidR="005E6418" w:rsidRDefault="005E6418" w:rsidP="005E6418">
      <w:pPr>
        <w:pStyle w:val="StandardWeb"/>
      </w:pPr>
      <w:r>
        <w:t>folgt nicht notwendig</w:t>
      </w:r>
    </w:p>
    <w:p w:rsidR="005E6418" w:rsidRDefault="005E6418" w:rsidP="005E6418">
      <w:pPr>
        <w:pStyle w:val="StandardWeb"/>
      </w:pPr>
      <w:r>
        <w:t>[</w:t>
      </w:r>
      <w:r>
        <w:br/>
        <w:t>\Delta_TQ_F(z_{k-1},z_k)=0</w:t>
      </w:r>
      <w:r>
        <w:br/>
        <w:t>\qquad</w:t>
      </w:r>
      <w:r>
        <w:br/>
        <w:t>\forall k.</w:t>
      </w:r>
      <w:r>
        <w:br/>
        <w:t>\tag{3.11476}</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\Delta_TQ_F(z_{k-1},z_k)=0\qquad\forall k</w:t>
      </w:r>
    </w:p>
    <w:p w:rsidR="005E6418" w:rsidRDefault="005E6418" w:rsidP="005E6418">
      <w:pPr>
        <w:pStyle w:val="StandardWeb"/>
      </w:pPr>
      <w:r>
        <w:t>Positive und negative Änderungen können sich entlang eines Pfades kompensieren.</w:t>
      </w:r>
    </w:p>
    <w:p w:rsidR="005E6418" w:rsidRDefault="00E50336" w:rsidP="005E6418">
      <w:r>
        <w:lastRenderedPageBreak/>
        <w:pict>
          <v:rect id="_x0000_i3898" style="width:0;height:1.5pt" o:hralign="center" o:hrstd="t" o:hr="t" fillcolor="#a0a0a0" stroked="f"/>
        </w:pict>
      </w:r>
    </w:p>
    <w:p w:rsidR="005E6418" w:rsidRDefault="005E6418" w:rsidP="005E6418">
      <w:pPr>
        <w:pStyle w:val="berschrift1"/>
      </w:pPr>
      <w:r>
        <w:t>3.3.47.20 Beispiel einer kompensierten Pfadänderung</w:t>
      </w:r>
    </w:p>
    <w:p w:rsidR="005E6418" w:rsidRDefault="005E6418" w:rsidP="005E6418">
      <w:pPr>
        <w:pStyle w:val="StandardWeb"/>
      </w:pPr>
      <w:r>
        <w:t>Sei beispielsweise</w:t>
      </w:r>
    </w:p>
    <w:p w:rsidR="005E6418" w:rsidRDefault="005E6418" w:rsidP="005E6418">
      <w:pPr>
        <w:pStyle w:val="berschrift1"/>
      </w:pPr>
      <w:r>
        <w:t>[</w:t>
      </w:r>
      <w:r>
        <w:br/>
        <w:t>\Delta_TQ_F(z_0,z_1)</w:t>
      </w:r>
    </w:p>
    <w:p w:rsidR="005E6418" w:rsidRDefault="005E6418" w:rsidP="005E6418">
      <w:pPr>
        <w:pStyle w:val="StandardWeb"/>
      </w:pPr>
      <w:r>
        <w:t>2</w:t>
      </w:r>
      <w:r>
        <w:br/>
        <w:t>\tag{3.11477}</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\Delta_TQ_F(z_0,z_1)=2</w:t>
      </w:r>
    </w:p>
    <w:p w:rsidR="005E6418" w:rsidRDefault="005E6418" w:rsidP="005E6418">
      <w:pPr>
        <w:pStyle w:val="StandardWeb"/>
      </w:pPr>
      <w:r>
        <w:t>und</w:t>
      </w:r>
    </w:p>
    <w:p w:rsidR="005E6418" w:rsidRDefault="005E6418" w:rsidP="005E6418">
      <w:pPr>
        <w:pStyle w:val="berschrift1"/>
      </w:pPr>
      <w:r>
        <w:t>[</w:t>
      </w:r>
      <w:r>
        <w:br/>
        <w:t>\Delta_TQ_F(z_1,z_2)</w:t>
      </w:r>
    </w:p>
    <w:p w:rsidR="005E6418" w:rsidRDefault="005E6418" w:rsidP="005E6418">
      <w:pPr>
        <w:pStyle w:val="StandardWeb"/>
      </w:pPr>
      <w:r>
        <w:t>-2.</w:t>
      </w:r>
      <w:r>
        <w:br/>
        <w:t>\tag{3.11478}</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\Delta_TQ_F(z_1,z_2)=-2</w:t>
      </w:r>
    </w:p>
    <w:p w:rsidR="005E6418" w:rsidRDefault="005E6418" w:rsidP="005E6418">
      <w:pPr>
        <w:pStyle w:val="StandardWeb"/>
      </w:pPr>
      <w:r>
        <w:t>Dann gilt</w:t>
      </w:r>
    </w:p>
    <w:p w:rsidR="005E6418" w:rsidRDefault="005E6418" w:rsidP="005E6418">
      <w:pPr>
        <w:pStyle w:val="berschrift1"/>
      </w:pPr>
      <w:r>
        <w:t>[</w:t>
      </w:r>
      <w:r>
        <w:br/>
        <w:t>\Delta_\gamma Q_F</w:t>
      </w:r>
    </w:p>
    <w:p w:rsidR="005E6418" w:rsidRDefault="005E6418" w:rsidP="005E6418">
      <w:pPr>
        <w:pStyle w:val="berschrift1"/>
      </w:pPr>
      <w:r>
        <w:t>2-2</w:t>
      </w:r>
    </w:p>
    <w:p w:rsidR="005E6418" w:rsidRDefault="005E6418" w:rsidP="005E6418">
      <w:pPr>
        <w:pStyle w:val="StandardWeb"/>
      </w:pPr>
      <w:r>
        <w:t>0,</w:t>
      </w:r>
      <w:r>
        <w:br/>
        <w:t>\tag{3.11479}</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\Delta_\gamma Q_F=2-2=0</w:t>
      </w:r>
    </w:p>
    <w:p w:rsidR="005E6418" w:rsidRDefault="005E6418" w:rsidP="005E6418">
      <w:pPr>
        <w:pStyle w:val="StandardWeb"/>
      </w:pPr>
      <w:r>
        <w:t>obwohl keiner der beiden Teilübergänge erhaltend ist.</w:t>
      </w:r>
    </w:p>
    <w:p w:rsidR="005E6418" w:rsidRDefault="00E50336" w:rsidP="005E6418">
      <w:r>
        <w:lastRenderedPageBreak/>
        <w:pict>
          <v:rect id="_x0000_i3899" style="width:0;height:1.5pt" o:hralign="center" o:hrstd="t" o:hr="t" fillcolor="#a0a0a0" stroked="f"/>
        </w:pict>
      </w:r>
    </w:p>
    <w:p w:rsidR="005E6418" w:rsidRDefault="005E6418" w:rsidP="005E6418">
      <w:pPr>
        <w:pStyle w:val="berschrift1"/>
      </w:pPr>
      <w:r>
        <w:t>3.3.47.21 Definition 3.3.235 – Kompensierte funktionale Pfaderhaltung</w:t>
      </w:r>
    </w:p>
    <w:p w:rsidR="005E6418" w:rsidRDefault="005E6418" w:rsidP="005E6418">
      <w:pPr>
        <w:pStyle w:val="berschrift3"/>
      </w:pPr>
      <w:r>
        <w:t>Definition 3.3.235</w:t>
      </w:r>
    </w:p>
    <w:p w:rsidR="005E6418" w:rsidRDefault="005E6418" w:rsidP="005E6418">
      <w:pPr>
        <w:pStyle w:val="StandardWeb"/>
      </w:pPr>
      <w:r>
        <w:t xml:space="preserve">Ein Übergangspfad heißt bezüglich (Q_F) </w:t>
      </w:r>
      <w:r>
        <w:rPr>
          <w:rStyle w:val="Fett"/>
        </w:rPr>
        <w:t>kompensiert funktional erhalten</w:t>
      </w:r>
      <w:r>
        <w:t>, wenn</w:t>
      </w:r>
    </w:p>
    <w:p w:rsidR="005E6418" w:rsidRDefault="005E6418" w:rsidP="005E6418">
      <w:pPr>
        <w:pStyle w:val="StandardWeb"/>
      </w:pPr>
      <w:r>
        <w:t>[</w:t>
      </w:r>
      <w:r>
        <w:br/>
        <w:t>\boxed{</w:t>
      </w:r>
      <w:r>
        <w:br/>
        <w:t>\Delta_\gamma Q_F=0</w:t>
      </w:r>
      <w:r>
        <w:br/>
        <w:t>}</w:t>
      </w:r>
      <w:r>
        <w:br/>
        <w:t>\tag{3.11480}</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\boxed{\Delta_\gamma Q_F=0}</w:t>
      </w:r>
    </w:p>
    <w:p w:rsidR="005E6418" w:rsidRDefault="005E6418" w:rsidP="005E6418">
      <w:pPr>
        <w:pStyle w:val="StandardWeb"/>
      </w:pPr>
      <w:r>
        <w:t>gilt, obwohl mindestens ein Teilübergang</w:t>
      </w:r>
    </w:p>
    <w:p w:rsidR="005E6418" w:rsidRDefault="005E6418" w:rsidP="005E6418">
      <w:pPr>
        <w:pStyle w:val="StandardWeb"/>
      </w:pPr>
      <w:r>
        <w:t>[</w:t>
      </w:r>
      <w:r>
        <w:br/>
        <w:t>\Delta_TQ_F(z_{k-1},z_k)\neq0</w:t>
      </w:r>
      <w:r>
        <w:br/>
        <w:t>\tag{3.11481}</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\Delta_TQ_F(z_{k-1},z_k)\neq0</w:t>
      </w:r>
    </w:p>
    <w:p w:rsidR="005E6418" w:rsidRDefault="005E6418" w:rsidP="005E6418">
      <w:pPr>
        <w:pStyle w:val="StandardWeb"/>
      </w:pPr>
      <w:r>
        <w:t>aufweist.</w:t>
      </w:r>
    </w:p>
    <w:p w:rsidR="005E6418" w:rsidRDefault="00E50336" w:rsidP="005E6418">
      <w:r>
        <w:pict>
          <v:rect id="_x0000_i3900" style="width:0;height:1.5pt" o:hralign="center" o:hrstd="t" o:hr="t" fillcolor="#a0a0a0" stroked="f"/>
        </w:pict>
      </w:r>
    </w:p>
    <w:p w:rsidR="005E6418" w:rsidRDefault="005E6418" w:rsidP="005E6418">
      <w:pPr>
        <w:pStyle w:val="berschrift1"/>
      </w:pPr>
      <w:r>
        <w:t>3.3.47.22 Gewinn und Verlust entlang eines Pfades</w:t>
      </w:r>
    </w:p>
    <w:p w:rsidR="005E6418" w:rsidRDefault="005E6418" w:rsidP="005E6418">
      <w:pPr>
        <w:pStyle w:val="StandardWeb"/>
      </w:pPr>
      <w:r>
        <w:t>Für einen Pfad kann ich die gesamten positiven und negativen Beiträge getrennt summieren:</w:t>
      </w:r>
    </w:p>
    <w:p w:rsidR="005E6418" w:rsidRDefault="005E6418" w:rsidP="005E6418">
      <w:pPr>
        <w:pStyle w:val="StandardWeb"/>
      </w:pPr>
      <w:r>
        <w:t>[</w:t>
      </w:r>
      <w:r>
        <w:br/>
        <w:t>G_\gamma(Q_F)</w:t>
      </w:r>
      <w:r>
        <w:br/>
        <w:t>:=</w:t>
      </w:r>
      <w:r>
        <w:br/>
        <w:t>\sum_{k=1}^{n}</w:t>
      </w:r>
      <w:r>
        <w:br/>
        <w:t>G_Q(z_{k-1},z_k)</w:t>
      </w:r>
      <w:r>
        <w:br/>
        <w:t>\tag{3.11482}</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G_\gamma(Q_F):=\sum_{k=1}^{n}G_Q(z_{k-1},z_k)</w:t>
      </w:r>
    </w:p>
    <w:p w:rsidR="005E6418" w:rsidRDefault="005E6418" w:rsidP="005E6418">
      <w:pPr>
        <w:pStyle w:val="StandardWeb"/>
      </w:pPr>
      <w:r>
        <w:lastRenderedPageBreak/>
        <w:t>und</w:t>
      </w:r>
    </w:p>
    <w:p w:rsidR="005E6418" w:rsidRDefault="005E6418" w:rsidP="005E6418">
      <w:pPr>
        <w:pStyle w:val="StandardWeb"/>
      </w:pPr>
      <w:r>
        <w:t>[</w:t>
      </w:r>
      <w:r>
        <w:br/>
        <w:t>L_\gamma(Q_F)</w:t>
      </w:r>
      <w:r>
        <w:br/>
        <w:t>:=</w:t>
      </w:r>
      <w:r>
        <w:br/>
        <w:t>\sum_{k=1}^{n}</w:t>
      </w:r>
      <w:r>
        <w:br/>
        <w:t>L_Q(z_{k-1},z_k).</w:t>
      </w:r>
      <w:r>
        <w:br/>
        <w:t>\tag{3.11483}</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L_\gamma(Q_F):=\sum_{k=1}^{n}L_Q(z_{k-1},z_k)</w:t>
      </w:r>
    </w:p>
    <w:p w:rsidR="005E6418" w:rsidRDefault="00E50336" w:rsidP="005E6418">
      <w:r>
        <w:pict>
          <v:rect id="_x0000_i3901" style="width:0;height:1.5pt" o:hralign="center" o:hrstd="t" o:hr="t" fillcolor="#a0a0a0" stroked="f"/>
        </w:pict>
      </w:r>
    </w:p>
    <w:p w:rsidR="005E6418" w:rsidRDefault="005E6418" w:rsidP="005E6418">
      <w:pPr>
        <w:pStyle w:val="berschrift1"/>
      </w:pPr>
      <w:r>
        <w:t>3.3.47.23 Definition 3.3.236 – Pfadbezogener funktionaler Gesamtgewinn</w:t>
      </w:r>
    </w:p>
    <w:p w:rsidR="005E6418" w:rsidRDefault="005E6418" w:rsidP="005E6418">
      <w:pPr>
        <w:pStyle w:val="berschrift3"/>
      </w:pPr>
      <w:r>
        <w:t>Definition 3.3.236</w:t>
      </w:r>
    </w:p>
    <w:p w:rsidR="005E6418" w:rsidRDefault="005E6418" w:rsidP="005E6418">
      <w:pPr>
        <w:pStyle w:val="StandardWeb"/>
      </w:pPr>
      <w:r>
        <w:t xml:space="preserve">Den </w:t>
      </w:r>
      <w:r>
        <w:rPr>
          <w:rStyle w:val="Fett"/>
        </w:rPr>
        <w:t>pfadbezogenen funktionalen Gesamtgewinn</w:t>
      </w:r>
      <w:r>
        <w:t xml:space="preserve"> definiere ich durch</w:t>
      </w:r>
    </w:p>
    <w:p w:rsidR="005E6418" w:rsidRDefault="005E6418" w:rsidP="005E6418">
      <w:pPr>
        <w:pStyle w:val="StandardWeb"/>
      </w:pPr>
      <w:r>
        <w:t>[</w:t>
      </w:r>
      <w:r>
        <w:br/>
        <w:t>\boxed{</w:t>
      </w:r>
      <w:r>
        <w:br/>
        <w:t>G_\gamma(Q_F)</w:t>
      </w:r>
      <w:r>
        <w:br/>
        <w:t>:=</w:t>
      </w:r>
      <w:r>
        <w:br/>
        <w:t>\sum_{k=1}^{n}</w:t>
      </w:r>
      <w:r>
        <w:br/>
        <w:t>G_Q(z_{k-1},z_k).</w:t>
      </w:r>
      <w:r>
        <w:br/>
        <w:t>}</w:t>
      </w:r>
      <w:r>
        <w:br/>
        <w:t>\tag{3.11484}</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\boxed{G_\gamma(Q_F):=\sum_{k=1}^{n}G_Q(z_{k-1},z_k).}</w:t>
      </w:r>
    </w:p>
    <w:p w:rsidR="005E6418" w:rsidRDefault="00E50336" w:rsidP="005E6418">
      <w:r>
        <w:pict>
          <v:rect id="_x0000_i3902" style="width:0;height:1.5pt" o:hralign="center" o:hrstd="t" o:hr="t" fillcolor="#a0a0a0" stroked="f"/>
        </w:pict>
      </w:r>
    </w:p>
    <w:p w:rsidR="005E6418" w:rsidRDefault="005E6418" w:rsidP="005E6418">
      <w:pPr>
        <w:pStyle w:val="berschrift1"/>
      </w:pPr>
      <w:r>
        <w:t>3.3.47.24 Definition 3.3.237 – Pfadbezogener funktionaler Gesamtverlust</w:t>
      </w:r>
    </w:p>
    <w:p w:rsidR="005E6418" w:rsidRDefault="005E6418" w:rsidP="005E6418">
      <w:pPr>
        <w:pStyle w:val="berschrift3"/>
      </w:pPr>
      <w:r>
        <w:t>Definition 3.3.237</w:t>
      </w:r>
    </w:p>
    <w:p w:rsidR="005E6418" w:rsidRDefault="005E6418" w:rsidP="005E6418">
      <w:pPr>
        <w:pStyle w:val="StandardWeb"/>
      </w:pPr>
      <w:r>
        <w:t xml:space="preserve">Den </w:t>
      </w:r>
      <w:r>
        <w:rPr>
          <w:rStyle w:val="Fett"/>
        </w:rPr>
        <w:t>pfadbezogenen funktionalen Gesamtverlust</w:t>
      </w:r>
      <w:r>
        <w:t xml:space="preserve"> definiere ich durch</w:t>
      </w:r>
    </w:p>
    <w:p w:rsidR="005E6418" w:rsidRDefault="005E6418" w:rsidP="005E6418">
      <w:pPr>
        <w:pStyle w:val="StandardWeb"/>
      </w:pPr>
      <w:r>
        <w:t>[</w:t>
      </w:r>
      <w:r>
        <w:br/>
        <w:t>\boxed{</w:t>
      </w:r>
      <w:r>
        <w:br/>
        <w:t>L_\gamma(Q_F)</w:t>
      </w:r>
      <w:r>
        <w:br/>
        <w:t>:=</w:t>
      </w:r>
      <w:r>
        <w:br/>
        <w:t>\sum_{k=1}^{n}</w:t>
      </w:r>
      <w:r>
        <w:br/>
      </w:r>
      <w:r>
        <w:lastRenderedPageBreak/>
        <w:t>L_Q(z_{k-1},z_k).</w:t>
      </w:r>
      <w:r>
        <w:br/>
        <w:t>}</w:t>
      </w:r>
      <w:r>
        <w:br/>
        <w:t>\tag{3.11485}</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\boxed{L_\gamma(Q_F):=\sum_{k=1}^{n}L_Q(z_{k-1},z_k).}</w:t>
      </w:r>
    </w:p>
    <w:p w:rsidR="005E6418" w:rsidRDefault="00E50336" w:rsidP="005E6418">
      <w:r>
        <w:pict>
          <v:rect id="_x0000_i3903" style="width:0;height:1.5pt" o:hralign="center" o:hrstd="t" o:hr="t" fillcolor="#a0a0a0" stroked="f"/>
        </w:pict>
      </w:r>
    </w:p>
    <w:p w:rsidR="005E6418" w:rsidRDefault="005E6418" w:rsidP="005E6418">
      <w:pPr>
        <w:pStyle w:val="berschrift1"/>
      </w:pPr>
      <w:r>
        <w:t>3.3.47.25 Pfadbilanz</w:t>
      </w:r>
    </w:p>
    <w:p w:rsidR="005E6418" w:rsidRDefault="005E6418" w:rsidP="005E6418">
      <w:pPr>
        <w:pStyle w:val="StandardWeb"/>
      </w:pPr>
      <w:r>
        <w:t>Aus der lokalen Gewinn-Verlust-Zerlegung folgt</w:t>
      </w:r>
    </w:p>
    <w:p w:rsidR="005E6418" w:rsidRDefault="005E6418" w:rsidP="005E6418">
      <w:pPr>
        <w:pStyle w:val="berschrift1"/>
      </w:pPr>
      <w:r>
        <w:t>[</w:t>
      </w:r>
      <w:r>
        <w:br/>
        <w:t>\Delta_\gamma Q_F</w:t>
      </w:r>
    </w:p>
    <w:p w:rsidR="005E6418" w:rsidRDefault="005E6418" w:rsidP="005E6418">
      <w:pPr>
        <w:pStyle w:val="berschrift2"/>
      </w:pPr>
      <w:r>
        <w:t>G_\gamma(Q_F)</w:t>
      </w:r>
    </w:p>
    <w:p w:rsidR="005E6418" w:rsidRDefault="005E6418" w:rsidP="005E6418">
      <w:pPr>
        <w:pStyle w:val="StandardWeb"/>
      </w:pPr>
      <w:r>
        <w:t>L_\gamma(Q_F).</w:t>
      </w:r>
      <w:r>
        <w:br/>
        <w:t>\tag{3.11486}</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\Delta_\gamma Q_F=G_\gamma(Q_F)-L_\gamma(Q_F)</w:t>
      </w:r>
    </w:p>
    <w:p w:rsidR="005E6418" w:rsidRDefault="00E50336" w:rsidP="005E6418">
      <w:r>
        <w:pict>
          <v:rect id="_x0000_i3904" style="width:0;height:1.5pt" o:hralign="center" o:hrstd="t" o:hr="t" fillcolor="#a0a0a0" stroked="f"/>
        </w:pict>
      </w:r>
    </w:p>
    <w:p w:rsidR="005E6418" w:rsidRDefault="005E6418" w:rsidP="005E6418">
      <w:pPr>
        <w:pStyle w:val="berschrift1"/>
      </w:pPr>
      <w:r>
        <w:t>3.3.47.26 Satz 3.3.104 – Pfadbilanz funktionaler Änderungen</w:t>
      </w:r>
    </w:p>
    <w:p w:rsidR="005E6418" w:rsidRDefault="005E6418" w:rsidP="005E6418">
      <w:pPr>
        <w:pStyle w:val="berschrift3"/>
      </w:pPr>
      <w:r>
        <w:t>Satz 3.3.104</w:t>
      </w:r>
    </w:p>
    <w:p w:rsidR="005E6418" w:rsidRDefault="005E6418" w:rsidP="005E6418">
      <w:pPr>
        <w:pStyle w:val="StandardWeb"/>
      </w:pPr>
      <w:r>
        <w:t>Für jeden endlichen zulässigen Übergangspfad gilt</w:t>
      </w:r>
    </w:p>
    <w:p w:rsidR="005E6418" w:rsidRDefault="005E6418" w:rsidP="005E6418">
      <w:pPr>
        <w:pStyle w:val="berschrift1"/>
      </w:pPr>
      <w:r>
        <w:t>[</w:t>
      </w:r>
      <w:r>
        <w:br/>
        <w:t>\boxed{</w:t>
      </w:r>
      <w:r>
        <w:br/>
        <w:t>\Delta_\gamma Q_F</w:t>
      </w:r>
    </w:p>
    <w:p w:rsidR="005E6418" w:rsidRDefault="005E6418" w:rsidP="005E6418">
      <w:pPr>
        <w:pStyle w:val="berschrift2"/>
      </w:pPr>
      <w:r>
        <w:t>G_\gamma(Q_F)</w:t>
      </w:r>
    </w:p>
    <w:p w:rsidR="005E6418" w:rsidRDefault="005E6418" w:rsidP="005E6418">
      <w:pPr>
        <w:pStyle w:val="StandardWeb"/>
      </w:pPr>
      <w:r>
        <w:t>L_\gamma(Q_F).</w:t>
      </w:r>
      <w:r>
        <w:br/>
        <w:t>}</w:t>
      </w:r>
      <w:r>
        <w:br/>
        <w:t>\tag{3.11487}</w:t>
      </w:r>
      <w:r>
        <w:br/>
        <w:t>]</w:t>
      </w:r>
    </w:p>
    <w:p w:rsidR="005E6418" w:rsidRDefault="005E6418" w:rsidP="005E6418">
      <w:pPr>
        <w:pStyle w:val="StandardWeb"/>
      </w:pPr>
      <w:r>
        <w:rPr>
          <w:rStyle w:val="Fett"/>
        </w:rPr>
        <w:lastRenderedPageBreak/>
        <w:t>Word-LaTeX</w:t>
      </w:r>
    </w:p>
    <w:p w:rsidR="005E6418" w:rsidRDefault="005E6418" w:rsidP="005E6418">
      <w:pPr>
        <w:pStyle w:val="HTMLVorformatiert"/>
        <w:rPr>
          <w:rStyle w:val="HTMLCode"/>
        </w:rPr>
      </w:pPr>
      <w:r>
        <w:rPr>
          <w:rStyle w:val="HTMLCode"/>
        </w:rPr>
        <w:t>\boxed{\Delta_\gamma Q_F=G_\gamma(Q_F)-L_\gamma(Q_F).}</w:t>
      </w:r>
    </w:p>
    <w:p w:rsidR="005E6418" w:rsidRDefault="005E6418" w:rsidP="005E6418">
      <w:pPr>
        <w:pStyle w:val="berschrift3"/>
      </w:pPr>
      <w:r>
        <w:t>Beweis</w:t>
      </w:r>
    </w:p>
    <w:p w:rsidR="005E6418" w:rsidRDefault="005E6418" w:rsidP="005E6418">
      <w:pPr>
        <w:pStyle w:val="StandardWeb"/>
      </w:pPr>
      <w:r>
        <w:t>Für jeden Teilübergang gilt nach Satz 3.3.102</w:t>
      </w:r>
    </w:p>
    <w:p w:rsidR="005E6418" w:rsidRDefault="005E6418" w:rsidP="005E6418">
      <w:pPr>
        <w:pStyle w:val="berschrift1"/>
      </w:pPr>
      <w:r>
        <w:t>[</w:t>
      </w:r>
      <w:r>
        <w:br/>
        <w:t>\Delta_TQ_F</w:t>
      </w:r>
    </w:p>
    <w:p w:rsidR="005E6418" w:rsidRDefault="005E6418" w:rsidP="005E6418">
      <w:pPr>
        <w:pStyle w:val="StandardWeb"/>
      </w:pPr>
      <w:r>
        <w:t>G_Q-L_Q.</w:t>
      </w:r>
      <w:r>
        <w:br/>
        <w:t>\tag{3.11488}</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\Delta_TQ_F=G_Q-L_Q</w:t>
      </w:r>
    </w:p>
    <w:p w:rsidR="005E6418" w:rsidRDefault="005E6418" w:rsidP="005E6418">
      <w:pPr>
        <w:pStyle w:val="StandardWeb"/>
      </w:pPr>
      <w:r>
        <w:t>Summation über alle Teilübergänge ergibt</w:t>
      </w:r>
    </w:p>
    <w:p w:rsidR="005E6418" w:rsidRDefault="005E6418" w:rsidP="005E6418">
      <w:pPr>
        <w:pStyle w:val="berschrift1"/>
      </w:pPr>
      <w:r>
        <w:t>[</w:t>
      </w:r>
      <w:r>
        <w:br/>
        <w:t>\sum_{k=1}^{n}</w:t>
      </w:r>
      <w:r>
        <w:br/>
        <w:t>\Delta_TQ_F</w:t>
      </w:r>
    </w:p>
    <w:p w:rsidR="005E6418" w:rsidRDefault="005E6418" w:rsidP="005E6418">
      <w:pPr>
        <w:pStyle w:val="berschrift2"/>
      </w:pPr>
      <w:r>
        <w:t>\sum_{k=1}^{n}G_Q</w:t>
      </w:r>
    </w:p>
    <w:p w:rsidR="005E6418" w:rsidRDefault="005E6418" w:rsidP="005E6418">
      <w:pPr>
        <w:pStyle w:val="StandardWeb"/>
      </w:pPr>
      <w:r>
        <w:t>\sum_{k=1}^{n}L_Q.</w:t>
      </w:r>
      <w:r>
        <w:br/>
        <w:t>\tag{3.11489}</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\sum_{k=1}^{n}\Delta_TQ_F=\sum_{k=1}^{n}G_Q-\sum_{k=1}^{n}L_Q</w:t>
      </w:r>
    </w:p>
    <w:p w:rsidR="005E6418" w:rsidRDefault="005E6418" w:rsidP="005E6418">
      <w:pPr>
        <w:pStyle w:val="StandardWeb"/>
      </w:pPr>
      <w:r>
        <w:t>Mit den Definitionen 3.3.234, 3.3.236 und 3.3.237 folgt Gleichung (3.11487). (\square)</w:t>
      </w:r>
    </w:p>
    <w:p w:rsidR="005E6418" w:rsidRDefault="00E50336" w:rsidP="005E6418">
      <w:r>
        <w:pict>
          <v:rect id="_x0000_i3905" style="width:0;height:1.5pt" o:hralign="center" o:hrstd="t" o:hr="t" fillcolor="#a0a0a0" stroked="f"/>
        </w:pict>
      </w:r>
    </w:p>
    <w:p w:rsidR="005E6418" w:rsidRDefault="005E6418" w:rsidP="005E6418">
      <w:pPr>
        <w:pStyle w:val="berschrift1"/>
      </w:pPr>
      <w:r>
        <w:t>3.3.47.27 Charakterisierung kompensierter Pfaderhaltung</w:t>
      </w:r>
    </w:p>
    <w:p w:rsidR="005E6418" w:rsidRDefault="005E6418" w:rsidP="005E6418">
      <w:pPr>
        <w:pStyle w:val="StandardWeb"/>
      </w:pPr>
      <w:r>
        <w:t>Für einen kompensiert erhaltenen Pfad gilt</w:t>
      </w:r>
    </w:p>
    <w:p w:rsidR="005E6418" w:rsidRDefault="005E6418" w:rsidP="005E6418">
      <w:pPr>
        <w:pStyle w:val="StandardWeb"/>
      </w:pPr>
      <w:r>
        <w:t>[</w:t>
      </w:r>
      <w:r>
        <w:br/>
        <w:t>\Delta_\gamma Q_F=0.</w:t>
      </w:r>
      <w:r>
        <w:br/>
      </w:r>
      <w:r>
        <w:lastRenderedPageBreak/>
        <w:t>\tag{3.11490}</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\Delta_\gamma Q_F=0</w:t>
      </w:r>
    </w:p>
    <w:p w:rsidR="005E6418" w:rsidRDefault="005E6418" w:rsidP="005E6418">
      <w:pPr>
        <w:pStyle w:val="StandardWeb"/>
      </w:pPr>
      <w:r>
        <w:t>Mit Satz 3.3.104 folgt</w:t>
      </w:r>
    </w:p>
    <w:p w:rsidR="005E6418" w:rsidRDefault="005E6418" w:rsidP="005E6418">
      <w:pPr>
        <w:pStyle w:val="berschrift1"/>
      </w:pPr>
      <w:r>
        <w:t>[</w:t>
      </w:r>
      <w:r>
        <w:br/>
        <w:t>G_\gamma(Q_F)</w:t>
      </w:r>
    </w:p>
    <w:p w:rsidR="005E6418" w:rsidRDefault="005E6418" w:rsidP="005E6418">
      <w:pPr>
        <w:pStyle w:val="StandardWeb"/>
      </w:pPr>
      <w:r>
        <w:t>L_\gamma(Q_F).</w:t>
      </w:r>
      <w:r>
        <w:br/>
        <w:t>\tag{3.11491}</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G_\gamma(Q_F)=L_\gamma(Q_F)</w:t>
      </w:r>
    </w:p>
    <w:p w:rsidR="005E6418" w:rsidRDefault="00E50336" w:rsidP="005E6418">
      <w:r>
        <w:pict>
          <v:rect id="_x0000_i3906" style="width:0;height:1.5pt" o:hralign="center" o:hrstd="t" o:hr="t" fillcolor="#a0a0a0" stroked="f"/>
        </w:pict>
      </w:r>
    </w:p>
    <w:p w:rsidR="005E6418" w:rsidRDefault="005E6418" w:rsidP="005E6418">
      <w:pPr>
        <w:pStyle w:val="berschrift1"/>
      </w:pPr>
      <w:r>
        <w:t>3.3.47.28 Korollar 3.3.21 – Kompensierte Pfaderhaltung entspricht ausgeglichener Gewinn-Verlust-Bilanz</w:t>
      </w:r>
    </w:p>
    <w:p w:rsidR="005E6418" w:rsidRDefault="005E6418" w:rsidP="005E6418">
      <w:pPr>
        <w:pStyle w:val="berschrift3"/>
      </w:pPr>
      <w:r>
        <w:t>Korollar 3.3.21</w:t>
      </w:r>
    </w:p>
    <w:p w:rsidR="005E6418" w:rsidRDefault="005E6418" w:rsidP="005E6418">
      <w:pPr>
        <w:pStyle w:val="StandardWeb"/>
      </w:pPr>
      <w:r>
        <w:t>Für einen endlichen Übergangspfad gilt</w:t>
      </w:r>
    </w:p>
    <w:p w:rsidR="005E6418" w:rsidRDefault="005E6418" w:rsidP="005E6418">
      <w:pPr>
        <w:pStyle w:val="StandardWeb"/>
      </w:pPr>
      <w:r>
        <w:t>[</w:t>
      </w:r>
      <w:r>
        <w:br/>
        <w:t>\boxed{</w:t>
      </w:r>
      <w:r>
        <w:br/>
        <w:t>\Delta_\gamma Q_F=0</w:t>
      </w:r>
      <w:r>
        <w:br/>
        <w:t>\Longleftrightarrow</w:t>
      </w:r>
      <w:r>
        <w:br/>
        <w:t>G_\gamma(Q_F)=L_\gamma(Q_F).</w:t>
      </w:r>
      <w:r>
        <w:br/>
        <w:t>}</w:t>
      </w:r>
      <w:r>
        <w:br/>
        <w:t>\tag{3.11492}</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\boxed{\Delta_\gamma Q_F=0\Longleftrightarrow G_\gamma(Q_F)=L_\gamma(Q_F).}</w:t>
      </w:r>
    </w:p>
    <w:p w:rsidR="005E6418" w:rsidRDefault="00E50336" w:rsidP="005E6418">
      <w:r>
        <w:pict>
          <v:rect id="_x0000_i3907" style="width:0;height:1.5pt" o:hralign="center" o:hrstd="t" o:hr="t" fillcolor="#a0a0a0" stroked="f"/>
        </w:pict>
      </w:r>
    </w:p>
    <w:p w:rsidR="005E6418" w:rsidRDefault="005E6418" w:rsidP="005E6418">
      <w:pPr>
        <w:pStyle w:val="berschrift1"/>
      </w:pPr>
      <w:r>
        <w:t>3.3.47.29 Funktionale Bilanzgröße</w:t>
      </w:r>
    </w:p>
    <w:p w:rsidR="005E6418" w:rsidRDefault="005E6418" w:rsidP="005E6418">
      <w:pPr>
        <w:pStyle w:val="StandardWeb"/>
      </w:pPr>
      <w:r>
        <w:t>Die bisherige Darstellung legt nahe, die Differenz aus Gewinn und Verlust selbst als Bilanz zu interpretieren.</w:t>
      </w:r>
    </w:p>
    <w:p w:rsidR="005E6418" w:rsidRDefault="005E6418" w:rsidP="005E6418">
      <w:pPr>
        <w:pStyle w:val="StandardWeb"/>
      </w:pPr>
      <w:r>
        <w:lastRenderedPageBreak/>
        <w:t>Ich definiere deshalb</w:t>
      </w:r>
    </w:p>
    <w:p w:rsidR="005E6418" w:rsidRDefault="005E6418" w:rsidP="005E6418">
      <w:pPr>
        <w:pStyle w:val="berschrift2"/>
      </w:pPr>
      <w:r>
        <w:t>[</w:t>
      </w:r>
      <w:r>
        <w:br/>
        <w:t>B_Q(z_i,z_j)</w:t>
      </w:r>
      <w:r>
        <w:br/>
        <w:t>:=</w:t>
      </w:r>
      <w:r>
        <w:br/>
        <w:t>G_Q(z_i,z_j)</w:t>
      </w:r>
    </w:p>
    <w:p w:rsidR="005E6418" w:rsidRDefault="005E6418" w:rsidP="005E6418">
      <w:pPr>
        <w:pStyle w:val="StandardWeb"/>
      </w:pPr>
      <w:r>
        <w:t>L_Q(z_i,z_j).</w:t>
      </w:r>
      <w:r>
        <w:br/>
        <w:t>\tag{3.11493}</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B_Q(z_i,z_j):=G_Q(z_i,z_j)-L_Q(z_i,z_j)</w:t>
      </w:r>
    </w:p>
    <w:p w:rsidR="005E6418" w:rsidRDefault="005E6418" w:rsidP="005E6418">
      <w:pPr>
        <w:pStyle w:val="StandardWeb"/>
      </w:pPr>
      <w:r>
        <w:t>Damit gilt unmittelbar</w:t>
      </w:r>
    </w:p>
    <w:p w:rsidR="005E6418" w:rsidRDefault="005E6418" w:rsidP="005E6418">
      <w:pPr>
        <w:pStyle w:val="berschrift1"/>
      </w:pPr>
      <w:r>
        <w:t>[</w:t>
      </w:r>
      <w:r>
        <w:br/>
        <w:t>B_Q(z_i,z_j)</w:t>
      </w:r>
    </w:p>
    <w:p w:rsidR="005E6418" w:rsidRDefault="005E6418" w:rsidP="005E6418">
      <w:pPr>
        <w:pStyle w:val="StandardWeb"/>
      </w:pPr>
      <w:r>
        <w:t>\Delta_TQ_F(z_i,z_j).</w:t>
      </w:r>
      <w:r>
        <w:br/>
        <w:t>\tag{3.11494}</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B_Q(z_i,z_j)=\Delta_TQ_F(z_i,z_j)</w:t>
      </w:r>
    </w:p>
    <w:p w:rsidR="005E6418" w:rsidRDefault="00E50336" w:rsidP="005E6418">
      <w:r>
        <w:pict>
          <v:rect id="_x0000_i3908" style="width:0;height:1.5pt" o:hralign="center" o:hrstd="t" o:hr="t" fillcolor="#a0a0a0" stroked="f"/>
        </w:pict>
      </w:r>
    </w:p>
    <w:p w:rsidR="005E6418" w:rsidRDefault="005E6418" w:rsidP="005E6418">
      <w:pPr>
        <w:pStyle w:val="berschrift1"/>
      </w:pPr>
      <w:r>
        <w:t>3.3.47.30 Definition 3.3.238 – Funktionale Übergangsbilanz</w:t>
      </w:r>
    </w:p>
    <w:p w:rsidR="005E6418" w:rsidRDefault="005E6418" w:rsidP="005E6418">
      <w:pPr>
        <w:pStyle w:val="berschrift3"/>
      </w:pPr>
      <w:r>
        <w:t>Definition 3.3.238</w:t>
      </w:r>
    </w:p>
    <w:p w:rsidR="005E6418" w:rsidRDefault="005E6418" w:rsidP="005E6418">
      <w:pPr>
        <w:pStyle w:val="StandardWeb"/>
      </w:pPr>
      <w:r>
        <w:t xml:space="preserve">Die </w:t>
      </w:r>
      <w:r>
        <w:rPr>
          <w:rStyle w:val="Fett"/>
        </w:rPr>
        <w:t>funktionale Übergangsbilanz</w:t>
      </w:r>
      <w:r>
        <w:t xml:space="preserve"> einer Zustandsgröße (Q_F) ist</w:t>
      </w:r>
    </w:p>
    <w:p w:rsidR="005E6418" w:rsidRDefault="005E6418" w:rsidP="005E6418">
      <w:pPr>
        <w:pStyle w:val="StandardWeb"/>
      </w:pPr>
      <w:r>
        <w:t>[</w:t>
      </w:r>
      <w:r>
        <w:br/>
        <w:t>\boxed{</w:t>
      </w:r>
      <w:r>
        <w:br/>
        <w:t>B_Q(z_i,z_j)</w:t>
      </w:r>
      <w:r>
        <w:br/>
        <w:t>:=</w:t>
      </w:r>
      <w:r>
        <w:br/>
        <w:t>G_Q(z_i,z_j)-L_Q(z_i,z_j).</w:t>
      </w:r>
      <w:r>
        <w:br/>
        <w:t>}</w:t>
      </w:r>
      <w:r>
        <w:br/>
        <w:t>\tag{3.11495}</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lastRenderedPageBreak/>
        <w:t>\boxed{B_Q(z_i,z_j):=G_Q(z_i,z_j)-L_Q(z_i,z_j).}</w:t>
      </w:r>
    </w:p>
    <w:p w:rsidR="005E6418" w:rsidRDefault="005E6418" w:rsidP="005E6418">
      <w:pPr>
        <w:pStyle w:val="StandardWeb"/>
      </w:pPr>
      <w:r>
        <w:t>Wegen der Gewinn-Verlust-Zerlegung gilt</w:t>
      </w:r>
    </w:p>
    <w:p w:rsidR="005E6418" w:rsidRDefault="005E6418" w:rsidP="005E6418">
      <w:pPr>
        <w:pStyle w:val="berschrift1"/>
      </w:pPr>
      <w:r>
        <w:t>[</w:t>
      </w:r>
      <w:r>
        <w:br/>
        <w:t>\boxed{</w:t>
      </w:r>
      <w:r>
        <w:br/>
        <w:t>B_Q(z_i,z_j)</w:t>
      </w:r>
    </w:p>
    <w:p w:rsidR="005E6418" w:rsidRDefault="005E6418" w:rsidP="005E6418">
      <w:pPr>
        <w:pStyle w:val="StandardWeb"/>
      </w:pPr>
      <w:r>
        <w:t>\Delta_TQ_F(z_i,z_j).</w:t>
      </w:r>
      <w:r>
        <w:br/>
        <w:t>}</w:t>
      </w:r>
      <w:r>
        <w:br/>
        <w:t>\tag{3.11496}</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\boxed{B_Q(z_i,z_j)=\Delta_TQ_F(z_i,z_j).}</w:t>
      </w:r>
    </w:p>
    <w:p w:rsidR="005E6418" w:rsidRDefault="00E50336" w:rsidP="005E6418">
      <w:r>
        <w:pict>
          <v:rect id="_x0000_i3909" style="width:0;height:1.5pt" o:hralign="center" o:hrstd="t" o:hr="t" fillcolor="#a0a0a0" stroked="f"/>
        </w:pict>
      </w:r>
    </w:p>
    <w:p w:rsidR="005E6418" w:rsidRDefault="005E6418" w:rsidP="005E6418">
      <w:pPr>
        <w:pStyle w:val="berschrift1"/>
      </w:pPr>
      <w:r>
        <w:t>3.3.47.31 Keine automatische physikalische Erhaltungsgröße</w:t>
      </w:r>
    </w:p>
    <w:p w:rsidR="005E6418" w:rsidRDefault="005E6418" w:rsidP="005E6418">
      <w:pPr>
        <w:pStyle w:val="StandardWeb"/>
      </w:pPr>
      <w:r>
        <w:t>Die Bezeichnung „Erhaltung“ darf an dieser Stelle nicht mit einem physikalischen Erhaltungssatz gleichgesetzt werden.</w:t>
      </w:r>
    </w:p>
    <w:p w:rsidR="005E6418" w:rsidRDefault="005E6418" w:rsidP="005E6418">
      <w:pPr>
        <w:pStyle w:val="StandardWeb"/>
      </w:pPr>
      <w:r>
        <w:t>Insbesondere gilt</w:t>
      </w:r>
    </w:p>
    <w:p w:rsidR="005E6418" w:rsidRDefault="005E6418" w:rsidP="005E6418">
      <w:pPr>
        <w:pStyle w:val="StandardWeb"/>
      </w:pPr>
      <w:r>
        <w:t>[</w:t>
      </w:r>
      <w:r>
        <w:br/>
        <w:t>\boxed{</w:t>
      </w:r>
      <w:r>
        <w:br/>
        <w:t>Q_F\text{ funktional erhalten}</w:t>
      </w:r>
      <w:r>
        <w:br/>
        <w:t>\not\Rightarrow</w:t>
      </w:r>
      <w:r>
        <w:br/>
        <w:t>Q_F\text{ ist physikalische Erhaltungsgröße}.</w:t>
      </w:r>
      <w:r>
        <w:br/>
        <w:t>}</w:t>
      </w:r>
      <w:r>
        <w:br/>
        <w:t>\tag{3.11497}</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\boxed{Q_F\text{ funktional erhalten}\not\Rightarrow Q_F\text{ ist physikalische Erhaltungsgröße}.}</w:t>
      </w:r>
    </w:p>
    <w:p w:rsidR="005E6418" w:rsidRDefault="005E6418" w:rsidP="005E6418">
      <w:pPr>
        <w:pStyle w:val="StandardWeb"/>
      </w:pPr>
      <w:r>
        <w:t>Eine physikalische Interpretation erfordert zusätzliche semantische, theoretische und empirische Bedingungen.</w:t>
      </w:r>
    </w:p>
    <w:p w:rsidR="005E6418" w:rsidRDefault="00E50336" w:rsidP="005E6418">
      <w:r>
        <w:pict>
          <v:rect id="_x0000_i3910" style="width:0;height:1.5pt" o:hralign="center" o:hrstd="t" o:hr="t" fillcolor="#a0a0a0" stroked="f"/>
        </w:pict>
      </w:r>
    </w:p>
    <w:p w:rsidR="005E6418" w:rsidRDefault="005E6418" w:rsidP="005E6418">
      <w:pPr>
        <w:pStyle w:val="berschrift1"/>
      </w:pPr>
      <w:r>
        <w:t>3.3.47.32 Keine automatische Verbindung zum Noether-Theorem</w:t>
      </w:r>
    </w:p>
    <w:p w:rsidR="005E6418" w:rsidRDefault="005E6418" w:rsidP="005E6418">
      <w:pPr>
        <w:pStyle w:val="StandardWeb"/>
      </w:pPr>
      <w:r>
        <w:lastRenderedPageBreak/>
        <w:t>Ebenso folgt aus einer funktionalen Erhaltungsrelation zunächst nicht, dass eine kontinuierliche Symmetrie oder ein Noether-Strom existiert.</w:t>
      </w:r>
    </w:p>
    <w:p w:rsidR="005E6418" w:rsidRDefault="005E6418" w:rsidP="005E6418">
      <w:pPr>
        <w:pStyle w:val="StandardWeb"/>
      </w:pPr>
      <w:r>
        <w:t>Daher gilt</w:t>
      </w:r>
    </w:p>
    <w:p w:rsidR="005E6418" w:rsidRDefault="005E6418" w:rsidP="005E6418">
      <w:pPr>
        <w:pStyle w:val="StandardWeb"/>
      </w:pPr>
      <w:r>
        <w:t>[</w:t>
      </w:r>
      <w:r>
        <w:br/>
        <w:t>\boxed{</w:t>
      </w:r>
      <w:r>
        <w:br/>
        <w:t>\Delta_TQ_F=0</w:t>
      </w:r>
      <w:r>
        <w:br/>
        <w:t>\not\Rightarrow</w:t>
      </w:r>
      <w:r>
        <w:br/>
        <w:t>\text{Noether-Erhaltungssatz}.</w:t>
      </w:r>
      <w:r>
        <w:br/>
        <w:t>}</w:t>
      </w:r>
      <w:r>
        <w:br/>
        <w:t>\tag{3.11498}</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\boxed{\Delta_TQ_F=0\not\Rightarrow\text{Noether-Erhaltungssatz}.}</w:t>
      </w:r>
    </w:p>
    <w:p w:rsidR="005E6418" w:rsidRDefault="005E6418" w:rsidP="005E6418">
      <w:pPr>
        <w:pStyle w:val="StandardWeb"/>
      </w:pPr>
      <w:r>
        <w:t>Die mathematische Beziehung zwischen Symmetrie und Erhaltungsgröße wird erst dann relevant, wenn eine entsprechend starke zusätzliche Struktur eingeführt wird.</w:t>
      </w:r>
    </w:p>
    <w:p w:rsidR="005E6418" w:rsidRDefault="00E50336" w:rsidP="005E6418">
      <w:r>
        <w:pict>
          <v:rect id="_x0000_i3911" style="width:0;height:1.5pt" o:hralign="center" o:hrstd="t" o:hr="t" fillcolor="#a0a0a0" stroked="f"/>
        </w:pict>
      </w:r>
    </w:p>
    <w:p w:rsidR="005E6418" w:rsidRDefault="005E6418" w:rsidP="005E6418">
      <w:pPr>
        <w:pStyle w:val="berschrift1"/>
      </w:pPr>
      <w:r>
        <w:t>3.3.47.33 Primäraxiomkandidat der universellen Erhaltung</w:t>
      </w:r>
    </w:p>
    <w:p w:rsidR="005E6418" w:rsidRDefault="005E6418" w:rsidP="005E6418">
      <w:pPr>
        <w:pStyle w:val="StandardWeb"/>
      </w:pPr>
      <w:r>
        <w:t>Ein erster möglicher Primäraxiomkandidat wäre</w:t>
      </w:r>
    </w:p>
    <w:p w:rsidR="005E6418" w:rsidRDefault="005E6418" w:rsidP="005E6418">
      <w:pPr>
        <w:pStyle w:val="StandardWeb"/>
      </w:pPr>
      <w:r>
        <w:t>[</w:t>
      </w:r>
      <w:r>
        <w:br/>
        <w:t>A_{\mathrm{cons}}:</w:t>
      </w:r>
      <w:r>
        <w:br/>
        <w:t>\exists Q_F</w:t>
      </w:r>
      <w:r>
        <w:br/>
        <w:t>\quad</w:t>
      </w:r>
      <w:r>
        <w:br/>
        <w:t>\forall(z_i,z_j)\in\mathcal T_F:</w:t>
      </w:r>
      <w:r>
        <w:br/>
        <w:t>\Delta_TQ_F(z_i,z_j)=0.</w:t>
      </w:r>
      <w:r>
        <w:br/>
        <w:t>\tag{3.11499}</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A_{\mathrm{cons}}:\exists Q_F\quad\forall(z_i,z_j)\in\mathcal T_F:\Delta_TQ_F(z_i,z_j)=0</w:t>
      </w:r>
    </w:p>
    <w:p w:rsidR="005E6418" w:rsidRDefault="005E6418" w:rsidP="005E6418">
      <w:pPr>
        <w:pStyle w:val="StandardWeb"/>
      </w:pPr>
      <w:r>
        <w:t>Dieser Kandidat fordert die Existenz mindestens einer global erhaltenen funktionalen Zustandsgröße.</w:t>
      </w:r>
    </w:p>
    <w:p w:rsidR="005E6418" w:rsidRDefault="00E50336" w:rsidP="005E6418">
      <w:r>
        <w:pict>
          <v:rect id="_x0000_i3912" style="width:0;height:1.5pt" o:hralign="center" o:hrstd="t" o:hr="t" fillcolor="#a0a0a0" stroked="f"/>
        </w:pict>
      </w:r>
    </w:p>
    <w:p w:rsidR="005E6418" w:rsidRDefault="005E6418" w:rsidP="005E6418">
      <w:pPr>
        <w:pStyle w:val="berschrift1"/>
      </w:pPr>
      <w:r>
        <w:t>3.3.47.34 Triviale Erhaltungsgrößen</w:t>
      </w:r>
    </w:p>
    <w:p w:rsidR="005E6418" w:rsidRDefault="005E6418" w:rsidP="005E6418">
      <w:pPr>
        <w:pStyle w:val="StandardWeb"/>
      </w:pPr>
      <w:r>
        <w:t>Dabei entsteht unmittelbar ein methodologisches Problem.</w:t>
      </w:r>
    </w:p>
    <w:p w:rsidR="005E6418" w:rsidRDefault="005E6418" w:rsidP="005E6418">
      <w:pPr>
        <w:pStyle w:val="StandardWeb"/>
      </w:pPr>
      <w:r>
        <w:lastRenderedPageBreak/>
        <w:t>Die konstante Abbildung</w:t>
      </w:r>
    </w:p>
    <w:p w:rsidR="005E6418" w:rsidRDefault="005E6418" w:rsidP="005E6418">
      <w:pPr>
        <w:pStyle w:val="berschrift1"/>
      </w:pPr>
      <w:r>
        <w:t>[</w:t>
      </w:r>
      <w:r>
        <w:br/>
        <w:t>Q_c(z)</w:t>
      </w:r>
    </w:p>
    <w:p w:rsidR="005E6418" w:rsidRDefault="005E6418" w:rsidP="005E6418">
      <w:pPr>
        <w:pStyle w:val="StandardWeb"/>
      </w:pPr>
      <w:r>
        <w:t>c</w:t>
      </w:r>
      <w:r>
        <w:br/>
        <w:t>\qquad</w:t>
      </w:r>
      <w:r>
        <w:br/>
        <w:t>\forall z\in\Omega_F</w:t>
      </w:r>
      <w:r>
        <w:br/>
        <w:t>\tag{3.11500}</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Q_c(z)=c\qquad\forall z\in\Omega_F</w:t>
      </w:r>
    </w:p>
    <w:p w:rsidR="005E6418" w:rsidRDefault="005E6418" w:rsidP="005E6418">
      <w:pPr>
        <w:pStyle w:val="StandardWeb"/>
      </w:pPr>
      <w:r>
        <w:t>ist auf jedem Übergang erhalten.</w:t>
      </w:r>
    </w:p>
    <w:p w:rsidR="005E6418" w:rsidRDefault="005E6418" w:rsidP="005E6418">
      <w:pPr>
        <w:pStyle w:val="StandardWeb"/>
      </w:pPr>
      <w:r>
        <w:t>Denn</w:t>
      </w:r>
    </w:p>
    <w:p w:rsidR="005E6418" w:rsidRDefault="005E6418" w:rsidP="005E6418">
      <w:pPr>
        <w:pStyle w:val="berschrift1"/>
      </w:pPr>
      <w:r>
        <w:t>[</w:t>
      </w:r>
      <w:r>
        <w:br/>
        <w:t>Q_c(z_j)-Q_c(z_i)</w:t>
      </w:r>
    </w:p>
    <w:p w:rsidR="005E6418" w:rsidRDefault="005E6418" w:rsidP="005E6418">
      <w:pPr>
        <w:pStyle w:val="berschrift1"/>
      </w:pPr>
      <w:r>
        <w:t>c-c</w:t>
      </w:r>
    </w:p>
    <w:p w:rsidR="005E6418" w:rsidRDefault="005E6418" w:rsidP="00152216">
      <w:pPr>
        <w:numPr>
          <w:ilvl w:val="0"/>
          <w:numId w:val="492"/>
        </w:numPr>
        <w:spacing w:before="100" w:beforeAutospacing="1" w:after="100" w:afterAutospacing="1"/>
      </w:pPr>
    </w:p>
    <w:p w:rsidR="005E6418" w:rsidRDefault="005E6418" w:rsidP="005E6418">
      <w:pPr>
        <w:pStyle w:val="StandardWeb"/>
      </w:pPr>
      <w:r>
        <w:t>\tag{3.11501}</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Q_c(z_j)-Q_c(z_i)=c-c=0</w:t>
      </w:r>
    </w:p>
    <w:p w:rsidR="005E6418" w:rsidRDefault="005E6418" w:rsidP="005E6418">
      <w:pPr>
        <w:pStyle w:val="StandardWeb"/>
      </w:pPr>
      <w:r>
        <w:t>Damit wäre (A_{\mathrm{cons}}) in dieser Form inhaltlich zu schwach.</w:t>
      </w:r>
    </w:p>
    <w:p w:rsidR="005E6418" w:rsidRDefault="00E50336" w:rsidP="005E6418">
      <w:r>
        <w:pict>
          <v:rect id="_x0000_i3913" style="width:0;height:1.5pt" o:hralign="center" o:hrstd="t" o:hr="t" fillcolor="#a0a0a0" stroked="f"/>
        </w:pict>
      </w:r>
    </w:p>
    <w:p w:rsidR="005E6418" w:rsidRDefault="005E6418" w:rsidP="005E6418">
      <w:pPr>
        <w:pStyle w:val="berschrift1"/>
      </w:pPr>
      <w:r>
        <w:t>3.3.47.35 Definition 3.3.239 – Triviale funktionale Erhaltungsgröße</w:t>
      </w:r>
    </w:p>
    <w:p w:rsidR="005E6418" w:rsidRDefault="005E6418" w:rsidP="005E6418">
      <w:pPr>
        <w:pStyle w:val="berschrift3"/>
      </w:pPr>
      <w:r>
        <w:t>Definition 3.3.239</w:t>
      </w:r>
    </w:p>
    <w:p w:rsidR="005E6418" w:rsidRDefault="005E6418" w:rsidP="005E6418">
      <w:pPr>
        <w:pStyle w:val="StandardWeb"/>
      </w:pPr>
      <w:r>
        <w:t xml:space="preserve">Eine global erhaltene funktionale Größe (Q_F) heißt </w:t>
      </w:r>
      <w:r>
        <w:rPr>
          <w:rStyle w:val="Fett"/>
        </w:rPr>
        <w:t>trivial erhalten</w:t>
      </w:r>
      <w:r>
        <w:t>, wenn sie auf dem gesamten betrachteten Zustandsraum konstant ist:</w:t>
      </w:r>
    </w:p>
    <w:p w:rsidR="005E6418" w:rsidRDefault="005E6418" w:rsidP="005E6418">
      <w:pPr>
        <w:pStyle w:val="berschrift1"/>
      </w:pPr>
      <w:r>
        <w:lastRenderedPageBreak/>
        <w:t>[</w:t>
      </w:r>
      <w:r>
        <w:br/>
        <w:t>\boxed{</w:t>
      </w:r>
      <w:r>
        <w:br/>
        <w:t>Q_F(z)</w:t>
      </w:r>
    </w:p>
    <w:p w:rsidR="005E6418" w:rsidRDefault="005E6418" w:rsidP="005E6418">
      <w:pPr>
        <w:pStyle w:val="StandardWeb"/>
      </w:pPr>
      <w:r>
        <w:t>c</w:t>
      </w:r>
      <w:r>
        <w:br/>
        <w:t>\qquad</w:t>
      </w:r>
      <w:r>
        <w:br/>
        <w:t>\forall z\in\Omega_F.</w:t>
      </w:r>
      <w:r>
        <w:br/>
        <w:t>}</w:t>
      </w:r>
      <w:r>
        <w:br/>
        <w:t>\tag{3.11502}</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\boxed{Q_F(z)=c\qquad\forall z\in\Omega_F.}</w:t>
      </w:r>
    </w:p>
    <w:p w:rsidR="005E6418" w:rsidRDefault="00E50336" w:rsidP="005E6418">
      <w:r>
        <w:pict>
          <v:rect id="_x0000_i3914" style="width:0;height:1.5pt" o:hralign="center" o:hrstd="t" o:hr="t" fillcolor="#a0a0a0" stroked="f"/>
        </w:pict>
      </w:r>
    </w:p>
    <w:p w:rsidR="005E6418" w:rsidRDefault="005E6418" w:rsidP="005E6418">
      <w:pPr>
        <w:pStyle w:val="berschrift1"/>
      </w:pPr>
      <w:r>
        <w:t>3.3.47.36 Definition 3.3.240 – Nichttriviale funktionale Erhaltungsgröße</w:t>
      </w:r>
    </w:p>
    <w:p w:rsidR="005E6418" w:rsidRDefault="005E6418" w:rsidP="005E6418">
      <w:pPr>
        <w:pStyle w:val="berschrift3"/>
      </w:pPr>
      <w:r>
        <w:t>Definition 3.3.240</w:t>
      </w:r>
    </w:p>
    <w:p w:rsidR="005E6418" w:rsidRDefault="005E6418" w:rsidP="005E6418">
      <w:pPr>
        <w:pStyle w:val="StandardWeb"/>
      </w:pPr>
      <w:r>
        <w:t xml:space="preserve">Eine global erhaltene funktionale Größe heißt </w:t>
      </w:r>
      <w:r>
        <w:rPr>
          <w:rStyle w:val="Fett"/>
        </w:rPr>
        <w:t>nichttrivial erhalten</w:t>
      </w:r>
      <w:r>
        <w:t>, wenn</w:t>
      </w:r>
    </w:p>
    <w:p w:rsidR="005E6418" w:rsidRDefault="005E6418" w:rsidP="005E6418">
      <w:pPr>
        <w:pStyle w:val="StandardWeb"/>
      </w:pPr>
      <w:r>
        <w:t>[</w:t>
      </w:r>
      <w:r>
        <w:br/>
        <w:t>\boxed{</w:t>
      </w:r>
      <w:r>
        <w:br/>
        <w:t>\exists z_i,z_j\in\Omega_F:</w:t>
      </w:r>
      <w:r>
        <w:br/>
        <w:t>Q_F(z_i)\neq Q_F(z_j)</w:t>
      </w:r>
      <w:r>
        <w:br/>
        <w:t>}</w:t>
      </w:r>
      <w:r>
        <w:br/>
        <w:t>\tag{3.11503}</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\boxed{\exists z_i,z_j\in\Omega_F:Q_F(z_i)\neq Q_F(z_j)}</w:t>
      </w:r>
    </w:p>
    <w:p w:rsidR="005E6418" w:rsidRDefault="005E6418" w:rsidP="005E6418">
      <w:pPr>
        <w:pStyle w:val="StandardWeb"/>
      </w:pPr>
      <w:r>
        <w:t>und zugleich</w:t>
      </w:r>
    </w:p>
    <w:p w:rsidR="005E6418" w:rsidRDefault="005E6418" w:rsidP="005E6418">
      <w:pPr>
        <w:pStyle w:val="StandardWeb"/>
      </w:pPr>
      <w:r>
        <w:t>[</w:t>
      </w:r>
      <w:r>
        <w:br/>
        <w:t>\boxed{</w:t>
      </w:r>
      <w:r>
        <w:br/>
        <w:t>\Delta_TQ_F(z_i,z_j)=0</w:t>
      </w:r>
      <w:r>
        <w:br/>
        <w:t>\qquad</w:t>
      </w:r>
      <w:r>
        <w:br/>
        <w:t>\forall(z_i,z_j)\in\mathcal T_F.</w:t>
      </w:r>
      <w:r>
        <w:br/>
        <w:t>}</w:t>
      </w:r>
      <w:r>
        <w:br/>
        <w:t>\tag{3.11504}</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lastRenderedPageBreak/>
        <w:t>\boxed{\Delta_TQ_F(z_i,z_j)=0\qquad\forall(z_i,z_j)\in\mathcal T_F.}</w:t>
      </w:r>
    </w:p>
    <w:p w:rsidR="005E6418" w:rsidRDefault="00E50336" w:rsidP="005E6418">
      <w:r>
        <w:pict>
          <v:rect id="_x0000_i3915" style="width:0;height:1.5pt" o:hralign="center" o:hrstd="t" o:hr="t" fillcolor="#a0a0a0" stroked="f"/>
        </w:pict>
      </w:r>
    </w:p>
    <w:p w:rsidR="005E6418" w:rsidRDefault="005E6418" w:rsidP="005E6418">
      <w:pPr>
        <w:pStyle w:val="berschrift1"/>
      </w:pPr>
      <w:r>
        <w:t>3.3.47.37 Konsequenz für die Axiomprüfung</w:t>
      </w:r>
    </w:p>
    <w:p w:rsidR="005E6418" w:rsidRDefault="005E6418" w:rsidP="005E6418">
      <w:pPr>
        <w:pStyle w:val="StandardWeb"/>
      </w:pPr>
      <w:r>
        <w:t xml:space="preserve">Ein sinnvoller Primäraxiomkandidat müsste deshalb mindestens die Existenz einer </w:t>
      </w:r>
      <w:r>
        <w:rPr>
          <w:rStyle w:val="Fett"/>
        </w:rPr>
        <w:t>nichttrivialen</w:t>
      </w:r>
      <w:r>
        <w:t xml:space="preserve"> Erhaltungsgröße verlangen:</w:t>
      </w:r>
    </w:p>
    <w:p w:rsidR="005E6418" w:rsidRDefault="005E6418" w:rsidP="005E6418">
      <w:pPr>
        <w:pStyle w:val="StandardWeb"/>
      </w:pPr>
      <w:r>
        <w:t>[</w:t>
      </w:r>
      <w:r>
        <w:br/>
        <w:t>A_{\mathrm{cons}}^{+}:</w:t>
      </w:r>
      <w:r>
        <w:br/>
        <w:t>\exists Q_F</w:t>
      </w:r>
      <w:r>
        <w:br/>
        <w:t>\left[</w:t>
      </w:r>
      <w:r>
        <w:br/>
        <w:t>Q_F\text{ nichttrivial}</w:t>
      </w:r>
      <w:r>
        <w:br/>
        <w:t>\land</w:t>
      </w:r>
      <w:r>
        <w:br/>
        <w:t>\forall(z_i,z_j)\in\mathcal T_F:</w:t>
      </w:r>
      <w:r>
        <w:br/>
        <w:t>\Delta_TQ_F=0</w:t>
      </w:r>
      <w:r>
        <w:br/>
        <w:t>\right].</w:t>
      </w:r>
      <w:r>
        <w:br/>
        <w:t>\tag{3.11505}</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A_{\mathrm{cons}}^{+}:\exists Q_F\left[Q_F\text{ nichttrivial}\land\forall(z_i,z_j)\in\mathcal T_F:\Delta_TQ_F=0\right]</w:t>
      </w:r>
    </w:p>
    <w:p w:rsidR="005E6418" w:rsidRDefault="00E50336" w:rsidP="005E6418">
      <w:r>
        <w:pict>
          <v:rect id="_x0000_i3916" style="width:0;height:1.5pt" o:hralign="center" o:hrstd="t" o:hr="t" fillcolor="#a0a0a0" stroked="f"/>
        </w:pict>
      </w:r>
    </w:p>
    <w:p w:rsidR="005E6418" w:rsidRDefault="005E6418" w:rsidP="005E6418">
      <w:pPr>
        <w:pStyle w:val="berschrift1"/>
      </w:pPr>
      <w:r>
        <w:t>3.3.47.38 Notwendigkeitstest des Erhaltungsaxioms</w:t>
      </w:r>
    </w:p>
    <w:p w:rsidR="005E6418" w:rsidRDefault="005E6418" w:rsidP="005E6418">
      <w:pPr>
        <w:pStyle w:val="StandardWeb"/>
      </w:pPr>
      <w:r>
        <w:t>Die bisherige minimale FRZK-Struktur verlangt jedoch lediglich funktionale Zustände, Relationen, Übergänge und die bereits bestätigten Primärstrukturen.</w:t>
      </w:r>
    </w:p>
    <w:p w:rsidR="005E6418" w:rsidRDefault="005E6418" w:rsidP="005E6418">
      <w:pPr>
        <w:pStyle w:val="StandardWeb"/>
      </w:pPr>
      <w:r>
        <w:t>Sie verlangt nicht, dass auf dem Zustandsraum eine nichtkonstante reellwertige Funktion existiert, die entlang sämtlicher Übergänge konstant bleibt.</w:t>
      </w:r>
    </w:p>
    <w:p w:rsidR="005E6418" w:rsidRDefault="005E6418" w:rsidP="005E6418">
      <w:pPr>
        <w:pStyle w:val="StandardWeb"/>
      </w:pPr>
      <w:r>
        <w:t>Damit kann ein zulässiges Übergangsnetz beispielsweise so beschaffen sein, dass jede nichtkonstante Zustandsgröße entlang wenigstens eines zulässigen Übergangs ihren Wert verändert.</w:t>
      </w:r>
    </w:p>
    <w:p w:rsidR="005E6418" w:rsidRDefault="005E6418" w:rsidP="005E6418">
      <w:pPr>
        <w:pStyle w:val="StandardWeb"/>
      </w:pPr>
      <w:r>
        <w:t>Formal ist daher ein Modell denkbar mit</w:t>
      </w:r>
    </w:p>
    <w:p w:rsidR="005E6418" w:rsidRDefault="005E6418" w:rsidP="005E6418">
      <w:pPr>
        <w:pStyle w:val="StandardWeb"/>
      </w:pPr>
      <w:r>
        <w:t>[</w:t>
      </w:r>
      <w:r>
        <w:br/>
        <w:t>\forall Q_F\not\equiv\mathrm{const}</w:t>
      </w:r>
      <w:r>
        <w:br/>
        <w:t>\quad</w:t>
      </w:r>
      <w:r>
        <w:br/>
        <w:t>\exists(z_i,z_j)\in\mathcal T_F:</w:t>
      </w:r>
      <w:r>
        <w:br/>
        <w:t>\Delta_TQ_F(z_i,z_j)\neq0.</w:t>
      </w:r>
      <w:r>
        <w:br/>
        <w:t>\tag{3.11506}</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lastRenderedPageBreak/>
        <w:t>\forall Q_F\not\equiv\mathrm{const}\quad\exists(z_i,z_j)\in\mathcal T_F:\Delta_TQ_F(z_i,z_j)\neq0</w:t>
      </w:r>
    </w:p>
    <w:p w:rsidR="005E6418" w:rsidRDefault="00E50336" w:rsidP="005E6418">
      <w:r>
        <w:pict>
          <v:rect id="_x0000_i3917" style="width:0;height:1.5pt" o:hralign="center" o:hrstd="t" o:hr="t" fillcolor="#a0a0a0" stroked="f"/>
        </w:pict>
      </w:r>
    </w:p>
    <w:p w:rsidR="005E6418" w:rsidRDefault="005E6418" w:rsidP="005E6418">
      <w:pPr>
        <w:pStyle w:val="berschrift1"/>
      </w:pPr>
      <w:r>
        <w:t>3.3.47.39 Vorläufiges Ergebnis der Primäraxiomprüfung</w:t>
      </w:r>
    </w:p>
    <w:p w:rsidR="005E6418" w:rsidRDefault="005E6418" w:rsidP="005E6418">
      <w:pPr>
        <w:pStyle w:val="StandardWeb"/>
      </w:pPr>
      <w:r>
        <w:t>Damit ist die Existenz einer nichttrivialen global erhaltenen Zustandsgröße nicht bereits aus dem minimalen FRZK-Kern erzwungen.</w:t>
      </w:r>
    </w:p>
    <w:p w:rsidR="005E6418" w:rsidRDefault="005E6418" w:rsidP="005E6418">
      <w:pPr>
        <w:pStyle w:val="StandardWeb"/>
      </w:pPr>
      <w:r>
        <w:t>Es folgt vorläufig</w:t>
      </w:r>
    </w:p>
    <w:p w:rsidR="005E6418" w:rsidRDefault="005E6418" w:rsidP="005E6418">
      <w:pPr>
        <w:pStyle w:val="berschrift1"/>
      </w:pPr>
      <w:r>
        <w:t>[</w:t>
      </w:r>
      <w:r>
        <w:br/>
        <w:t>\boxed{</w:t>
      </w:r>
      <w:r>
        <w:br/>
        <w:t>U_{\mathrm{Ax}}</w:t>
      </w:r>
      <w:r>
        <w:br/>
        <w:t>(A_{\mathrm{cons}}^{+})</w:t>
      </w:r>
    </w:p>
    <w:p w:rsidR="005E6418" w:rsidRDefault="005E6418" w:rsidP="00152216">
      <w:pPr>
        <w:numPr>
          <w:ilvl w:val="0"/>
          <w:numId w:val="493"/>
        </w:numPr>
        <w:spacing w:before="100" w:beforeAutospacing="1" w:after="100" w:afterAutospacing="1"/>
      </w:pPr>
    </w:p>
    <w:p w:rsidR="005E6418" w:rsidRDefault="005E6418" w:rsidP="005E6418">
      <w:pPr>
        <w:pStyle w:val="StandardWeb"/>
      </w:pPr>
      <w:r>
        <w:t>}</w:t>
      </w:r>
      <w:r>
        <w:br/>
        <w:t>\tag{3.11507}</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\boxed{U_{\mathrm{Ax}}(A_{\mathrm{cons}}^{+})=0.}</w:t>
      </w:r>
    </w:p>
    <w:p w:rsidR="005E6418" w:rsidRDefault="00E50336" w:rsidP="005E6418">
      <w:r>
        <w:pict>
          <v:rect id="_x0000_i3918" style="width:0;height:1.5pt" o:hralign="center" o:hrstd="t" o:hr="t" fillcolor="#a0a0a0" stroked="f"/>
        </w:pict>
      </w:r>
    </w:p>
    <w:p w:rsidR="005E6418" w:rsidRDefault="005E6418" w:rsidP="005E6418">
      <w:pPr>
        <w:pStyle w:val="berschrift1"/>
      </w:pPr>
      <w:r>
        <w:t>3.3.47.40 Satz 3.3.105 – Globale nichttriviale funktionale Erhaltung ist kein Primäraxiom</w:t>
      </w:r>
    </w:p>
    <w:p w:rsidR="005E6418" w:rsidRDefault="005E6418" w:rsidP="005E6418">
      <w:pPr>
        <w:pStyle w:val="berschrift3"/>
      </w:pPr>
      <w:r>
        <w:t>Satz 3.3.105</w:t>
      </w:r>
    </w:p>
    <w:p w:rsidR="005E6418" w:rsidRDefault="005E6418" w:rsidP="005E6418">
      <w:pPr>
        <w:pStyle w:val="StandardWeb"/>
      </w:pPr>
      <w:r>
        <w:t>Die Existenz mindestens einer nichttrivialen funktionalen Zustandsgröße, die auf sämtlichen zulässigen Übergängen erhalten bleibt, ist keine universell notwendige Voraussetzung eines allgemeinen FRZK-Modells.</w:t>
      </w:r>
    </w:p>
    <w:p w:rsidR="005E6418" w:rsidRDefault="005E6418" w:rsidP="005E6418">
      <w:pPr>
        <w:pStyle w:val="StandardWeb"/>
      </w:pPr>
      <w:r>
        <w:t>Damit gilt</w:t>
      </w:r>
    </w:p>
    <w:p w:rsidR="005E6418" w:rsidRDefault="005E6418" w:rsidP="005E6418">
      <w:pPr>
        <w:pStyle w:val="berschrift1"/>
      </w:pPr>
      <w:r>
        <w:t>[</w:t>
      </w:r>
      <w:r>
        <w:br/>
        <w:t>\boxed{</w:t>
      </w:r>
      <w:r>
        <w:br/>
        <w:t>U_{\mathrm{Ax}}</w:t>
      </w:r>
      <w:r>
        <w:br/>
        <w:t>(A_{\mathrm{cons}}^{+})</w:t>
      </w:r>
    </w:p>
    <w:p w:rsidR="005E6418" w:rsidRDefault="005E6418" w:rsidP="00152216">
      <w:pPr>
        <w:numPr>
          <w:ilvl w:val="0"/>
          <w:numId w:val="494"/>
        </w:numPr>
        <w:spacing w:before="100" w:beforeAutospacing="1" w:after="100" w:afterAutospacing="1"/>
      </w:pPr>
    </w:p>
    <w:p w:rsidR="005E6418" w:rsidRDefault="005E6418" w:rsidP="005E6418">
      <w:pPr>
        <w:pStyle w:val="StandardWeb"/>
      </w:pPr>
      <w:r>
        <w:t>}</w:t>
      </w:r>
      <w:r>
        <w:br/>
        <w:t>\tag{3.11508}</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\boxed{U_{\mathrm{Ax}}(A_{\mathrm{cons}}^{+})=0.}</w:t>
      </w:r>
    </w:p>
    <w:p w:rsidR="005E6418" w:rsidRDefault="005E6418" w:rsidP="005E6418">
      <w:pPr>
        <w:pStyle w:val="berschrift3"/>
      </w:pPr>
      <w:r>
        <w:t>Beweis</w:t>
      </w:r>
    </w:p>
    <w:p w:rsidR="005E6418" w:rsidRDefault="005E6418" w:rsidP="005E6418">
      <w:pPr>
        <w:pStyle w:val="StandardWeb"/>
      </w:pPr>
      <w:r>
        <w:t>Die minimale FRZK-Struktur legt keine globale nichttriviale Erhaltungsgröße fest. Es sind relationale Übergangsmodelle zulässig, in denen jede nichtkonstante funktionale Zustandsgröße entlang mindestens eines Übergangs ihren Wert verändert. Die Theorie bleibt dennoch als funktionales Zustands- und Übergangssystem wohldefiniert. Daher ist eine nichttriviale globale Erhaltungsgröße nicht universal notwendig. (\square)</w:t>
      </w:r>
    </w:p>
    <w:p w:rsidR="005E6418" w:rsidRDefault="00E50336" w:rsidP="005E6418">
      <w:r>
        <w:pict>
          <v:rect id="_x0000_i3919" style="width:0;height:1.5pt" o:hralign="center" o:hrstd="t" o:hr="t" fillcolor="#a0a0a0" stroked="f"/>
        </w:pict>
      </w:r>
    </w:p>
    <w:p w:rsidR="005E6418" w:rsidRDefault="005E6418" w:rsidP="005E6418">
      <w:pPr>
        <w:pStyle w:val="berschrift1"/>
      </w:pPr>
      <w:r>
        <w:t>3.3.47.41 Status der bisherigen Erhaltungsstrukturen</w:t>
      </w:r>
    </w:p>
    <w:p w:rsidR="005E6418" w:rsidRDefault="005E6418" w:rsidP="005E6418">
      <w:pPr>
        <w:pStyle w:val="StandardWeb"/>
      </w:pPr>
      <w:r>
        <w:t>Die übergangsbezogene Änderung</w:t>
      </w:r>
    </w:p>
    <w:p w:rsidR="005E6418" w:rsidRDefault="005E6418" w:rsidP="005E6418">
      <w:pPr>
        <w:pStyle w:val="StandardWeb"/>
      </w:pPr>
      <w:r>
        <w:t>[</w:t>
      </w:r>
      <w:r>
        <w:br/>
        <w:t>\Delta_TQ_F</w:t>
      </w:r>
      <w:r>
        <w:br/>
        <w:t>\tag{3.11509}</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w:t>
      </w:r>
    </w:p>
    <w:p w:rsidR="005E6418" w:rsidRDefault="005E6418" w:rsidP="005E6418">
      <w:pPr>
        <w:pStyle w:val="StandardWeb"/>
      </w:pPr>
      <w:r>
        <w:t>ist definitorisch und operationalisierbar.</w:t>
      </w:r>
    </w:p>
    <w:p w:rsidR="005E6418" w:rsidRDefault="005E6418" w:rsidP="005E6418">
      <w:pPr>
        <w:pStyle w:val="StandardWeb"/>
      </w:pPr>
      <w:r>
        <w:t>Damit gilt</w:t>
      </w:r>
    </w:p>
    <w:p w:rsidR="005E6418" w:rsidRDefault="005E6418" w:rsidP="005E6418">
      <w:pPr>
        <w:pStyle w:val="berschrift1"/>
      </w:pPr>
      <w:r>
        <w:t>[</w:t>
      </w:r>
      <w:r>
        <w:br/>
        <w:t>\boxed{</w:t>
      </w:r>
      <w:r>
        <w:br/>
        <w:t>\operatorname{Stat}</w:t>
      </w:r>
      <w:r>
        <w:br/>
        <w:t>(\Delta_TQ_F)</w:t>
      </w:r>
    </w:p>
    <w:p w:rsidR="005E6418" w:rsidRDefault="005E6418" w:rsidP="005E6418">
      <w:pPr>
        <w:pStyle w:val="StandardWeb"/>
      </w:pPr>
      <w:r>
        <w:t>\mathrm{Def/Op}.</w:t>
      </w:r>
      <w:r>
        <w:br/>
        <w:t>}</w:t>
      </w:r>
      <w:r>
        <w:br/>
        <w:t>\tag{3.11510}</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lastRenderedPageBreak/>
        <w:t>\boxed{\operatorname{Stat}(\Delta_TQ_F)=\mathrm{Def/Op}.}</w:t>
      </w:r>
    </w:p>
    <w:p w:rsidR="005E6418" w:rsidRDefault="00E50336" w:rsidP="005E6418">
      <w:r>
        <w:pict>
          <v:rect id="_x0000_i3920" style="width:0;height:1.5pt" o:hralign="center" o:hrstd="t" o:hr="t" fillcolor="#a0a0a0" stroked="f"/>
        </w:pict>
      </w:r>
    </w:p>
    <w:p w:rsidR="005E6418" w:rsidRDefault="005E6418" w:rsidP="005E6418">
      <w:pPr>
        <w:pStyle w:val="berschrift1"/>
      </w:pPr>
      <w:r>
        <w:t>3.3.47.42 Status von Gewinn und Verlust</w:t>
      </w:r>
    </w:p>
    <w:p w:rsidR="005E6418" w:rsidRDefault="005E6418" w:rsidP="005E6418">
      <w:pPr>
        <w:pStyle w:val="StandardWeb"/>
      </w:pPr>
      <w:r>
        <w:t>Für</w:t>
      </w:r>
    </w:p>
    <w:p w:rsidR="005E6418" w:rsidRDefault="005E6418" w:rsidP="005E6418">
      <w:pPr>
        <w:pStyle w:val="StandardWeb"/>
      </w:pPr>
      <w:r>
        <w:t>[</w:t>
      </w:r>
      <w:r>
        <w:br/>
        <w:t>G_Q</w:t>
      </w:r>
      <w:r>
        <w:br/>
        <w:t>\qquad\text{und}\qquad</w:t>
      </w:r>
      <w:r>
        <w:br/>
        <w:t>L_Q</w:t>
      </w:r>
      <w:r>
        <w:br/>
        <w:t>\tag{3.11511}</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G_Q\qquad\text{und}\qquad L_Q</w:t>
      </w:r>
    </w:p>
    <w:p w:rsidR="005E6418" w:rsidRDefault="005E6418" w:rsidP="005E6418">
      <w:pPr>
        <w:pStyle w:val="StandardWeb"/>
      </w:pPr>
      <w:r>
        <w:t>gilt entsprechend</w:t>
      </w:r>
    </w:p>
    <w:p w:rsidR="005E6418" w:rsidRDefault="005E6418" w:rsidP="005E6418">
      <w:pPr>
        <w:pStyle w:val="berschrift1"/>
      </w:pPr>
      <w:r>
        <w:t>[</w:t>
      </w:r>
      <w:r>
        <w:br/>
        <w:t>\boxed{</w:t>
      </w:r>
      <w:r>
        <w:br/>
        <w:t>\operatorname{Stat}(G_Q)</w:t>
      </w:r>
    </w:p>
    <w:p w:rsidR="005E6418" w:rsidRDefault="005E6418" w:rsidP="005E6418">
      <w:pPr>
        <w:pStyle w:val="berschrift1"/>
      </w:pPr>
      <w:r>
        <w:t>\operatorname{Stat}(L_Q)</w:t>
      </w:r>
    </w:p>
    <w:p w:rsidR="005E6418" w:rsidRDefault="005E6418" w:rsidP="005E6418">
      <w:pPr>
        <w:pStyle w:val="StandardWeb"/>
      </w:pPr>
      <w:r>
        <w:t>\mathrm{Def/Op}.</w:t>
      </w:r>
      <w:r>
        <w:br/>
        <w:t>}</w:t>
      </w:r>
      <w:r>
        <w:br/>
        <w:t>\tag{3.11512}</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\boxed{\operatorname{Stat}(G_Q)=\operatorname{Stat}(L_Q)=\mathrm{Def/Op}.}</w:t>
      </w:r>
    </w:p>
    <w:p w:rsidR="005E6418" w:rsidRDefault="00E50336" w:rsidP="005E6418">
      <w:r>
        <w:pict>
          <v:rect id="_x0000_i3921" style="width:0;height:1.5pt" o:hralign="center" o:hrstd="t" o:hr="t" fillcolor="#a0a0a0" stroked="f"/>
        </w:pict>
      </w:r>
    </w:p>
    <w:p w:rsidR="005E6418" w:rsidRDefault="005E6418" w:rsidP="005E6418">
      <w:pPr>
        <w:pStyle w:val="berschrift1"/>
      </w:pPr>
      <w:r>
        <w:t>3.3.47.43 Status der funktionalen Erhaltung</w:t>
      </w:r>
    </w:p>
    <w:p w:rsidR="005E6418" w:rsidRDefault="005E6418" w:rsidP="005E6418">
      <w:pPr>
        <w:pStyle w:val="StandardWeb"/>
      </w:pPr>
      <w:r>
        <w:t>Die Eigenschaft</w:t>
      </w:r>
    </w:p>
    <w:p w:rsidR="005E6418" w:rsidRDefault="005E6418" w:rsidP="005E6418">
      <w:pPr>
        <w:pStyle w:val="StandardWeb"/>
      </w:pPr>
      <w:r>
        <w:t>[</w:t>
      </w:r>
      <w:r>
        <w:br/>
        <w:t>\Delta_TQ_F=0</w:t>
      </w:r>
      <w:r>
        <w:br/>
        <w:t>\tag{3.11513}</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\Delta_TQ_F=0</w:t>
      </w:r>
    </w:p>
    <w:p w:rsidR="005E6418" w:rsidRDefault="005E6418" w:rsidP="005E6418">
      <w:pPr>
        <w:pStyle w:val="StandardWeb"/>
      </w:pPr>
      <w:r>
        <w:lastRenderedPageBreak/>
        <w:t>ist definitorisch formulierbar, ihre tatsächliche Erfüllung jedoch modellabhängig.</w:t>
      </w:r>
    </w:p>
    <w:p w:rsidR="005E6418" w:rsidRDefault="005E6418" w:rsidP="005E6418">
      <w:pPr>
        <w:pStyle w:val="StandardWeb"/>
      </w:pPr>
      <w:r>
        <w:t>Daher gilt</w:t>
      </w:r>
    </w:p>
    <w:p w:rsidR="005E6418" w:rsidRDefault="005E6418" w:rsidP="005E6418">
      <w:pPr>
        <w:pStyle w:val="berschrift1"/>
      </w:pPr>
      <w:r>
        <w:t>[</w:t>
      </w:r>
      <w:r>
        <w:br/>
        <w:t>\boxed{</w:t>
      </w:r>
      <w:r>
        <w:br/>
        <w:t>\operatorname{Stat}</w:t>
      </w:r>
      <w:r>
        <w:br/>
        <w:t>(\operatorname{Cons}_FQ)</w:t>
      </w:r>
    </w:p>
    <w:p w:rsidR="005E6418" w:rsidRDefault="005E6418" w:rsidP="005E6418">
      <w:pPr>
        <w:pStyle w:val="StandardWeb"/>
      </w:pPr>
      <w:r>
        <w:t>\mathrm{Def/Mod}.</w:t>
      </w:r>
      <w:r>
        <w:br/>
        <w:t>}</w:t>
      </w:r>
      <w:r>
        <w:br/>
        <w:t>\tag{3.11514}</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\boxed{\operatorname{Stat}(\operatorname{Cons}_FQ)=\mathrm{Def/Mod}.}</w:t>
      </w:r>
    </w:p>
    <w:p w:rsidR="005E6418" w:rsidRDefault="00E50336" w:rsidP="005E6418">
      <w:r>
        <w:pict>
          <v:rect id="_x0000_i3922" style="width:0;height:1.5pt" o:hralign="center" o:hrstd="t" o:hr="t" fillcolor="#a0a0a0" stroked="f"/>
        </w:pict>
      </w:r>
    </w:p>
    <w:p w:rsidR="005E6418" w:rsidRDefault="005E6418" w:rsidP="005E6418">
      <w:pPr>
        <w:pStyle w:val="berschrift1"/>
      </w:pPr>
      <w:r>
        <w:t>3.3.47.44 Status der Pfadbilanz</w:t>
      </w:r>
    </w:p>
    <w:p w:rsidR="005E6418" w:rsidRDefault="005E6418" w:rsidP="005E6418">
      <w:pPr>
        <w:pStyle w:val="StandardWeb"/>
      </w:pPr>
      <w:r>
        <w:t>Die Beziehung</w:t>
      </w:r>
    </w:p>
    <w:p w:rsidR="005E6418" w:rsidRDefault="005E6418" w:rsidP="005E6418">
      <w:pPr>
        <w:pStyle w:val="berschrift1"/>
      </w:pPr>
      <w:r>
        <w:t>[</w:t>
      </w:r>
      <w:r>
        <w:br/>
        <w:t>\Delta_\gamma Q_F</w:t>
      </w:r>
    </w:p>
    <w:p w:rsidR="005E6418" w:rsidRDefault="005E6418" w:rsidP="005E6418">
      <w:pPr>
        <w:pStyle w:val="StandardWeb"/>
      </w:pPr>
      <w:r>
        <w:t>G_\gamma-L_\gamma</w:t>
      </w:r>
      <w:r>
        <w:br/>
        <w:t>\tag{3.11515}</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\Delta_\gamma Q_F=G_\gamma-L_\gamma</w:t>
      </w:r>
    </w:p>
    <w:p w:rsidR="005E6418" w:rsidRDefault="005E6418" w:rsidP="005E6418">
      <w:pPr>
        <w:pStyle w:val="StandardWeb"/>
      </w:pPr>
      <w:r>
        <w:t>wurde aus den Definitionen mathematisch hergeleitet.</w:t>
      </w:r>
    </w:p>
    <w:p w:rsidR="005E6418" w:rsidRDefault="005E6418" w:rsidP="005E6418">
      <w:pPr>
        <w:pStyle w:val="StandardWeb"/>
      </w:pPr>
      <w:r>
        <w:t>Damit gilt</w:t>
      </w:r>
    </w:p>
    <w:p w:rsidR="005E6418" w:rsidRDefault="005E6418" w:rsidP="005E6418">
      <w:pPr>
        <w:pStyle w:val="berschrift1"/>
      </w:pPr>
      <w:r>
        <w:t>[</w:t>
      </w:r>
      <w:r>
        <w:br/>
        <w:t>\boxed{</w:t>
      </w:r>
      <w:r>
        <w:br/>
        <w:t>\operatorname{Stat}</w:t>
      </w:r>
      <w:r>
        <w:br/>
        <w:t>(\text{Pfadbilanz})</w:t>
      </w:r>
    </w:p>
    <w:p w:rsidR="005E6418" w:rsidRDefault="005E6418" w:rsidP="005E6418">
      <w:pPr>
        <w:pStyle w:val="StandardWeb"/>
      </w:pPr>
      <w:r>
        <w:lastRenderedPageBreak/>
        <w:t>\mathrm{Der}.</w:t>
      </w:r>
      <w:r>
        <w:br/>
        <w:t>}</w:t>
      </w:r>
      <w:r>
        <w:br/>
        <w:t>\tag{3.11516}</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\boxed{\operatorname{Stat}(\text{Pfadbilanz})=\mathrm{Der}.}</w:t>
      </w:r>
    </w:p>
    <w:p w:rsidR="005E6418" w:rsidRDefault="00E50336" w:rsidP="005E6418">
      <w:r>
        <w:pict>
          <v:rect id="_x0000_i3923" style="width:0;height:1.5pt" o:hralign="center" o:hrstd="t" o:hr="t" fillcolor="#a0a0a0" stroked="f"/>
        </w:pict>
      </w:r>
    </w:p>
    <w:p w:rsidR="005E6418" w:rsidRDefault="005E6418" w:rsidP="005E6418">
      <w:pPr>
        <w:pStyle w:val="berschrift1"/>
      </w:pPr>
      <w:r>
        <w:t>3.3.47.45 Vorläufige Erhaltungsarchitektur</w:t>
      </w:r>
    </w:p>
    <w:p w:rsidR="005E6418" w:rsidRDefault="005E6418" w:rsidP="005E6418">
      <w:pPr>
        <w:pStyle w:val="StandardWeb"/>
      </w:pPr>
      <w:r>
        <w:t>Die bislang eingeführten Strukturen lassen sich zusammenfassen als</w:t>
      </w:r>
    </w:p>
    <w:p w:rsidR="005E6418" w:rsidRDefault="005E6418" w:rsidP="005E6418">
      <w:pPr>
        <w:pStyle w:val="berschrift1"/>
      </w:pPr>
      <w:r>
        <w:t>[</w:t>
      </w:r>
      <w:r>
        <w:br/>
        <w:t>\mathfrak E_{\mathrm{cons}}^{(1)}</w:t>
      </w:r>
    </w:p>
    <w:p w:rsidR="005E6418" w:rsidRDefault="005E6418" w:rsidP="005E6418">
      <w:pPr>
        <w:pStyle w:val="StandardWeb"/>
      </w:pPr>
      <w:r>
        <w:t>\left(</w:t>
      </w:r>
      <w:r>
        <w:br/>
        <w:t>Q_F,</w:t>
      </w:r>
      <w:r>
        <w:br/>
        <w:t>\Delta_TQ_F,</w:t>
      </w:r>
      <w:r>
        <w:br/>
        <w:t>G_Q,</w:t>
      </w:r>
      <w:r>
        <w:br/>
        <w:t>L_Q,</w:t>
      </w:r>
      <w:r>
        <w:br/>
        <w:t>B_Q,</w:t>
      </w:r>
      <w:r>
        <w:br/>
        <w:t>\mathcal T_Q,</w:t>
      </w:r>
      <w:r>
        <w:br/>
        <w:t>\Delta_\gamma Q_F,</w:t>
      </w:r>
      <w:r>
        <w:br/>
        <w:t>G_\gamma,</w:t>
      </w:r>
      <w:r>
        <w:br/>
        <w:t>L_\gamma</w:t>
      </w:r>
      <w:r>
        <w:br/>
        <w:t>\right).</w:t>
      </w:r>
      <w:r>
        <w:br/>
        <w:t>\tag{3.11517}</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\mathfrak E_{\mathrm{cons}}^{(1)}=\left(Q_F,\Delta_TQ_F,G_Q,L_Q,B_Q,\mathcal T_Q,\Delta_\gamma Q_F,G_\gamma,L_\gamma\right)</w:t>
      </w:r>
    </w:p>
    <w:p w:rsidR="005E6418" w:rsidRDefault="00E50336" w:rsidP="005E6418">
      <w:r>
        <w:pict>
          <v:rect id="_x0000_i3924" style="width:0;height:1.5pt" o:hralign="center" o:hrstd="t" o:hr="t" fillcolor="#a0a0a0" stroked="f"/>
        </w:pict>
      </w:r>
    </w:p>
    <w:p w:rsidR="005E6418" w:rsidRDefault="005E6418" w:rsidP="005E6418">
      <w:pPr>
        <w:pStyle w:val="berschrift1"/>
      </w:pPr>
      <w:r>
        <w:t>3.3.47.46 Noch kein Abschluss von 3.3.47</w:t>
      </w:r>
    </w:p>
    <w:p w:rsidR="005E6418" w:rsidRDefault="005E6418" w:rsidP="005E6418">
      <w:pPr>
        <w:pStyle w:val="StandardWeb"/>
      </w:pPr>
      <w:r>
        <w:t xml:space="preserve">Abschnitt </w:t>
      </w:r>
      <w:r>
        <w:rPr>
          <w:rStyle w:val="Fett"/>
        </w:rPr>
        <w:t>3.3.47 ist damit noch nicht abgeschlossen</w:t>
      </w:r>
      <w:r>
        <w:t>.</w:t>
      </w:r>
    </w:p>
    <w:p w:rsidR="005E6418" w:rsidRDefault="005E6418" w:rsidP="005E6418">
      <w:pPr>
        <w:pStyle w:val="StandardWeb"/>
      </w:pPr>
      <w:r>
        <w:t>Die bisherige Betrachtung behandelt ausschließlich Zustandsgrößen und diskrete Übergangsbilanzen. Für eine vollständige Untersuchung funktionaler Erhaltungsstrukturen fehlen noch insbesondere:</w:t>
      </w:r>
    </w:p>
    <w:p w:rsidR="005E6418" w:rsidRDefault="005E6418" w:rsidP="005E6418">
      <w:pPr>
        <w:pStyle w:val="StandardWeb"/>
      </w:pPr>
      <w:r>
        <w:t>[</w:t>
      </w:r>
      <w:r>
        <w:br/>
        <w:t>\text{Quellen},</w:t>
      </w:r>
      <w:r>
        <w:br/>
        <w:t>\qquad</w:t>
      </w:r>
      <w:r>
        <w:br/>
      </w:r>
      <w:r>
        <w:lastRenderedPageBreak/>
        <w:t>\text{Senken},</w:t>
      </w:r>
      <w:r>
        <w:br/>
        <w:t>\qquad</w:t>
      </w:r>
      <w:r>
        <w:br/>
        <w:t>\text{Flüsse},</w:t>
      </w:r>
      <w:r>
        <w:br/>
        <w:t>\qquad</w:t>
      </w:r>
      <w:r>
        <w:br/>
        <w:t>\text{lokale Bilanzgleichungen},</w:t>
      </w:r>
      <w:r>
        <w:br/>
        <w:t>\qquad</w:t>
      </w:r>
      <w:r>
        <w:br/>
        <w:t>\text{geschlossene und offene funktionale Systeme}.</w:t>
      </w:r>
      <w:r>
        <w:br/>
        <w:t>\tag{3.11518}</w:t>
      </w:r>
      <w:r>
        <w:br/>
        <w:t>]</w:t>
      </w:r>
    </w:p>
    <w:p w:rsidR="005E6418" w:rsidRDefault="005E6418" w:rsidP="005E6418">
      <w:pPr>
        <w:pStyle w:val="StandardWeb"/>
      </w:pPr>
      <w:r>
        <w:rPr>
          <w:rStyle w:val="Fett"/>
        </w:rPr>
        <w:t>Word-LaTeX</w:t>
      </w:r>
    </w:p>
    <w:p w:rsidR="005E6418" w:rsidRDefault="005E6418" w:rsidP="005E6418">
      <w:pPr>
        <w:pStyle w:val="HTMLVorformatiert"/>
        <w:rPr>
          <w:rStyle w:val="HTMLCode"/>
        </w:rPr>
      </w:pPr>
      <w:r>
        <w:rPr>
          <w:rStyle w:val="HTMLCode"/>
        </w:rPr>
        <w:t>\text{Quellen},\qquad\text{Senken},\qquad\text{Flüsse},\qquad\text{lokale Bilanzgleichungen},\qquad\text{geschlossene und offene funktionale Systeme}</w:t>
      </w:r>
    </w:p>
    <w:p w:rsidR="005E6418" w:rsidRDefault="005E6418" w:rsidP="005E6418">
      <w:pPr>
        <w:pStyle w:val="StandardWeb"/>
      </w:pPr>
      <w:r>
        <w:t>Erst danach kann geprüft werden, ob sich aus solchen Bilanzstrukturen irgendeine zusätzliche Primärnotwendigkeit ergibt.</w:t>
      </w:r>
    </w:p>
    <w:p w:rsidR="005E6418" w:rsidRDefault="005E6418" w:rsidP="005E6418">
      <w:pPr>
        <w:pStyle w:val="StandardWeb"/>
      </w:pPr>
      <w:r>
        <w:t xml:space="preserve">Der nächste Teil beginnt daher bei </w:t>
      </w:r>
      <w:r>
        <w:rPr>
          <w:rStyle w:val="Fett"/>
        </w:rPr>
        <w:t>3.3.47.47 / Gleichung (3.11519)</w:t>
      </w:r>
      <w:r>
        <w:t xml:space="preserve"> mit der Einführung von </w:t>
      </w:r>
      <w:r>
        <w:rPr>
          <w:rStyle w:val="Fett"/>
        </w:rPr>
        <w:t>funktionalen Quellen, Senken und Flüssen</w:t>
      </w:r>
      <w:r>
        <w:t>.</w:t>
      </w:r>
    </w:p>
    <w:p w:rsidR="0057454C" w:rsidRDefault="0057454C" w:rsidP="0057454C">
      <w:pPr>
        <w:pStyle w:val="berschrift1"/>
        <w:rPr>
          <w:rFonts w:cs="Times New Roman"/>
          <w:sz w:val="48"/>
          <w:szCs w:val="48"/>
        </w:rPr>
      </w:pPr>
      <w:r>
        <w:t>3.3.47.47 Funktionale Quellen, Senken und Flüsse</w:t>
      </w:r>
    </w:p>
    <w:p w:rsidR="0057454C" w:rsidRDefault="0057454C" w:rsidP="0057454C">
      <w:pPr>
        <w:pStyle w:val="StandardWeb"/>
      </w:pPr>
      <w:r>
        <w:t xml:space="preserve">Die bisherige Bilanzbetrachtung beschreibt, </w:t>
      </w:r>
      <w:r>
        <w:rPr>
          <w:rStyle w:val="Fett"/>
        </w:rPr>
        <w:t>dass</w:t>
      </w:r>
      <w:r>
        <w:t xml:space="preserve"> sich eine funktionale Zustandsgröße zwischen zwei Zuständen verändert. Sie sagt jedoch noch nicht, </w:t>
      </w:r>
      <w:r>
        <w:rPr>
          <w:rStyle w:val="Fett"/>
        </w:rPr>
        <w:t>wodurch</w:t>
      </w:r>
      <w:r>
        <w:t xml:space="preserve"> eine solche Änderung zustande kommt. Für eine weiterführende Bilanzstruktur muss ich deshalb zwischen intern erzeugten Beiträgen, intern abgebauten Beiträgen und zwischen Zuständen übertragenen Beiträgen unterscheiden.</w:t>
      </w:r>
    </w:p>
    <w:p w:rsidR="0057454C" w:rsidRDefault="0057454C" w:rsidP="0057454C">
      <w:pPr>
        <w:pStyle w:val="StandardWeb"/>
      </w:pPr>
      <w:r>
        <w:t>Ich beginne mit einer allgemeinen Zerlegung der übergangsbezogenen Änderung</w:t>
      </w:r>
    </w:p>
    <w:p w:rsidR="0057454C" w:rsidRDefault="0057454C" w:rsidP="0057454C">
      <w:pPr>
        <w:pStyle w:val="berschrift1"/>
      </w:pPr>
      <w:r>
        <w:t>[</w:t>
      </w:r>
      <w:r>
        <w:br/>
        <w:t>\Delta_TQ_F(z_i,z_j)</w:t>
      </w:r>
    </w:p>
    <w:p w:rsidR="0057454C" w:rsidRDefault="0057454C" w:rsidP="0057454C">
      <w:pPr>
        <w:pStyle w:val="StandardWeb"/>
      </w:pPr>
      <w:r>
        <w:t>Q_F(z_j)-Q_F(z_i).</w:t>
      </w:r>
      <w:r>
        <w:br/>
        <w:t>\tag{3.11519}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\Delta_TQ_F(z_i,z_j)=Q_F(z_j)-Q_F(z_i)</w:t>
      </w:r>
    </w:p>
    <w:p w:rsidR="0057454C" w:rsidRDefault="0057454C" w:rsidP="0057454C">
      <w:pPr>
        <w:pStyle w:val="StandardWeb"/>
      </w:pPr>
      <w:r>
        <w:t>Dabei soll ein positiver Beitrag</w:t>
      </w:r>
    </w:p>
    <w:p w:rsidR="0057454C" w:rsidRDefault="0057454C" w:rsidP="0057454C">
      <w:pPr>
        <w:pStyle w:val="StandardWeb"/>
      </w:pPr>
      <w:r>
        <w:t>[</w:t>
      </w:r>
      <w:r>
        <w:br/>
        <w:t>S_Q^{+}(z_i,z_j)\geq0</w:t>
      </w:r>
      <w:r>
        <w:br/>
        <w:t>\tag{3.11520}</w:t>
      </w:r>
      <w:r>
        <w:br/>
        <w:t>]</w:t>
      </w:r>
    </w:p>
    <w:p w:rsidR="0057454C" w:rsidRDefault="0057454C" w:rsidP="0057454C">
      <w:pPr>
        <w:pStyle w:val="StandardWeb"/>
      </w:pPr>
      <w:r>
        <w:rPr>
          <w:rStyle w:val="Fett"/>
        </w:rPr>
        <w:lastRenderedPageBreak/>
        <w:t>Word-LaTeX</w:t>
      </w:r>
    </w:p>
    <w:p w:rsidR="0057454C" w:rsidRDefault="0057454C" w:rsidP="0057454C">
      <w:pPr>
        <w:pStyle w:val="HTMLVorformatiert"/>
        <w:rPr>
          <w:rStyle w:val="HTMLCode"/>
        </w:rPr>
      </w:pPr>
      <w:r>
        <w:rPr>
          <w:rStyle w:val="HTMLCode"/>
        </w:rPr>
        <w:t>S_Q^{+}(z_i,z_j)\geq0</w:t>
      </w:r>
    </w:p>
    <w:p w:rsidR="0057454C" w:rsidRDefault="0057454C" w:rsidP="0057454C">
      <w:pPr>
        <w:pStyle w:val="StandardWeb"/>
      </w:pPr>
      <w:r>
        <w:t>eine innerhalb des betrachteten Bilanzsystems erzeugte Zunahme beschreiben, während</w:t>
      </w:r>
    </w:p>
    <w:p w:rsidR="0057454C" w:rsidRDefault="0057454C" w:rsidP="0057454C">
      <w:pPr>
        <w:pStyle w:val="StandardWeb"/>
      </w:pPr>
      <w:r>
        <w:t>[</w:t>
      </w:r>
      <w:r>
        <w:br/>
        <w:t>S_Q^{-}(z_i,z_j)\geq0</w:t>
      </w:r>
      <w:r>
        <w:br/>
        <w:t>\tag{3.11521}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S_Q^{-}(z_i,z_j)\geq0</w:t>
      </w:r>
    </w:p>
    <w:p w:rsidR="0057454C" w:rsidRDefault="0057454C" w:rsidP="0057454C">
      <w:pPr>
        <w:pStyle w:val="StandardWeb"/>
      </w:pPr>
      <w:r>
        <w:t>einen innerhalb des Systems wirksamen Abbau beschreibt.</w:t>
      </w:r>
    </w:p>
    <w:p w:rsidR="0057454C" w:rsidRDefault="0057454C" w:rsidP="0057454C">
      <w:pPr>
        <w:pStyle w:val="StandardWeb"/>
      </w:pPr>
      <w:r>
        <w:t>Zusätzlich führe ich einen gerichteten funktionalen Fluss</w:t>
      </w:r>
    </w:p>
    <w:p w:rsidR="0057454C" w:rsidRDefault="0057454C" w:rsidP="0057454C">
      <w:pPr>
        <w:pStyle w:val="StandardWeb"/>
      </w:pPr>
      <w:r>
        <w:t>[</w:t>
      </w:r>
      <w:r>
        <w:br/>
        <w:t>J_Q(z_i,z_j)</w:t>
      </w:r>
      <w:r>
        <w:br/>
        <w:t>\tag{3.11522}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J_Q(z_i,z_j)</w:t>
      </w:r>
    </w:p>
    <w:p w:rsidR="0057454C" w:rsidRDefault="0057454C" w:rsidP="0057454C">
      <w:pPr>
        <w:pStyle w:val="StandardWeb"/>
      </w:pPr>
      <w:r>
        <w:t>ein, der einen zwischen funktionalen Zuständen oder Teilstrukturen übertragenen Beitrag repräsentiert.</w:t>
      </w:r>
    </w:p>
    <w:p w:rsidR="0057454C" w:rsidRDefault="00E50336" w:rsidP="0057454C">
      <w:r>
        <w:pict>
          <v:rect id="_x0000_i3925" style="width:0;height:1.5pt" o:hralign="center" o:hrstd="t" o:hr="t" fillcolor="#a0a0a0" stroked="f"/>
        </w:pict>
      </w:r>
    </w:p>
    <w:p w:rsidR="0057454C" w:rsidRDefault="0057454C" w:rsidP="0057454C">
      <w:pPr>
        <w:pStyle w:val="berschrift1"/>
      </w:pPr>
      <w:r>
        <w:t>3.3.47.48 Begriffliche Trennung von Quelle und Gewinn</w:t>
      </w:r>
    </w:p>
    <w:p w:rsidR="0057454C" w:rsidRDefault="0057454C" w:rsidP="0057454C">
      <w:pPr>
        <w:pStyle w:val="StandardWeb"/>
      </w:pPr>
      <w:r>
        <w:t>Es ist wichtig, einen funktionalen Gewinn (G_Q) nicht automatisch mit einer funktionalen Quelle gleichzusetzen.</w:t>
      </w:r>
    </w:p>
    <w:p w:rsidR="0057454C" w:rsidRDefault="0057454C" w:rsidP="0057454C">
      <w:pPr>
        <w:pStyle w:val="StandardWeb"/>
      </w:pPr>
      <w:r>
        <w:t>Der Gewinn</w:t>
      </w:r>
    </w:p>
    <w:p w:rsidR="0057454C" w:rsidRDefault="0057454C" w:rsidP="0057454C">
      <w:pPr>
        <w:pStyle w:val="berschrift1"/>
      </w:pPr>
      <w:r>
        <w:t>[</w:t>
      </w:r>
      <w:r>
        <w:br/>
        <w:t>G_Q</w:t>
      </w:r>
    </w:p>
    <w:p w:rsidR="0057454C" w:rsidRDefault="0057454C" w:rsidP="0057454C">
      <w:pPr>
        <w:pStyle w:val="StandardWeb"/>
      </w:pPr>
      <w:r>
        <w:t>\max{\Delta_TQ_F,0}</w:t>
      </w:r>
      <w:r>
        <w:br/>
        <w:t>\tag{3.11523}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lastRenderedPageBreak/>
        <w:t>G_Q=\max\left\{\Delta_TQ_F,0\right\}</w:t>
      </w:r>
    </w:p>
    <w:p w:rsidR="0057454C" w:rsidRDefault="0057454C" w:rsidP="0057454C">
      <w:pPr>
        <w:pStyle w:val="StandardWeb"/>
      </w:pPr>
      <w:r>
        <w:t>wird ausschließlich aus der beobachteten Gesamtänderung bestimmt.</w:t>
      </w:r>
    </w:p>
    <w:p w:rsidR="0057454C" w:rsidRDefault="0057454C" w:rsidP="0057454C">
      <w:pPr>
        <w:pStyle w:val="StandardWeb"/>
      </w:pPr>
      <w:r>
        <w:t xml:space="preserve">Eine Quelle dagegen soll einen </w:t>
      </w:r>
      <w:r>
        <w:rPr>
          <w:rStyle w:val="Fett"/>
        </w:rPr>
        <w:t>Beitrag zur Ursache dieser Änderung</w:t>
      </w:r>
      <w:r>
        <w:t xml:space="preserve"> innerhalb eines spezifizierten Bilanzmodells darstellen.</w:t>
      </w:r>
    </w:p>
    <w:p w:rsidR="0057454C" w:rsidRDefault="0057454C" w:rsidP="0057454C">
      <w:pPr>
        <w:pStyle w:val="StandardWeb"/>
      </w:pPr>
      <w:r>
        <w:t>Daher gilt grundsätzlich</w:t>
      </w:r>
    </w:p>
    <w:p w:rsidR="0057454C" w:rsidRDefault="0057454C" w:rsidP="0057454C">
      <w:pPr>
        <w:pStyle w:val="StandardWeb"/>
      </w:pPr>
      <w:r>
        <w:t>[</w:t>
      </w:r>
      <w:r>
        <w:br/>
        <w:t>S_Q^{+}</w:t>
      </w:r>
      <w:r>
        <w:br/>
        <w:t>\not\equiv</w:t>
      </w:r>
      <w:r>
        <w:br/>
        <w:t>G_Q.</w:t>
      </w:r>
      <w:r>
        <w:br/>
        <w:t>\tag{3.11524}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S_Q^{+}\not\equiv G_Q</w:t>
      </w:r>
    </w:p>
    <w:p w:rsidR="0057454C" w:rsidRDefault="00E50336" w:rsidP="0057454C">
      <w:r>
        <w:pict>
          <v:rect id="_x0000_i3926" style="width:0;height:1.5pt" o:hralign="center" o:hrstd="t" o:hr="t" fillcolor="#a0a0a0" stroked="f"/>
        </w:pict>
      </w:r>
    </w:p>
    <w:p w:rsidR="0057454C" w:rsidRDefault="0057454C" w:rsidP="0057454C">
      <w:pPr>
        <w:pStyle w:val="berschrift1"/>
      </w:pPr>
      <w:r>
        <w:t>3.3.47.49 Begriffliche Trennung von Senke und Verlust</w:t>
      </w:r>
    </w:p>
    <w:p w:rsidR="0057454C" w:rsidRDefault="0057454C" w:rsidP="0057454C">
      <w:pPr>
        <w:pStyle w:val="StandardWeb"/>
      </w:pPr>
      <w:r>
        <w:t>Entsprechend ist auch</w:t>
      </w:r>
    </w:p>
    <w:p w:rsidR="0057454C" w:rsidRDefault="0057454C" w:rsidP="0057454C">
      <w:pPr>
        <w:pStyle w:val="berschrift1"/>
      </w:pPr>
      <w:r>
        <w:t>[</w:t>
      </w:r>
      <w:r>
        <w:br/>
        <w:t>L_Q</w:t>
      </w:r>
    </w:p>
    <w:p w:rsidR="0057454C" w:rsidRDefault="0057454C" w:rsidP="0057454C">
      <w:pPr>
        <w:pStyle w:val="StandardWeb"/>
      </w:pPr>
      <w:r>
        <w:t>\max{-\Delta_TQ_F,0}</w:t>
      </w:r>
      <w:r>
        <w:br/>
        <w:t>\tag{3.11525}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L_Q=\max\left\{-\Delta_TQ_F,0\right\}</w:t>
      </w:r>
    </w:p>
    <w:p w:rsidR="0057454C" w:rsidRDefault="0057454C" w:rsidP="0057454C">
      <w:pPr>
        <w:pStyle w:val="StandardWeb"/>
      </w:pPr>
      <w:r>
        <w:t>nicht automatisch mit einer funktionalen Senke identisch.</w:t>
      </w:r>
    </w:p>
    <w:p w:rsidR="0057454C" w:rsidRDefault="0057454C" w:rsidP="0057454C">
      <w:pPr>
        <w:pStyle w:val="StandardWeb"/>
      </w:pPr>
      <w:r>
        <w:t>Damit gilt</w:t>
      </w:r>
    </w:p>
    <w:p w:rsidR="0057454C" w:rsidRDefault="0057454C" w:rsidP="0057454C">
      <w:pPr>
        <w:pStyle w:val="StandardWeb"/>
      </w:pPr>
      <w:r>
        <w:t>[</w:t>
      </w:r>
      <w:r>
        <w:br/>
        <w:t>S_Q^{-}</w:t>
      </w:r>
      <w:r>
        <w:br/>
        <w:t>\not\equiv</w:t>
      </w:r>
      <w:r>
        <w:br/>
        <w:t>L_Q.</w:t>
      </w:r>
      <w:r>
        <w:br/>
        <w:t>\tag{3.11526}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S_Q^{-}\not\equiv L_Q</w:t>
      </w:r>
    </w:p>
    <w:p w:rsidR="0057454C" w:rsidRDefault="0057454C" w:rsidP="0057454C">
      <w:pPr>
        <w:pStyle w:val="StandardWeb"/>
      </w:pPr>
      <w:r>
        <w:lastRenderedPageBreak/>
        <w:t>Ein Übergang kann beispielsweise gleichzeitig eine Quelle und eine Senke enthalten, deren Differenz lediglich als beobachtete Nettoänderung erscheint.</w:t>
      </w:r>
    </w:p>
    <w:p w:rsidR="0057454C" w:rsidRDefault="00E50336" w:rsidP="0057454C">
      <w:r>
        <w:pict>
          <v:rect id="_x0000_i3927" style="width:0;height:1.5pt" o:hralign="center" o:hrstd="t" o:hr="t" fillcolor="#a0a0a0" stroked="f"/>
        </w:pict>
      </w:r>
    </w:p>
    <w:p w:rsidR="0057454C" w:rsidRDefault="0057454C" w:rsidP="0057454C">
      <w:pPr>
        <w:pStyle w:val="berschrift1"/>
      </w:pPr>
      <w:r>
        <w:t>3.3.47.50 Definition 3.3.241 – Funktionale Quelle</w:t>
      </w:r>
    </w:p>
    <w:p w:rsidR="0057454C" w:rsidRDefault="0057454C" w:rsidP="0057454C">
      <w:pPr>
        <w:pStyle w:val="berschrift3"/>
      </w:pPr>
      <w:r>
        <w:t>Definition 3.3.241</w:t>
      </w:r>
    </w:p>
    <w:p w:rsidR="0057454C" w:rsidRDefault="0057454C" w:rsidP="0057454C">
      <w:pPr>
        <w:pStyle w:val="StandardWeb"/>
      </w:pPr>
      <w:r>
        <w:t xml:space="preserve">Eine </w:t>
      </w:r>
      <w:r>
        <w:rPr>
          <w:rStyle w:val="Fett"/>
        </w:rPr>
        <w:t>funktionale Quelle</w:t>
      </w:r>
      <w:r>
        <w:t xml:space="preserve"> einer bilanzierten Zustandsgröße (Q_F) ist ein nichtnegativer Beitrag</w:t>
      </w:r>
    </w:p>
    <w:p w:rsidR="0057454C" w:rsidRDefault="0057454C" w:rsidP="0057454C">
      <w:pPr>
        <w:pStyle w:val="StandardWeb"/>
      </w:pPr>
      <w:r>
        <w:t>[</w:t>
      </w:r>
      <w:r>
        <w:br/>
        <w:t>\boxed{</w:t>
      </w:r>
      <w:r>
        <w:br/>
        <w:t>S_Q^{+}(z_i,z_j)\geq0</w:t>
      </w:r>
      <w:r>
        <w:br/>
        <w:t>}</w:t>
      </w:r>
      <w:r>
        <w:br/>
        <w:t>\tag{3.11527}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\boxed{S_Q^{+}(z_i,z_j)\geq0}</w:t>
      </w:r>
    </w:p>
    <w:p w:rsidR="0057454C" w:rsidRDefault="0057454C" w:rsidP="0057454C">
      <w:pPr>
        <w:pStyle w:val="StandardWeb"/>
      </w:pPr>
      <w:r>
        <w:t>der innerhalb eines spezifizierten Bilanzmodells zur Zunahme von (Q_F) beiträgt.</w:t>
      </w:r>
    </w:p>
    <w:p w:rsidR="0057454C" w:rsidRDefault="0057454C" w:rsidP="0057454C">
      <w:pPr>
        <w:pStyle w:val="StandardWeb"/>
      </w:pPr>
      <w:r>
        <w:t>Die Quelle ist damit keine aus (\Delta_TQ_F) automatisch rekonstruierbare Größe, sondern Bestandteil einer zusätzlichen Bilanzzerlegung.</w:t>
      </w:r>
    </w:p>
    <w:p w:rsidR="0057454C" w:rsidRDefault="00E50336" w:rsidP="0057454C">
      <w:r>
        <w:pict>
          <v:rect id="_x0000_i3928" style="width:0;height:1.5pt" o:hralign="center" o:hrstd="t" o:hr="t" fillcolor="#a0a0a0" stroked="f"/>
        </w:pict>
      </w:r>
    </w:p>
    <w:p w:rsidR="0057454C" w:rsidRDefault="0057454C" w:rsidP="0057454C">
      <w:pPr>
        <w:pStyle w:val="berschrift1"/>
      </w:pPr>
      <w:r>
        <w:t>3.3.47.51 Definition 3.3.242 – Funktionale Senke</w:t>
      </w:r>
    </w:p>
    <w:p w:rsidR="0057454C" w:rsidRDefault="0057454C" w:rsidP="0057454C">
      <w:pPr>
        <w:pStyle w:val="berschrift3"/>
      </w:pPr>
      <w:r>
        <w:t>Definition 3.3.242</w:t>
      </w:r>
    </w:p>
    <w:p w:rsidR="0057454C" w:rsidRDefault="0057454C" w:rsidP="0057454C">
      <w:pPr>
        <w:pStyle w:val="StandardWeb"/>
      </w:pPr>
      <w:r>
        <w:t xml:space="preserve">Eine </w:t>
      </w:r>
      <w:r>
        <w:rPr>
          <w:rStyle w:val="Fett"/>
        </w:rPr>
        <w:t>funktionale Senke</w:t>
      </w:r>
      <w:r>
        <w:t xml:space="preserve"> einer bilanzierten Zustandsgröße (Q_F) ist ein nichtnegativer Beitrag</w:t>
      </w:r>
    </w:p>
    <w:p w:rsidR="0057454C" w:rsidRDefault="0057454C" w:rsidP="0057454C">
      <w:pPr>
        <w:pStyle w:val="StandardWeb"/>
      </w:pPr>
      <w:r>
        <w:t>[</w:t>
      </w:r>
      <w:r>
        <w:br/>
        <w:t>\boxed{</w:t>
      </w:r>
      <w:r>
        <w:br/>
        <w:t>S_Q^{-}(z_i,z_j)\geq0</w:t>
      </w:r>
      <w:r>
        <w:br/>
        <w:t>}</w:t>
      </w:r>
      <w:r>
        <w:br/>
        <w:t>\tag{3.11528}</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\boxed{S_Q^{-}(z_i,z_j)\geq0}</w:t>
      </w:r>
    </w:p>
    <w:p w:rsidR="0057454C" w:rsidRDefault="0057454C" w:rsidP="0057454C">
      <w:pPr>
        <w:pStyle w:val="StandardWeb"/>
      </w:pPr>
      <w:r>
        <w:t>der innerhalb eines spezifizierten Bilanzmodells zur Abnahme von (Q_F) beiträgt.</w:t>
      </w:r>
    </w:p>
    <w:p w:rsidR="0057454C" w:rsidRDefault="00E50336" w:rsidP="0057454C">
      <w:r>
        <w:pict>
          <v:rect id="_x0000_i3929" style="width:0;height:1.5pt" o:hralign="center" o:hrstd="t" o:hr="t" fillcolor="#a0a0a0" stroked="f"/>
        </w:pict>
      </w:r>
    </w:p>
    <w:p w:rsidR="0057454C" w:rsidRDefault="0057454C" w:rsidP="0057454C">
      <w:pPr>
        <w:pStyle w:val="berschrift1"/>
      </w:pPr>
      <w:r>
        <w:lastRenderedPageBreak/>
        <w:t>3.3.47.52 Nettoquellterm</w:t>
      </w:r>
    </w:p>
    <w:p w:rsidR="0057454C" w:rsidRDefault="0057454C" w:rsidP="0057454C">
      <w:pPr>
        <w:pStyle w:val="StandardWeb"/>
      </w:pPr>
      <w:r>
        <w:t>Aus Quelle und Senke kann ich einen vorzeichenbehafteten Nettoquellterm bilden:</w:t>
      </w:r>
    </w:p>
    <w:p w:rsidR="0057454C" w:rsidRDefault="0057454C" w:rsidP="0057454C">
      <w:pPr>
        <w:pStyle w:val="berschrift2"/>
      </w:pPr>
      <w:r>
        <w:t>[</w:t>
      </w:r>
      <w:r>
        <w:br/>
        <w:t>\Sigma_Q(z_i,z_j)</w:t>
      </w:r>
      <w:r>
        <w:br/>
        <w:t>:=</w:t>
      </w:r>
      <w:r>
        <w:br/>
        <w:t>S_Q^{+}(z_i,z_j)</w:t>
      </w:r>
    </w:p>
    <w:p w:rsidR="0057454C" w:rsidRDefault="0057454C" w:rsidP="0057454C">
      <w:pPr>
        <w:pStyle w:val="StandardWeb"/>
      </w:pPr>
      <w:r>
        <w:t>S_Q^{-}(z_i,z_j).</w:t>
      </w:r>
      <w:r>
        <w:br/>
        <w:t>\tag{3.11529}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\Sigma_Q(z_i,z_j):=S_Q^{+}(z_i,z_j)-S_Q^{-}(z_i,z_j)</w:t>
      </w:r>
    </w:p>
    <w:p w:rsidR="0057454C" w:rsidRDefault="0057454C" w:rsidP="0057454C">
      <w:pPr>
        <w:pStyle w:val="StandardWeb"/>
      </w:pPr>
      <w:r>
        <w:t>Dabei gilt</w:t>
      </w:r>
    </w:p>
    <w:p w:rsidR="0057454C" w:rsidRDefault="0057454C" w:rsidP="0057454C">
      <w:pPr>
        <w:pStyle w:val="StandardWeb"/>
      </w:pPr>
      <w:r>
        <w:t>[</w:t>
      </w:r>
      <w:r>
        <w:br/>
        <w:t>\Sigma_Q&gt;0</w:t>
      </w:r>
      <w:r>
        <w:br/>
        <w:t>\tag{3.11530}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\Sigma_Q&gt;0</w:t>
      </w:r>
    </w:p>
    <w:p w:rsidR="0057454C" w:rsidRDefault="0057454C" w:rsidP="0057454C">
      <w:pPr>
        <w:pStyle w:val="StandardWeb"/>
      </w:pPr>
      <w:r>
        <w:t>für eine Nettoerzeugung,</w:t>
      </w:r>
    </w:p>
    <w:p w:rsidR="0057454C" w:rsidRDefault="0057454C" w:rsidP="0057454C">
      <w:pPr>
        <w:pStyle w:val="StandardWeb"/>
      </w:pPr>
      <w:r>
        <w:t>[</w:t>
      </w:r>
      <w:r>
        <w:br/>
        <w:t>\Sigma_Q=0</w:t>
      </w:r>
      <w:r>
        <w:br/>
        <w:t>\tag{3.11531}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\Sigma_Q=0</w:t>
      </w:r>
    </w:p>
    <w:p w:rsidR="0057454C" w:rsidRDefault="0057454C" w:rsidP="0057454C">
      <w:pPr>
        <w:pStyle w:val="StandardWeb"/>
      </w:pPr>
      <w:r>
        <w:t>für einen ausgeglichenen Quell-Senken-Anteil und</w:t>
      </w:r>
    </w:p>
    <w:p w:rsidR="0057454C" w:rsidRDefault="0057454C" w:rsidP="0057454C">
      <w:pPr>
        <w:pStyle w:val="StandardWeb"/>
      </w:pPr>
      <w:r>
        <w:t>[</w:t>
      </w:r>
      <w:r>
        <w:br/>
        <w:t>\Sigma_Q&lt;0</w:t>
      </w:r>
      <w:r>
        <w:br/>
        <w:t>\tag{3.11532}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\Sigma_Q&lt;0</w:t>
      </w:r>
    </w:p>
    <w:p w:rsidR="0057454C" w:rsidRDefault="0057454C" w:rsidP="0057454C">
      <w:pPr>
        <w:pStyle w:val="StandardWeb"/>
      </w:pPr>
      <w:r>
        <w:lastRenderedPageBreak/>
        <w:t>für einen Nettoabbau.</w:t>
      </w:r>
    </w:p>
    <w:p w:rsidR="0057454C" w:rsidRDefault="00E50336" w:rsidP="0057454C">
      <w:r>
        <w:pict>
          <v:rect id="_x0000_i3930" style="width:0;height:1.5pt" o:hralign="center" o:hrstd="t" o:hr="t" fillcolor="#a0a0a0" stroked="f"/>
        </w:pict>
      </w:r>
    </w:p>
    <w:p w:rsidR="0057454C" w:rsidRDefault="0057454C" w:rsidP="0057454C">
      <w:pPr>
        <w:pStyle w:val="berschrift1"/>
      </w:pPr>
      <w:r>
        <w:t>3.3.47.53 Definition 3.3.243 – Funktionaler Nettoquellterm</w:t>
      </w:r>
    </w:p>
    <w:p w:rsidR="0057454C" w:rsidRDefault="0057454C" w:rsidP="0057454C">
      <w:pPr>
        <w:pStyle w:val="berschrift3"/>
      </w:pPr>
      <w:r>
        <w:t>Definition 3.3.243</w:t>
      </w:r>
    </w:p>
    <w:p w:rsidR="0057454C" w:rsidRDefault="0057454C" w:rsidP="0057454C">
      <w:pPr>
        <w:pStyle w:val="StandardWeb"/>
      </w:pPr>
      <w:r>
        <w:t xml:space="preserve">Den </w:t>
      </w:r>
      <w:r>
        <w:rPr>
          <w:rStyle w:val="Fett"/>
        </w:rPr>
        <w:t>funktionalen Nettoquellterm</w:t>
      </w:r>
      <w:r>
        <w:t xml:space="preserve"> definiere ich als</w:t>
      </w:r>
    </w:p>
    <w:p w:rsidR="0057454C" w:rsidRDefault="0057454C" w:rsidP="0057454C">
      <w:pPr>
        <w:pStyle w:val="berschrift2"/>
      </w:pPr>
      <w:r>
        <w:t>[</w:t>
      </w:r>
      <w:r>
        <w:br/>
        <w:t>\boxed{</w:t>
      </w:r>
      <w:r>
        <w:br/>
        <w:t>\Sigma_Q</w:t>
      </w:r>
      <w:r>
        <w:br/>
        <w:t>:=</w:t>
      </w:r>
      <w:r>
        <w:br/>
        <w:t>S_Q^{+}</w:t>
      </w:r>
    </w:p>
    <w:p w:rsidR="0057454C" w:rsidRDefault="0057454C" w:rsidP="0057454C">
      <w:pPr>
        <w:pStyle w:val="StandardWeb"/>
      </w:pPr>
      <w:r>
        <w:t>S_Q^{-}.</w:t>
      </w:r>
      <w:r>
        <w:br/>
        <w:t>}</w:t>
      </w:r>
      <w:r>
        <w:br/>
        <w:t>\tag{3.11533}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\boxed{\Sigma_Q:=S_Q^{+}-S_Q^{-}.}</w:t>
      </w:r>
    </w:p>
    <w:p w:rsidR="0057454C" w:rsidRDefault="00E50336" w:rsidP="0057454C">
      <w:r>
        <w:pict>
          <v:rect id="_x0000_i3931" style="width:0;height:1.5pt" o:hralign="center" o:hrstd="t" o:hr="t" fillcolor="#a0a0a0" stroked="f"/>
        </w:pict>
      </w:r>
    </w:p>
    <w:p w:rsidR="0057454C" w:rsidRDefault="0057454C" w:rsidP="0057454C">
      <w:pPr>
        <w:pStyle w:val="berschrift1"/>
      </w:pPr>
      <w:r>
        <w:t>3.3.47.54 Funktionaler Fluss als gerichteter Übertragungsbeitrag</w:t>
      </w:r>
    </w:p>
    <w:p w:rsidR="0057454C" w:rsidRDefault="0057454C" w:rsidP="0057454C">
      <w:pPr>
        <w:pStyle w:val="StandardWeb"/>
      </w:pPr>
      <w:r>
        <w:t>Neben Erzeugung und Abbau kann eine Zustandsgröße zwischen funktionalen Teilsystemen oder Zustandskomponenten übertragen werden.</w:t>
      </w:r>
    </w:p>
    <w:p w:rsidR="0057454C" w:rsidRDefault="0057454C" w:rsidP="0057454C">
      <w:pPr>
        <w:pStyle w:val="StandardWeb"/>
      </w:pPr>
      <w:r>
        <w:t>Ich verwende dafür einen gerichteten Fluss</w:t>
      </w:r>
    </w:p>
    <w:p w:rsidR="0057454C" w:rsidRDefault="0057454C" w:rsidP="0057454C">
      <w:pPr>
        <w:pStyle w:val="StandardWeb"/>
      </w:pPr>
      <w:r>
        <w:t>[</w:t>
      </w:r>
      <w:r>
        <w:br/>
        <w:t>J_Q:</w:t>
      </w:r>
      <w:r>
        <w:br/>
        <w:t>\mathcal T_F</w:t>
      </w:r>
      <w:r>
        <w:br/>
        <w:t>\rightarrow</w:t>
      </w:r>
      <w:r>
        <w:br/>
        <w:t>\mathbb R.</w:t>
      </w:r>
      <w:r>
        <w:br/>
        <w:t>\tag{3.11534}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J_Q:\mathcal T_F\rightarrow\mathbb R</w:t>
      </w:r>
    </w:p>
    <w:p w:rsidR="0057454C" w:rsidRDefault="0057454C" w:rsidP="0057454C">
      <w:pPr>
        <w:pStyle w:val="StandardWeb"/>
      </w:pPr>
      <w:r>
        <w:lastRenderedPageBreak/>
        <w:t>Das Vorzeichen von (J_Q(z_i,z_j)) beschreibt dabei die gewählte Orientierung des Flusses.</w:t>
      </w:r>
    </w:p>
    <w:p w:rsidR="0057454C" w:rsidRDefault="00E50336" w:rsidP="0057454C">
      <w:r>
        <w:pict>
          <v:rect id="_x0000_i3932" style="width:0;height:1.5pt" o:hralign="center" o:hrstd="t" o:hr="t" fillcolor="#a0a0a0" stroked="f"/>
        </w:pict>
      </w:r>
    </w:p>
    <w:p w:rsidR="0057454C" w:rsidRDefault="0057454C" w:rsidP="0057454C">
      <w:pPr>
        <w:pStyle w:val="berschrift1"/>
      </w:pPr>
      <w:r>
        <w:t>3.3.47.55 Definition 3.3.244 – Gerichteter funktionaler Fluss</w:t>
      </w:r>
    </w:p>
    <w:p w:rsidR="0057454C" w:rsidRDefault="0057454C" w:rsidP="0057454C">
      <w:pPr>
        <w:pStyle w:val="berschrift3"/>
      </w:pPr>
      <w:r>
        <w:t>Definition 3.3.244</w:t>
      </w:r>
    </w:p>
    <w:p w:rsidR="0057454C" w:rsidRDefault="0057454C" w:rsidP="0057454C">
      <w:pPr>
        <w:pStyle w:val="StandardWeb"/>
      </w:pPr>
      <w:r>
        <w:t xml:space="preserve">Ein </w:t>
      </w:r>
      <w:r>
        <w:rPr>
          <w:rStyle w:val="Fett"/>
        </w:rPr>
        <w:t>gerichteter funktionaler Fluss</w:t>
      </w:r>
      <w:r>
        <w:t xml:space="preserve"> einer bilanzierten Größe (Q_F) ist eine Abbildung</w:t>
      </w:r>
    </w:p>
    <w:p w:rsidR="0057454C" w:rsidRDefault="0057454C" w:rsidP="0057454C">
      <w:pPr>
        <w:pStyle w:val="StandardWeb"/>
      </w:pPr>
      <w:r>
        <w:t>[</w:t>
      </w:r>
      <w:r>
        <w:br/>
        <w:t>\boxed{</w:t>
      </w:r>
      <w:r>
        <w:br/>
        <w:t>J_Q:</w:t>
      </w:r>
      <w:r>
        <w:br/>
        <w:t>\mathcal T_F</w:t>
      </w:r>
      <w:r>
        <w:br/>
        <w:t>\rightarrow</w:t>
      </w:r>
      <w:r>
        <w:br/>
        <w:t>\mathbb R,</w:t>
      </w:r>
      <w:r>
        <w:br/>
        <w:t>}</w:t>
      </w:r>
      <w:r>
        <w:br/>
        <w:t>\tag{3.11535}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\boxed{J_Q:\mathcal T_F\rightarrow\mathbb R,}</w:t>
      </w:r>
    </w:p>
    <w:p w:rsidR="0057454C" w:rsidRDefault="0057454C" w:rsidP="0057454C">
      <w:pPr>
        <w:pStyle w:val="StandardWeb"/>
      </w:pPr>
      <w:r>
        <w:t>deren Wert den bezüglich einer festgelegten Orientierung übertragenen funktionalen Beitrag entlang eines zulässigen Übergangs beschreibt.</w:t>
      </w:r>
    </w:p>
    <w:p w:rsidR="0057454C" w:rsidRDefault="00E50336" w:rsidP="0057454C">
      <w:r>
        <w:pict>
          <v:rect id="_x0000_i3933" style="width:0;height:1.5pt" o:hralign="center" o:hrstd="t" o:hr="t" fillcolor="#a0a0a0" stroked="f"/>
        </w:pict>
      </w:r>
    </w:p>
    <w:p w:rsidR="0057454C" w:rsidRDefault="0057454C" w:rsidP="0057454C">
      <w:pPr>
        <w:pStyle w:val="berschrift1"/>
      </w:pPr>
      <w:r>
        <w:t>3.3.47.56 Orientierungsumkehr</w:t>
      </w:r>
    </w:p>
    <w:p w:rsidR="0057454C" w:rsidRDefault="0057454C" w:rsidP="0057454C">
      <w:pPr>
        <w:pStyle w:val="StandardWeb"/>
      </w:pPr>
      <w:r>
        <w:t>Soll derselbe Übertragungsvorgang bei Umkehr der Orientierung lediglich sein Vorzeichen ändern, muss gelten</w:t>
      </w:r>
    </w:p>
    <w:p w:rsidR="0057454C" w:rsidRDefault="0057454C" w:rsidP="0057454C">
      <w:pPr>
        <w:pStyle w:val="berschrift1"/>
      </w:pPr>
      <w:r>
        <w:t>[</w:t>
      </w:r>
      <w:r>
        <w:br/>
        <w:t>J_Q(z_j,z_i)</w:t>
      </w:r>
    </w:p>
    <w:p w:rsidR="0057454C" w:rsidRDefault="0057454C" w:rsidP="0057454C">
      <w:pPr>
        <w:pStyle w:val="StandardWeb"/>
      </w:pPr>
      <w:r>
        <w:t>-J_Q(z_i,z_j).</w:t>
      </w:r>
      <w:r>
        <w:br/>
        <w:t>\tag{3.11536}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J_Q(z_j,z_i)=-J_Q(z_i,z_j)</w:t>
      </w:r>
    </w:p>
    <w:p w:rsidR="0057454C" w:rsidRDefault="0057454C" w:rsidP="0057454C">
      <w:pPr>
        <w:pStyle w:val="StandardWeb"/>
      </w:pPr>
      <w:r>
        <w:t>Diese Eigenschaft ist jedoch nicht bereits aus der bloßen Definition eines gerichteten Flusses garantiert.</w:t>
      </w:r>
    </w:p>
    <w:p w:rsidR="0057454C" w:rsidRDefault="00E50336" w:rsidP="0057454C">
      <w:r>
        <w:lastRenderedPageBreak/>
        <w:pict>
          <v:rect id="_x0000_i3934" style="width:0;height:1.5pt" o:hralign="center" o:hrstd="t" o:hr="t" fillcolor="#a0a0a0" stroked="f"/>
        </w:pict>
      </w:r>
    </w:p>
    <w:p w:rsidR="0057454C" w:rsidRDefault="0057454C" w:rsidP="0057454C">
      <w:pPr>
        <w:pStyle w:val="berschrift1"/>
      </w:pPr>
      <w:r>
        <w:t>3.3.47.57 Definition 3.3.245 – Antisymmetrischer funktionaler Fluss</w:t>
      </w:r>
    </w:p>
    <w:p w:rsidR="0057454C" w:rsidRDefault="0057454C" w:rsidP="0057454C">
      <w:pPr>
        <w:pStyle w:val="berschrift3"/>
      </w:pPr>
      <w:r>
        <w:t>Definition 3.3.245</w:t>
      </w:r>
    </w:p>
    <w:p w:rsidR="0057454C" w:rsidRDefault="0057454C" w:rsidP="0057454C">
      <w:pPr>
        <w:pStyle w:val="StandardWeb"/>
      </w:pPr>
      <w:r>
        <w:t xml:space="preserve">Ein gerichteter funktionaler Fluss heißt </w:t>
      </w:r>
      <w:r>
        <w:rPr>
          <w:rStyle w:val="Fett"/>
        </w:rPr>
        <w:t>antisymmetrisch</w:t>
      </w:r>
      <w:r>
        <w:t>, wenn für jedes Paar beidseitig betrachteter Zustände gilt</w:t>
      </w:r>
    </w:p>
    <w:p w:rsidR="0057454C" w:rsidRDefault="0057454C" w:rsidP="0057454C">
      <w:pPr>
        <w:pStyle w:val="berschrift1"/>
      </w:pPr>
      <w:r>
        <w:t>[</w:t>
      </w:r>
      <w:r>
        <w:br/>
        <w:t>\boxed{</w:t>
      </w:r>
      <w:r>
        <w:br/>
        <w:t>J_Q(z_j,z_i)</w:t>
      </w:r>
    </w:p>
    <w:p w:rsidR="0057454C" w:rsidRDefault="0057454C" w:rsidP="0057454C">
      <w:pPr>
        <w:pStyle w:val="StandardWeb"/>
      </w:pPr>
      <w:r>
        <w:t>-J_Q(z_i,z_j).</w:t>
      </w:r>
      <w:r>
        <w:br/>
        <w:t>}</w:t>
      </w:r>
      <w:r>
        <w:br/>
        <w:t>\tag{3.11537}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\boxed{J_Q(z_j,z_i)=-J_Q(z_i,z_j).}</w:t>
      </w:r>
    </w:p>
    <w:p w:rsidR="0057454C" w:rsidRDefault="00E50336" w:rsidP="0057454C">
      <w:r>
        <w:pict>
          <v:rect id="_x0000_i3935" style="width:0;height:1.5pt" o:hralign="center" o:hrstd="t" o:hr="t" fillcolor="#a0a0a0" stroked="f"/>
        </w:pict>
      </w:r>
    </w:p>
    <w:p w:rsidR="0057454C" w:rsidRDefault="0057454C" w:rsidP="0057454C">
      <w:pPr>
        <w:pStyle w:val="berschrift1"/>
      </w:pPr>
      <w:r>
        <w:t>3.3.47.58 Interner und externer Fluss</w:t>
      </w:r>
    </w:p>
    <w:p w:rsidR="0057454C" w:rsidRDefault="0057454C" w:rsidP="0057454C">
      <w:pPr>
        <w:pStyle w:val="StandardWeb"/>
      </w:pPr>
      <w:r>
        <w:t>Für eine abgegrenzte funktionale Teilstruktur (\mathcal S) muss ich außerdem zwischen Flüssen unterscheiden, deren Anfangs- und Endzustände beide innerhalb der Struktur liegen, und solchen, welche ihre Grenze überschreiten.</w:t>
      </w:r>
    </w:p>
    <w:p w:rsidR="0057454C" w:rsidRDefault="0057454C" w:rsidP="0057454C">
      <w:pPr>
        <w:pStyle w:val="StandardWeb"/>
      </w:pPr>
      <w:r>
        <w:t>Ich schreibe daher</w:t>
      </w:r>
    </w:p>
    <w:p w:rsidR="0057454C" w:rsidRDefault="0057454C" w:rsidP="0057454C">
      <w:pPr>
        <w:pStyle w:val="StandardWeb"/>
      </w:pPr>
      <w:r>
        <w:t>[</w:t>
      </w:r>
      <w:r>
        <w:br/>
        <w:t>J_Q^{\mathrm{int}}</w:t>
      </w:r>
      <w:r>
        <w:br/>
        <w:t>\tag{3.11538}</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J_Q^{\mathrm{int}}</w:t>
      </w:r>
    </w:p>
    <w:p w:rsidR="0057454C" w:rsidRDefault="0057454C" w:rsidP="0057454C">
      <w:pPr>
        <w:pStyle w:val="StandardWeb"/>
      </w:pPr>
      <w:r>
        <w:t>für interne und</w:t>
      </w:r>
    </w:p>
    <w:p w:rsidR="0057454C" w:rsidRDefault="0057454C" w:rsidP="0057454C">
      <w:pPr>
        <w:pStyle w:val="StandardWeb"/>
      </w:pPr>
      <w:r>
        <w:t>[</w:t>
      </w:r>
      <w:r>
        <w:br/>
        <w:t>J_Q^{\mathrm{ext}}</w:t>
      </w:r>
      <w:r>
        <w:br/>
        <w:t>\tag{3.11539}</w:t>
      </w:r>
      <w:r>
        <w:br/>
        <w:t>]</w:t>
      </w:r>
    </w:p>
    <w:p w:rsidR="0057454C" w:rsidRDefault="0057454C" w:rsidP="0057454C">
      <w:pPr>
        <w:pStyle w:val="StandardWeb"/>
      </w:pPr>
      <w:r>
        <w:rPr>
          <w:rStyle w:val="Fett"/>
        </w:rPr>
        <w:lastRenderedPageBreak/>
        <w:t>Word-LaTeX</w:t>
      </w:r>
    </w:p>
    <w:p w:rsidR="0057454C" w:rsidRDefault="0057454C" w:rsidP="0057454C">
      <w:pPr>
        <w:pStyle w:val="HTMLVorformatiert"/>
        <w:rPr>
          <w:rStyle w:val="HTMLCode"/>
        </w:rPr>
      </w:pPr>
      <w:r>
        <w:rPr>
          <w:rStyle w:val="HTMLCode"/>
        </w:rPr>
        <w:t>J_Q^{\mathrm{ext}}</w:t>
      </w:r>
    </w:p>
    <w:p w:rsidR="0057454C" w:rsidRDefault="0057454C" w:rsidP="0057454C">
      <w:pPr>
        <w:pStyle w:val="StandardWeb"/>
      </w:pPr>
      <w:r>
        <w:t>für grenzüberschreitende funktionale Flüsse.</w:t>
      </w:r>
    </w:p>
    <w:p w:rsidR="0057454C" w:rsidRDefault="00E50336" w:rsidP="0057454C">
      <w:r>
        <w:pict>
          <v:rect id="_x0000_i3936" style="width:0;height:1.5pt" o:hralign="center" o:hrstd="t" o:hr="t" fillcolor="#a0a0a0" stroked="f"/>
        </w:pict>
      </w:r>
    </w:p>
    <w:p w:rsidR="0057454C" w:rsidRDefault="0057454C" w:rsidP="0057454C">
      <w:pPr>
        <w:pStyle w:val="berschrift1"/>
      </w:pPr>
      <w:r>
        <w:t>3.3.47.59 Definition 3.3.246 – Interner funktionaler Fluss</w:t>
      </w:r>
    </w:p>
    <w:p w:rsidR="0057454C" w:rsidRDefault="0057454C" w:rsidP="0057454C">
      <w:pPr>
        <w:pStyle w:val="berschrift3"/>
      </w:pPr>
      <w:r>
        <w:t>Definition 3.3.246</w:t>
      </w:r>
    </w:p>
    <w:p w:rsidR="0057454C" w:rsidRDefault="0057454C" w:rsidP="0057454C">
      <w:pPr>
        <w:pStyle w:val="StandardWeb"/>
      </w:pPr>
      <w:r>
        <w:t xml:space="preserve">Ein funktionaler Fluss heißt bezüglich einer betrachteten Teilstruktur (\mathcal S) </w:t>
      </w:r>
      <w:r>
        <w:rPr>
          <w:rStyle w:val="Fett"/>
        </w:rPr>
        <w:t>intern</w:t>
      </w:r>
      <w:r>
        <w:t>, wenn sowohl sein Ausgangs- als auch sein Zielzustand zu (\mathcal S) gehören:</w:t>
      </w:r>
    </w:p>
    <w:p w:rsidR="0057454C" w:rsidRDefault="0057454C" w:rsidP="0057454C">
      <w:pPr>
        <w:pStyle w:val="StandardWeb"/>
      </w:pPr>
      <w:r>
        <w:t>[</w:t>
      </w:r>
      <w:r>
        <w:br/>
        <w:t>\boxed{</w:t>
      </w:r>
      <w:r>
        <w:br/>
        <w:t>z_i,z_j\in\mathcal S.</w:t>
      </w:r>
      <w:r>
        <w:br/>
        <w:t>}</w:t>
      </w:r>
      <w:r>
        <w:br/>
        <w:t>\tag{3.11540}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\boxed{z_i,z_j\in\mathcal S.}</w:t>
      </w:r>
    </w:p>
    <w:p w:rsidR="0057454C" w:rsidRDefault="00E50336" w:rsidP="0057454C">
      <w:r>
        <w:pict>
          <v:rect id="_x0000_i3937" style="width:0;height:1.5pt" o:hralign="center" o:hrstd="t" o:hr="t" fillcolor="#a0a0a0" stroked="f"/>
        </w:pict>
      </w:r>
    </w:p>
    <w:p w:rsidR="0057454C" w:rsidRDefault="0057454C" w:rsidP="0057454C">
      <w:pPr>
        <w:pStyle w:val="berschrift1"/>
      </w:pPr>
      <w:r>
        <w:t>3.3.47.60 Definition 3.3.247 – Externer funktionaler Fluss</w:t>
      </w:r>
    </w:p>
    <w:p w:rsidR="0057454C" w:rsidRDefault="0057454C" w:rsidP="0057454C">
      <w:pPr>
        <w:pStyle w:val="berschrift3"/>
      </w:pPr>
      <w:r>
        <w:t>Definition 3.3.247</w:t>
      </w:r>
    </w:p>
    <w:p w:rsidR="0057454C" w:rsidRDefault="0057454C" w:rsidP="0057454C">
      <w:pPr>
        <w:pStyle w:val="StandardWeb"/>
      </w:pPr>
      <w:r>
        <w:t xml:space="preserve">Ein funktionaler Fluss heißt bezüglich (\mathcal S) </w:t>
      </w:r>
      <w:r>
        <w:rPr>
          <w:rStyle w:val="Fett"/>
        </w:rPr>
        <w:t>extern</w:t>
      </w:r>
      <w:r>
        <w:t>, wenn er die Grenze der betrachteten Teilstruktur überschreitet:</w:t>
      </w:r>
    </w:p>
    <w:p w:rsidR="0057454C" w:rsidRDefault="0057454C" w:rsidP="0057454C">
      <w:pPr>
        <w:pStyle w:val="StandardWeb"/>
      </w:pPr>
      <w:r>
        <w:t>[</w:t>
      </w:r>
      <w:r>
        <w:br/>
        <w:t>\boxed{</w:t>
      </w:r>
      <w:r>
        <w:br/>
        <w:t>\left[</w:t>
      </w:r>
      <w:r>
        <w:br/>
        <w:t>z_i\in\mathcal S</w:t>
      </w:r>
      <w:r>
        <w:br/>
        <w:t>\land</w:t>
      </w:r>
      <w:r>
        <w:br/>
        <w:t>z_j\notin\mathcal S</w:t>
      </w:r>
      <w:r>
        <w:br/>
        <w:t>\right]</w:t>
      </w:r>
      <w:r>
        <w:br/>
        <w:t>\lor</w:t>
      </w:r>
      <w:r>
        <w:br/>
        <w:t>\left[</w:t>
      </w:r>
      <w:r>
        <w:br/>
        <w:t>z_i\notin\mathcal S</w:t>
      </w:r>
      <w:r>
        <w:br/>
        <w:t>\land</w:t>
      </w:r>
      <w:r>
        <w:br/>
        <w:t>z_j\in\mathcal S</w:t>
      </w:r>
      <w:r>
        <w:br/>
        <w:t>\right].</w:t>
      </w:r>
      <w:r>
        <w:br/>
      </w:r>
      <w:r>
        <w:lastRenderedPageBreak/>
        <w:t>}</w:t>
      </w:r>
      <w:r>
        <w:br/>
        <w:t>\tag{3.11541}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\boxed{\left[z_i\in\mathcal S\land z_j\notin\mathcal S\right]\lor\left[z_i\notin\mathcal S\land z_j\in\mathcal S\right].}</w:t>
      </w:r>
    </w:p>
    <w:p w:rsidR="0057454C" w:rsidRDefault="00E50336" w:rsidP="0057454C">
      <w:r>
        <w:pict>
          <v:rect id="_x0000_i3938" style="width:0;height:1.5pt" o:hralign="center" o:hrstd="t" o:hr="t" fillcolor="#a0a0a0" stroked="f"/>
        </w:pict>
      </w:r>
    </w:p>
    <w:p w:rsidR="0057454C" w:rsidRDefault="0057454C" w:rsidP="0057454C">
      <w:pPr>
        <w:pStyle w:val="berschrift1"/>
      </w:pPr>
      <w:r>
        <w:t>3.3.47.61 Eingangs- und Ausgangsfluss</w:t>
      </w:r>
    </w:p>
    <w:p w:rsidR="0057454C" w:rsidRDefault="0057454C" w:rsidP="0057454C">
      <w:pPr>
        <w:pStyle w:val="StandardWeb"/>
      </w:pPr>
      <w:r>
        <w:t>Für eine abgegrenzte Teilstruktur kann ich externe Flüsse weiter in eingehende und ausgehende Beiträge zerlegen.</w:t>
      </w:r>
    </w:p>
    <w:p w:rsidR="0057454C" w:rsidRDefault="0057454C" w:rsidP="0057454C">
      <w:pPr>
        <w:pStyle w:val="StandardWeb"/>
      </w:pPr>
      <w:r>
        <w:t>Ich definiere</w:t>
      </w:r>
    </w:p>
    <w:p w:rsidR="0057454C" w:rsidRDefault="0057454C" w:rsidP="0057454C">
      <w:pPr>
        <w:pStyle w:val="StandardWeb"/>
      </w:pPr>
      <w:r>
        <w:t>[</w:t>
      </w:r>
      <w:r>
        <w:br/>
        <w:t>J_Q^{\mathrm{in}}\geq0</w:t>
      </w:r>
      <w:r>
        <w:br/>
        <w:t>\tag{3.11542}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J_Q^{\mathrm{in}}\geq0</w:t>
      </w:r>
    </w:p>
    <w:p w:rsidR="0057454C" w:rsidRDefault="0057454C" w:rsidP="0057454C">
      <w:pPr>
        <w:pStyle w:val="StandardWeb"/>
      </w:pPr>
      <w:r>
        <w:t>als nichtnegativen Zufluss und</w:t>
      </w:r>
    </w:p>
    <w:p w:rsidR="0057454C" w:rsidRDefault="0057454C" w:rsidP="0057454C">
      <w:pPr>
        <w:pStyle w:val="StandardWeb"/>
      </w:pPr>
      <w:r>
        <w:t>[</w:t>
      </w:r>
      <w:r>
        <w:br/>
        <w:t>J_Q^{\mathrm{out}}\geq0</w:t>
      </w:r>
      <w:r>
        <w:br/>
        <w:t>\tag{3.11543}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J_Q^{\mathrm{out}}\geq0</w:t>
      </w:r>
    </w:p>
    <w:p w:rsidR="0057454C" w:rsidRDefault="0057454C" w:rsidP="0057454C">
      <w:pPr>
        <w:pStyle w:val="StandardWeb"/>
      </w:pPr>
      <w:r>
        <w:t>als nichtnegativen Abfluss.</w:t>
      </w:r>
    </w:p>
    <w:p w:rsidR="0057454C" w:rsidRDefault="00E50336" w:rsidP="0057454C">
      <w:r>
        <w:pict>
          <v:rect id="_x0000_i3939" style="width:0;height:1.5pt" o:hralign="center" o:hrstd="t" o:hr="t" fillcolor="#a0a0a0" stroked="f"/>
        </w:pict>
      </w:r>
    </w:p>
    <w:p w:rsidR="0057454C" w:rsidRDefault="0057454C" w:rsidP="0057454C">
      <w:pPr>
        <w:pStyle w:val="berschrift1"/>
      </w:pPr>
      <w:r>
        <w:t>3.3.47.62 Definition 3.3.248 – Funktionaler Zufluss</w:t>
      </w:r>
    </w:p>
    <w:p w:rsidR="0057454C" w:rsidRDefault="0057454C" w:rsidP="0057454C">
      <w:pPr>
        <w:pStyle w:val="berschrift3"/>
      </w:pPr>
      <w:r>
        <w:t>Definition 3.3.248</w:t>
      </w:r>
    </w:p>
    <w:p w:rsidR="0057454C" w:rsidRDefault="0057454C" w:rsidP="0057454C">
      <w:pPr>
        <w:pStyle w:val="StandardWeb"/>
      </w:pPr>
      <w:r>
        <w:t xml:space="preserve">Der </w:t>
      </w:r>
      <w:r>
        <w:rPr>
          <w:rStyle w:val="Fett"/>
        </w:rPr>
        <w:t>funktionale Zufluss</w:t>
      </w:r>
    </w:p>
    <w:p w:rsidR="0057454C" w:rsidRDefault="0057454C" w:rsidP="0057454C">
      <w:pPr>
        <w:pStyle w:val="StandardWeb"/>
      </w:pPr>
      <w:r>
        <w:t>[</w:t>
      </w:r>
      <w:r>
        <w:br/>
        <w:t>\boxed{</w:t>
      </w:r>
      <w:r>
        <w:br/>
        <w:t>J_Q^{\mathrm{in}}(\mathcal S)\geq0</w:t>
      </w:r>
      <w:r>
        <w:br/>
        <w:t>}</w:t>
      </w:r>
      <w:r>
        <w:br/>
      </w:r>
      <w:r>
        <w:lastRenderedPageBreak/>
        <w:t>\tag{3.11544}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\boxed{J_Q^{\mathrm{in}}(\mathcal S)\geq0}</w:t>
      </w:r>
    </w:p>
    <w:p w:rsidR="0057454C" w:rsidRDefault="0057454C" w:rsidP="0057454C">
      <w:pPr>
        <w:pStyle w:val="StandardWeb"/>
      </w:pPr>
      <w:r>
        <w:t>ist die Summe oder Aggregation aller in die betrachtete Teilstruktur (\mathcal S) gerichteten externen Flussbeiträge.</w:t>
      </w:r>
    </w:p>
    <w:p w:rsidR="0057454C" w:rsidRDefault="00E50336" w:rsidP="0057454C">
      <w:r>
        <w:pict>
          <v:rect id="_x0000_i3940" style="width:0;height:1.5pt" o:hralign="center" o:hrstd="t" o:hr="t" fillcolor="#a0a0a0" stroked="f"/>
        </w:pict>
      </w:r>
    </w:p>
    <w:p w:rsidR="0057454C" w:rsidRDefault="0057454C" w:rsidP="0057454C">
      <w:pPr>
        <w:pStyle w:val="berschrift1"/>
      </w:pPr>
      <w:r>
        <w:t>3.3.47.63 Definition 3.3.249 – Funktionaler Abfluss</w:t>
      </w:r>
    </w:p>
    <w:p w:rsidR="0057454C" w:rsidRDefault="0057454C" w:rsidP="0057454C">
      <w:pPr>
        <w:pStyle w:val="berschrift3"/>
      </w:pPr>
      <w:r>
        <w:t>Definition 3.3.249</w:t>
      </w:r>
    </w:p>
    <w:p w:rsidR="0057454C" w:rsidRDefault="0057454C" w:rsidP="0057454C">
      <w:pPr>
        <w:pStyle w:val="StandardWeb"/>
      </w:pPr>
      <w:r>
        <w:t xml:space="preserve">Der </w:t>
      </w:r>
      <w:r>
        <w:rPr>
          <w:rStyle w:val="Fett"/>
        </w:rPr>
        <w:t>funktionale Abfluss</w:t>
      </w:r>
    </w:p>
    <w:p w:rsidR="0057454C" w:rsidRDefault="0057454C" w:rsidP="0057454C">
      <w:pPr>
        <w:pStyle w:val="StandardWeb"/>
      </w:pPr>
      <w:r>
        <w:t>[</w:t>
      </w:r>
      <w:r>
        <w:br/>
        <w:t>\boxed{</w:t>
      </w:r>
      <w:r>
        <w:br/>
        <w:t>J_Q^{\mathrm{out}}(\mathcal S)\geq0</w:t>
      </w:r>
      <w:r>
        <w:br/>
        <w:t>}</w:t>
      </w:r>
      <w:r>
        <w:br/>
        <w:t>\tag{3.11545}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\boxed{J_Q^{\mathrm{out}}(\mathcal S)\geq0}</w:t>
      </w:r>
    </w:p>
    <w:p w:rsidR="0057454C" w:rsidRDefault="0057454C" w:rsidP="0057454C">
      <w:pPr>
        <w:pStyle w:val="StandardWeb"/>
      </w:pPr>
      <w:r>
        <w:t>ist die Summe oder Aggregation aller aus der betrachteten Teilstruktur (\mathcal S) gerichteten externen Flussbeiträge.</w:t>
      </w:r>
    </w:p>
    <w:p w:rsidR="0057454C" w:rsidRDefault="00E50336" w:rsidP="0057454C">
      <w:r>
        <w:pict>
          <v:rect id="_x0000_i3941" style="width:0;height:1.5pt" o:hralign="center" o:hrstd="t" o:hr="t" fillcolor="#a0a0a0" stroked="f"/>
        </w:pict>
      </w:r>
    </w:p>
    <w:p w:rsidR="0057454C" w:rsidRDefault="0057454C" w:rsidP="0057454C">
      <w:pPr>
        <w:pStyle w:val="berschrift1"/>
      </w:pPr>
      <w:r>
        <w:t>3.3.47.64 Nettofluss</w:t>
      </w:r>
    </w:p>
    <w:p w:rsidR="0057454C" w:rsidRDefault="0057454C" w:rsidP="0057454C">
      <w:pPr>
        <w:pStyle w:val="StandardWeb"/>
      </w:pPr>
      <w:r>
        <w:t>Der über die Grenze einer Teilstruktur wirksame Nettofluss ergibt sich als</w:t>
      </w:r>
    </w:p>
    <w:p w:rsidR="0057454C" w:rsidRDefault="0057454C" w:rsidP="0057454C">
      <w:pPr>
        <w:pStyle w:val="berschrift2"/>
      </w:pPr>
      <w:r>
        <w:t>[</w:t>
      </w:r>
      <w:r>
        <w:br/>
        <w:t>J_Q^{\mathrm{net}}</w:t>
      </w:r>
      <w:r>
        <w:br/>
        <w:t>:=</w:t>
      </w:r>
      <w:r>
        <w:br/>
        <w:t>J_Q^{\mathrm{in}}</w:t>
      </w:r>
    </w:p>
    <w:p w:rsidR="0057454C" w:rsidRDefault="0057454C" w:rsidP="0057454C">
      <w:pPr>
        <w:pStyle w:val="StandardWeb"/>
      </w:pPr>
      <w:r>
        <w:t>J_Q^{\mathrm{out}}.</w:t>
      </w:r>
      <w:r>
        <w:br/>
        <w:t>\tag{3.11546}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lastRenderedPageBreak/>
        <w:t>J_Q^{\mathrm{net}}:=J_Q^{\mathrm{in}}-J_Q^{\mathrm{out}}</w:t>
      </w:r>
    </w:p>
    <w:p w:rsidR="0057454C" w:rsidRDefault="00E50336" w:rsidP="0057454C">
      <w:r>
        <w:pict>
          <v:rect id="_x0000_i3942" style="width:0;height:1.5pt" o:hralign="center" o:hrstd="t" o:hr="t" fillcolor="#a0a0a0" stroked="f"/>
        </w:pict>
      </w:r>
    </w:p>
    <w:p w:rsidR="0057454C" w:rsidRDefault="0057454C" w:rsidP="0057454C">
      <w:pPr>
        <w:pStyle w:val="berschrift1"/>
      </w:pPr>
      <w:r>
        <w:t>3.3.47.65 Definition 3.3.250 – Funktionaler Nettofluss</w:t>
      </w:r>
    </w:p>
    <w:p w:rsidR="0057454C" w:rsidRDefault="0057454C" w:rsidP="0057454C">
      <w:pPr>
        <w:pStyle w:val="berschrift3"/>
      </w:pPr>
      <w:r>
        <w:t>Definition 3.3.250</w:t>
      </w:r>
    </w:p>
    <w:p w:rsidR="0057454C" w:rsidRDefault="0057454C" w:rsidP="0057454C">
      <w:pPr>
        <w:pStyle w:val="StandardWeb"/>
      </w:pPr>
      <w:r>
        <w:t xml:space="preserve">Den </w:t>
      </w:r>
      <w:r>
        <w:rPr>
          <w:rStyle w:val="Fett"/>
        </w:rPr>
        <w:t>funktionalen Nettofluss</w:t>
      </w:r>
      <w:r>
        <w:t xml:space="preserve"> einer bilanzierten Größe bezüglich einer Teilstruktur (\mathcal S) definiere ich als</w:t>
      </w:r>
    </w:p>
    <w:p w:rsidR="0057454C" w:rsidRDefault="0057454C" w:rsidP="0057454C">
      <w:pPr>
        <w:pStyle w:val="berschrift2"/>
      </w:pPr>
      <w:r>
        <w:t>[</w:t>
      </w:r>
      <w:r>
        <w:br/>
        <w:t>\boxed{</w:t>
      </w:r>
      <w:r>
        <w:br/>
        <w:t>J_Q^{\mathrm{net}}(\mathcal S)</w:t>
      </w:r>
      <w:r>
        <w:br/>
        <w:t>:=</w:t>
      </w:r>
      <w:r>
        <w:br/>
        <w:t>J_Q^{\mathrm{in}}(\mathcal S)</w:t>
      </w:r>
    </w:p>
    <w:p w:rsidR="0057454C" w:rsidRDefault="0057454C" w:rsidP="0057454C">
      <w:pPr>
        <w:pStyle w:val="StandardWeb"/>
      </w:pPr>
      <w:r>
        <w:t>J_Q^{\mathrm{out}}(\mathcal S).</w:t>
      </w:r>
      <w:r>
        <w:br/>
        <w:t>}</w:t>
      </w:r>
      <w:r>
        <w:br/>
        <w:t>\tag{3.11547}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\boxed{J_Q^{\mathrm{net}}(\mathcal S):=J_Q^{\mathrm{in}}(\mathcal S)-J_Q^{\mathrm{out}}(\mathcal S).}</w:t>
      </w:r>
    </w:p>
    <w:p w:rsidR="0057454C" w:rsidRDefault="00E50336" w:rsidP="0057454C">
      <w:r>
        <w:pict>
          <v:rect id="_x0000_i3943" style="width:0;height:1.5pt" o:hralign="center" o:hrstd="t" o:hr="t" fillcolor="#a0a0a0" stroked="f"/>
        </w:pict>
      </w:r>
    </w:p>
    <w:p w:rsidR="0057454C" w:rsidRDefault="0057454C" w:rsidP="0057454C">
      <w:pPr>
        <w:pStyle w:val="berschrift1"/>
      </w:pPr>
      <w:r>
        <w:t>3.3.47.66 Allgemeine diskrete Bilanzgleichung</w:t>
      </w:r>
    </w:p>
    <w:p w:rsidR="0057454C" w:rsidRDefault="0057454C" w:rsidP="0057454C">
      <w:pPr>
        <w:pStyle w:val="StandardWeb"/>
      </w:pPr>
      <w:r>
        <w:t>Mit Nettoquellterm und Nettofluss kann ich eine erste allgemeine Bilanzform formulieren:</w:t>
      </w:r>
    </w:p>
    <w:p w:rsidR="0057454C" w:rsidRDefault="0057454C" w:rsidP="0057454C">
      <w:pPr>
        <w:pStyle w:val="berschrift1"/>
      </w:pPr>
      <w:r>
        <w:t>[</w:t>
      </w:r>
      <w:r>
        <w:br/>
        <w:t>\Delta_TQ_F</w:t>
      </w:r>
    </w:p>
    <w:p w:rsidR="0057454C" w:rsidRDefault="0057454C" w:rsidP="0057454C">
      <w:pPr>
        <w:pStyle w:val="StandardWeb"/>
      </w:pPr>
      <w:r>
        <w:t>\Sigma_Q</w:t>
      </w:r>
      <w:r>
        <w:br/>
        <w:t>+</w:t>
      </w:r>
      <w:r>
        <w:br/>
        <w:t>J_Q^{\mathrm{net}}.</w:t>
      </w:r>
      <w:r>
        <w:br/>
        <w:t>\tag{3.11548}</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\Delta_TQ_F=\Sigma_Q+J_Q^{\mathrm{net}}</w:t>
      </w:r>
    </w:p>
    <w:p w:rsidR="0057454C" w:rsidRDefault="0057454C" w:rsidP="0057454C">
      <w:pPr>
        <w:pStyle w:val="StandardWeb"/>
      </w:pPr>
      <w:r>
        <w:t xml:space="preserve">Diese Beziehung ist </w:t>
      </w:r>
      <w:r>
        <w:rPr>
          <w:rStyle w:val="Fett"/>
        </w:rPr>
        <w:t>keine mathematisch zwangsläufige Identität</w:t>
      </w:r>
      <w:r>
        <w:t xml:space="preserve">, solange (\Sigma_Q) und (J_Q^{\mathrm{net}}) nicht gerade durch diese Gleichung definiert werden. Sie ist vielmehr </w:t>
      </w:r>
      <w:r>
        <w:lastRenderedPageBreak/>
        <w:t>eine zusätzliche Modellstruktur, welche die beobachtete Zustandsänderung auf innere Quellen/Senken und grenzüberschreitende Flüsse verteilt.</w:t>
      </w:r>
    </w:p>
    <w:p w:rsidR="0057454C" w:rsidRDefault="00E50336" w:rsidP="0057454C">
      <w:r>
        <w:pict>
          <v:rect id="_x0000_i3944" style="width:0;height:1.5pt" o:hralign="center" o:hrstd="t" o:hr="t" fillcolor="#a0a0a0" stroked="f"/>
        </w:pict>
      </w:r>
    </w:p>
    <w:p w:rsidR="0057454C" w:rsidRDefault="0057454C" w:rsidP="0057454C">
      <w:pPr>
        <w:pStyle w:val="berschrift1"/>
      </w:pPr>
      <w:r>
        <w:t>3.3.47.67 Definition 3.3.251 – Funktionale diskrete Bilanzstruktur</w:t>
      </w:r>
    </w:p>
    <w:p w:rsidR="0057454C" w:rsidRDefault="0057454C" w:rsidP="0057454C">
      <w:pPr>
        <w:pStyle w:val="berschrift3"/>
      </w:pPr>
      <w:r>
        <w:t>Definition 3.3.251</w:t>
      </w:r>
    </w:p>
    <w:p w:rsidR="0057454C" w:rsidRDefault="0057454C" w:rsidP="0057454C">
      <w:pPr>
        <w:pStyle w:val="StandardWeb"/>
      </w:pPr>
      <w:r>
        <w:t xml:space="preserve">Eine </w:t>
      </w:r>
      <w:r>
        <w:rPr>
          <w:rStyle w:val="Fett"/>
        </w:rPr>
        <w:t>funktionale diskrete Bilanzstruktur</w:t>
      </w:r>
      <w:r>
        <w:t xml:space="preserve"> für eine Zustandsgröße (Q_F) liegt vor, wenn für die betrachteten Übergänge eine Zerlegung</w:t>
      </w:r>
    </w:p>
    <w:p w:rsidR="0057454C" w:rsidRDefault="0057454C" w:rsidP="0057454C">
      <w:pPr>
        <w:pStyle w:val="berschrift1"/>
      </w:pPr>
      <w:r>
        <w:t>[</w:t>
      </w:r>
      <w:r>
        <w:br/>
        <w:t>\boxed{</w:t>
      </w:r>
      <w:r>
        <w:br/>
        <w:t>\Delta_TQ_F</w:t>
      </w:r>
    </w:p>
    <w:p w:rsidR="0057454C" w:rsidRDefault="0057454C" w:rsidP="0057454C">
      <w:pPr>
        <w:pStyle w:val="StandardWeb"/>
      </w:pPr>
      <w:r>
        <w:t>\Sigma_Q</w:t>
      </w:r>
      <w:r>
        <w:br/>
        <w:t>+</w:t>
      </w:r>
      <w:r>
        <w:br/>
        <w:t>J_Q^{\mathrm{net}}</w:t>
      </w:r>
      <w:r>
        <w:br/>
        <w:t>}</w:t>
      </w:r>
      <w:r>
        <w:br/>
        <w:t>\tag{3.11549}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\boxed{\Delta_TQ_F=\Sigma_Q+J_Q^{\mathrm{net}}}</w:t>
      </w:r>
    </w:p>
    <w:p w:rsidR="0057454C" w:rsidRDefault="0057454C" w:rsidP="0057454C">
      <w:pPr>
        <w:pStyle w:val="StandardWeb"/>
      </w:pPr>
      <w:r>
        <w:t>spezifiziert ist.</w:t>
      </w:r>
    </w:p>
    <w:p w:rsidR="0057454C" w:rsidRDefault="00E50336" w:rsidP="0057454C">
      <w:r>
        <w:pict>
          <v:rect id="_x0000_i3945" style="width:0;height:1.5pt" o:hralign="center" o:hrstd="t" o:hr="t" fillcolor="#a0a0a0" stroked="f"/>
        </w:pict>
      </w:r>
    </w:p>
    <w:p w:rsidR="0057454C" w:rsidRDefault="0057454C" w:rsidP="0057454C">
      <w:pPr>
        <w:pStyle w:val="berschrift1"/>
      </w:pPr>
      <w:r>
        <w:t>3.3.47.68 Ausgeschriebene Bilanzform</w:t>
      </w:r>
    </w:p>
    <w:p w:rsidR="0057454C" w:rsidRDefault="0057454C" w:rsidP="0057454C">
      <w:pPr>
        <w:pStyle w:val="StandardWeb"/>
      </w:pPr>
      <w:r>
        <w:t>Mit den Definitionen von Nettoquelle und Nettofluss folgt formal</w:t>
      </w:r>
    </w:p>
    <w:p w:rsidR="0057454C" w:rsidRDefault="0057454C" w:rsidP="0057454C">
      <w:pPr>
        <w:pStyle w:val="berschrift1"/>
      </w:pPr>
      <w:r>
        <w:t>[</w:t>
      </w:r>
      <w:r>
        <w:br/>
        <w:t>\Delta_TQ_F</w:t>
      </w:r>
    </w:p>
    <w:p w:rsidR="0057454C" w:rsidRDefault="0057454C" w:rsidP="0057454C">
      <w:pPr>
        <w:pStyle w:val="berschrift2"/>
      </w:pPr>
      <w:r>
        <w:t>S_Q^{+}</w:t>
      </w:r>
    </w:p>
    <w:p w:rsidR="0057454C" w:rsidRDefault="0057454C" w:rsidP="0057454C">
      <w:pPr>
        <w:pStyle w:val="berschrift2"/>
      </w:pPr>
      <w:r>
        <w:t>S_Q^{-}</w:t>
      </w:r>
      <w:r>
        <w:br/>
        <w:t>+</w:t>
      </w:r>
      <w:r>
        <w:br/>
        <w:t>J_Q^{\mathrm{in}}</w:t>
      </w:r>
    </w:p>
    <w:p w:rsidR="0057454C" w:rsidRDefault="0057454C" w:rsidP="0057454C">
      <w:pPr>
        <w:pStyle w:val="StandardWeb"/>
      </w:pPr>
      <w:r>
        <w:lastRenderedPageBreak/>
        <w:t>J_Q^{\mathrm{out}}.</w:t>
      </w:r>
      <w:r>
        <w:br/>
        <w:t>\tag{3.11550}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\Delta_TQ_F=S_Q^{+}-S_Q^{-}+J_Q^{\mathrm{in}}-J_Q^{\mathrm{out}}</w:t>
      </w:r>
    </w:p>
    <w:p w:rsidR="0057454C" w:rsidRDefault="0057454C" w:rsidP="0057454C">
      <w:pPr>
        <w:pStyle w:val="StandardWeb"/>
      </w:pPr>
      <w:r>
        <w:t>Unter der Voraussetzung, dass Gleichung (3.11549) als Modellgleichung gilt, ist Gleichung (3.11550) lediglich ihre ausgeschriebene Form.</w:t>
      </w:r>
    </w:p>
    <w:p w:rsidR="0057454C" w:rsidRDefault="00E50336" w:rsidP="0057454C">
      <w:r>
        <w:pict>
          <v:rect id="_x0000_i3946" style="width:0;height:1.5pt" o:hralign="center" o:hrstd="t" o:hr="t" fillcolor="#a0a0a0" stroked="f"/>
        </w:pict>
      </w:r>
    </w:p>
    <w:p w:rsidR="0057454C" w:rsidRDefault="0057454C" w:rsidP="0057454C">
      <w:pPr>
        <w:pStyle w:val="berschrift1"/>
      </w:pPr>
      <w:r>
        <w:t>3.3.47.69 Satz 3.3.106 – Äquivalenz der kompakten und ausgeschriebenen diskreten Bilanz</w:t>
      </w:r>
    </w:p>
    <w:p w:rsidR="0057454C" w:rsidRDefault="0057454C" w:rsidP="0057454C">
      <w:pPr>
        <w:pStyle w:val="berschrift3"/>
      </w:pPr>
      <w:r>
        <w:t>Satz 3.3.106</w:t>
      </w:r>
    </w:p>
    <w:p w:rsidR="0057454C" w:rsidRDefault="0057454C" w:rsidP="0057454C">
      <w:pPr>
        <w:pStyle w:val="StandardWeb"/>
      </w:pPr>
      <w:r>
        <w:t>Ist</w:t>
      </w:r>
    </w:p>
    <w:p w:rsidR="0057454C" w:rsidRDefault="0057454C" w:rsidP="0057454C">
      <w:pPr>
        <w:pStyle w:val="berschrift1"/>
      </w:pPr>
      <w:r>
        <w:t>[</w:t>
      </w:r>
      <w:r>
        <w:br/>
        <w:t>\Sigma_Q</w:t>
      </w:r>
    </w:p>
    <w:p w:rsidR="0057454C" w:rsidRDefault="0057454C" w:rsidP="0057454C">
      <w:pPr>
        <w:pStyle w:val="StandardWeb"/>
      </w:pPr>
      <w:r>
        <w:t>S_Q^{+}-S_Q^{-}</w:t>
      </w:r>
      <w:r>
        <w:br/>
        <w:t>\tag{3.11551}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\Sigma_Q=S_Q^{+}-S_Q^{-}</w:t>
      </w:r>
    </w:p>
    <w:p w:rsidR="0057454C" w:rsidRDefault="0057454C" w:rsidP="0057454C">
      <w:pPr>
        <w:pStyle w:val="StandardWeb"/>
      </w:pPr>
      <w:r>
        <w:t>und</w:t>
      </w:r>
    </w:p>
    <w:p w:rsidR="0057454C" w:rsidRDefault="0057454C" w:rsidP="0057454C">
      <w:pPr>
        <w:pStyle w:val="berschrift1"/>
      </w:pPr>
      <w:r>
        <w:t>[</w:t>
      </w:r>
      <w:r>
        <w:br/>
        <w:t>J_Q^{\mathrm{net}}</w:t>
      </w:r>
    </w:p>
    <w:p w:rsidR="0057454C" w:rsidRDefault="0057454C" w:rsidP="0057454C">
      <w:pPr>
        <w:pStyle w:val="StandardWeb"/>
      </w:pPr>
      <w:r>
        <w:t>J_Q^{\mathrm{in}}-J_Q^{\mathrm{out}},</w:t>
      </w:r>
      <w:r>
        <w:br/>
        <w:t>\tag{3.11552}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J_Q^{\mathrm{net}}=J_Q^{\mathrm{in}}-J_Q^{\mathrm{out}}</w:t>
      </w:r>
    </w:p>
    <w:p w:rsidR="0057454C" w:rsidRDefault="0057454C" w:rsidP="0057454C">
      <w:pPr>
        <w:pStyle w:val="StandardWeb"/>
      </w:pPr>
      <w:r>
        <w:t>dann sind die Bilanzformen</w:t>
      </w:r>
    </w:p>
    <w:p w:rsidR="0057454C" w:rsidRDefault="0057454C" w:rsidP="0057454C">
      <w:pPr>
        <w:pStyle w:val="berschrift1"/>
      </w:pPr>
      <w:r>
        <w:lastRenderedPageBreak/>
        <w:t>[</w:t>
      </w:r>
      <w:r>
        <w:br/>
        <w:t>\Delta_TQ_F</w:t>
      </w:r>
    </w:p>
    <w:p w:rsidR="0057454C" w:rsidRDefault="0057454C" w:rsidP="0057454C">
      <w:pPr>
        <w:pStyle w:val="StandardWeb"/>
      </w:pPr>
      <w:r>
        <w:t>\Sigma_Q+J_Q^{\mathrm{net}}</w:t>
      </w:r>
      <w:r>
        <w:br/>
        <w:t>\tag{3.11553}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\Delta_TQ_F=\Sigma_Q+J_Q^{\mathrm{net}}</w:t>
      </w:r>
    </w:p>
    <w:p w:rsidR="0057454C" w:rsidRDefault="0057454C" w:rsidP="0057454C">
      <w:pPr>
        <w:pStyle w:val="StandardWeb"/>
      </w:pPr>
      <w:r>
        <w:t>und</w:t>
      </w:r>
    </w:p>
    <w:p w:rsidR="0057454C" w:rsidRDefault="0057454C" w:rsidP="0057454C">
      <w:pPr>
        <w:pStyle w:val="berschrift1"/>
      </w:pPr>
      <w:r>
        <w:t>[</w:t>
      </w:r>
      <w:r>
        <w:br/>
        <w:t>\Delta_TQ_F</w:t>
      </w:r>
    </w:p>
    <w:p w:rsidR="0057454C" w:rsidRDefault="0057454C" w:rsidP="0057454C">
      <w:pPr>
        <w:pStyle w:val="berschrift2"/>
      </w:pPr>
      <w:r>
        <w:t>S_Q^{+}</w:t>
      </w:r>
    </w:p>
    <w:p w:rsidR="0057454C" w:rsidRDefault="0057454C" w:rsidP="0057454C">
      <w:pPr>
        <w:pStyle w:val="berschrift2"/>
      </w:pPr>
      <w:r>
        <w:t>S_Q^{-}</w:t>
      </w:r>
      <w:r>
        <w:br/>
        <w:t>+</w:t>
      </w:r>
      <w:r>
        <w:br/>
        <w:t>J_Q^{\mathrm{in}}</w:t>
      </w:r>
    </w:p>
    <w:p w:rsidR="0057454C" w:rsidRDefault="0057454C" w:rsidP="0057454C">
      <w:pPr>
        <w:pStyle w:val="StandardWeb"/>
      </w:pPr>
      <w:r>
        <w:t>J_Q^{\mathrm{out}}</w:t>
      </w:r>
      <w:r>
        <w:br/>
        <w:t>\tag{3.11554}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\Delta_TQ_F=S_Q^{+}-S_Q^{-}+J_Q^{\mathrm{in}}-J_Q^{\mathrm{out}}</w:t>
      </w:r>
    </w:p>
    <w:p w:rsidR="0057454C" w:rsidRDefault="0057454C" w:rsidP="0057454C">
      <w:pPr>
        <w:pStyle w:val="StandardWeb"/>
      </w:pPr>
      <w:r>
        <w:t>äquivalent.</w:t>
      </w:r>
    </w:p>
    <w:p w:rsidR="0057454C" w:rsidRDefault="0057454C" w:rsidP="0057454C">
      <w:pPr>
        <w:pStyle w:val="berschrift3"/>
      </w:pPr>
      <w:r>
        <w:t>Beweis</w:t>
      </w:r>
    </w:p>
    <w:p w:rsidR="0057454C" w:rsidRDefault="0057454C" w:rsidP="0057454C">
      <w:pPr>
        <w:pStyle w:val="StandardWeb"/>
      </w:pPr>
      <w:r>
        <w:t>Einsetzen von Gleichung (3.11551) und Gleichung (3.11552) in Gleichung (3.11553) ergibt unmittelbar</w:t>
      </w:r>
    </w:p>
    <w:p w:rsidR="0057454C" w:rsidRDefault="0057454C" w:rsidP="0057454C">
      <w:pPr>
        <w:pStyle w:val="berschrift1"/>
      </w:pPr>
      <w:r>
        <w:t>[</w:t>
      </w:r>
      <w:r>
        <w:br/>
        <w:t>\Delta_TQ_F</w:t>
      </w:r>
    </w:p>
    <w:p w:rsidR="0057454C" w:rsidRDefault="0057454C" w:rsidP="0057454C">
      <w:pPr>
        <w:pStyle w:val="berschrift2"/>
      </w:pPr>
      <w:r>
        <w:t>S_Q^{+}</w:t>
      </w:r>
    </w:p>
    <w:p w:rsidR="0057454C" w:rsidRDefault="0057454C" w:rsidP="0057454C">
      <w:pPr>
        <w:pStyle w:val="berschrift2"/>
      </w:pPr>
      <w:r>
        <w:lastRenderedPageBreak/>
        <w:t>S_Q^{-}</w:t>
      </w:r>
      <w:r>
        <w:br/>
        <w:t>+</w:t>
      </w:r>
      <w:r>
        <w:br/>
        <w:t>J_Q^{\mathrm{in}}</w:t>
      </w:r>
    </w:p>
    <w:p w:rsidR="0057454C" w:rsidRDefault="0057454C" w:rsidP="0057454C">
      <w:pPr>
        <w:pStyle w:val="StandardWeb"/>
      </w:pPr>
      <w:r>
        <w:t>J_Q^{\mathrm{out}}.</w:t>
      </w:r>
      <w:r>
        <w:br/>
        <w:t>\tag{3.11555}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\Delta_TQ_F=S_Q^{+}-S_Q^{-}+J_Q^{\mathrm{in}}-J_Q^{\mathrm{out}}</w:t>
      </w:r>
    </w:p>
    <w:p w:rsidR="0057454C" w:rsidRDefault="0057454C" w:rsidP="0057454C">
      <w:pPr>
        <w:pStyle w:val="StandardWeb"/>
      </w:pPr>
      <w:r>
        <w:t>Damit sind beide Darstellungen algebraisch identisch. (\square)</w:t>
      </w:r>
    </w:p>
    <w:p w:rsidR="0057454C" w:rsidRDefault="00E50336" w:rsidP="0057454C">
      <w:r>
        <w:pict>
          <v:rect id="_x0000_i3947" style="width:0;height:1.5pt" o:hralign="center" o:hrstd="t" o:hr="t" fillcolor="#a0a0a0" stroked="f"/>
        </w:pict>
      </w:r>
    </w:p>
    <w:p w:rsidR="0057454C" w:rsidRDefault="0057454C" w:rsidP="0057454C">
      <w:pPr>
        <w:pStyle w:val="berschrift1"/>
      </w:pPr>
      <w:r>
        <w:t>3.3.47.70 Erhaltung in einer Bilanzstruktur</w:t>
      </w:r>
    </w:p>
    <w:p w:rsidR="0057454C" w:rsidRDefault="0057454C" w:rsidP="0057454C">
      <w:pPr>
        <w:pStyle w:val="StandardWeb"/>
      </w:pPr>
      <w:r>
        <w:t>In einer spezifizierten Bilanzstruktur bedeutet</w:t>
      </w:r>
    </w:p>
    <w:p w:rsidR="0057454C" w:rsidRDefault="0057454C" w:rsidP="0057454C">
      <w:pPr>
        <w:pStyle w:val="StandardWeb"/>
      </w:pPr>
      <w:r>
        <w:t>[</w:t>
      </w:r>
      <w:r>
        <w:br/>
        <w:t>\Delta_TQ_F=0,</w:t>
      </w:r>
      <w:r>
        <w:br/>
        <w:t>\tag{3.11556}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\Delta_TQ_F=0</w:t>
      </w:r>
    </w:p>
    <w:p w:rsidR="0057454C" w:rsidRDefault="0057454C" w:rsidP="0057454C">
      <w:pPr>
        <w:pStyle w:val="StandardWeb"/>
      </w:pPr>
      <w:r>
        <w:t>dass sich sämtliche bilanzwirksamen Beiträge gegenseitig ausgleichen.</w:t>
      </w:r>
    </w:p>
    <w:p w:rsidR="0057454C" w:rsidRDefault="0057454C" w:rsidP="0057454C">
      <w:pPr>
        <w:pStyle w:val="StandardWeb"/>
      </w:pPr>
      <w:r>
        <w:t>Damit folgt</w:t>
      </w:r>
    </w:p>
    <w:p w:rsidR="0057454C" w:rsidRDefault="0057454C" w:rsidP="0057454C">
      <w:pPr>
        <w:pStyle w:val="berschrift1"/>
      </w:pPr>
      <w:r>
        <w:t>[</w:t>
      </w:r>
      <w:r>
        <w:br/>
        <w:t>\Sigma_Q</w:t>
      </w:r>
      <w:r>
        <w:br/>
        <w:t>+</w:t>
      </w:r>
      <w:r>
        <w:br/>
        <w:t>J_Q^{\mathrm{net}}</w:t>
      </w:r>
    </w:p>
    <w:p w:rsidR="0057454C" w:rsidRDefault="0057454C" w:rsidP="00152216">
      <w:pPr>
        <w:numPr>
          <w:ilvl w:val="0"/>
          <w:numId w:val="495"/>
        </w:numPr>
        <w:spacing w:before="100" w:beforeAutospacing="1" w:after="100" w:afterAutospacing="1"/>
      </w:pPr>
    </w:p>
    <w:p w:rsidR="0057454C" w:rsidRDefault="0057454C" w:rsidP="0057454C">
      <w:pPr>
        <w:pStyle w:val="StandardWeb"/>
      </w:pPr>
      <w:r>
        <w:t>\tag{3.11557}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\Sigma_Q+J_Q^{\mathrm{net}}=0</w:t>
      </w:r>
    </w:p>
    <w:p w:rsidR="0057454C" w:rsidRDefault="00E50336" w:rsidP="0057454C">
      <w:r>
        <w:lastRenderedPageBreak/>
        <w:pict>
          <v:rect id="_x0000_i3948" style="width:0;height:1.5pt" o:hralign="center" o:hrstd="t" o:hr="t" fillcolor="#a0a0a0" stroked="f"/>
        </w:pict>
      </w:r>
    </w:p>
    <w:p w:rsidR="0057454C" w:rsidRDefault="0057454C" w:rsidP="0057454C">
      <w:pPr>
        <w:pStyle w:val="berschrift1"/>
      </w:pPr>
      <w:r>
        <w:t>3.3.47.71 Korollar 3.3.22 – Bilanzcharakterisierung funktionaler Erhaltung</w:t>
      </w:r>
    </w:p>
    <w:p w:rsidR="0057454C" w:rsidRDefault="0057454C" w:rsidP="0057454C">
      <w:pPr>
        <w:pStyle w:val="berschrift3"/>
      </w:pPr>
      <w:r>
        <w:t>Korollar 3.3.22</w:t>
      </w:r>
    </w:p>
    <w:p w:rsidR="0057454C" w:rsidRDefault="0057454C" w:rsidP="0057454C">
      <w:pPr>
        <w:pStyle w:val="StandardWeb"/>
      </w:pPr>
      <w:r>
        <w:t>Unter Gültigkeit der diskreten Bilanzstruktur nach Definition 3.3.251 gilt</w:t>
      </w:r>
    </w:p>
    <w:p w:rsidR="0057454C" w:rsidRDefault="0057454C" w:rsidP="0057454C">
      <w:pPr>
        <w:pStyle w:val="StandardWeb"/>
      </w:pPr>
      <w:r>
        <w:t>[</w:t>
      </w:r>
      <w:r>
        <w:br/>
        <w:t>\boxed{</w:t>
      </w:r>
      <w:r>
        <w:br/>
        <w:t>\Delta_TQ_F=0</w:t>
      </w:r>
      <w:r>
        <w:br/>
        <w:t>\Longleftrightarrow</w:t>
      </w:r>
      <w:r>
        <w:br/>
        <w:t>\Sigma_Q+J_Q^{\mathrm{net}}=0.</w:t>
      </w:r>
      <w:r>
        <w:br/>
        <w:t>}</w:t>
      </w:r>
      <w:r>
        <w:br/>
        <w:t>\tag{3.11558}</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\boxed{\Delta_TQ_F=0\Longleftrightarrow\Sigma_Q+J_Q^{\mathrm{net}}=0.}</w:t>
      </w:r>
    </w:p>
    <w:p w:rsidR="0057454C" w:rsidRDefault="00E50336" w:rsidP="0057454C">
      <w:r>
        <w:pict>
          <v:rect id="_x0000_i3949" style="width:0;height:1.5pt" o:hralign="center" o:hrstd="t" o:hr="t" fillcolor="#a0a0a0" stroked="f"/>
        </w:pict>
      </w:r>
    </w:p>
    <w:p w:rsidR="0057454C" w:rsidRDefault="0057454C" w:rsidP="0057454C">
      <w:pPr>
        <w:pStyle w:val="berschrift1"/>
      </w:pPr>
      <w:r>
        <w:t>3.3.47.72 Erhaltung trotz Quellen und Senken</w:t>
      </w:r>
    </w:p>
    <w:p w:rsidR="0057454C" w:rsidRDefault="0057454C" w:rsidP="0057454C">
      <w:pPr>
        <w:pStyle w:val="StandardWeb"/>
      </w:pPr>
      <w:r>
        <w:t>Die Bedingung</w:t>
      </w:r>
    </w:p>
    <w:p w:rsidR="0057454C" w:rsidRDefault="0057454C" w:rsidP="0057454C">
      <w:pPr>
        <w:pStyle w:val="StandardWeb"/>
      </w:pPr>
      <w:r>
        <w:t>[</w:t>
      </w:r>
      <w:r>
        <w:br/>
        <w:t>\Delta_TQ_F=0</w:t>
      </w:r>
      <w:r>
        <w:br/>
        <w:t>\tag{3.11559}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\Delta_TQ_F=0</w:t>
      </w:r>
    </w:p>
    <w:p w:rsidR="0057454C" w:rsidRDefault="0057454C" w:rsidP="0057454C">
      <w:pPr>
        <w:pStyle w:val="StandardWeb"/>
      </w:pPr>
      <w:r>
        <w:t>impliziert damit ausdrücklich nicht</w:t>
      </w:r>
    </w:p>
    <w:p w:rsidR="0057454C" w:rsidRDefault="0057454C" w:rsidP="0057454C">
      <w:pPr>
        <w:pStyle w:val="berschrift1"/>
      </w:pPr>
      <w:r>
        <w:t>[</w:t>
      </w:r>
      <w:r>
        <w:br/>
        <w:t>S_Q^{+}</w:t>
      </w:r>
    </w:p>
    <w:p w:rsidR="0057454C" w:rsidRDefault="0057454C" w:rsidP="0057454C">
      <w:pPr>
        <w:pStyle w:val="berschrift1"/>
      </w:pPr>
      <w:r>
        <w:t>S_Q^{-}</w:t>
      </w:r>
    </w:p>
    <w:p w:rsidR="0057454C" w:rsidRDefault="0057454C" w:rsidP="0057454C">
      <w:pPr>
        <w:pStyle w:val="berschrift1"/>
      </w:pPr>
      <w:r>
        <w:t>J_Q^{\mathrm{in}}</w:t>
      </w:r>
    </w:p>
    <w:p w:rsidR="0057454C" w:rsidRDefault="0057454C" w:rsidP="0057454C">
      <w:pPr>
        <w:pStyle w:val="berschrift1"/>
      </w:pPr>
      <w:r>
        <w:t>J_Q^{\mathrm{out}}</w:t>
      </w:r>
    </w:p>
    <w:p w:rsidR="0057454C" w:rsidRDefault="0057454C" w:rsidP="00152216">
      <w:pPr>
        <w:numPr>
          <w:ilvl w:val="0"/>
          <w:numId w:val="496"/>
        </w:numPr>
        <w:spacing w:before="100" w:beforeAutospacing="1" w:after="100" w:afterAutospacing="1"/>
      </w:pPr>
    </w:p>
    <w:p w:rsidR="0057454C" w:rsidRDefault="0057454C" w:rsidP="0057454C">
      <w:pPr>
        <w:pStyle w:val="StandardWeb"/>
      </w:pPr>
      <w:r>
        <w:lastRenderedPageBreak/>
        <w:t>\tag{3.11560}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S_Q^{+}=S_Q^{-}=J_Q^{\mathrm{in}}=J_Q^{\mathrm{out}}=0</w:t>
      </w:r>
    </w:p>
    <w:p w:rsidR="0057454C" w:rsidRDefault="0057454C" w:rsidP="0057454C">
      <w:pPr>
        <w:pStyle w:val="StandardWeb"/>
      </w:pPr>
      <w:r>
        <w:t>Nichtverschwindende Beiträge können sich bilanziell kompensieren.</w:t>
      </w:r>
    </w:p>
    <w:p w:rsidR="0057454C" w:rsidRDefault="00E50336" w:rsidP="0057454C">
      <w:r>
        <w:pict>
          <v:rect id="_x0000_i3950" style="width:0;height:1.5pt" o:hralign="center" o:hrstd="t" o:hr="t" fillcolor="#a0a0a0" stroked="f"/>
        </w:pict>
      </w:r>
    </w:p>
    <w:p w:rsidR="0057454C" w:rsidRDefault="0057454C" w:rsidP="0057454C">
      <w:pPr>
        <w:pStyle w:val="berschrift1"/>
      </w:pPr>
      <w:r>
        <w:t>3.3.47.73 Beispiel einer stationären Bilanz mit Austausch</w:t>
      </w:r>
    </w:p>
    <w:p w:rsidR="0057454C" w:rsidRDefault="0057454C" w:rsidP="0057454C">
      <w:pPr>
        <w:pStyle w:val="StandardWeb"/>
      </w:pPr>
      <w:r>
        <w:t>Sei beispielsweise</w:t>
      </w:r>
    </w:p>
    <w:p w:rsidR="0057454C" w:rsidRDefault="0057454C" w:rsidP="0057454C">
      <w:pPr>
        <w:pStyle w:val="StandardWeb"/>
      </w:pPr>
      <w:r>
        <w:t>[</w:t>
      </w:r>
      <w:r>
        <w:br/>
        <w:t>S_Q^{+}=3,</w:t>
      </w:r>
      <w:r>
        <w:br/>
        <w:t>\qquad</w:t>
      </w:r>
      <w:r>
        <w:br/>
        <w:t>S_Q^{-}=1,</w:t>
      </w:r>
      <w:r>
        <w:br/>
        <w:t>\tag{3.11561}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S_Q^{+}=3,\qquad S_Q^{-}=1</w:t>
      </w:r>
    </w:p>
    <w:p w:rsidR="0057454C" w:rsidRDefault="0057454C" w:rsidP="0057454C">
      <w:pPr>
        <w:pStyle w:val="StandardWeb"/>
      </w:pPr>
      <w:r>
        <w:t>und</w:t>
      </w:r>
    </w:p>
    <w:p w:rsidR="0057454C" w:rsidRDefault="0057454C" w:rsidP="0057454C">
      <w:pPr>
        <w:pStyle w:val="StandardWeb"/>
      </w:pPr>
      <w:r>
        <w:t>[</w:t>
      </w:r>
      <w:r>
        <w:br/>
        <w:t>J_Q^{\mathrm{in}}=2,</w:t>
      </w:r>
      <w:r>
        <w:br/>
        <w:t>\qquad</w:t>
      </w:r>
      <w:r>
        <w:br/>
        <w:t>J_Q^{\mathrm{out}}=4.</w:t>
      </w:r>
      <w:r>
        <w:br/>
        <w:t>\tag{3.11562}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J_Q^{\mathrm{in}}=2,\qquad J_Q^{\mathrm{out}}=4</w:t>
      </w:r>
    </w:p>
    <w:p w:rsidR="0057454C" w:rsidRDefault="0057454C" w:rsidP="0057454C">
      <w:pPr>
        <w:pStyle w:val="StandardWeb"/>
      </w:pPr>
      <w:r>
        <w:t>Dann gilt</w:t>
      </w:r>
    </w:p>
    <w:p w:rsidR="0057454C" w:rsidRDefault="0057454C" w:rsidP="0057454C">
      <w:pPr>
        <w:pStyle w:val="berschrift1"/>
      </w:pPr>
      <w:r>
        <w:t>[</w:t>
      </w:r>
      <w:r>
        <w:br/>
        <w:t>\Delta_TQ_F</w:t>
      </w:r>
    </w:p>
    <w:p w:rsidR="0057454C" w:rsidRDefault="0057454C" w:rsidP="0057454C">
      <w:pPr>
        <w:pStyle w:val="berschrift1"/>
      </w:pPr>
      <w:r>
        <w:t>3-1+2-4</w:t>
      </w:r>
    </w:p>
    <w:p w:rsidR="0057454C" w:rsidRDefault="0057454C" w:rsidP="00152216">
      <w:pPr>
        <w:numPr>
          <w:ilvl w:val="0"/>
          <w:numId w:val="497"/>
        </w:numPr>
        <w:spacing w:before="100" w:beforeAutospacing="1" w:after="100" w:afterAutospacing="1"/>
      </w:pPr>
    </w:p>
    <w:p w:rsidR="0057454C" w:rsidRDefault="0057454C" w:rsidP="0057454C">
      <w:pPr>
        <w:pStyle w:val="StandardWeb"/>
      </w:pPr>
      <w:r>
        <w:lastRenderedPageBreak/>
        <w:t>\tag{3.11563}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\Delta_TQ_F=3-1+2-4=0</w:t>
      </w:r>
    </w:p>
    <w:p w:rsidR="0057454C" w:rsidRDefault="0057454C" w:rsidP="0057454C">
      <w:pPr>
        <w:pStyle w:val="StandardWeb"/>
      </w:pPr>
      <w:r>
        <w:t>Die funktionale Größe bleibt erhalten, obwohl Quellen, Senken und Flüsse sämtlich von null verschieden sind.</w:t>
      </w:r>
    </w:p>
    <w:p w:rsidR="0057454C" w:rsidRDefault="00E50336" w:rsidP="0057454C">
      <w:r>
        <w:pict>
          <v:rect id="_x0000_i3951" style="width:0;height:1.5pt" o:hralign="center" o:hrstd="t" o:hr="t" fillcolor="#a0a0a0" stroked="f"/>
        </w:pict>
      </w:r>
    </w:p>
    <w:p w:rsidR="0057454C" w:rsidRDefault="0057454C" w:rsidP="0057454C">
      <w:pPr>
        <w:pStyle w:val="berschrift1"/>
      </w:pPr>
      <w:r>
        <w:t>3.3.47.74 Definition 3.3.252 – Bilanziell stationärer funktionaler Übergang</w:t>
      </w:r>
    </w:p>
    <w:p w:rsidR="0057454C" w:rsidRDefault="0057454C" w:rsidP="0057454C">
      <w:pPr>
        <w:pStyle w:val="berschrift3"/>
      </w:pPr>
      <w:r>
        <w:t>Definition 3.3.252</w:t>
      </w:r>
    </w:p>
    <w:p w:rsidR="0057454C" w:rsidRDefault="0057454C" w:rsidP="0057454C">
      <w:pPr>
        <w:pStyle w:val="StandardWeb"/>
      </w:pPr>
      <w:r>
        <w:t xml:space="preserve">Ein Übergang heißt bezüglich einer spezifizierten Bilanzstruktur </w:t>
      </w:r>
      <w:r>
        <w:rPr>
          <w:rStyle w:val="Fett"/>
        </w:rPr>
        <w:t>bilanziell stationär</w:t>
      </w:r>
      <w:r>
        <w:t>, wenn</w:t>
      </w:r>
    </w:p>
    <w:p w:rsidR="0057454C" w:rsidRDefault="0057454C" w:rsidP="0057454C">
      <w:pPr>
        <w:pStyle w:val="StandardWeb"/>
      </w:pPr>
      <w:r>
        <w:t>[</w:t>
      </w:r>
      <w:r>
        <w:br/>
        <w:t>\boxed{</w:t>
      </w:r>
      <w:r>
        <w:br/>
        <w:t>\Delta_TQ_F=0</w:t>
      </w:r>
      <w:r>
        <w:br/>
        <w:t>}</w:t>
      </w:r>
      <w:r>
        <w:br/>
        <w:t>\tag{3.11564}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\boxed{\Delta_TQ_F=0}</w:t>
      </w:r>
    </w:p>
    <w:p w:rsidR="0057454C" w:rsidRDefault="0057454C" w:rsidP="0057454C">
      <w:pPr>
        <w:pStyle w:val="StandardWeb"/>
      </w:pPr>
      <w:r>
        <w:t>gilt, obwohl mindestens einer der Beiträge</w:t>
      </w:r>
    </w:p>
    <w:p w:rsidR="0057454C" w:rsidRDefault="0057454C" w:rsidP="0057454C">
      <w:pPr>
        <w:pStyle w:val="StandardWeb"/>
      </w:pPr>
      <w:r>
        <w:t>[</w:t>
      </w:r>
      <w:r>
        <w:br/>
        <w:t>S_Q^{+},</w:t>
      </w:r>
      <w:r>
        <w:br/>
        <w:t>\quad</w:t>
      </w:r>
      <w:r>
        <w:br/>
        <w:t>S_Q^{-},</w:t>
      </w:r>
      <w:r>
        <w:br/>
        <w:t>\quad</w:t>
      </w:r>
      <w:r>
        <w:br/>
        <w:t>J_Q^{\mathrm{in}},</w:t>
      </w:r>
      <w:r>
        <w:br/>
        <w:t>\quad</w:t>
      </w:r>
      <w:r>
        <w:br/>
        <w:t>J_Q^{\mathrm{out}}</w:t>
      </w:r>
      <w:r>
        <w:br/>
        <w:t>\tag{3.11565}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S_Q^{+},\quad S_Q^{-},\quad J_Q^{\mathrm{in}},\quad J_Q^{\mathrm{out}}</w:t>
      </w:r>
    </w:p>
    <w:p w:rsidR="0057454C" w:rsidRDefault="0057454C" w:rsidP="0057454C">
      <w:pPr>
        <w:pStyle w:val="StandardWeb"/>
      </w:pPr>
      <w:r>
        <w:t>von null verschieden ist.</w:t>
      </w:r>
    </w:p>
    <w:p w:rsidR="0057454C" w:rsidRDefault="00E50336" w:rsidP="0057454C">
      <w:r>
        <w:pict>
          <v:rect id="_x0000_i3952" style="width:0;height:1.5pt" o:hralign="center" o:hrstd="t" o:hr="t" fillcolor="#a0a0a0" stroked="f"/>
        </w:pict>
      </w:r>
    </w:p>
    <w:p w:rsidR="0057454C" w:rsidRDefault="0057454C" w:rsidP="0057454C">
      <w:pPr>
        <w:pStyle w:val="berschrift1"/>
      </w:pPr>
      <w:r>
        <w:lastRenderedPageBreak/>
        <w:t>3.3.47.75 Geschlossene funktionale Bilanzstruktur</w:t>
      </w:r>
    </w:p>
    <w:p w:rsidR="0057454C" w:rsidRDefault="0057454C" w:rsidP="0057454C">
      <w:pPr>
        <w:pStyle w:val="StandardWeb"/>
      </w:pPr>
      <w:r>
        <w:t>Eine wichtige Modellklasse entsteht, wenn keine grenzüberschreitenden Flüsse zugelassen werden.</w:t>
      </w:r>
    </w:p>
    <w:p w:rsidR="0057454C" w:rsidRDefault="0057454C" w:rsidP="0057454C">
      <w:pPr>
        <w:pStyle w:val="StandardWeb"/>
      </w:pPr>
      <w:r>
        <w:t>Dann gilt</w:t>
      </w:r>
    </w:p>
    <w:p w:rsidR="0057454C" w:rsidRDefault="0057454C" w:rsidP="0057454C">
      <w:pPr>
        <w:pStyle w:val="berschrift1"/>
      </w:pPr>
      <w:r>
        <w:t>[</w:t>
      </w:r>
      <w:r>
        <w:br/>
        <w:t>J_Q^{\mathrm{in}}</w:t>
      </w:r>
    </w:p>
    <w:p w:rsidR="0057454C" w:rsidRDefault="0057454C" w:rsidP="0057454C">
      <w:pPr>
        <w:pStyle w:val="berschrift1"/>
      </w:pPr>
      <w:r>
        <w:t>J_Q^{\mathrm{out}}</w:t>
      </w:r>
    </w:p>
    <w:p w:rsidR="0057454C" w:rsidRDefault="0057454C" w:rsidP="00152216">
      <w:pPr>
        <w:numPr>
          <w:ilvl w:val="0"/>
          <w:numId w:val="498"/>
        </w:numPr>
        <w:spacing w:before="100" w:beforeAutospacing="1" w:after="100" w:afterAutospacing="1"/>
      </w:pPr>
    </w:p>
    <w:p w:rsidR="0057454C" w:rsidRDefault="0057454C" w:rsidP="0057454C">
      <w:pPr>
        <w:pStyle w:val="StandardWeb"/>
      </w:pPr>
      <w:r>
        <w:t>\tag{3.11566}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J_Q^{\mathrm{in}}=J_Q^{\mathrm{out}}=0</w:t>
      </w:r>
    </w:p>
    <w:p w:rsidR="0057454C" w:rsidRDefault="0057454C" w:rsidP="0057454C">
      <w:pPr>
        <w:pStyle w:val="StandardWeb"/>
      </w:pPr>
      <w:r>
        <w:t>und damit</w:t>
      </w:r>
    </w:p>
    <w:p w:rsidR="0057454C" w:rsidRDefault="0057454C" w:rsidP="0057454C">
      <w:pPr>
        <w:pStyle w:val="StandardWeb"/>
      </w:pPr>
      <w:r>
        <w:t>[</w:t>
      </w:r>
      <w:r>
        <w:br/>
        <w:t>J_Q^{\mathrm{net}}=0.</w:t>
      </w:r>
      <w:r>
        <w:br/>
        <w:t>\tag{3.11567}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J_Q^{\mathrm{net}}=0</w:t>
      </w:r>
    </w:p>
    <w:p w:rsidR="0057454C" w:rsidRDefault="00E50336" w:rsidP="0057454C">
      <w:r>
        <w:pict>
          <v:rect id="_x0000_i3953" style="width:0;height:1.5pt" o:hralign="center" o:hrstd="t" o:hr="t" fillcolor="#a0a0a0" stroked="f"/>
        </w:pict>
      </w:r>
    </w:p>
    <w:p w:rsidR="0057454C" w:rsidRDefault="0057454C" w:rsidP="0057454C">
      <w:pPr>
        <w:pStyle w:val="berschrift1"/>
      </w:pPr>
      <w:r>
        <w:t>3.3.47.76 Definition 3.3.253 – Funktional geschlossenes Bilanzsystem</w:t>
      </w:r>
    </w:p>
    <w:p w:rsidR="0057454C" w:rsidRDefault="0057454C" w:rsidP="0057454C">
      <w:pPr>
        <w:pStyle w:val="berschrift3"/>
      </w:pPr>
      <w:r>
        <w:t>Definition 3.3.253</w:t>
      </w:r>
    </w:p>
    <w:p w:rsidR="0057454C" w:rsidRDefault="0057454C" w:rsidP="0057454C">
      <w:pPr>
        <w:pStyle w:val="StandardWeb"/>
      </w:pPr>
      <w:r>
        <w:t xml:space="preserve">Ein bezüglich (Q_F) bilanziertes funktionales System heißt </w:t>
      </w:r>
      <w:r>
        <w:rPr>
          <w:rStyle w:val="Fett"/>
        </w:rPr>
        <w:t>funktional geschlossen</w:t>
      </w:r>
      <w:r>
        <w:t>, wenn über seine festgelegte Systemgrenze kein funktionaler Zu- oder Abfluss erfolgt:</w:t>
      </w:r>
    </w:p>
    <w:p w:rsidR="0057454C" w:rsidRDefault="0057454C" w:rsidP="0057454C">
      <w:pPr>
        <w:pStyle w:val="berschrift1"/>
      </w:pPr>
      <w:r>
        <w:t>[</w:t>
      </w:r>
      <w:r>
        <w:br/>
        <w:t>\boxed{</w:t>
      </w:r>
      <w:r>
        <w:br/>
        <w:t>J_Q^{\mathrm{in}}</w:t>
      </w:r>
    </w:p>
    <w:p w:rsidR="0057454C" w:rsidRDefault="0057454C" w:rsidP="0057454C">
      <w:pPr>
        <w:pStyle w:val="berschrift1"/>
      </w:pPr>
      <w:r>
        <w:lastRenderedPageBreak/>
        <w:t>J_Q^{\mathrm{out}}</w:t>
      </w:r>
    </w:p>
    <w:p w:rsidR="0057454C" w:rsidRDefault="0057454C" w:rsidP="00152216">
      <w:pPr>
        <w:numPr>
          <w:ilvl w:val="0"/>
          <w:numId w:val="499"/>
        </w:numPr>
        <w:spacing w:before="100" w:beforeAutospacing="1" w:after="100" w:afterAutospacing="1"/>
      </w:pPr>
    </w:p>
    <w:p w:rsidR="0057454C" w:rsidRDefault="0057454C" w:rsidP="0057454C">
      <w:pPr>
        <w:pStyle w:val="StandardWeb"/>
      </w:pPr>
      <w:r>
        <w:t>}</w:t>
      </w:r>
      <w:r>
        <w:br/>
        <w:t>\tag{3.11568}</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\boxed{J_Q^{\mathrm{in}}=J_Q^{\mathrm{out}}=0.}</w:t>
      </w:r>
    </w:p>
    <w:p w:rsidR="0057454C" w:rsidRDefault="00E50336" w:rsidP="0057454C">
      <w:r>
        <w:pict>
          <v:rect id="_x0000_i3954" style="width:0;height:1.5pt" o:hralign="center" o:hrstd="t" o:hr="t" fillcolor="#a0a0a0" stroked="f"/>
        </w:pict>
      </w:r>
    </w:p>
    <w:p w:rsidR="0057454C" w:rsidRDefault="0057454C" w:rsidP="0057454C">
      <w:pPr>
        <w:pStyle w:val="berschrift1"/>
      </w:pPr>
      <w:r>
        <w:t>3.3.47.77 Bilanz eines geschlossenen Systems</w:t>
      </w:r>
    </w:p>
    <w:p w:rsidR="0057454C" w:rsidRDefault="0057454C" w:rsidP="0057454C">
      <w:pPr>
        <w:pStyle w:val="StandardWeb"/>
      </w:pPr>
      <w:r>
        <w:t>Für ein geschlossenes Bilanzsystem reduziert sich Gleichung (3.11549) auf</w:t>
      </w:r>
    </w:p>
    <w:p w:rsidR="0057454C" w:rsidRDefault="0057454C" w:rsidP="0057454C">
      <w:pPr>
        <w:pStyle w:val="berschrift1"/>
      </w:pPr>
      <w:r>
        <w:t>[</w:t>
      </w:r>
      <w:r>
        <w:br/>
        <w:t>\Delta_TQ_F</w:t>
      </w:r>
    </w:p>
    <w:p w:rsidR="0057454C" w:rsidRDefault="0057454C" w:rsidP="0057454C">
      <w:pPr>
        <w:pStyle w:val="StandardWeb"/>
      </w:pPr>
      <w:r>
        <w:t>\Sigma_Q.</w:t>
      </w:r>
      <w:r>
        <w:br/>
        <w:t>\tag{3.11569}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\Delta_TQ_F=\Sigma_Q</w:t>
      </w:r>
    </w:p>
    <w:p w:rsidR="0057454C" w:rsidRDefault="0057454C" w:rsidP="0057454C">
      <w:pPr>
        <w:pStyle w:val="StandardWeb"/>
      </w:pPr>
      <w:r>
        <w:t>beziehungsweise</w:t>
      </w:r>
    </w:p>
    <w:p w:rsidR="0057454C" w:rsidRDefault="0057454C" w:rsidP="0057454C">
      <w:pPr>
        <w:pStyle w:val="berschrift1"/>
      </w:pPr>
      <w:r>
        <w:t>[</w:t>
      </w:r>
      <w:r>
        <w:br/>
        <w:t>\Delta_TQ_F</w:t>
      </w:r>
    </w:p>
    <w:p w:rsidR="0057454C" w:rsidRDefault="0057454C" w:rsidP="0057454C">
      <w:pPr>
        <w:pStyle w:val="StandardWeb"/>
      </w:pPr>
      <w:r>
        <w:t>S_Q^{+}-S_Q^{-}.</w:t>
      </w:r>
      <w:r>
        <w:br/>
        <w:t>\tag{3.11570}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\Delta_TQ_F=S_Q^{+}-S_Q^{-}</w:t>
      </w:r>
    </w:p>
    <w:p w:rsidR="0057454C" w:rsidRDefault="00E50336" w:rsidP="0057454C">
      <w:r>
        <w:pict>
          <v:rect id="_x0000_i3955" style="width:0;height:1.5pt" o:hralign="center" o:hrstd="t" o:hr="t" fillcolor="#a0a0a0" stroked="f"/>
        </w:pict>
      </w:r>
    </w:p>
    <w:p w:rsidR="0057454C" w:rsidRDefault="0057454C" w:rsidP="0057454C">
      <w:pPr>
        <w:pStyle w:val="berschrift1"/>
      </w:pPr>
      <w:r>
        <w:t>3.3.47.78 Korollar 3.3.23 – Erhaltung im geschlossenen Bilanzsystem</w:t>
      </w:r>
    </w:p>
    <w:p w:rsidR="0057454C" w:rsidRDefault="0057454C" w:rsidP="0057454C">
      <w:pPr>
        <w:pStyle w:val="berschrift3"/>
      </w:pPr>
      <w:r>
        <w:t>Korollar 3.3.23</w:t>
      </w:r>
    </w:p>
    <w:p w:rsidR="0057454C" w:rsidRDefault="0057454C" w:rsidP="0057454C">
      <w:pPr>
        <w:pStyle w:val="StandardWeb"/>
      </w:pPr>
      <w:r>
        <w:lastRenderedPageBreak/>
        <w:t>Für ein funktional geschlossenes Bilanzsystem gilt</w:t>
      </w:r>
    </w:p>
    <w:p w:rsidR="0057454C" w:rsidRDefault="0057454C" w:rsidP="0057454C">
      <w:pPr>
        <w:pStyle w:val="StandardWeb"/>
      </w:pPr>
      <w:r>
        <w:t>[</w:t>
      </w:r>
      <w:r>
        <w:br/>
        <w:t>\boxed{</w:t>
      </w:r>
      <w:r>
        <w:br/>
        <w:t>\Delta_TQ_F=0</w:t>
      </w:r>
      <w:r>
        <w:br/>
        <w:t>\Longleftrightarrow</w:t>
      </w:r>
      <w:r>
        <w:br/>
        <w:t>\Sigma_Q=0.</w:t>
      </w:r>
      <w:r>
        <w:br/>
        <w:t>}</w:t>
      </w:r>
      <w:r>
        <w:br/>
        <w:t>\tag{3.11571}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\boxed{\Delta_TQ_F=0\Longleftrightarrow\Sigma_Q=0.}</w:t>
      </w:r>
    </w:p>
    <w:p w:rsidR="0057454C" w:rsidRDefault="0057454C" w:rsidP="0057454C">
      <w:pPr>
        <w:pStyle w:val="StandardWeb"/>
      </w:pPr>
      <w:r>
        <w:t>Mit der Definition des Nettoquellterms folgt außerdem</w:t>
      </w:r>
    </w:p>
    <w:p w:rsidR="0057454C" w:rsidRDefault="0057454C" w:rsidP="0057454C">
      <w:pPr>
        <w:pStyle w:val="StandardWeb"/>
      </w:pPr>
      <w:r>
        <w:t>[</w:t>
      </w:r>
      <w:r>
        <w:br/>
        <w:t>\boxed{</w:t>
      </w:r>
      <w:r>
        <w:br/>
        <w:t>\Delta_TQ_F=0</w:t>
      </w:r>
      <w:r>
        <w:br/>
        <w:t>\Longleftrightarrow</w:t>
      </w:r>
      <w:r>
        <w:br/>
        <w:t>S_Q^{+}=S_Q^{-}.</w:t>
      </w:r>
      <w:r>
        <w:br/>
        <w:t>}</w:t>
      </w:r>
      <w:r>
        <w:br/>
        <w:t>\tag{3.11572}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\boxed{\Delta_TQ_F=0\Longleftrightarrow S_Q^{+}=S_Q^{-}.}</w:t>
      </w:r>
    </w:p>
    <w:p w:rsidR="0057454C" w:rsidRDefault="00E50336" w:rsidP="0057454C">
      <w:r>
        <w:pict>
          <v:rect id="_x0000_i3956" style="width:0;height:1.5pt" o:hralign="center" o:hrstd="t" o:hr="t" fillcolor="#a0a0a0" stroked="f"/>
        </w:pict>
      </w:r>
    </w:p>
    <w:p w:rsidR="0057454C" w:rsidRDefault="0057454C" w:rsidP="0057454C">
      <w:pPr>
        <w:pStyle w:val="berschrift1"/>
      </w:pPr>
      <w:r>
        <w:t>3.3.47.79 Quellenfreies geschlossenes System</w:t>
      </w:r>
    </w:p>
    <w:p w:rsidR="0057454C" w:rsidRDefault="0057454C" w:rsidP="0057454C">
      <w:pPr>
        <w:pStyle w:val="StandardWeb"/>
      </w:pPr>
      <w:r>
        <w:t>Eine noch speziellere Modellklasse erhält man durch</w:t>
      </w:r>
    </w:p>
    <w:p w:rsidR="0057454C" w:rsidRDefault="0057454C" w:rsidP="0057454C">
      <w:pPr>
        <w:pStyle w:val="StandardWeb"/>
      </w:pPr>
      <w:r>
        <w:t>[</w:t>
      </w:r>
      <w:r>
        <w:br/>
        <w:t>S_Q^{+}=0,</w:t>
      </w:r>
      <w:r>
        <w:br/>
        <w:t>\qquad</w:t>
      </w:r>
      <w:r>
        <w:br/>
        <w:t>S_Q^{-}=0.</w:t>
      </w:r>
      <w:r>
        <w:br/>
        <w:t>\tag{3.11573}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S_Q^{+}=0,\qquad S_Q^{-}=0</w:t>
      </w:r>
    </w:p>
    <w:p w:rsidR="0057454C" w:rsidRDefault="0057454C" w:rsidP="0057454C">
      <w:pPr>
        <w:pStyle w:val="StandardWeb"/>
      </w:pPr>
      <w:r>
        <w:t>Zusammen mit</w:t>
      </w:r>
    </w:p>
    <w:p w:rsidR="0057454C" w:rsidRDefault="0057454C" w:rsidP="0057454C">
      <w:pPr>
        <w:pStyle w:val="StandardWeb"/>
      </w:pPr>
      <w:r>
        <w:t>[</w:t>
      </w:r>
      <w:r>
        <w:br/>
        <w:t>J_Q^{\mathrm{net}}=0</w:t>
      </w:r>
      <w:r>
        <w:br/>
      </w:r>
      <w:r>
        <w:lastRenderedPageBreak/>
        <w:t>\tag{3.11574}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J_Q^{\mathrm{net}}=0</w:t>
      </w:r>
    </w:p>
    <w:p w:rsidR="0057454C" w:rsidRDefault="0057454C" w:rsidP="0057454C">
      <w:pPr>
        <w:pStyle w:val="StandardWeb"/>
      </w:pPr>
      <w:r>
        <w:t>folgt</w:t>
      </w:r>
    </w:p>
    <w:p w:rsidR="0057454C" w:rsidRDefault="0057454C" w:rsidP="0057454C">
      <w:pPr>
        <w:pStyle w:val="StandardWeb"/>
      </w:pPr>
      <w:r>
        <w:t>[</w:t>
      </w:r>
      <w:r>
        <w:br/>
        <w:t>\Delta_TQ_F=0.</w:t>
      </w:r>
      <w:r>
        <w:br/>
        <w:t>\tag{3.11575}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\Delta_TQ_F=0</w:t>
      </w:r>
    </w:p>
    <w:p w:rsidR="0057454C" w:rsidRDefault="00E50336" w:rsidP="0057454C">
      <w:r>
        <w:pict>
          <v:rect id="_x0000_i3957" style="width:0;height:1.5pt" o:hralign="center" o:hrstd="t" o:hr="t" fillcolor="#a0a0a0" stroked="f"/>
        </w:pict>
      </w:r>
    </w:p>
    <w:p w:rsidR="0057454C" w:rsidRDefault="0057454C" w:rsidP="0057454C">
      <w:pPr>
        <w:pStyle w:val="berschrift1"/>
      </w:pPr>
      <w:r>
        <w:t>3.3.47.80 Satz 3.3.107 – Quellen- und flussfreies Bilanzsystem ist erhaltend</w:t>
      </w:r>
    </w:p>
    <w:p w:rsidR="0057454C" w:rsidRDefault="0057454C" w:rsidP="0057454C">
      <w:pPr>
        <w:pStyle w:val="berschrift3"/>
      </w:pPr>
      <w:r>
        <w:t>Satz 3.3.107</w:t>
      </w:r>
    </w:p>
    <w:p w:rsidR="0057454C" w:rsidRDefault="0057454C" w:rsidP="0057454C">
      <w:pPr>
        <w:pStyle w:val="StandardWeb"/>
      </w:pPr>
      <w:r>
        <w:t>Gilt für einen bilanzierten Übergang</w:t>
      </w:r>
    </w:p>
    <w:p w:rsidR="0057454C" w:rsidRDefault="0057454C" w:rsidP="0057454C">
      <w:pPr>
        <w:pStyle w:val="StandardWeb"/>
      </w:pPr>
      <w:r>
        <w:t>[</w:t>
      </w:r>
      <w:r>
        <w:br/>
        <w:t>S_Q^{+}=S_Q^{-}=0</w:t>
      </w:r>
      <w:r>
        <w:br/>
        <w:t>\tag{3.11576}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S_Q^{+}=S_Q^{-}=0</w:t>
      </w:r>
    </w:p>
    <w:p w:rsidR="0057454C" w:rsidRDefault="0057454C" w:rsidP="0057454C">
      <w:pPr>
        <w:pStyle w:val="StandardWeb"/>
      </w:pPr>
      <w:r>
        <w:t>und</w:t>
      </w:r>
    </w:p>
    <w:p w:rsidR="0057454C" w:rsidRDefault="0057454C" w:rsidP="0057454C">
      <w:pPr>
        <w:pStyle w:val="StandardWeb"/>
      </w:pPr>
      <w:r>
        <w:t>[</w:t>
      </w:r>
      <w:r>
        <w:br/>
        <w:t>J_Q^{\mathrm{net}}=0,</w:t>
      </w:r>
      <w:r>
        <w:br/>
        <w:t>\tag{3.11577}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J_Q^{\mathrm{net}}=0</w:t>
      </w:r>
    </w:p>
    <w:p w:rsidR="0057454C" w:rsidRDefault="0057454C" w:rsidP="0057454C">
      <w:pPr>
        <w:pStyle w:val="StandardWeb"/>
      </w:pPr>
      <w:r>
        <w:t>dann gilt</w:t>
      </w:r>
    </w:p>
    <w:p w:rsidR="0057454C" w:rsidRDefault="0057454C" w:rsidP="0057454C">
      <w:pPr>
        <w:pStyle w:val="StandardWeb"/>
      </w:pPr>
      <w:r>
        <w:t>[</w:t>
      </w:r>
      <w:r>
        <w:br/>
        <w:t>\boxed{</w:t>
      </w:r>
      <w:r>
        <w:br/>
      </w:r>
      <w:r>
        <w:lastRenderedPageBreak/>
        <w:t>\Delta_TQ_F=0.</w:t>
      </w:r>
      <w:r>
        <w:br/>
        <w:t>}</w:t>
      </w:r>
      <w:r>
        <w:br/>
        <w:t>\tag{3.11578}</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\boxed{\Delta_TQ_F=0.}</w:t>
      </w:r>
    </w:p>
    <w:p w:rsidR="0057454C" w:rsidRDefault="0057454C" w:rsidP="0057454C">
      <w:pPr>
        <w:pStyle w:val="berschrift3"/>
      </w:pPr>
      <w:r>
        <w:t>Beweis</w:t>
      </w:r>
    </w:p>
    <w:p w:rsidR="0057454C" w:rsidRDefault="0057454C" w:rsidP="0057454C">
      <w:pPr>
        <w:pStyle w:val="StandardWeb"/>
      </w:pPr>
      <w:r>
        <w:t>Aus</w:t>
      </w:r>
    </w:p>
    <w:p w:rsidR="0057454C" w:rsidRDefault="0057454C" w:rsidP="0057454C">
      <w:pPr>
        <w:pStyle w:val="berschrift1"/>
      </w:pPr>
      <w:r>
        <w:t>[</w:t>
      </w:r>
      <w:r>
        <w:br/>
        <w:t>\Sigma_Q</w:t>
      </w:r>
    </w:p>
    <w:p w:rsidR="0057454C" w:rsidRDefault="0057454C" w:rsidP="0057454C">
      <w:pPr>
        <w:pStyle w:val="berschrift1"/>
      </w:pPr>
      <w:r>
        <w:t>S_Q^{+}-S_Q^{-}</w:t>
      </w:r>
    </w:p>
    <w:p w:rsidR="0057454C" w:rsidRDefault="0057454C" w:rsidP="0057454C">
      <w:pPr>
        <w:pStyle w:val="StandardWeb"/>
      </w:pPr>
      <w:r>
        <w:t>0</w:t>
      </w:r>
      <w:r>
        <w:br/>
        <w:t>\tag{3.11579}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\Sigma_Q=S_Q^{+}-S_Q^{-}=0</w:t>
      </w:r>
    </w:p>
    <w:p w:rsidR="0057454C" w:rsidRDefault="0057454C" w:rsidP="0057454C">
      <w:pPr>
        <w:pStyle w:val="StandardWeb"/>
      </w:pPr>
      <w:r>
        <w:t>und (J_Q^{\mathrm{net}}=0) folgt nach der Bilanzgleichung</w:t>
      </w:r>
    </w:p>
    <w:p w:rsidR="0057454C" w:rsidRDefault="0057454C" w:rsidP="0057454C">
      <w:pPr>
        <w:pStyle w:val="berschrift1"/>
      </w:pPr>
      <w:r>
        <w:t>[</w:t>
      </w:r>
      <w:r>
        <w:br/>
        <w:t>\Delta_TQ_F</w:t>
      </w:r>
    </w:p>
    <w:p w:rsidR="0057454C" w:rsidRDefault="0057454C" w:rsidP="0057454C">
      <w:pPr>
        <w:pStyle w:val="berschrift1"/>
      </w:pPr>
      <w:r>
        <w:t>0+0</w:t>
      </w:r>
    </w:p>
    <w:p w:rsidR="0057454C" w:rsidRDefault="0057454C" w:rsidP="00152216">
      <w:pPr>
        <w:numPr>
          <w:ilvl w:val="0"/>
          <w:numId w:val="500"/>
        </w:numPr>
        <w:spacing w:before="100" w:beforeAutospacing="1" w:after="100" w:afterAutospacing="1"/>
      </w:pPr>
    </w:p>
    <w:p w:rsidR="0057454C" w:rsidRDefault="0057454C" w:rsidP="0057454C">
      <w:pPr>
        <w:pStyle w:val="StandardWeb"/>
      </w:pPr>
      <w:r>
        <w:t>\tag{3.11580}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\Delta_TQ_F=0+0=0</w:t>
      </w:r>
    </w:p>
    <w:p w:rsidR="0057454C" w:rsidRDefault="0057454C" w:rsidP="0057454C">
      <w:pPr>
        <w:pStyle w:val="StandardWeb"/>
      </w:pPr>
      <w:r>
        <w:t>(\square)</w:t>
      </w:r>
    </w:p>
    <w:p w:rsidR="0057454C" w:rsidRDefault="00E50336" w:rsidP="0057454C">
      <w:r>
        <w:pict>
          <v:rect id="_x0000_i3958" style="width:0;height:1.5pt" o:hralign="center" o:hrstd="t" o:hr="t" fillcolor="#a0a0a0" stroked="f"/>
        </w:pict>
      </w:r>
    </w:p>
    <w:p w:rsidR="0057454C" w:rsidRDefault="0057454C" w:rsidP="0057454C">
      <w:pPr>
        <w:pStyle w:val="berschrift1"/>
      </w:pPr>
      <w:r>
        <w:t>3.3.47.81 Die Umkehrung von Satz 3.3.107 gilt nicht</w:t>
      </w:r>
    </w:p>
    <w:p w:rsidR="0057454C" w:rsidRDefault="0057454C" w:rsidP="0057454C">
      <w:pPr>
        <w:pStyle w:val="StandardWeb"/>
      </w:pPr>
      <w:r>
        <w:lastRenderedPageBreak/>
        <w:t>Aus</w:t>
      </w:r>
    </w:p>
    <w:p w:rsidR="0057454C" w:rsidRDefault="0057454C" w:rsidP="0057454C">
      <w:pPr>
        <w:pStyle w:val="StandardWeb"/>
      </w:pPr>
      <w:r>
        <w:t>[</w:t>
      </w:r>
      <w:r>
        <w:br/>
        <w:t>\Delta_TQ_F=0</w:t>
      </w:r>
      <w:r>
        <w:br/>
        <w:t>\tag{3.11581}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\Delta_TQ_F=0</w:t>
      </w:r>
    </w:p>
    <w:p w:rsidR="0057454C" w:rsidRDefault="0057454C" w:rsidP="0057454C">
      <w:pPr>
        <w:pStyle w:val="StandardWeb"/>
      </w:pPr>
      <w:r>
        <w:t>folgt nicht notwendig</w:t>
      </w:r>
    </w:p>
    <w:p w:rsidR="0057454C" w:rsidRDefault="0057454C" w:rsidP="0057454C">
      <w:pPr>
        <w:pStyle w:val="berschrift1"/>
      </w:pPr>
      <w:r>
        <w:t>[</w:t>
      </w:r>
      <w:r>
        <w:br/>
        <w:t>S_Q^{+}</w:t>
      </w:r>
    </w:p>
    <w:p w:rsidR="0057454C" w:rsidRDefault="0057454C" w:rsidP="0057454C">
      <w:pPr>
        <w:pStyle w:val="berschrift1"/>
      </w:pPr>
      <w:r>
        <w:t>S_Q^{-}</w:t>
      </w:r>
    </w:p>
    <w:p w:rsidR="0057454C" w:rsidRDefault="0057454C" w:rsidP="0057454C">
      <w:pPr>
        <w:pStyle w:val="berschrift1"/>
      </w:pPr>
      <w:r>
        <w:t>J_Q^{\mathrm{net}}</w:t>
      </w:r>
    </w:p>
    <w:p w:rsidR="0057454C" w:rsidRDefault="0057454C" w:rsidP="00152216">
      <w:pPr>
        <w:numPr>
          <w:ilvl w:val="0"/>
          <w:numId w:val="501"/>
        </w:numPr>
        <w:spacing w:before="100" w:beforeAutospacing="1" w:after="100" w:afterAutospacing="1"/>
      </w:pPr>
    </w:p>
    <w:p w:rsidR="0057454C" w:rsidRDefault="0057454C" w:rsidP="0057454C">
      <w:pPr>
        <w:pStyle w:val="StandardWeb"/>
      </w:pPr>
      <w:r>
        <w:t>\tag{3.11582}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S_Q^{+}=S_Q^{-}=J_Q^{\mathrm{net}}=0</w:t>
      </w:r>
    </w:p>
    <w:p w:rsidR="0057454C" w:rsidRDefault="0057454C" w:rsidP="0057454C">
      <w:pPr>
        <w:pStyle w:val="StandardWeb"/>
      </w:pPr>
      <w:r>
        <w:t>Denn Quellen, Senken und Flüsse können sich gegenseitig kompensieren.</w:t>
      </w:r>
    </w:p>
    <w:p w:rsidR="0057454C" w:rsidRDefault="00E50336" w:rsidP="0057454C">
      <w:r>
        <w:pict>
          <v:rect id="_x0000_i3959" style="width:0;height:1.5pt" o:hralign="center" o:hrstd="t" o:hr="t" fillcolor="#a0a0a0" stroked="f"/>
        </w:pict>
      </w:r>
    </w:p>
    <w:p w:rsidR="0057454C" w:rsidRDefault="0057454C" w:rsidP="0057454C">
      <w:pPr>
        <w:pStyle w:val="berschrift1"/>
      </w:pPr>
      <w:r>
        <w:t>3.3.47.82 Offenes funktionales Bilanzsystem</w:t>
      </w:r>
    </w:p>
    <w:p w:rsidR="0057454C" w:rsidRDefault="0057454C" w:rsidP="0057454C">
      <w:pPr>
        <w:pStyle w:val="StandardWeb"/>
      </w:pPr>
      <w:r>
        <w:t>Ein funktionales Bilanzsystem heißt offen, wenn ein Austausch über seine festgelegte Grenze möglich ist.</w:t>
      </w:r>
    </w:p>
    <w:p w:rsidR="0057454C" w:rsidRDefault="0057454C" w:rsidP="0057454C">
      <w:pPr>
        <w:pStyle w:val="StandardWeb"/>
      </w:pPr>
      <w:r>
        <w:t>Formal genügt</w:t>
      </w:r>
    </w:p>
    <w:p w:rsidR="0057454C" w:rsidRDefault="0057454C" w:rsidP="0057454C">
      <w:pPr>
        <w:pStyle w:val="StandardWeb"/>
      </w:pPr>
      <w:r>
        <w:t>[</w:t>
      </w:r>
      <w:r>
        <w:br/>
        <w:t>J_Q^{\mathrm{in}}&gt;0</w:t>
      </w:r>
      <w:r>
        <w:br/>
        <w:t>\quad\lor\quad</w:t>
      </w:r>
      <w:r>
        <w:br/>
        <w:t>J_Q^{\mathrm{out}}&gt;0.</w:t>
      </w:r>
      <w:r>
        <w:br/>
        <w:t>\tag{3.11583}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lastRenderedPageBreak/>
        <w:t>J_Q^{\mathrm{in}}&gt;0\quad\lor\quad J_Q^{\mathrm{out}}&gt;0</w:t>
      </w:r>
    </w:p>
    <w:p w:rsidR="0057454C" w:rsidRDefault="00E50336" w:rsidP="0057454C">
      <w:r>
        <w:pict>
          <v:rect id="_x0000_i3960" style="width:0;height:1.5pt" o:hralign="center" o:hrstd="t" o:hr="t" fillcolor="#a0a0a0" stroked="f"/>
        </w:pict>
      </w:r>
    </w:p>
    <w:p w:rsidR="0057454C" w:rsidRDefault="0057454C" w:rsidP="0057454C">
      <w:pPr>
        <w:pStyle w:val="berschrift1"/>
      </w:pPr>
      <w:r>
        <w:t>3.3.47.83 Definition 3.3.254 – Funktional offenes Bilanzsystem</w:t>
      </w:r>
    </w:p>
    <w:p w:rsidR="0057454C" w:rsidRDefault="0057454C" w:rsidP="0057454C">
      <w:pPr>
        <w:pStyle w:val="berschrift3"/>
      </w:pPr>
      <w:r>
        <w:t>Definition 3.3.254</w:t>
      </w:r>
    </w:p>
    <w:p w:rsidR="0057454C" w:rsidRDefault="0057454C" w:rsidP="0057454C">
      <w:pPr>
        <w:pStyle w:val="StandardWeb"/>
      </w:pPr>
      <w:r>
        <w:t xml:space="preserve">Ein bezüglich (Q_F) bilanziertes System heißt </w:t>
      </w:r>
      <w:r>
        <w:rPr>
          <w:rStyle w:val="Fett"/>
        </w:rPr>
        <w:t>funktional offen</w:t>
      </w:r>
      <w:r>
        <w:t>, wenn</w:t>
      </w:r>
    </w:p>
    <w:p w:rsidR="0057454C" w:rsidRDefault="0057454C" w:rsidP="0057454C">
      <w:pPr>
        <w:pStyle w:val="StandardWeb"/>
      </w:pPr>
      <w:r>
        <w:t>[</w:t>
      </w:r>
      <w:r>
        <w:br/>
        <w:t>\boxed{</w:t>
      </w:r>
      <w:r>
        <w:br/>
        <w:t>J_Q^{\mathrm{in}}&gt;0</w:t>
      </w:r>
      <w:r>
        <w:br/>
        <w:t>\quad\lor\quad</w:t>
      </w:r>
      <w:r>
        <w:br/>
        <w:t>J_Q^{\mathrm{out}}&gt;0.</w:t>
      </w:r>
      <w:r>
        <w:br/>
        <w:t>}</w:t>
      </w:r>
      <w:r>
        <w:br/>
        <w:t>\tag{3.11584}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\boxed{J_Q^{\mathrm{in}}&gt;0\quad\lor\quad J_Q^{\mathrm{out}}&gt;0.}</w:t>
      </w:r>
    </w:p>
    <w:p w:rsidR="0057454C" w:rsidRDefault="00E50336" w:rsidP="0057454C">
      <w:r>
        <w:pict>
          <v:rect id="_x0000_i3961" style="width:0;height:1.5pt" o:hralign="center" o:hrstd="t" o:hr="t" fillcolor="#a0a0a0" stroked="f"/>
        </w:pict>
      </w:r>
    </w:p>
    <w:p w:rsidR="0057454C" w:rsidRDefault="0057454C" w:rsidP="0057454C">
      <w:pPr>
        <w:pStyle w:val="berschrift1"/>
      </w:pPr>
      <w:r>
        <w:t>3.3.47.84 Offenheit impliziert keine Änderung</w:t>
      </w:r>
    </w:p>
    <w:p w:rsidR="0057454C" w:rsidRDefault="0057454C" w:rsidP="0057454C">
      <w:pPr>
        <w:pStyle w:val="StandardWeb"/>
      </w:pPr>
      <w:r>
        <w:t>Aus funktionaler Offenheit folgt nicht notwendig eine Änderung der Zustandsgröße.</w:t>
      </w:r>
    </w:p>
    <w:p w:rsidR="0057454C" w:rsidRDefault="0057454C" w:rsidP="0057454C">
      <w:pPr>
        <w:pStyle w:val="StandardWeb"/>
      </w:pPr>
      <w:r>
        <w:t>Es kann</w:t>
      </w:r>
    </w:p>
    <w:p w:rsidR="0057454C" w:rsidRDefault="0057454C" w:rsidP="0057454C">
      <w:pPr>
        <w:pStyle w:val="berschrift1"/>
      </w:pPr>
      <w:r>
        <w:t>[</w:t>
      </w:r>
      <w:r>
        <w:br/>
        <w:t>J_Q^{\mathrm{in}}</w:t>
      </w:r>
    </w:p>
    <w:p w:rsidR="0057454C" w:rsidRDefault="0057454C" w:rsidP="0057454C">
      <w:pPr>
        <w:pStyle w:val="StandardWeb"/>
      </w:pPr>
      <w:r>
        <w:t>J_Q^{\mathrm{out}}</w:t>
      </w:r>
      <w:r>
        <w:br/>
        <w:t>\neq0</w:t>
      </w:r>
      <w:r>
        <w:br/>
        <w:t>\tag{3.11585}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J_Q^{\mathrm{in}}=J_Q^{\mathrm{out}}\neq0</w:t>
      </w:r>
    </w:p>
    <w:p w:rsidR="0057454C" w:rsidRDefault="0057454C" w:rsidP="0057454C">
      <w:pPr>
        <w:pStyle w:val="StandardWeb"/>
      </w:pPr>
      <w:r>
        <w:t>gelten.</w:t>
      </w:r>
    </w:p>
    <w:p w:rsidR="0057454C" w:rsidRDefault="0057454C" w:rsidP="0057454C">
      <w:pPr>
        <w:pStyle w:val="StandardWeb"/>
      </w:pPr>
      <w:r>
        <w:t>Dann ist</w:t>
      </w:r>
    </w:p>
    <w:p w:rsidR="0057454C" w:rsidRDefault="0057454C" w:rsidP="0057454C">
      <w:pPr>
        <w:pStyle w:val="StandardWeb"/>
      </w:pPr>
      <w:r>
        <w:t>[</w:t>
      </w:r>
      <w:r>
        <w:br/>
        <w:t>J_Q^{\mathrm{net}}=0.</w:t>
      </w:r>
      <w:r>
        <w:br/>
      </w:r>
      <w:r>
        <w:lastRenderedPageBreak/>
        <w:t>\tag{3.11586}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J_Q^{\mathrm{net}}=0</w:t>
      </w:r>
    </w:p>
    <w:p w:rsidR="0057454C" w:rsidRDefault="0057454C" w:rsidP="0057454C">
      <w:pPr>
        <w:pStyle w:val="StandardWeb"/>
      </w:pPr>
      <w:r>
        <w:t>Sind zusätzlich die Quellen und Senken ausgeglichen, bleibt (Q_F) erhalten.</w:t>
      </w:r>
    </w:p>
    <w:p w:rsidR="0057454C" w:rsidRDefault="00E50336" w:rsidP="0057454C">
      <w:r>
        <w:pict>
          <v:rect id="_x0000_i3962" style="width:0;height:1.5pt" o:hralign="center" o:hrstd="t" o:hr="t" fillcolor="#a0a0a0" stroked="f"/>
        </w:pict>
      </w:r>
    </w:p>
    <w:p w:rsidR="0057454C" w:rsidRDefault="0057454C" w:rsidP="0057454C">
      <w:pPr>
        <w:pStyle w:val="berschrift1"/>
      </w:pPr>
      <w:r>
        <w:t>3.3.47.85 Geschlossenheit ist relativ zur Systemgrenze</w:t>
      </w:r>
    </w:p>
    <w:p w:rsidR="0057454C" w:rsidRDefault="0057454C" w:rsidP="0057454C">
      <w:pPr>
        <w:pStyle w:val="StandardWeb"/>
      </w:pPr>
      <w:r>
        <w:t>Ob ein Bilanzsystem offen oder geschlossen ist, hängt von der gewählten Systemgrenze ab.</w:t>
      </w:r>
    </w:p>
    <w:p w:rsidR="0057454C" w:rsidRDefault="0057454C" w:rsidP="0057454C">
      <w:pPr>
        <w:pStyle w:val="StandardWeb"/>
      </w:pPr>
      <w:r>
        <w:t>Für zwei Teilstrukturen</w:t>
      </w:r>
    </w:p>
    <w:p w:rsidR="0057454C" w:rsidRDefault="0057454C" w:rsidP="0057454C">
      <w:pPr>
        <w:pStyle w:val="StandardWeb"/>
      </w:pPr>
      <w:r>
        <w:t>[</w:t>
      </w:r>
      <w:r>
        <w:br/>
        <w:t>\mathcal S_1</w:t>
      </w:r>
      <w:r>
        <w:br/>
        <w:t>\subset</w:t>
      </w:r>
      <w:r>
        <w:br/>
        <w:t>\mathcal S_2</w:t>
      </w:r>
      <w:r>
        <w:br/>
        <w:t>\tag{3.11587}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\mathcal S_1\subset\mathcal S_2</w:t>
      </w:r>
    </w:p>
    <w:p w:rsidR="0057454C" w:rsidRDefault="0057454C" w:rsidP="0057454C">
      <w:pPr>
        <w:pStyle w:val="StandardWeb"/>
      </w:pPr>
      <w:r>
        <w:t>kann ein Fluss bezüglich (\mathcal S_1) extern, bezüglich (\mathcal S_2) jedoch intern sein.</w:t>
      </w:r>
    </w:p>
    <w:p w:rsidR="0057454C" w:rsidRDefault="0057454C" w:rsidP="0057454C">
      <w:pPr>
        <w:pStyle w:val="StandardWeb"/>
      </w:pPr>
      <w:r>
        <w:t>Daher gilt grundsätzlich</w:t>
      </w:r>
    </w:p>
    <w:p w:rsidR="0057454C" w:rsidRDefault="0057454C" w:rsidP="0057454C">
      <w:pPr>
        <w:pStyle w:val="StandardWeb"/>
      </w:pPr>
      <w:r>
        <w:t>[</w:t>
      </w:r>
      <w:r>
        <w:br/>
        <w:t>\operatorname{Open}_Q(\mathcal S_1)</w:t>
      </w:r>
      <w:r>
        <w:br/>
        <w:t>\not\Rightarrow</w:t>
      </w:r>
      <w:r>
        <w:br/>
        <w:t>\operatorname{Open}_Q(\mathcal S_2).</w:t>
      </w:r>
      <w:r>
        <w:br/>
        <w:t>\tag{3.11588}</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\operatorname{Open}_Q(\mathcal S_1)\not\Rightarrow\operatorname{Open}_Q(\mathcal S_2)</w:t>
      </w:r>
    </w:p>
    <w:p w:rsidR="0057454C" w:rsidRDefault="00E50336" w:rsidP="0057454C">
      <w:r>
        <w:pict>
          <v:rect id="_x0000_i3963" style="width:0;height:1.5pt" o:hralign="center" o:hrstd="t" o:hr="t" fillcolor="#a0a0a0" stroked="f"/>
        </w:pict>
      </w:r>
    </w:p>
    <w:p w:rsidR="0057454C" w:rsidRDefault="0057454C" w:rsidP="0057454C">
      <w:pPr>
        <w:pStyle w:val="berschrift1"/>
      </w:pPr>
      <w:r>
        <w:t>3.3.47.86 Definition 3.3.255 – Bilanzgrenze</w:t>
      </w:r>
    </w:p>
    <w:p w:rsidR="0057454C" w:rsidRDefault="0057454C" w:rsidP="0057454C">
      <w:pPr>
        <w:pStyle w:val="berschrift3"/>
      </w:pPr>
      <w:r>
        <w:t>Definition 3.3.255</w:t>
      </w:r>
    </w:p>
    <w:p w:rsidR="0057454C" w:rsidRDefault="0057454C" w:rsidP="0057454C">
      <w:pPr>
        <w:pStyle w:val="StandardWeb"/>
      </w:pPr>
      <w:r>
        <w:lastRenderedPageBreak/>
        <w:t xml:space="preserve">Eine </w:t>
      </w:r>
      <w:r>
        <w:rPr>
          <w:rStyle w:val="Fett"/>
        </w:rPr>
        <w:t>Bilanzgrenze</w:t>
      </w:r>
      <w:r>
        <w:t xml:space="preserve"> (\partial_B\mathcal S) ist diejenige modelltheoretisch festgelegte Abgrenzung einer funktionalen Teilstruktur (\mathcal S), relativ zu der interne und externe Flüsse unterschieden werden.</w:t>
      </w:r>
    </w:p>
    <w:p w:rsidR="0057454C" w:rsidRDefault="0057454C" w:rsidP="0057454C">
      <w:pPr>
        <w:pStyle w:val="StandardWeb"/>
      </w:pPr>
      <w:r>
        <w:t>Formal schreibe ich</w:t>
      </w:r>
    </w:p>
    <w:p w:rsidR="0057454C" w:rsidRDefault="0057454C" w:rsidP="0057454C">
      <w:pPr>
        <w:pStyle w:val="StandardWeb"/>
      </w:pPr>
      <w:r>
        <w:t>[</w:t>
      </w:r>
      <w:r>
        <w:br/>
        <w:t>\boxed{</w:t>
      </w:r>
      <w:r>
        <w:br/>
        <w:t>\partial_B\mathcal S.</w:t>
      </w:r>
      <w:r>
        <w:br/>
        <w:t>}</w:t>
      </w:r>
      <w:r>
        <w:br/>
        <w:t>\tag{3.11589}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\boxed{\partial_B\mathcal S.}</w:t>
      </w:r>
    </w:p>
    <w:p w:rsidR="0057454C" w:rsidRDefault="00E50336" w:rsidP="0057454C">
      <w:r>
        <w:pict>
          <v:rect id="_x0000_i3964" style="width:0;height:1.5pt" o:hralign="center" o:hrstd="t" o:hr="t" fillcolor="#a0a0a0" stroked="f"/>
        </w:pict>
      </w:r>
    </w:p>
    <w:p w:rsidR="0057454C" w:rsidRDefault="0057454C" w:rsidP="0057454C">
      <w:pPr>
        <w:pStyle w:val="berschrift1"/>
      </w:pPr>
      <w:r>
        <w:t>3.3.47.87 Grenzflussmenge</w:t>
      </w:r>
    </w:p>
    <w:p w:rsidR="0057454C" w:rsidRDefault="0057454C" w:rsidP="0057454C">
      <w:pPr>
        <w:pStyle w:val="StandardWeb"/>
      </w:pPr>
      <w:r>
        <w:t>Die Menge aller Übergänge, welche die Bilanzgrenze überschreiten, kann definiert werden als</w:t>
      </w:r>
    </w:p>
    <w:p w:rsidR="0057454C" w:rsidRDefault="0057454C" w:rsidP="0057454C">
      <w:pPr>
        <w:pStyle w:val="StandardWeb"/>
      </w:pPr>
      <w:r>
        <w:t>[</w:t>
      </w:r>
      <w:r>
        <w:br/>
        <w:t>\mathcal T_{\partial\mathcal S}</w:t>
      </w:r>
      <w:r>
        <w:br/>
        <w:t>:=</w:t>
      </w:r>
      <w:r>
        <w:br/>
        <w:t>\left{</w:t>
      </w:r>
      <w:r>
        <w:br/>
        <w:t>(z_i,z_j)\in\mathcal T_F:</w:t>
      </w:r>
      <w:r>
        <w:br/>
        <w:t>\chi_{\mathcal S}(z_i)</w:t>
      </w:r>
      <w:r>
        <w:br/>
        <w:t>\neq</w:t>
      </w:r>
      <w:r>
        <w:br/>
        <w:t>\chi_{\mathcal S}(z_j)</w:t>
      </w:r>
      <w:r>
        <w:br/>
        <w:t>\right},</w:t>
      </w:r>
      <w:r>
        <w:br/>
        <w:t>\tag{3.11590}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\mathcal T_{\partial\mathcal S}:=\left\{(z_i,z_j)\in\mathcal T_F:\chi_{\mathcal S}(z_i)\neq\chi_{\mathcal S}(z_j)\right\}</w:t>
      </w:r>
    </w:p>
    <w:p w:rsidR="0057454C" w:rsidRDefault="0057454C" w:rsidP="0057454C">
      <w:pPr>
        <w:pStyle w:val="StandardWeb"/>
      </w:pPr>
      <w:r>
        <w:t>wobei (\chi_{\mathcal S}) die Indikatorfunktion der betrachteten Teilstruktur bezeichnet.</w:t>
      </w:r>
    </w:p>
    <w:p w:rsidR="0057454C" w:rsidRDefault="00E50336" w:rsidP="0057454C">
      <w:r>
        <w:pict>
          <v:rect id="_x0000_i3965" style="width:0;height:1.5pt" o:hralign="center" o:hrstd="t" o:hr="t" fillcolor="#a0a0a0" stroked="f"/>
        </w:pict>
      </w:r>
    </w:p>
    <w:p w:rsidR="0057454C" w:rsidRDefault="0057454C" w:rsidP="0057454C">
      <w:pPr>
        <w:pStyle w:val="berschrift1"/>
      </w:pPr>
      <w:r>
        <w:t>3.3.47.88 Definition 3.3.256 – Grenzübergangsmenge</w:t>
      </w:r>
    </w:p>
    <w:p w:rsidR="0057454C" w:rsidRDefault="0057454C" w:rsidP="0057454C">
      <w:pPr>
        <w:pStyle w:val="berschrift3"/>
      </w:pPr>
      <w:r>
        <w:t>Definition 3.3.256</w:t>
      </w:r>
    </w:p>
    <w:p w:rsidR="0057454C" w:rsidRDefault="0057454C" w:rsidP="0057454C">
      <w:pPr>
        <w:pStyle w:val="StandardWeb"/>
      </w:pPr>
      <w:r>
        <w:t xml:space="preserve">Die </w:t>
      </w:r>
      <w:r>
        <w:rPr>
          <w:rStyle w:val="Fett"/>
        </w:rPr>
        <w:t>Grenzübergangsmenge</w:t>
      </w:r>
      <w:r>
        <w:t xml:space="preserve"> einer funktionalen Teilstruktur (\mathcal S) ist</w:t>
      </w:r>
    </w:p>
    <w:p w:rsidR="0057454C" w:rsidRDefault="0057454C" w:rsidP="0057454C">
      <w:pPr>
        <w:pStyle w:val="StandardWeb"/>
      </w:pPr>
      <w:r>
        <w:t>[</w:t>
      </w:r>
      <w:r>
        <w:br/>
        <w:t>\boxed{</w:t>
      </w:r>
      <w:r>
        <w:br/>
      </w:r>
      <w:r>
        <w:lastRenderedPageBreak/>
        <w:t>\mathcal T_{\partial\mathcal S}</w:t>
      </w:r>
      <w:r>
        <w:br/>
        <w:t>:=</w:t>
      </w:r>
      <w:r>
        <w:br/>
        <w:t>\left{</w:t>
      </w:r>
      <w:r>
        <w:br/>
        <w:t>(z_i,z_j)\in\mathcal T_F:</w:t>
      </w:r>
      <w:r>
        <w:br/>
        <w:t>\chi_{\mathcal S}(z_i)</w:t>
      </w:r>
      <w:r>
        <w:br/>
        <w:t>\neq</w:t>
      </w:r>
      <w:r>
        <w:br/>
        <w:t>\chi_{\mathcal S}(z_j)</w:t>
      </w:r>
      <w:r>
        <w:br/>
        <w:t>\right}.</w:t>
      </w:r>
      <w:r>
        <w:br/>
        <w:t>}</w:t>
      </w:r>
      <w:r>
        <w:br/>
        <w:t>\tag{3.11591}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\boxed{\mathcal T_{\partial\mathcal S}:=\left\{(z_i,z_j)\in\mathcal T_F:\chi_{\mathcal S}(z_i)\neq\chi_{\mathcal S}(z_j)\right\}.}</w:t>
      </w:r>
    </w:p>
    <w:p w:rsidR="0057454C" w:rsidRDefault="00E50336" w:rsidP="0057454C">
      <w:r>
        <w:pict>
          <v:rect id="_x0000_i3966" style="width:0;height:1.5pt" o:hralign="center" o:hrstd="t" o:hr="t" fillcolor="#a0a0a0" stroked="f"/>
        </w:pict>
      </w:r>
    </w:p>
    <w:p w:rsidR="0057454C" w:rsidRDefault="0057454C" w:rsidP="0057454C">
      <w:pPr>
        <w:pStyle w:val="berschrift1"/>
      </w:pPr>
      <w:r>
        <w:t>3.3.47.89 Interne Flüsse und Bilanzneutralität</w:t>
      </w:r>
    </w:p>
    <w:p w:rsidR="0057454C" w:rsidRDefault="0057454C" w:rsidP="0057454C">
      <w:pPr>
        <w:pStyle w:val="StandardWeb"/>
      </w:pPr>
      <w:r>
        <w:t>Betrachte ich eine Gesamtstruktur aus mehreren Teilzuständen, kann ein interner Fluss bei geeigneter antisymmetrischer Bilanzierung zweimal auftreten: einmal als Abfluss aus einer Komponente und einmal als Zufluss in eine andere.</w:t>
      </w:r>
    </w:p>
    <w:p w:rsidR="0057454C" w:rsidRDefault="0057454C" w:rsidP="0057454C">
      <w:pPr>
        <w:pStyle w:val="StandardWeb"/>
      </w:pPr>
      <w:r>
        <w:t>Für einen Fluss von (z_i) nach (z_j) gilt dann</w:t>
      </w:r>
    </w:p>
    <w:p w:rsidR="0057454C" w:rsidRDefault="0057454C" w:rsidP="0057454C">
      <w:pPr>
        <w:pStyle w:val="berschrift1"/>
      </w:pPr>
      <w:r>
        <w:t>[</w:t>
      </w:r>
      <w:r>
        <w:br/>
        <w:t>-J_Q(z_i,z_j)</w:t>
      </w:r>
      <w:r>
        <w:br/>
        <w:t>+</w:t>
      </w:r>
      <w:r>
        <w:br/>
        <w:t>J_Q(z_i,z_j)</w:t>
      </w:r>
    </w:p>
    <w:p w:rsidR="0057454C" w:rsidRDefault="0057454C" w:rsidP="00152216">
      <w:pPr>
        <w:numPr>
          <w:ilvl w:val="0"/>
          <w:numId w:val="502"/>
        </w:numPr>
        <w:spacing w:before="100" w:beforeAutospacing="1" w:after="100" w:afterAutospacing="1"/>
      </w:pPr>
    </w:p>
    <w:p w:rsidR="0057454C" w:rsidRDefault="0057454C" w:rsidP="0057454C">
      <w:pPr>
        <w:pStyle w:val="StandardWeb"/>
      </w:pPr>
      <w:r>
        <w:t>\tag{3.11592}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-J_Q(z_i,z_j)+J_Q(z_i,z_j)=0</w:t>
      </w:r>
    </w:p>
    <w:p w:rsidR="0057454C" w:rsidRDefault="00E50336" w:rsidP="0057454C">
      <w:r>
        <w:pict>
          <v:rect id="_x0000_i3967" style="width:0;height:1.5pt" o:hralign="center" o:hrstd="t" o:hr="t" fillcolor="#a0a0a0" stroked="f"/>
        </w:pict>
      </w:r>
    </w:p>
    <w:p w:rsidR="0057454C" w:rsidRDefault="0057454C" w:rsidP="0057454C">
      <w:pPr>
        <w:pStyle w:val="berschrift1"/>
      </w:pPr>
      <w:r>
        <w:t>3.3.47.90 Satz 3.3.108 – Paarweise antisymmetrische interne Flüsse heben sich in der Gesamtbilanz auf</w:t>
      </w:r>
    </w:p>
    <w:p w:rsidR="0057454C" w:rsidRDefault="0057454C" w:rsidP="0057454C">
      <w:pPr>
        <w:pStyle w:val="berschrift3"/>
      </w:pPr>
      <w:r>
        <w:t>Satz 3.3.108</w:t>
      </w:r>
    </w:p>
    <w:p w:rsidR="0057454C" w:rsidRDefault="0057454C" w:rsidP="0057454C">
      <w:pPr>
        <w:pStyle w:val="StandardWeb"/>
      </w:pPr>
      <w:r>
        <w:lastRenderedPageBreak/>
        <w:t>Werden interne Flüsse einer endlichen funktionalen Gesamtstruktur vollständig und paarweise antisymmetrisch bilanziert, dann ist ihr Nettobeitrag zur Gesamtbilanz null:</w:t>
      </w:r>
    </w:p>
    <w:p w:rsidR="0057454C" w:rsidRDefault="0057454C" w:rsidP="0057454C">
      <w:pPr>
        <w:pStyle w:val="berschrift1"/>
      </w:pPr>
      <w:r>
        <w:t>[</w:t>
      </w:r>
      <w:r>
        <w:br/>
        <w:t>\boxed{</w:t>
      </w:r>
      <w:r>
        <w:br/>
        <w:t>\sum J_Q^{\mathrm{int}}</w:t>
      </w:r>
    </w:p>
    <w:p w:rsidR="0057454C" w:rsidRDefault="0057454C" w:rsidP="00152216">
      <w:pPr>
        <w:numPr>
          <w:ilvl w:val="0"/>
          <w:numId w:val="503"/>
        </w:numPr>
        <w:spacing w:before="100" w:beforeAutospacing="1" w:after="100" w:afterAutospacing="1"/>
      </w:pPr>
    </w:p>
    <w:p w:rsidR="0057454C" w:rsidRDefault="0057454C" w:rsidP="0057454C">
      <w:pPr>
        <w:pStyle w:val="StandardWeb"/>
      </w:pPr>
      <w:r>
        <w:t>}</w:t>
      </w:r>
      <w:r>
        <w:br/>
        <w:t>\tag{3.11593}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\boxed{\sum J_Q^{\mathrm{int}}=0.}</w:t>
      </w:r>
    </w:p>
    <w:p w:rsidR="0057454C" w:rsidRDefault="0057454C" w:rsidP="0057454C">
      <w:pPr>
        <w:pStyle w:val="berschrift3"/>
      </w:pPr>
      <w:r>
        <w:t>Beweis</w:t>
      </w:r>
    </w:p>
    <w:p w:rsidR="0057454C" w:rsidRDefault="0057454C" w:rsidP="0057454C">
      <w:pPr>
        <w:pStyle w:val="StandardWeb"/>
      </w:pPr>
      <w:r>
        <w:t>Zu jedem vollständig intern bilanzierten gerichteten Beitrag</w:t>
      </w:r>
    </w:p>
    <w:p w:rsidR="0057454C" w:rsidRDefault="0057454C" w:rsidP="0057454C">
      <w:pPr>
        <w:pStyle w:val="StandardWeb"/>
      </w:pPr>
      <w:r>
        <w:t>[</w:t>
      </w:r>
      <w:r>
        <w:br/>
        <w:t>J_Q(z_i,z_j)</w:t>
      </w:r>
      <w:r>
        <w:br/>
        <w:t>\tag{3.11594}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J_Q(z_i,z_j)</w:t>
      </w:r>
    </w:p>
    <w:p w:rsidR="0057454C" w:rsidRDefault="0057454C" w:rsidP="0057454C">
      <w:pPr>
        <w:pStyle w:val="StandardWeb"/>
      </w:pPr>
      <w:r>
        <w:t>tritt in der Gesamtbilanz der Gegenbeitrag</w:t>
      </w:r>
    </w:p>
    <w:p w:rsidR="0057454C" w:rsidRDefault="0057454C" w:rsidP="0057454C">
      <w:pPr>
        <w:pStyle w:val="StandardWeb"/>
      </w:pPr>
      <w:r>
        <w:t>[</w:t>
      </w:r>
      <w:r>
        <w:br/>
        <w:t>-J_Q(z_i,z_j)</w:t>
      </w:r>
      <w:r>
        <w:br/>
        <w:t>\tag{3.11595}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-J_Q(z_i,z_j)</w:t>
      </w:r>
    </w:p>
    <w:p w:rsidR="0057454C" w:rsidRDefault="0057454C" w:rsidP="0057454C">
      <w:pPr>
        <w:pStyle w:val="StandardWeb"/>
      </w:pPr>
      <w:r>
        <w:t>auf. Paarweise gilt daher</w:t>
      </w:r>
    </w:p>
    <w:p w:rsidR="0057454C" w:rsidRDefault="0057454C" w:rsidP="0057454C">
      <w:pPr>
        <w:pStyle w:val="berschrift2"/>
      </w:pPr>
      <w:r>
        <w:t>[</w:t>
      </w:r>
      <w:r>
        <w:br/>
        <w:t>J_Q(z_i,z_j)</w:t>
      </w:r>
    </w:p>
    <w:p w:rsidR="0057454C" w:rsidRDefault="0057454C" w:rsidP="0057454C">
      <w:pPr>
        <w:pStyle w:val="berschrift1"/>
      </w:pPr>
      <w:r>
        <w:t>J_Q(z_i,z_j)</w:t>
      </w:r>
    </w:p>
    <w:p w:rsidR="0057454C" w:rsidRDefault="0057454C" w:rsidP="00152216">
      <w:pPr>
        <w:numPr>
          <w:ilvl w:val="0"/>
          <w:numId w:val="504"/>
        </w:numPr>
        <w:spacing w:before="100" w:beforeAutospacing="1" w:after="100" w:afterAutospacing="1"/>
      </w:pPr>
    </w:p>
    <w:p w:rsidR="0057454C" w:rsidRDefault="0057454C" w:rsidP="0057454C">
      <w:pPr>
        <w:pStyle w:val="StandardWeb"/>
      </w:pPr>
      <w:r>
        <w:t>\tag{3.11596}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J_Q(z_i,z_j)-J_Q(z_i,z_j)=0</w:t>
      </w:r>
    </w:p>
    <w:p w:rsidR="0057454C" w:rsidRDefault="0057454C" w:rsidP="0057454C">
      <w:pPr>
        <w:pStyle w:val="StandardWeb"/>
      </w:pPr>
      <w:r>
        <w:t>Die Summe über alle internen Paare verschwindet. (\square)</w:t>
      </w:r>
    </w:p>
    <w:p w:rsidR="0057454C" w:rsidRDefault="00E50336" w:rsidP="0057454C">
      <w:r>
        <w:pict>
          <v:rect id="_x0000_i3968" style="width:0;height:1.5pt" o:hralign="center" o:hrstd="t" o:hr="t" fillcolor="#a0a0a0" stroked="f"/>
        </w:pict>
      </w:r>
    </w:p>
    <w:p w:rsidR="0057454C" w:rsidRDefault="0057454C" w:rsidP="0057454C">
      <w:pPr>
        <w:pStyle w:val="berschrift1"/>
      </w:pPr>
      <w:r>
        <w:t>3.3.47.91 Konsequenz für die Gesamtbilanz</w:t>
      </w:r>
    </w:p>
    <w:p w:rsidR="0057454C" w:rsidRDefault="0057454C" w:rsidP="0057454C">
      <w:pPr>
        <w:pStyle w:val="StandardWeb"/>
      </w:pPr>
      <w:r>
        <w:t>Unter den Voraussetzungen von Satz 3.3.108 bestimmen interne Flüsse nicht die Änderung der Gesamtmenge einer bilanzierten Größe.</w:t>
      </w:r>
    </w:p>
    <w:p w:rsidR="0057454C" w:rsidRDefault="0057454C" w:rsidP="0057454C">
      <w:pPr>
        <w:pStyle w:val="StandardWeb"/>
      </w:pPr>
      <w:r>
        <w:t>Für die Gesamtstruktur verbleiben daher nur</w:t>
      </w:r>
    </w:p>
    <w:p w:rsidR="0057454C" w:rsidRDefault="0057454C" w:rsidP="0057454C">
      <w:pPr>
        <w:pStyle w:val="berschrift1"/>
      </w:pPr>
      <w:r>
        <w:t>[</w:t>
      </w:r>
      <w:r>
        <w:br/>
        <w:t>\Delta_TQ_F^{\mathrm{ges}}</w:t>
      </w:r>
    </w:p>
    <w:p w:rsidR="0057454C" w:rsidRDefault="0057454C" w:rsidP="0057454C">
      <w:pPr>
        <w:pStyle w:val="StandardWeb"/>
      </w:pPr>
      <w:r>
        <w:t>\Sigma_Q^{\mathrm{ges}}</w:t>
      </w:r>
      <w:r>
        <w:br/>
        <w:t>+</w:t>
      </w:r>
      <w:r>
        <w:br/>
        <w:t>J_Q^{\mathrm{ext,net}}.</w:t>
      </w:r>
      <w:r>
        <w:br/>
        <w:t>\tag{3.11597}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\Delta_TQ_F^{\mathrm{ges}}=\Sigma_Q^{\mathrm{ges}}+J_Q^{\mathrm{ext,net}}</w:t>
      </w:r>
    </w:p>
    <w:p w:rsidR="0057454C" w:rsidRDefault="00E50336" w:rsidP="0057454C">
      <w:r>
        <w:pict>
          <v:rect id="_x0000_i3969" style="width:0;height:1.5pt" o:hralign="center" o:hrstd="t" o:hr="t" fillcolor="#a0a0a0" stroked="f"/>
        </w:pict>
      </w:r>
    </w:p>
    <w:p w:rsidR="0057454C" w:rsidRDefault="0057454C" w:rsidP="0057454C">
      <w:pPr>
        <w:pStyle w:val="berschrift1"/>
      </w:pPr>
      <w:r>
        <w:t>3.3.47.92 Korollar 3.3.24 – Gesamtbilanz eines geschlossenen Systems mit internen Flüssen</w:t>
      </w:r>
    </w:p>
    <w:p w:rsidR="0057454C" w:rsidRDefault="0057454C" w:rsidP="0057454C">
      <w:pPr>
        <w:pStyle w:val="berschrift3"/>
      </w:pPr>
      <w:r>
        <w:t>Korollar 3.3.24</w:t>
      </w:r>
    </w:p>
    <w:p w:rsidR="0057454C" w:rsidRDefault="0057454C" w:rsidP="0057454C">
      <w:pPr>
        <w:pStyle w:val="StandardWeb"/>
      </w:pPr>
      <w:r>
        <w:t>Ist das Gesamtsystem funktional geschlossen und sind sämtliche internen Flüsse vollständig antisymmetrisch bilanziert, dann gilt</w:t>
      </w:r>
    </w:p>
    <w:p w:rsidR="0057454C" w:rsidRDefault="0057454C" w:rsidP="0057454C">
      <w:pPr>
        <w:pStyle w:val="berschrift1"/>
      </w:pPr>
      <w:r>
        <w:t>[</w:t>
      </w:r>
      <w:r>
        <w:br/>
        <w:t>\boxed{</w:t>
      </w:r>
      <w:r>
        <w:br/>
        <w:t>\Delta_TQ_F^{\mathrm{ges}}</w:t>
      </w:r>
    </w:p>
    <w:p w:rsidR="0057454C" w:rsidRDefault="0057454C" w:rsidP="0057454C">
      <w:pPr>
        <w:pStyle w:val="StandardWeb"/>
      </w:pPr>
      <w:r>
        <w:lastRenderedPageBreak/>
        <w:t>\Sigma_Q^{\mathrm{ges}}.</w:t>
      </w:r>
      <w:r>
        <w:br/>
        <w:t>}</w:t>
      </w:r>
      <w:r>
        <w:br/>
        <w:t>\tag{3.11598}</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\boxed{\Delta_TQ_F^{\mathrm{ges}}=\Sigma_Q^{\mathrm{ges}}.}</w:t>
      </w:r>
    </w:p>
    <w:p w:rsidR="0057454C" w:rsidRDefault="00E50336" w:rsidP="0057454C">
      <w:r>
        <w:pict>
          <v:rect id="_x0000_i3970" style="width:0;height:1.5pt" o:hralign="center" o:hrstd="t" o:hr="t" fillcolor="#a0a0a0" stroked="f"/>
        </w:pict>
      </w:r>
    </w:p>
    <w:p w:rsidR="0057454C" w:rsidRDefault="0057454C" w:rsidP="0057454C">
      <w:pPr>
        <w:pStyle w:val="berschrift1"/>
      </w:pPr>
      <w:r>
        <w:t>3.3.47.93 Quellenfreies geschlossenes Gesamtsystem</w:t>
      </w:r>
    </w:p>
    <w:p w:rsidR="0057454C" w:rsidRDefault="0057454C" w:rsidP="0057454C">
      <w:pPr>
        <w:pStyle w:val="StandardWeb"/>
      </w:pPr>
      <w:r>
        <w:t>Gilt zusätzlich</w:t>
      </w:r>
    </w:p>
    <w:p w:rsidR="0057454C" w:rsidRDefault="0057454C" w:rsidP="0057454C">
      <w:pPr>
        <w:pStyle w:val="StandardWeb"/>
      </w:pPr>
      <w:r>
        <w:t>[</w:t>
      </w:r>
      <w:r>
        <w:br/>
        <w:t>\Sigma_Q^{\mathrm{ges}}=0,</w:t>
      </w:r>
      <w:r>
        <w:br/>
        <w:t>\tag{3.11599}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\Sigma_Q^{\mathrm{ges}}=0</w:t>
      </w:r>
    </w:p>
    <w:p w:rsidR="0057454C" w:rsidRDefault="0057454C" w:rsidP="0057454C">
      <w:pPr>
        <w:pStyle w:val="StandardWeb"/>
      </w:pPr>
      <w:r>
        <w:t>folgt</w:t>
      </w:r>
    </w:p>
    <w:p w:rsidR="0057454C" w:rsidRDefault="0057454C" w:rsidP="0057454C">
      <w:pPr>
        <w:pStyle w:val="StandardWeb"/>
      </w:pPr>
      <w:r>
        <w:t>[</w:t>
      </w:r>
      <w:r>
        <w:br/>
        <w:t>\Delta_TQ_F^{\mathrm{ges}}=0.</w:t>
      </w:r>
      <w:r>
        <w:br/>
        <w:t>\tag{3.11600}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\Delta_TQ_F^{\mathrm{ges}}=0</w:t>
      </w:r>
    </w:p>
    <w:p w:rsidR="0057454C" w:rsidRDefault="0057454C" w:rsidP="0057454C">
      <w:pPr>
        <w:pStyle w:val="StandardWeb"/>
      </w:pPr>
      <w:r>
        <w:t>Dies ist eine Erhaltungsaussage innerhalb der spezifizierten Bilanzmodellklasse.</w:t>
      </w:r>
    </w:p>
    <w:p w:rsidR="0057454C" w:rsidRDefault="00E50336" w:rsidP="0057454C">
      <w:r>
        <w:pict>
          <v:rect id="_x0000_i3971" style="width:0;height:1.5pt" o:hralign="center" o:hrstd="t" o:hr="t" fillcolor="#a0a0a0" stroked="f"/>
        </w:pict>
      </w:r>
    </w:p>
    <w:p w:rsidR="0057454C" w:rsidRDefault="0057454C" w:rsidP="0057454C">
      <w:pPr>
        <w:pStyle w:val="berschrift1"/>
      </w:pPr>
      <w:r>
        <w:t>3.3.47.94 Keine automatische Kontinuitätsgleichung</w:t>
      </w:r>
    </w:p>
    <w:p w:rsidR="0057454C" w:rsidRDefault="0057454C" w:rsidP="0057454C">
      <w:pPr>
        <w:pStyle w:val="StandardWeb"/>
      </w:pPr>
      <w:r>
        <w:t>Die diskrete Bilanz</w:t>
      </w:r>
    </w:p>
    <w:p w:rsidR="0057454C" w:rsidRDefault="0057454C" w:rsidP="0057454C">
      <w:pPr>
        <w:pStyle w:val="berschrift1"/>
      </w:pPr>
      <w:r>
        <w:t>[</w:t>
      </w:r>
      <w:r>
        <w:br/>
        <w:t>\Delta_TQ_F</w:t>
      </w:r>
    </w:p>
    <w:p w:rsidR="0057454C" w:rsidRDefault="0057454C" w:rsidP="0057454C">
      <w:pPr>
        <w:pStyle w:val="StandardWeb"/>
      </w:pPr>
      <w:r>
        <w:t>\Sigma_Q</w:t>
      </w:r>
      <w:r>
        <w:br/>
        <w:t>+</w:t>
      </w:r>
      <w:r>
        <w:br/>
        <w:t>J_Q^{\mathrm{net}}</w:t>
      </w:r>
      <w:r>
        <w:br/>
      </w:r>
      <w:r>
        <w:lastRenderedPageBreak/>
        <w:t>\tag{3.11601}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\Delta_TQ_F=\Sigma_Q+J_Q^{\mathrm{net}}</w:t>
      </w:r>
    </w:p>
    <w:p w:rsidR="0057454C" w:rsidRDefault="0057454C" w:rsidP="0057454C">
      <w:pPr>
        <w:pStyle w:val="StandardWeb"/>
      </w:pPr>
      <w:r>
        <w:t>darf nicht ohne zusätzliche Voraussetzungen mit einer kontinuierlichen Kontinuitätsgleichung identifiziert werden.</w:t>
      </w:r>
    </w:p>
    <w:p w:rsidR="0057454C" w:rsidRDefault="0057454C" w:rsidP="0057454C">
      <w:pPr>
        <w:pStyle w:val="StandardWeb"/>
      </w:pPr>
      <w:r>
        <w:t>Insbesondere folgt daraus nicht automatisch eine Beziehung der Form</w:t>
      </w:r>
    </w:p>
    <w:p w:rsidR="0057454C" w:rsidRDefault="0057454C" w:rsidP="0057454C">
      <w:pPr>
        <w:pStyle w:val="berschrift1"/>
      </w:pPr>
      <w:r>
        <w:t>[</w:t>
      </w:r>
      <w:r>
        <w:br/>
        <w:t>\frac{\partial \rho}{\partial t}</w:t>
      </w:r>
      <w:r>
        <w:br/>
        <w:t>+</w:t>
      </w:r>
      <w:r>
        <w:br/>
        <w:t>\nabla\cdot\mathbf J</w:t>
      </w:r>
    </w:p>
    <w:p w:rsidR="0057454C" w:rsidRDefault="0057454C" w:rsidP="0057454C">
      <w:pPr>
        <w:pStyle w:val="StandardWeb"/>
      </w:pPr>
      <w:r>
        <w:t>\sigma.</w:t>
      </w:r>
      <w:r>
        <w:br/>
        <w:t>\tag{3.11602}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\frac{\partial \rho}{\partial t}+\nabla\cdot\mathbf J=\sigma</w:t>
      </w:r>
    </w:p>
    <w:p w:rsidR="0057454C" w:rsidRDefault="0057454C" w:rsidP="0057454C">
      <w:pPr>
        <w:pStyle w:val="StandardWeb"/>
      </w:pPr>
      <w:r>
        <w:t>Dafür wären mindestens eine räumliche Struktur, eine Zeitparametrisierung, geeignete Differenzierbarkeit und lokale Dichtebegriffe erforderlich.</w:t>
      </w:r>
    </w:p>
    <w:p w:rsidR="0057454C" w:rsidRDefault="00E50336" w:rsidP="0057454C">
      <w:r>
        <w:pict>
          <v:rect id="_x0000_i3972" style="width:0;height:1.5pt" o:hralign="center" o:hrstd="t" o:hr="t" fillcolor="#a0a0a0" stroked="f"/>
        </w:pict>
      </w:r>
    </w:p>
    <w:p w:rsidR="0057454C" w:rsidRDefault="0057454C" w:rsidP="0057454C">
      <w:pPr>
        <w:pStyle w:val="berschrift1"/>
      </w:pPr>
      <w:r>
        <w:t>3.3.47.95 Definition 3.3.257 – Kontinuumsfähige funktionale Bilanzstruktur</w:t>
      </w:r>
    </w:p>
    <w:p w:rsidR="0057454C" w:rsidRDefault="0057454C" w:rsidP="0057454C">
      <w:pPr>
        <w:pStyle w:val="berschrift3"/>
      </w:pPr>
      <w:r>
        <w:t>Definition 3.3.257</w:t>
      </w:r>
    </w:p>
    <w:p w:rsidR="0057454C" w:rsidRDefault="0057454C" w:rsidP="0057454C">
      <w:pPr>
        <w:pStyle w:val="StandardWeb"/>
      </w:pPr>
      <w:r>
        <w:t xml:space="preserve">Eine funktionale Bilanzstruktur heißt </w:t>
      </w:r>
      <w:r>
        <w:rPr>
          <w:rStyle w:val="Fett"/>
        </w:rPr>
        <w:t>kontinuumsfähig</w:t>
      </w:r>
      <w:r>
        <w:t>, wenn zusätzlich zu ihrer diskreten Bilanzstruktur mathematische Voraussetzungen vorliegen, die eine lokale Beschreibung durch eine funktionale Dichte (\rho_Q), einen Fluss (\mathbf J_Q) und einen Quellterm (\sigma_Q) erlauben.</w:t>
      </w:r>
    </w:p>
    <w:p w:rsidR="0057454C" w:rsidRDefault="0057454C" w:rsidP="0057454C">
      <w:pPr>
        <w:pStyle w:val="StandardWeb"/>
      </w:pPr>
      <w:r>
        <w:t>Symbolisch:</w:t>
      </w:r>
    </w:p>
    <w:p w:rsidR="0057454C" w:rsidRDefault="0057454C" w:rsidP="0057454C">
      <w:pPr>
        <w:pStyle w:val="berschrift1"/>
      </w:pPr>
      <w:r>
        <w:t>[</w:t>
      </w:r>
      <w:r>
        <w:br/>
        <w:t>\boxed{</w:t>
      </w:r>
      <w:r>
        <w:br/>
        <w:t>\mathfrak B_Q^{\mathrm{cont}}</w:t>
      </w:r>
    </w:p>
    <w:p w:rsidR="0057454C" w:rsidRDefault="0057454C" w:rsidP="0057454C">
      <w:pPr>
        <w:pStyle w:val="StandardWeb"/>
      </w:pPr>
      <w:r>
        <w:lastRenderedPageBreak/>
        <w:t>(\rho_Q,\mathbf J_Q,\sigma_Q,\mathcal D_Q).</w:t>
      </w:r>
      <w:r>
        <w:br/>
        <w:t>}</w:t>
      </w:r>
      <w:r>
        <w:br/>
        <w:t>\tag{3.11603}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\boxed{\mathfrak B_Q^{\mathrm{cont}}=(\rho_Q,\mathbf J_Q,\sigma_Q,\mathcal D_Q).}</w:t>
      </w:r>
    </w:p>
    <w:p w:rsidR="0057454C" w:rsidRDefault="0057454C" w:rsidP="0057454C">
      <w:pPr>
        <w:pStyle w:val="StandardWeb"/>
      </w:pPr>
      <w:r>
        <w:t>Dabei fasst (\mathcal D_Q) die hierfür erforderlichen Differenzierbarkeits- und Domänenvoraussetzungen zusammen.</w:t>
      </w:r>
    </w:p>
    <w:p w:rsidR="0057454C" w:rsidRDefault="00E50336" w:rsidP="0057454C">
      <w:r>
        <w:pict>
          <v:rect id="_x0000_i3973" style="width:0;height:1.5pt" o:hralign="center" o:hrstd="t" o:hr="t" fillcolor="#a0a0a0" stroked="f"/>
        </w:pict>
      </w:r>
    </w:p>
    <w:p w:rsidR="0057454C" w:rsidRDefault="0057454C" w:rsidP="0057454C">
      <w:pPr>
        <w:pStyle w:val="berschrift1"/>
      </w:pPr>
      <w:r>
        <w:t>3.3.47.96 Funktionale lokale Bilanzgleichung als Modellansatz</w:t>
      </w:r>
    </w:p>
    <w:p w:rsidR="0057454C" w:rsidRDefault="0057454C" w:rsidP="0057454C">
      <w:pPr>
        <w:pStyle w:val="StandardWeb"/>
      </w:pPr>
      <w:r>
        <w:t>Liegt eine solche Struktur vor, kann eine lokale Bilanzgleichung der Form</w:t>
      </w:r>
    </w:p>
    <w:p w:rsidR="0057454C" w:rsidRDefault="0057454C" w:rsidP="0057454C">
      <w:pPr>
        <w:pStyle w:val="berschrift1"/>
      </w:pPr>
      <w:r>
        <w:t>[</w:t>
      </w:r>
      <w:r>
        <w:br/>
        <w:t>\frac{\partial\rho_Q}{\partial\tau}</w:t>
      </w:r>
      <w:r>
        <w:br/>
        <w:t>+</w:t>
      </w:r>
      <w:r>
        <w:br/>
        <w:t>\nabla_F\cdot\mathbf J_Q</w:t>
      </w:r>
    </w:p>
    <w:p w:rsidR="0057454C" w:rsidRDefault="0057454C" w:rsidP="0057454C">
      <w:pPr>
        <w:pStyle w:val="StandardWeb"/>
      </w:pPr>
      <w:r>
        <w:t>\sigma_Q</w:t>
      </w:r>
      <w:r>
        <w:br/>
        <w:t>\tag{3.11604}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\frac{\partial\rho_Q}{\partial\tau}+\nabla_F\cdot\mathbf J_Q=\sigma_Q</w:t>
      </w:r>
    </w:p>
    <w:p w:rsidR="0057454C" w:rsidRDefault="0057454C" w:rsidP="0057454C">
      <w:pPr>
        <w:pStyle w:val="StandardWeb"/>
      </w:pPr>
      <w:r>
        <w:t>formuliert werden.</w:t>
      </w:r>
    </w:p>
    <w:p w:rsidR="0057454C" w:rsidRDefault="0057454C" w:rsidP="0057454C">
      <w:pPr>
        <w:pStyle w:val="StandardWeb"/>
      </w:pPr>
      <w:r>
        <w:t>Dabei verwende ich bewusst (\tau) als allgemeinen Entwicklungsparameter und (\nabla_F) als modellabhängigen funktionalen Divergenzoperator. Beide Symbole erhalten erst durch eine konkrete Modellklasse eine spezifische Bedeutung.</w:t>
      </w:r>
    </w:p>
    <w:p w:rsidR="0057454C" w:rsidRDefault="00E50336" w:rsidP="0057454C">
      <w:r>
        <w:pict>
          <v:rect id="_x0000_i3974" style="width:0;height:1.5pt" o:hralign="center" o:hrstd="t" o:hr="t" fillcolor="#a0a0a0" stroked="f"/>
        </w:pict>
      </w:r>
    </w:p>
    <w:p w:rsidR="0057454C" w:rsidRDefault="0057454C" w:rsidP="0057454C">
      <w:pPr>
        <w:pStyle w:val="berschrift1"/>
      </w:pPr>
      <w:r>
        <w:t>3.3.47.97 Definition 3.3.258 – Lokale funktionale Bilanzgleichung</w:t>
      </w:r>
    </w:p>
    <w:p w:rsidR="0057454C" w:rsidRDefault="0057454C" w:rsidP="0057454C">
      <w:pPr>
        <w:pStyle w:val="berschrift3"/>
      </w:pPr>
      <w:r>
        <w:t>Definition 3.3.258</w:t>
      </w:r>
    </w:p>
    <w:p w:rsidR="0057454C" w:rsidRDefault="0057454C" w:rsidP="0057454C">
      <w:pPr>
        <w:pStyle w:val="StandardWeb"/>
      </w:pPr>
      <w:r>
        <w:lastRenderedPageBreak/>
        <w:t xml:space="preserve">Eine </w:t>
      </w:r>
      <w:r>
        <w:rPr>
          <w:rStyle w:val="Fett"/>
        </w:rPr>
        <w:t>lokale funktionale Bilanzgleichung</w:t>
      </w:r>
      <w:r>
        <w:t xml:space="preserve"> ist in einer hinreichend strukturierten Modellklasse eine Beziehung</w:t>
      </w:r>
    </w:p>
    <w:p w:rsidR="0057454C" w:rsidRDefault="0057454C" w:rsidP="0057454C">
      <w:pPr>
        <w:pStyle w:val="berschrift1"/>
      </w:pPr>
      <w:r>
        <w:t>[</w:t>
      </w:r>
      <w:r>
        <w:br/>
        <w:t>\boxed{</w:t>
      </w:r>
      <w:r>
        <w:br/>
        <w:t>\frac{\partial\rho_Q}{\partial\tau}</w:t>
      </w:r>
      <w:r>
        <w:br/>
        <w:t>+</w:t>
      </w:r>
      <w:r>
        <w:br/>
        <w:t>\nabla_F\cdot\mathbf J_Q</w:t>
      </w:r>
    </w:p>
    <w:p w:rsidR="0057454C" w:rsidRDefault="0057454C" w:rsidP="0057454C">
      <w:pPr>
        <w:pStyle w:val="StandardWeb"/>
      </w:pPr>
      <w:r>
        <w:t>\sigma_Q,</w:t>
      </w:r>
      <w:r>
        <w:br/>
        <w:t>}</w:t>
      </w:r>
      <w:r>
        <w:br/>
        <w:t>\tag{3.11605}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\boxed{\frac{\partial\rho_Q}{\partial\tau}+\nabla_F\cdot\mathbf J_Q=\sigma_Q,}</w:t>
      </w:r>
    </w:p>
    <w:p w:rsidR="0057454C" w:rsidRDefault="0057454C" w:rsidP="0057454C">
      <w:pPr>
        <w:pStyle w:val="StandardWeb"/>
      </w:pPr>
      <w:r>
        <w:t>wobei (\rho_Q) eine funktionale Dichte, (\mathbf J_Q) einen funktionalen Fluss und (\sigma_Q) einen lokalen Quellterm bezeichnet.</w:t>
      </w:r>
    </w:p>
    <w:p w:rsidR="0057454C" w:rsidRDefault="00E50336" w:rsidP="0057454C">
      <w:r>
        <w:pict>
          <v:rect id="_x0000_i3975" style="width:0;height:1.5pt" o:hralign="center" o:hrstd="t" o:hr="t" fillcolor="#a0a0a0" stroked="f"/>
        </w:pict>
      </w:r>
    </w:p>
    <w:p w:rsidR="0057454C" w:rsidRDefault="0057454C" w:rsidP="0057454C">
      <w:pPr>
        <w:pStyle w:val="berschrift1"/>
      </w:pPr>
      <w:r>
        <w:t>3.3.47.98 Quellenfreie lokale Bilanzgleichung</w:t>
      </w:r>
    </w:p>
    <w:p w:rsidR="0057454C" w:rsidRDefault="0057454C" w:rsidP="0057454C">
      <w:pPr>
        <w:pStyle w:val="StandardWeb"/>
      </w:pPr>
      <w:r>
        <w:t>Für</w:t>
      </w:r>
    </w:p>
    <w:p w:rsidR="0057454C" w:rsidRDefault="0057454C" w:rsidP="0057454C">
      <w:pPr>
        <w:pStyle w:val="StandardWeb"/>
      </w:pPr>
      <w:r>
        <w:t>[</w:t>
      </w:r>
      <w:r>
        <w:br/>
        <w:t>\sigma_Q=0</w:t>
      </w:r>
      <w:r>
        <w:br/>
        <w:t>\tag{3.11606}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\sigma_Q=0</w:t>
      </w:r>
    </w:p>
    <w:p w:rsidR="0057454C" w:rsidRDefault="0057454C" w:rsidP="0057454C">
      <w:pPr>
        <w:pStyle w:val="StandardWeb"/>
      </w:pPr>
      <w:r>
        <w:t>reduziert sich die lokale Bilanzgleichung zu</w:t>
      </w:r>
    </w:p>
    <w:p w:rsidR="0057454C" w:rsidRDefault="0057454C" w:rsidP="0057454C">
      <w:pPr>
        <w:pStyle w:val="berschrift1"/>
      </w:pPr>
      <w:r>
        <w:t>[</w:t>
      </w:r>
      <w:r>
        <w:br/>
        <w:t>\frac{\partial\rho_Q}{\partial\tau}</w:t>
      </w:r>
      <w:r>
        <w:br/>
        <w:t>+</w:t>
      </w:r>
      <w:r>
        <w:br/>
        <w:t>\nabla_F\cdot\mathbf J_Q</w:t>
      </w:r>
    </w:p>
    <w:p w:rsidR="0057454C" w:rsidRDefault="0057454C" w:rsidP="00152216">
      <w:pPr>
        <w:numPr>
          <w:ilvl w:val="0"/>
          <w:numId w:val="505"/>
        </w:numPr>
        <w:spacing w:before="100" w:beforeAutospacing="1" w:after="100" w:afterAutospacing="1"/>
      </w:pPr>
    </w:p>
    <w:p w:rsidR="0057454C" w:rsidRDefault="0057454C" w:rsidP="0057454C">
      <w:pPr>
        <w:pStyle w:val="StandardWeb"/>
      </w:pPr>
      <w:r>
        <w:t>\tag{3.11607}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\frac{\partial\rho_Q}{\partial\tau}+\nabla_F\cdot\mathbf J_Q=0</w:t>
      </w:r>
    </w:p>
    <w:p w:rsidR="0057454C" w:rsidRDefault="00E50336" w:rsidP="0057454C">
      <w:r>
        <w:pict>
          <v:rect id="_x0000_i3976" style="width:0;height:1.5pt" o:hralign="center" o:hrstd="t" o:hr="t" fillcolor="#a0a0a0" stroked="f"/>
        </w:pict>
      </w:r>
    </w:p>
    <w:p w:rsidR="0057454C" w:rsidRDefault="0057454C" w:rsidP="0057454C">
      <w:pPr>
        <w:pStyle w:val="berschrift1"/>
      </w:pPr>
      <w:r>
        <w:t>3.3.47.99 Definition 3.3.259 – Lokale funktionale Kontinuitätsgleichung</w:t>
      </w:r>
    </w:p>
    <w:p w:rsidR="0057454C" w:rsidRDefault="0057454C" w:rsidP="0057454C">
      <w:pPr>
        <w:pStyle w:val="berschrift3"/>
      </w:pPr>
      <w:r>
        <w:t>Definition 3.3.259</w:t>
      </w:r>
    </w:p>
    <w:p w:rsidR="0057454C" w:rsidRDefault="0057454C" w:rsidP="0057454C">
      <w:pPr>
        <w:pStyle w:val="StandardWeb"/>
      </w:pPr>
      <w:r>
        <w:t xml:space="preserve">Eine lokale funktionale Bilanzgleichung mit verschwindendem Quellterm heißt </w:t>
      </w:r>
      <w:r>
        <w:rPr>
          <w:rStyle w:val="Fett"/>
        </w:rPr>
        <w:t>lokale funktionale Kontinuitätsgleichung</w:t>
      </w:r>
      <w:r>
        <w:t>:</w:t>
      </w:r>
    </w:p>
    <w:p w:rsidR="0057454C" w:rsidRDefault="0057454C" w:rsidP="0057454C">
      <w:pPr>
        <w:pStyle w:val="berschrift1"/>
      </w:pPr>
      <w:r>
        <w:t>[</w:t>
      </w:r>
      <w:r>
        <w:br/>
        <w:t>\boxed{</w:t>
      </w:r>
      <w:r>
        <w:br/>
        <w:t>\frac{\partial\rho_Q}{\partial\tau}</w:t>
      </w:r>
      <w:r>
        <w:br/>
        <w:t>+</w:t>
      </w:r>
      <w:r>
        <w:br/>
        <w:t>\nabla_F\cdot\mathbf J_Q</w:t>
      </w:r>
    </w:p>
    <w:p w:rsidR="0057454C" w:rsidRDefault="0057454C" w:rsidP="00152216">
      <w:pPr>
        <w:numPr>
          <w:ilvl w:val="0"/>
          <w:numId w:val="506"/>
        </w:numPr>
        <w:spacing w:before="100" w:beforeAutospacing="1" w:after="100" w:afterAutospacing="1"/>
      </w:pPr>
    </w:p>
    <w:p w:rsidR="0057454C" w:rsidRDefault="0057454C" w:rsidP="0057454C">
      <w:pPr>
        <w:pStyle w:val="StandardWeb"/>
      </w:pPr>
      <w:r>
        <w:t>}</w:t>
      </w:r>
      <w:r>
        <w:br/>
        <w:t>\tag{3.11608}</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\boxed{\frac{\partial\rho_Q}{\partial\tau}+\nabla_F\cdot\mathbf J_Q=0.}</w:t>
      </w:r>
    </w:p>
    <w:p w:rsidR="0057454C" w:rsidRDefault="0057454C" w:rsidP="0057454C">
      <w:pPr>
        <w:pStyle w:val="StandardWeb"/>
      </w:pPr>
      <w:r>
        <w:t>Diese Definition darf nicht ohne weitere Begründung mit einer konkreten physikalischen Kontinuitätsgleichung identifiziert werden.</w:t>
      </w:r>
    </w:p>
    <w:p w:rsidR="0057454C" w:rsidRDefault="00E50336" w:rsidP="0057454C">
      <w:r>
        <w:pict>
          <v:rect id="_x0000_i3977" style="width:0;height:1.5pt" o:hralign="center" o:hrstd="t" o:hr="t" fillcolor="#a0a0a0" stroked="f"/>
        </w:pict>
      </w:r>
    </w:p>
    <w:p w:rsidR="0057454C" w:rsidRDefault="0057454C" w:rsidP="0057454C">
      <w:pPr>
        <w:pStyle w:val="berschrift1"/>
      </w:pPr>
      <w:r>
        <w:t>3.3.47.100 Stationäre lokale Bilanz</w:t>
      </w:r>
    </w:p>
    <w:p w:rsidR="0057454C" w:rsidRDefault="0057454C" w:rsidP="0057454C">
      <w:pPr>
        <w:pStyle w:val="StandardWeb"/>
      </w:pPr>
      <w:r>
        <w:t>Ist</w:t>
      </w:r>
    </w:p>
    <w:p w:rsidR="0057454C" w:rsidRDefault="0057454C" w:rsidP="0057454C">
      <w:pPr>
        <w:pStyle w:val="StandardWeb"/>
      </w:pPr>
      <w:r>
        <w:t>[</w:t>
      </w:r>
      <w:r>
        <w:br/>
        <w:t>\frac{\partial\rho_Q}{\partial\tau}=0,</w:t>
      </w:r>
      <w:r>
        <w:br/>
      </w:r>
      <w:r>
        <w:lastRenderedPageBreak/>
        <w:t>\tag{3.11609}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\frac{\partial\rho_Q}{\partial\tau}=0</w:t>
      </w:r>
    </w:p>
    <w:p w:rsidR="0057454C" w:rsidRDefault="0057454C" w:rsidP="0057454C">
      <w:pPr>
        <w:pStyle w:val="StandardWeb"/>
      </w:pPr>
      <w:r>
        <w:t>dann folgt aus Gleichung (3.11605)</w:t>
      </w:r>
    </w:p>
    <w:p w:rsidR="0057454C" w:rsidRDefault="0057454C" w:rsidP="0057454C">
      <w:pPr>
        <w:pStyle w:val="berschrift1"/>
      </w:pPr>
      <w:r>
        <w:t>[</w:t>
      </w:r>
      <w:r>
        <w:br/>
        <w:t>\nabla_F\cdot\mathbf J_Q</w:t>
      </w:r>
    </w:p>
    <w:p w:rsidR="0057454C" w:rsidRDefault="0057454C" w:rsidP="0057454C">
      <w:pPr>
        <w:pStyle w:val="StandardWeb"/>
      </w:pPr>
      <w:r>
        <w:t>\sigma_Q.</w:t>
      </w:r>
      <w:r>
        <w:br/>
        <w:t>\tag{3.11610}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\nabla_F\cdot\mathbf J_Q=\sigma_Q</w:t>
      </w:r>
    </w:p>
    <w:p w:rsidR="0057454C" w:rsidRDefault="00E50336" w:rsidP="0057454C">
      <w:r>
        <w:pict>
          <v:rect id="_x0000_i3978" style="width:0;height:1.5pt" o:hralign="center" o:hrstd="t" o:hr="t" fillcolor="#a0a0a0" stroked="f"/>
        </w:pict>
      </w:r>
    </w:p>
    <w:p w:rsidR="0057454C" w:rsidRDefault="0057454C" w:rsidP="0057454C">
      <w:pPr>
        <w:pStyle w:val="berschrift1"/>
      </w:pPr>
      <w:r>
        <w:t>3.3.47.101 Definition 3.3.260 – Lokal stationäre funktionale Bilanz</w:t>
      </w:r>
    </w:p>
    <w:p w:rsidR="0057454C" w:rsidRDefault="0057454C" w:rsidP="0057454C">
      <w:pPr>
        <w:pStyle w:val="berschrift3"/>
      </w:pPr>
      <w:r>
        <w:t>Definition 3.3.260</w:t>
      </w:r>
    </w:p>
    <w:p w:rsidR="0057454C" w:rsidRDefault="0057454C" w:rsidP="0057454C">
      <w:pPr>
        <w:pStyle w:val="StandardWeb"/>
      </w:pPr>
      <w:r>
        <w:t xml:space="preserve">Eine lokale funktionale Bilanz heißt </w:t>
      </w:r>
      <w:r>
        <w:rPr>
          <w:rStyle w:val="Fett"/>
        </w:rPr>
        <w:t>stationär</w:t>
      </w:r>
      <w:r>
        <w:t>, wenn</w:t>
      </w:r>
    </w:p>
    <w:p w:rsidR="0057454C" w:rsidRDefault="0057454C" w:rsidP="0057454C">
      <w:pPr>
        <w:pStyle w:val="StandardWeb"/>
      </w:pPr>
      <w:r>
        <w:t>[</w:t>
      </w:r>
      <w:r>
        <w:br/>
        <w:t>\boxed{</w:t>
      </w:r>
      <w:r>
        <w:br/>
        <w:t>\frac{\partial\rho_Q}{\partial\tau}=0.</w:t>
      </w:r>
      <w:r>
        <w:br/>
        <w:t>}</w:t>
      </w:r>
      <w:r>
        <w:br/>
        <w:t>\tag{3.11611}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\boxed{\frac{\partial\rho_Q}{\partial\tau}=0.}</w:t>
      </w:r>
    </w:p>
    <w:p w:rsidR="0057454C" w:rsidRDefault="00E50336" w:rsidP="0057454C">
      <w:r>
        <w:pict>
          <v:rect id="_x0000_i3979" style="width:0;height:1.5pt" o:hralign="center" o:hrstd="t" o:hr="t" fillcolor="#a0a0a0" stroked="f"/>
        </w:pict>
      </w:r>
    </w:p>
    <w:p w:rsidR="0057454C" w:rsidRDefault="0057454C" w:rsidP="0057454C">
      <w:pPr>
        <w:pStyle w:val="berschrift1"/>
      </w:pPr>
      <w:r>
        <w:t>3.3.47.102 Quellenfreie stationäre Bilanz</w:t>
      </w:r>
    </w:p>
    <w:p w:rsidR="0057454C" w:rsidRDefault="0057454C" w:rsidP="0057454C">
      <w:pPr>
        <w:pStyle w:val="StandardWeb"/>
      </w:pPr>
      <w:r>
        <w:t>Sind zugleich</w:t>
      </w:r>
    </w:p>
    <w:p w:rsidR="0057454C" w:rsidRDefault="0057454C" w:rsidP="0057454C">
      <w:pPr>
        <w:pStyle w:val="StandardWeb"/>
      </w:pPr>
      <w:r>
        <w:t>[</w:t>
      </w:r>
      <w:r>
        <w:br/>
        <w:t>\frac{\partial\rho_Q}{\partial\tau}=0</w:t>
      </w:r>
      <w:r>
        <w:br/>
        <w:t>\tag{3.11612}</w:t>
      </w:r>
      <w:r>
        <w:br/>
        <w:t>]</w:t>
      </w:r>
    </w:p>
    <w:p w:rsidR="0057454C" w:rsidRDefault="0057454C" w:rsidP="0057454C">
      <w:pPr>
        <w:pStyle w:val="StandardWeb"/>
      </w:pPr>
      <w:r>
        <w:rPr>
          <w:rStyle w:val="Fett"/>
        </w:rPr>
        <w:lastRenderedPageBreak/>
        <w:t>Word-LaTeX</w:t>
      </w:r>
    </w:p>
    <w:p w:rsidR="0057454C" w:rsidRDefault="0057454C" w:rsidP="0057454C">
      <w:pPr>
        <w:pStyle w:val="HTMLVorformatiert"/>
        <w:rPr>
          <w:rStyle w:val="HTMLCode"/>
        </w:rPr>
      </w:pPr>
      <w:r>
        <w:rPr>
          <w:rStyle w:val="HTMLCode"/>
        </w:rPr>
        <w:t>\frac{\partial\rho_Q}{\partial\tau}=0</w:t>
      </w:r>
    </w:p>
    <w:p w:rsidR="0057454C" w:rsidRDefault="0057454C" w:rsidP="0057454C">
      <w:pPr>
        <w:pStyle w:val="StandardWeb"/>
      </w:pPr>
      <w:r>
        <w:t>und</w:t>
      </w:r>
    </w:p>
    <w:p w:rsidR="0057454C" w:rsidRDefault="0057454C" w:rsidP="0057454C">
      <w:pPr>
        <w:pStyle w:val="StandardWeb"/>
      </w:pPr>
      <w:r>
        <w:t>[</w:t>
      </w:r>
      <w:r>
        <w:br/>
        <w:t>\sigma_Q=0,</w:t>
      </w:r>
      <w:r>
        <w:br/>
        <w:t>\tag{3.11613}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\sigma_Q=0</w:t>
      </w:r>
    </w:p>
    <w:p w:rsidR="0057454C" w:rsidRDefault="0057454C" w:rsidP="0057454C">
      <w:pPr>
        <w:pStyle w:val="StandardWeb"/>
      </w:pPr>
      <w:r>
        <w:t>folgt</w:t>
      </w:r>
    </w:p>
    <w:p w:rsidR="0057454C" w:rsidRDefault="0057454C" w:rsidP="0057454C">
      <w:pPr>
        <w:pStyle w:val="StandardWeb"/>
      </w:pPr>
      <w:r>
        <w:t>[</w:t>
      </w:r>
      <w:r>
        <w:br/>
        <w:t>\nabla_F\cdot\mathbf J_Q=0.</w:t>
      </w:r>
      <w:r>
        <w:br/>
        <w:t>\tag{3.11614}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\nabla_F\cdot\mathbf J_Q=0</w:t>
      </w:r>
    </w:p>
    <w:p w:rsidR="0057454C" w:rsidRDefault="00E50336" w:rsidP="0057454C">
      <w:r>
        <w:pict>
          <v:rect id="_x0000_i3980" style="width:0;height:1.5pt" o:hralign="center" o:hrstd="t" o:hr="t" fillcolor="#a0a0a0" stroked="f"/>
        </w:pict>
      </w:r>
    </w:p>
    <w:p w:rsidR="0057454C" w:rsidRDefault="0057454C" w:rsidP="0057454C">
      <w:pPr>
        <w:pStyle w:val="berschrift1"/>
      </w:pPr>
      <w:r>
        <w:t>3.3.47.103 Satz 3.3.109 – Quellenfreie stationäre lokale Bilanz besitzt divergenzfreien Fluss</w:t>
      </w:r>
    </w:p>
    <w:p w:rsidR="0057454C" w:rsidRDefault="0057454C" w:rsidP="0057454C">
      <w:pPr>
        <w:pStyle w:val="berschrift3"/>
      </w:pPr>
      <w:r>
        <w:t>Satz 3.3.109</w:t>
      </w:r>
    </w:p>
    <w:p w:rsidR="0057454C" w:rsidRDefault="0057454C" w:rsidP="0057454C">
      <w:pPr>
        <w:pStyle w:val="StandardWeb"/>
      </w:pPr>
      <w:r>
        <w:t>Für eine lokale funktionale Bilanzgleichung gilt unter</w:t>
      </w:r>
    </w:p>
    <w:p w:rsidR="0057454C" w:rsidRDefault="0057454C" w:rsidP="0057454C">
      <w:pPr>
        <w:pStyle w:val="StandardWeb"/>
      </w:pPr>
      <w:r>
        <w:t>[</w:t>
      </w:r>
      <w:r>
        <w:br/>
        <w:t>\frac{\partial\rho_Q}{\partial\tau}=0</w:t>
      </w:r>
      <w:r>
        <w:br/>
        <w:t>\qquad\text{und}\qquad</w:t>
      </w:r>
      <w:r>
        <w:br/>
        <w:t>\sigma_Q=0</w:t>
      </w:r>
      <w:r>
        <w:br/>
        <w:t>\tag{3.11615}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\frac{\partial\rho_Q}{\partial\tau}=0\qquad\text{und}\qquad\sigma_Q=0</w:t>
      </w:r>
    </w:p>
    <w:p w:rsidR="0057454C" w:rsidRDefault="0057454C" w:rsidP="0057454C">
      <w:pPr>
        <w:pStyle w:val="StandardWeb"/>
      </w:pPr>
      <w:r>
        <w:t>die Beziehung</w:t>
      </w:r>
    </w:p>
    <w:p w:rsidR="0057454C" w:rsidRDefault="0057454C" w:rsidP="0057454C">
      <w:pPr>
        <w:pStyle w:val="StandardWeb"/>
      </w:pPr>
      <w:r>
        <w:t>[</w:t>
      </w:r>
      <w:r>
        <w:br/>
        <w:t>\boxed{</w:t>
      </w:r>
      <w:r>
        <w:br/>
        <w:t>\nabla_F\cdot\mathbf J_Q=0.</w:t>
      </w:r>
      <w:r>
        <w:br/>
      </w:r>
      <w:r>
        <w:lastRenderedPageBreak/>
        <w:t>}</w:t>
      </w:r>
      <w:r>
        <w:br/>
        <w:t>\tag{3.11616}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\boxed{\nabla_F\cdot\mathbf J_Q=0.}</w:t>
      </w:r>
    </w:p>
    <w:p w:rsidR="0057454C" w:rsidRDefault="0057454C" w:rsidP="0057454C">
      <w:pPr>
        <w:pStyle w:val="berschrift3"/>
      </w:pPr>
      <w:r>
        <w:t>Beweis</w:t>
      </w:r>
    </w:p>
    <w:p w:rsidR="0057454C" w:rsidRDefault="0057454C" w:rsidP="0057454C">
      <w:pPr>
        <w:pStyle w:val="StandardWeb"/>
      </w:pPr>
      <w:r>
        <w:t>Einsetzen der beiden Voraussetzungen in</w:t>
      </w:r>
    </w:p>
    <w:p w:rsidR="0057454C" w:rsidRDefault="0057454C" w:rsidP="0057454C">
      <w:pPr>
        <w:pStyle w:val="berschrift1"/>
      </w:pPr>
      <w:r>
        <w:t>[</w:t>
      </w:r>
      <w:r>
        <w:br/>
        <w:t>\frac{\partial\rho_Q}{\partial\tau}</w:t>
      </w:r>
      <w:r>
        <w:br/>
        <w:t>+</w:t>
      </w:r>
      <w:r>
        <w:br/>
        <w:t>\nabla_F\cdot\mathbf J_Q</w:t>
      </w:r>
    </w:p>
    <w:p w:rsidR="0057454C" w:rsidRDefault="0057454C" w:rsidP="0057454C">
      <w:pPr>
        <w:pStyle w:val="StandardWeb"/>
      </w:pPr>
      <w:r>
        <w:t>\sigma_Q</w:t>
      </w:r>
      <w:r>
        <w:br/>
        <w:t>\tag{3.11617}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\frac{\partial\rho_Q}{\partial\tau}+\nabla_F\cdot\mathbf J_Q=\sigma_Q</w:t>
      </w:r>
    </w:p>
    <w:p w:rsidR="0057454C" w:rsidRDefault="0057454C" w:rsidP="0057454C">
      <w:pPr>
        <w:pStyle w:val="StandardWeb"/>
      </w:pPr>
      <w:r>
        <w:t>ergibt unmittelbar</w:t>
      </w:r>
    </w:p>
    <w:p w:rsidR="0057454C" w:rsidRDefault="0057454C" w:rsidP="0057454C">
      <w:pPr>
        <w:pStyle w:val="StandardWeb"/>
      </w:pPr>
      <w:r>
        <w:t>[</w:t>
      </w:r>
      <w:r>
        <w:br/>
        <w:t>0+\nabla_F\cdot\mathbf J_Q=0.</w:t>
      </w:r>
      <w:r>
        <w:br/>
        <w:t>\tag{3.11618}</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0+\nabla_F\cdot\mathbf J_Q=0</w:t>
      </w:r>
    </w:p>
    <w:p w:rsidR="0057454C" w:rsidRDefault="0057454C" w:rsidP="0057454C">
      <w:pPr>
        <w:pStyle w:val="StandardWeb"/>
      </w:pPr>
      <w:r>
        <w:t>(\square)</w:t>
      </w:r>
    </w:p>
    <w:p w:rsidR="0057454C" w:rsidRDefault="00E50336" w:rsidP="0057454C">
      <w:r>
        <w:pict>
          <v:rect id="_x0000_i3981" style="width:0;height:1.5pt" o:hralign="center" o:hrstd="t" o:hr="t" fillcolor="#a0a0a0" stroked="f"/>
        </w:pict>
      </w:r>
    </w:p>
    <w:p w:rsidR="0057454C" w:rsidRDefault="0057454C" w:rsidP="0057454C">
      <w:pPr>
        <w:pStyle w:val="berschrift1"/>
      </w:pPr>
      <w:r>
        <w:t>3.3.47.104 Globale Bilanz aus lokaler Bilanz</w:t>
      </w:r>
    </w:p>
    <w:p w:rsidR="0057454C" w:rsidRDefault="0057454C" w:rsidP="0057454C">
      <w:pPr>
        <w:pStyle w:val="StandardWeb"/>
      </w:pPr>
      <w:r>
        <w:t>Eine Integration einer lokalen Bilanzgleichung über eine Domäne (\mathcal D) erfordert eine definierte Integrationsstruktur.</w:t>
      </w:r>
    </w:p>
    <w:p w:rsidR="0057454C" w:rsidRDefault="0057454C" w:rsidP="0057454C">
      <w:pPr>
        <w:pStyle w:val="StandardWeb"/>
      </w:pPr>
      <w:r>
        <w:t>Unter entsprechenden Voraussetzungen kann geschrieben werden</w:t>
      </w:r>
    </w:p>
    <w:p w:rsidR="0057454C" w:rsidRDefault="0057454C" w:rsidP="0057454C">
      <w:pPr>
        <w:pStyle w:val="berschrift1"/>
      </w:pPr>
      <w:r>
        <w:lastRenderedPageBreak/>
        <w:t>[</w:t>
      </w:r>
      <w:r>
        <w:br/>
        <w:t>\frac{d}{d\tau}</w:t>
      </w:r>
      <w:r>
        <w:br/>
        <w:t>\int_{\mathcal D}</w:t>
      </w:r>
      <w:r>
        <w:br/>
        <w:t>\rho_Q,d\mu_F</w:t>
      </w:r>
      <w:r>
        <w:br/>
        <w:t>+</w:t>
      </w:r>
      <w:r>
        <w:br/>
        <w:t>\int_{\mathcal D}</w:t>
      </w:r>
      <w:r>
        <w:br/>
        <w:t>\nabla_F\cdot\mathbf J_Q,d\mu_F</w:t>
      </w:r>
    </w:p>
    <w:p w:rsidR="0057454C" w:rsidRDefault="0057454C" w:rsidP="0057454C">
      <w:pPr>
        <w:pStyle w:val="StandardWeb"/>
      </w:pPr>
      <w:r>
        <w:t>\int_{\mathcal D}</w:t>
      </w:r>
      <w:r>
        <w:br/>
        <w:t>\sigma_Q,d\mu_F.</w:t>
      </w:r>
      <w:r>
        <w:br/>
        <w:t>\tag{3.11619}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\frac{d}{d\tau}\int_{\mathcal D}\rho_Q\,d\mu_F+\int_{\mathcal D}\nabla_F\cdot\mathbf J_Q\,d\mu_F=\int_{\mathcal D}\sigma_Q\,d\mu_F</w:t>
      </w:r>
    </w:p>
    <w:p w:rsidR="0057454C" w:rsidRDefault="00E50336" w:rsidP="0057454C">
      <w:r>
        <w:pict>
          <v:rect id="_x0000_i3982" style="width:0;height:1.5pt" o:hralign="center" o:hrstd="t" o:hr="t" fillcolor="#a0a0a0" stroked="f"/>
        </w:pict>
      </w:r>
    </w:p>
    <w:p w:rsidR="0057454C" w:rsidRDefault="0057454C" w:rsidP="0057454C">
      <w:pPr>
        <w:pStyle w:val="berschrift1"/>
      </w:pPr>
      <w:r>
        <w:t>3.3.47.105 Keine automatische Anwendung des Gaußschen Satzes</w:t>
      </w:r>
    </w:p>
    <w:p w:rsidR="0057454C" w:rsidRDefault="0057454C" w:rsidP="0057454C">
      <w:pPr>
        <w:pStyle w:val="StandardWeb"/>
      </w:pPr>
      <w:r>
        <w:t>Um den Divergenzterm in einen Grenzfluss umzuwandeln, wäre zusätzlich ein geeigneter Divergenzsatz erforderlich.</w:t>
      </w:r>
    </w:p>
    <w:p w:rsidR="0057454C" w:rsidRDefault="0057454C" w:rsidP="0057454C">
      <w:pPr>
        <w:pStyle w:val="StandardWeb"/>
      </w:pPr>
      <w:r>
        <w:t>Daher darf ich nicht allgemein schreiben</w:t>
      </w:r>
    </w:p>
    <w:p w:rsidR="0057454C" w:rsidRDefault="0057454C" w:rsidP="0057454C">
      <w:pPr>
        <w:pStyle w:val="berschrift1"/>
      </w:pPr>
      <w:r>
        <w:t>[</w:t>
      </w:r>
      <w:r>
        <w:br/>
        <w:t>\int_{\mathcal D}</w:t>
      </w:r>
      <w:r>
        <w:br/>
        <w:t>\nabla_F\cdot\mathbf J_Q,d\mu_F</w:t>
      </w:r>
    </w:p>
    <w:p w:rsidR="0057454C" w:rsidRDefault="0057454C" w:rsidP="0057454C">
      <w:pPr>
        <w:pStyle w:val="StandardWeb"/>
      </w:pPr>
      <w:r>
        <w:t>\int_{\partial\mathcal D}</w:t>
      </w:r>
      <w:r>
        <w:br/>
        <w:t>\mathbf J_Q\cdot d\mathbf A_F</w:t>
      </w:r>
      <w:r>
        <w:br/>
        <w:t>\tag{3.11620}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\int_{\mathcal D}\nabla_F\cdot\mathbf J_Q\,d\mu_F=\int_{\partial\mathcal D}\mathbf J_Q\cdot d\mathbf A_F</w:t>
      </w:r>
    </w:p>
    <w:p w:rsidR="0057454C" w:rsidRDefault="0057454C" w:rsidP="0057454C">
      <w:pPr>
        <w:pStyle w:val="StandardWeb"/>
      </w:pPr>
      <w:r>
        <w:t>ohne die geometrischen und analytischen Voraussetzungen dafür ausdrücklich einzuführen.</w:t>
      </w:r>
    </w:p>
    <w:p w:rsidR="0057454C" w:rsidRDefault="00E50336" w:rsidP="0057454C">
      <w:r>
        <w:lastRenderedPageBreak/>
        <w:pict>
          <v:rect id="_x0000_i3983" style="width:0;height:1.5pt" o:hralign="center" o:hrstd="t" o:hr="t" fillcolor="#a0a0a0" stroked="f"/>
        </w:pict>
      </w:r>
    </w:p>
    <w:p w:rsidR="0057454C" w:rsidRDefault="0057454C" w:rsidP="0057454C">
      <w:pPr>
        <w:pStyle w:val="berschrift1"/>
      </w:pPr>
      <w:r>
        <w:t>3.3.47.106 Definition 3.3.261 – Integrable funktionale Bilanzstruktur</w:t>
      </w:r>
    </w:p>
    <w:p w:rsidR="0057454C" w:rsidRDefault="0057454C" w:rsidP="0057454C">
      <w:pPr>
        <w:pStyle w:val="berschrift3"/>
      </w:pPr>
      <w:r>
        <w:t>Definition 3.3.261</w:t>
      </w:r>
    </w:p>
    <w:p w:rsidR="0057454C" w:rsidRDefault="0057454C" w:rsidP="0057454C">
      <w:pPr>
        <w:pStyle w:val="StandardWeb"/>
      </w:pPr>
      <w:r>
        <w:t xml:space="preserve">Eine lokale funktionale Bilanzstruktur heißt </w:t>
      </w:r>
      <w:r>
        <w:rPr>
          <w:rStyle w:val="Fett"/>
        </w:rPr>
        <w:t>integrabel</w:t>
      </w:r>
      <w:r>
        <w:t>, wenn eine Maß- und Integrationsstruktur existiert, bezüglich der die lokale Dichte und der Quellterm über geeignete funktionale Domänen integrierbar sind:</w:t>
      </w:r>
    </w:p>
    <w:p w:rsidR="0057454C" w:rsidRDefault="0057454C" w:rsidP="0057454C">
      <w:pPr>
        <w:pStyle w:val="StandardWeb"/>
      </w:pPr>
      <w:r>
        <w:t>[</w:t>
      </w:r>
      <w:r>
        <w:br/>
        <w:t>\boxed{</w:t>
      </w:r>
      <w:r>
        <w:br/>
        <w:t>\rho_Q,\sigma_Q\in L^1(\mathcal D,\mu_F).</w:t>
      </w:r>
      <w:r>
        <w:br/>
        <w:t>}</w:t>
      </w:r>
      <w:r>
        <w:br/>
        <w:t>\tag{3.11621}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\boxed{\rho_Q,\sigma_Q\in L^1(\mathcal D,\mu_F).}</w:t>
      </w:r>
    </w:p>
    <w:p w:rsidR="0057454C" w:rsidRDefault="00E50336" w:rsidP="0057454C">
      <w:r>
        <w:pict>
          <v:rect id="_x0000_i3984" style="width:0;height:1.5pt" o:hralign="center" o:hrstd="t" o:hr="t" fillcolor="#a0a0a0" stroked="f"/>
        </w:pict>
      </w:r>
    </w:p>
    <w:p w:rsidR="0057454C" w:rsidRDefault="0057454C" w:rsidP="0057454C">
      <w:pPr>
        <w:pStyle w:val="berschrift1"/>
      </w:pPr>
      <w:r>
        <w:t>3.3.47.107 Definition 3.3.262 – Divergenzsatzkompatible funktionale Bilanzstruktur</w:t>
      </w:r>
    </w:p>
    <w:p w:rsidR="0057454C" w:rsidRDefault="0057454C" w:rsidP="0057454C">
      <w:pPr>
        <w:pStyle w:val="berschrift3"/>
      </w:pPr>
      <w:r>
        <w:t>Definition 3.3.262</w:t>
      </w:r>
    </w:p>
    <w:p w:rsidR="0057454C" w:rsidRDefault="0057454C" w:rsidP="0057454C">
      <w:pPr>
        <w:pStyle w:val="StandardWeb"/>
      </w:pPr>
      <w:r>
        <w:t xml:space="preserve">Eine integrable funktionale Bilanzstruktur heißt </w:t>
      </w:r>
      <w:r>
        <w:rPr>
          <w:rStyle w:val="Fett"/>
        </w:rPr>
        <w:t>divergenzsatzkompatibel</w:t>
      </w:r>
      <w:r>
        <w:t>, wenn zusätzlich eine Grenzstruktur und ein für (\nabla_F) gültiger Divergenzsatz existieren, sodass</w:t>
      </w:r>
    </w:p>
    <w:p w:rsidR="0057454C" w:rsidRDefault="0057454C" w:rsidP="0057454C">
      <w:pPr>
        <w:pStyle w:val="berschrift1"/>
      </w:pPr>
      <w:r>
        <w:t>[</w:t>
      </w:r>
      <w:r>
        <w:br/>
        <w:t>\boxed{</w:t>
      </w:r>
      <w:r>
        <w:br/>
        <w:t>\int_{\mathcal D}</w:t>
      </w:r>
      <w:r>
        <w:br/>
        <w:t>\nabla_F\cdot\mathbf J_Q,d\mu_F</w:t>
      </w:r>
    </w:p>
    <w:p w:rsidR="0057454C" w:rsidRDefault="0057454C" w:rsidP="0057454C">
      <w:pPr>
        <w:pStyle w:val="StandardWeb"/>
      </w:pPr>
      <w:r>
        <w:t>\int_{\partial\mathcal D}</w:t>
      </w:r>
      <w:r>
        <w:br/>
        <w:t>\mathbf J_Q\cdot d\mathbf A_F</w:t>
      </w:r>
      <w:r>
        <w:br/>
        <w:t>}</w:t>
      </w:r>
      <w:r>
        <w:br/>
        <w:t>\tag{3.11622}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\boxed{\int_{\mathcal D}\nabla_F\cdot\mathbf J_Q\,d\mu_F=\int_{\partial\mathcal D}\mathbf J_Q\cdot d\mathbf A_F}</w:t>
      </w:r>
    </w:p>
    <w:p w:rsidR="0057454C" w:rsidRDefault="0057454C" w:rsidP="0057454C">
      <w:pPr>
        <w:pStyle w:val="StandardWeb"/>
      </w:pPr>
      <w:r>
        <w:lastRenderedPageBreak/>
        <w:t>gilt.</w:t>
      </w:r>
    </w:p>
    <w:p w:rsidR="0057454C" w:rsidRDefault="00E50336" w:rsidP="0057454C">
      <w:r>
        <w:pict>
          <v:rect id="_x0000_i3985" style="width:0;height:1.5pt" o:hralign="center" o:hrstd="t" o:hr="t" fillcolor="#a0a0a0" stroked="f"/>
        </w:pict>
      </w:r>
    </w:p>
    <w:p w:rsidR="0057454C" w:rsidRDefault="0057454C" w:rsidP="0057454C">
      <w:pPr>
        <w:pStyle w:val="berschrift1"/>
      </w:pPr>
      <w:r>
        <w:t>3.3.47.108 Globale Bilanzgleichung einer divergenzsatzkompatiblen Modellklasse</w:t>
      </w:r>
    </w:p>
    <w:p w:rsidR="0057454C" w:rsidRDefault="0057454C" w:rsidP="0057454C">
      <w:pPr>
        <w:pStyle w:val="StandardWeb"/>
      </w:pPr>
      <w:r>
        <w:t>Unter diesen zusätzlichen Voraussetzungen folgt aus Gleichung (3.11619)</w:t>
      </w:r>
    </w:p>
    <w:p w:rsidR="0057454C" w:rsidRDefault="0057454C" w:rsidP="0057454C">
      <w:pPr>
        <w:pStyle w:val="berschrift1"/>
      </w:pPr>
      <w:r>
        <w:t>[</w:t>
      </w:r>
      <w:r>
        <w:br/>
        <w:t>\frac{dQ_{\mathcal D}}{d\tau}</w:t>
      </w:r>
      <w:r>
        <w:br/>
        <w:t>+</w:t>
      </w:r>
      <w:r>
        <w:br/>
        <w:t>\Phi_{\partial\mathcal D}</w:t>
      </w:r>
    </w:p>
    <w:p w:rsidR="0057454C" w:rsidRDefault="0057454C" w:rsidP="0057454C">
      <w:pPr>
        <w:pStyle w:val="StandardWeb"/>
      </w:pPr>
      <w:r>
        <w:t>\Sigma_{\mathcal D},</w:t>
      </w:r>
      <w:r>
        <w:br/>
        <w:t>\tag{3.11623}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\frac{dQ_{\mathcal D}}{d\tau}+\Phi_{\partial\mathcal D}=\Sigma_{\mathcal D}</w:t>
      </w:r>
    </w:p>
    <w:p w:rsidR="0057454C" w:rsidRDefault="0057454C" w:rsidP="0057454C">
      <w:pPr>
        <w:pStyle w:val="StandardWeb"/>
      </w:pPr>
      <w:r>
        <w:t>wobei ich definiere</w:t>
      </w:r>
    </w:p>
    <w:p w:rsidR="0057454C" w:rsidRDefault="0057454C" w:rsidP="0057454C">
      <w:pPr>
        <w:pStyle w:val="StandardWeb"/>
      </w:pPr>
      <w:r>
        <w:t>[</w:t>
      </w:r>
      <w:r>
        <w:br/>
        <w:t>Q_{\mathcal D}</w:t>
      </w:r>
      <w:r>
        <w:br/>
        <w:t>:=</w:t>
      </w:r>
      <w:r>
        <w:br/>
        <w:t>\int_{\mathcal D}</w:t>
      </w:r>
      <w:r>
        <w:br/>
        <w:t>\rho_Q,d\mu_F,</w:t>
      </w:r>
      <w:r>
        <w:br/>
        <w:t>\tag{3.11624}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Q_{\mathcal D}:=\int_{\mathcal D}\rho_Q\,d\mu_F</w:t>
      </w:r>
    </w:p>
    <w:p w:rsidR="0057454C" w:rsidRDefault="0057454C" w:rsidP="0057454C">
      <w:pPr>
        <w:pStyle w:val="StandardWeb"/>
      </w:pPr>
      <w:r>
        <w:t>[</w:t>
      </w:r>
      <w:r>
        <w:br/>
        <w:t>\Phi_{\partial\mathcal D}</w:t>
      </w:r>
      <w:r>
        <w:br/>
        <w:t>:=</w:t>
      </w:r>
      <w:r>
        <w:br/>
        <w:t>\int_{\partial\mathcal D}</w:t>
      </w:r>
      <w:r>
        <w:br/>
        <w:t>\mathbf J_Q\cdot d\mathbf A_F</w:t>
      </w:r>
      <w:r>
        <w:br/>
        <w:t>\tag{3.11625}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\Phi_{\partial\mathcal D}:=\int_{\partial\mathcal D}\mathbf J_Q\cdot d\mathbf A_F</w:t>
      </w:r>
    </w:p>
    <w:p w:rsidR="0057454C" w:rsidRDefault="0057454C" w:rsidP="0057454C">
      <w:pPr>
        <w:pStyle w:val="StandardWeb"/>
      </w:pPr>
      <w:r>
        <w:lastRenderedPageBreak/>
        <w:t>und</w:t>
      </w:r>
    </w:p>
    <w:p w:rsidR="0057454C" w:rsidRDefault="0057454C" w:rsidP="0057454C">
      <w:pPr>
        <w:pStyle w:val="StandardWeb"/>
      </w:pPr>
      <w:r>
        <w:t>[</w:t>
      </w:r>
      <w:r>
        <w:br/>
        <w:t>\Sigma_{\mathcal D}</w:t>
      </w:r>
      <w:r>
        <w:br/>
        <w:t>:=</w:t>
      </w:r>
      <w:r>
        <w:br/>
        <w:t>\int_{\mathcal D}</w:t>
      </w:r>
      <w:r>
        <w:br/>
        <w:t>\sigma_Q,d\mu_F.</w:t>
      </w:r>
      <w:r>
        <w:br/>
        <w:t>\tag{3.11626}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\Sigma_{\mathcal D}:=\int_{\mathcal D}\sigma_Q\,d\mu_F</w:t>
      </w:r>
    </w:p>
    <w:p w:rsidR="0057454C" w:rsidRDefault="00E50336" w:rsidP="0057454C">
      <w:r>
        <w:pict>
          <v:rect id="_x0000_i3986" style="width:0;height:1.5pt" o:hralign="center" o:hrstd="t" o:hr="t" fillcolor="#a0a0a0" stroked="f"/>
        </w:pict>
      </w:r>
    </w:p>
    <w:p w:rsidR="0057454C" w:rsidRDefault="0057454C" w:rsidP="0057454C">
      <w:pPr>
        <w:pStyle w:val="berschrift1"/>
      </w:pPr>
      <w:r>
        <w:t>3.3.47.109 Definition 3.3.263 – Globale funktionale Kontinuumsbilanz</w:t>
      </w:r>
    </w:p>
    <w:p w:rsidR="0057454C" w:rsidRDefault="0057454C" w:rsidP="0057454C">
      <w:pPr>
        <w:pStyle w:val="berschrift3"/>
      </w:pPr>
      <w:r>
        <w:t>Definition 3.3.263</w:t>
      </w:r>
    </w:p>
    <w:p w:rsidR="0057454C" w:rsidRDefault="0057454C" w:rsidP="0057454C">
      <w:pPr>
        <w:pStyle w:val="StandardWeb"/>
      </w:pPr>
      <w:r>
        <w:t xml:space="preserve">Eine </w:t>
      </w:r>
      <w:r>
        <w:rPr>
          <w:rStyle w:val="Fett"/>
        </w:rPr>
        <w:t>globale funktionale Kontinuumsbilanz</w:t>
      </w:r>
      <w:r>
        <w:t xml:space="preserve"> einer divergenzsatzkompatiblen Modellklasse ist die Beziehung</w:t>
      </w:r>
    </w:p>
    <w:p w:rsidR="0057454C" w:rsidRDefault="0057454C" w:rsidP="0057454C">
      <w:pPr>
        <w:pStyle w:val="berschrift1"/>
      </w:pPr>
      <w:r>
        <w:t>[</w:t>
      </w:r>
      <w:r>
        <w:br/>
        <w:t>\boxed{</w:t>
      </w:r>
      <w:r>
        <w:br/>
        <w:t>\frac{dQ_{\mathcal D}}{d\tau}</w:t>
      </w:r>
      <w:r>
        <w:br/>
        <w:t>+</w:t>
      </w:r>
      <w:r>
        <w:br/>
        <w:t>\Phi_{\partial\mathcal D}</w:t>
      </w:r>
    </w:p>
    <w:p w:rsidR="0057454C" w:rsidRDefault="0057454C" w:rsidP="0057454C">
      <w:pPr>
        <w:pStyle w:val="StandardWeb"/>
      </w:pPr>
      <w:r>
        <w:t>\Sigma_{\mathcal D}.</w:t>
      </w:r>
      <w:r>
        <w:br/>
        <w:t>}</w:t>
      </w:r>
      <w:r>
        <w:br/>
        <w:t>\tag{3.11627}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\boxed{\frac{dQ_{\mathcal D}}{d\tau}+\Phi_{\partial\mathcal D}=\Sigma_{\mathcal D}.}</w:t>
      </w:r>
    </w:p>
    <w:p w:rsidR="0057454C" w:rsidRDefault="00E50336" w:rsidP="0057454C">
      <w:r>
        <w:pict>
          <v:rect id="_x0000_i3987" style="width:0;height:1.5pt" o:hralign="center" o:hrstd="t" o:hr="t" fillcolor="#a0a0a0" stroked="f"/>
        </w:pict>
      </w:r>
    </w:p>
    <w:p w:rsidR="0057454C" w:rsidRDefault="0057454C" w:rsidP="0057454C">
      <w:pPr>
        <w:pStyle w:val="berschrift1"/>
      </w:pPr>
      <w:r>
        <w:t>3.3.47.110 Erhaltung in einer geschlossenen quellenfreien Kontinuumsbilanz</w:t>
      </w:r>
    </w:p>
    <w:p w:rsidR="0057454C" w:rsidRDefault="0057454C" w:rsidP="0057454C">
      <w:pPr>
        <w:pStyle w:val="StandardWeb"/>
      </w:pPr>
      <w:r>
        <w:t>Für</w:t>
      </w:r>
    </w:p>
    <w:p w:rsidR="0057454C" w:rsidRDefault="0057454C" w:rsidP="0057454C">
      <w:pPr>
        <w:pStyle w:val="StandardWeb"/>
      </w:pPr>
      <w:r>
        <w:lastRenderedPageBreak/>
        <w:t>[</w:t>
      </w:r>
      <w:r>
        <w:br/>
        <w:t>\Phi_{\partial\mathcal D}=0</w:t>
      </w:r>
      <w:r>
        <w:br/>
        <w:t>\tag{3.11628}</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\Phi_{\partial\mathcal D}=0</w:t>
      </w:r>
    </w:p>
    <w:p w:rsidR="0057454C" w:rsidRDefault="0057454C" w:rsidP="0057454C">
      <w:pPr>
        <w:pStyle w:val="StandardWeb"/>
      </w:pPr>
      <w:r>
        <w:t>und</w:t>
      </w:r>
    </w:p>
    <w:p w:rsidR="0057454C" w:rsidRDefault="0057454C" w:rsidP="0057454C">
      <w:pPr>
        <w:pStyle w:val="StandardWeb"/>
      </w:pPr>
      <w:r>
        <w:t>[</w:t>
      </w:r>
      <w:r>
        <w:br/>
        <w:t>\Sigma_{\mathcal D}=0</w:t>
      </w:r>
      <w:r>
        <w:br/>
        <w:t>\tag{3.11629}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\Sigma_{\mathcal D}=0</w:t>
      </w:r>
    </w:p>
    <w:p w:rsidR="0057454C" w:rsidRDefault="0057454C" w:rsidP="0057454C">
      <w:pPr>
        <w:pStyle w:val="StandardWeb"/>
      </w:pPr>
      <w:r>
        <w:t>folgt</w:t>
      </w:r>
    </w:p>
    <w:p w:rsidR="0057454C" w:rsidRDefault="0057454C" w:rsidP="0057454C">
      <w:pPr>
        <w:pStyle w:val="StandardWeb"/>
      </w:pPr>
      <w:r>
        <w:t>[</w:t>
      </w:r>
      <w:r>
        <w:br/>
        <w:t>\frac{dQ_{\mathcal D}}{d\tau}=0.</w:t>
      </w:r>
      <w:r>
        <w:br/>
        <w:t>\tag{3.11630}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\frac{dQ_{\mathcal D}}{d\tau}=0</w:t>
      </w:r>
    </w:p>
    <w:p w:rsidR="0057454C" w:rsidRDefault="00E50336" w:rsidP="0057454C">
      <w:r>
        <w:pict>
          <v:rect id="_x0000_i3988" style="width:0;height:1.5pt" o:hralign="center" o:hrstd="t" o:hr="t" fillcolor="#a0a0a0" stroked="f"/>
        </w:pict>
      </w:r>
    </w:p>
    <w:p w:rsidR="0057454C" w:rsidRDefault="0057454C" w:rsidP="0057454C">
      <w:pPr>
        <w:pStyle w:val="berschrift1"/>
      </w:pPr>
      <w:r>
        <w:t>3.3.47.111 Satz 3.3.110 – Geschlossene quellenfreie Kontinuumsbilanz impliziert globale Erhaltung</w:t>
      </w:r>
    </w:p>
    <w:p w:rsidR="0057454C" w:rsidRDefault="0057454C" w:rsidP="0057454C">
      <w:pPr>
        <w:pStyle w:val="berschrift3"/>
      </w:pPr>
      <w:r>
        <w:t>Satz 3.3.110</w:t>
      </w:r>
    </w:p>
    <w:p w:rsidR="0057454C" w:rsidRDefault="0057454C" w:rsidP="0057454C">
      <w:pPr>
        <w:pStyle w:val="StandardWeb"/>
      </w:pPr>
      <w:r>
        <w:t>Gilt innerhalb einer divergenzsatzkompatiblen funktionalen Bilanzstruktur</w:t>
      </w:r>
    </w:p>
    <w:p w:rsidR="0057454C" w:rsidRDefault="0057454C" w:rsidP="0057454C">
      <w:pPr>
        <w:pStyle w:val="StandardWeb"/>
      </w:pPr>
      <w:r>
        <w:t>[</w:t>
      </w:r>
      <w:r>
        <w:br/>
        <w:t>\Phi_{\partial\mathcal D}=0</w:t>
      </w:r>
      <w:r>
        <w:br/>
        <w:t>\qquad\text{und}\qquad</w:t>
      </w:r>
      <w:r>
        <w:br/>
        <w:t>\Sigma_{\mathcal D}=0,</w:t>
      </w:r>
      <w:r>
        <w:br/>
        <w:t>\tag{3.11631}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\Phi_{\partial\mathcal D}=0\qquad\text{und}\qquad\Sigma_{\mathcal D}=0</w:t>
      </w:r>
    </w:p>
    <w:p w:rsidR="0057454C" w:rsidRDefault="0057454C" w:rsidP="0057454C">
      <w:pPr>
        <w:pStyle w:val="StandardWeb"/>
      </w:pPr>
      <w:r>
        <w:lastRenderedPageBreak/>
        <w:t>dann gilt</w:t>
      </w:r>
    </w:p>
    <w:p w:rsidR="0057454C" w:rsidRDefault="0057454C" w:rsidP="0057454C">
      <w:pPr>
        <w:pStyle w:val="StandardWeb"/>
      </w:pPr>
      <w:r>
        <w:t>[</w:t>
      </w:r>
      <w:r>
        <w:br/>
        <w:t>\boxed{</w:t>
      </w:r>
      <w:r>
        <w:br/>
        <w:t>\frac{dQ_{\mathcal D}}{d\tau}=0.</w:t>
      </w:r>
      <w:r>
        <w:br/>
        <w:t>}</w:t>
      </w:r>
      <w:r>
        <w:br/>
        <w:t>\tag{3.11632}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\boxed{\frac{dQ_{\mathcal D}}{d\tau}=0.}</w:t>
      </w:r>
    </w:p>
    <w:p w:rsidR="0057454C" w:rsidRDefault="0057454C" w:rsidP="0057454C">
      <w:pPr>
        <w:pStyle w:val="berschrift3"/>
      </w:pPr>
      <w:r>
        <w:t>Beweis</w:t>
      </w:r>
    </w:p>
    <w:p w:rsidR="0057454C" w:rsidRDefault="0057454C" w:rsidP="0057454C">
      <w:pPr>
        <w:pStyle w:val="StandardWeb"/>
      </w:pPr>
      <w:r>
        <w:t>Aus der globalen Bilanzgleichung</w:t>
      </w:r>
    </w:p>
    <w:p w:rsidR="0057454C" w:rsidRDefault="0057454C" w:rsidP="0057454C">
      <w:pPr>
        <w:pStyle w:val="berschrift1"/>
      </w:pPr>
      <w:r>
        <w:t>[</w:t>
      </w:r>
      <w:r>
        <w:br/>
        <w:t>\frac{dQ_{\mathcal D}}{d\tau}</w:t>
      </w:r>
      <w:r>
        <w:br/>
        <w:t>+</w:t>
      </w:r>
      <w:r>
        <w:br/>
        <w:t>\Phi_{\partial\mathcal D}</w:t>
      </w:r>
    </w:p>
    <w:p w:rsidR="0057454C" w:rsidRDefault="0057454C" w:rsidP="0057454C">
      <w:pPr>
        <w:pStyle w:val="StandardWeb"/>
      </w:pPr>
      <w:r>
        <w:t>\Sigma_{\mathcal D}</w:t>
      </w:r>
      <w:r>
        <w:br/>
        <w:t>\tag{3.11633}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\frac{dQ_{\mathcal D}}{d\tau}+\Phi_{\partial\mathcal D}=\Sigma_{\mathcal D}</w:t>
      </w:r>
    </w:p>
    <w:p w:rsidR="0057454C" w:rsidRDefault="0057454C" w:rsidP="0057454C">
      <w:pPr>
        <w:pStyle w:val="StandardWeb"/>
      </w:pPr>
      <w:r>
        <w:t>folgt unter den beiden Voraussetzungen</w:t>
      </w:r>
    </w:p>
    <w:p w:rsidR="0057454C" w:rsidRDefault="0057454C" w:rsidP="0057454C">
      <w:pPr>
        <w:pStyle w:val="berschrift1"/>
      </w:pPr>
      <w:r>
        <w:t>[</w:t>
      </w:r>
      <w:r>
        <w:br/>
        <w:t>\frac{dQ_{\mathcal D}}{d\tau}</w:t>
      </w:r>
      <w:r>
        <w:br/>
        <w:t>+</w:t>
      </w:r>
      <w:r>
        <w:br/>
        <w:t>0</w:t>
      </w:r>
    </w:p>
    <w:p w:rsidR="0057454C" w:rsidRDefault="0057454C" w:rsidP="00152216">
      <w:pPr>
        <w:numPr>
          <w:ilvl w:val="0"/>
          <w:numId w:val="507"/>
        </w:numPr>
        <w:spacing w:before="100" w:beforeAutospacing="1" w:after="100" w:afterAutospacing="1"/>
      </w:pPr>
    </w:p>
    <w:p w:rsidR="0057454C" w:rsidRDefault="0057454C" w:rsidP="0057454C">
      <w:pPr>
        <w:pStyle w:val="StandardWeb"/>
      </w:pPr>
      <w:r>
        <w:t>\tag{3.11634}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\frac{dQ_{\mathcal D}}{d\tau}+0=0</w:t>
      </w:r>
    </w:p>
    <w:p w:rsidR="0057454C" w:rsidRDefault="0057454C" w:rsidP="0057454C">
      <w:pPr>
        <w:pStyle w:val="StandardWeb"/>
      </w:pPr>
      <w:r>
        <w:lastRenderedPageBreak/>
        <w:t>Damit ist (Q_{\mathcal D}) bezüglich (\tau) konstant. (\square)</w:t>
      </w:r>
    </w:p>
    <w:p w:rsidR="0057454C" w:rsidRDefault="00E50336" w:rsidP="0057454C">
      <w:r>
        <w:pict>
          <v:rect id="_x0000_i3989" style="width:0;height:1.5pt" o:hralign="center" o:hrstd="t" o:hr="t" fillcolor="#a0a0a0" stroked="f"/>
        </w:pict>
      </w:r>
    </w:p>
    <w:p w:rsidR="0057454C" w:rsidRDefault="0057454C" w:rsidP="0057454C">
      <w:pPr>
        <w:pStyle w:val="berschrift1"/>
      </w:pPr>
      <w:r>
        <w:t>3.3.47.112 Keine Umkehrung ohne zusätzliche Information</w:t>
      </w:r>
    </w:p>
    <w:p w:rsidR="0057454C" w:rsidRDefault="0057454C" w:rsidP="0057454C">
      <w:pPr>
        <w:pStyle w:val="StandardWeb"/>
      </w:pPr>
      <w:r>
        <w:t>Aus</w:t>
      </w:r>
    </w:p>
    <w:p w:rsidR="0057454C" w:rsidRDefault="0057454C" w:rsidP="0057454C">
      <w:pPr>
        <w:pStyle w:val="StandardWeb"/>
      </w:pPr>
      <w:r>
        <w:t>[</w:t>
      </w:r>
      <w:r>
        <w:br/>
        <w:t>\frac{dQ_{\mathcal D}}{d\tau}=0</w:t>
      </w:r>
      <w:r>
        <w:br/>
        <w:t>\tag{3.11635}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\frac{dQ_{\mathcal D}}{d\tau}=0</w:t>
      </w:r>
    </w:p>
    <w:p w:rsidR="0057454C" w:rsidRDefault="0057454C" w:rsidP="0057454C">
      <w:pPr>
        <w:pStyle w:val="StandardWeb"/>
      </w:pPr>
      <w:r>
        <w:t>folgt nicht notwendig</w:t>
      </w:r>
    </w:p>
    <w:p w:rsidR="0057454C" w:rsidRDefault="0057454C" w:rsidP="0057454C">
      <w:pPr>
        <w:pStyle w:val="StandardWeb"/>
      </w:pPr>
      <w:r>
        <w:t>[</w:t>
      </w:r>
      <w:r>
        <w:br/>
        <w:t>\Phi_{\partial\mathcal D}=0</w:t>
      </w:r>
      <w:r>
        <w:br/>
        <w:t>\tag{3.11636}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\Phi_{\partial\mathcal D}=0</w:t>
      </w:r>
    </w:p>
    <w:p w:rsidR="0057454C" w:rsidRDefault="0057454C" w:rsidP="0057454C">
      <w:pPr>
        <w:pStyle w:val="StandardWeb"/>
      </w:pPr>
      <w:r>
        <w:t>und</w:t>
      </w:r>
    </w:p>
    <w:p w:rsidR="0057454C" w:rsidRDefault="0057454C" w:rsidP="0057454C">
      <w:pPr>
        <w:pStyle w:val="StandardWeb"/>
      </w:pPr>
      <w:r>
        <w:t>[</w:t>
      </w:r>
      <w:r>
        <w:br/>
        <w:t>\Sigma_{\mathcal D}=0.</w:t>
      </w:r>
      <w:r>
        <w:br/>
        <w:t>\tag{3.11637}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\Sigma_{\mathcal D}=0</w:t>
      </w:r>
    </w:p>
    <w:p w:rsidR="0057454C" w:rsidRDefault="0057454C" w:rsidP="0057454C">
      <w:pPr>
        <w:pStyle w:val="StandardWeb"/>
      </w:pPr>
      <w:r>
        <w:t>Vielmehr kann</w:t>
      </w:r>
    </w:p>
    <w:p w:rsidR="0057454C" w:rsidRDefault="0057454C" w:rsidP="0057454C">
      <w:pPr>
        <w:pStyle w:val="berschrift1"/>
      </w:pPr>
      <w:r>
        <w:t>[</w:t>
      </w:r>
      <w:r>
        <w:br/>
        <w:t>\Phi_{\partial\mathcal D}</w:t>
      </w:r>
    </w:p>
    <w:p w:rsidR="0057454C" w:rsidRDefault="0057454C" w:rsidP="0057454C">
      <w:pPr>
        <w:pStyle w:val="StandardWeb"/>
      </w:pPr>
      <w:r>
        <w:t>\Sigma_{\mathcal D}</w:t>
      </w:r>
      <w:r>
        <w:br/>
        <w:t>\neq0</w:t>
      </w:r>
      <w:r>
        <w:br/>
        <w:t>\tag{3.11638}</w:t>
      </w:r>
      <w:r>
        <w:br/>
        <w:t>]</w:t>
      </w:r>
    </w:p>
    <w:p w:rsidR="0057454C" w:rsidRDefault="0057454C" w:rsidP="0057454C">
      <w:pPr>
        <w:pStyle w:val="StandardWeb"/>
      </w:pPr>
      <w:r>
        <w:rPr>
          <w:rStyle w:val="Fett"/>
        </w:rPr>
        <w:lastRenderedPageBreak/>
        <w:t>Word-LaTeX</w:t>
      </w:r>
    </w:p>
    <w:p w:rsidR="0057454C" w:rsidRDefault="0057454C" w:rsidP="0057454C">
      <w:pPr>
        <w:pStyle w:val="HTMLVorformatiert"/>
        <w:rPr>
          <w:rStyle w:val="HTMLCode"/>
        </w:rPr>
      </w:pPr>
      <w:r>
        <w:rPr>
          <w:rStyle w:val="HTMLCode"/>
        </w:rPr>
        <w:t>\Phi_{\partial\mathcal D}=\Sigma_{\mathcal D}\neq0</w:t>
      </w:r>
    </w:p>
    <w:p w:rsidR="0057454C" w:rsidRDefault="0057454C" w:rsidP="0057454C">
      <w:pPr>
        <w:pStyle w:val="StandardWeb"/>
      </w:pPr>
      <w:r>
        <w:t>gelten.</w:t>
      </w:r>
    </w:p>
    <w:p w:rsidR="0057454C" w:rsidRDefault="00E50336" w:rsidP="0057454C">
      <w:r>
        <w:pict>
          <v:rect id="_x0000_i3990" style="width:0;height:1.5pt" o:hralign="center" o:hrstd="t" o:hr="t" fillcolor="#a0a0a0" stroked="f"/>
        </w:pict>
      </w:r>
    </w:p>
    <w:p w:rsidR="0057454C" w:rsidRDefault="0057454C" w:rsidP="0057454C">
      <w:pPr>
        <w:pStyle w:val="berschrift1"/>
      </w:pPr>
      <w:r>
        <w:t>3.3.47.113 Primäraxiomkandidat einer Bilanzstruktur</w:t>
      </w:r>
    </w:p>
    <w:p w:rsidR="0057454C" w:rsidRDefault="0057454C" w:rsidP="0057454C">
      <w:pPr>
        <w:pStyle w:val="StandardWeb"/>
      </w:pPr>
      <w:r>
        <w:t>Die neu eingeführten Bilanzbegriffe ermöglichen einen weiteren Primäraxiomkandidaten:</w:t>
      </w:r>
    </w:p>
    <w:p w:rsidR="0057454C" w:rsidRDefault="0057454C" w:rsidP="0057454C">
      <w:pPr>
        <w:pStyle w:val="berschrift1"/>
      </w:pPr>
      <w:r>
        <w:t>[</w:t>
      </w:r>
      <w:r>
        <w:br/>
        <w:t>A_B:</w:t>
      </w:r>
      <w:r>
        <w:br/>
        <w:t>\forall Q_F</w:t>
      </w:r>
      <w:r>
        <w:br/>
        <w:t>\quad</w:t>
      </w:r>
      <w:r>
        <w:br/>
        <w:t>\exists</w:t>
      </w:r>
      <w:r>
        <w:br/>
        <w:t>(\Sigma_Q,J_Q^{\mathrm{net}})</w:t>
      </w:r>
      <w:r>
        <w:br/>
        <w:t>:</w:t>
      </w:r>
      <w:r>
        <w:br/>
        <w:t>\Delta_TQ_F</w:t>
      </w:r>
    </w:p>
    <w:p w:rsidR="0057454C" w:rsidRDefault="0057454C" w:rsidP="0057454C">
      <w:pPr>
        <w:pStyle w:val="StandardWeb"/>
      </w:pPr>
      <w:r>
        <w:t>\Sigma_Q</w:t>
      </w:r>
      <w:r>
        <w:br/>
        <w:t>+</w:t>
      </w:r>
      <w:r>
        <w:br/>
        <w:t>J_Q^{\mathrm{net}}.</w:t>
      </w:r>
      <w:r>
        <w:br/>
        <w:t>\tag{3.11639}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A_B:\forall Q_F\quad\exists(\Sigma_Q,J_Q^{\mathrm{net}}):\Delta_TQ_F=\Sigma_Q+J_Q^{\mathrm{net}}</w:t>
      </w:r>
    </w:p>
    <w:p w:rsidR="0057454C" w:rsidRDefault="0057454C" w:rsidP="0057454C">
      <w:pPr>
        <w:pStyle w:val="StandardWeb"/>
      </w:pPr>
      <w:r>
        <w:t>Dieser Kandidat würde verlangen, dass jede funktionale Zustandsänderung grundsätzlich in Quellen/Senken und Flüsse zerlegt werden kann.</w:t>
      </w:r>
    </w:p>
    <w:p w:rsidR="0057454C" w:rsidRDefault="00E50336" w:rsidP="0057454C">
      <w:r>
        <w:pict>
          <v:rect id="_x0000_i3991" style="width:0;height:1.5pt" o:hralign="center" o:hrstd="t" o:hr="t" fillcolor="#a0a0a0" stroked="f"/>
        </w:pict>
      </w:r>
    </w:p>
    <w:p w:rsidR="0057454C" w:rsidRDefault="0057454C" w:rsidP="0057454C">
      <w:pPr>
        <w:pStyle w:val="berschrift1"/>
      </w:pPr>
      <w:r>
        <w:t>3.3.47.114 Triviale Zerlegung des Bilanzaxiomkandidaten</w:t>
      </w:r>
    </w:p>
    <w:p w:rsidR="0057454C" w:rsidRDefault="0057454C" w:rsidP="0057454C">
      <w:pPr>
        <w:pStyle w:val="StandardWeb"/>
      </w:pPr>
      <w:r>
        <w:t>In dieser Form ist (A_B) jedoch wiederum zu schwach.</w:t>
      </w:r>
    </w:p>
    <w:p w:rsidR="0057454C" w:rsidRDefault="0057454C" w:rsidP="0057454C">
      <w:pPr>
        <w:pStyle w:val="StandardWeb"/>
      </w:pPr>
      <w:r>
        <w:t>Für jede Änderung kann formal gesetzt werden</w:t>
      </w:r>
    </w:p>
    <w:p w:rsidR="0057454C" w:rsidRDefault="0057454C" w:rsidP="0057454C">
      <w:pPr>
        <w:pStyle w:val="berschrift1"/>
      </w:pPr>
      <w:r>
        <w:lastRenderedPageBreak/>
        <w:t>[</w:t>
      </w:r>
      <w:r>
        <w:br/>
        <w:t>\Sigma_Q</w:t>
      </w:r>
    </w:p>
    <w:p w:rsidR="0057454C" w:rsidRDefault="0057454C" w:rsidP="0057454C">
      <w:pPr>
        <w:pStyle w:val="StandardWeb"/>
      </w:pPr>
      <w:r>
        <w:t>\Delta_TQ_F</w:t>
      </w:r>
      <w:r>
        <w:br/>
        <w:t>\tag{3.11640}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\Sigma_Q=\Delta_TQ_F</w:t>
      </w:r>
    </w:p>
    <w:p w:rsidR="0057454C" w:rsidRDefault="0057454C" w:rsidP="0057454C">
      <w:pPr>
        <w:pStyle w:val="StandardWeb"/>
      </w:pPr>
      <w:r>
        <w:t>und</w:t>
      </w:r>
    </w:p>
    <w:p w:rsidR="0057454C" w:rsidRDefault="0057454C" w:rsidP="0057454C">
      <w:pPr>
        <w:pStyle w:val="StandardWeb"/>
      </w:pPr>
      <w:r>
        <w:t>[</w:t>
      </w:r>
      <w:r>
        <w:br/>
        <w:t>J_Q^{\mathrm{net}}=0.</w:t>
      </w:r>
      <w:r>
        <w:br/>
        <w:t>\tag{3.11641}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J_Q^{\mathrm{net}}=0</w:t>
      </w:r>
    </w:p>
    <w:p w:rsidR="0057454C" w:rsidRDefault="0057454C" w:rsidP="0057454C">
      <w:pPr>
        <w:pStyle w:val="StandardWeb"/>
      </w:pPr>
      <w:r>
        <w:t>Dann ist die Bilanzgleichung automatisch erfüllt.</w:t>
      </w:r>
    </w:p>
    <w:p w:rsidR="0057454C" w:rsidRDefault="00E50336" w:rsidP="0057454C">
      <w:r>
        <w:pict>
          <v:rect id="_x0000_i3992" style="width:0;height:1.5pt" o:hralign="center" o:hrstd="t" o:hr="t" fillcolor="#a0a0a0" stroked="f"/>
        </w:pict>
      </w:r>
    </w:p>
    <w:p w:rsidR="0057454C" w:rsidRDefault="0057454C" w:rsidP="0057454C">
      <w:pPr>
        <w:pStyle w:val="berschrift1"/>
      </w:pPr>
      <w:r>
        <w:t>3.3.47.115 Nichttriviale Bilanzzerlegung</w:t>
      </w:r>
    </w:p>
    <w:p w:rsidR="0057454C" w:rsidRDefault="0057454C" w:rsidP="0057454C">
      <w:pPr>
        <w:pStyle w:val="StandardWeb"/>
      </w:pPr>
      <w:r>
        <w:t>Eine wissenschaftlich informative Bilanzzerlegung muss deshalb zusätzliche unabhängige Bedeutungskriterien erfüllen.</w:t>
      </w:r>
    </w:p>
    <w:p w:rsidR="0057454C" w:rsidRDefault="0057454C" w:rsidP="0057454C">
      <w:pPr>
        <w:pStyle w:val="StandardWeb"/>
      </w:pPr>
      <w:r>
        <w:t>Insbesondere müssen Quelle, Senke und Fluss unabhängig von der bloßen Gesamtänderung bestimmbar oder modelltheoretisch begründet sein.</w:t>
      </w:r>
    </w:p>
    <w:p w:rsidR="0057454C" w:rsidRDefault="0057454C" w:rsidP="0057454C">
      <w:pPr>
        <w:pStyle w:val="StandardWeb"/>
      </w:pPr>
      <w:r>
        <w:t>Ich kennzeichne dies durch</w:t>
      </w:r>
    </w:p>
    <w:p w:rsidR="0057454C" w:rsidRDefault="0057454C" w:rsidP="0057454C">
      <w:pPr>
        <w:pStyle w:val="berschrift1"/>
      </w:pPr>
      <w:r>
        <w:t>[</w:t>
      </w:r>
      <w:r>
        <w:br/>
        <w:t>\operatorname{Ind}_B</w:t>
      </w:r>
      <w:r>
        <w:br/>
        <w:t>(\Sigma_Q,J_Q)</w:t>
      </w:r>
    </w:p>
    <w:p w:rsidR="0057454C" w:rsidRDefault="0057454C" w:rsidP="00152216">
      <w:pPr>
        <w:numPr>
          <w:ilvl w:val="0"/>
          <w:numId w:val="508"/>
        </w:numPr>
        <w:spacing w:before="100" w:beforeAutospacing="1" w:after="100" w:afterAutospacing="1"/>
      </w:pPr>
    </w:p>
    <w:p w:rsidR="0057454C" w:rsidRDefault="0057454C" w:rsidP="0057454C">
      <w:pPr>
        <w:pStyle w:val="StandardWeb"/>
      </w:pPr>
      <w:r>
        <w:t>\tag{3.11642}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lastRenderedPageBreak/>
        <w:t>\operatorname{Ind}_B(\Sigma_Q,J_Q)=1</w:t>
      </w:r>
    </w:p>
    <w:p w:rsidR="0057454C" w:rsidRDefault="00E50336" w:rsidP="0057454C">
      <w:r>
        <w:pict>
          <v:rect id="_x0000_i3993" style="width:0;height:1.5pt" o:hralign="center" o:hrstd="t" o:hr="t" fillcolor="#a0a0a0" stroked="f"/>
        </w:pict>
      </w:r>
    </w:p>
    <w:p w:rsidR="0057454C" w:rsidRDefault="0057454C" w:rsidP="0057454C">
      <w:pPr>
        <w:pStyle w:val="berschrift1"/>
      </w:pPr>
      <w:r>
        <w:t>3.3.47.116 Definition 3.3.264 – Nichttriviale funktionale Bilanzzerlegung</w:t>
      </w:r>
    </w:p>
    <w:p w:rsidR="0057454C" w:rsidRDefault="0057454C" w:rsidP="0057454C">
      <w:pPr>
        <w:pStyle w:val="berschrift3"/>
      </w:pPr>
      <w:r>
        <w:t>Definition 3.3.264</w:t>
      </w:r>
    </w:p>
    <w:p w:rsidR="0057454C" w:rsidRDefault="0057454C" w:rsidP="0057454C">
      <w:pPr>
        <w:pStyle w:val="StandardWeb"/>
      </w:pPr>
      <w:r>
        <w:t>Eine funktionale Bilanzzerlegung</w:t>
      </w:r>
    </w:p>
    <w:p w:rsidR="0057454C" w:rsidRDefault="0057454C" w:rsidP="0057454C">
      <w:pPr>
        <w:pStyle w:val="berschrift1"/>
      </w:pPr>
      <w:r>
        <w:t>[</w:t>
      </w:r>
      <w:r>
        <w:br/>
        <w:t>\Delta_TQ_F</w:t>
      </w:r>
    </w:p>
    <w:p w:rsidR="0057454C" w:rsidRDefault="0057454C" w:rsidP="0057454C">
      <w:pPr>
        <w:pStyle w:val="StandardWeb"/>
      </w:pPr>
      <w:r>
        <w:t>\Sigma_Q+J_Q^{\mathrm{net}}</w:t>
      </w:r>
      <w:r>
        <w:br/>
        <w:t>\tag{3.11643}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\Delta_TQ_F=\Sigma_Q+J_Q^{\mathrm{net}}</w:t>
      </w:r>
    </w:p>
    <w:p w:rsidR="0057454C" w:rsidRDefault="0057454C" w:rsidP="0057454C">
      <w:pPr>
        <w:pStyle w:val="StandardWeb"/>
      </w:pPr>
      <w:r>
        <w:t xml:space="preserve">heißt </w:t>
      </w:r>
      <w:r>
        <w:rPr>
          <w:rStyle w:val="Fett"/>
        </w:rPr>
        <w:t>nichttrivial</w:t>
      </w:r>
      <w:r>
        <w:t>, wenn die Bilanzterme nicht ausschließlich durch algebraische Umbenennung von (\Delta_TQ_F) festgelegt werden, sondern unabhängig spezifizierte funktionale Bedeutung besitzen.</w:t>
      </w:r>
    </w:p>
    <w:p w:rsidR="0057454C" w:rsidRDefault="0057454C" w:rsidP="0057454C">
      <w:pPr>
        <w:pStyle w:val="StandardWeb"/>
      </w:pPr>
      <w:r>
        <w:t>Formal kennzeichne ich dies durch</w:t>
      </w:r>
    </w:p>
    <w:p w:rsidR="0057454C" w:rsidRDefault="0057454C" w:rsidP="0057454C">
      <w:pPr>
        <w:pStyle w:val="berschrift1"/>
      </w:pPr>
      <w:r>
        <w:t>[</w:t>
      </w:r>
      <w:r>
        <w:br/>
        <w:t>\boxed{</w:t>
      </w:r>
      <w:r>
        <w:br/>
        <w:t>\operatorname{Ind}_B</w:t>
      </w:r>
      <w:r>
        <w:br/>
        <w:t>(\Sigma_Q,J_Q)</w:t>
      </w:r>
    </w:p>
    <w:p w:rsidR="0057454C" w:rsidRDefault="0057454C" w:rsidP="00152216">
      <w:pPr>
        <w:numPr>
          <w:ilvl w:val="0"/>
          <w:numId w:val="509"/>
        </w:numPr>
        <w:spacing w:before="100" w:beforeAutospacing="1" w:after="100" w:afterAutospacing="1"/>
      </w:pPr>
    </w:p>
    <w:p w:rsidR="0057454C" w:rsidRDefault="0057454C" w:rsidP="0057454C">
      <w:pPr>
        <w:pStyle w:val="StandardWeb"/>
      </w:pPr>
      <w:r>
        <w:t>}</w:t>
      </w:r>
      <w:r>
        <w:br/>
        <w:t>\tag{3.11644}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\boxed{\operatorname{Ind}_B(\Sigma_Q,J_Q)=1.}</w:t>
      </w:r>
    </w:p>
    <w:p w:rsidR="0057454C" w:rsidRDefault="00E50336" w:rsidP="0057454C">
      <w:r>
        <w:pict>
          <v:rect id="_x0000_i3994" style="width:0;height:1.5pt" o:hralign="center" o:hrstd="t" o:hr="t" fillcolor="#a0a0a0" stroked="f"/>
        </w:pict>
      </w:r>
    </w:p>
    <w:p w:rsidR="0057454C" w:rsidRDefault="0057454C" w:rsidP="0057454C">
      <w:pPr>
        <w:pStyle w:val="berschrift1"/>
      </w:pPr>
      <w:r>
        <w:lastRenderedPageBreak/>
        <w:t>3.3.47.117 Verstärkter Primäraxiomkandidat der Bilanzierbarkeit</w:t>
      </w:r>
    </w:p>
    <w:p w:rsidR="0057454C" w:rsidRDefault="0057454C" w:rsidP="0057454C">
      <w:pPr>
        <w:pStyle w:val="StandardWeb"/>
      </w:pPr>
      <w:r>
        <w:t>Damit kann ein nichttrivialer Primäraxiomkandidat formuliert werden:</w:t>
      </w:r>
    </w:p>
    <w:p w:rsidR="0057454C" w:rsidRDefault="0057454C" w:rsidP="0057454C">
      <w:pPr>
        <w:pStyle w:val="berschrift1"/>
      </w:pPr>
      <w:r>
        <w:t>[</w:t>
      </w:r>
      <w:r>
        <w:br/>
        <w:t>A_B^{+}:</w:t>
      </w:r>
      <w:r>
        <w:br/>
        <w:t>\forall Q_F</w:t>
      </w:r>
      <w:r>
        <w:br/>
        <w:t>\quad</w:t>
      </w:r>
      <w:r>
        <w:br/>
        <w:t>\exists</w:t>
      </w:r>
      <w:r>
        <w:br/>
        <w:t>(\Sigma_Q,J_Q^{\mathrm{net}})</w:t>
      </w:r>
      <w:r>
        <w:br/>
        <w:t>:</w:t>
      </w:r>
      <w:r>
        <w:br/>
        <w:t>\left[</w:t>
      </w:r>
      <w:r>
        <w:br/>
        <w:t>\Delta_TQ_F</w:t>
      </w:r>
    </w:p>
    <w:p w:rsidR="0057454C" w:rsidRDefault="0057454C" w:rsidP="0057454C">
      <w:pPr>
        <w:pStyle w:val="StandardWeb"/>
      </w:pPr>
      <w:r>
        <w:t>\Sigma_Q</w:t>
      </w:r>
      <w:r>
        <w:br/>
        <w:t>+</w:t>
      </w:r>
      <w:r>
        <w:br/>
        <w:t>J_Q^{\mathrm{net}}</w:t>
      </w:r>
      <w:r>
        <w:br/>
        <w:t>\land</w:t>
      </w:r>
      <w:r>
        <w:br/>
        <w:t>\operatorname{Ind}_B=1</w:t>
      </w:r>
      <w:r>
        <w:br/>
        <w:t>\right].</w:t>
      </w:r>
      <w:r>
        <w:br/>
        <w:t>\tag{3.11645}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A_B^{+}:\forall Q_F\quad\exists(\Sigma_Q,J_Q^{\mathrm{net}}):\left[\Delta_TQ_F=\Sigma_Q+J_Q^{\mathrm{net}}\land\operatorname{Ind}_B=1\right]</w:t>
      </w:r>
    </w:p>
    <w:p w:rsidR="0057454C" w:rsidRDefault="00E50336" w:rsidP="0057454C">
      <w:r>
        <w:pict>
          <v:rect id="_x0000_i3995" style="width:0;height:1.5pt" o:hralign="center" o:hrstd="t" o:hr="t" fillcolor="#a0a0a0" stroked="f"/>
        </w:pict>
      </w:r>
    </w:p>
    <w:p w:rsidR="0057454C" w:rsidRDefault="0057454C" w:rsidP="0057454C">
      <w:pPr>
        <w:pStyle w:val="berschrift1"/>
      </w:pPr>
      <w:r>
        <w:t>3.3.47.118 Notwendigkeitstest der nichttrivialen Bilanzierbarkeit</w:t>
      </w:r>
    </w:p>
    <w:p w:rsidR="0057454C" w:rsidRDefault="0057454C" w:rsidP="0057454C">
      <w:pPr>
        <w:pStyle w:val="StandardWeb"/>
      </w:pPr>
      <w:r>
        <w:t>Die minimale FRZK-Struktur verlangt jedoch keine Zerlegung jeder Zustandsänderung in Quelle, Senke und Fluss.</w:t>
      </w:r>
    </w:p>
    <w:p w:rsidR="0057454C" w:rsidRDefault="0057454C" w:rsidP="0057454C">
      <w:pPr>
        <w:pStyle w:val="StandardWeb"/>
      </w:pPr>
      <w:r>
        <w:t>Ein Übergang kann im allgemeinen relationalen Modell schlicht durch</w:t>
      </w:r>
    </w:p>
    <w:p w:rsidR="0057454C" w:rsidRDefault="0057454C" w:rsidP="0057454C">
      <w:pPr>
        <w:pStyle w:val="StandardWeb"/>
      </w:pPr>
      <w:r>
        <w:t>[</w:t>
      </w:r>
      <w:r>
        <w:br/>
        <w:t>(z_i,z_j)\in\mathcal T_F</w:t>
      </w:r>
      <w:r>
        <w:br/>
      </w:r>
      <w:r>
        <w:lastRenderedPageBreak/>
        <w:t>\tag{3.11646}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(z_i,z_j)\in\mathcal T_F</w:t>
      </w:r>
    </w:p>
    <w:p w:rsidR="0057454C" w:rsidRDefault="0057454C" w:rsidP="0057454C">
      <w:pPr>
        <w:pStyle w:val="StandardWeb"/>
      </w:pPr>
      <w:r>
        <w:t>gegeben sein, ohne dass ein zusätzlicher bilanztheoretischer Mechanismus spezifiziert wird.</w:t>
      </w:r>
    </w:p>
    <w:p w:rsidR="0057454C" w:rsidRDefault="0057454C" w:rsidP="0057454C">
      <w:pPr>
        <w:pStyle w:val="StandardWeb"/>
      </w:pPr>
      <w:r>
        <w:t>Damit ist ein FRZK-Modell möglich mit</w:t>
      </w:r>
    </w:p>
    <w:p w:rsidR="0057454C" w:rsidRDefault="0057454C" w:rsidP="0057454C">
      <w:pPr>
        <w:pStyle w:val="StandardWeb"/>
      </w:pPr>
      <w:r>
        <w:t>[</w:t>
      </w:r>
      <w:r>
        <w:br/>
        <w:t>\Delta_TQ_F</w:t>
      </w:r>
      <w:r>
        <w:br/>
        <w:t>\text{ definiert},</w:t>
      </w:r>
      <w:r>
        <w:br/>
        <w:t>\tag{3.11647}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\Delta_TQ_F\text{ definiert}</w:t>
      </w:r>
    </w:p>
    <w:p w:rsidR="0057454C" w:rsidRDefault="0057454C" w:rsidP="0057454C">
      <w:pPr>
        <w:pStyle w:val="StandardWeb"/>
      </w:pPr>
      <w:r>
        <w:t>aber</w:t>
      </w:r>
    </w:p>
    <w:p w:rsidR="0057454C" w:rsidRDefault="0057454C" w:rsidP="0057454C">
      <w:pPr>
        <w:pStyle w:val="StandardWeb"/>
      </w:pPr>
      <w:r>
        <w:t>[</w:t>
      </w:r>
      <w:r>
        <w:br/>
        <w:t>\Sigma_Q</w:t>
      </w:r>
      <w:r>
        <w:br/>
        <w:t>\text{ und }</w:t>
      </w:r>
      <w:r>
        <w:br/>
        <w:t>J_Q</w:t>
      </w:r>
      <w:r>
        <w:br/>
        <w:t>\text{ nicht modelliert}.</w:t>
      </w:r>
      <w:r>
        <w:br/>
        <w:t>\tag{3.11648}</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\Sigma_Q\text{ und }J_Q\text{ nicht modelliert}</w:t>
      </w:r>
    </w:p>
    <w:p w:rsidR="0057454C" w:rsidRDefault="00E50336" w:rsidP="0057454C">
      <w:r>
        <w:pict>
          <v:rect id="_x0000_i3996" style="width:0;height:1.5pt" o:hralign="center" o:hrstd="t" o:hr="t" fillcolor="#a0a0a0" stroked="f"/>
        </w:pict>
      </w:r>
    </w:p>
    <w:p w:rsidR="0057454C" w:rsidRDefault="0057454C" w:rsidP="0057454C">
      <w:pPr>
        <w:pStyle w:val="berschrift1"/>
      </w:pPr>
      <w:r>
        <w:t>3.3.47.119 Vorläufiges Ergebnis der zweiten Primäraxiomprüfung</w:t>
      </w:r>
    </w:p>
    <w:p w:rsidR="0057454C" w:rsidRDefault="0057454C" w:rsidP="0057454C">
      <w:pPr>
        <w:pStyle w:val="StandardWeb"/>
      </w:pPr>
      <w:r>
        <w:t>Damit gilt</w:t>
      </w:r>
    </w:p>
    <w:p w:rsidR="0057454C" w:rsidRDefault="0057454C" w:rsidP="0057454C">
      <w:pPr>
        <w:pStyle w:val="berschrift1"/>
      </w:pPr>
      <w:r>
        <w:t>[</w:t>
      </w:r>
      <w:r>
        <w:br/>
        <w:t>\boxed{</w:t>
      </w:r>
      <w:r>
        <w:br/>
        <w:t>U_{\mathrm{Ax}}</w:t>
      </w:r>
      <w:r>
        <w:br/>
        <w:t>(A_B^{+})</w:t>
      </w:r>
    </w:p>
    <w:p w:rsidR="0057454C" w:rsidRDefault="0057454C" w:rsidP="00152216">
      <w:pPr>
        <w:numPr>
          <w:ilvl w:val="0"/>
          <w:numId w:val="510"/>
        </w:numPr>
        <w:spacing w:before="100" w:beforeAutospacing="1" w:after="100" w:afterAutospacing="1"/>
      </w:pPr>
    </w:p>
    <w:p w:rsidR="0057454C" w:rsidRDefault="0057454C" w:rsidP="0057454C">
      <w:pPr>
        <w:pStyle w:val="StandardWeb"/>
      </w:pPr>
      <w:r>
        <w:lastRenderedPageBreak/>
        <w:t>}</w:t>
      </w:r>
      <w:r>
        <w:br/>
        <w:t>\tag{3.11649}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\boxed{U_{\mathrm{Ax}}(A_B^{+})=0.}</w:t>
      </w:r>
    </w:p>
    <w:p w:rsidR="0057454C" w:rsidRDefault="00E50336" w:rsidP="0057454C">
      <w:r>
        <w:pict>
          <v:rect id="_x0000_i3997" style="width:0;height:1.5pt" o:hralign="center" o:hrstd="t" o:hr="t" fillcolor="#a0a0a0" stroked="f"/>
        </w:pict>
      </w:r>
    </w:p>
    <w:p w:rsidR="0057454C" w:rsidRDefault="0057454C" w:rsidP="0057454C">
      <w:pPr>
        <w:pStyle w:val="berschrift1"/>
      </w:pPr>
      <w:r>
        <w:t>3.3.47.120 Satz 3.3.111 – Nichttriviale funktionale Bilanzierbarkeit ist kein Primäraxiom</w:t>
      </w:r>
    </w:p>
    <w:p w:rsidR="0057454C" w:rsidRDefault="0057454C" w:rsidP="0057454C">
      <w:pPr>
        <w:pStyle w:val="berschrift3"/>
      </w:pPr>
      <w:r>
        <w:t>Satz 3.3.111</w:t>
      </w:r>
    </w:p>
    <w:p w:rsidR="0057454C" w:rsidRDefault="0057454C" w:rsidP="0057454C">
      <w:pPr>
        <w:pStyle w:val="StandardWeb"/>
      </w:pPr>
      <w:r>
        <w:t>Die Forderung, jede funktionale Zustandsänderung müsse eine unabhängig interpretierbare Zerlegung in Quellen-, Senken- und Flussbeiträge besitzen, ist keine universell notwendige Voraussetzung eines allgemeinen FRZK-Modells.</w:t>
      </w:r>
    </w:p>
    <w:p w:rsidR="0057454C" w:rsidRDefault="0057454C" w:rsidP="0057454C">
      <w:pPr>
        <w:pStyle w:val="StandardWeb"/>
      </w:pPr>
      <w:r>
        <w:t>Daher gilt</w:t>
      </w:r>
    </w:p>
    <w:p w:rsidR="0057454C" w:rsidRDefault="0057454C" w:rsidP="0057454C">
      <w:pPr>
        <w:pStyle w:val="berschrift1"/>
      </w:pPr>
      <w:r>
        <w:t>[</w:t>
      </w:r>
      <w:r>
        <w:br/>
        <w:t>\boxed{</w:t>
      </w:r>
      <w:r>
        <w:br/>
        <w:t>U_{\mathrm{Ax}}</w:t>
      </w:r>
      <w:r>
        <w:br/>
        <w:t>(A_B^{+})</w:t>
      </w:r>
    </w:p>
    <w:p w:rsidR="0057454C" w:rsidRDefault="0057454C" w:rsidP="00152216">
      <w:pPr>
        <w:numPr>
          <w:ilvl w:val="0"/>
          <w:numId w:val="511"/>
        </w:numPr>
        <w:spacing w:before="100" w:beforeAutospacing="1" w:after="100" w:afterAutospacing="1"/>
      </w:pPr>
    </w:p>
    <w:p w:rsidR="0057454C" w:rsidRDefault="0057454C" w:rsidP="0057454C">
      <w:pPr>
        <w:pStyle w:val="StandardWeb"/>
      </w:pPr>
      <w:r>
        <w:t>}</w:t>
      </w:r>
      <w:r>
        <w:br/>
        <w:t>\tag{3.11650}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\boxed{U_{\mathrm{Ax}}(A_B^{+})=0.}</w:t>
      </w:r>
    </w:p>
    <w:p w:rsidR="0057454C" w:rsidRDefault="0057454C" w:rsidP="0057454C">
      <w:pPr>
        <w:pStyle w:val="berschrift3"/>
      </w:pPr>
      <w:r>
        <w:t>Beweis</w:t>
      </w:r>
    </w:p>
    <w:p w:rsidR="0057454C" w:rsidRDefault="0057454C" w:rsidP="0057454C">
      <w:pPr>
        <w:pStyle w:val="StandardWeb"/>
      </w:pPr>
      <w:r>
        <w:t>Ein allgemeines FRZK kann als relationale Zustands- und Übergangsstruktur formuliert werden. Eine Zustandsänderung kann deshalb mathematisch definiert sein, ohne dass zusätzlich eine kausal oder strukturell interpretierte Bilanzzerlegung existiert. Da solche Modelle zulässig bleiben, ist die nichttriviale Bilanzierbarkeit nicht universal notwendig. (\square)</w:t>
      </w:r>
    </w:p>
    <w:p w:rsidR="0057454C" w:rsidRDefault="00E50336" w:rsidP="0057454C">
      <w:r>
        <w:pict>
          <v:rect id="_x0000_i3998" style="width:0;height:1.5pt" o:hralign="center" o:hrstd="t" o:hr="t" fillcolor="#a0a0a0" stroked="f"/>
        </w:pict>
      </w:r>
    </w:p>
    <w:p w:rsidR="0057454C" w:rsidRDefault="0057454C" w:rsidP="0057454C">
      <w:pPr>
        <w:pStyle w:val="berschrift1"/>
      </w:pPr>
      <w:r>
        <w:t>3.3.47.121 Status funktionaler Quellen und Senken</w:t>
      </w:r>
    </w:p>
    <w:p w:rsidR="0057454C" w:rsidRDefault="0057454C" w:rsidP="0057454C">
      <w:pPr>
        <w:pStyle w:val="StandardWeb"/>
      </w:pPr>
      <w:r>
        <w:lastRenderedPageBreak/>
        <w:t>Die Größen</w:t>
      </w:r>
    </w:p>
    <w:p w:rsidR="0057454C" w:rsidRDefault="0057454C" w:rsidP="0057454C">
      <w:pPr>
        <w:pStyle w:val="StandardWeb"/>
      </w:pPr>
      <w:r>
        <w:t>[</w:t>
      </w:r>
      <w:r>
        <w:br/>
        <w:t>S_Q^{+}</w:t>
      </w:r>
      <w:r>
        <w:br/>
        <w:t>\qquad\text{und}\qquad</w:t>
      </w:r>
      <w:r>
        <w:br/>
        <w:t>S_Q^{-}</w:t>
      </w:r>
      <w:r>
        <w:br/>
        <w:t>\tag{3.11651}</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S_Q^{+}\qquad\text{und}\qquad S_Q^{-}</w:t>
      </w:r>
    </w:p>
    <w:p w:rsidR="0057454C" w:rsidRDefault="0057454C" w:rsidP="0057454C">
      <w:pPr>
        <w:pStyle w:val="StandardWeb"/>
      </w:pPr>
      <w:r>
        <w:t>sind definitorisch eingeführt, ihre konkrete Bedeutung jedoch modellabhängig.</w:t>
      </w:r>
    </w:p>
    <w:p w:rsidR="0057454C" w:rsidRDefault="0057454C" w:rsidP="0057454C">
      <w:pPr>
        <w:pStyle w:val="StandardWeb"/>
      </w:pPr>
      <w:r>
        <w:t>Daher gilt</w:t>
      </w:r>
    </w:p>
    <w:p w:rsidR="0057454C" w:rsidRDefault="0057454C" w:rsidP="0057454C">
      <w:pPr>
        <w:pStyle w:val="berschrift1"/>
      </w:pPr>
      <w:r>
        <w:t>[</w:t>
      </w:r>
      <w:r>
        <w:br/>
        <w:t>\boxed{</w:t>
      </w:r>
      <w:r>
        <w:br/>
        <w:t>\operatorname{Stat}(S_Q^{+})</w:t>
      </w:r>
    </w:p>
    <w:p w:rsidR="0057454C" w:rsidRDefault="0057454C" w:rsidP="0057454C">
      <w:pPr>
        <w:pStyle w:val="berschrift1"/>
      </w:pPr>
      <w:r>
        <w:t>\operatorname{Stat}(S_Q^{-})</w:t>
      </w:r>
    </w:p>
    <w:p w:rsidR="0057454C" w:rsidRDefault="0057454C" w:rsidP="0057454C">
      <w:pPr>
        <w:pStyle w:val="StandardWeb"/>
      </w:pPr>
      <w:r>
        <w:t>\mathrm{Def/Mod/Op}.</w:t>
      </w:r>
      <w:r>
        <w:br/>
        <w:t>}</w:t>
      </w:r>
      <w:r>
        <w:br/>
        <w:t>\tag{3.11652}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\boxed{\operatorname{Stat}(S_Q^{+})=\operatorname{Stat}(S_Q^{-})=\mathrm{Def/Mod/Op}.}</w:t>
      </w:r>
    </w:p>
    <w:p w:rsidR="0057454C" w:rsidRDefault="00E50336" w:rsidP="0057454C">
      <w:r>
        <w:pict>
          <v:rect id="_x0000_i3999" style="width:0;height:1.5pt" o:hralign="center" o:hrstd="t" o:hr="t" fillcolor="#a0a0a0" stroked="f"/>
        </w:pict>
      </w:r>
    </w:p>
    <w:p w:rsidR="0057454C" w:rsidRDefault="0057454C" w:rsidP="0057454C">
      <w:pPr>
        <w:pStyle w:val="berschrift1"/>
      </w:pPr>
      <w:r>
        <w:t>3.3.47.122 Status des Nettoquellterms</w:t>
      </w:r>
    </w:p>
    <w:p w:rsidR="0057454C" w:rsidRDefault="0057454C" w:rsidP="0057454C">
      <w:pPr>
        <w:pStyle w:val="StandardWeb"/>
      </w:pPr>
      <w:r>
        <w:t>Für</w:t>
      </w:r>
    </w:p>
    <w:p w:rsidR="0057454C" w:rsidRDefault="0057454C" w:rsidP="0057454C">
      <w:pPr>
        <w:pStyle w:val="berschrift1"/>
      </w:pPr>
      <w:r>
        <w:t>[</w:t>
      </w:r>
      <w:r>
        <w:br/>
        <w:t>\Sigma_Q</w:t>
      </w:r>
    </w:p>
    <w:p w:rsidR="0057454C" w:rsidRDefault="0057454C" w:rsidP="0057454C">
      <w:pPr>
        <w:pStyle w:val="StandardWeb"/>
      </w:pPr>
      <w:r>
        <w:t>S_Q^{+}-S_Q^{-}</w:t>
      </w:r>
      <w:r>
        <w:br/>
        <w:t>\tag{3.11653}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lastRenderedPageBreak/>
        <w:t>\Sigma_Q=S_Q^{+}-S_Q^{-}</w:t>
      </w:r>
    </w:p>
    <w:p w:rsidR="0057454C" w:rsidRDefault="0057454C" w:rsidP="0057454C">
      <w:pPr>
        <w:pStyle w:val="StandardWeb"/>
      </w:pPr>
      <w:r>
        <w:t>gilt</w:t>
      </w:r>
    </w:p>
    <w:p w:rsidR="0057454C" w:rsidRDefault="0057454C" w:rsidP="0057454C">
      <w:pPr>
        <w:pStyle w:val="berschrift1"/>
      </w:pPr>
      <w:r>
        <w:t>[</w:t>
      </w:r>
      <w:r>
        <w:br/>
        <w:t>\boxed{</w:t>
      </w:r>
      <w:r>
        <w:br/>
        <w:t>\operatorname{Stat}(\Sigma_Q)</w:t>
      </w:r>
    </w:p>
    <w:p w:rsidR="0057454C" w:rsidRDefault="0057454C" w:rsidP="0057454C">
      <w:pPr>
        <w:pStyle w:val="StandardWeb"/>
      </w:pPr>
      <w:r>
        <w:t>\mathrm{Def/Mod/Op}.</w:t>
      </w:r>
      <w:r>
        <w:br/>
        <w:t>}</w:t>
      </w:r>
      <w:r>
        <w:br/>
        <w:t>\tag{3.11654}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\boxed{\operatorname{Stat}(\Sigma_Q)=\mathrm{Def/Mod/Op}.}</w:t>
      </w:r>
    </w:p>
    <w:p w:rsidR="0057454C" w:rsidRDefault="00E50336" w:rsidP="0057454C">
      <w:r>
        <w:pict>
          <v:rect id="_x0000_i4000" style="width:0;height:1.5pt" o:hralign="center" o:hrstd="t" o:hr="t" fillcolor="#a0a0a0" stroked="f"/>
        </w:pict>
      </w:r>
    </w:p>
    <w:p w:rsidR="0057454C" w:rsidRDefault="0057454C" w:rsidP="0057454C">
      <w:pPr>
        <w:pStyle w:val="berschrift1"/>
      </w:pPr>
      <w:r>
        <w:t>3.3.47.123 Status des funktionalen Flusses</w:t>
      </w:r>
    </w:p>
    <w:p w:rsidR="0057454C" w:rsidRDefault="0057454C" w:rsidP="0057454C">
      <w:pPr>
        <w:pStyle w:val="StandardWeb"/>
      </w:pPr>
      <w:r>
        <w:t>Auch</w:t>
      </w:r>
    </w:p>
    <w:p w:rsidR="0057454C" w:rsidRDefault="0057454C" w:rsidP="0057454C">
      <w:pPr>
        <w:pStyle w:val="StandardWeb"/>
      </w:pPr>
      <w:r>
        <w:t>[</w:t>
      </w:r>
      <w:r>
        <w:br/>
        <w:t>J_Q</w:t>
      </w:r>
      <w:r>
        <w:br/>
        <w:t>\tag{3.11655}</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J_Q</w:t>
      </w:r>
    </w:p>
    <w:p w:rsidR="0057454C" w:rsidRDefault="0057454C" w:rsidP="0057454C">
      <w:pPr>
        <w:pStyle w:val="StandardWeb"/>
      </w:pPr>
      <w:r>
        <w:t>setzt eine zusätzliche Übertragungsinterpretation des Modells voraus.</w:t>
      </w:r>
    </w:p>
    <w:p w:rsidR="0057454C" w:rsidRDefault="0057454C" w:rsidP="0057454C">
      <w:pPr>
        <w:pStyle w:val="StandardWeb"/>
      </w:pPr>
      <w:r>
        <w:t>Damit gilt</w:t>
      </w:r>
    </w:p>
    <w:p w:rsidR="0057454C" w:rsidRDefault="0057454C" w:rsidP="0057454C">
      <w:pPr>
        <w:pStyle w:val="berschrift1"/>
      </w:pPr>
      <w:r>
        <w:t>[</w:t>
      </w:r>
      <w:r>
        <w:br/>
        <w:t>\boxed{</w:t>
      </w:r>
      <w:r>
        <w:br/>
        <w:t>\operatorname{Stat}(J_Q)</w:t>
      </w:r>
    </w:p>
    <w:p w:rsidR="0057454C" w:rsidRDefault="0057454C" w:rsidP="0057454C">
      <w:pPr>
        <w:pStyle w:val="StandardWeb"/>
      </w:pPr>
      <w:r>
        <w:t>\mathrm{Def/Mod/Op}.</w:t>
      </w:r>
      <w:r>
        <w:br/>
        <w:t>}</w:t>
      </w:r>
      <w:r>
        <w:br/>
        <w:t>\tag{3.11656}</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lastRenderedPageBreak/>
        <w:t>\boxed{\operatorname{Stat}(J_Q)=\mathrm{Def/Mod/Op}.}</w:t>
      </w:r>
    </w:p>
    <w:p w:rsidR="0057454C" w:rsidRDefault="00E50336" w:rsidP="0057454C">
      <w:r>
        <w:pict>
          <v:rect id="_x0000_i4001" style="width:0;height:1.5pt" o:hralign="center" o:hrstd="t" o:hr="t" fillcolor="#a0a0a0" stroked="f"/>
        </w:pict>
      </w:r>
    </w:p>
    <w:p w:rsidR="0057454C" w:rsidRDefault="0057454C" w:rsidP="0057454C">
      <w:pPr>
        <w:pStyle w:val="berschrift1"/>
      </w:pPr>
      <w:r>
        <w:t>3.3.47.124 Status der diskreten Bilanzgleichung</w:t>
      </w:r>
    </w:p>
    <w:p w:rsidR="0057454C" w:rsidRDefault="0057454C" w:rsidP="0057454C">
      <w:pPr>
        <w:pStyle w:val="StandardWeb"/>
      </w:pPr>
      <w:r>
        <w:t>Die Beziehung</w:t>
      </w:r>
    </w:p>
    <w:p w:rsidR="0057454C" w:rsidRDefault="0057454C" w:rsidP="0057454C">
      <w:pPr>
        <w:pStyle w:val="berschrift1"/>
      </w:pPr>
      <w:r>
        <w:t>[</w:t>
      </w:r>
      <w:r>
        <w:br/>
        <w:t>\Delta_TQ_F</w:t>
      </w:r>
    </w:p>
    <w:p w:rsidR="0057454C" w:rsidRDefault="0057454C" w:rsidP="0057454C">
      <w:pPr>
        <w:pStyle w:val="StandardWeb"/>
      </w:pPr>
      <w:r>
        <w:t>\Sigma_Q</w:t>
      </w:r>
      <w:r>
        <w:br/>
        <w:t>+</w:t>
      </w:r>
      <w:r>
        <w:br/>
        <w:t>J_Q^{\mathrm{net}}</w:t>
      </w:r>
      <w:r>
        <w:br/>
        <w:t>\tag{3.11657}</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\Delta_TQ_F=\Sigma_Q+J_Q^{\mathrm{net}}</w:t>
      </w:r>
    </w:p>
    <w:p w:rsidR="0057454C" w:rsidRDefault="0057454C" w:rsidP="0057454C">
      <w:pPr>
        <w:pStyle w:val="StandardWeb"/>
      </w:pPr>
      <w:r>
        <w:t>ist keine universelle mathematische Identität, sondern Bestandteil einer spezifizierten Bilanzmodellklasse.</w:t>
      </w:r>
    </w:p>
    <w:p w:rsidR="0057454C" w:rsidRDefault="0057454C" w:rsidP="0057454C">
      <w:pPr>
        <w:pStyle w:val="StandardWeb"/>
      </w:pPr>
      <w:r>
        <w:t>Daher gilt</w:t>
      </w:r>
    </w:p>
    <w:p w:rsidR="0057454C" w:rsidRDefault="0057454C" w:rsidP="0057454C">
      <w:pPr>
        <w:pStyle w:val="berschrift1"/>
      </w:pPr>
      <w:r>
        <w:t>[</w:t>
      </w:r>
      <w:r>
        <w:br/>
        <w:t>\boxed{</w:t>
      </w:r>
      <w:r>
        <w:br/>
        <w:t>\operatorname{Stat}</w:t>
      </w:r>
      <w:r>
        <w:br/>
        <w:t>(\mathfrak B_Q^{\mathrm{disc}})</w:t>
      </w:r>
    </w:p>
    <w:p w:rsidR="0057454C" w:rsidRDefault="0057454C" w:rsidP="0057454C">
      <w:pPr>
        <w:pStyle w:val="StandardWeb"/>
      </w:pPr>
      <w:r>
        <w:t>\mathrm{Def/Mod}.</w:t>
      </w:r>
      <w:r>
        <w:br/>
        <w:t>}</w:t>
      </w:r>
      <w:r>
        <w:br/>
        <w:t>\tag{3.11658}</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\boxed{\operatorname{Stat}(\mathfrak B_Q^{\mathrm{disc}})=\mathrm{Def/Mod}.}</w:t>
      </w:r>
    </w:p>
    <w:p w:rsidR="0057454C" w:rsidRDefault="00E50336" w:rsidP="0057454C">
      <w:r>
        <w:pict>
          <v:rect id="_x0000_i4002" style="width:0;height:1.5pt" o:hralign="center" o:hrstd="t" o:hr="t" fillcolor="#a0a0a0" stroked="f"/>
        </w:pict>
      </w:r>
    </w:p>
    <w:p w:rsidR="0057454C" w:rsidRDefault="0057454C" w:rsidP="0057454C">
      <w:pPr>
        <w:pStyle w:val="berschrift1"/>
      </w:pPr>
      <w:r>
        <w:t>3.3.47.125 Status der lokalen Kontinuumsbilanz</w:t>
      </w:r>
    </w:p>
    <w:p w:rsidR="0057454C" w:rsidRDefault="0057454C" w:rsidP="0057454C">
      <w:pPr>
        <w:pStyle w:val="StandardWeb"/>
      </w:pPr>
      <w:r>
        <w:t>Für</w:t>
      </w:r>
    </w:p>
    <w:p w:rsidR="0057454C" w:rsidRDefault="0057454C" w:rsidP="0057454C">
      <w:pPr>
        <w:pStyle w:val="berschrift1"/>
      </w:pPr>
      <w:r>
        <w:lastRenderedPageBreak/>
        <w:t>[</w:t>
      </w:r>
      <w:r>
        <w:br/>
        <w:t>\frac{\partial\rho_Q}{\partial\tau}</w:t>
      </w:r>
      <w:r>
        <w:br/>
        <w:t>+</w:t>
      </w:r>
      <w:r>
        <w:br/>
        <w:t>\nabla_F\cdot\mathbf J_Q</w:t>
      </w:r>
    </w:p>
    <w:p w:rsidR="0057454C" w:rsidRDefault="0057454C" w:rsidP="0057454C">
      <w:pPr>
        <w:pStyle w:val="StandardWeb"/>
      </w:pPr>
      <w:r>
        <w:t>\sigma_Q</w:t>
      </w:r>
      <w:r>
        <w:br/>
        <w:t>\tag{3.11659}</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\frac{\partial\rho_Q}{\partial\tau}+\nabla_F\cdot\mathbf J_Q=\sigma_Q</w:t>
      </w:r>
    </w:p>
    <w:p w:rsidR="0057454C" w:rsidRDefault="0057454C" w:rsidP="0057454C">
      <w:pPr>
        <w:pStyle w:val="StandardWeb"/>
      </w:pPr>
      <w:r>
        <w:t>gilt wegen der zusätzlichen geometrischen und analytischen Voraussetzungen</w:t>
      </w:r>
    </w:p>
    <w:p w:rsidR="0057454C" w:rsidRDefault="0057454C" w:rsidP="0057454C">
      <w:pPr>
        <w:pStyle w:val="berschrift1"/>
      </w:pPr>
      <w:r>
        <w:t>[</w:t>
      </w:r>
      <w:r>
        <w:br/>
        <w:t>\boxed{</w:t>
      </w:r>
      <w:r>
        <w:br/>
        <w:t>\operatorname{Stat}</w:t>
      </w:r>
      <w:r>
        <w:br/>
        <w:t>(\mathfrak B_Q^{\mathrm{cont}})</w:t>
      </w:r>
    </w:p>
    <w:p w:rsidR="0057454C" w:rsidRDefault="0057454C" w:rsidP="0057454C">
      <w:pPr>
        <w:pStyle w:val="StandardWeb"/>
      </w:pPr>
      <w:r>
        <w:t>\mathrm{Def/Mod}.</w:t>
      </w:r>
      <w:r>
        <w:br/>
        <w:t>}</w:t>
      </w:r>
      <w:r>
        <w:br/>
        <w:t>\tag{3.11660}</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\boxed{\operatorname{Stat}(\mathfrak B_Q^{\mathrm{cont}})=\mathrm{Def/Mod}.}</w:t>
      </w:r>
    </w:p>
    <w:p w:rsidR="0057454C" w:rsidRDefault="00E50336" w:rsidP="0057454C">
      <w:r>
        <w:pict>
          <v:rect id="_x0000_i4003" style="width:0;height:1.5pt" o:hralign="center" o:hrstd="t" o:hr="t" fillcolor="#a0a0a0" stroked="f"/>
        </w:pict>
      </w:r>
    </w:p>
    <w:p w:rsidR="0057454C" w:rsidRDefault="0057454C" w:rsidP="0057454C">
      <w:pPr>
        <w:pStyle w:val="berschrift1"/>
      </w:pPr>
      <w:r>
        <w:t>3.3.47.126 Status der daraus abgeleiteten Erhaltungsaussagen</w:t>
      </w:r>
    </w:p>
    <w:p w:rsidR="0057454C" w:rsidRDefault="0057454C" w:rsidP="0057454C">
      <w:pPr>
        <w:pStyle w:val="StandardWeb"/>
      </w:pPr>
      <w:r>
        <w:t>Aussagen wie</w:t>
      </w:r>
    </w:p>
    <w:p w:rsidR="0057454C" w:rsidRDefault="0057454C" w:rsidP="0057454C">
      <w:pPr>
        <w:pStyle w:val="StandardWeb"/>
      </w:pPr>
      <w:r>
        <w:t>[</w:t>
      </w:r>
      <w:r>
        <w:br/>
        <w:t>\Phi_{\partial\mathcal D}=0</w:t>
      </w:r>
      <w:r>
        <w:br/>
        <w:t>\land</w:t>
      </w:r>
      <w:r>
        <w:br/>
        <w:t>\Sigma_{\mathcal D}=0</w:t>
      </w:r>
      <w:r>
        <w:br/>
        <w:t>\Rightarrow</w:t>
      </w:r>
      <w:r>
        <w:br/>
        <w:t>\frac{dQ_{\mathcal D}}{d\tau}=0</w:t>
      </w:r>
      <w:r>
        <w:br/>
        <w:t>\tag{3.11661}</w:t>
      </w:r>
      <w:r>
        <w:br/>
        <w:t>]</w:t>
      </w:r>
    </w:p>
    <w:p w:rsidR="0057454C" w:rsidRDefault="0057454C" w:rsidP="0057454C">
      <w:pPr>
        <w:pStyle w:val="StandardWeb"/>
      </w:pPr>
      <w:r>
        <w:rPr>
          <w:rStyle w:val="Fett"/>
        </w:rPr>
        <w:lastRenderedPageBreak/>
        <w:t>Word-LaTeX</w:t>
      </w:r>
    </w:p>
    <w:p w:rsidR="0057454C" w:rsidRDefault="0057454C" w:rsidP="0057454C">
      <w:pPr>
        <w:pStyle w:val="HTMLVorformatiert"/>
        <w:rPr>
          <w:rStyle w:val="HTMLCode"/>
        </w:rPr>
      </w:pPr>
      <w:r>
        <w:rPr>
          <w:rStyle w:val="HTMLCode"/>
        </w:rPr>
        <w:t>\Phi_{\partial\mathcal D}=0\land\Sigma_{\mathcal D}=0\Rightarrow\frac{dQ_{\mathcal D}}{d\tau}=0</w:t>
      </w:r>
    </w:p>
    <w:p w:rsidR="0057454C" w:rsidRDefault="0057454C" w:rsidP="0057454C">
      <w:pPr>
        <w:pStyle w:val="StandardWeb"/>
      </w:pPr>
      <w:r>
        <w:t>folgen dagegen aus einer bereits spezifizierten Bilanzgleichung.</w:t>
      </w:r>
    </w:p>
    <w:p w:rsidR="0057454C" w:rsidRDefault="0057454C" w:rsidP="0057454C">
      <w:pPr>
        <w:pStyle w:val="StandardWeb"/>
      </w:pPr>
      <w:r>
        <w:t>Daher gilt</w:t>
      </w:r>
    </w:p>
    <w:p w:rsidR="0057454C" w:rsidRDefault="0057454C" w:rsidP="0057454C">
      <w:pPr>
        <w:pStyle w:val="berschrift1"/>
      </w:pPr>
      <w:r>
        <w:t>[</w:t>
      </w:r>
      <w:r>
        <w:br/>
        <w:t>\boxed{</w:t>
      </w:r>
      <w:r>
        <w:br/>
        <w:t>\operatorname{Stat}</w:t>
      </w:r>
      <w:r>
        <w:br/>
        <w:t>(\text{Bilanzfolgerungen})</w:t>
      </w:r>
    </w:p>
    <w:p w:rsidR="0057454C" w:rsidRDefault="0057454C" w:rsidP="0057454C">
      <w:pPr>
        <w:pStyle w:val="StandardWeb"/>
      </w:pPr>
      <w:r>
        <w:t>\mathrm{Der}.</w:t>
      </w:r>
      <w:r>
        <w:br/>
        <w:t>}</w:t>
      </w:r>
      <w:r>
        <w:br/>
        <w:t>\tag{3.11662}</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\boxed{\operatorname{Stat}(\text{Bilanzfolgerungen})=\mathrm{Der}.}</w:t>
      </w:r>
    </w:p>
    <w:p w:rsidR="0057454C" w:rsidRDefault="00E50336" w:rsidP="0057454C">
      <w:r>
        <w:pict>
          <v:rect id="_x0000_i4004" style="width:0;height:1.5pt" o:hralign="center" o:hrstd="t" o:hr="t" fillcolor="#a0a0a0" stroked="f"/>
        </w:pict>
      </w:r>
    </w:p>
    <w:p w:rsidR="0057454C" w:rsidRDefault="0057454C" w:rsidP="0057454C">
      <w:pPr>
        <w:pStyle w:val="berschrift1"/>
      </w:pPr>
      <w:r>
        <w:t>3.3.47.127 Erweiterte Erhaltungs- und Bilanzarchitektur</w:t>
      </w:r>
    </w:p>
    <w:p w:rsidR="0057454C" w:rsidRDefault="0057454C" w:rsidP="0057454C">
      <w:pPr>
        <w:pStyle w:val="StandardWeb"/>
      </w:pPr>
      <w:r>
        <w:t>Der bisherige Stand von Abschnitt 3.3.47 lässt sich nun erweitern zu</w:t>
      </w:r>
    </w:p>
    <w:p w:rsidR="0057454C" w:rsidRDefault="0057454C" w:rsidP="0057454C">
      <w:pPr>
        <w:pStyle w:val="berschrift1"/>
      </w:pPr>
      <w:r>
        <w:t>[</w:t>
      </w:r>
      <w:r>
        <w:br/>
        <w:t>\mathfrak E_{\mathrm{cons}}^{(2)}</w:t>
      </w:r>
    </w:p>
    <w:p w:rsidR="0057454C" w:rsidRDefault="0057454C" w:rsidP="0057454C">
      <w:pPr>
        <w:pStyle w:val="StandardWeb"/>
      </w:pPr>
      <w:r>
        <w:t>\left(</w:t>
      </w:r>
      <w:r>
        <w:br/>
        <w:t>Q_F,</w:t>
      </w:r>
      <w:r>
        <w:br/>
        <w:t>\Delta_TQ_F,</w:t>
      </w:r>
      <w:r>
        <w:br/>
        <w:t>G_Q,</w:t>
      </w:r>
      <w:r>
        <w:br/>
        <w:t>L_Q,</w:t>
      </w:r>
      <w:r>
        <w:br/>
        <w:t>B_Q,</w:t>
      </w:r>
      <w:r>
        <w:br/>
        <w:t>\mathcal T_Q,</w:t>
      </w:r>
      <w:r>
        <w:br/>
        <w:t>\Delta_\gamma Q_F,</w:t>
      </w:r>
      <w:r>
        <w:br/>
        <w:t>G_\gamma,</w:t>
      </w:r>
      <w:r>
        <w:br/>
        <w:t>L_\gamma,</w:t>
      </w:r>
      <w:r>
        <w:br/>
        <w:t>S_Q^{+},</w:t>
      </w:r>
      <w:r>
        <w:br/>
        <w:t>S_Q^{-},</w:t>
      </w:r>
      <w:r>
        <w:br/>
        <w:t>\Sigma_Q,</w:t>
      </w:r>
      <w:r>
        <w:br/>
        <w:t>J_Q,</w:t>
      </w:r>
      <w:r>
        <w:br/>
      </w:r>
      <w:r>
        <w:lastRenderedPageBreak/>
        <w:t>J_Q^{\mathrm{net}},</w:t>
      </w:r>
      <w:r>
        <w:br/>
        <w:t>\partial_B\mathcal S,</w:t>
      </w:r>
      <w:r>
        <w:br/>
        <w:t>\rho_Q,</w:t>
      </w:r>
      <w:r>
        <w:br/>
        <w:t>\mathbf J_Q,</w:t>
      </w:r>
      <w:r>
        <w:br/>
        <w:t>\sigma_Q</w:t>
      </w:r>
      <w:r>
        <w:br/>
        <w:t>\right).</w:t>
      </w:r>
      <w:r>
        <w:br/>
        <w:t>\tag{3.11663}</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\mathfrak E_{\mathrm{cons}}^{(2)}=\left(Q_F,\Delta_TQ_F,G_Q,L_Q,B_Q,\mathcal T_Q,\Delta_\gamma Q_F,G_\gamma,L_\gamma,S_Q^{+},S_Q^{-},\Sigma_Q,J_Q,J_Q^{\mathrm{net}},\partial_B\mathcal S,\rho_Q,\mathbf J_Q,\sigma_Q\right)</w:t>
      </w:r>
    </w:p>
    <w:p w:rsidR="0057454C" w:rsidRDefault="00E50336" w:rsidP="0057454C">
      <w:r>
        <w:pict>
          <v:rect id="_x0000_i4005" style="width:0;height:1.5pt" o:hralign="center" o:hrstd="t" o:hr="t" fillcolor="#a0a0a0" stroked="f"/>
        </w:pict>
      </w:r>
    </w:p>
    <w:p w:rsidR="0057454C" w:rsidRDefault="0057454C" w:rsidP="0057454C">
      <w:pPr>
        <w:pStyle w:val="berschrift1"/>
      </w:pPr>
      <w:r>
        <w:t>3.3.47.128 Noch kein Gesamtabschluss von 3.3.47</w:t>
      </w:r>
    </w:p>
    <w:p w:rsidR="0057454C" w:rsidRDefault="0057454C" w:rsidP="0057454C">
      <w:pPr>
        <w:pStyle w:val="StandardWeb"/>
      </w:pPr>
      <w:r>
        <w:t xml:space="preserve">Auch nach Einführung der Quellen-, Senken-, Fluss- und lokalen Bilanzstrukturen ist Abschnitt </w:t>
      </w:r>
      <w:r>
        <w:rPr>
          <w:rStyle w:val="Fett"/>
        </w:rPr>
        <w:t>3.3.47 noch nicht abgeschlossen</w:t>
      </w:r>
      <w:r>
        <w:t>.</w:t>
      </w:r>
    </w:p>
    <w:p w:rsidR="0057454C" w:rsidRDefault="0057454C" w:rsidP="0057454C">
      <w:pPr>
        <w:pStyle w:val="StandardWeb"/>
      </w:pPr>
      <w:r>
        <w:t>Vor dem Gesamtabschluss müssen insbesondere noch untersucht werden:</w:t>
      </w:r>
    </w:p>
    <w:p w:rsidR="0057454C" w:rsidRDefault="0057454C" w:rsidP="0057454C">
      <w:pPr>
        <w:pStyle w:val="StandardWeb"/>
      </w:pPr>
      <w:r>
        <w:t>[</w:t>
      </w:r>
      <w:r>
        <w:br/>
        <w:t>\text{Netzwerkbilanzen},</w:t>
      </w:r>
      <w:r>
        <w:br/>
        <w:t>\qquad</w:t>
      </w:r>
      <w:r>
        <w:br/>
        <w:t>\text{Zyklen},</w:t>
      </w:r>
      <w:r>
        <w:br/>
        <w:t>\qquad</w:t>
      </w:r>
      <w:r>
        <w:br/>
        <w:t>\text{Bilanzdefekte},</w:t>
      </w:r>
      <w:r>
        <w:br/>
        <w:t>\qquad</w:t>
      </w:r>
      <w:r>
        <w:br/>
        <w:t>\text{approximative Erhaltung},</w:t>
      </w:r>
      <w:r>
        <w:br/>
        <w:t>\qquad</w:t>
      </w:r>
      <w:r>
        <w:br/>
        <w:t>\text{Bilanzresiduen}.</w:t>
      </w:r>
      <w:r>
        <w:br/>
        <w:t>\tag{3.11664}</w:t>
      </w:r>
      <w:r>
        <w:br/>
        <w:t>]</w:t>
      </w:r>
    </w:p>
    <w:p w:rsidR="0057454C" w:rsidRDefault="0057454C" w:rsidP="0057454C">
      <w:pPr>
        <w:pStyle w:val="StandardWeb"/>
      </w:pPr>
      <w:r>
        <w:rPr>
          <w:rStyle w:val="Fett"/>
        </w:rPr>
        <w:t>Word-LaTeX</w:t>
      </w:r>
    </w:p>
    <w:p w:rsidR="0057454C" w:rsidRDefault="0057454C" w:rsidP="0057454C">
      <w:pPr>
        <w:pStyle w:val="HTMLVorformatiert"/>
        <w:rPr>
          <w:rStyle w:val="HTMLCode"/>
        </w:rPr>
      </w:pPr>
      <w:r>
        <w:rPr>
          <w:rStyle w:val="HTMLCode"/>
        </w:rPr>
        <w:t>\text{Netzwerkbilanzen},\qquad\text{Zyklen},\qquad\text{Bilanzdefekte},\qquad\text{approximative Erhaltung},\qquad\text{Bilanzresiduen}</w:t>
      </w:r>
    </w:p>
    <w:p w:rsidR="0057454C" w:rsidRDefault="0057454C" w:rsidP="0057454C">
      <w:pPr>
        <w:pStyle w:val="StandardWeb"/>
      </w:pPr>
      <w:r>
        <w:t>Erst danach kann die vollständige Statusmatrix des Abschnitts erstellt und endgültig entschieden werden, ob irgendeine Bilanz- oder Erhaltungsstruktur Primäraxiomstatus besitzt.</w:t>
      </w:r>
    </w:p>
    <w:p w:rsidR="0057454C" w:rsidRDefault="0057454C" w:rsidP="0057454C">
      <w:pPr>
        <w:pStyle w:val="StandardWeb"/>
      </w:pPr>
      <w:r>
        <w:t xml:space="preserve">Der nächste Teil beginnt daher bei </w:t>
      </w:r>
      <w:r>
        <w:rPr>
          <w:rStyle w:val="Fett"/>
        </w:rPr>
        <w:t>3.3.47.129 / Gleichung (3.11665)</w:t>
      </w:r>
      <w:r>
        <w:t xml:space="preserve"> mit der Untersuchung von </w:t>
      </w:r>
      <w:r>
        <w:rPr>
          <w:rStyle w:val="Fett"/>
        </w:rPr>
        <w:t>funktionalen Netzwerkbilanzen und zyklischen Erhaltungsstrukturen</w:t>
      </w:r>
      <w:r>
        <w:t>.</w:t>
      </w:r>
    </w:p>
    <w:p w:rsidR="00156BE1" w:rsidRDefault="00156BE1" w:rsidP="00156BE1">
      <w:pPr>
        <w:pStyle w:val="berschrift1"/>
        <w:rPr>
          <w:rFonts w:cs="Times New Roman"/>
          <w:sz w:val="48"/>
          <w:szCs w:val="48"/>
        </w:rPr>
      </w:pPr>
      <w:r>
        <w:t>3.3.47.129 Funktionale Netzwerkbilanzen</w:t>
      </w:r>
    </w:p>
    <w:p w:rsidR="00156BE1" w:rsidRDefault="00156BE1" w:rsidP="00156BE1">
      <w:pPr>
        <w:pStyle w:val="StandardWeb"/>
      </w:pPr>
      <w:r>
        <w:lastRenderedPageBreak/>
        <w:t>Die bisherige Bilanzstruktur betrachtet einzelne Übergänge, Pfade oder abgegrenzte Teilstrukturen. Für komplexere FRZK-Modelle reicht dies jedoch nicht aus. Sobald mehrere funktionale Zustände gleichzeitig durch gerichtete Übergänge miteinander gekoppelt sind, entsteht eine Netzwerkstruktur, in der lokale Zu- und Abflüsse miteinander verknüpft werden müssen.</w:t>
      </w:r>
    </w:p>
    <w:p w:rsidR="00156BE1" w:rsidRDefault="00156BE1" w:rsidP="00156BE1">
      <w:pPr>
        <w:pStyle w:val="StandardWeb"/>
      </w:pPr>
      <w:r>
        <w:t>Ich betrachte daher ein endliches gerichtetes funktionales Netzwerk</w:t>
      </w:r>
    </w:p>
    <w:p w:rsidR="00156BE1" w:rsidRDefault="00156BE1" w:rsidP="00156BE1">
      <w:pPr>
        <w:pStyle w:val="berschrift1"/>
      </w:pPr>
      <w:r>
        <w:t>[</w:t>
      </w:r>
      <w:r>
        <w:br/>
        <w:t>\mathcal N_Q</w:t>
      </w:r>
    </w:p>
    <w:p w:rsidR="00156BE1" w:rsidRDefault="00156BE1" w:rsidP="00156BE1">
      <w:pPr>
        <w:pStyle w:val="StandardWeb"/>
      </w:pPr>
      <w:r>
        <w:t>(V_Q,E_Q),</w:t>
      </w:r>
      <w:r>
        <w:br/>
        <w:t>\tag{3.11665}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\mathcal N_Q=(V_Q,E_Q)</w:t>
      </w:r>
    </w:p>
    <w:p w:rsidR="00156BE1" w:rsidRDefault="00156BE1" w:rsidP="00156BE1">
      <w:pPr>
        <w:pStyle w:val="StandardWeb"/>
      </w:pPr>
      <w:r>
        <w:t>wobei</w:t>
      </w:r>
    </w:p>
    <w:p w:rsidR="00156BE1" w:rsidRDefault="00156BE1" w:rsidP="00156BE1">
      <w:pPr>
        <w:pStyle w:val="berschrift1"/>
      </w:pPr>
      <w:r>
        <w:t>[</w:t>
      </w:r>
      <w:r>
        <w:br/>
        <w:t>V_Q</w:t>
      </w:r>
    </w:p>
    <w:p w:rsidR="00156BE1" w:rsidRDefault="00156BE1" w:rsidP="00156BE1">
      <w:pPr>
        <w:pStyle w:val="StandardWeb"/>
      </w:pPr>
      <w:r>
        <w:t>{z_1,\ldots,z_n}</w:t>
      </w:r>
      <w:r>
        <w:br/>
        <w:t>\tag{3.11666}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V_Q=\{z_1,\ldots,z_n\}</w:t>
      </w:r>
    </w:p>
    <w:p w:rsidR="00156BE1" w:rsidRDefault="00156BE1" w:rsidP="00156BE1">
      <w:pPr>
        <w:pStyle w:val="StandardWeb"/>
      </w:pPr>
      <w:r>
        <w:t>die betrachteten funktionalen Zustände oder Teilsysteme und</w:t>
      </w:r>
    </w:p>
    <w:p w:rsidR="00156BE1" w:rsidRDefault="00156BE1" w:rsidP="00156BE1">
      <w:pPr>
        <w:pStyle w:val="StandardWeb"/>
      </w:pPr>
      <w:r>
        <w:t>[</w:t>
      </w:r>
      <w:r>
        <w:br/>
        <w:t>E_Q</w:t>
      </w:r>
      <w:r>
        <w:br/>
        <w:t>\subseteq</w:t>
      </w:r>
      <w:r>
        <w:br/>
        <w:t>V_Q\times V_Q</w:t>
      </w:r>
      <w:r>
        <w:br/>
        <w:t>\tag{3.11667}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E_Q\subseteq V_Q\times V_Q</w:t>
      </w:r>
    </w:p>
    <w:p w:rsidR="00156BE1" w:rsidRDefault="00156BE1" w:rsidP="00156BE1">
      <w:pPr>
        <w:pStyle w:val="StandardWeb"/>
      </w:pPr>
      <w:r>
        <w:t>die bilanzierten gerichteten Übergänge bezeichnen.</w:t>
      </w:r>
    </w:p>
    <w:p w:rsidR="00156BE1" w:rsidRDefault="00E50336" w:rsidP="00156BE1">
      <w:r>
        <w:pict>
          <v:rect id="_x0000_i4006" style="width:0;height:1.5pt" o:hralign="center" o:hrstd="t" o:hr="t" fillcolor="#a0a0a0" stroked="f"/>
        </w:pict>
      </w:r>
    </w:p>
    <w:p w:rsidR="00156BE1" w:rsidRDefault="00156BE1" w:rsidP="00156BE1">
      <w:pPr>
        <w:pStyle w:val="berschrift1"/>
      </w:pPr>
      <w:r>
        <w:lastRenderedPageBreak/>
        <w:t>3.3.47.130 Definition 3.3.265 – Funktionales Bilanznetzwerk</w:t>
      </w:r>
    </w:p>
    <w:p w:rsidR="00156BE1" w:rsidRDefault="00156BE1" w:rsidP="00156BE1">
      <w:pPr>
        <w:pStyle w:val="berschrift3"/>
      </w:pPr>
      <w:r>
        <w:t>Definition 3.3.265</w:t>
      </w:r>
    </w:p>
    <w:p w:rsidR="00156BE1" w:rsidRDefault="00156BE1" w:rsidP="00156BE1">
      <w:pPr>
        <w:pStyle w:val="StandardWeb"/>
      </w:pPr>
      <w:r>
        <w:t xml:space="preserve">Ein </w:t>
      </w:r>
      <w:r>
        <w:rPr>
          <w:rStyle w:val="Fett"/>
        </w:rPr>
        <w:t>funktionales Bilanznetzwerk</w:t>
      </w:r>
      <w:r>
        <w:t xml:space="preserve"> einer Zustandsgröße (Q_F) ist ein gerichteter Graph</w:t>
      </w:r>
    </w:p>
    <w:p w:rsidR="00156BE1" w:rsidRDefault="00156BE1" w:rsidP="00156BE1">
      <w:pPr>
        <w:pStyle w:val="StandardWeb"/>
      </w:pPr>
      <w:r>
        <w:t>[</w:t>
      </w:r>
      <w:r>
        <w:br/>
        <w:t>\boxed{</w:t>
      </w:r>
      <w:r>
        <w:br/>
        <w:t>\mathcal N_Q=(V_Q,E_Q),</w:t>
      </w:r>
      <w:r>
        <w:br/>
        <w:t>}</w:t>
      </w:r>
      <w:r>
        <w:br/>
        <w:t>\tag{3.11668}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\boxed{\mathcal N_Q=(V_Q,E_Q),}</w:t>
      </w:r>
    </w:p>
    <w:p w:rsidR="00156BE1" w:rsidRDefault="00156BE1" w:rsidP="00156BE1">
      <w:pPr>
        <w:pStyle w:val="StandardWeb"/>
      </w:pPr>
      <w:r>
        <w:t>dessen Kanten mit funktionalen Flussgrößen</w:t>
      </w:r>
    </w:p>
    <w:p w:rsidR="00156BE1" w:rsidRDefault="00156BE1" w:rsidP="00156BE1">
      <w:pPr>
        <w:pStyle w:val="StandardWeb"/>
      </w:pPr>
      <w:r>
        <w:t>[</w:t>
      </w:r>
      <w:r>
        <w:br/>
        <w:t>J_{ij}</w:t>
      </w:r>
      <w:r>
        <w:br/>
        <w:t>:=</w:t>
      </w:r>
      <w:r>
        <w:br/>
        <w:t>J_Q(z_i,z_j)</w:t>
      </w:r>
      <w:r>
        <w:br/>
        <w:t>\tag{3.11669}</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J_{ij}:=J_Q(z_i,z_j)</w:t>
      </w:r>
    </w:p>
    <w:p w:rsidR="00156BE1" w:rsidRDefault="00156BE1" w:rsidP="00156BE1">
      <w:pPr>
        <w:pStyle w:val="StandardWeb"/>
      </w:pPr>
      <w:r>
        <w:t>versehen sind.</w:t>
      </w:r>
    </w:p>
    <w:p w:rsidR="00156BE1" w:rsidRDefault="00E50336" w:rsidP="00156BE1">
      <w:r>
        <w:pict>
          <v:rect id="_x0000_i4007" style="width:0;height:1.5pt" o:hralign="center" o:hrstd="t" o:hr="t" fillcolor="#a0a0a0" stroked="f"/>
        </w:pict>
      </w:r>
    </w:p>
    <w:p w:rsidR="00156BE1" w:rsidRDefault="00156BE1" w:rsidP="00156BE1">
      <w:pPr>
        <w:pStyle w:val="berschrift1"/>
      </w:pPr>
      <w:r>
        <w:t>3.3.47.131 Knotenzufluss</w:t>
      </w:r>
    </w:p>
    <w:p w:rsidR="00156BE1" w:rsidRDefault="00156BE1" w:rsidP="00156BE1">
      <w:pPr>
        <w:pStyle w:val="StandardWeb"/>
      </w:pPr>
      <w:r>
        <w:t>Für einen Knoten (z_i) definiere ich den gesamten funktionalen Zufluss durch</w:t>
      </w:r>
    </w:p>
    <w:p w:rsidR="00156BE1" w:rsidRDefault="00156BE1" w:rsidP="00156BE1">
      <w:pPr>
        <w:pStyle w:val="StandardWeb"/>
      </w:pPr>
      <w:r>
        <w:t>[</w:t>
      </w:r>
      <w:r>
        <w:br/>
        <w:t>J_i^{\mathrm{in}}</w:t>
      </w:r>
      <w:r>
        <w:br/>
        <w:t>:=</w:t>
      </w:r>
      <w:r>
        <w:br/>
        <w:t>\sum_{j:(z_j,z_i)\in E_Q}</w:t>
      </w:r>
      <w:r>
        <w:br/>
        <w:t>J_{ji}^{+},</w:t>
      </w:r>
      <w:r>
        <w:br/>
        <w:t>\tag{3.11670}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J_i^{\mathrm{in}}:=\sum_{j:(z_j,z_i)\in E_Q}J_{ji}^{+}</w:t>
      </w:r>
    </w:p>
    <w:p w:rsidR="00156BE1" w:rsidRDefault="00156BE1" w:rsidP="00156BE1">
      <w:pPr>
        <w:pStyle w:val="StandardWeb"/>
      </w:pPr>
      <w:r>
        <w:lastRenderedPageBreak/>
        <w:t>wobei (J_{ji}^{+}) den bezüglich der gewählten Orientierung in (z_i) eintretenden nichtnegativen Beitrag bezeichnet.</w:t>
      </w:r>
    </w:p>
    <w:p w:rsidR="00156BE1" w:rsidRDefault="00E50336" w:rsidP="00156BE1">
      <w:r>
        <w:pict>
          <v:rect id="_x0000_i4008" style="width:0;height:1.5pt" o:hralign="center" o:hrstd="t" o:hr="t" fillcolor="#a0a0a0" stroked="f"/>
        </w:pict>
      </w:r>
    </w:p>
    <w:p w:rsidR="00156BE1" w:rsidRDefault="00156BE1" w:rsidP="00156BE1">
      <w:pPr>
        <w:pStyle w:val="berschrift1"/>
      </w:pPr>
      <w:r>
        <w:t>3.3.47.132 Knotenabfluss</w:t>
      </w:r>
    </w:p>
    <w:p w:rsidR="00156BE1" w:rsidRDefault="00156BE1" w:rsidP="00156BE1">
      <w:pPr>
        <w:pStyle w:val="StandardWeb"/>
      </w:pPr>
      <w:r>
        <w:t>Entsprechend definiere ich</w:t>
      </w:r>
    </w:p>
    <w:p w:rsidR="00156BE1" w:rsidRDefault="00156BE1" w:rsidP="00156BE1">
      <w:pPr>
        <w:pStyle w:val="StandardWeb"/>
      </w:pPr>
      <w:r>
        <w:t>[</w:t>
      </w:r>
      <w:r>
        <w:br/>
        <w:t>J_i^{\mathrm{out}}</w:t>
      </w:r>
      <w:r>
        <w:br/>
        <w:t>:=</w:t>
      </w:r>
      <w:r>
        <w:br/>
        <w:t>\sum_{j:(z_i,z_j)\in E_Q}</w:t>
      </w:r>
      <w:r>
        <w:br/>
        <w:t>J_{ij}^{+}.</w:t>
      </w:r>
      <w:r>
        <w:br/>
        <w:t>\tag{3.11671}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J_i^{\mathrm{out}}:=\sum_{j:(z_i,z_j)\in E_Q}J_{ij}^{+}</w:t>
      </w:r>
    </w:p>
    <w:p w:rsidR="00156BE1" w:rsidRDefault="00E50336" w:rsidP="00156BE1">
      <w:r>
        <w:pict>
          <v:rect id="_x0000_i4009" style="width:0;height:1.5pt" o:hralign="center" o:hrstd="t" o:hr="t" fillcolor="#a0a0a0" stroked="f"/>
        </w:pict>
      </w:r>
    </w:p>
    <w:p w:rsidR="00156BE1" w:rsidRDefault="00156BE1" w:rsidP="00156BE1">
      <w:pPr>
        <w:pStyle w:val="berschrift1"/>
      </w:pPr>
      <w:r>
        <w:t>3.3.47.133 Definition 3.3.266 – Funktionaler Knotennettofluss</w:t>
      </w:r>
    </w:p>
    <w:p w:rsidR="00156BE1" w:rsidRDefault="00156BE1" w:rsidP="00156BE1">
      <w:pPr>
        <w:pStyle w:val="berschrift3"/>
      </w:pPr>
      <w:r>
        <w:t>Definition 3.3.266</w:t>
      </w:r>
    </w:p>
    <w:p w:rsidR="00156BE1" w:rsidRDefault="00156BE1" w:rsidP="00156BE1">
      <w:pPr>
        <w:pStyle w:val="StandardWeb"/>
      </w:pPr>
      <w:r>
        <w:t xml:space="preserve">Der </w:t>
      </w:r>
      <w:r>
        <w:rPr>
          <w:rStyle w:val="Fett"/>
        </w:rPr>
        <w:t>funktionale Knotennettofluss</w:t>
      </w:r>
      <w:r>
        <w:t xml:space="preserve"> eines Knotens (z_i) ist</w:t>
      </w:r>
    </w:p>
    <w:p w:rsidR="00156BE1" w:rsidRDefault="00156BE1" w:rsidP="00156BE1">
      <w:pPr>
        <w:pStyle w:val="berschrift2"/>
      </w:pPr>
      <w:r>
        <w:t>[</w:t>
      </w:r>
      <w:r>
        <w:br/>
        <w:t>\boxed{</w:t>
      </w:r>
      <w:r>
        <w:br/>
        <w:t>J_i^{\mathrm{net}}</w:t>
      </w:r>
      <w:r>
        <w:br/>
        <w:t>:=</w:t>
      </w:r>
      <w:r>
        <w:br/>
        <w:t>J_i^{\mathrm{in}}</w:t>
      </w:r>
    </w:p>
    <w:p w:rsidR="00156BE1" w:rsidRDefault="00156BE1" w:rsidP="00156BE1">
      <w:pPr>
        <w:pStyle w:val="StandardWeb"/>
      </w:pPr>
      <w:r>
        <w:t>J_i^{\mathrm{out}}.</w:t>
      </w:r>
      <w:r>
        <w:br/>
        <w:t>}</w:t>
      </w:r>
      <w:r>
        <w:br/>
        <w:t>\tag{3.11672}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\boxed{J_i^{\mathrm{net}}:=J_i^{\mathrm{in}}-J_i^{\mathrm{out}}.}</w:t>
      </w:r>
    </w:p>
    <w:p w:rsidR="00156BE1" w:rsidRDefault="00E50336" w:rsidP="00156BE1">
      <w:r>
        <w:pict>
          <v:rect id="_x0000_i4010" style="width:0;height:1.5pt" o:hralign="center" o:hrstd="t" o:hr="t" fillcolor="#a0a0a0" stroked="f"/>
        </w:pict>
      </w:r>
    </w:p>
    <w:p w:rsidR="00156BE1" w:rsidRDefault="00156BE1" w:rsidP="00156BE1">
      <w:pPr>
        <w:pStyle w:val="berschrift1"/>
      </w:pPr>
      <w:r>
        <w:t>3.3.47.134 Knotenspezifischer Quellterm</w:t>
      </w:r>
    </w:p>
    <w:p w:rsidR="00156BE1" w:rsidRDefault="00156BE1" w:rsidP="00156BE1">
      <w:pPr>
        <w:pStyle w:val="StandardWeb"/>
      </w:pPr>
      <w:r>
        <w:lastRenderedPageBreak/>
        <w:t>Für jeden Netzwerkknoten kann zusätzlich ein lokaler Nettoquellterm</w:t>
      </w:r>
    </w:p>
    <w:p w:rsidR="00156BE1" w:rsidRDefault="00156BE1" w:rsidP="00156BE1">
      <w:pPr>
        <w:pStyle w:val="StandardWeb"/>
      </w:pPr>
      <w:r>
        <w:t>[</w:t>
      </w:r>
      <w:r>
        <w:br/>
        <w:t>\Sigma_i</w:t>
      </w:r>
      <w:r>
        <w:br/>
        <w:t>\tag{3.11673}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\Sigma_i</w:t>
      </w:r>
    </w:p>
    <w:p w:rsidR="00156BE1" w:rsidRDefault="00156BE1" w:rsidP="00156BE1">
      <w:pPr>
        <w:pStyle w:val="StandardWeb"/>
      </w:pPr>
      <w:r>
        <w:t>spezifiziert werden.</w:t>
      </w:r>
    </w:p>
    <w:p w:rsidR="00156BE1" w:rsidRDefault="00156BE1" w:rsidP="00156BE1">
      <w:pPr>
        <w:pStyle w:val="StandardWeb"/>
      </w:pPr>
      <w:r>
        <w:t>Damit erhält jeder Knoten eine lokale Bilanz der Form</w:t>
      </w:r>
    </w:p>
    <w:p w:rsidR="00156BE1" w:rsidRDefault="00156BE1" w:rsidP="00156BE1">
      <w:pPr>
        <w:pStyle w:val="berschrift1"/>
      </w:pPr>
      <w:r>
        <w:t>[</w:t>
      </w:r>
      <w:r>
        <w:br/>
        <w:t>\Delta_TQ_i</w:t>
      </w:r>
    </w:p>
    <w:p w:rsidR="00156BE1" w:rsidRDefault="00156BE1" w:rsidP="00156BE1">
      <w:pPr>
        <w:pStyle w:val="StandardWeb"/>
      </w:pPr>
      <w:r>
        <w:t>\Sigma_i</w:t>
      </w:r>
      <w:r>
        <w:br/>
        <w:t>+</w:t>
      </w:r>
      <w:r>
        <w:br/>
        <w:t>J_i^{\mathrm{net}}.</w:t>
      </w:r>
      <w:r>
        <w:br/>
        <w:t>\tag{3.11674}</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\Delta_TQ_i=\Sigma_i+J_i^{\mathrm{net}}</w:t>
      </w:r>
    </w:p>
    <w:p w:rsidR="00156BE1" w:rsidRDefault="00E50336" w:rsidP="00156BE1">
      <w:r>
        <w:pict>
          <v:rect id="_x0000_i4011" style="width:0;height:1.5pt" o:hralign="center" o:hrstd="t" o:hr="t" fillcolor="#a0a0a0" stroked="f"/>
        </w:pict>
      </w:r>
    </w:p>
    <w:p w:rsidR="00156BE1" w:rsidRDefault="00156BE1" w:rsidP="00156BE1">
      <w:pPr>
        <w:pStyle w:val="berschrift1"/>
      </w:pPr>
      <w:r>
        <w:t>3.3.47.135 Definition 3.3.267 – Funktionale Knotenbilanz</w:t>
      </w:r>
    </w:p>
    <w:p w:rsidR="00156BE1" w:rsidRDefault="00156BE1" w:rsidP="00156BE1">
      <w:pPr>
        <w:pStyle w:val="berschrift3"/>
      </w:pPr>
      <w:r>
        <w:t>Definition 3.3.267</w:t>
      </w:r>
    </w:p>
    <w:p w:rsidR="00156BE1" w:rsidRDefault="00156BE1" w:rsidP="00156BE1">
      <w:pPr>
        <w:pStyle w:val="StandardWeb"/>
      </w:pPr>
      <w:r>
        <w:t xml:space="preserve">Eine </w:t>
      </w:r>
      <w:r>
        <w:rPr>
          <w:rStyle w:val="Fett"/>
        </w:rPr>
        <w:t>funktionale Knotenbilanz</w:t>
      </w:r>
      <w:r>
        <w:t xml:space="preserve"> liegt vor, wenn für einen Netzwerkknoten (z_i) gilt</w:t>
      </w:r>
    </w:p>
    <w:p w:rsidR="00156BE1" w:rsidRDefault="00156BE1" w:rsidP="00156BE1">
      <w:pPr>
        <w:pStyle w:val="berschrift1"/>
      </w:pPr>
      <w:r>
        <w:t>[</w:t>
      </w:r>
      <w:r>
        <w:br/>
        <w:t>\boxed{</w:t>
      </w:r>
      <w:r>
        <w:br/>
        <w:t>\Delta_TQ_i</w:t>
      </w:r>
    </w:p>
    <w:p w:rsidR="00156BE1" w:rsidRDefault="00156BE1" w:rsidP="00156BE1">
      <w:pPr>
        <w:pStyle w:val="berschrift2"/>
      </w:pPr>
      <w:r>
        <w:t>\Sigma_i</w:t>
      </w:r>
      <w:r>
        <w:br/>
        <w:t>+</w:t>
      </w:r>
      <w:r>
        <w:br/>
        <w:t>J_i^{\mathrm{in}}</w:t>
      </w:r>
    </w:p>
    <w:p w:rsidR="00156BE1" w:rsidRDefault="00156BE1" w:rsidP="00156BE1">
      <w:pPr>
        <w:pStyle w:val="StandardWeb"/>
      </w:pPr>
      <w:r>
        <w:lastRenderedPageBreak/>
        <w:t>J_i^{\mathrm{out}}.</w:t>
      </w:r>
      <w:r>
        <w:br/>
        <w:t>}</w:t>
      </w:r>
      <w:r>
        <w:br/>
        <w:t>\tag{3.11675}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\boxed{\Delta_TQ_i=\Sigma_i+J_i^{\mathrm{in}}-J_i^{\mathrm{out}}.}</w:t>
      </w:r>
    </w:p>
    <w:p w:rsidR="00156BE1" w:rsidRDefault="00E50336" w:rsidP="00156BE1">
      <w:r>
        <w:pict>
          <v:rect id="_x0000_i4012" style="width:0;height:1.5pt" o:hralign="center" o:hrstd="t" o:hr="t" fillcolor="#a0a0a0" stroked="f"/>
        </w:pict>
      </w:r>
    </w:p>
    <w:p w:rsidR="00156BE1" w:rsidRDefault="00156BE1" w:rsidP="00156BE1">
      <w:pPr>
        <w:pStyle w:val="berschrift1"/>
      </w:pPr>
      <w:r>
        <w:t>3.3.47.136 Netzwerkbilanz als Summe der Knotenbilanzen</w:t>
      </w:r>
    </w:p>
    <w:p w:rsidR="00156BE1" w:rsidRDefault="00156BE1" w:rsidP="00156BE1">
      <w:pPr>
        <w:pStyle w:val="StandardWeb"/>
      </w:pPr>
      <w:r>
        <w:t>Summiere ich die Knotenbilanzen über sämtliche Knoten, erhalte ich</w:t>
      </w:r>
    </w:p>
    <w:p w:rsidR="00156BE1" w:rsidRDefault="00156BE1" w:rsidP="00156BE1">
      <w:pPr>
        <w:pStyle w:val="berschrift1"/>
      </w:pPr>
      <w:r>
        <w:t>[</w:t>
      </w:r>
      <w:r>
        <w:br/>
        <w:t>\sum_{i=1}^{n}</w:t>
      </w:r>
      <w:r>
        <w:br/>
        <w:t>\Delta_TQ_i</w:t>
      </w:r>
    </w:p>
    <w:p w:rsidR="00156BE1" w:rsidRDefault="00156BE1" w:rsidP="00156BE1">
      <w:pPr>
        <w:pStyle w:val="StandardWeb"/>
      </w:pPr>
      <w:r>
        <w:t>\sum_{i=1}^{n}</w:t>
      </w:r>
      <w:r>
        <w:br/>
        <w:t>\Sigma_i</w:t>
      </w:r>
      <w:r>
        <w:br/>
        <w:t>+</w:t>
      </w:r>
      <w:r>
        <w:br/>
        <w:t>\sum_{i=1}^{n}</w:t>
      </w:r>
      <w:r>
        <w:br/>
        <w:t>J_i^{\mathrm{net}}.</w:t>
      </w:r>
      <w:r>
        <w:br/>
        <w:t>\tag{3.11676}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\sum_{i=1}^{n}\Delta_TQ_i=\sum_{i=1}^{n}\Sigma_i+\sum_{i=1}^{n}J_i^{\mathrm{net}}</w:t>
      </w:r>
    </w:p>
    <w:p w:rsidR="00156BE1" w:rsidRDefault="00156BE1" w:rsidP="00156BE1">
      <w:pPr>
        <w:pStyle w:val="StandardWeb"/>
      </w:pPr>
      <w:r>
        <w:t>Sind alle internen Flüsse vollständig antisymmetrisch bilanziert, heben sich deren Beiträge paarweise auf.</w:t>
      </w:r>
    </w:p>
    <w:p w:rsidR="00156BE1" w:rsidRDefault="00E50336" w:rsidP="00156BE1">
      <w:r>
        <w:pict>
          <v:rect id="_x0000_i4013" style="width:0;height:1.5pt" o:hralign="center" o:hrstd="t" o:hr="t" fillcolor="#a0a0a0" stroked="f"/>
        </w:pict>
      </w:r>
    </w:p>
    <w:p w:rsidR="00156BE1" w:rsidRDefault="00156BE1" w:rsidP="00156BE1">
      <w:pPr>
        <w:pStyle w:val="berschrift1"/>
      </w:pPr>
      <w:r>
        <w:t>3.3.47.137 Satz 3.3.112 – Interne Flüsse verschwinden in der vollständigen Netzwerkbilanz</w:t>
      </w:r>
    </w:p>
    <w:p w:rsidR="00156BE1" w:rsidRDefault="00156BE1" w:rsidP="00156BE1">
      <w:pPr>
        <w:pStyle w:val="berschrift3"/>
      </w:pPr>
      <w:r>
        <w:t>Satz 3.3.112</w:t>
      </w:r>
    </w:p>
    <w:p w:rsidR="00156BE1" w:rsidRDefault="00156BE1" w:rsidP="00156BE1">
      <w:pPr>
        <w:pStyle w:val="StandardWeb"/>
      </w:pPr>
      <w:r>
        <w:t>Für ein endliches funktionales Bilanznetzwerk mit vollständig antisymmetrisch bilanzierten internen Flüssen gilt</w:t>
      </w:r>
    </w:p>
    <w:p w:rsidR="00156BE1" w:rsidRDefault="00156BE1" w:rsidP="00156BE1">
      <w:pPr>
        <w:pStyle w:val="berschrift1"/>
      </w:pPr>
      <w:r>
        <w:lastRenderedPageBreak/>
        <w:t>[</w:t>
      </w:r>
      <w:r>
        <w:br/>
        <w:t>\boxed{</w:t>
      </w:r>
      <w:r>
        <w:br/>
        <w:t>\sum_{i=1}^{n}</w:t>
      </w:r>
      <w:r>
        <w:br/>
        <w:t>J_i^{\mathrm{int,net}}</w:t>
      </w:r>
    </w:p>
    <w:p w:rsidR="00156BE1" w:rsidRDefault="00156BE1" w:rsidP="00152216">
      <w:pPr>
        <w:numPr>
          <w:ilvl w:val="0"/>
          <w:numId w:val="512"/>
        </w:numPr>
        <w:spacing w:before="100" w:beforeAutospacing="1" w:after="100" w:afterAutospacing="1"/>
      </w:pPr>
    </w:p>
    <w:p w:rsidR="00156BE1" w:rsidRDefault="00156BE1" w:rsidP="00156BE1">
      <w:pPr>
        <w:pStyle w:val="StandardWeb"/>
      </w:pPr>
      <w:r>
        <w:t>}</w:t>
      </w:r>
      <w:r>
        <w:br/>
        <w:t>\tag{3.11677}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\boxed{\sum_{i=1}^{n}J_i^{\mathrm{int,net}}=0.}</w:t>
      </w:r>
    </w:p>
    <w:p w:rsidR="00156BE1" w:rsidRDefault="00156BE1" w:rsidP="00156BE1">
      <w:pPr>
        <w:pStyle w:val="berschrift3"/>
      </w:pPr>
      <w:r>
        <w:t>Beweis</w:t>
      </w:r>
    </w:p>
    <w:p w:rsidR="00156BE1" w:rsidRDefault="00156BE1" w:rsidP="00156BE1">
      <w:pPr>
        <w:pStyle w:val="StandardWeb"/>
      </w:pPr>
      <w:r>
        <w:t>Jeder interne Fluss</w:t>
      </w:r>
    </w:p>
    <w:p w:rsidR="00156BE1" w:rsidRDefault="00156BE1" w:rsidP="00156BE1">
      <w:pPr>
        <w:pStyle w:val="StandardWeb"/>
      </w:pPr>
      <w:r>
        <w:t>[</w:t>
      </w:r>
      <w:r>
        <w:br/>
        <w:t>J_{ij}</w:t>
      </w:r>
      <w:r>
        <w:br/>
        <w:t>\tag{3.11678}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J_{ij}</w:t>
      </w:r>
    </w:p>
    <w:p w:rsidR="00156BE1" w:rsidRDefault="00156BE1" w:rsidP="00156BE1">
      <w:pPr>
        <w:pStyle w:val="StandardWeb"/>
      </w:pPr>
      <w:r>
        <w:t>tritt am Knoten (z_i) als Abfluss und am Knoten (z_j) als Zufluss auf.</w:t>
      </w:r>
    </w:p>
    <w:p w:rsidR="00156BE1" w:rsidRDefault="00156BE1" w:rsidP="00156BE1">
      <w:pPr>
        <w:pStyle w:val="StandardWeb"/>
      </w:pPr>
      <w:r>
        <w:t>Damit erscheint derselbe Betrag einmal mit negativem und einmal mit positivem Vorzeichen:</w:t>
      </w:r>
    </w:p>
    <w:p w:rsidR="00156BE1" w:rsidRDefault="00156BE1" w:rsidP="00156BE1">
      <w:pPr>
        <w:pStyle w:val="berschrift1"/>
      </w:pPr>
      <w:r>
        <w:t>[</w:t>
      </w:r>
      <w:r>
        <w:br/>
        <w:t>-J_{ij}</w:t>
      </w:r>
      <w:r>
        <w:br/>
        <w:t>+</w:t>
      </w:r>
      <w:r>
        <w:br/>
        <w:t>J_{ij}</w:t>
      </w:r>
    </w:p>
    <w:p w:rsidR="00156BE1" w:rsidRDefault="00156BE1" w:rsidP="00152216">
      <w:pPr>
        <w:numPr>
          <w:ilvl w:val="0"/>
          <w:numId w:val="513"/>
        </w:numPr>
        <w:spacing w:before="100" w:beforeAutospacing="1" w:after="100" w:afterAutospacing="1"/>
      </w:pPr>
    </w:p>
    <w:p w:rsidR="00156BE1" w:rsidRDefault="00156BE1" w:rsidP="00156BE1">
      <w:pPr>
        <w:pStyle w:val="StandardWeb"/>
      </w:pPr>
      <w:r>
        <w:t>\tag{3.11679}</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-J_{ij}+J_{ij}=0</w:t>
      </w:r>
    </w:p>
    <w:p w:rsidR="00156BE1" w:rsidRDefault="00156BE1" w:rsidP="00156BE1">
      <w:pPr>
        <w:pStyle w:val="StandardWeb"/>
      </w:pPr>
      <w:r>
        <w:lastRenderedPageBreak/>
        <w:t>Die Summe über sämtliche internen Kanten verschwindet daher. (\square)</w:t>
      </w:r>
    </w:p>
    <w:p w:rsidR="00156BE1" w:rsidRDefault="00E50336" w:rsidP="00156BE1">
      <w:r>
        <w:pict>
          <v:rect id="_x0000_i4014" style="width:0;height:1.5pt" o:hralign="center" o:hrstd="t" o:hr="t" fillcolor="#a0a0a0" stroked="f"/>
        </w:pict>
      </w:r>
    </w:p>
    <w:p w:rsidR="00156BE1" w:rsidRDefault="00156BE1" w:rsidP="00156BE1">
      <w:pPr>
        <w:pStyle w:val="berschrift1"/>
      </w:pPr>
      <w:r>
        <w:t>3.3.47.138 Globale Netzwerkbilanz</w:t>
      </w:r>
    </w:p>
    <w:p w:rsidR="00156BE1" w:rsidRDefault="00156BE1" w:rsidP="00156BE1">
      <w:pPr>
        <w:pStyle w:val="StandardWeb"/>
      </w:pPr>
      <w:r>
        <w:t>Unter den Voraussetzungen von Satz 3.3.112 bleibt für das gesamte Netzwerk</w:t>
      </w:r>
    </w:p>
    <w:p w:rsidR="00156BE1" w:rsidRDefault="00156BE1" w:rsidP="00156BE1">
      <w:pPr>
        <w:pStyle w:val="berschrift1"/>
      </w:pPr>
      <w:r>
        <w:t>[</w:t>
      </w:r>
      <w:r>
        <w:br/>
        <w:t>\sum_{i=1}^{n}</w:t>
      </w:r>
      <w:r>
        <w:br/>
        <w:t>\Delta_TQ_i</w:t>
      </w:r>
    </w:p>
    <w:p w:rsidR="00156BE1" w:rsidRDefault="00156BE1" w:rsidP="00156BE1">
      <w:pPr>
        <w:pStyle w:val="StandardWeb"/>
      </w:pPr>
      <w:r>
        <w:t>\sum_{i=1}^{n}</w:t>
      </w:r>
      <w:r>
        <w:br/>
        <w:t>\Sigma_i</w:t>
      </w:r>
      <w:r>
        <w:br/>
        <w:t>+</w:t>
      </w:r>
      <w:r>
        <w:br/>
        <w:t>J_{\mathcal N}^{\mathrm{ext,net}}.</w:t>
      </w:r>
      <w:r>
        <w:br/>
        <w:t>\tag{3.11680}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\sum_{i=1}^{n}\Delta_TQ_i=\sum_{i=1}^{n}\Sigma_i+J_{\mathcal N}^{\mathrm{ext,net}}</w:t>
      </w:r>
    </w:p>
    <w:p w:rsidR="00156BE1" w:rsidRDefault="00E50336" w:rsidP="00156BE1">
      <w:r>
        <w:pict>
          <v:rect id="_x0000_i4015" style="width:0;height:1.5pt" o:hralign="center" o:hrstd="t" o:hr="t" fillcolor="#a0a0a0" stroked="f"/>
        </w:pict>
      </w:r>
    </w:p>
    <w:p w:rsidR="00156BE1" w:rsidRDefault="00156BE1" w:rsidP="00156BE1">
      <w:pPr>
        <w:pStyle w:val="berschrift1"/>
      </w:pPr>
      <w:r>
        <w:t>3.3.47.139 Definition 3.3.268 – Globale funktionale Netzwerkbilanz</w:t>
      </w:r>
    </w:p>
    <w:p w:rsidR="00156BE1" w:rsidRDefault="00156BE1" w:rsidP="00156BE1">
      <w:pPr>
        <w:pStyle w:val="berschrift3"/>
      </w:pPr>
      <w:r>
        <w:t>Definition 3.3.268</w:t>
      </w:r>
    </w:p>
    <w:p w:rsidR="00156BE1" w:rsidRDefault="00156BE1" w:rsidP="00156BE1">
      <w:pPr>
        <w:pStyle w:val="StandardWeb"/>
      </w:pPr>
      <w:r>
        <w:t xml:space="preserve">Die </w:t>
      </w:r>
      <w:r>
        <w:rPr>
          <w:rStyle w:val="Fett"/>
        </w:rPr>
        <w:t>globale funktionale Netzwerkbilanz</w:t>
      </w:r>
      <w:r>
        <w:t xml:space="preserve"> eines endlichen Bilanznetzwerks ist</w:t>
      </w:r>
    </w:p>
    <w:p w:rsidR="00156BE1" w:rsidRDefault="00156BE1" w:rsidP="00156BE1">
      <w:pPr>
        <w:pStyle w:val="berschrift1"/>
      </w:pPr>
      <w:r>
        <w:t>[</w:t>
      </w:r>
      <w:r>
        <w:br/>
        <w:t>\boxed{</w:t>
      </w:r>
      <w:r>
        <w:br/>
        <w:t>\Delta_TQ_{\mathcal N}</w:t>
      </w:r>
    </w:p>
    <w:p w:rsidR="00156BE1" w:rsidRDefault="00156BE1" w:rsidP="00156BE1">
      <w:pPr>
        <w:pStyle w:val="StandardWeb"/>
      </w:pPr>
      <w:r>
        <w:t>\Sigma_{\mathcal N}</w:t>
      </w:r>
      <w:r>
        <w:br/>
        <w:t>+</w:t>
      </w:r>
      <w:r>
        <w:br/>
        <w:t>J_{\mathcal N}^{\mathrm{ext,net}},</w:t>
      </w:r>
      <w:r>
        <w:br/>
        <w:t>}</w:t>
      </w:r>
      <w:r>
        <w:br/>
        <w:t>\tag{3.11681}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lastRenderedPageBreak/>
        <w:t>\boxed{\Delta_TQ_{\mathcal N}=\Sigma_{\mathcal N}+J_{\mathcal N}^{\mathrm{ext,net}},}</w:t>
      </w:r>
    </w:p>
    <w:p w:rsidR="00156BE1" w:rsidRDefault="00156BE1" w:rsidP="00156BE1">
      <w:pPr>
        <w:pStyle w:val="StandardWeb"/>
      </w:pPr>
      <w:r>
        <w:t>mit</w:t>
      </w:r>
    </w:p>
    <w:p w:rsidR="00156BE1" w:rsidRDefault="00156BE1" w:rsidP="00156BE1">
      <w:pPr>
        <w:pStyle w:val="StandardWeb"/>
      </w:pPr>
      <w:r>
        <w:t>[</w:t>
      </w:r>
      <w:r>
        <w:br/>
        <w:t>\Delta_TQ_{\mathcal N}</w:t>
      </w:r>
      <w:r>
        <w:br/>
        <w:t>:=</w:t>
      </w:r>
      <w:r>
        <w:br/>
        <w:t>\sum_{i=1}^{n}</w:t>
      </w:r>
      <w:r>
        <w:br/>
        <w:t>\Delta_TQ_i</w:t>
      </w:r>
      <w:r>
        <w:br/>
        <w:t>\tag{3.11682}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\Delta_TQ_{\mathcal N}:=\sum_{i=1}^{n}\Delta_TQ_i</w:t>
      </w:r>
    </w:p>
    <w:p w:rsidR="00156BE1" w:rsidRDefault="00156BE1" w:rsidP="00156BE1">
      <w:pPr>
        <w:pStyle w:val="StandardWeb"/>
      </w:pPr>
      <w:r>
        <w:t>und</w:t>
      </w:r>
    </w:p>
    <w:p w:rsidR="00156BE1" w:rsidRDefault="00156BE1" w:rsidP="00156BE1">
      <w:pPr>
        <w:pStyle w:val="StandardWeb"/>
      </w:pPr>
      <w:r>
        <w:t>[</w:t>
      </w:r>
      <w:r>
        <w:br/>
        <w:t>\Sigma_{\mathcal N}</w:t>
      </w:r>
      <w:r>
        <w:br/>
        <w:t>:=</w:t>
      </w:r>
      <w:r>
        <w:br/>
        <w:t>\sum_{i=1}^{n}</w:t>
      </w:r>
      <w:r>
        <w:br/>
        <w:t>\Sigma_i.</w:t>
      </w:r>
      <w:r>
        <w:br/>
        <w:t>\tag{3.11683}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\Sigma_{\mathcal N}:=\sum_{i=1}^{n}\Sigma_i</w:t>
      </w:r>
    </w:p>
    <w:p w:rsidR="00156BE1" w:rsidRDefault="00E50336" w:rsidP="00156BE1">
      <w:r>
        <w:pict>
          <v:rect id="_x0000_i4016" style="width:0;height:1.5pt" o:hralign="center" o:hrstd="t" o:hr="t" fillcolor="#a0a0a0" stroked="f"/>
        </w:pict>
      </w:r>
    </w:p>
    <w:p w:rsidR="00156BE1" w:rsidRDefault="00156BE1" w:rsidP="00156BE1">
      <w:pPr>
        <w:pStyle w:val="berschrift1"/>
      </w:pPr>
      <w:r>
        <w:t>3.3.47.140 Geschlossenes funktionales Netzwerk</w:t>
      </w:r>
    </w:p>
    <w:p w:rsidR="00156BE1" w:rsidRDefault="00156BE1" w:rsidP="00156BE1">
      <w:pPr>
        <w:pStyle w:val="StandardWeb"/>
      </w:pPr>
      <w:r>
        <w:t>Ist das Netzwerk gegenüber seiner Umgebung geschlossen, gilt</w:t>
      </w:r>
    </w:p>
    <w:p w:rsidR="00156BE1" w:rsidRDefault="00156BE1" w:rsidP="00156BE1">
      <w:pPr>
        <w:pStyle w:val="berschrift1"/>
      </w:pPr>
      <w:r>
        <w:t>[</w:t>
      </w:r>
      <w:r>
        <w:br/>
        <w:t>J_{\mathcal N}^{\mathrm{ext,net}}</w:t>
      </w:r>
    </w:p>
    <w:p w:rsidR="00156BE1" w:rsidRDefault="00156BE1" w:rsidP="00152216">
      <w:pPr>
        <w:numPr>
          <w:ilvl w:val="0"/>
          <w:numId w:val="514"/>
        </w:numPr>
        <w:spacing w:before="100" w:beforeAutospacing="1" w:after="100" w:afterAutospacing="1"/>
      </w:pPr>
    </w:p>
    <w:p w:rsidR="00156BE1" w:rsidRDefault="00156BE1" w:rsidP="00156BE1">
      <w:pPr>
        <w:pStyle w:val="StandardWeb"/>
      </w:pPr>
      <w:r>
        <w:t>\tag{3.11684}</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J_{\mathcal N}^{\mathrm{ext,net}}=0</w:t>
      </w:r>
    </w:p>
    <w:p w:rsidR="00156BE1" w:rsidRDefault="00156BE1" w:rsidP="00156BE1">
      <w:pPr>
        <w:pStyle w:val="StandardWeb"/>
      </w:pPr>
      <w:r>
        <w:t>Dann reduziert sich die globale Netzwerkbilanz auf</w:t>
      </w:r>
    </w:p>
    <w:p w:rsidR="00156BE1" w:rsidRDefault="00156BE1" w:rsidP="00156BE1">
      <w:pPr>
        <w:pStyle w:val="berschrift1"/>
      </w:pPr>
      <w:r>
        <w:lastRenderedPageBreak/>
        <w:t>[</w:t>
      </w:r>
      <w:r>
        <w:br/>
        <w:t>\Delta_TQ_{\mathcal N}</w:t>
      </w:r>
    </w:p>
    <w:p w:rsidR="00156BE1" w:rsidRDefault="00156BE1" w:rsidP="00156BE1">
      <w:pPr>
        <w:pStyle w:val="StandardWeb"/>
      </w:pPr>
      <w:r>
        <w:t>\Sigma_{\mathcal N}.</w:t>
      </w:r>
      <w:r>
        <w:br/>
        <w:t>\tag{3.11685}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\Delta_TQ_{\mathcal N}=\Sigma_{\mathcal N}</w:t>
      </w:r>
    </w:p>
    <w:p w:rsidR="00156BE1" w:rsidRDefault="00E50336" w:rsidP="00156BE1">
      <w:r>
        <w:pict>
          <v:rect id="_x0000_i4017" style="width:0;height:1.5pt" o:hralign="center" o:hrstd="t" o:hr="t" fillcolor="#a0a0a0" stroked="f"/>
        </w:pict>
      </w:r>
    </w:p>
    <w:p w:rsidR="00156BE1" w:rsidRDefault="00156BE1" w:rsidP="00156BE1">
      <w:pPr>
        <w:pStyle w:val="berschrift1"/>
      </w:pPr>
      <w:r>
        <w:t>3.3.47.141 Korollar 3.3.25 – Erhaltung eines geschlossenen quellenfreien Bilanznetzwerks</w:t>
      </w:r>
    </w:p>
    <w:p w:rsidR="00156BE1" w:rsidRDefault="00156BE1" w:rsidP="00156BE1">
      <w:pPr>
        <w:pStyle w:val="berschrift3"/>
      </w:pPr>
      <w:r>
        <w:t>Korollar 3.3.25</w:t>
      </w:r>
    </w:p>
    <w:p w:rsidR="00156BE1" w:rsidRDefault="00156BE1" w:rsidP="00156BE1">
      <w:pPr>
        <w:pStyle w:val="StandardWeb"/>
      </w:pPr>
      <w:r>
        <w:t>Gilt</w:t>
      </w:r>
    </w:p>
    <w:p w:rsidR="00156BE1" w:rsidRDefault="00156BE1" w:rsidP="00156BE1">
      <w:pPr>
        <w:pStyle w:val="berschrift1"/>
      </w:pPr>
      <w:r>
        <w:t>[</w:t>
      </w:r>
      <w:r>
        <w:br/>
        <w:t>J_{\mathcal N}^{\mathrm{ext,net}}</w:t>
      </w:r>
    </w:p>
    <w:p w:rsidR="00156BE1" w:rsidRDefault="00156BE1" w:rsidP="00156BE1">
      <w:pPr>
        <w:pStyle w:val="StandardWeb"/>
      </w:pPr>
      <w:r>
        <w:t>0</w:t>
      </w:r>
      <w:r>
        <w:br/>
        <w:t>\tag{3.11686}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J_{\mathcal N}^{\mathrm{ext,net}}=0</w:t>
      </w:r>
    </w:p>
    <w:p w:rsidR="00156BE1" w:rsidRDefault="00156BE1" w:rsidP="00156BE1">
      <w:pPr>
        <w:pStyle w:val="StandardWeb"/>
      </w:pPr>
      <w:r>
        <w:t>und</w:t>
      </w:r>
    </w:p>
    <w:p w:rsidR="00156BE1" w:rsidRDefault="00156BE1" w:rsidP="00156BE1">
      <w:pPr>
        <w:pStyle w:val="berschrift1"/>
      </w:pPr>
      <w:r>
        <w:t>[</w:t>
      </w:r>
      <w:r>
        <w:br/>
        <w:t>\Sigma_{\mathcal N}</w:t>
      </w:r>
    </w:p>
    <w:p w:rsidR="00156BE1" w:rsidRDefault="00156BE1" w:rsidP="00156BE1">
      <w:pPr>
        <w:pStyle w:val="StandardWeb"/>
      </w:pPr>
      <w:r>
        <w:t>0,</w:t>
      </w:r>
      <w:r>
        <w:br/>
        <w:t>\tag{3.11687}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\Sigma_{\mathcal N}=0</w:t>
      </w:r>
    </w:p>
    <w:p w:rsidR="00156BE1" w:rsidRDefault="00156BE1" w:rsidP="00156BE1">
      <w:pPr>
        <w:pStyle w:val="StandardWeb"/>
      </w:pPr>
      <w:r>
        <w:t>dann folgt</w:t>
      </w:r>
    </w:p>
    <w:p w:rsidR="00156BE1" w:rsidRDefault="00156BE1" w:rsidP="00156BE1">
      <w:pPr>
        <w:pStyle w:val="StandardWeb"/>
      </w:pPr>
      <w:r>
        <w:lastRenderedPageBreak/>
        <w:t>[</w:t>
      </w:r>
      <w:r>
        <w:br/>
        <w:t>\boxed{</w:t>
      </w:r>
      <w:r>
        <w:br/>
        <w:t>\Delta_TQ_{\mathcal N}=0.</w:t>
      </w:r>
      <w:r>
        <w:br/>
        <w:t>}</w:t>
      </w:r>
      <w:r>
        <w:br/>
        <w:t>\tag{3.11688}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\boxed{\Delta_TQ_{\mathcal N}=0.}</w:t>
      </w:r>
    </w:p>
    <w:p w:rsidR="00156BE1" w:rsidRDefault="00E50336" w:rsidP="00156BE1">
      <w:r>
        <w:pict>
          <v:rect id="_x0000_i4018" style="width:0;height:1.5pt" o:hralign="center" o:hrstd="t" o:hr="t" fillcolor="#a0a0a0" stroked="f"/>
        </w:pict>
      </w:r>
    </w:p>
    <w:p w:rsidR="00156BE1" w:rsidRDefault="00156BE1" w:rsidP="00156BE1">
      <w:pPr>
        <w:pStyle w:val="berschrift1"/>
      </w:pPr>
      <w:r>
        <w:t>3.3.47.142 Netzwerkdarstellung durch Inzidenzmatrix</w:t>
      </w:r>
    </w:p>
    <w:p w:rsidR="00156BE1" w:rsidRDefault="00156BE1" w:rsidP="00156BE1">
      <w:pPr>
        <w:pStyle w:val="StandardWeb"/>
      </w:pPr>
      <w:r>
        <w:t>Für endliche gerichtete Netzwerke kann die Flussstruktur auch algebraisch beschrieben werden.</w:t>
      </w:r>
    </w:p>
    <w:p w:rsidR="00156BE1" w:rsidRDefault="00156BE1" w:rsidP="00156BE1">
      <w:pPr>
        <w:pStyle w:val="StandardWeb"/>
      </w:pPr>
      <w:r>
        <w:t>Sei</w:t>
      </w:r>
    </w:p>
    <w:p w:rsidR="00156BE1" w:rsidRDefault="00156BE1" w:rsidP="00156BE1">
      <w:pPr>
        <w:pStyle w:val="StandardWeb"/>
      </w:pPr>
      <w:r>
        <w:t>[</w:t>
      </w:r>
      <w:r>
        <w:br/>
        <w:t>B</w:t>
      </w:r>
      <w:r>
        <w:br/>
        <w:t>\in</w:t>
      </w:r>
      <w:r>
        <w:br/>
        <w:t>{-1,0,1}^{n\times m}</w:t>
      </w:r>
      <w:r>
        <w:br/>
        <w:t>\tag{3.11689}</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B\in\{-1,0,1\}^{n\times m}</w:t>
      </w:r>
    </w:p>
    <w:p w:rsidR="00156BE1" w:rsidRDefault="00156BE1" w:rsidP="00156BE1">
      <w:pPr>
        <w:pStyle w:val="StandardWeb"/>
      </w:pPr>
      <w:r>
        <w:t>die orientierte Inzidenzmatrix eines Netzwerks mit (n) Knoten und (m) Kanten.</w:t>
      </w:r>
    </w:p>
    <w:p w:rsidR="00156BE1" w:rsidRDefault="00156BE1" w:rsidP="00156BE1">
      <w:pPr>
        <w:pStyle w:val="StandardWeb"/>
      </w:pPr>
      <w:r>
        <w:t>Für eine Kante (e_k=(z_i,z_j)) gilt</w:t>
      </w:r>
    </w:p>
    <w:p w:rsidR="00156BE1" w:rsidRDefault="00156BE1" w:rsidP="00156BE1">
      <w:pPr>
        <w:pStyle w:val="StandardWeb"/>
      </w:pPr>
      <w:r>
        <w:t>[</w:t>
      </w:r>
      <w:r>
        <w:br/>
        <w:t>B_{ik}=-1,</w:t>
      </w:r>
      <w:r>
        <w:br/>
        <w:t>\qquad</w:t>
      </w:r>
      <w:r>
        <w:br/>
        <w:t>B_{jk}=1.</w:t>
      </w:r>
      <w:r>
        <w:br/>
        <w:t>\tag{3.11690}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B_{ik}=-1,\qquad B_{jk}=1</w:t>
      </w:r>
    </w:p>
    <w:p w:rsidR="00156BE1" w:rsidRDefault="00E50336" w:rsidP="00156BE1">
      <w:r>
        <w:pict>
          <v:rect id="_x0000_i4019" style="width:0;height:1.5pt" o:hralign="center" o:hrstd="t" o:hr="t" fillcolor="#a0a0a0" stroked="f"/>
        </w:pict>
      </w:r>
    </w:p>
    <w:p w:rsidR="00156BE1" w:rsidRDefault="00156BE1" w:rsidP="00156BE1">
      <w:pPr>
        <w:pStyle w:val="berschrift1"/>
      </w:pPr>
      <w:r>
        <w:t>3.3.47.143 Definition 3.3.269 – Funktionale Inzidenzmatrix</w:t>
      </w:r>
    </w:p>
    <w:p w:rsidR="00156BE1" w:rsidRDefault="00156BE1" w:rsidP="00156BE1">
      <w:pPr>
        <w:pStyle w:val="berschrift3"/>
      </w:pPr>
      <w:r>
        <w:t>Definition 3.3.269</w:t>
      </w:r>
    </w:p>
    <w:p w:rsidR="00156BE1" w:rsidRDefault="00156BE1" w:rsidP="00156BE1">
      <w:pPr>
        <w:pStyle w:val="StandardWeb"/>
      </w:pPr>
      <w:r>
        <w:lastRenderedPageBreak/>
        <w:t xml:space="preserve">Eine </w:t>
      </w:r>
      <w:r>
        <w:rPr>
          <w:rStyle w:val="Fett"/>
        </w:rPr>
        <w:t>funktionale Inzidenzmatrix</w:t>
      </w:r>
      <w:r>
        <w:t xml:space="preserve"> eines gerichteten Bilanznetzwerks ist eine Matrix</w:t>
      </w:r>
    </w:p>
    <w:p w:rsidR="00156BE1" w:rsidRDefault="00156BE1" w:rsidP="00156BE1">
      <w:pPr>
        <w:pStyle w:val="StandardWeb"/>
      </w:pPr>
      <w:r>
        <w:t>[</w:t>
      </w:r>
      <w:r>
        <w:br/>
        <w:t>\boxed{</w:t>
      </w:r>
      <w:r>
        <w:br/>
        <w:t>B_Q\in{-1,0,1}^{n\times m},</w:t>
      </w:r>
      <w:r>
        <w:br/>
        <w:t>}</w:t>
      </w:r>
      <w:r>
        <w:br/>
        <w:t>\tag{3.11691}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\boxed{B_Q\in\{-1,0,1\}^{n\times m},}</w:t>
      </w:r>
    </w:p>
    <w:p w:rsidR="00156BE1" w:rsidRDefault="00156BE1" w:rsidP="00156BE1">
      <w:pPr>
        <w:pStyle w:val="StandardWeb"/>
      </w:pPr>
      <w:r>
        <w:t>deren Spalten die gerichtete Zuordnung der Flusskanten zu den Netzwerkknoten kodieren.</w:t>
      </w:r>
    </w:p>
    <w:p w:rsidR="00156BE1" w:rsidRDefault="00E50336" w:rsidP="00156BE1">
      <w:r>
        <w:pict>
          <v:rect id="_x0000_i4020" style="width:0;height:1.5pt" o:hralign="center" o:hrstd="t" o:hr="t" fillcolor="#a0a0a0" stroked="f"/>
        </w:pict>
      </w:r>
    </w:p>
    <w:p w:rsidR="00156BE1" w:rsidRDefault="00156BE1" w:rsidP="00156BE1">
      <w:pPr>
        <w:pStyle w:val="berschrift1"/>
      </w:pPr>
      <w:r>
        <w:t>3.3.47.144 Flussvektor</w:t>
      </w:r>
    </w:p>
    <w:p w:rsidR="00156BE1" w:rsidRDefault="00156BE1" w:rsidP="00156BE1">
      <w:pPr>
        <w:pStyle w:val="StandardWeb"/>
      </w:pPr>
      <w:r>
        <w:t>Sei</w:t>
      </w:r>
    </w:p>
    <w:p w:rsidR="00156BE1" w:rsidRDefault="00156BE1" w:rsidP="00156BE1">
      <w:pPr>
        <w:pStyle w:val="berschrift1"/>
      </w:pPr>
      <w:r>
        <w:t>[</w:t>
      </w:r>
      <w:r>
        <w:br/>
        <w:t>\mathbf j</w:t>
      </w:r>
    </w:p>
    <w:p w:rsidR="00156BE1" w:rsidRDefault="00156BE1" w:rsidP="00156BE1">
      <w:pPr>
        <w:pStyle w:val="StandardWeb"/>
      </w:pPr>
      <w:r>
        <w:t>(j_1,\ldots,j_m)^{\mathsf T}</w:t>
      </w:r>
      <w:r>
        <w:br/>
        <w:t>\tag{3.11692}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\mathbf j=(j_1,\ldots,j_m)^{\mathsf T}</w:t>
      </w:r>
    </w:p>
    <w:p w:rsidR="00156BE1" w:rsidRDefault="00156BE1" w:rsidP="00156BE1">
      <w:pPr>
        <w:pStyle w:val="StandardWeb"/>
      </w:pPr>
      <w:r>
        <w:t>der Vektor aller gerichteten Kantenflüsse.</w:t>
      </w:r>
    </w:p>
    <w:p w:rsidR="00156BE1" w:rsidRDefault="00156BE1" w:rsidP="00156BE1">
      <w:pPr>
        <w:pStyle w:val="StandardWeb"/>
      </w:pPr>
      <w:r>
        <w:t>Dann ist der durch die internen Flüsse erzeugte Knotennettofluss</w:t>
      </w:r>
    </w:p>
    <w:p w:rsidR="00156BE1" w:rsidRDefault="00156BE1" w:rsidP="00156BE1">
      <w:pPr>
        <w:pStyle w:val="berschrift1"/>
      </w:pPr>
      <w:r>
        <w:t>[</w:t>
      </w:r>
      <w:r>
        <w:br/>
        <w:t>\mathbf J^{\mathrm{net}}</w:t>
      </w:r>
    </w:p>
    <w:p w:rsidR="00156BE1" w:rsidRDefault="00156BE1" w:rsidP="00156BE1">
      <w:pPr>
        <w:pStyle w:val="StandardWeb"/>
      </w:pPr>
      <w:r>
        <w:t>B_Q\mathbf j.</w:t>
      </w:r>
      <w:r>
        <w:br/>
        <w:t>\tag{3.11693}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\mathbf J^{\mathrm{net}}=B_Q\mathbf j</w:t>
      </w:r>
    </w:p>
    <w:p w:rsidR="00156BE1" w:rsidRDefault="00E50336" w:rsidP="00156BE1">
      <w:r>
        <w:pict>
          <v:rect id="_x0000_i4021" style="width:0;height:1.5pt" o:hralign="center" o:hrstd="t" o:hr="t" fillcolor="#a0a0a0" stroked="f"/>
        </w:pict>
      </w:r>
    </w:p>
    <w:p w:rsidR="00156BE1" w:rsidRDefault="00156BE1" w:rsidP="00156BE1">
      <w:pPr>
        <w:pStyle w:val="berschrift1"/>
      </w:pPr>
      <w:r>
        <w:lastRenderedPageBreak/>
        <w:t>3.3.47.145 Definition 3.3.270 – Funktionaler Netzwerkflussvektor</w:t>
      </w:r>
    </w:p>
    <w:p w:rsidR="00156BE1" w:rsidRDefault="00156BE1" w:rsidP="00156BE1">
      <w:pPr>
        <w:pStyle w:val="berschrift3"/>
      </w:pPr>
      <w:r>
        <w:t>Definition 3.3.270</w:t>
      </w:r>
    </w:p>
    <w:p w:rsidR="00156BE1" w:rsidRDefault="00156BE1" w:rsidP="00156BE1">
      <w:pPr>
        <w:pStyle w:val="StandardWeb"/>
      </w:pPr>
      <w:r>
        <w:t xml:space="preserve">Der </w:t>
      </w:r>
      <w:r>
        <w:rPr>
          <w:rStyle w:val="Fett"/>
        </w:rPr>
        <w:t>funktionale Netzwerkflussvektor</w:t>
      </w:r>
      <w:r>
        <w:t xml:space="preserve"> ist</w:t>
      </w:r>
    </w:p>
    <w:p w:rsidR="00156BE1" w:rsidRDefault="00156BE1" w:rsidP="00156BE1">
      <w:pPr>
        <w:pStyle w:val="berschrift1"/>
      </w:pPr>
      <w:r>
        <w:t>[</w:t>
      </w:r>
      <w:r>
        <w:br/>
        <w:t>\boxed{</w:t>
      </w:r>
      <w:r>
        <w:br/>
        <w:t>\mathbf j_Q</w:t>
      </w:r>
    </w:p>
    <w:p w:rsidR="00156BE1" w:rsidRDefault="00156BE1" w:rsidP="00156BE1">
      <w:pPr>
        <w:pStyle w:val="StandardWeb"/>
      </w:pPr>
      <w:r>
        <w:t>(j_1,\ldots,j_m)^{\mathsf T}.</w:t>
      </w:r>
      <w:r>
        <w:br/>
        <w:t>}</w:t>
      </w:r>
      <w:r>
        <w:br/>
        <w:t>\tag{3.11694}</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\boxed{\mathbf j_Q=(j_1,\ldots,j_m)^{\mathsf T}.}</w:t>
      </w:r>
    </w:p>
    <w:p w:rsidR="00156BE1" w:rsidRDefault="00E50336" w:rsidP="00156BE1">
      <w:r>
        <w:pict>
          <v:rect id="_x0000_i4022" style="width:0;height:1.5pt" o:hralign="center" o:hrstd="t" o:hr="t" fillcolor="#a0a0a0" stroked="f"/>
        </w:pict>
      </w:r>
    </w:p>
    <w:p w:rsidR="00156BE1" w:rsidRDefault="00156BE1" w:rsidP="00156BE1">
      <w:pPr>
        <w:pStyle w:val="berschrift1"/>
      </w:pPr>
      <w:r>
        <w:t>3.3.47.146 Algebraische Knotenbilanz</w:t>
      </w:r>
    </w:p>
    <w:p w:rsidR="00156BE1" w:rsidRDefault="00156BE1" w:rsidP="00156BE1">
      <w:pPr>
        <w:pStyle w:val="StandardWeb"/>
      </w:pPr>
      <w:r>
        <w:t>Mit dem Quellvektor</w:t>
      </w:r>
    </w:p>
    <w:p w:rsidR="00156BE1" w:rsidRDefault="00156BE1" w:rsidP="00156BE1">
      <w:pPr>
        <w:pStyle w:val="berschrift1"/>
      </w:pPr>
      <w:r>
        <w:t>[</w:t>
      </w:r>
      <w:r>
        <w:br/>
        <w:t>\boldsymbol\Sigma</w:t>
      </w:r>
    </w:p>
    <w:p w:rsidR="00156BE1" w:rsidRDefault="00156BE1" w:rsidP="00156BE1">
      <w:pPr>
        <w:pStyle w:val="StandardWeb"/>
      </w:pPr>
      <w:r>
        <w:t>(\Sigma_1,\ldots,\Sigma_n)^{\mathsf T}</w:t>
      </w:r>
      <w:r>
        <w:br/>
        <w:t>\tag{3.11695}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\boldsymbol\Sigma=(\Sigma_1,\ldots,\Sigma_n)^{\mathsf T}</w:t>
      </w:r>
    </w:p>
    <w:p w:rsidR="00156BE1" w:rsidRDefault="00156BE1" w:rsidP="00156BE1">
      <w:pPr>
        <w:pStyle w:val="StandardWeb"/>
      </w:pPr>
      <w:r>
        <w:t>und dem Änderungsvektor</w:t>
      </w:r>
    </w:p>
    <w:p w:rsidR="00156BE1" w:rsidRDefault="00156BE1" w:rsidP="00156BE1">
      <w:pPr>
        <w:pStyle w:val="berschrift1"/>
      </w:pPr>
      <w:r>
        <w:t>[</w:t>
      </w:r>
      <w:r>
        <w:br/>
        <w:t>\Delta\mathbf Q</w:t>
      </w:r>
    </w:p>
    <w:p w:rsidR="00156BE1" w:rsidRDefault="00156BE1" w:rsidP="00156BE1">
      <w:pPr>
        <w:pStyle w:val="StandardWeb"/>
      </w:pPr>
      <w:r>
        <w:t>(\Delta_TQ_1,\ldots,\Delta_TQ_n)^{\mathsf T}</w:t>
      </w:r>
      <w:r>
        <w:br/>
        <w:t>\tag{3.11696}</w:t>
      </w:r>
      <w:r>
        <w:br/>
        <w:t>]</w:t>
      </w:r>
    </w:p>
    <w:p w:rsidR="00156BE1" w:rsidRDefault="00156BE1" w:rsidP="00156BE1">
      <w:pPr>
        <w:pStyle w:val="StandardWeb"/>
      </w:pPr>
      <w:r>
        <w:rPr>
          <w:rStyle w:val="Fett"/>
        </w:rPr>
        <w:lastRenderedPageBreak/>
        <w:t>Word-LaTeX</w:t>
      </w:r>
    </w:p>
    <w:p w:rsidR="00156BE1" w:rsidRDefault="00156BE1" w:rsidP="00156BE1">
      <w:pPr>
        <w:pStyle w:val="HTMLVorformatiert"/>
        <w:rPr>
          <w:rStyle w:val="HTMLCode"/>
        </w:rPr>
      </w:pPr>
      <w:r>
        <w:rPr>
          <w:rStyle w:val="HTMLCode"/>
        </w:rPr>
        <w:t>\Delta\mathbf Q=(\Delta_TQ_1,\ldots,\Delta_TQ_n)^{\mathsf T}</w:t>
      </w:r>
    </w:p>
    <w:p w:rsidR="00156BE1" w:rsidRDefault="00156BE1" w:rsidP="00156BE1">
      <w:pPr>
        <w:pStyle w:val="StandardWeb"/>
      </w:pPr>
      <w:r>
        <w:t>kann die Knotenbilanz geschrieben werden als</w:t>
      </w:r>
    </w:p>
    <w:p w:rsidR="00156BE1" w:rsidRDefault="00156BE1" w:rsidP="00156BE1">
      <w:pPr>
        <w:pStyle w:val="berschrift1"/>
      </w:pPr>
      <w:r>
        <w:t>[</w:t>
      </w:r>
      <w:r>
        <w:br/>
        <w:t>\boxed{</w:t>
      </w:r>
      <w:r>
        <w:br/>
        <w:t>\Delta\mathbf Q</w:t>
      </w:r>
    </w:p>
    <w:p w:rsidR="00156BE1" w:rsidRDefault="00156BE1" w:rsidP="00156BE1">
      <w:pPr>
        <w:pStyle w:val="StandardWeb"/>
      </w:pPr>
      <w:r>
        <w:t>\boldsymbol\Sigma</w:t>
      </w:r>
      <w:r>
        <w:br/>
        <w:t>+</w:t>
      </w:r>
      <w:r>
        <w:br/>
        <w:t>B_Q\mathbf j_Q.</w:t>
      </w:r>
      <w:r>
        <w:br/>
        <w:t>}</w:t>
      </w:r>
      <w:r>
        <w:br/>
        <w:t>\tag{3.11697}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\boxed{\Delta\mathbf Q=\boldsymbol\Sigma+B_Q\mathbf j_Q.}</w:t>
      </w:r>
    </w:p>
    <w:p w:rsidR="00156BE1" w:rsidRDefault="00E50336" w:rsidP="00156BE1">
      <w:r>
        <w:pict>
          <v:rect id="_x0000_i4023" style="width:0;height:1.5pt" o:hralign="center" o:hrstd="t" o:hr="t" fillcolor="#a0a0a0" stroked="f"/>
        </w:pict>
      </w:r>
    </w:p>
    <w:p w:rsidR="00156BE1" w:rsidRDefault="00156BE1" w:rsidP="00156BE1">
      <w:pPr>
        <w:pStyle w:val="berschrift1"/>
      </w:pPr>
      <w:r>
        <w:t>3.3.47.147 Definition 3.3.271 – Algebraische funktionale Netzwerkbilanz</w:t>
      </w:r>
    </w:p>
    <w:p w:rsidR="00156BE1" w:rsidRDefault="00156BE1" w:rsidP="00156BE1">
      <w:pPr>
        <w:pStyle w:val="berschrift3"/>
      </w:pPr>
      <w:r>
        <w:t>Definition 3.3.271</w:t>
      </w:r>
    </w:p>
    <w:p w:rsidR="00156BE1" w:rsidRDefault="00156BE1" w:rsidP="00156BE1">
      <w:pPr>
        <w:pStyle w:val="StandardWeb"/>
      </w:pPr>
      <w:r>
        <w:t xml:space="preserve">Eine </w:t>
      </w:r>
      <w:r>
        <w:rPr>
          <w:rStyle w:val="Fett"/>
        </w:rPr>
        <w:t>algebraische funktionale Netzwerkbilanz</w:t>
      </w:r>
      <w:r>
        <w:t xml:space="preserve"> ist eine Beziehung</w:t>
      </w:r>
    </w:p>
    <w:p w:rsidR="00156BE1" w:rsidRDefault="00156BE1" w:rsidP="00156BE1">
      <w:pPr>
        <w:pStyle w:val="berschrift1"/>
      </w:pPr>
      <w:r>
        <w:t>[</w:t>
      </w:r>
      <w:r>
        <w:br/>
        <w:t>\boxed{</w:t>
      </w:r>
      <w:r>
        <w:br/>
        <w:t>\Delta\mathbf Q</w:t>
      </w:r>
    </w:p>
    <w:p w:rsidR="00156BE1" w:rsidRDefault="00156BE1" w:rsidP="00156BE1">
      <w:pPr>
        <w:pStyle w:val="StandardWeb"/>
      </w:pPr>
      <w:r>
        <w:t>\boldsymbol\Sigma</w:t>
      </w:r>
      <w:r>
        <w:br/>
        <w:t>+</w:t>
      </w:r>
      <w:r>
        <w:br/>
        <w:t>B_Q\mathbf j_Q.</w:t>
      </w:r>
      <w:r>
        <w:br/>
        <w:t>}</w:t>
      </w:r>
      <w:r>
        <w:br/>
        <w:t>\tag{3.11698}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\boxed{\Delta\mathbf Q=\boldsymbol\Sigma+B_Q\mathbf j_Q.}</w:t>
      </w:r>
    </w:p>
    <w:p w:rsidR="00156BE1" w:rsidRDefault="00E50336" w:rsidP="00156BE1">
      <w:r>
        <w:pict>
          <v:rect id="_x0000_i4024" style="width:0;height:1.5pt" o:hralign="center" o:hrstd="t" o:hr="t" fillcolor="#a0a0a0" stroked="f"/>
        </w:pict>
      </w:r>
    </w:p>
    <w:p w:rsidR="00156BE1" w:rsidRDefault="00156BE1" w:rsidP="00156BE1">
      <w:pPr>
        <w:pStyle w:val="berschrift1"/>
      </w:pPr>
      <w:r>
        <w:lastRenderedPageBreak/>
        <w:t>3.3.47.148 Summeneigenschaft der Inzidenzmatrix</w:t>
      </w:r>
    </w:p>
    <w:p w:rsidR="00156BE1" w:rsidRDefault="00156BE1" w:rsidP="00156BE1">
      <w:pPr>
        <w:pStyle w:val="StandardWeb"/>
      </w:pPr>
      <w:r>
        <w:t>Für jede vollständig interne gerichtete Kante enthält die zugehörige Spalte der Inzidenzmatrix genau einen Eintrag (+1) und einen Eintrag (-1).</w:t>
      </w:r>
    </w:p>
    <w:p w:rsidR="00156BE1" w:rsidRDefault="00156BE1" w:rsidP="00156BE1">
      <w:pPr>
        <w:pStyle w:val="StandardWeb"/>
      </w:pPr>
      <w:r>
        <w:t>Daher gilt</w:t>
      </w:r>
    </w:p>
    <w:p w:rsidR="00156BE1" w:rsidRDefault="00156BE1" w:rsidP="00156BE1">
      <w:pPr>
        <w:pStyle w:val="berschrift1"/>
      </w:pPr>
      <w:r>
        <w:t>[</w:t>
      </w:r>
      <w:r>
        <w:br/>
        <w:t>\mathbf 1^{\mathsf T}B_Q</w:t>
      </w:r>
    </w:p>
    <w:p w:rsidR="00156BE1" w:rsidRDefault="00156BE1" w:rsidP="00156BE1">
      <w:pPr>
        <w:pStyle w:val="StandardWeb"/>
      </w:pPr>
      <w:r>
        <w:t>\mathbf 0^{\mathsf T},</w:t>
      </w:r>
      <w:r>
        <w:br/>
        <w:t>\tag{3.11699}</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\mathbf 1^{\mathsf T}B_Q=\mathbf 0^{\mathsf T}</w:t>
      </w:r>
    </w:p>
    <w:p w:rsidR="00156BE1" w:rsidRDefault="00156BE1" w:rsidP="00156BE1">
      <w:pPr>
        <w:pStyle w:val="StandardWeb"/>
      </w:pPr>
      <w:r>
        <w:t>wobei</w:t>
      </w:r>
    </w:p>
    <w:p w:rsidR="00156BE1" w:rsidRDefault="00156BE1" w:rsidP="00156BE1">
      <w:pPr>
        <w:pStyle w:val="berschrift1"/>
      </w:pPr>
      <w:r>
        <w:t>[</w:t>
      </w:r>
      <w:r>
        <w:br/>
        <w:t>\mathbf 1</w:t>
      </w:r>
    </w:p>
    <w:p w:rsidR="00156BE1" w:rsidRDefault="00156BE1" w:rsidP="00156BE1">
      <w:pPr>
        <w:pStyle w:val="StandardWeb"/>
      </w:pPr>
      <w:r>
        <w:t>(1,\ldots,1)^{\mathsf T}.</w:t>
      </w:r>
      <w:r>
        <w:br/>
        <w:t>\tag{3.11700}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\mathbf 1=(1,\ldots,1)^{\mathsf T}</w:t>
      </w:r>
    </w:p>
    <w:p w:rsidR="00156BE1" w:rsidRDefault="00E50336" w:rsidP="00156BE1">
      <w:r>
        <w:pict>
          <v:rect id="_x0000_i4025" style="width:0;height:1.5pt" o:hralign="center" o:hrstd="t" o:hr="t" fillcolor="#a0a0a0" stroked="f"/>
        </w:pict>
      </w:r>
    </w:p>
    <w:p w:rsidR="00156BE1" w:rsidRDefault="00156BE1" w:rsidP="00156BE1">
      <w:pPr>
        <w:pStyle w:val="berschrift1"/>
      </w:pPr>
      <w:r>
        <w:t>3.3.47.149 Satz 3.3.113 – Interne Netzwerkflüsse ändern die globale Summenbilanz nicht</w:t>
      </w:r>
    </w:p>
    <w:p w:rsidR="00156BE1" w:rsidRDefault="00156BE1" w:rsidP="00156BE1">
      <w:pPr>
        <w:pStyle w:val="berschrift3"/>
      </w:pPr>
      <w:r>
        <w:t>Satz 3.3.113</w:t>
      </w:r>
    </w:p>
    <w:p w:rsidR="00156BE1" w:rsidRDefault="00156BE1" w:rsidP="00156BE1">
      <w:pPr>
        <w:pStyle w:val="StandardWeb"/>
      </w:pPr>
      <w:r>
        <w:t>Für eine vollständige interne Inzidenzmatrix gilt</w:t>
      </w:r>
    </w:p>
    <w:p w:rsidR="00156BE1" w:rsidRDefault="00156BE1" w:rsidP="00156BE1">
      <w:pPr>
        <w:pStyle w:val="berschrift1"/>
      </w:pPr>
      <w:r>
        <w:t>[</w:t>
      </w:r>
      <w:r>
        <w:br/>
        <w:t>\boxed{</w:t>
      </w:r>
      <w:r>
        <w:br/>
        <w:t>\mathbf 1^{\mathsf T}</w:t>
      </w:r>
      <w:r>
        <w:br/>
      </w:r>
      <w:r>
        <w:lastRenderedPageBreak/>
        <w:t>B_Q</w:t>
      </w:r>
      <w:r>
        <w:br/>
        <w:t>\mathbf j_Q</w:t>
      </w:r>
    </w:p>
    <w:p w:rsidR="00156BE1" w:rsidRDefault="00156BE1" w:rsidP="00152216">
      <w:pPr>
        <w:numPr>
          <w:ilvl w:val="0"/>
          <w:numId w:val="515"/>
        </w:numPr>
        <w:spacing w:before="100" w:beforeAutospacing="1" w:after="100" w:afterAutospacing="1"/>
      </w:pPr>
    </w:p>
    <w:p w:rsidR="00156BE1" w:rsidRDefault="00156BE1" w:rsidP="00156BE1">
      <w:pPr>
        <w:pStyle w:val="StandardWeb"/>
      </w:pPr>
      <w:r>
        <w:t>}</w:t>
      </w:r>
      <w:r>
        <w:br/>
        <w:t>\tag{3.11701}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\boxed{\mathbf 1^{\mathsf T}B_Q\mathbf j_Q=0.}</w:t>
      </w:r>
    </w:p>
    <w:p w:rsidR="00156BE1" w:rsidRDefault="00156BE1" w:rsidP="00156BE1">
      <w:pPr>
        <w:pStyle w:val="berschrift3"/>
      </w:pPr>
      <w:r>
        <w:t>Beweis</w:t>
      </w:r>
    </w:p>
    <w:p w:rsidR="00156BE1" w:rsidRDefault="00156BE1" w:rsidP="00156BE1">
      <w:pPr>
        <w:pStyle w:val="StandardWeb"/>
      </w:pPr>
      <w:r>
        <w:t>Aus</w:t>
      </w:r>
    </w:p>
    <w:p w:rsidR="00156BE1" w:rsidRDefault="00156BE1" w:rsidP="00156BE1">
      <w:pPr>
        <w:pStyle w:val="berschrift1"/>
      </w:pPr>
      <w:r>
        <w:t>[</w:t>
      </w:r>
      <w:r>
        <w:br/>
        <w:t>\mathbf 1^{\mathsf T}B_Q</w:t>
      </w:r>
    </w:p>
    <w:p w:rsidR="00156BE1" w:rsidRDefault="00156BE1" w:rsidP="00156BE1">
      <w:pPr>
        <w:pStyle w:val="StandardWeb"/>
      </w:pPr>
      <w:r>
        <w:t>\mathbf 0^{\mathsf T}</w:t>
      </w:r>
      <w:r>
        <w:br/>
        <w:t>\tag{3.11702}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\mathbf 1^{\mathsf T}B_Q=\mathbf 0^{\mathsf T}</w:t>
      </w:r>
    </w:p>
    <w:p w:rsidR="00156BE1" w:rsidRDefault="00156BE1" w:rsidP="00156BE1">
      <w:pPr>
        <w:pStyle w:val="StandardWeb"/>
      </w:pPr>
      <w:r>
        <w:t>folgt durch Multiplikation mit (\mathbf j_Q)</w:t>
      </w:r>
    </w:p>
    <w:p w:rsidR="00156BE1" w:rsidRDefault="00156BE1" w:rsidP="00156BE1">
      <w:pPr>
        <w:pStyle w:val="berschrift1"/>
      </w:pPr>
      <w:r>
        <w:t>[</w:t>
      </w:r>
      <w:r>
        <w:br/>
        <w:t>\mathbf 1^{\mathsf T}B_Q\mathbf j_Q</w:t>
      </w:r>
    </w:p>
    <w:p w:rsidR="00156BE1" w:rsidRDefault="00156BE1" w:rsidP="00156BE1">
      <w:pPr>
        <w:pStyle w:val="berschrift1"/>
      </w:pPr>
      <w:r>
        <w:t>\mathbf 0^{\mathsf T}\mathbf j_Q</w:t>
      </w:r>
    </w:p>
    <w:p w:rsidR="00156BE1" w:rsidRDefault="00156BE1" w:rsidP="00152216">
      <w:pPr>
        <w:numPr>
          <w:ilvl w:val="0"/>
          <w:numId w:val="516"/>
        </w:numPr>
        <w:spacing w:before="100" w:beforeAutospacing="1" w:after="100" w:afterAutospacing="1"/>
      </w:pPr>
    </w:p>
    <w:p w:rsidR="00156BE1" w:rsidRDefault="00156BE1" w:rsidP="00156BE1">
      <w:pPr>
        <w:pStyle w:val="StandardWeb"/>
      </w:pPr>
      <w:r>
        <w:t>\tag{3.11703}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\mathbf 1^{\mathsf T}B_Q\mathbf j_Q=\mathbf 0^{\mathsf T}\mathbf j_Q=0</w:t>
      </w:r>
    </w:p>
    <w:p w:rsidR="00156BE1" w:rsidRDefault="00156BE1" w:rsidP="00156BE1">
      <w:pPr>
        <w:pStyle w:val="StandardWeb"/>
      </w:pPr>
      <w:r>
        <w:t>(\square)</w:t>
      </w:r>
    </w:p>
    <w:p w:rsidR="00156BE1" w:rsidRDefault="00E50336" w:rsidP="00156BE1">
      <w:r>
        <w:pict>
          <v:rect id="_x0000_i4026" style="width:0;height:1.5pt" o:hralign="center" o:hrstd="t" o:hr="t" fillcolor="#a0a0a0" stroked="f"/>
        </w:pict>
      </w:r>
    </w:p>
    <w:p w:rsidR="00156BE1" w:rsidRDefault="00156BE1" w:rsidP="00156BE1">
      <w:pPr>
        <w:pStyle w:val="berschrift1"/>
      </w:pPr>
      <w:r>
        <w:lastRenderedPageBreak/>
        <w:t>3.3.47.150 Globale Summenbilanz in Matrixform</w:t>
      </w:r>
    </w:p>
    <w:p w:rsidR="00156BE1" w:rsidRDefault="00156BE1" w:rsidP="00156BE1">
      <w:pPr>
        <w:pStyle w:val="StandardWeb"/>
      </w:pPr>
      <w:r>
        <w:t>Multipliziere ich Gleichung (3.11698) von links mit (\mathbf 1^{\mathsf T}), erhalte ich</w:t>
      </w:r>
    </w:p>
    <w:p w:rsidR="00156BE1" w:rsidRDefault="00156BE1" w:rsidP="00156BE1">
      <w:pPr>
        <w:pStyle w:val="berschrift1"/>
      </w:pPr>
      <w:r>
        <w:t>[</w:t>
      </w:r>
      <w:r>
        <w:br/>
        <w:t>\mathbf 1^{\mathsf T}\Delta\mathbf Q</w:t>
      </w:r>
    </w:p>
    <w:p w:rsidR="00156BE1" w:rsidRDefault="00156BE1" w:rsidP="00156BE1">
      <w:pPr>
        <w:pStyle w:val="StandardWeb"/>
      </w:pPr>
      <w:r>
        <w:t>\mathbf 1^{\mathsf T}\boldsymbol\Sigma</w:t>
      </w:r>
      <w:r>
        <w:br/>
        <w:t>+</w:t>
      </w:r>
      <w:r>
        <w:br/>
        <w:t>\mathbf 1^{\mathsf T}B_Q\mathbf j_Q.</w:t>
      </w:r>
      <w:r>
        <w:br/>
        <w:t>\tag{3.11704}</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\mathbf 1^{\mathsf T}\Delta\mathbf Q=\mathbf 1^{\mathsf T}\boldsymbol\Sigma+\mathbf 1^{\mathsf T}B_Q\mathbf j_Q</w:t>
      </w:r>
    </w:p>
    <w:p w:rsidR="00156BE1" w:rsidRDefault="00156BE1" w:rsidP="00156BE1">
      <w:pPr>
        <w:pStyle w:val="StandardWeb"/>
      </w:pPr>
      <w:r>
        <w:t>Mit Satz 3.3.113 folgt</w:t>
      </w:r>
    </w:p>
    <w:p w:rsidR="00156BE1" w:rsidRDefault="00156BE1" w:rsidP="00156BE1">
      <w:pPr>
        <w:pStyle w:val="berschrift1"/>
      </w:pPr>
      <w:r>
        <w:t>[</w:t>
      </w:r>
      <w:r>
        <w:br/>
        <w:t>\boxed{</w:t>
      </w:r>
      <w:r>
        <w:br/>
        <w:t>\mathbf 1^{\mathsf T}\Delta\mathbf Q</w:t>
      </w:r>
    </w:p>
    <w:p w:rsidR="00156BE1" w:rsidRDefault="00156BE1" w:rsidP="00156BE1">
      <w:pPr>
        <w:pStyle w:val="StandardWeb"/>
      </w:pPr>
      <w:r>
        <w:t>\mathbf 1^{\mathsf T}\boldsymbol\Sigma.</w:t>
      </w:r>
      <w:r>
        <w:br/>
        <w:t>}</w:t>
      </w:r>
      <w:r>
        <w:br/>
        <w:t>\tag{3.11705}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\boxed{\mathbf 1^{\mathsf T}\Delta\mathbf Q=\mathbf 1^{\mathsf T}\boldsymbol\Sigma.}</w:t>
      </w:r>
    </w:p>
    <w:p w:rsidR="00156BE1" w:rsidRDefault="00E50336" w:rsidP="00156BE1">
      <w:r>
        <w:pict>
          <v:rect id="_x0000_i4027" style="width:0;height:1.5pt" o:hralign="center" o:hrstd="t" o:hr="t" fillcolor="#a0a0a0" stroked="f"/>
        </w:pict>
      </w:r>
    </w:p>
    <w:p w:rsidR="00156BE1" w:rsidRDefault="00156BE1" w:rsidP="00156BE1">
      <w:pPr>
        <w:pStyle w:val="berschrift1"/>
      </w:pPr>
      <w:r>
        <w:t>3.3.47.151 Netzwerkzyklen</w:t>
      </w:r>
    </w:p>
    <w:p w:rsidR="00156BE1" w:rsidRDefault="00156BE1" w:rsidP="00156BE1">
      <w:pPr>
        <w:pStyle w:val="StandardWeb"/>
      </w:pPr>
      <w:r>
        <w:t>Neben den Knotenbilanzen sind geschlossene Übergangsfolgen von besonderem Interesse.</w:t>
      </w:r>
    </w:p>
    <w:p w:rsidR="00156BE1" w:rsidRDefault="00156BE1" w:rsidP="00156BE1">
      <w:pPr>
        <w:pStyle w:val="StandardWeb"/>
      </w:pPr>
      <w:r>
        <w:t>Sei</w:t>
      </w:r>
    </w:p>
    <w:p w:rsidR="00156BE1" w:rsidRDefault="00156BE1" w:rsidP="00156BE1">
      <w:pPr>
        <w:pStyle w:val="berschrift1"/>
      </w:pPr>
      <w:r>
        <w:t>[</w:t>
      </w:r>
      <w:r>
        <w:br/>
        <w:t>\gamma_C</w:t>
      </w:r>
    </w:p>
    <w:p w:rsidR="00156BE1" w:rsidRDefault="00156BE1" w:rsidP="00156BE1">
      <w:pPr>
        <w:pStyle w:val="StandardWeb"/>
      </w:pPr>
      <w:r>
        <w:lastRenderedPageBreak/>
        <w:t>(z_{i_0},z_{i_1},\ldots,z_{i_k})</w:t>
      </w:r>
      <w:r>
        <w:br/>
        <w:t>\tag{3.11706}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\gamma_C=(z_{i_0},z_{i_1},\ldots,z_{i_k})</w:t>
      </w:r>
    </w:p>
    <w:p w:rsidR="00156BE1" w:rsidRDefault="00156BE1" w:rsidP="00156BE1">
      <w:pPr>
        <w:pStyle w:val="StandardWeb"/>
      </w:pPr>
      <w:r>
        <w:t>mit</w:t>
      </w:r>
    </w:p>
    <w:p w:rsidR="00156BE1" w:rsidRDefault="00156BE1" w:rsidP="00156BE1">
      <w:pPr>
        <w:pStyle w:val="berschrift1"/>
      </w:pPr>
      <w:r>
        <w:t>[</w:t>
      </w:r>
      <w:r>
        <w:br/>
        <w:t>z_{i_k}</w:t>
      </w:r>
    </w:p>
    <w:p w:rsidR="00156BE1" w:rsidRDefault="00156BE1" w:rsidP="00156BE1">
      <w:pPr>
        <w:pStyle w:val="StandardWeb"/>
      </w:pPr>
      <w:r>
        <w:t>z_{i_0}.</w:t>
      </w:r>
      <w:r>
        <w:br/>
        <w:t>\tag{3.11707}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z_{i_k}=z_{i_0}</w:t>
      </w:r>
    </w:p>
    <w:p w:rsidR="00156BE1" w:rsidRDefault="00156BE1" w:rsidP="00156BE1">
      <w:pPr>
        <w:pStyle w:val="StandardWeb"/>
      </w:pPr>
      <w:r>
        <w:t>Dann bildet (\gamma_C) einen geschlossenen Übergangspfad.</w:t>
      </w:r>
    </w:p>
    <w:p w:rsidR="00156BE1" w:rsidRDefault="00E50336" w:rsidP="00156BE1">
      <w:r>
        <w:pict>
          <v:rect id="_x0000_i4028" style="width:0;height:1.5pt" o:hralign="center" o:hrstd="t" o:hr="t" fillcolor="#a0a0a0" stroked="f"/>
        </w:pict>
      </w:r>
    </w:p>
    <w:p w:rsidR="00156BE1" w:rsidRDefault="00156BE1" w:rsidP="00156BE1">
      <w:pPr>
        <w:pStyle w:val="berschrift1"/>
      </w:pPr>
      <w:r>
        <w:t>3.3.47.152 Definition 3.3.272 – Funktionaler Bilanzzyklus</w:t>
      </w:r>
    </w:p>
    <w:p w:rsidR="00156BE1" w:rsidRDefault="00156BE1" w:rsidP="00156BE1">
      <w:pPr>
        <w:pStyle w:val="berschrift3"/>
      </w:pPr>
      <w:r>
        <w:t>Definition 3.3.272</w:t>
      </w:r>
    </w:p>
    <w:p w:rsidR="00156BE1" w:rsidRDefault="00156BE1" w:rsidP="00156BE1">
      <w:pPr>
        <w:pStyle w:val="StandardWeb"/>
      </w:pPr>
      <w:r>
        <w:t xml:space="preserve">Ein </w:t>
      </w:r>
      <w:r>
        <w:rPr>
          <w:rStyle w:val="Fett"/>
        </w:rPr>
        <w:t>funktionaler Bilanzzyklus</w:t>
      </w:r>
      <w:r>
        <w:t xml:space="preserve"> ist ein zulässiger Übergangspfad</w:t>
      </w:r>
    </w:p>
    <w:p w:rsidR="00156BE1" w:rsidRDefault="00156BE1" w:rsidP="00156BE1">
      <w:pPr>
        <w:pStyle w:val="berschrift1"/>
      </w:pPr>
      <w:r>
        <w:t>[</w:t>
      </w:r>
      <w:r>
        <w:br/>
        <w:t>\boxed{</w:t>
      </w:r>
      <w:r>
        <w:br/>
        <w:t>\gamma_C</w:t>
      </w:r>
    </w:p>
    <w:p w:rsidR="00156BE1" w:rsidRDefault="00156BE1" w:rsidP="00156BE1">
      <w:pPr>
        <w:pStyle w:val="StandardWeb"/>
      </w:pPr>
      <w:r>
        <w:t>(z_{i_0},z_{i_1},\ldots,z_{i_k})</w:t>
      </w:r>
      <w:r>
        <w:br/>
        <w:t>}</w:t>
      </w:r>
      <w:r>
        <w:br/>
        <w:t>\tag{3.11708}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\boxed{\gamma_C=(z_{i_0},z_{i_1},\ldots,z_{i_k})}</w:t>
      </w:r>
    </w:p>
    <w:p w:rsidR="00156BE1" w:rsidRDefault="00156BE1" w:rsidP="00156BE1">
      <w:pPr>
        <w:pStyle w:val="StandardWeb"/>
      </w:pPr>
      <w:r>
        <w:t>mit</w:t>
      </w:r>
    </w:p>
    <w:p w:rsidR="00156BE1" w:rsidRDefault="00156BE1" w:rsidP="00156BE1">
      <w:pPr>
        <w:pStyle w:val="StandardWeb"/>
      </w:pPr>
      <w:r>
        <w:lastRenderedPageBreak/>
        <w:t>[</w:t>
      </w:r>
      <w:r>
        <w:br/>
        <w:t>\boxed{</w:t>
      </w:r>
      <w:r>
        <w:br/>
        <w:t>z_{i_k}=z_{i_0}.</w:t>
      </w:r>
      <w:r>
        <w:br/>
        <w:t>}</w:t>
      </w:r>
      <w:r>
        <w:br/>
        <w:t>\tag{3.11709}</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\boxed{z_{i_k}=z_{i_0}.}</w:t>
      </w:r>
    </w:p>
    <w:p w:rsidR="00156BE1" w:rsidRDefault="00E50336" w:rsidP="00156BE1">
      <w:r>
        <w:pict>
          <v:rect id="_x0000_i4029" style="width:0;height:1.5pt" o:hralign="center" o:hrstd="t" o:hr="t" fillcolor="#a0a0a0" stroked="f"/>
        </w:pict>
      </w:r>
    </w:p>
    <w:p w:rsidR="00156BE1" w:rsidRDefault="00156BE1" w:rsidP="00156BE1">
      <w:pPr>
        <w:pStyle w:val="berschrift1"/>
      </w:pPr>
      <w:r>
        <w:t>3.3.47.153 Zustandsänderung entlang eines Zyklus</w:t>
      </w:r>
    </w:p>
    <w:p w:rsidR="00156BE1" w:rsidRDefault="00156BE1" w:rsidP="00156BE1">
      <w:pPr>
        <w:pStyle w:val="StandardWeb"/>
      </w:pPr>
      <w:r>
        <w:t>Für eine zustandsabhängige Größe (Q_F(z)) gilt unmittelbar</w:t>
      </w:r>
    </w:p>
    <w:p w:rsidR="00156BE1" w:rsidRDefault="00156BE1" w:rsidP="00156BE1">
      <w:pPr>
        <w:pStyle w:val="berschrift1"/>
      </w:pPr>
      <w:r>
        <w:t>[</w:t>
      </w:r>
      <w:r>
        <w:br/>
        <w:t>\Delta_{\gamma_C}Q_F</w:t>
      </w:r>
    </w:p>
    <w:p w:rsidR="00156BE1" w:rsidRDefault="00156BE1" w:rsidP="00156BE1">
      <w:pPr>
        <w:pStyle w:val="berschrift2"/>
      </w:pPr>
      <w:r>
        <w:t>Q_F(z_{i_k})</w:t>
      </w:r>
    </w:p>
    <w:p w:rsidR="00156BE1" w:rsidRDefault="00156BE1" w:rsidP="00156BE1">
      <w:pPr>
        <w:pStyle w:val="StandardWeb"/>
      </w:pPr>
      <w:r>
        <w:t>Q_F(z_{i_0}).</w:t>
      </w:r>
      <w:r>
        <w:br/>
        <w:t>\tag{3.11710}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\Delta_{\gamma_C}Q_F=Q_F(z_{i_k})-Q_F(z_{i_0})</w:t>
      </w:r>
    </w:p>
    <w:p w:rsidR="00156BE1" w:rsidRDefault="00156BE1" w:rsidP="00156BE1">
      <w:pPr>
        <w:pStyle w:val="StandardWeb"/>
      </w:pPr>
      <w:r>
        <w:t>Da Anfangs- und Endzustand identisch sind, folgt</w:t>
      </w:r>
    </w:p>
    <w:p w:rsidR="00156BE1" w:rsidRDefault="00156BE1" w:rsidP="00156BE1">
      <w:pPr>
        <w:pStyle w:val="berschrift1"/>
      </w:pPr>
      <w:r>
        <w:t>[</w:t>
      </w:r>
      <w:r>
        <w:br/>
        <w:t>\Delta_{\gamma_C}Q_F</w:t>
      </w:r>
    </w:p>
    <w:p w:rsidR="00156BE1" w:rsidRDefault="00156BE1" w:rsidP="00152216">
      <w:pPr>
        <w:numPr>
          <w:ilvl w:val="0"/>
          <w:numId w:val="517"/>
        </w:numPr>
        <w:spacing w:before="100" w:beforeAutospacing="1" w:after="100" w:afterAutospacing="1"/>
      </w:pPr>
    </w:p>
    <w:p w:rsidR="00156BE1" w:rsidRDefault="00156BE1" w:rsidP="00156BE1">
      <w:pPr>
        <w:pStyle w:val="StandardWeb"/>
      </w:pPr>
      <w:r>
        <w:t>\tag{3.11711}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\Delta_{\gamma_C}Q_F=0</w:t>
      </w:r>
    </w:p>
    <w:p w:rsidR="00156BE1" w:rsidRDefault="00E50336" w:rsidP="00156BE1">
      <w:r>
        <w:pict>
          <v:rect id="_x0000_i4030" style="width:0;height:1.5pt" o:hralign="center" o:hrstd="t" o:hr="t" fillcolor="#a0a0a0" stroked="f"/>
        </w:pict>
      </w:r>
    </w:p>
    <w:p w:rsidR="00156BE1" w:rsidRDefault="00156BE1" w:rsidP="00156BE1">
      <w:pPr>
        <w:pStyle w:val="berschrift1"/>
      </w:pPr>
      <w:r>
        <w:lastRenderedPageBreak/>
        <w:t>3.3.47.154 Satz 3.3.114 – Zustandsfunktion besitzt auf geschlossenen Pfaden verschwindende Gesamtänderung</w:t>
      </w:r>
    </w:p>
    <w:p w:rsidR="00156BE1" w:rsidRDefault="00156BE1" w:rsidP="00156BE1">
      <w:pPr>
        <w:pStyle w:val="berschrift3"/>
      </w:pPr>
      <w:r>
        <w:t>Satz 3.3.114</w:t>
      </w:r>
    </w:p>
    <w:p w:rsidR="00156BE1" w:rsidRDefault="00156BE1" w:rsidP="00156BE1">
      <w:pPr>
        <w:pStyle w:val="StandardWeb"/>
      </w:pPr>
      <w:r>
        <w:t>Ist (Q_F) ausschließlich eine eindeutig definierte Funktion des funktionalen Zustands, dann gilt für jeden geschlossenen Übergangspfad</w:t>
      </w:r>
    </w:p>
    <w:p w:rsidR="00156BE1" w:rsidRDefault="00156BE1" w:rsidP="00156BE1">
      <w:pPr>
        <w:pStyle w:val="StandardWeb"/>
      </w:pPr>
      <w:r>
        <w:t>[</w:t>
      </w:r>
      <w:r>
        <w:br/>
        <w:t>\boxed{</w:t>
      </w:r>
      <w:r>
        <w:br/>
        <w:t>\Delta_{\gamma_C}Q_F=0.</w:t>
      </w:r>
      <w:r>
        <w:br/>
        <w:t>}</w:t>
      </w:r>
      <w:r>
        <w:br/>
        <w:t>\tag{3.11712}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\boxed{\Delta_{\gamma_C}Q_F=0.}</w:t>
      </w:r>
    </w:p>
    <w:p w:rsidR="00156BE1" w:rsidRDefault="00156BE1" w:rsidP="00156BE1">
      <w:pPr>
        <w:pStyle w:val="berschrift3"/>
      </w:pPr>
      <w:r>
        <w:t>Beweis</w:t>
      </w:r>
    </w:p>
    <w:p w:rsidR="00156BE1" w:rsidRDefault="00156BE1" w:rsidP="00156BE1">
      <w:pPr>
        <w:pStyle w:val="StandardWeb"/>
      </w:pPr>
      <w:r>
        <w:t>Für einen geschlossenen Pfad gilt</w:t>
      </w:r>
    </w:p>
    <w:p w:rsidR="00156BE1" w:rsidRDefault="00156BE1" w:rsidP="00156BE1">
      <w:pPr>
        <w:pStyle w:val="StandardWeb"/>
      </w:pPr>
      <w:r>
        <w:t>[</w:t>
      </w:r>
      <w:r>
        <w:br/>
        <w:t>z_{i_k}=z_{i_0}.</w:t>
      </w:r>
      <w:r>
        <w:br/>
        <w:t>\tag{3.11713}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z_{i_k}=z_{i_0}</w:t>
      </w:r>
    </w:p>
    <w:p w:rsidR="00156BE1" w:rsidRDefault="00156BE1" w:rsidP="00156BE1">
      <w:pPr>
        <w:pStyle w:val="StandardWeb"/>
      </w:pPr>
      <w:r>
        <w:t>Da (Q_F) eine Zustandsfunktion ist,</w:t>
      </w:r>
    </w:p>
    <w:p w:rsidR="00156BE1" w:rsidRDefault="00156BE1" w:rsidP="00156BE1">
      <w:pPr>
        <w:pStyle w:val="berschrift1"/>
      </w:pPr>
      <w:r>
        <w:t>[</w:t>
      </w:r>
      <w:r>
        <w:br/>
        <w:t>Q_F(z_{i_k})</w:t>
      </w:r>
    </w:p>
    <w:p w:rsidR="00156BE1" w:rsidRDefault="00156BE1" w:rsidP="00156BE1">
      <w:pPr>
        <w:pStyle w:val="StandardWeb"/>
      </w:pPr>
      <w:r>
        <w:t>Q_F(z_{i_0}).</w:t>
      </w:r>
      <w:r>
        <w:br/>
        <w:t>\tag{3.11714}</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Q_F(z_{i_k})=Q_F(z_{i_0})</w:t>
      </w:r>
    </w:p>
    <w:p w:rsidR="00156BE1" w:rsidRDefault="00156BE1" w:rsidP="00156BE1">
      <w:pPr>
        <w:pStyle w:val="StandardWeb"/>
      </w:pPr>
      <w:r>
        <w:t>Somit</w:t>
      </w:r>
    </w:p>
    <w:p w:rsidR="00156BE1" w:rsidRDefault="00156BE1" w:rsidP="00156BE1">
      <w:pPr>
        <w:pStyle w:val="berschrift2"/>
      </w:pPr>
      <w:r>
        <w:lastRenderedPageBreak/>
        <w:t>[</w:t>
      </w:r>
      <w:r>
        <w:br/>
        <w:t>Q_F(z_{i_k})</w:t>
      </w:r>
    </w:p>
    <w:p w:rsidR="00156BE1" w:rsidRDefault="00156BE1" w:rsidP="00156BE1">
      <w:pPr>
        <w:pStyle w:val="berschrift1"/>
      </w:pPr>
      <w:r>
        <w:t>Q_F(z_{i_0})</w:t>
      </w:r>
    </w:p>
    <w:p w:rsidR="00156BE1" w:rsidRDefault="00156BE1" w:rsidP="00152216">
      <w:pPr>
        <w:numPr>
          <w:ilvl w:val="0"/>
          <w:numId w:val="518"/>
        </w:numPr>
        <w:spacing w:before="100" w:beforeAutospacing="1" w:after="100" w:afterAutospacing="1"/>
      </w:pPr>
    </w:p>
    <w:p w:rsidR="00156BE1" w:rsidRDefault="00156BE1" w:rsidP="00156BE1">
      <w:pPr>
        <w:pStyle w:val="StandardWeb"/>
      </w:pPr>
      <w:r>
        <w:t>\tag{3.11715}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Q_F(z_{i_k})-Q_F(z_{i_0})=0</w:t>
      </w:r>
    </w:p>
    <w:p w:rsidR="00156BE1" w:rsidRDefault="00156BE1" w:rsidP="00156BE1">
      <w:pPr>
        <w:pStyle w:val="StandardWeb"/>
      </w:pPr>
      <w:r>
        <w:t>(\square)</w:t>
      </w:r>
    </w:p>
    <w:p w:rsidR="00156BE1" w:rsidRDefault="00E50336" w:rsidP="00156BE1">
      <w:r>
        <w:pict>
          <v:rect id="_x0000_i4031" style="width:0;height:1.5pt" o:hralign="center" o:hrstd="t" o:hr="t" fillcolor="#a0a0a0" stroked="f"/>
        </w:pict>
      </w:r>
    </w:p>
    <w:p w:rsidR="00156BE1" w:rsidRDefault="00156BE1" w:rsidP="00156BE1">
      <w:pPr>
        <w:pStyle w:val="berschrift1"/>
      </w:pPr>
      <w:r>
        <w:t>3.3.47.155 Wichtige Einschränkung des Zyklensatzes</w:t>
      </w:r>
    </w:p>
    <w:p w:rsidR="00156BE1" w:rsidRDefault="00156BE1" w:rsidP="00156BE1">
      <w:pPr>
        <w:pStyle w:val="StandardWeb"/>
      </w:pPr>
      <w:r>
        <w:t xml:space="preserve">Satz 3.3.114 betrifft die Änderung einer </w:t>
      </w:r>
      <w:r>
        <w:rPr>
          <w:rStyle w:val="Fett"/>
        </w:rPr>
        <w:t>Zustandsfunktion</w:t>
      </w:r>
      <w:r>
        <w:t>.</w:t>
      </w:r>
    </w:p>
    <w:p w:rsidR="00156BE1" w:rsidRDefault="00156BE1" w:rsidP="00156BE1">
      <w:pPr>
        <w:pStyle w:val="StandardWeb"/>
      </w:pPr>
      <w:r>
        <w:t>Er bedeutet nicht, dass sämtliche entlang eines Zyklus auftretenden Fluss-, Quellen- oder Verlustgrößen verschwinden.</w:t>
      </w:r>
    </w:p>
    <w:p w:rsidR="00156BE1" w:rsidRDefault="00156BE1" w:rsidP="00156BE1">
      <w:pPr>
        <w:pStyle w:val="StandardWeb"/>
      </w:pPr>
      <w:r>
        <w:t>Es kann insbesondere gelten</w:t>
      </w:r>
    </w:p>
    <w:p w:rsidR="00156BE1" w:rsidRDefault="00156BE1" w:rsidP="00156BE1">
      <w:pPr>
        <w:pStyle w:val="StandardWeb"/>
      </w:pPr>
      <w:r>
        <w:t>[</w:t>
      </w:r>
      <w:r>
        <w:br/>
        <w:t>G_{\gamma_C}&gt;0</w:t>
      </w:r>
      <w:r>
        <w:br/>
        <w:t>\tag{3.11716}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G_{\gamma_C}&gt;0</w:t>
      </w:r>
    </w:p>
    <w:p w:rsidR="00156BE1" w:rsidRDefault="00156BE1" w:rsidP="00156BE1">
      <w:pPr>
        <w:pStyle w:val="StandardWeb"/>
      </w:pPr>
      <w:r>
        <w:t>und gleichzeitig</w:t>
      </w:r>
    </w:p>
    <w:p w:rsidR="00156BE1" w:rsidRDefault="00156BE1" w:rsidP="00156BE1">
      <w:pPr>
        <w:pStyle w:val="StandardWeb"/>
      </w:pPr>
      <w:r>
        <w:t>[</w:t>
      </w:r>
      <w:r>
        <w:br/>
        <w:t>L_{\gamma_C}&gt;0,</w:t>
      </w:r>
      <w:r>
        <w:br/>
        <w:t>\tag{3.11717}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L_{\gamma_C}&gt;0</w:t>
      </w:r>
    </w:p>
    <w:p w:rsidR="00156BE1" w:rsidRDefault="00156BE1" w:rsidP="00156BE1">
      <w:pPr>
        <w:pStyle w:val="StandardWeb"/>
      </w:pPr>
      <w:r>
        <w:t>obwohl</w:t>
      </w:r>
    </w:p>
    <w:p w:rsidR="00156BE1" w:rsidRDefault="00156BE1" w:rsidP="00156BE1">
      <w:pPr>
        <w:pStyle w:val="StandardWeb"/>
      </w:pPr>
      <w:r>
        <w:lastRenderedPageBreak/>
        <w:t>[</w:t>
      </w:r>
      <w:r>
        <w:br/>
        <w:t>\Delta_{\gamma_C}Q_F=0.</w:t>
      </w:r>
      <w:r>
        <w:br/>
        <w:t>\tag{3.11718}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\Delta_{\gamma_C}Q_F=0</w:t>
      </w:r>
    </w:p>
    <w:p w:rsidR="00156BE1" w:rsidRDefault="00E50336" w:rsidP="00156BE1">
      <w:r>
        <w:pict>
          <v:rect id="_x0000_i4032" style="width:0;height:1.5pt" o:hralign="center" o:hrstd="t" o:hr="t" fillcolor="#a0a0a0" stroked="f"/>
        </w:pict>
      </w:r>
    </w:p>
    <w:p w:rsidR="00156BE1" w:rsidRDefault="00156BE1" w:rsidP="00156BE1">
      <w:pPr>
        <w:pStyle w:val="berschrift1"/>
      </w:pPr>
      <w:r>
        <w:t>3.3.47.156 Zyklische Gewinn-Verlust-Bilanz</w:t>
      </w:r>
    </w:p>
    <w:p w:rsidR="00156BE1" w:rsidRDefault="00156BE1" w:rsidP="00156BE1">
      <w:pPr>
        <w:pStyle w:val="StandardWeb"/>
      </w:pPr>
      <w:r>
        <w:t>Nach Korollar 3.3.21 folgt für einen geschlossenen Pfad</w:t>
      </w:r>
    </w:p>
    <w:p w:rsidR="00156BE1" w:rsidRDefault="00156BE1" w:rsidP="00156BE1">
      <w:pPr>
        <w:pStyle w:val="berschrift1"/>
      </w:pPr>
      <w:r>
        <w:t>[</w:t>
      </w:r>
      <w:r>
        <w:br/>
        <w:t>G_{\gamma_C}(Q_F)</w:t>
      </w:r>
    </w:p>
    <w:p w:rsidR="00156BE1" w:rsidRDefault="00156BE1" w:rsidP="00156BE1">
      <w:pPr>
        <w:pStyle w:val="StandardWeb"/>
      </w:pPr>
      <w:r>
        <w:t>L_{\gamma_C}(Q_F).</w:t>
      </w:r>
      <w:r>
        <w:br/>
        <w:t>\tag{3.11719}</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G_{\gamma_C}(Q_F)=L_{\gamma_C}(Q_F)</w:t>
      </w:r>
    </w:p>
    <w:p w:rsidR="00156BE1" w:rsidRDefault="00E50336" w:rsidP="00156BE1">
      <w:r>
        <w:pict>
          <v:rect id="_x0000_i4033" style="width:0;height:1.5pt" o:hralign="center" o:hrstd="t" o:hr="t" fillcolor="#a0a0a0" stroked="f"/>
        </w:pict>
      </w:r>
    </w:p>
    <w:p w:rsidR="00156BE1" w:rsidRDefault="00156BE1" w:rsidP="00156BE1">
      <w:pPr>
        <w:pStyle w:val="berschrift1"/>
      </w:pPr>
      <w:r>
        <w:t>3.3.47.157 Korollar 3.3.26 – Geschlossene Zustandszyklen besitzen ausgeglichene Gewinn-Verlust-Bilanz</w:t>
      </w:r>
    </w:p>
    <w:p w:rsidR="00156BE1" w:rsidRDefault="00156BE1" w:rsidP="00156BE1">
      <w:pPr>
        <w:pStyle w:val="berschrift3"/>
      </w:pPr>
      <w:r>
        <w:t>Korollar 3.3.26</w:t>
      </w:r>
    </w:p>
    <w:p w:rsidR="00156BE1" w:rsidRDefault="00156BE1" w:rsidP="00156BE1">
      <w:pPr>
        <w:pStyle w:val="StandardWeb"/>
      </w:pPr>
      <w:r>
        <w:t>Für jede zustandsabhängige skalare Größe (Q_F) gilt auf einem geschlossenen Übergangspfad</w:t>
      </w:r>
    </w:p>
    <w:p w:rsidR="00156BE1" w:rsidRDefault="00156BE1" w:rsidP="00156BE1">
      <w:pPr>
        <w:pStyle w:val="berschrift1"/>
      </w:pPr>
      <w:r>
        <w:t>[</w:t>
      </w:r>
      <w:r>
        <w:br/>
        <w:t>\boxed{</w:t>
      </w:r>
      <w:r>
        <w:br/>
        <w:t>G_{\gamma_C}(Q_F)</w:t>
      </w:r>
    </w:p>
    <w:p w:rsidR="00156BE1" w:rsidRDefault="00156BE1" w:rsidP="00156BE1">
      <w:pPr>
        <w:pStyle w:val="StandardWeb"/>
      </w:pPr>
      <w:r>
        <w:t>L_{\gamma_C}(Q_F).</w:t>
      </w:r>
      <w:r>
        <w:br/>
        <w:t>}</w:t>
      </w:r>
      <w:r>
        <w:br/>
        <w:t>\tag{3.11720}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lastRenderedPageBreak/>
        <w:t>\boxed{G_{\gamma_C}(Q_F)=L_{\gamma_C}(Q_F).}</w:t>
      </w:r>
    </w:p>
    <w:p w:rsidR="00156BE1" w:rsidRDefault="00E50336" w:rsidP="00156BE1">
      <w:r>
        <w:pict>
          <v:rect id="_x0000_i4034" style="width:0;height:1.5pt" o:hralign="center" o:hrstd="t" o:hr="t" fillcolor="#a0a0a0" stroked="f"/>
        </w:pict>
      </w:r>
    </w:p>
    <w:p w:rsidR="00156BE1" w:rsidRDefault="00156BE1" w:rsidP="00156BE1">
      <w:pPr>
        <w:pStyle w:val="berschrift1"/>
      </w:pPr>
      <w:r>
        <w:t>3.3.47.158 Zirkulation eines Flusses</w:t>
      </w:r>
    </w:p>
    <w:p w:rsidR="00156BE1" w:rsidRDefault="00156BE1" w:rsidP="00156BE1">
      <w:pPr>
        <w:pStyle w:val="StandardWeb"/>
      </w:pPr>
      <w:r>
        <w:t>Eine Flussgröße muss dagegen nicht als Differenz einer Zustandsfunktion darstellbar sein.</w:t>
      </w:r>
    </w:p>
    <w:p w:rsidR="00156BE1" w:rsidRDefault="00156BE1" w:rsidP="00156BE1">
      <w:pPr>
        <w:pStyle w:val="StandardWeb"/>
      </w:pPr>
      <w:r>
        <w:t>Für einen Zyklus kann deshalb eine Flusszirkulation</w:t>
      </w:r>
    </w:p>
    <w:p w:rsidR="00156BE1" w:rsidRDefault="00156BE1" w:rsidP="00156BE1">
      <w:pPr>
        <w:pStyle w:val="StandardWeb"/>
      </w:pPr>
      <w:r>
        <w:t>[</w:t>
      </w:r>
      <w:r>
        <w:br/>
        <w:t>\Gamma_J(\gamma_C)</w:t>
      </w:r>
      <w:r>
        <w:br/>
        <w:t>:=</w:t>
      </w:r>
      <w:r>
        <w:br/>
        <w:t>\sum_{e\in\gamma_C}</w:t>
      </w:r>
      <w:r>
        <w:br/>
        <w:t>J_e</w:t>
      </w:r>
      <w:r>
        <w:br/>
        <w:t>\tag{3.11721}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\Gamma_J(\gamma_C):=\sum_{e\in\gamma_C}J_e</w:t>
      </w:r>
    </w:p>
    <w:p w:rsidR="00156BE1" w:rsidRDefault="00156BE1" w:rsidP="00156BE1">
      <w:pPr>
        <w:pStyle w:val="StandardWeb"/>
      </w:pPr>
      <w:r>
        <w:t>definiert werden.</w:t>
      </w:r>
    </w:p>
    <w:p w:rsidR="00156BE1" w:rsidRDefault="00E50336" w:rsidP="00156BE1">
      <w:r>
        <w:pict>
          <v:rect id="_x0000_i4035" style="width:0;height:1.5pt" o:hralign="center" o:hrstd="t" o:hr="t" fillcolor="#a0a0a0" stroked="f"/>
        </w:pict>
      </w:r>
    </w:p>
    <w:p w:rsidR="00156BE1" w:rsidRDefault="00156BE1" w:rsidP="00156BE1">
      <w:pPr>
        <w:pStyle w:val="berschrift1"/>
      </w:pPr>
      <w:r>
        <w:t>3.3.47.159 Definition 3.3.273 – Funktionale Flusszirkulation</w:t>
      </w:r>
    </w:p>
    <w:p w:rsidR="00156BE1" w:rsidRDefault="00156BE1" w:rsidP="00156BE1">
      <w:pPr>
        <w:pStyle w:val="berschrift3"/>
      </w:pPr>
      <w:r>
        <w:t>Definition 3.3.273</w:t>
      </w:r>
    </w:p>
    <w:p w:rsidR="00156BE1" w:rsidRDefault="00156BE1" w:rsidP="00156BE1">
      <w:pPr>
        <w:pStyle w:val="StandardWeb"/>
      </w:pPr>
      <w:r>
        <w:t xml:space="preserve">Die </w:t>
      </w:r>
      <w:r>
        <w:rPr>
          <w:rStyle w:val="Fett"/>
        </w:rPr>
        <w:t>funktionale Flusszirkulation</w:t>
      </w:r>
      <w:r>
        <w:t xml:space="preserve"> entlang eines orientierten Bilanzzyklus (\gamma_C) ist</w:t>
      </w:r>
    </w:p>
    <w:p w:rsidR="00156BE1" w:rsidRDefault="00156BE1" w:rsidP="00156BE1">
      <w:pPr>
        <w:pStyle w:val="StandardWeb"/>
      </w:pPr>
      <w:r>
        <w:t>[</w:t>
      </w:r>
      <w:r>
        <w:br/>
        <w:t>\boxed{</w:t>
      </w:r>
      <w:r>
        <w:br/>
        <w:t>\Gamma_J(\gamma_C)</w:t>
      </w:r>
      <w:r>
        <w:br/>
        <w:t>:=</w:t>
      </w:r>
      <w:r>
        <w:br/>
        <w:t>\sum_{e\in\gamma_C}</w:t>
      </w:r>
      <w:r>
        <w:br/>
        <w:t>J_e.</w:t>
      </w:r>
      <w:r>
        <w:br/>
        <w:t>}</w:t>
      </w:r>
      <w:r>
        <w:br/>
        <w:t>\tag{3.11722}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\boxed{\Gamma_J(\gamma_C):=\sum_{e\in\gamma_C}J_e.}</w:t>
      </w:r>
    </w:p>
    <w:p w:rsidR="00156BE1" w:rsidRDefault="00E50336" w:rsidP="00156BE1">
      <w:r>
        <w:pict>
          <v:rect id="_x0000_i4036" style="width:0;height:1.5pt" o:hralign="center" o:hrstd="t" o:hr="t" fillcolor="#a0a0a0" stroked="f"/>
        </w:pict>
      </w:r>
    </w:p>
    <w:p w:rsidR="00156BE1" w:rsidRDefault="00156BE1" w:rsidP="00156BE1">
      <w:pPr>
        <w:pStyle w:val="berschrift1"/>
      </w:pPr>
      <w:r>
        <w:t>3.3.47.160 Zirkulationsfreier Fluss</w:t>
      </w:r>
    </w:p>
    <w:p w:rsidR="00156BE1" w:rsidRDefault="00156BE1" w:rsidP="00156BE1">
      <w:pPr>
        <w:pStyle w:val="StandardWeb"/>
      </w:pPr>
      <w:r>
        <w:lastRenderedPageBreak/>
        <w:t>Ein funktionaler Fluss heißt zirkulationsfrei, wenn</w:t>
      </w:r>
    </w:p>
    <w:p w:rsidR="00156BE1" w:rsidRDefault="00156BE1" w:rsidP="00156BE1">
      <w:pPr>
        <w:pStyle w:val="berschrift1"/>
      </w:pPr>
      <w:r>
        <w:t>[</w:t>
      </w:r>
      <w:r>
        <w:br/>
        <w:t>\Gamma_J(\gamma_C)</w:t>
      </w:r>
    </w:p>
    <w:p w:rsidR="00156BE1" w:rsidRDefault="00156BE1" w:rsidP="00156BE1">
      <w:pPr>
        <w:pStyle w:val="StandardWeb"/>
      </w:pPr>
      <w:r>
        <w:t>0</w:t>
      </w:r>
      <w:r>
        <w:br/>
        <w:t>\tag{3.11723}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\Gamma_J(\gamma_C)=0</w:t>
      </w:r>
    </w:p>
    <w:p w:rsidR="00156BE1" w:rsidRDefault="00156BE1" w:rsidP="00156BE1">
      <w:pPr>
        <w:pStyle w:val="StandardWeb"/>
      </w:pPr>
      <w:r>
        <w:t>für jeden zulässigen Bilanzzyklus gilt.</w:t>
      </w:r>
    </w:p>
    <w:p w:rsidR="00156BE1" w:rsidRDefault="00E50336" w:rsidP="00156BE1">
      <w:r>
        <w:pict>
          <v:rect id="_x0000_i4037" style="width:0;height:1.5pt" o:hralign="center" o:hrstd="t" o:hr="t" fillcolor="#a0a0a0" stroked="f"/>
        </w:pict>
      </w:r>
    </w:p>
    <w:p w:rsidR="00156BE1" w:rsidRDefault="00156BE1" w:rsidP="00156BE1">
      <w:pPr>
        <w:pStyle w:val="berschrift1"/>
      </w:pPr>
      <w:r>
        <w:t>3.3.47.161 Definition 3.3.274 – Zirkulationsfreier funktionaler Fluss</w:t>
      </w:r>
    </w:p>
    <w:p w:rsidR="00156BE1" w:rsidRDefault="00156BE1" w:rsidP="00156BE1">
      <w:pPr>
        <w:pStyle w:val="berschrift3"/>
      </w:pPr>
      <w:r>
        <w:t>Definition 3.3.274</w:t>
      </w:r>
    </w:p>
    <w:p w:rsidR="00156BE1" w:rsidRDefault="00156BE1" w:rsidP="00156BE1">
      <w:pPr>
        <w:pStyle w:val="StandardWeb"/>
      </w:pPr>
      <w:r>
        <w:t xml:space="preserve">Ein funktionaler Fluss (J_Q) heißt </w:t>
      </w:r>
      <w:r>
        <w:rPr>
          <w:rStyle w:val="Fett"/>
        </w:rPr>
        <w:t>zirkulationsfrei</w:t>
      </w:r>
      <w:r>
        <w:t>, wenn</w:t>
      </w:r>
    </w:p>
    <w:p w:rsidR="00156BE1" w:rsidRDefault="00156BE1" w:rsidP="00156BE1">
      <w:pPr>
        <w:pStyle w:val="StandardWeb"/>
      </w:pPr>
      <w:r>
        <w:t>[</w:t>
      </w:r>
      <w:r>
        <w:br/>
        <w:t>\boxed{</w:t>
      </w:r>
      <w:r>
        <w:br/>
        <w:t>\Gamma_J(\gamma_C)=0</w:t>
      </w:r>
      <w:r>
        <w:br/>
        <w:t>\qquad</w:t>
      </w:r>
      <w:r>
        <w:br/>
        <w:t>\forall\gamma_C.</w:t>
      </w:r>
      <w:r>
        <w:br/>
        <w:t>}</w:t>
      </w:r>
      <w:r>
        <w:br/>
        <w:t>\tag{3.11724}</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\boxed{\Gamma_J(\gamma_C)=0\qquad\forall\gamma_C.}</w:t>
      </w:r>
    </w:p>
    <w:p w:rsidR="00156BE1" w:rsidRDefault="00E50336" w:rsidP="00156BE1">
      <w:r>
        <w:pict>
          <v:rect id="_x0000_i4038" style="width:0;height:1.5pt" o:hralign="center" o:hrstd="t" o:hr="t" fillcolor="#a0a0a0" stroked="f"/>
        </w:pict>
      </w:r>
    </w:p>
    <w:p w:rsidR="00156BE1" w:rsidRDefault="00156BE1" w:rsidP="00156BE1">
      <w:pPr>
        <w:pStyle w:val="berschrift1"/>
      </w:pPr>
      <w:r>
        <w:t>3.3.47.162 Potenzialdarstellung eines Flusses</w:t>
      </w:r>
    </w:p>
    <w:p w:rsidR="00156BE1" w:rsidRDefault="00156BE1" w:rsidP="00156BE1">
      <w:pPr>
        <w:pStyle w:val="StandardWeb"/>
      </w:pPr>
      <w:r>
        <w:t>Eine mögliche zusätzliche Modellstruktur besteht darin, einen Fluss als Differenz eines funktionalen Potenzials (\Phi_Q) darzustellen:</w:t>
      </w:r>
    </w:p>
    <w:p w:rsidR="00156BE1" w:rsidRDefault="00156BE1" w:rsidP="00156BE1">
      <w:pPr>
        <w:pStyle w:val="berschrift1"/>
      </w:pPr>
      <w:r>
        <w:t>[</w:t>
      </w:r>
      <w:r>
        <w:br/>
        <w:t>J_Q(z_i,z_j)</w:t>
      </w:r>
    </w:p>
    <w:p w:rsidR="00156BE1" w:rsidRDefault="00156BE1" w:rsidP="00156BE1">
      <w:pPr>
        <w:pStyle w:val="berschrift2"/>
      </w:pPr>
      <w:r>
        <w:t>\Phi_Q(z_i)</w:t>
      </w:r>
    </w:p>
    <w:p w:rsidR="00156BE1" w:rsidRDefault="00156BE1" w:rsidP="00156BE1">
      <w:pPr>
        <w:pStyle w:val="StandardWeb"/>
      </w:pPr>
      <w:r>
        <w:lastRenderedPageBreak/>
        <w:t>\Phi_Q(z_j).</w:t>
      </w:r>
      <w:r>
        <w:br/>
        <w:t>\tag{3.11725}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J_Q(z_i,z_j)=\Phi_Q(z_i)-\Phi_Q(z_j)</w:t>
      </w:r>
    </w:p>
    <w:p w:rsidR="00156BE1" w:rsidRDefault="00E50336" w:rsidP="00156BE1">
      <w:r>
        <w:pict>
          <v:rect id="_x0000_i4039" style="width:0;height:1.5pt" o:hralign="center" o:hrstd="t" o:hr="t" fillcolor="#a0a0a0" stroked="f"/>
        </w:pict>
      </w:r>
    </w:p>
    <w:p w:rsidR="00156BE1" w:rsidRDefault="00156BE1" w:rsidP="00156BE1">
      <w:pPr>
        <w:pStyle w:val="berschrift1"/>
      </w:pPr>
      <w:r>
        <w:t>3.3.47.163 Definition 3.3.275 – Potenzialerzeugter funktionaler Fluss</w:t>
      </w:r>
    </w:p>
    <w:p w:rsidR="00156BE1" w:rsidRDefault="00156BE1" w:rsidP="00156BE1">
      <w:pPr>
        <w:pStyle w:val="berschrift3"/>
      </w:pPr>
      <w:r>
        <w:t>Definition 3.3.275</w:t>
      </w:r>
    </w:p>
    <w:p w:rsidR="00156BE1" w:rsidRDefault="00156BE1" w:rsidP="00156BE1">
      <w:pPr>
        <w:pStyle w:val="StandardWeb"/>
      </w:pPr>
      <w:r>
        <w:t xml:space="preserve">Ein funktionaler Fluss heißt </w:t>
      </w:r>
      <w:r>
        <w:rPr>
          <w:rStyle w:val="Fett"/>
        </w:rPr>
        <w:t>potenzialerzeugt</w:t>
      </w:r>
      <w:r>
        <w:t>, wenn eine skalare Funktion</w:t>
      </w:r>
    </w:p>
    <w:p w:rsidR="00156BE1" w:rsidRDefault="00156BE1" w:rsidP="00156BE1">
      <w:pPr>
        <w:pStyle w:val="StandardWeb"/>
      </w:pPr>
      <w:r>
        <w:t>[</w:t>
      </w:r>
      <w:r>
        <w:br/>
        <w:t>\Phi_Q:</w:t>
      </w:r>
      <w:r>
        <w:br/>
        <w:t>V_Q</w:t>
      </w:r>
      <w:r>
        <w:br/>
        <w:t>\rightarrow</w:t>
      </w:r>
      <w:r>
        <w:br/>
        <w:t>\mathbb R</w:t>
      </w:r>
      <w:r>
        <w:br/>
        <w:t>\tag{3.11726}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\Phi_Q:V_Q\rightarrow\mathbb R</w:t>
      </w:r>
    </w:p>
    <w:p w:rsidR="00156BE1" w:rsidRDefault="00156BE1" w:rsidP="00156BE1">
      <w:pPr>
        <w:pStyle w:val="StandardWeb"/>
      </w:pPr>
      <w:r>
        <w:t>existiert, sodass</w:t>
      </w:r>
    </w:p>
    <w:p w:rsidR="00156BE1" w:rsidRDefault="00156BE1" w:rsidP="00156BE1">
      <w:pPr>
        <w:pStyle w:val="berschrift1"/>
      </w:pPr>
      <w:r>
        <w:t>[</w:t>
      </w:r>
      <w:r>
        <w:br/>
        <w:t>\boxed{</w:t>
      </w:r>
      <w:r>
        <w:br/>
        <w:t>J_Q(z_i,z_j)</w:t>
      </w:r>
    </w:p>
    <w:p w:rsidR="00156BE1" w:rsidRDefault="00156BE1" w:rsidP="00156BE1">
      <w:pPr>
        <w:pStyle w:val="berschrift2"/>
      </w:pPr>
      <w:r>
        <w:t>\Phi_Q(z_i)</w:t>
      </w:r>
    </w:p>
    <w:p w:rsidR="00156BE1" w:rsidRDefault="00156BE1" w:rsidP="00156BE1">
      <w:pPr>
        <w:pStyle w:val="StandardWeb"/>
      </w:pPr>
      <w:r>
        <w:t>\Phi_Q(z_j).</w:t>
      </w:r>
      <w:r>
        <w:br/>
        <w:t>}</w:t>
      </w:r>
      <w:r>
        <w:br/>
        <w:t>\tag{3.11727}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\boxed{J_Q(z_i,z_j)=\Phi_Q(z_i)-\Phi_Q(z_j).}</w:t>
      </w:r>
    </w:p>
    <w:p w:rsidR="00156BE1" w:rsidRDefault="00E50336" w:rsidP="00156BE1">
      <w:r>
        <w:pict>
          <v:rect id="_x0000_i4040" style="width:0;height:1.5pt" o:hralign="center" o:hrstd="t" o:hr="t" fillcolor="#a0a0a0" stroked="f"/>
        </w:pict>
      </w:r>
    </w:p>
    <w:p w:rsidR="00156BE1" w:rsidRDefault="00156BE1" w:rsidP="00156BE1">
      <w:pPr>
        <w:pStyle w:val="berschrift1"/>
      </w:pPr>
      <w:r>
        <w:lastRenderedPageBreak/>
        <w:t>3.3.47.164 Satz 3.3.115 – Potenzialerzeugte Flüsse sind zirkulationsfrei</w:t>
      </w:r>
    </w:p>
    <w:p w:rsidR="00156BE1" w:rsidRDefault="00156BE1" w:rsidP="00156BE1">
      <w:pPr>
        <w:pStyle w:val="berschrift3"/>
      </w:pPr>
      <w:r>
        <w:t>Satz 3.3.115</w:t>
      </w:r>
    </w:p>
    <w:p w:rsidR="00156BE1" w:rsidRDefault="00156BE1" w:rsidP="00156BE1">
      <w:pPr>
        <w:pStyle w:val="StandardWeb"/>
      </w:pPr>
      <w:r>
        <w:t>Ist ein funktionaler Fluss potenzialerzeugt, dann gilt für jeden geschlossenen Zyklus</w:t>
      </w:r>
    </w:p>
    <w:p w:rsidR="00156BE1" w:rsidRDefault="00156BE1" w:rsidP="00156BE1">
      <w:pPr>
        <w:pStyle w:val="StandardWeb"/>
      </w:pPr>
      <w:r>
        <w:t>[</w:t>
      </w:r>
      <w:r>
        <w:br/>
        <w:t>\boxed{</w:t>
      </w:r>
      <w:r>
        <w:br/>
        <w:t>\Gamma_J(\gamma_C)=0.</w:t>
      </w:r>
      <w:r>
        <w:br/>
        <w:t>}</w:t>
      </w:r>
      <w:r>
        <w:br/>
        <w:t>\tag{3.11728}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\boxed{\Gamma_J(\gamma_C)=0.}</w:t>
      </w:r>
    </w:p>
    <w:p w:rsidR="00156BE1" w:rsidRDefault="00156BE1" w:rsidP="00156BE1">
      <w:pPr>
        <w:pStyle w:val="berschrift3"/>
      </w:pPr>
      <w:r>
        <w:t>Beweis</w:t>
      </w:r>
    </w:p>
    <w:p w:rsidR="00156BE1" w:rsidRDefault="00156BE1" w:rsidP="00156BE1">
      <w:pPr>
        <w:pStyle w:val="StandardWeb"/>
      </w:pPr>
      <w:r>
        <w:t>Für einen Zyklus</w:t>
      </w:r>
    </w:p>
    <w:p w:rsidR="00156BE1" w:rsidRDefault="00156BE1" w:rsidP="00156BE1">
      <w:pPr>
        <w:pStyle w:val="berschrift1"/>
      </w:pPr>
      <w:r>
        <w:t>[</w:t>
      </w:r>
      <w:r>
        <w:br/>
        <w:t>z_{i_0}</w:t>
      </w:r>
      <w:r>
        <w:br/>
        <w:t>\rightarrow</w:t>
      </w:r>
      <w:r>
        <w:br/>
        <w:t>z_{i_1}</w:t>
      </w:r>
      <w:r>
        <w:br/>
        <w:t>\rightarrow\cdots\rightarrow</w:t>
      </w:r>
      <w:r>
        <w:br/>
        <w:t>z_{i_k}</w:t>
      </w:r>
    </w:p>
    <w:p w:rsidR="00156BE1" w:rsidRDefault="00156BE1" w:rsidP="00156BE1">
      <w:pPr>
        <w:pStyle w:val="StandardWeb"/>
      </w:pPr>
      <w:r>
        <w:t>z_{i_0}</w:t>
      </w:r>
      <w:r>
        <w:br/>
        <w:t>\tag{3.11729}</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z_{i_0}\rightarrow z_{i_1}\rightarrow\cdots\rightarrow z_{i_k}=z_{i_0}</w:t>
      </w:r>
    </w:p>
    <w:p w:rsidR="00156BE1" w:rsidRDefault="00156BE1" w:rsidP="00156BE1">
      <w:pPr>
        <w:pStyle w:val="StandardWeb"/>
      </w:pPr>
      <w:r>
        <w:t>gilt</w:t>
      </w:r>
    </w:p>
    <w:p w:rsidR="00156BE1" w:rsidRDefault="00156BE1" w:rsidP="00156BE1">
      <w:pPr>
        <w:pStyle w:val="berschrift1"/>
      </w:pPr>
      <w:r>
        <w:t>[</w:t>
      </w:r>
      <w:r>
        <w:br/>
        <w:t>\Gamma_J</w:t>
      </w:r>
    </w:p>
    <w:p w:rsidR="00156BE1" w:rsidRDefault="00156BE1" w:rsidP="00156BE1">
      <w:pPr>
        <w:pStyle w:val="berschrift2"/>
      </w:pPr>
      <w:r>
        <w:lastRenderedPageBreak/>
        <w:t>\sum_{r=0}^{k-1}</w:t>
      </w:r>
      <w:r>
        <w:br/>
        <w:t>\left[</w:t>
      </w:r>
      <w:r>
        <w:br/>
        <w:t>\Phi_Q(z_{i_r})</w:t>
      </w:r>
    </w:p>
    <w:p w:rsidR="00156BE1" w:rsidRDefault="00156BE1" w:rsidP="00156BE1">
      <w:pPr>
        <w:pStyle w:val="StandardWeb"/>
      </w:pPr>
      <w:r>
        <w:t>\Phi_Q(z_{i_{r+1}})</w:t>
      </w:r>
      <w:r>
        <w:br/>
        <w:t>\right].</w:t>
      </w:r>
      <w:r>
        <w:br/>
        <w:t>\tag{3.11730}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\Gamma_J=\sum_{r=0}^{k-1}\left[\Phi_Q(z_{i_r})-\Phi_Q(z_{i_{r+1}})\right]</w:t>
      </w:r>
    </w:p>
    <w:p w:rsidR="00156BE1" w:rsidRDefault="00156BE1" w:rsidP="00156BE1">
      <w:pPr>
        <w:pStyle w:val="StandardWeb"/>
      </w:pPr>
      <w:r>
        <w:t>Die Summe teleskopiert zu</w:t>
      </w:r>
    </w:p>
    <w:p w:rsidR="00156BE1" w:rsidRDefault="00156BE1" w:rsidP="00156BE1">
      <w:pPr>
        <w:pStyle w:val="berschrift2"/>
      </w:pPr>
      <w:r>
        <w:t>[</w:t>
      </w:r>
      <w:r>
        <w:br/>
        <w:t>\Phi_Q(z_{i_0})</w:t>
      </w:r>
    </w:p>
    <w:p w:rsidR="00156BE1" w:rsidRDefault="00156BE1" w:rsidP="00156BE1">
      <w:pPr>
        <w:pStyle w:val="berschrift1"/>
      </w:pPr>
      <w:r>
        <w:t>\Phi_Q(z_{i_k})</w:t>
      </w:r>
    </w:p>
    <w:p w:rsidR="00156BE1" w:rsidRDefault="00156BE1" w:rsidP="00152216">
      <w:pPr>
        <w:numPr>
          <w:ilvl w:val="0"/>
          <w:numId w:val="519"/>
        </w:numPr>
        <w:spacing w:before="100" w:beforeAutospacing="1" w:after="100" w:afterAutospacing="1"/>
      </w:pPr>
    </w:p>
    <w:p w:rsidR="00156BE1" w:rsidRDefault="00156BE1" w:rsidP="00156BE1">
      <w:pPr>
        <w:pStyle w:val="StandardWeb"/>
      </w:pPr>
      <w:r>
        <w:t>\tag{3.11731}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\Phi_Q(z_{i_0})-\Phi_Q(z_{i_k})=0</w:t>
      </w:r>
    </w:p>
    <w:p w:rsidR="00156BE1" w:rsidRDefault="00156BE1" w:rsidP="00156BE1">
      <w:pPr>
        <w:pStyle w:val="StandardWeb"/>
      </w:pPr>
      <w:r>
        <w:t>(\square)</w:t>
      </w:r>
    </w:p>
    <w:p w:rsidR="00156BE1" w:rsidRDefault="00E50336" w:rsidP="00156BE1">
      <w:r>
        <w:pict>
          <v:rect id="_x0000_i4041" style="width:0;height:1.5pt" o:hralign="center" o:hrstd="t" o:hr="t" fillcolor="#a0a0a0" stroked="f"/>
        </w:pict>
      </w:r>
    </w:p>
    <w:p w:rsidR="00156BE1" w:rsidRDefault="00156BE1" w:rsidP="00156BE1">
      <w:pPr>
        <w:pStyle w:val="berschrift1"/>
      </w:pPr>
      <w:r>
        <w:t>3.3.47.165 Umkehrung nur unter Zusatzbedingungen</w:t>
      </w:r>
    </w:p>
    <w:p w:rsidR="00156BE1" w:rsidRDefault="00156BE1" w:rsidP="00156BE1">
      <w:pPr>
        <w:pStyle w:val="StandardWeb"/>
      </w:pPr>
      <w:r>
        <w:t>Aus</w:t>
      </w:r>
    </w:p>
    <w:p w:rsidR="00156BE1" w:rsidRDefault="00156BE1" w:rsidP="00156BE1">
      <w:pPr>
        <w:pStyle w:val="StandardWeb"/>
      </w:pPr>
      <w:r>
        <w:t>[</w:t>
      </w:r>
      <w:r>
        <w:br/>
        <w:t>\Gamma_J(\gamma_C)=0</w:t>
      </w:r>
      <w:r>
        <w:br/>
        <w:t>\qquad</w:t>
      </w:r>
      <w:r>
        <w:br/>
        <w:t>\forall\gamma_C</w:t>
      </w:r>
      <w:r>
        <w:br/>
        <w:t>\tag{3.11732}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\Gamma_J(\gamma_C)=0\qquad\forall\gamma_C</w:t>
      </w:r>
    </w:p>
    <w:p w:rsidR="00156BE1" w:rsidRDefault="00156BE1" w:rsidP="00156BE1">
      <w:pPr>
        <w:pStyle w:val="StandardWeb"/>
      </w:pPr>
      <w:r>
        <w:lastRenderedPageBreak/>
        <w:t>folgt nicht ohne zusätzliche Voraussetzungen automatisch eine globale Potenzialdarstellung.</w:t>
      </w:r>
    </w:p>
    <w:p w:rsidR="00156BE1" w:rsidRDefault="00156BE1" w:rsidP="00156BE1">
      <w:pPr>
        <w:pStyle w:val="StandardWeb"/>
      </w:pPr>
      <w:r>
        <w:t>Notwendig sind unter anderem geeignete Zusammenhangsbedingungen des zugrunde liegenden Netzwerks.</w:t>
      </w:r>
    </w:p>
    <w:p w:rsidR="00156BE1" w:rsidRDefault="00156BE1" w:rsidP="00156BE1">
      <w:pPr>
        <w:pStyle w:val="StandardWeb"/>
      </w:pPr>
      <w:r>
        <w:t>Daher gilt allgemein zunächst nur</w:t>
      </w:r>
    </w:p>
    <w:p w:rsidR="00156BE1" w:rsidRDefault="00156BE1" w:rsidP="00156BE1">
      <w:pPr>
        <w:pStyle w:val="StandardWeb"/>
      </w:pPr>
      <w:r>
        <w:t>[</w:t>
      </w:r>
      <w:r>
        <w:br/>
        <w:t>J_Q</w:t>
      </w:r>
      <w:r>
        <w:br/>
        <w:t>\text{ potenzialerzeugt}</w:t>
      </w:r>
      <w:r>
        <w:br/>
        <w:t>\Rightarrow</w:t>
      </w:r>
      <w:r>
        <w:br/>
        <w:t>J_Q</w:t>
      </w:r>
      <w:r>
        <w:br/>
        <w:t>\text{ zirkulationsfrei}.</w:t>
      </w:r>
      <w:r>
        <w:br/>
        <w:t>\tag{3.11733}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J_Q\text{ potenzialerzeugt}\Rightarrow J_Q\text{ zirkulationsfrei}</w:t>
      </w:r>
    </w:p>
    <w:p w:rsidR="00156BE1" w:rsidRDefault="00E50336" w:rsidP="00156BE1">
      <w:r>
        <w:pict>
          <v:rect id="_x0000_i4042" style="width:0;height:1.5pt" o:hralign="center" o:hrstd="t" o:hr="t" fillcolor="#a0a0a0" stroked="f"/>
        </w:pict>
      </w:r>
    </w:p>
    <w:p w:rsidR="00156BE1" w:rsidRDefault="00156BE1" w:rsidP="00156BE1">
      <w:pPr>
        <w:pStyle w:val="berschrift1"/>
      </w:pPr>
      <w:r>
        <w:t>3.3.47.166 Funktionaler Bilanzdefekt</w:t>
      </w:r>
    </w:p>
    <w:p w:rsidR="00156BE1" w:rsidRDefault="00156BE1" w:rsidP="00156BE1">
      <w:pPr>
        <w:pStyle w:val="StandardWeb"/>
      </w:pPr>
      <w:r>
        <w:t>Die bisherigen Bilanzgleichungen können in realen oder numerisch approximierten Modellen verletzt sein.</w:t>
      </w:r>
    </w:p>
    <w:p w:rsidR="00156BE1" w:rsidRDefault="00156BE1" w:rsidP="00156BE1">
      <w:pPr>
        <w:pStyle w:val="StandardWeb"/>
      </w:pPr>
      <w:r>
        <w:t>Für die diskrete Bilanz</w:t>
      </w:r>
    </w:p>
    <w:p w:rsidR="00156BE1" w:rsidRDefault="00156BE1" w:rsidP="00156BE1">
      <w:pPr>
        <w:pStyle w:val="berschrift1"/>
      </w:pPr>
      <w:r>
        <w:t>[</w:t>
      </w:r>
      <w:r>
        <w:br/>
        <w:t>\Delta_TQ_F</w:t>
      </w:r>
    </w:p>
    <w:p w:rsidR="00156BE1" w:rsidRDefault="00156BE1" w:rsidP="00156BE1">
      <w:pPr>
        <w:pStyle w:val="StandardWeb"/>
      </w:pPr>
      <w:r>
        <w:t>\Sigma_Q</w:t>
      </w:r>
      <w:r>
        <w:br/>
        <w:t>+</w:t>
      </w:r>
      <w:r>
        <w:br/>
        <w:t>J_Q^{\mathrm{net}}</w:t>
      </w:r>
      <w:r>
        <w:br/>
        <w:t>\tag{3.11734}</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\Delta_TQ_F=\Sigma_Q+J_Q^{\mathrm{net}}</w:t>
      </w:r>
    </w:p>
    <w:p w:rsidR="00156BE1" w:rsidRDefault="00156BE1" w:rsidP="00156BE1">
      <w:pPr>
        <w:pStyle w:val="StandardWeb"/>
      </w:pPr>
      <w:r>
        <w:t>definiere ich deshalb ein Residuum</w:t>
      </w:r>
    </w:p>
    <w:p w:rsidR="00156BE1" w:rsidRDefault="00156BE1" w:rsidP="00156BE1">
      <w:pPr>
        <w:pStyle w:val="berschrift2"/>
      </w:pPr>
      <w:r>
        <w:t>[</w:t>
      </w:r>
      <w:r>
        <w:br/>
        <w:t>R_B</w:t>
      </w:r>
      <w:r>
        <w:br/>
        <w:t>:=</w:t>
      </w:r>
      <w:r>
        <w:br/>
        <w:t>\Delta_TQ_F</w:t>
      </w:r>
    </w:p>
    <w:p w:rsidR="00156BE1" w:rsidRDefault="00156BE1" w:rsidP="00156BE1">
      <w:pPr>
        <w:pStyle w:val="berschrift2"/>
      </w:pPr>
      <w:r>
        <w:lastRenderedPageBreak/>
        <w:t>\Sigma_Q</w:t>
      </w:r>
    </w:p>
    <w:p w:rsidR="00156BE1" w:rsidRDefault="00156BE1" w:rsidP="00156BE1">
      <w:pPr>
        <w:pStyle w:val="StandardWeb"/>
      </w:pPr>
      <w:r>
        <w:t>J_Q^{\mathrm{net}}.</w:t>
      </w:r>
      <w:r>
        <w:br/>
        <w:t>\tag{3.11735}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R_B:=\Delta_TQ_F-\Sigma_Q-J_Q^{\mathrm{net}}</w:t>
      </w:r>
    </w:p>
    <w:p w:rsidR="00156BE1" w:rsidRDefault="00E50336" w:rsidP="00156BE1">
      <w:r>
        <w:pict>
          <v:rect id="_x0000_i4043" style="width:0;height:1.5pt" o:hralign="center" o:hrstd="t" o:hr="t" fillcolor="#a0a0a0" stroked="f"/>
        </w:pict>
      </w:r>
    </w:p>
    <w:p w:rsidR="00156BE1" w:rsidRDefault="00156BE1" w:rsidP="00156BE1">
      <w:pPr>
        <w:pStyle w:val="berschrift1"/>
      </w:pPr>
      <w:r>
        <w:t>3.3.47.167 Definition 3.3.276 – Funktionales Bilanzresiduum</w:t>
      </w:r>
    </w:p>
    <w:p w:rsidR="00156BE1" w:rsidRDefault="00156BE1" w:rsidP="00156BE1">
      <w:pPr>
        <w:pStyle w:val="berschrift3"/>
      </w:pPr>
      <w:r>
        <w:t>Definition 3.3.276</w:t>
      </w:r>
    </w:p>
    <w:p w:rsidR="00156BE1" w:rsidRDefault="00156BE1" w:rsidP="00156BE1">
      <w:pPr>
        <w:pStyle w:val="StandardWeb"/>
      </w:pPr>
      <w:r>
        <w:t xml:space="preserve">Das </w:t>
      </w:r>
      <w:r>
        <w:rPr>
          <w:rStyle w:val="Fett"/>
        </w:rPr>
        <w:t>funktionale Bilanzresiduum</w:t>
      </w:r>
      <w:r>
        <w:t xml:space="preserve"> einer diskreten Bilanzstruktur ist</w:t>
      </w:r>
    </w:p>
    <w:p w:rsidR="00156BE1" w:rsidRDefault="00156BE1" w:rsidP="00156BE1">
      <w:pPr>
        <w:pStyle w:val="berschrift2"/>
      </w:pPr>
      <w:r>
        <w:t>[</w:t>
      </w:r>
      <w:r>
        <w:br/>
        <w:t>\boxed{</w:t>
      </w:r>
      <w:r>
        <w:br/>
        <w:t>R_B</w:t>
      </w:r>
      <w:r>
        <w:br/>
        <w:t>:=</w:t>
      </w:r>
      <w:r>
        <w:br/>
        <w:t>\Delta_TQ_F</w:t>
      </w:r>
    </w:p>
    <w:p w:rsidR="00156BE1" w:rsidRDefault="00156BE1" w:rsidP="00156BE1">
      <w:pPr>
        <w:pStyle w:val="berschrift2"/>
      </w:pPr>
      <w:r>
        <w:t>\Sigma_Q</w:t>
      </w:r>
    </w:p>
    <w:p w:rsidR="00156BE1" w:rsidRDefault="00156BE1" w:rsidP="00156BE1">
      <w:pPr>
        <w:pStyle w:val="StandardWeb"/>
      </w:pPr>
      <w:r>
        <w:t>J_Q^{\mathrm{net}}.</w:t>
      </w:r>
      <w:r>
        <w:br/>
        <w:t>}</w:t>
      </w:r>
      <w:r>
        <w:br/>
        <w:t>\tag{3.11736}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\boxed{R_B:=\Delta_TQ_F-\Sigma_Q-J_Q^{\mathrm{net}}.}</w:t>
      </w:r>
    </w:p>
    <w:p w:rsidR="00156BE1" w:rsidRDefault="00E50336" w:rsidP="00156BE1">
      <w:r>
        <w:pict>
          <v:rect id="_x0000_i4044" style="width:0;height:1.5pt" o:hralign="center" o:hrstd="t" o:hr="t" fillcolor="#a0a0a0" stroked="f"/>
        </w:pict>
      </w:r>
    </w:p>
    <w:p w:rsidR="00156BE1" w:rsidRDefault="00156BE1" w:rsidP="00156BE1">
      <w:pPr>
        <w:pStyle w:val="berschrift1"/>
      </w:pPr>
      <w:r>
        <w:t>3.3.47.168 Exakte Bilanzgeschlossenheit</w:t>
      </w:r>
    </w:p>
    <w:p w:rsidR="00156BE1" w:rsidRDefault="00156BE1" w:rsidP="00156BE1">
      <w:pPr>
        <w:pStyle w:val="StandardWeb"/>
      </w:pPr>
      <w:r>
        <w:t>Eine Bilanz ist exakt erfüllt, wenn</w:t>
      </w:r>
    </w:p>
    <w:p w:rsidR="00156BE1" w:rsidRDefault="00156BE1" w:rsidP="00156BE1">
      <w:pPr>
        <w:pStyle w:val="StandardWeb"/>
      </w:pPr>
      <w:r>
        <w:t>[</w:t>
      </w:r>
      <w:r>
        <w:br/>
        <w:t>R_B=0.</w:t>
      </w:r>
      <w:r>
        <w:br/>
        <w:t>\tag{3.11737}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lastRenderedPageBreak/>
        <w:t>R_B=0</w:t>
      </w:r>
    </w:p>
    <w:p w:rsidR="00156BE1" w:rsidRDefault="00E50336" w:rsidP="00156BE1">
      <w:r>
        <w:pict>
          <v:rect id="_x0000_i4045" style="width:0;height:1.5pt" o:hralign="center" o:hrstd="t" o:hr="t" fillcolor="#a0a0a0" stroked="f"/>
        </w:pict>
      </w:r>
    </w:p>
    <w:p w:rsidR="00156BE1" w:rsidRDefault="00156BE1" w:rsidP="00156BE1">
      <w:pPr>
        <w:pStyle w:val="berschrift1"/>
      </w:pPr>
      <w:r>
        <w:t>3.3.47.169 Definition 3.3.277 – Exakt bilanzgeschlossenes Übergangsmodell</w:t>
      </w:r>
    </w:p>
    <w:p w:rsidR="00156BE1" w:rsidRDefault="00156BE1" w:rsidP="00156BE1">
      <w:pPr>
        <w:pStyle w:val="berschrift3"/>
      </w:pPr>
      <w:r>
        <w:t>Definition 3.3.277</w:t>
      </w:r>
    </w:p>
    <w:p w:rsidR="00156BE1" w:rsidRDefault="00156BE1" w:rsidP="00156BE1">
      <w:pPr>
        <w:pStyle w:val="StandardWeb"/>
      </w:pPr>
      <w:r>
        <w:t xml:space="preserve">Ein funktionales Übergangsmodell heißt </w:t>
      </w:r>
      <w:r>
        <w:rPr>
          <w:rStyle w:val="Fett"/>
        </w:rPr>
        <w:t>exakt bilanzgeschlossen</w:t>
      </w:r>
      <w:r>
        <w:t>, wenn</w:t>
      </w:r>
    </w:p>
    <w:p w:rsidR="00156BE1" w:rsidRDefault="00156BE1" w:rsidP="00156BE1">
      <w:pPr>
        <w:pStyle w:val="StandardWeb"/>
      </w:pPr>
      <w:r>
        <w:t>[</w:t>
      </w:r>
      <w:r>
        <w:br/>
        <w:t>\boxed{</w:t>
      </w:r>
      <w:r>
        <w:br/>
        <w:t>R_B=0.</w:t>
      </w:r>
      <w:r>
        <w:br/>
        <w:t>}</w:t>
      </w:r>
      <w:r>
        <w:br/>
        <w:t>\tag{3.11738}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\boxed{R_B=0.}</w:t>
      </w:r>
    </w:p>
    <w:p w:rsidR="00156BE1" w:rsidRDefault="00E50336" w:rsidP="00156BE1">
      <w:r>
        <w:pict>
          <v:rect id="_x0000_i4046" style="width:0;height:1.5pt" o:hralign="center" o:hrstd="t" o:hr="t" fillcolor="#a0a0a0" stroked="f"/>
        </w:pict>
      </w:r>
    </w:p>
    <w:p w:rsidR="00156BE1" w:rsidRDefault="00156BE1" w:rsidP="00156BE1">
      <w:pPr>
        <w:pStyle w:val="berschrift1"/>
      </w:pPr>
      <w:r>
        <w:t>3.3.47.170 Bilanzdefekt</w:t>
      </w:r>
    </w:p>
    <w:p w:rsidR="00156BE1" w:rsidRDefault="00156BE1" w:rsidP="00156BE1">
      <w:pPr>
        <w:pStyle w:val="StandardWeb"/>
      </w:pPr>
      <w:r>
        <w:t>Ist dagegen</w:t>
      </w:r>
    </w:p>
    <w:p w:rsidR="00156BE1" w:rsidRDefault="00156BE1" w:rsidP="00156BE1">
      <w:pPr>
        <w:pStyle w:val="StandardWeb"/>
      </w:pPr>
      <w:r>
        <w:t>[</w:t>
      </w:r>
      <w:r>
        <w:br/>
        <w:t>R_B\neq0,</w:t>
      </w:r>
      <w:r>
        <w:br/>
        <w:t>\tag{3.11739}</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R_B\neq0</w:t>
      </w:r>
    </w:p>
    <w:p w:rsidR="00156BE1" w:rsidRDefault="00156BE1" w:rsidP="00156BE1">
      <w:pPr>
        <w:pStyle w:val="StandardWeb"/>
      </w:pPr>
      <w:r>
        <w:t>liegt bezüglich der spezifizierten Bilanzstruktur ein Bilanzdefekt vor.</w:t>
      </w:r>
    </w:p>
    <w:p w:rsidR="00156BE1" w:rsidRDefault="00E50336" w:rsidP="00156BE1">
      <w:r>
        <w:pict>
          <v:rect id="_x0000_i4047" style="width:0;height:1.5pt" o:hralign="center" o:hrstd="t" o:hr="t" fillcolor="#a0a0a0" stroked="f"/>
        </w:pict>
      </w:r>
    </w:p>
    <w:p w:rsidR="00156BE1" w:rsidRDefault="00156BE1" w:rsidP="00156BE1">
      <w:pPr>
        <w:pStyle w:val="berschrift1"/>
      </w:pPr>
      <w:r>
        <w:t>3.3.47.171 Definition 3.3.278 – Funktionaler Bilanzdefekt</w:t>
      </w:r>
    </w:p>
    <w:p w:rsidR="00156BE1" w:rsidRDefault="00156BE1" w:rsidP="00156BE1">
      <w:pPr>
        <w:pStyle w:val="berschrift3"/>
      </w:pPr>
      <w:r>
        <w:t>Definition 3.3.278</w:t>
      </w:r>
    </w:p>
    <w:p w:rsidR="00156BE1" w:rsidRDefault="00156BE1" w:rsidP="00156BE1">
      <w:pPr>
        <w:pStyle w:val="StandardWeb"/>
      </w:pPr>
      <w:r>
        <w:t xml:space="preserve">Ein </w:t>
      </w:r>
      <w:r>
        <w:rPr>
          <w:rStyle w:val="Fett"/>
        </w:rPr>
        <w:t>funktionaler Bilanzdefekt</w:t>
      </w:r>
      <w:r>
        <w:t xml:space="preserve"> liegt vor, wenn</w:t>
      </w:r>
    </w:p>
    <w:p w:rsidR="00156BE1" w:rsidRDefault="00156BE1" w:rsidP="00156BE1">
      <w:pPr>
        <w:pStyle w:val="StandardWeb"/>
      </w:pPr>
      <w:r>
        <w:t>[</w:t>
      </w:r>
      <w:r>
        <w:br/>
        <w:t>\boxed{</w:t>
      </w:r>
      <w:r>
        <w:br/>
        <w:t>R_B\neq0.</w:t>
      </w:r>
      <w:r>
        <w:br/>
      </w:r>
      <w:r>
        <w:lastRenderedPageBreak/>
        <w:t>}</w:t>
      </w:r>
      <w:r>
        <w:br/>
        <w:t>\tag{3.11740}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\boxed{R_B\neq0.}</w:t>
      </w:r>
    </w:p>
    <w:p w:rsidR="00156BE1" w:rsidRDefault="00156BE1" w:rsidP="00156BE1">
      <w:pPr>
        <w:pStyle w:val="StandardWeb"/>
      </w:pPr>
      <w:r>
        <w:t>Der Defekt kann auf nicht modellierte Beiträge, Messfehler, numerische Fehler, ungeeignete Systemgrenzen oder eine unzureichende Bilanzmodellierung hinweisen.</w:t>
      </w:r>
    </w:p>
    <w:p w:rsidR="00156BE1" w:rsidRDefault="00E50336" w:rsidP="00156BE1">
      <w:r>
        <w:pict>
          <v:rect id="_x0000_i4048" style="width:0;height:1.5pt" o:hralign="center" o:hrstd="t" o:hr="t" fillcolor="#a0a0a0" stroked="f"/>
        </w:pict>
      </w:r>
    </w:p>
    <w:p w:rsidR="00156BE1" w:rsidRDefault="00156BE1" w:rsidP="00156BE1">
      <w:pPr>
        <w:pStyle w:val="berschrift1"/>
      </w:pPr>
      <w:r>
        <w:t>3.3.47.172 Absolute Bilanzabweichung</w:t>
      </w:r>
    </w:p>
    <w:p w:rsidR="00156BE1" w:rsidRDefault="00156BE1" w:rsidP="00156BE1">
      <w:pPr>
        <w:pStyle w:val="StandardWeb"/>
      </w:pPr>
      <w:r>
        <w:t>Zur quantitativen Bewertung definiere ich</w:t>
      </w:r>
    </w:p>
    <w:p w:rsidR="00156BE1" w:rsidRDefault="00156BE1" w:rsidP="00156BE1">
      <w:pPr>
        <w:pStyle w:val="StandardWeb"/>
      </w:pPr>
      <w:r>
        <w:t>[</w:t>
      </w:r>
      <w:r>
        <w:br/>
        <w:t>D_B</w:t>
      </w:r>
      <w:r>
        <w:br/>
        <w:t>:=</w:t>
      </w:r>
      <w:r>
        <w:br/>
        <w:t>|R_B|.</w:t>
      </w:r>
      <w:r>
        <w:br/>
        <w:t>\tag{3.11741}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D_B:=|R_B|</w:t>
      </w:r>
    </w:p>
    <w:p w:rsidR="00156BE1" w:rsidRDefault="00E50336" w:rsidP="00156BE1">
      <w:r>
        <w:pict>
          <v:rect id="_x0000_i4049" style="width:0;height:1.5pt" o:hralign="center" o:hrstd="t" o:hr="t" fillcolor="#a0a0a0" stroked="f"/>
        </w:pict>
      </w:r>
    </w:p>
    <w:p w:rsidR="00156BE1" w:rsidRDefault="00156BE1" w:rsidP="00156BE1">
      <w:pPr>
        <w:pStyle w:val="berschrift1"/>
      </w:pPr>
      <w:r>
        <w:t>3.3.47.173 Definition 3.3.279 – Absolute funktionale Bilanzabweichung</w:t>
      </w:r>
    </w:p>
    <w:p w:rsidR="00156BE1" w:rsidRDefault="00156BE1" w:rsidP="00156BE1">
      <w:pPr>
        <w:pStyle w:val="berschrift3"/>
      </w:pPr>
      <w:r>
        <w:t>Definition 3.3.279</w:t>
      </w:r>
    </w:p>
    <w:p w:rsidR="00156BE1" w:rsidRDefault="00156BE1" w:rsidP="00156BE1">
      <w:pPr>
        <w:pStyle w:val="StandardWeb"/>
      </w:pPr>
      <w:r>
        <w:t xml:space="preserve">Die </w:t>
      </w:r>
      <w:r>
        <w:rPr>
          <w:rStyle w:val="Fett"/>
        </w:rPr>
        <w:t>absolute funktionale Bilanzabweichung</w:t>
      </w:r>
      <w:r>
        <w:t xml:space="preserve"> ist</w:t>
      </w:r>
    </w:p>
    <w:p w:rsidR="00156BE1" w:rsidRDefault="00156BE1" w:rsidP="00156BE1">
      <w:pPr>
        <w:pStyle w:val="StandardWeb"/>
      </w:pPr>
      <w:r>
        <w:t>[</w:t>
      </w:r>
      <w:r>
        <w:br/>
        <w:t>\boxed{</w:t>
      </w:r>
      <w:r>
        <w:br/>
        <w:t>D_B:=|R_B|.</w:t>
      </w:r>
      <w:r>
        <w:br/>
        <w:t>}</w:t>
      </w:r>
      <w:r>
        <w:br/>
        <w:t>\tag{3.11742}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\boxed{D_B:=|R_B|.}</w:t>
      </w:r>
    </w:p>
    <w:p w:rsidR="00156BE1" w:rsidRDefault="00156BE1" w:rsidP="00156BE1">
      <w:pPr>
        <w:pStyle w:val="StandardWeb"/>
      </w:pPr>
      <w:r>
        <w:t>Damit gilt stets</w:t>
      </w:r>
    </w:p>
    <w:p w:rsidR="00156BE1" w:rsidRDefault="00156BE1" w:rsidP="00156BE1">
      <w:pPr>
        <w:pStyle w:val="StandardWeb"/>
      </w:pPr>
      <w:r>
        <w:lastRenderedPageBreak/>
        <w:t>[</w:t>
      </w:r>
      <w:r>
        <w:br/>
        <w:t>D_B\geq0.</w:t>
      </w:r>
      <w:r>
        <w:br/>
        <w:t>\tag{3.11743}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D_B\geq0</w:t>
      </w:r>
    </w:p>
    <w:p w:rsidR="00156BE1" w:rsidRDefault="00E50336" w:rsidP="00156BE1">
      <w:r>
        <w:pict>
          <v:rect id="_x0000_i4050" style="width:0;height:1.5pt" o:hralign="center" o:hrstd="t" o:hr="t" fillcolor="#a0a0a0" stroked="f"/>
        </w:pict>
      </w:r>
    </w:p>
    <w:p w:rsidR="00156BE1" w:rsidRDefault="00156BE1" w:rsidP="00156BE1">
      <w:pPr>
        <w:pStyle w:val="berschrift1"/>
      </w:pPr>
      <w:r>
        <w:t>3.3.47.174 Relative Bilanzabweichung</w:t>
      </w:r>
    </w:p>
    <w:p w:rsidR="00156BE1" w:rsidRDefault="00156BE1" w:rsidP="00156BE1">
      <w:pPr>
        <w:pStyle w:val="StandardWeb"/>
      </w:pPr>
      <w:r>
        <w:t>Für eine geeignete positive Referenzskala (Q_{\mathrm{ref}}&gt;0) kann außerdem definiert werden</w:t>
      </w:r>
    </w:p>
    <w:p w:rsidR="00156BE1" w:rsidRDefault="00156BE1" w:rsidP="00156BE1">
      <w:pPr>
        <w:pStyle w:val="StandardWeb"/>
      </w:pPr>
      <w:r>
        <w:t>[</w:t>
      </w:r>
      <w:r>
        <w:br/>
        <w:t>D_B^{\mathrm{rel}}</w:t>
      </w:r>
      <w:r>
        <w:br/>
        <w:t>:=</w:t>
      </w:r>
      <w:r>
        <w:br/>
        <w:t>\frac{|R_B|}</w:t>
      </w:r>
      <w:r>
        <w:br/>
        <w:t>{Q_{\mathrm{ref}}}.</w:t>
      </w:r>
      <w:r>
        <w:br/>
        <w:t>\tag{3.11744}</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D_B^{\mathrm{rel}}:=\frac{|R_B|}{Q_{\mathrm{ref}}}</w:t>
      </w:r>
    </w:p>
    <w:p w:rsidR="00156BE1" w:rsidRDefault="00E50336" w:rsidP="00156BE1">
      <w:r>
        <w:pict>
          <v:rect id="_x0000_i4051" style="width:0;height:1.5pt" o:hralign="center" o:hrstd="t" o:hr="t" fillcolor="#a0a0a0" stroked="f"/>
        </w:pict>
      </w:r>
    </w:p>
    <w:p w:rsidR="00156BE1" w:rsidRDefault="00156BE1" w:rsidP="00156BE1">
      <w:pPr>
        <w:pStyle w:val="berschrift1"/>
      </w:pPr>
      <w:r>
        <w:t>3.3.47.175 Definition 3.3.280 – Relative funktionale Bilanzabweichung</w:t>
      </w:r>
    </w:p>
    <w:p w:rsidR="00156BE1" w:rsidRDefault="00156BE1" w:rsidP="00156BE1">
      <w:pPr>
        <w:pStyle w:val="berschrift3"/>
      </w:pPr>
      <w:r>
        <w:t>Definition 3.3.280</w:t>
      </w:r>
    </w:p>
    <w:p w:rsidR="00156BE1" w:rsidRDefault="00156BE1" w:rsidP="00156BE1">
      <w:pPr>
        <w:pStyle w:val="StandardWeb"/>
      </w:pPr>
      <w:r>
        <w:t xml:space="preserve">Für eine positive Referenzgröße (Q_{\mathrm{ref}}) ist die </w:t>
      </w:r>
      <w:r>
        <w:rPr>
          <w:rStyle w:val="Fett"/>
        </w:rPr>
        <w:t>relative funktionale Bilanzabweichung</w:t>
      </w:r>
    </w:p>
    <w:p w:rsidR="00156BE1" w:rsidRDefault="00156BE1" w:rsidP="00156BE1">
      <w:pPr>
        <w:pStyle w:val="StandardWeb"/>
      </w:pPr>
      <w:r>
        <w:t>[</w:t>
      </w:r>
      <w:r>
        <w:br/>
        <w:t>\boxed{</w:t>
      </w:r>
      <w:r>
        <w:br/>
        <w:t>D_B^{\mathrm{rel}}</w:t>
      </w:r>
      <w:r>
        <w:br/>
        <w:t>:=</w:t>
      </w:r>
      <w:r>
        <w:br/>
        <w:t>\frac{|R_B|}</w:t>
      </w:r>
      <w:r>
        <w:br/>
        <w:t>{Q_{\mathrm{ref}}}.</w:t>
      </w:r>
      <w:r>
        <w:br/>
        <w:t>}</w:t>
      </w:r>
      <w:r>
        <w:br/>
        <w:t>\tag{3.11745}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\boxed{D_B^{\mathrm{rel}}:=\frac{|R_B|}{Q_{\mathrm{ref}}}.}</w:t>
      </w:r>
    </w:p>
    <w:p w:rsidR="00156BE1" w:rsidRDefault="00E50336" w:rsidP="00156BE1">
      <w:r>
        <w:lastRenderedPageBreak/>
        <w:pict>
          <v:rect id="_x0000_i4052" style="width:0;height:1.5pt" o:hralign="center" o:hrstd="t" o:hr="t" fillcolor="#a0a0a0" stroked="f"/>
        </w:pict>
      </w:r>
    </w:p>
    <w:p w:rsidR="00156BE1" w:rsidRDefault="00156BE1" w:rsidP="00156BE1">
      <w:pPr>
        <w:pStyle w:val="berschrift1"/>
      </w:pPr>
      <w:r>
        <w:t>3.3.47.176 Approximative Bilanzgeschlossenheit</w:t>
      </w:r>
    </w:p>
    <w:p w:rsidR="00156BE1" w:rsidRDefault="00156BE1" w:rsidP="00156BE1">
      <w:pPr>
        <w:pStyle w:val="StandardWeb"/>
      </w:pPr>
      <w:r>
        <w:t>In empirischen oder numerischen Anwendungen ist die Forderung</w:t>
      </w:r>
    </w:p>
    <w:p w:rsidR="00156BE1" w:rsidRDefault="00156BE1" w:rsidP="00156BE1">
      <w:pPr>
        <w:pStyle w:val="StandardWeb"/>
      </w:pPr>
      <w:r>
        <w:t>[</w:t>
      </w:r>
      <w:r>
        <w:br/>
        <w:t>R_B=0</w:t>
      </w:r>
      <w:r>
        <w:br/>
        <w:t>\tag{3.11746}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R_B=0</w:t>
      </w:r>
    </w:p>
    <w:p w:rsidR="00156BE1" w:rsidRDefault="00156BE1" w:rsidP="00156BE1">
      <w:pPr>
        <w:pStyle w:val="StandardWeb"/>
      </w:pPr>
      <w:r>
        <w:t>häufig zu streng.</w:t>
      </w:r>
    </w:p>
    <w:p w:rsidR="00156BE1" w:rsidRDefault="00156BE1" w:rsidP="00156BE1">
      <w:pPr>
        <w:pStyle w:val="StandardWeb"/>
      </w:pPr>
      <w:r>
        <w:t>Daher kann eine Toleranz</w:t>
      </w:r>
    </w:p>
    <w:p w:rsidR="00156BE1" w:rsidRDefault="00156BE1" w:rsidP="00156BE1">
      <w:pPr>
        <w:pStyle w:val="StandardWeb"/>
      </w:pPr>
      <w:r>
        <w:t>[</w:t>
      </w:r>
      <w:r>
        <w:br/>
        <w:t>\varepsilon_B\geq0</w:t>
      </w:r>
      <w:r>
        <w:br/>
        <w:t>\tag{3.11747}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\varepsilon_B\geq0</w:t>
      </w:r>
    </w:p>
    <w:p w:rsidR="00156BE1" w:rsidRDefault="00156BE1" w:rsidP="00156BE1">
      <w:pPr>
        <w:pStyle w:val="StandardWeb"/>
      </w:pPr>
      <w:r>
        <w:t>eingeführt werden.</w:t>
      </w:r>
    </w:p>
    <w:p w:rsidR="00156BE1" w:rsidRDefault="00E50336" w:rsidP="00156BE1">
      <w:r>
        <w:pict>
          <v:rect id="_x0000_i4053" style="width:0;height:1.5pt" o:hralign="center" o:hrstd="t" o:hr="t" fillcolor="#a0a0a0" stroked="f"/>
        </w:pict>
      </w:r>
    </w:p>
    <w:p w:rsidR="00156BE1" w:rsidRDefault="00156BE1" w:rsidP="00156BE1">
      <w:pPr>
        <w:pStyle w:val="berschrift1"/>
      </w:pPr>
      <w:r>
        <w:t>3.3.47.177 Definition 3.3.281 – Epsilon-bilanzgeschlossenes Übergangsmodell</w:t>
      </w:r>
    </w:p>
    <w:p w:rsidR="00156BE1" w:rsidRDefault="00156BE1" w:rsidP="00156BE1">
      <w:pPr>
        <w:pStyle w:val="berschrift3"/>
      </w:pPr>
      <w:r>
        <w:t>Definition 3.3.281</w:t>
      </w:r>
    </w:p>
    <w:p w:rsidR="00156BE1" w:rsidRDefault="00156BE1" w:rsidP="00156BE1">
      <w:pPr>
        <w:pStyle w:val="StandardWeb"/>
      </w:pPr>
      <w:r>
        <w:t xml:space="preserve">Ein funktionales Übergangsmodell heißt </w:t>
      </w:r>
      <w:r>
        <w:rPr>
          <w:rStyle w:val="Fett"/>
        </w:rPr>
        <w:t>(\varepsilon_B)-bilanzgeschlossen</w:t>
      </w:r>
      <w:r>
        <w:t>, wenn</w:t>
      </w:r>
    </w:p>
    <w:p w:rsidR="00156BE1" w:rsidRDefault="00156BE1" w:rsidP="00156BE1">
      <w:pPr>
        <w:pStyle w:val="StandardWeb"/>
      </w:pPr>
      <w:r>
        <w:t>[</w:t>
      </w:r>
      <w:r>
        <w:br/>
        <w:t>\boxed{</w:t>
      </w:r>
      <w:r>
        <w:br/>
        <w:t>|R_B|</w:t>
      </w:r>
      <w:r>
        <w:br/>
        <w:t>\leq</w:t>
      </w:r>
      <w:r>
        <w:br/>
        <w:t>\varepsilon_B.</w:t>
      </w:r>
      <w:r>
        <w:br/>
        <w:t>}</w:t>
      </w:r>
      <w:r>
        <w:br/>
        <w:t>\tag{3.11748}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lastRenderedPageBreak/>
        <w:t>\boxed{|R_B|\leq\varepsilon_B.}</w:t>
      </w:r>
    </w:p>
    <w:p w:rsidR="00156BE1" w:rsidRDefault="00E50336" w:rsidP="00156BE1">
      <w:r>
        <w:pict>
          <v:rect id="_x0000_i4054" style="width:0;height:1.5pt" o:hralign="center" o:hrstd="t" o:hr="t" fillcolor="#a0a0a0" stroked="f"/>
        </w:pict>
      </w:r>
    </w:p>
    <w:p w:rsidR="00156BE1" w:rsidRDefault="00156BE1" w:rsidP="00156BE1">
      <w:pPr>
        <w:pStyle w:val="berschrift1"/>
      </w:pPr>
      <w:r>
        <w:t>3.3.47.178 Approximative Erhaltung</w:t>
      </w:r>
    </w:p>
    <w:p w:rsidR="00156BE1" w:rsidRDefault="00156BE1" w:rsidP="00156BE1">
      <w:pPr>
        <w:pStyle w:val="StandardWeb"/>
      </w:pPr>
      <w:r>
        <w:t>Analog kann die Erhaltungsbedingung</w:t>
      </w:r>
    </w:p>
    <w:p w:rsidR="00156BE1" w:rsidRDefault="00156BE1" w:rsidP="00156BE1">
      <w:pPr>
        <w:pStyle w:val="StandardWeb"/>
      </w:pPr>
      <w:r>
        <w:t>[</w:t>
      </w:r>
      <w:r>
        <w:br/>
        <w:t>\Delta_TQ_F=0</w:t>
      </w:r>
      <w:r>
        <w:br/>
        <w:t>\tag{3.11749}</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\Delta_TQ_F=0</w:t>
      </w:r>
    </w:p>
    <w:p w:rsidR="00156BE1" w:rsidRDefault="00156BE1" w:rsidP="00156BE1">
      <w:pPr>
        <w:pStyle w:val="StandardWeb"/>
      </w:pPr>
      <w:r>
        <w:t>durch eine Toleranzbedingung ersetzt werden:</w:t>
      </w:r>
    </w:p>
    <w:p w:rsidR="00156BE1" w:rsidRDefault="00156BE1" w:rsidP="00156BE1">
      <w:pPr>
        <w:pStyle w:val="StandardWeb"/>
      </w:pPr>
      <w:r>
        <w:t>[</w:t>
      </w:r>
      <w:r>
        <w:br/>
        <w:t>|\Delta_TQ_F|</w:t>
      </w:r>
      <w:r>
        <w:br/>
        <w:t>\leq</w:t>
      </w:r>
      <w:r>
        <w:br/>
        <w:t>\varepsilon_Q.</w:t>
      </w:r>
      <w:r>
        <w:br/>
        <w:t>\tag{3.11750}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|\Delta_TQ_F|\leq\varepsilon_Q</w:t>
      </w:r>
    </w:p>
    <w:p w:rsidR="00156BE1" w:rsidRDefault="00E50336" w:rsidP="00156BE1">
      <w:r>
        <w:pict>
          <v:rect id="_x0000_i4055" style="width:0;height:1.5pt" o:hralign="center" o:hrstd="t" o:hr="t" fillcolor="#a0a0a0" stroked="f"/>
        </w:pict>
      </w:r>
    </w:p>
    <w:p w:rsidR="00156BE1" w:rsidRDefault="00156BE1" w:rsidP="00156BE1">
      <w:pPr>
        <w:pStyle w:val="berschrift1"/>
      </w:pPr>
      <w:r>
        <w:t>3.3.47.179 Definition 3.3.282 – Approximativ funktional erhaltene Größe</w:t>
      </w:r>
    </w:p>
    <w:p w:rsidR="00156BE1" w:rsidRDefault="00156BE1" w:rsidP="00156BE1">
      <w:pPr>
        <w:pStyle w:val="berschrift3"/>
      </w:pPr>
      <w:r>
        <w:t>Definition 3.3.282</w:t>
      </w:r>
    </w:p>
    <w:p w:rsidR="00156BE1" w:rsidRDefault="00156BE1" w:rsidP="00156BE1">
      <w:pPr>
        <w:pStyle w:val="StandardWeb"/>
      </w:pPr>
      <w:r>
        <w:t xml:space="preserve">Eine funktionale Zustandsgröße heißt bezüglich eines Übergangs </w:t>
      </w:r>
      <w:r>
        <w:rPr>
          <w:rStyle w:val="Fett"/>
        </w:rPr>
        <w:t>(\varepsilon_Q)-approximativ erhalten</w:t>
      </w:r>
      <w:r>
        <w:t>, wenn</w:t>
      </w:r>
    </w:p>
    <w:p w:rsidR="00156BE1" w:rsidRDefault="00156BE1" w:rsidP="00156BE1">
      <w:pPr>
        <w:pStyle w:val="StandardWeb"/>
      </w:pPr>
      <w:r>
        <w:t>[</w:t>
      </w:r>
      <w:r>
        <w:br/>
        <w:t>\boxed{</w:t>
      </w:r>
      <w:r>
        <w:br/>
        <w:t>|\Delta_TQ_F|</w:t>
      </w:r>
      <w:r>
        <w:br/>
        <w:t>\leq</w:t>
      </w:r>
      <w:r>
        <w:br/>
        <w:t>\varepsilon_Q.</w:t>
      </w:r>
      <w:r>
        <w:br/>
        <w:t>}</w:t>
      </w:r>
      <w:r>
        <w:br/>
        <w:t>\tag{3.11751}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\boxed{|\Delta_TQ_F|\leq\varepsilon_Q.}</w:t>
      </w:r>
    </w:p>
    <w:p w:rsidR="00156BE1" w:rsidRDefault="00E50336" w:rsidP="00156BE1">
      <w:r>
        <w:lastRenderedPageBreak/>
        <w:pict>
          <v:rect id="_x0000_i4056" style="width:0;height:1.5pt" o:hralign="center" o:hrstd="t" o:hr="t" fillcolor="#a0a0a0" stroked="f"/>
        </w:pict>
      </w:r>
    </w:p>
    <w:p w:rsidR="00156BE1" w:rsidRDefault="00156BE1" w:rsidP="00156BE1">
      <w:pPr>
        <w:pStyle w:val="berschrift1"/>
      </w:pPr>
      <w:r>
        <w:t>3.3.47.180 Exakte Erhaltung als Spezialfall</w:t>
      </w:r>
    </w:p>
    <w:p w:rsidR="00156BE1" w:rsidRDefault="00156BE1" w:rsidP="00156BE1">
      <w:pPr>
        <w:pStyle w:val="StandardWeb"/>
      </w:pPr>
      <w:r>
        <w:t>Für</w:t>
      </w:r>
    </w:p>
    <w:p w:rsidR="00156BE1" w:rsidRDefault="00156BE1" w:rsidP="00156BE1">
      <w:pPr>
        <w:pStyle w:val="StandardWeb"/>
      </w:pPr>
      <w:r>
        <w:t>[</w:t>
      </w:r>
      <w:r>
        <w:br/>
        <w:t>\varepsilon_Q=0</w:t>
      </w:r>
      <w:r>
        <w:br/>
        <w:t>\tag{3.11752}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\varepsilon_Q=0</w:t>
      </w:r>
    </w:p>
    <w:p w:rsidR="00156BE1" w:rsidRDefault="00156BE1" w:rsidP="00156BE1">
      <w:pPr>
        <w:pStyle w:val="StandardWeb"/>
      </w:pPr>
      <w:r>
        <w:t>reduziert sich approximative Erhaltung auf</w:t>
      </w:r>
    </w:p>
    <w:p w:rsidR="00156BE1" w:rsidRDefault="00156BE1" w:rsidP="00156BE1">
      <w:pPr>
        <w:pStyle w:val="berschrift1"/>
      </w:pPr>
      <w:r>
        <w:t>[</w:t>
      </w:r>
      <w:r>
        <w:br/>
        <w:t>|\Delta_TQ_F|</w:t>
      </w:r>
    </w:p>
    <w:p w:rsidR="00156BE1" w:rsidRDefault="00156BE1" w:rsidP="00152216">
      <w:pPr>
        <w:numPr>
          <w:ilvl w:val="0"/>
          <w:numId w:val="520"/>
        </w:numPr>
        <w:spacing w:before="100" w:beforeAutospacing="1" w:after="100" w:afterAutospacing="1"/>
      </w:pPr>
    </w:p>
    <w:p w:rsidR="00156BE1" w:rsidRDefault="00156BE1" w:rsidP="00156BE1">
      <w:pPr>
        <w:pStyle w:val="StandardWeb"/>
      </w:pPr>
      <w:r>
        <w:t>\tag{3.11753}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|\Delta_TQ_F|=0</w:t>
      </w:r>
    </w:p>
    <w:p w:rsidR="00156BE1" w:rsidRDefault="00156BE1" w:rsidP="00156BE1">
      <w:pPr>
        <w:pStyle w:val="StandardWeb"/>
      </w:pPr>
      <w:r>
        <w:t>Damit folgt</w:t>
      </w:r>
    </w:p>
    <w:p w:rsidR="00156BE1" w:rsidRDefault="00156BE1" w:rsidP="00156BE1">
      <w:pPr>
        <w:pStyle w:val="StandardWeb"/>
      </w:pPr>
      <w:r>
        <w:t>[</w:t>
      </w:r>
      <w:r>
        <w:br/>
        <w:t>\Delta_TQ_F=0.</w:t>
      </w:r>
      <w:r>
        <w:br/>
        <w:t>\tag{3.11754}</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\Delta_TQ_F=0</w:t>
      </w:r>
    </w:p>
    <w:p w:rsidR="00156BE1" w:rsidRDefault="00E50336" w:rsidP="00156BE1">
      <w:r>
        <w:pict>
          <v:rect id="_x0000_i4057" style="width:0;height:1.5pt" o:hralign="center" o:hrstd="t" o:hr="t" fillcolor="#a0a0a0" stroked="f"/>
        </w:pict>
      </w:r>
    </w:p>
    <w:p w:rsidR="00156BE1" w:rsidRDefault="00156BE1" w:rsidP="00156BE1">
      <w:pPr>
        <w:pStyle w:val="berschrift1"/>
      </w:pPr>
      <w:r>
        <w:t>3.3.47.181 Korollar 3.3.27 – Exakte Erhaltung ist der Nulltoleranzfall approximativer Erhaltung</w:t>
      </w:r>
    </w:p>
    <w:p w:rsidR="00156BE1" w:rsidRDefault="00156BE1" w:rsidP="00156BE1">
      <w:pPr>
        <w:pStyle w:val="berschrift3"/>
      </w:pPr>
      <w:r>
        <w:t>Korollar 3.3.27</w:t>
      </w:r>
    </w:p>
    <w:p w:rsidR="00156BE1" w:rsidRDefault="00156BE1" w:rsidP="00156BE1">
      <w:pPr>
        <w:pStyle w:val="StandardWeb"/>
      </w:pPr>
      <w:r>
        <w:t>Es gilt</w:t>
      </w:r>
    </w:p>
    <w:p w:rsidR="00156BE1" w:rsidRDefault="00156BE1" w:rsidP="00156BE1">
      <w:pPr>
        <w:pStyle w:val="StandardWeb"/>
      </w:pPr>
      <w:r>
        <w:lastRenderedPageBreak/>
        <w:t>[</w:t>
      </w:r>
      <w:r>
        <w:br/>
        <w:t>\boxed{</w:t>
      </w:r>
      <w:r>
        <w:br/>
        <w:t>\varepsilon_Q=0</w:t>
      </w:r>
      <w:r>
        <w:br/>
        <w:t>\Rightarrow</w:t>
      </w:r>
      <w:r>
        <w:br/>
        <w:t>\left(</w:t>
      </w:r>
      <w:r>
        <w:br/>
        <w:t>|\Delta_TQ_F|</w:t>
      </w:r>
      <w:r>
        <w:br/>
        <w:t>\leq</w:t>
      </w:r>
      <w:r>
        <w:br/>
        <w:t>\varepsilon_Q</w:t>
      </w:r>
      <w:r>
        <w:br/>
        <w:t>\Longleftrightarrow</w:t>
      </w:r>
      <w:r>
        <w:br/>
        <w:t>\Delta_TQ_F=0</w:t>
      </w:r>
      <w:r>
        <w:br/>
        <w:t>\right).</w:t>
      </w:r>
      <w:r>
        <w:br/>
        <w:t>}</w:t>
      </w:r>
      <w:r>
        <w:br/>
        <w:t>\tag{3.11755}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\boxed{\varepsilon_Q=0\Rightarrow\left(|\Delta_TQ_F|\leq\varepsilon_Q\Longleftrightarrow\Delta_TQ_F=0\right).}</w:t>
      </w:r>
    </w:p>
    <w:p w:rsidR="00156BE1" w:rsidRDefault="00E50336" w:rsidP="00156BE1">
      <w:r>
        <w:pict>
          <v:rect id="_x0000_i4058" style="width:0;height:1.5pt" o:hralign="center" o:hrstd="t" o:hr="t" fillcolor="#a0a0a0" stroked="f"/>
        </w:pict>
      </w:r>
    </w:p>
    <w:p w:rsidR="00156BE1" w:rsidRDefault="00156BE1" w:rsidP="00156BE1">
      <w:pPr>
        <w:pStyle w:val="berschrift1"/>
      </w:pPr>
      <w:r>
        <w:t>3.3.47.182 Normiertes Erhaltungsresiduum</w:t>
      </w:r>
    </w:p>
    <w:p w:rsidR="00156BE1" w:rsidRDefault="00156BE1" w:rsidP="00156BE1">
      <w:pPr>
        <w:pStyle w:val="StandardWeb"/>
      </w:pPr>
      <w:r>
        <w:t>Für vergleichbare Bewertungen kann eine normierte Größe verwendet werden:</w:t>
      </w:r>
    </w:p>
    <w:p w:rsidR="00156BE1" w:rsidRDefault="00156BE1" w:rsidP="00156BE1">
      <w:pPr>
        <w:pStyle w:val="StandardWeb"/>
      </w:pPr>
      <w:r>
        <w:t>[</w:t>
      </w:r>
      <w:r>
        <w:br/>
        <w:t>R_Q^{\mathrm{rel}}</w:t>
      </w:r>
      <w:r>
        <w:br/>
        <w:t>:=</w:t>
      </w:r>
      <w:r>
        <w:br/>
        <w:t>\frac{|\Delta_TQ_F|}</w:t>
      </w:r>
      <w:r>
        <w:br/>
        <w:t>{Q_{\mathrm{ref}}}.</w:t>
      </w:r>
      <w:r>
        <w:br/>
        <w:t>\tag{3.11756}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R_Q^{\mathrm{rel}}:=\frac{|\Delta_TQ_F|}{Q_{\mathrm{ref}}}</w:t>
      </w:r>
    </w:p>
    <w:p w:rsidR="00156BE1" w:rsidRDefault="00E50336" w:rsidP="00156BE1">
      <w:r>
        <w:pict>
          <v:rect id="_x0000_i4059" style="width:0;height:1.5pt" o:hralign="center" o:hrstd="t" o:hr="t" fillcolor="#a0a0a0" stroked="f"/>
        </w:pict>
      </w:r>
    </w:p>
    <w:p w:rsidR="00156BE1" w:rsidRDefault="00156BE1" w:rsidP="00156BE1">
      <w:pPr>
        <w:pStyle w:val="berschrift1"/>
      </w:pPr>
      <w:r>
        <w:t>3.3.47.183 Definition 3.3.283 – Relatives funktionales Erhaltungsresiduum</w:t>
      </w:r>
    </w:p>
    <w:p w:rsidR="00156BE1" w:rsidRDefault="00156BE1" w:rsidP="00156BE1">
      <w:pPr>
        <w:pStyle w:val="berschrift3"/>
      </w:pPr>
      <w:r>
        <w:t>Definition 3.3.283</w:t>
      </w:r>
    </w:p>
    <w:p w:rsidR="00156BE1" w:rsidRDefault="00156BE1" w:rsidP="00156BE1">
      <w:pPr>
        <w:pStyle w:val="StandardWeb"/>
      </w:pPr>
      <w:r>
        <w:t xml:space="preserve">Das </w:t>
      </w:r>
      <w:r>
        <w:rPr>
          <w:rStyle w:val="Fett"/>
        </w:rPr>
        <w:t>relative funktionale Erhaltungsresiduum</w:t>
      </w:r>
      <w:r>
        <w:t xml:space="preserve"> ist</w:t>
      </w:r>
    </w:p>
    <w:p w:rsidR="00156BE1" w:rsidRDefault="00156BE1" w:rsidP="00156BE1">
      <w:pPr>
        <w:pStyle w:val="StandardWeb"/>
      </w:pPr>
      <w:r>
        <w:t>[</w:t>
      </w:r>
      <w:r>
        <w:br/>
        <w:t>\boxed{</w:t>
      </w:r>
      <w:r>
        <w:br/>
        <w:t>R_Q^{\mathrm{rel}}</w:t>
      </w:r>
      <w:r>
        <w:br/>
        <w:t>:=</w:t>
      </w:r>
      <w:r>
        <w:br/>
        <w:t>\frac{|\Delta_TQ_F|}</w:t>
      </w:r>
      <w:r>
        <w:br/>
      </w:r>
      <w:r>
        <w:lastRenderedPageBreak/>
        <w:t>{Q_{\mathrm{ref}}},</w:t>
      </w:r>
      <w:r>
        <w:br/>
        <w:t>\qquad</w:t>
      </w:r>
      <w:r>
        <w:br/>
        <w:t>Q_{\mathrm{ref}}&gt;0.</w:t>
      </w:r>
      <w:r>
        <w:br/>
        <w:t>}</w:t>
      </w:r>
      <w:r>
        <w:br/>
        <w:t>\tag{3.11757}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\boxed{R_Q^{\mathrm{rel}}:=\frac{|\Delta_TQ_F|}{Q_{\mathrm{ref}}},\qquad Q_{\mathrm{ref}}&gt;0.}</w:t>
      </w:r>
    </w:p>
    <w:p w:rsidR="00156BE1" w:rsidRDefault="00E50336" w:rsidP="00156BE1">
      <w:r>
        <w:pict>
          <v:rect id="_x0000_i4060" style="width:0;height:1.5pt" o:hralign="center" o:hrstd="t" o:hr="t" fillcolor="#a0a0a0" stroked="f"/>
        </w:pict>
      </w:r>
    </w:p>
    <w:p w:rsidR="00156BE1" w:rsidRDefault="00156BE1" w:rsidP="00156BE1">
      <w:pPr>
        <w:pStyle w:val="berschrift1"/>
      </w:pPr>
      <w:r>
        <w:t>3.3.47.184 Bilanzresiduum eines Netzwerks</w:t>
      </w:r>
    </w:p>
    <w:p w:rsidR="00156BE1" w:rsidRDefault="00156BE1" w:rsidP="00156BE1">
      <w:pPr>
        <w:pStyle w:val="StandardWeb"/>
      </w:pPr>
      <w:r>
        <w:t>Für ein Netzwerk kann die Knotenbilanz</w:t>
      </w:r>
    </w:p>
    <w:p w:rsidR="00156BE1" w:rsidRDefault="00156BE1" w:rsidP="00156BE1">
      <w:pPr>
        <w:pStyle w:val="berschrift1"/>
      </w:pPr>
      <w:r>
        <w:t>[</w:t>
      </w:r>
      <w:r>
        <w:br/>
        <w:t>\Delta\mathbf Q</w:t>
      </w:r>
    </w:p>
    <w:p w:rsidR="00156BE1" w:rsidRDefault="00156BE1" w:rsidP="00156BE1">
      <w:pPr>
        <w:pStyle w:val="StandardWeb"/>
      </w:pPr>
      <w:r>
        <w:t>\boldsymbol\Sigma</w:t>
      </w:r>
      <w:r>
        <w:br/>
        <w:t>+</w:t>
      </w:r>
      <w:r>
        <w:br/>
        <w:t>B_Q\mathbf j_Q</w:t>
      </w:r>
      <w:r>
        <w:br/>
        <w:t>\tag{3.11758}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\Delta\mathbf Q=\boldsymbol\Sigma+B_Q\mathbf j_Q</w:t>
      </w:r>
    </w:p>
    <w:p w:rsidR="00156BE1" w:rsidRDefault="00156BE1" w:rsidP="00156BE1">
      <w:pPr>
        <w:pStyle w:val="StandardWeb"/>
      </w:pPr>
      <w:r>
        <w:t>durch einen Residualvektor erweitert werden:</w:t>
      </w:r>
    </w:p>
    <w:p w:rsidR="00156BE1" w:rsidRDefault="00156BE1" w:rsidP="00156BE1">
      <w:pPr>
        <w:pStyle w:val="berschrift2"/>
      </w:pPr>
      <w:r>
        <w:t>[</w:t>
      </w:r>
      <w:r>
        <w:br/>
        <w:t>\mathbf R_B</w:t>
      </w:r>
      <w:r>
        <w:br/>
        <w:t>:=</w:t>
      </w:r>
      <w:r>
        <w:br/>
        <w:t>\Delta\mathbf Q</w:t>
      </w:r>
    </w:p>
    <w:p w:rsidR="00156BE1" w:rsidRDefault="00156BE1" w:rsidP="00156BE1">
      <w:pPr>
        <w:pStyle w:val="berschrift2"/>
      </w:pPr>
      <w:r>
        <w:t>\boldsymbol\Sigma</w:t>
      </w:r>
    </w:p>
    <w:p w:rsidR="00156BE1" w:rsidRDefault="00156BE1" w:rsidP="00156BE1">
      <w:pPr>
        <w:pStyle w:val="StandardWeb"/>
      </w:pPr>
      <w:r>
        <w:t>B_Q\mathbf j_Q.</w:t>
      </w:r>
      <w:r>
        <w:br/>
        <w:t>\tag{3.11759}</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\mathbf R_B:=\Delta\mathbf Q-\boldsymbol\Sigma-B_Q\mathbf j_Q</w:t>
      </w:r>
    </w:p>
    <w:p w:rsidR="00156BE1" w:rsidRDefault="00E50336" w:rsidP="00156BE1">
      <w:r>
        <w:pict>
          <v:rect id="_x0000_i4061" style="width:0;height:1.5pt" o:hralign="center" o:hrstd="t" o:hr="t" fillcolor="#a0a0a0" stroked="f"/>
        </w:pict>
      </w:r>
    </w:p>
    <w:p w:rsidR="00156BE1" w:rsidRDefault="00156BE1" w:rsidP="00156BE1">
      <w:pPr>
        <w:pStyle w:val="berschrift1"/>
      </w:pPr>
      <w:r>
        <w:lastRenderedPageBreak/>
        <w:t>3.3.47.185 Definition 3.3.284 – Funktionaler Netzwerkbilanzresidualvektor</w:t>
      </w:r>
    </w:p>
    <w:p w:rsidR="00156BE1" w:rsidRDefault="00156BE1" w:rsidP="00156BE1">
      <w:pPr>
        <w:pStyle w:val="berschrift3"/>
      </w:pPr>
      <w:r>
        <w:t>Definition 3.3.284</w:t>
      </w:r>
    </w:p>
    <w:p w:rsidR="00156BE1" w:rsidRDefault="00156BE1" w:rsidP="00156BE1">
      <w:pPr>
        <w:pStyle w:val="StandardWeb"/>
      </w:pPr>
      <w:r>
        <w:t xml:space="preserve">Der </w:t>
      </w:r>
      <w:r>
        <w:rPr>
          <w:rStyle w:val="Fett"/>
        </w:rPr>
        <w:t>funktionale Netzwerkbilanzresidualvektor</w:t>
      </w:r>
      <w:r>
        <w:t xml:space="preserve"> ist</w:t>
      </w:r>
    </w:p>
    <w:p w:rsidR="00156BE1" w:rsidRDefault="00156BE1" w:rsidP="00156BE1">
      <w:pPr>
        <w:pStyle w:val="berschrift2"/>
      </w:pPr>
      <w:r>
        <w:t>[</w:t>
      </w:r>
      <w:r>
        <w:br/>
        <w:t>\boxed{</w:t>
      </w:r>
      <w:r>
        <w:br/>
        <w:t>\mathbf R_B</w:t>
      </w:r>
      <w:r>
        <w:br/>
        <w:t>:=</w:t>
      </w:r>
      <w:r>
        <w:br/>
        <w:t>\Delta\mathbf Q</w:t>
      </w:r>
    </w:p>
    <w:p w:rsidR="00156BE1" w:rsidRDefault="00156BE1" w:rsidP="00156BE1">
      <w:pPr>
        <w:pStyle w:val="berschrift2"/>
      </w:pPr>
      <w:r>
        <w:t>\boldsymbol\Sigma</w:t>
      </w:r>
    </w:p>
    <w:p w:rsidR="00156BE1" w:rsidRDefault="00156BE1" w:rsidP="00156BE1">
      <w:pPr>
        <w:pStyle w:val="StandardWeb"/>
      </w:pPr>
      <w:r>
        <w:t>B_Q\mathbf j_Q.</w:t>
      </w:r>
      <w:r>
        <w:br/>
        <w:t>}</w:t>
      </w:r>
      <w:r>
        <w:br/>
        <w:t>\tag{3.11760}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\boxed{\mathbf R_B:=\Delta\mathbf Q-\boldsymbol\Sigma-B_Q\mathbf j_Q.}</w:t>
      </w:r>
    </w:p>
    <w:p w:rsidR="00156BE1" w:rsidRDefault="00E50336" w:rsidP="00156BE1">
      <w:r>
        <w:pict>
          <v:rect id="_x0000_i4062" style="width:0;height:1.5pt" o:hralign="center" o:hrstd="t" o:hr="t" fillcolor="#a0a0a0" stroked="f"/>
        </w:pict>
      </w:r>
    </w:p>
    <w:p w:rsidR="00156BE1" w:rsidRDefault="00156BE1" w:rsidP="00156BE1">
      <w:pPr>
        <w:pStyle w:val="berschrift1"/>
      </w:pPr>
      <w:r>
        <w:t>3.3.47.186 Exakt geschlossenes Bilanznetzwerk</w:t>
      </w:r>
    </w:p>
    <w:p w:rsidR="00156BE1" w:rsidRDefault="00156BE1" w:rsidP="00156BE1">
      <w:pPr>
        <w:pStyle w:val="StandardWeb"/>
      </w:pPr>
      <w:r>
        <w:t>Ein Netzwerk ist bezüglich der spezifizierten Bilanz exakt geschlossen, wenn</w:t>
      </w:r>
    </w:p>
    <w:p w:rsidR="00156BE1" w:rsidRDefault="00156BE1" w:rsidP="00156BE1">
      <w:pPr>
        <w:pStyle w:val="berschrift1"/>
      </w:pPr>
      <w:r>
        <w:t>[</w:t>
      </w:r>
      <w:r>
        <w:br/>
        <w:t>\mathbf R_B</w:t>
      </w:r>
    </w:p>
    <w:p w:rsidR="00156BE1" w:rsidRDefault="00156BE1" w:rsidP="00156BE1">
      <w:pPr>
        <w:pStyle w:val="StandardWeb"/>
      </w:pPr>
      <w:r>
        <w:t>\mathbf 0.</w:t>
      </w:r>
      <w:r>
        <w:br/>
        <w:t>\tag{3.11761}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\mathbf R_B=\mathbf 0</w:t>
      </w:r>
    </w:p>
    <w:p w:rsidR="00156BE1" w:rsidRDefault="00E50336" w:rsidP="00156BE1">
      <w:r>
        <w:pict>
          <v:rect id="_x0000_i4063" style="width:0;height:1.5pt" o:hralign="center" o:hrstd="t" o:hr="t" fillcolor="#a0a0a0" stroked="f"/>
        </w:pict>
      </w:r>
    </w:p>
    <w:p w:rsidR="00156BE1" w:rsidRDefault="00156BE1" w:rsidP="00156BE1">
      <w:pPr>
        <w:pStyle w:val="berschrift1"/>
      </w:pPr>
      <w:r>
        <w:t>3.3.47.187 Definition 3.3.285 – Exakt bilanzgeschlossenes funktionales Netzwerk</w:t>
      </w:r>
    </w:p>
    <w:p w:rsidR="00156BE1" w:rsidRDefault="00156BE1" w:rsidP="00156BE1">
      <w:pPr>
        <w:pStyle w:val="berschrift3"/>
      </w:pPr>
      <w:r>
        <w:lastRenderedPageBreak/>
        <w:t>Definition 3.3.285</w:t>
      </w:r>
    </w:p>
    <w:p w:rsidR="00156BE1" w:rsidRDefault="00156BE1" w:rsidP="00156BE1">
      <w:pPr>
        <w:pStyle w:val="StandardWeb"/>
      </w:pPr>
      <w:r>
        <w:t xml:space="preserve">Ein funktionales Bilanznetzwerk heißt </w:t>
      </w:r>
      <w:r>
        <w:rPr>
          <w:rStyle w:val="Fett"/>
        </w:rPr>
        <w:t>exakt bilanzgeschlossen</w:t>
      </w:r>
      <w:r>
        <w:t>, wenn</w:t>
      </w:r>
    </w:p>
    <w:p w:rsidR="00156BE1" w:rsidRDefault="00156BE1" w:rsidP="00156BE1">
      <w:pPr>
        <w:pStyle w:val="StandardWeb"/>
      </w:pPr>
      <w:r>
        <w:t>[</w:t>
      </w:r>
      <w:r>
        <w:br/>
        <w:t>\boxed{</w:t>
      </w:r>
      <w:r>
        <w:br/>
        <w:t>\mathbf R_B=\mathbf 0.</w:t>
      </w:r>
      <w:r>
        <w:br/>
        <w:t>}</w:t>
      </w:r>
      <w:r>
        <w:br/>
        <w:t>\tag{3.11762}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\boxed{\mathbf R_B=\mathbf 0.}</w:t>
      </w:r>
    </w:p>
    <w:p w:rsidR="00156BE1" w:rsidRDefault="00E50336" w:rsidP="00156BE1">
      <w:r>
        <w:pict>
          <v:rect id="_x0000_i4064" style="width:0;height:1.5pt" o:hralign="center" o:hrstd="t" o:hr="t" fillcolor="#a0a0a0" stroked="f"/>
        </w:pict>
      </w:r>
    </w:p>
    <w:p w:rsidR="00156BE1" w:rsidRDefault="00156BE1" w:rsidP="00156BE1">
      <w:pPr>
        <w:pStyle w:val="berschrift1"/>
      </w:pPr>
      <w:r>
        <w:t>3.3.47.188 Norm des Netzwerkresiduums</w:t>
      </w:r>
    </w:p>
    <w:p w:rsidR="00156BE1" w:rsidRDefault="00156BE1" w:rsidP="00156BE1">
      <w:pPr>
        <w:pStyle w:val="StandardWeb"/>
      </w:pPr>
      <w:r>
        <w:t>Zur Gesamtbewertung kann eine Norm verwendet werden:</w:t>
      </w:r>
    </w:p>
    <w:p w:rsidR="00156BE1" w:rsidRDefault="00156BE1" w:rsidP="00156BE1">
      <w:pPr>
        <w:pStyle w:val="StandardWeb"/>
      </w:pPr>
      <w:r>
        <w:t>[</w:t>
      </w:r>
      <w:r>
        <w:br/>
        <w:t>|\mathbf R_B|.</w:t>
      </w:r>
      <w:r>
        <w:br/>
        <w:t>\tag{3.11763}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\|\mathbf R_B\|</w:t>
      </w:r>
    </w:p>
    <w:p w:rsidR="00156BE1" w:rsidRDefault="00E50336" w:rsidP="00156BE1">
      <w:r>
        <w:pict>
          <v:rect id="_x0000_i4065" style="width:0;height:1.5pt" o:hralign="center" o:hrstd="t" o:hr="t" fillcolor="#a0a0a0" stroked="f"/>
        </w:pict>
      </w:r>
    </w:p>
    <w:p w:rsidR="00156BE1" w:rsidRDefault="00156BE1" w:rsidP="00156BE1">
      <w:pPr>
        <w:pStyle w:val="berschrift1"/>
      </w:pPr>
      <w:r>
        <w:t>3.3.47.189 Definition 3.3.286 – Netzwerkbilanzfehler</w:t>
      </w:r>
    </w:p>
    <w:p w:rsidR="00156BE1" w:rsidRDefault="00156BE1" w:rsidP="00156BE1">
      <w:pPr>
        <w:pStyle w:val="berschrift3"/>
      </w:pPr>
      <w:r>
        <w:t>Definition 3.3.286</w:t>
      </w:r>
    </w:p>
    <w:p w:rsidR="00156BE1" w:rsidRDefault="00156BE1" w:rsidP="00156BE1">
      <w:pPr>
        <w:pStyle w:val="StandardWeb"/>
      </w:pPr>
      <w:r>
        <w:t xml:space="preserve">Der </w:t>
      </w:r>
      <w:r>
        <w:rPr>
          <w:rStyle w:val="Fett"/>
        </w:rPr>
        <w:t>Netzwerkbilanzfehler</w:t>
      </w:r>
      <w:r>
        <w:t xml:space="preserve"> bezüglich einer gewählten Norm ist</w:t>
      </w:r>
    </w:p>
    <w:p w:rsidR="00156BE1" w:rsidRDefault="00156BE1" w:rsidP="00156BE1">
      <w:pPr>
        <w:pStyle w:val="StandardWeb"/>
      </w:pPr>
      <w:r>
        <w:t>[</w:t>
      </w:r>
      <w:r>
        <w:br/>
        <w:t>\boxed{</w:t>
      </w:r>
      <w:r>
        <w:br/>
        <w:t>E_{\mathcal N}</w:t>
      </w:r>
      <w:r>
        <w:br/>
        <w:t>:=</w:t>
      </w:r>
      <w:r>
        <w:br/>
        <w:t>|\mathbf R_B|.</w:t>
      </w:r>
      <w:r>
        <w:br/>
        <w:t>}</w:t>
      </w:r>
      <w:r>
        <w:br/>
        <w:t>\tag{3.11764}</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\boxed{E_{\mathcal N}:=\|\mathbf R_B\|.}</w:t>
      </w:r>
    </w:p>
    <w:p w:rsidR="00156BE1" w:rsidRDefault="00E50336" w:rsidP="00156BE1">
      <w:r>
        <w:pict>
          <v:rect id="_x0000_i4066" style="width:0;height:1.5pt" o:hralign="center" o:hrstd="t" o:hr="t" fillcolor="#a0a0a0" stroked="f"/>
        </w:pict>
      </w:r>
    </w:p>
    <w:p w:rsidR="00156BE1" w:rsidRDefault="00156BE1" w:rsidP="00156BE1">
      <w:pPr>
        <w:pStyle w:val="berschrift1"/>
      </w:pPr>
      <w:r>
        <w:lastRenderedPageBreak/>
        <w:t>3.3.47.190 Approximativ geschlossenes Bilanznetzwerk</w:t>
      </w:r>
    </w:p>
    <w:p w:rsidR="00156BE1" w:rsidRDefault="00156BE1" w:rsidP="00156BE1">
      <w:pPr>
        <w:pStyle w:val="StandardWeb"/>
      </w:pPr>
      <w:r>
        <w:t>Für eine Toleranz (\varepsilon_{\mathcal N}\geq0) kann gefordert werden</w:t>
      </w:r>
    </w:p>
    <w:p w:rsidR="00156BE1" w:rsidRDefault="00156BE1" w:rsidP="00156BE1">
      <w:pPr>
        <w:pStyle w:val="StandardWeb"/>
      </w:pPr>
      <w:r>
        <w:t>[</w:t>
      </w:r>
      <w:r>
        <w:br/>
        <w:t>E_{\mathcal N}</w:t>
      </w:r>
      <w:r>
        <w:br/>
        <w:t>\leq</w:t>
      </w:r>
      <w:r>
        <w:br/>
        <w:t>\varepsilon_{\mathcal N}.</w:t>
      </w:r>
      <w:r>
        <w:br/>
        <w:t>\tag{3.11765}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E_{\mathcal N}\leq\varepsilon_{\mathcal N}</w:t>
      </w:r>
    </w:p>
    <w:p w:rsidR="00156BE1" w:rsidRDefault="00E50336" w:rsidP="00156BE1">
      <w:r>
        <w:pict>
          <v:rect id="_x0000_i4067" style="width:0;height:1.5pt" o:hralign="center" o:hrstd="t" o:hr="t" fillcolor="#a0a0a0" stroked="f"/>
        </w:pict>
      </w:r>
    </w:p>
    <w:p w:rsidR="00156BE1" w:rsidRDefault="00156BE1" w:rsidP="00156BE1">
      <w:pPr>
        <w:pStyle w:val="berschrift1"/>
      </w:pPr>
      <w:r>
        <w:t>3.3.47.191 Definition 3.3.287 – Approximativ bilanzgeschlossenes funktionales Netzwerk</w:t>
      </w:r>
    </w:p>
    <w:p w:rsidR="00156BE1" w:rsidRDefault="00156BE1" w:rsidP="00156BE1">
      <w:pPr>
        <w:pStyle w:val="berschrift3"/>
      </w:pPr>
      <w:r>
        <w:t>Definition 3.3.287</w:t>
      </w:r>
    </w:p>
    <w:p w:rsidR="00156BE1" w:rsidRDefault="00156BE1" w:rsidP="00156BE1">
      <w:pPr>
        <w:pStyle w:val="StandardWeb"/>
      </w:pPr>
      <w:r>
        <w:t xml:space="preserve">Ein funktionales Bilanznetzwerk heißt </w:t>
      </w:r>
      <w:r>
        <w:rPr>
          <w:rStyle w:val="Fett"/>
        </w:rPr>
        <w:t>(\varepsilon_{\mathcal N})-bilanzgeschlossen</w:t>
      </w:r>
      <w:r>
        <w:t>, wenn</w:t>
      </w:r>
    </w:p>
    <w:p w:rsidR="00156BE1" w:rsidRDefault="00156BE1" w:rsidP="00156BE1">
      <w:pPr>
        <w:pStyle w:val="StandardWeb"/>
      </w:pPr>
      <w:r>
        <w:t>[</w:t>
      </w:r>
      <w:r>
        <w:br/>
        <w:t>\boxed{</w:t>
      </w:r>
      <w:r>
        <w:br/>
        <w:t>|\mathbf R_B|</w:t>
      </w:r>
      <w:r>
        <w:br/>
        <w:t>\leq</w:t>
      </w:r>
      <w:r>
        <w:br/>
        <w:t>\varepsilon_{\mathcal N}.</w:t>
      </w:r>
      <w:r>
        <w:br/>
        <w:t>}</w:t>
      </w:r>
      <w:r>
        <w:br/>
        <w:t>\tag{3.11766}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\boxed{\|\mathbf R_B\|\leq\varepsilon_{\mathcal N}.}</w:t>
      </w:r>
    </w:p>
    <w:p w:rsidR="00156BE1" w:rsidRDefault="00E50336" w:rsidP="00156BE1">
      <w:r>
        <w:pict>
          <v:rect id="_x0000_i4068" style="width:0;height:1.5pt" o:hralign="center" o:hrstd="t" o:hr="t" fillcolor="#a0a0a0" stroked="f"/>
        </w:pict>
      </w:r>
    </w:p>
    <w:p w:rsidR="00156BE1" w:rsidRDefault="00156BE1" w:rsidP="00156BE1">
      <w:pPr>
        <w:pStyle w:val="berschrift1"/>
      </w:pPr>
      <w:r>
        <w:t>3.3.47.192 Wahl der Norm ist modellabhängig</w:t>
      </w:r>
    </w:p>
    <w:p w:rsidR="00156BE1" w:rsidRDefault="00156BE1" w:rsidP="00156BE1">
      <w:pPr>
        <w:pStyle w:val="StandardWeb"/>
      </w:pPr>
      <w:r>
        <w:t>Die Größe</w:t>
      </w:r>
    </w:p>
    <w:p w:rsidR="00156BE1" w:rsidRDefault="00156BE1" w:rsidP="00156BE1">
      <w:pPr>
        <w:pStyle w:val="StandardWeb"/>
      </w:pPr>
      <w:r>
        <w:t>[</w:t>
      </w:r>
      <w:r>
        <w:br/>
        <w:t>|\mathbf R_B|</w:t>
      </w:r>
      <w:r>
        <w:br/>
        <w:t>\tag{3.11767}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lastRenderedPageBreak/>
        <w:t>\|\mathbf R_B\|</w:t>
      </w:r>
    </w:p>
    <w:p w:rsidR="00156BE1" w:rsidRDefault="00156BE1" w:rsidP="00156BE1">
      <w:pPr>
        <w:pStyle w:val="StandardWeb"/>
      </w:pPr>
      <w:r>
        <w:t>ist erst dann operational eindeutig, wenn eine konkrete Norm festgelegt wird.</w:t>
      </w:r>
    </w:p>
    <w:p w:rsidR="00156BE1" w:rsidRDefault="00156BE1" w:rsidP="00156BE1">
      <w:pPr>
        <w:pStyle w:val="StandardWeb"/>
      </w:pPr>
      <w:r>
        <w:t>Beispielsweise können</w:t>
      </w:r>
    </w:p>
    <w:p w:rsidR="00156BE1" w:rsidRDefault="00156BE1" w:rsidP="00156BE1">
      <w:pPr>
        <w:pStyle w:val="StandardWeb"/>
      </w:pPr>
      <w:r>
        <w:t>[</w:t>
      </w:r>
      <w:r>
        <w:br/>
        <w:t>|\mathbf R_B|_1,</w:t>
      </w:r>
      <w:r>
        <w:br/>
        <w:t>\qquad</w:t>
      </w:r>
      <w:r>
        <w:br/>
        <w:t>|\mathbf R_B|</w:t>
      </w:r>
      <w:r>
        <w:rPr>
          <w:rStyle w:val="Hervorhebung"/>
        </w:rPr>
        <w:t>2,</w:t>
      </w:r>
      <w:r>
        <w:rPr>
          <w:i/>
          <w:iCs/>
        </w:rPr>
        <w:br/>
      </w:r>
      <w:r>
        <w:rPr>
          <w:rStyle w:val="Hervorhebung"/>
        </w:rPr>
        <w:t>\qquad</w:t>
      </w:r>
      <w:r>
        <w:rPr>
          <w:i/>
          <w:iCs/>
        </w:rPr>
        <w:br/>
      </w:r>
      <w:r>
        <w:rPr>
          <w:rStyle w:val="Hervorhebung"/>
        </w:rPr>
        <w:t>|\mathbf R_B|</w:t>
      </w:r>
      <w:r>
        <w:t>\infty</w:t>
      </w:r>
      <w:r>
        <w:br/>
        <w:t>\tag{3.11768}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\|\mathbf R_B\|_1,\qquad\|\mathbf R_B\|_2,\qquad\|\mathbf R_B\|_\infty</w:t>
      </w:r>
    </w:p>
    <w:p w:rsidR="00156BE1" w:rsidRDefault="00156BE1" w:rsidP="00156BE1">
      <w:pPr>
        <w:pStyle w:val="StandardWeb"/>
      </w:pPr>
      <w:r>
        <w:t>unterschiedliche Aspekte derselben Residualstruktur hervorheben.</w:t>
      </w:r>
    </w:p>
    <w:p w:rsidR="00156BE1" w:rsidRDefault="00E50336" w:rsidP="00156BE1">
      <w:r>
        <w:pict>
          <v:rect id="_x0000_i4069" style="width:0;height:1.5pt" o:hralign="center" o:hrstd="t" o:hr="t" fillcolor="#a0a0a0" stroked="f"/>
        </w:pict>
      </w:r>
    </w:p>
    <w:p w:rsidR="00156BE1" w:rsidRDefault="00156BE1" w:rsidP="00156BE1">
      <w:pPr>
        <w:pStyle w:val="berschrift1"/>
      </w:pPr>
      <w:r>
        <w:t>3.3.47.193 Definition 3.3.288 – Bilanzfehlernorm</w:t>
      </w:r>
    </w:p>
    <w:p w:rsidR="00156BE1" w:rsidRDefault="00156BE1" w:rsidP="00156BE1">
      <w:pPr>
        <w:pStyle w:val="berschrift3"/>
      </w:pPr>
      <w:r>
        <w:t>Definition 3.3.288</w:t>
      </w:r>
    </w:p>
    <w:p w:rsidR="00156BE1" w:rsidRDefault="00156BE1" w:rsidP="00156BE1">
      <w:pPr>
        <w:pStyle w:val="StandardWeb"/>
      </w:pPr>
      <w:r>
        <w:t xml:space="preserve">Eine </w:t>
      </w:r>
      <w:r>
        <w:rPr>
          <w:rStyle w:val="Fett"/>
        </w:rPr>
        <w:t>Bilanzfehlernorm</w:t>
      </w:r>
      <w:r>
        <w:t xml:space="preserve"> ist eine für die betrachtete Modellklasse festgelegte Norm</w:t>
      </w:r>
    </w:p>
    <w:p w:rsidR="00156BE1" w:rsidRDefault="00156BE1" w:rsidP="00156BE1">
      <w:pPr>
        <w:pStyle w:val="StandardWeb"/>
      </w:pPr>
      <w:r>
        <w:t>[</w:t>
      </w:r>
      <w:r>
        <w:br/>
        <w:t>\boxed{</w:t>
      </w:r>
      <w:r>
        <w:br/>
        <w:t>|\cdot|_B</w:t>
      </w:r>
      <w:r>
        <w:br/>
        <w:t>}</w:t>
      </w:r>
      <w:r>
        <w:br/>
        <w:t>\tag{3.11769}</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\boxed{\|\cdot\|_B}</w:t>
      </w:r>
    </w:p>
    <w:p w:rsidR="00156BE1" w:rsidRDefault="00156BE1" w:rsidP="00156BE1">
      <w:pPr>
        <w:pStyle w:val="StandardWeb"/>
      </w:pPr>
      <w:r>
        <w:t>zur Bewertung funktionaler Bilanzresiduen.</w:t>
      </w:r>
    </w:p>
    <w:p w:rsidR="00156BE1" w:rsidRDefault="00E50336" w:rsidP="00156BE1">
      <w:r>
        <w:pict>
          <v:rect id="_x0000_i4070" style="width:0;height:1.5pt" o:hralign="center" o:hrstd="t" o:hr="t" fillcolor="#a0a0a0" stroked="f"/>
        </w:pict>
      </w:r>
    </w:p>
    <w:p w:rsidR="00156BE1" w:rsidRDefault="00156BE1" w:rsidP="00156BE1">
      <w:pPr>
        <w:pStyle w:val="berschrift1"/>
      </w:pPr>
      <w:r>
        <w:t>3.3.47.194 Gewichtete Bilanzresiduen</w:t>
      </w:r>
    </w:p>
    <w:p w:rsidR="00156BE1" w:rsidRDefault="00156BE1" w:rsidP="00156BE1">
      <w:pPr>
        <w:pStyle w:val="StandardWeb"/>
      </w:pPr>
      <w:r>
        <w:t>Nicht alle Knoten oder Übergänge müssen dieselbe Bedeutung besitzen.</w:t>
      </w:r>
    </w:p>
    <w:p w:rsidR="00156BE1" w:rsidRDefault="00156BE1" w:rsidP="00156BE1">
      <w:pPr>
        <w:pStyle w:val="StandardWeb"/>
      </w:pPr>
      <w:r>
        <w:t>Mit positiven Gewichten</w:t>
      </w:r>
    </w:p>
    <w:p w:rsidR="00156BE1" w:rsidRDefault="00156BE1" w:rsidP="00156BE1">
      <w:pPr>
        <w:pStyle w:val="StandardWeb"/>
      </w:pPr>
      <w:r>
        <w:lastRenderedPageBreak/>
        <w:t>[</w:t>
      </w:r>
      <w:r>
        <w:br/>
        <w:t>w_i&gt;0</w:t>
      </w:r>
      <w:r>
        <w:br/>
        <w:t>\tag{3.11770}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w_i&gt;0</w:t>
      </w:r>
    </w:p>
    <w:p w:rsidR="00156BE1" w:rsidRDefault="00156BE1" w:rsidP="00156BE1">
      <w:pPr>
        <w:pStyle w:val="StandardWeb"/>
      </w:pPr>
      <w:r>
        <w:t>kann beispielsweise ein gewichteter Fehler definiert werden:</w:t>
      </w:r>
    </w:p>
    <w:p w:rsidR="00156BE1" w:rsidRDefault="00156BE1" w:rsidP="00156BE1">
      <w:pPr>
        <w:pStyle w:val="berschrift1"/>
      </w:pPr>
      <w:r>
        <w:t>[</w:t>
      </w:r>
      <w:r>
        <w:br/>
        <w:t>E_{\mathcal N,w}</w:t>
      </w:r>
    </w:p>
    <w:p w:rsidR="00156BE1" w:rsidRDefault="00156BE1" w:rsidP="00156BE1">
      <w:pPr>
        <w:pStyle w:val="StandardWeb"/>
      </w:pPr>
      <w:r>
        <w:t>\left(</w:t>
      </w:r>
      <w:r>
        <w:br/>
        <w:t>\sum_{i=1}^{n}</w:t>
      </w:r>
      <w:r>
        <w:br/>
        <w:t>w_iR_{B,i}^{2}</w:t>
      </w:r>
      <w:r>
        <w:br/>
        <w:t>\right)^{1/2}.</w:t>
      </w:r>
      <w:r>
        <w:br/>
        <w:t>\tag{3.11771}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E_{\mathcal N,w}=\left(\sum_{i=1}^{n}w_iR_{B,i}^{2}\right)^{1/2}</w:t>
      </w:r>
    </w:p>
    <w:p w:rsidR="00156BE1" w:rsidRDefault="00E50336" w:rsidP="00156BE1">
      <w:r>
        <w:pict>
          <v:rect id="_x0000_i4071" style="width:0;height:1.5pt" o:hralign="center" o:hrstd="t" o:hr="t" fillcolor="#a0a0a0" stroked="f"/>
        </w:pict>
      </w:r>
    </w:p>
    <w:p w:rsidR="00156BE1" w:rsidRDefault="00156BE1" w:rsidP="00156BE1">
      <w:pPr>
        <w:pStyle w:val="berschrift1"/>
      </w:pPr>
      <w:r>
        <w:t>3.3.47.195 Definition 3.3.289 – Gewichteter Netzwerkbilanzfehler</w:t>
      </w:r>
    </w:p>
    <w:p w:rsidR="00156BE1" w:rsidRDefault="00156BE1" w:rsidP="00156BE1">
      <w:pPr>
        <w:pStyle w:val="berschrift3"/>
      </w:pPr>
      <w:r>
        <w:t>Definition 3.3.289</w:t>
      </w:r>
    </w:p>
    <w:p w:rsidR="00156BE1" w:rsidRDefault="00156BE1" w:rsidP="00156BE1">
      <w:pPr>
        <w:pStyle w:val="StandardWeb"/>
      </w:pPr>
      <w:r>
        <w:t xml:space="preserve">Der </w:t>
      </w:r>
      <w:r>
        <w:rPr>
          <w:rStyle w:val="Fett"/>
        </w:rPr>
        <w:t>gewichtete Netzwerkbilanzfehler</w:t>
      </w:r>
      <w:r>
        <w:t xml:space="preserve"> ist</w:t>
      </w:r>
    </w:p>
    <w:p w:rsidR="00156BE1" w:rsidRDefault="00156BE1" w:rsidP="00156BE1">
      <w:pPr>
        <w:pStyle w:val="StandardWeb"/>
      </w:pPr>
      <w:r>
        <w:t>[</w:t>
      </w:r>
      <w:r>
        <w:br/>
        <w:t>\boxed{</w:t>
      </w:r>
      <w:r>
        <w:br/>
        <w:t>E_{\mathcal N,w}</w:t>
      </w:r>
      <w:r>
        <w:br/>
        <w:t>:=</w:t>
      </w:r>
      <w:r>
        <w:br/>
        <w:t>\left(</w:t>
      </w:r>
      <w:r>
        <w:br/>
        <w:t>\sum_{i=1}^{n}</w:t>
      </w:r>
      <w:r>
        <w:br/>
        <w:t>w_iR_{B,i}^{2}</w:t>
      </w:r>
      <w:r>
        <w:br/>
        <w:t>\right)^{1/2},</w:t>
      </w:r>
      <w:r>
        <w:br/>
        <w:t>\qquad</w:t>
      </w:r>
      <w:r>
        <w:br/>
        <w:t>w_i&gt;0.</w:t>
      </w:r>
      <w:r>
        <w:br/>
        <w:t>}</w:t>
      </w:r>
      <w:r>
        <w:br/>
        <w:t>\tag{3.11772}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lastRenderedPageBreak/>
        <w:t>\boxed{E_{\mathcal N,w}:=\left(\sum_{i=1}^{n}w_iR_{B,i}^{2}\right)^{1/2},\qquad w_i&gt;0.}</w:t>
      </w:r>
    </w:p>
    <w:p w:rsidR="00156BE1" w:rsidRDefault="00E50336" w:rsidP="00156BE1">
      <w:r>
        <w:pict>
          <v:rect id="_x0000_i4072" style="width:0;height:1.5pt" o:hralign="center" o:hrstd="t" o:hr="t" fillcolor="#a0a0a0" stroked="f"/>
        </w:pict>
      </w:r>
    </w:p>
    <w:p w:rsidR="00156BE1" w:rsidRDefault="00156BE1" w:rsidP="00156BE1">
      <w:pPr>
        <w:pStyle w:val="berschrift1"/>
      </w:pPr>
      <w:r>
        <w:t>3.3.47.196 Bilanzdefekt und Modellfehler sind nicht identisch</w:t>
      </w:r>
    </w:p>
    <w:p w:rsidR="00156BE1" w:rsidRDefault="00156BE1" w:rsidP="00156BE1">
      <w:pPr>
        <w:pStyle w:val="StandardWeb"/>
      </w:pPr>
      <w:r>
        <w:t>Ein Residuum</w:t>
      </w:r>
    </w:p>
    <w:p w:rsidR="00156BE1" w:rsidRDefault="00156BE1" w:rsidP="00156BE1">
      <w:pPr>
        <w:pStyle w:val="StandardWeb"/>
      </w:pPr>
      <w:r>
        <w:t>[</w:t>
      </w:r>
      <w:r>
        <w:br/>
        <w:t>R_B\neq0</w:t>
      </w:r>
      <w:r>
        <w:br/>
        <w:t>\tag{3.11773}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R_B\neq0</w:t>
      </w:r>
    </w:p>
    <w:p w:rsidR="00156BE1" w:rsidRDefault="00156BE1" w:rsidP="00156BE1">
      <w:pPr>
        <w:pStyle w:val="StandardWeb"/>
      </w:pPr>
      <w:r>
        <w:t>beweist nicht automatisch, dass das zugrunde liegende FRZK falsch ist.</w:t>
      </w:r>
    </w:p>
    <w:p w:rsidR="00156BE1" w:rsidRDefault="00156BE1" w:rsidP="00156BE1">
      <w:pPr>
        <w:pStyle w:val="StandardWeb"/>
      </w:pPr>
      <w:r>
        <w:t>Es kann vielmehr gelten</w:t>
      </w:r>
    </w:p>
    <w:p w:rsidR="00156BE1" w:rsidRDefault="00156BE1" w:rsidP="00156BE1">
      <w:pPr>
        <w:pStyle w:val="berschrift1"/>
      </w:pPr>
      <w:r>
        <w:t>[</w:t>
      </w:r>
      <w:r>
        <w:br/>
        <w:t>R_B</w:t>
      </w:r>
    </w:p>
    <w:p w:rsidR="00156BE1" w:rsidRDefault="00156BE1" w:rsidP="00156BE1">
      <w:pPr>
        <w:pStyle w:val="StandardWeb"/>
      </w:pPr>
      <w:r>
        <w:t>R_{\mathrm{Mess}}</w:t>
      </w:r>
      <w:r>
        <w:br/>
        <w:t>+</w:t>
      </w:r>
      <w:r>
        <w:br/>
        <w:t>R_{\mathrm{Num}}</w:t>
      </w:r>
      <w:r>
        <w:br/>
        <w:t>+</w:t>
      </w:r>
      <w:r>
        <w:br/>
        <w:t>R_{\mathrm{Mod}}</w:t>
      </w:r>
      <w:r>
        <w:br/>
        <w:t>+</w:t>
      </w:r>
      <w:r>
        <w:br/>
        <w:t>R_{\mathrm{Grenze}},</w:t>
      </w:r>
      <w:r>
        <w:br/>
        <w:t>\tag{3.11774}</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R_B=R_{\mathrm{Mess}}+R_{\mathrm{Num}}+R_{\mathrm{Mod}}+R_{\mathrm{Grenze}}</w:t>
      </w:r>
    </w:p>
    <w:p w:rsidR="00156BE1" w:rsidRDefault="00156BE1" w:rsidP="00156BE1">
      <w:pPr>
        <w:pStyle w:val="StandardWeb"/>
      </w:pPr>
      <w:r>
        <w:t>wobei die vier Beiträge beispielsweise Mess-, numerische, Modellierungs- und Grenzdefinitionsfehler repräsentieren.</w:t>
      </w:r>
    </w:p>
    <w:p w:rsidR="00156BE1" w:rsidRDefault="00E50336" w:rsidP="00156BE1">
      <w:r>
        <w:pict>
          <v:rect id="_x0000_i4073" style="width:0;height:1.5pt" o:hralign="center" o:hrstd="t" o:hr="t" fillcolor="#a0a0a0" stroked="f"/>
        </w:pict>
      </w:r>
    </w:p>
    <w:p w:rsidR="00156BE1" w:rsidRDefault="00156BE1" w:rsidP="00156BE1">
      <w:pPr>
        <w:pStyle w:val="berschrift1"/>
      </w:pPr>
      <w:r>
        <w:t>3.3.47.197 Definition 3.3.290 – Bilanzresidualzerlegung</w:t>
      </w:r>
    </w:p>
    <w:p w:rsidR="00156BE1" w:rsidRDefault="00156BE1" w:rsidP="00156BE1">
      <w:pPr>
        <w:pStyle w:val="berschrift3"/>
      </w:pPr>
      <w:r>
        <w:t>Definition 3.3.290</w:t>
      </w:r>
    </w:p>
    <w:p w:rsidR="00156BE1" w:rsidRDefault="00156BE1" w:rsidP="00156BE1">
      <w:pPr>
        <w:pStyle w:val="StandardWeb"/>
      </w:pPr>
      <w:r>
        <w:lastRenderedPageBreak/>
        <w:t xml:space="preserve">Eine </w:t>
      </w:r>
      <w:r>
        <w:rPr>
          <w:rStyle w:val="Fett"/>
        </w:rPr>
        <w:t>Bilanzresidualzerlegung</w:t>
      </w:r>
      <w:r>
        <w:t xml:space="preserve"> ist eine modellabhängige Darstellung</w:t>
      </w:r>
    </w:p>
    <w:p w:rsidR="00156BE1" w:rsidRDefault="00156BE1" w:rsidP="00156BE1">
      <w:pPr>
        <w:pStyle w:val="berschrift1"/>
      </w:pPr>
      <w:r>
        <w:t>[</w:t>
      </w:r>
      <w:r>
        <w:br/>
        <w:t>\boxed{</w:t>
      </w:r>
      <w:r>
        <w:br/>
        <w:t>R_B</w:t>
      </w:r>
    </w:p>
    <w:p w:rsidR="00156BE1" w:rsidRDefault="00156BE1" w:rsidP="00156BE1">
      <w:pPr>
        <w:pStyle w:val="StandardWeb"/>
      </w:pPr>
      <w:r>
        <w:t>\sum_{\alpha}</w:t>
      </w:r>
      <w:r>
        <w:br/>
        <w:t>R_B^{(\alpha)},</w:t>
      </w:r>
      <w:r>
        <w:br/>
        <w:t>}</w:t>
      </w:r>
      <w:r>
        <w:br/>
        <w:t>\tag{3.11775}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\boxed{R_B=\sum_{\alpha}R_B^{(\alpha)},}</w:t>
      </w:r>
    </w:p>
    <w:p w:rsidR="00156BE1" w:rsidRDefault="00156BE1" w:rsidP="00156BE1">
      <w:pPr>
        <w:pStyle w:val="StandardWeb"/>
      </w:pPr>
      <w:r>
        <w:t>in der unterschiedliche bekannte oder hypothetische Ursachen des Bilanzresiduums getrennt ausgewiesen werden.</w:t>
      </w:r>
    </w:p>
    <w:p w:rsidR="00156BE1" w:rsidRDefault="00E50336" w:rsidP="00156BE1">
      <w:r>
        <w:pict>
          <v:rect id="_x0000_i4074" style="width:0;height:1.5pt" o:hralign="center" o:hrstd="t" o:hr="t" fillcolor="#a0a0a0" stroked="f"/>
        </w:pict>
      </w:r>
    </w:p>
    <w:p w:rsidR="00156BE1" w:rsidRDefault="00156BE1" w:rsidP="00156BE1">
      <w:pPr>
        <w:pStyle w:val="berschrift1"/>
      </w:pPr>
      <w:r>
        <w:t>3.3.47.198 Keine eindeutige Residualzerlegung ohne Zusatzstruktur</w:t>
      </w:r>
    </w:p>
    <w:p w:rsidR="00156BE1" w:rsidRDefault="00156BE1" w:rsidP="00156BE1">
      <w:pPr>
        <w:pStyle w:val="StandardWeb"/>
      </w:pPr>
      <w:r>
        <w:t>Aus dem Gesamtresiduum</w:t>
      </w:r>
    </w:p>
    <w:p w:rsidR="00156BE1" w:rsidRDefault="00156BE1" w:rsidP="00156BE1">
      <w:pPr>
        <w:pStyle w:val="StandardWeb"/>
      </w:pPr>
      <w:r>
        <w:t>[</w:t>
      </w:r>
      <w:r>
        <w:br/>
        <w:t>R_B</w:t>
      </w:r>
      <w:r>
        <w:br/>
        <w:t>\tag{3.11776}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R_B</w:t>
      </w:r>
    </w:p>
    <w:p w:rsidR="00156BE1" w:rsidRDefault="00156BE1" w:rsidP="00156BE1">
      <w:pPr>
        <w:pStyle w:val="StandardWeb"/>
      </w:pPr>
      <w:r>
        <w:t>kann im Allgemeinen nicht eindeutig auf seine Ursachen geschlossen werden.</w:t>
      </w:r>
    </w:p>
    <w:p w:rsidR="00156BE1" w:rsidRDefault="00156BE1" w:rsidP="00156BE1">
      <w:pPr>
        <w:pStyle w:val="StandardWeb"/>
      </w:pPr>
      <w:r>
        <w:t>Daher gilt</w:t>
      </w:r>
    </w:p>
    <w:p w:rsidR="00156BE1" w:rsidRDefault="00156BE1" w:rsidP="00156BE1">
      <w:pPr>
        <w:pStyle w:val="StandardWeb"/>
      </w:pPr>
      <w:r>
        <w:t>[</w:t>
      </w:r>
      <w:r>
        <w:br/>
        <w:t>\boxed{</w:t>
      </w:r>
      <w:r>
        <w:br/>
        <w:t>R_B</w:t>
      </w:r>
      <w:r>
        <w:br/>
        <w:t>\not\Rightarrow</w:t>
      </w:r>
      <w:r>
        <w:br/>
        <w:t>\text{eindeutige Fehlerursache}.</w:t>
      </w:r>
      <w:r>
        <w:br/>
        <w:t>}</w:t>
      </w:r>
      <w:r>
        <w:br/>
        <w:t>\tag{3.11777}</w:t>
      </w:r>
      <w:r>
        <w:br/>
        <w:t>]</w:t>
      </w:r>
    </w:p>
    <w:p w:rsidR="00156BE1" w:rsidRDefault="00156BE1" w:rsidP="00156BE1">
      <w:pPr>
        <w:pStyle w:val="StandardWeb"/>
      </w:pPr>
      <w:r>
        <w:rPr>
          <w:rStyle w:val="Fett"/>
        </w:rPr>
        <w:lastRenderedPageBreak/>
        <w:t>Word-LaTeX</w:t>
      </w:r>
    </w:p>
    <w:p w:rsidR="00156BE1" w:rsidRDefault="00156BE1" w:rsidP="00156BE1">
      <w:pPr>
        <w:pStyle w:val="HTMLVorformatiert"/>
        <w:rPr>
          <w:rStyle w:val="HTMLCode"/>
        </w:rPr>
      </w:pPr>
      <w:r>
        <w:rPr>
          <w:rStyle w:val="HTMLCode"/>
        </w:rPr>
        <w:t>\boxed{R_B\not\Rightarrow\text{eindeutige Fehlerursache}.}</w:t>
      </w:r>
    </w:p>
    <w:p w:rsidR="00156BE1" w:rsidRDefault="00E50336" w:rsidP="00156BE1">
      <w:r>
        <w:pict>
          <v:rect id="_x0000_i4075" style="width:0;height:1.5pt" o:hralign="center" o:hrstd="t" o:hr="t" fillcolor="#a0a0a0" stroked="f"/>
        </w:pict>
      </w:r>
    </w:p>
    <w:p w:rsidR="00156BE1" w:rsidRDefault="00156BE1" w:rsidP="00156BE1">
      <w:pPr>
        <w:pStyle w:val="berschrift1"/>
      </w:pPr>
      <w:r>
        <w:t>3.3.47.199 Primäraxiomkandidat zyklischer Bilanzfreiheit</w:t>
      </w:r>
    </w:p>
    <w:p w:rsidR="00156BE1" w:rsidRDefault="00156BE1" w:rsidP="00156BE1">
      <w:pPr>
        <w:pStyle w:val="StandardWeb"/>
      </w:pPr>
      <w:r>
        <w:t>Die Netzwerkbetrachtung erlaubt einen weiteren möglichen Primäraxiomkandidaten:</w:t>
      </w:r>
    </w:p>
    <w:p w:rsidR="00156BE1" w:rsidRDefault="00156BE1" w:rsidP="00156BE1">
      <w:pPr>
        <w:pStyle w:val="StandardWeb"/>
      </w:pPr>
      <w:r>
        <w:t>[</w:t>
      </w:r>
      <w:r>
        <w:br/>
        <w:t>A_{\mathrm{cyc}}:</w:t>
      </w:r>
      <w:r>
        <w:br/>
        <w:t>\forall\gamma_C:</w:t>
      </w:r>
      <w:r>
        <w:br/>
        <w:t>\Gamma_J(\gamma_C)=0.</w:t>
      </w:r>
      <w:r>
        <w:br/>
        <w:t>\tag{3.11778}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A_{\mathrm{cyc}}:\forall\gamma_C:\Gamma_J(\gamma_C)=0</w:t>
      </w:r>
    </w:p>
    <w:p w:rsidR="00156BE1" w:rsidRDefault="00156BE1" w:rsidP="00156BE1">
      <w:pPr>
        <w:pStyle w:val="StandardWeb"/>
      </w:pPr>
      <w:r>
        <w:t>Dieser Kandidat würde verlangen, dass sämtliche funktionalen Flüsse zirkulationsfrei sind.</w:t>
      </w:r>
    </w:p>
    <w:p w:rsidR="00156BE1" w:rsidRDefault="00E50336" w:rsidP="00156BE1">
      <w:r>
        <w:pict>
          <v:rect id="_x0000_i4076" style="width:0;height:1.5pt" o:hralign="center" o:hrstd="t" o:hr="t" fillcolor="#a0a0a0" stroked="f"/>
        </w:pict>
      </w:r>
    </w:p>
    <w:p w:rsidR="00156BE1" w:rsidRDefault="00156BE1" w:rsidP="00156BE1">
      <w:pPr>
        <w:pStyle w:val="berschrift1"/>
      </w:pPr>
      <w:r>
        <w:t>3.3.47.200 Notwendigkeitstest zyklischer Bilanzfreiheit</w:t>
      </w:r>
    </w:p>
    <w:p w:rsidR="00156BE1" w:rsidRDefault="00156BE1" w:rsidP="00156BE1">
      <w:pPr>
        <w:pStyle w:val="StandardWeb"/>
      </w:pPr>
      <w:r>
        <w:t>Ein allgemeines FRZK-Modell verlangt jedoch weder einen Flussbegriff noch eine Potenzialdarstellung.</w:t>
      </w:r>
    </w:p>
    <w:p w:rsidR="00156BE1" w:rsidRDefault="00156BE1" w:rsidP="00156BE1">
      <w:pPr>
        <w:pStyle w:val="StandardWeb"/>
      </w:pPr>
      <w:r>
        <w:t>Selbst in einer Modellklasse mit Flüssen können zyklische Flüsse auftreten:</w:t>
      </w:r>
    </w:p>
    <w:p w:rsidR="00156BE1" w:rsidRDefault="00156BE1" w:rsidP="00156BE1">
      <w:pPr>
        <w:pStyle w:val="StandardWeb"/>
      </w:pPr>
      <w:r>
        <w:t>[</w:t>
      </w:r>
      <w:r>
        <w:br/>
        <w:t>\Gamma_J(\gamma_C)</w:t>
      </w:r>
      <w:r>
        <w:br/>
        <w:t>\neq</w:t>
      </w:r>
      <w:r>
        <w:br/>
        <w:t>0.</w:t>
      </w:r>
      <w:r>
        <w:br/>
        <w:t>\tag{3.11779}</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\Gamma_J(\gamma_C)\neq0</w:t>
      </w:r>
    </w:p>
    <w:p w:rsidR="00156BE1" w:rsidRDefault="00156BE1" w:rsidP="00156BE1">
      <w:pPr>
        <w:pStyle w:val="StandardWeb"/>
      </w:pPr>
      <w:r>
        <w:t>Ein solches Netzwerk bleibt mathematisch wohldefiniert.</w:t>
      </w:r>
    </w:p>
    <w:p w:rsidR="00156BE1" w:rsidRDefault="00156BE1" w:rsidP="00156BE1">
      <w:pPr>
        <w:pStyle w:val="StandardWeb"/>
      </w:pPr>
      <w:r>
        <w:t>Damit folgt</w:t>
      </w:r>
    </w:p>
    <w:p w:rsidR="00156BE1" w:rsidRDefault="00156BE1" w:rsidP="00156BE1">
      <w:pPr>
        <w:pStyle w:val="berschrift1"/>
      </w:pPr>
      <w:r>
        <w:lastRenderedPageBreak/>
        <w:t>[</w:t>
      </w:r>
      <w:r>
        <w:br/>
        <w:t>U_{\mathrm{Ax}}</w:t>
      </w:r>
      <w:r>
        <w:br/>
        <w:t>(A_{\mathrm{cyc}})</w:t>
      </w:r>
    </w:p>
    <w:p w:rsidR="00156BE1" w:rsidRDefault="00156BE1" w:rsidP="00152216">
      <w:pPr>
        <w:numPr>
          <w:ilvl w:val="0"/>
          <w:numId w:val="521"/>
        </w:numPr>
        <w:spacing w:before="100" w:beforeAutospacing="1" w:after="100" w:afterAutospacing="1"/>
      </w:pPr>
    </w:p>
    <w:p w:rsidR="00156BE1" w:rsidRDefault="00156BE1" w:rsidP="00156BE1">
      <w:pPr>
        <w:pStyle w:val="StandardWeb"/>
      </w:pPr>
      <w:r>
        <w:t>\tag{3.11780}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U_{\mathrm{Ax}}(A_{\mathrm{cyc}})=0</w:t>
      </w:r>
    </w:p>
    <w:p w:rsidR="00156BE1" w:rsidRDefault="00E50336" w:rsidP="00156BE1">
      <w:r>
        <w:pict>
          <v:rect id="_x0000_i4077" style="width:0;height:1.5pt" o:hralign="center" o:hrstd="t" o:hr="t" fillcolor="#a0a0a0" stroked="f"/>
        </w:pict>
      </w:r>
    </w:p>
    <w:p w:rsidR="00156BE1" w:rsidRDefault="00156BE1" w:rsidP="00156BE1">
      <w:pPr>
        <w:pStyle w:val="berschrift1"/>
      </w:pPr>
      <w:r>
        <w:t>3.3.47.201 Satz 3.3.116 – Zirkulationsfreiheit funktionaler Flüsse ist kein Primäraxiom</w:t>
      </w:r>
    </w:p>
    <w:p w:rsidR="00156BE1" w:rsidRDefault="00156BE1" w:rsidP="00156BE1">
      <w:pPr>
        <w:pStyle w:val="berschrift3"/>
      </w:pPr>
      <w:r>
        <w:t>Satz 3.3.116</w:t>
      </w:r>
    </w:p>
    <w:p w:rsidR="00156BE1" w:rsidRDefault="00156BE1" w:rsidP="00156BE1">
      <w:pPr>
        <w:pStyle w:val="StandardWeb"/>
      </w:pPr>
      <w:r>
        <w:t>Die Forderung, jeder funktionale Fluss müsse auf sämtlichen geschlossenen Zyklen verschwindende Zirkulation besitzen, ist keine universell notwendige Voraussetzung eines allgemeinen FRZK-Modells.</w:t>
      </w:r>
    </w:p>
    <w:p w:rsidR="00156BE1" w:rsidRDefault="00156BE1" w:rsidP="00156BE1">
      <w:pPr>
        <w:pStyle w:val="StandardWeb"/>
      </w:pPr>
      <w:r>
        <w:t>Daher gilt</w:t>
      </w:r>
    </w:p>
    <w:p w:rsidR="00156BE1" w:rsidRDefault="00156BE1" w:rsidP="00156BE1">
      <w:pPr>
        <w:pStyle w:val="berschrift1"/>
      </w:pPr>
      <w:r>
        <w:t>[</w:t>
      </w:r>
      <w:r>
        <w:br/>
        <w:t>\boxed{</w:t>
      </w:r>
      <w:r>
        <w:br/>
        <w:t>U_{\mathrm{Ax}}</w:t>
      </w:r>
      <w:r>
        <w:br/>
        <w:t>(A_{\mathrm{cyc}})</w:t>
      </w:r>
    </w:p>
    <w:p w:rsidR="00156BE1" w:rsidRDefault="00156BE1" w:rsidP="00152216">
      <w:pPr>
        <w:numPr>
          <w:ilvl w:val="0"/>
          <w:numId w:val="522"/>
        </w:numPr>
        <w:spacing w:before="100" w:beforeAutospacing="1" w:after="100" w:afterAutospacing="1"/>
      </w:pPr>
    </w:p>
    <w:p w:rsidR="00156BE1" w:rsidRDefault="00156BE1" w:rsidP="00156BE1">
      <w:pPr>
        <w:pStyle w:val="StandardWeb"/>
      </w:pPr>
      <w:r>
        <w:t>}</w:t>
      </w:r>
      <w:r>
        <w:br/>
        <w:t>\tag{3.11781}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\boxed{U_{\mathrm{Ax}}(A_{\mathrm{cyc}})=0.}</w:t>
      </w:r>
    </w:p>
    <w:p w:rsidR="00156BE1" w:rsidRDefault="00156BE1" w:rsidP="00156BE1">
      <w:pPr>
        <w:pStyle w:val="berschrift3"/>
      </w:pPr>
      <w:r>
        <w:t>Beweis</w:t>
      </w:r>
    </w:p>
    <w:p w:rsidR="00156BE1" w:rsidRDefault="00156BE1" w:rsidP="00156BE1">
      <w:pPr>
        <w:pStyle w:val="StandardWeb"/>
      </w:pPr>
      <w:r>
        <w:t xml:space="preserve">Der minimale FRZK-Kern fordert weder die Existenz eines funktionalen Flusses noch dessen Darstellung durch ein Potenzial. Auch Bilanzmodelle mit nichtverschwindenden zyklischen </w:t>
      </w:r>
      <w:r>
        <w:lastRenderedPageBreak/>
        <w:t>Flüssen sind logisch konsistent. Damit ist Zirkulationsfreiheit nicht universal notwendig. (\square)</w:t>
      </w:r>
    </w:p>
    <w:p w:rsidR="00156BE1" w:rsidRDefault="00E50336" w:rsidP="00156BE1">
      <w:r>
        <w:pict>
          <v:rect id="_x0000_i4078" style="width:0;height:1.5pt" o:hralign="center" o:hrstd="t" o:hr="t" fillcolor="#a0a0a0" stroked="f"/>
        </w:pict>
      </w:r>
    </w:p>
    <w:p w:rsidR="00156BE1" w:rsidRDefault="00156BE1" w:rsidP="00156BE1">
      <w:pPr>
        <w:pStyle w:val="berschrift1"/>
      </w:pPr>
      <w:r>
        <w:t>3.3.47.202 Primäraxiomkandidat exakter Bilanzgeschlossenheit</w:t>
      </w:r>
    </w:p>
    <w:p w:rsidR="00156BE1" w:rsidRDefault="00156BE1" w:rsidP="00156BE1">
      <w:pPr>
        <w:pStyle w:val="StandardWeb"/>
      </w:pPr>
      <w:r>
        <w:t>Ein weiterer Kandidat wäre</w:t>
      </w:r>
    </w:p>
    <w:p w:rsidR="00156BE1" w:rsidRDefault="00156BE1" w:rsidP="00156BE1">
      <w:pPr>
        <w:pStyle w:val="StandardWeb"/>
      </w:pPr>
      <w:r>
        <w:t>[</w:t>
      </w:r>
      <w:r>
        <w:br/>
        <w:t>A_R:</w:t>
      </w:r>
      <w:r>
        <w:br/>
        <w:t>R_B=0</w:t>
      </w:r>
      <w:r>
        <w:br/>
        <w:t>\qquad</w:t>
      </w:r>
      <w:r>
        <w:br/>
        <w:t>\text{für jeden bilanzierten Übergang}.</w:t>
      </w:r>
      <w:r>
        <w:br/>
        <w:t>\tag{3.11782}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A_R:R_B=0\qquad\text{für jeden bilanzierten Übergang}</w:t>
      </w:r>
    </w:p>
    <w:p w:rsidR="00156BE1" w:rsidRDefault="00E50336" w:rsidP="00156BE1">
      <w:r>
        <w:pict>
          <v:rect id="_x0000_i4079" style="width:0;height:1.5pt" o:hralign="center" o:hrstd="t" o:hr="t" fillcolor="#a0a0a0" stroked="f"/>
        </w:pict>
      </w:r>
    </w:p>
    <w:p w:rsidR="00156BE1" w:rsidRDefault="00156BE1" w:rsidP="00156BE1">
      <w:pPr>
        <w:pStyle w:val="berschrift1"/>
      </w:pPr>
      <w:r>
        <w:t>3.3.47.203 Notwendigkeitstest exakter Bilanzgeschlossenheit</w:t>
      </w:r>
    </w:p>
    <w:p w:rsidR="00156BE1" w:rsidRDefault="00156BE1" w:rsidP="00156BE1">
      <w:pPr>
        <w:pStyle w:val="StandardWeb"/>
      </w:pPr>
      <w:r>
        <w:t>Die Forderung</w:t>
      </w:r>
    </w:p>
    <w:p w:rsidR="00156BE1" w:rsidRDefault="00156BE1" w:rsidP="00156BE1">
      <w:pPr>
        <w:pStyle w:val="StandardWeb"/>
      </w:pPr>
      <w:r>
        <w:t>[</w:t>
      </w:r>
      <w:r>
        <w:br/>
        <w:t>R_B=0</w:t>
      </w:r>
      <w:r>
        <w:br/>
        <w:t>\tag{3.11783}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R_B=0</w:t>
      </w:r>
    </w:p>
    <w:p w:rsidR="00156BE1" w:rsidRDefault="00156BE1" w:rsidP="00156BE1">
      <w:pPr>
        <w:pStyle w:val="StandardWeb"/>
      </w:pPr>
      <w:r>
        <w:t>ist jedoch nur innerhalb einer bereits festgelegten Bilanzmodellklasse sinnvoll.</w:t>
      </w:r>
    </w:p>
    <w:p w:rsidR="00156BE1" w:rsidRDefault="00156BE1" w:rsidP="00156BE1">
      <w:pPr>
        <w:pStyle w:val="StandardWeb"/>
      </w:pPr>
      <w:r>
        <w:t>Da Bilanzstrukturen selbst keine universelle FRZK-Voraussetzung sind, kann auch ihre exakte Residuenfreiheit kein universelles Primäraxiom sein.</w:t>
      </w:r>
    </w:p>
    <w:p w:rsidR="00156BE1" w:rsidRDefault="00156BE1" w:rsidP="00156BE1">
      <w:pPr>
        <w:pStyle w:val="StandardWeb"/>
      </w:pPr>
      <w:r>
        <w:t>Somit gilt</w:t>
      </w:r>
    </w:p>
    <w:p w:rsidR="00156BE1" w:rsidRDefault="00156BE1" w:rsidP="00156BE1">
      <w:pPr>
        <w:pStyle w:val="berschrift1"/>
      </w:pPr>
      <w:r>
        <w:t>[</w:t>
      </w:r>
      <w:r>
        <w:br/>
        <w:t>U_{\mathrm{Ax}}(A_R)</w:t>
      </w:r>
    </w:p>
    <w:p w:rsidR="00156BE1" w:rsidRDefault="00156BE1" w:rsidP="00152216">
      <w:pPr>
        <w:numPr>
          <w:ilvl w:val="0"/>
          <w:numId w:val="523"/>
        </w:numPr>
        <w:spacing w:before="100" w:beforeAutospacing="1" w:after="100" w:afterAutospacing="1"/>
      </w:pPr>
    </w:p>
    <w:p w:rsidR="00156BE1" w:rsidRDefault="00156BE1" w:rsidP="00156BE1">
      <w:pPr>
        <w:pStyle w:val="StandardWeb"/>
      </w:pPr>
      <w:r>
        <w:t>\tag{3.11784}</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U_{\mathrm{Ax}}(A_R)=0</w:t>
      </w:r>
    </w:p>
    <w:p w:rsidR="00156BE1" w:rsidRDefault="00E50336" w:rsidP="00156BE1">
      <w:r>
        <w:pict>
          <v:rect id="_x0000_i4080" style="width:0;height:1.5pt" o:hralign="center" o:hrstd="t" o:hr="t" fillcolor="#a0a0a0" stroked="f"/>
        </w:pict>
      </w:r>
    </w:p>
    <w:p w:rsidR="00156BE1" w:rsidRDefault="00156BE1" w:rsidP="00156BE1">
      <w:pPr>
        <w:pStyle w:val="berschrift1"/>
      </w:pPr>
      <w:r>
        <w:t>3.3.47.204 Satz 3.3.117 – Exakte funktionale Bilanzgeschlossenheit ist kein Primäraxiom</w:t>
      </w:r>
    </w:p>
    <w:p w:rsidR="00156BE1" w:rsidRDefault="00156BE1" w:rsidP="00156BE1">
      <w:pPr>
        <w:pStyle w:val="berschrift3"/>
      </w:pPr>
      <w:r>
        <w:t>Satz 3.3.117</w:t>
      </w:r>
    </w:p>
    <w:p w:rsidR="00156BE1" w:rsidRDefault="00156BE1" w:rsidP="00156BE1">
      <w:pPr>
        <w:pStyle w:val="StandardWeb"/>
      </w:pPr>
      <w:r>
        <w:t>Die Forderung einer exakt verschwindenden Bilanzabweichung für jede funktionale Zustandsänderung ist keine universell notwendige Voraussetzung eines allgemeinen FRZK-Modells.</w:t>
      </w:r>
    </w:p>
    <w:p w:rsidR="00156BE1" w:rsidRDefault="00156BE1" w:rsidP="00156BE1">
      <w:pPr>
        <w:pStyle w:val="StandardWeb"/>
      </w:pPr>
      <w:r>
        <w:t>Damit gilt</w:t>
      </w:r>
    </w:p>
    <w:p w:rsidR="00156BE1" w:rsidRDefault="00156BE1" w:rsidP="00156BE1">
      <w:pPr>
        <w:pStyle w:val="berschrift1"/>
      </w:pPr>
      <w:r>
        <w:t>[</w:t>
      </w:r>
      <w:r>
        <w:br/>
        <w:t>\boxed{</w:t>
      </w:r>
      <w:r>
        <w:br/>
        <w:t>U_{\mathrm{Ax}}(A_R)</w:t>
      </w:r>
    </w:p>
    <w:p w:rsidR="00156BE1" w:rsidRDefault="00156BE1" w:rsidP="00152216">
      <w:pPr>
        <w:numPr>
          <w:ilvl w:val="0"/>
          <w:numId w:val="524"/>
        </w:numPr>
        <w:spacing w:before="100" w:beforeAutospacing="1" w:after="100" w:afterAutospacing="1"/>
      </w:pPr>
    </w:p>
    <w:p w:rsidR="00156BE1" w:rsidRDefault="00156BE1" w:rsidP="00156BE1">
      <w:pPr>
        <w:pStyle w:val="StandardWeb"/>
      </w:pPr>
      <w:r>
        <w:t>}</w:t>
      </w:r>
      <w:r>
        <w:br/>
        <w:t>\tag{3.11785}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\boxed{U_{\mathrm{Ax}}(A_R)=0.}</w:t>
      </w:r>
    </w:p>
    <w:p w:rsidR="00156BE1" w:rsidRDefault="00156BE1" w:rsidP="00156BE1">
      <w:pPr>
        <w:pStyle w:val="berschrift3"/>
      </w:pPr>
      <w:r>
        <w:t>Beweis</w:t>
      </w:r>
    </w:p>
    <w:p w:rsidR="00156BE1" w:rsidRDefault="00156BE1" w:rsidP="00156BE1">
      <w:pPr>
        <w:pStyle w:val="StandardWeb"/>
      </w:pPr>
      <w:r>
        <w:t>Ein allgemeines FRZK kann ohne Bilanzzerlegung formuliert werden. Damit ist auch ein Bilanzresiduum dort nicht notwendig definiert. Eine Bedingung an ein nicht universal vorhandenes Modellobjekt kann folglich keine universell notwendige Primärvoraussetzung des Gesamtsystems sein. (\square)</w:t>
      </w:r>
    </w:p>
    <w:p w:rsidR="00156BE1" w:rsidRDefault="00E50336" w:rsidP="00156BE1">
      <w:r>
        <w:pict>
          <v:rect id="_x0000_i4081" style="width:0;height:1.5pt" o:hralign="center" o:hrstd="t" o:hr="t" fillcolor="#a0a0a0" stroked="f"/>
        </w:pict>
      </w:r>
    </w:p>
    <w:p w:rsidR="00156BE1" w:rsidRDefault="00156BE1" w:rsidP="00156BE1">
      <w:pPr>
        <w:pStyle w:val="berschrift1"/>
      </w:pPr>
      <w:r>
        <w:t>3.3.47.205 Status des funktionalen Bilanznetzwerks</w:t>
      </w:r>
    </w:p>
    <w:p w:rsidR="00156BE1" w:rsidRDefault="00156BE1" w:rsidP="00156BE1">
      <w:pPr>
        <w:pStyle w:val="StandardWeb"/>
      </w:pPr>
      <w:r>
        <w:t>Für</w:t>
      </w:r>
    </w:p>
    <w:p w:rsidR="00156BE1" w:rsidRDefault="00156BE1" w:rsidP="00156BE1">
      <w:pPr>
        <w:pStyle w:val="StandardWeb"/>
      </w:pPr>
      <w:r>
        <w:lastRenderedPageBreak/>
        <w:t>[</w:t>
      </w:r>
      <w:r>
        <w:br/>
        <w:t>\mathcal N_Q=(V_Q,E_Q)</w:t>
      </w:r>
      <w:r>
        <w:br/>
        <w:t>\tag{3.11786}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\mathcal N_Q=(V_Q,E_Q)</w:t>
      </w:r>
    </w:p>
    <w:p w:rsidR="00156BE1" w:rsidRDefault="00156BE1" w:rsidP="00156BE1">
      <w:pPr>
        <w:pStyle w:val="StandardWeb"/>
      </w:pPr>
      <w:r>
        <w:t>gilt</w:t>
      </w:r>
    </w:p>
    <w:p w:rsidR="00156BE1" w:rsidRDefault="00156BE1" w:rsidP="00156BE1">
      <w:pPr>
        <w:pStyle w:val="berschrift1"/>
      </w:pPr>
      <w:r>
        <w:t>[</w:t>
      </w:r>
      <w:r>
        <w:br/>
        <w:t>\boxed{</w:t>
      </w:r>
      <w:r>
        <w:br/>
        <w:t>\operatorname{Stat}(\mathcal N_Q)</w:t>
      </w:r>
    </w:p>
    <w:p w:rsidR="00156BE1" w:rsidRDefault="00156BE1" w:rsidP="00156BE1">
      <w:pPr>
        <w:pStyle w:val="StandardWeb"/>
      </w:pPr>
      <w:r>
        <w:t>\mathrm{Def/Mod}.</w:t>
      </w:r>
      <w:r>
        <w:br/>
        <w:t>}</w:t>
      </w:r>
      <w:r>
        <w:br/>
        <w:t>\tag{3.11787}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\boxed{\operatorname{Stat}(\mathcal N_Q)=\mathrm{Def/Mod}.}</w:t>
      </w:r>
    </w:p>
    <w:p w:rsidR="00156BE1" w:rsidRDefault="00E50336" w:rsidP="00156BE1">
      <w:r>
        <w:pict>
          <v:rect id="_x0000_i4082" style="width:0;height:1.5pt" o:hralign="center" o:hrstd="t" o:hr="t" fillcolor="#a0a0a0" stroked="f"/>
        </w:pict>
      </w:r>
    </w:p>
    <w:p w:rsidR="00156BE1" w:rsidRDefault="00156BE1" w:rsidP="00156BE1">
      <w:pPr>
        <w:pStyle w:val="berschrift1"/>
      </w:pPr>
      <w:r>
        <w:t>3.3.47.206 Status der Inzidenzmatrix</w:t>
      </w:r>
    </w:p>
    <w:p w:rsidR="00156BE1" w:rsidRDefault="00156BE1" w:rsidP="00156BE1">
      <w:pPr>
        <w:pStyle w:val="StandardWeb"/>
      </w:pPr>
      <w:r>
        <w:t>Die Inzidenzmatrix</w:t>
      </w:r>
    </w:p>
    <w:p w:rsidR="00156BE1" w:rsidRDefault="00156BE1" w:rsidP="00156BE1">
      <w:pPr>
        <w:pStyle w:val="StandardWeb"/>
      </w:pPr>
      <w:r>
        <w:t>[</w:t>
      </w:r>
      <w:r>
        <w:br/>
        <w:t>B_Q</w:t>
      </w:r>
      <w:r>
        <w:br/>
        <w:t>\tag{3.11788}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B_Q</w:t>
      </w:r>
    </w:p>
    <w:p w:rsidR="00156BE1" w:rsidRDefault="00156BE1" w:rsidP="00156BE1">
      <w:pPr>
        <w:pStyle w:val="StandardWeb"/>
      </w:pPr>
      <w:r>
        <w:t>ist nach Wahl des Netzwerks eine mathematische Kodierung seiner Struktur.</w:t>
      </w:r>
    </w:p>
    <w:p w:rsidR="00156BE1" w:rsidRDefault="00156BE1" w:rsidP="00156BE1">
      <w:pPr>
        <w:pStyle w:val="StandardWeb"/>
      </w:pPr>
      <w:r>
        <w:t>Damit gilt</w:t>
      </w:r>
    </w:p>
    <w:p w:rsidR="00156BE1" w:rsidRDefault="00156BE1" w:rsidP="00156BE1">
      <w:pPr>
        <w:pStyle w:val="berschrift1"/>
      </w:pPr>
      <w:r>
        <w:t>[</w:t>
      </w:r>
      <w:r>
        <w:br/>
        <w:t>\boxed{</w:t>
      </w:r>
      <w:r>
        <w:br/>
        <w:t>\operatorname{Stat}(B_Q)</w:t>
      </w:r>
    </w:p>
    <w:p w:rsidR="00156BE1" w:rsidRDefault="00156BE1" w:rsidP="00156BE1">
      <w:pPr>
        <w:pStyle w:val="StandardWeb"/>
      </w:pPr>
      <w:r>
        <w:lastRenderedPageBreak/>
        <w:t>\mathrm{Def/Op}.</w:t>
      </w:r>
      <w:r>
        <w:br/>
        <w:t>}</w:t>
      </w:r>
      <w:r>
        <w:br/>
        <w:t>\tag{3.11789}</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\boxed{\operatorname{Stat}(B_Q)=\mathrm{Def/Op}.}</w:t>
      </w:r>
    </w:p>
    <w:p w:rsidR="00156BE1" w:rsidRDefault="00E50336" w:rsidP="00156BE1">
      <w:r>
        <w:pict>
          <v:rect id="_x0000_i4083" style="width:0;height:1.5pt" o:hralign="center" o:hrstd="t" o:hr="t" fillcolor="#a0a0a0" stroked="f"/>
        </w:pict>
      </w:r>
    </w:p>
    <w:p w:rsidR="00156BE1" w:rsidRDefault="00156BE1" w:rsidP="00156BE1">
      <w:pPr>
        <w:pStyle w:val="berschrift1"/>
      </w:pPr>
      <w:r>
        <w:t>3.3.47.207 Status der globalen Netzwerkbilanz</w:t>
      </w:r>
    </w:p>
    <w:p w:rsidR="00156BE1" w:rsidRDefault="00156BE1" w:rsidP="00156BE1">
      <w:pPr>
        <w:pStyle w:val="StandardWeb"/>
      </w:pPr>
      <w:r>
        <w:t>Die Gleichung</w:t>
      </w:r>
    </w:p>
    <w:p w:rsidR="00156BE1" w:rsidRDefault="00156BE1" w:rsidP="00156BE1">
      <w:pPr>
        <w:pStyle w:val="berschrift1"/>
      </w:pPr>
      <w:r>
        <w:t>[</w:t>
      </w:r>
      <w:r>
        <w:br/>
        <w:t>\Delta\mathbf Q</w:t>
      </w:r>
    </w:p>
    <w:p w:rsidR="00156BE1" w:rsidRDefault="00156BE1" w:rsidP="00156BE1">
      <w:pPr>
        <w:pStyle w:val="StandardWeb"/>
      </w:pPr>
      <w:r>
        <w:t>\boldsymbol\Sigma</w:t>
      </w:r>
      <w:r>
        <w:br/>
        <w:t>+</w:t>
      </w:r>
      <w:r>
        <w:br/>
        <w:t>B_Q\mathbf j_Q</w:t>
      </w:r>
      <w:r>
        <w:br/>
        <w:t>\tag{3.11790}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\Delta\mathbf Q=\boldsymbol\Sigma+B_Q\mathbf j_Q</w:t>
      </w:r>
    </w:p>
    <w:p w:rsidR="00156BE1" w:rsidRDefault="00156BE1" w:rsidP="00156BE1">
      <w:pPr>
        <w:pStyle w:val="StandardWeb"/>
      </w:pPr>
      <w:r>
        <w:t>ist Bestandteil einer spezifizierten Bilanzmodellklasse.</w:t>
      </w:r>
    </w:p>
    <w:p w:rsidR="00156BE1" w:rsidRDefault="00156BE1" w:rsidP="00156BE1">
      <w:pPr>
        <w:pStyle w:val="StandardWeb"/>
      </w:pPr>
      <w:r>
        <w:t>Daher gilt</w:t>
      </w:r>
    </w:p>
    <w:p w:rsidR="00156BE1" w:rsidRDefault="00156BE1" w:rsidP="00156BE1">
      <w:pPr>
        <w:pStyle w:val="berschrift1"/>
      </w:pPr>
      <w:r>
        <w:t>[</w:t>
      </w:r>
      <w:r>
        <w:br/>
        <w:t>\boxed{</w:t>
      </w:r>
      <w:r>
        <w:br/>
        <w:t>\operatorname{Stat}</w:t>
      </w:r>
      <w:r>
        <w:br/>
        <w:t>(\mathfrak B_{\mathcal N})</w:t>
      </w:r>
    </w:p>
    <w:p w:rsidR="00156BE1" w:rsidRDefault="00156BE1" w:rsidP="00156BE1">
      <w:pPr>
        <w:pStyle w:val="StandardWeb"/>
      </w:pPr>
      <w:r>
        <w:t>\mathrm{Def/Mod}.</w:t>
      </w:r>
      <w:r>
        <w:br/>
        <w:t>}</w:t>
      </w:r>
      <w:r>
        <w:br/>
        <w:t>\tag{3.11791}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\boxed{\operatorname{Stat}(\mathfrak B_{\mathcal N})=\mathrm{Def/Mod}.}</w:t>
      </w:r>
    </w:p>
    <w:p w:rsidR="00156BE1" w:rsidRDefault="00E50336" w:rsidP="00156BE1">
      <w:r>
        <w:pict>
          <v:rect id="_x0000_i4084" style="width:0;height:1.5pt" o:hralign="center" o:hrstd="t" o:hr="t" fillcolor="#a0a0a0" stroked="f"/>
        </w:pict>
      </w:r>
    </w:p>
    <w:p w:rsidR="00156BE1" w:rsidRDefault="00156BE1" w:rsidP="00156BE1">
      <w:pPr>
        <w:pStyle w:val="berschrift1"/>
      </w:pPr>
      <w:r>
        <w:lastRenderedPageBreak/>
        <w:t>3.3.47.208 Status der internen Flussaufhebung</w:t>
      </w:r>
    </w:p>
    <w:p w:rsidR="00156BE1" w:rsidRDefault="00156BE1" w:rsidP="00156BE1">
      <w:pPr>
        <w:pStyle w:val="StandardWeb"/>
      </w:pPr>
      <w:r>
        <w:t>Die Beziehung</w:t>
      </w:r>
    </w:p>
    <w:p w:rsidR="00156BE1" w:rsidRDefault="00156BE1" w:rsidP="00156BE1">
      <w:pPr>
        <w:pStyle w:val="berschrift1"/>
      </w:pPr>
      <w:r>
        <w:t>[</w:t>
      </w:r>
      <w:r>
        <w:br/>
        <w:t>\mathbf 1^{\mathsf T}</w:t>
      </w:r>
      <w:r>
        <w:br/>
        <w:t>B_Q</w:t>
      </w:r>
      <w:r>
        <w:br/>
        <w:t>\mathbf j_Q</w:t>
      </w:r>
    </w:p>
    <w:p w:rsidR="00156BE1" w:rsidRDefault="00156BE1" w:rsidP="00156BE1">
      <w:pPr>
        <w:pStyle w:val="StandardWeb"/>
      </w:pPr>
      <w:r>
        <w:t>0</w:t>
      </w:r>
      <w:r>
        <w:br/>
        <w:t>\tag{3.11792}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\mathbf 1^{\mathsf T}B_Q\mathbf j_Q=0</w:t>
      </w:r>
    </w:p>
    <w:p w:rsidR="00156BE1" w:rsidRDefault="00156BE1" w:rsidP="00156BE1">
      <w:pPr>
        <w:pStyle w:val="StandardWeb"/>
      </w:pPr>
      <w:r>
        <w:t>folgt aus der Struktur einer vollständig internen orientierten Inzidenzmatrix.</w:t>
      </w:r>
    </w:p>
    <w:p w:rsidR="00156BE1" w:rsidRDefault="00156BE1" w:rsidP="00156BE1">
      <w:pPr>
        <w:pStyle w:val="StandardWeb"/>
      </w:pPr>
      <w:r>
        <w:t>Damit gilt</w:t>
      </w:r>
    </w:p>
    <w:p w:rsidR="00156BE1" w:rsidRDefault="00156BE1" w:rsidP="00156BE1">
      <w:pPr>
        <w:pStyle w:val="berschrift1"/>
      </w:pPr>
      <w:r>
        <w:t>[</w:t>
      </w:r>
      <w:r>
        <w:br/>
        <w:t>\boxed{</w:t>
      </w:r>
      <w:r>
        <w:br/>
        <w:t>\operatorname{Stat}</w:t>
      </w:r>
      <w:r>
        <w:br/>
        <w:t>(\text{interne Flussaufhebung})</w:t>
      </w:r>
    </w:p>
    <w:p w:rsidR="00156BE1" w:rsidRDefault="00156BE1" w:rsidP="00156BE1">
      <w:pPr>
        <w:pStyle w:val="StandardWeb"/>
      </w:pPr>
      <w:r>
        <w:t>\mathrm{Der}.</w:t>
      </w:r>
      <w:r>
        <w:br/>
        <w:t>}</w:t>
      </w:r>
      <w:r>
        <w:br/>
        <w:t>\tag{3.11793}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\boxed{\operatorname{Stat}(\text{interne Flussaufhebung})=\mathrm{Der}.}</w:t>
      </w:r>
    </w:p>
    <w:p w:rsidR="00156BE1" w:rsidRDefault="00E50336" w:rsidP="00156BE1">
      <w:r>
        <w:pict>
          <v:rect id="_x0000_i4085" style="width:0;height:1.5pt" o:hralign="center" o:hrstd="t" o:hr="t" fillcolor="#a0a0a0" stroked="f"/>
        </w:pict>
      </w:r>
    </w:p>
    <w:p w:rsidR="00156BE1" w:rsidRDefault="00156BE1" w:rsidP="00156BE1">
      <w:pPr>
        <w:pStyle w:val="berschrift1"/>
      </w:pPr>
      <w:r>
        <w:t>3.3.47.209 Status der Flusszirkulation</w:t>
      </w:r>
    </w:p>
    <w:p w:rsidR="00156BE1" w:rsidRDefault="00156BE1" w:rsidP="00156BE1">
      <w:pPr>
        <w:pStyle w:val="StandardWeb"/>
      </w:pPr>
      <w:r>
        <w:t>Für</w:t>
      </w:r>
    </w:p>
    <w:p w:rsidR="00156BE1" w:rsidRDefault="00156BE1" w:rsidP="00156BE1">
      <w:pPr>
        <w:pStyle w:val="StandardWeb"/>
      </w:pPr>
      <w:r>
        <w:t>[</w:t>
      </w:r>
      <w:r>
        <w:br/>
        <w:t>\Gamma_J(\gamma_C)</w:t>
      </w:r>
      <w:r>
        <w:br/>
        <w:t>\tag{3.11794}</w:t>
      </w:r>
      <w:r>
        <w:br/>
        <w:t>]</w:t>
      </w:r>
    </w:p>
    <w:p w:rsidR="00156BE1" w:rsidRDefault="00156BE1" w:rsidP="00156BE1">
      <w:pPr>
        <w:pStyle w:val="StandardWeb"/>
      </w:pPr>
      <w:r>
        <w:rPr>
          <w:rStyle w:val="Fett"/>
        </w:rPr>
        <w:lastRenderedPageBreak/>
        <w:t>Word-LaTeX</w:t>
      </w:r>
    </w:p>
    <w:p w:rsidR="00156BE1" w:rsidRDefault="00156BE1" w:rsidP="00156BE1">
      <w:pPr>
        <w:pStyle w:val="HTMLVorformatiert"/>
        <w:rPr>
          <w:rStyle w:val="HTMLCode"/>
        </w:rPr>
      </w:pPr>
      <w:r>
        <w:rPr>
          <w:rStyle w:val="HTMLCode"/>
        </w:rPr>
        <w:t>\Gamma_J(\gamma_C)</w:t>
      </w:r>
    </w:p>
    <w:p w:rsidR="00156BE1" w:rsidRDefault="00156BE1" w:rsidP="00156BE1">
      <w:pPr>
        <w:pStyle w:val="StandardWeb"/>
      </w:pPr>
      <w:r>
        <w:t>gilt</w:t>
      </w:r>
    </w:p>
    <w:p w:rsidR="00156BE1" w:rsidRDefault="00156BE1" w:rsidP="00156BE1">
      <w:pPr>
        <w:pStyle w:val="berschrift1"/>
      </w:pPr>
      <w:r>
        <w:t>[</w:t>
      </w:r>
      <w:r>
        <w:br/>
        <w:t>\boxed{</w:t>
      </w:r>
      <w:r>
        <w:br/>
        <w:t>\operatorname{Stat}</w:t>
      </w:r>
      <w:r>
        <w:br/>
        <w:t>(\Gamma_J)</w:t>
      </w:r>
    </w:p>
    <w:p w:rsidR="00156BE1" w:rsidRDefault="00156BE1" w:rsidP="00156BE1">
      <w:pPr>
        <w:pStyle w:val="StandardWeb"/>
      </w:pPr>
      <w:r>
        <w:t>\mathrm{Def/Op}.</w:t>
      </w:r>
      <w:r>
        <w:br/>
        <w:t>}</w:t>
      </w:r>
      <w:r>
        <w:br/>
        <w:t>\tag{3.11795}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\boxed{\operatorname{Stat}(\Gamma_J)=\mathrm{Def/Op}.}</w:t>
      </w:r>
    </w:p>
    <w:p w:rsidR="00156BE1" w:rsidRDefault="00E50336" w:rsidP="00156BE1">
      <w:r>
        <w:pict>
          <v:rect id="_x0000_i4086" style="width:0;height:1.5pt" o:hralign="center" o:hrstd="t" o:hr="t" fillcolor="#a0a0a0" stroked="f"/>
        </w:pict>
      </w:r>
    </w:p>
    <w:p w:rsidR="00156BE1" w:rsidRDefault="00156BE1" w:rsidP="00156BE1">
      <w:pPr>
        <w:pStyle w:val="berschrift1"/>
      </w:pPr>
      <w:r>
        <w:t>3.3.47.210 Status der Potenzialdarstellung</w:t>
      </w:r>
    </w:p>
    <w:p w:rsidR="00156BE1" w:rsidRDefault="00156BE1" w:rsidP="00156BE1">
      <w:pPr>
        <w:pStyle w:val="StandardWeb"/>
      </w:pPr>
      <w:r>
        <w:t>Die Eigenschaft</w:t>
      </w:r>
    </w:p>
    <w:p w:rsidR="00156BE1" w:rsidRDefault="00156BE1" w:rsidP="00156BE1">
      <w:pPr>
        <w:pStyle w:val="berschrift1"/>
      </w:pPr>
      <w:r>
        <w:t>[</w:t>
      </w:r>
      <w:r>
        <w:br/>
        <w:t>J_Q(z_i,z_j)</w:t>
      </w:r>
    </w:p>
    <w:p w:rsidR="00156BE1" w:rsidRDefault="00156BE1" w:rsidP="00156BE1">
      <w:pPr>
        <w:pStyle w:val="StandardWeb"/>
      </w:pPr>
      <w:r>
        <w:t>\Phi_Q(z_i)-\Phi_Q(z_j)</w:t>
      </w:r>
      <w:r>
        <w:br/>
        <w:t>\tag{3.11796}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J_Q(z_i,z_j)=\Phi_Q(z_i)-\Phi_Q(z_j)</w:t>
      </w:r>
    </w:p>
    <w:p w:rsidR="00156BE1" w:rsidRDefault="00156BE1" w:rsidP="00156BE1">
      <w:pPr>
        <w:pStyle w:val="StandardWeb"/>
      </w:pPr>
      <w:r>
        <w:t>ist eine zusätzliche Modellannahme.</w:t>
      </w:r>
    </w:p>
    <w:p w:rsidR="00156BE1" w:rsidRDefault="00156BE1" w:rsidP="00156BE1">
      <w:pPr>
        <w:pStyle w:val="StandardWeb"/>
      </w:pPr>
      <w:r>
        <w:t>Daher gilt</w:t>
      </w:r>
    </w:p>
    <w:p w:rsidR="00156BE1" w:rsidRDefault="00156BE1" w:rsidP="00156BE1">
      <w:pPr>
        <w:pStyle w:val="berschrift1"/>
      </w:pPr>
      <w:r>
        <w:t>[</w:t>
      </w:r>
      <w:r>
        <w:br/>
        <w:t>\boxed{</w:t>
      </w:r>
      <w:r>
        <w:br/>
      </w:r>
      <w:r>
        <w:lastRenderedPageBreak/>
        <w:t>\operatorname{Stat}</w:t>
      </w:r>
      <w:r>
        <w:br/>
        <w:t>(\operatorname{Pot}J_Q)</w:t>
      </w:r>
    </w:p>
    <w:p w:rsidR="00156BE1" w:rsidRDefault="00156BE1" w:rsidP="00156BE1">
      <w:pPr>
        <w:pStyle w:val="StandardWeb"/>
      </w:pPr>
      <w:r>
        <w:t>\mathrm{Def/Mod}.</w:t>
      </w:r>
      <w:r>
        <w:br/>
        <w:t>}</w:t>
      </w:r>
      <w:r>
        <w:br/>
        <w:t>\tag{3.11797}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\boxed{\operatorname{Stat}(\operatorname{Pot}J_Q)=\mathrm{Def/Mod}.}</w:t>
      </w:r>
    </w:p>
    <w:p w:rsidR="00156BE1" w:rsidRDefault="00E50336" w:rsidP="00156BE1">
      <w:r>
        <w:pict>
          <v:rect id="_x0000_i4087" style="width:0;height:1.5pt" o:hralign="center" o:hrstd="t" o:hr="t" fillcolor="#a0a0a0" stroked="f"/>
        </w:pict>
      </w:r>
    </w:p>
    <w:p w:rsidR="00156BE1" w:rsidRDefault="00156BE1" w:rsidP="00156BE1">
      <w:pPr>
        <w:pStyle w:val="berschrift1"/>
      </w:pPr>
      <w:r>
        <w:t>3.3.47.211 Status des Bilanzresiduums</w:t>
      </w:r>
    </w:p>
    <w:p w:rsidR="00156BE1" w:rsidRDefault="00156BE1" w:rsidP="00156BE1">
      <w:pPr>
        <w:pStyle w:val="StandardWeb"/>
      </w:pPr>
      <w:r>
        <w:t>Das Residuum</w:t>
      </w:r>
    </w:p>
    <w:p w:rsidR="00156BE1" w:rsidRDefault="00156BE1" w:rsidP="00156BE1">
      <w:pPr>
        <w:pStyle w:val="berschrift1"/>
      </w:pPr>
      <w:r>
        <w:t>[</w:t>
      </w:r>
      <w:r>
        <w:br/>
        <w:t>R_B</w:t>
      </w:r>
    </w:p>
    <w:p w:rsidR="00156BE1" w:rsidRDefault="00156BE1" w:rsidP="00156BE1">
      <w:pPr>
        <w:pStyle w:val="berschrift2"/>
      </w:pPr>
      <w:r>
        <w:t>\Delta_TQ_F</w:t>
      </w:r>
    </w:p>
    <w:p w:rsidR="00156BE1" w:rsidRDefault="00156BE1" w:rsidP="00156BE1">
      <w:pPr>
        <w:pStyle w:val="berschrift2"/>
      </w:pPr>
      <w:r>
        <w:t>\Sigma_Q</w:t>
      </w:r>
    </w:p>
    <w:p w:rsidR="00156BE1" w:rsidRDefault="00156BE1" w:rsidP="00156BE1">
      <w:pPr>
        <w:pStyle w:val="StandardWeb"/>
      </w:pPr>
      <w:r>
        <w:t>J_Q^{\mathrm{net}}</w:t>
      </w:r>
      <w:r>
        <w:br/>
        <w:t>\tag{3.11798}</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R_B=\Delta_TQ_F-\Sigma_Q-J_Q^{\mathrm{net}}</w:t>
      </w:r>
    </w:p>
    <w:p w:rsidR="00156BE1" w:rsidRDefault="00156BE1" w:rsidP="00156BE1">
      <w:pPr>
        <w:pStyle w:val="StandardWeb"/>
      </w:pPr>
      <w:r>
        <w:t>ist aus einer gegebenen Bilanzzerlegung berechenbar.</w:t>
      </w:r>
    </w:p>
    <w:p w:rsidR="00156BE1" w:rsidRDefault="00156BE1" w:rsidP="00156BE1">
      <w:pPr>
        <w:pStyle w:val="StandardWeb"/>
      </w:pPr>
      <w:r>
        <w:t>Damit gilt</w:t>
      </w:r>
    </w:p>
    <w:p w:rsidR="00156BE1" w:rsidRDefault="00156BE1" w:rsidP="00156BE1">
      <w:pPr>
        <w:pStyle w:val="berschrift1"/>
      </w:pPr>
      <w:r>
        <w:t>[</w:t>
      </w:r>
      <w:r>
        <w:br/>
        <w:t>\boxed{</w:t>
      </w:r>
      <w:r>
        <w:br/>
        <w:t>\operatorname{Stat}(R_B)</w:t>
      </w:r>
    </w:p>
    <w:p w:rsidR="00156BE1" w:rsidRDefault="00156BE1" w:rsidP="00156BE1">
      <w:pPr>
        <w:pStyle w:val="StandardWeb"/>
      </w:pPr>
      <w:r>
        <w:t>\mathrm{Def/Op}.</w:t>
      </w:r>
      <w:r>
        <w:br/>
        <w:t>}</w:t>
      </w:r>
      <w:r>
        <w:br/>
        <w:t>\tag{3.11799}</w:t>
      </w:r>
      <w:r>
        <w:br/>
        <w:t>]</w:t>
      </w:r>
    </w:p>
    <w:p w:rsidR="00156BE1" w:rsidRDefault="00156BE1" w:rsidP="00156BE1">
      <w:pPr>
        <w:pStyle w:val="StandardWeb"/>
      </w:pPr>
      <w:r>
        <w:rPr>
          <w:rStyle w:val="Fett"/>
        </w:rPr>
        <w:lastRenderedPageBreak/>
        <w:t>Word-LaTeX</w:t>
      </w:r>
    </w:p>
    <w:p w:rsidR="00156BE1" w:rsidRDefault="00156BE1" w:rsidP="00156BE1">
      <w:pPr>
        <w:pStyle w:val="HTMLVorformatiert"/>
        <w:rPr>
          <w:rStyle w:val="HTMLCode"/>
        </w:rPr>
      </w:pPr>
      <w:r>
        <w:rPr>
          <w:rStyle w:val="HTMLCode"/>
        </w:rPr>
        <w:t>\boxed{\operatorname{Stat}(R_B)=\mathrm{Def/Op}.}</w:t>
      </w:r>
    </w:p>
    <w:p w:rsidR="00156BE1" w:rsidRDefault="00E50336" w:rsidP="00156BE1">
      <w:r>
        <w:pict>
          <v:rect id="_x0000_i4088" style="width:0;height:1.5pt" o:hralign="center" o:hrstd="t" o:hr="t" fillcolor="#a0a0a0" stroked="f"/>
        </w:pict>
      </w:r>
    </w:p>
    <w:p w:rsidR="00156BE1" w:rsidRDefault="00156BE1" w:rsidP="00156BE1">
      <w:pPr>
        <w:pStyle w:val="berschrift1"/>
      </w:pPr>
      <w:r>
        <w:t>3.3.47.212 Status der Toleranzen</w:t>
      </w:r>
    </w:p>
    <w:p w:rsidR="00156BE1" w:rsidRDefault="00156BE1" w:rsidP="00156BE1">
      <w:pPr>
        <w:pStyle w:val="StandardWeb"/>
      </w:pPr>
      <w:r>
        <w:t>Die Toleranzen</w:t>
      </w:r>
    </w:p>
    <w:p w:rsidR="00156BE1" w:rsidRDefault="00156BE1" w:rsidP="00156BE1">
      <w:pPr>
        <w:pStyle w:val="StandardWeb"/>
      </w:pPr>
      <w:r>
        <w:t>[</w:t>
      </w:r>
      <w:r>
        <w:br/>
        <w:t>\varepsilon_B,</w:t>
      </w:r>
      <w:r>
        <w:br/>
        <w:t>\qquad</w:t>
      </w:r>
      <w:r>
        <w:br/>
        <w:t>\varepsilon_Q,</w:t>
      </w:r>
      <w:r>
        <w:br/>
        <w:t>\qquad</w:t>
      </w:r>
      <w:r>
        <w:br/>
        <w:t>\varepsilon_{\mathcal N}</w:t>
      </w:r>
      <w:r>
        <w:br/>
        <w:t>\tag{3.11800}</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\varepsilon_B,\qquad\varepsilon_Q,\qquad\varepsilon_{\mathcal N}</w:t>
      </w:r>
    </w:p>
    <w:p w:rsidR="00156BE1" w:rsidRDefault="00156BE1" w:rsidP="00156BE1">
      <w:pPr>
        <w:pStyle w:val="StandardWeb"/>
      </w:pPr>
      <w:r>
        <w:t>sind nicht mathematisch eindeutig vorgegeben.</w:t>
      </w:r>
    </w:p>
    <w:p w:rsidR="00156BE1" w:rsidRDefault="00156BE1" w:rsidP="00156BE1">
      <w:pPr>
        <w:pStyle w:val="StandardWeb"/>
      </w:pPr>
      <w:r>
        <w:t>Ihre Festlegung ist operational und modellabhängig.</w:t>
      </w:r>
    </w:p>
    <w:p w:rsidR="00156BE1" w:rsidRDefault="00156BE1" w:rsidP="00156BE1">
      <w:pPr>
        <w:pStyle w:val="StandardWeb"/>
      </w:pPr>
      <w:r>
        <w:t>Daher gilt</w:t>
      </w:r>
    </w:p>
    <w:p w:rsidR="00156BE1" w:rsidRDefault="00156BE1" w:rsidP="00156BE1">
      <w:pPr>
        <w:pStyle w:val="berschrift1"/>
      </w:pPr>
      <w:r>
        <w:t>[</w:t>
      </w:r>
      <w:r>
        <w:br/>
        <w:t>\boxed{</w:t>
      </w:r>
      <w:r>
        <w:br/>
        <w:t>\operatorname{Stat}</w:t>
      </w:r>
      <w:r>
        <w:br/>
        <w:t>(\varepsilon_B)</w:t>
      </w:r>
    </w:p>
    <w:p w:rsidR="00156BE1" w:rsidRDefault="00156BE1" w:rsidP="00156BE1">
      <w:pPr>
        <w:pStyle w:val="berschrift1"/>
      </w:pPr>
      <w:r>
        <w:t>\operatorname{Stat}</w:t>
      </w:r>
      <w:r>
        <w:br/>
        <w:t>(\varepsilon_Q)</w:t>
      </w:r>
    </w:p>
    <w:p w:rsidR="00156BE1" w:rsidRDefault="00156BE1" w:rsidP="00156BE1">
      <w:pPr>
        <w:pStyle w:val="berschrift1"/>
      </w:pPr>
      <w:r>
        <w:t>\operatorname{Stat}</w:t>
      </w:r>
      <w:r>
        <w:br/>
        <w:t>(\varepsilon_{\mathcal N})</w:t>
      </w:r>
    </w:p>
    <w:p w:rsidR="00156BE1" w:rsidRDefault="00156BE1" w:rsidP="00156BE1">
      <w:pPr>
        <w:pStyle w:val="StandardWeb"/>
      </w:pPr>
      <w:r>
        <w:t>\mathrm{Op/Mod}.</w:t>
      </w:r>
      <w:r>
        <w:br/>
        <w:t>}</w:t>
      </w:r>
      <w:r>
        <w:br/>
        <w:t>\tag{3.11801}</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lastRenderedPageBreak/>
        <w:t>\boxed{\operatorname{Stat}(\varepsilon_B)=\operatorname{Stat}(\varepsilon_Q)=\operatorname{Stat}(\varepsilon_{\mathcal N})=\mathrm{Op/Mod}.}</w:t>
      </w:r>
    </w:p>
    <w:p w:rsidR="00156BE1" w:rsidRDefault="00E50336" w:rsidP="00156BE1">
      <w:r>
        <w:pict>
          <v:rect id="_x0000_i4089" style="width:0;height:1.5pt" o:hralign="center" o:hrstd="t" o:hr="t" fillcolor="#a0a0a0" stroked="f"/>
        </w:pict>
      </w:r>
    </w:p>
    <w:p w:rsidR="00156BE1" w:rsidRDefault="00156BE1" w:rsidP="00156BE1">
      <w:pPr>
        <w:pStyle w:val="berschrift1"/>
      </w:pPr>
      <w:r>
        <w:t>3.3.47.213 Status approximativer Erhaltung</w:t>
      </w:r>
    </w:p>
    <w:p w:rsidR="00156BE1" w:rsidRDefault="00156BE1" w:rsidP="00156BE1">
      <w:pPr>
        <w:pStyle w:val="StandardWeb"/>
      </w:pPr>
      <w:r>
        <w:t>Die Bedingung</w:t>
      </w:r>
    </w:p>
    <w:p w:rsidR="00156BE1" w:rsidRDefault="00156BE1" w:rsidP="00156BE1">
      <w:pPr>
        <w:pStyle w:val="StandardWeb"/>
      </w:pPr>
      <w:r>
        <w:t>[</w:t>
      </w:r>
      <w:r>
        <w:br/>
        <w:t>|\Delta_TQ_F|</w:t>
      </w:r>
      <w:r>
        <w:br/>
        <w:t>\leq</w:t>
      </w:r>
      <w:r>
        <w:br/>
        <w:t>\varepsilon_Q</w:t>
      </w:r>
      <w:r>
        <w:br/>
        <w:t>\tag{3.11802}</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|\Delta_TQ_F|\leq\varepsilon_Q</w:t>
      </w:r>
    </w:p>
    <w:p w:rsidR="00156BE1" w:rsidRDefault="00156BE1" w:rsidP="00156BE1">
      <w:pPr>
        <w:pStyle w:val="StandardWeb"/>
      </w:pPr>
      <w:r>
        <w:t>ist eine definierte operationalisierte Erhaltungsklasse.</w:t>
      </w:r>
    </w:p>
    <w:p w:rsidR="00156BE1" w:rsidRDefault="00156BE1" w:rsidP="00156BE1">
      <w:pPr>
        <w:pStyle w:val="StandardWeb"/>
      </w:pPr>
      <w:r>
        <w:t>Damit gilt</w:t>
      </w:r>
    </w:p>
    <w:p w:rsidR="00156BE1" w:rsidRDefault="00156BE1" w:rsidP="00156BE1">
      <w:pPr>
        <w:pStyle w:val="berschrift1"/>
      </w:pPr>
      <w:r>
        <w:t>[</w:t>
      </w:r>
      <w:r>
        <w:br/>
        <w:t>\boxed{</w:t>
      </w:r>
      <w:r>
        <w:br/>
        <w:t>\operatorname{Stat}</w:t>
      </w:r>
      <w:r>
        <w:br/>
        <w:t>(\operatorname{Cons}^{\varepsilon}_Q)</w:t>
      </w:r>
    </w:p>
    <w:p w:rsidR="00156BE1" w:rsidRDefault="00156BE1" w:rsidP="00156BE1">
      <w:pPr>
        <w:pStyle w:val="StandardWeb"/>
      </w:pPr>
      <w:r>
        <w:t>\mathrm{Def/Op/Mod}.</w:t>
      </w:r>
      <w:r>
        <w:br/>
        <w:t>}</w:t>
      </w:r>
      <w:r>
        <w:br/>
        <w:t>\tag{3.11803}</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\boxed{\operatorname{Stat}(\operatorname{Cons}^{\varepsilon}_Q)=\mathrm{Def/Op/Mod}.}</w:t>
      </w:r>
    </w:p>
    <w:p w:rsidR="00156BE1" w:rsidRDefault="00E50336" w:rsidP="00156BE1">
      <w:r>
        <w:pict>
          <v:rect id="_x0000_i4090" style="width:0;height:1.5pt" o:hralign="center" o:hrstd="t" o:hr="t" fillcolor="#a0a0a0" stroked="f"/>
        </w:pict>
      </w:r>
    </w:p>
    <w:p w:rsidR="00156BE1" w:rsidRDefault="00156BE1" w:rsidP="00156BE1">
      <w:pPr>
        <w:pStyle w:val="berschrift1"/>
      </w:pPr>
      <w:r>
        <w:t>3.3.47.214 Erweiterte Architektur nach Netzwerk- und Residualanalyse</w:t>
      </w:r>
    </w:p>
    <w:p w:rsidR="00156BE1" w:rsidRDefault="00156BE1" w:rsidP="00156BE1">
      <w:pPr>
        <w:pStyle w:val="StandardWeb"/>
      </w:pPr>
      <w:r>
        <w:t>Der bisherige Erhaltungs- und Bilanzapparat erweitert sich zu</w:t>
      </w:r>
    </w:p>
    <w:p w:rsidR="00156BE1" w:rsidRDefault="00156BE1" w:rsidP="00156BE1">
      <w:pPr>
        <w:pStyle w:val="berschrift1"/>
      </w:pPr>
      <w:r>
        <w:lastRenderedPageBreak/>
        <w:t>[</w:t>
      </w:r>
      <w:r>
        <w:br/>
        <w:t>\mathfrak E_{\mathrm{cons}}^{(3)}</w:t>
      </w:r>
    </w:p>
    <w:p w:rsidR="00156BE1" w:rsidRDefault="00156BE1" w:rsidP="00156BE1">
      <w:pPr>
        <w:pStyle w:val="StandardWeb"/>
      </w:pPr>
      <w:r>
        <w:t>\left(</w:t>
      </w:r>
      <w:r>
        <w:br/>
        <w:t>\mathfrak E_{\mathrm{cons}}^{(2)},</w:t>
      </w:r>
      <w:r>
        <w:br/>
        <w:t>\mathcal N_Q,</w:t>
      </w:r>
      <w:r>
        <w:br/>
        <w:t>B_Q,</w:t>
      </w:r>
      <w:r>
        <w:br/>
        <w:t>\mathbf j_Q,</w:t>
      </w:r>
      <w:r>
        <w:br/>
        <w:t>\boldsymbol\Sigma,</w:t>
      </w:r>
      <w:r>
        <w:br/>
        <w:t>\mathbf R_B,</w:t>
      </w:r>
      <w:r>
        <w:br/>
        <w:t>\Gamma_J,</w:t>
      </w:r>
      <w:r>
        <w:br/>
        <w:t>\Phi_Q,</w:t>
      </w:r>
      <w:r>
        <w:br/>
        <w:t>R_B,</w:t>
      </w:r>
      <w:r>
        <w:br/>
        <w:t>D_B,</w:t>
      </w:r>
      <w:r>
        <w:br/>
        <w:t>E_{\mathcal N},</w:t>
      </w:r>
      <w:r>
        <w:br/>
        <w:t>\varepsilon_B,</w:t>
      </w:r>
      <w:r>
        <w:br/>
        <w:t>\varepsilon_Q,</w:t>
      </w:r>
      <w:r>
        <w:br/>
        <w:t>\varepsilon_{\mathcal N}</w:t>
      </w:r>
      <w:r>
        <w:br/>
        <w:t>\right).</w:t>
      </w:r>
      <w:r>
        <w:br/>
        <w:t>\tag{3.11804}</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\mathfrak E_{\mathrm{cons}}^{(3)}=\left(\mathfrak E_{\mathrm{cons}}^{(2)},\mathcal N_Q,B_Q,\mathbf j_Q,\boldsymbol\Sigma,\mathbf R_B,\Gamma_J,\Phi_Q,R_B,D_B,E_{\mathcal N},\varepsilon_B,\varepsilon_Q,\varepsilon_{\mathcal N}\right)</w:t>
      </w:r>
    </w:p>
    <w:p w:rsidR="00156BE1" w:rsidRDefault="00E50336" w:rsidP="00156BE1">
      <w:r>
        <w:pict>
          <v:rect id="_x0000_i4091" style="width:0;height:1.5pt" o:hralign="center" o:hrstd="t" o:hr="t" fillcolor="#a0a0a0" stroked="f"/>
        </w:pict>
      </w:r>
    </w:p>
    <w:p w:rsidR="00156BE1" w:rsidRDefault="00156BE1" w:rsidP="00156BE1">
      <w:pPr>
        <w:pStyle w:val="berschrift1"/>
      </w:pPr>
      <w:r>
        <w:t>3.3.47.215 Ergebnis der bisherigen Primäraxiomprüfungen</w:t>
      </w:r>
    </w:p>
    <w:p w:rsidR="00156BE1" w:rsidRDefault="00156BE1" w:rsidP="00156BE1">
      <w:pPr>
        <w:pStyle w:val="StandardWeb"/>
      </w:pPr>
      <w:r>
        <w:t>Bis zu diesem Punkt wurden drei zusätzliche Kandidaten geprüft:</w:t>
      </w:r>
    </w:p>
    <w:p w:rsidR="00156BE1" w:rsidRDefault="00156BE1" w:rsidP="00156BE1">
      <w:pPr>
        <w:pStyle w:val="StandardWeb"/>
      </w:pPr>
      <w:r>
        <w:t>[</w:t>
      </w:r>
      <w:r>
        <w:br/>
        <w:t>A_{\mathrm{cons}}^{+},</w:t>
      </w:r>
      <w:r>
        <w:br/>
        <w:t>\qquad</w:t>
      </w:r>
      <w:r>
        <w:br/>
        <w:t>A_B^{+},</w:t>
      </w:r>
      <w:r>
        <w:br/>
        <w:t>\qquad</w:t>
      </w:r>
      <w:r>
        <w:br/>
        <w:t>A_{\mathrm{cyc}},</w:t>
      </w:r>
      <w:r>
        <w:br/>
        <w:t>\qquad</w:t>
      </w:r>
      <w:r>
        <w:br/>
        <w:t>A_R.</w:t>
      </w:r>
      <w:r>
        <w:br/>
        <w:t>\tag{3.11805}</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A_{\mathrm{cons}}^{+},\qquad A_B^{+},\qquad A_{\mathrm{cyc}},\qquad A_R</w:t>
      </w:r>
    </w:p>
    <w:p w:rsidR="00156BE1" w:rsidRDefault="00156BE1" w:rsidP="00156BE1">
      <w:pPr>
        <w:pStyle w:val="StandardWeb"/>
      </w:pPr>
      <w:r>
        <w:lastRenderedPageBreak/>
        <w:t>Für alle gilt</w:t>
      </w:r>
    </w:p>
    <w:p w:rsidR="00156BE1" w:rsidRDefault="00156BE1" w:rsidP="00156BE1">
      <w:pPr>
        <w:pStyle w:val="berschrift1"/>
      </w:pPr>
      <w:r>
        <w:t>[</w:t>
      </w:r>
      <w:r>
        <w:br/>
        <w:t>\boxed{</w:t>
      </w:r>
      <w:r>
        <w:br/>
        <w:t>U_{\mathrm{Ax}}</w:t>
      </w:r>
      <w:r>
        <w:br/>
        <w:t>(A_{\mathrm{cons}}^{+})</w:t>
      </w:r>
    </w:p>
    <w:p w:rsidR="00156BE1" w:rsidRDefault="00156BE1" w:rsidP="00156BE1">
      <w:pPr>
        <w:pStyle w:val="berschrift1"/>
      </w:pPr>
      <w:r>
        <w:t>U_{\mathrm{Ax}}</w:t>
      </w:r>
      <w:r>
        <w:br/>
        <w:t>(A_B^{+})</w:t>
      </w:r>
    </w:p>
    <w:p w:rsidR="00156BE1" w:rsidRDefault="00156BE1" w:rsidP="00156BE1">
      <w:pPr>
        <w:pStyle w:val="berschrift1"/>
      </w:pPr>
      <w:r>
        <w:t>U_{\mathrm{Ax}}</w:t>
      </w:r>
      <w:r>
        <w:br/>
        <w:t>(A_{\mathrm{cyc}})</w:t>
      </w:r>
    </w:p>
    <w:p w:rsidR="00156BE1" w:rsidRDefault="00156BE1" w:rsidP="00156BE1">
      <w:pPr>
        <w:pStyle w:val="berschrift1"/>
      </w:pPr>
      <w:r>
        <w:t>U_{\mathrm{Ax}}</w:t>
      </w:r>
      <w:r>
        <w:br/>
        <w:t>(A_R)</w:t>
      </w:r>
    </w:p>
    <w:p w:rsidR="00156BE1" w:rsidRDefault="00156BE1" w:rsidP="00152216">
      <w:pPr>
        <w:numPr>
          <w:ilvl w:val="0"/>
          <w:numId w:val="525"/>
        </w:numPr>
        <w:spacing w:before="100" w:beforeAutospacing="1" w:after="100" w:afterAutospacing="1"/>
      </w:pPr>
    </w:p>
    <w:p w:rsidR="00156BE1" w:rsidRDefault="00156BE1" w:rsidP="00156BE1">
      <w:pPr>
        <w:pStyle w:val="StandardWeb"/>
      </w:pPr>
      <w:r>
        <w:t>}</w:t>
      </w:r>
      <w:r>
        <w:br/>
        <w:t>\tag{3.11806}</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\boxed{U_{\mathrm{Ax}}(A_{\mathrm{cons}}^{+})=U_{\mathrm{Ax}}(A_B^{+})=U_{\mathrm{Ax}}(A_{\mathrm{cyc}})=U_{\mathrm{Ax}}(A_R)=0.}</w:t>
      </w:r>
    </w:p>
    <w:p w:rsidR="00156BE1" w:rsidRDefault="00156BE1" w:rsidP="00156BE1">
      <w:pPr>
        <w:pStyle w:val="StandardWeb"/>
      </w:pPr>
      <w:r>
        <w:t xml:space="preserve">Damit wurde bislang </w:t>
      </w:r>
      <w:r>
        <w:rPr>
          <w:rStyle w:val="Fett"/>
        </w:rPr>
        <w:t>keine neue Primäraxiomnotwendigkeit</w:t>
      </w:r>
      <w:r>
        <w:t xml:space="preserve"> innerhalb der funktionalen Erhaltungs- und Bilanzstrukturen gefunden.</w:t>
      </w:r>
    </w:p>
    <w:p w:rsidR="00156BE1" w:rsidRDefault="00E50336" w:rsidP="00156BE1">
      <w:r>
        <w:pict>
          <v:rect id="_x0000_i4092" style="width:0;height:1.5pt" o:hralign="center" o:hrstd="t" o:hr="t" fillcolor="#a0a0a0" stroked="f"/>
        </w:pict>
      </w:r>
    </w:p>
    <w:p w:rsidR="00156BE1" w:rsidRDefault="00156BE1" w:rsidP="00156BE1">
      <w:pPr>
        <w:pStyle w:val="berschrift1"/>
      </w:pPr>
      <w:r>
        <w:t>3.3.47.216 Noch kein Gesamtabschluss von 3.3.47</w:t>
      </w:r>
    </w:p>
    <w:p w:rsidR="00156BE1" w:rsidRDefault="00156BE1" w:rsidP="00156BE1">
      <w:pPr>
        <w:pStyle w:val="StandardWeb"/>
      </w:pPr>
      <w:r>
        <w:t xml:space="preserve">Abschnitt </w:t>
      </w:r>
      <w:r>
        <w:rPr>
          <w:rStyle w:val="Fett"/>
        </w:rPr>
        <w:t>3.3.47 bleibt weiterhin offen</w:t>
      </w:r>
      <w:r>
        <w:t>.</w:t>
      </w:r>
    </w:p>
    <w:p w:rsidR="00156BE1" w:rsidRDefault="00156BE1" w:rsidP="00156BE1">
      <w:pPr>
        <w:pStyle w:val="StandardWeb"/>
      </w:pPr>
      <w:r>
        <w:t>Vor dem endgültigen Abschluss müssen jetzt insbesondere noch die folgenden Punkte systematisch zusammengeführt werden:</w:t>
      </w:r>
    </w:p>
    <w:p w:rsidR="00156BE1" w:rsidRDefault="00156BE1" w:rsidP="00156BE1">
      <w:pPr>
        <w:pStyle w:val="StandardWeb"/>
      </w:pPr>
      <w:r>
        <w:t>[</w:t>
      </w:r>
      <w:r>
        <w:br/>
        <w:t>\text{vollständige Statusmatrix},</w:t>
      </w:r>
      <w:r>
        <w:br/>
        <w:t>\qquad</w:t>
      </w:r>
      <w:r>
        <w:br/>
        <w:t>\text{Primäraxiom-Gesamtentscheidung},</w:t>
      </w:r>
      <w:r>
        <w:br/>
        <w:t>\qquad</w:t>
      </w:r>
      <w:r>
        <w:br/>
        <w:t>\text{methodologische Betrachtungen},</w:t>
      </w:r>
      <w:r>
        <w:br/>
      </w:r>
      <w:r>
        <w:lastRenderedPageBreak/>
        <w:t>\qquad</w:t>
      </w:r>
      <w:r>
        <w:br/>
        <w:t>\text{didaktische Betrachtungen}.</w:t>
      </w:r>
      <w:r>
        <w:br/>
        <w:t>\tag{3.11807}</w:t>
      </w:r>
      <w:r>
        <w:br/>
        <w:t>]</w:t>
      </w:r>
    </w:p>
    <w:p w:rsidR="00156BE1" w:rsidRDefault="00156BE1" w:rsidP="00156BE1">
      <w:pPr>
        <w:pStyle w:val="StandardWeb"/>
      </w:pPr>
      <w:r>
        <w:rPr>
          <w:rStyle w:val="Fett"/>
        </w:rPr>
        <w:t>Word-LaTeX</w:t>
      </w:r>
    </w:p>
    <w:p w:rsidR="00156BE1" w:rsidRDefault="00156BE1" w:rsidP="00156BE1">
      <w:pPr>
        <w:pStyle w:val="HTMLVorformatiert"/>
        <w:rPr>
          <w:rStyle w:val="HTMLCode"/>
        </w:rPr>
      </w:pPr>
      <w:r>
        <w:rPr>
          <w:rStyle w:val="HTMLCode"/>
        </w:rPr>
        <w:t>\text{vollständige Statusmatrix},\qquad\text{Primäraxiom-Gesamtentscheidung},\qquad\text{methodologische Betrachtungen},\qquad\text{didaktische Betrachtungen}</w:t>
      </w:r>
    </w:p>
    <w:p w:rsidR="00156BE1" w:rsidRDefault="00156BE1" w:rsidP="00156BE1">
      <w:pPr>
        <w:pStyle w:val="StandardWeb"/>
      </w:pPr>
      <w:r>
        <w:t xml:space="preserve">Der nächste Teil beginnt daher bei </w:t>
      </w:r>
      <w:r>
        <w:rPr>
          <w:rStyle w:val="Fett"/>
        </w:rPr>
        <w:t>3.3.47.217 / Gleichung (3.11808)</w:t>
      </w:r>
      <w:r>
        <w:t xml:space="preserve"> mit der vollständigen </w:t>
      </w:r>
      <w:r>
        <w:rPr>
          <w:rStyle w:val="Fett"/>
        </w:rPr>
        <w:t>Statusmatrix aller in 3.3.47 eingeführten Erhaltungs-, Bilanz-, Netzwerk-, Zyklus- und Residualstrukturen</w:t>
      </w:r>
      <w:r>
        <w:t>.</w:t>
      </w:r>
    </w:p>
    <w:p w:rsidR="00F51628" w:rsidRDefault="00F51628" w:rsidP="00F51628">
      <w:pPr>
        <w:pStyle w:val="berschrift1"/>
        <w:rPr>
          <w:rFonts w:cs="Times New Roman"/>
          <w:sz w:val="48"/>
          <w:szCs w:val="48"/>
        </w:rPr>
      </w:pPr>
      <w:r>
        <w:t>3.3.47.217 Vollständige Statusmatrix der funktionalen Erhaltungs- und Bilanzstrukturen</w:t>
      </w:r>
    </w:p>
    <w:p w:rsidR="00F51628" w:rsidRDefault="00F51628" w:rsidP="00F51628">
      <w:pPr>
        <w:pStyle w:val="StandardWeb"/>
      </w:pPr>
      <w:r>
        <w:t>Nachdem ich in den vorangegangenen Teilen von Abschnitt 3.3.47 zunächst funktionale Erhaltungsgrößen, anschließend Quellen-, Senken- und Flussstrukturen und schließlich Netzwerk-, Zyklus- und Residualmodelle eingeführt habe, kann ich nun den Status aller Konstruktionen zusammenführen.</w:t>
      </w:r>
    </w:p>
    <w:p w:rsidR="00F51628" w:rsidRDefault="00F51628" w:rsidP="00F51628">
      <w:pPr>
        <w:pStyle w:val="StandardWeb"/>
      </w:pPr>
      <w:r>
        <w:t>Ich verwende dafür die Klassifikationsmenge</w:t>
      </w:r>
    </w:p>
    <w:p w:rsidR="00F51628" w:rsidRDefault="00F51628" w:rsidP="00F51628">
      <w:pPr>
        <w:pStyle w:val="berschrift1"/>
      </w:pPr>
      <w:r>
        <w:t>[</w:t>
      </w:r>
      <w:r>
        <w:br/>
        <w:t>\mathcal K_{\mathrm{Stat}}</w:t>
      </w:r>
    </w:p>
    <w:p w:rsidR="00F51628" w:rsidRDefault="00F51628" w:rsidP="00F51628">
      <w:pPr>
        <w:pStyle w:val="StandardWeb"/>
      </w:pPr>
      <w:r>
        <w:t>\left{</w:t>
      </w:r>
      <w:r>
        <w:br/>
        <w:t>\mathrm{Def},</w:t>
      </w:r>
      <w:r>
        <w:br/>
        <w:t>\mathrm{Der},</w:t>
      </w:r>
      <w:r>
        <w:br/>
        <w:t>\mathrm{Mod},</w:t>
      </w:r>
      <w:r>
        <w:br/>
        <w:t>\mathrm{Op},</w:t>
      </w:r>
      <w:r>
        <w:br/>
        <w:t>\mathrm{Ax}</w:t>
      </w:r>
      <w:r>
        <w:br/>
        <w:t>\right}.</w:t>
      </w:r>
      <w:r>
        <w:br/>
        <w:t>\tag{3.11808}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\mathcal K_{\mathrm{Stat}}=\left\{\mathrm{Def},\mathrm{Der},\mathrm{Mod},\mathrm{Op},\mathrm{Ax}\right\}</w:t>
      </w:r>
    </w:p>
    <w:p w:rsidR="00F51628" w:rsidRDefault="00F51628" w:rsidP="00F51628">
      <w:pPr>
        <w:pStyle w:val="StandardWeb"/>
      </w:pPr>
      <w:r>
        <w:t>Dabei bedeuten</w:t>
      </w:r>
    </w:p>
    <w:p w:rsidR="00F51628" w:rsidRDefault="00F51628" w:rsidP="00F51628">
      <w:pPr>
        <w:pStyle w:val="berschrift1"/>
      </w:pPr>
      <w:r>
        <w:t>[</w:t>
      </w:r>
      <w:r>
        <w:br/>
        <w:t>\mathrm{Def}</w:t>
      </w:r>
    </w:p>
    <w:p w:rsidR="00F51628" w:rsidRDefault="00F51628" w:rsidP="00F51628">
      <w:pPr>
        <w:pStyle w:val="berschrift1"/>
      </w:pPr>
      <w:r>
        <w:lastRenderedPageBreak/>
        <w:t>\text{Definition},</w:t>
      </w:r>
      <w:r>
        <w:br/>
        <w:t>\qquad</w:t>
      </w:r>
      <w:r>
        <w:br/>
        <w:t>\mathrm{Der}</w:t>
      </w:r>
    </w:p>
    <w:p w:rsidR="00F51628" w:rsidRDefault="00F51628" w:rsidP="00F51628">
      <w:pPr>
        <w:pStyle w:val="StandardWeb"/>
      </w:pPr>
      <w:r>
        <w:t>\text{abgeleitete Aussage},</w:t>
      </w:r>
      <w:r>
        <w:br/>
        <w:t>\tag{3.11809}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\mathrm{Def}=\text{Definition},\qquad\mathrm{Der}=\text{abgeleitete Aussage}</w:t>
      </w:r>
    </w:p>
    <w:p w:rsidR="00F51628" w:rsidRDefault="00F51628" w:rsidP="00F51628">
      <w:pPr>
        <w:pStyle w:val="berschrift1"/>
      </w:pPr>
      <w:r>
        <w:t>[</w:t>
      </w:r>
      <w:r>
        <w:br/>
        <w:t>\mathrm{Mod}</w:t>
      </w:r>
    </w:p>
    <w:p w:rsidR="00F51628" w:rsidRDefault="00F51628" w:rsidP="00F51628">
      <w:pPr>
        <w:pStyle w:val="berschrift1"/>
      </w:pPr>
      <w:r>
        <w:t>\text{Modellannahme},</w:t>
      </w:r>
      <w:r>
        <w:br/>
        <w:t>\qquad</w:t>
      </w:r>
      <w:r>
        <w:br/>
        <w:t>\mathrm{Op}</w:t>
      </w:r>
    </w:p>
    <w:p w:rsidR="00F51628" w:rsidRDefault="00F51628" w:rsidP="00F51628">
      <w:pPr>
        <w:pStyle w:val="StandardWeb"/>
      </w:pPr>
      <w:r>
        <w:t>\text{Operationalisierung},</w:t>
      </w:r>
      <w:r>
        <w:br/>
        <w:t>\tag{3.11810}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\mathrm{Mod}=\text{Modellannahme},\qquad\mathrm{Op}=\text{Operationalisierung}</w:t>
      </w:r>
    </w:p>
    <w:p w:rsidR="00F51628" w:rsidRDefault="00F51628" w:rsidP="00F51628">
      <w:pPr>
        <w:pStyle w:val="StandardWeb"/>
      </w:pPr>
      <w:r>
        <w:t>und</w:t>
      </w:r>
    </w:p>
    <w:p w:rsidR="00F51628" w:rsidRDefault="00F51628" w:rsidP="00F51628">
      <w:pPr>
        <w:pStyle w:val="berschrift1"/>
      </w:pPr>
      <w:r>
        <w:t>[</w:t>
      </w:r>
      <w:r>
        <w:br/>
        <w:t>\mathrm{Ax}</w:t>
      </w:r>
    </w:p>
    <w:p w:rsidR="00F51628" w:rsidRDefault="00F51628" w:rsidP="00F51628">
      <w:pPr>
        <w:pStyle w:val="StandardWeb"/>
      </w:pPr>
      <w:r>
        <w:t>\text{Primäraxiom}.</w:t>
      </w:r>
      <w:r>
        <w:br/>
        <w:t>\tag{3.11811}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\mathrm{Ax}=\text{Primäraxiom}</w:t>
      </w:r>
    </w:p>
    <w:p w:rsidR="00F51628" w:rsidRDefault="00F51628" w:rsidP="00F51628">
      <w:pPr>
        <w:pStyle w:val="StandardWeb"/>
      </w:pPr>
      <w:r>
        <w:t>Mehrfachzuordnungen sind zulässig, wenn eine Struktur beispielsweise definitorisch eingeführt und anschließend operationalisiert wird.</w:t>
      </w:r>
    </w:p>
    <w:p w:rsidR="00F51628" w:rsidRDefault="00E50336" w:rsidP="00F51628">
      <w:r>
        <w:lastRenderedPageBreak/>
        <w:pict>
          <v:rect id="_x0000_i4093" style="width:0;height:1.5pt" o:hralign="center" o:hrstd="t" o:hr="t" fillcolor="#a0a0a0" stroked="f"/>
        </w:pict>
      </w:r>
    </w:p>
    <w:p w:rsidR="00F51628" w:rsidRDefault="00F51628" w:rsidP="00F51628">
      <w:pPr>
        <w:pStyle w:val="berschrift1"/>
      </w:pPr>
      <w:r>
        <w:t>3.3.47.218 Status der Zustandsgröße (Q_F)</w:t>
      </w:r>
    </w:p>
    <w:p w:rsidR="00F51628" w:rsidRDefault="00F51628" w:rsidP="00F51628">
      <w:pPr>
        <w:pStyle w:val="StandardWeb"/>
      </w:pPr>
      <w:r>
        <w:t>Die Zustandsgröße</w:t>
      </w:r>
    </w:p>
    <w:p w:rsidR="00F51628" w:rsidRDefault="00F51628" w:rsidP="00F51628">
      <w:pPr>
        <w:pStyle w:val="StandardWeb"/>
      </w:pPr>
      <w:r>
        <w:t>[</w:t>
      </w:r>
      <w:r>
        <w:br/>
        <w:t>Q_F:</w:t>
      </w:r>
      <w:r>
        <w:br/>
        <w:t>\Omega_F</w:t>
      </w:r>
      <w:r>
        <w:br/>
        <w:t>\rightarrow</w:t>
      </w:r>
      <w:r>
        <w:br/>
        <w:t>\mathcal V_Q</w:t>
      </w:r>
      <w:r>
        <w:br/>
        <w:t>\tag{3.11812}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Q_F:\Omega_F\rightarrow\mathcal V_Q</w:t>
      </w:r>
    </w:p>
    <w:p w:rsidR="00F51628" w:rsidRDefault="00F51628" w:rsidP="00F51628">
      <w:pPr>
        <w:pStyle w:val="StandardWeb"/>
      </w:pPr>
      <w:r>
        <w:t>ist keine zusätzliche Primärstruktur des FRZK-Kerns, sondern eine auf einem bereits gegebenen Zustandsraum eingeführte funktionale Abbildung.</w:t>
      </w:r>
    </w:p>
    <w:p w:rsidR="00F51628" w:rsidRDefault="00F51628" w:rsidP="00F51628">
      <w:pPr>
        <w:pStyle w:val="StandardWeb"/>
      </w:pPr>
      <w:r>
        <w:t>Damit klassifiziere ich</w:t>
      </w:r>
    </w:p>
    <w:p w:rsidR="00F51628" w:rsidRDefault="00F51628" w:rsidP="00F51628">
      <w:pPr>
        <w:pStyle w:val="berschrift1"/>
      </w:pPr>
      <w:r>
        <w:t>[</w:t>
      </w:r>
      <w:r>
        <w:br/>
        <w:t>\boxed{</w:t>
      </w:r>
      <w:r>
        <w:br/>
        <w:t>\operatorname{Stat}(Q_F)</w:t>
      </w:r>
    </w:p>
    <w:p w:rsidR="00F51628" w:rsidRDefault="00F51628" w:rsidP="00F51628">
      <w:pPr>
        <w:pStyle w:val="StandardWeb"/>
      </w:pPr>
      <w:r>
        <w:t>\mathrm{Def/Mod}.</w:t>
      </w:r>
      <w:r>
        <w:br/>
        <w:t>}</w:t>
      </w:r>
      <w:r>
        <w:br/>
        <w:t>\tag{3.11813}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\boxed{\operatorname{Stat}(Q_F)=\mathrm{Def/Mod}.}</w:t>
      </w:r>
    </w:p>
    <w:p w:rsidR="00F51628" w:rsidRDefault="00E50336" w:rsidP="00F51628">
      <w:r>
        <w:pict>
          <v:rect id="_x0000_i4094" style="width:0;height:1.5pt" o:hralign="center" o:hrstd="t" o:hr="t" fillcolor="#a0a0a0" stroked="f"/>
        </w:pict>
      </w:r>
    </w:p>
    <w:p w:rsidR="00F51628" w:rsidRDefault="00F51628" w:rsidP="00F51628">
      <w:pPr>
        <w:pStyle w:val="berschrift1"/>
      </w:pPr>
      <w:r>
        <w:t>3.3.47.219 Status der übergangsbezogenen Änderung</w:t>
      </w:r>
    </w:p>
    <w:p w:rsidR="00F51628" w:rsidRDefault="00F51628" w:rsidP="00F51628">
      <w:pPr>
        <w:pStyle w:val="StandardWeb"/>
      </w:pPr>
      <w:r>
        <w:t>Für</w:t>
      </w:r>
    </w:p>
    <w:p w:rsidR="00F51628" w:rsidRDefault="00F51628" w:rsidP="00F51628">
      <w:pPr>
        <w:pStyle w:val="berschrift1"/>
      </w:pPr>
      <w:r>
        <w:t>[</w:t>
      </w:r>
      <w:r>
        <w:br/>
        <w:t>\Delta_TQ_F</w:t>
      </w:r>
    </w:p>
    <w:p w:rsidR="00F51628" w:rsidRDefault="00F51628" w:rsidP="00F51628">
      <w:pPr>
        <w:pStyle w:val="StandardWeb"/>
      </w:pPr>
      <w:r>
        <w:t>Q_F(z_j)-Q_F(z_i)</w:t>
      </w:r>
      <w:r>
        <w:br/>
        <w:t>\tag{3.11814}</w:t>
      </w:r>
      <w:r>
        <w:br/>
        <w:t>]</w:t>
      </w:r>
    </w:p>
    <w:p w:rsidR="00F51628" w:rsidRDefault="00F51628" w:rsidP="00F51628">
      <w:pPr>
        <w:pStyle w:val="StandardWeb"/>
      </w:pPr>
      <w:r>
        <w:rPr>
          <w:rStyle w:val="Fett"/>
        </w:rPr>
        <w:lastRenderedPageBreak/>
        <w:t>Word-LaTeX</w:t>
      </w:r>
    </w:p>
    <w:p w:rsidR="00F51628" w:rsidRDefault="00F51628" w:rsidP="00F51628">
      <w:pPr>
        <w:pStyle w:val="HTMLVorformatiert"/>
        <w:rPr>
          <w:rStyle w:val="HTMLCode"/>
        </w:rPr>
      </w:pPr>
      <w:r>
        <w:rPr>
          <w:rStyle w:val="HTMLCode"/>
        </w:rPr>
        <w:t>\Delta_TQ_F=Q_F(z_j)-Q_F(z_i)</w:t>
      </w:r>
    </w:p>
    <w:p w:rsidR="00F51628" w:rsidRDefault="00F51628" w:rsidP="00F51628">
      <w:pPr>
        <w:pStyle w:val="StandardWeb"/>
      </w:pPr>
      <w:r>
        <w:t>gilt</w:t>
      </w:r>
    </w:p>
    <w:p w:rsidR="00F51628" w:rsidRDefault="00F51628" w:rsidP="00F51628">
      <w:pPr>
        <w:pStyle w:val="berschrift1"/>
      </w:pPr>
      <w:r>
        <w:t>[</w:t>
      </w:r>
      <w:r>
        <w:br/>
        <w:t>\boxed{</w:t>
      </w:r>
      <w:r>
        <w:br/>
        <w:t>\operatorname{Stat}(\Delta_TQ_F)</w:t>
      </w:r>
    </w:p>
    <w:p w:rsidR="00F51628" w:rsidRDefault="00F51628" w:rsidP="00F51628">
      <w:pPr>
        <w:pStyle w:val="StandardWeb"/>
      </w:pPr>
      <w:r>
        <w:t>\mathrm{Def/Op}.</w:t>
      </w:r>
      <w:r>
        <w:br/>
        <w:t>}</w:t>
      </w:r>
      <w:r>
        <w:br/>
        <w:t>\tag{3.11815}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\boxed{\operatorname{Stat}(\Delta_TQ_F)=\mathrm{Def/Op}.}</w:t>
      </w:r>
    </w:p>
    <w:p w:rsidR="00F51628" w:rsidRDefault="00E50336" w:rsidP="00F51628">
      <w:r>
        <w:pict>
          <v:rect id="_x0000_i4095" style="width:0;height:1.5pt" o:hralign="center" o:hrstd="t" o:hr="t" fillcolor="#a0a0a0" stroked="f"/>
        </w:pict>
      </w:r>
    </w:p>
    <w:p w:rsidR="00F51628" w:rsidRDefault="00F51628" w:rsidP="00F51628">
      <w:pPr>
        <w:pStyle w:val="berschrift1"/>
      </w:pPr>
      <w:r>
        <w:t>3.3.47.220 Status von Gewinn und Verlust</w:t>
      </w:r>
    </w:p>
    <w:p w:rsidR="00F51628" w:rsidRDefault="00F51628" w:rsidP="00F51628">
      <w:pPr>
        <w:pStyle w:val="StandardWeb"/>
      </w:pPr>
      <w:r>
        <w:t>Die Größen</w:t>
      </w:r>
    </w:p>
    <w:p w:rsidR="00F51628" w:rsidRDefault="00F51628" w:rsidP="00F51628">
      <w:pPr>
        <w:pStyle w:val="berschrift1"/>
      </w:pPr>
      <w:r>
        <w:t>[</w:t>
      </w:r>
      <w:r>
        <w:br/>
        <w:t>G_Q</w:t>
      </w:r>
    </w:p>
    <w:p w:rsidR="00F51628" w:rsidRDefault="00F51628" w:rsidP="00F51628">
      <w:pPr>
        <w:pStyle w:val="StandardWeb"/>
      </w:pPr>
      <w:r>
        <w:t>\max{\Delta_TQ_F,0}</w:t>
      </w:r>
      <w:r>
        <w:br/>
        <w:t>\tag{3.11816}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G_Q=\max\{\Delta_TQ_F,0\}</w:t>
      </w:r>
    </w:p>
    <w:p w:rsidR="00F51628" w:rsidRDefault="00F51628" w:rsidP="00F51628">
      <w:pPr>
        <w:pStyle w:val="StandardWeb"/>
      </w:pPr>
      <w:r>
        <w:t>und</w:t>
      </w:r>
    </w:p>
    <w:p w:rsidR="00F51628" w:rsidRDefault="00F51628" w:rsidP="00F51628">
      <w:pPr>
        <w:pStyle w:val="berschrift1"/>
      </w:pPr>
      <w:r>
        <w:t>[</w:t>
      </w:r>
      <w:r>
        <w:br/>
        <w:t>L_Q</w:t>
      </w:r>
    </w:p>
    <w:p w:rsidR="00F51628" w:rsidRDefault="00F51628" w:rsidP="00F51628">
      <w:pPr>
        <w:pStyle w:val="StandardWeb"/>
      </w:pPr>
      <w:r>
        <w:t>\max{-\Delta_TQ_F,0}</w:t>
      </w:r>
      <w:r>
        <w:br/>
        <w:t>\tag{3.11817}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lastRenderedPageBreak/>
        <w:t>L_Q=\max\{-\Delta_TQ_F,0\}</w:t>
      </w:r>
    </w:p>
    <w:p w:rsidR="00F51628" w:rsidRDefault="00F51628" w:rsidP="00F51628">
      <w:pPr>
        <w:pStyle w:val="StandardWeb"/>
      </w:pPr>
      <w:r>
        <w:t>sind vollständig durch (\Delta_TQ_F) bestimmt.</w:t>
      </w:r>
    </w:p>
    <w:p w:rsidR="00F51628" w:rsidRDefault="00F51628" w:rsidP="00F51628">
      <w:pPr>
        <w:pStyle w:val="StandardWeb"/>
      </w:pPr>
      <w:r>
        <w:t>Daher gilt</w:t>
      </w:r>
    </w:p>
    <w:p w:rsidR="00F51628" w:rsidRDefault="00F51628" w:rsidP="00F51628">
      <w:pPr>
        <w:pStyle w:val="berschrift1"/>
      </w:pPr>
      <w:r>
        <w:t>[</w:t>
      </w:r>
      <w:r>
        <w:br/>
        <w:t>\boxed{</w:t>
      </w:r>
      <w:r>
        <w:br/>
        <w:t>\operatorname{Stat}(G_Q)</w:t>
      </w:r>
    </w:p>
    <w:p w:rsidR="00F51628" w:rsidRDefault="00F51628" w:rsidP="00F51628">
      <w:pPr>
        <w:pStyle w:val="berschrift1"/>
      </w:pPr>
      <w:r>
        <w:t>\operatorname{Stat}(L_Q)</w:t>
      </w:r>
    </w:p>
    <w:p w:rsidR="00F51628" w:rsidRDefault="00F51628" w:rsidP="00F51628">
      <w:pPr>
        <w:pStyle w:val="StandardWeb"/>
      </w:pPr>
      <w:r>
        <w:t>\mathrm{Def/Op}.</w:t>
      </w:r>
      <w:r>
        <w:br/>
        <w:t>}</w:t>
      </w:r>
      <w:r>
        <w:br/>
        <w:t>\tag{3.11818}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\boxed{\operatorname{Stat}(G_Q)=\operatorname{Stat}(L_Q)=\mathrm{Def/Op}.}</w:t>
      </w:r>
    </w:p>
    <w:p w:rsidR="00F51628" w:rsidRDefault="00E50336" w:rsidP="00F51628">
      <w:r>
        <w:pict>
          <v:rect id="_x0000_i4096" style="width:0;height:1.5pt" o:hralign="center" o:hrstd="t" o:hr="t" fillcolor="#a0a0a0" stroked="f"/>
        </w:pict>
      </w:r>
    </w:p>
    <w:p w:rsidR="00F51628" w:rsidRDefault="00F51628" w:rsidP="00F51628">
      <w:pPr>
        <w:pStyle w:val="berschrift1"/>
      </w:pPr>
      <w:r>
        <w:t>3.3.47.221 Status der Gewinn-Verlust-Zerlegung</w:t>
      </w:r>
    </w:p>
    <w:p w:rsidR="00F51628" w:rsidRDefault="00F51628" w:rsidP="00F51628">
      <w:pPr>
        <w:pStyle w:val="StandardWeb"/>
      </w:pPr>
      <w:r>
        <w:t>Die Beziehung</w:t>
      </w:r>
    </w:p>
    <w:p w:rsidR="00F51628" w:rsidRDefault="00F51628" w:rsidP="00F51628">
      <w:pPr>
        <w:pStyle w:val="berschrift1"/>
      </w:pPr>
      <w:r>
        <w:t>[</w:t>
      </w:r>
      <w:r>
        <w:br/>
        <w:t>\Delta_TQ_F</w:t>
      </w:r>
    </w:p>
    <w:p w:rsidR="00F51628" w:rsidRDefault="00F51628" w:rsidP="00F51628">
      <w:pPr>
        <w:pStyle w:val="StandardWeb"/>
      </w:pPr>
      <w:r>
        <w:t>G_Q-L_Q</w:t>
      </w:r>
      <w:r>
        <w:br/>
        <w:t>\tag{3.11819}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\Delta_TQ_F=G_Q-L_Q</w:t>
      </w:r>
    </w:p>
    <w:p w:rsidR="00F51628" w:rsidRDefault="00F51628" w:rsidP="00F51628">
      <w:pPr>
        <w:pStyle w:val="StandardWeb"/>
      </w:pPr>
      <w:r>
        <w:t>folgt unmittelbar aus den Definitionen.</w:t>
      </w:r>
    </w:p>
    <w:p w:rsidR="00F51628" w:rsidRDefault="00F51628" w:rsidP="00F51628">
      <w:pPr>
        <w:pStyle w:val="StandardWeb"/>
      </w:pPr>
      <w:r>
        <w:t>Damit gilt</w:t>
      </w:r>
    </w:p>
    <w:p w:rsidR="00F51628" w:rsidRDefault="00F51628" w:rsidP="00F51628">
      <w:pPr>
        <w:pStyle w:val="berschrift1"/>
      </w:pPr>
      <w:r>
        <w:t>[</w:t>
      </w:r>
      <w:r>
        <w:br/>
        <w:t>\boxed{</w:t>
      </w:r>
      <w:r>
        <w:br/>
      </w:r>
      <w:r>
        <w:lastRenderedPageBreak/>
        <w:t>\operatorname{Stat}</w:t>
      </w:r>
      <w:r>
        <w:br/>
        <w:t>(\Delta_TQ_F=G_Q-L_Q)</w:t>
      </w:r>
    </w:p>
    <w:p w:rsidR="00F51628" w:rsidRDefault="00F51628" w:rsidP="00F51628">
      <w:pPr>
        <w:pStyle w:val="StandardWeb"/>
      </w:pPr>
      <w:r>
        <w:t>\mathrm{Der}.</w:t>
      </w:r>
      <w:r>
        <w:br/>
        <w:t>}</w:t>
      </w:r>
      <w:r>
        <w:br/>
        <w:t>\tag{3.11820}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\boxed{\operatorname{Stat}(\Delta_TQ_F=G_Q-L_Q)=\mathrm{Der}.}</w:t>
      </w:r>
    </w:p>
    <w:p w:rsidR="00F51628" w:rsidRDefault="00E50336" w:rsidP="00F51628">
      <w:r>
        <w:pict>
          <v:rect id="_x0000_i4097" style="width:0;height:1.5pt" o:hralign="center" o:hrstd="t" o:hr="t" fillcolor="#a0a0a0" stroked="f"/>
        </w:pict>
      </w:r>
    </w:p>
    <w:p w:rsidR="00F51628" w:rsidRDefault="00F51628" w:rsidP="00F51628">
      <w:pPr>
        <w:pStyle w:val="berschrift1"/>
      </w:pPr>
      <w:r>
        <w:t>3.3.47.222 Status funktionaler Erhaltung</w:t>
      </w:r>
    </w:p>
    <w:p w:rsidR="00F51628" w:rsidRDefault="00F51628" w:rsidP="00F51628">
      <w:pPr>
        <w:pStyle w:val="StandardWeb"/>
      </w:pPr>
      <w:r>
        <w:t>Die Bedingung</w:t>
      </w:r>
    </w:p>
    <w:p w:rsidR="00F51628" w:rsidRDefault="00F51628" w:rsidP="00F51628">
      <w:pPr>
        <w:pStyle w:val="StandardWeb"/>
      </w:pPr>
      <w:r>
        <w:t>[</w:t>
      </w:r>
      <w:r>
        <w:br/>
        <w:t>\Delta_TQ_F=0</w:t>
      </w:r>
      <w:r>
        <w:br/>
        <w:t>\tag{3.11821}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\Delta_TQ_F=0</w:t>
      </w:r>
    </w:p>
    <w:p w:rsidR="00F51628" w:rsidRDefault="00F51628" w:rsidP="00F51628">
      <w:pPr>
        <w:pStyle w:val="StandardWeb"/>
      </w:pPr>
      <w:r>
        <w:t>definiert funktionale Erhaltung bezüglich eines Übergangs.</w:t>
      </w:r>
    </w:p>
    <w:p w:rsidR="00F51628" w:rsidRDefault="00F51628" w:rsidP="00F51628">
      <w:pPr>
        <w:pStyle w:val="StandardWeb"/>
      </w:pPr>
      <w:r>
        <w:t>Ob diese Bedingung tatsächlich erfüllt ist, hängt jedoch vom betrachteten Modell ab.</w:t>
      </w:r>
    </w:p>
    <w:p w:rsidR="00F51628" w:rsidRDefault="00F51628" w:rsidP="00F51628">
      <w:pPr>
        <w:pStyle w:val="StandardWeb"/>
      </w:pPr>
      <w:r>
        <w:t>Daher gilt</w:t>
      </w:r>
    </w:p>
    <w:p w:rsidR="00F51628" w:rsidRDefault="00F51628" w:rsidP="00F51628">
      <w:pPr>
        <w:pStyle w:val="berschrift1"/>
      </w:pPr>
      <w:r>
        <w:t>[</w:t>
      </w:r>
      <w:r>
        <w:br/>
        <w:t>\boxed{</w:t>
      </w:r>
      <w:r>
        <w:br/>
        <w:t>\operatorname{Stat}</w:t>
      </w:r>
      <w:r>
        <w:br/>
        <w:t>(\operatorname{Cons}_Q)</w:t>
      </w:r>
    </w:p>
    <w:p w:rsidR="00F51628" w:rsidRDefault="00F51628" w:rsidP="00F51628">
      <w:pPr>
        <w:pStyle w:val="StandardWeb"/>
      </w:pPr>
      <w:r>
        <w:t>\mathrm{Def/Mod}.</w:t>
      </w:r>
      <w:r>
        <w:br/>
        <w:t>}</w:t>
      </w:r>
      <w:r>
        <w:br/>
        <w:t>\tag{3.11822}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\boxed{\operatorname{Stat}(\operatorname{Cons}_Q)=\mathrm{Def/Mod}.}</w:t>
      </w:r>
    </w:p>
    <w:p w:rsidR="00F51628" w:rsidRDefault="00E50336" w:rsidP="00F51628">
      <w:r>
        <w:pict>
          <v:rect id="_x0000_i4098" style="width:0;height:1.5pt" o:hralign="center" o:hrstd="t" o:hr="t" fillcolor="#a0a0a0" stroked="f"/>
        </w:pict>
      </w:r>
    </w:p>
    <w:p w:rsidR="00F51628" w:rsidRDefault="00F51628" w:rsidP="00F51628">
      <w:pPr>
        <w:pStyle w:val="berschrift1"/>
      </w:pPr>
      <w:r>
        <w:lastRenderedPageBreak/>
        <w:t>3.3.47.223 Status der Erhaltungsdomäne</w:t>
      </w:r>
    </w:p>
    <w:p w:rsidR="00F51628" w:rsidRDefault="00F51628" w:rsidP="00F51628">
      <w:pPr>
        <w:pStyle w:val="StandardWeb"/>
      </w:pPr>
      <w:r>
        <w:t>Die Erhaltungsdomäne</w:t>
      </w:r>
    </w:p>
    <w:p w:rsidR="00F51628" w:rsidRDefault="00F51628" w:rsidP="00F51628">
      <w:pPr>
        <w:pStyle w:val="StandardWeb"/>
      </w:pPr>
      <w:r>
        <w:t>[</w:t>
      </w:r>
      <w:r>
        <w:br/>
        <w:t>\mathcal T_Q</w:t>
      </w:r>
      <w:r>
        <w:br/>
        <w:t>\subseteq</w:t>
      </w:r>
      <w:r>
        <w:br/>
        <w:t>\mathcal T_F</w:t>
      </w:r>
      <w:r>
        <w:br/>
        <w:t>\tag{3.11823}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\mathcal T_Q\subseteq\mathcal T_F</w:t>
      </w:r>
    </w:p>
    <w:p w:rsidR="00F51628" w:rsidRDefault="00F51628" w:rsidP="00F51628">
      <w:pPr>
        <w:pStyle w:val="StandardWeb"/>
      </w:pPr>
      <w:r>
        <w:t>wird durch die Menge der Übergänge bestimmt, auf denen (Q_F) erhalten ist.</w:t>
      </w:r>
    </w:p>
    <w:p w:rsidR="00F51628" w:rsidRDefault="00F51628" w:rsidP="00F51628">
      <w:pPr>
        <w:pStyle w:val="StandardWeb"/>
      </w:pPr>
      <w:r>
        <w:t>Damit gilt</w:t>
      </w:r>
    </w:p>
    <w:p w:rsidR="00F51628" w:rsidRDefault="00F51628" w:rsidP="00F51628">
      <w:pPr>
        <w:pStyle w:val="berschrift1"/>
      </w:pPr>
      <w:r>
        <w:t>[</w:t>
      </w:r>
      <w:r>
        <w:br/>
        <w:t>\boxed{</w:t>
      </w:r>
      <w:r>
        <w:br/>
        <w:t>\operatorname{Stat}(\mathcal T_Q)</w:t>
      </w:r>
    </w:p>
    <w:p w:rsidR="00F51628" w:rsidRDefault="00F51628" w:rsidP="00F51628">
      <w:pPr>
        <w:pStyle w:val="StandardWeb"/>
      </w:pPr>
      <w:r>
        <w:t>\mathrm{Def/Op}.</w:t>
      </w:r>
      <w:r>
        <w:br/>
        <w:t>}</w:t>
      </w:r>
      <w:r>
        <w:br/>
        <w:t>\tag{3.11824}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\boxed{\operatorname{Stat}(\mathcal T_Q)=\mathrm{Def/Op}.}</w:t>
      </w:r>
    </w:p>
    <w:p w:rsidR="00F51628" w:rsidRDefault="00E50336" w:rsidP="00F51628">
      <w:r>
        <w:pict>
          <v:rect id="_x0000_i4099" style="width:0;height:1.5pt" o:hralign="center" o:hrstd="t" o:hr="t" fillcolor="#a0a0a0" stroked="f"/>
        </w:pict>
      </w:r>
    </w:p>
    <w:p w:rsidR="00F51628" w:rsidRDefault="00F51628" w:rsidP="00F51628">
      <w:pPr>
        <w:pStyle w:val="berschrift1"/>
      </w:pPr>
      <w:r>
        <w:t>3.3.47.224 Status globaler funktionaler Erhaltung</w:t>
      </w:r>
    </w:p>
    <w:p w:rsidR="00F51628" w:rsidRDefault="00F51628" w:rsidP="00F51628">
      <w:pPr>
        <w:pStyle w:val="StandardWeb"/>
      </w:pPr>
      <w:r>
        <w:t>Die globale Erhaltungsbedingung</w:t>
      </w:r>
    </w:p>
    <w:p w:rsidR="00F51628" w:rsidRDefault="00F51628" w:rsidP="00F51628">
      <w:pPr>
        <w:pStyle w:val="StandardWeb"/>
      </w:pPr>
      <w:r>
        <w:t>[</w:t>
      </w:r>
      <w:r>
        <w:br/>
        <w:t>\Delta_TQ_F(z_i,z_j)=0</w:t>
      </w:r>
      <w:r>
        <w:br/>
        <w:t>\qquad</w:t>
      </w:r>
      <w:r>
        <w:br/>
        <w:t>\forall(z_i,z_j)\in\mathcal T_F</w:t>
      </w:r>
      <w:r>
        <w:br/>
        <w:t>\tag{3.11825}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\Delta_TQ_F(z_i,z_j)=0\qquad\forall(z_i,z_j)\in\mathcal T_F</w:t>
      </w:r>
    </w:p>
    <w:p w:rsidR="00F51628" w:rsidRDefault="00F51628" w:rsidP="00F51628">
      <w:pPr>
        <w:pStyle w:val="StandardWeb"/>
      </w:pPr>
      <w:r>
        <w:lastRenderedPageBreak/>
        <w:t>ist definitorisch formulierbar, aber nicht universell erforderlich.</w:t>
      </w:r>
    </w:p>
    <w:p w:rsidR="00F51628" w:rsidRDefault="00F51628" w:rsidP="00F51628">
      <w:pPr>
        <w:pStyle w:val="StandardWeb"/>
      </w:pPr>
      <w:r>
        <w:t>Daher gilt</w:t>
      </w:r>
    </w:p>
    <w:p w:rsidR="00F51628" w:rsidRDefault="00F51628" w:rsidP="00F51628">
      <w:pPr>
        <w:pStyle w:val="berschrift1"/>
      </w:pPr>
      <w:r>
        <w:t>[</w:t>
      </w:r>
      <w:r>
        <w:br/>
        <w:t>\boxed{</w:t>
      </w:r>
      <w:r>
        <w:br/>
        <w:t>\operatorname{Stat}</w:t>
      </w:r>
      <w:r>
        <w:br/>
        <w:t>(\operatorname{Cons}_Q^{\mathrm{glob}})</w:t>
      </w:r>
    </w:p>
    <w:p w:rsidR="00F51628" w:rsidRDefault="00F51628" w:rsidP="00F51628">
      <w:pPr>
        <w:pStyle w:val="StandardWeb"/>
      </w:pPr>
      <w:r>
        <w:t>\mathrm{Def/Mod}.</w:t>
      </w:r>
      <w:r>
        <w:br/>
        <w:t>}</w:t>
      </w:r>
      <w:r>
        <w:br/>
        <w:t>\tag{3.11826}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\boxed{\operatorname{Stat}(\operatorname{Cons}_Q^{\mathrm{glob}})=\mathrm{Def/Mod}.}</w:t>
      </w:r>
    </w:p>
    <w:p w:rsidR="00F51628" w:rsidRDefault="00E50336" w:rsidP="00F51628">
      <w:r>
        <w:pict>
          <v:rect id="_x0000_i4100" style="width:0;height:1.5pt" o:hralign="center" o:hrstd="t" o:hr="t" fillcolor="#a0a0a0" stroked="f"/>
        </w:pict>
      </w:r>
    </w:p>
    <w:p w:rsidR="00F51628" w:rsidRDefault="00F51628" w:rsidP="00F51628">
      <w:pPr>
        <w:pStyle w:val="berschrift1"/>
      </w:pPr>
      <w:r>
        <w:t>3.3.47.225 Status der Pfadänderung</w:t>
      </w:r>
    </w:p>
    <w:p w:rsidR="00F51628" w:rsidRDefault="00F51628" w:rsidP="00F51628">
      <w:pPr>
        <w:pStyle w:val="StandardWeb"/>
      </w:pPr>
      <w:r>
        <w:t>Die pfadbezogene Änderung</w:t>
      </w:r>
    </w:p>
    <w:p w:rsidR="00F51628" w:rsidRDefault="00F51628" w:rsidP="00F51628">
      <w:pPr>
        <w:pStyle w:val="berschrift1"/>
      </w:pPr>
      <w:r>
        <w:t>[</w:t>
      </w:r>
      <w:r>
        <w:br/>
        <w:t>\Delta_\gamma Q_F</w:t>
      </w:r>
    </w:p>
    <w:p w:rsidR="00F51628" w:rsidRDefault="00F51628" w:rsidP="00F51628">
      <w:pPr>
        <w:pStyle w:val="StandardWeb"/>
      </w:pPr>
      <w:r>
        <w:t>Q_F(z_n)-Q_F(z_0)</w:t>
      </w:r>
      <w:r>
        <w:br/>
        <w:t>\tag{3.11827}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\Delta_\gamma Q_F=Q_F(z_n)-Q_F(z_0)</w:t>
      </w:r>
    </w:p>
    <w:p w:rsidR="00F51628" w:rsidRDefault="00F51628" w:rsidP="00F51628">
      <w:pPr>
        <w:pStyle w:val="StandardWeb"/>
      </w:pPr>
      <w:r>
        <w:t>ist definitorisch.</w:t>
      </w:r>
    </w:p>
    <w:p w:rsidR="00F51628" w:rsidRDefault="00F51628" w:rsidP="00F51628">
      <w:pPr>
        <w:pStyle w:val="StandardWeb"/>
      </w:pPr>
      <w:r>
        <w:t>Damit gilt</w:t>
      </w:r>
    </w:p>
    <w:p w:rsidR="00F51628" w:rsidRDefault="00F51628" w:rsidP="00F51628">
      <w:pPr>
        <w:pStyle w:val="berschrift1"/>
      </w:pPr>
      <w:r>
        <w:t>[</w:t>
      </w:r>
      <w:r>
        <w:br/>
        <w:t>\boxed{</w:t>
      </w:r>
      <w:r>
        <w:br/>
        <w:t>\operatorname{Stat}</w:t>
      </w:r>
      <w:r>
        <w:br/>
        <w:t>(\Delta_\gamma Q_F)</w:t>
      </w:r>
    </w:p>
    <w:p w:rsidR="00F51628" w:rsidRDefault="00F51628" w:rsidP="00F51628">
      <w:pPr>
        <w:pStyle w:val="StandardWeb"/>
      </w:pPr>
      <w:r>
        <w:lastRenderedPageBreak/>
        <w:t>\mathrm{Def/Op}.</w:t>
      </w:r>
      <w:r>
        <w:br/>
        <w:t>}</w:t>
      </w:r>
      <w:r>
        <w:br/>
        <w:t>\tag{3.11828}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\boxed{\operatorname{Stat}(\Delta_\gamma Q_F)=\mathrm{Def/Op}.}</w:t>
      </w:r>
    </w:p>
    <w:p w:rsidR="00F51628" w:rsidRDefault="00E50336" w:rsidP="00F51628">
      <w:r>
        <w:pict>
          <v:rect id="_x0000_i4101" style="width:0;height:1.5pt" o:hralign="center" o:hrstd="t" o:hr="t" fillcolor="#a0a0a0" stroked="f"/>
        </w:pict>
      </w:r>
    </w:p>
    <w:p w:rsidR="00F51628" w:rsidRDefault="00F51628" w:rsidP="00F51628">
      <w:pPr>
        <w:pStyle w:val="berschrift1"/>
      </w:pPr>
      <w:r>
        <w:t>3.3.47.226 Status der Teleskopsumme</w:t>
      </w:r>
    </w:p>
    <w:p w:rsidR="00F51628" w:rsidRDefault="00F51628" w:rsidP="00F51628">
      <w:pPr>
        <w:pStyle w:val="StandardWeb"/>
      </w:pPr>
      <w:r>
        <w:t>Die Beziehung</w:t>
      </w:r>
    </w:p>
    <w:p w:rsidR="00F51628" w:rsidRDefault="00F51628" w:rsidP="00F51628">
      <w:pPr>
        <w:pStyle w:val="berschrift1"/>
      </w:pPr>
      <w:r>
        <w:t>[</w:t>
      </w:r>
      <w:r>
        <w:br/>
        <w:t>\Delta_\gamma Q_F</w:t>
      </w:r>
    </w:p>
    <w:p w:rsidR="00F51628" w:rsidRDefault="00F51628" w:rsidP="00F51628">
      <w:pPr>
        <w:pStyle w:val="StandardWeb"/>
      </w:pPr>
      <w:r>
        <w:t>\sum_{k=1}^{n}</w:t>
      </w:r>
      <w:r>
        <w:br/>
        <w:t>\Delta_TQ_F(z_{k-1},z_k)</w:t>
      </w:r>
      <w:r>
        <w:br/>
        <w:t>\tag{3.11829}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\Delta_\gamma Q_F=\sum_{k=1}^{n}\Delta_TQ_F(z_{k-1},z_k)</w:t>
      </w:r>
    </w:p>
    <w:p w:rsidR="00F51628" w:rsidRDefault="00F51628" w:rsidP="00F51628">
      <w:pPr>
        <w:pStyle w:val="StandardWeb"/>
      </w:pPr>
      <w:r>
        <w:t>ist mathematisch abgeleitet.</w:t>
      </w:r>
    </w:p>
    <w:p w:rsidR="00F51628" w:rsidRDefault="00F51628" w:rsidP="00F51628">
      <w:pPr>
        <w:pStyle w:val="StandardWeb"/>
      </w:pPr>
      <w:r>
        <w:t>Somit</w:t>
      </w:r>
    </w:p>
    <w:p w:rsidR="00F51628" w:rsidRDefault="00F51628" w:rsidP="00F51628">
      <w:pPr>
        <w:pStyle w:val="berschrift1"/>
      </w:pPr>
      <w:r>
        <w:t>[</w:t>
      </w:r>
      <w:r>
        <w:br/>
        <w:t>\boxed{</w:t>
      </w:r>
      <w:r>
        <w:br/>
        <w:t>\operatorname{Stat}</w:t>
      </w:r>
      <w:r>
        <w:br/>
        <w:t>(\text{Teleskopsumme})</w:t>
      </w:r>
    </w:p>
    <w:p w:rsidR="00F51628" w:rsidRDefault="00F51628" w:rsidP="00F51628">
      <w:pPr>
        <w:pStyle w:val="StandardWeb"/>
      </w:pPr>
      <w:r>
        <w:t>\mathrm{Der}.</w:t>
      </w:r>
      <w:r>
        <w:br/>
        <w:t>}</w:t>
      </w:r>
      <w:r>
        <w:br/>
        <w:t>\tag{3.11830}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\boxed{\operatorname{Stat}(\text{Teleskopsumme})=\mathrm{Der}.}</w:t>
      </w:r>
    </w:p>
    <w:p w:rsidR="00F51628" w:rsidRDefault="00E50336" w:rsidP="00F51628">
      <w:r>
        <w:pict>
          <v:rect id="_x0000_i4102" style="width:0;height:1.5pt" o:hralign="center" o:hrstd="t" o:hr="t" fillcolor="#a0a0a0" stroked="f"/>
        </w:pict>
      </w:r>
    </w:p>
    <w:p w:rsidR="00F51628" w:rsidRDefault="00F51628" w:rsidP="00F51628">
      <w:pPr>
        <w:pStyle w:val="berschrift1"/>
      </w:pPr>
      <w:r>
        <w:t>3.3.47.227 Status der kompensierten Pfaderhaltung</w:t>
      </w:r>
    </w:p>
    <w:p w:rsidR="00F51628" w:rsidRDefault="00F51628" w:rsidP="00F51628">
      <w:pPr>
        <w:pStyle w:val="StandardWeb"/>
      </w:pPr>
      <w:r>
        <w:lastRenderedPageBreak/>
        <w:t>Die Bedingung</w:t>
      </w:r>
    </w:p>
    <w:p w:rsidR="00F51628" w:rsidRDefault="00F51628" w:rsidP="00F51628">
      <w:pPr>
        <w:pStyle w:val="StandardWeb"/>
      </w:pPr>
      <w:r>
        <w:t>[</w:t>
      </w:r>
      <w:r>
        <w:br/>
        <w:t>\Delta_\gamma Q_F=0</w:t>
      </w:r>
      <w:r>
        <w:br/>
        <w:t>\tag{3.11831}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\Delta_\gamma Q_F=0</w:t>
      </w:r>
    </w:p>
    <w:p w:rsidR="00F51628" w:rsidRDefault="00F51628" w:rsidP="00F51628">
      <w:pPr>
        <w:pStyle w:val="StandardWeb"/>
      </w:pPr>
      <w:r>
        <w:t>bei gleichzeitig mindestens einer nichtverschwindenden Teiländerung ist eine definierte Klassifikation eines Pfades.</w:t>
      </w:r>
    </w:p>
    <w:p w:rsidR="00F51628" w:rsidRDefault="00F51628" w:rsidP="00F51628">
      <w:pPr>
        <w:pStyle w:val="StandardWeb"/>
      </w:pPr>
      <w:r>
        <w:t>Daher gilt</w:t>
      </w:r>
    </w:p>
    <w:p w:rsidR="00F51628" w:rsidRDefault="00F51628" w:rsidP="00F51628">
      <w:pPr>
        <w:pStyle w:val="berschrift1"/>
      </w:pPr>
      <w:r>
        <w:t>[</w:t>
      </w:r>
      <w:r>
        <w:br/>
        <w:t>\boxed{</w:t>
      </w:r>
      <w:r>
        <w:br/>
        <w:t>\operatorname{Stat}</w:t>
      </w:r>
      <w:r>
        <w:br/>
        <w:t>(\operatorname{CompCons}_\gamma)</w:t>
      </w:r>
    </w:p>
    <w:p w:rsidR="00F51628" w:rsidRDefault="00F51628" w:rsidP="00F51628">
      <w:pPr>
        <w:pStyle w:val="StandardWeb"/>
      </w:pPr>
      <w:r>
        <w:t>\mathrm{Def/Op}.</w:t>
      </w:r>
      <w:r>
        <w:br/>
        <w:t>}</w:t>
      </w:r>
      <w:r>
        <w:br/>
        <w:t>\tag{3.11832}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\boxed{\operatorname{Stat}(\operatorname{CompCons}_\gamma)=\mathrm{Def/Op}.}</w:t>
      </w:r>
    </w:p>
    <w:p w:rsidR="00F51628" w:rsidRDefault="00E50336" w:rsidP="00F51628">
      <w:r>
        <w:pict>
          <v:rect id="_x0000_i4103" style="width:0;height:1.5pt" o:hralign="center" o:hrstd="t" o:hr="t" fillcolor="#a0a0a0" stroked="f"/>
        </w:pict>
      </w:r>
    </w:p>
    <w:p w:rsidR="00F51628" w:rsidRDefault="00F51628" w:rsidP="00F51628">
      <w:pPr>
        <w:pStyle w:val="berschrift1"/>
      </w:pPr>
      <w:r>
        <w:t>3.3.47.228 Status der Pfadbilanz</w:t>
      </w:r>
    </w:p>
    <w:p w:rsidR="00F51628" w:rsidRDefault="00F51628" w:rsidP="00F51628">
      <w:pPr>
        <w:pStyle w:val="StandardWeb"/>
      </w:pPr>
      <w:r>
        <w:t>Die Beziehung</w:t>
      </w:r>
    </w:p>
    <w:p w:rsidR="00F51628" w:rsidRDefault="00F51628" w:rsidP="00F51628">
      <w:pPr>
        <w:pStyle w:val="berschrift1"/>
      </w:pPr>
      <w:r>
        <w:t>[</w:t>
      </w:r>
      <w:r>
        <w:br/>
        <w:t>\Delta_\gamma Q_F</w:t>
      </w:r>
    </w:p>
    <w:p w:rsidR="00F51628" w:rsidRDefault="00F51628" w:rsidP="00F51628">
      <w:pPr>
        <w:pStyle w:val="StandardWeb"/>
      </w:pPr>
      <w:r>
        <w:t>G_\gamma-L_\gamma</w:t>
      </w:r>
      <w:r>
        <w:br/>
        <w:t>\tag{3.11833}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\Delta_\gamma Q_F=G_\gamma-L_\gamma</w:t>
      </w:r>
    </w:p>
    <w:p w:rsidR="00F51628" w:rsidRDefault="00F51628" w:rsidP="00F51628">
      <w:pPr>
        <w:pStyle w:val="StandardWeb"/>
      </w:pPr>
      <w:r>
        <w:lastRenderedPageBreak/>
        <w:t>folgt aus der lokalen Gewinn-Verlust-Zerlegung.</w:t>
      </w:r>
    </w:p>
    <w:p w:rsidR="00F51628" w:rsidRDefault="00F51628" w:rsidP="00F51628">
      <w:pPr>
        <w:pStyle w:val="StandardWeb"/>
      </w:pPr>
      <w:r>
        <w:t>Daher gilt</w:t>
      </w:r>
    </w:p>
    <w:p w:rsidR="00F51628" w:rsidRDefault="00F51628" w:rsidP="00F51628">
      <w:pPr>
        <w:pStyle w:val="berschrift1"/>
      </w:pPr>
      <w:r>
        <w:t>[</w:t>
      </w:r>
      <w:r>
        <w:br/>
        <w:t>\boxed{</w:t>
      </w:r>
      <w:r>
        <w:br/>
        <w:t>\operatorname{Stat}</w:t>
      </w:r>
      <w:r>
        <w:br/>
        <w:t>(\mathfrak B_\gamma)</w:t>
      </w:r>
    </w:p>
    <w:p w:rsidR="00F51628" w:rsidRDefault="00F51628" w:rsidP="00F51628">
      <w:pPr>
        <w:pStyle w:val="StandardWeb"/>
      </w:pPr>
      <w:r>
        <w:t>\mathrm{Der}.</w:t>
      </w:r>
      <w:r>
        <w:br/>
        <w:t>}</w:t>
      </w:r>
      <w:r>
        <w:br/>
        <w:t>\tag{3.11834}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\boxed{\operatorname{Stat}(\mathfrak B_\gamma)=\mathrm{Der}.}</w:t>
      </w:r>
    </w:p>
    <w:p w:rsidR="00F51628" w:rsidRDefault="00E50336" w:rsidP="00F51628">
      <w:r>
        <w:pict>
          <v:rect id="_x0000_i4104" style="width:0;height:1.5pt" o:hralign="center" o:hrstd="t" o:hr="t" fillcolor="#a0a0a0" stroked="f"/>
        </w:pict>
      </w:r>
    </w:p>
    <w:p w:rsidR="00F51628" w:rsidRDefault="00F51628" w:rsidP="00F51628">
      <w:pPr>
        <w:pStyle w:val="berschrift1"/>
      </w:pPr>
      <w:r>
        <w:t>3.3.47.229 Status funktionaler Quellen</w:t>
      </w:r>
    </w:p>
    <w:p w:rsidR="00F51628" w:rsidRDefault="00F51628" w:rsidP="00F51628">
      <w:pPr>
        <w:pStyle w:val="StandardWeb"/>
      </w:pPr>
      <w:r>
        <w:t>Für</w:t>
      </w:r>
    </w:p>
    <w:p w:rsidR="00F51628" w:rsidRDefault="00F51628" w:rsidP="00F51628">
      <w:pPr>
        <w:pStyle w:val="StandardWeb"/>
      </w:pPr>
      <w:r>
        <w:t>[</w:t>
      </w:r>
      <w:r>
        <w:br/>
        <w:t>S_Q^{+}\geq0</w:t>
      </w:r>
      <w:r>
        <w:br/>
        <w:t>\tag{3.11835}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S_Q^{+}\geq0</w:t>
      </w:r>
    </w:p>
    <w:p w:rsidR="00F51628" w:rsidRDefault="00F51628" w:rsidP="00F51628">
      <w:pPr>
        <w:pStyle w:val="StandardWeb"/>
      </w:pPr>
      <w:r>
        <w:t>gilt</w:t>
      </w:r>
    </w:p>
    <w:p w:rsidR="00F51628" w:rsidRDefault="00F51628" w:rsidP="00F51628">
      <w:pPr>
        <w:pStyle w:val="berschrift1"/>
      </w:pPr>
      <w:r>
        <w:t>[</w:t>
      </w:r>
      <w:r>
        <w:br/>
        <w:t>\boxed{</w:t>
      </w:r>
      <w:r>
        <w:br/>
        <w:t>\operatorname{Stat}(S_Q^{+})</w:t>
      </w:r>
    </w:p>
    <w:p w:rsidR="00F51628" w:rsidRDefault="00F51628" w:rsidP="00F51628">
      <w:pPr>
        <w:pStyle w:val="StandardWeb"/>
      </w:pPr>
      <w:r>
        <w:t>\mathrm{Def/Mod/Op}.</w:t>
      </w:r>
      <w:r>
        <w:br/>
        <w:t>}</w:t>
      </w:r>
      <w:r>
        <w:br/>
        <w:t>\tag{3.11836}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\boxed{\operatorname{Stat}(S_Q^{+})=\mathrm{Def/Mod/Op}.}</w:t>
      </w:r>
    </w:p>
    <w:p w:rsidR="00F51628" w:rsidRDefault="00F51628" w:rsidP="00F51628">
      <w:pPr>
        <w:pStyle w:val="StandardWeb"/>
      </w:pPr>
      <w:r>
        <w:lastRenderedPageBreak/>
        <w:t>Die Quelle muss modellseitig interpretiert oder unabhängig operationalisiert werden.</w:t>
      </w:r>
    </w:p>
    <w:p w:rsidR="00F51628" w:rsidRDefault="00E50336" w:rsidP="00F51628">
      <w:r>
        <w:pict>
          <v:rect id="_x0000_i4105" style="width:0;height:1.5pt" o:hralign="center" o:hrstd="t" o:hr="t" fillcolor="#a0a0a0" stroked="f"/>
        </w:pict>
      </w:r>
    </w:p>
    <w:p w:rsidR="00F51628" w:rsidRDefault="00F51628" w:rsidP="00F51628">
      <w:pPr>
        <w:pStyle w:val="berschrift1"/>
      </w:pPr>
      <w:r>
        <w:t>3.3.47.230 Status funktionaler Senken</w:t>
      </w:r>
    </w:p>
    <w:p w:rsidR="00F51628" w:rsidRDefault="00F51628" w:rsidP="00F51628">
      <w:pPr>
        <w:pStyle w:val="StandardWeb"/>
      </w:pPr>
      <w:r>
        <w:t>Analog gilt für</w:t>
      </w:r>
    </w:p>
    <w:p w:rsidR="00F51628" w:rsidRDefault="00F51628" w:rsidP="00F51628">
      <w:pPr>
        <w:pStyle w:val="StandardWeb"/>
      </w:pPr>
      <w:r>
        <w:t>[</w:t>
      </w:r>
      <w:r>
        <w:br/>
        <w:t>S_Q^{-}\geq0</w:t>
      </w:r>
      <w:r>
        <w:br/>
        <w:t>\tag{3.11837}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S_Q^{-}\geq0</w:t>
      </w:r>
    </w:p>
    <w:p w:rsidR="00F51628" w:rsidRDefault="00F51628" w:rsidP="00F51628">
      <w:pPr>
        <w:pStyle w:val="StandardWeb"/>
      </w:pPr>
      <w:r>
        <w:t>die Klassifikation</w:t>
      </w:r>
    </w:p>
    <w:p w:rsidR="00F51628" w:rsidRDefault="00F51628" w:rsidP="00F51628">
      <w:pPr>
        <w:pStyle w:val="berschrift1"/>
      </w:pPr>
      <w:r>
        <w:t>[</w:t>
      </w:r>
      <w:r>
        <w:br/>
        <w:t>\boxed{</w:t>
      </w:r>
      <w:r>
        <w:br/>
        <w:t>\operatorname{Stat}(S_Q^{-})</w:t>
      </w:r>
    </w:p>
    <w:p w:rsidR="00F51628" w:rsidRDefault="00F51628" w:rsidP="00F51628">
      <w:pPr>
        <w:pStyle w:val="StandardWeb"/>
      </w:pPr>
      <w:r>
        <w:t>\mathrm{Def/Mod/Op}.</w:t>
      </w:r>
      <w:r>
        <w:br/>
        <w:t>}</w:t>
      </w:r>
      <w:r>
        <w:br/>
        <w:t>\tag{3.11838}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\boxed{\operatorname{Stat}(S_Q^{-})=\mathrm{Def/Mod/Op}.}</w:t>
      </w:r>
    </w:p>
    <w:p w:rsidR="00F51628" w:rsidRDefault="00E50336" w:rsidP="00F51628">
      <w:r>
        <w:pict>
          <v:rect id="_x0000_i4106" style="width:0;height:1.5pt" o:hralign="center" o:hrstd="t" o:hr="t" fillcolor="#a0a0a0" stroked="f"/>
        </w:pict>
      </w:r>
    </w:p>
    <w:p w:rsidR="00F51628" w:rsidRDefault="00F51628" w:rsidP="00F51628">
      <w:pPr>
        <w:pStyle w:val="berschrift1"/>
      </w:pPr>
      <w:r>
        <w:t>3.3.47.231 Status des Nettoquellterms</w:t>
      </w:r>
    </w:p>
    <w:p w:rsidR="00F51628" w:rsidRDefault="00F51628" w:rsidP="00F51628">
      <w:pPr>
        <w:pStyle w:val="StandardWeb"/>
      </w:pPr>
      <w:r>
        <w:t>Für</w:t>
      </w:r>
    </w:p>
    <w:p w:rsidR="00F51628" w:rsidRDefault="00F51628" w:rsidP="00F51628">
      <w:pPr>
        <w:pStyle w:val="berschrift1"/>
      </w:pPr>
      <w:r>
        <w:t>[</w:t>
      </w:r>
      <w:r>
        <w:br/>
        <w:t>\Sigma_Q</w:t>
      </w:r>
    </w:p>
    <w:p w:rsidR="00F51628" w:rsidRDefault="00F51628" w:rsidP="00F51628">
      <w:pPr>
        <w:pStyle w:val="StandardWeb"/>
      </w:pPr>
      <w:r>
        <w:t>S_Q^{+}-S_Q^{-}</w:t>
      </w:r>
      <w:r>
        <w:br/>
        <w:t>\tag{3.11839}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\Sigma_Q=S_Q^{+}-S_Q^{-}</w:t>
      </w:r>
    </w:p>
    <w:p w:rsidR="00F51628" w:rsidRDefault="00F51628" w:rsidP="00F51628">
      <w:pPr>
        <w:pStyle w:val="StandardWeb"/>
      </w:pPr>
      <w:r>
        <w:lastRenderedPageBreak/>
        <w:t>gilt</w:t>
      </w:r>
    </w:p>
    <w:p w:rsidR="00F51628" w:rsidRDefault="00F51628" w:rsidP="00F51628">
      <w:pPr>
        <w:pStyle w:val="berschrift1"/>
      </w:pPr>
      <w:r>
        <w:t>[</w:t>
      </w:r>
      <w:r>
        <w:br/>
        <w:t>\boxed{</w:t>
      </w:r>
      <w:r>
        <w:br/>
        <w:t>\operatorname{Stat}(\Sigma_Q)</w:t>
      </w:r>
    </w:p>
    <w:p w:rsidR="00F51628" w:rsidRDefault="00F51628" w:rsidP="00F51628">
      <w:pPr>
        <w:pStyle w:val="StandardWeb"/>
      </w:pPr>
      <w:r>
        <w:t>\mathrm{Def/Mod/Op}.</w:t>
      </w:r>
      <w:r>
        <w:br/>
        <w:t>}</w:t>
      </w:r>
      <w:r>
        <w:br/>
        <w:t>\tag{3.11840}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\boxed{\operatorname{Stat}(\Sigma_Q)=\mathrm{Def/Mod/Op}.}</w:t>
      </w:r>
    </w:p>
    <w:p w:rsidR="00F51628" w:rsidRDefault="00E50336" w:rsidP="00F51628">
      <w:r>
        <w:pict>
          <v:rect id="_x0000_i4107" style="width:0;height:1.5pt" o:hralign="center" o:hrstd="t" o:hr="t" fillcolor="#a0a0a0" stroked="f"/>
        </w:pict>
      </w:r>
    </w:p>
    <w:p w:rsidR="00F51628" w:rsidRDefault="00F51628" w:rsidP="00F51628">
      <w:pPr>
        <w:pStyle w:val="berschrift1"/>
      </w:pPr>
      <w:r>
        <w:t>3.3.47.232 Status funktionaler Flüsse</w:t>
      </w:r>
    </w:p>
    <w:p w:rsidR="00F51628" w:rsidRDefault="00F51628" w:rsidP="00F51628">
      <w:pPr>
        <w:pStyle w:val="StandardWeb"/>
      </w:pPr>
      <w:r>
        <w:t>Ein gerichteter Fluss</w:t>
      </w:r>
    </w:p>
    <w:p w:rsidR="00F51628" w:rsidRDefault="00F51628" w:rsidP="00F51628">
      <w:pPr>
        <w:pStyle w:val="StandardWeb"/>
      </w:pPr>
      <w:r>
        <w:t>[</w:t>
      </w:r>
      <w:r>
        <w:br/>
        <w:t>J_Q:</w:t>
      </w:r>
      <w:r>
        <w:br/>
        <w:t>\mathcal T_F</w:t>
      </w:r>
      <w:r>
        <w:br/>
        <w:t>\rightarrow</w:t>
      </w:r>
      <w:r>
        <w:br/>
        <w:t>\mathbb R</w:t>
      </w:r>
      <w:r>
        <w:br/>
        <w:t>\tag{3.11841}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J_Q:\mathcal T_F\rightarrow\mathbb R</w:t>
      </w:r>
    </w:p>
    <w:p w:rsidR="00F51628" w:rsidRDefault="00F51628" w:rsidP="00F51628">
      <w:pPr>
        <w:pStyle w:val="StandardWeb"/>
      </w:pPr>
      <w:r>
        <w:t>ist keine notwendige Struktur eines allgemeinen FRZK-Modells.</w:t>
      </w:r>
    </w:p>
    <w:p w:rsidR="00F51628" w:rsidRDefault="00F51628" w:rsidP="00F51628">
      <w:pPr>
        <w:pStyle w:val="StandardWeb"/>
      </w:pPr>
      <w:r>
        <w:t>Daher gilt</w:t>
      </w:r>
    </w:p>
    <w:p w:rsidR="00F51628" w:rsidRDefault="00F51628" w:rsidP="00F51628">
      <w:pPr>
        <w:pStyle w:val="berschrift1"/>
      </w:pPr>
      <w:r>
        <w:t>[</w:t>
      </w:r>
      <w:r>
        <w:br/>
        <w:t>\boxed{</w:t>
      </w:r>
      <w:r>
        <w:br/>
        <w:t>\operatorname{Stat}(J_Q)</w:t>
      </w:r>
    </w:p>
    <w:p w:rsidR="00F51628" w:rsidRDefault="00F51628" w:rsidP="00F51628">
      <w:pPr>
        <w:pStyle w:val="StandardWeb"/>
      </w:pPr>
      <w:r>
        <w:t>\mathrm{Def/Mod/Op}.</w:t>
      </w:r>
      <w:r>
        <w:br/>
        <w:t>}</w:t>
      </w:r>
      <w:r>
        <w:br/>
        <w:t>\tag{3.11842}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lastRenderedPageBreak/>
        <w:t>\boxed{\operatorname{Stat}(J_Q)=\mathrm{Def/Mod/Op}.}</w:t>
      </w:r>
    </w:p>
    <w:p w:rsidR="00F51628" w:rsidRDefault="00E50336" w:rsidP="00F51628">
      <w:r>
        <w:pict>
          <v:rect id="_x0000_i4108" style="width:0;height:1.5pt" o:hralign="center" o:hrstd="t" o:hr="t" fillcolor="#a0a0a0" stroked="f"/>
        </w:pict>
      </w:r>
    </w:p>
    <w:p w:rsidR="00F51628" w:rsidRDefault="00F51628" w:rsidP="00F51628">
      <w:pPr>
        <w:pStyle w:val="berschrift1"/>
      </w:pPr>
      <w:r>
        <w:t>3.3.47.233 Status der Antisymmetrie</w:t>
      </w:r>
    </w:p>
    <w:p w:rsidR="00F51628" w:rsidRDefault="00F51628" w:rsidP="00F51628">
      <w:pPr>
        <w:pStyle w:val="StandardWeb"/>
      </w:pPr>
      <w:r>
        <w:t>Die Bedingung</w:t>
      </w:r>
    </w:p>
    <w:p w:rsidR="00F51628" w:rsidRDefault="00F51628" w:rsidP="00F51628">
      <w:pPr>
        <w:pStyle w:val="berschrift1"/>
      </w:pPr>
      <w:r>
        <w:t>[</w:t>
      </w:r>
      <w:r>
        <w:br/>
        <w:t>J_Q(z_j,z_i)</w:t>
      </w:r>
    </w:p>
    <w:p w:rsidR="00F51628" w:rsidRDefault="00F51628" w:rsidP="00F51628">
      <w:pPr>
        <w:pStyle w:val="StandardWeb"/>
      </w:pPr>
      <w:r>
        <w:t>-J_Q(z_i,z_j)</w:t>
      </w:r>
      <w:r>
        <w:br/>
        <w:t>\tag{3.11843}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J_Q(z_j,z_i)=-J_Q(z_i,z_j)</w:t>
      </w:r>
    </w:p>
    <w:p w:rsidR="00F51628" w:rsidRDefault="00F51628" w:rsidP="00F51628">
      <w:pPr>
        <w:pStyle w:val="StandardWeb"/>
      </w:pPr>
      <w:r>
        <w:t>ist eine zusätzliche Eigenschaft eines Flussmodells.</w:t>
      </w:r>
    </w:p>
    <w:p w:rsidR="00F51628" w:rsidRDefault="00F51628" w:rsidP="00F51628">
      <w:pPr>
        <w:pStyle w:val="StandardWeb"/>
      </w:pPr>
      <w:r>
        <w:t>Damit gilt</w:t>
      </w:r>
    </w:p>
    <w:p w:rsidR="00F51628" w:rsidRDefault="00F51628" w:rsidP="00F51628">
      <w:pPr>
        <w:pStyle w:val="berschrift1"/>
      </w:pPr>
      <w:r>
        <w:t>[</w:t>
      </w:r>
      <w:r>
        <w:br/>
        <w:t>\boxed{</w:t>
      </w:r>
      <w:r>
        <w:br/>
        <w:t>\operatorname{Stat}</w:t>
      </w:r>
      <w:r>
        <w:br/>
        <w:t>(\operatorname{Anti}J_Q)</w:t>
      </w:r>
    </w:p>
    <w:p w:rsidR="00F51628" w:rsidRDefault="00F51628" w:rsidP="00F51628">
      <w:pPr>
        <w:pStyle w:val="StandardWeb"/>
      </w:pPr>
      <w:r>
        <w:t>\mathrm{Def/Mod}.</w:t>
      </w:r>
      <w:r>
        <w:br/>
        <w:t>}</w:t>
      </w:r>
      <w:r>
        <w:br/>
        <w:t>\tag{3.11844}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\boxed{\operatorname{Stat}(\operatorname{Anti}J_Q)=\mathrm{Def/Mod}.}</w:t>
      </w:r>
    </w:p>
    <w:p w:rsidR="00F51628" w:rsidRDefault="00E50336" w:rsidP="00F51628">
      <w:r>
        <w:pict>
          <v:rect id="_x0000_i4109" style="width:0;height:1.5pt" o:hralign="center" o:hrstd="t" o:hr="t" fillcolor="#a0a0a0" stroked="f"/>
        </w:pict>
      </w:r>
    </w:p>
    <w:p w:rsidR="00F51628" w:rsidRDefault="00F51628" w:rsidP="00F51628">
      <w:pPr>
        <w:pStyle w:val="berschrift1"/>
      </w:pPr>
      <w:r>
        <w:t>3.3.47.234 Status interner und externer Flüsse</w:t>
      </w:r>
    </w:p>
    <w:p w:rsidR="00F51628" w:rsidRDefault="00F51628" w:rsidP="00F51628">
      <w:pPr>
        <w:pStyle w:val="StandardWeb"/>
      </w:pPr>
      <w:r>
        <w:t>Die Unterscheidung</w:t>
      </w:r>
    </w:p>
    <w:p w:rsidR="00F51628" w:rsidRDefault="00F51628" w:rsidP="00F51628">
      <w:pPr>
        <w:pStyle w:val="StandardWeb"/>
      </w:pPr>
      <w:r>
        <w:t>[</w:t>
      </w:r>
      <w:r>
        <w:br/>
        <w:t>J_Q^{\mathrm{int}}</w:t>
      </w:r>
      <w:r>
        <w:br/>
        <w:t>\qquad\text{und}\qquad</w:t>
      </w:r>
      <w:r>
        <w:br/>
        <w:t>J_Q^{\mathrm{ext}}</w:t>
      </w:r>
      <w:r>
        <w:br/>
      </w:r>
      <w:r>
        <w:lastRenderedPageBreak/>
        <w:t>\tag{3.11845}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J_Q^{\mathrm{int}}\qquad\text{und}\qquad J_Q^{\mathrm{ext}}</w:t>
      </w:r>
    </w:p>
    <w:p w:rsidR="00F51628" w:rsidRDefault="00F51628" w:rsidP="00F51628">
      <w:pPr>
        <w:pStyle w:val="StandardWeb"/>
      </w:pPr>
      <w:r>
        <w:t>setzt eine gewählte Bilanzgrenze voraus.</w:t>
      </w:r>
    </w:p>
    <w:p w:rsidR="00F51628" w:rsidRDefault="00F51628" w:rsidP="00F51628">
      <w:pPr>
        <w:pStyle w:val="StandardWeb"/>
      </w:pPr>
      <w:r>
        <w:t>Somit gilt</w:t>
      </w:r>
    </w:p>
    <w:p w:rsidR="00F51628" w:rsidRDefault="00F51628" w:rsidP="00F51628">
      <w:pPr>
        <w:pStyle w:val="berschrift1"/>
      </w:pPr>
      <w:r>
        <w:t>[</w:t>
      </w:r>
      <w:r>
        <w:br/>
        <w:t>\boxed{</w:t>
      </w:r>
      <w:r>
        <w:br/>
        <w:t>\operatorname{Stat}(J_Q^{\mathrm{int}})</w:t>
      </w:r>
    </w:p>
    <w:p w:rsidR="00F51628" w:rsidRDefault="00F51628" w:rsidP="00F51628">
      <w:pPr>
        <w:pStyle w:val="berschrift1"/>
      </w:pPr>
      <w:r>
        <w:t>\operatorname{Stat}(J_Q^{\mathrm{ext}})</w:t>
      </w:r>
    </w:p>
    <w:p w:rsidR="00F51628" w:rsidRDefault="00F51628" w:rsidP="00F51628">
      <w:pPr>
        <w:pStyle w:val="StandardWeb"/>
      </w:pPr>
      <w:r>
        <w:t>\mathrm{Def/Mod/Op}.</w:t>
      </w:r>
      <w:r>
        <w:br/>
        <w:t>}</w:t>
      </w:r>
      <w:r>
        <w:br/>
        <w:t>\tag{3.11846}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\boxed{\operatorname{Stat}(J_Q^{\mathrm{int}})=\operatorname{Stat}(J_Q^{\mathrm{ext}})=\mathrm{Def/Mod/Op}.}</w:t>
      </w:r>
    </w:p>
    <w:p w:rsidR="00F51628" w:rsidRDefault="00E50336" w:rsidP="00F51628">
      <w:r>
        <w:pict>
          <v:rect id="_x0000_i4110" style="width:0;height:1.5pt" o:hralign="center" o:hrstd="t" o:hr="t" fillcolor="#a0a0a0" stroked="f"/>
        </w:pict>
      </w:r>
    </w:p>
    <w:p w:rsidR="00F51628" w:rsidRDefault="00F51628" w:rsidP="00F51628">
      <w:pPr>
        <w:pStyle w:val="berschrift1"/>
      </w:pPr>
      <w:r>
        <w:t>3.3.47.235 Status der Bilanzgrenze</w:t>
      </w:r>
    </w:p>
    <w:p w:rsidR="00F51628" w:rsidRDefault="00F51628" w:rsidP="00F51628">
      <w:pPr>
        <w:pStyle w:val="StandardWeb"/>
      </w:pPr>
      <w:r>
        <w:t>Für</w:t>
      </w:r>
    </w:p>
    <w:p w:rsidR="00F51628" w:rsidRDefault="00F51628" w:rsidP="00F51628">
      <w:pPr>
        <w:pStyle w:val="StandardWeb"/>
      </w:pPr>
      <w:r>
        <w:t>[</w:t>
      </w:r>
      <w:r>
        <w:br/>
        <w:t>\partial_B\mathcal S</w:t>
      </w:r>
      <w:r>
        <w:br/>
        <w:t>\tag{3.11847}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\partial_B\mathcal S</w:t>
      </w:r>
    </w:p>
    <w:p w:rsidR="00F51628" w:rsidRDefault="00F51628" w:rsidP="00F51628">
      <w:pPr>
        <w:pStyle w:val="StandardWeb"/>
      </w:pPr>
      <w:r>
        <w:t>gilt</w:t>
      </w:r>
    </w:p>
    <w:p w:rsidR="00F51628" w:rsidRDefault="00F51628" w:rsidP="00F51628">
      <w:pPr>
        <w:pStyle w:val="berschrift1"/>
      </w:pPr>
      <w:r>
        <w:t>[</w:t>
      </w:r>
      <w:r>
        <w:br/>
        <w:t>\boxed{</w:t>
      </w:r>
      <w:r>
        <w:br/>
      </w:r>
      <w:r>
        <w:lastRenderedPageBreak/>
        <w:t>\operatorname{Stat}</w:t>
      </w:r>
      <w:r>
        <w:br/>
        <w:t>(\partial_B\mathcal S)</w:t>
      </w:r>
    </w:p>
    <w:p w:rsidR="00F51628" w:rsidRDefault="00F51628" w:rsidP="00F51628">
      <w:pPr>
        <w:pStyle w:val="StandardWeb"/>
      </w:pPr>
      <w:r>
        <w:t>\mathrm{Def/Mod}.</w:t>
      </w:r>
      <w:r>
        <w:br/>
        <w:t>}</w:t>
      </w:r>
      <w:r>
        <w:br/>
        <w:t>\tag{3.11848}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\boxed{\operatorname{Stat}(\partial_B\mathcal S)=\mathrm{Def/Mod}.}</w:t>
      </w:r>
    </w:p>
    <w:p w:rsidR="00F51628" w:rsidRDefault="00E50336" w:rsidP="00F51628">
      <w:r>
        <w:pict>
          <v:rect id="_x0000_i4111" style="width:0;height:1.5pt" o:hralign="center" o:hrstd="t" o:hr="t" fillcolor="#a0a0a0" stroked="f"/>
        </w:pict>
      </w:r>
    </w:p>
    <w:p w:rsidR="00F51628" w:rsidRDefault="00F51628" w:rsidP="00F51628">
      <w:pPr>
        <w:pStyle w:val="berschrift1"/>
      </w:pPr>
      <w:r>
        <w:t>3.3.47.236 Status des Nettoflusses</w:t>
      </w:r>
    </w:p>
    <w:p w:rsidR="00F51628" w:rsidRDefault="00F51628" w:rsidP="00F51628">
      <w:pPr>
        <w:pStyle w:val="StandardWeb"/>
      </w:pPr>
      <w:r>
        <w:t>Der Nettofluss</w:t>
      </w:r>
    </w:p>
    <w:p w:rsidR="00F51628" w:rsidRDefault="00F51628" w:rsidP="00F51628">
      <w:pPr>
        <w:pStyle w:val="berschrift1"/>
      </w:pPr>
      <w:r>
        <w:t>[</w:t>
      </w:r>
      <w:r>
        <w:br/>
        <w:t>J_Q^{\mathrm{net}}</w:t>
      </w:r>
    </w:p>
    <w:p w:rsidR="00F51628" w:rsidRDefault="00F51628" w:rsidP="00F51628">
      <w:pPr>
        <w:pStyle w:val="berschrift2"/>
      </w:pPr>
      <w:r>
        <w:t>J_Q^{\mathrm{in}}</w:t>
      </w:r>
    </w:p>
    <w:p w:rsidR="00F51628" w:rsidRDefault="00F51628" w:rsidP="00F51628">
      <w:pPr>
        <w:pStyle w:val="StandardWeb"/>
      </w:pPr>
      <w:r>
        <w:t>J_Q^{\mathrm{out}}</w:t>
      </w:r>
      <w:r>
        <w:br/>
        <w:t>\tag{3.11849}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J_Q^{\mathrm{net}}=J_Q^{\mathrm{in}}-J_Q^{\mathrm{out}}</w:t>
      </w:r>
    </w:p>
    <w:p w:rsidR="00F51628" w:rsidRDefault="00F51628" w:rsidP="00F51628">
      <w:pPr>
        <w:pStyle w:val="StandardWeb"/>
      </w:pPr>
      <w:r>
        <w:t>ist nach Festlegung der Zu- und Abflussgrößen definitorisch bestimmt.</w:t>
      </w:r>
    </w:p>
    <w:p w:rsidR="00F51628" w:rsidRDefault="00F51628" w:rsidP="00F51628">
      <w:pPr>
        <w:pStyle w:val="StandardWeb"/>
      </w:pPr>
      <w:r>
        <w:t>Daher gilt</w:t>
      </w:r>
    </w:p>
    <w:p w:rsidR="00F51628" w:rsidRDefault="00F51628" w:rsidP="00F51628">
      <w:pPr>
        <w:pStyle w:val="berschrift1"/>
      </w:pPr>
      <w:r>
        <w:t>[</w:t>
      </w:r>
      <w:r>
        <w:br/>
        <w:t>\boxed{</w:t>
      </w:r>
      <w:r>
        <w:br/>
        <w:t>\operatorname{Stat}</w:t>
      </w:r>
      <w:r>
        <w:br/>
        <w:t>(J_Q^{\mathrm{net}})</w:t>
      </w:r>
    </w:p>
    <w:p w:rsidR="00F51628" w:rsidRDefault="00F51628" w:rsidP="00F51628">
      <w:pPr>
        <w:pStyle w:val="StandardWeb"/>
      </w:pPr>
      <w:r>
        <w:t>\mathrm{Def/Op}.</w:t>
      </w:r>
      <w:r>
        <w:br/>
        <w:t>}</w:t>
      </w:r>
      <w:r>
        <w:br/>
        <w:t>\tag{3.11850}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lastRenderedPageBreak/>
        <w:t>\boxed{\operatorname{Stat}(J_Q^{\mathrm{net}})=\mathrm{Def/Op}.}</w:t>
      </w:r>
    </w:p>
    <w:p w:rsidR="00F51628" w:rsidRDefault="00E50336" w:rsidP="00F51628">
      <w:r>
        <w:pict>
          <v:rect id="_x0000_i4112" style="width:0;height:1.5pt" o:hralign="center" o:hrstd="t" o:hr="t" fillcolor="#a0a0a0" stroked="f"/>
        </w:pict>
      </w:r>
    </w:p>
    <w:p w:rsidR="00F51628" w:rsidRDefault="00F51628" w:rsidP="00F51628">
      <w:pPr>
        <w:pStyle w:val="berschrift1"/>
      </w:pPr>
      <w:r>
        <w:t>3.3.47.237 Status der diskreten Bilanzgleichung</w:t>
      </w:r>
    </w:p>
    <w:p w:rsidR="00F51628" w:rsidRDefault="00F51628" w:rsidP="00F51628">
      <w:pPr>
        <w:pStyle w:val="StandardWeb"/>
      </w:pPr>
      <w:r>
        <w:t>Die Modellgleichung</w:t>
      </w:r>
    </w:p>
    <w:p w:rsidR="00F51628" w:rsidRDefault="00F51628" w:rsidP="00F51628">
      <w:pPr>
        <w:pStyle w:val="berschrift1"/>
      </w:pPr>
      <w:r>
        <w:t>[</w:t>
      </w:r>
      <w:r>
        <w:br/>
        <w:t>\Delta_TQ_F</w:t>
      </w:r>
    </w:p>
    <w:p w:rsidR="00F51628" w:rsidRDefault="00F51628" w:rsidP="00F51628">
      <w:pPr>
        <w:pStyle w:val="StandardWeb"/>
      </w:pPr>
      <w:r>
        <w:t>\Sigma_Q</w:t>
      </w:r>
      <w:r>
        <w:br/>
        <w:t>+</w:t>
      </w:r>
      <w:r>
        <w:br/>
        <w:t>J_Q^{\mathrm{net}}</w:t>
      </w:r>
      <w:r>
        <w:br/>
        <w:t>\tag{3.11851}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\Delta_TQ_F=\Sigma_Q+J_Q^{\mathrm{net}}</w:t>
      </w:r>
    </w:p>
    <w:p w:rsidR="00F51628" w:rsidRDefault="00F51628" w:rsidP="00F51628">
      <w:pPr>
        <w:pStyle w:val="StandardWeb"/>
      </w:pPr>
      <w:r>
        <w:t>ist keine universelle mathematische Identität.</w:t>
      </w:r>
    </w:p>
    <w:p w:rsidR="00F51628" w:rsidRDefault="00F51628" w:rsidP="00F51628">
      <w:pPr>
        <w:pStyle w:val="StandardWeb"/>
      </w:pPr>
      <w:r>
        <w:t>Damit gilt</w:t>
      </w:r>
    </w:p>
    <w:p w:rsidR="00F51628" w:rsidRDefault="00F51628" w:rsidP="00F51628">
      <w:pPr>
        <w:pStyle w:val="berschrift1"/>
      </w:pPr>
      <w:r>
        <w:t>[</w:t>
      </w:r>
      <w:r>
        <w:br/>
        <w:t>\boxed{</w:t>
      </w:r>
      <w:r>
        <w:br/>
        <w:t>\operatorname{Stat}</w:t>
      </w:r>
      <w:r>
        <w:br/>
        <w:t>(\mathfrak B_Q^{\mathrm{disc}})</w:t>
      </w:r>
    </w:p>
    <w:p w:rsidR="00F51628" w:rsidRDefault="00F51628" w:rsidP="00F51628">
      <w:pPr>
        <w:pStyle w:val="StandardWeb"/>
      </w:pPr>
      <w:r>
        <w:t>\mathrm{Def/Mod}.</w:t>
      </w:r>
      <w:r>
        <w:br/>
        <w:t>}</w:t>
      </w:r>
      <w:r>
        <w:br/>
        <w:t>\tag{3.11852}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\boxed{\operatorname{Stat}(\mathfrak B_Q^{\mathrm{disc}})=\mathrm{Def/Mod}.}</w:t>
      </w:r>
    </w:p>
    <w:p w:rsidR="00F51628" w:rsidRDefault="00E50336" w:rsidP="00F51628">
      <w:r>
        <w:pict>
          <v:rect id="_x0000_i4113" style="width:0;height:1.5pt" o:hralign="center" o:hrstd="t" o:hr="t" fillcolor="#a0a0a0" stroked="f"/>
        </w:pict>
      </w:r>
    </w:p>
    <w:p w:rsidR="00F51628" w:rsidRDefault="00F51628" w:rsidP="00F51628">
      <w:pPr>
        <w:pStyle w:val="berschrift1"/>
      </w:pPr>
      <w:r>
        <w:t>3.3.47.238 Status geschlossener und offener Bilanzsysteme</w:t>
      </w:r>
    </w:p>
    <w:p w:rsidR="00F51628" w:rsidRDefault="00F51628" w:rsidP="00F51628">
      <w:pPr>
        <w:pStyle w:val="StandardWeb"/>
      </w:pPr>
      <w:r>
        <w:t>Die Klassifikation</w:t>
      </w:r>
    </w:p>
    <w:p w:rsidR="00F51628" w:rsidRDefault="00F51628" w:rsidP="00F51628">
      <w:pPr>
        <w:pStyle w:val="berschrift1"/>
      </w:pPr>
      <w:r>
        <w:lastRenderedPageBreak/>
        <w:t>[</w:t>
      </w:r>
      <w:r>
        <w:br/>
        <w:t>J_Q^{\mathrm{in}}</w:t>
      </w:r>
    </w:p>
    <w:p w:rsidR="00F51628" w:rsidRDefault="00F51628" w:rsidP="00F51628">
      <w:pPr>
        <w:pStyle w:val="berschrift1"/>
      </w:pPr>
      <w:r>
        <w:t>J_Q^{\mathrm{out}}</w:t>
      </w:r>
    </w:p>
    <w:p w:rsidR="00F51628" w:rsidRDefault="00F51628" w:rsidP="00F51628">
      <w:pPr>
        <w:pStyle w:val="StandardWeb"/>
      </w:pPr>
      <w:r>
        <w:t>0</w:t>
      </w:r>
      <w:r>
        <w:br/>
        <w:t>\tag{3.11853}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J_Q^{\mathrm{in}}=J_Q^{\mathrm{out}}=0</w:t>
      </w:r>
    </w:p>
    <w:p w:rsidR="00F51628" w:rsidRDefault="00F51628" w:rsidP="00F51628">
      <w:pPr>
        <w:pStyle w:val="StandardWeb"/>
      </w:pPr>
      <w:r>
        <w:t>kennzeichnet ein geschlossenes Bilanzsystem.</w:t>
      </w:r>
    </w:p>
    <w:p w:rsidR="00F51628" w:rsidRDefault="00F51628" w:rsidP="00F51628">
      <w:pPr>
        <w:pStyle w:val="StandardWeb"/>
      </w:pPr>
      <w:r>
        <w:t>Die Bedingung</w:t>
      </w:r>
    </w:p>
    <w:p w:rsidR="00F51628" w:rsidRDefault="00F51628" w:rsidP="00F51628">
      <w:pPr>
        <w:pStyle w:val="StandardWeb"/>
      </w:pPr>
      <w:r>
        <w:t>[</w:t>
      </w:r>
      <w:r>
        <w:br/>
        <w:t>J_Q^{\mathrm{in}}&gt;0</w:t>
      </w:r>
      <w:r>
        <w:br/>
        <w:t>\lor</w:t>
      </w:r>
      <w:r>
        <w:br/>
        <w:t>J_Q^{\mathrm{out}}&gt;0</w:t>
      </w:r>
      <w:r>
        <w:br/>
        <w:t>\tag{3.11854}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J_Q^{\mathrm{in}}&gt;0\lor J_Q^{\mathrm{out}}&gt;0</w:t>
      </w:r>
    </w:p>
    <w:p w:rsidR="00F51628" w:rsidRDefault="00F51628" w:rsidP="00F51628">
      <w:pPr>
        <w:pStyle w:val="StandardWeb"/>
      </w:pPr>
      <w:r>
        <w:t>kennzeichnet ein offenes Bilanzsystem.</w:t>
      </w:r>
    </w:p>
    <w:p w:rsidR="00F51628" w:rsidRDefault="00F51628" w:rsidP="00F51628">
      <w:pPr>
        <w:pStyle w:val="StandardWeb"/>
      </w:pPr>
      <w:r>
        <w:t>Damit gilt</w:t>
      </w:r>
    </w:p>
    <w:p w:rsidR="00F51628" w:rsidRDefault="00F51628" w:rsidP="00F51628">
      <w:pPr>
        <w:pStyle w:val="berschrift1"/>
      </w:pPr>
      <w:r>
        <w:t>[</w:t>
      </w:r>
      <w:r>
        <w:br/>
        <w:t>\boxed{</w:t>
      </w:r>
      <w:r>
        <w:br/>
        <w:t>\operatorname{Stat}</w:t>
      </w:r>
      <w:r>
        <w:br/>
        <w:t>(\operatorname{Open/Closed}_Q)</w:t>
      </w:r>
    </w:p>
    <w:p w:rsidR="00F51628" w:rsidRDefault="00F51628" w:rsidP="00F51628">
      <w:pPr>
        <w:pStyle w:val="StandardWeb"/>
      </w:pPr>
      <w:r>
        <w:t>\mathrm{Def/Mod/Op}.</w:t>
      </w:r>
      <w:r>
        <w:br/>
        <w:t>}</w:t>
      </w:r>
      <w:r>
        <w:br/>
        <w:t>\tag{3.11855}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\boxed{\operatorname{Stat}(\operatorname{Open/Closed}_Q)=\mathrm{Def/Mod/Op}.}</w:t>
      </w:r>
    </w:p>
    <w:p w:rsidR="00F51628" w:rsidRDefault="00E50336" w:rsidP="00F51628">
      <w:r>
        <w:lastRenderedPageBreak/>
        <w:pict>
          <v:rect id="_x0000_i4114" style="width:0;height:1.5pt" o:hralign="center" o:hrstd="t" o:hr="t" fillcolor="#a0a0a0" stroked="f"/>
        </w:pict>
      </w:r>
    </w:p>
    <w:p w:rsidR="00F51628" w:rsidRDefault="00F51628" w:rsidP="00F51628">
      <w:pPr>
        <w:pStyle w:val="berschrift1"/>
      </w:pPr>
      <w:r>
        <w:t>3.3.47.239 Status der lokalen Kontinuumsbilanz</w:t>
      </w:r>
    </w:p>
    <w:p w:rsidR="00F51628" w:rsidRDefault="00F51628" w:rsidP="00F51628">
      <w:pPr>
        <w:pStyle w:val="StandardWeb"/>
      </w:pPr>
      <w:r>
        <w:t>Die Beziehung</w:t>
      </w:r>
    </w:p>
    <w:p w:rsidR="00F51628" w:rsidRDefault="00F51628" w:rsidP="00F51628">
      <w:pPr>
        <w:pStyle w:val="berschrift1"/>
      </w:pPr>
      <w:r>
        <w:t>[</w:t>
      </w:r>
      <w:r>
        <w:br/>
        <w:t>\frac{\partial\rho_Q}{\partial\tau}</w:t>
      </w:r>
      <w:r>
        <w:br/>
        <w:t>+</w:t>
      </w:r>
      <w:r>
        <w:br/>
        <w:t>\nabla_F\cdot\mathbf J_Q</w:t>
      </w:r>
    </w:p>
    <w:p w:rsidR="00F51628" w:rsidRDefault="00F51628" w:rsidP="00F51628">
      <w:pPr>
        <w:pStyle w:val="StandardWeb"/>
      </w:pPr>
      <w:r>
        <w:t>\sigma_Q</w:t>
      </w:r>
      <w:r>
        <w:br/>
        <w:t>\tag{3.11856}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\frac{\partial\rho_Q}{\partial\tau}+\nabla_F\cdot\mathbf J_Q=\sigma_Q</w:t>
      </w:r>
    </w:p>
    <w:p w:rsidR="00F51628" w:rsidRDefault="00F51628" w:rsidP="00F51628">
      <w:pPr>
        <w:pStyle w:val="StandardWeb"/>
      </w:pPr>
      <w:r>
        <w:t>setzt zusätzliche geometrische und analytische Strukturen voraus.</w:t>
      </w:r>
    </w:p>
    <w:p w:rsidR="00F51628" w:rsidRDefault="00F51628" w:rsidP="00F51628">
      <w:pPr>
        <w:pStyle w:val="StandardWeb"/>
      </w:pPr>
      <w:r>
        <w:t>Daher gilt</w:t>
      </w:r>
    </w:p>
    <w:p w:rsidR="00F51628" w:rsidRDefault="00F51628" w:rsidP="00F51628">
      <w:pPr>
        <w:pStyle w:val="berschrift1"/>
      </w:pPr>
      <w:r>
        <w:t>[</w:t>
      </w:r>
      <w:r>
        <w:br/>
        <w:t>\boxed{</w:t>
      </w:r>
      <w:r>
        <w:br/>
        <w:t>\operatorname{Stat}</w:t>
      </w:r>
      <w:r>
        <w:br/>
        <w:t>(\mathfrak B_Q^{\mathrm{cont}})</w:t>
      </w:r>
    </w:p>
    <w:p w:rsidR="00F51628" w:rsidRDefault="00F51628" w:rsidP="00F51628">
      <w:pPr>
        <w:pStyle w:val="StandardWeb"/>
      </w:pPr>
      <w:r>
        <w:t>\mathrm{Def/Mod}.</w:t>
      </w:r>
      <w:r>
        <w:br/>
        <w:t>}</w:t>
      </w:r>
      <w:r>
        <w:br/>
        <w:t>\tag{3.11857}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\boxed{\operatorname{Stat}(\mathfrak B_Q^{\mathrm{cont}})=\mathrm{Def/Mod}.}</w:t>
      </w:r>
    </w:p>
    <w:p w:rsidR="00F51628" w:rsidRDefault="00E50336" w:rsidP="00F51628">
      <w:r>
        <w:pict>
          <v:rect id="_x0000_i4115" style="width:0;height:1.5pt" o:hralign="center" o:hrstd="t" o:hr="t" fillcolor="#a0a0a0" stroked="f"/>
        </w:pict>
      </w:r>
    </w:p>
    <w:p w:rsidR="00F51628" w:rsidRDefault="00F51628" w:rsidP="00F51628">
      <w:pPr>
        <w:pStyle w:val="berschrift1"/>
      </w:pPr>
      <w:r>
        <w:t>3.3.47.240 Status der Integrabilität</w:t>
      </w:r>
    </w:p>
    <w:p w:rsidR="00F51628" w:rsidRDefault="00F51628" w:rsidP="00F51628">
      <w:pPr>
        <w:pStyle w:val="StandardWeb"/>
      </w:pPr>
      <w:r>
        <w:t>Die Bedingung</w:t>
      </w:r>
    </w:p>
    <w:p w:rsidR="00F51628" w:rsidRDefault="00F51628" w:rsidP="00F51628">
      <w:pPr>
        <w:pStyle w:val="StandardWeb"/>
      </w:pPr>
      <w:r>
        <w:lastRenderedPageBreak/>
        <w:t>[</w:t>
      </w:r>
      <w:r>
        <w:br/>
        <w:t>\rho_Q,\sigma_Q</w:t>
      </w:r>
      <w:r>
        <w:br/>
        <w:t>\in</w:t>
      </w:r>
      <w:r>
        <w:br/>
        <w:t>L^1(\mathcal D,\mu_F)</w:t>
      </w:r>
      <w:r>
        <w:br/>
        <w:t>\tag{3.11858}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\rho_Q,\sigma_Q\in L^1(\mathcal D,\mu_F)</w:t>
      </w:r>
    </w:p>
    <w:p w:rsidR="00F51628" w:rsidRDefault="00F51628" w:rsidP="00F51628">
      <w:pPr>
        <w:pStyle w:val="StandardWeb"/>
      </w:pPr>
      <w:r>
        <w:t>ist eine zusätzliche analytische Modellvoraussetzung.</w:t>
      </w:r>
    </w:p>
    <w:p w:rsidR="00F51628" w:rsidRDefault="00F51628" w:rsidP="00F51628">
      <w:pPr>
        <w:pStyle w:val="StandardWeb"/>
      </w:pPr>
      <w:r>
        <w:t>Daher gilt</w:t>
      </w:r>
    </w:p>
    <w:p w:rsidR="00F51628" w:rsidRDefault="00F51628" w:rsidP="00F51628">
      <w:pPr>
        <w:pStyle w:val="berschrift1"/>
      </w:pPr>
      <w:r>
        <w:t>[</w:t>
      </w:r>
      <w:r>
        <w:br/>
        <w:t>\boxed{</w:t>
      </w:r>
      <w:r>
        <w:br/>
        <w:t>\operatorname{Stat}</w:t>
      </w:r>
      <w:r>
        <w:br/>
        <w:t>(\operatorname{Int}_Q)</w:t>
      </w:r>
    </w:p>
    <w:p w:rsidR="00F51628" w:rsidRDefault="00F51628" w:rsidP="00F51628">
      <w:pPr>
        <w:pStyle w:val="StandardWeb"/>
      </w:pPr>
      <w:r>
        <w:t>\mathrm{Def/Mod}.</w:t>
      </w:r>
      <w:r>
        <w:br/>
        <w:t>}</w:t>
      </w:r>
      <w:r>
        <w:br/>
        <w:t>\tag{3.11859}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\boxed{\operatorname{Stat}(\operatorname{Int}_Q)=\mathrm{Def/Mod}.}</w:t>
      </w:r>
    </w:p>
    <w:p w:rsidR="00F51628" w:rsidRDefault="00E50336" w:rsidP="00F51628">
      <w:r>
        <w:pict>
          <v:rect id="_x0000_i4116" style="width:0;height:1.5pt" o:hralign="center" o:hrstd="t" o:hr="t" fillcolor="#a0a0a0" stroked="f"/>
        </w:pict>
      </w:r>
    </w:p>
    <w:p w:rsidR="00F51628" w:rsidRDefault="00F51628" w:rsidP="00F51628">
      <w:pPr>
        <w:pStyle w:val="berschrift1"/>
      </w:pPr>
      <w:r>
        <w:t>3.3.47.241 Status der Divergenzsatzkompatibilität</w:t>
      </w:r>
    </w:p>
    <w:p w:rsidR="00F51628" w:rsidRDefault="00F51628" w:rsidP="00F51628">
      <w:pPr>
        <w:pStyle w:val="StandardWeb"/>
      </w:pPr>
      <w:r>
        <w:t>Die Beziehung</w:t>
      </w:r>
    </w:p>
    <w:p w:rsidR="00F51628" w:rsidRDefault="00F51628" w:rsidP="00F51628">
      <w:pPr>
        <w:pStyle w:val="berschrift1"/>
      </w:pPr>
      <w:r>
        <w:t>[</w:t>
      </w:r>
      <w:r>
        <w:br/>
        <w:t>\int_{\mathcal D}</w:t>
      </w:r>
      <w:r>
        <w:br/>
        <w:t>\nabla_F\cdot\mathbf J_Q,d\mu_F</w:t>
      </w:r>
    </w:p>
    <w:p w:rsidR="00F51628" w:rsidRDefault="00F51628" w:rsidP="00F51628">
      <w:pPr>
        <w:pStyle w:val="StandardWeb"/>
      </w:pPr>
      <w:r>
        <w:t>\int_{\partial\mathcal D}</w:t>
      </w:r>
      <w:r>
        <w:br/>
        <w:t>\mathbf J_Q\cdot d\mathbf A_F</w:t>
      </w:r>
      <w:r>
        <w:br/>
        <w:t>\tag{3.11860}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lastRenderedPageBreak/>
        <w:t>\int_{\mathcal D}\nabla_F\cdot\mathbf J_Q\,d\mu_F=\int_{\partial\mathcal D}\mathbf J_Q\cdot d\mathbf A_F</w:t>
      </w:r>
    </w:p>
    <w:p w:rsidR="00F51628" w:rsidRDefault="00F51628" w:rsidP="00F51628">
      <w:pPr>
        <w:pStyle w:val="StandardWeb"/>
      </w:pPr>
      <w:r>
        <w:t>ist nur in dafür geeigneten Modellklassen zulässig.</w:t>
      </w:r>
    </w:p>
    <w:p w:rsidR="00F51628" w:rsidRDefault="00F51628" w:rsidP="00F51628">
      <w:pPr>
        <w:pStyle w:val="StandardWeb"/>
      </w:pPr>
      <w:r>
        <w:t>Damit gilt</w:t>
      </w:r>
    </w:p>
    <w:p w:rsidR="00F51628" w:rsidRDefault="00F51628" w:rsidP="00F51628">
      <w:pPr>
        <w:pStyle w:val="berschrift1"/>
      </w:pPr>
      <w:r>
        <w:t>[</w:t>
      </w:r>
      <w:r>
        <w:br/>
        <w:t>\boxed{</w:t>
      </w:r>
      <w:r>
        <w:br/>
        <w:t>\operatorname{Stat}</w:t>
      </w:r>
      <w:r>
        <w:br/>
        <w:t>(\operatorname{DivComp}_Q)</w:t>
      </w:r>
    </w:p>
    <w:p w:rsidR="00F51628" w:rsidRDefault="00F51628" w:rsidP="00F51628">
      <w:pPr>
        <w:pStyle w:val="StandardWeb"/>
      </w:pPr>
      <w:r>
        <w:t>\mathrm{Def/Mod}.</w:t>
      </w:r>
      <w:r>
        <w:br/>
        <w:t>}</w:t>
      </w:r>
      <w:r>
        <w:br/>
        <w:t>\tag{3.11861}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\boxed{\operatorname{Stat}(\operatorname{DivComp}_Q)=\mathrm{Def/Mod}.}</w:t>
      </w:r>
    </w:p>
    <w:p w:rsidR="00F51628" w:rsidRDefault="00E50336" w:rsidP="00F51628">
      <w:r>
        <w:pict>
          <v:rect id="_x0000_i4117" style="width:0;height:1.5pt" o:hralign="center" o:hrstd="t" o:hr="t" fillcolor="#a0a0a0" stroked="f"/>
        </w:pict>
      </w:r>
    </w:p>
    <w:p w:rsidR="00F51628" w:rsidRDefault="00F51628" w:rsidP="00F51628">
      <w:pPr>
        <w:pStyle w:val="berschrift1"/>
      </w:pPr>
      <w:r>
        <w:t>3.3.47.242 Status der globalen Kontinuumsbilanz</w:t>
      </w:r>
    </w:p>
    <w:p w:rsidR="00F51628" w:rsidRDefault="00F51628" w:rsidP="00F51628">
      <w:pPr>
        <w:pStyle w:val="StandardWeb"/>
      </w:pPr>
      <w:r>
        <w:t>Für</w:t>
      </w:r>
    </w:p>
    <w:p w:rsidR="00F51628" w:rsidRDefault="00F51628" w:rsidP="00F51628">
      <w:pPr>
        <w:pStyle w:val="berschrift1"/>
      </w:pPr>
      <w:r>
        <w:t>[</w:t>
      </w:r>
      <w:r>
        <w:br/>
        <w:t>\frac{dQ_{\mathcal D}}{d\tau}</w:t>
      </w:r>
      <w:r>
        <w:br/>
        <w:t>+</w:t>
      </w:r>
      <w:r>
        <w:br/>
        <w:t>\Phi_{\partial\mathcal D}</w:t>
      </w:r>
    </w:p>
    <w:p w:rsidR="00F51628" w:rsidRDefault="00F51628" w:rsidP="00F51628">
      <w:pPr>
        <w:pStyle w:val="StandardWeb"/>
      </w:pPr>
      <w:r>
        <w:t>\Sigma_{\mathcal D}</w:t>
      </w:r>
      <w:r>
        <w:br/>
        <w:t>\tag{3.11862}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\frac{dQ_{\mathcal D}}{d\tau}+\Phi_{\partial\mathcal D}=\Sigma_{\mathcal D}</w:t>
      </w:r>
    </w:p>
    <w:p w:rsidR="00F51628" w:rsidRDefault="00F51628" w:rsidP="00F51628">
      <w:pPr>
        <w:pStyle w:val="StandardWeb"/>
      </w:pPr>
      <w:r>
        <w:t>gilt</w:t>
      </w:r>
    </w:p>
    <w:p w:rsidR="00F51628" w:rsidRDefault="00F51628" w:rsidP="00F51628">
      <w:pPr>
        <w:pStyle w:val="berschrift1"/>
      </w:pPr>
      <w:r>
        <w:t>[</w:t>
      </w:r>
      <w:r>
        <w:br/>
        <w:t>\boxed{</w:t>
      </w:r>
      <w:r>
        <w:br/>
      </w:r>
      <w:r>
        <w:lastRenderedPageBreak/>
        <w:t>\operatorname{Stat}</w:t>
      </w:r>
      <w:r>
        <w:br/>
        <w:t>(\mathfrak B_{\mathcal D})</w:t>
      </w:r>
    </w:p>
    <w:p w:rsidR="00F51628" w:rsidRDefault="00F51628" w:rsidP="00F51628">
      <w:pPr>
        <w:pStyle w:val="StandardWeb"/>
      </w:pPr>
      <w:r>
        <w:t>\mathrm{Def/Mod}.</w:t>
      </w:r>
      <w:r>
        <w:br/>
        <w:t>}</w:t>
      </w:r>
      <w:r>
        <w:br/>
        <w:t>\tag{3.11863}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\boxed{\operatorname{Stat}(\mathfrak B_{\mathcal D})=\mathrm{Def/Mod}.}</w:t>
      </w:r>
    </w:p>
    <w:p w:rsidR="00F51628" w:rsidRDefault="00E50336" w:rsidP="00F51628">
      <w:r>
        <w:pict>
          <v:rect id="_x0000_i4118" style="width:0;height:1.5pt" o:hralign="center" o:hrstd="t" o:hr="t" fillcolor="#a0a0a0" stroked="f"/>
        </w:pict>
      </w:r>
    </w:p>
    <w:p w:rsidR="00F51628" w:rsidRDefault="00F51628" w:rsidP="00F51628">
      <w:pPr>
        <w:pStyle w:val="berschrift1"/>
      </w:pPr>
      <w:r>
        <w:t>3.3.47.243 Status des Bilanznetzwerks</w:t>
      </w:r>
    </w:p>
    <w:p w:rsidR="00F51628" w:rsidRDefault="00F51628" w:rsidP="00F51628">
      <w:pPr>
        <w:pStyle w:val="StandardWeb"/>
      </w:pPr>
      <w:r>
        <w:t>Das Bilanznetzwerk</w:t>
      </w:r>
    </w:p>
    <w:p w:rsidR="00F51628" w:rsidRDefault="00F51628" w:rsidP="00F51628">
      <w:pPr>
        <w:pStyle w:val="berschrift1"/>
      </w:pPr>
      <w:r>
        <w:t>[</w:t>
      </w:r>
      <w:r>
        <w:br/>
        <w:t>\mathcal N_Q</w:t>
      </w:r>
    </w:p>
    <w:p w:rsidR="00F51628" w:rsidRDefault="00F51628" w:rsidP="00F51628">
      <w:pPr>
        <w:pStyle w:val="StandardWeb"/>
      </w:pPr>
      <w:r>
        <w:t>(V_Q,E_Q)</w:t>
      </w:r>
      <w:r>
        <w:br/>
        <w:t>\tag{3.11864}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\mathcal N_Q=(V_Q,E_Q)</w:t>
      </w:r>
    </w:p>
    <w:p w:rsidR="00F51628" w:rsidRDefault="00F51628" w:rsidP="00F51628">
      <w:pPr>
        <w:pStyle w:val="StandardWeb"/>
      </w:pPr>
      <w:r>
        <w:t>ist eine optionale Modellstruktur.</w:t>
      </w:r>
    </w:p>
    <w:p w:rsidR="00F51628" w:rsidRDefault="00F51628" w:rsidP="00F51628">
      <w:pPr>
        <w:pStyle w:val="StandardWeb"/>
      </w:pPr>
      <w:r>
        <w:t>Damit gilt</w:t>
      </w:r>
    </w:p>
    <w:p w:rsidR="00F51628" w:rsidRDefault="00F51628" w:rsidP="00F51628">
      <w:pPr>
        <w:pStyle w:val="berschrift1"/>
      </w:pPr>
      <w:r>
        <w:t>[</w:t>
      </w:r>
      <w:r>
        <w:br/>
        <w:t>\boxed{</w:t>
      </w:r>
      <w:r>
        <w:br/>
        <w:t>\operatorname{Stat}(\mathcal N_Q)</w:t>
      </w:r>
    </w:p>
    <w:p w:rsidR="00F51628" w:rsidRDefault="00F51628" w:rsidP="00F51628">
      <w:pPr>
        <w:pStyle w:val="StandardWeb"/>
      </w:pPr>
      <w:r>
        <w:t>\mathrm{Def/Mod}.</w:t>
      </w:r>
      <w:r>
        <w:br/>
        <w:t>}</w:t>
      </w:r>
      <w:r>
        <w:br/>
        <w:t>\tag{3.11865}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\boxed{\operatorname{Stat}(\mathcal N_Q)=\mathrm{Def/Mod}.}</w:t>
      </w:r>
    </w:p>
    <w:p w:rsidR="00F51628" w:rsidRDefault="00E50336" w:rsidP="00F51628">
      <w:r>
        <w:pict>
          <v:rect id="_x0000_i4119" style="width:0;height:1.5pt" o:hralign="center" o:hrstd="t" o:hr="t" fillcolor="#a0a0a0" stroked="f"/>
        </w:pict>
      </w:r>
    </w:p>
    <w:p w:rsidR="00F51628" w:rsidRDefault="00F51628" w:rsidP="00F51628">
      <w:pPr>
        <w:pStyle w:val="berschrift1"/>
      </w:pPr>
      <w:r>
        <w:lastRenderedPageBreak/>
        <w:t>3.3.47.244 Status der Inzidenzmatrix</w:t>
      </w:r>
    </w:p>
    <w:p w:rsidR="00F51628" w:rsidRDefault="00F51628" w:rsidP="00F51628">
      <w:pPr>
        <w:pStyle w:val="StandardWeb"/>
      </w:pPr>
      <w:r>
        <w:t>Nach Festlegung des Netzwerks ist</w:t>
      </w:r>
    </w:p>
    <w:p w:rsidR="00F51628" w:rsidRDefault="00F51628" w:rsidP="00F51628">
      <w:pPr>
        <w:pStyle w:val="StandardWeb"/>
      </w:pPr>
      <w:r>
        <w:t>[</w:t>
      </w:r>
      <w:r>
        <w:br/>
        <w:t>B_Q</w:t>
      </w:r>
      <w:r>
        <w:br/>
        <w:t>\tag{3.11866}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B_Q</w:t>
      </w:r>
    </w:p>
    <w:p w:rsidR="00F51628" w:rsidRDefault="00F51628" w:rsidP="00F51628">
      <w:pPr>
        <w:pStyle w:val="StandardWeb"/>
      </w:pPr>
      <w:r>
        <w:t>eine mathematische Kodierung seiner orientierten Kantenstruktur.</w:t>
      </w:r>
    </w:p>
    <w:p w:rsidR="00F51628" w:rsidRDefault="00F51628" w:rsidP="00F51628">
      <w:pPr>
        <w:pStyle w:val="StandardWeb"/>
      </w:pPr>
      <w:r>
        <w:t>Damit gilt</w:t>
      </w:r>
    </w:p>
    <w:p w:rsidR="00F51628" w:rsidRDefault="00F51628" w:rsidP="00F51628">
      <w:pPr>
        <w:pStyle w:val="berschrift1"/>
      </w:pPr>
      <w:r>
        <w:t>[</w:t>
      </w:r>
      <w:r>
        <w:br/>
        <w:t>\boxed{</w:t>
      </w:r>
      <w:r>
        <w:br/>
        <w:t>\operatorname{Stat}(B_Q)</w:t>
      </w:r>
    </w:p>
    <w:p w:rsidR="00F51628" w:rsidRDefault="00F51628" w:rsidP="00F51628">
      <w:pPr>
        <w:pStyle w:val="StandardWeb"/>
      </w:pPr>
      <w:r>
        <w:t>\mathrm{Def/Op}.</w:t>
      </w:r>
      <w:r>
        <w:br/>
        <w:t>}</w:t>
      </w:r>
      <w:r>
        <w:br/>
        <w:t>\tag{3.11867}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\boxed{\operatorname{Stat}(B_Q)=\mathrm{Def/Op}.}</w:t>
      </w:r>
    </w:p>
    <w:p w:rsidR="00F51628" w:rsidRDefault="00E50336" w:rsidP="00F51628">
      <w:r>
        <w:pict>
          <v:rect id="_x0000_i4120" style="width:0;height:1.5pt" o:hralign="center" o:hrstd="t" o:hr="t" fillcolor="#a0a0a0" stroked="f"/>
        </w:pict>
      </w:r>
    </w:p>
    <w:p w:rsidR="00F51628" w:rsidRDefault="00F51628" w:rsidP="00F51628">
      <w:pPr>
        <w:pStyle w:val="berschrift1"/>
      </w:pPr>
      <w:r>
        <w:t>3.3.47.245 Status der algebraischen Netzwerkbilanz</w:t>
      </w:r>
    </w:p>
    <w:p w:rsidR="00F51628" w:rsidRDefault="00F51628" w:rsidP="00F51628">
      <w:pPr>
        <w:pStyle w:val="StandardWeb"/>
      </w:pPr>
      <w:r>
        <w:t>Die Beziehung</w:t>
      </w:r>
    </w:p>
    <w:p w:rsidR="00F51628" w:rsidRDefault="00F51628" w:rsidP="00F51628">
      <w:pPr>
        <w:pStyle w:val="berschrift1"/>
      </w:pPr>
      <w:r>
        <w:t>[</w:t>
      </w:r>
      <w:r>
        <w:br/>
        <w:t>\Delta\mathbf Q</w:t>
      </w:r>
    </w:p>
    <w:p w:rsidR="00F51628" w:rsidRDefault="00F51628" w:rsidP="00F51628">
      <w:pPr>
        <w:pStyle w:val="StandardWeb"/>
      </w:pPr>
      <w:r>
        <w:t>\boldsymbol\Sigma</w:t>
      </w:r>
      <w:r>
        <w:br/>
        <w:t>+</w:t>
      </w:r>
      <w:r>
        <w:br/>
        <w:t>B_Q\mathbf j_Q</w:t>
      </w:r>
      <w:r>
        <w:br/>
        <w:t>\tag{3.11868}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lastRenderedPageBreak/>
        <w:t>\Delta\mathbf Q=\boldsymbol\Sigma+B_Q\mathbf j_Q</w:t>
      </w:r>
    </w:p>
    <w:p w:rsidR="00F51628" w:rsidRDefault="00F51628" w:rsidP="00F51628">
      <w:pPr>
        <w:pStyle w:val="StandardWeb"/>
      </w:pPr>
      <w:r>
        <w:t>ist Bestandteil einer spezifizierten Netzwerkbilanz.</w:t>
      </w:r>
    </w:p>
    <w:p w:rsidR="00F51628" w:rsidRDefault="00F51628" w:rsidP="00F51628">
      <w:pPr>
        <w:pStyle w:val="StandardWeb"/>
      </w:pPr>
      <w:r>
        <w:t>Daher gilt</w:t>
      </w:r>
    </w:p>
    <w:p w:rsidR="00F51628" w:rsidRDefault="00F51628" w:rsidP="00F51628">
      <w:pPr>
        <w:pStyle w:val="berschrift1"/>
      </w:pPr>
      <w:r>
        <w:t>[</w:t>
      </w:r>
      <w:r>
        <w:br/>
        <w:t>\boxed{</w:t>
      </w:r>
      <w:r>
        <w:br/>
        <w:t>\operatorname{Stat}</w:t>
      </w:r>
      <w:r>
        <w:br/>
        <w:t>(\mathfrak B_{\mathcal N})</w:t>
      </w:r>
    </w:p>
    <w:p w:rsidR="00F51628" w:rsidRDefault="00F51628" w:rsidP="00F51628">
      <w:pPr>
        <w:pStyle w:val="StandardWeb"/>
      </w:pPr>
      <w:r>
        <w:t>\mathrm{Def/Mod}.</w:t>
      </w:r>
      <w:r>
        <w:br/>
        <w:t>}</w:t>
      </w:r>
      <w:r>
        <w:br/>
        <w:t>\tag{3.11869}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\boxed{\operatorname{Stat}(\mathfrak B_{\mathcal N})=\mathrm{Def/Mod}.}</w:t>
      </w:r>
    </w:p>
    <w:p w:rsidR="00F51628" w:rsidRDefault="00E50336" w:rsidP="00F51628">
      <w:r>
        <w:pict>
          <v:rect id="_x0000_i4121" style="width:0;height:1.5pt" o:hralign="center" o:hrstd="t" o:hr="t" fillcolor="#a0a0a0" stroked="f"/>
        </w:pict>
      </w:r>
    </w:p>
    <w:p w:rsidR="00F51628" w:rsidRDefault="00F51628" w:rsidP="00F51628">
      <w:pPr>
        <w:pStyle w:val="berschrift1"/>
      </w:pPr>
      <w:r>
        <w:t>3.3.47.246 Status der internen Netzwerkflussaufhebung</w:t>
      </w:r>
    </w:p>
    <w:p w:rsidR="00F51628" w:rsidRDefault="00F51628" w:rsidP="00F51628">
      <w:pPr>
        <w:pStyle w:val="StandardWeb"/>
      </w:pPr>
      <w:r>
        <w:t>Die Beziehung</w:t>
      </w:r>
    </w:p>
    <w:p w:rsidR="00F51628" w:rsidRDefault="00F51628" w:rsidP="00F51628">
      <w:pPr>
        <w:pStyle w:val="berschrift1"/>
      </w:pPr>
      <w:r>
        <w:t>[</w:t>
      </w:r>
      <w:r>
        <w:br/>
        <w:t>\mathbf 1^{\mathsf T}</w:t>
      </w:r>
      <w:r>
        <w:br/>
        <w:t>B_Q</w:t>
      </w:r>
      <w:r>
        <w:br/>
        <w:t>\mathbf j_Q</w:t>
      </w:r>
    </w:p>
    <w:p w:rsidR="00F51628" w:rsidRDefault="00F51628" w:rsidP="00F51628">
      <w:pPr>
        <w:pStyle w:val="StandardWeb"/>
      </w:pPr>
      <w:r>
        <w:t>0</w:t>
      </w:r>
      <w:r>
        <w:br/>
        <w:t>\tag{3.11870}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\mathbf 1^{\mathsf T}B_Q\mathbf j_Q=0</w:t>
      </w:r>
    </w:p>
    <w:p w:rsidR="00F51628" w:rsidRDefault="00F51628" w:rsidP="00F51628">
      <w:pPr>
        <w:pStyle w:val="StandardWeb"/>
      </w:pPr>
      <w:r>
        <w:t>folgt aus der Struktur einer vollständigen internen Inzidenzmatrix.</w:t>
      </w:r>
    </w:p>
    <w:p w:rsidR="00F51628" w:rsidRDefault="00F51628" w:rsidP="00F51628">
      <w:pPr>
        <w:pStyle w:val="StandardWeb"/>
      </w:pPr>
      <w:r>
        <w:t>Damit gilt</w:t>
      </w:r>
    </w:p>
    <w:p w:rsidR="00F51628" w:rsidRDefault="00F51628" w:rsidP="00F51628">
      <w:pPr>
        <w:pStyle w:val="berschrift1"/>
      </w:pPr>
      <w:r>
        <w:lastRenderedPageBreak/>
        <w:t>[</w:t>
      </w:r>
      <w:r>
        <w:br/>
        <w:t>\boxed{</w:t>
      </w:r>
      <w:r>
        <w:br/>
        <w:t>\operatorname{Stat}</w:t>
      </w:r>
      <w:r>
        <w:br/>
        <w:t>(\operatorname{IntCancel}_Q)</w:t>
      </w:r>
    </w:p>
    <w:p w:rsidR="00F51628" w:rsidRDefault="00F51628" w:rsidP="00F51628">
      <w:pPr>
        <w:pStyle w:val="StandardWeb"/>
      </w:pPr>
      <w:r>
        <w:t>\mathrm{Der}.</w:t>
      </w:r>
      <w:r>
        <w:br/>
        <w:t>}</w:t>
      </w:r>
      <w:r>
        <w:br/>
        <w:t>\tag{3.11871}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\boxed{\operatorname{Stat}(\operatorname{IntCancel}_Q)=\mathrm{Der}.}</w:t>
      </w:r>
    </w:p>
    <w:p w:rsidR="00F51628" w:rsidRDefault="00E50336" w:rsidP="00F51628">
      <w:r>
        <w:pict>
          <v:rect id="_x0000_i4122" style="width:0;height:1.5pt" o:hralign="center" o:hrstd="t" o:hr="t" fillcolor="#a0a0a0" stroked="f"/>
        </w:pict>
      </w:r>
    </w:p>
    <w:p w:rsidR="00F51628" w:rsidRDefault="00F51628" w:rsidP="00F51628">
      <w:pPr>
        <w:pStyle w:val="berschrift1"/>
      </w:pPr>
      <w:r>
        <w:t>3.3.47.247 Status des Bilanzzyklus</w:t>
      </w:r>
    </w:p>
    <w:p w:rsidR="00F51628" w:rsidRDefault="00F51628" w:rsidP="00F51628">
      <w:pPr>
        <w:pStyle w:val="StandardWeb"/>
      </w:pPr>
      <w:r>
        <w:t>Ein geschlossener Pfad</w:t>
      </w:r>
    </w:p>
    <w:p w:rsidR="00F51628" w:rsidRDefault="00F51628" w:rsidP="00F51628">
      <w:pPr>
        <w:pStyle w:val="StandardWeb"/>
      </w:pPr>
      <w:r>
        <w:t>[</w:t>
      </w:r>
      <w:r>
        <w:br/>
        <w:t>\gamma_C</w:t>
      </w:r>
      <w:r>
        <w:br/>
        <w:t>\tag{3.11872}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\gamma_C</w:t>
      </w:r>
    </w:p>
    <w:p w:rsidR="00F51628" w:rsidRDefault="00F51628" w:rsidP="00F51628">
      <w:pPr>
        <w:pStyle w:val="StandardWeb"/>
      </w:pPr>
      <w:r>
        <w:t>ist definitorisch bestimmt.</w:t>
      </w:r>
    </w:p>
    <w:p w:rsidR="00F51628" w:rsidRDefault="00F51628" w:rsidP="00F51628">
      <w:pPr>
        <w:pStyle w:val="StandardWeb"/>
      </w:pPr>
      <w:r>
        <w:t>Daher gilt</w:t>
      </w:r>
    </w:p>
    <w:p w:rsidR="00F51628" w:rsidRDefault="00F51628" w:rsidP="00F51628">
      <w:pPr>
        <w:pStyle w:val="berschrift1"/>
      </w:pPr>
      <w:r>
        <w:t>[</w:t>
      </w:r>
      <w:r>
        <w:br/>
        <w:t>\boxed{</w:t>
      </w:r>
      <w:r>
        <w:br/>
        <w:t>\operatorname{Stat}(\gamma_C)</w:t>
      </w:r>
    </w:p>
    <w:p w:rsidR="00F51628" w:rsidRDefault="00F51628" w:rsidP="00F51628">
      <w:pPr>
        <w:pStyle w:val="StandardWeb"/>
      </w:pPr>
      <w:r>
        <w:t>\mathrm{Def/Op}.</w:t>
      </w:r>
      <w:r>
        <w:br/>
        <w:t>}</w:t>
      </w:r>
      <w:r>
        <w:br/>
        <w:t>\tag{3.11873}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\boxed{\operatorname{Stat}(\gamma_C)=\mathrm{Def/Op}.}</w:t>
      </w:r>
    </w:p>
    <w:p w:rsidR="00F51628" w:rsidRDefault="00E50336" w:rsidP="00F51628">
      <w:r>
        <w:pict>
          <v:rect id="_x0000_i4123" style="width:0;height:1.5pt" o:hralign="center" o:hrstd="t" o:hr="t" fillcolor="#a0a0a0" stroked="f"/>
        </w:pict>
      </w:r>
    </w:p>
    <w:p w:rsidR="00F51628" w:rsidRDefault="00F51628" w:rsidP="00F51628">
      <w:pPr>
        <w:pStyle w:val="berschrift1"/>
      </w:pPr>
      <w:r>
        <w:lastRenderedPageBreak/>
        <w:t>3.3.47.248 Status der Flusszirkulation</w:t>
      </w:r>
    </w:p>
    <w:p w:rsidR="00F51628" w:rsidRDefault="00F51628" w:rsidP="00F51628">
      <w:pPr>
        <w:pStyle w:val="StandardWeb"/>
      </w:pPr>
      <w:r>
        <w:t>Für</w:t>
      </w:r>
    </w:p>
    <w:p w:rsidR="00F51628" w:rsidRDefault="00F51628" w:rsidP="00F51628">
      <w:pPr>
        <w:pStyle w:val="berschrift1"/>
      </w:pPr>
      <w:r>
        <w:t>[</w:t>
      </w:r>
      <w:r>
        <w:br/>
        <w:t>\Gamma_J(\gamma_C)</w:t>
      </w:r>
    </w:p>
    <w:p w:rsidR="00F51628" w:rsidRDefault="00F51628" w:rsidP="00F51628">
      <w:pPr>
        <w:pStyle w:val="StandardWeb"/>
      </w:pPr>
      <w:r>
        <w:t>\sum_{e\in\gamma_C}</w:t>
      </w:r>
      <w:r>
        <w:br/>
        <w:t>J_e</w:t>
      </w:r>
      <w:r>
        <w:br/>
        <w:t>\tag{3.11874}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\Gamma_J(\gamma_C)=\sum_{e\in\gamma_C}J_e</w:t>
      </w:r>
    </w:p>
    <w:p w:rsidR="00F51628" w:rsidRDefault="00F51628" w:rsidP="00F51628">
      <w:pPr>
        <w:pStyle w:val="StandardWeb"/>
      </w:pPr>
      <w:r>
        <w:t>gilt</w:t>
      </w:r>
    </w:p>
    <w:p w:rsidR="00F51628" w:rsidRDefault="00F51628" w:rsidP="00F51628">
      <w:pPr>
        <w:pStyle w:val="berschrift1"/>
      </w:pPr>
      <w:r>
        <w:t>[</w:t>
      </w:r>
      <w:r>
        <w:br/>
        <w:t>\boxed{</w:t>
      </w:r>
      <w:r>
        <w:br/>
        <w:t>\operatorname{Stat}(\Gamma_J)</w:t>
      </w:r>
    </w:p>
    <w:p w:rsidR="00F51628" w:rsidRDefault="00F51628" w:rsidP="00F51628">
      <w:pPr>
        <w:pStyle w:val="StandardWeb"/>
      </w:pPr>
      <w:r>
        <w:t>\mathrm{Def/Op}.</w:t>
      </w:r>
      <w:r>
        <w:br/>
        <w:t>}</w:t>
      </w:r>
      <w:r>
        <w:br/>
        <w:t>\tag{3.11875}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\boxed{\operatorname{Stat}(\Gamma_J)=\mathrm{Def/Op}.}</w:t>
      </w:r>
    </w:p>
    <w:p w:rsidR="00F51628" w:rsidRDefault="00E50336" w:rsidP="00F51628">
      <w:r>
        <w:pict>
          <v:rect id="_x0000_i4124" style="width:0;height:1.5pt" o:hralign="center" o:hrstd="t" o:hr="t" fillcolor="#a0a0a0" stroked="f"/>
        </w:pict>
      </w:r>
    </w:p>
    <w:p w:rsidR="00F51628" w:rsidRDefault="00F51628" w:rsidP="00F51628">
      <w:pPr>
        <w:pStyle w:val="berschrift1"/>
      </w:pPr>
      <w:r>
        <w:t>3.3.47.249 Status der Zirkulationsfreiheit</w:t>
      </w:r>
    </w:p>
    <w:p w:rsidR="00F51628" w:rsidRDefault="00F51628" w:rsidP="00F51628">
      <w:pPr>
        <w:pStyle w:val="StandardWeb"/>
      </w:pPr>
      <w:r>
        <w:t>Die Bedingung</w:t>
      </w:r>
    </w:p>
    <w:p w:rsidR="00F51628" w:rsidRDefault="00F51628" w:rsidP="00F51628">
      <w:pPr>
        <w:pStyle w:val="StandardWeb"/>
      </w:pPr>
      <w:r>
        <w:t>[</w:t>
      </w:r>
      <w:r>
        <w:br/>
        <w:t>\Gamma_J(\gamma_C)=0</w:t>
      </w:r>
      <w:r>
        <w:br/>
        <w:t>\qquad</w:t>
      </w:r>
      <w:r>
        <w:br/>
        <w:t>\forall\gamma_C</w:t>
      </w:r>
      <w:r>
        <w:br/>
        <w:t>\tag{3.11876}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\Gamma_J(\gamma_C)=0\qquad\forall\gamma_C</w:t>
      </w:r>
    </w:p>
    <w:p w:rsidR="00F51628" w:rsidRDefault="00F51628" w:rsidP="00F51628">
      <w:pPr>
        <w:pStyle w:val="StandardWeb"/>
      </w:pPr>
      <w:r>
        <w:lastRenderedPageBreak/>
        <w:t>ist eine zusätzliche Eigenschaft eines Flussmodells.</w:t>
      </w:r>
    </w:p>
    <w:p w:rsidR="00F51628" w:rsidRDefault="00F51628" w:rsidP="00F51628">
      <w:pPr>
        <w:pStyle w:val="StandardWeb"/>
      </w:pPr>
      <w:r>
        <w:t>Damit gilt</w:t>
      </w:r>
    </w:p>
    <w:p w:rsidR="00F51628" w:rsidRDefault="00F51628" w:rsidP="00F51628">
      <w:pPr>
        <w:pStyle w:val="berschrift1"/>
      </w:pPr>
      <w:r>
        <w:t>[</w:t>
      </w:r>
      <w:r>
        <w:br/>
        <w:t>\boxed{</w:t>
      </w:r>
      <w:r>
        <w:br/>
        <w:t>\operatorname{Stat}</w:t>
      </w:r>
      <w:r>
        <w:br/>
        <w:t>(\operatorname{CircFree}_Q)</w:t>
      </w:r>
    </w:p>
    <w:p w:rsidR="00F51628" w:rsidRDefault="00F51628" w:rsidP="00F51628">
      <w:pPr>
        <w:pStyle w:val="StandardWeb"/>
      </w:pPr>
      <w:r>
        <w:t>\mathrm{Def/Mod}.</w:t>
      </w:r>
      <w:r>
        <w:br/>
        <w:t>}</w:t>
      </w:r>
      <w:r>
        <w:br/>
        <w:t>\tag{3.11877}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\boxed{\operatorname{Stat}(\operatorname{CircFree}_Q)=\mathrm{Def/Mod}.}</w:t>
      </w:r>
    </w:p>
    <w:p w:rsidR="00F51628" w:rsidRDefault="00E50336" w:rsidP="00F51628">
      <w:r>
        <w:pict>
          <v:rect id="_x0000_i4125" style="width:0;height:1.5pt" o:hralign="center" o:hrstd="t" o:hr="t" fillcolor="#a0a0a0" stroked="f"/>
        </w:pict>
      </w:r>
    </w:p>
    <w:p w:rsidR="00F51628" w:rsidRDefault="00F51628" w:rsidP="00F51628">
      <w:pPr>
        <w:pStyle w:val="berschrift1"/>
      </w:pPr>
      <w:r>
        <w:t>3.3.47.250 Status der Potenzialdarstellung</w:t>
      </w:r>
    </w:p>
    <w:p w:rsidR="00F51628" w:rsidRDefault="00F51628" w:rsidP="00F51628">
      <w:pPr>
        <w:pStyle w:val="StandardWeb"/>
      </w:pPr>
      <w:r>
        <w:t>Die Beziehung</w:t>
      </w:r>
    </w:p>
    <w:p w:rsidR="00F51628" w:rsidRDefault="00F51628" w:rsidP="00F51628">
      <w:pPr>
        <w:pStyle w:val="berschrift1"/>
      </w:pPr>
      <w:r>
        <w:t>[</w:t>
      </w:r>
      <w:r>
        <w:br/>
        <w:t>J_Q(z_i,z_j)</w:t>
      </w:r>
    </w:p>
    <w:p w:rsidR="00F51628" w:rsidRDefault="00F51628" w:rsidP="00F51628">
      <w:pPr>
        <w:pStyle w:val="berschrift2"/>
      </w:pPr>
      <w:r>
        <w:t>\Phi_Q(z_i)</w:t>
      </w:r>
    </w:p>
    <w:p w:rsidR="00F51628" w:rsidRDefault="00F51628" w:rsidP="00F51628">
      <w:pPr>
        <w:pStyle w:val="StandardWeb"/>
      </w:pPr>
      <w:r>
        <w:t>\Phi_Q(z_j)</w:t>
      </w:r>
      <w:r>
        <w:br/>
        <w:t>\tag{3.11878}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J_Q(z_i,z_j)=\Phi_Q(z_i)-\Phi_Q(z_j)</w:t>
      </w:r>
    </w:p>
    <w:p w:rsidR="00F51628" w:rsidRDefault="00F51628" w:rsidP="00F51628">
      <w:pPr>
        <w:pStyle w:val="StandardWeb"/>
      </w:pPr>
      <w:r>
        <w:t>ist ebenfalls eine zusätzliche Modellstruktur.</w:t>
      </w:r>
    </w:p>
    <w:p w:rsidR="00F51628" w:rsidRDefault="00F51628" w:rsidP="00F51628">
      <w:pPr>
        <w:pStyle w:val="StandardWeb"/>
      </w:pPr>
      <w:r>
        <w:t>Daher gilt</w:t>
      </w:r>
    </w:p>
    <w:p w:rsidR="00F51628" w:rsidRDefault="00F51628" w:rsidP="00F51628">
      <w:pPr>
        <w:pStyle w:val="berschrift1"/>
      </w:pPr>
      <w:r>
        <w:t>[</w:t>
      </w:r>
      <w:r>
        <w:br/>
        <w:t>\boxed{</w:t>
      </w:r>
      <w:r>
        <w:br/>
      </w:r>
      <w:r>
        <w:lastRenderedPageBreak/>
        <w:t>\operatorname{Stat}</w:t>
      </w:r>
      <w:r>
        <w:br/>
        <w:t>(\operatorname{Pot}J_Q)</w:t>
      </w:r>
    </w:p>
    <w:p w:rsidR="00F51628" w:rsidRDefault="00F51628" w:rsidP="00F51628">
      <w:pPr>
        <w:pStyle w:val="StandardWeb"/>
      </w:pPr>
      <w:r>
        <w:t>\mathrm{Def/Mod}.</w:t>
      </w:r>
      <w:r>
        <w:br/>
        <w:t>}</w:t>
      </w:r>
      <w:r>
        <w:br/>
        <w:t>\tag{3.11879}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\boxed{\operatorname{Stat}(\operatorname{Pot}J_Q)=\mathrm{Def/Mod}.}</w:t>
      </w:r>
    </w:p>
    <w:p w:rsidR="00F51628" w:rsidRDefault="00E50336" w:rsidP="00F51628">
      <w:r>
        <w:pict>
          <v:rect id="_x0000_i4126" style="width:0;height:1.5pt" o:hralign="center" o:hrstd="t" o:hr="t" fillcolor="#a0a0a0" stroked="f"/>
        </w:pict>
      </w:r>
    </w:p>
    <w:p w:rsidR="00F51628" w:rsidRDefault="00F51628" w:rsidP="00F51628">
      <w:pPr>
        <w:pStyle w:val="berschrift1"/>
      </w:pPr>
      <w:r>
        <w:t>3.3.47.251 Status der Zirkulationsfreiheit potenzialerzeugter Flüsse</w:t>
      </w:r>
    </w:p>
    <w:p w:rsidR="00F51628" w:rsidRDefault="00F51628" w:rsidP="00F51628">
      <w:pPr>
        <w:pStyle w:val="StandardWeb"/>
      </w:pPr>
      <w:r>
        <w:t>Die Implikation</w:t>
      </w:r>
    </w:p>
    <w:p w:rsidR="00F51628" w:rsidRDefault="00F51628" w:rsidP="00F51628">
      <w:pPr>
        <w:pStyle w:val="StandardWeb"/>
      </w:pPr>
      <w:r>
        <w:t>[</w:t>
      </w:r>
      <w:r>
        <w:br/>
        <w:t>J_Q</w:t>
      </w:r>
      <w:r>
        <w:br/>
        <w:t>\text{ potenzialerzeugt}</w:t>
      </w:r>
      <w:r>
        <w:br/>
        <w:t>\Rightarrow</w:t>
      </w:r>
      <w:r>
        <w:br/>
        <w:t>\Gamma_J(\gamma_C)=0</w:t>
      </w:r>
      <w:r>
        <w:br/>
        <w:t>\tag{3.11880}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J_Q\text{ potenzialerzeugt}\Rightarrow\Gamma_J(\gamma_C)=0</w:t>
      </w:r>
    </w:p>
    <w:p w:rsidR="00F51628" w:rsidRDefault="00F51628" w:rsidP="00F51628">
      <w:pPr>
        <w:pStyle w:val="StandardWeb"/>
      </w:pPr>
      <w:r>
        <w:t>wurde bewiesen.</w:t>
      </w:r>
    </w:p>
    <w:p w:rsidR="00F51628" w:rsidRDefault="00F51628" w:rsidP="00F51628">
      <w:pPr>
        <w:pStyle w:val="StandardWeb"/>
      </w:pPr>
      <w:r>
        <w:t>Damit gilt</w:t>
      </w:r>
    </w:p>
    <w:p w:rsidR="00F51628" w:rsidRDefault="00F51628" w:rsidP="00F51628">
      <w:pPr>
        <w:pStyle w:val="berschrift1"/>
      </w:pPr>
      <w:r>
        <w:t>[</w:t>
      </w:r>
      <w:r>
        <w:br/>
        <w:t>\boxed{</w:t>
      </w:r>
      <w:r>
        <w:br/>
        <w:t>\operatorname{Stat}</w:t>
      </w:r>
      <w:r>
        <w:br/>
        <w:t>(\operatorname{Pot}\Rightarrow\operatorname{CircFree})</w:t>
      </w:r>
    </w:p>
    <w:p w:rsidR="00F51628" w:rsidRDefault="00F51628" w:rsidP="00F51628">
      <w:pPr>
        <w:pStyle w:val="StandardWeb"/>
      </w:pPr>
      <w:r>
        <w:t>\mathrm{Der}.</w:t>
      </w:r>
      <w:r>
        <w:br/>
        <w:t>}</w:t>
      </w:r>
      <w:r>
        <w:br/>
        <w:t>\tag{3.11881}</w:t>
      </w:r>
      <w:r>
        <w:br/>
        <w:t>]</w:t>
      </w:r>
    </w:p>
    <w:p w:rsidR="00F51628" w:rsidRDefault="00F51628" w:rsidP="00F51628">
      <w:pPr>
        <w:pStyle w:val="StandardWeb"/>
      </w:pPr>
      <w:r>
        <w:rPr>
          <w:rStyle w:val="Fett"/>
        </w:rPr>
        <w:lastRenderedPageBreak/>
        <w:t>Word-LaTeX</w:t>
      </w:r>
    </w:p>
    <w:p w:rsidR="00F51628" w:rsidRDefault="00F51628" w:rsidP="00F51628">
      <w:pPr>
        <w:pStyle w:val="HTMLVorformatiert"/>
        <w:rPr>
          <w:rStyle w:val="HTMLCode"/>
        </w:rPr>
      </w:pPr>
      <w:r>
        <w:rPr>
          <w:rStyle w:val="HTMLCode"/>
        </w:rPr>
        <w:t>\boxed{\operatorname{Stat}(\operatorname{Pot}\Rightarrow\operatorname{CircFree})=\mathrm{Der}.}</w:t>
      </w:r>
    </w:p>
    <w:p w:rsidR="00F51628" w:rsidRDefault="00E50336" w:rsidP="00F51628">
      <w:r>
        <w:pict>
          <v:rect id="_x0000_i4127" style="width:0;height:1.5pt" o:hralign="center" o:hrstd="t" o:hr="t" fillcolor="#a0a0a0" stroked="f"/>
        </w:pict>
      </w:r>
    </w:p>
    <w:p w:rsidR="00F51628" w:rsidRDefault="00F51628" w:rsidP="00F51628">
      <w:pPr>
        <w:pStyle w:val="berschrift1"/>
      </w:pPr>
      <w:r>
        <w:t>3.3.47.252 Status des Bilanzresiduums</w:t>
      </w:r>
    </w:p>
    <w:p w:rsidR="00F51628" w:rsidRDefault="00F51628" w:rsidP="00F51628">
      <w:pPr>
        <w:pStyle w:val="StandardWeb"/>
      </w:pPr>
      <w:r>
        <w:t>Das Bilanzresiduum</w:t>
      </w:r>
    </w:p>
    <w:p w:rsidR="00F51628" w:rsidRDefault="00F51628" w:rsidP="00F51628">
      <w:pPr>
        <w:pStyle w:val="berschrift1"/>
      </w:pPr>
      <w:r>
        <w:t>[</w:t>
      </w:r>
      <w:r>
        <w:br/>
        <w:t>R_B</w:t>
      </w:r>
    </w:p>
    <w:p w:rsidR="00F51628" w:rsidRDefault="00F51628" w:rsidP="00F51628">
      <w:pPr>
        <w:pStyle w:val="berschrift2"/>
      </w:pPr>
      <w:r>
        <w:t>\Delta_TQ_F</w:t>
      </w:r>
    </w:p>
    <w:p w:rsidR="00F51628" w:rsidRDefault="00F51628" w:rsidP="00F51628">
      <w:pPr>
        <w:pStyle w:val="berschrift2"/>
      </w:pPr>
      <w:r>
        <w:t>\Sigma_Q</w:t>
      </w:r>
    </w:p>
    <w:p w:rsidR="00F51628" w:rsidRDefault="00F51628" w:rsidP="00F51628">
      <w:pPr>
        <w:pStyle w:val="StandardWeb"/>
      </w:pPr>
      <w:r>
        <w:t>J_Q^{\mathrm{net}}</w:t>
      </w:r>
      <w:r>
        <w:br/>
        <w:t>\tag{3.11882}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R_B=\Delta_TQ_F-\Sigma_Q-J_Q^{\mathrm{net}}</w:t>
      </w:r>
    </w:p>
    <w:p w:rsidR="00F51628" w:rsidRDefault="00F51628" w:rsidP="00F51628">
      <w:pPr>
        <w:pStyle w:val="StandardWeb"/>
      </w:pPr>
      <w:r>
        <w:t>ist nach Spezifikation einer Bilanzstruktur direkt berechenbar.</w:t>
      </w:r>
    </w:p>
    <w:p w:rsidR="00F51628" w:rsidRDefault="00F51628" w:rsidP="00F51628">
      <w:pPr>
        <w:pStyle w:val="StandardWeb"/>
      </w:pPr>
      <w:r>
        <w:t>Damit gilt</w:t>
      </w:r>
    </w:p>
    <w:p w:rsidR="00F51628" w:rsidRDefault="00F51628" w:rsidP="00F51628">
      <w:pPr>
        <w:pStyle w:val="berschrift1"/>
      </w:pPr>
      <w:r>
        <w:t>[</w:t>
      </w:r>
      <w:r>
        <w:br/>
        <w:t>\boxed{</w:t>
      </w:r>
      <w:r>
        <w:br/>
        <w:t>\operatorname{Stat}(R_B)</w:t>
      </w:r>
    </w:p>
    <w:p w:rsidR="00F51628" w:rsidRDefault="00F51628" w:rsidP="00F51628">
      <w:pPr>
        <w:pStyle w:val="StandardWeb"/>
      </w:pPr>
      <w:r>
        <w:t>\mathrm{Def/Op}.</w:t>
      </w:r>
      <w:r>
        <w:br/>
        <w:t>}</w:t>
      </w:r>
      <w:r>
        <w:br/>
        <w:t>\tag{3.11883}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\boxed{\operatorname{Stat}(R_B)=\mathrm{Def/Op}.}</w:t>
      </w:r>
    </w:p>
    <w:p w:rsidR="00F51628" w:rsidRDefault="00E50336" w:rsidP="00F51628">
      <w:r>
        <w:pict>
          <v:rect id="_x0000_i4128" style="width:0;height:1.5pt" o:hralign="center" o:hrstd="t" o:hr="t" fillcolor="#a0a0a0" stroked="f"/>
        </w:pict>
      </w:r>
    </w:p>
    <w:p w:rsidR="00F51628" w:rsidRDefault="00F51628" w:rsidP="00F51628">
      <w:pPr>
        <w:pStyle w:val="berschrift1"/>
      </w:pPr>
      <w:r>
        <w:t>3.3.47.253 Status des Bilanzdefekts</w:t>
      </w:r>
    </w:p>
    <w:p w:rsidR="00F51628" w:rsidRDefault="00F51628" w:rsidP="00F51628">
      <w:pPr>
        <w:pStyle w:val="StandardWeb"/>
      </w:pPr>
      <w:r>
        <w:t>Die Bedingung</w:t>
      </w:r>
    </w:p>
    <w:p w:rsidR="00F51628" w:rsidRDefault="00F51628" w:rsidP="00F51628">
      <w:pPr>
        <w:pStyle w:val="StandardWeb"/>
      </w:pPr>
      <w:r>
        <w:lastRenderedPageBreak/>
        <w:t>[</w:t>
      </w:r>
      <w:r>
        <w:br/>
        <w:t>R_B\neq0</w:t>
      </w:r>
      <w:r>
        <w:br/>
        <w:t>\tag{3.11884}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R_B\neq0</w:t>
      </w:r>
    </w:p>
    <w:p w:rsidR="00F51628" w:rsidRDefault="00F51628" w:rsidP="00F51628">
      <w:pPr>
        <w:pStyle w:val="StandardWeb"/>
      </w:pPr>
      <w:r>
        <w:t>definiert einen Bilanzdefekt relativ zu einer gewählten Bilanzstruktur.</w:t>
      </w:r>
    </w:p>
    <w:p w:rsidR="00F51628" w:rsidRDefault="00F51628" w:rsidP="00F51628">
      <w:pPr>
        <w:pStyle w:val="StandardWeb"/>
      </w:pPr>
      <w:r>
        <w:t>Daher gilt</w:t>
      </w:r>
    </w:p>
    <w:p w:rsidR="00F51628" w:rsidRDefault="00F51628" w:rsidP="00F51628">
      <w:pPr>
        <w:pStyle w:val="berschrift1"/>
      </w:pPr>
      <w:r>
        <w:t>[</w:t>
      </w:r>
      <w:r>
        <w:br/>
        <w:t>\boxed{</w:t>
      </w:r>
      <w:r>
        <w:br/>
        <w:t>\operatorname{Stat}</w:t>
      </w:r>
      <w:r>
        <w:br/>
        <w:t>(\operatorname{Defect}_B)</w:t>
      </w:r>
    </w:p>
    <w:p w:rsidR="00F51628" w:rsidRDefault="00F51628" w:rsidP="00F51628">
      <w:pPr>
        <w:pStyle w:val="StandardWeb"/>
      </w:pPr>
      <w:r>
        <w:t>\mathrm{Def/Op}.</w:t>
      </w:r>
      <w:r>
        <w:br/>
        <w:t>}</w:t>
      </w:r>
      <w:r>
        <w:br/>
        <w:t>\tag{3.11885}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\boxed{\operatorname{Stat}(\operatorname{Defect}_B)=\mathrm{Def/Op}.}</w:t>
      </w:r>
    </w:p>
    <w:p w:rsidR="00F51628" w:rsidRDefault="00E50336" w:rsidP="00F51628">
      <w:r>
        <w:pict>
          <v:rect id="_x0000_i4129" style="width:0;height:1.5pt" o:hralign="center" o:hrstd="t" o:hr="t" fillcolor="#a0a0a0" stroked="f"/>
        </w:pict>
      </w:r>
    </w:p>
    <w:p w:rsidR="00F51628" w:rsidRDefault="00F51628" w:rsidP="00F51628">
      <w:pPr>
        <w:pStyle w:val="berschrift1"/>
      </w:pPr>
      <w:r>
        <w:t>3.3.47.254 Status der Bilanzabweichung</w:t>
      </w:r>
    </w:p>
    <w:p w:rsidR="00F51628" w:rsidRDefault="00F51628" w:rsidP="00F51628">
      <w:pPr>
        <w:pStyle w:val="StandardWeb"/>
      </w:pPr>
      <w:r>
        <w:t>Die absolute Abweichung</w:t>
      </w:r>
    </w:p>
    <w:p w:rsidR="00F51628" w:rsidRDefault="00F51628" w:rsidP="00F51628">
      <w:pPr>
        <w:pStyle w:val="berschrift1"/>
      </w:pPr>
      <w:r>
        <w:t>[</w:t>
      </w:r>
      <w:r>
        <w:br/>
        <w:t>D_B</w:t>
      </w:r>
    </w:p>
    <w:p w:rsidR="00F51628" w:rsidRDefault="00F51628" w:rsidP="00F51628">
      <w:pPr>
        <w:pStyle w:val="StandardWeb"/>
      </w:pPr>
      <w:r>
        <w:t>|R_B|</w:t>
      </w:r>
      <w:r>
        <w:br/>
        <w:t>\tag{3.11886}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D_B=|R_B|</w:t>
      </w:r>
    </w:p>
    <w:p w:rsidR="00F51628" w:rsidRDefault="00F51628" w:rsidP="00F51628">
      <w:pPr>
        <w:pStyle w:val="StandardWeb"/>
      </w:pPr>
      <w:r>
        <w:t>ist vollständig aus dem Residuum bestimmt.</w:t>
      </w:r>
    </w:p>
    <w:p w:rsidR="00F51628" w:rsidRDefault="00F51628" w:rsidP="00F51628">
      <w:pPr>
        <w:pStyle w:val="StandardWeb"/>
      </w:pPr>
      <w:r>
        <w:t>Damit gilt</w:t>
      </w:r>
    </w:p>
    <w:p w:rsidR="00F51628" w:rsidRDefault="00F51628" w:rsidP="00F51628">
      <w:pPr>
        <w:pStyle w:val="berschrift1"/>
      </w:pPr>
      <w:r>
        <w:lastRenderedPageBreak/>
        <w:t>[</w:t>
      </w:r>
      <w:r>
        <w:br/>
        <w:t>\boxed{</w:t>
      </w:r>
      <w:r>
        <w:br/>
        <w:t>\operatorname{Stat}(D_B)</w:t>
      </w:r>
    </w:p>
    <w:p w:rsidR="00F51628" w:rsidRDefault="00F51628" w:rsidP="00F51628">
      <w:pPr>
        <w:pStyle w:val="StandardWeb"/>
      </w:pPr>
      <w:r>
        <w:t>\mathrm{Def/Op}.</w:t>
      </w:r>
      <w:r>
        <w:br/>
        <w:t>}</w:t>
      </w:r>
      <w:r>
        <w:br/>
        <w:t>\tag{3.11887}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\boxed{\operatorname{Stat}(D_B)=\mathrm{Def/Op}.}</w:t>
      </w:r>
    </w:p>
    <w:p w:rsidR="00F51628" w:rsidRDefault="00E50336" w:rsidP="00F51628">
      <w:r>
        <w:pict>
          <v:rect id="_x0000_i4130" style="width:0;height:1.5pt" o:hralign="center" o:hrstd="t" o:hr="t" fillcolor="#a0a0a0" stroked="f"/>
        </w:pict>
      </w:r>
    </w:p>
    <w:p w:rsidR="00F51628" w:rsidRDefault="00F51628" w:rsidP="00F51628">
      <w:pPr>
        <w:pStyle w:val="berschrift1"/>
      </w:pPr>
      <w:r>
        <w:t>3.3.47.255 Status der relativen Bilanzabweichung</w:t>
      </w:r>
    </w:p>
    <w:p w:rsidR="00F51628" w:rsidRDefault="00F51628" w:rsidP="00F51628">
      <w:pPr>
        <w:pStyle w:val="StandardWeb"/>
      </w:pPr>
      <w:r>
        <w:t>Für</w:t>
      </w:r>
    </w:p>
    <w:p w:rsidR="00F51628" w:rsidRDefault="00F51628" w:rsidP="00F51628">
      <w:pPr>
        <w:pStyle w:val="berschrift1"/>
      </w:pPr>
      <w:r>
        <w:t>[</w:t>
      </w:r>
      <w:r>
        <w:br/>
        <w:t>D_B^{\mathrm{rel}}</w:t>
      </w:r>
    </w:p>
    <w:p w:rsidR="00F51628" w:rsidRDefault="00F51628" w:rsidP="00F51628">
      <w:pPr>
        <w:pStyle w:val="StandardWeb"/>
      </w:pPr>
      <w:r>
        <w:t>\frac{|R_B|}</w:t>
      </w:r>
      <w:r>
        <w:br/>
        <w:t>{Q_{\mathrm{ref}}}</w:t>
      </w:r>
      <w:r>
        <w:br/>
        <w:t>\tag{3.11888}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D_B^{\mathrm{rel}}=\frac{|R_B|}{Q_{\mathrm{ref}}}</w:t>
      </w:r>
    </w:p>
    <w:p w:rsidR="00F51628" w:rsidRDefault="00F51628" w:rsidP="00F51628">
      <w:pPr>
        <w:pStyle w:val="StandardWeb"/>
      </w:pPr>
      <w:r>
        <w:t>gilt</w:t>
      </w:r>
    </w:p>
    <w:p w:rsidR="00F51628" w:rsidRDefault="00F51628" w:rsidP="00F51628">
      <w:pPr>
        <w:pStyle w:val="berschrift1"/>
      </w:pPr>
      <w:r>
        <w:t>[</w:t>
      </w:r>
      <w:r>
        <w:br/>
        <w:t>\boxed{</w:t>
      </w:r>
      <w:r>
        <w:br/>
        <w:t>\operatorname{Stat}</w:t>
      </w:r>
      <w:r>
        <w:br/>
        <w:t>(D_B^{\mathrm{rel}})</w:t>
      </w:r>
    </w:p>
    <w:p w:rsidR="00F51628" w:rsidRDefault="00F51628" w:rsidP="00F51628">
      <w:pPr>
        <w:pStyle w:val="StandardWeb"/>
      </w:pPr>
      <w:r>
        <w:t>\mathrm{Def/Op/Mod}.</w:t>
      </w:r>
      <w:r>
        <w:br/>
        <w:t>}</w:t>
      </w:r>
      <w:r>
        <w:br/>
        <w:t>\tag{3.11889}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lastRenderedPageBreak/>
        <w:t>\boxed{\operatorname{Stat}(D_B^{\mathrm{rel}})=\mathrm{Def/Op/Mod}.}</w:t>
      </w:r>
    </w:p>
    <w:p w:rsidR="00F51628" w:rsidRDefault="00F51628" w:rsidP="00F51628">
      <w:pPr>
        <w:pStyle w:val="StandardWeb"/>
      </w:pPr>
      <w:r>
        <w:t>Der zusätzliche Modellanteil entsteht durch die Wahl der Referenzgröße.</w:t>
      </w:r>
    </w:p>
    <w:p w:rsidR="00F51628" w:rsidRDefault="00E50336" w:rsidP="00F51628">
      <w:r>
        <w:pict>
          <v:rect id="_x0000_i4131" style="width:0;height:1.5pt" o:hralign="center" o:hrstd="t" o:hr="t" fillcolor="#a0a0a0" stroked="f"/>
        </w:pict>
      </w:r>
    </w:p>
    <w:p w:rsidR="00F51628" w:rsidRDefault="00F51628" w:rsidP="00F51628">
      <w:pPr>
        <w:pStyle w:val="berschrift1"/>
      </w:pPr>
      <w:r>
        <w:t>3.3.47.256 Status approximativer Bilanzgeschlossenheit</w:t>
      </w:r>
    </w:p>
    <w:p w:rsidR="00F51628" w:rsidRDefault="00F51628" w:rsidP="00F51628">
      <w:pPr>
        <w:pStyle w:val="StandardWeb"/>
      </w:pPr>
      <w:r>
        <w:t>Für</w:t>
      </w:r>
    </w:p>
    <w:p w:rsidR="00F51628" w:rsidRDefault="00F51628" w:rsidP="00F51628">
      <w:pPr>
        <w:pStyle w:val="StandardWeb"/>
      </w:pPr>
      <w:r>
        <w:t>[</w:t>
      </w:r>
      <w:r>
        <w:br/>
        <w:t>|R_B|</w:t>
      </w:r>
      <w:r>
        <w:br/>
        <w:t>\leq</w:t>
      </w:r>
      <w:r>
        <w:br/>
        <w:t>\varepsilon_B</w:t>
      </w:r>
      <w:r>
        <w:br/>
        <w:t>\tag{3.11890}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|R_B|\leq\varepsilon_B</w:t>
      </w:r>
    </w:p>
    <w:p w:rsidR="00F51628" w:rsidRDefault="00F51628" w:rsidP="00F51628">
      <w:pPr>
        <w:pStyle w:val="StandardWeb"/>
      </w:pPr>
      <w:r>
        <w:t>gilt</w:t>
      </w:r>
    </w:p>
    <w:p w:rsidR="00F51628" w:rsidRDefault="00F51628" w:rsidP="00F51628">
      <w:pPr>
        <w:pStyle w:val="berschrift1"/>
      </w:pPr>
      <w:r>
        <w:t>[</w:t>
      </w:r>
      <w:r>
        <w:br/>
        <w:t>\boxed{</w:t>
      </w:r>
      <w:r>
        <w:br/>
        <w:t>\operatorname{Stat}</w:t>
      </w:r>
      <w:r>
        <w:br/>
        <w:t>(\operatorname{Bal}^{\varepsilon_B})</w:t>
      </w:r>
    </w:p>
    <w:p w:rsidR="00F51628" w:rsidRDefault="00F51628" w:rsidP="00F51628">
      <w:pPr>
        <w:pStyle w:val="StandardWeb"/>
      </w:pPr>
      <w:r>
        <w:t>\mathrm{Def/Op/Mod}.</w:t>
      </w:r>
      <w:r>
        <w:br/>
        <w:t>}</w:t>
      </w:r>
      <w:r>
        <w:br/>
        <w:t>\tag{3.11891}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\boxed{\operatorname{Stat}(\operatorname{Bal}^{\varepsilon_B})=\mathrm{Def/Op/Mod}.}</w:t>
      </w:r>
    </w:p>
    <w:p w:rsidR="00F51628" w:rsidRDefault="00E50336" w:rsidP="00F51628">
      <w:r>
        <w:pict>
          <v:rect id="_x0000_i4132" style="width:0;height:1.5pt" o:hralign="center" o:hrstd="t" o:hr="t" fillcolor="#a0a0a0" stroked="f"/>
        </w:pict>
      </w:r>
    </w:p>
    <w:p w:rsidR="00F51628" w:rsidRDefault="00F51628" w:rsidP="00F51628">
      <w:pPr>
        <w:pStyle w:val="berschrift1"/>
      </w:pPr>
      <w:r>
        <w:t>3.3.47.257 Status approximativer Erhaltung</w:t>
      </w:r>
    </w:p>
    <w:p w:rsidR="00F51628" w:rsidRDefault="00F51628" w:rsidP="00F51628">
      <w:pPr>
        <w:pStyle w:val="StandardWeb"/>
      </w:pPr>
      <w:r>
        <w:t>Für</w:t>
      </w:r>
    </w:p>
    <w:p w:rsidR="00F51628" w:rsidRDefault="00F51628" w:rsidP="00F51628">
      <w:pPr>
        <w:pStyle w:val="StandardWeb"/>
      </w:pPr>
      <w:r>
        <w:t>[</w:t>
      </w:r>
      <w:r>
        <w:br/>
        <w:t>|\Delta_TQ_F|</w:t>
      </w:r>
      <w:r>
        <w:br/>
        <w:t>\leq</w:t>
      </w:r>
      <w:r>
        <w:br/>
      </w:r>
      <w:r>
        <w:lastRenderedPageBreak/>
        <w:t>\varepsilon_Q</w:t>
      </w:r>
      <w:r>
        <w:br/>
        <w:t>\tag{3.11892}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|\Delta_TQ_F|\leq\varepsilon_Q</w:t>
      </w:r>
    </w:p>
    <w:p w:rsidR="00F51628" w:rsidRDefault="00F51628" w:rsidP="00F51628">
      <w:pPr>
        <w:pStyle w:val="StandardWeb"/>
      </w:pPr>
      <w:r>
        <w:t>gilt</w:t>
      </w:r>
    </w:p>
    <w:p w:rsidR="00F51628" w:rsidRDefault="00F51628" w:rsidP="00F51628">
      <w:pPr>
        <w:pStyle w:val="berschrift1"/>
      </w:pPr>
      <w:r>
        <w:t>[</w:t>
      </w:r>
      <w:r>
        <w:br/>
        <w:t>\boxed{</w:t>
      </w:r>
      <w:r>
        <w:br/>
        <w:t>\operatorname{Stat}</w:t>
      </w:r>
      <w:r>
        <w:br/>
        <w:t>(\operatorname{Cons}^{\varepsilon_Q}_Q)</w:t>
      </w:r>
    </w:p>
    <w:p w:rsidR="00F51628" w:rsidRDefault="00F51628" w:rsidP="00F51628">
      <w:pPr>
        <w:pStyle w:val="StandardWeb"/>
      </w:pPr>
      <w:r>
        <w:t>\mathrm{Def/Op/Mod}.</w:t>
      </w:r>
      <w:r>
        <w:br/>
        <w:t>}</w:t>
      </w:r>
      <w:r>
        <w:br/>
        <w:t>\tag{3.11893}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\boxed{\operatorname{Stat}(\operatorname{Cons}^{\varepsilon_Q}_Q)=\mathrm{Def/Op/Mod}.}</w:t>
      </w:r>
    </w:p>
    <w:p w:rsidR="00F51628" w:rsidRDefault="00E50336" w:rsidP="00F51628">
      <w:r>
        <w:pict>
          <v:rect id="_x0000_i4133" style="width:0;height:1.5pt" o:hralign="center" o:hrstd="t" o:hr="t" fillcolor="#a0a0a0" stroked="f"/>
        </w:pict>
      </w:r>
    </w:p>
    <w:p w:rsidR="00F51628" w:rsidRDefault="00F51628" w:rsidP="00F51628">
      <w:pPr>
        <w:pStyle w:val="berschrift1"/>
      </w:pPr>
      <w:r>
        <w:t>3.3.47.258 Status des Netzwerkresidualvektors</w:t>
      </w:r>
    </w:p>
    <w:p w:rsidR="00F51628" w:rsidRDefault="00F51628" w:rsidP="00F51628">
      <w:pPr>
        <w:pStyle w:val="StandardWeb"/>
      </w:pPr>
      <w:r>
        <w:t>Der Residualvektor</w:t>
      </w:r>
    </w:p>
    <w:p w:rsidR="00F51628" w:rsidRDefault="00F51628" w:rsidP="00F51628">
      <w:pPr>
        <w:pStyle w:val="berschrift1"/>
      </w:pPr>
      <w:r>
        <w:t>[</w:t>
      </w:r>
      <w:r>
        <w:br/>
        <w:t>\mathbf R_B</w:t>
      </w:r>
    </w:p>
    <w:p w:rsidR="00F51628" w:rsidRDefault="00F51628" w:rsidP="00F51628">
      <w:pPr>
        <w:pStyle w:val="berschrift2"/>
      </w:pPr>
      <w:r>
        <w:t>\Delta\mathbf Q</w:t>
      </w:r>
    </w:p>
    <w:p w:rsidR="00F51628" w:rsidRDefault="00F51628" w:rsidP="00F51628">
      <w:pPr>
        <w:pStyle w:val="berschrift2"/>
      </w:pPr>
      <w:r>
        <w:t>\boldsymbol\Sigma</w:t>
      </w:r>
    </w:p>
    <w:p w:rsidR="00F51628" w:rsidRDefault="00F51628" w:rsidP="00F51628">
      <w:pPr>
        <w:pStyle w:val="StandardWeb"/>
      </w:pPr>
      <w:r>
        <w:t>B_Q\mathbf j_Q</w:t>
      </w:r>
      <w:r>
        <w:br/>
        <w:t>\tag{3.11894}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\mathbf R_B=\Delta\mathbf Q-\boldsymbol\Sigma-B_Q\mathbf j_Q</w:t>
      </w:r>
    </w:p>
    <w:p w:rsidR="00F51628" w:rsidRDefault="00F51628" w:rsidP="00F51628">
      <w:pPr>
        <w:pStyle w:val="StandardWeb"/>
      </w:pPr>
      <w:r>
        <w:t>ist definitorisch und operational.</w:t>
      </w:r>
    </w:p>
    <w:p w:rsidR="00F51628" w:rsidRDefault="00F51628" w:rsidP="00F51628">
      <w:pPr>
        <w:pStyle w:val="StandardWeb"/>
      </w:pPr>
      <w:r>
        <w:lastRenderedPageBreak/>
        <w:t>Daher gilt</w:t>
      </w:r>
    </w:p>
    <w:p w:rsidR="00F51628" w:rsidRDefault="00F51628" w:rsidP="00F51628">
      <w:pPr>
        <w:pStyle w:val="berschrift1"/>
      </w:pPr>
      <w:r>
        <w:t>[</w:t>
      </w:r>
      <w:r>
        <w:br/>
        <w:t>\boxed{</w:t>
      </w:r>
      <w:r>
        <w:br/>
        <w:t>\operatorname{Stat}(\mathbf R_B)</w:t>
      </w:r>
    </w:p>
    <w:p w:rsidR="00F51628" w:rsidRDefault="00F51628" w:rsidP="00F51628">
      <w:pPr>
        <w:pStyle w:val="StandardWeb"/>
      </w:pPr>
      <w:r>
        <w:t>\mathrm{Def/Op}.</w:t>
      </w:r>
      <w:r>
        <w:br/>
        <w:t>}</w:t>
      </w:r>
      <w:r>
        <w:br/>
        <w:t>\tag{3.11895}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\boxed{\operatorname{Stat}(\mathbf R_B)=\mathrm{Def/Op}.}</w:t>
      </w:r>
    </w:p>
    <w:p w:rsidR="00F51628" w:rsidRDefault="00E50336" w:rsidP="00F51628">
      <w:r>
        <w:pict>
          <v:rect id="_x0000_i4134" style="width:0;height:1.5pt" o:hralign="center" o:hrstd="t" o:hr="t" fillcolor="#a0a0a0" stroked="f"/>
        </w:pict>
      </w:r>
    </w:p>
    <w:p w:rsidR="00F51628" w:rsidRDefault="00F51628" w:rsidP="00F51628">
      <w:pPr>
        <w:pStyle w:val="berschrift1"/>
      </w:pPr>
      <w:r>
        <w:t>3.3.47.259 Status des Netzwerkbilanzfehlers</w:t>
      </w:r>
    </w:p>
    <w:p w:rsidR="00F51628" w:rsidRDefault="00F51628" w:rsidP="00F51628">
      <w:pPr>
        <w:pStyle w:val="StandardWeb"/>
      </w:pPr>
      <w:r>
        <w:t>Für</w:t>
      </w:r>
    </w:p>
    <w:p w:rsidR="00F51628" w:rsidRDefault="00F51628" w:rsidP="00F51628">
      <w:pPr>
        <w:pStyle w:val="berschrift1"/>
      </w:pPr>
      <w:r>
        <w:t>[</w:t>
      </w:r>
      <w:r>
        <w:br/>
        <w:t>E_{\mathcal N}</w:t>
      </w:r>
    </w:p>
    <w:p w:rsidR="00F51628" w:rsidRDefault="00F51628" w:rsidP="00F51628">
      <w:pPr>
        <w:pStyle w:val="StandardWeb"/>
      </w:pPr>
      <w:r>
        <w:t>|\mathbf R_B|</w:t>
      </w:r>
      <w:r>
        <w:br/>
        <w:t>\tag{3.11896}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E_{\mathcal N}=\|\mathbf R_B\|</w:t>
      </w:r>
    </w:p>
    <w:p w:rsidR="00F51628" w:rsidRDefault="00F51628" w:rsidP="00F51628">
      <w:pPr>
        <w:pStyle w:val="StandardWeb"/>
      </w:pPr>
      <w:r>
        <w:t>gilt</w:t>
      </w:r>
    </w:p>
    <w:p w:rsidR="00F51628" w:rsidRDefault="00F51628" w:rsidP="00F51628">
      <w:pPr>
        <w:pStyle w:val="berschrift1"/>
      </w:pPr>
      <w:r>
        <w:t>[</w:t>
      </w:r>
      <w:r>
        <w:br/>
        <w:t>\boxed{</w:t>
      </w:r>
      <w:r>
        <w:br/>
        <w:t>\operatorname{Stat}</w:t>
      </w:r>
      <w:r>
        <w:br/>
        <w:t>(E_{\mathcal N})</w:t>
      </w:r>
    </w:p>
    <w:p w:rsidR="00F51628" w:rsidRDefault="00F51628" w:rsidP="00F51628">
      <w:pPr>
        <w:pStyle w:val="StandardWeb"/>
      </w:pPr>
      <w:r>
        <w:t>\mathrm{Def/Op/Mod}.</w:t>
      </w:r>
      <w:r>
        <w:br/>
        <w:t>}</w:t>
      </w:r>
      <w:r>
        <w:br/>
        <w:t>\tag{3.11897}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lastRenderedPageBreak/>
        <w:t>\boxed{\operatorname{Stat}(E_{\mathcal N})=\mathrm{Def/Op/Mod}.}</w:t>
      </w:r>
    </w:p>
    <w:p w:rsidR="00F51628" w:rsidRDefault="00F51628" w:rsidP="00F51628">
      <w:pPr>
        <w:pStyle w:val="StandardWeb"/>
      </w:pPr>
      <w:r>
        <w:t>Der Modellanteil entsteht durch die Wahl der Norm.</w:t>
      </w:r>
    </w:p>
    <w:p w:rsidR="00F51628" w:rsidRDefault="00E50336" w:rsidP="00F51628">
      <w:r>
        <w:pict>
          <v:rect id="_x0000_i4135" style="width:0;height:1.5pt" o:hralign="center" o:hrstd="t" o:hr="t" fillcolor="#a0a0a0" stroked="f"/>
        </w:pict>
      </w:r>
    </w:p>
    <w:p w:rsidR="00F51628" w:rsidRDefault="00F51628" w:rsidP="00F51628">
      <w:pPr>
        <w:pStyle w:val="berschrift1"/>
      </w:pPr>
      <w:r>
        <w:t>3.3.47.260 Status der Bilanzfehlernorm</w:t>
      </w:r>
    </w:p>
    <w:p w:rsidR="00F51628" w:rsidRDefault="00F51628" w:rsidP="00F51628">
      <w:pPr>
        <w:pStyle w:val="StandardWeb"/>
      </w:pPr>
      <w:r>
        <w:t>Die Norm</w:t>
      </w:r>
    </w:p>
    <w:p w:rsidR="00F51628" w:rsidRDefault="00F51628" w:rsidP="00F51628">
      <w:pPr>
        <w:pStyle w:val="StandardWeb"/>
      </w:pPr>
      <w:r>
        <w:t>[</w:t>
      </w:r>
      <w:r>
        <w:br/>
        <w:t>|\cdot|_B</w:t>
      </w:r>
      <w:r>
        <w:br/>
        <w:t>\tag{3.11898}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\|\cdot\|_B</w:t>
      </w:r>
    </w:p>
    <w:p w:rsidR="00F51628" w:rsidRDefault="00F51628" w:rsidP="00F51628">
      <w:pPr>
        <w:pStyle w:val="StandardWeb"/>
      </w:pPr>
      <w:r>
        <w:t>ist eine operational festgelegte Modellentscheidung.</w:t>
      </w:r>
    </w:p>
    <w:p w:rsidR="00F51628" w:rsidRDefault="00F51628" w:rsidP="00F51628">
      <w:pPr>
        <w:pStyle w:val="StandardWeb"/>
      </w:pPr>
      <w:r>
        <w:t>Damit gilt</w:t>
      </w:r>
    </w:p>
    <w:p w:rsidR="00F51628" w:rsidRDefault="00F51628" w:rsidP="00F51628">
      <w:pPr>
        <w:pStyle w:val="berschrift1"/>
      </w:pPr>
      <w:r>
        <w:t>[</w:t>
      </w:r>
      <w:r>
        <w:br/>
        <w:t>\boxed{</w:t>
      </w:r>
      <w:r>
        <w:br/>
        <w:t>\operatorname{Stat}</w:t>
      </w:r>
      <w:r>
        <w:br/>
        <w:t>(|\cdot|_B)</w:t>
      </w:r>
    </w:p>
    <w:p w:rsidR="00F51628" w:rsidRDefault="00F51628" w:rsidP="00F51628">
      <w:pPr>
        <w:pStyle w:val="StandardWeb"/>
      </w:pPr>
      <w:r>
        <w:t>\mathrm{Op/Mod}.</w:t>
      </w:r>
      <w:r>
        <w:br/>
        <w:t>}</w:t>
      </w:r>
      <w:r>
        <w:br/>
        <w:t>\tag{3.11899}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\boxed{\operatorname{Stat}(\|\cdot\|_B)=\mathrm{Op/Mod}.}</w:t>
      </w:r>
    </w:p>
    <w:p w:rsidR="00F51628" w:rsidRDefault="00E50336" w:rsidP="00F51628">
      <w:r>
        <w:pict>
          <v:rect id="_x0000_i4136" style="width:0;height:1.5pt" o:hralign="center" o:hrstd="t" o:hr="t" fillcolor="#a0a0a0" stroked="f"/>
        </w:pict>
      </w:r>
    </w:p>
    <w:p w:rsidR="00F51628" w:rsidRDefault="00F51628" w:rsidP="00F51628">
      <w:pPr>
        <w:pStyle w:val="berschrift1"/>
      </w:pPr>
      <w:r>
        <w:t>3.3.47.261 Status der Bilanzresidualzerlegung</w:t>
      </w:r>
    </w:p>
    <w:p w:rsidR="00F51628" w:rsidRDefault="00F51628" w:rsidP="00F51628">
      <w:pPr>
        <w:pStyle w:val="StandardWeb"/>
      </w:pPr>
      <w:r>
        <w:t>Die Darstellung</w:t>
      </w:r>
    </w:p>
    <w:p w:rsidR="00F51628" w:rsidRDefault="00F51628" w:rsidP="00F51628">
      <w:pPr>
        <w:pStyle w:val="berschrift1"/>
      </w:pPr>
      <w:r>
        <w:t>[</w:t>
      </w:r>
      <w:r>
        <w:br/>
        <w:t>R_B</w:t>
      </w:r>
    </w:p>
    <w:p w:rsidR="00F51628" w:rsidRDefault="00F51628" w:rsidP="00F51628">
      <w:pPr>
        <w:pStyle w:val="StandardWeb"/>
      </w:pPr>
      <w:r>
        <w:lastRenderedPageBreak/>
        <w:t>\sum_{\alpha}</w:t>
      </w:r>
      <w:r>
        <w:br/>
        <w:t>R_B^{(\alpha)}</w:t>
      </w:r>
      <w:r>
        <w:br/>
        <w:t>\tag{3.11900}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R_B=\sum_{\alpha}R_B^{(\alpha)}</w:t>
      </w:r>
    </w:p>
    <w:p w:rsidR="00F51628" w:rsidRDefault="00F51628" w:rsidP="00F51628">
      <w:pPr>
        <w:pStyle w:val="StandardWeb"/>
      </w:pPr>
      <w:r>
        <w:t>ist nicht eindeutig durch das Gesamtresiduum bestimmt.</w:t>
      </w:r>
    </w:p>
    <w:p w:rsidR="00F51628" w:rsidRDefault="00F51628" w:rsidP="00F51628">
      <w:pPr>
        <w:pStyle w:val="StandardWeb"/>
      </w:pPr>
      <w:r>
        <w:t>Daher gilt</w:t>
      </w:r>
    </w:p>
    <w:p w:rsidR="00F51628" w:rsidRDefault="00F51628" w:rsidP="00F51628">
      <w:pPr>
        <w:pStyle w:val="berschrift1"/>
      </w:pPr>
      <w:r>
        <w:t>[</w:t>
      </w:r>
      <w:r>
        <w:br/>
        <w:t>\boxed{</w:t>
      </w:r>
      <w:r>
        <w:br/>
        <w:t>\operatorname{Stat}</w:t>
      </w:r>
      <w:r>
        <w:br/>
        <w:t>(\operatorname{Dec}R_B)</w:t>
      </w:r>
    </w:p>
    <w:p w:rsidR="00F51628" w:rsidRDefault="00F51628" w:rsidP="00F51628">
      <w:pPr>
        <w:pStyle w:val="StandardWeb"/>
      </w:pPr>
      <w:r>
        <w:t>\mathrm{Def/Mod}.</w:t>
      </w:r>
      <w:r>
        <w:br/>
        <w:t>}</w:t>
      </w:r>
      <w:r>
        <w:br/>
        <w:t>\tag{3.11901}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\boxed{\operatorname{Stat}(\operatorname{Dec}R_B)=\mathrm{Def/Mod}.}</w:t>
      </w:r>
    </w:p>
    <w:p w:rsidR="00F51628" w:rsidRDefault="00E50336" w:rsidP="00F51628">
      <w:r>
        <w:pict>
          <v:rect id="_x0000_i4137" style="width:0;height:1.5pt" o:hralign="center" o:hrstd="t" o:hr="t" fillcolor="#a0a0a0" stroked="f"/>
        </w:pict>
      </w:r>
    </w:p>
    <w:p w:rsidR="00F51628" w:rsidRDefault="00F51628" w:rsidP="00F51628">
      <w:pPr>
        <w:pStyle w:val="berschrift1"/>
      </w:pPr>
      <w:r>
        <w:t>3.3.47.262 Kompakte Statusmatrix</w:t>
      </w:r>
    </w:p>
    <w:p w:rsidR="00F51628" w:rsidRDefault="00F51628" w:rsidP="00F51628">
      <w:pPr>
        <w:pStyle w:val="StandardWeb"/>
      </w:pPr>
      <w:r>
        <w:t>Die vollständige Klassifikation kann ich nun kompakt schreiben als</w:t>
      </w:r>
    </w:p>
    <w:p w:rsidR="00F51628" w:rsidRDefault="00F51628" w:rsidP="00F51628">
      <w:pPr>
        <w:pStyle w:val="berschrift1"/>
      </w:pPr>
      <w:r>
        <w:t>[</w:t>
      </w:r>
      <w:r>
        <w:br/>
        <w:t>\mathfrak M_{3.3.47}</w:t>
      </w:r>
    </w:p>
    <w:p w:rsidR="00F51628" w:rsidRDefault="00F51628" w:rsidP="00F51628">
      <w:pPr>
        <w:pStyle w:val="StandardWeb"/>
      </w:pPr>
      <w:r>
        <w:t>\left(</w:t>
      </w:r>
      <w:r>
        <w:br/>
        <w:t>\mathcal O_{3.3.47},</w:t>
      </w:r>
      <w:r>
        <w:br/>
        <w:t>\operatorname{Stat}</w:t>
      </w:r>
      <w:r>
        <w:br/>
        <w:t>\right),</w:t>
      </w:r>
      <w:r>
        <w:br/>
        <w:t>\tag{3.11902}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\mathfrak M_{3.3.47}=\left(\mathcal O_{3.3.47},\operatorname{Stat}\right)</w:t>
      </w:r>
    </w:p>
    <w:p w:rsidR="00F51628" w:rsidRDefault="00F51628" w:rsidP="00F51628">
      <w:pPr>
        <w:pStyle w:val="StandardWeb"/>
      </w:pPr>
      <w:r>
        <w:lastRenderedPageBreak/>
        <w:t>wobei (\mathcal O_{3.3.47}) die Menge aller in diesem Abschnitt eingeführten Theorieobjekte bezeichnet.</w:t>
      </w:r>
    </w:p>
    <w:p w:rsidR="00F51628" w:rsidRDefault="00E50336" w:rsidP="00F51628">
      <w:r>
        <w:pict>
          <v:rect id="_x0000_i4138" style="width:0;height:1.5pt" o:hralign="center" o:hrstd="t" o:hr="t" fillcolor="#a0a0a0" stroked="f"/>
        </w:pict>
      </w:r>
    </w:p>
    <w:p w:rsidR="00F51628" w:rsidRDefault="00F51628" w:rsidP="00F51628">
      <w:pPr>
        <w:pStyle w:val="berschrift1"/>
      </w:pPr>
      <w:r>
        <w:t>3.3.47.263 Definition 3.3.291 – Statusmatrix von Abschnitt 3.3.47</w:t>
      </w:r>
    </w:p>
    <w:p w:rsidR="00F51628" w:rsidRDefault="00F51628" w:rsidP="00F51628">
      <w:pPr>
        <w:pStyle w:val="berschrift3"/>
      </w:pPr>
      <w:r>
        <w:t>Definition 3.3.291</w:t>
      </w:r>
    </w:p>
    <w:p w:rsidR="00F51628" w:rsidRDefault="00F51628" w:rsidP="00F51628">
      <w:pPr>
        <w:pStyle w:val="StandardWeb"/>
      </w:pPr>
      <w:r>
        <w:t xml:space="preserve">Die </w:t>
      </w:r>
      <w:r>
        <w:rPr>
          <w:rStyle w:val="Fett"/>
        </w:rPr>
        <w:t>Statusmatrix von Abschnitt 3.3.47</w:t>
      </w:r>
      <w:r>
        <w:t xml:space="preserve"> ist die Zuordnung</w:t>
      </w:r>
    </w:p>
    <w:p w:rsidR="00F51628" w:rsidRDefault="00F51628" w:rsidP="00F51628">
      <w:pPr>
        <w:pStyle w:val="StandardWeb"/>
      </w:pPr>
      <w:r>
        <w:t>[</w:t>
      </w:r>
      <w:r>
        <w:br/>
        <w:t>\boxed{</w:t>
      </w:r>
      <w:r>
        <w:br/>
        <w:t>\mathfrak M_{3.3.47}</w:t>
      </w:r>
      <w:r>
        <w:br/>
        <w:t>:</w:t>
      </w:r>
      <w:r>
        <w:br/>
        <w:t>\mathcal O_{3.3.47}</w:t>
      </w:r>
      <w:r>
        <w:br/>
        <w:t>\rightarrow</w:t>
      </w:r>
      <w:r>
        <w:br/>
        <w:t>\mathcal P</w:t>
      </w:r>
      <w:r>
        <w:br/>
        <w:t>\left(</w:t>
      </w:r>
      <w:r>
        <w:br/>
        <w:t>\mathcal K_{\mathrm{Stat}}</w:t>
      </w:r>
      <w:r>
        <w:br/>
        <w:t>\right),</w:t>
      </w:r>
      <w:r>
        <w:br/>
        <w:t>}</w:t>
      </w:r>
      <w:r>
        <w:br/>
        <w:t>\tag{3.11903}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\boxed{\mathfrak M_{3.3.47}:\mathcal O_{3.3.47}\rightarrow\mathcal P\left(\mathcal K_{\mathrm{Stat}}\right),}</w:t>
      </w:r>
    </w:p>
    <w:p w:rsidR="00F51628" w:rsidRDefault="00F51628" w:rsidP="00F51628">
      <w:pPr>
        <w:pStyle w:val="StandardWeb"/>
      </w:pPr>
      <w:r>
        <w:t>die jedem in Abschnitt 3.3.47 eingeführten Objekt seinen endgültigen wissenschaftlichen Status zuordnet.</w:t>
      </w:r>
    </w:p>
    <w:p w:rsidR="00F51628" w:rsidRDefault="00E50336" w:rsidP="00F51628">
      <w:r>
        <w:pict>
          <v:rect id="_x0000_i4139" style="width:0;height:1.5pt" o:hralign="center" o:hrstd="t" o:hr="t" fillcolor="#a0a0a0" stroked="f"/>
        </w:pict>
      </w:r>
    </w:p>
    <w:p w:rsidR="00F51628" w:rsidRDefault="00F51628" w:rsidP="00F51628">
      <w:pPr>
        <w:pStyle w:val="berschrift1"/>
      </w:pPr>
      <w:r>
        <w:t>3.3.47.264 Primäraxiom-Spalte der Statusmatrix</w:t>
      </w:r>
    </w:p>
    <w:p w:rsidR="00F51628" w:rsidRDefault="00F51628" w:rsidP="00F51628">
      <w:pPr>
        <w:pStyle w:val="StandardWeb"/>
      </w:pPr>
      <w:r>
        <w:t>Für die Primäraxiomprüfung ist insbesondere die Teilmenge</w:t>
      </w:r>
    </w:p>
    <w:p w:rsidR="00F51628" w:rsidRDefault="00F51628" w:rsidP="00F51628">
      <w:pPr>
        <w:pStyle w:val="berschrift1"/>
      </w:pPr>
      <w:r>
        <w:t>[</w:t>
      </w:r>
      <w:r>
        <w:br/>
        <w:t>\mathcal O_{\mathrm{Ax}}</w:t>
      </w:r>
    </w:p>
    <w:p w:rsidR="00F51628" w:rsidRDefault="00F51628" w:rsidP="00F51628">
      <w:pPr>
        <w:pStyle w:val="StandardWeb"/>
      </w:pPr>
      <w:r>
        <w:t>\left{</w:t>
      </w:r>
      <w:r>
        <w:br/>
        <w:t>X\in\mathcal O_{3.3.47}</w:t>
      </w:r>
      <w:r>
        <w:br/>
        <w:t>:</w:t>
      </w:r>
      <w:r>
        <w:br/>
        <w:t>\mathrm{Ax}</w:t>
      </w:r>
      <w:r>
        <w:br/>
        <w:t>\in</w:t>
      </w:r>
      <w:r>
        <w:br/>
        <w:t>\mathfrak M_{3.3.47}(X)</w:t>
      </w:r>
      <w:r>
        <w:br/>
      </w:r>
      <w:r>
        <w:lastRenderedPageBreak/>
        <w:t>\right}</w:t>
      </w:r>
      <w:r>
        <w:br/>
        <w:t>\tag{3.11904}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\mathcal O_{\mathrm{Ax}}=\left\{X\in\mathcal O_{3.3.47}:\mathrm{Ax}\in\mathfrak M_{3.3.47}(X)\right\}</w:t>
      </w:r>
    </w:p>
    <w:p w:rsidR="00F51628" w:rsidRDefault="00F51628" w:rsidP="00F51628">
      <w:pPr>
        <w:pStyle w:val="StandardWeb"/>
      </w:pPr>
      <w:r>
        <w:t>entscheidend.</w:t>
      </w:r>
    </w:p>
    <w:p w:rsidR="00F51628" w:rsidRDefault="00F51628" w:rsidP="00F51628">
      <w:pPr>
        <w:pStyle w:val="StandardWeb"/>
      </w:pPr>
      <w:r>
        <w:t>Die bisherigen Einzelprüfungen ergeben</w:t>
      </w:r>
    </w:p>
    <w:p w:rsidR="00F51628" w:rsidRDefault="00F51628" w:rsidP="00F51628">
      <w:pPr>
        <w:pStyle w:val="berschrift1"/>
      </w:pPr>
      <w:r>
        <w:t>[</w:t>
      </w:r>
      <w:r>
        <w:br/>
        <w:t>\mathcal O_{\mathrm{Ax}}</w:t>
      </w:r>
    </w:p>
    <w:p w:rsidR="00F51628" w:rsidRDefault="00F51628" w:rsidP="00F51628">
      <w:pPr>
        <w:pStyle w:val="StandardWeb"/>
      </w:pPr>
      <w:r>
        <w:t>\varnothing.</w:t>
      </w:r>
      <w:r>
        <w:br/>
        <w:t>\tag{3.11905}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\mathcal O_{\mathrm{Ax}}=\varnothing</w:t>
      </w:r>
    </w:p>
    <w:p w:rsidR="00F51628" w:rsidRDefault="00E50336" w:rsidP="00F51628">
      <w:r>
        <w:pict>
          <v:rect id="_x0000_i4140" style="width:0;height:1.5pt" o:hralign="center" o:hrstd="t" o:hr="t" fillcolor="#a0a0a0" stroked="f"/>
        </w:pict>
      </w:r>
    </w:p>
    <w:p w:rsidR="00F51628" w:rsidRDefault="00F51628" w:rsidP="00F51628">
      <w:pPr>
        <w:pStyle w:val="berschrift1"/>
      </w:pPr>
      <w:r>
        <w:t>3.3.47.265 Satz 3.3.118 – Keine in 3.3.47 eingeführte Erhaltungs- oder Bilanzstruktur besitzt Primäraxiomstatus</w:t>
      </w:r>
    </w:p>
    <w:p w:rsidR="00F51628" w:rsidRDefault="00F51628" w:rsidP="00F51628">
      <w:pPr>
        <w:pStyle w:val="berschrift3"/>
      </w:pPr>
      <w:r>
        <w:t>Satz 3.3.118</w:t>
      </w:r>
    </w:p>
    <w:p w:rsidR="00F51628" w:rsidRDefault="00F51628" w:rsidP="00F51628">
      <w:pPr>
        <w:pStyle w:val="StandardWeb"/>
      </w:pPr>
      <w:r>
        <w:t>Für sämtliche in Abschnitt 3.3.47 neu eingeführten Erhaltungs-, Bilanz-, Fluss-, Netzwerk-, Zyklus-, Potenzial-, Residual- und Toleranzstrukturen gilt</w:t>
      </w:r>
    </w:p>
    <w:p w:rsidR="00F51628" w:rsidRDefault="00F51628" w:rsidP="00F51628">
      <w:pPr>
        <w:pStyle w:val="StandardWeb"/>
      </w:pPr>
      <w:r>
        <w:t>[</w:t>
      </w:r>
      <w:r>
        <w:br/>
        <w:t>\boxed{</w:t>
      </w:r>
      <w:r>
        <w:br/>
        <w:t>\mathrm{Ax}</w:t>
      </w:r>
      <w:r>
        <w:br/>
        <w:t>\notin</w:t>
      </w:r>
      <w:r>
        <w:br/>
        <w:t>\mathfrak M_{3.3.47}(X)</w:t>
      </w:r>
      <w:r>
        <w:br/>
        <w:t>\qquad</w:t>
      </w:r>
      <w:r>
        <w:br/>
        <w:t>\forall</w:t>
      </w:r>
      <w:r>
        <w:br/>
        <w:t>X\in\mathcal O_{3.3.47}.</w:t>
      </w:r>
      <w:r>
        <w:br/>
        <w:t>}</w:t>
      </w:r>
      <w:r>
        <w:br/>
        <w:t>\tag{3.11906}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lastRenderedPageBreak/>
        <w:t>\boxed{\mathrm{Ax}\notin\mathfrak M_{3.3.47}(X)\qquad\forall X\in\mathcal O_{3.3.47}.}</w:t>
      </w:r>
    </w:p>
    <w:p w:rsidR="00F51628" w:rsidRDefault="00F51628" w:rsidP="00F51628">
      <w:pPr>
        <w:pStyle w:val="StandardWeb"/>
      </w:pPr>
      <w:r>
        <w:t>Äquivalent gilt</w:t>
      </w:r>
    </w:p>
    <w:p w:rsidR="00F51628" w:rsidRDefault="00F51628" w:rsidP="00F51628">
      <w:pPr>
        <w:pStyle w:val="berschrift1"/>
      </w:pPr>
      <w:r>
        <w:t>[</w:t>
      </w:r>
      <w:r>
        <w:br/>
        <w:t>\boxed{</w:t>
      </w:r>
      <w:r>
        <w:br/>
        <w:t>\mathcal O_{\mathrm{Ax}}</w:t>
      </w:r>
    </w:p>
    <w:p w:rsidR="00F51628" w:rsidRDefault="00F51628" w:rsidP="00F51628">
      <w:pPr>
        <w:pStyle w:val="StandardWeb"/>
      </w:pPr>
      <w:r>
        <w:t>\varnothing.</w:t>
      </w:r>
      <w:r>
        <w:br/>
        <w:t>}</w:t>
      </w:r>
      <w:r>
        <w:br/>
        <w:t>\tag{3.11907}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\boxed{\mathcal O_{\mathrm{Ax}}=\varnothing.}</w:t>
      </w:r>
    </w:p>
    <w:p w:rsidR="00F51628" w:rsidRDefault="00F51628" w:rsidP="00F51628">
      <w:pPr>
        <w:pStyle w:val="berschrift3"/>
      </w:pPr>
      <w:r>
        <w:t>Beweis</w:t>
      </w:r>
    </w:p>
    <w:p w:rsidR="00F51628" w:rsidRDefault="00F51628" w:rsidP="00F51628">
      <w:pPr>
        <w:pStyle w:val="StandardWeb"/>
      </w:pPr>
      <w:r>
        <w:t>Für nichttriviale globale Erhaltung wurde bereits</w:t>
      </w:r>
    </w:p>
    <w:p w:rsidR="00F51628" w:rsidRDefault="00F51628" w:rsidP="00F51628">
      <w:pPr>
        <w:pStyle w:val="berschrift1"/>
      </w:pPr>
      <w:r>
        <w:t>[</w:t>
      </w:r>
      <w:r>
        <w:br/>
        <w:t>U_{\mathrm{Ax}}</w:t>
      </w:r>
      <w:r>
        <w:br/>
        <w:t>(A_{\mathrm{cons}}^{+})</w:t>
      </w:r>
    </w:p>
    <w:p w:rsidR="00F51628" w:rsidRDefault="00F51628" w:rsidP="00F51628">
      <w:pPr>
        <w:pStyle w:val="StandardWeb"/>
      </w:pPr>
      <w:r>
        <w:t>0</w:t>
      </w:r>
      <w:r>
        <w:br/>
        <w:t>\tag{3.11908}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U_{\mathrm{Ax}}(A_{\mathrm{cons}}^{+})=0</w:t>
      </w:r>
    </w:p>
    <w:p w:rsidR="00F51628" w:rsidRDefault="00F51628" w:rsidP="00F51628">
      <w:pPr>
        <w:pStyle w:val="StandardWeb"/>
      </w:pPr>
      <w:r>
        <w:t>gezeigt.</w:t>
      </w:r>
    </w:p>
    <w:p w:rsidR="00F51628" w:rsidRDefault="00F51628" w:rsidP="00F51628">
      <w:pPr>
        <w:pStyle w:val="StandardWeb"/>
      </w:pPr>
      <w:r>
        <w:t>Für nichttriviale Bilanzierbarkeit gilt</w:t>
      </w:r>
    </w:p>
    <w:p w:rsidR="00F51628" w:rsidRDefault="00F51628" w:rsidP="00F51628">
      <w:pPr>
        <w:pStyle w:val="berschrift1"/>
      </w:pPr>
      <w:r>
        <w:t>[</w:t>
      </w:r>
      <w:r>
        <w:br/>
        <w:t>U_{\mathrm{Ax}}</w:t>
      </w:r>
      <w:r>
        <w:br/>
        <w:t>(A_B^{+})</w:t>
      </w:r>
    </w:p>
    <w:p w:rsidR="00F51628" w:rsidRDefault="00F51628" w:rsidP="00152216">
      <w:pPr>
        <w:numPr>
          <w:ilvl w:val="0"/>
          <w:numId w:val="526"/>
        </w:numPr>
        <w:spacing w:before="100" w:beforeAutospacing="1" w:after="100" w:afterAutospacing="1"/>
      </w:pPr>
    </w:p>
    <w:p w:rsidR="00F51628" w:rsidRDefault="00F51628" w:rsidP="00F51628">
      <w:pPr>
        <w:pStyle w:val="StandardWeb"/>
      </w:pPr>
      <w:r>
        <w:lastRenderedPageBreak/>
        <w:t>\tag{3.11909}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U_{\mathrm{Ax}}(A_B^{+})=0</w:t>
      </w:r>
    </w:p>
    <w:p w:rsidR="00F51628" w:rsidRDefault="00F51628" w:rsidP="00F51628">
      <w:pPr>
        <w:pStyle w:val="StandardWeb"/>
      </w:pPr>
      <w:r>
        <w:t>Für Zirkulationsfreiheit gilt</w:t>
      </w:r>
    </w:p>
    <w:p w:rsidR="00F51628" w:rsidRDefault="00F51628" w:rsidP="00F51628">
      <w:pPr>
        <w:pStyle w:val="berschrift1"/>
      </w:pPr>
      <w:r>
        <w:t>[</w:t>
      </w:r>
      <w:r>
        <w:br/>
        <w:t>U_{\mathrm{Ax}}</w:t>
      </w:r>
      <w:r>
        <w:br/>
        <w:t>(A_{\mathrm{cyc}})</w:t>
      </w:r>
    </w:p>
    <w:p w:rsidR="00F51628" w:rsidRDefault="00F51628" w:rsidP="00152216">
      <w:pPr>
        <w:numPr>
          <w:ilvl w:val="0"/>
          <w:numId w:val="527"/>
        </w:numPr>
        <w:spacing w:before="100" w:beforeAutospacing="1" w:after="100" w:afterAutospacing="1"/>
      </w:pPr>
    </w:p>
    <w:p w:rsidR="00F51628" w:rsidRDefault="00F51628" w:rsidP="00F51628">
      <w:pPr>
        <w:pStyle w:val="StandardWeb"/>
      </w:pPr>
      <w:r>
        <w:t>\tag{3.11910}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U_{\mathrm{Ax}}(A_{\mathrm{cyc}})=0</w:t>
      </w:r>
    </w:p>
    <w:p w:rsidR="00F51628" w:rsidRDefault="00F51628" w:rsidP="00F51628">
      <w:pPr>
        <w:pStyle w:val="StandardWeb"/>
      </w:pPr>
      <w:r>
        <w:t>Für exakte Bilanzgeschlossenheit gilt schließlich</w:t>
      </w:r>
    </w:p>
    <w:p w:rsidR="00F51628" w:rsidRDefault="00F51628" w:rsidP="00F51628">
      <w:pPr>
        <w:pStyle w:val="berschrift1"/>
      </w:pPr>
      <w:r>
        <w:t>[</w:t>
      </w:r>
      <w:r>
        <w:br/>
        <w:t>U_{\mathrm{Ax}}</w:t>
      </w:r>
      <w:r>
        <w:br/>
        <w:t>(A_R)</w:t>
      </w:r>
    </w:p>
    <w:p w:rsidR="00F51628" w:rsidRDefault="00F51628" w:rsidP="00152216">
      <w:pPr>
        <w:numPr>
          <w:ilvl w:val="0"/>
          <w:numId w:val="528"/>
        </w:numPr>
        <w:spacing w:before="100" w:beforeAutospacing="1" w:after="100" w:afterAutospacing="1"/>
      </w:pPr>
    </w:p>
    <w:p w:rsidR="00F51628" w:rsidRDefault="00F51628" w:rsidP="00F51628">
      <w:pPr>
        <w:pStyle w:val="StandardWeb"/>
      </w:pPr>
      <w:r>
        <w:t>\tag{3.11911}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U_{\mathrm{Ax}}(A_R)=0</w:t>
      </w:r>
    </w:p>
    <w:p w:rsidR="00F51628" w:rsidRDefault="00F51628" w:rsidP="00F51628">
      <w:pPr>
        <w:pStyle w:val="StandardWeb"/>
      </w:pPr>
      <w:r>
        <w:t>Alle übrigen Strukturen sind Definitionen, Modellannahmen, Operationalisierungen oder daraus abgeleitete Aussagen. Damit verbleibt kein Theorieobjekt mit universeller Primärnotwendigkeit. (\square)</w:t>
      </w:r>
    </w:p>
    <w:p w:rsidR="00F51628" w:rsidRDefault="00E50336" w:rsidP="00F51628">
      <w:r>
        <w:pict>
          <v:rect id="_x0000_i4141" style="width:0;height:1.5pt" o:hralign="center" o:hrstd="t" o:hr="t" fillcolor="#a0a0a0" stroked="f"/>
        </w:pict>
      </w:r>
    </w:p>
    <w:p w:rsidR="00F51628" w:rsidRDefault="00F51628" w:rsidP="00F51628">
      <w:pPr>
        <w:pStyle w:val="berschrift1"/>
      </w:pPr>
      <w:r>
        <w:t>3.3.47.266 Korollar 3.3.28 – Abschnitt 3.3.47 erweitert die FRZK-Primäraxiomatik nicht</w:t>
      </w:r>
    </w:p>
    <w:p w:rsidR="00F51628" w:rsidRDefault="00F51628" w:rsidP="00F51628">
      <w:pPr>
        <w:pStyle w:val="berschrift3"/>
      </w:pPr>
      <w:r>
        <w:lastRenderedPageBreak/>
        <w:t>Korollar 3.3.28</w:t>
      </w:r>
    </w:p>
    <w:p w:rsidR="00F51628" w:rsidRDefault="00F51628" w:rsidP="00F51628">
      <w:pPr>
        <w:pStyle w:val="StandardWeb"/>
      </w:pPr>
      <w:r>
        <w:t>Aus Satz 3.3.118 folgt</w:t>
      </w:r>
    </w:p>
    <w:p w:rsidR="00F51628" w:rsidRDefault="00F51628" w:rsidP="00F51628">
      <w:pPr>
        <w:pStyle w:val="berschrift1"/>
      </w:pPr>
      <w:r>
        <w:t>[</w:t>
      </w:r>
      <w:r>
        <w:br/>
        <w:t>\boxed{</w:t>
      </w:r>
      <w:r>
        <w:br/>
        <w:t>\mathfrak A_{3.3.47}^{\mathrm{new}}</w:t>
      </w:r>
    </w:p>
    <w:p w:rsidR="00F51628" w:rsidRDefault="00F51628" w:rsidP="00F51628">
      <w:pPr>
        <w:pStyle w:val="StandardWeb"/>
      </w:pPr>
      <w:r>
        <w:t>\varnothing.</w:t>
      </w:r>
      <w:r>
        <w:br/>
        <w:t>}</w:t>
      </w:r>
      <w:r>
        <w:br/>
        <w:t>\tag{3.11912}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\boxed{\mathfrak A_{3.3.47}^{\mathrm{new}}=\varnothing.}</w:t>
      </w:r>
    </w:p>
    <w:p w:rsidR="00F51628" w:rsidRDefault="00F51628" w:rsidP="00F51628">
      <w:pPr>
        <w:pStyle w:val="StandardWeb"/>
      </w:pPr>
      <w:r>
        <w:t>Damit fügt Abschnitt 3.3.47 dem bisherigen FRZK-Primäraxiomensystem kein neues Primäraxiom hinzu.</w:t>
      </w:r>
    </w:p>
    <w:p w:rsidR="00F51628" w:rsidRDefault="00E50336" w:rsidP="00F51628">
      <w:r>
        <w:pict>
          <v:rect id="_x0000_i4142" style="width:0;height:1.5pt" o:hralign="center" o:hrstd="t" o:hr="t" fillcolor="#a0a0a0" stroked="f"/>
        </w:pict>
      </w:r>
    </w:p>
    <w:p w:rsidR="00F51628" w:rsidRDefault="00F51628" w:rsidP="00F51628">
      <w:pPr>
        <w:pStyle w:val="berschrift1"/>
      </w:pPr>
      <w:r>
        <w:t>3.3.47.267 Verhältnis zu bereits bestehenden Primäraxiomen</w:t>
      </w:r>
    </w:p>
    <w:p w:rsidR="00F51628" w:rsidRDefault="00F51628" w:rsidP="00F51628">
      <w:pPr>
        <w:pStyle w:val="StandardWeb"/>
      </w:pPr>
      <w:r>
        <w:t>Aus</w:t>
      </w:r>
    </w:p>
    <w:p w:rsidR="00F51628" w:rsidRDefault="00F51628" w:rsidP="00F51628">
      <w:pPr>
        <w:pStyle w:val="berschrift1"/>
      </w:pPr>
      <w:r>
        <w:t>[</w:t>
      </w:r>
      <w:r>
        <w:br/>
        <w:t>\mathfrak A_{3.3.47}^{\mathrm{new}}</w:t>
      </w:r>
    </w:p>
    <w:p w:rsidR="00F51628" w:rsidRDefault="00F51628" w:rsidP="00F51628">
      <w:pPr>
        <w:pStyle w:val="StandardWeb"/>
      </w:pPr>
      <w:r>
        <w:t>\varnothing</w:t>
      </w:r>
      <w:r>
        <w:br/>
        <w:t>\tag{3.11913}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\mathfrak A_{3.3.47}^{\mathrm{new}}=\varnothing</w:t>
      </w:r>
    </w:p>
    <w:p w:rsidR="00F51628" w:rsidRDefault="00F51628" w:rsidP="00F51628">
      <w:pPr>
        <w:pStyle w:val="StandardWeb"/>
      </w:pPr>
      <w:r>
        <w:t>folgt ausdrücklich nicht, dass die in diesem Abschnitt entwickelten Strukturen bedeutungslos wären.</w:t>
      </w:r>
    </w:p>
    <w:p w:rsidR="00F51628" w:rsidRDefault="00F51628" w:rsidP="00F51628">
      <w:pPr>
        <w:pStyle w:val="StandardWeb"/>
      </w:pPr>
      <w:r>
        <w:t>Sie können vielmehr auf dem bestehenden axiomatischen Kern aufbauen:</w:t>
      </w:r>
    </w:p>
    <w:p w:rsidR="00F51628" w:rsidRDefault="00F51628" w:rsidP="00F51628">
      <w:pPr>
        <w:pStyle w:val="StandardWeb"/>
      </w:pPr>
      <w:r>
        <w:t>[</w:t>
      </w:r>
      <w:r>
        <w:br/>
        <w:t>\mathfrak A_{\mathrm{FRZK}}^{\mathrm{vor},3.3.47}</w:t>
      </w:r>
      <w:r>
        <w:br/>
        <w:t>\longrightarrow</w:t>
      </w:r>
      <w:r>
        <w:br/>
      </w:r>
      <w:r>
        <w:lastRenderedPageBreak/>
        <w:t>\mathfrak E_{\mathrm{cons}}^{(3)}.</w:t>
      </w:r>
      <w:r>
        <w:br/>
        <w:t>\tag{3.11914}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\mathfrak A_{\mathrm{FRZK}}^{\mathrm{vor}\,3.3.47}\longrightarrow\mathfrak E_{\mathrm{cons}}^{(3)}</w:t>
      </w:r>
    </w:p>
    <w:p w:rsidR="00F51628" w:rsidRDefault="00F51628" w:rsidP="00F51628">
      <w:pPr>
        <w:pStyle w:val="StandardWeb"/>
      </w:pPr>
      <w:r>
        <w:t>Die rechte Seite ist dabei als mögliche Modell- und Analyseerweiterung zu verstehen.</w:t>
      </w:r>
    </w:p>
    <w:p w:rsidR="00F51628" w:rsidRDefault="00E50336" w:rsidP="00F51628">
      <w:r>
        <w:pict>
          <v:rect id="_x0000_i4143" style="width:0;height:1.5pt" o:hralign="center" o:hrstd="t" o:hr="t" fillcolor="#a0a0a0" stroked="f"/>
        </w:pict>
      </w:r>
    </w:p>
    <w:p w:rsidR="00F51628" w:rsidRDefault="00F51628" w:rsidP="00F51628">
      <w:pPr>
        <w:pStyle w:val="berschrift1"/>
      </w:pPr>
      <w:r>
        <w:t>3.3.47.268 Definition 3.3.292 – Optionale funktionale Erhaltungsarchitektur</w:t>
      </w:r>
    </w:p>
    <w:p w:rsidR="00F51628" w:rsidRDefault="00F51628" w:rsidP="00F51628">
      <w:pPr>
        <w:pStyle w:val="berschrift3"/>
      </w:pPr>
      <w:r>
        <w:t>Definition 3.3.292</w:t>
      </w:r>
    </w:p>
    <w:p w:rsidR="00F51628" w:rsidRDefault="00F51628" w:rsidP="00F51628">
      <w:pPr>
        <w:pStyle w:val="StandardWeb"/>
      </w:pPr>
      <w:r>
        <w:t xml:space="preserve">Die Gesamtheit der in Abschnitt 3.3.47 entwickelten Erhaltungs-, Bilanz-, Netzwerk- und Residualstrukturen bezeichne ich als </w:t>
      </w:r>
      <w:r>
        <w:rPr>
          <w:rStyle w:val="Fett"/>
        </w:rPr>
        <w:t>optionale funktionale Erhaltungsarchitektur</w:t>
      </w:r>
    </w:p>
    <w:p w:rsidR="00F51628" w:rsidRDefault="00F51628" w:rsidP="00F51628">
      <w:pPr>
        <w:pStyle w:val="StandardWeb"/>
      </w:pPr>
      <w:r>
        <w:t>[</w:t>
      </w:r>
      <w:r>
        <w:br/>
        <w:t>\boxed{</w:t>
      </w:r>
      <w:r>
        <w:br/>
        <w:t>\mathfrak E_{\mathrm{cons}}</w:t>
      </w:r>
      <w:r>
        <w:br/>
        <w:t>:=</w:t>
      </w:r>
      <w:r>
        <w:br/>
        <w:t>\mathfrak E_{\mathrm{cons}}^{(3)}.</w:t>
      </w:r>
      <w:r>
        <w:br/>
        <w:t>}</w:t>
      </w:r>
      <w:r>
        <w:br/>
        <w:t>\tag{3.11915}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\boxed{\mathfrak E_{\mathrm{cons}}:=\mathfrak E_{\mathrm{cons}}^{(3)}.}</w:t>
      </w:r>
    </w:p>
    <w:p w:rsidR="00F51628" w:rsidRDefault="00F51628" w:rsidP="00F51628">
      <w:pPr>
        <w:pStyle w:val="StandardWeb"/>
      </w:pPr>
      <w:r>
        <w:t>Sie ist eine Erweiterungsarchitektur und kein Bestandteil der minimalen Primäraxiomatik.</w:t>
      </w:r>
    </w:p>
    <w:p w:rsidR="00F51628" w:rsidRDefault="00E50336" w:rsidP="00F51628">
      <w:r>
        <w:pict>
          <v:rect id="_x0000_i4144" style="width:0;height:1.5pt" o:hralign="center" o:hrstd="t" o:hr="t" fillcolor="#a0a0a0" stroked="f"/>
        </w:pict>
      </w:r>
    </w:p>
    <w:p w:rsidR="00F51628" w:rsidRDefault="00F51628" w:rsidP="00F51628">
      <w:pPr>
        <w:pStyle w:val="berschrift1"/>
      </w:pPr>
      <w:r>
        <w:t>3.3.47.269 Primäraxiom-Gesamtentscheidung</w:t>
      </w:r>
    </w:p>
    <w:p w:rsidR="00F51628" w:rsidRDefault="00F51628" w:rsidP="00F51628">
      <w:pPr>
        <w:pStyle w:val="StandardWeb"/>
      </w:pPr>
      <w:r>
        <w:t>Die Gesamtentscheidung des Abschnitts kann damit in einer einzigen Relation zusammengefasst werden:</w:t>
      </w:r>
    </w:p>
    <w:p w:rsidR="00F51628" w:rsidRDefault="00F51628" w:rsidP="00F51628">
      <w:pPr>
        <w:pStyle w:val="berschrift1"/>
      </w:pPr>
      <w:r>
        <w:t>[</w:t>
      </w:r>
      <w:r>
        <w:br/>
        <w:t>\boxed{</w:t>
      </w:r>
      <w:r>
        <w:br/>
        <w:t>\mathfrak A_{3.3.47}^{\mathrm{new}}</w:t>
      </w:r>
    </w:p>
    <w:p w:rsidR="00F51628" w:rsidRDefault="00F51628" w:rsidP="00F51628">
      <w:pPr>
        <w:pStyle w:val="StandardWeb"/>
      </w:pPr>
      <w:r>
        <w:lastRenderedPageBreak/>
        <w:t>\varnothing,</w:t>
      </w:r>
      <w:r>
        <w:br/>
        <w:t>\qquad</w:t>
      </w:r>
      <w:r>
        <w:br/>
        <w:t>\mathfrak E_{\mathrm{cons}}</w:t>
      </w:r>
      <w:r>
        <w:br/>
        <w:t>\neq</w:t>
      </w:r>
      <w:r>
        <w:br/>
        <w:t>\varnothing.</w:t>
      </w:r>
      <w:r>
        <w:br/>
        <w:t>}</w:t>
      </w:r>
      <w:r>
        <w:br/>
        <w:t>\tag{3.11916}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\boxed{\mathfrak A_{3.3.47}^{\mathrm{new}}=\varnothing,\qquad\mathfrak E_{\mathrm{cons}}\neq\varnothing.}</w:t>
      </w:r>
    </w:p>
    <w:p w:rsidR="00F51628" w:rsidRDefault="00F51628" w:rsidP="00F51628">
      <w:pPr>
        <w:pStyle w:val="StandardWeb"/>
      </w:pPr>
      <w:r>
        <w:t>Damit existiert ein umfangreicher mathematischer Erweiterungsapparat, ohne dass daraus neue Primäraxiome entstehen.</w:t>
      </w:r>
    </w:p>
    <w:p w:rsidR="00F51628" w:rsidRDefault="00E50336" w:rsidP="00F51628">
      <w:r>
        <w:pict>
          <v:rect id="_x0000_i4145" style="width:0;height:1.5pt" o:hralign="center" o:hrstd="t" o:hr="t" fillcolor="#a0a0a0" stroked="f"/>
        </w:pict>
      </w:r>
    </w:p>
    <w:p w:rsidR="00F51628" w:rsidRDefault="00F51628" w:rsidP="00F51628">
      <w:pPr>
        <w:pStyle w:val="berschrift1"/>
      </w:pPr>
      <w:r>
        <w:t>3.3.47.270 Trennung von Axiomatik und Modellapparat</w:t>
      </w:r>
    </w:p>
    <w:p w:rsidR="00F51628" w:rsidRDefault="00F51628" w:rsidP="00F51628">
      <w:pPr>
        <w:pStyle w:val="StandardWeb"/>
      </w:pPr>
      <w:r>
        <w:t>Die wissenschaftlich entscheidende Trennung lautet daher</w:t>
      </w:r>
    </w:p>
    <w:p w:rsidR="00F51628" w:rsidRDefault="00F51628" w:rsidP="00F51628">
      <w:pPr>
        <w:pStyle w:val="StandardWeb"/>
      </w:pPr>
      <w:r>
        <w:t>[</w:t>
      </w:r>
      <w:r>
        <w:br/>
        <w:t>\boxed{</w:t>
      </w:r>
      <w:r>
        <w:br/>
        <w:t>\text{mathematisch nützlich}</w:t>
      </w:r>
      <w:r>
        <w:br/>
        <w:t>\not\Rightarrow</w:t>
      </w:r>
      <w:r>
        <w:br/>
        <w:t>\text{axiomatisch notwendig}.</w:t>
      </w:r>
      <w:r>
        <w:br/>
        <w:t>}</w:t>
      </w:r>
      <w:r>
        <w:br/>
        <w:t>\tag{3.11917}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\boxed{\text{mathematisch nützlich}\not\Rightarrow\text{axiomatisch notwendig}.}</w:t>
      </w:r>
    </w:p>
    <w:p w:rsidR="00F51628" w:rsidRDefault="00F51628" w:rsidP="00F51628">
      <w:pPr>
        <w:pStyle w:val="StandardWeb"/>
      </w:pPr>
      <w:r>
        <w:t>Genau diese Unterscheidung verhindert, dass ich aus einer später nützlichen Modellstruktur rückwirkend eine universelle Voraussetzung des FRZK ableite.</w:t>
      </w:r>
    </w:p>
    <w:p w:rsidR="00F51628" w:rsidRDefault="00E50336" w:rsidP="00F51628">
      <w:r>
        <w:pict>
          <v:rect id="_x0000_i4146" style="width:0;height:1.5pt" o:hralign="center" o:hrstd="t" o:hr="t" fillcolor="#a0a0a0" stroked="f"/>
        </w:pict>
      </w:r>
    </w:p>
    <w:p w:rsidR="00F51628" w:rsidRDefault="00F51628" w:rsidP="00F51628">
      <w:pPr>
        <w:pStyle w:val="berschrift1"/>
      </w:pPr>
      <w:r>
        <w:t>3.3.47.271 Methodologische Betrachtungen</w:t>
      </w:r>
    </w:p>
    <w:p w:rsidR="00F51628" w:rsidRDefault="00F51628" w:rsidP="00F51628">
      <w:pPr>
        <w:pStyle w:val="StandardWeb"/>
      </w:pPr>
      <w:r>
        <w:t>Methodologisch ist Abschnitt 3.3.47 für mich besonders wichtig, weil der Begriff der Erhaltung in physikalischen Theorien eine so starke begriffliche Vorprägung besitzt. Ich habe deshalb bewusst nicht von bekannten physikalischen Erhaltungssätzen ausgehend argumentiert, sondern zunächst lediglich eine funktionale Zustandsgröße (Q_F) und deren Änderung entlang zulässiger Übergänge definiert.</w:t>
      </w:r>
    </w:p>
    <w:p w:rsidR="00F51628" w:rsidRDefault="00F51628" w:rsidP="00F51628">
      <w:pPr>
        <w:pStyle w:val="StandardWeb"/>
      </w:pPr>
      <w:r>
        <w:lastRenderedPageBreak/>
        <w:t>Diese Vorgehensweise verhindert die unzulässige Gleichsetzung</w:t>
      </w:r>
    </w:p>
    <w:p w:rsidR="00F51628" w:rsidRDefault="00F51628" w:rsidP="00F51628">
      <w:pPr>
        <w:pStyle w:val="berschrift1"/>
      </w:pPr>
      <w:r>
        <w:t>[</w:t>
      </w:r>
      <w:r>
        <w:br/>
        <w:t>\text{funktionale Erhaltung}</w:t>
      </w:r>
    </w:p>
    <w:p w:rsidR="00F51628" w:rsidRDefault="00F51628" w:rsidP="00F51628">
      <w:pPr>
        <w:pStyle w:val="StandardWeb"/>
      </w:pPr>
      <w:r>
        <w:t>\text{physikalischer Erhaltungssatz}.</w:t>
      </w:r>
      <w:r>
        <w:br/>
        <w:t>\tag{3.11918}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\text{funktionale Erhaltung}=\text{physikalischer Erhaltungssatz}</w:t>
      </w:r>
    </w:p>
    <w:p w:rsidR="00F51628" w:rsidRDefault="00F51628" w:rsidP="00F51628">
      <w:pPr>
        <w:pStyle w:val="StandardWeb"/>
      </w:pPr>
      <w:r>
        <w:t>Diese Gleichsetzung gilt im allgemeinen FRZK gerade nicht.</w:t>
      </w:r>
    </w:p>
    <w:p w:rsidR="00F51628" w:rsidRDefault="00F51628" w:rsidP="00F51628">
      <w:pPr>
        <w:pStyle w:val="StandardWeb"/>
      </w:pPr>
      <w:r>
        <w:t>Die korrekte Beziehung lautet vielmehr</w:t>
      </w:r>
    </w:p>
    <w:p w:rsidR="00F51628" w:rsidRDefault="00F51628" w:rsidP="00F51628">
      <w:pPr>
        <w:pStyle w:val="StandardWeb"/>
      </w:pPr>
      <w:r>
        <w:t>[</w:t>
      </w:r>
      <w:r>
        <w:br/>
        <w:t>\boxed{</w:t>
      </w:r>
      <w:r>
        <w:br/>
        <w:t>\text{physikalischer Erhaltungssatz}</w:t>
      </w:r>
      <w:r>
        <w:br/>
        <w:t>\Rightarrow</w:t>
      </w:r>
      <w:r>
        <w:br/>
        <w:t>\text{zusätzliche theoretische Struktur}.</w:t>
      </w:r>
      <w:r>
        <w:br/>
        <w:t>}</w:t>
      </w:r>
      <w:r>
        <w:br/>
        <w:t>\tag{3.11919}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\boxed{\text{physikalischer Erhaltungssatz}\Rightarrow\text{zusätzliche theoretische Struktur}.}</w:t>
      </w:r>
    </w:p>
    <w:p w:rsidR="00F51628" w:rsidRDefault="00E50336" w:rsidP="00F51628">
      <w:r>
        <w:pict>
          <v:rect id="_x0000_i4147" style="width:0;height:1.5pt" o:hralign="center" o:hrstd="t" o:hr="t" fillcolor="#a0a0a0" stroked="f"/>
        </w:pict>
      </w:r>
    </w:p>
    <w:p w:rsidR="00F51628" w:rsidRDefault="00F51628" w:rsidP="00F51628">
      <w:pPr>
        <w:pStyle w:val="berschrift1"/>
      </w:pPr>
      <w:r>
        <w:t>3.3.47.272 Methodologische Bedeutung der Quellen- und Flusszerlegung</w:t>
      </w:r>
    </w:p>
    <w:p w:rsidR="00F51628" w:rsidRDefault="00F51628" w:rsidP="00F51628">
      <w:pPr>
        <w:pStyle w:val="StandardWeb"/>
      </w:pPr>
      <w:r>
        <w:t>Ebenso habe ich Quelle, Senke und Fluss nicht aus der beobachteten Gesamtänderung automatisch abgeleitet.</w:t>
      </w:r>
    </w:p>
    <w:p w:rsidR="00F51628" w:rsidRDefault="00F51628" w:rsidP="00F51628">
      <w:pPr>
        <w:pStyle w:val="StandardWeb"/>
      </w:pPr>
      <w:r>
        <w:t>Denn die triviale Zerlegung</w:t>
      </w:r>
    </w:p>
    <w:p w:rsidR="00F51628" w:rsidRDefault="00F51628" w:rsidP="00F51628">
      <w:pPr>
        <w:pStyle w:val="berschrift1"/>
      </w:pPr>
      <w:r>
        <w:t>[</w:t>
      </w:r>
      <w:r>
        <w:br/>
        <w:t>\Sigma_Q</w:t>
      </w:r>
    </w:p>
    <w:p w:rsidR="00F51628" w:rsidRDefault="00F51628" w:rsidP="00F51628">
      <w:pPr>
        <w:pStyle w:val="berschrift1"/>
      </w:pPr>
      <w:r>
        <w:lastRenderedPageBreak/>
        <w:t>\Delta_TQ_F,</w:t>
      </w:r>
      <w:r>
        <w:br/>
        <w:t>\qquad</w:t>
      </w:r>
      <w:r>
        <w:br/>
        <w:t>J_Q^{\mathrm{net}}</w:t>
      </w:r>
    </w:p>
    <w:p w:rsidR="00F51628" w:rsidRDefault="00F51628" w:rsidP="00F51628">
      <w:pPr>
        <w:pStyle w:val="StandardWeb"/>
      </w:pPr>
      <w:r>
        <w:t>0</w:t>
      </w:r>
      <w:r>
        <w:br/>
        <w:t>\tag{3.11920}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\Sigma_Q=\Delta_TQ_F,\qquad J_Q^{\mathrm{net}}=0</w:t>
      </w:r>
    </w:p>
    <w:p w:rsidR="00F51628" w:rsidRDefault="00F51628" w:rsidP="00F51628">
      <w:pPr>
        <w:pStyle w:val="StandardWeb"/>
      </w:pPr>
      <w:r>
        <w:t>würde zwar jede Bilanz algebraisch erfüllen, aber keine zusätzliche wissenschaftliche Erklärung liefern.</w:t>
      </w:r>
    </w:p>
    <w:p w:rsidR="00F51628" w:rsidRDefault="00F51628" w:rsidP="00F51628">
      <w:pPr>
        <w:pStyle w:val="StandardWeb"/>
      </w:pPr>
      <w:r>
        <w:t>Deshalb habe ich für eine nichttriviale Bilanzzerlegung ausdrücklich</w:t>
      </w:r>
    </w:p>
    <w:p w:rsidR="00F51628" w:rsidRDefault="00F51628" w:rsidP="00F51628">
      <w:pPr>
        <w:pStyle w:val="berschrift1"/>
      </w:pPr>
      <w:r>
        <w:t>[</w:t>
      </w:r>
      <w:r>
        <w:br/>
        <w:t>\operatorname{Ind}_B</w:t>
      </w:r>
      <w:r>
        <w:br/>
        <w:t>(\Sigma_Q,J_Q)</w:t>
      </w:r>
    </w:p>
    <w:p w:rsidR="00F51628" w:rsidRDefault="00F51628" w:rsidP="00F51628">
      <w:pPr>
        <w:pStyle w:val="StandardWeb"/>
      </w:pPr>
      <w:r>
        <w:t>1</w:t>
      </w:r>
      <w:r>
        <w:br/>
        <w:t>\tag{3.11921}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\operatorname{Ind}_B(\Sigma_Q,J_Q)=1</w:t>
      </w:r>
    </w:p>
    <w:p w:rsidR="00F51628" w:rsidRDefault="00F51628" w:rsidP="00F51628">
      <w:pPr>
        <w:pStyle w:val="StandardWeb"/>
      </w:pPr>
      <w:r>
        <w:t>verlangt.</w:t>
      </w:r>
    </w:p>
    <w:p w:rsidR="00F51628" w:rsidRDefault="00E50336" w:rsidP="00F51628">
      <w:r>
        <w:pict>
          <v:rect id="_x0000_i4148" style="width:0;height:1.5pt" o:hralign="center" o:hrstd="t" o:hr="t" fillcolor="#a0a0a0" stroked="f"/>
        </w:pict>
      </w:r>
    </w:p>
    <w:p w:rsidR="00F51628" w:rsidRDefault="00F51628" w:rsidP="00F51628">
      <w:pPr>
        <w:pStyle w:val="berschrift1"/>
      </w:pPr>
      <w:r>
        <w:t>3.3.47.273 Methodologische Bedeutung der Systemgrenze</w:t>
      </w:r>
    </w:p>
    <w:p w:rsidR="00F51628" w:rsidRDefault="00F51628" w:rsidP="00F51628">
      <w:pPr>
        <w:pStyle w:val="StandardWeb"/>
      </w:pPr>
      <w:r>
        <w:t>Die Unterscheidung zwischen internem und externem Fluss hängt von der Bilanzgrenze ab.</w:t>
      </w:r>
    </w:p>
    <w:p w:rsidR="00F51628" w:rsidRDefault="00F51628" w:rsidP="00F51628">
      <w:pPr>
        <w:pStyle w:val="StandardWeb"/>
      </w:pPr>
      <w:r>
        <w:t>Damit ist</w:t>
      </w:r>
    </w:p>
    <w:p w:rsidR="00F51628" w:rsidRDefault="00F51628" w:rsidP="00F51628">
      <w:pPr>
        <w:pStyle w:val="berschrift1"/>
      </w:pPr>
      <w:r>
        <w:t>[</w:t>
      </w:r>
      <w:r>
        <w:br/>
        <w:t>\operatorname{Internal/External}</w:t>
      </w:r>
    </w:p>
    <w:p w:rsidR="00F51628" w:rsidRDefault="00F51628" w:rsidP="00F51628">
      <w:pPr>
        <w:pStyle w:val="StandardWeb"/>
      </w:pPr>
      <w:r>
        <w:lastRenderedPageBreak/>
        <w:t>f(\partial_B\mathcal S).</w:t>
      </w:r>
      <w:r>
        <w:br/>
        <w:t>\tag{3.11922}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\operatorname{Internal/External}=f(\partial_B\mathcal S)</w:t>
      </w:r>
    </w:p>
    <w:p w:rsidR="00F51628" w:rsidRDefault="00F51628" w:rsidP="00F51628">
      <w:pPr>
        <w:pStyle w:val="StandardWeb"/>
      </w:pPr>
      <w:r>
        <w:t>Ein Fluss ist also nicht „an sich“ intern oder extern, sondern relativ zu einer gewählten Abgrenzung.</w:t>
      </w:r>
    </w:p>
    <w:p w:rsidR="00F51628" w:rsidRDefault="00F51628" w:rsidP="00F51628">
      <w:pPr>
        <w:pStyle w:val="StandardWeb"/>
      </w:pPr>
      <w:r>
        <w:t>Diese Relativität der Bilanzbeschreibung muss bei jeder späteren empirischen Anwendung offengelegt werden.</w:t>
      </w:r>
    </w:p>
    <w:p w:rsidR="00F51628" w:rsidRDefault="00E50336" w:rsidP="00F51628">
      <w:r>
        <w:pict>
          <v:rect id="_x0000_i4149" style="width:0;height:1.5pt" o:hralign="center" o:hrstd="t" o:hr="t" fillcolor="#a0a0a0" stroked="f"/>
        </w:pict>
      </w:r>
    </w:p>
    <w:p w:rsidR="00F51628" w:rsidRDefault="00F51628" w:rsidP="00F51628">
      <w:pPr>
        <w:pStyle w:val="berschrift1"/>
      </w:pPr>
      <w:r>
        <w:t>3.3.47.274 Methodologische Bedeutung des Residualbegriffs</w:t>
      </w:r>
    </w:p>
    <w:p w:rsidR="00F51628" w:rsidRDefault="00F51628" w:rsidP="00F51628">
      <w:pPr>
        <w:pStyle w:val="StandardWeb"/>
      </w:pPr>
      <w:r>
        <w:t>Das Bilanzresiduum</w:t>
      </w:r>
    </w:p>
    <w:p w:rsidR="00F51628" w:rsidRDefault="00F51628" w:rsidP="00F51628">
      <w:pPr>
        <w:pStyle w:val="berschrift1"/>
      </w:pPr>
      <w:r>
        <w:t>[</w:t>
      </w:r>
      <w:r>
        <w:br/>
        <w:t>R_B</w:t>
      </w:r>
    </w:p>
    <w:p w:rsidR="00F51628" w:rsidRDefault="00F51628" w:rsidP="00F51628">
      <w:pPr>
        <w:pStyle w:val="berschrift2"/>
      </w:pPr>
      <w:r>
        <w:t>\Delta_TQ_F</w:t>
      </w:r>
    </w:p>
    <w:p w:rsidR="00F51628" w:rsidRDefault="00F51628" w:rsidP="00F51628">
      <w:pPr>
        <w:pStyle w:val="berschrift2"/>
      </w:pPr>
      <w:r>
        <w:t>\Sigma_Q</w:t>
      </w:r>
    </w:p>
    <w:p w:rsidR="00F51628" w:rsidRDefault="00F51628" w:rsidP="00F51628">
      <w:pPr>
        <w:pStyle w:val="StandardWeb"/>
      </w:pPr>
      <w:r>
        <w:t>J_Q^{\mathrm{net}}</w:t>
      </w:r>
      <w:r>
        <w:br/>
        <w:t>\tag{3.11923}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R_B=\Delta_TQ_F-\Sigma_Q-J_Q^{\mathrm{net}}</w:t>
      </w:r>
    </w:p>
    <w:p w:rsidR="00F51628" w:rsidRDefault="00F51628" w:rsidP="00F51628">
      <w:pPr>
        <w:pStyle w:val="StandardWeb"/>
      </w:pPr>
      <w:r>
        <w:t>liefert ein wichtiges Diagnosewerkzeug.</w:t>
      </w:r>
    </w:p>
    <w:p w:rsidR="00F51628" w:rsidRDefault="00F51628" w:rsidP="00F51628">
      <w:pPr>
        <w:pStyle w:val="StandardWeb"/>
      </w:pPr>
      <w:r>
        <w:t>Es erlaubt mir, zwischen der Aussage</w:t>
      </w:r>
    </w:p>
    <w:p w:rsidR="00F51628" w:rsidRDefault="00F51628" w:rsidP="00F51628">
      <w:pPr>
        <w:pStyle w:val="StandardWeb"/>
      </w:pPr>
      <w:r>
        <w:t>[</w:t>
      </w:r>
      <w:r>
        <w:br/>
        <w:t>R_B=0</w:t>
      </w:r>
      <w:r>
        <w:br/>
        <w:t>\tag{3.11924}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R_B=0</w:t>
      </w:r>
    </w:p>
    <w:p w:rsidR="00F51628" w:rsidRDefault="00F51628" w:rsidP="00F51628">
      <w:pPr>
        <w:pStyle w:val="StandardWeb"/>
      </w:pPr>
      <w:r>
        <w:lastRenderedPageBreak/>
        <w:t>und der Aussage</w:t>
      </w:r>
    </w:p>
    <w:p w:rsidR="00F51628" w:rsidRDefault="00F51628" w:rsidP="00F51628">
      <w:pPr>
        <w:pStyle w:val="StandardWeb"/>
      </w:pPr>
      <w:r>
        <w:t>[</w:t>
      </w:r>
      <w:r>
        <w:br/>
        <w:t>R_B\neq0</w:t>
      </w:r>
      <w:r>
        <w:br/>
        <w:t>\tag{3.11925}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R_B\neq0</w:t>
      </w:r>
    </w:p>
    <w:p w:rsidR="00F51628" w:rsidRDefault="00F51628" w:rsidP="00F51628">
      <w:pPr>
        <w:pStyle w:val="StandardWeb"/>
      </w:pPr>
      <w:r>
        <w:t>zu unterscheiden, ohne einen nichtverschwindenden Wert vorschnell als Widerlegung des gesamten FRZK zu interpretieren.</w:t>
      </w:r>
    </w:p>
    <w:p w:rsidR="00F51628" w:rsidRDefault="00E50336" w:rsidP="00F51628">
      <w:r>
        <w:pict>
          <v:rect id="_x0000_i4150" style="width:0;height:1.5pt" o:hralign="center" o:hrstd="t" o:hr="t" fillcolor="#a0a0a0" stroked="f"/>
        </w:pict>
      </w:r>
    </w:p>
    <w:p w:rsidR="00F51628" w:rsidRDefault="00F51628" w:rsidP="00F51628">
      <w:pPr>
        <w:pStyle w:val="berschrift1"/>
      </w:pPr>
      <w:r>
        <w:t>3.3.47.275 Residuum ist kein unmittelbarer Falsifikationsbeweis</w:t>
      </w:r>
    </w:p>
    <w:p w:rsidR="00F51628" w:rsidRDefault="00F51628" w:rsidP="00F51628">
      <w:pPr>
        <w:pStyle w:val="StandardWeb"/>
      </w:pPr>
      <w:r>
        <w:t>Methodologisch gilt deshalb</w:t>
      </w:r>
    </w:p>
    <w:p w:rsidR="00F51628" w:rsidRDefault="00F51628" w:rsidP="00F51628">
      <w:pPr>
        <w:pStyle w:val="StandardWeb"/>
      </w:pPr>
      <w:r>
        <w:t>[</w:t>
      </w:r>
      <w:r>
        <w:br/>
        <w:t>\boxed{</w:t>
      </w:r>
      <w:r>
        <w:br/>
        <w:t>R_B\neq0</w:t>
      </w:r>
      <w:r>
        <w:br/>
        <w:t>\not\Rightarrow</w:t>
      </w:r>
      <w:r>
        <w:br/>
        <w:t>\text{FRZK falsch}.</w:t>
      </w:r>
      <w:r>
        <w:br/>
        <w:t>}</w:t>
      </w:r>
      <w:r>
        <w:br/>
        <w:t>\tag{3.11926}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\boxed{R_B\neq0\not\Rightarrow\text{FRZK falsch}.}</w:t>
      </w:r>
    </w:p>
    <w:p w:rsidR="00F51628" w:rsidRDefault="00F51628" w:rsidP="00F51628">
      <w:pPr>
        <w:pStyle w:val="StandardWeb"/>
      </w:pPr>
      <w:r>
        <w:t>Ein Bilanzdefekt kann ebenso aus Messfehlern, numerischer Approximation, unvollständiger Modellierung oder einer ungeeigneten Grenzdefinition entstehen.</w:t>
      </w:r>
    </w:p>
    <w:p w:rsidR="00F51628" w:rsidRDefault="00E50336" w:rsidP="00F51628">
      <w:r>
        <w:pict>
          <v:rect id="_x0000_i4151" style="width:0;height:1.5pt" o:hralign="center" o:hrstd="t" o:hr="t" fillcolor="#a0a0a0" stroked="f"/>
        </w:pict>
      </w:r>
    </w:p>
    <w:p w:rsidR="00F51628" w:rsidRDefault="00F51628" w:rsidP="00F51628">
      <w:pPr>
        <w:pStyle w:val="berschrift1"/>
      </w:pPr>
      <w:r>
        <w:t>3.3.47.276 Residuen als Prüfwerkzeug</w:t>
      </w:r>
    </w:p>
    <w:p w:rsidR="00F51628" w:rsidRDefault="00F51628" w:rsidP="00F51628">
      <w:pPr>
        <w:pStyle w:val="StandardWeb"/>
      </w:pPr>
      <w:r>
        <w:t>Umgekehrt bedeutet dies nicht, dass Residuen wissenschaftlich belanglos wären.</w:t>
      </w:r>
    </w:p>
    <w:p w:rsidR="00F51628" w:rsidRDefault="00F51628" w:rsidP="00F51628">
      <w:pPr>
        <w:pStyle w:val="StandardWeb"/>
      </w:pPr>
      <w:r>
        <w:t>Vielmehr kann eine systematisch nichtverschwindende Residualstruktur</w:t>
      </w:r>
    </w:p>
    <w:p w:rsidR="00F51628" w:rsidRDefault="00F51628" w:rsidP="00F51628">
      <w:pPr>
        <w:pStyle w:val="StandardWeb"/>
      </w:pPr>
      <w:r>
        <w:t>[</w:t>
      </w:r>
      <w:r>
        <w:br/>
        <w:t>R_B^{(1)},</w:t>
      </w:r>
      <w:r>
        <w:br/>
        <w:t>R_B^{(2)},</w:t>
      </w:r>
      <w:r>
        <w:br/>
        <w:t>\ldots,</w:t>
      </w:r>
      <w:r>
        <w:br/>
        <w:t>R_B^{(n)}</w:t>
      </w:r>
      <w:r>
        <w:br/>
      </w:r>
      <w:r>
        <w:lastRenderedPageBreak/>
        <w:t>\tag{3.11927}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R_B^{(1)},R_B^{(2)},\ldots,R_B^{(n)}</w:t>
      </w:r>
    </w:p>
    <w:p w:rsidR="00F51628" w:rsidRDefault="00F51628" w:rsidP="00F51628">
      <w:pPr>
        <w:pStyle w:val="StandardWeb"/>
      </w:pPr>
      <w:r>
        <w:t>Hinweise auf strukturelle Defizite einer Modellierung liefern.</w:t>
      </w:r>
    </w:p>
    <w:p w:rsidR="00F51628" w:rsidRDefault="00F51628" w:rsidP="00F51628">
      <w:pPr>
        <w:pStyle w:val="StandardWeb"/>
      </w:pPr>
      <w:r>
        <w:t>Ein mögliches Diagnosekriterium lautet daher</w:t>
      </w:r>
    </w:p>
    <w:p w:rsidR="00F51628" w:rsidRDefault="00F51628" w:rsidP="00F51628">
      <w:pPr>
        <w:pStyle w:val="StandardWeb"/>
      </w:pPr>
      <w:r>
        <w:t>[</w:t>
      </w:r>
      <w:r>
        <w:br/>
        <w:t>\left|</w:t>
      </w:r>
      <w:r>
        <w:br/>
        <w:t>\frac{1}{n}</w:t>
      </w:r>
      <w:r>
        <w:br/>
        <w:t>\sum_{k=1}^{n}</w:t>
      </w:r>
      <w:r>
        <w:br/>
        <w:t>R_B^{(k)}</w:t>
      </w:r>
      <w:r>
        <w:br/>
        <w:t>\right|</w:t>
      </w:r>
    </w:p>
    <w:p w:rsidR="00F51628" w:rsidRDefault="00F51628" w:rsidP="00F51628">
      <w:pPr>
        <w:pStyle w:val="StandardWeb"/>
      </w:pPr>
      <w:r>
        <w:t>\varepsilon_{\mathrm{sys}}.</w:t>
      </w:r>
      <w:r>
        <w:br/>
        <w:t>\tag{3.11928}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\left|\frac{1}{n}\sum_{k=1}^{n}R_B^{(k)}\right|&gt;\varepsilon_{\mathrm{sys}}</w:t>
      </w:r>
    </w:p>
    <w:p w:rsidR="00F51628" w:rsidRDefault="00F51628" w:rsidP="00F51628">
      <w:pPr>
        <w:pStyle w:val="StandardWeb"/>
      </w:pPr>
      <w:r>
        <w:t>Eine solche Bedingung wäre jedoch eine spätere Operationalisierung und kein Primäraxiom.</w:t>
      </w:r>
    </w:p>
    <w:p w:rsidR="00F51628" w:rsidRDefault="00E50336" w:rsidP="00F51628">
      <w:r>
        <w:pict>
          <v:rect id="_x0000_i4152" style="width:0;height:1.5pt" o:hralign="center" o:hrstd="t" o:hr="t" fillcolor="#a0a0a0" stroked="f"/>
        </w:pict>
      </w:r>
    </w:p>
    <w:p w:rsidR="00F51628" w:rsidRDefault="00F51628" w:rsidP="00F51628">
      <w:pPr>
        <w:pStyle w:val="berschrift1"/>
      </w:pPr>
      <w:r>
        <w:t>3.3.47.277 Methodologische Bedeutung approximativer Erhaltung</w:t>
      </w:r>
    </w:p>
    <w:p w:rsidR="00F51628" w:rsidRDefault="00F51628" w:rsidP="00F51628">
      <w:pPr>
        <w:pStyle w:val="StandardWeb"/>
      </w:pPr>
      <w:r>
        <w:t>Auch die Einführung einer Toleranz</w:t>
      </w:r>
    </w:p>
    <w:p w:rsidR="00F51628" w:rsidRDefault="00F51628" w:rsidP="00F51628">
      <w:pPr>
        <w:pStyle w:val="StandardWeb"/>
      </w:pPr>
      <w:r>
        <w:t>[</w:t>
      </w:r>
      <w:r>
        <w:br/>
        <w:t>|\Delta_TQ_F|</w:t>
      </w:r>
      <w:r>
        <w:br/>
        <w:t>\leq</w:t>
      </w:r>
      <w:r>
        <w:br/>
        <w:t>\varepsilon_Q</w:t>
      </w:r>
      <w:r>
        <w:br/>
        <w:t>\tag{3.11929}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|\Delta_TQ_F|\leq\varepsilon_Q</w:t>
      </w:r>
    </w:p>
    <w:p w:rsidR="00F51628" w:rsidRDefault="00F51628" w:rsidP="00F51628">
      <w:pPr>
        <w:pStyle w:val="StandardWeb"/>
      </w:pPr>
      <w:r>
        <w:t>ist methodologisch bedeutsam.</w:t>
      </w:r>
    </w:p>
    <w:p w:rsidR="00F51628" w:rsidRDefault="00F51628" w:rsidP="00F51628">
      <w:pPr>
        <w:pStyle w:val="StandardWeb"/>
      </w:pPr>
      <w:r>
        <w:t>Sie verhindert, dass ich empirische oder numerische Daten nur anhand einer mathematisch exakten Nullbedingung klassifiziere.</w:t>
      </w:r>
    </w:p>
    <w:p w:rsidR="00F51628" w:rsidRDefault="00E50336" w:rsidP="00F51628">
      <w:r>
        <w:lastRenderedPageBreak/>
        <w:pict>
          <v:rect id="_x0000_i4153" style="width:0;height:1.5pt" o:hralign="center" o:hrstd="t" o:hr="t" fillcolor="#a0a0a0" stroked="f"/>
        </w:pict>
      </w:r>
    </w:p>
    <w:p w:rsidR="00F51628" w:rsidRDefault="00F51628" w:rsidP="00F51628">
      <w:pPr>
        <w:pStyle w:val="berschrift1"/>
      </w:pPr>
      <w:r>
        <w:t>3.3.47.278 Exakte und empirische Ebene</w:t>
      </w:r>
    </w:p>
    <w:p w:rsidR="00F51628" w:rsidRDefault="00F51628" w:rsidP="00F51628">
      <w:pPr>
        <w:pStyle w:val="StandardWeb"/>
      </w:pPr>
      <w:r>
        <w:t>Ich trenne deshalb ausdrücklich</w:t>
      </w:r>
    </w:p>
    <w:p w:rsidR="00F51628" w:rsidRDefault="00F51628" w:rsidP="00F51628">
      <w:pPr>
        <w:pStyle w:val="StandardWeb"/>
      </w:pPr>
      <w:r>
        <w:t>[</w:t>
      </w:r>
      <w:r>
        <w:br/>
        <w:t>\operatorname{Cons}^{\mathrm{exact}}</w:t>
      </w:r>
      <w:r>
        <w:br/>
        <w:t>:</w:t>
      </w:r>
      <w:r>
        <w:br/>
        <w:t>\Delta_TQ_F=0</w:t>
      </w:r>
      <w:r>
        <w:br/>
        <w:t>\tag{3.11930}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\operatorname{Cons}^{\mathrm{exact}}:\Delta_TQ_F=0</w:t>
      </w:r>
    </w:p>
    <w:p w:rsidR="00F51628" w:rsidRDefault="00F51628" w:rsidP="00F51628">
      <w:pPr>
        <w:pStyle w:val="StandardWeb"/>
      </w:pPr>
      <w:r>
        <w:t>von</w:t>
      </w:r>
    </w:p>
    <w:p w:rsidR="00F51628" w:rsidRDefault="00F51628" w:rsidP="00F51628">
      <w:pPr>
        <w:pStyle w:val="StandardWeb"/>
      </w:pPr>
      <w:r>
        <w:t>[</w:t>
      </w:r>
      <w:r>
        <w:br/>
        <w:t>\operatorname{Cons}^{\mathrm{emp}}</w:t>
      </w:r>
      <w:r>
        <w:br/>
        <w:t>:</w:t>
      </w:r>
      <w:r>
        <w:br/>
        <w:t>|\Delta_TQ_F|</w:t>
      </w:r>
      <w:r>
        <w:br/>
        <w:t>\leq</w:t>
      </w:r>
      <w:r>
        <w:br/>
        <w:t>\varepsilon_Q.</w:t>
      </w:r>
      <w:r>
        <w:br/>
        <w:t>\tag{3.11931}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\operatorname{Cons}^{\mathrm{emp}}:|\Delta_TQ_F|\leq\varepsilon_Q</w:t>
      </w:r>
    </w:p>
    <w:p w:rsidR="00F51628" w:rsidRDefault="00F51628" w:rsidP="00F51628">
      <w:pPr>
        <w:pStyle w:val="StandardWeb"/>
      </w:pPr>
      <w:r>
        <w:t>Die erste Beziehung ist eine mathematische Exaktheitsbedingung, die zweite eine operationalisierte empirische Klassifikation.</w:t>
      </w:r>
    </w:p>
    <w:p w:rsidR="00F51628" w:rsidRDefault="00E50336" w:rsidP="00F51628">
      <w:r>
        <w:pict>
          <v:rect id="_x0000_i4154" style="width:0;height:1.5pt" o:hralign="center" o:hrstd="t" o:hr="t" fillcolor="#a0a0a0" stroked="f"/>
        </w:pict>
      </w:r>
    </w:p>
    <w:p w:rsidR="00F51628" w:rsidRDefault="00F51628" w:rsidP="00F51628">
      <w:pPr>
        <w:pStyle w:val="berschrift1"/>
      </w:pPr>
      <w:r>
        <w:t>3.3.47.279 Keine universelle Toleranz</w:t>
      </w:r>
    </w:p>
    <w:p w:rsidR="00F51628" w:rsidRDefault="00F51628" w:rsidP="00F51628">
      <w:pPr>
        <w:pStyle w:val="StandardWeb"/>
      </w:pPr>
      <w:r>
        <w:t>Die Toleranz</w:t>
      </w:r>
    </w:p>
    <w:p w:rsidR="00F51628" w:rsidRDefault="00F51628" w:rsidP="00F51628">
      <w:pPr>
        <w:pStyle w:val="StandardWeb"/>
      </w:pPr>
      <w:r>
        <w:t>[</w:t>
      </w:r>
      <w:r>
        <w:br/>
        <w:t>\varepsilon_Q</w:t>
      </w:r>
      <w:r>
        <w:br/>
        <w:t>\tag{3.11932}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\varepsilon_Q</w:t>
      </w:r>
    </w:p>
    <w:p w:rsidR="00F51628" w:rsidRDefault="00F51628" w:rsidP="00F51628">
      <w:pPr>
        <w:pStyle w:val="StandardWeb"/>
      </w:pPr>
      <w:r>
        <w:t>kann nicht theorieunabhängig festgelegt werden.</w:t>
      </w:r>
    </w:p>
    <w:p w:rsidR="00F51628" w:rsidRDefault="00F51628" w:rsidP="00F51628">
      <w:pPr>
        <w:pStyle w:val="StandardWeb"/>
      </w:pPr>
      <w:r>
        <w:lastRenderedPageBreak/>
        <w:t>Daher gilt</w:t>
      </w:r>
    </w:p>
    <w:p w:rsidR="00F51628" w:rsidRDefault="00F51628" w:rsidP="00F51628">
      <w:pPr>
        <w:pStyle w:val="berschrift1"/>
      </w:pPr>
      <w:r>
        <w:t>[</w:t>
      </w:r>
      <w:r>
        <w:br/>
        <w:t>\boxed{</w:t>
      </w:r>
      <w:r>
        <w:br/>
        <w:t>\varepsilon_Q</w:t>
      </w:r>
    </w:p>
    <w:p w:rsidR="00F51628" w:rsidRDefault="00F51628" w:rsidP="00F51628">
      <w:pPr>
        <w:pStyle w:val="StandardWeb"/>
      </w:pPr>
      <w:r>
        <w:t>\varepsilon_Q</w:t>
      </w:r>
      <w:r>
        <w:br/>
        <w:t>(\text{Messverfahren},</w:t>
      </w:r>
      <w:r>
        <w:br/>
        <w:t>\text{Skala},</w:t>
      </w:r>
      <w:r>
        <w:br/>
        <w:t>\text{Modell},</w:t>
      </w:r>
      <w:r>
        <w:br/>
        <w:t>\text{Fragestellung}).</w:t>
      </w:r>
      <w:r>
        <w:br/>
        <w:t>}</w:t>
      </w:r>
      <w:r>
        <w:br/>
        <w:t>\tag{3.11933}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\boxed{\varepsilon_Q=\varepsilon_Q(\text{Messverfahren},\text{Skala},\text{Modell},\text{Fragestellung}).}</w:t>
      </w:r>
    </w:p>
    <w:p w:rsidR="00F51628" w:rsidRDefault="00E50336" w:rsidP="00F51628">
      <w:r>
        <w:pict>
          <v:rect id="_x0000_i4155" style="width:0;height:1.5pt" o:hralign="center" o:hrstd="t" o:hr="t" fillcolor="#a0a0a0" stroked="f"/>
        </w:pict>
      </w:r>
    </w:p>
    <w:p w:rsidR="00F51628" w:rsidRDefault="00F51628" w:rsidP="00F51628">
      <w:pPr>
        <w:pStyle w:val="berschrift1"/>
      </w:pPr>
      <w:r>
        <w:t>3.3.47.280 Methodologische Trennung vom Noether-Theorem</w:t>
      </w:r>
    </w:p>
    <w:p w:rsidR="00F51628" w:rsidRDefault="00F51628" w:rsidP="00F51628">
      <w:pPr>
        <w:pStyle w:val="StandardWeb"/>
      </w:pPr>
      <w:r>
        <w:t>Ein weiterer zentraler Punkt betrifft das Noether-Theorem.</w:t>
      </w:r>
    </w:p>
    <w:p w:rsidR="00F51628" w:rsidRDefault="00F51628" w:rsidP="00F51628">
      <w:pPr>
        <w:pStyle w:val="StandardWeb"/>
      </w:pPr>
      <w:r>
        <w:t>Aus</w:t>
      </w:r>
    </w:p>
    <w:p w:rsidR="00F51628" w:rsidRDefault="00F51628" w:rsidP="00F51628">
      <w:pPr>
        <w:pStyle w:val="StandardWeb"/>
      </w:pPr>
      <w:r>
        <w:t>[</w:t>
      </w:r>
      <w:r>
        <w:br/>
        <w:t>\Delta_TQ_F=0</w:t>
      </w:r>
      <w:r>
        <w:br/>
        <w:t>\tag{3.11934}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\Delta_TQ_F=0</w:t>
      </w:r>
    </w:p>
    <w:p w:rsidR="00F51628" w:rsidRDefault="00F51628" w:rsidP="00F51628">
      <w:pPr>
        <w:pStyle w:val="StandardWeb"/>
      </w:pPr>
      <w:r>
        <w:t>folgt innerhalb des hier entwickelten allgemeinen FRZK nicht automatisch eine kontinuierliche Symmetrie.</w:t>
      </w:r>
    </w:p>
    <w:p w:rsidR="00F51628" w:rsidRDefault="00F51628" w:rsidP="00F51628">
      <w:pPr>
        <w:pStyle w:val="StandardWeb"/>
      </w:pPr>
      <w:r>
        <w:t>Daher bleibt</w:t>
      </w:r>
    </w:p>
    <w:p w:rsidR="00F51628" w:rsidRDefault="00F51628" w:rsidP="00F51628">
      <w:pPr>
        <w:pStyle w:val="StandardWeb"/>
      </w:pPr>
      <w:r>
        <w:t>[</w:t>
      </w:r>
      <w:r>
        <w:br/>
        <w:t>\boxed{</w:t>
      </w:r>
      <w:r>
        <w:br/>
        <w:t>\operatorname{Cons}_Q</w:t>
      </w:r>
      <w:r>
        <w:br/>
        <w:t>\not\Rightarrow</w:t>
      </w:r>
      <w:r>
        <w:br/>
        <w:t>\operatorname{Noether}_Q.</w:t>
      </w:r>
      <w:r>
        <w:br/>
        <w:t>}</w:t>
      </w:r>
      <w:r>
        <w:br/>
      </w:r>
      <w:r>
        <w:lastRenderedPageBreak/>
        <w:t>\tag{3.11935}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\boxed{\operatorname{Cons}_Q\not\Rightarrow\operatorname{Noether}_Q.}</w:t>
      </w:r>
    </w:p>
    <w:p w:rsidR="00F51628" w:rsidRDefault="00F51628" w:rsidP="00F51628">
      <w:pPr>
        <w:pStyle w:val="StandardWeb"/>
      </w:pPr>
      <w:r>
        <w:t>Eine solche Beziehung kann erst in einer späteren Modellklasse untersucht werden, die die hierfür erforderlichen kontinuierlichen Strukturen bereitstellt.</w:t>
      </w:r>
    </w:p>
    <w:p w:rsidR="00F51628" w:rsidRDefault="00E50336" w:rsidP="00F51628">
      <w:r>
        <w:pict>
          <v:rect id="_x0000_i4156" style="width:0;height:1.5pt" o:hralign="center" o:hrstd="t" o:hr="t" fillcolor="#a0a0a0" stroked="f"/>
        </w:pict>
      </w:r>
    </w:p>
    <w:p w:rsidR="00F51628" w:rsidRDefault="00F51628" w:rsidP="00F51628">
      <w:pPr>
        <w:pStyle w:val="berschrift1"/>
      </w:pPr>
      <w:r>
        <w:t>3.3.47.281 Methodologische Gesamtregel</w:t>
      </w:r>
    </w:p>
    <w:p w:rsidR="00F51628" w:rsidRDefault="00F51628" w:rsidP="00F51628">
      <w:pPr>
        <w:pStyle w:val="StandardWeb"/>
      </w:pPr>
      <w:r>
        <w:t>Aus Abschnitt 3.3.47 ergibt sich für mich damit die allgemeine Regel</w:t>
      </w:r>
    </w:p>
    <w:p w:rsidR="00F51628" w:rsidRDefault="00F51628" w:rsidP="00F51628">
      <w:pPr>
        <w:pStyle w:val="StandardWeb"/>
      </w:pPr>
      <w:r>
        <w:t>[</w:t>
      </w:r>
      <w:r>
        <w:br/>
        <w:t>\boxed{</w:t>
      </w:r>
      <w:r>
        <w:br/>
        <w:t>\text{Erhaltungsstruktur}</w:t>
      </w:r>
      <w:r>
        <w:br/>
        <w:t>\Rightarrow</w:t>
      </w:r>
      <w:r>
        <w:br/>
        <w:t>\text{prüfbare Modellstruktur},</w:t>
      </w:r>
      <w:r>
        <w:br/>
        <w:t>\quad</w:t>
      </w:r>
      <w:r>
        <w:br/>
        <w:t>\text{nicht automatisch Primäraxiom}.</w:t>
      </w:r>
      <w:r>
        <w:br/>
        <w:t>}</w:t>
      </w:r>
      <w:r>
        <w:br/>
        <w:t>\tag{3.11936}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\boxed{\text{Erhaltungsstruktur}\Rightarrow\text{prüfbare Modellstruktur},\quad\text{nicht automatisch Primäraxiom}.}</w:t>
      </w:r>
    </w:p>
    <w:p w:rsidR="00F51628" w:rsidRDefault="00E50336" w:rsidP="00F51628">
      <w:r>
        <w:pict>
          <v:rect id="_x0000_i4157" style="width:0;height:1.5pt" o:hralign="center" o:hrstd="t" o:hr="t" fillcolor="#a0a0a0" stroked="f"/>
        </w:pict>
      </w:r>
    </w:p>
    <w:p w:rsidR="00F51628" w:rsidRDefault="00F51628" w:rsidP="00F51628">
      <w:pPr>
        <w:pStyle w:val="berschrift1"/>
      </w:pPr>
      <w:r>
        <w:t>3.3.47.282 Didaktische Betrachtungen</w:t>
      </w:r>
    </w:p>
    <w:p w:rsidR="00F51628" w:rsidRDefault="00F51628" w:rsidP="00F51628">
      <w:pPr>
        <w:pStyle w:val="StandardWeb"/>
      </w:pPr>
      <w:r>
        <w:t>Didaktisch beginne ich die Erhaltungsbetrachtung bewusst nicht mit Energie, Impuls oder Ladung. Diese Begriffe würden beim Leser sofort physikalische Vorstellungen aktivieren, die für die allgemeine FRZK-Struktur noch nicht vorausgesetzt werden dürfen.</w:t>
      </w:r>
    </w:p>
    <w:p w:rsidR="00F51628" w:rsidRDefault="00F51628" w:rsidP="00F51628">
      <w:pPr>
        <w:pStyle w:val="StandardWeb"/>
      </w:pPr>
      <w:r>
        <w:t>Stattdessen beginne ich mit der elementaren Differenz</w:t>
      </w:r>
    </w:p>
    <w:p w:rsidR="00F51628" w:rsidRDefault="00F51628" w:rsidP="00F51628">
      <w:pPr>
        <w:pStyle w:val="StandardWeb"/>
      </w:pPr>
      <w:r>
        <w:t>[</w:t>
      </w:r>
      <w:r>
        <w:br/>
        <w:t>Q_F(z_j)-Q_F(z_i).</w:t>
      </w:r>
      <w:r>
        <w:br/>
        <w:t>\tag{3.11937}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Q_F(z_j)-Q_F(z_i)</w:t>
      </w:r>
    </w:p>
    <w:p w:rsidR="00F51628" w:rsidRDefault="00F51628" w:rsidP="00F51628">
      <w:pPr>
        <w:pStyle w:val="StandardWeb"/>
      </w:pPr>
      <w:r>
        <w:t>Damit lässt sich zunächst nur die Frage stellen:</w:t>
      </w:r>
    </w:p>
    <w:p w:rsidR="00F51628" w:rsidRDefault="00F51628" w:rsidP="00F51628">
      <w:pPr>
        <w:pStyle w:val="StandardWeb"/>
      </w:pPr>
      <w:r>
        <w:lastRenderedPageBreak/>
        <w:t>Hat sich der betrachtete Wert verändert oder nicht?</w:t>
      </w:r>
    </w:p>
    <w:p w:rsidR="00F51628" w:rsidRDefault="00E50336" w:rsidP="00F51628">
      <w:r>
        <w:pict>
          <v:rect id="_x0000_i4158" style="width:0;height:1.5pt" o:hralign="center" o:hrstd="t" o:hr="t" fillcolor="#a0a0a0" stroked="f"/>
        </w:pict>
      </w:r>
    </w:p>
    <w:p w:rsidR="00F51628" w:rsidRDefault="00F51628" w:rsidP="00F51628">
      <w:pPr>
        <w:pStyle w:val="berschrift1"/>
      </w:pPr>
      <w:r>
        <w:t>3.3.47.283 Didaktischer Einstieg über drei Fälle</w:t>
      </w:r>
    </w:p>
    <w:p w:rsidR="00F51628" w:rsidRDefault="00F51628" w:rsidP="00F51628">
      <w:pPr>
        <w:pStyle w:val="StandardWeb"/>
      </w:pPr>
      <w:r>
        <w:t>Die drei elementaren Fälle</w:t>
      </w:r>
    </w:p>
    <w:p w:rsidR="00F51628" w:rsidRDefault="00F51628" w:rsidP="00F51628">
      <w:pPr>
        <w:pStyle w:val="StandardWeb"/>
      </w:pPr>
      <w:r>
        <w:t>[</w:t>
      </w:r>
      <w:r>
        <w:br/>
        <w:t>\Delta_TQ_F&gt;0,</w:t>
      </w:r>
      <w:r>
        <w:br/>
        <w:t>\qquad</w:t>
      </w:r>
      <w:r>
        <w:br/>
        <w:t>\Delta_TQ_F=0,</w:t>
      </w:r>
      <w:r>
        <w:br/>
        <w:t>\qquad</w:t>
      </w:r>
      <w:r>
        <w:br/>
        <w:t>\Delta_TQ_F&lt;0</w:t>
      </w:r>
      <w:r>
        <w:br/>
        <w:t>\tag{3.11938}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\Delta_TQ_F&gt;0,\qquad\Delta_TQ_F=0,\qquad\Delta_TQ_F&lt;0</w:t>
      </w:r>
    </w:p>
    <w:p w:rsidR="00F51628" w:rsidRDefault="00F51628" w:rsidP="00F51628">
      <w:pPr>
        <w:pStyle w:val="StandardWeb"/>
      </w:pPr>
      <w:r>
        <w:t>lassen sich unmittelbar als Zunahme, Erhaltung und Abnahme verstehen.</w:t>
      </w:r>
    </w:p>
    <w:p w:rsidR="00F51628" w:rsidRDefault="00F51628" w:rsidP="00F51628">
      <w:pPr>
        <w:pStyle w:val="StandardWeb"/>
      </w:pPr>
      <w:r>
        <w:t>Erst danach führe ich Gewinn und Verlust ein.</w:t>
      </w:r>
    </w:p>
    <w:p w:rsidR="00F51628" w:rsidRDefault="00E50336" w:rsidP="00F51628">
      <w:r>
        <w:pict>
          <v:rect id="_x0000_i4159" style="width:0;height:1.5pt" o:hralign="center" o:hrstd="t" o:hr="t" fillcolor="#a0a0a0" stroked="f"/>
        </w:pict>
      </w:r>
    </w:p>
    <w:p w:rsidR="00F51628" w:rsidRDefault="00F51628" w:rsidP="00F51628">
      <w:pPr>
        <w:pStyle w:val="berschrift1"/>
      </w:pPr>
      <w:r>
        <w:t>3.3.47.284 Didaktische Bedeutung der Gewinn-Verlust-Zerlegung</w:t>
      </w:r>
    </w:p>
    <w:p w:rsidR="00F51628" w:rsidRDefault="00F51628" w:rsidP="00F51628">
      <w:pPr>
        <w:pStyle w:val="StandardWeb"/>
      </w:pPr>
      <w:r>
        <w:t>Die Zerlegung</w:t>
      </w:r>
    </w:p>
    <w:p w:rsidR="00F51628" w:rsidRDefault="00F51628" w:rsidP="00F51628">
      <w:pPr>
        <w:pStyle w:val="berschrift1"/>
      </w:pPr>
      <w:r>
        <w:t>[</w:t>
      </w:r>
      <w:r>
        <w:br/>
        <w:t>\Delta_TQ_F</w:t>
      </w:r>
    </w:p>
    <w:p w:rsidR="00F51628" w:rsidRDefault="00F51628" w:rsidP="00F51628">
      <w:pPr>
        <w:pStyle w:val="StandardWeb"/>
      </w:pPr>
      <w:r>
        <w:t>G_Q-L_Q</w:t>
      </w:r>
      <w:r>
        <w:br/>
        <w:t>\tag{3.11939}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\Delta_TQ_F=G_Q-L_Q</w:t>
      </w:r>
    </w:p>
    <w:p w:rsidR="00F51628" w:rsidRDefault="00F51628" w:rsidP="00F51628">
      <w:pPr>
        <w:pStyle w:val="StandardWeb"/>
      </w:pPr>
      <w:r>
        <w:t>ist didaktisch besonders geeignet, weil sie eine vorzeichenbehaftete Änderung in zwei nichtnegative Größen zerlegt.</w:t>
      </w:r>
    </w:p>
    <w:p w:rsidR="00F51628" w:rsidRDefault="00F51628" w:rsidP="00F51628">
      <w:pPr>
        <w:pStyle w:val="StandardWeb"/>
      </w:pPr>
      <w:r>
        <w:t>Der Leser kann damit zwischen „wie viel nimmt zu?“ und „wie viel nimmt ab?“ unterscheiden.</w:t>
      </w:r>
    </w:p>
    <w:p w:rsidR="00F51628" w:rsidRDefault="00E50336" w:rsidP="00F51628">
      <w:r>
        <w:lastRenderedPageBreak/>
        <w:pict>
          <v:rect id="_x0000_i4160" style="width:0;height:1.5pt" o:hralign="center" o:hrstd="t" o:hr="t" fillcolor="#a0a0a0" stroked="f"/>
        </w:pict>
      </w:r>
    </w:p>
    <w:p w:rsidR="00F51628" w:rsidRDefault="00F51628" w:rsidP="00F51628">
      <w:pPr>
        <w:pStyle w:val="berschrift1"/>
      </w:pPr>
      <w:r>
        <w:t>3.3.47.285 Didaktische Bedeutung der Pfadbetrachtung</w:t>
      </w:r>
    </w:p>
    <w:p w:rsidR="00F51628" w:rsidRDefault="00F51628" w:rsidP="00F51628">
      <w:pPr>
        <w:pStyle w:val="StandardWeb"/>
      </w:pPr>
      <w:r>
        <w:t>Die Pfadgleichung</w:t>
      </w:r>
    </w:p>
    <w:p w:rsidR="00F51628" w:rsidRDefault="00F51628" w:rsidP="00F51628">
      <w:pPr>
        <w:pStyle w:val="berschrift1"/>
      </w:pPr>
      <w:r>
        <w:t>[</w:t>
      </w:r>
      <w:r>
        <w:br/>
        <w:t>\Delta_\gamma Q_F</w:t>
      </w:r>
    </w:p>
    <w:p w:rsidR="00F51628" w:rsidRDefault="00F51628" w:rsidP="00F51628">
      <w:pPr>
        <w:pStyle w:val="StandardWeb"/>
      </w:pPr>
      <w:r>
        <w:t>\sum_k</w:t>
      </w:r>
      <w:r>
        <w:br/>
        <w:t>\Delta_TQ_F^{(k)}</w:t>
      </w:r>
      <w:r>
        <w:br/>
        <w:t>\tag{3.11940}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\Delta_\gamma Q_F=\sum_k\Delta_TQ_F^{(k)}</w:t>
      </w:r>
    </w:p>
    <w:p w:rsidR="00F51628" w:rsidRDefault="00F51628" w:rsidP="00F51628">
      <w:pPr>
        <w:pStyle w:val="StandardWeb"/>
      </w:pPr>
      <w:r>
        <w:t>macht anschließend sichtbar, dass lokale Änderungen sich über mehrere Schritte kumulieren oder gegenseitig kompensieren können.</w:t>
      </w:r>
    </w:p>
    <w:p w:rsidR="00F51628" w:rsidRDefault="00E50336" w:rsidP="00F51628">
      <w:r>
        <w:pict>
          <v:rect id="_x0000_i4161" style="width:0;height:1.5pt" o:hralign="center" o:hrstd="t" o:hr="t" fillcolor="#a0a0a0" stroked="f"/>
        </w:pict>
      </w:r>
    </w:p>
    <w:p w:rsidR="00F51628" w:rsidRDefault="00F51628" w:rsidP="00F51628">
      <w:pPr>
        <w:pStyle w:val="berschrift1"/>
      </w:pPr>
      <w:r>
        <w:t>3.3.47.286 Didaktischer Übergang zur Bilanz</w:t>
      </w:r>
    </w:p>
    <w:p w:rsidR="00F51628" w:rsidRDefault="00F51628" w:rsidP="00F51628">
      <w:pPr>
        <w:pStyle w:val="StandardWeb"/>
      </w:pPr>
      <w:r>
        <w:t xml:space="preserve">Erst nachdem die Nettoänderung verstanden ist, führe ich die Frage ein, </w:t>
      </w:r>
      <w:r>
        <w:rPr>
          <w:rStyle w:val="Fett"/>
        </w:rPr>
        <w:t>woher</w:t>
      </w:r>
      <w:r>
        <w:t xml:space="preserve"> die Änderung stammt.</w:t>
      </w:r>
    </w:p>
    <w:p w:rsidR="00F51628" w:rsidRDefault="00F51628" w:rsidP="00F51628">
      <w:pPr>
        <w:pStyle w:val="StandardWeb"/>
      </w:pPr>
      <w:r>
        <w:t>Die Bilanz</w:t>
      </w:r>
    </w:p>
    <w:p w:rsidR="00F51628" w:rsidRDefault="00F51628" w:rsidP="00F51628">
      <w:pPr>
        <w:pStyle w:val="berschrift1"/>
      </w:pPr>
      <w:r>
        <w:t>[</w:t>
      </w:r>
      <w:r>
        <w:br/>
        <w:t>\Delta_TQ_F</w:t>
      </w:r>
    </w:p>
    <w:p w:rsidR="00F51628" w:rsidRDefault="00F51628" w:rsidP="00F51628">
      <w:pPr>
        <w:pStyle w:val="berschrift2"/>
      </w:pPr>
      <w:r>
        <w:t>S_Q^{+}</w:t>
      </w:r>
    </w:p>
    <w:p w:rsidR="00F51628" w:rsidRDefault="00F51628" w:rsidP="00F51628">
      <w:pPr>
        <w:pStyle w:val="berschrift2"/>
      </w:pPr>
      <w:r>
        <w:t>S_Q^{-}</w:t>
      </w:r>
      <w:r>
        <w:br/>
        <w:t>+</w:t>
      </w:r>
      <w:r>
        <w:br/>
        <w:t>J_Q^{\mathrm{in}}</w:t>
      </w:r>
    </w:p>
    <w:p w:rsidR="00F51628" w:rsidRDefault="00F51628" w:rsidP="00F51628">
      <w:pPr>
        <w:pStyle w:val="StandardWeb"/>
      </w:pPr>
      <w:r>
        <w:t>J_Q^{\mathrm{out}}</w:t>
      </w:r>
      <w:r>
        <w:br/>
        <w:t>\tag{3.11941}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lastRenderedPageBreak/>
        <w:t>\Delta_TQ_F=S_Q^{+}-S_Q^{-}+J_Q^{\mathrm{in}}-J_Q^{\mathrm{out}}</w:t>
      </w:r>
    </w:p>
    <w:p w:rsidR="00F51628" w:rsidRDefault="00F51628" w:rsidP="00F51628">
      <w:pPr>
        <w:pStyle w:val="StandardWeb"/>
      </w:pPr>
      <w:r>
        <w:t>kann dann als einfache sprachliche Regel gelesen werden:</w:t>
      </w:r>
    </w:p>
    <w:p w:rsidR="00F51628" w:rsidRDefault="00F51628" w:rsidP="00F51628">
      <w:pPr>
        <w:pStyle w:val="berschrift1"/>
      </w:pPr>
      <w:r>
        <w:t>[</w:t>
      </w:r>
      <w:r>
        <w:br/>
        <w:t>\text{Änderung}</w:t>
      </w:r>
    </w:p>
    <w:p w:rsidR="00F51628" w:rsidRDefault="00F51628" w:rsidP="00F51628">
      <w:pPr>
        <w:pStyle w:val="berschrift2"/>
      </w:pPr>
      <w:r>
        <w:t>\text{Erzeugung}</w:t>
      </w:r>
    </w:p>
    <w:p w:rsidR="00F51628" w:rsidRDefault="00F51628" w:rsidP="00F51628">
      <w:pPr>
        <w:pStyle w:val="berschrift2"/>
      </w:pPr>
      <w:r>
        <w:t>\text{Abbau}</w:t>
      </w:r>
      <w:r>
        <w:br/>
        <w:t>+</w:t>
      </w:r>
      <w:r>
        <w:br/>
        <w:t>\text{Zufluss}</w:t>
      </w:r>
    </w:p>
    <w:p w:rsidR="00F51628" w:rsidRDefault="00F51628" w:rsidP="00F51628">
      <w:pPr>
        <w:pStyle w:val="StandardWeb"/>
      </w:pPr>
      <w:r>
        <w:t>\text{Abfluss}.</w:t>
      </w:r>
      <w:r>
        <w:br/>
        <w:t>\tag{3.11942}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\text{Änderung}=\text{Erzeugung}-\text{Abbau}+\text{Zufluss}-\text{Abfluss}</w:t>
      </w:r>
    </w:p>
    <w:p w:rsidR="00F51628" w:rsidRDefault="00E50336" w:rsidP="00F51628">
      <w:r>
        <w:pict>
          <v:rect id="_x0000_i4162" style="width:0;height:1.5pt" o:hralign="center" o:hrstd="t" o:hr="t" fillcolor="#a0a0a0" stroked="f"/>
        </w:pict>
      </w:r>
    </w:p>
    <w:p w:rsidR="00F51628" w:rsidRDefault="00F51628" w:rsidP="00F51628">
      <w:pPr>
        <w:pStyle w:val="berschrift1"/>
      </w:pPr>
      <w:r>
        <w:t>3.3.47.287 Didaktische Bedeutung des Netzwerkbildes</w:t>
      </w:r>
    </w:p>
    <w:p w:rsidR="00F51628" w:rsidRDefault="00F51628" w:rsidP="00F51628">
      <w:pPr>
        <w:pStyle w:val="StandardWeb"/>
      </w:pPr>
      <w:r>
        <w:t>Das Netzwerk</w:t>
      </w:r>
    </w:p>
    <w:p w:rsidR="00F51628" w:rsidRDefault="00F51628" w:rsidP="00F51628">
      <w:pPr>
        <w:pStyle w:val="berschrift1"/>
      </w:pPr>
      <w:r>
        <w:t>[</w:t>
      </w:r>
      <w:r>
        <w:br/>
        <w:t>\mathcal N_Q</w:t>
      </w:r>
    </w:p>
    <w:p w:rsidR="00F51628" w:rsidRDefault="00F51628" w:rsidP="00F51628">
      <w:pPr>
        <w:pStyle w:val="StandardWeb"/>
      </w:pPr>
      <w:r>
        <w:t>(V_Q,E_Q)</w:t>
      </w:r>
      <w:r>
        <w:br/>
        <w:t>\tag{3.11943}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\mathcal N_Q=(V_Q,E_Q)</w:t>
      </w:r>
    </w:p>
    <w:p w:rsidR="00F51628" w:rsidRDefault="00F51628" w:rsidP="00F51628">
      <w:pPr>
        <w:pStyle w:val="StandardWeb"/>
      </w:pPr>
      <w:r>
        <w:t>liefert anschließend eine anschauliche Erweiterung.</w:t>
      </w:r>
    </w:p>
    <w:p w:rsidR="00F51628" w:rsidRDefault="00F51628" w:rsidP="00F51628">
      <w:pPr>
        <w:pStyle w:val="StandardWeb"/>
      </w:pPr>
      <w:r>
        <w:t>Knoten können als Teilbereiche und Kanten als Übertragungswege verstanden werden.</w:t>
      </w:r>
    </w:p>
    <w:p w:rsidR="00F51628" w:rsidRDefault="00E50336" w:rsidP="00F51628">
      <w:r>
        <w:pict>
          <v:rect id="_x0000_i4163" style="width:0;height:1.5pt" o:hralign="center" o:hrstd="t" o:hr="t" fillcolor="#a0a0a0" stroked="f"/>
        </w:pict>
      </w:r>
    </w:p>
    <w:p w:rsidR="00F51628" w:rsidRDefault="00F51628" w:rsidP="00F51628">
      <w:pPr>
        <w:pStyle w:val="berschrift1"/>
      </w:pPr>
      <w:r>
        <w:t>3.3.47.288 Didaktische Bedeutung der internen Flussaufhebung</w:t>
      </w:r>
    </w:p>
    <w:p w:rsidR="00F51628" w:rsidRDefault="00F51628" w:rsidP="00F51628">
      <w:pPr>
        <w:pStyle w:val="StandardWeb"/>
      </w:pPr>
      <w:r>
        <w:lastRenderedPageBreak/>
        <w:t>Besonders anschaulich ist die Beziehung</w:t>
      </w:r>
    </w:p>
    <w:p w:rsidR="00F51628" w:rsidRDefault="00F51628" w:rsidP="00F51628">
      <w:pPr>
        <w:pStyle w:val="berschrift1"/>
      </w:pPr>
      <w:r>
        <w:t>[</w:t>
      </w:r>
      <w:r>
        <w:br/>
        <w:t>-J_{ij}</w:t>
      </w:r>
      <w:r>
        <w:br/>
        <w:t>+</w:t>
      </w:r>
      <w:r>
        <w:br/>
        <w:t>J_{ij}</w:t>
      </w:r>
    </w:p>
    <w:p w:rsidR="00F51628" w:rsidRDefault="00F51628" w:rsidP="00152216">
      <w:pPr>
        <w:numPr>
          <w:ilvl w:val="0"/>
          <w:numId w:val="529"/>
        </w:numPr>
        <w:spacing w:before="100" w:beforeAutospacing="1" w:after="100" w:afterAutospacing="1"/>
      </w:pPr>
    </w:p>
    <w:p w:rsidR="00F51628" w:rsidRDefault="00F51628" w:rsidP="00F51628">
      <w:pPr>
        <w:pStyle w:val="StandardWeb"/>
      </w:pPr>
      <w:r>
        <w:t>\tag{3.11944}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-J_{ij}+J_{ij}=0</w:t>
      </w:r>
    </w:p>
    <w:p w:rsidR="00F51628" w:rsidRDefault="00F51628" w:rsidP="00F51628">
      <w:pPr>
        <w:pStyle w:val="StandardWeb"/>
      </w:pPr>
      <w:r>
        <w:t>Was aus einem Teilbereich herausfließt und vollständig in einen anderen Teilbereich desselben Gesamtsystems hineintritt, verändert die Gesamtmenge nicht.</w:t>
      </w:r>
    </w:p>
    <w:p w:rsidR="00F51628" w:rsidRDefault="00E50336" w:rsidP="00F51628">
      <w:r>
        <w:pict>
          <v:rect id="_x0000_i4164" style="width:0;height:1.5pt" o:hralign="center" o:hrstd="t" o:hr="t" fillcolor="#a0a0a0" stroked="f"/>
        </w:pict>
      </w:r>
    </w:p>
    <w:p w:rsidR="00F51628" w:rsidRDefault="00F51628" w:rsidP="00F51628">
      <w:pPr>
        <w:pStyle w:val="berschrift1"/>
      </w:pPr>
      <w:r>
        <w:t>3.3.47.289 Didaktische Bedeutung geschlossener Zyklen</w:t>
      </w:r>
    </w:p>
    <w:p w:rsidR="00F51628" w:rsidRDefault="00F51628" w:rsidP="00F51628">
      <w:pPr>
        <w:pStyle w:val="StandardWeb"/>
      </w:pPr>
      <w:r>
        <w:t>Für eine Zustandsfunktion führt ein geschlossener Weg wieder zum Ausgangszustand.</w:t>
      </w:r>
    </w:p>
    <w:p w:rsidR="00F51628" w:rsidRDefault="00F51628" w:rsidP="00F51628">
      <w:pPr>
        <w:pStyle w:val="StandardWeb"/>
      </w:pPr>
      <w:r>
        <w:t>Daher gilt</w:t>
      </w:r>
    </w:p>
    <w:p w:rsidR="00F51628" w:rsidRDefault="00F51628" w:rsidP="00F51628">
      <w:pPr>
        <w:pStyle w:val="berschrift1"/>
      </w:pPr>
      <w:r>
        <w:t>[</w:t>
      </w:r>
      <w:r>
        <w:br/>
        <w:t>Q_F(z_{\mathrm{Ende}})</w:t>
      </w:r>
    </w:p>
    <w:p w:rsidR="00F51628" w:rsidRDefault="00F51628" w:rsidP="00F51628">
      <w:pPr>
        <w:pStyle w:val="StandardWeb"/>
      </w:pPr>
      <w:r>
        <w:t>Q_F(z_{\mathrm{Anfang}}).</w:t>
      </w:r>
      <w:r>
        <w:br/>
        <w:t>\tag{3.11945}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Q_F(z_{\mathrm{Ende}})=Q_F(z_{\mathrm{Anfang}})</w:t>
      </w:r>
    </w:p>
    <w:p w:rsidR="00F51628" w:rsidRDefault="00F51628" w:rsidP="00F51628">
      <w:pPr>
        <w:pStyle w:val="StandardWeb"/>
      </w:pPr>
      <w:r>
        <w:t>und damit</w:t>
      </w:r>
    </w:p>
    <w:p w:rsidR="00F51628" w:rsidRDefault="00F51628" w:rsidP="00F51628">
      <w:pPr>
        <w:pStyle w:val="StandardWeb"/>
      </w:pPr>
      <w:r>
        <w:t>[</w:t>
      </w:r>
      <w:r>
        <w:br/>
        <w:t>\Delta_{\gamma_C}Q_F=0.</w:t>
      </w:r>
      <w:r>
        <w:br/>
        <w:t>\tag{3.11946}</w:t>
      </w:r>
      <w:r>
        <w:br/>
        <w:t>]</w:t>
      </w:r>
    </w:p>
    <w:p w:rsidR="00F51628" w:rsidRDefault="00F51628" w:rsidP="00F51628">
      <w:pPr>
        <w:pStyle w:val="StandardWeb"/>
      </w:pPr>
      <w:r>
        <w:rPr>
          <w:rStyle w:val="Fett"/>
        </w:rPr>
        <w:lastRenderedPageBreak/>
        <w:t>Word-LaTeX</w:t>
      </w:r>
    </w:p>
    <w:p w:rsidR="00F51628" w:rsidRDefault="00F51628" w:rsidP="00F51628">
      <w:pPr>
        <w:pStyle w:val="HTMLVorformatiert"/>
        <w:rPr>
          <w:rStyle w:val="HTMLCode"/>
        </w:rPr>
      </w:pPr>
      <w:r>
        <w:rPr>
          <w:rStyle w:val="HTMLCode"/>
        </w:rPr>
        <w:t>\Delta_{\gamma_C}Q_F=0</w:t>
      </w:r>
    </w:p>
    <w:p w:rsidR="00F51628" w:rsidRDefault="00F51628" w:rsidP="00F51628">
      <w:pPr>
        <w:pStyle w:val="StandardWeb"/>
      </w:pPr>
      <w:r>
        <w:t>Diese einfache Vorstellung bereitet den späteren Übergang zu abstrakteren Zyklus- und Potenzialstrukturen vor.</w:t>
      </w:r>
    </w:p>
    <w:p w:rsidR="00F51628" w:rsidRDefault="00E50336" w:rsidP="00F51628">
      <w:r>
        <w:pict>
          <v:rect id="_x0000_i4165" style="width:0;height:1.5pt" o:hralign="center" o:hrstd="t" o:hr="t" fillcolor="#a0a0a0" stroked="f"/>
        </w:pict>
      </w:r>
    </w:p>
    <w:p w:rsidR="00F51628" w:rsidRDefault="00F51628" w:rsidP="00F51628">
      <w:pPr>
        <w:pStyle w:val="berschrift1"/>
      </w:pPr>
      <w:r>
        <w:t>3.3.47.290 Didaktische Bedeutung des Residualbegriffs</w:t>
      </w:r>
    </w:p>
    <w:p w:rsidR="00F51628" w:rsidRDefault="00F51628" w:rsidP="00F51628">
      <w:pPr>
        <w:pStyle w:val="StandardWeb"/>
      </w:pPr>
      <w:r>
        <w:t>Auch das Residuum kann zunächst sehr einfach eingeführt werden:</w:t>
      </w:r>
    </w:p>
    <w:p w:rsidR="00F51628" w:rsidRDefault="00F51628" w:rsidP="00F51628">
      <w:pPr>
        <w:pStyle w:val="berschrift1"/>
      </w:pPr>
      <w:r>
        <w:t>[</w:t>
      </w:r>
      <w:r>
        <w:br/>
        <w:t>R_B</w:t>
      </w:r>
    </w:p>
    <w:p w:rsidR="00F51628" w:rsidRDefault="00F51628" w:rsidP="00F51628">
      <w:pPr>
        <w:pStyle w:val="berschrift2"/>
      </w:pPr>
      <w:r>
        <w:t>\text{beobachtet}</w:t>
      </w:r>
    </w:p>
    <w:p w:rsidR="00F51628" w:rsidRDefault="00F51628" w:rsidP="00F51628">
      <w:pPr>
        <w:pStyle w:val="StandardWeb"/>
      </w:pPr>
      <w:r>
        <w:t>\text{erklärt}.</w:t>
      </w:r>
      <w:r>
        <w:br/>
        <w:t>\tag{3.11947}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R_B=\text{beobachtet}-\text{erklärt}</w:t>
      </w:r>
    </w:p>
    <w:p w:rsidR="00F51628" w:rsidRDefault="00F51628" w:rsidP="00F51628">
      <w:pPr>
        <w:pStyle w:val="StandardWeb"/>
      </w:pPr>
      <w:r>
        <w:t>Erst danach wird die vollständige Form</w:t>
      </w:r>
    </w:p>
    <w:p w:rsidR="00F51628" w:rsidRDefault="00F51628" w:rsidP="00F51628">
      <w:pPr>
        <w:pStyle w:val="berschrift1"/>
      </w:pPr>
      <w:r>
        <w:t>[</w:t>
      </w:r>
      <w:r>
        <w:br/>
        <w:t>R_B</w:t>
      </w:r>
    </w:p>
    <w:p w:rsidR="00F51628" w:rsidRDefault="00F51628" w:rsidP="00F51628">
      <w:pPr>
        <w:pStyle w:val="berschrift2"/>
      </w:pPr>
      <w:r>
        <w:t>\Delta_TQ_F</w:t>
      </w:r>
    </w:p>
    <w:p w:rsidR="00F51628" w:rsidRDefault="00F51628" w:rsidP="00F51628">
      <w:pPr>
        <w:pStyle w:val="berschrift2"/>
      </w:pPr>
      <w:r>
        <w:t>\Sigma_Q</w:t>
      </w:r>
    </w:p>
    <w:p w:rsidR="00F51628" w:rsidRDefault="00F51628" w:rsidP="00F51628">
      <w:pPr>
        <w:pStyle w:val="StandardWeb"/>
      </w:pPr>
      <w:r>
        <w:t>J_Q^{\mathrm{net}}</w:t>
      </w:r>
      <w:r>
        <w:br/>
        <w:t>\tag{3.11948}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R_B=\Delta_TQ_F-\Sigma_Q-J_Q^{\mathrm{net}}</w:t>
      </w:r>
    </w:p>
    <w:p w:rsidR="00F51628" w:rsidRDefault="00F51628" w:rsidP="00F51628">
      <w:pPr>
        <w:pStyle w:val="StandardWeb"/>
      </w:pPr>
      <w:r>
        <w:t>verwendet.</w:t>
      </w:r>
    </w:p>
    <w:p w:rsidR="00F51628" w:rsidRDefault="00E50336" w:rsidP="00F51628">
      <w:r>
        <w:pict>
          <v:rect id="_x0000_i4166" style="width:0;height:1.5pt" o:hralign="center" o:hrstd="t" o:hr="t" fillcolor="#a0a0a0" stroked="f"/>
        </w:pict>
      </w:r>
    </w:p>
    <w:p w:rsidR="00F51628" w:rsidRDefault="00F51628" w:rsidP="00F51628">
      <w:pPr>
        <w:pStyle w:val="berschrift1"/>
      </w:pPr>
      <w:r>
        <w:lastRenderedPageBreak/>
        <w:t>3.3.47.291 Didaktischer Vorteil der Toleranz</w:t>
      </w:r>
    </w:p>
    <w:p w:rsidR="00F51628" w:rsidRDefault="00F51628" w:rsidP="00F51628">
      <w:pPr>
        <w:pStyle w:val="StandardWeb"/>
      </w:pPr>
      <w:r>
        <w:t>Die approximative Bedingung</w:t>
      </w:r>
    </w:p>
    <w:p w:rsidR="00F51628" w:rsidRDefault="00F51628" w:rsidP="00F51628">
      <w:pPr>
        <w:pStyle w:val="StandardWeb"/>
      </w:pPr>
      <w:r>
        <w:t>[</w:t>
      </w:r>
      <w:r>
        <w:br/>
        <w:t>|R_B|</w:t>
      </w:r>
      <w:r>
        <w:br/>
        <w:t>\leq</w:t>
      </w:r>
      <w:r>
        <w:br/>
        <w:t>\varepsilon_B</w:t>
      </w:r>
      <w:r>
        <w:br/>
        <w:t>\tag{3.11949}</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|R_B|\leq\varepsilon_B</w:t>
      </w:r>
    </w:p>
    <w:p w:rsidR="00F51628" w:rsidRDefault="00F51628" w:rsidP="00F51628">
      <w:pPr>
        <w:pStyle w:val="StandardWeb"/>
      </w:pPr>
      <w:r>
        <w:t>verdeutlicht schließlich, dass wissenschaftliche Messungen und numerische Modelle selten mathematisch exakt null ergeben müssen.</w:t>
      </w:r>
    </w:p>
    <w:p w:rsidR="00F51628" w:rsidRDefault="00E50336" w:rsidP="00F51628">
      <w:r>
        <w:pict>
          <v:rect id="_x0000_i4167" style="width:0;height:1.5pt" o:hralign="center" o:hrstd="t" o:hr="t" fillcolor="#a0a0a0" stroked="f"/>
        </w:pict>
      </w:r>
    </w:p>
    <w:p w:rsidR="00F51628" w:rsidRDefault="00F51628" w:rsidP="00F51628">
      <w:pPr>
        <w:pStyle w:val="berschrift1"/>
      </w:pPr>
      <w:r>
        <w:t>3.3.47.292 Didaktische Gesamtreihenfolge</w:t>
      </w:r>
    </w:p>
    <w:p w:rsidR="00F51628" w:rsidRDefault="00F51628" w:rsidP="00F51628">
      <w:pPr>
        <w:pStyle w:val="StandardWeb"/>
      </w:pPr>
      <w:r>
        <w:t>Die in diesem Abschnitt verwendete Lernfolge lautet damit</w:t>
      </w:r>
    </w:p>
    <w:p w:rsidR="00F51628" w:rsidRDefault="00F51628" w:rsidP="00F51628">
      <w:pPr>
        <w:pStyle w:val="StandardWeb"/>
      </w:pPr>
      <w:r>
        <w:t>[</w:t>
      </w:r>
      <w:r>
        <w:br/>
        <w:t>\boxed{</w:t>
      </w:r>
      <w:r>
        <w:br/>
        <w:t>\text{Änderung}</w:t>
      </w:r>
      <w:r>
        <w:br/>
        <w:t>\rightarrow</w:t>
      </w:r>
      <w:r>
        <w:br/>
        <w:t>\text{Erhaltung}</w:t>
      </w:r>
      <w:r>
        <w:br/>
        <w:t>\rightarrow</w:t>
      </w:r>
      <w:r>
        <w:br/>
        <w:t>\text{Gewinn/Verlust}</w:t>
      </w:r>
      <w:r>
        <w:br/>
        <w:t>\rightarrow</w:t>
      </w:r>
      <w:r>
        <w:br/>
        <w:t>\text{Pfad}</w:t>
      </w:r>
      <w:r>
        <w:br/>
        <w:t>\rightarrow</w:t>
      </w:r>
      <w:r>
        <w:br/>
        <w:t>\text{Quelle/Senke}</w:t>
      </w:r>
      <w:r>
        <w:br/>
        <w:t>\rightarrow</w:t>
      </w:r>
      <w:r>
        <w:br/>
        <w:t>\text{Fluss}</w:t>
      </w:r>
      <w:r>
        <w:br/>
        <w:t>\rightarrow</w:t>
      </w:r>
      <w:r>
        <w:br/>
        <w:t>\text{Bilanz}</w:t>
      </w:r>
      <w:r>
        <w:br/>
        <w:t>\rightarrow</w:t>
      </w:r>
      <w:r>
        <w:br/>
        <w:t>\text{Netzwerk}</w:t>
      </w:r>
      <w:r>
        <w:br/>
        <w:t>\rightarrow</w:t>
      </w:r>
      <w:r>
        <w:br/>
        <w:t>\text{Residuum}.</w:t>
      </w:r>
      <w:r>
        <w:br/>
        <w:t>}</w:t>
      </w:r>
      <w:r>
        <w:br/>
        <w:t>\tag{3.11950}</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\boxed{\text{Änderung}\rightarrow\text{Erhaltung}\rightarrow\text{Gewinn/Verlust}\rightarrow\text{Pfad}\rightarrow\text{Quelle/Senke}\rightarrow\text{</w:t>
      </w:r>
      <w:r>
        <w:rPr>
          <w:rStyle w:val="HTMLCode"/>
        </w:rPr>
        <w:lastRenderedPageBreak/>
        <w:t>Fluss}\rightarrow\text{Bilanz}\rightarrow\text{Netzwerk}\rightarrow\text{Residuum}.}</w:t>
      </w:r>
    </w:p>
    <w:p w:rsidR="00F51628" w:rsidRDefault="00E50336" w:rsidP="00F51628">
      <w:r>
        <w:pict>
          <v:rect id="_x0000_i4168" style="width:0;height:1.5pt" o:hralign="center" o:hrstd="t" o:hr="t" fillcolor="#a0a0a0" stroked="f"/>
        </w:pict>
      </w:r>
    </w:p>
    <w:p w:rsidR="00F51628" w:rsidRDefault="00F51628" w:rsidP="00F51628">
      <w:pPr>
        <w:pStyle w:val="berschrift1"/>
      </w:pPr>
      <w:r>
        <w:t>3.3.47.293 Gesamtarchitektur von Abschnitt 3.3.47</w:t>
      </w:r>
    </w:p>
    <w:p w:rsidR="00F51628" w:rsidRDefault="00F51628" w:rsidP="00F51628">
      <w:pPr>
        <w:pStyle w:val="StandardWeb"/>
      </w:pPr>
      <w:r>
        <w:t>Nach Abschluss aller Prüfungen fasse ich die entwickelte Architektur zusammen als</w:t>
      </w:r>
    </w:p>
    <w:p w:rsidR="00F51628" w:rsidRDefault="00F51628" w:rsidP="00F51628">
      <w:pPr>
        <w:pStyle w:val="berschrift1"/>
      </w:pPr>
      <w:r>
        <w:t>[</w:t>
      </w:r>
      <w:r>
        <w:br/>
        <w:t>\mathfrak C_{3.3.47}</w:t>
      </w:r>
    </w:p>
    <w:p w:rsidR="00F51628" w:rsidRDefault="00F51628" w:rsidP="00F51628">
      <w:pPr>
        <w:pStyle w:val="StandardWeb"/>
      </w:pPr>
      <w:r>
        <w:t>\left(</w:t>
      </w:r>
      <w:r>
        <w:br/>
        <w:t>\mathfrak E_{\mathrm{cons}},</w:t>
      </w:r>
      <w:r>
        <w:br/>
        <w:t>\mathfrak M_{3.3.47},</w:t>
      </w:r>
      <w:r>
        <w:br/>
        <w:t>\mathfrak A_{3.3.47}^{\mathrm{new}}</w:t>
      </w:r>
      <w:r>
        <w:br/>
        <w:t>\right).</w:t>
      </w:r>
      <w:r>
        <w:br/>
        <w:t>\tag{3.11951}</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\mathfrak C_{3.3.47}=\left(\mathfrak E_{\mathrm{cons}},\mathfrak M_{3.3.47},\mathfrak A_{3.3.47}^{\mathrm{new}}\right)</w:t>
      </w:r>
    </w:p>
    <w:p w:rsidR="00F51628" w:rsidRDefault="00F51628" w:rsidP="00F51628">
      <w:pPr>
        <w:pStyle w:val="StandardWeb"/>
      </w:pPr>
      <w:r>
        <w:t>Mit</w:t>
      </w:r>
    </w:p>
    <w:p w:rsidR="00F51628" w:rsidRDefault="00F51628" w:rsidP="00F51628">
      <w:pPr>
        <w:pStyle w:val="berschrift1"/>
      </w:pPr>
      <w:r>
        <w:t>[</w:t>
      </w:r>
      <w:r>
        <w:br/>
        <w:t>\mathfrak A_{3.3.47}^{\mathrm{new}}</w:t>
      </w:r>
    </w:p>
    <w:p w:rsidR="00F51628" w:rsidRDefault="00F51628" w:rsidP="00F51628">
      <w:pPr>
        <w:pStyle w:val="StandardWeb"/>
      </w:pPr>
      <w:r>
        <w:t>\varnothing</w:t>
      </w:r>
      <w:r>
        <w:br/>
        <w:t>\tag{3.11952}</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\mathfrak A_{3.3.47}^{\mathrm{new}}=\varnothing</w:t>
      </w:r>
    </w:p>
    <w:p w:rsidR="00F51628" w:rsidRDefault="00F51628" w:rsidP="00F51628">
      <w:pPr>
        <w:pStyle w:val="StandardWeb"/>
      </w:pPr>
      <w:r>
        <w:t>ist die Primäraxiomentscheidung eindeutig.</w:t>
      </w:r>
    </w:p>
    <w:p w:rsidR="00F51628" w:rsidRDefault="00E50336" w:rsidP="00F51628">
      <w:r>
        <w:pict>
          <v:rect id="_x0000_i4169" style="width:0;height:1.5pt" o:hralign="center" o:hrstd="t" o:hr="t" fillcolor="#a0a0a0" stroked="f"/>
        </w:pict>
      </w:r>
    </w:p>
    <w:p w:rsidR="00F51628" w:rsidRDefault="00F51628" w:rsidP="00F51628">
      <w:pPr>
        <w:pStyle w:val="berschrift1"/>
      </w:pPr>
      <w:r>
        <w:t>3.3.47.294 Satz 3.3.119 – Abschnitt 3.3.47 ist eine reine Erweiterungsarchitektur des FRZK</w:t>
      </w:r>
    </w:p>
    <w:p w:rsidR="00F51628" w:rsidRDefault="00F51628" w:rsidP="00F51628">
      <w:pPr>
        <w:pStyle w:val="berschrift3"/>
      </w:pPr>
      <w:r>
        <w:t>Satz 3.3.119</w:t>
      </w:r>
    </w:p>
    <w:p w:rsidR="00F51628" w:rsidRDefault="00F51628" w:rsidP="00F51628">
      <w:pPr>
        <w:pStyle w:val="StandardWeb"/>
      </w:pPr>
      <w:r>
        <w:lastRenderedPageBreak/>
        <w:t>Die in Abschnitt 3.3.47 entwickelte funktionale Erhaltungs- und Bilanzarchitektur erweitert die mathematischen und operationalen Möglichkeiten des FRZK, verändert jedoch dessen minimale Primäraxiomatik nicht.</w:t>
      </w:r>
    </w:p>
    <w:p w:rsidR="00F51628" w:rsidRDefault="00F51628" w:rsidP="00F51628">
      <w:pPr>
        <w:pStyle w:val="StandardWeb"/>
      </w:pPr>
      <w:r>
        <w:t>Formal gilt</w:t>
      </w:r>
    </w:p>
    <w:p w:rsidR="00F51628" w:rsidRDefault="00F51628" w:rsidP="00F51628">
      <w:pPr>
        <w:pStyle w:val="berschrift1"/>
      </w:pPr>
      <w:r>
        <w:t>[</w:t>
      </w:r>
      <w:r>
        <w:br/>
        <w:t>\boxed{</w:t>
      </w:r>
      <w:r>
        <w:br/>
        <w:t>\mathfrak C_{3.3.47}</w:t>
      </w:r>
      <w:r>
        <w:br/>
        <w:t>\cap</w:t>
      </w:r>
      <w:r>
        <w:br/>
        <w:t>\mathfrak A_{\mathrm{FRZK}}^{\mathrm{new}}</w:t>
      </w:r>
    </w:p>
    <w:p w:rsidR="00F51628" w:rsidRDefault="00F51628" w:rsidP="00F51628">
      <w:pPr>
        <w:pStyle w:val="StandardWeb"/>
      </w:pPr>
      <w:r>
        <w:t>\varnothing.</w:t>
      </w:r>
      <w:r>
        <w:br/>
        <w:t>}</w:t>
      </w:r>
      <w:r>
        <w:br/>
        <w:t>\tag{3.11953}</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\boxed{\mathfrak C_{3.3.47}\cap\mathfrak A_{\mathrm{FRZK}}^{\mathrm{new}}=\varnothing.}</w:t>
      </w:r>
    </w:p>
    <w:p w:rsidR="00F51628" w:rsidRDefault="00F51628" w:rsidP="00F51628">
      <w:pPr>
        <w:pStyle w:val="berschrift3"/>
      </w:pPr>
      <w:r>
        <w:t>Beweis</w:t>
      </w:r>
    </w:p>
    <w:p w:rsidR="00F51628" w:rsidRDefault="00F51628" w:rsidP="00F51628">
      <w:pPr>
        <w:pStyle w:val="StandardWeb"/>
      </w:pPr>
      <w:r>
        <w:t>Nach Satz 3.3.118 besitzt keine der in Abschnitt 3.3.47 neu eingeführten Strukturen Primäraxiomstatus. Nach Korollar 3.3.28 gilt daher</w:t>
      </w:r>
    </w:p>
    <w:p w:rsidR="00F51628" w:rsidRDefault="00F51628" w:rsidP="00F51628">
      <w:pPr>
        <w:pStyle w:val="berschrift1"/>
      </w:pPr>
      <w:r>
        <w:t>[</w:t>
      </w:r>
      <w:r>
        <w:br/>
        <w:t>\mathfrak A_{3.3.47}^{\mathrm{new}}</w:t>
      </w:r>
    </w:p>
    <w:p w:rsidR="00F51628" w:rsidRDefault="00F51628" w:rsidP="00F51628">
      <w:pPr>
        <w:pStyle w:val="StandardWeb"/>
      </w:pPr>
      <w:r>
        <w:t>\varnothing.</w:t>
      </w:r>
      <w:r>
        <w:br/>
        <w:t>\tag{3.11954}</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\mathfrak A_{3.3.47}^{\mathrm{new}}=\varnothing</w:t>
      </w:r>
    </w:p>
    <w:p w:rsidR="00F51628" w:rsidRDefault="00F51628" w:rsidP="00F51628">
      <w:pPr>
        <w:pStyle w:val="StandardWeb"/>
      </w:pPr>
      <w:r>
        <w:t>Damit erweitert der Abschnitt ausschließlich den Definitions-, Modell-, Operationalisierungs- und Ableitungsapparat des FRZK. (\square)</w:t>
      </w:r>
    </w:p>
    <w:p w:rsidR="00F51628" w:rsidRDefault="00E50336" w:rsidP="00F51628">
      <w:r>
        <w:pict>
          <v:rect id="_x0000_i4170" style="width:0;height:1.5pt" o:hralign="center" o:hrstd="t" o:hr="t" fillcolor="#a0a0a0" stroked="f"/>
        </w:pict>
      </w:r>
    </w:p>
    <w:p w:rsidR="00F51628" w:rsidRDefault="00F51628" w:rsidP="00F51628">
      <w:pPr>
        <w:pStyle w:val="berschrift1"/>
      </w:pPr>
      <w:r>
        <w:t>3.3.47.295 Korollar 3.3.29 – Der bisherige FRZK-Primäraxiomkern bleibt unverändert</w:t>
      </w:r>
    </w:p>
    <w:p w:rsidR="00F51628" w:rsidRDefault="00F51628" w:rsidP="00F51628">
      <w:pPr>
        <w:pStyle w:val="berschrift3"/>
      </w:pPr>
      <w:r>
        <w:lastRenderedPageBreak/>
        <w:t>Korollar 3.3.29</w:t>
      </w:r>
    </w:p>
    <w:p w:rsidR="00F51628" w:rsidRDefault="00F51628" w:rsidP="00F51628">
      <w:pPr>
        <w:pStyle w:val="StandardWeb"/>
      </w:pPr>
      <w:r>
        <w:t>Es gilt</w:t>
      </w:r>
    </w:p>
    <w:p w:rsidR="00F51628" w:rsidRDefault="00F51628" w:rsidP="00F51628">
      <w:pPr>
        <w:pStyle w:val="berschrift1"/>
      </w:pPr>
      <w:r>
        <w:t>[</w:t>
      </w:r>
      <w:r>
        <w:br/>
        <w:t>\boxed{</w:t>
      </w:r>
      <w:r>
        <w:br/>
        <w:t>\mathfrak A_{\mathrm{FRZK}}^{\mathrm{nach},3.3.47}</w:t>
      </w:r>
    </w:p>
    <w:p w:rsidR="00F51628" w:rsidRDefault="00F51628" w:rsidP="00F51628">
      <w:pPr>
        <w:pStyle w:val="StandardWeb"/>
      </w:pPr>
      <w:r>
        <w:t>\mathfrak A_{\mathrm{FRZK}}^{\mathrm{vor},3.3.47}.</w:t>
      </w:r>
      <w:r>
        <w:br/>
        <w:t>}</w:t>
      </w:r>
      <w:r>
        <w:br/>
        <w:t>\tag{3.11955}</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\boxed{\mathfrak A_{\mathrm{FRZK}}^{\mathrm{nach}\,3.3.47}=\mathfrak A_{\mathrm{FRZK}}^{\mathrm{vor}\,3.3.47}.}</w:t>
      </w:r>
    </w:p>
    <w:p w:rsidR="00F51628" w:rsidRDefault="00E50336" w:rsidP="00F51628">
      <w:r>
        <w:pict>
          <v:rect id="_x0000_i4171" style="width:0;height:1.5pt" o:hralign="center" o:hrstd="t" o:hr="t" fillcolor="#a0a0a0" stroked="f"/>
        </w:pict>
      </w:r>
    </w:p>
    <w:p w:rsidR="00F51628" w:rsidRDefault="00F51628" w:rsidP="00F51628">
      <w:pPr>
        <w:pStyle w:val="berschrift1"/>
      </w:pPr>
      <w:r>
        <w:t>3.3.47.296 Endgültige Klassifikation von Abschnitt 3.3.47</w:t>
      </w:r>
    </w:p>
    <w:p w:rsidR="00F51628" w:rsidRDefault="00F51628" w:rsidP="00F51628">
      <w:pPr>
        <w:pStyle w:val="StandardWeb"/>
      </w:pPr>
      <w:r>
        <w:t>Der Gesamtstatus des Abschnitts lautet damit</w:t>
      </w:r>
    </w:p>
    <w:p w:rsidR="00F51628" w:rsidRDefault="00F51628" w:rsidP="00F51628">
      <w:pPr>
        <w:pStyle w:val="berschrift1"/>
      </w:pPr>
      <w:r>
        <w:t>[</w:t>
      </w:r>
      <w:r>
        <w:br/>
        <w:t>\boxed{</w:t>
      </w:r>
      <w:r>
        <w:br/>
        <w:t>\operatorname{Stat}(3.3.47)</w:t>
      </w:r>
    </w:p>
    <w:p w:rsidR="00F51628" w:rsidRDefault="00F51628" w:rsidP="00F51628">
      <w:pPr>
        <w:pStyle w:val="StandardWeb"/>
      </w:pPr>
      <w:r>
        <w:t>\mathrm{Erweiterungsarchitektur}.</w:t>
      </w:r>
      <w:r>
        <w:br/>
        <w:t>}</w:t>
      </w:r>
      <w:r>
        <w:br/>
        <w:t>\tag{3.11956}</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\boxed{\operatorname{Stat}(3.3.47)=\mathrm{Erweiterungsarchitektur}.}</w:t>
      </w:r>
    </w:p>
    <w:p w:rsidR="00F51628" w:rsidRDefault="00F51628" w:rsidP="00F51628">
      <w:pPr>
        <w:pStyle w:val="StandardWeb"/>
      </w:pPr>
      <w:r>
        <w:t>Die entwickelten Strukturen stehen für spätere konkrete FRZK-Modellklassen zur Verfügung, ohne den minimalen Theoriekern zu belasten.</w:t>
      </w:r>
    </w:p>
    <w:p w:rsidR="00F51628" w:rsidRDefault="00E50336" w:rsidP="00F51628">
      <w:r>
        <w:pict>
          <v:rect id="_x0000_i4172" style="width:0;height:1.5pt" o:hralign="center" o:hrstd="t" o:hr="t" fillcolor="#a0a0a0" stroked="f"/>
        </w:pict>
      </w:r>
    </w:p>
    <w:p w:rsidR="00F51628" w:rsidRDefault="00F51628" w:rsidP="00F51628">
      <w:pPr>
        <w:pStyle w:val="berschrift1"/>
      </w:pPr>
      <w:r>
        <w:t>3.3.47.297 Gesamtabschluss von Abschnitt 3.3.47</w:t>
      </w:r>
    </w:p>
    <w:p w:rsidR="00F51628" w:rsidRDefault="00F51628" w:rsidP="00F51628">
      <w:pPr>
        <w:pStyle w:val="StandardWeb"/>
      </w:pPr>
      <w:r>
        <w:lastRenderedPageBreak/>
        <w:t xml:space="preserve">Damit ist Abschnitt </w:t>
      </w:r>
      <w:r>
        <w:rPr>
          <w:rStyle w:val="Fett"/>
        </w:rPr>
        <w:t>3.3.47 vollständig abgeschlossen</w:t>
      </w:r>
      <w:r>
        <w:t>.</w:t>
      </w:r>
    </w:p>
    <w:p w:rsidR="00F51628" w:rsidRDefault="00F51628" w:rsidP="00F51628">
      <w:pPr>
        <w:pStyle w:val="StandardWeb"/>
      </w:pPr>
      <w:r>
        <w:t>Die abschließende Struktur lautet</w:t>
      </w:r>
    </w:p>
    <w:p w:rsidR="00F51628" w:rsidRDefault="00F51628" w:rsidP="00F51628">
      <w:pPr>
        <w:pStyle w:val="berschrift1"/>
      </w:pPr>
      <w:r>
        <w:t>[</w:t>
      </w:r>
      <w:r>
        <w:br/>
        <w:t>\boxed{</w:t>
      </w:r>
      <w:r>
        <w:br/>
        <w:t>\mathfrak E_{\mathrm{cons}}</w:t>
      </w:r>
    </w:p>
    <w:p w:rsidR="00F51628" w:rsidRDefault="00F51628" w:rsidP="00F51628">
      <w:pPr>
        <w:pStyle w:val="StandardWeb"/>
      </w:pPr>
      <w:r>
        <w:t>\left(</w:t>
      </w:r>
      <w:r>
        <w:br/>
        <w:t>\text{Erhaltung},</w:t>
      </w:r>
      <w:r>
        <w:br/>
        <w:t>\text{Bilanz},</w:t>
      </w:r>
      <w:r>
        <w:br/>
        <w:t>\text{Fluss},</w:t>
      </w:r>
      <w:r>
        <w:br/>
        <w:t>\text{Netzwerk},</w:t>
      </w:r>
      <w:r>
        <w:br/>
        <w:t>\text{Zyklus},</w:t>
      </w:r>
      <w:r>
        <w:br/>
        <w:t>\text{Residuum},</w:t>
      </w:r>
      <w:r>
        <w:br/>
        <w:t>\text{Approximation}</w:t>
      </w:r>
      <w:r>
        <w:br/>
        <w:t>\right),</w:t>
      </w:r>
      <w:r>
        <w:br/>
        <w:t>}</w:t>
      </w:r>
      <w:r>
        <w:br/>
        <w:t>\tag{3.11957}</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\boxed{\mathfrak E_{\mathrm{cons}}=\left(\text{Erhaltung},\text{Bilanz},\text{Fluss},\text{Netzwerk},\text{Zyklus},\text{Residuum},\text{Approximation}\right),}</w:t>
      </w:r>
    </w:p>
    <w:p w:rsidR="00F51628" w:rsidRDefault="00F51628" w:rsidP="00F51628">
      <w:pPr>
        <w:pStyle w:val="StandardWeb"/>
      </w:pPr>
      <w:r>
        <w:t>während für die Primäraxiomatik gilt</w:t>
      </w:r>
    </w:p>
    <w:p w:rsidR="00F51628" w:rsidRDefault="00F51628" w:rsidP="00F51628">
      <w:pPr>
        <w:pStyle w:val="berschrift1"/>
      </w:pPr>
      <w:r>
        <w:t>[</w:t>
      </w:r>
      <w:r>
        <w:br/>
        <w:t>\boxed{</w:t>
      </w:r>
      <w:r>
        <w:br/>
        <w:t>\mathfrak A_{3.3.47}^{\mathrm{new}}</w:t>
      </w:r>
    </w:p>
    <w:p w:rsidR="00F51628" w:rsidRDefault="00F51628" w:rsidP="00F51628">
      <w:pPr>
        <w:pStyle w:val="StandardWeb"/>
      </w:pPr>
      <w:r>
        <w:t>\varnothing.</w:t>
      </w:r>
      <w:r>
        <w:br/>
        <w:t>}</w:t>
      </w:r>
      <w:r>
        <w:br/>
        <w:t>\tag{3.11958}</w:t>
      </w:r>
      <w:r>
        <w:br/>
        <w:t>]</w:t>
      </w:r>
    </w:p>
    <w:p w:rsidR="00F51628" w:rsidRDefault="00F51628" w:rsidP="00F51628">
      <w:pPr>
        <w:pStyle w:val="StandardWeb"/>
      </w:pPr>
      <w:r>
        <w:rPr>
          <w:rStyle w:val="Fett"/>
        </w:rPr>
        <w:t>Word-LaTeX</w:t>
      </w:r>
    </w:p>
    <w:p w:rsidR="00F51628" w:rsidRDefault="00F51628" w:rsidP="00F51628">
      <w:pPr>
        <w:pStyle w:val="HTMLVorformatiert"/>
        <w:rPr>
          <w:rStyle w:val="HTMLCode"/>
        </w:rPr>
      </w:pPr>
      <w:r>
        <w:rPr>
          <w:rStyle w:val="HTMLCode"/>
        </w:rPr>
        <w:t>\boxed{\mathfrak A_{3.3.47}^{\mathrm{new}}=\varnothing.}</w:t>
      </w:r>
    </w:p>
    <w:p w:rsidR="00F51628" w:rsidRDefault="00F51628" w:rsidP="00F51628">
      <w:pPr>
        <w:pStyle w:val="StandardWeb"/>
      </w:pPr>
      <w:r>
        <w:t>Der bestätigte Endstand von Abschnitt 3.3.47 ist damit:</w:t>
      </w:r>
    </w:p>
    <w:p w:rsidR="00F51628" w:rsidRDefault="00F51628" w:rsidP="00F51628">
      <w:pPr>
        <w:pStyle w:val="StandardWeb"/>
      </w:pPr>
      <w:r>
        <w:rPr>
          <w:rStyle w:val="Fett"/>
        </w:rPr>
        <w:t>letzte Gleichung:</w:t>
      </w:r>
      <w:r>
        <w:t xml:space="preserve"> ((3.11958))</w:t>
      </w:r>
      <w:r>
        <w:br/>
      </w:r>
      <w:r>
        <w:rPr>
          <w:rStyle w:val="Fett"/>
        </w:rPr>
        <w:t>letzte Definition:</w:t>
      </w:r>
      <w:r>
        <w:t xml:space="preserve"> 3.3.292</w:t>
      </w:r>
      <w:r>
        <w:br/>
      </w:r>
      <w:r>
        <w:rPr>
          <w:rStyle w:val="Fett"/>
        </w:rPr>
        <w:lastRenderedPageBreak/>
        <w:t>letzter Satz:</w:t>
      </w:r>
      <w:r>
        <w:t xml:space="preserve"> 3.3.119</w:t>
      </w:r>
      <w:r>
        <w:br/>
      </w:r>
      <w:r>
        <w:rPr>
          <w:rStyle w:val="Fett"/>
        </w:rPr>
        <w:t>letztes Korollar:</w:t>
      </w:r>
      <w:r>
        <w:t xml:space="preserve"> 3.3.29</w:t>
      </w:r>
    </w:p>
    <w:p w:rsidR="00F51628" w:rsidRDefault="00F51628" w:rsidP="00F51628">
      <w:pPr>
        <w:pStyle w:val="StandardWeb"/>
      </w:pPr>
      <w:r>
        <w:t xml:space="preserve">Der nächste Abschnitt beginnt folglich bei </w:t>
      </w:r>
      <w:r>
        <w:rPr>
          <w:rStyle w:val="Fett"/>
        </w:rPr>
        <w:t>3.3.48.0 / Gleichung (3.11959)</w:t>
      </w:r>
      <w:r>
        <w:t>.</w:t>
      </w:r>
    </w:p>
    <w:p w:rsidR="003E2D8E" w:rsidRDefault="003E2D8E" w:rsidP="003E2D8E">
      <w:pPr>
        <w:pStyle w:val="berschrift1"/>
        <w:rPr>
          <w:rFonts w:cs="Times New Roman"/>
          <w:sz w:val="48"/>
          <w:szCs w:val="48"/>
        </w:rPr>
      </w:pPr>
      <w:r>
        <w:t>3.3.48.0 Übergang: Von funktionaler Erhaltung zu funktionaler Symmetrie und Invarianz</w:t>
      </w:r>
    </w:p>
    <w:p w:rsidR="003E2D8E" w:rsidRDefault="003E2D8E" w:rsidP="003E2D8E">
      <w:pPr>
        <w:pStyle w:val="StandardWeb"/>
      </w:pPr>
      <w:r>
        <w:t>Mit Abschnitt 3.3.47 habe ich gezeigt, dass Erhaltungs-, Bilanz-, Fluss-, Netzwerk-, Zyklus- und Residualstrukturen zwar einen umfangreichen mathematischen Erweiterungsapparat des FRZK bilden können, daraus jedoch kein neues Primäraxiom folgt. Insbesondere habe ich funktionale Erhaltung bewusst von physikalischen Erhaltungssätzen und vom Noether-Theorem getrennt.</w:t>
      </w:r>
    </w:p>
    <w:p w:rsidR="003E2D8E" w:rsidRDefault="003E2D8E" w:rsidP="003E2D8E">
      <w:pPr>
        <w:pStyle w:val="StandardWeb"/>
      </w:pPr>
      <w:r>
        <w:t xml:space="preserve">Der nächste logische Schritt besteht deshalb darin, nicht erneut nach einer Erhaltungsgröße zu fragen, sondern nach der </w:t>
      </w:r>
      <w:r>
        <w:rPr>
          <w:rStyle w:val="Fett"/>
        </w:rPr>
        <w:t>Struktur der Veränderungen selbst</w:t>
      </w:r>
      <w:r>
        <w:t>: Unter welchen Transformationen bleibt eine funktionale Beschreibung unverändert, welche Eigenschaften sind invariant, und welche Formen von Symmetrie lassen sich überhaupt definieren, ohne bereits physikalische Raum-Zeit-Symmetrien vorauszusetzen?</w:t>
      </w:r>
    </w:p>
    <w:p w:rsidR="003E2D8E" w:rsidRDefault="003E2D8E" w:rsidP="003E2D8E">
      <w:pPr>
        <w:pStyle w:val="StandardWeb"/>
      </w:pPr>
      <w:r>
        <w:t>Ich beginne deshalb mit einer Menge zulässiger Transformationen</w:t>
      </w:r>
    </w:p>
    <w:p w:rsidR="003E2D8E" w:rsidRDefault="003E2D8E" w:rsidP="003E2D8E">
      <w:pPr>
        <w:pStyle w:val="berschrift1"/>
      </w:pPr>
      <w:r>
        <w:t>[</w:t>
      </w:r>
      <w:r>
        <w:br/>
        <w:t>\mathcal G_F</w:t>
      </w:r>
    </w:p>
    <w:p w:rsidR="003E2D8E" w:rsidRDefault="003E2D8E" w:rsidP="003E2D8E">
      <w:pPr>
        <w:pStyle w:val="StandardWeb"/>
      </w:pPr>
      <w:r>
        <w:t>{g:\Omega_F\rightarrow\Omega_F}.</w:t>
      </w:r>
      <w:r>
        <w:br/>
        <w:t>\tag{3.11959}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\mathcal G_F=\{g:\Omega_F\rightarrow\Omega_F\}</w:t>
      </w:r>
    </w:p>
    <w:p w:rsidR="003E2D8E" w:rsidRDefault="003E2D8E" w:rsidP="003E2D8E">
      <w:pPr>
        <w:pStyle w:val="StandardWeb"/>
      </w:pPr>
      <w:r>
        <w:t xml:space="preserve">Dabei interpretiere ich (\mathcal G_F) zunächst ausdrücklich </w:t>
      </w:r>
      <w:r>
        <w:rPr>
          <w:rStyle w:val="Fett"/>
        </w:rPr>
        <w:t>nicht</w:t>
      </w:r>
      <w:r>
        <w:t xml:space="preserve"> als Gruppe. Die Menge enthält lediglich Transformationen des funktionalen Zustandsraums, deren algebraische Struktur erst anschließend geprüft werden muss.</w:t>
      </w:r>
    </w:p>
    <w:p w:rsidR="003E2D8E" w:rsidRDefault="00E50336" w:rsidP="003E2D8E">
      <w:r>
        <w:pict>
          <v:rect id="_x0000_i4173" style="width:0;height:1.5pt" o:hralign="center" o:hrstd="t" o:hr="t" fillcolor="#a0a0a0" stroked="f"/>
        </w:pict>
      </w:r>
    </w:p>
    <w:p w:rsidR="003E2D8E" w:rsidRDefault="003E2D8E" w:rsidP="003E2D8E">
      <w:pPr>
        <w:pStyle w:val="berschrift1"/>
      </w:pPr>
      <w:r>
        <w:t>3.3.48.1 Transformation eines funktionalen Zustands</w:t>
      </w:r>
    </w:p>
    <w:p w:rsidR="003E2D8E" w:rsidRDefault="003E2D8E" w:rsidP="003E2D8E">
      <w:pPr>
        <w:pStyle w:val="StandardWeb"/>
      </w:pPr>
      <w:r>
        <w:t>Für</w:t>
      </w:r>
    </w:p>
    <w:p w:rsidR="003E2D8E" w:rsidRDefault="003E2D8E" w:rsidP="003E2D8E">
      <w:pPr>
        <w:pStyle w:val="StandardWeb"/>
      </w:pPr>
      <w:r>
        <w:t>[</w:t>
      </w:r>
      <w:r>
        <w:br/>
        <w:t>g\in\mathcal G_F</w:t>
      </w:r>
      <w:r>
        <w:br/>
        <w:t>\tag{3.11960}</w:t>
      </w:r>
      <w:r>
        <w:br/>
        <w:t>]</w:t>
      </w:r>
    </w:p>
    <w:p w:rsidR="003E2D8E" w:rsidRDefault="003E2D8E" w:rsidP="003E2D8E">
      <w:pPr>
        <w:pStyle w:val="StandardWeb"/>
      </w:pPr>
      <w:r>
        <w:rPr>
          <w:rStyle w:val="Fett"/>
        </w:rPr>
        <w:lastRenderedPageBreak/>
        <w:t>Word-LaTeX</w:t>
      </w:r>
    </w:p>
    <w:p w:rsidR="003E2D8E" w:rsidRDefault="003E2D8E" w:rsidP="003E2D8E">
      <w:pPr>
        <w:pStyle w:val="HTMLVorformatiert"/>
        <w:rPr>
          <w:rStyle w:val="HTMLCode"/>
        </w:rPr>
      </w:pPr>
      <w:r>
        <w:rPr>
          <w:rStyle w:val="HTMLCode"/>
        </w:rPr>
        <w:t>g\in\mathcal G_F</w:t>
      </w:r>
    </w:p>
    <w:p w:rsidR="003E2D8E" w:rsidRDefault="003E2D8E" w:rsidP="003E2D8E">
      <w:pPr>
        <w:pStyle w:val="StandardWeb"/>
      </w:pPr>
      <w:r>
        <w:t>und einen Zustand</w:t>
      </w:r>
    </w:p>
    <w:p w:rsidR="003E2D8E" w:rsidRDefault="003E2D8E" w:rsidP="003E2D8E">
      <w:pPr>
        <w:pStyle w:val="StandardWeb"/>
      </w:pPr>
      <w:r>
        <w:t>[</w:t>
      </w:r>
      <w:r>
        <w:br/>
        <w:t>z\in\Omega_F</w:t>
      </w:r>
      <w:r>
        <w:br/>
        <w:t>\tag{3.11961}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z\in\Omega_F</w:t>
      </w:r>
    </w:p>
    <w:p w:rsidR="003E2D8E" w:rsidRDefault="003E2D8E" w:rsidP="003E2D8E">
      <w:pPr>
        <w:pStyle w:val="StandardWeb"/>
      </w:pPr>
      <w:r>
        <w:t>bezeichne ich den transformierten Zustand mit</w:t>
      </w:r>
    </w:p>
    <w:p w:rsidR="003E2D8E" w:rsidRDefault="003E2D8E" w:rsidP="003E2D8E">
      <w:pPr>
        <w:pStyle w:val="berschrift1"/>
      </w:pPr>
      <w:r>
        <w:t>[</w:t>
      </w:r>
      <w:r>
        <w:br/>
        <w:t>z'</w:t>
      </w:r>
    </w:p>
    <w:p w:rsidR="003E2D8E" w:rsidRDefault="003E2D8E" w:rsidP="003E2D8E">
      <w:pPr>
        <w:pStyle w:val="StandardWeb"/>
      </w:pPr>
      <w:r>
        <w:t>g(z).</w:t>
      </w:r>
      <w:r>
        <w:br/>
        <w:t>\tag{3.11962}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z'=g(z)</w:t>
      </w:r>
    </w:p>
    <w:p w:rsidR="003E2D8E" w:rsidRDefault="003E2D8E" w:rsidP="003E2D8E">
      <w:pPr>
        <w:pStyle w:val="StandardWeb"/>
      </w:pPr>
      <w:r>
        <w:t>Damit ist zunächst lediglich eine Zustandsabbildung definiert.</w:t>
      </w:r>
    </w:p>
    <w:p w:rsidR="003E2D8E" w:rsidRDefault="00E50336" w:rsidP="003E2D8E">
      <w:r>
        <w:pict>
          <v:rect id="_x0000_i4174" style="width:0;height:1.5pt" o:hralign="center" o:hrstd="t" o:hr="t" fillcolor="#a0a0a0" stroked="f"/>
        </w:pict>
      </w:r>
    </w:p>
    <w:p w:rsidR="003E2D8E" w:rsidRDefault="003E2D8E" w:rsidP="003E2D8E">
      <w:pPr>
        <w:pStyle w:val="berschrift1"/>
      </w:pPr>
      <w:r>
        <w:t>3.3.48.2 Definition 3.3.293 – Funktionale Transformation</w:t>
      </w:r>
    </w:p>
    <w:p w:rsidR="003E2D8E" w:rsidRDefault="003E2D8E" w:rsidP="003E2D8E">
      <w:pPr>
        <w:pStyle w:val="berschrift3"/>
      </w:pPr>
      <w:r>
        <w:t>Definition 3.3.293</w:t>
      </w:r>
    </w:p>
    <w:p w:rsidR="003E2D8E" w:rsidRDefault="003E2D8E" w:rsidP="003E2D8E">
      <w:pPr>
        <w:pStyle w:val="StandardWeb"/>
      </w:pPr>
      <w:r>
        <w:t xml:space="preserve">Eine </w:t>
      </w:r>
      <w:r>
        <w:rPr>
          <w:rStyle w:val="Fett"/>
        </w:rPr>
        <w:t>funktionale Transformation</w:t>
      </w:r>
      <w:r>
        <w:t xml:space="preserve"> des FRZK-Zustandsraums ist eine Abbildung</w:t>
      </w:r>
    </w:p>
    <w:p w:rsidR="003E2D8E" w:rsidRDefault="003E2D8E" w:rsidP="003E2D8E">
      <w:pPr>
        <w:pStyle w:val="StandardWeb"/>
      </w:pPr>
      <w:r>
        <w:t>[</w:t>
      </w:r>
      <w:r>
        <w:br/>
        <w:t>\boxed{</w:t>
      </w:r>
      <w:r>
        <w:br/>
        <w:t>g:</w:t>
      </w:r>
      <w:r>
        <w:br/>
        <w:t>\Omega_F</w:t>
      </w:r>
      <w:r>
        <w:br/>
        <w:t>\rightarrow</w:t>
      </w:r>
      <w:r>
        <w:br/>
        <w:t>\Omega_F.</w:t>
      </w:r>
      <w:r>
        <w:br/>
        <w:t>}</w:t>
      </w:r>
      <w:r>
        <w:br/>
        <w:t>\tag{3.11963}</w:t>
      </w:r>
      <w:r>
        <w:br/>
        <w:t>]</w:t>
      </w:r>
    </w:p>
    <w:p w:rsidR="003E2D8E" w:rsidRDefault="003E2D8E" w:rsidP="003E2D8E">
      <w:pPr>
        <w:pStyle w:val="StandardWeb"/>
      </w:pPr>
      <w:r>
        <w:rPr>
          <w:rStyle w:val="Fett"/>
        </w:rPr>
        <w:lastRenderedPageBreak/>
        <w:t>Word-LaTeX</w:t>
      </w:r>
    </w:p>
    <w:p w:rsidR="003E2D8E" w:rsidRDefault="003E2D8E" w:rsidP="003E2D8E">
      <w:pPr>
        <w:pStyle w:val="HTMLVorformatiert"/>
        <w:rPr>
          <w:rStyle w:val="HTMLCode"/>
        </w:rPr>
      </w:pPr>
      <w:r>
        <w:rPr>
          <w:rStyle w:val="HTMLCode"/>
        </w:rPr>
        <w:t>\boxed{g:\Omega_F\rightarrow\Omega_F.}</w:t>
      </w:r>
    </w:p>
    <w:p w:rsidR="003E2D8E" w:rsidRDefault="003E2D8E" w:rsidP="003E2D8E">
      <w:pPr>
        <w:pStyle w:val="StandardWeb"/>
      </w:pPr>
      <w:r>
        <w:t>Die Definition fordert weder Linearität noch Bijektivität, Stetigkeit, Differenzierbarkeit oder Gruppenstruktur.</w:t>
      </w:r>
    </w:p>
    <w:p w:rsidR="003E2D8E" w:rsidRDefault="00E50336" w:rsidP="003E2D8E">
      <w:r>
        <w:pict>
          <v:rect id="_x0000_i4175" style="width:0;height:1.5pt" o:hralign="center" o:hrstd="t" o:hr="t" fillcolor="#a0a0a0" stroked="f"/>
        </w:pict>
      </w:r>
    </w:p>
    <w:p w:rsidR="003E2D8E" w:rsidRDefault="003E2D8E" w:rsidP="003E2D8E">
      <w:pPr>
        <w:pStyle w:val="berschrift1"/>
      </w:pPr>
      <w:r>
        <w:t>3.3.48.3 Transformationsmenge</w:t>
      </w:r>
    </w:p>
    <w:p w:rsidR="003E2D8E" w:rsidRDefault="003E2D8E" w:rsidP="003E2D8E">
      <w:pPr>
        <w:pStyle w:val="StandardWeb"/>
      </w:pPr>
      <w:r>
        <w:t>Die Gesamtheit einer ausgewählten Klasse funktionaler Transformationen kann damit geschrieben werden als</w:t>
      </w:r>
    </w:p>
    <w:p w:rsidR="003E2D8E" w:rsidRDefault="003E2D8E" w:rsidP="003E2D8E">
      <w:pPr>
        <w:pStyle w:val="StandardWeb"/>
      </w:pPr>
      <w:r>
        <w:t>[</w:t>
      </w:r>
      <w:r>
        <w:br/>
        <w:t>\mathcal T_{\mathrm{tr}}</w:t>
      </w:r>
      <w:r>
        <w:br/>
        <w:t>\subseteq</w:t>
      </w:r>
      <w:r>
        <w:br/>
        <w:t>\Omega_F^{\Omega_F}.</w:t>
      </w:r>
      <w:r>
        <w:br/>
        <w:t>\tag{3.11964}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\mathcal T_{\mathrm{tr}}\subseteq\Omega_F^{\Omega_F}</w:t>
      </w:r>
    </w:p>
    <w:p w:rsidR="003E2D8E" w:rsidRDefault="003E2D8E" w:rsidP="003E2D8E">
      <w:pPr>
        <w:pStyle w:val="StandardWeb"/>
      </w:pPr>
      <w:r>
        <w:t>Dabei bezeichnet (\Omega_F^{\Omega_F}) die Menge aller Abbildungen von (\Omega_F) nach (\Omega_F).</w:t>
      </w:r>
    </w:p>
    <w:p w:rsidR="003E2D8E" w:rsidRDefault="00E50336" w:rsidP="003E2D8E">
      <w:r>
        <w:pict>
          <v:rect id="_x0000_i4176" style="width:0;height:1.5pt" o:hralign="center" o:hrstd="t" o:hr="t" fillcolor="#a0a0a0" stroked="f"/>
        </w:pict>
      </w:r>
    </w:p>
    <w:p w:rsidR="003E2D8E" w:rsidRDefault="003E2D8E" w:rsidP="003E2D8E">
      <w:pPr>
        <w:pStyle w:val="berschrift1"/>
      </w:pPr>
      <w:r>
        <w:t>3.3.48.4 Definition 3.3.294 – Funktionale Transformationsklasse</w:t>
      </w:r>
    </w:p>
    <w:p w:rsidR="003E2D8E" w:rsidRDefault="003E2D8E" w:rsidP="003E2D8E">
      <w:pPr>
        <w:pStyle w:val="berschrift3"/>
      </w:pPr>
      <w:r>
        <w:t>Definition 3.3.294</w:t>
      </w:r>
    </w:p>
    <w:p w:rsidR="003E2D8E" w:rsidRDefault="003E2D8E" w:rsidP="003E2D8E">
      <w:pPr>
        <w:pStyle w:val="StandardWeb"/>
      </w:pPr>
      <w:r>
        <w:t xml:space="preserve">Eine </w:t>
      </w:r>
      <w:r>
        <w:rPr>
          <w:rStyle w:val="Fett"/>
        </w:rPr>
        <w:t>funktionale Transformationsklasse</w:t>
      </w:r>
      <w:r>
        <w:t xml:space="preserve"> ist eine Menge</w:t>
      </w:r>
    </w:p>
    <w:p w:rsidR="003E2D8E" w:rsidRDefault="003E2D8E" w:rsidP="003E2D8E">
      <w:pPr>
        <w:pStyle w:val="StandardWeb"/>
      </w:pPr>
      <w:r>
        <w:t>[</w:t>
      </w:r>
      <w:r>
        <w:br/>
        <w:t>\boxed{</w:t>
      </w:r>
      <w:r>
        <w:br/>
        <w:t>\mathcal T_{\mathrm{tr}}</w:t>
      </w:r>
      <w:r>
        <w:br/>
        <w:t>\subseteq</w:t>
      </w:r>
      <w:r>
        <w:br/>
        <w:t>{g\mid g:\Omega_F\rightarrow\Omega_F}.</w:t>
      </w:r>
      <w:r>
        <w:br/>
        <w:t>}</w:t>
      </w:r>
      <w:r>
        <w:br/>
        <w:t>\tag{3.11965}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\boxed{\mathcal T_{\mathrm{tr}}\subseteq\{g\mid g:\Omega_F\rightarrow\Omega_F\}.}</w:t>
      </w:r>
    </w:p>
    <w:p w:rsidR="003E2D8E" w:rsidRDefault="00E50336" w:rsidP="003E2D8E">
      <w:r>
        <w:lastRenderedPageBreak/>
        <w:pict>
          <v:rect id="_x0000_i4177" style="width:0;height:1.5pt" o:hralign="center" o:hrstd="t" o:hr="t" fillcolor="#a0a0a0" stroked="f"/>
        </w:pict>
      </w:r>
    </w:p>
    <w:p w:rsidR="003E2D8E" w:rsidRDefault="003E2D8E" w:rsidP="003E2D8E">
      <w:pPr>
        <w:pStyle w:val="berschrift1"/>
      </w:pPr>
      <w:r>
        <w:t>3.3.48.5 Wirkung einer Transformation auf eine Zustandsgröße</w:t>
      </w:r>
    </w:p>
    <w:p w:rsidR="003E2D8E" w:rsidRDefault="003E2D8E" w:rsidP="003E2D8E">
      <w:pPr>
        <w:pStyle w:val="StandardWeb"/>
      </w:pPr>
      <w:r>
        <w:t>Sei</w:t>
      </w:r>
    </w:p>
    <w:p w:rsidR="003E2D8E" w:rsidRDefault="003E2D8E" w:rsidP="003E2D8E">
      <w:pPr>
        <w:pStyle w:val="StandardWeb"/>
      </w:pPr>
      <w:r>
        <w:t>[</w:t>
      </w:r>
      <w:r>
        <w:br/>
        <w:t>Q_F:</w:t>
      </w:r>
      <w:r>
        <w:br/>
        <w:t>\Omega_F</w:t>
      </w:r>
      <w:r>
        <w:br/>
        <w:t>\rightarrow</w:t>
      </w:r>
      <w:r>
        <w:br/>
        <w:t>\mathcal V_Q</w:t>
      </w:r>
      <w:r>
        <w:br/>
        <w:t>\tag{3.11966}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Q_F:\Omega_F\rightarrow\mathcal V_Q</w:t>
      </w:r>
    </w:p>
    <w:p w:rsidR="003E2D8E" w:rsidRDefault="003E2D8E" w:rsidP="003E2D8E">
      <w:pPr>
        <w:pStyle w:val="StandardWeb"/>
      </w:pPr>
      <w:r>
        <w:t>eine funktionale Zustandsgröße.</w:t>
      </w:r>
    </w:p>
    <w:p w:rsidR="003E2D8E" w:rsidRDefault="003E2D8E" w:rsidP="003E2D8E">
      <w:pPr>
        <w:pStyle w:val="StandardWeb"/>
      </w:pPr>
      <w:r>
        <w:t>Nach Anwendung einer Transformation (g) besitzt sie am transformierten Zustand den Wert</w:t>
      </w:r>
    </w:p>
    <w:p w:rsidR="003E2D8E" w:rsidRDefault="003E2D8E" w:rsidP="003E2D8E">
      <w:pPr>
        <w:pStyle w:val="StandardWeb"/>
      </w:pPr>
      <w:r>
        <w:t>[</w:t>
      </w:r>
      <w:r>
        <w:br/>
        <w:t>Q_F(g(z)).</w:t>
      </w:r>
      <w:r>
        <w:br/>
        <w:t>\tag{3.11967}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Q_F(g(z))</w:t>
      </w:r>
    </w:p>
    <w:p w:rsidR="003E2D8E" w:rsidRDefault="003E2D8E" w:rsidP="003E2D8E">
      <w:pPr>
        <w:pStyle w:val="StandardWeb"/>
      </w:pPr>
      <w:r>
        <w:t>Damit kann untersucht werden, ob</w:t>
      </w:r>
    </w:p>
    <w:p w:rsidR="003E2D8E" w:rsidRDefault="003E2D8E" w:rsidP="003E2D8E">
      <w:pPr>
        <w:pStyle w:val="berschrift1"/>
      </w:pPr>
      <w:r>
        <w:t>[</w:t>
      </w:r>
      <w:r>
        <w:br/>
        <w:t>Q_F(g(z))</w:t>
      </w:r>
    </w:p>
    <w:p w:rsidR="003E2D8E" w:rsidRDefault="003E2D8E" w:rsidP="003E2D8E">
      <w:pPr>
        <w:pStyle w:val="StandardWeb"/>
      </w:pPr>
      <w:r>
        <w:t>Q_F(z)</w:t>
      </w:r>
      <w:r>
        <w:br/>
        <w:t>\tag{3.11968}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Q_F(g(z))=Q_F(z)</w:t>
      </w:r>
    </w:p>
    <w:p w:rsidR="003E2D8E" w:rsidRDefault="003E2D8E" w:rsidP="003E2D8E">
      <w:pPr>
        <w:pStyle w:val="StandardWeb"/>
      </w:pPr>
      <w:r>
        <w:t>gilt.</w:t>
      </w:r>
    </w:p>
    <w:p w:rsidR="003E2D8E" w:rsidRDefault="00E50336" w:rsidP="003E2D8E">
      <w:r>
        <w:pict>
          <v:rect id="_x0000_i4178" style="width:0;height:1.5pt" o:hralign="center" o:hrstd="t" o:hr="t" fillcolor="#a0a0a0" stroked="f"/>
        </w:pict>
      </w:r>
    </w:p>
    <w:p w:rsidR="003E2D8E" w:rsidRDefault="003E2D8E" w:rsidP="003E2D8E">
      <w:pPr>
        <w:pStyle w:val="berschrift1"/>
      </w:pPr>
      <w:r>
        <w:lastRenderedPageBreak/>
        <w:t>3.3.48.6 Invarianz als Gleichheit vor und nach Transformation</w:t>
      </w:r>
    </w:p>
    <w:p w:rsidR="003E2D8E" w:rsidRDefault="003E2D8E" w:rsidP="003E2D8E">
      <w:pPr>
        <w:pStyle w:val="StandardWeb"/>
      </w:pPr>
      <w:r>
        <w:t>Die Relation</w:t>
      </w:r>
    </w:p>
    <w:p w:rsidR="003E2D8E" w:rsidRDefault="003E2D8E" w:rsidP="003E2D8E">
      <w:pPr>
        <w:pStyle w:val="berschrift1"/>
      </w:pPr>
      <w:r>
        <w:t>[</w:t>
      </w:r>
      <w:r>
        <w:br/>
        <w:t>Q_F(g(z))</w:t>
      </w:r>
    </w:p>
    <w:p w:rsidR="003E2D8E" w:rsidRDefault="003E2D8E" w:rsidP="003E2D8E">
      <w:pPr>
        <w:pStyle w:val="StandardWeb"/>
      </w:pPr>
      <w:r>
        <w:t>Q_F(z)</w:t>
      </w:r>
      <w:r>
        <w:br/>
        <w:t>\tag{3.11969}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Q_F(g(z))=Q_F(z)</w:t>
      </w:r>
    </w:p>
    <w:p w:rsidR="003E2D8E" w:rsidRDefault="003E2D8E" w:rsidP="003E2D8E">
      <w:pPr>
        <w:pStyle w:val="StandardWeb"/>
      </w:pPr>
      <w:r>
        <w:t>bedeutet, dass die betrachtete Größe gegenüber der Transformation (g) unverändert bleibt.</w:t>
      </w:r>
    </w:p>
    <w:p w:rsidR="003E2D8E" w:rsidRDefault="003E2D8E" w:rsidP="003E2D8E">
      <w:pPr>
        <w:pStyle w:val="StandardWeb"/>
      </w:pPr>
      <w:r>
        <w:t>Dies ist der elementare funktionale Invarianzbegriff.</w:t>
      </w:r>
    </w:p>
    <w:p w:rsidR="003E2D8E" w:rsidRDefault="00E50336" w:rsidP="003E2D8E">
      <w:r>
        <w:pict>
          <v:rect id="_x0000_i4179" style="width:0;height:1.5pt" o:hralign="center" o:hrstd="t" o:hr="t" fillcolor="#a0a0a0" stroked="f"/>
        </w:pict>
      </w:r>
    </w:p>
    <w:p w:rsidR="003E2D8E" w:rsidRDefault="003E2D8E" w:rsidP="003E2D8E">
      <w:pPr>
        <w:pStyle w:val="berschrift1"/>
      </w:pPr>
      <w:r>
        <w:t>3.3.48.7 Definition 3.3.295 – Funktionale Invarianz einer Zustandsgröße</w:t>
      </w:r>
    </w:p>
    <w:p w:rsidR="003E2D8E" w:rsidRDefault="003E2D8E" w:rsidP="003E2D8E">
      <w:pPr>
        <w:pStyle w:val="berschrift3"/>
      </w:pPr>
      <w:r>
        <w:t>Definition 3.3.295</w:t>
      </w:r>
    </w:p>
    <w:p w:rsidR="003E2D8E" w:rsidRDefault="003E2D8E" w:rsidP="003E2D8E">
      <w:pPr>
        <w:pStyle w:val="StandardWeb"/>
      </w:pPr>
      <w:r>
        <w:t xml:space="preserve">Eine funktionale Zustandsgröße (Q_F) heißt bezüglich einer Transformation (g) </w:t>
      </w:r>
      <w:r>
        <w:rPr>
          <w:rStyle w:val="Fett"/>
        </w:rPr>
        <w:t>invariant</w:t>
      </w:r>
      <w:r>
        <w:t>, wenn</w:t>
      </w:r>
    </w:p>
    <w:p w:rsidR="003E2D8E" w:rsidRDefault="003E2D8E" w:rsidP="003E2D8E">
      <w:pPr>
        <w:pStyle w:val="berschrift1"/>
      </w:pPr>
      <w:r>
        <w:t>[</w:t>
      </w:r>
      <w:r>
        <w:br/>
        <w:t>\boxed{</w:t>
      </w:r>
      <w:r>
        <w:br/>
        <w:t>Q_F(g(z))</w:t>
      </w:r>
    </w:p>
    <w:p w:rsidR="003E2D8E" w:rsidRDefault="003E2D8E" w:rsidP="003E2D8E">
      <w:pPr>
        <w:pStyle w:val="StandardWeb"/>
      </w:pPr>
      <w:r>
        <w:t>Q_F(z)</w:t>
      </w:r>
      <w:r>
        <w:br/>
        <w:t>\qquad</w:t>
      </w:r>
      <w:r>
        <w:br/>
        <w:t>\forall z</w:t>
      </w:r>
      <w:r>
        <w:br/>
        <w:t>\in</w:t>
      </w:r>
      <w:r>
        <w:br/>
        <w:t>\mathcal D_g,</w:t>
      </w:r>
      <w:r>
        <w:br/>
        <w:t>}</w:t>
      </w:r>
      <w:r>
        <w:br/>
        <w:t>\tag{3.11970}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lastRenderedPageBreak/>
        <w:t>\boxed{Q_F(g(z))=Q_F(z)\qquad\forall z\in\mathcal D_g,}</w:t>
      </w:r>
    </w:p>
    <w:p w:rsidR="003E2D8E" w:rsidRDefault="003E2D8E" w:rsidP="003E2D8E">
      <w:pPr>
        <w:pStyle w:val="StandardWeb"/>
      </w:pPr>
      <w:r>
        <w:t>wobei (\mathcal D_g\subseteq\Omega_F) die betrachtete Transformationsdomäne bezeichnet.</w:t>
      </w:r>
    </w:p>
    <w:p w:rsidR="003E2D8E" w:rsidRDefault="00E50336" w:rsidP="003E2D8E">
      <w:r>
        <w:pict>
          <v:rect id="_x0000_i4180" style="width:0;height:1.5pt" o:hralign="center" o:hrstd="t" o:hr="t" fillcolor="#a0a0a0" stroked="f"/>
        </w:pict>
      </w:r>
    </w:p>
    <w:p w:rsidR="003E2D8E" w:rsidRDefault="003E2D8E" w:rsidP="003E2D8E">
      <w:pPr>
        <w:pStyle w:val="berschrift1"/>
      </w:pPr>
      <w:r>
        <w:t>3.3.48.8 Lokale und globale Invarianz</w:t>
      </w:r>
    </w:p>
    <w:p w:rsidR="003E2D8E" w:rsidRDefault="003E2D8E" w:rsidP="003E2D8E">
      <w:pPr>
        <w:pStyle w:val="StandardWeb"/>
      </w:pPr>
      <w:r>
        <w:t>Eine Transformation kann nur auf einer Teilmenge des Zustandsraums invariant wirken.</w:t>
      </w:r>
    </w:p>
    <w:p w:rsidR="003E2D8E" w:rsidRDefault="003E2D8E" w:rsidP="003E2D8E">
      <w:pPr>
        <w:pStyle w:val="StandardWeb"/>
      </w:pPr>
      <w:r>
        <w:t>Für</w:t>
      </w:r>
    </w:p>
    <w:p w:rsidR="003E2D8E" w:rsidRDefault="003E2D8E" w:rsidP="003E2D8E">
      <w:pPr>
        <w:pStyle w:val="StandardWeb"/>
      </w:pPr>
      <w:r>
        <w:t>[</w:t>
      </w:r>
      <w:r>
        <w:br/>
        <w:t>\mathcal D_g</w:t>
      </w:r>
      <w:r>
        <w:br/>
        <w:t>\subsetneq</w:t>
      </w:r>
      <w:r>
        <w:br/>
        <w:t>\Omega_F</w:t>
      </w:r>
      <w:r>
        <w:br/>
        <w:t>\tag{3.11971}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\mathcal D_g\subsetneq\Omega_F</w:t>
      </w:r>
    </w:p>
    <w:p w:rsidR="003E2D8E" w:rsidRDefault="003E2D8E" w:rsidP="003E2D8E">
      <w:pPr>
        <w:pStyle w:val="StandardWeb"/>
      </w:pPr>
      <w:r>
        <w:t>spreche ich von einer lokalen beziehungsweise eingeschränkten Invarianz.</w:t>
      </w:r>
    </w:p>
    <w:p w:rsidR="003E2D8E" w:rsidRDefault="003E2D8E" w:rsidP="003E2D8E">
      <w:pPr>
        <w:pStyle w:val="StandardWeb"/>
      </w:pPr>
      <w:r>
        <w:t>Gilt dagegen</w:t>
      </w:r>
    </w:p>
    <w:p w:rsidR="003E2D8E" w:rsidRDefault="003E2D8E" w:rsidP="003E2D8E">
      <w:pPr>
        <w:pStyle w:val="berschrift1"/>
      </w:pPr>
      <w:r>
        <w:t>[</w:t>
      </w:r>
      <w:r>
        <w:br/>
        <w:t>\mathcal D_g</w:t>
      </w:r>
    </w:p>
    <w:p w:rsidR="003E2D8E" w:rsidRDefault="003E2D8E" w:rsidP="003E2D8E">
      <w:pPr>
        <w:pStyle w:val="StandardWeb"/>
      </w:pPr>
      <w:r>
        <w:t>\Omega_F,</w:t>
      </w:r>
      <w:r>
        <w:br/>
        <w:t>\tag{3.11972}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\mathcal D_g=\Omega_F</w:t>
      </w:r>
    </w:p>
    <w:p w:rsidR="003E2D8E" w:rsidRDefault="003E2D8E" w:rsidP="003E2D8E">
      <w:pPr>
        <w:pStyle w:val="StandardWeb"/>
      </w:pPr>
      <w:r>
        <w:t>liegt globale Invarianz vor.</w:t>
      </w:r>
    </w:p>
    <w:p w:rsidR="003E2D8E" w:rsidRDefault="00E50336" w:rsidP="003E2D8E">
      <w:r>
        <w:pict>
          <v:rect id="_x0000_i4181" style="width:0;height:1.5pt" o:hralign="center" o:hrstd="t" o:hr="t" fillcolor="#a0a0a0" stroked="f"/>
        </w:pict>
      </w:r>
    </w:p>
    <w:p w:rsidR="003E2D8E" w:rsidRDefault="003E2D8E" w:rsidP="003E2D8E">
      <w:pPr>
        <w:pStyle w:val="berschrift1"/>
      </w:pPr>
      <w:r>
        <w:t>3.3.48.9 Definition 3.3.296 – Globale funktionale Invarianz</w:t>
      </w:r>
    </w:p>
    <w:p w:rsidR="003E2D8E" w:rsidRDefault="003E2D8E" w:rsidP="003E2D8E">
      <w:pPr>
        <w:pStyle w:val="berschrift3"/>
      </w:pPr>
      <w:r>
        <w:t>Definition 3.3.296</w:t>
      </w:r>
    </w:p>
    <w:p w:rsidR="003E2D8E" w:rsidRDefault="003E2D8E" w:rsidP="003E2D8E">
      <w:pPr>
        <w:pStyle w:val="StandardWeb"/>
      </w:pPr>
      <w:r>
        <w:t xml:space="preserve">Eine Zustandsgröße (Q_F) heißt gegenüber (g) </w:t>
      </w:r>
      <w:r>
        <w:rPr>
          <w:rStyle w:val="Fett"/>
        </w:rPr>
        <w:t>global invariant</w:t>
      </w:r>
      <w:r>
        <w:t>, wenn</w:t>
      </w:r>
    </w:p>
    <w:p w:rsidR="003E2D8E" w:rsidRDefault="003E2D8E" w:rsidP="003E2D8E">
      <w:pPr>
        <w:pStyle w:val="berschrift1"/>
      </w:pPr>
      <w:r>
        <w:lastRenderedPageBreak/>
        <w:t>[</w:t>
      </w:r>
      <w:r>
        <w:br/>
        <w:t>\boxed{</w:t>
      </w:r>
      <w:r>
        <w:br/>
        <w:t>Q_F(g(z))</w:t>
      </w:r>
    </w:p>
    <w:p w:rsidR="003E2D8E" w:rsidRDefault="003E2D8E" w:rsidP="003E2D8E">
      <w:pPr>
        <w:pStyle w:val="StandardWeb"/>
      </w:pPr>
      <w:r>
        <w:t>Q_F(z)</w:t>
      </w:r>
      <w:r>
        <w:br/>
        <w:t>\qquad</w:t>
      </w:r>
      <w:r>
        <w:br/>
        <w:t>\forall z\in\Omega_F.</w:t>
      </w:r>
      <w:r>
        <w:br/>
        <w:t>}</w:t>
      </w:r>
      <w:r>
        <w:br/>
        <w:t>\tag{3.11973}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\boxed{Q_F(g(z))=Q_F(z)\qquad\forall z\in\Omega_F.}</w:t>
      </w:r>
    </w:p>
    <w:p w:rsidR="003E2D8E" w:rsidRDefault="00E50336" w:rsidP="003E2D8E">
      <w:r>
        <w:pict>
          <v:rect id="_x0000_i4182" style="width:0;height:1.5pt" o:hralign="center" o:hrstd="t" o:hr="t" fillcolor="#a0a0a0" stroked="f"/>
        </w:pict>
      </w:r>
    </w:p>
    <w:p w:rsidR="003E2D8E" w:rsidRDefault="003E2D8E" w:rsidP="003E2D8E">
      <w:pPr>
        <w:pStyle w:val="berschrift1"/>
      </w:pPr>
      <w:r>
        <w:t>3.3.48.10 Definition 3.3.297 – Lokale funktionale Invarianz</w:t>
      </w:r>
    </w:p>
    <w:p w:rsidR="003E2D8E" w:rsidRDefault="003E2D8E" w:rsidP="003E2D8E">
      <w:pPr>
        <w:pStyle w:val="berschrift3"/>
      </w:pPr>
      <w:r>
        <w:t>Definition 3.3.297</w:t>
      </w:r>
    </w:p>
    <w:p w:rsidR="003E2D8E" w:rsidRDefault="003E2D8E" w:rsidP="003E2D8E">
      <w:pPr>
        <w:pStyle w:val="StandardWeb"/>
      </w:pPr>
      <w:r>
        <w:t xml:space="preserve">Eine Zustandsgröße (Q_F) heißt gegenüber (g) auf einer Teilmenge (\mathcal D_g\subsetneq\Omega_F) </w:t>
      </w:r>
      <w:r>
        <w:rPr>
          <w:rStyle w:val="Fett"/>
        </w:rPr>
        <w:t>lokal invariant</w:t>
      </w:r>
      <w:r>
        <w:t>, wenn</w:t>
      </w:r>
    </w:p>
    <w:p w:rsidR="003E2D8E" w:rsidRDefault="003E2D8E" w:rsidP="003E2D8E">
      <w:pPr>
        <w:pStyle w:val="berschrift1"/>
      </w:pPr>
      <w:r>
        <w:t>[</w:t>
      </w:r>
      <w:r>
        <w:br/>
        <w:t>\boxed{</w:t>
      </w:r>
      <w:r>
        <w:br/>
        <w:t>Q_F(g(z))</w:t>
      </w:r>
    </w:p>
    <w:p w:rsidR="003E2D8E" w:rsidRDefault="003E2D8E" w:rsidP="003E2D8E">
      <w:pPr>
        <w:pStyle w:val="StandardWeb"/>
      </w:pPr>
      <w:r>
        <w:t>Q_F(z)</w:t>
      </w:r>
      <w:r>
        <w:br/>
        <w:t>\qquad</w:t>
      </w:r>
      <w:r>
        <w:br/>
        <w:t>\forall z\in\mathcal D_g.</w:t>
      </w:r>
      <w:r>
        <w:br/>
        <w:t>}</w:t>
      </w:r>
      <w:r>
        <w:br/>
        <w:t>\tag{3.11974}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\boxed{Q_F(g(z))=Q_F(z)\qquad\forall z\in\mathcal D_g.}</w:t>
      </w:r>
    </w:p>
    <w:p w:rsidR="003E2D8E" w:rsidRDefault="00E50336" w:rsidP="003E2D8E">
      <w:r>
        <w:pict>
          <v:rect id="_x0000_i4183" style="width:0;height:1.5pt" o:hralign="center" o:hrstd="t" o:hr="t" fillcolor="#a0a0a0" stroked="f"/>
        </w:pict>
      </w:r>
    </w:p>
    <w:p w:rsidR="003E2D8E" w:rsidRDefault="003E2D8E" w:rsidP="003E2D8E">
      <w:pPr>
        <w:pStyle w:val="berschrift1"/>
      </w:pPr>
      <w:r>
        <w:t>3.3.48.11 Invarianz einer Relation</w:t>
      </w:r>
    </w:p>
    <w:p w:rsidR="003E2D8E" w:rsidRDefault="003E2D8E" w:rsidP="003E2D8E">
      <w:pPr>
        <w:pStyle w:val="StandardWeb"/>
      </w:pPr>
      <w:r>
        <w:t>Nicht nur skalare oder vektorielle Zustandsgrößen können invariant sein.</w:t>
      </w:r>
    </w:p>
    <w:p w:rsidR="003E2D8E" w:rsidRDefault="003E2D8E" w:rsidP="003E2D8E">
      <w:pPr>
        <w:pStyle w:val="StandardWeb"/>
      </w:pPr>
      <w:r>
        <w:t>Sei</w:t>
      </w:r>
    </w:p>
    <w:p w:rsidR="003E2D8E" w:rsidRDefault="003E2D8E" w:rsidP="003E2D8E">
      <w:pPr>
        <w:pStyle w:val="StandardWeb"/>
      </w:pPr>
      <w:r>
        <w:lastRenderedPageBreak/>
        <w:t>[</w:t>
      </w:r>
      <w:r>
        <w:br/>
        <w:t>R_F</w:t>
      </w:r>
      <w:r>
        <w:br/>
        <w:t>\subseteq</w:t>
      </w:r>
      <w:r>
        <w:br/>
        <w:t>\Omega_F\times\Omega_F</w:t>
      </w:r>
      <w:r>
        <w:br/>
        <w:t>\tag{3.11975}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R_F\subseteq\Omega_F\times\Omega_F</w:t>
      </w:r>
    </w:p>
    <w:p w:rsidR="003E2D8E" w:rsidRDefault="003E2D8E" w:rsidP="003E2D8E">
      <w:pPr>
        <w:pStyle w:val="StandardWeb"/>
      </w:pPr>
      <w:r>
        <w:t>eine funktionale Relation.</w:t>
      </w:r>
    </w:p>
    <w:p w:rsidR="003E2D8E" w:rsidRDefault="003E2D8E" w:rsidP="003E2D8E">
      <w:pPr>
        <w:pStyle w:val="StandardWeb"/>
      </w:pPr>
      <w:r>
        <w:t>Eine Transformation kann die Relation erhalten, wenn</w:t>
      </w:r>
    </w:p>
    <w:p w:rsidR="003E2D8E" w:rsidRDefault="003E2D8E" w:rsidP="003E2D8E">
      <w:pPr>
        <w:pStyle w:val="StandardWeb"/>
      </w:pPr>
      <w:r>
        <w:t>[</w:t>
      </w:r>
      <w:r>
        <w:br/>
        <w:t>(z_i,z_j)\in R_F</w:t>
      </w:r>
      <w:r>
        <w:br/>
        <w:t>\Longleftrightarrow</w:t>
      </w:r>
      <w:r>
        <w:br/>
        <w:t>(g(z_i),g(z_j))\in R_F.</w:t>
      </w:r>
      <w:r>
        <w:br/>
        <w:t>\tag{3.11976}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(z_i,z_j)\in R_F\Longleftrightarrow(g(z_i),g(z_j))\in R_F</w:t>
      </w:r>
    </w:p>
    <w:p w:rsidR="003E2D8E" w:rsidRDefault="00E50336" w:rsidP="003E2D8E">
      <w:r>
        <w:pict>
          <v:rect id="_x0000_i4184" style="width:0;height:1.5pt" o:hralign="center" o:hrstd="t" o:hr="t" fillcolor="#a0a0a0" stroked="f"/>
        </w:pict>
      </w:r>
    </w:p>
    <w:p w:rsidR="003E2D8E" w:rsidRDefault="003E2D8E" w:rsidP="003E2D8E">
      <w:pPr>
        <w:pStyle w:val="berschrift1"/>
      </w:pPr>
      <w:r>
        <w:t>3.3.48.12 Definition 3.3.298 – Funktionale Relationsinvarianz</w:t>
      </w:r>
    </w:p>
    <w:p w:rsidR="003E2D8E" w:rsidRDefault="003E2D8E" w:rsidP="003E2D8E">
      <w:pPr>
        <w:pStyle w:val="berschrift3"/>
      </w:pPr>
      <w:r>
        <w:t>Definition 3.3.298</w:t>
      </w:r>
    </w:p>
    <w:p w:rsidR="003E2D8E" w:rsidRDefault="003E2D8E" w:rsidP="003E2D8E">
      <w:pPr>
        <w:pStyle w:val="StandardWeb"/>
      </w:pPr>
      <w:r>
        <w:t xml:space="preserve">Eine funktionale Relation (R_F) heißt gegenüber einer Transformation (g) </w:t>
      </w:r>
      <w:r>
        <w:rPr>
          <w:rStyle w:val="Fett"/>
        </w:rPr>
        <w:t>invariant</w:t>
      </w:r>
      <w:r>
        <w:t>, wenn</w:t>
      </w:r>
    </w:p>
    <w:p w:rsidR="003E2D8E" w:rsidRDefault="003E2D8E" w:rsidP="003E2D8E">
      <w:pPr>
        <w:pStyle w:val="StandardWeb"/>
      </w:pPr>
      <w:r>
        <w:t>[</w:t>
      </w:r>
      <w:r>
        <w:br/>
        <w:t>\boxed{</w:t>
      </w:r>
      <w:r>
        <w:br/>
        <w:t>(z_i,z_j)\in R_F</w:t>
      </w:r>
      <w:r>
        <w:br/>
        <w:t>\Longleftrightarrow</w:t>
      </w:r>
      <w:r>
        <w:br/>
        <w:t>(g(z_i),g(z_j))\in R_F.</w:t>
      </w:r>
      <w:r>
        <w:br/>
        <w:t>}</w:t>
      </w:r>
      <w:r>
        <w:br/>
        <w:t>\tag{3.11977}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\boxed{(z_i,z_j)\in R_F\Longleftrightarrow(g(z_i),g(z_j))\in R_F.}</w:t>
      </w:r>
    </w:p>
    <w:p w:rsidR="003E2D8E" w:rsidRDefault="00E50336" w:rsidP="003E2D8E">
      <w:r>
        <w:pict>
          <v:rect id="_x0000_i4185" style="width:0;height:1.5pt" o:hralign="center" o:hrstd="t" o:hr="t" fillcolor="#a0a0a0" stroked="f"/>
        </w:pict>
      </w:r>
    </w:p>
    <w:p w:rsidR="003E2D8E" w:rsidRDefault="003E2D8E" w:rsidP="003E2D8E">
      <w:pPr>
        <w:pStyle w:val="berschrift1"/>
      </w:pPr>
      <w:r>
        <w:t>3.3.48.13 Invarianz zulässiger Übergänge</w:t>
      </w:r>
    </w:p>
    <w:p w:rsidR="003E2D8E" w:rsidRDefault="003E2D8E" w:rsidP="003E2D8E">
      <w:pPr>
        <w:pStyle w:val="StandardWeb"/>
      </w:pPr>
      <w:r>
        <w:lastRenderedPageBreak/>
        <w:t>Für die Übergangsrelation</w:t>
      </w:r>
    </w:p>
    <w:p w:rsidR="003E2D8E" w:rsidRDefault="003E2D8E" w:rsidP="003E2D8E">
      <w:pPr>
        <w:pStyle w:val="StandardWeb"/>
      </w:pPr>
      <w:r>
        <w:t>[</w:t>
      </w:r>
      <w:r>
        <w:br/>
        <w:t>\mathcal T_F</w:t>
      </w:r>
      <w:r>
        <w:br/>
        <w:t>\subseteq</w:t>
      </w:r>
      <w:r>
        <w:br/>
        <w:t>\Omega_F\times\Omega_F</w:t>
      </w:r>
      <w:r>
        <w:br/>
        <w:t>\tag{3.11978}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\mathcal T_F\subseteq\Omega_F\times\Omega_F</w:t>
      </w:r>
    </w:p>
    <w:p w:rsidR="003E2D8E" w:rsidRDefault="003E2D8E" w:rsidP="003E2D8E">
      <w:pPr>
        <w:pStyle w:val="StandardWeb"/>
      </w:pPr>
      <w:r>
        <w:t>bedeutet Transformationsinvarianz entsprechend</w:t>
      </w:r>
    </w:p>
    <w:p w:rsidR="003E2D8E" w:rsidRDefault="003E2D8E" w:rsidP="003E2D8E">
      <w:pPr>
        <w:pStyle w:val="StandardWeb"/>
      </w:pPr>
      <w:r>
        <w:t>[</w:t>
      </w:r>
      <w:r>
        <w:br/>
        <w:t>(z_i,z_j)\in\mathcal T_F</w:t>
      </w:r>
      <w:r>
        <w:br/>
        <w:t>\Longleftrightarrow</w:t>
      </w:r>
      <w:r>
        <w:br/>
        <w:t>(g(z_i),g(z_j))</w:t>
      </w:r>
      <w:r>
        <w:br/>
        <w:t>\in</w:t>
      </w:r>
      <w:r>
        <w:br/>
        <w:t>\mathcal T_F.</w:t>
      </w:r>
      <w:r>
        <w:br/>
        <w:t>\tag{3.11979}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(z_i,z_j)\in\mathcal T_F\Longleftrightarrow(g(z_i),g(z_j))\in\mathcal T_F</w:t>
      </w:r>
    </w:p>
    <w:p w:rsidR="003E2D8E" w:rsidRDefault="00E50336" w:rsidP="003E2D8E">
      <w:r>
        <w:pict>
          <v:rect id="_x0000_i4186" style="width:0;height:1.5pt" o:hralign="center" o:hrstd="t" o:hr="t" fillcolor="#a0a0a0" stroked="f"/>
        </w:pict>
      </w:r>
    </w:p>
    <w:p w:rsidR="003E2D8E" w:rsidRDefault="003E2D8E" w:rsidP="003E2D8E">
      <w:pPr>
        <w:pStyle w:val="berschrift1"/>
      </w:pPr>
      <w:r>
        <w:t>3.3.48.14 Definition 3.3.299 – Übergangsinvariante Transformation</w:t>
      </w:r>
    </w:p>
    <w:p w:rsidR="003E2D8E" w:rsidRDefault="003E2D8E" w:rsidP="003E2D8E">
      <w:pPr>
        <w:pStyle w:val="berschrift3"/>
      </w:pPr>
      <w:r>
        <w:t>Definition 3.3.299</w:t>
      </w:r>
    </w:p>
    <w:p w:rsidR="003E2D8E" w:rsidRDefault="003E2D8E" w:rsidP="003E2D8E">
      <w:pPr>
        <w:pStyle w:val="StandardWeb"/>
      </w:pPr>
      <w:r>
        <w:t xml:space="preserve">Eine Transformation (g) heißt bezüglich der FRZK-Übergangsrelation </w:t>
      </w:r>
      <w:r>
        <w:rPr>
          <w:rStyle w:val="Fett"/>
        </w:rPr>
        <w:t>übergangsinvariant</w:t>
      </w:r>
      <w:r>
        <w:t>, wenn</w:t>
      </w:r>
    </w:p>
    <w:p w:rsidR="003E2D8E" w:rsidRDefault="003E2D8E" w:rsidP="003E2D8E">
      <w:pPr>
        <w:pStyle w:val="StandardWeb"/>
      </w:pPr>
      <w:r>
        <w:t>[</w:t>
      </w:r>
      <w:r>
        <w:br/>
        <w:t>\boxed{</w:t>
      </w:r>
      <w:r>
        <w:br/>
        <w:t>(z_i,z_j)\in\mathcal T_F</w:t>
      </w:r>
      <w:r>
        <w:br/>
        <w:t>\Longleftrightarrow</w:t>
      </w:r>
      <w:r>
        <w:br/>
        <w:t>(g(z_i),g(z_j))</w:t>
      </w:r>
      <w:r>
        <w:br/>
        <w:t>\in</w:t>
      </w:r>
      <w:r>
        <w:br/>
        <w:t>\mathcal T_F.</w:t>
      </w:r>
      <w:r>
        <w:br/>
        <w:t>}</w:t>
      </w:r>
      <w:r>
        <w:br/>
        <w:t>\tag{3.11980}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lastRenderedPageBreak/>
        <w:t>\boxed{(z_i,z_j)\in\mathcal T_F\Longleftrightarrow(g(z_i),g(z_j))\in\mathcal T_F.}</w:t>
      </w:r>
    </w:p>
    <w:p w:rsidR="003E2D8E" w:rsidRDefault="00E50336" w:rsidP="003E2D8E">
      <w:r>
        <w:pict>
          <v:rect id="_x0000_i4187" style="width:0;height:1.5pt" o:hralign="center" o:hrstd="t" o:hr="t" fillcolor="#a0a0a0" stroked="f"/>
        </w:pict>
      </w:r>
    </w:p>
    <w:p w:rsidR="003E2D8E" w:rsidRDefault="003E2D8E" w:rsidP="003E2D8E">
      <w:pPr>
        <w:pStyle w:val="berschrift1"/>
      </w:pPr>
      <w:r>
        <w:t>3.3.48.15 Symmetrie als strukturtreue Transformation</w:t>
      </w:r>
    </w:p>
    <w:p w:rsidR="003E2D8E" w:rsidRDefault="003E2D8E" w:rsidP="003E2D8E">
      <w:pPr>
        <w:pStyle w:val="StandardWeb"/>
      </w:pPr>
      <w:r>
        <w:t>Damit kann ich einen ersten allgemeinen Symmetriebegriff formulieren.</w:t>
      </w:r>
    </w:p>
    <w:p w:rsidR="003E2D8E" w:rsidRDefault="003E2D8E" w:rsidP="003E2D8E">
      <w:pPr>
        <w:pStyle w:val="StandardWeb"/>
      </w:pPr>
      <w:r>
        <w:t>Eine Transformation ist nicht bereits deshalb eine Symmetrie, weil sie Zustände ineinander überführt. Sie muss eine zuvor festgelegte Struktur erhalten.</w:t>
      </w:r>
    </w:p>
    <w:p w:rsidR="003E2D8E" w:rsidRDefault="003E2D8E" w:rsidP="003E2D8E">
      <w:pPr>
        <w:pStyle w:val="StandardWeb"/>
      </w:pPr>
      <w:r>
        <w:t>Symbolisch:</w:t>
      </w:r>
    </w:p>
    <w:p w:rsidR="003E2D8E" w:rsidRDefault="003E2D8E" w:rsidP="003E2D8E">
      <w:pPr>
        <w:pStyle w:val="StandardWeb"/>
      </w:pPr>
      <w:r>
        <w:t>[</w:t>
      </w:r>
      <w:r>
        <w:br/>
        <w:t>g</w:t>
      </w:r>
      <w:r>
        <w:br/>
        <w:t>\text{ ist Symmetrie}</w:t>
      </w:r>
      <w:r>
        <w:br/>
        <w:t>\Longleftrightarrow</w:t>
      </w:r>
      <w:r>
        <w:br/>
        <w:t>g</w:t>
      </w:r>
      <w:r>
        <w:br/>
        <w:t>\text{ erhält die relevante Struktur}.</w:t>
      </w:r>
      <w:r>
        <w:br/>
        <w:t>\tag{3.11981}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g\text{ ist Symmetrie}\Longleftrightarrow g\text{ erhält die relevante Struktur}</w:t>
      </w:r>
    </w:p>
    <w:p w:rsidR="003E2D8E" w:rsidRDefault="00E50336" w:rsidP="003E2D8E">
      <w:r>
        <w:pict>
          <v:rect id="_x0000_i4188" style="width:0;height:1.5pt" o:hralign="center" o:hrstd="t" o:hr="t" fillcolor="#a0a0a0" stroked="f"/>
        </w:pict>
      </w:r>
    </w:p>
    <w:p w:rsidR="003E2D8E" w:rsidRDefault="003E2D8E" w:rsidP="003E2D8E">
      <w:pPr>
        <w:pStyle w:val="berschrift1"/>
      </w:pPr>
      <w:r>
        <w:t>3.3.48.16 Definition 3.3.300 – Funktionale Symmetrie</w:t>
      </w:r>
    </w:p>
    <w:p w:rsidR="003E2D8E" w:rsidRDefault="003E2D8E" w:rsidP="003E2D8E">
      <w:pPr>
        <w:pStyle w:val="berschrift3"/>
      </w:pPr>
      <w:r>
        <w:t>Definition 3.3.300</w:t>
      </w:r>
    </w:p>
    <w:p w:rsidR="003E2D8E" w:rsidRDefault="003E2D8E" w:rsidP="003E2D8E">
      <w:pPr>
        <w:pStyle w:val="StandardWeb"/>
      </w:pPr>
      <w:r>
        <w:t xml:space="preserve">Eine Transformation (g:\Omega_F\rightarrow\Omega_F) heißt </w:t>
      </w:r>
      <w:r>
        <w:rPr>
          <w:rStyle w:val="Fett"/>
        </w:rPr>
        <w:t>funktionale Symmetrie</w:t>
      </w:r>
      <w:r>
        <w:t xml:space="preserve"> bezüglich einer Struktur (\mathfrak S_F), wenn</w:t>
      </w:r>
    </w:p>
    <w:p w:rsidR="003E2D8E" w:rsidRDefault="003E2D8E" w:rsidP="003E2D8E">
      <w:pPr>
        <w:pStyle w:val="StandardWeb"/>
      </w:pPr>
      <w:r>
        <w:t>[</w:t>
      </w:r>
      <w:r>
        <w:br/>
        <w:t>\boxed{</w:t>
      </w:r>
      <w:r>
        <w:br/>
        <w:t>g(\mathfrak S_F)</w:t>
      </w:r>
      <w:r>
        <w:br/>
        <w:t>\simeq</w:t>
      </w:r>
      <w:r>
        <w:br/>
        <w:t>\mathfrak S_F,</w:t>
      </w:r>
      <w:r>
        <w:br/>
        <w:t>}</w:t>
      </w:r>
      <w:r>
        <w:br/>
        <w:t>\tag{3.11982}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\boxed{g(\mathfrak S_F)\simeq\mathfrak S_F,}</w:t>
      </w:r>
    </w:p>
    <w:p w:rsidR="003E2D8E" w:rsidRDefault="003E2D8E" w:rsidP="003E2D8E">
      <w:pPr>
        <w:pStyle w:val="StandardWeb"/>
      </w:pPr>
      <w:r>
        <w:t>wobei (\simeq) die für die jeweilige Modellklasse festgelegte strukturelle Äquivalenz bezeichnet.</w:t>
      </w:r>
    </w:p>
    <w:p w:rsidR="003E2D8E" w:rsidRDefault="00E50336" w:rsidP="003E2D8E">
      <w:r>
        <w:lastRenderedPageBreak/>
        <w:pict>
          <v:rect id="_x0000_i4189" style="width:0;height:1.5pt" o:hralign="center" o:hrstd="t" o:hr="t" fillcolor="#a0a0a0" stroked="f"/>
        </w:pict>
      </w:r>
    </w:p>
    <w:p w:rsidR="003E2D8E" w:rsidRDefault="003E2D8E" w:rsidP="003E2D8E">
      <w:pPr>
        <w:pStyle w:val="berschrift1"/>
      </w:pPr>
      <w:r>
        <w:t>3.3.48.17 Exakte strukturelle Invarianz</w:t>
      </w:r>
    </w:p>
    <w:p w:rsidR="003E2D8E" w:rsidRDefault="003E2D8E" w:rsidP="003E2D8E">
      <w:pPr>
        <w:pStyle w:val="StandardWeb"/>
      </w:pPr>
      <w:r>
        <w:t>Ist die relevante Struktur vollständig unverändert, kann sogar</w:t>
      </w:r>
    </w:p>
    <w:p w:rsidR="003E2D8E" w:rsidRDefault="003E2D8E" w:rsidP="003E2D8E">
      <w:pPr>
        <w:pStyle w:val="berschrift1"/>
      </w:pPr>
      <w:r>
        <w:t>[</w:t>
      </w:r>
      <w:r>
        <w:br/>
        <w:t>g(\mathfrak S_F)</w:t>
      </w:r>
    </w:p>
    <w:p w:rsidR="003E2D8E" w:rsidRDefault="003E2D8E" w:rsidP="003E2D8E">
      <w:pPr>
        <w:pStyle w:val="StandardWeb"/>
      </w:pPr>
      <w:r>
        <w:t>\mathfrak S_F</w:t>
      </w:r>
      <w:r>
        <w:br/>
        <w:t>\tag{3.11983}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g(\mathfrak S_F)=\mathfrak S_F</w:t>
      </w:r>
    </w:p>
    <w:p w:rsidR="003E2D8E" w:rsidRDefault="003E2D8E" w:rsidP="003E2D8E">
      <w:pPr>
        <w:pStyle w:val="StandardWeb"/>
      </w:pPr>
      <w:r>
        <w:t>gefordert werden.</w:t>
      </w:r>
    </w:p>
    <w:p w:rsidR="003E2D8E" w:rsidRDefault="003E2D8E" w:rsidP="003E2D8E">
      <w:pPr>
        <w:pStyle w:val="StandardWeb"/>
      </w:pPr>
      <w:r>
        <w:t>Dies ist eine stärkere Bedingung als bloße strukturelle Äquivalenz.</w:t>
      </w:r>
    </w:p>
    <w:p w:rsidR="003E2D8E" w:rsidRDefault="00E50336" w:rsidP="003E2D8E">
      <w:r>
        <w:pict>
          <v:rect id="_x0000_i4190" style="width:0;height:1.5pt" o:hralign="center" o:hrstd="t" o:hr="t" fillcolor="#a0a0a0" stroked="f"/>
        </w:pict>
      </w:r>
    </w:p>
    <w:p w:rsidR="003E2D8E" w:rsidRDefault="003E2D8E" w:rsidP="003E2D8E">
      <w:pPr>
        <w:pStyle w:val="berschrift1"/>
      </w:pPr>
      <w:r>
        <w:t>3.3.48.18 Definition 3.3.301 – Exakte funktionale Symmetrie</w:t>
      </w:r>
    </w:p>
    <w:p w:rsidR="003E2D8E" w:rsidRDefault="003E2D8E" w:rsidP="003E2D8E">
      <w:pPr>
        <w:pStyle w:val="berschrift3"/>
      </w:pPr>
      <w:r>
        <w:t>Definition 3.3.301</w:t>
      </w:r>
    </w:p>
    <w:p w:rsidR="003E2D8E" w:rsidRDefault="003E2D8E" w:rsidP="003E2D8E">
      <w:pPr>
        <w:pStyle w:val="StandardWeb"/>
      </w:pPr>
      <w:r>
        <w:t xml:space="preserve">Eine funktionale Symmetrie heißt </w:t>
      </w:r>
      <w:r>
        <w:rPr>
          <w:rStyle w:val="Fett"/>
        </w:rPr>
        <w:t>exakt</w:t>
      </w:r>
      <w:r>
        <w:t>, wenn</w:t>
      </w:r>
    </w:p>
    <w:p w:rsidR="003E2D8E" w:rsidRDefault="003E2D8E" w:rsidP="003E2D8E">
      <w:pPr>
        <w:pStyle w:val="berschrift1"/>
      </w:pPr>
      <w:r>
        <w:t>[</w:t>
      </w:r>
      <w:r>
        <w:br/>
        <w:t>\boxed{</w:t>
      </w:r>
      <w:r>
        <w:br/>
        <w:t>g(\mathfrak S_F)</w:t>
      </w:r>
    </w:p>
    <w:p w:rsidR="003E2D8E" w:rsidRDefault="003E2D8E" w:rsidP="003E2D8E">
      <w:pPr>
        <w:pStyle w:val="StandardWeb"/>
      </w:pPr>
      <w:r>
        <w:t>\mathfrak S_F.</w:t>
      </w:r>
      <w:r>
        <w:br/>
        <w:t>}</w:t>
      </w:r>
      <w:r>
        <w:br/>
        <w:t>\tag{3.11984}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\boxed{g(\mathfrak S_F)=\mathfrak S_F.}</w:t>
      </w:r>
    </w:p>
    <w:p w:rsidR="003E2D8E" w:rsidRDefault="00E50336" w:rsidP="003E2D8E">
      <w:r>
        <w:pict>
          <v:rect id="_x0000_i4191" style="width:0;height:1.5pt" o:hralign="center" o:hrstd="t" o:hr="t" fillcolor="#a0a0a0" stroked="f"/>
        </w:pict>
      </w:r>
    </w:p>
    <w:p w:rsidR="003E2D8E" w:rsidRDefault="003E2D8E" w:rsidP="003E2D8E">
      <w:pPr>
        <w:pStyle w:val="berschrift1"/>
      </w:pPr>
      <w:r>
        <w:t>3.3.48.19 Identitätstransformation</w:t>
      </w:r>
    </w:p>
    <w:p w:rsidR="003E2D8E" w:rsidRDefault="003E2D8E" w:rsidP="003E2D8E">
      <w:pPr>
        <w:pStyle w:val="StandardWeb"/>
      </w:pPr>
      <w:r>
        <w:lastRenderedPageBreak/>
        <w:t>Die elementarste Transformation ist die Identität</w:t>
      </w:r>
    </w:p>
    <w:p w:rsidR="003E2D8E" w:rsidRDefault="003E2D8E" w:rsidP="003E2D8E">
      <w:pPr>
        <w:pStyle w:val="berschrift1"/>
      </w:pPr>
      <w:r>
        <w:t>[</w:t>
      </w:r>
      <w:r>
        <w:br/>
        <w:t>\operatorname{id}_{\Omega_F}(z)</w:t>
      </w:r>
    </w:p>
    <w:p w:rsidR="003E2D8E" w:rsidRDefault="003E2D8E" w:rsidP="003E2D8E">
      <w:pPr>
        <w:pStyle w:val="StandardWeb"/>
      </w:pPr>
      <w:r>
        <w:t>z.</w:t>
      </w:r>
      <w:r>
        <w:br/>
        <w:t>\tag{3.11985}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\operatorname{id}_{\Omega_F}(z)=z</w:t>
      </w:r>
    </w:p>
    <w:p w:rsidR="003E2D8E" w:rsidRDefault="003E2D8E" w:rsidP="003E2D8E">
      <w:pPr>
        <w:pStyle w:val="StandardWeb"/>
      </w:pPr>
      <w:r>
        <w:t>Für jede Zustandsgröße gilt deshalb</w:t>
      </w:r>
    </w:p>
    <w:p w:rsidR="003E2D8E" w:rsidRDefault="003E2D8E" w:rsidP="003E2D8E">
      <w:pPr>
        <w:pStyle w:val="berschrift1"/>
      </w:pPr>
      <w:r>
        <w:t>[</w:t>
      </w:r>
      <w:r>
        <w:br/>
        <w:t>Q_F(\operatorname{id}_{\Omega_F}(z))</w:t>
      </w:r>
    </w:p>
    <w:p w:rsidR="003E2D8E" w:rsidRDefault="003E2D8E" w:rsidP="003E2D8E">
      <w:pPr>
        <w:pStyle w:val="StandardWeb"/>
      </w:pPr>
      <w:r>
        <w:t>Q_F(z).</w:t>
      </w:r>
      <w:r>
        <w:br/>
        <w:t>\tag{3.11986}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Q_F(\operatorname{id}_{\Omega_F}(z))=Q_F(z)</w:t>
      </w:r>
    </w:p>
    <w:p w:rsidR="003E2D8E" w:rsidRDefault="00E50336" w:rsidP="003E2D8E">
      <w:r>
        <w:pict>
          <v:rect id="_x0000_i4192" style="width:0;height:1.5pt" o:hralign="center" o:hrstd="t" o:hr="t" fillcolor="#a0a0a0" stroked="f"/>
        </w:pict>
      </w:r>
    </w:p>
    <w:p w:rsidR="003E2D8E" w:rsidRDefault="003E2D8E" w:rsidP="003E2D8E">
      <w:pPr>
        <w:pStyle w:val="berschrift1"/>
      </w:pPr>
      <w:r>
        <w:t>3.3.48.20 Satz 3.3.120 – Die Identität ist Symmetrie jeder wohldefinierten funktionalen Struktur</w:t>
      </w:r>
    </w:p>
    <w:p w:rsidR="003E2D8E" w:rsidRDefault="003E2D8E" w:rsidP="003E2D8E">
      <w:pPr>
        <w:pStyle w:val="berschrift3"/>
      </w:pPr>
      <w:r>
        <w:t>Satz 3.3.120</w:t>
      </w:r>
    </w:p>
    <w:p w:rsidR="003E2D8E" w:rsidRDefault="003E2D8E" w:rsidP="003E2D8E">
      <w:pPr>
        <w:pStyle w:val="StandardWeb"/>
      </w:pPr>
      <w:r>
        <w:t>Für jede wohldefinierte Struktur (\mathfrak S_F) auf (\Omega_F) gilt</w:t>
      </w:r>
    </w:p>
    <w:p w:rsidR="003E2D8E" w:rsidRDefault="003E2D8E" w:rsidP="003E2D8E">
      <w:pPr>
        <w:pStyle w:val="berschrift1"/>
      </w:pPr>
      <w:r>
        <w:t>[</w:t>
      </w:r>
      <w:r>
        <w:br/>
        <w:t>\boxed{</w:t>
      </w:r>
      <w:r>
        <w:br/>
        <w:t>\operatorname{id}_{\Omega_F}</w:t>
      </w:r>
      <w:r>
        <w:br/>
        <w:t>(\mathfrak S_F)</w:t>
      </w:r>
    </w:p>
    <w:p w:rsidR="003E2D8E" w:rsidRDefault="003E2D8E" w:rsidP="003E2D8E">
      <w:pPr>
        <w:pStyle w:val="StandardWeb"/>
      </w:pPr>
      <w:r>
        <w:t>\mathfrak S_F.</w:t>
      </w:r>
      <w:r>
        <w:br/>
        <w:t>}</w:t>
      </w:r>
      <w:r>
        <w:br/>
        <w:t>\tag{3.11987}</w:t>
      </w:r>
      <w:r>
        <w:br/>
        <w:t>]</w:t>
      </w:r>
    </w:p>
    <w:p w:rsidR="003E2D8E" w:rsidRDefault="003E2D8E" w:rsidP="003E2D8E">
      <w:pPr>
        <w:pStyle w:val="StandardWeb"/>
      </w:pPr>
      <w:r>
        <w:rPr>
          <w:rStyle w:val="Fett"/>
        </w:rPr>
        <w:lastRenderedPageBreak/>
        <w:t>Word-LaTeX</w:t>
      </w:r>
    </w:p>
    <w:p w:rsidR="003E2D8E" w:rsidRDefault="003E2D8E" w:rsidP="003E2D8E">
      <w:pPr>
        <w:pStyle w:val="HTMLVorformatiert"/>
        <w:rPr>
          <w:rStyle w:val="HTMLCode"/>
        </w:rPr>
      </w:pPr>
      <w:r>
        <w:rPr>
          <w:rStyle w:val="HTMLCode"/>
        </w:rPr>
        <w:t>\boxed{\operatorname{id}_{\Omega_F}(\mathfrak S_F)=\mathfrak S_F.}</w:t>
      </w:r>
    </w:p>
    <w:p w:rsidR="003E2D8E" w:rsidRDefault="003E2D8E" w:rsidP="003E2D8E">
      <w:pPr>
        <w:pStyle w:val="berschrift3"/>
      </w:pPr>
      <w:r>
        <w:t>Beweis</w:t>
      </w:r>
    </w:p>
    <w:p w:rsidR="003E2D8E" w:rsidRDefault="003E2D8E" w:rsidP="003E2D8E">
      <w:pPr>
        <w:pStyle w:val="StandardWeb"/>
      </w:pPr>
      <w:r>
        <w:t>Per Definition gilt für jeden Zustand</w:t>
      </w:r>
    </w:p>
    <w:p w:rsidR="003E2D8E" w:rsidRDefault="003E2D8E" w:rsidP="003E2D8E">
      <w:pPr>
        <w:pStyle w:val="berschrift1"/>
      </w:pPr>
      <w:r>
        <w:t>[</w:t>
      </w:r>
      <w:r>
        <w:br/>
        <w:t>\operatorname{id}_{\Omega_F}(z)</w:t>
      </w:r>
    </w:p>
    <w:p w:rsidR="003E2D8E" w:rsidRDefault="003E2D8E" w:rsidP="003E2D8E">
      <w:pPr>
        <w:pStyle w:val="StandardWeb"/>
      </w:pPr>
      <w:r>
        <w:t>z.</w:t>
      </w:r>
      <w:r>
        <w:br/>
        <w:t>\tag{3.11988}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\operatorname{id}_{\Omega_F}(z)=z</w:t>
      </w:r>
    </w:p>
    <w:p w:rsidR="003E2D8E" w:rsidRDefault="003E2D8E" w:rsidP="003E2D8E">
      <w:pPr>
        <w:pStyle w:val="StandardWeb"/>
      </w:pPr>
      <w:r>
        <w:t>Damit werden sämtliche Zustände, Relationen und aus ihnen gebildeten Strukturen unverändert auf sich selbst abgebildet. Folglich gilt</w:t>
      </w:r>
    </w:p>
    <w:p w:rsidR="003E2D8E" w:rsidRDefault="003E2D8E" w:rsidP="003E2D8E">
      <w:pPr>
        <w:pStyle w:val="berschrift1"/>
      </w:pPr>
      <w:r>
        <w:t>[</w:t>
      </w:r>
      <w:r>
        <w:br/>
        <w:t>\operatorname{id}_{\Omega_F}</w:t>
      </w:r>
      <w:r>
        <w:br/>
        <w:t>(\mathfrak S_F)</w:t>
      </w:r>
    </w:p>
    <w:p w:rsidR="003E2D8E" w:rsidRDefault="003E2D8E" w:rsidP="003E2D8E">
      <w:pPr>
        <w:pStyle w:val="StandardWeb"/>
      </w:pPr>
      <w:r>
        <w:t>\mathfrak S_F.</w:t>
      </w:r>
      <w:r>
        <w:br/>
        <w:t>\tag{3.11989}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\operatorname{id}_{\Omega_F}(\mathfrak S_F)=\mathfrak S_F</w:t>
      </w:r>
    </w:p>
    <w:p w:rsidR="003E2D8E" w:rsidRDefault="003E2D8E" w:rsidP="003E2D8E">
      <w:pPr>
        <w:pStyle w:val="StandardWeb"/>
      </w:pPr>
      <w:r>
        <w:t>(\square)</w:t>
      </w:r>
    </w:p>
    <w:p w:rsidR="003E2D8E" w:rsidRDefault="00E50336" w:rsidP="003E2D8E">
      <w:r>
        <w:pict>
          <v:rect id="_x0000_i4193" style="width:0;height:1.5pt" o:hralign="center" o:hrstd="t" o:hr="t" fillcolor="#a0a0a0" stroked="f"/>
        </w:pict>
      </w:r>
    </w:p>
    <w:p w:rsidR="003E2D8E" w:rsidRDefault="003E2D8E" w:rsidP="003E2D8E">
      <w:pPr>
        <w:pStyle w:val="berschrift1"/>
      </w:pPr>
      <w:r>
        <w:t>3.3.48.21 Korollar 3.3.30 – Jede funktionale Struktur besitzt mindestens die triviale Symmetrie</w:t>
      </w:r>
    </w:p>
    <w:p w:rsidR="003E2D8E" w:rsidRDefault="003E2D8E" w:rsidP="003E2D8E">
      <w:pPr>
        <w:pStyle w:val="berschrift3"/>
      </w:pPr>
      <w:r>
        <w:t>Korollar 3.3.30</w:t>
      </w:r>
    </w:p>
    <w:p w:rsidR="003E2D8E" w:rsidRDefault="003E2D8E" w:rsidP="003E2D8E">
      <w:pPr>
        <w:pStyle w:val="StandardWeb"/>
      </w:pPr>
      <w:r>
        <w:t>Für jede wohldefinierte funktionale Struktur gilt</w:t>
      </w:r>
    </w:p>
    <w:p w:rsidR="003E2D8E" w:rsidRDefault="003E2D8E" w:rsidP="003E2D8E">
      <w:pPr>
        <w:pStyle w:val="StandardWeb"/>
      </w:pPr>
      <w:r>
        <w:t>[</w:t>
      </w:r>
      <w:r>
        <w:br/>
        <w:t>\boxed{</w:t>
      </w:r>
      <w:r>
        <w:br/>
      </w:r>
      <w:r>
        <w:lastRenderedPageBreak/>
        <w:t>\operatorname{id}_{\Omega_F}</w:t>
      </w:r>
      <w:r>
        <w:br/>
        <w:t>\in</w:t>
      </w:r>
      <w:r>
        <w:br/>
        <w:t>\operatorname{Sym}(\mathfrak S_F).</w:t>
      </w:r>
      <w:r>
        <w:br/>
        <w:t>}</w:t>
      </w:r>
      <w:r>
        <w:br/>
        <w:t>\tag{3.11990}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\boxed{\operatorname{id}_{\Omega_F}\in\operatorname{Sym}(\mathfrak S_F).}</w:t>
      </w:r>
    </w:p>
    <w:p w:rsidR="003E2D8E" w:rsidRDefault="00E50336" w:rsidP="003E2D8E">
      <w:r>
        <w:pict>
          <v:rect id="_x0000_i4194" style="width:0;height:1.5pt" o:hralign="center" o:hrstd="t" o:hr="t" fillcolor="#a0a0a0" stroked="f"/>
        </w:pict>
      </w:r>
    </w:p>
    <w:p w:rsidR="003E2D8E" w:rsidRDefault="003E2D8E" w:rsidP="003E2D8E">
      <w:pPr>
        <w:pStyle w:val="berschrift1"/>
      </w:pPr>
      <w:r>
        <w:t>3.3.48.22 Nichttriviale Symmetrien</w:t>
      </w:r>
    </w:p>
    <w:p w:rsidR="003E2D8E" w:rsidRDefault="003E2D8E" w:rsidP="003E2D8E">
      <w:pPr>
        <w:pStyle w:val="StandardWeb"/>
      </w:pPr>
      <w:r>
        <w:t>Für die theoretische Aussagekraft ist die Identität allein jedoch wenig informativ.</w:t>
      </w:r>
    </w:p>
    <w:p w:rsidR="003E2D8E" w:rsidRDefault="003E2D8E" w:rsidP="003E2D8E">
      <w:pPr>
        <w:pStyle w:val="StandardWeb"/>
      </w:pPr>
      <w:r>
        <w:t>Eine Symmetrie (g) heißt nichttrivial, wenn</w:t>
      </w:r>
    </w:p>
    <w:p w:rsidR="003E2D8E" w:rsidRDefault="003E2D8E" w:rsidP="003E2D8E">
      <w:pPr>
        <w:pStyle w:val="StandardWeb"/>
      </w:pPr>
      <w:r>
        <w:t>[</w:t>
      </w:r>
      <w:r>
        <w:br/>
        <w:t>g</w:t>
      </w:r>
      <w:r>
        <w:br/>
        <w:t>\neq</w:t>
      </w:r>
      <w:r>
        <w:br/>
        <w:t>\operatorname{id}_{\Omega_F}.</w:t>
      </w:r>
      <w:r>
        <w:br/>
        <w:t>\tag{3.11991}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g\neq\operatorname{id}_{\Omega_F}</w:t>
      </w:r>
    </w:p>
    <w:p w:rsidR="003E2D8E" w:rsidRDefault="00E50336" w:rsidP="003E2D8E">
      <w:r>
        <w:pict>
          <v:rect id="_x0000_i4195" style="width:0;height:1.5pt" o:hralign="center" o:hrstd="t" o:hr="t" fillcolor="#a0a0a0" stroked="f"/>
        </w:pict>
      </w:r>
    </w:p>
    <w:p w:rsidR="003E2D8E" w:rsidRDefault="003E2D8E" w:rsidP="003E2D8E">
      <w:pPr>
        <w:pStyle w:val="berschrift1"/>
      </w:pPr>
      <w:r>
        <w:t>3.3.48.23 Definition 3.3.302 – Nichttriviale funktionale Symmetrie</w:t>
      </w:r>
    </w:p>
    <w:p w:rsidR="003E2D8E" w:rsidRDefault="003E2D8E" w:rsidP="003E2D8E">
      <w:pPr>
        <w:pStyle w:val="berschrift3"/>
      </w:pPr>
      <w:r>
        <w:t>Definition 3.3.302</w:t>
      </w:r>
    </w:p>
    <w:p w:rsidR="003E2D8E" w:rsidRDefault="003E2D8E" w:rsidP="003E2D8E">
      <w:pPr>
        <w:pStyle w:val="StandardWeb"/>
      </w:pPr>
      <w:r>
        <w:t xml:space="preserve">Eine funktionale Symmetrie heißt </w:t>
      </w:r>
      <w:r>
        <w:rPr>
          <w:rStyle w:val="Fett"/>
        </w:rPr>
        <w:t>nichttrivial</w:t>
      </w:r>
      <w:r>
        <w:t>, wenn</w:t>
      </w:r>
    </w:p>
    <w:p w:rsidR="003E2D8E" w:rsidRDefault="003E2D8E" w:rsidP="003E2D8E">
      <w:pPr>
        <w:pStyle w:val="StandardWeb"/>
      </w:pPr>
      <w:r>
        <w:t>[</w:t>
      </w:r>
      <w:r>
        <w:br/>
        <w:t>\boxed{</w:t>
      </w:r>
      <w:r>
        <w:br/>
        <w:t>g</w:t>
      </w:r>
      <w:r>
        <w:br/>
        <w:t>\neq</w:t>
      </w:r>
      <w:r>
        <w:br/>
        <w:t>\operatorname{id}_{\Omega_F}.</w:t>
      </w:r>
      <w:r>
        <w:br/>
        <w:t>}</w:t>
      </w:r>
      <w:r>
        <w:br/>
        <w:t>\tag{3.11992}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\boxed{g\neq\operatorname{id}_{\Omega_F}.}</w:t>
      </w:r>
    </w:p>
    <w:p w:rsidR="003E2D8E" w:rsidRDefault="00E50336" w:rsidP="003E2D8E">
      <w:r>
        <w:lastRenderedPageBreak/>
        <w:pict>
          <v:rect id="_x0000_i4196" style="width:0;height:1.5pt" o:hralign="center" o:hrstd="t" o:hr="t" fillcolor="#a0a0a0" stroked="f"/>
        </w:pict>
      </w:r>
    </w:p>
    <w:p w:rsidR="003E2D8E" w:rsidRDefault="003E2D8E" w:rsidP="003E2D8E">
      <w:pPr>
        <w:pStyle w:val="berschrift1"/>
      </w:pPr>
      <w:r>
        <w:t>3.3.48.24 Menge aller Symmetrien</w:t>
      </w:r>
    </w:p>
    <w:p w:rsidR="003E2D8E" w:rsidRDefault="003E2D8E" w:rsidP="003E2D8E">
      <w:pPr>
        <w:pStyle w:val="StandardWeb"/>
      </w:pPr>
      <w:r>
        <w:t>Für eine Struktur (\mathfrak S_F) kann ich die Symmetriemenge definieren als</w:t>
      </w:r>
    </w:p>
    <w:p w:rsidR="003E2D8E" w:rsidRDefault="003E2D8E" w:rsidP="003E2D8E">
      <w:pPr>
        <w:pStyle w:val="StandardWeb"/>
      </w:pPr>
      <w:r>
        <w:t>[</w:t>
      </w:r>
      <w:r>
        <w:br/>
        <w:t>\operatorname{Sym}</w:t>
      </w:r>
      <w:r>
        <w:br/>
        <w:t>(\mathfrak S_F)</w:t>
      </w:r>
      <w:r>
        <w:br/>
        <w:t>:=</w:t>
      </w:r>
      <w:r>
        <w:br/>
        <w:t>\left{</w:t>
      </w:r>
      <w:r>
        <w:br/>
        <w:t>g:</w:t>
      </w:r>
      <w:r>
        <w:br/>
        <w:t>g(\mathfrak S_F)</w:t>
      </w:r>
      <w:r>
        <w:br/>
        <w:t>\simeq</w:t>
      </w:r>
      <w:r>
        <w:br/>
        <w:t>\mathfrak S_F</w:t>
      </w:r>
      <w:r>
        <w:br/>
        <w:t>\right}.</w:t>
      </w:r>
      <w:r>
        <w:br/>
        <w:t>\tag{3.11993}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\operatorname{Sym}(\mathfrak S_F):=\left\{g:g(\mathfrak S_F)\simeq\mathfrak S_F\right\}</w:t>
      </w:r>
    </w:p>
    <w:p w:rsidR="003E2D8E" w:rsidRDefault="00E50336" w:rsidP="003E2D8E">
      <w:r>
        <w:pict>
          <v:rect id="_x0000_i4197" style="width:0;height:1.5pt" o:hralign="center" o:hrstd="t" o:hr="t" fillcolor="#a0a0a0" stroked="f"/>
        </w:pict>
      </w:r>
    </w:p>
    <w:p w:rsidR="003E2D8E" w:rsidRDefault="003E2D8E" w:rsidP="003E2D8E">
      <w:pPr>
        <w:pStyle w:val="berschrift1"/>
      </w:pPr>
      <w:r>
        <w:t>3.3.48.25 Definition 3.3.303 – Funktionale Symmetriemenge</w:t>
      </w:r>
    </w:p>
    <w:p w:rsidR="003E2D8E" w:rsidRDefault="003E2D8E" w:rsidP="003E2D8E">
      <w:pPr>
        <w:pStyle w:val="berschrift3"/>
      </w:pPr>
      <w:r>
        <w:t>Definition 3.3.303</w:t>
      </w:r>
    </w:p>
    <w:p w:rsidR="003E2D8E" w:rsidRDefault="003E2D8E" w:rsidP="003E2D8E">
      <w:pPr>
        <w:pStyle w:val="StandardWeb"/>
      </w:pPr>
      <w:r>
        <w:t xml:space="preserve">Die </w:t>
      </w:r>
      <w:r>
        <w:rPr>
          <w:rStyle w:val="Fett"/>
        </w:rPr>
        <w:t>funktionale Symmetriemenge</w:t>
      </w:r>
      <w:r>
        <w:t xml:space="preserve"> einer Struktur (\mathfrak S_F) ist</w:t>
      </w:r>
    </w:p>
    <w:p w:rsidR="003E2D8E" w:rsidRDefault="003E2D8E" w:rsidP="003E2D8E">
      <w:pPr>
        <w:pStyle w:val="StandardWeb"/>
      </w:pPr>
      <w:r>
        <w:t>[</w:t>
      </w:r>
      <w:r>
        <w:br/>
        <w:t>\boxed{</w:t>
      </w:r>
      <w:r>
        <w:br/>
        <w:t>\operatorname{Sym}</w:t>
      </w:r>
      <w:r>
        <w:br/>
        <w:t>(\mathfrak S_F)</w:t>
      </w:r>
      <w:r>
        <w:br/>
        <w:t>:=</w:t>
      </w:r>
      <w:r>
        <w:br/>
        <w:t>\left{</w:t>
      </w:r>
      <w:r>
        <w:br/>
        <w:t>g\in\mathcal T_{\mathrm{tr}}</w:t>
      </w:r>
      <w:r>
        <w:br/>
        <w:t>:</w:t>
      </w:r>
      <w:r>
        <w:br/>
        <w:t>g(\mathfrak S_F)</w:t>
      </w:r>
      <w:r>
        <w:br/>
        <w:t>\simeq</w:t>
      </w:r>
      <w:r>
        <w:br/>
        <w:t>\mathfrak S_F</w:t>
      </w:r>
      <w:r>
        <w:br/>
        <w:t>\right}.</w:t>
      </w:r>
      <w:r>
        <w:br/>
        <w:t>}</w:t>
      </w:r>
      <w:r>
        <w:br/>
        <w:t>\tag{3.11994}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lastRenderedPageBreak/>
        <w:t>\boxed{\operatorname{Sym}(\mathfrak S_F):=\left\{g\in\mathcal T_{\mathrm{tr}}:g(\mathfrak S_F)\simeq\mathfrak S_F\right\}.}</w:t>
      </w:r>
    </w:p>
    <w:p w:rsidR="003E2D8E" w:rsidRDefault="00E50336" w:rsidP="003E2D8E">
      <w:r>
        <w:pict>
          <v:rect id="_x0000_i4198" style="width:0;height:1.5pt" o:hralign="center" o:hrstd="t" o:hr="t" fillcolor="#a0a0a0" stroked="f"/>
        </w:pict>
      </w:r>
    </w:p>
    <w:p w:rsidR="003E2D8E" w:rsidRDefault="003E2D8E" w:rsidP="003E2D8E">
      <w:pPr>
        <w:pStyle w:val="berschrift1"/>
      </w:pPr>
      <w:r>
        <w:t>3.3.48.26 Noch keine Gruppenstruktur</w:t>
      </w:r>
    </w:p>
    <w:p w:rsidR="003E2D8E" w:rsidRDefault="003E2D8E" w:rsidP="003E2D8E">
      <w:pPr>
        <w:pStyle w:val="StandardWeb"/>
      </w:pPr>
      <w:r>
        <w:t>Aus der Existenz einer Symmetriemenge folgt nicht automatisch</w:t>
      </w:r>
    </w:p>
    <w:p w:rsidR="003E2D8E" w:rsidRDefault="003E2D8E" w:rsidP="003E2D8E">
      <w:pPr>
        <w:pStyle w:val="StandardWeb"/>
      </w:pPr>
      <w:r>
        <w:t>[</w:t>
      </w:r>
      <w:r>
        <w:br/>
        <w:t>\operatorname{Sym}</w:t>
      </w:r>
      <w:r>
        <w:br/>
        <w:t>(\mathfrak S_F)</w:t>
      </w:r>
      <w:r>
        <w:br/>
        <w:t>\text{ ist eine Gruppe}.</w:t>
      </w:r>
      <w:r>
        <w:br/>
        <w:t>\tag{3.11995}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\operatorname{Sym}(\mathfrak S_F)\text{ ist eine Gruppe}</w:t>
      </w:r>
    </w:p>
    <w:p w:rsidR="003E2D8E" w:rsidRDefault="003E2D8E" w:rsidP="003E2D8E">
      <w:pPr>
        <w:pStyle w:val="StandardWeb"/>
      </w:pPr>
      <w:r>
        <w:t>Dazu müssten zusätzlich insbesondere Abgeschlossenheit, Assoziativität, Identität und Invertierbarkeit gelten.</w:t>
      </w:r>
    </w:p>
    <w:p w:rsidR="003E2D8E" w:rsidRDefault="00E50336" w:rsidP="003E2D8E">
      <w:r>
        <w:pict>
          <v:rect id="_x0000_i4199" style="width:0;height:1.5pt" o:hralign="center" o:hrstd="t" o:hr="t" fillcolor="#a0a0a0" stroked="f"/>
        </w:pict>
      </w:r>
    </w:p>
    <w:p w:rsidR="003E2D8E" w:rsidRDefault="003E2D8E" w:rsidP="003E2D8E">
      <w:pPr>
        <w:pStyle w:val="berschrift1"/>
      </w:pPr>
      <w:r>
        <w:t>3.3.48.27 Komposition funktionaler Transformationen</w:t>
      </w:r>
    </w:p>
    <w:p w:rsidR="003E2D8E" w:rsidRDefault="003E2D8E" w:rsidP="003E2D8E">
      <w:pPr>
        <w:pStyle w:val="StandardWeb"/>
      </w:pPr>
      <w:r>
        <w:t>Für zwei Transformationen</w:t>
      </w:r>
    </w:p>
    <w:p w:rsidR="003E2D8E" w:rsidRDefault="003E2D8E" w:rsidP="003E2D8E">
      <w:pPr>
        <w:pStyle w:val="StandardWeb"/>
      </w:pPr>
      <w:r>
        <w:t>[</w:t>
      </w:r>
      <w:r>
        <w:br/>
        <w:t>g,h:</w:t>
      </w:r>
      <w:r>
        <w:br/>
        <w:t>\Omega_F</w:t>
      </w:r>
      <w:r>
        <w:br/>
        <w:t>\rightarrow</w:t>
      </w:r>
      <w:r>
        <w:br/>
        <w:t>\Omega_F</w:t>
      </w:r>
      <w:r>
        <w:br/>
        <w:t>\tag{3.11996}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g,h:\Omega_F\rightarrow\Omega_F</w:t>
      </w:r>
    </w:p>
    <w:p w:rsidR="003E2D8E" w:rsidRDefault="003E2D8E" w:rsidP="003E2D8E">
      <w:pPr>
        <w:pStyle w:val="StandardWeb"/>
      </w:pPr>
      <w:r>
        <w:t>ist die Komposition definiert durch</w:t>
      </w:r>
    </w:p>
    <w:p w:rsidR="003E2D8E" w:rsidRDefault="003E2D8E" w:rsidP="003E2D8E">
      <w:pPr>
        <w:pStyle w:val="berschrift1"/>
      </w:pPr>
      <w:r>
        <w:t>[</w:t>
      </w:r>
      <w:r>
        <w:br/>
        <w:t>(g\circ h)(z)</w:t>
      </w:r>
    </w:p>
    <w:p w:rsidR="003E2D8E" w:rsidRDefault="003E2D8E" w:rsidP="003E2D8E">
      <w:pPr>
        <w:pStyle w:val="StandardWeb"/>
      </w:pPr>
      <w:r>
        <w:t>g(h(z)).</w:t>
      </w:r>
      <w:r>
        <w:br/>
        <w:t>\tag{3.11997}</w:t>
      </w:r>
      <w:r>
        <w:br/>
        <w:t>]</w:t>
      </w:r>
    </w:p>
    <w:p w:rsidR="003E2D8E" w:rsidRDefault="003E2D8E" w:rsidP="003E2D8E">
      <w:pPr>
        <w:pStyle w:val="StandardWeb"/>
      </w:pPr>
      <w:r>
        <w:rPr>
          <w:rStyle w:val="Fett"/>
        </w:rPr>
        <w:lastRenderedPageBreak/>
        <w:t>Word-LaTeX</w:t>
      </w:r>
    </w:p>
    <w:p w:rsidR="003E2D8E" w:rsidRDefault="003E2D8E" w:rsidP="003E2D8E">
      <w:pPr>
        <w:pStyle w:val="HTMLVorformatiert"/>
        <w:rPr>
          <w:rStyle w:val="HTMLCode"/>
        </w:rPr>
      </w:pPr>
      <w:r>
        <w:rPr>
          <w:rStyle w:val="HTMLCode"/>
        </w:rPr>
        <w:t>(g\circ h)(z)=g(h(z))</w:t>
      </w:r>
    </w:p>
    <w:p w:rsidR="003E2D8E" w:rsidRDefault="00E50336" w:rsidP="003E2D8E">
      <w:r>
        <w:pict>
          <v:rect id="_x0000_i4200" style="width:0;height:1.5pt" o:hralign="center" o:hrstd="t" o:hr="t" fillcolor="#a0a0a0" stroked="f"/>
        </w:pict>
      </w:r>
    </w:p>
    <w:p w:rsidR="003E2D8E" w:rsidRDefault="003E2D8E" w:rsidP="003E2D8E">
      <w:pPr>
        <w:pStyle w:val="berschrift1"/>
      </w:pPr>
      <w:r>
        <w:t>3.3.48.28 Definition 3.3.304 – Komposition funktionaler Transformationen</w:t>
      </w:r>
    </w:p>
    <w:p w:rsidR="003E2D8E" w:rsidRDefault="003E2D8E" w:rsidP="003E2D8E">
      <w:pPr>
        <w:pStyle w:val="berschrift3"/>
      </w:pPr>
      <w:r>
        <w:t>Definition 3.3.304</w:t>
      </w:r>
    </w:p>
    <w:p w:rsidR="003E2D8E" w:rsidRDefault="003E2D8E" w:rsidP="003E2D8E">
      <w:pPr>
        <w:pStyle w:val="StandardWeb"/>
      </w:pPr>
      <w:r>
        <w:t xml:space="preserve">Die </w:t>
      </w:r>
      <w:r>
        <w:rPr>
          <w:rStyle w:val="Fett"/>
        </w:rPr>
        <w:t>Komposition</w:t>
      </w:r>
      <w:r>
        <w:t xml:space="preserve"> zweier funktionaler Transformationen (g) und (h) ist</w:t>
      </w:r>
    </w:p>
    <w:p w:rsidR="003E2D8E" w:rsidRDefault="003E2D8E" w:rsidP="003E2D8E">
      <w:pPr>
        <w:pStyle w:val="StandardWeb"/>
      </w:pPr>
      <w:r>
        <w:t>[</w:t>
      </w:r>
      <w:r>
        <w:br/>
        <w:t>\boxed{</w:t>
      </w:r>
      <w:r>
        <w:br/>
        <w:t>g\circ h:</w:t>
      </w:r>
      <w:r>
        <w:br/>
        <w:t>z</w:t>
      </w:r>
      <w:r>
        <w:br/>
        <w:t>\mapsto</w:t>
      </w:r>
      <w:r>
        <w:br/>
        <w:t>g(h(z)).</w:t>
      </w:r>
      <w:r>
        <w:br/>
        <w:t>}</w:t>
      </w:r>
      <w:r>
        <w:br/>
        <w:t>\tag{3.11998}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\boxed{g\circ h:z\mapsto g(h(z)).}</w:t>
      </w:r>
    </w:p>
    <w:p w:rsidR="003E2D8E" w:rsidRDefault="00E50336" w:rsidP="003E2D8E">
      <w:r>
        <w:pict>
          <v:rect id="_x0000_i4201" style="width:0;height:1.5pt" o:hralign="center" o:hrstd="t" o:hr="t" fillcolor="#a0a0a0" stroked="f"/>
        </w:pict>
      </w:r>
    </w:p>
    <w:p w:rsidR="003E2D8E" w:rsidRDefault="003E2D8E" w:rsidP="003E2D8E">
      <w:pPr>
        <w:pStyle w:val="berschrift1"/>
      </w:pPr>
      <w:r>
        <w:t>3.3.48.29 Assoziativität der Komposition</w:t>
      </w:r>
    </w:p>
    <w:p w:rsidR="003E2D8E" w:rsidRDefault="003E2D8E" w:rsidP="003E2D8E">
      <w:pPr>
        <w:pStyle w:val="StandardWeb"/>
      </w:pPr>
      <w:r>
        <w:t>Für Abbildungen gilt</w:t>
      </w:r>
    </w:p>
    <w:p w:rsidR="003E2D8E" w:rsidRDefault="003E2D8E" w:rsidP="003E2D8E">
      <w:pPr>
        <w:pStyle w:val="berschrift1"/>
      </w:pPr>
      <w:r>
        <w:t>[</w:t>
      </w:r>
      <w:r>
        <w:br/>
        <w:t>(f\circ g)\circ h</w:t>
      </w:r>
    </w:p>
    <w:p w:rsidR="003E2D8E" w:rsidRDefault="003E2D8E" w:rsidP="003E2D8E">
      <w:pPr>
        <w:pStyle w:val="StandardWeb"/>
      </w:pPr>
      <w:r>
        <w:t>f\circ(g\circ h).</w:t>
      </w:r>
      <w:r>
        <w:br/>
        <w:t>\tag{3.11999}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(f\circ g)\circ h=f\circ(g\circ h)</w:t>
      </w:r>
    </w:p>
    <w:p w:rsidR="003E2D8E" w:rsidRDefault="003E2D8E" w:rsidP="003E2D8E">
      <w:pPr>
        <w:pStyle w:val="StandardWeb"/>
      </w:pPr>
      <w:r>
        <w:t>Dies ist keine zusätzliche FRZK-Annahme, sondern eine Eigenschaft der Funktionskomposition.</w:t>
      </w:r>
    </w:p>
    <w:p w:rsidR="003E2D8E" w:rsidRDefault="00E50336" w:rsidP="003E2D8E">
      <w:r>
        <w:pict>
          <v:rect id="_x0000_i4202" style="width:0;height:1.5pt" o:hralign="center" o:hrstd="t" o:hr="t" fillcolor="#a0a0a0" stroked="f"/>
        </w:pict>
      </w:r>
    </w:p>
    <w:p w:rsidR="003E2D8E" w:rsidRDefault="003E2D8E" w:rsidP="003E2D8E">
      <w:pPr>
        <w:pStyle w:val="berschrift1"/>
      </w:pPr>
      <w:r>
        <w:lastRenderedPageBreak/>
        <w:t>3.3.48.30 Satz 3.3.121 – Die Komposition funktionaler Transformationen ist assoziativ</w:t>
      </w:r>
    </w:p>
    <w:p w:rsidR="003E2D8E" w:rsidRDefault="003E2D8E" w:rsidP="003E2D8E">
      <w:pPr>
        <w:pStyle w:val="berschrift3"/>
      </w:pPr>
      <w:r>
        <w:t>Satz 3.3.121</w:t>
      </w:r>
    </w:p>
    <w:p w:rsidR="003E2D8E" w:rsidRDefault="003E2D8E" w:rsidP="003E2D8E">
      <w:pPr>
        <w:pStyle w:val="StandardWeb"/>
      </w:pPr>
      <w:r>
        <w:t>Für beliebige Transformationen</w:t>
      </w:r>
    </w:p>
    <w:p w:rsidR="003E2D8E" w:rsidRDefault="003E2D8E" w:rsidP="003E2D8E">
      <w:pPr>
        <w:pStyle w:val="StandardWeb"/>
      </w:pPr>
      <w:r>
        <w:t>[</w:t>
      </w:r>
      <w:r>
        <w:br/>
        <w:t>f,g,h:</w:t>
      </w:r>
      <w:r>
        <w:br/>
        <w:t>\Omega_F</w:t>
      </w:r>
      <w:r>
        <w:br/>
        <w:t>\rightarrow</w:t>
      </w:r>
      <w:r>
        <w:br/>
        <w:t>\Omega_F</w:t>
      </w:r>
      <w:r>
        <w:br/>
        <w:t>\tag{3.12000}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f,g,h:\Omega_F\rightarrow\Omega_F</w:t>
      </w:r>
    </w:p>
    <w:p w:rsidR="003E2D8E" w:rsidRDefault="003E2D8E" w:rsidP="003E2D8E">
      <w:pPr>
        <w:pStyle w:val="StandardWeb"/>
      </w:pPr>
      <w:r>
        <w:t>gilt</w:t>
      </w:r>
    </w:p>
    <w:p w:rsidR="003E2D8E" w:rsidRDefault="003E2D8E" w:rsidP="003E2D8E">
      <w:pPr>
        <w:pStyle w:val="berschrift1"/>
      </w:pPr>
      <w:r>
        <w:t>[</w:t>
      </w:r>
      <w:r>
        <w:br/>
        <w:t>\boxed{</w:t>
      </w:r>
      <w:r>
        <w:br/>
        <w:t>(f\circ g)\circ h</w:t>
      </w:r>
    </w:p>
    <w:p w:rsidR="003E2D8E" w:rsidRDefault="003E2D8E" w:rsidP="003E2D8E">
      <w:pPr>
        <w:pStyle w:val="StandardWeb"/>
      </w:pPr>
      <w:r>
        <w:t>f\circ(g\circ h).</w:t>
      </w:r>
      <w:r>
        <w:br/>
        <w:t>}</w:t>
      </w:r>
      <w:r>
        <w:br/>
        <w:t>\tag{3.12001}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\boxed{(f\circ g)\circ h=f\circ(g\circ h).}</w:t>
      </w:r>
    </w:p>
    <w:p w:rsidR="003E2D8E" w:rsidRDefault="003E2D8E" w:rsidP="003E2D8E">
      <w:pPr>
        <w:pStyle w:val="berschrift3"/>
      </w:pPr>
      <w:r>
        <w:t>Beweis</w:t>
      </w:r>
    </w:p>
    <w:p w:rsidR="003E2D8E" w:rsidRDefault="003E2D8E" w:rsidP="003E2D8E">
      <w:pPr>
        <w:pStyle w:val="StandardWeb"/>
      </w:pPr>
      <w:r>
        <w:t>Für jedes (z\in\Omega_F) gilt</w:t>
      </w:r>
    </w:p>
    <w:p w:rsidR="003E2D8E" w:rsidRDefault="003E2D8E" w:rsidP="003E2D8E">
      <w:pPr>
        <w:pStyle w:val="berschrift1"/>
      </w:pPr>
      <w:r>
        <w:t>[</w:t>
      </w:r>
      <w:r>
        <w:br/>
        <w:t>((f\circ g)\circ h)(z)</w:t>
      </w:r>
    </w:p>
    <w:p w:rsidR="003E2D8E" w:rsidRDefault="003E2D8E" w:rsidP="003E2D8E">
      <w:pPr>
        <w:pStyle w:val="berschrift1"/>
      </w:pPr>
      <w:r>
        <w:t>(f\circ g)(h(z))</w:t>
      </w:r>
    </w:p>
    <w:p w:rsidR="003E2D8E" w:rsidRDefault="003E2D8E" w:rsidP="003E2D8E">
      <w:pPr>
        <w:pStyle w:val="StandardWeb"/>
      </w:pPr>
      <w:r>
        <w:t>f(g(h(z))).</w:t>
      </w:r>
      <w:r>
        <w:br/>
        <w:t>\tag{3.12002}</w:t>
      </w:r>
      <w:r>
        <w:br/>
        <w:t>]</w:t>
      </w:r>
    </w:p>
    <w:p w:rsidR="003E2D8E" w:rsidRDefault="003E2D8E" w:rsidP="003E2D8E">
      <w:pPr>
        <w:pStyle w:val="StandardWeb"/>
      </w:pPr>
      <w:r>
        <w:rPr>
          <w:rStyle w:val="Fett"/>
        </w:rPr>
        <w:lastRenderedPageBreak/>
        <w:t>Word-LaTeX</w:t>
      </w:r>
    </w:p>
    <w:p w:rsidR="003E2D8E" w:rsidRDefault="003E2D8E" w:rsidP="003E2D8E">
      <w:pPr>
        <w:pStyle w:val="HTMLVorformatiert"/>
        <w:rPr>
          <w:rStyle w:val="HTMLCode"/>
        </w:rPr>
      </w:pPr>
      <w:r>
        <w:rPr>
          <w:rStyle w:val="HTMLCode"/>
        </w:rPr>
        <w:t>((f\circ g)\circ h)(z)=(f\circ g)(h(z))=f(g(h(z)))</w:t>
      </w:r>
    </w:p>
    <w:p w:rsidR="003E2D8E" w:rsidRDefault="003E2D8E" w:rsidP="003E2D8E">
      <w:pPr>
        <w:pStyle w:val="StandardWeb"/>
      </w:pPr>
      <w:r>
        <w:t>Andererseits gilt</w:t>
      </w:r>
    </w:p>
    <w:p w:rsidR="003E2D8E" w:rsidRDefault="003E2D8E" w:rsidP="003E2D8E">
      <w:pPr>
        <w:pStyle w:val="berschrift1"/>
      </w:pPr>
      <w:r>
        <w:t>[</w:t>
      </w:r>
      <w:r>
        <w:br/>
        <w:t>(f\circ(g\circ h))(z)</w:t>
      </w:r>
    </w:p>
    <w:p w:rsidR="003E2D8E" w:rsidRDefault="003E2D8E" w:rsidP="003E2D8E">
      <w:pPr>
        <w:pStyle w:val="berschrift1"/>
      </w:pPr>
      <w:r>
        <w:t>f((g\circ h)(z))</w:t>
      </w:r>
    </w:p>
    <w:p w:rsidR="003E2D8E" w:rsidRDefault="003E2D8E" w:rsidP="003E2D8E">
      <w:pPr>
        <w:pStyle w:val="StandardWeb"/>
      </w:pPr>
      <w:r>
        <w:t>f(g(h(z))).</w:t>
      </w:r>
      <w:r>
        <w:br/>
        <w:t>\tag{3.12003}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(f\circ(g\circ h))(z)=f((g\circ h)(z))=f(g(h(z)))</w:t>
      </w:r>
    </w:p>
    <w:p w:rsidR="003E2D8E" w:rsidRDefault="003E2D8E" w:rsidP="003E2D8E">
      <w:pPr>
        <w:pStyle w:val="StandardWeb"/>
      </w:pPr>
      <w:r>
        <w:t>Damit stimmen beide Abbildungen auf jedem (z) überein. (\square)</w:t>
      </w:r>
    </w:p>
    <w:p w:rsidR="003E2D8E" w:rsidRDefault="00E50336" w:rsidP="003E2D8E">
      <w:r>
        <w:pict>
          <v:rect id="_x0000_i4203" style="width:0;height:1.5pt" o:hralign="center" o:hrstd="t" o:hr="t" fillcolor="#a0a0a0" stroked="f"/>
        </w:pict>
      </w:r>
    </w:p>
    <w:p w:rsidR="003E2D8E" w:rsidRDefault="003E2D8E" w:rsidP="003E2D8E">
      <w:pPr>
        <w:pStyle w:val="berschrift1"/>
      </w:pPr>
      <w:r>
        <w:t>3.3.48.31 Abgeschlossenheit einer Symmetriemenge</w:t>
      </w:r>
    </w:p>
    <w:p w:rsidR="003E2D8E" w:rsidRDefault="003E2D8E" w:rsidP="003E2D8E">
      <w:pPr>
        <w:pStyle w:val="StandardWeb"/>
      </w:pPr>
      <w:r>
        <w:t>Sind (g) und (h) Symmetrien einer Struktur, stellt sich die Frage, ob auch</w:t>
      </w:r>
    </w:p>
    <w:p w:rsidR="003E2D8E" w:rsidRDefault="003E2D8E" w:rsidP="003E2D8E">
      <w:pPr>
        <w:pStyle w:val="StandardWeb"/>
      </w:pPr>
      <w:r>
        <w:t>[</w:t>
      </w:r>
      <w:r>
        <w:br/>
        <w:t>g\circ h</w:t>
      </w:r>
      <w:r>
        <w:br/>
        <w:t>\tag{3.12004}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g\circ h</w:t>
      </w:r>
    </w:p>
    <w:p w:rsidR="003E2D8E" w:rsidRDefault="003E2D8E" w:rsidP="003E2D8E">
      <w:pPr>
        <w:pStyle w:val="StandardWeb"/>
      </w:pPr>
      <w:r>
        <w:t>wieder eine Symmetrie ist.</w:t>
      </w:r>
    </w:p>
    <w:p w:rsidR="003E2D8E" w:rsidRDefault="003E2D8E" w:rsidP="003E2D8E">
      <w:pPr>
        <w:pStyle w:val="StandardWeb"/>
      </w:pPr>
      <w:r>
        <w:t>Für exakte strukturtreue Transformationen gilt unter wohldefinierter Transformationswirkung</w:t>
      </w:r>
    </w:p>
    <w:p w:rsidR="003E2D8E" w:rsidRDefault="003E2D8E" w:rsidP="003E2D8E">
      <w:pPr>
        <w:pStyle w:val="berschrift1"/>
      </w:pPr>
      <w:r>
        <w:t>[</w:t>
      </w:r>
      <w:r>
        <w:br/>
        <w:t>g(\mathfrak S_F)</w:t>
      </w:r>
    </w:p>
    <w:p w:rsidR="003E2D8E" w:rsidRDefault="003E2D8E" w:rsidP="003E2D8E">
      <w:pPr>
        <w:pStyle w:val="StandardWeb"/>
      </w:pPr>
      <w:r>
        <w:t>\mathfrak S_F</w:t>
      </w:r>
      <w:r>
        <w:br/>
        <w:t>\tag{3.12005}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lastRenderedPageBreak/>
        <w:t>g(\mathfrak S_F)=\mathfrak S_F</w:t>
      </w:r>
    </w:p>
    <w:p w:rsidR="003E2D8E" w:rsidRDefault="003E2D8E" w:rsidP="003E2D8E">
      <w:pPr>
        <w:pStyle w:val="StandardWeb"/>
      </w:pPr>
      <w:r>
        <w:t>und</w:t>
      </w:r>
    </w:p>
    <w:p w:rsidR="003E2D8E" w:rsidRDefault="003E2D8E" w:rsidP="003E2D8E">
      <w:pPr>
        <w:pStyle w:val="berschrift1"/>
      </w:pPr>
      <w:r>
        <w:t>[</w:t>
      </w:r>
      <w:r>
        <w:br/>
        <w:t>h(\mathfrak S_F)</w:t>
      </w:r>
    </w:p>
    <w:p w:rsidR="003E2D8E" w:rsidRDefault="003E2D8E" w:rsidP="003E2D8E">
      <w:pPr>
        <w:pStyle w:val="StandardWeb"/>
      </w:pPr>
      <w:r>
        <w:t>\mathfrak S_F.</w:t>
      </w:r>
      <w:r>
        <w:br/>
        <w:t>\tag{3.12006}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h(\mathfrak S_F)=\mathfrak S_F</w:t>
      </w:r>
    </w:p>
    <w:p w:rsidR="003E2D8E" w:rsidRDefault="003E2D8E" w:rsidP="003E2D8E">
      <w:pPr>
        <w:pStyle w:val="StandardWeb"/>
      </w:pPr>
      <w:r>
        <w:t>Dann folgt</w:t>
      </w:r>
    </w:p>
    <w:p w:rsidR="003E2D8E" w:rsidRDefault="003E2D8E" w:rsidP="003E2D8E">
      <w:pPr>
        <w:pStyle w:val="berschrift1"/>
      </w:pPr>
      <w:r>
        <w:t>[</w:t>
      </w:r>
      <w:r>
        <w:br/>
        <w:t>(g\circ h)(\mathfrak S_F)</w:t>
      </w:r>
    </w:p>
    <w:p w:rsidR="003E2D8E" w:rsidRDefault="003E2D8E" w:rsidP="003E2D8E">
      <w:pPr>
        <w:pStyle w:val="berschrift1"/>
      </w:pPr>
      <w:r>
        <w:t>g(h(\mathfrak S_F))</w:t>
      </w:r>
    </w:p>
    <w:p w:rsidR="003E2D8E" w:rsidRDefault="003E2D8E" w:rsidP="003E2D8E">
      <w:pPr>
        <w:pStyle w:val="berschrift1"/>
      </w:pPr>
      <w:r>
        <w:t>g(\mathfrak S_F)</w:t>
      </w:r>
    </w:p>
    <w:p w:rsidR="003E2D8E" w:rsidRDefault="003E2D8E" w:rsidP="003E2D8E">
      <w:pPr>
        <w:pStyle w:val="StandardWeb"/>
      </w:pPr>
      <w:r>
        <w:t>\mathfrak S_F.</w:t>
      </w:r>
      <w:r>
        <w:br/>
        <w:t>\tag{3.12007}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(g\circ h)(\mathfrak S_F)=g(h(\mathfrak S_F))=g(\mathfrak S_F)=\mathfrak S_F</w:t>
      </w:r>
    </w:p>
    <w:p w:rsidR="003E2D8E" w:rsidRDefault="00E50336" w:rsidP="003E2D8E">
      <w:r>
        <w:pict>
          <v:rect id="_x0000_i4204" style="width:0;height:1.5pt" o:hralign="center" o:hrstd="t" o:hr="t" fillcolor="#a0a0a0" stroked="f"/>
        </w:pict>
      </w:r>
    </w:p>
    <w:p w:rsidR="003E2D8E" w:rsidRDefault="003E2D8E" w:rsidP="003E2D8E">
      <w:pPr>
        <w:pStyle w:val="berschrift1"/>
      </w:pPr>
      <w:r>
        <w:t>3.3.48.32 Satz 3.3.122 – Exakte Symmetrien sind unter Komposition abgeschlossen</w:t>
      </w:r>
    </w:p>
    <w:p w:rsidR="003E2D8E" w:rsidRDefault="003E2D8E" w:rsidP="003E2D8E">
      <w:pPr>
        <w:pStyle w:val="berschrift3"/>
      </w:pPr>
      <w:r>
        <w:t>Satz 3.3.122</w:t>
      </w:r>
    </w:p>
    <w:p w:rsidR="003E2D8E" w:rsidRDefault="003E2D8E" w:rsidP="003E2D8E">
      <w:pPr>
        <w:pStyle w:val="StandardWeb"/>
      </w:pPr>
      <w:r>
        <w:t>Sind (g) und (h) exakte funktionale Symmetrien derselben Struktur (\mathfrak S_F), dann ist auch ihre Komposition eine exakte Symmetrie:</w:t>
      </w:r>
    </w:p>
    <w:p w:rsidR="003E2D8E" w:rsidRDefault="003E2D8E" w:rsidP="003E2D8E">
      <w:pPr>
        <w:pStyle w:val="StandardWeb"/>
      </w:pPr>
      <w:r>
        <w:t>[</w:t>
      </w:r>
      <w:r>
        <w:br/>
        <w:t>\boxed{</w:t>
      </w:r>
      <w:r>
        <w:br/>
        <w:t>g,h\in</w:t>
      </w:r>
      <w:r>
        <w:br/>
        <w:t>\operatorname{Sym}</w:t>
      </w:r>
      <w:r>
        <w:rPr>
          <w:rStyle w:val="Hervorhebung"/>
        </w:rPr>
        <w:t>{=}</w:t>
      </w:r>
      <w:r>
        <w:rPr>
          <w:i/>
          <w:iCs/>
        </w:rPr>
        <w:br/>
      </w:r>
      <w:r>
        <w:rPr>
          <w:rStyle w:val="Hervorhebung"/>
        </w:rPr>
        <w:t>(\mathfrak S_F)</w:t>
      </w:r>
      <w:r>
        <w:rPr>
          <w:i/>
          <w:iCs/>
        </w:rPr>
        <w:br/>
      </w:r>
      <w:r>
        <w:rPr>
          <w:rStyle w:val="Hervorhebung"/>
        </w:rPr>
        <w:lastRenderedPageBreak/>
        <w:t>\Rightarrow</w:t>
      </w:r>
      <w:r>
        <w:rPr>
          <w:i/>
          <w:iCs/>
        </w:rPr>
        <w:br/>
      </w:r>
      <w:r>
        <w:rPr>
          <w:rStyle w:val="Hervorhebung"/>
        </w:rPr>
        <w:t>g\circ h</w:t>
      </w:r>
      <w:r>
        <w:rPr>
          <w:i/>
          <w:iCs/>
        </w:rPr>
        <w:br/>
      </w:r>
      <w:r>
        <w:rPr>
          <w:rStyle w:val="Hervorhebung"/>
        </w:rPr>
        <w:t>\in</w:t>
      </w:r>
      <w:r>
        <w:rPr>
          <w:i/>
          <w:iCs/>
        </w:rPr>
        <w:br/>
      </w:r>
      <w:r>
        <w:rPr>
          <w:rStyle w:val="Hervorhebung"/>
        </w:rPr>
        <w:t>\operatorname{Sym}</w:t>
      </w:r>
      <w:r>
        <w:t>{=}</w:t>
      </w:r>
      <w:r>
        <w:br/>
        <w:t>(\mathfrak S_F).</w:t>
      </w:r>
      <w:r>
        <w:br/>
        <w:t>}</w:t>
      </w:r>
      <w:r>
        <w:br/>
        <w:t>\tag{3.12008}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\boxed{g,h\in\operatorname{Sym}_{=}(\mathfrak S_F)\Rightarrow g\circ h\in\operatorname{Sym}_{=}(\mathfrak S_F).}</w:t>
      </w:r>
    </w:p>
    <w:p w:rsidR="003E2D8E" w:rsidRDefault="00E50336" w:rsidP="003E2D8E">
      <w:r>
        <w:pict>
          <v:rect id="_x0000_i4205" style="width:0;height:1.5pt" o:hralign="center" o:hrstd="t" o:hr="t" fillcolor="#a0a0a0" stroked="f"/>
        </w:pict>
      </w:r>
    </w:p>
    <w:p w:rsidR="003E2D8E" w:rsidRDefault="003E2D8E" w:rsidP="003E2D8E">
      <w:pPr>
        <w:pStyle w:val="berschrift1"/>
      </w:pPr>
      <w:r>
        <w:t>3.3.48.33 Invertierbarkeit</w:t>
      </w:r>
    </w:p>
    <w:p w:rsidR="003E2D8E" w:rsidRDefault="003E2D8E" w:rsidP="003E2D8E">
      <w:pPr>
        <w:pStyle w:val="StandardWeb"/>
      </w:pPr>
      <w:r>
        <w:t>Eine Transformation</w:t>
      </w:r>
    </w:p>
    <w:p w:rsidR="003E2D8E" w:rsidRDefault="003E2D8E" w:rsidP="003E2D8E">
      <w:pPr>
        <w:pStyle w:val="StandardWeb"/>
      </w:pPr>
      <w:r>
        <w:t>[</w:t>
      </w:r>
      <w:r>
        <w:br/>
        <w:t>g:</w:t>
      </w:r>
      <w:r>
        <w:br/>
        <w:t>\Omega_F</w:t>
      </w:r>
      <w:r>
        <w:br/>
        <w:t>\rightarrow</w:t>
      </w:r>
      <w:r>
        <w:br/>
        <w:t>\Omega_F</w:t>
      </w:r>
      <w:r>
        <w:br/>
        <w:t>\tag{3.12009}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g:\Omega_F\rightarrow\Omega_F</w:t>
      </w:r>
    </w:p>
    <w:p w:rsidR="003E2D8E" w:rsidRDefault="003E2D8E" w:rsidP="003E2D8E">
      <w:pPr>
        <w:pStyle w:val="StandardWeb"/>
      </w:pPr>
      <w:r>
        <w:t>besitzt eine inverse Transformation, wenn eine Abbildung (g^{-1}) existiert mit</w:t>
      </w:r>
    </w:p>
    <w:p w:rsidR="003E2D8E" w:rsidRDefault="003E2D8E" w:rsidP="003E2D8E">
      <w:pPr>
        <w:pStyle w:val="berschrift1"/>
      </w:pPr>
      <w:r>
        <w:t>[</w:t>
      </w:r>
      <w:r>
        <w:br/>
        <w:t>g^{-1}\circ g</w:t>
      </w:r>
    </w:p>
    <w:p w:rsidR="003E2D8E" w:rsidRDefault="003E2D8E" w:rsidP="003E2D8E">
      <w:pPr>
        <w:pStyle w:val="StandardWeb"/>
      </w:pPr>
      <w:r>
        <w:t>\operatorname{id}_{\Omega_F}</w:t>
      </w:r>
      <w:r>
        <w:br/>
        <w:t>\tag{3.12010}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g^{-1}\circ g=\operatorname{id}_{\Omega_F}</w:t>
      </w:r>
    </w:p>
    <w:p w:rsidR="003E2D8E" w:rsidRDefault="003E2D8E" w:rsidP="003E2D8E">
      <w:pPr>
        <w:pStyle w:val="StandardWeb"/>
      </w:pPr>
      <w:r>
        <w:t>und</w:t>
      </w:r>
    </w:p>
    <w:p w:rsidR="003E2D8E" w:rsidRDefault="003E2D8E" w:rsidP="003E2D8E">
      <w:pPr>
        <w:pStyle w:val="berschrift1"/>
      </w:pPr>
      <w:r>
        <w:t>[</w:t>
      </w:r>
      <w:r>
        <w:br/>
        <w:t>g\circ g^{-1}</w:t>
      </w:r>
    </w:p>
    <w:p w:rsidR="003E2D8E" w:rsidRDefault="003E2D8E" w:rsidP="003E2D8E">
      <w:pPr>
        <w:pStyle w:val="StandardWeb"/>
      </w:pPr>
      <w:r>
        <w:lastRenderedPageBreak/>
        <w:t>\operatorname{id}_{\Omega_F}.</w:t>
      </w:r>
      <w:r>
        <w:br/>
        <w:t>\tag{3.12011}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g\circ g^{-1}=\operatorname{id}_{\Omega_F}</w:t>
      </w:r>
    </w:p>
    <w:p w:rsidR="003E2D8E" w:rsidRDefault="00E50336" w:rsidP="003E2D8E">
      <w:r>
        <w:pict>
          <v:rect id="_x0000_i4206" style="width:0;height:1.5pt" o:hralign="center" o:hrstd="t" o:hr="t" fillcolor="#a0a0a0" stroked="f"/>
        </w:pict>
      </w:r>
    </w:p>
    <w:p w:rsidR="003E2D8E" w:rsidRDefault="003E2D8E" w:rsidP="003E2D8E">
      <w:pPr>
        <w:pStyle w:val="berschrift1"/>
      </w:pPr>
      <w:r>
        <w:t>3.3.48.34 Definition 3.3.305 – Invertierbare funktionale Transformation</w:t>
      </w:r>
    </w:p>
    <w:p w:rsidR="003E2D8E" w:rsidRDefault="003E2D8E" w:rsidP="003E2D8E">
      <w:pPr>
        <w:pStyle w:val="berschrift3"/>
      </w:pPr>
      <w:r>
        <w:t>Definition 3.3.305</w:t>
      </w:r>
    </w:p>
    <w:p w:rsidR="003E2D8E" w:rsidRDefault="003E2D8E" w:rsidP="003E2D8E">
      <w:pPr>
        <w:pStyle w:val="StandardWeb"/>
      </w:pPr>
      <w:r>
        <w:t xml:space="preserve">Eine funktionale Transformation (g) heißt </w:t>
      </w:r>
      <w:r>
        <w:rPr>
          <w:rStyle w:val="Fett"/>
        </w:rPr>
        <w:t>invertierbar</w:t>
      </w:r>
      <w:r>
        <w:t>, wenn eine Transformation (g^{-1}) existiert, sodass</w:t>
      </w:r>
    </w:p>
    <w:p w:rsidR="003E2D8E" w:rsidRDefault="003E2D8E" w:rsidP="003E2D8E">
      <w:pPr>
        <w:pStyle w:val="berschrift1"/>
      </w:pPr>
      <w:r>
        <w:t>[</w:t>
      </w:r>
      <w:r>
        <w:br/>
        <w:t>\boxed{</w:t>
      </w:r>
      <w:r>
        <w:br/>
        <w:t>g^{-1}\circ g</w:t>
      </w:r>
    </w:p>
    <w:p w:rsidR="003E2D8E" w:rsidRDefault="003E2D8E" w:rsidP="003E2D8E">
      <w:pPr>
        <w:pStyle w:val="berschrift1"/>
      </w:pPr>
      <w:r>
        <w:t>g\circ g^{-1}</w:t>
      </w:r>
    </w:p>
    <w:p w:rsidR="003E2D8E" w:rsidRDefault="003E2D8E" w:rsidP="003E2D8E">
      <w:pPr>
        <w:pStyle w:val="StandardWeb"/>
      </w:pPr>
      <w:r>
        <w:t>\operatorname{id}_{\Omega_F}.</w:t>
      </w:r>
      <w:r>
        <w:br/>
        <w:t>}</w:t>
      </w:r>
      <w:r>
        <w:br/>
        <w:t>\tag{3.12012}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\boxed{g^{-1}\circ g=g\circ g^{-1}=\operatorname{id}_{\Omega_F}.}</w:t>
      </w:r>
    </w:p>
    <w:p w:rsidR="003E2D8E" w:rsidRDefault="00E50336" w:rsidP="003E2D8E">
      <w:r>
        <w:pict>
          <v:rect id="_x0000_i4207" style="width:0;height:1.5pt" o:hralign="center" o:hrstd="t" o:hr="t" fillcolor="#a0a0a0" stroked="f"/>
        </w:pict>
      </w:r>
    </w:p>
    <w:p w:rsidR="003E2D8E" w:rsidRDefault="003E2D8E" w:rsidP="003E2D8E">
      <w:pPr>
        <w:pStyle w:val="berschrift1"/>
      </w:pPr>
      <w:r>
        <w:t>3.3.48.35 Inverse exakte Symmetrie</w:t>
      </w:r>
    </w:p>
    <w:p w:rsidR="003E2D8E" w:rsidRDefault="003E2D8E" w:rsidP="003E2D8E">
      <w:pPr>
        <w:pStyle w:val="StandardWeb"/>
      </w:pPr>
      <w:r>
        <w:t>Ist (g) eine invertierbare exakte Symmetrie, gilt</w:t>
      </w:r>
    </w:p>
    <w:p w:rsidR="003E2D8E" w:rsidRDefault="003E2D8E" w:rsidP="003E2D8E">
      <w:pPr>
        <w:pStyle w:val="berschrift1"/>
      </w:pPr>
      <w:r>
        <w:t>[</w:t>
      </w:r>
      <w:r>
        <w:br/>
        <w:t>g(\mathfrak S_F)</w:t>
      </w:r>
    </w:p>
    <w:p w:rsidR="003E2D8E" w:rsidRDefault="003E2D8E" w:rsidP="003E2D8E">
      <w:pPr>
        <w:pStyle w:val="StandardWeb"/>
      </w:pPr>
      <w:r>
        <w:t>\mathfrak S_F.</w:t>
      </w:r>
      <w:r>
        <w:br/>
        <w:t>\tag{3.12013}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lastRenderedPageBreak/>
        <w:t>g(\mathfrak S_F)=\mathfrak S_F</w:t>
      </w:r>
    </w:p>
    <w:p w:rsidR="003E2D8E" w:rsidRDefault="003E2D8E" w:rsidP="003E2D8E">
      <w:pPr>
        <w:pStyle w:val="StandardWeb"/>
      </w:pPr>
      <w:r>
        <w:t>Anwendung von (g^{-1}) ergibt</w:t>
      </w:r>
    </w:p>
    <w:p w:rsidR="003E2D8E" w:rsidRDefault="003E2D8E" w:rsidP="003E2D8E">
      <w:pPr>
        <w:pStyle w:val="berschrift1"/>
      </w:pPr>
      <w:r>
        <w:t>[</w:t>
      </w:r>
      <w:r>
        <w:br/>
        <w:t>g^{-1}(g(\mathfrak S_F))</w:t>
      </w:r>
    </w:p>
    <w:p w:rsidR="003E2D8E" w:rsidRDefault="003E2D8E" w:rsidP="003E2D8E">
      <w:pPr>
        <w:pStyle w:val="StandardWeb"/>
      </w:pPr>
      <w:r>
        <w:t>g^{-1}(\mathfrak S_F).</w:t>
      </w:r>
      <w:r>
        <w:br/>
        <w:t>\tag{3.12014}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g^{-1}(g(\mathfrak S_F))=g^{-1}(\mathfrak S_F)</w:t>
      </w:r>
    </w:p>
    <w:p w:rsidR="003E2D8E" w:rsidRDefault="003E2D8E" w:rsidP="003E2D8E">
      <w:pPr>
        <w:pStyle w:val="StandardWeb"/>
      </w:pPr>
      <w:r>
        <w:t>Damit folgt</w:t>
      </w:r>
    </w:p>
    <w:p w:rsidR="003E2D8E" w:rsidRDefault="003E2D8E" w:rsidP="003E2D8E">
      <w:pPr>
        <w:pStyle w:val="berschrift1"/>
      </w:pPr>
      <w:r>
        <w:t>[</w:t>
      </w:r>
      <w:r>
        <w:br/>
        <w:t>\mathfrak S_F</w:t>
      </w:r>
    </w:p>
    <w:p w:rsidR="003E2D8E" w:rsidRDefault="003E2D8E" w:rsidP="003E2D8E">
      <w:pPr>
        <w:pStyle w:val="StandardWeb"/>
      </w:pPr>
      <w:r>
        <w:t>g^{-1}(\mathfrak S_F).</w:t>
      </w:r>
      <w:r>
        <w:br/>
        <w:t>\tag{3.12015}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\mathfrak S_F=g^{-1}(\mathfrak S_F)</w:t>
      </w:r>
    </w:p>
    <w:p w:rsidR="003E2D8E" w:rsidRDefault="00E50336" w:rsidP="003E2D8E">
      <w:r>
        <w:pict>
          <v:rect id="_x0000_i4208" style="width:0;height:1.5pt" o:hralign="center" o:hrstd="t" o:hr="t" fillcolor="#a0a0a0" stroked="f"/>
        </w:pict>
      </w:r>
    </w:p>
    <w:p w:rsidR="003E2D8E" w:rsidRDefault="003E2D8E" w:rsidP="003E2D8E">
      <w:pPr>
        <w:pStyle w:val="berschrift1"/>
      </w:pPr>
      <w:r>
        <w:t>3.3.48.36 Satz 3.3.123 – Die Inverse einer invertierbaren exakten Symmetrie ist ebenfalls Symmetrie</w:t>
      </w:r>
    </w:p>
    <w:p w:rsidR="003E2D8E" w:rsidRDefault="003E2D8E" w:rsidP="003E2D8E">
      <w:pPr>
        <w:pStyle w:val="berschrift3"/>
      </w:pPr>
      <w:r>
        <w:t>Satz 3.3.123</w:t>
      </w:r>
    </w:p>
    <w:p w:rsidR="003E2D8E" w:rsidRDefault="003E2D8E" w:rsidP="003E2D8E">
      <w:pPr>
        <w:pStyle w:val="StandardWeb"/>
      </w:pPr>
      <w:r>
        <w:t>Ist</w:t>
      </w:r>
    </w:p>
    <w:p w:rsidR="003E2D8E" w:rsidRDefault="003E2D8E" w:rsidP="003E2D8E">
      <w:pPr>
        <w:pStyle w:val="StandardWeb"/>
      </w:pPr>
      <w:r>
        <w:t>[</w:t>
      </w:r>
      <w:r>
        <w:br/>
        <w:t>g</w:t>
      </w:r>
      <w:r>
        <w:br/>
        <w:t>\in</w:t>
      </w:r>
      <w:r>
        <w:br/>
        <w:t>\operatorname{Sym}_{=}</w:t>
      </w:r>
      <w:r>
        <w:br/>
        <w:t>(\mathfrak S_F)</w:t>
      </w:r>
      <w:r>
        <w:br/>
        <w:t>\tag{3.12016}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lastRenderedPageBreak/>
        <w:t>g\in\operatorname{Sym}_{=}(\mathfrak S_F)</w:t>
      </w:r>
    </w:p>
    <w:p w:rsidR="003E2D8E" w:rsidRDefault="003E2D8E" w:rsidP="003E2D8E">
      <w:pPr>
        <w:pStyle w:val="StandardWeb"/>
      </w:pPr>
      <w:r>
        <w:t>invertierbar, dann gilt</w:t>
      </w:r>
    </w:p>
    <w:p w:rsidR="003E2D8E" w:rsidRDefault="003E2D8E" w:rsidP="003E2D8E">
      <w:pPr>
        <w:pStyle w:val="StandardWeb"/>
      </w:pPr>
      <w:r>
        <w:t>[</w:t>
      </w:r>
      <w:r>
        <w:br/>
        <w:t>\boxed{</w:t>
      </w:r>
      <w:r>
        <w:br/>
        <w:t>g^{-1}</w:t>
      </w:r>
      <w:r>
        <w:br/>
        <w:t>\in</w:t>
      </w:r>
      <w:r>
        <w:br/>
        <w:t>\operatorname{Sym}_{=}</w:t>
      </w:r>
      <w:r>
        <w:br/>
        <w:t>(\mathfrak S_F).</w:t>
      </w:r>
      <w:r>
        <w:br/>
        <w:t>}</w:t>
      </w:r>
      <w:r>
        <w:br/>
        <w:t>\tag{3.12017}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\boxed{g^{-1}\in\operatorname{Sym}_{=}(\mathfrak S_F).}</w:t>
      </w:r>
    </w:p>
    <w:p w:rsidR="003E2D8E" w:rsidRDefault="00E50336" w:rsidP="003E2D8E">
      <w:r>
        <w:pict>
          <v:rect id="_x0000_i4209" style="width:0;height:1.5pt" o:hralign="center" o:hrstd="t" o:hr="t" fillcolor="#a0a0a0" stroked="f"/>
        </w:pict>
      </w:r>
    </w:p>
    <w:p w:rsidR="003E2D8E" w:rsidRDefault="003E2D8E" w:rsidP="003E2D8E">
      <w:pPr>
        <w:pStyle w:val="berschrift1"/>
      </w:pPr>
      <w:r>
        <w:t>3.3.48.37 Gruppe exakter invertierbarer Symmetrien</w:t>
      </w:r>
    </w:p>
    <w:p w:rsidR="003E2D8E" w:rsidRDefault="003E2D8E" w:rsidP="003E2D8E">
      <w:pPr>
        <w:pStyle w:val="StandardWeb"/>
      </w:pPr>
      <w:r>
        <w:t>Sind alle betrachteten exakten Symmetrien invertierbar, liegen damit folgende Eigenschaften vor:</w:t>
      </w:r>
    </w:p>
    <w:p w:rsidR="003E2D8E" w:rsidRDefault="003E2D8E" w:rsidP="003E2D8E">
      <w:pPr>
        <w:pStyle w:val="StandardWeb"/>
      </w:pPr>
      <w:r>
        <w:t>[</w:t>
      </w:r>
      <w:r>
        <w:br/>
        <w:t>\text{Abgeschlossenheit},</w:t>
      </w:r>
      <w:r>
        <w:br/>
        <w:t>\quad</w:t>
      </w:r>
      <w:r>
        <w:br/>
        <w:t>\text{Assoziativität},</w:t>
      </w:r>
      <w:r>
        <w:br/>
        <w:t>\quad</w:t>
      </w:r>
      <w:r>
        <w:br/>
        <w:t>\text{Identität},</w:t>
      </w:r>
      <w:r>
        <w:br/>
        <w:t>\quad</w:t>
      </w:r>
      <w:r>
        <w:br/>
        <w:t>\text{Inverse}.</w:t>
      </w:r>
      <w:r>
        <w:br/>
        <w:t>\tag{3.12018}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\text{Abgeschlossenheit},\quad\text{Assoziativität},\quad\text{Identität},\quad\text{Inverse}</w:t>
      </w:r>
    </w:p>
    <w:p w:rsidR="003E2D8E" w:rsidRDefault="003E2D8E" w:rsidP="003E2D8E">
      <w:pPr>
        <w:pStyle w:val="StandardWeb"/>
      </w:pPr>
      <w:r>
        <w:t>Dies sind die Gruppenaxiome.</w:t>
      </w:r>
    </w:p>
    <w:p w:rsidR="003E2D8E" w:rsidRDefault="00E50336" w:rsidP="003E2D8E">
      <w:r>
        <w:pict>
          <v:rect id="_x0000_i4210" style="width:0;height:1.5pt" o:hralign="center" o:hrstd="t" o:hr="t" fillcolor="#a0a0a0" stroked="f"/>
        </w:pict>
      </w:r>
    </w:p>
    <w:p w:rsidR="003E2D8E" w:rsidRDefault="003E2D8E" w:rsidP="003E2D8E">
      <w:pPr>
        <w:pStyle w:val="berschrift1"/>
      </w:pPr>
      <w:r>
        <w:t>3.3.48.38 Definition 3.3.306 – Funktionale Symmetriegruppe</w:t>
      </w:r>
    </w:p>
    <w:p w:rsidR="003E2D8E" w:rsidRDefault="003E2D8E" w:rsidP="003E2D8E">
      <w:pPr>
        <w:pStyle w:val="berschrift3"/>
      </w:pPr>
      <w:r>
        <w:t>Definition 3.3.306</w:t>
      </w:r>
    </w:p>
    <w:p w:rsidR="003E2D8E" w:rsidRDefault="003E2D8E" w:rsidP="003E2D8E">
      <w:pPr>
        <w:pStyle w:val="StandardWeb"/>
      </w:pPr>
      <w:r>
        <w:lastRenderedPageBreak/>
        <w:t xml:space="preserve">Die Menge aller invertierbaren exakten Symmetrien einer Struktur (\mathfrak S_F) bildet unter Funktionskomposition die </w:t>
      </w:r>
      <w:r>
        <w:rPr>
          <w:rStyle w:val="Fett"/>
        </w:rPr>
        <w:t>funktionale Symmetriegruppe</w:t>
      </w:r>
    </w:p>
    <w:p w:rsidR="003E2D8E" w:rsidRDefault="003E2D8E" w:rsidP="003E2D8E">
      <w:pPr>
        <w:pStyle w:val="berschrift1"/>
      </w:pPr>
      <w:r>
        <w:t>[</w:t>
      </w:r>
      <w:r>
        <w:br/>
        <w:t>\boxed{</w:t>
      </w:r>
      <w:r>
        <w:br/>
        <w:t>\operatorname{Sym}^{\times}</w:t>
      </w:r>
      <w:r>
        <w:br/>
        <w:t>(\mathfrak S_F)</w:t>
      </w:r>
    </w:p>
    <w:p w:rsidR="003E2D8E" w:rsidRDefault="003E2D8E" w:rsidP="003E2D8E">
      <w:pPr>
        <w:pStyle w:val="StandardWeb"/>
      </w:pPr>
      <w:r>
        <w:t>\left{</w:t>
      </w:r>
      <w:r>
        <w:br/>
        <w:t>g:</w:t>
      </w:r>
      <w:r>
        <w:br/>
        <w:t>g(\mathfrak S_F)=\mathfrak S_F,</w:t>
      </w:r>
      <w:r>
        <w:br/>
        <w:t>;</w:t>
      </w:r>
      <w:r>
        <w:br/>
        <w:t>g^{-1}\text{ existiert}</w:t>
      </w:r>
      <w:r>
        <w:br/>
        <w:t>\right}.</w:t>
      </w:r>
      <w:r>
        <w:br/>
        <w:t>}</w:t>
      </w:r>
      <w:r>
        <w:br/>
        <w:t>\tag{3.12019}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\boxed{\operatorname{Sym}^{\times}(\mathfrak S_F)=\left\{g:g(\mathfrak S_F)=\mathfrak S_F,\;g^{-1}\text{ existiert}\right\}.}</w:t>
      </w:r>
    </w:p>
    <w:p w:rsidR="003E2D8E" w:rsidRDefault="00E50336" w:rsidP="003E2D8E">
      <w:r>
        <w:pict>
          <v:rect id="_x0000_i4211" style="width:0;height:1.5pt" o:hralign="center" o:hrstd="t" o:hr="t" fillcolor="#a0a0a0" stroked="f"/>
        </w:pict>
      </w:r>
    </w:p>
    <w:p w:rsidR="003E2D8E" w:rsidRDefault="003E2D8E" w:rsidP="003E2D8E">
      <w:pPr>
        <w:pStyle w:val="berschrift1"/>
      </w:pPr>
      <w:r>
        <w:t>3.3.48.39 Satz 3.3.124 – Invertierbare exakte Symmetrien bilden eine Gruppe</w:t>
      </w:r>
    </w:p>
    <w:p w:rsidR="003E2D8E" w:rsidRDefault="003E2D8E" w:rsidP="003E2D8E">
      <w:pPr>
        <w:pStyle w:val="berschrift3"/>
      </w:pPr>
      <w:r>
        <w:t>Satz 3.3.124</w:t>
      </w:r>
    </w:p>
    <w:p w:rsidR="003E2D8E" w:rsidRDefault="003E2D8E" w:rsidP="003E2D8E">
      <w:pPr>
        <w:pStyle w:val="StandardWeb"/>
      </w:pPr>
      <w:r>
        <w:t>Unter der Funktionskomposition gilt</w:t>
      </w:r>
    </w:p>
    <w:p w:rsidR="003E2D8E" w:rsidRDefault="003E2D8E" w:rsidP="003E2D8E">
      <w:pPr>
        <w:pStyle w:val="StandardWeb"/>
      </w:pPr>
      <w:r>
        <w:t>[</w:t>
      </w:r>
      <w:r>
        <w:br/>
        <w:t>\boxed{</w:t>
      </w:r>
      <w:r>
        <w:br/>
        <w:t>\left(</w:t>
      </w:r>
      <w:r>
        <w:br/>
        <w:t>\operatorname{Sym}^{\times}</w:t>
      </w:r>
      <w:r>
        <w:br/>
        <w:t>(\mathfrak S_F),</w:t>
      </w:r>
      <w:r>
        <w:br/>
        <w:t>\circ</w:t>
      </w:r>
      <w:r>
        <w:br/>
        <w:t>\right)</w:t>
      </w:r>
      <w:r>
        <w:br/>
        <w:t>\text{ ist eine Gruppe}.</w:t>
      </w:r>
      <w:r>
        <w:br/>
        <w:t>}</w:t>
      </w:r>
      <w:r>
        <w:br/>
        <w:t>\tag{3.12020}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\boxed{\left(\operatorname{Sym}^{\times}(\mathfrak S_F),\circ\right)\text{ ist eine Gruppe}.}</w:t>
      </w:r>
    </w:p>
    <w:p w:rsidR="003E2D8E" w:rsidRDefault="003E2D8E" w:rsidP="003E2D8E">
      <w:pPr>
        <w:pStyle w:val="berschrift3"/>
      </w:pPr>
      <w:r>
        <w:lastRenderedPageBreak/>
        <w:t>Beweis</w:t>
      </w:r>
    </w:p>
    <w:p w:rsidR="003E2D8E" w:rsidRDefault="003E2D8E" w:rsidP="003E2D8E">
      <w:pPr>
        <w:pStyle w:val="StandardWeb"/>
      </w:pPr>
      <w:r>
        <w:t>Die Abgeschlossenheit folgt aus Satz 3.3.122. Die Assoziativität folgt aus Satz 3.3.121. Die Identität gehört nach Korollar 3.3.30 zur Symmetriemenge. Die Existenz der Inversen folgt aus der Definition von (\operatorname{Sym}^{\times}), und Satz 3.3.123 zeigt, dass diese Inversen ebenfalls Symmetrien sind. Damit sind sämtliche Gruppenaxiome erfüllt. (\square)</w:t>
      </w:r>
    </w:p>
    <w:p w:rsidR="003E2D8E" w:rsidRDefault="00E50336" w:rsidP="003E2D8E">
      <w:r>
        <w:pict>
          <v:rect id="_x0000_i4212" style="width:0;height:1.5pt" o:hralign="center" o:hrstd="t" o:hr="t" fillcolor="#a0a0a0" stroked="f"/>
        </w:pict>
      </w:r>
    </w:p>
    <w:p w:rsidR="003E2D8E" w:rsidRDefault="003E2D8E" w:rsidP="003E2D8E">
      <w:pPr>
        <w:pStyle w:val="berschrift1"/>
      </w:pPr>
      <w:r>
        <w:t>3.3.48.40 Keine automatische Lie-Gruppenstruktur</w:t>
      </w:r>
    </w:p>
    <w:p w:rsidR="003E2D8E" w:rsidRDefault="003E2D8E" w:rsidP="003E2D8E">
      <w:pPr>
        <w:pStyle w:val="StandardWeb"/>
      </w:pPr>
      <w:r>
        <w:t>Aus</w:t>
      </w:r>
    </w:p>
    <w:p w:rsidR="003E2D8E" w:rsidRDefault="003E2D8E" w:rsidP="003E2D8E">
      <w:pPr>
        <w:pStyle w:val="StandardWeb"/>
      </w:pPr>
      <w:r>
        <w:t>[</w:t>
      </w:r>
      <w:r>
        <w:br/>
        <w:t>\left(</w:t>
      </w:r>
      <w:r>
        <w:br/>
        <w:t>\operatorname{Sym}^{\times}</w:t>
      </w:r>
      <w:r>
        <w:br/>
        <w:t>(\mathfrak S_F),</w:t>
      </w:r>
      <w:r>
        <w:br/>
        <w:t>\circ</w:t>
      </w:r>
      <w:r>
        <w:br/>
        <w:t>\right)</w:t>
      </w:r>
      <w:r>
        <w:br/>
        <w:t>\text{ Gruppe}</w:t>
      </w:r>
      <w:r>
        <w:br/>
        <w:t>\tag{3.12021}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\left(\operatorname{Sym}^{\times}(\mathfrak S_F),\circ\right)\text{ Gruppe}</w:t>
      </w:r>
    </w:p>
    <w:p w:rsidR="003E2D8E" w:rsidRDefault="003E2D8E" w:rsidP="003E2D8E">
      <w:pPr>
        <w:pStyle w:val="StandardWeb"/>
      </w:pPr>
      <w:r>
        <w:t>folgt ausdrücklich nicht</w:t>
      </w:r>
    </w:p>
    <w:p w:rsidR="003E2D8E" w:rsidRDefault="003E2D8E" w:rsidP="003E2D8E">
      <w:pPr>
        <w:pStyle w:val="StandardWeb"/>
      </w:pPr>
      <w:r>
        <w:t>[</w:t>
      </w:r>
      <w:r>
        <w:br/>
        <w:t>\operatorname{Sym}^{\times}</w:t>
      </w:r>
      <w:r>
        <w:br/>
        <w:t>(\mathfrak S_F)</w:t>
      </w:r>
      <w:r>
        <w:br/>
        <w:t>\text{ ist eine Lie-Gruppe}.</w:t>
      </w:r>
      <w:r>
        <w:br/>
        <w:t>\tag{3.12022}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\operatorname{Sym}^{\times}(\mathfrak S_F)\text{ ist eine Lie-Gruppe}</w:t>
      </w:r>
    </w:p>
    <w:p w:rsidR="003E2D8E" w:rsidRDefault="003E2D8E" w:rsidP="003E2D8E">
      <w:pPr>
        <w:pStyle w:val="StandardWeb"/>
      </w:pPr>
      <w:r>
        <w:t>Für eine Lie-Gruppenstruktur wären zusätzliche topologische und differenzierbare Voraussetzungen erforderlich.</w:t>
      </w:r>
    </w:p>
    <w:p w:rsidR="003E2D8E" w:rsidRDefault="00E50336" w:rsidP="003E2D8E">
      <w:r>
        <w:pict>
          <v:rect id="_x0000_i4213" style="width:0;height:1.5pt" o:hralign="center" o:hrstd="t" o:hr="t" fillcolor="#a0a0a0" stroked="f"/>
        </w:pict>
      </w:r>
    </w:p>
    <w:p w:rsidR="003E2D8E" w:rsidRDefault="003E2D8E" w:rsidP="003E2D8E">
      <w:pPr>
        <w:pStyle w:val="berschrift1"/>
      </w:pPr>
      <w:r>
        <w:t>3.3.48.41 Kontinuierliche Transformationsfamilie</w:t>
      </w:r>
    </w:p>
    <w:p w:rsidR="003E2D8E" w:rsidRDefault="003E2D8E" w:rsidP="003E2D8E">
      <w:pPr>
        <w:pStyle w:val="StandardWeb"/>
      </w:pPr>
      <w:r>
        <w:t>Eine mögliche spätere Modellklasse kann eine parametrisierte Familie</w:t>
      </w:r>
    </w:p>
    <w:p w:rsidR="003E2D8E" w:rsidRDefault="003E2D8E" w:rsidP="003E2D8E">
      <w:pPr>
        <w:pStyle w:val="StandardWeb"/>
      </w:pPr>
      <w:r>
        <w:lastRenderedPageBreak/>
        <w:t>[</w:t>
      </w:r>
      <w:r>
        <w:br/>
        <w:t>g_\lambda</w:t>
      </w:r>
      <w:r>
        <w:br/>
        <w:t>:</w:t>
      </w:r>
      <w:r>
        <w:br/>
        <w:t>\Omega_F</w:t>
      </w:r>
      <w:r>
        <w:br/>
        <w:t>\rightarrow</w:t>
      </w:r>
      <w:r>
        <w:br/>
        <w:t>\Omega_F</w:t>
      </w:r>
      <w:r>
        <w:br/>
        <w:t>\tag{3.12023}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g_\lambda:\Omega_F\rightarrow\Omega_F</w:t>
      </w:r>
    </w:p>
    <w:p w:rsidR="003E2D8E" w:rsidRDefault="003E2D8E" w:rsidP="003E2D8E">
      <w:pPr>
        <w:pStyle w:val="StandardWeb"/>
      </w:pPr>
      <w:r>
        <w:t>mit Parameter</w:t>
      </w:r>
    </w:p>
    <w:p w:rsidR="003E2D8E" w:rsidRDefault="003E2D8E" w:rsidP="003E2D8E">
      <w:pPr>
        <w:pStyle w:val="StandardWeb"/>
      </w:pPr>
      <w:r>
        <w:t>[</w:t>
      </w:r>
      <w:r>
        <w:br/>
        <w:t>\lambda\in I\subseteq\mathbb R</w:t>
      </w:r>
      <w:r>
        <w:br/>
        <w:t>\tag{3.12024}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\lambda\in I\subseteq\mathbb R</w:t>
      </w:r>
    </w:p>
    <w:p w:rsidR="003E2D8E" w:rsidRDefault="003E2D8E" w:rsidP="003E2D8E">
      <w:pPr>
        <w:pStyle w:val="StandardWeb"/>
      </w:pPr>
      <w:r>
        <w:t>verwenden.</w:t>
      </w:r>
    </w:p>
    <w:p w:rsidR="003E2D8E" w:rsidRDefault="00E50336" w:rsidP="003E2D8E">
      <w:r>
        <w:pict>
          <v:rect id="_x0000_i4214" style="width:0;height:1.5pt" o:hralign="center" o:hrstd="t" o:hr="t" fillcolor="#a0a0a0" stroked="f"/>
        </w:pict>
      </w:r>
    </w:p>
    <w:p w:rsidR="003E2D8E" w:rsidRDefault="003E2D8E" w:rsidP="003E2D8E">
      <w:pPr>
        <w:pStyle w:val="berschrift1"/>
      </w:pPr>
      <w:r>
        <w:t>3.3.48.42 Definition 3.3.307 – Parametrisierte funktionale Transformationsfamilie</w:t>
      </w:r>
    </w:p>
    <w:p w:rsidR="003E2D8E" w:rsidRDefault="003E2D8E" w:rsidP="003E2D8E">
      <w:pPr>
        <w:pStyle w:val="berschrift3"/>
      </w:pPr>
      <w:r>
        <w:t>Definition 3.3.307</w:t>
      </w:r>
    </w:p>
    <w:p w:rsidR="003E2D8E" w:rsidRDefault="003E2D8E" w:rsidP="003E2D8E">
      <w:pPr>
        <w:pStyle w:val="StandardWeb"/>
      </w:pPr>
      <w:r>
        <w:t xml:space="preserve">Eine </w:t>
      </w:r>
      <w:r>
        <w:rPr>
          <w:rStyle w:val="Fett"/>
        </w:rPr>
        <w:t>parametrisierte funktionale Transformationsfamilie</w:t>
      </w:r>
      <w:r>
        <w:t xml:space="preserve"> ist eine Familie</w:t>
      </w:r>
    </w:p>
    <w:p w:rsidR="003E2D8E" w:rsidRDefault="003E2D8E" w:rsidP="003E2D8E">
      <w:pPr>
        <w:pStyle w:val="StandardWeb"/>
      </w:pPr>
      <w:r>
        <w:t>[</w:t>
      </w:r>
      <w:r>
        <w:br/>
        <w:t>\boxed{</w:t>
      </w:r>
      <w:r>
        <w:br/>
        <w:t>{g_\lambda}</w:t>
      </w:r>
      <w:r>
        <w:rPr>
          <w:rStyle w:val="Hervorhebung"/>
        </w:rPr>
        <w:t>{\lambda\in I},</w:t>
      </w:r>
      <w:r>
        <w:rPr>
          <w:i/>
          <w:iCs/>
        </w:rPr>
        <w:br/>
      </w:r>
      <w:r>
        <w:rPr>
          <w:rStyle w:val="Hervorhebung"/>
        </w:rPr>
        <w:t>\qquad</w:t>
      </w:r>
      <w:r>
        <w:rPr>
          <w:i/>
          <w:iCs/>
        </w:rPr>
        <w:br/>
      </w:r>
      <w:r>
        <w:rPr>
          <w:rStyle w:val="Hervorhebung"/>
        </w:rPr>
        <w:t>g</w:t>
      </w:r>
      <w:r>
        <w:t>\lambda:</w:t>
      </w:r>
      <w:r>
        <w:br/>
        <w:t>\Omega_F</w:t>
      </w:r>
      <w:r>
        <w:br/>
        <w:t>\rightarrow</w:t>
      </w:r>
      <w:r>
        <w:br/>
        <w:t>\Omega_F.</w:t>
      </w:r>
      <w:r>
        <w:br/>
        <w:t>}</w:t>
      </w:r>
      <w:r>
        <w:br/>
        <w:t>\tag{3.12025}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\boxed{\{g_\lambda\}_{\lambda\in I},\qquad g_\lambda:\Omega_F\rightarrow\Omega_F.}</w:t>
      </w:r>
    </w:p>
    <w:p w:rsidR="003E2D8E" w:rsidRDefault="00E50336" w:rsidP="003E2D8E">
      <w:r>
        <w:lastRenderedPageBreak/>
        <w:pict>
          <v:rect id="_x0000_i4215" style="width:0;height:1.5pt" o:hralign="center" o:hrstd="t" o:hr="t" fillcolor="#a0a0a0" stroked="f"/>
        </w:pict>
      </w:r>
    </w:p>
    <w:p w:rsidR="003E2D8E" w:rsidRDefault="003E2D8E" w:rsidP="003E2D8E">
      <w:pPr>
        <w:pStyle w:val="berschrift1"/>
      </w:pPr>
      <w:r>
        <w:t>3.3.48.43 Kontinuität ist zusätzliche Voraussetzung</w:t>
      </w:r>
    </w:p>
    <w:p w:rsidR="003E2D8E" w:rsidRDefault="003E2D8E" w:rsidP="003E2D8E">
      <w:pPr>
        <w:pStyle w:val="StandardWeb"/>
      </w:pPr>
      <w:r>
        <w:t>Aus der bloßen Parametrisierung folgt nicht</w:t>
      </w:r>
    </w:p>
    <w:p w:rsidR="003E2D8E" w:rsidRDefault="003E2D8E" w:rsidP="003E2D8E">
      <w:pPr>
        <w:pStyle w:val="StandardWeb"/>
      </w:pPr>
      <w:r>
        <w:t>[</w:t>
      </w:r>
      <w:r>
        <w:br/>
        <w:t>\lambda</w:t>
      </w:r>
      <w:r>
        <w:br/>
        <w:t>\mapsto</w:t>
      </w:r>
      <w:r>
        <w:br/>
        <w:t>g_\lambda</w:t>
      </w:r>
      <w:r>
        <w:br/>
        <w:t>\text{ stetig}.</w:t>
      </w:r>
      <w:r>
        <w:br/>
        <w:t>\tag{3.12026}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\lambda\mapsto g_\lambda\text{ stetig}</w:t>
      </w:r>
    </w:p>
    <w:p w:rsidR="003E2D8E" w:rsidRDefault="003E2D8E" w:rsidP="003E2D8E">
      <w:pPr>
        <w:pStyle w:val="StandardWeb"/>
      </w:pPr>
      <w:r>
        <w:t>Auch Differenzierbarkeit folgt nicht automatisch.</w:t>
      </w:r>
    </w:p>
    <w:p w:rsidR="003E2D8E" w:rsidRDefault="00E50336" w:rsidP="003E2D8E">
      <w:r>
        <w:pict>
          <v:rect id="_x0000_i4216" style="width:0;height:1.5pt" o:hralign="center" o:hrstd="t" o:hr="t" fillcolor="#a0a0a0" stroked="f"/>
        </w:pict>
      </w:r>
    </w:p>
    <w:p w:rsidR="003E2D8E" w:rsidRDefault="003E2D8E" w:rsidP="003E2D8E">
      <w:pPr>
        <w:pStyle w:val="berschrift1"/>
      </w:pPr>
      <w:r>
        <w:t>3.3.48.44 Definition 3.3.308 – Kontinuierliche funktionale Transformationsfamilie</w:t>
      </w:r>
    </w:p>
    <w:p w:rsidR="003E2D8E" w:rsidRDefault="003E2D8E" w:rsidP="003E2D8E">
      <w:pPr>
        <w:pStyle w:val="berschrift3"/>
      </w:pPr>
      <w:r>
        <w:t>Definition 3.3.308</w:t>
      </w:r>
    </w:p>
    <w:p w:rsidR="003E2D8E" w:rsidRDefault="003E2D8E" w:rsidP="003E2D8E">
      <w:pPr>
        <w:pStyle w:val="StandardWeb"/>
      </w:pPr>
      <w:r>
        <w:t xml:space="preserve">Eine parametrisierte Transformationsfamilie heißt </w:t>
      </w:r>
      <w:r>
        <w:rPr>
          <w:rStyle w:val="Fett"/>
        </w:rPr>
        <w:t>kontinuierlich</w:t>
      </w:r>
      <w:r>
        <w:t>, wenn für die gewählte Topologie die Abbildung</w:t>
      </w:r>
    </w:p>
    <w:p w:rsidR="003E2D8E" w:rsidRDefault="003E2D8E" w:rsidP="003E2D8E">
      <w:pPr>
        <w:pStyle w:val="StandardWeb"/>
      </w:pPr>
      <w:r>
        <w:t>[</w:t>
      </w:r>
      <w:r>
        <w:br/>
        <w:t>\boxed{</w:t>
      </w:r>
      <w:r>
        <w:br/>
        <w:t>(\lambda,z)</w:t>
      </w:r>
      <w:r>
        <w:br/>
        <w:t>\mapsto</w:t>
      </w:r>
      <w:r>
        <w:br/>
        <w:t>g_\lambda(z)</w:t>
      </w:r>
      <w:r>
        <w:br/>
        <w:t>}</w:t>
      </w:r>
      <w:r>
        <w:br/>
        <w:t>\tag{3.12027}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\boxed{(\lambda,z)\mapsto g_\lambda(z)}</w:t>
      </w:r>
    </w:p>
    <w:p w:rsidR="003E2D8E" w:rsidRDefault="003E2D8E" w:rsidP="003E2D8E">
      <w:pPr>
        <w:pStyle w:val="StandardWeb"/>
      </w:pPr>
      <w:r>
        <w:t>stetig ist.</w:t>
      </w:r>
    </w:p>
    <w:p w:rsidR="003E2D8E" w:rsidRDefault="00E50336" w:rsidP="003E2D8E">
      <w:r>
        <w:pict>
          <v:rect id="_x0000_i4217" style="width:0;height:1.5pt" o:hralign="center" o:hrstd="t" o:hr="t" fillcolor="#a0a0a0" stroked="f"/>
        </w:pict>
      </w:r>
    </w:p>
    <w:p w:rsidR="003E2D8E" w:rsidRDefault="003E2D8E" w:rsidP="003E2D8E">
      <w:pPr>
        <w:pStyle w:val="berschrift1"/>
      </w:pPr>
      <w:r>
        <w:t>3.3.48.45 Differenzierbare Transformationsfamilie</w:t>
      </w:r>
    </w:p>
    <w:p w:rsidR="003E2D8E" w:rsidRDefault="003E2D8E" w:rsidP="003E2D8E">
      <w:pPr>
        <w:pStyle w:val="StandardWeb"/>
      </w:pPr>
      <w:r>
        <w:t>Ist zusätzlich eine geeignete differenzierbare Struktur vorhanden, kann betrachtet werden</w:t>
      </w:r>
    </w:p>
    <w:p w:rsidR="003E2D8E" w:rsidRDefault="003E2D8E" w:rsidP="003E2D8E">
      <w:pPr>
        <w:pStyle w:val="StandardWeb"/>
      </w:pPr>
      <w:r>
        <w:lastRenderedPageBreak/>
        <w:t>[</w:t>
      </w:r>
      <w:r>
        <w:br/>
        <w:t>\frac{\partial}</w:t>
      </w:r>
      <w:r>
        <w:br/>
        <w:t>{\partial\lambda}</w:t>
      </w:r>
      <w:r>
        <w:br/>
        <w:t>g_\lambda(z).</w:t>
      </w:r>
      <w:r>
        <w:br/>
        <w:t>\tag{3.12028}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\frac{\partial}{\partial\lambda}g_\lambda(z)</w:t>
      </w:r>
    </w:p>
    <w:p w:rsidR="003E2D8E" w:rsidRDefault="00E50336" w:rsidP="003E2D8E">
      <w:r>
        <w:pict>
          <v:rect id="_x0000_i4218" style="width:0;height:1.5pt" o:hralign="center" o:hrstd="t" o:hr="t" fillcolor="#a0a0a0" stroked="f"/>
        </w:pict>
      </w:r>
    </w:p>
    <w:p w:rsidR="003E2D8E" w:rsidRDefault="003E2D8E" w:rsidP="003E2D8E">
      <w:pPr>
        <w:pStyle w:val="berschrift1"/>
      </w:pPr>
      <w:r>
        <w:t>3.3.48.46 Definition 3.3.309 – Infinitesimaler funktionaler Generator</w:t>
      </w:r>
    </w:p>
    <w:p w:rsidR="003E2D8E" w:rsidRDefault="003E2D8E" w:rsidP="003E2D8E">
      <w:pPr>
        <w:pStyle w:val="berschrift3"/>
      </w:pPr>
      <w:r>
        <w:t>Definition 3.3.309</w:t>
      </w:r>
    </w:p>
    <w:p w:rsidR="003E2D8E" w:rsidRDefault="003E2D8E" w:rsidP="003E2D8E">
      <w:pPr>
        <w:pStyle w:val="StandardWeb"/>
      </w:pPr>
      <w:r>
        <w:t>Für eine differenzierbare Transformationsfamilie mit</w:t>
      </w:r>
    </w:p>
    <w:p w:rsidR="003E2D8E" w:rsidRDefault="003E2D8E" w:rsidP="003E2D8E">
      <w:pPr>
        <w:pStyle w:val="berschrift1"/>
      </w:pPr>
      <w:r>
        <w:t>[</w:t>
      </w:r>
      <w:r>
        <w:br/>
        <w:t>g_0</w:t>
      </w:r>
    </w:p>
    <w:p w:rsidR="003E2D8E" w:rsidRDefault="003E2D8E" w:rsidP="003E2D8E">
      <w:pPr>
        <w:pStyle w:val="StandardWeb"/>
      </w:pPr>
      <w:r>
        <w:t>\operatorname{id}_{\Omega_F}</w:t>
      </w:r>
      <w:r>
        <w:br/>
        <w:t>\tag{3.12029}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g_0=\operatorname{id}_{\Omega_F}</w:t>
      </w:r>
    </w:p>
    <w:p w:rsidR="003E2D8E" w:rsidRDefault="003E2D8E" w:rsidP="003E2D8E">
      <w:pPr>
        <w:pStyle w:val="StandardWeb"/>
      </w:pPr>
      <w:r>
        <w:t xml:space="preserve">definiere ich den </w:t>
      </w:r>
      <w:r>
        <w:rPr>
          <w:rStyle w:val="Fett"/>
        </w:rPr>
        <w:t>infinitesimalen funktionalen Generator</w:t>
      </w:r>
      <w:r>
        <w:t xml:space="preserve"> formal durch</w:t>
      </w:r>
    </w:p>
    <w:p w:rsidR="003E2D8E" w:rsidRDefault="003E2D8E" w:rsidP="003E2D8E">
      <w:pPr>
        <w:pStyle w:val="StandardWeb"/>
      </w:pPr>
      <w:r>
        <w:t>[</w:t>
      </w:r>
      <w:r>
        <w:br/>
        <w:t>\boxed{</w:t>
      </w:r>
      <w:r>
        <w:br/>
        <w:t>X_g(z)</w:t>
      </w:r>
      <w:r>
        <w:br/>
        <w:t>:=</w:t>
      </w:r>
      <w:r>
        <w:br/>
        <w:t>\left.</w:t>
      </w:r>
      <w:r>
        <w:br/>
        <w:t>\frac{\partial}</w:t>
      </w:r>
      <w:r>
        <w:br/>
        <w:t>{\partial\lambda}</w:t>
      </w:r>
      <w:r>
        <w:br/>
        <w:t>g_\lambda(z)</w:t>
      </w:r>
      <w:r>
        <w:br/>
        <w:t>\right|_{\lambda=0}.</w:t>
      </w:r>
      <w:r>
        <w:br/>
        <w:t>}</w:t>
      </w:r>
      <w:r>
        <w:br/>
        <w:t>\tag{3.12030}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\boxed{X_g(z):=\left.\frac{\partial}{\partial\lambda}g_\lambda(z)\right|_{\lambda=0}.}</w:t>
      </w:r>
    </w:p>
    <w:p w:rsidR="003E2D8E" w:rsidRDefault="003E2D8E" w:rsidP="003E2D8E">
      <w:pPr>
        <w:pStyle w:val="StandardWeb"/>
      </w:pPr>
      <w:r>
        <w:lastRenderedPageBreak/>
        <w:t>Diese Definition ist nur in Modellklassen zulässig, in denen der Ausdruck mathematisch wohldefiniert ist.</w:t>
      </w:r>
    </w:p>
    <w:p w:rsidR="003E2D8E" w:rsidRDefault="00E50336" w:rsidP="003E2D8E">
      <w:r>
        <w:pict>
          <v:rect id="_x0000_i4219" style="width:0;height:1.5pt" o:hralign="center" o:hrstd="t" o:hr="t" fillcolor="#a0a0a0" stroked="f"/>
        </w:pict>
      </w:r>
    </w:p>
    <w:p w:rsidR="003E2D8E" w:rsidRDefault="003E2D8E" w:rsidP="003E2D8E">
      <w:pPr>
        <w:pStyle w:val="berschrift1"/>
      </w:pPr>
      <w:r>
        <w:t>3.3.48.47 Invarianz unter einer Transformationsfamilie</w:t>
      </w:r>
    </w:p>
    <w:p w:rsidR="003E2D8E" w:rsidRDefault="003E2D8E" w:rsidP="003E2D8E">
      <w:pPr>
        <w:pStyle w:val="StandardWeb"/>
      </w:pPr>
      <w:r>
        <w:t>Sei (Q_F) gegenüber sämtlichen (g_\lambda) invariant:</w:t>
      </w:r>
    </w:p>
    <w:p w:rsidR="003E2D8E" w:rsidRDefault="003E2D8E" w:rsidP="003E2D8E">
      <w:pPr>
        <w:pStyle w:val="berschrift1"/>
      </w:pPr>
      <w:r>
        <w:t>[</w:t>
      </w:r>
      <w:r>
        <w:br/>
        <w:t>Q_F(g_\lambda(z))</w:t>
      </w:r>
    </w:p>
    <w:p w:rsidR="003E2D8E" w:rsidRDefault="003E2D8E" w:rsidP="003E2D8E">
      <w:pPr>
        <w:pStyle w:val="StandardWeb"/>
      </w:pPr>
      <w:r>
        <w:t>Q_F(z).</w:t>
      </w:r>
      <w:r>
        <w:br/>
        <w:t>\tag{3.12031}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Q_F(g_\lambda(z))=Q_F(z)</w:t>
      </w:r>
    </w:p>
    <w:p w:rsidR="003E2D8E" w:rsidRDefault="003E2D8E" w:rsidP="003E2D8E">
      <w:pPr>
        <w:pStyle w:val="StandardWeb"/>
      </w:pPr>
      <w:r>
        <w:t>Dann ist die linke Seite bezüglich (\lambda) konstant.</w:t>
      </w:r>
    </w:p>
    <w:p w:rsidR="003E2D8E" w:rsidRDefault="003E2D8E" w:rsidP="003E2D8E">
      <w:pPr>
        <w:pStyle w:val="StandardWeb"/>
      </w:pPr>
      <w:r>
        <w:t>Unter geeigneter Differenzierbarkeit folgt</w:t>
      </w:r>
    </w:p>
    <w:p w:rsidR="003E2D8E" w:rsidRDefault="003E2D8E" w:rsidP="003E2D8E">
      <w:pPr>
        <w:pStyle w:val="berschrift1"/>
      </w:pPr>
      <w:r>
        <w:t>[</w:t>
      </w:r>
      <w:r>
        <w:br/>
        <w:t>\frac{d}</w:t>
      </w:r>
      <w:r>
        <w:br/>
        <w:t>{d\lambda}</w:t>
      </w:r>
      <w:r>
        <w:br/>
        <w:t>Q_F(g_\lambda(z))</w:t>
      </w:r>
    </w:p>
    <w:p w:rsidR="003E2D8E" w:rsidRDefault="003E2D8E" w:rsidP="00152216">
      <w:pPr>
        <w:numPr>
          <w:ilvl w:val="0"/>
          <w:numId w:val="530"/>
        </w:numPr>
        <w:spacing w:before="100" w:beforeAutospacing="1" w:after="100" w:afterAutospacing="1"/>
      </w:pPr>
    </w:p>
    <w:p w:rsidR="003E2D8E" w:rsidRDefault="003E2D8E" w:rsidP="003E2D8E">
      <w:pPr>
        <w:pStyle w:val="StandardWeb"/>
      </w:pPr>
      <w:r>
        <w:t>\tag{3.12032}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\frac{d}{d\lambda}Q_F(g_\lambda(z))=0</w:t>
      </w:r>
    </w:p>
    <w:p w:rsidR="003E2D8E" w:rsidRDefault="00E50336" w:rsidP="003E2D8E">
      <w:r>
        <w:pict>
          <v:rect id="_x0000_i4220" style="width:0;height:1.5pt" o:hralign="center" o:hrstd="t" o:hr="t" fillcolor="#a0a0a0" stroked="f"/>
        </w:pict>
      </w:r>
    </w:p>
    <w:p w:rsidR="003E2D8E" w:rsidRDefault="003E2D8E" w:rsidP="003E2D8E">
      <w:pPr>
        <w:pStyle w:val="berschrift1"/>
      </w:pPr>
      <w:r>
        <w:t>3.3.48.48 Satz 3.3.125 – Differenzierbare Invarianz impliziert verschwindende Generatorwirkung</w:t>
      </w:r>
    </w:p>
    <w:p w:rsidR="003E2D8E" w:rsidRDefault="003E2D8E" w:rsidP="003E2D8E">
      <w:pPr>
        <w:pStyle w:val="berschrift3"/>
      </w:pPr>
      <w:r>
        <w:t>Satz 3.3.125</w:t>
      </w:r>
    </w:p>
    <w:p w:rsidR="003E2D8E" w:rsidRDefault="003E2D8E" w:rsidP="003E2D8E">
      <w:pPr>
        <w:pStyle w:val="StandardWeb"/>
      </w:pPr>
      <w:r>
        <w:lastRenderedPageBreak/>
        <w:t>Ist (Q_F) differenzierbar und gegenüber einer differenzierbaren Transformationsfamilie (g_\lambda) invariant, dann gilt am Identitätselement</w:t>
      </w:r>
    </w:p>
    <w:p w:rsidR="003E2D8E" w:rsidRDefault="003E2D8E" w:rsidP="003E2D8E">
      <w:pPr>
        <w:pStyle w:val="berschrift1"/>
      </w:pPr>
      <w:r>
        <w:t>[</w:t>
      </w:r>
      <w:r>
        <w:br/>
        <w:t>\boxed{</w:t>
      </w:r>
      <w:r>
        <w:br/>
        <w:t>D Q_F(z)</w:t>
      </w:r>
      <w:r>
        <w:br/>
        <w:t>\left[</w:t>
      </w:r>
      <w:r>
        <w:br/>
        <w:t>X_g(z)</w:t>
      </w:r>
      <w:r>
        <w:br/>
        <w:t>\right]</w:t>
      </w:r>
    </w:p>
    <w:p w:rsidR="003E2D8E" w:rsidRDefault="003E2D8E" w:rsidP="00152216">
      <w:pPr>
        <w:numPr>
          <w:ilvl w:val="0"/>
          <w:numId w:val="531"/>
        </w:numPr>
        <w:spacing w:before="100" w:beforeAutospacing="1" w:after="100" w:afterAutospacing="1"/>
      </w:pPr>
    </w:p>
    <w:p w:rsidR="003E2D8E" w:rsidRDefault="003E2D8E" w:rsidP="003E2D8E">
      <w:pPr>
        <w:pStyle w:val="StandardWeb"/>
      </w:pPr>
      <w:r>
        <w:t>}</w:t>
      </w:r>
      <w:r>
        <w:br/>
        <w:t>\tag{3.12033}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\boxed{D Q_F(z)\left[X_g(z)\right]=0.}</w:t>
      </w:r>
    </w:p>
    <w:p w:rsidR="003E2D8E" w:rsidRDefault="003E2D8E" w:rsidP="003E2D8E">
      <w:pPr>
        <w:pStyle w:val="berschrift3"/>
      </w:pPr>
      <w:r>
        <w:t>Beweis</w:t>
      </w:r>
    </w:p>
    <w:p w:rsidR="003E2D8E" w:rsidRDefault="003E2D8E" w:rsidP="003E2D8E">
      <w:pPr>
        <w:pStyle w:val="StandardWeb"/>
      </w:pPr>
      <w:r>
        <w:t>Aus</w:t>
      </w:r>
    </w:p>
    <w:p w:rsidR="003E2D8E" w:rsidRDefault="003E2D8E" w:rsidP="003E2D8E">
      <w:pPr>
        <w:pStyle w:val="berschrift1"/>
      </w:pPr>
      <w:r>
        <w:t>[</w:t>
      </w:r>
      <w:r>
        <w:br/>
        <w:t>Q_F(g_\lambda(z))</w:t>
      </w:r>
    </w:p>
    <w:p w:rsidR="003E2D8E" w:rsidRDefault="003E2D8E" w:rsidP="003E2D8E">
      <w:pPr>
        <w:pStyle w:val="StandardWeb"/>
      </w:pPr>
      <w:r>
        <w:t>Q_F(z)</w:t>
      </w:r>
      <w:r>
        <w:br/>
        <w:t>\tag{3.12034}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Q_F(g_\lambda(z))=Q_F(z)</w:t>
      </w:r>
    </w:p>
    <w:p w:rsidR="003E2D8E" w:rsidRDefault="003E2D8E" w:rsidP="003E2D8E">
      <w:pPr>
        <w:pStyle w:val="StandardWeb"/>
      </w:pPr>
      <w:r>
        <w:t>folgt durch Differentiation nach (\lambda)</w:t>
      </w:r>
    </w:p>
    <w:p w:rsidR="003E2D8E" w:rsidRDefault="003E2D8E" w:rsidP="003E2D8E">
      <w:pPr>
        <w:pStyle w:val="berschrift1"/>
      </w:pPr>
      <w:r>
        <w:t>[</w:t>
      </w:r>
      <w:r>
        <w:br/>
        <w:t>\frac{d}{d\lambda}</w:t>
      </w:r>
      <w:r>
        <w:br/>
        <w:t>Q_F(g_\lambda(z))</w:t>
      </w:r>
    </w:p>
    <w:p w:rsidR="003E2D8E" w:rsidRDefault="003E2D8E" w:rsidP="00152216">
      <w:pPr>
        <w:numPr>
          <w:ilvl w:val="0"/>
          <w:numId w:val="532"/>
        </w:numPr>
        <w:spacing w:before="100" w:beforeAutospacing="1" w:after="100" w:afterAutospacing="1"/>
      </w:pPr>
    </w:p>
    <w:p w:rsidR="003E2D8E" w:rsidRDefault="003E2D8E" w:rsidP="003E2D8E">
      <w:pPr>
        <w:pStyle w:val="StandardWeb"/>
      </w:pPr>
      <w:r>
        <w:lastRenderedPageBreak/>
        <w:t>\tag{3.12035}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\frac{d}{d\lambda}Q_F(g_\lambda(z))=0</w:t>
      </w:r>
    </w:p>
    <w:p w:rsidR="003E2D8E" w:rsidRDefault="003E2D8E" w:rsidP="003E2D8E">
      <w:pPr>
        <w:pStyle w:val="StandardWeb"/>
      </w:pPr>
      <w:r>
        <w:t>Mit der Kettenregel gilt</w:t>
      </w:r>
    </w:p>
    <w:p w:rsidR="003E2D8E" w:rsidRDefault="003E2D8E" w:rsidP="003E2D8E">
      <w:pPr>
        <w:pStyle w:val="berschrift1"/>
      </w:pPr>
      <w:r>
        <w:t>[</w:t>
      </w:r>
      <w:r>
        <w:br/>
        <w:t>D Q_F(g_\lambda(z))</w:t>
      </w:r>
      <w:r>
        <w:br/>
        <w:t>\left[</w:t>
      </w:r>
      <w:r>
        <w:br/>
        <w:t>\frac{\partial g_\lambda(z)}</w:t>
      </w:r>
      <w:r>
        <w:br/>
        <w:t>{\partial\lambda}</w:t>
      </w:r>
      <w:r>
        <w:br/>
        <w:t>\right]</w:t>
      </w:r>
    </w:p>
    <w:p w:rsidR="003E2D8E" w:rsidRDefault="003E2D8E" w:rsidP="00152216">
      <w:pPr>
        <w:numPr>
          <w:ilvl w:val="0"/>
          <w:numId w:val="533"/>
        </w:numPr>
        <w:spacing w:before="100" w:beforeAutospacing="1" w:after="100" w:afterAutospacing="1"/>
      </w:pPr>
    </w:p>
    <w:p w:rsidR="003E2D8E" w:rsidRDefault="003E2D8E" w:rsidP="003E2D8E">
      <w:pPr>
        <w:pStyle w:val="StandardWeb"/>
      </w:pPr>
      <w:r>
        <w:t>\tag{3.12036}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D Q_F(g_\lambda(z))\left[\frac{\partial g_\lambda(z)}{\partial\lambda}\right]=0</w:t>
      </w:r>
    </w:p>
    <w:p w:rsidR="003E2D8E" w:rsidRDefault="003E2D8E" w:rsidP="003E2D8E">
      <w:pPr>
        <w:pStyle w:val="StandardWeb"/>
      </w:pPr>
      <w:r>
        <w:t>Für (\lambda=0) und (g_0=\operatorname{id}) folgt</w:t>
      </w:r>
    </w:p>
    <w:p w:rsidR="003E2D8E" w:rsidRDefault="003E2D8E" w:rsidP="003E2D8E">
      <w:pPr>
        <w:pStyle w:val="berschrift1"/>
      </w:pPr>
      <w:r>
        <w:t>[</w:t>
      </w:r>
      <w:r>
        <w:br/>
        <w:t>D Q_F(z)</w:t>
      </w:r>
      <w:r>
        <w:br/>
        <w:t>\left[</w:t>
      </w:r>
      <w:r>
        <w:br/>
        <w:t>X_g(z)</w:t>
      </w:r>
      <w:r>
        <w:br/>
        <w:t>\right]</w:t>
      </w:r>
    </w:p>
    <w:p w:rsidR="003E2D8E" w:rsidRDefault="003E2D8E" w:rsidP="00152216">
      <w:pPr>
        <w:numPr>
          <w:ilvl w:val="0"/>
          <w:numId w:val="534"/>
        </w:numPr>
        <w:spacing w:before="100" w:beforeAutospacing="1" w:after="100" w:afterAutospacing="1"/>
      </w:pPr>
    </w:p>
    <w:p w:rsidR="003E2D8E" w:rsidRDefault="003E2D8E" w:rsidP="003E2D8E">
      <w:pPr>
        <w:pStyle w:val="StandardWeb"/>
      </w:pPr>
      <w:r>
        <w:t>\tag{3.12037}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D Q_F(z)\left[X_g(z)\right]=0</w:t>
      </w:r>
    </w:p>
    <w:p w:rsidR="003E2D8E" w:rsidRDefault="003E2D8E" w:rsidP="003E2D8E">
      <w:pPr>
        <w:pStyle w:val="StandardWeb"/>
      </w:pPr>
      <w:r>
        <w:lastRenderedPageBreak/>
        <w:t>(\square)</w:t>
      </w:r>
    </w:p>
    <w:p w:rsidR="003E2D8E" w:rsidRDefault="00E50336" w:rsidP="003E2D8E">
      <w:r>
        <w:pict>
          <v:rect id="_x0000_i4221" style="width:0;height:1.5pt" o:hralign="center" o:hrstd="t" o:hr="t" fillcolor="#a0a0a0" stroked="f"/>
        </w:pict>
      </w:r>
    </w:p>
    <w:p w:rsidR="003E2D8E" w:rsidRDefault="003E2D8E" w:rsidP="003E2D8E">
      <w:pPr>
        <w:pStyle w:val="berschrift1"/>
      </w:pPr>
      <w:r>
        <w:t>3.3.48.49 Keine automatische Erhaltungsgröße</w:t>
      </w:r>
    </w:p>
    <w:p w:rsidR="003E2D8E" w:rsidRDefault="003E2D8E" w:rsidP="003E2D8E">
      <w:pPr>
        <w:pStyle w:val="StandardWeb"/>
      </w:pPr>
      <w:r>
        <w:t>Aus Gleichung (3.12033) folgt noch keine zeitliche oder dynamische Erhaltungsgröße.</w:t>
      </w:r>
    </w:p>
    <w:p w:rsidR="003E2D8E" w:rsidRDefault="003E2D8E" w:rsidP="003E2D8E">
      <w:pPr>
        <w:pStyle w:val="StandardWeb"/>
      </w:pPr>
      <w:r>
        <w:t>Insbesondere gilt im allgemeinen FRZK nicht automatisch</w:t>
      </w:r>
    </w:p>
    <w:p w:rsidR="003E2D8E" w:rsidRDefault="003E2D8E" w:rsidP="003E2D8E">
      <w:pPr>
        <w:pStyle w:val="StandardWeb"/>
      </w:pPr>
      <w:r>
        <w:t>[</w:t>
      </w:r>
      <w:r>
        <w:br/>
        <w:t>D Q_F[X_g]=0</w:t>
      </w:r>
      <w:r>
        <w:br/>
        <w:t>\Rightarrow</w:t>
      </w:r>
      <w:r>
        <w:br/>
        <w:t>\frac{dQ_F}{dt}=0.</w:t>
      </w:r>
      <w:r>
        <w:br/>
        <w:t>\tag{3.12038}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D Q_F[X_g]=0\Rightarrow\frac{dQ_F}{dt}=0</w:t>
      </w:r>
    </w:p>
    <w:p w:rsidR="003E2D8E" w:rsidRDefault="003E2D8E" w:rsidP="003E2D8E">
      <w:pPr>
        <w:pStyle w:val="StandardWeb"/>
      </w:pPr>
      <w:r>
        <w:t>Dafür müsste der Generator zusätzlich mit einer konkreten Dynamik verbunden werden.</w:t>
      </w:r>
    </w:p>
    <w:p w:rsidR="003E2D8E" w:rsidRDefault="00E50336" w:rsidP="003E2D8E">
      <w:r>
        <w:pict>
          <v:rect id="_x0000_i4222" style="width:0;height:1.5pt" o:hralign="center" o:hrstd="t" o:hr="t" fillcolor="#a0a0a0" stroked="f"/>
        </w:pict>
      </w:r>
    </w:p>
    <w:p w:rsidR="003E2D8E" w:rsidRDefault="003E2D8E" w:rsidP="003E2D8E">
      <w:pPr>
        <w:pStyle w:val="berschrift1"/>
      </w:pPr>
      <w:r>
        <w:t>3.3.48.50 Trennung von Symmetrie und Dynamik</w:t>
      </w:r>
    </w:p>
    <w:p w:rsidR="003E2D8E" w:rsidRDefault="003E2D8E" w:rsidP="003E2D8E">
      <w:pPr>
        <w:pStyle w:val="StandardWeb"/>
      </w:pPr>
      <w:r>
        <w:t>Ich unterscheide deshalb strikt zwischen</w:t>
      </w:r>
    </w:p>
    <w:p w:rsidR="003E2D8E" w:rsidRDefault="003E2D8E" w:rsidP="003E2D8E">
      <w:pPr>
        <w:pStyle w:val="StandardWeb"/>
      </w:pPr>
      <w:r>
        <w:t>[</w:t>
      </w:r>
      <w:r>
        <w:br/>
        <w:t>\mathfrak S_{\mathrm{sym}}</w:t>
      </w:r>
      <w:r>
        <w:br/>
        <w:t>\tag{3.12039}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\mathfrak S_{\mathrm{sym}}</w:t>
      </w:r>
    </w:p>
    <w:p w:rsidR="003E2D8E" w:rsidRDefault="003E2D8E" w:rsidP="003E2D8E">
      <w:pPr>
        <w:pStyle w:val="StandardWeb"/>
      </w:pPr>
      <w:r>
        <w:t>als Symmetriestruktur und</w:t>
      </w:r>
    </w:p>
    <w:p w:rsidR="003E2D8E" w:rsidRDefault="003E2D8E" w:rsidP="003E2D8E">
      <w:pPr>
        <w:pStyle w:val="StandardWeb"/>
      </w:pPr>
      <w:r>
        <w:t>[</w:t>
      </w:r>
      <w:r>
        <w:br/>
        <w:t>\mathfrak D_F</w:t>
      </w:r>
      <w:r>
        <w:br/>
        <w:t>\tag{3.12040}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\mathfrak D_F</w:t>
      </w:r>
    </w:p>
    <w:p w:rsidR="003E2D8E" w:rsidRDefault="003E2D8E" w:rsidP="003E2D8E">
      <w:pPr>
        <w:pStyle w:val="StandardWeb"/>
      </w:pPr>
      <w:r>
        <w:t>als dynamischer Struktur.</w:t>
      </w:r>
    </w:p>
    <w:p w:rsidR="003E2D8E" w:rsidRDefault="003E2D8E" w:rsidP="003E2D8E">
      <w:pPr>
        <w:pStyle w:val="StandardWeb"/>
      </w:pPr>
      <w:r>
        <w:lastRenderedPageBreak/>
        <w:t>Ohne eine Kopplung</w:t>
      </w:r>
    </w:p>
    <w:p w:rsidR="003E2D8E" w:rsidRDefault="003E2D8E" w:rsidP="003E2D8E">
      <w:pPr>
        <w:pStyle w:val="StandardWeb"/>
      </w:pPr>
      <w:r>
        <w:t>[</w:t>
      </w:r>
      <w:r>
        <w:br/>
        <w:t>\mathfrak S_{\mathrm{sym}}</w:t>
      </w:r>
      <w:r>
        <w:br/>
        <w:t>\leftrightarrow</w:t>
      </w:r>
      <w:r>
        <w:br/>
        <w:t>\mathfrak D_F</w:t>
      </w:r>
      <w:r>
        <w:br/>
        <w:t>\tag{3.12041}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\mathfrak S_{\mathrm{sym}}\leftrightarrow\mathfrak D_F</w:t>
      </w:r>
    </w:p>
    <w:p w:rsidR="003E2D8E" w:rsidRDefault="003E2D8E" w:rsidP="003E2D8E">
      <w:pPr>
        <w:pStyle w:val="StandardWeb"/>
      </w:pPr>
      <w:r>
        <w:t>folgt aus einer Symmetrie keine Erhaltungsaussage.</w:t>
      </w:r>
    </w:p>
    <w:p w:rsidR="003E2D8E" w:rsidRDefault="00E50336" w:rsidP="003E2D8E">
      <w:r>
        <w:pict>
          <v:rect id="_x0000_i4223" style="width:0;height:1.5pt" o:hralign="center" o:hrstd="t" o:hr="t" fillcolor="#a0a0a0" stroked="f"/>
        </w:pict>
      </w:r>
    </w:p>
    <w:p w:rsidR="003E2D8E" w:rsidRDefault="003E2D8E" w:rsidP="003E2D8E">
      <w:pPr>
        <w:pStyle w:val="berschrift1"/>
      </w:pPr>
      <w:r>
        <w:t>3.3.48.51 Definition 3.3.310 – Dynamikkompatible funktionale Symmetrie</w:t>
      </w:r>
    </w:p>
    <w:p w:rsidR="003E2D8E" w:rsidRDefault="003E2D8E" w:rsidP="003E2D8E">
      <w:pPr>
        <w:pStyle w:val="berschrift3"/>
      </w:pPr>
      <w:r>
        <w:t>Definition 3.3.310</w:t>
      </w:r>
    </w:p>
    <w:p w:rsidR="003E2D8E" w:rsidRDefault="003E2D8E" w:rsidP="003E2D8E">
      <w:pPr>
        <w:pStyle w:val="StandardWeb"/>
      </w:pPr>
      <w:r>
        <w:t xml:space="preserve">Eine funktionale Symmetrie (g) heißt </w:t>
      </w:r>
      <w:r>
        <w:rPr>
          <w:rStyle w:val="Fett"/>
        </w:rPr>
        <w:t>dynamikkompatibel</w:t>
      </w:r>
      <w:r>
        <w:t xml:space="preserve"> bezüglich einer Entwicklungsabbildung (\Phi_\tau), wenn</w:t>
      </w:r>
    </w:p>
    <w:p w:rsidR="003E2D8E" w:rsidRDefault="003E2D8E" w:rsidP="003E2D8E">
      <w:pPr>
        <w:pStyle w:val="berschrift1"/>
      </w:pPr>
      <w:r>
        <w:t>[</w:t>
      </w:r>
      <w:r>
        <w:br/>
        <w:t>\boxed{</w:t>
      </w:r>
      <w:r>
        <w:br/>
        <w:t>g\circ\Phi_\tau</w:t>
      </w:r>
    </w:p>
    <w:p w:rsidR="003E2D8E" w:rsidRDefault="003E2D8E" w:rsidP="003E2D8E">
      <w:pPr>
        <w:pStyle w:val="StandardWeb"/>
      </w:pPr>
      <w:r>
        <w:t>\Phi_\tau\circ g.</w:t>
      </w:r>
      <w:r>
        <w:br/>
        <w:t>}</w:t>
      </w:r>
      <w:r>
        <w:br/>
        <w:t>\tag{3.12042}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\boxed{g\circ\Phi_\tau=\Phi_\tau\circ g.}</w:t>
      </w:r>
    </w:p>
    <w:p w:rsidR="003E2D8E" w:rsidRDefault="00E50336" w:rsidP="003E2D8E">
      <w:r>
        <w:pict>
          <v:rect id="_x0000_i4224" style="width:0;height:1.5pt" o:hralign="center" o:hrstd="t" o:hr="t" fillcolor="#a0a0a0" stroked="f"/>
        </w:pict>
      </w:r>
    </w:p>
    <w:p w:rsidR="003E2D8E" w:rsidRDefault="003E2D8E" w:rsidP="003E2D8E">
      <w:pPr>
        <w:pStyle w:val="berschrift1"/>
      </w:pPr>
      <w:r>
        <w:t>3.3.48.52 Kommutativität mit der Entwicklung</w:t>
      </w:r>
    </w:p>
    <w:p w:rsidR="003E2D8E" w:rsidRDefault="003E2D8E" w:rsidP="003E2D8E">
      <w:pPr>
        <w:pStyle w:val="StandardWeb"/>
      </w:pPr>
      <w:r>
        <w:t>Die Relation</w:t>
      </w:r>
    </w:p>
    <w:p w:rsidR="003E2D8E" w:rsidRDefault="003E2D8E" w:rsidP="003E2D8E">
      <w:pPr>
        <w:pStyle w:val="berschrift1"/>
      </w:pPr>
      <w:r>
        <w:t>[</w:t>
      </w:r>
      <w:r>
        <w:br/>
        <w:t>g\circ\Phi_\tau</w:t>
      </w:r>
    </w:p>
    <w:p w:rsidR="003E2D8E" w:rsidRDefault="003E2D8E" w:rsidP="003E2D8E">
      <w:pPr>
        <w:pStyle w:val="StandardWeb"/>
      </w:pPr>
      <w:r>
        <w:lastRenderedPageBreak/>
        <w:t>\Phi_\tau\circ g</w:t>
      </w:r>
      <w:r>
        <w:br/>
        <w:t>\tag{3.12043}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g\circ\Phi_\tau=\Phi_\tau\circ g</w:t>
      </w:r>
    </w:p>
    <w:p w:rsidR="003E2D8E" w:rsidRDefault="003E2D8E" w:rsidP="003E2D8E">
      <w:pPr>
        <w:pStyle w:val="StandardWeb"/>
      </w:pPr>
      <w:r>
        <w:t>bedeutet, dass es keinen Unterschied macht, ob zunächst transformiert und anschließend entwickelt oder zunächst entwickelt und anschließend transformiert wird.</w:t>
      </w:r>
    </w:p>
    <w:p w:rsidR="003E2D8E" w:rsidRDefault="00E50336" w:rsidP="003E2D8E">
      <w:r>
        <w:pict>
          <v:rect id="_x0000_i4225" style="width:0;height:1.5pt" o:hralign="center" o:hrstd="t" o:hr="t" fillcolor="#a0a0a0" stroked="f"/>
        </w:pict>
      </w:r>
    </w:p>
    <w:p w:rsidR="003E2D8E" w:rsidRDefault="003E2D8E" w:rsidP="003E2D8E">
      <w:pPr>
        <w:pStyle w:val="berschrift1"/>
      </w:pPr>
      <w:r>
        <w:t>3.3.48.53 Definition 3.3.311 – Funktionale Evolutionsinvarianz</w:t>
      </w:r>
    </w:p>
    <w:p w:rsidR="003E2D8E" w:rsidRDefault="003E2D8E" w:rsidP="003E2D8E">
      <w:pPr>
        <w:pStyle w:val="berschrift3"/>
      </w:pPr>
      <w:r>
        <w:t>Definition 3.3.311</w:t>
      </w:r>
    </w:p>
    <w:p w:rsidR="003E2D8E" w:rsidRDefault="003E2D8E" w:rsidP="003E2D8E">
      <w:pPr>
        <w:pStyle w:val="StandardWeb"/>
      </w:pPr>
      <w:r>
        <w:t xml:space="preserve">Eine Entwicklungsstruktur (\Phi_\tau) heißt bezüglich (g) </w:t>
      </w:r>
      <w:r>
        <w:rPr>
          <w:rStyle w:val="Fett"/>
        </w:rPr>
        <w:t>funktional invariant</w:t>
      </w:r>
      <w:r>
        <w:t>, wenn</w:t>
      </w:r>
    </w:p>
    <w:p w:rsidR="003E2D8E" w:rsidRDefault="003E2D8E" w:rsidP="003E2D8E">
      <w:pPr>
        <w:pStyle w:val="berschrift1"/>
      </w:pPr>
      <w:r>
        <w:t>[</w:t>
      </w:r>
      <w:r>
        <w:br/>
        <w:t>\boxed{</w:t>
      </w:r>
      <w:r>
        <w:br/>
        <w:t>g\circ\Phi_\tau</w:t>
      </w:r>
    </w:p>
    <w:p w:rsidR="003E2D8E" w:rsidRDefault="003E2D8E" w:rsidP="003E2D8E">
      <w:pPr>
        <w:pStyle w:val="StandardWeb"/>
      </w:pPr>
      <w:r>
        <w:t>\Phi_\tau\circ g</w:t>
      </w:r>
      <w:r>
        <w:br/>
        <w:t>\qquad</w:t>
      </w:r>
      <w:r>
        <w:br/>
        <w:t>\forall\tau</w:t>
      </w:r>
      <w:r>
        <w:br/>
        <w:t>}</w:t>
      </w:r>
      <w:r>
        <w:br/>
        <w:t>\tag{3.12044}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\boxed{g\circ\Phi_\tau=\Phi_\tau\circ g\qquad\forall\tau}</w:t>
      </w:r>
    </w:p>
    <w:p w:rsidR="003E2D8E" w:rsidRDefault="003E2D8E" w:rsidP="003E2D8E">
      <w:pPr>
        <w:pStyle w:val="StandardWeb"/>
      </w:pPr>
      <w:r>
        <w:t>gilt.</w:t>
      </w:r>
    </w:p>
    <w:p w:rsidR="003E2D8E" w:rsidRDefault="00E50336" w:rsidP="003E2D8E">
      <w:r>
        <w:pict>
          <v:rect id="_x0000_i4226" style="width:0;height:1.5pt" o:hralign="center" o:hrstd="t" o:hr="t" fillcolor="#a0a0a0" stroked="f"/>
        </w:pict>
      </w:r>
    </w:p>
    <w:p w:rsidR="003E2D8E" w:rsidRDefault="003E2D8E" w:rsidP="003E2D8E">
      <w:pPr>
        <w:pStyle w:val="berschrift1"/>
      </w:pPr>
      <w:r>
        <w:t>3.3.48.54 Symmetrie transformiert Lösungen in Lösungen</w:t>
      </w:r>
    </w:p>
    <w:p w:rsidR="003E2D8E" w:rsidRDefault="003E2D8E" w:rsidP="003E2D8E">
      <w:pPr>
        <w:pStyle w:val="StandardWeb"/>
      </w:pPr>
      <w:r>
        <w:t>Sei</w:t>
      </w:r>
    </w:p>
    <w:p w:rsidR="003E2D8E" w:rsidRDefault="003E2D8E" w:rsidP="003E2D8E">
      <w:pPr>
        <w:pStyle w:val="berschrift1"/>
      </w:pPr>
      <w:r>
        <w:t>[</w:t>
      </w:r>
      <w:r>
        <w:br/>
        <w:t>z(\tau)</w:t>
      </w:r>
    </w:p>
    <w:p w:rsidR="003E2D8E" w:rsidRDefault="003E2D8E" w:rsidP="003E2D8E">
      <w:pPr>
        <w:pStyle w:val="StandardWeb"/>
      </w:pPr>
      <w:r>
        <w:lastRenderedPageBreak/>
        <w:t>\Phi_\tau(z_0)</w:t>
      </w:r>
      <w:r>
        <w:br/>
        <w:t>\tag{3.12045}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z(\tau)=\Phi_\tau(z_0)</w:t>
      </w:r>
    </w:p>
    <w:p w:rsidR="003E2D8E" w:rsidRDefault="003E2D8E" w:rsidP="003E2D8E">
      <w:pPr>
        <w:pStyle w:val="StandardWeb"/>
      </w:pPr>
      <w:r>
        <w:t>eine funktionale Entwicklung.</w:t>
      </w:r>
    </w:p>
    <w:p w:rsidR="003E2D8E" w:rsidRDefault="003E2D8E" w:rsidP="003E2D8E">
      <w:pPr>
        <w:pStyle w:val="StandardWeb"/>
      </w:pPr>
      <w:r>
        <w:t>Für eine dynamikkompatible Symmetrie gilt</w:t>
      </w:r>
    </w:p>
    <w:p w:rsidR="003E2D8E" w:rsidRDefault="003E2D8E" w:rsidP="003E2D8E">
      <w:pPr>
        <w:pStyle w:val="berschrift1"/>
      </w:pPr>
      <w:r>
        <w:t>[</w:t>
      </w:r>
      <w:r>
        <w:br/>
        <w:t>g(z(\tau))</w:t>
      </w:r>
    </w:p>
    <w:p w:rsidR="003E2D8E" w:rsidRDefault="003E2D8E" w:rsidP="003E2D8E">
      <w:pPr>
        <w:pStyle w:val="berschrift1"/>
      </w:pPr>
      <w:r>
        <w:t>g(\Phi_\tau(z_0))</w:t>
      </w:r>
    </w:p>
    <w:p w:rsidR="003E2D8E" w:rsidRDefault="003E2D8E" w:rsidP="003E2D8E">
      <w:pPr>
        <w:pStyle w:val="StandardWeb"/>
      </w:pPr>
      <w:r>
        <w:t>\Phi_\tau(g(z_0)).</w:t>
      </w:r>
      <w:r>
        <w:br/>
        <w:t>\tag{3.12046}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g(z(\tau))=g(\Phi_\tau(z_0))=\Phi_\tau(g(z_0))</w:t>
      </w:r>
    </w:p>
    <w:p w:rsidR="003E2D8E" w:rsidRDefault="00E50336" w:rsidP="003E2D8E">
      <w:r>
        <w:pict>
          <v:rect id="_x0000_i4227" style="width:0;height:1.5pt" o:hralign="center" o:hrstd="t" o:hr="t" fillcolor="#a0a0a0" stroked="f"/>
        </w:pict>
      </w:r>
    </w:p>
    <w:p w:rsidR="003E2D8E" w:rsidRDefault="003E2D8E" w:rsidP="003E2D8E">
      <w:pPr>
        <w:pStyle w:val="berschrift1"/>
      </w:pPr>
      <w:r>
        <w:t>3.3.48.55 Satz 3.3.126 – Dynamikkompatible Symmetrien transformieren Entwicklungspfade in Entwicklungspfade</w:t>
      </w:r>
    </w:p>
    <w:p w:rsidR="003E2D8E" w:rsidRDefault="003E2D8E" w:rsidP="003E2D8E">
      <w:pPr>
        <w:pStyle w:val="berschrift3"/>
      </w:pPr>
      <w:r>
        <w:t>Satz 3.3.126</w:t>
      </w:r>
    </w:p>
    <w:p w:rsidR="003E2D8E" w:rsidRDefault="003E2D8E" w:rsidP="003E2D8E">
      <w:pPr>
        <w:pStyle w:val="StandardWeb"/>
      </w:pPr>
      <w:r>
        <w:t>Gilt</w:t>
      </w:r>
    </w:p>
    <w:p w:rsidR="003E2D8E" w:rsidRDefault="003E2D8E" w:rsidP="003E2D8E">
      <w:pPr>
        <w:pStyle w:val="berschrift1"/>
      </w:pPr>
      <w:r>
        <w:t>[</w:t>
      </w:r>
      <w:r>
        <w:br/>
        <w:t>g\circ\Phi_\tau</w:t>
      </w:r>
    </w:p>
    <w:p w:rsidR="003E2D8E" w:rsidRDefault="003E2D8E" w:rsidP="003E2D8E">
      <w:pPr>
        <w:pStyle w:val="StandardWeb"/>
      </w:pPr>
      <w:r>
        <w:t>\Phi_\tau\circ g,</w:t>
      </w:r>
      <w:r>
        <w:br/>
        <w:t>\tag{3.12047}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g\circ\Phi_\tau=\Phi_\tau\circ g</w:t>
      </w:r>
    </w:p>
    <w:p w:rsidR="003E2D8E" w:rsidRDefault="003E2D8E" w:rsidP="003E2D8E">
      <w:pPr>
        <w:pStyle w:val="StandardWeb"/>
      </w:pPr>
      <w:r>
        <w:t>dann wird jeder Entwicklungspfad</w:t>
      </w:r>
    </w:p>
    <w:p w:rsidR="003E2D8E" w:rsidRDefault="003E2D8E" w:rsidP="003E2D8E">
      <w:pPr>
        <w:pStyle w:val="berschrift1"/>
      </w:pPr>
      <w:r>
        <w:lastRenderedPageBreak/>
        <w:t>[</w:t>
      </w:r>
      <w:r>
        <w:br/>
        <w:t>z(\tau)</w:t>
      </w:r>
    </w:p>
    <w:p w:rsidR="003E2D8E" w:rsidRDefault="003E2D8E" w:rsidP="003E2D8E">
      <w:pPr>
        <w:pStyle w:val="StandardWeb"/>
      </w:pPr>
      <w:r>
        <w:t>\Phi_\tau(z_0)</w:t>
      </w:r>
      <w:r>
        <w:br/>
        <w:t>\tag{3.12048}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z(\tau)=\Phi_\tau(z_0)</w:t>
      </w:r>
    </w:p>
    <w:p w:rsidR="003E2D8E" w:rsidRDefault="003E2D8E" w:rsidP="003E2D8E">
      <w:pPr>
        <w:pStyle w:val="StandardWeb"/>
      </w:pPr>
      <w:r>
        <w:t>durch (g) auf den Entwicklungspfad</w:t>
      </w:r>
    </w:p>
    <w:p w:rsidR="003E2D8E" w:rsidRDefault="003E2D8E" w:rsidP="003E2D8E">
      <w:pPr>
        <w:pStyle w:val="berschrift1"/>
      </w:pPr>
      <w:r>
        <w:t>[</w:t>
      </w:r>
      <w:r>
        <w:br/>
        <w:t>\boxed{</w:t>
      </w:r>
      <w:r>
        <w:br/>
        <w:t>g(z(\tau))</w:t>
      </w:r>
    </w:p>
    <w:p w:rsidR="003E2D8E" w:rsidRDefault="003E2D8E" w:rsidP="003E2D8E">
      <w:pPr>
        <w:pStyle w:val="StandardWeb"/>
      </w:pPr>
      <w:r>
        <w:t>\Phi_\tau(g(z_0))</w:t>
      </w:r>
      <w:r>
        <w:br/>
        <w:t>}</w:t>
      </w:r>
      <w:r>
        <w:br/>
        <w:t>\tag{3.12049}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\boxed{g(z(\tau))=\Phi_\tau(g(z_0))}</w:t>
      </w:r>
    </w:p>
    <w:p w:rsidR="003E2D8E" w:rsidRDefault="003E2D8E" w:rsidP="003E2D8E">
      <w:pPr>
        <w:pStyle w:val="StandardWeb"/>
      </w:pPr>
      <w:r>
        <w:t>abgebildet.</w:t>
      </w:r>
    </w:p>
    <w:p w:rsidR="003E2D8E" w:rsidRDefault="003E2D8E" w:rsidP="003E2D8E">
      <w:pPr>
        <w:pStyle w:val="berschrift3"/>
      </w:pPr>
      <w:r>
        <w:t>Beweis</w:t>
      </w:r>
    </w:p>
    <w:p w:rsidR="003E2D8E" w:rsidRDefault="003E2D8E" w:rsidP="003E2D8E">
      <w:pPr>
        <w:pStyle w:val="StandardWeb"/>
      </w:pPr>
      <w:r>
        <w:t>Einsetzen von (z(\tau)=\Phi_\tau(z_0)) und Anwendung der Kommutativitätsbedingung ergibt unmittelbar</w:t>
      </w:r>
    </w:p>
    <w:p w:rsidR="003E2D8E" w:rsidRDefault="003E2D8E" w:rsidP="003E2D8E">
      <w:pPr>
        <w:pStyle w:val="berschrift1"/>
      </w:pPr>
      <w:r>
        <w:t>[</w:t>
      </w:r>
      <w:r>
        <w:br/>
        <w:t>g(z(\tau))</w:t>
      </w:r>
    </w:p>
    <w:p w:rsidR="003E2D8E" w:rsidRDefault="003E2D8E" w:rsidP="003E2D8E">
      <w:pPr>
        <w:pStyle w:val="berschrift1"/>
      </w:pPr>
      <w:r>
        <w:t>g(\Phi_\tau(z_0))</w:t>
      </w:r>
    </w:p>
    <w:p w:rsidR="003E2D8E" w:rsidRDefault="003E2D8E" w:rsidP="003E2D8E">
      <w:pPr>
        <w:pStyle w:val="StandardWeb"/>
      </w:pPr>
      <w:r>
        <w:t>\Phi_\tau(g(z_0)).</w:t>
      </w:r>
      <w:r>
        <w:br/>
        <w:t>\tag{3.12050}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g(z(\tau))=g(\Phi_\tau(z_0))=\Phi_\tau(g(z_0))</w:t>
      </w:r>
    </w:p>
    <w:p w:rsidR="003E2D8E" w:rsidRDefault="003E2D8E" w:rsidP="003E2D8E">
      <w:pPr>
        <w:pStyle w:val="StandardWeb"/>
      </w:pPr>
      <w:r>
        <w:lastRenderedPageBreak/>
        <w:t>(\square)</w:t>
      </w:r>
    </w:p>
    <w:p w:rsidR="003E2D8E" w:rsidRDefault="00E50336" w:rsidP="003E2D8E">
      <w:r>
        <w:pict>
          <v:rect id="_x0000_i4228" style="width:0;height:1.5pt" o:hralign="center" o:hrstd="t" o:hr="t" fillcolor="#a0a0a0" stroked="f"/>
        </w:pict>
      </w:r>
    </w:p>
    <w:p w:rsidR="003E2D8E" w:rsidRDefault="003E2D8E" w:rsidP="003E2D8E">
      <w:pPr>
        <w:pStyle w:val="berschrift1"/>
      </w:pPr>
      <w:r>
        <w:t>3.3.48.56 Äquivalenzklassen unter Symmetrien</w:t>
      </w:r>
    </w:p>
    <w:p w:rsidR="003E2D8E" w:rsidRDefault="003E2D8E" w:rsidP="003E2D8E">
      <w:pPr>
        <w:pStyle w:val="StandardWeb"/>
      </w:pPr>
      <w:r>
        <w:t>Eine Symmetriegruppe kann Zustände in Klassen zusammenfassen.</w:t>
      </w:r>
    </w:p>
    <w:p w:rsidR="003E2D8E" w:rsidRDefault="003E2D8E" w:rsidP="003E2D8E">
      <w:pPr>
        <w:pStyle w:val="StandardWeb"/>
      </w:pPr>
      <w:r>
        <w:t>Ich definiere zunächst die Bahn eines Zustands (z) als</w:t>
      </w:r>
    </w:p>
    <w:p w:rsidR="003E2D8E" w:rsidRDefault="003E2D8E" w:rsidP="003E2D8E">
      <w:pPr>
        <w:pStyle w:val="berschrift1"/>
      </w:pPr>
      <w:r>
        <w:t>[</w:t>
      </w:r>
      <w:r>
        <w:br/>
        <w:t>\operatorname{Orb}(z)</w:t>
      </w:r>
    </w:p>
    <w:p w:rsidR="003E2D8E" w:rsidRDefault="003E2D8E" w:rsidP="003E2D8E">
      <w:pPr>
        <w:pStyle w:val="StandardWeb"/>
      </w:pPr>
      <w:r>
        <w:t>{g(z)\mid g\in G}.</w:t>
      </w:r>
      <w:r>
        <w:br/>
        <w:t>\tag{3.12051}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\operatorname{Orb}(z)=\{g(z)\mid g\in G\}</w:t>
      </w:r>
    </w:p>
    <w:p w:rsidR="003E2D8E" w:rsidRDefault="00E50336" w:rsidP="003E2D8E">
      <w:r>
        <w:pict>
          <v:rect id="_x0000_i4229" style="width:0;height:1.5pt" o:hralign="center" o:hrstd="t" o:hr="t" fillcolor="#a0a0a0" stroked="f"/>
        </w:pict>
      </w:r>
    </w:p>
    <w:p w:rsidR="003E2D8E" w:rsidRDefault="003E2D8E" w:rsidP="003E2D8E">
      <w:pPr>
        <w:pStyle w:val="berschrift1"/>
      </w:pPr>
      <w:r>
        <w:t>3.3.48.57 Definition 3.3.312 – Funktionale Symmetriebahn</w:t>
      </w:r>
    </w:p>
    <w:p w:rsidR="003E2D8E" w:rsidRDefault="003E2D8E" w:rsidP="003E2D8E">
      <w:pPr>
        <w:pStyle w:val="berschrift3"/>
      </w:pPr>
      <w:r>
        <w:t>Definition 3.3.312</w:t>
      </w:r>
    </w:p>
    <w:p w:rsidR="003E2D8E" w:rsidRDefault="003E2D8E" w:rsidP="003E2D8E">
      <w:pPr>
        <w:pStyle w:val="StandardWeb"/>
      </w:pPr>
      <w:r>
        <w:t xml:space="preserve">Für eine funktionale Symmetriegruppe (G) ist die </w:t>
      </w:r>
      <w:r>
        <w:rPr>
          <w:rStyle w:val="Fett"/>
        </w:rPr>
        <w:t>Symmetriebahn</w:t>
      </w:r>
      <w:r>
        <w:t xml:space="preserve"> eines Zustands (z)</w:t>
      </w:r>
    </w:p>
    <w:p w:rsidR="003E2D8E" w:rsidRDefault="003E2D8E" w:rsidP="003E2D8E">
      <w:pPr>
        <w:pStyle w:val="StandardWeb"/>
      </w:pPr>
      <w:r>
        <w:t>[</w:t>
      </w:r>
      <w:r>
        <w:br/>
        <w:t>\boxed{</w:t>
      </w:r>
      <w:r>
        <w:br/>
        <w:t>\operatorname{Orb}_G(z)</w:t>
      </w:r>
      <w:r>
        <w:br/>
        <w:t>:=</w:t>
      </w:r>
      <w:r>
        <w:br/>
        <w:t>{g(z)\mid g\in G}.</w:t>
      </w:r>
      <w:r>
        <w:br/>
        <w:t>}</w:t>
      </w:r>
      <w:r>
        <w:br/>
        <w:t>\tag{3.12052}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\boxed{\operatorname{Orb}_G(z):=\{g(z)\mid g\in G\}.}</w:t>
      </w:r>
    </w:p>
    <w:p w:rsidR="003E2D8E" w:rsidRDefault="00E50336" w:rsidP="003E2D8E">
      <w:r>
        <w:pict>
          <v:rect id="_x0000_i4230" style="width:0;height:1.5pt" o:hralign="center" o:hrstd="t" o:hr="t" fillcolor="#a0a0a0" stroked="f"/>
        </w:pict>
      </w:r>
    </w:p>
    <w:p w:rsidR="003E2D8E" w:rsidRDefault="003E2D8E" w:rsidP="003E2D8E">
      <w:pPr>
        <w:pStyle w:val="berschrift1"/>
      </w:pPr>
      <w:r>
        <w:t>3.3.48.58 Symmetrieäquivalenz</w:t>
      </w:r>
    </w:p>
    <w:p w:rsidR="003E2D8E" w:rsidRDefault="003E2D8E" w:rsidP="003E2D8E">
      <w:pPr>
        <w:pStyle w:val="StandardWeb"/>
      </w:pPr>
      <w:r>
        <w:t>Zwei Zustände können als symmetrieäquivalent betrachtet werden, wenn sie auf derselben Bahn liegen.</w:t>
      </w:r>
    </w:p>
    <w:p w:rsidR="003E2D8E" w:rsidRDefault="003E2D8E" w:rsidP="003E2D8E">
      <w:pPr>
        <w:pStyle w:val="StandardWeb"/>
      </w:pPr>
      <w:r>
        <w:lastRenderedPageBreak/>
        <w:t>Ich schreibe</w:t>
      </w:r>
    </w:p>
    <w:p w:rsidR="003E2D8E" w:rsidRDefault="003E2D8E" w:rsidP="003E2D8E">
      <w:pPr>
        <w:pStyle w:val="StandardWeb"/>
      </w:pPr>
      <w:r>
        <w:t>[</w:t>
      </w:r>
      <w:r>
        <w:br/>
        <w:t>z_i</w:t>
      </w:r>
      <w:r>
        <w:br/>
        <w:t>\sim_G</w:t>
      </w:r>
      <w:r>
        <w:br/>
        <w:t>z_j</w:t>
      </w:r>
      <w:r>
        <w:br/>
        <w:t>\tag{3.12053}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z_i\sim_G z_j</w:t>
      </w:r>
    </w:p>
    <w:p w:rsidR="003E2D8E" w:rsidRDefault="003E2D8E" w:rsidP="003E2D8E">
      <w:pPr>
        <w:pStyle w:val="StandardWeb"/>
      </w:pPr>
      <w:r>
        <w:t>genau dann, wenn ein (g\in G) existiert mit</w:t>
      </w:r>
    </w:p>
    <w:p w:rsidR="003E2D8E" w:rsidRDefault="003E2D8E" w:rsidP="003E2D8E">
      <w:pPr>
        <w:pStyle w:val="berschrift1"/>
      </w:pPr>
      <w:r>
        <w:t>[</w:t>
      </w:r>
      <w:r>
        <w:br/>
        <w:t>z_j</w:t>
      </w:r>
    </w:p>
    <w:p w:rsidR="003E2D8E" w:rsidRDefault="003E2D8E" w:rsidP="003E2D8E">
      <w:pPr>
        <w:pStyle w:val="StandardWeb"/>
      </w:pPr>
      <w:r>
        <w:t>g(z_i).</w:t>
      </w:r>
      <w:r>
        <w:br/>
        <w:t>\tag{3.12054}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z_j=g(z_i)</w:t>
      </w:r>
    </w:p>
    <w:p w:rsidR="003E2D8E" w:rsidRDefault="00E50336" w:rsidP="003E2D8E">
      <w:r>
        <w:pict>
          <v:rect id="_x0000_i4231" style="width:0;height:1.5pt" o:hralign="center" o:hrstd="t" o:hr="t" fillcolor="#a0a0a0" stroked="f"/>
        </w:pict>
      </w:r>
    </w:p>
    <w:p w:rsidR="003E2D8E" w:rsidRDefault="003E2D8E" w:rsidP="003E2D8E">
      <w:pPr>
        <w:pStyle w:val="berschrift1"/>
      </w:pPr>
      <w:r>
        <w:t>3.3.48.59 Definition 3.3.313 – Funktionale Symmetrieäquivalenz</w:t>
      </w:r>
    </w:p>
    <w:p w:rsidR="003E2D8E" w:rsidRDefault="003E2D8E" w:rsidP="003E2D8E">
      <w:pPr>
        <w:pStyle w:val="berschrift3"/>
      </w:pPr>
      <w:r>
        <w:t>Definition 3.3.313</w:t>
      </w:r>
    </w:p>
    <w:p w:rsidR="003E2D8E" w:rsidRDefault="003E2D8E" w:rsidP="003E2D8E">
      <w:pPr>
        <w:pStyle w:val="StandardWeb"/>
      </w:pPr>
      <w:r>
        <w:t>Für eine Symmetriegruppe (G) definiere ich</w:t>
      </w:r>
    </w:p>
    <w:p w:rsidR="003E2D8E" w:rsidRDefault="003E2D8E" w:rsidP="003E2D8E">
      <w:pPr>
        <w:pStyle w:val="StandardWeb"/>
      </w:pPr>
      <w:r>
        <w:t>[</w:t>
      </w:r>
      <w:r>
        <w:br/>
        <w:t>\boxed{</w:t>
      </w:r>
      <w:r>
        <w:br/>
        <w:t>z_i\sim_G z_j</w:t>
      </w:r>
      <w:r>
        <w:br/>
        <w:t>\Longleftrightarrow</w:t>
      </w:r>
      <w:r>
        <w:br/>
        <w:t>\exists g\in G:</w:t>
      </w:r>
      <w:r>
        <w:br/>
        <w:t>z_j=g(z_i).</w:t>
      </w:r>
      <w:r>
        <w:br/>
        <w:t>}</w:t>
      </w:r>
      <w:r>
        <w:br/>
        <w:t>\tag{3.12055}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\boxed{z_i\sim_G z_j\Longleftrightarrow\exists g\in G:z_j=g(z_i).}</w:t>
      </w:r>
    </w:p>
    <w:p w:rsidR="003E2D8E" w:rsidRDefault="00E50336" w:rsidP="003E2D8E">
      <w:r>
        <w:pict>
          <v:rect id="_x0000_i4232" style="width:0;height:1.5pt" o:hralign="center" o:hrstd="t" o:hr="t" fillcolor="#a0a0a0" stroked="f"/>
        </w:pict>
      </w:r>
    </w:p>
    <w:p w:rsidR="003E2D8E" w:rsidRDefault="003E2D8E" w:rsidP="003E2D8E">
      <w:pPr>
        <w:pStyle w:val="berschrift1"/>
      </w:pPr>
      <w:r>
        <w:lastRenderedPageBreak/>
        <w:t>3.3.48.60 Satz 3.3.127 – Symmetrieäquivalenz ist eine Äquivalenzrelation</w:t>
      </w:r>
    </w:p>
    <w:p w:rsidR="003E2D8E" w:rsidRDefault="003E2D8E" w:rsidP="003E2D8E">
      <w:pPr>
        <w:pStyle w:val="berschrift3"/>
      </w:pPr>
      <w:r>
        <w:t>Satz 3.3.127</w:t>
      </w:r>
    </w:p>
    <w:p w:rsidR="003E2D8E" w:rsidRDefault="003E2D8E" w:rsidP="003E2D8E">
      <w:pPr>
        <w:pStyle w:val="StandardWeb"/>
      </w:pPr>
      <w:r>
        <w:t>Ist (G) eine Gruppe von Transformationen auf (\Omega_F), dann ist</w:t>
      </w:r>
    </w:p>
    <w:p w:rsidR="003E2D8E" w:rsidRDefault="003E2D8E" w:rsidP="003E2D8E">
      <w:pPr>
        <w:pStyle w:val="StandardWeb"/>
      </w:pPr>
      <w:r>
        <w:t>[</w:t>
      </w:r>
      <w:r>
        <w:br/>
        <w:t>\sim_G</w:t>
      </w:r>
      <w:r>
        <w:br/>
        <w:t>\tag{3.12056}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\sim_G</w:t>
      </w:r>
    </w:p>
    <w:p w:rsidR="003E2D8E" w:rsidRDefault="003E2D8E" w:rsidP="003E2D8E">
      <w:pPr>
        <w:pStyle w:val="StandardWeb"/>
      </w:pPr>
      <w:r>
        <w:t>eine Äquivalenzrelation.</w:t>
      </w:r>
    </w:p>
    <w:p w:rsidR="003E2D8E" w:rsidRDefault="003E2D8E" w:rsidP="003E2D8E">
      <w:pPr>
        <w:pStyle w:val="berschrift3"/>
      </w:pPr>
      <w:r>
        <w:t>Beweis</w:t>
      </w:r>
    </w:p>
    <w:p w:rsidR="003E2D8E" w:rsidRDefault="003E2D8E" w:rsidP="003E2D8E">
      <w:pPr>
        <w:pStyle w:val="StandardWeb"/>
      </w:pPr>
      <w:r>
        <w:rPr>
          <w:rStyle w:val="Fett"/>
        </w:rPr>
        <w:t>Reflexivität:</w:t>
      </w:r>
      <w:r>
        <w:t xml:space="preserve"> Da die Identität zu (G) gehört,</w:t>
      </w:r>
    </w:p>
    <w:p w:rsidR="003E2D8E" w:rsidRDefault="003E2D8E" w:rsidP="003E2D8E">
      <w:pPr>
        <w:pStyle w:val="berschrift1"/>
      </w:pPr>
      <w:r>
        <w:t>[</w:t>
      </w:r>
      <w:r>
        <w:br/>
        <w:t>z</w:t>
      </w:r>
    </w:p>
    <w:p w:rsidR="003E2D8E" w:rsidRDefault="003E2D8E" w:rsidP="003E2D8E">
      <w:pPr>
        <w:pStyle w:val="StandardWeb"/>
      </w:pPr>
      <w:r>
        <w:t>\operatorname{id}(z),</w:t>
      </w:r>
      <w:r>
        <w:br/>
        <w:t>\tag{3.12057}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z=\operatorname{id}(z)</w:t>
      </w:r>
    </w:p>
    <w:p w:rsidR="003E2D8E" w:rsidRDefault="003E2D8E" w:rsidP="003E2D8E">
      <w:pPr>
        <w:pStyle w:val="StandardWeb"/>
      </w:pPr>
      <w:r>
        <w:t>also (z\sim_G z).</w:t>
      </w:r>
    </w:p>
    <w:p w:rsidR="003E2D8E" w:rsidRDefault="003E2D8E" w:rsidP="003E2D8E">
      <w:pPr>
        <w:pStyle w:val="StandardWeb"/>
      </w:pPr>
      <w:r>
        <w:rPr>
          <w:rStyle w:val="Fett"/>
        </w:rPr>
        <w:t>Symmetrie:</w:t>
      </w:r>
      <w:r>
        <w:t xml:space="preserve"> Gilt</w:t>
      </w:r>
    </w:p>
    <w:p w:rsidR="003E2D8E" w:rsidRDefault="003E2D8E" w:rsidP="003E2D8E">
      <w:pPr>
        <w:pStyle w:val="berschrift1"/>
      </w:pPr>
      <w:r>
        <w:t>[</w:t>
      </w:r>
      <w:r>
        <w:br/>
        <w:t>z_j</w:t>
      </w:r>
    </w:p>
    <w:p w:rsidR="003E2D8E" w:rsidRDefault="003E2D8E" w:rsidP="003E2D8E">
      <w:pPr>
        <w:pStyle w:val="StandardWeb"/>
      </w:pPr>
      <w:r>
        <w:t>g(z_i),</w:t>
      </w:r>
      <w:r>
        <w:br/>
        <w:t>\tag{3.12058}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z_j=g(z_i)</w:t>
      </w:r>
    </w:p>
    <w:p w:rsidR="003E2D8E" w:rsidRDefault="003E2D8E" w:rsidP="003E2D8E">
      <w:pPr>
        <w:pStyle w:val="StandardWeb"/>
      </w:pPr>
      <w:r>
        <w:lastRenderedPageBreak/>
        <w:t>so existiert (g^{-1}\in G), und</w:t>
      </w:r>
    </w:p>
    <w:p w:rsidR="003E2D8E" w:rsidRDefault="003E2D8E" w:rsidP="003E2D8E">
      <w:pPr>
        <w:pStyle w:val="berschrift1"/>
      </w:pPr>
      <w:r>
        <w:t>[</w:t>
      </w:r>
      <w:r>
        <w:br/>
        <w:t>z_i</w:t>
      </w:r>
    </w:p>
    <w:p w:rsidR="003E2D8E" w:rsidRDefault="003E2D8E" w:rsidP="003E2D8E">
      <w:pPr>
        <w:pStyle w:val="StandardWeb"/>
      </w:pPr>
      <w:r>
        <w:t>g^{-1}(z_j).</w:t>
      </w:r>
      <w:r>
        <w:br/>
        <w:t>\tag{3.12059}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z_i=g^{-1}(z_j)</w:t>
      </w:r>
    </w:p>
    <w:p w:rsidR="003E2D8E" w:rsidRDefault="003E2D8E" w:rsidP="003E2D8E">
      <w:pPr>
        <w:pStyle w:val="StandardWeb"/>
      </w:pPr>
      <w:r>
        <w:rPr>
          <w:rStyle w:val="Fett"/>
        </w:rPr>
        <w:t>Transitivität:</w:t>
      </w:r>
      <w:r>
        <w:t xml:space="preserve"> Gelte</w:t>
      </w:r>
    </w:p>
    <w:p w:rsidR="003E2D8E" w:rsidRDefault="003E2D8E" w:rsidP="003E2D8E">
      <w:pPr>
        <w:pStyle w:val="StandardWeb"/>
      </w:pPr>
      <w:r>
        <w:t>[</w:t>
      </w:r>
      <w:r>
        <w:br/>
        <w:t>z_j=g(z_i)</w:t>
      </w:r>
      <w:r>
        <w:br/>
        <w:t>\tag{3.12060}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z_j=g(z_i)</w:t>
      </w:r>
    </w:p>
    <w:p w:rsidR="003E2D8E" w:rsidRDefault="003E2D8E" w:rsidP="003E2D8E">
      <w:pPr>
        <w:pStyle w:val="StandardWeb"/>
      </w:pPr>
      <w:r>
        <w:t>und</w:t>
      </w:r>
    </w:p>
    <w:p w:rsidR="003E2D8E" w:rsidRDefault="003E2D8E" w:rsidP="003E2D8E">
      <w:pPr>
        <w:pStyle w:val="StandardWeb"/>
      </w:pPr>
      <w:r>
        <w:t>[</w:t>
      </w:r>
      <w:r>
        <w:br/>
        <w:t>z_k=h(z_j).</w:t>
      </w:r>
      <w:r>
        <w:br/>
        <w:t>\tag{3.12061}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z_k=h(z_j)</w:t>
      </w:r>
    </w:p>
    <w:p w:rsidR="003E2D8E" w:rsidRDefault="003E2D8E" w:rsidP="003E2D8E">
      <w:pPr>
        <w:pStyle w:val="StandardWeb"/>
      </w:pPr>
      <w:r>
        <w:t>Dann folgt</w:t>
      </w:r>
    </w:p>
    <w:p w:rsidR="003E2D8E" w:rsidRDefault="003E2D8E" w:rsidP="003E2D8E">
      <w:pPr>
        <w:pStyle w:val="berschrift1"/>
      </w:pPr>
      <w:r>
        <w:t>[</w:t>
      </w:r>
      <w:r>
        <w:br/>
        <w:t>z_k</w:t>
      </w:r>
    </w:p>
    <w:p w:rsidR="003E2D8E" w:rsidRDefault="003E2D8E" w:rsidP="003E2D8E">
      <w:pPr>
        <w:pStyle w:val="StandardWeb"/>
      </w:pPr>
      <w:r>
        <w:t>(h\circ g)(z_i),</w:t>
      </w:r>
      <w:r>
        <w:br/>
        <w:t>\tag{3.12062}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z_k=(h\circ g)(z_i)</w:t>
      </w:r>
    </w:p>
    <w:p w:rsidR="003E2D8E" w:rsidRDefault="003E2D8E" w:rsidP="003E2D8E">
      <w:pPr>
        <w:pStyle w:val="StandardWeb"/>
      </w:pPr>
      <w:r>
        <w:t>und wegen (h\circ g\in G) gilt (z_i\sim_G z_k). (\square)</w:t>
      </w:r>
    </w:p>
    <w:p w:rsidR="003E2D8E" w:rsidRDefault="00E50336" w:rsidP="003E2D8E">
      <w:r>
        <w:lastRenderedPageBreak/>
        <w:pict>
          <v:rect id="_x0000_i4233" style="width:0;height:1.5pt" o:hralign="center" o:hrstd="t" o:hr="t" fillcolor="#a0a0a0" stroked="f"/>
        </w:pict>
      </w:r>
    </w:p>
    <w:p w:rsidR="003E2D8E" w:rsidRDefault="003E2D8E" w:rsidP="003E2D8E">
      <w:pPr>
        <w:pStyle w:val="berschrift1"/>
      </w:pPr>
      <w:r>
        <w:t>3.3.48.61 Quotientenraum nach einer Symmetrie</w:t>
      </w:r>
    </w:p>
    <w:p w:rsidR="003E2D8E" w:rsidRDefault="003E2D8E" w:rsidP="003E2D8E">
      <w:pPr>
        <w:pStyle w:val="StandardWeb"/>
      </w:pPr>
      <w:r>
        <w:t>Die Äquivalenzrelation ermöglicht einen Quotienten</w:t>
      </w:r>
    </w:p>
    <w:p w:rsidR="003E2D8E" w:rsidRDefault="003E2D8E" w:rsidP="003E2D8E">
      <w:pPr>
        <w:pStyle w:val="berschrift1"/>
      </w:pPr>
      <w:r>
        <w:t>[</w:t>
      </w:r>
      <w:r>
        <w:br/>
        <w:t>\Omega_F/G</w:t>
      </w:r>
    </w:p>
    <w:p w:rsidR="003E2D8E" w:rsidRDefault="003E2D8E" w:rsidP="003E2D8E">
      <w:pPr>
        <w:pStyle w:val="StandardWeb"/>
      </w:pPr>
      <w:r>
        <w:t>\Omega_F/{\sim_G}.</w:t>
      </w:r>
      <w:r>
        <w:br/>
        <w:t>\tag{3.12063}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\Omega_F/G=\Omega_F/{\sim_G}</w:t>
      </w:r>
    </w:p>
    <w:p w:rsidR="003E2D8E" w:rsidRDefault="00E50336" w:rsidP="003E2D8E">
      <w:r>
        <w:pict>
          <v:rect id="_x0000_i4234" style="width:0;height:1.5pt" o:hralign="center" o:hrstd="t" o:hr="t" fillcolor="#a0a0a0" stroked="f"/>
        </w:pict>
      </w:r>
    </w:p>
    <w:p w:rsidR="003E2D8E" w:rsidRDefault="003E2D8E" w:rsidP="003E2D8E">
      <w:pPr>
        <w:pStyle w:val="berschrift1"/>
      </w:pPr>
      <w:r>
        <w:t>3.3.48.62 Definition 3.3.314 – Funktionaler Symmetriequotient</w:t>
      </w:r>
    </w:p>
    <w:p w:rsidR="003E2D8E" w:rsidRDefault="003E2D8E" w:rsidP="003E2D8E">
      <w:pPr>
        <w:pStyle w:val="berschrift3"/>
      </w:pPr>
      <w:r>
        <w:t>Definition 3.3.314</w:t>
      </w:r>
    </w:p>
    <w:p w:rsidR="003E2D8E" w:rsidRDefault="003E2D8E" w:rsidP="003E2D8E">
      <w:pPr>
        <w:pStyle w:val="StandardWeb"/>
      </w:pPr>
      <w:r>
        <w:t xml:space="preserve">Der </w:t>
      </w:r>
      <w:r>
        <w:rPr>
          <w:rStyle w:val="Fett"/>
        </w:rPr>
        <w:t>funktionale Symmetriequotient</w:t>
      </w:r>
      <w:r>
        <w:t xml:space="preserve"> eines Zustandsraums unter einer Symmetriegruppe (G) ist</w:t>
      </w:r>
    </w:p>
    <w:p w:rsidR="003E2D8E" w:rsidRDefault="003E2D8E" w:rsidP="003E2D8E">
      <w:pPr>
        <w:pStyle w:val="StandardWeb"/>
      </w:pPr>
      <w:r>
        <w:t>[</w:t>
      </w:r>
      <w:r>
        <w:br/>
        <w:t>\boxed{</w:t>
      </w:r>
      <w:r>
        <w:br/>
        <w:t>\Omega_F/G</w:t>
      </w:r>
      <w:r>
        <w:br/>
        <w:t>:=</w:t>
      </w:r>
      <w:r>
        <w:br/>
        <w:t>\left{</w:t>
      </w:r>
      <w:r>
        <w:br/>
        <w:t>\operatorname{Orb}_G(z)</w:t>
      </w:r>
      <w:r>
        <w:br/>
        <w:t>\mid</w:t>
      </w:r>
      <w:r>
        <w:br/>
        <w:t>z\in\Omega_F</w:t>
      </w:r>
      <w:r>
        <w:br/>
        <w:t>\right}.</w:t>
      </w:r>
      <w:r>
        <w:br/>
        <w:t>}</w:t>
      </w:r>
      <w:r>
        <w:br/>
        <w:t>\tag{3.12064}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\boxed{\Omega_F/G:=\left\{\operatorname{Orb}_G(z)\mid z\in\Omega_F\right\}.}</w:t>
      </w:r>
    </w:p>
    <w:p w:rsidR="003E2D8E" w:rsidRDefault="00E50336" w:rsidP="003E2D8E">
      <w:r>
        <w:pict>
          <v:rect id="_x0000_i4235" style="width:0;height:1.5pt" o:hralign="center" o:hrstd="t" o:hr="t" fillcolor="#a0a0a0" stroked="f"/>
        </w:pict>
      </w:r>
    </w:p>
    <w:p w:rsidR="003E2D8E" w:rsidRDefault="003E2D8E" w:rsidP="003E2D8E">
      <w:pPr>
        <w:pStyle w:val="berschrift1"/>
      </w:pPr>
      <w:r>
        <w:t>3.3.48.63 Informationsreduktion durch Symmetriequotient</w:t>
      </w:r>
    </w:p>
    <w:p w:rsidR="003E2D8E" w:rsidRDefault="003E2D8E" w:rsidP="003E2D8E">
      <w:pPr>
        <w:pStyle w:val="StandardWeb"/>
      </w:pPr>
      <w:r>
        <w:lastRenderedPageBreak/>
        <w:t>Ein Quotient kann mehrere Zustände zu einer strukturellen Klasse zusammenfassen.</w:t>
      </w:r>
    </w:p>
    <w:p w:rsidR="003E2D8E" w:rsidRDefault="003E2D8E" w:rsidP="003E2D8E">
      <w:pPr>
        <w:pStyle w:val="StandardWeb"/>
      </w:pPr>
      <w:r>
        <w:t>Damit kann</w:t>
      </w:r>
    </w:p>
    <w:p w:rsidR="003E2D8E" w:rsidRDefault="003E2D8E" w:rsidP="003E2D8E">
      <w:pPr>
        <w:pStyle w:val="StandardWeb"/>
      </w:pPr>
      <w:r>
        <w:t>[</w:t>
      </w:r>
      <w:r>
        <w:br/>
        <w:t>|\Omega_F/G|</w:t>
      </w:r>
      <w:r>
        <w:br/>
        <w:t>&lt;</w:t>
      </w:r>
      <w:r>
        <w:br/>
        <w:t>|\Omega_F|</w:t>
      </w:r>
      <w:r>
        <w:br/>
        <w:t>\tag{3.12065}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|\Omega_F/G|&lt;|\Omega_F|</w:t>
      </w:r>
    </w:p>
    <w:p w:rsidR="003E2D8E" w:rsidRDefault="003E2D8E" w:rsidP="003E2D8E">
      <w:pPr>
        <w:pStyle w:val="StandardWeb"/>
      </w:pPr>
      <w:r>
        <w:t>gelten.</w:t>
      </w:r>
    </w:p>
    <w:p w:rsidR="003E2D8E" w:rsidRDefault="003E2D8E" w:rsidP="003E2D8E">
      <w:pPr>
        <w:pStyle w:val="StandardWeb"/>
      </w:pPr>
      <w:r>
        <w:t>Dies ist eine mögliche Modellreduktion, aber keine allgemeine Notwendigkeit.</w:t>
      </w:r>
    </w:p>
    <w:p w:rsidR="003E2D8E" w:rsidRDefault="00E50336" w:rsidP="003E2D8E">
      <w:r>
        <w:pict>
          <v:rect id="_x0000_i4236" style="width:0;height:1.5pt" o:hralign="center" o:hrstd="t" o:hr="t" fillcolor="#a0a0a0" stroked="f"/>
        </w:pict>
      </w:r>
    </w:p>
    <w:p w:rsidR="003E2D8E" w:rsidRDefault="003E2D8E" w:rsidP="003E2D8E">
      <w:pPr>
        <w:pStyle w:val="berschrift1"/>
      </w:pPr>
      <w:r>
        <w:t>3.3.48.64 Stabilisator eines Zustands</w:t>
      </w:r>
    </w:p>
    <w:p w:rsidR="003E2D8E" w:rsidRDefault="003E2D8E" w:rsidP="003E2D8E">
      <w:pPr>
        <w:pStyle w:val="StandardWeb"/>
      </w:pPr>
      <w:r>
        <w:t>Nicht jede Symmetrie verändert einen gegebenen Zustand.</w:t>
      </w:r>
    </w:p>
    <w:p w:rsidR="003E2D8E" w:rsidRDefault="003E2D8E" w:rsidP="003E2D8E">
      <w:pPr>
        <w:pStyle w:val="StandardWeb"/>
      </w:pPr>
      <w:r>
        <w:t>Die Menge aller Symmetrien, die (z) unverändert lassen, ist</w:t>
      </w:r>
    </w:p>
    <w:p w:rsidR="003E2D8E" w:rsidRDefault="003E2D8E" w:rsidP="003E2D8E">
      <w:pPr>
        <w:pStyle w:val="berschrift1"/>
      </w:pPr>
      <w:r>
        <w:t>[</w:t>
      </w:r>
      <w:r>
        <w:br/>
        <w:t>\operatorname{Stab}_G(z)</w:t>
      </w:r>
    </w:p>
    <w:p w:rsidR="003E2D8E" w:rsidRDefault="003E2D8E" w:rsidP="003E2D8E">
      <w:pPr>
        <w:pStyle w:val="StandardWeb"/>
      </w:pPr>
      <w:r>
        <w:t>{g\in G\mid g(z)=z}.</w:t>
      </w:r>
      <w:r>
        <w:br/>
        <w:t>\tag{3.12066}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\operatorname{Stab}_G(z)=\{g\in G\mid g(z)=z\}</w:t>
      </w:r>
    </w:p>
    <w:p w:rsidR="003E2D8E" w:rsidRDefault="00E50336" w:rsidP="003E2D8E">
      <w:r>
        <w:pict>
          <v:rect id="_x0000_i4237" style="width:0;height:1.5pt" o:hralign="center" o:hrstd="t" o:hr="t" fillcolor="#a0a0a0" stroked="f"/>
        </w:pict>
      </w:r>
    </w:p>
    <w:p w:rsidR="003E2D8E" w:rsidRDefault="003E2D8E" w:rsidP="003E2D8E">
      <w:pPr>
        <w:pStyle w:val="berschrift1"/>
      </w:pPr>
      <w:r>
        <w:t>3.3.48.65 Definition 3.3.315 – Funktionaler Stabilisator</w:t>
      </w:r>
    </w:p>
    <w:p w:rsidR="003E2D8E" w:rsidRDefault="003E2D8E" w:rsidP="003E2D8E">
      <w:pPr>
        <w:pStyle w:val="berschrift3"/>
      </w:pPr>
      <w:r>
        <w:t>Definition 3.3.315</w:t>
      </w:r>
    </w:p>
    <w:p w:rsidR="003E2D8E" w:rsidRDefault="003E2D8E" w:rsidP="003E2D8E">
      <w:pPr>
        <w:pStyle w:val="StandardWeb"/>
      </w:pPr>
      <w:r>
        <w:t xml:space="preserve">Der </w:t>
      </w:r>
      <w:r>
        <w:rPr>
          <w:rStyle w:val="Fett"/>
        </w:rPr>
        <w:t>funktionale Stabilisator</w:t>
      </w:r>
      <w:r>
        <w:t xml:space="preserve"> eines Zustands (z) bezüglich einer Symmetriegruppe (G) ist</w:t>
      </w:r>
    </w:p>
    <w:p w:rsidR="003E2D8E" w:rsidRDefault="003E2D8E" w:rsidP="003E2D8E">
      <w:pPr>
        <w:pStyle w:val="StandardWeb"/>
      </w:pPr>
      <w:r>
        <w:t>[</w:t>
      </w:r>
      <w:r>
        <w:br/>
        <w:t>\boxed{</w:t>
      </w:r>
      <w:r>
        <w:br/>
        <w:t>\operatorname{Stab}_G(z)</w:t>
      </w:r>
      <w:r>
        <w:br/>
        <w:t>:=</w:t>
      </w:r>
      <w:r>
        <w:br/>
      </w:r>
      <w:r>
        <w:lastRenderedPageBreak/>
        <w:t>{g\in G\mid g(z)=z}.</w:t>
      </w:r>
      <w:r>
        <w:br/>
        <w:t>}</w:t>
      </w:r>
      <w:r>
        <w:br/>
        <w:t>\tag{3.12067}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\boxed{\operatorname{Stab}_G(z):=\{g\in G\mid g(z)=z\}.}</w:t>
      </w:r>
    </w:p>
    <w:p w:rsidR="003E2D8E" w:rsidRDefault="00E50336" w:rsidP="003E2D8E">
      <w:r>
        <w:pict>
          <v:rect id="_x0000_i4238" style="width:0;height:1.5pt" o:hralign="center" o:hrstd="t" o:hr="t" fillcolor="#a0a0a0" stroked="f"/>
        </w:pict>
      </w:r>
    </w:p>
    <w:p w:rsidR="003E2D8E" w:rsidRDefault="003E2D8E" w:rsidP="003E2D8E">
      <w:pPr>
        <w:pStyle w:val="berschrift1"/>
      </w:pPr>
      <w:r>
        <w:t>3.3.48.66 Satz 3.3.128 – Der Stabilisator ist eine Untergruppe</w:t>
      </w:r>
    </w:p>
    <w:p w:rsidR="003E2D8E" w:rsidRDefault="003E2D8E" w:rsidP="003E2D8E">
      <w:pPr>
        <w:pStyle w:val="berschrift3"/>
      </w:pPr>
      <w:r>
        <w:t>Satz 3.3.128</w:t>
      </w:r>
    </w:p>
    <w:p w:rsidR="003E2D8E" w:rsidRDefault="003E2D8E" w:rsidP="003E2D8E">
      <w:pPr>
        <w:pStyle w:val="StandardWeb"/>
      </w:pPr>
      <w:r>
        <w:t>Für jedes (z\in\Omega_F) gilt</w:t>
      </w:r>
    </w:p>
    <w:p w:rsidR="003E2D8E" w:rsidRDefault="003E2D8E" w:rsidP="003E2D8E">
      <w:pPr>
        <w:pStyle w:val="StandardWeb"/>
      </w:pPr>
      <w:r>
        <w:t>[</w:t>
      </w:r>
      <w:r>
        <w:br/>
        <w:t>\boxed{</w:t>
      </w:r>
      <w:r>
        <w:br/>
        <w:t>\operatorname{Stab}_G(z)</w:t>
      </w:r>
      <w:r>
        <w:br/>
        <w:t>\leq</w:t>
      </w:r>
      <w:r>
        <w:br/>
        <w:t>G.</w:t>
      </w:r>
      <w:r>
        <w:br/>
        <w:t>}</w:t>
      </w:r>
      <w:r>
        <w:br/>
        <w:t>\tag{3.12068}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\boxed{\operatorname{Stab}_G(z)\leq G.}</w:t>
      </w:r>
    </w:p>
    <w:p w:rsidR="003E2D8E" w:rsidRDefault="003E2D8E" w:rsidP="003E2D8E">
      <w:pPr>
        <w:pStyle w:val="berschrift3"/>
      </w:pPr>
      <w:r>
        <w:t>Beweis</w:t>
      </w:r>
    </w:p>
    <w:p w:rsidR="003E2D8E" w:rsidRDefault="003E2D8E" w:rsidP="003E2D8E">
      <w:pPr>
        <w:pStyle w:val="StandardWeb"/>
      </w:pPr>
      <w:r>
        <w:t>Die Identität fixiert (z), also gehört sie zum Stabilisator. Sind (g) und (h) im Stabilisator, gilt</w:t>
      </w:r>
    </w:p>
    <w:p w:rsidR="003E2D8E" w:rsidRDefault="003E2D8E" w:rsidP="003E2D8E">
      <w:pPr>
        <w:pStyle w:val="StandardWeb"/>
      </w:pPr>
      <w:r>
        <w:t>[</w:t>
      </w:r>
      <w:r>
        <w:br/>
        <w:t>g(z)=z</w:t>
      </w:r>
      <w:r>
        <w:br/>
        <w:t>\quad\text{und}\quad</w:t>
      </w:r>
      <w:r>
        <w:br/>
        <w:t>h(z)=z.</w:t>
      </w:r>
      <w:r>
        <w:br/>
        <w:t>\tag{3.12069}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g(z)=z\quad\text{und}\quad h(z)=z</w:t>
      </w:r>
    </w:p>
    <w:p w:rsidR="003E2D8E" w:rsidRDefault="003E2D8E" w:rsidP="003E2D8E">
      <w:pPr>
        <w:pStyle w:val="StandardWeb"/>
      </w:pPr>
      <w:r>
        <w:t>Damit folgt</w:t>
      </w:r>
    </w:p>
    <w:p w:rsidR="003E2D8E" w:rsidRDefault="003E2D8E" w:rsidP="003E2D8E">
      <w:pPr>
        <w:pStyle w:val="berschrift1"/>
      </w:pPr>
      <w:r>
        <w:t>[</w:t>
      </w:r>
      <w:r>
        <w:br/>
        <w:t>(g\circ h)(z)</w:t>
      </w:r>
    </w:p>
    <w:p w:rsidR="003E2D8E" w:rsidRDefault="003E2D8E" w:rsidP="003E2D8E">
      <w:pPr>
        <w:pStyle w:val="berschrift1"/>
      </w:pPr>
      <w:r>
        <w:lastRenderedPageBreak/>
        <w:t>g(h(z))</w:t>
      </w:r>
    </w:p>
    <w:p w:rsidR="003E2D8E" w:rsidRDefault="003E2D8E" w:rsidP="003E2D8E">
      <w:pPr>
        <w:pStyle w:val="berschrift1"/>
      </w:pPr>
      <w:r>
        <w:t>g(z)</w:t>
      </w:r>
    </w:p>
    <w:p w:rsidR="003E2D8E" w:rsidRDefault="003E2D8E" w:rsidP="003E2D8E">
      <w:pPr>
        <w:pStyle w:val="StandardWeb"/>
      </w:pPr>
      <w:r>
        <w:t>z.</w:t>
      </w:r>
      <w:r>
        <w:br/>
        <w:t>\tag{3.12070}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(g\circ h)(z)=g(h(z))=g(z)=z</w:t>
      </w:r>
    </w:p>
    <w:p w:rsidR="003E2D8E" w:rsidRDefault="003E2D8E" w:rsidP="003E2D8E">
      <w:pPr>
        <w:pStyle w:val="StandardWeb"/>
      </w:pPr>
      <w:r>
        <w:t>Für (g\in\operatorname{Stab}_G(z)) gilt ferner</w:t>
      </w:r>
    </w:p>
    <w:p w:rsidR="003E2D8E" w:rsidRDefault="003E2D8E" w:rsidP="003E2D8E">
      <w:pPr>
        <w:pStyle w:val="StandardWeb"/>
      </w:pPr>
      <w:r>
        <w:t>[</w:t>
      </w:r>
      <w:r>
        <w:br/>
        <w:t>g(z)=z</w:t>
      </w:r>
      <w:r>
        <w:br/>
        <w:t>\Rightarrow</w:t>
      </w:r>
      <w:r>
        <w:br/>
        <w:t>g^{-1}(z)=z.</w:t>
      </w:r>
      <w:r>
        <w:br/>
        <w:t>\tag{3.12071}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g(z)=z\Rightarrow g^{-1}(z)=z</w:t>
      </w:r>
    </w:p>
    <w:p w:rsidR="003E2D8E" w:rsidRDefault="003E2D8E" w:rsidP="003E2D8E">
      <w:pPr>
        <w:pStyle w:val="StandardWeb"/>
      </w:pPr>
      <w:r>
        <w:t>Damit sind Identität, Abgeschlossenheit und inverse Elemente enthalten. (\square)</w:t>
      </w:r>
    </w:p>
    <w:p w:rsidR="003E2D8E" w:rsidRDefault="00E50336" w:rsidP="003E2D8E">
      <w:r>
        <w:pict>
          <v:rect id="_x0000_i4239" style="width:0;height:1.5pt" o:hralign="center" o:hrstd="t" o:hr="t" fillcolor="#a0a0a0" stroked="f"/>
        </w:pict>
      </w:r>
    </w:p>
    <w:p w:rsidR="003E2D8E" w:rsidRDefault="003E2D8E" w:rsidP="003E2D8E">
      <w:pPr>
        <w:pStyle w:val="berschrift1"/>
      </w:pPr>
      <w:r>
        <w:t>3.3.48.67 Symmetriebruch als modellabhängiger Begriff</w:t>
      </w:r>
    </w:p>
    <w:p w:rsidR="003E2D8E" w:rsidRDefault="003E2D8E" w:rsidP="003E2D8E">
      <w:pPr>
        <w:pStyle w:val="StandardWeb"/>
      </w:pPr>
      <w:r>
        <w:t>Ist eine Struktur zunächst invariant unter (G), ein konkreter Zustand aber nur unter einer echten Untergruppe (H\subsetneq G), kann formal von einem Symmetriebruch gesprochen werden.</w:t>
      </w:r>
    </w:p>
    <w:p w:rsidR="003E2D8E" w:rsidRDefault="003E2D8E" w:rsidP="003E2D8E">
      <w:pPr>
        <w:pStyle w:val="StandardWeb"/>
      </w:pPr>
      <w:r>
        <w:t>Ich schreibe</w:t>
      </w:r>
    </w:p>
    <w:p w:rsidR="003E2D8E" w:rsidRDefault="003E2D8E" w:rsidP="003E2D8E">
      <w:pPr>
        <w:pStyle w:val="StandardWeb"/>
      </w:pPr>
      <w:r>
        <w:t>[</w:t>
      </w:r>
      <w:r>
        <w:br/>
        <w:t>G</w:t>
      </w:r>
      <w:r>
        <w:br/>
        <w:t>\longrightarrow</w:t>
      </w:r>
      <w:r>
        <w:br/>
        <w:t>H.</w:t>
      </w:r>
      <w:r>
        <w:br/>
        <w:t>\tag{3.12072}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G\longrightarrow H</w:t>
      </w:r>
    </w:p>
    <w:p w:rsidR="003E2D8E" w:rsidRDefault="00E50336" w:rsidP="003E2D8E">
      <w:r>
        <w:pict>
          <v:rect id="_x0000_i4240" style="width:0;height:1.5pt" o:hralign="center" o:hrstd="t" o:hr="t" fillcolor="#a0a0a0" stroked="f"/>
        </w:pict>
      </w:r>
    </w:p>
    <w:p w:rsidR="003E2D8E" w:rsidRDefault="003E2D8E" w:rsidP="003E2D8E">
      <w:pPr>
        <w:pStyle w:val="berschrift1"/>
      </w:pPr>
      <w:r>
        <w:lastRenderedPageBreak/>
        <w:t>3.3.48.68 Definition 3.3.316 – Funktionaler Symmetriebruch</w:t>
      </w:r>
    </w:p>
    <w:p w:rsidR="003E2D8E" w:rsidRDefault="003E2D8E" w:rsidP="003E2D8E">
      <w:pPr>
        <w:pStyle w:val="berschrift3"/>
      </w:pPr>
      <w:r>
        <w:t>Definition 3.3.316</w:t>
      </w:r>
    </w:p>
    <w:p w:rsidR="003E2D8E" w:rsidRDefault="003E2D8E" w:rsidP="003E2D8E">
      <w:pPr>
        <w:pStyle w:val="StandardWeb"/>
      </w:pPr>
      <w:r>
        <w:t xml:space="preserve">Ein </w:t>
      </w:r>
      <w:r>
        <w:rPr>
          <w:rStyle w:val="Fett"/>
        </w:rPr>
        <w:t>funktionaler Symmetriebruch</w:t>
      </w:r>
      <w:r>
        <w:t xml:space="preserve"> liegt bezüglich einer Modellstruktur vor, wenn die Gesamtstruktur eine Symmetriegruppe (G) besitzt, ein ausgewählter Zustand oder eine ausgewählte Lösung jedoch nur unter einer echten Untergruppe (H\subsetneq G) invariant bleibt:</w:t>
      </w:r>
    </w:p>
    <w:p w:rsidR="003E2D8E" w:rsidRDefault="003E2D8E" w:rsidP="003E2D8E">
      <w:pPr>
        <w:pStyle w:val="StandardWeb"/>
      </w:pPr>
      <w:r>
        <w:t>[</w:t>
      </w:r>
      <w:r>
        <w:br/>
        <w:t>\boxed{</w:t>
      </w:r>
      <w:r>
        <w:br/>
        <w:t>G</w:t>
      </w:r>
      <w:r>
        <w:br/>
        <w:t>\longrightarrow</w:t>
      </w:r>
      <w:r>
        <w:br/>
        <w:t>H,</w:t>
      </w:r>
      <w:r>
        <w:br/>
        <w:t>\qquad</w:t>
      </w:r>
      <w:r>
        <w:br/>
        <w:t>H\subsetneq G.</w:t>
      </w:r>
      <w:r>
        <w:br/>
        <w:t>}</w:t>
      </w:r>
      <w:r>
        <w:br/>
        <w:t>\tag{3.12073}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\boxed{G\longrightarrow H,\qquad H\subsetneq G.}</w:t>
      </w:r>
    </w:p>
    <w:p w:rsidR="003E2D8E" w:rsidRDefault="00E50336" w:rsidP="003E2D8E">
      <w:r>
        <w:pict>
          <v:rect id="_x0000_i4241" style="width:0;height:1.5pt" o:hralign="center" o:hrstd="t" o:hr="t" fillcolor="#a0a0a0" stroked="f"/>
        </w:pict>
      </w:r>
    </w:p>
    <w:p w:rsidR="003E2D8E" w:rsidRDefault="003E2D8E" w:rsidP="003E2D8E">
      <w:pPr>
        <w:pStyle w:val="berschrift1"/>
      </w:pPr>
      <w:r>
        <w:t>3.3.48.69 Keine automatische spontane Symmetriebrechung</w:t>
      </w:r>
    </w:p>
    <w:p w:rsidR="003E2D8E" w:rsidRDefault="003E2D8E" w:rsidP="003E2D8E">
      <w:pPr>
        <w:pStyle w:val="StandardWeb"/>
      </w:pPr>
      <w:r>
        <w:t>Der Begriff aus Definition 3.3.316 ist zunächst rein strukturell.</w:t>
      </w:r>
    </w:p>
    <w:p w:rsidR="003E2D8E" w:rsidRDefault="003E2D8E" w:rsidP="003E2D8E">
      <w:pPr>
        <w:pStyle w:val="StandardWeb"/>
      </w:pPr>
      <w:r>
        <w:t>Er darf nicht ohne weitere Voraussetzungen mit spontaner Symmetriebrechung in einer konkreten physikalischen Theorie identifiziert werden.</w:t>
      </w:r>
    </w:p>
    <w:p w:rsidR="003E2D8E" w:rsidRDefault="003E2D8E" w:rsidP="003E2D8E">
      <w:pPr>
        <w:pStyle w:val="StandardWeb"/>
      </w:pPr>
      <w:r>
        <w:t>Daher gilt</w:t>
      </w:r>
    </w:p>
    <w:p w:rsidR="003E2D8E" w:rsidRDefault="003E2D8E" w:rsidP="003E2D8E">
      <w:pPr>
        <w:pStyle w:val="StandardWeb"/>
      </w:pPr>
      <w:r>
        <w:t>[</w:t>
      </w:r>
      <w:r>
        <w:br/>
        <w:t>\boxed{</w:t>
      </w:r>
      <w:r>
        <w:br/>
        <w:t>\text{funktionaler Symmetriebruch}</w:t>
      </w:r>
      <w:r>
        <w:br/>
        <w:t>\not\equiv</w:t>
      </w:r>
      <w:r>
        <w:br/>
        <w:t>\text{physikalische spontane Symmetriebrechung}.</w:t>
      </w:r>
      <w:r>
        <w:br/>
        <w:t>}</w:t>
      </w:r>
      <w:r>
        <w:br/>
        <w:t>\tag{3.12074}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\boxed{\text{funktionaler Symmetriebruch}\not\equiv\text{physikalische spontane Symmetriebrechung}.}</w:t>
      </w:r>
    </w:p>
    <w:p w:rsidR="003E2D8E" w:rsidRDefault="00E50336" w:rsidP="003E2D8E">
      <w:r>
        <w:lastRenderedPageBreak/>
        <w:pict>
          <v:rect id="_x0000_i4242" style="width:0;height:1.5pt" o:hralign="center" o:hrstd="t" o:hr="t" fillcolor="#a0a0a0" stroked="f"/>
        </w:pict>
      </w:r>
    </w:p>
    <w:p w:rsidR="003E2D8E" w:rsidRDefault="003E2D8E" w:rsidP="003E2D8E">
      <w:pPr>
        <w:pStyle w:val="berschrift1"/>
      </w:pPr>
      <w:r>
        <w:t>3.3.48.70 Approximative Invarianz</w:t>
      </w:r>
    </w:p>
    <w:p w:rsidR="003E2D8E" w:rsidRDefault="003E2D8E" w:rsidP="003E2D8E">
      <w:pPr>
        <w:pStyle w:val="StandardWeb"/>
      </w:pPr>
      <w:r>
        <w:t>In empirischen oder numerischen Modellen kann exakte Gleichheit zu streng sein.</w:t>
      </w:r>
    </w:p>
    <w:p w:rsidR="003E2D8E" w:rsidRDefault="003E2D8E" w:rsidP="003E2D8E">
      <w:pPr>
        <w:pStyle w:val="StandardWeb"/>
      </w:pPr>
      <w:r>
        <w:t>Daher kann für eine Metrik oder Norm (d_Q) definiert werden</w:t>
      </w:r>
    </w:p>
    <w:p w:rsidR="003E2D8E" w:rsidRDefault="003E2D8E" w:rsidP="003E2D8E">
      <w:pPr>
        <w:pStyle w:val="StandardWeb"/>
      </w:pPr>
      <w:r>
        <w:t>[</w:t>
      </w:r>
      <w:r>
        <w:br/>
        <w:t>d_Q</w:t>
      </w:r>
      <w:r>
        <w:br/>
        <w:t>\left(</w:t>
      </w:r>
      <w:r>
        <w:br/>
        <w:t>Q_F(g(z)),</w:t>
      </w:r>
      <w:r>
        <w:br/>
        <w:t>Q_F(z)</w:t>
      </w:r>
      <w:r>
        <w:br/>
        <w:t>\right)</w:t>
      </w:r>
      <w:r>
        <w:br/>
        <w:t>\leq</w:t>
      </w:r>
      <w:r>
        <w:br/>
        <w:t>\varepsilon_{\mathrm{inv}}.</w:t>
      </w:r>
      <w:r>
        <w:br/>
        <w:t>\tag{3.12075}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d_Q\left(Q_F(g(z)),Q_F(z)\right)\leq\varepsilon_{\mathrm{inv}}</w:t>
      </w:r>
    </w:p>
    <w:p w:rsidR="003E2D8E" w:rsidRDefault="00E50336" w:rsidP="003E2D8E">
      <w:r>
        <w:pict>
          <v:rect id="_x0000_i4243" style="width:0;height:1.5pt" o:hralign="center" o:hrstd="t" o:hr="t" fillcolor="#a0a0a0" stroked="f"/>
        </w:pict>
      </w:r>
    </w:p>
    <w:p w:rsidR="003E2D8E" w:rsidRDefault="003E2D8E" w:rsidP="003E2D8E">
      <w:pPr>
        <w:pStyle w:val="berschrift1"/>
      </w:pPr>
      <w:r>
        <w:t>3.3.48.71 Definition 3.3.317 – Approximative funktionale Invarianz</w:t>
      </w:r>
    </w:p>
    <w:p w:rsidR="003E2D8E" w:rsidRDefault="003E2D8E" w:rsidP="003E2D8E">
      <w:pPr>
        <w:pStyle w:val="berschrift3"/>
      </w:pPr>
      <w:r>
        <w:t>Definition 3.3.317</w:t>
      </w:r>
    </w:p>
    <w:p w:rsidR="003E2D8E" w:rsidRDefault="003E2D8E" w:rsidP="003E2D8E">
      <w:pPr>
        <w:pStyle w:val="StandardWeb"/>
      </w:pPr>
      <w:r>
        <w:t xml:space="preserve">Eine Zustandsgröße (Q_F) heißt bezüglich (g) </w:t>
      </w:r>
      <w:r>
        <w:rPr>
          <w:rStyle w:val="Fett"/>
        </w:rPr>
        <w:t>(\varepsilon_{\mathrm{inv}})-invariant</w:t>
      </w:r>
      <w:r>
        <w:t>, wenn</w:t>
      </w:r>
    </w:p>
    <w:p w:rsidR="003E2D8E" w:rsidRDefault="003E2D8E" w:rsidP="003E2D8E">
      <w:pPr>
        <w:pStyle w:val="StandardWeb"/>
      </w:pPr>
      <w:r>
        <w:t>[</w:t>
      </w:r>
      <w:r>
        <w:br/>
        <w:t>\boxed{</w:t>
      </w:r>
      <w:r>
        <w:br/>
        <w:t>d_Q</w:t>
      </w:r>
      <w:r>
        <w:br/>
        <w:t>\left(</w:t>
      </w:r>
      <w:r>
        <w:br/>
        <w:t>Q_F(g(z)),</w:t>
      </w:r>
      <w:r>
        <w:br/>
        <w:t>Q_F(z)</w:t>
      </w:r>
      <w:r>
        <w:br/>
        <w:t>\right)</w:t>
      </w:r>
      <w:r>
        <w:br/>
        <w:t>\leq</w:t>
      </w:r>
      <w:r>
        <w:br/>
        <w:t>\varepsilon_{\mathrm{inv}}</w:t>
      </w:r>
      <w:r>
        <w:br/>
        <w:t>}</w:t>
      </w:r>
      <w:r>
        <w:br/>
        <w:t>\tag{3.12076}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\boxed{d_Q\left(Q_F(g(z)),Q_F(z)\right)\leq\varepsilon_{\mathrm{inv}}}</w:t>
      </w:r>
    </w:p>
    <w:p w:rsidR="003E2D8E" w:rsidRDefault="003E2D8E" w:rsidP="003E2D8E">
      <w:pPr>
        <w:pStyle w:val="StandardWeb"/>
      </w:pPr>
      <w:r>
        <w:t>für alle betrachteten Zustände gilt.</w:t>
      </w:r>
    </w:p>
    <w:p w:rsidR="003E2D8E" w:rsidRDefault="00E50336" w:rsidP="003E2D8E">
      <w:r>
        <w:lastRenderedPageBreak/>
        <w:pict>
          <v:rect id="_x0000_i4244" style="width:0;height:1.5pt" o:hralign="center" o:hrstd="t" o:hr="t" fillcolor="#a0a0a0" stroked="f"/>
        </w:pict>
      </w:r>
    </w:p>
    <w:p w:rsidR="003E2D8E" w:rsidRDefault="003E2D8E" w:rsidP="003E2D8E">
      <w:pPr>
        <w:pStyle w:val="berschrift1"/>
      </w:pPr>
      <w:r>
        <w:t>3.3.48.72 Exakte Invarianz als Nulltoleranzfall</w:t>
      </w:r>
    </w:p>
    <w:p w:rsidR="003E2D8E" w:rsidRDefault="003E2D8E" w:rsidP="003E2D8E">
      <w:pPr>
        <w:pStyle w:val="StandardWeb"/>
      </w:pPr>
      <w:r>
        <w:t>Für</w:t>
      </w:r>
    </w:p>
    <w:p w:rsidR="003E2D8E" w:rsidRDefault="003E2D8E" w:rsidP="003E2D8E">
      <w:pPr>
        <w:pStyle w:val="berschrift1"/>
      </w:pPr>
      <w:r>
        <w:t>[</w:t>
      </w:r>
      <w:r>
        <w:br/>
        <w:t>\varepsilon_{\mathrm{inv}}</w:t>
      </w:r>
    </w:p>
    <w:p w:rsidR="003E2D8E" w:rsidRDefault="003E2D8E" w:rsidP="003E2D8E">
      <w:pPr>
        <w:pStyle w:val="StandardWeb"/>
      </w:pPr>
      <w:r>
        <w:t>0</w:t>
      </w:r>
      <w:r>
        <w:br/>
        <w:t>\tag{3.12077}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\varepsilon_{\mathrm{inv}}=0</w:t>
      </w:r>
    </w:p>
    <w:p w:rsidR="003E2D8E" w:rsidRDefault="003E2D8E" w:rsidP="003E2D8E">
      <w:pPr>
        <w:pStyle w:val="StandardWeb"/>
      </w:pPr>
      <w:r>
        <w:t>und eine echte Metrik folgt</w:t>
      </w:r>
    </w:p>
    <w:p w:rsidR="003E2D8E" w:rsidRDefault="003E2D8E" w:rsidP="003E2D8E">
      <w:pPr>
        <w:pStyle w:val="berschrift1"/>
      </w:pPr>
      <w:r>
        <w:t>[</w:t>
      </w:r>
      <w:r>
        <w:br/>
        <w:t>d_Q</w:t>
      </w:r>
      <w:r>
        <w:br/>
        <w:t>\left(</w:t>
      </w:r>
      <w:r>
        <w:br/>
        <w:t>Q_F(g(z)),</w:t>
      </w:r>
      <w:r>
        <w:br/>
        <w:t>Q_F(z)</w:t>
      </w:r>
      <w:r>
        <w:br/>
        <w:t>\right)</w:t>
      </w:r>
    </w:p>
    <w:p w:rsidR="003E2D8E" w:rsidRDefault="003E2D8E" w:rsidP="003E2D8E">
      <w:pPr>
        <w:pStyle w:val="StandardWeb"/>
      </w:pPr>
      <w:r>
        <w:t>0</w:t>
      </w:r>
      <w:r>
        <w:br/>
        <w:t>\tag{3.12078}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d_Q\left(Q_F(g(z)),Q_F(z)\right)=0</w:t>
      </w:r>
    </w:p>
    <w:p w:rsidR="003E2D8E" w:rsidRDefault="003E2D8E" w:rsidP="003E2D8E">
      <w:pPr>
        <w:pStyle w:val="StandardWeb"/>
      </w:pPr>
      <w:r>
        <w:t>und damit</w:t>
      </w:r>
    </w:p>
    <w:p w:rsidR="003E2D8E" w:rsidRDefault="003E2D8E" w:rsidP="003E2D8E">
      <w:pPr>
        <w:pStyle w:val="berschrift1"/>
      </w:pPr>
      <w:r>
        <w:t>[</w:t>
      </w:r>
      <w:r>
        <w:br/>
        <w:t>Q_F(g(z))</w:t>
      </w:r>
    </w:p>
    <w:p w:rsidR="003E2D8E" w:rsidRDefault="003E2D8E" w:rsidP="003E2D8E">
      <w:pPr>
        <w:pStyle w:val="StandardWeb"/>
      </w:pPr>
      <w:r>
        <w:t>Q_F(z).</w:t>
      </w:r>
      <w:r>
        <w:br/>
        <w:t>\tag{3.12079}</w:t>
      </w:r>
      <w:r>
        <w:br/>
        <w:t>]</w:t>
      </w:r>
    </w:p>
    <w:p w:rsidR="003E2D8E" w:rsidRDefault="003E2D8E" w:rsidP="003E2D8E">
      <w:pPr>
        <w:pStyle w:val="StandardWeb"/>
      </w:pPr>
      <w:r>
        <w:rPr>
          <w:rStyle w:val="Fett"/>
        </w:rPr>
        <w:lastRenderedPageBreak/>
        <w:t>Word-LaTeX</w:t>
      </w:r>
    </w:p>
    <w:p w:rsidR="003E2D8E" w:rsidRDefault="003E2D8E" w:rsidP="003E2D8E">
      <w:pPr>
        <w:pStyle w:val="HTMLVorformatiert"/>
        <w:rPr>
          <w:rStyle w:val="HTMLCode"/>
        </w:rPr>
      </w:pPr>
      <w:r>
        <w:rPr>
          <w:rStyle w:val="HTMLCode"/>
        </w:rPr>
        <w:t>Q_F(g(z))=Q_F(z)</w:t>
      </w:r>
    </w:p>
    <w:p w:rsidR="003E2D8E" w:rsidRDefault="00E50336" w:rsidP="003E2D8E">
      <w:r>
        <w:pict>
          <v:rect id="_x0000_i4245" style="width:0;height:1.5pt" o:hralign="center" o:hrstd="t" o:hr="t" fillcolor="#a0a0a0" stroked="f"/>
        </w:pict>
      </w:r>
    </w:p>
    <w:p w:rsidR="003E2D8E" w:rsidRDefault="003E2D8E" w:rsidP="003E2D8E">
      <w:pPr>
        <w:pStyle w:val="berschrift1"/>
      </w:pPr>
      <w:r>
        <w:t>3.3.48.73 Korollar 3.3.31 – Exakte Invarianz ist der Nulltoleranzfall approximativer Invarianz</w:t>
      </w:r>
    </w:p>
    <w:p w:rsidR="003E2D8E" w:rsidRDefault="003E2D8E" w:rsidP="003E2D8E">
      <w:pPr>
        <w:pStyle w:val="berschrift3"/>
      </w:pPr>
      <w:r>
        <w:t>Korollar 3.3.31</w:t>
      </w:r>
    </w:p>
    <w:p w:rsidR="003E2D8E" w:rsidRDefault="003E2D8E" w:rsidP="003E2D8E">
      <w:pPr>
        <w:pStyle w:val="StandardWeb"/>
      </w:pPr>
      <w:r>
        <w:t>Für eine Metrik (d_Q) gilt</w:t>
      </w:r>
    </w:p>
    <w:p w:rsidR="003E2D8E" w:rsidRDefault="003E2D8E" w:rsidP="003E2D8E">
      <w:pPr>
        <w:pStyle w:val="berschrift1"/>
      </w:pPr>
      <w:r>
        <w:t>[</w:t>
      </w:r>
      <w:r>
        <w:br/>
        <w:t>\boxed{</w:t>
      </w:r>
      <w:r>
        <w:br/>
        <w:t>\varepsilon_{\mathrm{inv}}=0</w:t>
      </w:r>
      <w:r>
        <w:br/>
        <w:t>\Rightarrow</w:t>
      </w:r>
      <w:r>
        <w:br/>
        <w:t>\left[</w:t>
      </w:r>
      <w:r>
        <w:br/>
        <w:t>d_Q(Q_F(g(z)),Q_F(z))</w:t>
      </w:r>
      <w:r>
        <w:br/>
        <w:t>\leq</w:t>
      </w:r>
      <w:r>
        <w:br/>
        <w:t>\varepsilon_{\mathrm{inv}}</w:t>
      </w:r>
      <w:r>
        <w:br/>
        <w:t>\Longleftrightarrow</w:t>
      </w:r>
      <w:r>
        <w:br/>
        <w:t>Q_F(g(z))</w:t>
      </w:r>
    </w:p>
    <w:p w:rsidR="003E2D8E" w:rsidRDefault="003E2D8E" w:rsidP="003E2D8E">
      <w:pPr>
        <w:pStyle w:val="StandardWeb"/>
      </w:pPr>
      <w:r>
        <w:t>Q_F(z)</w:t>
      </w:r>
      <w:r>
        <w:br/>
        <w:t>\right].</w:t>
      </w:r>
      <w:r>
        <w:br/>
        <w:t>}</w:t>
      </w:r>
      <w:r>
        <w:br/>
        <w:t>\tag{3.12080}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\boxed{\varepsilon_{\mathrm{inv}}=0\Rightarrow\left[d_Q(Q_F(g(z)),Q_F(z))\leq\varepsilon_{\mathrm{inv}}\Longleftrightarrow Q_F(g(z))=Q_F(z)\right].}</w:t>
      </w:r>
    </w:p>
    <w:p w:rsidR="003E2D8E" w:rsidRDefault="00E50336" w:rsidP="003E2D8E">
      <w:r>
        <w:pict>
          <v:rect id="_x0000_i4246" style="width:0;height:1.5pt" o:hralign="center" o:hrstd="t" o:hr="t" fillcolor="#a0a0a0" stroked="f"/>
        </w:pict>
      </w:r>
    </w:p>
    <w:p w:rsidR="003E2D8E" w:rsidRDefault="003E2D8E" w:rsidP="003E2D8E">
      <w:pPr>
        <w:pStyle w:val="berschrift1"/>
      </w:pPr>
      <w:r>
        <w:t>3.3.48.74 Invarianzresiduum</w:t>
      </w:r>
    </w:p>
    <w:p w:rsidR="003E2D8E" w:rsidRDefault="003E2D8E" w:rsidP="003E2D8E">
      <w:pPr>
        <w:pStyle w:val="StandardWeb"/>
      </w:pPr>
      <w:r>
        <w:t>Analog zum Bilanzresiduum kann ein Invarianzresiduum definiert werden.</w:t>
      </w:r>
    </w:p>
    <w:p w:rsidR="003E2D8E" w:rsidRDefault="003E2D8E" w:rsidP="003E2D8E">
      <w:pPr>
        <w:pStyle w:val="StandardWeb"/>
      </w:pPr>
      <w:r>
        <w:t>Für reell- oder vektorwertige (Q_F) setze ich</w:t>
      </w:r>
    </w:p>
    <w:p w:rsidR="003E2D8E" w:rsidRDefault="003E2D8E" w:rsidP="003E2D8E">
      <w:pPr>
        <w:pStyle w:val="berschrift2"/>
      </w:pPr>
      <w:r>
        <w:lastRenderedPageBreak/>
        <w:t>[</w:t>
      </w:r>
      <w:r>
        <w:br/>
        <w:t>R_{\mathrm{inv}}</w:t>
      </w:r>
      <w:r>
        <w:br/>
        <w:t>(g,z)</w:t>
      </w:r>
      <w:r>
        <w:br/>
        <w:t>:=</w:t>
      </w:r>
      <w:r>
        <w:br/>
        <w:t>Q_F(g(z))</w:t>
      </w:r>
    </w:p>
    <w:p w:rsidR="003E2D8E" w:rsidRDefault="003E2D8E" w:rsidP="003E2D8E">
      <w:pPr>
        <w:pStyle w:val="StandardWeb"/>
      </w:pPr>
      <w:r>
        <w:t>Q_F(z).</w:t>
      </w:r>
      <w:r>
        <w:br/>
        <w:t>\tag{3.12081}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R_{\mathrm{inv}}(g,z):=Q_F(g(z))-Q_F(z)</w:t>
      </w:r>
    </w:p>
    <w:p w:rsidR="003E2D8E" w:rsidRDefault="00E50336" w:rsidP="003E2D8E">
      <w:r>
        <w:pict>
          <v:rect id="_x0000_i4247" style="width:0;height:1.5pt" o:hralign="center" o:hrstd="t" o:hr="t" fillcolor="#a0a0a0" stroked="f"/>
        </w:pict>
      </w:r>
    </w:p>
    <w:p w:rsidR="003E2D8E" w:rsidRDefault="003E2D8E" w:rsidP="003E2D8E">
      <w:pPr>
        <w:pStyle w:val="berschrift1"/>
      </w:pPr>
      <w:r>
        <w:t>3.3.48.75 Definition 3.3.318 – Funktionales Invarianzresiduum</w:t>
      </w:r>
    </w:p>
    <w:p w:rsidR="003E2D8E" w:rsidRDefault="003E2D8E" w:rsidP="003E2D8E">
      <w:pPr>
        <w:pStyle w:val="berschrift3"/>
      </w:pPr>
      <w:r>
        <w:t>Definition 3.3.318</w:t>
      </w:r>
    </w:p>
    <w:p w:rsidR="003E2D8E" w:rsidRDefault="003E2D8E" w:rsidP="003E2D8E">
      <w:pPr>
        <w:pStyle w:val="StandardWeb"/>
      </w:pPr>
      <w:r>
        <w:t xml:space="preserve">Das </w:t>
      </w:r>
      <w:r>
        <w:rPr>
          <w:rStyle w:val="Fett"/>
        </w:rPr>
        <w:t>funktionale Invarianzresiduum</w:t>
      </w:r>
      <w:r>
        <w:t xml:space="preserve"> ist</w:t>
      </w:r>
    </w:p>
    <w:p w:rsidR="003E2D8E" w:rsidRDefault="003E2D8E" w:rsidP="003E2D8E">
      <w:pPr>
        <w:pStyle w:val="berschrift2"/>
      </w:pPr>
      <w:r>
        <w:t>[</w:t>
      </w:r>
      <w:r>
        <w:br/>
        <w:t>\boxed{</w:t>
      </w:r>
      <w:r>
        <w:br/>
        <w:t>R_{\mathrm{inv}}</w:t>
      </w:r>
      <w:r>
        <w:br/>
        <w:t>(g,z)</w:t>
      </w:r>
      <w:r>
        <w:br/>
        <w:t>:=</w:t>
      </w:r>
      <w:r>
        <w:br/>
        <w:t>Q_F(g(z))</w:t>
      </w:r>
    </w:p>
    <w:p w:rsidR="003E2D8E" w:rsidRDefault="003E2D8E" w:rsidP="003E2D8E">
      <w:pPr>
        <w:pStyle w:val="StandardWeb"/>
      </w:pPr>
      <w:r>
        <w:t>Q_F(z).</w:t>
      </w:r>
      <w:r>
        <w:br/>
        <w:t>}</w:t>
      </w:r>
      <w:r>
        <w:br/>
        <w:t>\tag{3.12082}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\boxed{R_{\mathrm{inv}}(g,z):=Q_F(g(z))-Q_F(z).}</w:t>
      </w:r>
    </w:p>
    <w:p w:rsidR="003E2D8E" w:rsidRDefault="00E50336" w:rsidP="003E2D8E">
      <w:r>
        <w:pict>
          <v:rect id="_x0000_i4248" style="width:0;height:1.5pt" o:hralign="center" o:hrstd="t" o:hr="t" fillcolor="#a0a0a0" stroked="f"/>
        </w:pict>
      </w:r>
    </w:p>
    <w:p w:rsidR="003E2D8E" w:rsidRDefault="003E2D8E" w:rsidP="003E2D8E">
      <w:pPr>
        <w:pStyle w:val="berschrift1"/>
      </w:pPr>
      <w:r>
        <w:t>3.3.48.76 Exakte Invarianz über Residuum</w:t>
      </w:r>
    </w:p>
    <w:p w:rsidR="003E2D8E" w:rsidRDefault="003E2D8E" w:rsidP="003E2D8E">
      <w:pPr>
        <w:pStyle w:val="StandardWeb"/>
      </w:pPr>
      <w:r>
        <w:t>Damit gilt</w:t>
      </w:r>
    </w:p>
    <w:p w:rsidR="003E2D8E" w:rsidRDefault="003E2D8E" w:rsidP="003E2D8E">
      <w:pPr>
        <w:pStyle w:val="berschrift1"/>
      </w:pPr>
      <w:r>
        <w:lastRenderedPageBreak/>
        <w:t>[</w:t>
      </w:r>
      <w:r>
        <w:br/>
        <w:t>Q_F(g(z))</w:t>
      </w:r>
    </w:p>
    <w:p w:rsidR="003E2D8E" w:rsidRDefault="003E2D8E" w:rsidP="003E2D8E">
      <w:pPr>
        <w:pStyle w:val="berschrift1"/>
      </w:pPr>
      <w:r>
        <w:t>Q_F(z)</w:t>
      </w:r>
      <w:r>
        <w:br/>
        <w:t>\Longleftrightarrow</w:t>
      </w:r>
      <w:r>
        <w:br/>
        <w:t>R_{\mathrm{inv}}(g,z)</w:t>
      </w:r>
    </w:p>
    <w:p w:rsidR="003E2D8E" w:rsidRDefault="003E2D8E" w:rsidP="00152216">
      <w:pPr>
        <w:numPr>
          <w:ilvl w:val="0"/>
          <w:numId w:val="535"/>
        </w:numPr>
        <w:spacing w:before="100" w:beforeAutospacing="1" w:after="100" w:afterAutospacing="1"/>
      </w:pPr>
    </w:p>
    <w:p w:rsidR="003E2D8E" w:rsidRDefault="003E2D8E" w:rsidP="003E2D8E">
      <w:pPr>
        <w:pStyle w:val="StandardWeb"/>
      </w:pPr>
      <w:r>
        <w:t>\tag{3.12083}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Q_F(g(z))=Q_F(z)\Longleftrightarrow R_{\mathrm{inv}}(g,z)=0</w:t>
      </w:r>
    </w:p>
    <w:p w:rsidR="003E2D8E" w:rsidRDefault="00E50336" w:rsidP="003E2D8E">
      <w:r>
        <w:pict>
          <v:rect id="_x0000_i4249" style="width:0;height:1.5pt" o:hralign="center" o:hrstd="t" o:hr="t" fillcolor="#a0a0a0" stroked="f"/>
        </w:pict>
      </w:r>
    </w:p>
    <w:p w:rsidR="003E2D8E" w:rsidRDefault="003E2D8E" w:rsidP="003E2D8E">
      <w:pPr>
        <w:pStyle w:val="berschrift1"/>
      </w:pPr>
      <w:r>
        <w:t>3.3.48.77 Satz 3.3.129 – Exakte Invarianz ist äquivalent zu verschwindendem Invarianzresiduum</w:t>
      </w:r>
    </w:p>
    <w:p w:rsidR="003E2D8E" w:rsidRDefault="003E2D8E" w:rsidP="003E2D8E">
      <w:pPr>
        <w:pStyle w:val="berschrift3"/>
      </w:pPr>
      <w:r>
        <w:t>Satz 3.3.129</w:t>
      </w:r>
    </w:p>
    <w:p w:rsidR="003E2D8E" w:rsidRDefault="003E2D8E" w:rsidP="003E2D8E">
      <w:pPr>
        <w:pStyle w:val="StandardWeb"/>
      </w:pPr>
      <w:r>
        <w:t>Es gilt</w:t>
      </w:r>
    </w:p>
    <w:p w:rsidR="003E2D8E" w:rsidRDefault="003E2D8E" w:rsidP="003E2D8E">
      <w:pPr>
        <w:pStyle w:val="berschrift1"/>
      </w:pPr>
      <w:r>
        <w:t>[</w:t>
      </w:r>
      <w:r>
        <w:br/>
        <w:t>\boxed{</w:t>
      </w:r>
      <w:r>
        <w:br/>
        <w:t>Q_F(g(z))</w:t>
      </w:r>
    </w:p>
    <w:p w:rsidR="003E2D8E" w:rsidRDefault="003E2D8E" w:rsidP="003E2D8E">
      <w:pPr>
        <w:pStyle w:val="berschrift1"/>
      </w:pPr>
      <w:r>
        <w:t>Q_F(z)</w:t>
      </w:r>
      <w:r>
        <w:br/>
        <w:t>\Longleftrightarrow</w:t>
      </w:r>
      <w:r>
        <w:br/>
        <w:t>R_{\mathrm{inv}}(g,z)</w:t>
      </w:r>
    </w:p>
    <w:p w:rsidR="003E2D8E" w:rsidRDefault="003E2D8E" w:rsidP="00152216">
      <w:pPr>
        <w:numPr>
          <w:ilvl w:val="0"/>
          <w:numId w:val="536"/>
        </w:numPr>
        <w:spacing w:before="100" w:beforeAutospacing="1" w:after="100" w:afterAutospacing="1"/>
      </w:pPr>
    </w:p>
    <w:p w:rsidR="003E2D8E" w:rsidRDefault="003E2D8E" w:rsidP="003E2D8E">
      <w:pPr>
        <w:pStyle w:val="StandardWeb"/>
      </w:pPr>
      <w:r>
        <w:t>}</w:t>
      </w:r>
      <w:r>
        <w:br/>
        <w:t>\tag{3.12084}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\boxed{Q_F(g(z))=Q_F(z)\Longleftrightarrow R_{\mathrm{inv}}(g,z)=0.}</w:t>
      </w:r>
    </w:p>
    <w:p w:rsidR="003E2D8E" w:rsidRDefault="003E2D8E" w:rsidP="003E2D8E">
      <w:pPr>
        <w:pStyle w:val="berschrift3"/>
      </w:pPr>
      <w:r>
        <w:t>Beweis</w:t>
      </w:r>
    </w:p>
    <w:p w:rsidR="003E2D8E" w:rsidRDefault="003E2D8E" w:rsidP="003E2D8E">
      <w:pPr>
        <w:pStyle w:val="StandardWeb"/>
      </w:pPr>
      <w:r>
        <w:lastRenderedPageBreak/>
        <w:t>Nach Definition</w:t>
      </w:r>
    </w:p>
    <w:p w:rsidR="003E2D8E" w:rsidRDefault="003E2D8E" w:rsidP="003E2D8E">
      <w:pPr>
        <w:pStyle w:val="berschrift1"/>
      </w:pPr>
      <w:r>
        <w:t>[</w:t>
      </w:r>
      <w:r>
        <w:br/>
        <w:t>R_{\mathrm{inv}}(g,z)</w:t>
      </w:r>
    </w:p>
    <w:p w:rsidR="003E2D8E" w:rsidRDefault="003E2D8E" w:rsidP="003E2D8E">
      <w:pPr>
        <w:pStyle w:val="berschrift2"/>
      </w:pPr>
      <w:r>
        <w:t>Q_F(g(z))</w:t>
      </w:r>
    </w:p>
    <w:p w:rsidR="003E2D8E" w:rsidRDefault="003E2D8E" w:rsidP="003E2D8E">
      <w:pPr>
        <w:pStyle w:val="StandardWeb"/>
      </w:pPr>
      <w:r>
        <w:t>Q_F(z).</w:t>
      </w:r>
      <w:r>
        <w:br/>
        <w:t>\tag{3.12085}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R_{\mathrm{inv}}(g,z)=Q_F(g(z))-Q_F(z)</w:t>
      </w:r>
    </w:p>
    <w:p w:rsidR="003E2D8E" w:rsidRDefault="003E2D8E" w:rsidP="003E2D8E">
      <w:pPr>
        <w:pStyle w:val="StandardWeb"/>
      </w:pPr>
      <w:r>
        <w:t>Der Ausdruck verschwindet genau dann, wenn beide Werte gleich sind. (\square)</w:t>
      </w:r>
    </w:p>
    <w:p w:rsidR="003E2D8E" w:rsidRDefault="00E50336" w:rsidP="003E2D8E">
      <w:r>
        <w:pict>
          <v:rect id="_x0000_i4250" style="width:0;height:1.5pt" o:hralign="center" o:hrstd="t" o:hr="t" fillcolor="#a0a0a0" stroked="f"/>
        </w:pict>
      </w:r>
    </w:p>
    <w:p w:rsidR="003E2D8E" w:rsidRDefault="003E2D8E" w:rsidP="003E2D8E">
      <w:pPr>
        <w:pStyle w:val="berschrift1"/>
      </w:pPr>
      <w:r>
        <w:t>3.3.48.78 Normiertes Invarianzresiduum</w:t>
      </w:r>
    </w:p>
    <w:p w:rsidR="003E2D8E" w:rsidRDefault="003E2D8E" w:rsidP="003E2D8E">
      <w:pPr>
        <w:pStyle w:val="StandardWeb"/>
      </w:pPr>
      <w:r>
        <w:t>Für eine positive Referenzgröße (Q_{\mathrm{ref}}&gt;0) kann definiert werden</w:t>
      </w:r>
    </w:p>
    <w:p w:rsidR="003E2D8E" w:rsidRDefault="003E2D8E" w:rsidP="003E2D8E">
      <w:pPr>
        <w:pStyle w:val="StandardWeb"/>
      </w:pPr>
      <w:r>
        <w:t>[</w:t>
      </w:r>
      <w:r>
        <w:br/>
        <w:t>R_{\mathrm{inv}}^{\mathrm{rel}}</w:t>
      </w:r>
      <w:r>
        <w:br/>
        <w:t>:=</w:t>
      </w:r>
      <w:r>
        <w:br/>
        <w:t>\frac{</w:t>
      </w:r>
      <w:r>
        <w:br/>
        <w:t>\left|</w:t>
      </w:r>
      <w:r>
        <w:br/>
        <w:t>R_{\mathrm{inv}}</w:t>
      </w:r>
      <w:r>
        <w:br/>
        <w:t>\right|</w:t>
      </w:r>
      <w:r>
        <w:br/>
        <w:t>}</w:t>
      </w:r>
      <w:r>
        <w:br/>
        <w:t>{Q_{\mathrm{ref}}}.</w:t>
      </w:r>
      <w:r>
        <w:br/>
        <w:t>\tag{3.12086}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R_{\mathrm{inv}}^{\mathrm{rel}}:=\frac{\left\|R_{\mathrm{inv}}\right\|}{Q_{\mathrm{ref}}}</w:t>
      </w:r>
    </w:p>
    <w:p w:rsidR="003E2D8E" w:rsidRDefault="00E50336" w:rsidP="003E2D8E">
      <w:r>
        <w:pict>
          <v:rect id="_x0000_i4251" style="width:0;height:1.5pt" o:hralign="center" o:hrstd="t" o:hr="t" fillcolor="#a0a0a0" stroked="f"/>
        </w:pict>
      </w:r>
    </w:p>
    <w:p w:rsidR="003E2D8E" w:rsidRDefault="003E2D8E" w:rsidP="003E2D8E">
      <w:pPr>
        <w:pStyle w:val="berschrift1"/>
      </w:pPr>
      <w:r>
        <w:t>3.3.48.79 Definition 3.3.319 – Relatives funktionales Invarianzresiduum</w:t>
      </w:r>
    </w:p>
    <w:p w:rsidR="003E2D8E" w:rsidRDefault="003E2D8E" w:rsidP="003E2D8E">
      <w:pPr>
        <w:pStyle w:val="berschrift3"/>
      </w:pPr>
      <w:r>
        <w:t>Definition 3.3.319</w:t>
      </w:r>
    </w:p>
    <w:p w:rsidR="003E2D8E" w:rsidRDefault="003E2D8E" w:rsidP="003E2D8E">
      <w:pPr>
        <w:pStyle w:val="StandardWeb"/>
      </w:pPr>
      <w:r>
        <w:t xml:space="preserve">Das </w:t>
      </w:r>
      <w:r>
        <w:rPr>
          <w:rStyle w:val="Fett"/>
        </w:rPr>
        <w:t>relative funktionale Invarianzresiduum</w:t>
      </w:r>
      <w:r>
        <w:t xml:space="preserve"> ist</w:t>
      </w:r>
    </w:p>
    <w:p w:rsidR="003E2D8E" w:rsidRDefault="003E2D8E" w:rsidP="003E2D8E">
      <w:pPr>
        <w:pStyle w:val="StandardWeb"/>
      </w:pPr>
      <w:r>
        <w:lastRenderedPageBreak/>
        <w:t>[</w:t>
      </w:r>
      <w:r>
        <w:br/>
        <w:t>\boxed{</w:t>
      </w:r>
      <w:r>
        <w:br/>
        <w:t>R_{\mathrm{inv}}^{\mathrm{rel}}</w:t>
      </w:r>
      <w:r>
        <w:br/>
        <w:t>:=</w:t>
      </w:r>
      <w:r>
        <w:br/>
        <w:t>\frac{</w:t>
      </w:r>
      <w:r>
        <w:br/>
        <w:t>\left|</w:t>
      </w:r>
      <w:r>
        <w:br/>
        <w:t>R_{\mathrm{inv}}</w:t>
      </w:r>
      <w:r>
        <w:br/>
        <w:t>\right|</w:t>
      </w:r>
      <w:r>
        <w:br/>
        <w:t>}</w:t>
      </w:r>
      <w:r>
        <w:br/>
        <w:t>{Q_{\mathrm{ref}}},</w:t>
      </w:r>
      <w:r>
        <w:br/>
        <w:t>\qquad</w:t>
      </w:r>
      <w:r>
        <w:br/>
        <w:t>Q_{\mathrm{ref}}&gt;0.</w:t>
      </w:r>
      <w:r>
        <w:br/>
        <w:t>}</w:t>
      </w:r>
      <w:r>
        <w:br/>
        <w:t>\tag{3.12087}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\boxed{R_{\mathrm{inv}}^{\mathrm{rel}}:=\frac{\left\|R_{\mathrm{inv}}\right\|}{Q_{\mathrm{ref}}},\qquad Q_{\mathrm{ref}}&gt;0.}</w:t>
      </w:r>
    </w:p>
    <w:p w:rsidR="003E2D8E" w:rsidRDefault="00E50336" w:rsidP="003E2D8E">
      <w:r>
        <w:pict>
          <v:rect id="_x0000_i4252" style="width:0;height:1.5pt" o:hralign="center" o:hrstd="t" o:hr="t" fillcolor="#a0a0a0" stroked="f"/>
        </w:pict>
      </w:r>
    </w:p>
    <w:p w:rsidR="003E2D8E" w:rsidRDefault="003E2D8E" w:rsidP="003E2D8E">
      <w:pPr>
        <w:pStyle w:val="berschrift1"/>
      </w:pPr>
      <w:r>
        <w:t>3.3.48.80 Primäraxiomkandidat der Transformationsinvarianz</w:t>
      </w:r>
    </w:p>
    <w:p w:rsidR="003E2D8E" w:rsidRDefault="003E2D8E" w:rsidP="003E2D8E">
      <w:pPr>
        <w:pStyle w:val="StandardWeb"/>
      </w:pPr>
      <w:r>
        <w:t>Nachdem funktionale Invarianz definiert ist, kann ein Primäraxiomkandidat formuliert werden:</w:t>
      </w:r>
    </w:p>
    <w:p w:rsidR="003E2D8E" w:rsidRDefault="003E2D8E" w:rsidP="003E2D8E">
      <w:pPr>
        <w:pStyle w:val="berschrift1"/>
      </w:pPr>
      <w:r>
        <w:t>[</w:t>
      </w:r>
      <w:r>
        <w:br/>
        <w:t>A_{\mathrm{inv}}:</w:t>
      </w:r>
      <w:r>
        <w:br/>
        <w:t>\exists</w:t>
      </w:r>
      <w:r>
        <w:br/>
        <w:t>g\neq</w:t>
      </w:r>
      <w:r>
        <w:br/>
        <w:t>\operatorname{id}</w:t>
      </w:r>
      <w:r>
        <w:br/>
        <w:t>:</w:t>
      </w:r>
      <w:r>
        <w:br/>
        <w:t>g(\mathfrak S_F)</w:t>
      </w:r>
    </w:p>
    <w:p w:rsidR="003E2D8E" w:rsidRDefault="003E2D8E" w:rsidP="003E2D8E">
      <w:pPr>
        <w:pStyle w:val="StandardWeb"/>
      </w:pPr>
      <w:r>
        <w:t>\mathfrak S_F.</w:t>
      </w:r>
      <w:r>
        <w:br/>
        <w:t>\tag{3.12088}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A_{\mathrm{inv}}:\exists g\neq\operatorname{id}:g(\mathfrak S_F)=\mathfrak S_F</w:t>
      </w:r>
    </w:p>
    <w:p w:rsidR="003E2D8E" w:rsidRDefault="003E2D8E" w:rsidP="003E2D8E">
      <w:pPr>
        <w:pStyle w:val="StandardWeb"/>
      </w:pPr>
      <w:r>
        <w:lastRenderedPageBreak/>
        <w:t>Dieser Kandidat würde verlangen, dass jede zulässige FRZK-Struktur mindestens eine nichttriviale Symmetrie besitzt.</w:t>
      </w:r>
    </w:p>
    <w:p w:rsidR="003E2D8E" w:rsidRDefault="00E50336" w:rsidP="003E2D8E">
      <w:r>
        <w:pict>
          <v:rect id="_x0000_i4253" style="width:0;height:1.5pt" o:hralign="center" o:hrstd="t" o:hr="t" fillcolor="#a0a0a0" stroked="f"/>
        </w:pict>
      </w:r>
    </w:p>
    <w:p w:rsidR="003E2D8E" w:rsidRDefault="003E2D8E" w:rsidP="003E2D8E">
      <w:pPr>
        <w:pStyle w:val="berschrift1"/>
      </w:pPr>
      <w:r>
        <w:t>3.3.48.81 Gegenmodell zum Invarianzaxiom</w:t>
      </w:r>
    </w:p>
    <w:p w:rsidR="003E2D8E" w:rsidRDefault="003E2D8E" w:rsidP="003E2D8E">
      <w:pPr>
        <w:pStyle w:val="StandardWeb"/>
      </w:pPr>
      <w:r>
        <w:t>Eine funktionale Struktur kann jedoch asymmetrisch sein.</w:t>
      </w:r>
    </w:p>
    <w:p w:rsidR="003E2D8E" w:rsidRDefault="003E2D8E" w:rsidP="003E2D8E">
      <w:pPr>
        <w:pStyle w:val="StandardWeb"/>
      </w:pPr>
      <w:r>
        <w:t>Es ist insbesondere möglich, dass</w:t>
      </w:r>
    </w:p>
    <w:p w:rsidR="003E2D8E" w:rsidRDefault="003E2D8E" w:rsidP="003E2D8E">
      <w:pPr>
        <w:pStyle w:val="berschrift1"/>
      </w:pPr>
      <w:r>
        <w:t>[</w:t>
      </w:r>
      <w:r>
        <w:br/>
        <w:t>\operatorname{Sym}</w:t>
      </w:r>
      <w:r>
        <w:br/>
        <w:t>(\mathfrak S_F)</w:t>
      </w:r>
    </w:p>
    <w:p w:rsidR="003E2D8E" w:rsidRDefault="003E2D8E" w:rsidP="003E2D8E">
      <w:pPr>
        <w:pStyle w:val="StandardWeb"/>
      </w:pPr>
      <w:r>
        <w:t>{</w:t>
      </w:r>
      <w:r>
        <w:br/>
        <w:t>\operatorname{id}_{\Omega_F}</w:t>
      </w:r>
      <w:r>
        <w:br/>
        <w:t>}.</w:t>
      </w:r>
      <w:r>
        <w:br/>
        <w:t>\tag{3.12089}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\operatorname{Sym}(\mathfrak S_F)=\{\operatorname{id}_{\Omega_F}\}</w:t>
      </w:r>
    </w:p>
    <w:p w:rsidR="003E2D8E" w:rsidRDefault="003E2D8E" w:rsidP="003E2D8E">
      <w:pPr>
        <w:pStyle w:val="StandardWeb"/>
      </w:pPr>
      <w:r>
        <w:t>Eine solche Struktur ist vollständig wohldefiniert.</w:t>
      </w:r>
    </w:p>
    <w:p w:rsidR="003E2D8E" w:rsidRDefault="00E50336" w:rsidP="003E2D8E">
      <w:r>
        <w:pict>
          <v:rect id="_x0000_i4254" style="width:0;height:1.5pt" o:hralign="center" o:hrstd="t" o:hr="t" fillcolor="#a0a0a0" stroked="f"/>
        </w:pict>
      </w:r>
    </w:p>
    <w:p w:rsidR="003E2D8E" w:rsidRDefault="003E2D8E" w:rsidP="003E2D8E">
      <w:pPr>
        <w:pStyle w:val="berschrift1"/>
      </w:pPr>
      <w:r>
        <w:t>3.3.48.82 Vorläufige Axiomentscheidung</w:t>
      </w:r>
    </w:p>
    <w:p w:rsidR="003E2D8E" w:rsidRDefault="003E2D8E" w:rsidP="003E2D8E">
      <w:pPr>
        <w:pStyle w:val="StandardWeb"/>
      </w:pPr>
      <w:r>
        <w:t xml:space="preserve">Damit ist die Existenz einer </w:t>
      </w:r>
      <w:r>
        <w:rPr>
          <w:rStyle w:val="Fett"/>
        </w:rPr>
        <w:t>nichttrivialen</w:t>
      </w:r>
      <w:r>
        <w:t xml:space="preserve"> Symmetrie nicht universal notwendig.</w:t>
      </w:r>
    </w:p>
    <w:p w:rsidR="003E2D8E" w:rsidRDefault="003E2D8E" w:rsidP="003E2D8E">
      <w:pPr>
        <w:pStyle w:val="StandardWeb"/>
      </w:pPr>
      <w:r>
        <w:t>Es gilt</w:t>
      </w:r>
    </w:p>
    <w:p w:rsidR="003E2D8E" w:rsidRDefault="003E2D8E" w:rsidP="003E2D8E">
      <w:pPr>
        <w:pStyle w:val="berschrift1"/>
      </w:pPr>
      <w:r>
        <w:t>[</w:t>
      </w:r>
      <w:r>
        <w:br/>
        <w:t>\boxed{</w:t>
      </w:r>
      <w:r>
        <w:br/>
        <w:t>U_{\mathrm{Ax}}</w:t>
      </w:r>
      <w:r>
        <w:br/>
        <w:t>(A_{\mathrm{inv}})</w:t>
      </w:r>
    </w:p>
    <w:p w:rsidR="003E2D8E" w:rsidRDefault="003E2D8E" w:rsidP="00152216">
      <w:pPr>
        <w:numPr>
          <w:ilvl w:val="0"/>
          <w:numId w:val="537"/>
        </w:numPr>
        <w:spacing w:before="100" w:beforeAutospacing="1" w:after="100" w:afterAutospacing="1"/>
      </w:pPr>
    </w:p>
    <w:p w:rsidR="003E2D8E" w:rsidRDefault="003E2D8E" w:rsidP="003E2D8E">
      <w:pPr>
        <w:pStyle w:val="StandardWeb"/>
      </w:pPr>
      <w:r>
        <w:t>}</w:t>
      </w:r>
      <w:r>
        <w:br/>
        <w:t>\tag{3.12090}</w:t>
      </w:r>
      <w:r>
        <w:br/>
        <w:t>]</w:t>
      </w:r>
    </w:p>
    <w:p w:rsidR="003E2D8E" w:rsidRDefault="003E2D8E" w:rsidP="003E2D8E">
      <w:pPr>
        <w:pStyle w:val="StandardWeb"/>
      </w:pPr>
      <w:r>
        <w:rPr>
          <w:rStyle w:val="Fett"/>
        </w:rPr>
        <w:lastRenderedPageBreak/>
        <w:t>Word-LaTeX</w:t>
      </w:r>
    </w:p>
    <w:p w:rsidR="003E2D8E" w:rsidRDefault="003E2D8E" w:rsidP="003E2D8E">
      <w:pPr>
        <w:pStyle w:val="HTMLVorformatiert"/>
        <w:rPr>
          <w:rStyle w:val="HTMLCode"/>
        </w:rPr>
      </w:pPr>
      <w:r>
        <w:rPr>
          <w:rStyle w:val="HTMLCode"/>
        </w:rPr>
        <w:t>\boxed{U_{\mathrm{Ax}}(A_{\mathrm{inv}})=0.}</w:t>
      </w:r>
    </w:p>
    <w:p w:rsidR="003E2D8E" w:rsidRDefault="00E50336" w:rsidP="003E2D8E">
      <w:r>
        <w:pict>
          <v:rect id="_x0000_i4255" style="width:0;height:1.5pt" o:hralign="center" o:hrstd="t" o:hr="t" fillcolor="#a0a0a0" stroked="f"/>
        </w:pict>
      </w:r>
    </w:p>
    <w:p w:rsidR="003E2D8E" w:rsidRDefault="003E2D8E" w:rsidP="003E2D8E">
      <w:pPr>
        <w:pStyle w:val="berschrift1"/>
      </w:pPr>
      <w:r>
        <w:t>3.3.48.83 Satz 3.3.130 – Nichttriviale funktionale Symmetrie ist kein Primäraxiom</w:t>
      </w:r>
    </w:p>
    <w:p w:rsidR="003E2D8E" w:rsidRDefault="003E2D8E" w:rsidP="003E2D8E">
      <w:pPr>
        <w:pStyle w:val="berschrift3"/>
      </w:pPr>
      <w:r>
        <w:t>Satz 3.3.130</w:t>
      </w:r>
    </w:p>
    <w:p w:rsidR="003E2D8E" w:rsidRDefault="003E2D8E" w:rsidP="003E2D8E">
      <w:pPr>
        <w:pStyle w:val="StandardWeb"/>
      </w:pPr>
      <w:r>
        <w:t>Die Forderung, jede funktionale FRZK-Struktur müsse mindestens eine nichttriviale Symmetrie besitzen, ist keine universell notwendige Voraussetzung des FRZK.</w:t>
      </w:r>
    </w:p>
    <w:p w:rsidR="003E2D8E" w:rsidRDefault="003E2D8E" w:rsidP="003E2D8E">
      <w:pPr>
        <w:pStyle w:val="StandardWeb"/>
      </w:pPr>
      <w:r>
        <w:t>Daher gilt</w:t>
      </w:r>
    </w:p>
    <w:p w:rsidR="003E2D8E" w:rsidRDefault="003E2D8E" w:rsidP="003E2D8E">
      <w:pPr>
        <w:pStyle w:val="berschrift1"/>
      </w:pPr>
      <w:r>
        <w:t>[</w:t>
      </w:r>
      <w:r>
        <w:br/>
        <w:t>\boxed{</w:t>
      </w:r>
      <w:r>
        <w:br/>
        <w:t>U_{\mathrm{Ax}}</w:t>
      </w:r>
      <w:r>
        <w:br/>
        <w:t>(A_{\mathrm{inv}})</w:t>
      </w:r>
    </w:p>
    <w:p w:rsidR="003E2D8E" w:rsidRDefault="003E2D8E" w:rsidP="00152216">
      <w:pPr>
        <w:numPr>
          <w:ilvl w:val="0"/>
          <w:numId w:val="538"/>
        </w:numPr>
        <w:spacing w:before="100" w:beforeAutospacing="1" w:after="100" w:afterAutospacing="1"/>
      </w:pPr>
    </w:p>
    <w:p w:rsidR="003E2D8E" w:rsidRDefault="003E2D8E" w:rsidP="003E2D8E">
      <w:pPr>
        <w:pStyle w:val="StandardWeb"/>
      </w:pPr>
      <w:r>
        <w:t>}</w:t>
      </w:r>
      <w:r>
        <w:br/>
        <w:t>\tag{3.12091}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\boxed{U_{\mathrm{Ax}}(A_{\mathrm{inv}})=0.}</w:t>
      </w:r>
    </w:p>
    <w:p w:rsidR="003E2D8E" w:rsidRDefault="003E2D8E" w:rsidP="003E2D8E">
      <w:pPr>
        <w:pStyle w:val="berschrift3"/>
      </w:pPr>
      <w:r>
        <w:t>Beweis</w:t>
      </w:r>
    </w:p>
    <w:p w:rsidR="003E2D8E" w:rsidRDefault="003E2D8E" w:rsidP="003E2D8E">
      <w:pPr>
        <w:pStyle w:val="StandardWeb"/>
      </w:pPr>
      <w:r>
        <w:t>Eine Struktur mit</w:t>
      </w:r>
    </w:p>
    <w:p w:rsidR="003E2D8E" w:rsidRDefault="003E2D8E" w:rsidP="003E2D8E">
      <w:pPr>
        <w:pStyle w:val="berschrift1"/>
      </w:pPr>
      <w:r>
        <w:t>[</w:t>
      </w:r>
      <w:r>
        <w:br/>
        <w:t>\operatorname{Sym}</w:t>
      </w:r>
      <w:r>
        <w:br/>
        <w:t>(\mathfrak S_F)</w:t>
      </w:r>
    </w:p>
    <w:p w:rsidR="003E2D8E" w:rsidRDefault="003E2D8E" w:rsidP="003E2D8E">
      <w:pPr>
        <w:pStyle w:val="StandardWeb"/>
      </w:pPr>
      <w:r>
        <w:t>{</w:t>
      </w:r>
      <w:r>
        <w:br/>
        <w:t>\operatorname{id}_{\Omega_F}</w:t>
      </w:r>
      <w:r>
        <w:br/>
        <w:t>}</w:t>
      </w:r>
      <w:r>
        <w:br/>
        <w:t>\tag{3.12092}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lastRenderedPageBreak/>
        <w:t>\operatorname{Sym}(\mathfrak S_F)=\{\operatorname{id}_{\Omega_F}\}</w:t>
      </w:r>
    </w:p>
    <w:p w:rsidR="003E2D8E" w:rsidRDefault="003E2D8E" w:rsidP="003E2D8E">
      <w:pPr>
        <w:pStyle w:val="StandardWeb"/>
      </w:pPr>
      <w:r>
        <w:t>ist mathematisch konsistent. Da ein gültiges FRZK-Modell keine weitere Symmetrie besitzen muss, ist nichttriviale Symmetrie nicht universal notwendig. (\square)</w:t>
      </w:r>
    </w:p>
    <w:p w:rsidR="003E2D8E" w:rsidRDefault="00E50336" w:rsidP="003E2D8E">
      <w:r>
        <w:pict>
          <v:rect id="_x0000_i4256" style="width:0;height:1.5pt" o:hralign="center" o:hrstd="t" o:hr="t" fillcolor="#a0a0a0" stroked="f"/>
        </w:pict>
      </w:r>
    </w:p>
    <w:p w:rsidR="003E2D8E" w:rsidRDefault="003E2D8E" w:rsidP="003E2D8E">
      <w:pPr>
        <w:pStyle w:val="berschrift1"/>
      </w:pPr>
      <w:r>
        <w:t>3.3.48.84 Primäraxiomkandidat der Gruppenstruktur</w:t>
      </w:r>
    </w:p>
    <w:p w:rsidR="003E2D8E" w:rsidRDefault="003E2D8E" w:rsidP="003E2D8E">
      <w:pPr>
        <w:pStyle w:val="StandardWeb"/>
      </w:pPr>
      <w:r>
        <w:t>Ein stärkerer Kandidat wäre</w:t>
      </w:r>
    </w:p>
    <w:p w:rsidR="003E2D8E" w:rsidRDefault="003E2D8E" w:rsidP="003E2D8E">
      <w:pPr>
        <w:pStyle w:val="StandardWeb"/>
      </w:pPr>
      <w:r>
        <w:t>[</w:t>
      </w:r>
      <w:r>
        <w:br/>
        <w:t>A_G:</w:t>
      </w:r>
      <w:r>
        <w:br/>
        <w:t>\operatorname{Sym}</w:t>
      </w:r>
      <w:r>
        <w:br/>
        <w:t>(\mathfrak S_F)</w:t>
      </w:r>
      <w:r>
        <w:br/>
        <w:t>\text{ bildet eine nichttriviale Gruppe}.</w:t>
      </w:r>
      <w:r>
        <w:br/>
        <w:t>\tag{3.12093}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A_G:\operatorname{Sym}(\mathfrak S_F)\text{ bildet eine nichttriviale Gruppe}</w:t>
      </w:r>
    </w:p>
    <w:p w:rsidR="003E2D8E" w:rsidRDefault="003E2D8E" w:rsidP="003E2D8E">
      <w:pPr>
        <w:pStyle w:val="StandardWeb"/>
      </w:pPr>
      <w:r>
        <w:t>Dieser Kandidat ist bereits deshalb nicht universal, weil selbst nichttriviale Symmetrien nicht allgemein vorausgesetzt werden können.</w:t>
      </w:r>
    </w:p>
    <w:p w:rsidR="003E2D8E" w:rsidRDefault="00E50336" w:rsidP="003E2D8E">
      <w:r>
        <w:pict>
          <v:rect id="_x0000_i4257" style="width:0;height:1.5pt" o:hralign="center" o:hrstd="t" o:hr="t" fillcolor="#a0a0a0" stroked="f"/>
        </w:pict>
      </w:r>
    </w:p>
    <w:p w:rsidR="003E2D8E" w:rsidRDefault="003E2D8E" w:rsidP="003E2D8E">
      <w:pPr>
        <w:pStyle w:val="berschrift1"/>
      </w:pPr>
      <w:r>
        <w:t>3.3.48.85 Axiomentscheidung zur Gruppenstruktur</w:t>
      </w:r>
    </w:p>
    <w:p w:rsidR="003E2D8E" w:rsidRDefault="003E2D8E" w:rsidP="003E2D8E">
      <w:pPr>
        <w:pStyle w:val="StandardWeb"/>
      </w:pPr>
      <w:r>
        <w:t>Daher gilt</w:t>
      </w:r>
    </w:p>
    <w:p w:rsidR="003E2D8E" w:rsidRDefault="003E2D8E" w:rsidP="003E2D8E">
      <w:pPr>
        <w:pStyle w:val="berschrift1"/>
      </w:pPr>
      <w:r>
        <w:t>[</w:t>
      </w:r>
      <w:r>
        <w:br/>
        <w:t>\boxed{</w:t>
      </w:r>
      <w:r>
        <w:br/>
        <w:t>U_{\mathrm{Ax}}(A_G)</w:t>
      </w:r>
    </w:p>
    <w:p w:rsidR="003E2D8E" w:rsidRDefault="003E2D8E" w:rsidP="00152216">
      <w:pPr>
        <w:numPr>
          <w:ilvl w:val="0"/>
          <w:numId w:val="539"/>
        </w:numPr>
        <w:spacing w:before="100" w:beforeAutospacing="1" w:after="100" w:afterAutospacing="1"/>
      </w:pPr>
    </w:p>
    <w:p w:rsidR="003E2D8E" w:rsidRDefault="003E2D8E" w:rsidP="003E2D8E">
      <w:pPr>
        <w:pStyle w:val="StandardWeb"/>
      </w:pPr>
      <w:r>
        <w:t>}</w:t>
      </w:r>
      <w:r>
        <w:br/>
        <w:t>\tag{3.12094}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\boxed{U_{\mathrm{Ax}}(A_G)=0.}</w:t>
      </w:r>
    </w:p>
    <w:p w:rsidR="003E2D8E" w:rsidRDefault="00E50336" w:rsidP="003E2D8E">
      <w:r>
        <w:pict>
          <v:rect id="_x0000_i4258" style="width:0;height:1.5pt" o:hralign="center" o:hrstd="t" o:hr="t" fillcolor="#a0a0a0" stroked="f"/>
        </w:pict>
      </w:r>
    </w:p>
    <w:p w:rsidR="003E2D8E" w:rsidRDefault="003E2D8E" w:rsidP="003E2D8E">
      <w:pPr>
        <w:pStyle w:val="berschrift1"/>
      </w:pPr>
      <w:r>
        <w:lastRenderedPageBreak/>
        <w:t>3.3.48.86 Satz 3.3.131 – Eine nichttriviale Symmetriegruppe ist kein Primäraxiom</w:t>
      </w:r>
    </w:p>
    <w:p w:rsidR="003E2D8E" w:rsidRDefault="003E2D8E" w:rsidP="003E2D8E">
      <w:pPr>
        <w:pStyle w:val="berschrift3"/>
      </w:pPr>
      <w:r>
        <w:t>Satz 3.3.131</w:t>
      </w:r>
    </w:p>
    <w:p w:rsidR="003E2D8E" w:rsidRDefault="003E2D8E" w:rsidP="003E2D8E">
      <w:pPr>
        <w:pStyle w:val="StandardWeb"/>
      </w:pPr>
      <w:r>
        <w:t>Die Existenz einer nichttrivialen funktionalen Symmetriegruppe ist keine universell notwendige Voraussetzung eines allgemeinen FRZK-Modells.</w:t>
      </w:r>
    </w:p>
    <w:p w:rsidR="003E2D8E" w:rsidRDefault="003E2D8E" w:rsidP="003E2D8E">
      <w:pPr>
        <w:pStyle w:val="StandardWeb"/>
      </w:pPr>
      <w:r>
        <w:t>Formal gilt</w:t>
      </w:r>
    </w:p>
    <w:p w:rsidR="003E2D8E" w:rsidRDefault="003E2D8E" w:rsidP="003E2D8E">
      <w:pPr>
        <w:pStyle w:val="berschrift1"/>
      </w:pPr>
      <w:r>
        <w:t>[</w:t>
      </w:r>
      <w:r>
        <w:br/>
        <w:t>\boxed{</w:t>
      </w:r>
      <w:r>
        <w:br/>
        <w:t>U_{\mathrm{Ax}}(A_G)</w:t>
      </w:r>
    </w:p>
    <w:p w:rsidR="003E2D8E" w:rsidRDefault="003E2D8E" w:rsidP="00152216">
      <w:pPr>
        <w:numPr>
          <w:ilvl w:val="0"/>
          <w:numId w:val="540"/>
        </w:numPr>
        <w:spacing w:before="100" w:beforeAutospacing="1" w:after="100" w:afterAutospacing="1"/>
      </w:pPr>
    </w:p>
    <w:p w:rsidR="003E2D8E" w:rsidRDefault="003E2D8E" w:rsidP="003E2D8E">
      <w:pPr>
        <w:pStyle w:val="StandardWeb"/>
      </w:pPr>
      <w:r>
        <w:t>}</w:t>
      </w:r>
      <w:r>
        <w:br/>
        <w:t>\tag{3.12095}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\boxed{U_{\mathrm{Ax}}(A_G)=0.}</w:t>
      </w:r>
    </w:p>
    <w:p w:rsidR="003E2D8E" w:rsidRDefault="00E50336" w:rsidP="003E2D8E">
      <w:r>
        <w:pict>
          <v:rect id="_x0000_i4259" style="width:0;height:1.5pt" o:hralign="center" o:hrstd="t" o:hr="t" fillcolor="#a0a0a0" stroked="f"/>
        </w:pict>
      </w:r>
    </w:p>
    <w:p w:rsidR="003E2D8E" w:rsidRDefault="003E2D8E" w:rsidP="003E2D8E">
      <w:pPr>
        <w:pStyle w:val="berschrift1"/>
      </w:pPr>
      <w:r>
        <w:t>3.3.48.87 Status der funktionalen Transformation</w:t>
      </w:r>
    </w:p>
    <w:p w:rsidR="003E2D8E" w:rsidRDefault="003E2D8E" w:rsidP="003E2D8E">
      <w:pPr>
        <w:pStyle w:val="StandardWeb"/>
      </w:pPr>
      <w:r>
        <w:t>Die Transformation</w:t>
      </w:r>
    </w:p>
    <w:p w:rsidR="003E2D8E" w:rsidRDefault="003E2D8E" w:rsidP="003E2D8E">
      <w:pPr>
        <w:pStyle w:val="StandardWeb"/>
      </w:pPr>
      <w:r>
        <w:t>[</w:t>
      </w:r>
      <w:r>
        <w:br/>
        <w:t>g:</w:t>
      </w:r>
      <w:r>
        <w:br/>
        <w:t>\Omega_F</w:t>
      </w:r>
      <w:r>
        <w:br/>
        <w:t>\rightarrow</w:t>
      </w:r>
      <w:r>
        <w:br/>
        <w:t>\Omega_F</w:t>
      </w:r>
      <w:r>
        <w:br/>
        <w:t>\tag{3.12096}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g:\Omega_F\rightarrow\Omega_F</w:t>
      </w:r>
    </w:p>
    <w:p w:rsidR="003E2D8E" w:rsidRDefault="003E2D8E" w:rsidP="003E2D8E">
      <w:pPr>
        <w:pStyle w:val="StandardWeb"/>
      </w:pPr>
      <w:r>
        <w:t>ist eine definierte Modellstruktur.</w:t>
      </w:r>
    </w:p>
    <w:p w:rsidR="003E2D8E" w:rsidRDefault="003E2D8E" w:rsidP="003E2D8E">
      <w:pPr>
        <w:pStyle w:val="StandardWeb"/>
      </w:pPr>
      <w:r>
        <w:t>Daher gilt</w:t>
      </w:r>
    </w:p>
    <w:p w:rsidR="003E2D8E" w:rsidRDefault="003E2D8E" w:rsidP="003E2D8E">
      <w:pPr>
        <w:pStyle w:val="berschrift1"/>
      </w:pPr>
      <w:r>
        <w:lastRenderedPageBreak/>
        <w:t>[</w:t>
      </w:r>
      <w:r>
        <w:br/>
        <w:t>\boxed{</w:t>
      </w:r>
      <w:r>
        <w:br/>
        <w:t>\operatorname{Stat}(g)</w:t>
      </w:r>
    </w:p>
    <w:p w:rsidR="003E2D8E" w:rsidRDefault="003E2D8E" w:rsidP="003E2D8E">
      <w:pPr>
        <w:pStyle w:val="StandardWeb"/>
      </w:pPr>
      <w:r>
        <w:t>\mathrm{Def/Mod}.</w:t>
      </w:r>
      <w:r>
        <w:br/>
        <w:t>}</w:t>
      </w:r>
      <w:r>
        <w:br/>
        <w:t>\tag{3.12097}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\boxed{\operatorname{Stat}(g)=\mathrm{Def/Mod}.}</w:t>
      </w:r>
    </w:p>
    <w:p w:rsidR="003E2D8E" w:rsidRDefault="00E50336" w:rsidP="003E2D8E">
      <w:r>
        <w:pict>
          <v:rect id="_x0000_i4260" style="width:0;height:1.5pt" o:hralign="center" o:hrstd="t" o:hr="t" fillcolor="#a0a0a0" stroked="f"/>
        </w:pict>
      </w:r>
    </w:p>
    <w:p w:rsidR="003E2D8E" w:rsidRDefault="003E2D8E" w:rsidP="003E2D8E">
      <w:pPr>
        <w:pStyle w:val="berschrift1"/>
      </w:pPr>
      <w:r>
        <w:t>3.3.48.88 Status der Invarianz</w:t>
      </w:r>
    </w:p>
    <w:p w:rsidR="003E2D8E" w:rsidRDefault="003E2D8E" w:rsidP="003E2D8E">
      <w:pPr>
        <w:pStyle w:val="StandardWeb"/>
      </w:pPr>
      <w:r>
        <w:t>Die Bedingung</w:t>
      </w:r>
    </w:p>
    <w:p w:rsidR="003E2D8E" w:rsidRDefault="003E2D8E" w:rsidP="003E2D8E">
      <w:pPr>
        <w:pStyle w:val="berschrift1"/>
      </w:pPr>
      <w:r>
        <w:t>[</w:t>
      </w:r>
      <w:r>
        <w:br/>
        <w:t>Q_F(g(z))</w:t>
      </w:r>
    </w:p>
    <w:p w:rsidR="003E2D8E" w:rsidRDefault="003E2D8E" w:rsidP="003E2D8E">
      <w:pPr>
        <w:pStyle w:val="StandardWeb"/>
      </w:pPr>
      <w:r>
        <w:t>Q_F(z)</w:t>
      </w:r>
      <w:r>
        <w:br/>
        <w:t>\tag{3.12098}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Q_F(g(z))=Q_F(z)</w:t>
      </w:r>
    </w:p>
    <w:p w:rsidR="003E2D8E" w:rsidRDefault="003E2D8E" w:rsidP="003E2D8E">
      <w:pPr>
        <w:pStyle w:val="StandardWeb"/>
      </w:pPr>
      <w:r>
        <w:t>ist definitorisch und kann operational geprüft werden.</w:t>
      </w:r>
    </w:p>
    <w:p w:rsidR="003E2D8E" w:rsidRDefault="003E2D8E" w:rsidP="003E2D8E">
      <w:pPr>
        <w:pStyle w:val="StandardWeb"/>
      </w:pPr>
      <w:r>
        <w:t>Damit gilt</w:t>
      </w:r>
    </w:p>
    <w:p w:rsidR="003E2D8E" w:rsidRDefault="003E2D8E" w:rsidP="003E2D8E">
      <w:pPr>
        <w:pStyle w:val="berschrift1"/>
      </w:pPr>
      <w:r>
        <w:t>[</w:t>
      </w:r>
      <w:r>
        <w:br/>
        <w:t>\boxed{</w:t>
      </w:r>
      <w:r>
        <w:br/>
        <w:t>\operatorname{Stat}</w:t>
      </w:r>
      <w:r>
        <w:br/>
        <w:t>(\operatorname{Inv}_Q)</w:t>
      </w:r>
    </w:p>
    <w:p w:rsidR="003E2D8E" w:rsidRDefault="003E2D8E" w:rsidP="003E2D8E">
      <w:pPr>
        <w:pStyle w:val="StandardWeb"/>
      </w:pPr>
      <w:r>
        <w:t>\mathrm{Def/Op}.</w:t>
      </w:r>
      <w:r>
        <w:br/>
        <w:t>}</w:t>
      </w:r>
      <w:r>
        <w:br/>
        <w:t>\tag{3.12099}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lastRenderedPageBreak/>
        <w:t>\boxed{\operatorname{Stat}(\operatorname{Inv}_Q)=\mathrm{Def/Op}.}</w:t>
      </w:r>
    </w:p>
    <w:p w:rsidR="003E2D8E" w:rsidRDefault="00E50336" w:rsidP="003E2D8E">
      <w:r>
        <w:pict>
          <v:rect id="_x0000_i4261" style="width:0;height:1.5pt" o:hralign="center" o:hrstd="t" o:hr="t" fillcolor="#a0a0a0" stroked="f"/>
        </w:pict>
      </w:r>
    </w:p>
    <w:p w:rsidR="003E2D8E" w:rsidRDefault="003E2D8E" w:rsidP="003E2D8E">
      <w:pPr>
        <w:pStyle w:val="berschrift1"/>
      </w:pPr>
      <w:r>
        <w:t>3.3.48.89 Status der funktionalen Symmetrie</w:t>
      </w:r>
    </w:p>
    <w:p w:rsidR="003E2D8E" w:rsidRDefault="003E2D8E" w:rsidP="003E2D8E">
      <w:pPr>
        <w:pStyle w:val="StandardWeb"/>
      </w:pPr>
      <w:r>
        <w:t>Eine Symmetrie setzt eine gewählte Struktur und ein Kriterium struktureller Äquivalenz voraus.</w:t>
      </w:r>
    </w:p>
    <w:p w:rsidR="003E2D8E" w:rsidRDefault="003E2D8E" w:rsidP="003E2D8E">
      <w:pPr>
        <w:pStyle w:val="StandardWeb"/>
      </w:pPr>
      <w:r>
        <w:t>Damit gilt</w:t>
      </w:r>
    </w:p>
    <w:p w:rsidR="003E2D8E" w:rsidRDefault="003E2D8E" w:rsidP="003E2D8E">
      <w:pPr>
        <w:pStyle w:val="berschrift1"/>
      </w:pPr>
      <w:r>
        <w:t>[</w:t>
      </w:r>
      <w:r>
        <w:br/>
        <w:t>\boxed{</w:t>
      </w:r>
      <w:r>
        <w:br/>
        <w:t>\operatorname{Stat}</w:t>
      </w:r>
      <w:r>
        <w:br/>
        <w:t>(\operatorname{Sym}_F)</w:t>
      </w:r>
    </w:p>
    <w:p w:rsidR="003E2D8E" w:rsidRDefault="003E2D8E" w:rsidP="003E2D8E">
      <w:pPr>
        <w:pStyle w:val="StandardWeb"/>
      </w:pPr>
      <w:r>
        <w:t>\mathrm{Def/Mod/Op}.</w:t>
      </w:r>
      <w:r>
        <w:br/>
        <w:t>}</w:t>
      </w:r>
      <w:r>
        <w:br/>
        <w:t>\tag{3.12100}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\boxed{\operatorname{Stat}(\operatorname{Sym}_F)=\mathrm{Def/Mod/Op}.}</w:t>
      </w:r>
    </w:p>
    <w:p w:rsidR="003E2D8E" w:rsidRDefault="00E50336" w:rsidP="003E2D8E">
      <w:r>
        <w:pict>
          <v:rect id="_x0000_i4262" style="width:0;height:1.5pt" o:hralign="center" o:hrstd="t" o:hr="t" fillcolor="#a0a0a0" stroked="f"/>
        </w:pict>
      </w:r>
    </w:p>
    <w:p w:rsidR="003E2D8E" w:rsidRDefault="003E2D8E" w:rsidP="003E2D8E">
      <w:pPr>
        <w:pStyle w:val="berschrift1"/>
      </w:pPr>
      <w:r>
        <w:t>3.3.48.90 Status der Symmetriegruppe</w:t>
      </w:r>
    </w:p>
    <w:p w:rsidR="003E2D8E" w:rsidRDefault="003E2D8E" w:rsidP="003E2D8E">
      <w:pPr>
        <w:pStyle w:val="StandardWeb"/>
      </w:pPr>
      <w:r>
        <w:t>Für</w:t>
      </w:r>
    </w:p>
    <w:p w:rsidR="003E2D8E" w:rsidRDefault="003E2D8E" w:rsidP="003E2D8E">
      <w:pPr>
        <w:pStyle w:val="StandardWeb"/>
      </w:pPr>
      <w:r>
        <w:t>[</w:t>
      </w:r>
      <w:r>
        <w:br/>
        <w:t>\operatorname{Sym}^{\times}</w:t>
      </w:r>
      <w:r>
        <w:br/>
        <w:t>(\mathfrak S_F)</w:t>
      </w:r>
      <w:r>
        <w:br/>
        <w:t>\tag{3.12101}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\operatorname{Sym}^{\times}(\mathfrak S_F)</w:t>
      </w:r>
    </w:p>
    <w:p w:rsidR="003E2D8E" w:rsidRDefault="003E2D8E" w:rsidP="003E2D8E">
      <w:pPr>
        <w:pStyle w:val="StandardWeb"/>
      </w:pPr>
      <w:r>
        <w:t>gilt</w:t>
      </w:r>
    </w:p>
    <w:p w:rsidR="003E2D8E" w:rsidRDefault="003E2D8E" w:rsidP="003E2D8E">
      <w:pPr>
        <w:pStyle w:val="berschrift1"/>
      </w:pPr>
      <w:r>
        <w:t>[</w:t>
      </w:r>
      <w:r>
        <w:br/>
        <w:t>\boxed{</w:t>
      </w:r>
      <w:r>
        <w:br/>
      </w:r>
      <w:r>
        <w:lastRenderedPageBreak/>
        <w:t>\operatorname{Stat}</w:t>
      </w:r>
      <w:r>
        <w:br/>
        <w:t>(\operatorname{Sym}^{\times})</w:t>
      </w:r>
    </w:p>
    <w:p w:rsidR="003E2D8E" w:rsidRDefault="003E2D8E" w:rsidP="003E2D8E">
      <w:pPr>
        <w:pStyle w:val="StandardWeb"/>
      </w:pPr>
      <w:r>
        <w:t>\mathrm{Def/Mod}.</w:t>
      </w:r>
      <w:r>
        <w:br/>
        <w:t>}</w:t>
      </w:r>
      <w:r>
        <w:br/>
        <w:t>\tag{3.12102}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\boxed{\operatorname{Stat}(\operatorname{Sym}^{\times})=\mathrm{Def/Mod}.}</w:t>
      </w:r>
    </w:p>
    <w:p w:rsidR="003E2D8E" w:rsidRDefault="00E50336" w:rsidP="003E2D8E">
      <w:r>
        <w:pict>
          <v:rect id="_x0000_i4263" style="width:0;height:1.5pt" o:hralign="center" o:hrstd="t" o:hr="t" fillcolor="#a0a0a0" stroked="f"/>
        </w:pict>
      </w:r>
    </w:p>
    <w:p w:rsidR="003E2D8E" w:rsidRDefault="003E2D8E" w:rsidP="003E2D8E">
      <w:pPr>
        <w:pStyle w:val="berschrift1"/>
      </w:pPr>
      <w:r>
        <w:t>3.3.48.91 Status der Gruppenfolgerungen</w:t>
      </w:r>
    </w:p>
    <w:p w:rsidR="003E2D8E" w:rsidRDefault="003E2D8E" w:rsidP="003E2D8E">
      <w:pPr>
        <w:pStyle w:val="StandardWeb"/>
      </w:pPr>
      <w:r>
        <w:t>Aussagen wie</w:t>
      </w:r>
    </w:p>
    <w:p w:rsidR="003E2D8E" w:rsidRDefault="003E2D8E" w:rsidP="003E2D8E">
      <w:pPr>
        <w:pStyle w:val="StandardWeb"/>
      </w:pPr>
      <w:r>
        <w:t>[</w:t>
      </w:r>
      <w:r>
        <w:br/>
        <w:t>\operatorname{Stab}_G(z)</w:t>
      </w:r>
      <w:r>
        <w:br/>
        <w:t>\leq</w:t>
      </w:r>
      <w:r>
        <w:br/>
        <w:t>G</w:t>
      </w:r>
      <w:r>
        <w:br/>
        <w:t>\tag{3.12103}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\operatorname{Stab}_G(z)\leq G</w:t>
      </w:r>
    </w:p>
    <w:p w:rsidR="003E2D8E" w:rsidRDefault="003E2D8E" w:rsidP="003E2D8E">
      <w:pPr>
        <w:pStyle w:val="StandardWeb"/>
      </w:pPr>
      <w:r>
        <w:t>folgen mathematisch aus bereits festgelegten Gruppenstrukturen.</w:t>
      </w:r>
    </w:p>
    <w:p w:rsidR="003E2D8E" w:rsidRDefault="003E2D8E" w:rsidP="003E2D8E">
      <w:pPr>
        <w:pStyle w:val="StandardWeb"/>
      </w:pPr>
      <w:r>
        <w:t>Daher gilt</w:t>
      </w:r>
    </w:p>
    <w:p w:rsidR="003E2D8E" w:rsidRDefault="003E2D8E" w:rsidP="003E2D8E">
      <w:pPr>
        <w:pStyle w:val="berschrift1"/>
      </w:pPr>
      <w:r>
        <w:t>[</w:t>
      </w:r>
      <w:r>
        <w:br/>
        <w:t>\boxed{</w:t>
      </w:r>
      <w:r>
        <w:br/>
        <w:t>\operatorname{Stat}</w:t>
      </w:r>
      <w:r>
        <w:br/>
        <w:t>(\text{Gruppenfolgerungen})</w:t>
      </w:r>
    </w:p>
    <w:p w:rsidR="003E2D8E" w:rsidRDefault="003E2D8E" w:rsidP="003E2D8E">
      <w:pPr>
        <w:pStyle w:val="StandardWeb"/>
      </w:pPr>
      <w:r>
        <w:t>\mathrm{Der}.</w:t>
      </w:r>
      <w:r>
        <w:br/>
        <w:t>}</w:t>
      </w:r>
      <w:r>
        <w:br/>
        <w:t>\tag{3.12104}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\boxed{\operatorname{Stat}(\text{Gruppenfolgerungen})=\mathrm{Der}.}</w:t>
      </w:r>
    </w:p>
    <w:p w:rsidR="003E2D8E" w:rsidRDefault="00E50336" w:rsidP="003E2D8E">
      <w:r>
        <w:pict>
          <v:rect id="_x0000_i4264" style="width:0;height:1.5pt" o:hralign="center" o:hrstd="t" o:hr="t" fillcolor="#a0a0a0" stroked="f"/>
        </w:pict>
      </w:r>
    </w:p>
    <w:p w:rsidR="003E2D8E" w:rsidRDefault="003E2D8E" w:rsidP="003E2D8E">
      <w:pPr>
        <w:pStyle w:val="berschrift1"/>
      </w:pPr>
      <w:r>
        <w:lastRenderedPageBreak/>
        <w:t>3.3.48.92 Status kontinuierlicher Symmetrien</w:t>
      </w:r>
    </w:p>
    <w:p w:rsidR="003E2D8E" w:rsidRDefault="003E2D8E" w:rsidP="003E2D8E">
      <w:pPr>
        <w:pStyle w:val="StandardWeb"/>
      </w:pPr>
      <w:r>
        <w:t>Eine kontinuierliche Transformationsfamilie verlangt zusätzliche topologische Struktur.</w:t>
      </w:r>
    </w:p>
    <w:p w:rsidR="003E2D8E" w:rsidRDefault="003E2D8E" w:rsidP="003E2D8E">
      <w:pPr>
        <w:pStyle w:val="StandardWeb"/>
      </w:pPr>
      <w:r>
        <w:t>Damit gilt</w:t>
      </w:r>
    </w:p>
    <w:p w:rsidR="003E2D8E" w:rsidRDefault="003E2D8E" w:rsidP="003E2D8E">
      <w:pPr>
        <w:pStyle w:val="berschrift1"/>
      </w:pPr>
      <w:r>
        <w:t>[</w:t>
      </w:r>
      <w:r>
        <w:br/>
        <w:t>\boxed{</w:t>
      </w:r>
      <w:r>
        <w:br/>
        <w:t>\operatorname{Stat}</w:t>
      </w:r>
      <w:r>
        <w:br/>
        <w:t>(\operatorname{Sym}_{\mathrm{cont}})</w:t>
      </w:r>
    </w:p>
    <w:p w:rsidR="003E2D8E" w:rsidRDefault="003E2D8E" w:rsidP="003E2D8E">
      <w:pPr>
        <w:pStyle w:val="StandardWeb"/>
      </w:pPr>
      <w:r>
        <w:t>\mathrm{Def/Mod}.</w:t>
      </w:r>
      <w:r>
        <w:br/>
        <w:t>}</w:t>
      </w:r>
      <w:r>
        <w:br/>
        <w:t>\tag{3.12105}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\boxed{\operatorname{Stat}(\operatorname{Sym}_{\mathrm{cont}})=\mathrm{Def/Mod}.}</w:t>
      </w:r>
    </w:p>
    <w:p w:rsidR="003E2D8E" w:rsidRDefault="00E50336" w:rsidP="003E2D8E">
      <w:r>
        <w:pict>
          <v:rect id="_x0000_i4265" style="width:0;height:1.5pt" o:hralign="center" o:hrstd="t" o:hr="t" fillcolor="#a0a0a0" stroked="f"/>
        </w:pict>
      </w:r>
    </w:p>
    <w:p w:rsidR="003E2D8E" w:rsidRDefault="003E2D8E" w:rsidP="003E2D8E">
      <w:pPr>
        <w:pStyle w:val="berschrift1"/>
      </w:pPr>
      <w:r>
        <w:t>3.3.48.93 Status infinitesimaler Generatoren</w:t>
      </w:r>
    </w:p>
    <w:p w:rsidR="003E2D8E" w:rsidRDefault="003E2D8E" w:rsidP="003E2D8E">
      <w:pPr>
        <w:pStyle w:val="StandardWeb"/>
      </w:pPr>
      <w:r>
        <w:t>Für</w:t>
      </w:r>
    </w:p>
    <w:p w:rsidR="003E2D8E" w:rsidRDefault="003E2D8E" w:rsidP="003E2D8E">
      <w:pPr>
        <w:pStyle w:val="berschrift1"/>
      </w:pPr>
      <w:r>
        <w:t>[</w:t>
      </w:r>
      <w:r>
        <w:br/>
        <w:t>X_g</w:t>
      </w:r>
    </w:p>
    <w:p w:rsidR="003E2D8E" w:rsidRDefault="003E2D8E" w:rsidP="003E2D8E">
      <w:pPr>
        <w:pStyle w:val="StandardWeb"/>
      </w:pPr>
      <w:r>
        <w:t>\left.</w:t>
      </w:r>
      <w:r>
        <w:br/>
        <w:t>\frac{\partial g_\lambda}</w:t>
      </w:r>
      <w:r>
        <w:br/>
        <w:t>{\partial\lambda}</w:t>
      </w:r>
      <w:r>
        <w:br/>
        <w:t>\right|_{\lambda=0}</w:t>
      </w:r>
      <w:r>
        <w:br/>
        <w:t>\tag{3.12106}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X_g=\left.\frac{\partial g_\lambda}{\partial\lambda}\right|_{\lambda=0}</w:t>
      </w:r>
    </w:p>
    <w:p w:rsidR="003E2D8E" w:rsidRDefault="003E2D8E" w:rsidP="003E2D8E">
      <w:pPr>
        <w:pStyle w:val="StandardWeb"/>
      </w:pPr>
      <w:r>
        <w:t>gilt wegen der erforderlichen Differenzierbarkeit</w:t>
      </w:r>
    </w:p>
    <w:p w:rsidR="003E2D8E" w:rsidRDefault="003E2D8E" w:rsidP="003E2D8E">
      <w:pPr>
        <w:pStyle w:val="berschrift1"/>
      </w:pPr>
      <w:r>
        <w:lastRenderedPageBreak/>
        <w:t>[</w:t>
      </w:r>
      <w:r>
        <w:br/>
        <w:t>\boxed{</w:t>
      </w:r>
      <w:r>
        <w:br/>
        <w:t>\operatorname{Stat}(X_g)</w:t>
      </w:r>
    </w:p>
    <w:p w:rsidR="003E2D8E" w:rsidRDefault="003E2D8E" w:rsidP="003E2D8E">
      <w:pPr>
        <w:pStyle w:val="StandardWeb"/>
      </w:pPr>
      <w:r>
        <w:t>\mathrm{Def/Mod}.</w:t>
      </w:r>
      <w:r>
        <w:br/>
        <w:t>}</w:t>
      </w:r>
      <w:r>
        <w:br/>
        <w:t>\tag{3.12107}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\boxed{\operatorname{Stat}(X_g)=\mathrm{Def/Mod}.}</w:t>
      </w:r>
    </w:p>
    <w:p w:rsidR="003E2D8E" w:rsidRDefault="00E50336" w:rsidP="003E2D8E">
      <w:r>
        <w:pict>
          <v:rect id="_x0000_i4266" style="width:0;height:1.5pt" o:hralign="center" o:hrstd="t" o:hr="t" fillcolor="#a0a0a0" stroked="f"/>
        </w:pict>
      </w:r>
    </w:p>
    <w:p w:rsidR="003E2D8E" w:rsidRDefault="003E2D8E" w:rsidP="003E2D8E">
      <w:pPr>
        <w:pStyle w:val="berschrift1"/>
      </w:pPr>
      <w:r>
        <w:t>3.3.48.94 Status dynamikkompatibler Symmetrie</w:t>
      </w:r>
    </w:p>
    <w:p w:rsidR="003E2D8E" w:rsidRDefault="003E2D8E" w:rsidP="003E2D8E">
      <w:pPr>
        <w:pStyle w:val="StandardWeb"/>
      </w:pPr>
      <w:r>
        <w:t>Die Bedingung</w:t>
      </w:r>
    </w:p>
    <w:p w:rsidR="003E2D8E" w:rsidRDefault="003E2D8E" w:rsidP="003E2D8E">
      <w:pPr>
        <w:pStyle w:val="berschrift1"/>
      </w:pPr>
      <w:r>
        <w:t>[</w:t>
      </w:r>
      <w:r>
        <w:br/>
        <w:t>g\circ\Phi_\tau</w:t>
      </w:r>
    </w:p>
    <w:p w:rsidR="003E2D8E" w:rsidRDefault="003E2D8E" w:rsidP="003E2D8E">
      <w:pPr>
        <w:pStyle w:val="StandardWeb"/>
      </w:pPr>
      <w:r>
        <w:t>\Phi_\tau\circ g</w:t>
      </w:r>
      <w:r>
        <w:br/>
        <w:t>\tag{3.12108}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g\circ\Phi_\tau=\Phi_\tau\circ g</w:t>
      </w:r>
    </w:p>
    <w:p w:rsidR="003E2D8E" w:rsidRDefault="003E2D8E" w:rsidP="003E2D8E">
      <w:pPr>
        <w:pStyle w:val="StandardWeb"/>
      </w:pPr>
      <w:r>
        <w:t>ist eine zusätzliche Modellkompatibilität.</w:t>
      </w:r>
    </w:p>
    <w:p w:rsidR="003E2D8E" w:rsidRDefault="003E2D8E" w:rsidP="003E2D8E">
      <w:pPr>
        <w:pStyle w:val="StandardWeb"/>
      </w:pPr>
      <w:r>
        <w:t>Daher gilt</w:t>
      </w:r>
    </w:p>
    <w:p w:rsidR="003E2D8E" w:rsidRDefault="003E2D8E" w:rsidP="003E2D8E">
      <w:pPr>
        <w:pStyle w:val="berschrift1"/>
      </w:pPr>
      <w:r>
        <w:t>[</w:t>
      </w:r>
      <w:r>
        <w:br/>
        <w:t>\boxed{</w:t>
      </w:r>
      <w:r>
        <w:br/>
        <w:t>\operatorname{Stat}</w:t>
      </w:r>
      <w:r>
        <w:br/>
        <w:t>(\operatorname{DynSym})</w:t>
      </w:r>
    </w:p>
    <w:p w:rsidR="003E2D8E" w:rsidRDefault="003E2D8E" w:rsidP="003E2D8E">
      <w:pPr>
        <w:pStyle w:val="StandardWeb"/>
      </w:pPr>
      <w:r>
        <w:t>\mathrm{Def/Mod}.</w:t>
      </w:r>
      <w:r>
        <w:br/>
        <w:t>}</w:t>
      </w:r>
      <w:r>
        <w:br/>
        <w:t>\tag{3.12109}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lastRenderedPageBreak/>
        <w:t>\boxed{\operatorname{Stat}(\operatorname{DynSym})=\mathrm{Def/Mod}.}</w:t>
      </w:r>
    </w:p>
    <w:p w:rsidR="003E2D8E" w:rsidRDefault="00E50336" w:rsidP="003E2D8E">
      <w:r>
        <w:pict>
          <v:rect id="_x0000_i4267" style="width:0;height:1.5pt" o:hralign="center" o:hrstd="t" o:hr="t" fillcolor="#a0a0a0" stroked="f"/>
        </w:pict>
      </w:r>
    </w:p>
    <w:p w:rsidR="003E2D8E" w:rsidRDefault="003E2D8E" w:rsidP="003E2D8E">
      <w:pPr>
        <w:pStyle w:val="berschrift1"/>
      </w:pPr>
      <w:r>
        <w:t>3.3.48.95 Status der Symmetrieäquivalenz</w:t>
      </w:r>
    </w:p>
    <w:p w:rsidR="003E2D8E" w:rsidRDefault="003E2D8E" w:rsidP="003E2D8E">
      <w:pPr>
        <w:pStyle w:val="StandardWeb"/>
      </w:pPr>
      <w:r>
        <w:t>Für</w:t>
      </w:r>
    </w:p>
    <w:p w:rsidR="003E2D8E" w:rsidRDefault="003E2D8E" w:rsidP="003E2D8E">
      <w:pPr>
        <w:pStyle w:val="StandardWeb"/>
      </w:pPr>
      <w:r>
        <w:t>[</w:t>
      </w:r>
      <w:r>
        <w:br/>
        <w:t>z_i\sim_G z_j</w:t>
      </w:r>
      <w:r>
        <w:br/>
        <w:t>\tag{3.12110}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z_i\sim_G z_j</w:t>
      </w:r>
    </w:p>
    <w:p w:rsidR="003E2D8E" w:rsidRDefault="003E2D8E" w:rsidP="003E2D8E">
      <w:pPr>
        <w:pStyle w:val="StandardWeb"/>
      </w:pPr>
      <w:r>
        <w:t>gilt</w:t>
      </w:r>
    </w:p>
    <w:p w:rsidR="003E2D8E" w:rsidRDefault="003E2D8E" w:rsidP="003E2D8E">
      <w:pPr>
        <w:pStyle w:val="berschrift1"/>
      </w:pPr>
      <w:r>
        <w:t>[</w:t>
      </w:r>
      <w:r>
        <w:br/>
        <w:t>\boxed{</w:t>
      </w:r>
      <w:r>
        <w:br/>
        <w:t>\operatorname{Stat}</w:t>
      </w:r>
      <w:r>
        <w:br/>
        <w:t>(\sim_G)</w:t>
      </w:r>
    </w:p>
    <w:p w:rsidR="003E2D8E" w:rsidRDefault="003E2D8E" w:rsidP="003E2D8E">
      <w:pPr>
        <w:pStyle w:val="StandardWeb"/>
      </w:pPr>
      <w:r>
        <w:t>\mathrm{Def/Op}.</w:t>
      </w:r>
      <w:r>
        <w:br/>
        <w:t>}</w:t>
      </w:r>
      <w:r>
        <w:br/>
        <w:t>\tag{3.12111}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\boxed{\operatorname{Stat}(\sim_G)=\mathrm{Def/Op}.}</w:t>
      </w:r>
    </w:p>
    <w:p w:rsidR="003E2D8E" w:rsidRDefault="00E50336" w:rsidP="003E2D8E">
      <w:r>
        <w:pict>
          <v:rect id="_x0000_i4268" style="width:0;height:1.5pt" o:hralign="center" o:hrstd="t" o:hr="t" fillcolor="#a0a0a0" stroked="f"/>
        </w:pict>
      </w:r>
    </w:p>
    <w:p w:rsidR="003E2D8E" w:rsidRDefault="003E2D8E" w:rsidP="003E2D8E">
      <w:pPr>
        <w:pStyle w:val="berschrift1"/>
      </w:pPr>
      <w:r>
        <w:t>3.3.48.96 Status des Quotientenraums</w:t>
      </w:r>
    </w:p>
    <w:p w:rsidR="003E2D8E" w:rsidRDefault="003E2D8E" w:rsidP="003E2D8E">
      <w:pPr>
        <w:pStyle w:val="StandardWeb"/>
      </w:pPr>
      <w:r>
        <w:t>Der Quotient</w:t>
      </w:r>
    </w:p>
    <w:p w:rsidR="003E2D8E" w:rsidRDefault="003E2D8E" w:rsidP="003E2D8E">
      <w:pPr>
        <w:pStyle w:val="StandardWeb"/>
      </w:pPr>
      <w:r>
        <w:t>[</w:t>
      </w:r>
      <w:r>
        <w:br/>
        <w:t>\Omega_F/G</w:t>
      </w:r>
      <w:r>
        <w:br/>
        <w:t>\tag{3.12112}</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\Omega_F/G</w:t>
      </w:r>
    </w:p>
    <w:p w:rsidR="003E2D8E" w:rsidRDefault="003E2D8E" w:rsidP="003E2D8E">
      <w:pPr>
        <w:pStyle w:val="StandardWeb"/>
      </w:pPr>
      <w:r>
        <w:t>ist nach Wahl einer Gruppenwirkung definitorisch bestimmt.</w:t>
      </w:r>
    </w:p>
    <w:p w:rsidR="003E2D8E" w:rsidRDefault="003E2D8E" w:rsidP="003E2D8E">
      <w:pPr>
        <w:pStyle w:val="StandardWeb"/>
      </w:pPr>
      <w:r>
        <w:lastRenderedPageBreak/>
        <w:t>Daher gilt</w:t>
      </w:r>
    </w:p>
    <w:p w:rsidR="003E2D8E" w:rsidRDefault="003E2D8E" w:rsidP="003E2D8E">
      <w:pPr>
        <w:pStyle w:val="berschrift1"/>
      </w:pPr>
      <w:r>
        <w:t>[</w:t>
      </w:r>
      <w:r>
        <w:br/>
        <w:t>\boxed{</w:t>
      </w:r>
      <w:r>
        <w:br/>
        <w:t>\operatorname{Stat}</w:t>
      </w:r>
      <w:r>
        <w:br/>
        <w:t>(\Omega_F/G)</w:t>
      </w:r>
    </w:p>
    <w:p w:rsidR="003E2D8E" w:rsidRDefault="003E2D8E" w:rsidP="003E2D8E">
      <w:pPr>
        <w:pStyle w:val="StandardWeb"/>
      </w:pPr>
      <w:r>
        <w:t>\mathrm{Def/Mod}.</w:t>
      </w:r>
      <w:r>
        <w:br/>
        <w:t>}</w:t>
      </w:r>
      <w:r>
        <w:br/>
        <w:t>\tag{3.12113}</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\boxed{\operatorname{Stat}(\Omega_F/G)=\mathrm{Def/Mod}.}</w:t>
      </w:r>
    </w:p>
    <w:p w:rsidR="003E2D8E" w:rsidRDefault="00E50336" w:rsidP="003E2D8E">
      <w:r>
        <w:pict>
          <v:rect id="_x0000_i4269" style="width:0;height:1.5pt" o:hralign="center" o:hrstd="t" o:hr="t" fillcolor="#a0a0a0" stroked="f"/>
        </w:pict>
      </w:r>
    </w:p>
    <w:p w:rsidR="003E2D8E" w:rsidRDefault="003E2D8E" w:rsidP="003E2D8E">
      <w:pPr>
        <w:pStyle w:val="berschrift1"/>
      </w:pPr>
      <w:r>
        <w:t>3.3.48.97 Status des Symmetriebruchs</w:t>
      </w:r>
    </w:p>
    <w:p w:rsidR="003E2D8E" w:rsidRDefault="003E2D8E" w:rsidP="003E2D8E">
      <w:pPr>
        <w:pStyle w:val="StandardWeb"/>
      </w:pPr>
      <w:r>
        <w:t>Die Relation</w:t>
      </w:r>
    </w:p>
    <w:p w:rsidR="003E2D8E" w:rsidRDefault="003E2D8E" w:rsidP="003E2D8E">
      <w:pPr>
        <w:pStyle w:val="StandardWeb"/>
      </w:pPr>
      <w:r>
        <w:t>[</w:t>
      </w:r>
      <w:r>
        <w:br/>
        <w:t>G</w:t>
      </w:r>
      <w:r>
        <w:br/>
        <w:t>\longrightarrow</w:t>
      </w:r>
      <w:r>
        <w:br/>
        <w:t>H,</w:t>
      </w:r>
      <w:r>
        <w:br/>
        <w:t>\qquad</w:t>
      </w:r>
      <w:r>
        <w:br/>
        <w:t>H\subsetneq G</w:t>
      </w:r>
      <w:r>
        <w:br/>
        <w:t>\tag{3.12114}</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G\longrightarrow H,\qquad H\subsetneq G</w:t>
      </w:r>
    </w:p>
    <w:p w:rsidR="003E2D8E" w:rsidRDefault="003E2D8E" w:rsidP="003E2D8E">
      <w:pPr>
        <w:pStyle w:val="StandardWeb"/>
      </w:pPr>
      <w:r>
        <w:t>ist definitorisch, ihre konkrete Bedeutung jedoch modellabhängig.</w:t>
      </w:r>
    </w:p>
    <w:p w:rsidR="003E2D8E" w:rsidRDefault="003E2D8E" w:rsidP="003E2D8E">
      <w:pPr>
        <w:pStyle w:val="StandardWeb"/>
      </w:pPr>
      <w:r>
        <w:t>Damit gilt</w:t>
      </w:r>
    </w:p>
    <w:p w:rsidR="003E2D8E" w:rsidRDefault="003E2D8E" w:rsidP="003E2D8E">
      <w:pPr>
        <w:pStyle w:val="berschrift1"/>
      </w:pPr>
      <w:r>
        <w:t>[</w:t>
      </w:r>
      <w:r>
        <w:br/>
        <w:t>\boxed{</w:t>
      </w:r>
      <w:r>
        <w:br/>
        <w:t>\operatorname{Stat}</w:t>
      </w:r>
      <w:r>
        <w:br/>
        <w:t>(\operatorname{SB})</w:t>
      </w:r>
    </w:p>
    <w:p w:rsidR="003E2D8E" w:rsidRDefault="003E2D8E" w:rsidP="003E2D8E">
      <w:pPr>
        <w:pStyle w:val="StandardWeb"/>
      </w:pPr>
      <w:r>
        <w:t>\mathrm{Def/Mod/Op}.</w:t>
      </w:r>
      <w:r>
        <w:br/>
        <w:t>}</w:t>
      </w:r>
      <w:r>
        <w:br/>
      </w:r>
      <w:r>
        <w:lastRenderedPageBreak/>
        <w:t>\tag{3.12115}</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\boxed{\operatorname{Stat}(\operatorname{SB})=\mathrm{Def/Mod/Op}.}</w:t>
      </w:r>
    </w:p>
    <w:p w:rsidR="003E2D8E" w:rsidRDefault="00E50336" w:rsidP="003E2D8E">
      <w:r>
        <w:pict>
          <v:rect id="_x0000_i4270" style="width:0;height:1.5pt" o:hralign="center" o:hrstd="t" o:hr="t" fillcolor="#a0a0a0" stroked="f"/>
        </w:pict>
      </w:r>
    </w:p>
    <w:p w:rsidR="003E2D8E" w:rsidRDefault="003E2D8E" w:rsidP="003E2D8E">
      <w:pPr>
        <w:pStyle w:val="berschrift1"/>
      </w:pPr>
      <w:r>
        <w:t>3.3.48.98 Status approximativer Invarianz</w:t>
      </w:r>
    </w:p>
    <w:p w:rsidR="003E2D8E" w:rsidRDefault="003E2D8E" w:rsidP="003E2D8E">
      <w:pPr>
        <w:pStyle w:val="StandardWeb"/>
      </w:pPr>
      <w:r>
        <w:t>Für</w:t>
      </w:r>
    </w:p>
    <w:p w:rsidR="003E2D8E" w:rsidRDefault="003E2D8E" w:rsidP="003E2D8E">
      <w:pPr>
        <w:pStyle w:val="StandardWeb"/>
      </w:pPr>
      <w:r>
        <w:t>[</w:t>
      </w:r>
      <w:r>
        <w:br/>
        <w:t>d_Q</w:t>
      </w:r>
      <w:r>
        <w:br/>
        <w:t>\left(</w:t>
      </w:r>
      <w:r>
        <w:br/>
        <w:t>Q_F(g(z)),</w:t>
      </w:r>
      <w:r>
        <w:br/>
        <w:t>Q_F(z)</w:t>
      </w:r>
      <w:r>
        <w:br/>
        <w:t>\right)</w:t>
      </w:r>
      <w:r>
        <w:br/>
        <w:t>\leq</w:t>
      </w:r>
      <w:r>
        <w:br/>
        <w:t>\varepsilon_{\mathrm{inv}}</w:t>
      </w:r>
      <w:r>
        <w:br/>
        <w:t>\tag{3.12116}</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d_Q\left(Q_F(g(z)),Q_F(z)\right)\leq\varepsilon_{\mathrm{inv}}</w:t>
      </w:r>
    </w:p>
    <w:p w:rsidR="003E2D8E" w:rsidRDefault="003E2D8E" w:rsidP="003E2D8E">
      <w:pPr>
        <w:pStyle w:val="StandardWeb"/>
      </w:pPr>
      <w:r>
        <w:t>gilt</w:t>
      </w:r>
    </w:p>
    <w:p w:rsidR="003E2D8E" w:rsidRDefault="003E2D8E" w:rsidP="003E2D8E">
      <w:pPr>
        <w:pStyle w:val="berschrift1"/>
      </w:pPr>
      <w:r>
        <w:t>[</w:t>
      </w:r>
      <w:r>
        <w:br/>
        <w:t>\boxed{</w:t>
      </w:r>
      <w:r>
        <w:br/>
        <w:t>\operatorname{Stat}</w:t>
      </w:r>
      <w:r>
        <w:br/>
        <w:t>(\operatorname{Inv}^{\varepsilon})</w:t>
      </w:r>
    </w:p>
    <w:p w:rsidR="003E2D8E" w:rsidRDefault="003E2D8E" w:rsidP="003E2D8E">
      <w:pPr>
        <w:pStyle w:val="StandardWeb"/>
      </w:pPr>
      <w:r>
        <w:t>\mathrm{Def/Mod/Op}.</w:t>
      </w:r>
      <w:r>
        <w:br/>
        <w:t>}</w:t>
      </w:r>
      <w:r>
        <w:br/>
        <w:t>\tag{3.12117}</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\boxed{\operatorname{Stat}(\operatorname{Inv}^{\varepsilon})=\mathrm{Def/Mod/Op}.}</w:t>
      </w:r>
    </w:p>
    <w:p w:rsidR="003E2D8E" w:rsidRDefault="00E50336" w:rsidP="003E2D8E">
      <w:r>
        <w:pict>
          <v:rect id="_x0000_i4271" style="width:0;height:1.5pt" o:hralign="center" o:hrstd="t" o:hr="t" fillcolor="#a0a0a0" stroked="f"/>
        </w:pict>
      </w:r>
    </w:p>
    <w:p w:rsidR="003E2D8E" w:rsidRDefault="003E2D8E" w:rsidP="003E2D8E">
      <w:pPr>
        <w:pStyle w:val="berschrift1"/>
      </w:pPr>
      <w:r>
        <w:t>3.3.48.99 Status des Invarianzresiduums</w:t>
      </w:r>
    </w:p>
    <w:p w:rsidR="003E2D8E" w:rsidRDefault="003E2D8E" w:rsidP="003E2D8E">
      <w:pPr>
        <w:pStyle w:val="StandardWeb"/>
      </w:pPr>
      <w:r>
        <w:lastRenderedPageBreak/>
        <w:t>Das Residuum</w:t>
      </w:r>
    </w:p>
    <w:p w:rsidR="003E2D8E" w:rsidRDefault="003E2D8E" w:rsidP="003E2D8E">
      <w:pPr>
        <w:pStyle w:val="berschrift1"/>
      </w:pPr>
      <w:r>
        <w:t>[</w:t>
      </w:r>
      <w:r>
        <w:br/>
        <w:t>R_{\mathrm{inv}}</w:t>
      </w:r>
    </w:p>
    <w:p w:rsidR="003E2D8E" w:rsidRDefault="003E2D8E" w:rsidP="003E2D8E">
      <w:pPr>
        <w:pStyle w:val="berschrift2"/>
      </w:pPr>
      <w:r>
        <w:t>Q_F(g(z))</w:t>
      </w:r>
    </w:p>
    <w:p w:rsidR="003E2D8E" w:rsidRDefault="003E2D8E" w:rsidP="003E2D8E">
      <w:pPr>
        <w:pStyle w:val="StandardWeb"/>
      </w:pPr>
      <w:r>
        <w:t>Q_F(z)</w:t>
      </w:r>
      <w:r>
        <w:br/>
        <w:t>\tag{3.12118}</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R_{\mathrm{inv}}=Q_F(g(z))-Q_F(z)</w:t>
      </w:r>
    </w:p>
    <w:p w:rsidR="003E2D8E" w:rsidRDefault="003E2D8E" w:rsidP="003E2D8E">
      <w:pPr>
        <w:pStyle w:val="StandardWeb"/>
      </w:pPr>
      <w:r>
        <w:t>ist definitorisch und operational.</w:t>
      </w:r>
    </w:p>
    <w:p w:rsidR="003E2D8E" w:rsidRDefault="003E2D8E" w:rsidP="003E2D8E">
      <w:pPr>
        <w:pStyle w:val="StandardWeb"/>
      </w:pPr>
      <w:r>
        <w:t>Daher gilt</w:t>
      </w:r>
    </w:p>
    <w:p w:rsidR="003E2D8E" w:rsidRDefault="003E2D8E" w:rsidP="003E2D8E">
      <w:pPr>
        <w:pStyle w:val="berschrift1"/>
      </w:pPr>
      <w:r>
        <w:t>[</w:t>
      </w:r>
      <w:r>
        <w:br/>
        <w:t>\boxed{</w:t>
      </w:r>
      <w:r>
        <w:br/>
        <w:t>\operatorname{Stat}</w:t>
      </w:r>
      <w:r>
        <w:br/>
        <w:t>(R_{\mathrm{inv}})</w:t>
      </w:r>
    </w:p>
    <w:p w:rsidR="003E2D8E" w:rsidRDefault="003E2D8E" w:rsidP="003E2D8E">
      <w:pPr>
        <w:pStyle w:val="StandardWeb"/>
      </w:pPr>
      <w:r>
        <w:t>\mathrm{Def/Op}.</w:t>
      </w:r>
      <w:r>
        <w:br/>
        <w:t>}</w:t>
      </w:r>
      <w:r>
        <w:br/>
        <w:t>\tag{3.12119}</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\boxed{\operatorname{Stat}(R_{\mathrm{inv}})=\mathrm{Def/Op}.}</w:t>
      </w:r>
    </w:p>
    <w:p w:rsidR="003E2D8E" w:rsidRDefault="00E50336" w:rsidP="003E2D8E">
      <w:r>
        <w:pict>
          <v:rect id="_x0000_i4272" style="width:0;height:1.5pt" o:hralign="center" o:hrstd="t" o:hr="t" fillcolor="#a0a0a0" stroked="f"/>
        </w:pict>
      </w:r>
    </w:p>
    <w:p w:rsidR="003E2D8E" w:rsidRDefault="003E2D8E" w:rsidP="003E2D8E">
      <w:pPr>
        <w:pStyle w:val="berschrift1"/>
      </w:pPr>
      <w:r>
        <w:t>3.3.48.100 Zwischenbilanz der Primäraxiomprüfung</w:t>
      </w:r>
    </w:p>
    <w:p w:rsidR="003E2D8E" w:rsidRDefault="003E2D8E" w:rsidP="003E2D8E">
      <w:pPr>
        <w:pStyle w:val="StandardWeb"/>
      </w:pPr>
      <w:r>
        <w:t>Bis zu diesem Punkt wurden zwei Primäraxiomkandidaten geprüft:</w:t>
      </w:r>
    </w:p>
    <w:p w:rsidR="003E2D8E" w:rsidRDefault="003E2D8E" w:rsidP="003E2D8E">
      <w:pPr>
        <w:pStyle w:val="StandardWeb"/>
      </w:pPr>
      <w:r>
        <w:t>[</w:t>
      </w:r>
      <w:r>
        <w:br/>
        <w:t>A_{\mathrm{inv}}</w:t>
      </w:r>
      <w:r>
        <w:br/>
        <w:t>\qquad\text{und}\qquad</w:t>
      </w:r>
      <w:r>
        <w:br/>
        <w:t>A_G.</w:t>
      </w:r>
      <w:r>
        <w:br/>
        <w:t>\tag{3.12120}</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lastRenderedPageBreak/>
        <w:t>A_{\mathrm{inv}}\qquad\text{und}\qquad A_G</w:t>
      </w:r>
    </w:p>
    <w:p w:rsidR="003E2D8E" w:rsidRDefault="003E2D8E" w:rsidP="003E2D8E">
      <w:pPr>
        <w:pStyle w:val="StandardWeb"/>
      </w:pPr>
      <w:r>
        <w:t>Für beide gilt</w:t>
      </w:r>
    </w:p>
    <w:p w:rsidR="003E2D8E" w:rsidRDefault="003E2D8E" w:rsidP="003E2D8E">
      <w:pPr>
        <w:pStyle w:val="berschrift1"/>
      </w:pPr>
      <w:r>
        <w:t>[</w:t>
      </w:r>
      <w:r>
        <w:br/>
        <w:t>\boxed{</w:t>
      </w:r>
      <w:r>
        <w:br/>
        <w:t>U_{\mathrm{Ax}}</w:t>
      </w:r>
      <w:r>
        <w:br/>
        <w:t>(A_{\mathrm{inv}})</w:t>
      </w:r>
    </w:p>
    <w:p w:rsidR="003E2D8E" w:rsidRDefault="003E2D8E" w:rsidP="003E2D8E">
      <w:pPr>
        <w:pStyle w:val="berschrift1"/>
      </w:pPr>
      <w:r>
        <w:t>U_{\mathrm{Ax}}</w:t>
      </w:r>
      <w:r>
        <w:br/>
        <w:t>(A_G)</w:t>
      </w:r>
    </w:p>
    <w:p w:rsidR="003E2D8E" w:rsidRDefault="003E2D8E" w:rsidP="00152216">
      <w:pPr>
        <w:numPr>
          <w:ilvl w:val="0"/>
          <w:numId w:val="541"/>
        </w:numPr>
        <w:spacing w:before="100" w:beforeAutospacing="1" w:after="100" w:afterAutospacing="1"/>
      </w:pPr>
    </w:p>
    <w:p w:rsidR="003E2D8E" w:rsidRDefault="003E2D8E" w:rsidP="003E2D8E">
      <w:pPr>
        <w:pStyle w:val="StandardWeb"/>
      </w:pPr>
      <w:r>
        <w:t>}</w:t>
      </w:r>
      <w:r>
        <w:br/>
        <w:t>\tag{3.12121}</w:t>
      </w:r>
      <w:r>
        <w:br/>
        <w:t>]</w:t>
      </w:r>
    </w:p>
    <w:p w:rsidR="003E2D8E" w:rsidRDefault="003E2D8E" w:rsidP="003E2D8E">
      <w:pPr>
        <w:pStyle w:val="StandardWeb"/>
      </w:pPr>
      <w:r>
        <w:rPr>
          <w:rStyle w:val="Fett"/>
        </w:rPr>
        <w:t>Word-LaTeX</w:t>
      </w:r>
    </w:p>
    <w:p w:rsidR="003E2D8E" w:rsidRDefault="003E2D8E" w:rsidP="003E2D8E">
      <w:pPr>
        <w:pStyle w:val="HTMLVorformatiert"/>
        <w:rPr>
          <w:rStyle w:val="HTMLCode"/>
        </w:rPr>
      </w:pPr>
      <w:r>
        <w:rPr>
          <w:rStyle w:val="HTMLCode"/>
        </w:rPr>
        <w:t>\boxed{U_{\mathrm{Ax}}(A_{\mathrm{inv}})=U_{\mathrm{Ax}}(A_G)=0.}</w:t>
      </w:r>
    </w:p>
    <w:p w:rsidR="003E2D8E" w:rsidRDefault="003E2D8E" w:rsidP="003E2D8E">
      <w:pPr>
        <w:pStyle w:val="StandardWeb"/>
      </w:pPr>
      <w:r>
        <w:t xml:space="preserve">Damit ist bislang auch in Abschnitt 3.3.48 </w:t>
      </w:r>
      <w:r>
        <w:rPr>
          <w:rStyle w:val="Fett"/>
        </w:rPr>
        <w:t>keine neue Primäraxiomnotwendigkeit</w:t>
      </w:r>
      <w:r>
        <w:t xml:space="preserve"> entstanden.</w:t>
      </w:r>
    </w:p>
    <w:p w:rsidR="003E2D8E" w:rsidRDefault="00E50336" w:rsidP="003E2D8E">
      <w:r>
        <w:pict>
          <v:rect id="_x0000_i4273" style="width:0;height:1.5pt" o:hralign="center" o:hrstd="t" o:hr="t" fillcolor="#a0a0a0" stroked="f"/>
        </w:pict>
      </w:r>
    </w:p>
    <w:p w:rsidR="003E2D8E" w:rsidRDefault="003E2D8E" w:rsidP="003E2D8E">
      <w:pPr>
        <w:pStyle w:val="berschrift1"/>
      </w:pPr>
      <w:r>
        <w:t>3.3.48.101 Noch kein Abschluss von Abschnitt 3.3.48</w:t>
      </w:r>
    </w:p>
    <w:p w:rsidR="003E2D8E" w:rsidRDefault="003E2D8E" w:rsidP="003E2D8E">
      <w:pPr>
        <w:pStyle w:val="StandardWeb"/>
      </w:pPr>
      <w:r>
        <w:t xml:space="preserve">Abschnitt </w:t>
      </w:r>
      <w:r>
        <w:rPr>
          <w:rStyle w:val="Fett"/>
        </w:rPr>
        <w:t>3.3.48 ist damit noch nicht abgeschlossen</w:t>
      </w:r>
      <w:r>
        <w:t>.</w:t>
      </w:r>
    </w:p>
    <w:p w:rsidR="003E2D8E" w:rsidRDefault="003E2D8E" w:rsidP="003E2D8E">
      <w:pPr>
        <w:pStyle w:val="StandardWeb"/>
      </w:pPr>
      <w:r>
        <w:t>Vor dem Gesamtabschluss müssen insbesondere noch untersucht werden:</w:t>
      </w:r>
    </w:p>
    <w:p w:rsidR="003E2D8E" w:rsidRDefault="003E2D8E" w:rsidP="003E2D8E">
      <w:pPr>
        <w:pStyle w:val="StandardWeb"/>
      </w:pPr>
      <w:r>
        <w:t>[</w:t>
      </w:r>
      <w:r>
        <w:br/>
        <w:t>\text{Isomorphismen},</w:t>
      </w:r>
      <w:r>
        <w:br/>
        <w:t>\qquad</w:t>
      </w:r>
      <w:r>
        <w:br/>
        <w:t>\text{Automorphismen},</w:t>
      </w:r>
      <w:r>
        <w:br/>
        <w:t>\qquad</w:t>
      </w:r>
      <w:r>
        <w:br/>
        <w:t>\text{kovariante Strukturen},</w:t>
      </w:r>
      <w:r>
        <w:br/>
        <w:t>\qquad</w:t>
      </w:r>
      <w:r>
        <w:br/>
        <w:t>\text{äquivariante Abbildungen},</w:t>
      </w:r>
      <w:r>
        <w:br/>
        <w:t>\qquad</w:t>
      </w:r>
      <w:r>
        <w:br/>
        <w:t>\text{Symmetrieklassen},</w:t>
      </w:r>
      <w:r>
        <w:br/>
        <w:t>\qquad</w:t>
      </w:r>
      <w:r>
        <w:br/>
        <w:t>\text{endgültige Primäraxiomprüfung}.</w:t>
      </w:r>
      <w:r>
        <w:br/>
        <w:t>\tag{3.12122}</w:t>
      </w:r>
      <w:r>
        <w:br/>
        <w:t>]</w:t>
      </w:r>
    </w:p>
    <w:p w:rsidR="003E2D8E" w:rsidRDefault="003E2D8E" w:rsidP="003E2D8E">
      <w:pPr>
        <w:pStyle w:val="StandardWeb"/>
      </w:pPr>
      <w:r>
        <w:rPr>
          <w:rStyle w:val="Fett"/>
        </w:rPr>
        <w:lastRenderedPageBreak/>
        <w:t>Word-LaTeX</w:t>
      </w:r>
    </w:p>
    <w:p w:rsidR="003E2D8E" w:rsidRDefault="003E2D8E" w:rsidP="003E2D8E">
      <w:pPr>
        <w:pStyle w:val="HTMLVorformatiert"/>
        <w:rPr>
          <w:rStyle w:val="HTMLCode"/>
        </w:rPr>
      </w:pPr>
      <w:r>
        <w:rPr>
          <w:rStyle w:val="HTMLCode"/>
        </w:rPr>
        <w:t>\text{Isomorphismen},\qquad\text{Automorphismen},\qquad\text{kovariante Strukturen},\qquad\text{äquivariante Abbildungen},\qquad\text{Symmetrieklassen},\qquad\text{endgültige Primäraxiomprüfung}</w:t>
      </w:r>
    </w:p>
    <w:p w:rsidR="003E2D8E" w:rsidRDefault="003E2D8E" w:rsidP="003E2D8E">
      <w:pPr>
        <w:pStyle w:val="StandardWeb"/>
      </w:pPr>
      <w:r>
        <w:t xml:space="preserve">Der nächste Teil beginnt daher bei </w:t>
      </w:r>
      <w:r>
        <w:rPr>
          <w:rStyle w:val="Fett"/>
        </w:rPr>
        <w:t>3.3.48.102 / Gleichung (3.12123)</w:t>
      </w:r>
      <w:r>
        <w:t xml:space="preserve"> mit der systematischen Untersuchung von </w:t>
      </w:r>
      <w:r>
        <w:rPr>
          <w:rStyle w:val="Fett"/>
        </w:rPr>
        <w:t>Isomorphismen, Automorphismen, Kovarianz und Äquivarianz funktionaler FRZK-Strukturen</w:t>
      </w:r>
      <w:r>
        <w:t>.</w:t>
      </w:r>
    </w:p>
    <w:p w:rsidR="00BA5935" w:rsidRDefault="00BA5935" w:rsidP="00BA5935">
      <w:pPr>
        <w:pStyle w:val="berschrift1"/>
        <w:rPr>
          <w:rFonts w:cs="Times New Roman"/>
          <w:sz w:val="48"/>
          <w:szCs w:val="48"/>
        </w:rPr>
      </w:pPr>
      <w:r>
        <w:t>3.3.48.102 Isomorphismen funktionaler Strukturen</w:t>
      </w:r>
    </w:p>
    <w:p w:rsidR="00BA5935" w:rsidRDefault="00BA5935" w:rsidP="00BA5935">
      <w:pPr>
        <w:pStyle w:val="StandardWeb"/>
      </w:pPr>
      <w:r>
        <w:t xml:space="preserve">Nach der Untersuchung von Transformationen, Invarianz und Symmetrie muss ich nun präzisieren, wann zwei </w:t>
      </w:r>
      <w:r>
        <w:rPr>
          <w:rStyle w:val="Fett"/>
        </w:rPr>
        <w:t>verschiedene funktionale Strukturen</w:t>
      </w:r>
      <w:r>
        <w:t xml:space="preserve"> trotz unterschiedlicher Darstellung als strukturell gleichwertig betrachtet werden können.</w:t>
      </w:r>
    </w:p>
    <w:p w:rsidR="00BA5935" w:rsidRDefault="00BA5935" w:rsidP="00BA5935">
      <w:pPr>
        <w:pStyle w:val="StandardWeb"/>
      </w:pPr>
      <w:r>
        <w:t>Dazu seien</w:t>
      </w:r>
    </w:p>
    <w:p w:rsidR="00BA5935" w:rsidRDefault="00BA5935" w:rsidP="00BA5935">
      <w:pPr>
        <w:pStyle w:val="StandardWeb"/>
      </w:pPr>
      <w:r>
        <w:t>[</w:t>
      </w:r>
      <w:r>
        <w:br/>
        <w:t>\mathfrak S_F^{(1)}</w:t>
      </w:r>
      <w:r>
        <w:br/>
        <w:t>\qquad\text{und}\qquad</w:t>
      </w:r>
      <w:r>
        <w:br/>
        <w:t>\mathfrak S_F^{(2)}</w:t>
      </w:r>
      <w:r>
        <w:br/>
        <w:t>\tag{3.12123}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\mathfrak S_F^{(1)}\qquad\text{und}\qquad\mathfrak S_F^{(2)}</w:t>
      </w:r>
    </w:p>
    <w:p w:rsidR="00BA5935" w:rsidRDefault="00BA5935" w:rsidP="00BA5935">
      <w:pPr>
        <w:pStyle w:val="StandardWeb"/>
      </w:pPr>
      <w:r>
        <w:t>zwei funktionale Strukturen mit Zustandsräumen</w:t>
      </w:r>
    </w:p>
    <w:p w:rsidR="00BA5935" w:rsidRDefault="00BA5935" w:rsidP="00BA5935">
      <w:pPr>
        <w:pStyle w:val="StandardWeb"/>
      </w:pPr>
      <w:r>
        <w:t>[</w:t>
      </w:r>
      <w:r>
        <w:br/>
        <w:t>\Omega_F^{(1)}</w:t>
      </w:r>
      <w:r>
        <w:br/>
        <w:t>\qquad\text{und}\qquad</w:t>
      </w:r>
      <w:r>
        <w:br/>
        <w:t>\Omega_F^{(2)}.</w:t>
      </w:r>
      <w:r>
        <w:br/>
        <w:t>\tag{3.12124}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\Omega_F^{(1)}\qquad\text{und}\qquad\Omega_F^{(2)}</w:t>
      </w:r>
    </w:p>
    <w:p w:rsidR="00BA5935" w:rsidRDefault="00BA5935" w:rsidP="00BA5935">
      <w:pPr>
        <w:pStyle w:val="StandardWeb"/>
      </w:pPr>
      <w:r>
        <w:t>Eine strukturerhaltende Abbildung zwischen beiden darf nicht allein Zustände bijektiv zuordnen, sondern muss auch die jeweils relevante relationale Struktur erhalten.</w:t>
      </w:r>
    </w:p>
    <w:p w:rsidR="00BA5935" w:rsidRDefault="00E50336" w:rsidP="00BA5935">
      <w:r>
        <w:pict>
          <v:rect id="_x0000_i4274" style="width:0;height:1.5pt" o:hralign="center" o:hrstd="t" o:hr="t" fillcolor="#a0a0a0" stroked="f"/>
        </w:pict>
      </w:r>
    </w:p>
    <w:p w:rsidR="00BA5935" w:rsidRDefault="00BA5935" w:rsidP="00BA5935">
      <w:pPr>
        <w:pStyle w:val="berschrift1"/>
      </w:pPr>
      <w:r>
        <w:t>3.3.48.103 Strukturabbildung</w:t>
      </w:r>
    </w:p>
    <w:p w:rsidR="00BA5935" w:rsidRDefault="00BA5935" w:rsidP="00BA5935">
      <w:pPr>
        <w:pStyle w:val="StandardWeb"/>
      </w:pPr>
      <w:r>
        <w:t>Ich betrachte eine Abbildung</w:t>
      </w:r>
    </w:p>
    <w:p w:rsidR="00BA5935" w:rsidRDefault="00BA5935" w:rsidP="00BA5935">
      <w:pPr>
        <w:pStyle w:val="StandardWeb"/>
      </w:pPr>
      <w:r>
        <w:lastRenderedPageBreak/>
        <w:t>[</w:t>
      </w:r>
      <w:r>
        <w:br/>
        <w:t>\varphi:</w:t>
      </w:r>
      <w:r>
        <w:br/>
        <w:t>\Omega_F^{(1)}</w:t>
      </w:r>
      <w:r>
        <w:br/>
        <w:t>\rightarrow</w:t>
      </w:r>
      <w:r>
        <w:br/>
        <w:t>\Omega_F^{(2)}.</w:t>
      </w:r>
      <w:r>
        <w:br/>
        <w:t>\tag{3.12125}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\varphi:\Omega_F^{(1)}\rightarrow\Omega_F^{(2)}</w:t>
      </w:r>
    </w:p>
    <w:p w:rsidR="00BA5935" w:rsidRDefault="00BA5935" w:rsidP="00BA5935">
      <w:pPr>
        <w:pStyle w:val="StandardWeb"/>
      </w:pPr>
      <w:r>
        <w:t>Für eine Relation (R_F^{(1)}) in der ersten und (R_F^{(2)}) in der zweiten Struktur soll gelten</w:t>
      </w:r>
    </w:p>
    <w:p w:rsidR="00BA5935" w:rsidRDefault="00BA5935" w:rsidP="00BA5935">
      <w:pPr>
        <w:pStyle w:val="StandardWeb"/>
      </w:pPr>
      <w:r>
        <w:t>[</w:t>
      </w:r>
      <w:r>
        <w:br/>
        <w:t>(z_i,z_j)\in R_F^{(1)}</w:t>
      </w:r>
      <w:r>
        <w:br/>
        <w:t>\Longleftrightarrow</w:t>
      </w:r>
      <w:r>
        <w:br/>
        <w:t>(\varphi(z_i),\varphi(z_j))</w:t>
      </w:r>
      <w:r>
        <w:br/>
        <w:t>\in</w:t>
      </w:r>
      <w:r>
        <w:br/>
        <w:t>R_F^{(2)}.</w:t>
      </w:r>
      <w:r>
        <w:br/>
        <w:t>\tag{3.12126}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(z_i,z_j)\in R_F^{(1)}\Longleftrightarrow(\varphi(z_i),\varphi(z_j))\in R_F^{(2)}</w:t>
      </w:r>
    </w:p>
    <w:p w:rsidR="00BA5935" w:rsidRDefault="00E50336" w:rsidP="00BA5935">
      <w:r>
        <w:pict>
          <v:rect id="_x0000_i4275" style="width:0;height:1.5pt" o:hralign="center" o:hrstd="t" o:hr="t" fillcolor="#a0a0a0" stroked="f"/>
        </w:pict>
      </w:r>
    </w:p>
    <w:p w:rsidR="00BA5935" w:rsidRDefault="00BA5935" w:rsidP="00BA5935">
      <w:pPr>
        <w:pStyle w:val="berschrift1"/>
      </w:pPr>
      <w:r>
        <w:t>3.3.48.104 Definition 3.3.320 – Funktionaler Isomorphismus</w:t>
      </w:r>
    </w:p>
    <w:p w:rsidR="00BA5935" w:rsidRDefault="00BA5935" w:rsidP="00BA5935">
      <w:pPr>
        <w:pStyle w:val="berschrift3"/>
      </w:pPr>
      <w:r>
        <w:t>Definition 3.3.320</w:t>
      </w:r>
    </w:p>
    <w:p w:rsidR="00BA5935" w:rsidRDefault="00BA5935" w:rsidP="00BA5935">
      <w:pPr>
        <w:pStyle w:val="StandardWeb"/>
      </w:pPr>
      <w:r>
        <w:t xml:space="preserve">Ein </w:t>
      </w:r>
      <w:r>
        <w:rPr>
          <w:rStyle w:val="Fett"/>
        </w:rPr>
        <w:t>funktionaler Isomorphismus</w:t>
      </w:r>
      <w:r>
        <w:t xml:space="preserve"> zwischen zwei Strukturen (\mathfrak S_F^{(1)}) und (\mathfrak S_F^{(2)}) ist eine bijektive Abbildung</w:t>
      </w:r>
    </w:p>
    <w:p w:rsidR="00BA5935" w:rsidRDefault="00BA5935" w:rsidP="00BA5935">
      <w:pPr>
        <w:pStyle w:val="StandardWeb"/>
      </w:pPr>
      <w:r>
        <w:t>[</w:t>
      </w:r>
      <w:r>
        <w:br/>
        <w:t>\boxed{</w:t>
      </w:r>
      <w:r>
        <w:br/>
        <w:t>\varphi:</w:t>
      </w:r>
      <w:r>
        <w:br/>
        <w:t>\Omega_F^{(1)}</w:t>
      </w:r>
      <w:r>
        <w:br/>
        <w:t>\rightarrow</w:t>
      </w:r>
      <w:r>
        <w:br/>
        <w:t>\Omega_F^{(2)}</w:t>
      </w:r>
      <w:r>
        <w:br/>
        <w:t>}</w:t>
      </w:r>
      <w:r>
        <w:br/>
        <w:t>\tag{3.12127}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\boxed{\varphi:\Omega_F^{(1)}\rightarrow\Omega_F^{(2)}}</w:t>
      </w:r>
    </w:p>
    <w:p w:rsidR="00BA5935" w:rsidRDefault="00BA5935" w:rsidP="00BA5935">
      <w:pPr>
        <w:pStyle w:val="StandardWeb"/>
      </w:pPr>
      <w:r>
        <w:lastRenderedPageBreak/>
        <w:t>mit</w:t>
      </w:r>
    </w:p>
    <w:p w:rsidR="00BA5935" w:rsidRDefault="00BA5935" w:rsidP="00BA5935">
      <w:pPr>
        <w:pStyle w:val="StandardWeb"/>
      </w:pPr>
      <w:r>
        <w:t>[</w:t>
      </w:r>
      <w:r>
        <w:br/>
        <w:t>\boxed{</w:t>
      </w:r>
      <w:r>
        <w:br/>
        <w:t>(z_i,z_j)\in R_F^{(1)}</w:t>
      </w:r>
      <w:r>
        <w:br/>
        <w:t>\Longleftrightarrow</w:t>
      </w:r>
      <w:r>
        <w:br/>
        <w:t>(\varphi(z_i),\varphi(z_j))</w:t>
      </w:r>
      <w:r>
        <w:br/>
        <w:t>\in</w:t>
      </w:r>
      <w:r>
        <w:br/>
        <w:t>R_F^{(2)}</w:t>
      </w:r>
      <w:r>
        <w:br/>
        <w:t>}</w:t>
      </w:r>
      <w:r>
        <w:br/>
        <w:t>\tag{3.12128}</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\boxed{(z_i,z_j)\in R_F^{(1)}\Longleftrightarrow(\varphi(z_i),\varphi(z_j))\in R_F^{(2)}}</w:t>
      </w:r>
    </w:p>
    <w:p w:rsidR="00BA5935" w:rsidRDefault="00BA5935" w:rsidP="00BA5935">
      <w:pPr>
        <w:pStyle w:val="StandardWeb"/>
      </w:pPr>
      <w:r>
        <w:t>für sämtliche zur jeweiligen Modellklasse gehörenden relevanten Relationen.</w:t>
      </w:r>
    </w:p>
    <w:p w:rsidR="00BA5935" w:rsidRDefault="00BA5935" w:rsidP="00BA5935">
      <w:pPr>
        <w:pStyle w:val="StandardWeb"/>
      </w:pPr>
      <w:r>
        <w:t>Ich schreibe dann</w:t>
      </w:r>
    </w:p>
    <w:p w:rsidR="00BA5935" w:rsidRDefault="00BA5935" w:rsidP="00BA5935">
      <w:pPr>
        <w:pStyle w:val="StandardWeb"/>
      </w:pPr>
      <w:r>
        <w:t>[</w:t>
      </w:r>
      <w:r>
        <w:br/>
        <w:t>\mathfrak S_F^{(1)}</w:t>
      </w:r>
      <w:r>
        <w:br/>
        <w:t>\cong</w:t>
      </w:r>
      <w:r>
        <w:br/>
        <w:t>\mathfrak S_F^{(2)}.</w:t>
      </w:r>
      <w:r>
        <w:br/>
        <w:t>\tag{3.12129}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\mathfrak S_F^{(1)}\cong\mathfrak S_F^{(2)}</w:t>
      </w:r>
    </w:p>
    <w:p w:rsidR="00BA5935" w:rsidRDefault="00E50336" w:rsidP="00BA5935">
      <w:r>
        <w:pict>
          <v:rect id="_x0000_i4276" style="width:0;height:1.5pt" o:hralign="center" o:hrstd="t" o:hr="t" fillcolor="#a0a0a0" stroked="f"/>
        </w:pict>
      </w:r>
    </w:p>
    <w:p w:rsidR="00BA5935" w:rsidRDefault="00BA5935" w:rsidP="00BA5935">
      <w:pPr>
        <w:pStyle w:val="berschrift1"/>
      </w:pPr>
      <w:r>
        <w:t>3.3.48.105 Isomorphie bedeutet nicht Identität</w:t>
      </w:r>
    </w:p>
    <w:p w:rsidR="00BA5935" w:rsidRDefault="00BA5935" w:rsidP="00BA5935">
      <w:pPr>
        <w:pStyle w:val="StandardWeb"/>
      </w:pPr>
      <w:r>
        <w:t>Aus</w:t>
      </w:r>
    </w:p>
    <w:p w:rsidR="00BA5935" w:rsidRDefault="00BA5935" w:rsidP="00BA5935">
      <w:pPr>
        <w:pStyle w:val="StandardWeb"/>
      </w:pPr>
      <w:r>
        <w:t>[</w:t>
      </w:r>
      <w:r>
        <w:br/>
        <w:t>\mathfrak S_F^{(1)}</w:t>
      </w:r>
      <w:r>
        <w:br/>
        <w:t>\cong</w:t>
      </w:r>
      <w:r>
        <w:br/>
        <w:t>\mathfrak S_F^{(2)}</w:t>
      </w:r>
      <w:r>
        <w:br/>
        <w:t>\tag{3.12130}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\mathfrak S_F^{(1)}\cong\mathfrak S_F^{(2)}</w:t>
      </w:r>
    </w:p>
    <w:p w:rsidR="00BA5935" w:rsidRDefault="00BA5935" w:rsidP="00BA5935">
      <w:pPr>
        <w:pStyle w:val="StandardWeb"/>
      </w:pPr>
      <w:r>
        <w:t>folgt im Allgemeinen nicht</w:t>
      </w:r>
    </w:p>
    <w:p w:rsidR="00BA5935" w:rsidRDefault="00BA5935" w:rsidP="00BA5935">
      <w:pPr>
        <w:pStyle w:val="berschrift1"/>
      </w:pPr>
      <w:r>
        <w:lastRenderedPageBreak/>
        <w:t>[</w:t>
      </w:r>
      <w:r>
        <w:br/>
        <w:t>\mathfrak S_F^{(1)}</w:t>
      </w:r>
    </w:p>
    <w:p w:rsidR="00BA5935" w:rsidRDefault="00BA5935" w:rsidP="00BA5935">
      <w:pPr>
        <w:pStyle w:val="StandardWeb"/>
      </w:pPr>
      <w:r>
        <w:t>\mathfrak S_F^{(2)}.</w:t>
      </w:r>
      <w:r>
        <w:br/>
        <w:t>\tag{3.12131}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\mathfrak S_F^{(1)}=\mathfrak S_F^{(2)}</w:t>
      </w:r>
    </w:p>
    <w:p w:rsidR="00BA5935" w:rsidRDefault="00BA5935" w:rsidP="00BA5935">
      <w:pPr>
        <w:pStyle w:val="StandardWeb"/>
      </w:pPr>
      <w:r>
        <w:t>Zwei Strukturen können also verschieden repräsentiert sein und dennoch dieselbe relationale Organisation besitzen.</w:t>
      </w:r>
    </w:p>
    <w:p w:rsidR="00BA5935" w:rsidRDefault="00E50336" w:rsidP="00BA5935">
      <w:r>
        <w:pict>
          <v:rect id="_x0000_i4277" style="width:0;height:1.5pt" o:hralign="center" o:hrstd="t" o:hr="t" fillcolor="#a0a0a0" stroked="f"/>
        </w:pict>
      </w:r>
    </w:p>
    <w:p w:rsidR="00BA5935" w:rsidRDefault="00BA5935" w:rsidP="00BA5935">
      <w:pPr>
        <w:pStyle w:val="berschrift1"/>
      </w:pPr>
      <w:r>
        <w:t>3.3.48.106 Inverse eines Isomorphismus</w:t>
      </w:r>
    </w:p>
    <w:p w:rsidR="00BA5935" w:rsidRDefault="00BA5935" w:rsidP="00BA5935">
      <w:pPr>
        <w:pStyle w:val="StandardWeb"/>
      </w:pPr>
      <w:r>
        <w:t>Ist (\varphi) bijektiv, existiert</w:t>
      </w:r>
    </w:p>
    <w:p w:rsidR="00BA5935" w:rsidRDefault="00BA5935" w:rsidP="00BA5935">
      <w:pPr>
        <w:pStyle w:val="StandardWeb"/>
      </w:pPr>
      <w:r>
        <w:t>[</w:t>
      </w:r>
      <w:r>
        <w:br/>
        <w:t>\varphi^{-1}:</w:t>
      </w:r>
      <w:r>
        <w:br/>
        <w:t>\Omega_F^{(2)}</w:t>
      </w:r>
      <w:r>
        <w:br/>
        <w:t>\rightarrow</w:t>
      </w:r>
      <w:r>
        <w:br/>
        <w:t>\Omega_F^{(1)}.</w:t>
      </w:r>
      <w:r>
        <w:br/>
        <w:t>\tag{3.12132}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\varphi^{-1}:\Omega_F^{(2)}\rightarrow\Omega_F^{(1)}</w:t>
      </w:r>
    </w:p>
    <w:p w:rsidR="00BA5935" w:rsidRDefault="00BA5935" w:rsidP="00BA5935">
      <w:pPr>
        <w:pStyle w:val="StandardWeb"/>
      </w:pPr>
      <w:r>
        <w:t>Aus der Relationserhaltung von (\varphi) folgt auch die Relationserhaltung der inversen Abbildung.</w:t>
      </w:r>
    </w:p>
    <w:p w:rsidR="00BA5935" w:rsidRDefault="00E50336" w:rsidP="00BA5935">
      <w:r>
        <w:pict>
          <v:rect id="_x0000_i4278" style="width:0;height:1.5pt" o:hralign="center" o:hrstd="t" o:hr="t" fillcolor="#a0a0a0" stroked="f"/>
        </w:pict>
      </w:r>
    </w:p>
    <w:p w:rsidR="00BA5935" w:rsidRDefault="00BA5935" w:rsidP="00BA5935">
      <w:pPr>
        <w:pStyle w:val="berschrift1"/>
      </w:pPr>
      <w:r>
        <w:t>3.3.48.107 Satz 3.3.132 – Die Inverse eines funktionalen Isomorphismus ist ein Isomorphismus</w:t>
      </w:r>
    </w:p>
    <w:p w:rsidR="00BA5935" w:rsidRDefault="00BA5935" w:rsidP="00BA5935">
      <w:pPr>
        <w:pStyle w:val="berschrift3"/>
      </w:pPr>
      <w:r>
        <w:t>Satz 3.3.132</w:t>
      </w:r>
    </w:p>
    <w:p w:rsidR="00BA5935" w:rsidRDefault="00BA5935" w:rsidP="00BA5935">
      <w:pPr>
        <w:pStyle w:val="StandardWeb"/>
      </w:pPr>
      <w:r>
        <w:t>Ist</w:t>
      </w:r>
    </w:p>
    <w:p w:rsidR="00BA5935" w:rsidRDefault="00BA5935" w:rsidP="00BA5935">
      <w:pPr>
        <w:pStyle w:val="StandardWeb"/>
      </w:pPr>
      <w:r>
        <w:t>[</w:t>
      </w:r>
      <w:r>
        <w:br/>
        <w:t>\varphi:</w:t>
      </w:r>
      <w:r>
        <w:br/>
        <w:t>\mathfrak S_F^{(1)}</w:t>
      </w:r>
      <w:r>
        <w:br/>
        <w:t>\rightarrow</w:t>
      </w:r>
      <w:r>
        <w:br/>
        <w:t>\mathfrak S_F^{(2)}</w:t>
      </w:r>
      <w:r>
        <w:br/>
      </w:r>
      <w:r>
        <w:lastRenderedPageBreak/>
        <w:t>\tag{3.12133}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\varphi:\mathfrak S_F^{(1)}\rightarrow\mathfrak S_F^{(2)}</w:t>
      </w:r>
    </w:p>
    <w:p w:rsidR="00BA5935" w:rsidRDefault="00BA5935" w:rsidP="00BA5935">
      <w:pPr>
        <w:pStyle w:val="StandardWeb"/>
      </w:pPr>
      <w:r>
        <w:t>ein funktionaler Isomorphismus, dann ist</w:t>
      </w:r>
    </w:p>
    <w:p w:rsidR="00BA5935" w:rsidRDefault="00BA5935" w:rsidP="00BA5935">
      <w:pPr>
        <w:pStyle w:val="StandardWeb"/>
      </w:pPr>
      <w:r>
        <w:t>[</w:t>
      </w:r>
      <w:r>
        <w:br/>
        <w:t>\boxed{</w:t>
      </w:r>
      <w:r>
        <w:br/>
        <w:t>\varphi^{-1}:</w:t>
      </w:r>
      <w:r>
        <w:br/>
        <w:t>\mathfrak S_F^{(2)}</w:t>
      </w:r>
      <w:r>
        <w:br/>
        <w:t>\rightarrow</w:t>
      </w:r>
      <w:r>
        <w:br/>
        <w:t>\mathfrak S_F^{(1)}</w:t>
      </w:r>
      <w:r>
        <w:br/>
        <w:t>}</w:t>
      </w:r>
      <w:r>
        <w:br/>
        <w:t>\tag{3.12134}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\boxed{\varphi^{-1}:\mathfrak S_F^{(2)}\rightarrow\mathfrak S_F^{(1)}}</w:t>
      </w:r>
    </w:p>
    <w:p w:rsidR="00BA5935" w:rsidRDefault="00BA5935" w:rsidP="00BA5935">
      <w:pPr>
        <w:pStyle w:val="StandardWeb"/>
      </w:pPr>
      <w:r>
        <w:t>ebenfalls ein funktionaler Isomorphismus.</w:t>
      </w:r>
    </w:p>
    <w:p w:rsidR="00BA5935" w:rsidRDefault="00BA5935" w:rsidP="00BA5935">
      <w:pPr>
        <w:pStyle w:val="berschrift3"/>
      </w:pPr>
      <w:r>
        <w:t>Beweis</w:t>
      </w:r>
    </w:p>
    <w:p w:rsidR="00BA5935" w:rsidRDefault="00BA5935" w:rsidP="00BA5935">
      <w:pPr>
        <w:pStyle w:val="StandardWeb"/>
      </w:pPr>
      <w:r>
        <w:t>Aus</w:t>
      </w:r>
    </w:p>
    <w:p w:rsidR="00BA5935" w:rsidRDefault="00BA5935" w:rsidP="00BA5935">
      <w:pPr>
        <w:pStyle w:val="StandardWeb"/>
      </w:pPr>
      <w:r>
        <w:t>[</w:t>
      </w:r>
      <w:r>
        <w:br/>
        <w:t>(z_i,z_j)\in R_F^{(1)}</w:t>
      </w:r>
      <w:r>
        <w:br/>
        <w:t>\Longleftrightarrow</w:t>
      </w:r>
      <w:r>
        <w:br/>
        <w:t>(\varphi(z_i),\varphi(z_j))</w:t>
      </w:r>
      <w:r>
        <w:br/>
        <w:t>\in R_F^{(2)}</w:t>
      </w:r>
      <w:r>
        <w:br/>
        <w:t>\tag{3.12135}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(z_i,z_j)\in R_F^{(1)}\Longleftrightarrow(\varphi(z_i),\varphi(z_j))\in R_F^{(2)}</w:t>
      </w:r>
    </w:p>
    <w:p w:rsidR="00BA5935" w:rsidRDefault="00BA5935" w:rsidP="00BA5935">
      <w:pPr>
        <w:pStyle w:val="StandardWeb"/>
      </w:pPr>
      <w:r>
        <w:t>folgt durch Anwendung von (\varphi^{-1})</w:t>
      </w:r>
    </w:p>
    <w:p w:rsidR="00BA5935" w:rsidRDefault="00BA5935" w:rsidP="00BA5935">
      <w:pPr>
        <w:pStyle w:val="StandardWeb"/>
      </w:pPr>
      <w:r>
        <w:t>[</w:t>
      </w:r>
      <w:r>
        <w:br/>
        <w:t>(u_i,u_j)\in R_F^{(2)}</w:t>
      </w:r>
      <w:r>
        <w:br/>
        <w:t>\Longleftrightarrow</w:t>
      </w:r>
      <w:r>
        <w:br/>
        <w:t>(\varphi^{-1}(u_i),\varphi^{-1}(u_j))</w:t>
      </w:r>
      <w:r>
        <w:br/>
        <w:t>\in R_F^{(1)}.</w:t>
      </w:r>
      <w:r>
        <w:br/>
        <w:t>\tag{3.12136}</w:t>
      </w:r>
      <w:r>
        <w:br/>
        <w:t>]</w:t>
      </w:r>
    </w:p>
    <w:p w:rsidR="00BA5935" w:rsidRDefault="00BA5935" w:rsidP="00BA5935">
      <w:pPr>
        <w:pStyle w:val="StandardWeb"/>
      </w:pPr>
      <w:r>
        <w:rPr>
          <w:rStyle w:val="Fett"/>
        </w:rPr>
        <w:lastRenderedPageBreak/>
        <w:t>Word-LaTeX</w:t>
      </w:r>
    </w:p>
    <w:p w:rsidR="00BA5935" w:rsidRDefault="00BA5935" w:rsidP="00BA5935">
      <w:pPr>
        <w:pStyle w:val="HTMLVorformatiert"/>
        <w:rPr>
          <w:rStyle w:val="HTMLCode"/>
        </w:rPr>
      </w:pPr>
      <w:r>
        <w:rPr>
          <w:rStyle w:val="HTMLCode"/>
        </w:rPr>
        <w:t>(u_i,u_j)\in R_F^{(2)}\Longleftrightarrow(\varphi^{-1}(u_i),\varphi^{-1}(u_j))\in R_F^{(1)}</w:t>
      </w:r>
    </w:p>
    <w:p w:rsidR="00BA5935" w:rsidRDefault="00BA5935" w:rsidP="00BA5935">
      <w:pPr>
        <w:pStyle w:val="StandardWeb"/>
      </w:pPr>
      <w:r>
        <w:t>Damit erhält auch die inverse Abbildung die relevante Struktur. (\square)</w:t>
      </w:r>
    </w:p>
    <w:p w:rsidR="00BA5935" w:rsidRDefault="00E50336" w:rsidP="00BA5935">
      <w:r>
        <w:pict>
          <v:rect id="_x0000_i4279" style="width:0;height:1.5pt" o:hralign="center" o:hrstd="t" o:hr="t" fillcolor="#a0a0a0" stroked="f"/>
        </w:pict>
      </w:r>
    </w:p>
    <w:p w:rsidR="00BA5935" w:rsidRDefault="00BA5935" w:rsidP="00BA5935">
      <w:pPr>
        <w:pStyle w:val="berschrift1"/>
      </w:pPr>
      <w:r>
        <w:t>3.3.48.108 Komposition von Isomorphismen</w:t>
      </w:r>
    </w:p>
    <w:p w:rsidR="00BA5935" w:rsidRDefault="00BA5935" w:rsidP="00BA5935">
      <w:pPr>
        <w:pStyle w:val="StandardWeb"/>
      </w:pPr>
      <w:r>
        <w:t>Sind</w:t>
      </w:r>
    </w:p>
    <w:p w:rsidR="00BA5935" w:rsidRDefault="00BA5935" w:rsidP="00BA5935">
      <w:pPr>
        <w:pStyle w:val="StandardWeb"/>
      </w:pPr>
      <w:r>
        <w:t>[</w:t>
      </w:r>
      <w:r>
        <w:br/>
        <w:t>\varphi:</w:t>
      </w:r>
      <w:r>
        <w:br/>
        <w:t>\mathfrak S_F^{(1)}</w:t>
      </w:r>
      <w:r>
        <w:br/>
        <w:t>\rightarrow</w:t>
      </w:r>
      <w:r>
        <w:br/>
        <w:t>\mathfrak S_F^{(2)}</w:t>
      </w:r>
      <w:r>
        <w:br/>
        <w:t>\tag{3.12137}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\varphi:\mathfrak S_F^{(1)}\rightarrow\mathfrak S_F^{(2)}</w:t>
      </w:r>
    </w:p>
    <w:p w:rsidR="00BA5935" w:rsidRDefault="00BA5935" w:rsidP="00BA5935">
      <w:pPr>
        <w:pStyle w:val="StandardWeb"/>
      </w:pPr>
      <w:r>
        <w:t>und</w:t>
      </w:r>
    </w:p>
    <w:p w:rsidR="00BA5935" w:rsidRDefault="00BA5935" w:rsidP="00BA5935">
      <w:pPr>
        <w:pStyle w:val="StandardWeb"/>
      </w:pPr>
      <w:r>
        <w:t>[</w:t>
      </w:r>
      <w:r>
        <w:br/>
        <w:t>\psi:</w:t>
      </w:r>
      <w:r>
        <w:br/>
        <w:t>\mathfrak S_F^{(2)}</w:t>
      </w:r>
      <w:r>
        <w:br/>
        <w:t>\rightarrow</w:t>
      </w:r>
      <w:r>
        <w:br/>
        <w:t>\mathfrak S_F^{(3)}</w:t>
      </w:r>
      <w:r>
        <w:br/>
        <w:t>\tag{3.12138}</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\psi:\mathfrak S_F^{(2)}\rightarrow\mathfrak S_F^{(3)}</w:t>
      </w:r>
    </w:p>
    <w:p w:rsidR="00BA5935" w:rsidRDefault="00BA5935" w:rsidP="00BA5935">
      <w:pPr>
        <w:pStyle w:val="StandardWeb"/>
      </w:pPr>
      <w:r>
        <w:t>Isomorphismen, dann ist auch</w:t>
      </w:r>
    </w:p>
    <w:p w:rsidR="00BA5935" w:rsidRDefault="00BA5935" w:rsidP="00BA5935">
      <w:pPr>
        <w:pStyle w:val="StandardWeb"/>
      </w:pPr>
      <w:r>
        <w:t>[</w:t>
      </w:r>
      <w:r>
        <w:br/>
        <w:t>\psi\circ\varphi:</w:t>
      </w:r>
      <w:r>
        <w:br/>
        <w:t>\mathfrak S_F^{(1)}</w:t>
      </w:r>
      <w:r>
        <w:br/>
        <w:t>\rightarrow</w:t>
      </w:r>
      <w:r>
        <w:br/>
        <w:t>\mathfrak S_F^{(3)}</w:t>
      </w:r>
      <w:r>
        <w:br/>
        <w:t>\tag{3.12139}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\psi\circ\varphi:\mathfrak S_F^{(1)}\rightarrow\mathfrak S_F^{(3)}</w:t>
      </w:r>
    </w:p>
    <w:p w:rsidR="00BA5935" w:rsidRDefault="00BA5935" w:rsidP="00BA5935">
      <w:pPr>
        <w:pStyle w:val="StandardWeb"/>
      </w:pPr>
      <w:r>
        <w:lastRenderedPageBreak/>
        <w:t>strukturerhaltend.</w:t>
      </w:r>
    </w:p>
    <w:p w:rsidR="00BA5935" w:rsidRDefault="00E50336" w:rsidP="00BA5935">
      <w:r>
        <w:pict>
          <v:rect id="_x0000_i4280" style="width:0;height:1.5pt" o:hralign="center" o:hrstd="t" o:hr="t" fillcolor="#a0a0a0" stroked="f"/>
        </w:pict>
      </w:r>
    </w:p>
    <w:p w:rsidR="00BA5935" w:rsidRDefault="00BA5935" w:rsidP="00BA5935">
      <w:pPr>
        <w:pStyle w:val="berschrift1"/>
      </w:pPr>
      <w:r>
        <w:t>3.3.48.109 Satz 3.3.133 – Isomorphismen sind unter zulässiger Komposition abgeschlossen</w:t>
      </w:r>
    </w:p>
    <w:p w:rsidR="00BA5935" w:rsidRDefault="00BA5935" w:rsidP="00BA5935">
      <w:pPr>
        <w:pStyle w:val="berschrift3"/>
      </w:pPr>
      <w:r>
        <w:t>Satz 3.3.133</w:t>
      </w:r>
    </w:p>
    <w:p w:rsidR="00BA5935" w:rsidRDefault="00BA5935" w:rsidP="00BA5935">
      <w:pPr>
        <w:pStyle w:val="StandardWeb"/>
      </w:pPr>
      <w:r>
        <w:t>Für funktionale Isomorphismen (\varphi) und (\psi) gilt</w:t>
      </w:r>
    </w:p>
    <w:p w:rsidR="00BA5935" w:rsidRDefault="00BA5935" w:rsidP="00BA5935">
      <w:pPr>
        <w:pStyle w:val="StandardWeb"/>
      </w:pPr>
      <w:r>
        <w:t>[</w:t>
      </w:r>
      <w:r>
        <w:br/>
        <w:t>\boxed{</w:t>
      </w:r>
      <w:r>
        <w:br/>
        <w:t>\mathfrak S_F^{(1)}</w:t>
      </w:r>
      <w:r>
        <w:br/>
        <w:t>\xrightarrow{\varphi}</w:t>
      </w:r>
      <w:r>
        <w:br/>
        <w:t>\mathfrak S_F^{(2)}</w:t>
      </w:r>
      <w:r>
        <w:br/>
        <w:t>\xrightarrow{\psi}</w:t>
      </w:r>
      <w:r>
        <w:br/>
        <w:t>\mathfrak S_F^{(3)}</w:t>
      </w:r>
      <w:r>
        <w:br/>
        <w:t>\Rightarrow</w:t>
      </w:r>
      <w:r>
        <w:br/>
        <w:t>\mathfrak S_F^{(1)}</w:t>
      </w:r>
      <w:r>
        <w:br/>
        <w:t>\xrightarrow{\psi\circ\varphi}</w:t>
      </w:r>
      <w:r>
        <w:br/>
        <w:t>\mathfrak S_F^{(3)}.</w:t>
      </w:r>
      <w:r>
        <w:br/>
        <w:t>}</w:t>
      </w:r>
      <w:r>
        <w:br/>
        <w:t>\tag{3.12140}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\boxed{\mathfrak S_F^{(1)}\xrightarrow{\varphi}\mathfrak S_F^{(2)}\xrightarrow{\psi}\mathfrak S_F^{(3)}\Rightarrow\mathfrak S_F^{(1)}\xrightarrow{\psi\circ\varphi}\mathfrak S_F^{(3)}.}</w:t>
      </w:r>
    </w:p>
    <w:p w:rsidR="00BA5935" w:rsidRDefault="00E50336" w:rsidP="00BA5935">
      <w:r>
        <w:pict>
          <v:rect id="_x0000_i4281" style="width:0;height:1.5pt" o:hralign="center" o:hrstd="t" o:hr="t" fillcolor="#a0a0a0" stroked="f"/>
        </w:pict>
      </w:r>
    </w:p>
    <w:p w:rsidR="00BA5935" w:rsidRDefault="00BA5935" w:rsidP="00BA5935">
      <w:pPr>
        <w:pStyle w:val="berschrift1"/>
      </w:pPr>
      <w:r>
        <w:t>3.3.48.110 Isomorphie als Äquivalenzrelation auf Strukturklassen</w:t>
      </w:r>
    </w:p>
    <w:p w:rsidR="00BA5935" w:rsidRDefault="00BA5935" w:rsidP="00BA5935">
      <w:pPr>
        <w:pStyle w:val="StandardWeb"/>
      </w:pPr>
      <w:r>
        <w:t>Da Identität, inverse Isomorphismen und Komposition vorhanden sind, erfüllt strukturelle Isomorphie die drei Eigenschaften einer Äquivalenzrelation:</w:t>
      </w:r>
    </w:p>
    <w:p w:rsidR="00BA5935" w:rsidRDefault="00BA5935" w:rsidP="00BA5935">
      <w:pPr>
        <w:pStyle w:val="StandardWeb"/>
      </w:pPr>
      <w:r>
        <w:t>[</w:t>
      </w:r>
      <w:r>
        <w:br/>
        <w:t>\mathfrak S_F</w:t>
      </w:r>
      <w:r>
        <w:br/>
        <w:t>\cong</w:t>
      </w:r>
      <w:r>
        <w:br/>
        <w:t>\mathfrak S_F,</w:t>
      </w:r>
      <w:r>
        <w:br/>
        <w:t>\tag{3.12141}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\mathfrak S_F\cong\mathfrak S_F</w:t>
      </w:r>
    </w:p>
    <w:p w:rsidR="00BA5935" w:rsidRDefault="00BA5935" w:rsidP="00BA5935">
      <w:pPr>
        <w:pStyle w:val="StandardWeb"/>
      </w:pPr>
      <w:r>
        <w:lastRenderedPageBreak/>
        <w:t>[</w:t>
      </w:r>
      <w:r>
        <w:br/>
        <w:t>\mathfrak S_F^{(1)}</w:t>
      </w:r>
      <w:r>
        <w:br/>
        <w:t>\cong</w:t>
      </w:r>
      <w:r>
        <w:br/>
        <w:t>\mathfrak S_F^{(2)}</w:t>
      </w:r>
      <w:r>
        <w:br/>
        <w:t>\Rightarrow</w:t>
      </w:r>
      <w:r>
        <w:br/>
        <w:t>\mathfrak S_F^{(2)}</w:t>
      </w:r>
      <w:r>
        <w:br/>
        <w:t>\cong</w:t>
      </w:r>
      <w:r>
        <w:br/>
        <w:t>\mathfrak S_F^{(1)},</w:t>
      </w:r>
      <w:r>
        <w:br/>
        <w:t>\tag{3.12142}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\mathfrak S_F^{(1)}\cong\mathfrak S_F^{(2)}\Rightarrow\mathfrak S_F^{(2)}\cong\mathfrak S_F^{(1)}</w:t>
      </w:r>
    </w:p>
    <w:p w:rsidR="00BA5935" w:rsidRDefault="00BA5935" w:rsidP="00BA5935">
      <w:pPr>
        <w:pStyle w:val="StandardWeb"/>
      </w:pPr>
      <w:r>
        <w:t>und</w:t>
      </w:r>
    </w:p>
    <w:p w:rsidR="00BA5935" w:rsidRDefault="00BA5935" w:rsidP="00BA5935">
      <w:pPr>
        <w:pStyle w:val="StandardWeb"/>
      </w:pPr>
      <w:r>
        <w:t>[</w:t>
      </w:r>
      <w:r>
        <w:br/>
        <w:t>\mathfrak S_F^{(1)}</w:t>
      </w:r>
      <w:r>
        <w:br/>
        <w:t>\cong</w:t>
      </w:r>
      <w:r>
        <w:br/>
        <w:t>\mathfrak S_F^{(2)}</w:t>
      </w:r>
      <w:r>
        <w:br/>
        <w:t>\land</w:t>
      </w:r>
      <w:r>
        <w:br/>
        <w:t>\mathfrak S_F^{(2)}</w:t>
      </w:r>
      <w:r>
        <w:br/>
        <w:t>\cong</w:t>
      </w:r>
      <w:r>
        <w:br/>
        <w:t>\mathfrak S_F^{(3)}</w:t>
      </w:r>
      <w:r>
        <w:br/>
        <w:t>\Rightarrow</w:t>
      </w:r>
      <w:r>
        <w:br/>
        <w:t>\mathfrak S_F^{(1)}</w:t>
      </w:r>
      <w:r>
        <w:br/>
        <w:t>\cong</w:t>
      </w:r>
      <w:r>
        <w:br/>
        <w:t>\mathfrak S_F^{(3)}.</w:t>
      </w:r>
      <w:r>
        <w:br/>
        <w:t>\tag{3.12143}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\mathfrak S_F^{(1)}\cong\mathfrak S_F^{(2)}\land\mathfrak S_F^{(2)}\cong\mathfrak S_F^{(3)}\Rightarrow\mathfrak S_F^{(1)}\cong\mathfrak S_F^{(3)}</w:t>
      </w:r>
    </w:p>
    <w:p w:rsidR="00BA5935" w:rsidRDefault="00E50336" w:rsidP="00BA5935">
      <w:r>
        <w:pict>
          <v:rect id="_x0000_i4282" style="width:0;height:1.5pt" o:hralign="center" o:hrstd="t" o:hr="t" fillcolor="#a0a0a0" stroked="f"/>
        </w:pict>
      </w:r>
    </w:p>
    <w:p w:rsidR="00BA5935" w:rsidRDefault="00BA5935" w:rsidP="00BA5935">
      <w:pPr>
        <w:pStyle w:val="berschrift1"/>
      </w:pPr>
      <w:r>
        <w:t>3.3.48.111 Korollar 3.3.32 – Funktionale Isomorphie erzeugt Strukturklassen</w:t>
      </w:r>
    </w:p>
    <w:p w:rsidR="00BA5935" w:rsidRDefault="00BA5935" w:rsidP="00BA5935">
      <w:pPr>
        <w:pStyle w:val="berschrift3"/>
      </w:pPr>
      <w:r>
        <w:t>Korollar 3.3.32</w:t>
      </w:r>
    </w:p>
    <w:p w:rsidR="00BA5935" w:rsidRDefault="00BA5935" w:rsidP="00BA5935">
      <w:pPr>
        <w:pStyle w:val="StandardWeb"/>
      </w:pPr>
      <w:r>
        <w:t>Die Relation</w:t>
      </w:r>
    </w:p>
    <w:p w:rsidR="00BA5935" w:rsidRDefault="00BA5935" w:rsidP="00BA5935">
      <w:pPr>
        <w:pStyle w:val="StandardWeb"/>
      </w:pPr>
      <w:r>
        <w:t>[</w:t>
      </w:r>
      <w:r>
        <w:br/>
        <w:t>\boxed{</w:t>
      </w:r>
      <w:r>
        <w:br/>
        <w:t>\cong</w:t>
      </w:r>
      <w:r>
        <w:br/>
        <w:t>}</w:t>
      </w:r>
      <w:r>
        <w:br/>
      </w:r>
      <w:r>
        <w:lastRenderedPageBreak/>
        <w:t>\tag{3.12144}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\boxed{\cong}</w:t>
      </w:r>
    </w:p>
    <w:p w:rsidR="00BA5935" w:rsidRDefault="00BA5935" w:rsidP="00BA5935">
      <w:pPr>
        <w:pStyle w:val="StandardWeb"/>
      </w:pPr>
      <w:r>
        <w:t>zerlegt die Menge geeigneter funktionaler Strukturen in Isomorphieklassen.</w:t>
      </w:r>
    </w:p>
    <w:p w:rsidR="00BA5935" w:rsidRDefault="00E50336" w:rsidP="00BA5935">
      <w:r>
        <w:pict>
          <v:rect id="_x0000_i4283" style="width:0;height:1.5pt" o:hralign="center" o:hrstd="t" o:hr="t" fillcolor="#a0a0a0" stroked="f"/>
        </w:pict>
      </w:r>
    </w:p>
    <w:p w:rsidR="00BA5935" w:rsidRDefault="00BA5935" w:rsidP="00BA5935">
      <w:pPr>
        <w:pStyle w:val="berschrift1"/>
      </w:pPr>
      <w:r>
        <w:t>3.3.48.112 Definition 3.3.321 – Funktionale Isomorphieklasse</w:t>
      </w:r>
    </w:p>
    <w:p w:rsidR="00BA5935" w:rsidRDefault="00BA5935" w:rsidP="00BA5935">
      <w:pPr>
        <w:pStyle w:val="berschrift3"/>
      </w:pPr>
      <w:r>
        <w:t>Definition 3.3.321</w:t>
      </w:r>
    </w:p>
    <w:p w:rsidR="00BA5935" w:rsidRDefault="00BA5935" w:rsidP="00BA5935">
      <w:pPr>
        <w:pStyle w:val="StandardWeb"/>
      </w:pPr>
      <w:r>
        <w:t xml:space="preserve">Die </w:t>
      </w:r>
      <w:r>
        <w:rPr>
          <w:rStyle w:val="Fett"/>
        </w:rPr>
        <w:t>funktionale Isomorphieklasse</w:t>
      </w:r>
      <w:r>
        <w:t xml:space="preserve"> einer Struktur (\mathfrak S_F) ist</w:t>
      </w:r>
    </w:p>
    <w:p w:rsidR="00BA5935" w:rsidRDefault="00BA5935" w:rsidP="00BA5935">
      <w:pPr>
        <w:pStyle w:val="StandardWeb"/>
      </w:pPr>
      <w:r>
        <w:t>[</w:t>
      </w:r>
      <w:r>
        <w:br/>
        <w:t>\boxed{</w:t>
      </w:r>
      <w:r>
        <w:br/>
        <w:t>[\mathfrak S_F]_{\cong}</w:t>
      </w:r>
      <w:r>
        <w:br/>
        <w:t>:=</w:t>
      </w:r>
      <w:r>
        <w:br/>
        <w:t>\left{</w:t>
      </w:r>
      <w:r>
        <w:br/>
        <w:t>\mathfrak S_F'</w:t>
      </w:r>
      <w:r>
        <w:br/>
        <w:t>:</w:t>
      </w:r>
      <w:r>
        <w:br/>
        <w:t>\mathfrak S_F'</w:t>
      </w:r>
      <w:r>
        <w:br/>
        <w:t>\cong</w:t>
      </w:r>
      <w:r>
        <w:br/>
        <w:t>\mathfrak S_F</w:t>
      </w:r>
      <w:r>
        <w:br/>
        <w:t>\right}.</w:t>
      </w:r>
      <w:r>
        <w:br/>
        <w:t>}</w:t>
      </w:r>
      <w:r>
        <w:br/>
        <w:t>\tag{3.12145}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\boxed{[\mathfrak S_F]_{\cong}:=\left\{\mathfrak S_F':\mathfrak S_F'\cong\mathfrak S_F\right\}.}</w:t>
      </w:r>
    </w:p>
    <w:p w:rsidR="00BA5935" w:rsidRDefault="00E50336" w:rsidP="00BA5935">
      <w:r>
        <w:pict>
          <v:rect id="_x0000_i4284" style="width:0;height:1.5pt" o:hralign="center" o:hrstd="t" o:hr="t" fillcolor="#a0a0a0" stroked="f"/>
        </w:pict>
      </w:r>
    </w:p>
    <w:p w:rsidR="00BA5935" w:rsidRDefault="00BA5935" w:rsidP="00BA5935">
      <w:pPr>
        <w:pStyle w:val="berschrift1"/>
      </w:pPr>
      <w:r>
        <w:t>3.3.48.113 Automorphismen</w:t>
      </w:r>
    </w:p>
    <w:p w:rsidR="00BA5935" w:rsidRDefault="00BA5935" w:rsidP="00BA5935">
      <w:pPr>
        <w:pStyle w:val="StandardWeb"/>
      </w:pPr>
      <w:r>
        <w:t>Ein Isomorphismus einer Struktur auf sich selbst besitzt eine besondere Bedeutung.</w:t>
      </w:r>
    </w:p>
    <w:p w:rsidR="00BA5935" w:rsidRDefault="00BA5935" w:rsidP="00BA5935">
      <w:pPr>
        <w:pStyle w:val="StandardWeb"/>
      </w:pPr>
      <w:r>
        <w:t>Sei</w:t>
      </w:r>
    </w:p>
    <w:p w:rsidR="00BA5935" w:rsidRDefault="00BA5935" w:rsidP="00BA5935">
      <w:pPr>
        <w:pStyle w:val="StandardWeb"/>
      </w:pPr>
      <w:r>
        <w:t>[</w:t>
      </w:r>
      <w:r>
        <w:br/>
        <w:t>\varphi:</w:t>
      </w:r>
      <w:r>
        <w:br/>
        <w:t>\mathfrak S_F</w:t>
      </w:r>
      <w:r>
        <w:br/>
        <w:t>\rightarrow</w:t>
      </w:r>
      <w:r>
        <w:br/>
        <w:t>\mathfrak S_F.</w:t>
      </w:r>
      <w:r>
        <w:br/>
      </w:r>
      <w:r>
        <w:lastRenderedPageBreak/>
        <w:t>\tag{3.12146}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\varphi:\mathfrak S_F\rightarrow\mathfrak S_F</w:t>
      </w:r>
    </w:p>
    <w:p w:rsidR="00BA5935" w:rsidRDefault="00BA5935" w:rsidP="00BA5935">
      <w:pPr>
        <w:pStyle w:val="StandardWeb"/>
      </w:pPr>
      <w:r>
        <w:t>Ist (\varphi) bijektiv und strukturerhaltend, handelt es sich um einen Automorphismus.</w:t>
      </w:r>
    </w:p>
    <w:p w:rsidR="00BA5935" w:rsidRDefault="00E50336" w:rsidP="00BA5935">
      <w:r>
        <w:pict>
          <v:rect id="_x0000_i4285" style="width:0;height:1.5pt" o:hralign="center" o:hrstd="t" o:hr="t" fillcolor="#a0a0a0" stroked="f"/>
        </w:pict>
      </w:r>
    </w:p>
    <w:p w:rsidR="00BA5935" w:rsidRDefault="00BA5935" w:rsidP="00BA5935">
      <w:pPr>
        <w:pStyle w:val="berschrift1"/>
      </w:pPr>
      <w:r>
        <w:t>3.3.48.114 Definition 3.3.322 – Funktionaler Automorphismus</w:t>
      </w:r>
    </w:p>
    <w:p w:rsidR="00BA5935" w:rsidRDefault="00BA5935" w:rsidP="00BA5935">
      <w:pPr>
        <w:pStyle w:val="berschrift3"/>
      </w:pPr>
      <w:r>
        <w:t>Definition 3.3.322</w:t>
      </w:r>
    </w:p>
    <w:p w:rsidR="00BA5935" w:rsidRDefault="00BA5935" w:rsidP="00BA5935">
      <w:pPr>
        <w:pStyle w:val="StandardWeb"/>
      </w:pPr>
      <w:r>
        <w:t xml:space="preserve">Ein </w:t>
      </w:r>
      <w:r>
        <w:rPr>
          <w:rStyle w:val="Fett"/>
        </w:rPr>
        <w:t>funktionaler Automorphismus</w:t>
      </w:r>
      <w:r>
        <w:t xml:space="preserve"> einer Struktur (\mathfrak S_F) ist ein Isomorphismus</w:t>
      </w:r>
    </w:p>
    <w:p w:rsidR="00BA5935" w:rsidRDefault="00BA5935" w:rsidP="00BA5935">
      <w:pPr>
        <w:pStyle w:val="StandardWeb"/>
      </w:pPr>
      <w:r>
        <w:t>[</w:t>
      </w:r>
      <w:r>
        <w:br/>
        <w:t>\boxed{</w:t>
      </w:r>
      <w:r>
        <w:br/>
        <w:t>\varphi:</w:t>
      </w:r>
      <w:r>
        <w:br/>
        <w:t>\mathfrak S_F</w:t>
      </w:r>
      <w:r>
        <w:br/>
        <w:t>\rightarrow</w:t>
      </w:r>
      <w:r>
        <w:br/>
        <w:t>\mathfrak S_F.</w:t>
      </w:r>
      <w:r>
        <w:br/>
        <w:t>}</w:t>
      </w:r>
      <w:r>
        <w:br/>
        <w:t>\tag{3.12147}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\boxed{\varphi:\mathfrak S_F\rightarrow\mathfrak S_F.}</w:t>
      </w:r>
    </w:p>
    <w:p w:rsidR="00BA5935" w:rsidRDefault="00E50336" w:rsidP="00BA5935">
      <w:r>
        <w:pict>
          <v:rect id="_x0000_i4286" style="width:0;height:1.5pt" o:hralign="center" o:hrstd="t" o:hr="t" fillcolor="#a0a0a0" stroked="f"/>
        </w:pict>
      </w:r>
    </w:p>
    <w:p w:rsidR="00BA5935" w:rsidRDefault="00BA5935" w:rsidP="00BA5935">
      <w:pPr>
        <w:pStyle w:val="berschrift1"/>
      </w:pPr>
      <w:r>
        <w:t>3.3.48.115 Automorphismen und Symmetrien</w:t>
      </w:r>
    </w:p>
    <w:p w:rsidR="00BA5935" w:rsidRDefault="00BA5935" w:rsidP="00BA5935">
      <w:pPr>
        <w:pStyle w:val="StandardWeb"/>
      </w:pPr>
      <w:r>
        <w:t>Jeder Automorphismus ist eine invertierbare strukturerhaltende Selbstabbildung.</w:t>
      </w:r>
    </w:p>
    <w:p w:rsidR="00BA5935" w:rsidRDefault="00BA5935" w:rsidP="00BA5935">
      <w:pPr>
        <w:pStyle w:val="StandardWeb"/>
      </w:pPr>
      <w:r>
        <w:t>Damit gilt unter identischer Wahl des Strukturerhaltungskriteriums</w:t>
      </w:r>
    </w:p>
    <w:p w:rsidR="00BA5935" w:rsidRDefault="00BA5935" w:rsidP="00BA5935">
      <w:pPr>
        <w:pStyle w:val="berschrift1"/>
      </w:pPr>
      <w:r>
        <w:t>[</w:t>
      </w:r>
      <w:r>
        <w:br/>
        <w:t>\operatorname{Aut}</w:t>
      </w:r>
      <w:r>
        <w:br/>
        <w:t>(\mathfrak S_F)</w:t>
      </w:r>
    </w:p>
    <w:p w:rsidR="00BA5935" w:rsidRDefault="00BA5935" w:rsidP="00BA5935">
      <w:pPr>
        <w:pStyle w:val="StandardWeb"/>
      </w:pPr>
      <w:r>
        <w:t>\operatorname{Sym}^{\times}</w:t>
      </w:r>
      <w:r>
        <w:br/>
        <w:t>(\mathfrak S_F).</w:t>
      </w:r>
      <w:r>
        <w:br/>
        <w:t>\tag{3.12148}</w:t>
      </w:r>
      <w:r>
        <w:br/>
        <w:t>]</w:t>
      </w:r>
    </w:p>
    <w:p w:rsidR="00BA5935" w:rsidRDefault="00BA5935" w:rsidP="00BA5935">
      <w:pPr>
        <w:pStyle w:val="StandardWeb"/>
      </w:pPr>
      <w:r>
        <w:rPr>
          <w:rStyle w:val="Fett"/>
        </w:rPr>
        <w:lastRenderedPageBreak/>
        <w:t>Word-LaTeX</w:t>
      </w:r>
    </w:p>
    <w:p w:rsidR="00BA5935" w:rsidRDefault="00BA5935" w:rsidP="00BA5935">
      <w:pPr>
        <w:pStyle w:val="HTMLVorformatiert"/>
        <w:rPr>
          <w:rStyle w:val="HTMLCode"/>
        </w:rPr>
      </w:pPr>
      <w:r>
        <w:rPr>
          <w:rStyle w:val="HTMLCode"/>
        </w:rPr>
        <w:t>\operatorname{Aut}(\mathfrak S_F)=\operatorname{Sym}^{\times}(\mathfrak S_F)</w:t>
      </w:r>
    </w:p>
    <w:p w:rsidR="00BA5935" w:rsidRDefault="00BA5935" w:rsidP="00BA5935">
      <w:pPr>
        <w:pStyle w:val="StandardWeb"/>
      </w:pPr>
      <w:r>
        <w:t>Diese Gleichsetzung gilt nur dann, wenn in beiden Begriffen dieselbe relevante Struktur zugrunde gelegt wird.</w:t>
      </w:r>
    </w:p>
    <w:p w:rsidR="00BA5935" w:rsidRDefault="00E50336" w:rsidP="00BA5935">
      <w:r>
        <w:pict>
          <v:rect id="_x0000_i4287" style="width:0;height:1.5pt" o:hralign="center" o:hrstd="t" o:hr="t" fillcolor="#a0a0a0" stroked="f"/>
        </w:pict>
      </w:r>
    </w:p>
    <w:p w:rsidR="00BA5935" w:rsidRDefault="00BA5935" w:rsidP="00BA5935">
      <w:pPr>
        <w:pStyle w:val="berschrift1"/>
      </w:pPr>
      <w:r>
        <w:t>3.3.48.116 Definition 3.3.323 – Funktionale Automorphismengruppe</w:t>
      </w:r>
    </w:p>
    <w:p w:rsidR="00BA5935" w:rsidRDefault="00BA5935" w:rsidP="00BA5935">
      <w:pPr>
        <w:pStyle w:val="berschrift3"/>
      </w:pPr>
      <w:r>
        <w:t>Definition 3.3.323</w:t>
      </w:r>
    </w:p>
    <w:p w:rsidR="00BA5935" w:rsidRDefault="00BA5935" w:rsidP="00BA5935">
      <w:pPr>
        <w:pStyle w:val="StandardWeb"/>
      </w:pPr>
      <w:r>
        <w:t>Die Menge aller Automorphismen einer funktionalen Struktur bezeichne ich mit</w:t>
      </w:r>
    </w:p>
    <w:p w:rsidR="00BA5935" w:rsidRDefault="00BA5935" w:rsidP="00BA5935">
      <w:pPr>
        <w:pStyle w:val="StandardWeb"/>
      </w:pPr>
      <w:r>
        <w:t>[</w:t>
      </w:r>
      <w:r>
        <w:br/>
        <w:t>\boxed{</w:t>
      </w:r>
      <w:r>
        <w:br/>
        <w:t>\operatorname{Aut}</w:t>
      </w:r>
      <w:r>
        <w:br/>
        <w:t>(\mathfrak S_F).</w:t>
      </w:r>
      <w:r>
        <w:br/>
        <w:t>}</w:t>
      </w:r>
      <w:r>
        <w:br/>
        <w:t>\tag{3.12149}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\boxed{\operatorname{Aut}(\mathfrak S_F).}</w:t>
      </w:r>
    </w:p>
    <w:p w:rsidR="00BA5935" w:rsidRDefault="00BA5935" w:rsidP="00BA5935">
      <w:pPr>
        <w:pStyle w:val="StandardWeb"/>
      </w:pPr>
      <w:r>
        <w:t>Unter Komposition bildet sie eine Gruppe.</w:t>
      </w:r>
    </w:p>
    <w:p w:rsidR="00BA5935" w:rsidRDefault="00E50336" w:rsidP="00BA5935">
      <w:r>
        <w:pict>
          <v:rect id="_x0000_i4288" style="width:0;height:1.5pt" o:hralign="center" o:hrstd="t" o:hr="t" fillcolor="#a0a0a0" stroked="f"/>
        </w:pict>
      </w:r>
    </w:p>
    <w:p w:rsidR="00BA5935" w:rsidRDefault="00BA5935" w:rsidP="00BA5935">
      <w:pPr>
        <w:pStyle w:val="berschrift1"/>
      </w:pPr>
      <w:r>
        <w:t>3.3.48.117 Satz 3.3.134 – Automorphismen bilden eine Gruppe</w:t>
      </w:r>
    </w:p>
    <w:p w:rsidR="00BA5935" w:rsidRDefault="00BA5935" w:rsidP="00BA5935">
      <w:pPr>
        <w:pStyle w:val="berschrift3"/>
      </w:pPr>
      <w:r>
        <w:t>Satz 3.3.134</w:t>
      </w:r>
    </w:p>
    <w:p w:rsidR="00BA5935" w:rsidRDefault="00BA5935" w:rsidP="00BA5935">
      <w:pPr>
        <w:pStyle w:val="StandardWeb"/>
      </w:pPr>
      <w:r>
        <w:t>Für eine funktionale Struktur (\mathfrak S_F) gilt</w:t>
      </w:r>
    </w:p>
    <w:p w:rsidR="00BA5935" w:rsidRDefault="00BA5935" w:rsidP="00BA5935">
      <w:pPr>
        <w:pStyle w:val="StandardWeb"/>
      </w:pPr>
      <w:r>
        <w:t>[</w:t>
      </w:r>
      <w:r>
        <w:br/>
        <w:t>\boxed{</w:t>
      </w:r>
      <w:r>
        <w:br/>
        <w:t>\left(</w:t>
      </w:r>
      <w:r>
        <w:br/>
        <w:t>\operatorname{Aut}</w:t>
      </w:r>
      <w:r>
        <w:br/>
        <w:t>(\mathfrak S_F),</w:t>
      </w:r>
      <w:r>
        <w:br/>
        <w:t>\circ</w:t>
      </w:r>
      <w:r>
        <w:br/>
        <w:t>\right)</w:t>
      </w:r>
      <w:r>
        <w:br/>
        <w:t>\text{ ist eine Gruppe}.</w:t>
      </w:r>
      <w:r>
        <w:br/>
        <w:t>}</w:t>
      </w:r>
      <w:r>
        <w:br/>
      </w:r>
      <w:r>
        <w:lastRenderedPageBreak/>
        <w:t>\tag{3.12150}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\boxed{\left(\operatorname{Aut}(\mathfrak S_F),\circ\right)\text{ ist eine Gruppe}.}</w:t>
      </w:r>
    </w:p>
    <w:p w:rsidR="00BA5935" w:rsidRDefault="00BA5935" w:rsidP="00BA5935">
      <w:pPr>
        <w:pStyle w:val="berschrift3"/>
      </w:pPr>
      <w:r>
        <w:t>Beweis</w:t>
      </w:r>
    </w:p>
    <w:p w:rsidR="00BA5935" w:rsidRDefault="00BA5935" w:rsidP="00BA5935">
      <w:pPr>
        <w:pStyle w:val="StandardWeb"/>
      </w:pPr>
      <w:r>
        <w:t>Die Identität ist ein Automorphismus. Die Komposition zweier Automorphismen ist nach Satz 3.3.133 wieder ein Isomorphismus derselben Struktur auf sich selbst. Nach Satz 3.3.132 ist auch die inverse Abbildung eines Automorphismus wieder ein Automorphismus. Die Assoziativität folgt aus der Funktionskomposition. (\square)</w:t>
      </w:r>
    </w:p>
    <w:p w:rsidR="00BA5935" w:rsidRDefault="00E50336" w:rsidP="00BA5935">
      <w:r>
        <w:pict>
          <v:rect id="_x0000_i4289" style="width:0;height:1.5pt" o:hralign="center" o:hrstd="t" o:hr="t" fillcolor="#a0a0a0" stroked="f"/>
        </w:pict>
      </w:r>
    </w:p>
    <w:p w:rsidR="00BA5935" w:rsidRDefault="00BA5935" w:rsidP="00BA5935">
      <w:pPr>
        <w:pStyle w:val="berschrift1"/>
      </w:pPr>
      <w:r>
        <w:t>3.3.48.118 Trivialer Automorphismus</w:t>
      </w:r>
    </w:p>
    <w:p w:rsidR="00BA5935" w:rsidRDefault="00BA5935" w:rsidP="00BA5935">
      <w:pPr>
        <w:pStyle w:val="StandardWeb"/>
      </w:pPr>
      <w:r>
        <w:t>Jede Struktur besitzt mindestens</w:t>
      </w:r>
    </w:p>
    <w:p w:rsidR="00BA5935" w:rsidRDefault="00BA5935" w:rsidP="00BA5935">
      <w:pPr>
        <w:pStyle w:val="StandardWeb"/>
      </w:pPr>
      <w:r>
        <w:t>[</w:t>
      </w:r>
      <w:r>
        <w:br/>
        <w:t>\operatorname{id}_{\Omega_F}</w:t>
      </w:r>
      <w:r>
        <w:br/>
        <w:t>\in</w:t>
      </w:r>
      <w:r>
        <w:br/>
        <w:t>\operatorname{Aut}</w:t>
      </w:r>
      <w:r>
        <w:br/>
        <w:t>(\mathfrak S_F).</w:t>
      </w:r>
      <w:r>
        <w:br/>
        <w:t>\tag{3.12151}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\operatorname{id}_{\Omega_F}\in\operatorname{Aut}(\mathfrak S_F)</w:t>
      </w:r>
    </w:p>
    <w:p w:rsidR="00BA5935" w:rsidRDefault="00BA5935" w:rsidP="00BA5935">
      <w:pPr>
        <w:pStyle w:val="StandardWeb"/>
      </w:pPr>
      <w:r>
        <w:t>Eine Struktur kann jedoch die triviale Automorphismengruppe besitzen:</w:t>
      </w:r>
    </w:p>
    <w:p w:rsidR="00BA5935" w:rsidRDefault="00BA5935" w:rsidP="00BA5935">
      <w:pPr>
        <w:pStyle w:val="berschrift1"/>
      </w:pPr>
      <w:r>
        <w:t>[</w:t>
      </w:r>
      <w:r>
        <w:br/>
        <w:t>\operatorname{Aut}</w:t>
      </w:r>
      <w:r>
        <w:br/>
        <w:t>(\mathfrak S_F)</w:t>
      </w:r>
    </w:p>
    <w:p w:rsidR="00BA5935" w:rsidRDefault="00BA5935" w:rsidP="00BA5935">
      <w:pPr>
        <w:pStyle w:val="StandardWeb"/>
      </w:pPr>
      <w:r>
        <w:t>{</w:t>
      </w:r>
      <w:r>
        <w:br/>
        <w:t>\operatorname{id}_{\Omega_F}</w:t>
      </w:r>
      <w:r>
        <w:br/>
        <w:t>}.</w:t>
      </w:r>
      <w:r>
        <w:br/>
        <w:t>\tag{3.12152}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\operatorname{Aut}(\mathfrak S_F)=\{\operatorname{id}_{\Omega_F}\}</w:t>
      </w:r>
    </w:p>
    <w:p w:rsidR="00BA5935" w:rsidRDefault="00E50336" w:rsidP="00BA5935">
      <w:r>
        <w:pict>
          <v:rect id="_x0000_i4290" style="width:0;height:1.5pt" o:hralign="center" o:hrstd="t" o:hr="t" fillcolor="#a0a0a0" stroked="f"/>
        </w:pict>
      </w:r>
    </w:p>
    <w:p w:rsidR="00BA5935" w:rsidRDefault="00BA5935" w:rsidP="00BA5935">
      <w:pPr>
        <w:pStyle w:val="berschrift1"/>
      </w:pPr>
      <w:r>
        <w:lastRenderedPageBreak/>
        <w:t>3.3.48.119 Definition 3.3.324 – Automorph starre funktionale Struktur</w:t>
      </w:r>
    </w:p>
    <w:p w:rsidR="00BA5935" w:rsidRDefault="00BA5935" w:rsidP="00BA5935">
      <w:pPr>
        <w:pStyle w:val="berschrift3"/>
      </w:pPr>
      <w:r>
        <w:t>Definition 3.3.324</w:t>
      </w:r>
    </w:p>
    <w:p w:rsidR="00BA5935" w:rsidRDefault="00BA5935" w:rsidP="00BA5935">
      <w:pPr>
        <w:pStyle w:val="StandardWeb"/>
      </w:pPr>
      <w:r>
        <w:t xml:space="preserve">Eine funktionale Struktur heißt </w:t>
      </w:r>
      <w:r>
        <w:rPr>
          <w:rStyle w:val="Fett"/>
        </w:rPr>
        <w:t>automorph starr</w:t>
      </w:r>
      <w:r>
        <w:t>, wenn</w:t>
      </w:r>
    </w:p>
    <w:p w:rsidR="00BA5935" w:rsidRDefault="00BA5935" w:rsidP="00BA5935">
      <w:pPr>
        <w:pStyle w:val="berschrift1"/>
      </w:pPr>
      <w:r>
        <w:t>[</w:t>
      </w:r>
      <w:r>
        <w:br/>
        <w:t>\boxed{</w:t>
      </w:r>
      <w:r>
        <w:br/>
        <w:t>\operatorname{Aut}</w:t>
      </w:r>
      <w:r>
        <w:br/>
        <w:t>(\mathfrak S_F)</w:t>
      </w:r>
    </w:p>
    <w:p w:rsidR="00BA5935" w:rsidRDefault="00BA5935" w:rsidP="00BA5935">
      <w:pPr>
        <w:pStyle w:val="StandardWeb"/>
      </w:pPr>
      <w:r>
        <w:t>{</w:t>
      </w:r>
      <w:r>
        <w:br/>
        <w:t>\operatorname{id}_{\Omega_F}</w:t>
      </w:r>
      <w:r>
        <w:br/>
        <w:t>}.</w:t>
      </w:r>
      <w:r>
        <w:br/>
        <w:t>}</w:t>
      </w:r>
      <w:r>
        <w:br/>
        <w:t>\tag{3.12153}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\boxed{\operatorname{Aut}(\mathfrak S_F)=\{\operatorname{id}_{\Omega_F}\}.}</w:t>
      </w:r>
    </w:p>
    <w:p w:rsidR="00BA5935" w:rsidRDefault="00E50336" w:rsidP="00BA5935">
      <w:r>
        <w:pict>
          <v:rect id="_x0000_i4291" style="width:0;height:1.5pt" o:hralign="center" o:hrstd="t" o:hr="t" fillcolor="#a0a0a0" stroked="f"/>
        </w:pict>
      </w:r>
    </w:p>
    <w:p w:rsidR="00BA5935" w:rsidRDefault="00BA5935" w:rsidP="00BA5935">
      <w:pPr>
        <w:pStyle w:val="berschrift1"/>
      </w:pPr>
      <w:r>
        <w:t>3.3.48.120 Isomorphismus und beobachtbare Größen</w:t>
      </w:r>
    </w:p>
    <w:p w:rsidR="00BA5935" w:rsidRDefault="00BA5935" w:rsidP="00BA5935">
      <w:pPr>
        <w:pStyle w:val="StandardWeb"/>
      </w:pPr>
      <w:r>
        <w:t>Ein Isomorphismus kann auch verlangen, dass ausgewählte beobachtbare Größen strukturgerecht übertragen werden.</w:t>
      </w:r>
    </w:p>
    <w:p w:rsidR="00BA5935" w:rsidRDefault="00BA5935" w:rsidP="00BA5935">
      <w:pPr>
        <w:pStyle w:val="StandardWeb"/>
      </w:pPr>
      <w:r>
        <w:t>Seien</w:t>
      </w:r>
    </w:p>
    <w:p w:rsidR="00BA5935" w:rsidRDefault="00BA5935" w:rsidP="00BA5935">
      <w:pPr>
        <w:pStyle w:val="StandardWeb"/>
      </w:pPr>
      <w:r>
        <w:t>[</w:t>
      </w:r>
      <w:r>
        <w:br/>
        <w:t>Q_F^{(1)}</w:t>
      </w:r>
      <w:r>
        <w:br/>
        <w:t>:</w:t>
      </w:r>
      <w:r>
        <w:br/>
        <w:t>\Omega_F^{(1)}</w:t>
      </w:r>
      <w:r>
        <w:br/>
        <w:t>\rightarrow</w:t>
      </w:r>
      <w:r>
        <w:br/>
        <w:t>\mathcal V_Q</w:t>
      </w:r>
      <w:r>
        <w:br/>
        <w:t>\tag{3.12154}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Q_F^{(1)}:\Omega_F^{(1)}\rightarrow\mathcal V_Q</w:t>
      </w:r>
    </w:p>
    <w:p w:rsidR="00BA5935" w:rsidRDefault="00BA5935" w:rsidP="00BA5935">
      <w:pPr>
        <w:pStyle w:val="StandardWeb"/>
      </w:pPr>
      <w:r>
        <w:t>und</w:t>
      </w:r>
    </w:p>
    <w:p w:rsidR="00BA5935" w:rsidRDefault="00BA5935" w:rsidP="00BA5935">
      <w:pPr>
        <w:pStyle w:val="StandardWeb"/>
      </w:pPr>
      <w:r>
        <w:lastRenderedPageBreak/>
        <w:t>[</w:t>
      </w:r>
      <w:r>
        <w:br/>
        <w:t>Q_F^{(2)}</w:t>
      </w:r>
      <w:r>
        <w:br/>
        <w:t>:</w:t>
      </w:r>
      <w:r>
        <w:br/>
        <w:t>\Omega_F^{(2)}</w:t>
      </w:r>
      <w:r>
        <w:br/>
        <w:t>\rightarrow</w:t>
      </w:r>
      <w:r>
        <w:br/>
        <w:t>\mathcal V_Q.</w:t>
      </w:r>
      <w:r>
        <w:br/>
        <w:t>\tag{3.12155}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Q_F^{(2)}:\Omega_F^{(2)}\rightarrow\mathcal V_Q</w:t>
      </w:r>
    </w:p>
    <w:p w:rsidR="00BA5935" w:rsidRDefault="00BA5935" w:rsidP="00BA5935">
      <w:pPr>
        <w:pStyle w:val="StandardWeb"/>
      </w:pPr>
      <w:r>
        <w:t>Dann kann gefordert werden</w:t>
      </w:r>
    </w:p>
    <w:p w:rsidR="00BA5935" w:rsidRDefault="00BA5935" w:rsidP="00BA5935">
      <w:pPr>
        <w:pStyle w:val="berschrift1"/>
      </w:pPr>
      <w:r>
        <w:t>[</w:t>
      </w:r>
      <w:r>
        <w:br/>
        <w:t>Q_F^{(2)}</w:t>
      </w:r>
      <w:r>
        <w:br/>
        <w:t>\circ</w:t>
      </w:r>
      <w:r>
        <w:br/>
        <w:t>\varphi</w:t>
      </w:r>
    </w:p>
    <w:p w:rsidR="00BA5935" w:rsidRDefault="00BA5935" w:rsidP="00BA5935">
      <w:pPr>
        <w:pStyle w:val="StandardWeb"/>
      </w:pPr>
      <w:r>
        <w:t>Q_F^{(1)}.</w:t>
      </w:r>
      <w:r>
        <w:br/>
        <w:t>\tag{3.12156}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Q_F^{(2)}\circ\varphi=Q_F^{(1)}</w:t>
      </w:r>
    </w:p>
    <w:p w:rsidR="00BA5935" w:rsidRDefault="00E50336" w:rsidP="00BA5935">
      <w:r>
        <w:pict>
          <v:rect id="_x0000_i4292" style="width:0;height:1.5pt" o:hralign="center" o:hrstd="t" o:hr="t" fillcolor="#a0a0a0" stroked="f"/>
        </w:pict>
      </w:r>
    </w:p>
    <w:p w:rsidR="00BA5935" w:rsidRDefault="00BA5935" w:rsidP="00BA5935">
      <w:pPr>
        <w:pStyle w:val="berschrift1"/>
      </w:pPr>
      <w:r>
        <w:t>3.3.48.121 Definition 3.3.325 – Beobachtungsverträglicher funktionaler Isomorphismus</w:t>
      </w:r>
    </w:p>
    <w:p w:rsidR="00BA5935" w:rsidRDefault="00BA5935" w:rsidP="00BA5935">
      <w:pPr>
        <w:pStyle w:val="berschrift3"/>
      </w:pPr>
      <w:r>
        <w:t>Definition 3.3.325</w:t>
      </w:r>
    </w:p>
    <w:p w:rsidR="00BA5935" w:rsidRDefault="00BA5935" w:rsidP="00BA5935">
      <w:pPr>
        <w:pStyle w:val="StandardWeb"/>
      </w:pPr>
      <w:r>
        <w:t xml:space="preserve">Ein funktionaler Isomorphismus (\varphi) heißt bezüglich einer Zustandsgröße (Q_F) </w:t>
      </w:r>
      <w:r>
        <w:rPr>
          <w:rStyle w:val="Fett"/>
        </w:rPr>
        <w:t>beobachtungsverträglich</w:t>
      </w:r>
      <w:r>
        <w:t>, wenn</w:t>
      </w:r>
    </w:p>
    <w:p w:rsidR="00BA5935" w:rsidRDefault="00BA5935" w:rsidP="00BA5935">
      <w:pPr>
        <w:pStyle w:val="berschrift1"/>
      </w:pPr>
      <w:r>
        <w:t>[</w:t>
      </w:r>
      <w:r>
        <w:br/>
        <w:t>\boxed{</w:t>
      </w:r>
      <w:r>
        <w:br/>
        <w:t>Q_F^{(2)}</w:t>
      </w:r>
      <w:r>
        <w:br/>
      </w:r>
      <w:r>
        <w:lastRenderedPageBreak/>
        <w:t>\circ</w:t>
      </w:r>
      <w:r>
        <w:br/>
        <w:t>\varphi</w:t>
      </w:r>
    </w:p>
    <w:p w:rsidR="00BA5935" w:rsidRDefault="00BA5935" w:rsidP="00BA5935">
      <w:pPr>
        <w:pStyle w:val="StandardWeb"/>
      </w:pPr>
      <w:r>
        <w:t>Q_F^{(1)}.</w:t>
      </w:r>
      <w:r>
        <w:br/>
        <w:t>}</w:t>
      </w:r>
      <w:r>
        <w:br/>
        <w:t>\tag{3.12157}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\boxed{Q_F^{(2)}\circ\varphi=Q_F^{(1)}.}</w:t>
      </w:r>
    </w:p>
    <w:p w:rsidR="00BA5935" w:rsidRDefault="00E50336" w:rsidP="00BA5935">
      <w:r>
        <w:pict>
          <v:rect id="_x0000_i4293" style="width:0;height:1.5pt" o:hralign="center" o:hrstd="t" o:hr="t" fillcolor="#a0a0a0" stroked="f"/>
        </w:pict>
      </w:r>
    </w:p>
    <w:p w:rsidR="00BA5935" w:rsidRDefault="00BA5935" w:rsidP="00BA5935">
      <w:pPr>
        <w:pStyle w:val="berschrift1"/>
      </w:pPr>
      <w:r>
        <w:t>3.3.48.122 Äquivarianz</w:t>
      </w:r>
    </w:p>
    <w:p w:rsidR="00BA5935" w:rsidRDefault="00BA5935" w:rsidP="00BA5935">
      <w:pPr>
        <w:pStyle w:val="StandardWeb"/>
      </w:pPr>
      <w:r>
        <w:t>Invarianz verlangt, dass eine Größe unter einer Transformation denselben Wert behält.</w:t>
      </w:r>
    </w:p>
    <w:p w:rsidR="00BA5935" w:rsidRDefault="00BA5935" w:rsidP="00BA5935">
      <w:pPr>
        <w:pStyle w:val="StandardWeb"/>
      </w:pPr>
      <w:r>
        <w:t>Eine schwächere beziehungsweise allgemeinere Beziehung besteht darin, dass sich der Wert selbst nach einer zugehörigen Transformation verändert.</w:t>
      </w:r>
    </w:p>
    <w:p w:rsidR="00BA5935" w:rsidRDefault="00BA5935" w:rsidP="00BA5935">
      <w:pPr>
        <w:pStyle w:val="StandardWeb"/>
      </w:pPr>
      <w:r>
        <w:t>Sei</w:t>
      </w:r>
    </w:p>
    <w:p w:rsidR="00BA5935" w:rsidRDefault="00BA5935" w:rsidP="00BA5935">
      <w:pPr>
        <w:pStyle w:val="StandardWeb"/>
      </w:pPr>
      <w:r>
        <w:t>[</w:t>
      </w:r>
      <w:r>
        <w:br/>
        <w:t>g:</w:t>
      </w:r>
      <w:r>
        <w:br/>
        <w:t>\Omega_F</w:t>
      </w:r>
      <w:r>
        <w:br/>
        <w:t>\rightarrow</w:t>
      </w:r>
      <w:r>
        <w:br/>
        <w:t>\Omega_F</w:t>
      </w:r>
      <w:r>
        <w:br/>
        <w:t>\tag{3.12158}</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g:\Omega_F\rightarrow\Omega_F</w:t>
      </w:r>
    </w:p>
    <w:p w:rsidR="00BA5935" w:rsidRDefault="00BA5935" w:rsidP="00BA5935">
      <w:pPr>
        <w:pStyle w:val="StandardWeb"/>
      </w:pPr>
      <w:r>
        <w:t>und</w:t>
      </w:r>
    </w:p>
    <w:p w:rsidR="00BA5935" w:rsidRDefault="00BA5935" w:rsidP="00BA5935">
      <w:pPr>
        <w:pStyle w:val="StandardWeb"/>
      </w:pPr>
      <w:r>
        <w:t>[</w:t>
      </w:r>
      <w:r>
        <w:br/>
        <w:t>\rho(g):</w:t>
      </w:r>
      <w:r>
        <w:br/>
        <w:t>\mathcal V_Q</w:t>
      </w:r>
      <w:r>
        <w:br/>
        <w:t>\rightarrow</w:t>
      </w:r>
      <w:r>
        <w:br/>
        <w:t>\mathcal V_Q.</w:t>
      </w:r>
      <w:r>
        <w:br/>
        <w:t>\tag{3.12159}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\rho(g):\mathcal V_Q\rightarrow\mathcal V_Q</w:t>
      </w:r>
    </w:p>
    <w:p w:rsidR="00BA5935" w:rsidRDefault="00BA5935" w:rsidP="00BA5935">
      <w:pPr>
        <w:pStyle w:val="StandardWeb"/>
      </w:pPr>
      <w:r>
        <w:t>Dann kann gelten</w:t>
      </w:r>
    </w:p>
    <w:p w:rsidR="00BA5935" w:rsidRDefault="00BA5935" w:rsidP="00BA5935">
      <w:pPr>
        <w:pStyle w:val="berschrift1"/>
      </w:pPr>
      <w:r>
        <w:lastRenderedPageBreak/>
        <w:t>[</w:t>
      </w:r>
      <w:r>
        <w:br/>
        <w:t>Q_F(g(z))</w:t>
      </w:r>
    </w:p>
    <w:p w:rsidR="00BA5935" w:rsidRDefault="00BA5935" w:rsidP="00BA5935">
      <w:pPr>
        <w:pStyle w:val="StandardWeb"/>
      </w:pPr>
      <w:r>
        <w:t>\rho(g)</w:t>
      </w:r>
      <w:r>
        <w:br/>
        <w:t>Q_F(z).</w:t>
      </w:r>
      <w:r>
        <w:br/>
        <w:t>\tag{3.12160}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Q_F(g(z))=\rho(g)Q_F(z)</w:t>
      </w:r>
    </w:p>
    <w:p w:rsidR="00BA5935" w:rsidRDefault="00E50336" w:rsidP="00BA5935">
      <w:r>
        <w:pict>
          <v:rect id="_x0000_i4294" style="width:0;height:1.5pt" o:hralign="center" o:hrstd="t" o:hr="t" fillcolor="#a0a0a0" stroked="f"/>
        </w:pict>
      </w:r>
    </w:p>
    <w:p w:rsidR="00BA5935" w:rsidRDefault="00BA5935" w:rsidP="00BA5935">
      <w:pPr>
        <w:pStyle w:val="berschrift1"/>
      </w:pPr>
      <w:r>
        <w:t>3.3.48.123 Definition 3.3.326 – Funktionale Äquivarianz</w:t>
      </w:r>
    </w:p>
    <w:p w:rsidR="00BA5935" w:rsidRDefault="00BA5935" w:rsidP="00BA5935">
      <w:pPr>
        <w:pStyle w:val="berschrift3"/>
      </w:pPr>
      <w:r>
        <w:t>Definition 3.3.326</w:t>
      </w:r>
    </w:p>
    <w:p w:rsidR="00BA5935" w:rsidRDefault="00BA5935" w:rsidP="00BA5935">
      <w:pPr>
        <w:pStyle w:val="StandardWeb"/>
      </w:pPr>
      <w:r>
        <w:t xml:space="preserve">Eine Abbildung (Q_F) heißt bezüglich einer Transformationswirkung (g) und einer zugehörigen Wirkung (\rho(g)) auf ihrem Wertebereich </w:t>
      </w:r>
      <w:r>
        <w:rPr>
          <w:rStyle w:val="Fett"/>
        </w:rPr>
        <w:t>äquivariant</w:t>
      </w:r>
      <w:r>
        <w:t>, wenn</w:t>
      </w:r>
    </w:p>
    <w:p w:rsidR="00BA5935" w:rsidRDefault="00BA5935" w:rsidP="00BA5935">
      <w:pPr>
        <w:pStyle w:val="berschrift1"/>
      </w:pPr>
      <w:r>
        <w:t>[</w:t>
      </w:r>
      <w:r>
        <w:br/>
        <w:t>\boxed{</w:t>
      </w:r>
      <w:r>
        <w:br/>
        <w:t>Q_F(g(z))</w:t>
      </w:r>
    </w:p>
    <w:p w:rsidR="00BA5935" w:rsidRDefault="00BA5935" w:rsidP="00BA5935">
      <w:pPr>
        <w:pStyle w:val="StandardWeb"/>
      </w:pPr>
      <w:r>
        <w:t>\rho(g)</w:t>
      </w:r>
      <w:r>
        <w:br/>
        <w:t>Q_F(z).</w:t>
      </w:r>
      <w:r>
        <w:br/>
        <w:t>}</w:t>
      </w:r>
      <w:r>
        <w:br/>
        <w:t>\tag{3.12161}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\boxed{Q_F(g(z))=\rho(g)Q_F(z).}</w:t>
      </w:r>
    </w:p>
    <w:p w:rsidR="00BA5935" w:rsidRDefault="00E50336" w:rsidP="00BA5935">
      <w:r>
        <w:pict>
          <v:rect id="_x0000_i4295" style="width:0;height:1.5pt" o:hralign="center" o:hrstd="t" o:hr="t" fillcolor="#a0a0a0" stroked="f"/>
        </w:pict>
      </w:r>
    </w:p>
    <w:p w:rsidR="00BA5935" w:rsidRDefault="00BA5935" w:rsidP="00BA5935">
      <w:pPr>
        <w:pStyle w:val="berschrift1"/>
      </w:pPr>
      <w:r>
        <w:t>3.3.48.124 Kommutatives Diagramm der Äquivarianz</w:t>
      </w:r>
    </w:p>
    <w:p w:rsidR="00BA5935" w:rsidRDefault="00BA5935" w:rsidP="00BA5935">
      <w:pPr>
        <w:pStyle w:val="StandardWeb"/>
      </w:pPr>
      <w:r>
        <w:t>Die Äquivarianz kann als kommutierende Relation geschrieben werden:</w:t>
      </w:r>
    </w:p>
    <w:p w:rsidR="00BA5935" w:rsidRDefault="00BA5935" w:rsidP="00BA5935">
      <w:pPr>
        <w:pStyle w:val="berschrift1"/>
      </w:pPr>
      <w:r>
        <w:t>[</w:t>
      </w:r>
      <w:r>
        <w:br/>
        <w:t>Q_F\circ g</w:t>
      </w:r>
    </w:p>
    <w:p w:rsidR="00BA5935" w:rsidRDefault="00BA5935" w:rsidP="00BA5935">
      <w:pPr>
        <w:pStyle w:val="StandardWeb"/>
      </w:pPr>
      <w:r>
        <w:lastRenderedPageBreak/>
        <w:t>\rho(g)\circ Q_F.</w:t>
      </w:r>
      <w:r>
        <w:br/>
        <w:t>\tag{3.12162}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Q_F\circ g=\rho(g)\circ Q_F</w:t>
      </w:r>
    </w:p>
    <w:p w:rsidR="00BA5935" w:rsidRDefault="00E50336" w:rsidP="00BA5935">
      <w:r>
        <w:pict>
          <v:rect id="_x0000_i4296" style="width:0;height:1.5pt" o:hralign="center" o:hrstd="t" o:hr="t" fillcolor="#a0a0a0" stroked="f"/>
        </w:pict>
      </w:r>
    </w:p>
    <w:p w:rsidR="00BA5935" w:rsidRDefault="00BA5935" w:rsidP="00BA5935">
      <w:pPr>
        <w:pStyle w:val="berschrift1"/>
      </w:pPr>
      <w:r>
        <w:t>3.3.48.125 Invarianz als Spezialfall der Äquivarianz</w:t>
      </w:r>
    </w:p>
    <w:p w:rsidR="00BA5935" w:rsidRDefault="00BA5935" w:rsidP="00BA5935">
      <w:pPr>
        <w:pStyle w:val="StandardWeb"/>
      </w:pPr>
      <w:r>
        <w:t>Ist</w:t>
      </w:r>
    </w:p>
    <w:p w:rsidR="00BA5935" w:rsidRDefault="00BA5935" w:rsidP="00BA5935">
      <w:pPr>
        <w:pStyle w:val="berschrift1"/>
      </w:pPr>
      <w:r>
        <w:t>[</w:t>
      </w:r>
      <w:r>
        <w:br/>
        <w:t>\rho(g)</w:t>
      </w:r>
    </w:p>
    <w:p w:rsidR="00BA5935" w:rsidRDefault="00BA5935" w:rsidP="00BA5935">
      <w:pPr>
        <w:pStyle w:val="StandardWeb"/>
      </w:pPr>
      <w:r>
        <w:t>\operatorname{id}_{\mathcal V_Q},</w:t>
      </w:r>
      <w:r>
        <w:br/>
        <w:t>\tag{3.12163}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\rho(g)=\operatorname{id}_{\mathcal V_Q}</w:t>
      </w:r>
    </w:p>
    <w:p w:rsidR="00BA5935" w:rsidRDefault="00BA5935" w:rsidP="00BA5935">
      <w:pPr>
        <w:pStyle w:val="StandardWeb"/>
      </w:pPr>
      <w:r>
        <w:t>dann folgt aus Äquivarianz</w:t>
      </w:r>
    </w:p>
    <w:p w:rsidR="00BA5935" w:rsidRDefault="00BA5935" w:rsidP="00BA5935">
      <w:pPr>
        <w:pStyle w:val="berschrift1"/>
      </w:pPr>
      <w:r>
        <w:t>[</w:t>
      </w:r>
      <w:r>
        <w:br/>
        <w:t>Q_F(g(z))</w:t>
      </w:r>
    </w:p>
    <w:p w:rsidR="00BA5935" w:rsidRDefault="00BA5935" w:rsidP="00BA5935">
      <w:pPr>
        <w:pStyle w:val="StandardWeb"/>
      </w:pPr>
      <w:r>
        <w:t>Q_F(z).</w:t>
      </w:r>
      <w:r>
        <w:br/>
        <w:t>\tag{3.12164}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Q_F(g(z))=Q_F(z)</w:t>
      </w:r>
    </w:p>
    <w:p w:rsidR="00BA5935" w:rsidRDefault="00E50336" w:rsidP="00BA5935">
      <w:r>
        <w:pict>
          <v:rect id="_x0000_i4297" style="width:0;height:1.5pt" o:hralign="center" o:hrstd="t" o:hr="t" fillcolor="#a0a0a0" stroked="f"/>
        </w:pict>
      </w:r>
    </w:p>
    <w:p w:rsidR="00BA5935" w:rsidRDefault="00BA5935" w:rsidP="00BA5935">
      <w:pPr>
        <w:pStyle w:val="berschrift1"/>
      </w:pPr>
      <w:r>
        <w:t>3.3.48.126 Satz 3.3.135 – Invarianz ist ein Spezialfall der Äquivarianz</w:t>
      </w:r>
    </w:p>
    <w:p w:rsidR="00BA5935" w:rsidRDefault="00BA5935" w:rsidP="00BA5935">
      <w:pPr>
        <w:pStyle w:val="berschrift3"/>
      </w:pPr>
      <w:r>
        <w:t>Satz 3.3.135</w:t>
      </w:r>
    </w:p>
    <w:p w:rsidR="00BA5935" w:rsidRDefault="00BA5935" w:rsidP="00BA5935">
      <w:pPr>
        <w:pStyle w:val="StandardWeb"/>
      </w:pPr>
      <w:r>
        <w:t>Gilt</w:t>
      </w:r>
    </w:p>
    <w:p w:rsidR="00BA5935" w:rsidRDefault="00BA5935" w:rsidP="00BA5935">
      <w:pPr>
        <w:pStyle w:val="berschrift1"/>
      </w:pPr>
      <w:r>
        <w:lastRenderedPageBreak/>
        <w:t>[</w:t>
      </w:r>
      <w:r>
        <w:br/>
        <w:t>Q_F(g(z))</w:t>
      </w:r>
    </w:p>
    <w:p w:rsidR="00BA5935" w:rsidRDefault="00BA5935" w:rsidP="00BA5935">
      <w:pPr>
        <w:pStyle w:val="StandardWeb"/>
      </w:pPr>
      <w:r>
        <w:t>\rho(g)Q_F(z)</w:t>
      </w:r>
      <w:r>
        <w:br/>
        <w:t>\tag{3.12165}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Q_F(g(z))=\rho(g)Q_F(z)</w:t>
      </w:r>
    </w:p>
    <w:p w:rsidR="00BA5935" w:rsidRDefault="00BA5935" w:rsidP="00BA5935">
      <w:pPr>
        <w:pStyle w:val="StandardWeb"/>
      </w:pPr>
      <w:r>
        <w:t>und</w:t>
      </w:r>
    </w:p>
    <w:p w:rsidR="00BA5935" w:rsidRDefault="00BA5935" w:rsidP="00BA5935">
      <w:pPr>
        <w:pStyle w:val="berschrift1"/>
      </w:pPr>
      <w:r>
        <w:t>[</w:t>
      </w:r>
      <w:r>
        <w:br/>
        <w:t>\rho(g)</w:t>
      </w:r>
    </w:p>
    <w:p w:rsidR="00BA5935" w:rsidRDefault="00BA5935" w:rsidP="00BA5935">
      <w:pPr>
        <w:pStyle w:val="StandardWeb"/>
      </w:pPr>
      <w:r>
        <w:t>\operatorname{id}_{\mathcal V_Q},</w:t>
      </w:r>
      <w:r>
        <w:br/>
        <w:t>\tag{3.12166}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\rho(g)=\operatorname{id}_{\mathcal V_Q}</w:t>
      </w:r>
    </w:p>
    <w:p w:rsidR="00BA5935" w:rsidRDefault="00BA5935" w:rsidP="00BA5935">
      <w:pPr>
        <w:pStyle w:val="StandardWeb"/>
      </w:pPr>
      <w:r>
        <w:t>dann gilt</w:t>
      </w:r>
    </w:p>
    <w:p w:rsidR="00BA5935" w:rsidRDefault="00BA5935" w:rsidP="00BA5935">
      <w:pPr>
        <w:pStyle w:val="berschrift1"/>
      </w:pPr>
      <w:r>
        <w:t>[</w:t>
      </w:r>
      <w:r>
        <w:br/>
        <w:t>\boxed{</w:t>
      </w:r>
      <w:r>
        <w:br/>
        <w:t>Q_F(g(z))</w:t>
      </w:r>
    </w:p>
    <w:p w:rsidR="00BA5935" w:rsidRDefault="00BA5935" w:rsidP="00BA5935">
      <w:pPr>
        <w:pStyle w:val="StandardWeb"/>
      </w:pPr>
      <w:r>
        <w:t>Q_F(z).</w:t>
      </w:r>
      <w:r>
        <w:br/>
        <w:t>}</w:t>
      </w:r>
      <w:r>
        <w:br/>
        <w:t>\tag{3.12167}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\boxed{Q_F(g(z))=Q_F(z).}</w:t>
      </w:r>
    </w:p>
    <w:p w:rsidR="00BA5935" w:rsidRDefault="00E50336" w:rsidP="00BA5935">
      <w:r>
        <w:pict>
          <v:rect id="_x0000_i4298" style="width:0;height:1.5pt" o:hralign="center" o:hrstd="t" o:hr="t" fillcolor="#a0a0a0" stroked="f"/>
        </w:pict>
      </w:r>
    </w:p>
    <w:p w:rsidR="00BA5935" w:rsidRDefault="00BA5935" w:rsidP="00BA5935">
      <w:pPr>
        <w:pStyle w:val="berschrift1"/>
      </w:pPr>
      <w:r>
        <w:t>3.3.48.127 Darstellungen einer Symmetriegruppe</w:t>
      </w:r>
    </w:p>
    <w:p w:rsidR="00BA5935" w:rsidRDefault="00BA5935" w:rsidP="00BA5935">
      <w:pPr>
        <w:pStyle w:val="StandardWeb"/>
      </w:pPr>
      <w:r>
        <w:t>Ist (G) eine Symmetriegruppe, kann die Abbildung</w:t>
      </w:r>
    </w:p>
    <w:p w:rsidR="00BA5935" w:rsidRDefault="00BA5935" w:rsidP="00BA5935">
      <w:pPr>
        <w:pStyle w:val="StandardWeb"/>
      </w:pPr>
      <w:r>
        <w:t>[</w:t>
      </w:r>
      <w:r>
        <w:br/>
        <w:t>\rho:</w:t>
      </w:r>
      <w:r>
        <w:br/>
      </w:r>
      <w:r>
        <w:lastRenderedPageBreak/>
        <w:t>G</w:t>
      </w:r>
      <w:r>
        <w:br/>
        <w:t>\rightarrow</w:t>
      </w:r>
      <w:r>
        <w:br/>
        <w:t>\operatorname{Aut}</w:t>
      </w:r>
      <w:r>
        <w:br/>
        <w:t>(\mathcal V_Q)</w:t>
      </w:r>
      <w:r>
        <w:br/>
        <w:t>\tag{3.12168}</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\rho:G\rightarrow\operatorname{Aut}(\mathcal V_Q)</w:t>
      </w:r>
    </w:p>
    <w:p w:rsidR="00BA5935" w:rsidRDefault="00BA5935" w:rsidP="00BA5935">
      <w:pPr>
        <w:pStyle w:val="StandardWeb"/>
      </w:pPr>
      <w:r>
        <w:t>die Wirkung von (G) auf dem Wertebereich beschreiben.</w:t>
      </w:r>
    </w:p>
    <w:p w:rsidR="00BA5935" w:rsidRDefault="00BA5935" w:rsidP="00BA5935">
      <w:pPr>
        <w:pStyle w:val="StandardWeb"/>
      </w:pPr>
      <w:r>
        <w:t>Für eine Gruppenwirkung muss gelten</w:t>
      </w:r>
    </w:p>
    <w:p w:rsidR="00BA5935" w:rsidRDefault="00BA5935" w:rsidP="00BA5935">
      <w:pPr>
        <w:pStyle w:val="berschrift1"/>
      </w:pPr>
      <w:r>
        <w:t>[</w:t>
      </w:r>
      <w:r>
        <w:br/>
        <w:t>\rho(g_1g_2)</w:t>
      </w:r>
    </w:p>
    <w:p w:rsidR="00BA5935" w:rsidRDefault="00BA5935" w:rsidP="00BA5935">
      <w:pPr>
        <w:pStyle w:val="StandardWeb"/>
      </w:pPr>
      <w:r>
        <w:t>\rho(g_1)</w:t>
      </w:r>
      <w:r>
        <w:br/>
        <w:t>\rho(g_2).</w:t>
      </w:r>
      <w:r>
        <w:br/>
        <w:t>\tag{3.12169}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\rho(g_1g_2)=\rho(g_1)\rho(g_2)</w:t>
      </w:r>
    </w:p>
    <w:p w:rsidR="00BA5935" w:rsidRDefault="00E50336" w:rsidP="00BA5935">
      <w:r>
        <w:pict>
          <v:rect id="_x0000_i4299" style="width:0;height:1.5pt" o:hralign="center" o:hrstd="t" o:hr="t" fillcolor="#a0a0a0" stroked="f"/>
        </w:pict>
      </w:r>
    </w:p>
    <w:p w:rsidR="00BA5935" w:rsidRDefault="00BA5935" w:rsidP="00BA5935">
      <w:pPr>
        <w:pStyle w:val="berschrift1"/>
      </w:pPr>
      <w:r>
        <w:t>3.3.48.128 Definition 3.3.327 – Funktionale Gruppenrepräsentation</w:t>
      </w:r>
    </w:p>
    <w:p w:rsidR="00BA5935" w:rsidRDefault="00BA5935" w:rsidP="00BA5935">
      <w:pPr>
        <w:pStyle w:val="berschrift3"/>
      </w:pPr>
      <w:r>
        <w:t>Definition 3.3.327</w:t>
      </w:r>
    </w:p>
    <w:p w:rsidR="00BA5935" w:rsidRDefault="00BA5935" w:rsidP="00BA5935">
      <w:pPr>
        <w:pStyle w:val="StandardWeb"/>
      </w:pPr>
      <w:r>
        <w:t xml:space="preserve">Eine </w:t>
      </w:r>
      <w:r>
        <w:rPr>
          <w:rStyle w:val="Fett"/>
        </w:rPr>
        <w:t>funktionale Gruppenrepräsentation</w:t>
      </w:r>
      <w:r>
        <w:t xml:space="preserve"> einer Symmetriegruppe (G) auf einem Wertebereich (\mathcal V_Q) ist ein Gruppenhomomorphismus</w:t>
      </w:r>
    </w:p>
    <w:p w:rsidR="00BA5935" w:rsidRDefault="00BA5935" w:rsidP="00BA5935">
      <w:pPr>
        <w:pStyle w:val="StandardWeb"/>
      </w:pPr>
      <w:r>
        <w:t>[</w:t>
      </w:r>
      <w:r>
        <w:br/>
        <w:t>\boxed{</w:t>
      </w:r>
      <w:r>
        <w:br/>
        <w:t>\rho:</w:t>
      </w:r>
      <w:r>
        <w:br/>
        <w:t>G</w:t>
      </w:r>
      <w:r>
        <w:br/>
        <w:t>\rightarrow</w:t>
      </w:r>
      <w:r>
        <w:br/>
        <w:t>\operatorname{Aut}</w:t>
      </w:r>
      <w:r>
        <w:br/>
        <w:t>(\mathcal V_Q).</w:t>
      </w:r>
      <w:r>
        <w:br/>
        <w:t>}</w:t>
      </w:r>
      <w:r>
        <w:br/>
        <w:t>\tag{3.12170}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lastRenderedPageBreak/>
        <w:t>\boxed{\rho:G\rightarrow\operatorname{Aut}(\mathcal V_Q).}</w:t>
      </w:r>
    </w:p>
    <w:p w:rsidR="00BA5935" w:rsidRDefault="00E50336" w:rsidP="00BA5935">
      <w:r>
        <w:pict>
          <v:rect id="_x0000_i4300" style="width:0;height:1.5pt" o:hralign="center" o:hrstd="t" o:hr="t" fillcolor="#a0a0a0" stroked="f"/>
        </w:pict>
      </w:r>
    </w:p>
    <w:p w:rsidR="00BA5935" w:rsidRDefault="00BA5935" w:rsidP="00BA5935">
      <w:pPr>
        <w:pStyle w:val="berschrift1"/>
      </w:pPr>
      <w:r>
        <w:t>3.3.48.129 Äquivariante Zustandsgrößen unter Gruppenwirkung</w:t>
      </w:r>
    </w:p>
    <w:p w:rsidR="00BA5935" w:rsidRDefault="00BA5935" w:rsidP="00BA5935">
      <w:pPr>
        <w:pStyle w:val="StandardWeb"/>
      </w:pPr>
      <w:r>
        <w:t>Für jedes (g\in G) lautet die Äquivarianzbedingung</w:t>
      </w:r>
    </w:p>
    <w:p w:rsidR="00BA5935" w:rsidRDefault="00BA5935" w:rsidP="00BA5935">
      <w:pPr>
        <w:pStyle w:val="berschrift1"/>
      </w:pPr>
      <w:r>
        <w:t>[</w:t>
      </w:r>
      <w:r>
        <w:br/>
        <w:t>Q_F(g(z))</w:t>
      </w:r>
    </w:p>
    <w:p w:rsidR="00BA5935" w:rsidRDefault="00BA5935" w:rsidP="00BA5935">
      <w:pPr>
        <w:pStyle w:val="StandardWeb"/>
      </w:pPr>
      <w:r>
        <w:t>\rho(g)Q_F(z).</w:t>
      </w:r>
      <w:r>
        <w:br/>
        <w:t>\tag{3.12171}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Q_F(g(z))=\rho(g)Q_F(z)</w:t>
      </w:r>
    </w:p>
    <w:p w:rsidR="00BA5935" w:rsidRDefault="00BA5935" w:rsidP="00BA5935">
      <w:pPr>
        <w:pStyle w:val="StandardWeb"/>
      </w:pPr>
      <w:r>
        <w:t>Damit wird nicht verlangt, dass (Q_F) konstant bleibt. Vielmehr muss sich (Q_F) auf eine mit der Zustandsraumtransformation kompatible Weise verändern.</w:t>
      </w:r>
    </w:p>
    <w:p w:rsidR="00BA5935" w:rsidRDefault="00E50336" w:rsidP="00BA5935">
      <w:r>
        <w:pict>
          <v:rect id="_x0000_i4301" style="width:0;height:1.5pt" o:hralign="center" o:hrstd="t" o:hr="t" fillcolor="#a0a0a0" stroked="f"/>
        </w:pict>
      </w:r>
    </w:p>
    <w:p w:rsidR="00BA5935" w:rsidRDefault="00BA5935" w:rsidP="00BA5935">
      <w:pPr>
        <w:pStyle w:val="berschrift1"/>
      </w:pPr>
      <w:r>
        <w:t>3.3.48.130 Kovarianz als Formtreue</w:t>
      </w:r>
    </w:p>
    <w:p w:rsidR="00BA5935" w:rsidRDefault="00BA5935" w:rsidP="00BA5935">
      <w:pPr>
        <w:pStyle w:val="StandardWeb"/>
      </w:pPr>
      <w:r>
        <w:t xml:space="preserve">Der Begriff </w:t>
      </w:r>
      <w:r>
        <w:rPr>
          <w:rStyle w:val="Fett"/>
        </w:rPr>
        <w:t>Kovarianz</w:t>
      </w:r>
      <w:r>
        <w:t xml:space="preserve"> wird häufig unterschiedlich verwendet. Für das FRZK muss ich ihn deshalb ausdrücklich definieren, statt physikalische Bedeutungen vorauszusetzen.</w:t>
      </w:r>
    </w:p>
    <w:p w:rsidR="00BA5935" w:rsidRDefault="00BA5935" w:rsidP="00BA5935">
      <w:pPr>
        <w:pStyle w:val="StandardWeb"/>
      </w:pPr>
      <w:r>
        <w:t>Ich betrachte eine Gleichungs- oder Relationsstruktur</w:t>
      </w:r>
    </w:p>
    <w:p w:rsidR="00BA5935" w:rsidRDefault="00BA5935" w:rsidP="00BA5935">
      <w:pPr>
        <w:pStyle w:val="StandardWeb"/>
      </w:pPr>
      <w:r>
        <w:t>[</w:t>
      </w:r>
      <w:r>
        <w:br/>
        <w:t>\mathcal E_F[z,Q_F]=0.</w:t>
      </w:r>
      <w:r>
        <w:br/>
        <w:t>\tag{3.12172}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\mathcal E_F[z,Q_F]=0</w:t>
      </w:r>
    </w:p>
    <w:p w:rsidR="00BA5935" w:rsidRDefault="00BA5935" w:rsidP="00BA5935">
      <w:pPr>
        <w:pStyle w:val="StandardWeb"/>
      </w:pPr>
      <w:r>
        <w:t>Nach einer Transformation erhalte ich</w:t>
      </w:r>
    </w:p>
    <w:p w:rsidR="00BA5935" w:rsidRDefault="00BA5935" w:rsidP="00BA5935">
      <w:pPr>
        <w:pStyle w:val="berschrift1"/>
      </w:pPr>
      <w:r>
        <w:t>[</w:t>
      </w:r>
      <w:r>
        <w:br/>
        <w:t>\mathcal E_F'</w:t>
      </w:r>
      <w:r>
        <w:br/>
        <w:t>[g(z),Q_F']</w:t>
      </w:r>
    </w:p>
    <w:p w:rsidR="00BA5935" w:rsidRDefault="00BA5935" w:rsidP="00152216">
      <w:pPr>
        <w:numPr>
          <w:ilvl w:val="0"/>
          <w:numId w:val="542"/>
        </w:numPr>
        <w:spacing w:before="100" w:beforeAutospacing="1" w:after="100" w:afterAutospacing="1"/>
      </w:pPr>
    </w:p>
    <w:p w:rsidR="00BA5935" w:rsidRDefault="00BA5935" w:rsidP="00BA5935">
      <w:pPr>
        <w:pStyle w:val="StandardWeb"/>
      </w:pPr>
      <w:r>
        <w:t>\tag{3.12173}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\mathcal E_F'[g(z),Q_F']=0</w:t>
      </w:r>
    </w:p>
    <w:p w:rsidR="00BA5935" w:rsidRDefault="00E50336" w:rsidP="00BA5935">
      <w:r>
        <w:pict>
          <v:rect id="_x0000_i4302" style="width:0;height:1.5pt" o:hralign="center" o:hrstd="t" o:hr="t" fillcolor="#a0a0a0" stroked="f"/>
        </w:pict>
      </w:r>
    </w:p>
    <w:p w:rsidR="00BA5935" w:rsidRDefault="00BA5935" w:rsidP="00BA5935">
      <w:pPr>
        <w:pStyle w:val="berschrift1"/>
      </w:pPr>
      <w:r>
        <w:t>3.3.48.131 Definition 3.3.328 – Funktionale Kovarianz</w:t>
      </w:r>
    </w:p>
    <w:p w:rsidR="00BA5935" w:rsidRDefault="00BA5935" w:rsidP="00BA5935">
      <w:pPr>
        <w:pStyle w:val="berschrift3"/>
      </w:pPr>
      <w:r>
        <w:t>Definition 3.3.328</w:t>
      </w:r>
    </w:p>
    <w:p w:rsidR="00BA5935" w:rsidRDefault="00BA5935" w:rsidP="00BA5935">
      <w:pPr>
        <w:pStyle w:val="StandardWeb"/>
      </w:pPr>
      <w:r>
        <w:t xml:space="preserve">Eine funktionale Gleichungs- oder Relationsstruktur heißt bezüglich einer Transformationsklasse </w:t>
      </w:r>
      <w:r>
        <w:rPr>
          <w:rStyle w:val="Fett"/>
        </w:rPr>
        <w:t>kovariant</w:t>
      </w:r>
      <w:r>
        <w:t>, wenn ihre transformierte Darstellung dieselbe strukturelle Form besitzt:</w:t>
      </w:r>
    </w:p>
    <w:p w:rsidR="00BA5935" w:rsidRDefault="00BA5935" w:rsidP="00BA5935">
      <w:pPr>
        <w:pStyle w:val="StandardWeb"/>
      </w:pPr>
      <w:r>
        <w:t>[</w:t>
      </w:r>
      <w:r>
        <w:br/>
        <w:t>\boxed{</w:t>
      </w:r>
      <w:r>
        <w:br/>
        <w:t>\mathcal E_F[z,Q_F]=0</w:t>
      </w:r>
      <w:r>
        <w:br/>
        <w:t>\quad\Longrightarrow\quad</w:t>
      </w:r>
      <w:r>
        <w:br/>
        <w:t>\mathcal E_F[g(z),Q_F']=0</w:t>
      </w:r>
      <w:r>
        <w:br/>
        <w:t>}</w:t>
      </w:r>
      <w:r>
        <w:br/>
        <w:t>\tag{3.12174}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\boxed{\mathcal E_F[z,Q_F]=0\quad\Longrightarrow\quad\mathcal E_F[g(z),Q_F']=0}</w:t>
      </w:r>
    </w:p>
    <w:p w:rsidR="00BA5935" w:rsidRDefault="00BA5935" w:rsidP="00BA5935">
      <w:pPr>
        <w:pStyle w:val="StandardWeb"/>
      </w:pPr>
      <w:r>
        <w:t>nach Anwendung der jeweils festgelegten Transformationsregeln.</w:t>
      </w:r>
    </w:p>
    <w:p w:rsidR="00BA5935" w:rsidRDefault="00E50336" w:rsidP="00BA5935">
      <w:r>
        <w:pict>
          <v:rect id="_x0000_i4303" style="width:0;height:1.5pt" o:hralign="center" o:hrstd="t" o:hr="t" fillcolor="#a0a0a0" stroked="f"/>
        </w:pict>
      </w:r>
    </w:p>
    <w:p w:rsidR="00BA5935" w:rsidRDefault="00BA5935" w:rsidP="00BA5935">
      <w:pPr>
        <w:pStyle w:val="berschrift1"/>
      </w:pPr>
      <w:r>
        <w:t>3.3.48.132 Kovarianz ist nicht Invarianz</w:t>
      </w:r>
    </w:p>
    <w:p w:rsidR="00BA5935" w:rsidRDefault="00BA5935" w:rsidP="00BA5935">
      <w:pPr>
        <w:pStyle w:val="StandardWeb"/>
      </w:pPr>
      <w:r>
        <w:t>Kovarianz verlangt nicht notwendig</w:t>
      </w:r>
    </w:p>
    <w:p w:rsidR="00BA5935" w:rsidRDefault="00BA5935" w:rsidP="00BA5935">
      <w:pPr>
        <w:pStyle w:val="berschrift1"/>
      </w:pPr>
      <w:r>
        <w:t>[</w:t>
      </w:r>
      <w:r>
        <w:br/>
        <w:t>Q_F'</w:t>
      </w:r>
    </w:p>
    <w:p w:rsidR="00BA5935" w:rsidRDefault="00BA5935" w:rsidP="00BA5935">
      <w:pPr>
        <w:pStyle w:val="StandardWeb"/>
      </w:pPr>
      <w:r>
        <w:t>Q_F.</w:t>
      </w:r>
      <w:r>
        <w:br/>
        <w:t>\tag{3.12175}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lastRenderedPageBreak/>
        <w:t>Q_F'=Q_F</w:t>
      </w:r>
    </w:p>
    <w:p w:rsidR="00BA5935" w:rsidRDefault="00BA5935" w:rsidP="00BA5935">
      <w:pPr>
        <w:pStyle w:val="StandardWeb"/>
      </w:pPr>
      <w:r>
        <w:t>Vielmehr kann</w:t>
      </w:r>
    </w:p>
    <w:p w:rsidR="00BA5935" w:rsidRDefault="00BA5935" w:rsidP="00BA5935">
      <w:pPr>
        <w:pStyle w:val="berschrift1"/>
      </w:pPr>
      <w:r>
        <w:t>[</w:t>
      </w:r>
      <w:r>
        <w:br/>
        <w:t>Q_F'</w:t>
      </w:r>
    </w:p>
    <w:p w:rsidR="00BA5935" w:rsidRDefault="00BA5935" w:rsidP="00BA5935">
      <w:pPr>
        <w:pStyle w:val="StandardWeb"/>
      </w:pPr>
      <w:r>
        <w:t>\rho(g)Q_F</w:t>
      </w:r>
      <w:r>
        <w:br/>
        <w:t>\tag{3.12176}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Q_F'=\rho(g)Q_F</w:t>
      </w:r>
    </w:p>
    <w:p w:rsidR="00BA5935" w:rsidRDefault="00BA5935" w:rsidP="00BA5935">
      <w:pPr>
        <w:pStyle w:val="StandardWeb"/>
      </w:pPr>
      <w:r>
        <w:t>gelten, während die Gleichungsstruktur ihre Form behält.</w:t>
      </w:r>
    </w:p>
    <w:p w:rsidR="00BA5935" w:rsidRDefault="00E50336" w:rsidP="00BA5935">
      <w:r>
        <w:pict>
          <v:rect id="_x0000_i4304" style="width:0;height:1.5pt" o:hralign="center" o:hrstd="t" o:hr="t" fillcolor="#a0a0a0" stroked="f"/>
        </w:pict>
      </w:r>
    </w:p>
    <w:p w:rsidR="00BA5935" w:rsidRDefault="00BA5935" w:rsidP="00BA5935">
      <w:pPr>
        <w:pStyle w:val="berschrift1"/>
      </w:pPr>
      <w:r>
        <w:t>3.3.48.133 Forminvarianz</w:t>
      </w:r>
    </w:p>
    <w:p w:rsidR="00BA5935" w:rsidRDefault="00BA5935" w:rsidP="00BA5935">
      <w:pPr>
        <w:pStyle w:val="StandardWeb"/>
      </w:pPr>
      <w:r>
        <w:t>Ich kann eine besonders starke Form der Kovarianz als Forminvarianz schreiben:</w:t>
      </w:r>
    </w:p>
    <w:p w:rsidR="00BA5935" w:rsidRDefault="00BA5935" w:rsidP="00BA5935">
      <w:pPr>
        <w:pStyle w:val="berschrift1"/>
      </w:pPr>
      <w:r>
        <w:t>[</w:t>
      </w:r>
      <w:r>
        <w:br/>
        <w:t>\mathcal E_F'</w:t>
      </w:r>
    </w:p>
    <w:p w:rsidR="00BA5935" w:rsidRDefault="00BA5935" w:rsidP="00BA5935">
      <w:pPr>
        <w:pStyle w:val="StandardWeb"/>
      </w:pPr>
      <w:r>
        <w:t>\mathcal E_F.</w:t>
      </w:r>
      <w:r>
        <w:br/>
        <w:t>\tag{3.12177}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\mathcal E_F'=\mathcal E_F</w:t>
      </w:r>
    </w:p>
    <w:p w:rsidR="00BA5935" w:rsidRDefault="00E50336" w:rsidP="00BA5935">
      <w:r>
        <w:pict>
          <v:rect id="_x0000_i4305" style="width:0;height:1.5pt" o:hralign="center" o:hrstd="t" o:hr="t" fillcolor="#a0a0a0" stroked="f"/>
        </w:pict>
      </w:r>
    </w:p>
    <w:p w:rsidR="00BA5935" w:rsidRDefault="00BA5935" w:rsidP="00BA5935">
      <w:pPr>
        <w:pStyle w:val="berschrift1"/>
      </w:pPr>
      <w:r>
        <w:t>3.3.48.134 Definition 3.3.329 – Funktionale Forminvarianz</w:t>
      </w:r>
    </w:p>
    <w:p w:rsidR="00BA5935" w:rsidRDefault="00BA5935" w:rsidP="00BA5935">
      <w:pPr>
        <w:pStyle w:val="berschrift3"/>
      </w:pPr>
      <w:r>
        <w:t>Definition 3.3.329</w:t>
      </w:r>
    </w:p>
    <w:p w:rsidR="00BA5935" w:rsidRDefault="00BA5935" w:rsidP="00BA5935">
      <w:pPr>
        <w:pStyle w:val="StandardWeb"/>
      </w:pPr>
      <w:r>
        <w:t xml:space="preserve">Eine Gleichungsstruktur heißt </w:t>
      </w:r>
      <w:r>
        <w:rPr>
          <w:rStyle w:val="Fett"/>
        </w:rPr>
        <w:t>forminvariant</w:t>
      </w:r>
      <w:r>
        <w:t>, wenn</w:t>
      </w:r>
    </w:p>
    <w:p w:rsidR="00BA5935" w:rsidRDefault="00BA5935" w:rsidP="00BA5935">
      <w:pPr>
        <w:pStyle w:val="berschrift1"/>
      </w:pPr>
      <w:r>
        <w:t>[</w:t>
      </w:r>
      <w:r>
        <w:br/>
        <w:t>\boxed{</w:t>
      </w:r>
      <w:r>
        <w:br/>
        <w:t>\mathcal E_F'</w:t>
      </w:r>
    </w:p>
    <w:p w:rsidR="00BA5935" w:rsidRDefault="00BA5935" w:rsidP="00BA5935">
      <w:pPr>
        <w:pStyle w:val="StandardWeb"/>
      </w:pPr>
      <w:r>
        <w:lastRenderedPageBreak/>
        <w:t>\mathcal E_F</w:t>
      </w:r>
      <w:r>
        <w:br/>
        <w:t>}</w:t>
      </w:r>
      <w:r>
        <w:br/>
        <w:t>\tag{3.12178}</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\boxed{\mathcal E_F'=\mathcal E_F}</w:t>
      </w:r>
    </w:p>
    <w:p w:rsidR="00BA5935" w:rsidRDefault="00BA5935" w:rsidP="00BA5935">
      <w:pPr>
        <w:pStyle w:val="StandardWeb"/>
      </w:pPr>
      <w:r>
        <w:t>nach Einsetzen der transformierten Größen gilt.</w:t>
      </w:r>
    </w:p>
    <w:p w:rsidR="00BA5935" w:rsidRDefault="00E50336" w:rsidP="00BA5935">
      <w:r>
        <w:pict>
          <v:rect id="_x0000_i4306" style="width:0;height:1.5pt" o:hralign="center" o:hrstd="t" o:hr="t" fillcolor="#a0a0a0" stroked="f"/>
        </w:pict>
      </w:r>
    </w:p>
    <w:p w:rsidR="00BA5935" w:rsidRDefault="00BA5935" w:rsidP="00BA5935">
      <w:pPr>
        <w:pStyle w:val="berschrift1"/>
      </w:pPr>
      <w:r>
        <w:t>3.3.48.135 Äquivarianz eines Operators</w:t>
      </w:r>
    </w:p>
    <w:p w:rsidR="00BA5935" w:rsidRDefault="00BA5935" w:rsidP="00BA5935">
      <w:pPr>
        <w:pStyle w:val="StandardWeb"/>
      </w:pPr>
      <w:r>
        <w:t>Sei</w:t>
      </w:r>
    </w:p>
    <w:p w:rsidR="00BA5935" w:rsidRDefault="00BA5935" w:rsidP="00BA5935">
      <w:pPr>
        <w:pStyle w:val="StandardWeb"/>
      </w:pPr>
      <w:r>
        <w:t>[</w:t>
      </w:r>
      <w:r>
        <w:br/>
        <w:t>\mathcal O_F:</w:t>
      </w:r>
      <w:r>
        <w:br/>
        <w:t>\mathcal X_F</w:t>
      </w:r>
      <w:r>
        <w:br/>
        <w:t>\rightarrow</w:t>
      </w:r>
      <w:r>
        <w:br/>
        <w:t>\mathcal Y_F</w:t>
      </w:r>
      <w:r>
        <w:br/>
        <w:t>\tag{3.12179}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\mathcal O_F:\mathcal X_F\rightarrow\mathcal Y_F</w:t>
      </w:r>
    </w:p>
    <w:p w:rsidR="00BA5935" w:rsidRDefault="00BA5935" w:rsidP="00BA5935">
      <w:pPr>
        <w:pStyle w:val="StandardWeb"/>
      </w:pPr>
      <w:r>
        <w:t>ein funktionaler Operator.</w:t>
      </w:r>
    </w:p>
    <w:p w:rsidR="00BA5935" w:rsidRDefault="00BA5935" w:rsidP="00BA5935">
      <w:pPr>
        <w:pStyle w:val="StandardWeb"/>
      </w:pPr>
      <w:r>
        <w:t>Besitzen (\mathcal X_F) und (\mathcal Y_F) Gruppenwirkungen (\rho_X) und (\rho_Y), kann gefordert werden</w:t>
      </w:r>
    </w:p>
    <w:p w:rsidR="00BA5935" w:rsidRDefault="00BA5935" w:rsidP="00BA5935">
      <w:pPr>
        <w:pStyle w:val="berschrift1"/>
      </w:pPr>
      <w:r>
        <w:t>[</w:t>
      </w:r>
      <w:r>
        <w:br/>
        <w:t>\mathcal O_F</w:t>
      </w:r>
      <w:r>
        <w:br/>
        <w:t>\circ</w:t>
      </w:r>
      <w:r>
        <w:br/>
        <w:t>\rho_X(g)</w:t>
      </w:r>
    </w:p>
    <w:p w:rsidR="00BA5935" w:rsidRDefault="00BA5935" w:rsidP="00BA5935">
      <w:pPr>
        <w:pStyle w:val="StandardWeb"/>
      </w:pPr>
      <w:r>
        <w:t>\rho_Y(g)</w:t>
      </w:r>
      <w:r>
        <w:br/>
        <w:t>\circ</w:t>
      </w:r>
      <w:r>
        <w:br/>
        <w:t>\mathcal O_F.</w:t>
      </w:r>
      <w:r>
        <w:br/>
        <w:t>\tag{3.12180}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\mathcal O_F\circ\rho_X(g)=\rho_Y(g)\circ\mathcal O_F</w:t>
      </w:r>
    </w:p>
    <w:p w:rsidR="00BA5935" w:rsidRDefault="00E50336" w:rsidP="00BA5935">
      <w:r>
        <w:lastRenderedPageBreak/>
        <w:pict>
          <v:rect id="_x0000_i4307" style="width:0;height:1.5pt" o:hralign="center" o:hrstd="t" o:hr="t" fillcolor="#a0a0a0" stroked="f"/>
        </w:pict>
      </w:r>
    </w:p>
    <w:p w:rsidR="00BA5935" w:rsidRDefault="00BA5935" w:rsidP="00BA5935">
      <w:pPr>
        <w:pStyle w:val="berschrift1"/>
      </w:pPr>
      <w:r>
        <w:t>3.3.48.136 Definition 3.3.330 – Äquivariant wirkender funktionaler Operator</w:t>
      </w:r>
    </w:p>
    <w:p w:rsidR="00BA5935" w:rsidRDefault="00BA5935" w:rsidP="00BA5935">
      <w:pPr>
        <w:pStyle w:val="berschrift3"/>
      </w:pPr>
      <w:r>
        <w:t>Definition 3.3.330</w:t>
      </w:r>
    </w:p>
    <w:p w:rsidR="00BA5935" w:rsidRDefault="00BA5935" w:rsidP="00BA5935">
      <w:pPr>
        <w:pStyle w:val="StandardWeb"/>
      </w:pPr>
      <w:r>
        <w:t xml:space="preserve">Ein funktionaler Operator (\mathcal O_F) heißt </w:t>
      </w:r>
      <w:r>
        <w:rPr>
          <w:rStyle w:val="Fett"/>
        </w:rPr>
        <w:t>äquivariant</w:t>
      </w:r>
      <w:r>
        <w:t>, wenn</w:t>
      </w:r>
    </w:p>
    <w:p w:rsidR="00BA5935" w:rsidRDefault="00BA5935" w:rsidP="00BA5935">
      <w:pPr>
        <w:pStyle w:val="berschrift1"/>
      </w:pPr>
      <w:r>
        <w:t>[</w:t>
      </w:r>
      <w:r>
        <w:br/>
        <w:t>\boxed{</w:t>
      </w:r>
      <w:r>
        <w:br/>
        <w:t>\mathcal O_F</w:t>
      </w:r>
      <w:r>
        <w:br/>
        <w:t>\circ</w:t>
      </w:r>
      <w:r>
        <w:br/>
        <w:t>\rho_X(g)</w:t>
      </w:r>
    </w:p>
    <w:p w:rsidR="00BA5935" w:rsidRDefault="00BA5935" w:rsidP="00BA5935">
      <w:pPr>
        <w:pStyle w:val="StandardWeb"/>
      </w:pPr>
      <w:r>
        <w:t>\rho_Y(g)</w:t>
      </w:r>
      <w:r>
        <w:br/>
        <w:t>\circ</w:t>
      </w:r>
      <w:r>
        <w:br/>
        <w:t>\mathcal O_F</w:t>
      </w:r>
      <w:r>
        <w:br/>
        <w:t>\qquad</w:t>
      </w:r>
      <w:r>
        <w:br/>
        <w:t>\forall g\in G.</w:t>
      </w:r>
      <w:r>
        <w:br/>
        <w:t>}</w:t>
      </w:r>
      <w:r>
        <w:br/>
        <w:t>\tag{3.12181}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\boxed{\mathcal O_F\circ\rho_X(g)=\rho_Y(g)\circ\mathcal O_F\qquad\forall g\in G.}</w:t>
      </w:r>
    </w:p>
    <w:p w:rsidR="00BA5935" w:rsidRDefault="00E50336" w:rsidP="00BA5935">
      <w:r>
        <w:pict>
          <v:rect id="_x0000_i4308" style="width:0;height:1.5pt" o:hralign="center" o:hrstd="t" o:hr="t" fillcolor="#a0a0a0" stroked="f"/>
        </w:pict>
      </w:r>
    </w:p>
    <w:p w:rsidR="00BA5935" w:rsidRDefault="00BA5935" w:rsidP="00BA5935">
      <w:pPr>
        <w:pStyle w:val="berschrift1"/>
      </w:pPr>
      <w:r>
        <w:t>3.3.48.137 Invarianter Operator als Spezialfall</w:t>
      </w:r>
    </w:p>
    <w:p w:rsidR="00BA5935" w:rsidRDefault="00BA5935" w:rsidP="00BA5935">
      <w:pPr>
        <w:pStyle w:val="StandardWeb"/>
      </w:pPr>
      <w:r>
        <w:t>Für</w:t>
      </w:r>
    </w:p>
    <w:p w:rsidR="00BA5935" w:rsidRDefault="00BA5935" w:rsidP="00BA5935">
      <w:pPr>
        <w:pStyle w:val="berschrift1"/>
      </w:pPr>
      <w:r>
        <w:t>[</w:t>
      </w:r>
      <w:r>
        <w:br/>
        <w:t>\rho_Y(g)</w:t>
      </w:r>
    </w:p>
    <w:p w:rsidR="00BA5935" w:rsidRDefault="00BA5935" w:rsidP="00BA5935">
      <w:pPr>
        <w:pStyle w:val="StandardWeb"/>
      </w:pPr>
      <w:r>
        <w:t>\operatorname{id}_{\mathcal Y_F}</w:t>
      </w:r>
      <w:r>
        <w:br/>
        <w:t>\tag{3.12182}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\rho_Y(g)=\operatorname{id}_{\mathcal Y_F}</w:t>
      </w:r>
    </w:p>
    <w:p w:rsidR="00BA5935" w:rsidRDefault="00BA5935" w:rsidP="00BA5935">
      <w:pPr>
        <w:pStyle w:val="StandardWeb"/>
      </w:pPr>
      <w:r>
        <w:lastRenderedPageBreak/>
        <w:t>reduziert sich die Bedingung auf</w:t>
      </w:r>
    </w:p>
    <w:p w:rsidR="00BA5935" w:rsidRDefault="00BA5935" w:rsidP="00BA5935">
      <w:pPr>
        <w:pStyle w:val="berschrift1"/>
      </w:pPr>
      <w:r>
        <w:t>[</w:t>
      </w:r>
      <w:r>
        <w:br/>
        <w:t>\mathcal O_F</w:t>
      </w:r>
      <w:r>
        <w:br/>
        <w:t>\circ</w:t>
      </w:r>
      <w:r>
        <w:br/>
        <w:t>\rho_X(g)</w:t>
      </w:r>
    </w:p>
    <w:p w:rsidR="00BA5935" w:rsidRDefault="00BA5935" w:rsidP="00BA5935">
      <w:pPr>
        <w:pStyle w:val="StandardWeb"/>
      </w:pPr>
      <w:r>
        <w:t>\mathcal O_F.</w:t>
      </w:r>
      <w:r>
        <w:br/>
        <w:t>\tag{3.12183}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\mathcal O_F\circ\rho_X(g)=\mathcal O_F</w:t>
      </w:r>
    </w:p>
    <w:p w:rsidR="00BA5935" w:rsidRDefault="00E50336" w:rsidP="00BA5935">
      <w:r>
        <w:pict>
          <v:rect id="_x0000_i4309" style="width:0;height:1.5pt" o:hralign="center" o:hrstd="t" o:hr="t" fillcolor="#a0a0a0" stroked="f"/>
        </w:pict>
      </w:r>
    </w:p>
    <w:p w:rsidR="00BA5935" w:rsidRDefault="00BA5935" w:rsidP="00BA5935">
      <w:pPr>
        <w:pStyle w:val="berschrift1"/>
      </w:pPr>
      <w:r>
        <w:t>3.3.48.138 Definition 3.3.331 – Funktional invarianter Operator</w:t>
      </w:r>
    </w:p>
    <w:p w:rsidR="00BA5935" w:rsidRDefault="00BA5935" w:rsidP="00BA5935">
      <w:pPr>
        <w:pStyle w:val="berschrift3"/>
      </w:pPr>
      <w:r>
        <w:t>Definition 3.3.331</w:t>
      </w:r>
    </w:p>
    <w:p w:rsidR="00BA5935" w:rsidRDefault="00BA5935" w:rsidP="00BA5935">
      <w:pPr>
        <w:pStyle w:val="StandardWeb"/>
      </w:pPr>
      <w:r>
        <w:t xml:space="preserve">Ein Operator (\mathcal O_F) heißt bezüglich einer Gruppenwirkung (\rho_X) </w:t>
      </w:r>
      <w:r>
        <w:rPr>
          <w:rStyle w:val="Fett"/>
        </w:rPr>
        <w:t>invariant</w:t>
      </w:r>
      <w:r>
        <w:t>, wenn</w:t>
      </w:r>
    </w:p>
    <w:p w:rsidR="00BA5935" w:rsidRDefault="00BA5935" w:rsidP="00BA5935">
      <w:pPr>
        <w:pStyle w:val="berschrift1"/>
      </w:pPr>
      <w:r>
        <w:t>[</w:t>
      </w:r>
      <w:r>
        <w:br/>
        <w:t>\boxed{</w:t>
      </w:r>
      <w:r>
        <w:br/>
        <w:t>\mathcal O_F</w:t>
      </w:r>
      <w:r>
        <w:br/>
        <w:t>\circ</w:t>
      </w:r>
      <w:r>
        <w:br/>
        <w:t>\rho_X(g)</w:t>
      </w:r>
    </w:p>
    <w:p w:rsidR="00BA5935" w:rsidRDefault="00BA5935" w:rsidP="00BA5935">
      <w:pPr>
        <w:pStyle w:val="StandardWeb"/>
      </w:pPr>
      <w:r>
        <w:t>\mathcal O_F</w:t>
      </w:r>
      <w:r>
        <w:br/>
        <w:t>\qquad</w:t>
      </w:r>
      <w:r>
        <w:br/>
        <w:t>\forall g\in G.</w:t>
      </w:r>
      <w:r>
        <w:br/>
        <w:t>}</w:t>
      </w:r>
      <w:r>
        <w:br/>
        <w:t>\tag{3.12184}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\boxed{\mathcal O_F\circ\rho_X(g)=\mathcal O_F\qquad\forall g\in G.}</w:t>
      </w:r>
    </w:p>
    <w:p w:rsidR="00BA5935" w:rsidRDefault="00E50336" w:rsidP="00BA5935">
      <w:r>
        <w:pict>
          <v:rect id="_x0000_i4310" style="width:0;height:1.5pt" o:hralign="center" o:hrstd="t" o:hr="t" fillcolor="#a0a0a0" stroked="f"/>
        </w:pict>
      </w:r>
    </w:p>
    <w:p w:rsidR="00BA5935" w:rsidRDefault="00BA5935" w:rsidP="00BA5935">
      <w:pPr>
        <w:pStyle w:val="berschrift1"/>
      </w:pPr>
      <w:r>
        <w:t>3.3.48.139 Konjugierte Transformationen</w:t>
      </w:r>
    </w:p>
    <w:p w:rsidR="00BA5935" w:rsidRDefault="00BA5935" w:rsidP="00BA5935">
      <w:pPr>
        <w:pStyle w:val="StandardWeb"/>
      </w:pPr>
      <w:r>
        <w:lastRenderedPageBreak/>
        <w:t>Zwei Transformationen können unterschiedliche Darstellungen derselben strukturellen Wirkung sein.</w:t>
      </w:r>
    </w:p>
    <w:p w:rsidR="00BA5935" w:rsidRDefault="00BA5935" w:rsidP="00BA5935">
      <w:pPr>
        <w:pStyle w:val="StandardWeb"/>
      </w:pPr>
      <w:r>
        <w:t>Sei (\varphi) ein Isomorphismus zwischen zwei Strukturen. Dann kann eine Transformation (g_1) durch</w:t>
      </w:r>
    </w:p>
    <w:p w:rsidR="00BA5935" w:rsidRDefault="00BA5935" w:rsidP="00BA5935">
      <w:pPr>
        <w:pStyle w:val="berschrift1"/>
      </w:pPr>
      <w:r>
        <w:t>[</w:t>
      </w:r>
      <w:r>
        <w:br/>
        <w:t>g_2</w:t>
      </w:r>
    </w:p>
    <w:p w:rsidR="00BA5935" w:rsidRDefault="00BA5935" w:rsidP="00BA5935">
      <w:pPr>
        <w:pStyle w:val="StandardWeb"/>
      </w:pPr>
      <w:r>
        <w:t>\varphi</w:t>
      </w:r>
      <w:r>
        <w:br/>
        <w:t>\circ</w:t>
      </w:r>
      <w:r>
        <w:br/>
        <w:t>g_1</w:t>
      </w:r>
      <w:r>
        <w:br/>
        <w:t>\circ</w:t>
      </w:r>
      <w:r>
        <w:br/>
        <w:t>\varphi^{-1}</w:t>
      </w:r>
      <w:r>
        <w:br/>
        <w:t>\tag{3.12185}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g_2=\varphi\circ g_1\circ\varphi^{-1}</w:t>
      </w:r>
    </w:p>
    <w:p w:rsidR="00BA5935" w:rsidRDefault="00BA5935" w:rsidP="00BA5935">
      <w:pPr>
        <w:pStyle w:val="StandardWeb"/>
      </w:pPr>
      <w:r>
        <w:t>in die zweite Darstellung übertragen werden.</w:t>
      </w:r>
    </w:p>
    <w:p w:rsidR="00BA5935" w:rsidRDefault="00E50336" w:rsidP="00BA5935">
      <w:r>
        <w:pict>
          <v:rect id="_x0000_i4311" style="width:0;height:1.5pt" o:hralign="center" o:hrstd="t" o:hr="t" fillcolor="#a0a0a0" stroked="f"/>
        </w:pict>
      </w:r>
    </w:p>
    <w:p w:rsidR="00BA5935" w:rsidRDefault="00BA5935" w:rsidP="00BA5935">
      <w:pPr>
        <w:pStyle w:val="berschrift1"/>
      </w:pPr>
      <w:r>
        <w:t>3.3.48.140 Definition 3.3.332 – Funktionale Konjugation</w:t>
      </w:r>
    </w:p>
    <w:p w:rsidR="00BA5935" w:rsidRDefault="00BA5935" w:rsidP="00BA5935">
      <w:pPr>
        <w:pStyle w:val="berschrift3"/>
      </w:pPr>
      <w:r>
        <w:t>Definition 3.3.332</w:t>
      </w:r>
    </w:p>
    <w:p w:rsidR="00BA5935" w:rsidRDefault="00BA5935" w:rsidP="00BA5935">
      <w:pPr>
        <w:pStyle w:val="StandardWeb"/>
      </w:pPr>
      <w:r>
        <w:t xml:space="preserve">Zwei Transformationen (g_1) und (g_2) heißen bezüglich eines Isomorphismus (\varphi) </w:t>
      </w:r>
      <w:r>
        <w:rPr>
          <w:rStyle w:val="Fett"/>
        </w:rPr>
        <w:t>konjugiert</w:t>
      </w:r>
      <w:r>
        <w:t>, wenn</w:t>
      </w:r>
    </w:p>
    <w:p w:rsidR="00BA5935" w:rsidRDefault="00BA5935" w:rsidP="00BA5935">
      <w:pPr>
        <w:pStyle w:val="berschrift1"/>
      </w:pPr>
      <w:r>
        <w:t>[</w:t>
      </w:r>
      <w:r>
        <w:br/>
        <w:t>\boxed{</w:t>
      </w:r>
      <w:r>
        <w:br/>
        <w:t>g_2</w:t>
      </w:r>
    </w:p>
    <w:p w:rsidR="00BA5935" w:rsidRDefault="00BA5935" w:rsidP="00BA5935">
      <w:pPr>
        <w:pStyle w:val="StandardWeb"/>
      </w:pPr>
      <w:r>
        <w:t>\varphi</w:t>
      </w:r>
      <w:r>
        <w:br/>
        <w:t>\circ</w:t>
      </w:r>
      <w:r>
        <w:br/>
        <w:t>g_1</w:t>
      </w:r>
      <w:r>
        <w:br/>
        <w:t>\circ</w:t>
      </w:r>
      <w:r>
        <w:br/>
        <w:t>\varphi^{-1}.</w:t>
      </w:r>
      <w:r>
        <w:br/>
        <w:t>}</w:t>
      </w:r>
      <w:r>
        <w:br/>
        <w:t>\tag{3.12186}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lastRenderedPageBreak/>
        <w:t>\boxed{g_2=\varphi\circ g_1\circ\varphi^{-1}.}</w:t>
      </w:r>
    </w:p>
    <w:p w:rsidR="00BA5935" w:rsidRDefault="00E50336" w:rsidP="00BA5935">
      <w:r>
        <w:pict>
          <v:rect id="_x0000_i4312" style="width:0;height:1.5pt" o:hralign="center" o:hrstd="t" o:hr="t" fillcolor="#a0a0a0" stroked="f"/>
        </w:pict>
      </w:r>
    </w:p>
    <w:p w:rsidR="00BA5935" w:rsidRDefault="00BA5935" w:rsidP="00BA5935">
      <w:pPr>
        <w:pStyle w:val="berschrift1"/>
      </w:pPr>
      <w:r>
        <w:t>3.3.48.141 Konjugation erhält Kompositionsstruktur</w:t>
      </w:r>
    </w:p>
    <w:p w:rsidR="00BA5935" w:rsidRDefault="00BA5935" w:rsidP="00BA5935">
      <w:pPr>
        <w:pStyle w:val="StandardWeb"/>
      </w:pPr>
      <w:r>
        <w:t>Für</w:t>
      </w:r>
    </w:p>
    <w:p w:rsidR="00BA5935" w:rsidRDefault="00BA5935" w:rsidP="00BA5935">
      <w:pPr>
        <w:pStyle w:val="berschrift1"/>
      </w:pPr>
      <w:r>
        <w:t>[</w:t>
      </w:r>
      <w:r>
        <w:br/>
        <w:t>g_2</w:t>
      </w:r>
    </w:p>
    <w:p w:rsidR="00BA5935" w:rsidRDefault="00BA5935" w:rsidP="00BA5935">
      <w:pPr>
        <w:pStyle w:val="StandardWeb"/>
      </w:pPr>
      <w:r>
        <w:t>\varphi g_1\varphi^{-1}</w:t>
      </w:r>
      <w:r>
        <w:br/>
        <w:t>\tag{3.12187}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g_2=\varphi g_1\varphi^{-1}</w:t>
      </w:r>
    </w:p>
    <w:p w:rsidR="00BA5935" w:rsidRDefault="00BA5935" w:rsidP="00BA5935">
      <w:pPr>
        <w:pStyle w:val="StandardWeb"/>
      </w:pPr>
      <w:r>
        <w:t>und</w:t>
      </w:r>
    </w:p>
    <w:p w:rsidR="00BA5935" w:rsidRDefault="00BA5935" w:rsidP="00BA5935">
      <w:pPr>
        <w:pStyle w:val="berschrift1"/>
      </w:pPr>
      <w:r>
        <w:t>[</w:t>
      </w:r>
      <w:r>
        <w:br/>
        <w:t>h_2</w:t>
      </w:r>
    </w:p>
    <w:p w:rsidR="00BA5935" w:rsidRDefault="00BA5935" w:rsidP="00BA5935">
      <w:pPr>
        <w:pStyle w:val="StandardWeb"/>
      </w:pPr>
      <w:r>
        <w:t>\varphi h_1\varphi^{-1}</w:t>
      </w:r>
      <w:r>
        <w:br/>
        <w:t>\tag{3.12188}</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h_2=\varphi h_1\varphi^{-1}</w:t>
      </w:r>
    </w:p>
    <w:p w:rsidR="00BA5935" w:rsidRDefault="00BA5935" w:rsidP="00BA5935">
      <w:pPr>
        <w:pStyle w:val="StandardWeb"/>
      </w:pPr>
      <w:r>
        <w:t>gilt</w:t>
      </w:r>
    </w:p>
    <w:p w:rsidR="00BA5935" w:rsidRDefault="00BA5935" w:rsidP="00BA5935">
      <w:pPr>
        <w:pStyle w:val="berschrift1"/>
      </w:pPr>
      <w:r>
        <w:t>[</w:t>
      </w:r>
      <w:r>
        <w:br/>
        <w:t>g_2h_2</w:t>
      </w:r>
    </w:p>
    <w:p w:rsidR="00BA5935" w:rsidRDefault="00BA5935" w:rsidP="00BA5935">
      <w:pPr>
        <w:pStyle w:val="StandardWeb"/>
      </w:pPr>
      <w:r>
        <w:t>\varphi g_1h_1\varphi^{-1}.</w:t>
      </w:r>
      <w:r>
        <w:br/>
        <w:t>\tag{3.12189}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g_2h_2=\varphi g_1h_1\varphi^{-1}</w:t>
      </w:r>
    </w:p>
    <w:p w:rsidR="00BA5935" w:rsidRDefault="00E50336" w:rsidP="00BA5935">
      <w:r>
        <w:pict>
          <v:rect id="_x0000_i4313" style="width:0;height:1.5pt" o:hralign="center" o:hrstd="t" o:hr="t" fillcolor="#a0a0a0" stroked="f"/>
        </w:pict>
      </w:r>
    </w:p>
    <w:p w:rsidR="00BA5935" w:rsidRDefault="00BA5935" w:rsidP="00BA5935">
      <w:pPr>
        <w:pStyle w:val="berschrift1"/>
      </w:pPr>
      <w:r>
        <w:lastRenderedPageBreak/>
        <w:t>3.3.48.142 Satz 3.3.136 – Isomorphe Strukturen besitzen isomorphe Automorphismengruppen</w:t>
      </w:r>
    </w:p>
    <w:p w:rsidR="00BA5935" w:rsidRDefault="00BA5935" w:rsidP="00BA5935">
      <w:pPr>
        <w:pStyle w:val="berschrift3"/>
      </w:pPr>
      <w:r>
        <w:t>Satz 3.3.136</w:t>
      </w:r>
    </w:p>
    <w:p w:rsidR="00BA5935" w:rsidRDefault="00BA5935" w:rsidP="00BA5935">
      <w:pPr>
        <w:pStyle w:val="StandardWeb"/>
      </w:pPr>
      <w:r>
        <w:t>Sind</w:t>
      </w:r>
    </w:p>
    <w:p w:rsidR="00BA5935" w:rsidRDefault="00BA5935" w:rsidP="00BA5935">
      <w:pPr>
        <w:pStyle w:val="StandardWeb"/>
      </w:pPr>
      <w:r>
        <w:t>[</w:t>
      </w:r>
      <w:r>
        <w:br/>
        <w:t>\mathfrak S_F^{(1)}</w:t>
      </w:r>
      <w:r>
        <w:br/>
        <w:t>\cong</w:t>
      </w:r>
      <w:r>
        <w:br/>
        <w:t>\mathfrak S_F^{(2)}</w:t>
      </w:r>
      <w:r>
        <w:br/>
        <w:t>\tag{3.12190}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\mathfrak S_F^{(1)}\cong\mathfrak S_F^{(2)}</w:t>
      </w:r>
    </w:p>
    <w:p w:rsidR="00BA5935" w:rsidRDefault="00BA5935" w:rsidP="00BA5935">
      <w:pPr>
        <w:pStyle w:val="StandardWeb"/>
      </w:pPr>
      <w:r>
        <w:t>über einen Isomorphismus (\varphi), dann gilt</w:t>
      </w:r>
    </w:p>
    <w:p w:rsidR="00BA5935" w:rsidRDefault="00BA5935" w:rsidP="00BA5935">
      <w:pPr>
        <w:pStyle w:val="StandardWeb"/>
      </w:pPr>
      <w:r>
        <w:t>[</w:t>
      </w:r>
      <w:r>
        <w:br/>
        <w:t>\boxed{</w:t>
      </w:r>
      <w:r>
        <w:br/>
        <w:t>\operatorname{Aut}</w:t>
      </w:r>
      <w:r>
        <w:br/>
        <w:t>(\mathfrak S_F^{(1)})</w:t>
      </w:r>
      <w:r>
        <w:br/>
        <w:t>\cong</w:t>
      </w:r>
      <w:r>
        <w:br/>
        <w:t>\operatorname{Aut}</w:t>
      </w:r>
      <w:r>
        <w:br/>
        <w:t>(\mathfrak S_F^{(2)}).</w:t>
      </w:r>
      <w:r>
        <w:br/>
        <w:t>}</w:t>
      </w:r>
      <w:r>
        <w:br/>
        <w:t>\tag{3.12191}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\boxed{\operatorname{Aut}(\mathfrak S_F^{(1)})\cong\operatorname{Aut}(\mathfrak S_F^{(2)}).}</w:t>
      </w:r>
    </w:p>
    <w:p w:rsidR="00BA5935" w:rsidRDefault="00BA5935" w:rsidP="00BA5935">
      <w:pPr>
        <w:pStyle w:val="berschrift3"/>
      </w:pPr>
      <w:r>
        <w:t>Beweis</w:t>
      </w:r>
    </w:p>
    <w:p w:rsidR="00BA5935" w:rsidRDefault="00BA5935" w:rsidP="00BA5935">
      <w:pPr>
        <w:pStyle w:val="StandardWeb"/>
      </w:pPr>
      <w:r>
        <w:t>Definiere</w:t>
      </w:r>
    </w:p>
    <w:p w:rsidR="00BA5935" w:rsidRDefault="00BA5935" w:rsidP="00BA5935">
      <w:pPr>
        <w:pStyle w:val="berschrift1"/>
      </w:pPr>
      <w:r>
        <w:t>[</w:t>
      </w:r>
      <w:r>
        <w:br/>
        <w:t>C_\varphi(g)</w:t>
      </w:r>
    </w:p>
    <w:p w:rsidR="00BA5935" w:rsidRDefault="00BA5935" w:rsidP="00BA5935">
      <w:pPr>
        <w:pStyle w:val="StandardWeb"/>
      </w:pPr>
      <w:r>
        <w:t>\varphi</w:t>
      </w:r>
      <w:r>
        <w:br/>
        <w:t>\circ</w:t>
      </w:r>
      <w:r>
        <w:br/>
        <w:t>g</w:t>
      </w:r>
      <w:r>
        <w:br/>
        <w:t>\circ</w:t>
      </w:r>
      <w:r>
        <w:br/>
        <w:t>\varphi^{-1}.</w:t>
      </w:r>
      <w:r>
        <w:br/>
      </w:r>
      <w:r>
        <w:lastRenderedPageBreak/>
        <w:t>\tag{3.12192}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C_\varphi(g)=\varphi\circ g\circ\varphi^{-1}</w:t>
      </w:r>
    </w:p>
    <w:p w:rsidR="00BA5935" w:rsidRDefault="00BA5935" w:rsidP="00BA5935">
      <w:pPr>
        <w:pStyle w:val="StandardWeb"/>
      </w:pPr>
      <w:r>
        <w:t>Diese Abbildung ist bijektiv und erfüllt</w:t>
      </w:r>
    </w:p>
    <w:p w:rsidR="00BA5935" w:rsidRDefault="00BA5935" w:rsidP="00BA5935">
      <w:pPr>
        <w:pStyle w:val="berschrift1"/>
      </w:pPr>
      <w:r>
        <w:t>[</w:t>
      </w:r>
      <w:r>
        <w:br/>
        <w:t>C_\varphi(g\circ h)</w:t>
      </w:r>
    </w:p>
    <w:p w:rsidR="00BA5935" w:rsidRDefault="00BA5935" w:rsidP="00BA5935">
      <w:pPr>
        <w:pStyle w:val="StandardWeb"/>
      </w:pPr>
      <w:r>
        <w:t>C_\varphi(g)</w:t>
      </w:r>
      <w:r>
        <w:br/>
        <w:t>\circ</w:t>
      </w:r>
      <w:r>
        <w:br/>
        <w:t>C_\varphi(h).</w:t>
      </w:r>
      <w:r>
        <w:br/>
        <w:t>\tag{3.12193}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C_\varphi(g\circ h)=C_\varphi(g)\circ C_\varphi(h)</w:t>
      </w:r>
    </w:p>
    <w:p w:rsidR="00BA5935" w:rsidRDefault="00BA5935" w:rsidP="00BA5935">
      <w:pPr>
        <w:pStyle w:val="StandardWeb"/>
      </w:pPr>
      <w:r>
        <w:t>Damit ist (C_\varphi) ein Gruppenisomorphismus. (\square)</w:t>
      </w:r>
    </w:p>
    <w:p w:rsidR="00BA5935" w:rsidRDefault="00E50336" w:rsidP="00BA5935">
      <w:r>
        <w:pict>
          <v:rect id="_x0000_i4314" style="width:0;height:1.5pt" o:hralign="center" o:hrstd="t" o:hr="t" fillcolor="#a0a0a0" stroked="f"/>
        </w:pict>
      </w:r>
    </w:p>
    <w:p w:rsidR="00BA5935" w:rsidRDefault="00BA5935" w:rsidP="00BA5935">
      <w:pPr>
        <w:pStyle w:val="berschrift1"/>
      </w:pPr>
      <w:r>
        <w:t>3.3.48.143 Symmetrieeigenschaften sind darstellungsunabhängig</w:t>
      </w:r>
    </w:p>
    <w:p w:rsidR="00BA5935" w:rsidRDefault="00BA5935" w:rsidP="00BA5935">
      <w:pPr>
        <w:pStyle w:val="StandardWeb"/>
      </w:pPr>
      <w:r>
        <w:t>Aus Satz 3.3.136 folgt, dass die bloße Wahl einer isomorphen Darstellung die abstrakte Automorphismenstruktur nicht verändert.</w:t>
      </w:r>
    </w:p>
    <w:p w:rsidR="00BA5935" w:rsidRDefault="00BA5935" w:rsidP="00BA5935">
      <w:pPr>
        <w:pStyle w:val="StandardWeb"/>
      </w:pPr>
      <w:r>
        <w:t>Damit gilt</w:t>
      </w:r>
    </w:p>
    <w:p w:rsidR="00BA5935" w:rsidRDefault="00BA5935" w:rsidP="00BA5935">
      <w:pPr>
        <w:pStyle w:val="StandardWeb"/>
      </w:pPr>
      <w:r>
        <w:t>[</w:t>
      </w:r>
      <w:r>
        <w:br/>
        <w:t>\boxed{</w:t>
      </w:r>
      <w:r>
        <w:br/>
        <w:t>\text{Darstellungswechsel}</w:t>
      </w:r>
      <w:r>
        <w:br/>
        <w:t>\not\Rightarrow</w:t>
      </w:r>
      <w:r>
        <w:br/>
        <w:t>\text{Änderung der abstrakten Symmetriestruktur}.</w:t>
      </w:r>
      <w:r>
        <w:br/>
        <w:t>}</w:t>
      </w:r>
      <w:r>
        <w:br/>
        <w:t>\tag{3.12194}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\boxed{\text{Darstellungswechsel}\not\Rightarrow\text{Änderung der abstrakten Symmetriestruktur}.}</w:t>
      </w:r>
    </w:p>
    <w:p w:rsidR="00BA5935" w:rsidRDefault="00E50336" w:rsidP="00BA5935">
      <w:r>
        <w:pict>
          <v:rect id="_x0000_i4315" style="width:0;height:1.5pt" o:hralign="center" o:hrstd="t" o:hr="t" fillcolor="#a0a0a0" stroked="f"/>
        </w:pict>
      </w:r>
    </w:p>
    <w:p w:rsidR="00BA5935" w:rsidRDefault="00BA5935" w:rsidP="00BA5935">
      <w:pPr>
        <w:pStyle w:val="berschrift1"/>
      </w:pPr>
      <w:r>
        <w:lastRenderedPageBreak/>
        <w:t>3.3.48.144 Strukturelle und beobachtbare Äquivalenz</w:t>
      </w:r>
    </w:p>
    <w:p w:rsidR="00BA5935" w:rsidRDefault="00BA5935" w:rsidP="00BA5935">
      <w:pPr>
        <w:pStyle w:val="StandardWeb"/>
      </w:pPr>
      <w:r>
        <w:t>Zwei Modelle können strukturell isomorph sein und dennoch verschieden operationalisiert werden.</w:t>
      </w:r>
    </w:p>
    <w:p w:rsidR="00BA5935" w:rsidRDefault="00BA5935" w:rsidP="00BA5935">
      <w:pPr>
        <w:pStyle w:val="StandardWeb"/>
      </w:pPr>
      <w:r>
        <w:t>Daher unterscheide ich</w:t>
      </w:r>
    </w:p>
    <w:p w:rsidR="00BA5935" w:rsidRDefault="00BA5935" w:rsidP="00BA5935">
      <w:pPr>
        <w:pStyle w:val="StandardWeb"/>
      </w:pPr>
      <w:r>
        <w:t>[</w:t>
      </w:r>
      <w:r>
        <w:br/>
        <w:t>\mathfrak S_F^{(1)}</w:t>
      </w:r>
      <w:r>
        <w:br/>
        <w:t>\cong</w:t>
      </w:r>
      <w:r>
        <w:br/>
        <w:t>\mathfrak S_F^{(2)}</w:t>
      </w:r>
      <w:r>
        <w:br/>
        <w:t>\tag{3.12195}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\mathfrak S_F^{(1)}\cong\mathfrak S_F^{(2)}</w:t>
      </w:r>
    </w:p>
    <w:p w:rsidR="00BA5935" w:rsidRDefault="00BA5935" w:rsidP="00BA5935">
      <w:pPr>
        <w:pStyle w:val="StandardWeb"/>
      </w:pPr>
      <w:r>
        <w:t>von</w:t>
      </w:r>
    </w:p>
    <w:p w:rsidR="00BA5935" w:rsidRDefault="00BA5935" w:rsidP="00BA5935">
      <w:pPr>
        <w:pStyle w:val="StandardWeb"/>
      </w:pPr>
      <w:r>
        <w:t>[</w:t>
      </w:r>
      <w:r>
        <w:br/>
        <w:t>\mathfrak S_F^{(1)}</w:t>
      </w:r>
      <w:r>
        <w:br/>
        <w:t>\equiv_{\mathrm{obs}}</w:t>
      </w:r>
      <w:r>
        <w:br/>
        <w:t>\mathfrak S_F^{(2)}.</w:t>
      </w:r>
      <w:r>
        <w:br/>
        <w:t>\tag{3.12196}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\mathfrak S_F^{(1)}\equiv_{\mathrm{obs}}\mathfrak S_F^{(2)}</w:t>
      </w:r>
    </w:p>
    <w:p w:rsidR="00BA5935" w:rsidRDefault="00E50336" w:rsidP="00BA5935">
      <w:r>
        <w:pict>
          <v:rect id="_x0000_i4316" style="width:0;height:1.5pt" o:hralign="center" o:hrstd="t" o:hr="t" fillcolor="#a0a0a0" stroked="f"/>
        </w:pict>
      </w:r>
    </w:p>
    <w:p w:rsidR="00BA5935" w:rsidRDefault="00BA5935" w:rsidP="00BA5935">
      <w:pPr>
        <w:pStyle w:val="berschrift1"/>
      </w:pPr>
      <w:r>
        <w:t>3.3.48.145 Definition 3.3.333 – Funktionale Beobachtungsäquivalenz</w:t>
      </w:r>
    </w:p>
    <w:p w:rsidR="00BA5935" w:rsidRDefault="00BA5935" w:rsidP="00BA5935">
      <w:pPr>
        <w:pStyle w:val="berschrift3"/>
      </w:pPr>
      <w:r>
        <w:t>Definition 3.3.333</w:t>
      </w:r>
    </w:p>
    <w:p w:rsidR="00BA5935" w:rsidRDefault="00BA5935" w:rsidP="00BA5935">
      <w:pPr>
        <w:pStyle w:val="StandardWeb"/>
      </w:pPr>
      <w:r>
        <w:t xml:space="preserve">Zwei funktionale Modellstrukturen heißen bezüglich einer Menge beobachtbarer Größen (\mathcal Q_{\mathrm{obs}}) </w:t>
      </w:r>
      <w:r>
        <w:rPr>
          <w:rStyle w:val="Fett"/>
        </w:rPr>
        <w:t>beobachtungsäquivalent</w:t>
      </w:r>
      <w:r>
        <w:t>, wenn</w:t>
      </w:r>
    </w:p>
    <w:p w:rsidR="00BA5935" w:rsidRDefault="00BA5935" w:rsidP="00BA5935">
      <w:pPr>
        <w:pStyle w:val="berschrift1"/>
      </w:pPr>
      <w:r>
        <w:t>[</w:t>
      </w:r>
      <w:r>
        <w:br/>
        <w:t>\boxed{</w:t>
      </w:r>
      <w:r>
        <w:br/>
        <w:t>Q^{(1)}</w:t>
      </w:r>
    </w:p>
    <w:p w:rsidR="00BA5935" w:rsidRDefault="00BA5935" w:rsidP="00BA5935">
      <w:pPr>
        <w:pStyle w:val="StandardWeb"/>
      </w:pPr>
      <w:r>
        <w:t>Q^{(2)}\circ\varphi</w:t>
      </w:r>
      <w:r>
        <w:br/>
        <w:t>\qquad</w:t>
      </w:r>
      <w:r>
        <w:br/>
        <w:t>\forall Q\in\mathcal Q_{\mathrm{obs}}</w:t>
      </w:r>
      <w:r>
        <w:br/>
      </w:r>
      <w:r>
        <w:lastRenderedPageBreak/>
        <w:t>}</w:t>
      </w:r>
      <w:r>
        <w:br/>
        <w:t>\tag{3.12197}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\boxed{Q^{(1)}=Q^{(2)}\circ\varphi\qquad\forall Q\in\mathcal Q_{\mathrm{obs}}}</w:t>
      </w:r>
    </w:p>
    <w:p w:rsidR="00BA5935" w:rsidRDefault="00BA5935" w:rsidP="00BA5935">
      <w:pPr>
        <w:pStyle w:val="StandardWeb"/>
      </w:pPr>
      <w:r>
        <w:t>für einen geeigneten strukturellen Isomorphismus (\varphi) gilt.</w:t>
      </w:r>
    </w:p>
    <w:p w:rsidR="00BA5935" w:rsidRDefault="00E50336" w:rsidP="00BA5935">
      <w:r>
        <w:pict>
          <v:rect id="_x0000_i4317" style="width:0;height:1.5pt" o:hralign="center" o:hrstd="t" o:hr="t" fillcolor="#a0a0a0" stroked="f"/>
        </w:pict>
      </w:r>
    </w:p>
    <w:p w:rsidR="00BA5935" w:rsidRDefault="00BA5935" w:rsidP="00BA5935">
      <w:pPr>
        <w:pStyle w:val="berschrift1"/>
      </w:pPr>
      <w:r>
        <w:t>3.3.48.146 Strukturelle Isomorphie reicht nicht für empirische Gleichwertigkeit</w:t>
      </w:r>
    </w:p>
    <w:p w:rsidR="00BA5935" w:rsidRDefault="00BA5935" w:rsidP="00BA5935">
      <w:pPr>
        <w:pStyle w:val="StandardWeb"/>
      </w:pPr>
      <w:r>
        <w:t>Im Allgemeinen gilt lediglich</w:t>
      </w:r>
    </w:p>
    <w:p w:rsidR="00BA5935" w:rsidRDefault="00BA5935" w:rsidP="00BA5935">
      <w:pPr>
        <w:pStyle w:val="StandardWeb"/>
      </w:pPr>
      <w:r>
        <w:t>[</w:t>
      </w:r>
      <w:r>
        <w:br/>
        <w:t>\mathfrak S_F^{(1)}</w:t>
      </w:r>
      <w:r>
        <w:br/>
        <w:t>\cong</w:t>
      </w:r>
      <w:r>
        <w:br/>
        <w:t>\mathfrak S_F^{(2)}</w:t>
      </w:r>
      <w:r>
        <w:br/>
        <w:t>\not\Rightarrow</w:t>
      </w:r>
      <w:r>
        <w:br/>
        <w:t>\mathfrak S_F^{(1)}</w:t>
      </w:r>
      <w:r>
        <w:br/>
        <w:t>\equiv_{\mathrm{obs}}</w:t>
      </w:r>
      <w:r>
        <w:br/>
        <w:t>\mathfrak S_F^{(2)}.</w:t>
      </w:r>
      <w:r>
        <w:br/>
        <w:t>\tag{3.12198}</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\mathfrak S_F^{(1)}\cong\mathfrak S_F^{(2)}\not\Rightarrow\mathfrak S_F^{(1)}\equiv_{\mathrm{obs}}\mathfrak S_F^{(2)}</w:t>
      </w:r>
    </w:p>
    <w:p w:rsidR="00BA5935" w:rsidRDefault="00BA5935" w:rsidP="00BA5935">
      <w:pPr>
        <w:pStyle w:val="StandardWeb"/>
      </w:pPr>
      <w:r>
        <w:t>Die Beobachtungsabbildungen müssen zusätzlich kompatibel sein.</w:t>
      </w:r>
    </w:p>
    <w:p w:rsidR="00BA5935" w:rsidRDefault="00E50336" w:rsidP="00BA5935">
      <w:r>
        <w:pict>
          <v:rect id="_x0000_i4318" style="width:0;height:1.5pt" o:hralign="center" o:hrstd="t" o:hr="t" fillcolor="#a0a0a0" stroked="f"/>
        </w:pict>
      </w:r>
    </w:p>
    <w:p w:rsidR="00BA5935" w:rsidRDefault="00BA5935" w:rsidP="00BA5935">
      <w:pPr>
        <w:pStyle w:val="berschrift1"/>
      </w:pPr>
      <w:r>
        <w:t>3.3.48.147 Zustandsraumdarstellungen</w:t>
      </w:r>
    </w:p>
    <w:p w:rsidR="00BA5935" w:rsidRDefault="00BA5935" w:rsidP="00BA5935">
      <w:pPr>
        <w:pStyle w:val="StandardWeb"/>
      </w:pPr>
      <w:r>
        <w:t>Eine abstrakte funktionale Struktur kann verschiedene Repräsentationen besitzen.</w:t>
      </w:r>
    </w:p>
    <w:p w:rsidR="00BA5935" w:rsidRDefault="00BA5935" w:rsidP="00BA5935">
      <w:pPr>
        <w:pStyle w:val="StandardWeb"/>
      </w:pPr>
      <w:r>
        <w:t>Ich schreibe</w:t>
      </w:r>
    </w:p>
    <w:p w:rsidR="00BA5935" w:rsidRDefault="00BA5935" w:rsidP="00BA5935">
      <w:pPr>
        <w:pStyle w:val="StandardWeb"/>
      </w:pPr>
      <w:r>
        <w:t>[</w:t>
      </w:r>
      <w:r>
        <w:br/>
        <w:t>\Pi:</w:t>
      </w:r>
      <w:r>
        <w:br/>
        <w:t>\mathfrak S_F</w:t>
      </w:r>
      <w:r>
        <w:br/>
        <w:t>\rightarrow</w:t>
      </w:r>
      <w:r>
        <w:br/>
        <w:t>\mathfrak R_F</w:t>
      </w:r>
      <w:r>
        <w:br/>
      </w:r>
      <w:r>
        <w:lastRenderedPageBreak/>
        <w:t>\tag{3.12199}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\Pi:\mathfrak S_F\rightarrow\mathfrak R_F</w:t>
      </w:r>
    </w:p>
    <w:p w:rsidR="00BA5935" w:rsidRDefault="00BA5935" w:rsidP="00BA5935">
      <w:pPr>
        <w:pStyle w:val="StandardWeb"/>
      </w:pPr>
      <w:r>
        <w:t>für eine Repräsentation einer abstrakten Struktur in einem konkreteren Darstellungsraum.</w:t>
      </w:r>
    </w:p>
    <w:p w:rsidR="00BA5935" w:rsidRDefault="00E50336" w:rsidP="00BA5935">
      <w:r>
        <w:pict>
          <v:rect id="_x0000_i4319" style="width:0;height:1.5pt" o:hralign="center" o:hrstd="t" o:hr="t" fillcolor="#a0a0a0" stroked="f"/>
        </w:pict>
      </w:r>
    </w:p>
    <w:p w:rsidR="00BA5935" w:rsidRDefault="00BA5935" w:rsidP="00BA5935">
      <w:pPr>
        <w:pStyle w:val="berschrift1"/>
      </w:pPr>
      <w:r>
        <w:t>3.3.48.148 Definition 3.3.334 – Funktionale Repräsentation</w:t>
      </w:r>
    </w:p>
    <w:p w:rsidR="00BA5935" w:rsidRDefault="00BA5935" w:rsidP="00BA5935">
      <w:pPr>
        <w:pStyle w:val="berschrift3"/>
      </w:pPr>
      <w:r>
        <w:t>Definition 3.3.334</w:t>
      </w:r>
    </w:p>
    <w:p w:rsidR="00BA5935" w:rsidRDefault="00BA5935" w:rsidP="00BA5935">
      <w:pPr>
        <w:pStyle w:val="StandardWeb"/>
      </w:pPr>
      <w:r>
        <w:t xml:space="preserve">Eine </w:t>
      </w:r>
      <w:r>
        <w:rPr>
          <w:rStyle w:val="Fett"/>
        </w:rPr>
        <w:t>funktionale Repräsentation</w:t>
      </w:r>
      <w:r>
        <w:t xml:space="preserve"> ist eine strukturverträgliche Abbildung</w:t>
      </w:r>
    </w:p>
    <w:p w:rsidR="00BA5935" w:rsidRDefault="00BA5935" w:rsidP="00BA5935">
      <w:pPr>
        <w:pStyle w:val="StandardWeb"/>
      </w:pPr>
      <w:r>
        <w:t>[</w:t>
      </w:r>
      <w:r>
        <w:br/>
        <w:t>\boxed{</w:t>
      </w:r>
      <w:r>
        <w:br/>
        <w:t>\Pi:</w:t>
      </w:r>
      <w:r>
        <w:br/>
        <w:t>\mathfrak S_F</w:t>
      </w:r>
      <w:r>
        <w:br/>
        <w:t>\rightarrow</w:t>
      </w:r>
      <w:r>
        <w:br/>
        <w:t>\mathfrak R_F,</w:t>
      </w:r>
      <w:r>
        <w:br/>
        <w:t>}</w:t>
      </w:r>
      <w:r>
        <w:br/>
        <w:t>\tag{3.12200}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\boxed{\Pi:\mathfrak S_F\rightarrow\mathfrak R_F,}</w:t>
      </w:r>
    </w:p>
    <w:p w:rsidR="00BA5935" w:rsidRDefault="00BA5935" w:rsidP="00BA5935">
      <w:pPr>
        <w:pStyle w:val="StandardWeb"/>
      </w:pPr>
      <w:r>
        <w:t>durch die eine abstrakte funktionale Struktur in einer konkreten mathematischen Darstellung beschrieben wird.</w:t>
      </w:r>
    </w:p>
    <w:p w:rsidR="00BA5935" w:rsidRDefault="00E50336" w:rsidP="00BA5935">
      <w:r>
        <w:pict>
          <v:rect id="_x0000_i4320" style="width:0;height:1.5pt" o:hralign="center" o:hrstd="t" o:hr="t" fillcolor="#a0a0a0" stroked="f"/>
        </w:pict>
      </w:r>
    </w:p>
    <w:p w:rsidR="00BA5935" w:rsidRDefault="00BA5935" w:rsidP="00BA5935">
      <w:pPr>
        <w:pStyle w:val="berschrift1"/>
      </w:pPr>
      <w:r>
        <w:t>3.3.48.149 Repräsentationswechsel</w:t>
      </w:r>
    </w:p>
    <w:p w:rsidR="00BA5935" w:rsidRDefault="00BA5935" w:rsidP="00BA5935">
      <w:pPr>
        <w:pStyle w:val="StandardWeb"/>
      </w:pPr>
      <w:r>
        <w:t>Zwei Repräsentationen</w:t>
      </w:r>
    </w:p>
    <w:p w:rsidR="00BA5935" w:rsidRDefault="00BA5935" w:rsidP="00BA5935">
      <w:pPr>
        <w:pStyle w:val="StandardWeb"/>
      </w:pPr>
      <w:r>
        <w:t>[</w:t>
      </w:r>
      <w:r>
        <w:br/>
        <w:t>\Pi_1</w:t>
      </w:r>
      <w:r>
        <w:br/>
        <w:t>\qquad\text{und}\qquad</w:t>
      </w:r>
      <w:r>
        <w:br/>
        <w:t>\Pi_2</w:t>
      </w:r>
      <w:r>
        <w:br/>
        <w:t>\tag{3.12201}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lastRenderedPageBreak/>
        <w:t>\Pi_1\qquad\text{und}\qquad\Pi_2</w:t>
      </w:r>
    </w:p>
    <w:p w:rsidR="00BA5935" w:rsidRDefault="00BA5935" w:rsidP="00BA5935">
      <w:pPr>
        <w:pStyle w:val="StandardWeb"/>
      </w:pPr>
      <w:r>
        <w:t>können durch einen Isomorphismus (\varphi) verbunden sein:</w:t>
      </w:r>
    </w:p>
    <w:p w:rsidR="00BA5935" w:rsidRDefault="00BA5935" w:rsidP="00BA5935">
      <w:pPr>
        <w:pStyle w:val="berschrift1"/>
      </w:pPr>
      <w:r>
        <w:t>[</w:t>
      </w:r>
      <w:r>
        <w:br/>
        <w:t>\Pi_2</w:t>
      </w:r>
    </w:p>
    <w:p w:rsidR="00BA5935" w:rsidRDefault="00BA5935" w:rsidP="00BA5935">
      <w:pPr>
        <w:pStyle w:val="StandardWeb"/>
      </w:pPr>
      <w:r>
        <w:t>\varphi</w:t>
      </w:r>
      <w:r>
        <w:br/>
        <w:t>\circ</w:t>
      </w:r>
      <w:r>
        <w:br/>
        <w:t>\Pi_1.</w:t>
      </w:r>
      <w:r>
        <w:br/>
        <w:t>\tag{3.12202}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\Pi_2=\varphi\circ\Pi_1</w:t>
      </w:r>
    </w:p>
    <w:p w:rsidR="00BA5935" w:rsidRDefault="00E50336" w:rsidP="00BA5935">
      <w:r>
        <w:pict>
          <v:rect id="_x0000_i4321" style="width:0;height:1.5pt" o:hralign="center" o:hrstd="t" o:hr="t" fillcolor="#a0a0a0" stroked="f"/>
        </w:pict>
      </w:r>
    </w:p>
    <w:p w:rsidR="00BA5935" w:rsidRDefault="00BA5935" w:rsidP="00BA5935">
      <w:pPr>
        <w:pStyle w:val="berschrift1"/>
      </w:pPr>
      <w:r>
        <w:t>3.3.48.150 Definition 3.3.335 – Äquivalente funktionale Repräsentationen</w:t>
      </w:r>
    </w:p>
    <w:p w:rsidR="00BA5935" w:rsidRDefault="00BA5935" w:rsidP="00BA5935">
      <w:pPr>
        <w:pStyle w:val="berschrift3"/>
      </w:pPr>
      <w:r>
        <w:t>Definition 3.3.335</w:t>
      </w:r>
    </w:p>
    <w:p w:rsidR="00BA5935" w:rsidRDefault="00BA5935" w:rsidP="00BA5935">
      <w:pPr>
        <w:pStyle w:val="StandardWeb"/>
      </w:pPr>
      <w:r>
        <w:t xml:space="preserve">Zwei Repräsentationen heißen </w:t>
      </w:r>
      <w:r>
        <w:rPr>
          <w:rStyle w:val="Fett"/>
        </w:rPr>
        <w:t>äquivalent</w:t>
      </w:r>
      <w:r>
        <w:t>, wenn ein Isomorphismus (\varphi) existiert mit</w:t>
      </w:r>
    </w:p>
    <w:p w:rsidR="00BA5935" w:rsidRDefault="00BA5935" w:rsidP="00BA5935">
      <w:pPr>
        <w:pStyle w:val="berschrift1"/>
      </w:pPr>
      <w:r>
        <w:t>[</w:t>
      </w:r>
      <w:r>
        <w:br/>
        <w:t>\boxed{</w:t>
      </w:r>
      <w:r>
        <w:br/>
        <w:t>\Pi_2</w:t>
      </w:r>
    </w:p>
    <w:p w:rsidR="00BA5935" w:rsidRDefault="00BA5935" w:rsidP="00BA5935">
      <w:pPr>
        <w:pStyle w:val="StandardWeb"/>
      </w:pPr>
      <w:r>
        <w:t>\varphi</w:t>
      </w:r>
      <w:r>
        <w:br/>
        <w:t>\circ</w:t>
      </w:r>
      <w:r>
        <w:br/>
        <w:t>\Pi_1.</w:t>
      </w:r>
      <w:r>
        <w:br/>
        <w:t>}</w:t>
      </w:r>
      <w:r>
        <w:br/>
        <w:t>\tag{3.12203}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\boxed{\Pi_2=\varphi\circ\Pi_1.}</w:t>
      </w:r>
    </w:p>
    <w:p w:rsidR="00BA5935" w:rsidRDefault="00E50336" w:rsidP="00BA5935">
      <w:r>
        <w:pict>
          <v:rect id="_x0000_i4322" style="width:0;height:1.5pt" o:hralign="center" o:hrstd="t" o:hr="t" fillcolor="#a0a0a0" stroked="f"/>
        </w:pict>
      </w:r>
    </w:p>
    <w:p w:rsidR="00BA5935" w:rsidRDefault="00BA5935" w:rsidP="00BA5935">
      <w:pPr>
        <w:pStyle w:val="berschrift1"/>
      </w:pPr>
      <w:r>
        <w:t>3.3.48.151 Darstellungsunabhängige Aussage</w:t>
      </w:r>
    </w:p>
    <w:p w:rsidR="00BA5935" w:rsidRDefault="00BA5935" w:rsidP="00BA5935">
      <w:pPr>
        <w:pStyle w:val="StandardWeb"/>
      </w:pPr>
      <w:r>
        <w:t>Eine Aussage (P) nenne ich darstellungsunabhängig, wenn ihr Wahrheitswert unter äquivalenten Repräsentationen unverändert bleibt:</w:t>
      </w:r>
    </w:p>
    <w:p w:rsidR="00BA5935" w:rsidRDefault="00BA5935" w:rsidP="00BA5935">
      <w:pPr>
        <w:pStyle w:val="berschrift1"/>
      </w:pPr>
      <w:r>
        <w:lastRenderedPageBreak/>
        <w:t>[</w:t>
      </w:r>
      <w:r>
        <w:br/>
        <w:t>P(\Pi_1(\mathfrak S_F))</w:t>
      </w:r>
    </w:p>
    <w:p w:rsidR="00BA5935" w:rsidRDefault="00BA5935" w:rsidP="00BA5935">
      <w:pPr>
        <w:pStyle w:val="StandardWeb"/>
      </w:pPr>
      <w:r>
        <w:t>P(\Pi_2(\mathfrak S_F)).</w:t>
      </w:r>
      <w:r>
        <w:br/>
        <w:t>\tag{3.12204}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P(\Pi_1(\mathfrak S_F))=P(\Pi_2(\mathfrak S_F))</w:t>
      </w:r>
    </w:p>
    <w:p w:rsidR="00BA5935" w:rsidRDefault="00E50336" w:rsidP="00BA5935">
      <w:r>
        <w:pict>
          <v:rect id="_x0000_i4323" style="width:0;height:1.5pt" o:hralign="center" o:hrstd="t" o:hr="t" fillcolor="#a0a0a0" stroked="f"/>
        </w:pict>
      </w:r>
    </w:p>
    <w:p w:rsidR="00BA5935" w:rsidRDefault="00BA5935" w:rsidP="00BA5935">
      <w:pPr>
        <w:pStyle w:val="berschrift1"/>
      </w:pPr>
      <w:r>
        <w:t>3.3.48.152 Definition 3.3.336 – Funktionale Darstellungsinvarianz</w:t>
      </w:r>
    </w:p>
    <w:p w:rsidR="00BA5935" w:rsidRDefault="00BA5935" w:rsidP="00BA5935">
      <w:pPr>
        <w:pStyle w:val="berschrift3"/>
      </w:pPr>
      <w:r>
        <w:t>Definition 3.3.336</w:t>
      </w:r>
    </w:p>
    <w:p w:rsidR="00BA5935" w:rsidRDefault="00BA5935" w:rsidP="00BA5935">
      <w:pPr>
        <w:pStyle w:val="StandardWeb"/>
      </w:pPr>
      <w:r>
        <w:t xml:space="preserve">Eine Aussage oder Eigenschaft (P) heißt </w:t>
      </w:r>
      <w:r>
        <w:rPr>
          <w:rStyle w:val="Fett"/>
        </w:rPr>
        <w:t>darstellungsinvariant</w:t>
      </w:r>
      <w:r>
        <w:t>, wenn für sämtliche äquivalenten Repräsentationen gilt</w:t>
      </w:r>
    </w:p>
    <w:p w:rsidR="00BA5935" w:rsidRDefault="00BA5935" w:rsidP="00BA5935">
      <w:pPr>
        <w:pStyle w:val="berschrift1"/>
      </w:pPr>
      <w:r>
        <w:t>[</w:t>
      </w:r>
      <w:r>
        <w:br/>
        <w:t>\boxed{</w:t>
      </w:r>
      <w:r>
        <w:br/>
        <w:t>P\circ\Pi_1</w:t>
      </w:r>
    </w:p>
    <w:p w:rsidR="00BA5935" w:rsidRDefault="00BA5935" w:rsidP="00BA5935">
      <w:pPr>
        <w:pStyle w:val="StandardWeb"/>
      </w:pPr>
      <w:r>
        <w:t>P\circ\Pi_2.</w:t>
      </w:r>
      <w:r>
        <w:br/>
        <w:t>}</w:t>
      </w:r>
      <w:r>
        <w:br/>
        <w:t>\tag{3.12205}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\boxed{P\circ\Pi_1=P\circ\Pi_2.}</w:t>
      </w:r>
    </w:p>
    <w:p w:rsidR="00BA5935" w:rsidRDefault="00E50336" w:rsidP="00BA5935">
      <w:r>
        <w:pict>
          <v:rect id="_x0000_i4324" style="width:0;height:1.5pt" o:hralign="center" o:hrstd="t" o:hr="t" fillcolor="#a0a0a0" stroked="f"/>
        </w:pict>
      </w:r>
    </w:p>
    <w:p w:rsidR="00BA5935" w:rsidRDefault="00BA5935" w:rsidP="00BA5935">
      <w:pPr>
        <w:pStyle w:val="berschrift1"/>
      </w:pPr>
      <w:r>
        <w:t>3.3.48.153 Repräsentation und Ontologie</w:t>
      </w:r>
    </w:p>
    <w:p w:rsidR="00BA5935" w:rsidRDefault="00BA5935" w:rsidP="00BA5935">
      <w:pPr>
        <w:pStyle w:val="StandardWeb"/>
      </w:pPr>
      <w:r>
        <w:t>Aus einer darstellungsabhängigen Größe folgt nicht automatisch eine ontologische Eigenschaft.</w:t>
      </w:r>
    </w:p>
    <w:p w:rsidR="00BA5935" w:rsidRDefault="00BA5935" w:rsidP="00BA5935">
      <w:pPr>
        <w:pStyle w:val="StandardWeb"/>
      </w:pPr>
      <w:r>
        <w:t>Damit gilt methodologisch zunächst</w:t>
      </w:r>
    </w:p>
    <w:p w:rsidR="00BA5935" w:rsidRDefault="00BA5935" w:rsidP="00BA5935">
      <w:pPr>
        <w:pStyle w:val="StandardWeb"/>
      </w:pPr>
      <w:r>
        <w:t>[</w:t>
      </w:r>
      <w:r>
        <w:br/>
        <w:t>\boxed{</w:t>
      </w:r>
      <w:r>
        <w:br/>
        <w:t>\text{Repräsentationsgröße}</w:t>
      </w:r>
      <w:r>
        <w:br/>
        <w:t>\not\Rightarrow</w:t>
      </w:r>
      <w:r>
        <w:br/>
        <w:t>\text{ontologische Eigenschaft}.</w:t>
      </w:r>
      <w:r>
        <w:br/>
      </w:r>
      <w:r>
        <w:lastRenderedPageBreak/>
        <w:t>}</w:t>
      </w:r>
      <w:r>
        <w:br/>
        <w:t>\tag{3.12206}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\boxed{\text{Repräsentationsgröße}\not\Rightarrow\text{ontologische Eigenschaft}.}</w:t>
      </w:r>
    </w:p>
    <w:p w:rsidR="00BA5935" w:rsidRDefault="00E50336" w:rsidP="00BA5935">
      <w:r>
        <w:pict>
          <v:rect id="_x0000_i4325" style="width:0;height:1.5pt" o:hralign="center" o:hrstd="t" o:hr="t" fillcolor="#a0a0a0" stroked="f"/>
        </w:pict>
      </w:r>
    </w:p>
    <w:p w:rsidR="00BA5935" w:rsidRDefault="00BA5935" w:rsidP="00BA5935">
      <w:pPr>
        <w:pStyle w:val="berschrift1"/>
      </w:pPr>
      <w:r>
        <w:t>3.3.48.154 Symmetrieklasse eines Zustands</w:t>
      </w:r>
    </w:p>
    <w:p w:rsidR="00BA5935" w:rsidRDefault="00BA5935" w:rsidP="00BA5935">
      <w:pPr>
        <w:pStyle w:val="StandardWeb"/>
      </w:pPr>
      <w:r>
        <w:t>Bereits die Bahn</w:t>
      </w:r>
    </w:p>
    <w:p w:rsidR="00BA5935" w:rsidRDefault="00BA5935" w:rsidP="00BA5935">
      <w:pPr>
        <w:pStyle w:val="StandardWeb"/>
      </w:pPr>
      <w:r>
        <w:t>[</w:t>
      </w:r>
      <w:r>
        <w:br/>
        <w:t>\operatorname{Orb}_G(z)</w:t>
      </w:r>
      <w:r>
        <w:br/>
        <w:t>\tag{3.12207}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\operatorname{Orb}_G(z)</w:t>
      </w:r>
    </w:p>
    <w:p w:rsidR="00BA5935" w:rsidRDefault="00BA5935" w:rsidP="00BA5935">
      <w:pPr>
        <w:pStyle w:val="StandardWeb"/>
      </w:pPr>
      <w:r>
        <w:t>fasst symmetrieäquivalente Zustände zusammen.</w:t>
      </w:r>
    </w:p>
    <w:p w:rsidR="00BA5935" w:rsidRDefault="00BA5935" w:rsidP="00BA5935">
      <w:pPr>
        <w:pStyle w:val="StandardWeb"/>
      </w:pPr>
      <w:r>
        <w:t>Ich kann sie daher auch als Symmetrieklasse des Zustands interpretieren.</w:t>
      </w:r>
    </w:p>
    <w:p w:rsidR="00BA5935" w:rsidRDefault="00E50336" w:rsidP="00BA5935">
      <w:r>
        <w:pict>
          <v:rect id="_x0000_i4326" style="width:0;height:1.5pt" o:hralign="center" o:hrstd="t" o:hr="t" fillcolor="#a0a0a0" stroked="f"/>
        </w:pict>
      </w:r>
    </w:p>
    <w:p w:rsidR="00BA5935" w:rsidRDefault="00BA5935" w:rsidP="00BA5935">
      <w:pPr>
        <w:pStyle w:val="berschrift1"/>
      </w:pPr>
      <w:r>
        <w:t>3.3.48.155 Definition 3.3.337 – Funktionale Symmetrieklasse</w:t>
      </w:r>
    </w:p>
    <w:p w:rsidR="00BA5935" w:rsidRDefault="00BA5935" w:rsidP="00BA5935">
      <w:pPr>
        <w:pStyle w:val="berschrift3"/>
      </w:pPr>
      <w:r>
        <w:t>Definition 3.3.337</w:t>
      </w:r>
    </w:p>
    <w:p w:rsidR="00BA5935" w:rsidRDefault="00BA5935" w:rsidP="00BA5935">
      <w:pPr>
        <w:pStyle w:val="StandardWeb"/>
      </w:pPr>
      <w:r>
        <w:t xml:space="preserve">Die </w:t>
      </w:r>
      <w:r>
        <w:rPr>
          <w:rStyle w:val="Fett"/>
        </w:rPr>
        <w:t>funktionale Symmetrieklasse</w:t>
      </w:r>
      <w:r>
        <w:t xml:space="preserve"> eines Zustands (z) unter (G) ist</w:t>
      </w:r>
    </w:p>
    <w:p w:rsidR="00BA5935" w:rsidRDefault="00BA5935" w:rsidP="00BA5935">
      <w:pPr>
        <w:pStyle w:val="StandardWeb"/>
      </w:pPr>
      <w:r>
        <w:t>[</w:t>
      </w:r>
      <w:r>
        <w:br/>
        <w:t>\boxed{</w:t>
      </w:r>
      <w:r>
        <w:br/>
        <w:t>[z]_G</w:t>
      </w:r>
      <w:r>
        <w:br/>
        <w:t>:=</w:t>
      </w:r>
      <w:r>
        <w:br/>
        <w:t>\operatorname{Orb}_G(z).</w:t>
      </w:r>
      <w:r>
        <w:br/>
        <w:t>}</w:t>
      </w:r>
      <w:r>
        <w:br/>
        <w:t>\tag{3.12208}</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\boxed{[z]_G:=\operatorname{Orb}_G(z).}</w:t>
      </w:r>
    </w:p>
    <w:p w:rsidR="00BA5935" w:rsidRDefault="00E50336" w:rsidP="00BA5935">
      <w:r>
        <w:pict>
          <v:rect id="_x0000_i4327" style="width:0;height:1.5pt" o:hralign="center" o:hrstd="t" o:hr="t" fillcolor="#a0a0a0" stroked="f"/>
        </w:pict>
      </w:r>
    </w:p>
    <w:p w:rsidR="00BA5935" w:rsidRDefault="00BA5935" w:rsidP="00BA5935">
      <w:pPr>
        <w:pStyle w:val="berschrift1"/>
      </w:pPr>
      <w:r>
        <w:lastRenderedPageBreak/>
        <w:t>3.3.48.156 Invariante Eigenschaften auf Symmetrieklassen</w:t>
      </w:r>
    </w:p>
    <w:p w:rsidR="00BA5935" w:rsidRDefault="00BA5935" w:rsidP="00BA5935">
      <w:pPr>
        <w:pStyle w:val="StandardWeb"/>
      </w:pPr>
      <w:r>
        <w:t>Ist (Q_F) unter (G) invariant, dann gilt für alle</w:t>
      </w:r>
    </w:p>
    <w:p w:rsidR="00BA5935" w:rsidRDefault="00BA5935" w:rsidP="00BA5935">
      <w:pPr>
        <w:pStyle w:val="StandardWeb"/>
      </w:pPr>
      <w:r>
        <w:t>[</w:t>
      </w:r>
      <w:r>
        <w:br/>
        <w:t>z'</w:t>
      </w:r>
      <w:r>
        <w:br/>
        <w:t>\in</w:t>
      </w:r>
      <w:r>
        <w:br/>
        <w:t>[z]_G</w:t>
      </w:r>
      <w:r>
        <w:br/>
        <w:t>\tag{3.12209}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z'\in[z]_G</w:t>
      </w:r>
    </w:p>
    <w:p w:rsidR="00BA5935" w:rsidRDefault="00BA5935" w:rsidP="00BA5935">
      <w:pPr>
        <w:pStyle w:val="StandardWeb"/>
      </w:pPr>
      <w:r>
        <w:t>die Gleichheit</w:t>
      </w:r>
    </w:p>
    <w:p w:rsidR="00BA5935" w:rsidRDefault="00BA5935" w:rsidP="00BA5935">
      <w:pPr>
        <w:pStyle w:val="berschrift1"/>
      </w:pPr>
      <w:r>
        <w:t>[</w:t>
      </w:r>
      <w:r>
        <w:br/>
        <w:t>Q_F(z')</w:t>
      </w:r>
    </w:p>
    <w:p w:rsidR="00BA5935" w:rsidRDefault="00BA5935" w:rsidP="00BA5935">
      <w:pPr>
        <w:pStyle w:val="StandardWeb"/>
      </w:pPr>
      <w:r>
        <w:t>Q_F(z).</w:t>
      </w:r>
      <w:r>
        <w:br/>
        <w:t>\tag{3.12210}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Q_F(z')=Q_F(z)</w:t>
      </w:r>
    </w:p>
    <w:p w:rsidR="00BA5935" w:rsidRDefault="00E50336" w:rsidP="00BA5935">
      <w:r>
        <w:pict>
          <v:rect id="_x0000_i4328" style="width:0;height:1.5pt" o:hralign="center" o:hrstd="t" o:hr="t" fillcolor="#a0a0a0" stroked="f"/>
        </w:pict>
      </w:r>
    </w:p>
    <w:p w:rsidR="00BA5935" w:rsidRDefault="00BA5935" w:rsidP="00BA5935">
      <w:pPr>
        <w:pStyle w:val="berschrift1"/>
      </w:pPr>
      <w:r>
        <w:t>3.3.48.157 Satz 3.3.137 – Invariante Zustandsgrößen sind auf Symmetriebahnen konstant</w:t>
      </w:r>
    </w:p>
    <w:p w:rsidR="00BA5935" w:rsidRDefault="00BA5935" w:rsidP="00BA5935">
      <w:pPr>
        <w:pStyle w:val="berschrift3"/>
      </w:pPr>
      <w:r>
        <w:t>Satz 3.3.137</w:t>
      </w:r>
    </w:p>
    <w:p w:rsidR="00BA5935" w:rsidRDefault="00BA5935" w:rsidP="00BA5935">
      <w:pPr>
        <w:pStyle w:val="StandardWeb"/>
      </w:pPr>
      <w:r>
        <w:t>Ist (Q_F) gegenüber einer Gruppenwirkung (G) invariant, dann gilt</w:t>
      </w:r>
    </w:p>
    <w:p w:rsidR="00BA5935" w:rsidRDefault="00BA5935" w:rsidP="00BA5935">
      <w:pPr>
        <w:pStyle w:val="berschrift1"/>
      </w:pPr>
      <w:r>
        <w:t>[</w:t>
      </w:r>
      <w:r>
        <w:br/>
        <w:t>\boxed{</w:t>
      </w:r>
      <w:r>
        <w:br/>
        <w:t>z'\in\operatorname{Orb}_G(z)</w:t>
      </w:r>
      <w:r>
        <w:br/>
        <w:t>\Rightarrow</w:t>
      </w:r>
      <w:r>
        <w:br/>
        <w:t>Q_F(z')</w:t>
      </w:r>
    </w:p>
    <w:p w:rsidR="00BA5935" w:rsidRDefault="00BA5935" w:rsidP="00BA5935">
      <w:pPr>
        <w:pStyle w:val="StandardWeb"/>
      </w:pPr>
      <w:r>
        <w:lastRenderedPageBreak/>
        <w:t>Q_F(z).</w:t>
      </w:r>
      <w:r>
        <w:br/>
        <w:t>}</w:t>
      </w:r>
      <w:r>
        <w:br/>
        <w:t>\tag{3.12211}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\boxed{z'\in\operatorname{Orb}_G(z)\Rightarrow Q_F(z')=Q_F(z).}</w:t>
      </w:r>
    </w:p>
    <w:p w:rsidR="00BA5935" w:rsidRDefault="00BA5935" w:rsidP="00BA5935">
      <w:pPr>
        <w:pStyle w:val="berschrift3"/>
      </w:pPr>
      <w:r>
        <w:t>Beweis</w:t>
      </w:r>
    </w:p>
    <w:p w:rsidR="00BA5935" w:rsidRDefault="00BA5935" w:rsidP="00BA5935">
      <w:pPr>
        <w:pStyle w:val="StandardWeb"/>
      </w:pPr>
      <w:r>
        <w:t>Aus</w:t>
      </w:r>
    </w:p>
    <w:p w:rsidR="00BA5935" w:rsidRDefault="00BA5935" w:rsidP="00BA5935">
      <w:pPr>
        <w:pStyle w:val="berschrift1"/>
      </w:pPr>
      <w:r>
        <w:t>[</w:t>
      </w:r>
      <w:r>
        <w:br/>
        <w:t>z'</w:t>
      </w:r>
    </w:p>
    <w:p w:rsidR="00BA5935" w:rsidRDefault="00BA5935" w:rsidP="00BA5935">
      <w:pPr>
        <w:pStyle w:val="StandardWeb"/>
      </w:pPr>
      <w:r>
        <w:t>g(z)</w:t>
      </w:r>
      <w:r>
        <w:br/>
        <w:t>\tag{3.12212}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z'=g(z)</w:t>
      </w:r>
    </w:p>
    <w:p w:rsidR="00BA5935" w:rsidRDefault="00BA5935" w:rsidP="00BA5935">
      <w:pPr>
        <w:pStyle w:val="StandardWeb"/>
      </w:pPr>
      <w:r>
        <w:t>für ein (g\in G) und der Invarianz folgt</w:t>
      </w:r>
    </w:p>
    <w:p w:rsidR="00BA5935" w:rsidRDefault="00BA5935" w:rsidP="00BA5935">
      <w:pPr>
        <w:pStyle w:val="berschrift1"/>
      </w:pPr>
      <w:r>
        <w:t>[</w:t>
      </w:r>
      <w:r>
        <w:br/>
        <w:t>Q_F(z')</w:t>
      </w:r>
    </w:p>
    <w:p w:rsidR="00BA5935" w:rsidRDefault="00BA5935" w:rsidP="00BA5935">
      <w:pPr>
        <w:pStyle w:val="berschrift1"/>
      </w:pPr>
      <w:r>
        <w:t>Q_F(g(z))</w:t>
      </w:r>
    </w:p>
    <w:p w:rsidR="00BA5935" w:rsidRDefault="00BA5935" w:rsidP="00BA5935">
      <w:pPr>
        <w:pStyle w:val="StandardWeb"/>
      </w:pPr>
      <w:r>
        <w:t>Q_F(z).</w:t>
      </w:r>
      <w:r>
        <w:br/>
        <w:t>\tag{3.12213}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Q_F(z')=Q_F(g(z))=Q_F(z)</w:t>
      </w:r>
    </w:p>
    <w:p w:rsidR="00BA5935" w:rsidRDefault="00BA5935" w:rsidP="00BA5935">
      <w:pPr>
        <w:pStyle w:val="StandardWeb"/>
      </w:pPr>
      <w:r>
        <w:t>(\square)</w:t>
      </w:r>
    </w:p>
    <w:p w:rsidR="00BA5935" w:rsidRDefault="00E50336" w:rsidP="00BA5935">
      <w:r>
        <w:pict>
          <v:rect id="_x0000_i4329" style="width:0;height:1.5pt" o:hralign="center" o:hrstd="t" o:hr="t" fillcolor="#a0a0a0" stroked="f"/>
        </w:pict>
      </w:r>
    </w:p>
    <w:p w:rsidR="00BA5935" w:rsidRDefault="00BA5935" w:rsidP="00BA5935">
      <w:pPr>
        <w:pStyle w:val="berschrift1"/>
      </w:pPr>
      <w:r>
        <w:t>3.3.48.158 Faktorisierung über den Quotienten</w:t>
      </w:r>
    </w:p>
    <w:p w:rsidR="00BA5935" w:rsidRDefault="00BA5935" w:rsidP="00BA5935">
      <w:pPr>
        <w:pStyle w:val="StandardWeb"/>
      </w:pPr>
      <w:r>
        <w:t>Aus Satz 3.3.137 folgt, dass eine vollständig (G)-invariante Zustandsgröße auf dem Quotientenraum definiert werden kann.</w:t>
      </w:r>
    </w:p>
    <w:p w:rsidR="00BA5935" w:rsidRDefault="00BA5935" w:rsidP="00BA5935">
      <w:pPr>
        <w:pStyle w:val="StandardWeb"/>
      </w:pPr>
      <w:r>
        <w:lastRenderedPageBreak/>
        <w:t>Sei</w:t>
      </w:r>
    </w:p>
    <w:p w:rsidR="00BA5935" w:rsidRDefault="00BA5935" w:rsidP="00BA5935">
      <w:pPr>
        <w:pStyle w:val="StandardWeb"/>
      </w:pPr>
      <w:r>
        <w:t>[</w:t>
      </w:r>
      <w:r>
        <w:br/>
        <w:t>\pi_G:</w:t>
      </w:r>
      <w:r>
        <w:br/>
        <w:t>\Omega_F</w:t>
      </w:r>
      <w:r>
        <w:br/>
        <w:t>\rightarrow</w:t>
      </w:r>
      <w:r>
        <w:br/>
        <w:t>\Omega_F/G</w:t>
      </w:r>
      <w:r>
        <w:br/>
        <w:t>\tag{3.12214}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\pi_G:\Omega_F\rightarrow\Omega_F/G</w:t>
      </w:r>
    </w:p>
    <w:p w:rsidR="00BA5935" w:rsidRDefault="00BA5935" w:rsidP="00BA5935">
      <w:pPr>
        <w:pStyle w:val="StandardWeb"/>
      </w:pPr>
      <w:r>
        <w:t>die kanonische Projektion.</w:t>
      </w:r>
    </w:p>
    <w:p w:rsidR="00BA5935" w:rsidRDefault="00BA5935" w:rsidP="00BA5935">
      <w:pPr>
        <w:pStyle w:val="StandardWeb"/>
      </w:pPr>
      <w:r>
        <w:t>Dann existiert eine Funktion (\bar Q_F) mit</w:t>
      </w:r>
    </w:p>
    <w:p w:rsidR="00BA5935" w:rsidRDefault="00BA5935" w:rsidP="00BA5935">
      <w:pPr>
        <w:pStyle w:val="berschrift1"/>
      </w:pPr>
      <w:r>
        <w:t>[</w:t>
      </w:r>
      <w:r>
        <w:br/>
        <w:t>Q_F</w:t>
      </w:r>
    </w:p>
    <w:p w:rsidR="00BA5935" w:rsidRDefault="00BA5935" w:rsidP="00BA5935">
      <w:pPr>
        <w:pStyle w:val="StandardWeb"/>
      </w:pPr>
      <w:r>
        <w:t>\bar Q_F</w:t>
      </w:r>
      <w:r>
        <w:br/>
        <w:t>\circ</w:t>
      </w:r>
      <w:r>
        <w:br/>
        <w:t>\pi_G.</w:t>
      </w:r>
      <w:r>
        <w:br/>
        <w:t>\tag{3.12215}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Q_F=\bar Q_F\circ\pi_G</w:t>
      </w:r>
    </w:p>
    <w:p w:rsidR="00BA5935" w:rsidRDefault="00E50336" w:rsidP="00BA5935">
      <w:r>
        <w:pict>
          <v:rect id="_x0000_i4330" style="width:0;height:1.5pt" o:hralign="center" o:hrstd="t" o:hr="t" fillcolor="#a0a0a0" stroked="f"/>
        </w:pict>
      </w:r>
    </w:p>
    <w:p w:rsidR="00BA5935" w:rsidRDefault="00BA5935" w:rsidP="00BA5935">
      <w:pPr>
        <w:pStyle w:val="berschrift1"/>
      </w:pPr>
      <w:r>
        <w:t>3.3.48.159 Satz 3.3.138 – Invariante Größen faktorisieren über den Symmetriequotienten</w:t>
      </w:r>
    </w:p>
    <w:p w:rsidR="00BA5935" w:rsidRDefault="00BA5935" w:rsidP="00BA5935">
      <w:pPr>
        <w:pStyle w:val="berschrift3"/>
      </w:pPr>
      <w:r>
        <w:t>Satz 3.3.138</w:t>
      </w:r>
    </w:p>
    <w:p w:rsidR="00BA5935" w:rsidRDefault="00BA5935" w:rsidP="00BA5935">
      <w:pPr>
        <w:pStyle w:val="StandardWeb"/>
      </w:pPr>
      <w:r>
        <w:t>Ist (Q_F) unter (G) invariant, dann existiert eine wohldefinierte Abbildung</w:t>
      </w:r>
    </w:p>
    <w:p w:rsidR="00BA5935" w:rsidRDefault="00BA5935" w:rsidP="00BA5935">
      <w:pPr>
        <w:pStyle w:val="StandardWeb"/>
      </w:pPr>
      <w:r>
        <w:t>[</w:t>
      </w:r>
      <w:r>
        <w:br/>
        <w:t>\bar Q_F:</w:t>
      </w:r>
      <w:r>
        <w:br/>
        <w:t>\Omega_F/G</w:t>
      </w:r>
      <w:r>
        <w:br/>
        <w:t>\rightarrow</w:t>
      </w:r>
      <w:r>
        <w:br/>
        <w:t>\mathcal V_Q</w:t>
      </w:r>
      <w:r>
        <w:br/>
        <w:t>\tag{3.12216}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lastRenderedPageBreak/>
        <w:t>\bar Q_F:\Omega_F/G\rightarrow\mathcal V_Q</w:t>
      </w:r>
    </w:p>
    <w:p w:rsidR="00BA5935" w:rsidRDefault="00BA5935" w:rsidP="00BA5935">
      <w:pPr>
        <w:pStyle w:val="StandardWeb"/>
      </w:pPr>
      <w:r>
        <w:t>mit</w:t>
      </w:r>
    </w:p>
    <w:p w:rsidR="00BA5935" w:rsidRDefault="00BA5935" w:rsidP="00BA5935">
      <w:pPr>
        <w:pStyle w:val="berschrift1"/>
      </w:pPr>
      <w:r>
        <w:t>[</w:t>
      </w:r>
      <w:r>
        <w:br/>
        <w:t>\boxed{</w:t>
      </w:r>
      <w:r>
        <w:br/>
        <w:t>Q_F</w:t>
      </w:r>
    </w:p>
    <w:p w:rsidR="00BA5935" w:rsidRDefault="00BA5935" w:rsidP="00BA5935">
      <w:pPr>
        <w:pStyle w:val="StandardWeb"/>
      </w:pPr>
      <w:r>
        <w:t>\bar Q_F</w:t>
      </w:r>
      <w:r>
        <w:br/>
        <w:t>\circ</w:t>
      </w:r>
      <w:r>
        <w:br/>
        <w:t>\pi_G.</w:t>
      </w:r>
      <w:r>
        <w:br/>
        <w:t>}</w:t>
      </w:r>
      <w:r>
        <w:br/>
        <w:t>\tag{3.12217}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\boxed{Q_F=\bar Q_F\circ\pi_G.}</w:t>
      </w:r>
    </w:p>
    <w:p w:rsidR="00BA5935" w:rsidRDefault="00E50336" w:rsidP="00BA5935">
      <w:r>
        <w:pict>
          <v:rect id="_x0000_i4331" style="width:0;height:1.5pt" o:hralign="center" o:hrstd="t" o:hr="t" fillcolor="#a0a0a0" stroked="f"/>
        </w:pict>
      </w:r>
    </w:p>
    <w:p w:rsidR="00BA5935" w:rsidRDefault="00BA5935" w:rsidP="00BA5935">
      <w:pPr>
        <w:pStyle w:val="berschrift1"/>
      </w:pPr>
      <w:r>
        <w:t>3.3.48.160 Definition 3.3.338 – Reduzierte funktionale Zustandsgröße</w:t>
      </w:r>
    </w:p>
    <w:p w:rsidR="00BA5935" w:rsidRDefault="00BA5935" w:rsidP="00BA5935">
      <w:pPr>
        <w:pStyle w:val="berschrift3"/>
      </w:pPr>
      <w:r>
        <w:t>Definition 3.3.338</w:t>
      </w:r>
    </w:p>
    <w:p w:rsidR="00BA5935" w:rsidRDefault="00BA5935" w:rsidP="00BA5935">
      <w:pPr>
        <w:pStyle w:val="StandardWeb"/>
      </w:pPr>
      <w:r>
        <w:t>Die auf dem Quotientenraum definierte Abbildung</w:t>
      </w:r>
    </w:p>
    <w:p w:rsidR="00BA5935" w:rsidRDefault="00BA5935" w:rsidP="00BA5935">
      <w:pPr>
        <w:pStyle w:val="StandardWeb"/>
      </w:pPr>
      <w:r>
        <w:t>[</w:t>
      </w:r>
      <w:r>
        <w:br/>
        <w:t>\boxed{</w:t>
      </w:r>
      <w:r>
        <w:br/>
        <w:t>\bar Q_F:</w:t>
      </w:r>
      <w:r>
        <w:br/>
        <w:t>\Omega_F/G</w:t>
      </w:r>
      <w:r>
        <w:br/>
        <w:t>\rightarrow</w:t>
      </w:r>
      <w:r>
        <w:br/>
        <w:t>\mathcal V_Q</w:t>
      </w:r>
      <w:r>
        <w:br/>
        <w:t>}</w:t>
      </w:r>
      <w:r>
        <w:br/>
        <w:t>\tag{3.12218}</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\boxed{\bar Q_F:\Omega_F/G\rightarrow\mathcal V_Q}</w:t>
      </w:r>
    </w:p>
    <w:p w:rsidR="00BA5935" w:rsidRDefault="00BA5935" w:rsidP="00BA5935">
      <w:pPr>
        <w:pStyle w:val="StandardWeb"/>
      </w:pPr>
      <w:r>
        <w:t xml:space="preserve">nenne ich die </w:t>
      </w:r>
      <w:r>
        <w:rPr>
          <w:rStyle w:val="Fett"/>
        </w:rPr>
        <w:t>reduzierte funktionale Zustandsgröße</w:t>
      </w:r>
      <w:r>
        <w:t xml:space="preserve"> bezüglich der Symmetriegruppe (G).</w:t>
      </w:r>
    </w:p>
    <w:p w:rsidR="00BA5935" w:rsidRDefault="00E50336" w:rsidP="00BA5935">
      <w:r>
        <w:pict>
          <v:rect id="_x0000_i4332" style="width:0;height:1.5pt" o:hralign="center" o:hrstd="t" o:hr="t" fillcolor="#a0a0a0" stroked="f"/>
        </w:pict>
      </w:r>
    </w:p>
    <w:p w:rsidR="00BA5935" w:rsidRDefault="00BA5935" w:rsidP="00BA5935">
      <w:pPr>
        <w:pStyle w:val="berschrift1"/>
      </w:pPr>
      <w:r>
        <w:t>3.3.48.161 Symmetriereduktion</w:t>
      </w:r>
    </w:p>
    <w:p w:rsidR="00BA5935" w:rsidRDefault="00BA5935" w:rsidP="00BA5935">
      <w:pPr>
        <w:pStyle w:val="StandardWeb"/>
      </w:pPr>
      <w:r>
        <w:t>Der Übergang</w:t>
      </w:r>
    </w:p>
    <w:p w:rsidR="00BA5935" w:rsidRDefault="00BA5935" w:rsidP="00BA5935">
      <w:pPr>
        <w:pStyle w:val="StandardWeb"/>
      </w:pPr>
      <w:r>
        <w:lastRenderedPageBreak/>
        <w:t>[</w:t>
      </w:r>
      <w:r>
        <w:br/>
        <w:t>\Omega_F</w:t>
      </w:r>
      <w:r>
        <w:br/>
        <w:t>\longrightarrow</w:t>
      </w:r>
      <w:r>
        <w:br/>
        <w:t>\Omega_F/G</w:t>
      </w:r>
      <w:r>
        <w:br/>
        <w:t>\tag{3.12219}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\Omega_F\longrightarrow\Omega_F/G</w:t>
      </w:r>
    </w:p>
    <w:p w:rsidR="00BA5935" w:rsidRDefault="00BA5935" w:rsidP="00BA5935">
      <w:pPr>
        <w:pStyle w:val="StandardWeb"/>
      </w:pPr>
      <w:r>
        <w:t>entfernt Unterschiede zwischen Zuständen, die innerhalb der gewählten Modellstruktur lediglich durch Symmetrie verbunden sind.</w:t>
      </w:r>
    </w:p>
    <w:p w:rsidR="00BA5935" w:rsidRDefault="00E50336" w:rsidP="00BA5935">
      <w:r>
        <w:pict>
          <v:rect id="_x0000_i4333" style="width:0;height:1.5pt" o:hralign="center" o:hrstd="t" o:hr="t" fillcolor="#a0a0a0" stroked="f"/>
        </w:pict>
      </w:r>
    </w:p>
    <w:p w:rsidR="00BA5935" w:rsidRDefault="00BA5935" w:rsidP="00BA5935">
      <w:pPr>
        <w:pStyle w:val="berschrift1"/>
      </w:pPr>
      <w:r>
        <w:t>3.3.48.162 Definition 3.3.339 – Funktionale Symmetriereduktion</w:t>
      </w:r>
    </w:p>
    <w:p w:rsidR="00BA5935" w:rsidRDefault="00BA5935" w:rsidP="00BA5935">
      <w:pPr>
        <w:pStyle w:val="berschrift3"/>
      </w:pPr>
      <w:r>
        <w:t>Definition 3.3.339</w:t>
      </w:r>
    </w:p>
    <w:p w:rsidR="00BA5935" w:rsidRDefault="00BA5935" w:rsidP="00BA5935">
      <w:pPr>
        <w:pStyle w:val="StandardWeb"/>
      </w:pPr>
      <w:r>
        <w:t xml:space="preserve">Die </w:t>
      </w:r>
      <w:r>
        <w:rPr>
          <w:rStyle w:val="Fett"/>
        </w:rPr>
        <w:t>funktionale Symmetriereduktion</w:t>
      </w:r>
      <w:r>
        <w:t xml:space="preserve"> ist die Quotientenbildung</w:t>
      </w:r>
    </w:p>
    <w:p w:rsidR="00BA5935" w:rsidRDefault="00BA5935" w:rsidP="00BA5935">
      <w:pPr>
        <w:pStyle w:val="StandardWeb"/>
      </w:pPr>
      <w:r>
        <w:t>[</w:t>
      </w:r>
      <w:r>
        <w:br/>
        <w:t>\boxed{</w:t>
      </w:r>
      <w:r>
        <w:br/>
        <w:t>\mathcal R_G:</w:t>
      </w:r>
      <w:r>
        <w:br/>
        <w:t>\Omega_F</w:t>
      </w:r>
      <w:r>
        <w:br/>
        <w:t>\rightarrow</w:t>
      </w:r>
      <w:r>
        <w:br/>
        <w:t>\Omega_F/G.</w:t>
      </w:r>
      <w:r>
        <w:br/>
        <w:t>}</w:t>
      </w:r>
      <w:r>
        <w:br/>
        <w:t>\tag{3.12220}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\boxed{\mathcal R_G:\Omega_F\rightarrow\Omega_F/G.}</w:t>
      </w:r>
    </w:p>
    <w:p w:rsidR="00BA5935" w:rsidRDefault="00E50336" w:rsidP="00BA5935">
      <w:r>
        <w:pict>
          <v:rect id="_x0000_i4334" style="width:0;height:1.5pt" o:hralign="center" o:hrstd="t" o:hr="t" fillcolor="#a0a0a0" stroked="f"/>
        </w:pict>
      </w:r>
    </w:p>
    <w:p w:rsidR="00BA5935" w:rsidRDefault="00BA5935" w:rsidP="00BA5935">
      <w:pPr>
        <w:pStyle w:val="berschrift1"/>
      </w:pPr>
      <w:r>
        <w:t>3.3.48.163 Informationsverlust durch Quotientierung</w:t>
      </w:r>
    </w:p>
    <w:p w:rsidR="00BA5935" w:rsidRDefault="00BA5935" w:rsidP="00BA5935">
      <w:pPr>
        <w:pStyle w:val="StandardWeb"/>
      </w:pPr>
      <w:r>
        <w:t>Die Quotientierung kann Informationen entfernen, die nicht invariant unter (G) sind.</w:t>
      </w:r>
    </w:p>
    <w:p w:rsidR="00BA5935" w:rsidRDefault="00BA5935" w:rsidP="00BA5935">
      <w:pPr>
        <w:pStyle w:val="StandardWeb"/>
      </w:pPr>
      <w:r>
        <w:t>Es gilt daher grundsätzlich</w:t>
      </w:r>
    </w:p>
    <w:p w:rsidR="00BA5935" w:rsidRDefault="00BA5935" w:rsidP="00BA5935">
      <w:pPr>
        <w:pStyle w:val="StandardWeb"/>
      </w:pPr>
      <w:r>
        <w:t>[</w:t>
      </w:r>
      <w:r>
        <w:br/>
        <w:t>\boxed{</w:t>
      </w:r>
      <w:r>
        <w:br/>
        <w:t>\Omega_F/G</w:t>
      </w:r>
      <w:r>
        <w:br/>
        <w:t>\text{ enthält nur die durch die gewählte Äquivalenz erhaltene Struktur.}</w:t>
      </w:r>
      <w:r>
        <w:br/>
        <w:t>}</w:t>
      </w:r>
      <w:r>
        <w:br/>
      </w:r>
      <w:r>
        <w:lastRenderedPageBreak/>
        <w:t>\tag{3.12221}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\boxed{\Omega_F/G\text{ enthält nur die durch die gewählte Äquivalenz erhaltene Struktur}.}</w:t>
      </w:r>
    </w:p>
    <w:p w:rsidR="00BA5935" w:rsidRDefault="00E50336" w:rsidP="00BA5935">
      <w:r>
        <w:pict>
          <v:rect id="_x0000_i4335" style="width:0;height:1.5pt" o:hralign="center" o:hrstd="t" o:hr="t" fillcolor="#a0a0a0" stroked="f"/>
        </w:pict>
      </w:r>
    </w:p>
    <w:p w:rsidR="00BA5935" w:rsidRDefault="00BA5935" w:rsidP="00BA5935">
      <w:pPr>
        <w:pStyle w:val="berschrift1"/>
      </w:pPr>
      <w:r>
        <w:t>3.3.48.164 Approximative Äquivarianz</w:t>
      </w:r>
    </w:p>
    <w:p w:rsidR="00BA5935" w:rsidRDefault="00BA5935" w:rsidP="00BA5935">
      <w:pPr>
        <w:pStyle w:val="StandardWeb"/>
      </w:pPr>
      <w:r>
        <w:t>Auch Äquivarianz kann empirisch oder numerisch nur näherungsweise erfüllt sein.</w:t>
      </w:r>
    </w:p>
    <w:p w:rsidR="00BA5935" w:rsidRDefault="00BA5935" w:rsidP="00BA5935">
      <w:pPr>
        <w:pStyle w:val="StandardWeb"/>
      </w:pPr>
      <w:r>
        <w:t>Ich definiere ein Äquivarianzresiduum</w:t>
      </w:r>
    </w:p>
    <w:p w:rsidR="00BA5935" w:rsidRDefault="00BA5935" w:rsidP="00BA5935">
      <w:pPr>
        <w:pStyle w:val="berschrift2"/>
      </w:pPr>
      <w:r>
        <w:t>[</w:t>
      </w:r>
      <w:r>
        <w:br/>
        <w:t>R_{\mathrm{eq}}</w:t>
      </w:r>
      <w:r>
        <w:br/>
        <w:t>(g,z)</w:t>
      </w:r>
      <w:r>
        <w:br/>
        <w:t>:=</w:t>
      </w:r>
      <w:r>
        <w:br/>
        <w:t>Q_F(g(z))</w:t>
      </w:r>
    </w:p>
    <w:p w:rsidR="00BA5935" w:rsidRDefault="00BA5935" w:rsidP="00BA5935">
      <w:pPr>
        <w:pStyle w:val="StandardWeb"/>
      </w:pPr>
      <w:r>
        <w:t>\rho(g)Q_F(z).</w:t>
      </w:r>
      <w:r>
        <w:br/>
        <w:t>\tag{3.12222}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R_{\mathrm{eq}}(g,z):=Q_F(g(z))-\rho(g)Q_F(z)</w:t>
      </w:r>
    </w:p>
    <w:p w:rsidR="00BA5935" w:rsidRDefault="00E50336" w:rsidP="00BA5935">
      <w:r>
        <w:pict>
          <v:rect id="_x0000_i4336" style="width:0;height:1.5pt" o:hralign="center" o:hrstd="t" o:hr="t" fillcolor="#a0a0a0" stroked="f"/>
        </w:pict>
      </w:r>
    </w:p>
    <w:p w:rsidR="00BA5935" w:rsidRDefault="00BA5935" w:rsidP="00BA5935">
      <w:pPr>
        <w:pStyle w:val="berschrift1"/>
      </w:pPr>
      <w:r>
        <w:t>3.3.48.165 Definition 3.3.340 – Funktionales Äquivarianzresiduum</w:t>
      </w:r>
    </w:p>
    <w:p w:rsidR="00BA5935" w:rsidRDefault="00BA5935" w:rsidP="00BA5935">
      <w:pPr>
        <w:pStyle w:val="berschrift3"/>
      </w:pPr>
      <w:r>
        <w:t>Definition 3.3.340</w:t>
      </w:r>
    </w:p>
    <w:p w:rsidR="00BA5935" w:rsidRDefault="00BA5935" w:rsidP="00BA5935">
      <w:pPr>
        <w:pStyle w:val="StandardWeb"/>
      </w:pPr>
      <w:r>
        <w:t xml:space="preserve">Das </w:t>
      </w:r>
      <w:r>
        <w:rPr>
          <w:rStyle w:val="Fett"/>
        </w:rPr>
        <w:t>funktionale Äquivarianzresiduum</w:t>
      </w:r>
      <w:r>
        <w:t xml:space="preserve"> ist</w:t>
      </w:r>
    </w:p>
    <w:p w:rsidR="00BA5935" w:rsidRDefault="00BA5935" w:rsidP="00BA5935">
      <w:pPr>
        <w:pStyle w:val="berschrift2"/>
      </w:pPr>
      <w:r>
        <w:t>[</w:t>
      </w:r>
      <w:r>
        <w:br/>
        <w:t>\boxed{</w:t>
      </w:r>
      <w:r>
        <w:br/>
        <w:t>R_{\mathrm{eq}}</w:t>
      </w:r>
      <w:r>
        <w:br/>
        <w:t>(g,z)</w:t>
      </w:r>
      <w:r>
        <w:br/>
        <w:t>:=</w:t>
      </w:r>
      <w:r>
        <w:br/>
        <w:t>Q_F(g(z))</w:t>
      </w:r>
    </w:p>
    <w:p w:rsidR="00BA5935" w:rsidRDefault="00BA5935" w:rsidP="00BA5935">
      <w:pPr>
        <w:pStyle w:val="StandardWeb"/>
      </w:pPr>
      <w:r>
        <w:lastRenderedPageBreak/>
        <w:t>\rho(g)Q_F(z).</w:t>
      </w:r>
      <w:r>
        <w:br/>
        <w:t>}</w:t>
      </w:r>
      <w:r>
        <w:br/>
        <w:t>\tag{3.12223}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\boxed{R_{\mathrm{eq}}(g,z):=Q_F(g(z))-\rho(g)Q_F(z).}</w:t>
      </w:r>
    </w:p>
    <w:p w:rsidR="00BA5935" w:rsidRDefault="00E50336" w:rsidP="00BA5935">
      <w:r>
        <w:pict>
          <v:rect id="_x0000_i4337" style="width:0;height:1.5pt" o:hralign="center" o:hrstd="t" o:hr="t" fillcolor="#a0a0a0" stroked="f"/>
        </w:pict>
      </w:r>
    </w:p>
    <w:p w:rsidR="00BA5935" w:rsidRDefault="00BA5935" w:rsidP="00BA5935">
      <w:pPr>
        <w:pStyle w:val="berschrift1"/>
      </w:pPr>
      <w:r>
        <w:t>3.3.48.166 Exakte Äquivarianz</w:t>
      </w:r>
    </w:p>
    <w:p w:rsidR="00BA5935" w:rsidRDefault="00BA5935" w:rsidP="00BA5935">
      <w:pPr>
        <w:pStyle w:val="StandardWeb"/>
      </w:pPr>
      <w:r>
        <w:t>Es gilt</w:t>
      </w:r>
    </w:p>
    <w:p w:rsidR="00BA5935" w:rsidRDefault="00BA5935" w:rsidP="00BA5935">
      <w:pPr>
        <w:pStyle w:val="berschrift1"/>
      </w:pPr>
      <w:r>
        <w:t>[</w:t>
      </w:r>
      <w:r>
        <w:br/>
        <w:t>Q_F(g(z))</w:t>
      </w:r>
    </w:p>
    <w:p w:rsidR="00BA5935" w:rsidRDefault="00BA5935" w:rsidP="00BA5935">
      <w:pPr>
        <w:pStyle w:val="berschrift1"/>
      </w:pPr>
      <w:r>
        <w:t>\rho(g)Q_F(z)</w:t>
      </w:r>
      <w:r>
        <w:br/>
        <w:t>\Longleftrightarrow</w:t>
      </w:r>
      <w:r>
        <w:br/>
        <w:t>R_{\mathrm{eq}}(g,z)</w:t>
      </w:r>
    </w:p>
    <w:p w:rsidR="00BA5935" w:rsidRDefault="00BA5935" w:rsidP="00152216">
      <w:pPr>
        <w:numPr>
          <w:ilvl w:val="0"/>
          <w:numId w:val="543"/>
        </w:numPr>
        <w:spacing w:before="100" w:beforeAutospacing="1" w:after="100" w:afterAutospacing="1"/>
      </w:pPr>
    </w:p>
    <w:p w:rsidR="00BA5935" w:rsidRDefault="00BA5935" w:rsidP="00BA5935">
      <w:pPr>
        <w:pStyle w:val="StandardWeb"/>
      </w:pPr>
      <w:r>
        <w:t>\tag{3.12224}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Q_F(g(z))=\rho(g)Q_F(z)\Longleftrightarrow R_{\mathrm{eq}}(g,z)=0</w:t>
      </w:r>
    </w:p>
    <w:p w:rsidR="00BA5935" w:rsidRDefault="00E50336" w:rsidP="00BA5935">
      <w:r>
        <w:pict>
          <v:rect id="_x0000_i4338" style="width:0;height:1.5pt" o:hralign="center" o:hrstd="t" o:hr="t" fillcolor="#a0a0a0" stroked="f"/>
        </w:pict>
      </w:r>
    </w:p>
    <w:p w:rsidR="00BA5935" w:rsidRDefault="00BA5935" w:rsidP="00BA5935">
      <w:pPr>
        <w:pStyle w:val="berschrift1"/>
      </w:pPr>
      <w:r>
        <w:t>3.3.48.167 Definition 3.3.341 – Approximative funktionale Äquivarianz</w:t>
      </w:r>
    </w:p>
    <w:p w:rsidR="00BA5935" w:rsidRDefault="00BA5935" w:rsidP="00BA5935">
      <w:pPr>
        <w:pStyle w:val="berschrift3"/>
      </w:pPr>
      <w:r>
        <w:t>Definition 3.3.341</w:t>
      </w:r>
    </w:p>
    <w:p w:rsidR="00BA5935" w:rsidRDefault="00BA5935" w:rsidP="00BA5935">
      <w:pPr>
        <w:pStyle w:val="StandardWeb"/>
      </w:pPr>
      <w:r>
        <w:t xml:space="preserve">Eine Abbildung heißt </w:t>
      </w:r>
      <w:r>
        <w:rPr>
          <w:rStyle w:val="Fett"/>
        </w:rPr>
        <w:t>(\varepsilon_{\mathrm{eq}})-äquivariant</w:t>
      </w:r>
      <w:r>
        <w:t>, wenn</w:t>
      </w:r>
    </w:p>
    <w:p w:rsidR="00BA5935" w:rsidRDefault="00BA5935" w:rsidP="00BA5935">
      <w:pPr>
        <w:pStyle w:val="StandardWeb"/>
      </w:pPr>
      <w:r>
        <w:t>[</w:t>
      </w:r>
      <w:r>
        <w:br/>
        <w:t>\boxed{</w:t>
      </w:r>
      <w:r>
        <w:br/>
        <w:t>\left|</w:t>
      </w:r>
      <w:r>
        <w:br/>
        <w:t>R_{\mathrm{eq}}</w:t>
      </w:r>
      <w:r>
        <w:br/>
        <w:t>(g,z)</w:t>
      </w:r>
      <w:r>
        <w:br/>
        <w:t>\right|</w:t>
      </w:r>
      <w:r>
        <w:br/>
        <w:t>\leq</w:t>
      </w:r>
      <w:r>
        <w:br/>
        <w:t>\varepsilon_{\mathrm{eq}}</w:t>
      </w:r>
      <w:r>
        <w:br/>
      </w:r>
      <w:r>
        <w:lastRenderedPageBreak/>
        <w:t>}</w:t>
      </w:r>
      <w:r>
        <w:br/>
        <w:t>\tag{3.12225}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\boxed{\left\|R_{\mathrm{eq}}(g,z)\right\|\leq\varepsilon_{\mathrm{eq}}}</w:t>
      </w:r>
    </w:p>
    <w:p w:rsidR="00BA5935" w:rsidRDefault="00BA5935" w:rsidP="00BA5935">
      <w:pPr>
        <w:pStyle w:val="StandardWeb"/>
      </w:pPr>
      <w:r>
        <w:t>für alle betrachteten (g) und (z) gilt.</w:t>
      </w:r>
    </w:p>
    <w:p w:rsidR="00BA5935" w:rsidRDefault="00E50336" w:rsidP="00BA5935">
      <w:r>
        <w:pict>
          <v:rect id="_x0000_i4339" style="width:0;height:1.5pt" o:hralign="center" o:hrstd="t" o:hr="t" fillcolor="#a0a0a0" stroked="f"/>
        </w:pict>
      </w:r>
    </w:p>
    <w:p w:rsidR="00BA5935" w:rsidRDefault="00BA5935" w:rsidP="00BA5935">
      <w:pPr>
        <w:pStyle w:val="berschrift1"/>
      </w:pPr>
      <w:r>
        <w:t>3.3.48.168 Kovarianzresiduum</w:t>
      </w:r>
    </w:p>
    <w:p w:rsidR="00BA5935" w:rsidRDefault="00BA5935" w:rsidP="00BA5935">
      <w:pPr>
        <w:pStyle w:val="StandardWeb"/>
      </w:pPr>
      <w:r>
        <w:t>Analog kann für eine Gleichungsstruktur ein Kovarianzresiduum formuliert werden.</w:t>
      </w:r>
    </w:p>
    <w:p w:rsidR="00BA5935" w:rsidRDefault="00BA5935" w:rsidP="00BA5935">
      <w:pPr>
        <w:pStyle w:val="StandardWeb"/>
      </w:pPr>
      <w:r>
        <w:t>Sei</w:t>
      </w:r>
    </w:p>
    <w:p w:rsidR="00BA5935" w:rsidRDefault="00BA5935" w:rsidP="00BA5935">
      <w:pPr>
        <w:pStyle w:val="berschrift2"/>
      </w:pPr>
      <w:r>
        <w:t>[</w:t>
      </w:r>
      <w:r>
        <w:br/>
        <w:t>\mathcal E_F'</w:t>
      </w:r>
    </w:p>
    <w:p w:rsidR="00BA5935" w:rsidRDefault="00BA5935" w:rsidP="00BA5935">
      <w:pPr>
        <w:pStyle w:val="StandardWeb"/>
      </w:pPr>
      <w:r>
        <w:t>\mathcal T_g(\mathcal E_F)</w:t>
      </w:r>
      <w:r>
        <w:br/>
        <w:t>\tag{3.12226}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\mathcal E_F'-\mathcal T_g(\mathcal E_F)</w:t>
      </w:r>
    </w:p>
    <w:p w:rsidR="00BA5935" w:rsidRDefault="00BA5935" w:rsidP="00BA5935">
      <w:pPr>
        <w:pStyle w:val="StandardWeb"/>
      </w:pPr>
      <w:r>
        <w:t>die Differenz zwischen tatsächlich transformierter und erwarteter transformierter Gleichungsstruktur.</w:t>
      </w:r>
    </w:p>
    <w:p w:rsidR="00BA5935" w:rsidRDefault="00E50336" w:rsidP="00BA5935">
      <w:r>
        <w:pict>
          <v:rect id="_x0000_i4340" style="width:0;height:1.5pt" o:hralign="center" o:hrstd="t" o:hr="t" fillcolor="#a0a0a0" stroked="f"/>
        </w:pict>
      </w:r>
    </w:p>
    <w:p w:rsidR="00BA5935" w:rsidRDefault="00BA5935" w:rsidP="00BA5935">
      <w:pPr>
        <w:pStyle w:val="berschrift1"/>
      </w:pPr>
      <w:r>
        <w:t>3.3.48.169 Definition 3.3.342 – Funktionales Kovarianzresiduum</w:t>
      </w:r>
    </w:p>
    <w:p w:rsidR="00BA5935" w:rsidRDefault="00BA5935" w:rsidP="00BA5935">
      <w:pPr>
        <w:pStyle w:val="berschrift3"/>
      </w:pPr>
      <w:r>
        <w:t>Definition 3.3.342</w:t>
      </w:r>
    </w:p>
    <w:p w:rsidR="00BA5935" w:rsidRDefault="00BA5935" w:rsidP="00BA5935">
      <w:pPr>
        <w:pStyle w:val="StandardWeb"/>
      </w:pPr>
      <w:r>
        <w:t xml:space="preserve">Das </w:t>
      </w:r>
      <w:r>
        <w:rPr>
          <w:rStyle w:val="Fett"/>
        </w:rPr>
        <w:t>funktionale Kovarianzresiduum</w:t>
      </w:r>
      <w:r>
        <w:t xml:space="preserve"> definiere ich formal als</w:t>
      </w:r>
    </w:p>
    <w:p w:rsidR="00BA5935" w:rsidRDefault="00BA5935" w:rsidP="00BA5935">
      <w:pPr>
        <w:pStyle w:val="berschrift2"/>
      </w:pPr>
      <w:r>
        <w:t>[</w:t>
      </w:r>
      <w:r>
        <w:br/>
        <w:t>\boxed{</w:t>
      </w:r>
      <w:r>
        <w:br/>
        <w:t>R_{\mathrm{cov}}(g)</w:t>
      </w:r>
      <w:r>
        <w:br/>
        <w:t>:=</w:t>
      </w:r>
      <w:r>
        <w:br/>
        <w:t>\mathcal E_F'</w:t>
      </w:r>
    </w:p>
    <w:p w:rsidR="00BA5935" w:rsidRDefault="00BA5935" w:rsidP="00BA5935">
      <w:pPr>
        <w:pStyle w:val="StandardWeb"/>
      </w:pPr>
      <w:r>
        <w:lastRenderedPageBreak/>
        <w:t>\mathcal T_g(\mathcal E_F).</w:t>
      </w:r>
      <w:r>
        <w:br/>
        <w:t>}</w:t>
      </w:r>
      <w:r>
        <w:br/>
        <w:t>\tag{3.12227}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\boxed{R_{\mathrm{cov}}(g):=\mathcal E_F'-\mathcal T_g(\mathcal E_F).}</w:t>
      </w:r>
    </w:p>
    <w:p w:rsidR="00BA5935" w:rsidRDefault="00BA5935" w:rsidP="00BA5935">
      <w:pPr>
        <w:pStyle w:val="StandardWeb"/>
      </w:pPr>
      <w:r>
        <w:t>Die konkrete Differenzbildung muss für die jeweilige Modellklasse wohldefiniert sein.</w:t>
      </w:r>
    </w:p>
    <w:p w:rsidR="00BA5935" w:rsidRDefault="00E50336" w:rsidP="00BA5935">
      <w:r>
        <w:pict>
          <v:rect id="_x0000_i4341" style="width:0;height:1.5pt" o:hralign="center" o:hrstd="t" o:hr="t" fillcolor="#a0a0a0" stroked="f"/>
        </w:pict>
      </w:r>
    </w:p>
    <w:p w:rsidR="00BA5935" w:rsidRDefault="00BA5935" w:rsidP="00BA5935">
      <w:pPr>
        <w:pStyle w:val="berschrift1"/>
      </w:pPr>
      <w:r>
        <w:t>3.3.48.170 Exakte Kovarianz über Residuum</w:t>
      </w:r>
    </w:p>
    <w:p w:rsidR="00BA5935" w:rsidRDefault="00BA5935" w:rsidP="00BA5935">
      <w:pPr>
        <w:pStyle w:val="StandardWeb"/>
      </w:pPr>
      <w:r>
        <w:t>Ist</w:t>
      </w:r>
    </w:p>
    <w:p w:rsidR="00BA5935" w:rsidRDefault="00BA5935" w:rsidP="00BA5935">
      <w:pPr>
        <w:pStyle w:val="berschrift1"/>
      </w:pPr>
      <w:r>
        <w:t>[</w:t>
      </w:r>
      <w:r>
        <w:br/>
        <w:t>R_{\mathrm{cov}}(g)</w:t>
      </w:r>
    </w:p>
    <w:p w:rsidR="00BA5935" w:rsidRDefault="00BA5935" w:rsidP="00BA5935">
      <w:pPr>
        <w:pStyle w:val="StandardWeb"/>
      </w:pPr>
      <w:r>
        <w:t>0,</w:t>
      </w:r>
      <w:r>
        <w:br/>
        <w:t>\tag{3.12228}</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R_{\mathrm{cov}}(g)=0</w:t>
      </w:r>
    </w:p>
    <w:p w:rsidR="00BA5935" w:rsidRDefault="00BA5935" w:rsidP="00BA5935">
      <w:pPr>
        <w:pStyle w:val="StandardWeb"/>
      </w:pPr>
      <w:r>
        <w:t>stimmt die tatsächliche transformierte Gleichungsstruktur mit der erwarteten Transformationsregel überein.</w:t>
      </w:r>
    </w:p>
    <w:p w:rsidR="00BA5935" w:rsidRDefault="00E50336" w:rsidP="00BA5935">
      <w:r>
        <w:pict>
          <v:rect id="_x0000_i4342" style="width:0;height:1.5pt" o:hralign="center" o:hrstd="t" o:hr="t" fillcolor="#a0a0a0" stroked="f"/>
        </w:pict>
      </w:r>
    </w:p>
    <w:p w:rsidR="00BA5935" w:rsidRDefault="00BA5935" w:rsidP="00BA5935">
      <w:pPr>
        <w:pStyle w:val="berschrift1"/>
      </w:pPr>
      <w:r>
        <w:t>3.3.48.171 Symmetriedefekt</w:t>
      </w:r>
    </w:p>
    <w:p w:rsidR="00BA5935" w:rsidRDefault="00BA5935" w:rsidP="00BA5935">
      <w:pPr>
        <w:pStyle w:val="StandardWeb"/>
      </w:pPr>
      <w:r>
        <w:t>Analog zum Bilanz- und Invarianzresiduum kann ich für eine nominelle Symmetrie (g) einen Symmetriedefekt definieren.</w:t>
      </w:r>
    </w:p>
    <w:p w:rsidR="00BA5935" w:rsidRDefault="00BA5935" w:rsidP="00BA5935">
      <w:pPr>
        <w:pStyle w:val="StandardWeb"/>
      </w:pPr>
      <w:r>
        <w:t>Sei</w:t>
      </w:r>
    </w:p>
    <w:p w:rsidR="00BA5935" w:rsidRDefault="00BA5935" w:rsidP="00BA5935">
      <w:pPr>
        <w:pStyle w:val="StandardWeb"/>
      </w:pPr>
      <w:r>
        <w:t>[</w:t>
      </w:r>
      <w:r>
        <w:br/>
        <w:t>d_{\mathfrak S}</w:t>
      </w:r>
      <w:r>
        <w:br/>
        <w:t>\left(</w:t>
      </w:r>
      <w:r>
        <w:br/>
        <w:t>g(\mathfrak S_F),</w:t>
      </w:r>
      <w:r>
        <w:br/>
        <w:t>\mathfrak S_F</w:t>
      </w:r>
      <w:r>
        <w:br/>
        <w:t>\right)</w:t>
      </w:r>
      <w:r>
        <w:br/>
        <w:t>\tag{3.12229}</w:t>
      </w:r>
      <w:r>
        <w:br/>
        <w:t>]</w:t>
      </w:r>
    </w:p>
    <w:p w:rsidR="00BA5935" w:rsidRDefault="00BA5935" w:rsidP="00BA5935">
      <w:pPr>
        <w:pStyle w:val="StandardWeb"/>
      </w:pPr>
      <w:r>
        <w:rPr>
          <w:rStyle w:val="Fett"/>
        </w:rPr>
        <w:lastRenderedPageBreak/>
        <w:t>Word-LaTeX</w:t>
      </w:r>
    </w:p>
    <w:p w:rsidR="00BA5935" w:rsidRDefault="00BA5935" w:rsidP="00BA5935">
      <w:pPr>
        <w:pStyle w:val="HTMLVorformatiert"/>
        <w:rPr>
          <w:rStyle w:val="HTMLCode"/>
        </w:rPr>
      </w:pPr>
      <w:r>
        <w:rPr>
          <w:rStyle w:val="HTMLCode"/>
        </w:rPr>
        <w:t>d_{\mathfrak S}\left(g(\mathfrak S_F),\mathfrak S_F\right)</w:t>
      </w:r>
    </w:p>
    <w:p w:rsidR="00BA5935" w:rsidRDefault="00BA5935" w:rsidP="00BA5935">
      <w:pPr>
        <w:pStyle w:val="StandardWeb"/>
      </w:pPr>
      <w:r>
        <w:t>ein geeigneter Abstand zwischen Strukturen.</w:t>
      </w:r>
    </w:p>
    <w:p w:rsidR="00BA5935" w:rsidRDefault="00E50336" w:rsidP="00BA5935">
      <w:r>
        <w:pict>
          <v:rect id="_x0000_i4343" style="width:0;height:1.5pt" o:hralign="center" o:hrstd="t" o:hr="t" fillcolor="#a0a0a0" stroked="f"/>
        </w:pict>
      </w:r>
    </w:p>
    <w:p w:rsidR="00BA5935" w:rsidRDefault="00BA5935" w:rsidP="00BA5935">
      <w:pPr>
        <w:pStyle w:val="berschrift1"/>
      </w:pPr>
      <w:r>
        <w:t>3.3.48.172 Definition 3.3.343 – Funktionaler Symmetriedefekt</w:t>
      </w:r>
    </w:p>
    <w:p w:rsidR="00BA5935" w:rsidRDefault="00BA5935" w:rsidP="00BA5935">
      <w:pPr>
        <w:pStyle w:val="berschrift3"/>
      </w:pPr>
      <w:r>
        <w:t>Definition 3.3.343</w:t>
      </w:r>
    </w:p>
    <w:p w:rsidR="00BA5935" w:rsidRDefault="00BA5935" w:rsidP="00BA5935">
      <w:pPr>
        <w:pStyle w:val="StandardWeb"/>
      </w:pPr>
      <w:r>
        <w:t xml:space="preserve">Der </w:t>
      </w:r>
      <w:r>
        <w:rPr>
          <w:rStyle w:val="Fett"/>
        </w:rPr>
        <w:t>funktionale Symmetriedefekt</w:t>
      </w:r>
      <w:r>
        <w:t xml:space="preserve"> bezüglich eines Strukturabstands (d_{\mathfrak S}) ist</w:t>
      </w:r>
    </w:p>
    <w:p w:rsidR="00BA5935" w:rsidRDefault="00BA5935" w:rsidP="00BA5935">
      <w:pPr>
        <w:pStyle w:val="StandardWeb"/>
      </w:pPr>
      <w:r>
        <w:t>[</w:t>
      </w:r>
      <w:r>
        <w:br/>
        <w:t>\boxed{</w:t>
      </w:r>
      <w:r>
        <w:br/>
        <w:t>D_{\mathrm{sym}}(g)</w:t>
      </w:r>
      <w:r>
        <w:br/>
        <w:t>:=</w:t>
      </w:r>
      <w:r>
        <w:br/>
        <w:t>d_{\mathfrak S}</w:t>
      </w:r>
      <w:r>
        <w:br/>
        <w:t>\left(</w:t>
      </w:r>
      <w:r>
        <w:br/>
        <w:t>g(\mathfrak S_F),</w:t>
      </w:r>
      <w:r>
        <w:br/>
        <w:t>\mathfrak S_F</w:t>
      </w:r>
      <w:r>
        <w:br/>
        <w:t>\right).</w:t>
      </w:r>
      <w:r>
        <w:br/>
        <w:t>}</w:t>
      </w:r>
      <w:r>
        <w:br/>
        <w:t>\tag{3.12230}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\boxed{D_{\mathrm{sym}}(g):=d_{\mathfrak S}\left(g(\mathfrak S_F),\mathfrak S_F\right).}</w:t>
      </w:r>
    </w:p>
    <w:p w:rsidR="00BA5935" w:rsidRDefault="00E50336" w:rsidP="00BA5935">
      <w:r>
        <w:pict>
          <v:rect id="_x0000_i4344" style="width:0;height:1.5pt" o:hralign="center" o:hrstd="t" o:hr="t" fillcolor="#a0a0a0" stroked="f"/>
        </w:pict>
      </w:r>
    </w:p>
    <w:p w:rsidR="00BA5935" w:rsidRDefault="00BA5935" w:rsidP="00BA5935">
      <w:pPr>
        <w:pStyle w:val="berschrift1"/>
      </w:pPr>
      <w:r>
        <w:t>3.3.48.173 Exakte Symmetrie als Null-Defekt</w:t>
      </w:r>
    </w:p>
    <w:p w:rsidR="00BA5935" w:rsidRDefault="00BA5935" w:rsidP="00BA5935">
      <w:pPr>
        <w:pStyle w:val="StandardWeb"/>
      </w:pPr>
      <w:r>
        <w:t>Für eine echte Metrik auf dem betrachteten Strukturraum gilt</w:t>
      </w:r>
    </w:p>
    <w:p w:rsidR="00BA5935" w:rsidRDefault="00BA5935" w:rsidP="00BA5935">
      <w:pPr>
        <w:pStyle w:val="berschrift1"/>
      </w:pPr>
      <w:r>
        <w:t>[</w:t>
      </w:r>
      <w:r>
        <w:br/>
        <w:t>D_{\mathrm{sym}}(g)</w:t>
      </w:r>
    </w:p>
    <w:p w:rsidR="00BA5935" w:rsidRDefault="00BA5935" w:rsidP="00BA5935">
      <w:pPr>
        <w:pStyle w:val="berschrift1"/>
      </w:pPr>
      <w:r>
        <w:t>0</w:t>
      </w:r>
      <w:r>
        <w:br/>
        <w:t>\Longleftrightarrow</w:t>
      </w:r>
      <w:r>
        <w:br/>
        <w:t>g(\mathfrak S_F)</w:t>
      </w:r>
    </w:p>
    <w:p w:rsidR="00BA5935" w:rsidRDefault="00BA5935" w:rsidP="00BA5935">
      <w:pPr>
        <w:pStyle w:val="StandardWeb"/>
      </w:pPr>
      <w:r>
        <w:lastRenderedPageBreak/>
        <w:t>\mathfrak S_F.</w:t>
      </w:r>
      <w:r>
        <w:br/>
        <w:t>\tag{3.12231}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D_{\mathrm{sym}}(g)=0\Longleftrightarrow g(\mathfrak S_F)=\mathfrak S_F</w:t>
      </w:r>
    </w:p>
    <w:p w:rsidR="00BA5935" w:rsidRDefault="00E50336" w:rsidP="00BA5935">
      <w:r>
        <w:pict>
          <v:rect id="_x0000_i4345" style="width:0;height:1.5pt" o:hralign="center" o:hrstd="t" o:hr="t" fillcolor="#a0a0a0" stroked="f"/>
        </w:pict>
      </w:r>
    </w:p>
    <w:p w:rsidR="00BA5935" w:rsidRDefault="00BA5935" w:rsidP="00BA5935">
      <w:pPr>
        <w:pStyle w:val="berschrift1"/>
      </w:pPr>
      <w:r>
        <w:t>3.3.48.174 Definition 3.3.344 – Approximative funktionale Symmetrie</w:t>
      </w:r>
    </w:p>
    <w:p w:rsidR="00BA5935" w:rsidRDefault="00BA5935" w:rsidP="00BA5935">
      <w:pPr>
        <w:pStyle w:val="berschrift3"/>
      </w:pPr>
      <w:r>
        <w:t>Definition 3.3.344</w:t>
      </w:r>
    </w:p>
    <w:p w:rsidR="00BA5935" w:rsidRDefault="00BA5935" w:rsidP="00BA5935">
      <w:pPr>
        <w:pStyle w:val="StandardWeb"/>
      </w:pPr>
      <w:r>
        <w:t xml:space="preserve">Eine Transformation (g) heißt </w:t>
      </w:r>
      <w:r>
        <w:rPr>
          <w:rStyle w:val="Fett"/>
        </w:rPr>
        <w:t>(\varepsilon_{\mathrm{sym}})-symmetrisch</w:t>
      </w:r>
      <w:r>
        <w:t>, wenn</w:t>
      </w:r>
    </w:p>
    <w:p w:rsidR="00BA5935" w:rsidRDefault="00BA5935" w:rsidP="00BA5935">
      <w:pPr>
        <w:pStyle w:val="StandardWeb"/>
      </w:pPr>
      <w:r>
        <w:t>[</w:t>
      </w:r>
      <w:r>
        <w:br/>
        <w:t>\boxed{</w:t>
      </w:r>
      <w:r>
        <w:br/>
        <w:t>D_{\mathrm{sym}}(g)</w:t>
      </w:r>
      <w:r>
        <w:br/>
        <w:t>\leq</w:t>
      </w:r>
      <w:r>
        <w:br/>
        <w:t>\varepsilon_{\mathrm{sym}}.</w:t>
      </w:r>
      <w:r>
        <w:br/>
        <w:t>}</w:t>
      </w:r>
      <w:r>
        <w:br/>
        <w:t>\tag{3.12232}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\boxed{D_{\mathrm{sym}}(g)\leq\varepsilon_{\mathrm{sym}}.}</w:t>
      </w:r>
    </w:p>
    <w:p w:rsidR="00BA5935" w:rsidRDefault="00E50336" w:rsidP="00BA5935">
      <w:r>
        <w:pict>
          <v:rect id="_x0000_i4346" style="width:0;height:1.5pt" o:hralign="center" o:hrstd="t" o:hr="t" fillcolor="#a0a0a0" stroked="f"/>
        </w:pict>
      </w:r>
    </w:p>
    <w:p w:rsidR="00BA5935" w:rsidRDefault="00BA5935" w:rsidP="00BA5935">
      <w:pPr>
        <w:pStyle w:val="berschrift1"/>
      </w:pPr>
      <w:r>
        <w:t>3.3.48.175 Primäraxiomkandidat der Isomorphieinvarianz</w:t>
      </w:r>
    </w:p>
    <w:p w:rsidR="00BA5935" w:rsidRDefault="00BA5935" w:rsidP="00BA5935">
      <w:pPr>
        <w:pStyle w:val="StandardWeb"/>
      </w:pPr>
      <w:r>
        <w:t>Ein möglicher stärkerer Primäraxiomkandidat wäre die Forderung, dass sämtliche physikalisch oder funktional zulässigen Darstellungen desselben FRZK-Objekts isomorph sein müssen:</w:t>
      </w:r>
    </w:p>
    <w:p w:rsidR="00BA5935" w:rsidRDefault="00BA5935" w:rsidP="00BA5935">
      <w:pPr>
        <w:pStyle w:val="StandardWeb"/>
      </w:pPr>
      <w:r>
        <w:t>[</w:t>
      </w:r>
      <w:r>
        <w:br/>
        <w:t>A_{\cong}:</w:t>
      </w:r>
      <w:r>
        <w:br/>
        <w:t>\forall</w:t>
      </w:r>
      <w:r>
        <w:br/>
        <w:t>\Pi_1,\Pi_2</w:t>
      </w:r>
      <w:r>
        <w:br/>
        <w:t>\quad</w:t>
      </w:r>
      <w:r>
        <w:br/>
        <w:t>\Pi_1(\mathfrak S_F)</w:t>
      </w:r>
      <w:r>
        <w:br/>
        <w:t>\cong</w:t>
      </w:r>
      <w:r>
        <w:br/>
        <w:t>\Pi_2(\mathfrak S_F).</w:t>
      </w:r>
      <w:r>
        <w:br/>
        <w:t>\tag{3.12233}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lastRenderedPageBreak/>
        <w:t>A_{\cong}:\forall\Pi_1,\Pi_2\quad\Pi_1(\mathfrak S_F)\cong\Pi_2(\mathfrak S_F)</w:t>
      </w:r>
    </w:p>
    <w:p w:rsidR="00BA5935" w:rsidRDefault="00E50336" w:rsidP="00BA5935">
      <w:r>
        <w:pict>
          <v:rect id="_x0000_i4347" style="width:0;height:1.5pt" o:hralign="center" o:hrstd="t" o:hr="t" fillcolor="#a0a0a0" stroked="f"/>
        </w:pict>
      </w:r>
    </w:p>
    <w:p w:rsidR="00BA5935" w:rsidRDefault="00BA5935" w:rsidP="00BA5935">
      <w:pPr>
        <w:pStyle w:val="berschrift1"/>
      </w:pPr>
      <w:r>
        <w:t>3.3.48.176 Prüfung des Isomorphiekandidaten</w:t>
      </w:r>
    </w:p>
    <w:p w:rsidR="00BA5935" w:rsidRDefault="00BA5935" w:rsidP="00BA5935">
      <w:pPr>
        <w:pStyle w:val="StandardWeb"/>
      </w:pPr>
      <w:r>
        <w:t>Diese Forderung ist zu stark.</w:t>
      </w:r>
    </w:p>
    <w:p w:rsidR="00BA5935" w:rsidRDefault="00BA5935" w:rsidP="00BA5935">
      <w:pPr>
        <w:pStyle w:val="StandardWeb"/>
      </w:pPr>
      <w:r>
        <w:t>Unterschiedliche Repräsentationen können bewusst verschiedene Informationsanteile enthalten, beispielsweise durch Reduktion, Projektion oder Aggregation.</w:t>
      </w:r>
    </w:p>
    <w:p w:rsidR="00BA5935" w:rsidRDefault="00BA5935" w:rsidP="00BA5935">
      <w:pPr>
        <w:pStyle w:val="StandardWeb"/>
      </w:pPr>
      <w:r>
        <w:t>Daher kann gelten</w:t>
      </w:r>
    </w:p>
    <w:p w:rsidR="00BA5935" w:rsidRDefault="00BA5935" w:rsidP="00BA5935">
      <w:pPr>
        <w:pStyle w:val="StandardWeb"/>
      </w:pPr>
      <w:r>
        <w:t>[</w:t>
      </w:r>
      <w:r>
        <w:br/>
        <w:t>\Pi_1(\mathfrak S_F)</w:t>
      </w:r>
      <w:r>
        <w:br/>
        <w:t>\not\cong</w:t>
      </w:r>
      <w:r>
        <w:br/>
        <w:t>\Pi_2(\mathfrak S_F),</w:t>
      </w:r>
      <w:r>
        <w:br/>
        <w:t>\tag{3.12234}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\Pi_1(\mathfrak S_F)\not\cong\Pi_2(\mathfrak S_F)</w:t>
      </w:r>
    </w:p>
    <w:p w:rsidR="00BA5935" w:rsidRDefault="00BA5935" w:rsidP="00BA5935">
      <w:pPr>
        <w:pStyle w:val="StandardWeb"/>
      </w:pPr>
      <w:r>
        <w:t>ohne dass das zugrunde liegende FRZK inkonsistent wäre.</w:t>
      </w:r>
    </w:p>
    <w:p w:rsidR="00BA5935" w:rsidRDefault="00E50336" w:rsidP="00BA5935">
      <w:r>
        <w:pict>
          <v:rect id="_x0000_i4348" style="width:0;height:1.5pt" o:hralign="center" o:hrstd="t" o:hr="t" fillcolor="#a0a0a0" stroked="f"/>
        </w:pict>
      </w:r>
    </w:p>
    <w:p w:rsidR="00BA5935" w:rsidRDefault="00BA5935" w:rsidP="00BA5935">
      <w:pPr>
        <w:pStyle w:val="berschrift1"/>
      </w:pPr>
      <w:r>
        <w:t>3.3.48.177 Axiomentscheidung zur universellen Isomorphie</w:t>
      </w:r>
    </w:p>
    <w:p w:rsidR="00BA5935" w:rsidRDefault="00BA5935" w:rsidP="00BA5935">
      <w:pPr>
        <w:pStyle w:val="StandardWeb"/>
      </w:pPr>
      <w:r>
        <w:t>Somit gilt</w:t>
      </w:r>
    </w:p>
    <w:p w:rsidR="00BA5935" w:rsidRDefault="00BA5935" w:rsidP="00BA5935">
      <w:pPr>
        <w:pStyle w:val="berschrift1"/>
      </w:pPr>
      <w:r>
        <w:t>[</w:t>
      </w:r>
      <w:r>
        <w:br/>
        <w:t>\boxed{</w:t>
      </w:r>
      <w:r>
        <w:br/>
        <w:t>U_{\mathrm{Ax}}</w:t>
      </w:r>
      <w:r>
        <w:br/>
        <w:t>(A_{\cong})</w:t>
      </w:r>
    </w:p>
    <w:p w:rsidR="00BA5935" w:rsidRDefault="00BA5935" w:rsidP="00152216">
      <w:pPr>
        <w:numPr>
          <w:ilvl w:val="0"/>
          <w:numId w:val="544"/>
        </w:numPr>
        <w:spacing w:before="100" w:beforeAutospacing="1" w:after="100" w:afterAutospacing="1"/>
      </w:pPr>
    </w:p>
    <w:p w:rsidR="00BA5935" w:rsidRDefault="00BA5935" w:rsidP="00BA5935">
      <w:pPr>
        <w:pStyle w:val="StandardWeb"/>
      </w:pPr>
      <w:r>
        <w:t>}</w:t>
      </w:r>
      <w:r>
        <w:br/>
        <w:t>\tag{3.12235}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\boxed{U_{\mathrm{Ax}}(A_{\cong})=0.}</w:t>
      </w:r>
    </w:p>
    <w:p w:rsidR="00BA5935" w:rsidRDefault="00E50336" w:rsidP="00BA5935">
      <w:r>
        <w:lastRenderedPageBreak/>
        <w:pict>
          <v:rect id="_x0000_i4349" style="width:0;height:1.5pt" o:hralign="center" o:hrstd="t" o:hr="t" fillcolor="#a0a0a0" stroked="f"/>
        </w:pict>
      </w:r>
    </w:p>
    <w:p w:rsidR="00BA5935" w:rsidRDefault="00BA5935" w:rsidP="00BA5935">
      <w:pPr>
        <w:pStyle w:val="berschrift1"/>
      </w:pPr>
      <w:r>
        <w:t>3.3.48.178 Satz 3.3.139 – Universelle Isomorphie aller Repräsentationen ist kein Primäraxiom</w:t>
      </w:r>
    </w:p>
    <w:p w:rsidR="00BA5935" w:rsidRDefault="00BA5935" w:rsidP="00BA5935">
      <w:pPr>
        <w:pStyle w:val="berschrift3"/>
      </w:pPr>
      <w:r>
        <w:t>Satz 3.3.139</w:t>
      </w:r>
    </w:p>
    <w:p w:rsidR="00BA5935" w:rsidRDefault="00BA5935" w:rsidP="00BA5935">
      <w:pPr>
        <w:pStyle w:val="StandardWeb"/>
      </w:pPr>
      <w:r>
        <w:t>Die Forderung, sämtliche zulässigen Repräsentationen einer funktionalen FRZK-Struktur müssten untereinander isomorph sein, ist keine universell notwendige Voraussetzung des FRZK.</w:t>
      </w:r>
    </w:p>
    <w:p w:rsidR="00BA5935" w:rsidRDefault="00BA5935" w:rsidP="00BA5935">
      <w:pPr>
        <w:pStyle w:val="StandardWeb"/>
      </w:pPr>
      <w:r>
        <w:t>Formal gilt</w:t>
      </w:r>
    </w:p>
    <w:p w:rsidR="00BA5935" w:rsidRDefault="00BA5935" w:rsidP="00BA5935">
      <w:pPr>
        <w:pStyle w:val="berschrift1"/>
      </w:pPr>
      <w:r>
        <w:t>[</w:t>
      </w:r>
      <w:r>
        <w:br/>
        <w:t>\boxed{</w:t>
      </w:r>
      <w:r>
        <w:br/>
        <w:t>U_{\mathrm{Ax}}</w:t>
      </w:r>
      <w:r>
        <w:br/>
        <w:t>(A_{\cong})</w:t>
      </w:r>
    </w:p>
    <w:p w:rsidR="00BA5935" w:rsidRDefault="00BA5935" w:rsidP="00152216">
      <w:pPr>
        <w:numPr>
          <w:ilvl w:val="0"/>
          <w:numId w:val="545"/>
        </w:numPr>
        <w:spacing w:before="100" w:beforeAutospacing="1" w:after="100" w:afterAutospacing="1"/>
      </w:pPr>
    </w:p>
    <w:p w:rsidR="00BA5935" w:rsidRDefault="00BA5935" w:rsidP="00BA5935">
      <w:pPr>
        <w:pStyle w:val="StandardWeb"/>
      </w:pPr>
      <w:r>
        <w:t>}</w:t>
      </w:r>
      <w:r>
        <w:br/>
        <w:t>\tag{3.12236}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\boxed{U_{\mathrm{Ax}}(A_{\cong})=0.}</w:t>
      </w:r>
    </w:p>
    <w:p w:rsidR="00BA5935" w:rsidRDefault="00E50336" w:rsidP="00BA5935">
      <w:r>
        <w:pict>
          <v:rect id="_x0000_i4350" style="width:0;height:1.5pt" o:hralign="center" o:hrstd="t" o:hr="t" fillcolor="#a0a0a0" stroked="f"/>
        </w:pict>
      </w:r>
    </w:p>
    <w:p w:rsidR="00BA5935" w:rsidRDefault="00BA5935" w:rsidP="00BA5935">
      <w:pPr>
        <w:pStyle w:val="berschrift1"/>
      </w:pPr>
      <w:r>
        <w:t>3.3.48.179 Primäraxiomkandidat der Kovarianz</w:t>
      </w:r>
    </w:p>
    <w:p w:rsidR="00BA5935" w:rsidRDefault="00BA5935" w:rsidP="00BA5935">
      <w:pPr>
        <w:pStyle w:val="StandardWeb"/>
      </w:pPr>
      <w:r>
        <w:t>Ein weiterer Kandidat wäre</w:t>
      </w:r>
    </w:p>
    <w:p w:rsidR="00BA5935" w:rsidRDefault="00BA5935" w:rsidP="00BA5935">
      <w:pPr>
        <w:pStyle w:val="StandardWeb"/>
      </w:pPr>
      <w:r>
        <w:t>[</w:t>
      </w:r>
      <w:r>
        <w:br/>
        <w:t>A_{\mathrm{cov}}:</w:t>
      </w:r>
      <w:r>
        <w:br/>
        <w:t>\text{jede FRZK-Gleichung ist unter jeder zulässigen Transformation kovariant}.</w:t>
      </w:r>
      <w:r>
        <w:br/>
        <w:t>\tag{3.12237}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A_{\mathrm{cov}}:\text{jede FRZK-Gleichung ist unter jeder zulässigen Transformation kovariant}</w:t>
      </w:r>
    </w:p>
    <w:p w:rsidR="00BA5935" w:rsidRDefault="00BA5935" w:rsidP="00BA5935">
      <w:pPr>
        <w:pStyle w:val="StandardWeb"/>
      </w:pPr>
      <w:r>
        <w:t>Diese Aussage setzt jedoch bereits eine Transformationsklasse und Transformationsregeln voraus.</w:t>
      </w:r>
    </w:p>
    <w:p w:rsidR="00BA5935" w:rsidRDefault="00E50336" w:rsidP="00BA5935">
      <w:r>
        <w:lastRenderedPageBreak/>
        <w:pict>
          <v:rect id="_x0000_i4351" style="width:0;height:1.5pt" o:hralign="center" o:hrstd="t" o:hr="t" fillcolor="#a0a0a0" stroked="f"/>
        </w:pict>
      </w:r>
    </w:p>
    <w:p w:rsidR="00BA5935" w:rsidRDefault="00BA5935" w:rsidP="00BA5935">
      <w:pPr>
        <w:pStyle w:val="berschrift1"/>
      </w:pPr>
      <w:r>
        <w:t>3.3.48.180 Keine universelle Transformationsklasse</w:t>
      </w:r>
    </w:p>
    <w:p w:rsidR="00BA5935" w:rsidRDefault="00BA5935" w:rsidP="00BA5935">
      <w:pPr>
        <w:pStyle w:val="StandardWeb"/>
      </w:pPr>
      <w:r>
        <w:t>Im allgemeinen FRZK ist keine universelle Menge</w:t>
      </w:r>
    </w:p>
    <w:p w:rsidR="00BA5935" w:rsidRDefault="00BA5935" w:rsidP="00BA5935">
      <w:pPr>
        <w:pStyle w:val="StandardWeb"/>
      </w:pPr>
      <w:r>
        <w:t>[</w:t>
      </w:r>
      <w:r>
        <w:br/>
        <w:t>G_{\mathrm{univ}}</w:t>
      </w:r>
      <w:r>
        <w:br/>
        <w:t>\tag{3.12238}</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G_{\mathrm{univ}}</w:t>
      </w:r>
    </w:p>
    <w:p w:rsidR="00BA5935" w:rsidRDefault="00BA5935" w:rsidP="00BA5935">
      <w:pPr>
        <w:pStyle w:val="StandardWeb"/>
      </w:pPr>
      <w:r>
        <w:t>aller transformationsrelevanten Symmetrien vorausgesetzt.</w:t>
      </w:r>
    </w:p>
    <w:p w:rsidR="00BA5935" w:rsidRDefault="00BA5935" w:rsidP="00BA5935">
      <w:pPr>
        <w:pStyle w:val="StandardWeb"/>
      </w:pPr>
      <w:r>
        <w:t>Damit kann auch universelle Kovarianz bezüglich einer solchen Menge nicht verlangt werden.</w:t>
      </w:r>
    </w:p>
    <w:p w:rsidR="00BA5935" w:rsidRDefault="00E50336" w:rsidP="00BA5935">
      <w:r>
        <w:pict>
          <v:rect id="_x0000_i4352" style="width:0;height:1.5pt" o:hralign="center" o:hrstd="t" o:hr="t" fillcolor="#a0a0a0" stroked="f"/>
        </w:pict>
      </w:r>
    </w:p>
    <w:p w:rsidR="00BA5935" w:rsidRDefault="00BA5935" w:rsidP="00BA5935">
      <w:pPr>
        <w:pStyle w:val="berschrift1"/>
      </w:pPr>
      <w:r>
        <w:t>3.3.48.181 Axiomentscheidung zur universellen Kovarianz</w:t>
      </w:r>
    </w:p>
    <w:p w:rsidR="00BA5935" w:rsidRDefault="00BA5935" w:rsidP="00BA5935">
      <w:pPr>
        <w:pStyle w:val="StandardWeb"/>
      </w:pPr>
      <w:r>
        <w:t>Es gilt daher</w:t>
      </w:r>
    </w:p>
    <w:p w:rsidR="00BA5935" w:rsidRDefault="00BA5935" w:rsidP="00BA5935">
      <w:pPr>
        <w:pStyle w:val="berschrift1"/>
      </w:pPr>
      <w:r>
        <w:t>[</w:t>
      </w:r>
      <w:r>
        <w:br/>
        <w:t>\boxed{</w:t>
      </w:r>
      <w:r>
        <w:br/>
        <w:t>U_{\mathrm{Ax}}</w:t>
      </w:r>
      <w:r>
        <w:br/>
        <w:t>(A_{\mathrm{cov}})</w:t>
      </w:r>
    </w:p>
    <w:p w:rsidR="00BA5935" w:rsidRDefault="00BA5935" w:rsidP="00152216">
      <w:pPr>
        <w:numPr>
          <w:ilvl w:val="0"/>
          <w:numId w:val="546"/>
        </w:numPr>
        <w:spacing w:before="100" w:beforeAutospacing="1" w:after="100" w:afterAutospacing="1"/>
      </w:pPr>
    </w:p>
    <w:p w:rsidR="00BA5935" w:rsidRDefault="00BA5935" w:rsidP="00BA5935">
      <w:pPr>
        <w:pStyle w:val="StandardWeb"/>
      </w:pPr>
      <w:r>
        <w:t>}</w:t>
      </w:r>
      <w:r>
        <w:br/>
        <w:t>\tag{3.12239}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\boxed{U_{\mathrm{Ax}}(A_{\mathrm{cov}})=0.}</w:t>
      </w:r>
    </w:p>
    <w:p w:rsidR="00BA5935" w:rsidRDefault="00E50336" w:rsidP="00BA5935">
      <w:r>
        <w:pict>
          <v:rect id="_x0000_i4353" style="width:0;height:1.5pt" o:hralign="center" o:hrstd="t" o:hr="t" fillcolor="#a0a0a0" stroked="f"/>
        </w:pict>
      </w:r>
    </w:p>
    <w:p w:rsidR="00BA5935" w:rsidRDefault="00BA5935" w:rsidP="00BA5935">
      <w:pPr>
        <w:pStyle w:val="berschrift1"/>
      </w:pPr>
      <w:r>
        <w:t>3.3.48.182 Satz 3.3.140 – Universelle funktionale Kovarianz ist kein Primäraxiom</w:t>
      </w:r>
    </w:p>
    <w:p w:rsidR="00BA5935" w:rsidRDefault="00BA5935" w:rsidP="00BA5935">
      <w:pPr>
        <w:pStyle w:val="berschrift3"/>
      </w:pPr>
      <w:r>
        <w:lastRenderedPageBreak/>
        <w:t>Satz 3.3.140</w:t>
      </w:r>
    </w:p>
    <w:p w:rsidR="00BA5935" w:rsidRDefault="00BA5935" w:rsidP="00BA5935">
      <w:pPr>
        <w:pStyle w:val="StandardWeb"/>
      </w:pPr>
      <w:r>
        <w:t>Die Forderung, sämtliche FRZK-Strukturen müssten unter einer universellen Transformationsklasse kovariant sein, ist keine universell notwendige Voraussetzung des allgemeinen FRZK.</w:t>
      </w:r>
    </w:p>
    <w:p w:rsidR="00BA5935" w:rsidRDefault="00BA5935" w:rsidP="00BA5935">
      <w:pPr>
        <w:pStyle w:val="StandardWeb"/>
      </w:pPr>
      <w:r>
        <w:t>Damit gilt</w:t>
      </w:r>
    </w:p>
    <w:p w:rsidR="00BA5935" w:rsidRDefault="00BA5935" w:rsidP="00BA5935">
      <w:pPr>
        <w:pStyle w:val="berschrift1"/>
      </w:pPr>
      <w:r>
        <w:t>[</w:t>
      </w:r>
      <w:r>
        <w:br/>
        <w:t>\boxed{</w:t>
      </w:r>
      <w:r>
        <w:br/>
        <w:t>U_{\mathrm{Ax}}</w:t>
      </w:r>
      <w:r>
        <w:br/>
        <w:t>(A_{\mathrm{cov}})</w:t>
      </w:r>
    </w:p>
    <w:p w:rsidR="00BA5935" w:rsidRDefault="00BA5935" w:rsidP="00152216">
      <w:pPr>
        <w:numPr>
          <w:ilvl w:val="0"/>
          <w:numId w:val="547"/>
        </w:numPr>
        <w:spacing w:before="100" w:beforeAutospacing="1" w:after="100" w:afterAutospacing="1"/>
      </w:pPr>
    </w:p>
    <w:p w:rsidR="00BA5935" w:rsidRDefault="00BA5935" w:rsidP="00BA5935">
      <w:pPr>
        <w:pStyle w:val="StandardWeb"/>
      </w:pPr>
      <w:r>
        <w:t>}</w:t>
      </w:r>
      <w:r>
        <w:br/>
        <w:t>\tag{3.12240}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\boxed{U_{\mathrm{Ax}}(A_{\mathrm{cov}})=0.}</w:t>
      </w:r>
    </w:p>
    <w:p w:rsidR="00BA5935" w:rsidRDefault="00E50336" w:rsidP="00BA5935">
      <w:r>
        <w:pict>
          <v:rect id="_x0000_i4354" style="width:0;height:1.5pt" o:hralign="center" o:hrstd="t" o:hr="t" fillcolor="#a0a0a0" stroked="f"/>
        </w:pict>
      </w:r>
    </w:p>
    <w:p w:rsidR="00BA5935" w:rsidRDefault="00BA5935" w:rsidP="00BA5935">
      <w:pPr>
        <w:pStyle w:val="berschrift1"/>
      </w:pPr>
      <w:r>
        <w:t>3.3.48.183 Primäraxiomkandidat der Äquivarianz</w:t>
      </w:r>
    </w:p>
    <w:p w:rsidR="00BA5935" w:rsidRDefault="00BA5935" w:rsidP="00BA5935">
      <w:pPr>
        <w:pStyle w:val="StandardWeb"/>
      </w:pPr>
      <w:r>
        <w:t>Analog könnte gefordert werden</w:t>
      </w:r>
    </w:p>
    <w:p w:rsidR="00BA5935" w:rsidRDefault="00BA5935" w:rsidP="00BA5935">
      <w:pPr>
        <w:pStyle w:val="berschrift1"/>
      </w:pPr>
      <w:r>
        <w:t>[</w:t>
      </w:r>
      <w:r>
        <w:br/>
        <w:t>A_{\mathrm{eq}}:</w:t>
      </w:r>
      <w:r>
        <w:br/>
        <w:t>Q_F(g(z))</w:t>
      </w:r>
    </w:p>
    <w:p w:rsidR="00BA5935" w:rsidRDefault="00BA5935" w:rsidP="00BA5935">
      <w:pPr>
        <w:pStyle w:val="StandardWeb"/>
      </w:pPr>
      <w:r>
        <w:t>\rho(g)Q_F(z)</w:t>
      </w:r>
      <w:r>
        <w:br/>
        <w:t>\qquad</w:t>
      </w:r>
      <w:r>
        <w:br/>
        <w:t>\forall g,z.</w:t>
      </w:r>
      <w:r>
        <w:br/>
        <w:t>\tag{3.12241}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A_{\mathrm{eq}}:Q_F(g(z))=\rho(g)Q_F(z)\qquad\forall g,z</w:t>
      </w:r>
    </w:p>
    <w:p w:rsidR="00BA5935" w:rsidRDefault="00BA5935" w:rsidP="00BA5935">
      <w:pPr>
        <w:pStyle w:val="StandardWeb"/>
      </w:pPr>
      <w:r>
        <w:t>Auch diese Forderung ist modellabhängig.</w:t>
      </w:r>
    </w:p>
    <w:p w:rsidR="00BA5935" w:rsidRDefault="00E50336" w:rsidP="00BA5935">
      <w:r>
        <w:pict>
          <v:rect id="_x0000_i4355" style="width:0;height:1.5pt" o:hralign="center" o:hrstd="t" o:hr="t" fillcolor="#a0a0a0" stroked="f"/>
        </w:pict>
      </w:r>
    </w:p>
    <w:p w:rsidR="00BA5935" w:rsidRDefault="00BA5935" w:rsidP="00BA5935">
      <w:pPr>
        <w:pStyle w:val="berschrift1"/>
      </w:pPr>
      <w:r>
        <w:lastRenderedPageBreak/>
        <w:t>3.3.48.184 Gegenmodell zur universellen Äquivarianz</w:t>
      </w:r>
    </w:p>
    <w:p w:rsidR="00BA5935" w:rsidRDefault="00BA5935" w:rsidP="00BA5935">
      <w:pPr>
        <w:pStyle w:val="StandardWeb"/>
      </w:pPr>
      <w:r>
        <w:t>Eine funktionale Zustandsgröße kann gegenüber einer Transformation weder invariant noch äquivariant sein:</w:t>
      </w:r>
    </w:p>
    <w:p w:rsidR="00BA5935" w:rsidRDefault="00BA5935" w:rsidP="00BA5935">
      <w:pPr>
        <w:pStyle w:val="StandardWeb"/>
      </w:pPr>
      <w:r>
        <w:t>[</w:t>
      </w:r>
      <w:r>
        <w:br/>
        <w:t>Q_F(g(z))</w:t>
      </w:r>
      <w:r>
        <w:br/>
        <w:t>\neq</w:t>
      </w:r>
      <w:r>
        <w:br/>
        <w:t>\rho(g)Q_F(z).</w:t>
      </w:r>
      <w:r>
        <w:br/>
        <w:t>\tag{3.12242}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Q_F(g(z))\neq\rho(g)Q_F(z)</w:t>
      </w:r>
    </w:p>
    <w:p w:rsidR="00BA5935" w:rsidRDefault="00BA5935" w:rsidP="00BA5935">
      <w:pPr>
        <w:pStyle w:val="StandardWeb"/>
      </w:pPr>
      <w:r>
        <w:t>Dies macht die Zustandsgröße nicht automatisch unzulässig.</w:t>
      </w:r>
    </w:p>
    <w:p w:rsidR="00BA5935" w:rsidRDefault="00E50336" w:rsidP="00BA5935">
      <w:r>
        <w:pict>
          <v:rect id="_x0000_i4356" style="width:0;height:1.5pt" o:hralign="center" o:hrstd="t" o:hr="t" fillcolor="#a0a0a0" stroked="f"/>
        </w:pict>
      </w:r>
    </w:p>
    <w:p w:rsidR="00BA5935" w:rsidRDefault="00BA5935" w:rsidP="00BA5935">
      <w:pPr>
        <w:pStyle w:val="berschrift1"/>
      </w:pPr>
      <w:r>
        <w:t>3.3.48.185 Axiomentscheidung zur universellen Äquivarianz</w:t>
      </w:r>
    </w:p>
    <w:p w:rsidR="00BA5935" w:rsidRDefault="00BA5935" w:rsidP="00BA5935">
      <w:pPr>
        <w:pStyle w:val="StandardWeb"/>
      </w:pPr>
      <w:r>
        <w:t>Daher gilt</w:t>
      </w:r>
    </w:p>
    <w:p w:rsidR="00BA5935" w:rsidRDefault="00BA5935" w:rsidP="00BA5935">
      <w:pPr>
        <w:pStyle w:val="berschrift1"/>
      </w:pPr>
      <w:r>
        <w:t>[</w:t>
      </w:r>
      <w:r>
        <w:br/>
        <w:t>\boxed{</w:t>
      </w:r>
      <w:r>
        <w:br/>
        <w:t>U_{\mathrm{Ax}}</w:t>
      </w:r>
      <w:r>
        <w:br/>
        <w:t>(A_{\mathrm{eq}})</w:t>
      </w:r>
    </w:p>
    <w:p w:rsidR="00BA5935" w:rsidRDefault="00BA5935" w:rsidP="00152216">
      <w:pPr>
        <w:numPr>
          <w:ilvl w:val="0"/>
          <w:numId w:val="548"/>
        </w:numPr>
        <w:spacing w:before="100" w:beforeAutospacing="1" w:after="100" w:afterAutospacing="1"/>
      </w:pPr>
    </w:p>
    <w:p w:rsidR="00BA5935" w:rsidRDefault="00BA5935" w:rsidP="00BA5935">
      <w:pPr>
        <w:pStyle w:val="StandardWeb"/>
      </w:pPr>
      <w:r>
        <w:t>}</w:t>
      </w:r>
      <w:r>
        <w:br/>
        <w:t>\tag{3.12243}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\boxed{U_{\mathrm{Ax}}(A_{\mathrm{eq}})=0.}</w:t>
      </w:r>
    </w:p>
    <w:p w:rsidR="00BA5935" w:rsidRDefault="00E50336" w:rsidP="00BA5935">
      <w:r>
        <w:pict>
          <v:rect id="_x0000_i4357" style="width:0;height:1.5pt" o:hralign="center" o:hrstd="t" o:hr="t" fillcolor="#a0a0a0" stroked="f"/>
        </w:pict>
      </w:r>
    </w:p>
    <w:p w:rsidR="00BA5935" w:rsidRDefault="00BA5935" w:rsidP="00BA5935">
      <w:pPr>
        <w:pStyle w:val="berschrift1"/>
      </w:pPr>
      <w:r>
        <w:t>3.3.48.186 Satz 3.3.141 – Universelle Äquivarianz funktionaler Größen ist kein Primäraxiom</w:t>
      </w:r>
    </w:p>
    <w:p w:rsidR="00BA5935" w:rsidRDefault="00BA5935" w:rsidP="00BA5935">
      <w:pPr>
        <w:pStyle w:val="berschrift3"/>
      </w:pPr>
      <w:r>
        <w:t>Satz 3.3.141</w:t>
      </w:r>
    </w:p>
    <w:p w:rsidR="00BA5935" w:rsidRDefault="00BA5935" w:rsidP="00BA5935">
      <w:pPr>
        <w:pStyle w:val="StandardWeb"/>
      </w:pPr>
      <w:r>
        <w:lastRenderedPageBreak/>
        <w:t>Die Forderung, jede funktionale Größe müsse gegenüber jeder relevanten Transformation äquivariant sein, ist keine universell notwendige Voraussetzung eines allgemeinen FRZK-Modells.</w:t>
      </w:r>
    </w:p>
    <w:p w:rsidR="00BA5935" w:rsidRDefault="00BA5935" w:rsidP="00BA5935">
      <w:pPr>
        <w:pStyle w:val="StandardWeb"/>
      </w:pPr>
      <w:r>
        <w:t>Formal gilt</w:t>
      </w:r>
    </w:p>
    <w:p w:rsidR="00BA5935" w:rsidRDefault="00BA5935" w:rsidP="00BA5935">
      <w:pPr>
        <w:pStyle w:val="berschrift1"/>
      </w:pPr>
      <w:r>
        <w:t>[</w:t>
      </w:r>
      <w:r>
        <w:br/>
        <w:t>\boxed{</w:t>
      </w:r>
      <w:r>
        <w:br/>
        <w:t>U_{\mathrm{Ax}}</w:t>
      </w:r>
      <w:r>
        <w:br/>
        <w:t>(A_{\mathrm{eq}})</w:t>
      </w:r>
    </w:p>
    <w:p w:rsidR="00BA5935" w:rsidRDefault="00BA5935" w:rsidP="00152216">
      <w:pPr>
        <w:numPr>
          <w:ilvl w:val="0"/>
          <w:numId w:val="549"/>
        </w:numPr>
        <w:spacing w:before="100" w:beforeAutospacing="1" w:after="100" w:afterAutospacing="1"/>
      </w:pPr>
    </w:p>
    <w:p w:rsidR="00BA5935" w:rsidRDefault="00BA5935" w:rsidP="00BA5935">
      <w:pPr>
        <w:pStyle w:val="StandardWeb"/>
      </w:pPr>
      <w:r>
        <w:t>}</w:t>
      </w:r>
      <w:r>
        <w:br/>
        <w:t>\tag{3.12244}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\boxed{U_{\mathrm{Ax}}(A_{\mathrm{eq}})=0.}</w:t>
      </w:r>
    </w:p>
    <w:p w:rsidR="00BA5935" w:rsidRDefault="00E50336" w:rsidP="00BA5935">
      <w:r>
        <w:pict>
          <v:rect id="_x0000_i4358" style="width:0;height:1.5pt" o:hralign="center" o:hrstd="t" o:hr="t" fillcolor="#a0a0a0" stroked="f"/>
        </w:pict>
      </w:r>
    </w:p>
    <w:p w:rsidR="00BA5935" w:rsidRDefault="00BA5935" w:rsidP="00BA5935">
      <w:pPr>
        <w:pStyle w:val="berschrift1"/>
      </w:pPr>
      <w:r>
        <w:t>3.3.48.187 Status des funktionalen Isomorphismus</w:t>
      </w:r>
    </w:p>
    <w:p w:rsidR="00BA5935" w:rsidRDefault="00BA5935" w:rsidP="00BA5935">
      <w:pPr>
        <w:pStyle w:val="StandardWeb"/>
      </w:pPr>
      <w:r>
        <w:t>Der Isomorphismus</w:t>
      </w:r>
    </w:p>
    <w:p w:rsidR="00BA5935" w:rsidRDefault="00BA5935" w:rsidP="00BA5935">
      <w:pPr>
        <w:pStyle w:val="StandardWeb"/>
      </w:pPr>
      <w:r>
        <w:t>[</w:t>
      </w:r>
      <w:r>
        <w:br/>
        <w:t>\varphi:</w:t>
      </w:r>
      <w:r>
        <w:br/>
        <w:t>\mathfrak S_F^{(1)}</w:t>
      </w:r>
      <w:r>
        <w:br/>
        <w:t>\rightarrow</w:t>
      </w:r>
      <w:r>
        <w:br/>
        <w:t>\mathfrak S_F^{(2)}</w:t>
      </w:r>
      <w:r>
        <w:br/>
        <w:t>\tag{3.12245}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\varphi:\mathfrak S_F^{(1)}\rightarrow\mathfrak S_F^{(2)}</w:t>
      </w:r>
    </w:p>
    <w:p w:rsidR="00BA5935" w:rsidRDefault="00BA5935" w:rsidP="00BA5935">
      <w:pPr>
        <w:pStyle w:val="StandardWeb"/>
      </w:pPr>
      <w:r>
        <w:t>ist eine definierte Strukturrelation.</w:t>
      </w:r>
    </w:p>
    <w:p w:rsidR="00BA5935" w:rsidRDefault="00BA5935" w:rsidP="00BA5935">
      <w:pPr>
        <w:pStyle w:val="StandardWeb"/>
      </w:pPr>
      <w:r>
        <w:t>Daher gilt</w:t>
      </w:r>
    </w:p>
    <w:p w:rsidR="00BA5935" w:rsidRDefault="00BA5935" w:rsidP="00BA5935">
      <w:pPr>
        <w:pStyle w:val="berschrift1"/>
      </w:pPr>
      <w:r>
        <w:t>[</w:t>
      </w:r>
      <w:r>
        <w:br/>
        <w:t>\boxed{</w:t>
      </w:r>
      <w:r>
        <w:br/>
      </w:r>
      <w:r>
        <w:lastRenderedPageBreak/>
        <w:t>\operatorname{Stat}</w:t>
      </w:r>
      <w:r>
        <w:br/>
        <w:t>(\operatorname{Iso}_F)</w:t>
      </w:r>
    </w:p>
    <w:p w:rsidR="00BA5935" w:rsidRDefault="00BA5935" w:rsidP="00BA5935">
      <w:pPr>
        <w:pStyle w:val="StandardWeb"/>
      </w:pPr>
      <w:r>
        <w:t>\mathrm{Def/Mod/Op}.</w:t>
      </w:r>
      <w:r>
        <w:br/>
        <w:t>}</w:t>
      </w:r>
      <w:r>
        <w:br/>
        <w:t>\tag{3.12246}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\boxed{\operatorname{Stat}(\operatorname{Iso}_F)=\mathrm{Def/Mod/Op}.}</w:t>
      </w:r>
    </w:p>
    <w:p w:rsidR="00BA5935" w:rsidRDefault="00E50336" w:rsidP="00BA5935">
      <w:r>
        <w:pict>
          <v:rect id="_x0000_i4359" style="width:0;height:1.5pt" o:hralign="center" o:hrstd="t" o:hr="t" fillcolor="#a0a0a0" stroked="f"/>
        </w:pict>
      </w:r>
    </w:p>
    <w:p w:rsidR="00BA5935" w:rsidRDefault="00BA5935" w:rsidP="00BA5935">
      <w:pPr>
        <w:pStyle w:val="berschrift1"/>
      </w:pPr>
      <w:r>
        <w:t>3.3.48.188 Status der Isomorphiefolgerungen</w:t>
      </w:r>
    </w:p>
    <w:p w:rsidR="00BA5935" w:rsidRDefault="00BA5935" w:rsidP="00BA5935">
      <w:pPr>
        <w:pStyle w:val="StandardWeb"/>
      </w:pPr>
      <w:r>
        <w:t>Die Aussagen über Inversen, Komposition und Äquivalenzklassen folgen aus der Definition des Isomorphismus.</w:t>
      </w:r>
    </w:p>
    <w:p w:rsidR="00BA5935" w:rsidRDefault="00BA5935" w:rsidP="00BA5935">
      <w:pPr>
        <w:pStyle w:val="StandardWeb"/>
      </w:pPr>
      <w:r>
        <w:t>Damit gilt</w:t>
      </w:r>
    </w:p>
    <w:p w:rsidR="00BA5935" w:rsidRDefault="00BA5935" w:rsidP="00BA5935">
      <w:pPr>
        <w:pStyle w:val="berschrift1"/>
      </w:pPr>
      <w:r>
        <w:t>[</w:t>
      </w:r>
      <w:r>
        <w:br/>
        <w:t>\boxed{</w:t>
      </w:r>
      <w:r>
        <w:br/>
        <w:t>\operatorname{Stat}</w:t>
      </w:r>
      <w:r>
        <w:br/>
        <w:t>(\text{Isomorphiefolgerungen})</w:t>
      </w:r>
    </w:p>
    <w:p w:rsidR="00BA5935" w:rsidRDefault="00BA5935" w:rsidP="00BA5935">
      <w:pPr>
        <w:pStyle w:val="StandardWeb"/>
      </w:pPr>
      <w:r>
        <w:t>\mathrm{Der}.</w:t>
      </w:r>
      <w:r>
        <w:br/>
        <w:t>}</w:t>
      </w:r>
      <w:r>
        <w:br/>
        <w:t>\tag{3.12247}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\boxed{\operatorname{Stat}(\text{Isomorphiefolgerungen})=\mathrm{Der}.}</w:t>
      </w:r>
    </w:p>
    <w:p w:rsidR="00BA5935" w:rsidRDefault="00E50336" w:rsidP="00BA5935">
      <w:r>
        <w:pict>
          <v:rect id="_x0000_i4360" style="width:0;height:1.5pt" o:hralign="center" o:hrstd="t" o:hr="t" fillcolor="#a0a0a0" stroked="f"/>
        </w:pict>
      </w:r>
    </w:p>
    <w:p w:rsidR="00BA5935" w:rsidRDefault="00BA5935" w:rsidP="00BA5935">
      <w:pPr>
        <w:pStyle w:val="berschrift1"/>
      </w:pPr>
      <w:r>
        <w:t>3.3.48.189 Status des Automorphismus</w:t>
      </w:r>
    </w:p>
    <w:p w:rsidR="00BA5935" w:rsidRDefault="00BA5935" w:rsidP="00BA5935">
      <w:pPr>
        <w:pStyle w:val="StandardWeb"/>
      </w:pPr>
      <w:r>
        <w:t>Für</w:t>
      </w:r>
    </w:p>
    <w:p w:rsidR="00BA5935" w:rsidRDefault="00BA5935" w:rsidP="00BA5935">
      <w:pPr>
        <w:pStyle w:val="StandardWeb"/>
      </w:pPr>
      <w:r>
        <w:t>[</w:t>
      </w:r>
      <w:r>
        <w:br/>
        <w:t>\operatorname{Aut}</w:t>
      </w:r>
      <w:r>
        <w:br/>
        <w:t>(\mathfrak S_F)</w:t>
      </w:r>
      <w:r>
        <w:br/>
        <w:t>\tag{3.12248}</w:t>
      </w:r>
      <w:r>
        <w:br/>
        <w:t>]</w:t>
      </w:r>
    </w:p>
    <w:p w:rsidR="00BA5935" w:rsidRDefault="00BA5935" w:rsidP="00BA5935">
      <w:pPr>
        <w:pStyle w:val="StandardWeb"/>
      </w:pPr>
      <w:r>
        <w:rPr>
          <w:rStyle w:val="Fett"/>
        </w:rPr>
        <w:lastRenderedPageBreak/>
        <w:t>Word-LaTeX</w:t>
      </w:r>
    </w:p>
    <w:p w:rsidR="00BA5935" w:rsidRDefault="00BA5935" w:rsidP="00BA5935">
      <w:pPr>
        <w:pStyle w:val="HTMLVorformatiert"/>
        <w:rPr>
          <w:rStyle w:val="HTMLCode"/>
        </w:rPr>
      </w:pPr>
      <w:r>
        <w:rPr>
          <w:rStyle w:val="HTMLCode"/>
        </w:rPr>
        <w:t>\operatorname{Aut}(\mathfrak S_F)</w:t>
      </w:r>
    </w:p>
    <w:p w:rsidR="00BA5935" w:rsidRDefault="00BA5935" w:rsidP="00BA5935">
      <w:pPr>
        <w:pStyle w:val="StandardWeb"/>
      </w:pPr>
      <w:r>
        <w:t>gilt</w:t>
      </w:r>
    </w:p>
    <w:p w:rsidR="00BA5935" w:rsidRDefault="00BA5935" w:rsidP="00BA5935">
      <w:pPr>
        <w:pStyle w:val="berschrift1"/>
      </w:pPr>
      <w:r>
        <w:t>[</w:t>
      </w:r>
      <w:r>
        <w:br/>
        <w:t>\boxed{</w:t>
      </w:r>
      <w:r>
        <w:br/>
        <w:t>\operatorname{Stat}</w:t>
      </w:r>
      <w:r>
        <w:br/>
        <w:t>(\operatorname{Aut})</w:t>
      </w:r>
    </w:p>
    <w:p w:rsidR="00BA5935" w:rsidRDefault="00BA5935" w:rsidP="00BA5935">
      <w:pPr>
        <w:pStyle w:val="StandardWeb"/>
      </w:pPr>
      <w:r>
        <w:t>\mathrm{Def/Mod}.</w:t>
      </w:r>
      <w:r>
        <w:br/>
        <w:t>}</w:t>
      </w:r>
      <w:r>
        <w:br/>
        <w:t>\tag{3.12249}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\boxed{\operatorname{Stat}(\operatorname{Aut})=\mathrm{Def/Mod}.}</w:t>
      </w:r>
    </w:p>
    <w:p w:rsidR="00BA5935" w:rsidRDefault="00E50336" w:rsidP="00BA5935">
      <w:r>
        <w:pict>
          <v:rect id="_x0000_i4361" style="width:0;height:1.5pt" o:hralign="center" o:hrstd="t" o:hr="t" fillcolor="#a0a0a0" stroked="f"/>
        </w:pict>
      </w:r>
    </w:p>
    <w:p w:rsidR="00BA5935" w:rsidRDefault="00BA5935" w:rsidP="00BA5935">
      <w:pPr>
        <w:pStyle w:val="berschrift1"/>
      </w:pPr>
      <w:r>
        <w:t>3.3.48.190 Status der Äquivarianz</w:t>
      </w:r>
    </w:p>
    <w:p w:rsidR="00BA5935" w:rsidRDefault="00BA5935" w:rsidP="00BA5935">
      <w:pPr>
        <w:pStyle w:val="StandardWeb"/>
      </w:pPr>
      <w:r>
        <w:t>Für</w:t>
      </w:r>
    </w:p>
    <w:p w:rsidR="00BA5935" w:rsidRDefault="00BA5935" w:rsidP="00BA5935">
      <w:pPr>
        <w:pStyle w:val="berschrift1"/>
      </w:pPr>
      <w:r>
        <w:t>[</w:t>
      </w:r>
      <w:r>
        <w:br/>
        <w:t>Q_F(g(z))</w:t>
      </w:r>
    </w:p>
    <w:p w:rsidR="00BA5935" w:rsidRDefault="00BA5935" w:rsidP="00BA5935">
      <w:pPr>
        <w:pStyle w:val="StandardWeb"/>
      </w:pPr>
      <w:r>
        <w:t>\rho(g)Q_F(z)</w:t>
      </w:r>
      <w:r>
        <w:br/>
        <w:t>\tag{3.12250}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Q_F(g(z))=\rho(g)Q_F(z)</w:t>
      </w:r>
    </w:p>
    <w:p w:rsidR="00BA5935" w:rsidRDefault="00BA5935" w:rsidP="00BA5935">
      <w:pPr>
        <w:pStyle w:val="StandardWeb"/>
      </w:pPr>
      <w:r>
        <w:t>gilt</w:t>
      </w:r>
    </w:p>
    <w:p w:rsidR="00BA5935" w:rsidRDefault="00BA5935" w:rsidP="00BA5935">
      <w:pPr>
        <w:pStyle w:val="berschrift1"/>
      </w:pPr>
      <w:r>
        <w:t>[</w:t>
      </w:r>
      <w:r>
        <w:br/>
        <w:t>\boxed{</w:t>
      </w:r>
      <w:r>
        <w:br/>
        <w:t>\operatorname{Stat}</w:t>
      </w:r>
      <w:r>
        <w:br/>
        <w:t>(\operatorname{Eqv}_F)</w:t>
      </w:r>
    </w:p>
    <w:p w:rsidR="00BA5935" w:rsidRDefault="00BA5935" w:rsidP="00BA5935">
      <w:pPr>
        <w:pStyle w:val="StandardWeb"/>
      </w:pPr>
      <w:r>
        <w:lastRenderedPageBreak/>
        <w:t>\mathrm{Def/Mod/Op}.</w:t>
      </w:r>
      <w:r>
        <w:br/>
        <w:t>}</w:t>
      </w:r>
      <w:r>
        <w:br/>
        <w:t>\tag{3.12251}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\boxed{\operatorname{Stat}(\operatorname{Eqv}_F)=\mathrm{Def/Mod/Op}.}</w:t>
      </w:r>
    </w:p>
    <w:p w:rsidR="00BA5935" w:rsidRDefault="00E50336" w:rsidP="00BA5935">
      <w:r>
        <w:pict>
          <v:rect id="_x0000_i4362" style="width:0;height:1.5pt" o:hralign="center" o:hrstd="t" o:hr="t" fillcolor="#a0a0a0" stroked="f"/>
        </w:pict>
      </w:r>
    </w:p>
    <w:p w:rsidR="00BA5935" w:rsidRDefault="00BA5935" w:rsidP="00BA5935">
      <w:pPr>
        <w:pStyle w:val="berschrift1"/>
      </w:pPr>
      <w:r>
        <w:t>3.3.48.191 Status der Kovarianz</w:t>
      </w:r>
    </w:p>
    <w:p w:rsidR="00BA5935" w:rsidRDefault="00BA5935" w:rsidP="00BA5935">
      <w:pPr>
        <w:pStyle w:val="StandardWeb"/>
      </w:pPr>
      <w:r>
        <w:t>Die funktionale Kovarianz besitzt den Status</w:t>
      </w:r>
    </w:p>
    <w:p w:rsidR="00BA5935" w:rsidRDefault="00BA5935" w:rsidP="00BA5935">
      <w:pPr>
        <w:pStyle w:val="berschrift1"/>
      </w:pPr>
      <w:r>
        <w:t>[</w:t>
      </w:r>
      <w:r>
        <w:br/>
        <w:t>\boxed{</w:t>
      </w:r>
      <w:r>
        <w:br/>
        <w:t>\operatorname{Stat}</w:t>
      </w:r>
      <w:r>
        <w:br/>
        <w:t>(\operatorname{Cov}_F)</w:t>
      </w:r>
    </w:p>
    <w:p w:rsidR="00BA5935" w:rsidRDefault="00BA5935" w:rsidP="00BA5935">
      <w:pPr>
        <w:pStyle w:val="StandardWeb"/>
      </w:pPr>
      <w:r>
        <w:t>\mathrm{Def/Mod/Op}.</w:t>
      </w:r>
      <w:r>
        <w:br/>
        <w:t>}</w:t>
      </w:r>
      <w:r>
        <w:br/>
        <w:t>\tag{3.12252}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\boxed{\operatorname{Stat}(\operatorname{Cov}_F)=\mathrm{Def/Mod/Op}.}</w:t>
      </w:r>
    </w:p>
    <w:p w:rsidR="00BA5935" w:rsidRDefault="00E50336" w:rsidP="00BA5935">
      <w:r>
        <w:pict>
          <v:rect id="_x0000_i4363" style="width:0;height:1.5pt" o:hralign="center" o:hrstd="t" o:hr="t" fillcolor="#a0a0a0" stroked="f"/>
        </w:pict>
      </w:r>
    </w:p>
    <w:p w:rsidR="00BA5935" w:rsidRDefault="00BA5935" w:rsidP="00BA5935">
      <w:pPr>
        <w:pStyle w:val="berschrift1"/>
      </w:pPr>
      <w:r>
        <w:t>3.3.48.192 Status der Gruppenrepräsentation</w:t>
      </w:r>
    </w:p>
    <w:p w:rsidR="00BA5935" w:rsidRDefault="00BA5935" w:rsidP="00BA5935">
      <w:pPr>
        <w:pStyle w:val="StandardWeb"/>
      </w:pPr>
      <w:r>
        <w:t>Für</w:t>
      </w:r>
    </w:p>
    <w:p w:rsidR="00BA5935" w:rsidRDefault="00BA5935" w:rsidP="00BA5935">
      <w:pPr>
        <w:pStyle w:val="StandardWeb"/>
      </w:pPr>
      <w:r>
        <w:t>[</w:t>
      </w:r>
      <w:r>
        <w:br/>
        <w:t>\rho:</w:t>
      </w:r>
      <w:r>
        <w:br/>
        <w:t>G</w:t>
      </w:r>
      <w:r>
        <w:br/>
        <w:t>\rightarrow</w:t>
      </w:r>
      <w:r>
        <w:br/>
        <w:t>\operatorname{Aut}</w:t>
      </w:r>
      <w:r>
        <w:br/>
        <w:t>(\mathcal V_Q)</w:t>
      </w:r>
      <w:r>
        <w:br/>
        <w:t>\tag{3.12253}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\rho:G\rightarrow\operatorname{Aut}(\mathcal V_Q)</w:t>
      </w:r>
    </w:p>
    <w:p w:rsidR="00BA5935" w:rsidRDefault="00BA5935" w:rsidP="00BA5935">
      <w:pPr>
        <w:pStyle w:val="StandardWeb"/>
      </w:pPr>
      <w:r>
        <w:t>gilt</w:t>
      </w:r>
    </w:p>
    <w:p w:rsidR="00BA5935" w:rsidRDefault="00BA5935" w:rsidP="00BA5935">
      <w:pPr>
        <w:pStyle w:val="berschrift1"/>
      </w:pPr>
      <w:r>
        <w:lastRenderedPageBreak/>
        <w:t>[</w:t>
      </w:r>
      <w:r>
        <w:br/>
        <w:t>\boxed{</w:t>
      </w:r>
      <w:r>
        <w:br/>
        <w:t>\operatorname{Stat}</w:t>
      </w:r>
      <w:r>
        <w:br/>
        <w:t>(\rho)</w:t>
      </w:r>
    </w:p>
    <w:p w:rsidR="00BA5935" w:rsidRDefault="00BA5935" w:rsidP="00BA5935">
      <w:pPr>
        <w:pStyle w:val="StandardWeb"/>
      </w:pPr>
      <w:r>
        <w:t>\mathrm{Def/Mod}.</w:t>
      </w:r>
      <w:r>
        <w:br/>
        <w:t>}</w:t>
      </w:r>
      <w:r>
        <w:br/>
        <w:t>\tag{3.12254}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\boxed{\operatorname{Stat}(\rho)=\mathrm{Def/Mod}.}</w:t>
      </w:r>
    </w:p>
    <w:p w:rsidR="00BA5935" w:rsidRDefault="00E50336" w:rsidP="00BA5935">
      <w:r>
        <w:pict>
          <v:rect id="_x0000_i4364" style="width:0;height:1.5pt" o:hralign="center" o:hrstd="t" o:hr="t" fillcolor="#a0a0a0" stroked="f"/>
        </w:pict>
      </w:r>
    </w:p>
    <w:p w:rsidR="00BA5935" w:rsidRDefault="00BA5935" w:rsidP="00BA5935">
      <w:pPr>
        <w:pStyle w:val="berschrift1"/>
      </w:pPr>
      <w:r>
        <w:t>3.3.48.193 Status der Konjugation</w:t>
      </w:r>
    </w:p>
    <w:p w:rsidR="00BA5935" w:rsidRDefault="00BA5935" w:rsidP="00BA5935">
      <w:pPr>
        <w:pStyle w:val="StandardWeb"/>
      </w:pPr>
      <w:r>
        <w:t>Die Relation</w:t>
      </w:r>
    </w:p>
    <w:p w:rsidR="00BA5935" w:rsidRDefault="00BA5935" w:rsidP="00BA5935">
      <w:pPr>
        <w:pStyle w:val="berschrift1"/>
      </w:pPr>
      <w:r>
        <w:t>[</w:t>
      </w:r>
      <w:r>
        <w:br/>
        <w:t>g_2</w:t>
      </w:r>
    </w:p>
    <w:p w:rsidR="00BA5935" w:rsidRDefault="00BA5935" w:rsidP="00BA5935">
      <w:pPr>
        <w:pStyle w:val="StandardWeb"/>
      </w:pPr>
      <w:r>
        <w:t>\varphi</w:t>
      </w:r>
      <w:r>
        <w:br/>
        <w:t>g_1</w:t>
      </w:r>
      <w:r>
        <w:br/>
        <w:t>\varphi^{-1}</w:t>
      </w:r>
      <w:r>
        <w:br/>
        <w:t>\tag{3.12255}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g_2=\varphi g_1\varphi^{-1}</w:t>
      </w:r>
    </w:p>
    <w:p w:rsidR="00BA5935" w:rsidRDefault="00BA5935" w:rsidP="00BA5935">
      <w:pPr>
        <w:pStyle w:val="StandardWeb"/>
      </w:pPr>
      <w:r>
        <w:t>ist nach Wahl eines Isomorphismus mathematisch definiert.</w:t>
      </w:r>
    </w:p>
    <w:p w:rsidR="00BA5935" w:rsidRDefault="00BA5935" w:rsidP="00BA5935">
      <w:pPr>
        <w:pStyle w:val="StandardWeb"/>
      </w:pPr>
      <w:r>
        <w:t>Daher gilt</w:t>
      </w:r>
    </w:p>
    <w:p w:rsidR="00BA5935" w:rsidRDefault="00BA5935" w:rsidP="00BA5935">
      <w:pPr>
        <w:pStyle w:val="berschrift1"/>
      </w:pPr>
      <w:r>
        <w:t>[</w:t>
      </w:r>
      <w:r>
        <w:br/>
        <w:t>\boxed{</w:t>
      </w:r>
      <w:r>
        <w:br/>
        <w:t>\operatorname{Stat}</w:t>
      </w:r>
      <w:r>
        <w:br/>
        <w:t>(\operatorname{Conj})</w:t>
      </w:r>
    </w:p>
    <w:p w:rsidR="00BA5935" w:rsidRDefault="00BA5935" w:rsidP="00BA5935">
      <w:pPr>
        <w:pStyle w:val="StandardWeb"/>
      </w:pPr>
      <w:r>
        <w:t>\mathrm{Def/Der}.</w:t>
      </w:r>
      <w:r>
        <w:br/>
        <w:t>}</w:t>
      </w:r>
      <w:r>
        <w:br/>
      </w:r>
      <w:r>
        <w:lastRenderedPageBreak/>
        <w:t>\tag{3.12256}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\boxed{\operatorname{Stat}(\operatorname{Conj})=\mathrm{Def/Der}.}</w:t>
      </w:r>
    </w:p>
    <w:p w:rsidR="00BA5935" w:rsidRDefault="00E50336" w:rsidP="00BA5935">
      <w:r>
        <w:pict>
          <v:rect id="_x0000_i4365" style="width:0;height:1.5pt" o:hralign="center" o:hrstd="t" o:hr="t" fillcolor="#a0a0a0" stroked="f"/>
        </w:pict>
      </w:r>
    </w:p>
    <w:p w:rsidR="00BA5935" w:rsidRDefault="00BA5935" w:rsidP="00BA5935">
      <w:pPr>
        <w:pStyle w:val="berschrift1"/>
      </w:pPr>
      <w:r>
        <w:t>3.3.48.194 Status der Beobachtungsäquivalenz</w:t>
      </w:r>
    </w:p>
    <w:p w:rsidR="00BA5935" w:rsidRDefault="00BA5935" w:rsidP="00BA5935">
      <w:pPr>
        <w:pStyle w:val="StandardWeb"/>
      </w:pPr>
      <w:r>
        <w:t>Für</w:t>
      </w:r>
    </w:p>
    <w:p w:rsidR="00BA5935" w:rsidRDefault="00BA5935" w:rsidP="00BA5935">
      <w:pPr>
        <w:pStyle w:val="StandardWeb"/>
      </w:pPr>
      <w:r>
        <w:t>[</w:t>
      </w:r>
      <w:r>
        <w:br/>
        <w:t>\mathfrak S_F^{(1)}</w:t>
      </w:r>
      <w:r>
        <w:br/>
        <w:t>\equiv_{\mathrm{obs}}</w:t>
      </w:r>
      <w:r>
        <w:br/>
        <w:t>\mathfrak S_F^{(2)}</w:t>
      </w:r>
      <w:r>
        <w:br/>
        <w:t>\tag{3.12257}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\mathfrak S_F^{(1)}\equiv_{\mathrm{obs}}\mathfrak S_F^{(2)}</w:t>
      </w:r>
    </w:p>
    <w:p w:rsidR="00BA5935" w:rsidRDefault="00BA5935" w:rsidP="00BA5935">
      <w:pPr>
        <w:pStyle w:val="StandardWeb"/>
      </w:pPr>
      <w:r>
        <w:t>gilt</w:t>
      </w:r>
    </w:p>
    <w:p w:rsidR="00BA5935" w:rsidRDefault="00BA5935" w:rsidP="00BA5935">
      <w:pPr>
        <w:pStyle w:val="berschrift1"/>
      </w:pPr>
      <w:r>
        <w:t>[</w:t>
      </w:r>
      <w:r>
        <w:br/>
        <w:t>\boxed{</w:t>
      </w:r>
      <w:r>
        <w:br/>
        <w:t>\operatorname{Stat}</w:t>
      </w:r>
      <w:r>
        <w:br/>
        <w:t>(\equiv_{\mathrm{obs}})</w:t>
      </w:r>
    </w:p>
    <w:p w:rsidR="00BA5935" w:rsidRDefault="00BA5935" w:rsidP="00BA5935">
      <w:pPr>
        <w:pStyle w:val="StandardWeb"/>
      </w:pPr>
      <w:r>
        <w:t>\mathrm{Def/Mod/Op}.</w:t>
      </w:r>
      <w:r>
        <w:br/>
        <w:t>}</w:t>
      </w:r>
      <w:r>
        <w:br/>
        <w:t>\tag{3.12258}</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\boxed{\operatorname{Stat}(\equiv_{\mathrm{obs}})=\mathrm{Def/Mod/Op}.}</w:t>
      </w:r>
    </w:p>
    <w:p w:rsidR="00BA5935" w:rsidRDefault="00E50336" w:rsidP="00BA5935">
      <w:r>
        <w:pict>
          <v:rect id="_x0000_i4366" style="width:0;height:1.5pt" o:hralign="center" o:hrstd="t" o:hr="t" fillcolor="#a0a0a0" stroked="f"/>
        </w:pict>
      </w:r>
    </w:p>
    <w:p w:rsidR="00BA5935" w:rsidRDefault="00BA5935" w:rsidP="00BA5935">
      <w:pPr>
        <w:pStyle w:val="berschrift1"/>
      </w:pPr>
      <w:r>
        <w:t>3.3.48.195 Status der Repräsentation</w:t>
      </w:r>
    </w:p>
    <w:p w:rsidR="00BA5935" w:rsidRDefault="00BA5935" w:rsidP="00BA5935">
      <w:pPr>
        <w:pStyle w:val="StandardWeb"/>
      </w:pPr>
      <w:r>
        <w:t>Für</w:t>
      </w:r>
    </w:p>
    <w:p w:rsidR="00BA5935" w:rsidRDefault="00BA5935" w:rsidP="00BA5935">
      <w:pPr>
        <w:pStyle w:val="StandardWeb"/>
      </w:pPr>
      <w:r>
        <w:t>[</w:t>
      </w:r>
      <w:r>
        <w:br/>
        <w:t>\Pi:</w:t>
      </w:r>
      <w:r>
        <w:br/>
        <w:t>\mathfrak S_F</w:t>
      </w:r>
      <w:r>
        <w:br/>
      </w:r>
      <w:r>
        <w:lastRenderedPageBreak/>
        <w:t>\rightarrow</w:t>
      </w:r>
      <w:r>
        <w:br/>
        <w:t>\mathfrak R_F</w:t>
      </w:r>
      <w:r>
        <w:br/>
        <w:t>\tag{3.12259}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\Pi:\mathfrak S_F\rightarrow\mathfrak R_F</w:t>
      </w:r>
    </w:p>
    <w:p w:rsidR="00BA5935" w:rsidRDefault="00BA5935" w:rsidP="00BA5935">
      <w:pPr>
        <w:pStyle w:val="StandardWeb"/>
      </w:pPr>
      <w:r>
        <w:t>gilt</w:t>
      </w:r>
    </w:p>
    <w:p w:rsidR="00BA5935" w:rsidRDefault="00BA5935" w:rsidP="00BA5935">
      <w:pPr>
        <w:pStyle w:val="berschrift1"/>
      </w:pPr>
      <w:r>
        <w:t>[</w:t>
      </w:r>
      <w:r>
        <w:br/>
        <w:t>\boxed{</w:t>
      </w:r>
      <w:r>
        <w:br/>
        <w:t>\operatorname{Stat}</w:t>
      </w:r>
      <w:r>
        <w:br/>
        <w:t>(\Pi)</w:t>
      </w:r>
    </w:p>
    <w:p w:rsidR="00BA5935" w:rsidRDefault="00BA5935" w:rsidP="00BA5935">
      <w:pPr>
        <w:pStyle w:val="StandardWeb"/>
      </w:pPr>
      <w:r>
        <w:t>\mathrm{Def/Mod}.</w:t>
      </w:r>
      <w:r>
        <w:br/>
        <w:t>}</w:t>
      </w:r>
      <w:r>
        <w:br/>
        <w:t>\tag{3.12260}</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\boxed{\operatorname{Stat}(\Pi)=\mathrm{Def/Mod}.}</w:t>
      </w:r>
    </w:p>
    <w:p w:rsidR="00BA5935" w:rsidRDefault="00E50336" w:rsidP="00BA5935">
      <w:r>
        <w:pict>
          <v:rect id="_x0000_i4367" style="width:0;height:1.5pt" o:hralign="center" o:hrstd="t" o:hr="t" fillcolor="#a0a0a0" stroked="f"/>
        </w:pict>
      </w:r>
    </w:p>
    <w:p w:rsidR="00BA5935" w:rsidRDefault="00BA5935" w:rsidP="00BA5935">
      <w:pPr>
        <w:pStyle w:val="berschrift1"/>
      </w:pPr>
      <w:r>
        <w:t>3.3.48.196 Status der Symmetriereduktion</w:t>
      </w:r>
    </w:p>
    <w:p w:rsidR="00BA5935" w:rsidRDefault="00BA5935" w:rsidP="00BA5935">
      <w:pPr>
        <w:pStyle w:val="StandardWeb"/>
      </w:pPr>
      <w:r>
        <w:t>Für</w:t>
      </w:r>
    </w:p>
    <w:p w:rsidR="00BA5935" w:rsidRDefault="00BA5935" w:rsidP="00BA5935">
      <w:pPr>
        <w:pStyle w:val="StandardWeb"/>
      </w:pPr>
      <w:r>
        <w:t>[</w:t>
      </w:r>
      <w:r>
        <w:br/>
        <w:t>\mathcal R_G:</w:t>
      </w:r>
      <w:r>
        <w:br/>
        <w:t>\Omega_F</w:t>
      </w:r>
      <w:r>
        <w:br/>
        <w:t>\rightarrow</w:t>
      </w:r>
      <w:r>
        <w:br/>
        <w:t>\Omega_F/G</w:t>
      </w:r>
      <w:r>
        <w:br/>
        <w:t>\tag{3.12261}</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\mathcal R_G:\Omega_F\rightarrow\Omega_F/G</w:t>
      </w:r>
    </w:p>
    <w:p w:rsidR="00BA5935" w:rsidRDefault="00BA5935" w:rsidP="00BA5935">
      <w:pPr>
        <w:pStyle w:val="StandardWeb"/>
      </w:pPr>
      <w:r>
        <w:t>gilt</w:t>
      </w:r>
    </w:p>
    <w:p w:rsidR="00BA5935" w:rsidRDefault="00BA5935" w:rsidP="00BA5935">
      <w:pPr>
        <w:pStyle w:val="berschrift1"/>
      </w:pPr>
      <w:r>
        <w:t>[</w:t>
      </w:r>
      <w:r>
        <w:br/>
        <w:t>\boxed{</w:t>
      </w:r>
      <w:r>
        <w:br/>
      </w:r>
      <w:r>
        <w:lastRenderedPageBreak/>
        <w:t>\operatorname{Stat}</w:t>
      </w:r>
      <w:r>
        <w:br/>
        <w:t>(\mathcal R_G)</w:t>
      </w:r>
    </w:p>
    <w:p w:rsidR="00BA5935" w:rsidRDefault="00BA5935" w:rsidP="00BA5935">
      <w:pPr>
        <w:pStyle w:val="StandardWeb"/>
      </w:pPr>
      <w:r>
        <w:t>\mathrm{Def/Mod/Op}.</w:t>
      </w:r>
      <w:r>
        <w:br/>
        <w:t>}</w:t>
      </w:r>
      <w:r>
        <w:br/>
        <w:t>\tag{3.12262}</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\boxed{\operatorname{Stat}(\mathcal R_G)=\mathrm{Def/Mod/Op}.}</w:t>
      </w:r>
    </w:p>
    <w:p w:rsidR="00BA5935" w:rsidRDefault="00E50336" w:rsidP="00BA5935">
      <w:r>
        <w:pict>
          <v:rect id="_x0000_i4368" style="width:0;height:1.5pt" o:hralign="center" o:hrstd="t" o:hr="t" fillcolor="#a0a0a0" stroked="f"/>
        </w:pict>
      </w:r>
    </w:p>
    <w:p w:rsidR="00BA5935" w:rsidRDefault="00BA5935" w:rsidP="00BA5935">
      <w:pPr>
        <w:pStyle w:val="berschrift1"/>
      </w:pPr>
      <w:r>
        <w:t>3.3.48.197 Status der Residualgrößen</w:t>
      </w:r>
    </w:p>
    <w:p w:rsidR="00BA5935" w:rsidRDefault="00BA5935" w:rsidP="00BA5935">
      <w:pPr>
        <w:pStyle w:val="StandardWeb"/>
      </w:pPr>
      <w:r>
        <w:t>Die Größen</w:t>
      </w:r>
    </w:p>
    <w:p w:rsidR="00BA5935" w:rsidRDefault="00BA5935" w:rsidP="00BA5935">
      <w:pPr>
        <w:pStyle w:val="StandardWeb"/>
      </w:pPr>
      <w:r>
        <w:t>[</w:t>
      </w:r>
      <w:r>
        <w:br/>
        <w:t>R_{\mathrm{inv}},</w:t>
      </w:r>
      <w:r>
        <w:br/>
        <w:t>\qquad</w:t>
      </w:r>
      <w:r>
        <w:br/>
        <w:t>R_{\mathrm{eq}},</w:t>
      </w:r>
      <w:r>
        <w:br/>
        <w:t>\qquad</w:t>
      </w:r>
      <w:r>
        <w:br/>
        <w:t>R_{\mathrm{cov}},</w:t>
      </w:r>
      <w:r>
        <w:br/>
        <w:t>\qquad</w:t>
      </w:r>
      <w:r>
        <w:br/>
        <w:t>D_{\mathrm{sym}}</w:t>
      </w:r>
      <w:r>
        <w:br/>
        <w:t>\tag{3.12263}</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R_{\mathrm{inv}},\qquad R_{\mathrm{eq}},\qquad R_{\mathrm{cov}},\qquad D_{\mathrm{sym}}</w:t>
      </w:r>
    </w:p>
    <w:p w:rsidR="00BA5935" w:rsidRDefault="00BA5935" w:rsidP="00BA5935">
      <w:pPr>
        <w:pStyle w:val="StandardWeb"/>
      </w:pPr>
      <w:r>
        <w:t>sind Diagnose- und Operationalisierungsgrößen.</w:t>
      </w:r>
    </w:p>
    <w:p w:rsidR="00BA5935" w:rsidRDefault="00BA5935" w:rsidP="00BA5935">
      <w:pPr>
        <w:pStyle w:val="StandardWeb"/>
      </w:pPr>
      <w:r>
        <w:t>Daher gilt</w:t>
      </w:r>
    </w:p>
    <w:p w:rsidR="00BA5935" w:rsidRDefault="00BA5935" w:rsidP="00BA5935">
      <w:pPr>
        <w:pStyle w:val="berschrift1"/>
      </w:pPr>
      <w:r>
        <w:t>[</w:t>
      </w:r>
      <w:r>
        <w:br/>
        <w:t>\boxed{</w:t>
      </w:r>
      <w:r>
        <w:br/>
        <w:t>\operatorname{Stat}</w:t>
      </w:r>
      <w:r>
        <w:br/>
        <w:t>(R_{\mathrm{inv}})</w:t>
      </w:r>
    </w:p>
    <w:p w:rsidR="00BA5935" w:rsidRDefault="00BA5935" w:rsidP="00BA5935">
      <w:pPr>
        <w:pStyle w:val="berschrift1"/>
      </w:pPr>
      <w:r>
        <w:t>\operatorname{Stat}</w:t>
      </w:r>
      <w:r>
        <w:br/>
        <w:t>(R_{\mathrm{eq}})</w:t>
      </w:r>
    </w:p>
    <w:p w:rsidR="00BA5935" w:rsidRDefault="00BA5935" w:rsidP="00BA5935">
      <w:pPr>
        <w:pStyle w:val="berschrift1"/>
      </w:pPr>
      <w:r>
        <w:lastRenderedPageBreak/>
        <w:t>\operatorname{Stat}</w:t>
      </w:r>
      <w:r>
        <w:br/>
        <w:t>(R_{\mathrm{cov}})</w:t>
      </w:r>
    </w:p>
    <w:p w:rsidR="00BA5935" w:rsidRDefault="00BA5935" w:rsidP="00BA5935">
      <w:pPr>
        <w:pStyle w:val="berschrift1"/>
      </w:pPr>
      <w:r>
        <w:t>\operatorname{Stat}</w:t>
      </w:r>
      <w:r>
        <w:br/>
        <w:t>(D_{\mathrm{sym}})</w:t>
      </w:r>
    </w:p>
    <w:p w:rsidR="00BA5935" w:rsidRDefault="00BA5935" w:rsidP="00BA5935">
      <w:pPr>
        <w:pStyle w:val="StandardWeb"/>
      </w:pPr>
      <w:r>
        <w:t>\mathrm{Def/Op/Mod}.</w:t>
      </w:r>
      <w:r>
        <w:br/>
        <w:t>}</w:t>
      </w:r>
      <w:r>
        <w:br/>
        <w:t>\tag{3.12264}</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\boxed{\operatorname{Stat}(R_{\mathrm{inv}})=\operatorname{Stat}(R_{\mathrm{eq}})=\operatorname{Stat}(R_{\mathrm{cov}})=\operatorname{Stat}(D_{\mathrm{sym}})=\mathrm{Def/Op/Mod}.}</w:t>
      </w:r>
    </w:p>
    <w:p w:rsidR="00BA5935" w:rsidRDefault="00E50336" w:rsidP="00BA5935">
      <w:r>
        <w:pict>
          <v:rect id="_x0000_i4369" style="width:0;height:1.5pt" o:hralign="center" o:hrstd="t" o:hr="t" fillcolor="#a0a0a0" stroked="f"/>
        </w:pict>
      </w:r>
    </w:p>
    <w:p w:rsidR="00BA5935" w:rsidRDefault="00BA5935" w:rsidP="00BA5935">
      <w:pPr>
        <w:pStyle w:val="berschrift1"/>
      </w:pPr>
      <w:r>
        <w:t>3.3.48.198 Erweiterte Symmetriearchitektur</w:t>
      </w:r>
    </w:p>
    <w:p w:rsidR="00BA5935" w:rsidRDefault="00BA5935" w:rsidP="00BA5935">
      <w:pPr>
        <w:pStyle w:val="StandardWeb"/>
      </w:pPr>
      <w:r>
        <w:t>Die bisher entwickelten Strukturen fasse ich nun zusammen als</w:t>
      </w:r>
    </w:p>
    <w:p w:rsidR="00BA5935" w:rsidRDefault="00BA5935" w:rsidP="00BA5935">
      <w:pPr>
        <w:pStyle w:val="berschrift1"/>
      </w:pPr>
      <w:r>
        <w:t>[</w:t>
      </w:r>
      <w:r>
        <w:br/>
        <w:t>\mathfrak E_{\mathrm{sym}}^{(1)}</w:t>
      </w:r>
    </w:p>
    <w:p w:rsidR="00BA5935" w:rsidRDefault="00BA5935" w:rsidP="00BA5935">
      <w:pPr>
        <w:pStyle w:val="StandardWeb"/>
      </w:pPr>
      <w:r>
        <w:t>\left(</w:t>
      </w:r>
      <w:r>
        <w:br/>
        <w:t>\mathcal T_{\mathrm{tr}},</w:t>
      </w:r>
      <w:r>
        <w:br/>
        <w:t>\operatorname{Sym},</w:t>
      </w:r>
      <w:r>
        <w:br/>
        <w:t>\operatorname{Aut},</w:t>
      </w:r>
      <w:r>
        <w:br/>
        <w:t>\operatorname{Iso},</w:t>
      </w:r>
      <w:r>
        <w:br/>
        <w:t>\rho,</w:t>
      </w:r>
      <w:r>
        <w:br/>
        <w:t>\operatorname{Eqv},</w:t>
      </w:r>
      <w:r>
        <w:br/>
        <w:t>\operatorname{Cov},</w:t>
      </w:r>
      <w:r>
        <w:br/>
        <w:t>\operatorname{Orb},</w:t>
      </w:r>
      <w:r>
        <w:br/>
        <w:t>\operatorname{Stab},</w:t>
      </w:r>
      <w:r>
        <w:br/>
        <w:t>\Omega_F/G,</w:t>
      </w:r>
      <w:r>
        <w:br/>
        <w:t>R_{\mathrm{inv}},</w:t>
      </w:r>
      <w:r>
        <w:br/>
        <w:t>R_{\mathrm{eq}},</w:t>
      </w:r>
      <w:r>
        <w:br/>
        <w:t>R_{\mathrm{cov}},</w:t>
      </w:r>
      <w:r>
        <w:br/>
        <w:t>D_{\mathrm{sym}}</w:t>
      </w:r>
      <w:r>
        <w:br/>
        <w:t>\right).</w:t>
      </w:r>
      <w:r>
        <w:br/>
        <w:t>\tag{3.12265}</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lastRenderedPageBreak/>
        <w:t>\mathfrak E_{\mathrm{sym}}^{(1)}=\left(\mathcal T_{\mathrm{tr}},\operatorname{Sym},\operatorname{Aut},\operatorname{Iso},\rho,\operatorname{Eqv},\operatorname{Cov},\operatorname{Orb},\operatorname{Stab},\Omega_F/G,R_{\mathrm{inv}},R_{\mathrm{eq}},R_{\mathrm{cov}},D_{\mathrm{sym}}\right)</w:t>
      </w:r>
    </w:p>
    <w:p w:rsidR="00BA5935" w:rsidRDefault="00E50336" w:rsidP="00BA5935">
      <w:r>
        <w:pict>
          <v:rect id="_x0000_i4370" style="width:0;height:1.5pt" o:hralign="center" o:hrstd="t" o:hr="t" fillcolor="#a0a0a0" stroked="f"/>
        </w:pict>
      </w:r>
    </w:p>
    <w:p w:rsidR="00BA5935" w:rsidRDefault="00BA5935" w:rsidP="00BA5935">
      <w:pPr>
        <w:pStyle w:val="berschrift1"/>
      </w:pPr>
      <w:r>
        <w:t>3.3.48.199 Zwischenstand der Primäraxiomprüfung</w:t>
      </w:r>
    </w:p>
    <w:p w:rsidR="00BA5935" w:rsidRDefault="00BA5935" w:rsidP="00BA5935">
      <w:pPr>
        <w:pStyle w:val="StandardWeb"/>
      </w:pPr>
      <w:r>
        <w:t>Bis hierher habe ich nun die Kandidaten</w:t>
      </w:r>
    </w:p>
    <w:p w:rsidR="00BA5935" w:rsidRDefault="00BA5935" w:rsidP="00BA5935">
      <w:pPr>
        <w:pStyle w:val="StandardWeb"/>
      </w:pPr>
      <w:r>
        <w:t>[</w:t>
      </w:r>
      <w:r>
        <w:br/>
        <w:t>A_{\mathrm{inv}},</w:t>
      </w:r>
      <w:r>
        <w:br/>
        <w:t>\qquad</w:t>
      </w:r>
      <w:r>
        <w:br/>
        <w:t>A_G,</w:t>
      </w:r>
      <w:r>
        <w:br/>
        <w:t>\qquad</w:t>
      </w:r>
      <w:r>
        <w:br/>
        <w:t>A_{\cong},</w:t>
      </w:r>
      <w:r>
        <w:br/>
        <w:t>\qquad</w:t>
      </w:r>
      <w:r>
        <w:br/>
        <w:t>A_{\mathrm{cov}},</w:t>
      </w:r>
      <w:r>
        <w:br/>
        <w:t>\qquad</w:t>
      </w:r>
      <w:r>
        <w:br/>
        <w:t>A_{\mathrm{eq}}</w:t>
      </w:r>
      <w:r>
        <w:br/>
        <w:t>\tag{3.12266}</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A_{\mathrm{inv}},\qquad A_G,\qquad A_{\cong},\qquad A_{\mathrm{cov}},\qquad A_{\mathrm{eq}}</w:t>
      </w:r>
    </w:p>
    <w:p w:rsidR="00BA5935" w:rsidRDefault="00BA5935" w:rsidP="00BA5935">
      <w:pPr>
        <w:pStyle w:val="StandardWeb"/>
      </w:pPr>
      <w:r>
        <w:t>geprüft.</w:t>
      </w:r>
    </w:p>
    <w:p w:rsidR="00BA5935" w:rsidRDefault="00BA5935" w:rsidP="00BA5935">
      <w:pPr>
        <w:pStyle w:val="StandardWeb"/>
      </w:pPr>
      <w:r>
        <w:t>Für alle gilt</w:t>
      </w:r>
    </w:p>
    <w:p w:rsidR="00BA5935" w:rsidRDefault="00BA5935" w:rsidP="00BA5935">
      <w:pPr>
        <w:pStyle w:val="berschrift1"/>
      </w:pPr>
      <w:r>
        <w:t>[</w:t>
      </w:r>
      <w:r>
        <w:br/>
        <w:t>\boxed{</w:t>
      </w:r>
      <w:r>
        <w:br/>
        <w:t>U_{\mathrm{Ax}}(A_{\mathrm{inv}})</w:t>
      </w:r>
    </w:p>
    <w:p w:rsidR="00BA5935" w:rsidRDefault="00BA5935" w:rsidP="00BA5935">
      <w:pPr>
        <w:pStyle w:val="berschrift1"/>
      </w:pPr>
      <w:r>
        <w:t>U_{\mathrm{Ax}}(A_G)</w:t>
      </w:r>
    </w:p>
    <w:p w:rsidR="00BA5935" w:rsidRDefault="00BA5935" w:rsidP="00BA5935">
      <w:pPr>
        <w:pStyle w:val="berschrift1"/>
      </w:pPr>
      <w:r>
        <w:t>U_{\mathrm{Ax}}(A_{\cong})</w:t>
      </w:r>
    </w:p>
    <w:p w:rsidR="00BA5935" w:rsidRDefault="00BA5935" w:rsidP="00BA5935">
      <w:pPr>
        <w:pStyle w:val="berschrift1"/>
      </w:pPr>
      <w:r>
        <w:t>U_{\mathrm{Ax}}(A_{\mathrm{cov}})</w:t>
      </w:r>
    </w:p>
    <w:p w:rsidR="00BA5935" w:rsidRDefault="00BA5935" w:rsidP="00BA5935">
      <w:pPr>
        <w:pStyle w:val="berschrift1"/>
      </w:pPr>
      <w:r>
        <w:t>U_{\mathrm{Ax}}(A_{\mathrm{eq}})</w:t>
      </w:r>
    </w:p>
    <w:p w:rsidR="00BA5935" w:rsidRDefault="00BA5935" w:rsidP="00152216">
      <w:pPr>
        <w:numPr>
          <w:ilvl w:val="0"/>
          <w:numId w:val="550"/>
        </w:numPr>
        <w:spacing w:before="100" w:beforeAutospacing="1" w:after="100" w:afterAutospacing="1"/>
      </w:pPr>
    </w:p>
    <w:p w:rsidR="00BA5935" w:rsidRDefault="00BA5935" w:rsidP="00BA5935">
      <w:pPr>
        <w:pStyle w:val="StandardWeb"/>
      </w:pPr>
      <w:r>
        <w:lastRenderedPageBreak/>
        <w:t>}</w:t>
      </w:r>
      <w:r>
        <w:br/>
        <w:t>\tag{3.12267}</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\boxed{U_{\mathrm{Ax}}(A_{\mathrm{inv}})=U_{\mathrm{Ax}}(A_G)=U_{\mathrm{Ax}}(A_{\cong})=U_{\mathrm{Ax}}(A_{\mathrm{cov}})=U_{\mathrm{Ax}}(A_{\mathrm{eq}})=0.}</w:t>
      </w:r>
    </w:p>
    <w:p w:rsidR="00BA5935" w:rsidRDefault="00BA5935" w:rsidP="00BA5935">
      <w:pPr>
        <w:pStyle w:val="StandardWeb"/>
      </w:pPr>
      <w:r>
        <w:t xml:space="preserve">Damit ist auch nach der Erweiterung um Isomorphie, Automorphismen, Kovarianz und Äquivarianz bislang </w:t>
      </w:r>
      <w:r>
        <w:rPr>
          <w:rStyle w:val="Fett"/>
        </w:rPr>
        <w:t>kein neues Primäraxiom</w:t>
      </w:r>
      <w:r>
        <w:t xml:space="preserve"> erforderlich.</w:t>
      </w:r>
    </w:p>
    <w:p w:rsidR="00BA5935" w:rsidRDefault="00E50336" w:rsidP="00BA5935">
      <w:r>
        <w:pict>
          <v:rect id="_x0000_i4371" style="width:0;height:1.5pt" o:hralign="center" o:hrstd="t" o:hr="t" fillcolor="#a0a0a0" stroked="f"/>
        </w:pict>
      </w:r>
    </w:p>
    <w:p w:rsidR="00BA5935" w:rsidRDefault="00BA5935" w:rsidP="00BA5935">
      <w:pPr>
        <w:pStyle w:val="berschrift1"/>
      </w:pPr>
      <w:r>
        <w:t>3.3.48.200 Noch kein Gesamtabschluss von Abschnitt 3.3.48</w:t>
      </w:r>
    </w:p>
    <w:p w:rsidR="00BA5935" w:rsidRDefault="00BA5935" w:rsidP="00BA5935">
      <w:pPr>
        <w:pStyle w:val="StandardWeb"/>
      </w:pPr>
      <w:r>
        <w:t xml:space="preserve">Abschnitt </w:t>
      </w:r>
      <w:r>
        <w:rPr>
          <w:rStyle w:val="Fett"/>
        </w:rPr>
        <w:t>3.3.48 bleibt weiterhin offen</w:t>
      </w:r>
      <w:r>
        <w:t>.</w:t>
      </w:r>
    </w:p>
    <w:p w:rsidR="00BA5935" w:rsidRDefault="00BA5935" w:rsidP="00BA5935">
      <w:pPr>
        <w:pStyle w:val="StandardWeb"/>
      </w:pPr>
      <w:r>
        <w:t>Vor dem endgültigen Abschluss muss ich noch insbesondere untersuchen:</w:t>
      </w:r>
    </w:p>
    <w:p w:rsidR="00BA5935" w:rsidRDefault="00BA5935" w:rsidP="00BA5935">
      <w:pPr>
        <w:pStyle w:val="StandardWeb"/>
      </w:pPr>
      <w:r>
        <w:t>[</w:t>
      </w:r>
      <w:r>
        <w:br/>
        <w:t>\text{Symmetrieerhalt unter Komposition von Operatoren},</w:t>
      </w:r>
      <w:r>
        <w:br/>
        <w:t>\qquad</w:t>
      </w:r>
      <w:r>
        <w:br/>
        <w:t>\text{Symmetrie und Rekonstruktion},</w:t>
      </w:r>
      <w:r>
        <w:br/>
        <w:t>\qquad</w:t>
      </w:r>
      <w:r>
        <w:br/>
        <w:t>\text{Symmetrie und Beobachtbarkeit},</w:t>
      </w:r>
      <w:r>
        <w:br/>
        <w:t>\tag{3.12268}</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t>\text{Symmetrieerhalt unter Komposition von Operatoren},\qquad\text{Symmetrie und Rekonstruktion},\qquad\text{Symmetrie und Beobachtbarkeit}</w:t>
      </w:r>
    </w:p>
    <w:p w:rsidR="00BA5935" w:rsidRDefault="00BA5935" w:rsidP="00BA5935">
      <w:pPr>
        <w:pStyle w:val="StandardWeb"/>
      </w:pPr>
      <w:r>
        <w:t>sowie</w:t>
      </w:r>
    </w:p>
    <w:p w:rsidR="00BA5935" w:rsidRDefault="00BA5935" w:rsidP="00BA5935">
      <w:pPr>
        <w:pStyle w:val="StandardWeb"/>
      </w:pPr>
      <w:r>
        <w:t>[</w:t>
      </w:r>
      <w:r>
        <w:br/>
        <w:t>\text{vollständige Statusmatrix},</w:t>
      </w:r>
      <w:r>
        <w:br/>
        <w:t>\qquad</w:t>
      </w:r>
      <w:r>
        <w:br/>
        <w:t>\text{endgültige Primäraxiomentscheidung},</w:t>
      </w:r>
      <w:r>
        <w:br/>
        <w:t>\qquad</w:t>
      </w:r>
      <w:r>
        <w:br/>
        <w:t>\text{methodologische Betrachtungen},</w:t>
      </w:r>
      <w:r>
        <w:br/>
        <w:t>\qquad</w:t>
      </w:r>
      <w:r>
        <w:br/>
        <w:t>\text{didaktische Betrachtungen}.</w:t>
      </w:r>
      <w:r>
        <w:br/>
        <w:t>\tag{3.12269}</w:t>
      </w:r>
      <w:r>
        <w:br/>
        <w:t>]</w:t>
      </w:r>
    </w:p>
    <w:p w:rsidR="00BA5935" w:rsidRDefault="00BA5935" w:rsidP="00BA5935">
      <w:pPr>
        <w:pStyle w:val="StandardWeb"/>
      </w:pPr>
      <w:r>
        <w:rPr>
          <w:rStyle w:val="Fett"/>
        </w:rPr>
        <w:t>Word-LaTeX</w:t>
      </w:r>
    </w:p>
    <w:p w:rsidR="00BA5935" w:rsidRDefault="00BA5935" w:rsidP="00BA5935">
      <w:pPr>
        <w:pStyle w:val="HTMLVorformatiert"/>
        <w:rPr>
          <w:rStyle w:val="HTMLCode"/>
        </w:rPr>
      </w:pPr>
      <w:r>
        <w:rPr>
          <w:rStyle w:val="HTMLCode"/>
        </w:rPr>
        <w:lastRenderedPageBreak/>
        <w:t>\text{vollständige Statusmatrix},\qquad\text{endgültige Primäraxiomentscheidung},\qquad\text{methodologische Betrachtungen},\qquad\text{didaktische Betrachtungen}</w:t>
      </w:r>
    </w:p>
    <w:p w:rsidR="00BA5935" w:rsidRDefault="00BA5935" w:rsidP="00BA5935">
      <w:pPr>
        <w:pStyle w:val="StandardWeb"/>
      </w:pPr>
      <w:r>
        <w:t xml:space="preserve">Der nächste Teil beginnt daher bei </w:t>
      </w:r>
      <w:r>
        <w:rPr>
          <w:rStyle w:val="Fett"/>
        </w:rPr>
        <w:t>3.3.48.201 / Gleichung (3.12270)</w:t>
      </w:r>
      <w:r>
        <w:t xml:space="preserve"> mit der Untersuchung der </w:t>
      </w:r>
      <w:r>
        <w:rPr>
          <w:rStyle w:val="Fett"/>
        </w:rPr>
        <w:t>Kompatibilität von Symmetrien mit funktionalen Operatoren, Rekonstruktionsabbildungen und Beobachtungsstrukturen</w:t>
      </w:r>
      <w:r>
        <w:t>.</w:t>
      </w:r>
    </w:p>
    <w:p w:rsidR="005002EF" w:rsidRDefault="005002EF" w:rsidP="005002EF">
      <w:pPr>
        <w:pStyle w:val="berschrift1"/>
        <w:rPr>
          <w:rFonts w:cs="Times New Roman"/>
          <w:sz w:val="48"/>
          <w:szCs w:val="48"/>
        </w:rPr>
      </w:pPr>
      <w:r>
        <w:t>3.3.48.201 Symmetrieerhalt unter Komposition funktionaler Operatoren</w:t>
      </w:r>
    </w:p>
    <w:p w:rsidR="005002EF" w:rsidRDefault="005002EF" w:rsidP="005002EF">
      <w:pPr>
        <w:pStyle w:val="StandardWeb"/>
      </w:pPr>
      <w:r>
        <w:t xml:space="preserve">Nachdem ich Isomorphismen, Automorphismen, Kovarianz und Äquivarianz getrennt eingeführt habe, untersuche ich nun, wie sich Symmetrieeigenschaften unter der </w:t>
      </w:r>
      <w:r>
        <w:rPr>
          <w:rStyle w:val="Fett"/>
        </w:rPr>
        <w:t>Verkettung funktionaler Operatoren</w:t>
      </w:r>
      <w:r>
        <w:t xml:space="preserve"> verhalten.</w:t>
      </w:r>
    </w:p>
    <w:p w:rsidR="005002EF" w:rsidRDefault="005002EF" w:rsidP="005002EF">
      <w:pPr>
        <w:pStyle w:val="StandardWeb"/>
      </w:pPr>
      <w:r>
        <w:t>Seien</w:t>
      </w:r>
    </w:p>
    <w:p w:rsidR="005002EF" w:rsidRDefault="005002EF" w:rsidP="005002EF">
      <w:pPr>
        <w:pStyle w:val="StandardWeb"/>
      </w:pPr>
      <w:r>
        <w:t>[</w:t>
      </w:r>
      <w:r>
        <w:br/>
        <w:t>\mathcal O_1:</w:t>
      </w:r>
      <w:r>
        <w:br/>
        <w:t>\mathcal X_F</w:t>
      </w:r>
      <w:r>
        <w:br/>
        <w:t>\rightarrow</w:t>
      </w:r>
      <w:r>
        <w:br/>
        <w:t>\mathcal Y_F</w:t>
      </w:r>
      <w:r>
        <w:br/>
        <w:t>\qquad\text{und}\qquad</w:t>
      </w:r>
      <w:r>
        <w:br/>
        <w:t>\mathcal O_2:</w:t>
      </w:r>
      <w:r>
        <w:br/>
        <w:t>\mathcal Y_F</w:t>
      </w:r>
      <w:r>
        <w:br/>
        <w:t>\rightarrow</w:t>
      </w:r>
      <w:r>
        <w:br/>
        <w:t>\mathcal Z_F</w:t>
      </w:r>
      <w:r>
        <w:br/>
        <w:t>\tag{3.12270}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O_1:\mathcal X_F\rightarrow\mathcal Y_F\qquad\text{und}\qquad\mathcal O_2:\mathcal Y_F\rightarrow\mathcal Z_F</w:t>
      </w:r>
    </w:p>
    <w:p w:rsidR="005002EF" w:rsidRDefault="005002EF" w:rsidP="005002EF">
      <w:pPr>
        <w:pStyle w:val="StandardWeb"/>
      </w:pPr>
      <w:r>
        <w:t>zwei funktionale Operatoren.</w:t>
      </w:r>
    </w:p>
    <w:p w:rsidR="005002EF" w:rsidRDefault="005002EF" w:rsidP="005002EF">
      <w:pPr>
        <w:pStyle w:val="StandardWeb"/>
      </w:pPr>
      <w:r>
        <w:t>Ihre Komposition ist</w:t>
      </w:r>
    </w:p>
    <w:p w:rsidR="005002EF" w:rsidRDefault="005002EF" w:rsidP="005002EF">
      <w:pPr>
        <w:pStyle w:val="berschrift1"/>
      </w:pPr>
      <w:r>
        <w:t>[</w:t>
      </w:r>
      <w:r>
        <w:br/>
        <w:t>\mathcal O_{21}</w:t>
      </w:r>
    </w:p>
    <w:p w:rsidR="005002EF" w:rsidRDefault="005002EF" w:rsidP="005002EF">
      <w:pPr>
        <w:pStyle w:val="StandardWeb"/>
      </w:pPr>
      <w:r>
        <w:t>\mathcal O_2</w:t>
      </w:r>
      <w:r>
        <w:br/>
        <w:t>\circ</w:t>
      </w:r>
      <w:r>
        <w:br/>
        <w:t>\mathcal O_1.</w:t>
      </w:r>
      <w:r>
        <w:br/>
        <w:t>\tag{3.12271}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lastRenderedPageBreak/>
        <w:t>\mathcal O_{21}=\mathcal O_2\circ\mathcal O_1</w:t>
      </w:r>
    </w:p>
    <w:p w:rsidR="005002EF" w:rsidRDefault="00E50336" w:rsidP="005002EF">
      <w:r>
        <w:pict>
          <v:rect id="_x0000_i4372" style="width:0;height:1.5pt" o:hralign="center" o:hrstd="t" o:hr="t" fillcolor="#a0a0a0" stroked="f"/>
        </w:pict>
      </w:r>
    </w:p>
    <w:p w:rsidR="005002EF" w:rsidRDefault="005002EF" w:rsidP="005002EF">
      <w:pPr>
        <w:pStyle w:val="berschrift1"/>
      </w:pPr>
      <w:r>
        <w:t>3.3.48.202 Gruppenwirkungen auf den drei Räumen</w:t>
      </w:r>
    </w:p>
    <w:p w:rsidR="005002EF" w:rsidRDefault="005002EF" w:rsidP="005002EF">
      <w:pPr>
        <w:pStyle w:val="StandardWeb"/>
      </w:pPr>
      <w:r>
        <w:t>Sei (G) eine Transformationsgruppe mit Wirkungen</w:t>
      </w:r>
    </w:p>
    <w:p w:rsidR="005002EF" w:rsidRDefault="005002EF" w:rsidP="005002EF">
      <w:pPr>
        <w:pStyle w:val="StandardWeb"/>
      </w:pPr>
      <w:r>
        <w:t>[</w:t>
      </w:r>
      <w:r>
        <w:br/>
        <w:t>\rho_X:</w:t>
      </w:r>
      <w:r>
        <w:br/>
        <w:t>G</w:t>
      </w:r>
      <w:r>
        <w:br/>
        <w:t>\rightarrow</w:t>
      </w:r>
      <w:r>
        <w:br/>
        <w:t>\operatorname{Aut}(\mathcal X_F),</w:t>
      </w:r>
      <w:r>
        <w:br/>
        <w:t>\tag{3.12272}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\rho_X:G\rightarrow\operatorname{Aut}(\mathcal X_F)</w:t>
      </w:r>
    </w:p>
    <w:p w:rsidR="005002EF" w:rsidRDefault="005002EF" w:rsidP="005002EF">
      <w:pPr>
        <w:pStyle w:val="StandardWeb"/>
      </w:pPr>
      <w:r>
        <w:t>[</w:t>
      </w:r>
      <w:r>
        <w:br/>
        <w:t>\rho_Y:</w:t>
      </w:r>
      <w:r>
        <w:br/>
        <w:t>G</w:t>
      </w:r>
      <w:r>
        <w:br/>
        <w:t>\rightarrow</w:t>
      </w:r>
      <w:r>
        <w:br/>
        <w:t>\operatorname{Aut}(\mathcal Y_F),</w:t>
      </w:r>
      <w:r>
        <w:br/>
        <w:t>\tag{3.12273}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\rho_Y:G\rightarrow\operatorname{Aut}(\mathcal Y_F)</w:t>
      </w:r>
    </w:p>
    <w:p w:rsidR="005002EF" w:rsidRDefault="005002EF" w:rsidP="005002EF">
      <w:pPr>
        <w:pStyle w:val="StandardWeb"/>
      </w:pPr>
      <w:r>
        <w:t>und</w:t>
      </w:r>
    </w:p>
    <w:p w:rsidR="005002EF" w:rsidRDefault="005002EF" w:rsidP="005002EF">
      <w:pPr>
        <w:pStyle w:val="StandardWeb"/>
      </w:pPr>
      <w:r>
        <w:t>[</w:t>
      </w:r>
      <w:r>
        <w:br/>
        <w:t>\rho_Z:</w:t>
      </w:r>
      <w:r>
        <w:br/>
        <w:t>G</w:t>
      </w:r>
      <w:r>
        <w:br/>
        <w:t>\rightarrow</w:t>
      </w:r>
      <w:r>
        <w:br/>
        <w:t>\operatorname{Aut}(\mathcal Z_F).</w:t>
      </w:r>
      <w:r>
        <w:br/>
        <w:t>\tag{3.12274}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\rho_Z:G\rightarrow\operatorname{Aut}(\mathcal Z_F)</w:t>
      </w:r>
    </w:p>
    <w:p w:rsidR="005002EF" w:rsidRDefault="00E50336" w:rsidP="005002EF">
      <w:r>
        <w:pict>
          <v:rect id="_x0000_i4373" style="width:0;height:1.5pt" o:hralign="center" o:hrstd="t" o:hr="t" fillcolor="#a0a0a0" stroked="f"/>
        </w:pict>
      </w:r>
    </w:p>
    <w:p w:rsidR="005002EF" w:rsidRDefault="005002EF" w:rsidP="005002EF">
      <w:pPr>
        <w:pStyle w:val="berschrift1"/>
      </w:pPr>
      <w:r>
        <w:t>3.3.48.203 Äquivarianz des ersten Operators</w:t>
      </w:r>
    </w:p>
    <w:p w:rsidR="005002EF" w:rsidRDefault="005002EF" w:rsidP="005002EF">
      <w:pPr>
        <w:pStyle w:val="StandardWeb"/>
      </w:pPr>
      <w:r>
        <w:t>Für (\mathcal O_1) gelte</w:t>
      </w:r>
    </w:p>
    <w:p w:rsidR="005002EF" w:rsidRDefault="005002EF" w:rsidP="005002EF">
      <w:pPr>
        <w:pStyle w:val="berschrift1"/>
      </w:pPr>
      <w:r>
        <w:lastRenderedPageBreak/>
        <w:t>[</w:t>
      </w:r>
      <w:r>
        <w:br/>
        <w:t>\mathcal O_1</w:t>
      </w:r>
      <w:r>
        <w:br/>
        <w:t>\circ</w:t>
      </w:r>
      <w:r>
        <w:br/>
        <w:t>\rho_X(g)</w:t>
      </w:r>
    </w:p>
    <w:p w:rsidR="005002EF" w:rsidRDefault="005002EF" w:rsidP="005002EF">
      <w:pPr>
        <w:pStyle w:val="StandardWeb"/>
      </w:pPr>
      <w:r>
        <w:t>\rho_Y(g)</w:t>
      </w:r>
      <w:r>
        <w:br/>
        <w:t>\circ</w:t>
      </w:r>
      <w:r>
        <w:br/>
        <w:t>\mathcal O_1.</w:t>
      </w:r>
      <w:r>
        <w:br/>
        <w:t>\tag{3.12275}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O_1\circ\rho_X(g)=\rho_Y(g)\circ\mathcal O_1</w:t>
      </w:r>
    </w:p>
    <w:p w:rsidR="005002EF" w:rsidRDefault="00E50336" w:rsidP="005002EF">
      <w:r>
        <w:pict>
          <v:rect id="_x0000_i4374" style="width:0;height:1.5pt" o:hralign="center" o:hrstd="t" o:hr="t" fillcolor="#a0a0a0" stroked="f"/>
        </w:pict>
      </w:r>
    </w:p>
    <w:p w:rsidR="005002EF" w:rsidRDefault="005002EF" w:rsidP="005002EF">
      <w:pPr>
        <w:pStyle w:val="berschrift1"/>
      </w:pPr>
      <w:r>
        <w:t>3.3.48.204 Äquivarianz des zweiten Operators</w:t>
      </w:r>
    </w:p>
    <w:p w:rsidR="005002EF" w:rsidRDefault="005002EF" w:rsidP="005002EF">
      <w:pPr>
        <w:pStyle w:val="StandardWeb"/>
      </w:pPr>
      <w:r>
        <w:t>Für (\mathcal O_2) gelte entsprechend</w:t>
      </w:r>
    </w:p>
    <w:p w:rsidR="005002EF" w:rsidRDefault="005002EF" w:rsidP="005002EF">
      <w:pPr>
        <w:pStyle w:val="berschrift1"/>
      </w:pPr>
      <w:r>
        <w:t>[</w:t>
      </w:r>
      <w:r>
        <w:br/>
        <w:t>\mathcal O_2</w:t>
      </w:r>
      <w:r>
        <w:br/>
        <w:t>\circ</w:t>
      </w:r>
      <w:r>
        <w:br/>
        <w:t>\rho_Y(g)</w:t>
      </w:r>
    </w:p>
    <w:p w:rsidR="005002EF" w:rsidRDefault="005002EF" w:rsidP="005002EF">
      <w:pPr>
        <w:pStyle w:val="StandardWeb"/>
      </w:pPr>
      <w:r>
        <w:t>\rho_Z(g)</w:t>
      </w:r>
      <w:r>
        <w:br/>
        <w:t>\circ</w:t>
      </w:r>
      <w:r>
        <w:br/>
        <w:t>\mathcal O_2.</w:t>
      </w:r>
      <w:r>
        <w:br/>
        <w:t>\tag{3.12276}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O_2\circ\rho_Y(g)=\rho_Z(g)\circ\mathcal O_2</w:t>
      </w:r>
    </w:p>
    <w:p w:rsidR="005002EF" w:rsidRDefault="00E50336" w:rsidP="005002EF">
      <w:r>
        <w:pict>
          <v:rect id="_x0000_i4375" style="width:0;height:1.5pt" o:hralign="center" o:hrstd="t" o:hr="t" fillcolor="#a0a0a0" stroked="f"/>
        </w:pict>
      </w:r>
    </w:p>
    <w:p w:rsidR="005002EF" w:rsidRDefault="005002EF" w:rsidP="005002EF">
      <w:pPr>
        <w:pStyle w:val="berschrift1"/>
      </w:pPr>
      <w:r>
        <w:t>3.3.48.205 Komposition der Äquivarianzrelationen</w:t>
      </w:r>
    </w:p>
    <w:p w:rsidR="005002EF" w:rsidRDefault="005002EF" w:rsidP="005002EF">
      <w:pPr>
        <w:pStyle w:val="StandardWeb"/>
      </w:pPr>
      <w:r>
        <w:t>Dann folgt</w:t>
      </w:r>
    </w:p>
    <w:p w:rsidR="005002EF" w:rsidRDefault="005002EF" w:rsidP="005002EF">
      <w:pPr>
        <w:pStyle w:val="berschrift1"/>
      </w:pPr>
      <w:r>
        <w:t>[</w:t>
      </w:r>
      <w:r>
        <w:br/>
        <w:t>\mathcal O_2</w:t>
      </w:r>
      <w:r>
        <w:br/>
      </w:r>
      <w:r>
        <w:lastRenderedPageBreak/>
        <w:t>\circ</w:t>
      </w:r>
      <w:r>
        <w:br/>
        <w:t>\mathcal O_1</w:t>
      </w:r>
      <w:r>
        <w:br/>
        <w:t>\circ</w:t>
      </w:r>
      <w:r>
        <w:br/>
        <w:t>\rho_X(g)</w:t>
      </w:r>
    </w:p>
    <w:p w:rsidR="005002EF" w:rsidRDefault="005002EF" w:rsidP="005002EF">
      <w:pPr>
        <w:pStyle w:val="StandardWeb"/>
      </w:pPr>
      <w:r>
        <w:t>\mathcal O_2</w:t>
      </w:r>
      <w:r>
        <w:br/>
        <w:t>\circ</w:t>
      </w:r>
      <w:r>
        <w:br/>
        <w:t>\rho_Y(g)</w:t>
      </w:r>
      <w:r>
        <w:br/>
        <w:t>\circ</w:t>
      </w:r>
      <w:r>
        <w:br/>
        <w:t>\mathcal O_1.</w:t>
      </w:r>
      <w:r>
        <w:br/>
        <w:t>\tag{3.12277}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O_2\circ\mathcal O_1\circ\rho_X(g)=\mathcal O_2\circ\rho_Y(g)\circ\mathcal O_1</w:t>
      </w:r>
    </w:p>
    <w:p w:rsidR="005002EF" w:rsidRDefault="005002EF" w:rsidP="005002EF">
      <w:pPr>
        <w:pStyle w:val="StandardWeb"/>
      </w:pPr>
      <w:r>
        <w:t>Mit der Äquivarianz von (\mathcal O_2) folgt</w:t>
      </w:r>
    </w:p>
    <w:p w:rsidR="005002EF" w:rsidRDefault="005002EF" w:rsidP="005002EF">
      <w:pPr>
        <w:pStyle w:val="berschrift1"/>
      </w:pPr>
      <w:r>
        <w:t>[</w:t>
      </w:r>
      <w:r>
        <w:br/>
        <w:t>\mathcal O_2</w:t>
      </w:r>
      <w:r>
        <w:br/>
        <w:t>\circ</w:t>
      </w:r>
      <w:r>
        <w:br/>
        <w:t>\mathcal O_1</w:t>
      </w:r>
      <w:r>
        <w:br/>
        <w:t>\circ</w:t>
      </w:r>
      <w:r>
        <w:br/>
        <w:t>\rho_X(g)</w:t>
      </w:r>
    </w:p>
    <w:p w:rsidR="005002EF" w:rsidRDefault="005002EF" w:rsidP="005002EF">
      <w:pPr>
        <w:pStyle w:val="StandardWeb"/>
      </w:pPr>
      <w:r>
        <w:t>\rho_Z(g)</w:t>
      </w:r>
      <w:r>
        <w:br/>
        <w:t>\circ</w:t>
      </w:r>
      <w:r>
        <w:br/>
        <w:t>\mathcal O_2</w:t>
      </w:r>
      <w:r>
        <w:br/>
        <w:t>\circ</w:t>
      </w:r>
      <w:r>
        <w:br/>
        <w:t>\mathcal O_1.</w:t>
      </w:r>
      <w:r>
        <w:br/>
        <w:t>\tag{3.12278}</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O_2\circ\mathcal O_1\circ\rho_X(g)=\rho_Z(g)\circ\mathcal O_2\circ\mathcal O_1</w:t>
      </w:r>
    </w:p>
    <w:p w:rsidR="005002EF" w:rsidRDefault="00E50336" w:rsidP="005002EF">
      <w:r>
        <w:pict>
          <v:rect id="_x0000_i4376" style="width:0;height:1.5pt" o:hralign="center" o:hrstd="t" o:hr="t" fillcolor="#a0a0a0" stroked="f"/>
        </w:pict>
      </w:r>
    </w:p>
    <w:p w:rsidR="005002EF" w:rsidRDefault="005002EF" w:rsidP="005002EF">
      <w:pPr>
        <w:pStyle w:val="berschrift1"/>
      </w:pPr>
      <w:r>
        <w:t>3.3.48.206 Satz 3.3.142 – Die Komposition äquivarianter Operatoren ist äquivariant</w:t>
      </w:r>
    </w:p>
    <w:p w:rsidR="005002EF" w:rsidRDefault="005002EF" w:rsidP="005002EF">
      <w:pPr>
        <w:pStyle w:val="berschrift3"/>
      </w:pPr>
      <w:r>
        <w:lastRenderedPageBreak/>
        <w:t>Satz 3.3.142</w:t>
      </w:r>
    </w:p>
    <w:p w:rsidR="005002EF" w:rsidRDefault="005002EF" w:rsidP="005002EF">
      <w:pPr>
        <w:pStyle w:val="StandardWeb"/>
      </w:pPr>
      <w:r>
        <w:t>Sind (\mathcal O_1) und (\mathcal O_2) bezüglich kompatibler Gruppenwirkungen äquivariant, dann ist auch ihre Komposition äquivariant:</w:t>
      </w:r>
    </w:p>
    <w:p w:rsidR="005002EF" w:rsidRDefault="005002EF" w:rsidP="005002EF">
      <w:pPr>
        <w:pStyle w:val="berschrift1"/>
      </w:pPr>
      <w:r>
        <w:t>[</w:t>
      </w:r>
      <w:r>
        <w:br/>
        <w:t>\boxed{</w:t>
      </w:r>
      <w:r>
        <w:br/>
        <w:t>(\mathcal O_2\circ\mathcal O_1)</w:t>
      </w:r>
      <w:r>
        <w:br/>
        <w:t>\circ</w:t>
      </w:r>
      <w:r>
        <w:br/>
        <w:t>\rho_X(g)</w:t>
      </w:r>
    </w:p>
    <w:p w:rsidR="005002EF" w:rsidRDefault="005002EF" w:rsidP="005002EF">
      <w:pPr>
        <w:pStyle w:val="StandardWeb"/>
      </w:pPr>
      <w:r>
        <w:t>\rho_Z(g)</w:t>
      </w:r>
      <w:r>
        <w:br/>
        <w:t>\circ</w:t>
      </w:r>
      <w:r>
        <w:br/>
        <w:t>(\mathcal O_2\circ\mathcal O_1)</w:t>
      </w:r>
      <w:r>
        <w:br/>
        <w:t>}</w:t>
      </w:r>
      <w:r>
        <w:br/>
        <w:t>\tag{3.12279}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O_2\circ\mathcal O_1)\circ\rho_X(g)=\rho_Z(g)\circ(\mathcal O_2\circ\mathcal O_1)}</w:t>
      </w:r>
    </w:p>
    <w:p w:rsidR="005002EF" w:rsidRDefault="005002EF" w:rsidP="005002EF">
      <w:pPr>
        <w:pStyle w:val="StandardWeb"/>
      </w:pPr>
      <w:r>
        <w:t>für alle (g\in G).</w:t>
      </w:r>
    </w:p>
    <w:p w:rsidR="005002EF" w:rsidRDefault="005002EF" w:rsidP="005002EF">
      <w:pPr>
        <w:pStyle w:val="berschrift3"/>
      </w:pPr>
      <w:r>
        <w:t>Beweis</w:t>
      </w:r>
    </w:p>
    <w:p w:rsidR="005002EF" w:rsidRDefault="005002EF" w:rsidP="005002EF">
      <w:pPr>
        <w:pStyle w:val="StandardWeb"/>
      </w:pPr>
      <w:r>
        <w:t>Aus Gleichung (3.12275) folgt</w:t>
      </w:r>
    </w:p>
    <w:p w:rsidR="005002EF" w:rsidRDefault="005002EF" w:rsidP="005002EF">
      <w:pPr>
        <w:pStyle w:val="berschrift1"/>
      </w:pPr>
      <w:r>
        <w:t>[</w:t>
      </w:r>
      <w:r>
        <w:br/>
        <w:t>\mathcal O_1\rho_X(g)</w:t>
      </w:r>
    </w:p>
    <w:p w:rsidR="005002EF" w:rsidRDefault="005002EF" w:rsidP="005002EF">
      <w:pPr>
        <w:pStyle w:val="StandardWeb"/>
      </w:pPr>
      <w:r>
        <w:t>\rho_Y(g)\mathcal O_1.</w:t>
      </w:r>
      <w:r>
        <w:br/>
        <w:t>\tag{3.12280}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O_1\rho_X(g)=\rho_Y(g)\mathcal O_1</w:t>
      </w:r>
    </w:p>
    <w:p w:rsidR="005002EF" w:rsidRDefault="005002EF" w:rsidP="005002EF">
      <w:pPr>
        <w:pStyle w:val="StandardWeb"/>
      </w:pPr>
      <w:r>
        <w:t>Daher</w:t>
      </w:r>
    </w:p>
    <w:p w:rsidR="005002EF" w:rsidRDefault="005002EF" w:rsidP="005002EF">
      <w:pPr>
        <w:pStyle w:val="berschrift1"/>
      </w:pPr>
      <w:r>
        <w:t>[</w:t>
      </w:r>
      <w:r>
        <w:br/>
        <w:t>\mathcal O_2\mathcal O_1\rho_X(g)</w:t>
      </w:r>
    </w:p>
    <w:p w:rsidR="005002EF" w:rsidRDefault="005002EF" w:rsidP="005002EF">
      <w:pPr>
        <w:pStyle w:val="StandardWeb"/>
      </w:pPr>
      <w:r>
        <w:lastRenderedPageBreak/>
        <w:t>\mathcal O_2\rho_Y(g)\mathcal O_1.</w:t>
      </w:r>
      <w:r>
        <w:br/>
        <w:t>\tag{3.12281}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O_2\mathcal O_1\rho_X(g)=\mathcal O_2\rho_Y(g)\mathcal O_1</w:t>
      </w:r>
    </w:p>
    <w:p w:rsidR="005002EF" w:rsidRDefault="005002EF" w:rsidP="005002EF">
      <w:pPr>
        <w:pStyle w:val="StandardWeb"/>
      </w:pPr>
      <w:r>
        <w:t>Mit Gleichung (3.12276) folgt</w:t>
      </w:r>
    </w:p>
    <w:p w:rsidR="005002EF" w:rsidRDefault="005002EF" w:rsidP="005002EF">
      <w:pPr>
        <w:pStyle w:val="berschrift1"/>
      </w:pPr>
      <w:r>
        <w:t>[</w:t>
      </w:r>
      <w:r>
        <w:br/>
        <w:t>\mathcal O_2\mathcal O_1\rho_X(g)</w:t>
      </w:r>
    </w:p>
    <w:p w:rsidR="005002EF" w:rsidRDefault="005002EF" w:rsidP="005002EF">
      <w:pPr>
        <w:pStyle w:val="StandardWeb"/>
      </w:pPr>
      <w:r>
        <w:t>\rho_Z(g)\mathcal O_2\mathcal O_1.</w:t>
      </w:r>
      <w:r>
        <w:br/>
        <w:t>\tag{3.12282}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O_2\mathcal O_1\rho_X(g)=\rho_Z(g)\mathcal O_2\mathcal O_1</w:t>
      </w:r>
    </w:p>
    <w:p w:rsidR="005002EF" w:rsidRDefault="005002EF" w:rsidP="005002EF">
      <w:pPr>
        <w:pStyle w:val="StandardWeb"/>
      </w:pPr>
      <w:r>
        <w:t>Damit ist die Komposition äquivariant. (\square)</w:t>
      </w:r>
    </w:p>
    <w:p w:rsidR="005002EF" w:rsidRDefault="00E50336" w:rsidP="005002EF">
      <w:r>
        <w:pict>
          <v:rect id="_x0000_i4377" style="width:0;height:1.5pt" o:hralign="center" o:hrstd="t" o:hr="t" fillcolor="#a0a0a0" stroked="f"/>
        </w:pict>
      </w:r>
    </w:p>
    <w:p w:rsidR="005002EF" w:rsidRDefault="005002EF" w:rsidP="005002EF">
      <w:pPr>
        <w:pStyle w:val="berschrift1"/>
      </w:pPr>
      <w:r>
        <w:t>3.3.48.207 Korollar 3.3.33 – Endliche Ketten äquivarianter Operatoren bleiben äquivariant</w:t>
      </w:r>
    </w:p>
    <w:p w:rsidR="005002EF" w:rsidRDefault="005002EF" w:rsidP="005002EF">
      <w:pPr>
        <w:pStyle w:val="berschrift3"/>
      </w:pPr>
      <w:r>
        <w:t>Korollar 3.3.33</w:t>
      </w:r>
    </w:p>
    <w:p w:rsidR="005002EF" w:rsidRDefault="005002EF" w:rsidP="005002EF">
      <w:pPr>
        <w:pStyle w:val="StandardWeb"/>
      </w:pPr>
      <w:r>
        <w:t>Für eine endliche Kette kompatibel äquivarianter Operatoren</w:t>
      </w:r>
    </w:p>
    <w:p w:rsidR="005002EF" w:rsidRDefault="005002EF" w:rsidP="005002EF">
      <w:pPr>
        <w:pStyle w:val="StandardWeb"/>
      </w:pPr>
      <w:r>
        <w:t>[</w:t>
      </w:r>
      <w:r>
        <w:br/>
        <w:t>\mathcal O_n</w:t>
      </w:r>
      <w:r>
        <w:br/>
        <w:t>\circ</w:t>
      </w:r>
      <w:r>
        <w:br/>
        <w:t>\cdots</w:t>
      </w:r>
      <w:r>
        <w:br/>
        <w:t>\circ</w:t>
      </w:r>
      <w:r>
        <w:br/>
        <w:t>\mathcal O_2</w:t>
      </w:r>
      <w:r>
        <w:br/>
        <w:t>\circ</w:t>
      </w:r>
      <w:r>
        <w:br/>
        <w:t>\mathcal O_1</w:t>
      </w:r>
      <w:r>
        <w:br/>
        <w:t>\tag{3.12283}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O_n\circ\cdots\circ\mathcal O_2\circ\mathcal O_1</w:t>
      </w:r>
    </w:p>
    <w:p w:rsidR="005002EF" w:rsidRDefault="005002EF" w:rsidP="005002EF">
      <w:pPr>
        <w:pStyle w:val="StandardWeb"/>
      </w:pPr>
      <w:r>
        <w:t>bleibt die Äquivarianz erhalten:</w:t>
      </w:r>
    </w:p>
    <w:p w:rsidR="005002EF" w:rsidRDefault="005002EF" w:rsidP="005002EF">
      <w:pPr>
        <w:pStyle w:val="berschrift1"/>
      </w:pPr>
      <w:r>
        <w:lastRenderedPageBreak/>
        <w:t>[</w:t>
      </w:r>
      <w:r>
        <w:br/>
        <w:t>\boxed{</w:t>
      </w:r>
      <w:r>
        <w:br/>
        <w:t>\mathcal O_{n:1}</w:t>
      </w:r>
      <w:r>
        <w:br/>
        <w:t>\circ</w:t>
      </w:r>
      <w:r>
        <w:br/>
        <w:t>\rho_0(g)</w:t>
      </w:r>
    </w:p>
    <w:p w:rsidR="005002EF" w:rsidRDefault="005002EF" w:rsidP="005002EF">
      <w:pPr>
        <w:pStyle w:val="StandardWeb"/>
      </w:pPr>
      <w:r>
        <w:t>\rho_n(g)</w:t>
      </w:r>
      <w:r>
        <w:br/>
        <w:t>\circ</w:t>
      </w:r>
      <w:r>
        <w:br/>
        <w:t>\mathcal O_{n:1}.</w:t>
      </w:r>
      <w:r>
        <w:br/>
        <w:t>}</w:t>
      </w:r>
      <w:r>
        <w:br/>
        <w:t>\tag{3.12284}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O_{n:1}\circ\rho_0(g)=\rho_n(g)\circ\mathcal O_{n:1}.}</w:t>
      </w:r>
    </w:p>
    <w:p w:rsidR="005002EF" w:rsidRDefault="00E50336" w:rsidP="005002EF">
      <w:r>
        <w:pict>
          <v:rect id="_x0000_i4378" style="width:0;height:1.5pt" o:hralign="center" o:hrstd="t" o:hr="t" fillcolor="#a0a0a0" stroked="f"/>
        </w:pict>
      </w:r>
    </w:p>
    <w:p w:rsidR="005002EF" w:rsidRDefault="005002EF" w:rsidP="005002EF">
      <w:pPr>
        <w:pStyle w:val="berschrift1"/>
      </w:pPr>
      <w:r>
        <w:t>3.3.48.208 Definition 3.3.345 – Äquivariante funktionale Operatorkette</w:t>
      </w:r>
    </w:p>
    <w:p w:rsidR="005002EF" w:rsidRDefault="005002EF" w:rsidP="005002EF">
      <w:pPr>
        <w:pStyle w:val="berschrift3"/>
      </w:pPr>
      <w:r>
        <w:t>Definition 3.3.345</w:t>
      </w:r>
    </w:p>
    <w:p w:rsidR="005002EF" w:rsidRDefault="005002EF" w:rsidP="005002EF">
      <w:pPr>
        <w:pStyle w:val="StandardWeb"/>
      </w:pPr>
      <w:r>
        <w:t>Eine Folge</w:t>
      </w:r>
    </w:p>
    <w:p w:rsidR="005002EF" w:rsidRDefault="005002EF" w:rsidP="005002EF">
      <w:pPr>
        <w:pStyle w:val="StandardWeb"/>
      </w:pPr>
      <w:r>
        <w:t>[</w:t>
      </w:r>
      <w:r>
        <w:br/>
        <w:t>\mathcal O_1,</w:t>
      </w:r>
      <w:r>
        <w:br/>
        <w:t>\mathcal O_2,</w:t>
      </w:r>
      <w:r>
        <w:br/>
        <w:t>\ldots,</w:t>
      </w:r>
      <w:r>
        <w:br/>
        <w:t>\mathcal O_n</w:t>
      </w:r>
      <w:r>
        <w:br/>
        <w:t>\tag{3.12285}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O_1,\mathcal O_2,\ldots,\mathcal O_n</w:t>
      </w:r>
    </w:p>
    <w:p w:rsidR="005002EF" w:rsidRDefault="005002EF" w:rsidP="005002EF">
      <w:pPr>
        <w:pStyle w:val="StandardWeb"/>
      </w:pPr>
      <w:r>
        <w:t xml:space="preserve">nenne ich eine </w:t>
      </w:r>
      <w:r>
        <w:rPr>
          <w:rStyle w:val="Fett"/>
        </w:rPr>
        <w:t>äquivariante funktionale Operatorkette</w:t>
      </w:r>
      <w:r>
        <w:t>, wenn für jedes (k)</w:t>
      </w:r>
    </w:p>
    <w:p w:rsidR="005002EF" w:rsidRDefault="005002EF" w:rsidP="005002EF">
      <w:pPr>
        <w:pStyle w:val="berschrift1"/>
      </w:pPr>
      <w:r>
        <w:t>[</w:t>
      </w:r>
      <w:r>
        <w:br/>
        <w:t>\boxed{</w:t>
      </w:r>
      <w:r>
        <w:br/>
        <w:t>\mathcal O_k</w:t>
      </w:r>
      <w:r>
        <w:br/>
      </w:r>
      <w:r>
        <w:lastRenderedPageBreak/>
        <w:t>\circ</w:t>
      </w:r>
      <w:r>
        <w:br/>
        <w:t>\rho_{k-1}(g)</w:t>
      </w:r>
    </w:p>
    <w:p w:rsidR="005002EF" w:rsidRDefault="005002EF" w:rsidP="005002EF">
      <w:pPr>
        <w:pStyle w:val="StandardWeb"/>
      </w:pPr>
      <w:r>
        <w:t>\rho_k(g)</w:t>
      </w:r>
      <w:r>
        <w:br/>
        <w:t>\circ</w:t>
      </w:r>
      <w:r>
        <w:br/>
        <w:t>\mathcal O_k</w:t>
      </w:r>
      <w:r>
        <w:br/>
        <w:t>}</w:t>
      </w:r>
      <w:r>
        <w:br/>
        <w:t>\tag{3.12286}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O_k\circ\rho_{k-1}(g)=\rho_k(g)\circ\mathcal O_k}</w:t>
      </w:r>
    </w:p>
    <w:p w:rsidR="005002EF" w:rsidRDefault="005002EF" w:rsidP="005002EF">
      <w:pPr>
        <w:pStyle w:val="StandardWeb"/>
      </w:pPr>
      <w:r>
        <w:t>für alle (g\in G) gilt.</w:t>
      </w:r>
    </w:p>
    <w:p w:rsidR="005002EF" w:rsidRDefault="00E50336" w:rsidP="005002EF">
      <w:r>
        <w:pict>
          <v:rect id="_x0000_i4379" style="width:0;height:1.5pt" o:hralign="center" o:hrstd="t" o:hr="t" fillcolor="#a0a0a0" stroked="f"/>
        </w:pict>
      </w:r>
    </w:p>
    <w:p w:rsidR="005002EF" w:rsidRDefault="005002EF" w:rsidP="005002EF">
      <w:pPr>
        <w:pStyle w:val="berschrift1"/>
      </w:pPr>
      <w:r>
        <w:t>3.3.48.209 Invarianz am Ende einer äquivarianter Operatorkette</w:t>
      </w:r>
    </w:p>
    <w:p w:rsidR="005002EF" w:rsidRDefault="005002EF" w:rsidP="005002EF">
      <w:pPr>
        <w:pStyle w:val="StandardWeb"/>
      </w:pPr>
      <w:r>
        <w:t>Ist die letzte Gruppenwirkung trivial,</w:t>
      </w:r>
    </w:p>
    <w:p w:rsidR="005002EF" w:rsidRDefault="005002EF" w:rsidP="005002EF">
      <w:pPr>
        <w:pStyle w:val="berschrift1"/>
      </w:pPr>
      <w:r>
        <w:t>[</w:t>
      </w:r>
      <w:r>
        <w:br/>
        <w:t>\rho_n(g)</w:t>
      </w:r>
    </w:p>
    <w:p w:rsidR="005002EF" w:rsidRDefault="005002EF" w:rsidP="005002EF">
      <w:pPr>
        <w:pStyle w:val="StandardWeb"/>
      </w:pPr>
      <w:r>
        <w:t>\operatorname{id},</w:t>
      </w:r>
      <w:r>
        <w:br/>
        <w:t>\tag{3.12287}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\rho_n(g)=\operatorname{id}</w:t>
      </w:r>
    </w:p>
    <w:p w:rsidR="005002EF" w:rsidRDefault="005002EF" w:rsidP="005002EF">
      <w:pPr>
        <w:pStyle w:val="StandardWeb"/>
      </w:pPr>
      <w:r>
        <w:t>dann folgt</w:t>
      </w:r>
    </w:p>
    <w:p w:rsidR="005002EF" w:rsidRDefault="005002EF" w:rsidP="005002EF">
      <w:pPr>
        <w:pStyle w:val="berschrift1"/>
      </w:pPr>
      <w:r>
        <w:t>[</w:t>
      </w:r>
      <w:r>
        <w:br/>
        <w:t>\mathcal O_{n:1}</w:t>
      </w:r>
      <w:r>
        <w:br/>
        <w:t>\circ</w:t>
      </w:r>
      <w:r>
        <w:br/>
        <w:t>\rho_0(g)</w:t>
      </w:r>
    </w:p>
    <w:p w:rsidR="005002EF" w:rsidRDefault="005002EF" w:rsidP="005002EF">
      <w:pPr>
        <w:pStyle w:val="StandardWeb"/>
      </w:pPr>
      <w:r>
        <w:t>\mathcal O_{n:1}.</w:t>
      </w:r>
      <w:r>
        <w:br/>
        <w:t>\tag{3.12288}</w:t>
      </w:r>
      <w:r>
        <w:br/>
        <w:t>]</w:t>
      </w:r>
    </w:p>
    <w:p w:rsidR="005002EF" w:rsidRDefault="005002EF" w:rsidP="005002EF">
      <w:pPr>
        <w:pStyle w:val="StandardWeb"/>
      </w:pPr>
      <w:r>
        <w:rPr>
          <w:rStyle w:val="Fett"/>
        </w:rPr>
        <w:lastRenderedPageBreak/>
        <w:t>Word-LaTeX</w:t>
      </w:r>
    </w:p>
    <w:p w:rsidR="005002EF" w:rsidRDefault="005002EF" w:rsidP="005002EF">
      <w:pPr>
        <w:pStyle w:val="HTMLVorformatiert"/>
        <w:rPr>
          <w:rStyle w:val="HTMLCode"/>
        </w:rPr>
      </w:pPr>
      <w:r>
        <w:rPr>
          <w:rStyle w:val="HTMLCode"/>
        </w:rPr>
        <w:t>\mathcal O_{n:1}\circ\rho_0(g)=\mathcal O_{n:1}</w:t>
      </w:r>
    </w:p>
    <w:p w:rsidR="005002EF" w:rsidRDefault="005002EF" w:rsidP="005002EF">
      <w:pPr>
        <w:pStyle w:val="StandardWeb"/>
      </w:pPr>
      <w:r>
        <w:t>Damit wird die Gesamtabbildung invariant.</w:t>
      </w:r>
    </w:p>
    <w:p w:rsidR="005002EF" w:rsidRDefault="00E50336" w:rsidP="005002EF">
      <w:r>
        <w:pict>
          <v:rect id="_x0000_i4380" style="width:0;height:1.5pt" o:hralign="center" o:hrstd="t" o:hr="t" fillcolor="#a0a0a0" stroked="f"/>
        </w:pict>
      </w:r>
    </w:p>
    <w:p w:rsidR="005002EF" w:rsidRDefault="005002EF" w:rsidP="005002EF">
      <w:pPr>
        <w:pStyle w:val="berschrift1"/>
      </w:pPr>
      <w:r>
        <w:t>3.3.48.210 Satz 3.3.143 – Triviale Zielwirkung macht eine äquivariante Operatorkette invariant</w:t>
      </w:r>
    </w:p>
    <w:p w:rsidR="005002EF" w:rsidRDefault="005002EF" w:rsidP="005002EF">
      <w:pPr>
        <w:pStyle w:val="berschrift3"/>
      </w:pPr>
      <w:r>
        <w:t>Satz 3.3.143</w:t>
      </w:r>
    </w:p>
    <w:p w:rsidR="005002EF" w:rsidRDefault="005002EF" w:rsidP="005002EF">
      <w:pPr>
        <w:pStyle w:val="StandardWeb"/>
      </w:pPr>
      <w:r>
        <w:t>Für eine äquivariante Operatorkette gilt</w:t>
      </w:r>
    </w:p>
    <w:p w:rsidR="005002EF" w:rsidRDefault="005002EF" w:rsidP="005002EF">
      <w:pPr>
        <w:pStyle w:val="berschrift1"/>
      </w:pPr>
      <w:r>
        <w:t>[</w:t>
      </w:r>
      <w:r>
        <w:br/>
        <w:t>\rho_n(g)</w:t>
      </w:r>
    </w:p>
    <w:p w:rsidR="005002EF" w:rsidRDefault="005002EF" w:rsidP="005002EF">
      <w:pPr>
        <w:pStyle w:val="berschrift1"/>
      </w:pPr>
      <w:r>
        <w:t>\operatorname{id}</w:t>
      </w:r>
      <w:r>
        <w:br/>
        <w:t>\Rightarrow</w:t>
      </w:r>
      <w:r>
        <w:br/>
        <w:t>\boxed{</w:t>
      </w:r>
      <w:r>
        <w:br/>
        <w:t>\mathcal O_{n:1}</w:t>
      </w:r>
      <w:r>
        <w:br/>
        <w:t>\circ</w:t>
      </w:r>
      <w:r>
        <w:br/>
        <w:t>\rho_0(g)</w:t>
      </w:r>
    </w:p>
    <w:p w:rsidR="005002EF" w:rsidRDefault="005002EF" w:rsidP="005002EF">
      <w:pPr>
        <w:pStyle w:val="StandardWeb"/>
      </w:pPr>
      <w:r>
        <w:t>\mathcal O_{n:1}.</w:t>
      </w:r>
      <w:r>
        <w:br/>
        <w:t>}</w:t>
      </w:r>
      <w:r>
        <w:br/>
        <w:t>\tag{3.12289}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\rho_n(g)=\operatorname{id}\Rightarrow\boxed{\mathcal O_{n:1}\circ\rho_0(g)=\mathcal O_{n:1}.}</w:t>
      </w:r>
    </w:p>
    <w:p w:rsidR="005002EF" w:rsidRDefault="00E50336" w:rsidP="005002EF">
      <w:r>
        <w:pict>
          <v:rect id="_x0000_i4381" style="width:0;height:1.5pt" o:hralign="center" o:hrstd="t" o:hr="t" fillcolor="#a0a0a0" stroked="f"/>
        </w:pict>
      </w:r>
    </w:p>
    <w:p w:rsidR="005002EF" w:rsidRDefault="005002EF" w:rsidP="005002EF">
      <w:pPr>
        <w:pStyle w:val="berschrift1"/>
      </w:pPr>
      <w:r>
        <w:t>3.3.48.211 Symmetriebruch innerhalb einer Operatorkette</w:t>
      </w:r>
    </w:p>
    <w:p w:rsidR="005002EF" w:rsidRDefault="005002EF" w:rsidP="005002EF">
      <w:pPr>
        <w:pStyle w:val="StandardWeb"/>
      </w:pPr>
      <w:r>
        <w:t>Nicht jede Operatorkette muss die Äquivarianz durchgehend erhalten.</w:t>
      </w:r>
    </w:p>
    <w:p w:rsidR="005002EF" w:rsidRDefault="005002EF" w:rsidP="005002EF">
      <w:pPr>
        <w:pStyle w:val="StandardWeb"/>
      </w:pPr>
      <w:r>
        <w:t>Sei für einen Index (k)</w:t>
      </w:r>
    </w:p>
    <w:p w:rsidR="005002EF" w:rsidRDefault="005002EF" w:rsidP="005002EF">
      <w:pPr>
        <w:pStyle w:val="StandardWeb"/>
      </w:pPr>
      <w:r>
        <w:lastRenderedPageBreak/>
        <w:t>[</w:t>
      </w:r>
      <w:r>
        <w:br/>
        <w:t>\mathcal O_k</w:t>
      </w:r>
      <w:r>
        <w:br/>
        <w:t>\circ</w:t>
      </w:r>
      <w:r>
        <w:br/>
        <w:t>\rho_{k-1}(g)</w:t>
      </w:r>
      <w:r>
        <w:br/>
        <w:t>\neq</w:t>
      </w:r>
      <w:r>
        <w:br/>
        <w:t>\rho_k(g)</w:t>
      </w:r>
      <w:r>
        <w:br/>
        <w:t>\circ</w:t>
      </w:r>
      <w:r>
        <w:br/>
        <w:t>\mathcal O_k.</w:t>
      </w:r>
      <w:r>
        <w:br/>
        <w:t>\tag{3.12290}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O_k\circ\rho_{k-1}(g)\neq\rho_k(g)\circ\mathcal O_k</w:t>
      </w:r>
    </w:p>
    <w:p w:rsidR="005002EF" w:rsidRDefault="005002EF" w:rsidP="005002EF">
      <w:pPr>
        <w:pStyle w:val="StandardWeb"/>
      </w:pPr>
      <w:r>
        <w:t>Dann wird die äquivariante Struktur an dieser Stelle unterbrochen.</w:t>
      </w:r>
    </w:p>
    <w:p w:rsidR="005002EF" w:rsidRDefault="00E50336" w:rsidP="005002EF">
      <w:r>
        <w:pict>
          <v:rect id="_x0000_i4382" style="width:0;height:1.5pt" o:hralign="center" o:hrstd="t" o:hr="t" fillcolor="#a0a0a0" stroked="f"/>
        </w:pict>
      </w:r>
    </w:p>
    <w:p w:rsidR="005002EF" w:rsidRDefault="005002EF" w:rsidP="005002EF">
      <w:pPr>
        <w:pStyle w:val="berschrift1"/>
      </w:pPr>
      <w:r>
        <w:t>3.3.48.212 Definition 3.3.346 – Funktionaler Äquivarianzbruch eines Operators</w:t>
      </w:r>
    </w:p>
    <w:p w:rsidR="005002EF" w:rsidRDefault="005002EF" w:rsidP="005002EF">
      <w:pPr>
        <w:pStyle w:val="berschrift3"/>
      </w:pPr>
      <w:r>
        <w:t>Definition 3.3.346</w:t>
      </w:r>
    </w:p>
    <w:p w:rsidR="005002EF" w:rsidRDefault="005002EF" w:rsidP="005002EF">
      <w:pPr>
        <w:pStyle w:val="StandardWeb"/>
      </w:pPr>
      <w:r>
        <w:t xml:space="preserve">Ein Operator (\mathcal O_k) besitzt bezüglich (g) einen </w:t>
      </w:r>
      <w:r>
        <w:rPr>
          <w:rStyle w:val="Fett"/>
        </w:rPr>
        <w:t>funktionalen Äquivarianzbruch</w:t>
      </w:r>
      <w:r>
        <w:t>, wenn</w:t>
      </w:r>
    </w:p>
    <w:p w:rsidR="005002EF" w:rsidRDefault="005002EF" w:rsidP="005002EF">
      <w:pPr>
        <w:pStyle w:val="StandardWeb"/>
      </w:pPr>
      <w:r>
        <w:t>[</w:t>
      </w:r>
      <w:r>
        <w:br/>
        <w:t>\boxed{</w:t>
      </w:r>
      <w:r>
        <w:br/>
        <w:t>\mathcal O_k</w:t>
      </w:r>
      <w:r>
        <w:br/>
        <w:t>\circ</w:t>
      </w:r>
      <w:r>
        <w:br/>
        <w:t>\rho_{k-1}(g)</w:t>
      </w:r>
      <w:r>
        <w:br/>
        <w:t>\neq</w:t>
      </w:r>
      <w:r>
        <w:br/>
        <w:t>\rho_k(g)</w:t>
      </w:r>
      <w:r>
        <w:br/>
        <w:t>\circ</w:t>
      </w:r>
      <w:r>
        <w:br/>
        <w:t>\mathcal O_k.</w:t>
      </w:r>
      <w:r>
        <w:br/>
        <w:t>}</w:t>
      </w:r>
      <w:r>
        <w:br/>
        <w:t>\tag{3.12291}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O_k\circ\rho_{k-1}(g)\neq\rho_k(g)\circ\mathcal O_k.}</w:t>
      </w:r>
    </w:p>
    <w:p w:rsidR="005002EF" w:rsidRDefault="00E50336" w:rsidP="005002EF">
      <w:r>
        <w:pict>
          <v:rect id="_x0000_i4383" style="width:0;height:1.5pt" o:hralign="center" o:hrstd="t" o:hr="t" fillcolor="#a0a0a0" stroked="f"/>
        </w:pict>
      </w:r>
    </w:p>
    <w:p w:rsidR="005002EF" w:rsidRDefault="005002EF" w:rsidP="005002EF">
      <w:pPr>
        <w:pStyle w:val="berschrift1"/>
      </w:pPr>
      <w:r>
        <w:t>3.3.48.213 Äquivarianzresiduum eines Operators</w:t>
      </w:r>
    </w:p>
    <w:p w:rsidR="005002EF" w:rsidRDefault="005002EF" w:rsidP="005002EF">
      <w:pPr>
        <w:pStyle w:val="StandardWeb"/>
      </w:pPr>
      <w:r>
        <w:t>Für die quantitative Beschreibung definiere ich</w:t>
      </w:r>
    </w:p>
    <w:p w:rsidR="005002EF" w:rsidRDefault="005002EF" w:rsidP="005002EF">
      <w:pPr>
        <w:pStyle w:val="berschrift2"/>
      </w:pPr>
      <w:r>
        <w:lastRenderedPageBreak/>
        <w:t>[</w:t>
      </w:r>
      <w:r>
        <w:br/>
        <w:t>R_{\mathrm{op}}^{\mathrm{eq}}</w:t>
      </w:r>
      <w:r>
        <w:br/>
        <w:t>(g,x)</w:t>
      </w:r>
      <w:r>
        <w:br/>
        <w:t>:=</w:t>
      </w:r>
      <w:r>
        <w:br/>
        <w:t>\mathcal O_F</w:t>
      </w:r>
      <w:r>
        <w:br/>
        <w:t>(\rho_X(g)x)</w:t>
      </w:r>
    </w:p>
    <w:p w:rsidR="005002EF" w:rsidRDefault="005002EF" w:rsidP="005002EF">
      <w:pPr>
        <w:pStyle w:val="StandardWeb"/>
      </w:pPr>
      <w:r>
        <w:t>\rho_Y(g)</w:t>
      </w:r>
      <w:r>
        <w:br/>
        <w:t>\mathcal O_F(x).</w:t>
      </w:r>
      <w:r>
        <w:br/>
        <w:t>\tag{3.12292}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R_{\mathrm{op}}^{\mathrm{eq}}(g,x):=\mathcal O_F(\rho_X(g)x)-\rho_Y(g)\mathcal O_F(x)</w:t>
      </w:r>
    </w:p>
    <w:p w:rsidR="005002EF" w:rsidRDefault="00E50336" w:rsidP="005002EF">
      <w:r>
        <w:pict>
          <v:rect id="_x0000_i4384" style="width:0;height:1.5pt" o:hralign="center" o:hrstd="t" o:hr="t" fillcolor="#a0a0a0" stroked="f"/>
        </w:pict>
      </w:r>
    </w:p>
    <w:p w:rsidR="005002EF" w:rsidRDefault="005002EF" w:rsidP="005002EF">
      <w:pPr>
        <w:pStyle w:val="berschrift1"/>
      </w:pPr>
      <w:r>
        <w:t>3.3.48.214 Definition 3.3.347 – Funktionales Operator-Äquivarianzresiduum</w:t>
      </w:r>
    </w:p>
    <w:p w:rsidR="005002EF" w:rsidRDefault="005002EF" w:rsidP="005002EF">
      <w:pPr>
        <w:pStyle w:val="berschrift3"/>
      </w:pPr>
      <w:r>
        <w:t>Definition 3.3.347</w:t>
      </w:r>
    </w:p>
    <w:p w:rsidR="005002EF" w:rsidRDefault="005002EF" w:rsidP="005002EF">
      <w:pPr>
        <w:pStyle w:val="StandardWeb"/>
      </w:pPr>
      <w:r>
        <w:t xml:space="preserve">Das </w:t>
      </w:r>
      <w:r>
        <w:rPr>
          <w:rStyle w:val="Fett"/>
        </w:rPr>
        <w:t>funktionale Operator-Äquivarianzresiduum</w:t>
      </w:r>
      <w:r>
        <w:t xml:space="preserve"> ist</w:t>
      </w:r>
    </w:p>
    <w:p w:rsidR="005002EF" w:rsidRDefault="005002EF" w:rsidP="005002EF">
      <w:pPr>
        <w:pStyle w:val="berschrift2"/>
      </w:pPr>
      <w:r>
        <w:t>[</w:t>
      </w:r>
      <w:r>
        <w:br/>
        <w:t>\boxed{</w:t>
      </w:r>
      <w:r>
        <w:br/>
        <w:t>R_{\mathrm{op}}^{\mathrm{eq}}</w:t>
      </w:r>
      <w:r>
        <w:br/>
        <w:t>(g,x)</w:t>
      </w:r>
      <w:r>
        <w:br/>
        <w:t>:=</w:t>
      </w:r>
      <w:r>
        <w:br/>
        <w:t>\mathcal O_F(\rho_X(g)x)</w:t>
      </w:r>
    </w:p>
    <w:p w:rsidR="005002EF" w:rsidRDefault="005002EF" w:rsidP="005002EF">
      <w:pPr>
        <w:pStyle w:val="StandardWeb"/>
      </w:pPr>
      <w:r>
        <w:t>\rho_Y(g)\mathcal O_F(x).</w:t>
      </w:r>
      <w:r>
        <w:br/>
        <w:t>}</w:t>
      </w:r>
      <w:r>
        <w:br/>
        <w:t>\tag{3.12293}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\boxed{R_{\mathrm{op}}^{\mathrm{eq}}(g,x):=\mathcal O_F(\rho_X(g)x)-\rho_Y(g)\mathcal O_F(x).}</w:t>
      </w:r>
    </w:p>
    <w:p w:rsidR="005002EF" w:rsidRDefault="00E50336" w:rsidP="005002EF">
      <w:r>
        <w:pict>
          <v:rect id="_x0000_i4385" style="width:0;height:1.5pt" o:hralign="center" o:hrstd="t" o:hr="t" fillcolor="#a0a0a0" stroked="f"/>
        </w:pict>
      </w:r>
    </w:p>
    <w:p w:rsidR="005002EF" w:rsidRDefault="005002EF" w:rsidP="005002EF">
      <w:pPr>
        <w:pStyle w:val="berschrift1"/>
      </w:pPr>
      <w:r>
        <w:lastRenderedPageBreak/>
        <w:t>3.3.48.215 Exakte Operatoräquivarianz</w:t>
      </w:r>
    </w:p>
    <w:p w:rsidR="005002EF" w:rsidRDefault="005002EF" w:rsidP="005002EF">
      <w:pPr>
        <w:pStyle w:val="StandardWeb"/>
      </w:pPr>
      <w:r>
        <w:t>Es gilt</w:t>
      </w:r>
    </w:p>
    <w:p w:rsidR="005002EF" w:rsidRDefault="005002EF" w:rsidP="005002EF">
      <w:pPr>
        <w:pStyle w:val="berschrift1"/>
      </w:pPr>
      <w:r>
        <w:t>[</w:t>
      </w:r>
      <w:r>
        <w:br/>
        <w:t>R_{\mathrm{op}}^{\mathrm{eq}}</w:t>
      </w:r>
      <w:r>
        <w:br/>
        <w:t>(g,x)</w:t>
      </w:r>
    </w:p>
    <w:p w:rsidR="005002EF" w:rsidRDefault="005002EF" w:rsidP="005002EF">
      <w:pPr>
        <w:pStyle w:val="StandardWeb"/>
      </w:pPr>
      <w:r>
        <w:t>0</w:t>
      </w:r>
      <w:r>
        <w:br/>
        <w:t>\tag{3.12294}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R_{\mathrm{op}}^{\mathrm{eq}}(g,x)=0</w:t>
      </w:r>
    </w:p>
    <w:p w:rsidR="005002EF" w:rsidRDefault="005002EF" w:rsidP="005002EF">
      <w:pPr>
        <w:pStyle w:val="StandardWeb"/>
      </w:pPr>
      <w:r>
        <w:t>genau dann, wenn die Äquivarianzrelation erfüllt ist.</w:t>
      </w:r>
    </w:p>
    <w:p w:rsidR="005002EF" w:rsidRDefault="00E50336" w:rsidP="005002EF">
      <w:r>
        <w:pict>
          <v:rect id="_x0000_i4386" style="width:0;height:1.5pt" o:hralign="center" o:hrstd="t" o:hr="t" fillcolor="#a0a0a0" stroked="f"/>
        </w:pict>
      </w:r>
    </w:p>
    <w:p w:rsidR="005002EF" w:rsidRDefault="005002EF" w:rsidP="005002EF">
      <w:pPr>
        <w:pStyle w:val="berschrift1"/>
      </w:pPr>
      <w:r>
        <w:t>3.3.48.216 Definition 3.3.348 – Approximativ äquivariant wirkender Operator</w:t>
      </w:r>
    </w:p>
    <w:p w:rsidR="005002EF" w:rsidRDefault="005002EF" w:rsidP="005002EF">
      <w:pPr>
        <w:pStyle w:val="berschrift3"/>
      </w:pPr>
      <w:r>
        <w:t>Definition 3.3.348</w:t>
      </w:r>
    </w:p>
    <w:p w:rsidR="005002EF" w:rsidRDefault="005002EF" w:rsidP="005002EF">
      <w:pPr>
        <w:pStyle w:val="StandardWeb"/>
      </w:pPr>
      <w:r>
        <w:t xml:space="preserve">Ein Operator heißt </w:t>
      </w:r>
      <w:r>
        <w:rPr>
          <w:rStyle w:val="Fett"/>
        </w:rPr>
        <w:t>(\varepsilon_{\mathrm{op}})-äquivariant</w:t>
      </w:r>
      <w:r>
        <w:t>, wenn</w:t>
      </w:r>
    </w:p>
    <w:p w:rsidR="005002EF" w:rsidRDefault="005002EF" w:rsidP="005002EF">
      <w:pPr>
        <w:pStyle w:val="StandardWeb"/>
      </w:pPr>
      <w:r>
        <w:t>[</w:t>
      </w:r>
      <w:r>
        <w:br/>
        <w:t>\boxed{</w:t>
      </w:r>
      <w:r>
        <w:br/>
        <w:t>\left|</w:t>
      </w:r>
      <w:r>
        <w:br/>
        <w:t>R_{\mathrm{op}}^{\mathrm{eq}}</w:t>
      </w:r>
      <w:r>
        <w:br/>
        <w:t>(g,x)</w:t>
      </w:r>
      <w:r>
        <w:br/>
        <w:t>\right|</w:t>
      </w:r>
      <w:r>
        <w:br/>
        <w:t>\leq</w:t>
      </w:r>
      <w:r>
        <w:br/>
        <w:t>\varepsilon_{\mathrm{op}}</w:t>
      </w:r>
      <w:r>
        <w:br/>
        <w:t>}</w:t>
      </w:r>
      <w:r>
        <w:br/>
        <w:t>\tag{3.12295}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\boxed{\left\|R_{\mathrm{op}}^{\mathrm{eq}}(g,x)\right\|\leq\varepsilon_{\mathrm{op}}}</w:t>
      </w:r>
    </w:p>
    <w:p w:rsidR="005002EF" w:rsidRDefault="005002EF" w:rsidP="005002EF">
      <w:pPr>
        <w:pStyle w:val="StandardWeb"/>
      </w:pPr>
      <w:r>
        <w:t>für alle betrachteten (g) und (x) gilt.</w:t>
      </w:r>
    </w:p>
    <w:p w:rsidR="005002EF" w:rsidRDefault="00E50336" w:rsidP="005002EF">
      <w:r>
        <w:pict>
          <v:rect id="_x0000_i4387" style="width:0;height:1.5pt" o:hralign="center" o:hrstd="t" o:hr="t" fillcolor="#a0a0a0" stroked="f"/>
        </w:pict>
      </w:r>
    </w:p>
    <w:p w:rsidR="005002EF" w:rsidRDefault="005002EF" w:rsidP="005002EF">
      <w:pPr>
        <w:pStyle w:val="berschrift1"/>
      </w:pPr>
      <w:r>
        <w:lastRenderedPageBreak/>
        <w:t>3.3.48.217 Rekonstruktionsabbildungen</w:t>
      </w:r>
    </w:p>
    <w:p w:rsidR="005002EF" w:rsidRDefault="005002EF" w:rsidP="005002EF">
      <w:pPr>
        <w:pStyle w:val="StandardWeb"/>
      </w:pPr>
      <w:r>
        <w:t>Nun wende ich diese Überlegungen auf Rekonstruktionsprozesse an.</w:t>
      </w:r>
    </w:p>
    <w:p w:rsidR="005002EF" w:rsidRDefault="005002EF" w:rsidP="005002EF">
      <w:pPr>
        <w:pStyle w:val="StandardWeb"/>
      </w:pPr>
      <w:r>
        <w:t>Sei</w:t>
      </w:r>
    </w:p>
    <w:p w:rsidR="005002EF" w:rsidRDefault="005002EF" w:rsidP="005002EF">
      <w:pPr>
        <w:pStyle w:val="StandardWeb"/>
      </w:pPr>
      <w:r>
        <w:t>[</w:t>
      </w:r>
      <w:r>
        <w:br/>
        <w:t>\mathcal R_F:</w:t>
      </w:r>
      <w:r>
        <w:br/>
        <w:t>\mathcal Y_F</w:t>
      </w:r>
      <w:r>
        <w:br/>
        <w:t>\rightarrow</w:t>
      </w:r>
      <w:r>
        <w:br/>
        <w:t>\mathcal X_F</w:t>
      </w:r>
      <w:r>
        <w:br/>
        <w:t>\tag{3.12296}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R_F:\mathcal Y_F\rightarrow\mathcal X_F</w:t>
      </w:r>
    </w:p>
    <w:p w:rsidR="005002EF" w:rsidRDefault="005002EF" w:rsidP="005002EF">
      <w:pPr>
        <w:pStyle w:val="StandardWeb"/>
      </w:pPr>
      <w:r>
        <w:t>eine Rekonstruktionsabbildung.</w:t>
      </w:r>
    </w:p>
    <w:p w:rsidR="005002EF" w:rsidRDefault="00E50336" w:rsidP="005002EF">
      <w:r>
        <w:pict>
          <v:rect id="_x0000_i4388" style="width:0;height:1.5pt" o:hralign="center" o:hrstd="t" o:hr="t" fillcolor="#a0a0a0" stroked="f"/>
        </w:pict>
      </w:r>
    </w:p>
    <w:p w:rsidR="005002EF" w:rsidRDefault="005002EF" w:rsidP="005002EF">
      <w:pPr>
        <w:pStyle w:val="berschrift1"/>
      </w:pPr>
      <w:r>
        <w:t>3.3.48.218 Beobachtungsabbildung und Rekonstruktion</w:t>
      </w:r>
    </w:p>
    <w:p w:rsidR="005002EF" w:rsidRDefault="005002EF" w:rsidP="005002EF">
      <w:pPr>
        <w:pStyle w:val="StandardWeb"/>
      </w:pPr>
      <w:r>
        <w:t>Sei zusätzlich</w:t>
      </w:r>
    </w:p>
    <w:p w:rsidR="005002EF" w:rsidRDefault="005002EF" w:rsidP="005002EF">
      <w:pPr>
        <w:pStyle w:val="StandardWeb"/>
      </w:pPr>
      <w:r>
        <w:t>[</w:t>
      </w:r>
      <w:r>
        <w:br/>
        <w:t>\mathcal B_F:</w:t>
      </w:r>
      <w:r>
        <w:br/>
        <w:t>\mathcal X_F</w:t>
      </w:r>
      <w:r>
        <w:br/>
        <w:t>\rightarrow</w:t>
      </w:r>
      <w:r>
        <w:br/>
        <w:t>\mathcal Y_F</w:t>
      </w:r>
      <w:r>
        <w:br/>
        <w:t>\tag{3.12297}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B_F:\mathcal X_F\rightarrow\mathcal Y_F</w:t>
      </w:r>
    </w:p>
    <w:p w:rsidR="005002EF" w:rsidRDefault="005002EF" w:rsidP="005002EF">
      <w:pPr>
        <w:pStyle w:val="StandardWeb"/>
      </w:pPr>
      <w:r>
        <w:t>eine Beobachtungsabbildung.</w:t>
      </w:r>
    </w:p>
    <w:p w:rsidR="005002EF" w:rsidRDefault="005002EF" w:rsidP="005002EF">
      <w:pPr>
        <w:pStyle w:val="StandardWeb"/>
      </w:pPr>
      <w:r>
        <w:t>Eine ideale Rekonstruktion würde erfüllen</w:t>
      </w:r>
    </w:p>
    <w:p w:rsidR="005002EF" w:rsidRDefault="005002EF" w:rsidP="005002EF">
      <w:pPr>
        <w:pStyle w:val="berschrift1"/>
      </w:pPr>
      <w:r>
        <w:t>[</w:t>
      </w:r>
      <w:r>
        <w:br/>
        <w:t>\mathcal R_F</w:t>
      </w:r>
      <w:r>
        <w:br/>
        <w:t>\circ</w:t>
      </w:r>
      <w:r>
        <w:br/>
        <w:t>\mathcal B_F</w:t>
      </w:r>
    </w:p>
    <w:p w:rsidR="005002EF" w:rsidRDefault="005002EF" w:rsidP="005002EF">
      <w:pPr>
        <w:pStyle w:val="StandardWeb"/>
      </w:pPr>
      <w:r>
        <w:lastRenderedPageBreak/>
        <w:t>\operatorname{id}_{\mathcal X_F}.</w:t>
      </w:r>
      <w:r>
        <w:br/>
        <w:t>\tag{3.12298}</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R_F\circ\mathcal B_F=\operatorname{id}_{\mathcal X_F}</w:t>
      </w:r>
    </w:p>
    <w:p w:rsidR="005002EF" w:rsidRDefault="00E50336" w:rsidP="005002EF">
      <w:r>
        <w:pict>
          <v:rect id="_x0000_i4389" style="width:0;height:1.5pt" o:hralign="center" o:hrstd="t" o:hr="t" fillcolor="#a0a0a0" stroked="f"/>
        </w:pict>
      </w:r>
    </w:p>
    <w:p w:rsidR="005002EF" w:rsidRDefault="005002EF" w:rsidP="005002EF">
      <w:pPr>
        <w:pStyle w:val="berschrift1"/>
      </w:pPr>
      <w:r>
        <w:t>3.3.48.219 Definition 3.3.349 – Exakte funktionale Rekonstruktion</w:t>
      </w:r>
    </w:p>
    <w:p w:rsidR="005002EF" w:rsidRDefault="005002EF" w:rsidP="005002EF">
      <w:pPr>
        <w:pStyle w:val="berschrift3"/>
      </w:pPr>
      <w:r>
        <w:t>Definition 3.3.349</w:t>
      </w:r>
    </w:p>
    <w:p w:rsidR="005002EF" w:rsidRDefault="005002EF" w:rsidP="005002EF">
      <w:pPr>
        <w:pStyle w:val="StandardWeb"/>
      </w:pPr>
      <w:r>
        <w:t xml:space="preserve">Eine Rekonstruktionsabbildung (\mathcal R_F) heißt bezüglich einer Beobachtungsabbildung (\mathcal B_F) </w:t>
      </w:r>
      <w:r>
        <w:rPr>
          <w:rStyle w:val="Fett"/>
        </w:rPr>
        <w:t>exakt</w:t>
      </w:r>
      <w:r>
        <w:t>, wenn</w:t>
      </w:r>
    </w:p>
    <w:p w:rsidR="005002EF" w:rsidRDefault="005002EF" w:rsidP="005002EF">
      <w:pPr>
        <w:pStyle w:val="berschrift1"/>
      </w:pPr>
      <w:r>
        <w:t>[</w:t>
      </w:r>
      <w:r>
        <w:br/>
        <w:t>\boxed{</w:t>
      </w:r>
      <w:r>
        <w:br/>
        <w:t>\mathcal R_F</w:t>
      </w:r>
      <w:r>
        <w:br/>
        <w:t>\circ</w:t>
      </w:r>
      <w:r>
        <w:br/>
        <w:t>\mathcal B_F</w:t>
      </w:r>
    </w:p>
    <w:p w:rsidR="005002EF" w:rsidRDefault="005002EF" w:rsidP="005002EF">
      <w:pPr>
        <w:pStyle w:val="StandardWeb"/>
      </w:pPr>
      <w:r>
        <w:t>\operatorname{id}_{\mathcal X_F}.</w:t>
      </w:r>
      <w:r>
        <w:br/>
        <w:t>}</w:t>
      </w:r>
      <w:r>
        <w:br/>
        <w:t>\tag{3.12299}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R_F\circ\mathcal B_F=\operatorname{id}_{\mathcal X_F}.}</w:t>
      </w:r>
    </w:p>
    <w:p w:rsidR="005002EF" w:rsidRDefault="00E50336" w:rsidP="005002EF">
      <w:r>
        <w:pict>
          <v:rect id="_x0000_i4390" style="width:0;height:1.5pt" o:hralign="center" o:hrstd="t" o:hr="t" fillcolor="#a0a0a0" stroked="f"/>
        </w:pict>
      </w:r>
    </w:p>
    <w:p w:rsidR="005002EF" w:rsidRDefault="005002EF" w:rsidP="005002EF">
      <w:pPr>
        <w:pStyle w:val="berschrift1"/>
      </w:pPr>
      <w:r>
        <w:t>3.3.48.220 Symmetriekompatible Beobachtung</w:t>
      </w:r>
    </w:p>
    <w:p w:rsidR="005002EF" w:rsidRDefault="005002EF" w:rsidP="005002EF">
      <w:pPr>
        <w:pStyle w:val="StandardWeb"/>
      </w:pPr>
      <w:r>
        <w:t>Sei</w:t>
      </w:r>
    </w:p>
    <w:p w:rsidR="005002EF" w:rsidRDefault="005002EF" w:rsidP="005002EF">
      <w:pPr>
        <w:pStyle w:val="berschrift1"/>
      </w:pPr>
      <w:r>
        <w:t>[</w:t>
      </w:r>
      <w:r>
        <w:br/>
        <w:t>\mathcal B_F</w:t>
      </w:r>
      <w:r>
        <w:br/>
        <w:t>\circ</w:t>
      </w:r>
      <w:r>
        <w:br/>
        <w:t>\rho_X(g)</w:t>
      </w:r>
    </w:p>
    <w:p w:rsidR="005002EF" w:rsidRDefault="005002EF" w:rsidP="005002EF">
      <w:pPr>
        <w:pStyle w:val="StandardWeb"/>
      </w:pPr>
      <w:r>
        <w:lastRenderedPageBreak/>
        <w:t>\rho_Y(g)</w:t>
      </w:r>
      <w:r>
        <w:br/>
        <w:t>\circ</w:t>
      </w:r>
      <w:r>
        <w:br/>
        <w:t>\mathcal B_F.</w:t>
      </w:r>
      <w:r>
        <w:br/>
        <w:t>\tag{3.12300}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B_F\circ\rho_X(g)=\rho_Y(g)\circ\mathcal B_F</w:t>
      </w:r>
    </w:p>
    <w:p w:rsidR="005002EF" w:rsidRDefault="005002EF" w:rsidP="005002EF">
      <w:pPr>
        <w:pStyle w:val="StandardWeb"/>
      </w:pPr>
      <w:r>
        <w:t>Dann ist die Beobachtungsabbildung äquivariant.</w:t>
      </w:r>
    </w:p>
    <w:p w:rsidR="005002EF" w:rsidRDefault="00E50336" w:rsidP="005002EF">
      <w:r>
        <w:pict>
          <v:rect id="_x0000_i4391" style="width:0;height:1.5pt" o:hralign="center" o:hrstd="t" o:hr="t" fillcolor="#a0a0a0" stroked="f"/>
        </w:pict>
      </w:r>
    </w:p>
    <w:p w:rsidR="005002EF" w:rsidRDefault="005002EF" w:rsidP="005002EF">
      <w:pPr>
        <w:pStyle w:val="berschrift1"/>
      </w:pPr>
      <w:r>
        <w:t>3.3.48.221 Symmetriekompatible Rekonstruktion</w:t>
      </w:r>
    </w:p>
    <w:p w:rsidR="005002EF" w:rsidRDefault="005002EF" w:rsidP="005002EF">
      <w:pPr>
        <w:pStyle w:val="StandardWeb"/>
      </w:pPr>
      <w:r>
        <w:t>Analog fordere ich für die Rekonstruktion</w:t>
      </w:r>
    </w:p>
    <w:p w:rsidR="005002EF" w:rsidRDefault="005002EF" w:rsidP="005002EF">
      <w:pPr>
        <w:pStyle w:val="berschrift1"/>
      </w:pPr>
      <w:r>
        <w:t>[</w:t>
      </w:r>
      <w:r>
        <w:br/>
        <w:t>\mathcal R_F</w:t>
      </w:r>
      <w:r>
        <w:br/>
        <w:t>\circ</w:t>
      </w:r>
      <w:r>
        <w:br/>
        <w:t>\rho_Y(g)</w:t>
      </w:r>
    </w:p>
    <w:p w:rsidR="005002EF" w:rsidRDefault="005002EF" w:rsidP="005002EF">
      <w:pPr>
        <w:pStyle w:val="StandardWeb"/>
      </w:pPr>
      <w:r>
        <w:t>\rho_X(g)</w:t>
      </w:r>
      <w:r>
        <w:br/>
        <w:t>\circ</w:t>
      </w:r>
      <w:r>
        <w:br/>
        <w:t>\mathcal R_F.</w:t>
      </w:r>
      <w:r>
        <w:br/>
        <w:t>\tag{3.12301}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R_F\circ\rho_Y(g)=\rho_X(g)\circ\mathcal R_F</w:t>
      </w:r>
    </w:p>
    <w:p w:rsidR="005002EF" w:rsidRDefault="00E50336" w:rsidP="005002EF">
      <w:r>
        <w:pict>
          <v:rect id="_x0000_i4392" style="width:0;height:1.5pt" o:hralign="center" o:hrstd="t" o:hr="t" fillcolor="#a0a0a0" stroked="f"/>
        </w:pict>
      </w:r>
    </w:p>
    <w:p w:rsidR="005002EF" w:rsidRDefault="005002EF" w:rsidP="005002EF">
      <w:pPr>
        <w:pStyle w:val="berschrift1"/>
      </w:pPr>
      <w:r>
        <w:t>3.3.48.222 Definition 3.3.350 – Symmetriekompatible funktionale Rekonstruktion</w:t>
      </w:r>
    </w:p>
    <w:p w:rsidR="005002EF" w:rsidRDefault="005002EF" w:rsidP="005002EF">
      <w:pPr>
        <w:pStyle w:val="berschrift3"/>
      </w:pPr>
      <w:r>
        <w:t>Definition 3.3.350</w:t>
      </w:r>
    </w:p>
    <w:p w:rsidR="005002EF" w:rsidRDefault="005002EF" w:rsidP="005002EF">
      <w:pPr>
        <w:pStyle w:val="StandardWeb"/>
      </w:pPr>
      <w:r>
        <w:t xml:space="preserve">Eine Rekonstruktionsabbildung (\mathcal R_F) heißt </w:t>
      </w:r>
      <w:r>
        <w:rPr>
          <w:rStyle w:val="Fett"/>
        </w:rPr>
        <w:t>symmetriekompatibel</w:t>
      </w:r>
      <w:r>
        <w:t xml:space="preserve"> bezüglich (G), wenn</w:t>
      </w:r>
    </w:p>
    <w:p w:rsidR="005002EF" w:rsidRDefault="005002EF" w:rsidP="005002EF">
      <w:pPr>
        <w:pStyle w:val="berschrift1"/>
      </w:pPr>
      <w:r>
        <w:t>[</w:t>
      </w:r>
      <w:r>
        <w:br/>
        <w:t>\boxed{</w:t>
      </w:r>
      <w:r>
        <w:br/>
      </w:r>
      <w:r>
        <w:lastRenderedPageBreak/>
        <w:t>\mathcal R_F</w:t>
      </w:r>
      <w:r>
        <w:br/>
        <w:t>\circ</w:t>
      </w:r>
      <w:r>
        <w:br/>
        <w:t>\rho_Y(g)</w:t>
      </w:r>
    </w:p>
    <w:p w:rsidR="005002EF" w:rsidRDefault="005002EF" w:rsidP="005002EF">
      <w:pPr>
        <w:pStyle w:val="StandardWeb"/>
      </w:pPr>
      <w:r>
        <w:t>\rho_X(g)</w:t>
      </w:r>
      <w:r>
        <w:br/>
        <w:t>\circ</w:t>
      </w:r>
      <w:r>
        <w:br/>
        <w:t>\mathcal R_F</w:t>
      </w:r>
      <w:r>
        <w:br/>
        <w:t>\qquad</w:t>
      </w:r>
      <w:r>
        <w:br/>
        <w:t>\forall g\in G.</w:t>
      </w:r>
      <w:r>
        <w:br/>
        <w:t>}</w:t>
      </w:r>
      <w:r>
        <w:br/>
        <w:t>\tag{3.12302}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R_F\circ\rho_Y(g)=\rho_X(g)\circ\mathcal R_F\qquad\forall g\in G.}</w:t>
      </w:r>
    </w:p>
    <w:p w:rsidR="005002EF" w:rsidRDefault="00E50336" w:rsidP="005002EF">
      <w:r>
        <w:pict>
          <v:rect id="_x0000_i4393" style="width:0;height:1.5pt" o:hralign="center" o:hrstd="t" o:hr="t" fillcolor="#a0a0a0" stroked="f"/>
        </w:pict>
      </w:r>
    </w:p>
    <w:p w:rsidR="005002EF" w:rsidRDefault="005002EF" w:rsidP="005002EF">
      <w:pPr>
        <w:pStyle w:val="berschrift1"/>
      </w:pPr>
      <w:r>
        <w:t>3.3.48.223 Symmetriekompatibilität der Beobachtungs-Rekonstruktions-Kette</w:t>
      </w:r>
    </w:p>
    <w:p w:rsidR="005002EF" w:rsidRDefault="005002EF" w:rsidP="005002EF">
      <w:pPr>
        <w:pStyle w:val="StandardWeb"/>
      </w:pPr>
      <w:r>
        <w:t>Sind sowohl Beobachtung als auch Rekonstruktion äquivariant, gilt</w:t>
      </w:r>
    </w:p>
    <w:p w:rsidR="005002EF" w:rsidRDefault="005002EF" w:rsidP="005002EF">
      <w:pPr>
        <w:pStyle w:val="berschrift1"/>
      </w:pPr>
      <w:r>
        <w:t>[</w:t>
      </w:r>
      <w:r>
        <w:br/>
        <w:t>\mathcal R_F</w:t>
      </w:r>
      <w:r>
        <w:br/>
        <w:t>\mathcal B_F</w:t>
      </w:r>
      <w:r>
        <w:br/>
        <w:t>\rho_X(g)</w:t>
      </w:r>
    </w:p>
    <w:p w:rsidR="005002EF" w:rsidRDefault="005002EF" w:rsidP="005002EF">
      <w:pPr>
        <w:pStyle w:val="StandardWeb"/>
      </w:pPr>
      <w:r>
        <w:t>\rho_X(g)</w:t>
      </w:r>
      <w:r>
        <w:br/>
        <w:t>\mathcal R_F</w:t>
      </w:r>
      <w:r>
        <w:br/>
        <w:t>\mathcal B_F.</w:t>
      </w:r>
      <w:r>
        <w:br/>
        <w:t>\tag{3.12303}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R_F\mathcal B_F\rho_X(g)=\rho_X(g)\mathcal R_F\mathcal B_F</w:t>
      </w:r>
    </w:p>
    <w:p w:rsidR="005002EF" w:rsidRDefault="00E50336" w:rsidP="005002EF">
      <w:r>
        <w:pict>
          <v:rect id="_x0000_i4394" style="width:0;height:1.5pt" o:hralign="center" o:hrstd="t" o:hr="t" fillcolor="#a0a0a0" stroked="f"/>
        </w:pict>
      </w:r>
    </w:p>
    <w:p w:rsidR="005002EF" w:rsidRDefault="005002EF" w:rsidP="005002EF">
      <w:pPr>
        <w:pStyle w:val="berschrift1"/>
      </w:pPr>
      <w:r>
        <w:t>3.3.48.224 Satz 3.3.144 – Eine symmetriekompatible Beobachtungs-Rekonstruktions-Kette ist äquivariant</w:t>
      </w:r>
    </w:p>
    <w:p w:rsidR="005002EF" w:rsidRDefault="005002EF" w:rsidP="005002EF">
      <w:pPr>
        <w:pStyle w:val="berschrift3"/>
      </w:pPr>
      <w:r>
        <w:t>Satz 3.3.144</w:t>
      </w:r>
    </w:p>
    <w:p w:rsidR="005002EF" w:rsidRDefault="005002EF" w:rsidP="005002EF">
      <w:pPr>
        <w:pStyle w:val="StandardWeb"/>
      </w:pPr>
      <w:r>
        <w:lastRenderedPageBreak/>
        <w:t>Sind</w:t>
      </w:r>
    </w:p>
    <w:p w:rsidR="005002EF" w:rsidRDefault="005002EF" w:rsidP="005002EF">
      <w:pPr>
        <w:pStyle w:val="StandardWeb"/>
      </w:pPr>
      <w:r>
        <w:t>[</w:t>
      </w:r>
      <w:r>
        <w:br/>
        <w:t>\mathcal B_F:</w:t>
      </w:r>
      <w:r>
        <w:br/>
        <w:t>\mathcal X_F\rightarrow\mathcal Y_F</w:t>
      </w:r>
      <w:r>
        <w:br/>
        <w:t>\tag{3.12304}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B_F:\mathcal X_F\rightarrow\mathcal Y_F</w:t>
      </w:r>
    </w:p>
    <w:p w:rsidR="005002EF" w:rsidRDefault="005002EF" w:rsidP="005002EF">
      <w:pPr>
        <w:pStyle w:val="StandardWeb"/>
      </w:pPr>
      <w:r>
        <w:t>und</w:t>
      </w:r>
    </w:p>
    <w:p w:rsidR="005002EF" w:rsidRDefault="005002EF" w:rsidP="005002EF">
      <w:pPr>
        <w:pStyle w:val="StandardWeb"/>
      </w:pPr>
      <w:r>
        <w:t>[</w:t>
      </w:r>
      <w:r>
        <w:br/>
        <w:t>\mathcal R_F:</w:t>
      </w:r>
      <w:r>
        <w:br/>
        <w:t>\mathcal Y_F\rightarrow\mathcal X_F</w:t>
      </w:r>
      <w:r>
        <w:br/>
        <w:t>\tag{3.12305}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R_F:\mathcal Y_F\rightarrow\mathcal X_F</w:t>
      </w:r>
    </w:p>
    <w:p w:rsidR="005002EF" w:rsidRDefault="005002EF" w:rsidP="005002EF">
      <w:pPr>
        <w:pStyle w:val="StandardWeb"/>
      </w:pPr>
      <w:r>
        <w:t>äquivariant, dann gilt</w:t>
      </w:r>
    </w:p>
    <w:p w:rsidR="005002EF" w:rsidRDefault="005002EF" w:rsidP="005002EF">
      <w:pPr>
        <w:pStyle w:val="berschrift1"/>
      </w:pPr>
      <w:r>
        <w:t>[</w:t>
      </w:r>
      <w:r>
        <w:br/>
        <w:t>\boxed{</w:t>
      </w:r>
      <w:r>
        <w:br/>
        <w:t>(\mathcal R_F\circ\mathcal B_F)</w:t>
      </w:r>
      <w:r>
        <w:br/>
        <w:t>\circ</w:t>
      </w:r>
      <w:r>
        <w:br/>
        <w:t>\rho_X(g)</w:t>
      </w:r>
    </w:p>
    <w:p w:rsidR="005002EF" w:rsidRDefault="005002EF" w:rsidP="005002EF">
      <w:pPr>
        <w:pStyle w:val="StandardWeb"/>
      </w:pPr>
      <w:r>
        <w:t>\rho_X(g)</w:t>
      </w:r>
      <w:r>
        <w:br/>
        <w:t>\circ</w:t>
      </w:r>
      <w:r>
        <w:br/>
        <w:t>(\mathcal R_F\circ\mathcal B_F).</w:t>
      </w:r>
      <w:r>
        <w:br/>
        <w:t>}</w:t>
      </w:r>
      <w:r>
        <w:br/>
        <w:t>\tag{3.12306}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R_F\circ\mathcal B_F)\circ\rho_X(g)=\rho_X(g)\circ(\mathcal R_F\circ\mathcal B_F).}</w:t>
      </w:r>
    </w:p>
    <w:p w:rsidR="005002EF" w:rsidRDefault="005002EF" w:rsidP="005002EF">
      <w:pPr>
        <w:pStyle w:val="berschrift3"/>
      </w:pPr>
      <w:r>
        <w:t>Beweis</w:t>
      </w:r>
    </w:p>
    <w:p w:rsidR="005002EF" w:rsidRDefault="005002EF" w:rsidP="005002EF">
      <w:pPr>
        <w:pStyle w:val="StandardWeb"/>
      </w:pPr>
      <w:r>
        <w:t>Aus der Äquivarianz von (\mathcal B_F) folgt</w:t>
      </w:r>
    </w:p>
    <w:p w:rsidR="005002EF" w:rsidRDefault="005002EF" w:rsidP="005002EF">
      <w:pPr>
        <w:pStyle w:val="berschrift1"/>
      </w:pPr>
      <w:r>
        <w:lastRenderedPageBreak/>
        <w:t>[</w:t>
      </w:r>
      <w:r>
        <w:br/>
        <w:t>\mathcal B_F\rho_X(g)</w:t>
      </w:r>
    </w:p>
    <w:p w:rsidR="005002EF" w:rsidRDefault="005002EF" w:rsidP="005002EF">
      <w:pPr>
        <w:pStyle w:val="StandardWeb"/>
      </w:pPr>
      <w:r>
        <w:t>\rho_Y(g)\mathcal B_F.</w:t>
      </w:r>
      <w:r>
        <w:br/>
        <w:t>\tag{3.12307}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B_F\rho_X(g)=\rho_Y(g)\mathcal B_F</w:t>
      </w:r>
    </w:p>
    <w:p w:rsidR="005002EF" w:rsidRDefault="005002EF" w:rsidP="005002EF">
      <w:pPr>
        <w:pStyle w:val="StandardWeb"/>
      </w:pPr>
      <w:r>
        <w:t>Damit gilt</w:t>
      </w:r>
    </w:p>
    <w:p w:rsidR="005002EF" w:rsidRDefault="005002EF" w:rsidP="005002EF">
      <w:pPr>
        <w:pStyle w:val="berschrift1"/>
      </w:pPr>
      <w:r>
        <w:t>[</w:t>
      </w:r>
      <w:r>
        <w:br/>
        <w:t>\mathcal R_F\mathcal B_F\rho_X(g)</w:t>
      </w:r>
    </w:p>
    <w:p w:rsidR="005002EF" w:rsidRDefault="005002EF" w:rsidP="005002EF">
      <w:pPr>
        <w:pStyle w:val="StandardWeb"/>
      </w:pPr>
      <w:r>
        <w:t>\mathcal R_F\rho_Y(g)\mathcal B_F.</w:t>
      </w:r>
      <w:r>
        <w:br/>
        <w:t>\tag{3.12308}</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R_F\mathcal B_F\rho_X(g)=\mathcal R_F\rho_Y(g)\mathcal B_F</w:t>
      </w:r>
    </w:p>
    <w:p w:rsidR="005002EF" w:rsidRDefault="005002EF" w:rsidP="005002EF">
      <w:pPr>
        <w:pStyle w:val="StandardWeb"/>
      </w:pPr>
      <w:r>
        <w:t>Mit der Äquivarianz von (\mathcal R_F) folgt</w:t>
      </w:r>
    </w:p>
    <w:p w:rsidR="005002EF" w:rsidRDefault="005002EF" w:rsidP="005002EF">
      <w:pPr>
        <w:pStyle w:val="berschrift1"/>
      </w:pPr>
      <w:r>
        <w:t>[</w:t>
      </w:r>
      <w:r>
        <w:br/>
        <w:t>\mathcal R_F\mathcal B_F\rho_X(g)</w:t>
      </w:r>
    </w:p>
    <w:p w:rsidR="005002EF" w:rsidRDefault="005002EF" w:rsidP="005002EF">
      <w:pPr>
        <w:pStyle w:val="StandardWeb"/>
      </w:pPr>
      <w:r>
        <w:t>\rho_X(g)\mathcal R_F\mathcal B_F.</w:t>
      </w:r>
      <w:r>
        <w:br/>
        <w:t>\tag{3.12309}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R_F\mathcal B_F\rho_X(g)=\rho_X(g)\mathcal R_F\mathcal B_F</w:t>
      </w:r>
    </w:p>
    <w:p w:rsidR="005002EF" w:rsidRDefault="005002EF" w:rsidP="005002EF">
      <w:pPr>
        <w:pStyle w:val="StandardWeb"/>
      </w:pPr>
      <w:r>
        <w:t>(\square)</w:t>
      </w:r>
    </w:p>
    <w:p w:rsidR="005002EF" w:rsidRDefault="00E50336" w:rsidP="005002EF">
      <w:r>
        <w:pict>
          <v:rect id="_x0000_i4395" style="width:0;height:1.5pt" o:hralign="center" o:hrstd="t" o:hr="t" fillcolor="#a0a0a0" stroked="f"/>
        </w:pict>
      </w:r>
    </w:p>
    <w:p w:rsidR="005002EF" w:rsidRDefault="005002EF" w:rsidP="005002EF">
      <w:pPr>
        <w:pStyle w:val="berschrift1"/>
      </w:pPr>
      <w:r>
        <w:t>3.3.48.225 Exakte Rekonstruktion und Symmetrie</w:t>
      </w:r>
    </w:p>
    <w:p w:rsidR="005002EF" w:rsidRDefault="005002EF" w:rsidP="005002EF">
      <w:pPr>
        <w:pStyle w:val="StandardWeb"/>
      </w:pPr>
      <w:r>
        <w:t>Ist zusätzlich</w:t>
      </w:r>
    </w:p>
    <w:p w:rsidR="005002EF" w:rsidRDefault="005002EF" w:rsidP="005002EF">
      <w:pPr>
        <w:pStyle w:val="berschrift1"/>
      </w:pPr>
      <w:r>
        <w:lastRenderedPageBreak/>
        <w:t>[</w:t>
      </w:r>
      <w:r>
        <w:br/>
        <w:t>\mathcal R_F</w:t>
      </w:r>
      <w:r>
        <w:br/>
        <w:t>\circ</w:t>
      </w:r>
      <w:r>
        <w:br/>
        <w:t>\mathcal B_F</w:t>
      </w:r>
    </w:p>
    <w:p w:rsidR="005002EF" w:rsidRDefault="005002EF" w:rsidP="005002EF">
      <w:pPr>
        <w:pStyle w:val="StandardWeb"/>
      </w:pPr>
      <w:r>
        <w:t>\operatorname{id},</w:t>
      </w:r>
      <w:r>
        <w:br/>
        <w:t>\tag{3.12310}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R_F\circ\mathcal B_F=\operatorname{id}</w:t>
      </w:r>
    </w:p>
    <w:p w:rsidR="005002EF" w:rsidRDefault="005002EF" w:rsidP="005002EF">
      <w:pPr>
        <w:pStyle w:val="StandardWeb"/>
      </w:pPr>
      <w:r>
        <w:t>dann folgt selbstverständlich</w:t>
      </w:r>
    </w:p>
    <w:p w:rsidR="005002EF" w:rsidRDefault="005002EF" w:rsidP="005002EF">
      <w:pPr>
        <w:pStyle w:val="berschrift1"/>
      </w:pPr>
      <w:r>
        <w:t>[</w:t>
      </w:r>
      <w:r>
        <w:br/>
        <w:t>\operatorname{id}</w:t>
      </w:r>
      <w:r>
        <w:br/>
        <w:t>\circ</w:t>
      </w:r>
      <w:r>
        <w:br/>
        <w:t>\rho_X(g)</w:t>
      </w:r>
    </w:p>
    <w:p w:rsidR="005002EF" w:rsidRDefault="005002EF" w:rsidP="005002EF">
      <w:pPr>
        <w:pStyle w:val="StandardWeb"/>
      </w:pPr>
      <w:r>
        <w:t>\rho_X(g)</w:t>
      </w:r>
      <w:r>
        <w:br/>
        <w:t>\circ</w:t>
      </w:r>
      <w:r>
        <w:br/>
        <w:t>\operatorname{id}.</w:t>
      </w:r>
      <w:r>
        <w:br/>
        <w:t>\tag{3.12311}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\operatorname{id}\circ\rho_X(g)=\rho_X(g)\circ\operatorname{id}</w:t>
      </w:r>
    </w:p>
    <w:p w:rsidR="005002EF" w:rsidRDefault="00E50336" w:rsidP="005002EF">
      <w:r>
        <w:pict>
          <v:rect id="_x0000_i4396" style="width:0;height:1.5pt" o:hralign="center" o:hrstd="t" o:hr="t" fillcolor="#a0a0a0" stroked="f"/>
        </w:pict>
      </w:r>
    </w:p>
    <w:p w:rsidR="005002EF" w:rsidRDefault="005002EF" w:rsidP="005002EF">
      <w:pPr>
        <w:pStyle w:val="berschrift1"/>
      </w:pPr>
      <w:r>
        <w:t>3.3.48.226 Rekonstruktionsresiduum</w:t>
      </w:r>
    </w:p>
    <w:p w:rsidR="005002EF" w:rsidRDefault="005002EF" w:rsidP="005002EF">
      <w:pPr>
        <w:pStyle w:val="StandardWeb"/>
      </w:pPr>
      <w:r>
        <w:t>Im allgemeinen Fall definiere ich</w:t>
      </w:r>
    </w:p>
    <w:p w:rsidR="005002EF" w:rsidRDefault="005002EF" w:rsidP="005002EF">
      <w:pPr>
        <w:pStyle w:val="berschrift2"/>
      </w:pPr>
      <w:r>
        <w:t>[</w:t>
      </w:r>
      <w:r>
        <w:br/>
        <w:t>R_{\mathrm{rec}}(x)</w:t>
      </w:r>
      <w:r>
        <w:br/>
        <w:t>:=</w:t>
      </w:r>
      <w:r>
        <w:br/>
        <w:t>\mathcal R_F</w:t>
      </w:r>
      <w:r>
        <w:br/>
        <w:t>(\mathcal B_F(x))</w:t>
      </w:r>
    </w:p>
    <w:p w:rsidR="005002EF" w:rsidRDefault="005002EF" w:rsidP="005002EF">
      <w:pPr>
        <w:pStyle w:val="StandardWeb"/>
      </w:pPr>
      <w:r>
        <w:lastRenderedPageBreak/>
        <w:t>x.</w:t>
      </w:r>
      <w:r>
        <w:br/>
        <w:t>\tag{3.12312}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R_{\mathrm{rec}}(x):=\mathcal R_F(\mathcal B_F(x))-x</w:t>
      </w:r>
    </w:p>
    <w:p w:rsidR="005002EF" w:rsidRDefault="00E50336" w:rsidP="005002EF">
      <w:r>
        <w:pict>
          <v:rect id="_x0000_i4397" style="width:0;height:1.5pt" o:hralign="center" o:hrstd="t" o:hr="t" fillcolor="#a0a0a0" stroked="f"/>
        </w:pict>
      </w:r>
    </w:p>
    <w:p w:rsidR="005002EF" w:rsidRDefault="005002EF" w:rsidP="005002EF">
      <w:pPr>
        <w:pStyle w:val="berschrift1"/>
      </w:pPr>
      <w:r>
        <w:t>3.3.48.227 Definition 3.3.351 – Funktionales Rekonstruktionsresiduum</w:t>
      </w:r>
    </w:p>
    <w:p w:rsidR="005002EF" w:rsidRDefault="005002EF" w:rsidP="005002EF">
      <w:pPr>
        <w:pStyle w:val="berschrift3"/>
      </w:pPr>
      <w:r>
        <w:t>Definition 3.3.351</w:t>
      </w:r>
    </w:p>
    <w:p w:rsidR="005002EF" w:rsidRDefault="005002EF" w:rsidP="005002EF">
      <w:pPr>
        <w:pStyle w:val="StandardWeb"/>
      </w:pPr>
      <w:r>
        <w:t xml:space="preserve">Das </w:t>
      </w:r>
      <w:r>
        <w:rPr>
          <w:rStyle w:val="Fett"/>
        </w:rPr>
        <w:t>funktionale Rekonstruktionsresiduum</w:t>
      </w:r>
      <w:r>
        <w:t xml:space="preserve"> ist</w:t>
      </w:r>
    </w:p>
    <w:p w:rsidR="005002EF" w:rsidRDefault="005002EF" w:rsidP="005002EF">
      <w:pPr>
        <w:pStyle w:val="berschrift2"/>
      </w:pPr>
      <w:r>
        <w:t>[</w:t>
      </w:r>
      <w:r>
        <w:br/>
        <w:t>\boxed{</w:t>
      </w:r>
      <w:r>
        <w:br/>
        <w:t>R_{\mathrm{rec}}(x)</w:t>
      </w:r>
      <w:r>
        <w:br/>
        <w:t>:=</w:t>
      </w:r>
      <w:r>
        <w:br/>
        <w:t>\mathcal R_F(\mathcal B_F(x))</w:t>
      </w:r>
    </w:p>
    <w:p w:rsidR="005002EF" w:rsidRDefault="005002EF" w:rsidP="005002EF">
      <w:pPr>
        <w:pStyle w:val="StandardWeb"/>
      </w:pPr>
      <w:r>
        <w:t>x.</w:t>
      </w:r>
      <w:r>
        <w:br/>
        <w:t>}</w:t>
      </w:r>
      <w:r>
        <w:br/>
        <w:t>\tag{3.12313}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\boxed{R_{\mathrm{rec}}(x):=\mathcal R_F(\mathcal B_F(x))-x.}</w:t>
      </w:r>
    </w:p>
    <w:p w:rsidR="005002EF" w:rsidRDefault="00E50336" w:rsidP="005002EF">
      <w:r>
        <w:pict>
          <v:rect id="_x0000_i4398" style="width:0;height:1.5pt" o:hralign="center" o:hrstd="t" o:hr="t" fillcolor="#a0a0a0" stroked="f"/>
        </w:pict>
      </w:r>
    </w:p>
    <w:p w:rsidR="005002EF" w:rsidRDefault="005002EF" w:rsidP="005002EF">
      <w:pPr>
        <w:pStyle w:val="berschrift1"/>
      </w:pPr>
      <w:r>
        <w:t>3.3.48.228 Exakte Rekonstruktion über Residuum</w:t>
      </w:r>
    </w:p>
    <w:p w:rsidR="005002EF" w:rsidRDefault="005002EF" w:rsidP="005002EF">
      <w:pPr>
        <w:pStyle w:val="StandardWeb"/>
      </w:pPr>
      <w:r>
        <w:t>Es gilt</w:t>
      </w:r>
    </w:p>
    <w:p w:rsidR="005002EF" w:rsidRDefault="005002EF" w:rsidP="005002EF">
      <w:pPr>
        <w:pStyle w:val="berschrift1"/>
      </w:pPr>
      <w:r>
        <w:t>[</w:t>
      </w:r>
      <w:r>
        <w:br/>
        <w:t>R_{\mathrm{rec}}(x)</w:t>
      </w:r>
    </w:p>
    <w:p w:rsidR="005002EF" w:rsidRDefault="005002EF" w:rsidP="005002EF">
      <w:pPr>
        <w:pStyle w:val="StandardWeb"/>
      </w:pPr>
      <w:r>
        <w:t>0</w:t>
      </w:r>
      <w:r>
        <w:br/>
        <w:t>\qquad</w:t>
      </w:r>
      <w:r>
        <w:br/>
        <w:t>\forall x</w:t>
      </w:r>
      <w:r>
        <w:br/>
        <w:t>\tag{3.12314}</w:t>
      </w:r>
      <w:r>
        <w:br/>
        <w:t>]</w:t>
      </w:r>
    </w:p>
    <w:p w:rsidR="005002EF" w:rsidRDefault="005002EF" w:rsidP="005002EF">
      <w:pPr>
        <w:pStyle w:val="StandardWeb"/>
      </w:pPr>
      <w:r>
        <w:rPr>
          <w:rStyle w:val="Fett"/>
        </w:rPr>
        <w:lastRenderedPageBreak/>
        <w:t>Word-LaTeX</w:t>
      </w:r>
    </w:p>
    <w:p w:rsidR="005002EF" w:rsidRDefault="005002EF" w:rsidP="005002EF">
      <w:pPr>
        <w:pStyle w:val="HTMLVorformatiert"/>
        <w:rPr>
          <w:rStyle w:val="HTMLCode"/>
        </w:rPr>
      </w:pPr>
      <w:r>
        <w:rPr>
          <w:rStyle w:val="HTMLCode"/>
        </w:rPr>
        <w:t>R_{\mathrm{rec}}(x)=0\qquad\forall x</w:t>
      </w:r>
    </w:p>
    <w:p w:rsidR="005002EF" w:rsidRDefault="005002EF" w:rsidP="005002EF">
      <w:pPr>
        <w:pStyle w:val="StandardWeb"/>
      </w:pPr>
      <w:r>
        <w:t>genau dann, wenn die Rekonstruktion auf der betrachteten Domäne exakt ist.</w:t>
      </w:r>
    </w:p>
    <w:p w:rsidR="005002EF" w:rsidRDefault="00E50336" w:rsidP="005002EF">
      <w:r>
        <w:pict>
          <v:rect id="_x0000_i4399" style="width:0;height:1.5pt" o:hralign="center" o:hrstd="t" o:hr="t" fillcolor="#a0a0a0" stroked="f"/>
        </w:pict>
      </w:r>
    </w:p>
    <w:p w:rsidR="005002EF" w:rsidRDefault="005002EF" w:rsidP="005002EF">
      <w:pPr>
        <w:pStyle w:val="berschrift1"/>
      </w:pPr>
      <w:r>
        <w:t>3.3.48.229 Symmetrie des Rekonstruktionsresiduums</w:t>
      </w:r>
    </w:p>
    <w:p w:rsidR="005002EF" w:rsidRDefault="005002EF" w:rsidP="005002EF">
      <w:pPr>
        <w:pStyle w:val="StandardWeb"/>
      </w:pPr>
      <w:r>
        <w:t>Für symmetriekompatible Beobachtung und Rekonstruktion gilt</w:t>
      </w:r>
    </w:p>
    <w:p w:rsidR="005002EF" w:rsidRDefault="005002EF" w:rsidP="005002EF">
      <w:pPr>
        <w:pStyle w:val="berschrift1"/>
      </w:pPr>
      <w:r>
        <w:t>[</w:t>
      </w:r>
      <w:r>
        <w:br/>
        <w:t>R_{\mathrm{rec}}</w:t>
      </w:r>
      <w:r>
        <w:br/>
        <w:t>(\rho_X(g)x)</w:t>
      </w:r>
    </w:p>
    <w:p w:rsidR="005002EF" w:rsidRDefault="005002EF" w:rsidP="005002EF">
      <w:pPr>
        <w:pStyle w:val="StandardWeb"/>
      </w:pPr>
      <w:r>
        <w:t>\rho_X(g)</w:t>
      </w:r>
      <w:r>
        <w:br/>
        <w:t>R_{\mathrm{rec}}(x).</w:t>
      </w:r>
      <w:r>
        <w:br/>
        <w:t>\tag{3.12315}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R_{\mathrm{rec}}(\rho_X(g)x)=\rho_X(g)R_{\mathrm{rec}}(x)</w:t>
      </w:r>
    </w:p>
    <w:p w:rsidR="005002EF" w:rsidRDefault="00E50336" w:rsidP="005002EF">
      <w:r>
        <w:pict>
          <v:rect id="_x0000_i4400" style="width:0;height:1.5pt" o:hralign="center" o:hrstd="t" o:hr="t" fillcolor="#a0a0a0" stroked="f"/>
        </w:pict>
      </w:r>
    </w:p>
    <w:p w:rsidR="005002EF" w:rsidRDefault="005002EF" w:rsidP="005002EF">
      <w:pPr>
        <w:pStyle w:val="berschrift1"/>
      </w:pPr>
      <w:r>
        <w:t>3.3.48.230 Satz 3.3.145 – Das Rekonstruktionsresiduum einer äquivarianter Rekonstruktionskette ist äquivariant</w:t>
      </w:r>
    </w:p>
    <w:p w:rsidR="005002EF" w:rsidRDefault="005002EF" w:rsidP="005002EF">
      <w:pPr>
        <w:pStyle w:val="berschrift3"/>
      </w:pPr>
      <w:r>
        <w:t>Satz 3.3.145</w:t>
      </w:r>
    </w:p>
    <w:p w:rsidR="005002EF" w:rsidRDefault="005002EF" w:rsidP="005002EF">
      <w:pPr>
        <w:pStyle w:val="StandardWeb"/>
      </w:pPr>
      <w:r>
        <w:t>Sind (\mathcal B_F) und (\mathcal R_F) äquivariant, dann gilt</w:t>
      </w:r>
    </w:p>
    <w:p w:rsidR="005002EF" w:rsidRDefault="005002EF" w:rsidP="005002EF">
      <w:pPr>
        <w:pStyle w:val="berschrift1"/>
      </w:pPr>
      <w:r>
        <w:t>[</w:t>
      </w:r>
      <w:r>
        <w:br/>
        <w:t>\boxed{</w:t>
      </w:r>
      <w:r>
        <w:br/>
        <w:t>R_{\mathrm{rec}}</w:t>
      </w:r>
      <w:r>
        <w:br/>
        <w:t>(\rho_X(g)x)</w:t>
      </w:r>
    </w:p>
    <w:p w:rsidR="005002EF" w:rsidRDefault="005002EF" w:rsidP="005002EF">
      <w:pPr>
        <w:pStyle w:val="StandardWeb"/>
      </w:pPr>
      <w:r>
        <w:t>\rho_X(g)</w:t>
      </w:r>
      <w:r>
        <w:br/>
        <w:t>R_{\mathrm{rec}}(x).</w:t>
      </w:r>
      <w:r>
        <w:br/>
        <w:t>}</w:t>
      </w:r>
      <w:r>
        <w:br/>
        <w:t>\tag{3.12316}</w:t>
      </w:r>
      <w:r>
        <w:br/>
        <w:t>]</w:t>
      </w:r>
    </w:p>
    <w:p w:rsidR="005002EF" w:rsidRDefault="005002EF" w:rsidP="005002EF">
      <w:pPr>
        <w:pStyle w:val="StandardWeb"/>
      </w:pPr>
      <w:r>
        <w:rPr>
          <w:rStyle w:val="Fett"/>
        </w:rPr>
        <w:lastRenderedPageBreak/>
        <w:t>Word-LaTeX</w:t>
      </w:r>
    </w:p>
    <w:p w:rsidR="005002EF" w:rsidRDefault="005002EF" w:rsidP="005002EF">
      <w:pPr>
        <w:pStyle w:val="HTMLVorformatiert"/>
        <w:rPr>
          <w:rStyle w:val="HTMLCode"/>
        </w:rPr>
      </w:pPr>
      <w:r>
        <w:rPr>
          <w:rStyle w:val="HTMLCode"/>
        </w:rPr>
        <w:t>\boxed{R_{\mathrm{rec}}(\rho_X(g)x)=\rho_X(g)R_{\mathrm{rec}}(x).}</w:t>
      </w:r>
    </w:p>
    <w:p w:rsidR="005002EF" w:rsidRDefault="005002EF" w:rsidP="005002EF">
      <w:pPr>
        <w:pStyle w:val="berschrift3"/>
      </w:pPr>
      <w:r>
        <w:t>Beweis</w:t>
      </w:r>
    </w:p>
    <w:p w:rsidR="005002EF" w:rsidRDefault="005002EF" w:rsidP="005002EF">
      <w:pPr>
        <w:pStyle w:val="StandardWeb"/>
      </w:pPr>
      <w:r>
        <w:t>Nach Definition gilt</w:t>
      </w:r>
    </w:p>
    <w:p w:rsidR="005002EF" w:rsidRDefault="005002EF" w:rsidP="005002EF">
      <w:pPr>
        <w:pStyle w:val="berschrift1"/>
      </w:pPr>
      <w:r>
        <w:t>[</w:t>
      </w:r>
      <w:r>
        <w:br/>
        <w:t>R_{\mathrm{rec}}</w:t>
      </w:r>
      <w:r>
        <w:br/>
        <w:t>(\rho_X(g)x)</w:t>
      </w:r>
    </w:p>
    <w:p w:rsidR="005002EF" w:rsidRDefault="005002EF" w:rsidP="005002EF">
      <w:pPr>
        <w:pStyle w:val="berschrift2"/>
      </w:pPr>
      <w:r>
        <w:t>\mathcal R_F</w:t>
      </w:r>
      <w:r>
        <w:br/>
        <w:t>\mathcal B_F</w:t>
      </w:r>
      <w:r>
        <w:br/>
        <w:t>(\rho_X(g)x)</w:t>
      </w:r>
    </w:p>
    <w:p w:rsidR="005002EF" w:rsidRDefault="005002EF" w:rsidP="005002EF">
      <w:pPr>
        <w:pStyle w:val="StandardWeb"/>
      </w:pPr>
      <w:r>
        <w:t>\rho_X(g)x.</w:t>
      </w:r>
      <w:r>
        <w:br/>
        <w:t>\tag{3.12317}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R_{\mathrm{rec}}(\rho_X(g)x)=\mathcal R_F\mathcal B_F(\rho_X(g)x)-\rho_X(g)x</w:t>
      </w:r>
    </w:p>
    <w:p w:rsidR="005002EF" w:rsidRDefault="005002EF" w:rsidP="005002EF">
      <w:pPr>
        <w:pStyle w:val="StandardWeb"/>
      </w:pPr>
      <w:r>
        <w:t>Mit Satz 3.3.144 folgt</w:t>
      </w:r>
    </w:p>
    <w:p w:rsidR="005002EF" w:rsidRDefault="005002EF" w:rsidP="005002EF">
      <w:pPr>
        <w:pStyle w:val="berschrift1"/>
      </w:pPr>
      <w:r>
        <w:t>[</w:t>
      </w:r>
      <w:r>
        <w:br/>
        <w:t>R_{\mathrm{rec}}</w:t>
      </w:r>
      <w:r>
        <w:br/>
        <w:t>(\rho_X(g)x)</w:t>
      </w:r>
    </w:p>
    <w:p w:rsidR="005002EF" w:rsidRDefault="005002EF" w:rsidP="005002EF">
      <w:pPr>
        <w:pStyle w:val="berschrift2"/>
      </w:pPr>
      <w:r>
        <w:t>\rho_X(g)</w:t>
      </w:r>
      <w:r>
        <w:br/>
        <w:t>\mathcal R_F</w:t>
      </w:r>
      <w:r>
        <w:br/>
        <w:t>\mathcal B_F(x)</w:t>
      </w:r>
    </w:p>
    <w:p w:rsidR="005002EF" w:rsidRDefault="005002EF" w:rsidP="005002EF">
      <w:pPr>
        <w:pStyle w:val="StandardWeb"/>
      </w:pPr>
      <w:r>
        <w:t>\rho_X(g)x.</w:t>
      </w:r>
      <w:r>
        <w:br/>
        <w:t>\tag{3.12318}</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R_{\mathrm{rec}}(\rho_X(g)x)=\rho_X(g)\mathcal R_F\mathcal B_F(x)-\rho_X(g)x</w:t>
      </w:r>
    </w:p>
    <w:p w:rsidR="005002EF" w:rsidRDefault="005002EF" w:rsidP="005002EF">
      <w:pPr>
        <w:pStyle w:val="StandardWeb"/>
      </w:pPr>
      <w:r>
        <w:t>Somit</w:t>
      </w:r>
    </w:p>
    <w:p w:rsidR="005002EF" w:rsidRDefault="005002EF" w:rsidP="005002EF">
      <w:pPr>
        <w:pStyle w:val="berschrift1"/>
      </w:pPr>
      <w:r>
        <w:lastRenderedPageBreak/>
        <w:t>[</w:t>
      </w:r>
      <w:r>
        <w:br/>
        <w:t>R_{\mathrm{rec}}</w:t>
      </w:r>
      <w:r>
        <w:br/>
        <w:t>(\rho_X(g)x)</w:t>
      </w:r>
    </w:p>
    <w:p w:rsidR="005002EF" w:rsidRDefault="005002EF" w:rsidP="005002EF">
      <w:pPr>
        <w:pStyle w:val="berschrift2"/>
      </w:pPr>
      <w:r>
        <w:t>\rho_X(g)</w:t>
      </w:r>
      <w:r>
        <w:br/>
        <w:t>\left[</w:t>
      </w:r>
      <w:r>
        <w:br/>
        <w:t>\mathcal R_F</w:t>
      </w:r>
      <w:r>
        <w:br/>
        <w:t>\mathcal B_F(x)</w:t>
      </w:r>
    </w:p>
    <w:p w:rsidR="005002EF" w:rsidRDefault="005002EF" w:rsidP="005002EF">
      <w:pPr>
        <w:pStyle w:val="StandardWeb"/>
      </w:pPr>
      <w:r>
        <w:t>x</w:t>
      </w:r>
      <w:r>
        <w:br/>
        <w:t>\right].</w:t>
      </w:r>
      <w:r>
        <w:br/>
        <w:t>\tag{3.12319}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R_{\mathrm{rec}}(\rho_X(g)x)=\rho_X(g)\left[\mathcal R_F\mathcal B_F(x)-x\right]</w:t>
      </w:r>
    </w:p>
    <w:p w:rsidR="005002EF" w:rsidRDefault="005002EF" w:rsidP="005002EF">
      <w:pPr>
        <w:pStyle w:val="StandardWeb"/>
      </w:pPr>
      <w:r>
        <w:t>also Gleichung (3.12316). (\square)</w:t>
      </w:r>
    </w:p>
    <w:p w:rsidR="005002EF" w:rsidRDefault="00E50336" w:rsidP="005002EF">
      <w:r>
        <w:pict>
          <v:rect id="_x0000_i4401" style="width:0;height:1.5pt" o:hralign="center" o:hrstd="t" o:hr="t" fillcolor="#a0a0a0" stroked="f"/>
        </w:pict>
      </w:r>
    </w:p>
    <w:p w:rsidR="005002EF" w:rsidRDefault="005002EF" w:rsidP="005002EF">
      <w:pPr>
        <w:pStyle w:val="berschrift1"/>
      </w:pPr>
      <w:r>
        <w:t>3.3.48.231 Beobachtbarkeit unter Symmetrien</w:t>
      </w:r>
    </w:p>
    <w:p w:rsidR="005002EF" w:rsidRDefault="005002EF" w:rsidP="005002EF">
      <w:pPr>
        <w:pStyle w:val="StandardWeb"/>
      </w:pPr>
      <w:r>
        <w:t>Eine weitere zentrale Frage lautet, ob eine Beobachtungsabbildung symmetrieäquivalente Zustände unterscheiden kann.</w:t>
      </w:r>
    </w:p>
    <w:p w:rsidR="005002EF" w:rsidRDefault="005002EF" w:rsidP="005002EF">
      <w:pPr>
        <w:pStyle w:val="StandardWeb"/>
      </w:pPr>
      <w:r>
        <w:t>Seien</w:t>
      </w:r>
    </w:p>
    <w:p w:rsidR="005002EF" w:rsidRDefault="005002EF" w:rsidP="005002EF">
      <w:pPr>
        <w:pStyle w:val="berschrift1"/>
      </w:pPr>
      <w:r>
        <w:t>[</w:t>
      </w:r>
      <w:r>
        <w:br/>
        <w:t>z_2</w:t>
      </w:r>
    </w:p>
    <w:p w:rsidR="005002EF" w:rsidRDefault="005002EF" w:rsidP="005002EF">
      <w:pPr>
        <w:pStyle w:val="StandardWeb"/>
      </w:pPr>
      <w:r>
        <w:t>g(z_1)</w:t>
      </w:r>
      <w:r>
        <w:br/>
        <w:t>\tag{3.12320}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z_2=g(z_1)</w:t>
      </w:r>
    </w:p>
    <w:p w:rsidR="005002EF" w:rsidRDefault="005002EF" w:rsidP="005002EF">
      <w:pPr>
        <w:pStyle w:val="StandardWeb"/>
      </w:pPr>
      <w:r>
        <w:t>und eine Beobachtungsabbildung</w:t>
      </w:r>
    </w:p>
    <w:p w:rsidR="005002EF" w:rsidRDefault="005002EF" w:rsidP="005002EF">
      <w:pPr>
        <w:pStyle w:val="StandardWeb"/>
      </w:pPr>
      <w:r>
        <w:t>[</w:t>
      </w:r>
      <w:r>
        <w:br/>
        <w:t>\mathcal B_F:</w:t>
      </w:r>
      <w:r>
        <w:br/>
        <w:t>\Omega_F</w:t>
      </w:r>
      <w:r>
        <w:br/>
      </w:r>
      <w:r>
        <w:lastRenderedPageBreak/>
        <w:t>\rightarrow</w:t>
      </w:r>
      <w:r>
        <w:br/>
        <w:t>\mathcal Y_F.</w:t>
      </w:r>
      <w:r>
        <w:br/>
        <w:t>\tag{3.12321}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B_F:\Omega_F\rightarrow\mathcal Y_F</w:t>
      </w:r>
    </w:p>
    <w:p w:rsidR="005002EF" w:rsidRDefault="00E50336" w:rsidP="005002EF">
      <w:r>
        <w:pict>
          <v:rect id="_x0000_i4402" style="width:0;height:1.5pt" o:hralign="center" o:hrstd="t" o:hr="t" fillcolor="#a0a0a0" stroked="f"/>
        </w:pict>
      </w:r>
    </w:p>
    <w:p w:rsidR="005002EF" w:rsidRDefault="005002EF" w:rsidP="005002EF">
      <w:pPr>
        <w:pStyle w:val="berschrift1"/>
      </w:pPr>
      <w:r>
        <w:t>3.3.48.232 Invariante Beobachtung</w:t>
      </w:r>
    </w:p>
    <w:p w:rsidR="005002EF" w:rsidRDefault="005002EF" w:rsidP="005002EF">
      <w:pPr>
        <w:pStyle w:val="StandardWeb"/>
      </w:pPr>
      <w:r>
        <w:t>Ist</w:t>
      </w:r>
    </w:p>
    <w:p w:rsidR="005002EF" w:rsidRDefault="005002EF" w:rsidP="005002EF">
      <w:pPr>
        <w:pStyle w:val="berschrift1"/>
      </w:pPr>
      <w:r>
        <w:t>[</w:t>
      </w:r>
      <w:r>
        <w:br/>
        <w:t>\mathcal B_F(g(z))</w:t>
      </w:r>
    </w:p>
    <w:p w:rsidR="005002EF" w:rsidRDefault="005002EF" w:rsidP="005002EF">
      <w:pPr>
        <w:pStyle w:val="StandardWeb"/>
      </w:pPr>
      <w:r>
        <w:t>\mathcal B_F(z),</w:t>
      </w:r>
      <w:r>
        <w:br/>
        <w:t>\tag{3.12322}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B_F(g(z))=\mathcal B_F(z)</w:t>
      </w:r>
    </w:p>
    <w:p w:rsidR="005002EF" w:rsidRDefault="005002EF" w:rsidP="005002EF">
      <w:pPr>
        <w:pStyle w:val="StandardWeb"/>
      </w:pPr>
      <w:r>
        <w:t>dann kann die Beobachtung Zustände derselben Symmetriebahn nicht unterscheiden.</w:t>
      </w:r>
    </w:p>
    <w:p w:rsidR="005002EF" w:rsidRDefault="00E50336" w:rsidP="005002EF">
      <w:r>
        <w:pict>
          <v:rect id="_x0000_i4403" style="width:0;height:1.5pt" o:hralign="center" o:hrstd="t" o:hr="t" fillcolor="#a0a0a0" stroked="f"/>
        </w:pict>
      </w:r>
    </w:p>
    <w:p w:rsidR="005002EF" w:rsidRDefault="005002EF" w:rsidP="005002EF">
      <w:pPr>
        <w:pStyle w:val="berschrift1"/>
      </w:pPr>
      <w:r>
        <w:t>3.3.48.233 Definition 3.3.352 – Symmetrieblinde funktionale Beobachtung</w:t>
      </w:r>
    </w:p>
    <w:p w:rsidR="005002EF" w:rsidRDefault="005002EF" w:rsidP="005002EF">
      <w:pPr>
        <w:pStyle w:val="berschrift3"/>
      </w:pPr>
      <w:r>
        <w:t>Definition 3.3.352</w:t>
      </w:r>
    </w:p>
    <w:p w:rsidR="005002EF" w:rsidRDefault="005002EF" w:rsidP="005002EF">
      <w:pPr>
        <w:pStyle w:val="StandardWeb"/>
      </w:pPr>
      <w:r>
        <w:t xml:space="preserve">Eine Beobachtungsabbildung (\mathcal B_F) heißt bezüglich einer Gruppenwirkung (G) </w:t>
      </w:r>
      <w:r>
        <w:rPr>
          <w:rStyle w:val="Fett"/>
        </w:rPr>
        <w:t>symmetrieblind</w:t>
      </w:r>
      <w:r>
        <w:t>, wenn</w:t>
      </w:r>
    </w:p>
    <w:p w:rsidR="005002EF" w:rsidRDefault="005002EF" w:rsidP="005002EF">
      <w:pPr>
        <w:pStyle w:val="berschrift1"/>
      </w:pPr>
      <w:r>
        <w:t>[</w:t>
      </w:r>
      <w:r>
        <w:br/>
        <w:t>\boxed{</w:t>
      </w:r>
      <w:r>
        <w:br/>
        <w:t>\mathcal B_F(g(z))</w:t>
      </w:r>
    </w:p>
    <w:p w:rsidR="005002EF" w:rsidRDefault="005002EF" w:rsidP="005002EF">
      <w:pPr>
        <w:pStyle w:val="StandardWeb"/>
      </w:pPr>
      <w:r>
        <w:t>\mathcal B_F(z)</w:t>
      </w:r>
      <w:r>
        <w:br/>
        <w:t>\qquad</w:t>
      </w:r>
      <w:r>
        <w:br/>
        <w:t>\forall g\in G,;</w:t>
      </w:r>
      <w:r>
        <w:br/>
        <w:t>z\in\Omega_F.</w:t>
      </w:r>
      <w:r>
        <w:br/>
        <w:t>}</w:t>
      </w:r>
      <w:r>
        <w:br/>
      </w:r>
      <w:r>
        <w:lastRenderedPageBreak/>
        <w:t>\tag{3.12323}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B_F(g(z))=\mathcal B_F(z)\qquad\forall g\in G,\;z\in\Omega_F.}</w:t>
      </w:r>
    </w:p>
    <w:p w:rsidR="005002EF" w:rsidRDefault="00E50336" w:rsidP="005002EF">
      <w:r>
        <w:pict>
          <v:rect id="_x0000_i4404" style="width:0;height:1.5pt" o:hralign="center" o:hrstd="t" o:hr="t" fillcolor="#a0a0a0" stroked="f"/>
        </w:pict>
      </w:r>
    </w:p>
    <w:p w:rsidR="005002EF" w:rsidRDefault="005002EF" w:rsidP="005002EF">
      <w:pPr>
        <w:pStyle w:val="berschrift1"/>
      </w:pPr>
      <w:r>
        <w:t>3.3.48.234 Symmetrieblindheit und Quotientierung</w:t>
      </w:r>
    </w:p>
    <w:p w:rsidR="005002EF" w:rsidRDefault="005002EF" w:rsidP="005002EF">
      <w:pPr>
        <w:pStyle w:val="StandardWeb"/>
      </w:pPr>
      <w:r>
        <w:t>Eine symmetrieblinde Beobachtungsabbildung ist auf jeder Symmetriebahn konstant.</w:t>
      </w:r>
    </w:p>
    <w:p w:rsidR="005002EF" w:rsidRDefault="005002EF" w:rsidP="005002EF">
      <w:pPr>
        <w:pStyle w:val="StandardWeb"/>
      </w:pPr>
      <w:r>
        <w:t>Daher existiert eine Abbildung</w:t>
      </w:r>
    </w:p>
    <w:p w:rsidR="005002EF" w:rsidRDefault="005002EF" w:rsidP="005002EF">
      <w:pPr>
        <w:pStyle w:val="StandardWeb"/>
      </w:pPr>
      <w:r>
        <w:t>[</w:t>
      </w:r>
      <w:r>
        <w:br/>
        <w:t>\bar{\mathcal B}_F:</w:t>
      </w:r>
      <w:r>
        <w:br/>
        <w:t>\Omega_F/G</w:t>
      </w:r>
      <w:r>
        <w:br/>
        <w:t>\rightarrow</w:t>
      </w:r>
      <w:r>
        <w:br/>
        <w:t>\mathcal Y_F</w:t>
      </w:r>
      <w:r>
        <w:br/>
        <w:t>\tag{3.12324}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\bar{\mathcal B}_F:\Omega_F/G\rightarrow\mathcal Y_F</w:t>
      </w:r>
    </w:p>
    <w:p w:rsidR="005002EF" w:rsidRDefault="005002EF" w:rsidP="005002EF">
      <w:pPr>
        <w:pStyle w:val="StandardWeb"/>
      </w:pPr>
      <w:r>
        <w:t>mit</w:t>
      </w:r>
    </w:p>
    <w:p w:rsidR="005002EF" w:rsidRDefault="005002EF" w:rsidP="005002EF">
      <w:pPr>
        <w:pStyle w:val="berschrift1"/>
      </w:pPr>
      <w:r>
        <w:t>[</w:t>
      </w:r>
      <w:r>
        <w:br/>
        <w:t>\mathcal B_F</w:t>
      </w:r>
    </w:p>
    <w:p w:rsidR="005002EF" w:rsidRDefault="005002EF" w:rsidP="005002EF">
      <w:pPr>
        <w:pStyle w:val="StandardWeb"/>
      </w:pPr>
      <w:r>
        <w:t>\bar{\mathcal B}_F</w:t>
      </w:r>
      <w:r>
        <w:br/>
        <w:t>\circ</w:t>
      </w:r>
      <w:r>
        <w:br/>
        <w:t>\pi_G.</w:t>
      </w:r>
      <w:r>
        <w:br/>
        <w:t>\tag{3.12325}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B_F=\bar{\mathcal B}_F\circ\pi_G</w:t>
      </w:r>
    </w:p>
    <w:p w:rsidR="005002EF" w:rsidRDefault="00E50336" w:rsidP="005002EF">
      <w:r>
        <w:pict>
          <v:rect id="_x0000_i4405" style="width:0;height:1.5pt" o:hralign="center" o:hrstd="t" o:hr="t" fillcolor="#a0a0a0" stroked="f"/>
        </w:pict>
      </w:r>
    </w:p>
    <w:p w:rsidR="005002EF" w:rsidRDefault="005002EF" w:rsidP="005002EF">
      <w:pPr>
        <w:pStyle w:val="berschrift1"/>
      </w:pPr>
      <w:r>
        <w:t>3.3.48.235 Satz 3.3.146 – Symmetrieblinde Beobachtungen faktorisieren über den Symmetriequotienten</w:t>
      </w:r>
    </w:p>
    <w:p w:rsidR="005002EF" w:rsidRDefault="005002EF" w:rsidP="005002EF">
      <w:pPr>
        <w:pStyle w:val="berschrift3"/>
      </w:pPr>
      <w:r>
        <w:lastRenderedPageBreak/>
        <w:t>Satz 3.3.146</w:t>
      </w:r>
    </w:p>
    <w:p w:rsidR="005002EF" w:rsidRDefault="005002EF" w:rsidP="005002EF">
      <w:pPr>
        <w:pStyle w:val="StandardWeb"/>
      </w:pPr>
      <w:r>
        <w:t>Ist (\mathcal B_F) symmetrieblind bezüglich (G), dann existiert</w:t>
      </w:r>
    </w:p>
    <w:p w:rsidR="005002EF" w:rsidRDefault="005002EF" w:rsidP="005002EF">
      <w:pPr>
        <w:pStyle w:val="StandardWeb"/>
      </w:pPr>
      <w:r>
        <w:t>[</w:t>
      </w:r>
      <w:r>
        <w:br/>
        <w:t>\bar{\mathcal B}_F:</w:t>
      </w:r>
      <w:r>
        <w:br/>
        <w:t>\Omega_F/G</w:t>
      </w:r>
      <w:r>
        <w:br/>
        <w:t>\rightarrow</w:t>
      </w:r>
      <w:r>
        <w:br/>
        <w:t>\mathcal Y_F</w:t>
      </w:r>
      <w:r>
        <w:br/>
        <w:t>\tag{3.12326}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\bar{\mathcal B}_F:\Omega_F/G\rightarrow\mathcal Y_F</w:t>
      </w:r>
    </w:p>
    <w:p w:rsidR="005002EF" w:rsidRDefault="005002EF" w:rsidP="005002EF">
      <w:pPr>
        <w:pStyle w:val="StandardWeb"/>
      </w:pPr>
      <w:r>
        <w:t>mit</w:t>
      </w:r>
    </w:p>
    <w:p w:rsidR="005002EF" w:rsidRDefault="005002EF" w:rsidP="005002EF">
      <w:pPr>
        <w:pStyle w:val="berschrift1"/>
      </w:pPr>
      <w:r>
        <w:t>[</w:t>
      </w:r>
      <w:r>
        <w:br/>
        <w:t>\boxed{</w:t>
      </w:r>
      <w:r>
        <w:br/>
        <w:t>\mathcal B_F</w:t>
      </w:r>
    </w:p>
    <w:p w:rsidR="005002EF" w:rsidRDefault="005002EF" w:rsidP="005002EF">
      <w:pPr>
        <w:pStyle w:val="StandardWeb"/>
      </w:pPr>
      <w:r>
        <w:t>\bar{\mathcal B}_F</w:t>
      </w:r>
      <w:r>
        <w:br/>
        <w:t>\circ</w:t>
      </w:r>
      <w:r>
        <w:br/>
        <w:t>\pi_G.</w:t>
      </w:r>
      <w:r>
        <w:br/>
        <w:t>}</w:t>
      </w:r>
      <w:r>
        <w:br/>
        <w:t>\tag{3.12327}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B_F=\bar{\mathcal B}_F\circ\pi_G.}</w:t>
      </w:r>
    </w:p>
    <w:p w:rsidR="005002EF" w:rsidRDefault="00E50336" w:rsidP="005002EF">
      <w:r>
        <w:pict>
          <v:rect id="_x0000_i4406" style="width:0;height:1.5pt" o:hralign="center" o:hrstd="t" o:hr="t" fillcolor="#a0a0a0" stroked="f"/>
        </w:pict>
      </w:r>
    </w:p>
    <w:p w:rsidR="005002EF" w:rsidRDefault="005002EF" w:rsidP="005002EF">
      <w:pPr>
        <w:pStyle w:val="berschrift1"/>
      </w:pPr>
      <w:r>
        <w:t>3.3.48.236 Beobachtbare Symmetrie</w:t>
      </w:r>
    </w:p>
    <w:p w:rsidR="005002EF" w:rsidRDefault="005002EF" w:rsidP="005002EF">
      <w:pPr>
        <w:pStyle w:val="StandardWeb"/>
      </w:pPr>
      <w:r>
        <w:t>Ist die Beobachtung dagegen äquivariant,</w:t>
      </w:r>
    </w:p>
    <w:p w:rsidR="005002EF" w:rsidRDefault="005002EF" w:rsidP="005002EF">
      <w:pPr>
        <w:pStyle w:val="berschrift1"/>
      </w:pPr>
      <w:r>
        <w:t>[</w:t>
      </w:r>
      <w:r>
        <w:br/>
        <w:t>\mathcal B_F(g(z))</w:t>
      </w:r>
    </w:p>
    <w:p w:rsidR="005002EF" w:rsidRDefault="005002EF" w:rsidP="005002EF">
      <w:pPr>
        <w:pStyle w:val="StandardWeb"/>
      </w:pPr>
      <w:r>
        <w:t>\rho_Y(g)</w:t>
      </w:r>
      <w:r>
        <w:br/>
        <w:t>\mathcal B_F(z),</w:t>
      </w:r>
      <w:r>
        <w:br/>
        <w:t>\tag{3.12328}</w:t>
      </w:r>
      <w:r>
        <w:br/>
        <w:t>]</w:t>
      </w:r>
    </w:p>
    <w:p w:rsidR="005002EF" w:rsidRDefault="005002EF" w:rsidP="005002EF">
      <w:pPr>
        <w:pStyle w:val="StandardWeb"/>
      </w:pPr>
      <w:r>
        <w:rPr>
          <w:rStyle w:val="Fett"/>
        </w:rPr>
        <w:lastRenderedPageBreak/>
        <w:t>Word-LaTeX</w:t>
      </w:r>
    </w:p>
    <w:p w:rsidR="005002EF" w:rsidRDefault="005002EF" w:rsidP="005002EF">
      <w:pPr>
        <w:pStyle w:val="HTMLVorformatiert"/>
        <w:rPr>
          <w:rStyle w:val="HTMLCode"/>
        </w:rPr>
      </w:pPr>
      <w:r>
        <w:rPr>
          <w:rStyle w:val="HTMLCode"/>
        </w:rPr>
        <w:t>\mathcal B_F(g(z))=\rho_Y(g)\mathcal B_F(z)</w:t>
      </w:r>
    </w:p>
    <w:p w:rsidR="005002EF" w:rsidRDefault="005002EF" w:rsidP="005002EF">
      <w:pPr>
        <w:pStyle w:val="StandardWeb"/>
      </w:pPr>
      <w:r>
        <w:t>kann die Symmetrie im Beobachtungsraum sichtbar bleiben.</w:t>
      </w:r>
    </w:p>
    <w:p w:rsidR="005002EF" w:rsidRDefault="00E50336" w:rsidP="005002EF">
      <w:r>
        <w:pict>
          <v:rect id="_x0000_i4407" style="width:0;height:1.5pt" o:hralign="center" o:hrstd="t" o:hr="t" fillcolor="#a0a0a0" stroked="f"/>
        </w:pict>
      </w:r>
    </w:p>
    <w:p w:rsidR="005002EF" w:rsidRDefault="005002EF" w:rsidP="005002EF">
      <w:pPr>
        <w:pStyle w:val="berschrift1"/>
      </w:pPr>
      <w:r>
        <w:t>3.3.48.237 Definition 3.3.353 – Symmetriesensitive funktionale Beobachtung</w:t>
      </w:r>
    </w:p>
    <w:p w:rsidR="005002EF" w:rsidRDefault="005002EF" w:rsidP="005002EF">
      <w:pPr>
        <w:pStyle w:val="berschrift3"/>
      </w:pPr>
      <w:r>
        <w:t>Definition 3.3.353</w:t>
      </w:r>
    </w:p>
    <w:p w:rsidR="005002EF" w:rsidRDefault="005002EF" w:rsidP="005002EF">
      <w:pPr>
        <w:pStyle w:val="StandardWeb"/>
      </w:pPr>
      <w:r>
        <w:t xml:space="preserve">Eine Beobachtungsabbildung heißt </w:t>
      </w:r>
      <w:r>
        <w:rPr>
          <w:rStyle w:val="Fett"/>
        </w:rPr>
        <w:t>symmetriesensitiv</w:t>
      </w:r>
      <w:r>
        <w:t>, wenn mindestens ein (g\in G) und ein (z\in\Omega_F) existieren mit</w:t>
      </w:r>
    </w:p>
    <w:p w:rsidR="005002EF" w:rsidRDefault="005002EF" w:rsidP="005002EF">
      <w:pPr>
        <w:pStyle w:val="StandardWeb"/>
      </w:pPr>
      <w:r>
        <w:t>[</w:t>
      </w:r>
      <w:r>
        <w:br/>
        <w:t>\boxed{</w:t>
      </w:r>
      <w:r>
        <w:br/>
        <w:t>\mathcal B_F(g(z))</w:t>
      </w:r>
      <w:r>
        <w:br/>
        <w:t>\neq</w:t>
      </w:r>
      <w:r>
        <w:br/>
        <w:t>\mathcal B_F(z).</w:t>
      </w:r>
      <w:r>
        <w:br/>
        <w:t>}</w:t>
      </w:r>
      <w:r>
        <w:br/>
        <w:t>\tag{3.12329}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B_F(g(z))\neq\mathcal B_F(z).}</w:t>
      </w:r>
    </w:p>
    <w:p w:rsidR="005002EF" w:rsidRDefault="00E50336" w:rsidP="005002EF">
      <w:r>
        <w:pict>
          <v:rect id="_x0000_i4408" style="width:0;height:1.5pt" o:hralign="center" o:hrstd="t" o:hr="t" fillcolor="#a0a0a0" stroked="f"/>
        </w:pict>
      </w:r>
    </w:p>
    <w:p w:rsidR="005002EF" w:rsidRDefault="005002EF" w:rsidP="005002EF">
      <w:pPr>
        <w:pStyle w:val="berschrift1"/>
      </w:pPr>
      <w:r>
        <w:t>3.3.48.238 Beobachtungsäquivalenzklasse</w:t>
      </w:r>
    </w:p>
    <w:p w:rsidR="005002EF" w:rsidRDefault="005002EF" w:rsidP="005002EF">
      <w:pPr>
        <w:pStyle w:val="StandardWeb"/>
      </w:pPr>
      <w:r>
        <w:t>Für eine Beobachtungsabbildung kann ich unabhängig von einer Symmetriegruppe die Relation</w:t>
      </w:r>
    </w:p>
    <w:p w:rsidR="005002EF" w:rsidRDefault="005002EF" w:rsidP="005002EF">
      <w:pPr>
        <w:pStyle w:val="berschrift1"/>
      </w:pPr>
      <w:r>
        <w:t>[</w:t>
      </w:r>
      <w:r>
        <w:br/>
        <w:t>z_i</w:t>
      </w:r>
      <w:r>
        <w:br/>
        <w:t>\sim_{\mathcal B}</w:t>
      </w:r>
      <w:r>
        <w:br/>
        <w:t>z_j</w:t>
      </w:r>
      <w:r>
        <w:br/>
        <w:t>\Longleftrightarrow</w:t>
      </w:r>
      <w:r>
        <w:br/>
        <w:t>\mathcal B_F(z_i)</w:t>
      </w:r>
    </w:p>
    <w:p w:rsidR="005002EF" w:rsidRDefault="005002EF" w:rsidP="005002EF">
      <w:pPr>
        <w:pStyle w:val="StandardWeb"/>
      </w:pPr>
      <w:r>
        <w:t>\mathcal B_F(z_j)</w:t>
      </w:r>
      <w:r>
        <w:br/>
        <w:t>\tag{3.12330}</w:t>
      </w:r>
      <w:r>
        <w:br/>
        <w:t>]</w:t>
      </w:r>
    </w:p>
    <w:p w:rsidR="005002EF" w:rsidRDefault="005002EF" w:rsidP="005002EF">
      <w:pPr>
        <w:pStyle w:val="StandardWeb"/>
      </w:pPr>
      <w:r>
        <w:rPr>
          <w:rStyle w:val="Fett"/>
        </w:rPr>
        <w:lastRenderedPageBreak/>
        <w:t>Word-LaTeX</w:t>
      </w:r>
    </w:p>
    <w:p w:rsidR="005002EF" w:rsidRDefault="005002EF" w:rsidP="005002EF">
      <w:pPr>
        <w:pStyle w:val="HTMLVorformatiert"/>
        <w:rPr>
          <w:rStyle w:val="HTMLCode"/>
        </w:rPr>
      </w:pPr>
      <w:r>
        <w:rPr>
          <w:rStyle w:val="HTMLCode"/>
        </w:rPr>
        <w:t>z_i\sim_{\mathcal B}z_j\Longleftrightarrow\mathcal B_F(z_i)=\mathcal B_F(z_j)</w:t>
      </w:r>
    </w:p>
    <w:p w:rsidR="005002EF" w:rsidRDefault="005002EF" w:rsidP="005002EF">
      <w:pPr>
        <w:pStyle w:val="StandardWeb"/>
      </w:pPr>
      <w:r>
        <w:t>definieren.</w:t>
      </w:r>
    </w:p>
    <w:p w:rsidR="005002EF" w:rsidRDefault="00E50336" w:rsidP="005002EF">
      <w:r>
        <w:pict>
          <v:rect id="_x0000_i4409" style="width:0;height:1.5pt" o:hralign="center" o:hrstd="t" o:hr="t" fillcolor="#a0a0a0" stroked="f"/>
        </w:pict>
      </w:r>
    </w:p>
    <w:p w:rsidR="005002EF" w:rsidRDefault="005002EF" w:rsidP="005002EF">
      <w:pPr>
        <w:pStyle w:val="berschrift1"/>
      </w:pPr>
      <w:r>
        <w:t>3.3.48.239 Definition 3.3.354 – Funktionale Beobachtungsäquivalenz von Zuständen</w:t>
      </w:r>
    </w:p>
    <w:p w:rsidR="005002EF" w:rsidRDefault="005002EF" w:rsidP="005002EF">
      <w:pPr>
        <w:pStyle w:val="berschrift3"/>
      </w:pPr>
      <w:r>
        <w:t>Definition 3.3.354</w:t>
      </w:r>
    </w:p>
    <w:p w:rsidR="005002EF" w:rsidRDefault="005002EF" w:rsidP="005002EF">
      <w:pPr>
        <w:pStyle w:val="StandardWeb"/>
      </w:pPr>
      <w:r>
        <w:t xml:space="preserve">Zwei Zustände heißen bezüglich (\mathcal B_F) </w:t>
      </w:r>
      <w:r>
        <w:rPr>
          <w:rStyle w:val="Fett"/>
        </w:rPr>
        <w:t>beobachtungsäquivalent</w:t>
      </w:r>
      <w:r>
        <w:t>, wenn</w:t>
      </w:r>
    </w:p>
    <w:p w:rsidR="005002EF" w:rsidRDefault="005002EF" w:rsidP="005002EF">
      <w:pPr>
        <w:pStyle w:val="berschrift1"/>
      </w:pPr>
      <w:r>
        <w:t>[</w:t>
      </w:r>
      <w:r>
        <w:br/>
        <w:t>\boxed{</w:t>
      </w:r>
      <w:r>
        <w:br/>
        <w:t>z_i</w:t>
      </w:r>
      <w:r>
        <w:br/>
        <w:t>\sim_{\mathcal B}</w:t>
      </w:r>
      <w:r>
        <w:br/>
        <w:t>z_j</w:t>
      </w:r>
      <w:r>
        <w:br/>
        <w:t>\Longleftrightarrow</w:t>
      </w:r>
      <w:r>
        <w:br/>
        <w:t>\mathcal B_F(z_i)</w:t>
      </w:r>
    </w:p>
    <w:p w:rsidR="005002EF" w:rsidRDefault="005002EF" w:rsidP="005002EF">
      <w:pPr>
        <w:pStyle w:val="StandardWeb"/>
      </w:pPr>
      <w:r>
        <w:t>\mathcal B_F(z_j).</w:t>
      </w:r>
      <w:r>
        <w:br/>
        <w:t>}</w:t>
      </w:r>
      <w:r>
        <w:br/>
        <w:t>\tag{3.12331}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\boxed{z_i\sim_{\mathcal B}z_j\Longleftrightarrow\mathcal B_F(z_i)=\mathcal B_F(z_j).}</w:t>
      </w:r>
    </w:p>
    <w:p w:rsidR="005002EF" w:rsidRDefault="00E50336" w:rsidP="005002EF">
      <w:r>
        <w:pict>
          <v:rect id="_x0000_i4410" style="width:0;height:1.5pt" o:hralign="center" o:hrstd="t" o:hr="t" fillcolor="#a0a0a0" stroked="f"/>
        </w:pict>
      </w:r>
    </w:p>
    <w:p w:rsidR="005002EF" w:rsidRDefault="005002EF" w:rsidP="005002EF">
      <w:pPr>
        <w:pStyle w:val="berschrift1"/>
      </w:pPr>
      <w:r>
        <w:t>3.3.48.240 Beobachtungsäquivalenz als Äquivalenzrelation</w:t>
      </w:r>
    </w:p>
    <w:p w:rsidR="005002EF" w:rsidRDefault="005002EF" w:rsidP="005002EF">
      <w:pPr>
        <w:pStyle w:val="StandardWeb"/>
      </w:pPr>
      <w:r>
        <w:t>Die Relation (\sim_{\mathcal B}) ist reflexiv, symmetrisch und transitiv, weil sie durch Gleichheit im Beobachtungsraum erzeugt wird.</w:t>
      </w:r>
    </w:p>
    <w:p w:rsidR="005002EF" w:rsidRDefault="00E50336" w:rsidP="005002EF">
      <w:r>
        <w:pict>
          <v:rect id="_x0000_i4411" style="width:0;height:1.5pt" o:hralign="center" o:hrstd="t" o:hr="t" fillcolor="#a0a0a0" stroked="f"/>
        </w:pict>
      </w:r>
    </w:p>
    <w:p w:rsidR="005002EF" w:rsidRDefault="005002EF" w:rsidP="005002EF">
      <w:pPr>
        <w:pStyle w:val="berschrift1"/>
      </w:pPr>
      <w:r>
        <w:lastRenderedPageBreak/>
        <w:t>3.3.48.241 Satz 3.3.147 – Beobachtungsäquivalenz ist eine Äquivalenzrelation</w:t>
      </w:r>
    </w:p>
    <w:p w:rsidR="005002EF" w:rsidRDefault="005002EF" w:rsidP="005002EF">
      <w:pPr>
        <w:pStyle w:val="berschrift3"/>
      </w:pPr>
      <w:r>
        <w:t>Satz 3.3.147</w:t>
      </w:r>
    </w:p>
    <w:p w:rsidR="005002EF" w:rsidRDefault="005002EF" w:rsidP="005002EF">
      <w:pPr>
        <w:pStyle w:val="StandardWeb"/>
      </w:pPr>
      <w:r>
        <w:t>Für jede wohldefinierte Beobachtungsabbildung (\mathcal B_F) ist</w:t>
      </w:r>
    </w:p>
    <w:p w:rsidR="005002EF" w:rsidRDefault="005002EF" w:rsidP="005002EF">
      <w:pPr>
        <w:pStyle w:val="StandardWeb"/>
      </w:pPr>
      <w:r>
        <w:t>[</w:t>
      </w:r>
      <w:r>
        <w:br/>
        <w:t>\boxed{</w:t>
      </w:r>
      <w:r>
        <w:br/>
        <w:t>\sim_{\mathcal B}</w:t>
      </w:r>
      <w:r>
        <w:br/>
        <w:t>}</w:t>
      </w:r>
      <w:r>
        <w:br/>
        <w:t>\tag{3.12332}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\boxed{\sim_{\mathcal B}}</w:t>
      </w:r>
    </w:p>
    <w:p w:rsidR="005002EF" w:rsidRDefault="005002EF" w:rsidP="005002EF">
      <w:pPr>
        <w:pStyle w:val="StandardWeb"/>
      </w:pPr>
      <w:r>
        <w:t>eine Äquivalenzrelation auf ihrer Definitionsmenge.</w:t>
      </w:r>
    </w:p>
    <w:p w:rsidR="005002EF" w:rsidRDefault="005002EF" w:rsidP="005002EF">
      <w:pPr>
        <w:pStyle w:val="berschrift3"/>
      </w:pPr>
      <w:r>
        <w:t>Beweis</w:t>
      </w:r>
    </w:p>
    <w:p w:rsidR="005002EF" w:rsidRDefault="005002EF" w:rsidP="005002EF">
      <w:pPr>
        <w:pStyle w:val="StandardWeb"/>
      </w:pPr>
      <w:r>
        <w:t>Reflexivität folgt aus</w:t>
      </w:r>
    </w:p>
    <w:p w:rsidR="005002EF" w:rsidRDefault="005002EF" w:rsidP="005002EF">
      <w:pPr>
        <w:pStyle w:val="berschrift1"/>
      </w:pPr>
      <w:r>
        <w:t>[</w:t>
      </w:r>
      <w:r>
        <w:br/>
        <w:t>\mathcal B_F(z)</w:t>
      </w:r>
    </w:p>
    <w:p w:rsidR="005002EF" w:rsidRDefault="005002EF" w:rsidP="005002EF">
      <w:pPr>
        <w:pStyle w:val="StandardWeb"/>
      </w:pPr>
      <w:r>
        <w:t>\mathcal B_F(z).</w:t>
      </w:r>
      <w:r>
        <w:br/>
        <w:t>\tag{3.12333}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B_F(z)=\mathcal B_F(z)</w:t>
      </w:r>
    </w:p>
    <w:p w:rsidR="005002EF" w:rsidRDefault="005002EF" w:rsidP="005002EF">
      <w:pPr>
        <w:pStyle w:val="StandardWeb"/>
      </w:pPr>
      <w:r>
        <w:t>Symmetrie folgt aus</w:t>
      </w:r>
    </w:p>
    <w:p w:rsidR="005002EF" w:rsidRDefault="005002EF" w:rsidP="005002EF">
      <w:pPr>
        <w:pStyle w:val="berschrift1"/>
      </w:pPr>
      <w:r>
        <w:t>[</w:t>
      </w:r>
      <w:r>
        <w:br/>
        <w:t>\mathcal B_F(z_i)</w:t>
      </w:r>
    </w:p>
    <w:p w:rsidR="005002EF" w:rsidRDefault="005002EF" w:rsidP="005002EF">
      <w:pPr>
        <w:pStyle w:val="berschrift1"/>
      </w:pPr>
      <w:r>
        <w:t>\mathcal B_F(z_j)</w:t>
      </w:r>
      <w:r>
        <w:br/>
        <w:t>\Rightarrow</w:t>
      </w:r>
      <w:r>
        <w:br/>
        <w:t>\mathcal B_F(z_j)</w:t>
      </w:r>
    </w:p>
    <w:p w:rsidR="005002EF" w:rsidRDefault="005002EF" w:rsidP="005002EF">
      <w:pPr>
        <w:pStyle w:val="StandardWeb"/>
      </w:pPr>
      <w:r>
        <w:lastRenderedPageBreak/>
        <w:t>\mathcal B_F(z_i).</w:t>
      </w:r>
      <w:r>
        <w:br/>
        <w:t>\tag{3.12334}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B_F(z_i)=\mathcal B_F(z_j)\Rightarrow\mathcal B_F(z_j)=\mathcal B_F(z_i)</w:t>
      </w:r>
    </w:p>
    <w:p w:rsidR="005002EF" w:rsidRDefault="005002EF" w:rsidP="005002EF">
      <w:pPr>
        <w:pStyle w:val="StandardWeb"/>
      </w:pPr>
      <w:r>
        <w:t>Transitivität folgt aus</w:t>
      </w:r>
    </w:p>
    <w:p w:rsidR="005002EF" w:rsidRDefault="005002EF" w:rsidP="005002EF">
      <w:pPr>
        <w:pStyle w:val="berschrift1"/>
      </w:pPr>
      <w:r>
        <w:t>[</w:t>
      </w:r>
      <w:r>
        <w:br/>
        <w:t>\mathcal B_F(z_i)</w:t>
      </w:r>
    </w:p>
    <w:p w:rsidR="005002EF" w:rsidRDefault="005002EF" w:rsidP="005002EF">
      <w:pPr>
        <w:pStyle w:val="berschrift1"/>
      </w:pPr>
      <w:r>
        <w:t>\mathcal B_F(z_j)</w:t>
      </w:r>
      <w:r>
        <w:br/>
        <w:t>\land</w:t>
      </w:r>
      <w:r>
        <w:br/>
        <w:t>\mathcal B_F(z_j)</w:t>
      </w:r>
    </w:p>
    <w:p w:rsidR="005002EF" w:rsidRDefault="005002EF" w:rsidP="005002EF">
      <w:pPr>
        <w:pStyle w:val="berschrift1"/>
      </w:pPr>
      <w:r>
        <w:t>\mathcal B_F(z_k)</w:t>
      </w:r>
      <w:r>
        <w:br/>
        <w:t>\Rightarrow</w:t>
      </w:r>
      <w:r>
        <w:br/>
        <w:t>\mathcal B_F(z_i)</w:t>
      </w:r>
    </w:p>
    <w:p w:rsidR="005002EF" w:rsidRDefault="005002EF" w:rsidP="005002EF">
      <w:pPr>
        <w:pStyle w:val="StandardWeb"/>
      </w:pPr>
      <w:r>
        <w:t>\mathcal B_F(z_k).</w:t>
      </w:r>
      <w:r>
        <w:br/>
        <w:t>\tag{3.12335}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B_F(z_i)=\mathcal B_F(z_j)\land\mathcal B_F(z_j)=\mathcal B_F(z_k)\Rightarrow\mathcal B_F(z_i)=\mathcal B_F(z_k)</w:t>
      </w:r>
    </w:p>
    <w:p w:rsidR="005002EF" w:rsidRDefault="005002EF" w:rsidP="005002EF">
      <w:pPr>
        <w:pStyle w:val="StandardWeb"/>
      </w:pPr>
      <w:r>
        <w:t>(\square)</w:t>
      </w:r>
    </w:p>
    <w:p w:rsidR="005002EF" w:rsidRDefault="00E50336" w:rsidP="005002EF">
      <w:r>
        <w:pict>
          <v:rect id="_x0000_i4412" style="width:0;height:1.5pt" o:hralign="center" o:hrstd="t" o:hr="t" fillcolor="#a0a0a0" stroked="f"/>
        </w:pict>
      </w:r>
    </w:p>
    <w:p w:rsidR="005002EF" w:rsidRDefault="005002EF" w:rsidP="005002EF">
      <w:pPr>
        <w:pStyle w:val="berschrift1"/>
      </w:pPr>
      <w:r>
        <w:t>3.3.48.242 Beobachtungsquotient</w:t>
      </w:r>
    </w:p>
    <w:p w:rsidR="005002EF" w:rsidRDefault="005002EF" w:rsidP="005002EF">
      <w:pPr>
        <w:pStyle w:val="StandardWeb"/>
      </w:pPr>
      <w:r>
        <w:t>Die Beobachtungsäquivalenz erzeugt den Quotienten</w:t>
      </w:r>
    </w:p>
    <w:p w:rsidR="005002EF" w:rsidRDefault="005002EF" w:rsidP="005002EF">
      <w:pPr>
        <w:pStyle w:val="StandardWeb"/>
      </w:pPr>
      <w:r>
        <w:t>[</w:t>
      </w:r>
      <w:r>
        <w:br/>
        <w:t>\Omega_F/{\sim_{\mathcal B}}.</w:t>
      </w:r>
      <w:r>
        <w:br/>
        <w:t>\tag{3.12336}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\Omega_F/{\sim_{\mathcal B}}</w:t>
      </w:r>
    </w:p>
    <w:p w:rsidR="005002EF" w:rsidRDefault="00E50336" w:rsidP="005002EF">
      <w:r>
        <w:lastRenderedPageBreak/>
        <w:pict>
          <v:rect id="_x0000_i4413" style="width:0;height:1.5pt" o:hralign="center" o:hrstd="t" o:hr="t" fillcolor="#a0a0a0" stroked="f"/>
        </w:pict>
      </w:r>
    </w:p>
    <w:p w:rsidR="005002EF" w:rsidRDefault="005002EF" w:rsidP="005002EF">
      <w:pPr>
        <w:pStyle w:val="berschrift1"/>
      </w:pPr>
      <w:r>
        <w:t>3.3.48.243 Definition 3.3.355 – Funktionaler Beobachtungsquotient</w:t>
      </w:r>
    </w:p>
    <w:p w:rsidR="005002EF" w:rsidRDefault="005002EF" w:rsidP="005002EF">
      <w:pPr>
        <w:pStyle w:val="berschrift3"/>
      </w:pPr>
      <w:r>
        <w:t>Definition 3.3.355</w:t>
      </w:r>
    </w:p>
    <w:p w:rsidR="005002EF" w:rsidRDefault="005002EF" w:rsidP="005002EF">
      <w:pPr>
        <w:pStyle w:val="StandardWeb"/>
      </w:pPr>
      <w:r>
        <w:t xml:space="preserve">Der </w:t>
      </w:r>
      <w:r>
        <w:rPr>
          <w:rStyle w:val="Fett"/>
        </w:rPr>
        <w:t>funktionale Beobachtungsquotient</w:t>
      </w:r>
      <w:r>
        <w:t xml:space="preserve"> ist</w:t>
      </w:r>
    </w:p>
    <w:p w:rsidR="005002EF" w:rsidRDefault="005002EF" w:rsidP="005002EF">
      <w:pPr>
        <w:pStyle w:val="StandardWeb"/>
      </w:pPr>
      <w:r>
        <w:t>[</w:t>
      </w:r>
      <w:r>
        <w:br/>
        <w:t>\boxed{</w:t>
      </w:r>
      <w:r>
        <w:br/>
        <w:t>\Omega_F/{\sim_{\mathcal B}}.</w:t>
      </w:r>
      <w:r>
        <w:br/>
        <w:t>}</w:t>
      </w:r>
      <w:r>
        <w:br/>
        <w:t>\tag{3.12337}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\boxed{\Omega_F/{\sim_{\mathcal B}}.}</w:t>
      </w:r>
    </w:p>
    <w:p w:rsidR="005002EF" w:rsidRDefault="005002EF" w:rsidP="005002EF">
      <w:pPr>
        <w:pStyle w:val="StandardWeb"/>
      </w:pPr>
      <w:r>
        <w:t>Er fasst genau diejenigen Zustände zusammen, die durch die gewählte Beobachtungsabbildung nicht unterschieden werden.</w:t>
      </w:r>
    </w:p>
    <w:p w:rsidR="005002EF" w:rsidRDefault="00E50336" w:rsidP="005002EF">
      <w:r>
        <w:pict>
          <v:rect id="_x0000_i4414" style="width:0;height:1.5pt" o:hralign="center" o:hrstd="t" o:hr="t" fillcolor="#a0a0a0" stroked="f"/>
        </w:pict>
      </w:r>
    </w:p>
    <w:p w:rsidR="005002EF" w:rsidRDefault="005002EF" w:rsidP="005002EF">
      <w:pPr>
        <w:pStyle w:val="berschrift1"/>
      </w:pPr>
      <w:r>
        <w:t>3.3.48.244 Symmetriequotient und Beobachtungsquotient</w:t>
      </w:r>
    </w:p>
    <w:p w:rsidR="005002EF" w:rsidRDefault="005002EF" w:rsidP="005002EF">
      <w:pPr>
        <w:pStyle w:val="StandardWeb"/>
      </w:pPr>
      <w:r>
        <w:t>Bei einer symmetrieblinden Beobachtung gilt</w:t>
      </w:r>
    </w:p>
    <w:p w:rsidR="005002EF" w:rsidRDefault="005002EF" w:rsidP="005002EF">
      <w:pPr>
        <w:pStyle w:val="StandardWeb"/>
      </w:pPr>
      <w:r>
        <w:t>[</w:t>
      </w:r>
      <w:r>
        <w:br/>
        <w:t>z_i</w:t>
      </w:r>
      <w:r>
        <w:br/>
        <w:t>\sim_G</w:t>
      </w:r>
      <w:r>
        <w:br/>
        <w:t>z_j</w:t>
      </w:r>
      <w:r>
        <w:br/>
        <w:t>\Rightarrow</w:t>
      </w:r>
      <w:r>
        <w:br/>
        <w:t>z_i</w:t>
      </w:r>
      <w:r>
        <w:br/>
        <w:t>\sim_{\mathcal B}</w:t>
      </w:r>
      <w:r>
        <w:br/>
        <w:t>z_j.</w:t>
      </w:r>
      <w:r>
        <w:br/>
        <w:t>\tag{3.12338}</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z_i\sim_G z_j\Rightarrow z_i\sim_{\mathcal B}z_j</w:t>
      </w:r>
    </w:p>
    <w:p w:rsidR="005002EF" w:rsidRDefault="00E50336" w:rsidP="005002EF">
      <w:r>
        <w:pict>
          <v:rect id="_x0000_i4415" style="width:0;height:1.5pt" o:hralign="center" o:hrstd="t" o:hr="t" fillcolor="#a0a0a0" stroked="f"/>
        </w:pict>
      </w:r>
    </w:p>
    <w:p w:rsidR="005002EF" w:rsidRDefault="005002EF" w:rsidP="005002EF">
      <w:pPr>
        <w:pStyle w:val="berschrift1"/>
      </w:pPr>
      <w:r>
        <w:lastRenderedPageBreak/>
        <w:t>3.3.48.245 Satz 3.3.148 – Symmetrieblindheit verfeinert die Beobachtungsäquivalenz mindestens bis zur Symmetrieäquivalenz</w:t>
      </w:r>
    </w:p>
    <w:p w:rsidR="005002EF" w:rsidRDefault="005002EF" w:rsidP="005002EF">
      <w:pPr>
        <w:pStyle w:val="berschrift3"/>
      </w:pPr>
      <w:r>
        <w:t>Satz 3.3.148</w:t>
      </w:r>
    </w:p>
    <w:p w:rsidR="005002EF" w:rsidRDefault="005002EF" w:rsidP="005002EF">
      <w:pPr>
        <w:pStyle w:val="StandardWeb"/>
      </w:pPr>
      <w:r>
        <w:t>Ist (\mathcal B_F) bezüglich (G) symmetrieblind, dann gilt</w:t>
      </w:r>
    </w:p>
    <w:p w:rsidR="005002EF" w:rsidRDefault="005002EF" w:rsidP="005002EF">
      <w:pPr>
        <w:pStyle w:val="StandardWeb"/>
      </w:pPr>
      <w:r>
        <w:t>[</w:t>
      </w:r>
      <w:r>
        <w:br/>
        <w:t>\boxed{</w:t>
      </w:r>
      <w:r>
        <w:br/>
        <w:t>[z]</w:t>
      </w:r>
      <w:r>
        <w:rPr>
          <w:rStyle w:val="Hervorhebung"/>
        </w:rPr>
        <w:t>G</w:t>
      </w:r>
      <w:r>
        <w:rPr>
          <w:i/>
          <w:iCs/>
        </w:rPr>
        <w:br/>
      </w:r>
      <w:r>
        <w:rPr>
          <w:rStyle w:val="Hervorhebung"/>
        </w:rPr>
        <w:t>\subseteq</w:t>
      </w:r>
      <w:r>
        <w:rPr>
          <w:i/>
          <w:iCs/>
        </w:rPr>
        <w:br/>
      </w:r>
      <w:r>
        <w:rPr>
          <w:rStyle w:val="Hervorhebung"/>
        </w:rPr>
        <w:t>[z]</w:t>
      </w:r>
      <w:r>
        <w:t>{\mathcal B}</w:t>
      </w:r>
      <w:r>
        <w:br/>
        <w:t>}</w:t>
      </w:r>
      <w:r>
        <w:br/>
        <w:t>\tag{3.12339}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\boxed{[z]_G\subseteq[z]_{\mathcal B}}</w:t>
      </w:r>
    </w:p>
    <w:p w:rsidR="005002EF" w:rsidRDefault="005002EF" w:rsidP="005002EF">
      <w:pPr>
        <w:pStyle w:val="StandardWeb"/>
      </w:pPr>
      <w:r>
        <w:t>für jeden Zustand (z).</w:t>
      </w:r>
    </w:p>
    <w:p w:rsidR="005002EF" w:rsidRDefault="005002EF" w:rsidP="005002EF">
      <w:pPr>
        <w:pStyle w:val="berschrift3"/>
      </w:pPr>
      <w:r>
        <w:t>Beweis</w:t>
      </w:r>
    </w:p>
    <w:p w:rsidR="005002EF" w:rsidRDefault="005002EF" w:rsidP="005002EF">
      <w:pPr>
        <w:pStyle w:val="StandardWeb"/>
      </w:pPr>
      <w:r>
        <w:t>Für jedes</w:t>
      </w:r>
    </w:p>
    <w:p w:rsidR="005002EF" w:rsidRDefault="005002EF" w:rsidP="005002EF">
      <w:pPr>
        <w:pStyle w:val="StandardWeb"/>
      </w:pPr>
      <w:r>
        <w:t>[</w:t>
      </w:r>
      <w:r>
        <w:br/>
        <w:t>z'</w:t>
      </w:r>
      <w:r>
        <w:br/>
        <w:t>\in</w:t>
      </w:r>
      <w:r>
        <w:br/>
        <w:t>[z]_G</w:t>
      </w:r>
      <w:r>
        <w:br/>
        <w:t>\tag{3.12340}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z'\in[z]_G</w:t>
      </w:r>
    </w:p>
    <w:p w:rsidR="005002EF" w:rsidRDefault="005002EF" w:rsidP="005002EF">
      <w:pPr>
        <w:pStyle w:val="StandardWeb"/>
      </w:pPr>
      <w:r>
        <w:t>existiert ein (g\in G) mit</w:t>
      </w:r>
    </w:p>
    <w:p w:rsidR="005002EF" w:rsidRDefault="005002EF" w:rsidP="005002EF">
      <w:pPr>
        <w:pStyle w:val="berschrift1"/>
      </w:pPr>
      <w:r>
        <w:t>[</w:t>
      </w:r>
      <w:r>
        <w:br/>
        <w:t>z'</w:t>
      </w:r>
    </w:p>
    <w:p w:rsidR="005002EF" w:rsidRDefault="005002EF" w:rsidP="005002EF">
      <w:pPr>
        <w:pStyle w:val="StandardWeb"/>
      </w:pPr>
      <w:r>
        <w:t>g(z).</w:t>
      </w:r>
      <w:r>
        <w:br/>
        <w:t>\tag{3.12341}</w:t>
      </w:r>
      <w:r>
        <w:br/>
        <w:t>]</w:t>
      </w:r>
    </w:p>
    <w:p w:rsidR="005002EF" w:rsidRDefault="005002EF" w:rsidP="005002EF">
      <w:pPr>
        <w:pStyle w:val="StandardWeb"/>
      </w:pPr>
      <w:r>
        <w:rPr>
          <w:rStyle w:val="Fett"/>
        </w:rPr>
        <w:lastRenderedPageBreak/>
        <w:t>Word-LaTeX</w:t>
      </w:r>
    </w:p>
    <w:p w:rsidR="005002EF" w:rsidRDefault="005002EF" w:rsidP="005002EF">
      <w:pPr>
        <w:pStyle w:val="HTMLVorformatiert"/>
        <w:rPr>
          <w:rStyle w:val="HTMLCode"/>
        </w:rPr>
      </w:pPr>
      <w:r>
        <w:rPr>
          <w:rStyle w:val="HTMLCode"/>
        </w:rPr>
        <w:t>z'=g(z)</w:t>
      </w:r>
    </w:p>
    <w:p w:rsidR="005002EF" w:rsidRDefault="005002EF" w:rsidP="005002EF">
      <w:pPr>
        <w:pStyle w:val="StandardWeb"/>
      </w:pPr>
      <w:r>
        <w:t>Wegen Symmetrieblindheit gilt</w:t>
      </w:r>
    </w:p>
    <w:p w:rsidR="005002EF" w:rsidRDefault="005002EF" w:rsidP="005002EF">
      <w:pPr>
        <w:pStyle w:val="berschrift1"/>
      </w:pPr>
      <w:r>
        <w:t>[</w:t>
      </w:r>
      <w:r>
        <w:br/>
        <w:t>\mathcal B_F(z')</w:t>
      </w:r>
    </w:p>
    <w:p w:rsidR="005002EF" w:rsidRDefault="005002EF" w:rsidP="005002EF">
      <w:pPr>
        <w:pStyle w:val="berschrift1"/>
      </w:pPr>
      <w:r>
        <w:t>\mathcal B_F(g(z))</w:t>
      </w:r>
    </w:p>
    <w:p w:rsidR="005002EF" w:rsidRDefault="005002EF" w:rsidP="005002EF">
      <w:pPr>
        <w:pStyle w:val="StandardWeb"/>
      </w:pPr>
      <w:r>
        <w:t>\mathcal B_F(z).</w:t>
      </w:r>
      <w:r>
        <w:br/>
        <w:t>\tag{3.12342}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B_F(z')=\mathcal B_F(g(z))=\mathcal B_F(z)</w:t>
      </w:r>
    </w:p>
    <w:p w:rsidR="005002EF" w:rsidRDefault="005002EF" w:rsidP="005002EF">
      <w:pPr>
        <w:pStyle w:val="StandardWeb"/>
      </w:pPr>
      <w:r>
        <w:t>Also ist (z'\in[z]_{\mathcal B}). (\square)</w:t>
      </w:r>
    </w:p>
    <w:p w:rsidR="005002EF" w:rsidRDefault="00E50336" w:rsidP="005002EF">
      <w:r>
        <w:pict>
          <v:rect id="_x0000_i4416" style="width:0;height:1.5pt" o:hralign="center" o:hrstd="t" o:hr="t" fillcolor="#a0a0a0" stroked="f"/>
        </w:pict>
      </w:r>
    </w:p>
    <w:p w:rsidR="005002EF" w:rsidRDefault="005002EF" w:rsidP="005002EF">
      <w:pPr>
        <w:pStyle w:val="berschrift1"/>
      </w:pPr>
      <w:r>
        <w:t>3.3.48.246 Vollständige Beobachtbarkeit</w:t>
      </w:r>
    </w:p>
    <w:p w:rsidR="005002EF" w:rsidRDefault="005002EF" w:rsidP="005002EF">
      <w:pPr>
        <w:pStyle w:val="StandardWeb"/>
      </w:pPr>
      <w:r>
        <w:t>Eine Beobachtungsabbildung unterscheidet alle Zustände genau dann, wenn sie injektiv ist.</w:t>
      </w:r>
    </w:p>
    <w:p w:rsidR="005002EF" w:rsidRDefault="005002EF" w:rsidP="005002EF">
      <w:pPr>
        <w:pStyle w:val="StandardWeb"/>
      </w:pPr>
      <w:r>
        <w:t>Formal:</w:t>
      </w:r>
    </w:p>
    <w:p w:rsidR="005002EF" w:rsidRDefault="005002EF" w:rsidP="005002EF">
      <w:pPr>
        <w:pStyle w:val="berschrift1"/>
      </w:pPr>
      <w:r>
        <w:t>[</w:t>
      </w:r>
      <w:r>
        <w:br/>
        <w:t>\mathcal B_F(z_i)</w:t>
      </w:r>
    </w:p>
    <w:p w:rsidR="005002EF" w:rsidRDefault="005002EF" w:rsidP="005002EF">
      <w:pPr>
        <w:pStyle w:val="StandardWeb"/>
      </w:pPr>
      <w:r>
        <w:t>\mathcal B_F(z_j)</w:t>
      </w:r>
      <w:r>
        <w:br/>
        <w:t>\Rightarrow</w:t>
      </w:r>
      <w:r>
        <w:br/>
        <w:t>z_i=z_j.</w:t>
      </w:r>
      <w:r>
        <w:br/>
        <w:t>\tag{3.12343}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B_F(z_i)=\mathcal B_F(z_j)\Rightarrow z_i=z_j</w:t>
      </w:r>
    </w:p>
    <w:p w:rsidR="005002EF" w:rsidRDefault="00E50336" w:rsidP="005002EF">
      <w:r>
        <w:pict>
          <v:rect id="_x0000_i4417" style="width:0;height:1.5pt" o:hralign="center" o:hrstd="t" o:hr="t" fillcolor="#a0a0a0" stroked="f"/>
        </w:pict>
      </w:r>
    </w:p>
    <w:p w:rsidR="005002EF" w:rsidRDefault="005002EF" w:rsidP="005002EF">
      <w:pPr>
        <w:pStyle w:val="berschrift1"/>
      </w:pPr>
      <w:r>
        <w:t>3.3.48.247 Definition 3.3.356 – Vollständig zustandsunterscheidende Beobachtung</w:t>
      </w:r>
    </w:p>
    <w:p w:rsidR="005002EF" w:rsidRDefault="005002EF" w:rsidP="005002EF">
      <w:pPr>
        <w:pStyle w:val="berschrift3"/>
      </w:pPr>
      <w:r>
        <w:t>Definition 3.3.356</w:t>
      </w:r>
    </w:p>
    <w:p w:rsidR="005002EF" w:rsidRDefault="005002EF" w:rsidP="005002EF">
      <w:pPr>
        <w:pStyle w:val="StandardWeb"/>
      </w:pPr>
      <w:r>
        <w:lastRenderedPageBreak/>
        <w:t xml:space="preserve">Eine Beobachtungsabbildung heißt </w:t>
      </w:r>
      <w:r>
        <w:rPr>
          <w:rStyle w:val="Fett"/>
        </w:rPr>
        <w:t>vollständig zustandsunterscheidend</w:t>
      </w:r>
      <w:r>
        <w:t>, wenn</w:t>
      </w:r>
    </w:p>
    <w:p w:rsidR="005002EF" w:rsidRDefault="005002EF" w:rsidP="005002EF">
      <w:pPr>
        <w:pStyle w:val="berschrift1"/>
      </w:pPr>
      <w:r>
        <w:t>[</w:t>
      </w:r>
      <w:r>
        <w:br/>
        <w:t>\boxed{</w:t>
      </w:r>
      <w:r>
        <w:br/>
        <w:t>\mathcal B_F(z_i)</w:t>
      </w:r>
    </w:p>
    <w:p w:rsidR="005002EF" w:rsidRDefault="005002EF" w:rsidP="005002EF">
      <w:pPr>
        <w:pStyle w:val="StandardWeb"/>
      </w:pPr>
      <w:r>
        <w:t>\mathcal B_F(z_j)</w:t>
      </w:r>
      <w:r>
        <w:br/>
        <w:t>\Rightarrow</w:t>
      </w:r>
      <w:r>
        <w:br/>
        <w:t>z_i=z_j.</w:t>
      </w:r>
      <w:r>
        <w:br/>
        <w:t>}</w:t>
      </w:r>
      <w:r>
        <w:br/>
        <w:t>\tag{3.12344}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B_F(z_i)=\mathcal B_F(z_j)\Rightarrow z_i=z_j.}</w:t>
      </w:r>
    </w:p>
    <w:p w:rsidR="005002EF" w:rsidRDefault="00E50336" w:rsidP="005002EF">
      <w:r>
        <w:pict>
          <v:rect id="_x0000_i4418" style="width:0;height:1.5pt" o:hralign="center" o:hrstd="t" o:hr="t" fillcolor="#a0a0a0" stroked="f"/>
        </w:pict>
      </w:r>
    </w:p>
    <w:p w:rsidR="005002EF" w:rsidRDefault="005002EF" w:rsidP="005002EF">
      <w:pPr>
        <w:pStyle w:val="berschrift1"/>
      </w:pPr>
      <w:r>
        <w:t>3.3.48.248 Beobachtbarkeit modulo Symmetrie</w:t>
      </w:r>
    </w:p>
    <w:p w:rsidR="005002EF" w:rsidRDefault="005002EF" w:rsidP="005002EF">
      <w:pPr>
        <w:pStyle w:val="StandardWeb"/>
      </w:pPr>
      <w:r>
        <w:t>Häufig ist eine stärkere Forderung als notwendig.</w:t>
      </w:r>
    </w:p>
    <w:p w:rsidR="005002EF" w:rsidRDefault="005002EF" w:rsidP="005002EF">
      <w:pPr>
        <w:pStyle w:val="StandardWeb"/>
      </w:pPr>
      <w:r>
        <w:t>Es kann genügen, dass gleiche Beobachtungen nur symmetrieäquivalente Zustände zulassen:</w:t>
      </w:r>
    </w:p>
    <w:p w:rsidR="005002EF" w:rsidRDefault="005002EF" w:rsidP="005002EF">
      <w:pPr>
        <w:pStyle w:val="berschrift1"/>
      </w:pPr>
      <w:r>
        <w:t>[</w:t>
      </w:r>
      <w:r>
        <w:br/>
        <w:t>\mathcal B_F(z_i)</w:t>
      </w:r>
    </w:p>
    <w:p w:rsidR="005002EF" w:rsidRDefault="005002EF" w:rsidP="005002EF">
      <w:pPr>
        <w:pStyle w:val="StandardWeb"/>
      </w:pPr>
      <w:r>
        <w:t>\mathcal B_F(z_j)</w:t>
      </w:r>
      <w:r>
        <w:br/>
        <w:t>\Rightarrow</w:t>
      </w:r>
      <w:r>
        <w:br/>
        <w:t>z_i</w:t>
      </w:r>
      <w:r>
        <w:br/>
        <w:t>\sim_G</w:t>
      </w:r>
      <w:r>
        <w:br/>
        <w:t>z_j.</w:t>
      </w:r>
      <w:r>
        <w:br/>
        <w:t>\tag{3.12345}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B_F(z_i)=\mathcal B_F(z_j)\Rightarrow z_i\sim_G z_j</w:t>
      </w:r>
    </w:p>
    <w:p w:rsidR="005002EF" w:rsidRDefault="00E50336" w:rsidP="005002EF">
      <w:r>
        <w:pict>
          <v:rect id="_x0000_i4419" style="width:0;height:1.5pt" o:hralign="center" o:hrstd="t" o:hr="t" fillcolor="#a0a0a0" stroked="f"/>
        </w:pict>
      </w:r>
    </w:p>
    <w:p w:rsidR="005002EF" w:rsidRDefault="005002EF" w:rsidP="005002EF">
      <w:pPr>
        <w:pStyle w:val="berschrift1"/>
      </w:pPr>
      <w:r>
        <w:t>3.3.48.249 Definition 3.3.357 – Beobachtbarkeit modulo Symmetrie</w:t>
      </w:r>
    </w:p>
    <w:p w:rsidR="005002EF" w:rsidRDefault="005002EF" w:rsidP="005002EF">
      <w:pPr>
        <w:pStyle w:val="berschrift3"/>
      </w:pPr>
      <w:r>
        <w:t>Definition 3.3.357</w:t>
      </w:r>
    </w:p>
    <w:p w:rsidR="005002EF" w:rsidRDefault="005002EF" w:rsidP="005002EF">
      <w:pPr>
        <w:pStyle w:val="StandardWeb"/>
      </w:pPr>
      <w:r>
        <w:t xml:space="preserve">Eine Beobachtungsabbildung heißt </w:t>
      </w:r>
      <w:r>
        <w:rPr>
          <w:rStyle w:val="Fett"/>
        </w:rPr>
        <w:t>vollständig beobachtbar modulo (G)</w:t>
      </w:r>
      <w:r>
        <w:t>, wenn</w:t>
      </w:r>
    </w:p>
    <w:p w:rsidR="005002EF" w:rsidRDefault="005002EF" w:rsidP="005002EF">
      <w:pPr>
        <w:pStyle w:val="berschrift1"/>
      </w:pPr>
      <w:r>
        <w:lastRenderedPageBreak/>
        <w:t>[</w:t>
      </w:r>
      <w:r>
        <w:br/>
        <w:t>\boxed{</w:t>
      </w:r>
      <w:r>
        <w:br/>
        <w:t>\mathcal B_F(z_i)</w:t>
      </w:r>
    </w:p>
    <w:p w:rsidR="005002EF" w:rsidRDefault="005002EF" w:rsidP="005002EF">
      <w:pPr>
        <w:pStyle w:val="StandardWeb"/>
      </w:pPr>
      <w:r>
        <w:t>\mathcal B_F(z_j)</w:t>
      </w:r>
      <w:r>
        <w:br/>
        <w:t>\Rightarrow</w:t>
      </w:r>
      <w:r>
        <w:br/>
        <w:t>z_i</w:t>
      </w:r>
      <w:r>
        <w:br/>
        <w:t>\sim_G</w:t>
      </w:r>
      <w:r>
        <w:br/>
        <w:t>z_j.</w:t>
      </w:r>
      <w:r>
        <w:br/>
        <w:t>}</w:t>
      </w:r>
      <w:r>
        <w:br/>
        <w:t>\tag{3.12346}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B_F(z_i)=\mathcal B_F(z_j)\Rightarrow z_i\sim_G z_j.}</w:t>
      </w:r>
    </w:p>
    <w:p w:rsidR="005002EF" w:rsidRDefault="00E50336" w:rsidP="005002EF">
      <w:r>
        <w:pict>
          <v:rect id="_x0000_i4420" style="width:0;height:1.5pt" o:hralign="center" o:hrstd="t" o:hr="t" fillcolor="#a0a0a0" stroked="f"/>
        </w:pict>
      </w:r>
    </w:p>
    <w:p w:rsidR="005002EF" w:rsidRDefault="005002EF" w:rsidP="005002EF">
      <w:pPr>
        <w:pStyle w:val="berschrift1"/>
      </w:pPr>
      <w:r>
        <w:t>3.3.48.250 Symmetrieblindheit plus Beobachtbarkeit modulo Symmetrie</w:t>
      </w:r>
    </w:p>
    <w:p w:rsidR="005002EF" w:rsidRDefault="005002EF" w:rsidP="005002EF">
      <w:pPr>
        <w:pStyle w:val="StandardWeb"/>
      </w:pPr>
      <w:r>
        <w:t>Gilt zusätzlich Symmetrieblindheit,</w:t>
      </w:r>
    </w:p>
    <w:p w:rsidR="005002EF" w:rsidRDefault="005002EF" w:rsidP="005002EF">
      <w:pPr>
        <w:pStyle w:val="berschrift1"/>
      </w:pPr>
      <w:r>
        <w:t>[</w:t>
      </w:r>
      <w:r>
        <w:br/>
        <w:t>z_i</w:t>
      </w:r>
      <w:r>
        <w:br/>
        <w:t>\sim_G</w:t>
      </w:r>
      <w:r>
        <w:br/>
        <w:t>z_j</w:t>
      </w:r>
      <w:r>
        <w:br/>
        <w:t>\Rightarrow</w:t>
      </w:r>
      <w:r>
        <w:br/>
        <w:t>\mathcal B_F(z_i)</w:t>
      </w:r>
    </w:p>
    <w:p w:rsidR="005002EF" w:rsidRDefault="005002EF" w:rsidP="005002EF">
      <w:pPr>
        <w:pStyle w:val="StandardWeb"/>
      </w:pPr>
      <w:r>
        <w:t>\mathcal B_F(z_j),</w:t>
      </w:r>
      <w:r>
        <w:br/>
        <w:t>\tag{3.12347}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z_i\sim_G z_j\Rightarrow\mathcal B_F(z_i)=\mathcal B_F(z_j)</w:t>
      </w:r>
    </w:p>
    <w:p w:rsidR="005002EF" w:rsidRDefault="005002EF" w:rsidP="005002EF">
      <w:pPr>
        <w:pStyle w:val="StandardWeb"/>
      </w:pPr>
      <w:r>
        <w:t>dann folgt zusammen mit Definition 3.3.357</w:t>
      </w:r>
    </w:p>
    <w:p w:rsidR="005002EF" w:rsidRDefault="005002EF" w:rsidP="005002EF">
      <w:pPr>
        <w:pStyle w:val="berschrift1"/>
      </w:pPr>
      <w:r>
        <w:t>[</w:t>
      </w:r>
      <w:r>
        <w:br/>
        <w:t>\mathcal B_F(z_i)</w:t>
      </w:r>
    </w:p>
    <w:p w:rsidR="005002EF" w:rsidRDefault="005002EF" w:rsidP="005002EF">
      <w:pPr>
        <w:pStyle w:val="StandardWeb"/>
      </w:pPr>
      <w:r>
        <w:lastRenderedPageBreak/>
        <w:t>\mathcal B_F(z_j)</w:t>
      </w:r>
      <w:r>
        <w:br/>
        <w:t>\Longleftrightarrow</w:t>
      </w:r>
      <w:r>
        <w:br/>
        <w:t>z_i</w:t>
      </w:r>
      <w:r>
        <w:br/>
        <w:t>\sim_G</w:t>
      </w:r>
      <w:r>
        <w:br/>
        <w:t>z_j.</w:t>
      </w:r>
      <w:r>
        <w:br/>
        <w:t>\tag{3.12348}</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B_F(z_i)=\mathcal B_F(z_j)\Longleftrightarrow z_i\sim_G z_j</w:t>
      </w:r>
    </w:p>
    <w:p w:rsidR="005002EF" w:rsidRDefault="00E50336" w:rsidP="005002EF">
      <w:r>
        <w:pict>
          <v:rect id="_x0000_i4421" style="width:0;height:1.5pt" o:hralign="center" o:hrstd="t" o:hr="t" fillcolor="#a0a0a0" stroked="f"/>
        </w:pict>
      </w:r>
    </w:p>
    <w:p w:rsidR="005002EF" w:rsidRDefault="005002EF" w:rsidP="005002EF">
      <w:pPr>
        <w:pStyle w:val="berschrift1"/>
      </w:pPr>
      <w:r>
        <w:t>3.3.48.251 Satz 3.3.149 – Symmetrieblindheit und vollständige Beobachtbarkeit modulo Symmetrie identifizieren genau die Symmetrieklassen</w:t>
      </w:r>
    </w:p>
    <w:p w:rsidR="005002EF" w:rsidRDefault="005002EF" w:rsidP="005002EF">
      <w:pPr>
        <w:pStyle w:val="berschrift3"/>
      </w:pPr>
      <w:r>
        <w:t>Satz 3.3.149</w:t>
      </w:r>
    </w:p>
    <w:p w:rsidR="005002EF" w:rsidRDefault="005002EF" w:rsidP="005002EF">
      <w:pPr>
        <w:pStyle w:val="StandardWeb"/>
      </w:pPr>
      <w:r>
        <w:t>Ist (\mathcal B_F) symmetrieblind und vollständig beobachtbar modulo (G), dann gilt</w:t>
      </w:r>
    </w:p>
    <w:p w:rsidR="005002EF" w:rsidRDefault="005002EF" w:rsidP="005002EF">
      <w:pPr>
        <w:pStyle w:val="StandardWeb"/>
      </w:pPr>
      <w:r>
        <w:t>[</w:t>
      </w:r>
      <w:r>
        <w:br/>
        <w:t>\boxed{</w:t>
      </w:r>
      <w:r>
        <w:br/>
        <w:t>z_i</w:t>
      </w:r>
      <w:r>
        <w:br/>
        <w:t>\sim_{\mathcal B}</w:t>
      </w:r>
      <w:r>
        <w:br/>
        <w:t>z_j</w:t>
      </w:r>
      <w:r>
        <w:br/>
        <w:t>\Longleftrightarrow</w:t>
      </w:r>
      <w:r>
        <w:br/>
        <w:t>z_i</w:t>
      </w:r>
      <w:r>
        <w:br/>
        <w:t>\sim_G</w:t>
      </w:r>
      <w:r>
        <w:br/>
        <w:t>z_j.</w:t>
      </w:r>
      <w:r>
        <w:br/>
        <w:t>}</w:t>
      </w:r>
      <w:r>
        <w:br/>
        <w:t>\tag{3.12349}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\boxed{z_i\sim_{\mathcal B}z_j\Longleftrightarrow z_i\sim_G z_j.}</w:t>
      </w:r>
    </w:p>
    <w:p w:rsidR="005002EF" w:rsidRDefault="005002EF" w:rsidP="005002EF">
      <w:pPr>
        <w:pStyle w:val="StandardWeb"/>
      </w:pPr>
      <w:r>
        <w:t>Damit stimmen Beobachtungs- und Symmetriequotient überein.</w:t>
      </w:r>
    </w:p>
    <w:p w:rsidR="005002EF" w:rsidRDefault="00E50336" w:rsidP="005002EF">
      <w:r>
        <w:pict>
          <v:rect id="_x0000_i4422" style="width:0;height:1.5pt" o:hralign="center" o:hrstd="t" o:hr="t" fillcolor="#a0a0a0" stroked="f"/>
        </w:pict>
      </w:r>
    </w:p>
    <w:p w:rsidR="005002EF" w:rsidRDefault="005002EF" w:rsidP="005002EF">
      <w:pPr>
        <w:pStyle w:val="berschrift1"/>
      </w:pPr>
      <w:r>
        <w:t>3.3.48.252 Korollar 3.3.34 – Unter vollständiger Beobachtbarkeit modulo Symmetrie sind Beobachtungs- und Symmetriequotient isomorph</w:t>
      </w:r>
    </w:p>
    <w:p w:rsidR="005002EF" w:rsidRDefault="005002EF" w:rsidP="005002EF">
      <w:pPr>
        <w:pStyle w:val="berschrift3"/>
      </w:pPr>
      <w:r>
        <w:t>Korollar 3.3.34</w:t>
      </w:r>
    </w:p>
    <w:p w:rsidR="005002EF" w:rsidRDefault="005002EF" w:rsidP="005002EF">
      <w:pPr>
        <w:pStyle w:val="StandardWeb"/>
      </w:pPr>
      <w:r>
        <w:lastRenderedPageBreak/>
        <w:t>Unter den Voraussetzungen von Satz 3.3.149 gilt</w:t>
      </w:r>
    </w:p>
    <w:p w:rsidR="005002EF" w:rsidRDefault="005002EF" w:rsidP="005002EF">
      <w:pPr>
        <w:pStyle w:val="StandardWeb"/>
      </w:pPr>
      <w:r>
        <w:t>[</w:t>
      </w:r>
      <w:r>
        <w:br/>
        <w:t>\boxed{</w:t>
      </w:r>
      <w:r>
        <w:br/>
        <w:t>\Omega_F/{\sim_{\mathcal B}}</w:t>
      </w:r>
      <w:r>
        <w:br/>
        <w:t>\cong</w:t>
      </w:r>
      <w:r>
        <w:br/>
        <w:t>\Omega_F/G.</w:t>
      </w:r>
      <w:r>
        <w:br/>
        <w:t>}</w:t>
      </w:r>
      <w:r>
        <w:br/>
        <w:t>\tag{3.12350}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\boxed{\Omega_F/{\sim_{\mathcal B}}\cong\Omega_F/G.}</w:t>
      </w:r>
    </w:p>
    <w:p w:rsidR="005002EF" w:rsidRDefault="00E50336" w:rsidP="005002EF">
      <w:r>
        <w:pict>
          <v:rect id="_x0000_i4423" style="width:0;height:1.5pt" o:hralign="center" o:hrstd="t" o:hr="t" fillcolor="#a0a0a0" stroked="f"/>
        </w:pict>
      </w:r>
    </w:p>
    <w:p w:rsidR="005002EF" w:rsidRDefault="005002EF" w:rsidP="005002EF">
      <w:pPr>
        <w:pStyle w:val="berschrift1"/>
      </w:pPr>
      <w:r>
        <w:t>3.3.48.253 Rekonstruktion modulo Symmetrie</w:t>
      </w:r>
    </w:p>
    <w:p w:rsidR="005002EF" w:rsidRDefault="005002EF" w:rsidP="005002EF">
      <w:pPr>
        <w:pStyle w:val="StandardWeb"/>
      </w:pPr>
      <w:r>
        <w:t>Ist nur der Quotient beobachtbar, kann Rekonstruktion nicht notwendigerweise einen eindeutigen Zustand liefern.</w:t>
      </w:r>
    </w:p>
    <w:p w:rsidR="005002EF" w:rsidRDefault="005002EF" w:rsidP="005002EF">
      <w:pPr>
        <w:pStyle w:val="StandardWeb"/>
      </w:pPr>
      <w:r>
        <w:t>Statt</w:t>
      </w:r>
    </w:p>
    <w:p w:rsidR="005002EF" w:rsidRDefault="005002EF" w:rsidP="005002EF">
      <w:pPr>
        <w:pStyle w:val="berschrift1"/>
      </w:pPr>
      <w:r>
        <w:t>[</w:t>
      </w:r>
      <w:r>
        <w:br/>
        <w:t>\mathcal R_F</w:t>
      </w:r>
      <w:r>
        <w:br/>
        <w:t>(\mathcal B_F(z))</w:t>
      </w:r>
    </w:p>
    <w:p w:rsidR="005002EF" w:rsidRDefault="005002EF" w:rsidP="005002EF">
      <w:pPr>
        <w:pStyle w:val="StandardWeb"/>
      </w:pPr>
      <w:r>
        <w:t>z</w:t>
      </w:r>
      <w:r>
        <w:br/>
        <w:t>\tag{3.12351}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R_F(\mathcal B_F(z))=z</w:t>
      </w:r>
    </w:p>
    <w:p w:rsidR="005002EF" w:rsidRDefault="005002EF" w:rsidP="005002EF">
      <w:pPr>
        <w:pStyle w:val="StandardWeb"/>
      </w:pPr>
      <w:r>
        <w:t>kann lediglich</w:t>
      </w:r>
    </w:p>
    <w:p w:rsidR="005002EF" w:rsidRDefault="005002EF" w:rsidP="005002EF">
      <w:pPr>
        <w:pStyle w:val="StandardWeb"/>
      </w:pPr>
      <w:r>
        <w:t>[</w:t>
      </w:r>
      <w:r>
        <w:br/>
        <w:t>\mathcal R_F</w:t>
      </w:r>
      <w:r>
        <w:br/>
        <w:t>(\mathcal B_F(z))</w:t>
      </w:r>
      <w:r>
        <w:br/>
        <w:t>\in</w:t>
      </w:r>
      <w:r>
        <w:br/>
        <w:t>[z]_G</w:t>
      </w:r>
      <w:r>
        <w:br/>
        <w:t>\tag{3.12352}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R_F(\mathcal B_F(z))\in[z]_G</w:t>
      </w:r>
    </w:p>
    <w:p w:rsidR="005002EF" w:rsidRDefault="005002EF" w:rsidP="005002EF">
      <w:pPr>
        <w:pStyle w:val="StandardWeb"/>
      </w:pPr>
      <w:r>
        <w:lastRenderedPageBreak/>
        <w:t>verlangt werden.</w:t>
      </w:r>
    </w:p>
    <w:p w:rsidR="005002EF" w:rsidRDefault="00E50336" w:rsidP="005002EF">
      <w:r>
        <w:pict>
          <v:rect id="_x0000_i4424" style="width:0;height:1.5pt" o:hralign="center" o:hrstd="t" o:hr="t" fillcolor="#a0a0a0" stroked="f"/>
        </w:pict>
      </w:r>
    </w:p>
    <w:p w:rsidR="005002EF" w:rsidRDefault="005002EF" w:rsidP="005002EF">
      <w:pPr>
        <w:pStyle w:val="berschrift1"/>
      </w:pPr>
      <w:r>
        <w:t>3.3.48.254 Definition 3.3.358 – Funktionale Rekonstruktion modulo Symmetrie</w:t>
      </w:r>
    </w:p>
    <w:p w:rsidR="005002EF" w:rsidRDefault="005002EF" w:rsidP="005002EF">
      <w:pPr>
        <w:pStyle w:val="berschrift3"/>
      </w:pPr>
      <w:r>
        <w:t>Definition 3.3.358</w:t>
      </w:r>
    </w:p>
    <w:p w:rsidR="005002EF" w:rsidRDefault="005002EF" w:rsidP="005002EF">
      <w:pPr>
        <w:pStyle w:val="StandardWeb"/>
      </w:pPr>
      <w:r>
        <w:t xml:space="preserve">Eine Rekonstruktionsabbildung heißt </w:t>
      </w:r>
      <w:r>
        <w:rPr>
          <w:rStyle w:val="Fett"/>
        </w:rPr>
        <w:t>exakt modulo (G)</w:t>
      </w:r>
      <w:r>
        <w:t>, wenn</w:t>
      </w:r>
    </w:p>
    <w:p w:rsidR="005002EF" w:rsidRDefault="005002EF" w:rsidP="005002EF">
      <w:pPr>
        <w:pStyle w:val="StandardWeb"/>
      </w:pPr>
      <w:r>
        <w:t>[</w:t>
      </w:r>
      <w:r>
        <w:br/>
        <w:t>\boxed{</w:t>
      </w:r>
      <w:r>
        <w:br/>
        <w:t>\mathcal R_F</w:t>
      </w:r>
      <w:r>
        <w:br/>
        <w:t>(\mathcal B_F(z))</w:t>
      </w:r>
      <w:r>
        <w:br/>
        <w:t>\in</w:t>
      </w:r>
      <w:r>
        <w:br/>
        <w:t>[z]_G</w:t>
      </w:r>
      <w:r>
        <w:br/>
        <w:t>\qquad</w:t>
      </w:r>
      <w:r>
        <w:br/>
        <w:t>\forall z.</w:t>
      </w:r>
      <w:r>
        <w:br/>
        <w:t>}</w:t>
      </w:r>
      <w:r>
        <w:br/>
        <w:t>\tag{3.12353}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R_F(\mathcal B_F(z))\in[z]_G\qquad\forall z.}</w:t>
      </w:r>
    </w:p>
    <w:p w:rsidR="005002EF" w:rsidRDefault="00E50336" w:rsidP="005002EF">
      <w:r>
        <w:pict>
          <v:rect id="_x0000_i4425" style="width:0;height:1.5pt" o:hralign="center" o:hrstd="t" o:hr="t" fillcolor="#a0a0a0" stroked="f"/>
        </w:pict>
      </w:r>
    </w:p>
    <w:p w:rsidR="005002EF" w:rsidRDefault="005002EF" w:rsidP="005002EF">
      <w:pPr>
        <w:pStyle w:val="berschrift1"/>
      </w:pPr>
      <w:r>
        <w:t>3.3.48.255 Rekonstruktionsfehler modulo Symmetrie</w:t>
      </w:r>
    </w:p>
    <w:p w:rsidR="005002EF" w:rsidRDefault="005002EF" w:rsidP="005002EF">
      <w:pPr>
        <w:pStyle w:val="StandardWeb"/>
      </w:pPr>
      <w:r>
        <w:t>Für einen Abstand (d_X) kann definiert werden</w:t>
      </w:r>
    </w:p>
    <w:p w:rsidR="005002EF" w:rsidRDefault="005002EF" w:rsidP="005002EF">
      <w:pPr>
        <w:pStyle w:val="StandardWeb"/>
      </w:pPr>
      <w:r>
        <w:t>[</w:t>
      </w:r>
      <w:r>
        <w:br/>
        <w:t>D_{\mathrm{rec}}^{G}(z)</w:t>
      </w:r>
      <w:r>
        <w:br/>
        <w:t>:=</w:t>
      </w:r>
      <w:r>
        <w:br/>
        <w:t>\inf_{z'\in[z]_G}</w:t>
      </w:r>
      <w:r>
        <w:br/>
        <w:t>d_X</w:t>
      </w:r>
      <w:r>
        <w:br/>
        <w:t>\left(</w:t>
      </w:r>
      <w:r>
        <w:br/>
        <w:t>\mathcal R_F(\mathcal B_F(z)),</w:t>
      </w:r>
      <w:r>
        <w:br/>
        <w:t>z'</w:t>
      </w:r>
      <w:r>
        <w:br/>
        <w:t>\right).</w:t>
      </w:r>
      <w:r>
        <w:br/>
        <w:t>\tag{3.12354}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D_{\mathrm{rec}}^{G}(z):=\inf_{z'\in[z]_G}d_X\left(\mathcal R_F(\mathcal B_F(z)),z'\right)</w:t>
      </w:r>
    </w:p>
    <w:p w:rsidR="005002EF" w:rsidRDefault="00E50336" w:rsidP="005002EF">
      <w:r>
        <w:pict>
          <v:rect id="_x0000_i4426" style="width:0;height:1.5pt" o:hralign="center" o:hrstd="t" o:hr="t" fillcolor="#a0a0a0" stroked="f"/>
        </w:pict>
      </w:r>
    </w:p>
    <w:p w:rsidR="005002EF" w:rsidRDefault="005002EF" w:rsidP="005002EF">
      <w:pPr>
        <w:pStyle w:val="berschrift1"/>
      </w:pPr>
      <w:r>
        <w:lastRenderedPageBreak/>
        <w:t>3.3.48.256 Definition 3.3.359 – Symmetriereduzierter Rekonstruktionsfehler</w:t>
      </w:r>
    </w:p>
    <w:p w:rsidR="005002EF" w:rsidRDefault="005002EF" w:rsidP="005002EF">
      <w:pPr>
        <w:pStyle w:val="berschrift3"/>
      </w:pPr>
      <w:r>
        <w:t>Definition 3.3.359</w:t>
      </w:r>
    </w:p>
    <w:p w:rsidR="005002EF" w:rsidRDefault="005002EF" w:rsidP="005002EF">
      <w:pPr>
        <w:pStyle w:val="StandardWeb"/>
      </w:pPr>
      <w:r>
        <w:t xml:space="preserve">Der </w:t>
      </w:r>
      <w:r>
        <w:rPr>
          <w:rStyle w:val="Fett"/>
        </w:rPr>
        <w:t>symmetriereduzierte Rekonstruktionsfehler</w:t>
      </w:r>
      <w:r>
        <w:t xml:space="preserve"> ist</w:t>
      </w:r>
    </w:p>
    <w:p w:rsidR="005002EF" w:rsidRDefault="005002EF" w:rsidP="005002EF">
      <w:pPr>
        <w:pStyle w:val="StandardWeb"/>
      </w:pPr>
      <w:r>
        <w:t>[</w:t>
      </w:r>
      <w:r>
        <w:br/>
        <w:t>\boxed{</w:t>
      </w:r>
      <w:r>
        <w:br/>
        <w:t>D_{\mathrm{rec}}^{G}(z)</w:t>
      </w:r>
      <w:r>
        <w:br/>
        <w:t>:=</w:t>
      </w:r>
      <w:r>
        <w:br/>
        <w:t>\inf_{z'\in[z]_G}</w:t>
      </w:r>
      <w:r>
        <w:br/>
        <w:t>d_X</w:t>
      </w:r>
      <w:r>
        <w:br/>
        <w:t>\left(</w:t>
      </w:r>
      <w:r>
        <w:br/>
        <w:t>\mathcal R_F(\mathcal B_F(z)),</w:t>
      </w:r>
      <w:r>
        <w:br/>
        <w:t>z'</w:t>
      </w:r>
      <w:r>
        <w:br/>
        <w:t>\right).</w:t>
      </w:r>
      <w:r>
        <w:br/>
        <w:t>}</w:t>
      </w:r>
      <w:r>
        <w:br/>
        <w:t>\tag{3.12355}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\boxed{D_{\mathrm{rec}}^{G}(z):=\inf_{z'\in[z]_G}d_X\left(\mathcal R_F(\mathcal B_F(z)),z'\right).}</w:t>
      </w:r>
    </w:p>
    <w:p w:rsidR="005002EF" w:rsidRDefault="00E50336" w:rsidP="005002EF">
      <w:r>
        <w:pict>
          <v:rect id="_x0000_i4427" style="width:0;height:1.5pt" o:hralign="center" o:hrstd="t" o:hr="t" fillcolor="#a0a0a0" stroked="f"/>
        </w:pict>
      </w:r>
    </w:p>
    <w:p w:rsidR="005002EF" w:rsidRDefault="005002EF" w:rsidP="005002EF">
      <w:pPr>
        <w:pStyle w:val="berschrift1"/>
      </w:pPr>
      <w:r>
        <w:t>3.3.48.257 Exakte Rekonstruktion modulo Symmetrie über Fehler</w:t>
      </w:r>
    </w:p>
    <w:p w:rsidR="005002EF" w:rsidRDefault="005002EF" w:rsidP="005002EF">
      <w:pPr>
        <w:pStyle w:val="StandardWeb"/>
      </w:pPr>
      <w:r>
        <w:t>Unter geeigneten metrischen Voraussetzungen gilt</w:t>
      </w:r>
    </w:p>
    <w:p w:rsidR="005002EF" w:rsidRDefault="005002EF" w:rsidP="005002EF">
      <w:pPr>
        <w:pStyle w:val="berschrift1"/>
      </w:pPr>
      <w:r>
        <w:t>[</w:t>
      </w:r>
      <w:r>
        <w:br/>
        <w:t>D_{\mathrm{rec}}^{G}(z)</w:t>
      </w:r>
    </w:p>
    <w:p w:rsidR="005002EF" w:rsidRDefault="005002EF" w:rsidP="005002EF">
      <w:pPr>
        <w:pStyle w:val="StandardWeb"/>
      </w:pPr>
      <w:r>
        <w:t>0</w:t>
      </w:r>
      <w:r>
        <w:br/>
        <w:t>\tag{3.12356}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D_{\mathrm{rec}}^{G}(z)=0</w:t>
      </w:r>
    </w:p>
    <w:p w:rsidR="005002EF" w:rsidRDefault="005002EF" w:rsidP="005002EF">
      <w:pPr>
        <w:pStyle w:val="StandardWeb"/>
      </w:pPr>
      <w:r>
        <w:t>genau dann, wenn der rekonstruierte Zustand in der Symmetrieklasse des Ausgangszustands liegt.</w:t>
      </w:r>
    </w:p>
    <w:p w:rsidR="005002EF" w:rsidRDefault="00E50336" w:rsidP="005002EF">
      <w:r>
        <w:pict>
          <v:rect id="_x0000_i4428" style="width:0;height:1.5pt" o:hralign="center" o:hrstd="t" o:hr="t" fillcolor="#a0a0a0" stroked="f"/>
        </w:pict>
      </w:r>
    </w:p>
    <w:p w:rsidR="005002EF" w:rsidRDefault="005002EF" w:rsidP="005002EF">
      <w:pPr>
        <w:pStyle w:val="berschrift1"/>
      </w:pPr>
      <w:r>
        <w:lastRenderedPageBreak/>
        <w:t>3.3.48.258 Symmetrie und Informationsidentifizierbarkeit</w:t>
      </w:r>
    </w:p>
    <w:p w:rsidR="005002EF" w:rsidRDefault="005002EF" w:rsidP="005002EF">
      <w:pPr>
        <w:pStyle w:val="StandardWeb"/>
      </w:pPr>
      <w:r>
        <w:t>Die Unterscheidung zwischen</w:t>
      </w:r>
    </w:p>
    <w:p w:rsidR="005002EF" w:rsidRDefault="005002EF" w:rsidP="005002EF">
      <w:pPr>
        <w:pStyle w:val="StandardWeb"/>
      </w:pPr>
      <w:r>
        <w:t>[</w:t>
      </w:r>
      <w:r>
        <w:br/>
        <w:t>z</w:t>
      </w:r>
      <w:r>
        <w:br/>
        <w:t>\tag{3.12357}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z</w:t>
      </w:r>
    </w:p>
    <w:p w:rsidR="005002EF" w:rsidRDefault="005002EF" w:rsidP="005002EF">
      <w:pPr>
        <w:pStyle w:val="StandardWeb"/>
      </w:pPr>
      <w:r>
        <w:t>und</w:t>
      </w:r>
    </w:p>
    <w:p w:rsidR="005002EF" w:rsidRDefault="005002EF" w:rsidP="005002EF">
      <w:pPr>
        <w:pStyle w:val="StandardWeb"/>
      </w:pPr>
      <w:r>
        <w:t>[</w:t>
      </w:r>
      <w:r>
        <w:br/>
        <w:t>[z]_G</w:t>
      </w:r>
      <w:r>
        <w:br/>
        <w:t>\tag{3.12358}</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[z]_G</w:t>
      </w:r>
    </w:p>
    <w:p w:rsidR="005002EF" w:rsidRDefault="005002EF" w:rsidP="005002EF">
      <w:pPr>
        <w:pStyle w:val="StandardWeb"/>
      </w:pPr>
      <w:r>
        <w:t>ist für die Identifizierbarkeit wesentlich.</w:t>
      </w:r>
    </w:p>
    <w:p w:rsidR="005002EF" w:rsidRDefault="005002EF" w:rsidP="005002EF">
      <w:pPr>
        <w:pStyle w:val="StandardWeb"/>
      </w:pPr>
      <w:r>
        <w:t>Ein Beobachtungssystem kann möglicherweise nicht den exakten Zustand, wohl aber seine Symmetrieklasse identifizieren.</w:t>
      </w:r>
    </w:p>
    <w:p w:rsidR="005002EF" w:rsidRDefault="00E50336" w:rsidP="005002EF">
      <w:r>
        <w:pict>
          <v:rect id="_x0000_i4429" style="width:0;height:1.5pt" o:hralign="center" o:hrstd="t" o:hr="t" fillcolor="#a0a0a0" stroked="f"/>
        </w:pict>
      </w:r>
    </w:p>
    <w:p w:rsidR="005002EF" w:rsidRDefault="005002EF" w:rsidP="005002EF">
      <w:pPr>
        <w:pStyle w:val="berschrift1"/>
      </w:pPr>
      <w:r>
        <w:t>3.3.48.259 Definition 3.3.360 – Funktionale Identifizierbarkeit modulo Symmetrie</w:t>
      </w:r>
    </w:p>
    <w:p w:rsidR="005002EF" w:rsidRDefault="005002EF" w:rsidP="005002EF">
      <w:pPr>
        <w:pStyle w:val="berschrift3"/>
      </w:pPr>
      <w:r>
        <w:t>Definition 3.3.360</w:t>
      </w:r>
    </w:p>
    <w:p w:rsidR="005002EF" w:rsidRDefault="005002EF" w:rsidP="005002EF">
      <w:pPr>
        <w:pStyle w:val="StandardWeb"/>
      </w:pPr>
      <w:r>
        <w:t xml:space="preserve">Ein Zustand (z) heißt bezüglich einer Beobachtungsabbildung (\mathcal B_F) </w:t>
      </w:r>
      <w:r>
        <w:rPr>
          <w:rStyle w:val="Fett"/>
        </w:rPr>
        <w:t>identifizierbar modulo (G)</w:t>
      </w:r>
      <w:r>
        <w:t>, wenn aus den Beobachtungsdaten eindeutig seine Symmetrieklasse bestimmt werden kann:</w:t>
      </w:r>
    </w:p>
    <w:p w:rsidR="005002EF" w:rsidRDefault="005002EF" w:rsidP="005002EF">
      <w:pPr>
        <w:pStyle w:val="StandardWeb"/>
      </w:pPr>
      <w:r>
        <w:t>[</w:t>
      </w:r>
      <w:r>
        <w:br/>
        <w:t>\boxed{</w:t>
      </w:r>
      <w:r>
        <w:br/>
        <w:t>\mathcal B_F(z)</w:t>
      </w:r>
      <w:r>
        <w:br/>
        <w:t>\Rightarrow</w:t>
      </w:r>
      <w:r>
        <w:br/>
        <w:t>[z]_G</w:t>
      </w:r>
      <w:r>
        <w:br/>
        <w:t>\text{ eindeutig}.</w:t>
      </w:r>
      <w:r>
        <w:br/>
        <w:t>}</w:t>
      </w:r>
      <w:r>
        <w:br/>
      </w:r>
      <w:r>
        <w:lastRenderedPageBreak/>
        <w:t>\tag{3.12359}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B_F(z)\Rightarrow[z]_G\text{ eindeutig}.}</w:t>
      </w:r>
    </w:p>
    <w:p w:rsidR="005002EF" w:rsidRDefault="00E50336" w:rsidP="005002EF">
      <w:r>
        <w:pict>
          <v:rect id="_x0000_i4430" style="width:0;height:1.5pt" o:hralign="center" o:hrstd="t" o:hr="t" fillcolor="#a0a0a0" stroked="f"/>
        </w:pict>
      </w:r>
    </w:p>
    <w:p w:rsidR="005002EF" w:rsidRDefault="005002EF" w:rsidP="005002EF">
      <w:pPr>
        <w:pStyle w:val="berschrift1"/>
      </w:pPr>
      <w:r>
        <w:t>3.3.48.260 Symmetrie und nichtbeobachtbare Richtungen</w:t>
      </w:r>
    </w:p>
    <w:p w:rsidR="005002EF" w:rsidRDefault="005002EF" w:rsidP="005002EF">
      <w:pPr>
        <w:pStyle w:val="StandardWeb"/>
      </w:pPr>
      <w:r>
        <w:t>Bei kontinuierlichen Gruppenwirkungen können Veränderungen entlang einer Symmetriebahn für eine invariante Beobachtung unsichtbar sein.</w:t>
      </w:r>
    </w:p>
    <w:p w:rsidR="005002EF" w:rsidRDefault="005002EF" w:rsidP="005002EF">
      <w:pPr>
        <w:pStyle w:val="StandardWeb"/>
      </w:pPr>
      <w:r>
        <w:t>Formal gilt für eine differenzierbare Bahn</w:t>
      </w:r>
    </w:p>
    <w:p w:rsidR="005002EF" w:rsidRDefault="005002EF" w:rsidP="005002EF">
      <w:pPr>
        <w:pStyle w:val="berschrift1"/>
      </w:pPr>
      <w:r>
        <w:t>[</w:t>
      </w:r>
      <w:r>
        <w:br/>
        <w:t>z(\lambda)</w:t>
      </w:r>
    </w:p>
    <w:p w:rsidR="005002EF" w:rsidRDefault="005002EF" w:rsidP="005002EF">
      <w:pPr>
        <w:pStyle w:val="StandardWeb"/>
      </w:pPr>
      <w:r>
        <w:t>g_\lambda(z)</w:t>
      </w:r>
      <w:r>
        <w:br/>
        <w:t>\tag{3.12360}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z(\lambda)=g_\lambda(z)</w:t>
      </w:r>
    </w:p>
    <w:p w:rsidR="005002EF" w:rsidRDefault="005002EF" w:rsidP="005002EF">
      <w:pPr>
        <w:pStyle w:val="StandardWeb"/>
      </w:pPr>
      <w:r>
        <w:t>und eine invariante Beobachtung</w:t>
      </w:r>
    </w:p>
    <w:p w:rsidR="005002EF" w:rsidRDefault="005002EF" w:rsidP="005002EF">
      <w:pPr>
        <w:pStyle w:val="berschrift1"/>
      </w:pPr>
      <w:r>
        <w:t>[</w:t>
      </w:r>
      <w:r>
        <w:br/>
        <w:t>\mathcal B_F(g_\lambda(z))</w:t>
      </w:r>
    </w:p>
    <w:p w:rsidR="005002EF" w:rsidRDefault="005002EF" w:rsidP="005002EF">
      <w:pPr>
        <w:pStyle w:val="StandardWeb"/>
      </w:pPr>
      <w:r>
        <w:t>\mathcal B_F(z).</w:t>
      </w:r>
      <w:r>
        <w:br/>
        <w:t>\tag{3.12361}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B_F(g_\lambda(z))=\mathcal B_F(z)</w:t>
      </w:r>
    </w:p>
    <w:p w:rsidR="005002EF" w:rsidRDefault="00E50336" w:rsidP="005002EF">
      <w:r>
        <w:pict>
          <v:rect id="_x0000_i4431" style="width:0;height:1.5pt" o:hralign="center" o:hrstd="t" o:hr="t" fillcolor="#a0a0a0" stroked="f"/>
        </w:pict>
      </w:r>
    </w:p>
    <w:p w:rsidR="005002EF" w:rsidRDefault="005002EF" w:rsidP="005002EF">
      <w:pPr>
        <w:pStyle w:val="berschrift1"/>
      </w:pPr>
      <w:r>
        <w:t>3.3.48.261 Infinitesimale Nichtbeobachtbarkeit entlang einer Symmetriebahn</w:t>
      </w:r>
    </w:p>
    <w:p w:rsidR="005002EF" w:rsidRDefault="005002EF" w:rsidP="005002EF">
      <w:pPr>
        <w:pStyle w:val="StandardWeb"/>
      </w:pPr>
      <w:r>
        <w:t>Differentiation bei (\lambda=0) ergibt</w:t>
      </w:r>
    </w:p>
    <w:p w:rsidR="005002EF" w:rsidRDefault="005002EF" w:rsidP="005002EF">
      <w:pPr>
        <w:pStyle w:val="berschrift1"/>
      </w:pPr>
      <w:r>
        <w:lastRenderedPageBreak/>
        <w:t>[</w:t>
      </w:r>
      <w:r>
        <w:br/>
        <w:t>D\mathcal B_F(z)</w:t>
      </w:r>
      <w:r>
        <w:br/>
        <w:t>\left[</w:t>
      </w:r>
      <w:r>
        <w:br/>
        <w:t>X_g(z)</w:t>
      </w:r>
      <w:r>
        <w:br/>
        <w:t>\right]</w:t>
      </w:r>
    </w:p>
    <w:p w:rsidR="005002EF" w:rsidRDefault="005002EF" w:rsidP="00152216">
      <w:pPr>
        <w:numPr>
          <w:ilvl w:val="0"/>
          <w:numId w:val="551"/>
        </w:numPr>
        <w:spacing w:before="100" w:beforeAutospacing="1" w:after="100" w:afterAutospacing="1"/>
      </w:pPr>
    </w:p>
    <w:p w:rsidR="005002EF" w:rsidRDefault="005002EF" w:rsidP="005002EF">
      <w:pPr>
        <w:pStyle w:val="StandardWeb"/>
      </w:pPr>
      <w:r>
        <w:t>\tag{3.12362}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D\mathcal B_F(z)\left[X_g(z)\right]=0</w:t>
      </w:r>
    </w:p>
    <w:p w:rsidR="005002EF" w:rsidRDefault="00E50336" w:rsidP="005002EF">
      <w:r>
        <w:pict>
          <v:rect id="_x0000_i4432" style="width:0;height:1.5pt" o:hralign="center" o:hrstd="t" o:hr="t" fillcolor="#a0a0a0" stroked="f"/>
        </w:pict>
      </w:r>
    </w:p>
    <w:p w:rsidR="005002EF" w:rsidRDefault="005002EF" w:rsidP="005002EF">
      <w:pPr>
        <w:pStyle w:val="berschrift1"/>
      </w:pPr>
      <w:r>
        <w:t>3.3.48.262 Satz 3.3.150 – Generatorrichtungen invarianten Beobachtens liegen im Kern der Beobachtungsableitung</w:t>
      </w:r>
    </w:p>
    <w:p w:rsidR="005002EF" w:rsidRDefault="005002EF" w:rsidP="005002EF">
      <w:pPr>
        <w:pStyle w:val="berschrift3"/>
      </w:pPr>
      <w:r>
        <w:t>Satz 3.3.150</w:t>
      </w:r>
    </w:p>
    <w:p w:rsidR="005002EF" w:rsidRDefault="005002EF" w:rsidP="005002EF">
      <w:pPr>
        <w:pStyle w:val="StandardWeb"/>
      </w:pPr>
      <w:r>
        <w:t>Ist (\mathcal B_F) differenzierbar und unter einer differenzierbaren Transformationsfamilie (g_\lambda) invariant, dann gilt</w:t>
      </w:r>
    </w:p>
    <w:p w:rsidR="005002EF" w:rsidRDefault="005002EF" w:rsidP="005002EF">
      <w:pPr>
        <w:pStyle w:val="StandardWeb"/>
      </w:pPr>
      <w:r>
        <w:t>[</w:t>
      </w:r>
      <w:r>
        <w:br/>
        <w:t>\boxed{</w:t>
      </w:r>
      <w:r>
        <w:br/>
        <w:t>X_g(z)</w:t>
      </w:r>
      <w:r>
        <w:br/>
        <w:t>\in</w:t>
      </w:r>
      <w:r>
        <w:br/>
        <w:t>\ker</w:t>
      </w:r>
      <w:r>
        <w:br/>
        <w:t>D\mathcal B_F(z).</w:t>
      </w:r>
      <w:r>
        <w:br/>
        <w:t>}</w:t>
      </w:r>
      <w:r>
        <w:br/>
        <w:t>\tag{3.12363}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\boxed{X_g(z)\in\ker D\mathcal B_F(z).}</w:t>
      </w:r>
    </w:p>
    <w:p w:rsidR="005002EF" w:rsidRDefault="005002EF" w:rsidP="005002EF">
      <w:pPr>
        <w:pStyle w:val="berschrift3"/>
      </w:pPr>
      <w:r>
        <w:t>Beweis</w:t>
      </w:r>
    </w:p>
    <w:p w:rsidR="005002EF" w:rsidRDefault="005002EF" w:rsidP="005002EF">
      <w:pPr>
        <w:pStyle w:val="StandardWeb"/>
      </w:pPr>
      <w:r>
        <w:t>Aus der Invarianz folgt</w:t>
      </w:r>
    </w:p>
    <w:p w:rsidR="005002EF" w:rsidRDefault="005002EF" w:rsidP="005002EF">
      <w:pPr>
        <w:pStyle w:val="berschrift1"/>
      </w:pPr>
      <w:r>
        <w:lastRenderedPageBreak/>
        <w:t>[</w:t>
      </w:r>
      <w:r>
        <w:br/>
        <w:t>\mathcal B_F(g_\lambda(z))</w:t>
      </w:r>
    </w:p>
    <w:p w:rsidR="005002EF" w:rsidRDefault="005002EF" w:rsidP="005002EF">
      <w:pPr>
        <w:pStyle w:val="StandardWeb"/>
      </w:pPr>
      <w:r>
        <w:t>\mathcal B_F(z).</w:t>
      </w:r>
      <w:r>
        <w:br/>
        <w:t>\tag{3.12364}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B_F(g_\lambda(z))=\mathcal B_F(z)</w:t>
      </w:r>
    </w:p>
    <w:p w:rsidR="005002EF" w:rsidRDefault="005002EF" w:rsidP="005002EF">
      <w:pPr>
        <w:pStyle w:val="StandardWeb"/>
      </w:pPr>
      <w:r>
        <w:t>Differentiation nach (\lambda) bei (\lambda=0) ergibt</w:t>
      </w:r>
    </w:p>
    <w:p w:rsidR="005002EF" w:rsidRDefault="005002EF" w:rsidP="005002EF">
      <w:pPr>
        <w:pStyle w:val="berschrift1"/>
      </w:pPr>
      <w:r>
        <w:t>[</w:t>
      </w:r>
      <w:r>
        <w:br/>
        <w:t>D\mathcal B_F(z)</w:t>
      </w:r>
      <w:r>
        <w:br/>
        <w:t>\left[</w:t>
      </w:r>
      <w:r>
        <w:br/>
        <w:t>X_g(z)</w:t>
      </w:r>
      <w:r>
        <w:br/>
        <w:t>\right]</w:t>
      </w:r>
    </w:p>
    <w:p w:rsidR="005002EF" w:rsidRDefault="005002EF" w:rsidP="00152216">
      <w:pPr>
        <w:numPr>
          <w:ilvl w:val="0"/>
          <w:numId w:val="552"/>
        </w:numPr>
        <w:spacing w:before="100" w:beforeAutospacing="1" w:after="100" w:afterAutospacing="1"/>
      </w:pPr>
    </w:p>
    <w:p w:rsidR="005002EF" w:rsidRDefault="005002EF" w:rsidP="005002EF">
      <w:pPr>
        <w:pStyle w:val="StandardWeb"/>
      </w:pPr>
      <w:r>
        <w:t>\tag{3.12365}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D\mathcal B_F(z)\left[X_g(z)\right]=0</w:t>
      </w:r>
    </w:p>
    <w:p w:rsidR="005002EF" w:rsidRDefault="005002EF" w:rsidP="005002EF">
      <w:pPr>
        <w:pStyle w:val="StandardWeb"/>
      </w:pPr>
      <w:r>
        <w:t>Damit liegt (X_g(z)) im Kern der Ableitung. (\square)</w:t>
      </w:r>
    </w:p>
    <w:p w:rsidR="005002EF" w:rsidRDefault="00E50336" w:rsidP="005002EF">
      <w:r>
        <w:pict>
          <v:rect id="_x0000_i4433" style="width:0;height:1.5pt" o:hralign="center" o:hrstd="t" o:hr="t" fillcolor="#a0a0a0" stroked="f"/>
        </w:pict>
      </w:r>
    </w:p>
    <w:p w:rsidR="005002EF" w:rsidRDefault="005002EF" w:rsidP="005002EF">
      <w:pPr>
        <w:pStyle w:val="berschrift1"/>
      </w:pPr>
      <w:r>
        <w:t>3.3.48.263 Symmetrieinduzierte Nichtidentifizierbarkeit</w:t>
      </w:r>
    </w:p>
    <w:p w:rsidR="005002EF" w:rsidRDefault="005002EF" w:rsidP="005002EF">
      <w:pPr>
        <w:pStyle w:val="StandardWeb"/>
      </w:pPr>
      <w:r>
        <w:t>Satz 3.3.150 zeigt, dass eine Beobachtungsabbildung, die gegenüber einer kontinuierlichen Symmetrie invariant ist, lokale Änderungen entlang der entsprechenden Generatorrichtung nicht erfassen kann.</w:t>
      </w:r>
    </w:p>
    <w:p w:rsidR="005002EF" w:rsidRDefault="005002EF" w:rsidP="005002EF">
      <w:pPr>
        <w:pStyle w:val="StandardWeb"/>
      </w:pPr>
      <w:r>
        <w:t>Ich schreibe dafür</w:t>
      </w:r>
    </w:p>
    <w:p w:rsidR="005002EF" w:rsidRDefault="005002EF" w:rsidP="005002EF">
      <w:pPr>
        <w:pStyle w:val="StandardWeb"/>
      </w:pPr>
      <w:r>
        <w:t>[</w:t>
      </w:r>
      <w:r>
        <w:br/>
        <w:t>X_g(z)</w:t>
      </w:r>
      <w:r>
        <w:br/>
        <w:t>\in</w:t>
      </w:r>
      <w:r>
        <w:br/>
        <w:t>\mathcal N_{\mathrm{obs}}(z),</w:t>
      </w:r>
      <w:r>
        <w:br/>
      </w:r>
      <w:r>
        <w:lastRenderedPageBreak/>
        <w:t>\tag{3.12366}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X_g(z)\in\mathcal N_{\mathrm{obs}}(z)</w:t>
      </w:r>
    </w:p>
    <w:p w:rsidR="005002EF" w:rsidRDefault="005002EF" w:rsidP="005002EF">
      <w:pPr>
        <w:pStyle w:val="StandardWeb"/>
      </w:pPr>
      <w:r>
        <w:t>wobei (\mathcal N_{\mathrm{obs}}(z)) den lokal nichtbeobachtbaren Richtungsraum bezeichnet.</w:t>
      </w:r>
    </w:p>
    <w:p w:rsidR="005002EF" w:rsidRDefault="00E50336" w:rsidP="005002EF">
      <w:r>
        <w:pict>
          <v:rect id="_x0000_i4434" style="width:0;height:1.5pt" o:hralign="center" o:hrstd="t" o:hr="t" fillcolor="#a0a0a0" stroked="f"/>
        </w:pict>
      </w:r>
    </w:p>
    <w:p w:rsidR="005002EF" w:rsidRDefault="005002EF" w:rsidP="005002EF">
      <w:pPr>
        <w:pStyle w:val="berschrift1"/>
      </w:pPr>
      <w:r>
        <w:t>3.3.48.264 Definition 3.3.361 – Lokaler funktionaler Nichtbeobachtbarkeitsraum</w:t>
      </w:r>
    </w:p>
    <w:p w:rsidR="005002EF" w:rsidRDefault="005002EF" w:rsidP="005002EF">
      <w:pPr>
        <w:pStyle w:val="berschrift3"/>
      </w:pPr>
      <w:r>
        <w:t>Definition 3.3.361</w:t>
      </w:r>
    </w:p>
    <w:p w:rsidR="005002EF" w:rsidRDefault="005002EF" w:rsidP="005002EF">
      <w:pPr>
        <w:pStyle w:val="StandardWeb"/>
      </w:pPr>
      <w:r>
        <w:t>Für eine differenzierbare Beobachtungsabbildung definiere ich</w:t>
      </w:r>
    </w:p>
    <w:p w:rsidR="005002EF" w:rsidRDefault="005002EF" w:rsidP="005002EF">
      <w:pPr>
        <w:pStyle w:val="StandardWeb"/>
      </w:pPr>
      <w:r>
        <w:t>[</w:t>
      </w:r>
      <w:r>
        <w:br/>
        <w:t>\boxed{</w:t>
      </w:r>
      <w:r>
        <w:br/>
        <w:t>\mathcal N_{\mathrm{obs}}(z)</w:t>
      </w:r>
      <w:r>
        <w:br/>
        <w:t>:=</w:t>
      </w:r>
      <w:r>
        <w:br/>
        <w:t>\ker</w:t>
      </w:r>
      <w:r>
        <w:br/>
        <w:t>D\mathcal B_F(z).</w:t>
      </w:r>
      <w:r>
        <w:br/>
        <w:t>}</w:t>
      </w:r>
      <w:r>
        <w:br/>
        <w:t>\tag{3.12367}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N_{\mathrm{obs}}(z):=\ker D\mathcal B_F(z).}</w:t>
      </w:r>
    </w:p>
    <w:p w:rsidR="005002EF" w:rsidRDefault="00E50336" w:rsidP="005002EF">
      <w:r>
        <w:pict>
          <v:rect id="_x0000_i4435" style="width:0;height:1.5pt" o:hralign="center" o:hrstd="t" o:hr="t" fillcolor="#a0a0a0" stroked="f"/>
        </w:pict>
      </w:r>
    </w:p>
    <w:p w:rsidR="005002EF" w:rsidRDefault="005002EF" w:rsidP="005002EF">
      <w:pPr>
        <w:pStyle w:val="berschrift1"/>
      </w:pPr>
      <w:r>
        <w:t>3.3.48.265 Symmetrieunterraum des Nichtbeobachtbarkeitsraums</w:t>
      </w:r>
    </w:p>
    <w:p w:rsidR="005002EF" w:rsidRDefault="005002EF" w:rsidP="005002EF">
      <w:pPr>
        <w:pStyle w:val="StandardWeb"/>
      </w:pPr>
      <w:r>
        <w:t>Die von Symmetriegeneratoren aufgespannte Menge</w:t>
      </w:r>
    </w:p>
    <w:p w:rsidR="005002EF" w:rsidRDefault="005002EF" w:rsidP="005002EF">
      <w:pPr>
        <w:pStyle w:val="StandardWeb"/>
      </w:pPr>
      <w:r>
        <w:t>[</w:t>
      </w:r>
      <w:r>
        <w:br/>
        <w:t>\mathcal N_{\mathrm{sym}}(z)</w:t>
      </w:r>
      <w:r>
        <w:br/>
        <w:t>:=</w:t>
      </w:r>
      <w:r>
        <w:br/>
        <w:t>\operatorname{span}</w:t>
      </w:r>
      <w:r>
        <w:br/>
        <w:t>{</w:t>
      </w:r>
      <w:r>
        <w:br/>
        <w:t>X_g(z)</w:t>
      </w:r>
      <w:r>
        <w:br/>
        <w:t>}</w:t>
      </w:r>
      <w:r>
        <w:br/>
        <w:t>\tag{3.12368}</w:t>
      </w:r>
      <w:r>
        <w:br/>
        <w:t>]</w:t>
      </w:r>
    </w:p>
    <w:p w:rsidR="005002EF" w:rsidRDefault="005002EF" w:rsidP="005002EF">
      <w:pPr>
        <w:pStyle w:val="StandardWeb"/>
      </w:pPr>
      <w:r>
        <w:rPr>
          <w:rStyle w:val="Fett"/>
        </w:rPr>
        <w:lastRenderedPageBreak/>
        <w:t>Word-LaTeX</w:t>
      </w:r>
    </w:p>
    <w:p w:rsidR="005002EF" w:rsidRDefault="005002EF" w:rsidP="005002EF">
      <w:pPr>
        <w:pStyle w:val="HTMLVorformatiert"/>
        <w:rPr>
          <w:rStyle w:val="HTMLCode"/>
        </w:rPr>
      </w:pPr>
      <w:r>
        <w:rPr>
          <w:rStyle w:val="HTMLCode"/>
        </w:rPr>
        <w:t>\mathcal N_{\mathrm{sym}}(z):=\operatorname{span}\{X_g(z)\}</w:t>
      </w:r>
    </w:p>
    <w:p w:rsidR="005002EF" w:rsidRDefault="005002EF" w:rsidP="005002EF">
      <w:pPr>
        <w:pStyle w:val="StandardWeb"/>
      </w:pPr>
      <w:r>
        <w:t>liegt bei invarianten Beobachtungen im Nichtbeobachtbarkeitsraum.</w:t>
      </w:r>
    </w:p>
    <w:p w:rsidR="005002EF" w:rsidRDefault="00E50336" w:rsidP="005002EF">
      <w:r>
        <w:pict>
          <v:rect id="_x0000_i4436" style="width:0;height:1.5pt" o:hralign="center" o:hrstd="t" o:hr="t" fillcolor="#a0a0a0" stroked="f"/>
        </w:pict>
      </w:r>
    </w:p>
    <w:p w:rsidR="005002EF" w:rsidRDefault="005002EF" w:rsidP="005002EF">
      <w:pPr>
        <w:pStyle w:val="berschrift1"/>
      </w:pPr>
      <w:r>
        <w:t>3.3.48.266 Satz 3.3.151 – Symmetriebedingte Richtungen bilden einen Teilraum der lokalen Nichtbeobachtbarkeit</w:t>
      </w:r>
    </w:p>
    <w:p w:rsidR="005002EF" w:rsidRDefault="005002EF" w:rsidP="005002EF">
      <w:pPr>
        <w:pStyle w:val="berschrift3"/>
      </w:pPr>
      <w:r>
        <w:t>Satz 3.3.151</w:t>
      </w:r>
    </w:p>
    <w:p w:rsidR="005002EF" w:rsidRDefault="005002EF" w:rsidP="005002EF">
      <w:pPr>
        <w:pStyle w:val="StandardWeb"/>
      </w:pPr>
      <w:r>
        <w:t>Unter den Voraussetzungen von Satz 3.3.150 gilt</w:t>
      </w:r>
    </w:p>
    <w:p w:rsidR="005002EF" w:rsidRDefault="005002EF" w:rsidP="005002EF">
      <w:pPr>
        <w:pStyle w:val="StandardWeb"/>
      </w:pPr>
      <w:r>
        <w:t>[</w:t>
      </w:r>
      <w:r>
        <w:br/>
        <w:t>\boxed{</w:t>
      </w:r>
      <w:r>
        <w:br/>
        <w:t>\mathcal N_{\mathrm{sym}}(z)</w:t>
      </w:r>
      <w:r>
        <w:br/>
        <w:t>\subseteq</w:t>
      </w:r>
      <w:r>
        <w:br/>
        <w:t>\mathcal N_{\mathrm{obs}}(z).</w:t>
      </w:r>
      <w:r>
        <w:br/>
        <w:t>}</w:t>
      </w:r>
      <w:r>
        <w:br/>
        <w:t>\tag{3.12369}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\boxed{\mathcal N_{\mathrm{sym}}(z)\subseteq\mathcal N_{\mathrm{obs}}(z).}</w:t>
      </w:r>
    </w:p>
    <w:p w:rsidR="005002EF" w:rsidRDefault="00E50336" w:rsidP="005002EF">
      <w:r>
        <w:pict>
          <v:rect id="_x0000_i4437" style="width:0;height:1.5pt" o:hralign="center" o:hrstd="t" o:hr="t" fillcolor="#a0a0a0" stroked="f"/>
        </w:pict>
      </w:r>
    </w:p>
    <w:p w:rsidR="005002EF" w:rsidRDefault="005002EF" w:rsidP="005002EF">
      <w:pPr>
        <w:pStyle w:val="berschrift1"/>
      </w:pPr>
      <w:r>
        <w:t>3.3.48.267 Zusätzliche Nichtbeobachtbarkeit</w:t>
      </w:r>
    </w:p>
    <w:p w:rsidR="005002EF" w:rsidRDefault="005002EF" w:rsidP="005002EF">
      <w:pPr>
        <w:pStyle w:val="StandardWeb"/>
      </w:pPr>
      <w:r>
        <w:t>Die Inklusion muss nicht Gleichheit sein.</w:t>
      </w:r>
    </w:p>
    <w:p w:rsidR="005002EF" w:rsidRDefault="005002EF" w:rsidP="005002EF">
      <w:pPr>
        <w:pStyle w:val="StandardWeb"/>
      </w:pPr>
      <w:r>
        <w:t>Es kann</w:t>
      </w:r>
    </w:p>
    <w:p w:rsidR="005002EF" w:rsidRDefault="005002EF" w:rsidP="005002EF">
      <w:pPr>
        <w:pStyle w:val="StandardWeb"/>
      </w:pPr>
      <w:r>
        <w:t>[</w:t>
      </w:r>
      <w:r>
        <w:br/>
        <w:t>\mathcal N_{\mathrm{sym}}(z)</w:t>
      </w:r>
      <w:r>
        <w:br/>
        <w:t>\subsetneq</w:t>
      </w:r>
      <w:r>
        <w:br/>
        <w:t>\mathcal N_{\mathrm{obs}}(z)</w:t>
      </w:r>
      <w:r>
        <w:br/>
        <w:t>\tag{3.12370}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N_{\mathrm{sym}}(z)\subsetneq\mathcal N_{\mathrm{obs}}(z)</w:t>
      </w:r>
    </w:p>
    <w:p w:rsidR="005002EF" w:rsidRDefault="005002EF" w:rsidP="005002EF">
      <w:pPr>
        <w:pStyle w:val="StandardWeb"/>
      </w:pPr>
      <w:r>
        <w:t>gelten.</w:t>
      </w:r>
    </w:p>
    <w:p w:rsidR="005002EF" w:rsidRDefault="005002EF" w:rsidP="005002EF">
      <w:pPr>
        <w:pStyle w:val="StandardWeb"/>
      </w:pPr>
      <w:r>
        <w:lastRenderedPageBreak/>
        <w:t>Dann existieren nichtbeobachtbare Richtungen, die nicht durch die untersuchte Symmetrie erklärt werden.</w:t>
      </w:r>
    </w:p>
    <w:p w:rsidR="005002EF" w:rsidRDefault="00E50336" w:rsidP="005002EF">
      <w:r>
        <w:pict>
          <v:rect id="_x0000_i4438" style="width:0;height:1.5pt" o:hralign="center" o:hrstd="t" o:hr="t" fillcolor="#a0a0a0" stroked="f"/>
        </w:pict>
      </w:r>
    </w:p>
    <w:p w:rsidR="005002EF" w:rsidRDefault="005002EF" w:rsidP="005002EF">
      <w:pPr>
        <w:pStyle w:val="berschrift1"/>
      </w:pPr>
      <w:r>
        <w:t>3.3.48.268 Symmetrie als mögliche Ursache von Nichtidentifizierbarkeit</w:t>
      </w:r>
    </w:p>
    <w:p w:rsidR="005002EF" w:rsidRDefault="005002EF" w:rsidP="005002EF">
      <w:pPr>
        <w:pStyle w:val="StandardWeb"/>
      </w:pPr>
      <w:r>
        <w:t>Damit ergibt sich</w:t>
      </w:r>
    </w:p>
    <w:p w:rsidR="005002EF" w:rsidRDefault="005002EF" w:rsidP="005002EF">
      <w:pPr>
        <w:pStyle w:val="StandardWeb"/>
      </w:pPr>
      <w:r>
        <w:t>[</w:t>
      </w:r>
      <w:r>
        <w:br/>
        <w:t>\boxed{</w:t>
      </w:r>
      <w:r>
        <w:br/>
        <w:t>\text{Symmetrie}</w:t>
      </w:r>
      <w:r>
        <w:br/>
        <w:t>\Rightarrow</w:t>
      </w:r>
      <w:r>
        <w:br/>
        <w:t>\text{mögliche Nichtidentifizierbarkeit},</w:t>
      </w:r>
      <w:r>
        <w:br/>
        <w:t>}</w:t>
      </w:r>
      <w:r>
        <w:br/>
        <w:t>\tag{3.12371}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\boxed{\text{Symmetrie}\Rightarrow\text{mögliche Nichtidentifizierbarkeit},}</w:t>
      </w:r>
    </w:p>
    <w:p w:rsidR="005002EF" w:rsidRDefault="005002EF" w:rsidP="005002EF">
      <w:pPr>
        <w:pStyle w:val="StandardWeb"/>
      </w:pPr>
      <w:r>
        <w:t>aber nicht notwendig die Umkehrung.</w:t>
      </w:r>
    </w:p>
    <w:p w:rsidR="005002EF" w:rsidRDefault="00E50336" w:rsidP="005002EF">
      <w:r>
        <w:pict>
          <v:rect id="_x0000_i4439" style="width:0;height:1.5pt" o:hralign="center" o:hrstd="t" o:hr="t" fillcolor="#a0a0a0" stroked="f"/>
        </w:pict>
      </w:r>
    </w:p>
    <w:p w:rsidR="005002EF" w:rsidRDefault="005002EF" w:rsidP="005002EF">
      <w:pPr>
        <w:pStyle w:val="berschrift1"/>
      </w:pPr>
      <w:r>
        <w:t>3.3.48.269 Keine Umkehrung</w:t>
      </w:r>
    </w:p>
    <w:p w:rsidR="005002EF" w:rsidRDefault="005002EF" w:rsidP="005002EF">
      <w:pPr>
        <w:pStyle w:val="StandardWeb"/>
      </w:pPr>
      <w:r>
        <w:t>Insbesondere gilt</w:t>
      </w:r>
    </w:p>
    <w:p w:rsidR="005002EF" w:rsidRDefault="005002EF" w:rsidP="005002EF">
      <w:pPr>
        <w:pStyle w:val="StandardWeb"/>
      </w:pPr>
      <w:r>
        <w:t>[</w:t>
      </w:r>
      <w:r>
        <w:br/>
        <w:t>\boxed{</w:t>
      </w:r>
      <w:r>
        <w:br/>
        <w:t>\text{Nichtidentifizierbarkeit}</w:t>
      </w:r>
      <w:r>
        <w:br/>
        <w:t>\not\Rightarrow</w:t>
      </w:r>
      <w:r>
        <w:br/>
        <w:t>\text{Symmetrie}.</w:t>
      </w:r>
      <w:r>
        <w:br/>
        <w:t>}</w:t>
      </w:r>
      <w:r>
        <w:br/>
        <w:t>\tag{3.12372}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\boxed{\text{Nichtidentifizierbarkeit}\not\Rightarrow\text{Symmetrie}.}</w:t>
      </w:r>
    </w:p>
    <w:p w:rsidR="005002EF" w:rsidRDefault="005002EF" w:rsidP="005002EF">
      <w:pPr>
        <w:pStyle w:val="StandardWeb"/>
      </w:pPr>
      <w:r>
        <w:t>Nichtidentifizierbarkeit kann beispielsweise auch aus Informationsverlust, unvollständiger Beobachtung oder Projektion entstehen.</w:t>
      </w:r>
    </w:p>
    <w:p w:rsidR="005002EF" w:rsidRDefault="00E50336" w:rsidP="005002EF">
      <w:r>
        <w:pict>
          <v:rect id="_x0000_i4440" style="width:0;height:1.5pt" o:hralign="center" o:hrstd="t" o:hr="t" fillcolor="#a0a0a0" stroked="f"/>
        </w:pict>
      </w:r>
    </w:p>
    <w:p w:rsidR="005002EF" w:rsidRDefault="005002EF" w:rsidP="005002EF">
      <w:pPr>
        <w:pStyle w:val="berschrift1"/>
      </w:pPr>
      <w:r>
        <w:lastRenderedPageBreak/>
        <w:t>3.3.48.270 Symmetrie und Rekonstruktionsmehrdeutigkeit</w:t>
      </w:r>
    </w:p>
    <w:p w:rsidR="005002EF" w:rsidRDefault="005002EF" w:rsidP="005002EF">
      <w:pPr>
        <w:pStyle w:val="StandardWeb"/>
      </w:pPr>
      <w:r>
        <w:t>Ist eine Beobachtung symmetrieblind, kann die inverse Rekonstruktion mehrwertig sein.</w:t>
      </w:r>
    </w:p>
    <w:p w:rsidR="005002EF" w:rsidRDefault="005002EF" w:rsidP="005002EF">
      <w:pPr>
        <w:pStyle w:val="StandardWeb"/>
      </w:pPr>
      <w:r>
        <w:t>Für einen Beobachtungswert (y) kann</w:t>
      </w:r>
    </w:p>
    <w:p w:rsidR="005002EF" w:rsidRDefault="005002EF" w:rsidP="005002EF">
      <w:pPr>
        <w:pStyle w:val="berschrift1"/>
      </w:pPr>
      <w:r>
        <w:t>[</w:t>
      </w:r>
      <w:r>
        <w:br/>
        <w:t>\mathcal B_F^{-1}(y)</w:t>
      </w:r>
    </w:p>
    <w:p w:rsidR="005002EF" w:rsidRDefault="005002EF" w:rsidP="005002EF">
      <w:pPr>
        <w:pStyle w:val="StandardWeb"/>
      </w:pPr>
      <w:r>
        <w:t>[z]_G</w:t>
      </w:r>
      <w:r>
        <w:br/>
        <w:t>\tag{3.12373}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B_F^{-1}(y)=[z]_G</w:t>
      </w:r>
    </w:p>
    <w:p w:rsidR="005002EF" w:rsidRDefault="005002EF" w:rsidP="005002EF">
      <w:pPr>
        <w:pStyle w:val="StandardWeb"/>
      </w:pPr>
      <w:r>
        <w:t>im idealisierten Fall gelten.</w:t>
      </w:r>
    </w:p>
    <w:p w:rsidR="005002EF" w:rsidRDefault="00E50336" w:rsidP="005002EF">
      <w:r>
        <w:pict>
          <v:rect id="_x0000_i4441" style="width:0;height:1.5pt" o:hralign="center" o:hrstd="t" o:hr="t" fillcolor="#a0a0a0" stroked="f"/>
        </w:pict>
      </w:r>
    </w:p>
    <w:p w:rsidR="005002EF" w:rsidRDefault="005002EF" w:rsidP="005002EF">
      <w:pPr>
        <w:pStyle w:val="berschrift1"/>
      </w:pPr>
      <w:r>
        <w:t>3.3.48.271 Definition 3.3.362 – Symmetriebedingte funktionale Rekonstruktionsmehrdeutigkeit</w:t>
      </w:r>
    </w:p>
    <w:p w:rsidR="005002EF" w:rsidRDefault="005002EF" w:rsidP="005002EF">
      <w:pPr>
        <w:pStyle w:val="berschrift3"/>
      </w:pPr>
      <w:r>
        <w:t>Definition 3.3.362</w:t>
      </w:r>
    </w:p>
    <w:p w:rsidR="005002EF" w:rsidRDefault="005002EF" w:rsidP="005002EF">
      <w:pPr>
        <w:pStyle w:val="StandardWeb"/>
      </w:pPr>
      <w:r>
        <w:t xml:space="preserve">Eine Rekonstruktionsaufgabe besitzt eine </w:t>
      </w:r>
      <w:r>
        <w:rPr>
          <w:rStyle w:val="Fett"/>
        </w:rPr>
        <w:t>symmetriebedingte Mehrdeutigkeit</w:t>
      </w:r>
      <w:r>
        <w:t>, wenn für einen Beobachtungswert (y)</w:t>
      </w:r>
    </w:p>
    <w:p w:rsidR="005002EF" w:rsidRDefault="005002EF" w:rsidP="005002EF">
      <w:pPr>
        <w:pStyle w:val="StandardWeb"/>
      </w:pPr>
      <w:r>
        <w:t>[</w:t>
      </w:r>
      <w:r>
        <w:br/>
        <w:t>\boxed{</w:t>
      </w:r>
      <w:r>
        <w:br/>
        <w:t>\left|</w:t>
      </w:r>
      <w:r>
        <w:br/>
        <w:t>\mathcal B_F^{-1}(y)</w:t>
      </w:r>
      <w:r>
        <w:br/>
        <w:t>\right|</w:t>
      </w:r>
    </w:p>
    <w:p w:rsidR="005002EF" w:rsidRDefault="005002EF" w:rsidP="005002EF">
      <w:pPr>
        <w:pStyle w:val="StandardWeb"/>
      </w:pPr>
      <w:r>
        <w:t>1</w:t>
      </w:r>
      <w:r>
        <w:br/>
        <w:t>}</w:t>
      </w:r>
      <w:r>
        <w:br/>
        <w:t>\tag{3.12374}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\boxed{\left|\mathcal B_F^{-1}(y)\right|&gt;1}</w:t>
      </w:r>
    </w:p>
    <w:p w:rsidR="005002EF" w:rsidRDefault="005002EF" w:rsidP="005002EF">
      <w:pPr>
        <w:pStyle w:val="StandardWeb"/>
      </w:pPr>
      <w:r>
        <w:t>gilt und die betreffenden Urbilder derselben Symmetrieklasse angehören.</w:t>
      </w:r>
    </w:p>
    <w:p w:rsidR="005002EF" w:rsidRDefault="00E50336" w:rsidP="005002EF">
      <w:r>
        <w:lastRenderedPageBreak/>
        <w:pict>
          <v:rect id="_x0000_i4442" style="width:0;height:1.5pt" o:hralign="center" o:hrstd="t" o:hr="t" fillcolor="#a0a0a0" stroked="f"/>
        </w:pict>
      </w:r>
    </w:p>
    <w:p w:rsidR="005002EF" w:rsidRDefault="005002EF" w:rsidP="005002EF">
      <w:pPr>
        <w:pStyle w:val="berschrift1"/>
      </w:pPr>
      <w:r>
        <w:t>3.3.48.272 Auswahl eines Repräsentanten</w:t>
      </w:r>
    </w:p>
    <w:p w:rsidR="005002EF" w:rsidRDefault="005002EF" w:rsidP="005002EF">
      <w:pPr>
        <w:pStyle w:val="StandardWeb"/>
      </w:pPr>
      <w:r>
        <w:t>Um aus einer Symmetrieklasse einen konkreten Zustand auszuwählen, kann eine zusätzliche Bedingung eingeführt werden.</w:t>
      </w:r>
    </w:p>
    <w:p w:rsidR="005002EF" w:rsidRDefault="005002EF" w:rsidP="005002EF">
      <w:pPr>
        <w:pStyle w:val="StandardWeb"/>
      </w:pPr>
      <w:r>
        <w:t>Ich schreibe</w:t>
      </w:r>
    </w:p>
    <w:p w:rsidR="005002EF" w:rsidRDefault="005002EF" w:rsidP="005002EF">
      <w:pPr>
        <w:pStyle w:val="StandardWeb"/>
      </w:pPr>
      <w:r>
        <w:t>[</w:t>
      </w:r>
      <w:r>
        <w:br/>
        <w:t>\Gamma:</w:t>
      </w:r>
      <w:r>
        <w:br/>
        <w:t>[z]</w:t>
      </w:r>
      <w:r>
        <w:rPr>
          <w:rStyle w:val="Hervorhebung"/>
        </w:rPr>
        <w:t>G</w:t>
      </w:r>
      <w:r>
        <w:rPr>
          <w:i/>
          <w:iCs/>
        </w:rPr>
        <w:br/>
      </w:r>
      <w:r>
        <w:rPr>
          <w:rStyle w:val="Hervorhebung"/>
        </w:rPr>
        <w:t>\rightarrow</w:t>
      </w:r>
      <w:r>
        <w:rPr>
          <w:i/>
          <w:iCs/>
        </w:rPr>
        <w:br/>
      </w:r>
      <w:r>
        <w:rPr>
          <w:rStyle w:val="Hervorhebung"/>
        </w:rPr>
        <w:t>z</w:t>
      </w:r>
      <w:r>
        <w:t>\Gamma.</w:t>
      </w:r>
      <w:r>
        <w:br/>
        <w:t>\tag{3.12375}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\Gamma:[z]_G\rightarrow z_\Gamma</w:t>
      </w:r>
    </w:p>
    <w:p w:rsidR="005002EF" w:rsidRDefault="00E50336" w:rsidP="005002EF">
      <w:r>
        <w:pict>
          <v:rect id="_x0000_i4443" style="width:0;height:1.5pt" o:hralign="center" o:hrstd="t" o:hr="t" fillcolor="#a0a0a0" stroked="f"/>
        </w:pict>
      </w:r>
    </w:p>
    <w:p w:rsidR="005002EF" w:rsidRDefault="005002EF" w:rsidP="005002EF">
      <w:pPr>
        <w:pStyle w:val="berschrift1"/>
      </w:pPr>
      <w:r>
        <w:t>3.3.48.273 Definition 3.3.363 – Funktionale Repräsentantenauswahl</w:t>
      </w:r>
    </w:p>
    <w:p w:rsidR="005002EF" w:rsidRDefault="005002EF" w:rsidP="005002EF">
      <w:pPr>
        <w:pStyle w:val="berschrift3"/>
      </w:pPr>
      <w:r>
        <w:t>Definition 3.3.363</w:t>
      </w:r>
    </w:p>
    <w:p w:rsidR="005002EF" w:rsidRDefault="005002EF" w:rsidP="005002EF">
      <w:pPr>
        <w:pStyle w:val="StandardWeb"/>
      </w:pPr>
      <w:r>
        <w:t xml:space="preserve">Eine </w:t>
      </w:r>
      <w:r>
        <w:rPr>
          <w:rStyle w:val="Fett"/>
        </w:rPr>
        <w:t>funktionale Repräsentantenauswahl</w:t>
      </w:r>
      <w:r>
        <w:t xml:space="preserve"> ist eine Abbildung</w:t>
      </w:r>
    </w:p>
    <w:p w:rsidR="005002EF" w:rsidRDefault="005002EF" w:rsidP="005002EF">
      <w:pPr>
        <w:pStyle w:val="StandardWeb"/>
      </w:pPr>
      <w:r>
        <w:t>[</w:t>
      </w:r>
      <w:r>
        <w:br/>
        <w:t>\boxed{</w:t>
      </w:r>
      <w:r>
        <w:br/>
        <w:t>\Gamma:</w:t>
      </w:r>
      <w:r>
        <w:br/>
        <w:t>\Omega_F/G</w:t>
      </w:r>
      <w:r>
        <w:br/>
        <w:t>\rightarrow</w:t>
      </w:r>
      <w:r>
        <w:br/>
        <w:t>\Omega_F</w:t>
      </w:r>
      <w:r>
        <w:br/>
        <w:t>}</w:t>
      </w:r>
      <w:r>
        <w:br/>
        <w:t>\tag{3.12376}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\boxed{\Gamma:\Omega_F/G\rightarrow\Omega_F}</w:t>
      </w:r>
    </w:p>
    <w:p w:rsidR="005002EF" w:rsidRDefault="005002EF" w:rsidP="005002EF">
      <w:pPr>
        <w:pStyle w:val="StandardWeb"/>
      </w:pPr>
      <w:r>
        <w:t>mit</w:t>
      </w:r>
    </w:p>
    <w:p w:rsidR="005002EF" w:rsidRDefault="005002EF" w:rsidP="005002EF">
      <w:pPr>
        <w:pStyle w:val="StandardWeb"/>
      </w:pPr>
      <w:r>
        <w:t>[</w:t>
      </w:r>
      <w:r>
        <w:br/>
        <w:t>\Gamma([z]_G)</w:t>
      </w:r>
      <w:r>
        <w:br/>
        <w:t>\in</w:t>
      </w:r>
      <w:r>
        <w:br/>
        <w:t>[z]_G.</w:t>
      </w:r>
      <w:r>
        <w:br/>
      </w:r>
      <w:r>
        <w:lastRenderedPageBreak/>
        <w:t>\tag{3.12377}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\Gamma([z]_G)\in[z]_G</w:t>
      </w:r>
    </w:p>
    <w:p w:rsidR="005002EF" w:rsidRDefault="00E50336" w:rsidP="005002EF">
      <w:r>
        <w:pict>
          <v:rect id="_x0000_i4444" style="width:0;height:1.5pt" o:hralign="center" o:hrstd="t" o:hr="t" fillcolor="#a0a0a0" stroked="f"/>
        </w:pict>
      </w:r>
    </w:p>
    <w:p w:rsidR="005002EF" w:rsidRDefault="005002EF" w:rsidP="005002EF">
      <w:pPr>
        <w:pStyle w:val="berschrift1"/>
      </w:pPr>
      <w:r>
        <w:t>3.3.48.274 Repräsentantenauswahl ist zusätzliche Struktur</w:t>
      </w:r>
    </w:p>
    <w:p w:rsidR="005002EF" w:rsidRDefault="005002EF" w:rsidP="005002EF">
      <w:pPr>
        <w:pStyle w:val="StandardWeb"/>
      </w:pPr>
      <w:r>
        <w:t>Eine solche Auswahl ist im Allgemeinen nicht durch die Symmetrieklasse selbst eindeutig bestimmt.</w:t>
      </w:r>
    </w:p>
    <w:p w:rsidR="005002EF" w:rsidRDefault="005002EF" w:rsidP="005002EF">
      <w:pPr>
        <w:pStyle w:val="StandardWeb"/>
      </w:pPr>
      <w:r>
        <w:t>Damit gilt</w:t>
      </w:r>
    </w:p>
    <w:p w:rsidR="005002EF" w:rsidRDefault="005002EF" w:rsidP="005002EF">
      <w:pPr>
        <w:pStyle w:val="StandardWeb"/>
      </w:pPr>
      <w:r>
        <w:t>[</w:t>
      </w:r>
      <w:r>
        <w:br/>
        <w:t>\boxed{</w:t>
      </w:r>
      <w:r>
        <w:br/>
        <w:t>[z]_G</w:t>
      </w:r>
      <w:r>
        <w:br/>
        <w:t>\not\Rightarrow</w:t>
      </w:r>
      <w:r>
        <w:br/>
        <w:t>\text{eindeutiger Repräsentant}.</w:t>
      </w:r>
      <w:r>
        <w:br/>
        <w:t>}</w:t>
      </w:r>
      <w:r>
        <w:br/>
        <w:t>\tag{3.12378}</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\boxed{[z]_G\not\Rightarrow\text{eindeutiger Repräsentant}.}</w:t>
      </w:r>
    </w:p>
    <w:p w:rsidR="005002EF" w:rsidRDefault="00E50336" w:rsidP="005002EF">
      <w:r>
        <w:pict>
          <v:rect id="_x0000_i4445" style="width:0;height:1.5pt" o:hralign="center" o:hrstd="t" o:hr="t" fillcolor="#a0a0a0" stroked="f"/>
        </w:pict>
      </w:r>
    </w:p>
    <w:p w:rsidR="005002EF" w:rsidRDefault="005002EF" w:rsidP="005002EF">
      <w:pPr>
        <w:pStyle w:val="berschrift1"/>
      </w:pPr>
      <w:r>
        <w:t>3.3.48.275 Symmetriebrechende Auswahlregel</w:t>
      </w:r>
    </w:p>
    <w:p w:rsidR="005002EF" w:rsidRDefault="005002EF" w:rsidP="005002EF">
      <w:pPr>
        <w:pStyle w:val="StandardWeb"/>
      </w:pPr>
      <w:r>
        <w:t>Eine Auswahlregel kann eine bevorzugte Darstellung wählen und damit die ursprüngliche Symmetrie auf Repräsentationsebene reduzieren.</w:t>
      </w:r>
    </w:p>
    <w:p w:rsidR="005002EF" w:rsidRDefault="005002EF" w:rsidP="005002EF">
      <w:pPr>
        <w:pStyle w:val="StandardWeb"/>
      </w:pPr>
      <w:r>
        <w:t>Formal kann</w:t>
      </w:r>
    </w:p>
    <w:p w:rsidR="005002EF" w:rsidRDefault="005002EF" w:rsidP="005002EF">
      <w:pPr>
        <w:pStyle w:val="StandardWeb"/>
      </w:pPr>
      <w:r>
        <w:t>[</w:t>
      </w:r>
      <w:r>
        <w:br/>
        <w:t>G</w:t>
      </w:r>
      <w:r>
        <w:br/>
        <w:t>\longrightarrow</w:t>
      </w:r>
      <w:r>
        <w:br/>
        <w:t>H_\Gamma</w:t>
      </w:r>
      <w:r>
        <w:br/>
        <w:t>\tag{3.12379}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G\longrightarrow H_\Gamma</w:t>
      </w:r>
    </w:p>
    <w:p w:rsidR="005002EF" w:rsidRDefault="005002EF" w:rsidP="005002EF">
      <w:pPr>
        <w:pStyle w:val="StandardWeb"/>
      </w:pPr>
      <w:r>
        <w:t>mit</w:t>
      </w:r>
    </w:p>
    <w:p w:rsidR="005002EF" w:rsidRDefault="005002EF" w:rsidP="005002EF">
      <w:pPr>
        <w:pStyle w:val="StandardWeb"/>
      </w:pPr>
      <w:r>
        <w:lastRenderedPageBreak/>
        <w:t>[</w:t>
      </w:r>
      <w:r>
        <w:br/>
        <w:t>H_\Gamma</w:t>
      </w:r>
      <w:r>
        <w:br/>
        <w:t>\subseteq</w:t>
      </w:r>
      <w:r>
        <w:br/>
        <w:t>G</w:t>
      </w:r>
      <w:r>
        <w:br/>
        <w:t>\tag{3.12380}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H_\Gamma\subseteq G</w:t>
      </w:r>
    </w:p>
    <w:p w:rsidR="005002EF" w:rsidRDefault="005002EF" w:rsidP="005002EF">
      <w:pPr>
        <w:pStyle w:val="StandardWeb"/>
      </w:pPr>
      <w:r>
        <w:t>entstehen.</w:t>
      </w:r>
    </w:p>
    <w:p w:rsidR="005002EF" w:rsidRDefault="00E50336" w:rsidP="005002EF">
      <w:r>
        <w:pict>
          <v:rect id="_x0000_i4446" style="width:0;height:1.5pt" o:hralign="center" o:hrstd="t" o:hr="t" fillcolor="#a0a0a0" stroked="f"/>
        </w:pict>
      </w:r>
    </w:p>
    <w:p w:rsidR="005002EF" w:rsidRDefault="005002EF" w:rsidP="005002EF">
      <w:pPr>
        <w:pStyle w:val="berschrift1"/>
      </w:pPr>
      <w:r>
        <w:t>3.3.48.276 Definition 3.3.364 – Symmetriebrechende Repräsentantenauswahl</w:t>
      </w:r>
    </w:p>
    <w:p w:rsidR="005002EF" w:rsidRDefault="005002EF" w:rsidP="005002EF">
      <w:pPr>
        <w:pStyle w:val="berschrift3"/>
      </w:pPr>
      <w:r>
        <w:t>Definition 3.3.364</w:t>
      </w:r>
    </w:p>
    <w:p w:rsidR="005002EF" w:rsidRDefault="005002EF" w:rsidP="005002EF">
      <w:pPr>
        <w:pStyle w:val="StandardWeb"/>
      </w:pPr>
      <w:r>
        <w:t xml:space="preserve">Eine Repräsentantenauswahl (\Gamma) heißt </w:t>
      </w:r>
      <w:r>
        <w:rPr>
          <w:rStyle w:val="Fett"/>
        </w:rPr>
        <w:t>symmetriebrechend</w:t>
      </w:r>
      <w:r>
        <w:t>, wenn sie nicht mit der vollständigen Gruppenwirkung verträglich ist:</w:t>
      </w:r>
    </w:p>
    <w:p w:rsidR="005002EF" w:rsidRDefault="005002EF" w:rsidP="005002EF">
      <w:pPr>
        <w:pStyle w:val="StandardWeb"/>
      </w:pPr>
      <w:r>
        <w:t>[</w:t>
      </w:r>
      <w:r>
        <w:br/>
        <w:t>\boxed{</w:t>
      </w:r>
      <w:r>
        <w:br/>
        <w:t>\Gamma(g[z]_G)</w:t>
      </w:r>
      <w:r>
        <w:br/>
        <w:t>\neq</w:t>
      </w:r>
      <w:r>
        <w:br/>
        <w:t>g,\Gamma([z]_G)</w:t>
      </w:r>
      <w:r>
        <w:br/>
        <w:t>}</w:t>
      </w:r>
      <w:r>
        <w:br/>
        <w:t>\tag{3.12381}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\boxed{\Gamma(g[z]_G)\neq g\,\Gamma([z]_G)}</w:t>
      </w:r>
    </w:p>
    <w:p w:rsidR="005002EF" w:rsidRDefault="005002EF" w:rsidP="005002EF">
      <w:pPr>
        <w:pStyle w:val="StandardWeb"/>
      </w:pPr>
      <w:r>
        <w:t>für mindestens ein (g\in G) gilt.</w:t>
      </w:r>
    </w:p>
    <w:p w:rsidR="005002EF" w:rsidRDefault="00E50336" w:rsidP="005002EF">
      <w:r>
        <w:pict>
          <v:rect id="_x0000_i4447" style="width:0;height:1.5pt" o:hralign="center" o:hrstd="t" o:hr="t" fillcolor="#a0a0a0" stroked="f"/>
        </w:pict>
      </w:r>
    </w:p>
    <w:p w:rsidR="005002EF" w:rsidRDefault="005002EF" w:rsidP="005002EF">
      <w:pPr>
        <w:pStyle w:val="berschrift1"/>
      </w:pPr>
      <w:r>
        <w:t>3.3.48.277 Gauge-artige Redundanz als rein funktionale Struktur</w:t>
      </w:r>
    </w:p>
    <w:p w:rsidR="005002EF" w:rsidRDefault="005002EF" w:rsidP="005002EF">
      <w:pPr>
        <w:pStyle w:val="StandardWeb"/>
      </w:pPr>
      <w:r>
        <w:t>Die Kombination aus Symmetrieklasse, Quotient und Repräsentantenauswahl ähnelt formal Strukturen, die in physikalischen Theorien als Eichredundanzen auftreten können.</w:t>
      </w:r>
    </w:p>
    <w:p w:rsidR="005002EF" w:rsidRDefault="005002EF" w:rsidP="005002EF">
      <w:pPr>
        <w:pStyle w:val="StandardWeb"/>
      </w:pPr>
      <w:r>
        <w:t>Ich darf jedoch nicht daraus schließen</w:t>
      </w:r>
    </w:p>
    <w:p w:rsidR="005002EF" w:rsidRDefault="005002EF" w:rsidP="005002EF">
      <w:pPr>
        <w:pStyle w:val="berschrift1"/>
      </w:pPr>
      <w:r>
        <w:lastRenderedPageBreak/>
        <w:t>[</w:t>
      </w:r>
      <w:r>
        <w:br/>
        <w:t>\text{FRZK-Symmetrieklasse}</w:t>
      </w:r>
    </w:p>
    <w:p w:rsidR="005002EF" w:rsidRDefault="005002EF" w:rsidP="005002EF">
      <w:pPr>
        <w:pStyle w:val="StandardWeb"/>
      </w:pPr>
      <w:r>
        <w:t>\text{physikalische Eichklasse}.</w:t>
      </w:r>
      <w:r>
        <w:br/>
        <w:t>\tag{3.12382}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\text{FRZK-Symmetrieklasse}=\text{physikalische Eichklasse}</w:t>
      </w:r>
    </w:p>
    <w:p w:rsidR="005002EF" w:rsidRDefault="00E50336" w:rsidP="005002EF">
      <w:r>
        <w:pict>
          <v:rect id="_x0000_i4448" style="width:0;height:1.5pt" o:hralign="center" o:hrstd="t" o:hr="t" fillcolor="#a0a0a0" stroked="f"/>
        </w:pict>
      </w:r>
    </w:p>
    <w:p w:rsidR="005002EF" w:rsidRDefault="005002EF" w:rsidP="005002EF">
      <w:pPr>
        <w:pStyle w:val="berschrift1"/>
      </w:pPr>
      <w:r>
        <w:t>3.3.48.278 Methodologische Abgrenzung zur Eichtheorie</w:t>
      </w:r>
    </w:p>
    <w:p w:rsidR="005002EF" w:rsidRDefault="005002EF" w:rsidP="005002EF">
      <w:pPr>
        <w:pStyle w:val="StandardWeb"/>
      </w:pPr>
      <w:r>
        <w:t>Die korrekte Relation lautet</w:t>
      </w:r>
    </w:p>
    <w:p w:rsidR="005002EF" w:rsidRDefault="005002EF" w:rsidP="005002EF">
      <w:pPr>
        <w:pStyle w:val="StandardWeb"/>
      </w:pPr>
      <w:r>
        <w:t>[</w:t>
      </w:r>
      <w:r>
        <w:br/>
        <w:t>\boxed{</w:t>
      </w:r>
      <w:r>
        <w:br/>
        <w:t>\text{funktionale Quotientenstruktur}</w:t>
      </w:r>
      <w:r>
        <w:br/>
        <w:t>\not\Rightarrow</w:t>
      </w:r>
      <w:r>
        <w:br/>
        <w:t>\text{physikalische Eichtheorie}.</w:t>
      </w:r>
      <w:r>
        <w:br/>
        <w:t>}</w:t>
      </w:r>
      <w:r>
        <w:br/>
        <w:t>\tag{3.12383}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\boxed{\text{funktionale Quotientenstruktur}\not\Rightarrow\text{physikalische Eichtheorie}.}</w:t>
      </w:r>
    </w:p>
    <w:p w:rsidR="005002EF" w:rsidRDefault="005002EF" w:rsidP="005002EF">
      <w:pPr>
        <w:pStyle w:val="StandardWeb"/>
      </w:pPr>
      <w:r>
        <w:t>Eine physikalische Eichinterpretation würde zusätzliche Feld-, Raum-Zeit-, Dynamik- und Wechselwirkungsstrukturen erfordern.</w:t>
      </w:r>
    </w:p>
    <w:p w:rsidR="005002EF" w:rsidRDefault="00E50336" w:rsidP="005002EF">
      <w:r>
        <w:pict>
          <v:rect id="_x0000_i4449" style="width:0;height:1.5pt" o:hralign="center" o:hrstd="t" o:hr="t" fillcolor="#a0a0a0" stroked="f"/>
        </w:pict>
      </w:r>
    </w:p>
    <w:p w:rsidR="005002EF" w:rsidRDefault="005002EF" w:rsidP="005002EF">
      <w:pPr>
        <w:pStyle w:val="berschrift1"/>
      </w:pPr>
      <w:r>
        <w:t>3.3.48.279 Primäraxiomkandidat der Symmetriekompatibilität aller Operatoren</w:t>
      </w:r>
    </w:p>
    <w:p w:rsidR="005002EF" w:rsidRDefault="005002EF" w:rsidP="005002EF">
      <w:pPr>
        <w:pStyle w:val="StandardWeb"/>
      </w:pPr>
      <w:r>
        <w:t>Ein möglicher Primäraxiomkandidat wäre</w:t>
      </w:r>
    </w:p>
    <w:p w:rsidR="005002EF" w:rsidRDefault="005002EF" w:rsidP="005002EF">
      <w:pPr>
        <w:pStyle w:val="StandardWeb"/>
      </w:pPr>
      <w:r>
        <w:t>[</w:t>
      </w:r>
      <w:r>
        <w:br/>
        <w:t>A_{\mathrm{op}}</w:t>
      </w:r>
      <w:r>
        <w:br/>
        <w:t>:</w:t>
      </w:r>
      <w:r>
        <w:br/>
        <w:t>\forall\mathcal O_F</w:t>
      </w:r>
      <w:r>
        <w:br/>
        <w:t>\quad</w:t>
      </w:r>
      <w:r>
        <w:br/>
        <w:t>\mathcal O_F</w:t>
      </w:r>
      <w:r>
        <w:br/>
        <w:t>\text{ ist äquivariant}.</w:t>
      </w:r>
      <w:r>
        <w:br/>
      </w:r>
      <w:r>
        <w:lastRenderedPageBreak/>
        <w:t>\tag{3.12384}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A_{\mathrm{op}}:\forall\mathcal O_F\quad\mathcal O_F\text{ ist äquivariant}</w:t>
      </w:r>
    </w:p>
    <w:p w:rsidR="005002EF" w:rsidRDefault="00E50336" w:rsidP="005002EF">
      <w:r>
        <w:pict>
          <v:rect id="_x0000_i4450" style="width:0;height:1.5pt" o:hralign="center" o:hrstd="t" o:hr="t" fillcolor="#a0a0a0" stroked="f"/>
        </w:pict>
      </w:r>
    </w:p>
    <w:p w:rsidR="005002EF" w:rsidRDefault="005002EF" w:rsidP="005002EF">
      <w:pPr>
        <w:pStyle w:val="berschrift1"/>
      </w:pPr>
      <w:r>
        <w:t>3.3.48.280 Gegenmodell zum Operatoraxiom</w:t>
      </w:r>
    </w:p>
    <w:p w:rsidR="005002EF" w:rsidRDefault="005002EF" w:rsidP="005002EF">
      <w:pPr>
        <w:pStyle w:val="StandardWeb"/>
      </w:pPr>
      <w:r>
        <w:t>Ein funktionaler Operator kann bewusst eine Symmetrie unterscheiden oder brechen.</w:t>
      </w:r>
    </w:p>
    <w:p w:rsidR="005002EF" w:rsidRDefault="005002EF" w:rsidP="005002EF">
      <w:pPr>
        <w:pStyle w:val="StandardWeb"/>
      </w:pPr>
      <w:r>
        <w:t>Es kann daher gelten</w:t>
      </w:r>
    </w:p>
    <w:p w:rsidR="005002EF" w:rsidRDefault="005002EF" w:rsidP="005002EF">
      <w:pPr>
        <w:pStyle w:val="StandardWeb"/>
      </w:pPr>
      <w:r>
        <w:t>[</w:t>
      </w:r>
      <w:r>
        <w:br/>
        <w:t>\mathcal O_F</w:t>
      </w:r>
      <w:r>
        <w:br/>
        <w:t>\circ</w:t>
      </w:r>
      <w:r>
        <w:br/>
        <w:t>\rho_X(g)</w:t>
      </w:r>
      <w:r>
        <w:br/>
        <w:t>\neq</w:t>
      </w:r>
      <w:r>
        <w:br/>
        <w:t>\rho_Y(g)</w:t>
      </w:r>
      <w:r>
        <w:br/>
        <w:t>\circ</w:t>
      </w:r>
      <w:r>
        <w:br/>
        <w:t>\mathcal O_F</w:t>
      </w:r>
      <w:r>
        <w:br/>
        <w:t>\tag{3.12385}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O_F\circ\rho_X(g)\neq\rho_Y(g)\circ\mathcal O_F</w:t>
      </w:r>
    </w:p>
    <w:p w:rsidR="005002EF" w:rsidRDefault="005002EF" w:rsidP="005002EF">
      <w:pPr>
        <w:pStyle w:val="StandardWeb"/>
      </w:pPr>
      <w:r>
        <w:t>ohne dass der Operator mathematisch unzulässig wäre.</w:t>
      </w:r>
    </w:p>
    <w:p w:rsidR="005002EF" w:rsidRDefault="00E50336" w:rsidP="005002EF">
      <w:r>
        <w:pict>
          <v:rect id="_x0000_i4451" style="width:0;height:1.5pt" o:hralign="center" o:hrstd="t" o:hr="t" fillcolor="#a0a0a0" stroked="f"/>
        </w:pict>
      </w:r>
    </w:p>
    <w:p w:rsidR="005002EF" w:rsidRDefault="005002EF" w:rsidP="005002EF">
      <w:pPr>
        <w:pStyle w:val="berschrift1"/>
      </w:pPr>
      <w:r>
        <w:t>3.3.48.281 Axiomentscheidung zur universellen Operatoräquivarianz</w:t>
      </w:r>
    </w:p>
    <w:p w:rsidR="005002EF" w:rsidRDefault="005002EF" w:rsidP="005002EF">
      <w:pPr>
        <w:pStyle w:val="StandardWeb"/>
      </w:pPr>
      <w:r>
        <w:t>Daraus folgt</w:t>
      </w:r>
    </w:p>
    <w:p w:rsidR="005002EF" w:rsidRDefault="005002EF" w:rsidP="005002EF">
      <w:pPr>
        <w:pStyle w:val="berschrift1"/>
      </w:pPr>
      <w:r>
        <w:t>[</w:t>
      </w:r>
      <w:r>
        <w:br/>
        <w:t>\boxed{</w:t>
      </w:r>
      <w:r>
        <w:br/>
        <w:t>U_{\mathrm{Ax}}</w:t>
      </w:r>
      <w:r>
        <w:br/>
        <w:t>(A_{\mathrm{op}})</w:t>
      </w:r>
    </w:p>
    <w:p w:rsidR="005002EF" w:rsidRDefault="005002EF" w:rsidP="00152216">
      <w:pPr>
        <w:numPr>
          <w:ilvl w:val="0"/>
          <w:numId w:val="553"/>
        </w:numPr>
        <w:spacing w:before="100" w:beforeAutospacing="1" w:after="100" w:afterAutospacing="1"/>
      </w:pPr>
    </w:p>
    <w:p w:rsidR="005002EF" w:rsidRDefault="005002EF" w:rsidP="005002EF">
      <w:pPr>
        <w:pStyle w:val="StandardWeb"/>
      </w:pPr>
      <w:r>
        <w:lastRenderedPageBreak/>
        <w:t>}</w:t>
      </w:r>
      <w:r>
        <w:br/>
        <w:t>\tag{3.12386}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\boxed{U_{\mathrm{Ax}}(A_{\mathrm{op}})=0.}</w:t>
      </w:r>
    </w:p>
    <w:p w:rsidR="005002EF" w:rsidRDefault="00E50336" w:rsidP="005002EF">
      <w:r>
        <w:pict>
          <v:rect id="_x0000_i4452" style="width:0;height:1.5pt" o:hralign="center" o:hrstd="t" o:hr="t" fillcolor="#a0a0a0" stroked="f"/>
        </w:pict>
      </w:r>
    </w:p>
    <w:p w:rsidR="005002EF" w:rsidRDefault="005002EF" w:rsidP="005002EF">
      <w:pPr>
        <w:pStyle w:val="berschrift1"/>
      </w:pPr>
      <w:r>
        <w:t>3.3.48.282 Satz 3.3.152 – Universelle Operatoräquivarianz ist kein Primäraxiom</w:t>
      </w:r>
    </w:p>
    <w:p w:rsidR="005002EF" w:rsidRDefault="005002EF" w:rsidP="005002EF">
      <w:pPr>
        <w:pStyle w:val="berschrift3"/>
      </w:pPr>
      <w:r>
        <w:t>Satz 3.3.152</w:t>
      </w:r>
    </w:p>
    <w:p w:rsidR="005002EF" w:rsidRDefault="005002EF" w:rsidP="005002EF">
      <w:pPr>
        <w:pStyle w:val="StandardWeb"/>
      </w:pPr>
      <w:r>
        <w:t>Die Forderung, sämtliche funktionalen FRZK-Operatoren müssten gegenüber jeder relevanten Symmetrie äquivariant sein, ist keine universell notwendige Voraussetzung.</w:t>
      </w:r>
    </w:p>
    <w:p w:rsidR="005002EF" w:rsidRDefault="005002EF" w:rsidP="005002EF">
      <w:pPr>
        <w:pStyle w:val="StandardWeb"/>
      </w:pPr>
      <w:r>
        <w:t>Formal gilt</w:t>
      </w:r>
    </w:p>
    <w:p w:rsidR="005002EF" w:rsidRDefault="005002EF" w:rsidP="005002EF">
      <w:pPr>
        <w:pStyle w:val="berschrift1"/>
      </w:pPr>
      <w:r>
        <w:t>[</w:t>
      </w:r>
      <w:r>
        <w:br/>
        <w:t>\boxed{</w:t>
      </w:r>
      <w:r>
        <w:br/>
        <w:t>U_{\mathrm{Ax}}</w:t>
      </w:r>
      <w:r>
        <w:br/>
        <w:t>(A_{\mathrm{op}})</w:t>
      </w:r>
    </w:p>
    <w:p w:rsidR="005002EF" w:rsidRDefault="005002EF" w:rsidP="00152216">
      <w:pPr>
        <w:numPr>
          <w:ilvl w:val="0"/>
          <w:numId w:val="554"/>
        </w:numPr>
        <w:spacing w:before="100" w:beforeAutospacing="1" w:after="100" w:afterAutospacing="1"/>
      </w:pPr>
    </w:p>
    <w:p w:rsidR="005002EF" w:rsidRDefault="005002EF" w:rsidP="005002EF">
      <w:pPr>
        <w:pStyle w:val="StandardWeb"/>
      </w:pPr>
      <w:r>
        <w:t>}</w:t>
      </w:r>
      <w:r>
        <w:br/>
        <w:t>\tag{3.12387}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\boxed{U_{\mathrm{Ax}}(A_{\mathrm{op}})=0.}</w:t>
      </w:r>
    </w:p>
    <w:p w:rsidR="005002EF" w:rsidRDefault="00E50336" w:rsidP="005002EF">
      <w:r>
        <w:pict>
          <v:rect id="_x0000_i4453" style="width:0;height:1.5pt" o:hralign="center" o:hrstd="t" o:hr="t" fillcolor="#a0a0a0" stroked="f"/>
        </w:pict>
      </w:r>
    </w:p>
    <w:p w:rsidR="005002EF" w:rsidRDefault="005002EF" w:rsidP="005002EF">
      <w:pPr>
        <w:pStyle w:val="berschrift1"/>
      </w:pPr>
      <w:r>
        <w:t>3.3.48.283 Primäraxiomkandidat exakter Rekonstruierbarkeit</w:t>
      </w:r>
    </w:p>
    <w:p w:rsidR="005002EF" w:rsidRDefault="005002EF" w:rsidP="005002EF">
      <w:pPr>
        <w:pStyle w:val="StandardWeb"/>
      </w:pPr>
      <w:r>
        <w:t>Ein weiterer Kandidat wäre</w:t>
      </w:r>
    </w:p>
    <w:p w:rsidR="005002EF" w:rsidRDefault="005002EF" w:rsidP="005002EF">
      <w:pPr>
        <w:pStyle w:val="berschrift1"/>
      </w:pPr>
      <w:r>
        <w:t>[</w:t>
      </w:r>
      <w:r>
        <w:br/>
        <w:t>A_{\mathrm{rec}}</w:t>
      </w:r>
      <w:r>
        <w:br/>
        <w:t>:</w:t>
      </w:r>
      <w:r>
        <w:br/>
      </w:r>
      <w:r>
        <w:lastRenderedPageBreak/>
        <w:t>\mathcal R_F</w:t>
      </w:r>
      <w:r>
        <w:br/>
        <w:t>\circ</w:t>
      </w:r>
      <w:r>
        <w:br/>
        <w:t>\mathcal B_F</w:t>
      </w:r>
    </w:p>
    <w:p w:rsidR="005002EF" w:rsidRDefault="005002EF" w:rsidP="005002EF">
      <w:pPr>
        <w:pStyle w:val="StandardWeb"/>
      </w:pPr>
      <w:r>
        <w:t>\operatorname{id}</w:t>
      </w:r>
      <w:r>
        <w:br/>
        <w:t>\tag{3.12388}</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A_{\mathrm{rec}}:\mathcal R_F\circ\mathcal B_F=\operatorname{id}</w:t>
      </w:r>
    </w:p>
    <w:p w:rsidR="005002EF" w:rsidRDefault="005002EF" w:rsidP="005002EF">
      <w:pPr>
        <w:pStyle w:val="StandardWeb"/>
      </w:pPr>
      <w:r>
        <w:t>für jede zulässige Beobachtung.</w:t>
      </w:r>
    </w:p>
    <w:p w:rsidR="005002EF" w:rsidRDefault="00E50336" w:rsidP="005002EF">
      <w:r>
        <w:pict>
          <v:rect id="_x0000_i4454" style="width:0;height:1.5pt" o:hralign="center" o:hrstd="t" o:hr="t" fillcolor="#a0a0a0" stroked="f"/>
        </w:pict>
      </w:r>
    </w:p>
    <w:p w:rsidR="005002EF" w:rsidRDefault="005002EF" w:rsidP="005002EF">
      <w:pPr>
        <w:pStyle w:val="berschrift1"/>
      </w:pPr>
      <w:r>
        <w:t>3.3.48.284 Gegenmodell zur exakten Rekonstruierbarkeit</w:t>
      </w:r>
    </w:p>
    <w:p w:rsidR="005002EF" w:rsidRDefault="005002EF" w:rsidP="005002EF">
      <w:pPr>
        <w:pStyle w:val="StandardWeb"/>
      </w:pPr>
      <w:r>
        <w:t>Eine Beobachtungsabbildung kann nichtinjektiv sein:</w:t>
      </w:r>
    </w:p>
    <w:p w:rsidR="005002EF" w:rsidRDefault="005002EF" w:rsidP="005002EF">
      <w:pPr>
        <w:pStyle w:val="berschrift1"/>
      </w:pPr>
      <w:r>
        <w:t>[</w:t>
      </w:r>
      <w:r>
        <w:br/>
        <w:t>z_i</w:t>
      </w:r>
      <w:r>
        <w:br/>
        <w:t>\neq</w:t>
      </w:r>
      <w:r>
        <w:br/>
        <w:t>z_j,</w:t>
      </w:r>
      <w:r>
        <w:br/>
        <w:t>\qquad</w:t>
      </w:r>
      <w:r>
        <w:br/>
        <w:t>\mathcal B_F(z_i)</w:t>
      </w:r>
    </w:p>
    <w:p w:rsidR="005002EF" w:rsidRDefault="005002EF" w:rsidP="005002EF">
      <w:pPr>
        <w:pStyle w:val="StandardWeb"/>
      </w:pPr>
      <w:r>
        <w:t>\mathcal B_F(z_j).</w:t>
      </w:r>
      <w:r>
        <w:br/>
        <w:t>\tag{3.12389}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z_i\neq z_j,\qquad\mathcal B_F(z_i)=\mathcal B_F(z_j)</w:t>
      </w:r>
    </w:p>
    <w:p w:rsidR="005002EF" w:rsidRDefault="005002EF" w:rsidP="005002EF">
      <w:pPr>
        <w:pStyle w:val="StandardWeb"/>
      </w:pPr>
      <w:r>
        <w:t>Dann ist eine eindeutige exakte Rekonstruktion beider Zustände aus denselben Beobachtungsdaten unmöglich.</w:t>
      </w:r>
    </w:p>
    <w:p w:rsidR="005002EF" w:rsidRDefault="00E50336" w:rsidP="005002EF">
      <w:r>
        <w:pict>
          <v:rect id="_x0000_i4455" style="width:0;height:1.5pt" o:hralign="center" o:hrstd="t" o:hr="t" fillcolor="#a0a0a0" stroked="f"/>
        </w:pict>
      </w:r>
    </w:p>
    <w:p w:rsidR="005002EF" w:rsidRDefault="005002EF" w:rsidP="005002EF">
      <w:pPr>
        <w:pStyle w:val="berschrift1"/>
      </w:pPr>
      <w:r>
        <w:lastRenderedPageBreak/>
        <w:t>3.3.48.285 Axiomentscheidung zur exakten Rekonstruktion</w:t>
      </w:r>
    </w:p>
    <w:p w:rsidR="005002EF" w:rsidRDefault="005002EF" w:rsidP="005002EF">
      <w:pPr>
        <w:pStyle w:val="StandardWeb"/>
      </w:pPr>
      <w:r>
        <w:t>Daher gilt</w:t>
      </w:r>
    </w:p>
    <w:p w:rsidR="005002EF" w:rsidRDefault="005002EF" w:rsidP="005002EF">
      <w:pPr>
        <w:pStyle w:val="berschrift1"/>
      </w:pPr>
      <w:r>
        <w:t>[</w:t>
      </w:r>
      <w:r>
        <w:br/>
        <w:t>\boxed{</w:t>
      </w:r>
      <w:r>
        <w:br/>
        <w:t>U_{\mathrm{Ax}}</w:t>
      </w:r>
      <w:r>
        <w:br/>
        <w:t>(A_{\mathrm{rec}})</w:t>
      </w:r>
    </w:p>
    <w:p w:rsidR="005002EF" w:rsidRDefault="005002EF" w:rsidP="00152216">
      <w:pPr>
        <w:numPr>
          <w:ilvl w:val="0"/>
          <w:numId w:val="555"/>
        </w:numPr>
        <w:spacing w:before="100" w:beforeAutospacing="1" w:after="100" w:afterAutospacing="1"/>
      </w:pPr>
    </w:p>
    <w:p w:rsidR="005002EF" w:rsidRDefault="005002EF" w:rsidP="005002EF">
      <w:pPr>
        <w:pStyle w:val="StandardWeb"/>
      </w:pPr>
      <w:r>
        <w:t>}</w:t>
      </w:r>
      <w:r>
        <w:br/>
        <w:t>\tag{3.12390}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\boxed{U_{\mathrm{Ax}}(A_{\mathrm{rec}})=0.}</w:t>
      </w:r>
    </w:p>
    <w:p w:rsidR="005002EF" w:rsidRDefault="00E50336" w:rsidP="005002EF">
      <w:r>
        <w:pict>
          <v:rect id="_x0000_i4456" style="width:0;height:1.5pt" o:hralign="center" o:hrstd="t" o:hr="t" fillcolor="#a0a0a0" stroked="f"/>
        </w:pict>
      </w:r>
    </w:p>
    <w:p w:rsidR="005002EF" w:rsidRDefault="005002EF" w:rsidP="005002EF">
      <w:pPr>
        <w:pStyle w:val="berschrift1"/>
      </w:pPr>
      <w:r>
        <w:t>3.3.48.286 Satz 3.3.153 – Exakte funktionale Rekonstruierbarkeit ist kein Primäraxiom</w:t>
      </w:r>
    </w:p>
    <w:p w:rsidR="005002EF" w:rsidRDefault="005002EF" w:rsidP="005002EF">
      <w:pPr>
        <w:pStyle w:val="berschrift3"/>
      </w:pPr>
      <w:r>
        <w:t>Satz 3.3.153</w:t>
      </w:r>
    </w:p>
    <w:p w:rsidR="005002EF" w:rsidRDefault="005002EF" w:rsidP="005002EF">
      <w:pPr>
        <w:pStyle w:val="StandardWeb"/>
      </w:pPr>
      <w:r>
        <w:t>Die Forderung, sämtliche zulässigen funktionalen Beobachtungen müssten eine eindeutige exakte Zustandsrekonstruktion erlauben, ist keine universell notwendige Voraussetzung des FRZK.</w:t>
      </w:r>
    </w:p>
    <w:p w:rsidR="005002EF" w:rsidRDefault="005002EF" w:rsidP="005002EF">
      <w:pPr>
        <w:pStyle w:val="StandardWeb"/>
      </w:pPr>
      <w:r>
        <w:t>Formal gilt</w:t>
      </w:r>
    </w:p>
    <w:p w:rsidR="005002EF" w:rsidRDefault="005002EF" w:rsidP="005002EF">
      <w:pPr>
        <w:pStyle w:val="berschrift1"/>
      </w:pPr>
      <w:r>
        <w:t>[</w:t>
      </w:r>
      <w:r>
        <w:br/>
        <w:t>\boxed{</w:t>
      </w:r>
      <w:r>
        <w:br/>
        <w:t>U_{\mathrm{Ax}}</w:t>
      </w:r>
      <w:r>
        <w:br/>
        <w:t>(A_{\mathrm{rec}})</w:t>
      </w:r>
    </w:p>
    <w:p w:rsidR="005002EF" w:rsidRDefault="005002EF" w:rsidP="00152216">
      <w:pPr>
        <w:numPr>
          <w:ilvl w:val="0"/>
          <w:numId w:val="556"/>
        </w:numPr>
        <w:spacing w:before="100" w:beforeAutospacing="1" w:after="100" w:afterAutospacing="1"/>
      </w:pPr>
    </w:p>
    <w:p w:rsidR="005002EF" w:rsidRDefault="005002EF" w:rsidP="005002EF">
      <w:pPr>
        <w:pStyle w:val="StandardWeb"/>
      </w:pPr>
      <w:r>
        <w:t>}</w:t>
      </w:r>
      <w:r>
        <w:br/>
        <w:t>\tag{3.12391}</w:t>
      </w:r>
      <w:r>
        <w:br/>
        <w:t>]</w:t>
      </w:r>
    </w:p>
    <w:p w:rsidR="005002EF" w:rsidRDefault="005002EF" w:rsidP="005002EF">
      <w:pPr>
        <w:pStyle w:val="StandardWeb"/>
      </w:pPr>
      <w:r>
        <w:rPr>
          <w:rStyle w:val="Fett"/>
        </w:rPr>
        <w:lastRenderedPageBreak/>
        <w:t>Word-LaTeX</w:t>
      </w:r>
    </w:p>
    <w:p w:rsidR="005002EF" w:rsidRDefault="005002EF" w:rsidP="005002EF">
      <w:pPr>
        <w:pStyle w:val="HTMLVorformatiert"/>
        <w:rPr>
          <w:rStyle w:val="HTMLCode"/>
        </w:rPr>
      </w:pPr>
      <w:r>
        <w:rPr>
          <w:rStyle w:val="HTMLCode"/>
        </w:rPr>
        <w:t>\boxed{U_{\mathrm{Ax}}(A_{\mathrm{rec}})=0.}</w:t>
      </w:r>
    </w:p>
    <w:p w:rsidR="005002EF" w:rsidRDefault="00E50336" w:rsidP="005002EF">
      <w:r>
        <w:pict>
          <v:rect id="_x0000_i4457" style="width:0;height:1.5pt" o:hralign="center" o:hrstd="t" o:hr="t" fillcolor="#a0a0a0" stroked="f"/>
        </w:pict>
      </w:r>
    </w:p>
    <w:p w:rsidR="005002EF" w:rsidRDefault="005002EF" w:rsidP="005002EF">
      <w:pPr>
        <w:pStyle w:val="berschrift1"/>
      </w:pPr>
      <w:r>
        <w:t>3.3.48.287 Primäraxiomkandidat vollständiger Beobachtbarkeit</w:t>
      </w:r>
    </w:p>
    <w:p w:rsidR="005002EF" w:rsidRDefault="005002EF" w:rsidP="005002EF">
      <w:pPr>
        <w:pStyle w:val="StandardWeb"/>
      </w:pPr>
      <w:r>
        <w:t>Analog könnte gefordert werden</w:t>
      </w:r>
    </w:p>
    <w:p w:rsidR="005002EF" w:rsidRDefault="005002EF" w:rsidP="005002EF">
      <w:pPr>
        <w:pStyle w:val="StandardWeb"/>
      </w:pPr>
      <w:r>
        <w:t>[</w:t>
      </w:r>
      <w:r>
        <w:br/>
        <w:t>A_{\mathrm{obs}}</w:t>
      </w:r>
      <w:r>
        <w:br/>
        <w:t>:</w:t>
      </w:r>
      <w:r>
        <w:br/>
        <w:t>\mathcal B_F</w:t>
      </w:r>
      <w:r>
        <w:br/>
        <w:t>\text{ ist injektiv}.</w:t>
      </w:r>
      <w:r>
        <w:br/>
        <w:t>\tag{3.12392}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A_{\mathrm{obs}}:\mathcal B_F\text{ ist injektiv}</w:t>
      </w:r>
    </w:p>
    <w:p w:rsidR="005002EF" w:rsidRDefault="00E50336" w:rsidP="005002EF">
      <w:r>
        <w:pict>
          <v:rect id="_x0000_i4458" style="width:0;height:1.5pt" o:hralign="center" o:hrstd="t" o:hr="t" fillcolor="#a0a0a0" stroked="f"/>
        </w:pict>
      </w:r>
    </w:p>
    <w:p w:rsidR="005002EF" w:rsidRDefault="005002EF" w:rsidP="005002EF">
      <w:pPr>
        <w:pStyle w:val="berschrift1"/>
      </w:pPr>
      <w:r>
        <w:t>3.3.48.288 Gegenmodell zur vollständigen Beobachtbarkeit</w:t>
      </w:r>
    </w:p>
    <w:p w:rsidR="005002EF" w:rsidRDefault="005002EF" w:rsidP="005002EF">
      <w:pPr>
        <w:pStyle w:val="StandardWeb"/>
      </w:pPr>
      <w:r>
        <w:t>Nichtinjektive Beobachtungsabbildungen sind mathematisch zulässig und in reduzierten Modellen sogar ausdrücklich erwünscht.</w:t>
      </w:r>
    </w:p>
    <w:p w:rsidR="005002EF" w:rsidRDefault="005002EF" w:rsidP="005002EF">
      <w:pPr>
        <w:pStyle w:val="StandardWeb"/>
      </w:pPr>
      <w:r>
        <w:t>Daher kann</w:t>
      </w:r>
    </w:p>
    <w:p w:rsidR="005002EF" w:rsidRDefault="005002EF" w:rsidP="005002EF">
      <w:pPr>
        <w:pStyle w:val="berschrift1"/>
      </w:pPr>
      <w:r>
        <w:t>[</w:t>
      </w:r>
      <w:r>
        <w:br/>
        <w:t>\mathcal B_F(z_i)</w:t>
      </w:r>
    </w:p>
    <w:p w:rsidR="005002EF" w:rsidRDefault="005002EF" w:rsidP="005002EF">
      <w:pPr>
        <w:pStyle w:val="StandardWeb"/>
      </w:pPr>
      <w:r>
        <w:t>\mathcal B_F(z_j)</w:t>
      </w:r>
      <w:r>
        <w:br/>
        <w:t>\qquad</w:t>
      </w:r>
      <w:r>
        <w:br/>
        <w:t>\text{für }</w:t>
      </w:r>
      <w:r>
        <w:br/>
        <w:t>z_i\neq z_j</w:t>
      </w:r>
      <w:r>
        <w:br/>
        <w:t>\tag{3.12393}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B_F(z_i)=\mathcal B_F(z_j)\qquad\text{für }z_i\neq z_j</w:t>
      </w:r>
    </w:p>
    <w:p w:rsidR="005002EF" w:rsidRDefault="005002EF" w:rsidP="005002EF">
      <w:pPr>
        <w:pStyle w:val="StandardWeb"/>
      </w:pPr>
      <w:r>
        <w:t>gelten.</w:t>
      </w:r>
    </w:p>
    <w:p w:rsidR="005002EF" w:rsidRDefault="00E50336" w:rsidP="005002EF">
      <w:r>
        <w:lastRenderedPageBreak/>
        <w:pict>
          <v:rect id="_x0000_i4459" style="width:0;height:1.5pt" o:hralign="center" o:hrstd="t" o:hr="t" fillcolor="#a0a0a0" stroked="f"/>
        </w:pict>
      </w:r>
    </w:p>
    <w:p w:rsidR="005002EF" w:rsidRDefault="005002EF" w:rsidP="005002EF">
      <w:pPr>
        <w:pStyle w:val="berschrift1"/>
      </w:pPr>
      <w:r>
        <w:t>3.3.48.289 Axiomentscheidung zur vollständigen Beobachtbarkeit</w:t>
      </w:r>
    </w:p>
    <w:p w:rsidR="005002EF" w:rsidRDefault="005002EF" w:rsidP="005002EF">
      <w:pPr>
        <w:pStyle w:val="StandardWeb"/>
      </w:pPr>
      <w:r>
        <w:t>Somit</w:t>
      </w:r>
    </w:p>
    <w:p w:rsidR="005002EF" w:rsidRDefault="005002EF" w:rsidP="005002EF">
      <w:pPr>
        <w:pStyle w:val="berschrift1"/>
      </w:pPr>
      <w:r>
        <w:t>[</w:t>
      </w:r>
      <w:r>
        <w:br/>
        <w:t>\boxed{</w:t>
      </w:r>
      <w:r>
        <w:br/>
        <w:t>U_{\mathrm{Ax}}</w:t>
      </w:r>
      <w:r>
        <w:br/>
        <w:t>(A_{\mathrm{obs}})</w:t>
      </w:r>
    </w:p>
    <w:p w:rsidR="005002EF" w:rsidRDefault="005002EF" w:rsidP="00152216">
      <w:pPr>
        <w:numPr>
          <w:ilvl w:val="0"/>
          <w:numId w:val="557"/>
        </w:numPr>
        <w:spacing w:before="100" w:beforeAutospacing="1" w:after="100" w:afterAutospacing="1"/>
      </w:pPr>
    </w:p>
    <w:p w:rsidR="005002EF" w:rsidRDefault="005002EF" w:rsidP="005002EF">
      <w:pPr>
        <w:pStyle w:val="StandardWeb"/>
      </w:pPr>
      <w:r>
        <w:t>}</w:t>
      </w:r>
      <w:r>
        <w:br/>
        <w:t>\tag{3.12394}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\boxed{U_{\mathrm{Ax}}(A_{\mathrm{obs}})=0.}</w:t>
      </w:r>
    </w:p>
    <w:p w:rsidR="005002EF" w:rsidRDefault="00E50336" w:rsidP="005002EF">
      <w:r>
        <w:pict>
          <v:rect id="_x0000_i4460" style="width:0;height:1.5pt" o:hralign="center" o:hrstd="t" o:hr="t" fillcolor="#a0a0a0" stroked="f"/>
        </w:pict>
      </w:r>
    </w:p>
    <w:p w:rsidR="005002EF" w:rsidRDefault="005002EF" w:rsidP="005002EF">
      <w:pPr>
        <w:pStyle w:val="berschrift1"/>
      </w:pPr>
      <w:r>
        <w:t>3.3.48.290 Satz 3.3.154 – Vollständige Zustandsbeobachtbarkeit ist kein Primäraxiom</w:t>
      </w:r>
    </w:p>
    <w:p w:rsidR="005002EF" w:rsidRDefault="005002EF" w:rsidP="005002EF">
      <w:pPr>
        <w:pStyle w:val="berschrift3"/>
      </w:pPr>
      <w:r>
        <w:t>Satz 3.3.154</w:t>
      </w:r>
    </w:p>
    <w:p w:rsidR="005002EF" w:rsidRDefault="005002EF" w:rsidP="005002EF">
      <w:pPr>
        <w:pStyle w:val="StandardWeb"/>
      </w:pPr>
      <w:r>
        <w:t>Die Forderung, jede zulässige funktionale Beobachtungsabbildung müsse sämtliche Zustände eindeutig unterscheiden, ist kein Primäraxiom des allgemeinen FRZK.</w:t>
      </w:r>
    </w:p>
    <w:p w:rsidR="005002EF" w:rsidRDefault="005002EF" w:rsidP="005002EF">
      <w:pPr>
        <w:pStyle w:val="StandardWeb"/>
      </w:pPr>
      <w:r>
        <w:t>Es gilt</w:t>
      </w:r>
    </w:p>
    <w:p w:rsidR="005002EF" w:rsidRDefault="005002EF" w:rsidP="005002EF">
      <w:pPr>
        <w:pStyle w:val="berschrift1"/>
      </w:pPr>
      <w:r>
        <w:t>[</w:t>
      </w:r>
      <w:r>
        <w:br/>
        <w:t>\boxed{</w:t>
      </w:r>
      <w:r>
        <w:br/>
        <w:t>U_{\mathrm{Ax}}</w:t>
      </w:r>
      <w:r>
        <w:br/>
        <w:t>(A_{\mathrm{obs}})</w:t>
      </w:r>
    </w:p>
    <w:p w:rsidR="005002EF" w:rsidRDefault="005002EF" w:rsidP="00152216">
      <w:pPr>
        <w:numPr>
          <w:ilvl w:val="0"/>
          <w:numId w:val="558"/>
        </w:numPr>
        <w:spacing w:before="100" w:beforeAutospacing="1" w:after="100" w:afterAutospacing="1"/>
      </w:pPr>
    </w:p>
    <w:p w:rsidR="005002EF" w:rsidRDefault="005002EF" w:rsidP="005002EF">
      <w:pPr>
        <w:pStyle w:val="StandardWeb"/>
      </w:pPr>
      <w:r>
        <w:t>}</w:t>
      </w:r>
      <w:r>
        <w:br/>
        <w:t>\tag{3.12395}</w:t>
      </w:r>
      <w:r>
        <w:br/>
        <w:t>]</w:t>
      </w:r>
    </w:p>
    <w:p w:rsidR="005002EF" w:rsidRDefault="005002EF" w:rsidP="005002EF">
      <w:pPr>
        <w:pStyle w:val="StandardWeb"/>
      </w:pPr>
      <w:r>
        <w:rPr>
          <w:rStyle w:val="Fett"/>
        </w:rPr>
        <w:lastRenderedPageBreak/>
        <w:t>Word-LaTeX</w:t>
      </w:r>
    </w:p>
    <w:p w:rsidR="005002EF" w:rsidRDefault="005002EF" w:rsidP="005002EF">
      <w:pPr>
        <w:pStyle w:val="HTMLVorformatiert"/>
        <w:rPr>
          <w:rStyle w:val="HTMLCode"/>
        </w:rPr>
      </w:pPr>
      <w:r>
        <w:rPr>
          <w:rStyle w:val="HTMLCode"/>
        </w:rPr>
        <w:t>\boxed{U_{\mathrm{Ax}}(A_{\mathrm{obs}})=0.}</w:t>
      </w:r>
    </w:p>
    <w:p w:rsidR="005002EF" w:rsidRDefault="00E50336" w:rsidP="005002EF">
      <w:r>
        <w:pict>
          <v:rect id="_x0000_i4461" style="width:0;height:1.5pt" o:hralign="center" o:hrstd="t" o:hr="t" fillcolor="#a0a0a0" stroked="f"/>
        </w:pict>
      </w:r>
    </w:p>
    <w:p w:rsidR="005002EF" w:rsidRDefault="005002EF" w:rsidP="005002EF">
      <w:pPr>
        <w:pStyle w:val="berschrift1"/>
      </w:pPr>
      <w:r>
        <w:t>3.3.48.291 Primäraxiomkandidat der Beobachtbarkeit modulo Symmetrie</w:t>
      </w:r>
    </w:p>
    <w:p w:rsidR="005002EF" w:rsidRDefault="005002EF" w:rsidP="005002EF">
      <w:pPr>
        <w:pStyle w:val="StandardWeb"/>
      </w:pPr>
      <w:r>
        <w:t>Ein schwächerer Kandidat wäre</w:t>
      </w:r>
    </w:p>
    <w:p w:rsidR="005002EF" w:rsidRDefault="005002EF" w:rsidP="005002EF">
      <w:pPr>
        <w:pStyle w:val="berschrift1"/>
      </w:pPr>
      <w:r>
        <w:t>[</w:t>
      </w:r>
      <w:r>
        <w:br/>
        <w:t>A_{\mathrm{obs}/G}</w:t>
      </w:r>
      <w:r>
        <w:br/>
        <w:t>:</w:t>
      </w:r>
      <w:r>
        <w:br/>
        <w:t>\mathcal B_F(z_i)</w:t>
      </w:r>
    </w:p>
    <w:p w:rsidR="005002EF" w:rsidRDefault="005002EF" w:rsidP="005002EF">
      <w:pPr>
        <w:pStyle w:val="StandardWeb"/>
      </w:pPr>
      <w:r>
        <w:t>\mathcal B_F(z_j)</w:t>
      </w:r>
      <w:r>
        <w:br/>
        <w:t>\Rightarrow</w:t>
      </w:r>
      <w:r>
        <w:br/>
        <w:t>z_i</w:t>
      </w:r>
      <w:r>
        <w:br/>
        <w:t>\sim_G</w:t>
      </w:r>
      <w:r>
        <w:br/>
        <w:t>z_j.</w:t>
      </w:r>
      <w:r>
        <w:br/>
        <w:t>\tag{3.12396}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A_{\mathrm{obs}/G}:\mathcal B_F(z_i)=\mathcal B_F(z_j)\Rightarrow z_i\sim_G z_j</w:t>
      </w:r>
    </w:p>
    <w:p w:rsidR="005002EF" w:rsidRDefault="00E50336" w:rsidP="005002EF">
      <w:r>
        <w:pict>
          <v:rect id="_x0000_i4462" style="width:0;height:1.5pt" o:hralign="center" o:hrstd="t" o:hr="t" fillcolor="#a0a0a0" stroked="f"/>
        </w:pict>
      </w:r>
    </w:p>
    <w:p w:rsidR="005002EF" w:rsidRDefault="005002EF" w:rsidP="005002EF">
      <w:pPr>
        <w:pStyle w:val="berschrift1"/>
      </w:pPr>
      <w:r>
        <w:t>3.3.48.292 Gegenmodell zur universellen Beobachtbarkeit modulo Symmetrie</w:t>
      </w:r>
    </w:p>
    <w:p w:rsidR="005002EF" w:rsidRDefault="005002EF" w:rsidP="005002EF">
      <w:pPr>
        <w:pStyle w:val="StandardWeb"/>
      </w:pPr>
      <w:r>
        <w:t>Auch dieser Kandidat ist nicht universal.</w:t>
      </w:r>
    </w:p>
    <w:p w:rsidR="005002EF" w:rsidRDefault="005002EF" w:rsidP="005002EF">
      <w:pPr>
        <w:pStyle w:val="StandardWeb"/>
      </w:pPr>
      <w:r>
        <w:t>Eine Beobachtung kann zusätzliche Information verlieren:</w:t>
      </w:r>
    </w:p>
    <w:p w:rsidR="005002EF" w:rsidRDefault="005002EF" w:rsidP="005002EF">
      <w:pPr>
        <w:pStyle w:val="berschrift1"/>
      </w:pPr>
      <w:r>
        <w:t>[</w:t>
      </w:r>
      <w:r>
        <w:br/>
        <w:t>[z_i]_G</w:t>
      </w:r>
      <w:r>
        <w:br/>
        <w:t>\neq</w:t>
      </w:r>
      <w:r>
        <w:br/>
        <w:t>[z_j]_G,</w:t>
      </w:r>
      <w:r>
        <w:br/>
      </w:r>
      <w:r>
        <w:lastRenderedPageBreak/>
        <w:t>\qquad</w:t>
      </w:r>
      <w:r>
        <w:br/>
        <w:t>\mathcal B_F(z_i)</w:t>
      </w:r>
    </w:p>
    <w:p w:rsidR="005002EF" w:rsidRDefault="005002EF" w:rsidP="005002EF">
      <w:pPr>
        <w:pStyle w:val="StandardWeb"/>
      </w:pPr>
      <w:r>
        <w:t>\mathcal B_F(z_j).</w:t>
      </w:r>
      <w:r>
        <w:br/>
        <w:t>\tag{3.12397}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[z_i]_G\neq[z_j]_G,\qquad\mathcal B_F(z_i)=\mathcal B_F(z_j)</w:t>
      </w:r>
    </w:p>
    <w:p w:rsidR="005002EF" w:rsidRDefault="00E50336" w:rsidP="005002EF">
      <w:r>
        <w:pict>
          <v:rect id="_x0000_i4463" style="width:0;height:1.5pt" o:hralign="center" o:hrstd="t" o:hr="t" fillcolor="#a0a0a0" stroked="f"/>
        </w:pict>
      </w:r>
    </w:p>
    <w:p w:rsidR="005002EF" w:rsidRDefault="005002EF" w:rsidP="005002EF">
      <w:pPr>
        <w:pStyle w:val="berschrift1"/>
      </w:pPr>
      <w:r>
        <w:t>3.3.48.293 Axiomentscheidung zur Beobachtbarkeit modulo Symmetrie</w:t>
      </w:r>
    </w:p>
    <w:p w:rsidR="005002EF" w:rsidRDefault="005002EF" w:rsidP="005002EF">
      <w:pPr>
        <w:pStyle w:val="StandardWeb"/>
      </w:pPr>
      <w:r>
        <w:t>Damit gilt</w:t>
      </w:r>
    </w:p>
    <w:p w:rsidR="005002EF" w:rsidRDefault="005002EF" w:rsidP="005002EF">
      <w:pPr>
        <w:pStyle w:val="berschrift1"/>
      </w:pPr>
      <w:r>
        <w:t>[</w:t>
      </w:r>
      <w:r>
        <w:br/>
        <w:t>\boxed{</w:t>
      </w:r>
      <w:r>
        <w:br/>
        <w:t>U_{\mathrm{Ax}}</w:t>
      </w:r>
      <w:r>
        <w:br/>
        <w:t>(A_{\mathrm{obs}/G})</w:t>
      </w:r>
    </w:p>
    <w:p w:rsidR="005002EF" w:rsidRDefault="005002EF" w:rsidP="00152216">
      <w:pPr>
        <w:numPr>
          <w:ilvl w:val="0"/>
          <w:numId w:val="559"/>
        </w:numPr>
        <w:spacing w:before="100" w:beforeAutospacing="1" w:after="100" w:afterAutospacing="1"/>
      </w:pPr>
    </w:p>
    <w:p w:rsidR="005002EF" w:rsidRDefault="005002EF" w:rsidP="005002EF">
      <w:pPr>
        <w:pStyle w:val="StandardWeb"/>
      </w:pPr>
      <w:r>
        <w:t>}</w:t>
      </w:r>
      <w:r>
        <w:br/>
        <w:t>\tag{3.12398}</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\boxed{U_{\mathrm{Ax}}(A_{\mathrm{obs}/G})=0.}</w:t>
      </w:r>
    </w:p>
    <w:p w:rsidR="005002EF" w:rsidRDefault="00E50336" w:rsidP="005002EF">
      <w:r>
        <w:pict>
          <v:rect id="_x0000_i4464" style="width:0;height:1.5pt" o:hralign="center" o:hrstd="t" o:hr="t" fillcolor="#a0a0a0" stroked="f"/>
        </w:pict>
      </w:r>
    </w:p>
    <w:p w:rsidR="005002EF" w:rsidRDefault="005002EF" w:rsidP="005002EF">
      <w:pPr>
        <w:pStyle w:val="berschrift1"/>
      </w:pPr>
      <w:r>
        <w:t>3.3.48.294 Satz 3.3.155 – Beobachtbarkeit modulo Symmetrie ist kein Primäraxiom</w:t>
      </w:r>
    </w:p>
    <w:p w:rsidR="005002EF" w:rsidRDefault="005002EF" w:rsidP="005002EF">
      <w:pPr>
        <w:pStyle w:val="berschrift3"/>
      </w:pPr>
      <w:r>
        <w:t>Satz 3.3.155</w:t>
      </w:r>
    </w:p>
    <w:p w:rsidR="005002EF" w:rsidRDefault="005002EF" w:rsidP="005002EF">
      <w:pPr>
        <w:pStyle w:val="StandardWeb"/>
      </w:pPr>
      <w:r>
        <w:t>Die Forderung, jede zulässige Beobachtung müsse zumindest Symmetrieklassen eindeutig unterscheiden, ist keine universell notwendige Voraussetzung des allgemeinen FRZK.</w:t>
      </w:r>
    </w:p>
    <w:p w:rsidR="005002EF" w:rsidRDefault="005002EF" w:rsidP="005002EF">
      <w:pPr>
        <w:pStyle w:val="StandardWeb"/>
      </w:pPr>
      <w:r>
        <w:t>Formal gilt</w:t>
      </w:r>
    </w:p>
    <w:p w:rsidR="005002EF" w:rsidRDefault="005002EF" w:rsidP="005002EF">
      <w:pPr>
        <w:pStyle w:val="berschrift1"/>
      </w:pPr>
      <w:r>
        <w:lastRenderedPageBreak/>
        <w:t>[</w:t>
      </w:r>
      <w:r>
        <w:br/>
        <w:t>\boxed{</w:t>
      </w:r>
      <w:r>
        <w:br/>
        <w:t>U_{\mathrm{Ax}}</w:t>
      </w:r>
      <w:r>
        <w:br/>
        <w:t>(A_{\mathrm{obs}/G})</w:t>
      </w:r>
    </w:p>
    <w:p w:rsidR="005002EF" w:rsidRDefault="005002EF" w:rsidP="00152216">
      <w:pPr>
        <w:numPr>
          <w:ilvl w:val="0"/>
          <w:numId w:val="560"/>
        </w:numPr>
        <w:spacing w:before="100" w:beforeAutospacing="1" w:after="100" w:afterAutospacing="1"/>
      </w:pPr>
    </w:p>
    <w:p w:rsidR="005002EF" w:rsidRDefault="005002EF" w:rsidP="005002EF">
      <w:pPr>
        <w:pStyle w:val="StandardWeb"/>
      </w:pPr>
      <w:r>
        <w:t>}</w:t>
      </w:r>
      <w:r>
        <w:br/>
        <w:t>\tag{3.12399}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\boxed{U_{\mathrm{Ax}}(A_{\mathrm{obs}/G})=0.}</w:t>
      </w:r>
    </w:p>
    <w:p w:rsidR="005002EF" w:rsidRDefault="00E50336" w:rsidP="005002EF">
      <w:r>
        <w:pict>
          <v:rect id="_x0000_i4465" style="width:0;height:1.5pt" o:hralign="center" o:hrstd="t" o:hr="t" fillcolor="#a0a0a0" stroked="f"/>
        </w:pict>
      </w:r>
    </w:p>
    <w:p w:rsidR="005002EF" w:rsidRDefault="005002EF" w:rsidP="005002EF">
      <w:pPr>
        <w:pStyle w:val="berschrift1"/>
      </w:pPr>
      <w:r>
        <w:t>3.3.48.295 Status der äquivarianter Operatorkette</w:t>
      </w:r>
    </w:p>
    <w:p w:rsidR="005002EF" w:rsidRDefault="005002EF" w:rsidP="005002EF">
      <w:pPr>
        <w:pStyle w:val="StandardWeb"/>
      </w:pPr>
      <w:r>
        <w:t>Für</w:t>
      </w:r>
    </w:p>
    <w:p w:rsidR="005002EF" w:rsidRDefault="005002EF" w:rsidP="005002EF">
      <w:pPr>
        <w:pStyle w:val="berschrift1"/>
      </w:pPr>
      <w:r>
        <w:t>[</w:t>
      </w:r>
      <w:r>
        <w:br/>
        <w:t>\mathcal O_{n:1}</w:t>
      </w:r>
    </w:p>
    <w:p w:rsidR="005002EF" w:rsidRDefault="005002EF" w:rsidP="005002EF">
      <w:pPr>
        <w:pStyle w:val="StandardWeb"/>
      </w:pPr>
      <w:r>
        <w:t>\mathcal O_n</w:t>
      </w:r>
      <w:r>
        <w:br/>
        <w:t>\circ\cdots\circ</w:t>
      </w:r>
      <w:r>
        <w:br/>
        <w:t>\mathcal O_1</w:t>
      </w:r>
      <w:r>
        <w:br/>
        <w:t>\tag{3.12400}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O_{n:1}=\mathcal O_n\circ\cdots\circ\mathcal O_1</w:t>
      </w:r>
    </w:p>
    <w:p w:rsidR="005002EF" w:rsidRDefault="005002EF" w:rsidP="005002EF">
      <w:pPr>
        <w:pStyle w:val="StandardWeb"/>
      </w:pPr>
      <w:r>
        <w:t>gilt</w:t>
      </w:r>
    </w:p>
    <w:p w:rsidR="005002EF" w:rsidRDefault="005002EF" w:rsidP="005002EF">
      <w:pPr>
        <w:pStyle w:val="berschrift1"/>
      </w:pPr>
      <w:r>
        <w:t>[</w:t>
      </w:r>
      <w:r>
        <w:br/>
        <w:t>\boxed{</w:t>
      </w:r>
      <w:r>
        <w:br/>
        <w:t>\operatorname{Stat}</w:t>
      </w:r>
      <w:r>
        <w:br/>
        <w:t>(\mathcal O_{n:1}^{\mathrm{eq}})</w:t>
      </w:r>
    </w:p>
    <w:p w:rsidR="005002EF" w:rsidRDefault="005002EF" w:rsidP="005002EF">
      <w:pPr>
        <w:pStyle w:val="StandardWeb"/>
      </w:pPr>
      <w:r>
        <w:t>\mathrm{Def/Mod/Der}.</w:t>
      </w:r>
      <w:r>
        <w:br/>
        <w:t>}</w:t>
      </w:r>
      <w:r>
        <w:br/>
      </w:r>
      <w:r>
        <w:lastRenderedPageBreak/>
        <w:t>\tag{3.12401}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\boxed{\operatorname{Stat}(\mathcal O_{n:1}^{\mathrm{eq}})=\mathrm{Def/Mod/Der}.}</w:t>
      </w:r>
    </w:p>
    <w:p w:rsidR="005002EF" w:rsidRDefault="005002EF" w:rsidP="005002EF">
      <w:pPr>
        <w:pStyle w:val="StandardWeb"/>
      </w:pPr>
      <w:r>
        <w:t>Die konkrete Operatorkette ist modellabhängig; ihre Kompositionseigenschaften sind mathematisch ableitbar.</w:t>
      </w:r>
    </w:p>
    <w:p w:rsidR="005002EF" w:rsidRDefault="00E50336" w:rsidP="005002EF">
      <w:r>
        <w:pict>
          <v:rect id="_x0000_i4466" style="width:0;height:1.5pt" o:hralign="center" o:hrstd="t" o:hr="t" fillcolor="#a0a0a0" stroked="f"/>
        </w:pict>
      </w:r>
    </w:p>
    <w:p w:rsidR="005002EF" w:rsidRDefault="005002EF" w:rsidP="005002EF">
      <w:pPr>
        <w:pStyle w:val="berschrift1"/>
      </w:pPr>
      <w:r>
        <w:t>3.3.48.296 Status des Operator-Äquivarianzresiduums</w:t>
      </w:r>
    </w:p>
    <w:p w:rsidR="005002EF" w:rsidRDefault="005002EF" w:rsidP="005002EF">
      <w:pPr>
        <w:pStyle w:val="StandardWeb"/>
      </w:pPr>
      <w:r>
        <w:t>Für</w:t>
      </w:r>
    </w:p>
    <w:p w:rsidR="005002EF" w:rsidRDefault="005002EF" w:rsidP="005002EF">
      <w:pPr>
        <w:pStyle w:val="StandardWeb"/>
      </w:pPr>
      <w:r>
        <w:t>[</w:t>
      </w:r>
      <w:r>
        <w:br/>
        <w:t>R_{\mathrm{op}}^{\mathrm{eq}}</w:t>
      </w:r>
      <w:r>
        <w:br/>
        <w:t>\tag{3.12402}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R_{\mathrm{op}}^{\mathrm{eq}}</w:t>
      </w:r>
    </w:p>
    <w:p w:rsidR="005002EF" w:rsidRDefault="005002EF" w:rsidP="005002EF">
      <w:pPr>
        <w:pStyle w:val="StandardWeb"/>
      </w:pPr>
      <w:r>
        <w:t>gilt</w:t>
      </w:r>
    </w:p>
    <w:p w:rsidR="005002EF" w:rsidRDefault="005002EF" w:rsidP="005002EF">
      <w:pPr>
        <w:pStyle w:val="berschrift1"/>
      </w:pPr>
      <w:r>
        <w:t>[</w:t>
      </w:r>
      <w:r>
        <w:br/>
        <w:t>\boxed{</w:t>
      </w:r>
      <w:r>
        <w:br/>
        <w:t>\operatorname{Stat}</w:t>
      </w:r>
      <w:r>
        <w:br/>
        <w:t>(R_{\mathrm{op}}^{\mathrm{eq}})</w:t>
      </w:r>
    </w:p>
    <w:p w:rsidR="005002EF" w:rsidRDefault="005002EF" w:rsidP="005002EF">
      <w:pPr>
        <w:pStyle w:val="StandardWeb"/>
      </w:pPr>
      <w:r>
        <w:t>\mathrm{Def/Op/Mod}.</w:t>
      </w:r>
      <w:r>
        <w:br/>
        <w:t>}</w:t>
      </w:r>
      <w:r>
        <w:br/>
        <w:t>\tag{3.12403}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\boxed{\operatorname{Stat}(R_{\mathrm{op}}^{\mathrm{eq}})=\mathrm{Def/Op/Mod}.}</w:t>
      </w:r>
    </w:p>
    <w:p w:rsidR="005002EF" w:rsidRDefault="00E50336" w:rsidP="005002EF">
      <w:r>
        <w:pict>
          <v:rect id="_x0000_i4467" style="width:0;height:1.5pt" o:hralign="center" o:hrstd="t" o:hr="t" fillcolor="#a0a0a0" stroked="f"/>
        </w:pict>
      </w:r>
    </w:p>
    <w:p w:rsidR="005002EF" w:rsidRDefault="005002EF" w:rsidP="005002EF">
      <w:pPr>
        <w:pStyle w:val="berschrift1"/>
      </w:pPr>
      <w:r>
        <w:t>3.3.48.297 Status der Rekonstruktionsabbildung</w:t>
      </w:r>
    </w:p>
    <w:p w:rsidR="005002EF" w:rsidRDefault="005002EF" w:rsidP="005002EF">
      <w:pPr>
        <w:pStyle w:val="StandardWeb"/>
      </w:pPr>
      <w:r>
        <w:t>Für</w:t>
      </w:r>
    </w:p>
    <w:p w:rsidR="005002EF" w:rsidRDefault="005002EF" w:rsidP="005002EF">
      <w:pPr>
        <w:pStyle w:val="StandardWeb"/>
      </w:pPr>
      <w:r>
        <w:lastRenderedPageBreak/>
        <w:t>[</w:t>
      </w:r>
      <w:r>
        <w:br/>
        <w:t>\mathcal R_F:</w:t>
      </w:r>
      <w:r>
        <w:br/>
        <w:t>\mathcal Y_F</w:t>
      </w:r>
      <w:r>
        <w:br/>
        <w:t>\rightarrow</w:t>
      </w:r>
      <w:r>
        <w:br/>
        <w:t>\mathcal X_F</w:t>
      </w:r>
      <w:r>
        <w:br/>
        <w:t>\tag{3.12404}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R_F:\mathcal Y_F\rightarrow\mathcal X_F</w:t>
      </w:r>
    </w:p>
    <w:p w:rsidR="005002EF" w:rsidRDefault="005002EF" w:rsidP="005002EF">
      <w:pPr>
        <w:pStyle w:val="StandardWeb"/>
      </w:pPr>
      <w:r>
        <w:t>gilt</w:t>
      </w:r>
    </w:p>
    <w:p w:rsidR="005002EF" w:rsidRDefault="005002EF" w:rsidP="005002EF">
      <w:pPr>
        <w:pStyle w:val="berschrift1"/>
      </w:pPr>
      <w:r>
        <w:t>[</w:t>
      </w:r>
      <w:r>
        <w:br/>
        <w:t>\boxed{</w:t>
      </w:r>
      <w:r>
        <w:br/>
        <w:t>\operatorname{Stat}</w:t>
      </w:r>
      <w:r>
        <w:br/>
        <w:t>(\mathcal R_F)</w:t>
      </w:r>
    </w:p>
    <w:p w:rsidR="005002EF" w:rsidRDefault="005002EF" w:rsidP="005002EF">
      <w:pPr>
        <w:pStyle w:val="StandardWeb"/>
      </w:pPr>
      <w:r>
        <w:t>\mathrm{Def/Mod/Op}.</w:t>
      </w:r>
      <w:r>
        <w:br/>
        <w:t>}</w:t>
      </w:r>
      <w:r>
        <w:br/>
        <w:t>\tag{3.12405}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\boxed{\operatorname{Stat}(\mathcal R_F)=\mathrm{Def/Mod/Op}.}</w:t>
      </w:r>
    </w:p>
    <w:p w:rsidR="005002EF" w:rsidRDefault="00E50336" w:rsidP="005002EF">
      <w:r>
        <w:pict>
          <v:rect id="_x0000_i4468" style="width:0;height:1.5pt" o:hralign="center" o:hrstd="t" o:hr="t" fillcolor="#a0a0a0" stroked="f"/>
        </w:pict>
      </w:r>
    </w:p>
    <w:p w:rsidR="005002EF" w:rsidRDefault="005002EF" w:rsidP="005002EF">
      <w:pPr>
        <w:pStyle w:val="berschrift1"/>
      </w:pPr>
      <w:r>
        <w:t>3.3.48.298 Status exakter Rekonstruktion</w:t>
      </w:r>
    </w:p>
    <w:p w:rsidR="005002EF" w:rsidRDefault="005002EF" w:rsidP="005002EF">
      <w:pPr>
        <w:pStyle w:val="StandardWeb"/>
      </w:pPr>
      <w:r>
        <w:t>Die Bedingung</w:t>
      </w:r>
    </w:p>
    <w:p w:rsidR="005002EF" w:rsidRDefault="005002EF" w:rsidP="005002EF">
      <w:pPr>
        <w:pStyle w:val="berschrift1"/>
      </w:pPr>
      <w:r>
        <w:t>[</w:t>
      </w:r>
      <w:r>
        <w:br/>
        <w:t>\mathcal R_F</w:t>
      </w:r>
      <w:r>
        <w:br/>
        <w:t>\circ</w:t>
      </w:r>
      <w:r>
        <w:br/>
        <w:t>\mathcal B_F</w:t>
      </w:r>
    </w:p>
    <w:p w:rsidR="005002EF" w:rsidRDefault="005002EF" w:rsidP="005002EF">
      <w:pPr>
        <w:pStyle w:val="StandardWeb"/>
      </w:pPr>
      <w:r>
        <w:t>\operatorname{id}</w:t>
      </w:r>
      <w:r>
        <w:br/>
        <w:t>\tag{3.12406}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R_F\circ\mathcal B_F=\operatorname{id}</w:t>
      </w:r>
    </w:p>
    <w:p w:rsidR="005002EF" w:rsidRDefault="005002EF" w:rsidP="005002EF">
      <w:pPr>
        <w:pStyle w:val="StandardWeb"/>
      </w:pPr>
      <w:r>
        <w:lastRenderedPageBreak/>
        <w:t>ist modellabhängig.</w:t>
      </w:r>
    </w:p>
    <w:p w:rsidR="005002EF" w:rsidRDefault="005002EF" w:rsidP="005002EF">
      <w:pPr>
        <w:pStyle w:val="StandardWeb"/>
      </w:pPr>
      <w:r>
        <w:t>Daher gilt</w:t>
      </w:r>
    </w:p>
    <w:p w:rsidR="005002EF" w:rsidRDefault="005002EF" w:rsidP="005002EF">
      <w:pPr>
        <w:pStyle w:val="berschrift1"/>
      </w:pPr>
      <w:r>
        <w:t>[</w:t>
      </w:r>
      <w:r>
        <w:br/>
        <w:t>\boxed{</w:t>
      </w:r>
      <w:r>
        <w:br/>
        <w:t>\operatorname{Stat}</w:t>
      </w:r>
      <w:r>
        <w:br/>
        <w:t>(\operatorname{Rec}^{=})</w:t>
      </w:r>
    </w:p>
    <w:p w:rsidR="005002EF" w:rsidRDefault="005002EF" w:rsidP="005002EF">
      <w:pPr>
        <w:pStyle w:val="StandardWeb"/>
      </w:pPr>
      <w:r>
        <w:t>\mathrm{Def/Mod}.</w:t>
      </w:r>
      <w:r>
        <w:br/>
        <w:t>}</w:t>
      </w:r>
      <w:r>
        <w:br/>
        <w:t>\tag{3.12407}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\boxed{\operatorname{Stat}(\operatorname{Rec}^{=})=\mathrm{Def/Mod}.}</w:t>
      </w:r>
    </w:p>
    <w:p w:rsidR="005002EF" w:rsidRDefault="00E50336" w:rsidP="005002EF">
      <w:r>
        <w:pict>
          <v:rect id="_x0000_i4469" style="width:0;height:1.5pt" o:hralign="center" o:hrstd="t" o:hr="t" fillcolor="#a0a0a0" stroked="f"/>
        </w:pict>
      </w:r>
    </w:p>
    <w:p w:rsidR="005002EF" w:rsidRDefault="005002EF" w:rsidP="005002EF">
      <w:pPr>
        <w:pStyle w:val="berschrift1"/>
      </w:pPr>
      <w:r>
        <w:t>3.3.48.299 Status des Rekonstruktionsresiduums</w:t>
      </w:r>
    </w:p>
    <w:p w:rsidR="005002EF" w:rsidRDefault="005002EF" w:rsidP="005002EF">
      <w:pPr>
        <w:pStyle w:val="StandardWeb"/>
      </w:pPr>
      <w:r>
        <w:t>Für</w:t>
      </w:r>
    </w:p>
    <w:p w:rsidR="005002EF" w:rsidRDefault="005002EF" w:rsidP="005002EF">
      <w:pPr>
        <w:pStyle w:val="StandardWeb"/>
      </w:pPr>
      <w:r>
        <w:t>[</w:t>
      </w:r>
      <w:r>
        <w:br/>
        <w:t>R_{\mathrm{rec}}</w:t>
      </w:r>
      <w:r>
        <w:br/>
        <w:t>\tag{3.12408}</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R_{\mathrm{rec}}</w:t>
      </w:r>
    </w:p>
    <w:p w:rsidR="005002EF" w:rsidRDefault="005002EF" w:rsidP="005002EF">
      <w:pPr>
        <w:pStyle w:val="StandardWeb"/>
      </w:pPr>
      <w:r>
        <w:t>gilt</w:t>
      </w:r>
    </w:p>
    <w:p w:rsidR="005002EF" w:rsidRDefault="005002EF" w:rsidP="005002EF">
      <w:pPr>
        <w:pStyle w:val="berschrift1"/>
      </w:pPr>
      <w:r>
        <w:t>[</w:t>
      </w:r>
      <w:r>
        <w:br/>
        <w:t>\boxed{</w:t>
      </w:r>
      <w:r>
        <w:br/>
        <w:t>\operatorname{Stat}</w:t>
      </w:r>
      <w:r>
        <w:br/>
        <w:t>(R_{\mathrm{rec}})</w:t>
      </w:r>
    </w:p>
    <w:p w:rsidR="005002EF" w:rsidRDefault="005002EF" w:rsidP="005002EF">
      <w:pPr>
        <w:pStyle w:val="StandardWeb"/>
      </w:pPr>
      <w:r>
        <w:t>\mathrm{Def/Op}.</w:t>
      </w:r>
      <w:r>
        <w:br/>
        <w:t>}</w:t>
      </w:r>
      <w:r>
        <w:br/>
        <w:t>\tag{3.12409}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lastRenderedPageBreak/>
        <w:t>\boxed{\operatorname{Stat}(R_{\mathrm{rec}})=\mathrm{Def/Op}.}</w:t>
      </w:r>
    </w:p>
    <w:p w:rsidR="005002EF" w:rsidRDefault="00E50336" w:rsidP="005002EF">
      <w:r>
        <w:pict>
          <v:rect id="_x0000_i4470" style="width:0;height:1.5pt" o:hralign="center" o:hrstd="t" o:hr="t" fillcolor="#a0a0a0" stroked="f"/>
        </w:pict>
      </w:r>
    </w:p>
    <w:p w:rsidR="005002EF" w:rsidRDefault="005002EF" w:rsidP="005002EF">
      <w:pPr>
        <w:pStyle w:val="berschrift1"/>
      </w:pPr>
      <w:r>
        <w:t>3.3.48.300 Status der Beobachtungsäquivalenz von Zuständen</w:t>
      </w:r>
    </w:p>
    <w:p w:rsidR="005002EF" w:rsidRDefault="005002EF" w:rsidP="005002EF">
      <w:pPr>
        <w:pStyle w:val="StandardWeb"/>
      </w:pPr>
      <w:r>
        <w:t>Für</w:t>
      </w:r>
    </w:p>
    <w:p w:rsidR="005002EF" w:rsidRDefault="005002EF" w:rsidP="005002EF">
      <w:pPr>
        <w:pStyle w:val="StandardWeb"/>
      </w:pPr>
      <w:r>
        <w:t>[</w:t>
      </w:r>
      <w:r>
        <w:br/>
        <w:t>z_i</w:t>
      </w:r>
      <w:r>
        <w:br/>
        <w:t>\sim_{\mathcal B}</w:t>
      </w:r>
      <w:r>
        <w:br/>
        <w:t>z_j</w:t>
      </w:r>
      <w:r>
        <w:br/>
        <w:t>\tag{3.12410}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z_i\sim_{\mathcal B}z_j</w:t>
      </w:r>
    </w:p>
    <w:p w:rsidR="005002EF" w:rsidRDefault="005002EF" w:rsidP="005002EF">
      <w:pPr>
        <w:pStyle w:val="StandardWeb"/>
      </w:pPr>
      <w:r>
        <w:t>gilt</w:t>
      </w:r>
    </w:p>
    <w:p w:rsidR="005002EF" w:rsidRDefault="005002EF" w:rsidP="005002EF">
      <w:pPr>
        <w:pStyle w:val="berschrift1"/>
      </w:pPr>
      <w:r>
        <w:t>[</w:t>
      </w:r>
      <w:r>
        <w:br/>
        <w:t>\boxed{</w:t>
      </w:r>
      <w:r>
        <w:br/>
        <w:t>\operatorname{Stat}</w:t>
      </w:r>
      <w:r>
        <w:br/>
        <w:t>(\sim_{\mathcal B})</w:t>
      </w:r>
    </w:p>
    <w:p w:rsidR="005002EF" w:rsidRDefault="005002EF" w:rsidP="005002EF">
      <w:pPr>
        <w:pStyle w:val="StandardWeb"/>
      </w:pPr>
      <w:r>
        <w:t>\mathrm{Def/Op}.</w:t>
      </w:r>
      <w:r>
        <w:br/>
        <w:t>}</w:t>
      </w:r>
      <w:r>
        <w:br/>
        <w:t>\tag{3.12411}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\boxed{\operatorname{Stat}(\sim_{\mathcal B})=\mathrm{Def/Op}.}</w:t>
      </w:r>
    </w:p>
    <w:p w:rsidR="005002EF" w:rsidRDefault="00E50336" w:rsidP="005002EF">
      <w:r>
        <w:pict>
          <v:rect id="_x0000_i4471" style="width:0;height:1.5pt" o:hralign="center" o:hrstd="t" o:hr="t" fillcolor="#a0a0a0" stroked="f"/>
        </w:pict>
      </w:r>
    </w:p>
    <w:p w:rsidR="005002EF" w:rsidRDefault="005002EF" w:rsidP="005002EF">
      <w:pPr>
        <w:pStyle w:val="berschrift1"/>
      </w:pPr>
      <w:r>
        <w:t>3.3.48.301 Status des Beobachtungsquotienten</w:t>
      </w:r>
    </w:p>
    <w:p w:rsidR="005002EF" w:rsidRDefault="005002EF" w:rsidP="005002EF">
      <w:pPr>
        <w:pStyle w:val="StandardWeb"/>
      </w:pPr>
      <w:r>
        <w:t>Für</w:t>
      </w:r>
    </w:p>
    <w:p w:rsidR="005002EF" w:rsidRDefault="005002EF" w:rsidP="005002EF">
      <w:pPr>
        <w:pStyle w:val="StandardWeb"/>
      </w:pPr>
      <w:r>
        <w:t>[</w:t>
      </w:r>
      <w:r>
        <w:br/>
        <w:t>\Omega_F/{\sim_{\mathcal B}}</w:t>
      </w:r>
      <w:r>
        <w:br/>
        <w:t>\tag{3.12412}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lastRenderedPageBreak/>
        <w:t>\Omega_F/{\sim_{\mathcal B}}</w:t>
      </w:r>
    </w:p>
    <w:p w:rsidR="005002EF" w:rsidRDefault="005002EF" w:rsidP="005002EF">
      <w:pPr>
        <w:pStyle w:val="StandardWeb"/>
      </w:pPr>
      <w:r>
        <w:t>gilt</w:t>
      </w:r>
    </w:p>
    <w:p w:rsidR="005002EF" w:rsidRDefault="005002EF" w:rsidP="005002EF">
      <w:pPr>
        <w:pStyle w:val="berschrift1"/>
      </w:pPr>
      <w:r>
        <w:t>[</w:t>
      </w:r>
      <w:r>
        <w:br/>
        <w:t>\boxed{</w:t>
      </w:r>
      <w:r>
        <w:br/>
        <w:t>\operatorname{Stat}</w:t>
      </w:r>
      <w:r>
        <w:br/>
        <w:t>(\Omega_F/{\sim_{\mathcal B}})</w:t>
      </w:r>
    </w:p>
    <w:p w:rsidR="005002EF" w:rsidRDefault="005002EF" w:rsidP="005002EF">
      <w:pPr>
        <w:pStyle w:val="StandardWeb"/>
      </w:pPr>
      <w:r>
        <w:t>\mathrm{Def/Mod}.</w:t>
      </w:r>
      <w:r>
        <w:br/>
        <w:t>}</w:t>
      </w:r>
      <w:r>
        <w:br/>
        <w:t>\tag{3.12413}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\boxed{\operatorname{Stat}(\Omega_F/{\sim_{\mathcal B}})=\mathrm{Def/Mod}.}</w:t>
      </w:r>
    </w:p>
    <w:p w:rsidR="005002EF" w:rsidRDefault="00E50336" w:rsidP="005002EF">
      <w:r>
        <w:pict>
          <v:rect id="_x0000_i4472" style="width:0;height:1.5pt" o:hralign="center" o:hrstd="t" o:hr="t" fillcolor="#a0a0a0" stroked="f"/>
        </w:pict>
      </w:r>
    </w:p>
    <w:p w:rsidR="005002EF" w:rsidRDefault="005002EF" w:rsidP="005002EF">
      <w:pPr>
        <w:pStyle w:val="berschrift1"/>
      </w:pPr>
      <w:r>
        <w:t>3.3.48.302 Status der Beobachtbarkeit modulo Symmetrie</w:t>
      </w:r>
    </w:p>
    <w:p w:rsidR="005002EF" w:rsidRDefault="005002EF" w:rsidP="005002EF">
      <w:pPr>
        <w:pStyle w:val="StandardWeb"/>
      </w:pPr>
      <w:r>
        <w:t>Für</w:t>
      </w:r>
    </w:p>
    <w:p w:rsidR="005002EF" w:rsidRDefault="005002EF" w:rsidP="005002EF">
      <w:pPr>
        <w:pStyle w:val="StandardWeb"/>
      </w:pPr>
      <w:r>
        <w:t>[</w:t>
      </w:r>
      <w:r>
        <w:br/>
        <w:t>\operatorname{Obs}_G</w:t>
      </w:r>
      <w:r>
        <w:br/>
        <w:t>\tag{3.12414}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\operatorname{Obs}_G</w:t>
      </w:r>
    </w:p>
    <w:p w:rsidR="005002EF" w:rsidRDefault="005002EF" w:rsidP="005002EF">
      <w:pPr>
        <w:pStyle w:val="StandardWeb"/>
      </w:pPr>
      <w:r>
        <w:t>gilt</w:t>
      </w:r>
    </w:p>
    <w:p w:rsidR="005002EF" w:rsidRDefault="005002EF" w:rsidP="005002EF">
      <w:pPr>
        <w:pStyle w:val="berschrift1"/>
      </w:pPr>
      <w:r>
        <w:t>[</w:t>
      </w:r>
      <w:r>
        <w:br/>
        <w:t>\boxed{</w:t>
      </w:r>
      <w:r>
        <w:br/>
        <w:t>\operatorname{Stat}</w:t>
      </w:r>
      <w:r>
        <w:br/>
        <w:t>(\operatorname{Obs}_G)</w:t>
      </w:r>
    </w:p>
    <w:p w:rsidR="005002EF" w:rsidRDefault="005002EF" w:rsidP="005002EF">
      <w:pPr>
        <w:pStyle w:val="StandardWeb"/>
      </w:pPr>
      <w:r>
        <w:t>\mathrm{Def/Mod/Op}.</w:t>
      </w:r>
      <w:r>
        <w:br/>
        <w:t>}</w:t>
      </w:r>
      <w:r>
        <w:br/>
        <w:t>\tag{3.12415}</w:t>
      </w:r>
      <w:r>
        <w:br/>
        <w:t>]</w:t>
      </w:r>
    </w:p>
    <w:p w:rsidR="005002EF" w:rsidRDefault="005002EF" w:rsidP="005002EF">
      <w:pPr>
        <w:pStyle w:val="StandardWeb"/>
      </w:pPr>
      <w:r>
        <w:rPr>
          <w:rStyle w:val="Fett"/>
        </w:rPr>
        <w:lastRenderedPageBreak/>
        <w:t>Word-LaTeX</w:t>
      </w:r>
    </w:p>
    <w:p w:rsidR="005002EF" w:rsidRDefault="005002EF" w:rsidP="005002EF">
      <w:pPr>
        <w:pStyle w:val="HTMLVorformatiert"/>
        <w:rPr>
          <w:rStyle w:val="HTMLCode"/>
        </w:rPr>
      </w:pPr>
      <w:r>
        <w:rPr>
          <w:rStyle w:val="HTMLCode"/>
        </w:rPr>
        <w:t>\boxed{\operatorname{Stat}(\operatorname{Obs}_G)=\mathrm{Def/Mod/Op}.}</w:t>
      </w:r>
    </w:p>
    <w:p w:rsidR="005002EF" w:rsidRDefault="00E50336" w:rsidP="005002EF">
      <w:r>
        <w:pict>
          <v:rect id="_x0000_i4473" style="width:0;height:1.5pt" o:hralign="center" o:hrstd="t" o:hr="t" fillcolor="#a0a0a0" stroked="f"/>
        </w:pict>
      </w:r>
    </w:p>
    <w:p w:rsidR="005002EF" w:rsidRDefault="005002EF" w:rsidP="005002EF">
      <w:pPr>
        <w:pStyle w:val="berschrift1"/>
      </w:pPr>
      <w:r>
        <w:t>3.3.48.303 Status des lokalen Nichtbeobachtbarkeitsraums</w:t>
      </w:r>
    </w:p>
    <w:p w:rsidR="005002EF" w:rsidRDefault="005002EF" w:rsidP="005002EF">
      <w:pPr>
        <w:pStyle w:val="StandardWeb"/>
      </w:pPr>
      <w:r>
        <w:t>Für</w:t>
      </w:r>
    </w:p>
    <w:p w:rsidR="005002EF" w:rsidRDefault="005002EF" w:rsidP="005002EF">
      <w:pPr>
        <w:pStyle w:val="berschrift1"/>
      </w:pPr>
      <w:r>
        <w:t>[</w:t>
      </w:r>
      <w:r>
        <w:br/>
        <w:t>\mathcal N_{\mathrm{obs}}(z)</w:t>
      </w:r>
    </w:p>
    <w:p w:rsidR="005002EF" w:rsidRDefault="005002EF" w:rsidP="005002EF">
      <w:pPr>
        <w:pStyle w:val="StandardWeb"/>
      </w:pPr>
      <w:r>
        <w:t>\ker</w:t>
      </w:r>
      <w:r>
        <w:br/>
        <w:t>D\mathcal B_F(z)</w:t>
      </w:r>
      <w:r>
        <w:br/>
        <w:t>\tag{3.12416}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N_{\mathrm{obs}}(z)=\ker D\mathcal B_F(z)</w:t>
      </w:r>
    </w:p>
    <w:p w:rsidR="005002EF" w:rsidRDefault="005002EF" w:rsidP="005002EF">
      <w:pPr>
        <w:pStyle w:val="StandardWeb"/>
      </w:pPr>
      <w:r>
        <w:t>gilt</w:t>
      </w:r>
    </w:p>
    <w:p w:rsidR="005002EF" w:rsidRDefault="005002EF" w:rsidP="005002EF">
      <w:pPr>
        <w:pStyle w:val="berschrift1"/>
      </w:pPr>
      <w:r>
        <w:t>[</w:t>
      </w:r>
      <w:r>
        <w:br/>
        <w:t>\boxed{</w:t>
      </w:r>
      <w:r>
        <w:br/>
        <w:t>\operatorname{Stat}</w:t>
      </w:r>
      <w:r>
        <w:br/>
        <w:t>(\mathcal N_{\mathrm{obs}})</w:t>
      </w:r>
    </w:p>
    <w:p w:rsidR="005002EF" w:rsidRDefault="005002EF" w:rsidP="005002EF">
      <w:pPr>
        <w:pStyle w:val="StandardWeb"/>
      </w:pPr>
      <w:r>
        <w:t>\mathrm{Def/Mod/Op}.</w:t>
      </w:r>
      <w:r>
        <w:br/>
        <w:t>}</w:t>
      </w:r>
      <w:r>
        <w:br/>
        <w:t>\tag{3.12417}</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\boxed{\operatorname{Stat}(\mathcal N_{\mathrm{obs}})=\mathrm{Def/Mod/Op}.}</w:t>
      </w:r>
    </w:p>
    <w:p w:rsidR="005002EF" w:rsidRDefault="00E50336" w:rsidP="005002EF">
      <w:r>
        <w:pict>
          <v:rect id="_x0000_i4474" style="width:0;height:1.5pt" o:hralign="center" o:hrstd="t" o:hr="t" fillcolor="#a0a0a0" stroked="f"/>
        </w:pict>
      </w:r>
    </w:p>
    <w:p w:rsidR="005002EF" w:rsidRDefault="005002EF" w:rsidP="005002EF">
      <w:pPr>
        <w:pStyle w:val="berschrift1"/>
      </w:pPr>
      <w:r>
        <w:t>3.3.48.304 Status des symmetriebedingten Nichtbeobachtbarkeitsraums</w:t>
      </w:r>
    </w:p>
    <w:p w:rsidR="005002EF" w:rsidRDefault="005002EF" w:rsidP="005002EF">
      <w:pPr>
        <w:pStyle w:val="StandardWeb"/>
      </w:pPr>
      <w:r>
        <w:t>Für</w:t>
      </w:r>
    </w:p>
    <w:p w:rsidR="005002EF" w:rsidRDefault="005002EF" w:rsidP="005002EF">
      <w:pPr>
        <w:pStyle w:val="StandardWeb"/>
      </w:pPr>
      <w:r>
        <w:lastRenderedPageBreak/>
        <w:t>[</w:t>
      </w:r>
      <w:r>
        <w:br/>
        <w:t>\mathcal N_{\mathrm{sym}}</w:t>
      </w:r>
      <w:r>
        <w:br/>
        <w:t>\subseteq</w:t>
      </w:r>
      <w:r>
        <w:br/>
        <w:t>\mathcal N_{\mathrm{obs}}</w:t>
      </w:r>
      <w:r>
        <w:br/>
        <w:t>\tag{3.12418}</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N_{\mathrm{sym}}\subseteq\mathcal N_{\mathrm{obs}}</w:t>
      </w:r>
    </w:p>
    <w:p w:rsidR="005002EF" w:rsidRDefault="005002EF" w:rsidP="005002EF">
      <w:pPr>
        <w:pStyle w:val="StandardWeb"/>
      </w:pPr>
      <w:r>
        <w:t>gilt</w:t>
      </w:r>
    </w:p>
    <w:p w:rsidR="005002EF" w:rsidRDefault="005002EF" w:rsidP="005002EF">
      <w:pPr>
        <w:pStyle w:val="berschrift1"/>
      </w:pPr>
      <w:r>
        <w:t>[</w:t>
      </w:r>
      <w:r>
        <w:br/>
        <w:t>\boxed{</w:t>
      </w:r>
      <w:r>
        <w:br/>
        <w:t>\operatorname{Stat}</w:t>
      </w:r>
      <w:r>
        <w:br/>
        <w:t>(\mathcal N_{\mathrm{sym}})</w:t>
      </w:r>
    </w:p>
    <w:p w:rsidR="005002EF" w:rsidRDefault="005002EF" w:rsidP="005002EF">
      <w:pPr>
        <w:pStyle w:val="StandardWeb"/>
      </w:pPr>
      <w:r>
        <w:t>\mathrm{Def/Der/Mod}.</w:t>
      </w:r>
      <w:r>
        <w:br/>
        <w:t>}</w:t>
      </w:r>
      <w:r>
        <w:br/>
        <w:t>\tag{3.12419}</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\boxed{\operatorname{Stat}(\mathcal N_{\mathrm{sym}})=\mathrm{Def/Der/Mod}.}</w:t>
      </w:r>
    </w:p>
    <w:p w:rsidR="005002EF" w:rsidRDefault="00E50336" w:rsidP="005002EF">
      <w:r>
        <w:pict>
          <v:rect id="_x0000_i4475" style="width:0;height:1.5pt" o:hralign="center" o:hrstd="t" o:hr="t" fillcolor="#a0a0a0" stroked="f"/>
        </w:pict>
      </w:r>
    </w:p>
    <w:p w:rsidR="005002EF" w:rsidRDefault="005002EF" w:rsidP="005002EF">
      <w:pPr>
        <w:pStyle w:val="berschrift1"/>
      </w:pPr>
      <w:r>
        <w:t>3.3.48.305 Status der Rekonstruktion modulo Symmetrie</w:t>
      </w:r>
    </w:p>
    <w:p w:rsidR="005002EF" w:rsidRDefault="005002EF" w:rsidP="005002EF">
      <w:pPr>
        <w:pStyle w:val="StandardWeb"/>
      </w:pPr>
      <w:r>
        <w:t>Für</w:t>
      </w:r>
    </w:p>
    <w:p w:rsidR="005002EF" w:rsidRDefault="005002EF" w:rsidP="005002EF">
      <w:pPr>
        <w:pStyle w:val="StandardWeb"/>
      </w:pPr>
      <w:r>
        <w:t>[</w:t>
      </w:r>
      <w:r>
        <w:br/>
        <w:t>\mathcal R_F(\mathcal B_F(z))</w:t>
      </w:r>
      <w:r>
        <w:br/>
        <w:t>\in</w:t>
      </w:r>
      <w:r>
        <w:br/>
        <w:t>[z]_G</w:t>
      </w:r>
      <w:r>
        <w:br/>
        <w:t>\tag{3.12420}</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R_F(\mathcal B_F(z))\in[z]_G</w:t>
      </w:r>
    </w:p>
    <w:p w:rsidR="005002EF" w:rsidRDefault="005002EF" w:rsidP="005002EF">
      <w:pPr>
        <w:pStyle w:val="StandardWeb"/>
      </w:pPr>
      <w:r>
        <w:t>gilt</w:t>
      </w:r>
    </w:p>
    <w:p w:rsidR="005002EF" w:rsidRDefault="005002EF" w:rsidP="005002EF">
      <w:pPr>
        <w:pStyle w:val="berschrift1"/>
      </w:pPr>
      <w:r>
        <w:lastRenderedPageBreak/>
        <w:t>[</w:t>
      </w:r>
      <w:r>
        <w:br/>
        <w:t>\boxed{</w:t>
      </w:r>
      <w:r>
        <w:br/>
        <w:t>\operatorname{Stat}</w:t>
      </w:r>
      <w:r>
        <w:br/>
        <w:t>(\operatorname{Rec}_G)</w:t>
      </w:r>
    </w:p>
    <w:p w:rsidR="005002EF" w:rsidRDefault="005002EF" w:rsidP="005002EF">
      <w:pPr>
        <w:pStyle w:val="StandardWeb"/>
      </w:pPr>
      <w:r>
        <w:t>\mathrm{Def/Mod/Op}.</w:t>
      </w:r>
      <w:r>
        <w:br/>
        <w:t>}</w:t>
      </w:r>
      <w:r>
        <w:br/>
        <w:t>\tag{3.12421}</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\boxed{\operatorname{Stat}(\operatorname{Rec}_G)=\mathrm{Def/Mod/Op}.}</w:t>
      </w:r>
    </w:p>
    <w:p w:rsidR="005002EF" w:rsidRDefault="00E50336" w:rsidP="005002EF">
      <w:r>
        <w:pict>
          <v:rect id="_x0000_i4476" style="width:0;height:1.5pt" o:hralign="center" o:hrstd="t" o:hr="t" fillcolor="#a0a0a0" stroked="f"/>
        </w:pict>
      </w:r>
    </w:p>
    <w:p w:rsidR="005002EF" w:rsidRDefault="005002EF" w:rsidP="005002EF">
      <w:pPr>
        <w:pStyle w:val="berschrift1"/>
      </w:pPr>
      <w:r>
        <w:t>3.3.48.306 Status der Repräsentantenauswahl</w:t>
      </w:r>
    </w:p>
    <w:p w:rsidR="005002EF" w:rsidRDefault="005002EF" w:rsidP="005002EF">
      <w:pPr>
        <w:pStyle w:val="StandardWeb"/>
      </w:pPr>
      <w:r>
        <w:t>Für</w:t>
      </w:r>
    </w:p>
    <w:p w:rsidR="005002EF" w:rsidRDefault="005002EF" w:rsidP="005002EF">
      <w:pPr>
        <w:pStyle w:val="StandardWeb"/>
      </w:pPr>
      <w:r>
        <w:t>[</w:t>
      </w:r>
      <w:r>
        <w:br/>
        <w:t>\Gamma:</w:t>
      </w:r>
      <w:r>
        <w:br/>
        <w:t>\Omega_F/G</w:t>
      </w:r>
      <w:r>
        <w:br/>
        <w:t>\rightarrow</w:t>
      </w:r>
      <w:r>
        <w:br/>
        <w:t>\Omega_F</w:t>
      </w:r>
      <w:r>
        <w:br/>
        <w:t>\tag{3.12422}</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\Gamma:\Omega_F/G\rightarrow\Omega_F</w:t>
      </w:r>
    </w:p>
    <w:p w:rsidR="005002EF" w:rsidRDefault="005002EF" w:rsidP="005002EF">
      <w:pPr>
        <w:pStyle w:val="StandardWeb"/>
      </w:pPr>
      <w:r>
        <w:t>gilt</w:t>
      </w:r>
    </w:p>
    <w:p w:rsidR="005002EF" w:rsidRDefault="005002EF" w:rsidP="005002EF">
      <w:pPr>
        <w:pStyle w:val="berschrift1"/>
      </w:pPr>
      <w:r>
        <w:t>[</w:t>
      </w:r>
      <w:r>
        <w:br/>
        <w:t>\boxed{</w:t>
      </w:r>
      <w:r>
        <w:br/>
        <w:t>\operatorname{Stat}</w:t>
      </w:r>
      <w:r>
        <w:br/>
        <w:t>(\Gamma)</w:t>
      </w:r>
    </w:p>
    <w:p w:rsidR="005002EF" w:rsidRDefault="005002EF" w:rsidP="005002EF">
      <w:pPr>
        <w:pStyle w:val="StandardWeb"/>
      </w:pPr>
      <w:r>
        <w:t>\mathrm{Def/Mod}.</w:t>
      </w:r>
      <w:r>
        <w:br/>
        <w:t>}</w:t>
      </w:r>
      <w:r>
        <w:br/>
        <w:t>\tag{3.12423}</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lastRenderedPageBreak/>
        <w:t>\boxed{\operatorname{Stat}(\Gamma)=\mathrm{Def/Mod}.}</w:t>
      </w:r>
    </w:p>
    <w:p w:rsidR="005002EF" w:rsidRDefault="00E50336" w:rsidP="005002EF">
      <w:r>
        <w:pict>
          <v:rect id="_x0000_i4477" style="width:0;height:1.5pt" o:hralign="center" o:hrstd="t" o:hr="t" fillcolor="#a0a0a0" stroked="f"/>
        </w:pict>
      </w:r>
    </w:p>
    <w:p w:rsidR="005002EF" w:rsidRDefault="005002EF" w:rsidP="005002EF">
      <w:pPr>
        <w:pStyle w:val="berschrift1"/>
      </w:pPr>
      <w:r>
        <w:t>3.3.48.307 Erweiterte Primäraxiomkandidaten</w:t>
      </w:r>
    </w:p>
    <w:p w:rsidR="005002EF" w:rsidRDefault="005002EF" w:rsidP="005002EF">
      <w:pPr>
        <w:pStyle w:val="StandardWeb"/>
      </w:pPr>
      <w:r>
        <w:t>Die bisherige Kandidatenmenge erweitert sich nun zu</w:t>
      </w:r>
    </w:p>
    <w:p w:rsidR="005002EF" w:rsidRDefault="005002EF" w:rsidP="005002EF">
      <w:pPr>
        <w:pStyle w:val="berschrift1"/>
      </w:pPr>
      <w:r>
        <w:t>[</w:t>
      </w:r>
      <w:r>
        <w:br/>
        <w:t>\mathcal A_{\mathrm{sym}}^{\mathrm{cand}}</w:t>
      </w:r>
    </w:p>
    <w:p w:rsidR="005002EF" w:rsidRDefault="005002EF" w:rsidP="005002EF">
      <w:pPr>
        <w:pStyle w:val="StandardWeb"/>
      </w:pPr>
      <w:r>
        <w:t>{</w:t>
      </w:r>
      <w:r>
        <w:br/>
        <w:t>A_{\mathrm{inv}},</w:t>
      </w:r>
      <w:r>
        <w:br/>
        <w:t>A_G,</w:t>
      </w:r>
      <w:r>
        <w:br/>
        <w:t>A_{\cong},</w:t>
      </w:r>
      <w:r>
        <w:br/>
        <w:t>A_{\mathrm{cov}},</w:t>
      </w:r>
      <w:r>
        <w:br/>
        <w:t>A_{\mathrm{eq}},</w:t>
      </w:r>
      <w:r>
        <w:br/>
        <w:t>A_{\mathrm{op}},</w:t>
      </w:r>
      <w:r>
        <w:br/>
        <w:t>A_{\mathrm{rec}},</w:t>
      </w:r>
      <w:r>
        <w:br/>
        <w:t>A_{\mathrm{obs}},</w:t>
      </w:r>
      <w:r>
        <w:br/>
        <w:t>A_{\mathrm{obs}/G}</w:t>
      </w:r>
      <w:r>
        <w:br/>
        <w:t>}.</w:t>
      </w:r>
      <w:r>
        <w:br/>
        <w:t>\tag{3.12424}</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\mathcal A_{\mathrm{sym}}^{\mathrm{cand}}=\{A_{\mathrm{inv}},A_G,A_{\cong},A_{\mathrm{cov}},A_{\mathrm{eq}},A_{\mathrm{op}},A_{\mathrm{rec}},A_{\mathrm{obs}},A_{\mathrm{obs}/G}\}</w:t>
      </w:r>
    </w:p>
    <w:p w:rsidR="005002EF" w:rsidRDefault="00E50336" w:rsidP="005002EF">
      <w:r>
        <w:pict>
          <v:rect id="_x0000_i4478" style="width:0;height:1.5pt" o:hralign="center" o:hrstd="t" o:hr="t" fillcolor="#a0a0a0" stroked="f"/>
        </w:pict>
      </w:r>
    </w:p>
    <w:p w:rsidR="005002EF" w:rsidRDefault="005002EF" w:rsidP="005002EF">
      <w:pPr>
        <w:pStyle w:val="berschrift1"/>
      </w:pPr>
      <w:r>
        <w:t>3.3.48.308 Zwischenbilanz aller bisherigen Axiomprüfungen</w:t>
      </w:r>
    </w:p>
    <w:p w:rsidR="005002EF" w:rsidRDefault="005002EF" w:rsidP="005002EF">
      <w:pPr>
        <w:pStyle w:val="StandardWeb"/>
      </w:pPr>
      <w:r>
        <w:t>Für sämtliche bisher geprüften Kandidaten gilt</w:t>
      </w:r>
    </w:p>
    <w:p w:rsidR="005002EF" w:rsidRDefault="005002EF" w:rsidP="005002EF">
      <w:pPr>
        <w:pStyle w:val="berschrift1"/>
      </w:pPr>
      <w:r>
        <w:t>[</w:t>
      </w:r>
      <w:r>
        <w:br/>
        <w:t>\boxed{</w:t>
      </w:r>
      <w:r>
        <w:br/>
        <w:t>U_{\mathrm{Ax}}(A)</w:t>
      </w:r>
    </w:p>
    <w:p w:rsidR="005002EF" w:rsidRDefault="005002EF" w:rsidP="005002EF">
      <w:pPr>
        <w:pStyle w:val="StandardWeb"/>
      </w:pPr>
      <w:r>
        <w:t>0</w:t>
      </w:r>
      <w:r>
        <w:br/>
        <w:t>\qquad</w:t>
      </w:r>
      <w:r>
        <w:br/>
        <w:t>\forall</w:t>
      </w:r>
      <w:r>
        <w:br/>
        <w:t>A</w:t>
      </w:r>
      <w:r>
        <w:br/>
        <w:t>\in</w:t>
      </w:r>
      <w:r>
        <w:br/>
      </w:r>
      <w:r>
        <w:lastRenderedPageBreak/>
        <w:t>\mathcal A_{\mathrm{sym}}^{\mathrm{cand}}.</w:t>
      </w:r>
      <w:r>
        <w:br/>
        <w:t>}</w:t>
      </w:r>
      <w:r>
        <w:br/>
        <w:t>\tag{3.12425}</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\boxed{U_{\mathrm{Ax}}(A)=0\qquad\forall A\in\mathcal A_{\mathrm{sym}}^{\mathrm{cand}}.}</w:t>
      </w:r>
    </w:p>
    <w:p w:rsidR="005002EF" w:rsidRDefault="005002EF" w:rsidP="005002EF">
      <w:pPr>
        <w:pStyle w:val="StandardWeb"/>
      </w:pPr>
      <w:r>
        <w:t xml:space="preserve">Damit ist auch nach Einbeziehung von Operatoren, Rekonstruktion und Beobachtbarkeit </w:t>
      </w:r>
      <w:r>
        <w:rPr>
          <w:rStyle w:val="Fett"/>
        </w:rPr>
        <w:t>kein neues Primäraxiom erforderlich</w:t>
      </w:r>
      <w:r>
        <w:t>.</w:t>
      </w:r>
    </w:p>
    <w:p w:rsidR="005002EF" w:rsidRDefault="00E50336" w:rsidP="005002EF">
      <w:r>
        <w:pict>
          <v:rect id="_x0000_i4479" style="width:0;height:1.5pt" o:hralign="center" o:hrstd="t" o:hr="t" fillcolor="#a0a0a0" stroked="f"/>
        </w:pict>
      </w:r>
    </w:p>
    <w:p w:rsidR="005002EF" w:rsidRDefault="005002EF" w:rsidP="005002EF">
      <w:pPr>
        <w:pStyle w:val="berschrift1"/>
      </w:pPr>
      <w:r>
        <w:t>3.3.48.309 Noch kein endgültiger Abschluss</w:t>
      </w:r>
    </w:p>
    <w:p w:rsidR="005002EF" w:rsidRDefault="005002EF" w:rsidP="005002EF">
      <w:pPr>
        <w:pStyle w:val="StandardWeb"/>
      </w:pPr>
      <w:r>
        <w:t>Trotz dieser weitreichenden negativen Primäraxiomentscheidungen ist Abschnitt 3.3.48 noch nicht vollständig abgeschlossen.</w:t>
      </w:r>
    </w:p>
    <w:p w:rsidR="005002EF" w:rsidRDefault="005002EF" w:rsidP="005002EF">
      <w:pPr>
        <w:pStyle w:val="StandardWeb"/>
      </w:pPr>
      <w:r>
        <w:t>Es fehlen insbesondere die vollständige Statusmatrix aller eingeführten Symmetrieobjekte und die formale Gesamtentscheidung.</w:t>
      </w:r>
    </w:p>
    <w:p w:rsidR="005002EF" w:rsidRDefault="005002EF" w:rsidP="005002EF">
      <w:pPr>
        <w:pStyle w:val="StandardWeb"/>
      </w:pPr>
      <w:r>
        <w:t>Ich muss daher noch die Zuordnung</w:t>
      </w:r>
    </w:p>
    <w:p w:rsidR="005002EF" w:rsidRDefault="005002EF" w:rsidP="005002EF">
      <w:pPr>
        <w:pStyle w:val="StandardWeb"/>
      </w:pPr>
      <w:r>
        <w:t>[</w:t>
      </w:r>
      <w:r>
        <w:br/>
        <w:t>\mathfrak M_{3.3.48}</w:t>
      </w:r>
      <w:r>
        <w:br/>
        <w:t>:</w:t>
      </w:r>
      <w:r>
        <w:br/>
        <w:t>\mathcal O_{3.3.48}</w:t>
      </w:r>
      <w:r>
        <w:br/>
        <w:t>\rightarrow</w:t>
      </w:r>
      <w:r>
        <w:br/>
        <w:t>\mathcal P</w:t>
      </w:r>
      <w:r>
        <w:br/>
        <w:t>(\mathcal K_{\mathrm{Stat}})</w:t>
      </w:r>
      <w:r>
        <w:br/>
        <w:t>\tag{3.12426}</w:t>
      </w:r>
      <w:r>
        <w:br/>
        <w:t>]</w:t>
      </w:r>
    </w:p>
    <w:p w:rsidR="005002EF" w:rsidRDefault="005002EF" w:rsidP="005002EF">
      <w:pPr>
        <w:pStyle w:val="StandardWeb"/>
      </w:pPr>
      <w:r>
        <w:rPr>
          <w:rStyle w:val="Fett"/>
        </w:rPr>
        <w:t>Word-LaTeX</w:t>
      </w:r>
    </w:p>
    <w:p w:rsidR="005002EF" w:rsidRDefault="005002EF" w:rsidP="005002EF">
      <w:pPr>
        <w:pStyle w:val="HTMLVorformatiert"/>
        <w:rPr>
          <w:rStyle w:val="HTMLCode"/>
        </w:rPr>
      </w:pPr>
      <w:r>
        <w:rPr>
          <w:rStyle w:val="HTMLCode"/>
        </w:rPr>
        <w:t>\mathfrak M_{3.3.48}:\mathcal O_{3.3.48}\rightarrow\mathcal P(\mathcal K_{\mathrm{Stat}})</w:t>
      </w:r>
    </w:p>
    <w:p w:rsidR="005002EF" w:rsidRDefault="005002EF" w:rsidP="005002EF">
      <w:pPr>
        <w:pStyle w:val="StandardWeb"/>
      </w:pPr>
      <w:r>
        <w:t>vollständig ausarbeiten.</w:t>
      </w:r>
    </w:p>
    <w:p w:rsidR="005002EF" w:rsidRDefault="00E50336" w:rsidP="005002EF">
      <w:r>
        <w:pict>
          <v:rect id="_x0000_i4480" style="width:0;height:1.5pt" o:hralign="center" o:hrstd="t" o:hr="t" fillcolor="#a0a0a0" stroked="f"/>
        </w:pict>
      </w:r>
    </w:p>
    <w:p w:rsidR="005002EF" w:rsidRDefault="005002EF" w:rsidP="005002EF">
      <w:pPr>
        <w:pStyle w:val="berschrift1"/>
      </w:pPr>
      <w:r>
        <w:t>3.3.48.310 Nächster Arbeitsschritt</w:t>
      </w:r>
    </w:p>
    <w:p w:rsidR="005002EF" w:rsidRDefault="005002EF" w:rsidP="005002EF">
      <w:pPr>
        <w:pStyle w:val="StandardWeb"/>
      </w:pPr>
      <w:r>
        <w:t xml:space="preserve">Der nächste Block muss daher die </w:t>
      </w:r>
      <w:r>
        <w:rPr>
          <w:rStyle w:val="Fett"/>
        </w:rPr>
        <w:t>endgültige Statusmatrix aller in 3.3.48 eingeführten Theorieobjekte</w:t>
      </w:r>
      <w:r>
        <w:t xml:space="preserve">, die abschließende Primäraxiomentscheidung sowie anschließend die verbindlichen </w:t>
      </w:r>
      <w:r>
        <w:rPr>
          <w:rStyle w:val="Fett"/>
        </w:rPr>
        <w:t>Methodologischen Betrachtungen</w:t>
      </w:r>
      <w:r>
        <w:t xml:space="preserve"> und </w:t>
      </w:r>
      <w:r>
        <w:rPr>
          <w:rStyle w:val="Fett"/>
        </w:rPr>
        <w:t>Didaktischen Betrachtungen</w:t>
      </w:r>
      <w:r>
        <w:t xml:space="preserve"> enthalten.</w:t>
      </w:r>
    </w:p>
    <w:p w:rsidR="005002EF" w:rsidRDefault="005002EF" w:rsidP="005002EF">
      <w:pPr>
        <w:pStyle w:val="StandardWeb"/>
      </w:pPr>
      <w:r>
        <w:lastRenderedPageBreak/>
        <w:t xml:space="preserve">Der nächste Teil beginnt bei </w:t>
      </w:r>
      <w:r>
        <w:rPr>
          <w:rStyle w:val="Fett"/>
        </w:rPr>
        <w:t>3.3.48.311 / Gleichung (3.12427)</w:t>
      </w:r>
      <w:r>
        <w:t>.</w:t>
      </w:r>
    </w:p>
    <w:p w:rsidR="00653D5C" w:rsidRDefault="00653D5C" w:rsidP="00653D5C">
      <w:pPr>
        <w:pStyle w:val="berschrift1"/>
        <w:rPr>
          <w:rFonts w:cs="Times New Roman"/>
          <w:sz w:val="48"/>
          <w:szCs w:val="48"/>
        </w:rPr>
      </w:pPr>
      <w:r>
        <w:t>3.3.48.311 Vollständige Statusmatrix der in Abschnitt 3.3.48 eingeführten Symmetriestrukturen</w:t>
      </w:r>
    </w:p>
    <w:p w:rsidR="00653D5C" w:rsidRDefault="00653D5C" w:rsidP="00653D5C">
      <w:pPr>
        <w:pStyle w:val="StandardWeb"/>
      </w:pPr>
      <w:r>
        <w:t>Nachdem ich Transformationen, Invarianz, Symmetrien, Isomorphismen, Automorphismen, Kovarianz, Äquivarianz, Rekonstruktion und Beobachtbarkeit getrennt untersucht habe, kann ich nun die in Abschnitt 3.3.48 eingeführten Theorieobjekte systematisch klassifizieren.</w:t>
      </w:r>
    </w:p>
    <w:p w:rsidR="00653D5C" w:rsidRDefault="00653D5C" w:rsidP="00653D5C">
      <w:pPr>
        <w:pStyle w:val="StandardWeb"/>
      </w:pPr>
      <w:r>
        <w:t>Ich verwende hierfür erneut die Statusmenge</w:t>
      </w:r>
    </w:p>
    <w:p w:rsidR="00653D5C" w:rsidRDefault="00653D5C" w:rsidP="00653D5C">
      <w:pPr>
        <w:pStyle w:val="berschrift1"/>
      </w:pPr>
      <w:r>
        <w:t>[</w:t>
      </w:r>
      <w:r>
        <w:br/>
        <w:t>\mathcal K_{\mathrm{Stat}}</w:t>
      </w:r>
    </w:p>
    <w:p w:rsidR="00653D5C" w:rsidRDefault="00653D5C" w:rsidP="00653D5C">
      <w:pPr>
        <w:pStyle w:val="StandardWeb"/>
      </w:pPr>
      <w:r>
        <w:t>{</w:t>
      </w:r>
      <w:r>
        <w:br/>
        <w:t>\mathrm{Def},</w:t>
      </w:r>
      <w:r>
        <w:br/>
        <w:t>\mathrm{Der},</w:t>
      </w:r>
      <w:r>
        <w:br/>
        <w:t>\mathrm{Mod},</w:t>
      </w:r>
      <w:r>
        <w:br/>
        <w:t>\mathrm{Op},</w:t>
      </w:r>
      <w:r>
        <w:br/>
        <w:t>\mathrm{Ax}</w:t>
      </w:r>
      <w:r>
        <w:br/>
        <w:t>}.</w:t>
      </w:r>
      <w:r>
        <w:br/>
        <w:t>\tag{3.12427}</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\mathcal K_{\mathrm{Stat}}=\{\mathrm{Def},\mathrm{Der},\mathrm{Mod},\mathrm{Op},\mathrm{Ax}\}</w:t>
      </w:r>
    </w:p>
    <w:p w:rsidR="00653D5C" w:rsidRDefault="00653D5C" w:rsidP="00653D5C">
      <w:pPr>
        <w:pStyle w:val="StandardWeb"/>
      </w:pPr>
      <w:r>
        <w:t>Dabei stehen die Kürzel für Definition, abgeleitete Aussage, Modellannahme, Operationalisierung und Primäraxiom.</w:t>
      </w:r>
    </w:p>
    <w:p w:rsidR="00653D5C" w:rsidRDefault="00E50336" w:rsidP="00653D5C">
      <w:r>
        <w:pict>
          <v:rect id="_x0000_i4481" style="width:0;height:1.5pt" o:hralign="center" o:hrstd="t" o:hr="t" fillcolor="#a0a0a0" stroked="f"/>
        </w:pict>
      </w:r>
    </w:p>
    <w:p w:rsidR="00653D5C" w:rsidRDefault="00653D5C" w:rsidP="00653D5C">
      <w:pPr>
        <w:pStyle w:val="berschrift1"/>
      </w:pPr>
      <w:r>
        <w:t>3.3.48.312 Objektmenge von Abschnitt 3.3.48</w:t>
      </w:r>
    </w:p>
    <w:p w:rsidR="00653D5C" w:rsidRDefault="00653D5C" w:rsidP="00653D5C">
      <w:pPr>
        <w:pStyle w:val="StandardWeb"/>
      </w:pPr>
      <w:r>
        <w:t>Die Gesamtheit der zu klassifizierenden Theorieobjekte fasse ich als</w:t>
      </w:r>
    </w:p>
    <w:p w:rsidR="00653D5C" w:rsidRDefault="00653D5C" w:rsidP="00653D5C">
      <w:pPr>
        <w:pStyle w:val="berschrift1"/>
      </w:pPr>
      <w:r>
        <w:t>[</w:t>
      </w:r>
      <w:r>
        <w:br/>
        <w:t>\mathcal O_{3.3.48}</w:t>
      </w:r>
    </w:p>
    <w:p w:rsidR="00653D5C" w:rsidRDefault="00653D5C" w:rsidP="00653D5C">
      <w:pPr>
        <w:pStyle w:val="StandardWeb"/>
      </w:pPr>
      <w:r>
        <w:t>{</w:t>
      </w:r>
      <w:r>
        <w:br/>
        <w:t>O_1,\ldots,O_N</w:t>
      </w:r>
      <w:r>
        <w:br/>
        <w:t>}</w:t>
      </w:r>
      <w:r>
        <w:br/>
        <w:t>\tag{3.12428}</w:t>
      </w:r>
      <w:r>
        <w:br/>
        <w:t>]</w:t>
      </w:r>
    </w:p>
    <w:p w:rsidR="00653D5C" w:rsidRDefault="00653D5C" w:rsidP="00653D5C">
      <w:pPr>
        <w:pStyle w:val="StandardWeb"/>
      </w:pPr>
      <w:r>
        <w:rPr>
          <w:rStyle w:val="Fett"/>
        </w:rPr>
        <w:lastRenderedPageBreak/>
        <w:t>Word-LaTeX</w:t>
      </w:r>
    </w:p>
    <w:p w:rsidR="00653D5C" w:rsidRDefault="00653D5C" w:rsidP="00653D5C">
      <w:pPr>
        <w:pStyle w:val="HTMLVorformatiert"/>
        <w:rPr>
          <w:rStyle w:val="HTMLCode"/>
        </w:rPr>
      </w:pPr>
      <w:r>
        <w:rPr>
          <w:rStyle w:val="HTMLCode"/>
        </w:rPr>
        <w:t>\mathcal O_{3.3.48}=\{O_1,\ldots,O_N\}</w:t>
      </w:r>
    </w:p>
    <w:p w:rsidR="00653D5C" w:rsidRDefault="00653D5C" w:rsidP="00653D5C">
      <w:pPr>
        <w:pStyle w:val="StandardWeb"/>
      </w:pPr>
      <w:r>
        <w:t>zusammen.</w:t>
      </w:r>
    </w:p>
    <w:p w:rsidR="00653D5C" w:rsidRDefault="00653D5C" w:rsidP="00653D5C">
      <w:pPr>
        <w:pStyle w:val="StandardWeb"/>
      </w:pPr>
      <w:r>
        <w:t>Für jedes Objekt (O_i) wird eine Statusmenge</w:t>
      </w:r>
    </w:p>
    <w:p w:rsidR="00653D5C" w:rsidRDefault="00653D5C" w:rsidP="00653D5C">
      <w:pPr>
        <w:pStyle w:val="StandardWeb"/>
      </w:pPr>
      <w:r>
        <w:t>[</w:t>
      </w:r>
      <w:r>
        <w:br/>
        <w:t>\mathfrak M_{3.3.48}(O_i)</w:t>
      </w:r>
      <w:r>
        <w:br/>
        <w:t>\subseteq</w:t>
      </w:r>
      <w:r>
        <w:br/>
        <w:t>\mathcal K_{\mathrm{Stat}}</w:t>
      </w:r>
      <w:r>
        <w:br/>
        <w:t>\tag{3.12429}</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M_{3.3.48}(O_i)\subseteq\mathcal K_{\mathrm{Stat}}</w:t>
      </w:r>
    </w:p>
    <w:p w:rsidR="00653D5C" w:rsidRDefault="00653D5C" w:rsidP="00653D5C">
      <w:pPr>
        <w:pStyle w:val="StandardWeb"/>
      </w:pPr>
      <w:r>
        <w:t>zugeordnet.</w:t>
      </w:r>
    </w:p>
    <w:p w:rsidR="00653D5C" w:rsidRDefault="00E50336" w:rsidP="00653D5C">
      <w:r>
        <w:pict>
          <v:rect id="_x0000_i4482" style="width:0;height:1.5pt" o:hralign="center" o:hrstd="t" o:hr="t" fillcolor="#a0a0a0" stroked="f"/>
        </w:pict>
      </w:r>
    </w:p>
    <w:p w:rsidR="00653D5C" w:rsidRDefault="00653D5C" w:rsidP="00653D5C">
      <w:pPr>
        <w:pStyle w:val="berschrift1"/>
      </w:pPr>
      <w:r>
        <w:t>3.3.48.313 Definition 3.3.365 – Endgültige Statusabbildung von Abschnitt 3.3.48</w:t>
      </w:r>
    </w:p>
    <w:p w:rsidR="00653D5C" w:rsidRDefault="00653D5C" w:rsidP="00653D5C">
      <w:pPr>
        <w:pStyle w:val="berschrift3"/>
      </w:pPr>
      <w:r>
        <w:t>Definition 3.3.365</w:t>
      </w:r>
    </w:p>
    <w:p w:rsidR="00653D5C" w:rsidRDefault="00653D5C" w:rsidP="00653D5C">
      <w:pPr>
        <w:pStyle w:val="StandardWeb"/>
      </w:pPr>
      <w:r>
        <w:t xml:space="preserve">Die </w:t>
      </w:r>
      <w:r>
        <w:rPr>
          <w:rStyle w:val="Fett"/>
        </w:rPr>
        <w:t>endgültige Statusabbildung</w:t>
      </w:r>
      <w:r>
        <w:t xml:space="preserve"> von Abschnitt 3.3.48 ist</w:t>
      </w:r>
    </w:p>
    <w:p w:rsidR="00653D5C" w:rsidRDefault="00653D5C" w:rsidP="00653D5C">
      <w:pPr>
        <w:pStyle w:val="StandardWeb"/>
      </w:pPr>
      <w:r>
        <w:t>[</w:t>
      </w:r>
      <w:r>
        <w:br/>
        <w:t>\boxed{</w:t>
      </w:r>
      <w:r>
        <w:br/>
        <w:t>\mathfrak M_{3.3.48}</w:t>
      </w:r>
      <w:r>
        <w:br/>
        <w:t>:</w:t>
      </w:r>
      <w:r>
        <w:br/>
        <w:t>\mathcal O_{3.3.48}</w:t>
      </w:r>
      <w:r>
        <w:br/>
        <w:t>\rightarrow</w:t>
      </w:r>
      <w:r>
        <w:br/>
        <w:t>\mathcal P(\mathcal K_{\mathrm{Stat}}).</w:t>
      </w:r>
      <w:r>
        <w:br/>
        <w:t>}</w:t>
      </w:r>
      <w:r>
        <w:br/>
        <w:t>\tag{3.12430}</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\boxed{\mathfrak M_{3.3.48}:\mathcal O_{3.3.48}\rightarrow\mathcal P(\mathcal K_{\mathrm{Stat}}).}</w:t>
      </w:r>
    </w:p>
    <w:p w:rsidR="00653D5C" w:rsidRDefault="00653D5C" w:rsidP="00653D5C">
      <w:pPr>
        <w:pStyle w:val="StandardWeb"/>
      </w:pPr>
      <w:r>
        <w:t>Sie ordnet jedem in diesem Abschnitt eingeführten Theorieobjekt seinen endgültigen epistemischen und methodischen Status zu.</w:t>
      </w:r>
    </w:p>
    <w:p w:rsidR="00653D5C" w:rsidRDefault="00E50336" w:rsidP="00653D5C">
      <w:r>
        <w:pict>
          <v:rect id="_x0000_i4483" style="width:0;height:1.5pt" o:hralign="center" o:hrstd="t" o:hr="t" fillcolor="#a0a0a0" stroked="f"/>
        </w:pict>
      </w:r>
    </w:p>
    <w:p w:rsidR="00653D5C" w:rsidRDefault="00653D5C" w:rsidP="00653D5C">
      <w:pPr>
        <w:pStyle w:val="berschrift1"/>
      </w:pPr>
      <w:r>
        <w:lastRenderedPageBreak/>
        <w:t>3.3.48.314 Transformationen</w:t>
      </w:r>
    </w:p>
    <w:p w:rsidR="00653D5C" w:rsidRDefault="00653D5C" w:rsidP="00653D5C">
      <w:pPr>
        <w:pStyle w:val="StandardWeb"/>
      </w:pPr>
      <w:r>
        <w:t>Für die Transformationsklasse gilt</w:t>
      </w:r>
    </w:p>
    <w:p w:rsidR="00653D5C" w:rsidRDefault="00653D5C" w:rsidP="00653D5C">
      <w:pPr>
        <w:pStyle w:val="berschrift1"/>
      </w:pPr>
      <w:r>
        <w:t>[</w:t>
      </w:r>
      <w:r>
        <w:br/>
        <w:t>\mathfrak M_{3.3.48}</w:t>
      </w:r>
      <w:r>
        <w:br/>
        <w:t>(\mathcal T_{\mathrm{tr}})</w:t>
      </w:r>
    </w:p>
    <w:p w:rsidR="00653D5C" w:rsidRDefault="00653D5C" w:rsidP="00653D5C">
      <w:pPr>
        <w:pStyle w:val="StandardWeb"/>
      </w:pPr>
      <w:r>
        <w:t>{</w:t>
      </w:r>
      <w:r>
        <w:br/>
        <w:t>\mathrm{Def},</w:t>
      </w:r>
      <w:r>
        <w:br/>
        <w:t>\mathrm{Mod}</w:t>
      </w:r>
      <w:r>
        <w:br/>
        <w:t>}.</w:t>
      </w:r>
      <w:r>
        <w:br/>
        <w:t>\tag{3.12431}</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M_{3.3.48}(\mathcal T_{\mathrm{tr}})=\{\mathrm{Def},\mathrm{Mod}\}</w:t>
      </w:r>
    </w:p>
    <w:p w:rsidR="00653D5C" w:rsidRDefault="00653D5C" w:rsidP="00653D5C">
      <w:pPr>
        <w:pStyle w:val="StandardWeb"/>
      </w:pPr>
      <w:r>
        <w:t>Die konkrete Wahl zulässiger Transformationen ist damit kein Primäraxiom, sondern Bestandteil einer Modellklasse.</w:t>
      </w:r>
    </w:p>
    <w:p w:rsidR="00653D5C" w:rsidRDefault="00E50336" w:rsidP="00653D5C">
      <w:r>
        <w:pict>
          <v:rect id="_x0000_i4484" style="width:0;height:1.5pt" o:hralign="center" o:hrstd="t" o:hr="t" fillcolor="#a0a0a0" stroked="f"/>
        </w:pict>
      </w:r>
    </w:p>
    <w:p w:rsidR="00653D5C" w:rsidRDefault="00653D5C" w:rsidP="00653D5C">
      <w:pPr>
        <w:pStyle w:val="berschrift1"/>
      </w:pPr>
      <w:r>
        <w:t>3.3.48.315 Invarianz</w:t>
      </w:r>
    </w:p>
    <w:p w:rsidR="00653D5C" w:rsidRDefault="00653D5C" w:rsidP="00653D5C">
      <w:pPr>
        <w:pStyle w:val="StandardWeb"/>
      </w:pPr>
      <w:r>
        <w:t>Für funktionale Invarianz gilt</w:t>
      </w:r>
    </w:p>
    <w:p w:rsidR="00653D5C" w:rsidRDefault="00653D5C" w:rsidP="00653D5C">
      <w:pPr>
        <w:pStyle w:val="berschrift1"/>
      </w:pPr>
      <w:r>
        <w:t>[</w:t>
      </w:r>
      <w:r>
        <w:br/>
        <w:t>\mathfrak M_{3.3.48}</w:t>
      </w:r>
      <w:r>
        <w:br/>
        <w:t>(\operatorname{Inv})</w:t>
      </w:r>
    </w:p>
    <w:p w:rsidR="00653D5C" w:rsidRDefault="00653D5C" w:rsidP="00653D5C">
      <w:pPr>
        <w:pStyle w:val="StandardWeb"/>
      </w:pPr>
      <w:r>
        <w:t>{</w:t>
      </w:r>
      <w:r>
        <w:br/>
        <w:t>\mathrm{Def},</w:t>
      </w:r>
      <w:r>
        <w:br/>
        <w:t>\mathrm{Op}</w:t>
      </w:r>
      <w:r>
        <w:br/>
        <w:t>}.</w:t>
      </w:r>
      <w:r>
        <w:br/>
        <w:t>\tag{3.12432}</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M_{3.3.48}(\operatorname{Inv})=\{\mathrm{Def},\mathrm{Op}\}</w:t>
      </w:r>
    </w:p>
    <w:p w:rsidR="00653D5C" w:rsidRDefault="00E50336" w:rsidP="00653D5C">
      <w:r>
        <w:pict>
          <v:rect id="_x0000_i4485" style="width:0;height:1.5pt" o:hralign="center" o:hrstd="t" o:hr="t" fillcolor="#a0a0a0" stroked="f"/>
        </w:pict>
      </w:r>
    </w:p>
    <w:p w:rsidR="00653D5C" w:rsidRDefault="00653D5C" w:rsidP="00653D5C">
      <w:pPr>
        <w:pStyle w:val="berschrift1"/>
      </w:pPr>
      <w:r>
        <w:lastRenderedPageBreak/>
        <w:t>3.3.48.316 Symmetrie</w:t>
      </w:r>
    </w:p>
    <w:p w:rsidR="00653D5C" w:rsidRDefault="00653D5C" w:rsidP="00653D5C">
      <w:pPr>
        <w:pStyle w:val="StandardWeb"/>
      </w:pPr>
      <w:r>
        <w:t>Für funktionale Symmetrie gilt</w:t>
      </w:r>
    </w:p>
    <w:p w:rsidR="00653D5C" w:rsidRDefault="00653D5C" w:rsidP="00653D5C">
      <w:pPr>
        <w:pStyle w:val="berschrift1"/>
      </w:pPr>
      <w:r>
        <w:t>[</w:t>
      </w:r>
      <w:r>
        <w:br/>
        <w:t>\mathfrak M_{3.3.48}</w:t>
      </w:r>
      <w:r>
        <w:br/>
        <w:t>(\operatorname{Sym})</w:t>
      </w:r>
    </w:p>
    <w:p w:rsidR="00653D5C" w:rsidRDefault="00653D5C" w:rsidP="00653D5C">
      <w:pPr>
        <w:pStyle w:val="StandardWeb"/>
      </w:pPr>
      <w:r>
        <w:t>{</w:t>
      </w:r>
      <w:r>
        <w:br/>
        <w:t>\mathrm{Def},</w:t>
      </w:r>
      <w:r>
        <w:br/>
        <w:t>\mathrm{Mod},</w:t>
      </w:r>
      <w:r>
        <w:br/>
        <w:t>\mathrm{Op}</w:t>
      </w:r>
      <w:r>
        <w:br/>
        <w:t>}.</w:t>
      </w:r>
      <w:r>
        <w:br/>
        <w:t>\tag{3.12433}</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M_{3.3.48}(\operatorname{Sym})=\{\mathrm{Def},\mathrm{Mod},\mathrm{Op}\}</w:t>
      </w:r>
    </w:p>
    <w:p w:rsidR="00653D5C" w:rsidRDefault="00E50336" w:rsidP="00653D5C">
      <w:r>
        <w:pict>
          <v:rect id="_x0000_i4486" style="width:0;height:1.5pt" o:hralign="center" o:hrstd="t" o:hr="t" fillcolor="#a0a0a0" stroked="f"/>
        </w:pict>
      </w:r>
    </w:p>
    <w:p w:rsidR="00653D5C" w:rsidRDefault="00653D5C" w:rsidP="00653D5C">
      <w:pPr>
        <w:pStyle w:val="berschrift1"/>
      </w:pPr>
      <w:r>
        <w:t>3.3.48.317 Symmetriegruppe</w:t>
      </w:r>
    </w:p>
    <w:p w:rsidR="00653D5C" w:rsidRDefault="00653D5C" w:rsidP="00653D5C">
      <w:pPr>
        <w:pStyle w:val="StandardWeb"/>
      </w:pPr>
      <w:r>
        <w:t>Für die Gruppe invertierbarer exakter Symmetrien gilt</w:t>
      </w:r>
    </w:p>
    <w:p w:rsidR="00653D5C" w:rsidRDefault="00653D5C" w:rsidP="00653D5C">
      <w:pPr>
        <w:pStyle w:val="berschrift1"/>
      </w:pPr>
      <w:r>
        <w:t>[</w:t>
      </w:r>
      <w:r>
        <w:br/>
        <w:t>\mathfrak M_{3.3.48}</w:t>
      </w:r>
      <w:r>
        <w:br/>
        <w:t>(\operatorname{Sym}^{\times})</w:t>
      </w:r>
    </w:p>
    <w:p w:rsidR="00653D5C" w:rsidRDefault="00653D5C" w:rsidP="00653D5C">
      <w:pPr>
        <w:pStyle w:val="StandardWeb"/>
      </w:pPr>
      <w:r>
        <w:t>{</w:t>
      </w:r>
      <w:r>
        <w:br/>
        <w:t>\mathrm{Def},</w:t>
      </w:r>
      <w:r>
        <w:br/>
        <w:t>\mathrm{Mod},</w:t>
      </w:r>
      <w:r>
        <w:br/>
        <w:t>\mathrm{Der}</w:t>
      </w:r>
      <w:r>
        <w:br/>
        <w:t>}.</w:t>
      </w:r>
      <w:r>
        <w:br/>
        <w:t>\tag{3.12434}</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M_{3.3.48}(\operatorname{Sym}^{\times})=\{\mathrm{Def},\mathrm{Mod},\mathrm{Der}\}</w:t>
      </w:r>
    </w:p>
    <w:p w:rsidR="00653D5C" w:rsidRDefault="00653D5C" w:rsidP="00653D5C">
      <w:pPr>
        <w:pStyle w:val="StandardWeb"/>
      </w:pPr>
      <w:r>
        <w:t>Die Gruppenstruktur folgt dabei mathematisch aus den zuvor festgelegten Eigenschaften.</w:t>
      </w:r>
    </w:p>
    <w:p w:rsidR="00653D5C" w:rsidRDefault="00E50336" w:rsidP="00653D5C">
      <w:r>
        <w:lastRenderedPageBreak/>
        <w:pict>
          <v:rect id="_x0000_i4487" style="width:0;height:1.5pt" o:hralign="center" o:hrstd="t" o:hr="t" fillcolor="#a0a0a0" stroked="f"/>
        </w:pict>
      </w:r>
    </w:p>
    <w:p w:rsidR="00653D5C" w:rsidRDefault="00653D5C" w:rsidP="00653D5C">
      <w:pPr>
        <w:pStyle w:val="berschrift1"/>
      </w:pPr>
      <w:r>
        <w:t>3.3.48.318 Isomorphismen</w:t>
      </w:r>
    </w:p>
    <w:p w:rsidR="00653D5C" w:rsidRDefault="00653D5C" w:rsidP="00653D5C">
      <w:pPr>
        <w:pStyle w:val="StandardWeb"/>
      </w:pPr>
      <w:r>
        <w:t>Für den funktionalen Isomorphismus gilt</w:t>
      </w:r>
    </w:p>
    <w:p w:rsidR="00653D5C" w:rsidRDefault="00653D5C" w:rsidP="00653D5C">
      <w:pPr>
        <w:pStyle w:val="berschrift1"/>
      </w:pPr>
      <w:r>
        <w:t>[</w:t>
      </w:r>
      <w:r>
        <w:br/>
        <w:t>\mathfrak M_{3.3.48}</w:t>
      </w:r>
      <w:r>
        <w:br/>
        <w:t>(\operatorname{Iso})</w:t>
      </w:r>
    </w:p>
    <w:p w:rsidR="00653D5C" w:rsidRDefault="00653D5C" w:rsidP="00653D5C">
      <w:pPr>
        <w:pStyle w:val="StandardWeb"/>
      </w:pPr>
      <w:r>
        <w:t>{</w:t>
      </w:r>
      <w:r>
        <w:br/>
        <w:t>\mathrm{Def},</w:t>
      </w:r>
      <w:r>
        <w:br/>
        <w:t>\mathrm{Mod},</w:t>
      </w:r>
      <w:r>
        <w:br/>
        <w:t>\mathrm{Op}</w:t>
      </w:r>
      <w:r>
        <w:br/>
        <w:t>}.</w:t>
      </w:r>
      <w:r>
        <w:br/>
        <w:t>\tag{3.12435}</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M_{3.3.48}(\operatorname{Iso})=\{\mathrm{Def},\mathrm{Mod},\mathrm{Op}\}</w:t>
      </w:r>
    </w:p>
    <w:p w:rsidR="00653D5C" w:rsidRDefault="00E50336" w:rsidP="00653D5C">
      <w:r>
        <w:pict>
          <v:rect id="_x0000_i4488" style="width:0;height:1.5pt" o:hralign="center" o:hrstd="t" o:hr="t" fillcolor="#a0a0a0" stroked="f"/>
        </w:pict>
      </w:r>
    </w:p>
    <w:p w:rsidR="00653D5C" w:rsidRDefault="00653D5C" w:rsidP="00653D5C">
      <w:pPr>
        <w:pStyle w:val="berschrift1"/>
      </w:pPr>
      <w:r>
        <w:t>3.3.48.319 Automorphismen</w:t>
      </w:r>
    </w:p>
    <w:p w:rsidR="00653D5C" w:rsidRDefault="00653D5C" w:rsidP="00653D5C">
      <w:pPr>
        <w:pStyle w:val="StandardWeb"/>
      </w:pPr>
      <w:r>
        <w:t>Für Automorphismen gilt</w:t>
      </w:r>
    </w:p>
    <w:p w:rsidR="00653D5C" w:rsidRDefault="00653D5C" w:rsidP="00653D5C">
      <w:pPr>
        <w:pStyle w:val="berschrift1"/>
      </w:pPr>
      <w:r>
        <w:t>[</w:t>
      </w:r>
      <w:r>
        <w:br/>
        <w:t>\mathfrak M_{3.3.48}</w:t>
      </w:r>
      <w:r>
        <w:br/>
        <w:t>(\operatorname{Aut})</w:t>
      </w:r>
    </w:p>
    <w:p w:rsidR="00653D5C" w:rsidRDefault="00653D5C" w:rsidP="00653D5C">
      <w:pPr>
        <w:pStyle w:val="StandardWeb"/>
      </w:pPr>
      <w:r>
        <w:t>{</w:t>
      </w:r>
      <w:r>
        <w:br/>
        <w:t>\mathrm{Def},</w:t>
      </w:r>
      <w:r>
        <w:br/>
        <w:t>\mathrm{Mod},</w:t>
      </w:r>
      <w:r>
        <w:br/>
        <w:t>\mathrm{Der}</w:t>
      </w:r>
      <w:r>
        <w:br/>
        <w:t>}.</w:t>
      </w:r>
      <w:r>
        <w:br/>
        <w:t>\tag{3.12436}</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M_{3.3.48}(\operatorname{Aut})=\{\mathrm{Def},\mathrm{Mod},\mathrm{Der}\}</w:t>
      </w:r>
    </w:p>
    <w:p w:rsidR="00653D5C" w:rsidRDefault="00E50336" w:rsidP="00653D5C">
      <w:r>
        <w:pict>
          <v:rect id="_x0000_i4489" style="width:0;height:1.5pt" o:hralign="center" o:hrstd="t" o:hr="t" fillcolor="#a0a0a0" stroked="f"/>
        </w:pict>
      </w:r>
    </w:p>
    <w:p w:rsidR="00653D5C" w:rsidRDefault="00653D5C" w:rsidP="00653D5C">
      <w:pPr>
        <w:pStyle w:val="berschrift1"/>
      </w:pPr>
      <w:r>
        <w:lastRenderedPageBreak/>
        <w:t>3.3.48.320 Kovarianz</w:t>
      </w:r>
    </w:p>
    <w:p w:rsidR="00653D5C" w:rsidRDefault="00653D5C" w:rsidP="00653D5C">
      <w:pPr>
        <w:pStyle w:val="StandardWeb"/>
      </w:pPr>
      <w:r>
        <w:t>Für funktionale Kovarianz gilt</w:t>
      </w:r>
    </w:p>
    <w:p w:rsidR="00653D5C" w:rsidRDefault="00653D5C" w:rsidP="00653D5C">
      <w:pPr>
        <w:pStyle w:val="berschrift1"/>
      </w:pPr>
      <w:r>
        <w:t>[</w:t>
      </w:r>
      <w:r>
        <w:br/>
        <w:t>\mathfrak M_{3.3.48}</w:t>
      </w:r>
      <w:r>
        <w:br/>
        <w:t>(\operatorname{Cov})</w:t>
      </w:r>
    </w:p>
    <w:p w:rsidR="00653D5C" w:rsidRDefault="00653D5C" w:rsidP="00653D5C">
      <w:pPr>
        <w:pStyle w:val="StandardWeb"/>
      </w:pPr>
      <w:r>
        <w:t>{</w:t>
      </w:r>
      <w:r>
        <w:br/>
        <w:t>\mathrm{Def},</w:t>
      </w:r>
      <w:r>
        <w:br/>
        <w:t>\mathrm{Mod},</w:t>
      </w:r>
      <w:r>
        <w:br/>
        <w:t>\mathrm{Op}</w:t>
      </w:r>
      <w:r>
        <w:br/>
        <w:t>}.</w:t>
      </w:r>
      <w:r>
        <w:br/>
        <w:t>\tag{3.12437}</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M_{3.3.48}(\operatorname{Cov})=\{\mathrm{Def},\mathrm{Mod},\mathrm{Op}\}</w:t>
      </w:r>
    </w:p>
    <w:p w:rsidR="00653D5C" w:rsidRDefault="00E50336" w:rsidP="00653D5C">
      <w:r>
        <w:pict>
          <v:rect id="_x0000_i4490" style="width:0;height:1.5pt" o:hralign="center" o:hrstd="t" o:hr="t" fillcolor="#a0a0a0" stroked="f"/>
        </w:pict>
      </w:r>
    </w:p>
    <w:p w:rsidR="00653D5C" w:rsidRDefault="00653D5C" w:rsidP="00653D5C">
      <w:pPr>
        <w:pStyle w:val="berschrift1"/>
      </w:pPr>
      <w:r>
        <w:t>3.3.48.321 Äquivarianz</w:t>
      </w:r>
    </w:p>
    <w:p w:rsidR="00653D5C" w:rsidRDefault="00653D5C" w:rsidP="00653D5C">
      <w:pPr>
        <w:pStyle w:val="StandardWeb"/>
      </w:pPr>
      <w:r>
        <w:t>Für funktionale Äquivarianz gilt</w:t>
      </w:r>
    </w:p>
    <w:p w:rsidR="00653D5C" w:rsidRDefault="00653D5C" w:rsidP="00653D5C">
      <w:pPr>
        <w:pStyle w:val="berschrift1"/>
      </w:pPr>
      <w:r>
        <w:t>[</w:t>
      </w:r>
      <w:r>
        <w:br/>
        <w:t>\mathfrak M_{3.3.48}</w:t>
      </w:r>
      <w:r>
        <w:br/>
        <w:t>(\operatorname{Eqv})</w:t>
      </w:r>
    </w:p>
    <w:p w:rsidR="00653D5C" w:rsidRDefault="00653D5C" w:rsidP="00653D5C">
      <w:pPr>
        <w:pStyle w:val="StandardWeb"/>
      </w:pPr>
      <w:r>
        <w:t>{</w:t>
      </w:r>
      <w:r>
        <w:br/>
        <w:t>\mathrm{Def},</w:t>
      </w:r>
      <w:r>
        <w:br/>
        <w:t>\mathrm{Mod},</w:t>
      </w:r>
      <w:r>
        <w:br/>
        <w:t>\mathrm{Op}</w:t>
      </w:r>
      <w:r>
        <w:br/>
        <w:t>}.</w:t>
      </w:r>
      <w:r>
        <w:br/>
        <w:t>\tag{3.12438}</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M_{3.3.48}(\operatorname{Eqv})=\{\mathrm{Def},\mathrm{Mod},\mathrm{Op}\}</w:t>
      </w:r>
    </w:p>
    <w:p w:rsidR="00653D5C" w:rsidRDefault="00E50336" w:rsidP="00653D5C">
      <w:r>
        <w:pict>
          <v:rect id="_x0000_i4491" style="width:0;height:1.5pt" o:hralign="center" o:hrstd="t" o:hr="t" fillcolor="#a0a0a0" stroked="f"/>
        </w:pict>
      </w:r>
    </w:p>
    <w:p w:rsidR="00653D5C" w:rsidRDefault="00653D5C" w:rsidP="00653D5C">
      <w:pPr>
        <w:pStyle w:val="berschrift1"/>
      </w:pPr>
      <w:r>
        <w:t>3.3.48.322 Gruppenrepräsentationen</w:t>
      </w:r>
    </w:p>
    <w:p w:rsidR="00653D5C" w:rsidRDefault="00653D5C" w:rsidP="00653D5C">
      <w:pPr>
        <w:pStyle w:val="StandardWeb"/>
      </w:pPr>
      <w:r>
        <w:lastRenderedPageBreak/>
        <w:t>Für eine funktionale Gruppenrepräsentation gilt</w:t>
      </w:r>
    </w:p>
    <w:p w:rsidR="00653D5C" w:rsidRDefault="00653D5C" w:rsidP="00653D5C">
      <w:pPr>
        <w:pStyle w:val="berschrift1"/>
      </w:pPr>
      <w:r>
        <w:t>[</w:t>
      </w:r>
      <w:r>
        <w:br/>
        <w:t>\mathfrak M_{3.3.48}</w:t>
      </w:r>
      <w:r>
        <w:br/>
        <w:t>(\rho)</w:t>
      </w:r>
    </w:p>
    <w:p w:rsidR="00653D5C" w:rsidRDefault="00653D5C" w:rsidP="00653D5C">
      <w:pPr>
        <w:pStyle w:val="StandardWeb"/>
      </w:pPr>
      <w:r>
        <w:t>{</w:t>
      </w:r>
      <w:r>
        <w:br/>
        <w:t>\mathrm{Def},</w:t>
      </w:r>
      <w:r>
        <w:br/>
        <w:t>\mathrm{Mod}</w:t>
      </w:r>
      <w:r>
        <w:br/>
        <w:t>}.</w:t>
      </w:r>
      <w:r>
        <w:br/>
        <w:t>\tag{3.12439}</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M_{3.3.48}(\rho)=\{\mathrm{Def},\mathrm{Mod}\}</w:t>
      </w:r>
    </w:p>
    <w:p w:rsidR="00653D5C" w:rsidRDefault="00E50336" w:rsidP="00653D5C">
      <w:r>
        <w:pict>
          <v:rect id="_x0000_i4492" style="width:0;height:1.5pt" o:hralign="center" o:hrstd="t" o:hr="t" fillcolor="#a0a0a0" stroked="f"/>
        </w:pict>
      </w:r>
    </w:p>
    <w:p w:rsidR="00653D5C" w:rsidRDefault="00653D5C" w:rsidP="00653D5C">
      <w:pPr>
        <w:pStyle w:val="berschrift1"/>
      </w:pPr>
      <w:r>
        <w:t>3.3.48.323 Konjugation</w:t>
      </w:r>
    </w:p>
    <w:p w:rsidR="00653D5C" w:rsidRDefault="00653D5C" w:rsidP="00653D5C">
      <w:pPr>
        <w:pStyle w:val="StandardWeb"/>
      </w:pPr>
      <w:r>
        <w:t>Für die Konjugationsrelation gilt</w:t>
      </w:r>
    </w:p>
    <w:p w:rsidR="00653D5C" w:rsidRDefault="00653D5C" w:rsidP="00653D5C">
      <w:pPr>
        <w:pStyle w:val="berschrift1"/>
      </w:pPr>
      <w:r>
        <w:t>[</w:t>
      </w:r>
      <w:r>
        <w:br/>
        <w:t>\mathfrak M_{3.3.48}</w:t>
      </w:r>
      <w:r>
        <w:br/>
        <w:t>(\operatorname{Conj})</w:t>
      </w:r>
    </w:p>
    <w:p w:rsidR="00653D5C" w:rsidRDefault="00653D5C" w:rsidP="00653D5C">
      <w:pPr>
        <w:pStyle w:val="StandardWeb"/>
      </w:pPr>
      <w:r>
        <w:t>{</w:t>
      </w:r>
      <w:r>
        <w:br/>
        <w:t>\mathrm{Def},</w:t>
      </w:r>
      <w:r>
        <w:br/>
        <w:t>\mathrm{Der}</w:t>
      </w:r>
      <w:r>
        <w:br/>
        <w:t>}.</w:t>
      </w:r>
      <w:r>
        <w:br/>
        <w:t>\tag{3.12440}</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M_{3.3.48}(\operatorname{Conj})=\{\mathrm{Def},\mathrm{Der}\}</w:t>
      </w:r>
    </w:p>
    <w:p w:rsidR="00653D5C" w:rsidRDefault="00E50336" w:rsidP="00653D5C">
      <w:r>
        <w:pict>
          <v:rect id="_x0000_i4493" style="width:0;height:1.5pt" o:hralign="center" o:hrstd="t" o:hr="t" fillcolor="#a0a0a0" stroked="f"/>
        </w:pict>
      </w:r>
    </w:p>
    <w:p w:rsidR="00653D5C" w:rsidRDefault="00653D5C" w:rsidP="00653D5C">
      <w:pPr>
        <w:pStyle w:val="berschrift1"/>
      </w:pPr>
      <w:r>
        <w:t>3.3.48.324 Symmetriequotient</w:t>
      </w:r>
    </w:p>
    <w:p w:rsidR="00653D5C" w:rsidRDefault="00653D5C" w:rsidP="00653D5C">
      <w:pPr>
        <w:pStyle w:val="StandardWeb"/>
      </w:pPr>
      <w:r>
        <w:t>Für den Quotientenraum gilt</w:t>
      </w:r>
    </w:p>
    <w:p w:rsidR="00653D5C" w:rsidRDefault="00653D5C" w:rsidP="00653D5C">
      <w:pPr>
        <w:pStyle w:val="berschrift1"/>
      </w:pPr>
      <w:r>
        <w:lastRenderedPageBreak/>
        <w:t>[</w:t>
      </w:r>
      <w:r>
        <w:br/>
        <w:t>\mathfrak M_{3.3.48}</w:t>
      </w:r>
      <w:r>
        <w:br/>
        <w:t>(\Omega_F/G)</w:t>
      </w:r>
    </w:p>
    <w:p w:rsidR="00653D5C" w:rsidRDefault="00653D5C" w:rsidP="00653D5C">
      <w:pPr>
        <w:pStyle w:val="StandardWeb"/>
      </w:pPr>
      <w:r>
        <w:t>{</w:t>
      </w:r>
      <w:r>
        <w:br/>
        <w:t>\mathrm{Def},</w:t>
      </w:r>
      <w:r>
        <w:br/>
        <w:t>\mathrm{Mod}</w:t>
      </w:r>
      <w:r>
        <w:br/>
        <w:t>}.</w:t>
      </w:r>
      <w:r>
        <w:br/>
        <w:t>\tag{3.12441}</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M_{3.3.48}(\Omega_F/G)=\{\mathrm{Def},\mathrm{Mod}\}</w:t>
      </w:r>
    </w:p>
    <w:p w:rsidR="00653D5C" w:rsidRDefault="00E50336" w:rsidP="00653D5C">
      <w:r>
        <w:pict>
          <v:rect id="_x0000_i4494" style="width:0;height:1.5pt" o:hralign="center" o:hrstd="t" o:hr="t" fillcolor="#a0a0a0" stroked="f"/>
        </w:pict>
      </w:r>
    </w:p>
    <w:p w:rsidR="00653D5C" w:rsidRDefault="00653D5C" w:rsidP="00653D5C">
      <w:pPr>
        <w:pStyle w:val="berschrift1"/>
      </w:pPr>
      <w:r>
        <w:t>3.3.48.325 Symmetriereduktion</w:t>
      </w:r>
    </w:p>
    <w:p w:rsidR="00653D5C" w:rsidRDefault="00653D5C" w:rsidP="00653D5C">
      <w:pPr>
        <w:pStyle w:val="StandardWeb"/>
      </w:pPr>
      <w:r>
        <w:t>Für die Quotientenabbildung gilt</w:t>
      </w:r>
    </w:p>
    <w:p w:rsidR="00653D5C" w:rsidRDefault="00653D5C" w:rsidP="00653D5C">
      <w:pPr>
        <w:pStyle w:val="berschrift1"/>
      </w:pPr>
      <w:r>
        <w:t>[</w:t>
      </w:r>
      <w:r>
        <w:br/>
        <w:t>\mathfrak M_{3.3.48}</w:t>
      </w:r>
      <w:r>
        <w:br/>
        <w:t>(\mathcal R_G)</w:t>
      </w:r>
    </w:p>
    <w:p w:rsidR="00653D5C" w:rsidRDefault="00653D5C" w:rsidP="00653D5C">
      <w:pPr>
        <w:pStyle w:val="StandardWeb"/>
      </w:pPr>
      <w:r>
        <w:t>{</w:t>
      </w:r>
      <w:r>
        <w:br/>
        <w:t>\mathrm{Def},</w:t>
      </w:r>
      <w:r>
        <w:br/>
        <w:t>\mathrm{Mod},</w:t>
      </w:r>
      <w:r>
        <w:br/>
        <w:t>\mathrm{Op}</w:t>
      </w:r>
      <w:r>
        <w:br/>
        <w:t>}.</w:t>
      </w:r>
      <w:r>
        <w:br/>
        <w:t>\tag{3.12442}</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M_{3.3.48}(\mathcal R_G)=\{\mathrm{Def},\mathrm{Mod},\mathrm{Op}\}</w:t>
      </w:r>
    </w:p>
    <w:p w:rsidR="00653D5C" w:rsidRDefault="00E50336" w:rsidP="00653D5C">
      <w:r>
        <w:pict>
          <v:rect id="_x0000_i4495" style="width:0;height:1.5pt" o:hralign="center" o:hrstd="t" o:hr="t" fillcolor="#a0a0a0" stroked="f"/>
        </w:pict>
      </w:r>
    </w:p>
    <w:p w:rsidR="00653D5C" w:rsidRDefault="00653D5C" w:rsidP="00653D5C">
      <w:pPr>
        <w:pStyle w:val="berschrift1"/>
      </w:pPr>
      <w:r>
        <w:t>3.3.48.326 Beobachtungsäquivalenz</w:t>
      </w:r>
    </w:p>
    <w:p w:rsidR="00653D5C" w:rsidRDefault="00653D5C" w:rsidP="00653D5C">
      <w:pPr>
        <w:pStyle w:val="StandardWeb"/>
      </w:pPr>
      <w:r>
        <w:t>Für die Beobachtungsäquivalenz von Zuständen gilt</w:t>
      </w:r>
    </w:p>
    <w:p w:rsidR="00653D5C" w:rsidRDefault="00653D5C" w:rsidP="00653D5C">
      <w:pPr>
        <w:pStyle w:val="berschrift1"/>
      </w:pPr>
      <w:r>
        <w:lastRenderedPageBreak/>
        <w:t>[</w:t>
      </w:r>
      <w:r>
        <w:br/>
        <w:t>\mathfrak M_{3.3.48}</w:t>
      </w:r>
      <w:r>
        <w:br/>
        <w:t>(\sim_{\mathcal B})</w:t>
      </w:r>
    </w:p>
    <w:p w:rsidR="00653D5C" w:rsidRDefault="00653D5C" w:rsidP="00653D5C">
      <w:pPr>
        <w:pStyle w:val="StandardWeb"/>
      </w:pPr>
      <w:r>
        <w:t>{</w:t>
      </w:r>
      <w:r>
        <w:br/>
        <w:t>\mathrm{Def},</w:t>
      </w:r>
      <w:r>
        <w:br/>
        <w:t>\mathrm{Op}</w:t>
      </w:r>
      <w:r>
        <w:br/>
        <w:t>}.</w:t>
      </w:r>
      <w:r>
        <w:br/>
        <w:t>\tag{3.12443}</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M_{3.3.48}(\sim_{\mathcal B})=\{\mathrm{Def},\mathrm{Op}\}</w:t>
      </w:r>
    </w:p>
    <w:p w:rsidR="00653D5C" w:rsidRDefault="00E50336" w:rsidP="00653D5C">
      <w:r>
        <w:pict>
          <v:rect id="_x0000_i4496" style="width:0;height:1.5pt" o:hralign="center" o:hrstd="t" o:hr="t" fillcolor="#a0a0a0" stroked="f"/>
        </w:pict>
      </w:r>
    </w:p>
    <w:p w:rsidR="00653D5C" w:rsidRDefault="00653D5C" w:rsidP="00653D5C">
      <w:pPr>
        <w:pStyle w:val="berschrift1"/>
      </w:pPr>
      <w:r>
        <w:t>3.3.48.327 Beobachtungsquotient</w:t>
      </w:r>
    </w:p>
    <w:p w:rsidR="00653D5C" w:rsidRDefault="00653D5C" w:rsidP="00653D5C">
      <w:pPr>
        <w:pStyle w:val="StandardWeb"/>
      </w:pPr>
      <w:r>
        <w:t>Für den Beobachtungsquotienten gilt</w:t>
      </w:r>
    </w:p>
    <w:p w:rsidR="00653D5C" w:rsidRDefault="00653D5C" w:rsidP="00653D5C">
      <w:pPr>
        <w:pStyle w:val="berschrift1"/>
      </w:pPr>
      <w:r>
        <w:t>[</w:t>
      </w:r>
      <w:r>
        <w:br/>
        <w:t>\mathfrak M_{3.3.48}</w:t>
      </w:r>
      <w:r>
        <w:br/>
        <w:t>(\Omega_F/{\sim_{\mathcal B}})</w:t>
      </w:r>
    </w:p>
    <w:p w:rsidR="00653D5C" w:rsidRDefault="00653D5C" w:rsidP="00653D5C">
      <w:pPr>
        <w:pStyle w:val="StandardWeb"/>
      </w:pPr>
      <w:r>
        <w:t>{</w:t>
      </w:r>
      <w:r>
        <w:br/>
        <w:t>\mathrm{Def},</w:t>
      </w:r>
      <w:r>
        <w:br/>
        <w:t>\mathrm{Mod}</w:t>
      </w:r>
      <w:r>
        <w:br/>
        <w:t>}.</w:t>
      </w:r>
      <w:r>
        <w:br/>
        <w:t>\tag{3.12444}</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M_{3.3.48}(\Omega_F/{\sim_{\mathcal B}})=\{\mathrm{Def},\mathrm{Mod}\}</w:t>
      </w:r>
    </w:p>
    <w:p w:rsidR="00653D5C" w:rsidRDefault="00E50336" w:rsidP="00653D5C">
      <w:r>
        <w:pict>
          <v:rect id="_x0000_i4497" style="width:0;height:1.5pt" o:hralign="center" o:hrstd="t" o:hr="t" fillcolor="#a0a0a0" stroked="f"/>
        </w:pict>
      </w:r>
    </w:p>
    <w:p w:rsidR="00653D5C" w:rsidRDefault="00653D5C" w:rsidP="00653D5C">
      <w:pPr>
        <w:pStyle w:val="berschrift1"/>
      </w:pPr>
      <w:r>
        <w:t>3.3.48.328 Rekonstruktionsabbildung</w:t>
      </w:r>
    </w:p>
    <w:p w:rsidR="00653D5C" w:rsidRDefault="00653D5C" w:rsidP="00653D5C">
      <w:pPr>
        <w:pStyle w:val="StandardWeb"/>
      </w:pPr>
      <w:r>
        <w:t>Für die Rekonstruktionsabbildung gilt</w:t>
      </w:r>
    </w:p>
    <w:p w:rsidR="00653D5C" w:rsidRDefault="00653D5C" w:rsidP="00653D5C">
      <w:pPr>
        <w:pStyle w:val="berschrift1"/>
      </w:pPr>
      <w:r>
        <w:lastRenderedPageBreak/>
        <w:t>[</w:t>
      </w:r>
      <w:r>
        <w:br/>
        <w:t>\mathfrak M_{3.3.48}</w:t>
      </w:r>
      <w:r>
        <w:br/>
        <w:t>(\mathcal R_F)</w:t>
      </w:r>
    </w:p>
    <w:p w:rsidR="00653D5C" w:rsidRDefault="00653D5C" w:rsidP="00653D5C">
      <w:pPr>
        <w:pStyle w:val="StandardWeb"/>
      </w:pPr>
      <w:r>
        <w:t>{</w:t>
      </w:r>
      <w:r>
        <w:br/>
        <w:t>\mathrm{Def},</w:t>
      </w:r>
      <w:r>
        <w:br/>
        <w:t>\mathrm{Mod},</w:t>
      </w:r>
      <w:r>
        <w:br/>
        <w:t>\mathrm{Op}</w:t>
      </w:r>
      <w:r>
        <w:br/>
        <w:t>}.</w:t>
      </w:r>
      <w:r>
        <w:br/>
        <w:t>\tag{3.12445}</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M_{3.3.48}(\mathcal R_F)=\{\mathrm{Def},\mathrm{Mod},\mathrm{Op}\}</w:t>
      </w:r>
    </w:p>
    <w:p w:rsidR="00653D5C" w:rsidRDefault="00E50336" w:rsidP="00653D5C">
      <w:r>
        <w:pict>
          <v:rect id="_x0000_i4498" style="width:0;height:1.5pt" o:hralign="center" o:hrstd="t" o:hr="t" fillcolor="#a0a0a0" stroked="f"/>
        </w:pict>
      </w:r>
    </w:p>
    <w:p w:rsidR="00653D5C" w:rsidRDefault="00653D5C" w:rsidP="00653D5C">
      <w:pPr>
        <w:pStyle w:val="berschrift1"/>
      </w:pPr>
      <w:r>
        <w:t>3.3.48.329 Rekonstruktion modulo Symmetrie</w:t>
      </w:r>
    </w:p>
    <w:p w:rsidR="00653D5C" w:rsidRDefault="00653D5C" w:rsidP="00653D5C">
      <w:pPr>
        <w:pStyle w:val="StandardWeb"/>
      </w:pPr>
      <w:r>
        <w:t>Für die Rekonstruktion modulo (G) gilt</w:t>
      </w:r>
    </w:p>
    <w:p w:rsidR="00653D5C" w:rsidRDefault="00653D5C" w:rsidP="00653D5C">
      <w:pPr>
        <w:pStyle w:val="berschrift1"/>
      </w:pPr>
      <w:r>
        <w:t>[</w:t>
      </w:r>
      <w:r>
        <w:br/>
        <w:t>\mathfrak M_{3.3.48}</w:t>
      </w:r>
      <w:r>
        <w:br/>
        <w:t>(\operatorname{Rec}_G)</w:t>
      </w:r>
    </w:p>
    <w:p w:rsidR="00653D5C" w:rsidRDefault="00653D5C" w:rsidP="00653D5C">
      <w:pPr>
        <w:pStyle w:val="StandardWeb"/>
      </w:pPr>
      <w:r>
        <w:t>{</w:t>
      </w:r>
      <w:r>
        <w:br/>
        <w:t>\mathrm{Def},</w:t>
      </w:r>
      <w:r>
        <w:br/>
        <w:t>\mathrm{Mod},</w:t>
      </w:r>
      <w:r>
        <w:br/>
        <w:t>\mathrm{Op}</w:t>
      </w:r>
      <w:r>
        <w:br/>
        <w:t>}.</w:t>
      </w:r>
      <w:r>
        <w:br/>
        <w:t>\tag{3.12446}</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M_{3.3.48}(\operatorname{Rec}_G)=\{\mathrm{Def},\mathrm{Mod},\mathrm{Op}\}</w:t>
      </w:r>
    </w:p>
    <w:p w:rsidR="00653D5C" w:rsidRDefault="00E50336" w:rsidP="00653D5C">
      <w:r>
        <w:pict>
          <v:rect id="_x0000_i4499" style="width:0;height:1.5pt" o:hralign="center" o:hrstd="t" o:hr="t" fillcolor="#a0a0a0" stroked="f"/>
        </w:pict>
      </w:r>
    </w:p>
    <w:p w:rsidR="00653D5C" w:rsidRDefault="00653D5C" w:rsidP="00653D5C">
      <w:pPr>
        <w:pStyle w:val="berschrift1"/>
      </w:pPr>
      <w:r>
        <w:t>3.3.48.330 Repräsentantenauswahl</w:t>
      </w:r>
    </w:p>
    <w:p w:rsidR="00653D5C" w:rsidRDefault="00653D5C" w:rsidP="00653D5C">
      <w:pPr>
        <w:pStyle w:val="StandardWeb"/>
      </w:pPr>
      <w:r>
        <w:t>Für</w:t>
      </w:r>
    </w:p>
    <w:p w:rsidR="00653D5C" w:rsidRDefault="00653D5C" w:rsidP="00653D5C">
      <w:pPr>
        <w:pStyle w:val="StandardWeb"/>
      </w:pPr>
      <w:r>
        <w:t>[</w:t>
      </w:r>
      <w:r>
        <w:br/>
        <w:t>\Gamma:</w:t>
      </w:r>
      <w:r>
        <w:br/>
      </w:r>
      <w:r>
        <w:lastRenderedPageBreak/>
        <w:t>\Omega_F/G</w:t>
      </w:r>
      <w:r>
        <w:br/>
        <w:t>\rightarrow</w:t>
      </w:r>
      <w:r>
        <w:br/>
        <w:t>\Omega_F</w:t>
      </w:r>
      <w:r>
        <w:br/>
        <w:t>\tag{3.12447}</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\Gamma:\Omega_F/G\rightarrow\Omega_F</w:t>
      </w:r>
    </w:p>
    <w:p w:rsidR="00653D5C" w:rsidRDefault="00653D5C" w:rsidP="00653D5C">
      <w:pPr>
        <w:pStyle w:val="StandardWeb"/>
      </w:pPr>
      <w:r>
        <w:t>gilt</w:t>
      </w:r>
    </w:p>
    <w:p w:rsidR="00653D5C" w:rsidRDefault="00653D5C" w:rsidP="00653D5C">
      <w:pPr>
        <w:pStyle w:val="berschrift1"/>
      </w:pPr>
      <w:r>
        <w:t>[</w:t>
      </w:r>
      <w:r>
        <w:br/>
        <w:t>\mathfrak M_{3.3.48}</w:t>
      </w:r>
      <w:r>
        <w:br/>
        <w:t>(\Gamma)</w:t>
      </w:r>
    </w:p>
    <w:p w:rsidR="00653D5C" w:rsidRDefault="00653D5C" w:rsidP="00653D5C">
      <w:pPr>
        <w:pStyle w:val="StandardWeb"/>
      </w:pPr>
      <w:r>
        <w:t>{</w:t>
      </w:r>
      <w:r>
        <w:br/>
        <w:t>\mathrm{Def},</w:t>
      </w:r>
      <w:r>
        <w:br/>
        <w:t>\mathrm{Mod}</w:t>
      </w:r>
      <w:r>
        <w:br/>
        <w:t>}.</w:t>
      </w:r>
      <w:r>
        <w:br/>
        <w:t>\tag{3.12448}</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M_{3.3.48}(\Gamma)=\{\mathrm{Def},\mathrm{Mod}\}</w:t>
      </w:r>
    </w:p>
    <w:p w:rsidR="00653D5C" w:rsidRDefault="00E50336" w:rsidP="00653D5C">
      <w:r>
        <w:pict>
          <v:rect id="_x0000_i4500" style="width:0;height:1.5pt" o:hralign="center" o:hrstd="t" o:hr="t" fillcolor="#a0a0a0" stroked="f"/>
        </w:pict>
      </w:r>
    </w:p>
    <w:p w:rsidR="00653D5C" w:rsidRDefault="00653D5C" w:rsidP="00653D5C">
      <w:pPr>
        <w:pStyle w:val="berschrift1"/>
      </w:pPr>
      <w:r>
        <w:t>3.3.48.331 Residualgrößen</w:t>
      </w:r>
    </w:p>
    <w:p w:rsidR="00653D5C" w:rsidRDefault="00653D5C" w:rsidP="00653D5C">
      <w:pPr>
        <w:pStyle w:val="StandardWeb"/>
      </w:pPr>
      <w:r>
        <w:t>Für die eingeführten Residual- und Defektgrößen</w:t>
      </w:r>
    </w:p>
    <w:p w:rsidR="00653D5C" w:rsidRDefault="00653D5C" w:rsidP="00653D5C">
      <w:pPr>
        <w:pStyle w:val="StandardWeb"/>
      </w:pPr>
      <w:r>
        <w:t>[</w:t>
      </w:r>
      <w:r>
        <w:br/>
        <w:t>R_{\mathrm{inv}},</w:t>
      </w:r>
      <w:r>
        <w:br/>
        <w:t>R_{\mathrm{eq}},</w:t>
      </w:r>
      <w:r>
        <w:br/>
        <w:t>R_{\mathrm{cov}},</w:t>
      </w:r>
      <w:r>
        <w:br/>
        <w:t>R_{\mathrm{op}}^{\mathrm{eq}},</w:t>
      </w:r>
      <w:r>
        <w:br/>
        <w:t>R_{\mathrm{rec}},</w:t>
      </w:r>
      <w:r>
        <w:br/>
        <w:t>D_{\mathrm{sym}},</w:t>
      </w:r>
      <w:r>
        <w:br/>
        <w:t>D_{\mathrm{rec}}^{G}</w:t>
      </w:r>
      <w:r>
        <w:br/>
        <w:t>\tag{3.12449}</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R_{\mathrm{inv}},R_{\mathrm{eq}},R_{\mathrm{cov}},R_{\mathrm{op}}^{\mathrm{eq}},R_{\mathrm{rec}},D_{\mathrm{sym}},D_{\mathrm{rec}}^{G}</w:t>
      </w:r>
    </w:p>
    <w:p w:rsidR="00653D5C" w:rsidRDefault="00653D5C" w:rsidP="00653D5C">
      <w:pPr>
        <w:pStyle w:val="StandardWeb"/>
      </w:pPr>
      <w:r>
        <w:t>gilt zusammenfassend</w:t>
      </w:r>
    </w:p>
    <w:p w:rsidR="00653D5C" w:rsidRDefault="00653D5C" w:rsidP="00653D5C">
      <w:pPr>
        <w:pStyle w:val="berschrift1"/>
      </w:pPr>
      <w:r>
        <w:lastRenderedPageBreak/>
        <w:t>[</w:t>
      </w:r>
      <w:r>
        <w:br/>
        <w:t>\boxed{</w:t>
      </w:r>
      <w:r>
        <w:br/>
        <w:t>\mathfrak M_{3.3.48}</w:t>
      </w:r>
      <w:r>
        <w:br/>
        <w:t>(R)</w:t>
      </w:r>
    </w:p>
    <w:p w:rsidR="00653D5C" w:rsidRDefault="00653D5C" w:rsidP="00653D5C">
      <w:pPr>
        <w:pStyle w:val="StandardWeb"/>
      </w:pPr>
      <w:r>
        <w:t>{</w:t>
      </w:r>
      <w:r>
        <w:br/>
        <w:t>\mathrm{Def},</w:t>
      </w:r>
      <w:r>
        <w:br/>
        <w:t>\mathrm{Mod},</w:t>
      </w:r>
      <w:r>
        <w:br/>
        <w:t>\mathrm{Op}</w:t>
      </w:r>
      <w:r>
        <w:br/>
        <w:t>}.</w:t>
      </w:r>
      <w:r>
        <w:br/>
        <w:t>}</w:t>
      </w:r>
      <w:r>
        <w:br/>
        <w:t>\tag{3.12450}</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\boxed{\mathfrak M_{3.3.48}(R)=\{\mathrm{Def},\mathrm{Mod},\mathrm{Op}\}.}</w:t>
      </w:r>
    </w:p>
    <w:p w:rsidR="00653D5C" w:rsidRDefault="00E50336" w:rsidP="00653D5C">
      <w:r>
        <w:pict>
          <v:rect id="_x0000_i4501" style="width:0;height:1.5pt" o:hralign="center" o:hrstd="t" o:hr="t" fillcolor="#a0a0a0" stroked="f"/>
        </w:pict>
      </w:r>
    </w:p>
    <w:p w:rsidR="00653D5C" w:rsidRDefault="00653D5C" w:rsidP="00653D5C">
      <w:pPr>
        <w:pStyle w:val="berschrift1"/>
      </w:pPr>
      <w:r>
        <w:t>3.3.48.332 Nichtbeobachtbarkeitsräume</w:t>
      </w:r>
    </w:p>
    <w:p w:rsidR="00653D5C" w:rsidRDefault="00653D5C" w:rsidP="00653D5C">
      <w:pPr>
        <w:pStyle w:val="StandardWeb"/>
      </w:pPr>
      <w:r>
        <w:t>Für den lokalen Nichtbeobachtbarkeitsraum gilt</w:t>
      </w:r>
    </w:p>
    <w:p w:rsidR="00653D5C" w:rsidRDefault="00653D5C" w:rsidP="00653D5C">
      <w:pPr>
        <w:pStyle w:val="berschrift1"/>
      </w:pPr>
      <w:r>
        <w:t>[</w:t>
      </w:r>
      <w:r>
        <w:br/>
        <w:t>\mathfrak M_{3.3.48}</w:t>
      </w:r>
      <w:r>
        <w:br/>
        <w:t>(\mathcal N_{\mathrm{obs}})</w:t>
      </w:r>
    </w:p>
    <w:p w:rsidR="00653D5C" w:rsidRDefault="00653D5C" w:rsidP="00653D5C">
      <w:pPr>
        <w:pStyle w:val="StandardWeb"/>
      </w:pPr>
      <w:r>
        <w:t>{</w:t>
      </w:r>
      <w:r>
        <w:br/>
        <w:t>\mathrm{Def},</w:t>
      </w:r>
      <w:r>
        <w:br/>
        <w:t>\mathrm{Mod},</w:t>
      </w:r>
      <w:r>
        <w:br/>
        <w:t>\mathrm{Op}</w:t>
      </w:r>
      <w:r>
        <w:br/>
        <w:t>}.</w:t>
      </w:r>
      <w:r>
        <w:br/>
        <w:t>\tag{3.12451}</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M_{3.3.48}(\mathcal N_{\mathrm{obs}})=\{\mathrm{Def},\mathrm{Mod},\mathrm{Op}\}</w:t>
      </w:r>
    </w:p>
    <w:p w:rsidR="00653D5C" w:rsidRDefault="00653D5C" w:rsidP="00653D5C">
      <w:pPr>
        <w:pStyle w:val="StandardWeb"/>
      </w:pPr>
      <w:r>
        <w:t>Für den symmetriebedingten Unterraum gilt</w:t>
      </w:r>
    </w:p>
    <w:p w:rsidR="00653D5C" w:rsidRDefault="00653D5C" w:rsidP="00653D5C">
      <w:pPr>
        <w:pStyle w:val="berschrift1"/>
      </w:pPr>
      <w:r>
        <w:lastRenderedPageBreak/>
        <w:t>[</w:t>
      </w:r>
      <w:r>
        <w:br/>
        <w:t>\mathfrak M_{3.3.48}</w:t>
      </w:r>
      <w:r>
        <w:br/>
        <w:t>(\mathcal N_{\mathrm{sym}})</w:t>
      </w:r>
    </w:p>
    <w:p w:rsidR="00653D5C" w:rsidRDefault="00653D5C" w:rsidP="00653D5C">
      <w:pPr>
        <w:pStyle w:val="StandardWeb"/>
      </w:pPr>
      <w:r>
        <w:t>{</w:t>
      </w:r>
      <w:r>
        <w:br/>
        <w:t>\mathrm{Def},</w:t>
      </w:r>
      <w:r>
        <w:br/>
        <w:t>\mathrm{Mod},</w:t>
      </w:r>
      <w:r>
        <w:br/>
        <w:t>\mathrm{Der}</w:t>
      </w:r>
      <w:r>
        <w:br/>
        <w:t>}.</w:t>
      </w:r>
      <w:r>
        <w:br/>
        <w:t>\tag{3.12452}</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M_{3.3.48}(\mathcal N_{\mathrm{sym}})=\{\mathrm{Def},\mathrm{Mod},\mathrm{Der}\}</w:t>
      </w:r>
    </w:p>
    <w:p w:rsidR="00653D5C" w:rsidRDefault="00E50336" w:rsidP="00653D5C">
      <w:r>
        <w:pict>
          <v:rect id="_x0000_i4502" style="width:0;height:1.5pt" o:hralign="center" o:hrstd="t" o:hr="t" fillcolor="#a0a0a0" stroked="f"/>
        </w:pict>
      </w:r>
    </w:p>
    <w:p w:rsidR="00653D5C" w:rsidRDefault="00653D5C" w:rsidP="00653D5C">
      <w:pPr>
        <w:pStyle w:val="berschrift1"/>
      </w:pPr>
      <w:r>
        <w:t>3.3.48.333 Abgeleitete Strukturresultate</w:t>
      </w:r>
    </w:p>
    <w:p w:rsidR="00653D5C" w:rsidRDefault="00653D5C" w:rsidP="00653D5C">
      <w:pPr>
        <w:pStyle w:val="StandardWeb"/>
      </w:pPr>
      <w:r>
        <w:t>Die Sätze über Gruppenbildung, Komposition, Inversion, Quotientierung, Faktorisierung und Kerneigenschaften besitzen den Status</w:t>
      </w:r>
    </w:p>
    <w:p w:rsidR="00653D5C" w:rsidRDefault="00653D5C" w:rsidP="00653D5C">
      <w:pPr>
        <w:pStyle w:val="berschrift1"/>
      </w:pPr>
      <w:r>
        <w:t>[</w:t>
      </w:r>
      <w:r>
        <w:br/>
        <w:t>\boxed{</w:t>
      </w:r>
      <w:r>
        <w:br/>
        <w:t>\mathfrak M_{3.3.48}</w:t>
      </w:r>
      <w:r>
        <w:br/>
        <w:t>(\mathcal D_{\mathrm{sym}})</w:t>
      </w:r>
    </w:p>
    <w:p w:rsidR="00653D5C" w:rsidRDefault="00653D5C" w:rsidP="00653D5C">
      <w:pPr>
        <w:pStyle w:val="StandardWeb"/>
      </w:pPr>
      <w:r>
        <w:t>{</w:t>
      </w:r>
      <w:r>
        <w:br/>
        <w:t>\mathrm{Der}</w:t>
      </w:r>
      <w:r>
        <w:br/>
        <w:t>}.</w:t>
      </w:r>
      <w:r>
        <w:br/>
        <w:t>}</w:t>
      </w:r>
      <w:r>
        <w:br/>
        <w:t>\tag{3.12453}</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\boxed{\mathfrak M_{3.3.48}(\mathcal D_{\mathrm{sym}})=\{\mathrm{Der}\}.}</w:t>
      </w:r>
    </w:p>
    <w:p w:rsidR="00653D5C" w:rsidRDefault="00E50336" w:rsidP="00653D5C">
      <w:r>
        <w:pict>
          <v:rect id="_x0000_i4503" style="width:0;height:1.5pt" o:hralign="center" o:hrstd="t" o:hr="t" fillcolor="#a0a0a0" stroked="f"/>
        </w:pict>
      </w:r>
    </w:p>
    <w:p w:rsidR="00653D5C" w:rsidRDefault="00653D5C" w:rsidP="00653D5C">
      <w:pPr>
        <w:pStyle w:val="berschrift1"/>
      </w:pPr>
      <w:r>
        <w:t>3.3.48.334 Primäraxiomstatus aller untersuchten Symmetrieobjekte</w:t>
      </w:r>
    </w:p>
    <w:p w:rsidR="00653D5C" w:rsidRDefault="00653D5C" w:rsidP="00653D5C">
      <w:pPr>
        <w:pStyle w:val="StandardWeb"/>
      </w:pPr>
      <w:r>
        <w:lastRenderedPageBreak/>
        <w:t>Ich definiere die Menge aller in diesem Abschnitt als Primäraxiom geprüften Kandidaten nochmals als</w:t>
      </w:r>
    </w:p>
    <w:p w:rsidR="00653D5C" w:rsidRDefault="00653D5C" w:rsidP="00653D5C">
      <w:pPr>
        <w:pStyle w:val="berschrift1"/>
      </w:pPr>
      <w:r>
        <w:t>[</w:t>
      </w:r>
      <w:r>
        <w:br/>
        <w:t>\mathcal A_{\mathrm{sym}}^{\mathrm{cand}}</w:t>
      </w:r>
    </w:p>
    <w:p w:rsidR="00653D5C" w:rsidRDefault="00653D5C" w:rsidP="00653D5C">
      <w:pPr>
        <w:pStyle w:val="StandardWeb"/>
      </w:pPr>
      <w:r>
        <w:t>{</w:t>
      </w:r>
      <w:r>
        <w:br/>
        <w:t>A_{\mathrm{inv}},</w:t>
      </w:r>
      <w:r>
        <w:br/>
        <w:t>A_G,</w:t>
      </w:r>
      <w:r>
        <w:br/>
        <w:t>A_{\cong},</w:t>
      </w:r>
      <w:r>
        <w:br/>
        <w:t>A_{\mathrm{cov}},</w:t>
      </w:r>
      <w:r>
        <w:br/>
        <w:t>A_{\mathrm{eq}},</w:t>
      </w:r>
      <w:r>
        <w:br/>
        <w:t>A_{\mathrm{op}},</w:t>
      </w:r>
      <w:r>
        <w:br/>
        <w:t>A_{\mathrm{rec}},</w:t>
      </w:r>
      <w:r>
        <w:br/>
        <w:t>A_{\mathrm{obs}},</w:t>
      </w:r>
      <w:r>
        <w:br/>
        <w:t>A_{\mathrm{obs}/G}</w:t>
      </w:r>
      <w:r>
        <w:br/>
        <w:t>}.</w:t>
      </w:r>
      <w:r>
        <w:br/>
        <w:t>\tag{3.12454}</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\mathcal A_{\mathrm{sym}}^{\mathrm{cand}}=\{A_{\mathrm{inv}},A_G,A_{\cong},A_{\mathrm{cov}},A_{\mathrm{eq}},A_{\mathrm{op}},A_{\mathrm{rec}},A_{\mathrm{obs}},A_{\mathrm{obs}/G}\}</w:t>
      </w:r>
    </w:p>
    <w:p w:rsidR="00653D5C" w:rsidRDefault="00653D5C" w:rsidP="00653D5C">
      <w:pPr>
        <w:pStyle w:val="StandardWeb"/>
      </w:pPr>
      <w:r>
        <w:t>Für jeden Kandidaten wurde ein Gegenmodell oder eine fehlende Universalnotwendigkeit gezeigt.</w:t>
      </w:r>
    </w:p>
    <w:p w:rsidR="00653D5C" w:rsidRDefault="00E50336" w:rsidP="00653D5C">
      <w:r>
        <w:pict>
          <v:rect id="_x0000_i4504" style="width:0;height:1.5pt" o:hralign="center" o:hrstd="t" o:hr="t" fillcolor="#a0a0a0" stroked="f"/>
        </w:pict>
      </w:r>
    </w:p>
    <w:p w:rsidR="00653D5C" w:rsidRDefault="00653D5C" w:rsidP="00653D5C">
      <w:pPr>
        <w:pStyle w:val="berschrift1"/>
      </w:pPr>
      <w:r>
        <w:t>3.3.48.335 Universelle Axiomentscheidung</w:t>
      </w:r>
    </w:p>
    <w:p w:rsidR="00653D5C" w:rsidRDefault="00653D5C" w:rsidP="00653D5C">
      <w:pPr>
        <w:pStyle w:val="StandardWeb"/>
      </w:pPr>
      <w:r>
        <w:t>Damit gilt</w:t>
      </w:r>
    </w:p>
    <w:p w:rsidR="00653D5C" w:rsidRDefault="00653D5C" w:rsidP="00653D5C">
      <w:pPr>
        <w:pStyle w:val="berschrift1"/>
      </w:pPr>
      <w:r>
        <w:t>[</w:t>
      </w:r>
      <w:r>
        <w:br/>
        <w:t>\boxed{</w:t>
      </w:r>
      <w:r>
        <w:br/>
        <w:t>U_{\mathrm{Ax}}(A)</w:t>
      </w:r>
    </w:p>
    <w:p w:rsidR="00653D5C" w:rsidRDefault="00653D5C" w:rsidP="00653D5C">
      <w:pPr>
        <w:pStyle w:val="StandardWeb"/>
      </w:pPr>
      <w:r>
        <w:t>0</w:t>
      </w:r>
      <w:r>
        <w:br/>
        <w:t>\qquad</w:t>
      </w:r>
      <w:r>
        <w:br/>
        <w:t>\forall</w:t>
      </w:r>
      <w:r>
        <w:br/>
        <w:t>A</w:t>
      </w:r>
      <w:r>
        <w:br/>
        <w:t>\in</w:t>
      </w:r>
      <w:r>
        <w:br/>
        <w:t>\mathcal A_{\mathrm{sym}}^{\mathrm{cand}}.</w:t>
      </w:r>
      <w:r>
        <w:br/>
        <w:t>}</w:t>
      </w:r>
      <w:r>
        <w:br/>
      </w:r>
      <w:r>
        <w:lastRenderedPageBreak/>
        <w:t>\tag{3.12455}</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\boxed{U_{\mathrm{Ax}}(A)=0\qquad\forall A\in\mathcal A_{\mathrm{sym}}^{\mathrm{cand}}.}</w:t>
      </w:r>
    </w:p>
    <w:p w:rsidR="00653D5C" w:rsidRDefault="00E50336" w:rsidP="00653D5C">
      <w:r>
        <w:pict>
          <v:rect id="_x0000_i4505" style="width:0;height:1.5pt" o:hralign="center" o:hrstd="t" o:hr="t" fillcolor="#a0a0a0" stroked="f"/>
        </w:pict>
      </w:r>
    </w:p>
    <w:p w:rsidR="00653D5C" w:rsidRDefault="00653D5C" w:rsidP="00653D5C">
      <w:pPr>
        <w:pStyle w:val="berschrift1"/>
      </w:pPr>
      <w:r>
        <w:t>3.3.48.336 Menge der neu gewonnenen Primäraxiome</w:t>
      </w:r>
    </w:p>
    <w:p w:rsidR="00653D5C" w:rsidRDefault="00653D5C" w:rsidP="00653D5C">
      <w:pPr>
        <w:pStyle w:val="StandardWeb"/>
      </w:pPr>
      <w:r>
        <w:t>Folglich ist</w:t>
      </w:r>
    </w:p>
    <w:p w:rsidR="00653D5C" w:rsidRDefault="00653D5C" w:rsidP="00653D5C">
      <w:pPr>
        <w:pStyle w:val="berschrift1"/>
      </w:pPr>
      <w:r>
        <w:t>[</w:t>
      </w:r>
      <w:r>
        <w:br/>
        <w:t>\boxed{</w:t>
      </w:r>
      <w:r>
        <w:br/>
        <w:t>\mathcal A_{3.3.48}^{\mathrm{new}}</w:t>
      </w:r>
    </w:p>
    <w:p w:rsidR="00653D5C" w:rsidRDefault="00653D5C" w:rsidP="00653D5C">
      <w:pPr>
        <w:pStyle w:val="StandardWeb"/>
      </w:pPr>
      <w:r>
        <w:t>\varnothing.</w:t>
      </w:r>
      <w:r>
        <w:br/>
        <w:t>}</w:t>
      </w:r>
      <w:r>
        <w:br/>
        <w:t>\tag{3.12456}</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\boxed{\mathcal A_{3.3.48}^{\mathrm{new}}=\varnothing.}</w:t>
      </w:r>
    </w:p>
    <w:p w:rsidR="00653D5C" w:rsidRDefault="00E50336" w:rsidP="00653D5C">
      <w:r>
        <w:pict>
          <v:rect id="_x0000_i4506" style="width:0;height:1.5pt" o:hralign="center" o:hrstd="t" o:hr="t" fillcolor="#a0a0a0" stroked="f"/>
        </w:pict>
      </w:r>
    </w:p>
    <w:p w:rsidR="00653D5C" w:rsidRDefault="00653D5C" w:rsidP="00653D5C">
      <w:pPr>
        <w:pStyle w:val="berschrift1"/>
      </w:pPr>
      <w:r>
        <w:t>3.3.48.337 Satz 3.3.156 – Abschnitt 3.3.48 erzeugt kein neues Primäraxiom</w:t>
      </w:r>
    </w:p>
    <w:p w:rsidR="00653D5C" w:rsidRDefault="00653D5C" w:rsidP="00653D5C">
      <w:pPr>
        <w:pStyle w:val="berschrift3"/>
      </w:pPr>
      <w:r>
        <w:t>Satz 3.3.156</w:t>
      </w:r>
    </w:p>
    <w:p w:rsidR="00653D5C" w:rsidRDefault="00653D5C" w:rsidP="00653D5C">
      <w:pPr>
        <w:pStyle w:val="StandardWeb"/>
      </w:pPr>
      <w:r>
        <w:t>Keine der in Abschnitt 3.3.48 eingeführten Transformations-, Invarianz-, Symmetrie-, Isomorphie-, Automorphismus-, Kovarianz-, Äquivarianz-, Beobachtungs- oder Rekonstruktionsstrukturen ist für die minimale Existenz des FRZK universell notwendig.</w:t>
      </w:r>
    </w:p>
    <w:p w:rsidR="00653D5C" w:rsidRDefault="00653D5C" w:rsidP="00653D5C">
      <w:pPr>
        <w:pStyle w:val="StandardWeb"/>
      </w:pPr>
      <w:r>
        <w:t>Damit gilt</w:t>
      </w:r>
    </w:p>
    <w:p w:rsidR="00653D5C" w:rsidRDefault="00653D5C" w:rsidP="00653D5C">
      <w:pPr>
        <w:pStyle w:val="berschrift1"/>
      </w:pPr>
      <w:r>
        <w:t>[</w:t>
      </w:r>
      <w:r>
        <w:br/>
        <w:t>\boxed{</w:t>
      </w:r>
      <w:r>
        <w:br/>
        <w:t>\mathcal A_{3.3.48}^{\mathrm{new}}</w:t>
      </w:r>
    </w:p>
    <w:p w:rsidR="00653D5C" w:rsidRDefault="00653D5C" w:rsidP="00653D5C">
      <w:pPr>
        <w:pStyle w:val="StandardWeb"/>
      </w:pPr>
      <w:r>
        <w:t>\varnothing.</w:t>
      </w:r>
      <w:r>
        <w:br/>
        <w:t>}</w:t>
      </w:r>
      <w:r>
        <w:br/>
      </w:r>
      <w:r>
        <w:lastRenderedPageBreak/>
        <w:t>\tag{3.12457}</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\boxed{\mathcal A_{3.3.48}^{\mathrm{new}}=\varnothing.}</w:t>
      </w:r>
    </w:p>
    <w:p w:rsidR="00653D5C" w:rsidRDefault="00653D5C" w:rsidP="00653D5C">
      <w:pPr>
        <w:pStyle w:val="berschrift3"/>
      </w:pPr>
      <w:r>
        <w:t>Beweis</w:t>
      </w:r>
    </w:p>
    <w:p w:rsidR="00653D5C" w:rsidRDefault="00653D5C" w:rsidP="00653D5C">
      <w:pPr>
        <w:pStyle w:val="StandardWeb"/>
      </w:pPr>
      <w:r>
        <w:t>Für sämtliche explizit geprüften Primäraxiomkandidaten wurde</w:t>
      </w:r>
    </w:p>
    <w:p w:rsidR="00653D5C" w:rsidRDefault="00653D5C" w:rsidP="00653D5C">
      <w:pPr>
        <w:pStyle w:val="StandardWeb"/>
      </w:pPr>
      <w:r>
        <w:t>[</w:t>
      </w:r>
      <w:r>
        <w:br/>
        <w:t>U_{\mathrm{Ax}}(A)=0</w:t>
      </w:r>
      <w:r>
        <w:br/>
        <w:t>\tag{3.12458}</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U_{\mathrm{Ax}}(A)=0</w:t>
      </w:r>
    </w:p>
    <w:p w:rsidR="00653D5C" w:rsidRDefault="00653D5C" w:rsidP="00653D5C">
      <w:pPr>
        <w:pStyle w:val="StandardWeb"/>
      </w:pPr>
      <w:r>
        <w:t>gezeigt.</w:t>
      </w:r>
    </w:p>
    <w:p w:rsidR="00653D5C" w:rsidRDefault="00653D5C" w:rsidP="00653D5C">
      <w:pPr>
        <w:pStyle w:val="StandardWeb"/>
      </w:pPr>
      <w:r>
        <w:t>Alle übrigen eingeführten Strukturen besitzen definitionsgemäßen, modellabhängigen, operationalen oder abgeleiteten Status.</w:t>
      </w:r>
    </w:p>
    <w:p w:rsidR="00653D5C" w:rsidRDefault="00653D5C" w:rsidP="00653D5C">
      <w:pPr>
        <w:pStyle w:val="StandardWeb"/>
      </w:pPr>
      <w:r>
        <w:t>Somit existiert kein Theorieobjekt dieses Abschnitts, dessen Verneinung die minimale FRZK-Struktur logisch unmöglich machen würde.</w:t>
      </w:r>
    </w:p>
    <w:p w:rsidR="00653D5C" w:rsidRDefault="00653D5C" w:rsidP="00653D5C">
      <w:pPr>
        <w:pStyle w:val="StandardWeb"/>
      </w:pPr>
      <w:r>
        <w:t>Daher</w:t>
      </w:r>
    </w:p>
    <w:p w:rsidR="00653D5C" w:rsidRDefault="00653D5C" w:rsidP="00653D5C">
      <w:pPr>
        <w:pStyle w:val="berschrift1"/>
      </w:pPr>
      <w:r>
        <w:t>[</w:t>
      </w:r>
      <w:r>
        <w:br/>
        <w:t>\mathcal A_{3.3.48}^{\mathrm{new}}</w:t>
      </w:r>
    </w:p>
    <w:p w:rsidR="00653D5C" w:rsidRDefault="00653D5C" w:rsidP="00653D5C">
      <w:pPr>
        <w:pStyle w:val="StandardWeb"/>
      </w:pPr>
      <w:r>
        <w:t>\varnothing.</w:t>
      </w:r>
      <w:r>
        <w:br/>
        <w:t>\tag{3.12459}</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\mathcal A_{3.3.48}^{\mathrm{new}}=\varnothing</w:t>
      </w:r>
    </w:p>
    <w:p w:rsidR="00653D5C" w:rsidRDefault="00653D5C" w:rsidP="00653D5C">
      <w:pPr>
        <w:pStyle w:val="StandardWeb"/>
      </w:pPr>
      <w:r>
        <w:t>(\square)</w:t>
      </w:r>
    </w:p>
    <w:p w:rsidR="00653D5C" w:rsidRDefault="00E50336" w:rsidP="00653D5C">
      <w:r>
        <w:pict>
          <v:rect id="_x0000_i4507" style="width:0;height:1.5pt" o:hralign="center" o:hrstd="t" o:hr="t" fillcolor="#a0a0a0" stroked="f"/>
        </w:pict>
      </w:r>
    </w:p>
    <w:p w:rsidR="00653D5C" w:rsidRDefault="00653D5C" w:rsidP="00653D5C">
      <w:pPr>
        <w:pStyle w:val="berschrift1"/>
      </w:pPr>
      <w:r>
        <w:t>3.3.48.338 Korollar 3.3.35 – Der bisherige FRZK-Primäraxiomkern bleibt durch 3.3.48 unverändert</w:t>
      </w:r>
    </w:p>
    <w:p w:rsidR="00653D5C" w:rsidRDefault="00653D5C" w:rsidP="00653D5C">
      <w:pPr>
        <w:pStyle w:val="berschrift3"/>
      </w:pPr>
      <w:r>
        <w:t>Korollar 3.3.35</w:t>
      </w:r>
    </w:p>
    <w:p w:rsidR="00653D5C" w:rsidRDefault="00653D5C" w:rsidP="00653D5C">
      <w:pPr>
        <w:pStyle w:val="StandardWeb"/>
      </w:pPr>
      <w:r>
        <w:lastRenderedPageBreak/>
        <w:t>Aus Satz 3.3.156 folgt</w:t>
      </w:r>
    </w:p>
    <w:p w:rsidR="00653D5C" w:rsidRDefault="00653D5C" w:rsidP="00653D5C">
      <w:pPr>
        <w:pStyle w:val="berschrift1"/>
      </w:pPr>
      <w:r>
        <w:t>[</w:t>
      </w:r>
      <w:r>
        <w:br/>
        <w:t>\boxed{</w:t>
      </w:r>
      <w:r>
        <w:br/>
        <w:t>\mathcal A_{\mathrm{FRZK}}^{\mathrm{nach},3.3.48}</w:t>
      </w:r>
    </w:p>
    <w:p w:rsidR="00653D5C" w:rsidRDefault="00653D5C" w:rsidP="00653D5C">
      <w:pPr>
        <w:pStyle w:val="StandardWeb"/>
      </w:pPr>
      <w:r>
        <w:t>\mathcal A_{\mathrm{FRZK}}^{\mathrm{vor},3.3.48}.</w:t>
      </w:r>
      <w:r>
        <w:br/>
        <w:t>}</w:t>
      </w:r>
      <w:r>
        <w:br/>
        <w:t>\tag{3.12460}</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\boxed{\mathcal A_{\mathrm{FRZK}}^{\mathrm{nach}\,3.3.48}=\mathcal A_{\mathrm{FRZK}}^{\mathrm{vor}\,3.3.48}.}</w:t>
      </w:r>
    </w:p>
    <w:p w:rsidR="00653D5C" w:rsidRDefault="00E50336" w:rsidP="00653D5C">
      <w:r>
        <w:pict>
          <v:rect id="_x0000_i4508" style="width:0;height:1.5pt" o:hralign="center" o:hrstd="t" o:hr="t" fillcolor="#a0a0a0" stroked="f"/>
        </w:pict>
      </w:r>
    </w:p>
    <w:p w:rsidR="00653D5C" w:rsidRDefault="00653D5C" w:rsidP="00653D5C">
      <w:pPr>
        <w:pStyle w:val="berschrift1"/>
      </w:pPr>
      <w:r>
        <w:t>3.3.48.339 Klassifikation der gesamten Symmetriearchitektur</w:t>
      </w:r>
    </w:p>
    <w:p w:rsidR="00653D5C" w:rsidRDefault="00653D5C" w:rsidP="00653D5C">
      <w:pPr>
        <w:pStyle w:val="StandardWeb"/>
      </w:pPr>
      <w:r>
        <w:t>Die Gesamtheit der in diesem Abschnitt entwickelten Strukturen fasse ich als</w:t>
      </w:r>
    </w:p>
    <w:p w:rsidR="00653D5C" w:rsidRDefault="00653D5C" w:rsidP="00653D5C">
      <w:pPr>
        <w:pStyle w:val="berschrift1"/>
      </w:pPr>
      <w:r>
        <w:t>[</w:t>
      </w:r>
      <w:r>
        <w:br/>
        <w:t>\mathfrak E_{\mathrm{sym}}</w:t>
      </w:r>
    </w:p>
    <w:p w:rsidR="00653D5C" w:rsidRDefault="00653D5C" w:rsidP="00653D5C">
      <w:pPr>
        <w:pStyle w:val="StandardWeb"/>
      </w:pPr>
      <w:r>
        <w:t>\left(</w:t>
      </w:r>
      <w:r>
        <w:br/>
        <w:t>\mathcal T_{\mathrm{tr}},</w:t>
      </w:r>
      <w:r>
        <w:br/>
        <w:t>\operatorname{Inv},</w:t>
      </w:r>
      <w:r>
        <w:br/>
        <w:t>\operatorname{Sym},</w:t>
      </w:r>
      <w:r>
        <w:br/>
        <w:t>\operatorname{Aut},</w:t>
      </w:r>
      <w:r>
        <w:br/>
        <w:t>\operatorname{Iso},</w:t>
      </w:r>
      <w:r>
        <w:br/>
        <w:t>\operatorname{Cov},</w:t>
      </w:r>
      <w:r>
        <w:br/>
        <w:t>\operatorname{Eqv},</w:t>
      </w:r>
      <w:r>
        <w:br/>
        <w:t>\rho,</w:t>
      </w:r>
      <w:r>
        <w:br/>
        <w:t>\operatorname{Orb},</w:t>
      </w:r>
      <w:r>
        <w:br/>
        <w:t>\operatorname{Stab},</w:t>
      </w:r>
      <w:r>
        <w:br/>
        <w:t>\Omega_F/G,</w:t>
      </w:r>
      <w:r>
        <w:br/>
        <w:t>\mathcal R_G,</w:t>
      </w:r>
      <w:r>
        <w:br/>
        <w:t>\mathcal B_F,</w:t>
      </w:r>
      <w:r>
        <w:br/>
        <w:t>\mathcal R_F,</w:t>
      </w:r>
      <w:r>
        <w:br/>
        <w:t>\mathcal N_{\mathrm{obs}},</w:t>
      </w:r>
      <w:r>
        <w:br/>
        <w:t>\mathcal N_{\mathrm{sym}},</w:t>
      </w:r>
      <w:r>
        <w:br/>
        <w:t>\Gamma,</w:t>
      </w:r>
      <w:r>
        <w:br/>
        <w:t>\mathcal R_{\mathrm{res}}</w:t>
      </w:r>
      <w:r>
        <w:br/>
      </w:r>
      <w:r>
        <w:lastRenderedPageBreak/>
        <w:t>\right)</w:t>
      </w:r>
      <w:r>
        <w:br/>
        <w:t>\tag{3.12461}</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E_{\mathrm{sym}}=\left(\mathcal T_{\mathrm{tr}},\operatorname{Inv},\operatorname{Sym},\operatorname{Aut},\operatorname{Iso},\operatorname{Cov},\operatorname{Eqv},\rho,\operatorname{Orb},\operatorname{Stab},\Omega_F/G,\mathcal R_G,\mathcal B_F,\mathcal R_F,\mathcal N_{\mathrm{obs}},\mathcal N_{\mathrm{sym}},\Gamma,\mathcal R_{\mathrm{res}}\right)</w:t>
      </w:r>
    </w:p>
    <w:p w:rsidR="00653D5C" w:rsidRDefault="00653D5C" w:rsidP="00653D5C">
      <w:pPr>
        <w:pStyle w:val="StandardWeb"/>
      </w:pPr>
      <w:r>
        <w:t>zusammen.</w:t>
      </w:r>
    </w:p>
    <w:p w:rsidR="00653D5C" w:rsidRDefault="00E50336" w:rsidP="00653D5C">
      <w:r>
        <w:pict>
          <v:rect id="_x0000_i4509" style="width:0;height:1.5pt" o:hralign="center" o:hrstd="t" o:hr="t" fillcolor="#a0a0a0" stroked="f"/>
        </w:pict>
      </w:r>
    </w:p>
    <w:p w:rsidR="00653D5C" w:rsidRDefault="00653D5C" w:rsidP="00653D5C">
      <w:pPr>
        <w:pStyle w:val="berschrift1"/>
      </w:pPr>
      <w:r>
        <w:t>3.3.48.340 Definition 3.3.366 – Funktionale Symmetrie- und Invarianzarchitektur</w:t>
      </w:r>
    </w:p>
    <w:p w:rsidR="00653D5C" w:rsidRDefault="00653D5C" w:rsidP="00653D5C">
      <w:pPr>
        <w:pStyle w:val="berschrift3"/>
      </w:pPr>
      <w:r>
        <w:t>Definition 3.3.366</w:t>
      </w:r>
    </w:p>
    <w:p w:rsidR="00653D5C" w:rsidRDefault="00653D5C" w:rsidP="00653D5C">
      <w:pPr>
        <w:pStyle w:val="StandardWeb"/>
      </w:pPr>
      <w:r>
        <w:t xml:space="preserve">Die </w:t>
      </w:r>
      <w:r>
        <w:rPr>
          <w:rStyle w:val="Fett"/>
        </w:rPr>
        <w:t>funktionale Symmetrie- und Invarianzarchitektur</w:t>
      </w:r>
      <w:r>
        <w:t xml:space="preserve"> von Abschnitt 3.3.48 ist die Struktur</w:t>
      </w:r>
    </w:p>
    <w:p w:rsidR="00653D5C" w:rsidRDefault="00653D5C" w:rsidP="00653D5C">
      <w:pPr>
        <w:pStyle w:val="StandardWeb"/>
      </w:pPr>
      <w:r>
        <w:t>[</w:t>
      </w:r>
      <w:r>
        <w:br/>
        <w:t>\boxed{</w:t>
      </w:r>
      <w:r>
        <w:br/>
        <w:t>\mathfrak E_{\mathrm{sym}}</w:t>
      </w:r>
      <w:r>
        <w:br/>
        <w:t>}</w:t>
      </w:r>
      <w:r>
        <w:br/>
        <w:t>\tag{3.12462}</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\boxed{\mathfrak E_{\mathrm{sym}}}</w:t>
      </w:r>
    </w:p>
    <w:p w:rsidR="00653D5C" w:rsidRDefault="00653D5C" w:rsidP="00653D5C">
      <w:pPr>
        <w:pStyle w:val="StandardWeb"/>
      </w:pPr>
      <w:r>
        <w:t>aus Transformationen, Invarianzbedingungen, Symmetriegruppen, Isomorphismen, Automorphismen, Kovarianz- und Äquivarianzrelationen, Quotientenstrukturen, Beobachtungs- und Rekonstruktionsabbildungen sowie ihren operationalen Residualgrößen.</w:t>
      </w:r>
    </w:p>
    <w:p w:rsidR="00653D5C" w:rsidRDefault="00E50336" w:rsidP="00653D5C">
      <w:r>
        <w:pict>
          <v:rect id="_x0000_i4510" style="width:0;height:1.5pt" o:hralign="center" o:hrstd="t" o:hr="t" fillcolor="#a0a0a0" stroked="f"/>
        </w:pict>
      </w:r>
    </w:p>
    <w:p w:rsidR="00653D5C" w:rsidRDefault="00653D5C" w:rsidP="00653D5C">
      <w:pPr>
        <w:pStyle w:val="berschrift1"/>
      </w:pPr>
      <w:r>
        <w:t>3.3.48.341 Charakter der Architektur</w:t>
      </w:r>
    </w:p>
    <w:p w:rsidR="00653D5C" w:rsidRDefault="00653D5C" w:rsidP="00653D5C">
      <w:pPr>
        <w:pStyle w:val="StandardWeb"/>
      </w:pPr>
      <w:r>
        <w:t>Für diese Architektur gilt</w:t>
      </w:r>
    </w:p>
    <w:p w:rsidR="00653D5C" w:rsidRDefault="00653D5C" w:rsidP="00653D5C">
      <w:pPr>
        <w:pStyle w:val="StandardWeb"/>
      </w:pPr>
      <w:r>
        <w:t>[</w:t>
      </w:r>
      <w:r>
        <w:br/>
        <w:t>\boxed{</w:t>
      </w:r>
      <w:r>
        <w:br/>
        <w:t>\mathfrak E_{\mathrm{sym}}</w:t>
      </w:r>
      <w:r>
        <w:br/>
        <w:t>\text{ ist eine optionale FRZK-Erweiterungsarchitektur.}</w:t>
      </w:r>
      <w:r>
        <w:br/>
        <w:t>}</w:t>
      </w:r>
      <w:r>
        <w:br/>
      </w:r>
      <w:r>
        <w:lastRenderedPageBreak/>
        <w:t>\tag{3.12463}</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\boxed{\mathfrak E_{\mathrm{sym}}\text{ ist eine optionale FRZK-Erweiterungsarchitektur}.}</w:t>
      </w:r>
    </w:p>
    <w:p w:rsidR="00653D5C" w:rsidRDefault="00E50336" w:rsidP="00653D5C">
      <w:r>
        <w:pict>
          <v:rect id="_x0000_i4511" style="width:0;height:1.5pt" o:hralign="center" o:hrstd="t" o:hr="t" fillcolor="#a0a0a0" stroked="f"/>
        </w:pict>
      </w:r>
    </w:p>
    <w:p w:rsidR="00653D5C" w:rsidRDefault="00653D5C" w:rsidP="00653D5C">
      <w:pPr>
        <w:pStyle w:val="berschrift1"/>
      </w:pPr>
      <w:r>
        <w:t>3.3.48.342 Satz 3.3.157 – Die Symmetriearchitektur ist modellabhängig</w:t>
      </w:r>
    </w:p>
    <w:p w:rsidR="00653D5C" w:rsidRDefault="00653D5C" w:rsidP="00653D5C">
      <w:pPr>
        <w:pStyle w:val="berschrift3"/>
      </w:pPr>
      <w:r>
        <w:t>Satz 3.3.157</w:t>
      </w:r>
    </w:p>
    <w:p w:rsidR="00653D5C" w:rsidRDefault="00653D5C" w:rsidP="00653D5C">
      <w:pPr>
        <w:pStyle w:val="StandardWeb"/>
      </w:pPr>
      <w:r>
        <w:t>Die konkrete Ausprägung der funktionalen Symmetrie- und Invarianzarchitektur hängt von der gewählten Modellklasse ab.</w:t>
      </w:r>
    </w:p>
    <w:p w:rsidR="00653D5C" w:rsidRDefault="00653D5C" w:rsidP="00653D5C">
      <w:pPr>
        <w:pStyle w:val="StandardWeb"/>
      </w:pPr>
      <w:r>
        <w:t>Formal gilt</w:t>
      </w:r>
    </w:p>
    <w:p w:rsidR="00653D5C" w:rsidRDefault="00653D5C" w:rsidP="00653D5C">
      <w:pPr>
        <w:pStyle w:val="berschrift1"/>
      </w:pPr>
      <w:r>
        <w:t>[</w:t>
      </w:r>
      <w:r>
        <w:br/>
        <w:t>\boxed{</w:t>
      </w:r>
      <w:r>
        <w:br/>
        <w:t>\mathfrak E_{\mathrm{sym}}</w:t>
      </w:r>
    </w:p>
    <w:p w:rsidR="00653D5C" w:rsidRDefault="00653D5C" w:rsidP="00653D5C">
      <w:pPr>
        <w:pStyle w:val="StandardWeb"/>
      </w:pPr>
      <w:r>
        <w:t>\mathfrak E_{\mathrm{sym}}</w:t>
      </w:r>
      <w:r>
        <w:br/>
        <w:t>(\mathfrak M_F).</w:t>
      </w:r>
      <w:r>
        <w:br/>
        <w:t>}</w:t>
      </w:r>
      <w:r>
        <w:br/>
        <w:t>\tag{3.12464}</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\boxed{\mathfrak E_{\mathrm{sym}}=\mathfrak E_{\mathrm{sym}}(\mathfrak M_F).}</w:t>
      </w:r>
    </w:p>
    <w:p w:rsidR="00653D5C" w:rsidRDefault="00653D5C" w:rsidP="00653D5C">
      <w:pPr>
        <w:pStyle w:val="StandardWeb"/>
      </w:pPr>
      <w:r>
        <w:t>Dabei bezeichnet (\mathfrak M_F) die jeweils gewählte FRZK-Modellklasse.</w:t>
      </w:r>
    </w:p>
    <w:p w:rsidR="00653D5C" w:rsidRDefault="00E50336" w:rsidP="00653D5C">
      <w:r>
        <w:pict>
          <v:rect id="_x0000_i4512" style="width:0;height:1.5pt" o:hralign="center" o:hrstd="t" o:hr="t" fillcolor="#a0a0a0" stroked="f"/>
        </w:pict>
      </w:r>
    </w:p>
    <w:p w:rsidR="00653D5C" w:rsidRDefault="00653D5C" w:rsidP="00653D5C">
      <w:pPr>
        <w:pStyle w:val="berschrift1"/>
      </w:pPr>
      <w:r>
        <w:t>3.3.48.343 Keine universelle Symmetriegruppe</w:t>
      </w:r>
    </w:p>
    <w:p w:rsidR="00653D5C" w:rsidRDefault="00653D5C" w:rsidP="00653D5C">
      <w:pPr>
        <w:pStyle w:val="StandardWeb"/>
      </w:pPr>
      <w:r>
        <w:t>Insbesondere folgt nicht</w:t>
      </w:r>
    </w:p>
    <w:p w:rsidR="00653D5C" w:rsidRDefault="00653D5C" w:rsidP="00653D5C">
      <w:pPr>
        <w:pStyle w:val="berschrift1"/>
      </w:pPr>
      <w:r>
        <w:t>[</w:t>
      </w:r>
      <w:r>
        <w:br/>
        <w:t>\exists G_{\mathrm{FRZK}}</w:t>
      </w:r>
      <w:r>
        <w:br/>
        <w:t>\quad</w:t>
      </w:r>
      <w:r>
        <w:br/>
      </w:r>
      <w:r>
        <w:lastRenderedPageBreak/>
        <w:t>\forall</w:t>
      </w:r>
      <w:r>
        <w:br/>
        <w:t>\mathfrak M_F:</w:t>
      </w:r>
      <w:r>
        <w:br/>
        <w:t>\operatorname{Sym}</w:t>
      </w:r>
      <w:r>
        <w:br/>
        <w:t>(\mathfrak M_F)</w:t>
      </w:r>
    </w:p>
    <w:p w:rsidR="00653D5C" w:rsidRDefault="00653D5C" w:rsidP="00653D5C">
      <w:pPr>
        <w:pStyle w:val="StandardWeb"/>
      </w:pPr>
      <w:r>
        <w:t>G_{\mathrm{FRZK}}.</w:t>
      </w:r>
      <w:r>
        <w:br/>
        <w:t>\tag{3.12465}</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\exists G_{\mathrm{FRZK}}\quad\forall\mathfrak M_F:\operatorname{Sym}(\mathfrak M_F)=G_{\mathrm{FRZK}}</w:t>
      </w:r>
    </w:p>
    <w:p w:rsidR="00653D5C" w:rsidRDefault="00653D5C" w:rsidP="00653D5C">
      <w:pPr>
        <w:pStyle w:val="StandardWeb"/>
      </w:pPr>
      <w:r>
        <w:t>Eine universelle Symmetriegruppe des gesamten FRZK wurde in diesem Abschnitt ausdrücklich nicht postuliert.</w:t>
      </w:r>
    </w:p>
    <w:p w:rsidR="00653D5C" w:rsidRDefault="00E50336" w:rsidP="00653D5C">
      <w:r>
        <w:pict>
          <v:rect id="_x0000_i4513" style="width:0;height:1.5pt" o:hralign="center" o:hrstd="t" o:hr="t" fillcolor="#a0a0a0" stroked="f"/>
        </w:pict>
      </w:r>
    </w:p>
    <w:p w:rsidR="00653D5C" w:rsidRDefault="00653D5C" w:rsidP="00653D5C">
      <w:pPr>
        <w:pStyle w:val="berschrift1"/>
      </w:pPr>
      <w:r>
        <w:t>3.3.48.344 Keine automatische Raum-Zeit-Symmetrie</w:t>
      </w:r>
    </w:p>
    <w:p w:rsidR="00653D5C" w:rsidRDefault="00653D5C" w:rsidP="00653D5C">
      <w:pPr>
        <w:pStyle w:val="StandardWeb"/>
      </w:pPr>
      <w:r>
        <w:t>Ebenso folgt aus funktionaler Symmetrie nicht</w:t>
      </w:r>
    </w:p>
    <w:p w:rsidR="00653D5C" w:rsidRDefault="00653D5C" w:rsidP="00653D5C">
      <w:pPr>
        <w:pStyle w:val="StandardWeb"/>
      </w:pPr>
      <w:r>
        <w:t>[</w:t>
      </w:r>
      <w:r>
        <w:br/>
        <w:t>\boxed{</w:t>
      </w:r>
      <w:r>
        <w:br/>
        <w:t>\operatorname{Sym}</w:t>
      </w:r>
      <w:r>
        <w:rPr>
          <w:rStyle w:val="Hervorhebung"/>
        </w:rPr>
        <w:t>F</w:t>
      </w:r>
      <w:r>
        <w:rPr>
          <w:i/>
          <w:iCs/>
        </w:rPr>
        <w:br/>
      </w:r>
      <w:r>
        <w:rPr>
          <w:rStyle w:val="Hervorhebung"/>
        </w:rPr>
        <w:t>\Rightarrow</w:t>
      </w:r>
      <w:r>
        <w:rPr>
          <w:i/>
          <w:iCs/>
        </w:rPr>
        <w:br/>
      </w:r>
      <w:r>
        <w:rPr>
          <w:rStyle w:val="Hervorhebung"/>
        </w:rPr>
        <w:t>\operatorname{Sym}</w:t>
      </w:r>
      <w:r>
        <w:t>{\mathrm{Raumzeit}}.</w:t>
      </w:r>
      <w:r>
        <w:br/>
        <w:t>}</w:t>
      </w:r>
      <w:r>
        <w:br/>
        <w:t>\tag{3.12466}</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\boxed{\operatorname{Sym}_F\Rightarrow\operatorname{Sym}_{\mathrm{Raumzeit}}.}</w:t>
      </w:r>
    </w:p>
    <w:p w:rsidR="00653D5C" w:rsidRDefault="00E50336" w:rsidP="00653D5C">
      <w:r>
        <w:pict>
          <v:rect id="_x0000_i4514" style="width:0;height:1.5pt" o:hralign="center" o:hrstd="t" o:hr="t" fillcolor="#a0a0a0" stroked="f"/>
        </w:pict>
      </w:r>
    </w:p>
    <w:p w:rsidR="00653D5C" w:rsidRDefault="00653D5C" w:rsidP="00653D5C">
      <w:pPr>
        <w:pStyle w:val="berschrift1"/>
      </w:pPr>
      <w:r>
        <w:t>3.3.48.345 Keine automatische Lorentz-, Poincaré- oder Eichsymmetrie</w:t>
      </w:r>
    </w:p>
    <w:p w:rsidR="00653D5C" w:rsidRDefault="00653D5C" w:rsidP="00653D5C">
      <w:pPr>
        <w:pStyle w:val="StandardWeb"/>
      </w:pPr>
      <w:r>
        <w:t>Insbesondere gilt ohne zusätzliche physikalische Voraussetzungen nicht</w:t>
      </w:r>
    </w:p>
    <w:p w:rsidR="00653D5C" w:rsidRDefault="00653D5C" w:rsidP="00653D5C">
      <w:pPr>
        <w:pStyle w:val="StandardWeb"/>
      </w:pPr>
      <w:r>
        <w:t>[</w:t>
      </w:r>
      <w:r>
        <w:br/>
        <w:t>\operatorname{Sym}_F</w:t>
      </w:r>
      <w:r>
        <w:br/>
        <w:t>\Rightarrow</w:t>
      </w:r>
      <w:r>
        <w:br/>
        <w:t>\operatorname{Lorentz},</w:t>
      </w:r>
      <w:r>
        <w:br/>
      </w:r>
      <w:r>
        <w:lastRenderedPageBreak/>
        <w:t>\tag{3.12467}</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\operatorname{Sym}_F\Rightarrow\operatorname{Lorentz}</w:t>
      </w:r>
    </w:p>
    <w:p w:rsidR="00653D5C" w:rsidRDefault="00653D5C" w:rsidP="00653D5C">
      <w:pPr>
        <w:pStyle w:val="StandardWeb"/>
      </w:pPr>
      <w:r>
        <w:t>nicht</w:t>
      </w:r>
    </w:p>
    <w:p w:rsidR="00653D5C" w:rsidRDefault="00653D5C" w:rsidP="00653D5C">
      <w:pPr>
        <w:pStyle w:val="StandardWeb"/>
      </w:pPr>
      <w:r>
        <w:t>[</w:t>
      </w:r>
      <w:r>
        <w:br/>
        <w:t>\operatorname{Sym}_F</w:t>
      </w:r>
      <w:r>
        <w:br/>
        <w:t>\Rightarrow</w:t>
      </w:r>
      <w:r>
        <w:br/>
        <w:t>\operatorname{Poincar\acute e},</w:t>
      </w:r>
      <w:r>
        <w:br/>
        <w:t>\tag{3.12468}</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\operatorname{Sym}_F\Rightarrow\operatorname{Poincar\acute e}</w:t>
      </w:r>
    </w:p>
    <w:p w:rsidR="00653D5C" w:rsidRDefault="00653D5C" w:rsidP="00653D5C">
      <w:pPr>
        <w:pStyle w:val="StandardWeb"/>
      </w:pPr>
      <w:r>
        <w:t>und nicht</w:t>
      </w:r>
    </w:p>
    <w:p w:rsidR="00653D5C" w:rsidRDefault="00653D5C" w:rsidP="00653D5C">
      <w:pPr>
        <w:pStyle w:val="StandardWeb"/>
      </w:pPr>
      <w:r>
        <w:t>[</w:t>
      </w:r>
      <w:r>
        <w:br/>
        <w:t>\operatorname{Sym}_F</w:t>
      </w:r>
      <w:r>
        <w:br/>
        <w:t>\Rightarrow</w:t>
      </w:r>
      <w:r>
        <w:br/>
        <w:t>\operatorname{Gauge}.</w:t>
      </w:r>
      <w:r>
        <w:br/>
        <w:t>\tag{3.12469}</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\operatorname{Sym}_F\Rightarrow\operatorname{Gauge}</w:t>
      </w:r>
    </w:p>
    <w:p w:rsidR="00653D5C" w:rsidRDefault="00E50336" w:rsidP="00653D5C">
      <w:r>
        <w:pict>
          <v:rect id="_x0000_i4515" style="width:0;height:1.5pt" o:hralign="center" o:hrstd="t" o:hr="t" fillcolor="#a0a0a0" stroked="f"/>
        </w:pict>
      </w:r>
    </w:p>
    <w:p w:rsidR="00653D5C" w:rsidRDefault="00653D5C" w:rsidP="00653D5C">
      <w:pPr>
        <w:pStyle w:val="berschrift1"/>
      </w:pPr>
      <w:r>
        <w:t>3.3.48.346 Physikalische Spezialisierung</w:t>
      </w:r>
    </w:p>
    <w:p w:rsidR="00653D5C" w:rsidRDefault="00653D5C" w:rsidP="00653D5C">
      <w:pPr>
        <w:pStyle w:val="StandardWeb"/>
      </w:pPr>
      <w:r>
        <w:t>Eine physikalische Interpretation setzt eine zusätzliche Abbildung</w:t>
      </w:r>
    </w:p>
    <w:p w:rsidR="00653D5C" w:rsidRDefault="00653D5C" w:rsidP="00653D5C">
      <w:pPr>
        <w:pStyle w:val="StandardWeb"/>
      </w:pPr>
      <w:r>
        <w:t>[</w:t>
      </w:r>
      <w:r>
        <w:br/>
        <w:t>\Phi_{\mathrm{phys}}</w:t>
      </w:r>
      <w:r>
        <w:br/>
        <w:t>:</w:t>
      </w:r>
      <w:r>
        <w:br/>
        <w:t>\mathfrak E_{\mathrm{sym}}</w:t>
      </w:r>
      <w:r>
        <w:br/>
        <w:t>\rightarrow</w:t>
      </w:r>
      <w:r>
        <w:br/>
        <w:t>\mathfrak E_{\mathrm{phys}}</w:t>
      </w:r>
      <w:r>
        <w:br/>
        <w:t>\tag{3.12470}</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\Phi_{\mathrm{phys}}:\mathfrak E_{\mathrm{sym}}\rightarrow\mathfrak E_{\mathrm{phys}}</w:t>
      </w:r>
    </w:p>
    <w:p w:rsidR="00653D5C" w:rsidRDefault="00653D5C" w:rsidP="00653D5C">
      <w:pPr>
        <w:pStyle w:val="StandardWeb"/>
      </w:pPr>
      <w:r>
        <w:lastRenderedPageBreak/>
        <w:t>voraus.</w:t>
      </w:r>
    </w:p>
    <w:p w:rsidR="00653D5C" w:rsidRDefault="00E50336" w:rsidP="00653D5C">
      <w:r>
        <w:pict>
          <v:rect id="_x0000_i4516" style="width:0;height:1.5pt" o:hralign="center" o:hrstd="t" o:hr="t" fillcolor="#a0a0a0" stroked="f"/>
        </w:pict>
      </w:r>
    </w:p>
    <w:p w:rsidR="00653D5C" w:rsidRDefault="00653D5C" w:rsidP="00653D5C">
      <w:pPr>
        <w:pStyle w:val="berschrift1"/>
      </w:pPr>
      <w:r>
        <w:t>3.3.48.347 Definition 3.3.367 – Physikalische Spezialisierung einer funktionalen Symmetriestruktur</w:t>
      </w:r>
    </w:p>
    <w:p w:rsidR="00653D5C" w:rsidRDefault="00653D5C" w:rsidP="00653D5C">
      <w:pPr>
        <w:pStyle w:val="berschrift3"/>
      </w:pPr>
      <w:r>
        <w:t>Definition 3.3.367</w:t>
      </w:r>
    </w:p>
    <w:p w:rsidR="00653D5C" w:rsidRDefault="00653D5C" w:rsidP="00653D5C">
      <w:pPr>
        <w:pStyle w:val="StandardWeb"/>
      </w:pPr>
      <w:r>
        <w:t xml:space="preserve">Eine </w:t>
      </w:r>
      <w:r>
        <w:rPr>
          <w:rStyle w:val="Fett"/>
        </w:rPr>
        <w:t>physikalische Spezialisierung</w:t>
      </w:r>
      <w:r>
        <w:t xml:space="preserve"> einer funktionalen Symmetriestruktur ist eine zusätzliche Abbildung</w:t>
      </w:r>
    </w:p>
    <w:p w:rsidR="00653D5C" w:rsidRDefault="00653D5C" w:rsidP="00653D5C">
      <w:pPr>
        <w:pStyle w:val="StandardWeb"/>
      </w:pPr>
      <w:r>
        <w:t>[</w:t>
      </w:r>
      <w:r>
        <w:br/>
        <w:t>\boxed{</w:t>
      </w:r>
      <w:r>
        <w:br/>
        <w:t>\Phi_{\mathrm{phys}}</w:t>
      </w:r>
      <w:r>
        <w:br/>
        <w:t>:</w:t>
      </w:r>
      <w:r>
        <w:br/>
        <w:t>\mathfrak E_{\mathrm{sym}}</w:t>
      </w:r>
      <w:r>
        <w:br/>
        <w:t>\rightarrow</w:t>
      </w:r>
      <w:r>
        <w:br/>
        <w:t>\mathfrak E_{\mathrm{phys}},</w:t>
      </w:r>
      <w:r>
        <w:br/>
        <w:t>}</w:t>
      </w:r>
      <w:r>
        <w:br/>
        <w:t>\tag{3.12471}</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\boxed{\Phi_{\mathrm{phys}}:\mathfrak E_{\mathrm{sym}}\rightarrow\mathfrak E_{\mathrm{phys}},}</w:t>
      </w:r>
    </w:p>
    <w:p w:rsidR="00653D5C" w:rsidRDefault="00653D5C" w:rsidP="00653D5C">
      <w:pPr>
        <w:pStyle w:val="StandardWeb"/>
      </w:pPr>
      <w:r>
        <w:t>durch die funktionale Strukturen mit einer konkreten physikalischen Theorie verbunden werden.</w:t>
      </w:r>
    </w:p>
    <w:p w:rsidR="00653D5C" w:rsidRDefault="00E50336" w:rsidP="00653D5C">
      <w:r>
        <w:pict>
          <v:rect id="_x0000_i4517" style="width:0;height:1.5pt" o:hralign="center" o:hrstd="t" o:hr="t" fillcolor="#a0a0a0" stroked="f"/>
        </w:pict>
      </w:r>
    </w:p>
    <w:p w:rsidR="00653D5C" w:rsidRDefault="00653D5C" w:rsidP="00653D5C">
      <w:pPr>
        <w:pStyle w:val="berschrift1"/>
      </w:pPr>
      <w:r>
        <w:t>3.3.48.348 Methodologische Konsequenz der Spezialisierung</w:t>
      </w:r>
    </w:p>
    <w:p w:rsidR="00653D5C" w:rsidRDefault="00653D5C" w:rsidP="00653D5C">
      <w:pPr>
        <w:pStyle w:val="StandardWeb"/>
      </w:pPr>
      <w:r>
        <w:t>Ohne eine solche Spezialisierung gilt</w:t>
      </w:r>
    </w:p>
    <w:p w:rsidR="00653D5C" w:rsidRDefault="00653D5C" w:rsidP="00653D5C">
      <w:pPr>
        <w:pStyle w:val="StandardWeb"/>
      </w:pPr>
      <w:r>
        <w:t>[</w:t>
      </w:r>
      <w:r>
        <w:br/>
        <w:t>\boxed{</w:t>
      </w:r>
      <w:r>
        <w:br/>
        <w:t>\mathfrak E_{\mathrm{sym}}</w:t>
      </w:r>
      <w:r>
        <w:br/>
        <w:t>\not\equiv</w:t>
      </w:r>
      <w:r>
        <w:br/>
        <w:t>\mathfrak E_{\mathrm{phys}}.</w:t>
      </w:r>
      <w:r>
        <w:br/>
        <w:t>}</w:t>
      </w:r>
      <w:r>
        <w:br/>
        <w:t>\tag{3.12472}</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\boxed{\mathfrak E_{\mathrm{sym}}\not\equiv\mathfrak E_{\mathrm{phys}}.}</w:t>
      </w:r>
    </w:p>
    <w:p w:rsidR="00653D5C" w:rsidRDefault="00653D5C" w:rsidP="00653D5C">
      <w:pPr>
        <w:pStyle w:val="StandardWeb"/>
      </w:pPr>
      <w:r>
        <w:lastRenderedPageBreak/>
        <w:t>Damit verhindere ich, dass rein funktionale mathematische Strukturen vorschnell physikalisch interpretiert werden.</w:t>
      </w:r>
    </w:p>
    <w:p w:rsidR="00653D5C" w:rsidRDefault="00E50336" w:rsidP="00653D5C">
      <w:r>
        <w:pict>
          <v:rect id="_x0000_i4518" style="width:0;height:1.5pt" o:hralign="center" o:hrstd="t" o:hr="t" fillcolor="#a0a0a0" stroked="f"/>
        </w:pict>
      </w:r>
    </w:p>
    <w:p w:rsidR="00653D5C" w:rsidRDefault="00653D5C" w:rsidP="00653D5C">
      <w:pPr>
        <w:pStyle w:val="berschrift1"/>
      </w:pPr>
      <w:r>
        <w:t>3.3.48.349 Symmetrie und Erhaltung bleiben getrennte Ebenen</w:t>
      </w:r>
    </w:p>
    <w:p w:rsidR="00653D5C" w:rsidRDefault="00653D5C" w:rsidP="00653D5C">
      <w:pPr>
        <w:pStyle w:val="StandardWeb"/>
      </w:pPr>
      <w:r>
        <w:t>Abschnitt 3.3.47 behandelte Erhaltungs- und Bilanzstrukturen, während Abschnitt 3.3.48 Transformations- und Symmetriestrukturen behandelt.</w:t>
      </w:r>
    </w:p>
    <w:p w:rsidR="00653D5C" w:rsidRDefault="00653D5C" w:rsidP="00653D5C">
      <w:pPr>
        <w:pStyle w:val="StandardWeb"/>
      </w:pPr>
      <w:r>
        <w:t>Die bloße Existenz einer Symmetrie liefert im allgemeinen FRZK weiterhin keine Erhaltungsaussage:</w:t>
      </w:r>
    </w:p>
    <w:p w:rsidR="00653D5C" w:rsidRDefault="00653D5C" w:rsidP="00653D5C">
      <w:pPr>
        <w:pStyle w:val="StandardWeb"/>
      </w:pPr>
      <w:r>
        <w:t>[</w:t>
      </w:r>
      <w:r>
        <w:br/>
        <w:t>\boxed{</w:t>
      </w:r>
      <w:r>
        <w:br/>
        <w:t>\operatorname{Sym}_F</w:t>
      </w:r>
      <w:r>
        <w:br/>
        <w:t>\not\Rightarrow</w:t>
      </w:r>
      <w:r>
        <w:br/>
        <w:t>\operatorname{Cons}_F.</w:t>
      </w:r>
      <w:r>
        <w:br/>
        <w:t>}</w:t>
      </w:r>
      <w:r>
        <w:br/>
        <w:t>\tag{3.12473}</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\boxed{\operatorname{Sym}_F\not\Rightarrow\operatorname{Cons}_F.}</w:t>
      </w:r>
    </w:p>
    <w:p w:rsidR="00653D5C" w:rsidRDefault="00E50336" w:rsidP="00653D5C">
      <w:r>
        <w:pict>
          <v:rect id="_x0000_i4519" style="width:0;height:1.5pt" o:hralign="center" o:hrstd="t" o:hr="t" fillcolor="#a0a0a0" stroked="f"/>
        </w:pict>
      </w:r>
    </w:p>
    <w:p w:rsidR="00653D5C" w:rsidRDefault="00653D5C" w:rsidP="00653D5C">
      <w:pPr>
        <w:pStyle w:val="berschrift1"/>
      </w:pPr>
      <w:r>
        <w:t>3.3.48.350 Umgekehrte Trennung</w:t>
      </w:r>
    </w:p>
    <w:p w:rsidR="00653D5C" w:rsidRDefault="00653D5C" w:rsidP="00653D5C">
      <w:pPr>
        <w:pStyle w:val="StandardWeb"/>
      </w:pPr>
      <w:r>
        <w:t>Ebenso gilt</w:t>
      </w:r>
    </w:p>
    <w:p w:rsidR="00653D5C" w:rsidRDefault="00653D5C" w:rsidP="00653D5C">
      <w:pPr>
        <w:pStyle w:val="StandardWeb"/>
      </w:pPr>
      <w:r>
        <w:t>[</w:t>
      </w:r>
      <w:r>
        <w:br/>
        <w:t>\boxed{</w:t>
      </w:r>
      <w:r>
        <w:br/>
        <w:t>\operatorname{Cons}_F</w:t>
      </w:r>
      <w:r>
        <w:br/>
        <w:t>\not\Rightarrow</w:t>
      </w:r>
      <w:r>
        <w:br/>
        <w:t>\operatorname{Sym}_F.</w:t>
      </w:r>
      <w:r>
        <w:br/>
        <w:t>}</w:t>
      </w:r>
      <w:r>
        <w:br/>
        <w:t>\tag{3.12474}</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\boxed{\operatorname{Cons}_F\not\Rightarrow\operatorname{Sym}_F.}</w:t>
      </w:r>
    </w:p>
    <w:p w:rsidR="00653D5C" w:rsidRDefault="00653D5C" w:rsidP="00653D5C">
      <w:pPr>
        <w:pStyle w:val="StandardWeb"/>
      </w:pPr>
      <w:r>
        <w:t>Eine funktionale Erhaltungsrelation kann ohne nichttriviale Transformationssymmetrie definiert werden.</w:t>
      </w:r>
    </w:p>
    <w:p w:rsidR="00653D5C" w:rsidRDefault="00E50336" w:rsidP="00653D5C">
      <w:r>
        <w:pict>
          <v:rect id="_x0000_i4520" style="width:0;height:1.5pt" o:hralign="center" o:hrstd="t" o:hr="t" fillcolor="#a0a0a0" stroked="f"/>
        </w:pict>
      </w:r>
    </w:p>
    <w:p w:rsidR="00653D5C" w:rsidRDefault="00653D5C" w:rsidP="00653D5C">
      <w:pPr>
        <w:pStyle w:val="berschrift1"/>
      </w:pPr>
      <w:r>
        <w:lastRenderedPageBreak/>
        <w:t>3.3.48.351 Satz 3.3.158 – Funktionale Symmetrie und funktionale Erhaltung sind logisch unabhängig</w:t>
      </w:r>
    </w:p>
    <w:p w:rsidR="00653D5C" w:rsidRDefault="00653D5C" w:rsidP="00653D5C">
      <w:pPr>
        <w:pStyle w:val="berschrift3"/>
      </w:pPr>
      <w:r>
        <w:t>Satz 3.3.158</w:t>
      </w:r>
    </w:p>
    <w:p w:rsidR="00653D5C" w:rsidRDefault="00653D5C" w:rsidP="00653D5C">
      <w:pPr>
        <w:pStyle w:val="StandardWeb"/>
      </w:pPr>
      <w:r>
        <w:t>Ohne zusätzliche Kopplungsannahmen gilt</w:t>
      </w:r>
    </w:p>
    <w:p w:rsidR="00653D5C" w:rsidRDefault="00653D5C" w:rsidP="00653D5C">
      <w:pPr>
        <w:pStyle w:val="StandardWeb"/>
      </w:pPr>
      <w:r>
        <w:t>[</w:t>
      </w:r>
      <w:r>
        <w:br/>
        <w:t>\boxed{</w:t>
      </w:r>
      <w:r>
        <w:br/>
        <w:t>\operatorname{Sym}_F</w:t>
      </w:r>
      <w:r>
        <w:br/>
        <w:t>\not\Rightarrow</w:t>
      </w:r>
      <w:r>
        <w:br/>
        <w:t>\operatorname{Cons}_F</w:t>
      </w:r>
      <w:r>
        <w:br/>
        <w:t>\qquad\land\qquad</w:t>
      </w:r>
      <w:r>
        <w:br/>
        <w:t>\operatorname{Cons}_F</w:t>
      </w:r>
      <w:r>
        <w:br/>
        <w:t>\not\Rightarrow</w:t>
      </w:r>
      <w:r>
        <w:br/>
        <w:t>\operatorname{Sym}_F.</w:t>
      </w:r>
      <w:r>
        <w:br/>
        <w:t>}</w:t>
      </w:r>
      <w:r>
        <w:br/>
        <w:t>\tag{3.12475}</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\boxed{\operatorname{Sym}_F\not\Rightarrow\operatorname{Cons}_F\qquad\land\qquad\operatorname{Cons}_F\not\Rightarrow\operatorname{Sym}_F.}</w:t>
      </w:r>
    </w:p>
    <w:p w:rsidR="00653D5C" w:rsidRDefault="00E50336" w:rsidP="00653D5C">
      <w:r>
        <w:pict>
          <v:rect id="_x0000_i4521" style="width:0;height:1.5pt" o:hralign="center" o:hrstd="t" o:hr="t" fillcolor="#a0a0a0" stroked="f"/>
        </w:pict>
      </w:r>
    </w:p>
    <w:p w:rsidR="00653D5C" w:rsidRDefault="00653D5C" w:rsidP="00653D5C">
      <w:pPr>
        <w:pStyle w:val="berschrift1"/>
      </w:pPr>
      <w:r>
        <w:t>3.3.48.352 Konsequenz für ein mögliches Noether-artiges Resultat</w:t>
      </w:r>
    </w:p>
    <w:p w:rsidR="00653D5C" w:rsidRDefault="00653D5C" w:rsidP="00653D5C">
      <w:pPr>
        <w:pStyle w:val="StandardWeb"/>
      </w:pPr>
      <w:r>
        <w:t>Ein Noether-artiger Zusammenhang könnte im FRZK daher nur innerhalb einer zusätzlichen Modellklasse entstehen.</w:t>
      </w:r>
    </w:p>
    <w:p w:rsidR="00653D5C" w:rsidRDefault="00653D5C" w:rsidP="00653D5C">
      <w:pPr>
        <w:pStyle w:val="StandardWeb"/>
      </w:pPr>
      <w:r>
        <w:t>Ich schreibe dafür formal</w:t>
      </w:r>
    </w:p>
    <w:p w:rsidR="00653D5C" w:rsidRDefault="00653D5C" w:rsidP="00653D5C">
      <w:pPr>
        <w:pStyle w:val="StandardWeb"/>
      </w:pPr>
      <w:r>
        <w:t>[</w:t>
      </w:r>
      <w:r>
        <w:br/>
        <w:t>\mathfrak M_F^{\mathrm{Noether}}</w:t>
      </w:r>
      <w:r>
        <w:br/>
        <w:t>\subset</w:t>
      </w:r>
      <w:r>
        <w:br/>
        <w:t>\mathfrak M_F.</w:t>
      </w:r>
      <w:r>
        <w:br/>
        <w:t>\tag{3.12476}</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\mathfrak M_F^{\mathrm{Noether}}\subset\mathfrak M_F</w:t>
      </w:r>
    </w:p>
    <w:p w:rsidR="00653D5C" w:rsidRDefault="00E50336" w:rsidP="00653D5C">
      <w:r>
        <w:pict>
          <v:rect id="_x0000_i4522" style="width:0;height:1.5pt" o:hralign="center" o:hrstd="t" o:hr="t" fillcolor="#a0a0a0" stroked="f"/>
        </w:pict>
      </w:r>
    </w:p>
    <w:p w:rsidR="00653D5C" w:rsidRDefault="00653D5C" w:rsidP="00653D5C">
      <w:pPr>
        <w:pStyle w:val="berschrift1"/>
      </w:pPr>
      <w:r>
        <w:lastRenderedPageBreak/>
        <w:t>3.3.48.353 Definition 3.3.368 – Noether-kompatible FRZK-Modellklasse</w:t>
      </w:r>
    </w:p>
    <w:p w:rsidR="00653D5C" w:rsidRDefault="00653D5C" w:rsidP="00653D5C">
      <w:pPr>
        <w:pStyle w:val="berschrift3"/>
      </w:pPr>
      <w:r>
        <w:t>Definition 3.3.368</w:t>
      </w:r>
    </w:p>
    <w:p w:rsidR="00653D5C" w:rsidRDefault="00653D5C" w:rsidP="00653D5C">
      <w:pPr>
        <w:pStyle w:val="StandardWeb"/>
      </w:pPr>
      <w:r>
        <w:t xml:space="preserve">Eine FRZK-Modellklasse heißt </w:t>
      </w:r>
      <w:r>
        <w:rPr>
          <w:rStyle w:val="Fett"/>
        </w:rPr>
        <w:t>Noether-kompatibel</w:t>
      </w:r>
      <w:r>
        <w:t>, wenn zusätzliche mathematische Strukturen vorhanden sind, aus denen sich ein wohldefinierter Zusammenhang zwischen einer kontinuierlichen Symmetrie und einer funktionalen Erhaltungsgröße ableiten lässt.</w:t>
      </w:r>
    </w:p>
    <w:p w:rsidR="00653D5C" w:rsidRDefault="00653D5C" w:rsidP="00653D5C">
      <w:pPr>
        <w:pStyle w:val="StandardWeb"/>
      </w:pPr>
      <w:r>
        <w:t>Formal kennzeichne ich eine solche Klasse durch</w:t>
      </w:r>
    </w:p>
    <w:p w:rsidR="00653D5C" w:rsidRDefault="00653D5C" w:rsidP="00653D5C">
      <w:pPr>
        <w:pStyle w:val="StandardWeb"/>
      </w:pPr>
      <w:r>
        <w:t>[</w:t>
      </w:r>
      <w:r>
        <w:br/>
        <w:t>\boxed{</w:t>
      </w:r>
      <w:r>
        <w:br/>
        <w:t>\mathfrak M_F^{\mathrm{Noether}}</w:t>
      </w:r>
      <w:r>
        <w:br/>
        <w:t>:</w:t>
      </w:r>
      <w:r>
        <w:br/>
        <w:t>\operatorname{Sym}_{\mathrm{cont}}</w:t>
      </w:r>
      <w:r>
        <w:br/>
        <w:t>\Longrightarrow</w:t>
      </w:r>
      <w:r>
        <w:br/>
        <w:t>\operatorname{Cons}_F</w:t>
      </w:r>
      <w:r>
        <w:br/>
        <w:t>}</w:t>
      </w:r>
      <w:r>
        <w:br/>
        <w:t>\tag{3.12477}</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\boxed{\mathfrak M_F^{\mathrm{Noether}}:\operatorname{Sym}_{\mathrm{cont}}\Longrightarrow\operatorname{Cons}_F}</w:t>
      </w:r>
    </w:p>
    <w:p w:rsidR="00653D5C" w:rsidRDefault="00653D5C" w:rsidP="00653D5C">
      <w:pPr>
        <w:pStyle w:val="StandardWeb"/>
      </w:pPr>
      <w:r>
        <w:t>unter den jeweils zusätzlich angegebenen Voraussetzungen.</w:t>
      </w:r>
    </w:p>
    <w:p w:rsidR="00653D5C" w:rsidRDefault="00E50336" w:rsidP="00653D5C">
      <w:r>
        <w:pict>
          <v:rect id="_x0000_i4523" style="width:0;height:1.5pt" o:hralign="center" o:hrstd="t" o:hr="t" fillcolor="#a0a0a0" stroked="f"/>
        </w:pict>
      </w:r>
    </w:p>
    <w:p w:rsidR="00653D5C" w:rsidRDefault="00653D5C" w:rsidP="00653D5C">
      <w:pPr>
        <w:pStyle w:val="berschrift1"/>
      </w:pPr>
      <w:r>
        <w:t>3.3.48.354 Kein Noether-Axiom</w:t>
      </w:r>
    </w:p>
    <w:p w:rsidR="00653D5C" w:rsidRDefault="00653D5C" w:rsidP="00653D5C">
      <w:pPr>
        <w:pStyle w:val="StandardWeb"/>
      </w:pPr>
      <w:r>
        <w:t>Aus Definition 3.3.368 folgt ausdrücklich kein allgemeines FRZK-Axiom</w:t>
      </w:r>
    </w:p>
    <w:p w:rsidR="00653D5C" w:rsidRDefault="00653D5C" w:rsidP="00653D5C">
      <w:pPr>
        <w:pStyle w:val="StandardWeb"/>
      </w:pPr>
      <w:r>
        <w:t>[</w:t>
      </w:r>
      <w:r>
        <w:br/>
        <w:t>A_{\mathrm{Noether}}.</w:t>
      </w:r>
      <w:r>
        <w:br/>
        <w:t>\tag{3.12478}</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A_{\mathrm{Noether}}</w:t>
      </w:r>
    </w:p>
    <w:p w:rsidR="00653D5C" w:rsidRDefault="00653D5C" w:rsidP="00653D5C">
      <w:pPr>
        <w:pStyle w:val="StandardWeb"/>
      </w:pPr>
      <w:r>
        <w:t>Vielmehr gilt</w:t>
      </w:r>
    </w:p>
    <w:p w:rsidR="00653D5C" w:rsidRDefault="00653D5C" w:rsidP="00653D5C">
      <w:pPr>
        <w:pStyle w:val="berschrift1"/>
      </w:pPr>
      <w:r>
        <w:t>[</w:t>
      </w:r>
      <w:r>
        <w:br/>
        <w:t>\boxed{</w:t>
      </w:r>
      <w:r>
        <w:br/>
      </w:r>
      <w:r>
        <w:lastRenderedPageBreak/>
        <w:t>U_{\mathrm{Ax}}</w:t>
      </w:r>
      <w:r>
        <w:br/>
        <w:t>(A_{\mathrm{Noether}})</w:t>
      </w:r>
    </w:p>
    <w:p w:rsidR="00653D5C" w:rsidRDefault="00653D5C" w:rsidP="00152216">
      <w:pPr>
        <w:numPr>
          <w:ilvl w:val="0"/>
          <w:numId w:val="561"/>
        </w:numPr>
        <w:spacing w:before="100" w:beforeAutospacing="1" w:after="100" w:afterAutospacing="1"/>
      </w:pPr>
    </w:p>
    <w:p w:rsidR="00653D5C" w:rsidRDefault="00653D5C" w:rsidP="00653D5C">
      <w:pPr>
        <w:pStyle w:val="StandardWeb"/>
      </w:pPr>
      <w:r>
        <w:t>}</w:t>
      </w:r>
      <w:r>
        <w:br/>
        <w:t>\tag{3.12479}</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\boxed{U_{\mathrm{Ax}}(A_{\mathrm{Noether}})=0.}</w:t>
      </w:r>
    </w:p>
    <w:p w:rsidR="00653D5C" w:rsidRDefault="00E50336" w:rsidP="00653D5C">
      <w:r>
        <w:pict>
          <v:rect id="_x0000_i4524" style="width:0;height:1.5pt" o:hralign="center" o:hrstd="t" o:hr="t" fillcolor="#a0a0a0" stroked="f"/>
        </w:pict>
      </w:r>
    </w:p>
    <w:p w:rsidR="00653D5C" w:rsidRDefault="00653D5C" w:rsidP="00653D5C">
      <w:pPr>
        <w:pStyle w:val="berschrift1"/>
      </w:pPr>
      <w:r>
        <w:t>3.3.48.355 Satz 3.3.159 – Ein Noether-artiger Zusammenhang ist kein Primäraxiom des allgemeinen FRZK</w:t>
      </w:r>
    </w:p>
    <w:p w:rsidR="00653D5C" w:rsidRDefault="00653D5C" w:rsidP="00653D5C">
      <w:pPr>
        <w:pStyle w:val="berschrift3"/>
      </w:pPr>
      <w:r>
        <w:t>Satz 3.3.159</w:t>
      </w:r>
    </w:p>
    <w:p w:rsidR="00653D5C" w:rsidRDefault="00653D5C" w:rsidP="00653D5C">
      <w:pPr>
        <w:pStyle w:val="StandardWeb"/>
      </w:pPr>
      <w:r>
        <w:t>Ein Zusammenhang zwischen kontinuierlicher funktionaler Symmetrie und funktionaler Erhaltung kann nur unter zusätzlichen Modellannahmen formuliert werden.</w:t>
      </w:r>
    </w:p>
    <w:p w:rsidR="00653D5C" w:rsidRDefault="00653D5C" w:rsidP="00653D5C">
      <w:pPr>
        <w:pStyle w:val="StandardWeb"/>
      </w:pPr>
      <w:r>
        <w:t>Daher gilt</w:t>
      </w:r>
    </w:p>
    <w:p w:rsidR="00653D5C" w:rsidRDefault="00653D5C" w:rsidP="00653D5C">
      <w:pPr>
        <w:pStyle w:val="berschrift1"/>
      </w:pPr>
      <w:r>
        <w:t>[</w:t>
      </w:r>
      <w:r>
        <w:br/>
        <w:t>\boxed{</w:t>
      </w:r>
      <w:r>
        <w:br/>
        <w:t>U_{\mathrm{Ax}}</w:t>
      </w:r>
      <w:r>
        <w:br/>
        <w:t>(A_{\mathrm{Noether}})</w:t>
      </w:r>
    </w:p>
    <w:p w:rsidR="00653D5C" w:rsidRDefault="00653D5C" w:rsidP="00152216">
      <w:pPr>
        <w:numPr>
          <w:ilvl w:val="0"/>
          <w:numId w:val="562"/>
        </w:numPr>
        <w:spacing w:before="100" w:beforeAutospacing="1" w:after="100" w:afterAutospacing="1"/>
      </w:pPr>
    </w:p>
    <w:p w:rsidR="00653D5C" w:rsidRDefault="00653D5C" w:rsidP="00653D5C">
      <w:pPr>
        <w:pStyle w:val="StandardWeb"/>
      </w:pPr>
      <w:r>
        <w:t>}</w:t>
      </w:r>
      <w:r>
        <w:br/>
        <w:t>\tag{3.12480}</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\boxed{U_{\mathrm{Ax}}(A_{\mathrm{Noether}})=0.}</w:t>
      </w:r>
    </w:p>
    <w:p w:rsidR="00653D5C" w:rsidRDefault="00E50336" w:rsidP="00653D5C">
      <w:r>
        <w:pict>
          <v:rect id="_x0000_i4525" style="width:0;height:1.5pt" o:hralign="center" o:hrstd="t" o:hr="t" fillcolor="#a0a0a0" stroked="f"/>
        </w:pict>
      </w:r>
    </w:p>
    <w:p w:rsidR="00653D5C" w:rsidRDefault="00653D5C" w:rsidP="00653D5C">
      <w:pPr>
        <w:pStyle w:val="berschrift1"/>
      </w:pPr>
      <w:r>
        <w:t>3.3.48.356 Erweiterte Primäraxiomkandidatenmenge</w:t>
      </w:r>
    </w:p>
    <w:p w:rsidR="00653D5C" w:rsidRDefault="00653D5C" w:rsidP="00653D5C">
      <w:pPr>
        <w:pStyle w:val="StandardWeb"/>
      </w:pPr>
      <w:r>
        <w:t>Mit dem Noether-Kandidaten ergibt sich</w:t>
      </w:r>
    </w:p>
    <w:p w:rsidR="00653D5C" w:rsidRDefault="00653D5C" w:rsidP="00653D5C">
      <w:pPr>
        <w:pStyle w:val="berschrift1"/>
      </w:pPr>
      <w:r>
        <w:lastRenderedPageBreak/>
        <w:t>[</w:t>
      </w:r>
      <w:r>
        <w:br/>
        <w:t>\mathcal A_{\mathrm{sym}}^{\mathrm{cand},+}</w:t>
      </w:r>
    </w:p>
    <w:p w:rsidR="00653D5C" w:rsidRDefault="00653D5C" w:rsidP="00653D5C">
      <w:pPr>
        <w:pStyle w:val="StandardWeb"/>
      </w:pPr>
      <w:r>
        <w:t>\mathcal A_{\mathrm{sym}}^{\mathrm{cand}}</w:t>
      </w:r>
      <w:r>
        <w:br/>
        <w:t>\cup</w:t>
      </w:r>
      <w:r>
        <w:br/>
        <w:t>{</w:t>
      </w:r>
      <w:r>
        <w:br/>
        <w:t>A_{\mathrm{Noether}}</w:t>
      </w:r>
      <w:r>
        <w:br/>
        <w:t>}.</w:t>
      </w:r>
      <w:r>
        <w:br/>
        <w:t>\tag{3.12481}</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\mathcal A_{\mathrm{sym}}^{\mathrm{cand},+}=\mathcal A_{\mathrm{sym}}^{\mathrm{cand}}\cup\{A_{\mathrm{Noether}}\}</w:t>
      </w:r>
    </w:p>
    <w:p w:rsidR="00653D5C" w:rsidRDefault="00E50336" w:rsidP="00653D5C">
      <w:r>
        <w:pict>
          <v:rect id="_x0000_i4526" style="width:0;height:1.5pt" o:hralign="center" o:hrstd="t" o:hr="t" fillcolor="#a0a0a0" stroked="f"/>
        </w:pict>
      </w:r>
    </w:p>
    <w:p w:rsidR="00653D5C" w:rsidRDefault="00653D5C" w:rsidP="00653D5C">
      <w:pPr>
        <w:pStyle w:val="berschrift1"/>
      </w:pPr>
      <w:r>
        <w:t>3.3.48.357 Endgültige Primäraxiombilanz</w:t>
      </w:r>
    </w:p>
    <w:p w:rsidR="00653D5C" w:rsidRDefault="00653D5C" w:rsidP="00653D5C">
      <w:pPr>
        <w:pStyle w:val="StandardWeb"/>
      </w:pPr>
      <w:r>
        <w:t>Damit gilt endgültig</w:t>
      </w:r>
    </w:p>
    <w:p w:rsidR="00653D5C" w:rsidRDefault="00653D5C" w:rsidP="00653D5C">
      <w:pPr>
        <w:pStyle w:val="berschrift1"/>
      </w:pPr>
      <w:r>
        <w:t>[</w:t>
      </w:r>
      <w:r>
        <w:br/>
        <w:t>\boxed{</w:t>
      </w:r>
      <w:r>
        <w:br/>
        <w:t>U_{\mathrm{Ax}}(A)</w:t>
      </w:r>
    </w:p>
    <w:p w:rsidR="00653D5C" w:rsidRDefault="00653D5C" w:rsidP="00653D5C">
      <w:pPr>
        <w:pStyle w:val="StandardWeb"/>
      </w:pPr>
      <w:r>
        <w:t>0</w:t>
      </w:r>
      <w:r>
        <w:br/>
        <w:t>\qquad</w:t>
      </w:r>
      <w:r>
        <w:br/>
        <w:t>\forall</w:t>
      </w:r>
      <w:r>
        <w:br/>
        <w:t>A</w:t>
      </w:r>
      <w:r>
        <w:br/>
        <w:t>\in</w:t>
      </w:r>
      <w:r>
        <w:br/>
        <w:t>\mathcal A_{\mathrm{sym}}^{\mathrm{cand},+}.</w:t>
      </w:r>
      <w:r>
        <w:br/>
        <w:t>}</w:t>
      </w:r>
      <w:r>
        <w:br/>
        <w:t>\tag{3.12482}</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\boxed{U_{\mathrm{Ax}}(A)=0\qquad\forall A\in\mathcal A_{\mathrm{sym}}^{\mathrm{cand},+}.}</w:t>
      </w:r>
    </w:p>
    <w:p w:rsidR="00653D5C" w:rsidRDefault="00E50336" w:rsidP="00653D5C">
      <w:r>
        <w:pict>
          <v:rect id="_x0000_i4527" style="width:0;height:1.5pt" o:hralign="center" o:hrstd="t" o:hr="t" fillcolor="#a0a0a0" stroked="f"/>
        </w:pict>
      </w:r>
    </w:p>
    <w:p w:rsidR="00653D5C" w:rsidRDefault="00653D5C" w:rsidP="00653D5C">
      <w:pPr>
        <w:pStyle w:val="berschrift1"/>
      </w:pPr>
      <w:r>
        <w:t>3.3.48.358 Satz 3.3.160 – Endgültige Axiomentscheidung von Abschnitt 3.3.48</w:t>
      </w:r>
    </w:p>
    <w:p w:rsidR="00653D5C" w:rsidRDefault="00653D5C" w:rsidP="00653D5C">
      <w:pPr>
        <w:pStyle w:val="berschrift3"/>
      </w:pPr>
      <w:r>
        <w:t>Satz 3.3.160</w:t>
      </w:r>
    </w:p>
    <w:p w:rsidR="00653D5C" w:rsidRDefault="00653D5C" w:rsidP="00653D5C">
      <w:pPr>
        <w:pStyle w:val="StandardWeb"/>
      </w:pPr>
      <w:r>
        <w:lastRenderedPageBreak/>
        <w:t>Abschnitt 3.3.48 erweitert den mathematischen und operationalen Apparat des FRZK erheblich, verändert jedoch die minimale FRZK-Primäraxiomatik nicht.</w:t>
      </w:r>
    </w:p>
    <w:p w:rsidR="00653D5C" w:rsidRDefault="00653D5C" w:rsidP="00653D5C">
      <w:pPr>
        <w:pStyle w:val="StandardWeb"/>
      </w:pPr>
      <w:r>
        <w:t>Es gilt endgültig</w:t>
      </w:r>
    </w:p>
    <w:p w:rsidR="00653D5C" w:rsidRDefault="00653D5C" w:rsidP="00653D5C">
      <w:pPr>
        <w:pStyle w:val="berschrift1"/>
      </w:pPr>
      <w:r>
        <w:t>[</w:t>
      </w:r>
      <w:r>
        <w:br/>
        <w:t>\boxed{</w:t>
      </w:r>
      <w:r>
        <w:br/>
        <w:t>\mathcal A_{3.3.48}^{\mathrm{new}}</w:t>
      </w:r>
    </w:p>
    <w:p w:rsidR="00653D5C" w:rsidRDefault="00653D5C" w:rsidP="00653D5C">
      <w:pPr>
        <w:pStyle w:val="StandardWeb"/>
      </w:pPr>
      <w:r>
        <w:t>\varnothing.</w:t>
      </w:r>
      <w:r>
        <w:br/>
        <w:t>}</w:t>
      </w:r>
      <w:r>
        <w:br/>
        <w:t>\tag{3.12483}</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\boxed{\mathcal A_{3.3.48}^{\mathrm{new}}=\varnothing.}</w:t>
      </w:r>
    </w:p>
    <w:p w:rsidR="00653D5C" w:rsidRDefault="00E50336" w:rsidP="00653D5C">
      <w:r>
        <w:pict>
          <v:rect id="_x0000_i4528" style="width:0;height:1.5pt" o:hralign="center" o:hrstd="t" o:hr="t" fillcolor="#a0a0a0" stroked="f"/>
        </w:pict>
      </w:r>
    </w:p>
    <w:p w:rsidR="00653D5C" w:rsidRDefault="00653D5C" w:rsidP="00653D5C">
      <w:pPr>
        <w:pStyle w:val="berschrift1"/>
      </w:pPr>
      <w:r>
        <w:t>3.3.48.359 Definition 3.3.369 – Gesamtklassifikation von Abschnitt 3.3.48</w:t>
      </w:r>
    </w:p>
    <w:p w:rsidR="00653D5C" w:rsidRDefault="00653D5C" w:rsidP="00653D5C">
      <w:pPr>
        <w:pStyle w:val="berschrift3"/>
      </w:pPr>
      <w:r>
        <w:t>Definition 3.3.369</w:t>
      </w:r>
    </w:p>
    <w:p w:rsidR="00653D5C" w:rsidRDefault="00653D5C" w:rsidP="00653D5C">
      <w:pPr>
        <w:pStyle w:val="StandardWeb"/>
      </w:pPr>
      <w:r>
        <w:t>Die endgültige Klassifikation von Abschnitt 3.3.48 lautet</w:t>
      </w:r>
    </w:p>
    <w:p w:rsidR="00653D5C" w:rsidRDefault="00653D5C" w:rsidP="00653D5C">
      <w:pPr>
        <w:pStyle w:val="berschrift1"/>
      </w:pPr>
      <w:r>
        <w:t>[</w:t>
      </w:r>
      <w:r>
        <w:br/>
        <w:t>\boxed{</w:t>
      </w:r>
      <w:r>
        <w:br/>
        <w:t>\mathfrak C_{3.3.48}</w:t>
      </w:r>
    </w:p>
    <w:p w:rsidR="00653D5C" w:rsidRDefault="00653D5C" w:rsidP="00653D5C">
      <w:pPr>
        <w:pStyle w:val="StandardWeb"/>
      </w:pPr>
      <w:r>
        <w:t>\left(</w:t>
      </w:r>
      <w:r>
        <w:br/>
        <w:t>\mathfrak D_{\mathrm{sym}},</w:t>
      </w:r>
      <w:r>
        <w:br/>
        <w:t>\mathfrak M_{\mathrm{sym}},</w:t>
      </w:r>
      <w:r>
        <w:br/>
        <w:t>\mathfrak O_{\mathrm{sym}},</w:t>
      </w:r>
      <w:r>
        <w:br/>
        <w:t>\mathfrak R_{\mathrm{sym}}</w:t>
      </w:r>
      <w:r>
        <w:br/>
        <w:t>\right),</w:t>
      </w:r>
      <w:r>
        <w:br/>
        <w:t>}</w:t>
      </w:r>
      <w:r>
        <w:br/>
        <w:t>\tag{3.12484}</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\boxed{\mathfrak C_{3.3.48}=\left(\mathfrak D_{\mathrm{sym}},\mathfrak M_{\mathrm{sym}},\mathfrak O_{\mathrm{sym}},\mathfrak R_{\mathrm{sym}}\right),}</w:t>
      </w:r>
    </w:p>
    <w:p w:rsidR="00653D5C" w:rsidRDefault="00653D5C" w:rsidP="00653D5C">
      <w:pPr>
        <w:pStyle w:val="StandardWeb"/>
      </w:pPr>
      <w:r>
        <w:lastRenderedPageBreak/>
        <w:t>wobei (\mathfrak D_{\mathrm{sym}}) die Definitionen und mathematisch abgeleiteten Aussagen, (\mathfrak M_{\mathrm{sym}}) die Modellannahmen, (\mathfrak O_{\mathrm{sym}}) die Operationalisierungen und (\mathfrak R_{\mathrm{sym}}) die Residual- und Diagnosegrößen umfasst.</w:t>
      </w:r>
    </w:p>
    <w:p w:rsidR="00653D5C" w:rsidRDefault="00E50336" w:rsidP="00653D5C">
      <w:r>
        <w:pict>
          <v:rect id="_x0000_i4529" style="width:0;height:1.5pt" o:hralign="center" o:hrstd="t" o:hr="t" fillcolor="#a0a0a0" stroked="f"/>
        </w:pict>
      </w:r>
    </w:p>
    <w:p w:rsidR="00653D5C" w:rsidRDefault="00653D5C" w:rsidP="00653D5C">
      <w:pPr>
        <w:pStyle w:val="berschrift1"/>
      </w:pPr>
      <w:r>
        <w:t>3.3.48.360 Primäraxiomkomponente der Gesamtklassifikation</w:t>
      </w:r>
    </w:p>
    <w:p w:rsidR="00653D5C" w:rsidRDefault="00653D5C" w:rsidP="00653D5C">
      <w:pPr>
        <w:pStyle w:val="StandardWeb"/>
      </w:pPr>
      <w:r>
        <w:t>Die Primäraxiomkomponente ist leer:</w:t>
      </w:r>
    </w:p>
    <w:p w:rsidR="00653D5C" w:rsidRDefault="00653D5C" w:rsidP="00653D5C">
      <w:pPr>
        <w:pStyle w:val="berschrift1"/>
      </w:pPr>
      <w:r>
        <w:t>[</w:t>
      </w:r>
      <w:r>
        <w:br/>
        <w:t>\boxed{</w:t>
      </w:r>
      <w:r>
        <w:br/>
        <w:t>\mathfrak A_{\mathrm{sym}}</w:t>
      </w:r>
    </w:p>
    <w:p w:rsidR="00653D5C" w:rsidRDefault="00653D5C" w:rsidP="00653D5C">
      <w:pPr>
        <w:pStyle w:val="StandardWeb"/>
      </w:pPr>
      <w:r>
        <w:t>\varnothing.</w:t>
      </w:r>
      <w:r>
        <w:br/>
        <w:t>}</w:t>
      </w:r>
      <w:r>
        <w:br/>
        <w:t>\tag{3.12485}</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\boxed{\mathfrak A_{\mathrm{sym}}=\varnothing.}</w:t>
      </w:r>
    </w:p>
    <w:p w:rsidR="00653D5C" w:rsidRDefault="00E50336" w:rsidP="00653D5C">
      <w:r>
        <w:pict>
          <v:rect id="_x0000_i4530" style="width:0;height:1.5pt" o:hralign="center" o:hrstd="t" o:hr="t" fillcolor="#a0a0a0" stroked="f"/>
        </w:pict>
      </w:r>
    </w:p>
    <w:p w:rsidR="00653D5C" w:rsidRDefault="00653D5C" w:rsidP="00653D5C">
      <w:pPr>
        <w:pStyle w:val="berschrift1"/>
      </w:pPr>
      <w:r>
        <w:t>3.3.48.361 Methodologische Betrachtungen</w:t>
      </w:r>
    </w:p>
    <w:p w:rsidR="00653D5C" w:rsidRDefault="00653D5C" w:rsidP="00653D5C">
      <w:pPr>
        <w:pStyle w:val="StandardWeb"/>
      </w:pPr>
      <w:r>
        <w:t>Mit Abschnitt 3.3.48 habe ich eine Grenze gezogen, die für die weitere Entwicklung des FRZK wesentlich ist. Symmetrie ist für mich zunächst keine physikalische Eigenschaft, sondern eine mathematisch definierte Relation zwischen Transformation und Strukturerhaltung. Erst wenn eine konkrete Modellklasse festlegt, welche Zustände, Relationen, Operatoren und Beobachtungsgrößen transformiert werden, erhält der Symmetriebegriff eine spezifische inhaltliche Bedeutung.</w:t>
      </w:r>
    </w:p>
    <w:p w:rsidR="00653D5C" w:rsidRDefault="00653D5C" w:rsidP="00653D5C">
      <w:pPr>
        <w:pStyle w:val="StandardWeb"/>
      </w:pPr>
      <w:r>
        <w:t>Ich habe deshalb bewusst zwischen Invarianz, Äquivarianz und Kovarianz unterschieden. Invarianz verlangt die Gleichheit einer betrachteten Größe vor und nach einer Transformation. Äquivarianz erlaubt dagegen, dass sich die Größe selbst nach einer zugehörigen Transformationsregel verändert. Kovarianz bezieht sich schließlich auf die Erhaltung einer Gleichungs- oder Relationsform unter einer festgelegten Transformationsregel. Diese Begriffe sind miteinander verwandt, aber nicht austauschbar.</w:t>
      </w:r>
    </w:p>
    <w:p w:rsidR="00653D5C" w:rsidRDefault="00653D5C" w:rsidP="00653D5C">
      <w:pPr>
        <w:pStyle w:val="StandardWeb"/>
      </w:pPr>
      <w:r>
        <w:t xml:space="preserve">Methodologisch entscheidend ist außerdem die Trennung zwischen einer mathematischen Struktur und ihrer physikalischen Interpretation. Eine Gruppe funktionaler Transformationen ist zunächst nur eine Gruppe von Abbildungen. Ein Quotientenraum ist zunächst nur eine mathematische Identifikation von Äquivalenzklassen. Eine Repräsentantenauswahl ist zunächst nur eine zusätzliche Auswahlregel. Aus keiner dieser Strukturen folgt ohne weitere </w:t>
      </w:r>
      <w:r>
        <w:lastRenderedPageBreak/>
        <w:t>Annahmen eine Raum-Zeit-Symmetrie, Lorentz-Invarianz, Poincaré-Symmetrie oder Eichtheorie.</w:t>
      </w:r>
    </w:p>
    <w:p w:rsidR="00653D5C" w:rsidRDefault="00653D5C" w:rsidP="00653D5C">
      <w:pPr>
        <w:pStyle w:val="StandardWeb"/>
      </w:pPr>
      <w:r>
        <w:t>Dasselbe gilt für den Zusammenhang zwischen Symmetrie und Erhaltung. In Abschnitt 3.3.47 habe ich funktionale Erhaltung als eigenständige Erweiterungsstruktur untersucht. In Abschnitt 3.3.48 habe ich funktionale Symmetrien untersucht. Erst zusätzliche Modellannahmen könnten beide Ebenen miteinander verbinden. Genau deshalb habe ich einen Noether-artigen Zusammenhang nicht als universelles FRZK-Prinzip übernommen, sondern lediglich als mögliche Eigenschaft einer spezielleren Modellklasse zugelassen.</w:t>
      </w:r>
    </w:p>
    <w:p w:rsidR="00653D5C" w:rsidRDefault="00653D5C" w:rsidP="00653D5C">
      <w:pPr>
        <w:pStyle w:val="StandardWeb"/>
      </w:pPr>
      <w:r>
        <w:t>Ein weiterer methodologischer Gewinn liegt in der Behandlung von Beobachtbarkeit und Rekonstruktion. Symmetrien können dazu führen, dass verschiedene Zustände dieselben Beobachtungsdaten erzeugen. Daraus folgt jedoch nicht, dass jede Nichtidentifizierbarkeit symmetriebedingt ist. Informationsverlust kann auch durch Projektion, Aggregation oder unvollständige Beobachtung entstehen. Die Unterscheidung zwischen Symmetrieäquivalenz und Beobachtungsäquivalenz verhindert daher eine vorschnelle Interpretation von Mehrdeutigkeit.</w:t>
      </w:r>
    </w:p>
    <w:p w:rsidR="00653D5C" w:rsidRDefault="00653D5C" w:rsidP="00653D5C">
      <w:pPr>
        <w:pStyle w:val="StandardWeb"/>
      </w:pPr>
      <w:r>
        <w:t>Schließlich zeigt die Primäraxiomprüfung erneut, dass mathematische Nützlichkeit nicht mit axiomatischer Notwendigkeit identisch ist. Nahezu alle in diesem Abschnitt eingeführten Strukturen können für konkrete FRZK-Modelle sehr leistungsfähig sein. Dennoch ist keine davon für die minimale Existenz des allgemeinen FRZK zwingend erforderlich. Gerade diese Trennung erlaubt es mir, den axiomatischen Kern klein zu halten und dennoch einen umfangreichen mathematischen Erweiterungsapparat bereitzustellen.</w:t>
      </w:r>
    </w:p>
    <w:p w:rsidR="00653D5C" w:rsidRDefault="00E50336" w:rsidP="00653D5C">
      <w:r>
        <w:pict>
          <v:rect id="_x0000_i4531" style="width:0;height:1.5pt" o:hralign="center" o:hrstd="t" o:hr="t" fillcolor="#a0a0a0" stroked="f"/>
        </w:pict>
      </w:r>
    </w:p>
    <w:p w:rsidR="00653D5C" w:rsidRDefault="00653D5C" w:rsidP="00653D5C">
      <w:pPr>
        <w:pStyle w:val="berschrift1"/>
      </w:pPr>
      <w:r>
        <w:t>3.3.48.362 Didaktische Betrachtungen</w:t>
      </w:r>
    </w:p>
    <w:p w:rsidR="00653D5C" w:rsidRDefault="00653D5C" w:rsidP="00653D5C">
      <w:pPr>
        <w:pStyle w:val="StandardWeb"/>
      </w:pPr>
      <w:r>
        <w:t>Didaktisch erscheint mir der Zugang über einfache Transformationen besonders geeignet, weil der Symmetriebegriff dadurch zunächst ohne physikalische Vorannahmen verständlich wird. Ein Zustand wird transformiert, und anschließend wird geprüft, was sich verändert und was unverändert bleibt. Erst auf dieser Grundlage führe ich Symmetrien, Gruppen und schließlich komplexere Begriffe wie Äquivarianz und Kovarianz ein.</w:t>
      </w:r>
    </w:p>
    <w:p w:rsidR="00653D5C" w:rsidRDefault="00653D5C" w:rsidP="00653D5C">
      <w:pPr>
        <w:pStyle w:val="StandardWeb"/>
      </w:pPr>
      <w:r>
        <w:t>Für das Verständnis ist es hilfreich, zwischen „gleich bleiben“ und „sich regelgerecht verändern“ zu unterscheiden. Invarianz bedeutet, dass eine Größe nach der Transformation denselben Wert besitzt. Äquivarianz bedeutet dagegen, dass auch der Wertebereich transformiert wird und beide Transformationen miteinander verträglich sind. Diese Unterscheidung lässt sich bereits mit sehr einfachen Beispielen demonstrieren und verhindert später begriffliche Verwechslungen.</w:t>
      </w:r>
    </w:p>
    <w:p w:rsidR="00653D5C" w:rsidRDefault="00653D5C" w:rsidP="00653D5C">
      <w:pPr>
        <w:pStyle w:val="StandardWeb"/>
      </w:pPr>
      <w:r>
        <w:t>Ebenso wichtig ist die Unterscheidung zwischen einem einzelnen Zustand und seiner Symmetrieklasse. Wenn mehrere Zustände durch Transformationen ineinander überführt werden können, kann eine Beobachtung entweder diese Unterschiede erfassen oder gegenüber ihnen blind sein. Der Quotientenraum bietet dafür eine anschauliche mathematische Darstellung: Statt jeden einzelnen Zustand getrennt zu betrachten, wird eine gesamte Klasse strukturell gleichwertiger Zustände als ein gemeinsames Objekt behandelt.</w:t>
      </w:r>
    </w:p>
    <w:p w:rsidR="00653D5C" w:rsidRDefault="00653D5C" w:rsidP="00653D5C">
      <w:pPr>
        <w:pStyle w:val="StandardWeb"/>
      </w:pPr>
      <w:r>
        <w:t xml:space="preserve">Die Rekonstruktionsproblematik verdeutlicht zugleich, warum Beobachtungsdaten eine Theorie nicht immer eindeutig bestimmen. Wenn mehrere Zustände dieselben </w:t>
      </w:r>
      <w:r>
        <w:lastRenderedPageBreak/>
        <w:t>Beobachtungswerte besitzen, kann keine Rekonstruktionsmethode aus diesen Daten allein eindeutig entscheiden, welcher Zustand vorlag. Besonders anschaulich wird dies, wenn die Mehrdeutigkeit genau einer Symmetrieklasse entspricht. Dann ist nicht der einzelne Zustand, sondern nur seine Klasse beobachtbar.</w:t>
      </w:r>
    </w:p>
    <w:p w:rsidR="00653D5C" w:rsidRDefault="00653D5C" w:rsidP="00653D5C">
      <w:pPr>
        <w:pStyle w:val="StandardWeb"/>
      </w:pPr>
      <w:r>
        <w:t>Für die weitere Darstellung des FRZK ist diese didaktische Struktur nützlich, weil ich später auf die hier eingeführten Begriffe zurückgreifen kann, ohne sie erneut grundlegend erklären zu müssen. Transformation, Invarianz, Äquivarianz, Symmetrieklasse, Quotient, Beobachtungsäquivalenz und Rekonstruktion bilden damit einen zusammenhängenden Begriffsapparat für spätere Modellierungs- und Rekonstruktionsfragen.</w:t>
      </w:r>
    </w:p>
    <w:p w:rsidR="00653D5C" w:rsidRDefault="00E50336" w:rsidP="00653D5C">
      <w:r>
        <w:pict>
          <v:rect id="_x0000_i4532" style="width:0;height:1.5pt" o:hralign="center" o:hrstd="t" o:hr="t" fillcolor="#a0a0a0" stroked="f"/>
        </w:pict>
      </w:r>
    </w:p>
    <w:p w:rsidR="00653D5C" w:rsidRDefault="00653D5C" w:rsidP="00653D5C">
      <w:pPr>
        <w:pStyle w:val="berschrift1"/>
      </w:pPr>
      <w:r>
        <w:t>3.3.48.363 Gesamtabschluss von Abschnitt 3.3.48</w:t>
      </w:r>
    </w:p>
    <w:p w:rsidR="00653D5C" w:rsidRDefault="00653D5C" w:rsidP="00653D5C">
      <w:pPr>
        <w:pStyle w:val="StandardWeb"/>
      </w:pPr>
      <w:r>
        <w:t>Abschnitt 3.3.48 ist damit vollständig abgeschlossen.</w:t>
      </w:r>
    </w:p>
    <w:p w:rsidR="00653D5C" w:rsidRDefault="00653D5C" w:rsidP="00653D5C">
      <w:pPr>
        <w:pStyle w:val="StandardWeb"/>
      </w:pPr>
      <w:r>
        <w:t>Die entwickelte Struktur lässt sich zusammenfassen als</w:t>
      </w:r>
    </w:p>
    <w:p w:rsidR="00653D5C" w:rsidRDefault="00653D5C" w:rsidP="00653D5C">
      <w:pPr>
        <w:pStyle w:val="berschrift1"/>
      </w:pPr>
      <w:r>
        <w:t>[</w:t>
      </w:r>
      <w:r>
        <w:br/>
        <w:t>\boxed{</w:t>
      </w:r>
      <w:r>
        <w:br/>
        <w:t>\mathfrak E_{\mathrm{sym}}</w:t>
      </w:r>
    </w:p>
    <w:p w:rsidR="00653D5C" w:rsidRDefault="00653D5C" w:rsidP="00653D5C">
      <w:pPr>
        <w:pStyle w:val="berschrift1"/>
      </w:pPr>
      <w:r>
        <w:t>\mathfrak D_{\mathrm{sym}}</w:t>
      </w:r>
      <w:r>
        <w:br/>
        <w:t>\cup</w:t>
      </w:r>
      <w:r>
        <w:br/>
        <w:t>\mathfrak M_{\mathrm{sym}}</w:t>
      </w:r>
      <w:r>
        <w:br/>
        <w:t>\cup</w:t>
      </w:r>
      <w:r>
        <w:br/>
        <w:t>\mathfrak O_{\mathrm{sym}}</w:t>
      </w:r>
      <w:r>
        <w:br/>
        <w:t>\cup</w:t>
      </w:r>
      <w:r>
        <w:br/>
        <w:t>\mathfrak R_{\mathrm{sym}},</w:t>
      </w:r>
      <w:r>
        <w:br/>
        <w:t>\qquad</w:t>
      </w:r>
      <w:r>
        <w:br/>
        <w:t>\mathfrak A_{\mathrm{sym}}</w:t>
      </w:r>
    </w:p>
    <w:p w:rsidR="00653D5C" w:rsidRDefault="00653D5C" w:rsidP="00653D5C">
      <w:pPr>
        <w:pStyle w:val="StandardWeb"/>
      </w:pPr>
      <w:r>
        <w:t>\varnothing.</w:t>
      </w:r>
      <w:r>
        <w:br/>
        <w:t>}</w:t>
      </w:r>
      <w:r>
        <w:br/>
        <w:t>\tag{3.12486}</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\boxed{\mathfrak E_{\mathrm{sym}}=\mathfrak D_{\mathrm{sym}}\cup\mathfrak M_{\mathrm{sym}}\cup\mathfrak O_{\mathrm{sym}}\cup\mathfrak R_{\mathrm{sym}},\qquad\mathfrak A_{\mathrm{sym}}=\varnothing.}</w:t>
      </w:r>
    </w:p>
    <w:p w:rsidR="00653D5C" w:rsidRDefault="00653D5C" w:rsidP="00653D5C">
      <w:pPr>
        <w:pStyle w:val="StandardWeb"/>
      </w:pPr>
      <w:r>
        <w:lastRenderedPageBreak/>
        <w:t>Der Abschnitt erweitert damit das FRZK um eine umfassende funktionale Transformations-, Symmetrie-, Invarianz-, Beobachtungs- und Rekonstruktionsarchitektur, ohne ein neues Primäraxiom einzuführen.</w:t>
      </w:r>
    </w:p>
    <w:p w:rsidR="00653D5C" w:rsidRDefault="00653D5C" w:rsidP="00653D5C">
      <w:pPr>
        <w:pStyle w:val="StandardWeb"/>
      </w:pPr>
      <w:r>
        <w:t>Der bestätigte Endstand lautet:</w:t>
      </w:r>
    </w:p>
    <w:p w:rsidR="00653D5C" w:rsidRDefault="00653D5C" w:rsidP="00653D5C">
      <w:pPr>
        <w:pStyle w:val="StandardWeb"/>
      </w:pPr>
      <w:r>
        <w:t>[</w:t>
      </w:r>
      <w:r>
        <w:br/>
        <w:t>\boxed{</w:t>
      </w:r>
      <w:r>
        <w:br/>
        <w:t>\text{letzter Textpunkt}=3.3.48.363,</w:t>
      </w:r>
      <w:r>
        <w:br/>
        <w:t>\qquad</w:t>
      </w:r>
      <w:r>
        <w:br/>
        <w:t>\text{letzte Gleichung}=(3.12486).</w:t>
      </w:r>
      <w:r>
        <w:br/>
        <w:t>}</w:t>
      </w:r>
      <w:r>
        <w:br/>
        <w:t>\tag{3.12487}</w:t>
      </w:r>
      <w:r>
        <w:br/>
        <w:t>]</w:t>
      </w:r>
    </w:p>
    <w:p w:rsidR="00653D5C" w:rsidRDefault="00653D5C" w:rsidP="00653D5C">
      <w:pPr>
        <w:pStyle w:val="StandardWeb"/>
      </w:pPr>
      <w:r>
        <w:rPr>
          <w:rStyle w:val="Fett"/>
        </w:rPr>
        <w:t>Word-LaTeX</w:t>
      </w:r>
    </w:p>
    <w:p w:rsidR="00653D5C" w:rsidRDefault="00653D5C" w:rsidP="00653D5C">
      <w:pPr>
        <w:pStyle w:val="HTMLVorformatiert"/>
        <w:rPr>
          <w:rStyle w:val="HTMLCode"/>
        </w:rPr>
      </w:pPr>
      <w:r>
        <w:rPr>
          <w:rStyle w:val="HTMLCode"/>
        </w:rPr>
        <w:t>\boxed{\text{letzter Textpunkt}=3.3.48.363,\qquad\text{letzte Gleichung}=(3.12486).}</w:t>
      </w:r>
    </w:p>
    <w:p w:rsidR="00653D5C" w:rsidRDefault="00653D5C" w:rsidP="00653D5C">
      <w:pPr>
        <w:pStyle w:val="StandardWeb"/>
      </w:pPr>
      <w:r>
        <w:t xml:space="preserve">Der nächste Abschnitt beginnt damit bei </w:t>
      </w:r>
      <w:r>
        <w:rPr>
          <w:rStyle w:val="Fett"/>
        </w:rPr>
        <w:t>3.3.49.0 / Gleichung (3.12488)</w:t>
      </w:r>
      <w:r>
        <w:t>.</w:t>
      </w:r>
    </w:p>
    <w:p w:rsidR="00980458" w:rsidRDefault="00980458" w:rsidP="00980458">
      <w:pPr>
        <w:pStyle w:val="berschrift1"/>
        <w:rPr>
          <w:rFonts w:cs="Times New Roman"/>
          <w:sz w:val="48"/>
          <w:szCs w:val="48"/>
        </w:rPr>
      </w:pPr>
      <w:r>
        <w:t>3.3.49 Funktionale Abhängigkeit, gerichtete Einflussstruktur und Kausalitätsabgrenzung</w:t>
      </w:r>
    </w:p>
    <w:p w:rsidR="00980458" w:rsidRDefault="00980458" w:rsidP="00980458">
      <w:pPr>
        <w:pStyle w:val="berschrift1"/>
      </w:pPr>
      <w:r>
        <w:t>3.3.49.0 Ausgangspunkt</w:t>
      </w:r>
    </w:p>
    <w:p w:rsidR="00980458" w:rsidRDefault="00980458" w:rsidP="00980458">
      <w:pPr>
        <w:pStyle w:val="StandardWeb"/>
      </w:pPr>
      <w:r>
        <w:t xml:space="preserve">Nach dem Abschluss der funktionalen Symmetrie- und Invarianzarchitektur untersuche ich nun, wie </w:t>
      </w:r>
      <w:r>
        <w:rPr>
          <w:rStyle w:val="Fett"/>
        </w:rPr>
        <w:t>gerichtete Abhängigkeiten zwischen funktionalen Zustandsgrößen, Zuständen und Übergängen</w:t>
      </w:r>
      <w:r>
        <w:t xml:space="preserve"> formal beschrieben werden können. Dabei vermeide ich zunächst bewusst den physikalisch und philosophisch stärker belasteten Begriff der Kausalität. Eine mathematisch nachweisbare Abhängigkeit oder gerichtete Einflussrelation ist nicht automatisch eine kausale Aussage.</w:t>
      </w:r>
    </w:p>
    <w:p w:rsidR="00980458" w:rsidRDefault="00980458" w:rsidP="00980458">
      <w:pPr>
        <w:pStyle w:val="StandardWeb"/>
      </w:pPr>
      <w:r>
        <w:t>Ich beginne deshalb mit der schwächeren Struktur</w:t>
      </w:r>
    </w:p>
    <w:p w:rsidR="00980458" w:rsidRDefault="00980458" w:rsidP="00980458">
      <w:pPr>
        <w:pStyle w:val="StandardWeb"/>
      </w:pPr>
      <w:r>
        <w:t>[</w:t>
      </w:r>
      <w:r>
        <w:br/>
        <w:t>X_F \rightsquigarrow Y_F .</w:t>
      </w:r>
      <w:r>
        <w:br/>
        <w:t>\tag{3.12488}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X_F\rightsquigarrow Y_F</w:t>
      </w:r>
    </w:p>
    <w:p w:rsidR="00980458" w:rsidRDefault="00980458" w:rsidP="00980458">
      <w:pPr>
        <w:pStyle w:val="StandardWeb"/>
      </w:pPr>
      <w:r>
        <w:t xml:space="preserve">Das Symbol (\rightsquigarrow) bezeichnet zunächst ausschließlich eine </w:t>
      </w:r>
      <w:r>
        <w:rPr>
          <w:rStyle w:val="Fett"/>
        </w:rPr>
        <w:t>gerichtete funktionale Einflussrelation</w:t>
      </w:r>
      <w:r>
        <w:t>.</w:t>
      </w:r>
    </w:p>
    <w:p w:rsidR="00980458" w:rsidRDefault="00E50336" w:rsidP="00980458">
      <w:r>
        <w:pict>
          <v:rect id="_x0000_i4533" style="width:0;height:1.5pt" o:hralign="center" o:hrstd="t" o:hr="t" fillcolor="#a0a0a0" stroked="f"/>
        </w:pict>
      </w:r>
    </w:p>
    <w:p w:rsidR="00980458" w:rsidRDefault="00980458" w:rsidP="00980458">
      <w:pPr>
        <w:pStyle w:val="berschrift1"/>
      </w:pPr>
      <w:r>
        <w:lastRenderedPageBreak/>
        <w:t>3.3.49.1 Quell- und Zielgröße</w:t>
      </w:r>
    </w:p>
    <w:p w:rsidR="00980458" w:rsidRDefault="00980458" w:rsidP="00980458">
      <w:pPr>
        <w:pStyle w:val="StandardWeb"/>
      </w:pPr>
      <w:r>
        <w:t>Seien</w:t>
      </w:r>
    </w:p>
    <w:p w:rsidR="00980458" w:rsidRDefault="00980458" w:rsidP="00980458">
      <w:pPr>
        <w:pStyle w:val="StandardWeb"/>
      </w:pPr>
      <w:r>
        <w:t>[</w:t>
      </w:r>
      <w:r>
        <w:br/>
        <w:t>X_F:\Omega_F\rightarrow\mathcal V_X</w:t>
      </w:r>
      <w:r>
        <w:br/>
        <w:t>\tag{3.12489}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X_F:\Omega_F\rightarrow\mathcal V_X</w:t>
      </w:r>
    </w:p>
    <w:p w:rsidR="00980458" w:rsidRDefault="00980458" w:rsidP="00980458">
      <w:pPr>
        <w:pStyle w:val="StandardWeb"/>
      </w:pPr>
      <w:r>
        <w:t>und</w:t>
      </w:r>
    </w:p>
    <w:p w:rsidR="00980458" w:rsidRDefault="00980458" w:rsidP="00980458">
      <w:pPr>
        <w:pStyle w:val="StandardWeb"/>
      </w:pPr>
      <w:r>
        <w:t>[</w:t>
      </w:r>
      <w:r>
        <w:br/>
        <w:t>Y_F:\Omega_F\rightarrow\mathcal V_Y</w:t>
      </w:r>
      <w:r>
        <w:br/>
        <w:t>\tag{3.12490}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Y_F:\Omega_F\rightarrow\mathcal V_Y</w:t>
      </w:r>
    </w:p>
    <w:p w:rsidR="00980458" w:rsidRDefault="00980458" w:rsidP="00980458">
      <w:pPr>
        <w:pStyle w:val="StandardWeb"/>
      </w:pPr>
      <w:r>
        <w:t>zwei funktionale Zustandsgrößen.</w:t>
      </w:r>
    </w:p>
    <w:p w:rsidR="00980458" w:rsidRDefault="00980458" w:rsidP="00980458">
      <w:pPr>
        <w:pStyle w:val="StandardWeb"/>
      </w:pPr>
      <w:r>
        <w:t>Eine gerichtete Beziehung zwischen beiden kann formal geschrieben werden als</w:t>
      </w:r>
    </w:p>
    <w:p w:rsidR="00980458" w:rsidRDefault="00980458" w:rsidP="00980458">
      <w:pPr>
        <w:pStyle w:val="StandardWeb"/>
      </w:pPr>
      <w:r>
        <w:t>[</w:t>
      </w:r>
      <w:r>
        <w:br/>
        <w:t>X_F</w:t>
      </w:r>
      <w:r>
        <w:br/>
        <w:t>\rightsquigarrow</w:t>
      </w:r>
      <w:r>
        <w:br/>
        <w:t>Y_F.</w:t>
      </w:r>
      <w:r>
        <w:br/>
        <w:t>\tag{3.12491}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X_F\rightsquigarrow Y_F</w:t>
      </w:r>
    </w:p>
    <w:p w:rsidR="00980458" w:rsidRDefault="00E50336" w:rsidP="00980458">
      <w:r>
        <w:pict>
          <v:rect id="_x0000_i4534" style="width:0;height:1.5pt" o:hralign="center" o:hrstd="t" o:hr="t" fillcolor="#a0a0a0" stroked="f"/>
        </w:pict>
      </w:r>
    </w:p>
    <w:p w:rsidR="00980458" w:rsidRDefault="00980458" w:rsidP="00980458">
      <w:pPr>
        <w:pStyle w:val="berschrift1"/>
      </w:pPr>
      <w:r>
        <w:t>3.3.49.2 Definition 3.3.370 – Gerichtete funktionale Einflussrelation</w:t>
      </w:r>
    </w:p>
    <w:p w:rsidR="00980458" w:rsidRDefault="00980458" w:rsidP="00980458">
      <w:pPr>
        <w:pStyle w:val="berschrift3"/>
      </w:pPr>
      <w:r>
        <w:t>Definition 3.3.370</w:t>
      </w:r>
    </w:p>
    <w:p w:rsidR="00980458" w:rsidRDefault="00980458" w:rsidP="00980458">
      <w:pPr>
        <w:pStyle w:val="StandardWeb"/>
      </w:pPr>
      <w:r>
        <w:t xml:space="preserve">Eine </w:t>
      </w:r>
      <w:r>
        <w:rPr>
          <w:rStyle w:val="Fett"/>
        </w:rPr>
        <w:t>gerichtete funktionale Einflussrelation</w:t>
      </w:r>
      <w:r>
        <w:t xml:space="preserve"> ist eine geordnete Relation</w:t>
      </w:r>
    </w:p>
    <w:p w:rsidR="00980458" w:rsidRDefault="00980458" w:rsidP="00980458">
      <w:pPr>
        <w:pStyle w:val="StandardWeb"/>
      </w:pPr>
      <w:r>
        <w:t>[</w:t>
      </w:r>
      <w:r>
        <w:br/>
        <w:t>\boxed{</w:t>
      </w:r>
      <w:r>
        <w:br/>
      </w:r>
      <w:r>
        <w:lastRenderedPageBreak/>
        <w:t>\mathcal I_F</w:t>
      </w:r>
      <w:r>
        <w:br/>
        <w:t>\subseteq</w:t>
      </w:r>
      <w:r>
        <w:br/>
        <w:t>\mathcal X_F</w:t>
      </w:r>
      <w:r>
        <w:br/>
        <w:t>\times</w:t>
      </w:r>
      <w:r>
        <w:br/>
        <w:t>\mathcal X_F,</w:t>
      </w:r>
      <w:r>
        <w:br/>
        <w:t>}</w:t>
      </w:r>
      <w:r>
        <w:br/>
        <w:t>\tag{3.12492}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\boxed{\mathcal I_F\subseteq\mathcal X_F\times\mathcal X_F,}</w:t>
      </w:r>
    </w:p>
    <w:p w:rsidR="00980458" w:rsidRDefault="00980458" w:rsidP="00980458">
      <w:pPr>
        <w:pStyle w:val="StandardWeb"/>
      </w:pPr>
      <w:r>
        <w:t>wobei</w:t>
      </w:r>
    </w:p>
    <w:p w:rsidR="00980458" w:rsidRDefault="00980458" w:rsidP="00980458">
      <w:pPr>
        <w:pStyle w:val="StandardWeb"/>
      </w:pPr>
      <w:r>
        <w:t>[</w:t>
      </w:r>
      <w:r>
        <w:br/>
        <w:t>(X_F,Y_F)\in\mathcal I_F</w:t>
      </w:r>
      <w:r>
        <w:br/>
        <w:t>\tag{3.12493}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(X_F,Y_F)\in\mathcal I_F</w:t>
      </w:r>
    </w:p>
    <w:p w:rsidR="00980458" w:rsidRDefault="00980458" w:rsidP="00980458">
      <w:pPr>
        <w:pStyle w:val="StandardWeb"/>
      </w:pPr>
      <w:r>
        <w:t>bedeutet, dass innerhalb der betrachteten Modellstruktur ein gerichteter funktionaler Einfluss von (X_F) auf (Y_F) zugelassen oder definiert ist.</w:t>
      </w:r>
    </w:p>
    <w:p w:rsidR="00980458" w:rsidRDefault="00980458" w:rsidP="00980458">
      <w:pPr>
        <w:pStyle w:val="StandardWeb"/>
      </w:pPr>
      <w:r>
        <w:t>Ich schreibe äquivalent</w:t>
      </w:r>
    </w:p>
    <w:p w:rsidR="00980458" w:rsidRDefault="00980458" w:rsidP="00980458">
      <w:pPr>
        <w:pStyle w:val="StandardWeb"/>
      </w:pPr>
      <w:r>
        <w:t>[</w:t>
      </w:r>
      <w:r>
        <w:br/>
        <w:t>X_F\rightsquigarrow_{\mathcal I_F}Y_F.</w:t>
      </w:r>
      <w:r>
        <w:br/>
        <w:t>\tag{3.12494}</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X_F\rightsquigarrow_{\mathcal I_F}Y_F</w:t>
      </w:r>
    </w:p>
    <w:p w:rsidR="00980458" w:rsidRDefault="00E50336" w:rsidP="00980458">
      <w:r>
        <w:pict>
          <v:rect id="_x0000_i4535" style="width:0;height:1.5pt" o:hralign="center" o:hrstd="t" o:hr="t" fillcolor="#a0a0a0" stroked="f"/>
        </w:pict>
      </w:r>
    </w:p>
    <w:p w:rsidR="00980458" w:rsidRDefault="00980458" w:rsidP="00980458">
      <w:pPr>
        <w:pStyle w:val="berschrift1"/>
      </w:pPr>
      <w:r>
        <w:t>3.3.49.3 Richtung bedeutet noch keine Kausalität</w:t>
      </w:r>
    </w:p>
    <w:p w:rsidR="00980458" w:rsidRDefault="00980458" w:rsidP="00980458">
      <w:pPr>
        <w:pStyle w:val="StandardWeb"/>
      </w:pPr>
      <w:r>
        <w:t>Aus</w:t>
      </w:r>
    </w:p>
    <w:p w:rsidR="00980458" w:rsidRDefault="00980458" w:rsidP="00980458">
      <w:pPr>
        <w:pStyle w:val="StandardWeb"/>
      </w:pPr>
      <w:r>
        <w:t>[</w:t>
      </w:r>
      <w:r>
        <w:br/>
        <w:t>X_F\rightsquigarrow Y_F</w:t>
      </w:r>
      <w:r>
        <w:br/>
        <w:t>\tag{3.12495}</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X_F\rightsquigarrow Y_F</w:t>
      </w:r>
    </w:p>
    <w:p w:rsidR="00980458" w:rsidRDefault="00980458" w:rsidP="00980458">
      <w:pPr>
        <w:pStyle w:val="StandardWeb"/>
      </w:pPr>
      <w:r>
        <w:lastRenderedPageBreak/>
        <w:t>folgt zunächst ausdrücklich nicht</w:t>
      </w:r>
    </w:p>
    <w:p w:rsidR="00980458" w:rsidRDefault="00980458" w:rsidP="00980458">
      <w:pPr>
        <w:pStyle w:val="StandardWeb"/>
      </w:pPr>
      <w:r>
        <w:t>[</w:t>
      </w:r>
      <w:r>
        <w:br/>
        <w:t>X_F</w:t>
      </w:r>
      <w:r>
        <w:br/>
        <w:t>\text{ verursacht }</w:t>
      </w:r>
      <w:r>
        <w:br/>
        <w:t>Y_F.</w:t>
      </w:r>
      <w:r>
        <w:br/>
        <w:t>\tag{3.12496}</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X_F\text{ verursacht }Y_F</w:t>
      </w:r>
    </w:p>
    <w:p w:rsidR="00980458" w:rsidRDefault="00980458" w:rsidP="00980458">
      <w:pPr>
        <w:pStyle w:val="StandardWeb"/>
      </w:pPr>
      <w:r>
        <w:t>Die Relation kann beispielsweise eine mathematische Abhängigkeit, eine Modellkopplung, eine Informationsweitergabe oder eine algorithmische Verarbeitung ausdrücken.</w:t>
      </w:r>
    </w:p>
    <w:p w:rsidR="00980458" w:rsidRDefault="00E50336" w:rsidP="00980458">
      <w:r>
        <w:pict>
          <v:rect id="_x0000_i4536" style="width:0;height:1.5pt" o:hralign="center" o:hrstd="t" o:hr="t" fillcolor="#a0a0a0" stroked="f"/>
        </w:pict>
      </w:r>
    </w:p>
    <w:p w:rsidR="00980458" w:rsidRDefault="00980458" w:rsidP="00980458">
      <w:pPr>
        <w:pStyle w:val="berschrift1"/>
      </w:pPr>
      <w:r>
        <w:t>3.3.49.4 Methodologische Grundtrennung</w:t>
      </w:r>
    </w:p>
    <w:p w:rsidR="00980458" w:rsidRDefault="00980458" w:rsidP="00980458">
      <w:pPr>
        <w:pStyle w:val="StandardWeb"/>
      </w:pPr>
      <w:r>
        <w:t>Ich halte daher die Unterscheidung</w:t>
      </w:r>
    </w:p>
    <w:p w:rsidR="00980458" w:rsidRDefault="00980458" w:rsidP="00980458">
      <w:pPr>
        <w:pStyle w:val="StandardWeb"/>
      </w:pPr>
      <w:r>
        <w:t>[</w:t>
      </w:r>
      <w:r>
        <w:br/>
        <w:t>\boxed{</w:t>
      </w:r>
      <w:r>
        <w:br/>
        <w:t>\text{gerichtete Abhängigkeit}</w:t>
      </w:r>
      <w:r>
        <w:br/>
        <w:t>\not\equiv</w:t>
      </w:r>
      <w:r>
        <w:br/>
        <w:t>\text{Kausalität}</w:t>
      </w:r>
      <w:r>
        <w:br/>
        <w:t>}</w:t>
      </w:r>
      <w:r>
        <w:br/>
        <w:t>\tag{3.12497}</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\boxed{\text{gerichtete Abhängigkeit}\not\equiv\text{Kausalität}}</w:t>
      </w:r>
    </w:p>
    <w:p w:rsidR="00980458" w:rsidRDefault="00980458" w:rsidP="00980458">
      <w:pPr>
        <w:pStyle w:val="StandardWeb"/>
      </w:pPr>
      <w:r>
        <w:t>für den gesamten Abschnitt verbindlich.</w:t>
      </w:r>
    </w:p>
    <w:p w:rsidR="00980458" w:rsidRDefault="00E50336" w:rsidP="00980458">
      <w:r>
        <w:pict>
          <v:rect id="_x0000_i4537" style="width:0;height:1.5pt" o:hralign="center" o:hrstd="t" o:hr="t" fillcolor="#a0a0a0" stroked="f"/>
        </w:pict>
      </w:r>
    </w:p>
    <w:p w:rsidR="00980458" w:rsidRDefault="00980458" w:rsidP="00980458">
      <w:pPr>
        <w:pStyle w:val="berschrift1"/>
      </w:pPr>
      <w:r>
        <w:t>3.3.49.5 Funktionale Abhängigkeit</w:t>
      </w:r>
    </w:p>
    <w:p w:rsidR="00980458" w:rsidRDefault="00980458" w:rsidP="00980458">
      <w:pPr>
        <w:pStyle w:val="StandardWeb"/>
      </w:pPr>
      <w:r>
        <w:t>Eine noch elementarere Struktur liegt vor, wenn (Y_F) durch (X_F) bestimmt wird.</w:t>
      </w:r>
    </w:p>
    <w:p w:rsidR="00980458" w:rsidRDefault="00980458" w:rsidP="00980458">
      <w:pPr>
        <w:pStyle w:val="StandardWeb"/>
      </w:pPr>
      <w:r>
        <w:t>Sei</w:t>
      </w:r>
    </w:p>
    <w:p w:rsidR="00980458" w:rsidRDefault="00980458" w:rsidP="00980458">
      <w:pPr>
        <w:pStyle w:val="StandardWeb"/>
      </w:pPr>
      <w:r>
        <w:t>[</w:t>
      </w:r>
      <w:r>
        <w:br/>
        <w:t>F_{YX}:</w:t>
      </w:r>
      <w:r>
        <w:br/>
        <w:t>\mathcal V_X</w:t>
      </w:r>
      <w:r>
        <w:br/>
        <w:t>\rightarrow</w:t>
      </w:r>
      <w:r>
        <w:br/>
        <w:t>\mathcal V_Y</w:t>
      </w:r>
      <w:r>
        <w:br/>
      </w:r>
      <w:r>
        <w:lastRenderedPageBreak/>
        <w:t>\tag{3.12498}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F_{YX}:\mathcal V_X\rightarrow\mathcal V_Y</w:t>
      </w:r>
    </w:p>
    <w:p w:rsidR="00980458" w:rsidRDefault="00980458" w:rsidP="00980458">
      <w:pPr>
        <w:pStyle w:val="StandardWeb"/>
      </w:pPr>
      <w:r>
        <w:t>eine Abbildung mit</w:t>
      </w:r>
    </w:p>
    <w:p w:rsidR="00980458" w:rsidRDefault="00980458" w:rsidP="00980458">
      <w:pPr>
        <w:pStyle w:val="berschrift1"/>
      </w:pPr>
      <w:r>
        <w:t>[</w:t>
      </w:r>
      <w:r>
        <w:br/>
        <w:t>Y_F</w:t>
      </w:r>
    </w:p>
    <w:p w:rsidR="00980458" w:rsidRDefault="00980458" w:rsidP="00980458">
      <w:pPr>
        <w:pStyle w:val="StandardWeb"/>
      </w:pPr>
      <w:r>
        <w:t>F_{YX}\circ X_F.</w:t>
      </w:r>
      <w:r>
        <w:br/>
        <w:t>\tag{3.12499}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Y_F=F_{YX}\circ X_F</w:t>
      </w:r>
    </w:p>
    <w:p w:rsidR="00980458" w:rsidRDefault="00E50336" w:rsidP="00980458">
      <w:r>
        <w:pict>
          <v:rect id="_x0000_i4538" style="width:0;height:1.5pt" o:hralign="center" o:hrstd="t" o:hr="t" fillcolor="#a0a0a0" stroked="f"/>
        </w:pict>
      </w:r>
    </w:p>
    <w:p w:rsidR="00980458" w:rsidRDefault="00980458" w:rsidP="00980458">
      <w:pPr>
        <w:pStyle w:val="berschrift1"/>
      </w:pPr>
      <w:r>
        <w:t>3.3.49.6 Definition 3.3.371 – Direkte funktionale Abhängigkeit</w:t>
      </w:r>
    </w:p>
    <w:p w:rsidR="00980458" w:rsidRDefault="00980458" w:rsidP="00980458">
      <w:pPr>
        <w:pStyle w:val="berschrift3"/>
      </w:pPr>
      <w:r>
        <w:t>Definition 3.3.371</w:t>
      </w:r>
    </w:p>
    <w:p w:rsidR="00980458" w:rsidRDefault="00980458" w:rsidP="00980458">
      <w:pPr>
        <w:pStyle w:val="StandardWeb"/>
      </w:pPr>
      <w:r>
        <w:t xml:space="preserve">(Y_F) heißt </w:t>
      </w:r>
      <w:r>
        <w:rPr>
          <w:rStyle w:val="Fett"/>
        </w:rPr>
        <w:t>direkt funktional abhängig</w:t>
      </w:r>
      <w:r>
        <w:t xml:space="preserve"> von (X_F), wenn eine Abbildung (F_{YX}) existiert mit</w:t>
      </w:r>
    </w:p>
    <w:p w:rsidR="00980458" w:rsidRDefault="00980458" w:rsidP="00980458">
      <w:pPr>
        <w:pStyle w:val="berschrift1"/>
      </w:pPr>
      <w:r>
        <w:t>[</w:t>
      </w:r>
      <w:r>
        <w:br/>
        <w:t>\boxed{</w:t>
      </w:r>
      <w:r>
        <w:br/>
        <w:t>Y_F</w:t>
      </w:r>
    </w:p>
    <w:p w:rsidR="00980458" w:rsidRDefault="00980458" w:rsidP="00980458">
      <w:pPr>
        <w:pStyle w:val="StandardWeb"/>
      </w:pPr>
      <w:r>
        <w:t>F_{YX}\circ X_F.</w:t>
      </w:r>
      <w:r>
        <w:br/>
        <w:t>}</w:t>
      </w:r>
      <w:r>
        <w:br/>
        <w:t>\tag{3.12500}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\boxed{Y_F=F_{YX}\circ X_F.}</w:t>
      </w:r>
    </w:p>
    <w:p w:rsidR="00980458" w:rsidRDefault="00E50336" w:rsidP="00980458">
      <w:r>
        <w:pict>
          <v:rect id="_x0000_i4539" style="width:0;height:1.5pt" o:hralign="center" o:hrstd="t" o:hr="t" fillcolor="#a0a0a0" stroked="f"/>
        </w:pict>
      </w:r>
    </w:p>
    <w:p w:rsidR="00980458" w:rsidRDefault="00980458" w:rsidP="00980458">
      <w:pPr>
        <w:pStyle w:val="berschrift1"/>
      </w:pPr>
      <w:r>
        <w:t>3.3.49.7 Punktweise Darstellung</w:t>
      </w:r>
    </w:p>
    <w:p w:rsidR="00980458" w:rsidRDefault="00980458" w:rsidP="00980458">
      <w:pPr>
        <w:pStyle w:val="StandardWeb"/>
      </w:pPr>
      <w:r>
        <w:t>Für jeden Zustand (z\in\Omega_F) gilt dann</w:t>
      </w:r>
    </w:p>
    <w:p w:rsidR="00980458" w:rsidRDefault="00980458" w:rsidP="00980458">
      <w:pPr>
        <w:pStyle w:val="berschrift1"/>
      </w:pPr>
      <w:r>
        <w:lastRenderedPageBreak/>
        <w:t>[</w:t>
      </w:r>
      <w:r>
        <w:br/>
        <w:t>Y_F(z)</w:t>
      </w:r>
    </w:p>
    <w:p w:rsidR="00980458" w:rsidRDefault="00980458" w:rsidP="00980458">
      <w:pPr>
        <w:pStyle w:val="StandardWeb"/>
      </w:pPr>
      <w:r>
        <w:t>F_{YX}</w:t>
      </w:r>
      <w:r>
        <w:br/>
        <w:t>\bigl(</w:t>
      </w:r>
      <w:r>
        <w:br/>
        <w:t>X_F(z)</w:t>
      </w:r>
      <w:r>
        <w:br/>
        <w:t>\bigr).</w:t>
      </w:r>
      <w:r>
        <w:br/>
        <w:t>\tag{3.12501}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Y_F(z)=F_{YX}\bigl(X_F(z)\bigr)</w:t>
      </w:r>
    </w:p>
    <w:p w:rsidR="00980458" w:rsidRDefault="00E50336" w:rsidP="00980458">
      <w:r>
        <w:pict>
          <v:rect id="_x0000_i4540" style="width:0;height:1.5pt" o:hralign="center" o:hrstd="t" o:hr="t" fillcolor="#a0a0a0" stroked="f"/>
        </w:pict>
      </w:r>
    </w:p>
    <w:p w:rsidR="00980458" w:rsidRDefault="00980458" w:rsidP="00980458">
      <w:pPr>
        <w:pStyle w:val="berschrift1"/>
      </w:pPr>
      <w:r>
        <w:t>3.3.49.8 Funktionale Bestimmtheit</w:t>
      </w:r>
    </w:p>
    <w:p w:rsidR="00980458" w:rsidRDefault="00980458" w:rsidP="00980458">
      <w:pPr>
        <w:pStyle w:val="StandardWeb"/>
      </w:pPr>
      <w:r>
        <w:t>Sind zwei Zustände bezüglich (X_F) nicht unterscheidbar,</w:t>
      </w:r>
    </w:p>
    <w:p w:rsidR="00980458" w:rsidRDefault="00980458" w:rsidP="00980458">
      <w:pPr>
        <w:pStyle w:val="berschrift1"/>
      </w:pPr>
      <w:r>
        <w:t>[</w:t>
      </w:r>
      <w:r>
        <w:br/>
        <w:t>X_F(z_i)</w:t>
      </w:r>
    </w:p>
    <w:p w:rsidR="00980458" w:rsidRDefault="00980458" w:rsidP="00980458">
      <w:pPr>
        <w:pStyle w:val="StandardWeb"/>
      </w:pPr>
      <w:r>
        <w:t>X_F(z_j),</w:t>
      </w:r>
      <w:r>
        <w:br/>
        <w:t>\tag{3.12502}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X_F(z_i)=X_F(z_j)</w:t>
      </w:r>
    </w:p>
    <w:p w:rsidR="00980458" w:rsidRDefault="00980458" w:rsidP="00980458">
      <w:pPr>
        <w:pStyle w:val="StandardWeb"/>
      </w:pPr>
      <w:r>
        <w:t>dann müssen sie bei direkter funktionaler Abhängigkeit auch bezüglich (Y_F) denselben Wert besitzen:</w:t>
      </w:r>
    </w:p>
    <w:p w:rsidR="00980458" w:rsidRDefault="00980458" w:rsidP="00980458">
      <w:pPr>
        <w:pStyle w:val="berschrift1"/>
      </w:pPr>
      <w:r>
        <w:t>[</w:t>
      </w:r>
      <w:r>
        <w:br/>
        <w:t>Y_F(z_i)</w:t>
      </w:r>
    </w:p>
    <w:p w:rsidR="00980458" w:rsidRDefault="00980458" w:rsidP="00980458">
      <w:pPr>
        <w:pStyle w:val="StandardWeb"/>
      </w:pPr>
      <w:r>
        <w:t>Y_F(z_j).</w:t>
      </w:r>
      <w:r>
        <w:br/>
        <w:t>\tag{3.12503}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Y_F(z_i)=Y_F(z_j)</w:t>
      </w:r>
    </w:p>
    <w:p w:rsidR="00980458" w:rsidRDefault="00E50336" w:rsidP="00980458">
      <w:r>
        <w:pict>
          <v:rect id="_x0000_i4541" style="width:0;height:1.5pt" o:hralign="center" o:hrstd="t" o:hr="t" fillcolor="#a0a0a0" stroked="f"/>
        </w:pict>
      </w:r>
    </w:p>
    <w:p w:rsidR="00980458" w:rsidRDefault="00980458" w:rsidP="00980458">
      <w:pPr>
        <w:pStyle w:val="berschrift1"/>
      </w:pPr>
      <w:r>
        <w:lastRenderedPageBreak/>
        <w:t>3.3.49.9 Satz 3.3.161 – Direkte funktionale Abhängigkeit erhält Gleichheit der Quellwerte</w:t>
      </w:r>
    </w:p>
    <w:p w:rsidR="00980458" w:rsidRDefault="00980458" w:rsidP="00980458">
      <w:pPr>
        <w:pStyle w:val="berschrift3"/>
      </w:pPr>
      <w:r>
        <w:t>Satz 3.3.161</w:t>
      </w:r>
    </w:p>
    <w:p w:rsidR="00980458" w:rsidRDefault="00980458" w:rsidP="00980458">
      <w:pPr>
        <w:pStyle w:val="StandardWeb"/>
      </w:pPr>
      <w:r>
        <w:t>Gilt</w:t>
      </w:r>
    </w:p>
    <w:p w:rsidR="00980458" w:rsidRDefault="00980458" w:rsidP="00980458">
      <w:pPr>
        <w:pStyle w:val="berschrift1"/>
      </w:pPr>
      <w:r>
        <w:t>[</w:t>
      </w:r>
      <w:r>
        <w:br/>
        <w:t>Y_F</w:t>
      </w:r>
    </w:p>
    <w:p w:rsidR="00980458" w:rsidRDefault="00980458" w:rsidP="00980458">
      <w:pPr>
        <w:pStyle w:val="StandardWeb"/>
      </w:pPr>
      <w:r>
        <w:t>F_{YX}</w:t>
      </w:r>
      <w:r>
        <w:br/>
        <w:t>\circ</w:t>
      </w:r>
      <w:r>
        <w:br/>
        <w:t>X_F,</w:t>
      </w:r>
      <w:r>
        <w:br/>
        <w:t>\tag{3.12504}</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Y_F=F_{YX}\circ X_F</w:t>
      </w:r>
    </w:p>
    <w:p w:rsidR="00980458" w:rsidRDefault="00980458" w:rsidP="00980458">
      <w:pPr>
        <w:pStyle w:val="StandardWeb"/>
      </w:pPr>
      <w:r>
        <w:t>dann folgt</w:t>
      </w:r>
    </w:p>
    <w:p w:rsidR="00980458" w:rsidRDefault="00980458" w:rsidP="00980458">
      <w:pPr>
        <w:pStyle w:val="berschrift1"/>
      </w:pPr>
      <w:r>
        <w:t>[</w:t>
      </w:r>
      <w:r>
        <w:br/>
        <w:t>\boxed{</w:t>
      </w:r>
      <w:r>
        <w:br/>
        <w:t>X_F(z_i)</w:t>
      </w:r>
    </w:p>
    <w:p w:rsidR="00980458" w:rsidRDefault="00980458" w:rsidP="00980458">
      <w:pPr>
        <w:pStyle w:val="berschrift1"/>
      </w:pPr>
      <w:r>
        <w:t>X_F(z_j)</w:t>
      </w:r>
      <w:r>
        <w:br/>
        <w:t>\Rightarrow</w:t>
      </w:r>
      <w:r>
        <w:br/>
        <w:t>Y_F(z_i)</w:t>
      </w:r>
    </w:p>
    <w:p w:rsidR="00980458" w:rsidRDefault="00980458" w:rsidP="00980458">
      <w:pPr>
        <w:pStyle w:val="StandardWeb"/>
      </w:pPr>
      <w:r>
        <w:t>Y_F(z_j).</w:t>
      </w:r>
      <w:r>
        <w:br/>
        <w:t>}</w:t>
      </w:r>
      <w:r>
        <w:br/>
        <w:t>\tag{3.12505}</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\boxed{X_F(z_i)=X_F(z_j)\Rightarrow Y_F(z_i)=Y_F(z_j).}</w:t>
      </w:r>
    </w:p>
    <w:p w:rsidR="00980458" w:rsidRDefault="00980458" w:rsidP="00980458">
      <w:pPr>
        <w:pStyle w:val="berschrift3"/>
      </w:pPr>
      <w:r>
        <w:t>Beweis</w:t>
      </w:r>
    </w:p>
    <w:p w:rsidR="00980458" w:rsidRDefault="00980458" w:rsidP="00980458">
      <w:pPr>
        <w:pStyle w:val="StandardWeb"/>
      </w:pPr>
      <w:r>
        <w:t>Aus</w:t>
      </w:r>
    </w:p>
    <w:p w:rsidR="00980458" w:rsidRDefault="00980458" w:rsidP="00980458">
      <w:pPr>
        <w:pStyle w:val="berschrift1"/>
      </w:pPr>
      <w:r>
        <w:lastRenderedPageBreak/>
        <w:t>[</w:t>
      </w:r>
      <w:r>
        <w:br/>
        <w:t>X_F(z_i)</w:t>
      </w:r>
    </w:p>
    <w:p w:rsidR="00980458" w:rsidRDefault="00980458" w:rsidP="00980458">
      <w:pPr>
        <w:pStyle w:val="StandardWeb"/>
      </w:pPr>
      <w:r>
        <w:t>X_F(z_j)</w:t>
      </w:r>
      <w:r>
        <w:br/>
        <w:t>\tag{3.12506}</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X_F(z_i)=X_F(z_j)</w:t>
      </w:r>
    </w:p>
    <w:p w:rsidR="00980458" w:rsidRDefault="00980458" w:rsidP="00980458">
      <w:pPr>
        <w:pStyle w:val="StandardWeb"/>
      </w:pPr>
      <w:r>
        <w:t>folgt durch Anwendung derselben Abbildung (F_{YX})</w:t>
      </w:r>
    </w:p>
    <w:p w:rsidR="00980458" w:rsidRDefault="00980458" w:rsidP="00980458">
      <w:pPr>
        <w:pStyle w:val="berschrift1"/>
      </w:pPr>
      <w:r>
        <w:t>[</w:t>
      </w:r>
      <w:r>
        <w:br/>
        <w:t>F_{YX}(X_F(z_i))</w:t>
      </w:r>
    </w:p>
    <w:p w:rsidR="00980458" w:rsidRDefault="00980458" w:rsidP="00980458">
      <w:pPr>
        <w:pStyle w:val="StandardWeb"/>
      </w:pPr>
      <w:r>
        <w:t>F_{YX}(X_F(z_j)).</w:t>
      </w:r>
      <w:r>
        <w:br/>
        <w:t>\tag{3.12507}</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F_{YX}(X_F(z_i))=F_{YX}(X_F(z_j))</w:t>
      </w:r>
    </w:p>
    <w:p w:rsidR="00980458" w:rsidRDefault="00980458" w:rsidP="00980458">
      <w:pPr>
        <w:pStyle w:val="StandardWeb"/>
      </w:pPr>
      <w:r>
        <w:t>Mit Definition 3.3.371 ergibt sich</w:t>
      </w:r>
    </w:p>
    <w:p w:rsidR="00980458" w:rsidRDefault="00980458" w:rsidP="00980458">
      <w:pPr>
        <w:pStyle w:val="berschrift1"/>
      </w:pPr>
      <w:r>
        <w:t>[</w:t>
      </w:r>
      <w:r>
        <w:br/>
        <w:t>Y_F(z_i)</w:t>
      </w:r>
    </w:p>
    <w:p w:rsidR="00980458" w:rsidRDefault="00980458" w:rsidP="00980458">
      <w:pPr>
        <w:pStyle w:val="StandardWeb"/>
      </w:pPr>
      <w:r>
        <w:t>Y_F(z_j).</w:t>
      </w:r>
      <w:r>
        <w:br/>
        <w:t>\tag{3.12508}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Y_F(z_i)=Y_F(z_j)</w:t>
      </w:r>
    </w:p>
    <w:p w:rsidR="00980458" w:rsidRDefault="00980458" w:rsidP="00980458">
      <w:pPr>
        <w:pStyle w:val="StandardWeb"/>
      </w:pPr>
      <w:r>
        <w:t>(\square)</w:t>
      </w:r>
    </w:p>
    <w:p w:rsidR="00980458" w:rsidRDefault="00E50336" w:rsidP="00980458">
      <w:r>
        <w:pict>
          <v:rect id="_x0000_i4542" style="width:0;height:1.5pt" o:hralign="center" o:hrstd="t" o:hr="t" fillcolor="#a0a0a0" stroked="f"/>
        </w:pict>
      </w:r>
    </w:p>
    <w:p w:rsidR="00980458" w:rsidRDefault="00980458" w:rsidP="00980458">
      <w:pPr>
        <w:pStyle w:val="berschrift1"/>
      </w:pPr>
      <w:r>
        <w:t>3.3.49.10 Umkehrung gilt nicht allgemein</w:t>
      </w:r>
    </w:p>
    <w:p w:rsidR="00980458" w:rsidRDefault="00980458" w:rsidP="00980458">
      <w:pPr>
        <w:pStyle w:val="StandardWeb"/>
      </w:pPr>
      <w:r>
        <w:t>Aus</w:t>
      </w:r>
    </w:p>
    <w:p w:rsidR="00980458" w:rsidRDefault="00980458" w:rsidP="00980458">
      <w:pPr>
        <w:pStyle w:val="berschrift1"/>
      </w:pPr>
      <w:r>
        <w:lastRenderedPageBreak/>
        <w:t>[</w:t>
      </w:r>
      <w:r>
        <w:br/>
        <w:t>Y_F(z_i)</w:t>
      </w:r>
    </w:p>
    <w:p w:rsidR="00980458" w:rsidRDefault="00980458" w:rsidP="00980458">
      <w:pPr>
        <w:pStyle w:val="StandardWeb"/>
      </w:pPr>
      <w:r>
        <w:t>Y_F(z_j)</w:t>
      </w:r>
      <w:r>
        <w:br/>
        <w:t>\tag{3.12509}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Y_F(z_i)=Y_F(z_j)</w:t>
      </w:r>
    </w:p>
    <w:p w:rsidR="00980458" w:rsidRDefault="00980458" w:rsidP="00980458">
      <w:pPr>
        <w:pStyle w:val="StandardWeb"/>
      </w:pPr>
      <w:r>
        <w:t>folgt ohne Injektivität von (F_{YX}) nicht</w:t>
      </w:r>
    </w:p>
    <w:p w:rsidR="00980458" w:rsidRDefault="00980458" w:rsidP="00980458">
      <w:pPr>
        <w:pStyle w:val="berschrift1"/>
      </w:pPr>
      <w:r>
        <w:t>[</w:t>
      </w:r>
      <w:r>
        <w:br/>
        <w:t>X_F(z_i)</w:t>
      </w:r>
    </w:p>
    <w:p w:rsidR="00980458" w:rsidRDefault="00980458" w:rsidP="00980458">
      <w:pPr>
        <w:pStyle w:val="StandardWeb"/>
      </w:pPr>
      <w:r>
        <w:t>X_F(z_j).</w:t>
      </w:r>
      <w:r>
        <w:br/>
        <w:t>\tag{3.12510}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X_F(z_i)=X_F(z_j)</w:t>
      </w:r>
    </w:p>
    <w:p w:rsidR="00980458" w:rsidRDefault="00E50336" w:rsidP="00980458">
      <w:r>
        <w:pict>
          <v:rect id="_x0000_i4543" style="width:0;height:1.5pt" o:hralign="center" o:hrstd="t" o:hr="t" fillcolor="#a0a0a0" stroked="f"/>
        </w:pict>
      </w:r>
    </w:p>
    <w:p w:rsidR="00980458" w:rsidRDefault="00980458" w:rsidP="00980458">
      <w:pPr>
        <w:pStyle w:val="berschrift1"/>
      </w:pPr>
      <w:r>
        <w:t>3.3.49.11 Nichtinjektive Einflussabbildung</w:t>
      </w:r>
    </w:p>
    <w:p w:rsidR="00980458" w:rsidRDefault="00980458" w:rsidP="00980458">
      <w:pPr>
        <w:pStyle w:val="StandardWeb"/>
      </w:pPr>
      <w:r>
        <w:t>Für</w:t>
      </w:r>
    </w:p>
    <w:p w:rsidR="00980458" w:rsidRDefault="00980458" w:rsidP="00980458">
      <w:pPr>
        <w:pStyle w:val="StandardWeb"/>
      </w:pPr>
      <w:r>
        <w:t>[</w:t>
      </w:r>
      <w:r>
        <w:br/>
        <w:t>x_i</w:t>
      </w:r>
      <w:r>
        <w:br/>
        <w:t>\neq</w:t>
      </w:r>
      <w:r>
        <w:br/>
        <w:t>x_j</w:t>
      </w:r>
      <w:r>
        <w:br/>
        <w:t>\tag{3.12511}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x_i\neq x_j</w:t>
      </w:r>
    </w:p>
    <w:p w:rsidR="00980458" w:rsidRDefault="00980458" w:rsidP="00980458">
      <w:pPr>
        <w:pStyle w:val="StandardWeb"/>
      </w:pPr>
      <w:r>
        <w:t>kann gelten</w:t>
      </w:r>
    </w:p>
    <w:p w:rsidR="00980458" w:rsidRDefault="00980458" w:rsidP="00980458">
      <w:pPr>
        <w:pStyle w:val="berschrift1"/>
      </w:pPr>
      <w:r>
        <w:t>[</w:t>
      </w:r>
      <w:r>
        <w:br/>
        <w:t>F_{YX}(x_i)</w:t>
      </w:r>
    </w:p>
    <w:p w:rsidR="00980458" w:rsidRDefault="00980458" w:rsidP="00980458">
      <w:pPr>
        <w:pStyle w:val="StandardWeb"/>
      </w:pPr>
      <w:r>
        <w:lastRenderedPageBreak/>
        <w:t>F_{YX}(x_j).</w:t>
      </w:r>
      <w:r>
        <w:br/>
        <w:t>\tag{3.12512}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F_{YX}(x_i)=F_{YX}(x_j)</w:t>
      </w:r>
    </w:p>
    <w:p w:rsidR="00980458" w:rsidRDefault="00980458" w:rsidP="00980458">
      <w:pPr>
        <w:pStyle w:val="StandardWeb"/>
      </w:pPr>
      <w:r>
        <w:t>Damit kann die Abbildung Informationen über die Quelle zusammenfassen oder verlieren.</w:t>
      </w:r>
    </w:p>
    <w:p w:rsidR="00980458" w:rsidRDefault="00E50336" w:rsidP="00980458">
      <w:r>
        <w:pict>
          <v:rect id="_x0000_i4544" style="width:0;height:1.5pt" o:hralign="center" o:hrstd="t" o:hr="t" fillcolor="#a0a0a0" stroked="f"/>
        </w:pict>
      </w:r>
    </w:p>
    <w:p w:rsidR="00980458" w:rsidRDefault="00980458" w:rsidP="00980458">
      <w:pPr>
        <w:pStyle w:val="berschrift1"/>
      </w:pPr>
      <w:r>
        <w:t>3.3.49.12 Definition 3.3.372 – Informationsreduzierende funktionale Abhängigkeit</w:t>
      </w:r>
    </w:p>
    <w:p w:rsidR="00980458" w:rsidRDefault="00980458" w:rsidP="00980458">
      <w:pPr>
        <w:pStyle w:val="berschrift3"/>
      </w:pPr>
      <w:r>
        <w:t>Definition 3.3.372</w:t>
      </w:r>
    </w:p>
    <w:p w:rsidR="00980458" w:rsidRDefault="00980458" w:rsidP="00980458">
      <w:pPr>
        <w:pStyle w:val="StandardWeb"/>
      </w:pPr>
      <w:r>
        <w:t xml:space="preserve">Eine direkte funktionale Abhängigkeit heißt </w:t>
      </w:r>
      <w:r>
        <w:rPr>
          <w:rStyle w:val="Fett"/>
        </w:rPr>
        <w:t>informationsreduzierend</w:t>
      </w:r>
      <w:r>
        <w:t>, wenn (F_{YX}) auf der betrachteten Domäne nicht injektiv ist:</w:t>
      </w:r>
    </w:p>
    <w:p w:rsidR="00980458" w:rsidRDefault="00980458" w:rsidP="00980458">
      <w:pPr>
        <w:pStyle w:val="berschrift1"/>
      </w:pPr>
      <w:r>
        <w:t>[</w:t>
      </w:r>
      <w:r>
        <w:br/>
        <w:t>\boxed{</w:t>
      </w:r>
      <w:r>
        <w:br/>
        <w:t>\exists x_i\neq x_j:</w:t>
      </w:r>
      <w:r>
        <w:br/>
        <w:t>F_{YX}(x_i)</w:t>
      </w:r>
    </w:p>
    <w:p w:rsidR="00980458" w:rsidRDefault="00980458" w:rsidP="00980458">
      <w:pPr>
        <w:pStyle w:val="StandardWeb"/>
      </w:pPr>
      <w:r>
        <w:t>F_{YX}(x_j).</w:t>
      </w:r>
      <w:r>
        <w:br/>
        <w:t>}</w:t>
      </w:r>
      <w:r>
        <w:br/>
        <w:t>\tag{3.12513}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\boxed{\exists x_i\neq x_j:F_{YX}(x_i)=F_{YX}(x_j).}</w:t>
      </w:r>
    </w:p>
    <w:p w:rsidR="00980458" w:rsidRDefault="00E50336" w:rsidP="00980458">
      <w:r>
        <w:pict>
          <v:rect id="_x0000_i4545" style="width:0;height:1.5pt" o:hralign="center" o:hrstd="t" o:hr="t" fillcolor="#a0a0a0" stroked="f"/>
        </w:pict>
      </w:r>
    </w:p>
    <w:p w:rsidR="00980458" w:rsidRDefault="00980458" w:rsidP="00980458">
      <w:pPr>
        <w:pStyle w:val="berschrift1"/>
      </w:pPr>
      <w:r>
        <w:t>3.3.49.13 Mehrere Einflussgrößen</w:t>
      </w:r>
    </w:p>
    <w:p w:rsidR="00980458" w:rsidRDefault="00980458" w:rsidP="00980458">
      <w:pPr>
        <w:pStyle w:val="StandardWeb"/>
      </w:pPr>
      <w:r>
        <w:t>Eine Zielgröße kann von mehreren Größen abhängen.</w:t>
      </w:r>
    </w:p>
    <w:p w:rsidR="00980458" w:rsidRDefault="00980458" w:rsidP="00980458">
      <w:pPr>
        <w:pStyle w:val="StandardWeb"/>
      </w:pPr>
      <w:r>
        <w:t>Seien</w:t>
      </w:r>
    </w:p>
    <w:p w:rsidR="00980458" w:rsidRDefault="00980458" w:rsidP="00980458">
      <w:pPr>
        <w:pStyle w:val="StandardWeb"/>
      </w:pPr>
      <w:r>
        <w:t>[</w:t>
      </w:r>
      <w:r>
        <w:br/>
        <w:t>X_F^{(1)},</w:t>
      </w:r>
      <w:r>
        <w:br/>
        <w:t>\ldots,</w:t>
      </w:r>
      <w:r>
        <w:br/>
        <w:t>X_F^{(n)}</w:t>
      </w:r>
      <w:r>
        <w:br/>
        <w:t>\tag{3.12514}</w:t>
      </w:r>
      <w:r>
        <w:br/>
        <w:t>]</w:t>
      </w:r>
    </w:p>
    <w:p w:rsidR="00980458" w:rsidRDefault="00980458" w:rsidP="00980458">
      <w:pPr>
        <w:pStyle w:val="StandardWeb"/>
      </w:pPr>
      <w:r>
        <w:rPr>
          <w:rStyle w:val="Fett"/>
        </w:rPr>
        <w:lastRenderedPageBreak/>
        <w:t>Word-LaTeX</w:t>
      </w:r>
    </w:p>
    <w:p w:rsidR="00980458" w:rsidRDefault="00980458" w:rsidP="00980458">
      <w:pPr>
        <w:pStyle w:val="HTMLVorformatiert"/>
        <w:rPr>
          <w:rStyle w:val="HTMLCode"/>
        </w:rPr>
      </w:pPr>
      <w:r>
        <w:rPr>
          <w:rStyle w:val="HTMLCode"/>
        </w:rPr>
        <w:t>X_F^{(1)},\ldots,X_F^{(n)}</w:t>
      </w:r>
    </w:p>
    <w:p w:rsidR="00980458" w:rsidRDefault="00980458" w:rsidP="00980458">
      <w:pPr>
        <w:pStyle w:val="StandardWeb"/>
      </w:pPr>
      <w:r>
        <w:t>gegeben.</w:t>
      </w:r>
    </w:p>
    <w:p w:rsidR="00980458" w:rsidRDefault="00980458" w:rsidP="00980458">
      <w:pPr>
        <w:pStyle w:val="StandardWeb"/>
      </w:pPr>
      <w:r>
        <w:t>Dann kann</w:t>
      </w:r>
    </w:p>
    <w:p w:rsidR="00980458" w:rsidRDefault="00980458" w:rsidP="00980458">
      <w:pPr>
        <w:pStyle w:val="berschrift1"/>
      </w:pPr>
      <w:r>
        <w:t>[</w:t>
      </w:r>
      <w:r>
        <w:br/>
        <w:t>Y_F</w:t>
      </w:r>
    </w:p>
    <w:p w:rsidR="00980458" w:rsidRDefault="00980458" w:rsidP="00980458">
      <w:pPr>
        <w:pStyle w:val="StandardWeb"/>
      </w:pPr>
      <w:r>
        <w:t>F_Y</w:t>
      </w:r>
      <w:r>
        <w:br/>
        <w:t>\left(</w:t>
      </w:r>
      <w:r>
        <w:br/>
        <w:t>X_F^{(1)},</w:t>
      </w:r>
      <w:r>
        <w:br/>
        <w:t>\ldots,</w:t>
      </w:r>
      <w:r>
        <w:br/>
        <w:t>X_F^{(n)}</w:t>
      </w:r>
      <w:r>
        <w:br/>
        <w:t>\right)</w:t>
      </w:r>
      <w:r>
        <w:br/>
        <w:t>\tag{3.12515}</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Y_F=F_Y\left(X_F^{(1)},\ldots,X_F^{(n)}\right)</w:t>
      </w:r>
    </w:p>
    <w:p w:rsidR="00980458" w:rsidRDefault="00980458" w:rsidP="00980458">
      <w:pPr>
        <w:pStyle w:val="StandardWeb"/>
      </w:pPr>
      <w:r>
        <w:t>gelten.</w:t>
      </w:r>
    </w:p>
    <w:p w:rsidR="00980458" w:rsidRDefault="00E50336" w:rsidP="00980458">
      <w:r>
        <w:pict>
          <v:rect id="_x0000_i4546" style="width:0;height:1.5pt" o:hralign="center" o:hrstd="t" o:hr="t" fillcolor="#a0a0a0" stroked="f"/>
        </w:pict>
      </w:r>
    </w:p>
    <w:p w:rsidR="00980458" w:rsidRDefault="00980458" w:rsidP="00980458">
      <w:pPr>
        <w:pStyle w:val="berschrift1"/>
      </w:pPr>
      <w:r>
        <w:t>3.3.49.14 Definition 3.3.373 – Multivariate funktionale Abhängigkeit</w:t>
      </w:r>
    </w:p>
    <w:p w:rsidR="00980458" w:rsidRDefault="00980458" w:rsidP="00980458">
      <w:pPr>
        <w:pStyle w:val="berschrift3"/>
      </w:pPr>
      <w:r>
        <w:t>Definition 3.3.373</w:t>
      </w:r>
    </w:p>
    <w:p w:rsidR="00980458" w:rsidRDefault="00980458" w:rsidP="00980458">
      <w:pPr>
        <w:pStyle w:val="StandardWeb"/>
      </w:pPr>
      <w:r>
        <w:t xml:space="preserve">Eine Zielgröße (Y_F) heißt </w:t>
      </w:r>
      <w:r>
        <w:rPr>
          <w:rStyle w:val="Fett"/>
        </w:rPr>
        <w:t>multivariat funktional abhängig</w:t>
      </w:r>
      <w:r>
        <w:t xml:space="preserve"> von (X_F^{(1)},\ldots,X_F^{(n)}), wenn</w:t>
      </w:r>
    </w:p>
    <w:p w:rsidR="00980458" w:rsidRDefault="00980458" w:rsidP="00980458">
      <w:pPr>
        <w:pStyle w:val="berschrift1"/>
      </w:pPr>
      <w:r>
        <w:t>[</w:t>
      </w:r>
      <w:r>
        <w:br/>
        <w:t>\boxed{</w:t>
      </w:r>
      <w:r>
        <w:br/>
        <w:t>Y_F</w:t>
      </w:r>
    </w:p>
    <w:p w:rsidR="00980458" w:rsidRDefault="00980458" w:rsidP="00980458">
      <w:pPr>
        <w:pStyle w:val="StandardWeb"/>
      </w:pPr>
      <w:r>
        <w:t>F_Y</w:t>
      </w:r>
      <w:r>
        <w:br/>
        <w:t>\circ</w:t>
      </w:r>
      <w:r>
        <w:br/>
        <w:t>\left(</w:t>
      </w:r>
      <w:r>
        <w:br/>
        <w:t>X_F^{(1)},</w:t>
      </w:r>
      <w:r>
        <w:br/>
        <w:t>\ldots,</w:t>
      </w:r>
      <w:r>
        <w:br/>
        <w:t>X_F^{(n)}</w:t>
      </w:r>
      <w:r>
        <w:br/>
        <w:t>\right).</w:t>
      </w:r>
      <w:r>
        <w:br/>
      </w:r>
      <w:r>
        <w:lastRenderedPageBreak/>
        <w:t>}</w:t>
      </w:r>
      <w:r>
        <w:br/>
        <w:t>\tag{3.12516}</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\boxed{Y_F=F_Y\circ\left(X_F^{(1)},\ldots,X_F^{(n)}\right).}</w:t>
      </w:r>
    </w:p>
    <w:p w:rsidR="00980458" w:rsidRDefault="00E50336" w:rsidP="00980458">
      <w:r>
        <w:pict>
          <v:rect id="_x0000_i4547" style="width:0;height:1.5pt" o:hralign="center" o:hrstd="t" o:hr="t" fillcolor="#a0a0a0" stroked="f"/>
        </w:pict>
      </w:r>
    </w:p>
    <w:p w:rsidR="00980458" w:rsidRDefault="00980458" w:rsidP="00980458">
      <w:pPr>
        <w:pStyle w:val="berschrift1"/>
      </w:pPr>
      <w:r>
        <w:t>3.3.49.15 Einflussstruktur als gerichteter Graph</w:t>
      </w:r>
    </w:p>
    <w:p w:rsidR="00980458" w:rsidRDefault="00980458" w:rsidP="00980458">
      <w:pPr>
        <w:pStyle w:val="StandardWeb"/>
      </w:pPr>
      <w:r>
        <w:t>Die Menge funktionaler Einflussrelationen kann graphisch organisiert werden.</w:t>
      </w:r>
    </w:p>
    <w:p w:rsidR="00980458" w:rsidRDefault="00980458" w:rsidP="00980458">
      <w:pPr>
        <w:pStyle w:val="StandardWeb"/>
      </w:pPr>
      <w:r>
        <w:t>Ich definiere</w:t>
      </w:r>
    </w:p>
    <w:p w:rsidR="00980458" w:rsidRDefault="00980458" w:rsidP="00980458">
      <w:pPr>
        <w:pStyle w:val="berschrift1"/>
      </w:pPr>
      <w:r>
        <w:t>[</w:t>
      </w:r>
      <w:r>
        <w:br/>
        <w:t>\mathcal G_{\mathcal I}</w:t>
      </w:r>
    </w:p>
    <w:p w:rsidR="00980458" w:rsidRDefault="00980458" w:rsidP="00980458">
      <w:pPr>
        <w:pStyle w:val="StandardWeb"/>
      </w:pPr>
      <w:r>
        <w:t>\left(</w:t>
      </w:r>
      <w:r>
        <w:br/>
        <w:t>V_{\mathcal I},</w:t>
      </w:r>
      <w:r>
        <w:br/>
        <w:t>E_{\mathcal I}</w:t>
      </w:r>
      <w:r>
        <w:br/>
        <w:t>\right),</w:t>
      </w:r>
      <w:r>
        <w:br/>
        <w:t>\tag{3.12517}</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\mathcal G_{\mathcal I}=\left(V_{\mathcal I},E_{\mathcal I}\right)</w:t>
      </w:r>
    </w:p>
    <w:p w:rsidR="00980458" w:rsidRDefault="00980458" w:rsidP="00980458">
      <w:pPr>
        <w:pStyle w:val="StandardWeb"/>
      </w:pPr>
      <w:r>
        <w:t>wobei die Knoten funktionale Theorieobjekte und die gerichteten Kanten Einflussrelationen repräsentieren.</w:t>
      </w:r>
    </w:p>
    <w:p w:rsidR="00980458" w:rsidRDefault="00E50336" w:rsidP="00980458">
      <w:r>
        <w:pict>
          <v:rect id="_x0000_i4548" style="width:0;height:1.5pt" o:hralign="center" o:hrstd="t" o:hr="t" fillcolor="#a0a0a0" stroked="f"/>
        </w:pict>
      </w:r>
    </w:p>
    <w:p w:rsidR="00980458" w:rsidRDefault="00980458" w:rsidP="00980458">
      <w:pPr>
        <w:pStyle w:val="berschrift1"/>
      </w:pPr>
      <w:r>
        <w:t>3.3.49.16 Definition 3.3.374 – Funktionaler Einflussgraph</w:t>
      </w:r>
    </w:p>
    <w:p w:rsidR="00980458" w:rsidRDefault="00980458" w:rsidP="00980458">
      <w:pPr>
        <w:pStyle w:val="berschrift3"/>
      </w:pPr>
      <w:r>
        <w:t>Definition 3.3.374</w:t>
      </w:r>
    </w:p>
    <w:p w:rsidR="00980458" w:rsidRDefault="00980458" w:rsidP="00980458">
      <w:pPr>
        <w:pStyle w:val="StandardWeb"/>
      </w:pPr>
      <w:r>
        <w:t xml:space="preserve">Ein </w:t>
      </w:r>
      <w:r>
        <w:rPr>
          <w:rStyle w:val="Fett"/>
        </w:rPr>
        <w:t>funktionaler Einflussgraph</w:t>
      </w:r>
      <w:r>
        <w:t xml:space="preserve"> ist ein gerichteter Graph</w:t>
      </w:r>
    </w:p>
    <w:p w:rsidR="00980458" w:rsidRDefault="00980458" w:rsidP="00980458">
      <w:pPr>
        <w:pStyle w:val="berschrift1"/>
      </w:pPr>
      <w:r>
        <w:t>[</w:t>
      </w:r>
      <w:r>
        <w:br/>
        <w:t>\boxed{</w:t>
      </w:r>
      <w:r>
        <w:br/>
        <w:t>\mathcal G_{\mathcal I}</w:t>
      </w:r>
    </w:p>
    <w:p w:rsidR="00980458" w:rsidRDefault="00980458" w:rsidP="00980458">
      <w:pPr>
        <w:pStyle w:val="StandardWeb"/>
      </w:pPr>
      <w:r>
        <w:lastRenderedPageBreak/>
        <w:t>\left(</w:t>
      </w:r>
      <w:r>
        <w:br/>
        <w:t>V_{\mathcal I},</w:t>
      </w:r>
      <w:r>
        <w:br/>
        <w:t>E_{\mathcal I}</w:t>
      </w:r>
      <w:r>
        <w:br/>
        <w:t>\right),</w:t>
      </w:r>
      <w:r>
        <w:br/>
        <w:t>}</w:t>
      </w:r>
      <w:r>
        <w:br/>
        <w:t>\tag{3.12518}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\boxed{\mathcal G_{\mathcal I}=\left(V_{\mathcal I},E_{\mathcal I}\right),}</w:t>
      </w:r>
    </w:p>
    <w:p w:rsidR="00980458" w:rsidRDefault="00980458" w:rsidP="00980458">
      <w:pPr>
        <w:pStyle w:val="StandardWeb"/>
      </w:pPr>
      <w:r>
        <w:t>mit</w:t>
      </w:r>
    </w:p>
    <w:p w:rsidR="00980458" w:rsidRDefault="00980458" w:rsidP="00980458">
      <w:pPr>
        <w:pStyle w:val="StandardWeb"/>
      </w:pPr>
      <w:r>
        <w:t>[</w:t>
      </w:r>
      <w:r>
        <w:br/>
        <w:t>(X_F,Y_F)\in E_{\mathcal I}</w:t>
      </w:r>
      <w:r>
        <w:br/>
        <w:t>\Longleftrightarrow</w:t>
      </w:r>
      <w:r>
        <w:br/>
        <w:t>X_F\rightsquigarrow Y_F.</w:t>
      </w:r>
      <w:r>
        <w:br/>
        <w:t>\tag{3.12519}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(X_F,Y_F)\in E_{\mathcal I}\Longleftrightarrow X_F\rightsquigarrow Y_F</w:t>
      </w:r>
    </w:p>
    <w:p w:rsidR="00980458" w:rsidRDefault="00E50336" w:rsidP="00980458">
      <w:r>
        <w:pict>
          <v:rect id="_x0000_i4549" style="width:0;height:1.5pt" o:hralign="center" o:hrstd="t" o:hr="t" fillcolor="#a0a0a0" stroked="f"/>
        </w:pict>
      </w:r>
    </w:p>
    <w:p w:rsidR="00980458" w:rsidRDefault="00980458" w:rsidP="00980458">
      <w:pPr>
        <w:pStyle w:val="berschrift1"/>
      </w:pPr>
      <w:r>
        <w:t>3.3.49.17 Direkter Einfluss</w:t>
      </w:r>
    </w:p>
    <w:p w:rsidR="00980458" w:rsidRDefault="00980458" w:rsidP="00980458">
      <w:pPr>
        <w:pStyle w:val="StandardWeb"/>
      </w:pPr>
      <w:r>
        <w:t>Ein direkter Einfluss liegt vor, wenn eine Kante</w:t>
      </w:r>
    </w:p>
    <w:p w:rsidR="00980458" w:rsidRDefault="00980458" w:rsidP="00980458">
      <w:pPr>
        <w:pStyle w:val="StandardWeb"/>
      </w:pPr>
      <w:r>
        <w:t>[</w:t>
      </w:r>
      <w:r>
        <w:br/>
        <w:t>X_F</w:t>
      </w:r>
      <w:r>
        <w:br/>
        <w:t>\rightarrow</w:t>
      </w:r>
      <w:r>
        <w:br/>
        <w:t>Y_F</w:t>
      </w:r>
      <w:r>
        <w:br/>
        <w:t>\tag{3.12520}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X_F\rightarrow Y_F</w:t>
      </w:r>
    </w:p>
    <w:p w:rsidR="00980458" w:rsidRDefault="00980458" w:rsidP="00980458">
      <w:pPr>
        <w:pStyle w:val="StandardWeb"/>
      </w:pPr>
      <w:r>
        <w:t>im Einflussgraphen existiert.</w:t>
      </w:r>
    </w:p>
    <w:p w:rsidR="00980458" w:rsidRDefault="00E50336" w:rsidP="00980458">
      <w:r>
        <w:pict>
          <v:rect id="_x0000_i4550" style="width:0;height:1.5pt" o:hralign="center" o:hrstd="t" o:hr="t" fillcolor="#a0a0a0" stroked="f"/>
        </w:pict>
      </w:r>
    </w:p>
    <w:p w:rsidR="00980458" w:rsidRDefault="00980458" w:rsidP="00980458">
      <w:pPr>
        <w:pStyle w:val="berschrift1"/>
      </w:pPr>
      <w:r>
        <w:t>3.3.49.18 Indirekter Einfluss</w:t>
      </w:r>
    </w:p>
    <w:p w:rsidR="00980458" w:rsidRDefault="00980458" w:rsidP="00980458">
      <w:pPr>
        <w:pStyle w:val="StandardWeb"/>
      </w:pPr>
      <w:r>
        <w:t>Sind dagegen</w:t>
      </w:r>
    </w:p>
    <w:p w:rsidR="00980458" w:rsidRDefault="00980458" w:rsidP="00980458">
      <w:pPr>
        <w:pStyle w:val="StandardWeb"/>
      </w:pPr>
      <w:r>
        <w:t>[</w:t>
      </w:r>
      <w:r>
        <w:br/>
        <w:t>X_F</w:t>
      </w:r>
      <w:r>
        <w:br/>
      </w:r>
      <w:r>
        <w:lastRenderedPageBreak/>
        <w:t>\rightarrow</w:t>
      </w:r>
      <w:r>
        <w:br/>
        <w:t>Z_F</w:t>
      </w:r>
      <w:r>
        <w:br/>
        <w:t>\tag{3.12521}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X_F\rightarrow Z_F</w:t>
      </w:r>
    </w:p>
    <w:p w:rsidR="00980458" w:rsidRDefault="00980458" w:rsidP="00980458">
      <w:pPr>
        <w:pStyle w:val="StandardWeb"/>
      </w:pPr>
      <w:r>
        <w:t>und</w:t>
      </w:r>
    </w:p>
    <w:p w:rsidR="00980458" w:rsidRDefault="00980458" w:rsidP="00980458">
      <w:pPr>
        <w:pStyle w:val="StandardWeb"/>
      </w:pPr>
      <w:r>
        <w:t>[</w:t>
      </w:r>
      <w:r>
        <w:br/>
        <w:t>Z_F</w:t>
      </w:r>
      <w:r>
        <w:br/>
        <w:t>\rightarrow</w:t>
      </w:r>
      <w:r>
        <w:br/>
        <w:t>Y_F</w:t>
      </w:r>
      <w:r>
        <w:br/>
        <w:t>\tag{3.12522}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Z_F\rightarrow Y_F</w:t>
      </w:r>
    </w:p>
    <w:p w:rsidR="00980458" w:rsidRDefault="00980458" w:rsidP="00980458">
      <w:pPr>
        <w:pStyle w:val="StandardWeb"/>
      </w:pPr>
      <w:r>
        <w:t>gegeben, dann besteht ein gerichteter Pfad</w:t>
      </w:r>
    </w:p>
    <w:p w:rsidR="00980458" w:rsidRDefault="00980458" w:rsidP="00980458">
      <w:pPr>
        <w:pStyle w:val="StandardWeb"/>
      </w:pPr>
      <w:r>
        <w:t>[</w:t>
      </w:r>
      <w:r>
        <w:br/>
        <w:t>X_F</w:t>
      </w:r>
      <w:r>
        <w:br/>
        <w:t>\leadsto</w:t>
      </w:r>
      <w:r>
        <w:br/>
        <w:t>Y_F.</w:t>
      </w:r>
      <w:r>
        <w:br/>
        <w:t>\tag{3.12523}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X_F\leadsto Y_F</w:t>
      </w:r>
    </w:p>
    <w:p w:rsidR="00980458" w:rsidRDefault="00E50336" w:rsidP="00980458">
      <w:r>
        <w:pict>
          <v:rect id="_x0000_i4551" style="width:0;height:1.5pt" o:hralign="center" o:hrstd="t" o:hr="t" fillcolor="#a0a0a0" stroked="f"/>
        </w:pict>
      </w:r>
    </w:p>
    <w:p w:rsidR="00980458" w:rsidRDefault="00980458" w:rsidP="00980458">
      <w:pPr>
        <w:pStyle w:val="berschrift1"/>
      </w:pPr>
      <w:r>
        <w:t>3.3.49.19 Definition 3.3.375 – Indirekter funktionaler Einfluss</w:t>
      </w:r>
    </w:p>
    <w:p w:rsidR="00980458" w:rsidRDefault="00980458" w:rsidP="00980458">
      <w:pPr>
        <w:pStyle w:val="berschrift3"/>
      </w:pPr>
      <w:r>
        <w:t>Definition 3.3.375</w:t>
      </w:r>
    </w:p>
    <w:p w:rsidR="00980458" w:rsidRDefault="00980458" w:rsidP="00980458">
      <w:pPr>
        <w:pStyle w:val="StandardWeb"/>
      </w:pPr>
      <w:r>
        <w:t xml:space="preserve">Ein </w:t>
      </w:r>
      <w:r>
        <w:rPr>
          <w:rStyle w:val="Fett"/>
        </w:rPr>
        <w:t>indirekter funktionaler Einfluss</w:t>
      </w:r>
      <w:r>
        <w:t xml:space="preserve"> von (X_F) auf (Y_F) liegt vor, wenn im Einflussgraphen ein gerichteter Pfad positiver Länge von (X_F) nach (Y_F) existiert:</w:t>
      </w:r>
    </w:p>
    <w:p w:rsidR="00980458" w:rsidRDefault="00980458" w:rsidP="00980458">
      <w:pPr>
        <w:pStyle w:val="StandardWeb"/>
      </w:pPr>
      <w:r>
        <w:t>[</w:t>
      </w:r>
      <w:r>
        <w:br/>
        <w:t>\boxed{</w:t>
      </w:r>
      <w:r>
        <w:br/>
        <w:t>X_F</w:t>
      </w:r>
      <w:r>
        <w:br/>
        <w:t>\leadsto</w:t>
      </w:r>
      <w:r>
        <w:br/>
        <w:t>Y_F.</w:t>
      </w:r>
      <w:r>
        <w:br/>
        <w:t>}</w:t>
      </w:r>
      <w:r>
        <w:br/>
      </w:r>
      <w:r>
        <w:lastRenderedPageBreak/>
        <w:t>\tag{3.12524}</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\boxed{X_F\leadsto Y_F.}</w:t>
      </w:r>
    </w:p>
    <w:p w:rsidR="00980458" w:rsidRDefault="00E50336" w:rsidP="00980458">
      <w:r>
        <w:pict>
          <v:rect id="_x0000_i4552" style="width:0;height:1.5pt" o:hralign="center" o:hrstd="t" o:hr="t" fillcolor="#a0a0a0" stroked="f"/>
        </w:pict>
      </w:r>
    </w:p>
    <w:p w:rsidR="00980458" w:rsidRDefault="00980458" w:rsidP="00980458">
      <w:pPr>
        <w:pStyle w:val="berschrift1"/>
      </w:pPr>
      <w:r>
        <w:t>3.3.49.20 Transitive Einflussrelation</w:t>
      </w:r>
    </w:p>
    <w:p w:rsidR="00980458" w:rsidRDefault="00980458" w:rsidP="00980458">
      <w:pPr>
        <w:pStyle w:val="StandardWeb"/>
      </w:pPr>
      <w:r>
        <w:t>Die transitive Hülle von (\mathcal I_F) bezeichne ich mit</w:t>
      </w:r>
    </w:p>
    <w:p w:rsidR="00980458" w:rsidRDefault="00980458" w:rsidP="00980458">
      <w:pPr>
        <w:pStyle w:val="StandardWeb"/>
      </w:pPr>
      <w:r>
        <w:t>[</w:t>
      </w:r>
      <w:r>
        <w:br/>
        <w:t>\mathcal I_F^{+}.</w:t>
      </w:r>
      <w:r>
        <w:br/>
        <w:t>\tag{3.12525}</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\mathcal I_F^{+}</w:t>
      </w:r>
    </w:p>
    <w:p w:rsidR="00980458" w:rsidRDefault="00980458" w:rsidP="00980458">
      <w:pPr>
        <w:pStyle w:val="StandardWeb"/>
      </w:pPr>
      <w:r>
        <w:t>Dabei gilt</w:t>
      </w:r>
    </w:p>
    <w:p w:rsidR="00980458" w:rsidRDefault="00980458" w:rsidP="00980458">
      <w:pPr>
        <w:pStyle w:val="StandardWeb"/>
      </w:pPr>
      <w:r>
        <w:t>[</w:t>
      </w:r>
      <w:r>
        <w:br/>
        <w:t>(X_F,Y_F)</w:t>
      </w:r>
      <w:r>
        <w:br/>
        <w:t>\in</w:t>
      </w:r>
      <w:r>
        <w:br/>
        <w:t>\mathcal I_F^{+}</w:t>
      </w:r>
      <w:r>
        <w:br/>
        <w:t>\Longleftrightarrow</w:t>
      </w:r>
      <w:r>
        <w:br/>
        <w:t>X_F</w:t>
      </w:r>
      <w:r>
        <w:br/>
        <w:t>\leadsto</w:t>
      </w:r>
      <w:r>
        <w:br/>
        <w:t>Y_F.</w:t>
      </w:r>
      <w:r>
        <w:br/>
        <w:t>\tag{3.12526}</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(X_F,Y_F)\in\mathcal I_F^{+}\Longleftrightarrow X_F\leadsto Y_F</w:t>
      </w:r>
    </w:p>
    <w:p w:rsidR="00980458" w:rsidRDefault="00E50336" w:rsidP="00980458">
      <w:r>
        <w:pict>
          <v:rect id="_x0000_i4553" style="width:0;height:1.5pt" o:hralign="center" o:hrstd="t" o:hr="t" fillcolor="#a0a0a0" stroked="f"/>
        </w:pict>
      </w:r>
    </w:p>
    <w:p w:rsidR="00980458" w:rsidRDefault="00980458" w:rsidP="00980458">
      <w:pPr>
        <w:pStyle w:val="berschrift1"/>
      </w:pPr>
      <w:r>
        <w:t>3.3.49.21 Einflusskette</w:t>
      </w:r>
    </w:p>
    <w:p w:rsidR="00980458" w:rsidRDefault="00980458" w:rsidP="00980458">
      <w:pPr>
        <w:pStyle w:val="StandardWeb"/>
      </w:pPr>
      <w:r>
        <w:t>Eine Einflusskette der Länge (n) besitzt die Form</w:t>
      </w:r>
    </w:p>
    <w:p w:rsidR="00980458" w:rsidRDefault="00980458" w:rsidP="00980458">
      <w:pPr>
        <w:pStyle w:val="StandardWeb"/>
      </w:pPr>
      <w:r>
        <w:t>[</w:t>
      </w:r>
      <w:r>
        <w:br/>
        <w:t>X_0</w:t>
      </w:r>
      <w:r>
        <w:br/>
        <w:t>\rightarrow</w:t>
      </w:r>
      <w:r>
        <w:br/>
        <w:t>X_1</w:t>
      </w:r>
      <w:r>
        <w:br/>
        <w:t>\rightarrow</w:t>
      </w:r>
      <w:r>
        <w:br/>
        <w:t>\cdots</w:t>
      </w:r>
      <w:r>
        <w:br/>
        <w:t>\rightarrow</w:t>
      </w:r>
      <w:r>
        <w:br/>
      </w:r>
      <w:r>
        <w:lastRenderedPageBreak/>
        <w:t>X_n.</w:t>
      </w:r>
      <w:r>
        <w:br/>
        <w:t>\tag{3.12527}</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X_0\rightarrow X_1\rightarrow\cdots\rightarrow X_n</w:t>
      </w:r>
    </w:p>
    <w:p w:rsidR="00980458" w:rsidRDefault="00E50336" w:rsidP="00980458">
      <w:r>
        <w:pict>
          <v:rect id="_x0000_i4554" style="width:0;height:1.5pt" o:hralign="center" o:hrstd="t" o:hr="t" fillcolor="#a0a0a0" stroked="f"/>
        </w:pict>
      </w:r>
    </w:p>
    <w:p w:rsidR="00980458" w:rsidRDefault="00980458" w:rsidP="00980458">
      <w:pPr>
        <w:pStyle w:val="berschrift1"/>
      </w:pPr>
      <w:r>
        <w:t>3.3.49.22 Definition 3.3.376 – Funktionale Einflusskette</w:t>
      </w:r>
    </w:p>
    <w:p w:rsidR="00980458" w:rsidRDefault="00980458" w:rsidP="00980458">
      <w:pPr>
        <w:pStyle w:val="berschrift3"/>
      </w:pPr>
      <w:r>
        <w:t>Definition 3.3.376</w:t>
      </w:r>
    </w:p>
    <w:p w:rsidR="00980458" w:rsidRDefault="00980458" w:rsidP="00980458">
      <w:pPr>
        <w:pStyle w:val="StandardWeb"/>
      </w:pPr>
      <w:r>
        <w:t xml:space="preserve">Eine </w:t>
      </w:r>
      <w:r>
        <w:rPr>
          <w:rStyle w:val="Fett"/>
        </w:rPr>
        <w:t>funktionale Einflusskette</w:t>
      </w:r>
      <w:r>
        <w:t xml:space="preserve"> ist eine geordnete Folge</w:t>
      </w:r>
    </w:p>
    <w:p w:rsidR="00980458" w:rsidRDefault="00980458" w:rsidP="00980458">
      <w:pPr>
        <w:pStyle w:val="berschrift1"/>
      </w:pPr>
      <w:r>
        <w:t>[</w:t>
      </w:r>
      <w:r>
        <w:br/>
        <w:t>\boxed{</w:t>
      </w:r>
      <w:r>
        <w:br/>
        <w:t>\mathcal C_{\mathcal I}</w:t>
      </w:r>
    </w:p>
    <w:p w:rsidR="00980458" w:rsidRDefault="00980458" w:rsidP="00980458">
      <w:pPr>
        <w:pStyle w:val="StandardWeb"/>
      </w:pPr>
      <w:r>
        <w:t>(X_0,X_1,\ldots,X_n)</w:t>
      </w:r>
      <w:r>
        <w:br/>
        <w:t>}</w:t>
      </w:r>
      <w:r>
        <w:br/>
        <w:t>\tag{3.12528}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\boxed{\mathcal C_{\mathcal I}=(X_0,X_1,\ldots,X_n)}</w:t>
      </w:r>
    </w:p>
    <w:p w:rsidR="00980458" w:rsidRDefault="00980458" w:rsidP="00980458">
      <w:pPr>
        <w:pStyle w:val="StandardWeb"/>
      </w:pPr>
      <w:r>
        <w:t>mit</w:t>
      </w:r>
    </w:p>
    <w:p w:rsidR="00980458" w:rsidRDefault="00980458" w:rsidP="00980458">
      <w:pPr>
        <w:pStyle w:val="StandardWeb"/>
      </w:pPr>
      <w:r>
        <w:t>[</w:t>
      </w:r>
      <w:r>
        <w:br/>
        <w:t>X_{k-1}</w:t>
      </w:r>
      <w:r>
        <w:br/>
        <w:t>\rightsquigarrow</w:t>
      </w:r>
      <w:r>
        <w:br/>
        <w:t>X_k</w:t>
      </w:r>
      <w:r>
        <w:br/>
        <w:t>\qquad</w:t>
      </w:r>
      <w:r>
        <w:br/>
        <w:t>k=1,\ldots,n.</w:t>
      </w:r>
      <w:r>
        <w:br/>
        <w:t>\tag{3.12529}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X_{k-1}\rightsquigarrow X_k\qquad k=1,\ldots,n</w:t>
      </w:r>
    </w:p>
    <w:p w:rsidR="00980458" w:rsidRDefault="00E50336" w:rsidP="00980458">
      <w:r>
        <w:pict>
          <v:rect id="_x0000_i4555" style="width:0;height:1.5pt" o:hralign="center" o:hrstd="t" o:hr="t" fillcolor="#a0a0a0" stroked="f"/>
        </w:pict>
      </w:r>
    </w:p>
    <w:p w:rsidR="00980458" w:rsidRDefault="00980458" w:rsidP="00980458">
      <w:pPr>
        <w:pStyle w:val="berschrift1"/>
      </w:pPr>
      <w:r>
        <w:t>3.3.49.23 Komposition funktionaler Einflussabbildungen</w:t>
      </w:r>
    </w:p>
    <w:p w:rsidR="00980458" w:rsidRDefault="00980458" w:rsidP="00980458">
      <w:pPr>
        <w:pStyle w:val="StandardWeb"/>
      </w:pPr>
      <w:r>
        <w:lastRenderedPageBreak/>
        <w:t>Seien</w:t>
      </w:r>
    </w:p>
    <w:p w:rsidR="00980458" w:rsidRDefault="00980458" w:rsidP="00980458">
      <w:pPr>
        <w:pStyle w:val="StandardWeb"/>
      </w:pPr>
      <w:r>
        <w:t>[</w:t>
      </w:r>
      <w:r>
        <w:br/>
        <w:t>X_F</w:t>
      </w:r>
      <w:r>
        <w:br/>
        <w:t>\xrightarrow{F_{ZX}}</w:t>
      </w:r>
      <w:r>
        <w:br/>
        <w:t>Z_F</w:t>
      </w:r>
      <w:r>
        <w:br/>
        <w:t>\xrightarrow{F_{YZ}}</w:t>
      </w:r>
      <w:r>
        <w:br/>
        <w:t>Y_F.</w:t>
      </w:r>
      <w:r>
        <w:br/>
        <w:t>\tag{3.12530}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X_F\xrightarrow{F_{ZX}}Z_F\xrightarrow{F_{YZ}}Y_F</w:t>
      </w:r>
    </w:p>
    <w:p w:rsidR="00980458" w:rsidRDefault="00980458" w:rsidP="00980458">
      <w:pPr>
        <w:pStyle w:val="StandardWeb"/>
      </w:pPr>
      <w:r>
        <w:t>Dann folgt</w:t>
      </w:r>
    </w:p>
    <w:p w:rsidR="00980458" w:rsidRDefault="00980458" w:rsidP="00980458">
      <w:pPr>
        <w:pStyle w:val="berschrift1"/>
      </w:pPr>
      <w:r>
        <w:t>[</w:t>
      </w:r>
      <w:r>
        <w:br/>
        <w:t>Y_F</w:t>
      </w:r>
    </w:p>
    <w:p w:rsidR="00980458" w:rsidRDefault="00980458" w:rsidP="00980458">
      <w:pPr>
        <w:pStyle w:val="StandardWeb"/>
      </w:pPr>
      <w:r>
        <w:t>F_{YZ}</w:t>
      </w:r>
      <w:r>
        <w:br/>
        <w:t>\circ</w:t>
      </w:r>
      <w:r>
        <w:br/>
        <w:t>F_{ZX}</w:t>
      </w:r>
      <w:r>
        <w:br/>
        <w:t>\circ</w:t>
      </w:r>
      <w:r>
        <w:br/>
        <w:t>X_F.</w:t>
      </w:r>
      <w:r>
        <w:br/>
        <w:t>\tag{3.12531}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Y_F=F_{YZ}\circ F_{ZX}\circ X_F</w:t>
      </w:r>
    </w:p>
    <w:p w:rsidR="00980458" w:rsidRDefault="00E50336" w:rsidP="00980458">
      <w:r>
        <w:pict>
          <v:rect id="_x0000_i4556" style="width:0;height:1.5pt" o:hralign="center" o:hrstd="t" o:hr="t" fillcolor="#a0a0a0" stroked="f"/>
        </w:pict>
      </w:r>
    </w:p>
    <w:p w:rsidR="00980458" w:rsidRDefault="00980458" w:rsidP="00980458">
      <w:pPr>
        <w:pStyle w:val="berschrift1"/>
      </w:pPr>
      <w:r>
        <w:t>3.3.49.24 Satz 3.3.162 – Funktionale Abhängigkeit ist entlang kompatibler Abbildungsketten komponierbar</w:t>
      </w:r>
    </w:p>
    <w:p w:rsidR="00980458" w:rsidRDefault="00980458" w:rsidP="00980458">
      <w:pPr>
        <w:pStyle w:val="berschrift3"/>
      </w:pPr>
      <w:r>
        <w:t>Satz 3.3.162</w:t>
      </w:r>
    </w:p>
    <w:p w:rsidR="00980458" w:rsidRDefault="00980458" w:rsidP="00980458">
      <w:pPr>
        <w:pStyle w:val="StandardWeb"/>
      </w:pPr>
      <w:r>
        <w:t>Gelten</w:t>
      </w:r>
    </w:p>
    <w:p w:rsidR="00980458" w:rsidRDefault="00980458" w:rsidP="00980458">
      <w:pPr>
        <w:pStyle w:val="berschrift1"/>
      </w:pPr>
      <w:r>
        <w:t>[</w:t>
      </w:r>
      <w:r>
        <w:br/>
        <w:t>Z_F</w:t>
      </w:r>
    </w:p>
    <w:p w:rsidR="00980458" w:rsidRDefault="00980458" w:rsidP="00980458">
      <w:pPr>
        <w:pStyle w:val="StandardWeb"/>
      </w:pPr>
      <w:r>
        <w:t>F_{ZX}</w:t>
      </w:r>
      <w:r>
        <w:br/>
        <w:t>\circ</w:t>
      </w:r>
      <w:r>
        <w:br/>
        <w:t>X_F</w:t>
      </w:r>
      <w:r>
        <w:br/>
      </w:r>
      <w:r>
        <w:lastRenderedPageBreak/>
        <w:t>\tag{3.12532}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Z_F=F_{ZX}\circ X_F</w:t>
      </w:r>
    </w:p>
    <w:p w:rsidR="00980458" w:rsidRDefault="00980458" w:rsidP="00980458">
      <w:pPr>
        <w:pStyle w:val="StandardWeb"/>
      </w:pPr>
      <w:r>
        <w:t>und</w:t>
      </w:r>
    </w:p>
    <w:p w:rsidR="00980458" w:rsidRDefault="00980458" w:rsidP="00980458">
      <w:pPr>
        <w:pStyle w:val="berschrift1"/>
      </w:pPr>
      <w:r>
        <w:t>[</w:t>
      </w:r>
      <w:r>
        <w:br/>
        <w:t>Y_F</w:t>
      </w:r>
    </w:p>
    <w:p w:rsidR="00980458" w:rsidRDefault="00980458" w:rsidP="00980458">
      <w:pPr>
        <w:pStyle w:val="StandardWeb"/>
      </w:pPr>
      <w:r>
        <w:t>F_{YZ}</w:t>
      </w:r>
      <w:r>
        <w:br/>
        <w:t>\circ</w:t>
      </w:r>
      <w:r>
        <w:br/>
        <w:t>Z_F,</w:t>
      </w:r>
      <w:r>
        <w:br/>
        <w:t>\tag{3.12533}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Y_F=F_{YZ}\circ Z_F</w:t>
      </w:r>
    </w:p>
    <w:p w:rsidR="00980458" w:rsidRDefault="00980458" w:rsidP="00980458">
      <w:pPr>
        <w:pStyle w:val="StandardWeb"/>
      </w:pPr>
      <w:r>
        <w:t>dann gilt</w:t>
      </w:r>
    </w:p>
    <w:p w:rsidR="00980458" w:rsidRDefault="00980458" w:rsidP="00980458">
      <w:pPr>
        <w:pStyle w:val="berschrift1"/>
      </w:pPr>
      <w:r>
        <w:t>[</w:t>
      </w:r>
      <w:r>
        <w:br/>
        <w:t>\boxed{</w:t>
      </w:r>
      <w:r>
        <w:br/>
        <w:t>Y_F</w:t>
      </w:r>
    </w:p>
    <w:p w:rsidR="00980458" w:rsidRDefault="00980458" w:rsidP="00980458">
      <w:pPr>
        <w:pStyle w:val="StandardWeb"/>
      </w:pPr>
      <w:r>
        <w:t>\left(</w:t>
      </w:r>
      <w:r>
        <w:br/>
        <w:t>F_{YZ}</w:t>
      </w:r>
      <w:r>
        <w:br/>
        <w:t>\circ</w:t>
      </w:r>
      <w:r>
        <w:br/>
        <w:t>F_{ZX}</w:t>
      </w:r>
      <w:r>
        <w:br/>
        <w:t>\right)</w:t>
      </w:r>
      <w:r>
        <w:br/>
        <w:t>\circ</w:t>
      </w:r>
      <w:r>
        <w:br/>
        <w:t>X_F.</w:t>
      </w:r>
      <w:r>
        <w:br/>
        <w:t>}</w:t>
      </w:r>
      <w:r>
        <w:br/>
        <w:t>\tag{3.12534}</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\boxed{Y_F=\left(F_{YZ}\circ F_{ZX}\right)\circ X_F.}</w:t>
      </w:r>
    </w:p>
    <w:p w:rsidR="00980458" w:rsidRDefault="00980458" w:rsidP="00980458">
      <w:pPr>
        <w:pStyle w:val="berschrift3"/>
      </w:pPr>
      <w:r>
        <w:t>Beweis</w:t>
      </w:r>
    </w:p>
    <w:p w:rsidR="00980458" w:rsidRDefault="00980458" w:rsidP="00980458">
      <w:pPr>
        <w:pStyle w:val="StandardWeb"/>
      </w:pPr>
      <w:r>
        <w:t>Durch Einsetzen von (Z_F=F_{ZX}\circ X_F) in die zweite Gleichung erhalte ich</w:t>
      </w:r>
    </w:p>
    <w:p w:rsidR="00980458" w:rsidRDefault="00980458" w:rsidP="00980458">
      <w:pPr>
        <w:pStyle w:val="berschrift1"/>
      </w:pPr>
      <w:r>
        <w:lastRenderedPageBreak/>
        <w:t>[</w:t>
      </w:r>
      <w:r>
        <w:br/>
        <w:t>Y_F</w:t>
      </w:r>
    </w:p>
    <w:p w:rsidR="00980458" w:rsidRDefault="00980458" w:rsidP="00980458">
      <w:pPr>
        <w:pStyle w:val="StandardWeb"/>
      </w:pPr>
      <w:r>
        <w:t>F_{YZ}</w:t>
      </w:r>
      <w:r>
        <w:br/>
        <w:t>\circ</w:t>
      </w:r>
      <w:r>
        <w:br/>
        <w:t>(F_{ZX}\circ X_F).</w:t>
      </w:r>
      <w:r>
        <w:br/>
        <w:t>\tag{3.12535}</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Y_F=F_{YZ}\circ(F_{ZX}\circ X_F)</w:t>
      </w:r>
    </w:p>
    <w:p w:rsidR="00980458" w:rsidRDefault="00980458" w:rsidP="00980458">
      <w:pPr>
        <w:pStyle w:val="StandardWeb"/>
      </w:pPr>
      <w:r>
        <w:t>Mit der Assoziativität der Funktionskomposition folgt Gleichung (3.12534). (\square)</w:t>
      </w:r>
    </w:p>
    <w:p w:rsidR="00980458" w:rsidRDefault="00E50336" w:rsidP="00980458">
      <w:r>
        <w:pict>
          <v:rect id="_x0000_i4557" style="width:0;height:1.5pt" o:hralign="center" o:hrstd="t" o:hr="t" fillcolor="#a0a0a0" stroked="f"/>
        </w:pict>
      </w:r>
    </w:p>
    <w:p w:rsidR="00980458" w:rsidRDefault="00980458" w:rsidP="00980458">
      <w:pPr>
        <w:pStyle w:val="berschrift1"/>
      </w:pPr>
      <w:r>
        <w:t>3.3.49.25 Korollar 3.3.36 – Endliche funktionale Abhängigkeitsketten lassen sich komponieren</w:t>
      </w:r>
    </w:p>
    <w:p w:rsidR="00980458" w:rsidRDefault="00980458" w:rsidP="00980458">
      <w:pPr>
        <w:pStyle w:val="berschrift3"/>
      </w:pPr>
      <w:r>
        <w:t>Korollar 3.3.36</w:t>
      </w:r>
    </w:p>
    <w:p w:rsidR="00980458" w:rsidRDefault="00980458" w:rsidP="00980458">
      <w:pPr>
        <w:pStyle w:val="StandardWeb"/>
      </w:pPr>
      <w:r>
        <w:t>Für</w:t>
      </w:r>
    </w:p>
    <w:p w:rsidR="00980458" w:rsidRDefault="00980458" w:rsidP="00980458">
      <w:pPr>
        <w:pStyle w:val="StandardWeb"/>
      </w:pPr>
      <w:r>
        <w:t>[</w:t>
      </w:r>
      <w:r>
        <w:br/>
        <w:t>X_0</w:t>
      </w:r>
      <w:r>
        <w:br/>
        <w:t>\xrightarrow{F_1}</w:t>
      </w:r>
      <w:r>
        <w:br/>
        <w:t>X_1</w:t>
      </w:r>
      <w:r>
        <w:br/>
        <w:t>\xrightarrow{F_2}</w:t>
      </w:r>
      <w:r>
        <w:br/>
        <w:t>\cdots</w:t>
      </w:r>
      <w:r>
        <w:br/>
        <w:t>\xrightarrow{F_n}</w:t>
      </w:r>
      <w:r>
        <w:br/>
        <w:t>X_n</w:t>
      </w:r>
      <w:r>
        <w:br/>
        <w:t>\tag{3.12536}</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X_0\xrightarrow{F_1}X_1\xrightarrow{F_2}\cdots\xrightarrow{F_n}X_n</w:t>
      </w:r>
    </w:p>
    <w:p w:rsidR="00980458" w:rsidRDefault="00980458" w:rsidP="00980458">
      <w:pPr>
        <w:pStyle w:val="StandardWeb"/>
      </w:pPr>
      <w:r>
        <w:t>gilt</w:t>
      </w:r>
    </w:p>
    <w:p w:rsidR="00980458" w:rsidRDefault="00980458" w:rsidP="00980458">
      <w:pPr>
        <w:pStyle w:val="berschrift1"/>
      </w:pPr>
      <w:r>
        <w:t>[</w:t>
      </w:r>
      <w:r>
        <w:br/>
        <w:t>\boxed{</w:t>
      </w:r>
      <w:r>
        <w:br/>
        <w:t>X_n</w:t>
      </w:r>
    </w:p>
    <w:p w:rsidR="00980458" w:rsidRDefault="00980458" w:rsidP="00980458">
      <w:pPr>
        <w:pStyle w:val="StandardWeb"/>
      </w:pPr>
      <w:r>
        <w:t>\left(</w:t>
      </w:r>
      <w:r>
        <w:br/>
        <w:t>F_n</w:t>
      </w:r>
      <w:r>
        <w:br/>
      </w:r>
      <w:r>
        <w:lastRenderedPageBreak/>
        <w:t>\circ</w:t>
      </w:r>
      <w:r>
        <w:br/>
        <w:t>\cdots</w:t>
      </w:r>
      <w:r>
        <w:br/>
        <w:t>\circ</w:t>
      </w:r>
      <w:r>
        <w:br/>
        <w:t>F_1</w:t>
      </w:r>
      <w:r>
        <w:br/>
        <w:t>\right)</w:t>
      </w:r>
      <w:r>
        <w:br/>
        <w:t>(X_0).</w:t>
      </w:r>
      <w:r>
        <w:br/>
        <w:t>}</w:t>
      </w:r>
      <w:r>
        <w:br/>
        <w:t>\tag{3.12537}</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\boxed{X_n=\left(F_n\circ\cdots\circ F_1\right)(X_0).}</w:t>
      </w:r>
    </w:p>
    <w:p w:rsidR="00980458" w:rsidRDefault="00E50336" w:rsidP="00980458">
      <w:r>
        <w:pict>
          <v:rect id="_x0000_i4558" style="width:0;height:1.5pt" o:hralign="center" o:hrstd="t" o:hr="t" fillcolor="#a0a0a0" stroked="f"/>
        </w:pict>
      </w:r>
    </w:p>
    <w:p w:rsidR="00980458" w:rsidRDefault="00980458" w:rsidP="00980458">
      <w:pPr>
        <w:pStyle w:val="berschrift1"/>
      </w:pPr>
      <w:r>
        <w:t>3.3.49.26 Rückkopplung</w:t>
      </w:r>
    </w:p>
    <w:p w:rsidR="00980458" w:rsidRDefault="00980458" w:rsidP="00980458">
      <w:pPr>
        <w:pStyle w:val="StandardWeb"/>
      </w:pPr>
      <w:r>
        <w:t>Ein gerichteter Einflussgraph muss nicht azyklisch sein.</w:t>
      </w:r>
    </w:p>
    <w:p w:rsidR="00980458" w:rsidRDefault="00980458" w:rsidP="00980458">
      <w:pPr>
        <w:pStyle w:val="StandardWeb"/>
      </w:pPr>
      <w:r>
        <w:t>Es kann beispielsweise gelten</w:t>
      </w:r>
    </w:p>
    <w:p w:rsidR="00980458" w:rsidRDefault="00980458" w:rsidP="00980458">
      <w:pPr>
        <w:pStyle w:val="StandardWeb"/>
      </w:pPr>
      <w:r>
        <w:t>[</w:t>
      </w:r>
      <w:r>
        <w:br/>
        <w:t>X_F</w:t>
      </w:r>
      <w:r>
        <w:br/>
        <w:t>\rightsquigarrow</w:t>
      </w:r>
      <w:r>
        <w:br/>
        <w:t>Y_F</w:t>
      </w:r>
      <w:r>
        <w:br/>
        <w:t>\tag{3.12538}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X_F\rightsquigarrow Y_F</w:t>
      </w:r>
    </w:p>
    <w:p w:rsidR="00980458" w:rsidRDefault="00980458" w:rsidP="00980458">
      <w:pPr>
        <w:pStyle w:val="StandardWeb"/>
      </w:pPr>
      <w:r>
        <w:t>und gleichzeitig</w:t>
      </w:r>
    </w:p>
    <w:p w:rsidR="00980458" w:rsidRDefault="00980458" w:rsidP="00980458">
      <w:pPr>
        <w:pStyle w:val="StandardWeb"/>
      </w:pPr>
      <w:r>
        <w:t>[</w:t>
      </w:r>
      <w:r>
        <w:br/>
        <w:t>Y_F</w:t>
      </w:r>
      <w:r>
        <w:br/>
        <w:t>\rightsquigarrow</w:t>
      </w:r>
      <w:r>
        <w:br/>
        <w:t>X_F.</w:t>
      </w:r>
      <w:r>
        <w:br/>
        <w:t>\tag{3.12539}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Y_F\rightsquigarrow X_F</w:t>
      </w:r>
    </w:p>
    <w:p w:rsidR="00980458" w:rsidRDefault="00E50336" w:rsidP="00980458">
      <w:r>
        <w:pict>
          <v:rect id="_x0000_i4559" style="width:0;height:1.5pt" o:hralign="center" o:hrstd="t" o:hr="t" fillcolor="#a0a0a0" stroked="f"/>
        </w:pict>
      </w:r>
    </w:p>
    <w:p w:rsidR="00980458" w:rsidRDefault="00980458" w:rsidP="00980458">
      <w:pPr>
        <w:pStyle w:val="berschrift1"/>
      </w:pPr>
      <w:r>
        <w:t>3.3.49.27 Definition 3.3.377 – Funktionale Rückkopplung</w:t>
      </w:r>
    </w:p>
    <w:p w:rsidR="00980458" w:rsidRDefault="00980458" w:rsidP="00980458">
      <w:pPr>
        <w:pStyle w:val="berschrift3"/>
      </w:pPr>
      <w:r>
        <w:t>Definition 3.3.377</w:t>
      </w:r>
    </w:p>
    <w:p w:rsidR="00980458" w:rsidRDefault="00980458" w:rsidP="00980458">
      <w:pPr>
        <w:pStyle w:val="StandardWeb"/>
      </w:pPr>
      <w:r>
        <w:lastRenderedPageBreak/>
        <w:t xml:space="preserve">Eine </w:t>
      </w:r>
      <w:r>
        <w:rPr>
          <w:rStyle w:val="Fett"/>
        </w:rPr>
        <w:t>funktionale Rückkopplung</w:t>
      </w:r>
      <w:r>
        <w:t xml:space="preserve"> liegt vor, wenn zwei Theorieobjekte wechselseitig durch gerichtete Einflussrelationen verbunden sind:</w:t>
      </w:r>
    </w:p>
    <w:p w:rsidR="00980458" w:rsidRDefault="00980458" w:rsidP="00980458">
      <w:pPr>
        <w:pStyle w:val="StandardWeb"/>
      </w:pPr>
      <w:r>
        <w:t>[</w:t>
      </w:r>
      <w:r>
        <w:br/>
        <w:t>\boxed{</w:t>
      </w:r>
      <w:r>
        <w:br/>
        <w:t>X_F</w:t>
      </w:r>
      <w:r>
        <w:br/>
        <w:t>\rightsquigarrow</w:t>
      </w:r>
      <w:r>
        <w:br/>
        <w:t>Y_F</w:t>
      </w:r>
      <w:r>
        <w:br/>
        <w:t>\land</w:t>
      </w:r>
      <w:r>
        <w:br/>
        <w:t>Y_F</w:t>
      </w:r>
      <w:r>
        <w:br/>
        <w:t>\rightsquigarrow</w:t>
      </w:r>
      <w:r>
        <w:br/>
        <w:t>X_F.</w:t>
      </w:r>
      <w:r>
        <w:br/>
        <w:t>}</w:t>
      </w:r>
      <w:r>
        <w:br/>
        <w:t>\tag{3.12540}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\boxed{X_F\rightsquigarrow Y_F\land Y_F\rightsquigarrow X_F.}</w:t>
      </w:r>
    </w:p>
    <w:p w:rsidR="00980458" w:rsidRDefault="00E50336" w:rsidP="00980458">
      <w:r>
        <w:pict>
          <v:rect id="_x0000_i4560" style="width:0;height:1.5pt" o:hralign="center" o:hrstd="t" o:hr="t" fillcolor="#a0a0a0" stroked="f"/>
        </w:pict>
      </w:r>
    </w:p>
    <w:p w:rsidR="00980458" w:rsidRDefault="00980458" w:rsidP="00980458">
      <w:pPr>
        <w:pStyle w:val="berschrift1"/>
      </w:pPr>
      <w:r>
        <w:t>3.3.49.28 Längere Rückkopplungsschleifen</w:t>
      </w:r>
    </w:p>
    <w:p w:rsidR="00980458" w:rsidRDefault="00980458" w:rsidP="00980458">
      <w:pPr>
        <w:pStyle w:val="StandardWeb"/>
      </w:pPr>
      <w:r>
        <w:t>Allgemeiner kann eine geschlossene Einflusskette</w:t>
      </w:r>
    </w:p>
    <w:p w:rsidR="00980458" w:rsidRDefault="00980458" w:rsidP="00980458">
      <w:pPr>
        <w:pStyle w:val="berschrift1"/>
      </w:pPr>
      <w:r>
        <w:t>[</w:t>
      </w:r>
      <w:r>
        <w:br/>
        <w:t>X_0</w:t>
      </w:r>
      <w:r>
        <w:br/>
        <w:t>\rightarrow</w:t>
      </w:r>
      <w:r>
        <w:br/>
        <w:t>X_1</w:t>
      </w:r>
      <w:r>
        <w:br/>
        <w:t>\rightarrow</w:t>
      </w:r>
      <w:r>
        <w:br/>
        <w:t>\cdots</w:t>
      </w:r>
      <w:r>
        <w:br/>
        <w:t>\rightarrow</w:t>
      </w:r>
      <w:r>
        <w:br/>
        <w:t>X_n</w:t>
      </w:r>
    </w:p>
    <w:p w:rsidR="00980458" w:rsidRDefault="00980458" w:rsidP="00980458">
      <w:pPr>
        <w:pStyle w:val="StandardWeb"/>
      </w:pPr>
      <w:r>
        <w:t>X_0</w:t>
      </w:r>
      <w:r>
        <w:br/>
        <w:t>\tag{3.12541}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X_0\rightarrow X_1\rightarrow\cdots\rightarrow X_n=X_0</w:t>
      </w:r>
    </w:p>
    <w:p w:rsidR="00980458" w:rsidRDefault="00980458" w:rsidP="00980458">
      <w:pPr>
        <w:pStyle w:val="StandardWeb"/>
      </w:pPr>
      <w:r>
        <w:t>auftreten.</w:t>
      </w:r>
    </w:p>
    <w:p w:rsidR="00980458" w:rsidRDefault="00E50336" w:rsidP="00980458">
      <w:r>
        <w:pict>
          <v:rect id="_x0000_i4561" style="width:0;height:1.5pt" o:hralign="center" o:hrstd="t" o:hr="t" fillcolor="#a0a0a0" stroked="f"/>
        </w:pict>
      </w:r>
    </w:p>
    <w:p w:rsidR="00980458" w:rsidRDefault="00980458" w:rsidP="00980458">
      <w:pPr>
        <w:pStyle w:val="berschrift1"/>
      </w:pPr>
      <w:r>
        <w:lastRenderedPageBreak/>
        <w:t>3.3.49.29 Definition 3.3.378 – Funktionale Einflussschleife</w:t>
      </w:r>
    </w:p>
    <w:p w:rsidR="00980458" w:rsidRDefault="00980458" w:rsidP="00980458">
      <w:pPr>
        <w:pStyle w:val="berschrift3"/>
      </w:pPr>
      <w:r>
        <w:t>Definition 3.3.378</w:t>
      </w:r>
    </w:p>
    <w:p w:rsidR="00980458" w:rsidRDefault="00980458" w:rsidP="00980458">
      <w:pPr>
        <w:pStyle w:val="StandardWeb"/>
      </w:pPr>
      <w:r>
        <w:t xml:space="preserve">Eine </w:t>
      </w:r>
      <w:r>
        <w:rPr>
          <w:rStyle w:val="Fett"/>
        </w:rPr>
        <w:t>funktionale Einflussschleife</w:t>
      </w:r>
      <w:r>
        <w:t xml:space="preserve"> ist eine gerichtete Einflusskette mit</w:t>
      </w:r>
    </w:p>
    <w:p w:rsidR="00980458" w:rsidRDefault="00980458" w:rsidP="00980458">
      <w:pPr>
        <w:pStyle w:val="StandardWeb"/>
      </w:pPr>
      <w:r>
        <w:t>[</w:t>
      </w:r>
      <w:r>
        <w:br/>
        <w:t>\boxed{</w:t>
      </w:r>
      <w:r>
        <w:br/>
        <w:t>X_n=X_0.</w:t>
      </w:r>
      <w:r>
        <w:br/>
        <w:t>}</w:t>
      </w:r>
      <w:r>
        <w:br/>
        <w:t>\tag{3.12542}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\boxed{X_n=X_0.}</w:t>
      </w:r>
    </w:p>
    <w:p w:rsidR="00980458" w:rsidRDefault="00E50336" w:rsidP="00980458">
      <w:r>
        <w:pict>
          <v:rect id="_x0000_i4562" style="width:0;height:1.5pt" o:hralign="center" o:hrstd="t" o:hr="t" fillcolor="#a0a0a0" stroked="f"/>
        </w:pict>
      </w:r>
    </w:p>
    <w:p w:rsidR="00980458" w:rsidRDefault="00980458" w:rsidP="00980458">
      <w:pPr>
        <w:pStyle w:val="berschrift1"/>
      </w:pPr>
      <w:r>
        <w:t>3.3.49.30 Azyklische Einflussstruktur</w:t>
      </w:r>
    </w:p>
    <w:p w:rsidR="00980458" w:rsidRDefault="00980458" w:rsidP="00980458">
      <w:pPr>
        <w:pStyle w:val="StandardWeb"/>
      </w:pPr>
      <w:r>
        <w:t>Eine spezielle Modellklasse entsteht, wenn keine gerichteten Zyklen vorhanden sind.</w:t>
      </w:r>
    </w:p>
    <w:p w:rsidR="00980458" w:rsidRDefault="00980458" w:rsidP="00980458">
      <w:pPr>
        <w:pStyle w:val="StandardWeb"/>
      </w:pPr>
      <w:r>
        <w:t>Ich schreibe</w:t>
      </w:r>
    </w:p>
    <w:p w:rsidR="00980458" w:rsidRDefault="00980458" w:rsidP="00980458">
      <w:pPr>
        <w:pStyle w:val="berschrift1"/>
      </w:pPr>
      <w:r>
        <w:t>[</w:t>
      </w:r>
      <w:r>
        <w:br/>
        <w:t>\operatorname{Cyc}</w:t>
      </w:r>
      <w:r>
        <w:br/>
        <w:t>(\mathcal G_{\mathcal I})</w:t>
      </w:r>
    </w:p>
    <w:p w:rsidR="00980458" w:rsidRDefault="00980458" w:rsidP="00980458">
      <w:pPr>
        <w:pStyle w:val="StandardWeb"/>
      </w:pPr>
      <w:r>
        <w:t>\varnothing.</w:t>
      </w:r>
      <w:r>
        <w:br/>
        <w:t>\tag{3.12543}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\operatorname{Cyc}(\mathcal G_{\mathcal I})=\varnothing</w:t>
      </w:r>
    </w:p>
    <w:p w:rsidR="00980458" w:rsidRDefault="00E50336" w:rsidP="00980458">
      <w:r>
        <w:pict>
          <v:rect id="_x0000_i4563" style="width:0;height:1.5pt" o:hralign="center" o:hrstd="t" o:hr="t" fillcolor="#a0a0a0" stroked="f"/>
        </w:pict>
      </w:r>
    </w:p>
    <w:p w:rsidR="00980458" w:rsidRDefault="00980458" w:rsidP="00980458">
      <w:pPr>
        <w:pStyle w:val="berschrift1"/>
      </w:pPr>
      <w:r>
        <w:t>3.3.49.31 Definition 3.3.379 – Azyklische funktionale Einflussstruktur</w:t>
      </w:r>
    </w:p>
    <w:p w:rsidR="00980458" w:rsidRDefault="00980458" w:rsidP="00980458">
      <w:pPr>
        <w:pStyle w:val="berschrift3"/>
      </w:pPr>
      <w:r>
        <w:t>Definition 3.3.379</w:t>
      </w:r>
    </w:p>
    <w:p w:rsidR="00980458" w:rsidRDefault="00980458" w:rsidP="00980458">
      <w:pPr>
        <w:pStyle w:val="StandardWeb"/>
      </w:pPr>
      <w:r>
        <w:t xml:space="preserve">Ein funktionaler Einflussgraph heißt </w:t>
      </w:r>
      <w:r>
        <w:rPr>
          <w:rStyle w:val="Fett"/>
        </w:rPr>
        <w:t>azyklisch</w:t>
      </w:r>
      <w:r>
        <w:t>, wenn</w:t>
      </w:r>
    </w:p>
    <w:p w:rsidR="00980458" w:rsidRDefault="00980458" w:rsidP="00980458">
      <w:pPr>
        <w:pStyle w:val="berschrift1"/>
      </w:pPr>
      <w:r>
        <w:lastRenderedPageBreak/>
        <w:t>[</w:t>
      </w:r>
      <w:r>
        <w:br/>
        <w:t>\boxed{</w:t>
      </w:r>
      <w:r>
        <w:br/>
        <w:t>\operatorname{Cyc}</w:t>
      </w:r>
      <w:r>
        <w:br/>
        <w:t>(\mathcal G_{\mathcal I})</w:t>
      </w:r>
    </w:p>
    <w:p w:rsidR="00980458" w:rsidRDefault="00980458" w:rsidP="00980458">
      <w:pPr>
        <w:pStyle w:val="StandardWeb"/>
      </w:pPr>
      <w:r>
        <w:t>\varnothing.</w:t>
      </w:r>
      <w:r>
        <w:br/>
        <w:t>}</w:t>
      </w:r>
      <w:r>
        <w:br/>
        <w:t>\tag{3.12544}</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\boxed{\operatorname{Cyc}(\mathcal G_{\mathcal I})=\varnothing.}</w:t>
      </w:r>
    </w:p>
    <w:p w:rsidR="00980458" w:rsidRDefault="00E50336" w:rsidP="00980458">
      <w:r>
        <w:pict>
          <v:rect id="_x0000_i4564" style="width:0;height:1.5pt" o:hralign="center" o:hrstd="t" o:hr="t" fillcolor="#a0a0a0" stroked="f"/>
        </w:pict>
      </w:r>
    </w:p>
    <w:p w:rsidR="00980458" w:rsidRDefault="00980458" w:rsidP="00980458">
      <w:pPr>
        <w:pStyle w:val="berschrift1"/>
      </w:pPr>
      <w:r>
        <w:t>3.3.49.32 Azyklizität ist keine allgemeine Voraussetzung</w:t>
      </w:r>
    </w:p>
    <w:p w:rsidR="00980458" w:rsidRDefault="00980458" w:rsidP="00980458">
      <w:pPr>
        <w:pStyle w:val="StandardWeb"/>
      </w:pPr>
      <w:r>
        <w:t>Das FRZK muss Rückkopplungssysteme zulassen können.</w:t>
      </w:r>
    </w:p>
    <w:p w:rsidR="00980458" w:rsidRDefault="00980458" w:rsidP="00980458">
      <w:pPr>
        <w:pStyle w:val="StandardWeb"/>
      </w:pPr>
      <w:r>
        <w:t>Daher fordere ich nicht allgemein</w:t>
      </w:r>
    </w:p>
    <w:p w:rsidR="00980458" w:rsidRDefault="00980458" w:rsidP="00980458">
      <w:pPr>
        <w:pStyle w:val="berschrift1"/>
      </w:pPr>
      <w:r>
        <w:t>[</w:t>
      </w:r>
      <w:r>
        <w:br/>
        <w:t>\operatorname{Cyc}</w:t>
      </w:r>
      <w:r>
        <w:br/>
        <w:t>(\mathcal G_{\mathcal I})</w:t>
      </w:r>
    </w:p>
    <w:p w:rsidR="00980458" w:rsidRDefault="00980458" w:rsidP="00980458">
      <w:pPr>
        <w:pStyle w:val="StandardWeb"/>
      </w:pPr>
      <w:r>
        <w:t>\varnothing.</w:t>
      </w:r>
      <w:r>
        <w:br/>
        <w:t>\tag{3.12545}</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\operatorname{Cyc}(\mathcal G_{\mathcal I})=\varnothing</w:t>
      </w:r>
    </w:p>
    <w:p w:rsidR="00980458" w:rsidRDefault="00E50336" w:rsidP="00980458">
      <w:r>
        <w:pict>
          <v:rect id="_x0000_i4565" style="width:0;height:1.5pt" o:hralign="center" o:hrstd="t" o:hr="t" fillcolor="#a0a0a0" stroked="f"/>
        </w:pict>
      </w:r>
    </w:p>
    <w:p w:rsidR="00980458" w:rsidRDefault="00980458" w:rsidP="00980458">
      <w:pPr>
        <w:pStyle w:val="berschrift1"/>
      </w:pPr>
      <w:r>
        <w:t>3.3.49.33 Primäraxiomkandidat der Azyklizität</w:t>
      </w:r>
    </w:p>
    <w:p w:rsidR="00980458" w:rsidRDefault="00980458" w:rsidP="00980458">
      <w:pPr>
        <w:pStyle w:val="StandardWeb"/>
      </w:pPr>
      <w:r>
        <w:t>Ein möglicher Kandidat wäre</w:t>
      </w:r>
    </w:p>
    <w:p w:rsidR="00980458" w:rsidRDefault="00980458" w:rsidP="00980458">
      <w:pPr>
        <w:pStyle w:val="berschrift1"/>
      </w:pPr>
      <w:r>
        <w:t>[</w:t>
      </w:r>
      <w:r>
        <w:br/>
        <w:t>A_{\mathrm{acyc}}</w:t>
      </w:r>
      <w:r>
        <w:br/>
        <w:t>:</w:t>
      </w:r>
      <w:r>
        <w:br/>
      </w:r>
      <w:r>
        <w:lastRenderedPageBreak/>
        <w:t>\operatorname{Cyc}</w:t>
      </w:r>
      <w:r>
        <w:br/>
        <w:t>(\mathcal G_{\mathcal I})</w:t>
      </w:r>
    </w:p>
    <w:p w:rsidR="00980458" w:rsidRDefault="00980458" w:rsidP="00980458">
      <w:pPr>
        <w:pStyle w:val="StandardWeb"/>
      </w:pPr>
      <w:r>
        <w:t>\varnothing.</w:t>
      </w:r>
      <w:r>
        <w:br/>
        <w:t>\tag{3.12546}</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A_{\mathrm{acyc}}:\operatorname{Cyc}(\mathcal G_{\mathcal I})=\varnothing</w:t>
      </w:r>
    </w:p>
    <w:p w:rsidR="00980458" w:rsidRDefault="00E50336" w:rsidP="00980458">
      <w:r>
        <w:pict>
          <v:rect id="_x0000_i4566" style="width:0;height:1.5pt" o:hralign="center" o:hrstd="t" o:hr="t" fillcolor="#a0a0a0" stroked="f"/>
        </w:pict>
      </w:r>
    </w:p>
    <w:p w:rsidR="00980458" w:rsidRDefault="00980458" w:rsidP="00980458">
      <w:pPr>
        <w:pStyle w:val="berschrift1"/>
      </w:pPr>
      <w:r>
        <w:t>3.3.49.34 Gegenmodell zur Azyklizität</w:t>
      </w:r>
    </w:p>
    <w:p w:rsidR="00980458" w:rsidRDefault="00980458" w:rsidP="00980458">
      <w:pPr>
        <w:pStyle w:val="StandardWeb"/>
      </w:pPr>
      <w:r>
        <w:t>Ein zulässiges funktionales System kann eine Rückkopplung</w:t>
      </w:r>
    </w:p>
    <w:p w:rsidR="00980458" w:rsidRDefault="00980458" w:rsidP="00980458">
      <w:pPr>
        <w:pStyle w:val="StandardWeb"/>
      </w:pPr>
      <w:r>
        <w:t>[</w:t>
      </w:r>
      <w:r>
        <w:br/>
        <w:t>X_F</w:t>
      </w:r>
      <w:r>
        <w:br/>
        <w:t>\rightsquigarrow</w:t>
      </w:r>
      <w:r>
        <w:br/>
        <w:t>Y_F</w:t>
      </w:r>
      <w:r>
        <w:br/>
        <w:t>\rightsquigarrow</w:t>
      </w:r>
      <w:r>
        <w:br/>
        <w:t>X_F</w:t>
      </w:r>
      <w:r>
        <w:br/>
        <w:t>\tag{3.12547}</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X_F\rightsquigarrow Y_F\rightsquigarrow X_F</w:t>
      </w:r>
    </w:p>
    <w:p w:rsidR="00980458" w:rsidRDefault="00980458" w:rsidP="00980458">
      <w:pPr>
        <w:pStyle w:val="StandardWeb"/>
      </w:pPr>
      <w:r>
        <w:t>besitzen.</w:t>
      </w:r>
    </w:p>
    <w:p w:rsidR="00980458" w:rsidRDefault="00980458" w:rsidP="00980458">
      <w:pPr>
        <w:pStyle w:val="StandardWeb"/>
      </w:pPr>
      <w:r>
        <w:t>Daher ist Azyklizität nicht universal notwendig.</w:t>
      </w:r>
    </w:p>
    <w:p w:rsidR="00980458" w:rsidRDefault="00E50336" w:rsidP="00980458">
      <w:r>
        <w:pict>
          <v:rect id="_x0000_i4567" style="width:0;height:1.5pt" o:hralign="center" o:hrstd="t" o:hr="t" fillcolor="#a0a0a0" stroked="f"/>
        </w:pict>
      </w:r>
    </w:p>
    <w:p w:rsidR="00980458" w:rsidRDefault="00980458" w:rsidP="00980458">
      <w:pPr>
        <w:pStyle w:val="berschrift1"/>
      </w:pPr>
      <w:r>
        <w:t>3.3.49.35 Axiomentscheidung zur Azyklizität</w:t>
      </w:r>
    </w:p>
    <w:p w:rsidR="00980458" w:rsidRDefault="00980458" w:rsidP="00980458">
      <w:pPr>
        <w:pStyle w:val="StandardWeb"/>
      </w:pPr>
      <w:r>
        <w:t>Es gilt</w:t>
      </w:r>
    </w:p>
    <w:p w:rsidR="00980458" w:rsidRDefault="00980458" w:rsidP="00980458">
      <w:pPr>
        <w:pStyle w:val="berschrift1"/>
      </w:pPr>
      <w:r>
        <w:t>[</w:t>
      </w:r>
      <w:r>
        <w:br/>
        <w:t>\boxed{</w:t>
      </w:r>
      <w:r>
        <w:br/>
        <w:t>U_{\mathrm{Ax}}</w:t>
      </w:r>
      <w:r>
        <w:br/>
        <w:t>(A_{\mathrm{acyc}})</w:t>
      </w:r>
    </w:p>
    <w:p w:rsidR="00980458" w:rsidRDefault="00980458" w:rsidP="007B100B">
      <w:pPr>
        <w:numPr>
          <w:ilvl w:val="0"/>
          <w:numId w:val="563"/>
        </w:numPr>
        <w:spacing w:before="100" w:beforeAutospacing="1" w:after="100" w:afterAutospacing="1"/>
      </w:pPr>
    </w:p>
    <w:p w:rsidR="00980458" w:rsidRDefault="00980458" w:rsidP="00980458">
      <w:pPr>
        <w:pStyle w:val="StandardWeb"/>
      </w:pPr>
      <w:r>
        <w:lastRenderedPageBreak/>
        <w:t>}</w:t>
      </w:r>
      <w:r>
        <w:br/>
        <w:t>\tag{3.12548}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\boxed{U_{\mathrm{Ax}}(A_{\mathrm{acyc}})=0.}</w:t>
      </w:r>
    </w:p>
    <w:p w:rsidR="00980458" w:rsidRDefault="00E50336" w:rsidP="00980458">
      <w:r>
        <w:pict>
          <v:rect id="_x0000_i4568" style="width:0;height:1.5pt" o:hralign="center" o:hrstd="t" o:hr="t" fillcolor="#a0a0a0" stroked="f"/>
        </w:pict>
      </w:r>
    </w:p>
    <w:p w:rsidR="00980458" w:rsidRDefault="00980458" w:rsidP="00980458">
      <w:pPr>
        <w:pStyle w:val="berschrift1"/>
      </w:pPr>
      <w:r>
        <w:t>3.3.49.36 Satz 3.3.163 – Azyklizität funktionaler Einflussstrukturen ist kein Primäraxiom</w:t>
      </w:r>
    </w:p>
    <w:p w:rsidR="00980458" w:rsidRDefault="00980458" w:rsidP="00980458">
      <w:pPr>
        <w:pStyle w:val="berschrift3"/>
      </w:pPr>
      <w:r>
        <w:t>Satz 3.3.163</w:t>
      </w:r>
    </w:p>
    <w:p w:rsidR="00980458" w:rsidRDefault="00980458" w:rsidP="00980458">
      <w:pPr>
        <w:pStyle w:val="StandardWeb"/>
      </w:pPr>
      <w:r>
        <w:t>Die Forderung, sämtliche funktionalen Einflussstrukturen des FRZK müssten azyklisch sein, ist keine universell notwendige Voraussetzung.</w:t>
      </w:r>
    </w:p>
    <w:p w:rsidR="00980458" w:rsidRDefault="00980458" w:rsidP="00980458">
      <w:pPr>
        <w:pStyle w:val="StandardWeb"/>
      </w:pPr>
      <w:r>
        <w:t>Formal gilt</w:t>
      </w:r>
    </w:p>
    <w:p w:rsidR="00980458" w:rsidRDefault="00980458" w:rsidP="00980458">
      <w:pPr>
        <w:pStyle w:val="berschrift1"/>
      </w:pPr>
      <w:r>
        <w:t>[</w:t>
      </w:r>
      <w:r>
        <w:br/>
        <w:t>\boxed{</w:t>
      </w:r>
      <w:r>
        <w:br/>
        <w:t>U_{\mathrm{Ax}}</w:t>
      </w:r>
      <w:r>
        <w:br/>
        <w:t>(A_{\mathrm{acyc}})</w:t>
      </w:r>
    </w:p>
    <w:p w:rsidR="00980458" w:rsidRDefault="00980458" w:rsidP="007B100B">
      <w:pPr>
        <w:numPr>
          <w:ilvl w:val="0"/>
          <w:numId w:val="564"/>
        </w:numPr>
        <w:spacing w:before="100" w:beforeAutospacing="1" w:after="100" w:afterAutospacing="1"/>
      </w:pPr>
    </w:p>
    <w:p w:rsidR="00980458" w:rsidRDefault="00980458" w:rsidP="00980458">
      <w:pPr>
        <w:pStyle w:val="StandardWeb"/>
      </w:pPr>
      <w:r>
        <w:t>}</w:t>
      </w:r>
      <w:r>
        <w:br/>
        <w:t>\tag{3.12549}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\boxed{U_{\mathrm{Ax}}(A_{\mathrm{acyc}})=0.}</w:t>
      </w:r>
    </w:p>
    <w:p w:rsidR="00980458" w:rsidRDefault="00E50336" w:rsidP="00980458">
      <w:r>
        <w:pict>
          <v:rect id="_x0000_i4569" style="width:0;height:1.5pt" o:hralign="center" o:hrstd="t" o:hr="t" fillcolor="#a0a0a0" stroked="f"/>
        </w:pict>
      </w:r>
    </w:p>
    <w:p w:rsidR="00980458" w:rsidRDefault="00980458" w:rsidP="00980458">
      <w:pPr>
        <w:pStyle w:val="berschrift1"/>
      </w:pPr>
      <w:r>
        <w:t>3.3.49.37 Zeitliche Ordnung und gerichteter Einfluss</w:t>
      </w:r>
    </w:p>
    <w:p w:rsidR="00980458" w:rsidRDefault="00980458" w:rsidP="00980458">
      <w:pPr>
        <w:pStyle w:val="StandardWeb"/>
      </w:pPr>
      <w:r>
        <w:t>Eine gerichtete Einflussrelation kann zusätzlich mit einer zeitlichen Ordnung verbunden werden.</w:t>
      </w:r>
    </w:p>
    <w:p w:rsidR="00980458" w:rsidRDefault="00980458" w:rsidP="00980458">
      <w:pPr>
        <w:pStyle w:val="StandardWeb"/>
      </w:pPr>
      <w:r>
        <w:t>Seien zwei Ereignis- oder Zustandsmarken</w:t>
      </w:r>
    </w:p>
    <w:p w:rsidR="00980458" w:rsidRDefault="00980458" w:rsidP="00980458">
      <w:pPr>
        <w:pStyle w:val="berschrift1"/>
      </w:pPr>
      <w:r>
        <w:t>[</w:t>
      </w:r>
      <w:r>
        <w:br/>
        <w:t>e_i</w:t>
      </w:r>
    </w:p>
    <w:p w:rsidR="00980458" w:rsidRDefault="00980458" w:rsidP="00980458">
      <w:pPr>
        <w:pStyle w:val="StandardWeb"/>
      </w:pPr>
      <w:r>
        <w:lastRenderedPageBreak/>
        <w:t>(z_i,\tau_i)</w:t>
      </w:r>
      <w:r>
        <w:br/>
        <w:t>\tag{3.12550}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e_i=(z_i,\tau_i)</w:t>
      </w:r>
    </w:p>
    <w:p w:rsidR="00980458" w:rsidRDefault="00980458" w:rsidP="00980458">
      <w:pPr>
        <w:pStyle w:val="StandardWeb"/>
      </w:pPr>
      <w:r>
        <w:t>und</w:t>
      </w:r>
    </w:p>
    <w:p w:rsidR="00980458" w:rsidRDefault="00980458" w:rsidP="00980458">
      <w:pPr>
        <w:pStyle w:val="berschrift1"/>
      </w:pPr>
      <w:r>
        <w:t>[</w:t>
      </w:r>
      <w:r>
        <w:br/>
        <w:t>e_j</w:t>
      </w:r>
    </w:p>
    <w:p w:rsidR="00980458" w:rsidRDefault="00980458" w:rsidP="00980458">
      <w:pPr>
        <w:pStyle w:val="StandardWeb"/>
      </w:pPr>
      <w:r>
        <w:t>(z_j,\tau_j).</w:t>
      </w:r>
      <w:r>
        <w:br/>
        <w:t>\tag{3.12551}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e_j=(z_j,\tau_j)</w:t>
      </w:r>
    </w:p>
    <w:p w:rsidR="00980458" w:rsidRDefault="00E50336" w:rsidP="00980458">
      <w:r>
        <w:pict>
          <v:rect id="_x0000_i4570" style="width:0;height:1.5pt" o:hralign="center" o:hrstd="t" o:hr="t" fillcolor="#a0a0a0" stroked="f"/>
        </w:pict>
      </w:r>
    </w:p>
    <w:p w:rsidR="00980458" w:rsidRDefault="00980458" w:rsidP="00980458">
      <w:pPr>
        <w:pStyle w:val="berschrift1"/>
      </w:pPr>
      <w:r>
        <w:t>3.3.49.38 Zeitgerichteter Einfluss</w:t>
      </w:r>
    </w:p>
    <w:p w:rsidR="00980458" w:rsidRDefault="00980458" w:rsidP="00980458">
      <w:pPr>
        <w:pStyle w:val="StandardWeb"/>
      </w:pPr>
      <w:r>
        <w:t>Eine mögliche Bedingung lautet</w:t>
      </w:r>
    </w:p>
    <w:p w:rsidR="00980458" w:rsidRDefault="00980458" w:rsidP="00980458">
      <w:pPr>
        <w:pStyle w:val="StandardWeb"/>
      </w:pPr>
      <w:r>
        <w:t>[</w:t>
      </w:r>
      <w:r>
        <w:br/>
        <w:t>e_i</w:t>
      </w:r>
      <w:r>
        <w:br/>
        <w:t>\rightsquigarrow</w:t>
      </w:r>
      <w:r>
        <w:br/>
        <w:t>e_j</w:t>
      </w:r>
      <w:r>
        <w:br/>
        <w:t>\Rightarrow</w:t>
      </w:r>
      <w:r>
        <w:br/>
        <w:t>\tau_i</w:t>
      </w:r>
      <w:r>
        <w:br/>
        <w:t>\leq</w:t>
      </w:r>
      <w:r>
        <w:br/>
        <w:t>\tau_j.</w:t>
      </w:r>
      <w:r>
        <w:br/>
        <w:t>\tag{3.12552}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e_i\rightsquigarrow e_j\Rightarrow\tau_i\leq\tau_j</w:t>
      </w:r>
    </w:p>
    <w:p w:rsidR="00980458" w:rsidRDefault="00E50336" w:rsidP="00980458">
      <w:r>
        <w:pict>
          <v:rect id="_x0000_i4571" style="width:0;height:1.5pt" o:hralign="center" o:hrstd="t" o:hr="t" fillcolor="#a0a0a0" stroked="f"/>
        </w:pict>
      </w:r>
    </w:p>
    <w:p w:rsidR="00980458" w:rsidRDefault="00980458" w:rsidP="00980458">
      <w:pPr>
        <w:pStyle w:val="berschrift1"/>
      </w:pPr>
      <w:r>
        <w:t>3.3.49.39 Definition 3.3.380 – Zeitkompatibler funktionaler Einfluss</w:t>
      </w:r>
    </w:p>
    <w:p w:rsidR="00980458" w:rsidRDefault="00980458" w:rsidP="00980458">
      <w:pPr>
        <w:pStyle w:val="berschrift3"/>
      </w:pPr>
      <w:r>
        <w:t>Definition 3.3.380</w:t>
      </w:r>
    </w:p>
    <w:p w:rsidR="00980458" w:rsidRDefault="00980458" w:rsidP="00980458">
      <w:pPr>
        <w:pStyle w:val="StandardWeb"/>
      </w:pPr>
      <w:r>
        <w:lastRenderedPageBreak/>
        <w:t xml:space="preserve">Eine gerichtete funktionale Einflussrelation heißt bezüglich einer Zeitordnung </w:t>
      </w:r>
      <w:r>
        <w:rPr>
          <w:rStyle w:val="Fett"/>
        </w:rPr>
        <w:t>zeitkompatibel</w:t>
      </w:r>
      <w:r>
        <w:t>, wenn</w:t>
      </w:r>
    </w:p>
    <w:p w:rsidR="00980458" w:rsidRDefault="00980458" w:rsidP="00980458">
      <w:pPr>
        <w:pStyle w:val="StandardWeb"/>
      </w:pPr>
      <w:r>
        <w:t>[</w:t>
      </w:r>
      <w:r>
        <w:br/>
        <w:t>\boxed{</w:t>
      </w:r>
      <w:r>
        <w:br/>
        <w:t>e_i</w:t>
      </w:r>
      <w:r>
        <w:br/>
        <w:t>\rightsquigarrow</w:t>
      </w:r>
      <w:r>
        <w:br/>
        <w:t>e_j</w:t>
      </w:r>
      <w:r>
        <w:br/>
        <w:t>\Rightarrow</w:t>
      </w:r>
      <w:r>
        <w:br/>
        <w:t>\tau_i</w:t>
      </w:r>
      <w:r>
        <w:br/>
        <w:t>\leq</w:t>
      </w:r>
      <w:r>
        <w:br/>
        <w:t>\tau_j.</w:t>
      </w:r>
      <w:r>
        <w:br/>
        <w:t>}</w:t>
      </w:r>
      <w:r>
        <w:br/>
        <w:t>\tag{3.12553}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\boxed{e_i\rightsquigarrow e_j\Rightarrow\tau_i\leq\tau_j.}</w:t>
      </w:r>
    </w:p>
    <w:p w:rsidR="00980458" w:rsidRDefault="00E50336" w:rsidP="00980458">
      <w:r>
        <w:pict>
          <v:rect id="_x0000_i4572" style="width:0;height:1.5pt" o:hralign="center" o:hrstd="t" o:hr="t" fillcolor="#a0a0a0" stroked="f"/>
        </w:pict>
      </w:r>
    </w:p>
    <w:p w:rsidR="00980458" w:rsidRDefault="00980458" w:rsidP="00980458">
      <w:pPr>
        <w:pStyle w:val="berschrift1"/>
      </w:pPr>
      <w:r>
        <w:t>3.3.49.40 Streng vorwärtsgerichteter Einfluss</w:t>
      </w:r>
    </w:p>
    <w:p w:rsidR="00980458" w:rsidRDefault="00980458" w:rsidP="00980458">
      <w:pPr>
        <w:pStyle w:val="StandardWeb"/>
      </w:pPr>
      <w:r>
        <w:t>Eine stärkere Bedingung lautet</w:t>
      </w:r>
    </w:p>
    <w:p w:rsidR="00980458" w:rsidRDefault="00980458" w:rsidP="00980458">
      <w:pPr>
        <w:pStyle w:val="StandardWeb"/>
      </w:pPr>
      <w:r>
        <w:t>[</w:t>
      </w:r>
      <w:r>
        <w:br/>
        <w:t>e_i</w:t>
      </w:r>
      <w:r>
        <w:br/>
        <w:t>\rightsquigarrow</w:t>
      </w:r>
      <w:r>
        <w:br/>
        <w:t>e_j</w:t>
      </w:r>
      <w:r>
        <w:br/>
        <w:t>\Rightarrow</w:t>
      </w:r>
      <w:r>
        <w:br/>
        <w:t>\tau_i</w:t>
      </w:r>
      <w:r>
        <w:br/>
        <w:t>&lt;</w:t>
      </w:r>
      <w:r>
        <w:br/>
        <w:t>\tau_j.</w:t>
      </w:r>
      <w:r>
        <w:br/>
        <w:t>\tag{3.12554}</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e_i\rightsquigarrow e_j\Rightarrow\tau_i&lt;\tau_j</w:t>
      </w:r>
    </w:p>
    <w:p w:rsidR="00980458" w:rsidRDefault="00E50336" w:rsidP="00980458">
      <w:r>
        <w:pict>
          <v:rect id="_x0000_i4573" style="width:0;height:1.5pt" o:hralign="center" o:hrstd="t" o:hr="t" fillcolor="#a0a0a0" stroked="f"/>
        </w:pict>
      </w:r>
    </w:p>
    <w:p w:rsidR="00980458" w:rsidRDefault="00980458" w:rsidP="00980458">
      <w:pPr>
        <w:pStyle w:val="berschrift1"/>
      </w:pPr>
      <w:r>
        <w:t>3.3.49.41 Definition 3.3.381 – Streng zeitgerichteter funktionaler Einfluss</w:t>
      </w:r>
    </w:p>
    <w:p w:rsidR="00980458" w:rsidRDefault="00980458" w:rsidP="00980458">
      <w:pPr>
        <w:pStyle w:val="berschrift3"/>
      </w:pPr>
      <w:r>
        <w:t>Definition 3.3.381</w:t>
      </w:r>
    </w:p>
    <w:p w:rsidR="00980458" w:rsidRDefault="00980458" w:rsidP="00980458">
      <w:pPr>
        <w:pStyle w:val="StandardWeb"/>
      </w:pPr>
      <w:r>
        <w:t xml:space="preserve">Eine Einflussrelation heißt </w:t>
      </w:r>
      <w:r>
        <w:rPr>
          <w:rStyle w:val="Fett"/>
        </w:rPr>
        <w:t>streng zeitgerichtet</w:t>
      </w:r>
      <w:r>
        <w:t>, wenn</w:t>
      </w:r>
    </w:p>
    <w:p w:rsidR="00980458" w:rsidRDefault="00980458" w:rsidP="00980458">
      <w:pPr>
        <w:pStyle w:val="StandardWeb"/>
      </w:pPr>
      <w:r>
        <w:lastRenderedPageBreak/>
        <w:t>[</w:t>
      </w:r>
      <w:r>
        <w:br/>
        <w:t>\boxed{</w:t>
      </w:r>
      <w:r>
        <w:br/>
        <w:t>e_i</w:t>
      </w:r>
      <w:r>
        <w:br/>
        <w:t>\rightsquigarrow</w:t>
      </w:r>
      <w:r>
        <w:br/>
        <w:t>e_j</w:t>
      </w:r>
      <w:r>
        <w:br/>
        <w:t>\Rightarrow</w:t>
      </w:r>
      <w:r>
        <w:br/>
        <w:t>\tau_i</w:t>
      </w:r>
      <w:r>
        <w:br/>
        <w:t>&lt;</w:t>
      </w:r>
      <w:r>
        <w:br/>
        <w:t>\tau_j.</w:t>
      </w:r>
      <w:r>
        <w:br/>
        <w:t>}</w:t>
      </w:r>
      <w:r>
        <w:br/>
        <w:t>\tag{3.12555}</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\boxed{e_i\rightsquigarrow e_j\Rightarrow\tau_i&lt;\tau_j.}</w:t>
      </w:r>
    </w:p>
    <w:p w:rsidR="00980458" w:rsidRDefault="00E50336" w:rsidP="00980458">
      <w:r>
        <w:pict>
          <v:rect id="_x0000_i4574" style="width:0;height:1.5pt" o:hralign="center" o:hrstd="t" o:hr="t" fillcolor="#a0a0a0" stroked="f"/>
        </w:pict>
      </w:r>
    </w:p>
    <w:p w:rsidR="00980458" w:rsidRDefault="00980458" w:rsidP="00980458">
      <w:pPr>
        <w:pStyle w:val="berschrift1"/>
      </w:pPr>
      <w:r>
        <w:t>3.3.49.42 Zeitkompatibilität ist modellabhängig</w:t>
      </w:r>
    </w:p>
    <w:p w:rsidR="00980458" w:rsidRDefault="00980458" w:rsidP="00980458">
      <w:pPr>
        <w:pStyle w:val="StandardWeb"/>
      </w:pPr>
      <w:r>
        <w:t>Eine rein algebraische oder simultane funktionale Abhängigkeit muss keine Zeitordnung besitzen.</w:t>
      </w:r>
    </w:p>
    <w:p w:rsidR="00980458" w:rsidRDefault="00980458" w:rsidP="00980458">
      <w:pPr>
        <w:pStyle w:val="StandardWeb"/>
      </w:pPr>
      <w:r>
        <w:t>Daher folgt aus</w:t>
      </w:r>
    </w:p>
    <w:p w:rsidR="00980458" w:rsidRDefault="00980458" w:rsidP="00980458">
      <w:pPr>
        <w:pStyle w:val="StandardWeb"/>
      </w:pPr>
      <w:r>
        <w:t>[</w:t>
      </w:r>
      <w:r>
        <w:br/>
        <w:t>X_F</w:t>
      </w:r>
      <w:r>
        <w:br/>
        <w:t>\rightsquigarrow</w:t>
      </w:r>
      <w:r>
        <w:br/>
        <w:t>Y_F</w:t>
      </w:r>
      <w:r>
        <w:br/>
        <w:t>\tag{3.12556}</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X_F\rightsquigarrow Y_F</w:t>
      </w:r>
    </w:p>
    <w:p w:rsidR="00980458" w:rsidRDefault="00980458" w:rsidP="00980458">
      <w:pPr>
        <w:pStyle w:val="StandardWeb"/>
      </w:pPr>
      <w:r>
        <w:t>nicht automatisch</w:t>
      </w:r>
    </w:p>
    <w:p w:rsidR="00980458" w:rsidRDefault="00980458" w:rsidP="00980458">
      <w:pPr>
        <w:pStyle w:val="StandardWeb"/>
      </w:pPr>
      <w:r>
        <w:t>[</w:t>
      </w:r>
      <w:r>
        <w:br/>
        <w:t>\tau_X</w:t>
      </w:r>
      <w:r>
        <w:br/>
        <w:t>&lt;</w:t>
      </w:r>
      <w:r>
        <w:br/>
        <w:t>\tau_Y.</w:t>
      </w:r>
      <w:r>
        <w:br/>
        <w:t>\tag{3.12557}</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\tau_X&lt;\tau_Y</w:t>
      </w:r>
    </w:p>
    <w:p w:rsidR="00980458" w:rsidRDefault="00E50336" w:rsidP="00980458">
      <w:r>
        <w:pict>
          <v:rect id="_x0000_i4575" style="width:0;height:1.5pt" o:hralign="center" o:hrstd="t" o:hr="t" fillcolor="#a0a0a0" stroked="f"/>
        </w:pict>
      </w:r>
    </w:p>
    <w:p w:rsidR="00980458" w:rsidRDefault="00980458" w:rsidP="00980458">
      <w:pPr>
        <w:pStyle w:val="berschrift1"/>
      </w:pPr>
      <w:r>
        <w:lastRenderedPageBreak/>
        <w:t>3.3.49.43 Primäraxiomkandidat strenger Zeitrichtung</w:t>
      </w:r>
    </w:p>
    <w:p w:rsidR="00980458" w:rsidRDefault="00980458" w:rsidP="00980458">
      <w:pPr>
        <w:pStyle w:val="StandardWeb"/>
      </w:pPr>
      <w:r>
        <w:t>Ein möglicher Kandidat wäre</w:t>
      </w:r>
    </w:p>
    <w:p w:rsidR="00980458" w:rsidRDefault="00980458" w:rsidP="00980458">
      <w:pPr>
        <w:pStyle w:val="StandardWeb"/>
      </w:pPr>
      <w:r>
        <w:t>[</w:t>
      </w:r>
      <w:r>
        <w:br/>
        <w:t>A_{\rightarrow t}</w:t>
      </w:r>
      <w:r>
        <w:br/>
        <w:t>:</w:t>
      </w:r>
      <w:r>
        <w:br/>
        <w:t>X_F</w:t>
      </w:r>
      <w:r>
        <w:br/>
        <w:t>\rightsquigarrow</w:t>
      </w:r>
      <w:r>
        <w:br/>
        <w:t>Y_F</w:t>
      </w:r>
      <w:r>
        <w:br/>
        <w:t>\Rightarrow</w:t>
      </w:r>
      <w:r>
        <w:br/>
        <w:t>\tau_X</w:t>
      </w:r>
      <w:r>
        <w:br/>
        <w:t>&lt;</w:t>
      </w:r>
      <w:r>
        <w:br/>
        <w:t>\tau_Y.</w:t>
      </w:r>
      <w:r>
        <w:br/>
        <w:t>\tag{3.12558}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A_{\rightarrow t}:X_F\rightsquigarrow Y_F\Rightarrow\tau_X&lt;\tau_Y</w:t>
      </w:r>
    </w:p>
    <w:p w:rsidR="00980458" w:rsidRDefault="00E50336" w:rsidP="00980458">
      <w:r>
        <w:pict>
          <v:rect id="_x0000_i4576" style="width:0;height:1.5pt" o:hralign="center" o:hrstd="t" o:hr="t" fillcolor="#a0a0a0" stroked="f"/>
        </w:pict>
      </w:r>
    </w:p>
    <w:p w:rsidR="00980458" w:rsidRDefault="00980458" w:rsidP="00980458">
      <w:pPr>
        <w:pStyle w:val="berschrift1"/>
      </w:pPr>
      <w:r>
        <w:t>3.3.49.44 Gegenmodell zur universellen Zeitrichtung</w:t>
      </w:r>
    </w:p>
    <w:p w:rsidR="00980458" w:rsidRDefault="00980458" w:rsidP="00980458">
      <w:pPr>
        <w:pStyle w:val="StandardWeb"/>
      </w:pPr>
      <w:r>
        <w:t>Simultane algebraische Kopplungen können beispielsweise</w:t>
      </w:r>
    </w:p>
    <w:p w:rsidR="00980458" w:rsidRDefault="00980458" w:rsidP="00980458">
      <w:pPr>
        <w:pStyle w:val="berschrift1"/>
      </w:pPr>
      <w:r>
        <w:t>[</w:t>
      </w:r>
      <w:r>
        <w:br/>
        <w:t>\tau_X</w:t>
      </w:r>
    </w:p>
    <w:p w:rsidR="00980458" w:rsidRDefault="00980458" w:rsidP="00980458">
      <w:pPr>
        <w:pStyle w:val="StandardWeb"/>
      </w:pPr>
      <w:r>
        <w:t>\tau_Y</w:t>
      </w:r>
      <w:r>
        <w:br/>
        <w:t>\tag{3.12559}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\tau_X=\tau_Y</w:t>
      </w:r>
    </w:p>
    <w:p w:rsidR="00980458" w:rsidRDefault="00980458" w:rsidP="00980458">
      <w:pPr>
        <w:pStyle w:val="StandardWeb"/>
      </w:pPr>
      <w:r>
        <w:t>bei gleichzeitig vorhandener funktionaler Abhängigkeit zulassen.</w:t>
      </w:r>
    </w:p>
    <w:p w:rsidR="00980458" w:rsidRDefault="00E50336" w:rsidP="00980458">
      <w:r>
        <w:pict>
          <v:rect id="_x0000_i4577" style="width:0;height:1.5pt" o:hralign="center" o:hrstd="t" o:hr="t" fillcolor="#a0a0a0" stroked="f"/>
        </w:pict>
      </w:r>
    </w:p>
    <w:p w:rsidR="00980458" w:rsidRDefault="00980458" w:rsidP="00980458">
      <w:pPr>
        <w:pStyle w:val="berschrift1"/>
      </w:pPr>
      <w:r>
        <w:t>3.3.49.45 Axiomentscheidung zur strengen Zeitrichtung</w:t>
      </w:r>
    </w:p>
    <w:p w:rsidR="00980458" w:rsidRDefault="00980458" w:rsidP="00980458">
      <w:pPr>
        <w:pStyle w:val="StandardWeb"/>
      </w:pPr>
      <w:r>
        <w:t>Daher gilt</w:t>
      </w:r>
    </w:p>
    <w:p w:rsidR="00980458" w:rsidRDefault="00980458" w:rsidP="00980458">
      <w:pPr>
        <w:pStyle w:val="berschrift1"/>
      </w:pPr>
      <w:r>
        <w:lastRenderedPageBreak/>
        <w:t>[</w:t>
      </w:r>
      <w:r>
        <w:br/>
        <w:t>\boxed{</w:t>
      </w:r>
      <w:r>
        <w:br/>
        <w:t>U_{\mathrm{Ax}}</w:t>
      </w:r>
      <w:r>
        <w:br/>
        <w:t>(A_{\rightarrow t})</w:t>
      </w:r>
    </w:p>
    <w:p w:rsidR="00980458" w:rsidRDefault="00980458" w:rsidP="007B100B">
      <w:pPr>
        <w:numPr>
          <w:ilvl w:val="0"/>
          <w:numId w:val="565"/>
        </w:numPr>
        <w:spacing w:before="100" w:beforeAutospacing="1" w:after="100" w:afterAutospacing="1"/>
      </w:pPr>
    </w:p>
    <w:p w:rsidR="00980458" w:rsidRDefault="00980458" w:rsidP="00980458">
      <w:pPr>
        <w:pStyle w:val="StandardWeb"/>
      </w:pPr>
      <w:r>
        <w:t>}</w:t>
      </w:r>
      <w:r>
        <w:br/>
        <w:t>\tag{3.12560}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\boxed{U_{\mathrm{Ax}}(A_{\rightarrow t})=0.}</w:t>
      </w:r>
    </w:p>
    <w:p w:rsidR="00980458" w:rsidRDefault="00E50336" w:rsidP="00980458">
      <w:r>
        <w:pict>
          <v:rect id="_x0000_i4578" style="width:0;height:1.5pt" o:hralign="center" o:hrstd="t" o:hr="t" fillcolor="#a0a0a0" stroked="f"/>
        </w:pict>
      </w:r>
    </w:p>
    <w:p w:rsidR="00980458" w:rsidRDefault="00980458" w:rsidP="00980458">
      <w:pPr>
        <w:pStyle w:val="berschrift1"/>
      </w:pPr>
      <w:r>
        <w:t>3.3.49.46 Satz 3.3.164 – Strenge zeitliche Vorordnung jedes funktionalen Einflusses ist kein Primäraxiom</w:t>
      </w:r>
    </w:p>
    <w:p w:rsidR="00980458" w:rsidRDefault="00980458" w:rsidP="00980458">
      <w:pPr>
        <w:pStyle w:val="berschrift3"/>
      </w:pPr>
      <w:r>
        <w:t>Satz 3.3.164</w:t>
      </w:r>
    </w:p>
    <w:p w:rsidR="00980458" w:rsidRDefault="00980458" w:rsidP="00980458">
      <w:pPr>
        <w:pStyle w:val="StandardWeb"/>
      </w:pPr>
      <w:r>
        <w:t>Die Forderung, jede funktionale Einflussrelation müsse eine strikt spätere Zielzeit besitzen, ist keine universell notwendige Voraussetzung des allgemeinen FRZK.</w:t>
      </w:r>
    </w:p>
    <w:p w:rsidR="00980458" w:rsidRDefault="00980458" w:rsidP="00980458">
      <w:pPr>
        <w:pStyle w:val="StandardWeb"/>
      </w:pPr>
      <w:r>
        <w:t>Es gilt</w:t>
      </w:r>
    </w:p>
    <w:p w:rsidR="00980458" w:rsidRDefault="00980458" w:rsidP="00980458">
      <w:pPr>
        <w:pStyle w:val="berschrift1"/>
      </w:pPr>
      <w:r>
        <w:t>[</w:t>
      </w:r>
      <w:r>
        <w:br/>
        <w:t>\boxed{</w:t>
      </w:r>
      <w:r>
        <w:br/>
        <w:t>U_{\mathrm{Ax}}</w:t>
      </w:r>
      <w:r>
        <w:br/>
        <w:t>(A_{\rightarrow t})</w:t>
      </w:r>
    </w:p>
    <w:p w:rsidR="00980458" w:rsidRDefault="00980458" w:rsidP="007B100B">
      <w:pPr>
        <w:numPr>
          <w:ilvl w:val="0"/>
          <w:numId w:val="566"/>
        </w:numPr>
        <w:spacing w:before="100" w:beforeAutospacing="1" w:after="100" w:afterAutospacing="1"/>
      </w:pPr>
    </w:p>
    <w:p w:rsidR="00980458" w:rsidRDefault="00980458" w:rsidP="00980458">
      <w:pPr>
        <w:pStyle w:val="StandardWeb"/>
      </w:pPr>
      <w:r>
        <w:t>}</w:t>
      </w:r>
      <w:r>
        <w:br/>
        <w:t>\tag{3.12561}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\boxed{U_{\mathrm{Ax}}(A_{\rightarrow t})=0.}</w:t>
      </w:r>
    </w:p>
    <w:p w:rsidR="00980458" w:rsidRDefault="00E50336" w:rsidP="00980458">
      <w:r>
        <w:pict>
          <v:rect id="_x0000_i4579" style="width:0;height:1.5pt" o:hralign="center" o:hrstd="t" o:hr="t" fillcolor="#a0a0a0" stroked="f"/>
        </w:pict>
      </w:r>
    </w:p>
    <w:p w:rsidR="00980458" w:rsidRDefault="00980458" w:rsidP="00980458">
      <w:pPr>
        <w:pStyle w:val="berschrift1"/>
      </w:pPr>
      <w:r>
        <w:t>3.3.49.47 Einflussstärke</w:t>
      </w:r>
    </w:p>
    <w:p w:rsidR="00980458" w:rsidRDefault="00980458" w:rsidP="00980458">
      <w:pPr>
        <w:pStyle w:val="StandardWeb"/>
      </w:pPr>
      <w:r>
        <w:lastRenderedPageBreak/>
        <w:t>Für quantitative Modelle kann einer Einflusskante zusätzlich eine Stärke zugeordnet werden.</w:t>
      </w:r>
    </w:p>
    <w:p w:rsidR="00980458" w:rsidRDefault="00980458" w:rsidP="00980458">
      <w:pPr>
        <w:pStyle w:val="StandardWeb"/>
      </w:pPr>
      <w:r>
        <w:t>Ich definiere</w:t>
      </w:r>
    </w:p>
    <w:p w:rsidR="00980458" w:rsidRDefault="00980458" w:rsidP="00980458">
      <w:pPr>
        <w:pStyle w:val="StandardWeb"/>
      </w:pPr>
      <w:r>
        <w:t>[</w:t>
      </w:r>
      <w:r>
        <w:br/>
        <w:t>w_{\mathcal I}</w:t>
      </w:r>
      <w:r>
        <w:br/>
        <w:t>:</w:t>
      </w:r>
      <w:r>
        <w:br/>
        <w:t>E_{\mathcal I}</w:t>
      </w:r>
      <w:r>
        <w:br/>
        <w:t>\rightarrow</w:t>
      </w:r>
      <w:r>
        <w:br/>
        <w:t>\mathbb R.</w:t>
      </w:r>
      <w:r>
        <w:br/>
        <w:t>\tag{3.12562}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w_{\mathcal I}:E_{\mathcal I}\rightarrow\mathbb R</w:t>
      </w:r>
    </w:p>
    <w:p w:rsidR="00980458" w:rsidRDefault="00E50336" w:rsidP="00980458">
      <w:r>
        <w:pict>
          <v:rect id="_x0000_i4580" style="width:0;height:1.5pt" o:hralign="center" o:hrstd="t" o:hr="t" fillcolor="#a0a0a0" stroked="f"/>
        </w:pict>
      </w:r>
    </w:p>
    <w:p w:rsidR="00980458" w:rsidRDefault="00980458" w:rsidP="00980458">
      <w:pPr>
        <w:pStyle w:val="berschrift1"/>
      </w:pPr>
      <w:r>
        <w:t>3.3.49.48 Definition 3.3.382 – Funktionales Einflussgewicht</w:t>
      </w:r>
    </w:p>
    <w:p w:rsidR="00980458" w:rsidRDefault="00980458" w:rsidP="00980458">
      <w:pPr>
        <w:pStyle w:val="berschrift3"/>
      </w:pPr>
      <w:r>
        <w:t>Definition 3.3.382</w:t>
      </w:r>
    </w:p>
    <w:p w:rsidR="00980458" w:rsidRDefault="00980458" w:rsidP="00980458">
      <w:pPr>
        <w:pStyle w:val="StandardWeb"/>
      </w:pPr>
      <w:r>
        <w:t xml:space="preserve">Ein </w:t>
      </w:r>
      <w:r>
        <w:rPr>
          <w:rStyle w:val="Fett"/>
        </w:rPr>
        <w:t>funktionales Einflussgewicht</w:t>
      </w:r>
      <w:r>
        <w:t xml:space="preserve"> ist eine Abbildung</w:t>
      </w:r>
    </w:p>
    <w:p w:rsidR="00980458" w:rsidRDefault="00980458" w:rsidP="00980458">
      <w:pPr>
        <w:pStyle w:val="StandardWeb"/>
      </w:pPr>
      <w:r>
        <w:t>[</w:t>
      </w:r>
      <w:r>
        <w:br/>
        <w:t>\boxed{</w:t>
      </w:r>
      <w:r>
        <w:br/>
        <w:t>w_{\mathcal I}</w:t>
      </w:r>
      <w:r>
        <w:br/>
        <w:t>:</w:t>
      </w:r>
      <w:r>
        <w:br/>
        <w:t>E_{\mathcal I}</w:t>
      </w:r>
      <w:r>
        <w:br/>
        <w:t>\rightarrow</w:t>
      </w:r>
      <w:r>
        <w:br/>
        <w:t>\mathbb R</w:t>
      </w:r>
      <w:r>
        <w:br/>
        <w:t>}</w:t>
      </w:r>
      <w:r>
        <w:br/>
        <w:t>\tag{3.12563}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\boxed{w_{\mathcal I}:E_{\mathcal I}\rightarrow\mathbb R}</w:t>
      </w:r>
    </w:p>
    <w:p w:rsidR="00980458" w:rsidRDefault="00980458" w:rsidP="00980458">
      <w:pPr>
        <w:pStyle w:val="StandardWeb"/>
      </w:pPr>
      <w:r>
        <w:t>oder allgemeiner in einen modellabhängig gewählten Wertebereich.</w:t>
      </w:r>
    </w:p>
    <w:p w:rsidR="00980458" w:rsidRDefault="00E50336" w:rsidP="00980458">
      <w:r>
        <w:pict>
          <v:rect id="_x0000_i4581" style="width:0;height:1.5pt" o:hralign="center" o:hrstd="t" o:hr="t" fillcolor="#a0a0a0" stroked="f"/>
        </w:pict>
      </w:r>
    </w:p>
    <w:p w:rsidR="00980458" w:rsidRDefault="00980458" w:rsidP="00980458">
      <w:pPr>
        <w:pStyle w:val="berschrift1"/>
      </w:pPr>
      <w:r>
        <w:t>3.3.49.49 Vorzeichen eines Einflussgewichts</w:t>
      </w:r>
    </w:p>
    <w:p w:rsidR="00980458" w:rsidRDefault="00980458" w:rsidP="00980458">
      <w:pPr>
        <w:pStyle w:val="StandardWeb"/>
      </w:pPr>
      <w:r>
        <w:t>In einer geeigneten Modellklasse kann</w:t>
      </w:r>
    </w:p>
    <w:p w:rsidR="00980458" w:rsidRDefault="00980458" w:rsidP="00980458">
      <w:pPr>
        <w:pStyle w:val="StandardWeb"/>
      </w:pPr>
      <w:r>
        <w:t>[</w:t>
      </w:r>
      <w:r>
        <w:br/>
        <w:t>w_{\mathcal I}(X,Y)</w:t>
      </w:r>
    </w:p>
    <w:p w:rsidR="00980458" w:rsidRDefault="00980458" w:rsidP="00980458">
      <w:pPr>
        <w:pStyle w:val="StandardWeb"/>
      </w:pPr>
      <w:r>
        <w:lastRenderedPageBreak/>
        <w:t>0</w:t>
      </w:r>
      <w:r>
        <w:br/>
        <w:t>\tag{3.12564}</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w_{\mathcal I}(X,Y)&gt;0</w:t>
      </w:r>
    </w:p>
    <w:p w:rsidR="00980458" w:rsidRDefault="00980458" w:rsidP="00980458">
      <w:pPr>
        <w:pStyle w:val="StandardWeb"/>
      </w:pPr>
      <w:r>
        <w:t>eine verstärkende und</w:t>
      </w:r>
    </w:p>
    <w:p w:rsidR="00980458" w:rsidRDefault="00980458" w:rsidP="00980458">
      <w:pPr>
        <w:pStyle w:val="StandardWeb"/>
      </w:pPr>
      <w:r>
        <w:t>[</w:t>
      </w:r>
      <w:r>
        <w:br/>
        <w:t>w_{\mathcal I}(X,Y)</w:t>
      </w:r>
      <w:r>
        <w:br/>
        <w:t>&lt;</w:t>
      </w:r>
      <w:r>
        <w:br/>
        <w:t>0</w:t>
      </w:r>
      <w:r>
        <w:br/>
        <w:t>\tag{3.12565}</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w_{\mathcal I}(X,Y)&lt;0</w:t>
      </w:r>
    </w:p>
    <w:p w:rsidR="00980458" w:rsidRDefault="00980458" w:rsidP="00980458">
      <w:pPr>
        <w:pStyle w:val="StandardWeb"/>
      </w:pPr>
      <w:r>
        <w:t>eine hemmende Wirkung repräsentieren.</w:t>
      </w:r>
    </w:p>
    <w:p w:rsidR="00980458" w:rsidRDefault="00980458" w:rsidP="00980458">
      <w:pPr>
        <w:pStyle w:val="StandardWeb"/>
      </w:pPr>
      <w:r>
        <w:t>Diese Interpretation ist jedoch modellabhängig.</w:t>
      </w:r>
    </w:p>
    <w:p w:rsidR="00980458" w:rsidRDefault="00E50336" w:rsidP="00980458">
      <w:r>
        <w:pict>
          <v:rect id="_x0000_i4582" style="width:0;height:1.5pt" o:hralign="center" o:hrstd="t" o:hr="t" fillcolor="#a0a0a0" stroked="f"/>
        </w:pict>
      </w:r>
    </w:p>
    <w:p w:rsidR="00980458" w:rsidRDefault="00980458" w:rsidP="00980458">
      <w:pPr>
        <w:pStyle w:val="berschrift1"/>
      </w:pPr>
      <w:r>
        <w:t>3.3.49.50 Nullgewicht</w:t>
      </w:r>
    </w:p>
    <w:p w:rsidR="00980458" w:rsidRDefault="00980458" w:rsidP="00980458">
      <w:pPr>
        <w:pStyle w:val="StandardWeb"/>
      </w:pPr>
      <w:r>
        <w:t>Auch</w:t>
      </w:r>
    </w:p>
    <w:p w:rsidR="00980458" w:rsidRDefault="00980458" w:rsidP="00980458">
      <w:pPr>
        <w:pStyle w:val="StandardWeb"/>
      </w:pPr>
      <w:r>
        <w:t>[</w:t>
      </w:r>
      <w:r>
        <w:br/>
        <w:t>w_{\mathcal I}(X,Y)=0</w:t>
      </w:r>
      <w:r>
        <w:br/>
        <w:t>\tag{3.12566}</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w_{\mathcal I}(X,Y)=0</w:t>
      </w:r>
    </w:p>
    <w:p w:rsidR="00980458" w:rsidRDefault="00980458" w:rsidP="00980458">
      <w:pPr>
        <w:pStyle w:val="StandardWeb"/>
      </w:pPr>
      <w:r>
        <w:t>muss nicht automatisch bedeuten, dass keine strukturelle Kante existiert; es kann lediglich ein momentanes oder parametrisches Nullgewicht bezeichnen.</w:t>
      </w:r>
    </w:p>
    <w:p w:rsidR="00980458" w:rsidRDefault="00E50336" w:rsidP="00980458">
      <w:r>
        <w:pict>
          <v:rect id="_x0000_i4583" style="width:0;height:1.5pt" o:hralign="center" o:hrstd="t" o:hr="t" fillcolor="#a0a0a0" stroked="f"/>
        </w:pict>
      </w:r>
    </w:p>
    <w:p w:rsidR="00980458" w:rsidRDefault="00980458" w:rsidP="00980458">
      <w:pPr>
        <w:pStyle w:val="berschrift1"/>
      </w:pPr>
      <w:r>
        <w:t>3.3.49.51 Zustandsabhängiges Einflussgewicht</w:t>
      </w:r>
    </w:p>
    <w:p w:rsidR="00980458" w:rsidRDefault="00980458" w:rsidP="00980458">
      <w:pPr>
        <w:pStyle w:val="StandardWeb"/>
      </w:pPr>
      <w:r>
        <w:t>Eine allgemeinere Form ist</w:t>
      </w:r>
    </w:p>
    <w:p w:rsidR="00980458" w:rsidRDefault="00980458" w:rsidP="00980458">
      <w:pPr>
        <w:pStyle w:val="StandardWeb"/>
      </w:pPr>
      <w:r>
        <w:t>[</w:t>
      </w:r>
      <w:r>
        <w:br/>
        <w:t>w_{\mathcal I}</w:t>
      </w:r>
      <w:r>
        <w:br/>
      </w:r>
      <w:r>
        <w:lastRenderedPageBreak/>
        <w:t>:</w:t>
      </w:r>
      <w:r>
        <w:br/>
        <w:t>E_{\mathcal I}</w:t>
      </w:r>
      <w:r>
        <w:br/>
        <w:t>\times</w:t>
      </w:r>
      <w:r>
        <w:br/>
        <w:t>\Omega_F</w:t>
      </w:r>
      <w:r>
        <w:br/>
        <w:t>\rightarrow</w:t>
      </w:r>
      <w:r>
        <w:br/>
        <w:t>\mathbb R.</w:t>
      </w:r>
      <w:r>
        <w:br/>
        <w:t>\tag{3.12567}</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w_{\mathcal I}:E_{\mathcal I}\times\Omega_F\rightarrow\mathbb R</w:t>
      </w:r>
    </w:p>
    <w:p w:rsidR="00980458" w:rsidRDefault="00E50336" w:rsidP="00980458">
      <w:r>
        <w:pict>
          <v:rect id="_x0000_i4584" style="width:0;height:1.5pt" o:hralign="center" o:hrstd="t" o:hr="t" fillcolor="#a0a0a0" stroked="f"/>
        </w:pict>
      </w:r>
    </w:p>
    <w:p w:rsidR="00980458" w:rsidRDefault="00980458" w:rsidP="00980458">
      <w:pPr>
        <w:pStyle w:val="berschrift1"/>
      </w:pPr>
      <w:r>
        <w:t>3.3.49.52 Definition 3.3.383 – Zustandsabhängiges funktionales Einflussgewicht</w:t>
      </w:r>
    </w:p>
    <w:p w:rsidR="00980458" w:rsidRDefault="00980458" w:rsidP="00980458">
      <w:pPr>
        <w:pStyle w:val="berschrift3"/>
      </w:pPr>
      <w:r>
        <w:t>Definition 3.3.383</w:t>
      </w:r>
    </w:p>
    <w:p w:rsidR="00980458" w:rsidRDefault="00980458" w:rsidP="00980458">
      <w:pPr>
        <w:pStyle w:val="StandardWeb"/>
      </w:pPr>
      <w:r>
        <w:t xml:space="preserve">Ein </w:t>
      </w:r>
      <w:r>
        <w:rPr>
          <w:rStyle w:val="Fett"/>
        </w:rPr>
        <w:t>zustandsabhängiges funktionales Einflussgewicht</w:t>
      </w:r>
      <w:r>
        <w:t xml:space="preserve"> ist eine Abbildung</w:t>
      </w:r>
    </w:p>
    <w:p w:rsidR="00980458" w:rsidRDefault="00980458" w:rsidP="00980458">
      <w:pPr>
        <w:pStyle w:val="StandardWeb"/>
      </w:pPr>
      <w:r>
        <w:t>[</w:t>
      </w:r>
      <w:r>
        <w:br/>
        <w:t>\boxed{</w:t>
      </w:r>
      <w:r>
        <w:br/>
        <w:t>w_{\mathcal I}</w:t>
      </w:r>
      <w:r>
        <w:br/>
        <w:t>(X,Y;z).</w:t>
      </w:r>
      <w:r>
        <w:br/>
        <w:t>}</w:t>
      </w:r>
      <w:r>
        <w:br/>
        <w:t>\tag{3.12568}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\boxed{w_{\mathcal I}(X,Y;z).}</w:t>
      </w:r>
    </w:p>
    <w:p w:rsidR="00980458" w:rsidRDefault="00980458" w:rsidP="00980458">
      <w:pPr>
        <w:pStyle w:val="StandardWeb"/>
      </w:pPr>
      <w:r>
        <w:t>Damit kann die Stärke eines funktionalen Einflusses vom aktuellen Zustand abhängen.</w:t>
      </w:r>
    </w:p>
    <w:p w:rsidR="00980458" w:rsidRDefault="00E50336" w:rsidP="00980458">
      <w:r>
        <w:pict>
          <v:rect id="_x0000_i4585" style="width:0;height:1.5pt" o:hralign="center" o:hrstd="t" o:hr="t" fillcolor="#a0a0a0" stroked="f"/>
        </w:pict>
      </w:r>
    </w:p>
    <w:p w:rsidR="00980458" w:rsidRDefault="00980458" w:rsidP="00980458">
      <w:pPr>
        <w:pStyle w:val="berschrift1"/>
      </w:pPr>
      <w:r>
        <w:t>3.3.49.53 Kontextabhängiger Einfluss</w:t>
      </w:r>
    </w:p>
    <w:p w:rsidR="00980458" w:rsidRDefault="00980458" w:rsidP="00980458">
      <w:pPr>
        <w:pStyle w:val="StandardWeb"/>
      </w:pPr>
      <w:r>
        <w:t>Zusätzlich kann ein Kontextparameter</w:t>
      </w:r>
    </w:p>
    <w:p w:rsidR="00980458" w:rsidRDefault="00980458" w:rsidP="00980458">
      <w:pPr>
        <w:pStyle w:val="StandardWeb"/>
      </w:pPr>
      <w:r>
        <w:t>[</w:t>
      </w:r>
      <w:r>
        <w:br/>
        <w:t>c</w:t>
      </w:r>
      <w:r>
        <w:br/>
        <w:t>\in</w:t>
      </w:r>
      <w:r>
        <w:br/>
        <w:t>\mathcal C_F</w:t>
      </w:r>
      <w:r>
        <w:br/>
        <w:t>\tag{3.12569}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lastRenderedPageBreak/>
        <w:t>c\in\mathcal C_F</w:t>
      </w:r>
    </w:p>
    <w:p w:rsidR="00980458" w:rsidRDefault="00980458" w:rsidP="00980458">
      <w:pPr>
        <w:pStyle w:val="StandardWeb"/>
      </w:pPr>
      <w:r>
        <w:t>eingeführt werden.</w:t>
      </w:r>
    </w:p>
    <w:p w:rsidR="00980458" w:rsidRDefault="00980458" w:rsidP="00980458">
      <w:pPr>
        <w:pStyle w:val="StandardWeb"/>
      </w:pPr>
      <w:r>
        <w:t>Dann kann</w:t>
      </w:r>
    </w:p>
    <w:p w:rsidR="00980458" w:rsidRDefault="00980458" w:rsidP="00980458">
      <w:pPr>
        <w:pStyle w:val="berschrift1"/>
      </w:pPr>
      <w:r>
        <w:t>[</w:t>
      </w:r>
      <w:r>
        <w:br/>
        <w:t>w_{\mathcal I}</w:t>
      </w:r>
    </w:p>
    <w:p w:rsidR="00980458" w:rsidRDefault="00980458" w:rsidP="00980458">
      <w:pPr>
        <w:pStyle w:val="StandardWeb"/>
      </w:pPr>
      <w:r>
        <w:t>w_{\mathcal I}</w:t>
      </w:r>
      <w:r>
        <w:br/>
        <w:t>(X,Y;z,c)</w:t>
      </w:r>
      <w:r>
        <w:br/>
        <w:t>\tag{3.12570}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w_{\mathcal I}=w_{\mathcal I}(X,Y;z,c)</w:t>
      </w:r>
    </w:p>
    <w:p w:rsidR="00980458" w:rsidRDefault="00980458" w:rsidP="00980458">
      <w:pPr>
        <w:pStyle w:val="StandardWeb"/>
      </w:pPr>
      <w:r>
        <w:t>gelten.</w:t>
      </w:r>
    </w:p>
    <w:p w:rsidR="00980458" w:rsidRDefault="00E50336" w:rsidP="00980458">
      <w:r>
        <w:pict>
          <v:rect id="_x0000_i4586" style="width:0;height:1.5pt" o:hralign="center" o:hrstd="t" o:hr="t" fillcolor="#a0a0a0" stroked="f"/>
        </w:pict>
      </w:r>
    </w:p>
    <w:p w:rsidR="00980458" w:rsidRDefault="00980458" w:rsidP="00980458">
      <w:pPr>
        <w:pStyle w:val="berschrift1"/>
      </w:pPr>
      <w:r>
        <w:t>3.3.49.54 Definition 3.3.384 – Kontextabhängiger funktionaler Einfluss</w:t>
      </w:r>
    </w:p>
    <w:p w:rsidR="00980458" w:rsidRDefault="00980458" w:rsidP="00980458">
      <w:pPr>
        <w:pStyle w:val="berschrift3"/>
      </w:pPr>
      <w:r>
        <w:t>Definition 3.3.384</w:t>
      </w:r>
    </w:p>
    <w:p w:rsidR="00980458" w:rsidRDefault="00980458" w:rsidP="00980458">
      <w:pPr>
        <w:pStyle w:val="StandardWeb"/>
      </w:pPr>
      <w:r>
        <w:t xml:space="preserve">Ein funktionaler Einfluss heißt </w:t>
      </w:r>
      <w:r>
        <w:rPr>
          <w:rStyle w:val="Fett"/>
        </w:rPr>
        <w:t>kontextabhängig</w:t>
      </w:r>
      <w:r>
        <w:t>, wenn seine Existenz oder Stärke von einem Kontextparameter (c) abhängt:</w:t>
      </w:r>
    </w:p>
    <w:p w:rsidR="00980458" w:rsidRDefault="00980458" w:rsidP="00980458">
      <w:pPr>
        <w:pStyle w:val="berschrift1"/>
      </w:pPr>
      <w:r>
        <w:t>[</w:t>
      </w:r>
      <w:r>
        <w:br/>
        <w:t>\boxed{</w:t>
      </w:r>
      <w:r>
        <w:br/>
        <w:t>\mathcal I_F</w:t>
      </w:r>
    </w:p>
    <w:p w:rsidR="00980458" w:rsidRDefault="00980458" w:rsidP="00980458">
      <w:pPr>
        <w:pStyle w:val="StandardWeb"/>
      </w:pPr>
      <w:r>
        <w:t>\mathcal I_F(c)</w:t>
      </w:r>
      <w:r>
        <w:br/>
        <w:t>}</w:t>
      </w:r>
      <w:r>
        <w:br/>
        <w:t>\tag{3.12571}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\boxed{\mathcal I_F=\mathcal I_F(c)}</w:t>
      </w:r>
    </w:p>
    <w:p w:rsidR="00980458" w:rsidRDefault="00980458" w:rsidP="00980458">
      <w:pPr>
        <w:pStyle w:val="StandardWeb"/>
      </w:pPr>
      <w:r>
        <w:t>oder</w:t>
      </w:r>
    </w:p>
    <w:p w:rsidR="00980458" w:rsidRDefault="00980458" w:rsidP="00980458">
      <w:pPr>
        <w:pStyle w:val="berschrift1"/>
      </w:pPr>
      <w:r>
        <w:lastRenderedPageBreak/>
        <w:t>[</w:t>
      </w:r>
      <w:r>
        <w:br/>
        <w:t>\boxed{</w:t>
      </w:r>
      <w:r>
        <w:br/>
        <w:t>w_{\mathcal I}</w:t>
      </w:r>
    </w:p>
    <w:p w:rsidR="00980458" w:rsidRDefault="00980458" w:rsidP="00980458">
      <w:pPr>
        <w:pStyle w:val="StandardWeb"/>
      </w:pPr>
      <w:r>
        <w:t>w_{\mathcal I}(X,Y;z,c).</w:t>
      </w:r>
      <w:r>
        <w:br/>
        <w:t>}</w:t>
      </w:r>
      <w:r>
        <w:br/>
        <w:t>\tag{3.12572}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\boxed{w_{\mathcal I}=w_{\mathcal I}(X,Y;z,c).}</w:t>
      </w:r>
    </w:p>
    <w:p w:rsidR="00980458" w:rsidRDefault="00E50336" w:rsidP="00980458">
      <w:r>
        <w:pict>
          <v:rect id="_x0000_i4587" style="width:0;height:1.5pt" o:hralign="center" o:hrstd="t" o:hr="t" fillcolor="#a0a0a0" stroked="f"/>
        </w:pict>
      </w:r>
    </w:p>
    <w:p w:rsidR="00980458" w:rsidRDefault="00980458" w:rsidP="00980458">
      <w:pPr>
        <w:pStyle w:val="berschrift1"/>
      </w:pPr>
      <w:r>
        <w:t>3.3.49.55 Einflussaktivierung</w:t>
      </w:r>
    </w:p>
    <w:p w:rsidR="00980458" w:rsidRDefault="00980458" w:rsidP="00980458">
      <w:pPr>
        <w:pStyle w:val="StandardWeb"/>
      </w:pPr>
      <w:r>
        <w:t>Eine Kante kann abhängig vom Zustand aktiv oder inaktiv sein.</w:t>
      </w:r>
    </w:p>
    <w:p w:rsidR="00980458" w:rsidRDefault="00980458" w:rsidP="00980458">
      <w:pPr>
        <w:pStyle w:val="StandardWeb"/>
      </w:pPr>
      <w:r>
        <w:t>Ich führe dafür</w:t>
      </w:r>
    </w:p>
    <w:p w:rsidR="00980458" w:rsidRDefault="00980458" w:rsidP="00980458">
      <w:pPr>
        <w:pStyle w:val="StandardWeb"/>
      </w:pPr>
      <w:r>
        <w:t>[</w:t>
      </w:r>
      <w:r>
        <w:br/>
        <w:t>a_{\mathcal I}</w:t>
      </w:r>
      <w:r>
        <w:br/>
        <w:t>:</w:t>
      </w:r>
      <w:r>
        <w:br/>
        <w:t>E_{\mathcal I}</w:t>
      </w:r>
      <w:r>
        <w:br/>
        <w:t>\times</w:t>
      </w:r>
      <w:r>
        <w:br/>
        <w:t>\Omega_F</w:t>
      </w:r>
      <w:r>
        <w:br/>
        <w:t>\rightarrow</w:t>
      </w:r>
      <w:r>
        <w:br/>
        <w:t>{0,1}</w:t>
      </w:r>
      <w:r>
        <w:br/>
        <w:t>\tag{3.12573}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a_{\mathcal I}:E_{\mathcal I}\times\Omega_F\rightarrow\{0,1\}</w:t>
      </w:r>
    </w:p>
    <w:p w:rsidR="00980458" w:rsidRDefault="00980458" w:rsidP="00980458">
      <w:pPr>
        <w:pStyle w:val="StandardWeb"/>
      </w:pPr>
      <w:r>
        <w:t>ein.</w:t>
      </w:r>
    </w:p>
    <w:p w:rsidR="00980458" w:rsidRDefault="00E50336" w:rsidP="00980458">
      <w:r>
        <w:pict>
          <v:rect id="_x0000_i4588" style="width:0;height:1.5pt" o:hralign="center" o:hrstd="t" o:hr="t" fillcolor="#a0a0a0" stroked="f"/>
        </w:pict>
      </w:r>
    </w:p>
    <w:p w:rsidR="00980458" w:rsidRDefault="00980458" w:rsidP="00980458">
      <w:pPr>
        <w:pStyle w:val="berschrift1"/>
      </w:pPr>
      <w:r>
        <w:t>3.3.49.56 Definition 3.3.385 – Funktionale Einflussaktivierung</w:t>
      </w:r>
    </w:p>
    <w:p w:rsidR="00980458" w:rsidRDefault="00980458" w:rsidP="00980458">
      <w:pPr>
        <w:pStyle w:val="berschrift3"/>
      </w:pPr>
      <w:r>
        <w:t>Definition 3.3.385</w:t>
      </w:r>
    </w:p>
    <w:p w:rsidR="00980458" w:rsidRDefault="00980458" w:rsidP="00980458">
      <w:pPr>
        <w:pStyle w:val="StandardWeb"/>
      </w:pPr>
      <w:r>
        <w:t xml:space="preserve">Die </w:t>
      </w:r>
      <w:r>
        <w:rPr>
          <w:rStyle w:val="Fett"/>
        </w:rPr>
        <w:t>funktionale Einflussaktivierung</w:t>
      </w:r>
      <w:r>
        <w:t xml:space="preserve"> ist</w:t>
      </w:r>
    </w:p>
    <w:p w:rsidR="00980458" w:rsidRDefault="00980458" w:rsidP="00980458">
      <w:pPr>
        <w:pStyle w:val="StandardWeb"/>
      </w:pPr>
      <w:r>
        <w:t>[</w:t>
      </w:r>
      <w:r>
        <w:br/>
        <w:t>\boxed{</w:t>
      </w:r>
      <w:r>
        <w:br/>
      </w:r>
      <w:r>
        <w:lastRenderedPageBreak/>
        <w:t>a_{\mathcal I}(X,Y;z)</w:t>
      </w:r>
      <w:r>
        <w:br/>
        <w:t>\in</w:t>
      </w:r>
      <w:r>
        <w:br/>
        <w:t>{0,1},</w:t>
      </w:r>
      <w:r>
        <w:br/>
        <w:t>}</w:t>
      </w:r>
      <w:r>
        <w:br/>
        <w:t>\tag{3.12574}</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\boxed{a_{\mathcal I}(X,Y;z)\in\{0,1\},}</w:t>
      </w:r>
    </w:p>
    <w:p w:rsidR="00980458" w:rsidRDefault="00980458" w:rsidP="00980458">
      <w:pPr>
        <w:pStyle w:val="StandardWeb"/>
      </w:pPr>
      <w:r>
        <w:t>wobei (1) eine aktive und (0) eine inaktive Einflusskante bezeichnet.</w:t>
      </w:r>
    </w:p>
    <w:p w:rsidR="00980458" w:rsidRDefault="00E50336" w:rsidP="00980458">
      <w:r>
        <w:pict>
          <v:rect id="_x0000_i4589" style="width:0;height:1.5pt" o:hralign="center" o:hrstd="t" o:hr="t" fillcolor="#a0a0a0" stroked="f"/>
        </w:pict>
      </w:r>
    </w:p>
    <w:p w:rsidR="00980458" w:rsidRDefault="00980458" w:rsidP="00980458">
      <w:pPr>
        <w:pStyle w:val="berschrift1"/>
      </w:pPr>
      <w:r>
        <w:t>3.3.49.57 Effektives Einflussgewicht</w:t>
      </w:r>
    </w:p>
    <w:p w:rsidR="00980458" w:rsidRDefault="00980458" w:rsidP="00980458">
      <w:pPr>
        <w:pStyle w:val="StandardWeb"/>
      </w:pPr>
      <w:r>
        <w:t>Ein aktivierungsabhängiges effektives Gewicht kann definiert werden als</w:t>
      </w:r>
    </w:p>
    <w:p w:rsidR="00980458" w:rsidRDefault="00980458" w:rsidP="00980458">
      <w:pPr>
        <w:pStyle w:val="berschrift1"/>
      </w:pPr>
      <w:r>
        <w:t>[</w:t>
      </w:r>
      <w:r>
        <w:br/>
        <w:t>w_{\mathcal I}^{\mathrm{eff}}</w:t>
      </w:r>
      <w:r>
        <w:br/>
        <w:t>(X,Y;z)</w:t>
      </w:r>
    </w:p>
    <w:p w:rsidR="00980458" w:rsidRDefault="00980458" w:rsidP="00980458">
      <w:pPr>
        <w:pStyle w:val="StandardWeb"/>
      </w:pPr>
      <w:r>
        <w:t>a_{\mathcal I}(X,Y;z)</w:t>
      </w:r>
      <w:r>
        <w:br/>
        <w:t>,w_{\mathcal I}(X,Y;z).</w:t>
      </w:r>
      <w:r>
        <w:br/>
        <w:t>\tag{3.12575}</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w_{\mathcal I}^{\mathrm{eff}}(X,Y;z)=a_{\mathcal I}(X,Y;z)\,w_{\mathcal I}(X,Y;z)</w:t>
      </w:r>
    </w:p>
    <w:p w:rsidR="00980458" w:rsidRDefault="00E50336" w:rsidP="00980458">
      <w:r>
        <w:pict>
          <v:rect id="_x0000_i4590" style="width:0;height:1.5pt" o:hralign="center" o:hrstd="t" o:hr="t" fillcolor="#a0a0a0" stroked="f"/>
        </w:pict>
      </w:r>
    </w:p>
    <w:p w:rsidR="00980458" w:rsidRDefault="00980458" w:rsidP="00980458">
      <w:pPr>
        <w:pStyle w:val="berschrift1"/>
      </w:pPr>
      <w:r>
        <w:t>3.3.49.58 Definition 3.3.386 – Effektiver funktionaler Einfluss</w:t>
      </w:r>
    </w:p>
    <w:p w:rsidR="00980458" w:rsidRDefault="00980458" w:rsidP="00980458">
      <w:pPr>
        <w:pStyle w:val="berschrift3"/>
      </w:pPr>
      <w:r>
        <w:t>Definition 3.3.386</w:t>
      </w:r>
    </w:p>
    <w:p w:rsidR="00980458" w:rsidRDefault="00980458" w:rsidP="00980458">
      <w:pPr>
        <w:pStyle w:val="StandardWeb"/>
      </w:pPr>
      <w:r>
        <w:t xml:space="preserve">Der </w:t>
      </w:r>
      <w:r>
        <w:rPr>
          <w:rStyle w:val="Fett"/>
        </w:rPr>
        <w:t>effektive funktionale Einfluss</w:t>
      </w:r>
      <w:r>
        <w:t xml:space="preserve"> einer Kante ist</w:t>
      </w:r>
    </w:p>
    <w:p w:rsidR="00980458" w:rsidRDefault="00980458" w:rsidP="00980458">
      <w:pPr>
        <w:pStyle w:val="berschrift1"/>
      </w:pPr>
      <w:r>
        <w:t>[</w:t>
      </w:r>
      <w:r>
        <w:br/>
        <w:t>\boxed{</w:t>
      </w:r>
      <w:r>
        <w:br/>
        <w:t>w_{\mathcal I}^{\mathrm{eff}}</w:t>
      </w:r>
    </w:p>
    <w:p w:rsidR="00980458" w:rsidRDefault="00980458" w:rsidP="00980458">
      <w:pPr>
        <w:pStyle w:val="StandardWeb"/>
      </w:pPr>
      <w:r>
        <w:lastRenderedPageBreak/>
        <w:t>a_{\mathcal I}</w:t>
      </w:r>
      <w:r>
        <w:br/>
        <w:t>,w_{\mathcal I}.</w:t>
      </w:r>
      <w:r>
        <w:br/>
        <w:t>}</w:t>
      </w:r>
      <w:r>
        <w:br/>
        <w:t>\tag{3.12576}</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\boxed{w_{\mathcal I}^{\mathrm{eff}}=a_{\mathcal I}\,w_{\mathcal I}.}</w:t>
      </w:r>
    </w:p>
    <w:p w:rsidR="00980458" w:rsidRDefault="00E50336" w:rsidP="00980458">
      <w:r>
        <w:pict>
          <v:rect id="_x0000_i4591" style="width:0;height:1.5pt" o:hralign="center" o:hrstd="t" o:hr="t" fillcolor="#a0a0a0" stroked="f"/>
        </w:pict>
      </w:r>
    </w:p>
    <w:p w:rsidR="00980458" w:rsidRDefault="00980458" w:rsidP="00980458">
      <w:pPr>
        <w:pStyle w:val="berschrift1"/>
      </w:pPr>
      <w:r>
        <w:t>3.3.49.59 Einflussmatrix</w:t>
      </w:r>
    </w:p>
    <w:p w:rsidR="00980458" w:rsidRDefault="00980458" w:rsidP="00980458">
      <w:pPr>
        <w:pStyle w:val="StandardWeb"/>
      </w:pPr>
      <w:r>
        <w:t>Für endlich viele Variablen</w:t>
      </w:r>
    </w:p>
    <w:p w:rsidR="00980458" w:rsidRDefault="00980458" w:rsidP="00980458">
      <w:pPr>
        <w:pStyle w:val="StandardWeb"/>
      </w:pPr>
      <w:r>
        <w:t>[</w:t>
      </w:r>
      <w:r>
        <w:br/>
        <w:t>X_1,\ldots,X_n</w:t>
      </w:r>
      <w:r>
        <w:br/>
        <w:t>\tag{3.12577}</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X_1,\ldots,X_n</w:t>
      </w:r>
    </w:p>
    <w:p w:rsidR="00980458" w:rsidRDefault="00980458" w:rsidP="00980458">
      <w:pPr>
        <w:pStyle w:val="StandardWeb"/>
      </w:pPr>
      <w:r>
        <w:t>kann eine Einflussmatrix definiert werden:</w:t>
      </w:r>
    </w:p>
    <w:p w:rsidR="00980458" w:rsidRDefault="00980458" w:rsidP="00980458">
      <w:pPr>
        <w:pStyle w:val="berschrift1"/>
      </w:pPr>
      <w:r>
        <w:t>[</w:t>
      </w:r>
      <w:r>
        <w:br/>
        <w:t>W_{\mathcal I}</w:t>
      </w:r>
    </w:p>
    <w:p w:rsidR="00980458" w:rsidRDefault="00980458" w:rsidP="00980458">
      <w:pPr>
        <w:pStyle w:val="StandardWeb"/>
      </w:pPr>
      <w:r>
        <w:t>\left(</w:t>
      </w:r>
      <w:r>
        <w:br/>
        <w:t>w_{ij}</w:t>
      </w:r>
      <w:r>
        <w:br/>
        <w:t>\right)_{i,j=1}^{n}.</w:t>
      </w:r>
      <w:r>
        <w:br/>
        <w:t>\tag{3.12578}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W_{\mathcal I}=\left(w_{ij}\right)_{i,j=1}^{n}</w:t>
      </w:r>
    </w:p>
    <w:p w:rsidR="00980458" w:rsidRDefault="00E50336" w:rsidP="00980458">
      <w:r>
        <w:pict>
          <v:rect id="_x0000_i4592" style="width:0;height:1.5pt" o:hralign="center" o:hrstd="t" o:hr="t" fillcolor="#a0a0a0" stroked="f"/>
        </w:pict>
      </w:r>
    </w:p>
    <w:p w:rsidR="00980458" w:rsidRDefault="00980458" w:rsidP="00980458">
      <w:pPr>
        <w:pStyle w:val="berschrift1"/>
      </w:pPr>
      <w:r>
        <w:t>3.3.49.60 Definition 3.3.387 – Funktionale Einflussmatrix</w:t>
      </w:r>
    </w:p>
    <w:p w:rsidR="00980458" w:rsidRDefault="00980458" w:rsidP="00980458">
      <w:pPr>
        <w:pStyle w:val="berschrift3"/>
      </w:pPr>
      <w:r>
        <w:t>Definition 3.3.387</w:t>
      </w:r>
    </w:p>
    <w:p w:rsidR="00980458" w:rsidRDefault="00980458" w:rsidP="00980458">
      <w:pPr>
        <w:pStyle w:val="StandardWeb"/>
      </w:pPr>
      <w:r>
        <w:t xml:space="preserve">Die </w:t>
      </w:r>
      <w:r>
        <w:rPr>
          <w:rStyle w:val="Fett"/>
        </w:rPr>
        <w:t>funktionale Einflussmatrix</w:t>
      </w:r>
      <w:r>
        <w:t xml:space="preserve"> ist</w:t>
      </w:r>
    </w:p>
    <w:p w:rsidR="00980458" w:rsidRDefault="00980458" w:rsidP="00980458">
      <w:pPr>
        <w:pStyle w:val="berschrift1"/>
      </w:pPr>
      <w:r>
        <w:lastRenderedPageBreak/>
        <w:t>[</w:t>
      </w:r>
      <w:r>
        <w:br/>
        <w:t>\boxed{</w:t>
      </w:r>
      <w:r>
        <w:br/>
        <w:t>W_{\mathcal I}</w:t>
      </w:r>
    </w:p>
    <w:p w:rsidR="00980458" w:rsidRDefault="00980458" w:rsidP="00980458">
      <w:pPr>
        <w:pStyle w:val="StandardWeb"/>
      </w:pPr>
      <w:r>
        <w:t>(w_{ij}),</w:t>
      </w:r>
      <w:r>
        <w:br/>
        <w:t>}</w:t>
      </w:r>
      <w:r>
        <w:br/>
        <w:t>\tag{3.12579}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\boxed{W_{\mathcal I}=(w_{ij}),}</w:t>
      </w:r>
    </w:p>
    <w:p w:rsidR="00980458" w:rsidRDefault="00980458" w:rsidP="00980458">
      <w:pPr>
        <w:pStyle w:val="StandardWeb"/>
      </w:pPr>
      <w:r>
        <w:t>wobei (w_{ij}) den modellabhängig definierten Einfluss von (X_i) auf (X_j) beschreibt.</w:t>
      </w:r>
    </w:p>
    <w:p w:rsidR="00980458" w:rsidRDefault="00E50336" w:rsidP="00980458">
      <w:r>
        <w:pict>
          <v:rect id="_x0000_i4593" style="width:0;height:1.5pt" o:hralign="center" o:hrstd="t" o:hr="t" fillcolor="#a0a0a0" stroked="f"/>
        </w:pict>
      </w:r>
    </w:p>
    <w:p w:rsidR="00980458" w:rsidRDefault="00980458" w:rsidP="00980458">
      <w:pPr>
        <w:pStyle w:val="berschrift1"/>
      </w:pPr>
      <w:r>
        <w:t>3.3.49.61 Adjazenzmatrix</w:t>
      </w:r>
    </w:p>
    <w:p w:rsidR="00980458" w:rsidRDefault="00980458" w:rsidP="00980458">
      <w:pPr>
        <w:pStyle w:val="StandardWeb"/>
      </w:pPr>
      <w:r>
        <w:t>Wird lediglich die Existenz einer Kante erfasst, definiere ich</w:t>
      </w:r>
    </w:p>
    <w:p w:rsidR="00980458" w:rsidRDefault="00980458" w:rsidP="00980458">
      <w:pPr>
        <w:pStyle w:val="berschrift1"/>
      </w:pPr>
      <w:r>
        <w:t>[</w:t>
      </w:r>
      <w:r>
        <w:br/>
        <w:t>A_{\mathcal I}</w:t>
      </w:r>
    </w:p>
    <w:p w:rsidR="00980458" w:rsidRDefault="00980458" w:rsidP="00980458">
      <w:pPr>
        <w:pStyle w:val="StandardWeb"/>
      </w:pPr>
      <w:r>
        <w:t>(a_{ij}),</w:t>
      </w:r>
      <w:r>
        <w:br/>
        <w:t>\qquad</w:t>
      </w:r>
      <w:r>
        <w:br/>
        <w:t>a_{ij}</w:t>
      </w:r>
      <w:r>
        <w:br/>
        <w:t>\in</w:t>
      </w:r>
      <w:r>
        <w:br/>
        <w:t>{0,1}.</w:t>
      </w:r>
      <w:r>
        <w:br/>
        <w:t>\tag{3.12580}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A_{\mathcal I}=(a_{ij}),\qquad a_{ij}\in\{0,1\}</w:t>
      </w:r>
    </w:p>
    <w:p w:rsidR="00980458" w:rsidRDefault="00E50336" w:rsidP="00980458">
      <w:r>
        <w:pict>
          <v:rect id="_x0000_i4594" style="width:0;height:1.5pt" o:hralign="center" o:hrstd="t" o:hr="t" fillcolor="#a0a0a0" stroked="f"/>
        </w:pict>
      </w:r>
    </w:p>
    <w:p w:rsidR="00980458" w:rsidRDefault="00980458" w:rsidP="00980458">
      <w:pPr>
        <w:pStyle w:val="berschrift1"/>
      </w:pPr>
      <w:r>
        <w:t>3.3.49.62 Definition 3.3.388 – Funktionale Einflussadjazenzmatrix</w:t>
      </w:r>
    </w:p>
    <w:p w:rsidR="00980458" w:rsidRDefault="00980458" w:rsidP="00980458">
      <w:pPr>
        <w:pStyle w:val="berschrift3"/>
      </w:pPr>
      <w:r>
        <w:t>Definition 3.3.388</w:t>
      </w:r>
    </w:p>
    <w:p w:rsidR="00980458" w:rsidRDefault="00980458" w:rsidP="00980458">
      <w:pPr>
        <w:pStyle w:val="StandardWeb"/>
      </w:pPr>
      <w:r>
        <w:t xml:space="preserve">Die </w:t>
      </w:r>
      <w:r>
        <w:rPr>
          <w:rStyle w:val="Fett"/>
        </w:rPr>
        <w:t>funktionale Einflussadjazenzmatrix</w:t>
      </w:r>
      <w:r>
        <w:t xml:space="preserve"> besitzt die Einträge</w:t>
      </w:r>
    </w:p>
    <w:p w:rsidR="00980458" w:rsidRDefault="00980458" w:rsidP="00980458">
      <w:pPr>
        <w:pStyle w:val="berschrift1"/>
      </w:pPr>
      <w:r>
        <w:lastRenderedPageBreak/>
        <w:t>[</w:t>
      </w:r>
      <w:r>
        <w:br/>
        <w:t>\boxed{</w:t>
      </w:r>
      <w:r>
        <w:br/>
        <w:t>a_{ij}</w:t>
      </w:r>
    </w:p>
    <w:p w:rsidR="00980458" w:rsidRDefault="00980458" w:rsidP="00980458">
      <w:pPr>
        <w:pStyle w:val="StandardWeb"/>
      </w:pPr>
      <w:r>
        <w:t>\begin{cases}</w:t>
      </w:r>
      <w:r>
        <w:br/>
        <w:t>1,&amp;X_i\rightsquigarrow X_j,\</w:t>
      </w:r>
      <w:r>
        <w:br/>
        <w:t>0,&amp;\text{sonst}.</w:t>
      </w:r>
      <w:r>
        <w:br/>
        <w:t>\end{cases}</w:t>
      </w:r>
      <w:r>
        <w:br/>
        <w:t>}</w:t>
      </w:r>
      <w:r>
        <w:br/>
        <w:t>\tag{3.12581}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\boxed{a_{ij}=\begin{cases}1,&amp;X_i\rightsquigarrow X_j,\\0,&amp;\text{sonst}.\end{cases}}</w:t>
      </w:r>
    </w:p>
    <w:p w:rsidR="00980458" w:rsidRDefault="00E50336" w:rsidP="00980458">
      <w:r>
        <w:pict>
          <v:rect id="_x0000_i4595" style="width:0;height:1.5pt" o:hralign="center" o:hrstd="t" o:hr="t" fillcolor="#a0a0a0" stroked="f"/>
        </w:pict>
      </w:r>
    </w:p>
    <w:p w:rsidR="00980458" w:rsidRDefault="00980458" w:rsidP="00980458">
      <w:pPr>
        <w:pStyle w:val="berschrift1"/>
      </w:pPr>
      <w:r>
        <w:t>3.3.49.63 Pfade über Matrixpotenzen</w:t>
      </w:r>
    </w:p>
    <w:p w:rsidR="00980458" w:rsidRDefault="00980458" w:rsidP="00980458">
      <w:pPr>
        <w:pStyle w:val="StandardWeb"/>
      </w:pPr>
      <w:r>
        <w:t>Für einen endlichen ungewichteten Einflussgraphen kann</w:t>
      </w:r>
    </w:p>
    <w:p w:rsidR="00980458" w:rsidRDefault="00980458" w:rsidP="00980458">
      <w:pPr>
        <w:pStyle w:val="StandardWeb"/>
      </w:pPr>
      <w:r>
        <w:t>[</w:t>
      </w:r>
      <w:r>
        <w:br/>
        <w:t>(A_{\mathcal I}^{k})_{ij}</w:t>
      </w:r>
      <w:r>
        <w:br/>
        <w:t>\tag{3.12582}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(A_{\mathcal I}^{k})_{ij}</w:t>
      </w:r>
    </w:p>
    <w:p w:rsidR="00980458" w:rsidRDefault="00980458" w:rsidP="00980458">
      <w:pPr>
        <w:pStyle w:val="StandardWeb"/>
      </w:pPr>
      <w:r>
        <w:t>die Anzahl gerichteter Wege der Länge (k) zwischen (X_i) und (X_j) erfassen.</w:t>
      </w:r>
    </w:p>
    <w:p w:rsidR="00980458" w:rsidRDefault="00E50336" w:rsidP="00980458">
      <w:r>
        <w:pict>
          <v:rect id="_x0000_i4596" style="width:0;height:1.5pt" o:hralign="center" o:hrstd="t" o:hr="t" fillcolor="#a0a0a0" stroked="f"/>
        </w:pict>
      </w:r>
    </w:p>
    <w:p w:rsidR="00980458" w:rsidRDefault="00980458" w:rsidP="00980458">
      <w:pPr>
        <w:pStyle w:val="berschrift1"/>
      </w:pPr>
      <w:r>
        <w:t>3.3.49.64 Erreichbarkeit</w:t>
      </w:r>
    </w:p>
    <w:p w:rsidR="00980458" w:rsidRDefault="00980458" w:rsidP="00980458">
      <w:pPr>
        <w:pStyle w:val="StandardWeb"/>
      </w:pPr>
      <w:r>
        <w:t>Ein Objekt (X_j) ist von (X_i) erreichbar, wenn</w:t>
      </w:r>
    </w:p>
    <w:p w:rsidR="00980458" w:rsidRDefault="00980458" w:rsidP="00980458">
      <w:pPr>
        <w:pStyle w:val="StandardWeb"/>
      </w:pPr>
      <w:r>
        <w:t>[</w:t>
      </w:r>
      <w:r>
        <w:br/>
        <w:t>\exists k\geq1:</w:t>
      </w:r>
      <w:r>
        <w:br/>
        <w:t>(A_{\mathcal I}^{k})_{ij}&gt;0.</w:t>
      </w:r>
      <w:r>
        <w:br/>
        <w:t>\tag{3.12583}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\exists k\geq1:(A_{\mathcal I}^{k})_{ij}&gt;0</w:t>
      </w:r>
    </w:p>
    <w:p w:rsidR="00980458" w:rsidRDefault="00E50336" w:rsidP="00980458">
      <w:r>
        <w:lastRenderedPageBreak/>
        <w:pict>
          <v:rect id="_x0000_i4597" style="width:0;height:1.5pt" o:hralign="center" o:hrstd="t" o:hr="t" fillcolor="#a0a0a0" stroked="f"/>
        </w:pict>
      </w:r>
    </w:p>
    <w:p w:rsidR="00980458" w:rsidRDefault="00980458" w:rsidP="00980458">
      <w:pPr>
        <w:pStyle w:val="berschrift1"/>
      </w:pPr>
      <w:r>
        <w:t>3.3.49.65 Definition 3.3.389 – Funktionale Einflusserreichbarkeit</w:t>
      </w:r>
    </w:p>
    <w:p w:rsidR="00980458" w:rsidRDefault="00980458" w:rsidP="00980458">
      <w:pPr>
        <w:pStyle w:val="berschrift3"/>
      </w:pPr>
      <w:r>
        <w:t>Definition 3.3.389</w:t>
      </w:r>
    </w:p>
    <w:p w:rsidR="00980458" w:rsidRDefault="00980458" w:rsidP="00980458">
      <w:pPr>
        <w:pStyle w:val="StandardWeb"/>
      </w:pPr>
      <w:r>
        <w:t xml:space="preserve">(X_j) heißt von (X_i) </w:t>
      </w:r>
      <w:r>
        <w:rPr>
          <w:rStyle w:val="Fett"/>
        </w:rPr>
        <w:t>funktional einflusserreichbar</w:t>
      </w:r>
      <w:r>
        <w:t>, wenn</w:t>
      </w:r>
    </w:p>
    <w:p w:rsidR="00980458" w:rsidRDefault="00980458" w:rsidP="00980458">
      <w:pPr>
        <w:pStyle w:val="StandardWeb"/>
      </w:pPr>
      <w:r>
        <w:t>[</w:t>
      </w:r>
      <w:r>
        <w:br/>
        <w:t>\boxed{</w:t>
      </w:r>
      <w:r>
        <w:br/>
        <w:t>\exists k\geq1:</w:t>
      </w:r>
      <w:r>
        <w:br/>
        <w:t>(A_{\mathcal I}^{k})_{ij}&gt;0.</w:t>
      </w:r>
      <w:r>
        <w:br/>
        <w:t>}</w:t>
      </w:r>
      <w:r>
        <w:br/>
        <w:t>\tag{3.12584}</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\boxed{\exists k\geq1:(A_{\mathcal I}^{k})_{ij}&gt;0.}</w:t>
      </w:r>
    </w:p>
    <w:p w:rsidR="00980458" w:rsidRDefault="00E50336" w:rsidP="00980458">
      <w:r>
        <w:pict>
          <v:rect id="_x0000_i4598" style="width:0;height:1.5pt" o:hralign="center" o:hrstd="t" o:hr="t" fillcolor="#a0a0a0" stroked="f"/>
        </w:pict>
      </w:r>
    </w:p>
    <w:p w:rsidR="00980458" w:rsidRDefault="00980458" w:rsidP="00980458">
      <w:pPr>
        <w:pStyle w:val="berschrift1"/>
      </w:pPr>
      <w:r>
        <w:t>3.3.49.66 Einflussvorfahren</w:t>
      </w:r>
    </w:p>
    <w:p w:rsidR="00980458" w:rsidRDefault="00980458" w:rsidP="00980458">
      <w:pPr>
        <w:pStyle w:val="StandardWeb"/>
      </w:pPr>
      <w:r>
        <w:t>Die Menge aller Objekte, von denen (Y) erreichbar ist, bezeichne ich als</w:t>
      </w:r>
    </w:p>
    <w:p w:rsidR="00980458" w:rsidRDefault="00980458" w:rsidP="00980458">
      <w:pPr>
        <w:pStyle w:val="StandardWeb"/>
      </w:pPr>
      <w:r>
        <w:t>[</w:t>
      </w:r>
      <w:r>
        <w:br/>
        <w:t>\operatorname{Anc}_{\mathcal I}(Y).</w:t>
      </w:r>
      <w:r>
        <w:br/>
        <w:t>\tag{3.12585}</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\operatorname{Anc}_{\mathcal I}(Y)</w:t>
      </w:r>
    </w:p>
    <w:p w:rsidR="00980458" w:rsidRDefault="00E50336" w:rsidP="00980458">
      <w:r>
        <w:pict>
          <v:rect id="_x0000_i4599" style="width:0;height:1.5pt" o:hralign="center" o:hrstd="t" o:hr="t" fillcolor="#a0a0a0" stroked="f"/>
        </w:pict>
      </w:r>
    </w:p>
    <w:p w:rsidR="00980458" w:rsidRDefault="00980458" w:rsidP="00980458">
      <w:pPr>
        <w:pStyle w:val="berschrift1"/>
      </w:pPr>
      <w:r>
        <w:t>3.3.49.67 Definition 3.3.390 – Funktionale Einflussvorfahren</w:t>
      </w:r>
    </w:p>
    <w:p w:rsidR="00980458" w:rsidRDefault="00980458" w:rsidP="00980458">
      <w:pPr>
        <w:pStyle w:val="berschrift3"/>
      </w:pPr>
      <w:r>
        <w:t>Definition 3.3.390</w:t>
      </w:r>
    </w:p>
    <w:p w:rsidR="00980458" w:rsidRDefault="00980458" w:rsidP="00980458">
      <w:pPr>
        <w:pStyle w:val="StandardWeb"/>
      </w:pPr>
      <w:r>
        <w:t xml:space="preserve">Die Menge der </w:t>
      </w:r>
      <w:r>
        <w:rPr>
          <w:rStyle w:val="Fett"/>
        </w:rPr>
        <w:t>funktionalen Einflussvorfahren</w:t>
      </w:r>
      <w:r>
        <w:t xml:space="preserve"> eines Objekts (Y) ist</w:t>
      </w:r>
    </w:p>
    <w:p w:rsidR="00980458" w:rsidRDefault="00980458" w:rsidP="00980458">
      <w:pPr>
        <w:pStyle w:val="berschrift1"/>
      </w:pPr>
      <w:r>
        <w:t>[</w:t>
      </w:r>
      <w:r>
        <w:br/>
        <w:t>\boxed{</w:t>
      </w:r>
      <w:r>
        <w:br/>
        <w:t>\operatorname{Anc}_{\mathcal I}(Y)</w:t>
      </w:r>
    </w:p>
    <w:p w:rsidR="00980458" w:rsidRDefault="00980458" w:rsidP="00980458">
      <w:pPr>
        <w:pStyle w:val="StandardWeb"/>
      </w:pPr>
      <w:r>
        <w:lastRenderedPageBreak/>
        <w:t>{</w:t>
      </w:r>
      <w:r>
        <w:br/>
        <w:t>X:</w:t>
      </w:r>
      <w:r>
        <w:br/>
        <w:t>X\leadsto Y</w:t>
      </w:r>
      <w:r>
        <w:br/>
        <w:t>}.</w:t>
      </w:r>
      <w:r>
        <w:br/>
        <w:t>}</w:t>
      </w:r>
      <w:r>
        <w:br/>
        <w:t>\tag{3.12586}</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\boxed{\operatorname{Anc}_{\mathcal I}(Y)=\{X:X\leadsto Y\}.}</w:t>
      </w:r>
    </w:p>
    <w:p w:rsidR="00980458" w:rsidRDefault="00E50336" w:rsidP="00980458">
      <w:r>
        <w:pict>
          <v:rect id="_x0000_i4600" style="width:0;height:1.5pt" o:hralign="center" o:hrstd="t" o:hr="t" fillcolor="#a0a0a0" stroked="f"/>
        </w:pict>
      </w:r>
    </w:p>
    <w:p w:rsidR="00980458" w:rsidRDefault="00980458" w:rsidP="00980458">
      <w:pPr>
        <w:pStyle w:val="berschrift1"/>
      </w:pPr>
      <w:r>
        <w:t>3.3.49.68 Einflussnachfahren</w:t>
      </w:r>
    </w:p>
    <w:p w:rsidR="00980458" w:rsidRDefault="00980458" w:rsidP="00980458">
      <w:pPr>
        <w:pStyle w:val="StandardWeb"/>
      </w:pPr>
      <w:r>
        <w:t>Analog definiere ich</w:t>
      </w:r>
    </w:p>
    <w:p w:rsidR="00980458" w:rsidRDefault="00980458" w:rsidP="00980458">
      <w:pPr>
        <w:pStyle w:val="StandardWeb"/>
      </w:pPr>
      <w:r>
        <w:t>[</w:t>
      </w:r>
      <w:r>
        <w:br/>
        <w:t>\operatorname{Desc}_{\mathcal I}(X).</w:t>
      </w:r>
      <w:r>
        <w:br/>
        <w:t>\tag{3.12587}</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\operatorname{Desc}_{\mathcal I}(X)</w:t>
      </w:r>
    </w:p>
    <w:p w:rsidR="00980458" w:rsidRDefault="00E50336" w:rsidP="00980458">
      <w:r>
        <w:pict>
          <v:rect id="_x0000_i4601" style="width:0;height:1.5pt" o:hralign="center" o:hrstd="t" o:hr="t" fillcolor="#a0a0a0" stroked="f"/>
        </w:pict>
      </w:r>
    </w:p>
    <w:p w:rsidR="00980458" w:rsidRDefault="00980458" w:rsidP="00980458">
      <w:pPr>
        <w:pStyle w:val="berschrift1"/>
      </w:pPr>
      <w:r>
        <w:t>3.3.49.69 Definition 3.3.391 – Funktionale Einflussnachfahren</w:t>
      </w:r>
    </w:p>
    <w:p w:rsidR="00980458" w:rsidRDefault="00980458" w:rsidP="00980458">
      <w:pPr>
        <w:pStyle w:val="berschrift3"/>
      </w:pPr>
      <w:r>
        <w:t>Definition 3.3.391</w:t>
      </w:r>
    </w:p>
    <w:p w:rsidR="00980458" w:rsidRDefault="00980458" w:rsidP="00980458">
      <w:pPr>
        <w:pStyle w:val="StandardWeb"/>
      </w:pPr>
      <w:r>
        <w:t xml:space="preserve">Die Menge der </w:t>
      </w:r>
      <w:r>
        <w:rPr>
          <w:rStyle w:val="Fett"/>
        </w:rPr>
        <w:t>funktionalen Einflussnachfahren</w:t>
      </w:r>
      <w:r>
        <w:t xml:space="preserve"> von (X) ist</w:t>
      </w:r>
    </w:p>
    <w:p w:rsidR="00980458" w:rsidRDefault="00980458" w:rsidP="00980458">
      <w:pPr>
        <w:pStyle w:val="berschrift1"/>
      </w:pPr>
      <w:r>
        <w:t>[</w:t>
      </w:r>
      <w:r>
        <w:br/>
        <w:t>\boxed{</w:t>
      </w:r>
      <w:r>
        <w:br/>
        <w:t>\operatorname{Desc}_{\mathcal I}(X)</w:t>
      </w:r>
    </w:p>
    <w:p w:rsidR="00980458" w:rsidRDefault="00980458" w:rsidP="00980458">
      <w:pPr>
        <w:pStyle w:val="StandardWeb"/>
      </w:pPr>
      <w:r>
        <w:t>{</w:t>
      </w:r>
      <w:r>
        <w:br/>
        <w:t>Y:</w:t>
      </w:r>
      <w:r>
        <w:br/>
        <w:t>X\leadsto Y</w:t>
      </w:r>
      <w:r>
        <w:br/>
        <w:t>}.</w:t>
      </w:r>
      <w:r>
        <w:br/>
        <w:t>}</w:t>
      </w:r>
      <w:r>
        <w:br/>
        <w:t>\tag{3.12588}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lastRenderedPageBreak/>
        <w:t>\boxed{\operatorname{Desc}_{\mathcal I}(X)=\{Y:X\leadsto Y\}.}</w:t>
      </w:r>
    </w:p>
    <w:p w:rsidR="00980458" w:rsidRDefault="00E50336" w:rsidP="00980458">
      <w:r>
        <w:pict>
          <v:rect id="_x0000_i4602" style="width:0;height:1.5pt" o:hralign="center" o:hrstd="t" o:hr="t" fillcolor="#a0a0a0" stroked="f"/>
        </w:pict>
      </w:r>
    </w:p>
    <w:p w:rsidR="00980458" w:rsidRDefault="00980458" w:rsidP="00980458">
      <w:pPr>
        <w:pStyle w:val="berschrift1"/>
      </w:pPr>
      <w:r>
        <w:t>3.3.49.70 Lokale Einflussnachbarschaft</w:t>
      </w:r>
    </w:p>
    <w:p w:rsidR="00980458" w:rsidRDefault="00980458" w:rsidP="00980458">
      <w:pPr>
        <w:pStyle w:val="StandardWeb"/>
      </w:pPr>
      <w:r>
        <w:t>Die direkten Vorgänger eines Knotens sind</w:t>
      </w:r>
    </w:p>
    <w:p w:rsidR="00980458" w:rsidRDefault="00980458" w:rsidP="00980458">
      <w:pPr>
        <w:pStyle w:val="berschrift1"/>
      </w:pPr>
      <w:r>
        <w:t>[</w:t>
      </w:r>
      <w:r>
        <w:br/>
        <w:t>\operatorname{Pa}_{\mathcal I}(Y)</w:t>
      </w:r>
    </w:p>
    <w:p w:rsidR="00980458" w:rsidRDefault="00980458" w:rsidP="00980458">
      <w:pPr>
        <w:pStyle w:val="StandardWeb"/>
      </w:pPr>
      <w:r>
        <w:t>{</w:t>
      </w:r>
      <w:r>
        <w:br/>
        <w:t>X:</w:t>
      </w:r>
      <w:r>
        <w:br/>
        <w:t>X\rightarrow Y</w:t>
      </w:r>
      <w:r>
        <w:br/>
        <w:t>}.</w:t>
      </w:r>
      <w:r>
        <w:br/>
        <w:t>\tag{3.12589}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\operatorname{Pa}_{\mathcal I}(Y)=\{X:X\rightarrow Y\}</w:t>
      </w:r>
    </w:p>
    <w:p w:rsidR="00980458" w:rsidRDefault="00E50336" w:rsidP="00980458">
      <w:r>
        <w:pict>
          <v:rect id="_x0000_i4603" style="width:0;height:1.5pt" o:hralign="center" o:hrstd="t" o:hr="t" fillcolor="#a0a0a0" stroked="f"/>
        </w:pict>
      </w:r>
    </w:p>
    <w:p w:rsidR="00980458" w:rsidRDefault="00980458" w:rsidP="00980458">
      <w:pPr>
        <w:pStyle w:val="berschrift1"/>
      </w:pPr>
      <w:r>
        <w:t>3.3.49.71 Definition 3.3.392 – Funktionale Einflusseltern</w:t>
      </w:r>
    </w:p>
    <w:p w:rsidR="00980458" w:rsidRDefault="00980458" w:rsidP="00980458">
      <w:pPr>
        <w:pStyle w:val="berschrift3"/>
      </w:pPr>
      <w:r>
        <w:t>Definition 3.3.392</w:t>
      </w:r>
    </w:p>
    <w:p w:rsidR="00980458" w:rsidRDefault="00980458" w:rsidP="00980458">
      <w:pPr>
        <w:pStyle w:val="StandardWeb"/>
      </w:pPr>
      <w:r>
        <w:t xml:space="preserve">Die </w:t>
      </w:r>
      <w:r>
        <w:rPr>
          <w:rStyle w:val="Fett"/>
        </w:rPr>
        <w:t>funktionalen Einflusseltern</w:t>
      </w:r>
      <w:r>
        <w:t xml:space="preserve"> eines Objekts (Y) sind</w:t>
      </w:r>
    </w:p>
    <w:p w:rsidR="00980458" w:rsidRDefault="00980458" w:rsidP="00980458">
      <w:pPr>
        <w:pStyle w:val="berschrift1"/>
      </w:pPr>
      <w:r>
        <w:t>[</w:t>
      </w:r>
      <w:r>
        <w:br/>
        <w:t>\boxed{</w:t>
      </w:r>
      <w:r>
        <w:br/>
        <w:t>\operatorname{Pa}_{\mathcal I}(Y)</w:t>
      </w:r>
    </w:p>
    <w:p w:rsidR="00980458" w:rsidRDefault="00980458" w:rsidP="00980458">
      <w:pPr>
        <w:pStyle w:val="StandardWeb"/>
      </w:pPr>
      <w:r>
        <w:t>{</w:t>
      </w:r>
      <w:r>
        <w:br/>
        <w:t>X:</w:t>
      </w:r>
      <w:r>
        <w:br/>
        <w:t>X\rightsquigarrow Y</w:t>
      </w:r>
      <w:r>
        <w:br/>
        <w:t>}.</w:t>
      </w:r>
      <w:r>
        <w:br/>
        <w:t>}</w:t>
      </w:r>
      <w:r>
        <w:br/>
        <w:t>\tag{3.12590}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\boxed{\operatorname{Pa}_{\mathcal I}(Y)=\{X:X\rightsquigarrow Y\}.}</w:t>
      </w:r>
    </w:p>
    <w:p w:rsidR="00980458" w:rsidRDefault="00E50336" w:rsidP="00980458">
      <w:r>
        <w:pict>
          <v:rect id="_x0000_i4604" style="width:0;height:1.5pt" o:hralign="center" o:hrstd="t" o:hr="t" fillcolor="#a0a0a0" stroked="f"/>
        </w:pict>
      </w:r>
    </w:p>
    <w:p w:rsidR="00980458" w:rsidRDefault="00980458" w:rsidP="00980458">
      <w:pPr>
        <w:pStyle w:val="berschrift1"/>
      </w:pPr>
      <w:r>
        <w:lastRenderedPageBreak/>
        <w:t>3.3.49.72 Direkte Einflusskinder</w:t>
      </w:r>
    </w:p>
    <w:p w:rsidR="00980458" w:rsidRDefault="00980458" w:rsidP="00980458">
      <w:pPr>
        <w:pStyle w:val="StandardWeb"/>
      </w:pPr>
      <w:r>
        <w:t>Analog gilt</w:t>
      </w:r>
    </w:p>
    <w:p w:rsidR="00980458" w:rsidRDefault="00980458" w:rsidP="00980458">
      <w:pPr>
        <w:pStyle w:val="berschrift1"/>
      </w:pPr>
      <w:r>
        <w:t>[</w:t>
      </w:r>
      <w:r>
        <w:br/>
        <w:t>\operatorname{Ch}_{\mathcal I}(X)</w:t>
      </w:r>
    </w:p>
    <w:p w:rsidR="00980458" w:rsidRDefault="00980458" w:rsidP="00980458">
      <w:pPr>
        <w:pStyle w:val="StandardWeb"/>
      </w:pPr>
      <w:r>
        <w:t>{</w:t>
      </w:r>
      <w:r>
        <w:br/>
        <w:t>Y:</w:t>
      </w:r>
      <w:r>
        <w:br/>
        <w:t>X\rightsquigarrow Y</w:t>
      </w:r>
      <w:r>
        <w:br/>
        <w:t>}.</w:t>
      </w:r>
      <w:r>
        <w:br/>
        <w:t>\tag{3.12591}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\operatorname{Ch}_{\mathcal I}(X)=\{Y:X\rightsquigarrow Y\}</w:t>
      </w:r>
    </w:p>
    <w:p w:rsidR="00980458" w:rsidRDefault="00E50336" w:rsidP="00980458">
      <w:r>
        <w:pict>
          <v:rect id="_x0000_i4605" style="width:0;height:1.5pt" o:hralign="center" o:hrstd="t" o:hr="t" fillcolor="#a0a0a0" stroked="f"/>
        </w:pict>
      </w:r>
    </w:p>
    <w:p w:rsidR="00980458" w:rsidRDefault="00980458" w:rsidP="00980458">
      <w:pPr>
        <w:pStyle w:val="berschrift1"/>
      </w:pPr>
      <w:r>
        <w:t>3.3.49.73 Definition 3.3.393 – Funktionale Einflusskinder</w:t>
      </w:r>
    </w:p>
    <w:p w:rsidR="00980458" w:rsidRDefault="00980458" w:rsidP="00980458">
      <w:pPr>
        <w:pStyle w:val="berschrift3"/>
      </w:pPr>
      <w:r>
        <w:t>Definition 3.3.393</w:t>
      </w:r>
    </w:p>
    <w:p w:rsidR="00980458" w:rsidRDefault="00980458" w:rsidP="00980458">
      <w:pPr>
        <w:pStyle w:val="StandardWeb"/>
      </w:pPr>
      <w:r>
        <w:t xml:space="preserve">Die </w:t>
      </w:r>
      <w:r>
        <w:rPr>
          <w:rStyle w:val="Fett"/>
        </w:rPr>
        <w:t>funktionalen Einflusskinder</w:t>
      </w:r>
      <w:r>
        <w:t xml:space="preserve"> von (X) sind</w:t>
      </w:r>
    </w:p>
    <w:p w:rsidR="00980458" w:rsidRDefault="00980458" w:rsidP="00980458">
      <w:pPr>
        <w:pStyle w:val="berschrift1"/>
      </w:pPr>
      <w:r>
        <w:t>[</w:t>
      </w:r>
      <w:r>
        <w:br/>
        <w:t>\boxed{</w:t>
      </w:r>
      <w:r>
        <w:br/>
        <w:t>\operatorname{Ch}_{\mathcal I}(X)</w:t>
      </w:r>
    </w:p>
    <w:p w:rsidR="00980458" w:rsidRDefault="00980458" w:rsidP="00980458">
      <w:pPr>
        <w:pStyle w:val="StandardWeb"/>
      </w:pPr>
      <w:r>
        <w:t>{</w:t>
      </w:r>
      <w:r>
        <w:br/>
        <w:t>Y:</w:t>
      </w:r>
      <w:r>
        <w:br/>
        <w:t>X\rightsquigarrow Y</w:t>
      </w:r>
      <w:r>
        <w:br/>
        <w:t>}.</w:t>
      </w:r>
      <w:r>
        <w:br/>
        <w:t>}</w:t>
      </w:r>
      <w:r>
        <w:br/>
        <w:t>\tag{3.12592}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\boxed{\operatorname{Ch}_{\mathcal I}(X)=\{Y:X\rightsquigarrow Y\}.}</w:t>
      </w:r>
    </w:p>
    <w:p w:rsidR="00980458" w:rsidRDefault="00E50336" w:rsidP="00980458">
      <w:r>
        <w:pict>
          <v:rect id="_x0000_i4606" style="width:0;height:1.5pt" o:hralign="center" o:hrstd="t" o:hr="t" fillcolor="#a0a0a0" stroked="f"/>
        </w:pict>
      </w:r>
    </w:p>
    <w:p w:rsidR="00980458" w:rsidRDefault="00980458" w:rsidP="00980458">
      <w:pPr>
        <w:pStyle w:val="berschrift1"/>
      </w:pPr>
      <w:r>
        <w:t>3.3.49.74 Einflussgrad</w:t>
      </w:r>
    </w:p>
    <w:p w:rsidR="00980458" w:rsidRDefault="00980458" w:rsidP="00980458">
      <w:pPr>
        <w:pStyle w:val="StandardWeb"/>
      </w:pPr>
      <w:r>
        <w:lastRenderedPageBreak/>
        <w:t>Für endliche Graphen kann der Ausgangsgrad</w:t>
      </w:r>
    </w:p>
    <w:p w:rsidR="00980458" w:rsidRDefault="00980458" w:rsidP="00980458">
      <w:pPr>
        <w:pStyle w:val="berschrift1"/>
      </w:pPr>
      <w:r>
        <w:t>[</w:t>
      </w:r>
      <w:r>
        <w:br/>
        <w:t>d_{\mathrm{out}}(X)</w:t>
      </w:r>
    </w:p>
    <w:p w:rsidR="00980458" w:rsidRDefault="00980458" w:rsidP="00980458">
      <w:pPr>
        <w:pStyle w:val="StandardWeb"/>
      </w:pPr>
      <w:r>
        <w:t>|\operatorname{Ch}_{\mathcal I}(X)|</w:t>
      </w:r>
      <w:r>
        <w:br/>
        <w:t>\tag{3.12593}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d_{\mathrm{out}}(X)=|\operatorname{Ch}_{\mathcal I}(X)|</w:t>
      </w:r>
    </w:p>
    <w:p w:rsidR="00980458" w:rsidRDefault="00980458" w:rsidP="00980458">
      <w:pPr>
        <w:pStyle w:val="StandardWeb"/>
      </w:pPr>
      <w:r>
        <w:t>und der Eingangsgrad</w:t>
      </w:r>
    </w:p>
    <w:p w:rsidR="00980458" w:rsidRDefault="00980458" w:rsidP="00980458">
      <w:pPr>
        <w:pStyle w:val="berschrift1"/>
      </w:pPr>
      <w:r>
        <w:t>[</w:t>
      </w:r>
      <w:r>
        <w:br/>
        <w:t>d_{\mathrm{in}}(X)</w:t>
      </w:r>
    </w:p>
    <w:p w:rsidR="00980458" w:rsidRDefault="00980458" w:rsidP="00980458">
      <w:pPr>
        <w:pStyle w:val="StandardWeb"/>
      </w:pPr>
      <w:r>
        <w:t>|\operatorname{Pa}_{\mathcal I}(X)|</w:t>
      </w:r>
      <w:r>
        <w:br/>
        <w:t>\tag{3.12594}</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d_{\mathrm{in}}(X)=|\operatorname{Pa}_{\mathcal I}(X)|</w:t>
      </w:r>
    </w:p>
    <w:p w:rsidR="00980458" w:rsidRDefault="00980458" w:rsidP="00980458">
      <w:pPr>
        <w:pStyle w:val="StandardWeb"/>
      </w:pPr>
      <w:r>
        <w:t>definiert werden.</w:t>
      </w:r>
    </w:p>
    <w:p w:rsidR="00980458" w:rsidRDefault="00E50336" w:rsidP="00980458">
      <w:r>
        <w:pict>
          <v:rect id="_x0000_i4607" style="width:0;height:1.5pt" o:hralign="center" o:hrstd="t" o:hr="t" fillcolor="#a0a0a0" stroked="f"/>
        </w:pict>
      </w:r>
    </w:p>
    <w:p w:rsidR="00980458" w:rsidRDefault="00980458" w:rsidP="00980458">
      <w:pPr>
        <w:pStyle w:val="berschrift1"/>
      </w:pPr>
      <w:r>
        <w:t>3.3.49.75 Definition 3.3.394 – Funktionaler Einflussgrad</w:t>
      </w:r>
    </w:p>
    <w:p w:rsidR="00980458" w:rsidRDefault="00980458" w:rsidP="00980458">
      <w:pPr>
        <w:pStyle w:val="berschrift3"/>
      </w:pPr>
      <w:r>
        <w:t>Definition 3.3.394</w:t>
      </w:r>
    </w:p>
    <w:p w:rsidR="00980458" w:rsidRDefault="00980458" w:rsidP="00980458">
      <w:pPr>
        <w:pStyle w:val="StandardWeb"/>
      </w:pPr>
      <w:r>
        <w:t xml:space="preserve">Der </w:t>
      </w:r>
      <w:r>
        <w:rPr>
          <w:rStyle w:val="Fett"/>
        </w:rPr>
        <w:t>funktionale Einflussgrad</w:t>
      </w:r>
      <w:r>
        <w:t xml:space="preserve"> eines Knotens (X) ist das Paar</w:t>
      </w:r>
    </w:p>
    <w:p w:rsidR="00980458" w:rsidRDefault="00980458" w:rsidP="00980458">
      <w:pPr>
        <w:pStyle w:val="berschrift1"/>
      </w:pPr>
      <w:r>
        <w:t>[</w:t>
      </w:r>
      <w:r>
        <w:br/>
        <w:t>\boxed{</w:t>
      </w:r>
      <w:r>
        <w:br/>
        <w:t>d_{\mathcal I}(X)</w:t>
      </w:r>
    </w:p>
    <w:p w:rsidR="00980458" w:rsidRDefault="00980458" w:rsidP="00980458">
      <w:pPr>
        <w:pStyle w:val="StandardWeb"/>
      </w:pPr>
      <w:r>
        <w:t>\left(</w:t>
      </w:r>
      <w:r>
        <w:br/>
        <w:t>d_{\mathrm{in}}(X),</w:t>
      </w:r>
      <w:r>
        <w:br/>
        <w:t>d_{\mathrm{out}}(X)</w:t>
      </w:r>
      <w:r>
        <w:br/>
        <w:t>\right).</w:t>
      </w:r>
      <w:r>
        <w:br/>
      </w:r>
      <w:r>
        <w:lastRenderedPageBreak/>
        <w:t>}</w:t>
      </w:r>
      <w:r>
        <w:br/>
        <w:t>\tag{3.12595}</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\boxed{d_{\mathcal I}(X)=\left(d_{\mathrm{in}}(X),d_{\mathrm{out}}(X)\right).}</w:t>
      </w:r>
    </w:p>
    <w:p w:rsidR="00980458" w:rsidRDefault="00E50336" w:rsidP="00980458">
      <w:r>
        <w:pict>
          <v:rect id="_x0000_i4608" style="width:0;height:1.5pt" o:hralign="center" o:hrstd="t" o:hr="t" fillcolor="#a0a0a0" stroked="f"/>
        </w:pict>
      </w:r>
    </w:p>
    <w:p w:rsidR="00980458" w:rsidRDefault="00980458" w:rsidP="00980458">
      <w:pPr>
        <w:pStyle w:val="berschrift1"/>
      </w:pPr>
      <w:r>
        <w:t>3.3.49.76 Quelle im Einflussgraphen</w:t>
      </w:r>
    </w:p>
    <w:p w:rsidR="00980458" w:rsidRDefault="00980458" w:rsidP="00980458">
      <w:pPr>
        <w:pStyle w:val="StandardWeb"/>
      </w:pPr>
      <w:r>
        <w:t>Ein Knoten mit</w:t>
      </w:r>
    </w:p>
    <w:p w:rsidR="00980458" w:rsidRDefault="00980458" w:rsidP="00980458">
      <w:pPr>
        <w:pStyle w:val="StandardWeb"/>
      </w:pPr>
      <w:r>
        <w:t>[</w:t>
      </w:r>
      <w:r>
        <w:br/>
        <w:t>d_{\mathrm{in}}(X)=0</w:t>
      </w:r>
      <w:r>
        <w:br/>
        <w:t>\tag{3.12596}</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d_{\mathrm{in}}(X)=0</w:t>
      </w:r>
    </w:p>
    <w:p w:rsidR="00980458" w:rsidRDefault="00980458" w:rsidP="00980458">
      <w:pPr>
        <w:pStyle w:val="StandardWeb"/>
      </w:pPr>
      <w:r>
        <w:t>besitzt innerhalb des betrachteten Graphen keine eingehende Einflusskante.</w:t>
      </w:r>
    </w:p>
    <w:p w:rsidR="00980458" w:rsidRDefault="00E50336" w:rsidP="00980458">
      <w:r>
        <w:pict>
          <v:rect id="_x0000_i4609" style="width:0;height:1.5pt" o:hralign="center" o:hrstd="t" o:hr="t" fillcolor="#a0a0a0" stroked="f"/>
        </w:pict>
      </w:r>
    </w:p>
    <w:p w:rsidR="00980458" w:rsidRDefault="00980458" w:rsidP="00980458">
      <w:pPr>
        <w:pStyle w:val="berschrift1"/>
      </w:pPr>
      <w:r>
        <w:t>3.3.49.77 Definition 3.3.395 – Funktionale Einflussquelle</w:t>
      </w:r>
    </w:p>
    <w:p w:rsidR="00980458" w:rsidRDefault="00980458" w:rsidP="00980458">
      <w:pPr>
        <w:pStyle w:val="berschrift3"/>
      </w:pPr>
      <w:r>
        <w:t>Definition 3.3.395</w:t>
      </w:r>
    </w:p>
    <w:p w:rsidR="00980458" w:rsidRDefault="00980458" w:rsidP="00980458">
      <w:pPr>
        <w:pStyle w:val="StandardWeb"/>
      </w:pPr>
      <w:r>
        <w:t xml:space="preserve">Ein Knoten (X) heißt </w:t>
      </w:r>
      <w:r>
        <w:rPr>
          <w:rStyle w:val="Fett"/>
        </w:rPr>
        <w:t>funktionale Einflussquelle</w:t>
      </w:r>
      <w:r>
        <w:t>, wenn</w:t>
      </w:r>
    </w:p>
    <w:p w:rsidR="00980458" w:rsidRDefault="00980458" w:rsidP="00980458">
      <w:pPr>
        <w:pStyle w:val="StandardWeb"/>
      </w:pPr>
      <w:r>
        <w:t>[</w:t>
      </w:r>
      <w:r>
        <w:br/>
        <w:t>\boxed{</w:t>
      </w:r>
      <w:r>
        <w:br/>
        <w:t>d_{\mathrm{in}}(X)=0.</w:t>
      </w:r>
      <w:r>
        <w:br/>
        <w:t>}</w:t>
      </w:r>
      <w:r>
        <w:br/>
        <w:t>\tag{3.12597}</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\boxed{d_{\mathrm{in}}(X)=0.}</w:t>
      </w:r>
    </w:p>
    <w:p w:rsidR="00980458" w:rsidRDefault="00E50336" w:rsidP="00980458">
      <w:r>
        <w:pict>
          <v:rect id="_x0000_i4610" style="width:0;height:1.5pt" o:hralign="center" o:hrstd="t" o:hr="t" fillcolor="#a0a0a0" stroked="f"/>
        </w:pict>
      </w:r>
    </w:p>
    <w:p w:rsidR="00980458" w:rsidRDefault="00980458" w:rsidP="00980458">
      <w:pPr>
        <w:pStyle w:val="berschrift1"/>
      </w:pPr>
      <w:r>
        <w:t>3.3.49.78 Senke im Einflussgraphen</w:t>
      </w:r>
    </w:p>
    <w:p w:rsidR="00980458" w:rsidRDefault="00980458" w:rsidP="00980458">
      <w:pPr>
        <w:pStyle w:val="StandardWeb"/>
      </w:pPr>
      <w:r>
        <w:t>Ein Knoten mit</w:t>
      </w:r>
    </w:p>
    <w:p w:rsidR="00980458" w:rsidRDefault="00980458" w:rsidP="00980458">
      <w:pPr>
        <w:pStyle w:val="StandardWeb"/>
      </w:pPr>
      <w:r>
        <w:lastRenderedPageBreak/>
        <w:t>[</w:t>
      </w:r>
      <w:r>
        <w:br/>
        <w:t>d_{\mathrm{out}}(X)=0</w:t>
      </w:r>
      <w:r>
        <w:br/>
        <w:t>\tag{3.12598}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d_{\mathrm{out}}(X)=0</w:t>
      </w:r>
    </w:p>
    <w:p w:rsidR="00980458" w:rsidRDefault="00980458" w:rsidP="00980458">
      <w:pPr>
        <w:pStyle w:val="StandardWeb"/>
      </w:pPr>
      <w:r>
        <w:t>hat innerhalb der betrachteten Struktur keine ausgehende Einflusskante.</w:t>
      </w:r>
    </w:p>
    <w:p w:rsidR="00980458" w:rsidRDefault="00E50336" w:rsidP="00980458">
      <w:r>
        <w:pict>
          <v:rect id="_x0000_i4611" style="width:0;height:1.5pt" o:hralign="center" o:hrstd="t" o:hr="t" fillcolor="#a0a0a0" stroked="f"/>
        </w:pict>
      </w:r>
    </w:p>
    <w:p w:rsidR="00980458" w:rsidRDefault="00980458" w:rsidP="00980458">
      <w:pPr>
        <w:pStyle w:val="berschrift1"/>
      </w:pPr>
      <w:r>
        <w:t>3.3.49.79 Definition 3.3.396 – Funktionale Einflusssenke</w:t>
      </w:r>
    </w:p>
    <w:p w:rsidR="00980458" w:rsidRDefault="00980458" w:rsidP="00980458">
      <w:pPr>
        <w:pStyle w:val="berschrift3"/>
      </w:pPr>
      <w:r>
        <w:t>Definition 3.3.396</w:t>
      </w:r>
    </w:p>
    <w:p w:rsidR="00980458" w:rsidRDefault="00980458" w:rsidP="00980458">
      <w:pPr>
        <w:pStyle w:val="StandardWeb"/>
      </w:pPr>
      <w:r>
        <w:t xml:space="preserve">Ein Knoten (X) heißt </w:t>
      </w:r>
      <w:r>
        <w:rPr>
          <w:rStyle w:val="Fett"/>
        </w:rPr>
        <w:t>funktionale Einflusssenke</w:t>
      </w:r>
      <w:r>
        <w:t>, wenn</w:t>
      </w:r>
    </w:p>
    <w:p w:rsidR="00980458" w:rsidRDefault="00980458" w:rsidP="00980458">
      <w:pPr>
        <w:pStyle w:val="StandardWeb"/>
      </w:pPr>
      <w:r>
        <w:t>[</w:t>
      </w:r>
      <w:r>
        <w:br/>
        <w:t>\boxed{</w:t>
      </w:r>
      <w:r>
        <w:br/>
        <w:t>d_{\mathrm{out}}(X)=0.</w:t>
      </w:r>
      <w:r>
        <w:br/>
        <w:t>}</w:t>
      </w:r>
      <w:r>
        <w:br/>
        <w:t>\tag{3.12599}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\boxed{d_{\mathrm{out}}(X)=0.}</w:t>
      </w:r>
    </w:p>
    <w:p w:rsidR="00980458" w:rsidRDefault="00E50336" w:rsidP="00980458">
      <w:r>
        <w:pict>
          <v:rect id="_x0000_i4612" style="width:0;height:1.5pt" o:hralign="center" o:hrstd="t" o:hr="t" fillcolor="#a0a0a0" stroked="f"/>
        </w:pict>
      </w:r>
    </w:p>
    <w:p w:rsidR="00980458" w:rsidRDefault="00980458" w:rsidP="00980458">
      <w:pPr>
        <w:pStyle w:val="berschrift1"/>
      </w:pPr>
      <w:r>
        <w:t>3.3.49.80 Quelle bedeutet nicht ursachenlos</w:t>
      </w:r>
    </w:p>
    <w:p w:rsidR="00980458" w:rsidRDefault="00980458" w:rsidP="00980458">
      <w:pPr>
        <w:pStyle w:val="StandardWeb"/>
      </w:pPr>
      <w:r>
        <w:t>Aus</w:t>
      </w:r>
    </w:p>
    <w:p w:rsidR="00980458" w:rsidRDefault="00980458" w:rsidP="00980458">
      <w:pPr>
        <w:pStyle w:val="StandardWeb"/>
      </w:pPr>
      <w:r>
        <w:t>[</w:t>
      </w:r>
      <w:r>
        <w:br/>
        <w:t>d_{\mathrm{in}}(X)=0</w:t>
      </w:r>
      <w:r>
        <w:br/>
        <w:t>\tag{3.12600}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d_{\mathrm{in}}(X)=0</w:t>
      </w:r>
    </w:p>
    <w:p w:rsidR="00980458" w:rsidRDefault="00980458" w:rsidP="00980458">
      <w:pPr>
        <w:pStyle w:val="StandardWeb"/>
      </w:pPr>
      <w:r>
        <w:t xml:space="preserve">folgt nur, dass im </w:t>
      </w:r>
      <w:r>
        <w:rPr>
          <w:rStyle w:val="Fett"/>
        </w:rPr>
        <w:t>gewählten Einflussgraphen</w:t>
      </w:r>
      <w:r>
        <w:t xml:space="preserve"> keine eingehende Kante modelliert wurde.</w:t>
      </w:r>
    </w:p>
    <w:p w:rsidR="00980458" w:rsidRDefault="00980458" w:rsidP="00980458">
      <w:pPr>
        <w:pStyle w:val="StandardWeb"/>
      </w:pPr>
      <w:r>
        <w:t>Es folgt ausdrücklich nicht</w:t>
      </w:r>
    </w:p>
    <w:p w:rsidR="00980458" w:rsidRDefault="00980458" w:rsidP="00980458">
      <w:pPr>
        <w:pStyle w:val="StandardWeb"/>
      </w:pPr>
      <w:r>
        <w:lastRenderedPageBreak/>
        <w:t>[</w:t>
      </w:r>
      <w:r>
        <w:br/>
        <w:t>X</w:t>
      </w:r>
      <w:r>
        <w:br/>
        <w:t>\text{ besitzt keine Ursache}.</w:t>
      </w:r>
      <w:r>
        <w:br/>
        <w:t>\tag{3.12601}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X\text{ besitzt keine Ursache}</w:t>
      </w:r>
    </w:p>
    <w:p w:rsidR="00980458" w:rsidRDefault="00E50336" w:rsidP="00980458">
      <w:r>
        <w:pict>
          <v:rect id="_x0000_i4613" style="width:0;height:1.5pt" o:hralign="center" o:hrstd="t" o:hr="t" fillcolor="#a0a0a0" stroked="f"/>
        </w:pict>
      </w:r>
    </w:p>
    <w:p w:rsidR="00980458" w:rsidRDefault="00980458" w:rsidP="00980458">
      <w:pPr>
        <w:pStyle w:val="berschrift1"/>
      </w:pPr>
      <w:r>
        <w:t>3.3.49.81 Senke bedeutet nicht wirkungslos</w:t>
      </w:r>
    </w:p>
    <w:p w:rsidR="00980458" w:rsidRDefault="00980458" w:rsidP="00980458">
      <w:pPr>
        <w:pStyle w:val="StandardWeb"/>
      </w:pPr>
      <w:r>
        <w:t>Analog folgt aus</w:t>
      </w:r>
    </w:p>
    <w:p w:rsidR="00980458" w:rsidRDefault="00980458" w:rsidP="00980458">
      <w:pPr>
        <w:pStyle w:val="StandardWeb"/>
      </w:pPr>
      <w:r>
        <w:t>[</w:t>
      </w:r>
      <w:r>
        <w:br/>
        <w:t>d_{\mathrm{out}}(X)=0</w:t>
      </w:r>
      <w:r>
        <w:br/>
        <w:t>\tag{3.12602}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d_{\mathrm{out}}(X)=0</w:t>
      </w:r>
    </w:p>
    <w:p w:rsidR="00980458" w:rsidRDefault="00980458" w:rsidP="00980458">
      <w:pPr>
        <w:pStyle w:val="StandardWeb"/>
      </w:pPr>
      <w:r>
        <w:t>nicht, dass (X) außerhalb der gewählten Modellgrenze keine Wirkung besitzen könnte.</w:t>
      </w:r>
    </w:p>
    <w:p w:rsidR="00980458" w:rsidRDefault="00E50336" w:rsidP="00980458">
      <w:r>
        <w:pict>
          <v:rect id="_x0000_i4614" style="width:0;height:1.5pt" o:hralign="center" o:hrstd="t" o:hr="t" fillcolor="#a0a0a0" stroked="f"/>
        </w:pict>
      </w:r>
    </w:p>
    <w:p w:rsidR="00980458" w:rsidRDefault="00980458" w:rsidP="00980458">
      <w:pPr>
        <w:pStyle w:val="berschrift1"/>
      </w:pPr>
      <w:r>
        <w:t>3.3.49.82 Modellgrenze des Einflussgraphen</w:t>
      </w:r>
    </w:p>
    <w:p w:rsidR="00980458" w:rsidRDefault="00980458" w:rsidP="00980458">
      <w:pPr>
        <w:pStyle w:val="StandardWeb"/>
      </w:pPr>
      <w:r>
        <w:t>Ich bezeichne die Menge der im Modell berücksichtigten Knoten mit</w:t>
      </w:r>
    </w:p>
    <w:p w:rsidR="00980458" w:rsidRDefault="00980458" w:rsidP="00980458">
      <w:pPr>
        <w:pStyle w:val="StandardWeb"/>
      </w:pPr>
      <w:r>
        <w:t>[</w:t>
      </w:r>
      <w:r>
        <w:br/>
        <w:t>V_{\mathcal I}^{(\mathfrak M)}.</w:t>
      </w:r>
      <w:r>
        <w:br/>
        <w:t>\tag{3.12603}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V_{\mathcal I}^{(\mathfrak M)}</w:t>
      </w:r>
    </w:p>
    <w:p w:rsidR="00980458" w:rsidRDefault="00E50336" w:rsidP="00980458">
      <w:r>
        <w:pict>
          <v:rect id="_x0000_i4615" style="width:0;height:1.5pt" o:hralign="center" o:hrstd="t" o:hr="t" fillcolor="#a0a0a0" stroked="f"/>
        </w:pict>
      </w:r>
    </w:p>
    <w:p w:rsidR="00980458" w:rsidRDefault="00980458" w:rsidP="00980458">
      <w:pPr>
        <w:pStyle w:val="berschrift1"/>
      </w:pPr>
      <w:r>
        <w:t>3.3.49.83 Definition 3.3.397 – Funktionale Einflussmodellgrenze</w:t>
      </w:r>
    </w:p>
    <w:p w:rsidR="00980458" w:rsidRDefault="00980458" w:rsidP="00980458">
      <w:pPr>
        <w:pStyle w:val="berschrift3"/>
      </w:pPr>
      <w:r>
        <w:t>Definition 3.3.397</w:t>
      </w:r>
    </w:p>
    <w:p w:rsidR="00980458" w:rsidRDefault="00980458" w:rsidP="00980458">
      <w:pPr>
        <w:pStyle w:val="StandardWeb"/>
      </w:pPr>
      <w:r>
        <w:t xml:space="preserve">Die </w:t>
      </w:r>
      <w:r>
        <w:rPr>
          <w:rStyle w:val="Fett"/>
        </w:rPr>
        <w:t>funktionale Einflussmodellgrenze</w:t>
      </w:r>
      <w:r>
        <w:t xml:space="preserve"> ist die Menge</w:t>
      </w:r>
    </w:p>
    <w:p w:rsidR="00980458" w:rsidRDefault="00980458" w:rsidP="00980458">
      <w:pPr>
        <w:pStyle w:val="StandardWeb"/>
      </w:pPr>
      <w:r>
        <w:lastRenderedPageBreak/>
        <w:t>[</w:t>
      </w:r>
      <w:r>
        <w:br/>
        <w:t>\boxed{</w:t>
      </w:r>
      <w:r>
        <w:br/>
        <w:t>V_{\mathcal I}^{(\mathfrak M)}</w:t>
      </w:r>
      <w:r>
        <w:br/>
        <w:t>\subseteq</w:t>
      </w:r>
      <w:r>
        <w:br/>
        <w:t>V_{\mathcal I},</w:t>
      </w:r>
      <w:r>
        <w:br/>
        <w:t>}</w:t>
      </w:r>
      <w:r>
        <w:br/>
        <w:t>\tag{3.12604}</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\boxed{V_{\mathcal I}^{(\mathfrak M)}\subseteq V_{\mathcal I},}</w:t>
      </w:r>
    </w:p>
    <w:p w:rsidR="00980458" w:rsidRDefault="00980458" w:rsidP="00980458">
      <w:pPr>
        <w:pStyle w:val="StandardWeb"/>
      </w:pPr>
      <w:r>
        <w:t>innerhalb derer Einflussrelationen für eine konkrete Modellklasse explizit berücksichtigt werden.</w:t>
      </w:r>
    </w:p>
    <w:p w:rsidR="00980458" w:rsidRDefault="00E50336" w:rsidP="00980458">
      <w:r>
        <w:pict>
          <v:rect id="_x0000_i4616" style="width:0;height:1.5pt" o:hralign="center" o:hrstd="t" o:hr="t" fillcolor="#a0a0a0" stroked="f"/>
        </w:pict>
      </w:r>
    </w:p>
    <w:p w:rsidR="00980458" w:rsidRDefault="00980458" w:rsidP="00980458">
      <w:pPr>
        <w:pStyle w:val="berschrift1"/>
      </w:pPr>
      <w:r>
        <w:t>3.3.49.84 Exogener Knoten</w:t>
      </w:r>
    </w:p>
    <w:p w:rsidR="00980458" w:rsidRDefault="00980458" w:rsidP="00980458">
      <w:pPr>
        <w:pStyle w:val="StandardWeb"/>
      </w:pPr>
      <w:r>
        <w:t>Ein Knoten kann relativ zur Modellgrenze keine modellierten Eltern besitzen:</w:t>
      </w:r>
    </w:p>
    <w:p w:rsidR="00980458" w:rsidRDefault="00980458" w:rsidP="00980458">
      <w:pPr>
        <w:pStyle w:val="berschrift1"/>
      </w:pPr>
      <w:r>
        <w:t>[</w:t>
      </w:r>
      <w:r>
        <w:br/>
        <w:t>\operatorname{Pa}_{\mathcal I}^{(\mathfrak M)}(X)</w:t>
      </w:r>
    </w:p>
    <w:p w:rsidR="00980458" w:rsidRDefault="00980458" w:rsidP="00980458">
      <w:pPr>
        <w:pStyle w:val="StandardWeb"/>
      </w:pPr>
      <w:r>
        <w:t>\varnothing.</w:t>
      </w:r>
      <w:r>
        <w:br/>
        <w:t>\tag{3.12605}</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\operatorname{Pa}_{\mathcal I}^{(\mathfrak M)}(X)=\varnothing</w:t>
      </w:r>
    </w:p>
    <w:p w:rsidR="00980458" w:rsidRDefault="00E50336" w:rsidP="00980458">
      <w:r>
        <w:pict>
          <v:rect id="_x0000_i4617" style="width:0;height:1.5pt" o:hralign="center" o:hrstd="t" o:hr="t" fillcolor="#a0a0a0" stroked="f"/>
        </w:pict>
      </w:r>
    </w:p>
    <w:p w:rsidR="00980458" w:rsidRDefault="00980458" w:rsidP="00980458">
      <w:pPr>
        <w:pStyle w:val="berschrift1"/>
      </w:pPr>
      <w:r>
        <w:t>3.3.49.85 Definition 3.3.398 – Funktional exogenes Theorieobjekt</w:t>
      </w:r>
    </w:p>
    <w:p w:rsidR="00980458" w:rsidRDefault="00980458" w:rsidP="00980458">
      <w:pPr>
        <w:pStyle w:val="berschrift3"/>
      </w:pPr>
      <w:r>
        <w:t>Definition 3.3.398</w:t>
      </w:r>
    </w:p>
    <w:p w:rsidR="00980458" w:rsidRDefault="00980458" w:rsidP="00980458">
      <w:pPr>
        <w:pStyle w:val="StandardWeb"/>
      </w:pPr>
      <w:r>
        <w:t xml:space="preserve">Ein Theorieobjekt (X) heißt bezüglich einer Modellgrenze </w:t>
      </w:r>
      <w:r>
        <w:rPr>
          <w:rStyle w:val="Fett"/>
        </w:rPr>
        <w:t>funktional exogen</w:t>
      </w:r>
      <w:r>
        <w:t>, wenn</w:t>
      </w:r>
    </w:p>
    <w:p w:rsidR="00980458" w:rsidRDefault="00980458" w:rsidP="00980458">
      <w:pPr>
        <w:pStyle w:val="berschrift1"/>
      </w:pPr>
      <w:r>
        <w:t>[</w:t>
      </w:r>
      <w:r>
        <w:br/>
        <w:t>\boxed{</w:t>
      </w:r>
      <w:r>
        <w:br/>
        <w:t>\operatorname{Pa}_{\mathcal I}^{(\mathfrak M)}(X)</w:t>
      </w:r>
    </w:p>
    <w:p w:rsidR="00980458" w:rsidRDefault="00980458" w:rsidP="00980458">
      <w:pPr>
        <w:pStyle w:val="StandardWeb"/>
      </w:pPr>
      <w:r>
        <w:lastRenderedPageBreak/>
        <w:t>\varnothing.</w:t>
      </w:r>
      <w:r>
        <w:br/>
        <w:t>}</w:t>
      </w:r>
      <w:r>
        <w:br/>
        <w:t>\tag{3.12606}</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\boxed{\operatorname{Pa}_{\mathcal I}^{(\mathfrak M)}(X)=\varnothing.}</w:t>
      </w:r>
    </w:p>
    <w:p w:rsidR="00980458" w:rsidRDefault="00E50336" w:rsidP="00980458">
      <w:r>
        <w:pict>
          <v:rect id="_x0000_i4618" style="width:0;height:1.5pt" o:hralign="center" o:hrstd="t" o:hr="t" fillcolor="#a0a0a0" stroked="f"/>
        </w:pict>
      </w:r>
    </w:p>
    <w:p w:rsidR="00980458" w:rsidRDefault="00980458" w:rsidP="00980458">
      <w:pPr>
        <w:pStyle w:val="berschrift1"/>
      </w:pPr>
      <w:r>
        <w:t>3.3.49.86 Endogener Knoten</w:t>
      </w:r>
    </w:p>
    <w:p w:rsidR="00980458" w:rsidRDefault="00980458" w:rsidP="00980458">
      <w:pPr>
        <w:pStyle w:val="StandardWeb"/>
      </w:pPr>
      <w:r>
        <w:t>Ein Theorieobjekt heißt innerhalb der Modellstruktur endogen, wenn</w:t>
      </w:r>
    </w:p>
    <w:p w:rsidR="00980458" w:rsidRDefault="00980458" w:rsidP="00980458">
      <w:pPr>
        <w:pStyle w:val="StandardWeb"/>
      </w:pPr>
      <w:r>
        <w:t>[</w:t>
      </w:r>
      <w:r>
        <w:br/>
        <w:t>\operatorname{Pa}_{\mathcal I}^{(\mathfrak M)}(X)</w:t>
      </w:r>
      <w:r>
        <w:br/>
        <w:t>\neq</w:t>
      </w:r>
      <w:r>
        <w:br/>
        <w:t>\varnothing.</w:t>
      </w:r>
      <w:r>
        <w:br/>
        <w:t>\tag{3.12607}</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\operatorname{Pa}_{\mathcal I}^{(\mathfrak M)}(X)\neq\varnothing</w:t>
      </w:r>
    </w:p>
    <w:p w:rsidR="00980458" w:rsidRDefault="00E50336" w:rsidP="00980458">
      <w:r>
        <w:pict>
          <v:rect id="_x0000_i4619" style="width:0;height:1.5pt" o:hralign="center" o:hrstd="t" o:hr="t" fillcolor="#a0a0a0" stroked="f"/>
        </w:pict>
      </w:r>
    </w:p>
    <w:p w:rsidR="00980458" w:rsidRDefault="00980458" w:rsidP="00980458">
      <w:pPr>
        <w:pStyle w:val="berschrift1"/>
      </w:pPr>
      <w:r>
        <w:t>3.3.49.87 Definition 3.3.399 – Funktional endogenes Theorieobjekt</w:t>
      </w:r>
    </w:p>
    <w:p w:rsidR="00980458" w:rsidRDefault="00980458" w:rsidP="00980458">
      <w:pPr>
        <w:pStyle w:val="berschrift3"/>
      </w:pPr>
      <w:r>
        <w:t>Definition 3.3.399</w:t>
      </w:r>
    </w:p>
    <w:p w:rsidR="00980458" w:rsidRDefault="00980458" w:rsidP="00980458">
      <w:pPr>
        <w:pStyle w:val="StandardWeb"/>
      </w:pPr>
      <w:r>
        <w:t xml:space="preserve">Ein Theorieobjekt (X) heißt </w:t>
      </w:r>
      <w:r>
        <w:rPr>
          <w:rStyle w:val="Fett"/>
        </w:rPr>
        <w:t>funktional endogen</w:t>
      </w:r>
      <w:r>
        <w:t>, wenn</w:t>
      </w:r>
    </w:p>
    <w:p w:rsidR="00980458" w:rsidRDefault="00980458" w:rsidP="00980458">
      <w:pPr>
        <w:pStyle w:val="StandardWeb"/>
      </w:pPr>
      <w:r>
        <w:t>[</w:t>
      </w:r>
      <w:r>
        <w:br/>
        <w:t>\boxed{</w:t>
      </w:r>
      <w:r>
        <w:br/>
        <w:t>\operatorname{Pa}_{\mathcal I}^{(\mathfrak M)}(X)</w:t>
      </w:r>
      <w:r>
        <w:br/>
        <w:t>\neq</w:t>
      </w:r>
      <w:r>
        <w:br/>
        <w:t>\varnothing.</w:t>
      </w:r>
      <w:r>
        <w:br/>
        <w:t>}</w:t>
      </w:r>
      <w:r>
        <w:br/>
        <w:t>\tag{3.12608}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\boxed{\operatorname{Pa}_{\mathcal I}^{(\mathfrak M)}(X)\neq\varnothing.}</w:t>
      </w:r>
    </w:p>
    <w:p w:rsidR="00980458" w:rsidRDefault="00E50336" w:rsidP="00980458">
      <w:r>
        <w:pict>
          <v:rect id="_x0000_i4620" style="width:0;height:1.5pt" o:hralign="center" o:hrstd="t" o:hr="t" fillcolor="#a0a0a0" stroked="f"/>
        </w:pict>
      </w:r>
    </w:p>
    <w:p w:rsidR="00980458" w:rsidRDefault="00980458" w:rsidP="00980458">
      <w:pPr>
        <w:pStyle w:val="berschrift1"/>
      </w:pPr>
      <w:r>
        <w:t>3.3.49.88 Exogenität ist relativ</w:t>
      </w:r>
    </w:p>
    <w:p w:rsidR="00980458" w:rsidRDefault="00980458" w:rsidP="00980458">
      <w:pPr>
        <w:pStyle w:val="StandardWeb"/>
      </w:pPr>
      <w:r>
        <w:lastRenderedPageBreak/>
        <w:t>Aus funktionaler Exogenität folgt nicht</w:t>
      </w:r>
    </w:p>
    <w:p w:rsidR="00980458" w:rsidRDefault="00980458" w:rsidP="00980458">
      <w:pPr>
        <w:pStyle w:val="StandardWeb"/>
      </w:pPr>
      <w:r>
        <w:t>[</w:t>
      </w:r>
      <w:r>
        <w:br/>
        <w:t>\boxed{</w:t>
      </w:r>
      <w:r>
        <w:br/>
        <w:t>\text{Exogenität}</w:t>
      </w:r>
      <w:r>
        <w:br/>
        <w:t>\Rightarrow</w:t>
      </w:r>
      <w:r>
        <w:br/>
        <w:t>\text{absolute Ursachenfreiheit}.</w:t>
      </w:r>
      <w:r>
        <w:br/>
        <w:t>}</w:t>
      </w:r>
      <w:r>
        <w:br/>
        <w:t>\tag{3.12609}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\boxed{\text{Exogenität}\Rightarrow\text{absolute Ursachenfreiheit}.}</w:t>
      </w:r>
    </w:p>
    <w:p w:rsidR="00980458" w:rsidRDefault="00980458" w:rsidP="00980458">
      <w:pPr>
        <w:pStyle w:val="StandardWeb"/>
      </w:pPr>
      <w:r>
        <w:t>Vielmehr bedeutet Exogenität lediglich, dass Ursachen oder Einflussquellen innerhalb der gewählten Modellgrenze nicht weiter aufgelöst werden.</w:t>
      </w:r>
    </w:p>
    <w:p w:rsidR="00980458" w:rsidRDefault="00E50336" w:rsidP="00980458">
      <w:r>
        <w:pict>
          <v:rect id="_x0000_i4621" style="width:0;height:1.5pt" o:hralign="center" o:hrstd="t" o:hr="t" fillcolor="#a0a0a0" stroked="f"/>
        </w:pict>
      </w:r>
    </w:p>
    <w:p w:rsidR="00980458" w:rsidRDefault="00980458" w:rsidP="00980458">
      <w:pPr>
        <w:pStyle w:val="berschrift1"/>
      </w:pPr>
      <w:r>
        <w:t>3.3.49.89 Einfluss und Intervention</w:t>
      </w:r>
    </w:p>
    <w:p w:rsidR="00980458" w:rsidRDefault="00980458" w:rsidP="00980458">
      <w:pPr>
        <w:pStyle w:val="StandardWeb"/>
      </w:pPr>
      <w:r>
        <w:t xml:space="preserve">Eine kausale Interpretation würde typischerweise mehr verlangen als bloße Beobachtung einer Abhängigkeit. Im FRZK trenne ich deshalb zunächst eine </w:t>
      </w:r>
      <w:r>
        <w:rPr>
          <w:rStyle w:val="Fett"/>
        </w:rPr>
        <w:t>Interventionsoperation</w:t>
      </w:r>
      <w:r>
        <w:t xml:space="preserve"> von der normalen Zustandsentwicklung.</w:t>
      </w:r>
    </w:p>
    <w:p w:rsidR="00980458" w:rsidRDefault="00980458" w:rsidP="00980458">
      <w:pPr>
        <w:pStyle w:val="StandardWeb"/>
      </w:pPr>
      <w:r>
        <w:t>Ich schreibe formal</w:t>
      </w:r>
    </w:p>
    <w:p w:rsidR="00980458" w:rsidRDefault="00980458" w:rsidP="00980458">
      <w:pPr>
        <w:pStyle w:val="StandardWeb"/>
      </w:pPr>
      <w:r>
        <w:t>[</w:t>
      </w:r>
      <w:r>
        <w:br/>
        <w:t>\operatorname{do}_F</w:t>
      </w:r>
      <w:r>
        <w:br/>
        <w:t>(X=x).</w:t>
      </w:r>
      <w:r>
        <w:br/>
        <w:t>\tag{3.12610}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\operatorname{do}_F(X=x)</w:t>
      </w:r>
    </w:p>
    <w:p w:rsidR="00980458" w:rsidRDefault="00E50336" w:rsidP="00980458">
      <w:r>
        <w:pict>
          <v:rect id="_x0000_i4622" style="width:0;height:1.5pt" o:hralign="center" o:hrstd="t" o:hr="t" fillcolor="#a0a0a0" stroked="f"/>
        </w:pict>
      </w:r>
    </w:p>
    <w:p w:rsidR="00980458" w:rsidRDefault="00980458" w:rsidP="00980458">
      <w:pPr>
        <w:pStyle w:val="berschrift1"/>
      </w:pPr>
      <w:r>
        <w:t>3.3.49.90 Definition 3.3.400 – Funktionale Intervention</w:t>
      </w:r>
    </w:p>
    <w:p w:rsidR="00980458" w:rsidRDefault="00980458" w:rsidP="00980458">
      <w:pPr>
        <w:pStyle w:val="berschrift3"/>
      </w:pPr>
      <w:r>
        <w:t>Definition 3.3.400</w:t>
      </w:r>
    </w:p>
    <w:p w:rsidR="00980458" w:rsidRDefault="00980458" w:rsidP="00980458">
      <w:pPr>
        <w:pStyle w:val="StandardWeb"/>
      </w:pPr>
      <w:r>
        <w:t xml:space="preserve">Eine </w:t>
      </w:r>
      <w:r>
        <w:rPr>
          <w:rStyle w:val="Fett"/>
        </w:rPr>
        <w:t>funktionale Intervention</w:t>
      </w:r>
      <w:r>
        <w:t xml:space="preserve"> ist eine modellabhängig definierte Operation</w:t>
      </w:r>
    </w:p>
    <w:p w:rsidR="00980458" w:rsidRDefault="00980458" w:rsidP="00980458">
      <w:pPr>
        <w:pStyle w:val="StandardWeb"/>
      </w:pPr>
      <w:r>
        <w:t>[</w:t>
      </w:r>
      <w:r>
        <w:br/>
        <w:t>\boxed{</w:t>
      </w:r>
      <w:r>
        <w:br/>
        <w:t>\operatorname{do}_F(X=x)</w:t>
      </w:r>
      <w:r>
        <w:br/>
        <w:t>}</w:t>
      </w:r>
      <w:r>
        <w:br/>
      </w:r>
      <w:r>
        <w:lastRenderedPageBreak/>
        <w:t>\tag{3.12611}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\boxed{\operatorname{do}_F(X=x)}</w:t>
      </w:r>
    </w:p>
    <w:p w:rsidR="00980458" w:rsidRDefault="00980458" w:rsidP="00980458">
      <w:pPr>
        <w:pStyle w:val="StandardWeb"/>
      </w:pPr>
      <w:r>
        <w:t>durch die der funktionale Wert oder Zustand eines ausgewählten Theorieobjekts gemäß einer expliziten Interventionsregel festgesetzt oder verändert wird.</w:t>
      </w:r>
    </w:p>
    <w:p w:rsidR="00980458" w:rsidRDefault="00980458" w:rsidP="00980458">
      <w:pPr>
        <w:pStyle w:val="StandardWeb"/>
      </w:pPr>
      <w:r>
        <w:t>Die Definition enthält noch keine empirische oder physikalische Kausalitätsbehauptung.</w:t>
      </w:r>
    </w:p>
    <w:p w:rsidR="00980458" w:rsidRDefault="00E50336" w:rsidP="00980458">
      <w:r>
        <w:pict>
          <v:rect id="_x0000_i4623" style="width:0;height:1.5pt" o:hralign="center" o:hrstd="t" o:hr="t" fillcolor="#a0a0a0" stroked="f"/>
        </w:pict>
      </w:r>
    </w:p>
    <w:p w:rsidR="00980458" w:rsidRDefault="00980458" w:rsidP="00980458">
      <w:pPr>
        <w:pStyle w:val="berschrift1"/>
      </w:pPr>
      <w:r>
        <w:t>3.3.49.91 Interventionszustand</w:t>
      </w:r>
    </w:p>
    <w:p w:rsidR="00980458" w:rsidRDefault="00980458" w:rsidP="00980458">
      <w:pPr>
        <w:pStyle w:val="StandardWeb"/>
      </w:pPr>
      <w:r>
        <w:t>Nach einer Intervention kann ein modifizierter Zustand</w:t>
      </w:r>
    </w:p>
    <w:p w:rsidR="00980458" w:rsidRDefault="00980458" w:rsidP="00980458">
      <w:pPr>
        <w:pStyle w:val="StandardWeb"/>
      </w:pPr>
      <w:r>
        <w:t>[</w:t>
      </w:r>
      <w:r>
        <w:br/>
        <w:t>z^{\operatorname{do}(X=x)}</w:t>
      </w:r>
      <w:r>
        <w:br/>
        <w:t>\tag{3.12612}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z^{\operatorname{do}(X=x)}</w:t>
      </w:r>
    </w:p>
    <w:p w:rsidR="00980458" w:rsidRDefault="00980458" w:rsidP="00980458">
      <w:pPr>
        <w:pStyle w:val="StandardWeb"/>
      </w:pPr>
      <w:r>
        <w:t>definiert werden.</w:t>
      </w:r>
    </w:p>
    <w:p w:rsidR="00980458" w:rsidRDefault="00E50336" w:rsidP="00980458">
      <w:r>
        <w:pict>
          <v:rect id="_x0000_i4624" style="width:0;height:1.5pt" o:hralign="center" o:hrstd="t" o:hr="t" fillcolor="#a0a0a0" stroked="f"/>
        </w:pict>
      </w:r>
    </w:p>
    <w:p w:rsidR="00980458" w:rsidRDefault="00980458" w:rsidP="00980458">
      <w:pPr>
        <w:pStyle w:val="berschrift1"/>
      </w:pPr>
      <w:r>
        <w:t>3.3.49.92 Interventionsantwort</w:t>
      </w:r>
    </w:p>
    <w:p w:rsidR="00980458" w:rsidRDefault="00980458" w:rsidP="00980458">
      <w:pPr>
        <w:pStyle w:val="StandardWeb"/>
      </w:pPr>
      <w:r>
        <w:t>Für eine Zielgröße (Y_F) kann anschließend</w:t>
      </w:r>
    </w:p>
    <w:p w:rsidR="00980458" w:rsidRDefault="00980458" w:rsidP="00980458">
      <w:pPr>
        <w:pStyle w:val="StandardWeb"/>
      </w:pPr>
      <w:r>
        <w:t>[</w:t>
      </w:r>
      <w:r>
        <w:br/>
        <w:t>Y_F</w:t>
      </w:r>
      <w:r>
        <w:br/>
        <w:t>\left(</w:t>
      </w:r>
      <w:r>
        <w:br/>
        <w:t>z^{\operatorname{do}(X=x)}</w:t>
      </w:r>
      <w:r>
        <w:br/>
        <w:t>\right)</w:t>
      </w:r>
      <w:r>
        <w:br/>
        <w:t>\tag{3.12613}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Y_F\left(z^{\operatorname{do}(X=x)}\right)</w:t>
      </w:r>
    </w:p>
    <w:p w:rsidR="00980458" w:rsidRDefault="00980458" w:rsidP="00980458">
      <w:pPr>
        <w:pStyle w:val="StandardWeb"/>
      </w:pPr>
      <w:r>
        <w:t>ausgewertet werden.</w:t>
      </w:r>
    </w:p>
    <w:p w:rsidR="00980458" w:rsidRDefault="00E50336" w:rsidP="00980458">
      <w:r>
        <w:pict>
          <v:rect id="_x0000_i4625" style="width:0;height:1.5pt" o:hralign="center" o:hrstd="t" o:hr="t" fillcolor="#a0a0a0" stroked="f"/>
        </w:pict>
      </w:r>
    </w:p>
    <w:p w:rsidR="00980458" w:rsidRDefault="00980458" w:rsidP="00980458">
      <w:pPr>
        <w:pStyle w:val="berschrift1"/>
      </w:pPr>
      <w:r>
        <w:lastRenderedPageBreak/>
        <w:t>3.3.49.93 Definition 3.3.401 – Funktionale Interventionsantwort</w:t>
      </w:r>
    </w:p>
    <w:p w:rsidR="00980458" w:rsidRDefault="00980458" w:rsidP="00980458">
      <w:pPr>
        <w:pStyle w:val="berschrift3"/>
      </w:pPr>
      <w:r>
        <w:t>Definition 3.3.401</w:t>
      </w:r>
    </w:p>
    <w:p w:rsidR="00980458" w:rsidRDefault="00980458" w:rsidP="00980458">
      <w:pPr>
        <w:pStyle w:val="StandardWeb"/>
      </w:pPr>
      <w:r>
        <w:t xml:space="preserve">Die </w:t>
      </w:r>
      <w:r>
        <w:rPr>
          <w:rStyle w:val="Fett"/>
        </w:rPr>
        <w:t>funktionale Interventionsantwort</w:t>
      </w:r>
      <w:r>
        <w:t xml:space="preserve"> einer Zielgröße (Y_F) bezüglich (\operatorname{do}_F(X=x)) ist</w:t>
      </w:r>
    </w:p>
    <w:p w:rsidR="00980458" w:rsidRDefault="00980458" w:rsidP="00980458">
      <w:pPr>
        <w:pStyle w:val="StandardWeb"/>
      </w:pPr>
      <w:r>
        <w:t>[</w:t>
      </w:r>
      <w:r>
        <w:br/>
        <w:t>\boxed{</w:t>
      </w:r>
      <w:r>
        <w:br/>
        <w:t>Y_F^{\operatorname{do}(X=x)}</w:t>
      </w:r>
      <w:r>
        <w:br/>
        <w:t>:=</w:t>
      </w:r>
      <w:r>
        <w:br/>
        <w:t>Y_F</w:t>
      </w:r>
      <w:r>
        <w:br/>
        <w:t>\left(</w:t>
      </w:r>
      <w:r>
        <w:br/>
        <w:t>z^{\operatorname{do}(X=x)}</w:t>
      </w:r>
      <w:r>
        <w:br/>
        <w:t>\right).</w:t>
      </w:r>
      <w:r>
        <w:br/>
        <w:t>}</w:t>
      </w:r>
      <w:r>
        <w:br/>
        <w:t>\tag{3.12614}</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\boxed{Y_F^{\operatorname{do}(X=x)}:=Y_F\left(z^{\operatorname{do}(X=x)}\right).}</w:t>
      </w:r>
    </w:p>
    <w:p w:rsidR="00980458" w:rsidRDefault="00E50336" w:rsidP="00980458">
      <w:r>
        <w:pict>
          <v:rect id="_x0000_i4626" style="width:0;height:1.5pt" o:hralign="center" o:hrstd="t" o:hr="t" fillcolor="#a0a0a0" stroked="f"/>
        </w:pict>
      </w:r>
    </w:p>
    <w:p w:rsidR="00980458" w:rsidRDefault="00980458" w:rsidP="00980458">
      <w:pPr>
        <w:pStyle w:val="berschrift1"/>
      </w:pPr>
      <w:r>
        <w:t>3.3.49.94 Funktionaler Interventionseffekt</w:t>
      </w:r>
    </w:p>
    <w:p w:rsidR="00980458" w:rsidRDefault="00980458" w:rsidP="00980458">
      <w:pPr>
        <w:pStyle w:val="StandardWeb"/>
      </w:pPr>
      <w:r>
        <w:t>Ein einfacher Differenzeffekt kann definiert werden durch</w:t>
      </w:r>
    </w:p>
    <w:p w:rsidR="00980458" w:rsidRDefault="00980458" w:rsidP="00980458">
      <w:pPr>
        <w:pStyle w:val="berschrift1"/>
      </w:pPr>
      <w:r>
        <w:t>[</w:t>
      </w:r>
      <w:r>
        <w:br/>
        <w:t>\Delta_{\operatorname{do}}Y_F</w:t>
      </w:r>
    </w:p>
    <w:p w:rsidR="00980458" w:rsidRDefault="00980458" w:rsidP="00980458">
      <w:pPr>
        <w:pStyle w:val="berschrift2"/>
      </w:pPr>
      <w:r>
        <w:t>Y_F^{\operatorname{do}(X=x_1)}</w:t>
      </w:r>
    </w:p>
    <w:p w:rsidR="00980458" w:rsidRDefault="00980458" w:rsidP="00980458">
      <w:pPr>
        <w:pStyle w:val="StandardWeb"/>
      </w:pPr>
      <w:r>
        <w:t>Y_F^{\operatorname{do}(X=x_0)}.</w:t>
      </w:r>
      <w:r>
        <w:br/>
        <w:t>\tag{3.12615}</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\Delta_{\operatorname{do}}Y_F=Y_F^{\operatorname{do}(X=x_1)}-Y_F^{\operatorname{do}(X=x_0)}</w:t>
      </w:r>
    </w:p>
    <w:p w:rsidR="00980458" w:rsidRDefault="00E50336" w:rsidP="00980458">
      <w:r>
        <w:pict>
          <v:rect id="_x0000_i4627" style="width:0;height:1.5pt" o:hralign="center" o:hrstd="t" o:hr="t" fillcolor="#a0a0a0" stroked="f"/>
        </w:pict>
      </w:r>
    </w:p>
    <w:p w:rsidR="00980458" w:rsidRDefault="00980458" w:rsidP="00980458">
      <w:pPr>
        <w:pStyle w:val="berschrift1"/>
      </w:pPr>
      <w:r>
        <w:t>3.3.49.95 Definition 3.3.402 – Funktionaler Interventionseffekt</w:t>
      </w:r>
    </w:p>
    <w:p w:rsidR="00980458" w:rsidRDefault="00980458" w:rsidP="00980458">
      <w:pPr>
        <w:pStyle w:val="berschrift3"/>
      </w:pPr>
      <w:r>
        <w:lastRenderedPageBreak/>
        <w:t>Definition 3.3.402</w:t>
      </w:r>
    </w:p>
    <w:p w:rsidR="00980458" w:rsidRDefault="00980458" w:rsidP="00980458">
      <w:pPr>
        <w:pStyle w:val="StandardWeb"/>
      </w:pPr>
      <w:r>
        <w:t xml:space="preserve">Für zwei Interventionen (x_0) und (x_1) definiere ich den </w:t>
      </w:r>
      <w:r>
        <w:rPr>
          <w:rStyle w:val="Fett"/>
        </w:rPr>
        <w:t>funktionalen Interventionseffekt</w:t>
      </w:r>
    </w:p>
    <w:p w:rsidR="00980458" w:rsidRDefault="00980458" w:rsidP="00980458">
      <w:pPr>
        <w:pStyle w:val="berschrift2"/>
      </w:pPr>
      <w:r>
        <w:t>[</w:t>
      </w:r>
      <w:r>
        <w:br/>
        <w:t>\boxed{</w:t>
      </w:r>
      <w:r>
        <w:br/>
        <w:t>\Delta_{\operatorname{do}}Y_F</w:t>
      </w:r>
      <w:r>
        <w:br/>
        <w:t>:=</w:t>
      </w:r>
      <w:r>
        <w:br/>
        <w:t>Y_F^{\operatorname{do}(X=x_1)}</w:t>
      </w:r>
    </w:p>
    <w:p w:rsidR="00980458" w:rsidRDefault="00980458" w:rsidP="00980458">
      <w:pPr>
        <w:pStyle w:val="StandardWeb"/>
      </w:pPr>
      <w:r>
        <w:t>Y_F^{\operatorname{do}(X=x_0)}.</w:t>
      </w:r>
      <w:r>
        <w:br/>
        <w:t>}</w:t>
      </w:r>
      <w:r>
        <w:br/>
        <w:t>\tag{3.12616}</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\boxed{\Delta_{\operatorname{do}}Y_F:=Y_F^{\operatorname{do}(X=x_1)}-Y_F^{\operatorname{do}(X=x_0)}.}</w:t>
      </w:r>
    </w:p>
    <w:p w:rsidR="00980458" w:rsidRDefault="00980458" w:rsidP="00980458">
      <w:pPr>
        <w:pStyle w:val="StandardWeb"/>
      </w:pPr>
      <w:r>
        <w:t>Die Differenz muss für den jeweiligen Wertebereich sinnvoll definiert sein.</w:t>
      </w:r>
    </w:p>
    <w:p w:rsidR="00980458" w:rsidRDefault="00E50336" w:rsidP="00980458">
      <w:r>
        <w:pict>
          <v:rect id="_x0000_i4628" style="width:0;height:1.5pt" o:hralign="center" o:hrstd="t" o:hr="t" fillcolor="#a0a0a0" stroked="f"/>
        </w:pict>
      </w:r>
    </w:p>
    <w:p w:rsidR="00980458" w:rsidRDefault="00980458" w:rsidP="00980458">
      <w:pPr>
        <w:pStyle w:val="berschrift1"/>
      </w:pPr>
      <w:r>
        <w:t>3.3.49.96 Nullinterventionseffekt</w:t>
      </w:r>
    </w:p>
    <w:p w:rsidR="00980458" w:rsidRDefault="00980458" w:rsidP="00980458">
      <w:pPr>
        <w:pStyle w:val="StandardWeb"/>
      </w:pPr>
      <w:r>
        <w:t>Es kann</w:t>
      </w:r>
    </w:p>
    <w:p w:rsidR="00980458" w:rsidRDefault="00980458" w:rsidP="00980458">
      <w:pPr>
        <w:pStyle w:val="berschrift1"/>
      </w:pPr>
      <w:r>
        <w:t>[</w:t>
      </w:r>
      <w:r>
        <w:br/>
        <w:t>\Delta_{\operatorname{do}}Y_F</w:t>
      </w:r>
    </w:p>
    <w:p w:rsidR="00980458" w:rsidRDefault="00980458" w:rsidP="00980458">
      <w:pPr>
        <w:pStyle w:val="StandardWeb"/>
      </w:pPr>
      <w:r>
        <w:t>0</w:t>
      </w:r>
      <w:r>
        <w:br/>
        <w:t>\tag{3.12617}</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\Delta_{\operatorname{do}}Y_F=0</w:t>
      </w:r>
    </w:p>
    <w:p w:rsidR="00980458" w:rsidRDefault="00980458" w:rsidP="00980458">
      <w:pPr>
        <w:pStyle w:val="StandardWeb"/>
      </w:pPr>
      <w:r>
        <w:t>gelten, obwohl im Einflussgraphen eine strukturelle Kante (X\rightsquigarrow Y) vorhanden ist.</w:t>
      </w:r>
    </w:p>
    <w:p w:rsidR="00980458" w:rsidRDefault="00E50336" w:rsidP="00980458">
      <w:r>
        <w:pict>
          <v:rect id="_x0000_i4629" style="width:0;height:1.5pt" o:hralign="center" o:hrstd="t" o:hr="t" fillcolor="#a0a0a0" stroked="f"/>
        </w:pict>
      </w:r>
    </w:p>
    <w:p w:rsidR="00980458" w:rsidRDefault="00980458" w:rsidP="00980458">
      <w:pPr>
        <w:pStyle w:val="berschrift1"/>
      </w:pPr>
      <w:r>
        <w:t>3.3.49.97 Zustandsabhängiger Interventionseffekt</w:t>
      </w:r>
    </w:p>
    <w:p w:rsidR="00980458" w:rsidRDefault="00980458" w:rsidP="00980458">
      <w:pPr>
        <w:pStyle w:val="StandardWeb"/>
      </w:pPr>
      <w:r>
        <w:lastRenderedPageBreak/>
        <w:t>Allgemeiner kann</w:t>
      </w:r>
    </w:p>
    <w:p w:rsidR="00980458" w:rsidRDefault="00980458" w:rsidP="00980458">
      <w:pPr>
        <w:pStyle w:val="berschrift1"/>
      </w:pPr>
      <w:r>
        <w:t>[</w:t>
      </w:r>
      <w:r>
        <w:br/>
        <w:t>\Delta_{\operatorname{do}}Y_F</w:t>
      </w:r>
    </w:p>
    <w:p w:rsidR="00980458" w:rsidRDefault="00980458" w:rsidP="00980458">
      <w:pPr>
        <w:pStyle w:val="StandardWeb"/>
      </w:pPr>
      <w:r>
        <w:t>\Delta_{\operatorname{do}}Y_F(z,c)</w:t>
      </w:r>
      <w:r>
        <w:br/>
        <w:t>\tag{3.12618}</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\Delta_{\operatorname{do}}Y_F=\Delta_{\operatorname{do}}Y_F(z,c)</w:t>
      </w:r>
    </w:p>
    <w:p w:rsidR="00980458" w:rsidRDefault="00980458" w:rsidP="00980458">
      <w:pPr>
        <w:pStyle w:val="StandardWeb"/>
      </w:pPr>
      <w:r>
        <w:t>zustands- oder kontextabhängig sein.</w:t>
      </w:r>
    </w:p>
    <w:p w:rsidR="00980458" w:rsidRDefault="00E50336" w:rsidP="00980458">
      <w:r>
        <w:pict>
          <v:rect id="_x0000_i4630" style="width:0;height:1.5pt" o:hralign="center" o:hrstd="t" o:hr="t" fillcolor="#a0a0a0" stroked="f"/>
        </w:pict>
      </w:r>
    </w:p>
    <w:p w:rsidR="00980458" w:rsidRDefault="00980458" w:rsidP="00980458">
      <w:pPr>
        <w:pStyle w:val="berschrift1"/>
      </w:pPr>
      <w:r>
        <w:t>3.3.49.98 Kausalitätskandidat</w:t>
      </w:r>
    </w:p>
    <w:p w:rsidR="00980458" w:rsidRDefault="00980458" w:rsidP="00980458">
      <w:pPr>
        <w:pStyle w:val="StandardWeb"/>
      </w:pPr>
      <w:r>
        <w:t>Eine stärkere Relation könnte nun verlangen, dass eine zulässige Intervention auf (X_F) unter geeigneten Bedingungen eine Änderung in (Y_F) erzeugt.</w:t>
      </w:r>
    </w:p>
    <w:p w:rsidR="00980458" w:rsidRDefault="00980458" w:rsidP="00980458">
      <w:pPr>
        <w:pStyle w:val="StandardWeb"/>
      </w:pPr>
      <w:r>
        <w:t>Ich schreibe vorläufig</w:t>
      </w:r>
    </w:p>
    <w:p w:rsidR="00980458" w:rsidRDefault="00980458" w:rsidP="00980458">
      <w:pPr>
        <w:pStyle w:val="StandardWeb"/>
      </w:pPr>
      <w:r>
        <w:t>[</w:t>
      </w:r>
      <w:r>
        <w:br/>
        <w:t>X_F</w:t>
      </w:r>
      <w:r>
        <w:br/>
        <w:t>\overset{\mathrm{caus?}}{\longrightarrow}</w:t>
      </w:r>
      <w:r>
        <w:br/>
        <w:t>Y_F.</w:t>
      </w:r>
      <w:r>
        <w:br/>
        <w:t>\tag{3.12619}</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X_F\overset{\mathrm{caus?}}{\longrightarrow}Y_F</w:t>
      </w:r>
    </w:p>
    <w:p w:rsidR="00980458" w:rsidRDefault="00980458" w:rsidP="00980458">
      <w:pPr>
        <w:pStyle w:val="StandardWeb"/>
      </w:pPr>
      <w:r>
        <w:t>Das Fragezeichen ist bewusst gewählt: Die bisher entwickelten Strukturen reichen noch nicht für eine endgültige Kausalitätsdefinition.</w:t>
      </w:r>
    </w:p>
    <w:p w:rsidR="00980458" w:rsidRDefault="00E50336" w:rsidP="00980458">
      <w:r>
        <w:pict>
          <v:rect id="_x0000_i4631" style="width:0;height:1.5pt" o:hralign="center" o:hrstd="t" o:hr="t" fillcolor="#a0a0a0" stroked="f"/>
        </w:pict>
      </w:r>
    </w:p>
    <w:p w:rsidR="00980458" w:rsidRDefault="00980458" w:rsidP="00980458">
      <w:pPr>
        <w:pStyle w:val="berschrift1"/>
      </w:pPr>
      <w:r>
        <w:t>3.3.49.99 Notwendige zusätzliche Strukturen</w:t>
      </w:r>
    </w:p>
    <w:p w:rsidR="00980458" w:rsidRDefault="00980458" w:rsidP="00980458">
      <w:pPr>
        <w:pStyle w:val="StandardWeb"/>
      </w:pPr>
      <w:r>
        <w:t>Für eine belastbare funktionale Kausalitätsrelation muss ich mindestens festlegen:</w:t>
      </w:r>
    </w:p>
    <w:p w:rsidR="00980458" w:rsidRDefault="00980458" w:rsidP="00980458">
      <w:pPr>
        <w:pStyle w:val="StandardWeb"/>
      </w:pPr>
      <w:r>
        <w:t>[</w:t>
      </w:r>
      <w:r>
        <w:br/>
        <w:t>\text{Interventionsregel},</w:t>
      </w:r>
      <w:r>
        <w:br/>
        <w:t>\qquad</w:t>
      </w:r>
      <w:r>
        <w:br/>
        <w:t>\text{Vergleichszustand},</w:t>
      </w:r>
      <w:r>
        <w:br/>
        <w:t>\qquad</w:t>
      </w:r>
      <w:r>
        <w:br/>
      </w:r>
      <w:r>
        <w:lastRenderedPageBreak/>
        <w:t>\text{Zulässigkeitsdomäne},</w:t>
      </w:r>
      <w:r>
        <w:br/>
        <w:t>\qquad</w:t>
      </w:r>
      <w:r>
        <w:br/>
        <w:t>\text{Kontext},</w:t>
      </w:r>
      <w:r>
        <w:br/>
        <w:t>\tag{3.12620}</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\text{Interventionsregel},\qquad\text{Vergleichszustand},\qquad\text{Zulässigkeitsdomäne},\qquad\text{Kontext}</w:t>
      </w:r>
    </w:p>
    <w:p w:rsidR="00980458" w:rsidRDefault="00980458" w:rsidP="00980458">
      <w:pPr>
        <w:pStyle w:val="StandardWeb"/>
      </w:pPr>
      <w:r>
        <w:t>sowie gegebenenfalls</w:t>
      </w:r>
    </w:p>
    <w:p w:rsidR="00980458" w:rsidRDefault="00980458" w:rsidP="00980458">
      <w:pPr>
        <w:pStyle w:val="StandardWeb"/>
      </w:pPr>
      <w:r>
        <w:t>[</w:t>
      </w:r>
      <w:r>
        <w:br/>
        <w:t>\text{Zeitordnung},</w:t>
      </w:r>
      <w:r>
        <w:br/>
        <w:t>\qquad</w:t>
      </w:r>
      <w:r>
        <w:br/>
        <w:t>\text{Störgrößen},</w:t>
      </w:r>
      <w:r>
        <w:br/>
        <w:t>\qquad</w:t>
      </w:r>
      <w:r>
        <w:br/>
        <w:t>\text{Beobachtungsabbildung}.</w:t>
      </w:r>
      <w:r>
        <w:br/>
        <w:t>\tag{3.12621}</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\text{Zeitordnung},\qquad\text{Störgrößen},\qquad\text{Beobachtungsabbildung}</w:t>
      </w:r>
    </w:p>
    <w:p w:rsidR="00980458" w:rsidRDefault="00E50336" w:rsidP="00980458">
      <w:r>
        <w:pict>
          <v:rect id="_x0000_i4632" style="width:0;height:1.5pt" o:hralign="center" o:hrstd="t" o:hr="t" fillcolor="#a0a0a0" stroked="f"/>
        </w:pict>
      </w:r>
    </w:p>
    <w:p w:rsidR="00980458" w:rsidRDefault="00980458" w:rsidP="00980458">
      <w:pPr>
        <w:pStyle w:val="berschrift1"/>
      </w:pPr>
      <w:r>
        <w:t>3.3.49.100 Noch keine Primäraxiomentscheidung zur Kausalität</w:t>
      </w:r>
    </w:p>
    <w:p w:rsidR="00980458" w:rsidRDefault="00980458" w:rsidP="00980458">
      <w:pPr>
        <w:pStyle w:val="StandardWeb"/>
      </w:pPr>
      <w:r>
        <w:t>Bis zu diesem Punkt habe ich lediglich die mathematische Infrastruktur für gerichtete Einfluss-, Abhängigkeits- und Interventionsstrukturen geschaffen.</w:t>
      </w:r>
    </w:p>
    <w:p w:rsidR="00980458" w:rsidRDefault="00980458" w:rsidP="00980458">
      <w:pPr>
        <w:pStyle w:val="StandardWeb"/>
      </w:pPr>
      <w:r>
        <w:t>Die bisherige Zwischenstruktur lautet</w:t>
      </w:r>
    </w:p>
    <w:p w:rsidR="00980458" w:rsidRDefault="00980458" w:rsidP="00980458">
      <w:pPr>
        <w:pStyle w:val="berschrift1"/>
      </w:pPr>
      <w:r>
        <w:t>[</w:t>
      </w:r>
      <w:r>
        <w:br/>
        <w:t>\mathfrak E_{\mathrm{inf}}^{(1)}</w:t>
      </w:r>
    </w:p>
    <w:p w:rsidR="00980458" w:rsidRDefault="00980458" w:rsidP="00980458">
      <w:pPr>
        <w:pStyle w:val="StandardWeb"/>
      </w:pPr>
      <w:r>
        <w:t>\left(</w:t>
      </w:r>
      <w:r>
        <w:br/>
        <w:t>\mathcal I_F,</w:t>
      </w:r>
      <w:r>
        <w:br/>
        <w:t>\mathcal G_{\mathcal I},</w:t>
      </w:r>
      <w:r>
        <w:br/>
        <w:t>F_{YX},</w:t>
      </w:r>
      <w:r>
        <w:br/>
        <w:t>W_{\mathcal I},</w:t>
      </w:r>
      <w:r>
        <w:br/>
        <w:t>A_{\mathcal I},</w:t>
      </w:r>
      <w:r>
        <w:br/>
        <w:t>a_{\mathcal I},</w:t>
      </w:r>
      <w:r>
        <w:br/>
        <w:t>\operatorname{Anc}</w:t>
      </w:r>
      <w:r>
        <w:rPr>
          <w:rStyle w:val="Hervorhebung"/>
        </w:rPr>
        <w:t>{\mathcal I},</w:t>
      </w:r>
      <w:r>
        <w:rPr>
          <w:i/>
          <w:iCs/>
        </w:rPr>
        <w:br/>
      </w:r>
      <w:r>
        <w:rPr>
          <w:rStyle w:val="Hervorhebung"/>
        </w:rPr>
        <w:t>\operatorname{Desc}</w:t>
      </w:r>
      <w:r>
        <w:t>{\mathcal I},</w:t>
      </w:r>
      <w:r>
        <w:br/>
        <w:t>\operatorname{Pa}</w:t>
      </w:r>
      <w:r>
        <w:rPr>
          <w:rStyle w:val="Hervorhebung"/>
        </w:rPr>
        <w:t>{\mathcal I},</w:t>
      </w:r>
      <w:r>
        <w:rPr>
          <w:i/>
          <w:iCs/>
        </w:rPr>
        <w:br/>
      </w:r>
      <w:r>
        <w:rPr>
          <w:rStyle w:val="Hervorhebung"/>
        </w:rPr>
        <w:lastRenderedPageBreak/>
        <w:t>\operatorname{Ch}</w:t>
      </w:r>
      <w:r>
        <w:t>{\mathcal I},</w:t>
      </w:r>
      <w:r>
        <w:br/>
        <w:t>\operatorname{do}</w:t>
      </w:r>
      <w:r>
        <w:rPr>
          <w:rStyle w:val="Hervorhebung"/>
        </w:rPr>
        <w:t>F,</w:t>
      </w:r>
      <w:r>
        <w:rPr>
          <w:i/>
          <w:iCs/>
        </w:rPr>
        <w:br/>
      </w:r>
      <w:r>
        <w:rPr>
          <w:rStyle w:val="Hervorhebung"/>
        </w:rPr>
        <w:t>\Delta</w:t>
      </w:r>
      <w:r>
        <w:t>{\operatorname{do}}</w:t>
      </w:r>
      <w:r>
        <w:br/>
        <w:t>\right).</w:t>
      </w:r>
      <w:r>
        <w:br/>
        <w:t>\tag{3.12622}</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\mathfrak E_{\mathrm{inf}}^{(1)}=\left(\mathcal I_F,\mathcal G_{\mathcal I},F_{YX},W_{\mathcal I},A_{\mathcal I},a_{\mathcal I},\operatorname{Anc}_{\mathcal I},\operatorname{Desc}_{\mathcal I},\operatorname{Pa}_{\mathcal I},\operatorname{Ch}_{\mathcal I},\operatorname{do}_F,\Delta_{\operatorname{do}}\right)</w:t>
      </w:r>
    </w:p>
    <w:p w:rsidR="00980458" w:rsidRDefault="00980458" w:rsidP="00980458">
      <w:pPr>
        <w:pStyle w:val="StandardWeb"/>
      </w:pPr>
      <w:r>
        <w:t>Die bislang geprüften Primäraxiomkandidaten</w:t>
      </w:r>
    </w:p>
    <w:p w:rsidR="00980458" w:rsidRDefault="00980458" w:rsidP="00980458">
      <w:pPr>
        <w:pStyle w:val="StandardWeb"/>
      </w:pPr>
      <w:r>
        <w:t>[</w:t>
      </w:r>
      <w:r>
        <w:br/>
        <w:t>A_{\mathrm{acyc}}</w:t>
      </w:r>
      <w:r>
        <w:br/>
        <w:t>\qquad\text{und}\qquad</w:t>
      </w:r>
      <w:r>
        <w:br/>
        <w:t>A_{\rightarrow t}</w:t>
      </w:r>
      <w:r>
        <w:br/>
        <w:t>\tag{3.12623}</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A_{\mathrm{acyc}}\qquad\text{und}\qquad A_{\rightarrow t}</w:t>
      </w:r>
    </w:p>
    <w:p w:rsidR="00980458" w:rsidRDefault="00980458" w:rsidP="00980458">
      <w:pPr>
        <w:pStyle w:val="StandardWeb"/>
      </w:pPr>
      <w:r>
        <w:t>wurden beide verworfen:</w:t>
      </w:r>
    </w:p>
    <w:p w:rsidR="00980458" w:rsidRDefault="00980458" w:rsidP="00980458">
      <w:pPr>
        <w:pStyle w:val="berschrift1"/>
      </w:pPr>
      <w:r>
        <w:t>[</w:t>
      </w:r>
      <w:r>
        <w:br/>
        <w:t>\boxed{</w:t>
      </w:r>
      <w:r>
        <w:br/>
        <w:t>U_{\mathrm{Ax}}</w:t>
      </w:r>
      <w:r>
        <w:br/>
        <w:t>(A_{\mathrm{acyc}})</w:t>
      </w:r>
    </w:p>
    <w:p w:rsidR="00980458" w:rsidRDefault="00980458" w:rsidP="00980458">
      <w:pPr>
        <w:pStyle w:val="berschrift1"/>
      </w:pPr>
      <w:r>
        <w:t>U_{\mathrm{Ax}}</w:t>
      </w:r>
      <w:r>
        <w:br/>
        <w:t>(A_{\rightarrow t})</w:t>
      </w:r>
    </w:p>
    <w:p w:rsidR="00980458" w:rsidRDefault="00980458" w:rsidP="007B100B">
      <w:pPr>
        <w:numPr>
          <w:ilvl w:val="0"/>
          <w:numId w:val="567"/>
        </w:numPr>
        <w:spacing w:before="100" w:beforeAutospacing="1" w:after="100" w:afterAutospacing="1"/>
      </w:pPr>
    </w:p>
    <w:p w:rsidR="00980458" w:rsidRDefault="00980458" w:rsidP="00980458">
      <w:pPr>
        <w:pStyle w:val="StandardWeb"/>
      </w:pPr>
      <w:r>
        <w:t>}</w:t>
      </w:r>
      <w:r>
        <w:br/>
        <w:t>\tag{3.12624}</w:t>
      </w:r>
      <w:r>
        <w:br/>
        <w:t>]</w:t>
      </w:r>
    </w:p>
    <w:p w:rsidR="00980458" w:rsidRDefault="00980458" w:rsidP="00980458">
      <w:pPr>
        <w:pStyle w:val="StandardWeb"/>
      </w:pPr>
      <w:r>
        <w:rPr>
          <w:rStyle w:val="Fett"/>
        </w:rPr>
        <w:t>Word-LaTeX</w:t>
      </w:r>
    </w:p>
    <w:p w:rsidR="00980458" w:rsidRDefault="00980458" w:rsidP="00980458">
      <w:pPr>
        <w:pStyle w:val="HTMLVorformatiert"/>
        <w:rPr>
          <w:rStyle w:val="HTMLCode"/>
        </w:rPr>
      </w:pPr>
      <w:r>
        <w:rPr>
          <w:rStyle w:val="HTMLCode"/>
        </w:rPr>
        <w:t>\boxed{U_{\mathrm{Ax}}(A_{\mathrm{acyc}})=U_{\mathrm{Ax}}(A_{\rightarrow t})=0.}</w:t>
      </w:r>
    </w:p>
    <w:p w:rsidR="00980458" w:rsidRDefault="00980458" w:rsidP="00980458">
      <w:pPr>
        <w:pStyle w:val="StandardWeb"/>
      </w:pPr>
      <w:r>
        <w:lastRenderedPageBreak/>
        <w:t xml:space="preserve">Abschnitt </w:t>
      </w:r>
      <w:r>
        <w:rPr>
          <w:rStyle w:val="Fett"/>
        </w:rPr>
        <w:t>3.3.49 ist damit ausdrücklich noch nicht abgeschlossen</w:t>
      </w:r>
      <w:r>
        <w:t>. Im nächsten Block muss ich die funktionale Interventionsstruktur präzisieren, zwischen beobachteter Abhängigkeit und interventioneller Wirkung unterscheiden, Konfundierung beziehungsweise gemeinsame Einflussquellen formal erfassen und anschließend prüfen, ob überhaupt eine minimale funktionale Kausalitätsstruktur als Primäraxiom erforderlich ist.</w:t>
      </w:r>
    </w:p>
    <w:p w:rsidR="00980458" w:rsidRDefault="00980458" w:rsidP="00980458">
      <w:pPr>
        <w:pStyle w:val="StandardWeb"/>
      </w:pPr>
      <w:r>
        <w:t xml:space="preserve">Der nächste Teil beginnt bei </w:t>
      </w:r>
      <w:r>
        <w:rPr>
          <w:rStyle w:val="Fett"/>
        </w:rPr>
        <w:t>3.3.49.101 / Gleichung (3.12625)</w:t>
      </w:r>
      <w:r>
        <w:t>.</w:t>
      </w:r>
    </w:p>
    <w:p w:rsidR="00224F82" w:rsidRDefault="00224F82" w:rsidP="00224F82">
      <w:pPr>
        <w:pStyle w:val="berschrift1"/>
        <w:rPr>
          <w:rFonts w:cs="Times New Roman"/>
          <w:sz w:val="48"/>
          <w:szCs w:val="48"/>
        </w:rPr>
      </w:pPr>
      <w:r>
        <w:t>3.3.49.101 Beobachtete Abhängigkeit und interventionelle Wirkung</w:t>
      </w:r>
    </w:p>
    <w:p w:rsidR="00224F82" w:rsidRDefault="00224F82" w:rsidP="00224F82">
      <w:pPr>
        <w:pStyle w:val="StandardWeb"/>
      </w:pPr>
      <w:r>
        <w:t xml:space="preserve">Nach der Einführung gerichteter Einflussrelationen und funktionaler Interventionen unterscheide ich nun systematisch zwischen </w:t>
      </w:r>
      <w:r>
        <w:rPr>
          <w:rStyle w:val="Fett"/>
        </w:rPr>
        <w:t>beobachteter Abhängigkeit</w:t>
      </w:r>
      <w:r>
        <w:t xml:space="preserve"> und </w:t>
      </w:r>
      <w:r>
        <w:rPr>
          <w:rStyle w:val="Fett"/>
        </w:rPr>
        <w:t>interventioneller Wirkung</w:t>
      </w:r>
      <w:r>
        <w:t>. Diese Trennung ist für jede spätere Kausalitätsaussage unverzichtbar, weil eine beobachtete gemeinsame Variation zweier Größen noch nicht zeigt, dass eine gezielte Veränderung der einen Größe eine Veränderung der anderen erzeugt.</w:t>
      </w:r>
    </w:p>
    <w:p w:rsidR="00224F82" w:rsidRDefault="00224F82" w:rsidP="00224F82">
      <w:pPr>
        <w:pStyle w:val="StandardWeb"/>
      </w:pPr>
      <w:r>
        <w:t>Seien</w:t>
      </w:r>
    </w:p>
    <w:p w:rsidR="00224F82" w:rsidRDefault="00224F82" w:rsidP="00224F82">
      <w:pPr>
        <w:pStyle w:val="StandardWeb"/>
      </w:pPr>
      <w:r>
        <w:t>[</w:t>
      </w:r>
      <w:r>
        <w:br/>
        <w:t>X_F:\Omega_F\rightarrow\mathcal V_X</w:t>
      </w:r>
      <w:r>
        <w:br/>
        <w:t>\tag{3.12625}</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X_F:\Omega_F\rightarrow\mathcal V_X</w:t>
      </w:r>
    </w:p>
    <w:p w:rsidR="00224F82" w:rsidRDefault="00224F82" w:rsidP="00224F82">
      <w:pPr>
        <w:pStyle w:val="StandardWeb"/>
      </w:pPr>
      <w:r>
        <w:t>und</w:t>
      </w:r>
    </w:p>
    <w:p w:rsidR="00224F82" w:rsidRDefault="00224F82" w:rsidP="00224F82">
      <w:pPr>
        <w:pStyle w:val="StandardWeb"/>
      </w:pPr>
      <w:r>
        <w:t>[</w:t>
      </w:r>
      <w:r>
        <w:br/>
        <w:t>Y_F:\Omega_F\rightarrow\mathcal V_Y</w:t>
      </w:r>
      <w:r>
        <w:br/>
        <w:t>\tag{3.12626}</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Y_F:\Omega_F\rightarrow\mathcal V_Y</w:t>
      </w:r>
    </w:p>
    <w:p w:rsidR="00224F82" w:rsidRDefault="00224F82" w:rsidP="00224F82">
      <w:pPr>
        <w:pStyle w:val="StandardWeb"/>
      </w:pPr>
      <w:r>
        <w:t>zwei funktionale Größen.</w:t>
      </w:r>
    </w:p>
    <w:p w:rsidR="00224F82" w:rsidRDefault="00E50336" w:rsidP="00224F82">
      <w:r>
        <w:pict>
          <v:rect id="_x0000_i4633" style="width:0;height:1.5pt" o:hralign="center" o:hrstd="t" o:hr="t" fillcolor="#a0a0a0" stroked="f"/>
        </w:pict>
      </w:r>
    </w:p>
    <w:p w:rsidR="00224F82" w:rsidRDefault="00224F82" w:rsidP="00224F82">
      <w:pPr>
        <w:pStyle w:val="berschrift1"/>
      </w:pPr>
      <w:r>
        <w:t>3.3.49.102 Beobachtete Abhängigkeit</w:t>
      </w:r>
    </w:p>
    <w:p w:rsidR="00224F82" w:rsidRDefault="00224F82" w:rsidP="00224F82">
      <w:pPr>
        <w:pStyle w:val="StandardWeb"/>
      </w:pPr>
      <w:r>
        <w:t>Eine beobachtete Abhängigkeit liegt vor, wenn sich die Verteilung oder der Wert von (Y_F) unter verschiedenen beobachteten Werten von (X_F) unterscheidet.</w:t>
      </w:r>
    </w:p>
    <w:p w:rsidR="00224F82" w:rsidRDefault="00224F82" w:rsidP="00224F82">
      <w:pPr>
        <w:pStyle w:val="StandardWeb"/>
      </w:pPr>
      <w:r>
        <w:t>Formal schreibe ich zunächst</w:t>
      </w:r>
    </w:p>
    <w:p w:rsidR="00224F82" w:rsidRDefault="00224F82" w:rsidP="00224F82">
      <w:pPr>
        <w:pStyle w:val="StandardWeb"/>
      </w:pPr>
      <w:r>
        <w:lastRenderedPageBreak/>
        <w:t>[</w:t>
      </w:r>
      <w:r>
        <w:br/>
        <w:t>Y_F</w:t>
      </w:r>
      <w:r>
        <w:br/>
        <w:t>\not!\perp_{\mathrm{obs}}</w:t>
      </w:r>
      <w:r>
        <w:br/>
        <w:t>X_F.</w:t>
      </w:r>
      <w:r>
        <w:br/>
        <w:t>\tag{3.12627}</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Y_F\not\!\perp_{\mathrm{obs}}X_F</w:t>
      </w:r>
    </w:p>
    <w:p w:rsidR="00224F82" w:rsidRDefault="00E50336" w:rsidP="00224F82">
      <w:r>
        <w:pict>
          <v:rect id="_x0000_i4634" style="width:0;height:1.5pt" o:hralign="center" o:hrstd="t" o:hr="t" fillcolor="#a0a0a0" stroked="f"/>
        </w:pict>
      </w:r>
    </w:p>
    <w:p w:rsidR="00224F82" w:rsidRDefault="00224F82" w:rsidP="00224F82">
      <w:pPr>
        <w:pStyle w:val="berschrift1"/>
      </w:pPr>
      <w:r>
        <w:t>3.3.49.103 Definition 3.3.403 – Funktionale Beobachtungsabhängigkeit</w:t>
      </w:r>
    </w:p>
    <w:p w:rsidR="00224F82" w:rsidRDefault="00224F82" w:rsidP="00224F82">
      <w:pPr>
        <w:pStyle w:val="berschrift3"/>
      </w:pPr>
      <w:r>
        <w:t>Definition 3.3.403</w:t>
      </w:r>
    </w:p>
    <w:p w:rsidR="00224F82" w:rsidRDefault="00224F82" w:rsidP="00224F82">
      <w:pPr>
        <w:pStyle w:val="StandardWeb"/>
      </w:pPr>
      <w:r>
        <w:t xml:space="preserve">Zwei funktionale Größen (X_F) und (Y_F) heißen </w:t>
      </w:r>
      <w:r>
        <w:rPr>
          <w:rStyle w:val="Fett"/>
        </w:rPr>
        <w:t>beobachtungsabhängig</w:t>
      </w:r>
      <w:r>
        <w:t>, wenn innerhalb der gewählten Beobachtungsstruktur eine Abhängigkeit zwischen ihren beobachteten Werten vorliegt:</w:t>
      </w:r>
    </w:p>
    <w:p w:rsidR="00224F82" w:rsidRDefault="00224F82" w:rsidP="00224F82">
      <w:pPr>
        <w:pStyle w:val="StandardWeb"/>
      </w:pPr>
      <w:r>
        <w:t>[</w:t>
      </w:r>
      <w:r>
        <w:br/>
        <w:t>\boxed{</w:t>
      </w:r>
      <w:r>
        <w:br/>
        <w:t>X_F</w:t>
      </w:r>
      <w:r>
        <w:br/>
        <w:t>\not!\perp_{\mathrm{obs}}</w:t>
      </w:r>
      <w:r>
        <w:br/>
        <w:t>Y_F.</w:t>
      </w:r>
      <w:r>
        <w:br/>
        <w:t>}</w:t>
      </w:r>
      <w:r>
        <w:br/>
        <w:t>\tag{3.12628}</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\boxed{X_F\not\!\perp_{\mathrm{obs}}Y_F.}</w:t>
      </w:r>
    </w:p>
    <w:p w:rsidR="00224F82" w:rsidRDefault="00E50336" w:rsidP="00224F82">
      <w:r>
        <w:pict>
          <v:rect id="_x0000_i4635" style="width:0;height:1.5pt" o:hralign="center" o:hrstd="t" o:hr="t" fillcolor="#a0a0a0" stroked="f"/>
        </w:pict>
      </w:r>
    </w:p>
    <w:p w:rsidR="00224F82" w:rsidRDefault="00224F82" w:rsidP="00224F82">
      <w:pPr>
        <w:pStyle w:val="berschrift1"/>
      </w:pPr>
      <w:r>
        <w:t>3.3.49.104 Funktionale Beobachtungsunabhängigkeit</w:t>
      </w:r>
    </w:p>
    <w:p w:rsidR="00224F82" w:rsidRDefault="00224F82" w:rsidP="00224F82">
      <w:pPr>
        <w:pStyle w:val="StandardWeb"/>
      </w:pPr>
      <w:r>
        <w:t>Entsprechend bezeichne ich</w:t>
      </w:r>
    </w:p>
    <w:p w:rsidR="00224F82" w:rsidRDefault="00224F82" w:rsidP="00224F82">
      <w:pPr>
        <w:pStyle w:val="StandardWeb"/>
      </w:pPr>
      <w:r>
        <w:t>[</w:t>
      </w:r>
      <w:r>
        <w:br/>
        <w:t>X_F</w:t>
      </w:r>
      <w:r>
        <w:br/>
        <w:t>\perp_{\mathrm{obs}}</w:t>
      </w:r>
      <w:r>
        <w:br/>
        <w:t>Y_F</w:t>
      </w:r>
      <w:r>
        <w:br/>
        <w:t>\tag{3.12629}</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X_F\perp_{\mathrm{obs}}Y_F</w:t>
      </w:r>
    </w:p>
    <w:p w:rsidR="00224F82" w:rsidRDefault="00224F82" w:rsidP="00224F82">
      <w:pPr>
        <w:pStyle w:val="StandardWeb"/>
      </w:pPr>
      <w:r>
        <w:lastRenderedPageBreak/>
        <w:t>als funktionale Beobachtungsunabhängigkeit.</w:t>
      </w:r>
    </w:p>
    <w:p w:rsidR="00224F82" w:rsidRDefault="00E50336" w:rsidP="00224F82">
      <w:r>
        <w:pict>
          <v:rect id="_x0000_i4636" style="width:0;height:1.5pt" o:hralign="center" o:hrstd="t" o:hr="t" fillcolor="#a0a0a0" stroked="f"/>
        </w:pict>
      </w:r>
    </w:p>
    <w:p w:rsidR="00224F82" w:rsidRDefault="00224F82" w:rsidP="00224F82">
      <w:pPr>
        <w:pStyle w:val="berschrift1"/>
      </w:pPr>
      <w:r>
        <w:t>3.3.49.105 Interventionelle Abhängigkeit</w:t>
      </w:r>
    </w:p>
    <w:p w:rsidR="00224F82" w:rsidRDefault="00224F82" w:rsidP="00224F82">
      <w:pPr>
        <w:pStyle w:val="StandardWeb"/>
      </w:pPr>
      <w:r>
        <w:t>Eine interventionelle Abhängigkeit verlangt dagegen, dass sich (Y_F) unter verschiedenen Interventionen auf (X_F) verändert.</w:t>
      </w:r>
    </w:p>
    <w:p w:rsidR="00224F82" w:rsidRDefault="00224F82" w:rsidP="00224F82">
      <w:pPr>
        <w:pStyle w:val="StandardWeb"/>
      </w:pPr>
      <w:r>
        <w:t>Seien zwei Interventionen</w:t>
      </w:r>
    </w:p>
    <w:p w:rsidR="00224F82" w:rsidRDefault="00224F82" w:rsidP="00224F82">
      <w:pPr>
        <w:pStyle w:val="StandardWeb"/>
      </w:pPr>
      <w:r>
        <w:t>[</w:t>
      </w:r>
      <w:r>
        <w:br/>
        <w:t>\operatorname{do}_F(X=x_0)</w:t>
      </w:r>
      <w:r>
        <w:br/>
        <w:t>\tag{3.12630}</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\operatorname{do}_F(X=x_0)</w:t>
      </w:r>
    </w:p>
    <w:p w:rsidR="00224F82" w:rsidRDefault="00224F82" w:rsidP="00224F82">
      <w:pPr>
        <w:pStyle w:val="StandardWeb"/>
      </w:pPr>
      <w:r>
        <w:t>und</w:t>
      </w:r>
    </w:p>
    <w:p w:rsidR="00224F82" w:rsidRDefault="00224F82" w:rsidP="00224F82">
      <w:pPr>
        <w:pStyle w:val="StandardWeb"/>
      </w:pPr>
      <w:r>
        <w:t>[</w:t>
      </w:r>
      <w:r>
        <w:br/>
        <w:t>\operatorname{do}_F(X=x_1).</w:t>
      </w:r>
      <w:r>
        <w:br/>
        <w:t>\tag{3.12631}</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\operatorname{do}_F(X=x_1)</w:t>
      </w:r>
    </w:p>
    <w:p w:rsidR="00224F82" w:rsidRDefault="00E50336" w:rsidP="00224F82">
      <w:r>
        <w:pict>
          <v:rect id="_x0000_i4637" style="width:0;height:1.5pt" o:hralign="center" o:hrstd="t" o:hr="t" fillcolor="#a0a0a0" stroked="f"/>
        </w:pict>
      </w:r>
    </w:p>
    <w:p w:rsidR="00224F82" w:rsidRDefault="00224F82" w:rsidP="00224F82">
      <w:pPr>
        <w:pStyle w:val="berschrift1"/>
      </w:pPr>
      <w:r>
        <w:t>3.3.49.106 Interventionelle Veränderung</w:t>
      </w:r>
    </w:p>
    <w:p w:rsidR="00224F82" w:rsidRDefault="00224F82" w:rsidP="00224F82">
      <w:pPr>
        <w:pStyle w:val="StandardWeb"/>
      </w:pPr>
      <w:r>
        <w:t>Eine interventionelle Wirkung liegt vor, wenn</w:t>
      </w:r>
    </w:p>
    <w:p w:rsidR="00224F82" w:rsidRDefault="00224F82" w:rsidP="00224F82">
      <w:pPr>
        <w:pStyle w:val="StandardWeb"/>
      </w:pPr>
      <w:r>
        <w:t>[</w:t>
      </w:r>
      <w:r>
        <w:br/>
        <w:t>Y_F^{\operatorname{do}(X=x_1)}</w:t>
      </w:r>
      <w:r>
        <w:br/>
        <w:t>\neq</w:t>
      </w:r>
      <w:r>
        <w:br/>
        <w:t>Y_F^{\operatorname{do}(X=x_0)}.</w:t>
      </w:r>
      <w:r>
        <w:br/>
        <w:t>\tag{3.12632}</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Y_F^{\operatorname{do}(X=x_1)}\neq Y_F^{\operatorname{do}(X=x_0)}</w:t>
      </w:r>
    </w:p>
    <w:p w:rsidR="00224F82" w:rsidRDefault="00E50336" w:rsidP="00224F82">
      <w:r>
        <w:pict>
          <v:rect id="_x0000_i4638" style="width:0;height:1.5pt" o:hralign="center" o:hrstd="t" o:hr="t" fillcolor="#a0a0a0" stroked="f"/>
        </w:pict>
      </w:r>
    </w:p>
    <w:p w:rsidR="00224F82" w:rsidRDefault="00224F82" w:rsidP="00224F82">
      <w:pPr>
        <w:pStyle w:val="berschrift1"/>
      </w:pPr>
      <w:r>
        <w:lastRenderedPageBreak/>
        <w:t>3.3.49.107 Definition 3.3.404 – Funktionale interventionelle Abhängigkeit</w:t>
      </w:r>
    </w:p>
    <w:p w:rsidR="00224F82" w:rsidRDefault="00224F82" w:rsidP="00224F82">
      <w:pPr>
        <w:pStyle w:val="berschrift3"/>
      </w:pPr>
      <w:r>
        <w:t>Definition 3.3.404</w:t>
      </w:r>
    </w:p>
    <w:p w:rsidR="00224F82" w:rsidRDefault="00224F82" w:rsidP="00224F82">
      <w:pPr>
        <w:pStyle w:val="StandardWeb"/>
      </w:pPr>
      <w:r>
        <w:t xml:space="preserve">(Y_F) heißt </w:t>
      </w:r>
      <w:r>
        <w:rPr>
          <w:rStyle w:val="Fett"/>
        </w:rPr>
        <w:t>interventionell abhängig</w:t>
      </w:r>
      <w:r>
        <w:t xml:space="preserve"> von (X_F), wenn mindestens zwei zulässige Interventionen auf (X_F) existieren, für die</w:t>
      </w:r>
    </w:p>
    <w:p w:rsidR="00224F82" w:rsidRDefault="00224F82" w:rsidP="00224F82">
      <w:pPr>
        <w:pStyle w:val="StandardWeb"/>
      </w:pPr>
      <w:r>
        <w:t>[</w:t>
      </w:r>
      <w:r>
        <w:br/>
        <w:t>\boxed{</w:t>
      </w:r>
      <w:r>
        <w:br/>
        <w:t>Y_F^{\operatorname{do}(X=x_1)}</w:t>
      </w:r>
      <w:r>
        <w:br/>
        <w:t>\neq</w:t>
      </w:r>
      <w:r>
        <w:br/>
        <w:t>Y_F^{\operatorname{do}(X=x_0)}.</w:t>
      </w:r>
      <w:r>
        <w:br/>
        <w:t>}</w:t>
      </w:r>
      <w:r>
        <w:br/>
        <w:t>\tag{3.12633}</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\boxed{Y_F^{\operatorname{do}(X=x_1)}\neq Y_F^{\operatorname{do}(X=x_0)}.}</w:t>
      </w:r>
    </w:p>
    <w:p w:rsidR="00224F82" w:rsidRDefault="00E50336" w:rsidP="00224F82">
      <w:r>
        <w:pict>
          <v:rect id="_x0000_i4639" style="width:0;height:1.5pt" o:hralign="center" o:hrstd="t" o:hr="t" fillcolor="#a0a0a0" stroked="f"/>
        </w:pict>
      </w:r>
    </w:p>
    <w:p w:rsidR="00224F82" w:rsidRDefault="00224F82" w:rsidP="00224F82">
      <w:pPr>
        <w:pStyle w:val="berschrift1"/>
      </w:pPr>
      <w:r>
        <w:t>3.3.49.108 Beobachtungsabhängigkeit impliziert keine interventionelle Abhängigkeit</w:t>
      </w:r>
    </w:p>
    <w:p w:rsidR="00224F82" w:rsidRDefault="00224F82" w:rsidP="00224F82">
      <w:pPr>
        <w:pStyle w:val="StandardWeb"/>
      </w:pPr>
      <w:r>
        <w:t>Eine beobachtete Abhängigkeit kann durch eine gemeinsame Einflussgröße entstehen.</w:t>
      </w:r>
    </w:p>
    <w:p w:rsidR="00224F82" w:rsidRDefault="00224F82" w:rsidP="00224F82">
      <w:pPr>
        <w:pStyle w:val="StandardWeb"/>
      </w:pPr>
      <w:r>
        <w:t>Daher gilt im Allgemeinen nicht</w:t>
      </w:r>
    </w:p>
    <w:p w:rsidR="00224F82" w:rsidRDefault="00224F82" w:rsidP="00224F82">
      <w:pPr>
        <w:pStyle w:val="StandardWeb"/>
      </w:pPr>
      <w:r>
        <w:t>[</w:t>
      </w:r>
      <w:r>
        <w:br/>
        <w:t>X_F</w:t>
      </w:r>
      <w:r>
        <w:br/>
        <w:t>\not!\perp_{\mathrm{obs}}</w:t>
      </w:r>
      <w:r>
        <w:br/>
        <w:t>Y_F</w:t>
      </w:r>
      <w:r>
        <w:br/>
        <w:t>\Rightarrow</w:t>
      </w:r>
      <w:r>
        <w:br/>
        <w:t>Y_F</w:t>
      </w:r>
      <w:r>
        <w:br/>
        <w:t>\text{ ist interventionell abhängig von }X_F.</w:t>
      </w:r>
      <w:r>
        <w:br/>
        <w:t>\tag{3.12634}</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X_F\not\!\perp_{\mathrm{obs}}Y_F\Rightarrow Y_F\text{ ist interventionell abhängig von }X_F</w:t>
      </w:r>
    </w:p>
    <w:p w:rsidR="00224F82" w:rsidRDefault="00E50336" w:rsidP="00224F82">
      <w:r>
        <w:pict>
          <v:rect id="_x0000_i4640" style="width:0;height:1.5pt" o:hralign="center" o:hrstd="t" o:hr="t" fillcolor="#a0a0a0" stroked="f"/>
        </w:pict>
      </w:r>
    </w:p>
    <w:p w:rsidR="00224F82" w:rsidRDefault="00224F82" w:rsidP="00224F82">
      <w:pPr>
        <w:pStyle w:val="berschrift1"/>
      </w:pPr>
      <w:r>
        <w:t>3.3.49.109 Gemeinsame Einflussquelle</w:t>
      </w:r>
    </w:p>
    <w:p w:rsidR="00224F82" w:rsidRDefault="00224F82" w:rsidP="00224F82">
      <w:pPr>
        <w:pStyle w:val="StandardWeb"/>
      </w:pPr>
      <w:r>
        <w:t>Sei (Z_F) eine dritte Größe mit</w:t>
      </w:r>
    </w:p>
    <w:p w:rsidR="00224F82" w:rsidRDefault="00224F82" w:rsidP="00224F82">
      <w:pPr>
        <w:pStyle w:val="StandardWeb"/>
      </w:pPr>
      <w:r>
        <w:lastRenderedPageBreak/>
        <w:t>[</w:t>
      </w:r>
      <w:r>
        <w:br/>
        <w:t>Z_F</w:t>
      </w:r>
      <w:r>
        <w:br/>
        <w:t>\rightsquigarrow</w:t>
      </w:r>
      <w:r>
        <w:br/>
        <w:t>X_F</w:t>
      </w:r>
      <w:r>
        <w:br/>
        <w:t>\tag{3.12635}</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Z_F\rightsquigarrow X_F</w:t>
      </w:r>
    </w:p>
    <w:p w:rsidR="00224F82" w:rsidRDefault="00224F82" w:rsidP="00224F82">
      <w:pPr>
        <w:pStyle w:val="StandardWeb"/>
      </w:pPr>
      <w:r>
        <w:t>und</w:t>
      </w:r>
    </w:p>
    <w:p w:rsidR="00224F82" w:rsidRDefault="00224F82" w:rsidP="00224F82">
      <w:pPr>
        <w:pStyle w:val="StandardWeb"/>
      </w:pPr>
      <w:r>
        <w:t>[</w:t>
      </w:r>
      <w:r>
        <w:br/>
        <w:t>Z_F</w:t>
      </w:r>
      <w:r>
        <w:br/>
        <w:t>\rightsquigarrow</w:t>
      </w:r>
      <w:r>
        <w:br/>
        <w:t>Y_F.</w:t>
      </w:r>
      <w:r>
        <w:br/>
        <w:t>\tag{3.12636}</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Z_F\rightsquigarrow Y_F</w:t>
      </w:r>
    </w:p>
    <w:p w:rsidR="00224F82" w:rsidRDefault="00224F82" w:rsidP="00224F82">
      <w:pPr>
        <w:pStyle w:val="StandardWeb"/>
      </w:pPr>
      <w:r>
        <w:t>Dann kann zwischen (X_F) und (Y_F) eine beobachtete Abhängigkeit entstehen, obwohl keine direkte interventionelle Wirkung von (X_F) auf (Y_F) vorliegt.</w:t>
      </w:r>
    </w:p>
    <w:p w:rsidR="00224F82" w:rsidRDefault="00E50336" w:rsidP="00224F82">
      <w:r>
        <w:pict>
          <v:rect id="_x0000_i4641" style="width:0;height:1.5pt" o:hralign="center" o:hrstd="t" o:hr="t" fillcolor="#a0a0a0" stroked="f"/>
        </w:pict>
      </w:r>
    </w:p>
    <w:p w:rsidR="00224F82" w:rsidRDefault="00224F82" w:rsidP="00224F82">
      <w:pPr>
        <w:pStyle w:val="berschrift1"/>
      </w:pPr>
      <w:r>
        <w:t>3.3.49.110 Definition 3.3.405 – Gemeinsame funktionale Einflussquelle</w:t>
      </w:r>
    </w:p>
    <w:p w:rsidR="00224F82" w:rsidRDefault="00224F82" w:rsidP="00224F82">
      <w:pPr>
        <w:pStyle w:val="berschrift3"/>
      </w:pPr>
      <w:r>
        <w:t>Definition 3.3.405</w:t>
      </w:r>
    </w:p>
    <w:p w:rsidR="00224F82" w:rsidRDefault="00224F82" w:rsidP="00224F82">
      <w:pPr>
        <w:pStyle w:val="StandardWeb"/>
      </w:pPr>
      <w:r>
        <w:t xml:space="preserve">Eine Größe (Z_F) heißt </w:t>
      </w:r>
      <w:r>
        <w:rPr>
          <w:rStyle w:val="Fett"/>
        </w:rPr>
        <w:t>gemeinsame funktionale Einflussquelle</w:t>
      </w:r>
      <w:r>
        <w:t xml:space="preserve"> von (X_F) und (Y_F), wenn</w:t>
      </w:r>
    </w:p>
    <w:p w:rsidR="00224F82" w:rsidRDefault="00224F82" w:rsidP="00224F82">
      <w:pPr>
        <w:pStyle w:val="StandardWeb"/>
      </w:pPr>
      <w:r>
        <w:t>[</w:t>
      </w:r>
      <w:r>
        <w:br/>
        <w:t>\boxed{</w:t>
      </w:r>
      <w:r>
        <w:br/>
        <w:t>Z_F\rightsquigarrow X_F</w:t>
      </w:r>
      <w:r>
        <w:br/>
        <w:t>\land</w:t>
      </w:r>
      <w:r>
        <w:br/>
        <w:t>Z_F\rightsquigarrow Y_F.</w:t>
      </w:r>
      <w:r>
        <w:br/>
        <w:t>}</w:t>
      </w:r>
      <w:r>
        <w:br/>
        <w:t>\tag{3.12637}</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\boxed{Z_F\rightsquigarrow X_F\land Z_F\rightsquigarrow Y_F.}</w:t>
      </w:r>
    </w:p>
    <w:p w:rsidR="00224F82" w:rsidRDefault="00E50336" w:rsidP="00224F82">
      <w:r>
        <w:pict>
          <v:rect id="_x0000_i4642" style="width:0;height:1.5pt" o:hralign="center" o:hrstd="t" o:hr="t" fillcolor="#a0a0a0" stroked="f"/>
        </w:pict>
      </w:r>
    </w:p>
    <w:p w:rsidR="00224F82" w:rsidRDefault="00224F82" w:rsidP="00224F82">
      <w:pPr>
        <w:pStyle w:val="berschrift1"/>
      </w:pPr>
      <w:r>
        <w:lastRenderedPageBreak/>
        <w:t>3.3.49.111 Funktionale Konfundierungsstruktur</w:t>
      </w:r>
    </w:p>
    <w:p w:rsidR="00224F82" w:rsidRDefault="00224F82" w:rsidP="00224F82">
      <w:pPr>
        <w:pStyle w:val="StandardWeb"/>
      </w:pPr>
      <w:r>
        <w:t>Ich bezeichne die Struktur</w:t>
      </w:r>
    </w:p>
    <w:p w:rsidR="00224F82" w:rsidRDefault="00224F82" w:rsidP="00224F82">
      <w:pPr>
        <w:pStyle w:val="StandardWeb"/>
      </w:pPr>
      <w:r>
        <w:t>[</w:t>
      </w:r>
      <w:r>
        <w:br/>
        <w:t>X_F</w:t>
      </w:r>
      <w:r>
        <w:br/>
        <w:t>\leftarrow</w:t>
      </w:r>
      <w:r>
        <w:br/>
        <w:t>Z_F</w:t>
      </w:r>
      <w:r>
        <w:br/>
        <w:t>\rightarrow</w:t>
      </w:r>
      <w:r>
        <w:br/>
        <w:t>Y_F</w:t>
      </w:r>
      <w:r>
        <w:br/>
        <w:t>\tag{3.12638}</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X_F\leftarrow Z_F\rightarrow Y_F</w:t>
      </w:r>
    </w:p>
    <w:p w:rsidR="00224F82" w:rsidRDefault="00224F82" w:rsidP="00224F82">
      <w:pPr>
        <w:pStyle w:val="StandardWeb"/>
      </w:pPr>
      <w:r>
        <w:t>als elementare funktionale Konfundierungsstruktur.</w:t>
      </w:r>
    </w:p>
    <w:p w:rsidR="00224F82" w:rsidRDefault="00E50336" w:rsidP="00224F82">
      <w:r>
        <w:pict>
          <v:rect id="_x0000_i4643" style="width:0;height:1.5pt" o:hralign="center" o:hrstd="t" o:hr="t" fillcolor="#a0a0a0" stroked="f"/>
        </w:pict>
      </w:r>
    </w:p>
    <w:p w:rsidR="00224F82" w:rsidRDefault="00224F82" w:rsidP="00224F82">
      <w:pPr>
        <w:pStyle w:val="berschrift1"/>
      </w:pPr>
      <w:r>
        <w:t>3.3.49.112 Definition 3.3.406 – Funktionale Konfundierung</w:t>
      </w:r>
    </w:p>
    <w:p w:rsidR="00224F82" w:rsidRDefault="00224F82" w:rsidP="00224F82">
      <w:pPr>
        <w:pStyle w:val="berschrift3"/>
      </w:pPr>
      <w:r>
        <w:t>Definition 3.3.406</w:t>
      </w:r>
    </w:p>
    <w:p w:rsidR="00224F82" w:rsidRDefault="00224F82" w:rsidP="00224F82">
      <w:pPr>
        <w:pStyle w:val="StandardWeb"/>
      </w:pPr>
      <w:r>
        <w:t xml:space="preserve">Eine </w:t>
      </w:r>
      <w:r>
        <w:rPr>
          <w:rStyle w:val="Fett"/>
        </w:rPr>
        <w:t>funktionale Konfundierung</w:t>
      </w:r>
      <w:r>
        <w:t xml:space="preserve"> bezüglich (X_F) und (Y_F) liegt vor, wenn eine gemeinsame funktionale Einflussquelle (Z_F) existiert, die beide Größen beeinflusst und dadurch eine beobachtete Abhängigkeit zwischen ihnen mitbegründen kann:</w:t>
      </w:r>
    </w:p>
    <w:p w:rsidR="00224F82" w:rsidRDefault="00224F82" w:rsidP="00224F82">
      <w:pPr>
        <w:pStyle w:val="StandardWeb"/>
      </w:pPr>
      <w:r>
        <w:t>[</w:t>
      </w:r>
      <w:r>
        <w:br/>
        <w:t>\boxed{</w:t>
      </w:r>
      <w:r>
        <w:br/>
        <w:t>X_F</w:t>
      </w:r>
      <w:r>
        <w:br/>
        <w:t>\leftarrow</w:t>
      </w:r>
      <w:r>
        <w:br/>
        <w:t>Z_F</w:t>
      </w:r>
      <w:r>
        <w:br/>
        <w:t>\rightarrow</w:t>
      </w:r>
      <w:r>
        <w:br/>
        <w:t>Y_F.</w:t>
      </w:r>
      <w:r>
        <w:br/>
        <w:t>}</w:t>
      </w:r>
      <w:r>
        <w:br/>
        <w:t>\tag{3.12639}</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\boxed{X_F\leftarrow Z_F\rightarrow Y_F.}</w:t>
      </w:r>
    </w:p>
    <w:p w:rsidR="00224F82" w:rsidRDefault="00E50336" w:rsidP="00224F82">
      <w:r>
        <w:pict>
          <v:rect id="_x0000_i4644" style="width:0;height:1.5pt" o:hralign="center" o:hrstd="t" o:hr="t" fillcolor="#a0a0a0" stroked="f"/>
        </w:pict>
      </w:r>
    </w:p>
    <w:p w:rsidR="00224F82" w:rsidRDefault="00224F82" w:rsidP="00224F82">
      <w:pPr>
        <w:pStyle w:val="berschrift1"/>
      </w:pPr>
      <w:r>
        <w:t>3.3.49.113 Konfundierung ist modellrelativ</w:t>
      </w:r>
    </w:p>
    <w:p w:rsidR="00224F82" w:rsidRDefault="00224F82" w:rsidP="00224F82">
      <w:pPr>
        <w:pStyle w:val="StandardWeb"/>
      </w:pPr>
      <w:r>
        <w:t>Ob (Z_F) als Konfundierungsgröße erscheint, hängt von der gewählten Modellgrenze ab.</w:t>
      </w:r>
    </w:p>
    <w:p w:rsidR="00224F82" w:rsidRDefault="00224F82" w:rsidP="00224F82">
      <w:pPr>
        <w:pStyle w:val="StandardWeb"/>
      </w:pPr>
      <w:r>
        <w:lastRenderedPageBreak/>
        <w:t>Formal gilt</w:t>
      </w:r>
    </w:p>
    <w:p w:rsidR="00224F82" w:rsidRDefault="00224F82" w:rsidP="00224F82">
      <w:pPr>
        <w:pStyle w:val="StandardWeb"/>
      </w:pPr>
      <w:r>
        <w:t>[</w:t>
      </w:r>
      <w:r>
        <w:br/>
        <w:t>Z_F</w:t>
      </w:r>
      <w:r>
        <w:br/>
        <w:t>\in</w:t>
      </w:r>
      <w:r>
        <w:br/>
        <w:t>V_{\mathcal I}^{(\mathfrak M_1)}</w:t>
      </w:r>
      <w:r>
        <w:br/>
        <w:t>\tag{3.12640}</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Z_F\in V_{\mathcal I}^{(\mathfrak M_1)}</w:t>
      </w:r>
    </w:p>
    <w:p w:rsidR="00224F82" w:rsidRDefault="00224F82" w:rsidP="00224F82">
      <w:pPr>
        <w:pStyle w:val="StandardWeb"/>
      </w:pPr>
      <w:r>
        <w:t>während</w:t>
      </w:r>
    </w:p>
    <w:p w:rsidR="00224F82" w:rsidRDefault="00224F82" w:rsidP="00224F82">
      <w:pPr>
        <w:pStyle w:val="StandardWeb"/>
      </w:pPr>
      <w:r>
        <w:t>[</w:t>
      </w:r>
      <w:r>
        <w:br/>
        <w:t>Z_F</w:t>
      </w:r>
      <w:r>
        <w:br/>
        <w:t>\notin</w:t>
      </w:r>
      <w:r>
        <w:br/>
        <w:t>V_{\mathcal I}^{(\mathfrak M_2)}</w:t>
      </w:r>
      <w:r>
        <w:br/>
        <w:t>\tag{3.12641}</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Z_F\notin V_{\mathcal I}^{(\mathfrak M_2)}</w:t>
      </w:r>
    </w:p>
    <w:p w:rsidR="00224F82" w:rsidRDefault="00224F82" w:rsidP="00224F82">
      <w:pPr>
        <w:pStyle w:val="StandardWeb"/>
      </w:pPr>
      <w:r>
        <w:t>möglich ist.</w:t>
      </w:r>
    </w:p>
    <w:p w:rsidR="00224F82" w:rsidRDefault="00E50336" w:rsidP="00224F82">
      <w:r>
        <w:pict>
          <v:rect id="_x0000_i4645" style="width:0;height:1.5pt" o:hralign="center" o:hrstd="t" o:hr="t" fillcolor="#a0a0a0" stroked="f"/>
        </w:pict>
      </w:r>
    </w:p>
    <w:p w:rsidR="00224F82" w:rsidRDefault="00224F82" w:rsidP="00224F82">
      <w:pPr>
        <w:pStyle w:val="berschrift1"/>
      </w:pPr>
      <w:r>
        <w:t>3.3.49.114 Latente gemeinsame Einflussquelle</w:t>
      </w:r>
    </w:p>
    <w:p w:rsidR="00224F82" w:rsidRDefault="00224F82" w:rsidP="00224F82">
      <w:pPr>
        <w:pStyle w:val="StandardWeb"/>
      </w:pPr>
      <w:r>
        <w:t>Wird eine gemeinsame Einflussquelle nicht beobachtet oder nicht in die Modellstruktur aufgenommen, bezeichne ich sie als latent.</w:t>
      </w:r>
    </w:p>
    <w:p w:rsidR="00224F82" w:rsidRDefault="00224F82" w:rsidP="00224F82">
      <w:pPr>
        <w:pStyle w:val="StandardWeb"/>
      </w:pPr>
      <w:r>
        <w:t>Ich schreibe</w:t>
      </w:r>
    </w:p>
    <w:p w:rsidR="00224F82" w:rsidRDefault="00224F82" w:rsidP="00224F82">
      <w:pPr>
        <w:pStyle w:val="StandardWeb"/>
      </w:pPr>
      <w:r>
        <w:t>[</w:t>
      </w:r>
      <w:r>
        <w:br/>
        <w:t>Z_F^{\mathrm{lat}}.</w:t>
      </w:r>
      <w:r>
        <w:br/>
        <w:t>\tag{3.12642}</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Z_F^{\mathrm{lat}}</w:t>
      </w:r>
    </w:p>
    <w:p w:rsidR="00224F82" w:rsidRDefault="00E50336" w:rsidP="00224F82">
      <w:r>
        <w:pict>
          <v:rect id="_x0000_i4646" style="width:0;height:1.5pt" o:hralign="center" o:hrstd="t" o:hr="t" fillcolor="#a0a0a0" stroked="f"/>
        </w:pict>
      </w:r>
    </w:p>
    <w:p w:rsidR="00224F82" w:rsidRDefault="00224F82" w:rsidP="00224F82">
      <w:pPr>
        <w:pStyle w:val="berschrift1"/>
      </w:pPr>
      <w:r>
        <w:t>3.3.49.115 Definition 3.3.407 – Latente funktionale Einflussquelle</w:t>
      </w:r>
    </w:p>
    <w:p w:rsidR="00224F82" w:rsidRDefault="00224F82" w:rsidP="00224F82">
      <w:pPr>
        <w:pStyle w:val="berschrift3"/>
      </w:pPr>
      <w:r>
        <w:lastRenderedPageBreak/>
        <w:t>Definition 3.3.407</w:t>
      </w:r>
    </w:p>
    <w:p w:rsidR="00224F82" w:rsidRDefault="00224F82" w:rsidP="00224F82">
      <w:pPr>
        <w:pStyle w:val="StandardWeb"/>
      </w:pPr>
      <w:r>
        <w:t xml:space="preserve">Eine gemeinsame Einflussquelle (Z_F) heißt </w:t>
      </w:r>
      <w:r>
        <w:rPr>
          <w:rStyle w:val="Fett"/>
        </w:rPr>
        <w:t>latent</w:t>
      </w:r>
      <w:r>
        <w:t>, wenn</w:t>
      </w:r>
    </w:p>
    <w:p w:rsidR="00224F82" w:rsidRDefault="00224F82" w:rsidP="00224F82">
      <w:pPr>
        <w:pStyle w:val="StandardWeb"/>
      </w:pPr>
      <w:r>
        <w:t>[</w:t>
      </w:r>
      <w:r>
        <w:br/>
        <w:t>\boxed{</w:t>
      </w:r>
      <w:r>
        <w:br/>
        <w:t>Z_F</w:t>
      </w:r>
      <w:r>
        <w:br/>
        <w:t>\notin</w:t>
      </w:r>
      <w:r>
        <w:br/>
        <w:t>V_{\mathcal I}^{(\mathfrak M)}</w:t>
      </w:r>
      <w:r>
        <w:br/>
        <w:t>}</w:t>
      </w:r>
      <w:r>
        <w:br/>
        <w:t>\tag{3.12643}</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\boxed{Z_F\notin V_{\mathcal I}^{(\mathfrak M)}}</w:t>
      </w:r>
    </w:p>
    <w:p w:rsidR="00224F82" w:rsidRDefault="00224F82" w:rsidP="00224F82">
      <w:pPr>
        <w:pStyle w:val="StandardWeb"/>
      </w:pPr>
      <w:r>
        <w:t>gilt, obwohl sie in einer erweiterten Einflussstruktur als gemeinsame Quelle von (X_F) und (Y_F) wirksam sein kann.</w:t>
      </w:r>
    </w:p>
    <w:p w:rsidR="00224F82" w:rsidRDefault="00E50336" w:rsidP="00224F82">
      <w:r>
        <w:pict>
          <v:rect id="_x0000_i4647" style="width:0;height:1.5pt" o:hralign="center" o:hrstd="t" o:hr="t" fillcolor="#a0a0a0" stroked="f"/>
        </w:pict>
      </w:r>
    </w:p>
    <w:p w:rsidR="00224F82" w:rsidRDefault="00224F82" w:rsidP="00224F82">
      <w:pPr>
        <w:pStyle w:val="berschrift1"/>
      </w:pPr>
      <w:r>
        <w:t>3.3.49.116 Beobachtete Abhängigkeit bei latenter Quelle</w:t>
      </w:r>
    </w:p>
    <w:p w:rsidR="00224F82" w:rsidRDefault="00224F82" w:rsidP="00224F82">
      <w:pPr>
        <w:pStyle w:val="StandardWeb"/>
      </w:pPr>
      <w:r>
        <w:t>Dann kann die reduzierte Modellstruktur lediglich</w:t>
      </w:r>
    </w:p>
    <w:p w:rsidR="00224F82" w:rsidRDefault="00224F82" w:rsidP="00224F82">
      <w:pPr>
        <w:pStyle w:val="StandardWeb"/>
      </w:pPr>
      <w:r>
        <w:t>[</w:t>
      </w:r>
      <w:r>
        <w:br/>
        <w:t>X_F</w:t>
      </w:r>
      <w:r>
        <w:br/>
        <w:t>\not!\perp_{\mathrm{obs}}</w:t>
      </w:r>
      <w:r>
        <w:br/>
        <w:t>Y_F</w:t>
      </w:r>
      <w:r>
        <w:br/>
        <w:t>\tag{3.12644}</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X_F\not\!\perp_{\mathrm{obs}}Y_F</w:t>
      </w:r>
    </w:p>
    <w:p w:rsidR="00224F82" w:rsidRDefault="00224F82" w:rsidP="00224F82">
      <w:pPr>
        <w:pStyle w:val="StandardWeb"/>
      </w:pPr>
      <w:r>
        <w:t>zeigen, ohne die gemeinsame Quelle direkt abzubilden.</w:t>
      </w:r>
    </w:p>
    <w:p w:rsidR="00224F82" w:rsidRDefault="00E50336" w:rsidP="00224F82">
      <w:r>
        <w:pict>
          <v:rect id="_x0000_i4648" style="width:0;height:1.5pt" o:hralign="center" o:hrstd="t" o:hr="t" fillcolor="#a0a0a0" stroked="f"/>
        </w:pict>
      </w:r>
    </w:p>
    <w:p w:rsidR="00224F82" w:rsidRDefault="00224F82" w:rsidP="00224F82">
      <w:pPr>
        <w:pStyle w:val="berschrift1"/>
      </w:pPr>
      <w:r>
        <w:t>3.3.49.117 Satz 3.3.165 – Beobachtungsabhängigkeit impliziert keine direkte interventionelle Wirkung</w:t>
      </w:r>
    </w:p>
    <w:p w:rsidR="00224F82" w:rsidRDefault="00224F82" w:rsidP="00224F82">
      <w:pPr>
        <w:pStyle w:val="berschrift3"/>
      </w:pPr>
      <w:r>
        <w:t>Satz 3.3.165</w:t>
      </w:r>
    </w:p>
    <w:p w:rsidR="00224F82" w:rsidRDefault="00224F82" w:rsidP="00224F82">
      <w:pPr>
        <w:pStyle w:val="StandardWeb"/>
      </w:pPr>
      <w:r>
        <w:t>Aus einer beobachteten Abhängigkeit</w:t>
      </w:r>
    </w:p>
    <w:p w:rsidR="00224F82" w:rsidRDefault="00224F82" w:rsidP="00224F82">
      <w:pPr>
        <w:pStyle w:val="StandardWeb"/>
      </w:pPr>
      <w:r>
        <w:lastRenderedPageBreak/>
        <w:t>[</w:t>
      </w:r>
      <w:r>
        <w:br/>
        <w:t>X_F</w:t>
      </w:r>
      <w:r>
        <w:br/>
        <w:t>\not!\perp_{\mathrm{obs}}</w:t>
      </w:r>
      <w:r>
        <w:br/>
        <w:t>Y_F</w:t>
      </w:r>
      <w:r>
        <w:br/>
        <w:t>\tag{3.12645}</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X_F\not\!\perp_{\mathrm{obs}}Y_F</w:t>
      </w:r>
    </w:p>
    <w:p w:rsidR="00224F82" w:rsidRDefault="00224F82" w:rsidP="00224F82">
      <w:pPr>
        <w:pStyle w:val="StandardWeb"/>
      </w:pPr>
      <w:r>
        <w:t>folgt im Allgemeinen nicht</w:t>
      </w:r>
    </w:p>
    <w:p w:rsidR="00224F82" w:rsidRDefault="00224F82" w:rsidP="00224F82">
      <w:pPr>
        <w:pStyle w:val="StandardWeb"/>
      </w:pPr>
      <w:r>
        <w:t>[</w:t>
      </w:r>
      <w:r>
        <w:br/>
        <w:t>\boxed{</w:t>
      </w:r>
      <w:r>
        <w:br/>
        <w:t>Y_F^{\operatorname{do}(X=x_1)}</w:t>
      </w:r>
      <w:r>
        <w:br/>
        <w:t>\neq</w:t>
      </w:r>
      <w:r>
        <w:br/>
        <w:t>Y_F^{\operatorname{do}(X=x_0)}.</w:t>
      </w:r>
      <w:r>
        <w:br/>
        <w:t>}</w:t>
      </w:r>
      <w:r>
        <w:br/>
        <w:t>\tag{3.12646}</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\boxed{Y_F^{\operatorname{do}(X=x_1)}\neq Y_F^{\operatorname{do}(X=x_0)}.}</w:t>
      </w:r>
    </w:p>
    <w:p w:rsidR="00224F82" w:rsidRDefault="00224F82" w:rsidP="00224F82">
      <w:pPr>
        <w:pStyle w:val="berschrift3"/>
      </w:pPr>
      <w:r>
        <w:t>Beweis</w:t>
      </w:r>
    </w:p>
    <w:p w:rsidR="00224F82" w:rsidRDefault="00224F82" w:rsidP="00224F82">
      <w:pPr>
        <w:pStyle w:val="StandardWeb"/>
      </w:pPr>
      <w:r>
        <w:t>Sei (Z_F) eine gemeinsame Einflussquelle mit</w:t>
      </w:r>
    </w:p>
    <w:p w:rsidR="00224F82" w:rsidRDefault="00224F82" w:rsidP="00224F82">
      <w:pPr>
        <w:pStyle w:val="StandardWeb"/>
      </w:pPr>
      <w:r>
        <w:t>[</w:t>
      </w:r>
      <w:r>
        <w:br/>
        <w:t>Z_F</w:t>
      </w:r>
      <w:r>
        <w:br/>
        <w:t>\rightsquigarrow</w:t>
      </w:r>
      <w:r>
        <w:br/>
        <w:t>X_F</w:t>
      </w:r>
      <w:r>
        <w:br/>
        <w:t>\tag{3.12647}</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Z_F\rightsquigarrow X_F</w:t>
      </w:r>
    </w:p>
    <w:p w:rsidR="00224F82" w:rsidRDefault="00224F82" w:rsidP="00224F82">
      <w:pPr>
        <w:pStyle w:val="StandardWeb"/>
      </w:pPr>
      <w:r>
        <w:t>und</w:t>
      </w:r>
    </w:p>
    <w:p w:rsidR="00224F82" w:rsidRDefault="00224F82" w:rsidP="00224F82">
      <w:pPr>
        <w:pStyle w:val="StandardWeb"/>
      </w:pPr>
      <w:r>
        <w:t>[</w:t>
      </w:r>
      <w:r>
        <w:br/>
        <w:t>Z_F</w:t>
      </w:r>
      <w:r>
        <w:br/>
        <w:t>\rightsquigarrow</w:t>
      </w:r>
      <w:r>
        <w:br/>
        <w:t>Y_F.</w:t>
      </w:r>
      <w:r>
        <w:br/>
        <w:t>\tag{3.12648}</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lastRenderedPageBreak/>
        <w:t>Z_F\rightsquigarrow Y_F</w:t>
      </w:r>
    </w:p>
    <w:p w:rsidR="00224F82" w:rsidRDefault="00224F82" w:rsidP="00224F82">
      <w:pPr>
        <w:pStyle w:val="StandardWeb"/>
      </w:pPr>
      <w:r>
        <w:t>Dann kann (X_F) beobachtungsabhängig von (Y_F) sein, obwohl keine direkte Einflusskante</w:t>
      </w:r>
    </w:p>
    <w:p w:rsidR="00224F82" w:rsidRDefault="00224F82" w:rsidP="00224F82">
      <w:pPr>
        <w:pStyle w:val="StandardWeb"/>
      </w:pPr>
      <w:r>
        <w:t>[</w:t>
      </w:r>
      <w:r>
        <w:br/>
        <w:t>X_F</w:t>
      </w:r>
      <w:r>
        <w:br/>
        <w:t>\rightsquigarrow</w:t>
      </w:r>
      <w:r>
        <w:br/>
        <w:t>Y_F</w:t>
      </w:r>
      <w:r>
        <w:br/>
        <w:t>\tag{3.12649}</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X_F\rightsquigarrow Y_F</w:t>
      </w:r>
    </w:p>
    <w:p w:rsidR="00224F82" w:rsidRDefault="00224F82" w:rsidP="00224F82">
      <w:pPr>
        <w:pStyle w:val="StandardWeb"/>
      </w:pPr>
      <w:r>
        <w:t>existiert.</w:t>
      </w:r>
    </w:p>
    <w:p w:rsidR="00224F82" w:rsidRDefault="00224F82" w:rsidP="00224F82">
      <w:pPr>
        <w:pStyle w:val="StandardWeb"/>
      </w:pPr>
      <w:r>
        <w:t>Eine Intervention auf (X_F) muss dann (Y_F) nicht verändern:</w:t>
      </w:r>
    </w:p>
    <w:p w:rsidR="00224F82" w:rsidRDefault="00224F82" w:rsidP="00224F82">
      <w:pPr>
        <w:pStyle w:val="berschrift1"/>
      </w:pPr>
      <w:r>
        <w:t>[</w:t>
      </w:r>
      <w:r>
        <w:br/>
        <w:t>Y_F^{\operatorname{do}(X=x_1)}</w:t>
      </w:r>
    </w:p>
    <w:p w:rsidR="00224F82" w:rsidRDefault="00224F82" w:rsidP="00224F82">
      <w:pPr>
        <w:pStyle w:val="StandardWeb"/>
      </w:pPr>
      <w:r>
        <w:t>Y_F^{\operatorname{do}(X=x_0)}.</w:t>
      </w:r>
      <w:r>
        <w:br/>
        <w:t>\tag{3.12650}</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Y_F^{\operatorname{do}(X=x_1)}=Y_F^{\operatorname{do}(X=x_0)}</w:t>
      </w:r>
    </w:p>
    <w:p w:rsidR="00224F82" w:rsidRDefault="00224F82" w:rsidP="00224F82">
      <w:pPr>
        <w:pStyle w:val="StandardWeb"/>
      </w:pPr>
      <w:r>
        <w:t>Damit ist die Implikation widerlegt. (\square)</w:t>
      </w:r>
    </w:p>
    <w:p w:rsidR="00224F82" w:rsidRDefault="00E50336" w:rsidP="00224F82">
      <w:r>
        <w:pict>
          <v:rect id="_x0000_i4649" style="width:0;height:1.5pt" o:hralign="center" o:hrstd="t" o:hr="t" fillcolor="#a0a0a0" stroked="f"/>
        </w:pict>
      </w:r>
    </w:p>
    <w:p w:rsidR="00224F82" w:rsidRDefault="00224F82" w:rsidP="00224F82">
      <w:pPr>
        <w:pStyle w:val="berschrift1"/>
      </w:pPr>
      <w:r>
        <w:t>3.3.49.118 Korollar 3.3.37 – Beobachtungsdaten allein reichen für eine funktionale Kausalitätsaussage nicht aus</w:t>
      </w:r>
    </w:p>
    <w:p w:rsidR="00224F82" w:rsidRDefault="00224F82" w:rsidP="00224F82">
      <w:pPr>
        <w:pStyle w:val="berschrift3"/>
      </w:pPr>
      <w:r>
        <w:t>Korollar 3.3.37</w:t>
      </w:r>
    </w:p>
    <w:p w:rsidR="00224F82" w:rsidRDefault="00224F82" w:rsidP="00224F82">
      <w:pPr>
        <w:pStyle w:val="StandardWeb"/>
      </w:pPr>
      <w:r>
        <w:t>Aus Satz 3.3.165 folgt</w:t>
      </w:r>
    </w:p>
    <w:p w:rsidR="00224F82" w:rsidRDefault="00224F82" w:rsidP="00224F82">
      <w:pPr>
        <w:pStyle w:val="StandardWeb"/>
      </w:pPr>
      <w:r>
        <w:t>[</w:t>
      </w:r>
      <w:r>
        <w:br/>
        <w:t>\boxed{</w:t>
      </w:r>
      <w:r>
        <w:br/>
        <w:t>\text{Beobachtungsabhängigkeit}</w:t>
      </w:r>
      <w:r>
        <w:br/>
        <w:t>\not\Rightarrow</w:t>
      </w:r>
      <w:r>
        <w:br/>
        <w:t>\text{interventionelle Wirkung}.</w:t>
      </w:r>
      <w:r>
        <w:br/>
        <w:t>}</w:t>
      </w:r>
      <w:r>
        <w:br/>
      </w:r>
      <w:r>
        <w:lastRenderedPageBreak/>
        <w:t>\tag{3.12651}</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\boxed{\text{Beobachtungsabhängigkeit}\not\Rightarrow\text{interventionelle Wirkung}.}</w:t>
      </w:r>
    </w:p>
    <w:p w:rsidR="00224F82" w:rsidRDefault="00E50336" w:rsidP="00224F82">
      <w:r>
        <w:pict>
          <v:rect id="_x0000_i4650" style="width:0;height:1.5pt" o:hralign="center" o:hrstd="t" o:hr="t" fillcolor="#a0a0a0" stroked="f"/>
        </w:pict>
      </w:r>
    </w:p>
    <w:p w:rsidR="00224F82" w:rsidRDefault="00224F82" w:rsidP="00224F82">
      <w:pPr>
        <w:pStyle w:val="berschrift1"/>
      </w:pPr>
      <w:r>
        <w:t>3.3.49.119 Interventionelle Wirkung ohne beobachtete Abhängigkeit</w:t>
      </w:r>
    </w:p>
    <w:p w:rsidR="00224F82" w:rsidRDefault="00224F82" w:rsidP="00224F82">
      <w:pPr>
        <w:pStyle w:val="StandardWeb"/>
      </w:pPr>
      <w:r>
        <w:t>Auch die Umkehrung muss nicht allgemein gelten.</w:t>
      </w:r>
    </w:p>
    <w:p w:rsidR="00224F82" w:rsidRDefault="00224F82" w:rsidP="00224F82">
      <w:pPr>
        <w:pStyle w:val="StandardWeb"/>
      </w:pPr>
      <w:r>
        <w:t>Eine interventionelle Wirkung kann in beobachteten Daten verdeckt werden, beispielsweise durch kompensierende Einflüsse oder eingeschränkte Beobachtungsdomänen.</w:t>
      </w:r>
    </w:p>
    <w:p w:rsidR="00224F82" w:rsidRDefault="00224F82" w:rsidP="00224F82">
      <w:pPr>
        <w:pStyle w:val="StandardWeb"/>
      </w:pPr>
      <w:r>
        <w:t>Daher gilt nicht notwendig</w:t>
      </w:r>
    </w:p>
    <w:p w:rsidR="00224F82" w:rsidRDefault="00224F82" w:rsidP="00224F82">
      <w:pPr>
        <w:pStyle w:val="StandardWeb"/>
      </w:pPr>
      <w:r>
        <w:t>[</w:t>
      </w:r>
      <w:r>
        <w:br/>
        <w:t>Y_F^{\operatorname{do}(X=x_1)}</w:t>
      </w:r>
      <w:r>
        <w:br/>
        <w:t>\neq</w:t>
      </w:r>
      <w:r>
        <w:br/>
        <w:t>Y_F^{\operatorname{do}(X=x_0)}</w:t>
      </w:r>
      <w:r>
        <w:br/>
        <w:t>\Rightarrow</w:t>
      </w:r>
      <w:r>
        <w:br/>
        <w:t>X_F</w:t>
      </w:r>
      <w:r>
        <w:br/>
        <w:t>\not!\perp_{\mathrm{obs}}</w:t>
      </w:r>
      <w:r>
        <w:br/>
        <w:t>Y_F.</w:t>
      </w:r>
      <w:r>
        <w:br/>
        <w:t>\tag{3.12652}</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Y_F^{\operatorname{do}(X=x_1)}\neq Y_F^{\operatorname{do}(X=x_0)}\Rightarrow X_F\not\!\perp_{\mathrm{obs}}Y_F</w:t>
      </w:r>
    </w:p>
    <w:p w:rsidR="00224F82" w:rsidRDefault="00E50336" w:rsidP="00224F82">
      <w:r>
        <w:pict>
          <v:rect id="_x0000_i4651" style="width:0;height:1.5pt" o:hralign="center" o:hrstd="t" o:hr="t" fillcolor="#a0a0a0" stroked="f"/>
        </w:pict>
      </w:r>
    </w:p>
    <w:p w:rsidR="00224F82" w:rsidRDefault="00224F82" w:rsidP="00224F82">
      <w:pPr>
        <w:pStyle w:val="berschrift1"/>
      </w:pPr>
      <w:r>
        <w:t>3.3.49.120 Funktionaler Nettoeffekt</w:t>
      </w:r>
    </w:p>
    <w:p w:rsidR="00224F82" w:rsidRDefault="00224F82" w:rsidP="00224F82">
      <w:pPr>
        <w:pStyle w:val="StandardWeb"/>
      </w:pPr>
      <w:r>
        <w:t>Mehrere gerichtete Pfade können sich gegenseitig verstärken oder kompensieren.</w:t>
      </w:r>
    </w:p>
    <w:p w:rsidR="00224F82" w:rsidRDefault="00224F82" w:rsidP="00224F82">
      <w:pPr>
        <w:pStyle w:val="StandardWeb"/>
      </w:pPr>
      <w:r>
        <w:t>Seien zwei Pfade</w:t>
      </w:r>
    </w:p>
    <w:p w:rsidR="00224F82" w:rsidRDefault="00224F82" w:rsidP="00224F82">
      <w:pPr>
        <w:pStyle w:val="StandardWeb"/>
      </w:pPr>
      <w:r>
        <w:t>[</w:t>
      </w:r>
      <w:r>
        <w:br/>
        <w:t>p_1:</w:t>
      </w:r>
      <w:r>
        <w:br/>
        <w:t>X_F</w:t>
      </w:r>
      <w:r>
        <w:br/>
        <w:t>\leadsto</w:t>
      </w:r>
      <w:r>
        <w:br/>
        <w:t>Y_F</w:t>
      </w:r>
      <w:r>
        <w:br/>
        <w:t>\tag{3.12653}</w:t>
      </w:r>
      <w:r>
        <w:br/>
        <w:t>]</w:t>
      </w:r>
    </w:p>
    <w:p w:rsidR="00224F82" w:rsidRDefault="00224F82" w:rsidP="00224F82">
      <w:pPr>
        <w:pStyle w:val="StandardWeb"/>
      </w:pPr>
      <w:r>
        <w:rPr>
          <w:rStyle w:val="Fett"/>
        </w:rPr>
        <w:lastRenderedPageBreak/>
        <w:t>Word-LaTeX</w:t>
      </w:r>
    </w:p>
    <w:p w:rsidR="00224F82" w:rsidRDefault="00224F82" w:rsidP="00224F82">
      <w:pPr>
        <w:pStyle w:val="HTMLVorformatiert"/>
        <w:rPr>
          <w:rStyle w:val="HTMLCode"/>
        </w:rPr>
      </w:pPr>
      <w:r>
        <w:rPr>
          <w:rStyle w:val="HTMLCode"/>
        </w:rPr>
        <w:t>p_1:X_F\leadsto Y_F</w:t>
      </w:r>
    </w:p>
    <w:p w:rsidR="00224F82" w:rsidRDefault="00224F82" w:rsidP="00224F82">
      <w:pPr>
        <w:pStyle w:val="StandardWeb"/>
      </w:pPr>
      <w:r>
        <w:t>und</w:t>
      </w:r>
    </w:p>
    <w:p w:rsidR="00224F82" w:rsidRDefault="00224F82" w:rsidP="00224F82">
      <w:pPr>
        <w:pStyle w:val="StandardWeb"/>
      </w:pPr>
      <w:r>
        <w:t>[</w:t>
      </w:r>
      <w:r>
        <w:br/>
        <w:t>p_2:</w:t>
      </w:r>
      <w:r>
        <w:br/>
        <w:t>X_F</w:t>
      </w:r>
      <w:r>
        <w:br/>
        <w:t>\leadsto</w:t>
      </w:r>
      <w:r>
        <w:br/>
        <w:t>Y_F.</w:t>
      </w:r>
      <w:r>
        <w:br/>
        <w:t>\tag{3.12654}</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p_2:X_F\leadsto Y_F</w:t>
      </w:r>
    </w:p>
    <w:p w:rsidR="00224F82" w:rsidRDefault="00E50336" w:rsidP="00224F82">
      <w:r>
        <w:pict>
          <v:rect id="_x0000_i4652" style="width:0;height:1.5pt" o:hralign="center" o:hrstd="t" o:hr="t" fillcolor="#a0a0a0" stroked="f"/>
        </w:pict>
      </w:r>
    </w:p>
    <w:p w:rsidR="00224F82" w:rsidRDefault="00224F82" w:rsidP="00224F82">
      <w:pPr>
        <w:pStyle w:val="berschrift1"/>
      </w:pPr>
      <w:r>
        <w:t>3.3.49.121 Pfadbeitrag</w:t>
      </w:r>
    </w:p>
    <w:p w:rsidR="00224F82" w:rsidRDefault="00224F82" w:rsidP="00224F82">
      <w:pPr>
        <w:pStyle w:val="StandardWeb"/>
      </w:pPr>
      <w:r>
        <w:t>Einem Pfad (p) kann modellabhängig ein Beitrag</w:t>
      </w:r>
    </w:p>
    <w:p w:rsidR="00224F82" w:rsidRDefault="00224F82" w:rsidP="00224F82">
      <w:pPr>
        <w:pStyle w:val="StandardWeb"/>
      </w:pPr>
      <w:r>
        <w:t>[</w:t>
      </w:r>
      <w:r>
        <w:br/>
        <w:t>\eta_p</w:t>
      </w:r>
      <w:r>
        <w:br/>
        <w:t>\in</w:t>
      </w:r>
      <w:r>
        <w:br/>
        <w:t>\mathbb R</w:t>
      </w:r>
      <w:r>
        <w:br/>
        <w:t>\tag{3.12655}</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\eta_p\in\mathbb R</w:t>
      </w:r>
    </w:p>
    <w:p w:rsidR="00224F82" w:rsidRDefault="00224F82" w:rsidP="00224F82">
      <w:pPr>
        <w:pStyle w:val="StandardWeb"/>
      </w:pPr>
      <w:r>
        <w:t>zugeordnet werden.</w:t>
      </w:r>
    </w:p>
    <w:p w:rsidR="00224F82" w:rsidRDefault="00E50336" w:rsidP="00224F82">
      <w:r>
        <w:pict>
          <v:rect id="_x0000_i4653" style="width:0;height:1.5pt" o:hralign="center" o:hrstd="t" o:hr="t" fillcolor="#a0a0a0" stroked="f"/>
        </w:pict>
      </w:r>
    </w:p>
    <w:p w:rsidR="00224F82" w:rsidRDefault="00224F82" w:rsidP="00224F82">
      <w:pPr>
        <w:pStyle w:val="berschrift1"/>
      </w:pPr>
      <w:r>
        <w:t>3.3.49.122 Definition 3.3.408 – Funktionaler Pfadeinfluss</w:t>
      </w:r>
    </w:p>
    <w:p w:rsidR="00224F82" w:rsidRDefault="00224F82" w:rsidP="00224F82">
      <w:pPr>
        <w:pStyle w:val="berschrift3"/>
      </w:pPr>
      <w:r>
        <w:t>Definition 3.3.408</w:t>
      </w:r>
    </w:p>
    <w:p w:rsidR="00224F82" w:rsidRDefault="00224F82" w:rsidP="00224F82">
      <w:pPr>
        <w:pStyle w:val="StandardWeb"/>
      </w:pPr>
      <w:r>
        <w:t xml:space="preserve">Der </w:t>
      </w:r>
      <w:r>
        <w:rPr>
          <w:rStyle w:val="Fett"/>
        </w:rPr>
        <w:t>funktionale Pfadeinfluss</w:t>
      </w:r>
      <w:r>
        <w:t xml:space="preserve"> eines gerichteten Pfades (p) ist eine modellabhängig definierte Größe</w:t>
      </w:r>
    </w:p>
    <w:p w:rsidR="00224F82" w:rsidRDefault="00224F82" w:rsidP="00224F82">
      <w:pPr>
        <w:pStyle w:val="berschrift1"/>
      </w:pPr>
      <w:r>
        <w:lastRenderedPageBreak/>
        <w:t>[</w:t>
      </w:r>
      <w:r>
        <w:br/>
        <w:t>\boxed{</w:t>
      </w:r>
      <w:r>
        <w:br/>
        <w:t>\eta_p</w:t>
      </w:r>
    </w:p>
    <w:p w:rsidR="00224F82" w:rsidRDefault="00224F82" w:rsidP="00224F82">
      <w:pPr>
        <w:pStyle w:val="StandardWeb"/>
      </w:pPr>
      <w:r>
        <w:t>\eta(p).</w:t>
      </w:r>
      <w:r>
        <w:br/>
        <w:t>}</w:t>
      </w:r>
      <w:r>
        <w:br/>
        <w:t>\tag{3.12656}</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\boxed{\eta_p=\eta(p).}</w:t>
      </w:r>
    </w:p>
    <w:p w:rsidR="00224F82" w:rsidRDefault="00E50336" w:rsidP="00224F82">
      <w:r>
        <w:pict>
          <v:rect id="_x0000_i4654" style="width:0;height:1.5pt" o:hralign="center" o:hrstd="t" o:hr="t" fillcolor="#a0a0a0" stroked="f"/>
        </w:pict>
      </w:r>
    </w:p>
    <w:p w:rsidR="00224F82" w:rsidRDefault="00224F82" w:rsidP="00224F82">
      <w:pPr>
        <w:pStyle w:val="berschrift1"/>
      </w:pPr>
      <w:r>
        <w:t>3.3.49.123 Nettoeinfluss mehrerer Pfade</w:t>
      </w:r>
    </w:p>
    <w:p w:rsidR="00224F82" w:rsidRDefault="00224F82" w:rsidP="00224F82">
      <w:pPr>
        <w:pStyle w:val="StandardWeb"/>
      </w:pPr>
      <w:r>
        <w:t>Für eine Menge gerichteter Pfade</w:t>
      </w:r>
    </w:p>
    <w:p w:rsidR="00224F82" w:rsidRDefault="00224F82" w:rsidP="00224F82">
      <w:pPr>
        <w:pStyle w:val="StandardWeb"/>
      </w:pPr>
      <w:r>
        <w:t>[</w:t>
      </w:r>
      <w:r>
        <w:br/>
        <w:t>\mathcal P_{XY}</w:t>
      </w:r>
      <w:r>
        <w:br/>
        <w:t>\tag{3.12657}</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\mathcal P_{XY}</w:t>
      </w:r>
    </w:p>
    <w:p w:rsidR="00224F82" w:rsidRDefault="00224F82" w:rsidP="00224F82">
      <w:pPr>
        <w:pStyle w:val="StandardWeb"/>
      </w:pPr>
      <w:r>
        <w:t>kann ein Nettoeinfluss definiert werden als</w:t>
      </w:r>
    </w:p>
    <w:p w:rsidR="00224F82" w:rsidRDefault="00224F82" w:rsidP="00224F82">
      <w:pPr>
        <w:pStyle w:val="berschrift1"/>
      </w:pPr>
      <w:r>
        <w:t>[</w:t>
      </w:r>
      <w:r>
        <w:br/>
        <w:t>\eta_{XY}^{\mathrm{net}}</w:t>
      </w:r>
    </w:p>
    <w:p w:rsidR="00224F82" w:rsidRDefault="00224F82" w:rsidP="00224F82">
      <w:pPr>
        <w:pStyle w:val="StandardWeb"/>
      </w:pPr>
      <w:r>
        <w:t>\sum_{p\in\mathcal P_{XY}}</w:t>
      </w:r>
      <w:r>
        <w:br/>
        <w:t>\eta_p.</w:t>
      </w:r>
      <w:r>
        <w:br/>
        <w:t>\tag{3.12658}</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\eta_{XY}^{\mathrm{net}}=\sum_{p\in\mathcal P_{XY}}\eta_p</w:t>
      </w:r>
    </w:p>
    <w:p w:rsidR="00224F82" w:rsidRDefault="00E50336" w:rsidP="00224F82">
      <w:r>
        <w:pict>
          <v:rect id="_x0000_i4655" style="width:0;height:1.5pt" o:hralign="center" o:hrstd="t" o:hr="t" fillcolor="#a0a0a0" stroked="f"/>
        </w:pict>
      </w:r>
    </w:p>
    <w:p w:rsidR="00224F82" w:rsidRDefault="00224F82" w:rsidP="00224F82">
      <w:pPr>
        <w:pStyle w:val="berschrift1"/>
      </w:pPr>
      <w:r>
        <w:t>3.3.49.124 Definition 3.3.409 – Funktionaler Nettoeinfluss</w:t>
      </w:r>
    </w:p>
    <w:p w:rsidR="00224F82" w:rsidRDefault="00224F82" w:rsidP="00224F82">
      <w:pPr>
        <w:pStyle w:val="berschrift3"/>
      </w:pPr>
      <w:r>
        <w:t>Definition 3.3.409</w:t>
      </w:r>
    </w:p>
    <w:p w:rsidR="00224F82" w:rsidRDefault="00224F82" w:rsidP="00224F82">
      <w:pPr>
        <w:pStyle w:val="StandardWeb"/>
      </w:pPr>
      <w:r>
        <w:lastRenderedPageBreak/>
        <w:t xml:space="preserve">Der </w:t>
      </w:r>
      <w:r>
        <w:rPr>
          <w:rStyle w:val="Fett"/>
        </w:rPr>
        <w:t>funktionale Nettoeinfluss</w:t>
      </w:r>
      <w:r>
        <w:t xml:space="preserve"> zwischen (X_F) und (Y_F) ist</w:t>
      </w:r>
    </w:p>
    <w:p w:rsidR="00224F82" w:rsidRDefault="00224F82" w:rsidP="00224F82">
      <w:pPr>
        <w:pStyle w:val="StandardWeb"/>
      </w:pPr>
      <w:r>
        <w:t>[</w:t>
      </w:r>
      <w:r>
        <w:br/>
        <w:t>\boxed{</w:t>
      </w:r>
      <w:r>
        <w:br/>
        <w:t>\eta_{XY}^{\mathrm{net}}</w:t>
      </w:r>
      <w:r>
        <w:br/>
        <w:t>:=</w:t>
      </w:r>
      <w:r>
        <w:br/>
        <w:t>\sum_{p\in\mathcal P_{XY}}</w:t>
      </w:r>
      <w:r>
        <w:br/>
        <w:t>\eta_p,</w:t>
      </w:r>
      <w:r>
        <w:br/>
        <w:t>}</w:t>
      </w:r>
      <w:r>
        <w:br/>
        <w:t>\tag{3.12659}</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\boxed{\eta_{XY}^{\mathrm{net}}:=\sum_{p\in\mathcal P_{XY}}\eta_p,}</w:t>
      </w:r>
    </w:p>
    <w:p w:rsidR="00224F82" w:rsidRDefault="00224F82" w:rsidP="00224F82">
      <w:pPr>
        <w:pStyle w:val="StandardWeb"/>
      </w:pPr>
      <w:r>
        <w:t>sofern eine additive Pfadaggregation in der betrachteten Modellklasse zulässig ist.</w:t>
      </w:r>
    </w:p>
    <w:p w:rsidR="00224F82" w:rsidRDefault="00E50336" w:rsidP="00224F82">
      <w:r>
        <w:pict>
          <v:rect id="_x0000_i4656" style="width:0;height:1.5pt" o:hralign="center" o:hrstd="t" o:hr="t" fillcolor="#a0a0a0" stroked="f"/>
        </w:pict>
      </w:r>
    </w:p>
    <w:p w:rsidR="00224F82" w:rsidRDefault="00224F82" w:rsidP="00224F82">
      <w:pPr>
        <w:pStyle w:val="berschrift1"/>
      </w:pPr>
      <w:r>
        <w:t>3.3.49.125 Kompensation</w:t>
      </w:r>
    </w:p>
    <w:p w:rsidR="00224F82" w:rsidRDefault="00224F82" w:rsidP="00224F82">
      <w:pPr>
        <w:pStyle w:val="StandardWeb"/>
      </w:pPr>
      <w:r>
        <w:t>Es kann gelten</w:t>
      </w:r>
    </w:p>
    <w:p w:rsidR="00224F82" w:rsidRDefault="00224F82" w:rsidP="00224F82">
      <w:pPr>
        <w:pStyle w:val="berschrift1"/>
      </w:pPr>
      <w:r>
        <w:t>[</w:t>
      </w:r>
      <w:r>
        <w:br/>
        <w:t>\eta_{p_1}</w:t>
      </w:r>
    </w:p>
    <w:p w:rsidR="00224F82" w:rsidRDefault="00224F82" w:rsidP="00224F82">
      <w:pPr>
        <w:pStyle w:val="StandardWeb"/>
      </w:pPr>
      <w:r>
        <w:t>-\eta_{p_2}.</w:t>
      </w:r>
      <w:r>
        <w:br/>
        <w:t>\tag{3.12660}</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\eta_{p_1}=-\eta_{p_2}</w:t>
      </w:r>
    </w:p>
    <w:p w:rsidR="00224F82" w:rsidRDefault="00224F82" w:rsidP="00224F82">
      <w:pPr>
        <w:pStyle w:val="StandardWeb"/>
      </w:pPr>
      <w:r>
        <w:t>Dann folgt</w:t>
      </w:r>
    </w:p>
    <w:p w:rsidR="00224F82" w:rsidRDefault="00224F82" w:rsidP="00224F82">
      <w:pPr>
        <w:pStyle w:val="berschrift1"/>
      </w:pPr>
      <w:r>
        <w:t>[</w:t>
      </w:r>
      <w:r>
        <w:br/>
        <w:t>\eta_{XY}^{\mathrm{net}}</w:t>
      </w:r>
    </w:p>
    <w:p w:rsidR="00224F82" w:rsidRDefault="00224F82" w:rsidP="007B100B">
      <w:pPr>
        <w:numPr>
          <w:ilvl w:val="0"/>
          <w:numId w:val="568"/>
        </w:numPr>
        <w:spacing w:before="100" w:beforeAutospacing="1" w:after="100" w:afterAutospacing="1"/>
      </w:pPr>
    </w:p>
    <w:p w:rsidR="00224F82" w:rsidRDefault="00224F82" w:rsidP="00224F82">
      <w:pPr>
        <w:pStyle w:val="StandardWeb"/>
      </w:pPr>
      <w:r>
        <w:t>\tag{3.12661}</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\eta_{XY}^{\mathrm{net}}=0</w:t>
      </w:r>
    </w:p>
    <w:p w:rsidR="00224F82" w:rsidRDefault="00224F82" w:rsidP="00224F82">
      <w:pPr>
        <w:pStyle w:val="StandardWeb"/>
      </w:pPr>
      <w:r>
        <w:lastRenderedPageBreak/>
        <w:t>obwohl gerichtete Pfade vorhanden sind.</w:t>
      </w:r>
    </w:p>
    <w:p w:rsidR="00224F82" w:rsidRDefault="00E50336" w:rsidP="00224F82">
      <w:r>
        <w:pict>
          <v:rect id="_x0000_i4657" style="width:0;height:1.5pt" o:hralign="center" o:hrstd="t" o:hr="t" fillcolor="#a0a0a0" stroked="f"/>
        </w:pict>
      </w:r>
    </w:p>
    <w:p w:rsidR="00224F82" w:rsidRDefault="00224F82" w:rsidP="00224F82">
      <w:pPr>
        <w:pStyle w:val="berschrift1"/>
      </w:pPr>
      <w:r>
        <w:t>3.3.49.126 Struktureller Einfluss und Nettoeffekt</w:t>
      </w:r>
    </w:p>
    <w:p w:rsidR="00224F82" w:rsidRDefault="00224F82" w:rsidP="00224F82">
      <w:pPr>
        <w:pStyle w:val="StandardWeb"/>
      </w:pPr>
      <w:r>
        <w:t>Daraus folgt die wichtige Trennung</w:t>
      </w:r>
    </w:p>
    <w:p w:rsidR="00224F82" w:rsidRDefault="00224F82" w:rsidP="00224F82">
      <w:pPr>
        <w:pStyle w:val="StandardWeb"/>
      </w:pPr>
      <w:r>
        <w:t>[</w:t>
      </w:r>
      <w:r>
        <w:br/>
        <w:t>\boxed{</w:t>
      </w:r>
      <w:r>
        <w:br/>
        <w:t>X_F\leadsto Y_F</w:t>
      </w:r>
      <w:r>
        <w:br/>
        <w:t>\not\Rightarrow</w:t>
      </w:r>
      <w:r>
        <w:br/>
        <w:t>\eta_{XY}^{\mathrm{net}}\neq0.</w:t>
      </w:r>
      <w:r>
        <w:br/>
        <w:t>}</w:t>
      </w:r>
      <w:r>
        <w:br/>
        <w:t>\tag{3.12662}</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\boxed{X_F\leadsto Y_F\not\Rightarrow\eta_{XY}^{\mathrm{net}}\neq0.}</w:t>
      </w:r>
    </w:p>
    <w:p w:rsidR="00224F82" w:rsidRDefault="00E50336" w:rsidP="00224F82">
      <w:r>
        <w:pict>
          <v:rect id="_x0000_i4658" style="width:0;height:1.5pt" o:hralign="center" o:hrstd="t" o:hr="t" fillcolor="#a0a0a0" stroked="f"/>
        </w:pict>
      </w:r>
    </w:p>
    <w:p w:rsidR="00224F82" w:rsidRDefault="00224F82" w:rsidP="00224F82">
      <w:pPr>
        <w:pStyle w:val="berschrift1"/>
      </w:pPr>
      <w:r>
        <w:t>3.3.49.127 Funktionale Intervention unter Fixierung des Kontexts</w:t>
      </w:r>
    </w:p>
    <w:p w:rsidR="00224F82" w:rsidRDefault="00224F82" w:rsidP="00224F82">
      <w:pPr>
        <w:pStyle w:val="StandardWeb"/>
      </w:pPr>
      <w:r>
        <w:t>Eine Intervention muss definieren, welche übrigen Größen konstant gehalten werden.</w:t>
      </w:r>
    </w:p>
    <w:p w:rsidR="00224F82" w:rsidRDefault="00224F82" w:rsidP="00224F82">
      <w:pPr>
        <w:pStyle w:val="StandardWeb"/>
      </w:pPr>
      <w:r>
        <w:t>Ich schreibe hierfür</w:t>
      </w:r>
    </w:p>
    <w:p w:rsidR="00224F82" w:rsidRDefault="00224F82" w:rsidP="00224F82">
      <w:pPr>
        <w:pStyle w:val="StandardWeb"/>
      </w:pPr>
      <w:r>
        <w:t>[</w:t>
      </w:r>
      <w:r>
        <w:br/>
        <w:t>\operatorname{do}_F</w:t>
      </w:r>
      <w:r>
        <w:br/>
        <w:t>(X=x\mid C=c).</w:t>
      </w:r>
      <w:r>
        <w:br/>
        <w:t>\tag{3.12663}</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\operatorname{do}_F(X=x\mid C=c)</w:t>
      </w:r>
    </w:p>
    <w:p w:rsidR="00224F82" w:rsidRDefault="00E50336" w:rsidP="00224F82">
      <w:r>
        <w:pict>
          <v:rect id="_x0000_i4659" style="width:0;height:1.5pt" o:hralign="center" o:hrstd="t" o:hr="t" fillcolor="#a0a0a0" stroked="f"/>
        </w:pict>
      </w:r>
    </w:p>
    <w:p w:rsidR="00224F82" w:rsidRDefault="00224F82" w:rsidP="00224F82">
      <w:pPr>
        <w:pStyle w:val="berschrift1"/>
      </w:pPr>
      <w:r>
        <w:t>3.3.49.128 Definition 3.3.410 – Kontextfixierte funktionale Intervention</w:t>
      </w:r>
    </w:p>
    <w:p w:rsidR="00224F82" w:rsidRDefault="00224F82" w:rsidP="00224F82">
      <w:pPr>
        <w:pStyle w:val="berschrift3"/>
      </w:pPr>
      <w:r>
        <w:t>Definition 3.3.410</w:t>
      </w:r>
    </w:p>
    <w:p w:rsidR="00224F82" w:rsidRDefault="00224F82" w:rsidP="00224F82">
      <w:pPr>
        <w:pStyle w:val="StandardWeb"/>
      </w:pPr>
      <w:r>
        <w:t xml:space="preserve">Eine </w:t>
      </w:r>
      <w:r>
        <w:rPr>
          <w:rStyle w:val="Fett"/>
        </w:rPr>
        <w:t>kontextfixierte funktionale Intervention</w:t>
      </w:r>
      <w:r>
        <w:t xml:space="preserve"> ist</w:t>
      </w:r>
    </w:p>
    <w:p w:rsidR="00224F82" w:rsidRDefault="00224F82" w:rsidP="00224F82">
      <w:pPr>
        <w:pStyle w:val="StandardWeb"/>
      </w:pPr>
      <w:r>
        <w:lastRenderedPageBreak/>
        <w:t>[</w:t>
      </w:r>
      <w:r>
        <w:br/>
        <w:t>\boxed{</w:t>
      </w:r>
      <w:r>
        <w:br/>
        <w:t>\operatorname{do}_F</w:t>
      </w:r>
      <w:r>
        <w:br/>
        <w:t>(X=x\mid C=c),</w:t>
      </w:r>
      <w:r>
        <w:br/>
        <w:t>}</w:t>
      </w:r>
      <w:r>
        <w:br/>
        <w:t>\tag{3.12664}</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\boxed{\operatorname{do}_F(X=x\mid C=c),}</w:t>
      </w:r>
    </w:p>
    <w:p w:rsidR="00224F82" w:rsidRDefault="00224F82" w:rsidP="00224F82">
      <w:pPr>
        <w:pStyle w:val="StandardWeb"/>
      </w:pPr>
      <w:r>
        <w:t>wobei (C) die während des Interventionsvergleichs festgehaltenen Kontextgrößen bezeichnet.</w:t>
      </w:r>
    </w:p>
    <w:p w:rsidR="00224F82" w:rsidRDefault="00E50336" w:rsidP="00224F82">
      <w:r>
        <w:pict>
          <v:rect id="_x0000_i4660" style="width:0;height:1.5pt" o:hralign="center" o:hrstd="t" o:hr="t" fillcolor="#a0a0a0" stroked="f"/>
        </w:pict>
      </w:r>
    </w:p>
    <w:p w:rsidR="00224F82" w:rsidRDefault="00224F82" w:rsidP="00224F82">
      <w:pPr>
        <w:pStyle w:val="berschrift1"/>
      </w:pPr>
      <w:r>
        <w:t>3.3.49.129 Kontextabhängiger Interventionseffekt</w:t>
      </w:r>
    </w:p>
    <w:p w:rsidR="00224F82" w:rsidRDefault="00224F82" w:rsidP="00224F82">
      <w:pPr>
        <w:pStyle w:val="StandardWeb"/>
      </w:pPr>
      <w:r>
        <w:t>Dann kann</w:t>
      </w:r>
    </w:p>
    <w:p w:rsidR="00224F82" w:rsidRDefault="00224F82" w:rsidP="00224F82">
      <w:pPr>
        <w:pStyle w:val="StandardWeb"/>
      </w:pPr>
      <w:r>
        <w:t>[</w:t>
      </w:r>
      <w:r>
        <w:br/>
        <w:t>\Delta_{\operatorname{do}}</w:t>
      </w:r>
      <w:r>
        <w:br/>
        <w:t>Y_F</w:t>
      </w:r>
      <w:r>
        <w:br/>
        <w:t>\mid</w:t>
      </w:r>
      <w:r>
        <w:br/>
        <w:t>C=c</w:t>
      </w:r>
      <w:r>
        <w:br/>
        <w:t>\tag{3.12665}</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\Delta_{\operatorname{do}}Y_F\mid C=c</w:t>
      </w:r>
    </w:p>
    <w:p w:rsidR="00224F82" w:rsidRDefault="00224F82" w:rsidP="00224F82">
      <w:pPr>
        <w:pStyle w:val="StandardWeb"/>
      </w:pPr>
      <w:r>
        <w:t>definiert werden.</w:t>
      </w:r>
    </w:p>
    <w:p w:rsidR="00224F82" w:rsidRDefault="00E50336" w:rsidP="00224F82">
      <w:r>
        <w:pict>
          <v:rect id="_x0000_i4661" style="width:0;height:1.5pt" o:hralign="center" o:hrstd="t" o:hr="t" fillcolor="#a0a0a0" stroked="f"/>
        </w:pict>
      </w:r>
    </w:p>
    <w:p w:rsidR="00224F82" w:rsidRDefault="00224F82" w:rsidP="00224F82">
      <w:pPr>
        <w:pStyle w:val="berschrift1"/>
      </w:pPr>
      <w:r>
        <w:t>3.3.49.130 Definition 3.3.411 – Kontextfixierter Interventionseffekt</w:t>
      </w:r>
    </w:p>
    <w:p w:rsidR="00224F82" w:rsidRDefault="00224F82" w:rsidP="00224F82">
      <w:pPr>
        <w:pStyle w:val="berschrift3"/>
      </w:pPr>
      <w:r>
        <w:t>Definition 3.3.411</w:t>
      </w:r>
    </w:p>
    <w:p w:rsidR="00224F82" w:rsidRDefault="00224F82" w:rsidP="00224F82">
      <w:pPr>
        <w:pStyle w:val="StandardWeb"/>
      </w:pPr>
      <w:r>
        <w:t xml:space="preserve">Der </w:t>
      </w:r>
      <w:r>
        <w:rPr>
          <w:rStyle w:val="Fett"/>
        </w:rPr>
        <w:t>kontextfixierte funktionale Interventionseffekt</w:t>
      </w:r>
      <w:r>
        <w:t xml:space="preserve"> ist</w:t>
      </w:r>
    </w:p>
    <w:p w:rsidR="00224F82" w:rsidRDefault="00224F82" w:rsidP="00224F82">
      <w:pPr>
        <w:pStyle w:val="berschrift1"/>
      </w:pPr>
      <w:r>
        <w:t>[</w:t>
      </w:r>
      <w:r>
        <w:br/>
        <w:t>\boxed{</w:t>
      </w:r>
      <w:r>
        <w:br/>
        <w:t>\Delta_{\operatorname{do}}Y_F</w:t>
      </w:r>
      <w:r>
        <w:br/>
        <w:t>\mid C=c</w:t>
      </w:r>
    </w:p>
    <w:p w:rsidR="00224F82" w:rsidRDefault="00224F82" w:rsidP="00224F82">
      <w:pPr>
        <w:pStyle w:val="berschrift2"/>
      </w:pPr>
      <w:r>
        <w:lastRenderedPageBreak/>
        <w:t>Y_F^{\operatorname{do}(X=x_1)\mid C=c}</w:t>
      </w:r>
    </w:p>
    <w:p w:rsidR="00224F82" w:rsidRDefault="00224F82" w:rsidP="00224F82">
      <w:pPr>
        <w:pStyle w:val="StandardWeb"/>
      </w:pPr>
      <w:r>
        <w:t>Y_F^{\operatorname{do}(X=x_0)\mid C=c}.</w:t>
      </w:r>
      <w:r>
        <w:br/>
        <w:t>}</w:t>
      </w:r>
      <w:r>
        <w:br/>
        <w:t>\tag{3.12666}</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\boxed{\Delta_{\operatorname{do}}Y_F\mid C=c=Y_F^{\operatorname{do}(X=x_1)\mid C=c}-Y_F^{\operatorname{do}(X=x_0)\mid C=c}.}</w:t>
      </w:r>
    </w:p>
    <w:p w:rsidR="00224F82" w:rsidRDefault="00E50336" w:rsidP="00224F82">
      <w:r>
        <w:pict>
          <v:rect id="_x0000_i4662" style="width:0;height:1.5pt" o:hralign="center" o:hrstd="t" o:hr="t" fillcolor="#a0a0a0" stroked="f"/>
        </w:pict>
      </w:r>
    </w:p>
    <w:p w:rsidR="00224F82" w:rsidRDefault="00224F82" w:rsidP="00224F82">
      <w:pPr>
        <w:pStyle w:val="berschrift1"/>
      </w:pPr>
      <w:r>
        <w:t>3.3.49.131 Kontextvariation</w:t>
      </w:r>
    </w:p>
    <w:p w:rsidR="00224F82" w:rsidRDefault="00224F82" w:rsidP="00224F82">
      <w:pPr>
        <w:pStyle w:val="StandardWeb"/>
      </w:pPr>
      <w:r>
        <w:t>Für zwei Kontexte</w:t>
      </w:r>
    </w:p>
    <w:p w:rsidR="00224F82" w:rsidRDefault="00224F82" w:rsidP="00224F82">
      <w:pPr>
        <w:pStyle w:val="StandardWeb"/>
      </w:pPr>
      <w:r>
        <w:t>[</w:t>
      </w:r>
      <w:r>
        <w:br/>
        <w:t>c_1</w:t>
      </w:r>
      <w:r>
        <w:br/>
        <w:t>\neq</w:t>
      </w:r>
      <w:r>
        <w:br/>
        <w:t>c_2</w:t>
      </w:r>
      <w:r>
        <w:br/>
        <w:t>\tag{3.12667}</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c_1\neq c_2</w:t>
      </w:r>
    </w:p>
    <w:p w:rsidR="00224F82" w:rsidRDefault="00224F82" w:rsidP="00224F82">
      <w:pPr>
        <w:pStyle w:val="StandardWeb"/>
      </w:pPr>
      <w:r>
        <w:t>kann gelten</w:t>
      </w:r>
    </w:p>
    <w:p w:rsidR="00224F82" w:rsidRDefault="00224F82" w:rsidP="00224F82">
      <w:pPr>
        <w:pStyle w:val="StandardWeb"/>
      </w:pPr>
      <w:r>
        <w:t>[</w:t>
      </w:r>
      <w:r>
        <w:br/>
        <w:t>\Delta_{\operatorname{do}}Y_F</w:t>
      </w:r>
      <w:r>
        <w:br/>
        <w:t>\mid C=c_1</w:t>
      </w:r>
      <w:r>
        <w:br/>
        <w:t>\neq</w:t>
      </w:r>
      <w:r>
        <w:br/>
        <w:t>\Delta_{\operatorname{do}}Y_F</w:t>
      </w:r>
      <w:r>
        <w:br/>
        <w:t>\mid C=c_2.</w:t>
      </w:r>
      <w:r>
        <w:br/>
        <w:t>\tag{3.12668}</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\Delta_{\operatorname{do}}Y_F\mid C=c_1\neq\Delta_{\operatorname{do}}Y_F\mid C=c_2</w:t>
      </w:r>
    </w:p>
    <w:p w:rsidR="00224F82" w:rsidRDefault="00E50336" w:rsidP="00224F82">
      <w:r>
        <w:pict>
          <v:rect id="_x0000_i4663" style="width:0;height:1.5pt" o:hralign="center" o:hrstd="t" o:hr="t" fillcolor="#a0a0a0" stroked="f"/>
        </w:pict>
      </w:r>
    </w:p>
    <w:p w:rsidR="00224F82" w:rsidRDefault="00224F82" w:rsidP="00224F82">
      <w:pPr>
        <w:pStyle w:val="berschrift1"/>
      </w:pPr>
      <w:r>
        <w:t>3.3.49.132 Definition 3.3.412 – Funktionale Effektmodifikation</w:t>
      </w:r>
    </w:p>
    <w:p w:rsidR="00224F82" w:rsidRDefault="00224F82" w:rsidP="00224F82">
      <w:pPr>
        <w:pStyle w:val="berschrift3"/>
      </w:pPr>
      <w:r>
        <w:t>Definition 3.3.412</w:t>
      </w:r>
    </w:p>
    <w:p w:rsidR="00224F82" w:rsidRDefault="00224F82" w:rsidP="00224F82">
      <w:pPr>
        <w:pStyle w:val="StandardWeb"/>
      </w:pPr>
      <w:r>
        <w:lastRenderedPageBreak/>
        <w:t xml:space="preserve">Eine Kontextgröße (C) heißt </w:t>
      </w:r>
      <w:r>
        <w:rPr>
          <w:rStyle w:val="Fett"/>
        </w:rPr>
        <w:t>funktionaler Effektmodifikator</w:t>
      </w:r>
      <w:r>
        <w:t>, wenn</w:t>
      </w:r>
    </w:p>
    <w:p w:rsidR="00224F82" w:rsidRDefault="00224F82" w:rsidP="00224F82">
      <w:pPr>
        <w:pStyle w:val="StandardWeb"/>
      </w:pPr>
      <w:r>
        <w:t>[</w:t>
      </w:r>
      <w:r>
        <w:br/>
        <w:t>\boxed{</w:t>
      </w:r>
      <w:r>
        <w:br/>
        <w:t>\exists c_1\neq c_2:</w:t>
      </w:r>
      <w:r>
        <w:br/>
        <w:t>\Delta_{\operatorname{do}}Y_F</w:t>
      </w:r>
      <w:r>
        <w:br/>
        <w:t>\mid C=c_1</w:t>
      </w:r>
      <w:r>
        <w:br/>
        <w:t>\neq</w:t>
      </w:r>
      <w:r>
        <w:br/>
        <w:t>\Delta_{\operatorname{do}}Y_F</w:t>
      </w:r>
      <w:r>
        <w:br/>
        <w:t>\mid C=c_2.</w:t>
      </w:r>
      <w:r>
        <w:br/>
        <w:t>}</w:t>
      </w:r>
      <w:r>
        <w:br/>
        <w:t>\tag{3.12669}</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\boxed{\exists c_1\neq c_2:\Delta_{\operatorname{do}}Y_F\mid C=c_1\neq\Delta_{\operatorname{do}}Y_F\mid C=c_2.}</w:t>
      </w:r>
    </w:p>
    <w:p w:rsidR="00224F82" w:rsidRDefault="00E50336" w:rsidP="00224F82">
      <w:r>
        <w:pict>
          <v:rect id="_x0000_i4664" style="width:0;height:1.5pt" o:hralign="center" o:hrstd="t" o:hr="t" fillcolor="#a0a0a0" stroked="f"/>
        </w:pict>
      </w:r>
    </w:p>
    <w:p w:rsidR="00224F82" w:rsidRDefault="00224F82" w:rsidP="00224F82">
      <w:pPr>
        <w:pStyle w:val="berschrift1"/>
      </w:pPr>
      <w:r>
        <w:t>3.3.49.133 Direkter funktionaler Interventionseffekt</w:t>
      </w:r>
    </w:p>
    <w:p w:rsidR="00224F82" w:rsidRDefault="00224F82" w:rsidP="00224F82">
      <w:pPr>
        <w:pStyle w:val="StandardWeb"/>
      </w:pPr>
      <w:r>
        <w:t>Ein direkter Effekt soll nur den Einfluss erfassen, der nicht über bestimmte Zwischenknoten vermittelt wird.</w:t>
      </w:r>
    </w:p>
    <w:p w:rsidR="00224F82" w:rsidRDefault="00224F82" w:rsidP="00224F82">
      <w:pPr>
        <w:pStyle w:val="StandardWeb"/>
      </w:pPr>
      <w:r>
        <w:t>Sei (M_F) eine Zwischenvariable.</w:t>
      </w:r>
    </w:p>
    <w:p w:rsidR="00224F82" w:rsidRDefault="00224F82" w:rsidP="00224F82">
      <w:pPr>
        <w:pStyle w:val="StandardWeb"/>
      </w:pPr>
      <w:r>
        <w:t>Die elementare Struktur lautet</w:t>
      </w:r>
    </w:p>
    <w:p w:rsidR="00224F82" w:rsidRDefault="00224F82" w:rsidP="00224F82">
      <w:pPr>
        <w:pStyle w:val="StandardWeb"/>
      </w:pPr>
      <w:r>
        <w:t>[</w:t>
      </w:r>
      <w:r>
        <w:br/>
        <w:t>X_F</w:t>
      </w:r>
      <w:r>
        <w:br/>
        <w:t>\rightsquigarrow</w:t>
      </w:r>
      <w:r>
        <w:br/>
        <w:t>M_F</w:t>
      </w:r>
      <w:r>
        <w:br/>
        <w:t>\rightsquigarrow</w:t>
      </w:r>
      <w:r>
        <w:br/>
        <w:t>Y_F.</w:t>
      </w:r>
      <w:r>
        <w:br/>
        <w:t>\tag{3.12670}</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X_F\rightsquigarrow M_F\rightsquigarrow Y_F</w:t>
      </w:r>
    </w:p>
    <w:p w:rsidR="00224F82" w:rsidRDefault="00E50336" w:rsidP="00224F82">
      <w:r>
        <w:pict>
          <v:rect id="_x0000_i4665" style="width:0;height:1.5pt" o:hralign="center" o:hrstd="t" o:hr="t" fillcolor="#a0a0a0" stroked="f"/>
        </w:pict>
      </w:r>
    </w:p>
    <w:p w:rsidR="00224F82" w:rsidRDefault="00224F82" w:rsidP="00224F82">
      <w:pPr>
        <w:pStyle w:val="berschrift1"/>
      </w:pPr>
      <w:r>
        <w:t>3.3.49.134 Definition 3.3.413 – Funktionaler Mediator</w:t>
      </w:r>
    </w:p>
    <w:p w:rsidR="00224F82" w:rsidRDefault="00224F82" w:rsidP="00224F82">
      <w:pPr>
        <w:pStyle w:val="berschrift3"/>
      </w:pPr>
      <w:r>
        <w:t>Definition 3.3.413</w:t>
      </w:r>
    </w:p>
    <w:p w:rsidR="00224F82" w:rsidRDefault="00224F82" w:rsidP="00224F82">
      <w:pPr>
        <w:pStyle w:val="StandardWeb"/>
      </w:pPr>
      <w:r>
        <w:t xml:space="preserve">Eine Größe (M_F) heißt </w:t>
      </w:r>
      <w:r>
        <w:rPr>
          <w:rStyle w:val="Fett"/>
        </w:rPr>
        <w:t>funktionaler Mediator</w:t>
      </w:r>
      <w:r>
        <w:t xml:space="preserve"> zwischen (X_F) und (Y_F), wenn</w:t>
      </w:r>
    </w:p>
    <w:p w:rsidR="00224F82" w:rsidRDefault="00224F82" w:rsidP="00224F82">
      <w:pPr>
        <w:pStyle w:val="StandardWeb"/>
      </w:pPr>
      <w:r>
        <w:lastRenderedPageBreak/>
        <w:t>[</w:t>
      </w:r>
      <w:r>
        <w:br/>
        <w:t>\boxed{</w:t>
      </w:r>
      <w:r>
        <w:br/>
        <w:t>X_F</w:t>
      </w:r>
      <w:r>
        <w:br/>
        <w:t>\rightsquigarrow</w:t>
      </w:r>
      <w:r>
        <w:br/>
        <w:t>M_F</w:t>
      </w:r>
      <w:r>
        <w:br/>
        <w:t>\rightsquigarrow</w:t>
      </w:r>
      <w:r>
        <w:br/>
        <w:t>Y_F.</w:t>
      </w:r>
      <w:r>
        <w:br/>
        <w:t>}</w:t>
      </w:r>
      <w:r>
        <w:br/>
        <w:t>\tag{3.12671}</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\boxed{X_F\rightsquigarrow M_F\rightsquigarrow Y_F.}</w:t>
      </w:r>
    </w:p>
    <w:p w:rsidR="00224F82" w:rsidRDefault="00E50336" w:rsidP="00224F82">
      <w:r>
        <w:pict>
          <v:rect id="_x0000_i4666" style="width:0;height:1.5pt" o:hralign="center" o:hrstd="t" o:hr="t" fillcolor="#a0a0a0" stroked="f"/>
        </w:pict>
      </w:r>
    </w:p>
    <w:p w:rsidR="00224F82" w:rsidRDefault="00224F82" w:rsidP="00224F82">
      <w:pPr>
        <w:pStyle w:val="berschrift1"/>
      </w:pPr>
      <w:r>
        <w:t>3.3.49.135 Mediation und direkte Kante</w:t>
      </w:r>
    </w:p>
    <w:p w:rsidR="00224F82" w:rsidRDefault="00224F82" w:rsidP="00224F82">
      <w:pPr>
        <w:pStyle w:val="StandardWeb"/>
      </w:pPr>
      <w:r>
        <w:t>Zusätzlich kann eine direkte Kante</w:t>
      </w:r>
    </w:p>
    <w:p w:rsidR="00224F82" w:rsidRDefault="00224F82" w:rsidP="00224F82">
      <w:pPr>
        <w:pStyle w:val="StandardWeb"/>
      </w:pPr>
      <w:r>
        <w:t>[</w:t>
      </w:r>
      <w:r>
        <w:br/>
        <w:t>X_F</w:t>
      </w:r>
      <w:r>
        <w:br/>
        <w:t>\rightsquigarrow</w:t>
      </w:r>
      <w:r>
        <w:br/>
        <w:t>Y_F</w:t>
      </w:r>
      <w:r>
        <w:br/>
        <w:t>\tag{3.12672}</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X_F\rightsquigarrow Y_F</w:t>
      </w:r>
    </w:p>
    <w:p w:rsidR="00224F82" w:rsidRDefault="00224F82" w:rsidP="00224F82">
      <w:pPr>
        <w:pStyle w:val="StandardWeb"/>
      </w:pPr>
      <w:r>
        <w:t>existieren.</w:t>
      </w:r>
    </w:p>
    <w:p w:rsidR="00224F82" w:rsidRDefault="00224F82" w:rsidP="00224F82">
      <w:pPr>
        <w:pStyle w:val="StandardWeb"/>
      </w:pPr>
      <w:r>
        <w:t>Dann bestehen ein direkter und mindestens ein indirekter Einflussweg.</w:t>
      </w:r>
    </w:p>
    <w:p w:rsidR="00224F82" w:rsidRDefault="00E50336" w:rsidP="00224F82">
      <w:r>
        <w:pict>
          <v:rect id="_x0000_i4667" style="width:0;height:1.5pt" o:hralign="center" o:hrstd="t" o:hr="t" fillcolor="#a0a0a0" stroked="f"/>
        </w:pict>
      </w:r>
    </w:p>
    <w:p w:rsidR="00224F82" w:rsidRDefault="00224F82" w:rsidP="00224F82">
      <w:pPr>
        <w:pStyle w:val="berschrift1"/>
      </w:pPr>
      <w:r>
        <w:t>3.3.49.136 Funktionale Mediation</w:t>
      </w:r>
    </w:p>
    <w:p w:rsidR="00224F82" w:rsidRDefault="00224F82" w:rsidP="00224F82">
      <w:pPr>
        <w:pStyle w:val="StandardWeb"/>
      </w:pPr>
      <w:r>
        <w:t>Die vermittelte Einflussstruktur kann formal geschrieben werden als</w:t>
      </w:r>
    </w:p>
    <w:p w:rsidR="00224F82" w:rsidRDefault="00224F82" w:rsidP="00224F82">
      <w:pPr>
        <w:pStyle w:val="StandardWeb"/>
      </w:pPr>
      <w:r>
        <w:t>[</w:t>
      </w:r>
      <w:r>
        <w:br/>
        <w:t>X_F</w:t>
      </w:r>
      <w:r>
        <w:br/>
        <w:t>\rightarrow</w:t>
      </w:r>
      <w:r>
        <w:br/>
        <w:t>M_F</w:t>
      </w:r>
      <w:r>
        <w:br/>
        <w:t>\rightarrow</w:t>
      </w:r>
      <w:r>
        <w:br/>
        <w:t>Y_F.</w:t>
      </w:r>
      <w:r>
        <w:br/>
        <w:t>\tag{3.12673}</w:t>
      </w:r>
      <w:r>
        <w:br/>
        <w:t>]</w:t>
      </w:r>
    </w:p>
    <w:p w:rsidR="00224F82" w:rsidRDefault="00224F82" w:rsidP="00224F82">
      <w:pPr>
        <w:pStyle w:val="StandardWeb"/>
      </w:pPr>
      <w:r>
        <w:rPr>
          <w:rStyle w:val="Fett"/>
        </w:rPr>
        <w:lastRenderedPageBreak/>
        <w:t>Word-LaTeX</w:t>
      </w:r>
    </w:p>
    <w:p w:rsidR="00224F82" w:rsidRDefault="00224F82" w:rsidP="00224F82">
      <w:pPr>
        <w:pStyle w:val="HTMLVorformatiert"/>
        <w:rPr>
          <w:rStyle w:val="HTMLCode"/>
        </w:rPr>
      </w:pPr>
      <w:r>
        <w:rPr>
          <w:rStyle w:val="HTMLCode"/>
        </w:rPr>
        <w:t>X_F\rightarrow M_F\rightarrow Y_F</w:t>
      </w:r>
    </w:p>
    <w:p w:rsidR="00224F82" w:rsidRDefault="00E50336" w:rsidP="00224F82">
      <w:r>
        <w:pict>
          <v:rect id="_x0000_i4668" style="width:0;height:1.5pt" o:hralign="center" o:hrstd="t" o:hr="t" fillcolor="#a0a0a0" stroked="f"/>
        </w:pict>
      </w:r>
    </w:p>
    <w:p w:rsidR="00224F82" w:rsidRDefault="00224F82" w:rsidP="00224F82">
      <w:pPr>
        <w:pStyle w:val="berschrift1"/>
      </w:pPr>
      <w:r>
        <w:t>3.3.49.137 Definition 3.3.414 – Funktionale Mediation</w:t>
      </w:r>
    </w:p>
    <w:p w:rsidR="00224F82" w:rsidRDefault="00224F82" w:rsidP="00224F82">
      <w:pPr>
        <w:pStyle w:val="berschrift3"/>
      </w:pPr>
      <w:r>
        <w:t>Definition 3.3.414</w:t>
      </w:r>
    </w:p>
    <w:p w:rsidR="00224F82" w:rsidRDefault="00224F82" w:rsidP="00224F82">
      <w:pPr>
        <w:pStyle w:val="StandardWeb"/>
      </w:pPr>
      <w:r>
        <w:t xml:space="preserve">Eine </w:t>
      </w:r>
      <w:r>
        <w:rPr>
          <w:rStyle w:val="Fett"/>
        </w:rPr>
        <w:t>funktionale Mediation</w:t>
      </w:r>
      <w:r>
        <w:t xml:space="preserve"> liegt vor, wenn mindestens ein gerichteter Einfluss von (X_F) nach (Y_F) über einen Zwischenknoten (M_F) verläuft:</w:t>
      </w:r>
    </w:p>
    <w:p w:rsidR="00224F82" w:rsidRDefault="00224F82" w:rsidP="00224F82">
      <w:pPr>
        <w:pStyle w:val="StandardWeb"/>
      </w:pPr>
      <w:r>
        <w:t>[</w:t>
      </w:r>
      <w:r>
        <w:br/>
        <w:t>\boxed{</w:t>
      </w:r>
      <w:r>
        <w:br/>
        <w:t>X_F</w:t>
      </w:r>
      <w:r>
        <w:br/>
        <w:t>\rightsquigarrow</w:t>
      </w:r>
      <w:r>
        <w:br/>
        <w:t>M_F</w:t>
      </w:r>
      <w:r>
        <w:br/>
        <w:t>\rightsquigarrow</w:t>
      </w:r>
      <w:r>
        <w:br/>
        <w:t>Y_F.</w:t>
      </w:r>
      <w:r>
        <w:br/>
        <w:t>}</w:t>
      </w:r>
      <w:r>
        <w:br/>
        <w:t>\tag{3.12674}</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\boxed{X_F\rightsquigarrow M_F\rightsquigarrow Y_F.}</w:t>
      </w:r>
    </w:p>
    <w:p w:rsidR="00224F82" w:rsidRDefault="00E50336" w:rsidP="00224F82">
      <w:r>
        <w:pict>
          <v:rect id="_x0000_i4669" style="width:0;height:1.5pt" o:hralign="center" o:hrstd="t" o:hr="t" fillcolor="#a0a0a0" stroked="f"/>
        </w:pict>
      </w:r>
    </w:p>
    <w:p w:rsidR="00224F82" w:rsidRDefault="00224F82" w:rsidP="00224F82">
      <w:pPr>
        <w:pStyle w:val="berschrift1"/>
      </w:pPr>
      <w:r>
        <w:t>3.3.49.138 Gemeinsame Ursache und Mediator sind verschieden</w:t>
      </w:r>
    </w:p>
    <w:p w:rsidR="00224F82" w:rsidRDefault="00224F82" w:rsidP="00224F82">
      <w:pPr>
        <w:pStyle w:val="StandardWeb"/>
      </w:pPr>
      <w:r>
        <w:t>Eine Konfundierungsstruktur besitzt die Form</w:t>
      </w:r>
    </w:p>
    <w:p w:rsidR="00224F82" w:rsidRDefault="00224F82" w:rsidP="00224F82">
      <w:pPr>
        <w:pStyle w:val="StandardWeb"/>
      </w:pPr>
      <w:r>
        <w:t>[</w:t>
      </w:r>
      <w:r>
        <w:br/>
        <w:t>X_F</w:t>
      </w:r>
      <w:r>
        <w:br/>
        <w:t>\leftarrow</w:t>
      </w:r>
      <w:r>
        <w:br/>
        <w:t>Z_F</w:t>
      </w:r>
      <w:r>
        <w:br/>
        <w:t>\rightarrow</w:t>
      </w:r>
      <w:r>
        <w:br/>
        <w:t>Y_F,</w:t>
      </w:r>
      <w:r>
        <w:br/>
        <w:t>\tag{3.12675}</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X_F\leftarrow Z_F\rightarrow Y_F</w:t>
      </w:r>
    </w:p>
    <w:p w:rsidR="00224F82" w:rsidRDefault="00224F82" w:rsidP="00224F82">
      <w:pPr>
        <w:pStyle w:val="StandardWeb"/>
      </w:pPr>
      <w:r>
        <w:t>während eine Mediationsstruktur die Form</w:t>
      </w:r>
    </w:p>
    <w:p w:rsidR="00224F82" w:rsidRDefault="00224F82" w:rsidP="00224F82">
      <w:pPr>
        <w:pStyle w:val="StandardWeb"/>
      </w:pPr>
      <w:r>
        <w:t>[</w:t>
      </w:r>
      <w:r>
        <w:br/>
        <w:t>X_F</w:t>
      </w:r>
      <w:r>
        <w:br/>
      </w:r>
      <w:r>
        <w:lastRenderedPageBreak/>
        <w:t>\rightarrow</w:t>
      </w:r>
      <w:r>
        <w:br/>
        <w:t>M_F</w:t>
      </w:r>
      <w:r>
        <w:br/>
        <w:t>\rightarrow</w:t>
      </w:r>
      <w:r>
        <w:br/>
        <w:t>Y_F</w:t>
      </w:r>
      <w:r>
        <w:br/>
        <w:t>\tag{3.12676}</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X_F\rightarrow M_F\rightarrow Y_F</w:t>
      </w:r>
    </w:p>
    <w:p w:rsidR="00224F82" w:rsidRDefault="00224F82" w:rsidP="00224F82">
      <w:pPr>
        <w:pStyle w:val="StandardWeb"/>
      </w:pPr>
      <w:r>
        <w:t>besitzt.</w:t>
      </w:r>
    </w:p>
    <w:p w:rsidR="00224F82" w:rsidRDefault="00E50336" w:rsidP="00224F82">
      <w:r>
        <w:pict>
          <v:rect id="_x0000_i4670" style="width:0;height:1.5pt" o:hralign="center" o:hrstd="t" o:hr="t" fillcolor="#a0a0a0" stroked="f"/>
        </w:pict>
      </w:r>
    </w:p>
    <w:p w:rsidR="00224F82" w:rsidRDefault="00224F82" w:rsidP="00224F82">
      <w:pPr>
        <w:pStyle w:val="berschrift1"/>
      </w:pPr>
      <w:r>
        <w:t>3.3.49.139 Methodologische Trennung von Konfundierung und Mediation</w:t>
      </w:r>
    </w:p>
    <w:p w:rsidR="00224F82" w:rsidRDefault="00224F82" w:rsidP="00224F82">
      <w:pPr>
        <w:pStyle w:val="StandardWeb"/>
      </w:pPr>
      <w:r>
        <w:t>Daher gilt</w:t>
      </w:r>
    </w:p>
    <w:p w:rsidR="00224F82" w:rsidRDefault="00224F82" w:rsidP="00224F82">
      <w:pPr>
        <w:pStyle w:val="StandardWeb"/>
      </w:pPr>
      <w:r>
        <w:t>[</w:t>
      </w:r>
      <w:r>
        <w:br/>
        <w:t>\boxed{</w:t>
      </w:r>
      <w:r>
        <w:br/>
        <w:t>\text{Konfundierung}</w:t>
      </w:r>
      <w:r>
        <w:br/>
        <w:t>\not\equiv</w:t>
      </w:r>
      <w:r>
        <w:br/>
        <w:t>\text{Mediation}.</w:t>
      </w:r>
      <w:r>
        <w:br/>
        <w:t>}</w:t>
      </w:r>
      <w:r>
        <w:br/>
        <w:t>\tag{3.12677}</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\boxed{\text{Konfundierung}\not\equiv\text{Mediation}.}</w:t>
      </w:r>
    </w:p>
    <w:p w:rsidR="00224F82" w:rsidRDefault="00E50336" w:rsidP="00224F82">
      <w:r>
        <w:pict>
          <v:rect id="_x0000_i4671" style="width:0;height:1.5pt" o:hralign="center" o:hrstd="t" o:hr="t" fillcolor="#a0a0a0" stroked="f"/>
        </w:pict>
      </w:r>
    </w:p>
    <w:p w:rsidR="00224F82" w:rsidRDefault="00224F82" w:rsidP="00224F82">
      <w:pPr>
        <w:pStyle w:val="berschrift1"/>
      </w:pPr>
      <w:r>
        <w:t>3.3.49.140 Kollisionsstruktur</w:t>
      </w:r>
    </w:p>
    <w:p w:rsidR="00224F82" w:rsidRDefault="00224F82" w:rsidP="00224F82">
      <w:pPr>
        <w:pStyle w:val="StandardWeb"/>
      </w:pPr>
      <w:r>
        <w:t>Eine dritte elementare Struktur ist</w:t>
      </w:r>
    </w:p>
    <w:p w:rsidR="00224F82" w:rsidRDefault="00224F82" w:rsidP="00224F82">
      <w:pPr>
        <w:pStyle w:val="StandardWeb"/>
      </w:pPr>
      <w:r>
        <w:t>[</w:t>
      </w:r>
      <w:r>
        <w:br/>
        <w:t>X_F</w:t>
      </w:r>
      <w:r>
        <w:br/>
        <w:t>\rightarrow</w:t>
      </w:r>
      <w:r>
        <w:br/>
        <w:t>C_F</w:t>
      </w:r>
      <w:r>
        <w:br/>
        <w:t>\leftarrow</w:t>
      </w:r>
      <w:r>
        <w:br/>
        <w:t>Y_F.</w:t>
      </w:r>
      <w:r>
        <w:br/>
        <w:t>\tag{3.12678}</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X_F\rightarrow C_F\leftarrow Y_F</w:t>
      </w:r>
    </w:p>
    <w:p w:rsidR="00224F82" w:rsidRDefault="00E50336" w:rsidP="00224F82">
      <w:r>
        <w:lastRenderedPageBreak/>
        <w:pict>
          <v:rect id="_x0000_i4672" style="width:0;height:1.5pt" o:hralign="center" o:hrstd="t" o:hr="t" fillcolor="#a0a0a0" stroked="f"/>
        </w:pict>
      </w:r>
    </w:p>
    <w:p w:rsidR="00224F82" w:rsidRDefault="00224F82" w:rsidP="00224F82">
      <w:pPr>
        <w:pStyle w:val="berschrift1"/>
      </w:pPr>
      <w:r>
        <w:t>3.3.49.141 Definition 3.3.415 – Funktionaler Kollisionsknoten</w:t>
      </w:r>
    </w:p>
    <w:p w:rsidR="00224F82" w:rsidRDefault="00224F82" w:rsidP="00224F82">
      <w:pPr>
        <w:pStyle w:val="berschrift3"/>
      </w:pPr>
      <w:r>
        <w:t>Definition 3.3.415</w:t>
      </w:r>
    </w:p>
    <w:p w:rsidR="00224F82" w:rsidRDefault="00224F82" w:rsidP="00224F82">
      <w:pPr>
        <w:pStyle w:val="StandardWeb"/>
      </w:pPr>
      <w:r>
        <w:t xml:space="preserve">Ein Knoten (C_F) heißt </w:t>
      </w:r>
      <w:r>
        <w:rPr>
          <w:rStyle w:val="Fett"/>
        </w:rPr>
        <w:t>funktionaler Kollisionsknoten</w:t>
      </w:r>
      <w:r>
        <w:t xml:space="preserve"> bezüglich (X_F) und (Y_F), wenn</w:t>
      </w:r>
    </w:p>
    <w:p w:rsidR="00224F82" w:rsidRDefault="00224F82" w:rsidP="00224F82">
      <w:pPr>
        <w:pStyle w:val="StandardWeb"/>
      </w:pPr>
      <w:r>
        <w:t>[</w:t>
      </w:r>
      <w:r>
        <w:br/>
        <w:t>\boxed{</w:t>
      </w:r>
      <w:r>
        <w:br/>
        <w:t>X_F</w:t>
      </w:r>
      <w:r>
        <w:br/>
        <w:t>\rightsquigarrow</w:t>
      </w:r>
      <w:r>
        <w:br/>
        <w:t>C_F</w:t>
      </w:r>
      <w:r>
        <w:br/>
        <w:t>\land</w:t>
      </w:r>
      <w:r>
        <w:br/>
        <w:t>Y_F</w:t>
      </w:r>
      <w:r>
        <w:br/>
        <w:t>\rightsquigarrow</w:t>
      </w:r>
      <w:r>
        <w:br/>
        <w:t>C_F.</w:t>
      </w:r>
      <w:r>
        <w:br/>
        <w:t>}</w:t>
      </w:r>
      <w:r>
        <w:br/>
        <w:t>\tag{3.12679}</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\boxed{X_F\rightsquigarrow C_F\land Y_F\rightsquigarrow C_F.}</w:t>
      </w:r>
    </w:p>
    <w:p w:rsidR="00224F82" w:rsidRDefault="00E50336" w:rsidP="00224F82">
      <w:r>
        <w:pict>
          <v:rect id="_x0000_i4673" style="width:0;height:1.5pt" o:hralign="center" o:hrstd="t" o:hr="t" fillcolor="#a0a0a0" stroked="f"/>
        </w:pict>
      </w:r>
    </w:p>
    <w:p w:rsidR="00224F82" w:rsidRDefault="00224F82" w:rsidP="00224F82">
      <w:pPr>
        <w:pStyle w:val="berschrift1"/>
      </w:pPr>
      <w:r>
        <w:t>3.3.49.142 Drei elementare gerichtete Dreierstrukturen</w:t>
      </w:r>
    </w:p>
    <w:p w:rsidR="00224F82" w:rsidRDefault="00224F82" w:rsidP="00224F82">
      <w:pPr>
        <w:pStyle w:val="StandardWeb"/>
      </w:pPr>
      <w:r>
        <w:t>Damit unterscheide ich formal:</w:t>
      </w:r>
    </w:p>
    <w:p w:rsidR="00224F82" w:rsidRDefault="00224F82" w:rsidP="00224F82">
      <w:pPr>
        <w:pStyle w:val="StandardWeb"/>
      </w:pPr>
      <w:r>
        <w:t>[</w:t>
      </w:r>
      <w:r>
        <w:br/>
        <w:t>X</w:t>
      </w:r>
      <w:r>
        <w:br/>
        <w:t>\leftarrow</w:t>
      </w:r>
      <w:r>
        <w:br/>
        <w:t>Z</w:t>
      </w:r>
      <w:r>
        <w:br/>
        <w:t>\rightarrow</w:t>
      </w:r>
      <w:r>
        <w:br/>
        <w:t>Y</w:t>
      </w:r>
      <w:r>
        <w:br/>
        <w:t>\tag{3.12680}</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X\leftarrow Z\rightarrow Y</w:t>
      </w:r>
    </w:p>
    <w:p w:rsidR="00224F82" w:rsidRDefault="00224F82" w:rsidP="00224F82">
      <w:pPr>
        <w:pStyle w:val="StandardWeb"/>
      </w:pPr>
      <w:r>
        <w:t>für Konfundierung,</w:t>
      </w:r>
    </w:p>
    <w:p w:rsidR="00224F82" w:rsidRDefault="00224F82" w:rsidP="00224F82">
      <w:pPr>
        <w:pStyle w:val="StandardWeb"/>
      </w:pPr>
      <w:r>
        <w:t>[</w:t>
      </w:r>
      <w:r>
        <w:br/>
        <w:t>X</w:t>
      </w:r>
      <w:r>
        <w:br/>
      </w:r>
      <w:r>
        <w:lastRenderedPageBreak/>
        <w:t>\rightarrow</w:t>
      </w:r>
      <w:r>
        <w:br/>
        <w:t>M</w:t>
      </w:r>
      <w:r>
        <w:br/>
        <w:t>\rightarrow</w:t>
      </w:r>
      <w:r>
        <w:br/>
        <w:t>Y</w:t>
      </w:r>
      <w:r>
        <w:br/>
        <w:t>\tag{3.12681}</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X\rightarrow M\rightarrow Y</w:t>
      </w:r>
    </w:p>
    <w:p w:rsidR="00224F82" w:rsidRDefault="00224F82" w:rsidP="00224F82">
      <w:pPr>
        <w:pStyle w:val="StandardWeb"/>
      </w:pPr>
      <w:r>
        <w:t>für Mediation und</w:t>
      </w:r>
    </w:p>
    <w:p w:rsidR="00224F82" w:rsidRDefault="00224F82" w:rsidP="00224F82">
      <w:pPr>
        <w:pStyle w:val="StandardWeb"/>
      </w:pPr>
      <w:r>
        <w:t>[</w:t>
      </w:r>
      <w:r>
        <w:br/>
        <w:t>X</w:t>
      </w:r>
      <w:r>
        <w:br/>
        <w:t>\rightarrow</w:t>
      </w:r>
      <w:r>
        <w:br/>
        <w:t>C</w:t>
      </w:r>
      <w:r>
        <w:br/>
        <w:t>\leftarrow</w:t>
      </w:r>
      <w:r>
        <w:br/>
        <w:t>Y</w:t>
      </w:r>
      <w:r>
        <w:br/>
        <w:t>\tag{3.12682}</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X\rightarrow C\leftarrow Y</w:t>
      </w:r>
    </w:p>
    <w:p w:rsidR="00224F82" w:rsidRDefault="00224F82" w:rsidP="00224F82">
      <w:pPr>
        <w:pStyle w:val="StandardWeb"/>
      </w:pPr>
      <w:r>
        <w:t>für eine Kollisionsstruktur.</w:t>
      </w:r>
    </w:p>
    <w:p w:rsidR="00224F82" w:rsidRDefault="00E50336" w:rsidP="00224F82">
      <w:r>
        <w:pict>
          <v:rect id="_x0000_i4674" style="width:0;height:1.5pt" o:hralign="center" o:hrstd="t" o:hr="t" fillcolor="#a0a0a0" stroked="f"/>
        </w:pict>
      </w:r>
    </w:p>
    <w:p w:rsidR="00224F82" w:rsidRDefault="00224F82" w:rsidP="00224F82">
      <w:pPr>
        <w:pStyle w:val="berschrift1"/>
      </w:pPr>
      <w:r>
        <w:t>3.3.49.143 Bedingte funktionale Beobachtungsabhängigkeit</w:t>
      </w:r>
    </w:p>
    <w:p w:rsidR="00224F82" w:rsidRDefault="00224F82" w:rsidP="00224F82">
      <w:pPr>
        <w:pStyle w:val="StandardWeb"/>
      </w:pPr>
      <w:r>
        <w:t>Für eine Kontext- oder Konditionierungsmenge (S) schreibe ich</w:t>
      </w:r>
    </w:p>
    <w:p w:rsidR="00224F82" w:rsidRDefault="00224F82" w:rsidP="00224F82">
      <w:pPr>
        <w:pStyle w:val="StandardWeb"/>
      </w:pPr>
      <w:r>
        <w:t>[</w:t>
      </w:r>
      <w:r>
        <w:br/>
        <w:t>X_F</w:t>
      </w:r>
      <w:r>
        <w:br/>
        <w:t>\not!\perp_{\mathrm{obs}}</w:t>
      </w:r>
      <w:r>
        <w:br/>
        <w:t>Y_F</w:t>
      </w:r>
      <w:r>
        <w:br/>
        <w:t>\mid</w:t>
      </w:r>
      <w:r>
        <w:br/>
        <w:t>S.</w:t>
      </w:r>
      <w:r>
        <w:br/>
        <w:t>\tag{3.12683}</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X_F\not\!\perp_{\mathrm{obs}}Y_F\mid S</w:t>
      </w:r>
    </w:p>
    <w:p w:rsidR="00224F82" w:rsidRDefault="00E50336" w:rsidP="00224F82">
      <w:r>
        <w:pict>
          <v:rect id="_x0000_i4675" style="width:0;height:1.5pt" o:hralign="center" o:hrstd="t" o:hr="t" fillcolor="#a0a0a0" stroked="f"/>
        </w:pict>
      </w:r>
    </w:p>
    <w:p w:rsidR="00224F82" w:rsidRDefault="00224F82" w:rsidP="00224F82">
      <w:pPr>
        <w:pStyle w:val="berschrift1"/>
      </w:pPr>
      <w:r>
        <w:lastRenderedPageBreak/>
        <w:t>3.3.49.144 Definition 3.3.416 – Bedingte funktionale Beobachtungsabhängigkeit</w:t>
      </w:r>
    </w:p>
    <w:p w:rsidR="00224F82" w:rsidRDefault="00224F82" w:rsidP="00224F82">
      <w:pPr>
        <w:pStyle w:val="berschrift3"/>
      </w:pPr>
      <w:r>
        <w:t>Definition 3.3.416</w:t>
      </w:r>
    </w:p>
    <w:p w:rsidR="00224F82" w:rsidRDefault="00224F82" w:rsidP="00224F82">
      <w:pPr>
        <w:pStyle w:val="StandardWeb"/>
      </w:pPr>
      <w:r>
        <w:t xml:space="preserve">(X_F) und (Y_F) heißen </w:t>
      </w:r>
      <w:r>
        <w:rPr>
          <w:rStyle w:val="Fett"/>
        </w:rPr>
        <w:t>bedingt beobachtungsabhängig gegeben (S)</w:t>
      </w:r>
      <w:r>
        <w:t>, wenn</w:t>
      </w:r>
    </w:p>
    <w:p w:rsidR="00224F82" w:rsidRDefault="00224F82" w:rsidP="00224F82">
      <w:pPr>
        <w:pStyle w:val="StandardWeb"/>
      </w:pPr>
      <w:r>
        <w:t>[</w:t>
      </w:r>
      <w:r>
        <w:br/>
        <w:t>\boxed{</w:t>
      </w:r>
      <w:r>
        <w:br/>
        <w:t>X_F</w:t>
      </w:r>
      <w:r>
        <w:br/>
        <w:t>\not!\perp_{\mathrm{obs}}</w:t>
      </w:r>
      <w:r>
        <w:br/>
        <w:t>Y_F</w:t>
      </w:r>
      <w:r>
        <w:br/>
        <w:t>\mid</w:t>
      </w:r>
      <w:r>
        <w:br/>
        <w:t>S.</w:t>
      </w:r>
      <w:r>
        <w:br/>
        <w:t>}</w:t>
      </w:r>
      <w:r>
        <w:br/>
        <w:t>\tag{3.12684}</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\boxed{X_F\not\!\perp_{\mathrm{obs}}Y_F\mid S.}</w:t>
      </w:r>
    </w:p>
    <w:p w:rsidR="00224F82" w:rsidRDefault="00E50336" w:rsidP="00224F82">
      <w:r>
        <w:pict>
          <v:rect id="_x0000_i4676" style="width:0;height:1.5pt" o:hralign="center" o:hrstd="t" o:hr="t" fillcolor="#a0a0a0" stroked="f"/>
        </w:pict>
      </w:r>
    </w:p>
    <w:p w:rsidR="00224F82" w:rsidRDefault="00224F82" w:rsidP="00224F82">
      <w:pPr>
        <w:pStyle w:val="berschrift1"/>
      </w:pPr>
      <w:r>
        <w:t>3.3.49.145 Bedingte Beobachtungsunabhängigkeit</w:t>
      </w:r>
    </w:p>
    <w:p w:rsidR="00224F82" w:rsidRDefault="00224F82" w:rsidP="00224F82">
      <w:pPr>
        <w:pStyle w:val="StandardWeb"/>
      </w:pPr>
      <w:r>
        <w:t>Analog schreibe ich</w:t>
      </w:r>
    </w:p>
    <w:p w:rsidR="00224F82" w:rsidRDefault="00224F82" w:rsidP="00224F82">
      <w:pPr>
        <w:pStyle w:val="StandardWeb"/>
      </w:pPr>
      <w:r>
        <w:t>[</w:t>
      </w:r>
      <w:r>
        <w:br/>
        <w:t>X_F</w:t>
      </w:r>
      <w:r>
        <w:br/>
        <w:t>\perp_{\mathrm{obs}}</w:t>
      </w:r>
      <w:r>
        <w:br/>
        <w:t>Y_F</w:t>
      </w:r>
      <w:r>
        <w:br/>
        <w:t>\mid</w:t>
      </w:r>
      <w:r>
        <w:br/>
        <w:t>S.</w:t>
      </w:r>
      <w:r>
        <w:br/>
        <w:t>\tag{3.12685}</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X_F\perp_{\mathrm{obs}}Y_F\mid S</w:t>
      </w:r>
    </w:p>
    <w:p w:rsidR="00224F82" w:rsidRDefault="00E50336" w:rsidP="00224F82">
      <w:r>
        <w:pict>
          <v:rect id="_x0000_i4677" style="width:0;height:1.5pt" o:hralign="center" o:hrstd="t" o:hr="t" fillcolor="#a0a0a0" stroked="f"/>
        </w:pict>
      </w:r>
    </w:p>
    <w:p w:rsidR="00224F82" w:rsidRDefault="00224F82" w:rsidP="00224F82">
      <w:pPr>
        <w:pStyle w:val="berschrift1"/>
      </w:pPr>
      <w:r>
        <w:t>3.3.49.146 Definition 3.3.417 – Bedingte funktionale Beobachtungsunabhängigkeit</w:t>
      </w:r>
    </w:p>
    <w:p w:rsidR="00224F82" w:rsidRDefault="00224F82" w:rsidP="00224F82">
      <w:pPr>
        <w:pStyle w:val="berschrift3"/>
      </w:pPr>
      <w:r>
        <w:t>Definition 3.3.417</w:t>
      </w:r>
    </w:p>
    <w:p w:rsidR="00224F82" w:rsidRDefault="00224F82" w:rsidP="00224F82">
      <w:pPr>
        <w:pStyle w:val="StandardWeb"/>
      </w:pPr>
      <w:r>
        <w:t xml:space="preserve">(X_F) und (Y_F) heißen </w:t>
      </w:r>
      <w:r>
        <w:rPr>
          <w:rStyle w:val="Fett"/>
        </w:rPr>
        <w:t>bedingt beobachtungsunabhängig gegeben (S)</w:t>
      </w:r>
      <w:r>
        <w:t>, wenn</w:t>
      </w:r>
    </w:p>
    <w:p w:rsidR="00224F82" w:rsidRDefault="00224F82" w:rsidP="00224F82">
      <w:pPr>
        <w:pStyle w:val="StandardWeb"/>
      </w:pPr>
      <w:r>
        <w:lastRenderedPageBreak/>
        <w:t>[</w:t>
      </w:r>
      <w:r>
        <w:br/>
        <w:t>\boxed{</w:t>
      </w:r>
      <w:r>
        <w:br/>
        <w:t>X_F</w:t>
      </w:r>
      <w:r>
        <w:br/>
        <w:t>\perp_{\mathrm{obs}}</w:t>
      </w:r>
      <w:r>
        <w:br/>
        <w:t>Y_F</w:t>
      </w:r>
      <w:r>
        <w:br/>
        <w:t>\mid</w:t>
      </w:r>
      <w:r>
        <w:br/>
        <w:t>S.</w:t>
      </w:r>
      <w:r>
        <w:br/>
        <w:t>}</w:t>
      </w:r>
      <w:r>
        <w:br/>
        <w:t>\tag{3.12686}</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\boxed{X_F\perp_{\mathrm{obs}}Y_F\mid S.}</w:t>
      </w:r>
    </w:p>
    <w:p w:rsidR="00224F82" w:rsidRDefault="00E50336" w:rsidP="00224F82">
      <w:r>
        <w:pict>
          <v:rect id="_x0000_i4678" style="width:0;height:1.5pt" o:hralign="center" o:hrstd="t" o:hr="t" fillcolor="#a0a0a0" stroked="f"/>
        </w:pict>
      </w:r>
    </w:p>
    <w:p w:rsidR="00224F82" w:rsidRDefault="00224F82" w:rsidP="00224F82">
      <w:pPr>
        <w:pStyle w:val="berschrift1"/>
      </w:pPr>
      <w:r>
        <w:t>3.3.49.147 Beobachtungsunabhängigkeit ist modellabhängig</w:t>
      </w:r>
    </w:p>
    <w:p w:rsidR="00224F82" w:rsidRDefault="00224F82" w:rsidP="00224F82">
      <w:pPr>
        <w:pStyle w:val="StandardWeb"/>
      </w:pPr>
      <w:r>
        <w:t>Die Aussage</w:t>
      </w:r>
    </w:p>
    <w:p w:rsidR="00224F82" w:rsidRDefault="00224F82" w:rsidP="00224F82">
      <w:pPr>
        <w:pStyle w:val="StandardWeb"/>
      </w:pPr>
      <w:r>
        <w:t>[</w:t>
      </w:r>
      <w:r>
        <w:br/>
        <w:t>X_F</w:t>
      </w:r>
      <w:r>
        <w:br/>
        <w:t>\perp_{\mathrm{obs}}</w:t>
      </w:r>
      <w:r>
        <w:br/>
        <w:t>Y_F</w:t>
      </w:r>
      <w:r>
        <w:br/>
        <w:t>\tag{3.12687}</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X_F\perp_{\mathrm{obs}}Y_F</w:t>
      </w:r>
    </w:p>
    <w:p w:rsidR="00224F82" w:rsidRDefault="00224F82" w:rsidP="00224F82">
      <w:pPr>
        <w:pStyle w:val="StandardWeb"/>
      </w:pPr>
      <w:r>
        <w:t>hängt von Beobachtungsdomäne, Messauflösung, Stichprobe und gewählter Operationalisierung ab.</w:t>
      </w:r>
    </w:p>
    <w:p w:rsidR="00224F82" w:rsidRDefault="00224F82" w:rsidP="00224F82">
      <w:pPr>
        <w:pStyle w:val="StandardWeb"/>
      </w:pPr>
      <w:r>
        <w:t>Sie ist daher keine rein ontologische Aussage über die Theorieobjekte.</w:t>
      </w:r>
    </w:p>
    <w:p w:rsidR="00224F82" w:rsidRDefault="00E50336" w:rsidP="00224F82">
      <w:r>
        <w:pict>
          <v:rect id="_x0000_i4679" style="width:0;height:1.5pt" o:hralign="center" o:hrstd="t" o:hr="t" fillcolor="#a0a0a0" stroked="f"/>
        </w:pict>
      </w:r>
    </w:p>
    <w:p w:rsidR="00224F82" w:rsidRDefault="00224F82" w:rsidP="00224F82">
      <w:pPr>
        <w:pStyle w:val="berschrift1"/>
      </w:pPr>
      <w:r>
        <w:t>3.3.49.148 Interventionelle Unabhängigkeit</w:t>
      </w:r>
    </w:p>
    <w:p w:rsidR="00224F82" w:rsidRDefault="00224F82" w:rsidP="00224F82">
      <w:pPr>
        <w:pStyle w:val="StandardWeb"/>
      </w:pPr>
      <w:r>
        <w:t>Ich definiere analog</w:t>
      </w:r>
    </w:p>
    <w:p w:rsidR="00224F82" w:rsidRDefault="00224F82" w:rsidP="00224F82">
      <w:pPr>
        <w:pStyle w:val="StandardWeb"/>
      </w:pPr>
      <w:r>
        <w:t>[</w:t>
      </w:r>
      <w:r>
        <w:br/>
        <w:t>Y_F</w:t>
      </w:r>
      <w:r>
        <w:br/>
        <w:t>\perp_{\operatorname{do}}</w:t>
      </w:r>
      <w:r>
        <w:br/>
        <w:t>X_F</w:t>
      </w:r>
      <w:r>
        <w:br/>
        <w:t>\tag{3.12688}</w:t>
      </w:r>
      <w:r>
        <w:br/>
        <w:t>]</w:t>
      </w:r>
    </w:p>
    <w:p w:rsidR="00224F82" w:rsidRDefault="00224F82" w:rsidP="00224F82">
      <w:pPr>
        <w:pStyle w:val="StandardWeb"/>
      </w:pPr>
      <w:r>
        <w:rPr>
          <w:rStyle w:val="Fett"/>
        </w:rPr>
        <w:lastRenderedPageBreak/>
        <w:t>Word-LaTeX</w:t>
      </w:r>
    </w:p>
    <w:p w:rsidR="00224F82" w:rsidRDefault="00224F82" w:rsidP="00224F82">
      <w:pPr>
        <w:pStyle w:val="HTMLVorformatiert"/>
        <w:rPr>
          <w:rStyle w:val="HTMLCode"/>
        </w:rPr>
      </w:pPr>
      <w:r>
        <w:rPr>
          <w:rStyle w:val="HTMLCode"/>
        </w:rPr>
        <w:t>Y_F\perp_{\operatorname{do}}X_F</w:t>
      </w:r>
    </w:p>
    <w:p w:rsidR="00224F82" w:rsidRDefault="00224F82" w:rsidP="00224F82">
      <w:pPr>
        <w:pStyle w:val="StandardWeb"/>
      </w:pPr>
      <w:r>
        <w:t>wenn zulässige Interventionen auf (X_F) keinen Unterschied in (Y_F) erzeugen.</w:t>
      </w:r>
    </w:p>
    <w:p w:rsidR="00224F82" w:rsidRDefault="00E50336" w:rsidP="00224F82">
      <w:r>
        <w:pict>
          <v:rect id="_x0000_i4680" style="width:0;height:1.5pt" o:hralign="center" o:hrstd="t" o:hr="t" fillcolor="#a0a0a0" stroked="f"/>
        </w:pict>
      </w:r>
    </w:p>
    <w:p w:rsidR="00224F82" w:rsidRDefault="00224F82" w:rsidP="00224F82">
      <w:pPr>
        <w:pStyle w:val="berschrift1"/>
      </w:pPr>
      <w:r>
        <w:t>3.3.49.149 Definition 3.3.418 – Funktionale interventionelle Unabhängigkeit</w:t>
      </w:r>
    </w:p>
    <w:p w:rsidR="00224F82" w:rsidRDefault="00224F82" w:rsidP="00224F82">
      <w:pPr>
        <w:pStyle w:val="berschrift3"/>
      </w:pPr>
      <w:r>
        <w:t>Definition 3.3.418</w:t>
      </w:r>
    </w:p>
    <w:p w:rsidR="00224F82" w:rsidRDefault="00224F82" w:rsidP="00224F82">
      <w:pPr>
        <w:pStyle w:val="StandardWeb"/>
      </w:pPr>
      <w:r>
        <w:t xml:space="preserve">(Y_F) heißt bezüglich (X_F) </w:t>
      </w:r>
      <w:r>
        <w:rPr>
          <w:rStyle w:val="Fett"/>
        </w:rPr>
        <w:t>interventionell unabhängig</w:t>
      </w:r>
      <w:r>
        <w:t>, wenn für alle betrachteten zulässigen Interventionen</w:t>
      </w:r>
    </w:p>
    <w:p w:rsidR="00224F82" w:rsidRDefault="00224F82" w:rsidP="00224F82">
      <w:pPr>
        <w:pStyle w:val="berschrift1"/>
      </w:pPr>
      <w:r>
        <w:t>[</w:t>
      </w:r>
      <w:r>
        <w:br/>
        <w:t>\boxed{</w:t>
      </w:r>
      <w:r>
        <w:br/>
        <w:t>Y_F^{\operatorname{do}(X=x_1)}</w:t>
      </w:r>
    </w:p>
    <w:p w:rsidR="00224F82" w:rsidRDefault="00224F82" w:rsidP="00224F82">
      <w:pPr>
        <w:pStyle w:val="StandardWeb"/>
      </w:pPr>
      <w:r>
        <w:t>Y_F^{\operatorname{do}(X=x_0)}.</w:t>
      </w:r>
      <w:r>
        <w:br/>
        <w:t>}</w:t>
      </w:r>
      <w:r>
        <w:br/>
        <w:t>\tag{3.12689}</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\boxed{Y_F^{\operatorname{do}(X=x_1)}=Y_F^{\operatorname{do}(X=x_0)}.}</w:t>
      </w:r>
    </w:p>
    <w:p w:rsidR="00224F82" w:rsidRDefault="00E50336" w:rsidP="00224F82">
      <w:r>
        <w:pict>
          <v:rect id="_x0000_i4681" style="width:0;height:1.5pt" o:hralign="center" o:hrstd="t" o:hr="t" fillcolor="#a0a0a0" stroked="f"/>
        </w:pict>
      </w:r>
    </w:p>
    <w:p w:rsidR="00224F82" w:rsidRDefault="00224F82" w:rsidP="00224F82">
      <w:pPr>
        <w:pStyle w:val="berschrift1"/>
      </w:pPr>
      <w:r>
        <w:t>3.3.49.150 Strukturelle Einflusskante und interventionelle Unabhängigkeit</w:t>
      </w:r>
    </w:p>
    <w:p w:rsidR="00224F82" w:rsidRDefault="00224F82" w:rsidP="00224F82">
      <w:pPr>
        <w:pStyle w:val="StandardWeb"/>
      </w:pPr>
      <w:r>
        <w:t>Eine strukturelle Einflusskante</w:t>
      </w:r>
    </w:p>
    <w:p w:rsidR="00224F82" w:rsidRDefault="00224F82" w:rsidP="00224F82">
      <w:pPr>
        <w:pStyle w:val="StandardWeb"/>
      </w:pPr>
      <w:r>
        <w:t>[</w:t>
      </w:r>
      <w:r>
        <w:br/>
        <w:t>X_F</w:t>
      </w:r>
      <w:r>
        <w:br/>
        <w:t>\rightsquigarrow</w:t>
      </w:r>
      <w:r>
        <w:br/>
        <w:t>Y_F</w:t>
      </w:r>
      <w:r>
        <w:br/>
        <w:t>\tag{3.12690}</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X_F\rightsquigarrow Y_F</w:t>
      </w:r>
    </w:p>
    <w:p w:rsidR="00224F82" w:rsidRDefault="00224F82" w:rsidP="00224F82">
      <w:pPr>
        <w:pStyle w:val="StandardWeb"/>
      </w:pPr>
      <w:r>
        <w:t>kann in einem bestimmten Zustand oder Kontext interventionell wirkungslos sein:</w:t>
      </w:r>
    </w:p>
    <w:p w:rsidR="00224F82" w:rsidRDefault="00224F82" w:rsidP="00224F82">
      <w:pPr>
        <w:pStyle w:val="StandardWeb"/>
      </w:pPr>
      <w:r>
        <w:lastRenderedPageBreak/>
        <w:t>[</w:t>
      </w:r>
      <w:r>
        <w:br/>
        <w:t>Y_F</w:t>
      </w:r>
      <w:r>
        <w:br/>
        <w:t>\perp_{\operatorname{do}}</w:t>
      </w:r>
      <w:r>
        <w:br/>
        <w:t>X_F</w:t>
      </w:r>
      <w:r>
        <w:br/>
        <w:t>\mid</w:t>
      </w:r>
      <w:r>
        <w:br/>
        <w:t>(z,c).</w:t>
      </w:r>
      <w:r>
        <w:br/>
        <w:t>\tag{3.12691}</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Y_F\perp_{\operatorname{do}}X_F\mid(z,c)</w:t>
      </w:r>
    </w:p>
    <w:p w:rsidR="00224F82" w:rsidRDefault="00E50336" w:rsidP="00224F82">
      <w:r>
        <w:pict>
          <v:rect id="_x0000_i4682" style="width:0;height:1.5pt" o:hralign="center" o:hrstd="t" o:hr="t" fillcolor="#a0a0a0" stroked="f"/>
        </w:pict>
      </w:r>
    </w:p>
    <w:p w:rsidR="00224F82" w:rsidRDefault="00224F82" w:rsidP="00224F82">
      <w:pPr>
        <w:pStyle w:val="berschrift1"/>
      </w:pPr>
      <w:r>
        <w:t>3.3.49.151 Lokaler funktionaler Interventionseffekt</w:t>
      </w:r>
    </w:p>
    <w:p w:rsidR="00224F82" w:rsidRDefault="00224F82" w:rsidP="00224F82">
      <w:pPr>
        <w:pStyle w:val="StandardWeb"/>
      </w:pPr>
      <w:r>
        <w:t>Für kleine Änderungen eines kontinuierlichen Interventionsparameters kann formal</w:t>
      </w:r>
    </w:p>
    <w:p w:rsidR="00224F82" w:rsidRDefault="00224F82" w:rsidP="00224F82">
      <w:pPr>
        <w:pStyle w:val="StandardWeb"/>
      </w:pPr>
      <w:r>
        <w:t>[</w:t>
      </w:r>
      <w:r>
        <w:br/>
        <w:t>\frac{\partial Y_F^{\operatorname{do}(X=x)}}{\partial x}</w:t>
      </w:r>
      <w:r>
        <w:br/>
        <w:t>\tag{3.12692}</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\frac{\partial Y_F^{\operatorname{do}(X=x)}}{\partial x}</w:t>
      </w:r>
    </w:p>
    <w:p w:rsidR="00224F82" w:rsidRDefault="00224F82" w:rsidP="00224F82">
      <w:pPr>
        <w:pStyle w:val="StandardWeb"/>
      </w:pPr>
      <w:r>
        <w:t>betrachtet werden.</w:t>
      </w:r>
    </w:p>
    <w:p w:rsidR="00224F82" w:rsidRDefault="00E50336" w:rsidP="00224F82">
      <w:r>
        <w:pict>
          <v:rect id="_x0000_i4683" style="width:0;height:1.5pt" o:hralign="center" o:hrstd="t" o:hr="t" fillcolor="#a0a0a0" stroked="f"/>
        </w:pict>
      </w:r>
    </w:p>
    <w:p w:rsidR="00224F82" w:rsidRDefault="00224F82" w:rsidP="00224F82">
      <w:pPr>
        <w:pStyle w:val="berschrift1"/>
      </w:pPr>
      <w:r>
        <w:t>3.3.49.152 Definition 3.3.419 – Lokale funktionale Interventionssensitivität</w:t>
      </w:r>
    </w:p>
    <w:p w:rsidR="00224F82" w:rsidRDefault="00224F82" w:rsidP="00224F82">
      <w:pPr>
        <w:pStyle w:val="berschrift3"/>
      </w:pPr>
      <w:r>
        <w:t>Definition 3.3.419</w:t>
      </w:r>
    </w:p>
    <w:p w:rsidR="00224F82" w:rsidRDefault="00224F82" w:rsidP="00224F82">
      <w:pPr>
        <w:pStyle w:val="StandardWeb"/>
      </w:pPr>
      <w:r>
        <w:t xml:space="preserve">Ist die Interventionsantwort differenzierbar, definiere ich die </w:t>
      </w:r>
      <w:r>
        <w:rPr>
          <w:rStyle w:val="Fett"/>
        </w:rPr>
        <w:t>lokale funktionale Interventionssensitivität</w:t>
      </w:r>
    </w:p>
    <w:p w:rsidR="00224F82" w:rsidRDefault="00224F82" w:rsidP="00224F82">
      <w:pPr>
        <w:pStyle w:val="StandardWeb"/>
      </w:pPr>
      <w:r>
        <w:t>[</w:t>
      </w:r>
      <w:r>
        <w:br/>
        <w:t>\boxed{</w:t>
      </w:r>
      <w:r>
        <w:br/>
        <w:t>S_{\operatorname{do}}^{Y\leftarrow X}</w:t>
      </w:r>
      <w:r>
        <w:br/>
        <w:t>(x)</w:t>
      </w:r>
      <w:r>
        <w:br/>
        <w:t>:=</w:t>
      </w:r>
      <w:r>
        <w:br/>
        <w:t>\frac{\partial Y_F^{\operatorname{do}(X=x)}}{\partial x}.</w:t>
      </w:r>
      <w:r>
        <w:br/>
        <w:t>}</w:t>
      </w:r>
      <w:r>
        <w:br/>
        <w:t>\tag{3.12693}</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lastRenderedPageBreak/>
        <w:t>\boxed{S_{\operatorname{do}}^{Y\leftarrow X}(x):=\frac{\partial Y_F^{\operatorname{do}(X=x)}}{\partial x}.}</w:t>
      </w:r>
    </w:p>
    <w:p w:rsidR="00224F82" w:rsidRDefault="00E50336" w:rsidP="00224F82">
      <w:r>
        <w:pict>
          <v:rect id="_x0000_i4684" style="width:0;height:1.5pt" o:hralign="center" o:hrstd="t" o:hr="t" fillcolor="#a0a0a0" stroked="f"/>
        </w:pict>
      </w:r>
    </w:p>
    <w:p w:rsidR="00224F82" w:rsidRDefault="00224F82" w:rsidP="00224F82">
      <w:pPr>
        <w:pStyle w:val="berschrift1"/>
      </w:pPr>
      <w:r>
        <w:t>3.3.49.153 Lokale Nullsensitivität</w:t>
      </w:r>
    </w:p>
    <w:p w:rsidR="00224F82" w:rsidRDefault="00224F82" w:rsidP="00224F82">
      <w:pPr>
        <w:pStyle w:val="StandardWeb"/>
      </w:pPr>
      <w:r>
        <w:t>Es kann</w:t>
      </w:r>
    </w:p>
    <w:p w:rsidR="00224F82" w:rsidRDefault="00224F82" w:rsidP="00224F82">
      <w:pPr>
        <w:pStyle w:val="berschrift1"/>
      </w:pPr>
      <w:r>
        <w:t>[</w:t>
      </w:r>
      <w:r>
        <w:br/>
        <w:t>S_{\operatorname{do}}^{Y\leftarrow X}(x_0)</w:t>
      </w:r>
    </w:p>
    <w:p w:rsidR="00224F82" w:rsidRDefault="00224F82" w:rsidP="00224F82">
      <w:pPr>
        <w:pStyle w:val="StandardWeb"/>
      </w:pPr>
      <w:r>
        <w:t>0</w:t>
      </w:r>
      <w:r>
        <w:br/>
        <w:t>\tag{3.12694}</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S_{\operatorname{do}}^{Y\leftarrow X}(x_0)=0</w:t>
      </w:r>
    </w:p>
    <w:p w:rsidR="00224F82" w:rsidRDefault="00224F82" w:rsidP="00224F82">
      <w:pPr>
        <w:pStyle w:val="StandardWeb"/>
      </w:pPr>
      <w:r>
        <w:t>gelten, obwohl für andere Werte</w:t>
      </w:r>
    </w:p>
    <w:p w:rsidR="00224F82" w:rsidRDefault="00224F82" w:rsidP="00224F82">
      <w:pPr>
        <w:pStyle w:val="StandardWeb"/>
      </w:pPr>
      <w:r>
        <w:t>[</w:t>
      </w:r>
      <w:r>
        <w:br/>
        <w:t>S_{\operatorname{do}}^{Y\leftarrow X}(x_1)</w:t>
      </w:r>
      <w:r>
        <w:br/>
        <w:t>\neq</w:t>
      </w:r>
      <w:r>
        <w:br/>
        <w:t>0</w:t>
      </w:r>
      <w:r>
        <w:br/>
        <w:t>\tag{3.12695}</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S_{\operatorname{do}}^{Y\leftarrow X}(x_1)\neq0</w:t>
      </w:r>
    </w:p>
    <w:p w:rsidR="00224F82" w:rsidRDefault="00224F82" w:rsidP="00224F82">
      <w:pPr>
        <w:pStyle w:val="StandardWeb"/>
      </w:pPr>
      <w:r>
        <w:t>gilt.</w:t>
      </w:r>
    </w:p>
    <w:p w:rsidR="00224F82" w:rsidRDefault="00E50336" w:rsidP="00224F82">
      <w:r>
        <w:pict>
          <v:rect id="_x0000_i4685" style="width:0;height:1.5pt" o:hralign="center" o:hrstd="t" o:hr="t" fillcolor="#a0a0a0" stroked="f"/>
        </w:pict>
      </w:r>
    </w:p>
    <w:p w:rsidR="00224F82" w:rsidRDefault="00224F82" w:rsidP="00224F82">
      <w:pPr>
        <w:pStyle w:val="berschrift1"/>
      </w:pPr>
      <w:r>
        <w:t>3.3.49.154 Lokale Wirkung ist nicht globale Wirkung</w:t>
      </w:r>
    </w:p>
    <w:p w:rsidR="00224F82" w:rsidRDefault="00224F82" w:rsidP="00224F82">
      <w:pPr>
        <w:pStyle w:val="StandardWeb"/>
      </w:pPr>
      <w:r>
        <w:t>Daher gilt</w:t>
      </w:r>
    </w:p>
    <w:p w:rsidR="00224F82" w:rsidRDefault="00224F82" w:rsidP="00224F82">
      <w:pPr>
        <w:pStyle w:val="StandardWeb"/>
      </w:pPr>
      <w:r>
        <w:t>[</w:t>
      </w:r>
      <w:r>
        <w:br/>
        <w:t>\boxed{</w:t>
      </w:r>
      <w:r>
        <w:br/>
        <w:t>S_{\operatorname{do}}^{Y\leftarrow X}(x_0)=0</w:t>
      </w:r>
      <w:r>
        <w:br/>
        <w:t>\not\Rightarrow</w:t>
      </w:r>
      <w:r>
        <w:br/>
        <w:t>Y_F</w:t>
      </w:r>
      <w:r>
        <w:br/>
        <w:t>\perp_{\operatorname{do}}</w:t>
      </w:r>
      <w:r>
        <w:br/>
        <w:t>X_F.</w:t>
      </w:r>
      <w:r>
        <w:br/>
        <w:t>}</w:t>
      </w:r>
      <w:r>
        <w:br/>
      </w:r>
      <w:r>
        <w:lastRenderedPageBreak/>
        <w:t>\tag{3.12696}</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\boxed{S_{\operatorname{do}}^{Y\leftarrow X}(x_0)=0\not\Rightarrow Y_F\perp_{\operatorname{do}}X_F.}</w:t>
      </w:r>
    </w:p>
    <w:p w:rsidR="00224F82" w:rsidRDefault="00E50336" w:rsidP="00224F82">
      <w:r>
        <w:pict>
          <v:rect id="_x0000_i4686" style="width:0;height:1.5pt" o:hralign="center" o:hrstd="t" o:hr="t" fillcolor="#a0a0a0" stroked="f"/>
        </w:pict>
      </w:r>
    </w:p>
    <w:p w:rsidR="00224F82" w:rsidRDefault="00224F82" w:rsidP="00224F82">
      <w:pPr>
        <w:pStyle w:val="berschrift1"/>
      </w:pPr>
      <w:r>
        <w:t>3.3.49.155 Funktionale Kausalitätsrelation als modellierte interventionelle Relation</w:t>
      </w:r>
    </w:p>
    <w:p w:rsidR="00224F82" w:rsidRDefault="00224F82" w:rsidP="00224F82">
      <w:pPr>
        <w:pStyle w:val="StandardWeb"/>
      </w:pPr>
      <w:r>
        <w:t>Nun kann ich eine erste strengere Kausalitätsstruktur definieren, ohne sie bereits zum Primäraxiom zu erklären.</w:t>
      </w:r>
    </w:p>
    <w:p w:rsidR="00224F82" w:rsidRDefault="00E50336" w:rsidP="00224F82">
      <w:r>
        <w:pict>
          <v:rect id="_x0000_i4687" style="width:0;height:1.5pt" o:hralign="center" o:hrstd="t" o:hr="t" fillcolor="#a0a0a0" stroked="f"/>
        </w:pict>
      </w:r>
    </w:p>
    <w:p w:rsidR="00224F82" w:rsidRDefault="00224F82" w:rsidP="00224F82">
      <w:pPr>
        <w:pStyle w:val="berschrift1"/>
      </w:pPr>
      <w:r>
        <w:t>3.3.49.156 Definition 3.3.420 – Funktionale interventionelle Kausalitätsrelation</w:t>
      </w:r>
    </w:p>
    <w:p w:rsidR="00224F82" w:rsidRDefault="00224F82" w:rsidP="00224F82">
      <w:pPr>
        <w:pStyle w:val="berschrift3"/>
      </w:pPr>
      <w:r>
        <w:t>Definition 3.3.420</w:t>
      </w:r>
    </w:p>
    <w:p w:rsidR="00224F82" w:rsidRDefault="00224F82" w:rsidP="00224F82">
      <w:pPr>
        <w:pStyle w:val="StandardWeb"/>
      </w:pPr>
      <w:r>
        <w:t xml:space="preserve">Innerhalb einer ausdrücklich spezifizierten Interventionsmodellklasse (\mathfrak M_F^{\operatorname{do}}) nenne ich (X_F) eine </w:t>
      </w:r>
      <w:r>
        <w:rPr>
          <w:rStyle w:val="Fett"/>
        </w:rPr>
        <w:t>funktionale interventionelle Ursache</w:t>
      </w:r>
      <w:r>
        <w:t xml:space="preserve"> von (Y_F), wenn mindestens zwei zulässige Interventionen auf (X_F) existieren, die unter festgelegten Vergleichsbedingungen unterschiedliche Werte von (Y_F) erzeugen:</w:t>
      </w:r>
    </w:p>
    <w:p w:rsidR="00224F82" w:rsidRDefault="00224F82" w:rsidP="00224F82">
      <w:pPr>
        <w:pStyle w:val="StandardWeb"/>
      </w:pPr>
      <w:r>
        <w:t>[</w:t>
      </w:r>
      <w:r>
        <w:br/>
        <w:t>\boxed{</w:t>
      </w:r>
      <w:r>
        <w:br/>
        <w:t>X_F</w:t>
      </w:r>
      <w:r>
        <w:br/>
        <w:t>\overset{\operatorname{do}}{\longrightarrow}</w:t>
      </w:r>
      <w:r>
        <w:br/>
        <w:t>Y_F</w:t>
      </w:r>
      <w:r>
        <w:br/>
        <w:t>\Longleftrightarrow</w:t>
      </w:r>
      <w:r>
        <w:br/>
        <w:t>\exists x_0,x_1:</w:t>
      </w:r>
      <w:r>
        <w:br/>
        <w:t>Y_F^{\operatorname{do}(X=x_1)}</w:t>
      </w:r>
      <w:r>
        <w:br/>
        <w:t>\neq</w:t>
      </w:r>
      <w:r>
        <w:br/>
        <w:t>Y_F^{\operatorname{do}(X=x_0)}.</w:t>
      </w:r>
      <w:r>
        <w:br/>
        <w:t>}</w:t>
      </w:r>
      <w:r>
        <w:br/>
        <w:t>\tag{3.12697}</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\boxed{X_F\overset{\operatorname{do}}{\longrightarrow}Y_F\Longleftrightarrow\exists x_0,x_1:Y_F^{\operatorname{do}(X=x_1)}\neq Y_F^{\operatorname{do}(X=x_0)}.}</w:t>
      </w:r>
    </w:p>
    <w:p w:rsidR="00224F82" w:rsidRDefault="00224F82" w:rsidP="00224F82">
      <w:pPr>
        <w:pStyle w:val="StandardWeb"/>
      </w:pPr>
      <w:r>
        <w:t>Diese Definition gilt ausschließlich innerhalb einer Modellklasse, in der die Interventionsoperation selbst wohldefiniert ist.</w:t>
      </w:r>
    </w:p>
    <w:p w:rsidR="00224F82" w:rsidRDefault="00E50336" w:rsidP="00224F82">
      <w:r>
        <w:lastRenderedPageBreak/>
        <w:pict>
          <v:rect id="_x0000_i4688" style="width:0;height:1.5pt" o:hralign="center" o:hrstd="t" o:hr="t" fillcolor="#a0a0a0" stroked="f"/>
        </w:pict>
      </w:r>
    </w:p>
    <w:p w:rsidR="00224F82" w:rsidRDefault="00224F82" w:rsidP="00224F82">
      <w:pPr>
        <w:pStyle w:val="berschrift1"/>
      </w:pPr>
      <w:r>
        <w:t>3.3.49.157 Interventionsmodellklasse</w:t>
      </w:r>
    </w:p>
    <w:p w:rsidR="00224F82" w:rsidRDefault="00224F82" w:rsidP="00224F82">
      <w:pPr>
        <w:pStyle w:val="StandardWeb"/>
      </w:pPr>
      <w:r>
        <w:t>Ich schreibe</w:t>
      </w:r>
    </w:p>
    <w:p w:rsidR="00224F82" w:rsidRDefault="00224F82" w:rsidP="00224F82">
      <w:pPr>
        <w:pStyle w:val="berschrift1"/>
      </w:pPr>
      <w:r>
        <w:t>[</w:t>
      </w:r>
      <w:r>
        <w:br/>
        <w:t>\mathfrak M_F^{\operatorname{do}}</w:t>
      </w:r>
    </w:p>
    <w:p w:rsidR="00224F82" w:rsidRDefault="00224F82" w:rsidP="00224F82">
      <w:pPr>
        <w:pStyle w:val="StandardWeb"/>
      </w:pPr>
      <w:r>
        <w:t>\left(</w:t>
      </w:r>
      <w:r>
        <w:br/>
        <w:t>\Omega_F,</w:t>
      </w:r>
      <w:r>
        <w:br/>
        <w:t>\mathcal I_F,</w:t>
      </w:r>
      <w:r>
        <w:br/>
        <w:t>\mathcal D_{\operatorname{do}},</w:t>
      </w:r>
      <w:r>
        <w:br/>
        <w:t>\mathcal C_F,</w:t>
      </w:r>
      <w:r>
        <w:br/>
        <w:t>\mathcal B_F</w:t>
      </w:r>
      <w:r>
        <w:br/>
        <w:t>\right),</w:t>
      </w:r>
      <w:r>
        <w:br/>
        <w:t>\tag{3.12698}</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\mathfrak M_F^{\operatorname{do}}=\left(\Omega_F,\mathcal I_F,\mathcal D_{\operatorname{do}},\mathcal C_F,\mathcal B_F\right)</w:t>
      </w:r>
    </w:p>
    <w:p w:rsidR="00224F82" w:rsidRDefault="00224F82" w:rsidP="00224F82">
      <w:pPr>
        <w:pStyle w:val="StandardWeb"/>
      </w:pPr>
      <w:r>
        <w:t>wobei (\mathcal D_{\operatorname{do}}) die Menge zulässiger Interventionen bezeichnet.</w:t>
      </w:r>
    </w:p>
    <w:p w:rsidR="00224F82" w:rsidRDefault="00E50336" w:rsidP="00224F82">
      <w:r>
        <w:pict>
          <v:rect id="_x0000_i4689" style="width:0;height:1.5pt" o:hralign="center" o:hrstd="t" o:hr="t" fillcolor="#a0a0a0" stroked="f"/>
        </w:pict>
      </w:r>
    </w:p>
    <w:p w:rsidR="00224F82" w:rsidRDefault="00224F82" w:rsidP="00224F82">
      <w:pPr>
        <w:pStyle w:val="berschrift1"/>
      </w:pPr>
      <w:r>
        <w:t>3.3.49.158 Definition 3.3.421 – Funktionale Interventionsmodellklasse</w:t>
      </w:r>
    </w:p>
    <w:p w:rsidR="00224F82" w:rsidRDefault="00224F82" w:rsidP="00224F82">
      <w:pPr>
        <w:pStyle w:val="berschrift3"/>
      </w:pPr>
      <w:r>
        <w:t>Definition 3.3.421</w:t>
      </w:r>
    </w:p>
    <w:p w:rsidR="00224F82" w:rsidRDefault="00224F82" w:rsidP="00224F82">
      <w:pPr>
        <w:pStyle w:val="StandardWeb"/>
      </w:pPr>
      <w:r>
        <w:t xml:space="preserve">Eine </w:t>
      </w:r>
      <w:r>
        <w:rPr>
          <w:rStyle w:val="Fett"/>
        </w:rPr>
        <w:t>funktionale Interventionsmodellklasse</w:t>
      </w:r>
      <w:r>
        <w:t xml:space="preserve"> ist eine Modellklasse</w:t>
      </w:r>
    </w:p>
    <w:p w:rsidR="00224F82" w:rsidRDefault="00224F82" w:rsidP="00224F82">
      <w:pPr>
        <w:pStyle w:val="StandardWeb"/>
      </w:pPr>
      <w:r>
        <w:t>[</w:t>
      </w:r>
      <w:r>
        <w:br/>
        <w:t>\boxed{</w:t>
      </w:r>
      <w:r>
        <w:br/>
        <w:t>\mathfrak M_F^{\operatorname{do}}</w:t>
      </w:r>
      <w:r>
        <w:br/>
        <w:t>}</w:t>
      </w:r>
      <w:r>
        <w:br/>
        <w:t>\tag{3.12699}</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\boxed{\mathfrak M_F^{\operatorname{do}}}</w:t>
      </w:r>
    </w:p>
    <w:p w:rsidR="00224F82" w:rsidRDefault="00224F82" w:rsidP="00224F82">
      <w:pPr>
        <w:pStyle w:val="StandardWeb"/>
      </w:pPr>
      <w:r>
        <w:t>in der Zustandsraum, Einflussstruktur, zulässige Interventionen, Kontextbedingungen und Beobachtungsabbildungen explizit festgelegt sind.</w:t>
      </w:r>
    </w:p>
    <w:p w:rsidR="00224F82" w:rsidRDefault="00E50336" w:rsidP="00224F82">
      <w:r>
        <w:lastRenderedPageBreak/>
        <w:pict>
          <v:rect id="_x0000_i4690" style="width:0;height:1.5pt" o:hralign="center" o:hrstd="t" o:hr="t" fillcolor="#a0a0a0" stroked="f"/>
        </w:pict>
      </w:r>
    </w:p>
    <w:p w:rsidR="00224F82" w:rsidRDefault="00224F82" w:rsidP="00224F82">
      <w:pPr>
        <w:pStyle w:val="berschrift1"/>
      </w:pPr>
      <w:r>
        <w:t>3.3.49.159 Kausalität ist damit modellrelativ</w:t>
      </w:r>
    </w:p>
    <w:p w:rsidR="00224F82" w:rsidRDefault="00224F82" w:rsidP="00224F82">
      <w:pPr>
        <w:pStyle w:val="StandardWeb"/>
      </w:pPr>
      <w:r>
        <w:t>Aus Definition 3.3.420 folgt</w:t>
      </w:r>
    </w:p>
    <w:p w:rsidR="00224F82" w:rsidRDefault="00224F82" w:rsidP="00224F82">
      <w:pPr>
        <w:pStyle w:val="berschrift1"/>
      </w:pPr>
      <w:r>
        <w:t>[</w:t>
      </w:r>
      <w:r>
        <w:br/>
        <w:t>\boxed{</w:t>
      </w:r>
      <w:r>
        <w:br/>
        <w:t>\operatorname{Caus}_F</w:t>
      </w:r>
    </w:p>
    <w:p w:rsidR="00224F82" w:rsidRDefault="00224F82" w:rsidP="00224F82">
      <w:pPr>
        <w:pStyle w:val="StandardWeb"/>
      </w:pPr>
      <w:r>
        <w:t>\operatorname{Caus}_F</w:t>
      </w:r>
      <w:r>
        <w:br/>
        <w:t>(\mathfrak M_F^{\operatorname{do}}).</w:t>
      </w:r>
      <w:r>
        <w:br/>
        <w:t>}</w:t>
      </w:r>
      <w:r>
        <w:br/>
        <w:t>\tag{3.12700}</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\boxed{\operatorname{Caus}_F=\operatorname{Caus}_F(\mathfrak M_F^{\operatorname{do}}).}</w:t>
      </w:r>
    </w:p>
    <w:p w:rsidR="00224F82" w:rsidRDefault="00E50336" w:rsidP="00224F82">
      <w:r>
        <w:pict>
          <v:rect id="_x0000_i4691" style="width:0;height:1.5pt" o:hralign="center" o:hrstd="t" o:hr="t" fillcolor="#a0a0a0" stroked="f"/>
        </w:pict>
      </w:r>
    </w:p>
    <w:p w:rsidR="00224F82" w:rsidRDefault="00224F82" w:rsidP="00224F82">
      <w:pPr>
        <w:pStyle w:val="berschrift1"/>
      </w:pPr>
      <w:r>
        <w:t>3.3.49.160 Keine absolute Kausalitätsrelation aus bloßer Graphstruktur</w:t>
      </w:r>
    </w:p>
    <w:p w:rsidR="00224F82" w:rsidRDefault="00224F82" w:rsidP="00224F82">
      <w:pPr>
        <w:pStyle w:val="StandardWeb"/>
      </w:pPr>
      <w:r>
        <w:t>Aus</w:t>
      </w:r>
    </w:p>
    <w:p w:rsidR="00224F82" w:rsidRDefault="00224F82" w:rsidP="00224F82">
      <w:pPr>
        <w:pStyle w:val="StandardWeb"/>
      </w:pPr>
      <w:r>
        <w:t>[</w:t>
      </w:r>
      <w:r>
        <w:br/>
        <w:t>X_F</w:t>
      </w:r>
      <w:r>
        <w:br/>
        <w:t>\rightsquigarrow</w:t>
      </w:r>
      <w:r>
        <w:br/>
        <w:t>Y_F</w:t>
      </w:r>
      <w:r>
        <w:br/>
        <w:t>\tag{3.12701}</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X_F\rightsquigarrow Y_F</w:t>
      </w:r>
    </w:p>
    <w:p w:rsidR="00224F82" w:rsidRDefault="00224F82" w:rsidP="00224F82">
      <w:pPr>
        <w:pStyle w:val="StandardWeb"/>
      </w:pPr>
      <w:r>
        <w:t>folgt daher nicht automatisch</w:t>
      </w:r>
    </w:p>
    <w:p w:rsidR="00224F82" w:rsidRDefault="00224F82" w:rsidP="00224F82">
      <w:pPr>
        <w:pStyle w:val="StandardWeb"/>
      </w:pPr>
      <w:r>
        <w:t>[</w:t>
      </w:r>
      <w:r>
        <w:br/>
        <w:t>X_F</w:t>
      </w:r>
      <w:r>
        <w:br/>
        <w:t>\overset{\operatorname{do}}{\longrightarrow}</w:t>
      </w:r>
      <w:r>
        <w:br/>
        <w:t>Y_F.</w:t>
      </w:r>
      <w:r>
        <w:br/>
        <w:t>\tag{3.12702}</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lastRenderedPageBreak/>
        <w:t>X_F\overset{\operatorname{do}}{\longrightarrow}Y_F</w:t>
      </w:r>
    </w:p>
    <w:p w:rsidR="00224F82" w:rsidRDefault="00E50336" w:rsidP="00224F82">
      <w:r>
        <w:pict>
          <v:rect id="_x0000_i4692" style="width:0;height:1.5pt" o:hralign="center" o:hrstd="t" o:hr="t" fillcolor="#a0a0a0" stroked="f"/>
        </w:pict>
      </w:r>
    </w:p>
    <w:p w:rsidR="00224F82" w:rsidRDefault="00224F82" w:rsidP="00224F82">
      <w:pPr>
        <w:pStyle w:val="berschrift1"/>
      </w:pPr>
      <w:r>
        <w:t>3.3.49.161 Satz 3.3.166 – Gerichteter funktionaler Einfluss impliziert keine interventionelle Kausalität</w:t>
      </w:r>
    </w:p>
    <w:p w:rsidR="00224F82" w:rsidRDefault="00224F82" w:rsidP="00224F82">
      <w:pPr>
        <w:pStyle w:val="berschrift3"/>
      </w:pPr>
      <w:r>
        <w:t>Satz 3.3.166</w:t>
      </w:r>
    </w:p>
    <w:p w:rsidR="00224F82" w:rsidRDefault="00224F82" w:rsidP="00224F82">
      <w:pPr>
        <w:pStyle w:val="StandardWeb"/>
      </w:pPr>
      <w:r>
        <w:t>Aus einer bloßen gerichteten Einflusskante</w:t>
      </w:r>
    </w:p>
    <w:p w:rsidR="00224F82" w:rsidRDefault="00224F82" w:rsidP="00224F82">
      <w:pPr>
        <w:pStyle w:val="StandardWeb"/>
      </w:pPr>
      <w:r>
        <w:t>[</w:t>
      </w:r>
      <w:r>
        <w:br/>
        <w:t>X_F</w:t>
      </w:r>
      <w:r>
        <w:br/>
        <w:t>\rightsquigarrow</w:t>
      </w:r>
      <w:r>
        <w:br/>
        <w:t>Y_F</w:t>
      </w:r>
      <w:r>
        <w:br/>
        <w:t>\tag{3.12703}</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X_F\rightsquigarrow Y_F</w:t>
      </w:r>
    </w:p>
    <w:p w:rsidR="00224F82" w:rsidRDefault="00224F82" w:rsidP="00224F82">
      <w:pPr>
        <w:pStyle w:val="StandardWeb"/>
      </w:pPr>
      <w:r>
        <w:t>folgt ohne zusätzliche Interventionsstruktur nicht</w:t>
      </w:r>
    </w:p>
    <w:p w:rsidR="00224F82" w:rsidRDefault="00224F82" w:rsidP="00224F82">
      <w:pPr>
        <w:pStyle w:val="StandardWeb"/>
      </w:pPr>
      <w:r>
        <w:t>[</w:t>
      </w:r>
      <w:r>
        <w:br/>
        <w:t>\boxed{</w:t>
      </w:r>
      <w:r>
        <w:br/>
        <w:t>X_F</w:t>
      </w:r>
      <w:r>
        <w:br/>
        <w:t>\overset{\operatorname{do}}{\longrightarrow}</w:t>
      </w:r>
      <w:r>
        <w:br/>
        <w:t>Y_F.</w:t>
      </w:r>
      <w:r>
        <w:br/>
        <w:t>}</w:t>
      </w:r>
      <w:r>
        <w:br/>
        <w:t>\tag{3.12704}</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\boxed{X_F\overset{\operatorname{do}}{\longrightarrow}Y_F.}</w:t>
      </w:r>
    </w:p>
    <w:p w:rsidR="00224F82" w:rsidRDefault="00224F82" w:rsidP="00224F82">
      <w:pPr>
        <w:pStyle w:val="berschrift3"/>
      </w:pPr>
      <w:r>
        <w:t>Beweis</w:t>
      </w:r>
    </w:p>
    <w:p w:rsidR="00224F82" w:rsidRDefault="00224F82" w:rsidP="00224F82">
      <w:pPr>
        <w:pStyle w:val="StandardWeb"/>
      </w:pPr>
      <w:r>
        <w:t>Die Relation (X_F\rightsquigarrow Y_F) wurde in Definition 3.3.370 lediglich als gerichtete funktionale Einflussrelation definiert. Sie enthält weder eine Interventionsdomäne noch Vergleichszustände oder Kontextbedingungen.</w:t>
      </w:r>
    </w:p>
    <w:p w:rsidR="00224F82" w:rsidRDefault="00224F82" w:rsidP="00224F82">
      <w:pPr>
        <w:pStyle w:val="StandardWeb"/>
      </w:pPr>
      <w:r>
        <w:t>Daher ist</w:t>
      </w:r>
    </w:p>
    <w:p w:rsidR="00224F82" w:rsidRDefault="00224F82" w:rsidP="00224F82">
      <w:pPr>
        <w:pStyle w:val="StandardWeb"/>
      </w:pPr>
      <w:r>
        <w:t>[</w:t>
      </w:r>
      <w:r>
        <w:br/>
        <w:t>\operatorname{do}_F(X=x)</w:t>
      </w:r>
      <w:r>
        <w:br/>
        <w:t>\tag{3.12705}</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lastRenderedPageBreak/>
        <w:t>\operatorname{do}_F(X=x)</w:t>
      </w:r>
    </w:p>
    <w:p w:rsidR="00224F82" w:rsidRDefault="00224F82" w:rsidP="00224F82">
      <w:pPr>
        <w:pStyle w:val="StandardWeb"/>
      </w:pPr>
      <w:r>
        <w:t>aus der bloßen Kantenrelation nicht ableitbar.</w:t>
      </w:r>
    </w:p>
    <w:p w:rsidR="00224F82" w:rsidRDefault="00224F82" w:rsidP="00224F82">
      <w:pPr>
        <w:pStyle w:val="StandardWeb"/>
      </w:pPr>
      <w:r>
        <w:t>Somit kann die interventionelle Kausalitätsrelation nicht allein aus der gerichteten Einflussrelation folgen. (\square)</w:t>
      </w:r>
    </w:p>
    <w:p w:rsidR="00224F82" w:rsidRDefault="00E50336" w:rsidP="00224F82">
      <w:r>
        <w:pict>
          <v:rect id="_x0000_i4693" style="width:0;height:1.5pt" o:hralign="center" o:hrstd="t" o:hr="t" fillcolor="#a0a0a0" stroked="f"/>
        </w:pict>
      </w:r>
    </w:p>
    <w:p w:rsidR="00224F82" w:rsidRDefault="00224F82" w:rsidP="00224F82">
      <w:pPr>
        <w:pStyle w:val="berschrift1"/>
      </w:pPr>
      <w:r>
        <w:t>3.3.49.162 Primäraxiomkandidat universeller Kausalität</w:t>
      </w:r>
    </w:p>
    <w:p w:rsidR="00224F82" w:rsidRDefault="00224F82" w:rsidP="00224F82">
      <w:pPr>
        <w:pStyle w:val="StandardWeb"/>
      </w:pPr>
      <w:r>
        <w:t>Ein möglicher Kandidat wäre</w:t>
      </w:r>
    </w:p>
    <w:p w:rsidR="00224F82" w:rsidRDefault="00224F82" w:rsidP="00224F82">
      <w:pPr>
        <w:pStyle w:val="StandardWeb"/>
      </w:pPr>
      <w:r>
        <w:t>[</w:t>
      </w:r>
      <w:r>
        <w:br/>
        <w:t>A_{\mathrm{caus}}</w:t>
      </w:r>
      <w:r>
        <w:br/>
        <w:t>:</w:t>
      </w:r>
      <w:r>
        <w:br/>
        <w:t>X_F</w:t>
      </w:r>
      <w:r>
        <w:br/>
        <w:t>\rightsquigarrow</w:t>
      </w:r>
      <w:r>
        <w:br/>
        <w:t>Y_F</w:t>
      </w:r>
      <w:r>
        <w:br/>
        <w:t>\Rightarrow</w:t>
      </w:r>
      <w:r>
        <w:br/>
        <w:t>X_F</w:t>
      </w:r>
      <w:r>
        <w:br/>
        <w:t>\overset{\operatorname{do}}{\longrightarrow}</w:t>
      </w:r>
      <w:r>
        <w:br/>
        <w:t>Y_F.</w:t>
      </w:r>
      <w:r>
        <w:br/>
        <w:t>\tag{3.12706}</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A_{\mathrm{caus}}:X_F\rightsquigarrow Y_F\Rightarrow X_F\overset{\operatorname{do}}{\longrightarrow}Y_F</w:t>
      </w:r>
    </w:p>
    <w:p w:rsidR="00224F82" w:rsidRDefault="00E50336" w:rsidP="00224F82">
      <w:r>
        <w:pict>
          <v:rect id="_x0000_i4694" style="width:0;height:1.5pt" o:hralign="center" o:hrstd="t" o:hr="t" fillcolor="#a0a0a0" stroked="f"/>
        </w:pict>
      </w:r>
    </w:p>
    <w:p w:rsidR="00224F82" w:rsidRDefault="00224F82" w:rsidP="00224F82">
      <w:pPr>
        <w:pStyle w:val="berschrift1"/>
      </w:pPr>
      <w:r>
        <w:t>3.3.49.163 Gegenmodell zum universellen Kausalitätsaxiom</w:t>
      </w:r>
    </w:p>
    <w:p w:rsidR="00224F82" w:rsidRDefault="00224F82" w:rsidP="00224F82">
      <w:pPr>
        <w:pStyle w:val="StandardWeb"/>
      </w:pPr>
      <w:r>
        <w:t>Eine Modellklasse kann eine strukturelle Einflussrelation definieren, ohne überhaupt eine Interventionsoperation zu enthalten:</w:t>
      </w:r>
    </w:p>
    <w:p w:rsidR="00224F82" w:rsidRDefault="00224F82" w:rsidP="00224F82">
      <w:pPr>
        <w:pStyle w:val="berschrift1"/>
      </w:pPr>
      <w:r>
        <w:t>[</w:t>
      </w:r>
      <w:r>
        <w:br/>
        <w:t>\mathcal D_{\operatorname{do}}</w:t>
      </w:r>
    </w:p>
    <w:p w:rsidR="00224F82" w:rsidRDefault="00224F82" w:rsidP="00224F82">
      <w:pPr>
        <w:pStyle w:val="StandardWeb"/>
      </w:pPr>
      <w:r>
        <w:t>\varnothing.</w:t>
      </w:r>
      <w:r>
        <w:br/>
        <w:t>\tag{3.12707}</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lastRenderedPageBreak/>
        <w:t>\mathcal D_{\operatorname{do}}=\varnothing</w:t>
      </w:r>
    </w:p>
    <w:p w:rsidR="00224F82" w:rsidRDefault="00224F82" w:rsidP="00224F82">
      <w:pPr>
        <w:pStyle w:val="StandardWeb"/>
      </w:pPr>
      <w:r>
        <w:t>Dann kann</w:t>
      </w:r>
    </w:p>
    <w:p w:rsidR="00224F82" w:rsidRDefault="00224F82" w:rsidP="00224F82">
      <w:pPr>
        <w:pStyle w:val="StandardWeb"/>
      </w:pPr>
      <w:r>
        <w:t>[</w:t>
      </w:r>
      <w:r>
        <w:br/>
        <w:t>X_F</w:t>
      </w:r>
      <w:r>
        <w:br/>
        <w:t>\rightsquigarrow</w:t>
      </w:r>
      <w:r>
        <w:br/>
        <w:t>Y_F</w:t>
      </w:r>
      <w:r>
        <w:br/>
        <w:t>\tag{3.12708}</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X_F\rightsquigarrow Y_F</w:t>
      </w:r>
    </w:p>
    <w:p w:rsidR="00224F82" w:rsidRDefault="00224F82" w:rsidP="00224F82">
      <w:pPr>
        <w:pStyle w:val="StandardWeb"/>
      </w:pPr>
      <w:r>
        <w:t>wohldefiniert sein, während eine interventionelle Kausalitätsaussage gar nicht gebildet werden kann.</w:t>
      </w:r>
    </w:p>
    <w:p w:rsidR="00224F82" w:rsidRDefault="00E50336" w:rsidP="00224F82">
      <w:r>
        <w:pict>
          <v:rect id="_x0000_i4695" style="width:0;height:1.5pt" o:hralign="center" o:hrstd="t" o:hr="t" fillcolor="#a0a0a0" stroked="f"/>
        </w:pict>
      </w:r>
    </w:p>
    <w:p w:rsidR="00224F82" w:rsidRDefault="00224F82" w:rsidP="00224F82">
      <w:pPr>
        <w:pStyle w:val="berschrift1"/>
      </w:pPr>
      <w:r>
        <w:t>3.3.49.164 Axiomentscheidung zur universellen funktionalen Kausalität</w:t>
      </w:r>
    </w:p>
    <w:p w:rsidR="00224F82" w:rsidRDefault="00224F82" w:rsidP="00224F82">
      <w:pPr>
        <w:pStyle w:val="StandardWeb"/>
      </w:pPr>
      <w:r>
        <w:t>Daher gilt</w:t>
      </w:r>
    </w:p>
    <w:p w:rsidR="00224F82" w:rsidRDefault="00224F82" w:rsidP="00224F82">
      <w:pPr>
        <w:pStyle w:val="berschrift1"/>
      </w:pPr>
      <w:r>
        <w:t>[</w:t>
      </w:r>
      <w:r>
        <w:br/>
        <w:t>\boxed{</w:t>
      </w:r>
      <w:r>
        <w:br/>
        <w:t>U_{\mathrm{Ax}}</w:t>
      </w:r>
      <w:r>
        <w:br/>
        <w:t>(A_{\mathrm{caus}})</w:t>
      </w:r>
    </w:p>
    <w:p w:rsidR="00224F82" w:rsidRDefault="00224F82" w:rsidP="007B100B">
      <w:pPr>
        <w:numPr>
          <w:ilvl w:val="0"/>
          <w:numId w:val="569"/>
        </w:numPr>
        <w:spacing w:before="100" w:beforeAutospacing="1" w:after="100" w:afterAutospacing="1"/>
      </w:pPr>
    </w:p>
    <w:p w:rsidR="00224F82" w:rsidRDefault="00224F82" w:rsidP="00224F82">
      <w:pPr>
        <w:pStyle w:val="StandardWeb"/>
      </w:pPr>
      <w:r>
        <w:t>}</w:t>
      </w:r>
      <w:r>
        <w:br/>
        <w:t>\tag{3.12709}</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\boxed{U_{\mathrm{Ax}}(A_{\mathrm{caus}})=0.}</w:t>
      </w:r>
    </w:p>
    <w:p w:rsidR="00224F82" w:rsidRDefault="00E50336" w:rsidP="00224F82">
      <w:r>
        <w:pict>
          <v:rect id="_x0000_i4696" style="width:0;height:1.5pt" o:hralign="center" o:hrstd="t" o:hr="t" fillcolor="#a0a0a0" stroked="f"/>
        </w:pict>
      </w:r>
    </w:p>
    <w:p w:rsidR="00224F82" w:rsidRDefault="00224F82" w:rsidP="00224F82">
      <w:pPr>
        <w:pStyle w:val="berschrift1"/>
      </w:pPr>
      <w:r>
        <w:t>3.3.49.165 Satz 3.3.167 – Universelle interventionelle Kausalität ist kein Primäraxiom des allgemeinen FRZK</w:t>
      </w:r>
    </w:p>
    <w:p w:rsidR="00224F82" w:rsidRDefault="00224F82" w:rsidP="00224F82">
      <w:pPr>
        <w:pStyle w:val="berschrift3"/>
      </w:pPr>
      <w:r>
        <w:t>Satz 3.3.167</w:t>
      </w:r>
    </w:p>
    <w:p w:rsidR="00224F82" w:rsidRDefault="00224F82" w:rsidP="00224F82">
      <w:pPr>
        <w:pStyle w:val="StandardWeb"/>
      </w:pPr>
      <w:r>
        <w:lastRenderedPageBreak/>
        <w:t>Die Forderung, jede gerichtete funktionale Einflussrelation müsse eine wohldefinierte interventionelle Kausalitätsrelation darstellen, ist keine universell notwendige Voraussetzung des allgemeinen FRZK.</w:t>
      </w:r>
    </w:p>
    <w:p w:rsidR="00224F82" w:rsidRDefault="00224F82" w:rsidP="00224F82">
      <w:pPr>
        <w:pStyle w:val="StandardWeb"/>
      </w:pPr>
      <w:r>
        <w:t>Es gilt</w:t>
      </w:r>
    </w:p>
    <w:p w:rsidR="00224F82" w:rsidRDefault="00224F82" w:rsidP="00224F82">
      <w:pPr>
        <w:pStyle w:val="berschrift1"/>
      </w:pPr>
      <w:r>
        <w:t>[</w:t>
      </w:r>
      <w:r>
        <w:br/>
        <w:t>\boxed{</w:t>
      </w:r>
      <w:r>
        <w:br/>
        <w:t>U_{\mathrm{Ax}}</w:t>
      </w:r>
      <w:r>
        <w:br/>
        <w:t>(A_{\mathrm{caus}})</w:t>
      </w:r>
    </w:p>
    <w:p w:rsidR="00224F82" w:rsidRDefault="00224F82" w:rsidP="007B100B">
      <w:pPr>
        <w:numPr>
          <w:ilvl w:val="0"/>
          <w:numId w:val="570"/>
        </w:numPr>
        <w:spacing w:before="100" w:beforeAutospacing="1" w:after="100" w:afterAutospacing="1"/>
      </w:pPr>
    </w:p>
    <w:p w:rsidR="00224F82" w:rsidRDefault="00224F82" w:rsidP="00224F82">
      <w:pPr>
        <w:pStyle w:val="StandardWeb"/>
      </w:pPr>
      <w:r>
        <w:t>}</w:t>
      </w:r>
      <w:r>
        <w:br/>
        <w:t>\tag{3.12710}</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\boxed{U_{\mathrm{Ax}}(A_{\mathrm{caus}})=0.}</w:t>
      </w:r>
    </w:p>
    <w:p w:rsidR="00224F82" w:rsidRDefault="00E50336" w:rsidP="00224F82">
      <w:r>
        <w:pict>
          <v:rect id="_x0000_i4697" style="width:0;height:1.5pt" o:hralign="center" o:hrstd="t" o:hr="t" fillcolor="#a0a0a0" stroked="f"/>
        </w:pict>
      </w:r>
    </w:p>
    <w:p w:rsidR="00224F82" w:rsidRDefault="00224F82" w:rsidP="00224F82">
      <w:pPr>
        <w:pStyle w:val="berschrift1"/>
      </w:pPr>
      <w:r>
        <w:t>3.3.49.166 Primäraxiomkandidat der Interventionsfähigkeit</w:t>
      </w:r>
    </w:p>
    <w:p w:rsidR="00224F82" w:rsidRDefault="00224F82" w:rsidP="00224F82">
      <w:pPr>
        <w:pStyle w:val="StandardWeb"/>
      </w:pPr>
      <w:r>
        <w:t>Ein weiterer Kandidat wäre</w:t>
      </w:r>
    </w:p>
    <w:p w:rsidR="00224F82" w:rsidRDefault="00224F82" w:rsidP="00224F82">
      <w:pPr>
        <w:pStyle w:val="StandardWeb"/>
      </w:pPr>
      <w:r>
        <w:t>[</w:t>
      </w:r>
      <w:r>
        <w:br/>
        <w:t>A_{\operatorname{do}}</w:t>
      </w:r>
      <w:r>
        <w:br/>
        <w:t>:</w:t>
      </w:r>
      <w:r>
        <w:br/>
        <w:t>\forall X_F</w:t>
      </w:r>
      <w:r>
        <w:br/>
        <w:t>\quad</w:t>
      </w:r>
      <w:r>
        <w:br/>
        <w:t>\exists</w:t>
      </w:r>
      <w:r>
        <w:br/>
        <w:t>\operatorname{do}_F(X=x).</w:t>
      </w:r>
      <w:r>
        <w:br/>
        <w:t>\tag{3.12711}</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A_{\operatorname{do}}:\forall X_F\quad\exists\operatorname{do}_F(X=x)</w:t>
      </w:r>
    </w:p>
    <w:p w:rsidR="00224F82" w:rsidRDefault="00E50336" w:rsidP="00224F82">
      <w:r>
        <w:pict>
          <v:rect id="_x0000_i4698" style="width:0;height:1.5pt" o:hralign="center" o:hrstd="t" o:hr="t" fillcolor="#a0a0a0" stroked="f"/>
        </w:pict>
      </w:r>
    </w:p>
    <w:p w:rsidR="00224F82" w:rsidRDefault="00224F82" w:rsidP="00224F82">
      <w:pPr>
        <w:pStyle w:val="berschrift1"/>
      </w:pPr>
      <w:r>
        <w:t>3.3.49.167 Gegenmodell zur universellen Interventionsfähigkeit</w:t>
      </w:r>
    </w:p>
    <w:p w:rsidR="00224F82" w:rsidRDefault="00224F82" w:rsidP="00224F82">
      <w:pPr>
        <w:pStyle w:val="StandardWeb"/>
      </w:pPr>
      <w:r>
        <w:lastRenderedPageBreak/>
        <w:t>Ein mathematisches FRZK-Modell kann rein beobachtend oder rekonstruierend formuliert werden.</w:t>
      </w:r>
    </w:p>
    <w:p w:rsidR="00224F82" w:rsidRDefault="00224F82" w:rsidP="00224F82">
      <w:pPr>
        <w:pStyle w:val="StandardWeb"/>
      </w:pPr>
      <w:r>
        <w:t>Dann kann</w:t>
      </w:r>
    </w:p>
    <w:p w:rsidR="00224F82" w:rsidRDefault="00224F82" w:rsidP="00224F82">
      <w:pPr>
        <w:pStyle w:val="berschrift1"/>
      </w:pPr>
      <w:r>
        <w:t>[</w:t>
      </w:r>
      <w:r>
        <w:br/>
        <w:t>\mathcal D_{\operatorname{do}}</w:t>
      </w:r>
    </w:p>
    <w:p w:rsidR="00224F82" w:rsidRDefault="00224F82" w:rsidP="00224F82">
      <w:pPr>
        <w:pStyle w:val="StandardWeb"/>
      </w:pPr>
      <w:r>
        <w:t>\varnothing</w:t>
      </w:r>
      <w:r>
        <w:br/>
        <w:t>\tag{3.12712}</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\mathcal D_{\operatorname{do}}=\varnothing</w:t>
      </w:r>
    </w:p>
    <w:p w:rsidR="00224F82" w:rsidRDefault="00224F82" w:rsidP="00224F82">
      <w:pPr>
        <w:pStyle w:val="StandardWeb"/>
      </w:pPr>
      <w:r>
        <w:t>gelten, ohne dass das Modell mathematisch widersprüchlich wird.</w:t>
      </w:r>
    </w:p>
    <w:p w:rsidR="00224F82" w:rsidRDefault="00E50336" w:rsidP="00224F82">
      <w:r>
        <w:pict>
          <v:rect id="_x0000_i4699" style="width:0;height:1.5pt" o:hralign="center" o:hrstd="t" o:hr="t" fillcolor="#a0a0a0" stroked="f"/>
        </w:pict>
      </w:r>
    </w:p>
    <w:p w:rsidR="00224F82" w:rsidRDefault="00224F82" w:rsidP="00224F82">
      <w:pPr>
        <w:pStyle w:val="berschrift1"/>
      </w:pPr>
      <w:r>
        <w:t>3.3.49.168 Axiomentscheidung zur Interventionsfähigkeit</w:t>
      </w:r>
    </w:p>
    <w:p w:rsidR="00224F82" w:rsidRDefault="00224F82" w:rsidP="00224F82">
      <w:pPr>
        <w:pStyle w:val="StandardWeb"/>
      </w:pPr>
      <w:r>
        <w:t>Daher</w:t>
      </w:r>
    </w:p>
    <w:p w:rsidR="00224F82" w:rsidRDefault="00224F82" w:rsidP="00224F82">
      <w:pPr>
        <w:pStyle w:val="berschrift1"/>
      </w:pPr>
      <w:r>
        <w:t>[</w:t>
      </w:r>
      <w:r>
        <w:br/>
        <w:t>\boxed{</w:t>
      </w:r>
      <w:r>
        <w:br/>
        <w:t>U_{\mathrm{Ax}}</w:t>
      </w:r>
      <w:r>
        <w:br/>
        <w:t>(A_{\operatorname{do}})</w:t>
      </w:r>
    </w:p>
    <w:p w:rsidR="00224F82" w:rsidRDefault="00224F82" w:rsidP="007B100B">
      <w:pPr>
        <w:numPr>
          <w:ilvl w:val="0"/>
          <w:numId w:val="571"/>
        </w:numPr>
        <w:spacing w:before="100" w:beforeAutospacing="1" w:after="100" w:afterAutospacing="1"/>
      </w:pPr>
    </w:p>
    <w:p w:rsidR="00224F82" w:rsidRDefault="00224F82" w:rsidP="00224F82">
      <w:pPr>
        <w:pStyle w:val="StandardWeb"/>
      </w:pPr>
      <w:r>
        <w:t>}</w:t>
      </w:r>
      <w:r>
        <w:br/>
        <w:t>\tag{3.12713}</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\boxed{U_{\mathrm{Ax}}(A_{\operatorname{do}})=0.}</w:t>
      </w:r>
    </w:p>
    <w:p w:rsidR="00224F82" w:rsidRDefault="00E50336" w:rsidP="00224F82">
      <w:r>
        <w:pict>
          <v:rect id="_x0000_i4700" style="width:0;height:1.5pt" o:hralign="center" o:hrstd="t" o:hr="t" fillcolor="#a0a0a0" stroked="f"/>
        </w:pict>
      </w:r>
    </w:p>
    <w:p w:rsidR="00224F82" w:rsidRDefault="00224F82" w:rsidP="00224F82">
      <w:pPr>
        <w:pStyle w:val="berschrift1"/>
      </w:pPr>
      <w:r>
        <w:t>3.3.49.169 Satz 3.3.168 – Universelle Interventionsfähigkeit ist kein Primäraxiom</w:t>
      </w:r>
    </w:p>
    <w:p w:rsidR="00224F82" w:rsidRDefault="00224F82" w:rsidP="00224F82">
      <w:pPr>
        <w:pStyle w:val="berschrift3"/>
      </w:pPr>
      <w:r>
        <w:lastRenderedPageBreak/>
        <w:t>Satz 3.3.168</w:t>
      </w:r>
    </w:p>
    <w:p w:rsidR="00224F82" w:rsidRDefault="00224F82" w:rsidP="00224F82">
      <w:pPr>
        <w:pStyle w:val="StandardWeb"/>
      </w:pPr>
      <w:r>
        <w:t>Die Forderung, jedes funktionale Theorieobjekt müsse interventionell manipulierbar sein, ist keine universell notwendige Voraussetzung des allgemeinen FRZK.</w:t>
      </w:r>
    </w:p>
    <w:p w:rsidR="00224F82" w:rsidRDefault="00224F82" w:rsidP="00224F82">
      <w:pPr>
        <w:pStyle w:val="StandardWeb"/>
      </w:pPr>
      <w:r>
        <w:t>Formal gilt</w:t>
      </w:r>
    </w:p>
    <w:p w:rsidR="00224F82" w:rsidRDefault="00224F82" w:rsidP="00224F82">
      <w:pPr>
        <w:pStyle w:val="berschrift1"/>
      </w:pPr>
      <w:r>
        <w:t>[</w:t>
      </w:r>
      <w:r>
        <w:br/>
        <w:t>\boxed{</w:t>
      </w:r>
      <w:r>
        <w:br/>
        <w:t>U_{\mathrm{Ax}}</w:t>
      </w:r>
      <w:r>
        <w:br/>
        <w:t>(A_{\operatorname{do}})</w:t>
      </w:r>
    </w:p>
    <w:p w:rsidR="00224F82" w:rsidRDefault="00224F82" w:rsidP="007B100B">
      <w:pPr>
        <w:numPr>
          <w:ilvl w:val="0"/>
          <w:numId w:val="572"/>
        </w:numPr>
        <w:spacing w:before="100" w:beforeAutospacing="1" w:after="100" w:afterAutospacing="1"/>
      </w:pPr>
    </w:p>
    <w:p w:rsidR="00224F82" w:rsidRDefault="00224F82" w:rsidP="00224F82">
      <w:pPr>
        <w:pStyle w:val="StandardWeb"/>
      </w:pPr>
      <w:r>
        <w:t>}</w:t>
      </w:r>
      <w:r>
        <w:br/>
        <w:t>\tag{3.12714}</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\boxed{U_{\mathrm{Ax}}(A_{\operatorname{do}})=0.}</w:t>
      </w:r>
    </w:p>
    <w:p w:rsidR="00224F82" w:rsidRDefault="00E50336" w:rsidP="00224F82">
      <w:r>
        <w:pict>
          <v:rect id="_x0000_i4701" style="width:0;height:1.5pt" o:hralign="center" o:hrstd="t" o:hr="t" fillcolor="#a0a0a0" stroked="f"/>
        </w:pict>
      </w:r>
    </w:p>
    <w:p w:rsidR="00224F82" w:rsidRDefault="00224F82" w:rsidP="00224F82">
      <w:pPr>
        <w:pStyle w:val="berschrift1"/>
      </w:pPr>
      <w:r>
        <w:t>3.3.49.170 Status der Beobachtungsabhängigkeit</w:t>
      </w:r>
    </w:p>
    <w:p w:rsidR="00224F82" w:rsidRDefault="00224F82" w:rsidP="00224F82">
      <w:pPr>
        <w:pStyle w:val="StandardWeb"/>
      </w:pPr>
      <w:r>
        <w:t>Für</w:t>
      </w:r>
    </w:p>
    <w:p w:rsidR="00224F82" w:rsidRDefault="00224F82" w:rsidP="00224F82">
      <w:pPr>
        <w:pStyle w:val="StandardWeb"/>
      </w:pPr>
      <w:r>
        <w:t>[</w:t>
      </w:r>
      <w:r>
        <w:br/>
        <w:t>X_F</w:t>
      </w:r>
      <w:r>
        <w:br/>
        <w:t>\not!\perp_{\mathrm{obs}}</w:t>
      </w:r>
      <w:r>
        <w:br/>
        <w:t>Y_F</w:t>
      </w:r>
      <w:r>
        <w:br/>
        <w:t>\tag{3.12715}</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X_F\not\!\perp_{\mathrm{obs}}Y_F</w:t>
      </w:r>
    </w:p>
    <w:p w:rsidR="00224F82" w:rsidRDefault="00224F82" w:rsidP="00224F82">
      <w:pPr>
        <w:pStyle w:val="StandardWeb"/>
      </w:pPr>
      <w:r>
        <w:t>gilt</w:t>
      </w:r>
    </w:p>
    <w:p w:rsidR="00224F82" w:rsidRDefault="00224F82" w:rsidP="00224F82">
      <w:pPr>
        <w:pStyle w:val="berschrift1"/>
      </w:pPr>
      <w:r>
        <w:t>[</w:t>
      </w:r>
      <w:r>
        <w:br/>
        <w:t>\boxed{</w:t>
      </w:r>
      <w:r>
        <w:br/>
        <w:t>\operatorname{Stat}</w:t>
      </w:r>
      <w:r>
        <w:br/>
        <w:t>(\operatorname{Dep}_{\mathrm{obs}})</w:t>
      </w:r>
    </w:p>
    <w:p w:rsidR="00224F82" w:rsidRDefault="00224F82" w:rsidP="00224F82">
      <w:pPr>
        <w:pStyle w:val="StandardWeb"/>
      </w:pPr>
      <w:r>
        <w:lastRenderedPageBreak/>
        <w:t>\mathrm{Def/Op/Mod}.</w:t>
      </w:r>
      <w:r>
        <w:br/>
        <w:t>}</w:t>
      </w:r>
      <w:r>
        <w:br/>
        <w:t>\tag{3.12716}</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\boxed{\operatorname{Stat}(\operatorname{Dep}_{\mathrm{obs}})=\mathrm{Def/Op/Mod}.}</w:t>
      </w:r>
    </w:p>
    <w:p w:rsidR="00224F82" w:rsidRDefault="00E50336" w:rsidP="00224F82">
      <w:r>
        <w:pict>
          <v:rect id="_x0000_i4702" style="width:0;height:1.5pt" o:hralign="center" o:hrstd="t" o:hr="t" fillcolor="#a0a0a0" stroked="f"/>
        </w:pict>
      </w:r>
    </w:p>
    <w:p w:rsidR="00224F82" w:rsidRDefault="00224F82" w:rsidP="00224F82">
      <w:pPr>
        <w:pStyle w:val="berschrift1"/>
      </w:pPr>
      <w:r>
        <w:t>3.3.49.171 Status der interventionellen Abhängigkeit</w:t>
      </w:r>
    </w:p>
    <w:p w:rsidR="00224F82" w:rsidRDefault="00224F82" w:rsidP="00224F82">
      <w:pPr>
        <w:pStyle w:val="StandardWeb"/>
      </w:pPr>
      <w:r>
        <w:t>Für</w:t>
      </w:r>
    </w:p>
    <w:p w:rsidR="00224F82" w:rsidRDefault="00224F82" w:rsidP="00224F82">
      <w:pPr>
        <w:pStyle w:val="StandardWeb"/>
      </w:pPr>
      <w:r>
        <w:t>[</w:t>
      </w:r>
      <w:r>
        <w:br/>
        <w:t>X_F</w:t>
      </w:r>
      <w:r>
        <w:br/>
        <w:t>\overset{\operatorname{do}}{\longrightarrow}</w:t>
      </w:r>
      <w:r>
        <w:br/>
        <w:t>Y_F</w:t>
      </w:r>
      <w:r>
        <w:br/>
        <w:t>\tag{3.12717}</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X_F\overset{\operatorname{do}}{\longrightarrow}Y_F</w:t>
      </w:r>
    </w:p>
    <w:p w:rsidR="00224F82" w:rsidRDefault="00224F82" w:rsidP="00224F82">
      <w:pPr>
        <w:pStyle w:val="StandardWeb"/>
      </w:pPr>
      <w:r>
        <w:t>gilt</w:t>
      </w:r>
    </w:p>
    <w:p w:rsidR="00224F82" w:rsidRDefault="00224F82" w:rsidP="00224F82">
      <w:pPr>
        <w:pStyle w:val="berschrift1"/>
      </w:pPr>
      <w:r>
        <w:t>[</w:t>
      </w:r>
      <w:r>
        <w:br/>
        <w:t>\boxed{</w:t>
      </w:r>
      <w:r>
        <w:br/>
        <w:t>\operatorname{Stat}</w:t>
      </w:r>
      <w:r>
        <w:br/>
        <w:t>(\operatorname{Dep}_{\operatorname{do}})</w:t>
      </w:r>
    </w:p>
    <w:p w:rsidR="00224F82" w:rsidRDefault="00224F82" w:rsidP="00224F82">
      <w:pPr>
        <w:pStyle w:val="StandardWeb"/>
      </w:pPr>
      <w:r>
        <w:t>\mathrm{Def/Mod/Op}.</w:t>
      </w:r>
      <w:r>
        <w:br/>
        <w:t>}</w:t>
      </w:r>
      <w:r>
        <w:br/>
        <w:t>\tag{3.12718}</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\boxed{\operatorname{Stat}(\operatorname{Dep}_{\operatorname{do}})=\mathrm{Def/Mod/Op}.}</w:t>
      </w:r>
    </w:p>
    <w:p w:rsidR="00224F82" w:rsidRDefault="00E50336" w:rsidP="00224F82">
      <w:r>
        <w:pict>
          <v:rect id="_x0000_i4703" style="width:0;height:1.5pt" o:hralign="center" o:hrstd="t" o:hr="t" fillcolor="#a0a0a0" stroked="f"/>
        </w:pict>
      </w:r>
    </w:p>
    <w:p w:rsidR="00224F82" w:rsidRDefault="00224F82" w:rsidP="00224F82">
      <w:pPr>
        <w:pStyle w:val="berschrift1"/>
      </w:pPr>
      <w:r>
        <w:t>3.3.49.172 Status der Konfundierungsstruktur</w:t>
      </w:r>
    </w:p>
    <w:p w:rsidR="00224F82" w:rsidRDefault="00224F82" w:rsidP="00224F82">
      <w:pPr>
        <w:pStyle w:val="StandardWeb"/>
      </w:pPr>
      <w:r>
        <w:t>Für</w:t>
      </w:r>
    </w:p>
    <w:p w:rsidR="00224F82" w:rsidRDefault="00224F82" w:rsidP="00224F82">
      <w:pPr>
        <w:pStyle w:val="StandardWeb"/>
      </w:pPr>
      <w:r>
        <w:lastRenderedPageBreak/>
        <w:t>[</w:t>
      </w:r>
      <w:r>
        <w:br/>
        <w:t>X_F</w:t>
      </w:r>
      <w:r>
        <w:br/>
        <w:t>\leftarrow</w:t>
      </w:r>
      <w:r>
        <w:br/>
        <w:t>Z_F</w:t>
      </w:r>
      <w:r>
        <w:br/>
        <w:t>\rightarrow</w:t>
      </w:r>
      <w:r>
        <w:br/>
        <w:t>Y_F</w:t>
      </w:r>
      <w:r>
        <w:br/>
        <w:t>\tag{3.12719}</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X_F\leftarrow Z_F\rightarrow Y_F</w:t>
      </w:r>
    </w:p>
    <w:p w:rsidR="00224F82" w:rsidRDefault="00224F82" w:rsidP="00224F82">
      <w:pPr>
        <w:pStyle w:val="StandardWeb"/>
      </w:pPr>
      <w:r>
        <w:t>gilt</w:t>
      </w:r>
    </w:p>
    <w:p w:rsidR="00224F82" w:rsidRDefault="00224F82" w:rsidP="00224F82">
      <w:pPr>
        <w:pStyle w:val="berschrift1"/>
      </w:pPr>
      <w:r>
        <w:t>[</w:t>
      </w:r>
      <w:r>
        <w:br/>
        <w:t>\boxed{</w:t>
      </w:r>
      <w:r>
        <w:br/>
        <w:t>\operatorname{Stat}</w:t>
      </w:r>
      <w:r>
        <w:br/>
        <w:t>(\operatorname{Conf}_F)</w:t>
      </w:r>
    </w:p>
    <w:p w:rsidR="00224F82" w:rsidRDefault="00224F82" w:rsidP="00224F82">
      <w:pPr>
        <w:pStyle w:val="StandardWeb"/>
      </w:pPr>
      <w:r>
        <w:t>\mathrm{Def/Mod/Op}.</w:t>
      </w:r>
      <w:r>
        <w:br/>
        <w:t>}</w:t>
      </w:r>
      <w:r>
        <w:br/>
        <w:t>\tag{3.12720}</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\boxed{\operatorname{Stat}(\operatorname{Conf}_F)=\mathrm{Def/Mod/Op}.}</w:t>
      </w:r>
    </w:p>
    <w:p w:rsidR="00224F82" w:rsidRDefault="00E50336" w:rsidP="00224F82">
      <w:r>
        <w:pict>
          <v:rect id="_x0000_i4704" style="width:0;height:1.5pt" o:hralign="center" o:hrstd="t" o:hr="t" fillcolor="#a0a0a0" stroked="f"/>
        </w:pict>
      </w:r>
    </w:p>
    <w:p w:rsidR="00224F82" w:rsidRDefault="00224F82" w:rsidP="00224F82">
      <w:pPr>
        <w:pStyle w:val="berschrift1"/>
      </w:pPr>
      <w:r>
        <w:t>3.3.49.173 Status funktionaler Mediation</w:t>
      </w:r>
    </w:p>
    <w:p w:rsidR="00224F82" w:rsidRDefault="00224F82" w:rsidP="00224F82">
      <w:pPr>
        <w:pStyle w:val="StandardWeb"/>
      </w:pPr>
      <w:r>
        <w:t>Für</w:t>
      </w:r>
    </w:p>
    <w:p w:rsidR="00224F82" w:rsidRDefault="00224F82" w:rsidP="00224F82">
      <w:pPr>
        <w:pStyle w:val="StandardWeb"/>
      </w:pPr>
      <w:r>
        <w:t>[</w:t>
      </w:r>
      <w:r>
        <w:br/>
        <w:t>X_F</w:t>
      </w:r>
      <w:r>
        <w:br/>
        <w:t>\rightarrow</w:t>
      </w:r>
      <w:r>
        <w:br/>
        <w:t>M_F</w:t>
      </w:r>
      <w:r>
        <w:br/>
        <w:t>\rightarrow</w:t>
      </w:r>
      <w:r>
        <w:br/>
        <w:t>Y_F</w:t>
      </w:r>
      <w:r>
        <w:br/>
        <w:t>\tag{3.12721}</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X_F\rightarrow M_F\rightarrow Y_F</w:t>
      </w:r>
    </w:p>
    <w:p w:rsidR="00224F82" w:rsidRDefault="00224F82" w:rsidP="00224F82">
      <w:pPr>
        <w:pStyle w:val="StandardWeb"/>
      </w:pPr>
      <w:r>
        <w:t>gilt</w:t>
      </w:r>
    </w:p>
    <w:p w:rsidR="00224F82" w:rsidRDefault="00224F82" w:rsidP="00224F82">
      <w:pPr>
        <w:pStyle w:val="berschrift1"/>
      </w:pPr>
      <w:r>
        <w:lastRenderedPageBreak/>
        <w:t>[</w:t>
      </w:r>
      <w:r>
        <w:br/>
        <w:t>\boxed{</w:t>
      </w:r>
      <w:r>
        <w:br/>
        <w:t>\operatorname{Stat}</w:t>
      </w:r>
      <w:r>
        <w:br/>
        <w:t>(\operatorname{Med}_F)</w:t>
      </w:r>
    </w:p>
    <w:p w:rsidR="00224F82" w:rsidRDefault="00224F82" w:rsidP="00224F82">
      <w:pPr>
        <w:pStyle w:val="StandardWeb"/>
      </w:pPr>
      <w:r>
        <w:t>\mathrm{Def/Mod/Op}.</w:t>
      </w:r>
      <w:r>
        <w:br/>
        <w:t>}</w:t>
      </w:r>
      <w:r>
        <w:br/>
        <w:t>\tag{3.12722}</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\boxed{\operatorname{Stat}(\operatorname{Med}_F)=\mathrm{Def/Mod/Op}.}</w:t>
      </w:r>
    </w:p>
    <w:p w:rsidR="00224F82" w:rsidRDefault="00E50336" w:rsidP="00224F82">
      <w:r>
        <w:pict>
          <v:rect id="_x0000_i4705" style="width:0;height:1.5pt" o:hralign="center" o:hrstd="t" o:hr="t" fillcolor="#a0a0a0" stroked="f"/>
        </w:pict>
      </w:r>
    </w:p>
    <w:p w:rsidR="00224F82" w:rsidRDefault="00224F82" w:rsidP="00224F82">
      <w:pPr>
        <w:pStyle w:val="berschrift1"/>
      </w:pPr>
      <w:r>
        <w:t>3.3.49.174 Status der Interventionsmodellklasse</w:t>
      </w:r>
    </w:p>
    <w:p w:rsidR="00224F82" w:rsidRDefault="00224F82" w:rsidP="00224F82">
      <w:pPr>
        <w:pStyle w:val="StandardWeb"/>
      </w:pPr>
      <w:r>
        <w:t>Für</w:t>
      </w:r>
    </w:p>
    <w:p w:rsidR="00224F82" w:rsidRDefault="00224F82" w:rsidP="00224F82">
      <w:pPr>
        <w:pStyle w:val="StandardWeb"/>
      </w:pPr>
      <w:r>
        <w:t>[</w:t>
      </w:r>
      <w:r>
        <w:br/>
        <w:t>\mathfrak M_F^{\operatorname{do}}</w:t>
      </w:r>
      <w:r>
        <w:br/>
        <w:t>\tag{3.12723}</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\mathfrak M_F^{\operatorname{do}}</w:t>
      </w:r>
    </w:p>
    <w:p w:rsidR="00224F82" w:rsidRDefault="00224F82" w:rsidP="00224F82">
      <w:pPr>
        <w:pStyle w:val="StandardWeb"/>
      </w:pPr>
      <w:r>
        <w:t>gilt</w:t>
      </w:r>
    </w:p>
    <w:p w:rsidR="00224F82" w:rsidRDefault="00224F82" w:rsidP="00224F82">
      <w:pPr>
        <w:pStyle w:val="berschrift1"/>
      </w:pPr>
      <w:r>
        <w:t>[</w:t>
      </w:r>
      <w:r>
        <w:br/>
        <w:t>\boxed{</w:t>
      </w:r>
      <w:r>
        <w:br/>
        <w:t>\operatorname{Stat}</w:t>
      </w:r>
      <w:r>
        <w:br/>
        <w:t>(\mathfrak M_F^{\operatorname{do}})</w:t>
      </w:r>
    </w:p>
    <w:p w:rsidR="00224F82" w:rsidRDefault="00224F82" w:rsidP="00224F82">
      <w:pPr>
        <w:pStyle w:val="StandardWeb"/>
      </w:pPr>
      <w:r>
        <w:t>\mathrm{Def/Mod}.</w:t>
      </w:r>
      <w:r>
        <w:br/>
        <w:t>}</w:t>
      </w:r>
      <w:r>
        <w:br/>
        <w:t>\tag{3.12724}</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\boxed{\operatorname{Stat}(\mathfrak M_F^{\operatorname{do}})=\mathrm{Def/Mod}.}</w:t>
      </w:r>
    </w:p>
    <w:p w:rsidR="00224F82" w:rsidRDefault="00E50336" w:rsidP="00224F82">
      <w:r>
        <w:lastRenderedPageBreak/>
        <w:pict>
          <v:rect id="_x0000_i4706" style="width:0;height:1.5pt" o:hralign="center" o:hrstd="t" o:hr="t" fillcolor="#a0a0a0" stroked="f"/>
        </w:pict>
      </w:r>
    </w:p>
    <w:p w:rsidR="00224F82" w:rsidRDefault="00224F82" w:rsidP="00224F82">
      <w:pPr>
        <w:pStyle w:val="berschrift1"/>
      </w:pPr>
      <w:r>
        <w:t>3.3.49.175 Erweiterte Einflussarchitektur</w:t>
      </w:r>
    </w:p>
    <w:p w:rsidR="00224F82" w:rsidRDefault="00224F82" w:rsidP="00224F82">
      <w:pPr>
        <w:pStyle w:val="StandardWeb"/>
      </w:pPr>
      <w:r>
        <w:t>Die bisherige Architektur erweitert sich zu</w:t>
      </w:r>
    </w:p>
    <w:p w:rsidR="00224F82" w:rsidRDefault="00224F82" w:rsidP="00224F82">
      <w:pPr>
        <w:pStyle w:val="berschrift1"/>
      </w:pPr>
      <w:r>
        <w:t>[</w:t>
      </w:r>
      <w:r>
        <w:br/>
        <w:t>\mathfrak E_{\mathrm{inf}}^{(2)}</w:t>
      </w:r>
    </w:p>
    <w:p w:rsidR="00224F82" w:rsidRDefault="00224F82" w:rsidP="00224F82">
      <w:pPr>
        <w:pStyle w:val="StandardWeb"/>
      </w:pPr>
      <w:r>
        <w:t>\left(</w:t>
      </w:r>
      <w:r>
        <w:br/>
        <w:t>\mathfrak E_{\mathrm{inf}}^{(1)},</w:t>
      </w:r>
      <w:r>
        <w:br/>
        <w:t>\operatorname{Dep}</w:t>
      </w:r>
      <w:r>
        <w:rPr>
          <w:rStyle w:val="Hervorhebung"/>
        </w:rPr>
        <w:t>{\mathrm{obs}},</w:t>
      </w:r>
      <w:r>
        <w:rPr>
          <w:i/>
          <w:iCs/>
        </w:rPr>
        <w:br/>
      </w:r>
      <w:r>
        <w:rPr>
          <w:rStyle w:val="Hervorhebung"/>
        </w:rPr>
        <w:t>\operatorname{Dep}</w:t>
      </w:r>
      <w:r>
        <w:t>{\operatorname{do}},</w:t>
      </w:r>
      <w:r>
        <w:br/>
        <w:t>\operatorname{Conf}_F,</w:t>
      </w:r>
      <w:r>
        <w:br/>
        <w:t>\operatorname{Med}_F,</w:t>
      </w:r>
      <w:r>
        <w:br/>
        <w:t>\operatorname{Coll}</w:t>
      </w:r>
      <w:r>
        <w:rPr>
          <w:rStyle w:val="Hervorhebung"/>
        </w:rPr>
        <w:t>F,</w:t>
      </w:r>
      <w:r>
        <w:rPr>
          <w:i/>
          <w:iCs/>
        </w:rPr>
        <w:br/>
      </w:r>
      <w:r>
        <w:rPr>
          <w:rStyle w:val="Hervorhebung"/>
        </w:rPr>
        <w:t>\eta</w:t>
      </w:r>
      <w:r>
        <w:t>{XY}^{\mathrm{net}},</w:t>
      </w:r>
      <w:r>
        <w:br/>
        <w:t>\mathfrak M_F^{\operatorname{do}}</w:t>
      </w:r>
      <w:r>
        <w:br/>
        <w:t>\right).</w:t>
      </w:r>
      <w:r>
        <w:br/>
        <w:t>\tag{3.12725}</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\mathfrak E_{\mathrm{inf}}^{(2)}=\left(\mathfrak E_{\mathrm{inf}}^{(1)},\operatorname{Dep}_{\mathrm{obs}},\operatorname{Dep}_{\operatorname{do}},\operatorname{Conf}_F,\operatorname{Med}_F,\operatorname{Coll}_F,\eta_{XY}^{\mathrm{net}},\mathfrak M_F^{\operatorname{do}}\right)</w:t>
      </w:r>
    </w:p>
    <w:p w:rsidR="00224F82" w:rsidRDefault="00E50336" w:rsidP="00224F82">
      <w:r>
        <w:pict>
          <v:rect id="_x0000_i4707" style="width:0;height:1.5pt" o:hralign="center" o:hrstd="t" o:hr="t" fillcolor="#a0a0a0" stroked="f"/>
        </w:pict>
      </w:r>
    </w:p>
    <w:p w:rsidR="00224F82" w:rsidRDefault="00224F82" w:rsidP="00224F82">
      <w:pPr>
        <w:pStyle w:val="berschrift1"/>
      </w:pPr>
      <w:r>
        <w:t>3.3.49.176 Erweiterte Primäraxiomkandidaten</w:t>
      </w:r>
    </w:p>
    <w:p w:rsidR="00224F82" w:rsidRDefault="00224F82" w:rsidP="00224F82">
      <w:pPr>
        <w:pStyle w:val="StandardWeb"/>
      </w:pPr>
      <w:r>
        <w:t>Die bislang geprüften Kandidaten sind nun</w:t>
      </w:r>
    </w:p>
    <w:p w:rsidR="00224F82" w:rsidRDefault="00224F82" w:rsidP="00224F82">
      <w:pPr>
        <w:pStyle w:val="berschrift1"/>
      </w:pPr>
      <w:r>
        <w:t>[</w:t>
      </w:r>
      <w:r>
        <w:br/>
        <w:t>\mathcal A_{\mathrm{inf}}^{\mathrm{cand}}</w:t>
      </w:r>
    </w:p>
    <w:p w:rsidR="00224F82" w:rsidRDefault="00224F82" w:rsidP="00224F82">
      <w:pPr>
        <w:pStyle w:val="StandardWeb"/>
      </w:pPr>
      <w:r>
        <w:t>{</w:t>
      </w:r>
      <w:r>
        <w:br/>
        <w:t>A_{\mathrm{acyc}},</w:t>
      </w:r>
      <w:r>
        <w:br/>
        <w:t>A_{\rightarrow t},</w:t>
      </w:r>
      <w:r>
        <w:br/>
        <w:t>A_{\mathrm{caus}},</w:t>
      </w:r>
      <w:r>
        <w:br/>
        <w:t>A_{\operatorname{do}}</w:t>
      </w:r>
      <w:r>
        <w:br/>
        <w:t>}.</w:t>
      </w:r>
      <w:r>
        <w:br/>
        <w:t>\tag{3.12726}</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lastRenderedPageBreak/>
        <w:t>\mathcal A_{\mathrm{inf}}^{\mathrm{cand}}=\{A_{\mathrm{acyc}},A_{\rightarrow t},A_{\mathrm{caus}},A_{\operatorname{do}}\}</w:t>
      </w:r>
    </w:p>
    <w:p w:rsidR="00224F82" w:rsidRDefault="00E50336" w:rsidP="00224F82">
      <w:r>
        <w:pict>
          <v:rect id="_x0000_i4708" style="width:0;height:1.5pt" o:hralign="center" o:hrstd="t" o:hr="t" fillcolor="#a0a0a0" stroked="f"/>
        </w:pict>
      </w:r>
    </w:p>
    <w:p w:rsidR="00224F82" w:rsidRDefault="00224F82" w:rsidP="00224F82">
      <w:pPr>
        <w:pStyle w:val="berschrift1"/>
      </w:pPr>
      <w:r>
        <w:t>3.3.49.177 Zwischenbilanz der Primäraxiomprüfung</w:t>
      </w:r>
    </w:p>
    <w:p w:rsidR="00224F82" w:rsidRDefault="00224F82" w:rsidP="00224F82">
      <w:pPr>
        <w:pStyle w:val="StandardWeb"/>
      </w:pPr>
      <w:r>
        <w:t>Für alle bisher geprüften Kandidaten gilt</w:t>
      </w:r>
    </w:p>
    <w:p w:rsidR="00224F82" w:rsidRDefault="00224F82" w:rsidP="00224F82">
      <w:pPr>
        <w:pStyle w:val="berschrift1"/>
      </w:pPr>
      <w:r>
        <w:t>[</w:t>
      </w:r>
      <w:r>
        <w:br/>
        <w:t>\boxed{</w:t>
      </w:r>
      <w:r>
        <w:br/>
        <w:t>U_{\mathrm{Ax}}(A)</w:t>
      </w:r>
    </w:p>
    <w:p w:rsidR="00224F82" w:rsidRDefault="00224F82" w:rsidP="00224F82">
      <w:pPr>
        <w:pStyle w:val="StandardWeb"/>
      </w:pPr>
      <w:r>
        <w:t>0</w:t>
      </w:r>
      <w:r>
        <w:br/>
        <w:t>\qquad</w:t>
      </w:r>
      <w:r>
        <w:br/>
        <w:t>\forall A</w:t>
      </w:r>
      <w:r>
        <w:br/>
        <w:t>\in</w:t>
      </w:r>
      <w:r>
        <w:br/>
        <w:t>\mathcal A_{\mathrm{inf}}^{\mathrm{cand}}.</w:t>
      </w:r>
      <w:r>
        <w:br/>
        <w:t>}</w:t>
      </w:r>
      <w:r>
        <w:br/>
        <w:t>\tag{3.12727}</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\boxed{U_{\mathrm{Ax}}(A)=0\qquad\forall A\in\mathcal A_{\mathrm{inf}}^{\mathrm{cand}}.}</w:t>
      </w:r>
    </w:p>
    <w:p w:rsidR="00224F82" w:rsidRDefault="00E50336" w:rsidP="00224F82">
      <w:r>
        <w:pict>
          <v:rect id="_x0000_i4709" style="width:0;height:1.5pt" o:hralign="center" o:hrstd="t" o:hr="t" fillcolor="#a0a0a0" stroked="f"/>
        </w:pict>
      </w:r>
    </w:p>
    <w:p w:rsidR="00224F82" w:rsidRDefault="00224F82" w:rsidP="00224F82">
      <w:pPr>
        <w:pStyle w:val="berschrift1"/>
      </w:pPr>
      <w:r>
        <w:t>3.3.49.178 Noch offene Strukturfragen</w:t>
      </w:r>
    </w:p>
    <w:p w:rsidR="00224F82" w:rsidRDefault="00224F82" w:rsidP="00224F82">
      <w:pPr>
        <w:pStyle w:val="StandardWeb"/>
      </w:pPr>
      <w:r>
        <w:t xml:space="preserve">Vor dem Abschluss von Abschnitt 3.3.49 muss ich noch untersuchen, wie funktionale Kausalität mit </w:t>
      </w:r>
      <w:r>
        <w:rPr>
          <w:rStyle w:val="Fett"/>
        </w:rPr>
        <w:t>Rückkopplungen</w:t>
      </w:r>
      <w:r>
        <w:t xml:space="preserve">, </w:t>
      </w:r>
      <w:r>
        <w:rPr>
          <w:rStyle w:val="Fett"/>
        </w:rPr>
        <w:t>Zeitverzögerungen</w:t>
      </w:r>
      <w:r>
        <w:t xml:space="preserve">, </w:t>
      </w:r>
      <w:r>
        <w:rPr>
          <w:rStyle w:val="Fett"/>
        </w:rPr>
        <w:t>mehrstufigen Interventionen</w:t>
      </w:r>
      <w:r>
        <w:t xml:space="preserve">, </w:t>
      </w:r>
      <w:r>
        <w:rPr>
          <w:rStyle w:val="Fett"/>
        </w:rPr>
        <w:t>struktureller Identifizierbarkeit</w:t>
      </w:r>
      <w:r>
        <w:t xml:space="preserve"> und </w:t>
      </w:r>
      <w:r>
        <w:rPr>
          <w:rStyle w:val="Fett"/>
        </w:rPr>
        <w:t>Beobachtungsgrenzen</w:t>
      </w:r>
      <w:r>
        <w:t xml:space="preserve"> zusammenwirkt.</w:t>
      </w:r>
    </w:p>
    <w:p w:rsidR="00224F82" w:rsidRDefault="00224F82" w:rsidP="00224F82">
      <w:pPr>
        <w:pStyle w:val="StandardWeb"/>
      </w:pPr>
      <w:r>
        <w:t>Die offenen Teilstrukturen fasse ich zusammen als</w:t>
      </w:r>
    </w:p>
    <w:p w:rsidR="00224F82" w:rsidRDefault="00224F82" w:rsidP="00224F82">
      <w:pPr>
        <w:pStyle w:val="berschrift1"/>
      </w:pPr>
      <w:r>
        <w:t>[</w:t>
      </w:r>
      <w:r>
        <w:br/>
        <w:t>\mathcal Q_{\mathrm{open}}</w:t>
      </w:r>
    </w:p>
    <w:p w:rsidR="00224F82" w:rsidRDefault="00224F82" w:rsidP="00224F82">
      <w:pPr>
        <w:pStyle w:val="StandardWeb"/>
      </w:pPr>
      <w:r>
        <w:t>{</w:t>
      </w:r>
      <w:r>
        <w:br/>
        <w:t>\operatorname{Feedback},</w:t>
      </w:r>
      <w:r>
        <w:br/>
        <w:t>\operatorname{Delay},</w:t>
      </w:r>
      <w:r>
        <w:br/>
        <w:t>\operatorname{MultiDo},</w:t>
      </w:r>
      <w:r>
        <w:br/>
        <w:t>\operatorname{Ident},</w:t>
      </w:r>
      <w:r>
        <w:br/>
        <w:t>\operatorname{ObsBound}</w:t>
      </w:r>
      <w:r>
        <w:br/>
        <w:t>}.</w:t>
      </w:r>
      <w:r>
        <w:br/>
      </w:r>
      <w:r>
        <w:lastRenderedPageBreak/>
        <w:t>\tag{3.12728}</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\mathcal Q_{\mathrm{open}}=\{\operatorname{Feedback},\operatorname{Delay},\operatorname{MultiDo},\operatorname{Ident},\operatorname{ObsBound}\}</w:t>
      </w:r>
    </w:p>
    <w:p w:rsidR="00224F82" w:rsidRDefault="00E50336" w:rsidP="00224F82">
      <w:r>
        <w:pict>
          <v:rect id="_x0000_i4710" style="width:0;height:1.5pt" o:hralign="center" o:hrstd="t" o:hr="t" fillcolor="#a0a0a0" stroked="f"/>
        </w:pict>
      </w:r>
    </w:p>
    <w:p w:rsidR="00224F82" w:rsidRDefault="00224F82" w:rsidP="00224F82">
      <w:pPr>
        <w:pStyle w:val="berschrift1"/>
      </w:pPr>
      <w:r>
        <w:t>3.3.49.179 Noch kein Abschnittsabschluss</w:t>
      </w:r>
    </w:p>
    <w:p w:rsidR="00224F82" w:rsidRDefault="00224F82" w:rsidP="00224F82">
      <w:pPr>
        <w:pStyle w:val="StandardWeb"/>
      </w:pPr>
      <w:r>
        <w:t>Der aktuelle Zwischenstand lautet damit</w:t>
      </w:r>
    </w:p>
    <w:p w:rsidR="00224F82" w:rsidRDefault="00224F82" w:rsidP="00224F82">
      <w:pPr>
        <w:pStyle w:val="StandardWeb"/>
      </w:pPr>
      <w:r>
        <w:t>[</w:t>
      </w:r>
      <w:r>
        <w:br/>
        <w:t>\boxed{</w:t>
      </w:r>
      <w:r>
        <w:br/>
        <w:t>\mathfrak E_{\mathrm{inf}}^{(2)}</w:t>
      </w:r>
      <w:r>
        <w:br/>
        <w:t>\text{ ist erweitert, aber noch nicht abgeschlossen.}</w:t>
      </w:r>
      <w:r>
        <w:br/>
        <w:t>}</w:t>
      </w:r>
      <w:r>
        <w:br/>
        <w:t>\tag{3.12729}</w:t>
      </w:r>
      <w:r>
        <w:br/>
        <w:t>]</w:t>
      </w:r>
    </w:p>
    <w:p w:rsidR="00224F82" w:rsidRDefault="00224F82" w:rsidP="00224F82">
      <w:pPr>
        <w:pStyle w:val="StandardWeb"/>
      </w:pPr>
      <w:r>
        <w:rPr>
          <w:rStyle w:val="Fett"/>
        </w:rPr>
        <w:t>Word-LaTeX</w:t>
      </w:r>
    </w:p>
    <w:p w:rsidR="00224F82" w:rsidRDefault="00224F82" w:rsidP="00224F82">
      <w:pPr>
        <w:pStyle w:val="HTMLVorformatiert"/>
        <w:rPr>
          <w:rStyle w:val="HTMLCode"/>
        </w:rPr>
      </w:pPr>
      <w:r>
        <w:rPr>
          <w:rStyle w:val="HTMLCode"/>
        </w:rPr>
        <w:t>\boxed{\mathfrak E_{\mathrm{inf}}^{(2)}\text{ ist erweitert, aber noch nicht abgeschlossen}.}</w:t>
      </w:r>
    </w:p>
    <w:p w:rsidR="00224F82" w:rsidRDefault="00E50336" w:rsidP="00224F82">
      <w:r>
        <w:pict>
          <v:rect id="_x0000_i4711" style="width:0;height:1.5pt" o:hralign="center" o:hrstd="t" o:hr="t" fillcolor="#a0a0a0" stroked="f"/>
        </w:pict>
      </w:r>
    </w:p>
    <w:p w:rsidR="00224F82" w:rsidRDefault="00224F82" w:rsidP="00224F82">
      <w:pPr>
        <w:pStyle w:val="berschrift1"/>
      </w:pPr>
      <w:r>
        <w:t>3.3.49.180 Nächster Arbeitsschritt</w:t>
      </w:r>
    </w:p>
    <w:p w:rsidR="00224F82" w:rsidRDefault="00224F82" w:rsidP="00224F82">
      <w:pPr>
        <w:pStyle w:val="StandardWeb"/>
      </w:pPr>
      <w:r>
        <w:t xml:space="preserve">Der nächste Block beginnt mit funktionaler Kausalität unter Rückkopplung und zeitverzögerten Einflüssen. Danach folgen Identifizierbarkeit, mehrstufige Interventionen, vollständige Statusmatrix, endgültige Primäraxiomprüfung sowie die verbindlichen </w:t>
      </w:r>
      <w:r>
        <w:rPr>
          <w:rStyle w:val="Fett"/>
        </w:rPr>
        <w:t>Methodologischen Betrachtungen</w:t>
      </w:r>
      <w:r>
        <w:t xml:space="preserve"> und </w:t>
      </w:r>
      <w:r>
        <w:rPr>
          <w:rStyle w:val="Fett"/>
        </w:rPr>
        <w:t>Didaktischen Betrachtungen</w:t>
      </w:r>
      <w:r>
        <w:t>.</w:t>
      </w:r>
    </w:p>
    <w:p w:rsidR="00224F82" w:rsidRDefault="00224F82" w:rsidP="00224F82">
      <w:pPr>
        <w:pStyle w:val="StandardWeb"/>
      </w:pPr>
      <w:r>
        <w:t xml:space="preserve">Der nächste Startpunkt ist </w:t>
      </w:r>
      <w:r>
        <w:rPr>
          <w:rStyle w:val="Fett"/>
        </w:rPr>
        <w:t>3.3.49.181 / Gleichung (3.12730)</w:t>
      </w:r>
      <w:r>
        <w:t>.</w:t>
      </w:r>
    </w:p>
    <w:p w:rsidR="00C90B7A" w:rsidRDefault="00C90B7A" w:rsidP="00C90B7A">
      <w:pPr>
        <w:pStyle w:val="berschrift1"/>
        <w:rPr>
          <w:rFonts w:cs="Times New Roman"/>
          <w:sz w:val="48"/>
          <w:szCs w:val="48"/>
        </w:rPr>
      </w:pPr>
      <w:r>
        <w:t>3.3.49.181 Funktionale Kausalität unter Rückkopplung</w:t>
      </w:r>
    </w:p>
    <w:p w:rsidR="00C90B7A" w:rsidRDefault="00C90B7A" w:rsidP="00C90B7A">
      <w:pPr>
        <w:pStyle w:val="StandardWeb"/>
      </w:pPr>
      <w:r>
        <w:t>Nach der Trennung von Beobachtungsabhängigkeit und interventioneller Wirkung untersuche ich nun, wie funktionale Kausalitätsrelationen in Systemen mit Rückkopplungen behandelt werden können. Gerade hier reicht eine einfache gerichtete Kante nicht mehr aus, weil eine Änderung von (X_F) über (Y_F) wieder auf (X_F) zurückwirken kann.</w:t>
      </w:r>
    </w:p>
    <w:p w:rsidR="00C90B7A" w:rsidRDefault="00C90B7A" w:rsidP="00C90B7A">
      <w:pPr>
        <w:pStyle w:val="StandardWeb"/>
      </w:pPr>
      <w:r>
        <w:t>Sei</w:t>
      </w:r>
    </w:p>
    <w:p w:rsidR="00C90B7A" w:rsidRDefault="00C90B7A" w:rsidP="00C90B7A">
      <w:pPr>
        <w:pStyle w:val="StandardWeb"/>
      </w:pPr>
      <w:r>
        <w:t>[</w:t>
      </w:r>
      <w:r>
        <w:br/>
        <w:t>X_F</w:t>
      </w:r>
      <w:r>
        <w:br/>
        <w:t>\rightsquigarrow</w:t>
      </w:r>
      <w:r>
        <w:br/>
        <w:t>Y_F</w:t>
      </w:r>
      <w:r>
        <w:br/>
      </w:r>
      <w:r>
        <w:lastRenderedPageBreak/>
        <w:t>\rightsquigarrow</w:t>
      </w:r>
      <w:r>
        <w:br/>
        <w:t>X_F.</w:t>
      </w:r>
      <w:r>
        <w:br/>
        <w:t>\tag{3.12730}</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X_F\rightsquigarrow Y_F\rightsquigarrow X_F</w:t>
      </w:r>
    </w:p>
    <w:p w:rsidR="00C90B7A" w:rsidRDefault="00C90B7A" w:rsidP="00C90B7A">
      <w:pPr>
        <w:pStyle w:val="StandardWeb"/>
      </w:pPr>
      <w:r>
        <w:t>Diese Struktur enthält einen gerichteten Zyklus und damit eine funktionale Rückkopplung.</w:t>
      </w:r>
    </w:p>
    <w:p w:rsidR="00C90B7A" w:rsidRDefault="00E50336" w:rsidP="00C90B7A">
      <w:r>
        <w:pict>
          <v:rect id="_x0000_i4712" style="width:0;height:1.5pt" o:hralign="center" o:hrstd="t" o:hr="t" fillcolor="#a0a0a0" stroked="f"/>
        </w:pict>
      </w:r>
    </w:p>
    <w:p w:rsidR="00C90B7A" w:rsidRDefault="00C90B7A" w:rsidP="00C90B7A">
      <w:pPr>
        <w:pStyle w:val="berschrift1"/>
      </w:pPr>
      <w:r>
        <w:t>3.3.49.182 Rückkopplungsabhängige Intervention</w:t>
      </w:r>
    </w:p>
    <w:p w:rsidR="00C90B7A" w:rsidRDefault="00C90B7A" w:rsidP="00C90B7A">
      <w:pPr>
        <w:pStyle w:val="StandardWeb"/>
      </w:pPr>
      <w:r>
        <w:t>Eine Intervention auf (X_F) kann in einem rückgekoppelten System nicht notwendigerweise isoliert betrachtet werden. Die Änderung von (X_F) kann (Y_F) verändern, während die Änderung von (Y_F) wiederum auf (X_F) zurückwirkt.</w:t>
      </w:r>
    </w:p>
    <w:p w:rsidR="00C90B7A" w:rsidRDefault="00C90B7A" w:rsidP="00C90B7A">
      <w:pPr>
        <w:pStyle w:val="StandardWeb"/>
      </w:pPr>
      <w:r>
        <w:t>Ich schreibe deshalb</w:t>
      </w:r>
    </w:p>
    <w:p w:rsidR="00C90B7A" w:rsidRDefault="00C90B7A" w:rsidP="00C90B7A">
      <w:pPr>
        <w:pStyle w:val="StandardWeb"/>
      </w:pPr>
      <w:r>
        <w:t>[</w:t>
      </w:r>
      <w:r>
        <w:br/>
        <w:t>z^{\operatorname{do}(X=x)}</w:t>
      </w:r>
      <w:r>
        <w:br/>
        <w:t>\longmapsto</w:t>
      </w:r>
      <w:r>
        <w:br/>
        <w:t>\mathcal F_{\mathrm{fb}}</w:t>
      </w:r>
      <w:r>
        <w:br/>
        <w:t>\left(</w:t>
      </w:r>
      <w:r>
        <w:br/>
        <w:t>z^{\operatorname{do}(X=x)}</w:t>
      </w:r>
      <w:r>
        <w:br/>
        <w:t>\right),</w:t>
      </w:r>
      <w:r>
        <w:br/>
        <w:t>\tag{3.12731}</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z^{\operatorname{do}(X=x)}\longmapsto\mathcal F_{\mathrm{fb}}\left(z^{\operatorname{do}(X=x)}\right)</w:t>
      </w:r>
    </w:p>
    <w:p w:rsidR="00C90B7A" w:rsidRDefault="00C90B7A" w:rsidP="00C90B7A">
      <w:pPr>
        <w:pStyle w:val="StandardWeb"/>
      </w:pPr>
      <w:r>
        <w:t>wobei (\mathcal F_{\mathrm{fb}}) eine modellabhängige Rückkopplungsentwicklung bezeichnet.</w:t>
      </w:r>
    </w:p>
    <w:p w:rsidR="00C90B7A" w:rsidRDefault="00E50336" w:rsidP="00C90B7A">
      <w:r>
        <w:pict>
          <v:rect id="_x0000_i4713" style="width:0;height:1.5pt" o:hralign="center" o:hrstd="t" o:hr="t" fillcolor="#a0a0a0" stroked="f"/>
        </w:pict>
      </w:r>
    </w:p>
    <w:p w:rsidR="00C90B7A" w:rsidRDefault="00C90B7A" w:rsidP="00C90B7A">
      <w:pPr>
        <w:pStyle w:val="berschrift1"/>
      </w:pPr>
      <w:r>
        <w:t>3.3.49.183 Definition 3.3.422 – Funktionale Rückkopplungsentwicklung</w:t>
      </w:r>
    </w:p>
    <w:p w:rsidR="00C90B7A" w:rsidRDefault="00C90B7A" w:rsidP="00C90B7A">
      <w:pPr>
        <w:pStyle w:val="berschrift3"/>
      </w:pPr>
      <w:r>
        <w:t>Definition 3.3.422</w:t>
      </w:r>
    </w:p>
    <w:p w:rsidR="00C90B7A" w:rsidRDefault="00C90B7A" w:rsidP="00C90B7A">
      <w:pPr>
        <w:pStyle w:val="StandardWeb"/>
      </w:pPr>
      <w:r>
        <w:t xml:space="preserve">Eine </w:t>
      </w:r>
      <w:r>
        <w:rPr>
          <w:rStyle w:val="Fett"/>
        </w:rPr>
        <w:t>funktionale Rückkopplungsentwicklung</w:t>
      </w:r>
      <w:r>
        <w:t xml:space="preserve"> ist eine Abbildung</w:t>
      </w:r>
    </w:p>
    <w:p w:rsidR="00C90B7A" w:rsidRDefault="00C90B7A" w:rsidP="00C90B7A">
      <w:pPr>
        <w:pStyle w:val="StandardWeb"/>
      </w:pPr>
      <w:r>
        <w:t>[</w:t>
      </w:r>
      <w:r>
        <w:br/>
        <w:t>\boxed{</w:t>
      </w:r>
      <w:r>
        <w:br/>
      </w:r>
      <w:r>
        <w:lastRenderedPageBreak/>
        <w:t>\mathcal F_{\mathrm{fb}}</w:t>
      </w:r>
      <w:r>
        <w:br/>
        <w:t>:</w:t>
      </w:r>
      <w:r>
        <w:br/>
        <w:t>\Omega_F</w:t>
      </w:r>
      <w:r>
        <w:br/>
        <w:t>\rightarrow</w:t>
      </w:r>
      <w:r>
        <w:br/>
        <w:t>\Omega_F,</w:t>
      </w:r>
      <w:r>
        <w:br/>
        <w:t>}</w:t>
      </w:r>
      <w:r>
        <w:br/>
        <w:t>\tag{3.12732}</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\boxed{\mathcal F_{\mathrm{fb}}:\Omega_F\rightarrow\Omega_F,}</w:t>
      </w:r>
    </w:p>
    <w:p w:rsidR="00C90B7A" w:rsidRDefault="00C90B7A" w:rsidP="00C90B7A">
      <w:pPr>
        <w:pStyle w:val="StandardWeb"/>
      </w:pPr>
      <w:r>
        <w:t>die nach einer Zustandsänderung die durch vorhandene Rückkopplungsrelationen erzeugte weitere Zustandsentwicklung beschreibt.</w:t>
      </w:r>
    </w:p>
    <w:p w:rsidR="00C90B7A" w:rsidRDefault="00E50336" w:rsidP="00C90B7A">
      <w:r>
        <w:pict>
          <v:rect id="_x0000_i4714" style="width:0;height:1.5pt" o:hralign="center" o:hrstd="t" o:hr="t" fillcolor="#a0a0a0" stroked="f"/>
        </w:pict>
      </w:r>
    </w:p>
    <w:p w:rsidR="00C90B7A" w:rsidRDefault="00C90B7A" w:rsidP="00C90B7A">
      <w:pPr>
        <w:pStyle w:val="berschrift1"/>
      </w:pPr>
      <w:r>
        <w:t>3.3.49.184 Iterierte Rückkopplungsentwicklung</w:t>
      </w:r>
    </w:p>
    <w:p w:rsidR="00C90B7A" w:rsidRDefault="00C90B7A" w:rsidP="00C90B7A">
      <w:pPr>
        <w:pStyle w:val="StandardWeb"/>
      </w:pPr>
      <w:r>
        <w:t>Eine einmalige Anwendung liefert</w:t>
      </w:r>
    </w:p>
    <w:p w:rsidR="00C90B7A" w:rsidRDefault="00C90B7A" w:rsidP="00C90B7A">
      <w:pPr>
        <w:pStyle w:val="berschrift1"/>
      </w:pPr>
      <w:r>
        <w:t>[</w:t>
      </w:r>
      <w:r>
        <w:br/>
        <w:t>z_1</w:t>
      </w:r>
    </w:p>
    <w:p w:rsidR="00C90B7A" w:rsidRDefault="00C90B7A" w:rsidP="00C90B7A">
      <w:pPr>
        <w:pStyle w:val="StandardWeb"/>
      </w:pPr>
      <w:r>
        <w:t>\mathcal F_{\mathrm{fb}}(z_0),</w:t>
      </w:r>
      <w:r>
        <w:br/>
        <w:t>\tag{3.12733}</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z_1=\mathcal F_{\mathrm{fb}}(z_0)</w:t>
      </w:r>
    </w:p>
    <w:p w:rsidR="00C90B7A" w:rsidRDefault="00C90B7A" w:rsidP="00C90B7A">
      <w:pPr>
        <w:pStyle w:val="StandardWeb"/>
      </w:pPr>
      <w:r>
        <w:t>und iterativ</w:t>
      </w:r>
    </w:p>
    <w:p w:rsidR="00C90B7A" w:rsidRDefault="00C90B7A" w:rsidP="00C90B7A">
      <w:pPr>
        <w:pStyle w:val="berschrift1"/>
      </w:pPr>
      <w:r>
        <w:t>[</w:t>
      </w:r>
      <w:r>
        <w:br/>
        <w:t>z_{n+1}</w:t>
      </w:r>
    </w:p>
    <w:p w:rsidR="00C90B7A" w:rsidRDefault="00C90B7A" w:rsidP="00C90B7A">
      <w:pPr>
        <w:pStyle w:val="StandardWeb"/>
      </w:pPr>
      <w:r>
        <w:t>\mathcal F_{\mathrm{fb}}(z_n).</w:t>
      </w:r>
      <w:r>
        <w:br/>
        <w:t>\tag{3.12734}</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z_{n+1}=\mathcal F_{\mathrm{fb}}(z_n)</w:t>
      </w:r>
    </w:p>
    <w:p w:rsidR="00C90B7A" w:rsidRDefault="00E50336" w:rsidP="00C90B7A">
      <w:r>
        <w:pict>
          <v:rect id="_x0000_i4715" style="width:0;height:1.5pt" o:hralign="center" o:hrstd="t" o:hr="t" fillcolor="#a0a0a0" stroked="f"/>
        </w:pict>
      </w:r>
    </w:p>
    <w:p w:rsidR="00C90B7A" w:rsidRDefault="00C90B7A" w:rsidP="00C90B7A">
      <w:pPr>
        <w:pStyle w:val="berschrift1"/>
      </w:pPr>
      <w:r>
        <w:lastRenderedPageBreak/>
        <w:t>3.3.49.185 Definition 3.3.423 – Funktionale Rückkopplungsbahn</w:t>
      </w:r>
    </w:p>
    <w:p w:rsidR="00C90B7A" w:rsidRDefault="00C90B7A" w:rsidP="00C90B7A">
      <w:pPr>
        <w:pStyle w:val="berschrift3"/>
      </w:pPr>
      <w:r>
        <w:t>Definition 3.3.423</w:t>
      </w:r>
    </w:p>
    <w:p w:rsidR="00C90B7A" w:rsidRDefault="00C90B7A" w:rsidP="00C90B7A">
      <w:pPr>
        <w:pStyle w:val="StandardWeb"/>
      </w:pPr>
      <w:r>
        <w:t xml:space="preserve">Die </w:t>
      </w:r>
      <w:r>
        <w:rPr>
          <w:rStyle w:val="Fett"/>
        </w:rPr>
        <w:t>funktionale Rückkopplungsbahn</w:t>
      </w:r>
      <w:r>
        <w:t xml:space="preserve"> eines Anfangszustands (z_0) ist</w:t>
      </w:r>
    </w:p>
    <w:p w:rsidR="00C90B7A" w:rsidRDefault="00C90B7A" w:rsidP="00C90B7A">
      <w:pPr>
        <w:pStyle w:val="berschrift1"/>
      </w:pPr>
      <w:r>
        <w:t>[</w:t>
      </w:r>
      <w:r>
        <w:br/>
        <w:t>\boxed{</w:t>
      </w:r>
      <w:r>
        <w:br/>
        <w:t>\mathcal O_{\mathrm{fb}}(z_0)</w:t>
      </w:r>
    </w:p>
    <w:p w:rsidR="00C90B7A" w:rsidRDefault="00C90B7A" w:rsidP="00C90B7A">
      <w:pPr>
        <w:pStyle w:val="StandardWeb"/>
      </w:pPr>
      <w:r>
        <w:t>{</w:t>
      </w:r>
      <w:r>
        <w:br/>
        <w:t>z_0,z_1,z_2,\ldots</w:t>
      </w:r>
      <w:r>
        <w:br/>
        <w:t>},</w:t>
      </w:r>
      <w:r>
        <w:br/>
        <w:t>}</w:t>
      </w:r>
      <w:r>
        <w:br/>
        <w:t>\tag{3.12735}</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\boxed{\mathcal O_{\mathrm{fb}}(z_0)=\{z_0,z_1,z_2,\ldots\},}</w:t>
      </w:r>
    </w:p>
    <w:p w:rsidR="00C90B7A" w:rsidRDefault="00C90B7A" w:rsidP="00C90B7A">
      <w:pPr>
        <w:pStyle w:val="StandardWeb"/>
      </w:pPr>
      <w:r>
        <w:t>mit</w:t>
      </w:r>
    </w:p>
    <w:p w:rsidR="00C90B7A" w:rsidRDefault="00C90B7A" w:rsidP="00C90B7A">
      <w:pPr>
        <w:pStyle w:val="berschrift1"/>
      </w:pPr>
      <w:r>
        <w:t>[</w:t>
      </w:r>
      <w:r>
        <w:br/>
        <w:t>z_{n+1}</w:t>
      </w:r>
    </w:p>
    <w:p w:rsidR="00C90B7A" w:rsidRDefault="00C90B7A" w:rsidP="00C90B7A">
      <w:pPr>
        <w:pStyle w:val="StandardWeb"/>
      </w:pPr>
      <w:r>
        <w:t>\mathcal F_{\mathrm{fb}}(z_n).</w:t>
      </w:r>
      <w:r>
        <w:br/>
        <w:t>\tag{3.12736}</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z_{n+1}=\mathcal F_{\mathrm{fb}}(z_n)</w:t>
      </w:r>
    </w:p>
    <w:p w:rsidR="00C90B7A" w:rsidRDefault="00E50336" w:rsidP="00C90B7A">
      <w:r>
        <w:pict>
          <v:rect id="_x0000_i4716" style="width:0;height:1.5pt" o:hralign="center" o:hrstd="t" o:hr="t" fillcolor="#a0a0a0" stroked="f"/>
        </w:pict>
      </w:r>
    </w:p>
    <w:p w:rsidR="00C90B7A" w:rsidRDefault="00C90B7A" w:rsidP="00C90B7A">
      <w:pPr>
        <w:pStyle w:val="berschrift1"/>
      </w:pPr>
      <w:r>
        <w:t>3.3.49.186 Intervention innerhalb einer Rückkopplungsbahn</w:t>
      </w:r>
    </w:p>
    <w:p w:rsidR="00C90B7A" w:rsidRDefault="00C90B7A" w:rsidP="00C90B7A">
      <w:pPr>
        <w:pStyle w:val="StandardWeb"/>
      </w:pPr>
      <w:r>
        <w:t>Für eine Intervention auf (X_F) erhält man eine modifizierte Bahn</w:t>
      </w:r>
    </w:p>
    <w:p w:rsidR="00C90B7A" w:rsidRDefault="00C90B7A" w:rsidP="00C90B7A">
      <w:pPr>
        <w:pStyle w:val="StandardWeb"/>
      </w:pPr>
      <w:r>
        <w:t>[</w:t>
      </w:r>
      <w:r>
        <w:br/>
        <w:t>\mathcal O_{\mathrm{fb}}^{\operatorname{do}(X=x)}.</w:t>
      </w:r>
      <w:r>
        <w:br/>
        <w:t>\tag{3.12737}</w:t>
      </w:r>
      <w:r>
        <w:br/>
        <w:t>]</w:t>
      </w:r>
    </w:p>
    <w:p w:rsidR="00C90B7A" w:rsidRDefault="00C90B7A" w:rsidP="00C90B7A">
      <w:pPr>
        <w:pStyle w:val="StandardWeb"/>
      </w:pPr>
      <w:r>
        <w:rPr>
          <w:rStyle w:val="Fett"/>
        </w:rPr>
        <w:lastRenderedPageBreak/>
        <w:t>Word-LaTeX</w:t>
      </w:r>
    </w:p>
    <w:p w:rsidR="00C90B7A" w:rsidRDefault="00C90B7A" w:rsidP="00C90B7A">
      <w:pPr>
        <w:pStyle w:val="HTMLVorformatiert"/>
        <w:rPr>
          <w:rStyle w:val="HTMLCode"/>
        </w:rPr>
      </w:pPr>
      <w:r>
        <w:rPr>
          <w:rStyle w:val="HTMLCode"/>
        </w:rPr>
        <w:t>\mathcal O_{\mathrm{fb}}^{\operatorname{do}(X=x)}</w:t>
      </w:r>
    </w:p>
    <w:p w:rsidR="00C90B7A" w:rsidRDefault="00E50336" w:rsidP="00C90B7A">
      <w:r>
        <w:pict>
          <v:rect id="_x0000_i4717" style="width:0;height:1.5pt" o:hralign="center" o:hrstd="t" o:hr="t" fillcolor="#a0a0a0" stroked="f"/>
        </w:pict>
      </w:r>
    </w:p>
    <w:p w:rsidR="00C90B7A" w:rsidRDefault="00C90B7A" w:rsidP="00C90B7A">
      <w:pPr>
        <w:pStyle w:val="berschrift1"/>
      </w:pPr>
      <w:r>
        <w:t>3.3.49.187 Definition 3.3.424 – Interventionelle Rückkopplungsbahn</w:t>
      </w:r>
    </w:p>
    <w:p w:rsidR="00C90B7A" w:rsidRDefault="00C90B7A" w:rsidP="00C90B7A">
      <w:pPr>
        <w:pStyle w:val="berschrift3"/>
      </w:pPr>
      <w:r>
        <w:t>Definition 3.3.424</w:t>
      </w:r>
    </w:p>
    <w:p w:rsidR="00C90B7A" w:rsidRDefault="00C90B7A" w:rsidP="00C90B7A">
      <w:pPr>
        <w:pStyle w:val="StandardWeb"/>
      </w:pPr>
      <w:r>
        <w:t xml:space="preserve">Die </w:t>
      </w:r>
      <w:r>
        <w:rPr>
          <w:rStyle w:val="Fett"/>
        </w:rPr>
        <w:t>interventionelle Rückkopplungsbahn</w:t>
      </w:r>
      <w:r>
        <w:t xml:space="preserve"> ist die durch eine funktionale Intervention initiierte und anschließend durch die Rückkopplungsentwicklung fortgesetzte Zustandsfolge</w:t>
      </w:r>
    </w:p>
    <w:p w:rsidR="00C90B7A" w:rsidRDefault="00C90B7A" w:rsidP="00C90B7A">
      <w:pPr>
        <w:pStyle w:val="StandardWeb"/>
      </w:pPr>
      <w:r>
        <w:t>[</w:t>
      </w:r>
      <w:r>
        <w:br/>
        <w:t>\boxed{</w:t>
      </w:r>
      <w:r>
        <w:br/>
        <w:t>\mathcal O_{\mathrm{fb}}^{\operatorname{do}(X=x)}.</w:t>
      </w:r>
      <w:r>
        <w:br/>
        <w:t>}</w:t>
      </w:r>
      <w:r>
        <w:br/>
        <w:t>\tag{3.12738}</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\boxed{\mathcal O_{\mathrm{fb}}^{\operatorname{do}(X=x)}.}</w:t>
      </w:r>
    </w:p>
    <w:p w:rsidR="00C90B7A" w:rsidRDefault="00E50336" w:rsidP="00C90B7A">
      <w:r>
        <w:pict>
          <v:rect id="_x0000_i4718" style="width:0;height:1.5pt" o:hralign="center" o:hrstd="t" o:hr="t" fillcolor="#a0a0a0" stroked="f"/>
        </w:pict>
      </w:r>
    </w:p>
    <w:p w:rsidR="00C90B7A" w:rsidRDefault="00C90B7A" w:rsidP="00C90B7A">
      <w:pPr>
        <w:pStyle w:val="berschrift1"/>
      </w:pPr>
      <w:r>
        <w:t>3.3.49.188 Kurzfristige und langfristige Interventionsantwort</w:t>
      </w:r>
    </w:p>
    <w:p w:rsidR="00C90B7A" w:rsidRDefault="00C90B7A" w:rsidP="00C90B7A">
      <w:pPr>
        <w:pStyle w:val="StandardWeb"/>
      </w:pPr>
      <w:r>
        <w:t>In rückgekoppelten Systemen unterscheide ich zwischen einer unmittelbaren Antwort</w:t>
      </w:r>
    </w:p>
    <w:p w:rsidR="00C90B7A" w:rsidRDefault="00C90B7A" w:rsidP="00C90B7A">
      <w:pPr>
        <w:pStyle w:val="StandardWeb"/>
      </w:pPr>
      <w:r>
        <w:t>[</w:t>
      </w:r>
      <w:r>
        <w:br/>
        <w:t>Y_F^{\operatorname{do}(X=x)}(0)</w:t>
      </w:r>
      <w:r>
        <w:br/>
        <w:t>\tag{3.12739}</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Y_F^{\operatorname{do}(X=x)}(0)</w:t>
      </w:r>
    </w:p>
    <w:p w:rsidR="00C90B7A" w:rsidRDefault="00C90B7A" w:rsidP="00C90B7A">
      <w:pPr>
        <w:pStyle w:val="StandardWeb"/>
      </w:pPr>
      <w:r>
        <w:t>und einer späteren Antwort</w:t>
      </w:r>
    </w:p>
    <w:p w:rsidR="00C90B7A" w:rsidRDefault="00C90B7A" w:rsidP="00C90B7A">
      <w:pPr>
        <w:pStyle w:val="StandardWeb"/>
      </w:pPr>
      <w:r>
        <w:t>[</w:t>
      </w:r>
      <w:r>
        <w:br/>
        <w:t>Y_F^{\operatorname{do}(X=x)}(n).</w:t>
      </w:r>
      <w:r>
        <w:br/>
        <w:t>\tag{3.12740}</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Y_F^{\operatorname{do}(X=x)}(n)</w:t>
      </w:r>
    </w:p>
    <w:p w:rsidR="00C90B7A" w:rsidRDefault="00E50336" w:rsidP="00C90B7A">
      <w:r>
        <w:lastRenderedPageBreak/>
        <w:pict>
          <v:rect id="_x0000_i4719" style="width:0;height:1.5pt" o:hralign="center" o:hrstd="t" o:hr="t" fillcolor="#a0a0a0" stroked="f"/>
        </w:pict>
      </w:r>
    </w:p>
    <w:p w:rsidR="00C90B7A" w:rsidRDefault="00C90B7A" w:rsidP="00C90B7A">
      <w:pPr>
        <w:pStyle w:val="berschrift1"/>
      </w:pPr>
      <w:r>
        <w:t>3.3.49.189 Definition 3.3.425 – Zeitstufige funktionale Interventionsantwort</w:t>
      </w:r>
    </w:p>
    <w:p w:rsidR="00C90B7A" w:rsidRDefault="00C90B7A" w:rsidP="00C90B7A">
      <w:pPr>
        <w:pStyle w:val="berschrift3"/>
      </w:pPr>
      <w:r>
        <w:t>Definition 3.3.425</w:t>
      </w:r>
    </w:p>
    <w:p w:rsidR="00C90B7A" w:rsidRDefault="00C90B7A" w:rsidP="00C90B7A">
      <w:pPr>
        <w:pStyle w:val="StandardWeb"/>
      </w:pPr>
      <w:r>
        <w:t xml:space="preserve">Die </w:t>
      </w:r>
      <w:r>
        <w:rPr>
          <w:rStyle w:val="Fett"/>
        </w:rPr>
        <w:t>zeitstufige funktionale Interventionsantwort</w:t>
      </w:r>
      <w:r>
        <w:t xml:space="preserve"> ist</w:t>
      </w:r>
    </w:p>
    <w:p w:rsidR="00C90B7A" w:rsidRDefault="00C90B7A" w:rsidP="00C90B7A">
      <w:pPr>
        <w:pStyle w:val="StandardWeb"/>
      </w:pPr>
      <w:r>
        <w:t>[</w:t>
      </w:r>
      <w:r>
        <w:br/>
        <w:t>\boxed{</w:t>
      </w:r>
      <w:r>
        <w:br/>
        <w:t>Y_F^{\operatorname{do}(X=x)}(n)</w:t>
      </w:r>
      <w:r>
        <w:br/>
        <w:t>}</w:t>
      </w:r>
      <w:r>
        <w:br/>
        <w:t>\tag{3.12741}</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\boxed{Y_F^{\operatorname{do}(X=x)}(n)}</w:t>
      </w:r>
    </w:p>
    <w:p w:rsidR="00C90B7A" w:rsidRDefault="00C90B7A" w:rsidP="00C90B7A">
      <w:pPr>
        <w:pStyle w:val="StandardWeb"/>
      </w:pPr>
      <w:r>
        <w:t>und bezeichnet den Wert der Zielgröße nach (n) Schritten der Rückkopplungsentwicklung.</w:t>
      </w:r>
    </w:p>
    <w:p w:rsidR="00C90B7A" w:rsidRDefault="00E50336" w:rsidP="00C90B7A">
      <w:r>
        <w:pict>
          <v:rect id="_x0000_i4720" style="width:0;height:1.5pt" o:hralign="center" o:hrstd="t" o:hr="t" fillcolor="#a0a0a0" stroked="f"/>
        </w:pict>
      </w:r>
    </w:p>
    <w:p w:rsidR="00C90B7A" w:rsidRDefault="00C90B7A" w:rsidP="00C90B7A">
      <w:pPr>
        <w:pStyle w:val="berschrift1"/>
      </w:pPr>
      <w:r>
        <w:t>3.3.49.190 Zeitstufiger Interventionseffekt</w:t>
      </w:r>
    </w:p>
    <w:p w:rsidR="00C90B7A" w:rsidRDefault="00C90B7A" w:rsidP="00C90B7A">
      <w:pPr>
        <w:pStyle w:val="StandardWeb"/>
      </w:pPr>
      <w:r>
        <w:t>Für zwei Interventionen definiere ich</w:t>
      </w:r>
    </w:p>
    <w:p w:rsidR="00C90B7A" w:rsidRDefault="00C90B7A" w:rsidP="00C90B7A">
      <w:pPr>
        <w:pStyle w:val="berschrift1"/>
      </w:pPr>
      <w:r>
        <w:t>[</w:t>
      </w:r>
      <w:r>
        <w:br/>
        <w:t>\Delta_{\operatorname{do}}Y_F(n)</w:t>
      </w:r>
    </w:p>
    <w:p w:rsidR="00C90B7A" w:rsidRDefault="00C90B7A" w:rsidP="00C90B7A">
      <w:pPr>
        <w:pStyle w:val="berschrift2"/>
      </w:pPr>
      <w:r>
        <w:t>Y_F^{\operatorname{do}(X=x_1)}(n)</w:t>
      </w:r>
    </w:p>
    <w:p w:rsidR="00C90B7A" w:rsidRDefault="00C90B7A" w:rsidP="00C90B7A">
      <w:pPr>
        <w:pStyle w:val="StandardWeb"/>
      </w:pPr>
      <w:r>
        <w:t>Y_F^{\operatorname{do}(X=x_0)}(n).</w:t>
      </w:r>
      <w:r>
        <w:br/>
        <w:t>\tag{3.12742}</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\Delta_{\operatorname{do}}Y_F(n)=Y_F^{\operatorname{do}(X=x_1)}(n)-Y_F^{\operatorname{do}(X=x_0)}(n)</w:t>
      </w:r>
    </w:p>
    <w:p w:rsidR="00C90B7A" w:rsidRDefault="00E50336" w:rsidP="00C90B7A">
      <w:r>
        <w:pict>
          <v:rect id="_x0000_i4721" style="width:0;height:1.5pt" o:hralign="center" o:hrstd="t" o:hr="t" fillcolor="#a0a0a0" stroked="f"/>
        </w:pict>
      </w:r>
    </w:p>
    <w:p w:rsidR="00C90B7A" w:rsidRDefault="00C90B7A" w:rsidP="00C90B7A">
      <w:pPr>
        <w:pStyle w:val="berschrift1"/>
      </w:pPr>
      <w:r>
        <w:t>3.3.49.191 Definition 3.3.426 – Zeitstufiger funktionaler Interventionseffekt</w:t>
      </w:r>
    </w:p>
    <w:p w:rsidR="00C90B7A" w:rsidRDefault="00C90B7A" w:rsidP="00C90B7A">
      <w:pPr>
        <w:pStyle w:val="berschrift3"/>
      </w:pPr>
      <w:r>
        <w:t>Definition 3.3.426</w:t>
      </w:r>
    </w:p>
    <w:p w:rsidR="00C90B7A" w:rsidRDefault="00C90B7A" w:rsidP="00C90B7A">
      <w:pPr>
        <w:pStyle w:val="StandardWeb"/>
      </w:pPr>
      <w:r>
        <w:lastRenderedPageBreak/>
        <w:t xml:space="preserve">Der </w:t>
      </w:r>
      <w:r>
        <w:rPr>
          <w:rStyle w:val="Fett"/>
        </w:rPr>
        <w:t>zeitstufige funktionale Interventionseffekt</w:t>
      </w:r>
      <w:r>
        <w:t xml:space="preserve"> ist</w:t>
      </w:r>
    </w:p>
    <w:p w:rsidR="00C90B7A" w:rsidRDefault="00C90B7A" w:rsidP="00C90B7A">
      <w:pPr>
        <w:pStyle w:val="berschrift2"/>
      </w:pPr>
      <w:r>
        <w:t>[</w:t>
      </w:r>
      <w:r>
        <w:br/>
        <w:t>\boxed{</w:t>
      </w:r>
      <w:r>
        <w:br/>
        <w:t>\Delta_{\operatorname{do}}Y_F(n)</w:t>
      </w:r>
      <w:r>
        <w:br/>
        <w:t>:=</w:t>
      </w:r>
      <w:r>
        <w:br/>
        <w:t>Y_F^{\operatorname{do}(X=x_1)}(n)</w:t>
      </w:r>
    </w:p>
    <w:p w:rsidR="00C90B7A" w:rsidRDefault="00C90B7A" w:rsidP="00C90B7A">
      <w:pPr>
        <w:pStyle w:val="StandardWeb"/>
      </w:pPr>
      <w:r>
        <w:t>Y_F^{\operatorname{do}(X=x_0)}(n).</w:t>
      </w:r>
      <w:r>
        <w:br/>
        <w:t>}</w:t>
      </w:r>
      <w:r>
        <w:br/>
        <w:t>\tag{3.12743}</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\boxed{\Delta_{\operatorname{do}}Y_F(n):=Y_F^{\operatorname{do}(X=x_1)}(n)-Y_F^{\operatorname{do}(X=x_0)}(n).}</w:t>
      </w:r>
    </w:p>
    <w:p w:rsidR="00C90B7A" w:rsidRDefault="00E50336" w:rsidP="00C90B7A">
      <w:r>
        <w:pict>
          <v:rect id="_x0000_i4722" style="width:0;height:1.5pt" o:hralign="center" o:hrstd="t" o:hr="t" fillcolor="#a0a0a0" stroked="f"/>
        </w:pict>
      </w:r>
    </w:p>
    <w:p w:rsidR="00C90B7A" w:rsidRDefault="00C90B7A" w:rsidP="00C90B7A">
      <w:pPr>
        <w:pStyle w:val="berschrift1"/>
      </w:pPr>
      <w:r>
        <w:t>3.3.49.192 Rückkopplung kann Effekte verändern</w:t>
      </w:r>
    </w:p>
    <w:p w:rsidR="00C90B7A" w:rsidRDefault="00C90B7A" w:rsidP="00C90B7A">
      <w:pPr>
        <w:pStyle w:val="StandardWeb"/>
      </w:pPr>
      <w:r>
        <w:t>Es kann gelten</w:t>
      </w:r>
    </w:p>
    <w:p w:rsidR="00C90B7A" w:rsidRDefault="00C90B7A" w:rsidP="00C90B7A">
      <w:pPr>
        <w:pStyle w:val="StandardWeb"/>
      </w:pPr>
      <w:r>
        <w:t>[</w:t>
      </w:r>
      <w:r>
        <w:br/>
        <w:t>\Delta_{\operatorname{do}}Y_F(0)</w:t>
      </w:r>
      <w:r>
        <w:br/>
        <w:t>\neq</w:t>
      </w:r>
      <w:r>
        <w:br/>
        <w:t>\Delta_{\operatorname{do}}Y_F(n).</w:t>
      </w:r>
      <w:r>
        <w:br/>
        <w:t>\tag{3.12744}</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\Delta_{\operatorname{do}}Y_F(0)\neq\Delta_{\operatorname{do}}Y_F(n)</w:t>
      </w:r>
    </w:p>
    <w:p w:rsidR="00C90B7A" w:rsidRDefault="00C90B7A" w:rsidP="00C90B7A">
      <w:pPr>
        <w:pStyle w:val="StandardWeb"/>
      </w:pPr>
      <w:r>
        <w:t>Damit ist eine interventionelle Wirkung nicht notwendigerweise zeitlich konstant.</w:t>
      </w:r>
    </w:p>
    <w:p w:rsidR="00C90B7A" w:rsidRDefault="00E50336" w:rsidP="00C90B7A">
      <w:r>
        <w:pict>
          <v:rect id="_x0000_i4723" style="width:0;height:1.5pt" o:hralign="center" o:hrstd="t" o:hr="t" fillcolor="#a0a0a0" stroked="f"/>
        </w:pict>
      </w:r>
    </w:p>
    <w:p w:rsidR="00C90B7A" w:rsidRDefault="00C90B7A" w:rsidP="00C90B7A">
      <w:pPr>
        <w:pStyle w:val="berschrift1"/>
      </w:pPr>
      <w:r>
        <w:t>3.3.49.193 Vorzeichenwechsel eines Interventionseffekts</w:t>
      </w:r>
    </w:p>
    <w:p w:rsidR="00C90B7A" w:rsidRDefault="00C90B7A" w:rsidP="00C90B7A">
      <w:pPr>
        <w:pStyle w:val="StandardWeb"/>
      </w:pPr>
      <w:r>
        <w:t>Sogar</w:t>
      </w:r>
    </w:p>
    <w:p w:rsidR="00C90B7A" w:rsidRDefault="00C90B7A" w:rsidP="00C90B7A">
      <w:pPr>
        <w:pStyle w:val="StandardWeb"/>
      </w:pPr>
      <w:r>
        <w:t>[</w:t>
      </w:r>
      <w:r>
        <w:br/>
        <w:t>\Delta_{\operatorname{do}}Y_F(0)</w:t>
      </w:r>
      <w:r>
        <w:br/>
        <w:t>\cdot</w:t>
      </w:r>
      <w:r>
        <w:br/>
        <w:t>\Delta_{\operatorname{do}}Y_F(n)</w:t>
      </w:r>
      <w:r>
        <w:br/>
      </w:r>
      <w:r>
        <w:lastRenderedPageBreak/>
        <w:t>&lt;</w:t>
      </w:r>
      <w:r>
        <w:br/>
        <w:t>0</w:t>
      </w:r>
      <w:r>
        <w:br/>
        <w:t>\tag{3.12745}</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\Delta_{\operatorname{do}}Y_F(0)\cdot\Delta_{\operatorname{do}}Y_F(n)&lt;0</w:t>
      </w:r>
    </w:p>
    <w:p w:rsidR="00C90B7A" w:rsidRDefault="00C90B7A" w:rsidP="00C90B7A">
      <w:pPr>
        <w:pStyle w:val="StandardWeb"/>
      </w:pPr>
      <w:r>
        <w:t>ist in einer geeigneten Modellklasse möglich.</w:t>
      </w:r>
    </w:p>
    <w:p w:rsidR="00C90B7A" w:rsidRDefault="00E50336" w:rsidP="00C90B7A">
      <w:r>
        <w:pict>
          <v:rect id="_x0000_i4724" style="width:0;height:1.5pt" o:hralign="center" o:hrstd="t" o:hr="t" fillcolor="#a0a0a0" stroked="f"/>
        </w:pict>
      </w:r>
    </w:p>
    <w:p w:rsidR="00C90B7A" w:rsidRDefault="00C90B7A" w:rsidP="00C90B7A">
      <w:pPr>
        <w:pStyle w:val="berschrift1"/>
      </w:pPr>
      <w:r>
        <w:t>3.3.49.194 Definition 3.3.427 – Funktionaler Interventionseffekt mit Vorzeichenwechsel</w:t>
      </w:r>
    </w:p>
    <w:p w:rsidR="00C90B7A" w:rsidRDefault="00C90B7A" w:rsidP="00C90B7A">
      <w:pPr>
        <w:pStyle w:val="berschrift3"/>
      </w:pPr>
      <w:r>
        <w:t>Definition 3.3.427</w:t>
      </w:r>
    </w:p>
    <w:p w:rsidR="00C90B7A" w:rsidRDefault="00C90B7A" w:rsidP="00C90B7A">
      <w:pPr>
        <w:pStyle w:val="StandardWeb"/>
      </w:pPr>
      <w:r>
        <w:t xml:space="preserve">Ein funktionaler Interventionseffekt besitzt einen </w:t>
      </w:r>
      <w:r>
        <w:rPr>
          <w:rStyle w:val="Fett"/>
        </w:rPr>
        <w:t>Vorzeichenwechsel</w:t>
      </w:r>
      <w:r>
        <w:t>, wenn für zwei Entwicklungsstufen (n_1,n_2)</w:t>
      </w:r>
    </w:p>
    <w:p w:rsidR="00C90B7A" w:rsidRDefault="00C90B7A" w:rsidP="00C90B7A">
      <w:pPr>
        <w:pStyle w:val="StandardWeb"/>
      </w:pPr>
      <w:r>
        <w:t>[</w:t>
      </w:r>
      <w:r>
        <w:br/>
        <w:t>\boxed{</w:t>
      </w:r>
      <w:r>
        <w:br/>
        <w:t>\Delta_{\operatorname{do}}Y_F(n_1)</w:t>
      </w:r>
      <w:r>
        <w:br/>
        <w:t>,</w:t>
      </w:r>
      <w:r>
        <w:br/>
        <w:t>\Delta_{\operatorname{do}}Y_F(n_2)</w:t>
      </w:r>
      <w:r>
        <w:br/>
        <w:t>&lt;</w:t>
      </w:r>
      <w:r>
        <w:br/>
        <w:t>0.</w:t>
      </w:r>
      <w:r>
        <w:br/>
        <w:t>}</w:t>
      </w:r>
      <w:r>
        <w:br/>
        <w:t>\tag{3.12746}</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\boxed{\Delta_{\operatorname{do}}Y_F(n_1)\,\Delta_{\operatorname{do}}Y_F(n_2)&lt;0.}</w:t>
      </w:r>
    </w:p>
    <w:p w:rsidR="00C90B7A" w:rsidRDefault="00E50336" w:rsidP="00C90B7A">
      <w:r>
        <w:pict>
          <v:rect id="_x0000_i4725" style="width:0;height:1.5pt" o:hralign="center" o:hrstd="t" o:hr="t" fillcolor="#a0a0a0" stroked="f"/>
        </w:pict>
      </w:r>
    </w:p>
    <w:p w:rsidR="00C90B7A" w:rsidRDefault="00C90B7A" w:rsidP="00C90B7A">
      <w:pPr>
        <w:pStyle w:val="berschrift1"/>
      </w:pPr>
      <w:r>
        <w:t>3.3.49.195 Langzeitwirkung</w:t>
      </w:r>
    </w:p>
    <w:p w:rsidR="00C90B7A" w:rsidRDefault="00C90B7A" w:rsidP="00C90B7A">
      <w:pPr>
        <w:pStyle w:val="StandardWeb"/>
      </w:pPr>
      <w:r>
        <w:t>Falls der Grenzwert existiert, kann ich definieren</w:t>
      </w:r>
    </w:p>
    <w:p w:rsidR="00C90B7A" w:rsidRDefault="00C90B7A" w:rsidP="00C90B7A">
      <w:pPr>
        <w:pStyle w:val="berschrift1"/>
      </w:pPr>
      <w:r>
        <w:t>[</w:t>
      </w:r>
      <w:r>
        <w:br/>
        <w:t>\Delta_{\operatorname{do}}Y_F^{(\infty)}</w:t>
      </w:r>
    </w:p>
    <w:p w:rsidR="00C90B7A" w:rsidRDefault="00C90B7A" w:rsidP="00C90B7A">
      <w:pPr>
        <w:pStyle w:val="StandardWeb"/>
      </w:pPr>
      <w:r>
        <w:t>\lim_{n\rightarrow\infty}</w:t>
      </w:r>
      <w:r>
        <w:br/>
        <w:t>\Delta_{\operatorname{do}}Y_F(n).</w:t>
      </w:r>
      <w:r>
        <w:br/>
        <w:t>\tag{3.12747}</w:t>
      </w:r>
      <w:r>
        <w:br/>
        <w:t>]</w:t>
      </w:r>
    </w:p>
    <w:p w:rsidR="00C90B7A" w:rsidRDefault="00C90B7A" w:rsidP="00C90B7A">
      <w:pPr>
        <w:pStyle w:val="StandardWeb"/>
      </w:pPr>
      <w:r>
        <w:rPr>
          <w:rStyle w:val="Fett"/>
        </w:rPr>
        <w:lastRenderedPageBreak/>
        <w:t>Word-LaTeX</w:t>
      </w:r>
    </w:p>
    <w:p w:rsidR="00C90B7A" w:rsidRDefault="00C90B7A" w:rsidP="00C90B7A">
      <w:pPr>
        <w:pStyle w:val="HTMLVorformatiert"/>
        <w:rPr>
          <w:rStyle w:val="HTMLCode"/>
        </w:rPr>
      </w:pPr>
      <w:r>
        <w:rPr>
          <w:rStyle w:val="HTMLCode"/>
        </w:rPr>
        <w:t>\Delta_{\operatorname{do}}Y_F^{(\infty)}=\lim_{n\rightarrow\infty}\Delta_{\operatorname{do}}Y_F(n)</w:t>
      </w:r>
    </w:p>
    <w:p w:rsidR="00C90B7A" w:rsidRDefault="00E50336" w:rsidP="00C90B7A">
      <w:r>
        <w:pict>
          <v:rect id="_x0000_i4726" style="width:0;height:1.5pt" o:hralign="center" o:hrstd="t" o:hr="t" fillcolor="#a0a0a0" stroked="f"/>
        </w:pict>
      </w:r>
    </w:p>
    <w:p w:rsidR="00C90B7A" w:rsidRDefault="00C90B7A" w:rsidP="00C90B7A">
      <w:pPr>
        <w:pStyle w:val="berschrift1"/>
      </w:pPr>
      <w:r>
        <w:t>3.3.49.196 Definition 3.3.428 – Asymptotischer funktionaler Interventionseffekt</w:t>
      </w:r>
    </w:p>
    <w:p w:rsidR="00C90B7A" w:rsidRDefault="00C90B7A" w:rsidP="00C90B7A">
      <w:pPr>
        <w:pStyle w:val="berschrift3"/>
      </w:pPr>
      <w:r>
        <w:t>Definition 3.3.428</w:t>
      </w:r>
    </w:p>
    <w:p w:rsidR="00C90B7A" w:rsidRDefault="00C90B7A" w:rsidP="00C90B7A">
      <w:pPr>
        <w:pStyle w:val="StandardWeb"/>
      </w:pPr>
      <w:r>
        <w:t xml:space="preserve">Existiert der Grenzwert, definiere ich den </w:t>
      </w:r>
      <w:r>
        <w:rPr>
          <w:rStyle w:val="Fett"/>
        </w:rPr>
        <w:t>asymptotischen funktionalen Interventionseffekt</w:t>
      </w:r>
    </w:p>
    <w:p w:rsidR="00C90B7A" w:rsidRDefault="00C90B7A" w:rsidP="00C90B7A">
      <w:pPr>
        <w:pStyle w:val="StandardWeb"/>
      </w:pPr>
      <w:r>
        <w:t>[</w:t>
      </w:r>
      <w:r>
        <w:br/>
        <w:t>\boxed{</w:t>
      </w:r>
      <w:r>
        <w:br/>
        <w:t>\Delta_{\operatorname{do}}Y_F^{(\infty)}</w:t>
      </w:r>
      <w:r>
        <w:br/>
        <w:t>:=</w:t>
      </w:r>
      <w:r>
        <w:br/>
        <w:t>\lim_{n\rightarrow\infty}</w:t>
      </w:r>
      <w:r>
        <w:br/>
        <w:t>\Delta_{\operatorname{do}}Y_F(n).</w:t>
      </w:r>
      <w:r>
        <w:br/>
        <w:t>}</w:t>
      </w:r>
      <w:r>
        <w:br/>
        <w:t>\tag{3.12748}</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\boxed{\Delta_{\operatorname{do}}Y_F^{(\infty)}:=\lim_{n\rightarrow\infty}\Delta_{\operatorname{do}}Y_F(n).}</w:t>
      </w:r>
    </w:p>
    <w:p w:rsidR="00C90B7A" w:rsidRDefault="00E50336" w:rsidP="00C90B7A">
      <w:r>
        <w:pict>
          <v:rect id="_x0000_i4727" style="width:0;height:1.5pt" o:hralign="center" o:hrstd="t" o:hr="t" fillcolor="#a0a0a0" stroked="f"/>
        </w:pict>
      </w:r>
    </w:p>
    <w:p w:rsidR="00C90B7A" w:rsidRDefault="00C90B7A" w:rsidP="00C90B7A">
      <w:pPr>
        <w:pStyle w:val="berschrift1"/>
      </w:pPr>
      <w:r>
        <w:t>3.3.49.197 Nichtkonvergente Rückkopplung</w:t>
      </w:r>
    </w:p>
    <w:p w:rsidR="00C90B7A" w:rsidRDefault="00C90B7A" w:rsidP="00C90B7A">
      <w:pPr>
        <w:pStyle w:val="StandardWeb"/>
      </w:pPr>
      <w:r>
        <w:t>Der Grenzwert muss nicht existieren:</w:t>
      </w:r>
    </w:p>
    <w:p w:rsidR="00C90B7A" w:rsidRDefault="00C90B7A" w:rsidP="00C90B7A">
      <w:pPr>
        <w:pStyle w:val="StandardWeb"/>
      </w:pPr>
      <w:r>
        <w:t>[</w:t>
      </w:r>
      <w:r>
        <w:br/>
        <w:t>\lim_{n\rightarrow\infty}</w:t>
      </w:r>
      <w:r>
        <w:br/>
        <w:t>\Delta_{\operatorname{do}}Y_F(n)</w:t>
      </w:r>
      <w:r>
        <w:br/>
        <w:t>\quad</w:t>
      </w:r>
      <w:r>
        <w:br/>
        <w:t>\text{existiert nicht}.</w:t>
      </w:r>
      <w:r>
        <w:br/>
        <w:t>\tag{3.12749}</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\lim_{n\rightarrow\infty}\Delta_{\operatorname{do}}Y_F(n)\quad\text{existiert nicht}</w:t>
      </w:r>
    </w:p>
    <w:p w:rsidR="00C90B7A" w:rsidRDefault="00E50336" w:rsidP="00C90B7A">
      <w:r>
        <w:pict>
          <v:rect id="_x0000_i4728" style="width:0;height:1.5pt" o:hralign="center" o:hrstd="t" o:hr="t" fillcolor="#a0a0a0" stroked="f"/>
        </w:pict>
      </w:r>
    </w:p>
    <w:p w:rsidR="00C90B7A" w:rsidRDefault="00C90B7A" w:rsidP="00C90B7A">
      <w:pPr>
        <w:pStyle w:val="berschrift1"/>
      </w:pPr>
      <w:r>
        <w:t>3.3.49.198 Oszillierende Interventionseffekte</w:t>
      </w:r>
    </w:p>
    <w:p w:rsidR="00C90B7A" w:rsidRDefault="00C90B7A" w:rsidP="00C90B7A">
      <w:pPr>
        <w:pStyle w:val="StandardWeb"/>
      </w:pPr>
      <w:r>
        <w:lastRenderedPageBreak/>
        <w:t>Beispielsweise kann</w:t>
      </w:r>
    </w:p>
    <w:p w:rsidR="00C90B7A" w:rsidRDefault="00C90B7A" w:rsidP="00C90B7A">
      <w:pPr>
        <w:pStyle w:val="berschrift1"/>
      </w:pPr>
      <w:r>
        <w:t>[</w:t>
      </w:r>
      <w:r>
        <w:br/>
        <w:t>\Delta_{\operatorname{do}}Y_F(n+2)</w:t>
      </w:r>
    </w:p>
    <w:p w:rsidR="00C90B7A" w:rsidRDefault="00C90B7A" w:rsidP="00C90B7A">
      <w:pPr>
        <w:pStyle w:val="StandardWeb"/>
      </w:pPr>
      <w:r>
        <w:t>\Delta_{\operatorname{do}}Y_F(n)</w:t>
      </w:r>
      <w:r>
        <w:br/>
        <w:t>\tag{3.12750}</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\Delta_{\operatorname{do}}Y_F(n+2)=\Delta_{\operatorname{do}}Y_F(n)</w:t>
      </w:r>
    </w:p>
    <w:p w:rsidR="00C90B7A" w:rsidRDefault="00C90B7A" w:rsidP="00C90B7A">
      <w:pPr>
        <w:pStyle w:val="StandardWeb"/>
      </w:pPr>
      <w:r>
        <w:t>bei</w:t>
      </w:r>
    </w:p>
    <w:p w:rsidR="00C90B7A" w:rsidRDefault="00C90B7A" w:rsidP="00C90B7A">
      <w:pPr>
        <w:pStyle w:val="StandardWeb"/>
      </w:pPr>
      <w:r>
        <w:t>[</w:t>
      </w:r>
      <w:r>
        <w:br/>
        <w:t>\Delta_{\operatorname{do}}Y_F(n+1)</w:t>
      </w:r>
      <w:r>
        <w:br/>
        <w:t>\neq</w:t>
      </w:r>
      <w:r>
        <w:br/>
        <w:t>\Delta_{\operatorname{do}}Y_F(n)</w:t>
      </w:r>
      <w:r>
        <w:br/>
        <w:t>\tag{3.12751}</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\Delta_{\operatorname{do}}Y_F(n+1)\neq\Delta_{\operatorname{do}}Y_F(n)</w:t>
      </w:r>
    </w:p>
    <w:p w:rsidR="00C90B7A" w:rsidRDefault="00C90B7A" w:rsidP="00C90B7A">
      <w:pPr>
        <w:pStyle w:val="StandardWeb"/>
      </w:pPr>
      <w:r>
        <w:t>gelten.</w:t>
      </w:r>
    </w:p>
    <w:p w:rsidR="00C90B7A" w:rsidRDefault="00E50336" w:rsidP="00C90B7A">
      <w:r>
        <w:pict>
          <v:rect id="_x0000_i4729" style="width:0;height:1.5pt" o:hralign="center" o:hrstd="t" o:hr="t" fillcolor="#a0a0a0" stroked="f"/>
        </w:pict>
      </w:r>
    </w:p>
    <w:p w:rsidR="00C90B7A" w:rsidRDefault="00C90B7A" w:rsidP="00C90B7A">
      <w:pPr>
        <w:pStyle w:val="berschrift1"/>
      </w:pPr>
      <w:r>
        <w:t>3.3.49.199 Definition 3.3.429 – Oszillierender funktionaler Interventionseffekt</w:t>
      </w:r>
    </w:p>
    <w:p w:rsidR="00C90B7A" w:rsidRDefault="00C90B7A" w:rsidP="00C90B7A">
      <w:pPr>
        <w:pStyle w:val="berschrift3"/>
      </w:pPr>
      <w:r>
        <w:t>Definition 3.3.429</w:t>
      </w:r>
    </w:p>
    <w:p w:rsidR="00C90B7A" w:rsidRDefault="00C90B7A" w:rsidP="00C90B7A">
      <w:pPr>
        <w:pStyle w:val="StandardWeb"/>
      </w:pPr>
      <w:r>
        <w:t xml:space="preserve">Ein funktionaler Interventionseffekt heißt </w:t>
      </w:r>
      <w:r>
        <w:rPr>
          <w:rStyle w:val="Fett"/>
        </w:rPr>
        <w:t>oszillierend</w:t>
      </w:r>
      <w:r>
        <w:t>, wenn er entlang der Rückkopplungsentwicklung wiederkehrende unterschiedliche Werte annimmt.</w:t>
      </w:r>
    </w:p>
    <w:p w:rsidR="00C90B7A" w:rsidRDefault="00C90B7A" w:rsidP="00C90B7A">
      <w:pPr>
        <w:pStyle w:val="StandardWeb"/>
      </w:pPr>
      <w:r>
        <w:t>Für eine Periode (p&gt;1) kann gelten</w:t>
      </w:r>
    </w:p>
    <w:p w:rsidR="00C90B7A" w:rsidRDefault="00C90B7A" w:rsidP="00C90B7A">
      <w:pPr>
        <w:pStyle w:val="berschrift1"/>
      </w:pPr>
      <w:r>
        <w:t>[</w:t>
      </w:r>
      <w:r>
        <w:br/>
        <w:t>\boxed{</w:t>
      </w:r>
      <w:r>
        <w:br/>
        <w:t>\Delta_{\operatorname{do}}Y_F(n+p)</w:t>
      </w:r>
    </w:p>
    <w:p w:rsidR="00C90B7A" w:rsidRDefault="00C90B7A" w:rsidP="00C90B7A">
      <w:pPr>
        <w:pStyle w:val="StandardWeb"/>
      </w:pPr>
      <w:r>
        <w:t>\Delta_{\operatorname{do}}Y_F(n).</w:t>
      </w:r>
      <w:r>
        <w:br/>
        <w:t>}</w:t>
      </w:r>
      <w:r>
        <w:br/>
      </w:r>
      <w:r>
        <w:lastRenderedPageBreak/>
        <w:t>\tag{3.12752}</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\boxed{\Delta_{\operatorname{do}}Y_F(n+p)=\Delta_{\operatorname{do}}Y_F(n).}</w:t>
      </w:r>
    </w:p>
    <w:p w:rsidR="00C90B7A" w:rsidRDefault="00E50336" w:rsidP="00C90B7A">
      <w:r>
        <w:pict>
          <v:rect id="_x0000_i4730" style="width:0;height:1.5pt" o:hralign="center" o:hrstd="t" o:hr="t" fillcolor="#a0a0a0" stroked="f"/>
        </w:pict>
      </w:r>
    </w:p>
    <w:p w:rsidR="00C90B7A" w:rsidRDefault="00C90B7A" w:rsidP="00C90B7A">
      <w:pPr>
        <w:pStyle w:val="berschrift1"/>
      </w:pPr>
      <w:r>
        <w:t>3.3.49.200 Rückkopplung verbietet keine interventionelle Kausalität</w:t>
      </w:r>
    </w:p>
    <w:p w:rsidR="00C90B7A" w:rsidRDefault="00C90B7A" w:rsidP="00C90B7A">
      <w:pPr>
        <w:pStyle w:val="StandardWeb"/>
      </w:pPr>
      <w:r>
        <w:t>Aus dem Vorliegen einer Rückkopplung</w:t>
      </w:r>
    </w:p>
    <w:p w:rsidR="00C90B7A" w:rsidRDefault="00C90B7A" w:rsidP="00C90B7A">
      <w:pPr>
        <w:pStyle w:val="StandardWeb"/>
      </w:pPr>
      <w:r>
        <w:t>[</w:t>
      </w:r>
      <w:r>
        <w:br/>
        <w:t>X_F</w:t>
      </w:r>
      <w:r>
        <w:br/>
        <w:t>\rightsquigarrow</w:t>
      </w:r>
      <w:r>
        <w:br/>
        <w:t>Y_F</w:t>
      </w:r>
      <w:r>
        <w:br/>
        <w:t>\rightsquigarrow</w:t>
      </w:r>
      <w:r>
        <w:br/>
        <w:t>X_F</w:t>
      </w:r>
      <w:r>
        <w:br/>
        <w:t>\tag{3.12753}</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X_F\rightsquigarrow Y_F\rightsquigarrow X_F</w:t>
      </w:r>
    </w:p>
    <w:p w:rsidR="00C90B7A" w:rsidRDefault="00C90B7A" w:rsidP="00C90B7A">
      <w:pPr>
        <w:pStyle w:val="StandardWeb"/>
      </w:pPr>
      <w:r>
        <w:t>folgt nicht, dass interventionelle Kausalitätsaussagen unmöglich sind.</w:t>
      </w:r>
    </w:p>
    <w:p w:rsidR="00C90B7A" w:rsidRDefault="00E50336" w:rsidP="00C90B7A">
      <w:r>
        <w:pict>
          <v:rect id="_x0000_i4731" style="width:0;height:1.5pt" o:hralign="center" o:hrstd="t" o:hr="t" fillcolor="#a0a0a0" stroked="f"/>
        </w:pict>
      </w:r>
    </w:p>
    <w:p w:rsidR="00C90B7A" w:rsidRDefault="00C90B7A" w:rsidP="00C90B7A">
      <w:pPr>
        <w:pStyle w:val="berschrift1"/>
      </w:pPr>
      <w:r>
        <w:t>3.3.49.201 Satz 3.3.169 – Rückkopplung und interventionelle Kausalität sind miteinander vereinbar</w:t>
      </w:r>
    </w:p>
    <w:p w:rsidR="00C90B7A" w:rsidRDefault="00C90B7A" w:rsidP="00C90B7A">
      <w:pPr>
        <w:pStyle w:val="berschrift3"/>
      </w:pPr>
      <w:r>
        <w:t>Satz 3.3.169</w:t>
      </w:r>
    </w:p>
    <w:p w:rsidR="00C90B7A" w:rsidRDefault="00C90B7A" w:rsidP="00C90B7A">
      <w:pPr>
        <w:pStyle w:val="StandardWeb"/>
      </w:pPr>
      <w:r>
        <w:t>Eine funktionale Einflussstruktur kann gerichtete Zyklen enthalten und dennoch wohldefinierte interventionelle Kausalitätsrelationen besitzen, sofern die Interventionsregel und die anschließende Rückkopplungsentwicklung eindeutig festgelegt sind.</w:t>
      </w:r>
    </w:p>
    <w:p w:rsidR="00C90B7A" w:rsidRDefault="00C90B7A" w:rsidP="00C90B7A">
      <w:pPr>
        <w:pStyle w:val="StandardWeb"/>
      </w:pPr>
      <w:r>
        <w:t>Formal:</w:t>
      </w:r>
    </w:p>
    <w:p w:rsidR="00C90B7A" w:rsidRDefault="00C90B7A" w:rsidP="00C90B7A">
      <w:pPr>
        <w:pStyle w:val="StandardWeb"/>
      </w:pPr>
      <w:r>
        <w:t>[</w:t>
      </w:r>
      <w:r>
        <w:br/>
        <w:t>\boxed{</w:t>
      </w:r>
      <w:r>
        <w:br/>
        <w:t>\operatorname{Cyc}(\mathcal G_{\mathcal I})\neq\varnothing</w:t>
      </w:r>
      <w:r>
        <w:br/>
        <w:t>\not\Rightarrow</w:t>
      </w:r>
      <w:r>
        <w:br/>
        <w:t>\operatorname{Caus}_F=\varnothing.</w:t>
      </w:r>
      <w:r>
        <w:br/>
        <w:t>}</w:t>
      </w:r>
      <w:r>
        <w:br/>
      </w:r>
      <w:r>
        <w:lastRenderedPageBreak/>
        <w:t>\tag{3.12754}</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\boxed{\operatorname{Cyc}(\mathcal G_{\mathcal I})\neq\varnothing\not\Rightarrow\operatorname{Caus}_F=\varnothing.}</w:t>
      </w:r>
    </w:p>
    <w:p w:rsidR="00C90B7A" w:rsidRDefault="00C90B7A" w:rsidP="00C90B7A">
      <w:pPr>
        <w:pStyle w:val="berschrift3"/>
      </w:pPr>
      <w:r>
        <w:t>Beweis</w:t>
      </w:r>
    </w:p>
    <w:p w:rsidR="00C90B7A" w:rsidRDefault="00C90B7A" w:rsidP="00C90B7A">
      <w:pPr>
        <w:pStyle w:val="StandardWeb"/>
      </w:pPr>
      <w:r>
        <w:t>Eine Intervention erzeugt zunächst einen wohldefinierten modifizierten Zustand</w:t>
      </w:r>
    </w:p>
    <w:p w:rsidR="00C90B7A" w:rsidRDefault="00C90B7A" w:rsidP="00C90B7A">
      <w:pPr>
        <w:pStyle w:val="StandardWeb"/>
      </w:pPr>
      <w:r>
        <w:t>[</w:t>
      </w:r>
      <w:r>
        <w:br/>
        <w:t>z^{\operatorname{do}(X=x)}.</w:t>
      </w:r>
      <w:r>
        <w:br/>
        <w:t>\tag{3.12755}</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z^{\operatorname{do}(X=x)}</w:t>
      </w:r>
    </w:p>
    <w:p w:rsidR="00C90B7A" w:rsidRDefault="00C90B7A" w:rsidP="00C90B7A">
      <w:pPr>
        <w:pStyle w:val="StandardWeb"/>
      </w:pPr>
      <w:r>
        <w:t>Ist anschließend die Rückkopplungsentwicklung</w:t>
      </w:r>
    </w:p>
    <w:p w:rsidR="00C90B7A" w:rsidRDefault="00C90B7A" w:rsidP="00C90B7A">
      <w:pPr>
        <w:pStyle w:val="StandardWeb"/>
      </w:pPr>
      <w:r>
        <w:t>[</w:t>
      </w:r>
      <w:r>
        <w:br/>
        <w:t>\mathcal F_{\mathrm{fb}}</w:t>
      </w:r>
      <w:r>
        <w:br/>
        <w:t>\tag{3.12756}</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\mathcal F_{\mathrm{fb}}</w:t>
      </w:r>
    </w:p>
    <w:p w:rsidR="00C90B7A" w:rsidRDefault="00C90B7A" w:rsidP="00C90B7A">
      <w:pPr>
        <w:pStyle w:val="StandardWeb"/>
      </w:pPr>
      <w:r>
        <w:t>eindeutig definiert, dann ist auch die interventionelle Rückkopplungsbahn bestimmt. Somit können Interventionsantworten entlang dieser Bahn ausgewertet werden. (\square)</w:t>
      </w:r>
    </w:p>
    <w:p w:rsidR="00C90B7A" w:rsidRDefault="00E50336" w:rsidP="00C90B7A">
      <w:r>
        <w:pict>
          <v:rect id="_x0000_i4732" style="width:0;height:1.5pt" o:hralign="center" o:hrstd="t" o:hr="t" fillcolor="#a0a0a0" stroked="f"/>
        </w:pict>
      </w:r>
    </w:p>
    <w:p w:rsidR="00C90B7A" w:rsidRDefault="00C90B7A" w:rsidP="00C90B7A">
      <w:pPr>
        <w:pStyle w:val="berschrift1"/>
      </w:pPr>
      <w:r>
        <w:t>3.3.49.202 Korollar 3.3.38 – Azyklizität ist auch für interventionelle Kausalität nicht notwendig</w:t>
      </w:r>
    </w:p>
    <w:p w:rsidR="00C90B7A" w:rsidRDefault="00C90B7A" w:rsidP="00C90B7A">
      <w:pPr>
        <w:pStyle w:val="berschrift3"/>
      </w:pPr>
      <w:r>
        <w:t>Korollar 3.3.38</w:t>
      </w:r>
    </w:p>
    <w:p w:rsidR="00C90B7A" w:rsidRDefault="00C90B7A" w:rsidP="00C90B7A">
      <w:pPr>
        <w:pStyle w:val="StandardWeb"/>
      </w:pPr>
      <w:r>
        <w:t>Aus Satz 3.3.169 folgt erneut</w:t>
      </w:r>
    </w:p>
    <w:p w:rsidR="00C90B7A" w:rsidRDefault="00C90B7A" w:rsidP="00C90B7A">
      <w:pPr>
        <w:pStyle w:val="berschrift1"/>
      </w:pPr>
      <w:r>
        <w:t>[</w:t>
      </w:r>
      <w:r>
        <w:br/>
        <w:t>\boxed{</w:t>
      </w:r>
      <w:r>
        <w:br/>
        <w:t>U_{\mathrm{Ax}}(A_{\mathrm{acyc}})</w:t>
      </w:r>
    </w:p>
    <w:p w:rsidR="00C90B7A" w:rsidRDefault="00C90B7A" w:rsidP="00563F88">
      <w:pPr>
        <w:numPr>
          <w:ilvl w:val="0"/>
          <w:numId w:val="573"/>
        </w:numPr>
        <w:spacing w:before="100" w:beforeAutospacing="1" w:after="100" w:afterAutospacing="1"/>
      </w:pPr>
    </w:p>
    <w:p w:rsidR="00C90B7A" w:rsidRDefault="00C90B7A" w:rsidP="00C90B7A">
      <w:pPr>
        <w:pStyle w:val="StandardWeb"/>
      </w:pPr>
      <w:r>
        <w:lastRenderedPageBreak/>
        <w:t>}</w:t>
      </w:r>
      <w:r>
        <w:br/>
        <w:t>\tag{3.12757}</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\boxed{U_{\mathrm{Ax}}(A_{\mathrm{acyc}})=0.}</w:t>
      </w:r>
    </w:p>
    <w:p w:rsidR="00C90B7A" w:rsidRDefault="00E50336" w:rsidP="00C90B7A">
      <w:r>
        <w:pict>
          <v:rect id="_x0000_i4733" style="width:0;height:1.5pt" o:hralign="center" o:hrstd="t" o:hr="t" fillcolor="#a0a0a0" stroked="f"/>
        </w:pict>
      </w:r>
    </w:p>
    <w:p w:rsidR="00C90B7A" w:rsidRDefault="00C90B7A" w:rsidP="00C90B7A">
      <w:pPr>
        <w:pStyle w:val="berschrift1"/>
      </w:pPr>
      <w:r>
        <w:t>3.3.49.203 Zeitverzögerte Einflüsse</w:t>
      </w:r>
    </w:p>
    <w:p w:rsidR="00C90B7A" w:rsidRDefault="00C90B7A" w:rsidP="00C90B7A">
      <w:pPr>
        <w:pStyle w:val="StandardWeb"/>
      </w:pPr>
      <w:r>
        <w:t>Eine gerichtete Einflussrelation kann mit einer Verzögerung versehen werden.</w:t>
      </w:r>
    </w:p>
    <w:p w:rsidR="00C90B7A" w:rsidRDefault="00C90B7A" w:rsidP="00C90B7A">
      <w:pPr>
        <w:pStyle w:val="StandardWeb"/>
      </w:pPr>
      <w:r>
        <w:t>Ich schreibe</w:t>
      </w:r>
    </w:p>
    <w:p w:rsidR="00C90B7A" w:rsidRDefault="00C90B7A" w:rsidP="00C90B7A">
      <w:pPr>
        <w:pStyle w:val="StandardWeb"/>
      </w:pPr>
      <w:r>
        <w:t>[</w:t>
      </w:r>
      <w:r>
        <w:br/>
        <w:t>X_F(t)</w:t>
      </w:r>
      <w:r>
        <w:br/>
        <w:t>\rightsquigarrow</w:t>
      </w:r>
      <w:r>
        <w:br/>
        <w:t>Y_F(t+\delta).</w:t>
      </w:r>
      <w:r>
        <w:br/>
        <w:t>\tag{3.12758}</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X_F(t)\rightsquigarrow Y_F(t+\delta)</w:t>
      </w:r>
    </w:p>
    <w:p w:rsidR="00C90B7A" w:rsidRDefault="00E50336" w:rsidP="00C90B7A">
      <w:r>
        <w:pict>
          <v:rect id="_x0000_i4734" style="width:0;height:1.5pt" o:hralign="center" o:hrstd="t" o:hr="t" fillcolor="#a0a0a0" stroked="f"/>
        </w:pict>
      </w:r>
    </w:p>
    <w:p w:rsidR="00C90B7A" w:rsidRDefault="00C90B7A" w:rsidP="00C90B7A">
      <w:pPr>
        <w:pStyle w:val="berschrift1"/>
      </w:pPr>
      <w:r>
        <w:t>3.3.49.204 Verzögerungsparameter</w:t>
      </w:r>
    </w:p>
    <w:p w:rsidR="00C90B7A" w:rsidRDefault="00C90B7A" w:rsidP="00C90B7A">
      <w:pPr>
        <w:pStyle w:val="StandardWeb"/>
      </w:pPr>
      <w:r>
        <w:t>Dabei sei</w:t>
      </w:r>
    </w:p>
    <w:p w:rsidR="00C90B7A" w:rsidRDefault="00C90B7A" w:rsidP="00C90B7A">
      <w:pPr>
        <w:pStyle w:val="StandardWeb"/>
      </w:pPr>
      <w:r>
        <w:t>[</w:t>
      </w:r>
      <w:r>
        <w:br/>
        <w:t>\delta</w:t>
      </w:r>
      <w:r>
        <w:br/>
        <w:t>\in</w:t>
      </w:r>
      <w:r>
        <w:br/>
        <w:t>\mathcal D_t</w:t>
      </w:r>
      <w:r>
        <w:br/>
        <w:t>\tag{3.12759}</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\delta\in\mathcal D_t</w:t>
      </w:r>
    </w:p>
    <w:p w:rsidR="00C90B7A" w:rsidRDefault="00C90B7A" w:rsidP="00C90B7A">
      <w:pPr>
        <w:pStyle w:val="StandardWeb"/>
      </w:pPr>
      <w:r>
        <w:t>ein zulässiger Verzögerungswert.</w:t>
      </w:r>
    </w:p>
    <w:p w:rsidR="00C90B7A" w:rsidRDefault="00E50336" w:rsidP="00C90B7A">
      <w:r>
        <w:pict>
          <v:rect id="_x0000_i4735" style="width:0;height:1.5pt" o:hralign="center" o:hrstd="t" o:hr="t" fillcolor="#a0a0a0" stroked="f"/>
        </w:pict>
      </w:r>
    </w:p>
    <w:p w:rsidR="00C90B7A" w:rsidRDefault="00C90B7A" w:rsidP="00C90B7A">
      <w:pPr>
        <w:pStyle w:val="berschrift1"/>
      </w:pPr>
      <w:r>
        <w:t>3.3.49.205 Definition 3.3.430 – Zeitverzögerter funktionaler Einfluss</w:t>
      </w:r>
    </w:p>
    <w:p w:rsidR="00C90B7A" w:rsidRDefault="00C90B7A" w:rsidP="00C90B7A">
      <w:pPr>
        <w:pStyle w:val="berschrift3"/>
      </w:pPr>
      <w:r>
        <w:lastRenderedPageBreak/>
        <w:t>Definition 3.3.430</w:t>
      </w:r>
    </w:p>
    <w:p w:rsidR="00C90B7A" w:rsidRDefault="00C90B7A" w:rsidP="00C90B7A">
      <w:pPr>
        <w:pStyle w:val="StandardWeb"/>
      </w:pPr>
      <w:r>
        <w:t xml:space="preserve">Ein </w:t>
      </w:r>
      <w:r>
        <w:rPr>
          <w:rStyle w:val="Fett"/>
        </w:rPr>
        <w:t>zeitverzögerter funktionaler Einfluss</w:t>
      </w:r>
      <w:r>
        <w:t xml:space="preserve"> liegt vor, wenn</w:t>
      </w:r>
    </w:p>
    <w:p w:rsidR="00C90B7A" w:rsidRDefault="00C90B7A" w:rsidP="00C90B7A">
      <w:pPr>
        <w:pStyle w:val="StandardWeb"/>
      </w:pPr>
      <w:r>
        <w:t>[</w:t>
      </w:r>
      <w:r>
        <w:br/>
        <w:t>\boxed{</w:t>
      </w:r>
      <w:r>
        <w:br/>
        <w:t>X_F(t)</w:t>
      </w:r>
      <w:r>
        <w:br/>
        <w:t>\rightsquigarrow</w:t>
      </w:r>
      <w:r>
        <w:br/>
        <w:t>Y_F(t+\delta)</w:t>
      </w:r>
      <w:r>
        <w:br/>
        <w:t>}</w:t>
      </w:r>
      <w:r>
        <w:br/>
        <w:t>\tag{3.12760}</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\boxed{X_F(t)\rightsquigarrow Y_F(t+\delta)}</w:t>
      </w:r>
    </w:p>
    <w:p w:rsidR="00C90B7A" w:rsidRDefault="00C90B7A" w:rsidP="00C90B7A">
      <w:pPr>
        <w:pStyle w:val="StandardWeb"/>
      </w:pPr>
      <w:r>
        <w:t>für einen modellabhängig festgelegten Verzögerungswert (\delta) gilt.</w:t>
      </w:r>
    </w:p>
    <w:p w:rsidR="00C90B7A" w:rsidRDefault="00E50336" w:rsidP="00C90B7A">
      <w:r>
        <w:pict>
          <v:rect id="_x0000_i4736" style="width:0;height:1.5pt" o:hralign="center" o:hrstd="t" o:hr="t" fillcolor="#a0a0a0" stroked="f"/>
        </w:pict>
      </w:r>
    </w:p>
    <w:p w:rsidR="00C90B7A" w:rsidRDefault="00C90B7A" w:rsidP="00C90B7A">
      <w:pPr>
        <w:pStyle w:val="berschrift1"/>
      </w:pPr>
      <w:r>
        <w:t>3.3.49.206 Nullverzögerung</w:t>
      </w:r>
    </w:p>
    <w:p w:rsidR="00C90B7A" w:rsidRDefault="00C90B7A" w:rsidP="00C90B7A">
      <w:pPr>
        <w:pStyle w:val="StandardWeb"/>
      </w:pPr>
      <w:r>
        <w:t>Auch</w:t>
      </w:r>
    </w:p>
    <w:p w:rsidR="00C90B7A" w:rsidRDefault="00C90B7A" w:rsidP="00C90B7A">
      <w:pPr>
        <w:pStyle w:val="StandardWeb"/>
      </w:pPr>
      <w:r>
        <w:t>[</w:t>
      </w:r>
      <w:r>
        <w:br/>
        <w:t>\delta=0</w:t>
      </w:r>
      <w:r>
        <w:br/>
        <w:t>\tag{3.12761}</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\delta=0</w:t>
      </w:r>
    </w:p>
    <w:p w:rsidR="00C90B7A" w:rsidRDefault="00C90B7A" w:rsidP="00C90B7A">
      <w:pPr>
        <w:pStyle w:val="StandardWeb"/>
      </w:pPr>
      <w:r>
        <w:t>kann zulässig sein.</w:t>
      </w:r>
    </w:p>
    <w:p w:rsidR="00C90B7A" w:rsidRDefault="00C90B7A" w:rsidP="00C90B7A">
      <w:pPr>
        <w:pStyle w:val="StandardWeb"/>
      </w:pPr>
      <w:r>
        <w:t>Damit bleiben simultane funktionale Kopplungen möglich.</w:t>
      </w:r>
    </w:p>
    <w:p w:rsidR="00C90B7A" w:rsidRDefault="00E50336" w:rsidP="00C90B7A">
      <w:r>
        <w:pict>
          <v:rect id="_x0000_i4737" style="width:0;height:1.5pt" o:hralign="center" o:hrstd="t" o:hr="t" fillcolor="#a0a0a0" stroked="f"/>
        </w:pict>
      </w:r>
    </w:p>
    <w:p w:rsidR="00C90B7A" w:rsidRDefault="00C90B7A" w:rsidP="00C90B7A">
      <w:pPr>
        <w:pStyle w:val="berschrift1"/>
      </w:pPr>
      <w:r>
        <w:t>3.3.49.207 Positive Verzögerung</w:t>
      </w:r>
    </w:p>
    <w:p w:rsidR="00C90B7A" w:rsidRDefault="00C90B7A" w:rsidP="00C90B7A">
      <w:pPr>
        <w:pStyle w:val="StandardWeb"/>
      </w:pPr>
      <w:r>
        <w:t>Für</w:t>
      </w:r>
    </w:p>
    <w:p w:rsidR="00C90B7A" w:rsidRDefault="00C90B7A" w:rsidP="00C90B7A">
      <w:pPr>
        <w:pStyle w:val="StandardWeb"/>
      </w:pPr>
      <w:r>
        <w:t>[</w:t>
      </w:r>
      <w:r>
        <w:br/>
        <w:t>\delta&gt;0</w:t>
      </w:r>
      <w:r>
        <w:br/>
        <w:t>\tag{3.12762}</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lastRenderedPageBreak/>
        <w:t>\delta&gt;0</w:t>
      </w:r>
    </w:p>
    <w:p w:rsidR="00C90B7A" w:rsidRDefault="00C90B7A" w:rsidP="00C90B7A">
      <w:pPr>
        <w:pStyle w:val="StandardWeb"/>
      </w:pPr>
      <w:r>
        <w:t>liegt eine zeitlich nachgelagerte Zielreaktion vor.</w:t>
      </w:r>
    </w:p>
    <w:p w:rsidR="00C90B7A" w:rsidRDefault="00E50336" w:rsidP="00C90B7A">
      <w:r>
        <w:pict>
          <v:rect id="_x0000_i4738" style="width:0;height:1.5pt" o:hralign="center" o:hrstd="t" o:hr="t" fillcolor="#a0a0a0" stroked="f"/>
        </w:pict>
      </w:r>
    </w:p>
    <w:p w:rsidR="00C90B7A" w:rsidRDefault="00C90B7A" w:rsidP="00C90B7A">
      <w:pPr>
        <w:pStyle w:val="berschrift1"/>
      </w:pPr>
      <w:r>
        <w:t>3.3.49.208 Variable Verzögerung</w:t>
      </w:r>
    </w:p>
    <w:p w:rsidR="00C90B7A" w:rsidRDefault="00C90B7A" w:rsidP="00C90B7A">
      <w:pPr>
        <w:pStyle w:val="StandardWeb"/>
      </w:pPr>
      <w:r>
        <w:t>Die Verzögerung kann zustandsabhängig sein:</w:t>
      </w:r>
    </w:p>
    <w:p w:rsidR="00C90B7A" w:rsidRDefault="00C90B7A" w:rsidP="00C90B7A">
      <w:pPr>
        <w:pStyle w:val="berschrift1"/>
      </w:pPr>
      <w:r>
        <w:t>[</w:t>
      </w:r>
      <w:r>
        <w:br/>
        <w:t>\delta</w:t>
      </w:r>
    </w:p>
    <w:p w:rsidR="00C90B7A" w:rsidRDefault="00C90B7A" w:rsidP="00C90B7A">
      <w:pPr>
        <w:pStyle w:val="StandardWeb"/>
      </w:pPr>
      <w:r>
        <w:t>\delta(z).</w:t>
      </w:r>
      <w:r>
        <w:br/>
        <w:t>\tag{3.12763}</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\delta=\delta(z)</w:t>
      </w:r>
    </w:p>
    <w:p w:rsidR="00C90B7A" w:rsidRDefault="00E50336" w:rsidP="00C90B7A">
      <w:r>
        <w:pict>
          <v:rect id="_x0000_i4739" style="width:0;height:1.5pt" o:hralign="center" o:hrstd="t" o:hr="t" fillcolor="#a0a0a0" stroked="f"/>
        </w:pict>
      </w:r>
    </w:p>
    <w:p w:rsidR="00C90B7A" w:rsidRDefault="00C90B7A" w:rsidP="00C90B7A">
      <w:pPr>
        <w:pStyle w:val="berschrift1"/>
      </w:pPr>
      <w:r>
        <w:t>3.3.49.209 Kontextabhängige Verzögerung</w:t>
      </w:r>
    </w:p>
    <w:p w:rsidR="00C90B7A" w:rsidRDefault="00C90B7A" w:rsidP="00C90B7A">
      <w:pPr>
        <w:pStyle w:val="StandardWeb"/>
      </w:pPr>
      <w:r>
        <w:t>Allgemeiner kann</w:t>
      </w:r>
    </w:p>
    <w:p w:rsidR="00C90B7A" w:rsidRDefault="00C90B7A" w:rsidP="00C90B7A">
      <w:pPr>
        <w:pStyle w:val="berschrift1"/>
      </w:pPr>
      <w:r>
        <w:t>[</w:t>
      </w:r>
      <w:r>
        <w:br/>
        <w:t>\delta</w:t>
      </w:r>
    </w:p>
    <w:p w:rsidR="00C90B7A" w:rsidRDefault="00C90B7A" w:rsidP="00C90B7A">
      <w:pPr>
        <w:pStyle w:val="StandardWeb"/>
      </w:pPr>
      <w:r>
        <w:t>\delta(z,c)</w:t>
      </w:r>
      <w:r>
        <w:br/>
        <w:t>\tag{3.12764}</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\delta=\delta(z,c)</w:t>
      </w:r>
    </w:p>
    <w:p w:rsidR="00C90B7A" w:rsidRDefault="00C90B7A" w:rsidP="00C90B7A">
      <w:pPr>
        <w:pStyle w:val="StandardWeb"/>
      </w:pPr>
      <w:r>
        <w:t>gelten.</w:t>
      </w:r>
    </w:p>
    <w:p w:rsidR="00C90B7A" w:rsidRDefault="00E50336" w:rsidP="00C90B7A">
      <w:r>
        <w:pict>
          <v:rect id="_x0000_i4740" style="width:0;height:1.5pt" o:hralign="center" o:hrstd="t" o:hr="t" fillcolor="#a0a0a0" stroked="f"/>
        </w:pict>
      </w:r>
    </w:p>
    <w:p w:rsidR="00C90B7A" w:rsidRDefault="00C90B7A" w:rsidP="00C90B7A">
      <w:pPr>
        <w:pStyle w:val="berschrift1"/>
      </w:pPr>
      <w:r>
        <w:t>3.3.49.210 Definition 3.3.431 – Zustands- und kontextabhängige funktionale Verzögerung</w:t>
      </w:r>
    </w:p>
    <w:p w:rsidR="00C90B7A" w:rsidRDefault="00C90B7A" w:rsidP="00C90B7A">
      <w:pPr>
        <w:pStyle w:val="berschrift3"/>
      </w:pPr>
      <w:r>
        <w:t>Definition 3.3.431</w:t>
      </w:r>
    </w:p>
    <w:p w:rsidR="00C90B7A" w:rsidRDefault="00C90B7A" w:rsidP="00C90B7A">
      <w:pPr>
        <w:pStyle w:val="StandardWeb"/>
      </w:pPr>
      <w:r>
        <w:t xml:space="preserve">Eine funktionale Verzögerung heißt </w:t>
      </w:r>
      <w:r>
        <w:rPr>
          <w:rStyle w:val="Fett"/>
        </w:rPr>
        <w:t>zustands- und kontextabhängig</w:t>
      </w:r>
      <w:r>
        <w:t>, wenn</w:t>
      </w:r>
    </w:p>
    <w:p w:rsidR="00C90B7A" w:rsidRDefault="00C90B7A" w:rsidP="00C90B7A">
      <w:pPr>
        <w:pStyle w:val="berschrift1"/>
      </w:pPr>
      <w:r>
        <w:lastRenderedPageBreak/>
        <w:t>[</w:t>
      </w:r>
      <w:r>
        <w:br/>
        <w:t>\boxed{</w:t>
      </w:r>
      <w:r>
        <w:br/>
        <w:t>\delta</w:t>
      </w:r>
    </w:p>
    <w:p w:rsidR="00C90B7A" w:rsidRDefault="00C90B7A" w:rsidP="00C90B7A">
      <w:pPr>
        <w:pStyle w:val="StandardWeb"/>
      </w:pPr>
      <w:r>
        <w:t>\delta(z,c).</w:t>
      </w:r>
      <w:r>
        <w:br/>
        <w:t>}</w:t>
      </w:r>
      <w:r>
        <w:br/>
        <w:t>\tag{3.12765}</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\boxed{\delta=\delta(z,c).}</w:t>
      </w:r>
    </w:p>
    <w:p w:rsidR="00C90B7A" w:rsidRDefault="00E50336" w:rsidP="00C90B7A">
      <w:r>
        <w:pict>
          <v:rect id="_x0000_i4741" style="width:0;height:1.5pt" o:hralign="center" o:hrstd="t" o:hr="t" fillcolor="#a0a0a0" stroked="f"/>
        </w:pict>
      </w:r>
    </w:p>
    <w:p w:rsidR="00C90B7A" w:rsidRDefault="00C90B7A" w:rsidP="00C90B7A">
      <w:pPr>
        <w:pStyle w:val="berschrift1"/>
      </w:pPr>
      <w:r>
        <w:t>3.3.49.211 Verzögerung als Kantenattribut</w:t>
      </w:r>
    </w:p>
    <w:p w:rsidR="00C90B7A" w:rsidRDefault="00C90B7A" w:rsidP="00C90B7A">
      <w:pPr>
        <w:pStyle w:val="StandardWeb"/>
      </w:pPr>
      <w:r>
        <w:t>Für jede Kante kann eine Verzögerungsabbildung definiert werden:</w:t>
      </w:r>
    </w:p>
    <w:p w:rsidR="00C90B7A" w:rsidRDefault="00C90B7A" w:rsidP="00C90B7A">
      <w:pPr>
        <w:pStyle w:val="StandardWeb"/>
      </w:pPr>
      <w:r>
        <w:t>[</w:t>
      </w:r>
      <w:r>
        <w:br/>
        <w:t>\tau_{\mathcal I}</w:t>
      </w:r>
      <w:r>
        <w:br/>
        <w:t>:</w:t>
      </w:r>
      <w:r>
        <w:br/>
        <w:t>E_{\mathcal I}</w:t>
      </w:r>
      <w:r>
        <w:br/>
        <w:t>\rightarrow</w:t>
      </w:r>
      <w:r>
        <w:br/>
        <w:t>\mathcal D_t.</w:t>
      </w:r>
      <w:r>
        <w:br/>
        <w:t>\tag{3.12766}</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\tau_{\mathcal I}:E_{\mathcal I}\rightarrow\mathcal D_t</w:t>
      </w:r>
    </w:p>
    <w:p w:rsidR="00C90B7A" w:rsidRDefault="00E50336" w:rsidP="00C90B7A">
      <w:r>
        <w:pict>
          <v:rect id="_x0000_i4742" style="width:0;height:1.5pt" o:hralign="center" o:hrstd="t" o:hr="t" fillcolor="#a0a0a0" stroked="f"/>
        </w:pict>
      </w:r>
    </w:p>
    <w:p w:rsidR="00C90B7A" w:rsidRDefault="00C90B7A" w:rsidP="00C90B7A">
      <w:pPr>
        <w:pStyle w:val="berschrift1"/>
      </w:pPr>
      <w:r>
        <w:t>3.3.49.212 Definition 3.3.432 – Funktionale Kantenverzögerung</w:t>
      </w:r>
    </w:p>
    <w:p w:rsidR="00C90B7A" w:rsidRDefault="00C90B7A" w:rsidP="00C90B7A">
      <w:pPr>
        <w:pStyle w:val="berschrift3"/>
      </w:pPr>
      <w:r>
        <w:t>Definition 3.3.432</w:t>
      </w:r>
    </w:p>
    <w:p w:rsidR="00C90B7A" w:rsidRDefault="00C90B7A" w:rsidP="00C90B7A">
      <w:pPr>
        <w:pStyle w:val="StandardWeb"/>
      </w:pPr>
      <w:r>
        <w:t xml:space="preserve">Die </w:t>
      </w:r>
      <w:r>
        <w:rPr>
          <w:rStyle w:val="Fett"/>
        </w:rPr>
        <w:t>funktionale Kantenverzögerung</w:t>
      </w:r>
      <w:r>
        <w:t xml:space="preserve"> ist eine Abbildung</w:t>
      </w:r>
    </w:p>
    <w:p w:rsidR="00C90B7A" w:rsidRDefault="00C90B7A" w:rsidP="00C90B7A">
      <w:pPr>
        <w:pStyle w:val="StandardWeb"/>
      </w:pPr>
      <w:r>
        <w:t>[</w:t>
      </w:r>
      <w:r>
        <w:br/>
        <w:t>\boxed{</w:t>
      </w:r>
      <w:r>
        <w:br/>
        <w:t>\tau_{\mathcal I}</w:t>
      </w:r>
      <w:r>
        <w:br/>
        <w:t>:</w:t>
      </w:r>
      <w:r>
        <w:br/>
        <w:t>E_{\mathcal I}</w:t>
      </w:r>
      <w:r>
        <w:br/>
        <w:t>\rightarrow</w:t>
      </w:r>
      <w:r>
        <w:br/>
        <w:t>\mathcal D_t,</w:t>
      </w:r>
      <w:r>
        <w:br/>
        <w:t>}</w:t>
      </w:r>
      <w:r>
        <w:br/>
      </w:r>
      <w:r>
        <w:lastRenderedPageBreak/>
        <w:t>\tag{3.12767}</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\boxed{\tau_{\mathcal I}:E_{\mathcal I}\rightarrow\mathcal D_t,}</w:t>
      </w:r>
    </w:p>
    <w:p w:rsidR="00C90B7A" w:rsidRDefault="00C90B7A" w:rsidP="00C90B7A">
      <w:pPr>
        <w:pStyle w:val="StandardWeb"/>
      </w:pPr>
      <w:r>
        <w:t>die jeder gerichteten Einflusskante einen modellabhängigen Verzögerungswert zuordnet.</w:t>
      </w:r>
    </w:p>
    <w:p w:rsidR="00C90B7A" w:rsidRDefault="00E50336" w:rsidP="00C90B7A">
      <w:r>
        <w:pict>
          <v:rect id="_x0000_i4743" style="width:0;height:1.5pt" o:hralign="center" o:hrstd="t" o:hr="t" fillcolor="#a0a0a0" stroked="f"/>
        </w:pict>
      </w:r>
    </w:p>
    <w:p w:rsidR="00C90B7A" w:rsidRDefault="00C90B7A" w:rsidP="00C90B7A">
      <w:pPr>
        <w:pStyle w:val="berschrift1"/>
      </w:pPr>
      <w:r>
        <w:t>3.3.49.213 Verzögerung entlang eines Pfades</w:t>
      </w:r>
    </w:p>
    <w:p w:rsidR="00C90B7A" w:rsidRDefault="00C90B7A" w:rsidP="00C90B7A">
      <w:pPr>
        <w:pStyle w:val="StandardWeb"/>
      </w:pPr>
      <w:r>
        <w:t>Für einen Pfad</w:t>
      </w:r>
    </w:p>
    <w:p w:rsidR="00C90B7A" w:rsidRDefault="00C90B7A" w:rsidP="00C90B7A">
      <w:pPr>
        <w:pStyle w:val="berschrift1"/>
      </w:pPr>
      <w:r>
        <w:t>[</w:t>
      </w:r>
      <w:r>
        <w:br/>
        <w:t>p</w:t>
      </w:r>
    </w:p>
    <w:p w:rsidR="00C90B7A" w:rsidRDefault="00C90B7A" w:rsidP="00C90B7A">
      <w:pPr>
        <w:pStyle w:val="StandardWeb"/>
      </w:pPr>
      <w:r>
        <w:t>(e_1,e_2,\ldots,e_n)</w:t>
      </w:r>
      <w:r>
        <w:br/>
        <w:t>\tag{3.12768}</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p=(e_1,e_2,\ldots,e_n)</w:t>
      </w:r>
    </w:p>
    <w:p w:rsidR="00C90B7A" w:rsidRDefault="00C90B7A" w:rsidP="00C90B7A">
      <w:pPr>
        <w:pStyle w:val="StandardWeb"/>
      </w:pPr>
      <w:r>
        <w:t>kann bei additiver Verzögerung gelten</w:t>
      </w:r>
    </w:p>
    <w:p w:rsidR="00C90B7A" w:rsidRDefault="00C90B7A" w:rsidP="00C90B7A">
      <w:pPr>
        <w:pStyle w:val="berschrift1"/>
      </w:pPr>
      <w:r>
        <w:t>[</w:t>
      </w:r>
      <w:r>
        <w:br/>
        <w:t>\tau(p)</w:t>
      </w:r>
    </w:p>
    <w:p w:rsidR="00C90B7A" w:rsidRDefault="00C90B7A" w:rsidP="00C90B7A">
      <w:pPr>
        <w:pStyle w:val="StandardWeb"/>
      </w:pPr>
      <w:r>
        <w:t>\sum_{k=1}^{n}</w:t>
      </w:r>
      <w:r>
        <w:br/>
        <w:t>\tau_{\mathcal I}(e_k).</w:t>
      </w:r>
      <w:r>
        <w:br/>
        <w:t>\tag{3.12769}</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\tau(p)=\sum_{k=1}^{n}\tau_{\mathcal I}(e_k)</w:t>
      </w:r>
    </w:p>
    <w:p w:rsidR="00C90B7A" w:rsidRDefault="00E50336" w:rsidP="00C90B7A">
      <w:r>
        <w:pict>
          <v:rect id="_x0000_i4744" style="width:0;height:1.5pt" o:hralign="center" o:hrstd="t" o:hr="t" fillcolor="#a0a0a0" stroked="f"/>
        </w:pict>
      </w:r>
    </w:p>
    <w:p w:rsidR="00C90B7A" w:rsidRDefault="00C90B7A" w:rsidP="00C90B7A">
      <w:pPr>
        <w:pStyle w:val="berschrift1"/>
      </w:pPr>
      <w:r>
        <w:t>3.3.49.214 Definition 3.3.433 – Funktionale Pfadverzögerung</w:t>
      </w:r>
    </w:p>
    <w:p w:rsidR="00C90B7A" w:rsidRDefault="00C90B7A" w:rsidP="00C90B7A">
      <w:pPr>
        <w:pStyle w:val="berschrift3"/>
      </w:pPr>
      <w:r>
        <w:t>Definition 3.3.433</w:t>
      </w:r>
    </w:p>
    <w:p w:rsidR="00C90B7A" w:rsidRDefault="00C90B7A" w:rsidP="00C90B7A">
      <w:pPr>
        <w:pStyle w:val="StandardWeb"/>
      </w:pPr>
      <w:r>
        <w:t>Ist die Verzögerungsaggregation additiv, definiere ich</w:t>
      </w:r>
    </w:p>
    <w:p w:rsidR="00C90B7A" w:rsidRDefault="00C90B7A" w:rsidP="00C90B7A">
      <w:pPr>
        <w:pStyle w:val="StandardWeb"/>
      </w:pPr>
      <w:r>
        <w:lastRenderedPageBreak/>
        <w:t>[</w:t>
      </w:r>
      <w:r>
        <w:br/>
        <w:t>\boxed{</w:t>
      </w:r>
      <w:r>
        <w:br/>
        <w:t>\tau(p)</w:t>
      </w:r>
      <w:r>
        <w:br/>
        <w:t>:=</w:t>
      </w:r>
      <w:r>
        <w:br/>
        <w:t>\sum_{e\in p}</w:t>
      </w:r>
      <w:r>
        <w:br/>
        <w:t>\tau_{\mathcal I}(e).</w:t>
      </w:r>
      <w:r>
        <w:br/>
        <w:t>}</w:t>
      </w:r>
      <w:r>
        <w:br/>
        <w:t>\tag{3.12770}</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\boxed{\tau(p):=\sum_{e\in p}\tau_{\mathcal I}(e).}</w:t>
      </w:r>
    </w:p>
    <w:p w:rsidR="00C90B7A" w:rsidRDefault="00E50336" w:rsidP="00C90B7A">
      <w:r>
        <w:pict>
          <v:rect id="_x0000_i4745" style="width:0;height:1.5pt" o:hralign="center" o:hrstd="t" o:hr="t" fillcolor="#a0a0a0" stroked="f"/>
        </w:pict>
      </w:r>
    </w:p>
    <w:p w:rsidR="00C90B7A" w:rsidRDefault="00C90B7A" w:rsidP="00C90B7A">
      <w:pPr>
        <w:pStyle w:val="berschrift1"/>
      </w:pPr>
      <w:r>
        <w:t>3.3.49.215 Unterschiedliche Pfadverzögerungen</w:t>
      </w:r>
    </w:p>
    <w:p w:rsidR="00C90B7A" w:rsidRDefault="00C90B7A" w:rsidP="00C90B7A">
      <w:pPr>
        <w:pStyle w:val="StandardWeb"/>
      </w:pPr>
      <w:r>
        <w:t>Für zwei Pfade (p_1,p_2) zwischen denselben Objekten kann</w:t>
      </w:r>
    </w:p>
    <w:p w:rsidR="00C90B7A" w:rsidRDefault="00C90B7A" w:rsidP="00C90B7A">
      <w:pPr>
        <w:pStyle w:val="StandardWeb"/>
      </w:pPr>
      <w:r>
        <w:t>[</w:t>
      </w:r>
      <w:r>
        <w:br/>
        <w:t>\tau(p_1)</w:t>
      </w:r>
      <w:r>
        <w:br/>
        <w:t>\neq</w:t>
      </w:r>
      <w:r>
        <w:br/>
        <w:t>\tau(p_2)</w:t>
      </w:r>
      <w:r>
        <w:br/>
        <w:t>\tag{3.12771}</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\tau(p_1)\neq\tau(p_2)</w:t>
      </w:r>
    </w:p>
    <w:p w:rsidR="00C90B7A" w:rsidRDefault="00C90B7A" w:rsidP="00C90B7A">
      <w:pPr>
        <w:pStyle w:val="StandardWeb"/>
      </w:pPr>
      <w:r>
        <w:t>gelten.</w:t>
      </w:r>
    </w:p>
    <w:p w:rsidR="00C90B7A" w:rsidRDefault="00E50336" w:rsidP="00C90B7A">
      <w:r>
        <w:pict>
          <v:rect id="_x0000_i4746" style="width:0;height:1.5pt" o:hralign="center" o:hrstd="t" o:hr="t" fillcolor="#a0a0a0" stroked="f"/>
        </w:pict>
      </w:r>
    </w:p>
    <w:p w:rsidR="00C90B7A" w:rsidRDefault="00C90B7A" w:rsidP="00C90B7A">
      <w:pPr>
        <w:pStyle w:val="berschrift1"/>
      </w:pPr>
      <w:r>
        <w:t>3.3.49.216 Verzögerte Überlagerung</w:t>
      </w:r>
    </w:p>
    <w:p w:rsidR="00C90B7A" w:rsidRDefault="00C90B7A" w:rsidP="00C90B7A">
      <w:pPr>
        <w:pStyle w:val="StandardWeb"/>
      </w:pPr>
      <w:r>
        <w:t>Dadurch können Einflussbeiträge zu unterschiedlichen Zeitpunkten am Ziel eintreffen:</w:t>
      </w:r>
    </w:p>
    <w:p w:rsidR="00C90B7A" w:rsidRDefault="00C90B7A" w:rsidP="00C90B7A">
      <w:pPr>
        <w:pStyle w:val="StandardWeb"/>
      </w:pPr>
      <w:r>
        <w:t>[</w:t>
      </w:r>
      <w:r>
        <w:br/>
        <w:t>\eta_{p_1}(t+\tau(p_1))</w:t>
      </w:r>
      <w:r>
        <w:br/>
        <w:t>\tag{3.12772}</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\eta_{p_1}(t+\tau(p_1))</w:t>
      </w:r>
    </w:p>
    <w:p w:rsidR="00C90B7A" w:rsidRDefault="00C90B7A" w:rsidP="00C90B7A">
      <w:pPr>
        <w:pStyle w:val="StandardWeb"/>
      </w:pPr>
      <w:r>
        <w:t>und</w:t>
      </w:r>
    </w:p>
    <w:p w:rsidR="00C90B7A" w:rsidRDefault="00C90B7A" w:rsidP="00C90B7A">
      <w:pPr>
        <w:pStyle w:val="StandardWeb"/>
      </w:pPr>
      <w:r>
        <w:t>[</w:t>
      </w:r>
      <w:r>
        <w:br/>
        <w:t>\eta_{p_2}(t+\tau(p_2)).</w:t>
      </w:r>
      <w:r>
        <w:br/>
      </w:r>
      <w:r>
        <w:lastRenderedPageBreak/>
        <w:t>\tag{3.12773}</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\eta_{p_2}(t+\tau(p_2))</w:t>
      </w:r>
    </w:p>
    <w:p w:rsidR="00C90B7A" w:rsidRDefault="00E50336" w:rsidP="00C90B7A">
      <w:r>
        <w:pict>
          <v:rect id="_x0000_i4747" style="width:0;height:1.5pt" o:hralign="center" o:hrstd="t" o:hr="t" fillcolor="#a0a0a0" stroked="f"/>
        </w:pict>
      </w:r>
    </w:p>
    <w:p w:rsidR="00C90B7A" w:rsidRDefault="00C90B7A" w:rsidP="00C90B7A">
      <w:pPr>
        <w:pStyle w:val="berschrift1"/>
      </w:pPr>
      <w:r>
        <w:t>3.3.49.217 Zeitabhängiger Nettoeinfluss</w:t>
      </w:r>
    </w:p>
    <w:p w:rsidR="00C90B7A" w:rsidRDefault="00C90B7A" w:rsidP="00C90B7A">
      <w:pPr>
        <w:pStyle w:val="StandardWeb"/>
      </w:pPr>
      <w:r>
        <w:t>Ich kann daher definieren</w:t>
      </w:r>
    </w:p>
    <w:p w:rsidR="00C90B7A" w:rsidRDefault="00C90B7A" w:rsidP="00C90B7A">
      <w:pPr>
        <w:pStyle w:val="berschrift1"/>
      </w:pPr>
      <w:r>
        <w:t>[</w:t>
      </w:r>
      <w:r>
        <w:br/>
        <w:t>\eta_{XY}^{\mathrm{net}}(t)</w:t>
      </w:r>
    </w:p>
    <w:p w:rsidR="00C90B7A" w:rsidRDefault="00C90B7A" w:rsidP="00C90B7A">
      <w:pPr>
        <w:pStyle w:val="StandardWeb"/>
      </w:pPr>
      <w:r>
        <w:t>\sum_{p\in\mathcal P_{XY}}</w:t>
      </w:r>
      <w:r>
        <w:br/>
        <w:t>\eta_p</w:t>
      </w:r>
      <w:r>
        <w:br/>
        <w:t>\bigl(</w:t>
      </w:r>
      <w:r>
        <w:br/>
        <w:t>t-\tau(p)</w:t>
      </w:r>
      <w:r>
        <w:br/>
        <w:t>\bigr).</w:t>
      </w:r>
      <w:r>
        <w:br/>
        <w:t>\tag{3.12774}</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\eta_{XY}^{\mathrm{net}}(t)=\sum_{p\in\mathcal P_{XY}}\eta_p\bigl(t-\tau(p)\bigr)</w:t>
      </w:r>
    </w:p>
    <w:p w:rsidR="00C90B7A" w:rsidRDefault="00E50336" w:rsidP="00C90B7A">
      <w:r>
        <w:pict>
          <v:rect id="_x0000_i4748" style="width:0;height:1.5pt" o:hralign="center" o:hrstd="t" o:hr="t" fillcolor="#a0a0a0" stroked="f"/>
        </w:pict>
      </w:r>
    </w:p>
    <w:p w:rsidR="00C90B7A" w:rsidRDefault="00C90B7A" w:rsidP="00C90B7A">
      <w:pPr>
        <w:pStyle w:val="berschrift1"/>
      </w:pPr>
      <w:r>
        <w:t>3.3.49.218 Definition 3.3.434 – Zeitabhängiger funktionaler Nettoeinfluss</w:t>
      </w:r>
    </w:p>
    <w:p w:rsidR="00C90B7A" w:rsidRDefault="00C90B7A" w:rsidP="00C90B7A">
      <w:pPr>
        <w:pStyle w:val="berschrift3"/>
      </w:pPr>
      <w:r>
        <w:t>Definition 3.3.434</w:t>
      </w:r>
    </w:p>
    <w:p w:rsidR="00C90B7A" w:rsidRDefault="00C90B7A" w:rsidP="00C90B7A">
      <w:pPr>
        <w:pStyle w:val="StandardWeb"/>
      </w:pPr>
      <w:r>
        <w:t xml:space="preserve">Der </w:t>
      </w:r>
      <w:r>
        <w:rPr>
          <w:rStyle w:val="Fett"/>
        </w:rPr>
        <w:t>zeitabhängige funktionale Nettoeinfluss</w:t>
      </w:r>
      <w:r>
        <w:t xml:space="preserve"> ist</w:t>
      </w:r>
    </w:p>
    <w:p w:rsidR="00C90B7A" w:rsidRDefault="00C90B7A" w:rsidP="00C90B7A">
      <w:pPr>
        <w:pStyle w:val="StandardWeb"/>
      </w:pPr>
      <w:r>
        <w:t>[</w:t>
      </w:r>
      <w:r>
        <w:br/>
        <w:t>\boxed{</w:t>
      </w:r>
      <w:r>
        <w:br/>
        <w:t>\eta_{XY}^{\mathrm{net}}(t)</w:t>
      </w:r>
      <w:r>
        <w:br/>
        <w:t>:=</w:t>
      </w:r>
      <w:r>
        <w:br/>
        <w:t>\sum_{p\in\mathcal P_{XY}}</w:t>
      </w:r>
      <w:r>
        <w:br/>
        <w:t>\eta_p</w:t>
      </w:r>
      <w:r>
        <w:br/>
        <w:t>\bigl(</w:t>
      </w:r>
      <w:r>
        <w:br/>
        <w:t>t-\tau(p)</w:t>
      </w:r>
      <w:r>
        <w:br/>
        <w:t>\bigr),</w:t>
      </w:r>
      <w:r>
        <w:br/>
        <w:t>}</w:t>
      </w:r>
      <w:r>
        <w:br/>
        <w:t>\tag{3.12775}</w:t>
      </w:r>
      <w:r>
        <w:br/>
        <w:t>]</w:t>
      </w:r>
    </w:p>
    <w:p w:rsidR="00C90B7A" w:rsidRDefault="00C90B7A" w:rsidP="00C90B7A">
      <w:pPr>
        <w:pStyle w:val="StandardWeb"/>
      </w:pPr>
      <w:r>
        <w:rPr>
          <w:rStyle w:val="Fett"/>
        </w:rPr>
        <w:lastRenderedPageBreak/>
        <w:t>Word-LaTeX</w:t>
      </w:r>
    </w:p>
    <w:p w:rsidR="00C90B7A" w:rsidRDefault="00C90B7A" w:rsidP="00C90B7A">
      <w:pPr>
        <w:pStyle w:val="HTMLVorformatiert"/>
        <w:rPr>
          <w:rStyle w:val="HTMLCode"/>
        </w:rPr>
      </w:pPr>
      <w:r>
        <w:rPr>
          <w:rStyle w:val="HTMLCode"/>
        </w:rPr>
        <w:t>\boxed{\eta_{XY}^{\mathrm{net}}(t):=\sum_{p\in\mathcal P_{XY}}\eta_p\bigl(t-\tau(p)\bigr),}</w:t>
      </w:r>
    </w:p>
    <w:p w:rsidR="00C90B7A" w:rsidRDefault="00C90B7A" w:rsidP="00C90B7A">
      <w:pPr>
        <w:pStyle w:val="StandardWeb"/>
      </w:pPr>
      <w:r>
        <w:t>sofern eine additive zeitabhängige Überlagerung in der Modellklasse definiert ist.</w:t>
      </w:r>
    </w:p>
    <w:p w:rsidR="00C90B7A" w:rsidRDefault="00E50336" w:rsidP="00C90B7A">
      <w:r>
        <w:pict>
          <v:rect id="_x0000_i4749" style="width:0;height:1.5pt" o:hralign="center" o:hrstd="t" o:hr="t" fillcolor="#a0a0a0" stroked="f"/>
        </w:pict>
      </w:r>
    </w:p>
    <w:p w:rsidR="00C90B7A" w:rsidRDefault="00C90B7A" w:rsidP="00C90B7A">
      <w:pPr>
        <w:pStyle w:val="berschrift1"/>
      </w:pPr>
      <w:r>
        <w:t>3.3.49.219 Zeitverzögerung ist kein Primäraxiom</w:t>
      </w:r>
    </w:p>
    <w:p w:rsidR="00C90B7A" w:rsidRDefault="00C90B7A" w:rsidP="00C90B7A">
      <w:pPr>
        <w:pStyle w:val="StandardWeb"/>
      </w:pPr>
      <w:r>
        <w:t>Ein allgemeines FRZK kann ohne explizite Verzögerungsstruktur formuliert werden.</w:t>
      </w:r>
    </w:p>
    <w:p w:rsidR="00C90B7A" w:rsidRDefault="00C90B7A" w:rsidP="00C90B7A">
      <w:pPr>
        <w:pStyle w:val="StandardWeb"/>
      </w:pPr>
      <w:r>
        <w:t>Ein möglicher Kandidat wäre</w:t>
      </w:r>
    </w:p>
    <w:p w:rsidR="00C90B7A" w:rsidRDefault="00C90B7A" w:rsidP="00C90B7A">
      <w:pPr>
        <w:pStyle w:val="StandardWeb"/>
      </w:pPr>
      <w:r>
        <w:t>[</w:t>
      </w:r>
      <w:r>
        <w:br/>
        <w:t>A_{\mathrm{delay}}</w:t>
      </w:r>
      <w:r>
        <w:br/>
        <w:t>:</w:t>
      </w:r>
      <w:r>
        <w:br/>
        <w:t>\forall e\in E_{\mathcal I}</w:t>
      </w:r>
      <w:r>
        <w:br/>
        <w:t>\quad</w:t>
      </w:r>
      <w:r>
        <w:br/>
        <w:t>\tau_{\mathcal I}(e)&gt;0.</w:t>
      </w:r>
      <w:r>
        <w:br/>
        <w:t>\tag{3.12776}</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A_{\mathrm{delay}}:\forall e\in E_{\mathcal I}\quad\tau_{\mathcal I}(e)&gt;0</w:t>
      </w:r>
    </w:p>
    <w:p w:rsidR="00C90B7A" w:rsidRDefault="00E50336" w:rsidP="00C90B7A">
      <w:r>
        <w:pict>
          <v:rect id="_x0000_i4750" style="width:0;height:1.5pt" o:hralign="center" o:hrstd="t" o:hr="t" fillcolor="#a0a0a0" stroked="f"/>
        </w:pict>
      </w:r>
    </w:p>
    <w:p w:rsidR="00C90B7A" w:rsidRDefault="00C90B7A" w:rsidP="00C90B7A">
      <w:pPr>
        <w:pStyle w:val="berschrift1"/>
      </w:pPr>
      <w:r>
        <w:t>3.3.49.220 Gegenmodell zur universellen positiven Verzögerung</w:t>
      </w:r>
    </w:p>
    <w:p w:rsidR="00C90B7A" w:rsidRDefault="00C90B7A" w:rsidP="00C90B7A">
      <w:pPr>
        <w:pStyle w:val="StandardWeb"/>
      </w:pPr>
      <w:r>
        <w:t>Simultane Kopplungen erlauben</w:t>
      </w:r>
    </w:p>
    <w:p w:rsidR="00C90B7A" w:rsidRDefault="00C90B7A" w:rsidP="00C90B7A">
      <w:pPr>
        <w:pStyle w:val="berschrift1"/>
      </w:pPr>
      <w:r>
        <w:t>[</w:t>
      </w:r>
      <w:r>
        <w:br/>
        <w:t>\tau_{\mathcal I}(e)</w:t>
      </w:r>
    </w:p>
    <w:p w:rsidR="00C90B7A" w:rsidRDefault="00C90B7A" w:rsidP="00563F88">
      <w:pPr>
        <w:numPr>
          <w:ilvl w:val="0"/>
          <w:numId w:val="574"/>
        </w:numPr>
        <w:spacing w:before="100" w:beforeAutospacing="1" w:after="100" w:afterAutospacing="1"/>
      </w:pPr>
    </w:p>
    <w:p w:rsidR="00C90B7A" w:rsidRDefault="00C90B7A" w:rsidP="00C90B7A">
      <w:pPr>
        <w:pStyle w:val="StandardWeb"/>
      </w:pPr>
      <w:r>
        <w:t>\tag{3.12777}</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\tau_{\mathcal I}(e)=0</w:t>
      </w:r>
    </w:p>
    <w:p w:rsidR="00C90B7A" w:rsidRDefault="00E50336" w:rsidP="00C90B7A">
      <w:r>
        <w:pict>
          <v:rect id="_x0000_i4751" style="width:0;height:1.5pt" o:hralign="center" o:hrstd="t" o:hr="t" fillcolor="#a0a0a0" stroked="f"/>
        </w:pict>
      </w:r>
    </w:p>
    <w:p w:rsidR="00C90B7A" w:rsidRDefault="00C90B7A" w:rsidP="00C90B7A">
      <w:pPr>
        <w:pStyle w:val="berschrift1"/>
      </w:pPr>
      <w:r>
        <w:lastRenderedPageBreak/>
        <w:t>3.3.49.221 Axiomentscheidung zur universellen Verzögerung</w:t>
      </w:r>
    </w:p>
    <w:p w:rsidR="00C90B7A" w:rsidRDefault="00C90B7A" w:rsidP="00C90B7A">
      <w:pPr>
        <w:pStyle w:val="StandardWeb"/>
      </w:pPr>
      <w:r>
        <w:t>Daher gilt</w:t>
      </w:r>
    </w:p>
    <w:p w:rsidR="00C90B7A" w:rsidRDefault="00C90B7A" w:rsidP="00C90B7A">
      <w:pPr>
        <w:pStyle w:val="berschrift1"/>
      </w:pPr>
      <w:r>
        <w:t>[</w:t>
      </w:r>
      <w:r>
        <w:br/>
        <w:t>\boxed{</w:t>
      </w:r>
      <w:r>
        <w:br/>
        <w:t>U_{\mathrm{Ax}}</w:t>
      </w:r>
      <w:r>
        <w:br/>
        <w:t>(A_{\mathrm{delay}})</w:t>
      </w:r>
    </w:p>
    <w:p w:rsidR="00C90B7A" w:rsidRDefault="00C90B7A" w:rsidP="00563F88">
      <w:pPr>
        <w:numPr>
          <w:ilvl w:val="0"/>
          <w:numId w:val="575"/>
        </w:numPr>
        <w:spacing w:before="100" w:beforeAutospacing="1" w:after="100" w:afterAutospacing="1"/>
      </w:pPr>
    </w:p>
    <w:p w:rsidR="00C90B7A" w:rsidRDefault="00C90B7A" w:rsidP="00C90B7A">
      <w:pPr>
        <w:pStyle w:val="StandardWeb"/>
      </w:pPr>
      <w:r>
        <w:t>}</w:t>
      </w:r>
      <w:r>
        <w:br/>
        <w:t>\tag{3.12778}</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\boxed{U_{\mathrm{Ax}}(A_{\mathrm{delay}})=0.}</w:t>
      </w:r>
    </w:p>
    <w:p w:rsidR="00C90B7A" w:rsidRDefault="00E50336" w:rsidP="00C90B7A">
      <w:r>
        <w:pict>
          <v:rect id="_x0000_i4752" style="width:0;height:1.5pt" o:hralign="center" o:hrstd="t" o:hr="t" fillcolor="#a0a0a0" stroked="f"/>
        </w:pict>
      </w:r>
    </w:p>
    <w:p w:rsidR="00C90B7A" w:rsidRDefault="00C90B7A" w:rsidP="00C90B7A">
      <w:pPr>
        <w:pStyle w:val="berschrift1"/>
      </w:pPr>
      <w:r>
        <w:t>3.3.49.222 Satz 3.3.170 – Positive Zeitverzögerung jeder Einflussrelation ist kein Primäraxiom</w:t>
      </w:r>
    </w:p>
    <w:p w:rsidR="00C90B7A" w:rsidRDefault="00C90B7A" w:rsidP="00C90B7A">
      <w:pPr>
        <w:pStyle w:val="berschrift3"/>
      </w:pPr>
      <w:r>
        <w:t>Satz 3.3.170</w:t>
      </w:r>
    </w:p>
    <w:p w:rsidR="00C90B7A" w:rsidRDefault="00C90B7A" w:rsidP="00C90B7A">
      <w:pPr>
        <w:pStyle w:val="StandardWeb"/>
      </w:pPr>
      <w:r>
        <w:t>Die Forderung, jede funktionale Einflussrelation müsse eine strikt positive Verzögerung besitzen, ist keine universell notwendige Voraussetzung des allgemeinen FRZK.</w:t>
      </w:r>
    </w:p>
    <w:p w:rsidR="00C90B7A" w:rsidRDefault="00C90B7A" w:rsidP="00C90B7A">
      <w:pPr>
        <w:pStyle w:val="StandardWeb"/>
      </w:pPr>
      <w:r>
        <w:t>Es gilt</w:t>
      </w:r>
    </w:p>
    <w:p w:rsidR="00C90B7A" w:rsidRDefault="00C90B7A" w:rsidP="00C90B7A">
      <w:pPr>
        <w:pStyle w:val="berschrift1"/>
      </w:pPr>
      <w:r>
        <w:t>[</w:t>
      </w:r>
      <w:r>
        <w:br/>
        <w:t>\boxed{</w:t>
      </w:r>
      <w:r>
        <w:br/>
        <w:t>U_{\mathrm{Ax}}</w:t>
      </w:r>
      <w:r>
        <w:br/>
        <w:t>(A_{\mathrm{delay}})</w:t>
      </w:r>
    </w:p>
    <w:p w:rsidR="00C90B7A" w:rsidRDefault="00C90B7A" w:rsidP="00563F88">
      <w:pPr>
        <w:numPr>
          <w:ilvl w:val="0"/>
          <w:numId w:val="576"/>
        </w:numPr>
        <w:spacing w:before="100" w:beforeAutospacing="1" w:after="100" w:afterAutospacing="1"/>
      </w:pPr>
    </w:p>
    <w:p w:rsidR="00C90B7A" w:rsidRDefault="00C90B7A" w:rsidP="00C90B7A">
      <w:pPr>
        <w:pStyle w:val="StandardWeb"/>
      </w:pPr>
      <w:r>
        <w:t>}</w:t>
      </w:r>
      <w:r>
        <w:br/>
        <w:t>\tag{3.12779}</w:t>
      </w:r>
      <w:r>
        <w:br/>
        <w:t>]</w:t>
      </w:r>
    </w:p>
    <w:p w:rsidR="00C90B7A" w:rsidRDefault="00C90B7A" w:rsidP="00C90B7A">
      <w:pPr>
        <w:pStyle w:val="StandardWeb"/>
      </w:pPr>
      <w:r>
        <w:rPr>
          <w:rStyle w:val="Fett"/>
        </w:rPr>
        <w:lastRenderedPageBreak/>
        <w:t>Word-LaTeX</w:t>
      </w:r>
    </w:p>
    <w:p w:rsidR="00C90B7A" w:rsidRDefault="00C90B7A" w:rsidP="00C90B7A">
      <w:pPr>
        <w:pStyle w:val="HTMLVorformatiert"/>
        <w:rPr>
          <w:rStyle w:val="HTMLCode"/>
        </w:rPr>
      </w:pPr>
      <w:r>
        <w:rPr>
          <w:rStyle w:val="HTMLCode"/>
        </w:rPr>
        <w:t>\boxed{U_{\mathrm{Ax}}(A_{\mathrm{delay}})=0.}</w:t>
      </w:r>
    </w:p>
    <w:p w:rsidR="00C90B7A" w:rsidRDefault="00E50336" w:rsidP="00C90B7A">
      <w:r>
        <w:pict>
          <v:rect id="_x0000_i4753" style="width:0;height:1.5pt" o:hralign="center" o:hrstd="t" o:hr="t" fillcolor="#a0a0a0" stroked="f"/>
        </w:pict>
      </w:r>
    </w:p>
    <w:p w:rsidR="00C90B7A" w:rsidRDefault="00C90B7A" w:rsidP="00C90B7A">
      <w:pPr>
        <w:pStyle w:val="berschrift1"/>
      </w:pPr>
      <w:r>
        <w:t>3.3.49.223 Mehrstufige Interventionen</w:t>
      </w:r>
    </w:p>
    <w:p w:rsidR="00C90B7A" w:rsidRDefault="00C90B7A" w:rsidP="00C90B7A">
      <w:pPr>
        <w:pStyle w:val="StandardWeb"/>
      </w:pPr>
      <w:r>
        <w:t>Bislang habe ich einzelne Interventionen betrachtet. In komplexeren Modellklassen können mehrere Interventionen nacheinander oder gleichzeitig ausgeführt werden.</w:t>
      </w:r>
    </w:p>
    <w:p w:rsidR="00C90B7A" w:rsidRDefault="00C90B7A" w:rsidP="00C90B7A">
      <w:pPr>
        <w:pStyle w:val="StandardWeb"/>
      </w:pPr>
      <w:r>
        <w:t>Seien</w:t>
      </w:r>
    </w:p>
    <w:p w:rsidR="00C90B7A" w:rsidRDefault="00C90B7A" w:rsidP="00C90B7A">
      <w:pPr>
        <w:pStyle w:val="StandardWeb"/>
      </w:pPr>
      <w:r>
        <w:t>[</w:t>
      </w:r>
      <w:r>
        <w:br/>
        <w:t>\operatorname{do}_F(X=x)</w:t>
      </w:r>
      <w:r>
        <w:br/>
        <w:t>\tag{3.12780}</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\operatorname{do}_F(X=x)</w:t>
      </w:r>
    </w:p>
    <w:p w:rsidR="00C90B7A" w:rsidRDefault="00C90B7A" w:rsidP="00C90B7A">
      <w:pPr>
        <w:pStyle w:val="StandardWeb"/>
      </w:pPr>
      <w:r>
        <w:t>und</w:t>
      </w:r>
    </w:p>
    <w:p w:rsidR="00C90B7A" w:rsidRDefault="00C90B7A" w:rsidP="00C90B7A">
      <w:pPr>
        <w:pStyle w:val="StandardWeb"/>
      </w:pPr>
      <w:r>
        <w:t>[</w:t>
      </w:r>
      <w:r>
        <w:br/>
        <w:t>\operatorname{do}_F(Y=y)</w:t>
      </w:r>
      <w:r>
        <w:br/>
        <w:t>\tag{3.12781}</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\operatorname{do}_F(Y=y)</w:t>
      </w:r>
    </w:p>
    <w:p w:rsidR="00C90B7A" w:rsidRDefault="00C90B7A" w:rsidP="00C90B7A">
      <w:pPr>
        <w:pStyle w:val="StandardWeb"/>
      </w:pPr>
      <w:r>
        <w:t>gegeben.</w:t>
      </w:r>
    </w:p>
    <w:p w:rsidR="00C90B7A" w:rsidRDefault="00E50336" w:rsidP="00C90B7A">
      <w:r>
        <w:pict>
          <v:rect id="_x0000_i4754" style="width:0;height:1.5pt" o:hralign="center" o:hrstd="t" o:hr="t" fillcolor="#a0a0a0" stroked="f"/>
        </w:pict>
      </w:r>
    </w:p>
    <w:p w:rsidR="00C90B7A" w:rsidRDefault="00C90B7A" w:rsidP="00C90B7A">
      <w:pPr>
        <w:pStyle w:val="berschrift1"/>
      </w:pPr>
      <w:r>
        <w:t>3.3.49.224 Gemeinsame Intervention</w:t>
      </w:r>
    </w:p>
    <w:p w:rsidR="00C90B7A" w:rsidRDefault="00C90B7A" w:rsidP="00C90B7A">
      <w:pPr>
        <w:pStyle w:val="StandardWeb"/>
      </w:pPr>
      <w:r>
        <w:t>Eine gemeinsame Intervention schreibe ich als</w:t>
      </w:r>
    </w:p>
    <w:p w:rsidR="00C90B7A" w:rsidRDefault="00C90B7A" w:rsidP="00C90B7A">
      <w:pPr>
        <w:pStyle w:val="StandardWeb"/>
      </w:pPr>
      <w:r>
        <w:t>[</w:t>
      </w:r>
      <w:r>
        <w:br/>
        <w:t>\operatorname{do}_F</w:t>
      </w:r>
      <w:r>
        <w:br/>
        <w:t>(X=x,Y=y).</w:t>
      </w:r>
      <w:r>
        <w:br/>
        <w:t>\tag{3.12782}</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\operatorname{do}_F(X=x,Y=y)</w:t>
      </w:r>
    </w:p>
    <w:p w:rsidR="00C90B7A" w:rsidRDefault="00E50336" w:rsidP="00C90B7A">
      <w:r>
        <w:pict>
          <v:rect id="_x0000_i4755" style="width:0;height:1.5pt" o:hralign="center" o:hrstd="t" o:hr="t" fillcolor="#a0a0a0" stroked="f"/>
        </w:pict>
      </w:r>
    </w:p>
    <w:p w:rsidR="00C90B7A" w:rsidRDefault="00C90B7A" w:rsidP="00C90B7A">
      <w:pPr>
        <w:pStyle w:val="berschrift1"/>
      </w:pPr>
      <w:r>
        <w:lastRenderedPageBreak/>
        <w:t>3.3.49.225 Definition 3.3.435 – Mehrdimensionale funktionale Intervention</w:t>
      </w:r>
    </w:p>
    <w:p w:rsidR="00C90B7A" w:rsidRDefault="00C90B7A" w:rsidP="00C90B7A">
      <w:pPr>
        <w:pStyle w:val="berschrift3"/>
      </w:pPr>
      <w:r>
        <w:t>Definition 3.3.435</w:t>
      </w:r>
    </w:p>
    <w:p w:rsidR="00C90B7A" w:rsidRDefault="00C90B7A" w:rsidP="00C90B7A">
      <w:pPr>
        <w:pStyle w:val="StandardWeb"/>
      </w:pPr>
      <w:r>
        <w:t xml:space="preserve">Eine </w:t>
      </w:r>
      <w:r>
        <w:rPr>
          <w:rStyle w:val="Fett"/>
        </w:rPr>
        <w:t>mehrdimensionale funktionale Intervention</w:t>
      </w:r>
      <w:r>
        <w:t xml:space="preserve"> ist eine Operation</w:t>
      </w:r>
    </w:p>
    <w:p w:rsidR="00C90B7A" w:rsidRDefault="00C90B7A" w:rsidP="00C90B7A">
      <w:pPr>
        <w:pStyle w:val="StandardWeb"/>
      </w:pPr>
      <w:r>
        <w:t>[</w:t>
      </w:r>
      <w:r>
        <w:br/>
        <w:t>\boxed{</w:t>
      </w:r>
      <w:r>
        <w:br/>
        <w:t>\operatorname{do}_F</w:t>
      </w:r>
      <w:r>
        <w:br/>
        <w:t>(X_1=x_1,\ldots,X_m=x_m),</w:t>
      </w:r>
      <w:r>
        <w:br/>
        <w:t>}</w:t>
      </w:r>
      <w:r>
        <w:br/>
        <w:t>\tag{3.12783}</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\boxed{\operatorname{do}_F(X_1=x_1,\ldots,X_m=x_m),}</w:t>
      </w:r>
    </w:p>
    <w:p w:rsidR="00C90B7A" w:rsidRDefault="00C90B7A" w:rsidP="00C90B7A">
      <w:pPr>
        <w:pStyle w:val="StandardWeb"/>
      </w:pPr>
      <w:r>
        <w:t>bei der mehrere funktionale Theorieobjekte innerhalb derselben Interventionsregel festgelegt oder verändert werden.</w:t>
      </w:r>
    </w:p>
    <w:p w:rsidR="00C90B7A" w:rsidRDefault="00E50336" w:rsidP="00C90B7A">
      <w:r>
        <w:pict>
          <v:rect id="_x0000_i4756" style="width:0;height:1.5pt" o:hralign="center" o:hrstd="t" o:hr="t" fillcolor="#a0a0a0" stroked="f"/>
        </w:pict>
      </w:r>
    </w:p>
    <w:p w:rsidR="00C90B7A" w:rsidRDefault="00C90B7A" w:rsidP="00C90B7A">
      <w:pPr>
        <w:pStyle w:val="berschrift1"/>
      </w:pPr>
      <w:r>
        <w:t>3.3.49.226 Sequenzielle Interventionen</w:t>
      </w:r>
    </w:p>
    <w:p w:rsidR="00C90B7A" w:rsidRDefault="00C90B7A" w:rsidP="00C90B7A">
      <w:pPr>
        <w:pStyle w:val="StandardWeb"/>
      </w:pPr>
      <w:r>
        <w:t>Interventionen können auch nacheinander erfolgen:</w:t>
      </w:r>
    </w:p>
    <w:p w:rsidR="00C90B7A" w:rsidRDefault="00C90B7A" w:rsidP="00C90B7A">
      <w:pPr>
        <w:pStyle w:val="StandardWeb"/>
      </w:pPr>
      <w:r>
        <w:t>[</w:t>
      </w:r>
      <w:r>
        <w:br/>
        <w:t>\operatorname{do}_F(X=x)</w:t>
      </w:r>
      <w:r>
        <w:br/>
        <w:t>;\to;</w:t>
      </w:r>
      <w:r>
        <w:br/>
        <w:t>\operatorname{do}_F(Y=y).</w:t>
      </w:r>
      <w:r>
        <w:br/>
        <w:t>\tag{3.12784}</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\operatorname{do}_F(X=x)\;\to\;\operatorname{do}_F(Y=y)</w:t>
      </w:r>
    </w:p>
    <w:p w:rsidR="00C90B7A" w:rsidRDefault="00E50336" w:rsidP="00C90B7A">
      <w:r>
        <w:pict>
          <v:rect id="_x0000_i4757" style="width:0;height:1.5pt" o:hralign="center" o:hrstd="t" o:hr="t" fillcolor="#a0a0a0" stroked="f"/>
        </w:pict>
      </w:r>
    </w:p>
    <w:p w:rsidR="00C90B7A" w:rsidRDefault="00C90B7A" w:rsidP="00C90B7A">
      <w:pPr>
        <w:pStyle w:val="berschrift1"/>
      </w:pPr>
      <w:r>
        <w:t>3.3.49.227 Definition 3.3.436 – Sequenzielle funktionale Intervention</w:t>
      </w:r>
    </w:p>
    <w:p w:rsidR="00C90B7A" w:rsidRDefault="00C90B7A" w:rsidP="00C90B7A">
      <w:pPr>
        <w:pStyle w:val="berschrift3"/>
      </w:pPr>
      <w:r>
        <w:t>Definition 3.3.436</w:t>
      </w:r>
    </w:p>
    <w:p w:rsidR="00C90B7A" w:rsidRDefault="00C90B7A" w:rsidP="00C90B7A">
      <w:pPr>
        <w:pStyle w:val="StandardWeb"/>
      </w:pPr>
      <w:r>
        <w:t xml:space="preserve">Eine </w:t>
      </w:r>
      <w:r>
        <w:rPr>
          <w:rStyle w:val="Fett"/>
        </w:rPr>
        <w:t>sequenzielle funktionale Intervention</w:t>
      </w:r>
      <w:r>
        <w:t xml:space="preserve"> ist eine geordnete Folge</w:t>
      </w:r>
    </w:p>
    <w:p w:rsidR="00C90B7A" w:rsidRDefault="00C90B7A" w:rsidP="00C90B7A">
      <w:pPr>
        <w:pStyle w:val="berschrift1"/>
      </w:pPr>
      <w:r>
        <w:lastRenderedPageBreak/>
        <w:t>[</w:t>
      </w:r>
      <w:r>
        <w:br/>
        <w:t>\boxed{</w:t>
      </w:r>
      <w:r>
        <w:br/>
        <w:t>\mathcal D_{\operatorname{do}}^{(n)}</w:t>
      </w:r>
    </w:p>
    <w:p w:rsidR="00C90B7A" w:rsidRDefault="00C90B7A" w:rsidP="00C90B7A">
      <w:pPr>
        <w:pStyle w:val="StandardWeb"/>
      </w:pPr>
      <w:r>
        <w:t>\left(</w:t>
      </w:r>
      <w:r>
        <w:br/>
        <w:t>\operatorname{do}_F^{(1)},</w:t>
      </w:r>
      <w:r>
        <w:br/>
        <w:t>\ldots,</w:t>
      </w:r>
      <w:r>
        <w:br/>
        <w:t>\operatorname{do}_F^{(n)}</w:t>
      </w:r>
      <w:r>
        <w:br/>
        <w:t>\right).</w:t>
      </w:r>
      <w:r>
        <w:br/>
        <w:t>}</w:t>
      </w:r>
      <w:r>
        <w:br/>
        <w:t>\tag{3.12785}</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\boxed{\mathcal D_{\operatorname{do}}^{(n)}=\left(\operatorname{do}_F^{(1)},\ldots,\operatorname{do}_F^{(n)}\right).}</w:t>
      </w:r>
    </w:p>
    <w:p w:rsidR="00C90B7A" w:rsidRDefault="00E50336" w:rsidP="00C90B7A">
      <w:r>
        <w:pict>
          <v:rect id="_x0000_i4758" style="width:0;height:1.5pt" o:hralign="center" o:hrstd="t" o:hr="t" fillcolor="#a0a0a0" stroked="f"/>
        </w:pict>
      </w:r>
    </w:p>
    <w:p w:rsidR="00C90B7A" w:rsidRDefault="00C90B7A" w:rsidP="00C90B7A">
      <w:pPr>
        <w:pStyle w:val="berschrift1"/>
      </w:pPr>
      <w:r>
        <w:t>3.3.49.228 Reihenfolgeabhängigkeit</w:t>
      </w:r>
    </w:p>
    <w:p w:rsidR="00C90B7A" w:rsidRDefault="00C90B7A" w:rsidP="00C90B7A">
      <w:pPr>
        <w:pStyle w:val="StandardWeb"/>
      </w:pPr>
      <w:r>
        <w:t>Im Allgemeinen kann gelten</w:t>
      </w:r>
    </w:p>
    <w:p w:rsidR="00C90B7A" w:rsidRDefault="00C90B7A" w:rsidP="00C90B7A">
      <w:pPr>
        <w:pStyle w:val="StandardWeb"/>
      </w:pPr>
      <w:r>
        <w:t>[</w:t>
      </w:r>
      <w:r>
        <w:br/>
        <w:t>\operatorname{do}_F(Y=y)</w:t>
      </w:r>
      <w:r>
        <w:br/>
        <w:t>\circ</w:t>
      </w:r>
      <w:r>
        <w:br/>
        <w:t>\operatorname{do}_F(X=x)</w:t>
      </w:r>
      <w:r>
        <w:br/>
        <w:t>\neq</w:t>
      </w:r>
      <w:r>
        <w:br/>
        <w:t>\operatorname{do}_F(X=x)</w:t>
      </w:r>
      <w:r>
        <w:br/>
        <w:t>\circ</w:t>
      </w:r>
      <w:r>
        <w:br/>
        <w:t>\operatorname{do}_F(Y=y).</w:t>
      </w:r>
      <w:r>
        <w:br/>
        <w:t>\tag{3.12786}</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\operatorname{do}_F(Y=y)\circ\operatorname{do}_F(X=x)\neq\operatorname{do}_F(X=x)\circ\operatorname{do}_F(Y=y)</w:t>
      </w:r>
    </w:p>
    <w:p w:rsidR="00C90B7A" w:rsidRDefault="00E50336" w:rsidP="00C90B7A">
      <w:r>
        <w:pict>
          <v:rect id="_x0000_i4759" style="width:0;height:1.5pt" o:hralign="center" o:hrstd="t" o:hr="t" fillcolor="#a0a0a0" stroked="f"/>
        </w:pict>
      </w:r>
    </w:p>
    <w:p w:rsidR="00C90B7A" w:rsidRDefault="00C90B7A" w:rsidP="00C90B7A">
      <w:pPr>
        <w:pStyle w:val="berschrift1"/>
      </w:pPr>
      <w:r>
        <w:t>3.3.49.229 Definition 3.3.437 – Nichtkommutierende funktionale Interventionen</w:t>
      </w:r>
    </w:p>
    <w:p w:rsidR="00C90B7A" w:rsidRDefault="00C90B7A" w:rsidP="00C90B7A">
      <w:pPr>
        <w:pStyle w:val="berschrift3"/>
      </w:pPr>
      <w:r>
        <w:t>Definition 3.3.437</w:t>
      </w:r>
    </w:p>
    <w:p w:rsidR="00C90B7A" w:rsidRDefault="00C90B7A" w:rsidP="00C90B7A">
      <w:pPr>
        <w:pStyle w:val="StandardWeb"/>
      </w:pPr>
      <w:r>
        <w:t xml:space="preserve">Zwei funktionale Interventionen heißen </w:t>
      </w:r>
      <w:r>
        <w:rPr>
          <w:rStyle w:val="Fett"/>
        </w:rPr>
        <w:t>nichtkommutierend</w:t>
      </w:r>
      <w:r>
        <w:t>, wenn</w:t>
      </w:r>
    </w:p>
    <w:p w:rsidR="00C90B7A" w:rsidRDefault="00C90B7A" w:rsidP="00C90B7A">
      <w:pPr>
        <w:pStyle w:val="StandardWeb"/>
      </w:pPr>
      <w:r>
        <w:lastRenderedPageBreak/>
        <w:t>[</w:t>
      </w:r>
      <w:r>
        <w:br/>
        <w:t>\boxed{</w:t>
      </w:r>
      <w:r>
        <w:br/>
        <w:t>\operatorname{do}_F^{(2)}</w:t>
      </w:r>
      <w:r>
        <w:br/>
        <w:t>\circ</w:t>
      </w:r>
      <w:r>
        <w:br/>
        <w:t>\operatorname{do}_F^{(1)}</w:t>
      </w:r>
      <w:r>
        <w:br/>
        <w:t>\neq</w:t>
      </w:r>
      <w:r>
        <w:br/>
        <w:t>\operatorname{do}_F^{(1)}</w:t>
      </w:r>
      <w:r>
        <w:br/>
        <w:t>\circ</w:t>
      </w:r>
      <w:r>
        <w:br/>
        <w:t>\operatorname{do}_F^{(2)}.</w:t>
      </w:r>
      <w:r>
        <w:br/>
        <w:t>}</w:t>
      </w:r>
      <w:r>
        <w:br/>
        <w:t>\tag{3.12787}</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\boxed{\operatorname{do}_F^{(2)}\circ\operatorname{do}_F^{(1)}\neq\operatorname{do}_F^{(1)}\circ\operatorname{do}_F^{(2)}.}</w:t>
      </w:r>
    </w:p>
    <w:p w:rsidR="00C90B7A" w:rsidRDefault="00E50336" w:rsidP="00C90B7A">
      <w:r>
        <w:pict>
          <v:rect id="_x0000_i4760" style="width:0;height:1.5pt" o:hralign="center" o:hrstd="t" o:hr="t" fillcolor="#a0a0a0" stroked="f"/>
        </w:pict>
      </w:r>
    </w:p>
    <w:p w:rsidR="00C90B7A" w:rsidRDefault="00C90B7A" w:rsidP="00C90B7A">
      <w:pPr>
        <w:pStyle w:val="berschrift1"/>
      </w:pPr>
      <w:r>
        <w:t>3.3.49.230 Kommutierende Interventionen</w:t>
      </w:r>
    </w:p>
    <w:p w:rsidR="00C90B7A" w:rsidRDefault="00C90B7A" w:rsidP="00C90B7A">
      <w:pPr>
        <w:pStyle w:val="StandardWeb"/>
      </w:pPr>
      <w:r>
        <w:t>Falls dagegen</w:t>
      </w:r>
    </w:p>
    <w:p w:rsidR="00C90B7A" w:rsidRDefault="00C90B7A" w:rsidP="00C90B7A">
      <w:pPr>
        <w:pStyle w:val="berschrift1"/>
      </w:pPr>
      <w:r>
        <w:t>[</w:t>
      </w:r>
      <w:r>
        <w:br/>
        <w:t>\operatorname{do}_F^{(2)}</w:t>
      </w:r>
      <w:r>
        <w:br/>
        <w:t>\circ</w:t>
      </w:r>
      <w:r>
        <w:br/>
        <w:t>\operatorname{do}_F^{(1)}</w:t>
      </w:r>
    </w:p>
    <w:p w:rsidR="00C90B7A" w:rsidRDefault="00C90B7A" w:rsidP="00C90B7A">
      <w:pPr>
        <w:pStyle w:val="StandardWeb"/>
      </w:pPr>
      <w:r>
        <w:t>\operatorname{do}_F^{(1)}</w:t>
      </w:r>
      <w:r>
        <w:br/>
        <w:t>\circ</w:t>
      </w:r>
      <w:r>
        <w:br/>
        <w:t>\operatorname{do}_F^{(2)},</w:t>
      </w:r>
      <w:r>
        <w:br/>
        <w:t>\tag{3.12788}</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\operatorname{do}_F^{(2)}\circ\operatorname{do}_F^{(1)}=\operatorname{do}_F^{(1)}\circ\operatorname{do}_F^{(2)}</w:t>
      </w:r>
    </w:p>
    <w:p w:rsidR="00C90B7A" w:rsidRDefault="00C90B7A" w:rsidP="00C90B7A">
      <w:pPr>
        <w:pStyle w:val="StandardWeb"/>
      </w:pPr>
      <w:r>
        <w:t>liegt eine spezielle kommutative Interventionsstruktur vor.</w:t>
      </w:r>
    </w:p>
    <w:p w:rsidR="00C90B7A" w:rsidRDefault="00E50336" w:rsidP="00C90B7A">
      <w:r>
        <w:pict>
          <v:rect id="_x0000_i4761" style="width:0;height:1.5pt" o:hralign="center" o:hrstd="t" o:hr="t" fillcolor="#a0a0a0" stroked="f"/>
        </w:pict>
      </w:r>
    </w:p>
    <w:p w:rsidR="00C90B7A" w:rsidRDefault="00C90B7A" w:rsidP="00C90B7A">
      <w:pPr>
        <w:pStyle w:val="berschrift1"/>
      </w:pPr>
      <w:r>
        <w:t>3.3.49.231 Definition 3.3.438 – Kommutierende funktionale Interventionen</w:t>
      </w:r>
    </w:p>
    <w:p w:rsidR="00C90B7A" w:rsidRDefault="00C90B7A" w:rsidP="00C90B7A">
      <w:pPr>
        <w:pStyle w:val="berschrift3"/>
      </w:pPr>
      <w:r>
        <w:t>Definition 3.3.438</w:t>
      </w:r>
    </w:p>
    <w:p w:rsidR="00C90B7A" w:rsidRDefault="00C90B7A" w:rsidP="00C90B7A">
      <w:pPr>
        <w:pStyle w:val="StandardWeb"/>
      </w:pPr>
      <w:r>
        <w:lastRenderedPageBreak/>
        <w:t xml:space="preserve">Zwei funktionale Interventionen heißen </w:t>
      </w:r>
      <w:r>
        <w:rPr>
          <w:rStyle w:val="Fett"/>
        </w:rPr>
        <w:t>kommutierend</w:t>
      </w:r>
      <w:r>
        <w:t>, wenn</w:t>
      </w:r>
    </w:p>
    <w:p w:rsidR="00C90B7A" w:rsidRDefault="00C90B7A" w:rsidP="00C90B7A">
      <w:pPr>
        <w:pStyle w:val="berschrift1"/>
      </w:pPr>
      <w:r>
        <w:t>[</w:t>
      </w:r>
      <w:r>
        <w:br/>
        <w:t>\boxed{</w:t>
      </w:r>
      <w:r>
        <w:br/>
        <w:t>\operatorname{do}_F^{(2)}</w:t>
      </w:r>
      <w:r>
        <w:br/>
        <w:t>\circ</w:t>
      </w:r>
      <w:r>
        <w:br/>
        <w:t>\operatorname{do}_F^{(1)}</w:t>
      </w:r>
    </w:p>
    <w:p w:rsidR="00C90B7A" w:rsidRDefault="00C90B7A" w:rsidP="00C90B7A">
      <w:pPr>
        <w:pStyle w:val="StandardWeb"/>
      </w:pPr>
      <w:r>
        <w:t>\operatorname{do}_F^{(1)}</w:t>
      </w:r>
      <w:r>
        <w:br/>
        <w:t>\circ</w:t>
      </w:r>
      <w:r>
        <w:br/>
        <w:t>\operatorname{do}_F^{(2)}.</w:t>
      </w:r>
      <w:r>
        <w:br/>
        <w:t>}</w:t>
      </w:r>
      <w:r>
        <w:br/>
        <w:t>\tag{3.12789}</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\boxed{\operatorname{do}_F^{(2)}\circ\operatorname{do}_F^{(1)}=\operatorname{do}_F^{(1)}\circ\operatorname{do}_F^{(2)}.}</w:t>
      </w:r>
    </w:p>
    <w:p w:rsidR="00C90B7A" w:rsidRDefault="00E50336" w:rsidP="00C90B7A">
      <w:r>
        <w:pict>
          <v:rect id="_x0000_i4762" style="width:0;height:1.5pt" o:hralign="center" o:hrstd="t" o:hr="t" fillcolor="#a0a0a0" stroked="f"/>
        </w:pict>
      </w:r>
    </w:p>
    <w:p w:rsidR="00C90B7A" w:rsidRDefault="00C90B7A" w:rsidP="00C90B7A">
      <w:pPr>
        <w:pStyle w:val="berschrift1"/>
      </w:pPr>
      <w:r>
        <w:t>3.3.49.232 Universelle Kommutativität ist nicht notwendig</w:t>
      </w:r>
    </w:p>
    <w:p w:rsidR="00C90B7A" w:rsidRDefault="00C90B7A" w:rsidP="00C90B7A">
      <w:pPr>
        <w:pStyle w:val="StandardWeb"/>
      </w:pPr>
      <w:r>
        <w:t>Ein möglicher Primäraxiomkandidat wäre</w:t>
      </w:r>
    </w:p>
    <w:p w:rsidR="00C90B7A" w:rsidRDefault="00C90B7A" w:rsidP="00C90B7A">
      <w:pPr>
        <w:pStyle w:val="berschrift1"/>
      </w:pPr>
      <w:r>
        <w:t>[</w:t>
      </w:r>
      <w:r>
        <w:br/>
        <w:t>A_{\mathrm{comm-do}}</w:t>
      </w:r>
      <w:r>
        <w:br/>
        <w:t>:</w:t>
      </w:r>
      <w:r>
        <w:br/>
        <w:t>\operatorname{do}_F^{(i)}</w:t>
      </w:r>
      <w:r>
        <w:br/>
        <w:t>\circ</w:t>
      </w:r>
      <w:r>
        <w:br/>
        <w:t>\operatorname{do}_F^{(j)}</w:t>
      </w:r>
    </w:p>
    <w:p w:rsidR="00C90B7A" w:rsidRDefault="00C90B7A" w:rsidP="00C90B7A">
      <w:pPr>
        <w:pStyle w:val="StandardWeb"/>
      </w:pPr>
      <w:r>
        <w:t>\operatorname{do}_F^{(j)}</w:t>
      </w:r>
      <w:r>
        <w:br/>
        <w:t>\circ</w:t>
      </w:r>
      <w:r>
        <w:br/>
        <w:t>\operatorname{do}_F^{(i)}.</w:t>
      </w:r>
      <w:r>
        <w:br/>
        <w:t>\tag{3.12790}</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lastRenderedPageBreak/>
        <w:t>A_{\mathrm{comm-do}}:\operatorname{do}_F^{(i)}\circ\operatorname{do}_F^{(j)}=\operatorname{do}_F^{(j)}\circ\operatorname{do}_F^{(i)}</w:t>
      </w:r>
    </w:p>
    <w:p w:rsidR="00C90B7A" w:rsidRDefault="00E50336" w:rsidP="00C90B7A">
      <w:r>
        <w:pict>
          <v:rect id="_x0000_i4763" style="width:0;height:1.5pt" o:hralign="center" o:hrstd="t" o:hr="t" fillcolor="#a0a0a0" stroked="f"/>
        </w:pict>
      </w:r>
    </w:p>
    <w:p w:rsidR="00C90B7A" w:rsidRDefault="00C90B7A" w:rsidP="00C90B7A">
      <w:pPr>
        <w:pStyle w:val="berschrift1"/>
      </w:pPr>
      <w:r>
        <w:t>3.3.49.233 Gegenmodell</w:t>
      </w:r>
    </w:p>
    <w:p w:rsidR="00C90B7A" w:rsidRDefault="00C90B7A" w:rsidP="00C90B7A">
      <w:pPr>
        <w:pStyle w:val="StandardWeb"/>
      </w:pPr>
      <w:r>
        <w:t>Eine erste Intervention kann die Zulässigkeit oder Wirkung einer zweiten Intervention verändern.</w:t>
      </w:r>
    </w:p>
    <w:p w:rsidR="00C90B7A" w:rsidRDefault="00C90B7A" w:rsidP="00C90B7A">
      <w:pPr>
        <w:pStyle w:val="StandardWeb"/>
      </w:pPr>
      <w:r>
        <w:t>Dann gilt</w:t>
      </w:r>
    </w:p>
    <w:p w:rsidR="00C90B7A" w:rsidRDefault="00C90B7A" w:rsidP="00C90B7A">
      <w:pPr>
        <w:pStyle w:val="StandardWeb"/>
      </w:pPr>
      <w:r>
        <w:t>[</w:t>
      </w:r>
      <w:r>
        <w:br/>
        <w:t>\operatorname{do}_F^{(2)}</w:t>
      </w:r>
      <w:r>
        <w:br/>
        <w:t>\circ</w:t>
      </w:r>
      <w:r>
        <w:br/>
        <w:t>\operatorname{do}_F^{(1)}</w:t>
      </w:r>
      <w:r>
        <w:br/>
        <w:t>\neq</w:t>
      </w:r>
      <w:r>
        <w:br/>
        <w:t>\operatorname{do}_F^{(1)}</w:t>
      </w:r>
      <w:r>
        <w:br/>
        <w:t>\circ</w:t>
      </w:r>
      <w:r>
        <w:br/>
        <w:t>\operatorname{do}_F^{(2)}.</w:t>
      </w:r>
      <w:r>
        <w:br/>
        <w:t>\tag{3.12791}</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\operatorname{do}_F^{(2)}\circ\operatorname{do}_F^{(1)}\neq\operatorname{do}_F^{(1)}\circ\operatorname{do}_F^{(2)}</w:t>
      </w:r>
    </w:p>
    <w:p w:rsidR="00C90B7A" w:rsidRDefault="00E50336" w:rsidP="00C90B7A">
      <w:r>
        <w:pict>
          <v:rect id="_x0000_i4764" style="width:0;height:1.5pt" o:hralign="center" o:hrstd="t" o:hr="t" fillcolor="#a0a0a0" stroked="f"/>
        </w:pict>
      </w:r>
    </w:p>
    <w:p w:rsidR="00C90B7A" w:rsidRDefault="00C90B7A" w:rsidP="00C90B7A">
      <w:pPr>
        <w:pStyle w:val="berschrift1"/>
      </w:pPr>
      <w:r>
        <w:t>3.3.49.234 Axiomentscheidung zur Interventionskommutativität</w:t>
      </w:r>
    </w:p>
    <w:p w:rsidR="00C90B7A" w:rsidRDefault="00C90B7A" w:rsidP="00C90B7A">
      <w:pPr>
        <w:pStyle w:val="StandardWeb"/>
      </w:pPr>
      <w:r>
        <w:t>Daher</w:t>
      </w:r>
    </w:p>
    <w:p w:rsidR="00C90B7A" w:rsidRDefault="00C90B7A" w:rsidP="00C90B7A">
      <w:pPr>
        <w:pStyle w:val="berschrift1"/>
      </w:pPr>
      <w:r>
        <w:t>[</w:t>
      </w:r>
      <w:r>
        <w:br/>
        <w:t>\boxed{</w:t>
      </w:r>
      <w:r>
        <w:br/>
        <w:t>U_{\mathrm{Ax}}</w:t>
      </w:r>
      <w:r>
        <w:br/>
        <w:t>(A_{\mathrm{comm-do}})</w:t>
      </w:r>
    </w:p>
    <w:p w:rsidR="00C90B7A" w:rsidRDefault="00C90B7A" w:rsidP="00563F88">
      <w:pPr>
        <w:numPr>
          <w:ilvl w:val="0"/>
          <w:numId w:val="577"/>
        </w:numPr>
        <w:spacing w:before="100" w:beforeAutospacing="1" w:after="100" w:afterAutospacing="1"/>
      </w:pPr>
    </w:p>
    <w:p w:rsidR="00C90B7A" w:rsidRDefault="00C90B7A" w:rsidP="00C90B7A">
      <w:pPr>
        <w:pStyle w:val="StandardWeb"/>
      </w:pPr>
      <w:r>
        <w:t>}</w:t>
      </w:r>
      <w:r>
        <w:br/>
        <w:t>\tag{3.12792}</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lastRenderedPageBreak/>
        <w:t>\boxed{U_{\mathrm{Ax}}(A_{\mathrm{comm-do}})=0.}</w:t>
      </w:r>
    </w:p>
    <w:p w:rsidR="00C90B7A" w:rsidRDefault="00E50336" w:rsidP="00C90B7A">
      <w:r>
        <w:pict>
          <v:rect id="_x0000_i4765" style="width:0;height:1.5pt" o:hralign="center" o:hrstd="t" o:hr="t" fillcolor="#a0a0a0" stroked="f"/>
        </w:pict>
      </w:r>
    </w:p>
    <w:p w:rsidR="00C90B7A" w:rsidRDefault="00C90B7A" w:rsidP="00C90B7A">
      <w:pPr>
        <w:pStyle w:val="berschrift1"/>
      </w:pPr>
      <w:r>
        <w:t>3.3.49.235 Satz 3.3.171 – Universelle Kommutativität funktionaler Interventionen ist kein Primäraxiom</w:t>
      </w:r>
    </w:p>
    <w:p w:rsidR="00C90B7A" w:rsidRDefault="00C90B7A" w:rsidP="00C90B7A">
      <w:pPr>
        <w:pStyle w:val="berschrift3"/>
      </w:pPr>
      <w:r>
        <w:t>Satz 3.3.171</w:t>
      </w:r>
    </w:p>
    <w:p w:rsidR="00C90B7A" w:rsidRDefault="00C90B7A" w:rsidP="00C90B7A">
      <w:pPr>
        <w:pStyle w:val="StandardWeb"/>
      </w:pPr>
      <w:r>
        <w:t>Die Forderung, beliebige funktionale Interventionen müssten miteinander kommutieren, ist nicht universell notwendig.</w:t>
      </w:r>
    </w:p>
    <w:p w:rsidR="00C90B7A" w:rsidRDefault="00C90B7A" w:rsidP="00C90B7A">
      <w:pPr>
        <w:pStyle w:val="StandardWeb"/>
      </w:pPr>
      <w:r>
        <w:t>Es gilt</w:t>
      </w:r>
    </w:p>
    <w:p w:rsidR="00C90B7A" w:rsidRDefault="00C90B7A" w:rsidP="00C90B7A">
      <w:pPr>
        <w:pStyle w:val="berschrift1"/>
      </w:pPr>
      <w:r>
        <w:t>[</w:t>
      </w:r>
      <w:r>
        <w:br/>
        <w:t>\boxed{</w:t>
      </w:r>
      <w:r>
        <w:br/>
        <w:t>U_{\mathrm{Ax}}</w:t>
      </w:r>
      <w:r>
        <w:br/>
        <w:t>(A_{\mathrm{comm-do}})</w:t>
      </w:r>
    </w:p>
    <w:p w:rsidR="00C90B7A" w:rsidRDefault="00C90B7A" w:rsidP="00563F88">
      <w:pPr>
        <w:numPr>
          <w:ilvl w:val="0"/>
          <w:numId w:val="578"/>
        </w:numPr>
        <w:spacing w:before="100" w:beforeAutospacing="1" w:after="100" w:afterAutospacing="1"/>
      </w:pPr>
    </w:p>
    <w:p w:rsidR="00C90B7A" w:rsidRDefault="00C90B7A" w:rsidP="00C90B7A">
      <w:pPr>
        <w:pStyle w:val="StandardWeb"/>
      </w:pPr>
      <w:r>
        <w:t>}</w:t>
      </w:r>
      <w:r>
        <w:br/>
        <w:t>\tag{3.12793}</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\boxed{U_{\mathrm{Ax}}(A_{\mathrm{comm-do}})=0.}</w:t>
      </w:r>
    </w:p>
    <w:p w:rsidR="00C90B7A" w:rsidRDefault="00E50336" w:rsidP="00C90B7A">
      <w:r>
        <w:pict>
          <v:rect id="_x0000_i4766" style="width:0;height:1.5pt" o:hralign="center" o:hrstd="t" o:hr="t" fillcolor="#a0a0a0" stroked="f"/>
        </w:pict>
      </w:r>
    </w:p>
    <w:p w:rsidR="00C90B7A" w:rsidRDefault="00C90B7A" w:rsidP="00C90B7A">
      <w:pPr>
        <w:pStyle w:val="berschrift1"/>
      </w:pPr>
      <w:r>
        <w:t>3.3.49.236 Strukturelle Identifizierbarkeit</w:t>
      </w:r>
    </w:p>
    <w:p w:rsidR="00C90B7A" w:rsidRDefault="00C90B7A" w:rsidP="00C90B7A">
      <w:pPr>
        <w:pStyle w:val="StandardWeb"/>
      </w:pPr>
      <w:r>
        <w:t>Eine Kausalitätsstruktur ist nur dann vollständig aus Beobachtungen rekonstruierbar, wenn unterschiedliche zulässige Einflussmodelle hinreichend unterscheidbare Beobachtungen erzeugen.</w:t>
      </w:r>
    </w:p>
    <w:p w:rsidR="00C90B7A" w:rsidRDefault="00C90B7A" w:rsidP="00C90B7A">
      <w:pPr>
        <w:pStyle w:val="StandardWeb"/>
      </w:pPr>
      <w:r>
        <w:t>Seien zwei Modelle</w:t>
      </w:r>
    </w:p>
    <w:p w:rsidR="00C90B7A" w:rsidRDefault="00C90B7A" w:rsidP="00C90B7A">
      <w:pPr>
        <w:pStyle w:val="StandardWeb"/>
      </w:pPr>
      <w:r>
        <w:t>[</w:t>
      </w:r>
      <w:r>
        <w:br/>
        <w:t>\mathfrak M_1</w:t>
      </w:r>
      <w:r>
        <w:br/>
        <w:t>\neq</w:t>
      </w:r>
      <w:r>
        <w:br/>
        <w:t>\mathfrak M_2.</w:t>
      </w:r>
      <w:r>
        <w:br/>
        <w:t>\tag{3.12794}</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lastRenderedPageBreak/>
        <w:t>\mathfrak M_1\neq\mathfrak M_2</w:t>
      </w:r>
    </w:p>
    <w:p w:rsidR="00C90B7A" w:rsidRDefault="00E50336" w:rsidP="00C90B7A">
      <w:r>
        <w:pict>
          <v:rect id="_x0000_i4767" style="width:0;height:1.5pt" o:hralign="center" o:hrstd="t" o:hr="t" fillcolor="#a0a0a0" stroked="f"/>
        </w:pict>
      </w:r>
    </w:p>
    <w:p w:rsidR="00C90B7A" w:rsidRDefault="00C90B7A" w:rsidP="00C90B7A">
      <w:pPr>
        <w:pStyle w:val="berschrift1"/>
      </w:pPr>
      <w:r>
        <w:t>3.3.49.237 Beobachtungsabbildung auf Modellklassen</w:t>
      </w:r>
    </w:p>
    <w:p w:rsidR="00C90B7A" w:rsidRDefault="00C90B7A" w:rsidP="00C90B7A">
      <w:pPr>
        <w:pStyle w:val="StandardWeb"/>
      </w:pPr>
      <w:r>
        <w:t>Ich führe</w:t>
      </w:r>
    </w:p>
    <w:p w:rsidR="00C90B7A" w:rsidRDefault="00C90B7A" w:rsidP="00C90B7A">
      <w:pPr>
        <w:pStyle w:val="StandardWeb"/>
      </w:pPr>
      <w:r>
        <w:t>[</w:t>
      </w:r>
      <w:r>
        <w:br/>
        <w:t>\mathcal B_{\mathfrak M}</w:t>
      </w:r>
      <w:r>
        <w:br/>
        <w:t>:</w:t>
      </w:r>
      <w:r>
        <w:br/>
        <w:t>\mathfrak M_F</w:t>
      </w:r>
      <w:r>
        <w:br/>
        <w:t>\rightarrow</w:t>
      </w:r>
      <w:r>
        <w:br/>
        <w:t>\mathcal Y_{\mathfrak M}</w:t>
      </w:r>
      <w:r>
        <w:br/>
        <w:t>\tag{3.12795}</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\mathcal B_{\mathfrak M}:\mathfrak M_F\rightarrow\mathcal Y_{\mathfrak M}</w:t>
      </w:r>
    </w:p>
    <w:p w:rsidR="00C90B7A" w:rsidRDefault="00C90B7A" w:rsidP="00C90B7A">
      <w:pPr>
        <w:pStyle w:val="StandardWeb"/>
      </w:pPr>
      <w:r>
        <w:t>ein.</w:t>
      </w:r>
    </w:p>
    <w:p w:rsidR="00C90B7A" w:rsidRDefault="00E50336" w:rsidP="00C90B7A">
      <w:r>
        <w:pict>
          <v:rect id="_x0000_i4768" style="width:0;height:1.5pt" o:hralign="center" o:hrstd="t" o:hr="t" fillcolor="#a0a0a0" stroked="f"/>
        </w:pict>
      </w:r>
    </w:p>
    <w:p w:rsidR="00C90B7A" w:rsidRDefault="00C90B7A" w:rsidP="00C90B7A">
      <w:pPr>
        <w:pStyle w:val="berschrift1"/>
      </w:pPr>
      <w:r>
        <w:t>3.3.49.238 Definition 3.3.439 – Funktionale Modellbeobachtungsabbildung</w:t>
      </w:r>
    </w:p>
    <w:p w:rsidR="00C90B7A" w:rsidRDefault="00C90B7A" w:rsidP="00C90B7A">
      <w:pPr>
        <w:pStyle w:val="berschrift3"/>
      </w:pPr>
      <w:r>
        <w:t>Definition 3.3.439</w:t>
      </w:r>
    </w:p>
    <w:p w:rsidR="00C90B7A" w:rsidRDefault="00C90B7A" w:rsidP="00C90B7A">
      <w:pPr>
        <w:pStyle w:val="StandardWeb"/>
      </w:pPr>
      <w:r>
        <w:t xml:space="preserve">Die </w:t>
      </w:r>
      <w:r>
        <w:rPr>
          <w:rStyle w:val="Fett"/>
        </w:rPr>
        <w:t>funktionale Modellbeobachtungsabbildung</w:t>
      </w:r>
      <w:r>
        <w:t xml:space="preserve"> ist</w:t>
      </w:r>
    </w:p>
    <w:p w:rsidR="00C90B7A" w:rsidRDefault="00C90B7A" w:rsidP="00C90B7A">
      <w:pPr>
        <w:pStyle w:val="StandardWeb"/>
      </w:pPr>
      <w:r>
        <w:t>[</w:t>
      </w:r>
      <w:r>
        <w:br/>
        <w:t>\boxed{</w:t>
      </w:r>
      <w:r>
        <w:br/>
        <w:t>\mathcal B_{\mathfrak M}</w:t>
      </w:r>
      <w:r>
        <w:br/>
        <w:t>:</w:t>
      </w:r>
      <w:r>
        <w:br/>
        <w:t>\mathfrak M_F</w:t>
      </w:r>
      <w:r>
        <w:br/>
        <w:t>\rightarrow</w:t>
      </w:r>
      <w:r>
        <w:br/>
        <w:t>\mathcal Y_{\mathfrak M},</w:t>
      </w:r>
      <w:r>
        <w:br/>
        <w:t>}</w:t>
      </w:r>
      <w:r>
        <w:br/>
        <w:t>\tag{3.12796}</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\boxed{\mathcal B_{\mathfrak M}:\mathfrak M_F\rightarrow\mathcal Y_{\mathfrak M},}</w:t>
      </w:r>
    </w:p>
    <w:p w:rsidR="00C90B7A" w:rsidRDefault="00C90B7A" w:rsidP="00C90B7A">
      <w:pPr>
        <w:pStyle w:val="StandardWeb"/>
      </w:pPr>
      <w:r>
        <w:t>die einer Modellstruktur die daraus erzeugbaren oder beobachteten Datenrepräsentationen zuordnet.</w:t>
      </w:r>
    </w:p>
    <w:p w:rsidR="00C90B7A" w:rsidRDefault="00E50336" w:rsidP="00C90B7A">
      <w:r>
        <w:lastRenderedPageBreak/>
        <w:pict>
          <v:rect id="_x0000_i4769" style="width:0;height:1.5pt" o:hralign="center" o:hrstd="t" o:hr="t" fillcolor="#a0a0a0" stroked="f"/>
        </w:pict>
      </w:r>
    </w:p>
    <w:p w:rsidR="00C90B7A" w:rsidRDefault="00C90B7A" w:rsidP="00C90B7A">
      <w:pPr>
        <w:pStyle w:val="berschrift1"/>
      </w:pPr>
      <w:r>
        <w:t>3.3.49.239 Strukturelle Gleichbeobachtbarkeit</w:t>
      </w:r>
    </w:p>
    <w:p w:rsidR="00C90B7A" w:rsidRDefault="00C90B7A" w:rsidP="00C90B7A">
      <w:pPr>
        <w:pStyle w:val="StandardWeb"/>
      </w:pPr>
      <w:r>
        <w:t>Es kann gelten</w:t>
      </w:r>
    </w:p>
    <w:p w:rsidR="00C90B7A" w:rsidRDefault="00C90B7A" w:rsidP="00C90B7A">
      <w:pPr>
        <w:pStyle w:val="StandardWeb"/>
      </w:pPr>
      <w:r>
        <w:t>[</w:t>
      </w:r>
      <w:r>
        <w:br/>
        <w:t>\mathfrak M_1</w:t>
      </w:r>
      <w:r>
        <w:br/>
        <w:t>\neq</w:t>
      </w:r>
      <w:r>
        <w:br/>
        <w:t>\mathfrak M_2</w:t>
      </w:r>
      <w:r>
        <w:br/>
        <w:t>\tag{3.12797}</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\mathfrak M_1\neq\mathfrak M_2</w:t>
      </w:r>
    </w:p>
    <w:p w:rsidR="00C90B7A" w:rsidRDefault="00C90B7A" w:rsidP="00C90B7A">
      <w:pPr>
        <w:pStyle w:val="StandardWeb"/>
      </w:pPr>
      <w:r>
        <w:t>und dennoch</w:t>
      </w:r>
    </w:p>
    <w:p w:rsidR="00C90B7A" w:rsidRDefault="00C90B7A" w:rsidP="00C90B7A">
      <w:pPr>
        <w:pStyle w:val="berschrift1"/>
      </w:pPr>
      <w:r>
        <w:t>[</w:t>
      </w:r>
      <w:r>
        <w:br/>
        <w:t>\mathcal B_{\mathfrak M}(\mathfrak M_1)</w:t>
      </w:r>
    </w:p>
    <w:p w:rsidR="00C90B7A" w:rsidRDefault="00C90B7A" w:rsidP="00C90B7A">
      <w:pPr>
        <w:pStyle w:val="StandardWeb"/>
      </w:pPr>
      <w:r>
        <w:t>\mathcal B_{\mathfrak M}(\mathfrak M_2).</w:t>
      </w:r>
      <w:r>
        <w:br/>
        <w:t>\tag{3.12798}</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\mathcal B_{\mathfrak M}(\mathfrak M_1)=\mathcal B_{\mathfrak M}(\mathfrak M_2)</w:t>
      </w:r>
    </w:p>
    <w:p w:rsidR="00C90B7A" w:rsidRDefault="00E50336" w:rsidP="00C90B7A">
      <w:r>
        <w:pict>
          <v:rect id="_x0000_i4770" style="width:0;height:1.5pt" o:hralign="center" o:hrstd="t" o:hr="t" fillcolor="#a0a0a0" stroked="f"/>
        </w:pict>
      </w:r>
    </w:p>
    <w:p w:rsidR="00C90B7A" w:rsidRDefault="00C90B7A" w:rsidP="00C90B7A">
      <w:pPr>
        <w:pStyle w:val="berschrift1"/>
      </w:pPr>
      <w:r>
        <w:t>3.3.49.240 Definition 3.3.440 – Funktionale strukturelle Beobachtungsäquivalenz</w:t>
      </w:r>
    </w:p>
    <w:p w:rsidR="00C90B7A" w:rsidRDefault="00C90B7A" w:rsidP="00C90B7A">
      <w:pPr>
        <w:pStyle w:val="berschrift3"/>
      </w:pPr>
      <w:r>
        <w:t>Definition 3.3.440</w:t>
      </w:r>
    </w:p>
    <w:p w:rsidR="00C90B7A" w:rsidRDefault="00C90B7A" w:rsidP="00C90B7A">
      <w:pPr>
        <w:pStyle w:val="StandardWeb"/>
      </w:pPr>
      <w:r>
        <w:t xml:space="preserve">Zwei Modelle heißen </w:t>
      </w:r>
      <w:r>
        <w:rPr>
          <w:rStyle w:val="Fett"/>
        </w:rPr>
        <w:t>funktional strukturell beobachtungsäquivalent</w:t>
      </w:r>
      <w:r>
        <w:t>, wenn</w:t>
      </w:r>
    </w:p>
    <w:p w:rsidR="00C90B7A" w:rsidRDefault="00C90B7A" w:rsidP="00C90B7A">
      <w:pPr>
        <w:pStyle w:val="berschrift1"/>
      </w:pPr>
      <w:r>
        <w:t>[</w:t>
      </w:r>
      <w:r>
        <w:br/>
        <w:t>\boxed{</w:t>
      </w:r>
      <w:r>
        <w:br/>
        <w:t>\mathfrak M_1</w:t>
      </w:r>
      <w:r>
        <w:br/>
        <w:t>\sim_{\mathfrak M}</w:t>
      </w:r>
      <w:r>
        <w:br/>
        <w:t>\mathfrak M_2</w:t>
      </w:r>
      <w:r>
        <w:br/>
      </w:r>
      <w:r>
        <w:lastRenderedPageBreak/>
        <w:t>\Longleftrightarrow</w:t>
      </w:r>
      <w:r>
        <w:br/>
        <w:t>\mathcal B_{\mathfrak M}(\mathfrak M_1)</w:t>
      </w:r>
    </w:p>
    <w:p w:rsidR="00C90B7A" w:rsidRDefault="00C90B7A" w:rsidP="00C90B7A">
      <w:pPr>
        <w:pStyle w:val="StandardWeb"/>
      </w:pPr>
      <w:r>
        <w:t>\mathcal B_{\mathfrak M}(\mathfrak M_2).</w:t>
      </w:r>
      <w:r>
        <w:br/>
        <w:t>}</w:t>
      </w:r>
      <w:r>
        <w:br/>
        <w:t>\tag{3.12799}</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\boxed{\mathfrak M_1\sim_{\mathfrak M}\mathfrak M_2\Longleftrightarrow\mathcal B_{\mathfrak M}(\mathfrak M_1)=\mathcal B_{\mathfrak M}(\mathfrak M_2).}</w:t>
      </w:r>
    </w:p>
    <w:p w:rsidR="00C90B7A" w:rsidRDefault="00E50336" w:rsidP="00C90B7A">
      <w:r>
        <w:pict>
          <v:rect id="_x0000_i4771" style="width:0;height:1.5pt" o:hralign="center" o:hrstd="t" o:hr="t" fillcolor="#a0a0a0" stroked="f"/>
        </w:pict>
      </w:r>
    </w:p>
    <w:p w:rsidR="00C90B7A" w:rsidRDefault="00C90B7A" w:rsidP="00C90B7A">
      <w:pPr>
        <w:pStyle w:val="berschrift1"/>
      </w:pPr>
      <w:r>
        <w:t>3.3.49.241 Strukturelle Identifizierbarkeit</w:t>
      </w:r>
    </w:p>
    <w:p w:rsidR="00C90B7A" w:rsidRDefault="00C90B7A" w:rsidP="00C90B7A">
      <w:pPr>
        <w:pStyle w:val="StandardWeb"/>
      </w:pPr>
      <w:r>
        <w:t>Eine Modellstruktur ist identifizierbar, wenn ihre Beobachtungsrepräsentation kein anderes zulässiges Modell besitzt.</w:t>
      </w:r>
    </w:p>
    <w:p w:rsidR="00C90B7A" w:rsidRDefault="00E50336" w:rsidP="00C90B7A">
      <w:r>
        <w:pict>
          <v:rect id="_x0000_i4772" style="width:0;height:1.5pt" o:hralign="center" o:hrstd="t" o:hr="t" fillcolor="#a0a0a0" stroked="f"/>
        </w:pict>
      </w:r>
    </w:p>
    <w:p w:rsidR="00C90B7A" w:rsidRDefault="00C90B7A" w:rsidP="00C90B7A">
      <w:pPr>
        <w:pStyle w:val="berschrift1"/>
      </w:pPr>
      <w:r>
        <w:t>3.3.49.242 Definition 3.3.441 – Funktionale strukturelle Identifizierbarkeit</w:t>
      </w:r>
    </w:p>
    <w:p w:rsidR="00C90B7A" w:rsidRDefault="00C90B7A" w:rsidP="00C90B7A">
      <w:pPr>
        <w:pStyle w:val="berschrift3"/>
      </w:pPr>
      <w:r>
        <w:t>Definition 3.3.441</w:t>
      </w:r>
    </w:p>
    <w:p w:rsidR="00C90B7A" w:rsidRDefault="00C90B7A" w:rsidP="00C90B7A">
      <w:pPr>
        <w:pStyle w:val="StandardWeb"/>
      </w:pPr>
      <w:r>
        <w:t xml:space="preserve">Eine Modellstruktur (\mathfrak M) heißt </w:t>
      </w:r>
      <w:r>
        <w:rPr>
          <w:rStyle w:val="Fett"/>
        </w:rPr>
        <w:t>funktional strukturell identifizierbar</w:t>
      </w:r>
      <w:r>
        <w:t>, wenn</w:t>
      </w:r>
    </w:p>
    <w:p w:rsidR="00C90B7A" w:rsidRDefault="00C90B7A" w:rsidP="00C90B7A">
      <w:pPr>
        <w:pStyle w:val="berschrift1"/>
      </w:pPr>
      <w:r>
        <w:t>[</w:t>
      </w:r>
      <w:r>
        <w:br/>
        <w:t>\boxed{</w:t>
      </w:r>
      <w:r>
        <w:br/>
        <w:t>\mathcal B_{\mathfrak M}(\mathfrak M')</w:t>
      </w:r>
    </w:p>
    <w:p w:rsidR="00C90B7A" w:rsidRDefault="00C90B7A" w:rsidP="00C90B7A">
      <w:pPr>
        <w:pStyle w:val="berschrift1"/>
      </w:pPr>
      <w:r>
        <w:t>\mathcal B_{\mathfrak M}(\mathfrak M)</w:t>
      </w:r>
      <w:r>
        <w:br/>
        <w:t>\Rightarrow</w:t>
      </w:r>
      <w:r>
        <w:br/>
        <w:t>\mathfrak M'</w:t>
      </w:r>
    </w:p>
    <w:p w:rsidR="00C90B7A" w:rsidRDefault="00C90B7A" w:rsidP="00C90B7A">
      <w:pPr>
        <w:pStyle w:val="StandardWeb"/>
      </w:pPr>
      <w:r>
        <w:t>\mathfrak M.</w:t>
      </w:r>
      <w:r>
        <w:br/>
        <w:t>}</w:t>
      </w:r>
      <w:r>
        <w:br/>
        <w:t>\tag{3.12800}</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lastRenderedPageBreak/>
        <w:t>\boxed{\mathcal B_{\mathfrak M}(\mathfrak M')=\mathcal B_{\mathfrak M}(\mathfrak M)\Rightarrow\mathfrak M'=\mathfrak M.}</w:t>
      </w:r>
    </w:p>
    <w:p w:rsidR="00C90B7A" w:rsidRDefault="00E50336" w:rsidP="00C90B7A">
      <w:r>
        <w:pict>
          <v:rect id="_x0000_i4773" style="width:0;height:1.5pt" o:hralign="center" o:hrstd="t" o:hr="t" fillcolor="#a0a0a0" stroked="f"/>
        </w:pict>
      </w:r>
    </w:p>
    <w:p w:rsidR="00C90B7A" w:rsidRDefault="00C90B7A" w:rsidP="00C90B7A">
      <w:pPr>
        <w:pStyle w:val="berschrift1"/>
      </w:pPr>
      <w:r>
        <w:t>3.3.49.243 Identifizierbarkeit modulo Modelläquivalenz</w:t>
      </w:r>
    </w:p>
    <w:p w:rsidR="00C90B7A" w:rsidRDefault="00C90B7A" w:rsidP="00C90B7A">
      <w:pPr>
        <w:pStyle w:val="StandardWeb"/>
      </w:pPr>
      <w:r>
        <w:t>In manchen Modellklassen reicht eine eindeutige Bestimmung bis auf eine festgelegte Äquivalenzrelation.</w:t>
      </w:r>
    </w:p>
    <w:p w:rsidR="00C90B7A" w:rsidRDefault="00C90B7A" w:rsidP="00C90B7A">
      <w:pPr>
        <w:pStyle w:val="StandardWeb"/>
      </w:pPr>
      <w:r>
        <w:t>Ich schreibe</w:t>
      </w:r>
    </w:p>
    <w:p w:rsidR="00C90B7A" w:rsidRDefault="00C90B7A" w:rsidP="00C90B7A">
      <w:pPr>
        <w:pStyle w:val="StandardWeb"/>
      </w:pPr>
      <w:r>
        <w:t>[</w:t>
      </w:r>
      <w:r>
        <w:br/>
        <w:t>\mathfrak M'</w:t>
      </w:r>
      <w:r>
        <w:br/>
        <w:t>\sim_{!*}</w:t>
      </w:r>
      <w:r>
        <w:br/>
        <w:t>\mathfrak M.</w:t>
      </w:r>
      <w:r>
        <w:br/>
        <w:t>\tag{3.12801}</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\mathfrak M'\sim_{\!*}\mathfrak M</w:t>
      </w:r>
    </w:p>
    <w:p w:rsidR="00C90B7A" w:rsidRDefault="00E50336" w:rsidP="00C90B7A">
      <w:r>
        <w:pict>
          <v:rect id="_x0000_i4774" style="width:0;height:1.5pt" o:hralign="center" o:hrstd="t" o:hr="t" fillcolor="#a0a0a0" stroked="f"/>
        </w:pict>
      </w:r>
    </w:p>
    <w:p w:rsidR="00C90B7A" w:rsidRDefault="00C90B7A" w:rsidP="00C90B7A">
      <w:pPr>
        <w:pStyle w:val="berschrift1"/>
      </w:pPr>
      <w:r>
        <w:t>3.3.49.244 Definition 3.3.442 – Funktionale Identifizierbarkeit modulo Modelläquivalenz</w:t>
      </w:r>
    </w:p>
    <w:p w:rsidR="00C90B7A" w:rsidRDefault="00C90B7A" w:rsidP="00C90B7A">
      <w:pPr>
        <w:pStyle w:val="berschrift3"/>
      </w:pPr>
      <w:r>
        <w:t>Definition 3.3.442</w:t>
      </w:r>
    </w:p>
    <w:p w:rsidR="00C90B7A" w:rsidRDefault="00C90B7A" w:rsidP="00C90B7A">
      <w:pPr>
        <w:pStyle w:val="StandardWeb"/>
      </w:pPr>
      <w:r>
        <w:t xml:space="preserve">Eine Modellstruktur (\mathfrak M) heißt </w:t>
      </w:r>
      <w:r>
        <w:rPr>
          <w:rStyle w:val="Fett"/>
        </w:rPr>
        <w:t>identifizierbar modulo (\sim_{!*})</w:t>
      </w:r>
      <w:r>
        <w:t>, wenn</w:t>
      </w:r>
    </w:p>
    <w:p w:rsidR="00C90B7A" w:rsidRDefault="00C90B7A" w:rsidP="00C90B7A">
      <w:pPr>
        <w:pStyle w:val="berschrift1"/>
      </w:pPr>
      <w:r>
        <w:t>[</w:t>
      </w:r>
      <w:r>
        <w:br/>
        <w:t>\boxed{</w:t>
      </w:r>
      <w:r>
        <w:br/>
        <w:t>\mathcal B_{\mathfrak M}(\mathfrak M')</w:t>
      </w:r>
    </w:p>
    <w:p w:rsidR="00C90B7A" w:rsidRDefault="00C90B7A" w:rsidP="00C90B7A">
      <w:pPr>
        <w:pStyle w:val="StandardWeb"/>
      </w:pPr>
      <w:r>
        <w:t>\mathcal B_{\mathfrak M}(\mathfrak M)</w:t>
      </w:r>
      <w:r>
        <w:br/>
        <w:t>\Rightarrow</w:t>
      </w:r>
      <w:r>
        <w:br/>
        <w:t>\mathfrak M'</w:t>
      </w:r>
      <w:r>
        <w:br/>
        <w:t>\sim_{!*}</w:t>
      </w:r>
      <w:r>
        <w:br/>
        <w:t>\mathfrak M.</w:t>
      </w:r>
      <w:r>
        <w:br/>
        <w:t>}</w:t>
      </w:r>
      <w:r>
        <w:br/>
        <w:t>\tag{3.12802}</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lastRenderedPageBreak/>
        <w:t>\boxed{\mathcal B_{\mathfrak M}(\mathfrak M')=\mathcal B_{\mathfrak M}(\mathfrak M)\Rightarrow\mathfrak M'\sim_{\!*}\mathfrak M.}</w:t>
      </w:r>
    </w:p>
    <w:p w:rsidR="00C90B7A" w:rsidRDefault="00E50336" w:rsidP="00C90B7A">
      <w:r>
        <w:pict>
          <v:rect id="_x0000_i4775" style="width:0;height:1.5pt" o:hralign="center" o:hrstd="t" o:hr="t" fillcolor="#a0a0a0" stroked="f"/>
        </w:pict>
      </w:r>
    </w:p>
    <w:p w:rsidR="00C90B7A" w:rsidRDefault="00C90B7A" w:rsidP="00C90B7A">
      <w:pPr>
        <w:pStyle w:val="berschrift1"/>
      </w:pPr>
      <w:r>
        <w:t>3.3.49.245 Nichtidentifizierbarkeit</w:t>
      </w:r>
    </w:p>
    <w:p w:rsidR="00C90B7A" w:rsidRDefault="00C90B7A" w:rsidP="00C90B7A">
      <w:pPr>
        <w:pStyle w:val="StandardWeb"/>
      </w:pPr>
      <w:r>
        <w:t>Liegt</w:t>
      </w:r>
    </w:p>
    <w:p w:rsidR="00C90B7A" w:rsidRDefault="00C90B7A" w:rsidP="00C90B7A">
      <w:pPr>
        <w:pStyle w:val="StandardWeb"/>
      </w:pPr>
      <w:r>
        <w:t>[</w:t>
      </w:r>
      <w:r>
        <w:br/>
        <w:t>\mathfrak M_1</w:t>
      </w:r>
      <w:r>
        <w:br/>
        <w:t>\neq</w:t>
      </w:r>
      <w:r>
        <w:br/>
        <w:t>\mathfrak M_2</w:t>
      </w:r>
      <w:r>
        <w:br/>
        <w:t>\tag{3.12803}</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\mathfrak M_1\neq\mathfrak M_2</w:t>
      </w:r>
    </w:p>
    <w:p w:rsidR="00C90B7A" w:rsidRDefault="00C90B7A" w:rsidP="00C90B7A">
      <w:pPr>
        <w:pStyle w:val="StandardWeb"/>
      </w:pPr>
      <w:r>
        <w:t>und</w:t>
      </w:r>
    </w:p>
    <w:p w:rsidR="00C90B7A" w:rsidRDefault="00C90B7A" w:rsidP="00C90B7A">
      <w:pPr>
        <w:pStyle w:val="berschrift1"/>
      </w:pPr>
      <w:r>
        <w:t>[</w:t>
      </w:r>
      <w:r>
        <w:br/>
        <w:t>\mathcal B_{\mathfrak M}(\mathfrak M_1)</w:t>
      </w:r>
    </w:p>
    <w:p w:rsidR="00C90B7A" w:rsidRDefault="00C90B7A" w:rsidP="00C90B7A">
      <w:pPr>
        <w:pStyle w:val="StandardWeb"/>
      </w:pPr>
      <w:r>
        <w:t>\mathcal B_{\mathfrak M}(\mathfrak M_2)</w:t>
      </w:r>
      <w:r>
        <w:br/>
        <w:t>\tag{3.12804}</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\mathcal B_{\mathfrak M}(\mathfrak M_1)=\mathcal B_{\mathfrak M}(\mathfrak M_2)</w:t>
      </w:r>
    </w:p>
    <w:p w:rsidR="00C90B7A" w:rsidRDefault="00C90B7A" w:rsidP="00C90B7A">
      <w:pPr>
        <w:pStyle w:val="StandardWeb"/>
      </w:pPr>
      <w:r>
        <w:t>vor, ist die Modellstruktur aus diesen Beobachtungen nicht eindeutig bestimmbar.</w:t>
      </w:r>
    </w:p>
    <w:p w:rsidR="00C90B7A" w:rsidRDefault="00E50336" w:rsidP="00C90B7A">
      <w:r>
        <w:pict>
          <v:rect id="_x0000_i4776" style="width:0;height:1.5pt" o:hralign="center" o:hrstd="t" o:hr="t" fillcolor="#a0a0a0" stroked="f"/>
        </w:pict>
      </w:r>
    </w:p>
    <w:p w:rsidR="00C90B7A" w:rsidRDefault="00C90B7A" w:rsidP="00C90B7A">
      <w:pPr>
        <w:pStyle w:val="berschrift1"/>
      </w:pPr>
      <w:r>
        <w:t>3.3.49.246 Kausalitätsidentifizierbarkeit</w:t>
      </w:r>
    </w:p>
    <w:p w:rsidR="00C90B7A" w:rsidRDefault="00C90B7A" w:rsidP="00C90B7A">
      <w:pPr>
        <w:pStyle w:val="StandardWeb"/>
      </w:pPr>
      <w:r>
        <w:t>Für interventionelle Kausalitätsmodelle interessiert insbesondere, ob verschiedene Kausalstrukturen dieselben Beobachtungen erzeugen können.</w:t>
      </w:r>
    </w:p>
    <w:p w:rsidR="00C90B7A" w:rsidRDefault="00C90B7A" w:rsidP="00C90B7A">
      <w:pPr>
        <w:pStyle w:val="StandardWeb"/>
      </w:pPr>
      <w:r>
        <w:t>Ich bezeichne den kausalen Strukturanteil mit</w:t>
      </w:r>
    </w:p>
    <w:p w:rsidR="00C90B7A" w:rsidRDefault="00C90B7A" w:rsidP="00C90B7A">
      <w:pPr>
        <w:pStyle w:val="StandardWeb"/>
      </w:pPr>
      <w:r>
        <w:t>[</w:t>
      </w:r>
      <w:r>
        <w:br/>
        <w:t>\mathfrak C_F.</w:t>
      </w:r>
      <w:r>
        <w:br/>
        <w:t>\tag{3.12805}</w:t>
      </w:r>
      <w:r>
        <w:br/>
        <w:t>]</w:t>
      </w:r>
    </w:p>
    <w:p w:rsidR="00C90B7A" w:rsidRDefault="00C90B7A" w:rsidP="00C90B7A">
      <w:pPr>
        <w:pStyle w:val="StandardWeb"/>
      </w:pPr>
      <w:r>
        <w:rPr>
          <w:rStyle w:val="Fett"/>
        </w:rPr>
        <w:lastRenderedPageBreak/>
        <w:t>Word-LaTeX</w:t>
      </w:r>
    </w:p>
    <w:p w:rsidR="00C90B7A" w:rsidRDefault="00C90B7A" w:rsidP="00C90B7A">
      <w:pPr>
        <w:pStyle w:val="HTMLVorformatiert"/>
        <w:rPr>
          <w:rStyle w:val="HTMLCode"/>
        </w:rPr>
      </w:pPr>
      <w:r>
        <w:rPr>
          <w:rStyle w:val="HTMLCode"/>
        </w:rPr>
        <w:t>\mathfrak C_F</w:t>
      </w:r>
    </w:p>
    <w:p w:rsidR="00C90B7A" w:rsidRDefault="00E50336" w:rsidP="00C90B7A">
      <w:r>
        <w:pict>
          <v:rect id="_x0000_i4777" style="width:0;height:1.5pt" o:hralign="center" o:hrstd="t" o:hr="t" fillcolor="#a0a0a0" stroked="f"/>
        </w:pict>
      </w:r>
    </w:p>
    <w:p w:rsidR="00C90B7A" w:rsidRDefault="00C90B7A" w:rsidP="00C90B7A">
      <w:pPr>
        <w:pStyle w:val="berschrift1"/>
      </w:pPr>
      <w:r>
        <w:t>3.3.49.247 Definition 3.3.443 – Funktionale Kausalitätsidentifizierbarkeit</w:t>
      </w:r>
    </w:p>
    <w:p w:rsidR="00C90B7A" w:rsidRDefault="00C90B7A" w:rsidP="00C90B7A">
      <w:pPr>
        <w:pStyle w:val="berschrift3"/>
      </w:pPr>
      <w:r>
        <w:t>Definition 3.3.443</w:t>
      </w:r>
    </w:p>
    <w:p w:rsidR="00C90B7A" w:rsidRDefault="00C90B7A" w:rsidP="00C90B7A">
      <w:pPr>
        <w:pStyle w:val="StandardWeb"/>
      </w:pPr>
      <w:r>
        <w:t xml:space="preserve">Eine funktionale Kausalstruktur (\mathfrak C_F) heißt </w:t>
      </w:r>
      <w:r>
        <w:rPr>
          <w:rStyle w:val="Fett"/>
        </w:rPr>
        <w:t>identifizierbar</w:t>
      </w:r>
      <w:r>
        <w:t>, wenn die verfügbaren Beobachtungs- und gegebenenfalls Interventionsdaten keine andere zulässige Kausalstruktur mit identischer Datenrepräsentation zulassen.</w:t>
      </w:r>
    </w:p>
    <w:p w:rsidR="00C90B7A" w:rsidRDefault="00C90B7A" w:rsidP="00C90B7A">
      <w:pPr>
        <w:pStyle w:val="StandardWeb"/>
      </w:pPr>
      <w:r>
        <w:t>Formal:</w:t>
      </w:r>
    </w:p>
    <w:p w:rsidR="00C90B7A" w:rsidRDefault="00C90B7A" w:rsidP="00C90B7A">
      <w:pPr>
        <w:pStyle w:val="berschrift1"/>
      </w:pPr>
      <w:r>
        <w:t>[</w:t>
      </w:r>
      <w:r>
        <w:br/>
        <w:t>\boxed{</w:t>
      </w:r>
      <w:r>
        <w:br/>
        <w:t>\mathcal B_{\mathfrak C}(\mathfrak C_1)</w:t>
      </w:r>
    </w:p>
    <w:p w:rsidR="00C90B7A" w:rsidRDefault="00C90B7A" w:rsidP="00C90B7A">
      <w:pPr>
        <w:pStyle w:val="berschrift1"/>
      </w:pPr>
      <w:r>
        <w:t>\mathcal B_{\mathfrak C}(\mathfrak C_2)</w:t>
      </w:r>
      <w:r>
        <w:br/>
        <w:t>\Rightarrow</w:t>
      </w:r>
      <w:r>
        <w:br/>
        <w:t>\mathfrak C_1</w:t>
      </w:r>
    </w:p>
    <w:p w:rsidR="00C90B7A" w:rsidRDefault="00C90B7A" w:rsidP="00C90B7A">
      <w:pPr>
        <w:pStyle w:val="StandardWeb"/>
      </w:pPr>
      <w:r>
        <w:t>\mathfrak C_2.</w:t>
      </w:r>
      <w:r>
        <w:br/>
        <w:t>}</w:t>
      </w:r>
      <w:r>
        <w:br/>
        <w:t>\tag{3.12806}</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\boxed{\mathcal B_{\mathfrak C}(\mathfrak C_1)=\mathcal B_{\mathfrak C}(\mathfrak C_2)\Rightarrow\mathfrak C_1=\mathfrak C_2.}</w:t>
      </w:r>
    </w:p>
    <w:p w:rsidR="00C90B7A" w:rsidRDefault="00E50336" w:rsidP="00C90B7A">
      <w:r>
        <w:pict>
          <v:rect id="_x0000_i4778" style="width:0;height:1.5pt" o:hralign="center" o:hrstd="t" o:hr="t" fillcolor="#a0a0a0" stroked="f"/>
        </w:pict>
      </w:r>
    </w:p>
    <w:p w:rsidR="00C90B7A" w:rsidRDefault="00C90B7A" w:rsidP="00C90B7A">
      <w:pPr>
        <w:pStyle w:val="berschrift1"/>
      </w:pPr>
      <w:r>
        <w:t>3.3.49.248 Beobachtungsdaten können mehrere Kausalstrukturen zulassen</w:t>
      </w:r>
    </w:p>
    <w:p w:rsidR="00C90B7A" w:rsidRDefault="00C90B7A" w:rsidP="00C90B7A">
      <w:pPr>
        <w:pStyle w:val="StandardWeb"/>
      </w:pPr>
      <w:r>
        <w:t>Es kann</w:t>
      </w:r>
    </w:p>
    <w:p w:rsidR="00C90B7A" w:rsidRDefault="00C90B7A" w:rsidP="00C90B7A">
      <w:pPr>
        <w:pStyle w:val="StandardWeb"/>
      </w:pPr>
      <w:r>
        <w:t>[</w:t>
      </w:r>
      <w:r>
        <w:br/>
        <w:t>\mathfrak C_1</w:t>
      </w:r>
      <w:r>
        <w:br/>
        <w:t>\neq</w:t>
      </w:r>
      <w:r>
        <w:br/>
        <w:t>\mathfrak C_2</w:t>
      </w:r>
      <w:r>
        <w:br/>
      </w:r>
      <w:r>
        <w:lastRenderedPageBreak/>
        <w:t>\tag{3.12807}</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\mathfrak C_1\neq\mathfrak C_2</w:t>
      </w:r>
    </w:p>
    <w:p w:rsidR="00C90B7A" w:rsidRDefault="00C90B7A" w:rsidP="00C90B7A">
      <w:pPr>
        <w:pStyle w:val="StandardWeb"/>
      </w:pPr>
      <w:r>
        <w:t>bei</w:t>
      </w:r>
    </w:p>
    <w:p w:rsidR="00C90B7A" w:rsidRDefault="00C90B7A" w:rsidP="00C90B7A">
      <w:pPr>
        <w:pStyle w:val="berschrift1"/>
      </w:pPr>
      <w:r>
        <w:t>[</w:t>
      </w:r>
      <w:r>
        <w:br/>
        <w:t>\mathcal B_{\mathfrak C}(\mathfrak C_1)</w:t>
      </w:r>
    </w:p>
    <w:p w:rsidR="00C90B7A" w:rsidRDefault="00C90B7A" w:rsidP="00C90B7A">
      <w:pPr>
        <w:pStyle w:val="StandardWeb"/>
      </w:pPr>
      <w:r>
        <w:t>\mathcal B_{\mathfrak C}(\mathfrak C_2)</w:t>
      </w:r>
      <w:r>
        <w:br/>
        <w:t>\tag{3.12808}</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\mathcal B_{\mathfrak C}(\mathfrak C_1)=\mathcal B_{\mathfrak C}(\mathfrak C_2)</w:t>
      </w:r>
    </w:p>
    <w:p w:rsidR="00C90B7A" w:rsidRDefault="00C90B7A" w:rsidP="00C90B7A">
      <w:pPr>
        <w:pStyle w:val="StandardWeb"/>
      </w:pPr>
      <w:r>
        <w:t>gelten.</w:t>
      </w:r>
    </w:p>
    <w:p w:rsidR="00C90B7A" w:rsidRDefault="00E50336" w:rsidP="00C90B7A">
      <w:r>
        <w:pict>
          <v:rect id="_x0000_i4779" style="width:0;height:1.5pt" o:hralign="center" o:hrstd="t" o:hr="t" fillcolor="#a0a0a0" stroked="f"/>
        </w:pict>
      </w:r>
    </w:p>
    <w:p w:rsidR="00C90B7A" w:rsidRDefault="00C90B7A" w:rsidP="00C90B7A">
      <w:pPr>
        <w:pStyle w:val="berschrift1"/>
      </w:pPr>
      <w:r>
        <w:t>3.3.49.249 Interventionen können Äquivalenzklassen verkleinern</w:t>
      </w:r>
    </w:p>
    <w:p w:rsidR="00C90B7A" w:rsidRDefault="00C90B7A" w:rsidP="00C90B7A">
      <w:pPr>
        <w:pStyle w:val="StandardWeb"/>
      </w:pPr>
      <w:r>
        <w:t>Erweitere ich die Beobachtungsdaten um Interventionsantworten, kann die Menge kompatibler Modelle kleiner werden.</w:t>
      </w:r>
    </w:p>
    <w:p w:rsidR="00C90B7A" w:rsidRDefault="00C90B7A" w:rsidP="00C90B7A">
      <w:pPr>
        <w:pStyle w:val="StandardWeb"/>
      </w:pPr>
      <w:r>
        <w:t>Sei</w:t>
      </w:r>
    </w:p>
    <w:p w:rsidR="00C90B7A" w:rsidRDefault="00C90B7A" w:rsidP="00C90B7A">
      <w:pPr>
        <w:pStyle w:val="StandardWeb"/>
      </w:pPr>
      <w:r>
        <w:t>[</w:t>
      </w:r>
      <w:r>
        <w:br/>
        <w:t>\mathcal E_{\mathrm{obs}}</w:t>
      </w:r>
      <w:r>
        <w:br/>
        <w:t>\tag{3.12809}</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\mathcal E_{\mathrm{obs}}</w:t>
      </w:r>
    </w:p>
    <w:p w:rsidR="00C90B7A" w:rsidRDefault="00C90B7A" w:rsidP="00C90B7A">
      <w:pPr>
        <w:pStyle w:val="StandardWeb"/>
      </w:pPr>
      <w:r>
        <w:t>die Menge beobachtungsäquivalenter Modelle und</w:t>
      </w:r>
    </w:p>
    <w:p w:rsidR="00C90B7A" w:rsidRDefault="00C90B7A" w:rsidP="00C90B7A">
      <w:pPr>
        <w:pStyle w:val="StandardWeb"/>
      </w:pPr>
      <w:r>
        <w:t>[</w:t>
      </w:r>
      <w:r>
        <w:br/>
        <w:t>\mathcal E_{\mathrm{do}}</w:t>
      </w:r>
      <w:r>
        <w:br/>
        <w:t>\tag{3.12810}</w:t>
      </w:r>
      <w:r>
        <w:br/>
        <w:t>]</w:t>
      </w:r>
    </w:p>
    <w:p w:rsidR="00C90B7A" w:rsidRDefault="00C90B7A" w:rsidP="00C90B7A">
      <w:pPr>
        <w:pStyle w:val="StandardWeb"/>
      </w:pPr>
      <w:r>
        <w:rPr>
          <w:rStyle w:val="Fett"/>
        </w:rPr>
        <w:lastRenderedPageBreak/>
        <w:t>Word-LaTeX</w:t>
      </w:r>
    </w:p>
    <w:p w:rsidR="00C90B7A" w:rsidRDefault="00C90B7A" w:rsidP="00C90B7A">
      <w:pPr>
        <w:pStyle w:val="HTMLVorformatiert"/>
        <w:rPr>
          <w:rStyle w:val="HTMLCode"/>
        </w:rPr>
      </w:pPr>
      <w:r>
        <w:rPr>
          <w:rStyle w:val="HTMLCode"/>
        </w:rPr>
        <w:t>\mathcal E_{\mathrm{do}}</w:t>
      </w:r>
    </w:p>
    <w:p w:rsidR="00C90B7A" w:rsidRDefault="00C90B7A" w:rsidP="00C90B7A">
      <w:pPr>
        <w:pStyle w:val="StandardWeb"/>
      </w:pPr>
      <w:r>
        <w:t>die Menge zusätzlich interventionsäquivalenter Modelle.</w:t>
      </w:r>
    </w:p>
    <w:p w:rsidR="00C90B7A" w:rsidRDefault="00C90B7A" w:rsidP="00C90B7A">
      <w:pPr>
        <w:pStyle w:val="StandardWeb"/>
      </w:pPr>
      <w:r>
        <w:t>Dann kann gelten</w:t>
      </w:r>
    </w:p>
    <w:p w:rsidR="00C90B7A" w:rsidRDefault="00C90B7A" w:rsidP="00C90B7A">
      <w:pPr>
        <w:pStyle w:val="StandardWeb"/>
      </w:pPr>
      <w:r>
        <w:t>[</w:t>
      </w:r>
      <w:r>
        <w:br/>
        <w:t>\mathcal E_{\mathrm{do}}</w:t>
      </w:r>
      <w:r>
        <w:br/>
        <w:t>\subseteq</w:t>
      </w:r>
      <w:r>
        <w:br/>
        <w:t>\mathcal E_{\mathrm{obs}}.</w:t>
      </w:r>
      <w:r>
        <w:br/>
        <w:t>\tag{3.12811}</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\mathcal E_{\mathrm{do}}\subseteq\mathcal E_{\mathrm{obs}}</w:t>
      </w:r>
    </w:p>
    <w:p w:rsidR="00C90B7A" w:rsidRDefault="00E50336" w:rsidP="00C90B7A">
      <w:r>
        <w:pict>
          <v:rect id="_x0000_i4780" style="width:0;height:1.5pt" o:hralign="center" o:hrstd="t" o:hr="t" fillcolor="#a0a0a0" stroked="f"/>
        </w:pict>
      </w:r>
    </w:p>
    <w:p w:rsidR="00C90B7A" w:rsidRDefault="00C90B7A" w:rsidP="00C90B7A">
      <w:pPr>
        <w:pStyle w:val="berschrift1"/>
      </w:pPr>
      <w:r>
        <w:t>3.3.49.250 Definition 3.3.444 – Funktionale Interventionsäquivalenzklasse</w:t>
      </w:r>
    </w:p>
    <w:p w:rsidR="00C90B7A" w:rsidRDefault="00C90B7A" w:rsidP="00C90B7A">
      <w:pPr>
        <w:pStyle w:val="berschrift3"/>
      </w:pPr>
      <w:r>
        <w:t>Definition 3.3.444</w:t>
      </w:r>
    </w:p>
    <w:p w:rsidR="00C90B7A" w:rsidRDefault="00C90B7A" w:rsidP="00C90B7A">
      <w:pPr>
        <w:pStyle w:val="StandardWeb"/>
      </w:pPr>
      <w:r>
        <w:t xml:space="preserve">Die </w:t>
      </w:r>
      <w:r>
        <w:rPr>
          <w:rStyle w:val="Fett"/>
        </w:rPr>
        <w:t>funktionale Interventionsäquivalenzklasse</w:t>
      </w:r>
      <w:r>
        <w:t xml:space="preserve"> einer Modellstruktur (\mathfrak M) ist</w:t>
      </w:r>
    </w:p>
    <w:p w:rsidR="00C90B7A" w:rsidRDefault="00C90B7A" w:rsidP="00C90B7A">
      <w:pPr>
        <w:pStyle w:val="berschrift1"/>
      </w:pPr>
      <w:r>
        <w:t>[</w:t>
      </w:r>
      <w:r>
        <w:br/>
        <w:t>\boxed{</w:t>
      </w:r>
      <w:r>
        <w:br/>
        <w:t>[\mathfrak M]_{\operatorname{do}}</w:t>
      </w:r>
    </w:p>
    <w:p w:rsidR="00C90B7A" w:rsidRDefault="00C90B7A" w:rsidP="00C90B7A">
      <w:pPr>
        <w:pStyle w:val="berschrift1"/>
      </w:pPr>
      <w:r>
        <w:t>{</w:t>
      </w:r>
      <w:r>
        <w:br/>
        <w:t>\mathfrak M':</w:t>
      </w:r>
      <w:r>
        <w:br/>
        <w:t>\mathcal B_{\operatorname{do}}(\mathfrak M')</w:t>
      </w:r>
    </w:p>
    <w:p w:rsidR="00C90B7A" w:rsidRDefault="00C90B7A" w:rsidP="00C90B7A">
      <w:pPr>
        <w:pStyle w:val="StandardWeb"/>
      </w:pPr>
      <w:r>
        <w:t>\mathcal B_{\operatorname{do}}(\mathfrak M)</w:t>
      </w:r>
      <w:r>
        <w:br/>
        <w:t>}.</w:t>
      </w:r>
      <w:r>
        <w:br/>
        <w:t>}</w:t>
      </w:r>
      <w:r>
        <w:br/>
        <w:t>\tag{3.12812}</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\boxed{[\mathfrak M]_{\operatorname{do}}=\{\mathfrak M':\mathcal B_{\operatorname{do}}(\mathfrak M')=\mathcal B_{\operatorname{do}}(\mathfrak M)\}.}</w:t>
      </w:r>
    </w:p>
    <w:p w:rsidR="00C90B7A" w:rsidRDefault="00E50336" w:rsidP="00C90B7A">
      <w:r>
        <w:lastRenderedPageBreak/>
        <w:pict>
          <v:rect id="_x0000_i4781" style="width:0;height:1.5pt" o:hralign="center" o:hrstd="t" o:hr="t" fillcolor="#a0a0a0" stroked="f"/>
        </w:pict>
      </w:r>
    </w:p>
    <w:p w:rsidR="00C90B7A" w:rsidRDefault="00C90B7A" w:rsidP="00C90B7A">
      <w:pPr>
        <w:pStyle w:val="berschrift1"/>
      </w:pPr>
      <w:r>
        <w:t>3.3.49.251 Satz 3.3.172 – Zusätzliche Interventionsinformation kann die Modelläquivalenzklasse nur verkleinern oder unverändert lassen</w:t>
      </w:r>
    </w:p>
    <w:p w:rsidR="00C90B7A" w:rsidRDefault="00C90B7A" w:rsidP="00C90B7A">
      <w:pPr>
        <w:pStyle w:val="berschrift3"/>
      </w:pPr>
      <w:r>
        <w:t>Satz 3.3.172</w:t>
      </w:r>
    </w:p>
    <w:p w:rsidR="00C90B7A" w:rsidRDefault="00C90B7A" w:rsidP="00C90B7A">
      <w:pPr>
        <w:pStyle w:val="StandardWeb"/>
      </w:pPr>
      <w:r>
        <w:t>Wenn die Interventionsdaten zusätzlich zu den Beobachtungsdaten ausgewertet werden, gilt</w:t>
      </w:r>
    </w:p>
    <w:p w:rsidR="00C90B7A" w:rsidRDefault="00C90B7A" w:rsidP="00C90B7A">
      <w:pPr>
        <w:pStyle w:val="StandardWeb"/>
      </w:pPr>
      <w:r>
        <w:t>[</w:t>
      </w:r>
      <w:r>
        <w:br/>
        <w:t>\boxed{</w:t>
      </w:r>
      <w:r>
        <w:br/>
        <w:t>[\mathfrak M]</w:t>
      </w:r>
      <w:r>
        <w:rPr>
          <w:rStyle w:val="Hervorhebung"/>
        </w:rPr>
        <w:t>{\operatorname{obs+do}}</w:t>
      </w:r>
      <w:r>
        <w:rPr>
          <w:i/>
          <w:iCs/>
        </w:rPr>
        <w:br/>
      </w:r>
      <w:r>
        <w:rPr>
          <w:rStyle w:val="Hervorhebung"/>
        </w:rPr>
        <w:t>\subseteq</w:t>
      </w:r>
      <w:r>
        <w:rPr>
          <w:i/>
          <w:iCs/>
        </w:rPr>
        <w:br/>
      </w:r>
      <w:r>
        <w:rPr>
          <w:rStyle w:val="Hervorhebung"/>
        </w:rPr>
        <w:t>[\mathfrak M]</w:t>
      </w:r>
      <w:r>
        <w:t>{\operatorname{obs}}.</w:t>
      </w:r>
      <w:r>
        <w:br/>
        <w:t>}</w:t>
      </w:r>
      <w:r>
        <w:br/>
        <w:t>\tag{3.12813}</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\boxed{[\mathfrak M]_{\operatorname{obs+do}}\subseteq[\mathfrak M]_{\operatorname{obs}}.}</w:t>
      </w:r>
    </w:p>
    <w:p w:rsidR="00C90B7A" w:rsidRDefault="00C90B7A" w:rsidP="00C90B7A">
      <w:pPr>
        <w:pStyle w:val="berschrift3"/>
      </w:pPr>
      <w:r>
        <w:t>Beweis</w:t>
      </w:r>
    </w:p>
    <w:p w:rsidR="00C90B7A" w:rsidRDefault="00C90B7A" w:rsidP="00C90B7A">
      <w:pPr>
        <w:pStyle w:val="StandardWeb"/>
      </w:pPr>
      <w:r>
        <w:t>Jedes Modell, das sowohl Beobachtungs- als auch Interventionsdaten reproduziert, reproduziert insbesondere die Beobachtungsdaten. Daher ist die Menge der mit beiden Datentypen kompatiblen Modelle eine Teilmenge der rein beobachtungskompatiblen Modelle. (\square)</w:t>
      </w:r>
    </w:p>
    <w:p w:rsidR="00C90B7A" w:rsidRDefault="00E50336" w:rsidP="00C90B7A">
      <w:r>
        <w:pict>
          <v:rect id="_x0000_i4782" style="width:0;height:1.5pt" o:hralign="center" o:hrstd="t" o:hr="t" fillcolor="#a0a0a0" stroked="f"/>
        </w:pict>
      </w:r>
    </w:p>
    <w:p w:rsidR="00C90B7A" w:rsidRDefault="00C90B7A" w:rsidP="00C90B7A">
      <w:pPr>
        <w:pStyle w:val="berschrift1"/>
      </w:pPr>
      <w:r>
        <w:t>3.3.49.252 Korollar 3.3.39 – Interventionen garantieren dennoch keine eindeutige Identifizierbarkeit</w:t>
      </w:r>
    </w:p>
    <w:p w:rsidR="00C90B7A" w:rsidRDefault="00C90B7A" w:rsidP="00C90B7A">
      <w:pPr>
        <w:pStyle w:val="berschrift3"/>
      </w:pPr>
      <w:r>
        <w:t>Korollar 3.3.39</w:t>
      </w:r>
    </w:p>
    <w:p w:rsidR="00C90B7A" w:rsidRDefault="00C90B7A" w:rsidP="00C90B7A">
      <w:pPr>
        <w:pStyle w:val="StandardWeb"/>
      </w:pPr>
      <w:r>
        <w:t>Auch wenn</w:t>
      </w:r>
    </w:p>
    <w:p w:rsidR="00C90B7A" w:rsidRDefault="00C90B7A" w:rsidP="00C90B7A">
      <w:pPr>
        <w:pStyle w:val="StandardWeb"/>
      </w:pPr>
      <w:r>
        <w:t>[</w:t>
      </w:r>
      <w:r>
        <w:br/>
        <w:t>[\mathfrak M]</w:t>
      </w:r>
      <w:r>
        <w:rPr>
          <w:rStyle w:val="Hervorhebung"/>
        </w:rPr>
        <w:t>{\operatorname{obs+do}}</w:t>
      </w:r>
      <w:r>
        <w:rPr>
          <w:i/>
          <w:iCs/>
        </w:rPr>
        <w:br/>
      </w:r>
      <w:r>
        <w:rPr>
          <w:rStyle w:val="Hervorhebung"/>
        </w:rPr>
        <w:t>\subseteq</w:t>
      </w:r>
      <w:r>
        <w:rPr>
          <w:i/>
          <w:iCs/>
        </w:rPr>
        <w:br/>
      </w:r>
      <w:r>
        <w:rPr>
          <w:rStyle w:val="Hervorhebung"/>
        </w:rPr>
        <w:t>[\mathfrak M]</w:t>
      </w:r>
      <w:r>
        <w:t>{\operatorname{obs}},</w:t>
      </w:r>
      <w:r>
        <w:br/>
        <w:t>\tag{3.12814}</w:t>
      </w:r>
      <w:r>
        <w:br/>
        <w:t>]</w:t>
      </w:r>
    </w:p>
    <w:p w:rsidR="00C90B7A" w:rsidRDefault="00C90B7A" w:rsidP="00C90B7A">
      <w:pPr>
        <w:pStyle w:val="StandardWeb"/>
      </w:pPr>
      <w:r>
        <w:rPr>
          <w:rStyle w:val="Fett"/>
        </w:rPr>
        <w:lastRenderedPageBreak/>
        <w:t>Word-LaTeX</w:t>
      </w:r>
    </w:p>
    <w:p w:rsidR="00C90B7A" w:rsidRDefault="00C90B7A" w:rsidP="00C90B7A">
      <w:pPr>
        <w:pStyle w:val="HTMLVorformatiert"/>
        <w:rPr>
          <w:rStyle w:val="HTMLCode"/>
        </w:rPr>
      </w:pPr>
      <w:r>
        <w:rPr>
          <w:rStyle w:val="HTMLCode"/>
        </w:rPr>
        <w:t>[\mathfrak M]_{\operatorname{obs+do}}\subseteq[\mathfrak M]_{\operatorname{obs}}</w:t>
      </w:r>
    </w:p>
    <w:p w:rsidR="00C90B7A" w:rsidRDefault="00C90B7A" w:rsidP="00C90B7A">
      <w:pPr>
        <w:pStyle w:val="StandardWeb"/>
      </w:pPr>
      <w:r>
        <w:t>kann weiterhin gelten</w:t>
      </w:r>
    </w:p>
    <w:p w:rsidR="00C90B7A" w:rsidRDefault="00C90B7A" w:rsidP="00C90B7A">
      <w:pPr>
        <w:pStyle w:val="StandardWeb"/>
      </w:pPr>
      <w:r>
        <w:t>[</w:t>
      </w:r>
      <w:r>
        <w:br/>
        <w:t>\left|</w:t>
      </w:r>
      <w:r>
        <w:br/>
        <w:t>[\mathfrak M]_{\operatorname{obs+do}}</w:t>
      </w:r>
      <w:r>
        <w:br/>
        <w:t>\right|</w:t>
      </w:r>
    </w:p>
    <w:p w:rsidR="00C90B7A" w:rsidRDefault="00C90B7A" w:rsidP="00563F88">
      <w:pPr>
        <w:numPr>
          <w:ilvl w:val="0"/>
          <w:numId w:val="579"/>
        </w:numPr>
        <w:spacing w:before="100" w:beforeAutospacing="1" w:after="100" w:afterAutospacing="1"/>
      </w:pPr>
    </w:p>
    <w:p w:rsidR="00C90B7A" w:rsidRDefault="00C90B7A" w:rsidP="00C90B7A">
      <w:pPr>
        <w:pStyle w:val="StandardWeb"/>
      </w:pPr>
      <w:r>
        <w:t>\tag{3.12815}</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\left|[\mathfrak M]_{\operatorname{obs+do}}\right|&gt;1</w:t>
      </w:r>
    </w:p>
    <w:p w:rsidR="00C90B7A" w:rsidRDefault="00E50336" w:rsidP="00C90B7A">
      <w:r>
        <w:pict>
          <v:rect id="_x0000_i4783" style="width:0;height:1.5pt" o:hralign="center" o:hrstd="t" o:hr="t" fillcolor="#a0a0a0" stroked="f"/>
        </w:pict>
      </w:r>
    </w:p>
    <w:p w:rsidR="00C90B7A" w:rsidRDefault="00C90B7A" w:rsidP="00C90B7A">
      <w:pPr>
        <w:pStyle w:val="berschrift1"/>
      </w:pPr>
      <w:r>
        <w:t>3.3.49.253 Universelle Identifizierbarkeit als Primäraxiomkandidat</w:t>
      </w:r>
    </w:p>
    <w:p w:rsidR="00C90B7A" w:rsidRDefault="00C90B7A" w:rsidP="00C90B7A">
      <w:pPr>
        <w:pStyle w:val="StandardWeb"/>
      </w:pPr>
      <w:r>
        <w:t>Ein möglicher Primäraxiomkandidat wäre</w:t>
      </w:r>
    </w:p>
    <w:p w:rsidR="00C90B7A" w:rsidRDefault="00C90B7A" w:rsidP="00C90B7A">
      <w:pPr>
        <w:pStyle w:val="berschrift1"/>
      </w:pPr>
      <w:r>
        <w:t>[</w:t>
      </w:r>
      <w:r>
        <w:br/>
        <w:t>A_{\mathrm{ident}}</w:t>
      </w:r>
      <w:r>
        <w:br/>
        <w:t>:</w:t>
      </w:r>
      <w:r>
        <w:br/>
        <w:t>\left|</w:t>
      </w:r>
      <w:r>
        <w:br/>
        <w:t>[\mathfrak M]_{\operatorname{obs+do}}</w:t>
      </w:r>
      <w:r>
        <w:br/>
        <w:t>\right|</w:t>
      </w:r>
    </w:p>
    <w:p w:rsidR="00C90B7A" w:rsidRDefault="00C90B7A" w:rsidP="00C90B7A">
      <w:pPr>
        <w:pStyle w:val="StandardWeb"/>
      </w:pPr>
      <w:r>
        <w:t>1</w:t>
      </w:r>
      <w:r>
        <w:br/>
        <w:t>\qquad</w:t>
      </w:r>
      <w:r>
        <w:br/>
        <w:t>\forall\mathfrak M.</w:t>
      </w:r>
      <w:r>
        <w:br/>
        <w:t>\tag{3.12816}</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A_{\mathrm{ident}}:\left|[\mathfrak M]_{\operatorname{obs+do}}\right|=1\qquad\forall\mathfrak M</w:t>
      </w:r>
    </w:p>
    <w:p w:rsidR="00C90B7A" w:rsidRDefault="00E50336" w:rsidP="00C90B7A">
      <w:r>
        <w:pict>
          <v:rect id="_x0000_i4784" style="width:0;height:1.5pt" o:hralign="center" o:hrstd="t" o:hr="t" fillcolor="#a0a0a0" stroked="f"/>
        </w:pict>
      </w:r>
    </w:p>
    <w:p w:rsidR="00C90B7A" w:rsidRDefault="00C90B7A" w:rsidP="00C90B7A">
      <w:pPr>
        <w:pStyle w:val="berschrift1"/>
      </w:pPr>
      <w:r>
        <w:lastRenderedPageBreak/>
        <w:t>3.3.49.254 Gegenmodell zur universellen Identifizierbarkeit</w:t>
      </w:r>
    </w:p>
    <w:p w:rsidR="00C90B7A" w:rsidRDefault="00C90B7A" w:rsidP="00C90B7A">
      <w:pPr>
        <w:pStyle w:val="StandardWeb"/>
      </w:pPr>
      <w:r>
        <w:t>Es können unterschiedliche Modellstrukturen dieselben verfügbaren Beobachtungs- und Interventionsdaten erzeugen:</w:t>
      </w:r>
    </w:p>
    <w:p w:rsidR="00C90B7A" w:rsidRDefault="00C90B7A" w:rsidP="00C90B7A">
      <w:pPr>
        <w:pStyle w:val="StandardWeb"/>
      </w:pPr>
      <w:r>
        <w:t>[</w:t>
      </w:r>
      <w:r>
        <w:br/>
        <w:t>\mathfrak M_1</w:t>
      </w:r>
      <w:r>
        <w:br/>
        <w:t>\neq</w:t>
      </w:r>
      <w:r>
        <w:br/>
        <w:t>\mathfrak M_2</w:t>
      </w:r>
      <w:r>
        <w:br/>
        <w:t>\tag{3.12817}</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\mathfrak M_1\neq\mathfrak M_2</w:t>
      </w:r>
    </w:p>
    <w:p w:rsidR="00C90B7A" w:rsidRDefault="00C90B7A" w:rsidP="00C90B7A">
      <w:pPr>
        <w:pStyle w:val="StandardWeb"/>
      </w:pPr>
      <w:r>
        <w:t>und zugleich</w:t>
      </w:r>
    </w:p>
    <w:p w:rsidR="00C90B7A" w:rsidRDefault="00C90B7A" w:rsidP="00C90B7A">
      <w:pPr>
        <w:pStyle w:val="berschrift1"/>
      </w:pPr>
      <w:r>
        <w:t>[</w:t>
      </w:r>
      <w:r>
        <w:br/>
        <w:t>\mathcal B_{\operatorname{obs+do}}(\mathfrak M_1)</w:t>
      </w:r>
    </w:p>
    <w:p w:rsidR="00C90B7A" w:rsidRDefault="00C90B7A" w:rsidP="00C90B7A">
      <w:pPr>
        <w:pStyle w:val="StandardWeb"/>
      </w:pPr>
      <w:r>
        <w:t>\mathcal B_{\operatorname{obs+do}}(\mathfrak M_2).</w:t>
      </w:r>
      <w:r>
        <w:br/>
        <w:t>\tag{3.12818}</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\mathcal B_{\operatorname{obs+do}}(\mathfrak M_1)=\mathcal B_{\operatorname{obs+do}}(\mathfrak M_2)</w:t>
      </w:r>
    </w:p>
    <w:p w:rsidR="00C90B7A" w:rsidRDefault="00E50336" w:rsidP="00C90B7A">
      <w:r>
        <w:pict>
          <v:rect id="_x0000_i4785" style="width:0;height:1.5pt" o:hralign="center" o:hrstd="t" o:hr="t" fillcolor="#a0a0a0" stroked="f"/>
        </w:pict>
      </w:r>
    </w:p>
    <w:p w:rsidR="00C90B7A" w:rsidRDefault="00C90B7A" w:rsidP="00C90B7A">
      <w:pPr>
        <w:pStyle w:val="berschrift1"/>
      </w:pPr>
      <w:r>
        <w:t>3.3.49.255 Axiomentscheidung zur universellen Identifizierbarkeit</w:t>
      </w:r>
    </w:p>
    <w:p w:rsidR="00C90B7A" w:rsidRDefault="00C90B7A" w:rsidP="00C90B7A">
      <w:pPr>
        <w:pStyle w:val="StandardWeb"/>
      </w:pPr>
      <w:r>
        <w:t>Daher gilt</w:t>
      </w:r>
    </w:p>
    <w:p w:rsidR="00C90B7A" w:rsidRDefault="00C90B7A" w:rsidP="00C90B7A">
      <w:pPr>
        <w:pStyle w:val="berschrift1"/>
      </w:pPr>
      <w:r>
        <w:t>[</w:t>
      </w:r>
      <w:r>
        <w:br/>
        <w:t>\boxed{</w:t>
      </w:r>
      <w:r>
        <w:br/>
        <w:t>U_{\mathrm{Ax}}</w:t>
      </w:r>
      <w:r>
        <w:br/>
        <w:t>(A_{\mathrm{ident}})</w:t>
      </w:r>
    </w:p>
    <w:p w:rsidR="00C90B7A" w:rsidRDefault="00C90B7A" w:rsidP="00563F88">
      <w:pPr>
        <w:numPr>
          <w:ilvl w:val="0"/>
          <w:numId w:val="580"/>
        </w:numPr>
        <w:spacing w:before="100" w:beforeAutospacing="1" w:after="100" w:afterAutospacing="1"/>
      </w:pPr>
    </w:p>
    <w:p w:rsidR="00C90B7A" w:rsidRDefault="00C90B7A" w:rsidP="00C90B7A">
      <w:pPr>
        <w:pStyle w:val="StandardWeb"/>
      </w:pPr>
      <w:r>
        <w:t>}</w:t>
      </w:r>
      <w:r>
        <w:br/>
        <w:t>\tag{3.12819}</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\boxed{U_{\mathrm{Ax}}(A_{\mathrm{ident}})=0.}</w:t>
      </w:r>
    </w:p>
    <w:p w:rsidR="00C90B7A" w:rsidRDefault="00E50336" w:rsidP="00C90B7A">
      <w:r>
        <w:pict>
          <v:rect id="_x0000_i4786" style="width:0;height:1.5pt" o:hralign="center" o:hrstd="t" o:hr="t" fillcolor="#a0a0a0" stroked="f"/>
        </w:pict>
      </w:r>
    </w:p>
    <w:p w:rsidR="00C90B7A" w:rsidRDefault="00C90B7A" w:rsidP="00C90B7A">
      <w:pPr>
        <w:pStyle w:val="berschrift1"/>
      </w:pPr>
      <w:r>
        <w:t>3.3.49.256 Satz 3.3.173 – Universelle strukturelle Identifizierbarkeit ist kein Primäraxiom</w:t>
      </w:r>
    </w:p>
    <w:p w:rsidR="00C90B7A" w:rsidRDefault="00C90B7A" w:rsidP="00C90B7A">
      <w:pPr>
        <w:pStyle w:val="berschrift3"/>
      </w:pPr>
      <w:r>
        <w:t>Satz 3.3.173</w:t>
      </w:r>
    </w:p>
    <w:p w:rsidR="00C90B7A" w:rsidRDefault="00C90B7A" w:rsidP="00C90B7A">
      <w:pPr>
        <w:pStyle w:val="StandardWeb"/>
      </w:pPr>
      <w:r>
        <w:t>Die Forderung, jede zulässige funktionale Einfluss- oder Kausalstruktur müsse aus verfügbaren Beobachtungs- und Interventionsdaten eindeutig rekonstruierbar sein, ist keine universell notwendige Voraussetzung des allgemeinen FRZK.</w:t>
      </w:r>
    </w:p>
    <w:p w:rsidR="00C90B7A" w:rsidRDefault="00C90B7A" w:rsidP="00C90B7A">
      <w:pPr>
        <w:pStyle w:val="StandardWeb"/>
      </w:pPr>
      <w:r>
        <w:t>Formal gilt</w:t>
      </w:r>
    </w:p>
    <w:p w:rsidR="00C90B7A" w:rsidRDefault="00C90B7A" w:rsidP="00C90B7A">
      <w:pPr>
        <w:pStyle w:val="berschrift1"/>
      </w:pPr>
      <w:r>
        <w:t>[</w:t>
      </w:r>
      <w:r>
        <w:br/>
        <w:t>\boxed{</w:t>
      </w:r>
      <w:r>
        <w:br/>
        <w:t>U_{\mathrm{Ax}}</w:t>
      </w:r>
      <w:r>
        <w:br/>
        <w:t>(A_{\mathrm{ident}})</w:t>
      </w:r>
    </w:p>
    <w:p w:rsidR="00C90B7A" w:rsidRDefault="00C90B7A" w:rsidP="00563F88">
      <w:pPr>
        <w:numPr>
          <w:ilvl w:val="0"/>
          <w:numId w:val="581"/>
        </w:numPr>
        <w:spacing w:before="100" w:beforeAutospacing="1" w:after="100" w:afterAutospacing="1"/>
      </w:pPr>
    </w:p>
    <w:p w:rsidR="00C90B7A" w:rsidRDefault="00C90B7A" w:rsidP="00C90B7A">
      <w:pPr>
        <w:pStyle w:val="StandardWeb"/>
      </w:pPr>
      <w:r>
        <w:t>}</w:t>
      </w:r>
      <w:r>
        <w:br/>
        <w:t>\tag{3.12820}</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\boxed{U_{\mathrm{Ax}}(A_{\mathrm{ident}})=0.}</w:t>
      </w:r>
    </w:p>
    <w:p w:rsidR="00C90B7A" w:rsidRDefault="00E50336" w:rsidP="00C90B7A">
      <w:r>
        <w:pict>
          <v:rect id="_x0000_i4787" style="width:0;height:1.5pt" o:hralign="center" o:hrstd="t" o:hr="t" fillcolor="#a0a0a0" stroked="f"/>
        </w:pict>
      </w:r>
    </w:p>
    <w:p w:rsidR="00C90B7A" w:rsidRDefault="00C90B7A" w:rsidP="00C90B7A">
      <w:pPr>
        <w:pStyle w:val="berschrift1"/>
      </w:pPr>
      <w:r>
        <w:t>3.3.49.257 Beobachtungsgrenzen</w:t>
      </w:r>
    </w:p>
    <w:p w:rsidR="00C90B7A" w:rsidRDefault="00C90B7A" w:rsidP="00C90B7A">
      <w:pPr>
        <w:pStyle w:val="StandardWeb"/>
      </w:pPr>
      <w:r>
        <w:t>Die Identifizierbarkeit hängt unmittelbar davon ab, welche Größen überhaupt beobachtbar sind.</w:t>
      </w:r>
    </w:p>
    <w:p w:rsidR="00C90B7A" w:rsidRDefault="00C90B7A" w:rsidP="00C90B7A">
      <w:pPr>
        <w:pStyle w:val="StandardWeb"/>
      </w:pPr>
      <w:r>
        <w:t>Sei</w:t>
      </w:r>
    </w:p>
    <w:p w:rsidR="00C90B7A" w:rsidRDefault="00C90B7A" w:rsidP="00C90B7A">
      <w:pPr>
        <w:pStyle w:val="StandardWeb"/>
      </w:pPr>
      <w:r>
        <w:lastRenderedPageBreak/>
        <w:t>[</w:t>
      </w:r>
      <w:r>
        <w:br/>
        <w:t>\mathcal B_F</w:t>
      </w:r>
      <w:r>
        <w:br/>
        <w:t>:</w:t>
      </w:r>
      <w:r>
        <w:br/>
        <w:t>\Omega_F</w:t>
      </w:r>
      <w:r>
        <w:br/>
        <w:t>\rightarrow</w:t>
      </w:r>
      <w:r>
        <w:br/>
        <w:t>\mathcal Y_F.</w:t>
      </w:r>
      <w:r>
        <w:br/>
        <w:t>\tag{3.12821}</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\mathcal B_F:\Omega_F\rightarrow\mathcal Y_F</w:t>
      </w:r>
    </w:p>
    <w:p w:rsidR="00C90B7A" w:rsidRDefault="00E50336" w:rsidP="00C90B7A">
      <w:r>
        <w:pict>
          <v:rect id="_x0000_i4788" style="width:0;height:1.5pt" o:hralign="center" o:hrstd="t" o:hr="t" fillcolor="#a0a0a0" stroked="f"/>
        </w:pict>
      </w:r>
    </w:p>
    <w:p w:rsidR="00C90B7A" w:rsidRDefault="00C90B7A" w:rsidP="00C90B7A">
      <w:pPr>
        <w:pStyle w:val="berschrift1"/>
      </w:pPr>
      <w:r>
        <w:t>3.3.49.258 Reduzierte Beobachtungsabbildung</w:t>
      </w:r>
    </w:p>
    <w:p w:rsidR="00C90B7A" w:rsidRDefault="00C90B7A" w:rsidP="00C90B7A">
      <w:pPr>
        <w:pStyle w:val="StandardWeb"/>
      </w:pPr>
      <w:r>
        <w:t>Eine eingeschränkte Beobachtung kann als</w:t>
      </w:r>
    </w:p>
    <w:p w:rsidR="00C90B7A" w:rsidRDefault="00C90B7A" w:rsidP="00C90B7A">
      <w:pPr>
        <w:pStyle w:val="berschrift1"/>
      </w:pPr>
      <w:r>
        <w:t>[</w:t>
      </w:r>
      <w:r>
        <w:br/>
        <w:t>\mathcal B_F^{\mathrm{red}}</w:t>
      </w:r>
    </w:p>
    <w:p w:rsidR="00C90B7A" w:rsidRDefault="00C90B7A" w:rsidP="00C90B7A">
      <w:pPr>
        <w:pStyle w:val="StandardWeb"/>
      </w:pPr>
      <w:r>
        <w:t>P</w:t>
      </w:r>
      <w:r>
        <w:br/>
        <w:t>\circ</w:t>
      </w:r>
      <w:r>
        <w:br/>
        <w:t>\mathcal B_F</w:t>
      </w:r>
      <w:r>
        <w:br/>
        <w:t>\tag{3.12822}</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\mathcal B_F^{\mathrm{red}}=P\circ\mathcal B_F</w:t>
      </w:r>
    </w:p>
    <w:p w:rsidR="00C90B7A" w:rsidRDefault="00C90B7A" w:rsidP="00C90B7A">
      <w:pPr>
        <w:pStyle w:val="StandardWeb"/>
      </w:pPr>
      <w:r>
        <w:t>mit einer Projektions- oder Reduktionsabbildung (P) formuliert werden.</w:t>
      </w:r>
    </w:p>
    <w:p w:rsidR="00C90B7A" w:rsidRDefault="00E50336" w:rsidP="00C90B7A">
      <w:r>
        <w:pict>
          <v:rect id="_x0000_i4789" style="width:0;height:1.5pt" o:hralign="center" o:hrstd="t" o:hr="t" fillcolor="#a0a0a0" stroked="f"/>
        </w:pict>
      </w:r>
    </w:p>
    <w:p w:rsidR="00C90B7A" w:rsidRDefault="00C90B7A" w:rsidP="00C90B7A">
      <w:pPr>
        <w:pStyle w:val="berschrift1"/>
      </w:pPr>
      <w:r>
        <w:t>3.3.49.259 Definition 3.3.445 – Funktionale Beobachtungsgrenze</w:t>
      </w:r>
    </w:p>
    <w:p w:rsidR="00C90B7A" w:rsidRDefault="00C90B7A" w:rsidP="00C90B7A">
      <w:pPr>
        <w:pStyle w:val="berschrift3"/>
      </w:pPr>
      <w:r>
        <w:t>Definition 3.3.445</w:t>
      </w:r>
    </w:p>
    <w:p w:rsidR="00C90B7A" w:rsidRDefault="00C90B7A" w:rsidP="00C90B7A">
      <w:pPr>
        <w:pStyle w:val="StandardWeb"/>
      </w:pPr>
      <w:r>
        <w:t xml:space="preserve">Eine </w:t>
      </w:r>
      <w:r>
        <w:rPr>
          <w:rStyle w:val="Fett"/>
        </w:rPr>
        <w:t>funktionale Beobachtungsgrenze</w:t>
      </w:r>
      <w:r>
        <w:t xml:space="preserve"> ist eine Einschränkung der verfügbaren Zustandsinformation durch eine Abbildung</w:t>
      </w:r>
    </w:p>
    <w:p w:rsidR="00C90B7A" w:rsidRDefault="00C90B7A" w:rsidP="00C90B7A">
      <w:pPr>
        <w:pStyle w:val="berschrift1"/>
      </w:pPr>
      <w:r>
        <w:t>[</w:t>
      </w:r>
      <w:r>
        <w:br/>
        <w:t>\boxed{</w:t>
      </w:r>
      <w:r>
        <w:br/>
        <w:t>\mathcal B_F^{\mathrm{red}}</w:t>
      </w:r>
    </w:p>
    <w:p w:rsidR="00C90B7A" w:rsidRDefault="00C90B7A" w:rsidP="00C90B7A">
      <w:pPr>
        <w:pStyle w:val="StandardWeb"/>
      </w:pPr>
      <w:r>
        <w:lastRenderedPageBreak/>
        <w:t>P</w:t>
      </w:r>
      <w:r>
        <w:br/>
        <w:t>\circ</w:t>
      </w:r>
      <w:r>
        <w:br/>
        <w:t>\mathcal B_F.</w:t>
      </w:r>
      <w:r>
        <w:br/>
        <w:t>}</w:t>
      </w:r>
      <w:r>
        <w:br/>
        <w:t>\tag{3.12823}</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\boxed{\mathcal B_F^{\mathrm{red}}=P\circ\mathcal B_F.}</w:t>
      </w:r>
    </w:p>
    <w:p w:rsidR="00C90B7A" w:rsidRDefault="00E50336" w:rsidP="00C90B7A">
      <w:r>
        <w:pict>
          <v:rect id="_x0000_i4790" style="width:0;height:1.5pt" o:hralign="center" o:hrstd="t" o:hr="t" fillcolor="#a0a0a0" stroked="f"/>
        </w:pict>
      </w:r>
    </w:p>
    <w:p w:rsidR="00C90B7A" w:rsidRDefault="00C90B7A" w:rsidP="00C90B7A">
      <w:pPr>
        <w:pStyle w:val="berschrift1"/>
      </w:pPr>
      <w:r>
        <w:t>3.3.49.260 Zwischenstand der erweiterten Einfluss- und Kausalitätsarchitektur</w:t>
      </w:r>
    </w:p>
    <w:p w:rsidR="00C90B7A" w:rsidRDefault="00C90B7A" w:rsidP="00C90B7A">
      <w:pPr>
        <w:pStyle w:val="StandardWeb"/>
      </w:pPr>
      <w:r>
        <w:t>Mit Rückkopplungsbahnen, zeitverzögerten Einflüssen, mehrstufigen Interventionen und struktureller Identifizierbarkeit erweitert sich die Architektur zu</w:t>
      </w:r>
    </w:p>
    <w:p w:rsidR="00C90B7A" w:rsidRDefault="00C90B7A" w:rsidP="00C90B7A">
      <w:pPr>
        <w:pStyle w:val="berschrift1"/>
      </w:pPr>
      <w:r>
        <w:t>[</w:t>
      </w:r>
      <w:r>
        <w:br/>
        <w:t>\boxed{</w:t>
      </w:r>
      <w:r>
        <w:br/>
        <w:t>\mathfrak E_{\mathrm{inf}}^{(3)}</w:t>
      </w:r>
    </w:p>
    <w:p w:rsidR="00C90B7A" w:rsidRDefault="00C90B7A" w:rsidP="00C90B7A">
      <w:pPr>
        <w:pStyle w:val="StandardWeb"/>
      </w:pPr>
      <w:r>
        <w:t>\left(</w:t>
      </w:r>
      <w:r>
        <w:br/>
        <w:t>\mathfrak E_{\mathrm{inf}}^{(2)},</w:t>
      </w:r>
      <w:r>
        <w:br/>
        <w:t>\mathcal F_{\mathrm{fb}},</w:t>
      </w:r>
      <w:r>
        <w:br/>
        <w:t>\mathcal O_{\mathrm{fb}},</w:t>
      </w:r>
      <w:r>
        <w:br/>
        <w:t>\tau_{\mathcal I},</w:t>
      </w:r>
      <w:r>
        <w:br/>
        <w:t>\mathcal D_{\operatorname{do}}^{(n)},</w:t>
      </w:r>
      <w:r>
        <w:br/>
        <w:t>\mathcal B_{\mathfrak M},</w:t>
      </w:r>
      <w:r>
        <w:br/>
        <w:t>[\mathfrak M]_{\operatorname{do}},</w:t>
      </w:r>
      <w:r>
        <w:br/>
        <w:t>\mathcal B_F^{\mathrm{red}}</w:t>
      </w:r>
      <w:r>
        <w:br/>
        <w:t>\right).</w:t>
      </w:r>
      <w:r>
        <w:br/>
        <w:t>}</w:t>
      </w:r>
      <w:r>
        <w:br/>
        <w:t>\tag{3.12824}</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\boxed{\mathfrak E_{\mathrm{inf}}^{(3)}=\left(\mathfrak E_{\mathrm{inf}}^{(2)},\mathcal F_{\mathrm{fb}},\mathcal O_{\mathrm{fb}},\tau_{\mathcal I},\mathcal D_{\operatorname{do}}^{(n)},\mathcal B_{\mathfrak M},[\mathfrak M]_{\operatorname{do}},\mathcal B_F^{\mathrm{red}}\right).}</w:t>
      </w:r>
    </w:p>
    <w:p w:rsidR="00C90B7A" w:rsidRDefault="00C90B7A" w:rsidP="00C90B7A">
      <w:pPr>
        <w:pStyle w:val="StandardWeb"/>
      </w:pPr>
      <w:r>
        <w:t>Die bislang zusätzlich geprüften Primäraxiomkandidaten sind</w:t>
      </w:r>
    </w:p>
    <w:p w:rsidR="00C90B7A" w:rsidRDefault="00C90B7A" w:rsidP="00C90B7A">
      <w:pPr>
        <w:pStyle w:val="berschrift1"/>
      </w:pPr>
      <w:r>
        <w:lastRenderedPageBreak/>
        <w:t>[</w:t>
      </w:r>
      <w:r>
        <w:br/>
        <w:t>\mathcal A_{\mathrm{inf}}^{\mathrm{cand},3}</w:t>
      </w:r>
    </w:p>
    <w:p w:rsidR="00C90B7A" w:rsidRDefault="00C90B7A" w:rsidP="00C90B7A">
      <w:pPr>
        <w:pStyle w:val="StandardWeb"/>
      </w:pPr>
      <w:r>
        <w:t>\mathcal A_{\mathrm{inf}}^{\mathrm{cand}}</w:t>
      </w:r>
      <w:r>
        <w:br/>
        <w:t>\cup</w:t>
      </w:r>
      <w:r>
        <w:br/>
        <w:t>{</w:t>
      </w:r>
      <w:r>
        <w:br/>
        <w:t>A_{\mathrm{delay}},</w:t>
      </w:r>
      <w:r>
        <w:br/>
        <w:t>A_{\mathrm{comm-do}},</w:t>
      </w:r>
      <w:r>
        <w:br/>
        <w:t>A_{\mathrm{ident}}</w:t>
      </w:r>
      <w:r>
        <w:br/>
        <w:t>}.</w:t>
      </w:r>
      <w:r>
        <w:br/>
        <w:t>\tag{3.12825}</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\mathcal A_{\mathrm{inf}}^{\mathrm{cand},3}=\mathcal A_{\mathrm{inf}}^{\mathrm{cand}}\cup\{A_{\mathrm{delay}},A_{\mathrm{comm-do}},A_{\mathrm{ident}}\}</w:t>
      </w:r>
    </w:p>
    <w:p w:rsidR="00C90B7A" w:rsidRDefault="00C90B7A" w:rsidP="00C90B7A">
      <w:pPr>
        <w:pStyle w:val="StandardWeb"/>
      </w:pPr>
      <w:r>
        <w:t>Für sämtliche bisher geprüften Kandidaten gilt</w:t>
      </w:r>
    </w:p>
    <w:p w:rsidR="00C90B7A" w:rsidRDefault="00C90B7A" w:rsidP="00C90B7A">
      <w:pPr>
        <w:pStyle w:val="berschrift1"/>
      </w:pPr>
      <w:r>
        <w:t>[</w:t>
      </w:r>
      <w:r>
        <w:br/>
        <w:t>\boxed{</w:t>
      </w:r>
      <w:r>
        <w:br/>
        <w:t>U_{\mathrm{Ax}}(A)</w:t>
      </w:r>
    </w:p>
    <w:p w:rsidR="00C90B7A" w:rsidRDefault="00C90B7A" w:rsidP="00C90B7A">
      <w:pPr>
        <w:pStyle w:val="StandardWeb"/>
      </w:pPr>
      <w:r>
        <w:t>0</w:t>
      </w:r>
      <w:r>
        <w:br/>
        <w:t>\qquad</w:t>
      </w:r>
      <w:r>
        <w:br/>
        <w:t>\forall</w:t>
      </w:r>
      <w:r>
        <w:br/>
        <w:t>A</w:t>
      </w:r>
      <w:r>
        <w:br/>
        <w:t>\in</w:t>
      </w:r>
      <w:r>
        <w:br/>
        <w:t>\mathcal A_{\mathrm{inf}}^{\mathrm{cand},3}.</w:t>
      </w:r>
      <w:r>
        <w:br/>
        <w:t>}</w:t>
      </w:r>
      <w:r>
        <w:br/>
        <w:t>\tag{3.12826}</w:t>
      </w:r>
      <w:r>
        <w:br/>
        <w:t>]</w:t>
      </w:r>
    </w:p>
    <w:p w:rsidR="00C90B7A" w:rsidRDefault="00C90B7A" w:rsidP="00C90B7A">
      <w:pPr>
        <w:pStyle w:val="StandardWeb"/>
      </w:pPr>
      <w:r>
        <w:rPr>
          <w:rStyle w:val="Fett"/>
        </w:rPr>
        <w:t>Word-LaTeX</w:t>
      </w:r>
    </w:p>
    <w:p w:rsidR="00C90B7A" w:rsidRDefault="00C90B7A" w:rsidP="00C90B7A">
      <w:pPr>
        <w:pStyle w:val="HTMLVorformatiert"/>
        <w:rPr>
          <w:rStyle w:val="HTMLCode"/>
        </w:rPr>
      </w:pPr>
      <w:r>
        <w:rPr>
          <w:rStyle w:val="HTMLCode"/>
        </w:rPr>
        <w:t>\boxed{U_{\mathrm{Ax}}(A)=0\qquad\forall A\in\mathcal A_{\mathrm{inf}}^{\mathrm{cand},3}.}</w:t>
      </w:r>
    </w:p>
    <w:p w:rsidR="00C90B7A" w:rsidRDefault="00C90B7A" w:rsidP="00C90B7A">
      <w:pPr>
        <w:pStyle w:val="StandardWeb"/>
      </w:pPr>
      <w:r>
        <w:t xml:space="preserve">Abschnitt </w:t>
      </w:r>
      <w:r>
        <w:rPr>
          <w:rStyle w:val="Fett"/>
        </w:rPr>
        <w:t>3.3.49 ist damit weiterhin nicht abgeschlossen</w:t>
      </w:r>
      <w:r>
        <w:t xml:space="preserve">. Im nächsten Block müssen noch die Beobachtungsgrenzen systematisch mit der Kausalitätsidentifizierbarkeit gekoppelt, die vollständige Statusmatrix erstellt, die endgültige Primäraxiomentscheidung getroffen und anschließend die verbindlichen </w:t>
      </w:r>
      <w:r>
        <w:rPr>
          <w:rStyle w:val="Fett"/>
        </w:rPr>
        <w:t>Methodologischen Betrachtungen</w:t>
      </w:r>
      <w:r>
        <w:t xml:space="preserve"> und </w:t>
      </w:r>
      <w:r>
        <w:rPr>
          <w:rStyle w:val="Fett"/>
        </w:rPr>
        <w:t>Didaktischen Betrachtungen</w:t>
      </w:r>
      <w:r>
        <w:t xml:space="preserve"> formuliert werden.</w:t>
      </w:r>
    </w:p>
    <w:p w:rsidR="00C90B7A" w:rsidRDefault="00C90B7A" w:rsidP="00C90B7A">
      <w:pPr>
        <w:pStyle w:val="StandardWeb"/>
      </w:pPr>
      <w:r>
        <w:t xml:space="preserve">Der nächste Startpunkt ist </w:t>
      </w:r>
      <w:r>
        <w:rPr>
          <w:rStyle w:val="Fett"/>
        </w:rPr>
        <w:t>3.3.49.261 / Gleichung (3.12827)</w:t>
      </w:r>
      <w:r>
        <w:t>.</w:t>
      </w:r>
    </w:p>
    <w:p w:rsidR="00072F8B" w:rsidRDefault="00072F8B" w:rsidP="00072F8B">
      <w:pPr>
        <w:pStyle w:val="berschrift1"/>
        <w:rPr>
          <w:rFonts w:cs="Times New Roman"/>
          <w:sz w:val="48"/>
          <w:szCs w:val="48"/>
        </w:rPr>
      </w:pPr>
      <w:r>
        <w:lastRenderedPageBreak/>
        <w:t>3.3.49.261 Beobachtungsgrenzen und Kausalitätsidentifizierbarkeit</w:t>
      </w:r>
    </w:p>
    <w:p w:rsidR="00072F8B" w:rsidRDefault="00072F8B" w:rsidP="00072F8B">
      <w:pPr>
        <w:pStyle w:val="StandardWeb"/>
      </w:pPr>
      <w:r>
        <w:t>Nachdem ich funktionale Beobachtungsgrenzen eingeführt habe, untersuche ich nun ihren direkten Einfluss auf die Identifizierbarkeit funktionaler Einfluss- und Kausalstrukturen. Entscheidend ist dabei, dass eine eingeschränkte Beobachtungsabbildung strukturell verschiedene Modelle zusammenführen kann.</w:t>
      </w:r>
    </w:p>
    <w:p w:rsidR="00072F8B" w:rsidRDefault="00072F8B" w:rsidP="00072F8B">
      <w:pPr>
        <w:pStyle w:val="StandardWeb"/>
      </w:pPr>
      <w:r>
        <w:t>Sei</w:t>
      </w:r>
    </w:p>
    <w:p w:rsidR="00072F8B" w:rsidRDefault="00072F8B" w:rsidP="00072F8B">
      <w:pPr>
        <w:pStyle w:val="berschrift1"/>
      </w:pPr>
      <w:r>
        <w:t>[</w:t>
      </w:r>
      <w:r>
        <w:br/>
        <w:t>\mathcal B_F^{\mathrm{red}}</w:t>
      </w:r>
    </w:p>
    <w:p w:rsidR="00072F8B" w:rsidRDefault="00072F8B" w:rsidP="00072F8B">
      <w:pPr>
        <w:pStyle w:val="StandardWeb"/>
      </w:pPr>
      <w:r>
        <w:t>P\circ\mathcal B_F.</w:t>
      </w:r>
      <w:r>
        <w:br/>
        <w:t>\tag{3.12827}</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\mathcal B_F^{\mathrm{red}}=P\circ\mathcal B_F</w:t>
      </w:r>
    </w:p>
    <w:p w:rsidR="00072F8B" w:rsidRDefault="00072F8B" w:rsidP="00072F8B">
      <w:pPr>
        <w:pStyle w:val="StandardWeb"/>
      </w:pPr>
      <w:r>
        <w:t>Für zwei verschiedene Modellstrukturen (\mathfrak M_1) und (\mathfrak M_2) kann dann gelten</w:t>
      </w:r>
    </w:p>
    <w:p w:rsidR="00072F8B" w:rsidRDefault="00072F8B" w:rsidP="00072F8B">
      <w:pPr>
        <w:pStyle w:val="StandardWeb"/>
      </w:pPr>
      <w:r>
        <w:t>[</w:t>
      </w:r>
      <w:r>
        <w:br/>
        <w:t>\mathfrak M_1\neq\mathfrak M_2</w:t>
      </w:r>
      <w:r>
        <w:br/>
        <w:t>\tag{3.12828}</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\mathfrak M_1\neq\mathfrak M_2</w:t>
      </w:r>
    </w:p>
    <w:p w:rsidR="00072F8B" w:rsidRDefault="00072F8B" w:rsidP="00072F8B">
      <w:pPr>
        <w:pStyle w:val="StandardWeb"/>
      </w:pPr>
      <w:r>
        <w:t>und gleichzeitig</w:t>
      </w:r>
    </w:p>
    <w:p w:rsidR="00072F8B" w:rsidRDefault="00072F8B" w:rsidP="00072F8B">
      <w:pPr>
        <w:pStyle w:val="berschrift1"/>
      </w:pPr>
      <w:r>
        <w:t>[</w:t>
      </w:r>
      <w:r>
        <w:br/>
        <w:t>\mathcal B_F^{\mathrm{red}}(\mathfrak M_1)</w:t>
      </w:r>
    </w:p>
    <w:p w:rsidR="00072F8B" w:rsidRDefault="00072F8B" w:rsidP="00072F8B">
      <w:pPr>
        <w:pStyle w:val="StandardWeb"/>
      </w:pPr>
      <w:r>
        <w:t>\mathcal B_F^{\mathrm{red}}(\mathfrak M_2).</w:t>
      </w:r>
      <w:r>
        <w:br/>
        <w:t>\tag{3.12829}</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\mathcal B_F^{\mathrm{red}}(\mathfrak M_1)=\mathcal B_F^{\mathrm{red}}(\mathfrak M_2)</w:t>
      </w:r>
    </w:p>
    <w:p w:rsidR="00072F8B" w:rsidRDefault="00E50336" w:rsidP="00072F8B">
      <w:r>
        <w:pict>
          <v:rect id="_x0000_i4791" style="width:0;height:1.5pt" o:hralign="center" o:hrstd="t" o:hr="t" fillcolor="#a0a0a0" stroked="f"/>
        </w:pict>
      </w:r>
    </w:p>
    <w:p w:rsidR="00072F8B" w:rsidRDefault="00072F8B" w:rsidP="00072F8B">
      <w:pPr>
        <w:pStyle w:val="berschrift1"/>
      </w:pPr>
      <w:r>
        <w:lastRenderedPageBreak/>
        <w:t>3.3.49.262 Definition 3.3.446 – Beobachtungsbedingte funktionale Nichtidentifizierbarkeit</w:t>
      </w:r>
    </w:p>
    <w:p w:rsidR="00072F8B" w:rsidRDefault="00072F8B" w:rsidP="00072F8B">
      <w:pPr>
        <w:pStyle w:val="berschrift3"/>
      </w:pPr>
      <w:r>
        <w:t>Definition 3.3.446</w:t>
      </w:r>
    </w:p>
    <w:p w:rsidR="00072F8B" w:rsidRDefault="00072F8B" w:rsidP="00072F8B">
      <w:pPr>
        <w:pStyle w:val="StandardWeb"/>
      </w:pPr>
      <w:r>
        <w:t xml:space="preserve">Eine funktionale Modellstruktur heißt </w:t>
      </w:r>
      <w:r>
        <w:rPr>
          <w:rStyle w:val="Fett"/>
        </w:rPr>
        <w:t>beobachtungsbedingt nichtidentifizierbar</w:t>
      </w:r>
      <w:r>
        <w:t>, wenn mindestens zwei verschiedene zulässige Modelle unter der reduzierten Beobachtungsabbildung dieselbe Datenrepräsentation erzeugen:</w:t>
      </w:r>
    </w:p>
    <w:p w:rsidR="00072F8B" w:rsidRDefault="00072F8B" w:rsidP="00072F8B">
      <w:pPr>
        <w:pStyle w:val="berschrift1"/>
      </w:pPr>
      <w:r>
        <w:t>[</w:t>
      </w:r>
      <w:r>
        <w:br/>
        <w:t>\boxed{</w:t>
      </w:r>
      <w:r>
        <w:br/>
        <w:t>\exists\mathfrak M_1\neq\mathfrak M_2:</w:t>
      </w:r>
      <w:r>
        <w:br/>
        <w:t>\mathcal B_F^{\mathrm{red}}(\mathfrak M_1)</w:t>
      </w:r>
    </w:p>
    <w:p w:rsidR="00072F8B" w:rsidRDefault="00072F8B" w:rsidP="00072F8B">
      <w:pPr>
        <w:pStyle w:val="StandardWeb"/>
      </w:pPr>
      <w:r>
        <w:t>\mathcal B_F^{\mathrm{red}}(\mathfrak M_2).</w:t>
      </w:r>
      <w:r>
        <w:br/>
        <w:t>}</w:t>
      </w:r>
      <w:r>
        <w:br/>
        <w:t>\tag{3.12830}</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\boxed{\exists\mathfrak M_1\neq\mathfrak M_2:\mathcal B_F^{\mathrm{red}}(\mathfrak M_1)=\mathcal B_F^{\mathrm{red}}(\mathfrak M_2).}</w:t>
      </w:r>
    </w:p>
    <w:p w:rsidR="00072F8B" w:rsidRDefault="00E50336" w:rsidP="00072F8B">
      <w:r>
        <w:pict>
          <v:rect id="_x0000_i4792" style="width:0;height:1.5pt" o:hralign="center" o:hrstd="t" o:hr="t" fillcolor="#a0a0a0" stroked="f"/>
        </w:pict>
      </w:r>
    </w:p>
    <w:p w:rsidR="00072F8B" w:rsidRDefault="00072F8B" w:rsidP="00072F8B">
      <w:pPr>
        <w:pStyle w:val="berschrift1"/>
      </w:pPr>
      <w:r>
        <w:t>3.3.49.263 Vergrößerung der Äquivalenzklasse durch Beobachtungsreduktion</w:t>
      </w:r>
    </w:p>
    <w:p w:rsidR="00072F8B" w:rsidRDefault="00072F8B" w:rsidP="00072F8B">
      <w:pPr>
        <w:pStyle w:val="StandardWeb"/>
      </w:pPr>
      <w:r>
        <w:t>Eine Reduktion der verfügbaren Information kann die Menge miteinander unverwechselbarer Modelle vergrößern.</w:t>
      </w:r>
    </w:p>
    <w:p w:rsidR="00072F8B" w:rsidRDefault="00072F8B" w:rsidP="00072F8B">
      <w:pPr>
        <w:pStyle w:val="StandardWeb"/>
      </w:pPr>
      <w:r>
        <w:t>Ich schreibe</w:t>
      </w:r>
    </w:p>
    <w:p w:rsidR="00072F8B" w:rsidRDefault="00072F8B" w:rsidP="00072F8B">
      <w:pPr>
        <w:pStyle w:val="StandardWeb"/>
      </w:pPr>
      <w:r>
        <w:t>[</w:t>
      </w:r>
      <w:r>
        <w:br/>
        <w:t>[\mathfrak M]</w:t>
      </w:r>
      <w:r>
        <w:rPr>
          <w:rStyle w:val="Hervorhebung"/>
        </w:rPr>
        <w:t>{\mathrm{full}}</w:t>
      </w:r>
      <w:r>
        <w:rPr>
          <w:i/>
          <w:iCs/>
        </w:rPr>
        <w:br/>
      </w:r>
      <w:r>
        <w:rPr>
          <w:rStyle w:val="Hervorhebung"/>
        </w:rPr>
        <w:t>\subseteq</w:t>
      </w:r>
      <w:r>
        <w:rPr>
          <w:i/>
          <w:iCs/>
        </w:rPr>
        <w:br/>
      </w:r>
      <w:r>
        <w:rPr>
          <w:rStyle w:val="Hervorhebung"/>
        </w:rPr>
        <w:t>[\mathfrak M]</w:t>
      </w:r>
      <w:r>
        <w:t>{\mathrm{red}}.</w:t>
      </w:r>
      <w:r>
        <w:br/>
        <w:t>\tag{3.12831}</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[\mathfrak M]_{\mathrm{full}}\subseteq[\mathfrak M]_{\mathrm{red}}</w:t>
      </w:r>
    </w:p>
    <w:p w:rsidR="00072F8B" w:rsidRDefault="00E50336" w:rsidP="00072F8B">
      <w:r>
        <w:pict>
          <v:rect id="_x0000_i4793" style="width:0;height:1.5pt" o:hralign="center" o:hrstd="t" o:hr="t" fillcolor="#a0a0a0" stroked="f"/>
        </w:pict>
      </w:r>
    </w:p>
    <w:p w:rsidR="00072F8B" w:rsidRDefault="00072F8B" w:rsidP="00072F8B">
      <w:pPr>
        <w:pStyle w:val="berschrift1"/>
      </w:pPr>
      <w:r>
        <w:lastRenderedPageBreak/>
        <w:t>3.3.49.264 Satz 3.3.174 – Beobachtungsreduktion kann die Modellidentifizierbarkeit nicht verbessern</w:t>
      </w:r>
    </w:p>
    <w:p w:rsidR="00072F8B" w:rsidRDefault="00072F8B" w:rsidP="00072F8B">
      <w:pPr>
        <w:pStyle w:val="berschrift3"/>
      </w:pPr>
      <w:r>
        <w:t>Satz 3.3.174</w:t>
      </w:r>
    </w:p>
    <w:p w:rsidR="00072F8B" w:rsidRDefault="00072F8B" w:rsidP="00072F8B">
      <w:pPr>
        <w:pStyle w:val="StandardWeb"/>
      </w:pPr>
      <w:r>
        <w:t>Ist die reduzierte Beobachtungsabbildung durch</w:t>
      </w:r>
    </w:p>
    <w:p w:rsidR="00072F8B" w:rsidRDefault="00072F8B" w:rsidP="00072F8B">
      <w:pPr>
        <w:pStyle w:val="berschrift1"/>
      </w:pPr>
      <w:r>
        <w:t>[</w:t>
      </w:r>
      <w:r>
        <w:br/>
        <w:t>\mathcal B_F^{\mathrm{red}}</w:t>
      </w:r>
    </w:p>
    <w:p w:rsidR="00072F8B" w:rsidRDefault="00072F8B" w:rsidP="00072F8B">
      <w:pPr>
        <w:pStyle w:val="StandardWeb"/>
      </w:pPr>
      <w:r>
        <w:t>P\circ\mathcal B_F</w:t>
      </w:r>
      <w:r>
        <w:br/>
        <w:t>\tag{3.12832}</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\mathcal B_F^{\mathrm{red}}=P\circ\mathcal B_F</w:t>
      </w:r>
    </w:p>
    <w:p w:rsidR="00072F8B" w:rsidRDefault="00072F8B" w:rsidP="00072F8B">
      <w:pPr>
        <w:pStyle w:val="StandardWeb"/>
      </w:pPr>
      <w:r>
        <w:t>gegeben, dann gilt für die zugehörigen Äquivalenzklassen</w:t>
      </w:r>
    </w:p>
    <w:p w:rsidR="00072F8B" w:rsidRDefault="00072F8B" w:rsidP="00072F8B">
      <w:pPr>
        <w:pStyle w:val="StandardWeb"/>
      </w:pPr>
      <w:r>
        <w:t>[</w:t>
      </w:r>
      <w:r>
        <w:br/>
        <w:t>\boxed{</w:t>
      </w:r>
      <w:r>
        <w:br/>
        <w:t>[\mathfrak M]</w:t>
      </w:r>
      <w:r>
        <w:rPr>
          <w:rStyle w:val="Hervorhebung"/>
        </w:rPr>
        <w:t>{\mathrm{full}}</w:t>
      </w:r>
      <w:r>
        <w:rPr>
          <w:i/>
          <w:iCs/>
        </w:rPr>
        <w:br/>
      </w:r>
      <w:r>
        <w:rPr>
          <w:rStyle w:val="Hervorhebung"/>
        </w:rPr>
        <w:t>\subseteq</w:t>
      </w:r>
      <w:r>
        <w:rPr>
          <w:i/>
          <w:iCs/>
        </w:rPr>
        <w:br/>
      </w:r>
      <w:r>
        <w:rPr>
          <w:rStyle w:val="Hervorhebung"/>
        </w:rPr>
        <w:t>[\mathfrak M]</w:t>
      </w:r>
      <w:r>
        <w:t>{\mathrm{red}}.</w:t>
      </w:r>
      <w:r>
        <w:br/>
        <w:t>}</w:t>
      </w:r>
      <w:r>
        <w:br/>
        <w:t>\tag{3.12833}</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\boxed{[\mathfrak M]_{\mathrm{full}}\subseteq[\mathfrak M]_{\mathrm{red}}.}</w:t>
      </w:r>
    </w:p>
    <w:p w:rsidR="00072F8B" w:rsidRDefault="00072F8B" w:rsidP="00072F8B">
      <w:pPr>
        <w:pStyle w:val="berschrift3"/>
      </w:pPr>
      <w:r>
        <w:t>Beweis</w:t>
      </w:r>
    </w:p>
    <w:p w:rsidR="00072F8B" w:rsidRDefault="00072F8B" w:rsidP="00072F8B">
      <w:pPr>
        <w:pStyle w:val="StandardWeb"/>
      </w:pPr>
      <w:r>
        <w:t>Sind zwei Modelle bereits unter vollständiger Beobachtung äquivalent, so besitzen sie identische vollständige Datenrepräsentationen:</w:t>
      </w:r>
    </w:p>
    <w:p w:rsidR="00072F8B" w:rsidRDefault="00072F8B" w:rsidP="00072F8B">
      <w:pPr>
        <w:pStyle w:val="berschrift1"/>
      </w:pPr>
      <w:r>
        <w:t>[</w:t>
      </w:r>
      <w:r>
        <w:br/>
        <w:t>\mathcal B_F(\mathfrak M_1)</w:t>
      </w:r>
    </w:p>
    <w:p w:rsidR="00072F8B" w:rsidRDefault="00072F8B" w:rsidP="00072F8B">
      <w:pPr>
        <w:pStyle w:val="StandardWeb"/>
      </w:pPr>
      <w:r>
        <w:t>\mathcal B_F(\mathfrak M_2).</w:t>
      </w:r>
      <w:r>
        <w:br/>
        <w:t>\tag{3.12834}</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lastRenderedPageBreak/>
        <w:t>\mathcal B_F(\mathfrak M_1)=\mathcal B_F(\mathfrak M_2)</w:t>
      </w:r>
    </w:p>
    <w:p w:rsidR="00072F8B" w:rsidRDefault="00072F8B" w:rsidP="00072F8B">
      <w:pPr>
        <w:pStyle w:val="StandardWeb"/>
      </w:pPr>
      <w:r>
        <w:t>Durch Anwendung derselben Reduktionsabbildung (P) folgt</w:t>
      </w:r>
    </w:p>
    <w:p w:rsidR="00072F8B" w:rsidRDefault="00072F8B" w:rsidP="00072F8B">
      <w:pPr>
        <w:pStyle w:val="berschrift1"/>
      </w:pPr>
      <w:r>
        <w:t>[</w:t>
      </w:r>
      <w:r>
        <w:br/>
        <w:t>P!\left(</w:t>
      </w:r>
      <w:r>
        <w:br/>
        <w:t>\mathcal B_F(\mathfrak M_1)</w:t>
      </w:r>
      <w:r>
        <w:br/>
        <w:t>\right)</w:t>
      </w:r>
    </w:p>
    <w:p w:rsidR="00072F8B" w:rsidRDefault="00072F8B" w:rsidP="00072F8B">
      <w:pPr>
        <w:pStyle w:val="StandardWeb"/>
      </w:pPr>
      <w:r>
        <w:t>P!\left(</w:t>
      </w:r>
      <w:r>
        <w:br/>
        <w:t>\mathcal B_F(\mathfrak M_2)</w:t>
      </w:r>
      <w:r>
        <w:br/>
        <w:t>\right).</w:t>
      </w:r>
      <w:r>
        <w:br/>
        <w:t>\tag{3.12835}</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P\left(\mathcal B_F(\mathfrak M_1)\right)=P\left(\mathcal B_F(\mathfrak M_2)\right)</w:t>
      </w:r>
    </w:p>
    <w:p w:rsidR="00072F8B" w:rsidRDefault="00072F8B" w:rsidP="00072F8B">
      <w:pPr>
        <w:pStyle w:val="StandardWeb"/>
      </w:pPr>
      <w:r>
        <w:t>Damit gilt</w:t>
      </w:r>
    </w:p>
    <w:p w:rsidR="00072F8B" w:rsidRDefault="00072F8B" w:rsidP="00072F8B">
      <w:pPr>
        <w:pStyle w:val="berschrift1"/>
      </w:pPr>
      <w:r>
        <w:t>[</w:t>
      </w:r>
      <w:r>
        <w:br/>
        <w:t>\mathcal B_F^{\mathrm{red}}(\mathfrak M_1)</w:t>
      </w:r>
    </w:p>
    <w:p w:rsidR="00072F8B" w:rsidRDefault="00072F8B" w:rsidP="00072F8B">
      <w:pPr>
        <w:pStyle w:val="StandardWeb"/>
      </w:pPr>
      <w:r>
        <w:t>\mathcal B_F^{\mathrm{red}}(\mathfrak M_2).</w:t>
      </w:r>
      <w:r>
        <w:br/>
        <w:t>\tag{3.12836}</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\mathcal B_F^{\mathrm{red}}(\mathfrak M_1)=\mathcal B_F^{\mathrm{red}}(\mathfrak M_2)</w:t>
      </w:r>
    </w:p>
    <w:p w:rsidR="00072F8B" w:rsidRDefault="00072F8B" w:rsidP="00072F8B">
      <w:pPr>
        <w:pStyle w:val="StandardWeb"/>
      </w:pPr>
      <w:r>
        <w:t>Somit kann die Reduktion keine bereits vorhandene Äquivalenz aufheben. Sie kann jedoch zusätzliche Modelle ununterscheidbar machen. (\square)</w:t>
      </w:r>
    </w:p>
    <w:p w:rsidR="00072F8B" w:rsidRDefault="00E50336" w:rsidP="00072F8B">
      <w:r>
        <w:pict>
          <v:rect id="_x0000_i4794" style="width:0;height:1.5pt" o:hralign="center" o:hrstd="t" o:hr="t" fillcolor="#a0a0a0" stroked="f"/>
        </w:pict>
      </w:r>
    </w:p>
    <w:p w:rsidR="00072F8B" w:rsidRDefault="00072F8B" w:rsidP="00072F8B">
      <w:pPr>
        <w:pStyle w:val="berschrift1"/>
      </w:pPr>
      <w:r>
        <w:t>3.3.49.265 Korollar 3.3.40 – Informationsverlust kann funktionale Kausalitätsidentifizierbarkeit verschlechtern</w:t>
      </w:r>
    </w:p>
    <w:p w:rsidR="00072F8B" w:rsidRDefault="00072F8B" w:rsidP="00072F8B">
      <w:pPr>
        <w:pStyle w:val="berschrift3"/>
      </w:pPr>
      <w:r>
        <w:t>Korollar 3.3.40</w:t>
      </w:r>
    </w:p>
    <w:p w:rsidR="00072F8B" w:rsidRDefault="00072F8B" w:rsidP="00072F8B">
      <w:pPr>
        <w:pStyle w:val="StandardWeb"/>
      </w:pPr>
      <w:r>
        <w:t>Aus Satz 3.3.174 folgt</w:t>
      </w:r>
    </w:p>
    <w:p w:rsidR="00072F8B" w:rsidRDefault="00072F8B" w:rsidP="00072F8B">
      <w:pPr>
        <w:pStyle w:val="StandardWeb"/>
      </w:pPr>
      <w:r>
        <w:lastRenderedPageBreak/>
        <w:t>[</w:t>
      </w:r>
      <w:r>
        <w:br/>
        <w:t>\boxed{</w:t>
      </w:r>
      <w:r>
        <w:br/>
        <w:t>\text{Beobachtungsreduktion}</w:t>
      </w:r>
      <w:r>
        <w:br/>
        <w:t>\Rightarrow</w:t>
      </w:r>
      <w:r>
        <w:br/>
        <w:t>\text{gleiche oder geringere Identifizierbarkeit}.</w:t>
      </w:r>
      <w:r>
        <w:br/>
        <w:t>}</w:t>
      </w:r>
      <w:r>
        <w:br/>
        <w:t>\tag{3.12837}</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\boxed{\text{Beobachtungsreduktion}\Rightarrow\text{gleiche oder geringere Identifizierbarkeit}.}</w:t>
      </w:r>
    </w:p>
    <w:p w:rsidR="00072F8B" w:rsidRDefault="00E50336" w:rsidP="00072F8B">
      <w:r>
        <w:pict>
          <v:rect id="_x0000_i4795" style="width:0;height:1.5pt" o:hralign="center" o:hrstd="t" o:hr="t" fillcolor="#a0a0a0" stroked="f"/>
        </w:pict>
      </w:r>
    </w:p>
    <w:p w:rsidR="00072F8B" w:rsidRDefault="00072F8B" w:rsidP="00072F8B">
      <w:pPr>
        <w:pStyle w:val="berschrift1"/>
      </w:pPr>
      <w:r>
        <w:t>3.3.49.266 Verborgene Einflusskante</w:t>
      </w:r>
    </w:p>
    <w:p w:rsidR="00072F8B" w:rsidRDefault="00072F8B" w:rsidP="00072F8B">
      <w:pPr>
        <w:pStyle w:val="StandardWeb"/>
      </w:pPr>
      <w:r>
        <w:t>Eine Einflusskante kann außerhalb der Beobachtungsgrenze liegen.</w:t>
      </w:r>
    </w:p>
    <w:p w:rsidR="00072F8B" w:rsidRDefault="00072F8B" w:rsidP="00072F8B">
      <w:pPr>
        <w:pStyle w:val="StandardWeb"/>
      </w:pPr>
      <w:r>
        <w:t>Seien</w:t>
      </w:r>
    </w:p>
    <w:p w:rsidR="00072F8B" w:rsidRDefault="00072F8B" w:rsidP="00072F8B">
      <w:pPr>
        <w:pStyle w:val="StandardWeb"/>
      </w:pPr>
      <w:r>
        <w:t>[</w:t>
      </w:r>
      <w:r>
        <w:br/>
        <w:t>X_F</w:t>
      </w:r>
      <w:r>
        <w:br/>
        <w:t>\rightsquigarrow</w:t>
      </w:r>
      <w:r>
        <w:br/>
        <w:t>Z_F</w:t>
      </w:r>
      <w:r>
        <w:br/>
        <w:t>\rightsquigarrow</w:t>
      </w:r>
      <w:r>
        <w:br/>
        <w:t>Y_F</w:t>
      </w:r>
      <w:r>
        <w:br/>
        <w:t>\tag{3.12838}</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X_F\rightsquigarrow Z_F\rightsquigarrow Y_F</w:t>
      </w:r>
    </w:p>
    <w:p w:rsidR="00072F8B" w:rsidRDefault="00072F8B" w:rsidP="00072F8B">
      <w:pPr>
        <w:pStyle w:val="StandardWeb"/>
      </w:pPr>
      <w:r>
        <w:t>und</w:t>
      </w:r>
    </w:p>
    <w:p w:rsidR="00072F8B" w:rsidRDefault="00072F8B" w:rsidP="00072F8B">
      <w:pPr>
        <w:pStyle w:val="StandardWeb"/>
      </w:pPr>
      <w:r>
        <w:t>[</w:t>
      </w:r>
      <w:r>
        <w:br/>
        <w:t>Z_F</w:t>
      </w:r>
      <w:r>
        <w:br/>
        <w:t>\notin</w:t>
      </w:r>
      <w:r>
        <w:br/>
        <w:t>V_{\mathcal I}^{(\mathfrak M_{\mathrm{obs}})}.</w:t>
      </w:r>
      <w:r>
        <w:br/>
        <w:t>\tag{3.12839}</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Z_F\notin V_{\mathcal I}^{(\mathfrak M_{\mathrm{obs}})}</w:t>
      </w:r>
    </w:p>
    <w:p w:rsidR="00072F8B" w:rsidRDefault="00072F8B" w:rsidP="00072F8B">
      <w:pPr>
        <w:pStyle w:val="StandardWeb"/>
      </w:pPr>
      <w:r>
        <w:t>Dann bleibt der vermittelnde Knoten (Z_F) innerhalb der beobachteten Modellstruktur unsichtbar.</w:t>
      </w:r>
    </w:p>
    <w:p w:rsidR="00072F8B" w:rsidRDefault="00E50336" w:rsidP="00072F8B">
      <w:r>
        <w:pict>
          <v:rect id="_x0000_i4796" style="width:0;height:1.5pt" o:hralign="center" o:hrstd="t" o:hr="t" fillcolor="#a0a0a0" stroked="f"/>
        </w:pict>
      </w:r>
    </w:p>
    <w:p w:rsidR="00072F8B" w:rsidRDefault="00072F8B" w:rsidP="00072F8B">
      <w:pPr>
        <w:pStyle w:val="berschrift1"/>
      </w:pPr>
      <w:r>
        <w:lastRenderedPageBreak/>
        <w:t>3.3.49.267 Definition 3.3.447 – Beobachtungsverborgener funktionaler Einflussweg</w:t>
      </w:r>
    </w:p>
    <w:p w:rsidR="00072F8B" w:rsidRDefault="00072F8B" w:rsidP="00072F8B">
      <w:pPr>
        <w:pStyle w:val="berschrift3"/>
      </w:pPr>
      <w:r>
        <w:t>Definition 3.3.447</w:t>
      </w:r>
    </w:p>
    <w:p w:rsidR="00072F8B" w:rsidRDefault="00072F8B" w:rsidP="00072F8B">
      <w:pPr>
        <w:pStyle w:val="StandardWeb"/>
      </w:pPr>
      <w:r>
        <w:t xml:space="preserve">Ein gerichteter Pfad (p) heißt </w:t>
      </w:r>
      <w:r>
        <w:rPr>
          <w:rStyle w:val="Fett"/>
        </w:rPr>
        <w:t>beobachtungsverborgen</w:t>
      </w:r>
      <w:r>
        <w:t>, wenn mindestens ein innerer Knoten des Pfades nicht innerhalb der gewählten Beobachtungsmodellgrenze liegt:</w:t>
      </w:r>
    </w:p>
    <w:p w:rsidR="00072F8B" w:rsidRDefault="00072F8B" w:rsidP="00072F8B">
      <w:pPr>
        <w:pStyle w:val="StandardWeb"/>
      </w:pPr>
      <w:r>
        <w:t>[</w:t>
      </w:r>
      <w:r>
        <w:br/>
        <w:t>\boxed{</w:t>
      </w:r>
      <w:r>
        <w:br/>
        <w:t>\exists Z_F\in p:</w:t>
      </w:r>
      <w:r>
        <w:br/>
        <w:t>Z_F</w:t>
      </w:r>
      <w:r>
        <w:br/>
        <w:t>\notin</w:t>
      </w:r>
      <w:r>
        <w:br/>
        <w:t>V_{\mathcal I}^{(\mathfrak M_{\mathrm{obs}})}.</w:t>
      </w:r>
      <w:r>
        <w:br/>
        <w:t>}</w:t>
      </w:r>
      <w:r>
        <w:br/>
        <w:t>\tag{3.12840}</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\boxed{\exists Z_F\in p:Z_F\notin V_{\mathcal I}^{(\mathfrak M_{\mathrm{obs}})}.}</w:t>
      </w:r>
    </w:p>
    <w:p w:rsidR="00072F8B" w:rsidRDefault="00E50336" w:rsidP="00072F8B">
      <w:r>
        <w:pict>
          <v:rect id="_x0000_i4797" style="width:0;height:1.5pt" o:hralign="center" o:hrstd="t" o:hr="t" fillcolor="#a0a0a0" stroked="f"/>
        </w:pict>
      </w:r>
    </w:p>
    <w:p w:rsidR="00072F8B" w:rsidRDefault="00072F8B" w:rsidP="00072F8B">
      <w:pPr>
        <w:pStyle w:val="berschrift1"/>
      </w:pPr>
      <w:r>
        <w:t>3.3.49.268 Beobachteter Direkteindruck</w:t>
      </w:r>
    </w:p>
    <w:p w:rsidR="00072F8B" w:rsidRDefault="00072F8B" w:rsidP="00072F8B">
      <w:pPr>
        <w:pStyle w:val="StandardWeb"/>
      </w:pPr>
      <w:r>
        <w:t>Ein verborgener Mediator kann dazu führen, dass in der reduzierten Darstellung scheinbar eine direkte Beziehung</w:t>
      </w:r>
    </w:p>
    <w:p w:rsidR="00072F8B" w:rsidRDefault="00072F8B" w:rsidP="00072F8B">
      <w:pPr>
        <w:pStyle w:val="StandardWeb"/>
      </w:pPr>
      <w:r>
        <w:t>[</w:t>
      </w:r>
      <w:r>
        <w:br/>
        <w:t>X_F</w:t>
      </w:r>
      <w:r>
        <w:br/>
        <w:t>\rightsquigarrow_{\mathrm{obs}}</w:t>
      </w:r>
      <w:r>
        <w:br/>
        <w:t>Y_F</w:t>
      </w:r>
      <w:r>
        <w:br/>
        <w:t>\tag{3.12841}</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X_F\rightsquigarrow_{\mathrm{obs}}Y_F</w:t>
      </w:r>
    </w:p>
    <w:p w:rsidR="00072F8B" w:rsidRDefault="00072F8B" w:rsidP="00072F8B">
      <w:pPr>
        <w:pStyle w:val="StandardWeb"/>
      </w:pPr>
      <w:r>
        <w:t>erscheint, obwohl die vollständige Struktur lautet</w:t>
      </w:r>
    </w:p>
    <w:p w:rsidR="00072F8B" w:rsidRDefault="00072F8B" w:rsidP="00072F8B">
      <w:pPr>
        <w:pStyle w:val="StandardWeb"/>
      </w:pPr>
      <w:r>
        <w:t>[</w:t>
      </w:r>
      <w:r>
        <w:br/>
        <w:t>X_F</w:t>
      </w:r>
      <w:r>
        <w:br/>
        <w:t>\rightsquigarrow</w:t>
      </w:r>
      <w:r>
        <w:br/>
        <w:t>Z_F</w:t>
      </w:r>
      <w:r>
        <w:br/>
        <w:t>\rightsquigarrow</w:t>
      </w:r>
      <w:r>
        <w:br/>
        <w:t>Y_F.</w:t>
      </w:r>
      <w:r>
        <w:br/>
        <w:t>\tag{3.12842}</w:t>
      </w:r>
      <w:r>
        <w:br/>
        <w:t>]</w:t>
      </w:r>
    </w:p>
    <w:p w:rsidR="00072F8B" w:rsidRDefault="00072F8B" w:rsidP="00072F8B">
      <w:pPr>
        <w:pStyle w:val="StandardWeb"/>
      </w:pPr>
      <w:r>
        <w:rPr>
          <w:rStyle w:val="Fett"/>
        </w:rPr>
        <w:lastRenderedPageBreak/>
        <w:t>Word-LaTeX</w:t>
      </w:r>
    </w:p>
    <w:p w:rsidR="00072F8B" w:rsidRDefault="00072F8B" w:rsidP="00072F8B">
      <w:pPr>
        <w:pStyle w:val="HTMLVorformatiert"/>
        <w:rPr>
          <w:rStyle w:val="HTMLCode"/>
        </w:rPr>
      </w:pPr>
      <w:r>
        <w:rPr>
          <w:rStyle w:val="HTMLCode"/>
        </w:rPr>
        <w:t>X_F\rightsquigarrow Z_F\rightsquigarrow Y_F</w:t>
      </w:r>
    </w:p>
    <w:p w:rsidR="00072F8B" w:rsidRDefault="00E50336" w:rsidP="00072F8B">
      <w:r>
        <w:pict>
          <v:rect id="_x0000_i4798" style="width:0;height:1.5pt" o:hralign="center" o:hrstd="t" o:hr="t" fillcolor="#a0a0a0" stroked="f"/>
        </w:pict>
      </w:r>
    </w:p>
    <w:p w:rsidR="00072F8B" w:rsidRDefault="00072F8B" w:rsidP="00072F8B">
      <w:pPr>
        <w:pStyle w:val="berschrift1"/>
      </w:pPr>
      <w:r>
        <w:t>3.3.49.269 Definition 3.3.448 – Funktionaler Scheindirekteinfluss</w:t>
      </w:r>
    </w:p>
    <w:p w:rsidR="00072F8B" w:rsidRDefault="00072F8B" w:rsidP="00072F8B">
      <w:pPr>
        <w:pStyle w:val="berschrift3"/>
      </w:pPr>
      <w:r>
        <w:t>Definition 3.3.448</w:t>
      </w:r>
    </w:p>
    <w:p w:rsidR="00072F8B" w:rsidRDefault="00072F8B" w:rsidP="00072F8B">
      <w:pPr>
        <w:pStyle w:val="StandardWeb"/>
      </w:pPr>
      <w:r>
        <w:t xml:space="preserve">Ein beobachteter Einfluss (X_F\rightsquigarrow_{\mathrm{obs}}Y_F) heißt </w:t>
      </w:r>
      <w:r>
        <w:rPr>
          <w:rStyle w:val="Fett"/>
        </w:rPr>
        <w:t>funktionaler Scheindirekteinfluss</w:t>
      </w:r>
      <w:r>
        <w:t>, wenn in einer erweiterten Modellstruktur mindestens ein nichtbeobachteter Zwischenknoten existiert:</w:t>
      </w:r>
    </w:p>
    <w:p w:rsidR="00072F8B" w:rsidRDefault="00072F8B" w:rsidP="00072F8B">
      <w:pPr>
        <w:pStyle w:val="StandardWeb"/>
      </w:pPr>
      <w:r>
        <w:t>[</w:t>
      </w:r>
      <w:r>
        <w:br/>
        <w:t>\boxed{</w:t>
      </w:r>
      <w:r>
        <w:br/>
        <w:t>X_F</w:t>
      </w:r>
      <w:r>
        <w:br/>
        <w:t>\rightsquigarrow</w:t>
      </w:r>
      <w:r>
        <w:br/>
        <w:t>Z_F</w:t>
      </w:r>
      <w:r>
        <w:br/>
        <w:t>\rightsquigarrow</w:t>
      </w:r>
      <w:r>
        <w:br/>
        <w:t>Y_F,</w:t>
      </w:r>
      <w:r>
        <w:br/>
        <w:t>\qquad</w:t>
      </w:r>
      <w:r>
        <w:br/>
        <w:t>Z_F\notin</w:t>
      </w:r>
      <w:r>
        <w:br/>
        <w:t>V_{\mathcal I}^{(\mathfrak M_{\mathrm{obs}})}.</w:t>
      </w:r>
      <w:r>
        <w:br/>
        <w:t>}</w:t>
      </w:r>
      <w:r>
        <w:br/>
        <w:t>\tag{3.12843}</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\boxed{X_F\rightsquigarrow Z_F\rightsquigarrow Y_F,\qquad Z_F\notin V_{\mathcal I}^{(\mathfrak M_{\mathrm{obs}})}.}</w:t>
      </w:r>
    </w:p>
    <w:p w:rsidR="00072F8B" w:rsidRDefault="00E50336" w:rsidP="00072F8B">
      <w:r>
        <w:pict>
          <v:rect id="_x0000_i4799" style="width:0;height:1.5pt" o:hralign="center" o:hrstd="t" o:hr="t" fillcolor="#a0a0a0" stroked="f"/>
        </w:pict>
      </w:r>
    </w:p>
    <w:p w:rsidR="00072F8B" w:rsidRDefault="00072F8B" w:rsidP="00072F8B">
      <w:pPr>
        <w:pStyle w:val="berschrift1"/>
      </w:pPr>
      <w:r>
        <w:t>3.3.49.270 Verborgene Rückkopplung</w:t>
      </w:r>
    </w:p>
    <w:p w:rsidR="00072F8B" w:rsidRDefault="00072F8B" w:rsidP="00072F8B">
      <w:pPr>
        <w:pStyle w:val="StandardWeb"/>
      </w:pPr>
      <w:r>
        <w:t>Auch ein Zyklus kann teilweise außerhalb der Beobachtungsgrenze liegen:</w:t>
      </w:r>
    </w:p>
    <w:p w:rsidR="00072F8B" w:rsidRDefault="00072F8B" w:rsidP="00072F8B">
      <w:pPr>
        <w:pStyle w:val="StandardWeb"/>
      </w:pPr>
      <w:r>
        <w:t>[</w:t>
      </w:r>
      <w:r>
        <w:br/>
        <w:t>X_F</w:t>
      </w:r>
      <w:r>
        <w:br/>
        <w:t>\rightsquigarrow</w:t>
      </w:r>
      <w:r>
        <w:br/>
        <w:t>Y_F</w:t>
      </w:r>
      <w:r>
        <w:br/>
        <w:t>\rightsquigarrow</w:t>
      </w:r>
      <w:r>
        <w:br/>
        <w:t>Z_F</w:t>
      </w:r>
      <w:r>
        <w:br/>
        <w:t>\rightsquigarrow</w:t>
      </w:r>
      <w:r>
        <w:br/>
        <w:t>X_F</w:t>
      </w:r>
      <w:r>
        <w:br/>
        <w:t>\tag{3.12844}</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lastRenderedPageBreak/>
        <w:t>X_F\rightsquigarrow Y_F\rightsquigarrow Z_F\rightsquigarrow X_F</w:t>
      </w:r>
    </w:p>
    <w:p w:rsidR="00072F8B" w:rsidRDefault="00072F8B" w:rsidP="00072F8B">
      <w:pPr>
        <w:pStyle w:val="StandardWeb"/>
      </w:pPr>
      <w:r>
        <w:t>mit</w:t>
      </w:r>
    </w:p>
    <w:p w:rsidR="00072F8B" w:rsidRDefault="00072F8B" w:rsidP="00072F8B">
      <w:pPr>
        <w:pStyle w:val="StandardWeb"/>
      </w:pPr>
      <w:r>
        <w:t>[</w:t>
      </w:r>
      <w:r>
        <w:br/>
        <w:t>Z_F</w:t>
      </w:r>
      <w:r>
        <w:br/>
        <w:t>\notin</w:t>
      </w:r>
      <w:r>
        <w:br/>
        <w:t>V_{\mathcal I}^{(\mathfrak M_{\mathrm{obs}})}.</w:t>
      </w:r>
      <w:r>
        <w:br/>
        <w:t>\tag{3.12845}</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Z_F\notin V_{\mathcal I}^{(\mathfrak M_{\mathrm{obs}})}</w:t>
      </w:r>
    </w:p>
    <w:p w:rsidR="00072F8B" w:rsidRDefault="00072F8B" w:rsidP="00072F8B">
      <w:pPr>
        <w:pStyle w:val="StandardWeb"/>
      </w:pPr>
      <w:r>
        <w:t>Dann kann die beobachtete Teilstruktur fälschlich azyklisch erscheinen.</w:t>
      </w:r>
    </w:p>
    <w:p w:rsidR="00072F8B" w:rsidRDefault="00E50336" w:rsidP="00072F8B">
      <w:r>
        <w:pict>
          <v:rect id="_x0000_i4800" style="width:0;height:1.5pt" o:hralign="center" o:hrstd="t" o:hr="t" fillcolor="#a0a0a0" stroked="f"/>
        </w:pict>
      </w:r>
    </w:p>
    <w:p w:rsidR="00072F8B" w:rsidRDefault="00072F8B" w:rsidP="00072F8B">
      <w:pPr>
        <w:pStyle w:val="berschrift1"/>
      </w:pPr>
      <w:r>
        <w:t>3.3.49.271 Definition 3.3.449 – Beobachtungsverborgene funktionale Rückkopplung</w:t>
      </w:r>
    </w:p>
    <w:p w:rsidR="00072F8B" w:rsidRDefault="00072F8B" w:rsidP="00072F8B">
      <w:pPr>
        <w:pStyle w:val="berschrift3"/>
      </w:pPr>
      <w:r>
        <w:t>Definition 3.3.449</w:t>
      </w:r>
    </w:p>
    <w:p w:rsidR="00072F8B" w:rsidRDefault="00072F8B" w:rsidP="00072F8B">
      <w:pPr>
        <w:pStyle w:val="StandardWeb"/>
      </w:pPr>
      <w:r>
        <w:t xml:space="preserve">Eine funktionale Rückkopplung heißt </w:t>
      </w:r>
      <w:r>
        <w:rPr>
          <w:rStyle w:val="Fett"/>
        </w:rPr>
        <w:t>beobachtungsverborgen</w:t>
      </w:r>
      <w:r>
        <w:t>, wenn mindestens ein Knoten des zugrunde liegenden Zyklus außerhalb der gewählten Beobachtungsmodellgrenze liegt:</w:t>
      </w:r>
    </w:p>
    <w:p w:rsidR="00072F8B" w:rsidRDefault="00072F8B" w:rsidP="00072F8B">
      <w:pPr>
        <w:pStyle w:val="berschrift1"/>
      </w:pPr>
      <w:r>
        <w:t>[</w:t>
      </w:r>
      <w:r>
        <w:br/>
        <w:t>\boxed{</w:t>
      </w:r>
      <w:r>
        <w:br/>
        <w:t>\operatorname{Cyc}(\mathcal G_{\mathcal I})\neq\varnothing</w:t>
      </w:r>
      <w:r>
        <w:br/>
        <w:t>\land</w:t>
      </w:r>
      <w:r>
        <w:br/>
        <w:t>\operatorname{Cyc}(\mathcal G_{\mathcal I}^{\mathrm{obs}})</w:t>
      </w:r>
    </w:p>
    <w:p w:rsidR="00072F8B" w:rsidRDefault="00072F8B" w:rsidP="00072F8B">
      <w:pPr>
        <w:pStyle w:val="StandardWeb"/>
      </w:pPr>
      <w:r>
        <w:t>\varnothing.</w:t>
      </w:r>
      <w:r>
        <w:br/>
        <w:t>}</w:t>
      </w:r>
      <w:r>
        <w:br/>
        <w:t>\tag{3.12846}</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\boxed{\operatorname{Cyc}(\mathcal G_{\mathcal I})\neq\varnothing\land\operatorname{Cyc}(\mathcal G_{\mathcal I}^{\mathrm{obs}})=\varnothing.}</w:t>
      </w:r>
    </w:p>
    <w:p w:rsidR="00072F8B" w:rsidRDefault="00E50336" w:rsidP="00072F8B">
      <w:r>
        <w:lastRenderedPageBreak/>
        <w:pict>
          <v:rect id="_x0000_i4801" style="width:0;height:1.5pt" o:hralign="center" o:hrstd="t" o:hr="t" fillcolor="#a0a0a0" stroked="f"/>
        </w:pict>
      </w:r>
    </w:p>
    <w:p w:rsidR="00072F8B" w:rsidRDefault="00072F8B" w:rsidP="00072F8B">
      <w:pPr>
        <w:pStyle w:val="berschrift1"/>
      </w:pPr>
      <w:r>
        <w:t>3.3.49.272 Beobachtete Azyklizität ist kein Nachweis realer Azyklizität</w:t>
      </w:r>
    </w:p>
    <w:p w:rsidR="00072F8B" w:rsidRDefault="00072F8B" w:rsidP="00072F8B">
      <w:pPr>
        <w:pStyle w:val="StandardWeb"/>
      </w:pPr>
      <w:r>
        <w:t>Daraus folgt</w:t>
      </w:r>
    </w:p>
    <w:p w:rsidR="00072F8B" w:rsidRDefault="00072F8B" w:rsidP="00072F8B">
      <w:pPr>
        <w:pStyle w:val="berschrift1"/>
      </w:pPr>
      <w:r>
        <w:t>[</w:t>
      </w:r>
      <w:r>
        <w:br/>
        <w:t>\boxed{</w:t>
      </w:r>
      <w:r>
        <w:br/>
        <w:t>\operatorname{Cyc}</w:t>
      </w:r>
      <w:r>
        <w:br/>
        <w:t>(\mathcal G_{\mathcal I}^{\mathrm{obs}})</w:t>
      </w:r>
    </w:p>
    <w:p w:rsidR="00072F8B" w:rsidRDefault="00072F8B" w:rsidP="00072F8B">
      <w:pPr>
        <w:pStyle w:val="berschrift1"/>
      </w:pPr>
      <w:r>
        <w:t>\varnothing</w:t>
      </w:r>
      <w:r>
        <w:br/>
        <w:t>\not\Rightarrow</w:t>
      </w:r>
      <w:r>
        <w:br/>
        <w:t>\operatorname{Cyc}</w:t>
      </w:r>
      <w:r>
        <w:br/>
        <w:t>(\mathcal G_{\mathcal I})</w:t>
      </w:r>
    </w:p>
    <w:p w:rsidR="00072F8B" w:rsidRDefault="00072F8B" w:rsidP="00072F8B">
      <w:pPr>
        <w:pStyle w:val="StandardWeb"/>
      </w:pPr>
      <w:r>
        <w:t>\varnothing.</w:t>
      </w:r>
      <w:r>
        <w:br/>
        <w:t>}</w:t>
      </w:r>
      <w:r>
        <w:br/>
        <w:t>\tag{3.12847}</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\boxed{\operatorname{Cyc}(\mathcal G_{\mathcal I}^{\mathrm{obs}})=\varnothing\not\Rightarrow\operatorname{Cyc}(\mathcal G_{\mathcal I})=\varnothing.}</w:t>
      </w:r>
    </w:p>
    <w:p w:rsidR="00072F8B" w:rsidRDefault="00E50336" w:rsidP="00072F8B">
      <w:r>
        <w:pict>
          <v:rect id="_x0000_i4802" style="width:0;height:1.5pt" o:hralign="center" o:hrstd="t" o:hr="t" fillcolor="#a0a0a0" stroked="f"/>
        </w:pict>
      </w:r>
    </w:p>
    <w:p w:rsidR="00072F8B" w:rsidRDefault="00072F8B" w:rsidP="00072F8B">
      <w:pPr>
        <w:pStyle w:val="berschrift1"/>
      </w:pPr>
      <w:r>
        <w:t>3.3.49.273 Satz 3.3.175 – Beobachtete Graphstruktur bestimmt die vollständige Einflussstruktur nicht allgemein</w:t>
      </w:r>
    </w:p>
    <w:p w:rsidR="00072F8B" w:rsidRDefault="00072F8B" w:rsidP="00072F8B">
      <w:pPr>
        <w:pStyle w:val="berschrift3"/>
      </w:pPr>
      <w:r>
        <w:t>Satz 3.3.175</w:t>
      </w:r>
    </w:p>
    <w:p w:rsidR="00072F8B" w:rsidRDefault="00072F8B" w:rsidP="00072F8B">
      <w:pPr>
        <w:pStyle w:val="StandardWeb"/>
      </w:pPr>
      <w:r>
        <w:t>Aus einer beobachteten Einflussstruktur</w:t>
      </w:r>
    </w:p>
    <w:p w:rsidR="00072F8B" w:rsidRDefault="00072F8B" w:rsidP="00072F8B">
      <w:pPr>
        <w:pStyle w:val="StandardWeb"/>
      </w:pPr>
      <w:r>
        <w:t>[</w:t>
      </w:r>
      <w:r>
        <w:br/>
        <w:t>\mathcal G_{\mathcal I}^{\mathrm{obs}}</w:t>
      </w:r>
      <w:r>
        <w:br/>
        <w:t>\tag{3.12848}</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lastRenderedPageBreak/>
        <w:t>\mathcal G_{\mathcal I}^{\mathrm{obs}}</w:t>
      </w:r>
    </w:p>
    <w:p w:rsidR="00072F8B" w:rsidRDefault="00072F8B" w:rsidP="00072F8B">
      <w:pPr>
        <w:pStyle w:val="StandardWeb"/>
      </w:pPr>
      <w:r>
        <w:t>folgt ohne zusätzliche Identifizierbarkeitsbedingungen nicht eindeutig die vollständige Einflussstruktur</w:t>
      </w:r>
    </w:p>
    <w:p w:rsidR="00072F8B" w:rsidRDefault="00072F8B" w:rsidP="00072F8B">
      <w:pPr>
        <w:pStyle w:val="StandardWeb"/>
      </w:pPr>
      <w:r>
        <w:t>[</w:t>
      </w:r>
      <w:r>
        <w:br/>
        <w:t>\boxed{</w:t>
      </w:r>
      <w:r>
        <w:br/>
        <w:t>\mathcal G_{\mathcal I}.</w:t>
      </w:r>
      <w:r>
        <w:br/>
        <w:t>}</w:t>
      </w:r>
      <w:r>
        <w:br/>
        <w:t>\tag{3.12849}</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\boxed{\mathcal G_{\mathcal I}.}</w:t>
      </w:r>
    </w:p>
    <w:p w:rsidR="00072F8B" w:rsidRDefault="00072F8B" w:rsidP="00072F8B">
      <w:pPr>
        <w:pStyle w:val="berschrift3"/>
      </w:pPr>
      <w:r>
        <w:t>Beweis</w:t>
      </w:r>
    </w:p>
    <w:p w:rsidR="00072F8B" w:rsidRDefault="00072F8B" w:rsidP="00072F8B">
      <w:pPr>
        <w:pStyle w:val="StandardWeb"/>
      </w:pPr>
      <w:r>
        <w:t>Zu derselben beobachteten Struktur können unterschiedliche vollständige Graphen gehören. Beispielsweise können verborgene Mediatoren, gemeinsame Einflussquellen oder Rückkopplungsknoten außerhalb der Beobachtungsgrenze liegen. Damit ist die Abbildung von vollständigen Strukturen auf beobachtete Strukturen im Allgemeinen nicht injektiv. (\square)</w:t>
      </w:r>
    </w:p>
    <w:p w:rsidR="00072F8B" w:rsidRDefault="00E50336" w:rsidP="00072F8B">
      <w:r>
        <w:pict>
          <v:rect id="_x0000_i4803" style="width:0;height:1.5pt" o:hralign="center" o:hrstd="t" o:hr="t" fillcolor="#a0a0a0" stroked="f"/>
        </w:pict>
      </w:r>
    </w:p>
    <w:p w:rsidR="00072F8B" w:rsidRDefault="00072F8B" w:rsidP="00072F8B">
      <w:pPr>
        <w:pStyle w:val="berschrift1"/>
      </w:pPr>
      <w:r>
        <w:t>3.3.49.274 Kausalitätsaussage und Beobachtungsgrenze</w:t>
      </w:r>
    </w:p>
    <w:p w:rsidR="00072F8B" w:rsidRDefault="00072F8B" w:rsidP="00072F8B">
      <w:pPr>
        <w:pStyle w:val="StandardWeb"/>
      </w:pPr>
      <w:r>
        <w:t>Für eine behauptete Kausalitätsrelation</w:t>
      </w:r>
    </w:p>
    <w:p w:rsidR="00072F8B" w:rsidRDefault="00072F8B" w:rsidP="00072F8B">
      <w:pPr>
        <w:pStyle w:val="StandardWeb"/>
      </w:pPr>
      <w:r>
        <w:t>[</w:t>
      </w:r>
      <w:r>
        <w:br/>
        <w:t>X_F</w:t>
      </w:r>
      <w:r>
        <w:br/>
        <w:t>\overset{\operatorname{do}}{\longrightarrow}</w:t>
      </w:r>
      <w:r>
        <w:br/>
        <w:t>Y_F</w:t>
      </w:r>
      <w:r>
        <w:br/>
        <w:t>\tag{3.12850}</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X_F\overset{\operatorname{do}}{\longrightarrow}Y_F</w:t>
      </w:r>
    </w:p>
    <w:p w:rsidR="00072F8B" w:rsidRDefault="00072F8B" w:rsidP="00072F8B">
      <w:pPr>
        <w:pStyle w:val="StandardWeb"/>
      </w:pPr>
      <w:r>
        <w:t>muss deshalb angegeben werden, auf welcher Modell- und Beobachtungsgrenze die Aussage beruht.</w:t>
      </w:r>
    </w:p>
    <w:p w:rsidR="00072F8B" w:rsidRDefault="00072F8B" w:rsidP="00072F8B">
      <w:pPr>
        <w:pStyle w:val="StandardWeb"/>
      </w:pPr>
      <w:r>
        <w:t>Ich schreibe genauer</w:t>
      </w:r>
    </w:p>
    <w:p w:rsidR="00072F8B" w:rsidRDefault="00072F8B" w:rsidP="00072F8B">
      <w:pPr>
        <w:pStyle w:val="StandardWeb"/>
      </w:pPr>
      <w:r>
        <w:t>[</w:t>
      </w:r>
      <w:r>
        <w:br/>
        <w:t>X_F</w:t>
      </w:r>
      <w:r>
        <w:br/>
        <w:t>\overset{\operatorname{do},,\mathfrak M}{\longrightarrow}</w:t>
      </w:r>
      <w:r>
        <w:br/>
        <w:t>Y_F.</w:t>
      </w:r>
      <w:r>
        <w:br/>
      </w:r>
      <w:r>
        <w:lastRenderedPageBreak/>
        <w:t>\tag{3.12851}</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X_F\overset{\operatorname{do},\,\mathfrak M}{\longrightarrow}Y_F</w:t>
      </w:r>
    </w:p>
    <w:p w:rsidR="00072F8B" w:rsidRDefault="00E50336" w:rsidP="00072F8B">
      <w:r>
        <w:pict>
          <v:rect id="_x0000_i4804" style="width:0;height:1.5pt" o:hralign="center" o:hrstd="t" o:hr="t" fillcolor="#a0a0a0" stroked="f"/>
        </w:pict>
      </w:r>
    </w:p>
    <w:p w:rsidR="00072F8B" w:rsidRDefault="00072F8B" w:rsidP="00072F8B">
      <w:pPr>
        <w:pStyle w:val="berschrift1"/>
      </w:pPr>
      <w:r>
        <w:t>3.3.49.275 Definition 3.3.450 – Modellrelativierte funktionale Kausalitätsrelation</w:t>
      </w:r>
    </w:p>
    <w:p w:rsidR="00072F8B" w:rsidRDefault="00072F8B" w:rsidP="00072F8B">
      <w:pPr>
        <w:pStyle w:val="berschrift3"/>
      </w:pPr>
      <w:r>
        <w:t>Definition 3.3.450</w:t>
      </w:r>
    </w:p>
    <w:p w:rsidR="00072F8B" w:rsidRDefault="00072F8B" w:rsidP="00072F8B">
      <w:pPr>
        <w:pStyle w:val="StandardWeb"/>
      </w:pPr>
      <w:r>
        <w:t xml:space="preserve">Eine funktionale Kausalitätsrelation heißt </w:t>
      </w:r>
      <w:r>
        <w:rPr>
          <w:rStyle w:val="Fett"/>
        </w:rPr>
        <w:t>modellrelativiert</w:t>
      </w:r>
      <w:r>
        <w:t>, wenn die zugrunde liegende Modellklasse explizit Bestandteil der Relation ist:</w:t>
      </w:r>
    </w:p>
    <w:p w:rsidR="00072F8B" w:rsidRDefault="00072F8B" w:rsidP="00072F8B">
      <w:pPr>
        <w:pStyle w:val="StandardWeb"/>
      </w:pPr>
      <w:r>
        <w:t>[</w:t>
      </w:r>
      <w:r>
        <w:br/>
        <w:t>\boxed{</w:t>
      </w:r>
      <w:r>
        <w:br/>
        <w:t>X_F</w:t>
      </w:r>
      <w:r>
        <w:br/>
        <w:t>\overset{\operatorname{do},,\mathfrak M}{\longrightarrow}</w:t>
      </w:r>
      <w:r>
        <w:br/>
        <w:t>Y_F.</w:t>
      </w:r>
      <w:r>
        <w:br/>
        <w:t>}</w:t>
      </w:r>
      <w:r>
        <w:br/>
        <w:t>\tag{3.12852}</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\boxed{X_F\overset{\operatorname{do},\,\mathfrak M}{\longrightarrow}Y_F.}</w:t>
      </w:r>
    </w:p>
    <w:p w:rsidR="00072F8B" w:rsidRDefault="00E50336" w:rsidP="00072F8B">
      <w:r>
        <w:pict>
          <v:rect id="_x0000_i4805" style="width:0;height:1.5pt" o:hralign="center" o:hrstd="t" o:hr="t" fillcolor="#a0a0a0" stroked="f"/>
        </w:pict>
      </w:r>
    </w:p>
    <w:p w:rsidR="00072F8B" w:rsidRDefault="00072F8B" w:rsidP="00072F8B">
      <w:pPr>
        <w:pStyle w:val="berschrift1"/>
      </w:pPr>
      <w:r>
        <w:t>3.3.49.276 Modellwechsel</w:t>
      </w:r>
    </w:p>
    <w:p w:rsidR="00072F8B" w:rsidRDefault="00072F8B" w:rsidP="00072F8B">
      <w:pPr>
        <w:pStyle w:val="StandardWeb"/>
      </w:pPr>
      <w:r>
        <w:t>Für zwei Modellklassen kann gelten</w:t>
      </w:r>
    </w:p>
    <w:p w:rsidR="00072F8B" w:rsidRDefault="00072F8B" w:rsidP="00072F8B">
      <w:pPr>
        <w:pStyle w:val="StandardWeb"/>
      </w:pPr>
      <w:r>
        <w:t>[</w:t>
      </w:r>
      <w:r>
        <w:br/>
        <w:t>X_F</w:t>
      </w:r>
      <w:r>
        <w:br/>
        <w:t>\overset{\operatorname{do},,\mathfrak M_1}{\longrightarrow}</w:t>
      </w:r>
      <w:r>
        <w:br/>
        <w:t>Y_F</w:t>
      </w:r>
      <w:r>
        <w:br/>
        <w:t>\tag{3.12853}</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X_F\overset{\operatorname{do},\,\mathfrak M_1}{\longrightarrow}Y_F</w:t>
      </w:r>
    </w:p>
    <w:p w:rsidR="00072F8B" w:rsidRDefault="00072F8B" w:rsidP="00072F8B">
      <w:pPr>
        <w:pStyle w:val="StandardWeb"/>
      </w:pPr>
      <w:r>
        <w:t>und gleichzeitig</w:t>
      </w:r>
    </w:p>
    <w:p w:rsidR="00072F8B" w:rsidRDefault="00072F8B" w:rsidP="00072F8B">
      <w:pPr>
        <w:pStyle w:val="StandardWeb"/>
      </w:pPr>
      <w:r>
        <w:t>[</w:t>
      </w:r>
      <w:r>
        <w:br/>
        <w:t>X_F</w:t>
      </w:r>
      <w:r>
        <w:br/>
        <w:t>\not\overset{\operatorname{do},,\mathfrak M_2}{\longrightarrow}</w:t>
      </w:r>
      <w:r>
        <w:br/>
      </w:r>
      <w:r>
        <w:lastRenderedPageBreak/>
        <w:t>Y_F.</w:t>
      </w:r>
      <w:r>
        <w:br/>
        <w:t>\tag{3.12854}</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X_F\not\overset{\operatorname{do},\,\mathfrak M_2}{\longrightarrow}Y_F</w:t>
      </w:r>
    </w:p>
    <w:p w:rsidR="00072F8B" w:rsidRDefault="00072F8B" w:rsidP="00072F8B">
      <w:pPr>
        <w:pStyle w:val="StandardWeb"/>
      </w:pPr>
      <w:r>
        <w:t>Eine solche Differenz ist kein logischer Widerspruch, solange sich Interventionsregeln, Kontextgrenzen oder Strukturannahmen unterscheiden.</w:t>
      </w:r>
    </w:p>
    <w:p w:rsidR="00072F8B" w:rsidRDefault="00E50336" w:rsidP="00072F8B">
      <w:r>
        <w:pict>
          <v:rect id="_x0000_i4806" style="width:0;height:1.5pt" o:hralign="center" o:hrstd="t" o:hr="t" fillcolor="#a0a0a0" stroked="f"/>
        </w:pict>
      </w:r>
    </w:p>
    <w:p w:rsidR="00072F8B" w:rsidRDefault="00072F8B" w:rsidP="00072F8B">
      <w:pPr>
        <w:pStyle w:val="berschrift1"/>
      </w:pPr>
      <w:r>
        <w:t>3.3.49.277 Definition 3.3.451 – Funktionale Kausalitätsmodellabhängigkeit</w:t>
      </w:r>
    </w:p>
    <w:p w:rsidR="00072F8B" w:rsidRDefault="00072F8B" w:rsidP="00072F8B">
      <w:pPr>
        <w:pStyle w:val="berschrift3"/>
      </w:pPr>
      <w:r>
        <w:t>Definition 3.3.451</w:t>
      </w:r>
    </w:p>
    <w:p w:rsidR="00072F8B" w:rsidRDefault="00072F8B" w:rsidP="00072F8B">
      <w:pPr>
        <w:pStyle w:val="StandardWeb"/>
      </w:pPr>
      <w:r>
        <w:t xml:space="preserve">Eine funktionale Kausalitätsrelation heißt </w:t>
      </w:r>
      <w:r>
        <w:rPr>
          <w:rStyle w:val="Fett"/>
        </w:rPr>
        <w:t>modellabhängig</w:t>
      </w:r>
      <w:r>
        <w:t>, wenn mindestens zwei zulässige Modellklassen existieren, in denen die Kausalitätsentscheidung unterschiedlich ausfällt:</w:t>
      </w:r>
    </w:p>
    <w:p w:rsidR="00072F8B" w:rsidRDefault="00072F8B" w:rsidP="00072F8B">
      <w:pPr>
        <w:pStyle w:val="StandardWeb"/>
      </w:pPr>
      <w:r>
        <w:t>[</w:t>
      </w:r>
      <w:r>
        <w:br/>
        <w:t>\boxed{</w:t>
      </w:r>
      <w:r>
        <w:br/>
        <w:t>\exists\mathfrak M_1,\mathfrak M_2:</w:t>
      </w:r>
      <w:r>
        <w:br/>
        <w:t>\operatorname{Caus}_F^{(\mathfrak M_1)}(X,Y)</w:t>
      </w:r>
      <w:r>
        <w:br/>
        <w:t>\neq</w:t>
      </w:r>
      <w:r>
        <w:br/>
        <w:t>\operatorname{Caus}_F^{(\mathfrak M_2)}(X,Y).</w:t>
      </w:r>
      <w:r>
        <w:br/>
        <w:t>}</w:t>
      </w:r>
      <w:r>
        <w:br/>
        <w:t>\tag{3.12855}</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\boxed{\exists\mathfrak M_1,\mathfrak M_2:\operatorname{Caus}_F^{(\mathfrak M_1)}(X,Y)\neq\operatorname{Caus}_F^{(\mathfrak M_2)}(X,Y).}</w:t>
      </w:r>
    </w:p>
    <w:p w:rsidR="00072F8B" w:rsidRDefault="00E50336" w:rsidP="00072F8B">
      <w:r>
        <w:pict>
          <v:rect id="_x0000_i4807" style="width:0;height:1.5pt" o:hralign="center" o:hrstd="t" o:hr="t" fillcolor="#a0a0a0" stroked="f"/>
        </w:pict>
      </w:r>
    </w:p>
    <w:p w:rsidR="00072F8B" w:rsidRDefault="00072F8B" w:rsidP="00072F8B">
      <w:pPr>
        <w:pStyle w:val="berschrift1"/>
      </w:pPr>
      <w:r>
        <w:t>3.3.49.278 Absolute Kausalität wird nicht vorausgesetzt</w:t>
      </w:r>
    </w:p>
    <w:p w:rsidR="00072F8B" w:rsidRDefault="00072F8B" w:rsidP="00072F8B">
      <w:pPr>
        <w:pStyle w:val="StandardWeb"/>
      </w:pPr>
      <w:r>
        <w:t>Ich fordere daher ausdrücklich nicht</w:t>
      </w:r>
    </w:p>
    <w:p w:rsidR="00072F8B" w:rsidRDefault="00072F8B" w:rsidP="00072F8B">
      <w:pPr>
        <w:pStyle w:val="StandardWeb"/>
      </w:pPr>
      <w:r>
        <w:t>[</w:t>
      </w:r>
      <w:r>
        <w:br/>
        <w:t>\exists</w:t>
      </w:r>
      <w:r>
        <w:br/>
        <w:t>\operatorname{Caus}_F^{\mathrm{abs}}</w:t>
      </w:r>
      <w:r>
        <w:br/>
        <w:t>\tag{3.12856}</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lastRenderedPageBreak/>
        <w:t>\exists\operatorname{Caus}_F^{\mathrm{abs}}</w:t>
      </w:r>
    </w:p>
    <w:p w:rsidR="00072F8B" w:rsidRDefault="00072F8B" w:rsidP="00072F8B">
      <w:pPr>
        <w:pStyle w:val="StandardWeb"/>
      </w:pPr>
      <w:r>
        <w:t>mit einer modellunabhängigen Gültigkeit für sämtliche denkbaren FRZK-Modellklassen.</w:t>
      </w:r>
    </w:p>
    <w:p w:rsidR="00072F8B" w:rsidRDefault="00E50336" w:rsidP="00072F8B">
      <w:r>
        <w:pict>
          <v:rect id="_x0000_i4808" style="width:0;height:1.5pt" o:hralign="center" o:hrstd="t" o:hr="t" fillcolor="#a0a0a0" stroked="f"/>
        </w:pict>
      </w:r>
    </w:p>
    <w:p w:rsidR="00072F8B" w:rsidRDefault="00072F8B" w:rsidP="00072F8B">
      <w:pPr>
        <w:pStyle w:val="berschrift1"/>
      </w:pPr>
      <w:r>
        <w:t>3.3.49.279 Primäraxiomkandidat modellunabhängiger Kausalität</w:t>
      </w:r>
    </w:p>
    <w:p w:rsidR="00072F8B" w:rsidRDefault="00072F8B" w:rsidP="00072F8B">
      <w:pPr>
        <w:pStyle w:val="StandardWeb"/>
      </w:pPr>
      <w:r>
        <w:t>Ein entsprechender Kandidat wäre</w:t>
      </w:r>
    </w:p>
    <w:p w:rsidR="00072F8B" w:rsidRDefault="00072F8B" w:rsidP="00072F8B">
      <w:pPr>
        <w:pStyle w:val="StandardWeb"/>
      </w:pPr>
      <w:r>
        <w:t>[</w:t>
      </w:r>
      <w:r>
        <w:br/>
        <w:t>A_{\mathrm{caus-abs}}</w:t>
      </w:r>
      <w:r>
        <w:br/>
        <w:t>:</w:t>
      </w:r>
      <w:r>
        <w:br/>
        <w:t>\operatorname{Caus}_F</w:t>
      </w:r>
      <w:r>
        <w:br/>
        <w:t>\text{ ist modellunabhängig}.</w:t>
      </w:r>
      <w:r>
        <w:br/>
        <w:t>\tag{3.12857}</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A_{\mathrm{caus-abs}}:\operatorname{Caus}_F\text{ ist modellunabhängig}</w:t>
      </w:r>
    </w:p>
    <w:p w:rsidR="00072F8B" w:rsidRDefault="00E50336" w:rsidP="00072F8B">
      <w:r>
        <w:pict>
          <v:rect id="_x0000_i4809" style="width:0;height:1.5pt" o:hralign="center" o:hrstd="t" o:hr="t" fillcolor="#a0a0a0" stroked="f"/>
        </w:pict>
      </w:r>
    </w:p>
    <w:p w:rsidR="00072F8B" w:rsidRDefault="00072F8B" w:rsidP="00072F8B">
      <w:pPr>
        <w:pStyle w:val="berschrift1"/>
      </w:pPr>
      <w:r>
        <w:t>3.3.49.280 Gegenmodell</w:t>
      </w:r>
    </w:p>
    <w:p w:rsidR="00072F8B" w:rsidRDefault="00072F8B" w:rsidP="00072F8B">
      <w:pPr>
        <w:pStyle w:val="StandardWeb"/>
      </w:pPr>
      <w:r>
        <w:t>Zwei Modellklassen können unterschiedliche Interventionsdomänen besitzen:</w:t>
      </w:r>
    </w:p>
    <w:p w:rsidR="00072F8B" w:rsidRDefault="00072F8B" w:rsidP="00072F8B">
      <w:pPr>
        <w:pStyle w:val="StandardWeb"/>
      </w:pPr>
      <w:r>
        <w:t>[</w:t>
      </w:r>
      <w:r>
        <w:br/>
        <w:t>\mathcal D_{\operatorname{do}}^{(1)}</w:t>
      </w:r>
      <w:r>
        <w:br/>
        <w:t>\neq</w:t>
      </w:r>
      <w:r>
        <w:br/>
        <w:t>\mathcal D_{\operatorname{do}}^{(2)}.</w:t>
      </w:r>
      <w:r>
        <w:br/>
        <w:t>\tag{3.12858}</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\mathcal D_{\operatorname{do}}^{(1)}\neq\mathcal D_{\operatorname{do}}^{(2)}</w:t>
      </w:r>
    </w:p>
    <w:p w:rsidR="00072F8B" w:rsidRDefault="00072F8B" w:rsidP="00072F8B">
      <w:pPr>
        <w:pStyle w:val="StandardWeb"/>
      </w:pPr>
      <w:r>
        <w:t>Damit können auch ihre Kausalitätsrelationen verschieden sein:</w:t>
      </w:r>
    </w:p>
    <w:p w:rsidR="00072F8B" w:rsidRDefault="00072F8B" w:rsidP="00072F8B">
      <w:pPr>
        <w:pStyle w:val="StandardWeb"/>
      </w:pPr>
      <w:r>
        <w:t>[</w:t>
      </w:r>
      <w:r>
        <w:br/>
        <w:t>\operatorname{Caus}_F^{(1)}</w:t>
      </w:r>
      <w:r>
        <w:br/>
        <w:t>\neq</w:t>
      </w:r>
      <w:r>
        <w:br/>
        <w:t>\operatorname{Caus}_F^{(2)}.</w:t>
      </w:r>
      <w:r>
        <w:br/>
        <w:t>\tag{3.12859}</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lastRenderedPageBreak/>
        <w:t>\operatorname{Caus}_F^{(1)}\neq\operatorname{Caus}_F^{(2)}</w:t>
      </w:r>
    </w:p>
    <w:p w:rsidR="00072F8B" w:rsidRDefault="00E50336" w:rsidP="00072F8B">
      <w:r>
        <w:pict>
          <v:rect id="_x0000_i4810" style="width:0;height:1.5pt" o:hralign="center" o:hrstd="t" o:hr="t" fillcolor="#a0a0a0" stroked="f"/>
        </w:pict>
      </w:r>
    </w:p>
    <w:p w:rsidR="00072F8B" w:rsidRDefault="00072F8B" w:rsidP="00072F8B">
      <w:pPr>
        <w:pStyle w:val="berschrift1"/>
      </w:pPr>
      <w:r>
        <w:t>3.3.49.281 Axiomentscheidung zur absoluten Kausalität</w:t>
      </w:r>
    </w:p>
    <w:p w:rsidR="00072F8B" w:rsidRDefault="00072F8B" w:rsidP="00072F8B">
      <w:pPr>
        <w:pStyle w:val="StandardWeb"/>
      </w:pPr>
      <w:r>
        <w:t>Daher gilt</w:t>
      </w:r>
    </w:p>
    <w:p w:rsidR="00072F8B" w:rsidRDefault="00072F8B" w:rsidP="00072F8B">
      <w:pPr>
        <w:pStyle w:val="berschrift1"/>
      </w:pPr>
      <w:r>
        <w:t>[</w:t>
      </w:r>
      <w:r>
        <w:br/>
        <w:t>\boxed{</w:t>
      </w:r>
      <w:r>
        <w:br/>
        <w:t>U_{\mathrm{Ax}}</w:t>
      </w:r>
      <w:r>
        <w:br/>
        <w:t>(A_{\mathrm{caus-abs}})</w:t>
      </w:r>
    </w:p>
    <w:p w:rsidR="00072F8B" w:rsidRDefault="00072F8B" w:rsidP="00563F88">
      <w:pPr>
        <w:numPr>
          <w:ilvl w:val="0"/>
          <w:numId w:val="582"/>
        </w:numPr>
        <w:spacing w:before="100" w:beforeAutospacing="1" w:after="100" w:afterAutospacing="1"/>
      </w:pPr>
    </w:p>
    <w:p w:rsidR="00072F8B" w:rsidRDefault="00072F8B" w:rsidP="00072F8B">
      <w:pPr>
        <w:pStyle w:val="StandardWeb"/>
      </w:pPr>
      <w:r>
        <w:t>}</w:t>
      </w:r>
      <w:r>
        <w:br/>
        <w:t>\tag{3.12860}</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\boxed{U_{\mathrm{Ax}}(A_{\mathrm{caus-abs}})=0.}</w:t>
      </w:r>
    </w:p>
    <w:p w:rsidR="00072F8B" w:rsidRDefault="00E50336" w:rsidP="00072F8B">
      <w:r>
        <w:pict>
          <v:rect id="_x0000_i4811" style="width:0;height:1.5pt" o:hralign="center" o:hrstd="t" o:hr="t" fillcolor="#a0a0a0" stroked="f"/>
        </w:pict>
      </w:r>
    </w:p>
    <w:p w:rsidR="00072F8B" w:rsidRDefault="00072F8B" w:rsidP="00072F8B">
      <w:pPr>
        <w:pStyle w:val="berschrift1"/>
      </w:pPr>
      <w:r>
        <w:t>3.3.49.282 Satz 3.3.176 – Modellunabhängige funktionale Kausalität ist kein Primäraxiom</w:t>
      </w:r>
    </w:p>
    <w:p w:rsidR="00072F8B" w:rsidRDefault="00072F8B" w:rsidP="00072F8B">
      <w:pPr>
        <w:pStyle w:val="berschrift3"/>
      </w:pPr>
      <w:r>
        <w:t>Satz 3.3.176</w:t>
      </w:r>
    </w:p>
    <w:p w:rsidR="00072F8B" w:rsidRDefault="00072F8B" w:rsidP="00072F8B">
      <w:pPr>
        <w:pStyle w:val="StandardWeb"/>
      </w:pPr>
      <w:r>
        <w:t>Die Forderung, funktionale Kausalitätsrelationen müssten unabhängig von Modellgrenze, Interventionsdomäne und Beobachtungsstruktur eindeutig feststehen, ist keine universell notwendige Voraussetzung des allgemeinen FRZK.</w:t>
      </w:r>
    </w:p>
    <w:p w:rsidR="00072F8B" w:rsidRDefault="00072F8B" w:rsidP="00072F8B">
      <w:pPr>
        <w:pStyle w:val="StandardWeb"/>
      </w:pPr>
      <w:r>
        <w:t>Formal gilt</w:t>
      </w:r>
    </w:p>
    <w:p w:rsidR="00072F8B" w:rsidRDefault="00072F8B" w:rsidP="00072F8B">
      <w:pPr>
        <w:pStyle w:val="berschrift1"/>
      </w:pPr>
      <w:r>
        <w:t>[</w:t>
      </w:r>
      <w:r>
        <w:br/>
        <w:t>\boxed{</w:t>
      </w:r>
      <w:r>
        <w:br/>
        <w:t>U_{\mathrm{Ax}}</w:t>
      </w:r>
      <w:r>
        <w:br/>
        <w:t>(A_{\mathrm{caus-abs}})</w:t>
      </w:r>
    </w:p>
    <w:p w:rsidR="00072F8B" w:rsidRDefault="00072F8B" w:rsidP="00563F88">
      <w:pPr>
        <w:numPr>
          <w:ilvl w:val="0"/>
          <w:numId w:val="583"/>
        </w:numPr>
        <w:spacing w:before="100" w:beforeAutospacing="1" w:after="100" w:afterAutospacing="1"/>
      </w:pPr>
    </w:p>
    <w:p w:rsidR="00072F8B" w:rsidRDefault="00072F8B" w:rsidP="00072F8B">
      <w:pPr>
        <w:pStyle w:val="StandardWeb"/>
      </w:pPr>
      <w:r>
        <w:lastRenderedPageBreak/>
        <w:t>}</w:t>
      </w:r>
      <w:r>
        <w:br/>
        <w:t>\tag{3.12861}</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\boxed{U_{\mathrm{Ax}}(A_{\mathrm{caus-abs}})=0.}</w:t>
      </w:r>
    </w:p>
    <w:p w:rsidR="00072F8B" w:rsidRDefault="00E50336" w:rsidP="00072F8B">
      <w:r>
        <w:pict>
          <v:rect id="_x0000_i4812" style="width:0;height:1.5pt" o:hralign="center" o:hrstd="t" o:hr="t" fillcolor="#a0a0a0" stroked="f"/>
        </w:pict>
      </w:r>
    </w:p>
    <w:p w:rsidR="00072F8B" w:rsidRDefault="00072F8B" w:rsidP="00072F8B">
      <w:pPr>
        <w:pStyle w:val="berschrift1"/>
      </w:pPr>
      <w:r>
        <w:t>3.3.49.283 Funktionale Kausalitätsstärke</w:t>
      </w:r>
    </w:p>
    <w:p w:rsidR="00072F8B" w:rsidRDefault="00072F8B" w:rsidP="00072F8B">
      <w:pPr>
        <w:pStyle w:val="StandardWeb"/>
      </w:pPr>
      <w:r>
        <w:t>Innerhalb einer festgelegten Interventionsmodellklasse kann ich zusätzlich eine quantitative Kausalitätsstärke definieren.</w:t>
      </w:r>
    </w:p>
    <w:p w:rsidR="00072F8B" w:rsidRDefault="00072F8B" w:rsidP="00072F8B">
      <w:pPr>
        <w:pStyle w:val="StandardWeb"/>
      </w:pPr>
      <w:r>
        <w:t>Ich führe</w:t>
      </w:r>
    </w:p>
    <w:p w:rsidR="00072F8B" w:rsidRDefault="00072F8B" w:rsidP="00072F8B">
      <w:pPr>
        <w:pStyle w:val="StandardWeb"/>
      </w:pPr>
      <w:r>
        <w:t>[</w:t>
      </w:r>
      <w:r>
        <w:br/>
        <w:t>\kappa_{Y\leftarrow X}</w:t>
      </w:r>
      <w:r>
        <w:br/>
        <w:t>:</w:t>
      </w:r>
      <w:r>
        <w:br/>
        <w:t>\mathcal D_{\operatorname{do}}</w:t>
      </w:r>
      <w:r>
        <w:br/>
        <w:t>\rightarrow</w:t>
      </w:r>
      <w:r>
        <w:br/>
        <w:t>\mathbb R</w:t>
      </w:r>
      <w:r>
        <w:br/>
        <w:t>\tag{3.12862}</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\kappa_{Y\leftarrow X}:\mathcal D_{\operatorname{do}}\rightarrow\mathbb R</w:t>
      </w:r>
    </w:p>
    <w:p w:rsidR="00072F8B" w:rsidRDefault="00072F8B" w:rsidP="00072F8B">
      <w:pPr>
        <w:pStyle w:val="StandardWeb"/>
      </w:pPr>
      <w:r>
        <w:t>ein.</w:t>
      </w:r>
    </w:p>
    <w:p w:rsidR="00072F8B" w:rsidRDefault="00E50336" w:rsidP="00072F8B">
      <w:r>
        <w:pict>
          <v:rect id="_x0000_i4813" style="width:0;height:1.5pt" o:hralign="center" o:hrstd="t" o:hr="t" fillcolor="#a0a0a0" stroked="f"/>
        </w:pict>
      </w:r>
    </w:p>
    <w:p w:rsidR="00072F8B" w:rsidRDefault="00072F8B" w:rsidP="00072F8B">
      <w:pPr>
        <w:pStyle w:val="berschrift1"/>
      </w:pPr>
      <w:r>
        <w:t>3.3.49.284 Definition 3.3.452 – Funktionale Kausalitätsstärke</w:t>
      </w:r>
    </w:p>
    <w:p w:rsidR="00072F8B" w:rsidRDefault="00072F8B" w:rsidP="00072F8B">
      <w:pPr>
        <w:pStyle w:val="berschrift3"/>
      </w:pPr>
      <w:r>
        <w:t>Definition 3.3.452</w:t>
      </w:r>
    </w:p>
    <w:p w:rsidR="00072F8B" w:rsidRDefault="00072F8B" w:rsidP="00072F8B">
      <w:pPr>
        <w:pStyle w:val="StandardWeb"/>
      </w:pPr>
      <w:r>
        <w:t xml:space="preserve">Eine </w:t>
      </w:r>
      <w:r>
        <w:rPr>
          <w:rStyle w:val="Fett"/>
        </w:rPr>
        <w:t>funktionale Kausalitätsstärke</w:t>
      </w:r>
      <w:r>
        <w:t xml:space="preserve"> ist eine modellabhängige Abbildung</w:t>
      </w:r>
    </w:p>
    <w:p w:rsidR="00072F8B" w:rsidRDefault="00072F8B" w:rsidP="00072F8B">
      <w:pPr>
        <w:pStyle w:val="berschrift1"/>
      </w:pPr>
      <w:r>
        <w:t>[</w:t>
      </w:r>
      <w:r>
        <w:br/>
        <w:t>\boxed{</w:t>
      </w:r>
      <w:r>
        <w:br/>
        <w:t>\kappa_{Y\leftarrow X}</w:t>
      </w:r>
    </w:p>
    <w:p w:rsidR="00072F8B" w:rsidRDefault="00072F8B" w:rsidP="00072F8B">
      <w:pPr>
        <w:pStyle w:val="StandardWeb"/>
      </w:pPr>
      <w:r>
        <w:t>\kappa</w:t>
      </w:r>
      <w:r>
        <w:br/>
        <w:t>\left(</w:t>
      </w:r>
      <w:r>
        <w:br/>
        <w:t>X,Y;</w:t>
      </w:r>
      <w:r>
        <w:br/>
        <w:t>\mathfrak M_F^{\operatorname{do}}</w:t>
      </w:r>
      <w:r>
        <w:br/>
      </w:r>
      <w:r>
        <w:lastRenderedPageBreak/>
        <w:t>\right),</w:t>
      </w:r>
      <w:r>
        <w:br/>
        <w:t>}</w:t>
      </w:r>
      <w:r>
        <w:br/>
        <w:t>\tag{3.12863}</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\boxed{\kappa_{Y\leftarrow X}=\kappa\left(X,Y;\mathfrak M_F^{\operatorname{do}}\right),}</w:t>
      </w:r>
    </w:p>
    <w:p w:rsidR="00072F8B" w:rsidRDefault="00072F8B" w:rsidP="00072F8B">
      <w:pPr>
        <w:pStyle w:val="StandardWeb"/>
      </w:pPr>
      <w:r>
        <w:t>die die Größe einer interventionell definierten Wirkung quantifiziert.</w:t>
      </w:r>
    </w:p>
    <w:p w:rsidR="00072F8B" w:rsidRDefault="00E50336" w:rsidP="00072F8B">
      <w:r>
        <w:pict>
          <v:rect id="_x0000_i4814" style="width:0;height:1.5pt" o:hralign="center" o:hrstd="t" o:hr="t" fillcolor="#a0a0a0" stroked="f"/>
        </w:pict>
      </w:r>
    </w:p>
    <w:p w:rsidR="00072F8B" w:rsidRDefault="00072F8B" w:rsidP="00072F8B">
      <w:pPr>
        <w:pStyle w:val="berschrift1"/>
      </w:pPr>
      <w:r>
        <w:t>3.3.49.285 Eine mögliche Effektdefinition</w:t>
      </w:r>
    </w:p>
    <w:p w:rsidR="00072F8B" w:rsidRDefault="00072F8B" w:rsidP="00072F8B">
      <w:pPr>
        <w:pStyle w:val="StandardWeb"/>
      </w:pPr>
      <w:r>
        <w:t>Für zwei festgelegte Interventionen kann beispielsweise</w:t>
      </w:r>
    </w:p>
    <w:p w:rsidR="00072F8B" w:rsidRDefault="00072F8B" w:rsidP="00072F8B">
      <w:pPr>
        <w:pStyle w:val="berschrift1"/>
      </w:pPr>
      <w:r>
        <w:t>[</w:t>
      </w:r>
      <w:r>
        <w:br/>
        <w:t>\kappa_{Y\leftarrow X}</w:t>
      </w:r>
    </w:p>
    <w:p w:rsidR="00072F8B" w:rsidRDefault="00072F8B" w:rsidP="00072F8B">
      <w:pPr>
        <w:pStyle w:val="berschrift2"/>
      </w:pPr>
      <w:r>
        <w:t>\left|</w:t>
      </w:r>
      <w:r>
        <w:br/>
        <w:t>Y_F^{\operatorname{do}(X=x_1)}</w:t>
      </w:r>
    </w:p>
    <w:p w:rsidR="00072F8B" w:rsidRDefault="00072F8B" w:rsidP="00072F8B">
      <w:pPr>
        <w:pStyle w:val="StandardWeb"/>
      </w:pPr>
      <w:r>
        <w:t>Y_F^{\operatorname{do}(X=x_0)}</w:t>
      </w:r>
      <w:r>
        <w:br/>
        <w:t>\right|</w:t>
      </w:r>
      <w:r>
        <w:br/>
        <w:t>\tag{3.12864}</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\kappa_{Y\leftarrow X}=\left|Y_F^{\operatorname{do}(X=x_1)}-Y_F^{\operatorname{do}(X=x_0)}\right|</w:t>
      </w:r>
    </w:p>
    <w:p w:rsidR="00072F8B" w:rsidRDefault="00072F8B" w:rsidP="00072F8B">
      <w:pPr>
        <w:pStyle w:val="StandardWeb"/>
      </w:pPr>
      <w:r>
        <w:t>gewählt werden.</w:t>
      </w:r>
    </w:p>
    <w:p w:rsidR="00072F8B" w:rsidRDefault="00072F8B" w:rsidP="00072F8B">
      <w:pPr>
        <w:pStyle w:val="StandardWeb"/>
      </w:pPr>
      <w:r>
        <w:t>Diese konkrete Normierung ist jedoch lediglich eine Modellentscheidung.</w:t>
      </w:r>
    </w:p>
    <w:p w:rsidR="00072F8B" w:rsidRDefault="00E50336" w:rsidP="00072F8B">
      <w:r>
        <w:pict>
          <v:rect id="_x0000_i4815" style="width:0;height:1.5pt" o:hralign="center" o:hrstd="t" o:hr="t" fillcolor="#a0a0a0" stroked="f"/>
        </w:pict>
      </w:r>
    </w:p>
    <w:p w:rsidR="00072F8B" w:rsidRDefault="00072F8B" w:rsidP="00072F8B">
      <w:pPr>
        <w:pStyle w:val="berschrift1"/>
      </w:pPr>
      <w:r>
        <w:t>3.3.49.286 Normierte Kausalitätsstärke</w:t>
      </w:r>
    </w:p>
    <w:p w:rsidR="00072F8B" w:rsidRDefault="00072F8B" w:rsidP="00072F8B">
      <w:pPr>
        <w:pStyle w:val="StandardWeb"/>
      </w:pPr>
      <w:r>
        <w:t>Bei einem positiven Referenzwert (\kappa_{\mathrm{ref}}&gt;0) kann</w:t>
      </w:r>
    </w:p>
    <w:p w:rsidR="00072F8B" w:rsidRDefault="00072F8B" w:rsidP="00072F8B">
      <w:pPr>
        <w:pStyle w:val="berschrift1"/>
      </w:pPr>
      <w:r>
        <w:t>[</w:t>
      </w:r>
      <w:r>
        <w:br/>
        <w:t>\widehat{\kappa}_{Y\leftarrow X}</w:t>
      </w:r>
    </w:p>
    <w:p w:rsidR="00072F8B" w:rsidRDefault="00072F8B" w:rsidP="00072F8B">
      <w:pPr>
        <w:pStyle w:val="StandardWeb"/>
      </w:pPr>
      <w:r>
        <w:lastRenderedPageBreak/>
        <w:t>\frac{</w:t>
      </w:r>
      <w:r>
        <w:br/>
        <w:t>\kappa_{Y\leftarrow X}</w:t>
      </w:r>
      <w:r>
        <w:br/>
        <w:t>}{</w:t>
      </w:r>
      <w:r>
        <w:br/>
        <w:t>\kappa_{\mathrm{ref}}</w:t>
      </w:r>
      <w:r>
        <w:br/>
        <w:t>}</w:t>
      </w:r>
      <w:r>
        <w:br/>
        <w:t>\tag{3.12865}</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\widehat{\kappa}_{Y\leftarrow X}=\frac{\kappa_{Y\leftarrow X}}{\kappa_{\mathrm{ref}}}</w:t>
      </w:r>
    </w:p>
    <w:p w:rsidR="00072F8B" w:rsidRDefault="00072F8B" w:rsidP="00072F8B">
      <w:pPr>
        <w:pStyle w:val="StandardWeb"/>
      </w:pPr>
      <w:r>
        <w:t>definiert werden.</w:t>
      </w:r>
    </w:p>
    <w:p w:rsidR="00072F8B" w:rsidRDefault="00E50336" w:rsidP="00072F8B">
      <w:r>
        <w:pict>
          <v:rect id="_x0000_i4816" style="width:0;height:1.5pt" o:hralign="center" o:hrstd="t" o:hr="t" fillcolor="#a0a0a0" stroked="f"/>
        </w:pict>
      </w:r>
    </w:p>
    <w:p w:rsidR="00072F8B" w:rsidRDefault="00072F8B" w:rsidP="00072F8B">
      <w:pPr>
        <w:pStyle w:val="berschrift1"/>
      </w:pPr>
      <w:r>
        <w:t>3.3.49.287 Definition 3.3.453 – Normierte funktionale Kausalitätsstärke</w:t>
      </w:r>
    </w:p>
    <w:p w:rsidR="00072F8B" w:rsidRDefault="00072F8B" w:rsidP="00072F8B">
      <w:pPr>
        <w:pStyle w:val="berschrift3"/>
      </w:pPr>
      <w:r>
        <w:t>Definition 3.3.453</w:t>
      </w:r>
    </w:p>
    <w:p w:rsidR="00072F8B" w:rsidRDefault="00072F8B" w:rsidP="00072F8B">
      <w:pPr>
        <w:pStyle w:val="StandardWeb"/>
      </w:pPr>
      <w:r>
        <w:t xml:space="preserve">Die </w:t>
      </w:r>
      <w:r>
        <w:rPr>
          <w:rStyle w:val="Fett"/>
        </w:rPr>
        <w:t>normierte funktionale Kausalitätsstärke</w:t>
      </w:r>
      <w:r>
        <w:t xml:space="preserve"> ist</w:t>
      </w:r>
    </w:p>
    <w:p w:rsidR="00072F8B" w:rsidRDefault="00072F8B" w:rsidP="00072F8B">
      <w:pPr>
        <w:pStyle w:val="StandardWeb"/>
      </w:pPr>
      <w:r>
        <w:t>[</w:t>
      </w:r>
      <w:r>
        <w:br/>
        <w:t>\boxed{</w:t>
      </w:r>
      <w:r>
        <w:br/>
        <w:t>\widehat{\kappa}</w:t>
      </w:r>
      <w:r>
        <w:rPr>
          <w:rStyle w:val="Hervorhebung"/>
        </w:rPr>
        <w:t>{Y\leftarrow X}</w:t>
      </w:r>
      <w:r>
        <w:rPr>
          <w:i/>
          <w:iCs/>
        </w:rPr>
        <w:br/>
      </w:r>
      <w:r>
        <w:rPr>
          <w:rStyle w:val="Hervorhebung"/>
        </w:rPr>
        <w:t>:=</w:t>
      </w:r>
      <w:r>
        <w:rPr>
          <w:i/>
          <w:iCs/>
        </w:rPr>
        <w:br/>
      </w:r>
      <w:r>
        <w:rPr>
          <w:rStyle w:val="Hervorhebung"/>
        </w:rPr>
        <w:t>\frac{</w:t>
      </w:r>
      <w:r>
        <w:rPr>
          <w:i/>
          <w:iCs/>
        </w:rPr>
        <w:br/>
      </w:r>
      <w:r>
        <w:rPr>
          <w:rStyle w:val="Hervorhebung"/>
        </w:rPr>
        <w:t>\kappa</w:t>
      </w:r>
      <w:r>
        <w:t>{Y\leftarrow X}</w:t>
      </w:r>
      <w:r>
        <w:br/>
        <w:t>}{</w:t>
      </w:r>
      <w:r>
        <w:br/>
        <w:t>\kappa_{\mathrm{ref}}</w:t>
      </w:r>
      <w:r>
        <w:br/>
        <w:t>},</w:t>
      </w:r>
      <w:r>
        <w:br/>
        <w:t>\qquad</w:t>
      </w:r>
      <w:r>
        <w:br/>
        <w:t>\kappa_{\mathrm{ref}}&gt;0.</w:t>
      </w:r>
      <w:r>
        <w:br/>
        <w:t>}</w:t>
      </w:r>
      <w:r>
        <w:br/>
        <w:t>\tag{3.12866}</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\boxed{\widehat{\kappa}_{Y\leftarrow X}:=\frac{\kappa_{Y\leftarrow X}}{\kappa_{\mathrm{ref}}},\qquad\kappa_{\mathrm{ref}}&gt;0.}</w:t>
      </w:r>
    </w:p>
    <w:p w:rsidR="00072F8B" w:rsidRDefault="00E50336" w:rsidP="00072F8B">
      <w:r>
        <w:pict>
          <v:rect id="_x0000_i4817" style="width:0;height:1.5pt" o:hralign="center" o:hrstd="t" o:hr="t" fillcolor="#a0a0a0" stroked="f"/>
        </w:pict>
      </w:r>
    </w:p>
    <w:p w:rsidR="00072F8B" w:rsidRDefault="00072F8B" w:rsidP="00072F8B">
      <w:pPr>
        <w:pStyle w:val="berschrift1"/>
      </w:pPr>
      <w:r>
        <w:t>3.3.49.288 Kausalitätsstärke ist keine universelle Größe</w:t>
      </w:r>
    </w:p>
    <w:p w:rsidR="00072F8B" w:rsidRDefault="00072F8B" w:rsidP="00072F8B">
      <w:pPr>
        <w:pStyle w:val="StandardWeb"/>
      </w:pPr>
      <w:r>
        <w:lastRenderedPageBreak/>
        <w:t>Aus einer Kausalitätsrelation folgt nicht automatisch eine eindeutig bestimmte numerische Stärke.</w:t>
      </w:r>
    </w:p>
    <w:p w:rsidR="00072F8B" w:rsidRDefault="00072F8B" w:rsidP="00072F8B">
      <w:pPr>
        <w:pStyle w:val="StandardWeb"/>
      </w:pPr>
      <w:r>
        <w:t>Daher gilt im Allgemeinen</w:t>
      </w:r>
    </w:p>
    <w:p w:rsidR="00072F8B" w:rsidRDefault="00072F8B" w:rsidP="00072F8B">
      <w:pPr>
        <w:pStyle w:val="StandardWeb"/>
      </w:pPr>
      <w:r>
        <w:t>[</w:t>
      </w:r>
      <w:r>
        <w:br/>
        <w:t>X_F</w:t>
      </w:r>
      <w:r>
        <w:br/>
        <w:t>\overset{\operatorname{do}}{\longrightarrow}</w:t>
      </w:r>
      <w:r>
        <w:br/>
        <w:t>Y_F</w:t>
      </w:r>
      <w:r>
        <w:br/>
        <w:t>\not\Rightarrow</w:t>
      </w:r>
      <w:r>
        <w:br/>
        <w:t>\exists!</w:t>
      </w:r>
      <w:r>
        <w:br/>
        <w:t>\kappa_{Y\leftarrow X}.</w:t>
      </w:r>
      <w:r>
        <w:br/>
        <w:t>\tag{3.12867}</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X_F\overset{\operatorname{do}}{\longrightarrow}Y_F\not\Rightarrow\exists!\kappa_{Y\leftarrow X}</w:t>
      </w:r>
    </w:p>
    <w:p w:rsidR="00072F8B" w:rsidRDefault="00E50336" w:rsidP="00072F8B">
      <w:r>
        <w:pict>
          <v:rect id="_x0000_i4818" style="width:0;height:1.5pt" o:hralign="center" o:hrstd="t" o:hr="t" fillcolor="#a0a0a0" stroked="f"/>
        </w:pict>
      </w:r>
    </w:p>
    <w:p w:rsidR="00072F8B" w:rsidRDefault="00072F8B" w:rsidP="00072F8B">
      <w:pPr>
        <w:pStyle w:val="berschrift1"/>
      </w:pPr>
      <w:r>
        <w:t>3.3.49.289 Primäraxiomkandidat universeller quantitativer Kausalität</w:t>
      </w:r>
    </w:p>
    <w:p w:rsidR="00072F8B" w:rsidRDefault="00072F8B" w:rsidP="00072F8B">
      <w:pPr>
        <w:pStyle w:val="StandardWeb"/>
      </w:pPr>
      <w:r>
        <w:t>Ein möglicher Kandidat wäre</w:t>
      </w:r>
    </w:p>
    <w:p w:rsidR="00072F8B" w:rsidRDefault="00072F8B" w:rsidP="00072F8B">
      <w:pPr>
        <w:pStyle w:val="StandardWeb"/>
      </w:pPr>
      <w:r>
        <w:t>[</w:t>
      </w:r>
      <w:r>
        <w:br/>
        <w:t>A_{\kappa}</w:t>
      </w:r>
      <w:r>
        <w:br/>
        <w:t>:</w:t>
      </w:r>
      <w:r>
        <w:br/>
        <w:t>\forall</w:t>
      </w:r>
      <w:r>
        <w:br/>
        <w:t>X_F</w:t>
      </w:r>
      <w:r>
        <w:br/>
        <w:t>\overset{\operatorname{do}}{\longrightarrow}</w:t>
      </w:r>
      <w:r>
        <w:br/>
        <w:t>Y_F</w:t>
      </w:r>
      <w:r>
        <w:br/>
        <w:t>\quad</w:t>
      </w:r>
      <w:r>
        <w:br/>
        <w:t>\exists!</w:t>
      </w:r>
      <w:r>
        <w:br/>
        <w:t>\kappa_{Y\leftarrow X}.</w:t>
      </w:r>
      <w:r>
        <w:br/>
        <w:t>\tag{3.12868}</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A_{\kappa}:\forall X_F\overset{\operatorname{do}}{\longrightarrow}Y_F\quad\exists!\kappa_{Y\leftarrow X}</w:t>
      </w:r>
    </w:p>
    <w:p w:rsidR="00072F8B" w:rsidRDefault="00E50336" w:rsidP="00072F8B">
      <w:r>
        <w:pict>
          <v:rect id="_x0000_i4819" style="width:0;height:1.5pt" o:hralign="center" o:hrstd="t" o:hr="t" fillcolor="#a0a0a0" stroked="f"/>
        </w:pict>
      </w:r>
    </w:p>
    <w:p w:rsidR="00072F8B" w:rsidRDefault="00072F8B" w:rsidP="00072F8B">
      <w:pPr>
        <w:pStyle w:val="berschrift1"/>
      </w:pPr>
      <w:r>
        <w:t>3.3.49.290 Gegenmodell</w:t>
      </w:r>
    </w:p>
    <w:p w:rsidR="00072F8B" w:rsidRDefault="00072F8B" w:rsidP="00072F8B">
      <w:pPr>
        <w:pStyle w:val="StandardWeb"/>
      </w:pPr>
      <w:r>
        <w:t>Eine Modellklasse kann eine rein qualitative interventionelle Kausalitätsrelation besitzen, ohne eine quantitative Effektmetrik festzulegen.</w:t>
      </w:r>
    </w:p>
    <w:p w:rsidR="00072F8B" w:rsidRDefault="00072F8B" w:rsidP="00072F8B">
      <w:pPr>
        <w:pStyle w:val="StandardWeb"/>
      </w:pPr>
      <w:r>
        <w:lastRenderedPageBreak/>
        <w:t>Dann gilt</w:t>
      </w:r>
    </w:p>
    <w:p w:rsidR="00072F8B" w:rsidRDefault="00072F8B" w:rsidP="00072F8B">
      <w:pPr>
        <w:pStyle w:val="StandardWeb"/>
      </w:pPr>
      <w:r>
        <w:t>[</w:t>
      </w:r>
      <w:r>
        <w:br/>
        <w:t>\operatorname{Caus}_F</w:t>
      </w:r>
      <w:r>
        <w:br/>
        <w:t>\neq</w:t>
      </w:r>
      <w:r>
        <w:br/>
        <w:t>\varnothing</w:t>
      </w:r>
      <w:r>
        <w:br/>
        <w:t>\tag{3.12869}</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\operatorname{Caus}_F\neq\varnothing</w:t>
      </w:r>
    </w:p>
    <w:p w:rsidR="00072F8B" w:rsidRDefault="00072F8B" w:rsidP="00072F8B">
      <w:pPr>
        <w:pStyle w:val="StandardWeb"/>
      </w:pPr>
      <w:r>
        <w:t>bei gleichzeitig nicht definierter (\kappa)-Abbildung.</w:t>
      </w:r>
    </w:p>
    <w:p w:rsidR="00072F8B" w:rsidRDefault="00E50336" w:rsidP="00072F8B">
      <w:r>
        <w:pict>
          <v:rect id="_x0000_i4820" style="width:0;height:1.5pt" o:hralign="center" o:hrstd="t" o:hr="t" fillcolor="#a0a0a0" stroked="f"/>
        </w:pict>
      </w:r>
    </w:p>
    <w:p w:rsidR="00072F8B" w:rsidRDefault="00072F8B" w:rsidP="00072F8B">
      <w:pPr>
        <w:pStyle w:val="berschrift1"/>
      </w:pPr>
      <w:r>
        <w:t>3.3.49.291 Axiomentscheidung zur universellen Kausalitätsstärke</w:t>
      </w:r>
    </w:p>
    <w:p w:rsidR="00072F8B" w:rsidRDefault="00072F8B" w:rsidP="00072F8B">
      <w:pPr>
        <w:pStyle w:val="StandardWeb"/>
      </w:pPr>
      <w:r>
        <w:t>Damit gilt</w:t>
      </w:r>
    </w:p>
    <w:p w:rsidR="00072F8B" w:rsidRDefault="00072F8B" w:rsidP="00072F8B">
      <w:pPr>
        <w:pStyle w:val="berschrift1"/>
      </w:pPr>
      <w:r>
        <w:t>[</w:t>
      </w:r>
      <w:r>
        <w:br/>
        <w:t>\boxed{</w:t>
      </w:r>
      <w:r>
        <w:br/>
        <w:t>U_{\mathrm{Ax}}</w:t>
      </w:r>
      <w:r>
        <w:br/>
        <w:t>(A_{\kappa})</w:t>
      </w:r>
    </w:p>
    <w:p w:rsidR="00072F8B" w:rsidRDefault="00072F8B" w:rsidP="00563F88">
      <w:pPr>
        <w:numPr>
          <w:ilvl w:val="0"/>
          <w:numId w:val="584"/>
        </w:numPr>
        <w:spacing w:before="100" w:beforeAutospacing="1" w:after="100" w:afterAutospacing="1"/>
      </w:pPr>
    </w:p>
    <w:p w:rsidR="00072F8B" w:rsidRDefault="00072F8B" w:rsidP="00072F8B">
      <w:pPr>
        <w:pStyle w:val="StandardWeb"/>
      </w:pPr>
      <w:r>
        <w:t>}</w:t>
      </w:r>
      <w:r>
        <w:br/>
        <w:t>\tag{3.12870}</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\boxed{U_{\mathrm{Ax}}(A_{\kappa})=0.}</w:t>
      </w:r>
    </w:p>
    <w:p w:rsidR="00072F8B" w:rsidRDefault="00E50336" w:rsidP="00072F8B">
      <w:r>
        <w:pict>
          <v:rect id="_x0000_i4821" style="width:0;height:1.5pt" o:hralign="center" o:hrstd="t" o:hr="t" fillcolor="#a0a0a0" stroked="f"/>
        </w:pict>
      </w:r>
    </w:p>
    <w:p w:rsidR="00072F8B" w:rsidRDefault="00072F8B" w:rsidP="00072F8B">
      <w:pPr>
        <w:pStyle w:val="berschrift1"/>
      </w:pPr>
      <w:r>
        <w:t>3.3.49.292 Satz 3.3.177 – Quantitative Kausalitätsstärke ist kein Primäraxiom</w:t>
      </w:r>
    </w:p>
    <w:p w:rsidR="00072F8B" w:rsidRDefault="00072F8B" w:rsidP="00072F8B">
      <w:pPr>
        <w:pStyle w:val="berschrift3"/>
      </w:pPr>
      <w:r>
        <w:t>Satz 3.3.177</w:t>
      </w:r>
    </w:p>
    <w:p w:rsidR="00072F8B" w:rsidRDefault="00072F8B" w:rsidP="00072F8B">
      <w:pPr>
        <w:pStyle w:val="StandardWeb"/>
      </w:pPr>
      <w:r>
        <w:t>Die Forderung, jede funktionale Kausalitätsrelation müsse eine eindeutig bestimmte quantitative Kausalitätsstärke besitzen, ist keine universell notwendige Voraussetzung des allgemeinen FRZK.</w:t>
      </w:r>
    </w:p>
    <w:p w:rsidR="00072F8B" w:rsidRDefault="00072F8B" w:rsidP="00072F8B">
      <w:pPr>
        <w:pStyle w:val="StandardWeb"/>
      </w:pPr>
      <w:r>
        <w:lastRenderedPageBreak/>
        <w:t>Formal gilt</w:t>
      </w:r>
    </w:p>
    <w:p w:rsidR="00072F8B" w:rsidRDefault="00072F8B" w:rsidP="00072F8B">
      <w:pPr>
        <w:pStyle w:val="berschrift1"/>
      </w:pPr>
      <w:r>
        <w:t>[</w:t>
      </w:r>
      <w:r>
        <w:br/>
        <w:t>\boxed{</w:t>
      </w:r>
      <w:r>
        <w:br/>
        <w:t>U_{\mathrm{Ax}}</w:t>
      </w:r>
      <w:r>
        <w:br/>
        <w:t>(A_{\kappa})</w:t>
      </w:r>
    </w:p>
    <w:p w:rsidR="00072F8B" w:rsidRDefault="00072F8B" w:rsidP="00563F88">
      <w:pPr>
        <w:numPr>
          <w:ilvl w:val="0"/>
          <w:numId w:val="585"/>
        </w:numPr>
        <w:spacing w:before="100" w:beforeAutospacing="1" w:after="100" w:afterAutospacing="1"/>
      </w:pPr>
    </w:p>
    <w:p w:rsidR="00072F8B" w:rsidRDefault="00072F8B" w:rsidP="00072F8B">
      <w:pPr>
        <w:pStyle w:val="StandardWeb"/>
      </w:pPr>
      <w:r>
        <w:t>}</w:t>
      </w:r>
      <w:r>
        <w:br/>
        <w:t>\tag{3.12871}</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\boxed{U_{\mathrm{Ax}}(A_{\kappa})=0.}</w:t>
      </w:r>
    </w:p>
    <w:p w:rsidR="00072F8B" w:rsidRDefault="00E50336" w:rsidP="00072F8B">
      <w:r>
        <w:pict>
          <v:rect id="_x0000_i4822" style="width:0;height:1.5pt" o:hralign="center" o:hrstd="t" o:hr="t" fillcolor="#a0a0a0" stroked="f"/>
        </w:pict>
      </w:r>
    </w:p>
    <w:p w:rsidR="00072F8B" w:rsidRDefault="00072F8B" w:rsidP="00072F8B">
      <w:pPr>
        <w:pStyle w:val="berschrift1"/>
      </w:pPr>
      <w:r>
        <w:t>3.3.49.293 Minimale funktionale Einflussstruktur</w:t>
      </w:r>
    </w:p>
    <w:p w:rsidR="00072F8B" w:rsidRDefault="00072F8B" w:rsidP="00072F8B">
      <w:pPr>
        <w:pStyle w:val="StandardWeb"/>
      </w:pPr>
      <w:r>
        <w:t>Damit stellt sich die zentrale Frage, welche Struktur für das allgemeine FRZK überhaupt minimal erforderlich ist.</w:t>
      </w:r>
    </w:p>
    <w:p w:rsidR="00072F8B" w:rsidRDefault="00072F8B" w:rsidP="00072F8B">
      <w:pPr>
        <w:pStyle w:val="StandardWeb"/>
      </w:pPr>
      <w:r>
        <w:t>Die bisherige Untersuchung zeigt, dass weder Azyklizität, Zeitrichtung, Intervention, Identifizierbarkeit noch eine quantitative Kausalitätsmetrik universell notwendig sind.</w:t>
      </w:r>
    </w:p>
    <w:p w:rsidR="00072F8B" w:rsidRDefault="00072F8B" w:rsidP="00072F8B">
      <w:pPr>
        <w:pStyle w:val="StandardWeb"/>
      </w:pPr>
      <w:r>
        <w:t>Ich fasse den bisher unverzichtbaren Teil daher zunächst als</w:t>
      </w:r>
    </w:p>
    <w:p w:rsidR="00072F8B" w:rsidRDefault="00072F8B" w:rsidP="00072F8B">
      <w:pPr>
        <w:pStyle w:val="berschrift1"/>
      </w:pPr>
      <w:r>
        <w:t>[</w:t>
      </w:r>
      <w:r>
        <w:br/>
        <w:t>\mathfrak I_F^{\min}</w:t>
      </w:r>
    </w:p>
    <w:p w:rsidR="00072F8B" w:rsidRDefault="00072F8B" w:rsidP="00072F8B">
      <w:pPr>
        <w:pStyle w:val="StandardWeb"/>
      </w:pPr>
      <w:r>
        <w:t>\left(</w:t>
      </w:r>
      <w:r>
        <w:br/>
        <w:t>\mathcal X_F,</w:t>
      </w:r>
      <w:r>
        <w:br/>
        <w:t>\mathcal I_F</w:t>
      </w:r>
      <w:r>
        <w:br/>
        <w:t>\right)</w:t>
      </w:r>
      <w:r>
        <w:br/>
        <w:t>\tag{3.12872}</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\mathfrak I_F^{\min}=\left(\mathcal X_F,\mathcal I_F\right)</w:t>
      </w:r>
    </w:p>
    <w:p w:rsidR="00072F8B" w:rsidRDefault="00072F8B" w:rsidP="00072F8B">
      <w:pPr>
        <w:pStyle w:val="StandardWeb"/>
      </w:pPr>
      <w:r>
        <w:t>auf.</w:t>
      </w:r>
    </w:p>
    <w:p w:rsidR="00072F8B" w:rsidRDefault="00E50336" w:rsidP="00072F8B">
      <w:r>
        <w:pict>
          <v:rect id="_x0000_i4823" style="width:0;height:1.5pt" o:hralign="center" o:hrstd="t" o:hr="t" fillcolor="#a0a0a0" stroked="f"/>
        </w:pict>
      </w:r>
    </w:p>
    <w:p w:rsidR="00072F8B" w:rsidRDefault="00072F8B" w:rsidP="00072F8B">
      <w:pPr>
        <w:pStyle w:val="berschrift1"/>
      </w:pPr>
      <w:r>
        <w:lastRenderedPageBreak/>
        <w:t>3.3.49.294 Definition 3.3.454 – Minimale funktionale Einflussstruktur</w:t>
      </w:r>
    </w:p>
    <w:p w:rsidR="00072F8B" w:rsidRDefault="00072F8B" w:rsidP="00072F8B">
      <w:pPr>
        <w:pStyle w:val="berschrift3"/>
      </w:pPr>
      <w:r>
        <w:t>Definition 3.3.454</w:t>
      </w:r>
    </w:p>
    <w:p w:rsidR="00072F8B" w:rsidRDefault="00072F8B" w:rsidP="00072F8B">
      <w:pPr>
        <w:pStyle w:val="StandardWeb"/>
      </w:pPr>
      <w:r>
        <w:t xml:space="preserve">Eine </w:t>
      </w:r>
      <w:r>
        <w:rPr>
          <w:rStyle w:val="Fett"/>
        </w:rPr>
        <w:t>minimale funktionale Einflussstruktur</w:t>
      </w:r>
      <w:r>
        <w:t xml:space="preserve"> ist das geordnete Paar</w:t>
      </w:r>
    </w:p>
    <w:p w:rsidR="00072F8B" w:rsidRDefault="00072F8B" w:rsidP="00072F8B">
      <w:pPr>
        <w:pStyle w:val="berschrift1"/>
      </w:pPr>
      <w:r>
        <w:t>[</w:t>
      </w:r>
      <w:r>
        <w:br/>
        <w:t>\boxed{</w:t>
      </w:r>
      <w:r>
        <w:br/>
        <w:t>\mathfrak I_F^{\min}</w:t>
      </w:r>
    </w:p>
    <w:p w:rsidR="00072F8B" w:rsidRDefault="00072F8B" w:rsidP="00072F8B">
      <w:pPr>
        <w:pStyle w:val="StandardWeb"/>
      </w:pPr>
      <w:r>
        <w:t>\left(</w:t>
      </w:r>
      <w:r>
        <w:br/>
        <w:t>\mathcal X_F,</w:t>
      </w:r>
      <w:r>
        <w:br/>
        <w:t>\mathcal I_F</w:t>
      </w:r>
      <w:r>
        <w:br/>
        <w:t>\right),</w:t>
      </w:r>
      <w:r>
        <w:br/>
        <w:t>}</w:t>
      </w:r>
      <w:r>
        <w:br/>
        <w:t>\tag{3.12873}</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\boxed{\mathfrak I_F^{\min}=\left(\mathcal X_F,\mathcal I_F\right),}</w:t>
      </w:r>
    </w:p>
    <w:p w:rsidR="00072F8B" w:rsidRDefault="00072F8B" w:rsidP="00072F8B">
      <w:pPr>
        <w:pStyle w:val="StandardWeb"/>
      </w:pPr>
      <w:r>
        <w:t>bestehend aus einer Menge funktionaler Theorieobjekte und einer optional definierten gerichteten Einflussrelation.</w:t>
      </w:r>
    </w:p>
    <w:p w:rsidR="00072F8B" w:rsidRDefault="00E50336" w:rsidP="00072F8B">
      <w:r>
        <w:pict>
          <v:rect id="_x0000_i4824" style="width:0;height:1.5pt" o:hralign="center" o:hrstd="t" o:hr="t" fillcolor="#a0a0a0" stroked="f"/>
        </w:pict>
      </w:r>
    </w:p>
    <w:p w:rsidR="00072F8B" w:rsidRDefault="00072F8B" w:rsidP="00072F8B">
      <w:pPr>
        <w:pStyle w:val="berschrift1"/>
      </w:pPr>
      <w:r>
        <w:t>3.3.49.295 Einflussrelation kann leer sein</w:t>
      </w:r>
    </w:p>
    <w:p w:rsidR="00072F8B" w:rsidRDefault="00072F8B" w:rsidP="00072F8B">
      <w:pPr>
        <w:pStyle w:val="StandardWeb"/>
      </w:pPr>
      <w:r>
        <w:t>Dabei kann sogar</w:t>
      </w:r>
    </w:p>
    <w:p w:rsidR="00072F8B" w:rsidRDefault="00072F8B" w:rsidP="00072F8B">
      <w:pPr>
        <w:pStyle w:val="berschrift1"/>
      </w:pPr>
      <w:r>
        <w:t>[</w:t>
      </w:r>
      <w:r>
        <w:br/>
        <w:t>\mathcal I_F</w:t>
      </w:r>
    </w:p>
    <w:p w:rsidR="00072F8B" w:rsidRDefault="00072F8B" w:rsidP="00072F8B">
      <w:pPr>
        <w:pStyle w:val="StandardWeb"/>
      </w:pPr>
      <w:r>
        <w:t>\varnothing</w:t>
      </w:r>
      <w:r>
        <w:br/>
        <w:t>\tag{3.12874}</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\mathcal I_F=\varnothing</w:t>
      </w:r>
    </w:p>
    <w:p w:rsidR="00072F8B" w:rsidRDefault="00072F8B" w:rsidP="00072F8B">
      <w:pPr>
        <w:pStyle w:val="StandardWeb"/>
      </w:pPr>
      <w:r>
        <w:t>gelten.</w:t>
      </w:r>
    </w:p>
    <w:p w:rsidR="00072F8B" w:rsidRDefault="00072F8B" w:rsidP="00072F8B">
      <w:pPr>
        <w:pStyle w:val="StandardWeb"/>
      </w:pPr>
      <w:r>
        <w:t>Ein FRZK-Modell ohne gerichtete Einflussrelationen bleibt mathematisch formulierbar.</w:t>
      </w:r>
    </w:p>
    <w:p w:rsidR="00072F8B" w:rsidRDefault="00E50336" w:rsidP="00072F8B">
      <w:r>
        <w:lastRenderedPageBreak/>
        <w:pict>
          <v:rect id="_x0000_i4825" style="width:0;height:1.5pt" o:hralign="center" o:hrstd="t" o:hr="t" fillcolor="#a0a0a0" stroked="f"/>
        </w:pict>
      </w:r>
    </w:p>
    <w:p w:rsidR="00072F8B" w:rsidRDefault="00072F8B" w:rsidP="00072F8B">
      <w:pPr>
        <w:pStyle w:val="berschrift1"/>
      </w:pPr>
      <w:r>
        <w:t>3.3.49.296 Primäraxiomkandidat nichtleerer Einflussstruktur</w:t>
      </w:r>
    </w:p>
    <w:p w:rsidR="00072F8B" w:rsidRDefault="00072F8B" w:rsidP="00072F8B">
      <w:pPr>
        <w:pStyle w:val="StandardWeb"/>
      </w:pPr>
      <w:r>
        <w:t>Ein möglicher Primäraxiomkandidat wäre</w:t>
      </w:r>
    </w:p>
    <w:p w:rsidR="00072F8B" w:rsidRDefault="00072F8B" w:rsidP="00072F8B">
      <w:pPr>
        <w:pStyle w:val="StandardWeb"/>
      </w:pPr>
      <w:r>
        <w:t>[</w:t>
      </w:r>
      <w:r>
        <w:br/>
        <w:t>A_{\mathcal I}</w:t>
      </w:r>
      <w:r>
        <w:br/>
        <w:t>:</w:t>
      </w:r>
      <w:r>
        <w:br/>
        <w:t>\mathcal I_F</w:t>
      </w:r>
      <w:r>
        <w:br/>
        <w:t>\neq</w:t>
      </w:r>
      <w:r>
        <w:br/>
        <w:t>\varnothing.</w:t>
      </w:r>
      <w:r>
        <w:br/>
        <w:t>\tag{3.12875}</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A_{\mathcal I}:\mathcal I_F\neq\varnothing</w:t>
      </w:r>
    </w:p>
    <w:p w:rsidR="00072F8B" w:rsidRDefault="00E50336" w:rsidP="00072F8B">
      <w:r>
        <w:pict>
          <v:rect id="_x0000_i4826" style="width:0;height:1.5pt" o:hralign="center" o:hrstd="t" o:hr="t" fillcolor="#a0a0a0" stroked="f"/>
        </w:pict>
      </w:r>
    </w:p>
    <w:p w:rsidR="00072F8B" w:rsidRDefault="00072F8B" w:rsidP="00072F8B">
      <w:pPr>
        <w:pStyle w:val="berschrift1"/>
      </w:pPr>
      <w:r>
        <w:t>3.3.49.297 Gegenmodell</w:t>
      </w:r>
    </w:p>
    <w:p w:rsidR="00072F8B" w:rsidRDefault="00072F8B" w:rsidP="00072F8B">
      <w:pPr>
        <w:pStyle w:val="StandardWeb"/>
      </w:pPr>
      <w:r>
        <w:t>Ein funktionales Modell kann mehrere Zustandsgrößen besitzen, ohne zwischen ihnen gerichtete Einflusskanten zu definieren:</w:t>
      </w:r>
    </w:p>
    <w:p w:rsidR="00072F8B" w:rsidRDefault="00072F8B" w:rsidP="00072F8B">
      <w:pPr>
        <w:pStyle w:val="StandardWeb"/>
      </w:pPr>
      <w:r>
        <w:t>[</w:t>
      </w:r>
      <w:r>
        <w:br/>
        <w:t>|\mathcal X_F|&gt;1</w:t>
      </w:r>
      <w:r>
        <w:br/>
        <w:t>\tag{3.12876}</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|\mathcal X_F|&gt;1</w:t>
      </w:r>
    </w:p>
    <w:p w:rsidR="00072F8B" w:rsidRDefault="00072F8B" w:rsidP="00072F8B">
      <w:pPr>
        <w:pStyle w:val="StandardWeb"/>
      </w:pPr>
      <w:r>
        <w:t>bei</w:t>
      </w:r>
    </w:p>
    <w:p w:rsidR="00072F8B" w:rsidRDefault="00072F8B" w:rsidP="00072F8B">
      <w:pPr>
        <w:pStyle w:val="berschrift1"/>
      </w:pPr>
      <w:r>
        <w:t>[</w:t>
      </w:r>
      <w:r>
        <w:br/>
        <w:t>\mathcal I_F</w:t>
      </w:r>
    </w:p>
    <w:p w:rsidR="00072F8B" w:rsidRDefault="00072F8B" w:rsidP="00072F8B">
      <w:pPr>
        <w:pStyle w:val="StandardWeb"/>
      </w:pPr>
      <w:r>
        <w:t>\varnothing.</w:t>
      </w:r>
      <w:r>
        <w:br/>
        <w:t>\tag{3.12877}</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\mathcal I_F=\varnothing</w:t>
      </w:r>
    </w:p>
    <w:p w:rsidR="00072F8B" w:rsidRDefault="00E50336" w:rsidP="00072F8B">
      <w:r>
        <w:pict>
          <v:rect id="_x0000_i4827" style="width:0;height:1.5pt" o:hralign="center" o:hrstd="t" o:hr="t" fillcolor="#a0a0a0" stroked="f"/>
        </w:pict>
      </w:r>
    </w:p>
    <w:p w:rsidR="00072F8B" w:rsidRDefault="00072F8B" w:rsidP="00072F8B">
      <w:pPr>
        <w:pStyle w:val="berschrift1"/>
      </w:pPr>
      <w:r>
        <w:lastRenderedPageBreak/>
        <w:t>3.3.49.298 Axiomentscheidung zur Existenz gerichteter Einflussrelationen</w:t>
      </w:r>
    </w:p>
    <w:p w:rsidR="00072F8B" w:rsidRDefault="00072F8B" w:rsidP="00072F8B">
      <w:pPr>
        <w:pStyle w:val="StandardWeb"/>
      </w:pPr>
      <w:r>
        <w:t>Damit folgt</w:t>
      </w:r>
    </w:p>
    <w:p w:rsidR="00072F8B" w:rsidRDefault="00072F8B" w:rsidP="00072F8B">
      <w:pPr>
        <w:pStyle w:val="berschrift1"/>
      </w:pPr>
      <w:r>
        <w:t>[</w:t>
      </w:r>
      <w:r>
        <w:br/>
        <w:t>\boxed{</w:t>
      </w:r>
      <w:r>
        <w:br/>
        <w:t>U_{\mathrm{Ax}}</w:t>
      </w:r>
      <w:r>
        <w:br/>
        <w:t>(A_{\mathcal I})</w:t>
      </w:r>
    </w:p>
    <w:p w:rsidR="00072F8B" w:rsidRDefault="00072F8B" w:rsidP="00563F88">
      <w:pPr>
        <w:numPr>
          <w:ilvl w:val="0"/>
          <w:numId w:val="586"/>
        </w:numPr>
        <w:spacing w:before="100" w:beforeAutospacing="1" w:after="100" w:afterAutospacing="1"/>
      </w:pPr>
    </w:p>
    <w:p w:rsidR="00072F8B" w:rsidRDefault="00072F8B" w:rsidP="00072F8B">
      <w:pPr>
        <w:pStyle w:val="StandardWeb"/>
      </w:pPr>
      <w:r>
        <w:t>}</w:t>
      </w:r>
      <w:r>
        <w:br/>
        <w:t>\tag{3.12878}</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\boxed{U_{\mathrm{Ax}}(A_{\mathcal I})=0.}</w:t>
      </w:r>
    </w:p>
    <w:p w:rsidR="00072F8B" w:rsidRDefault="00E50336" w:rsidP="00072F8B">
      <w:r>
        <w:pict>
          <v:rect id="_x0000_i4828" style="width:0;height:1.5pt" o:hralign="center" o:hrstd="t" o:hr="t" fillcolor="#a0a0a0" stroked="f"/>
        </w:pict>
      </w:r>
    </w:p>
    <w:p w:rsidR="00072F8B" w:rsidRDefault="00072F8B" w:rsidP="00072F8B">
      <w:pPr>
        <w:pStyle w:val="berschrift1"/>
      </w:pPr>
      <w:r>
        <w:t>3.3.49.299 Satz 3.3.178 – Nichtleere gerichtete Einflussstruktur ist kein Primäraxiom</w:t>
      </w:r>
    </w:p>
    <w:p w:rsidR="00072F8B" w:rsidRDefault="00072F8B" w:rsidP="00072F8B">
      <w:pPr>
        <w:pStyle w:val="berschrift3"/>
      </w:pPr>
      <w:r>
        <w:t>Satz 3.3.178</w:t>
      </w:r>
    </w:p>
    <w:p w:rsidR="00072F8B" w:rsidRDefault="00072F8B" w:rsidP="00072F8B">
      <w:pPr>
        <w:pStyle w:val="StandardWeb"/>
      </w:pPr>
      <w:r>
        <w:t>Die Forderung, jedes zulässige FRZK-Modell müsse mindestens eine gerichtete funktionale Einflussrelation enthalten, ist keine universell notwendige Voraussetzung.</w:t>
      </w:r>
    </w:p>
    <w:p w:rsidR="00072F8B" w:rsidRDefault="00072F8B" w:rsidP="00072F8B">
      <w:pPr>
        <w:pStyle w:val="StandardWeb"/>
      </w:pPr>
      <w:r>
        <w:t>Formal gilt</w:t>
      </w:r>
    </w:p>
    <w:p w:rsidR="00072F8B" w:rsidRDefault="00072F8B" w:rsidP="00072F8B">
      <w:pPr>
        <w:pStyle w:val="berschrift1"/>
      </w:pPr>
      <w:r>
        <w:t>[</w:t>
      </w:r>
      <w:r>
        <w:br/>
        <w:t>\boxed{</w:t>
      </w:r>
      <w:r>
        <w:br/>
        <w:t>U_{\mathrm{Ax}}</w:t>
      </w:r>
      <w:r>
        <w:br/>
        <w:t>(A_{\mathcal I})</w:t>
      </w:r>
    </w:p>
    <w:p w:rsidR="00072F8B" w:rsidRDefault="00072F8B" w:rsidP="00563F88">
      <w:pPr>
        <w:numPr>
          <w:ilvl w:val="0"/>
          <w:numId w:val="587"/>
        </w:numPr>
        <w:spacing w:before="100" w:beforeAutospacing="1" w:after="100" w:afterAutospacing="1"/>
      </w:pPr>
    </w:p>
    <w:p w:rsidR="00072F8B" w:rsidRDefault="00072F8B" w:rsidP="00072F8B">
      <w:pPr>
        <w:pStyle w:val="StandardWeb"/>
      </w:pPr>
      <w:r>
        <w:t>}</w:t>
      </w:r>
      <w:r>
        <w:br/>
        <w:t>\tag{3.12879}</w:t>
      </w:r>
      <w:r>
        <w:br/>
        <w:t>]</w:t>
      </w:r>
    </w:p>
    <w:p w:rsidR="00072F8B" w:rsidRDefault="00072F8B" w:rsidP="00072F8B">
      <w:pPr>
        <w:pStyle w:val="StandardWeb"/>
      </w:pPr>
      <w:r>
        <w:rPr>
          <w:rStyle w:val="Fett"/>
        </w:rPr>
        <w:lastRenderedPageBreak/>
        <w:t>Word-LaTeX</w:t>
      </w:r>
    </w:p>
    <w:p w:rsidR="00072F8B" w:rsidRDefault="00072F8B" w:rsidP="00072F8B">
      <w:pPr>
        <w:pStyle w:val="HTMLVorformatiert"/>
        <w:rPr>
          <w:rStyle w:val="HTMLCode"/>
        </w:rPr>
      </w:pPr>
      <w:r>
        <w:rPr>
          <w:rStyle w:val="HTMLCode"/>
        </w:rPr>
        <w:t>\boxed{U_{\mathrm{Ax}}(A_{\mathcal I})=0.}</w:t>
      </w:r>
    </w:p>
    <w:p w:rsidR="00072F8B" w:rsidRDefault="00E50336" w:rsidP="00072F8B">
      <w:r>
        <w:pict>
          <v:rect id="_x0000_i4829" style="width:0;height:1.5pt" o:hralign="center" o:hrstd="t" o:hr="t" fillcolor="#a0a0a0" stroked="f"/>
        </w:pict>
      </w:r>
    </w:p>
    <w:p w:rsidR="00072F8B" w:rsidRDefault="00072F8B" w:rsidP="00072F8B">
      <w:pPr>
        <w:pStyle w:val="berschrift1"/>
      </w:pPr>
      <w:r>
        <w:t>3.3.49.300 Konsequenz für die Primäraxiomatik</w:t>
      </w:r>
    </w:p>
    <w:p w:rsidR="00072F8B" w:rsidRDefault="00072F8B" w:rsidP="00072F8B">
      <w:pPr>
        <w:pStyle w:val="StandardWeb"/>
      </w:pPr>
      <w:r>
        <w:t>Damit ist selbst die Existenz gerichteter Einflussrelationen nicht Teil der minimalen FRZK-Primäraxiomatik.</w:t>
      </w:r>
    </w:p>
    <w:p w:rsidR="00072F8B" w:rsidRDefault="00072F8B" w:rsidP="00072F8B">
      <w:pPr>
        <w:pStyle w:val="StandardWeb"/>
      </w:pPr>
      <w:r>
        <w:t xml:space="preserve">Die gesamte in Abschnitt 3.3.49 entwickelte Einfluss- und Kausalitätsarchitektur ist daher als </w:t>
      </w:r>
      <w:r>
        <w:rPr>
          <w:rStyle w:val="Fett"/>
        </w:rPr>
        <w:t>optionale strukturelle Erweiterung</w:t>
      </w:r>
      <w:r>
        <w:t xml:space="preserve"> des allgemeinen FRZK zu behandeln.</w:t>
      </w:r>
    </w:p>
    <w:p w:rsidR="00072F8B" w:rsidRDefault="00072F8B" w:rsidP="00072F8B">
      <w:pPr>
        <w:pStyle w:val="StandardWeb"/>
      </w:pPr>
      <w:r>
        <w:t>Ich schreibe</w:t>
      </w:r>
    </w:p>
    <w:p w:rsidR="00072F8B" w:rsidRDefault="00072F8B" w:rsidP="00072F8B">
      <w:pPr>
        <w:pStyle w:val="StandardWeb"/>
      </w:pPr>
      <w:r>
        <w:t>[</w:t>
      </w:r>
      <w:r>
        <w:br/>
        <w:t>\mathfrak E_{\mathrm{inf}}</w:t>
      </w:r>
      <w:r>
        <w:br/>
        <w:t>\subseteq</w:t>
      </w:r>
      <w:r>
        <w:br/>
        <w:t>\mathfrak E_{\mathrm{FRZK}}^{\mathrm{opt}}.</w:t>
      </w:r>
      <w:r>
        <w:br/>
        <w:t>\tag{3.12880}</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\mathfrak E_{\mathrm{inf}}\subseteq\mathfrak E_{\mathrm{FRZK}}^{\mathrm{opt}}</w:t>
      </w:r>
    </w:p>
    <w:p w:rsidR="00072F8B" w:rsidRDefault="00E50336" w:rsidP="00072F8B">
      <w:r>
        <w:pict>
          <v:rect id="_x0000_i4830" style="width:0;height:1.5pt" o:hralign="center" o:hrstd="t" o:hr="t" fillcolor="#a0a0a0" stroked="f"/>
        </w:pict>
      </w:r>
    </w:p>
    <w:p w:rsidR="00072F8B" w:rsidRDefault="00072F8B" w:rsidP="00072F8B">
      <w:pPr>
        <w:pStyle w:val="berschrift1"/>
      </w:pPr>
      <w:r>
        <w:t>3.3.49.301 Definition 3.3.455 – Optionale funktionale Einfluss- und Kausalitätsarchitektur</w:t>
      </w:r>
    </w:p>
    <w:p w:rsidR="00072F8B" w:rsidRDefault="00072F8B" w:rsidP="00072F8B">
      <w:pPr>
        <w:pStyle w:val="berschrift3"/>
      </w:pPr>
      <w:r>
        <w:t>Definition 3.3.455</w:t>
      </w:r>
    </w:p>
    <w:p w:rsidR="00072F8B" w:rsidRDefault="00072F8B" w:rsidP="00072F8B">
      <w:pPr>
        <w:pStyle w:val="StandardWeb"/>
      </w:pPr>
      <w:r>
        <w:t xml:space="preserve">Die </w:t>
      </w:r>
      <w:r>
        <w:rPr>
          <w:rStyle w:val="Fett"/>
        </w:rPr>
        <w:t>optionale funktionale Einfluss- und Kausalitätsarchitektur</w:t>
      </w:r>
      <w:r>
        <w:t xml:space="preserve"> umfasst alle in Abschnitt 3.3.49 eingeführten gerichteten Einfluss-, Abhängigkeits-, Interventions-, Rückkopplungs-, Verzögerungs-, Identifizierbarkeits- und Kausalitätsstrukturen:</w:t>
      </w:r>
    </w:p>
    <w:p w:rsidR="00072F8B" w:rsidRDefault="00072F8B" w:rsidP="00072F8B">
      <w:pPr>
        <w:pStyle w:val="StandardWeb"/>
      </w:pPr>
      <w:r>
        <w:t>[</w:t>
      </w:r>
      <w:r>
        <w:br/>
        <w:t>\boxed{</w:t>
      </w:r>
      <w:r>
        <w:br/>
        <w:t>\mathfrak E_{\mathrm{inf}}.</w:t>
      </w:r>
      <w:r>
        <w:br/>
        <w:t>}</w:t>
      </w:r>
      <w:r>
        <w:br/>
        <w:t>\tag{3.12881}</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\boxed{\mathfrak E_{\mathrm{inf}}.}</w:t>
      </w:r>
    </w:p>
    <w:p w:rsidR="00072F8B" w:rsidRDefault="00072F8B" w:rsidP="00072F8B">
      <w:pPr>
        <w:pStyle w:val="StandardWeb"/>
      </w:pPr>
      <w:r>
        <w:t>Sie gehört nicht automatisch zum minimalen Primäraxiomkern.</w:t>
      </w:r>
    </w:p>
    <w:p w:rsidR="00072F8B" w:rsidRDefault="00E50336" w:rsidP="00072F8B">
      <w:r>
        <w:lastRenderedPageBreak/>
        <w:pict>
          <v:rect id="_x0000_i4831" style="width:0;height:1.5pt" o:hralign="center" o:hrstd="t" o:hr="t" fillcolor="#a0a0a0" stroked="f"/>
        </w:pict>
      </w:r>
    </w:p>
    <w:p w:rsidR="00072F8B" w:rsidRDefault="00072F8B" w:rsidP="00072F8B">
      <w:pPr>
        <w:pStyle w:val="berschrift1"/>
      </w:pPr>
      <w:r>
        <w:t>3.3.49.302 Vollständige Primäraxiomkandidatenmenge</w:t>
      </w:r>
    </w:p>
    <w:p w:rsidR="00072F8B" w:rsidRDefault="00072F8B" w:rsidP="00072F8B">
      <w:pPr>
        <w:pStyle w:val="StandardWeb"/>
      </w:pPr>
      <w:r>
        <w:t>Ich fasse nun alle in Abschnitt 3.3.49 geprüften Primäraxiomkandidaten zusammen:</w:t>
      </w:r>
    </w:p>
    <w:p w:rsidR="00072F8B" w:rsidRDefault="00072F8B" w:rsidP="00072F8B">
      <w:pPr>
        <w:pStyle w:val="berschrift1"/>
      </w:pPr>
      <w:r>
        <w:t>[</w:t>
      </w:r>
      <w:r>
        <w:br/>
        <w:t>\mathcal A_{\mathrm{inf}}^{\mathrm{cand,final}}</w:t>
      </w:r>
    </w:p>
    <w:p w:rsidR="00072F8B" w:rsidRDefault="00072F8B" w:rsidP="00072F8B">
      <w:pPr>
        <w:pStyle w:val="StandardWeb"/>
      </w:pPr>
      <w:r>
        <w:t>{</w:t>
      </w:r>
      <w:r>
        <w:br/>
        <w:t>A_{\mathrm{acyc}},</w:t>
      </w:r>
      <w:r>
        <w:br/>
        <w:t>A_{\rightarrow t},</w:t>
      </w:r>
      <w:r>
        <w:br/>
        <w:t>A_{\mathrm{caus}},</w:t>
      </w:r>
      <w:r>
        <w:br/>
        <w:t>A_{\operatorname{do}},</w:t>
      </w:r>
      <w:r>
        <w:br/>
        <w:t>A_{\mathrm{delay}},</w:t>
      </w:r>
      <w:r>
        <w:br/>
        <w:t>A_{\mathrm{comm-do}},</w:t>
      </w:r>
      <w:r>
        <w:br/>
        <w:t>A_{\mathrm{ident}},</w:t>
      </w:r>
      <w:r>
        <w:br/>
        <w:t>A_{\mathrm{caus-abs}},</w:t>
      </w:r>
      <w:r>
        <w:br/>
        <w:t>A_{\kappa},</w:t>
      </w:r>
      <w:r>
        <w:br/>
        <w:t>A_{\mathcal I}</w:t>
      </w:r>
      <w:r>
        <w:br/>
        <w:t>}.</w:t>
      </w:r>
      <w:r>
        <w:br/>
        <w:t>\tag{3.12882}</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\mathcal A_{\mathrm{inf}}^{\mathrm{cand,final}}=\{A_{\mathrm{acyc}},A_{\rightarrow t},A_{\mathrm{caus}},A_{\operatorname{do}},A_{\mathrm{delay}},A_{\mathrm{comm-do}},A_{\mathrm{ident}},A_{\mathrm{caus-abs}},A_{\kappa},A_{\mathcal I}\}</w:t>
      </w:r>
    </w:p>
    <w:p w:rsidR="00072F8B" w:rsidRDefault="00E50336" w:rsidP="00072F8B">
      <w:r>
        <w:pict>
          <v:rect id="_x0000_i4832" style="width:0;height:1.5pt" o:hralign="center" o:hrstd="t" o:hr="t" fillcolor="#a0a0a0" stroked="f"/>
        </w:pict>
      </w:r>
    </w:p>
    <w:p w:rsidR="00072F8B" w:rsidRDefault="00072F8B" w:rsidP="00072F8B">
      <w:pPr>
        <w:pStyle w:val="berschrift1"/>
      </w:pPr>
      <w:r>
        <w:t>3.3.49.303 Endgültige Kandidatenprüfung</w:t>
      </w:r>
    </w:p>
    <w:p w:rsidR="00072F8B" w:rsidRDefault="00072F8B" w:rsidP="00072F8B">
      <w:pPr>
        <w:pStyle w:val="StandardWeb"/>
      </w:pPr>
      <w:r>
        <w:t>Für jeden dieser Kandidaten wurde mindestens ein zulässiges Gegenmodell angegeben.</w:t>
      </w:r>
    </w:p>
    <w:p w:rsidR="00072F8B" w:rsidRDefault="00072F8B" w:rsidP="00072F8B">
      <w:pPr>
        <w:pStyle w:val="StandardWeb"/>
      </w:pPr>
      <w:r>
        <w:t>Daher gilt</w:t>
      </w:r>
    </w:p>
    <w:p w:rsidR="00072F8B" w:rsidRDefault="00072F8B" w:rsidP="00072F8B">
      <w:pPr>
        <w:pStyle w:val="berschrift1"/>
      </w:pPr>
      <w:r>
        <w:t>[</w:t>
      </w:r>
      <w:r>
        <w:br/>
        <w:t>\boxed{</w:t>
      </w:r>
      <w:r>
        <w:br/>
        <w:t>U_{\mathrm{Ax}}(A)</w:t>
      </w:r>
    </w:p>
    <w:p w:rsidR="00072F8B" w:rsidRDefault="00072F8B" w:rsidP="00072F8B">
      <w:pPr>
        <w:pStyle w:val="StandardWeb"/>
      </w:pPr>
      <w:r>
        <w:t>0</w:t>
      </w:r>
      <w:r>
        <w:br/>
        <w:t>\qquad</w:t>
      </w:r>
      <w:r>
        <w:br/>
      </w:r>
      <w:r>
        <w:lastRenderedPageBreak/>
        <w:t>\forall</w:t>
      </w:r>
      <w:r>
        <w:br/>
        <w:t>A</w:t>
      </w:r>
      <w:r>
        <w:br/>
        <w:t>\in</w:t>
      </w:r>
      <w:r>
        <w:br/>
        <w:t>\mathcal A_{\mathrm{inf}}^{\mathrm{cand,final}}.</w:t>
      </w:r>
      <w:r>
        <w:br/>
        <w:t>}</w:t>
      </w:r>
      <w:r>
        <w:br/>
        <w:t>\tag{3.12883}</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\boxed{U_{\mathrm{Ax}}(A)=0\qquad\forall A\in\mathcal A_{\mathrm{inf}}^{\mathrm{cand,final}}.}</w:t>
      </w:r>
    </w:p>
    <w:p w:rsidR="00072F8B" w:rsidRDefault="00E50336" w:rsidP="00072F8B">
      <w:r>
        <w:pict>
          <v:rect id="_x0000_i4833" style="width:0;height:1.5pt" o:hralign="center" o:hrstd="t" o:hr="t" fillcolor="#a0a0a0" stroked="f"/>
        </w:pict>
      </w:r>
    </w:p>
    <w:p w:rsidR="00072F8B" w:rsidRDefault="00072F8B" w:rsidP="00072F8B">
      <w:pPr>
        <w:pStyle w:val="berschrift1"/>
      </w:pPr>
      <w:r>
        <w:t>3.3.49.304 Satz 3.3.179 – Abschnitt 3.3.49 erzeugt kein neues Primäraxiom</w:t>
      </w:r>
    </w:p>
    <w:p w:rsidR="00072F8B" w:rsidRDefault="00072F8B" w:rsidP="00072F8B">
      <w:pPr>
        <w:pStyle w:val="berschrift3"/>
      </w:pPr>
      <w:r>
        <w:t>Satz 3.3.179</w:t>
      </w:r>
    </w:p>
    <w:p w:rsidR="00072F8B" w:rsidRDefault="00072F8B" w:rsidP="00072F8B">
      <w:pPr>
        <w:pStyle w:val="StandardWeb"/>
      </w:pPr>
      <w:r>
        <w:t>Keine der in Abschnitt 3.3.49 eingeführten gerichteten Einfluss-, Abhängigkeits-, Interventions-, Rückkopplungs-, Verzögerungs-, Identifizierbarkeits- oder Kausalitätsstrukturen ist für die minimale Existenz des allgemeinen FRZK universell notwendig.</w:t>
      </w:r>
    </w:p>
    <w:p w:rsidR="00072F8B" w:rsidRDefault="00072F8B" w:rsidP="00072F8B">
      <w:pPr>
        <w:pStyle w:val="StandardWeb"/>
      </w:pPr>
      <w:r>
        <w:t>Formal gilt</w:t>
      </w:r>
    </w:p>
    <w:p w:rsidR="00072F8B" w:rsidRDefault="00072F8B" w:rsidP="00072F8B">
      <w:pPr>
        <w:pStyle w:val="berschrift1"/>
      </w:pPr>
      <w:r>
        <w:t>[</w:t>
      </w:r>
      <w:r>
        <w:br/>
        <w:t>\boxed{</w:t>
      </w:r>
      <w:r>
        <w:br/>
        <w:t>\mathcal A_{3.3.49}^{\mathrm{new}}</w:t>
      </w:r>
    </w:p>
    <w:p w:rsidR="00072F8B" w:rsidRDefault="00072F8B" w:rsidP="00072F8B">
      <w:pPr>
        <w:pStyle w:val="StandardWeb"/>
      </w:pPr>
      <w:r>
        <w:t>\varnothing.</w:t>
      </w:r>
      <w:r>
        <w:br/>
        <w:t>}</w:t>
      </w:r>
      <w:r>
        <w:br/>
        <w:t>\tag{3.12884}</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\boxed{\mathcal A_{3.3.49}^{\mathrm{new}}=\varnothing.}</w:t>
      </w:r>
    </w:p>
    <w:p w:rsidR="00072F8B" w:rsidRDefault="00072F8B" w:rsidP="00072F8B">
      <w:pPr>
        <w:pStyle w:val="berschrift3"/>
      </w:pPr>
      <w:r>
        <w:t>Beweis</w:t>
      </w:r>
    </w:p>
    <w:p w:rsidR="00072F8B" w:rsidRDefault="00072F8B" w:rsidP="00072F8B">
      <w:pPr>
        <w:pStyle w:val="StandardWeb"/>
      </w:pPr>
      <w:r>
        <w:t>Für sämtliche explizit geprüften Primäraxiomkandidaten gilt</w:t>
      </w:r>
    </w:p>
    <w:p w:rsidR="00072F8B" w:rsidRDefault="00072F8B" w:rsidP="00072F8B">
      <w:pPr>
        <w:pStyle w:val="StandardWeb"/>
      </w:pPr>
      <w:r>
        <w:t>[</w:t>
      </w:r>
      <w:r>
        <w:br/>
        <w:t>U_{\mathrm{Ax}}(A)=0.</w:t>
      </w:r>
      <w:r>
        <w:br/>
        <w:t>\tag{3.12885}</w:t>
      </w:r>
      <w:r>
        <w:br/>
        <w:t>]</w:t>
      </w:r>
    </w:p>
    <w:p w:rsidR="00072F8B" w:rsidRDefault="00072F8B" w:rsidP="00072F8B">
      <w:pPr>
        <w:pStyle w:val="StandardWeb"/>
      </w:pPr>
      <w:r>
        <w:rPr>
          <w:rStyle w:val="Fett"/>
        </w:rPr>
        <w:lastRenderedPageBreak/>
        <w:t>Word-LaTeX</w:t>
      </w:r>
    </w:p>
    <w:p w:rsidR="00072F8B" w:rsidRDefault="00072F8B" w:rsidP="00072F8B">
      <w:pPr>
        <w:pStyle w:val="HTMLVorformatiert"/>
        <w:rPr>
          <w:rStyle w:val="HTMLCode"/>
        </w:rPr>
      </w:pPr>
      <w:r>
        <w:rPr>
          <w:rStyle w:val="HTMLCode"/>
        </w:rPr>
        <w:t>U_{\mathrm{Ax}}(A)=0</w:t>
      </w:r>
    </w:p>
    <w:p w:rsidR="00072F8B" w:rsidRDefault="00072F8B" w:rsidP="00072F8B">
      <w:pPr>
        <w:pStyle w:val="StandardWeb"/>
      </w:pPr>
      <w:r>
        <w:t>Dies gilt insbesondere für die Forderungen nach Azyklizität, strenger Zeitrichtung, universeller interventioneller Kausalität, universeller Interventionsfähigkeit, positiver Verzögerung, Interventionskommutativität, struktureller Identifizierbarkeit, modellunabhängiger Kausalität, quantitativer Kausalitätsstärke und nichtleerer Einflussrelation.</w:t>
      </w:r>
    </w:p>
    <w:p w:rsidR="00072F8B" w:rsidRDefault="00072F8B" w:rsidP="00072F8B">
      <w:pPr>
        <w:pStyle w:val="StandardWeb"/>
      </w:pPr>
      <w:r>
        <w:t>Damit enthält die Kandidatenmenge kein Element mit universeller Notwendigkeit:</w:t>
      </w:r>
    </w:p>
    <w:p w:rsidR="00072F8B" w:rsidRDefault="00072F8B" w:rsidP="00072F8B">
      <w:pPr>
        <w:pStyle w:val="StandardWeb"/>
      </w:pPr>
      <w:r>
        <w:t>[</w:t>
      </w:r>
      <w:r>
        <w:br/>
        <w:t>\forall A\in</w:t>
      </w:r>
      <w:r>
        <w:br/>
        <w:t>\mathcal A_{\mathrm{inf}}^{\mathrm{cand,final}}</w:t>
      </w:r>
      <w:r>
        <w:br/>
        <w:t>:</w:t>
      </w:r>
      <w:r>
        <w:br/>
        <w:t>U_{\mathrm{Ax}}(A)=0.</w:t>
      </w:r>
      <w:r>
        <w:br/>
        <w:t>\tag{3.12886}</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\forall A\in\mathcal A_{\mathrm{inf}}^{\mathrm{cand,final}}:U_{\mathrm{Ax}}(A)=0</w:t>
      </w:r>
    </w:p>
    <w:p w:rsidR="00072F8B" w:rsidRDefault="00072F8B" w:rsidP="00072F8B">
      <w:pPr>
        <w:pStyle w:val="StandardWeb"/>
      </w:pPr>
      <w:r>
        <w:t>Somit folgt</w:t>
      </w:r>
    </w:p>
    <w:p w:rsidR="00072F8B" w:rsidRDefault="00072F8B" w:rsidP="00072F8B">
      <w:pPr>
        <w:pStyle w:val="berschrift1"/>
      </w:pPr>
      <w:r>
        <w:t>[</w:t>
      </w:r>
      <w:r>
        <w:br/>
        <w:t>\mathcal A_{3.3.49}^{\mathrm{new}}</w:t>
      </w:r>
    </w:p>
    <w:p w:rsidR="00072F8B" w:rsidRDefault="00072F8B" w:rsidP="00072F8B">
      <w:pPr>
        <w:pStyle w:val="StandardWeb"/>
      </w:pPr>
      <w:r>
        <w:t>\varnothing.</w:t>
      </w:r>
      <w:r>
        <w:br/>
        <w:t>\tag{3.12887}</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\mathcal A_{3.3.49}^{\mathrm{new}}=\varnothing</w:t>
      </w:r>
    </w:p>
    <w:p w:rsidR="00072F8B" w:rsidRDefault="00072F8B" w:rsidP="00072F8B">
      <w:pPr>
        <w:pStyle w:val="StandardWeb"/>
      </w:pPr>
      <w:r>
        <w:t>(\square)</w:t>
      </w:r>
    </w:p>
    <w:p w:rsidR="00072F8B" w:rsidRDefault="00E50336" w:rsidP="00072F8B">
      <w:r>
        <w:pict>
          <v:rect id="_x0000_i4834" style="width:0;height:1.5pt" o:hralign="center" o:hrstd="t" o:hr="t" fillcolor="#a0a0a0" stroked="f"/>
        </w:pict>
      </w:r>
    </w:p>
    <w:p w:rsidR="00072F8B" w:rsidRDefault="00072F8B" w:rsidP="00072F8B">
      <w:pPr>
        <w:pStyle w:val="berschrift1"/>
      </w:pPr>
      <w:r>
        <w:t>3.3.49.305 Korollar 3.3.41 – Der FRZK-Primäraxiomkern bleibt durch Abschnitt 3.3.49 unverändert</w:t>
      </w:r>
    </w:p>
    <w:p w:rsidR="00072F8B" w:rsidRDefault="00072F8B" w:rsidP="00072F8B">
      <w:pPr>
        <w:pStyle w:val="berschrift3"/>
      </w:pPr>
      <w:r>
        <w:t>Korollar 3.3.41</w:t>
      </w:r>
    </w:p>
    <w:p w:rsidR="00072F8B" w:rsidRDefault="00072F8B" w:rsidP="00072F8B">
      <w:pPr>
        <w:pStyle w:val="StandardWeb"/>
      </w:pPr>
      <w:r>
        <w:t>Aus Satz 3.3.179 folgt</w:t>
      </w:r>
    </w:p>
    <w:p w:rsidR="00072F8B" w:rsidRDefault="00072F8B" w:rsidP="00072F8B">
      <w:pPr>
        <w:pStyle w:val="berschrift1"/>
      </w:pPr>
      <w:r>
        <w:lastRenderedPageBreak/>
        <w:t>[</w:t>
      </w:r>
      <w:r>
        <w:br/>
        <w:t>\boxed{</w:t>
      </w:r>
      <w:r>
        <w:br/>
        <w:t>\mathcal A_{\mathrm{FRZK}}^{\mathrm{nach},3.3.49}</w:t>
      </w:r>
    </w:p>
    <w:p w:rsidR="00072F8B" w:rsidRDefault="00072F8B" w:rsidP="00072F8B">
      <w:pPr>
        <w:pStyle w:val="StandardWeb"/>
      </w:pPr>
      <w:r>
        <w:t>\mathcal A_{\mathrm{FRZK}}^{\mathrm{vor},3.3.49}.</w:t>
      </w:r>
      <w:r>
        <w:br/>
        <w:t>}</w:t>
      </w:r>
      <w:r>
        <w:br/>
        <w:t>\tag{3.12888}</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\boxed{\mathcal A_{\mathrm{FRZK}}^{\mathrm{nach}\,3.3.49}=\mathcal A_{\mathrm{FRZK}}^{\mathrm{vor}\,3.3.49}.}</w:t>
      </w:r>
    </w:p>
    <w:p w:rsidR="00072F8B" w:rsidRDefault="00E50336" w:rsidP="00072F8B">
      <w:r>
        <w:pict>
          <v:rect id="_x0000_i4835" style="width:0;height:1.5pt" o:hralign="center" o:hrstd="t" o:hr="t" fillcolor="#a0a0a0" stroked="f"/>
        </w:pict>
      </w:r>
    </w:p>
    <w:p w:rsidR="00072F8B" w:rsidRDefault="00072F8B" w:rsidP="00072F8B">
      <w:pPr>
        <w:pStyle w:val="berschrift1"/>
      </w:pPr>
      <w:r>
        <w:t>3.3.49.306 Statusmatrix – gerichtete Einflussstrukturen</w:t>
      </w:r>
    </w:p>
    <w:p w:rsidR="00072F8B" w:rsidRDefault="00072F8B" w:rsidP="00072F8B">
      <w:pPr>
        <w:pStyle w:val="StandardWeb"/>
      </w:pPr>
      <w:r>
        <w:t>Ich klassifiziere zunächst die grundlegenden Einflussobjekte:</w:t>
      </w:r>
    </w:p>
    <w:p w:rsidR="00072F8B" w:rsidRDefault="00072F8B" w:rsidP="00072F8B">
      <w:pPr>
        <w:pStyle w:val="berschrift1"/>
      </w:pPr>
      <w:r>
        <w:t>[</w:t>
      </w:r>
      <w:r>
        <w:br/>
        <w:t>\operatorname{Stat}(\mathcal I_F)</w:t>
      </w:r>
    </w:p>
    <w:p w:rsidR="00072F8B" w:rsidRDefault="00072F8B" w:rsidP="00072F8B">
      <w:pPr>
        <w:pStyle w:val="StandardWeb"/>
      </w:pPr>
      <w:r>
        <w:t>\mathrm{Def/Mod},</w:t>
      </w:r>
      <w:r>
        <w:br/>
        <w:t>\tag{3.12889}</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\operatorname{Stat}(\mathcal I_F)=\mathrm{Def/Mod}</w:t>
      </w:r>
    </w:p>
    <w:p w:rsidR="00072F8B" w:rsidRDefault="00072F8B" w:rsidP="00072F8B">
      <w:pPr>
        <w:pStyle w:val="berschrift1"/>
      </w:pPr>
      <w:r>
        <w:t>[</w:t>
      </w:r>
      <w:r>
        <w:br/>
        <w:t>\operatorname{Stat}(\mathcal G_{\mathcal I})</w:t>
      </w:r>
    </w:p>
    <w:p w:rsidR="00072F8B" w:rsidRDefault="00072F8B" w:rsidP="00072F8B">
      <w:pPr>
        <w:pStyle w:val="StandardWeb"/>
      </w:pPr>
      <w:r>
        <w:t>\mathrm{Def/Mod},</w:t>
      </w:r>
      <w:r>
        <w:br/>
        <w:t>\tag{3.12890}</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\operatorname{Stat}(\mathcal G_{\mathcal I})=\mathrm{Def/Mod}</w:t>
      </w:r>
    </w:p>
    <w:p w:rsidR="00072F8B" w:rsidRDefault="00072F8B" w:rsidP="00072F8B">
      <w:pPr>
        <w:pStyle w:val="StandardWeb"/>
      </w:pPr>
      <w:r>
        <w:t>und</w:t>
      </w:r>
    </w:p>
    <w:p w:rsidR="00072F8B" w:rsidRDefault="00072F8B" w:rsidP="00072F8B">
      <w:pPr>
        <w:pStyle w:val="berschrift1"/>
      </w:pPr>
      <w:r>
        <w:lastRenderedPageBreak/>
        <w:t>[</w:t>
      </w:r>
      <w:r>
        <w:br/>
        <w:t>\operatorname{Stat}(F_{YX})</w:t>
      </w:r>
    </w:p>
    <w:p w:rsidR="00072F8B" w:rsidRDefault="00072F8B" w:rsidP="00072F8B">
      <w:pPr>
        <w:pStyle w:val="StandardWeb"/>
      </w:pPr>
      <w:r>
        <w:t>\mathrm{Def/Mod}.</w:t>
      </w:r>
      <w:r>
        <w:br/>
        <w:t>\tag{3.12891}</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\operatorname{Stat}(F_{YX})=\mathrm{Def/Mod}</w:t>
      </w:r>
    </w:p>
    <w:p w:rsidR="00072F8B" w:rsidRDefault="00E50336" w:rsidP="00072F8B">
      <w:r>
        <w:pict>
          <v:rect id="_x0000_i4836" style="width:0;height:1.5pt" o:hralign="center" o:hrstd="t" o:hr="t" fillcolor="#a0a0a0" stroked="f"/>
        </w:pict>
      </w:r>
    </w:p>
    <w:p w:rsidR="00072F8B" w:rsidRDefault="00072F8B" w:rsidP="00072F8B">
      <w:pPr>
        <w:pStyle w:val="berschrift1"/>
      </w:pPr>
      <w:r>
        <w:t>3.3.49.307 Statusmatrix – quantitative Einflussstrukturen</w:t>
      </w:r>
    </w:p>
    <w:p w:rsidR="00072F8B" w:rsidRDefault="00072F8B" w:rsidP="00072F8B">
      <w:pPr>
        <w:pStyle w:val="StandardWeb"/>
      </w:pPr>
      <w:r>
        <w:t>Für Gewichte und Aktivierungen gilt</w:t>
      </w:r>
    </w:p>
    <w:p w:rsidR="00072F8B" w:rsidRDefault="00072F8B" w:rsidP="00072F8B">
      <w:pPr>
        <w:pStyle w:val="berschrift1"/>
      </w:pPr>
      <w:r>
        <w:t>[</w:t>
      </w:r>
      <w:r>
        <w:br/>
        <w:t>\operatorname{Stat}(W_{\mathcal I})</w:t>
      </w:r>
    </w:p>
    <w:p w:rsidR="00072F8B" w:rsidRDefault="00072F8B" w:rsidP="00072F8B">
      <w:pPr>
        <w:pStyle w:val="StandardWeb"/>
      </w:pPr>
      <w:r>
        <w:t>\mathrm{Def/Mod/Op},</w:t>
      </w:r>
      <w:r>
        <w:br/>
        <w:t>\tag{3.12892}</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\operatorname{Stat}(W_{\mathcal I})=\mathrm{Def/Mod/Op}</w:t>
      </w:r>
    </w:p>
    <w:p w:rsidR="00072F8B" w:rsidRDefault="00072F8B" w:rsidP="00072F8B">
      <w:pPr>
        <w:pStyle w:val="berschrift1"/>
      </w:pPr>
      <w:r>
        <w:t>[</w:t>
      </w:r>
      <w:r>
        <w:br/>
        <w:t>\operatorname{Stat}(A_{\mathcal I})</w:t>
      </w:r>
    </w:p>
    <w:p w:rsidR="00072F8B" w:rsidRDefault="00072F8B" w:rsidP="00072F8B">
      <w:pPr>
        <w:pStyle w:val="StandardWeb"/>
      </w:pPr>
      <w:r>
        <w:t>\mathrm{Def/Mod/Op},</w:t>
      </w:r>
      <w:r>
        <w:br/>
        <w:t>\tag{3.12893}</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\operatorname{Stat}(A_{\mathcal I})=\mathrm{Def/Mod/Op}</w:t>
      </w:r>
    </w:p>
    <w:p w:rsidR="00072F8B" w:rsidRDefault="00072F8B" w:rsidP="00072F8B">
      <w:pPr>
        <w:pStyle w:val="StandardWeb"/>
      </w:pPr>
      <w:r>
        <w:t>und</w:t>
      </w:r>
    </w:p>
    <w:p w:rsidR="00072F8B" w:rsidRDefault="00072F8B" w:rsidP="00072F8B">
      <w:pPr>
        <w:pStyle w:val="berschrift1"/>
      </w:pPr>
      <w:r>
        <w:t>[</w:t>
      </w:r>
      <w:r>
        <w:br/>
        <w:t>\operatorname{Stat}(a_{\mathcal I})</w:t>
      </w:r>
    </w:p>
    <w:p w:rsidR="00072F8B" w:rsidRDefault="00072F8B" w:rsidP="00072F8B">
      <w:pPr>
        <w:pStyle w:val="StandardWeb"/>
      </w:pPr>
      <w:r>
        <w:lastRenderedPageBreak/>
        <w:t>\mathrm{Def/Mod/Op}.</w:t>
      </w:r>
      <w:r>
        <w:br/>
        <w:t>\tag{3.12894}</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\operatorname{Stat}(a_{\mathcal I})=\mathrm{Def/Mod/Op}</w:t>
      </w:r>
    </w:p>
    <w:p w:rsidR="00072F8B" w:rsidRDefault="00E50336" w:rsidP="00072F8B">
      <w:r>
        <w:pict>
          <v:rect id="_x0000_i4837" style="width:0;height:1.5pt" o:hralign="center" o:hrstd="t" o:hr="t" fillcolor="#a0a0a0" stroked="f"/>
        </w:pict>
      </w:r>
    </w:p>
    <w:p w:rsidR="00072F8B" w:rsidRDefault="00072F8B" w:rsidP="00072F8B">
      <w:pPr>
        <w:pStyle w:val="berschrift1"/>
      </w:pPr>
      <w:r>
        <w:t>3.3.49.308 Statusmatrix – Interventionen</w:t>
      </w:r>
    </w:p>
    <w:p w:rsidR="00072F8B" w:rsidRDefault="00072F8B" w:rsidP="00072F8B">
      <w:pPr>
        <w:pStyle w:val="StandardWeb"/>
      </w:pPr>
      <w:r>
        <w:t>Für funktionale Interventionen gilt</w:t>
      </w:r>
    </w:p>
    <w:p w:rsidR="00072F8B" w:rsidRDefault="00072F8B" w:rsidP="00072F8B">
      <w:pPr>
        <w:pStyle w:val="berschrift1"/>
      </w:pPr>
      <w:r>
        <w:t>[</w:t>
      </w:r>
      <w:r>
        <w:br/>
        <w:t>\operatorname{Stat}(\operatorname{do}_F)</w:t>
      </w:r>
    </w:p>
    <w:p w:rsidR="00072F8B" w:rsidRDefault="00072F8B" w:rsidP="00072F8B">
      <w:pPr>
        <w:pStyle w:val="StandardWeb"/>
      </w:pPr>
      <w:r>
        <w:t>\mathrm{Def/Mod/Op},</w:t>
      </w:r>
      <w:r>
        <w:br/>
        <w:t>\tag{3.12895}</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\operatorname{Stat}(\operatorname{do}_F)=\mathrm{Def/Mod/Op}</w:t>
      </w:r>
    </w:p>
    <w:p w:rsidR="00072F8B" w:rsidRDefault="00072F8B" w:rsidP="00072F8B">
      <w:pPr>
        <w:pStyle w:val="StandardWeb"/>
      </w:pPr>
      <w:r>
        <w:t>für Interventionsantworten</w:t>
      </w:r>
    </w:p>
    <w:p w:rsidR="00072F8B" w:rsidRDefault="00072F8B" w:rsidP="00072F8B">
      <w:pPr>
        <w:pStyle w:val="berschrift1"/>
      </w:pPr>
      <w:r>
        <w:t>[</w:t>
      </w:r>
      <w:r>
        <w:br/>
        <w:t>\operatorname{Stat}</w:t>
      </w:r>
      <w:r>
        <w:br/>
        <w:t>\left(</w:t>
      </w:r>
      <w:r>
        <w:br/>
        <w:t>Y_F^{\operatorname{do}}</w:t>
      </w:r>
      <w:r>
        <w:br/>
        <w:t>\right)</w:t>
      </w:r>
    </w:p>
    <w:p w:rsidR="00072F8B" w:rsidRDefault="00072F8B" w:rsidP="00072F8B">
      <w:pPr>
        <w:pStyle w:val="StandardWeb"/>
      </w:pPr>
      <w:r>
        <w:t>\mathrm{Def/Der/Op},</w:t>
      </w:r>
      <w:r>
        <w:br/>
        <w:t>\tag{3.12896}</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\operatorname{Stat}\left(Y_F^{\operatorname{do}}\right)=\mathrm{Def/Der/Op}</w:t>
      </w:r>
    </w:p>
    <w:p w:rsidR="00072F8B" w:rsidRDefault="00072F8B" w:rsidP="00072F8B">
      <w:pPr>
        <w:pStyle w:val="StandardWeb"/>
      </w:pPr>
      <w:r>
        <w:t>und für Interventionseffekte</w:t>
      </w:r>
    </w:p>
    <w:p w:rsidR="00072F8B" w:rsidRDefault="00072F8B" w:rsidP="00072F8B">
      <w:pPr>
        <w:pStyle w:val="berschrift1"/>
      </w:pPr>
      <w:r>
        <w:t>[</w:t>
      </w:r>
      <w:r>
        <w:br/>
        <w:t>\operatorname{Stat}</w:t>
      </w:r>
      <w:r>
        <w:br/>
      </w:r>
      <w:r>
        <w:lastRenderedPageBreak/>
        <w:t>\left(</w:t>
      </w:r>
      <w:r>
        <w:br/>
        <w:t>\Delta_{\operatorname{do}}Y_F</w:t>
      </w:r>
      <w:r>
        <w:br/>
        <w:t>\right)</w:t>
      </w:r>
    </w:p>
    <w:p w:rsidR="00072F8B" w:rsidRDefault="00072F8B" w:rsidP="00072F8B">
      <w:pPr>
        <w:pStyle w:val="StandardWeb"/>
      </w:pPr>
      <w:r>
        <w:t>\mathrm{Def/Der/Op}.</w:t>
      </w:r>
      <w:r>
        <w:br/>
        <w:t>\tag{3.12897}</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\operatorname{Stat}\left(\Delta_{\operatorname{do}}Y_F\right)=\mathrm{Def/Der/Op}</w:t>
      </w:r>
    </w:p>
    <w:p w:rsidR="00072F8B" w:rsidRDefault="00E50336" w:rsidP="00072F8B">
      <w:r>
        <w:pict>
          <v:rect id="_x0000_i4838" style="width:0;height:1.5pt" o:hralign="center" o:hrstd="t" o:hr="t" fillcolor="#a0a0a0" stroked="f"/>
        </w:pict>
      </w:r>
    </w:p>
    <w:p w:rsidR="00072F8B" w:rsidRDefault="00072F8B" w:rsidP="00072F8B">
      <w:pPr>
        <w:pStyle w:val="berschrift1"/>
      </w:pPr>
      <w:r>
        <w:t>3.3.49.309 Statusmatrix – Rückkopplung und Verzögerung</w:t>
      </w:r>
    </w:p>
    <w:p w:rsidR="00072F8B" w:rsidRDefault="00072F8B" w:rsidP="00072F8B">
      <w:pPr>
        <w:pStyle w:val="StandardWeb"/>
      </w:pPr>
      <w:r>
        <w:t>Für Rückkopplungsstrukturen gilt</w:t>
      </w:r>
    </w:p>
    <w:p w:rsidR="00072F8B" w:rsidRDefault="00072F8B" w:rsidP="00072F8B">
      <w:pPr>
        <w:pStyle w:val="berschrift1"/>
      </w:pPr>
      <w:r>
        <w:t>[</w:t>
      </w:r>
      <w:r>
        <w:br/>
        <w:t>\operatorname{Stat}(\mathcal F_{\mathrm{fb}})</w:t>
      </w:r>
    </w:p>
    <w:p w:rsidR="00072F8B" w:rsidRDefault="00072F8B" w:rsidP="00072F8B">
      <w:pPr>
        <w:pStyle w:val="StandardWeb"/>
      </w:pPr>
      <w:r>
        <w:t>\mathrm{Def/Mod},</w:t>
      </w:r>
      <w:r>
        <w:br/>
        <w:t>\tag{3.12898}</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\operatorname{Stat}(\mathcal F_{\mathrm{fb}})=\mathrm{Def/Mod}</w:t>
      </w:r>
    </w:p>
    <w:p w:rsidR="00072F8B" w:rsidRDefault="00072F8B" w:rsidP="00072F8B">
      <w:pPr>
        <w:pStyle w:val="berschrift1"/>
      </w:pPr>
      <w:r>
        <w:t>[</w:t>
      </w:r>
      <w:r>
        <w:br/>
        <w:t>\operatorname{Stat}(\mathcal O_{\mathrm{fb}})</w:t>
      </w:r>
    </w:p>
    <w:p w:rsidR="00072F8B" w:rsidRDefault="00072F8B" w:rsidP="00072F8B">
      <w:pPr>
        <w:pStyle w:val="StandardWeb"/>
      </w:pPr>
      <w:r>
        <w:t>\mathrm{Def/Der},</w:t>
      </w:r>
      <w:r>
        <w:br/>
        <w:t>\tag{3.12899}</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\operatorname{Stat}(\mathcal O_{\mathrm{fb}})=\mathrm{Def/Der}</w:t>
      </w:r>
    </w:p>
    <w:p w:rsidR="00072F8B" w:rsidRDefault="00072F8B" w:rsidP="00072F8B">
      <w:pPr>
        <w:pStyle w:val="StandardWeb"/>
      </w:pPr>
      <w:r>
        <w:t>und für Verzögerungsstrukturen</w:t>
      </w:r>
    </w:p>
    <w:p w:rsidR="00072F8B" w:rsidRDefault="00072F8B" w:rsidP="00072F8B">
      <w:pPr>
        <w:pStyle w:val="berschrift1"/>
      </w:pPr>
      <w:r>
        <w:lastRenderedPageBreak/>
        <w:t>[</w:t>
      </w:r>
      <w:r>
        <w:br/>
        <w:t>\operatorname{Stat}(\tau_{\mathcal I})</w:t>
      </w:r>
    </w:p>
    <w:p w:rsidR="00072F8B" w:rsidRDefault="00072F8B" w:rsidP="00072F8B">
      <w:pPr>
        <w:pStyle w:val="StandardWeb"/>
      </w:pPr>
      <w:r>
        <w:t>\mathrm{Def/Mod/Op}.</w:t>
      </w:r>
      <w:r>
        <w:br/>
        <w:t>\tag{3.12900}</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\operatorname{Stat}(\tau_{\mathcal I})=\mathrm{Def/Mod/Op}</w:t>
      </w:r>
    </w:p>
    <w:p w:rsidR="00072F8B" w:rsidRDefault="00E50336" w:rsidP="00072F8B">
      <w:r>
        <w:pict>
          <v:rect id="_x0000_i4839" style="width:0;height:1.5pt" o:hralign="center" o:hrstd="t" o:hr="t" fillcolor="#a0a0a0" stroked="f"/>
        </w:pict>
      </w:r>
    </w:p>
    <w:p w:rsidR="00072F8B" w:rsidRDefault="00072F8B" w:rsidP="00072F8B">
      <w:pPr>
        <w:pStyle w:val="berschrift1"/>
      </w:pPr>
      <w:r>
        <w:t>3.3.49.310 Statusmatrix – Beobachtung und Identifizierbarkeit</w:t>
      </w:r>
    </w:p>
    <w:p w:rsidR="00072F8B" w:rsidRDefault="00072F8B" w:rsidP="00072F8B">
      <w:pPr>
        <w:pStyle w:val="StandardWeb"/>
      </w:pPr>
      <w:r>
        <w:t>Für die Modellbeobachtungsabbildung gilt</w:t>
      </w:r>
    </w:p>
    <w:p w:rsidR="00072F8B" w:rsidRDefault="00072F8B" w:rsidP="00072F8B">
      <w:pPr>
        <w:pStyle w:val="berschrift1"/>
      </w:pPr>
      <w:r>
        <w:t>[</w:t>
      </w:r>
      <w:r>
        <w:br/>
        <w:t>\operatorname{Stat}(\mathcal B_{\mathfrak M})</w:t>
      </w:r>
    </w:p>
    <w:p w:rsidR="00072F8B" w:rsidRDefault="00072F8B" w:rsidP="00072F8B">
      <w:pPr>
        <w:pStyle w:val="StandardWeb"/>
      </w:pPr>
      <w:r>
        <w:t>\mathrm{Def/Mod/Op},</w:t>
      </w:r>
      <w:r>
        <w:br/>
        <w:t>\tag{3.12901}</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\operatorname{Stat}(\mathcal B_{\mathfrak M})=\mathrm{Def/Mod/Op}</w:t>
      </w:r>
    </w:p>
    <w:p w:rsidR="00072F8B" w:rsidRDefault="00072F8B" w:rsidP="00072F8B">
      <w:pPr>
        <w:pStyle w:val="StandardWeb"/>
      </w:pPr>
      <w:r>
        <w:t>für Beobachtungsäquivalenz</w:t>
      </w:r>
    </w:p>
    <w:p w:rsidR="00072F8B" w:rsidRDefault="00072F8B" w:rsidP="00072F8B">
      <w:pPr>
        <w:pStyle w:val="berschrift1"/>
      </w:pPr>
      <w:r>
        <w:t>[</w:t>
      </w:r>
      <w:r>
        <w:br/>
        <w:t>\operatorname{Stat}(\sim_{\mathfrak M})</w:t>
      </w:r>
    </w:p>
    <w:p w:rsidR="00072F8B" w:rsidRDefault="00072F8B" w:rsidP="00072F8B">
      <w:pPr>
        <w:pStyle w:val="StandardWeb"/>
      </w:pPr>
      <w:r>
        <w:t>\mathrm{Def/Der},</w:t>
      </w:r>
      <w:r>
        <w:br/>
        <w:t>\tag{3.12902}</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\operatorname{Stat}(\sim_{\mathfrak M})=\mathrm{Def/Der}</w:t>
      </w:r>
    </w:p>
    <w:p w:rsidR="00072F8B" w:rsidRDefault="00072F8B" w:rsidP="00072F8B">
      <w:pPr>
        <w:pStyle w:val="StandardWeb"/>
      </w:pPr>
      <w:r>
        <w:t>und für Identifizierbarkeit</w:t>
      </w:r>
    </w:p>
    <w:p w:rsidR="00072F8B" w:rsidRDefault="00072F8B" w:rsidP="00072F8B">
      <w:pPr>
        <w:pStyle w:val="berschrift1"/>
      </w:pPr>
      <w:r>
        <w:lastRenderedPageBreak/>
        <w:t>[</w:t>
      </w:r>
      <w:r>
        <w:br/>
        <w:t>\operatorname{Stat}(\operatorname{Ident})</w:t>
      </w:r>
    </w:p>
    <w:p w:rsidR="00072F8B" w:rsidRDefault="00072F8B" w:rsidP="00072F8B">
      <w:pPr>
        <w:pStyle w:val="StandardWeb"/>
      </w:pPr>
      <w:r>
        <w:t>\mathrm{Def/Mod/Op}.</w:t>
      </w:r>
      <w:r>
        <w:br/>
        <w:t>\tag{3.12903}</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\operatorname{Stat}(\operatorname{Ident})=\mathrm{Def/Mod/Op}</w:t>
      </w:r>
    </w:p>
    <w:p w:rsidR="00072F8B" w:rsidRDefault="00E50336" w:rsidP="00072F8B">
      <w:r>
        <w:pict>
          <v:rect id="_x0000_i4840" style="width:0;height:1.5pt" o:hralign="center" o:hrstd="t" o:hr="t" fillcolor="#a0a0a0" stroked="f"/>
        </w:pict>
      </w:r>
    </w:p>
    <w:p w:rsidR="00072F8B" w:rsidRDefault="00072F8B" w:rsidP="00072F8B">
      <w:pPr>
        <w:pStyle w:val="berschrift1"/>
      </w:pPr>
      <w:r>
        <w:t>3.3.49.311 Statusmatrix – Kausalität</w:t>
      </w:r>
    </w:p>
    <w:p w:rsidR="00072F8B" w:rsidRDefault="00072F8B" w:rsidP="00072F8B">
      <w:pPr>
        <w:pStyle w:val="StandardWeb"/>
      </w:pPr>
      <w:r>
        <w:t>Die interventionelle Kausalitätsrelation besitzt den Status</w:t>
      </w:r>
    </w:p>
    <w:p w:rsidR="00072F8B" w:rsidRDefault="00072F8B" w:rsidP="00072F8B">
      <w:pPr>
        <w:pStyle w:val="berschrift1"/>
      </w:pPr>
      <w:r>
        <w:t>[</w:t>
      </w:r>
      <w:r>
        <w:br/>
        <w:t>\operatorname{Stat}(\operatorname{Caus}_F)</w:t>
      </w:r>
    </w:p>
    <w:p w:rsidR="00072F8B" w:rsidRDefault="00072F8B" w:rsidP="00072F8B">
      <w:pPr>
        <w:pStyle w:val="StandardWeb"/>
      </w:pPr>
      <w:r>
        <w:t>\mathrm{Def/Mod/Op}.</w:t>
      </w:r>
      <w:r>
        <w:br/>
        <w:t>\tag{3.12904}</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\operatorname{Stat}(\operatorname{Caus}_F)=\mathrm{Def/Mod/Op}</w:t>
      </w:r>
    </w:p>
    <w:p w:rsidR="00072F8B" w:rsidRDefault="00072F8B" w:rsidP="00072F8B">
      <w:pPr>
        <w:pStyle w:val="StandardWeb"/>
      </w:pPr>
      <w:r>
        <w:t>Die Kausalitätsstärke besitzt</w:t>
      </w:r>
    </w:p>
    <w:p w:rsidR="00072F8B" w:rsidRDefault="00072F8B" w:rsidP="00072F8B">
      <w:pPr>
        <w:pStyle w:val="berschrift1"/>
      </w:pPr>
      <w:r>
        <w:t>[</w:t>
      </w:r>
      <w:r>
        <w:br/>
        <w:t>\operatorname{Stat}(\kappa)</w:t>
      </w:r>
    </w:p>
    <w:p w:rsidR="00072F8B" w:rsidRDefault="00072F8B" w:rsidP="00072F8B">
      <w:pPr>
        <w:pStyle w:val="StandardWeb"/>
      </w:pPr>
      <w:r>
        <w:t>\mathrm{Def/Mod/Op}.</w:t>
      </w:r>
      <w:r>
        <w:br/>
        <w:t>\tag{3.12905}</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\operatorname{Stat}(\kappa)=\mathrm{Def/Mod/Op}</w:t>
      </w:r>
    </w:p>
    <w:p w:rsidR="00072F8B" w:rsidRDefault="00E50336" w:rsidP="00072F8B">
      <w:r>
        <w:pict>
          <v:rect id="_x0000_i4841" style="width:0;height:1.5pt" o:hralign="center" o:hrstd="t" o:hr="t" fillcolor="#a0a0a0" stroked="f"/>
        </w:pict>
      </w:r>
    </w:p>
    <w:p w:rsidR="00072F8B" w:rsidRDefault="00072F8B" w:rsidP="00072F8B">
      <w:pPr>
        <w:pStyle w:val="berschrift1"/>
      </w:pPr>
      <w:r>
        <w:t>3.3.49.312 Definition 3.3.456 – Endgültige Statusabbildung von Abschnitt 3.3.49</w:t>
      </w:r>
    </w:p>
    <w:p w:rsidR="00072F8B" w:rsidRDefault="00072F8B" w:rsidP="00072F8B">
      <w:pPr>
        <w:pStyle w:val="berschrift3"/>
      </w:pPr>
      <w:r>
        <w:t>Definition 3.3.456</w:t>
      </w:r>
    </w:p>
    <w:p w:rsidR="00072F8B" w:rsidRDefault="00072F8B" w:rsidP="00072F8B">
      <w:pPr>
        <w:pStyle w:val="StandardWeb"/>
      </w:pPr>
      <w:r>
        <w:lastRenderedPageBreak/>
        <w:t xml:space="preserve">Die </w:t>
      </w:r>
      <w:r>
        <w:rPr>
          <w:rStyle w:val="Fett"/>
        </w:rPr>
        <w:t>endgültige Statusabbildung</w:t>
      </w:r>
      <w:r>
        <w:t xml:space="preserve"> von Abschnitt 3.3.49 ist</w:t>
      </w:r>
    </w:p>
    <w:p w:rsidR="00072F8B" w:rsidRDefault="00072F8B" w:rsidP="00072F8B">
      <w:pPr>
        <w:pStyle w:val="StandardWeb"/>
      </w:pPr>
      <w:r>
        <w:t>[</w:t>
      </w:r>
      <w:r>
        <w:br/>
        <w:t>\boxed{</w:t>
      </w:r>
      <w:r>
        <w:br/>
        <w:t>\mathfrak M_{3.3.49}</w:t>
      </w:r>
      <w:r>
        <w:br/>
        <w:t>:</w:t>
      </w:r>
      <w:r>
        <w:br/>
        <w:t>\mathcal O_{3.3.49}</w:t>
      </w:r>
      <w:r>
        <w:br/>
        <w:t>\rightarrow</w:t>
      </w:r>
      <w:r>
        <w:br/>
        <w:t>\mathcal P</w:t>
      </w:r>
      <w:r>
        <w:br/>
        <w:t>\left(</w:t>
      </w:r>
      <w:r>
        <w:br/>
        <w:t>{</w:t>
      </w:r>
      <w:r>
        <w:br/>
        <w:t>\mathrm{Def},</w:t>
      </w:r>
      <w:r>
        <w:br/>
        <w:t>\mathrm{Der},</w:t>
      </w:r>
      <w:r>
        <w:br/>
        <w:t>\mathrm{Mod},</w:t>
      </w:r>
      <w:r>
        <w:br/>
        <w:t>\mathrm{Op},</w:t>
      </w:r>
      <w:r>
        <w:br/>
        <w:t>\mathrm{Ax}</w:t>
      </w:r>
      <w:r>
        <w:br/>
        <w:t>}</w:t>
      </w:r>
      <w:r>
        <w:br/>
        <w:t>\right).</w:t>
      </w:r>
      <w:r>
        <w:br/>
        <w:t>}</w:t>
      </w:r>
      <w:r>
        <w:br/>
        <w:t>\tag{3.12906}</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\boxed{\mathfrak M_{3.3.49}:\mathcal O_{3.3.49}\rightarrow\mathcal P\left(\{\mathrm{Def},\mathrm{Der},\mathrm{Mod},\mathrm{Op},\mathrm{Ax}\}\right).}</w:t>
      </w:r>
    </w:p>
    <w:p w:rsidR="00072F8B" w:rsidRDefault="00072F8B" w:rsidP="00072F8B">
      <w:pPr>
        <w:pStyle w:val="StandardWeb"/>
      </w:pPr>
      <w:r>
        <w:t>Für sämtliche in diesem Abschnitt eingeführten Objekte bleibt die Primäraxiomkomponente leer.</w:t>
      </w:r>
    </w:p>
    <w:p w:rsidR="00072F8B" w:rsidRDefault="00E50336" w:rsidP="00072F8B">
      <w:r>
        <w:pict>
          <v:rect id="_x0000_i4842" style="width:0;height:1.5pt" o:hralign="center" o:hrstd="t" o:hr="t" fillcolor="#a0a0a0" stroked="f"/>
        </w:pict>
      </w:r>
    </w:p>
    <w:p w:rsidR="00072F8B" w:rsidRDefault="00072F8B" w:rsidP="00072F8B">
      <w:pPr>
        <w:pStyle w:val="berschrift1"/>
      </w:pPr>
      <w:r>
        <w:t>3.3.49.313 Endgültige Gesamtklassifikation</w:t>
      </w:r>
    </w:p>
    <w:p w:rsidR="00072F8B" w:rsidRDefault="00072F8B" w:rsidP="00072F8B">
      <w:pPr>
        <w:pStyle w:val="StandardWeb"/>
      </w:pPr>
      <w:r>
        <w:t>Ich zerlege die Einfluss- und Kausalitätsarchitektur in</w:t>
      </w:r>
    </w:p>
    <w:p w:rsidR="00072F8B" w:rsidRDefault="00072F8B" w:rsidP="00072F8B">
      <w:pPr>
        <w:pStyle w:val="berschrift1"/>
      </w:pPr>
      <w:r>
        <w:t>[</w:t>
      </w:r>
      <w:r>
        <w:br/>
        <w:t>\mathfrak C_{3.3.49}</w:t>
      </w:r>
    </w:p>
    <w:p w:rsidR="00072F8B" w:rsidRDefault="00072F8B" w:rsidP="00072F8B">
      <w:pPr>
        <w:pStyle w:val="StandardWeb"/>
      </w:pPr>
      <w:r>
        <w:t>\left(</w:t>
      </w:r>
      <w:r>
        <w:br/>
        <w:t>\mathfrak D_{\mathrm{inf}},</w:t>
      </w:r>
      <w:r>
        <w:br/>
        <w:t>\mathfrak R_{\mathrm{inf}},</w:t>
      </w:r>
      <w:r>
        <w:br/>
        <w:t>\mathfrak M_{\mathrm{inf}},</w:t>
      </w:r>
      <w:r>
        <w:br/>
        <w:t>\mathfrak O_{\mathrm{inf}}</w:t>
      </w:r>
      <w:r>
        <w:br/>
        <w:t>\right).</w:t>
      </w:r>
      <w:r>
        <w:br/>
        <w:t>\tag{3.12907}</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lastRenderedPageBreak/>
        <w:t>\mathfrak C_{3.3.49}=\left(\mathfrak D_{\mathrm{inf}},\mathfrak R_{\mathrm{inf}},\mathfrak M_{\mathrm{inf}},\mathfrak O_{\mathrm{inf}}\right)</w:t>
      </w:r>
    </w:p>
    <w:p w:rsidR="00072F8B" w:rsidRDefault="00072F8B" w:rsidP="00072F8B">
      <w:pPr>
        <w:pStyle w:val="StandardWeb"/>
      </w:pPr>
      <w:r>
        <w:t>Dabei enthält (\mathfrak D_{\mathrm{inf}}) definitorische Strukturen, (\mathfrak R_{\mathrm{inf}}) mathematisch abgeleitete Resultate, (\mathfrak M_{\mathrm{inf}}) modellabhängige Festlegungen und (\mathfrak O_{\mathrm{inf}}) Operationalisierungen.</w:t>
      </w:r>
    </w:p>
    <w:p w:rsidR="00072F8B" w:rsidRDefault="00E50336" w:rsidP="00072F8B">
      <w:r>
        <w:pict>
          <v:rect id="_x0000_i4843" style="width:0;height:1.5pt" o:hralign="center" o:hrstd="t" o:hr="t" fillcolor="#a0a0a0" stroked="f"/>
        </w:pict>
      </w:r>
    </w:p>
    <w:p w:rsidR="00072F8B" w:rsidRDefault="00072F8B" w:rsidP="00072F8B">
      <w:pPr>
        <w:pStyle w:val="berschrift1"/>
      </w:pPr>
      <w:r>
        <w:t>3.3.49.314 Definition 3.3.457 – Gesamtklassifikation der funktionalen Einfluss- und Kausalitätsarchitektur</w:t>
      </w:r>
    </w:p>
    <w:p w:rsidR="00072F8B" w:rsidRDefault="00072F8B" w:rsidP="00072F8B">
      <w:pPr>
        <w:pStyle w:val="berschrift3"/>
      </w:pPr>
      <w:r>
        <w:t>Definition 3.3.457</w:t>
      </w:r>
    </w:p>
    <w:p w:rsidR="00072F8B" w:rsidRDefault="00072F8B" w:rsidP="00072F8B">
      <w:pPr>
        <w:pStyle w:val="StandardWeb"/>
      </w:pPr>
      <w:r>
        <w:t xml:space="preserve">Die </w:t>
      </w:r>
      <w:r>
        <w:rPr>
          <w:rStyle w:val="Fett"/>
        </w:rPr>
        <w:t>Gesamtklassifikation der funktionalen Einfluss- und Kausalitätsarchitektur</w:t>
      </w:r>
      <w:r>
        <w:t xml:space="preserve"> ist</w:t>
      </w:r>
    </w:p>
    <w:p w:rsidR="00072F8B" w:rsidRDefault="00072F8B" w:rsidP="00072F8B">
      <w:pPr>
        <w:pStyle w:val="berschrift1"/>
      </w:pPr>
      <w:r>
        <w:t>[</w:t>
      </w:r>
      <w:r>
        <w:br/>
        <w:t>\boxed{</w:t>
      </w:r>
      <w:r>
        <w:br/>
        <w:t>\mathfrak C_{3.3.49}</w:t>
      </w:r>
    </w:p>
    <w:p w:rsidR="00072F8B" w:rsidRDefault="00072F8B" w:rsidP="00072F8B">
      <w:pPr>
        <w:pStyle w:val="StandardWeb"/>
      </w:pPr>
      <w:r>
        <w:t>\left(</w:t>
      </w:r>
      <w:r>
        <w:br/>
        <w:t>\mathfrak D_{\mathrm{inf}},</w:t>
      </w:r>
      <w:r>
        <w:br/>
        <w:t>\mathfrak R_{\mathrm{inf}},</w:t>
      </w:r>
      <w:r>
        <w:br/>
        <w:t>\mathfrak M_{\mathrm{inf}},</w:t>
      </w:r>
      <w:r>
        <w:br/>
        <w:t>\mathfrak O_{\mathrm{inf}}</w:t>
      </w:r>
      <w:r>
        <w:br/>
        <w:t>\right).</w:t>
      </w:r>
      <w:r>
        <w:br/>
        <w:t>}</w:t>
      </w:r>
      <w:r>
        <w:br/>
        <w:t>\tag{3.12908}</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\boxed{\mathfrak C_{3.3.49}=\left(\mathfrak D_{\mathrm{inf}},\mathfrak R_{\mathrm{inf}},\mathfrak M_{\mathrm{inf}},\mathfrak O_{\mathrm{inf}}\right).}</w:t>
      </w:r>
    </w:p>
    <w:p w:rsidR="00072F8B" w:rsidRDefault="00072F8B" w:rsidP="00072F8B">
      <w:pPr>
        <w:pStyle w:val="StandardWeb"/>
      </w:pPr>
      <w:r>
        <w:t>Die zugehörige Primäraxiomkomponente ist</w:t>
      </w:r>
    </w:p>
    <w:p w:rsidR="00072F8B" w:rsidRDefault="00072F8B" w:rsidP="00072F8B">
      <w:pPr>
        <w:pStyle w:val="berschrift1"/>
      </w:pPr>
      <w:r>
        <w:t>[</w:t>
      </w:r>
      <w:r>
        <w:br/>
        <w:t>\boxed{</w:t>
      </w:r>
      <w:r>
        <w:br/>
        <w:t>\mathfrak A_{\mathrm{inf}}</w:t>
      </w:r>
    </w:p>
    <w:p w:rsidR="00072F8B" w:rsidRDefault="00072F8B" w:rsidP="00072F8B">
      <w:pPr>
        <w:pStyle w:val="StandardWeb"/>
      </w:pPr>
      <w:r>
        <w:t>\varnothing.</w:t>
      </w:r>
      <w:r>
        <w:br/>
        <w:t>}</w:t>
      </w:r>
      <w:r>
        <w:br/>
        <w:t>\tag{3.12909}</w:t>
      </w:r>
      <w:r>
        <w:br/>
        <w:t>]</w:t>
      </w:r>
    </w:p>
    <w:p w:rsidR="00072F8B" w:rsidRDefault="00072F8B" w:rsidP="00072F8B">
      <w:pPr>
        <w:pStyle w:val="StandardWeb"/>
      </w:pPr>
      <w:r>
        <w:rPr>
          <w:rStyle w:val="Fett"/>
        </w:rPr>
        <w:lastRenderedPageBreak/>
        <w:t>Word-LaTeX</w:t>
      </w:r>
    </w:p>
    <w:p w:rsidR="00072F8B" w:rsidRDefault="00072F8B" w:rsidP="00072F8B">
      <w:pPr>
        <w:pStyle w:val="HTMLVorformatiert"/>
        <w:rPr>
          <w:rStyle w:val="HTMLCode"/>
        </w:rPr>
      </w:pPr>
      <w:r>
        <w:rPr>
          <w:rStyle w:val="HTMLCode"/>
        </w:rPr>
        <w:t>\boxed{\mathfrak A_{\mathrm{inf}}=\varnothing.}</w:t>
      </w:r>
    </w:p>
    <w:p w:rsidR="00072F8B" w:rsidRDefault="00E50336" w:rsidP="00072F8B">
      <w:r>
        <w:pict>
          <v:rect id="_x0000_i4844" style="width:0;height:1.5pt" o:hralign="center" o:hrstd="t" o:hr="t" fillcolor="#a0a0a0" stroked="f"/>
        </w:pict>
      </w:r>
    </w:p>
    <w:p w:rsidR="00072F8B" w:rsidRDefault="00072F8B" w:rsidP="00072F8B">
      <w:pPr>
        <w:pStyle w:val="berschrift1"/>
      </w:pPr>
      <w:r>
        <w:t>3.3.49.315 Methodologische Betrachtungen</w:t>
      </w:r>
    </w:p>
    <w:p w:rsidR="00072F8B" w:rsidRDefault="00072F8B" w:rsidP="00072F8B">
      <w:pPr>
        <w:pStyle w:val="StandardWeb"/>
      </w:pPr>
      <w:r>
        <w:t>Methodologisch ist für mich entscheidend, dass ich in diesem Abschnitt mehrere Ebenen strikt getrennt habe. Eine statistische oder beobachtete Abhängigkeit ist keine gerichtete Einflussrelation, eine gerichtete Einflussrelation ist keine interventionelle Kausalitätsrelation und eine interventionelle Kausalitätsrelation ist wiederum keine modellunabhängige ontologische Aussage.</w:t>
      </w:r>
    </w:p>
    <w:p w:rsidR="00072F8B" w:rsidRDefault="00072F8B" w:rsidP="00072F8B">
      <w:pPr>
        <w:pStyle w:val="StandardWeb"/>
      </w:pPr>
      <w:r>
        <w:t>Diese Trennung lässt sich formal zusammenfassen als</w:t>
      </w:r>
    </w:p>
    <w:p w:rsidR="00072F8B" w:rsidRDefault="00072F8B" w:rsidP="00072F8B">
      <w:pPr>
        <w:pStyle w:val="StandardWeb"/>
      </w:pPr>
      <w:r>
        <w:t>[</w:t>
      </w:r>
      <w:r>
        <w:br/>
        <w:t>\boxed{</w:t>
      </w:r>
      <w:r>
        <w:br/>
        <w:t>\operatorname{Dep}_{\mathrm{obs}}</w:t>
      </w:r>
      <w:r>
        <w:br/>
        <w:t>\not\equiv</w:t>
      </w:r>
      <w:r>
        <w:br/>
        <w:t>\mathcal I_F</w:t>
      </w:r>
      <w:r>
        <w:br/>
        <w:t>\not\equiv</w:t>
      </w:r>
      <w:r>
        <w:br/>
        <w:t>\operatorname{Caus}_F.</w:t>
      </w:r>
      <w:r>
        <w:br/>
        <w:t>}</w:t>
      </w:r>
      <w:r>
        <w:br/>
        <w:t>\tag{3.12910}</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\boxed{\operatorname{Dep}_{\mathrm{obs}}\not\equiv\mathcal I_F\not\equiv\operatorname{Caus}_F.}</w:t>
      </w:r>
    </w:p>
    <w:p w:rsidR="00072F8B" w:rsidRDefault="00072F8B" w:rsidP="00072F8B">
      <w:pPr>
        <w:pStyle w:val="StandardWeb"/>
      </w:pPr>
      <w:r>
        <w:t>Ich vermeide dadurch, beobachtete Zusammenhänge vorschnell als kausale Eigenschaften des FRZK zu interpretieren.</w:t>
      </w:r>
    </w:p>
    <w:p w:rsidR="00072F8B" w:rsidRDefault="00072F8B" w:rsidP="00072F8B">
      <w:pPr>
        <w:pStyle w:val="StandardWeb"/>
      </w:pPr>
      <w:r>
        <w:t>Ebenso wichtig ist die Trennung zwischen vollständiger Modellstruktur und beobachteter Modellstruktur:</w:t>
      </w:r>
    </w:p>
    <w:p w:rsidR="00072F8B" w:rsidRDefault="00072F8B" w:rsidP="00072F8B">
      <w:pPr>
        <w:pStyle w:val="StandardWeb"/>
      </w:pPr>
      <w:r>
        <w:t>[</w:t>
      </w:r>
      <w:r>
        <w:br/>
        <w:t>\boxed{</w:t>
      </w:r>
      <w:r>
        <w:br/>
        <w:t>\mathcal G_{\mathcal I}^{\mathrm{obs}}</w:t>
      </w:r>
      <w:r>
        <w:br/>
        <w:t>\not\equiv</w:t>
      </w:r>
      <w:r>
        <w:br/>
        <w:t>\mathcal G_{\mathcal I}.</w:t>
      </w:r>
      <w:r>
        <w:br/>
        <w:t>}</w:t>
      </w:r>
      <w:r>
        <w:br/>
        <w:t>\tag{3.12911}</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\boxed{\mathcal G_{\mathcal I}^{\mathrm{obs}}\not\equiv\mathcal G_{\mathcal I}.}</w:t>
      </w:r>
    </w:p>
    <w:p w:rsidR="00072F8B" w:rsidRDefault="00072F8B" w:rsidP="00072F8B">
      <w:pPr>
        <w:pStyle w:val="StandardWeb"/>
      </w:pPr>
      <w:r>
        <w:lastRenderedPageBreak/>
        <w:t>Damit bleibt ausdrücklich offen, ob nicht beobachtete Mediatoren, gemeinsame Einflussquellen oder Rückkopplungswege existieren.</w:t>
      </w:r>
    </w:p>
    <w:p w:rsidR="00072F8B" w:rsidRDefault="00072F8B" w:rsidP="00072F8B">
      <w:pPr>
        <w:pStyle w:val="StandardWeb"/>
      </w:pPr>
      <w:r>
        <w:t>Ein weiterer methodologischer Punkt betrifft Interventionen. Die Operation</w:t>
      </w:r>
    </w:p>
    <w:p w:rsidR="00072F8B" w:rsidRDefault="00072F8B" w:rsidP="00072F8B">
      <w:pPr>
        <w:pStyle w:val="StandardWeb"/>
      </w:pPr>
      <w:r>
        <w:t>[</w:t>
      </w:r>
      <w:r>
        <w:br/>
        <w:t>\operatorname{do}_F(X=x)</w:t>
      </w:r>
      <w:r>
        <w:br/>
        <w:t>\tag{3.12912}</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\operatorname{do}_F(X=x)</w:t>
      </w:r>
    </w:p>
    <w:p w:rsidR="00072F8B" w:rsidRDefault="00072F8B" w:rsidP="00072F8B">
      <w:pPr>
        <w:pStyle w:val="StandardWeb"/>
      </w:pPr>
      <w:r>
        <w:t>ist in meinem Aufbau keine metaphysische Aussage über Verursachung, sondern zunächst eine formal definierte Modelloperation. Erst innerhalb einer festgelegten Interventionsmodellklasse erhält sie eine kausal interpretierbare Bedeutung.</w:t>
      </w:r>
    </w:p>
    <w:p w:rsidR="00072F8B" w:rsidRDefault="00072F8B" w:rsidP="00072F8B">
      <w:pPr>
        <w:pStyle w:val="StandardWeb"/>
      </w:pPr>
      <w:r>
        <w:t>Daher schreibe ich grundsätzlich</w:t>
      </w:r>
    </w:p>
    <w:p w:rsidR="00072F8B" w:rsidRDefault="00072F8B" w:rsidP="00072F8B">
      <w:pPr>
        <w:pStyle w:val="berschrift1"/>
      </w:pPr>
      <w:r>
        <w:t>[</w:t>
      </w:r>
      <w:r>
        <w:br/>
        <w:t>\operatorname{Caus}_F</w:t>
      </w:r>
    </w:p>
    <w:p w:rsidR="00072F8B" w:rsidRDefault="00072F8B" w:rsidP="00072F8B">
      <w:pPr>
        <w:pStyle w:val="StandardWeb"/>
      </w:pPr>
      <w:r>
        <w:t>\operatorname{Caus}_F</w:t>
      </w:r>
      <w:r>
        <w:br/>
        <w:t>\left(</w:t>
      </w:r>
      <w:r>
        <w:br/>
        <w:t>\mathfrak M_F^{\operatorname{do}}</w:t>
      </w:r>
      <w:r>
        <w:br/>
        <w:t>\right).</w:t>
      </w:r>
      <w:r>
        <w:br/>
        <w:t>\tag{3.12913}</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\operatorname{Caus}_F=\operatorname{Caus}_F\left(\mathfrak M_F^{\operatorname{do}}\right)</w:t>
      </w:r>
    </w:p>
    <w:p w:rsidR="00072F8B" w:rsidRDefault="00072F8B" w:rsidP="00072F8B">
      <w:pPr>
        <w:pStyle w:val="StandardWeb"/>
      </w:pPr>
      <w:r>
        <w:t>Damit verhindere ich, dass modellabhängige Kausalitätsstrukturen unbemerkt in den Primäraxiomkern des FRZK eingehen.</w:t>
      </w:r>
    </w:p>
    <w:p w:rsidR="00072F8B" w:rsidRDefault="00E50336" w:rsidP="00072F8B">
      <w:r>
        <w:pict>
          <v:rect id="_x0000_i4845" style="width:0;height:1.5pt" o:hralign="center" o:hrstd="t" o:hr="t" fillcolor="#a0a0a0" stroked="f"/>
        </w:pict>
      </w:r>
    </w:p>
    <w:p w:rsidR="00072F8B" w:rsidRDefault="00072F8B" w:rsidP="00072F8B">
      <w:pPr>
        <w:pStyle w:val="berschrift1"/>
      </w:pPr>
      <w:r>
        <w:t>3.3.49.316 Didaktische Betrachtungen</w:t>
      </w:r>
    </w:p>
    <w:p w:rsidR="00072F8B" w:rsidRDefault="00072F8B" w:rsidP="00072F8B">
      <w:pPr>
        <w:pStyle w:val="StandardWeb"/>
      </w:pPr>
      <w:r>
        <w:t>Didaktisch beginne ich bewusst mit der schwächsten Struktur, der gerichteten funktionalen Einflussrelation</w:t>
      </w:r>
    </w:p>
    <w:p w:rsidR="00072F8B" w:rsidRDefault="00072F8B" w:rsidP="00072F8B">
      <w:pPr>
        <w:pStyle w:val="StandardWeb"/>
      </w:pPr>
      <w:r>
        <w:t>[</w:t>
      </w:r>
      <w:r>
        <w:br/>
        <w:t>X_F</w:t>
      </w:r>
      <w:r>
        <w:br/>
        <w:t>\rightsquigarrow</w:t>
      </w:r>
      <w:r>
        <w:br/>
        <w:t>Y_F,</w:t>
      </w:r>
      <w:r>
        <w:br/>
      </w:r>
      <w:r>
        <w:lastRenderedPageBreak/>
        <w:t>\tag{3.12914}</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X_F\rightsquigarrow Y_F</w:t>
      </w:r>
    </w:p>
    <w:p w:rsidR="00072F8B" w:rsidRDefault="00072F8B" w:rsidP="00072F8B">
      <w:pPr>
        <w:pStyle w:val="StandardWeb"/>
      </w:pPr>
      <w:r>
        <w:t>und erweitere diese anschließend schrittweise.</w:t>
      </w:r>
    </w:p>
    <w:p w:rsidR="00072F8B" w:rsidRDefault="00072F8B" w:rsidP="00072F8B">
      <w:pPr>
        <w:pStyle w:val="StandardWeb"/>
      </w:pPr>
      <w:r>
        <w:t>Zunächst folgt die direkte funktionale Abhängigkeit</w:t>
      </w:r>
    </w:p>
    <w:p w:rsidR="00072F8B" w:rsidRDefault="00072F8B" w:rsidP="00072F8B">
      <w:pPr>
        <w:pStyle w:val="berschrift1"/>
      </w:pPr>
      <w:r>
        <w:t>[</w:t>
      </w:r>
      <w:r>
        <w:br/>
        <w:t>Y_F</w:t>
      </w:r>
    </w:p>
    <w:p w:rsidR="00072F8B" w:rsidRDefault="00072F8B" w:rsidP="00072F8B">
      <w:pPr>
        <w:pStyle w:val="StandardWeb"/>
      </w:pPr>
      <w:r>
        <w:t>F_{YX}\circ X_F.</w:t>
      </w:r>
      <w:r>
        <w:br/>
        <w:t>\tag{3.12915}</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Y_F=F_{YX}\circ X_F</w:t>
      </w:r>
    </w:p>
    <w:p w:rsidR="00072F8B" w:rsidRDefault="00072F8B" w:rsidP="00072F8B">
      <w:pPr>
        <w:pStyle w:val="StandardWeb"/>
      </w:pPr>
      <w:r>
        <w:t>Danach wird die Beziehung als gerichteter Graph organisiert,</w:t>
      </w:r>
    </w:p>
    <w:p w:rsidR="00072F8B" w:rsidRDefault="00072F8B" w:rsidP="00072F8B">
      <w:pPr>
        <w:pStyle w:val="berschrift1"/>
      </w:pPr>
      <w:r>
        <w:t>[</w:t>
      </w:r>
      <w:r>
        <w:br/>
        <w:t>\mathcal G_{\mathcal I}</w:t>
      </w:r>
    </w:p>
    <w:p w:rsidR="00072F8B" w:rsidRDefault="00072F8B" w:rsidP="00072F8B">
      <w:pPr>
        <w:pStyle w:val="StandardWeb"/>
      </w:pPr>
      <w:r>
        <w:t>(V_{\mathcal I},E_{\mathcal I}),</w:t>
      </w:r>
      <w:r>
        <w:br/>
        <w:t>\tag{3.12916}</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\mathcal G_{\mathcal I}=(V_{\mathcal I},E_{\mathcal I})</w:t>
      </w:r>
    </w:p>
    <w:p w:rsidR="00072F8B" w:rsidRDefault="00072F8B" w:rsidP="00072F8B">
      <w:pPr>
        <w:pStyle w:val="StandardWeb"/>
      </w:pPr>
      <w:r>
        <w:t>bevor ich Rückkopplungen, Verzögerungen und Interventionen einführe.</w:t>
      </w:r>
    </w:p>
    <w:p w:rsidR="00072F8B" w:rsidRDefault="00072F8B" w:rsidP="00072F8B">
      <w:pPr>
        <w:pStyle w:val="StandardWeb"/>
      </w:pPr>
      <w:r>
        <w:t>Erst danach erscheint die stärkere interventionelle Relation</w:t>
      </w:r>
    </w:p>
    <w:p w:rsidR="00072F8B" w:rsidRDefault="00072F8B" w:rsidP="00072F8B">
      <w:pPr>
        <w:pStyle w:val="StandardWeb"/>
      </w:pPr>
      <w:r>
        <w:t>[</w:t>
      </w:r>
      <w:r>
        <w:br/>
        <w:t>X_F</w:t>
      </w:r>
      <w:r>
        <w:br/>
        <w:t>\overset{\operatorname{do}}{\longrightarrow}</w:t>
      </w:r>
      <w:r>
        <w:br/>
        <w:t>Y_F.</w:t>
      </w:r>
      <w:r>
        <w:br/>
        <w:t>\tag{3.12917}</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X_F\overset{\operatorname{do}}{\longrightarrow}Y_F</w:t>
      </w:r>
    </w:p>
    <w:p w:rsidR="00072F8B" w:rsidRDefault="00072F8B" w:rsidP="00072F8B">
      <w:pPr>
        <w:pStyle w:val="StandardWeb"/>
      </w:pPr>
      <w:r>
        <w:lastRenderedPageBreak/>
        <w:t>Diese Reihenfolge ist didaktisch wichtig, weil dadurch sichtbar bleibt, welche zusätzlichen Voraussetzungen mit jeder strukturellen Erweiterung eingeführt werden.</w:t>
      </w:r>
    </w:p>
    <w:p w:rsidR="00072F8B" w:rsidRDefault="00072F8B" w:rsidP="00072F8B">
      <w:pPr>
        <w:pStyle w:val="StandardWeb"/>
      </w:pPr>
      <w:r>
        <w:t>Die vier für den Abschnitt zentralen Ebenen können deshalb als Folge</w:t>
      </w:r>
    </w:p>
    <w:p w:rsidR="00072F8B" w:rsidRDefault="00072F8B" w:rsidP="00072F8B">
      <w:pPr>
        <w:pStyle w:val="StandardWeb"/>
      </w:pPr>
      <w:r>
        <w:t>[</w:t>
      </w:r>
      <w:r>
        <w:br/>
        <w:t>\boxed{</w:t>
      </w:r>
      <w:r>
        <w:br/>
        <w:t>\text{Abhängigkeit}</w:t>
      </w:r>
      <w:r>
        <w:br/>
        <w:t>\rightarrow</w:t>
      </w:r>
      <w:r>
        <w:br/>
        <w:t>\text{gerichteter Einfluss}</w:t>
      </w:r>
      <w:r>
        <w:br/>
        <w:t>\rightarrow</w:t>
      </w:r>
      <w:r>
        <w:br/>
        <w:t>\text{Intervention}</w:t>
      </w:r>
      <w:r>
        <w:br/>
        <w:t>\rightarrow</w:t>
      </w:r>
      <w:r>
        <w:br/>
        <w:t>\text{modellrelative Kausalität}</w:t>
      </w:r>
      <w:r>
        <w:br/>
        <w:t>}</w:t>
      </w:r>
      <w:r>
        <w:br/>
        <w:t>\tag{3.12918}</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\boxed{\text{Abhängigkeit}\rightarrow\text{gerichteter Einfluss}\rightarrow\text{Intervention}\rightarrow\text{modellrelative Kausalität}}</w:t>
      </w:r>
    </w:p>
    <w:p w:rsidR="00072F8B" w:rsidRDefault="00072F8B" w:rsidP="00072F8B">
      <w:pPr>
        <w:pStyle w:val="StandardWeb"/>
      </w:pPr>
      <w:r>
        <w:t>gelesen werden.</w:t>
      </w:r>
    </w:p>
    <w:p w:rsidR="00072F8B" w:rsidRDefault="00E50336" w:rsidP="00072F8B">
      <w:r>
        <w:pict>
          <v:rect id="_x0000_i4846" style="width:0;height:1.5pt" o:hralign="center" o:hrstd="t" o:hr="t" fillcolor="#a0a0a0" stroked="f"/>
        </w:pict>
      </w:r>
    </w:p>
    <w:p w:rsidR="00072F8B" w:rsidRDefault="00072F8B" w:rsidP="00072F8B">
      <w:pPr>
        <w:pStyle w:val="berschrift1"/>
      </w:pPr>
      <w:r>
        <w:t>3.3.49.317 Gesamtabschluss</w:t>
      </w:r>
    </w:p>
    <w:p w:rsidR="00072F8B" w:rsidRDefault="00072F8B" w:rsidP="00072F8B">
      <w:pPr>
        <w:pStyle w:val="StandardWeb"/>
      </w:pPr>
      <w:r>
        <w:t>Die in Abschnitt 3.3.49 entwickelte Architektur lautet zusammenfassend</w:t>
      </w:r>
    </w:p>
    <w:p w:rsidR="00072F8B" w:rsidRDefault="00072F8B" w:rsidP="00072F8B">
      <w:pPr>
        <w:pStyle w:val="berschrift1"/>
      </w:pPr>
      <w:r>
        <w:t>[</w:t>
      </w:r>
      <w:r>
        <w:br/>
        <w:t>\mathfrak E_{\mathrm{inf}}</w:t>
      </w:r>
    </w:p>
    <w:p w:rsidR="00072F8B" w:rsidRDefault="00072F8B" w:rsidP="00072F8B">
      <w:pPr>
        <w:pStyle w:val="StandardWeb"/>
      </w:pPr>
      <w:r>
        <w:t>\left(</w:t>
      </w:r>
      <w:r>
        <w:br/>
        <w:t>\mathcal I_F,</w:t>
      </w:r>
      <w:r>
        <w:br/>
        <w:t>\mathcal G_{\mathcal I},</w:t>
      </w:r>
      <w:r>
        <w:br/>
        <w:t>F_{YX},</w:t>
      </w:r>
      <w:r>
        <w:br/>
        <w:t>W_{\mathcal I},</w:t>
      </w:r>
      <w:r>
        <w:br/>
        <w:t>A_{\mathcal I},</w:t>
      </w:r>
      <w:r>
        <w:br/>
        <w:t>a_{\mathcal I},</w:t>
      </w:r>
      <w:r>
        <w:br/>
        <w:t>\operatorname{do}</w:t>
      </w:r>
      <w:r>
        <w:rPr>
          <w:rStyle w:val="Hervorhebung"/>
        </w:rPr>
        <w:t>F,</w:t>
      </w:r>
      <w:r>
        <w:rPr>
          <w:i/>
          <w:iCs/>
        </w:rPr>
        <w:br/>
      </w:r>
      <w:r>
        <w:rPr>
          <w:rStyle w:val="Hervorhebung"/>
        </w:rPr>
        <w:t>\Delta</w:t>
      </w:r>
      <w:r>
        <w:t>{\operatorname{do}},</w:t>
      </w:r>
      <w:r>
        <w:br/>
        <w:t>\mathcal F_{\mathrm{fb}},</w:t>
      </w:r>
      <w:r>
        <w:br/>
        <w:t>\tau_{\mathcal I},</w:t>
      </w:r>
      <w:r>
        <w:br/>
        <w:t>\mathcal B_{\mathfrak M},</w:t>
      </w:r>
      <w:r>
        <w:br/>
        <w:t>\operatorname{Ident},</w:t>
      </w:r>
      <w:r>
        <w:br/>
        <w:t>\operatorname{Caus}_F,</w:t>
      </w:r>
      <w:r>
        <w:br/>
        <w:t>\kappa</w:t>
      </w:r>
      <w:r>
        <w:br/>
      </w:r>
      <w:r>
        <w:lastRenderedPageBreak/>
        <w:t>\right).</w:t>
      </w:r>
      <w:r>
        <w:br/>
        <w:t>\tag{3.12919}</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\mathfrak E_{\mathrm{inf}}=\left(\mathcal I_F,\mathcal G_{\mathcal I},F_{YX},W_{\mathcal I},A_{\mathcal I},a_{\mathcal I},\operatorname{do}_F,\Delta_{\operatorname{do}},\mathcal F_{\mathrm{fb}},\tau_{\mathcal I},\mathcal B_{\mathfrak M},\operatorname{Ident},\operatorname{Caus}_F,\kappa\right)</w:t>
      </w:r>
    </w:p>
    <w:p w:rsidR="00072F8B" w:rsidRDefault="00072F8B" w:rsidP="00072F8B">
      <w:pPr>
        <w:pStyle w:val="StandardWeb"/>
      </w:pPr>
      <w:r>
        <w:t>Die Primäraxiomkomponente bleibt leer:</w:t>
      </w:r>
    </w:p>
    <w:p w:rsidR="00072F8B" w:rsidRDefault="00072F8B" w:rsidP="00072F8B">
      <w:pPr>
        <w:pStyle w:val="berschrift1"/>
      </w:pPr>
      <w:r>
        <w:t>[</w:t>
      </w:r>
      <w:r>
        <w:br/>
        <w:t>\boxed{</w:t>
      </w:r>
      <w:r>
        <w:br/>
        <w:t>\mathfrak A_{\mathrm{inf}}</w:t>
      </w:r>
    </w:p>
    <w:p w:rsidR="00072F8B" w:rsidRDefault="00072F8B" w:rsidP="00072F8B">
      <w:pPr>
        <w:pStyle w:val="StandardWeb"/>
      </w:pPr>
      <w:r>
        <w:t>\varnothing.</w:t>
      </w:r>
      <w:r>
        <w:br/>
        <w:t>}</w:t>
      </w:r>
      <w:r>
        <w:br/>
        <w:t>\tag{3.12920}</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\boxed{\mathfrak A_{\mathrm{inf}}=\varnothing.}</w:t>
      </w:r>
    </w:p>
    <w:p w:rsidR="00072F8B" w:rsidRDefault="00072F8B" w:rsidP="00072F8B">
      <w:pPr>
        <w:pStyle w:val="StandardWeb"/>
      </w:pPr>
      <w:r>
        <w:t>Damit ist auch formal</w:t>
      </w:r>
    </w:p>
    <w:p w:rsidR="00072F8B" w:rsidRDefault="00072F8B" w:rsidP="00072F8B">
      <w:pPr>
        <w:pStyle w:val="berschrift1"/>
      </w:pPr>
      <w:r>
        <w:t>[</w:t>
      </w:r>
      <w:r>
        <w:br/>
        <w:t>\boxed{</w:t>
      </w:r>
      <w:r>
        <w:br/>
        <w:t>\mathcal A_{3.3.49}^{\mathrm{new}}</w:t>
      </w:r>
    </w:p>
    <w:p w:rsidR="00072F8B" w:rsidRDefault="00072F8B" w:rsidP="00072F8B">
      <w:pPr>
        <w:pStyle w:val="StandardWeb"/>
      </w:pPr>
      <w:r>
        <w:t>\varnothing.</w:t>
      </w:r>
      <w:r>
        <w:br/>
        <w:t>}</w:t>
      </w:r>
      <w:r>
        <w:br/>
        <w:t>\tag{3.12921}</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\boxed{\mathcal A_{3.3.49}^{\mathrm{new}}=\varnothing.}</w:t>
      </w:r>
    </w:p>
    <w:p w:rsidR="00072F8B" w:rsidRDefault="00E50336" w:rsidP="00072F8B">
      <w:r>
        <w:pict>
          <v:rect id="_x0000_i4847" style="width:0;height:1.5pt" o:hralign="center" o:hrstd="t" o:hr="t" fillcolor="#a0a0a0" stroked="f"/>
        </w:pict>
      </w:r>
    </w:p>
    <w:p w:rsidR="00072F8B" w:rsidRDefault="00072F8B" w:rsidP="00072F8B">
      <w:pPr>
        <w:pStyle w:val="berschrift1"/>
      </w:pPr>
      <w:r>
        <w:t>3.3.49.318 Endstand und Übergabepunkt</w:t>
      </w:r>
    </w:p>
    <w:p w:rsidR="00072F8B" w:rsidRDefault="00072F8B" w:rsidP="00072F8B">
      <w:pPr>
        <w:pStyle w:val="StandardWeb"/>
      </w:pPr>
      <w:r>
        <w:t xml:space="preserve">Abschnitt </w:t>
      </w:r>
      <w:r>
        <w:rPr>
          <w:rStyle w:val="Fett"/>
        </w:rPr>
        <w:t>3.3.49 ist damit vollständig abgeschlossen</w:t>
      </w:r>
      <w:r>
        <w:t>.</w:t>
      </w:r>
    </w:p>
    <w:p w:rsidR="00072F8B" w:rsidRDefault="00072F8B" w:rsidP="00072F8B">
      <w:pPr>
        <w:pStyle w:val="StandardWeb"/>
      </w:pPr>
      <w:r>
        <w:lastRenderedPageBreak/>
        <w:t>Der bestätigte Endstand lautet:</w:t>
      </w:r>
    </w:p>
    <w:p w:rsidR="00072F8B" w:rsidRDefault="00072F8B" w:rsidP="00072F8B">
      <w:pPr>
        <w:pStyle w:val="berschrift1"/>
      </w:pPr>
      <w:r>
        <w:t>[</w:t>
      </w:r>
      <w:r>
        <w:br/>
        <w:t>\boxed{</w:t>
      </w:r>
      <w:r>
        <w:br/>
        <w:t>\text{letzter Textpunkt}</w:t>
      </w:r>
    </w:p>
    <w:p w:rsidR="00072F8B" w:rsidRDefault="00072F8B" w:rsidP="00072F8B">
      <w:pPr>
        <w:pStyle w:val="StandardWeb"/>
      </w:pPr>
      <w:r>
        <w:t>3.3.49.318</w:t>
      </w:r>
      <w:r>
        <w:br/>
        <w:t>}</w:t>
      </w:r>
      <w:r>
        <w:br/>
        <w:t>\tag{3.12922}</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\boxed{\text{letzter Textpunkt}=3.3.49.318}</w:t>
      </w:r>
    </w:p>
    <w:p w:rsidR="00072F8B" w:rsidRDefault="00072F8B" w:rsidP="00072F8B">
      <w:pPr>
        <w:pStyle w:val="StandardWeb"/>
      </w:pPr>
      <w:r>
        <w:t>und</w:t>
      </w:r>
    </w:p>
    <w:p w:rsidR="00072F8B" w:rsidRDefault="00072F8B" w:rsidP="00072F8B">
      <w:pPr>
        <w:pStyle w:val="berschrift1"/>
      </w:pPr>
      <w:r>
        <w:t>[</w:t>
      </w:r>
      <w:r>
        <w:br/>
        <w:t>\boxed{</w:t>
      </w:r>
      <w:r>
        <w:br/>
        <w:t>\text{letzte Gleichung}</w:t>
      </w:r>
    </w:p>
    <w:p w:rsidR="00072F8B" w:rsidRDefault="00072F8B" w:rsidP="00072F8B">
      <w:pPr>
        <w:pStyle w:val="StandardWeb"/>
      </w:pPr>
      <w:r>
        <w:t>(3.12922).</w:t>
      </w:r>
      <w:r>
        <w:br/>
        <w:t>}</w:t>
      </w:r>
      <w:r>
        <w:br/>
        <w:t>\tag{3.12923}</w:t>
      </w:r>
      <w:r>
        <w:br/>
        <w:t>]</w:t>
      </w:r>
    </w:p>
    <w:p w:rsidR="00072F8B" w:rsidRDefault="00072F8B" w:rsidP="00072F8B">
      <w:pPr>
        <w:pStyle w:val="StandardWeb"/>
      </w:pPr>
      <w:r>
        <w:rPr>
          <w:rStyle w:val="Fett"/>
        </w:rPr>
        <w:t>Word-LaTeX</w:t>
      </w:r>
    </w:p>
    <w:p w:rsidR="00072F8B" w:rsidRDefault="00072F8B" w:rsidP="00072F8B">
      <w:pPr>
        <w:pStyle w:val="HTMLVorformatiert"/>
        <w:rPr>
          <w:rStyle w:val="HTMLCode"/>
        </w:rPr>
      </w:pPr>
      <w:r>
        <w:rPr>
          <w:rStyle w:val="HTMLCode"/>
        </w:rPr>
        <w:t>\boxed{\text{letzte Gleichung}=(3.12922).}</w:t>
      </w:r>
    </w:p>
    <w:p w:rsidR="00072F8B" w:rsidRDefault="00072F8B" w:rsidP="00072F8B">
      <w:pPr>
        <w:pStyle w:val="StandardWeb"/>
      </w:pPr>
      <w:r>
        <w:t>Der nächste Übergabepunkt ist damit:</w:t>
      </w:r>
    </w:p>
    <w:p w:rsidR="00072F8B" w:rsidRDefault="00072F8B" w:rsidP="00072F8B">
      <w:pPr>
        <w:pStyle w:val="StandardWeb"/>
      </w:pPr>
      <w:r>
        <w:rPr>
          <w:rStyle w:val="Fett"/>
        </w:rPr>
        <w:t>Abschnitt 3.3.50.0</w:t>
      </w:r>
      <w:r>
        <w:br/>
      </w:r>
      <w:r>
        <w:rPr>
          <w:rStyle w:val="Fett"/>
        </w:rPr>
        <w:t>nächste Gleichung: (3.12924)</w:t>
      </w:r>
      <w:r>
        <w:br/>
      </w:r>
      <w:r>
        <w:rPr>
          <w:rStyle w:val="Fett"/>
        </w:rPr>
        <w:t>nächste Definition: 3.3.458</w:t>
      </w:r>
      <w:r>
        <w:br/>
      </w:r>
      <w:r>
        <w:rPr>
          <w:rStyle w:val="Fett"/>
        </w:rPr>
        <w:t>nächster Satz: 3.3.180</w:t>
      </w:r>
      <w:r>
        <w:br/>
      </w:r>
      <w:r>
        <w:rPr>
          <w:rStyle w:val="Fett"/>
        </w:rPr>
        <w:t>nächstes Korollar: 3.3.42</w:t>
      </w:r>
      <w:r>
        <w:t>.</w:t>
      </w:r>
    </w:p>
    <w:p w:rsidR="006C5EBA" w:rsidRDefault="006C5EBA" w:rsidP="006C5EBA">
      <w:pPr>
        <w:pStyle w:val="berschrift1"/>
        <w:rPr>
          <w:rFonts w:cs="Times New Roman"/>
          <w:sz w:val="48"/>
          <w:szCs w:val="48"/>
        </w:rPr>
      </w:pPr>
      <w:r>
        <w:t>3.3.50 Funktionale Ordnungs-, Prioritäts- und Auswahlstrukturen</w:t>
      </w:r>
    </w:p>
    <w:p w:rsidR="006C5EBA" w:rsidRDefault="006C5EBA" w:rsidP="006C5EBA">
      <w:pPr>
        <w:pStyle w:val="berschrift2"/>
      </w:pPr>
      <w:r>
        <w:t>3.3.50.0 Ausgangspunkt und Zielsetzung</w:t>
      </w:r>
    </w:p>
    <w:p w:rsidR="006C5EBA" w:rsidRDefault="006C5EBA" w:rsidP="006C5EBA">
      <w:pPr>
        <w:pStyle w:val="StandardWeb"/>
      </w:pPr>
      <w:r>
        <w:t xml:space="preserve">Nachdem ich in Abschnitt 3.3.49 funktionale Einfluss- und Kausalitätsstrukturen vollständig von bloßer Beobachtungsabhängigkeit getrennt habe, untersuche ich nun eine andere Klasse </w:t>
      </w:r>
      <w:r>
        <w:lastRenderedPageBreak/>
        <w:t xml:space="preserve">zusätzlicher Strukturen: </w:t>
      </w:r>
      <w:r>
        <w:rPr>
          <w:rStyle w:val="Fett"/>
        </w:rPr>
        <w:t>Ordnungs-, Prioritäts- und Auswahlrelationen</w:t>
      </w:r>
      <w:r>
        <w:t>. Dabei geht es nicht darum, erneut gerichtete Kausalität einzuführen, sondern darum, mehrere funktionale Zustände, Übergänge, Operatoren oder Handlungsalternativen nach expliziten Kriterien miteinander vergleichen zu können.</w:t>
      </w:r>
    </w:p>
    <w:p w:rsidR="006C5EBA" w:rsidRDefault="006C5EBA" w:rsidP="006C5EBA">
      <w:pPr>
        <w:pStyle w:val="StandardWeb"/>
      </w:pPr>
      <w:r>
        <w:t>Der Ausgangspunkt besteht aus einer Menge funktionaler Objekte</w:t>
      </w:r>
    </w:p>
    <w:p w:rsidR="006C5EBA" w:rsidRDefault="006C5EBA" w:rsidP="006C5EBA">
      <w:pPr>
        <w:pStyle w:val="berschrift1"/>
      </w:pPr>
      <w:r>
        <w:t>[</w:t>
      </w:r>
      <w:r>
        <w:br/>
        <w:t>\mathcal X_F</w:t>
      </w:r>
    </w:p>
    <w:p w:rsidR="006C5EBA" w:rsidRDefault="006C5EBA" w:rsidP="006C5EBA">
      <w:pPr>
        <w:pStyle w:val="StandardWeb"/>
      </w:pPr>
      <w:r>
        <w:t>{X_1,X_2,\ldots}.</w:t>
      </w:r>
      <w:r>
        <w:br/>
        <w:t>\tag{3.12924}</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\mathcal X_F=\{X_1,X_2,\ldots\}</w:t>
      </w:r>
    </w:p>
    <w:p w:rsidR="006C5EBA" w:rsidRDefault="006C5EBA" w:rsidP="006C5EBA">
      <w:pPr>
        <w:pStyle w:val="StandardWeb"/>
      </w:pPr>
      <w:r>
        <w:t>Eine Vergleichsstruktur kann auf dieser Menge durch eine binäre Relation</w:t>
      </w:r>
    </w:p>
    <w:p w:rsidR="006C5EBA" w:rsidRDefault="006C5EBA" w:rsidP="006C5EBA">
      <w:pPr>
        <w:pStyle w:val="StandardWeb"/>
      </w:pPr>
      <w:r>
        <w:t>[</w:t>
      </w:r>
      <w:r>
        <w:br/>
        <w:t>\preceq_F</w:t>
      </w:r>
      <w:r>
        <w:br/>
        <w:t>;\subseteq;</w:t>
      </w:r>
      <w:r>
        <w:br/>
        <w:t>\mathcal X_F\times\mathcal X_F</w:t>
      </w:r>
      <w:r>
        <w:br/>
        <w:t>\tag{3.12925}</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\preceq_F\subseteq\mathcal X_F\times\mathcal X_F</w:t>
      </w:r>
    </w:p>
    <w:p w:rsidR="006C5EBA" w:rsidRDefault="006C5EBA" w:rsidP="006C5EBA">
      <w:pPr>
        <w:pStyle w:val="StandardWeb"/>
      </w:pPr>
      <w:r>
        <w:t>eingeführt werden.</w:t>
      </w:r>
    </w:p>
    <w:p w:rsidR="006C5EBA" w:rsidRDefault="006C5EBA" w:rsidP="006C5EBA">
      <w:pPr>
        <w:pStyle w:val="StandardWeb"/>
      </w:pPr>
      <w:r>
        <w:t>Dabei interpretiere ich</w:t>
      </w:r>
    </w:p>
    <w:p w:rsidR="006C5EBA" w:rsidRDefault="006C5EBA" w:rsidP="006C5EBA">
      <w:pPr>
        <w:pStyle w:val="StandardWeb"/>
      </w:pPr>
      <w:r>
        <w:t>[</w:t>
      </w:r>
      <w:r>
        <w:br/>
        <w:t>X_i\preceq_F X_j</w:t>
      </w:r>
      <w:r>
        <w:br/>
        <w:t>\tag{3.12926}</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X_i\preceq_F X_j</w:t>
      </w:r>
    </w:p>
    <w:p w:rsidR="006C5EBA" w:rsidRDefault="006C5EBA" w:rsidP="006C5EBA">
      <w:pPr>
        <w:pStyle w:val="StandardWeb"/>
      </w:pPr>
      <w:r>
        <w:t>zunächst ausschließlich als formale Vergleichsaussage. Welche inhaltliche Bedeutung diese Relation besitzt, muss in der jeweiligen Modellklasse ausdrücklich festgelegt werden.</w:t>
      </w:r>
    </w:p>
    <w:p w:rsidR="006C5EBA" w:rsidRDefault="00E50336" w:rsidP="006C5EBA">
      <w:r>
        <w:pict>
          <v:rect id="_x0000_i4848" style="width:0;height:1.5pt" o:hralign="center" o:hrstd="t" o:hr="t" fillcolor="#a0a0a0" stroked="f"/>
        </w:pict>
      </w:r>
    </w:p>
    <w:p w:rsidR="006C5EBA" w:rsidRDefault="006C5EBA" w:rsidP="006C5EBA">
      <w:pPr>
        <w:pStyle w:val="berschrift2"/>
      </w:pPr>
      <w:r>
        <w:t>3.3.50.1 Definition 3.3.458 – Funktionale Vergleichsrelation</w:t>
      </w:r>
    </w:p>
    <w:p w:rsidR="006C5EBA" w:rsidRDefault="006C5EBA" w:rsidP="006C5EBA">
      <w:pPr>
        <w:pStyle w:val="berschrift3"/>
      </w:pPr>
      <w:r>
        <w:lastRenderedPageBreak/>
        <w:t>Definition 3.3.458</w:t>
      </w:r>
    </w:p>
    <w:p w:rsidR="006C5EBA" w:rsidRDefault="006C5EBA" w:rsidP="006C5EBA">
      <w:pPr>
        <w:pStyle w:val="StandardWeb"/>
      </w:pPr>
      <w:r>
        <w:t xml:space="preserve">Eine </w:t>
      </w:r>
      <w:r>
        <w:rPr>
          <w:rStyle w:val="Fett"/>
        </w:rPr>
        <w:t>funktionale Vergleichsrelation</w:t>
      </w:r>
      <w:r>
        <w:t xml:space="preserve"> auf einer Menge (\mathcal X_F) ist eine binäre Relation</w:t>
      </w:r>
    </w:p>
    <w:p w:rsidR="006C5EBA" w:rsidRDefault="006C5EBA" w:rsidP="006C5EBA">
      <w:pPr>
        <w:pStyle w:val="StandardWeb"/>
      </w:pPr>
      <w:r>
        <w:t>[</w:t>
      </w:r>
      <w:r>
        <w:br/>
        <w:t>\boxed{</w:t>
      </w:r>
      <w:r>
        <w:br/>
        <w:t>\preceq_F</w:t>
      </w:r>
      <w:r>
        <w:br/>
        <w:t>\subseteq</w:t>
      </w:r>
      <w:r>
        <w:br/>
        <w:t>\mathcal X_F\times\mathcal X_F.</w:t>
      </w:r>
      <w:r>
        <w:br/>
        <w:t>}</w:t>
      </w:r>
      <w:r>
        <w:br/>
        <w:t>\tag{3.12927}</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\boxed{\preceq_F\subseteq\mathcal X_F\times\mathcal X_F.}</w:t>
      </w:r>
    </w:p>
    <w:p w:rsidR="006C5EBA" w:rsidRDefault="006C5EBA" w:rsidP="006C5EBA">
      <w:pPr>
        <w:pStyle w:val="StandardWeb"/>
      </w:pPr>
      <w:r>
        <w:t>Die Aussage</w:t>
      </w:r>
    </w:p>
    <w:p w:rsidR="006C5EBA" w:rsidRDefault="006C5EBA" w:rsidP="006C5EBA">
      <w:pPr>
        <w:pStyle w:val="StandardWeb"/>
      </w:pPr>
      <w:r>
        <w:t>[</w:t>
      </w:r>
      <w:r>
        <w:br/>
        <w:t>X_i\preceq_F X_j</w:t>
      </w:r>
      <w:r>
        <w:br/>
        <w:t>\tag{3.12928}</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X_i\preceq_F X_j</w:t>
      </w:r>
    </w:p>
    <w:p w:rsidR="006C5EBA" w:rsidRDefault="006C5EBA" w:rsidP="006C5EBA">
      <w:pPr>
        <w:pStyle w:val="StandardWeb"/>
      </w:pPr>
      <w:r>
        <w:t>bedeutet lediglich, dass (X_i) und (X_j) bezüglich des festgelegten Vergleichskriteriums in dieser Richtung vergleichbar sind.</w:t>
      </w:r>
    </w:p>
    <w:p w:rsidR="006C5EBA" w:rsidRDefault="00E50336" w:rsidP="006C5EBA">
      <w:r>
        <w:pict>
          <v:rect id="_x0000_i4849" style="width:0;height:1.5pt" o:hralign="center" o:hrstd="t" o:hr="t" fillcolor="#a0a0a0" stroked="f"/>
        </w:pict>
      </w:r>
    </w:p>
    <w:p w:rsidR="006C5EBA" w:rsidRDefault="006C5EBA" w:rsidP="006C5EBA">
      <w:pPr>
        <w:pStyle w:val="berschrift2"/>
      </w:pPr>
      <w:r>
        <w:t>3.3.50.2 Vergleichsrelation und numerische Bewertung</w:t>
      </w:r>
    </w:p>
    <w:p w:rsidR="006C5EBA" w:rsidRDefault="006C5EBA" w:rsidP="006C5EBA">
      <w:pPr>
        <w:pStyle w:val="StandardWeb"/>
      </w:pPr>
      <w:r>
        <w:t>Eine Vergleichsrelation muss nicht durch eine reellwertige Funktion erzeugt werden. Eine mögliche spezielle Realisierung ist jedoch</w:t>
      </w:r>
    </w:p>
    <w:p w:rsidR="006C5EBA" w:rsidRDefault="006C5EBA" w:rsidP="006C5EBA">
      <w:pPr>
        <w:pStyle w:val="StandardWeb"/>
      </w:pPr>
      <w:r>
        <w:t>[</w:t>
      </w:r>
      <w:r>
        <w:br/>
        <w:t>u_F</w:t>
      </w:r>
      <w:r>
        <w:br/>
        <w:t>:</w:t>
      </w:r>
      <w:r>
        <w:br/>
        <w:t>\mathcal X_F</w:t>
      </w:r>
      <w:r>
        <w:br/>
        <w:t>\rightarrow</w:t>
      </w:r>
      <w:r>
        <w:br/>
        <w:t>\mathbb R.</w:t>
      </w:r>
      <w:r>
        <w:br/>
        <w:t>\tag{3.12929}</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u_F:\mathcal X_F\rightarrow\mathbb R</w:t>
      </w:r>
    </w:p>
    <w:p w:rsidR="006C5EBA" w:rsidRDefault="006C5EBA" w:rsidP="006C5EBA">
      <w:pPr>
        <w:pStyle w:val="StandardWeb"/>
      </w:pPr>
      <w:r>
        <w:lastRenderedPageBreak/>
        <w:t>Dann kann ich beispielsweise setzen</w:t>
      </w:r>
    </w:p>
    <w:p w:rsidR="006C5EBA" w:rsidRDefault="006C5EBA" w:rsidP="006C5EBA">
      <w:pPr>
        <w:pStyle w:val="StandardWeb"/>
      </w:pPr>
      <w:r>
        <w:t>[</w:t>
      </w:r>
      <w:r>
        <w:br/>
        <w:t>X_i\preceq_F X_j</w:t>
      </w:r>
      <w:r>
        <w:br/>
        <w:t>\Longleftrightarrow</w:t>
      </w:r>
      <w:r>
        <w:br/>
        <w:t>u_F(X_i)\leq u_F(X_j).</w:t>
      </w:r>
      <w:r>
        <w:br/>
        <w:t>\tag{3.12930}</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X_i\preceq_F X_j\Longleftrightarrow u_F(X_i)\leq u_F(X_j)</w:t>
      </w:r>
    </w:p>
    <w:p w:rsidR="006C5EBA" w:rsidRDefault="006C5EBA" w:rsidP="006C5EBA">
      <w:pPr>
        <w:pStyle w:val="StandardWeb"/>
      </w:pPr>
      <w:r>
        <w:t>Diese skalare Darstellung ist jedoch eine zusätzliche Modellentscheidung und noch keine Eigenschaft der allgemeinen Relation (\preceq_F).</w:t>
      </w:r>
    </w:p>
    <w:p w:rsidR="006C5EBA" w:rsidRDefault="00E50336" w:rsidP="006C5EBA">
      <w:r>
        <w:pict>
          <v:rect id="_x0000_i4850" style="width:0;height:1.5pt" o:hralign="center" o:hrstd="t" o:hr="t" fillcolor="#a0a0a0" stroked="f"/>
        </w:pict>
      </w:r>
    </w:p>
    <w:p w:rsidR="006C5EBA" w:rsidRDefault="006C5EBA" w:rsidP="006C5EBA">
      <w:pPr>
        <w:pStyle w:val="berschrift2"/>
      </w:pPr>
      <w:r>
        <w:t>3.3.50.3 Definition 3.3.459 – Funktionale Bewertungsabbildung</w:t>
      </w:r>
    </w:p>
    <w:p w:rsidR="006C5EBA" w:rsidRDefault="006C5EBA" w:rsidP="006C5EBA">
      <w:pPr>
        <w:pStyle w:val="berschrift3"/>
      </w:pPr>
      <w:r>
        <w:t>Definition 3.3.459</w:t>
      </w:r>
    </w:p>
    <w:p w:rsidR="006C5EBA" w:rsidRDefault="006C5EBA" w:rsidP="006C5EBA">
      <w:pPr>
        <w:pStyle w:val="StandardWeb"/>
      </w:pPr>
      <w:r>
        <w:t xml:space="preserve">Eine </w:t>
      </w:r>
      <w:r>
        <w:rPr>
          <w:rStyle w:val="Fett"/>
        </w:rPr>
        <w:t>funktionale Bewertungsabbildung</w:t>
      </w:r>
      <w:r>
        <w:t xml:space="preserve"> ist eine Abbildung</w:t>
      </w:r>
    </w:p>
    <w:p w:rsidR="006C5EBA" w:rsidRDefault="006C5EBA" w:rsidP="006C5EBA">
      <w:pPr>
        <w:pStyle w:val="StandardWeb"/>
      </w:pPr>
      <w:r>
        <w:t>[</w:t>
      </w:r>
      <w:r>
        <w:br/>
        <w:t>\boxed{</w:t>
      </w:r>
      <w:r>
        <w:br/>
        <w:t>u_F:</w:t>
      </w:r>
      <w:r>
        <w:br/>
        <w:t>\mathcal X_F</w:t>
      </w:r>
      <w:r>
        <w:br/>
        <w:t>\rightarrow</w:t>
      </w:r>
      <w:r>
        <w:br/>
        <w:t>\mathcal V_u,</w:t>
      </w:r>
      <w:r>
        <w:br/>
        <w:t>}</w:t>
      </w:r>
      <w:r>
        <w:br/>
        <w:t>\tag{3.12931}</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\boxed{u_F:\mathcal X_F\rightarrow\mathcal V_u,}</w:t>
      </w:r>
    </w:p>
    <w:p w:rsidR="006C5EBA" w:rsidRDefault="006C5EBA" w:rsidP="006C5EBA">
      <w:pPr>
        <w:pStyle w:val="StandardWeb"/>
      </w:pPr>
      <w:r>
        <w:t>wobei (\mathcal V_u) ein modellabhängig festgelegter Bewertungsraum ist.</w:t>
      </w:r>
    </w:p>
    <w:p w:rsidR="006C5EBA" w:rsidRDefault="006C5EBA" w:rsidP="006C5EBA">
      <w:pPr>
        <w:pStyle w:val="StandardWeb"/>
      </w:pPr>
      <w:r>
        <w:t>Eine reellwertige Bewertung stellt den Spezialfall</w:t>
      </w:r>
    </w:p>
    <w:p w:rsidR="006C5EBA" w:rsidRDefault="006C5EBA" w:rsidP="006C5EBA">
      <w:pPr>
        <w:pStyle w:val="berschrift1"/>
      </w:pPr>
      <w:r>
        <w:t>[</w:t>
      </w:r>
      <w:r>
        <w:br/>
        <w:t>\mathcal V_u</w:t>
      </w:r>
    </w:p>
    <w:p w:rsidR="006C5EBA" w:rsidRDefault="006C5EBA" w:rsidP="006C5EBA">
      <w:pPr>
        <w:pStyle w:val="StandardWeb"/>
      </w:pPr>
      <w:r>
        <w:t>\mathbb R</w:t>
      </w:r>
      <w:r>
        <w:br/>
        <w:t>\tag{3.12932}</w:t>
      </w:r>
      <w:r>
        <w:br/>
        <w:t>]</w:t>
      </w:r>
    </w:p>
    <w:p w:rsidR="006C5EBA" w:rsidRDefault="006C5EBA" w:rsidP="006C5EBA">
      <w:pPr>
        <w:pStyle w:val="StandardWeb"/>
      </w:pPr>
      <w:r>
        <w:rPr>
          <w:rStyle w:val="Fett"/>
        </w:rPr>
        <w:lastRenderedPageBreak/>
        <w:t>Word-LaTeX</w:t>
      </w:r>
    </w:p>
    <w:p w:rsidR="006C5EBA" w:rsidRDefault="006C5EBA" w:rsidP="006C5EBA">
      <w:pPr>
        <w:pStyle w:val="HTMLVorformatiert"/>
        <w:rPr>
          <w:rStyle w:val="HTMLCode"/>
        </w:rPr>
      </w:pPr>
      <w:r>
        <w:rPr>
          <w:rStyle w:val="HTMLCode"/>
        </w:rPr>
        <w:t>\mathcal V_u=\mathbb R</w:t>
      </w:r>
    </w:p>
    <w:p w:rsidR="006C5EBA" w:rsidRDefault="006C5EBA" w:rsidP="006C5EBA">
      <w:pPr>
        <w:pStyle w:val="StandardWeb"/>
      </w:pPr>
      <w:r>
        <w:t>dar.</w:t>
      </w:r>
    </w:p>
    <w:p w:rsidR="006C5EBA" w:rsidRDefault="00E50336" w:rsidP="006C5EBA">
      <w:r>
        <w:pict>
          <v:rect id="_x0000_i4851" style="width:0;height:1.5pt" o:hralign="center" o:hrstd="t" o:hr="t" fillcolor="#a0a0a0" stroked="f"/>
        </w:pict>
      </w:r>
    </w:p>
    <w:p w:rsidR="006C5EBA" w:rsidRDefault="006C5EBA" w:rsidP="006C5EBA">
      <w:pPr>
        <w:pStyle w:val="berschrift2"/>
      </w:pPr>
      <w:r>
        <w:t>3.3.50.4 Reflexivität als möglicher Strukturparameter</w:t>
      </w:r>
    </w:p>
    <w:p w:rsidR="006C5EBA" w:rsidRDefault="006C5EBA" w:rsidP="006C5EBA">
      <w:pPr>
        <w:pStyle w:val="StandardWeb"/>
      </w:pPr>
      <w:r>
        <w:t>Eine Vergleichsrelation kann reflexiv sein:</w:t>
      </w:r>
    </w:p>
    <w:p w:rsidR="006C5EBA" w:rsidRDefault="006C5EBA" w:rsidP="006C5EBA">
      <w:pPr>
        <w:pStyle w:val="StandardWeb"/>
      </w:pPr>
      <w:r>
        <w:t>[</w:t>
      </w:r>
      <w:r>
        <w:br/>
        <w:t>X</w:t>
      </w:r>
      <w:r>
        <w:br/>
        <w:t>\preceq_F</w:t>
      </w:r>
      <w:r>
        <w:br/>
        <w:t>X</w:t>
      </w:r>
      <w:r>
        <w:br/>
        <w:t>\qquad</w:t>
      </w:r>
      <w:r>
        <w:br/>
        <w:t>\forall X\in\mathcal X_F.</w:t>
      </w:r>
      <w:r>
        <w:br/>
        <w:t>\tag{3.12933}</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X\preceq_F X\qquad\forall X\in\mathcal X_F</w:t>
      </w:r>
    </w:p>
    <w:p w:rsidR="006C5EBA" w:rsidRDefault="006C5EBA" w:rsidP="006C5EBA">
      <w:pPr>
        <w:pStyle w:val="StandardWeb"/>
      </w:pPr>
      <w:r>
        <w:t>Ich bezeichne die entsprechende Eigenschaft mit</w:t>
      </w:r>
    </w:p>
    <w:p w:rsidR="006C5EBA" w:rsidRDefault="006C5EBA" w:rsidP="006C5EBA">
      <w:pPr>
        <w:pStyle w:val="StandardWeb"/>
      </w:pPr>
      <w:r>
        <w:t>[</w:t>
      </w:r>
      <w:r>
        <w:br/>
        <w:t>R_{\mathrm{refl}}(\preceq_F)=1.</w:t>
      </w:r>
      <w:r>
        <w:br/>
        <w:t>\tag{3.12934}</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R_{\mathrm{refl}}(\preceq_F)=1</w:t>
      </w:r>
    </w:p>
    <w:p w:rsidR="006C5EBA" w:rsidRDefault="00E50336" w:rsidP="006C5EBA">
      <w:r>
        <w:pict>
          <v:rect id="_x0000_i4852" style="width:0;height:1.5pt" o:hralign="center" o:hrstd="t" o:hr="t" fillcolor="#a0a0a0" stroked="f"/>
        </w:pict>
      </w:r>
    </w:p>
    <w:p w:rsidR="006C5EBA" w:rsidRDefault="006C5EBA" w:rsidP="006C5EBA">
      <w:pPr>
        <w:pStyle w:val="berschrift2"/>
      </w:pPr>
      <w:r>
        <w:t>3.3.50.5 Definition 3.3.460 – Reflexive funktionale Vergleichsrelation</w:t>
      </w:r>
    </w:p>
    <w:p w:rsidR="006C5EBA" w:rsidRDefault="006C5EBA" w:rsidP="006C5EBA">
      <w:pPr>
        <w:pStyle w:val="berschrift3"/>
      </w:pPr>
      <w:r>
        <w:t>Definition 3.3.460</w:t>
      </w:r>
    </w:p>
    <w:p w:rsidR="006C5EBA" w:rsidRDefault="006C5EBA" w:rsidP="006C5EBA">
      <w:pPr>
        <w:pStyle w:val="StandardWeb"/>
      </w:pPr>
      <w:r>
        <w:t xml:space="preserve">Eine funktionale Vergleichsrelation heißt </w:t>
      </w:r>
      <w:r>
        <w:rPr>
          <w:rStyle w:val="Fett"/>
        </w:rPr>
        <w:t>reflexiv</w:t>
      </w:r>
      <w:r>
        <w:t>, wenn</w:t>
      </w:r>
    </w:p>
    <w:p w:rsidR="006C5EBA" w:rsidRDefault="006C5EBA" w:rsidP="006C5EBA">
      <w:pPr>
        <w:pStyle w:val="StandardWeb"/>
      </w:pPr>
      <w:r>
        <w:t>[</w:t>
      </w:r>
      <w:r>
        <w:br/>
        <w:t>\boxed{</w:t>
      </w:r>
      <w:r>
        <w:br/>
        <w:t>\forall X\in\mathcal X_F:</w:t>
      </w:r>
      <w:r>
        <w:br/>
        <w:t>X\preceq_F X.</w:t>
      </w:r>
      <w:r>
        <w:br/>
        <w:t>}</w:t>
      </w:r>
      <w:r>
        <w:br/>
        <w:t>\tag{3.12935}</w:t>
      </w:r>
      <w:r>
        <w:br/>
        <w:t>]</w:t>
      </w:r>
    </w:p>
    <w:p w:rsidR="006C5EBA" w:rsidRDefault="006C5EBA" w:rsidP="006C5EBA">
      <w:pPr>
        <w:pStyle w:val="StandardWeb"/>
      </w:pPr>
      <w:r>
        <w:rPr>
          <w:rStyle w:val="Fett"/>
        </w:rPr>
        <w:lastRenderedPageBreak/>
        <w:t>Word-LaTeX</w:t>
      </w:r>
    </w:p>
    <w:p w:rsidR="006C5EBA" w:rsidRDefault="006C5EBA" w:rsidP="006C5EBA">
      <w:pPr>
        <w:pStyle w:val="HTMLVorformatiert"/>
        <w:rPr>
          <w:rStyle w:val="HTMLCode"/>
        </w:rPr>
      </w:pPr>
      <w:r>
        <w:rPr>
          <w:rStyle w:val="HTMLCode"/>
        </w:rPr>
        <w:t>\boxed{\forall X\in\mathcal X_F:X\preceq_F X.}</w:t>
      </w:r>
    </w:p>
    <w:p w:rsidR="006C5EBA" w:rsidRDefault="00E50336" w:rsidP="006C5EBA">
      <w:r>
        <w:pict>
          <v:rect id="_x0000_i4853" style="width:0;height:1.5pt" o:hralign="center" o:hrstd="t" o:hr="t" fillcolor="#a0a0a0" stroked="f"/>
        </w:pict>
      </w:r>
    </w:p>
    <w:p w:rsidR="006C5EBA" w:rsidRDefault="006C5EBA" w:rsidP="006C5EBA">
      <w:pPr>
        <w:pStyle w:val="berschrift2"/>
      </w:pPr>
      <w:r>
        <w:t>3.3.50.6 Antisymmetrie</w:t>
      </w:r>
    </w:p>
    <w:p w:rsidR="006C5EBA" w:rsidRDefault="006C5EBA" w:rsidP="006C5EBA">
      <w:pPr>
        <w:pStyle w:val="StandardWeb"/>
      </w:pPr>
      <w:r>
        <w:t>Eine Vergleichsrelation kann zusätzlich antisymmetrisch sein:</w:t>
      </w:r>
    </w:p>
    <w:p w:rsidR="006C5EBA" w:rsidRDefault="006C5EBA" w:rsidP="006C5EBA">
      <w:pPr>
        <w:pStyle w:val="StandardWeb"/>
      </w:pPr>
      <w:r>
        <w:t>[</w:t>
      </w:r>
      <w:r>
        <w:br/>
        <w:t>X\preceq_F Y</w:t>
      </w:r>
      <w:r>
        <w:br/>
        <w:t>\land</w:t>
      </w:r>
      <w:r>
        <w:br/>
        <w:t>Y\preceq_F X</w:t>
      </w:r>
      <w:r>
        <w:br/>
        <w:t>\Rightarrow</w:t>
      </w:r>
      <w:r>
        <w:br/>
        <w:t>X=Y.</w:t>
      </w:r>
      <w:r>
        <w:br/>
        <w:t>\tag{3.12936}</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X\preceq_F Y\land Y\preceq_F X\Rightarrow X=Y</w:t>
      </w:r>
    </w:p>
    <w:p w:rsidR="006C5EBA" w:rsidRDefault="00E50336" w:rsidP="006C5EBA">
      <w:r>
        <w:pict>
          <v:rect id="_x0000_i4854" style="width:0;height:1.5pt" o:hralign="center" o:hrstd="t" o:hr="t" fillcolor="#a0a0a0" stroked="f"/>
        </w:pict>
      </w:r>
    </w:p>
    <w:p w:rsidR="006C5EBA" w:rsidRDefault="006C5EBA" w:rsidP="006C5EBA">
      <w:pPr>
        <w:pStyle w:val="berschrift2"/>
      </w:pPr>
      <w:r>
        <w:t>3.3.50.7 Definition 3.3.461 – Antisymmetrische funktionale Vergleichsrelation</w:t>
      </w:r>
    </w:p>
    <w:p w:rsidR="006C5EBA" w:rsidRDefault="006C5EBA" w:rsidP="006C5EBA">
      <w:pPr>
        <w:pStyle w:val="berschrift3"/>
      </w:pPr>
      <w:r>
        <w:t>Definition 3.3.461</w:t>
      </w:r>
    </w:p>
    <w:p w:rsidR="006C5EBA" w:rsidRDefault="006C5EBA" w:rsidP="006C5EBA">
      <w:pPr>
        <w:pStyle w:val="StandardWeb"/>
      </w:pPr>
      <w:r>
        <w:t xml:space="preserve">Eine funktionale Vergleichsrelation heißt </w:t>
      </w:r>
      <w:r>
        <w:rPr>
          <w:rStyle w:val="Fett"/>
        </w:rPr>
        <w:t>antisymmetrisch</w:t>
      </w:r>
      <w:r>
        <w:t>, wenn</w:t>
      </w:r>
    </w:p>
    <w:p w:rsidR="006C5EBA" w:rsidRDefault="006C5EBA" w:rsidP="006C5EBA">
      <w:pPr>
        <w:pStyle w:val="StandardWeb"/>
      </w:pPr>
      <w:r>
        <w:t>[</w:t>
      </w:r>
      <w:r>
        <w:br/>
        <w:t>\boxed{</w:t>
      </w:r>
      <w:r>
        <w:br/>
        <w:t>X\preceq_F Y</w:t>
      </w:r>
      <w:r>
        <w:br/>
        <w:t>\land</w:t>
      </w:r>
      <w:r>
        <w:br/>
        <w:t>Y\preceq_F X</w:t>
      </w:r>
      <w:r>
        <w:br/>
        <w:t>\Rightarrow</w:t>
      </w:r>
      <w:r>
        <w:br/>
        <w:t>X=Y.</w:t>
      </w:r>
      <w:r>
        <w:br/>
        <w:t>}</w:t>
      </w:r>
      <w:r>
        <w:br/>
        <w:t>\tag{3.12937}</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\boxed{X\preceq_F Y\land Y\preceq_F X\Rightarrow X=Y.}</w:t>
      </w:r>
    </w:p>
    <w:p w:rsidR="006C5EBA" w:rsidRDefault="00E50336" w:rsidP="006C5EBA">
      <w:r>
        <w:pict>
          <v:rect id="_x0000_i4855" style="width:0;height:1.5pt" o:hralign="center" o:hrstd="t" o:hr="t" fillcolor="#a0a0a0" stroked="f"/>
        </w:pict>
      </w:r>
    </w:p>
    <w:p w:rsidR="006C5EBA" w:rsidRDefault="006C5EBA" w:rsidP="006C5EBA">
      <w:pPr>
        <w:pStyle w:val="berschrift2"/>
      </w:pPr>
      <w:r>
        <w:t>3.3.50.8 Transitivität</w:t>
      </w:r>
    </w:p>
    <w:p w:rsidR="006C5EBA" w:rsidRDefault="006C5EBA" w:rsidP="006C5EBA">
      <w:pPr>
        <w:pStyle w:val="StandardWeb"/>
      </w:pPr>
      <w:r>
        <w:t>Eine weitere mögliche Eigenschaft lautet</w:t>
      </w:r>
    </w:p>
    <w:p w:rsidR="006C5EBA" w:rsidRDefault="006C5EBA" w:rsidP="006C5EBA">
      <w:pPr>
        <w:pStyle w:val="StandardWeb"/>
      </w:pPr>
      <w:r>
        <w:lastRenderedPageBreak/>
        <w:t>[</w:t>
      </w:r>
      <w:r>
        <w:br/>
        <w:t>X\preceq_F Y</w:t>
      </w:r>
      <w:r>
        <w:br/>
        <w:t>\land</w:t>
      </w:r>
      <w:r>
        <w:br/>
        <w:t>Y\preceq_F Z</w:t>
      </w:r>
      <w:r>
        <w:br/>
        <w:t>\Rightarrow</w:t>
      </w:r>
      <w:r>
        <w:br/>
        <w:t>X\preceq_F Z.</w:t>
      </w:r>
      <w:r>
        <w:br/>
        <w:t>\tag{3.12938}</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X\preceq_F Y\land Y\preceq_F Z\Rightarrow X\preceq_F Z</w:t>
      </w:r>
    </w:p>
    <w:p w:rsidR="006C5EBA" w:rsidRDefault="00E50336" w:rsidP="006C5EBA">
      <w:r>
        <w:pict>
          <v:rect id="_x0000_i4856" style="width:0;height:1.5pt" o:hralign="center" o:hrstd="t" o:hr="t" fillcolor="#a0a0a0" stroked="f"/>
        </w:pict>
      </w:r>
    </w:p>
    <w:p w:rsidR="006C5EBA" w:rsidRDefault="006C5EBA" w:rsidP="006C5EBA">
      <w:pPr>
        <w:pStyle w:val="berschrift2"/>
      </w:pPr>
      <w:r>
        <w:t>3.3.50.9 Definition 3.3.462 – Transitive funktionale Vergleichsrelation</w:t>
      </w:r>
    </w:p>
    <w:p w:rsidR="006C5EBA" w:rsidRDefault="006C5EBA" w:rsidP="006C5EBA">
      <w:pPr>
        <w:pStyle w:val="berschrift3"/>
      </w:pPr>
      <w:r>
        <w:t>Definition 3.3.462</w:t>
      </w:r>
    </w:p>
    <w:p w:rsidR="006C5EBA" w:rsidRDefault="006C5EBA" w:rsidP="006C5EBA">
      <w:pPr>
        <w:pStyle w:val="StandardWeb"/>
      </w:pPr>
      <w:r>
        <w:t xml:space="preserve">Eine funktionale Vergleichsrelation heißt </w:t>
      </w:r>
      <w:r>
        <w:rPr>
          <w:rStyle w:val="Fett"/>
        </w:rPr>
        <w:t>transitiv</w:t>
      </w:r>
      <w:r>
        <w:t>, wenn</w:t>
      </w:r>
    </w:p>
    <w:p w:rsidR="006C5EBA" w:rsidRDefault="006C5EBA" w:rsidP="006C5EBA">
      <w:pPr>
        <w:pStyle w:val="StandardWeb"/>
      </w:pPr>
      <w:r>
        <w:t>[</w:t>
      </w:r>
      <w:r>
        <w:br/>
        <w:t>\boxed{</w:t>
      </w:r>
      <w:r>
        <w:br/>
        <w:t>X\preceq_F Y</w:t>
      </w:r>
      <w:r>
        <w:br/>
        <w:t>\land</w:t>
      </w:r>
      <w:r>
        <w:br/>
        <w:t>Y\preceq_F Z</w:t>
      </w:r>
      <w:r>
        <w:br/>
        <w:t>\Rightarrow</w:t>
      </w:r>
      <w:r>
        <w:br/>
        <w:t>X\preceq_F Z.</w:t>
      </w:r>
      <w:r>
        <w:br/>
        <w:t>}</w:t>
      </w:r>
      <w:r>
        <w:br/>
        <w:t>\tag{3.12939}</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\boxed{X\preceq_F Y\land Y\preceq_F Z\Rightarrow X\preceq_F Z.}</w:t>
      </w:r>
    </w:p>
    <w:p w:rsidR="006C5EBA" w:rsidRDefault="00E50336" w:rsidP="006C5EBA">
      <w:r>
        <w:pict>
          <v:rect id="_x0000_i4857" style="width:0;height:1.5pt" o:hralign="center" o:hrstd="t" o:hr="t" fillcolor="#a0a0a0" stroked="f"/>
        </w:pict>
      </w:r>
    </w:p>
    <w:p w:rsidR="006C5EBA" w:rsidRDefault="006C5EBA" w:rsidP="006C5EBA">
      <w:pPr>
        <w:pStyle w:val="berschrift2"/>
      </w:pPr>
      <w:r>
        <w:t>3.3.50.10 Partielle funktionale Ordnung</w:t>
      </w:r>
    </w:p>
    <w:p w:rsidR="006C5EBA" w:rsidRDefault="006C5EBA" w:rsidP="006C5EBA">
      <w:pPr>
        <w:pStyle w:val="StandardWeb"/>
      </w:pPr>
      <w:r>
        <w:t>Sind Reflexivität, Antisymmetrie und Transitivität gemeinsam erfüllt, erhalte ich eine partielle Ordnung.</w:t>
      </w:r>
    </w:p>
    <w:p w:rsidR="006C5EBA" w:rsidRDefault="006C5EBA" w:rsidP="006C5EBA">
      <w:pPr>
        <w:pStyle w:val="StandardWeb"/>
      </w:pPr>
      <w:r>
        <w:t>Formal:</w:t>
      </w:r>
    </w:p>
    <w:p w:rsidR="006C5EBA" w:rsidRDefault="006C5EBA" w:rsidP="006C5EBA">
      <w:pPr>
        <w:pStyle w:val="berschrift1"/>
      </w:pPr>
      <w:r>
        <w:t>[</w:t>
      </w:r>
      <w:r>
        <w:br/>
        <w:t>\operatorname{PO}(\preceq_F)</w:t>
      </w:r>
    </w:p>
    <w:p w:rsidR="006C5EBA" w:rsidRDefault="006C5EBA" w:rsidP="006C5EBA">
      <w:pPr>
        <w:pStyle w:val="StandardWeb"/>
      </w:pPr>
      <w:r>
        <w:lastRenderedPageBreak/>
        <w:t>R_{\mathrm{refl}}</w:t>
      </w:r>
      <w:r>
        <w:br/>
        <w:t>\land</w:t>
      </w:r>
      <w:r>
        <w:br/>
        <w:t>R_{\mathrm{antisym}}</w:t>
      </w:r>
      <w:r>
        <w:br/>
        <w:t>\land</w:t>
      </w:r>
      <w:r>
        <w:br/>
        <w:t>R_{\mathrm{trans}}.</w:t>
      </w:r>
      <w:r>
        <w:br/>
        <w:t>\tag{3.12940}</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\operatorname{PO}(\preceq_F)=R_{\mathrm{refl}}\land R_{\mathrm{antisym}}\land R_{\mathrm{trans}}</w:t>
      </w:r>
    </w:p>
    <w:p w:rsidR="006C5EBA" w:rsidRDefault="00E50336" w:rsidP="006C5EBA">
      <w:r>
        <w:pict>
          <v:rect id="_x0000_i4858" style="width:0;height:1.5pt" o:hralign="center" o:hrstd="t" o:hr="t" fillcolor="#a0a0a0" stroked="f"/>
        </w:pict>
      </w:r>
    </w:p>
    <w:p w:rsidR="006C5EBA" w:rsidRDefault="006C5EBA" w:rsidP="006C5EBA">
      <w:pPr>
        <w:pStyle w:val="berschrift2"/>
      </w:pPr>
      <w:r>
        <w:t>3.3.50.11 Definition 3.3.463 – Partielle funktionale Ordnung</w:t>
      </w:r>
    </w:p>
    <w:p w:rsidR="006C5EBA" w:rsidRDefault="006C5EBA" w:rsidP="006C5EBA">
      <w:pPr>
        <w:pStyle w:val="berschrift3"/>
      </w:pPr>
      <w:r>
        <w:t>Definition 3.3.463</w:t>
      </w:r>
    </w:p>
    <w:p w:rsidR="006C5EBA" w:rsidRDefault="006C5EBA" w:rsidP="006C5EBA">
      <w:pPr>
        <w:pStyle w:val="StandardWeb"/>
      </w:pPr>
      <w:r>
        <w:t xml:space="preserve">Eine Relation (\preceq_F) heißt </w:t>
      </w:r>
      <w:r>
        <w:rPr>
          <w:rStyle w:val="Fett"/>
        </w:rPr>
        <w:t>partielle funktionale Ordnung</w:t>
      </w:r>
      <w:r>
        <w:t>, wenn sie reflexiv, antisymmetrisch und transitiv ist:</w:t>
      </w:r>
    </w:p>
    <w:p w:rsidR="006C5EBA" w:rsidRDefault="006C5EBA" w:rsidP="006C5EBA">
      <w:pPr>
        <w:pStyle w:val="StandardWeb"/>
      </w:pPr>
      <w:r>
        <w:t>[</w:t>
      </w:r>
      <w:r>
        <w:br/>
        <w:t>\boxed{</w:t>
      </w:r>
      <w:r>
        <w:br/>
        <w:t>(\mathcal X_F,\preceq_F)</w:t>
      </w:r>
      <w:r>
        <w:br/>
        <w:t>\text{ ist partiell geordnet}.</w:t>
      </w:r>
      <w:r>
        <w:br/>
        <w:t>}</w:t>
      </w:r>
      <w:r>
        <w:br/>
        <w:t>\tag{3.12941}</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\boxed{(\mathcal X_F,\preceq_F)\text{ ist partiell geordnet}.}</w:t>
      </w:r>
    </w:p>
    <w:p w:rsidR="006C5EBA" w:rsidRDefault="00E50336" w:rsidP="006C5EBA">
      <w:r>
        <w:pict>
          <v:rect id="_x0000_i4859" style="width:0;height:1.5pt" o:hralign="center" o:hrstd="t" o:hr="t" fillcolor="#a0a0a0" stroked="f"/>
        </w:pict>
      </w:r>
    </w:p>
    <w:p w:rsidR="006C5EBA" w:rsidRDefault="006C5EBA" w:rsidP="006C5EBA">
      <w:pPr>
        <w:pStyle w:val="berschrift2"/>
      </w:pPr>
      <w:r>
        <w:t>3.3.50.12 Unvergleichbarkeit</w:t>
      </w:r>
    </w:p>
    <w:p w:rsidR="006C5EBA" w:rsidRDefault="006C5EBA" w:rsidP="006C5EBA">
      <w:pPr>
        <w:pStyle w:val="StandardWeb"/>
      </w:pPr>
      <w:r>
        <w:t>In einer partiellen Ordnung müssen nicht alle Elemente miteinander vergleichbar sein.</w:t>
      </w:r>
    </w:p>
    <w:p w:rsidR="006C5EBA" w:rsidRDefault="006C5EBA" w:rsidP="006C5EBA">
      <w:pPr>
        <w:pStyle w:val="StandardWeb"/>
      </w:pPr>
      <w:r>
        <w:t>Es können (X,Y\in\mathcal X_F) existieren mit</w:t>
      </w:r>
    </w:p>
    <w:p w:rsidR="006C5EBA" w:rsidRDefault="006C5EBA" w:rsidP="006C5EBA">
      <w:pPr>
        <w:pStyle w:val="StandardWeb"/>
      </w:pPr>
      <w:r>
        <w:t>[</w:t>
      </w:r>
      <w:r>
        <w:br/>
        <w:t>X\not\preceq_F Y</w:t>
      </w:r>
      <w:r>
        <w:br/>
        <w:t>\tag{3.12942}</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X\not\preceq_F Y</w:t>
      </w:r>
    </w:p>
    <w:p w:rsidR="006C5EBA" w:rsidRDefault="006C5EBA" w:rsidP="006C5EBA">
      <w:pPr>
        <w:pStyle w:val="StandardWeb"/>
      </w:pPr>
      <w:r>
        <w:t>und zugleich</w:t>
      </w:r>
    </w:p>
    <w:p w:rsidR="006C5EBA" w:rsidRDefault="006C5EBA" w:rsidP="006C5EBA">
      <w:pPr>
        <w:pStyle w:val="StandardWeb"/>
      </w:pPr>
      <w:r>
        <w:lastRenderedPageBreak/>
        <w:t>[</w:t>
      </w:r>
      <w:r>
        <w:br/>
        <w:t>Y\not\preceq_F X.</w:t>
      </w:r>
      <w:r>
        <w:br/>
        <w:t>\tag{3.12943}</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Y\not\preceq_F X</w:t>
      </w:r>
    </w:p>
    <w:p w:rsidR="006C5EBA" w:rsidRDefault="00E50336" w:rsidP="006C5EBA">
      <w:r>
        <w:pict>
          <v:rect id="_x0000_i4860" style="width:0;height:1.5pt" o:hralign="center" o:hrstd="t" o:hr="t" fillcolor="#a0a0a0" stroked="f"/>
        </w:pict>
      </w:r>
    </w:p>
    <w:p w:rsidR="006C5EBA" w:rsidRDefault="006C5EBA" w:rsidP="006C5EBA">
      <w:pPr>
        <w:pStyle w:val="berschrift2"/>
      </w:pPr>
      <w:r>
        <w:t>3.3.50.13 Definition 3.3.464 – Funktionale Unvergleichbarkeit</w:t>
      </w:r>
    </w:p>
    <w:p w:rsidR="006C5EBA" w:rsidRDefault="006C5EBA" w:rsidP="006C5EBA">
      <w:pPr>
        <w:pStyle w:val="berschrift3"/>
      </w:pPr>
      <w:r>
        <w:t>Definition 3.3.464</w:t>
      </w:r>
    </w:p>
    <w:p w:rsidR="006C5EBA" w:rsidRDefault="006C5EBA" w:rsidP="006C5EBA">
      <w:pPr>
        <w:pStyle w:val="StandardWeb"/>
      </w:pPr>
      <w:r>
        <w:t xml:space="preserve">Zwei funktionale Objekte (X) und (Y) heißen </w:t>
      </w:r>
      <w:r>
        <w:rPr>
          <w:rStyle w:val="Fett"/>
        </w:rPr>
        <w:t>unvergleichbar bezüglich (\preceq_F)</w:t>
      </w:r>
      <w:r>
        <w:t>, wenn</w:t>
      </w:r>
    </w:p>
    <w:p w:rsidR="006C5EBA" w:rsidRDefault="006C5EBA" w:rsidP="006C5EBA">
      <w:pPr>
        <w:pStyle w:val="StandardWeb"/>
      </w:pPr>
      <w:r>
        <w:t>[</w:t>
      </w:r>
      <w:r>
        <w:br/>
        <w:t>\boxed{</w:t>
      </w:r>
      <w:r>
        <w:br/>
        <w:t>X\parallel_F Y</w:t>
      </w:r>
      <w:r>
        <w:br/>
        <w:t>\Longleftrightarrow</w:t>
      </w:r>
      <w:r>
        <w:br/>
        <w:t>X\not\preceq_F Y</w:t>
      </w:r>
      <w:r>
        <w:br/>
        <w:t>\land</w:t>
      </w:r>
      <w:r>
        <w:br/>
        <w:t>Y\not\preceq_F X.</w:t>
      </w:r>
      <w:r>
        <w:br/>
        <w:t>}</w:t>
      </w:r>
      <w:r>
        <w:br/>
        <w:t>\tag{3.12944}</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\boxed{X\parallel_F Y\Longleftrightarrow X\not\preceq_F Y\land Y\not\preceq_F X.}</w:t>
      </w:r>
    </w:p>
    <w:p w:rsidR="006C5EBA" w:rsidRDefault="00E50336" w:rsidP="006C5EBA">
      <w:r>
        <w:pict>
          <v:rect id="_x0000_i4861" style="width:0;height:1.5pt" o:hralign="center" o:hrstd="t" o:hr="t" fillcolor="#a0a0a0" stroked="f"/>
        </w:pict>
      </w:r>
    </w:p>
    <w:p w:rsidR="006C5EBA" w:rsidRDefault="006C5EBA" w:rsidP="006C5EBA">
      <w:pPr>
        <w:pStyle w:val="berschrift2"/>
      </w:pPr>
      <w:r>
        <w:t>3.3.50.14 Totale Vergleichbarkeit</w:t>
      </w:r>
    </w:p>
    <w:p w:rsidR="006C5EBA" w:rsidRDefault="006C5EBA" w:rsidP="006C5EBA">
      <w:pPr>
        <w:pStyle w:val="StandardWeb"/>
      </w:pPr>
      <w:r>
        <w:t>Eine stärkere Struktur verlangt</w:t>
      </w:r>
    </w:p>
    <w:p w:rsidR="006C5EBA" w:rsidRDefault="006C5EBA" w:rsidP="006C5EBA">
      <w:pPr>
        <w:pStyle w:val="StandardWeb"/>
      </w:pPr>
      <w:r>
        <w:t>[</w:t>
      </w:r>
      <w:r>
        <w:br/>
        <w:t>X\preceq_F Y</w:t>
      </w:r>
      <w:r>
        <w:br/>
        <w:t>\lor</w:t>
      </w:r>
      <w:r>
        <w:br/>
        <w:t>Y\preceq_F X</w:t>
      </w:r>
      <w:r>
        <w:br/>
        <w:t>\qquad</w:t>
      </w:r>
      <w:r>
        <w:br/>
        <w:t>\forall X,Y\in\mathcal X_F.</w:t>
      </w:r>
      <w:r>
        <w:br/>
        <w:t>\tag{3.12945}</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X\preceq_F Y\lor Y\preceq_F X\qquad\forall X,Y\in\mathcal X_F</w:t>
      </w:r>
    </w:p>
    <w:p w:rsidR="006C5EBA" w:rsidRDefault="00E50336" w:rsidP="006C5EBA">
      <w:r>
        <w:lastRenderedPageBreak/>
        <w:pict>
          <v:rect id="_x0000_i4862" style="width:0;height:1.5pt" o:hralign="center" o:hrstd="t" o:hr="t" fillcolor="#a0a0a0" stroked="f"/>
        </w:pict>
      </w:r>
    </w:p>
    <w:p w:rsidR="006C5EBA" w:rsidRDefault="006C5EBA" w:rsidP="006C5EBA">
      <w:pPr>
        <w:pStyle w:val="berschrift2"/>
      </w:pPr>
      <w:r>
        <w:t>3.3.50.15 Definition 3.3.465 – Totale funktionale Ordnung</w:t>
      </w:r>
    </w:p>
    <w:p w:rsidR="006C5EBA" w:rsidRDefault="006C5EBA" w:rsidP="006C5EBA">
      <w:pPr>
        <w:pStyle w:val="berschrift3"/>
      </w:pPr>
      <w:r>
        <w:t>Definition 3.3.465</w:t>
      </w:r>
    </w:p>
    <w:p w:rsidR="006C5EBA" w:rsidRDefault="006C5EBA" w:rsidP="006C5EBA">
      <w:pPr>
        <w:pStyle w:val="StandardWeb"/>
      </w:pPr>
      <w:r>
        <w:t xml:space="preserve">Eine partielle funktionale Ordnung heißt </w:t>
      </w:r>
      <w:r>
        <w:rPr>
          <w:rStyle w:val="Fett"/>
        </w:rPr>
        <w:t>total</w:t>
      </w:r>
      <w:r>
        <w:t>, wenn zusätzlich sämtliche Elementpaare vergleichbar sind:</w:t>
      </w:r>
    </w:p>
    <w:p w:rsidR="006C5EBA" w:rsidRDefault="006C5EBA" w:rsidP="006C5EBA">
      <w:pPr>
        <w:pStyle w:val="StandardWeb"/>
      </w:pPr>
      <w:r>
        <w:t>[</w:t>
      </w:r>
      <w:r>
        <w:br/>
        <w:t>\boxed{</w:t>
      </w:r>
      <w:r>
        <w:br/>
        <w:t>\forall X,Y\in\mathcal X_F:</w:t>
      </w:r>
      <w:r>
        <w:br/>
        <w:t>X\preceq_F Y</w:t>
      </w:r>
      <w:r>
        <w:br/>
        <w:t>\lor</w:t>
      </w:r>
      <w:r>
        <w:br/>
        <w:t>Y\preceq_F X.</w:t>
      </w:r>
      <w:r>
        <w:br/>
        <w:t>}</w:t>
      </w:r>
      <w:r>
        <w:br/>
        <w:t>\tag{3.12946}</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\boxed{\forall X,Y\in\mathcal X_F:X\preceq_F Y\lor Y\preceq_F X.}</w:t>
      </w:r>
    </w:p>
    <w:p w:rsidR="006C5EBA" w:rsidRDefault="00E50336" w:rsidP="006C5EBA">
      <w:r>
        <w:pict>
          <v:rect id="_x0000_i4863" style="width:0;height:1.5pt" o:hralign="center" o:hrstd="t" o:hr="t" fillcolor="#a0a0a0" stroked="f"/>
        </w:pict>
      </w:r>
    </w:p>
    <w:p w:rsidR="006C5EBA" w:rsidRDefault="006C5EBA" w:rsidP="006C5EBA">
      <w:pPr>
        <w:pStyle w:val="berschrift2"/>
      </w:pPr>
      <w:r>
        <w:t>3.3.50.16 Totale Ordnung als Primäraxiomkandidat</w:t>
      </w:r>
    </w:p>
    <w:p w:rsidR="006C5EBA" w:rsidRDefault="006C5EBA" w:rsidP="006C5EBA">
      <w:pPr>
        <w:pStyle w:val="StandardWeb"/>
      </w:pPr>
      <w:r>
        <w:t>Ich prüfe nun, ob vollständige Vergleichbarkeit für das allgemeine FRZK notwendig sein könnte.</w:t>
      </w:r>
    </w:p>
    <w:p w:rsidR="006C5EBA" w:rsidRDefault="006C5EBA" w:rsidP="006C5EBA">
      <w:pPr>
        <w:pStyle w:val="StandardWeb"/>
      </w:pPr>
      <w:r>
        <w:t>Der entsprechende Kandidat lautet</w:t>
      </w:r>
    </w:p>
    <w:p w:rsidR="006C5EBA" w:rsidRDefault="006C5EBA" w:rsidP="006C5EBA">
      <w:pPr>
        <w:pStyle w:val="StandardWeb"/>
      </w:pPr>
      <w:r>
        <w:t>[</w:t>
      </w:r>
      <w:r>
        <w:br/>
        <w:t>A_{\mathrm{tot}}</w:t>
      </w:r>
      <w:r>
        <w:br/>
        <w:t>:</w:t>
      </w:r>
      <w:r>
        <w:br/>
        <w:t>\forall X,Y\in\mathcal X_F:</w:t>
      </w:r>
      <w:r>
        <w:br/>
        <w:t>X\preceq_F Y</w:t>
      </w:r>
      <w:r>
        <w:br/>
        <w:t>\lor</w:t>
      </w:r>
      <w:r>
        <w:br/>
        <w:t>Y\preceq_F X.</w:t>
      </w:r>
      <w:r>
        <w:br/>
        <w:t>\tag{3.12947}</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A_{\mathrm{tot}}:\forall X,Y\in\mathcal X_F:X\preceq_F Y\lor Y\preceq_F X</w:t>
      </w:r>
    </w:p>
    <w:p w:rsidR="006C5EBA" w:rsidRDefault="00E50336" w:rsidP="006C5EBA">
      <w:r>
        <w:pict>
          <v:rect id="_x0000_i4864" style="width:0;height:1.5pt" o:hralign="center" o:hrstd="t" o:hr="t" fillcolor="#a0a0a0" stroked="f"/>
        </w:pict>
      </w:r>
    </w:p>
    <w:p w:rsidR="006C5EBA" w:rsidRDefault="006C5EBA" w:rsidP="006C5EBA">
      <w:pPr>
        <w:pStyle w:val="berschrift2"/>
      </w:pPr>
      <w:r>
        <w:t>3.3.50.17 Gegenmodell zur totalen Vergleichbarkeit</w:t>
      </w:r>
    </w:p>
    <w:p w:rsidR="006C5EBA" w:rsidRDefault="006C5EBA" w:rsidP="006C5EBA">
      <w:pPr>
        <w:pStyle w:val="StandardWeb"/>
      </w:pPr>
      <w:r>
        <w:t>Ich kann eine Modellklasse mit zwei funktionalen Objekten</w:t>
      </w:r>
    </w:p>
    <w:p w:rsidR="006C5EBA" w:rsidRDefault="006C5EBA" w:rsidP="006C5EBA">
      <w:pPr>
        <w:pStyle w:val="berschrift1"/>
      </w:pPr>
      <w:r>
        <w:lastRenderedPageBreak/>
        <w:t>[</w:t>
      </w:r>
      <w:r>
        <w:br/>
        <w:t>\mathcal X_F</w:t>
      </w:r>
    </w:p>
    <w:p w:rsidR="006C5EBA" w:rsidRDefault="006C5EBA" w:rsidP="006C5EBA">
      <w:pPr>
        <w:pStyle w:val="StandardWeb"/>
      </w:pPr>
      <w:r>
        <w:t>{X,Y}</w:t>
      </w:r>
      <w:r>
        <w:br/>
        <w:t>\tag{3.12948}</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\mathcal X_F=\{X,Y\}</w:t>
      </w:r>
    </w:p>
    <w:p w:rsidR="006C5EBA" w:rsidRDefault="006C5EBA" w:rsidP="006C5EBA">
      <w:pPr>
        <w:pStyle w:val="StandardWeb"/>
      </w:pPr>
      <w:r>
        <w:t>definieren, für die weder</w:t>
      </w:r>
    </w:p>
    <w:p w:rsidR="006C5EBA" w:rsidRDefault="006C5EBA" w:rsidP="006C5EBA">
      <w:pPr>
        <w:pStyle w:val="StandardWeb"/>
      </w:pPr>
      <w:r>
        <w:t>[</w:t>
      </w:r>
      <w:r>
        <w:br/>
        <w:t>X\preceq_F Y</w:t>
      </w:r>
      <w:r>
        <w:br/>
        <w:t>\tag{3.12949}</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X\preceq_F Y</w:t>
      </w:r>
    </w:p>
    <w:p w:rsidR="006C5EBA" w:rsidRDefault="006C5EBA" w:rsidP="006C5EBA">
      <w:pPr>
        <w:pStyle w:val="StandardWeb"/>
      </w:pPr>
      <w:r>
        <w:t>noch</w:t>
      </w:r>
    </w:p>
    <w:p w:rsidR="006C5EBA" w:rsidRDefault="006C5EBA" w:rsidP="006C5EBA">
      <w:pPr>
        <w:pStyle w:val="StandardWeb"/>
      </w:pPr>
      <w:r>
        <w:t>[</w:t>
      </w:r>
      <w:r>
        <w:br/>
        <w:t>Y\preceq_F X</w:t>
      </w:r>
      <w:r>
        <w:br/>
        <w:t>\tag{3.12950}</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Y\preceq_F X</w:t>
      </w:r>
    </w:p>
    <w:p w:rsidR="006C5EBA" w:rsidRDefault="006C5EBA" w:rsidP="006C5EBA">
      <w:pPr>
        <w:pStyle w:val="StandardWeb"/>
      </w:pPr>
      <w:r>
        <w:t>gilt.</w:t>
      </w:r>
    </w:p>
    <w:p w:rsidR="006C5EBA" w:rsidRDefault="006C5EBA" w:rsidP="006C5EBA">
      <w:pPr>
        <w:pStyle w:val="StandardWeb"/>
      </w:pPr>
      <w:r>
        <w:t>Damit ist</w:t>
      </w:r>
    </w:p>
    <w:p w:rsidR="006C5EBA" w:rsidRDefault="006C5EBA" w:rsidP="006C5EBA">
      <w:pPr>
        <w:pStyle w:val="StandardWeb"/>
      </w:pPr>
      <w:r>
        <w:t>[</w:t>
      </w:r>
      <w:r>
        <w:br/>
        <w:t>X\parallel_F Y</w:t>
      </w:r>
      <w:r>
        <w:br/>
        <w:t>\tag{3.12951}</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X\parallel_F Y</w:t>
      </w:r>
    </w:p>
    <w:p w:rsidR="006C5EBA" w:rsidRDefault="006C5EBA" w:rsidP="006C5EBA">
      <w:pPr>
        <w:pStyle w:val="StandardWeb"/>
      </w:pPr>
      <w:r>
        <w:t>zulässig, ohne dass dadurch ein mathematischer Widerspruch im allgemeinen FRZK entsteht.</w:t>
      </w:r>
    </w:p>
    <w:p w:rsidR="006C5EBA" w:rsidRDefault="00E50336" w:rsidP="006C5EBA">
      <w:r>
        <w:pict>
          <v:rect id="_x0000_i4865" style="width:0;height:1.5pt" o:hralign="center" o:hrstd="t" o:hr="t" fillcolor="#a0a0a0" stroked="f"/>
        </w:pict>
      </w:r>
    </w:p>
    <w:p w:rsidR="006C5EBA" w:rsidRDefault="006C5EBA" w:rsidP="006C5EBA">
      <w:pPr>
        <w:pStyle w:val="berschrift2"/>
      </w:pPr>
      <w:r>
        <w:lastRenderedPageBreak/>
        <w:t>3.3.50.18 Axiomentscheidung zur totalen Ordnung</w:t>
      </w:r>
    </w:p>
    <w:p w:rsidR="006C5EBA" w:rsidRDefault="006C5EBA" w:rsidP="006C5EBA">
      <w:pPr>
        <w:pStyle w:val="StandardWeb"/>
      </w:pPr>
      <w:r>
        <w:t>Daraus folgt</w:t>
      </w:r>
    </w:p>
    <w:p w:rsidR="006C5EBA" w:rsidRDefault="006C5EBA" w:rsidP="006C5EBA">
      <w:pPr>
        <w:pStyle w:val="berschrift1"/>
      </w:pPr>
      <w:r>
        <w:t>[</w:t>
      </w:r>
      <w:r>
        <w:br/>
        <w:t>\boxed{</w:t>
      </w:r>
      <w:r>
        <w:br/>
        <w:t>U_{\mathrm{Ax}}</w:t>
      </w:r>
      <w:r>
        <w:br/>
        <w:t>(A_{\mathrm{tot}})</w:t>
      </w:r>
    </w:p>
    <w:p w:rsidR="006C5EBA" w:rsidRDefault="006C5EBA" w:rsidP="00563F88">
      <w:pPr>
        <w:numPr>
          <w:ilvl w:val="0"/>
          <w:numId w:val="588"/>
        </w:numPr>
        <w:spacing w:before="100" w:beforeAutospacing="1" w:after="100" w:afterAutospacing="1"/>
      </w:pPr>
    </w:p>
    <w:p w:rsidR="006C5EBA" w:rsidRDefault="006C5EBA" w:rsidP="006C5EBA">
      <w:pPr>
        <w:pStyle w:val="StandardWeb"/>
      </w:pPr>
      <w:r>
        <w:t>}</w:t>
      </w:r>
      <w:r>
        <w:br/>
        <w:t>\tag{3.12952}</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\boxed{U_{\mathrm{Ax}}(A_{\mathrm{tot}})=0.}</w:t>
      </w:r>
    </w:p>
    <w:p w:rsidR="006C5EBA" w:rsidRDefault="00E50336" w:rsidP="006C5EBA">
      <w:r>
        <w:pict>
          <v:rect id="_x0000_i4866" style="width:0;height:1.5pt" o:hralign="center" o:hrstd="t" o:hr="t" fillcolor="#a0a0a0" stroked="f"/>
        </w:pict>
      </w:r>
    </w:p>
    <w:p w:rsidR="006C5EBA" w:rsidRDefault="006C5EBA" w:rsidP="006C5EBA">
      <w:pPr>
        <w:pStyle w:val="berschrift2"/>
      </w:pPr>
      <w:r>
        <w:t>3.3.50.19 Satz 3.3.180 – Totale funktionale Ordnung ist kein Primäraxiom</w:t>
      </w:r>
    </w:p>
    <w:p w:rsidR="006C5EBA" w:rsidRDefault="006C5EBA" w:rsidP="006C5EBA">
      <w:pPr>
        <w:pStyle w:val="berschrift3"/>
      </w:pPr>
      <w:r>
        <w:t>Satz 3.3.180</w:t>
      </w:r>
    </w:p>
    <w:p w:rsidR="006C5EBA" w:rsidRDefault="006C5EBA" w:rsidP="006C5EBA">
      <w:pPr>
        <w:pStyle w:val="StandardWeb"/>
      </w:pPr>
      <w:r>
        <w:t>Die Forderung, sämtliche funktionalen Objekte eines FRZK-Modells müssten bezüglich einer Vergleichsrelation vollständig vergleichbar sein, ist keine universell notwendige Voraussetzung des allgemeinen FRZK.</w:t>
      </w:r>
    </w:p>
    <w:p w:rsidR="006C5EBA" w:rsidRDefault="006C5EBA" w:rsidP="006C5EBA">
      <w:pPr>
        <w:pStyle w:val="StandardWeb"/>
      </w:pPr>
      <w:r>
        <w:t>Formal gilt</w:t>
      </w:r>
    </w:p>
    <w:p w:rsidR="006C5EBA" w:rsidRDefault="006C5EBA" w:rsidP="006C5EBA">
      <w:pPr>
        <w:pStyle w:val="berschrift1"/>
      </w:pPr>
      <w:r>
        <w:t>[</w:t>
      </w:r>
      <w:r>
        <w:br/>
        <w:t>\boxed{</w:t>
      </w:r>
      <w:r>
        <w:br/>
        <w:t>U_{\mathrm{Ax}}</w:t>
      </w:r>
      <w:r>
        <w:br/>
        <w:t>(A_{\mathrm{tot}})</w:t>
      </w:r>
    </w:p>
    <w:p w:rsidR="006C5EBA" w:rsidRDefault="006C5EBA" w:rsidP="00563F88">
      <w:pPr>
        <w:numPr>
          <w:ilvl w:val="0"/>
          <w:numId w:val="589"/>
        </w:numPr>
        <w:spacing w:before="100" w:beforeAutospacing="1" w:after="100" w:afterAutospacing="1"/>
      </w:pPr>
    </w:p>
    <w:p w:rsidR="006C5EBA" w:rsidRDefault="006C5EBA" w:rsidP="006C5EBA">
      <w:pPr>
        <w:pStyle w:val="StandardWeb"/>
      </w:pPr>
      <w:r>
        <w:t>}</w:t>
      </w:r>
      <w:r>
        <w:br/>
        <w:t>\tag{3.12953}</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lastRenderedPageBreak/>
        <w:t>\boxed{U_{\mathrm{Ax}}(A_{\mathrm{tot}})=0.}</w:t>
      </w:r>
    </w:p>
    <w:p w:rsidR="006C5EBA" w:rsidRDefault="006C5EBA" w:rsidP="006C5EBA">
      <w:pPr>
        <w:pStyle w:val="berschrift3"/>
      </w:pPr>
      <w:r>
        <w:t>Beweis</w:t>
      </w:r>
    </w:p>
    <w:p w:rsidR="006C5EBA" w:rsidRDefault="006C5EBA" w:rsidP="006C5EBA">
      <w:pPr>
        <w:pStyle w:val="StandardWeb"/>
      </w:pPr>
      <w:r>
        <w:t>Eine zulässige Modellstruktur kann mindestens zwei Elemente (X,Y) enthalten, für die</w:t>
      </w:r>
    </w:p>
    <w:p w:rsidR="006C5EBA" w:rsidRDefault="006C5EBA" w:rsidP="006C5EBA">
      <w:pPr>
        <w:pStyle w:val="StandardWeb"/>
      </w:pPr>
      <w:r>
        <w:t>[</w:t>
      </w:r>
      <w:r>
        <w:br/>
        <w:t>X\not\preceq_F Y</w:t>
      </w:r>
      <w:r>
        <w:br/>
        <w:t>\land</w:t>
      </w:r>
      <w:r>
        <w:br/>
        <w:t>Y\not\preceq_F X.</w:t>
      </w:r>
      <w:r>
        <w:br/>
        <w:t>\tag{3.12954}</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X\not\preceq_F Y\land Y\not\preceq_F X</w:t>
      </w:r>
    </w:p>
    <w:p w:rsidR="006C5EBA" w:rsidRDefault="006C5EBA" w:rsidP="006C5EBA">
      <w:pPr>
        <w:pStyle w:val="StandardWeb"/>
      </w:pPr>
      <w:r>
        <w:t>Damit ist die Relation nicht total, während die Menge funktionaler Theorieobjekte und sämtliche übrigen FRZK-Strukturen weiterhin wohldefiniert bleiben. Folglich ist totale Vergleichbarkeit nicht universell notwendig. (\square)</w:t>
      </w:r>
    </w:p>
    <w:p w:rsidR="006C5EBA" w:rsidRDefault="00E50336" w:rsidP="006C5EBA">
      <w:r>
        <w:pict>
          <v:rect id="_x0000_i4867" style="width:0;height:1.5pt" o:hralign="center" o:hrstd="t" o:hr="t" fillcolor="#a0a0a0" stroked="f"/>
        </w:pict>
      </w:r>
    </w:p>
    <w:p w:rsidR="006C5EBA" w:rsidRDefault="006C5EBA" w:rsidP="006C5EBA">
      <w:pPr>
        <w:pStyle w:val="berschrift2"/>
      </w:pPr>
      <w:r>
        <w:t>3.3.50.20 Korollar 3.3.42 – Funktionale Unvergleichbarkeit ist im allgemeinen FRZK zulässig</w:t>
      </w:r>
    </w:p>
    <w:p w:rsidR="006C5EBA" w:rsidRDefault="006C5EBA" w:rsidP="006C5EBA">
      <w:pPr>
        <w:pStyle w:val="berschrift3"/>
      </w:pPr>
      <w:r>
        <w:t>Korollar 3.3.42</w:t>
      </w:r>
    </w:p>
    <w:p w:rsidR="006C5EBA" w:rsidRDefault="006C5EBA" w:rsidP="006C5EBA">
      <w:pPr>
        <w:pStyle w:val="StandardWeb"/>
      </w:pPr>
      <w:r>
        <w:t>Aus Satz 3.3.180 folgt</w:t>
      </w:r>
    </w:p>
    <w:p w:rsidR="006C5EBA" w:rsidRDefault="006C5EBA" w:rsidP="006C5EBA">
      <w:pPr>
        <w:pStyle w:val="StandardWeb"/>
      </w:pPr>
      <w:r>
        <w:t>[</w:t>
      </w:r>
      <w:r>
        <w:br/>
        <w:t>\boxed{</w:t>
      </w:r>
      <w:r>
        <w:br/>
        <w:t>\exists X,Y\in\mathcal X_F:</w:t>
      </w:r>
      <w:r>
        <w:br/>
        <w:t>X\parallel_F Y</w:t>
      </w:r>
      <w:r>
        <w:br/>
        <w:t>}</w:t>
      </w:r>
      <w:r>
        <w:br/>
        <w:t>\tag{3.12955}</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\boxed{\exists X,Y\in\mathcal X_F:X\parallel_F Y}</w:t>
      </w:r>
    </w:p>
    <w:p w:rsidR="006C5EBA" w:rsidRDefault="006C5EBA" w:rsidP="006C5EBA">
      <w:pPr>
        <w:pStyle w:val="StandardWeb"/>
      </w:pPr>
      <w:r>
        <w:t>als zulässige Modellkonstellation.</w:t>
      </w:r>
    </w:p>
    <w:p w:rsidR="006C5EBA" w:rsidRDefault="00E50336" w:rsidP="006C5EBA">
      <w:r>
        <w:pict>
          <v:rect id="_x0000_i4868" style="width:0;height:1.5pt" o:hralign="center" o:hrstd="t" o:hr="t" fillcolor="#a0a0a0" stroked="f"/>
        </w:pict>
      </w:r>
    </w:p>
    <w:p w:rsidR="006C5EBA" w:rsidRDefault="006C5EBA" w:rsidP="006C5EBA">
      <w:pPr>
        <w:pStyle w:val="berschrift2"/>
      </w:pPr>
      <w:r>
        <w:t>3.3.50.21 Strikte funktionale Präferenz</w:t>
      </w:r>
    </w:p>
    <w:p w:rsidR="006C5EBA" w:rsidRDefault="006C5EBA" w:rsidP="006C5EBA">
      <w:pPr>
        <w:pStyle w:val="StandardWeb"/>
      </w:pPr>
      <w:r>
        <w:t>Aus einer nichtstrikten Relation kann modellabhängig eine strikte Relation abgeleitet werden:</w:t>
      </w:r>
    </w:p>
    <w:p w:rsidR="006C5EBA" w:rsidRDefault="006C5EBA" w:rsidP="006C5EBA">
      <w:pPr>
        <w:pStyle w:val="StandardWeb"/>
      </w:pPr>
      <w:r>
        <w:lastRenderedPageBreak/>
        <w:t>[</w:t>
      </w:r>
      <w:r>
        <w:br/>
        <w:t>X\prec_F Y</w:t>
      </w:r>
      <w:r>
        <w:br/>
        <w:t>\Longleftrightarrow</w:t>
      </w:r>
      <w:r>
        <w:br/>
        <w:t>X\preceq_F Y</w:t>
      </w:r>
      <w:r>
        <w:br/>
        <w:t>\land</w:t>
      </w:r>
      <w:r>
        <w:br/>
        <w:t>Y\not\preceq_F X.</w:t>
      </w:r>
      <w:r>
        <w:br/>
        <w:t>\tag{3.12956}</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X\prec_F Y\Longleftrightarrow X\preceq_F Y\land Y\not\preceq_F X</w:t>
      </w:r>
    </w:p>
    <w:p w:rsidR="006C5EBA" w:rsidRDefault="00E50336" w:rsidP="006C5EBA">
      <w:r>
        <w:pict>
          <v:rect id="_x0000_i4869" style="width:0;height:1.5pt" o:hralign="center" o:hrstd="t" o:hr="t" fillcolor="#a0a0a0" stroked="f"/>
        </w:pict>
      </w:r>
    </w:p>
    <w:p w:rsidR="006C5EBA" w:rsidRDefault="006C5EBA" w:rsidP="006C5EBA">
      <w:pPr>
        <w:pStyle w:val="berschrift2"/>
      </w:pPr>
      <w:r>
        <w:t>3.3.50.22 Definition 3.3.466 – Strikte funktionale Vergleichsrelation</w:t>
      </w:r>
    </w:p>
    <w:p w:rsidR="006C5EBA" w:rsidRDefault="006C5EBA" w:rsidP="006C5EBA">
      <w:pPr>
        <w:pStyle w:val="berschrift3"/>
      </w:pPr>
      <w:r>
        <w:t>Definition 3.3.466</w:t>
      </w:r>
    </w:p>
    <w:p w:rsidR="006C5EBA" w:rsidRDefault="006C5EBA" w:rsidP="006C5EBA">
      <w:pPr>
        <w:pStyle w:val="StandardWeb"/>
      </w:pPr>
      <w:r>
        <w:t xml:space="preserve">Die zu (\preceq_F) gehörende </w:t>
      </w:r>
      <w:r>
        <w:rPr>
          <w:rStyle w:val="Fett"/>
        </w:rPr>
        <w:t>strikte funktionale Vergleichsrelation</w:t>
      </w:r>
      <w:r>
        <w:t xml:space="preserve"> ist</w:t>
      </w:r>
    </w:p>
    <w:p w:rsidR="006C5EBA" w:rsidRDefault="006C5EBA" w:rsidP="006C5EBA">
      <w:pPr>
        <w:pStyle w:val="StandardWeb"/>
      </w:pPr>
      <w:r>
        <w:t>[</w:t>
      </w:r>
      <w:r>
        <w:br/>
        <w:t>\boxed{</w:t>
      </w:r>
      <w:r>
        <w:br/>
        <w:t>X\prec_F Y</w:t>
      </w:r>
      <w:r>
        <w:br/>
        <w:t>\Longleftrightarrow</w:t>
      </w:r>
      <w:r>
        <w:br/>
        <w:t>X\preceq_F Y</w:t>
      </w:r>
      <w:r>
        <w:br/>
        <w:t>\land</w:t>
      </w:r>
      <w:r>
        <w:br/>
        <w:t>Y\not\preceq_F X.</w:t>
      </w:r>
      <w:r>
        <w:br/>
        <w:t>}</w:t>
      </w:r>
      <w:r>
        <w:br/>
        <w:t>\tag{3.12957}</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\boxed{X\prec_F Y\Longleftrightarrow X\preceq_F Y\land Y\not\preceq_F X.}</w:t>
      </w:r>
    </w:p>
    <w:p w:rsidR="006C5EBA" w:rsidRDefault="00E50336" w:rsidP="006C5EBA">
      <w:r>
        <w:pict>
          <v:rect id="_x0000_i4870" style="width:0;height:1.5pt" o:hralign="center" o:hrstd="t" o:hr="t" fillcolor="#a0a0a0" stroked="f"/>
        </w:pict>
      </w:r>
    </w:p>
    <w:p w:rsidR="006C5EBA" w:rsidRDefault="006C5EBA" w:rsidP="006C5EBA">
      <w:pPr>
        <w:pStyle w:val="berschrift2"/>
      </w:pPr>
      <w:r>
        <w:t>3.3.50.23 Funktionale Gleichwertigkeit</w:t>
      </w:r>
    </w:p>
    <w:p w:rsidR="006C5EBA" w:rsidRDefault="006C5EBA" w:rsidP="006C5EBA">
      <w:pPr>
        <w:pStyle w:val="StandardWeb"/>
      </w:pPr>
      <w:r>
        <w:t>Wenn Antisymmetrie nicht verlangt wird, kann ich auch eine Gleichwertigkeitsrelation bezüglich des Vergleichskriteriums definieren:</w:t>
      </w:r>
    </w:p>
    <w:p w:rsidR="006C5EBA" w:rsidRDefault="006C5EBA" w:rsidP="006C5EBA">
      <w:pPr>
        <w:pStyle w:val="StandardWeb"/>
      </w:pPr>
      <w:r>
        <w:t>[</w:t>
      </w:r>
      <w:r>
        <w:br/>
        <w:t>X\sim_{\preceq}Y</w:t>
      </w:r>
      <w:r>
        <w:br/>
        <w:t>\Longleftrightarrow</w:t>
      </w:r>
      <w:r>
        <w:br/>
        <w:t>X\preceq_F Y</w:t>
      </w:r>
      <w:r>
        <w:br/>
        <w:t>\land</w:t>
      </w:r>
      <w:r>
        <w:br/>
        <w:t>Y\preceq_F X.</w:t>
      </w:r>
      <w:r>
        <w:br/>
        <w:t>\tag{3.12958}</w:t>
      </w:r>
      <w:r>
        <w:br/>
        <w:t>]</w:t>
      </w:r>
    </w:p>
    <w:p w:rsidR="006C5EBA" w:rsidRDefault="006C5EBA" w:rsidP="006C5EBA">
      <w:pPr>
        <w:pStyle w:val="StandardWeb"/>
      </w:pPr>
      <w:r>
        <w:rPr>
          <w:rStyle w:val="Fett"/>
        </w:rPr>
        <w:lastRenderedPageBreak/>
        <w:t>Word-LaTeX</w:t>
      </w:r>
    </w:p>
    <w:p w:rsidR="006C5EBA" w:rsidRDefault="006C5EBA" w:rsidP="006C5EBA">
      <w:pPr>
        <w:pStyle w:val="HTMLVorformatiert"/>
        <w:rPr>
          <w:rStyle w:val="HTMLCode"/>
        </w:rPr>
      </w:pPr>
      <w:r>
        <w:rPr>
          <w:rStyle w:val="HTMLCode"/>
        </w:rPr>
        <w:t>X\sim_{\preceq}Y\Longleftrightarrow X\preceq_F Y\land Y\preceq_F X</w:t>
      </w:r>
    </w:p>
    <w:p w:rsidR="006C5EBA" w:rsidRDefault="00E50336" w:rsidP="006C5EBA">
      <w:r>
        <w:pict>
          <v:rect id="_x0000_i4871" style="width:0;height:1.5pt" o:hralign="center" o:hrstd="t" o:hr="t" fillcolor="#a0a0a0" stroked="f"/>
        </w:pict>
      </w:r>
    </w:p>
    <w:p w:rsidR="006C5EBA" w:rsidRDefault="006C5EBA" w:rsidP="006C5EBA">
      <w:pPr>
        <w:pStyle w:val="berschrift2"/>
      </w:pPr>
      <w:r>
        <w:t>3.3.50.24 Definition 3.3.467 – Funktionale Vergleichsäquivalenz</w:t>
      </w:r>
    </w:p>
    <w:p w:rsidR="006C5EBA" w:rsidRDefault="006C5EBA" w:rsidP="006C5EBA">
      <w:pPr>
        <w:pStyle w:val="berschrift3"/>
      </w:pPr>
      <w:r>
        <w:t>Definition 3.3.467</w:t>
      </w:r>
    </w:p>
    <w:p w:rsidR="006C5EBA" w:rsidRDefault="006C5EBA" w:rsidP="006C5EBA">
      <w:pPr>
        <w:pStyle w:val="StandardWeb"/>
      </w:pPr>
      <w:r>
        <w:t xml:space="preserve">Zwei funktionale Objekte heißen </w:t>
      </w:r>
      <w:r>
        <w:rPr>
          <w:rStyle w:val="Fett"/>
        </w:rPr>
        <w:t>vergleichsäquivalent</w:t>
      </w:r>
      <w:r>
        <w:t>, wenn</w:t>
      </w:r>
    </w:p>
    <w:p w:rsidR="006C5EBA" w:rsidRDefault="006C5EBA" w:rsidP="006C5EBA">
      <w:pPr>
        <w:pStyle w:val="StandardWeb"/>
      </w:pPr>
      <w:r>
        <w:t>[</w:t>
      </w:r>
      <w:r>
        <w:br/>
        <w:t>\boxed{</w:t>
      </w:r>
      <w:r>
        <w:br/>
        <w:t>X\sim_{\preceq}Y</w:t>
      </w:r>
      <w:r>
        <w:br/>
        <w:t>\Longleftrightarrow</w:t>
      </w:r>
      <w:r>
        <w:br/>
        <w:t>X\preceq_F Y</w:t>
      </w:r>
      <w:r>
        <w:br/>
        <w:t>\land</w:t>
      </w:r>
      <w:r>
        <w:br/>
        <w:t>Y\preceq_F X.</w:t>
      </w:r>
      <w:r>
        <w:br/>
        <w:t>}</w:t>
      </w:r>
      <w:r>
        <w:br/>
        <w:t>\tag{3.12959}</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\boxed{X\sim_{\preceq}Y\Longleftrightarrow X\preceq_F Y\land Y\preceq_F X.}</w:t>
      </w:r>
    </w:p>
    <w:p w:rsidR="006C5EBA" w:rsidRDefault="006C5EBA" w:rsidP="006C5EBA">
      <w:pPr>
        <w:pStyle w:val="StandardWeb"/>
      </w:pPr>
      <w:r>
        <w:t>Diese Definition trennt Vergleichsäquivalenz ausdrücklich von Identität.</w:t>
      </w:r>
    </w:p>
    <w:p w:rsidR="006C5EBA" w:rsidRDefault="00E50336" w:rsidP="006C5EBA">
      <w:r>
        <w:pict>
          <v:rect id="_x0000_i4872" style="width:0;height:1.5pt" o:hralign="center" o:hrstd="t" o:hr="t" fillcolor="#a0a0a0" stroked="f"/>
        </w:pict>
      </w:r>
    </w:p>
    <w:p w:rsidR="006C5EBA" w:rsidRDefault="006C5EBA" w:rsidP="006C5EBA">
      <w:pPr>
        <w:pStyle w:val="berschrift2"/>
      </w:pPr>
      <w:r>
        <w:t>3.3.50.25 Präordnung</w:t>
      </w:r>
    </w:p>
    <w:p w:rsidR="006C5EBA" w:rsidRDefault="006C5EBA" w:rsidP="006C5EBA">
      <w:pPr>
        <w:pStyle w:val="StandardWeb"/>
      </w:pPr>
      <w:r>
        <w:t>Eine Relation kann reflexiv und transitiv sein, ohne antisymmetrisch zu sein.</w:t>
      </w:r>
    </w:p>
    <w:p w:rsidR="006C5EBA" w:rsidRDefault="006C5EBA" w:rsidP="006C5EBA">
      <w:pPr>
        <w:pStyle w:val="StandardWeb"/>
      </w:pPr>
      <w:r>
        <w:t>Ich schreibe</w:t>
      </w:r>
    </w:p>
    <w:p w:rsidR="006C5EBA" w:rsidRDefault="006C5EBA" w:rsidP="006C5EBA">
      <w:pPr>
        <w:pStyle w:val="berschrift1"/>
      </w:pPr>
      <w:r>
        <w:t>[</w:t>
      </w:r>
      <w:r>
        <w:br/>
        <w:t>\operatorname{PreOrd}(\preceq_F)</w:t>
      </w:r>
    </w:p>
    <w:p w:rsidR="006C5EBA" w:rsidRDefault="006C5EBA" w:rsidP="006C5EBA">
      <w:pPr>
        <w:pStyle w:val="StandardWeb"/>
      </w:pPr>
      <w:r>
        <w:t>R_{\mathrm{refl}}</w:t>
      </w:r>
      <w:r>
        <w:br/>
        <w:t>\land</w:t>
      </w:r>
      <w:r>
        <w:br/>
        <w:t>R_{\mathrm{trans}}.</w:t>
      </w:r>
      <w:r>
        <w:br/>
        <w:t>\tag{3.12960}</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\operatorname{PreOrd}(\preceq_F)=R_{\mathrm{refl}}\land R_{\mathrm{trans}}</w:t>
      </w:r>
    </w:p>
    <w:p w:rsidR="006C5EBA" w:rsidRDefault="00E50336" w:rsidP="006C5EBA">
      <w:r>
        <w:lastRenderedPageBreak/>
        <w:pict>
          <v:rect id="_x0000_i4873" style="width:0;height:1.5pt" o:hralign="center" o:hrstd="t" o:hr="t" fillcolor="#a0a0a0" stroked="f"/>
        </w:pict>
      </w:r>
    </w:p>
    <w:p w:rsidR="006C5EBA" w:rsidRDefault="006C5EBA" w:rsidP="006C5EBA">
      <w:pPr>
        <w:pStyle w:val="berschrift2"/>
      </w:pPr>
      <w:r>
        <w:t>3.3.50.26 Definition 3.3.468 – Funktionale Präordnung</w:t>
      </w:r>
    </w:p>
    <w:p w:rsidR="006C5EBA" w:rsidRDefault="006C5EBA" w:rsidP="006C5EBA">
      <w:pPr>
        <w:pStyle w:val="berschrift3"/>
      </w:pPr>
      <w:r>
        <w:t>Definition 3.3.468</w:t>
      </w:r>
    </w:p>
    <w:p w:rsidR="006C5EBA" w:rsidRDefault="006C5EBA" w:rsidP="006C5EBA">
      <w:pPr>
        <w:pStyle w:val="StandardWeb"/>
      </w:pPr>
      <w:r>
        <w:t xml:space="preserve">Eine </w:t>
      </w:r>
      <w:r>
        <w:rPr>
          <w:rStyle w:val="Fett"/>
        </w:rPr>
        <w:t>funktionale Präordnung</w:t>
      </w:r>
      <w:r>
        <w:t xml:space="preserve"> ist eine reflexive und transitive Vergleichsrelation:</w:t>
      </w:r>
    </w:p>
    <w:p w:rsidR="006C5EBA" w:rsidRDefault="006C5EBA" w:rsidP="006C5EBA">
      <w:pPr>
        <w:pStyle w:val="StandardWeb"/>
      </w:pPr>
      <w:r>
        <w:t>[</w:t>
      </w:r>
      <w:r>
        <w:br/>
        <w:t>\boxed{</w:t>
      </w:r>
      <w:r>
        <w:br/>
        <w:t>(\mathcal X_F,\preceq_F)_{\mathrm{pre}}.</w:t>
      </w:r>
      <w:r>
        <w:br/>
        <w:t>}</w:t>
      </w:r>
      <w:r>
        <w:br/>
        <w:t>\tag{3.12961}</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\boxed{(\mathcal X_F,\preceq_F)_{\mathrm{pre}}.}</w:t>
      </w:r>
    </w:p>
    <w:p w:rsidR="006C5EBA" w:rsidRDefault="00E50336" w:rsidP="006C5EBA">
      <w:r>
        <w:pict>
          <v:rect id="_x0000_i4874" style="width:0;height:1.5pt" o:hralign="center" o:hrstd="t" o:hr="t" fillcolor="#a0a0a0" stroked="f"/>
        </w:pict>
      </w:r>
    </w:p>
    <w:p w:rsidR="006C5EBA" w:rsidRDefault="006C5EBA" w:rsidP="006C5EBA">
      <w:pPr>
        <w:pStyle w:val="berschrift2"/>
      </w:pPr>
      <w:r>
        <w:t>3.3.50.27 Quotientenbildung über Vergleichsäquivalenz</w:t>
      </w:r>
    </w:p>
    <w:p w:rsidR="006C5EBA" w:rsidRDefault="006C5EBA" w:rsidP="006C5EBA">
      <w:pPr>
        <w:pStyle w:val="StandardWeb"/>
      </w:pPr>
      <w:r>
        <w:t>Aus einer Präordnung kann eine Quotientenmenge gebildet werden:</w:t>
      </w:r>
    </w:p>
    <w:p w:rsidR="006C5EBA" w:rsidRDefault="006C5EBA" w:rsidP="006C5EBA">
      <w:pPr>
        <w:pStyle w:val="StandardWeb"/>
      </w:pPr>
      <w:r>
        <w:t>[</w:t>
      </w:r>
      <w:r>
        <w:br/>
        <w:t>\mathcal X_F/{\sim_{\preceq}}.</w:t>
      </w:r>
      <w:r>
        <w:br/>
        <w:t>\tag{3.12962}</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\mathcal X_F/{\sim_{\preceq}}</w:t>
      </w:r>
    </w:p>
    <w:p w:rsidR="006C5EBA" w:rsidRDefault="006C5EBA" w:rsidP="006C5EBA">
      <w:pPr>
        <w:pStyle w:val="StandardWeb"/>
      </w:pPr>
      <w:r>
        <w:t>Die Elemente dieser Quotientenmenge sind Äquivalenzklassen</w:t>
      </w:r>
    </w:p>
    <w:p w:rsidR="006C5EBA" w:rsidRDefault="006C5EBA" w:rsidP="006C5EBA">
      <w:pPr>
        <w:pStyle w:val="StandardWeb"/>
      </w:pPr>
      <w:r>
        <w:t>[</w:t>
      </w:r>
      <w:r>
        <w:br/>
        <w:t>[X]_{\preceq}.</w:t>
      </w:r>
      <w:r>
        <w:br/>
        <w:t>\tag{3.12963}</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[X]_{\preceq}</w:t>
      </w:r>
    </w:p>
    <w:p w:rsidR="006C5EBA" w:rsidRDefault="00E50336" w:rsidP="006C5EBA">
      <w:r>
        <w:pict>
          <v:rect id="_x0000_i4875" style="width:0;height:1.5pt" o:hralign="center" o:hrstd="t" o:hr="t" fillcolor="#a0a0a0" stroked="f"/>
        </w:pict>
      </w:r>
    </w:p>
    <w:p w:rsidR="006C5EBA" w:rsidRDefault="006C5EBA" w:rsidP="006C5EBA">
      <w:pPr>
        <w:pStyle w:val="berschrift2"/>
      </w:pPr>
      <w:r>
        <w:t>3.3.50.28 Definition 3.3.469 – Funktionale Vergleichsäquivalenzklasse</w:t>
      </w:r>
    </w:p>
    <w:p w:rsidR="006C5EBA" w:rsidRDefault="006C5EBA" w:rsidP="006C5EBA">
      <w:pPr>
        <w:pStyle w:val="berschrift3"/>
      </w:pPr>
      <w:r>
        <w:t>Definition 3.3.469</w:t>
      </w:r>
    </w:p>
    <w:p w:rsidR="006C5EBA" w:rsidRDefault="006C5EBA" w:rsidP="006C5EBA">
      <w:pPr>
        <w:pStyle w:val="StandardWeb"/>
      </w:pPr>
      <w:r>
        <w:lastRenderedPageBreak/>
        <w:t xml:space="preserve">Die </w:t>
      </w:r>
      <w:r>
        <w:rPr>
          <w:rStyle w:val="Fett"/>
        </w:rPr>
        <w:t>funktionale Vergleichsäquivalenzklasse</w:t>
      </w:r>
      <w:r>
        <w:t xml:space="preserve"> eines Objekts (X) ist</w:t>
      </w:r>
    </w:p>
    <w:p w:rsidR="006C5EBA" w:rsidRDefault="006C5EBA" w:rsidP="006C5EBA">
      <w:pPr>
        <w:pStyle w:val="berschrift1"/>
      </w:pPr>
      <w:r>
        <w:t>[</w:t>
      </w:r>
      <w:r>
        <w:br/>
        <w:t>\boxed{</w:t>
      </w:r>
      <w:r>
        <w:br/>
        <w:t>[X]_{\preceq}</w:t>
      </w:r>
    </w:p>
    <w:p w:rsidR="006C5EBA" w:rsidRDefault="006C5EBA" w:rsidP="006C5EBA">
      <w:pPr>
        <w:pStyle w:val="StandardWeb"/>
      </w:pPr>
      <w:r>
        <w:t>{</w:t>
      </w:r>
      <w:r>
        <w:br/>
        <w:t>Y\in\mathcal X_F:</w:t>
      </w:r>
      <w:r>
        <w:br/>
        <w:t>Y\sim_{\preceq}X</w:t>
      </w:r>
      <w:r>
        <w:br/>
        <w:t>}.</w:t>
      </w:r>
      <w:r>
        <w:br/>
        <w:t>}</w:t>
      </w:r>
      <w:r>
        <w:br/>
        <w:t>\tag{3.12964}</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\boxed{[X]_{\preceq}=\{Y\in\mathcal X_F:Y\sim_{\preceq}X\}.}</w:t>
      </w:r>
    </w:p>
    <w:p w:rsidR="006C5EBA" w:rsidRDefault="00E50336" w:rsidP="006C5EBA">
      <w:r>
        <w:pict>
          <v:rect id="_x0000_i4876" style="width:0;height:1.5pt" o:hralign="center" o:hrstd="t" o:hr="t" fillcolor="#a0a0a0" stroked="f"/>
        </w:pict>
      </w:r>
    </w:p>
    <w:p w:rsidR="006C5EBA" w:rsidRDefault="006C5EBA" w:rsidP="006C5EBA">
      <w:pPr>
        <w:pStyle w:val="berschrift2"/>
      </w:pPr>
      <w:r>
        <w:t>3.3.50.29 Ordnung auf Äquivalenzklassen</w:t>
      </w:r>
    </w:p>
    <w:p w:rsidR="006C5EBA" w:rsidRDefault="006C5EBA" w:rsidP="006C5EBA">
      <w:pPr>
        <w:pStyle w:val="StandardWeb"/>
      </w:pPr>
      <w:r>
        <w:t>Auf den Äquivalenzklassen kann eine induzierte Relation definiert werden:</w:t>
      </w:r>
    </w:p>
    <w:p w:rsidR="006C5EBA" w:rsidRDefault="006C5EBA" w:rsidP="006C5EBA">
      <w:pPr>
        <w:pStyle w:val="StandardWeb"/>
      </w:pPr>
      <w:r>
        <w:t>[</w:t>
      </w:r>
      <w:r>
        <w:br/>
        <w:t>[X]</w:t>
      </w:r>
      <w:r>
        <w:rPr>
          <w:rStyle w:val="Hervorhebung"/>
        </w:rPr>
        <w:t>{\preceq}</w:t>
      </w:r>
      <w:r>
        <w:rPr>
          <w:i/>
          <w:iCs/>
        </w:rPr>
        <w:br/>
      </w:r>
      <w:r>
        <w:rPr>
          <w:rStyle w:val="Hervorhebung"/>
        </w:rPr>
        <w:t>\preceq_F^{*}</w:t>
      </w:r>
      <w:r>
        <w:rPr>
          <w:i/>
          <w:iCs/>
        </w:rPr>
        <w:br/>
      </w:r>
      <w:r>
        <w:rPr>
          <w:rStyle w:val="Hervorhebung"/>
        </w:rPr>
        <w:t>[Y]</w:t>
      </w:r>
      <w:r>
        <w:t>{\preceq}</w:t>
      </w:r>
      <w:r>
        <w:br/>
        <w:t>\Longleftrightarrow</w:t>
      </w:r>
      <w:r>
        <w:br/>
        <w:t>X\preceq_F Y.</w:t>
      </w:r>
      <w:r>
        <w:br/>
        <w:t>\tag{3.12965}</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[X]_{\preceq}\preceq_F^{*}[Y]_{\preceq}\Longleftrightarrow X\preceq_F Y</w:t>
      </w:r>
    </w:p>
    <w:p w:rsidR="006C5EBA" w:rsidRDefault="00E50336" w:rsidP="006C5EBA">
      <w:r>
        <w:pict>
          <v:rect id="_x0000_i4877" style="width:0;height:1.5pt" o:hralign="center" o:hrstd="t" o:hr="t" fillcolor="#a0a0a0" stroked="f"/>
        </w:pict>
      </w:r>
    </w:p>
    <w:p w:rsidR="006C5EBA" w:rsidRDefault="006C5EBA" w:rsidP="006C5EBA">
      <w:pPr>
        <w:pStyle w:val="berschrift2"/>
      </w:pPr>
      <w:r>
        <w:t>3.3.50.30 Definition 3.3.470 – Quotientenordnung einer funktionalen Präordnung</w:t>
      </w:r>
    </w:p>
    <w:p w:rsidR="006C5EBA" w:rsidRDefault="006C5EBA" w:rsidP="006C5EBA">
      <w:pPr>
        <w:pStyle w:val="berschrift3"/>
      </w:pPr>
      <w:r>
        <w:t>Definition 3.3.470</w:t>
      </w:r>
    </w:p>
    <w:p w:rsidR="006C5EBA" w:rsidRDefault="006C5EBA" w:rsidP="006C5EBA">
      <w:pPr>
        <w:pStyle w:val="StandardWeb"/>
      </w:pPr>
      <w:r>
        <w:t>Die durch eine Präordnung induzierte Relation auf den Vergleichsäquivalenzklassen lautet</w:t>
      </w:r>
    </w:p>
    <w:p w:rsidR="006C5EBA" w:rsidRDefault="006C5EBA" w:rsidP="006C5EBA">
      <w:pPr>
        <w:pStyle w:val="StandardWeb"/>
      </w:pPr>
      <w:r>
        <w:t>[</w:t>
      </w:r>
      <w:r>
        <w:br/>
        <w:t>\boxed{</w:t>
      </w:r>
      <w:r>
        <w:br/>
        <w:t>[X]</w:t>
      </w:r>
      <w:r>
        <w:rPr>
          <w:rStyle w:val="Hervorhebung"/>
        </w:rPr>
        <w:t>{\preceq}</w:t>
      </w:r>
      <w:r>
        <w:rPr>
          <w:i/>
          <w:iCs/>
        </w:rPr>
        <w:br/>
      </w:r>
      <w:r>
        <w:rPr>
          <w:rStyle w:val="Hervorhebung"/>
        </w:rPr>
        <w:t>\preceq_F^{*}</w:t>
      </w:r>
      <w:r>
        <w:rPr>
          <w:i/>
          <w:iCs/>
        </w:rPr>
        <w:br/>
      </w:r>
      <w:r>
        <w:rPr>
          <w:rStyle w:val="Hervorhebung"/>
        </w:rPr>
        <w:lastRenderedPageBreak/>
        <w:t>[Y]</w:t>
      </w:r>
      <w:r>
        <w:t>{\preceq}</w:t>
      </w:r>
      <w:r>
        <w:br/>
        <w:t>\Longleftrightarrow</w:t>
      </w:r>
      <w:r>
        <w:br/>
        <w:t>X\preceq_F Y.</w:t>
      </w:r>
      <w:r>
        <w:br/>
        <w:t>}</w:t>
      </w:r>
      <w:r>
        <w:br/>
        <w:t>\tag{3.12966}</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\boxed{[X]_{\preceq}\preceq_F^{*}[Y]_{\preceq}\Longleftrightarrow X\preceq_F Y.}</w:t>
      </w:r>
    </w:p>
    <w:p w:rsidR="006C5EBA" w:rsidRDefault="00E50336" w:rsidP="006C5EBA">
      <w:r>
        <w:pict>
          <v:rect id="_x0000_i4878" style="width:0;height:1.5pt" o:hralign="center" o:hrstd="t" o:hr="t" fillcolor="#a0a0a0" stroked="f"/>
        </w:pict>
      </w:r>
    </w:p>
    <w:p w:rsidR="006C5EBA" w:rsidRDefault="006C5EBA" w:rsidP="006C5EBA">
      <w:pPr>
        <w:pStyle w:val="berschrift2"/>
      </w:pPr>
      <w:r>
        <w:t>3.3.50.31 Satz 3.3.181 – Die Quotientenrelation einer Präordnung ist antisymmetrisch</w:t>
      </w:r>
    </w:p>
    <w:p w:rsidR="006C5EBA" w:rsidRDefault="006C5EBA" w:rsidP="006C5EBA">
      <w:pPr>
        <w:pStyle w:val="berschrift3"/>
      </w:pPr>
      <w:r>
        <w:t>Satz 3.3.181</w:t>
      </w:r>
    </w:p>
    <w:p w:rsidR="006C5EBA" w:rsidRDefault="006C5EBA" w:rsidP="006C5EBA">
      <w:pPr>
        <w:pStyle w:val="StandardWeb"/>
      </w:pPr>
      <w:r>
        <w:t>Ist (\preceq_F) eine Präordnung und wird nach der Vergleichsäquivalenz</w:t>
      </w:r>
    </w:p>
    <w:p w:rsidR="006C5EBA" w:rsidRDefault="006C5EBA" w:rsidP="006C5EBA">
      <w:pPr>
        <w:pStyle w:val="StandardWeb"/>
      </w:pPr>
      <w:r>
        <w:t>[</w:t>
      </w:r>
      <w:r>
        <w:br/>
        <w:t>X\sim_{\preceq}Y</w:t>
      </w:r>
      <w:r>
        <w:br/>
        <w:t>\tag{3.12967}</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X\sim_{\preceq}Y</w:t>
      </w:r>
    </w:p>
    <w:p w:rsidR="006C5EBA" w:rsidRDefault="006C5EBA" w:rsidP="006C5EBA">
      <w:pPr>
        <w:pStyle w:val="StandardWeb"/>
      </w:pPr>
      <w:r>
        <w:t>quotientiert, dann ist die induzierte Relation (\preceq_F^{*}) antisymmetrisch.</w:t>
      </w:r>
    </w:p>
    <w:p w:rsidR="006C5EBA" w:rsidRDefault="006C5EBA" w:rsidP="006C5EBA">
      <w:pPr>
        <w:pStyle w:val="StandardWeb"/>
      </w:pPr>
      <w:r>
        <w:t>Formal gilt</w:t>
      </w:r>
    </w:p>
    <w:p w:rsidR="006C5EBA" w:rsidRDefault="006C5EBA" w:rsidP="006C5EBA">
      <w:pPr>
        <w:pStyle w:val="berschrift1"/>
      </w:pPr>
      <w:r>
        <w:t>[</w:t>
      </w:r>
      <w:r>
        <w:br/>
        <w:t>\boxed{</w:t>
      </w:r>
      <w:r>
        <w:br/>
        <w:t>[X]</w:t>
      </w:r>
      <w:r>
        <w:rPr>
          <w:rStyle w:val="Hervorhebung"/>
        </w:rPr>
        <w:t>{\preceq}</w:t>
      </w:r>
      <w:r>
        <w:rPr>
          <w:i/>
          <w:iCs/>
        </w:rPr>
        <w:br/>
      </w:r>
      <w:r>
        <w:rPr>
          <w:rStyle w:val="Hervorhebung"/>
        </w:rPr>
        <w:t>\preceq_F^{*}</w:t>
      </w:r>
      <w:r>
        <w:rPr>
          <w:i/>
          <w:iCs/>
        </w:rPr>
        <w:br/>
      </w:r>
      <w:r>
        <w:rPr>
          <w:rStyle w:val="Hervorhebung"/>
        </w:rPr>
        <w:t>[Y]</w:t>
      </w:r>
      <w:r>
        <w:t>{\preceq}</w:t>
      </w:r>
      <w:r>
        <w:br/>
        <w:t>\land</w:t>
      </w:r>
      <w:r>
        <w:br/>
        <w:t>[Y]</w:t>
      </w:r>
      <w:r>
        <w:rPr>
          <w:rStyle w:val="Hervorhebung"/>
        </w:rPr>
        <w:t>{\preceq}</w:t>
      </w:r>
      <w:r>
        <w:rPr>
          <w:i/>
          <w:iCs/>
        </w:rPr>
        <w:br/>
      </w:r>
      <w:r>
        <w:rPr>
          <w:rStyle w:val="Hervorhebung"/>
        </w:rPr>
        <w:t>\preceq_F^{*}</w:t>
      </w:r>
      <w:r>
        <w:rPr>
          <w:i/>
          <w:iCs/>
        </w:rPr>
        <w:br/>
      </w:r>
      <w:r>
        <w:rPr>
          <w:rStyle w:val="Hervorhebung"/>
        </w:rPr>
        <w:t>[X]</w:t>
      </w:r>
      <w:r>
        <w:t>{\preceq}</w:t>
      </w:r>
      <w:r>
        <w:br/>
      </w:r>
      <w:r>
        <w:lastRenderedPageBreak/>
        <w:t>\Rightarrow</w:t>
      </w:r>
      <w:r>
        <w:br/>
        <w:t>[X]_{\preceq}</w:t>
      </w:r>
    </w:p>
    <w:p w:rsidR="006C5EBA" w:rsidRDefault="006C5EBA" w:rsidP="006C5EBA">
      <w:pPr>
        <w:pStyle w:val="StandardWeb"/>
      </w:pPr>
      <w:r>
        <w:t>[Y]_{\preceq}.</w:t>
      </w:r>
      <w:r>
        <w:br/>
        <w:t>}</w:t>
      </w:r>
      <w:r>
        <w:br/>
        <w:t>\tag{3.12968}</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\boxed{[X]_{\preceq}\preceq_F^{*}[Y]_{\preceq}\land[Y]_{\preceq}\preceq_F^{*}[X]_{\preceq}\Rightarrow[X]_{\preceq}=[Y]_{\preceq}.}</w:t>
      </w:r>
    </w:p>
    <w:p w:rsidR="006C5EBA" w:rsidRDefault="006C5EBA" w:rsidP="006C5EBA">
      <w:pPr>
        <w:pStyle w:val="berschrift3"/>
      </w:pPr>
      <w:r>
        <w:t>Beweis</w:t>
      </w:r>
    </w:p>
    <w:p w:rsidR="006C5EBA" w:rsidRDefault="006C5EBA" w:rsidP="006C5EBA">
      <w:pPr>
        <w:pStyle w:val="StandardWeb"/>
      </w:pPr>
      <w:r>
        <w:t>Aus</w:t>
      </w:r>
    </w:p>
    <w:p w:rsidR="006C5EBA" w:rsidRDefault="006C5EBA" w:rsidP="006C5EBA">
      <w:pPr>
        <w:pStyle w:val="StandardWeb"/>
      </w:pPr>
      <w:r>
        <w:t>[</w:t>
      </w:r>
      <w:r>
        <w:br/>
        <w:t>[X]</w:t>
      </w:r>
      <w:r>
        <w:rPr>
          <w:rStyle w:val="Hervorhebung"/>
        </w:rPr>
        <w:t>{\preceq}</w:t>
      </w:r>
      <w:r>
        <w:rPr>
          <w:i/>
          <w:iCs/>
        </w:rPr>
        <w:br/>
      </w:r>
      <w:r>
        <w:rPr>
          <w:rStyle w:val="Hervorhebung"/>
        </w:rPr>
        <w:t>\preceq_F^{*}</w:t>
      </w:r>
      <w:r>
        <w:rPr>
          <w:i/>
          <w:iCs/>
        </w:rPr>
        <w:br/>
      </w:r>
      <w:r>
        <w:rPr>
          <w:rStyle w:val="Hervorhebung"/>
        </w:rPr>
        <w:t>[Y]</w:t>
      </w:r>
      <w:r>
        <w:t>{\preceq}</w:t>
      </w:r>
      <w:r>
        <w:br/>
        <w:t>\tag{3.12969}</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[X]_{\preceq}\preceq_F^{*}[Y]_{\preceq}</w:t>
      </w:r>
    </w:p>
    <w:p w:rsidR="006C5EBA" w:rsidRDefault="006C5EBA" w:rsidP="006C5EBA">
      <w:pPr>
        <w:pStyle w:val="StandardWeb"/>
      </w:pPr>
      <w:r>
        <w:t>folgt nach Definition</w:t>
      </w:r>
    </w:p>
    <w:p w:rsidR="006C5EBA" w:rsidRDefault="006C5EBA" w:rsidP="006C5EBA">
      <w:pPr>
        <w:pStyle w:val="StandardWeb"/>
      </w:pPr>
      <w:r>
        <w:t>[</w:t>
      </w:r>
      <w:r>
        <w:br/>
        <w:t>X\preceq_F Y.</w:t>
      </w:r>
      <w:r>
        <w:br/>
        <w:t>\tag{3.12970}</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X\preceq_F Y</w:t>
      </w:r>
    </w:p>
    <w:p w:rsidR="006C5EBA" w:rsidRDefault="006C5EBA" w:rsidP="006C5EBA">
      <w:pPr>
        <w:pStyle w:val="StandardWeb"/>
      </w:pPr>
      <w:r>
        <w:t>Aus der umgekehrten Relation folgt</w:t>
      </w:r>
    </w:p>
    <w:p w:rsidR="006C5EBA" w:rsidRDefault="006C5EBA" w:rsidP="006C5EBA">
      <w:pPr>
        <w:pStyle w:val="StandardWeb"/>
      </w:pPr>
      <w:r>
        <w:t>[</w:t>
      </w:r>
      <w:r>
        <w:br/>
        <w:t>Y\preceq_F X.</w:t>
      </w:r>
      <w:r>
        <w:br/>
        <w:t>\tag{3.12971}</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Y\preceq_F X</w:t>
      </w:r>
    </w:p>
    <w:p w:rsidR="006C5EBA" w:rsidRDefault="006C5EBA" w:rsidP="006C5EBA">
      <w:pPr>
        <w:pStyle w:val="StandardWeb"/>
      </w:pPr>
      <w:r>
        <w:t>Damit gilt</w:t>
      </w:r>
    </w:p>
    <w:p w:rsidR="006C5EBA" w:rsidRDefault="006C5EBA" w:rsidP="006C5EBA">
      <w:pPr>
        <w:pStyle w:val="StandardWeb"/>
      </w:pPr>
      <w:r>
        <w:lastRenderedPageBreak/>
        <w:t>[</w:t>
      </w:r>
      <w:r>
        <w:br/>
        <w:t>X\sim_{\preceq}Y.</w:t>
      </w:r>
      <w:r>
        <w:br/>
        <w:t>\tag{3.12972}</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X\sim_{\preceq}Y</w:t>
      </w:r>
    </w:p>
    <w:p w:rsidR="006C5EBA" w:rsidRDefault="006C5EBA" w:rsidP="006C5EBA">
      <w:pPr>
        <w:pStyle w:val="StandardWeb"/>
      </w:pPr>
      <w:r>
        <w:t>Folglich repräsentieren beide Elemente dieselbe Äquivalenzklasse:</w:t>
      </w:r>
    </w:p>
    <w:p w:rsidR="006C5EBA" w:rsidRDefault="006C5EBA" w:rsidP="006C5EBA">
      <w:pPr>
        <w:pStyle w:val="berschrift1"/>
      </w:pPr>
      <w:r>
        <w:t>[</w:t>
      </w:r>
      <w:r>
        <w:br/>
        <w:t>[X]_{\preceq}</w:t>
      </w:r>
    </w:p>
    <w:p w:rsidR="006C5EBA" w:rsidRDefault="006C5EBA" w:rsidP="006C5EBA">
      <w:pPr>
        <w:pStyle w:val="StandardWeb"/>
      </w:pPr>
      <w:r>
        <w:t>[Y]_{\preceq}.</w:t>
      </w:r>
      <w:r>
        <w:br/>
        <w:t>\tag{3.12973}</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[X]_{\preceq}=[Y]_{\preceq}</w:t>
      </w:r>
    </w:p>
    <w:p w:rsidR="006C5EBA" w:rsidRDefault="006C5EBA" w:rsidP="006C5EBA">
      <w:pPr>
        <w:pStyle w:val="StandardWeb"/>
      </w:pPr>
      <w:r>
        <w:t>(\square)</w:t>
      </w:r>
    </w:p>
    <w:p w:rsidR="006C5EBA" w:rsidRDefault="00E50336" w:rsidP="006C5EBA">
      <w:r>
        <w:pict>
          <v:rect id="_x0000_i4879" style="width:0;height:1.5pt" o:hralign="center" o:hrstd="t" o:hr="t" fillcolor="#a0a0a0" stroked="f"/>
        </w:pict>
      </w:r>
    </w:p>
    <w:p w:rsidR="006C5EBA" w:rsidRDefault="006C5EBA" w:rsidP="006C5EBA">
      <w:pPr>
        <w:pStyle w:val="berschrift2"/>
      </w:pPr>
      <w:r>
        <w:t>3.3.50.32 Prioritätsrelation</w:t>
      </w:r>
    </w:p>
    <w:p w:rsidR="006C5EBA" w:rsidRDefault="006C5EBA" w:rsidP="006C5EBA">
      <w:pPr>
        <w:pStyle w:val="StandardWeb"/>
      </w:pPr>
      <w:r>
        <w:t>Neben einer allgemeinen Vergleichsrelation kann eine speziell interpretierte Prioritätsrelation definiert werden.</w:t>
      </w:r>
    </w:p>
    <w:p w:rsidR="006C5EBA" w:rsidRDefault="006C5EBA" w:rsidP="006C5EBA">
      <w:pPr>
        <w:pStyle w:val="StandardWeb"/>
      </w:pPr>
      <w:r>
        <w:t>Ich schreibe</w:t>
      </w:r>
    </w:p>
    <w:p w:rsidR="006C5EBA" w:rsidRDefault="006C5EBA" w:rsidP="006C5EBA">
      <w:pPr>
        <w:pStyle w:val="StandardWeb"/>
      </w:pPr>
      <w:r>
        <w:t>[</w:t>
      </w:r>
      <w:r>
        <w:br/>
        <w:t>X_i</w:t>
      </w:r>
      <w:r>
        <w:br/>
        <w:t>\triangleleft_F</w:t>
      </w:r>
      <w:r>
        <w:br/>
        <w:t>X_j.</w:t>
      </w:r>
      <w:r>
        <w:br/>
        <w:t>\tag{3.12974}</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X_i\triangleleft_F X_j</w:t>
      </w:r>
    </w:p>
    <w:p w:rsidR="006C5EBA" w:rsidRDefault="006C5EBA" w:rsidP="006C5EBA">
      <w:pPr>
        <w:pStyle w:val="StandardWeb"/>
      </w:pPr>
      <w:r>
        <w:t>Dabei bedeutet die Relation zunächst nur, dass (X_i) im betrachteten Modell gegenüber (X_j) nach dem festgelegten Prioritätskriterium vorgeordnet wird.</w:t>
      </w:r>
    </w:p>
    <w:p w:rsidR="006C5EBA" w:rsidRDefault="00E50336" w:rsidP="006C5EBA">
      <w:r>
        <w:pict>
          <v:rect id="_x0000_i4880" style="width:0;height:1.5pt" o:hralign="center" o:hrstd="t" o:hr="t" fillcolor="#a0a0a0" stroked="f"/>
        </w:pict>
      </w:r>
    </w:p>
    <w:p w:rsidR="006C5EBA" w:rsidRDefault="006C5EBA" w:rsidP="006C5EBA">
      <w:pPr>
        <w:pStyle w:val="berschrift2"/>
      </w:pPr>
      <w:r>
        <w:t>3.3.50.33 Definition 3.3.471 – Funktionale Prioritätsrelation</w:t>
      </w:r>
    </w:p>
    <w:p w:rsidR="006C5EBA" w:rsidRDefault="006C5EBA" w:rsidP="006C5EBA">
      <w:pPr>
        <w:pStyle w:val="berschrift3"/>
      </w:pPr>
      <w:r>
        <w:lastRenderedPageBreak/>
        <w:t>Definition 3.3.471</w:t>
      </w:r>
    </w:p>
    <w:p w:rsidR="006C5EBA" w:rsidRDefault="006C5EBA" w:rsidP="006C5EBA">
      <w:pPr>
        <w:pStyle w:val="StandardWeb"/>
      </w:pPr>
      <w:r>
        <w:t xml:space="preserve">Eine </w:t>
      </w:r>
      <w:r>
        <w:rPr>
          <w:rStyle w:val="Fett"/>
        </w:rPr>
        <w:t>funktionale Prioritätsrelation</w:t>
      </w:r>
      <w:r>
        <w:t xml:space="preserve"> ist eine binäre Relation</w:t>
      </w:r>
    </w:p>
    <w:p w:rsidR="006C5EBA" w:rsidRDefault="006C5EBA" w:rsidP="006C5EBA">
      <w:pPr>
        <w:pStyle w:val="StandardWeb"/>
      </w:pPr>
      <w:r>
        <w:t>[</w:t>
      </w:r>
      <w:r>
        <w:br/>
        <w:t>\boxed{</w:t>
      </w:r>
      <w:r>
        <w:br/>
        <w:t>\triangleleft_F</w:t>
      </w:r>
      <w:r>
        <w:br/>
        <w:t>\subseteq</w:t>
      </w:r>
      <w:r>
        <w:br/>
        <w:t>\mathcal X_F\times\mathcal X_F,</w:t>
      </w:r>
      <w:r>
        <w:br/>
        <w:t>}</w:t>
      </w:r>
      <w:r>
        <w:br/>
        <w:t>\tag{3.12975}</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\boxed{\triangleleft_F\subseteq\mathcal X_F\times\mathcal X_F,}</w:t>
      </w:r>
    </w:p>
    <w:p w:rsidR="006C5EBA" w:rsidRDefault="006C5EBA" w:rsidP="006C5EBA">
      <w:pPr>
        <w:pStyle w:val="StandardWeb"/>
      </w:pPr>
      <w:r>
        <w:t>deren semantische Bedeutung als Priorität in der jeweiligen Modellklasse ausdrücklich definiert wird.</w:t>
      </w:r>
    </w:p>
    <w:p w:rsidR="006C5EBA" w:rsidRDefault="00E50336" w:rsidP="006C5EBA">
      <w:r>
        <w:pict>
          <v:rect id="_x0000_i4881" style="width:0;height:1.5pt" o:hralign="center" o:hrstd="t" o:hr="t" fillcolor="#a0a0a0" stroked="f"/>
        </w:pict>
      </w:r>
    </w:p>
    <w:p w:rsidR="006C5EBA" w:rsidRDefault="006C5EBA" w:rsidP="006C5EBA">
      <w:pPr>
        <w:pStyle w:val="berschrift2"/>
      </w:pPr>
      <w:r>
        <w:t>3.3.50.34 Priorität ist nicht Kausalität</w:t>
      </w:r>
    </w:p>
    <w:p w:rsidR="006C5EBA" w:rsidRDefault="006C5EBA" w:rsidP="006C5EBA">
      <w:pPr>
        <w:pStyle w:val="StandardWeb"/>
      </w:pPr>
      <w:r>
        <w:t>Aus</w:t>
      </w:r>
    </w:p>
    <w:p w:rsidR="006C5EBA" w:rsidRDefault="006C5EBA" w:rsidP="006C5EBA">
      <w:pPr>
        <w:pStyle w:val="StandardWeb"/>
      </w:pPr>
      <w:r>
        <w:t>[</w:t>
      </w:r>
      <w:r>
        <w:br/>
        <w:t>X</w:t>
      </w:r>
      <w:r>
        <w:br/>
        <w:t>\triangleleft_F</w:t>
      </w:r>
      <w:r>
        <w:br/>
        <w:t>Y</w:t>
      </w:r>
      <w:r>
        <w:br/>
        <w:t>\tag{3.12976}</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X\triangleleft_F Y</w:t>
      </w:r>
    </w:p>
    <w:p w:rsidR="006C5EBA" w:rsidRDefault="006C5EBA" w:rsidP="006C5EBA">
      <w:pPr>
        <w:pStyle w:val="StandardWeb"/>
      </w:pPr>
      <w:r>
        <w:t>folgt nicht</w:t>
      </w:r>
    </w:p>
    <w:p w:rsidR="006C5EBA" w:rsidRDefault="006C5EBA" w:rsidP="006C5EBA">
      <w:pPr>
        <w:pStyle w:val="StandardWeb"/>
      </w:pPr>
      <w:r>
        <w:t>[</w:t>
      </w:r>
      <w:r>
        <w:br/>
        <w:t>X</w:t>
      </w:r>
      <w:r>
        <w:br/>
        <w:t>\rightsquigarrow</w:t>
      </w:r>
      <w:r>
        <w:br/>
        <w:t>Y.</w:t>
      </w:r>
      <w:r>
        <w:br/>
        <w:t>\tag{3.12977}</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X\rightsquigarrow Y</w:t>
      </w:r>
    </w:p>
    <w:p w:rsidR="006C5EBA" w:rsidRDefault="006C5EBA" w:rsidP="006C5EBA">
      <w:pPr>
        <w:pStyle w:val="StandardWeb"/>
      </w:pPr>
      <w:r>
        <w:t>Ebenso folgt aus einer Einflussrelation nicht automatisch eine Prioritätsrelation.</w:t>
      </w:r>
    </w:p>
    <w:p w:rsidR="006C5EBA" w:rsidRDefault="006C5EBA" w:rsidP="006C5EBA">
      <w:pPr>
        <w:pStyle w:val="StandardWeb"/>
      </w:pPr>
      <w:r>
        <w:lastRenderedPageBreak/>
        <w:t>Daher gilt</w:t>
      </w:r>
    </w:p>
    <w:p w:rsidR="006C5EBA" w:rsidRDefault="006C5EBA" w:rsidP="006C5EBA">
      <w:pPr>
        <w:pStyle w:val="StandardWeb"/>
      </w:pPr>
      <w:r>
        <w:t>[</w:t>
      </w:r>
      <w:r>
        <w:br/>
        <w:t>\boxed{</w:t>
      </w:r>
      <w:r>
        <w:br/>
        <w:t>\triangleleft_F</w:t>
      </w:r>
      <w:r>
        <w:br/>
        <w:t>\not\equiv</w:t>
      </w:r>
      <w:r>
        <w:br/>
        <w:t>\rightsquigarrow.</w:t>
      </w:r>
      <w:r>
        <w:br/>
        <w:t>}</w:t>
      </w:r>
      <w:r>
        <w:br/>
        <w:t>\tag{3.12978}</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\boxed{\triangleleft_F\not\equiv\rightsquigarrow.}</w:t>
      </w:r>
    </w:p>
    <w:p w:rsidR="006C5EBA" w:rsidRDefault="00E50336" w:rsidP="006C5EBA">
      <w:r>
        <w:pict>
          <v:rect id="_x0000_i4882" style="width:0;height:1.5pt" o:hralign="center" o:hrstd="t" o:hr="t" fillcolor="#a0a0a0" stroked="f"/>
        </w:pict>
      </w:r>
    </w:p>
    <w:p w:rsidR="006C5EBA" w:rsidRDefault="006C5EBA" w:rsidP="006C5EBA">
      <w:pPr>
        <w:pStyle w:val="berschrift2"/>
      </w:pPr>
      <w:r>
        <w:t>3.3.50.35 Priorität ist nicht Zeitordnung</w:t>
      </w:r>
    </w:p>
    <w:p w:rsidR="006C5EBA" w:rsidRDefault="006C5EBA" w:rsidP="006C5EBA">
      <w:pPr>
        <w:pStyle w:val="StandardWeb"/>
      </w:pPr>
      <w:r>
        <w:t>Auch</w:t>
      </w:r>
    </w:p>
    <w:p w:rsidR="006C5EBA" w:rsidRDefault="006C5EBA" w:rsidP="006C5EBA">
      <w:pPr>
        <w:pStyle w:val="StandardWeb"/>
      </w:pPr>
      <w:r>
        <w:t>[</w:t>
      </w:r>
      <w:r>
        <w:br/>
        <w:t>X</w:t>
      </w:r>
      <w:r>
        <w:br/>
        <w:t>\triangleleft_F</w:t>
      </w:r>
      <w:r>
        <w:br/>
        <w:t>Y</w:t>
      </w:r>
      <w:r>
        <w:br/>
        <w:t>\tag{3.12979}</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X\triangleleft_F Y</w:t>
      </w:r>
    </w:p>
    <w:p w:rsidR="006C5EBA" w:rsidRDefault="006C5EBA" w:rsidP="006C5EBA">
      <w:pPr>
        <w:pStyle w:val="StandardWeb"/>
      </w:pPr>
      <w:r>
        <w:t>bedeutet nicht notwendig</w:t>
      </w:r>
    </w:p>
    <w:p w:rsidR="006C5EBA" w:rsidRDefault="006C5EBA" w:rsidP="006C5EBA">
      <w:pPr>
        <w:pStyle w:val="StandardWeb"/>
      </w:pPr>
      <w:r>
        <w:t>[</w:t>
      </w:r>
      <w:r>
        <w:br/>
        <w:t>\tau(X)</w:t>
      </w:r>
      <w:r>
        <w:br/>
        <w:t>&lt;</w:t>
      </w:r>
      <w:r>
        <w:br/>
        <w:t>\tau(Y).</w:t>
      </w:r>
      <w:r>
        <w:br/>
        <w:t>\tag{3.12980}</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\tau(X)&lt;\tau(Y)</w:t>
      </w:r>
    </w:p>
    <w:p w:rsidR="006C5EBA" w:rsidRDefault="006C5EBA" w:rsidP="006C5EBA">
      <w:pPr>
        <w:pStyle w:val="StandardWeb"/>
      </w:pPr>
      <w:r>
        <w:t>Damit bleibt die Prioritätsrelation grundsätzlich von einer zeitlichen Ordnung getrennt.</w:t>
      </w:r>
    </w:p>
    <w:p w:rsidR="006C5EBA" w:rsidRDefault="00E50336" w:rsidP="006C5EBA">
      <w:r>
        <w:pict>
          <v:rect id="_x0000_i4883" style="width:0;height:1.5pt" o:hralign="center" o:hrstd="t" o:hr="t" fillcolor="#a0a0a0" stroked="f"/>
        </w:pict>
      </w:r>
    </w:p>
    <w:p w:rsidR="006C5EBA" w:rsidRDefault="006C5EBA" w:rsidP="006C5EBA">
      <w:pPr>
        <w:pStyle w:val="berschrift2"/>
      </w:pPr>
      <w:r>
        <w:t>3.3.50.36 Definition 3.3.472 – Funktionale Prioritäts-Zeit-Trennung</w:t>
      </w:r>
    </w:p>
    <w:p w:rsidR="006C5EBA" w:rsidRDefault="006C5EBA" w:rsidP="006C5EBA">
      <w:pPr>
        <w:pStyle w:val="berschrift3"/>
      </w:pPr>
      <w:r>
        <w:lastRenderedPageBreak/>
        <w:t>Definition 3.3.472</w:t>
      </w:r>
    </w:p>
    <w:p w:rsidR="006C5EBA" w:rsidRDefault="006C5EBA" w:rsidP="006C5EBA">
      <w:pPr>
        <w:pStyle w:val="StandardWeb"/>
      </w:pPr>
      <w:r>
        <w:t xml:space="preserve">Die </w:t>
      </w:r>
      <w:r>
        <w:rPr>
          <w:rStyle w:val="Fett"/>
        </w:rPr>
        <w:t>funktionale Prioritäts-Zeit-Trennung</w:t>
      </w:r>
      <w:r>
        <w:t xml:space="preserve"> bezeichnet die methodische Festlegung</w:t>
      </w:r>
    </w:p>
    <w:p w:rsidR="006C5EBA" w:rsidRDefault="006C5EBA" w:rsidP="006C5EBA">
      <w:pPr>
        <w:pStyle w:val="StandardWeb"/>
      </w:pPr>
      <w:r>
        <w:t>[</w:t>
      </w:r>
      <w:r>
        <w:br/>
        <w:t>\boxed{</w:t>
      </w:r>
      <w:r>
        <w:br/>
        <w:t>X\triangleleft_F Y</w:t>
      </w:r>
      <w:r>
        <w:br/>
        <w:t>\not\Rightarrow</w:t>
      </w:r>
      <w:r>
        <w:br/>
        <w:t>\tau(X)&lt;\tau(Y).</w:t>
      </w:r>
      <w:r>
        <w:br/>
        <w:t>}</w:t>
      </w:r>
      <w:r>
        <w:br/>
        <w:t>\tag{3.12981}</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\boxed{X\triangleleft_F Y\not\Rightarrow\tau(X)&lt;\tau(Y).}</w:t>
      </w:r>
    </w:p>
    <w:p w:rsidR="006C5EBA" w:rsidRDefault="00E50336" w:rsidP="006C5EBA">
      <w:r>
        <w:pict>
          <v:rect id="_x0000_i4884" style="width:0;height:1.5pt" o:hralign="center" o:hrstd="t" o:hr="t" fillcolor="#a0a0a0" stroked="f"/>
        </w:pict>
      </w:r>
    </w:p>
    <w:p w:rsidR="006C5EBA" w:rsidRDefault="006C5EBA" w:rsidP="006C5EBA">
      <w:pPr>
        <w:pStyle w:val="berschrift2"/>
      </w:pPr>
      <w:r>
        <w:t>3.3.50.37 Priorität ist nicht Wert</w:t>
      </w:r>
    </w:p>
    <w:p w:rsidR="006C5EBA" w:rsidRDefault="006C5EBA" w:rsidP="006C5EBA">
      <w:pPr>
        <w:pStyle w:val="StandardWeb"/>
      </w:pPr>
      <w:r>
        <w:t>Eine Prioritätsrelation muss auch nicht aus einem skalaren Wert resultieren.</w:t>
      </w:r>
    </w:p>
    <w:p w:rsidR="006C5EBA" w:rsidRDefault="006C5EBA" w:rsidP="006C5EBA">
      <w:pPr>
        <w:pStyle w:val="StandardWeb"/>
      </w:pPr>
      <w:r>
        <w:t>Es kann</w:t>
      </w:r>
    </w:p>
    <w:p w:rsidR="006C5EBA" w:rsidRDefault="006C5EBA" w:rsidP="006C5EBA">
      <w:pPr>
        <w:pStyle w:val="StandardWeb"/>
      </w:pPr>
      <w:r>
        <w:t>[</w:t>
      </w:r>
      <w:r>
        <w:br/>
        <w:t>X\triangleleft_F Y</w:t>
      </w:r>
      <w:r>
        <w:br/>
        <w:t>\tag{3.12982}</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X\triangleleft_F Y</w:t>
      </w:r>
    </w:p>
    <w:p w:rsidR="006C5EBA" w:rsidRDefault="006C5EBA" w:rsidP="006C5EBA">
      <w:pPr>
        <w:pStyle w:val="StandardWeb"/>
      </w:pPr>
      <w:r>
        <w:t>gelten, ohne dass überhaupt eine Abbildung</w:t>
      </w:r>
    </w:p>
    <w:p w:rsidR="006C5EBA" w:rsidRDefault="006C5EBA" w:rsidP="006C5EBA">
      <w:pPr>
        <w:pStyle w:val="StandardWeb"/>
      </w:pPr>
      <w:r>
        <w:t>[</w:t>
      </w:r>
      <w:r>
        <w:br/>
        <w:t>u_F:\mathcal X_F\rightarrow\mathbb R</w:t>
      </w:r>
      <w:r>
        <w:br/>
        <w:t>\tag{3.12983}</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u_F:\mathcal X_F\rightarrow\mathbb R</w:t>
      </w:r>
    </w:p>
    <w:p w:rsidR="006C5EBA" w:rsidRDefault="006C5EBA" w:rsidP="006C5EBA">
      <w:pPr>
        <w:pStyle w:val="StandardWeb"/>
      </w:pPr>
      <w:r>
        <w:t>definiert ist.</w:t>
      </w:r>
    </w:p>
    <w:p w:rsidR="006C5EBA" w:rsidRDefault="00E50336" w:rsidP="006C5EBA">
      <w:r>
        <w:pict>
          <v:rect id="_x0000_i4885" style="width:0;height:1.5pt" o:hralign="center" o:hrstd="t" o:hr="t" fillcolor="#a0a0a0" stroked="f"/>
        </w:pict>
      </w:r>
    </w:p>
    <w:p w:rsidR="006C5EBA" w:rsidRDefault="006C5EBA" w:rsidP="006C5EBA">
      <w:pPr>
        <w:pStyle w:val="berschrift2"/>
      </w:pPr>
      <w:r>
        <w:t>3.3.50.38 Auswahlmenge</w:t>
      </w:r>
    </w:p>
    <w:p w:rsidR="006C5EBA" w:rsidRDefault="006C5EBA" w:rsidP="006C5EBA">
      <w:pPr>
        <w:pStyle w:val="StandardWeb"/>
      </w:pPr>
      <w:r>
        <w:t>Aus einer Kandidatenmenge</w:t>
      </w:r>
    </w:p>
    <w:p w:rsidR="006C5EBA" w:rsidRDefault="006C5EBA" w:rsidP="006C5EBA">
      <w:pPr>
        <w:pStyle w:val="StandardWeb"/>
      </w:pPr>
      <w:r>
        <w:lastRenderedPageBreak/>
        <w:t>[</w:t>
      </w:r>
      <w:r>
        <w:br/>
        <w:t>\mathcal C_F</w:t>
      </w:r>
      <w:r>
        <w:br/>
        <w:t>\subseteq</w:t>
      </w:r>
      <w:r>
        <w:br/>
        <w:t>\mathcal X_F</w:t>
      </w:r>
      <w:r>
        <w:br/>
        <w:t>\tag{3.12984}</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\mathcal C_F\subseteq\mathcal X_F</w:t>
      </w:r>
    </w:p>
    <w:p w:rsidR="006C5EBA" w:rsidRDefault="006C5EBA" w:rsidP="006C5EBA">
      <w:pPr>
        <w:pStyle w:val="StandardWeb"/>
      </w:pPr>
      <w:r>
        <w:t>kann eine Teilmenge ausgewählt werden.</w:t>
      </w:r>
    </w:p>
    <w:p w:rsidR="006C5EBA" w:rsidRDefault="006C5EBA" w:rsidP="006C5EBA">
      <w:pPr>
        <w:pStyle w:val="StandardWeb"/>
      </w:pPr>
      <w:r>
        <w:t>Ich schreibe</w:t>
      </w:r>
    </w:p>
    <w:p w:rsidR="006C5EBA" w:rsidRDefault="006C5EBA" w:rsidP="006C5EBA">
      <w:pPr>
        <w:pStyle w:val="StandardWeb"/>
      </w:pPr>
      <w:r>
        <w:t>[</w:t>
      </w:r>
      <w:r>
        <w:br/>
        <w:t>\operatorname{Sel}_F(\mathcal C_F)</w:t>
      </w:r>
      <w:r>
        <w:br/>
        <w:t>\subseteq</w:t>
      </w:r>
      <w:r>
        <w:br/>
        <w:t>\mathcal C_F.</w:t>
      </w:r>
      <w:r>
        <w:br/>
        <w:t>\tag{3.12985}</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\operatorname{Sel}_F(\mathcal C_F)\subseteq\mathcal C_F</w:t>
      </w:r>
    </w:p>
    <w:p w:rsidR="006C5EBA" w:rsidRDefault="00E50336" w:rsidP="006C5EBA">
      <w:r>
        <w:pict>
          <v:rect id="_x0000_i4886" style="width:0;height:1.5pt" o:hralign="center" o:hrstd="t" o:hr="t" fillcolor="#a0a0a0" stroked="f"/>
        </w:pict>
      </w:r>
    </w:p>
    <w:p w:rsidR="006C5EBA" w:rsidRDefault="006C5EBA" w:rsidP="006C5EBA">
      <w:pPr>
        <w:pStyle w:val="berschrift2"/>
      </w:pPr>
      <w:r>
        <w:t>3.3.50.39 Definition 3.3.473 – Funktionaler Auswahloperator</w:t>
      </w:r>
    </w:p>
    <w:p w:rsidR="006C5EBA" w:rsidRDefault="006C5EBA" w:rsidP="006C5EBA">
      <w:pPr>
        <w:pStyle w:val="berschrift3"/>
      </w:pPr>
      <w:r>
        <w:t>Definition 3.3.473</w:t>
      </w:r>
    </w:p>
    <w:p w:rsidR="006C5EBA" w:rsidRDefault="006C5EBA" w:rsidP="006C5EBA">
      <w:pPr>
        <w:pStyle w:val="StandardWeb"/>
      </w:pPr>
      <w:r>
        <w:t xml:space="preserve">Ein </w:t>
      </w:r>
      <w:r>
        <w:rPr>
          <w:rStyle w:val="Fett"/>
        </w:rPr>
        <w:t>funktionaler Auswahloperator</w:t>
      </w:r>
      <w:r>
        <w:t xml:space="preserve"> ist eine Abbildung</w:t>
      </w:r>
    </w:p>
    <w:p w:rsidR="006C5EBA" w:rsidRDefault="006C5EBA" w:rsidP="006C5EBA">
      <w:pPr>
        <w:pStyle w:val="StandardWeb"/>
      </w:pPr>
      <w:r>
        <w:t>[</w:t>
      </w:r>
      <w:r>
        <w:br/>
        <w:t>\boxed{</w:t>
      </w:r>
      <w:r>
        <w:br/>
        <w:t>\operatorname{Sel}_F:</w:t>
      </w:r>
      <w:r>
        <w:br/>
        <w:t>\mathcal P(\mathcal X_F)</w:t>
      </w:r>
      <w:r>
        <w:br/>
        <w:t>\rightarrow</w:t>
      </w:r>
      <w:r>
        <w:br/>
        <w:t>\mathcal P(\mathcal X_F)</w:t>
      </w:r>
      <w:r>
        <w:br/>
        <w:t>}</w:t>
      </w:r>
      <w:r>
        <w:br/>
        <w:t>\tag{3.12986}</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\boxed{\operatorname{Sel}_F:\mathcal P(\mathcal X_F)\rightarrow\mathcal P(\mathcal X_F)}</w:t>
      </w:r>
    </w:p>
    <w:p w:rsidR="006C5EBA" w:rsidRDefault="006C5EBA" w:rsidP="006C5EBA">
      <w:pPr>
        <w:pStyle w:val="StandardWeb"/>
      </w:pPr>
      <w:r>
        <w:t>mit der Bedingung</w:t>
      </w:r>
    </w:p>
    <w:p w:rsidR="006C5EBA" w:rsidRDefault="006C5EBA" w:rsidP="006C5EBA">
      <w:pPr>
        <w:pStyle w:val="StandardWeb"/>
      </w:pPr>
      <w:r>
        <w:lastRenderedPageBreak/>
        <w:t>[</w:t>
      </w:r>
      <w:r>
        <w:br/>
        <w:t>\operatorname{Sel}_F(\mathcal C_F)</w:t>
      </w:r>
      <w:r>
        <w:br/>
        <w:t>\subseteq</w:t>
      </w:r>
      <w:r>
        <w:br/>
        <w:t>\mathcal C_F.</w:t>
      </w:r>
      <w:r>
        <w:br/>
        <w:t>\tag{3.12987}</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\operatorname{Sel}_F(\mathcal C_F)\subseteq\mathcal C_F</w:t>
      </w:r>
    </w:p>
    <w:p w:rsidR="006C5EBA" w:rsidRDefault="00E50336" w:rsidP="006C5EBA">
      <w:r>
        <w:pict>
          <v:rect id="_x0000_i4887" style="width:0;height:1.5pt" o:hralign="center" o:hrstd="t" o:hr="t" fillcolor="#a0a0a0" stroked="f"/>
        </w:pict>
      </w:r>
    </w:p>
    <w:p w:rsidR="006C5EBA" w:rsidRDefault="006C5EBA" w:rsidP="006C5EBA">
      <w:pPr>
        <w:pStyle w:val="berschrift2"/>
      </w:pPr>
      <w:r>
        <w:t>3.3.50.40 Leere Auswahl</w:t>
      </w:r>
    </w:p>
    <w:p w:rsidR="006C5EBA" w:rsidRDefault="006C5EBA" w:rsidP="006C5EBA">
      <w:pPr>
        <w:pStyle w:val="StandardWeb"/>
      </w:pPr>
      <w:r>
        <w:t>Der Auswahloperator kann modellabhängig auch die leere Menge zurückgeben:</w:t>
      </w:r>
    </w:p>
    <w:p w:rsidR="006C5EBA" w:rsidRDefault="006C5EBA" w:rsidP="006C5EBA">
      <w:pPr>
        <w:pStyle w:val="berschrift1"/>
      </w:pPr>
      <w:r>
        <w:t>[</w:t>
      </w:r>
      <w:r>
        <w:br/>
        <w:t>\operatorname{Sel}_F(\mathcal C_F)</w:t>
      </w:r>
    </w:p>
    <w:p w:rsidR="006C5EBA" w:rsidRDefault="006C5EBA" w:rsidP="006C5EBA">
      <w:pPr>
        <w:pStyle w:val="StandardWeb"/>
      </w:pPr>
      <w:r>
        <w:t>\varnothing.</w:t>
      </w:r>
      <w:r>
        <w:br/>
        <w:t>\tag{3.12988}</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\operatorname{Sel}_F(\mathcal C_F)=\varnothing</w:t>
      </w:r>
    </w:p>
    <w:p w:rsidR="006C5EBA" w:rsidRDefault="006C5EBA" w:rsidP="006C5EBA">
      <w:pPr>
        <w:pStyle w:val="StandardWeb"/>
      </w:pPr>
      <w:r>
        <w:t>Dies kann beispielsweise bedeuten, dass kein Kandidat die festgelegten Zulässigkeitsbedingungen erfüllt.</w:t>
      </w:r>
    </w:p>
    <w:p w:rsidR="006C5EBA" w:rsidRDefault="00E50336" w:rsidP="006C5EBA">
      <w:r>
        <w:pict>
          <v:rect id="_x0000_i4888" style="width:0;height:1.5pt" o:hralign="center" o:hrstd="t" o:hr="t" fillcolor="#a0a0a0" stroked="f"/>
        </w:pict>
      </w:r>
    </w:p>
    <w:p w:rsidR="006C5EBA" w:rsidRDefault="006C5EBA" w:rsidP="006C5EBA">
      <w:pPr>
        <w:pStyle w:val="berschrift2"/>
      </w:pPr>
      <w:r>
        <w:t>3.3.50.41 Nichtleere Auswahl als Primäraxiomkandidat</w:t>
      </w:r>
    </w:p>
    <w:p w:rsidR="006C5EBA" w:rsidRDefault="006C5EBA" w:rsidP="006C5EBA">
      <w:pPr>
        <w:pStyle w:val="StandardWeb"/>
      </w:pPr>
      <w:r>
        <w:t>Ein möglicher Primäraxiomkandidat wäre</w:t>
      </w:r>
    </w:p>
    <w:p w:rsidR="006C5EBA" w:rsidRDefault="006C5EBA" w:rsidP="006C5EBA">
      <w:pPr>
        <w:pStyle w:val="StandardWeb"/>
      </w:pPr>
      <w:r>
        <w:t>[</w:t>
      </w:r>
      <w:r>
        <w:br/>
        <w:t>A_{\mathrm{sel}}</w:t>
      </w:r>
      <w:r>
        <w:br/>
        <w:t>:</w:t>
      </w:r>
      <w:r>
        <w:br/>
        <w:t>\mathcal C_F\neq\varnothing</w:t>
      </w:r>
      <w:r>
        <w:br/>
        <w:t>\Rightarrow</w:t>
      </w:r>
      <w:r>
        <w:br/>
        <w:t>\operatorname{Sel}_F(\mathcal C_F)\neq\varnothing.</w:t>
      </w:r>
      <w:r>
        <w:br/>
        <w:t>\tag{3.12989}</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A_{\mathrm{sel}}:\mathcal C_F\neq\varnothing\Rightarrow\operatorname{Sel}_F(\mathcal C_F)\neq\varnothing</w:t>
      </w:r>
    </w:p>
    <w:p w:rsidR="006C5EBA" w:rsidRDefault="00E50336" w:rsidP="006C5EBA">
      <w:r>
        <w:lastRenderedPageBreak/>
        <w:pict>
          <v:rect id="_x0000_i4889" style="width:0;height:1.5pt" o:hralign="center" o:hrstd="t" o:hr="t" fillcolor="#a0a0a0" stroked="f"/>
        </w:pict>
      </w:r>
    </w:p>
    <w:p w:rsidR="006C5EBA" w:rsidRDefault="006C5EBA" w:rsidP="006C5EBA">
      <w:pPr>
        <w:pStyle w:val="berschrift2"/>
      </w:pPr>
      <w:r>
        <w:t>3.3.50.42 Gegenmodell zur zwingend nichtleeren Auswahl</w:t>
      </w:r>
    </w:p>
    <w:p w:rsidR="006C5EBA" w:rsidRDefault="006C5EBA" w:rsidP="006C5EBA">
      <w:pPr>
        <w:pStyle w:val="StandardWeb"/>
      </w:pPr>
      <w:r>
        <w:t>Sei</w:t>
      </w:r>
    </w:p>
    <w:p w:rsidR="006C5EBA" w:rsidRDefault="006C5EBA" w:rsidP="006C5EBA">
      <w:pPr>
        <w:pStyle w:val="berschrift1"/>
      </w:pPr>
      <w:r>
        <w:t>[</w:t>
      </w:r>
      <w:r>
        <w:br/>
        <w:t>\mathcal C_F</w:t>
      </w:r>
    </w:p>
    <w:p w:rsidR="006C5EBA" w:rsidRDefault="006C5EBA" w:rsidP="006C5EBA">
      <w:pPr>
        <w:pStyle w:val="StandardWeb"/>
      </w:pPr>
      <w:r>
        <w:t>{X_1,X_2}</w:t>
      </w:r>
      <w:r>
        <w:br/>
        <w:t>\tag{3.12990}</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\mathcal C_F=\{X_1,X_2\}</w:t>
      </w:r>
    </w:p>
    <w:p w:rsidR="006C5EBA" w:rsidRDefault="006C5EBA" w:rsidP="006C5EBA">
      <w:pPr>
        <w:pStyle w:val="StandardWeb"/>
      </w:pPr>
      <w:r>
        <w:t>und gelte für beide Kandidaten, dass eine notwendige Modellbedingung nicht erfüllt ist.</w:t>
      </w:r>
    </w:p>
    <w:p w:rsidR="006C5EBA" w:rsidRDefault="006C5EBA" w:rsidP="006C5EBA">
      <w:pPr>
        <w:pStyle w:val="StandardWeb"/>
      </w:pPr>
      <w:r>
        <w:t>Dann kann</w:t>
      </w:r>
    </w:p>
    <w:p w:rsidR="006C5EBA" w:rsidRDefault="006C5EBA" w:rsidP="006C5EBA">
      <w:pPr>
        <w:pStyle w:val="berschrift1"/>
      </w:pPr>
      <w:r>
        <w:t>[</w:t>
      </w:r>
      <w:r>
        <w:br/>
        <w:t>\operatorname{Sel}_F(\mathcal C_F)</w:t>
      </w:r>
    </w:p>
    <w:p w:rsidR="006C5EBA" w:rsidRDefault="006C5EBA" w:rsidP="006C5EBA">
      <w:pPr>
        <w:pStyle w:val="StandardWeb"/>
      </w:pPr>
      <w:r>
        <w:t>\varnothing</w:t>
      </w:r>
      <w:r>
        <w:br/>
        <w:t>\tag{3.12991}</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\operatorname{Sel}_F(\mathcal C_F)=\varnothing</w:t>
      </w:r>
    </w:p>
    <w:p w:rsidR="006C5EBA" w:rsidRDefault="006C5EBA" w:rsidP="006C5EBA">
      <w:pPr>
        <w:pStyle w:val="StandardWeb"/>
      </w:pPr>
      <w:r>
        <w:t>wohldefiniert sein.</w:t>
      </w:r>
    </w:p>
    <w:p w:rsidR="006C5EBA" w:rsidRDefault="00E50336" w:rsidP="006C5EBA">
      <w:r>
        <w:pict>
          <v:rect id="_x0000_i4890" style="width:0;height:1.5pt" o:hralign="center" o:hrstd="t" o:hr="t" fillcolor="#a0a0a0" stroked="f"/>
        </w:pict>
      </w:r>
    </w:p>
    <w:p w:rsidR="006C5EBA" w:rsidRDefault="006C5EBA" w:rsidP="006C5EBA">
      <w:pPr>
        <w:pStyle w:val="berschrift2"/>
      </w:pPr>
      <w:r>
        <w:t>3.3.50.43 Axiomentscheidung zur nichtleeren Auswahl</w:t>
      </w:r>
    </w:p>
    <w:p w:rsidR="006C5EBA" w:rsidRDefault="006C5EBA" w:rsidP="006C5EBA">
      <w:pPr>
        <w:pStyle w:val="StandardWeb"/>
      </w:pPr>
      <w:r>
        <w:t>Damit folgt</w:t>
      </w:r>
    </w:p>
    <w:p w:rsidR="006C5EBA" w:rsidRDefault="006C5EBA" w:rsidP="006C5EBA">
      <w:pPr>
        <w:pStyle w:val="berschrift1"/>
      </w:pPr>
      <w:r>
        <w:t>[</w:t>
      </w:r>
      <w:r>
        <w:br/>
        <w:t>\boxed{</w:t>
      </w:r>
      <w:r>
        <w:br/>
        <w:t>U_{\mathrm{Ax}}</w:t>
      </w:r>
      <w:r>
        <w:br/>
        <w:t>(A_{\mathrm{sel}})</w:t>
      </w:r>
    </w:p>
    <w:p w:rsidR="006C5EBA" w:rsidRDefault="006C5EBA" w:rsidP="00563F88">
      <w:pPr>
        <w:numPr>
          <w:ilvl w:val="0"/>
          <w:numId w:val="590"/>
        </w:numPr>
        <w:spacing w:before="100" w:beforeAutospacing="1" w:after="100" w:afterAutospacing="1"/>
      </w:pPr>
    </w:p>
    <w:p w:rsidR="006C5EBA" w:rsidRDefault="006C5EBA" w:rsidP="006C5EBA">
      <w:pPr>
        <w:pStyle w:val="StandardWeb"/>
      </w:pPr>
      <w:r>
        <w:t>}</w:t>
      </w:r>
      <w:r>
        <w:br/>
        <w:t>\tag{3.12992}</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\boxed{U_{\mathrm{Ax}}(A_{\mathrm{sel}})=0.}</w:t>
      </w:r>
    </w:p>
    <w:p w:rsidR="006C5EBA" w:rsidRDefault="00E50336" w:rsidP="006C5EBA">
      <w:r>
        <w:pict>
          <v:rect id="_x0000_i4891" style="width:0;height:1.5pt" o:hralign="center" o:hrstd="t" o:hr="t" fillcolor="#a0a0a0" stroked="f"/>
        </w:pict>
      </w:r>
    </w:p>
    <w:p w:rsidR="006C5EBA" w:rsidRDefault="006C5EBA" w:rsidP="006C5EBA">
      <w:pPr>
        <w:pStyle w:val="berschrift2"/>
      </w:pPr>
      <w:r>
        <w:t>3.3.50.44 Satz 3.3.182 – Zwingend nichtleere funktionale Auswahl ist kein Primäraxiom</w:t>
      </w:r>
    </w:p>
    <w:p w:rsidR="006C5EBA" w:rsidRDefault="006C5EBA" w:rsidP="006C5EBA">
      <w:pPr>
        <w:pStyle w:val="berschrift3"/>
      </w:pPr>
      <w:r>
        <w:t>Satz 3.3.182</w:t>
      </w:r>
    </w:p>
    <w:p w:rsidR="006C5EBA" w:rsidRDefault="006C5EBA" w:rsidP="006C5EBA">
      <w:pPr>
        <w:pStyle w:val="StandardWeb"/>
      </w:pPr>
      <w:r>
        <w:t>Die Forderung, aus jeder nichtleeren Kandidatenmenge müsse mindestens ein funktionales Objekt ausgewählt werden, ist keine universell notwendige Voraussetzung des allgemeinen FRZK.</w:t>
      </w:r>
    </w:p>
    <w:p w:rsidR="006C5EBA" w:rsidRDefault="006C5EBA" w:rsidP="006C5EBA">
      <w:pPr>
        <w:pStyle w:val="StandardWeb"/>
      </w:pPr>
      <w:r>
        <w:t>Formal gilt</w:t>
      </w:r>
    </w:p>
    <w:p w:rsidR="006C5EBA" w:rsidRDefault="006C5EBA" w:rsidP="006C5EBA">
      <w:pPr>
        <w:pStyle w:val="berschrift1"/>
      </w:pPr>
      <w:r>
        <w:t>[</w:t>
      </w:r>
      <w:r>
        <w:br/>
        <w:t>\boxed{</w:t>
      </w:r>
      <w:r>
        <w:br/>
        <w:t>U_{\mathrm{Ax}}</w:t>
      </w:r>
      <w:r>
        <w:br/>
        <w:t>(A_{\mathrm{sel}})</w:t>
      </w:r>
    </w:p>
    <w:p w:rsidR="006C5EBA" w:rsidRDefault="006C5EBA" w:rsidP="00563F88">
      <w:pPr>
        <w:numPr>
          <w:ilvl w:val="0"/>
          <w:numId w:val="591"/>
        </w:numPr>
        <w:spacing w:before="100" w:beforeAutospacing="1" w:after="100" w:afterAutospacing="1"/>
      </w:pPr>
    </w:p>
    <w:p w:rsidR="006C5EBA" w:rsidRDefault="006C5EBA" w:rsidP="006C5EBA">
      <w:pPr>
        <w:pStyle w:val="StandardWeb"/>
      </w:pPr>
      <w:r>
        <w:t>}</w:t>
      </w:r>
      <w:r>
        <w:br/>
        <w:t>\tag{3.12993}</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\boxed{U_{\mathrm{Ax}}(A_{\mathrm{sel}})=0.}</w:t>
      </w:r>
    </w:p>
    <w:p w:rsidR="006C5EBA" w:rsidRDefault="00E50336" w:rsidP="006C5EBA">
      <w:r>
        <w:pict>
          <v:rect id="_x0000_i4892" style="width:0;height:1.5pt" o:hralign="center" o:hrstd="t" o:hr="t" fillcolor="#a0a0a0" stroked="f"/>
        </w:pict>
      </w:r>
    </w:p>
    <w:p w:rsidR="006C5EBA" w:rsidRDefault="006C5EBA" w:rsidP="006C5EBA">
      <w:pPr>
        <w:pStyle w:val="berschrift2"/>
      </w:pPr>
      <w:r>
        <w:t>3.3.50.45 Zwischenstand</w:t>
      </w:r>
    </w:p>
    <w:p w:rsidR="006C5EBA" w:rsidRDefault="006C5EBA" w:rsidP="006C5EBA">
      <w:pPr>
        <w:pStyle w:val="StandardWeb"/>
      </w:pPr>
      <w:r>
        <w:t>Bis zu diesem Punkt habe ich damit drei voneinander zu trennende Strukturtypen erhalten:</w:t>
      </w:r>
    </w:p>
    <w:p w:rsidR="006C5EBA" w:rsidRDefault="006C5EBA" w:rsidP="006C5EBA">
      <w:pPr>
        <w:pStyle w:val="StandardWeb"/>
      </w:pPr>
      <w:r>
        <w:t>[</w:t>
      </w:r>
      <w:r>
        <w:br/>
        <w:t>\preceq_F</w:t>
      </w:r>
      <w:r>
        <w:br/>
        <w:t>\tag{3.12994}</w:t>
      </w:r>
      <w:r>
        <w:br/>
        <w:t>]</w:t>
      </w:r>
    </w:p>
    <w:p w:rsidR="006C5EBA" w:rsidRDefault="006C5EBA" w:rsidP="006C5EBA">
      <w:pPr>
        <w:pStyle w:val="StandardWeb"/>
      </w:pPr>
      <w:r>
        <w:rPr>
          <w:rStyle w:val="Fett"/>
        </w:rPr>
        <w:lastRenderedPageBreak/>
        <w:t>Word-LaTeX</w:t>
      </w:r>
    </w:p>
    <w:p w:rsidR="006C5EBA" w:rsidRDefault="006C5EBA" w:rsidP="006C5EBA">
      <w:pPr>
        <w:pStyle w:val="HTMLVorformatiert"/>
        <w:rPr>
          <w:rStyle w:val="HTMLCode"/>
        </w:rPr>
      </w:pPr>
      <w:r>
        <w:rPr>
          <w:rStyle w:val="HTMLCode"/>
        </w:rPr>
        <w:t>\preceq_F</w:t>
      </w:r>
    </w:p>
    <w:p w:rsidR="006C5EBA" w:rsidRDefault="006C5EBA" w:rsidP="006C5EBA">
      <w:pPr>
        <w:pStyle w:val="StandardWeb"/>
      </w:pPr>
      <w:r>
        <w:t>als Vergleichsrelation,</w:t>
      </w:r>
    </w:p>
    <w:p w:rsidR="006C5EBA" w:rsidRDefault="006C5EBA" w:rsidP="006C5EBA">
      <w:pPr>
        <w:pStyle w:val="StandardWeb"/>
      </w:pPr>
      <w:r>
        <w:t>[</w:t>
      </w:r>
      <w:r>
        <w:br/>
        <w:t>\triangleleft_F</w:t>
      </w:r>
      <w:r>
        <w:br/>
        <w:t>\tag{3.12995}</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\triangleleft_F</w:t>
      </w:r>
    </w:p>
    <w:p w:rsidR="006C5EBA" w:rsidRDefault="006C5EBA" w:rsidP="006C5EBA">
      <w:pPr>
        <w:pStyle w:val="StandardWeb"/>
      </w:pPr>
      <w:r>
        <w:t>als Prioritätsrelation und</w:t>
      </w:r>
    </w:p>
    <w:p w:rsidR="006C5EBA" w:rsidRDefault="006C5EBA" w:rsidP="006C5EBA">
      <w:pPr>
        <w:pStyle w:val="StandardWeb"/>
      </w:pPr>
      <w:r>
        <w:t>[</w:t>
      </w:r>
      <w:r>
        <w:br/>
        <w:t>\operatorname{Sel}_F</w:t>
      </w:r>
      <w:r>
        <w:br/>
        <w:t>\tag{3.12996}</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\operatorname{Sel}_F</w:t>
      </w:r>
    </w:p>
    <w:p w:rsidR="006C5EBA" w:rsidRDefault="006C5EBA" w:rsidP="006C5EBA">
      <w:pPr>
        <w:pStyle w:val="StandardWeb"/>
      </w:pPr>
      <w:r>
        <w:t>als Auswahloperator.</w:t>
      </w:r>
    </w:p>
    <w:p w:rsidR="006C5EBA" w:rsidRDefault="006C5EBA" w:rsidP="006C5EBA">
      <w:pPr>
        <w:pStyle w:val="StandardWeb"/>
      </w:pPr>
      <w:r>
        <w:t>Ich fasse sie vorläufig zusammen zu</w:t>
      </w:r>
    </w:p>
    <w:p w:rsidR="006C5EBA" w:rsidRDefault="006C5EBA" w:rsidP="006C5EBA">
      <w:pPr>
        <w:pStyle w:val="berschrift1"/>
      </w:pPr>
      <w:r>
        <w:t>[</w:t>
      </w:r>
      <w:r>
        <w:br/>
        <w:t>\boxed{</w:t>
      </w:r>
      <w:r>
        <w:br/>
        <w:t>\mathfrak E_{\mathrm{ord}}^{(1)}</w:t>
      </w:r>
    </w:p>
    <w:p w:rsidR="006C5EBA" w:rsidRDefault="006C5EBA" w:rsidP="006C5EBA">
      <w:pPr>
        <w:pStyle w:val="StandardWeb"/>
      </w:pPr>
      <w:r>
        <w:t>\left(</w:t>
      </w:r>
      <w:r>
        <w:br/>
        <w:t>\preceq_F,</w:t>
      </w:r>
      <w:r>
        <w:br/>
        <w:t>\prec_F,</w:t>
      </w:r>
      <w:r>
        <w:br/>
        <w:t>\sim_{\preceq},</w:t>
      </w:r>
      <w:r>
        <w:br/>
        <w:t>\triangleleft_F,</w:t>
      </w:r>
      <w:r>
        <w:br/>
        <w:t>u_F,</w:t>
      </w:r>
      <w:r>
        <w:br/>
        <w:t>\operatorname{Sel}_F</w:t>
      </w:r>
      <w:r>
        <w:br/>
        <w:t>\right).</w:t>
      </w:r>
      <w:r>
        <w:br/>
        <w:t>}</w:t>
      </w:r>
      <w:r>
        <w:br/>
        <w:t>\tag{3.12997}</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lastRenderedPageBreak/>
        <w:t>\boxed{\mathfrak E_{\mathrm{ord}}^{(1)}=\left(\preceq_F,\prec_F,\sim_{\preceq},\triangleleft_F,u_F,\operatorname{Sel}_F\right).}</w:t>
      </w:r>
    </w:p>
    <w:p w:rsidR="006C5EBA" w:rsidRDefault="006C5EBA" w:rsidP="006C5EBA">
      <w:pPr>
        <w:pStyle w:val="StandardWeb"/>
      </w:pPr>
      <w:r>
        <w:t>Die bislang geprüften Primäraxiomkandidaten lauten</w:t>
      </w:r>
    </w:p>
    <w:p w:rsidR="006C5EBA" w:rsidRDefault="006C5EBA" w:rsidP="006C5EBA">
      <w:pPr>
        <w:pStyle w:val="berschrift1"/>
      </w:pPr>
      <w:r>
        <w:t>[</w:t>
      </w:r>
      <w:r>
        <w:br/>
        <w:t>\mathcal A_{\mathrm{ord}}^{\mathrm{cand},1}</w:t>
      </w:r>
    </w:p>
    <w:p w:rsidR="006C5EBA" w:rsidRDefault="006C5EBA" w:rsidP="006C5EBA">
      <w:pPr>
        <w:pStyle w:val="StandardWeb"/>
      </w:pPr>
      <w:r>
        <w:t>{</w:t>
      </w:r>
      <w:r>
        <w:br/>
        <w:t>A_{\mathrm{tot}},</w:t>
      </w:r>
      <w:r>
        <w:br/>
        <w:t>A_{\mathrm{sel}}</w:t>
      </w:r>
      <w:r>
        <w:br/>
        <w:t>}.</w:t>
      </w:r>
      <w:r>
        <w:br/>
        <w:t>\tag{3.12998}</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\mathcal A_{\mathrm{ord}}^{\mathrm{cand},1}=\{A_{\mathrm{tot}},A_{\mathrm{sel}}\}</w:t>
      </w:r>
    </w:p>
    <w:p w:rsidR="006C5EBA" w:rsidRDefault="006C5EBA" w:rsidP="006C5EBA">
      <w:pPr>
        <w:pStyle w:val="StandardWeb"/>
      </w:pPr>
      <w:r>
        <w:t>Für beide gilt bereits</w:t>
      </w:r>
    </w:p>
    <w:p w:rsidR="006C5EBA" w:rsidRDefault="006C5EBA" w:rsidP="006C5EBA">
      <w:pPr>
        <w:pStyle w:val="StandardWeb"/>
      </w:pPr>
      <w:r>
        <w:t>[</w:t>
      </w:r>
      <w:r>
        <w:br/>
        <w:t>\boxed{</w:t>
      </w:r>
      <w:r>
        <w:br/>
        <w:t>U_{\mathrm{Ax}}(A)=0</w:t>
      </w:r>
      <w:r>
        <w:br/>
        <w:t>\qquad</w:t>
      </w:r>
      <w:r>
        <w:br/>
        <w:t>\forall</w:t>
      </w:r>
      <w:r>
        <w:br/>
        <w:t>A\in</w:t>
      </w:r>
      <w:r>
        <w:br/>
        <w:t>\mathcal A_{\mathrm{ord}}^{\mathrm{cand},1}.</w:t>
      </w:r>
      <w:r>
        <w:br/>
        <w:t>}</w:t>
      </w:r>
      <w:r>
        <w:br/>
        <w:t>\tag{3.12999}</w:t>
      </w:r>
      <w:r>
        <w:br/>
        <w:t>]</w:t>
      </w:r>
    </w:p>
    <w:p w:rsidR="006C5EBA" w:rsidRDefault="006C5EBA" w:rsidP="006C5EBA">
      <w:pPr>
        <w:pStyle w:val="StandardWeb"/>
      </w:pPr>
      <w:r>
        <w:rPr>
          <w:rStyle w:val="Fett"/>
        </w:rPr>
        <w:t>Word-LaTeX</w:t>
      </w:r>
    </w:p>
    <w:p w:rsidR="006C5EBA" w:rsidRDefault="006C5EBA" w:rsidP="006C5EBA">
      <w:pPr>
        <w:pStyle w:val="HTMLVorformatiert"/>
        <w:rPr>
          <w:rStyle w:val="HTMLCode"/>
        </w:rPr>
      </w:pPr>
      <w:r>
        <w:rPr>
          <w:rStyle w:val="HTMLCode"/>
        </w:rPr>
        <w:t>\boxed{U_{\mathrm{Ax}}(A)=0\qquad\forall A\in\mathcal A_{\mathrm{ord}}^{\mathrm{cand},1}.}</w:t>
      </w:r>
    </w:p>
    <w:p w:rsidR="006C5EBA" w:rsidRDefault="006C5EBA" w:rsidP="006C5EBA">
      <w:pPr>
        <w:pStyle w:val="StandardWeb"/>
      </w:pPr>
      <w:r>
        <w:t xml:space="preserve">Abschnitt </w:t>
      </w:r>
      <w:r>
        <w:rPr>
          <w:rStyle w:val="Fett"/>
        </w:rPr>
        <w:t>3.3.50 ist damit noch nicht abgeschlossen</w:t>
      </w:r>
      <w:r>
        <w:t xml:space="preserve">. Im nächsten Block untersuche ich insbesondere </w:t>
      </w:r>
      <w:r>
        <w:rPr>
          <w:rStyle w:val="Fett"/>
        </w:rPr>
        <w:t>maximale und minimale Elemente, obere und untere Schranken, Optima, Mehrkriterienordnungen, Pareto-Strukturen, zustandsabhängige Prioritäten und Auswahl unter Nebenbedingungen</w:t>
      </w:r>
      <w:r>
        <w:t>.</w:t>
      </w:r>
    </w:p>
    <w:p w:rsidR="006C5EBA" w:rsidRDefault="006C5EBA" w:rsidP="006C5EBA">
      <w:pPr>
        <w:pStyle w:val="StandardWeb"/>
      </w:pPr>
      <w:r>
        <w:t xml:space="preserve">Der nächste bestätigte Startpunkt ist </w:t>
      </w:r>
      <w:r>
        <w:rPr>
          <w:rStyle w:val="Fett"/>
        </w:rPr>
        <w:t>3.3.50.46 / Gleichung (3.13000)</w:t>
      </w:r>
      <w:r>
        <w:t>.</w:t>
      </w:r>
    </w:p>
    <w:p w:rsidR="00E950C8" w:rsidRDefault="00E950C8" w:rsidP="00E950C8">
      <w:pPr>
        <w:pStyle w:val="berschrift1"/>
        <w:rPr>
          <w:rFonts w:cs="Times New Roman"/>
          <w:sz w:val="48"/>
          <w:szCs w:val="48"/>
        </w:rPr>
      </w:pPr>
      <w:r>
        <w:t>3.3.50.46 Maximale und minimale Elemente</w:t>
      </w:r>
    </w:p>
    <w:p w:rsidR="00E950C8" w:rsidRDefault="00E950C8" w:rsidP="00E950C8">
      <w:pPr>
        <w:pStyle w:val="StandardWeb"/>
      </w:pPr>
      <w:r>
        <w:t xml:space="preserve">Nach der Einführung allgemeiner Vergleichs-, Prioritäts- und Auswahlstrukturen untersuche ich nun, wie innerhalb partiell geordneter Mengen ausgezeichnete Elemente beschrieben </w:t>
      </w:r>
      <w:r>
        <w:lastRenderedPageBreak/>
        <w:t xml:space="preserve">werden können. Dabei muss ich zwischen </w:t>
      </w:r>
      <w:r>
        <w:rPr>
          <w:rStyle w:val="Fett"/>
        </w:rPr>
        <w:t>maximalen Elementen</w:t>
      </w:r>
      <w:r>
        <w:t xml:space="preserve">, </w:t>
      </w:r>
      <w:r>
        <w:rPr>
          <w:rStyle w:val="Fett"/>
        </w:rPr>
        <w:t>größten Elementen</w:t>
      </w:r>
      <w:r>
        <w:t xml:space="preserve">, </w:t>
      </w:r>
      <w:r>
        <w:rPr>
          <w:rStyle w:val="Fett"/>
        </w:rPr>
        <w:t>minimalen Elementen</w:t>
      </w:r>
      <w:r>
        <w:t xml:space="preserve"> und </w:t>
      </w:r>
      <w:r>
        <w:rPr>
          <w:rStyle w:val="Fett"/>
        </w:rPr>
        <w:t>kleinsten Elementen</w:t>
      </w:r>
      <w:r>
        <w:t xml:space="preserve"> unterscheiden, da diese Begriffe in partiellen Ordnungen nicht zusammenfallen.</w:t>
      </w:r>
    </w:p>
    <w:p w:rsidR="00E950C8" w:rsidRDefault="00E950C8" w:rsidP="00E950C8">
      <w:pPr>
        <w:pStyle w:val="StandardWeb"/>
      </w:pPr>
      <w:r>
        <w:t>Sei</w:t>
      </w:r>
    </w:p>
    <w:p w:rsidR="00E950C8" w:rsidRDefault="00E950C8" w:rsidP="00E950C8">
      <w:pPr>
        <w:pStyle w:val="StandardWeb"/>
      </w:pPr>
      <w:r>
        <w:t>[</w:t>
      </w:r>
      <w:r>
        <w:br/>
        <w:t>\mathcal C_F</w:t>
      </w:r>
      <w:r>
        <w:br/>
        <w:t>\subseteq</w:t>
      </w:r>
      <w:r>
        <w:br/>
        <w:t>\mathcal X_F</w:t>
      </w:r>
      <w:r>
        <w:br/>
        <w:t>\tag{3.13000}</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\mathcal C_F\subseteq\mathcal X_F</w:t>
      </w:r>
    </w:p>
    <w:p w:rsidR="00E950C8" w:rsidRDefault="00E950C8" w:rsidP="00E950C8">
      <w:pPr>
        <w:pStyle w:val="StandardWeb"/>
      </w:pPr>
      <w:r>
        <w:t>eine nicht notwendig total geordnete Kandidatenmenge.</w:t>
      </w:r>
    </w:p>
    <w:p w:rsidR="00E950C8" w:rsidRDefault="00E50336" w:rsidP="00E950C8">
      <w:r>
        <w:pict>
          <v:rect id="_x0000_i4893" style="width:0;height:1.5pt" o:hralign="center" o:hrstd="t" o:hr="t" fillcolor="#a0a0a0" stroked="f"/>
        </w:pict>
      </w:r>
    </w:p>
    <w:p w:rsidR="00E950C8" w:rsidRDefault="00E950C8" w:rsidP="00E950C8">
      <w:pPr>
        <w:pStyle w:val="berschrift1"/>
      </w:pPr>
      <w:r>
        <w:t>3.3.50.47 Definition 3.3.474 – Funktional maximales Element</w:t>
      </w:r>
    </w:p>
    <w:p w:rsidR="00E950C8" w:rsidRDefault="00E950C8" w:rsidP="00E950C8">
      <w:pPr>
        <w:pStyle w:val="berschrift3"/>
      </w:pPr>
      <w:r>
        <w:t>Definition 3.3.474</w:t>
      </w:r>
    </w:p>
    <w:p w:rsidR="00E950C8" w:rsidRDefault="00E950C8" w:rsidP="00E950C8">
      <w:pPr>
        <w:pStyle w:val="StandardWeb"/>
      </w:pPr>
      <w:r>
        <w:t xml:space="preserve">Ein Element (X^\star\in\mathcal C_F) heißt </w:t>
      </w:r>
      <w:r>
        <w:rPr>
          <w:rStyle w:val="Fett"/>
        </w:rPr>
        <w:t>funktional maximal</w:t>
      </w:r>
      <w:r>
        <w:t>, wenn kein anderes Element der Kandidatenmenge strikt über ihm liegt:</w:t>
      </w:r>
    </w:p>
    <w:p w:rsidR="00E950C8" w:rsidRDefault="00E950C8" w:rsidP="00E950C8">
      <w:pPr>
        <w:pStyle w:val="StandardWeb"/>
      </w:pPr>
      <w:r>
        <w:t>[</w:t>
      </w:r>
      <w:r>
        <w:br/>
        <w:t>\boxed{</w:t>
      </w:r>
      <w:r>
        <w:br/>
        <w:t>X^\star\in\operatorname{Max}_F(\mathcal C_F)</w:t>
      </w:r>
      <w:r>
        <w:br/>
        <w:t>\Longleftrightarrow</w:t>
      </w:r>
      <w:r>
        <w:br/>
        <w:t>\nexists Y\in\mathcal C_F:</w:t>
      </w:r>
      <w:r>
        <w:br/>
        <w:t>X^\star\prec_F Y.</w:t>
      </w:r>
      <w:r>
        <w:br/>
        <w:t>}</w:t>
      </w:r>
      <w:r>
        <w:br/>
        <w:t>\tag{3.13001}</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\boxed{X^\star\in\operatorname{Max}_F(\mathcal C_F)\Longleftrightarrow\nexists Y\in\mathcal C_F:X^\star\prec_F Y.}</w:t>
      </w:r>
    </w:p>
    <w:p w:rsidR="00E950C8" w:rsidRDefault="00E50336" w:rsidP="00E950C8">
      <w:r>
        <w:pict>
          <v:rect id="_x0000_i4894" style="width:0;height:1.5pt" o:hralign="center" o:hrstd="t" o:hr="t" fillcolor="#a0a0a0" stroked="f"/>
        </w:pict>
      </w:r>
    </w:p>
    <w:p w:rsidR="00E950C8" w:rsidRDefault="00E950C8" w:rsidP="00E950C8">
      <w:pPr>
        <w:pStyle w:val="berschrift1"/>
      </w:pPr>
      <w:r>
        <w:t>3.3.50.48 Definition 3.3.475 – Funktional minimales Element</w:t>
      </w:r>
    </w:p>
    <w:p w:rsidR="00E950C8" w:rsidRDefault="00E950C8" w:rsidP="00E950C8">
      <w:pPr>
        <w:pStyle w:val="berschrift3"/>
      </w:pPr>
      <w:r>
        <w:t>Definition 3.3.475</w:t>
      </w:r>
    </w:p>
    <w:p w:rsidR="00E950C8" w:rsidRDefault="00E950C8" w:rsidP="00E950C8">
      <w:pPr>
        <w:pStyle w:val="StandardWeb"/>
      </w:pPr>
      <w:r>
        <w:lastRenderedPageBreak/>
        <w:t xml:space="preserve">Ein Element (X_\star\in\mathcal C_F) heißt </w:t>
      </w:r>
      <w:r>
        <w:rPr>
          <w:rStyle w:val="Fett"/>
        </w:rPr>
        <w:t>funktional minimal</w:t>
      </w:r>
      <w:r>
        <w:t>, wenn kein anderes Element der Kandidatenmenge strikt unter ihm liegt:</w:t>
      </w:r>
    </w:p>
    <w:p w:rsidR="00E950C8" w:rsidRDefault="00E950C8" w:rsidP="00E950C8">
      <w:pPr>
        <w:pStyle w:val="StandardWeb"/>
      </w:pPr>
      <w:r>
        <w:t>[</w:t>
      </w:r>
      <w:r>
        <w:br/>
        <w:t>\boxed{</w:t>
      </w:r>
      <w:r>
        <w:br/>
        <w:t>X_\star\in\operatorname{Min}</w:t>
      </w:r>
      <w:r>
        <w:rPr>
          <w:rStyle w:val="Hervorhebung"/>
        </w:rPr>
        <w:t>F(\mathcal C_F)</w:t>
      </w:r>
      <w:r>
        <w:rPr>
          <w:i/>
          <w:iCs/>
        </w:rPr>
        <w:br/>
      </w:r>
      <w:r>
        <w:rPr>
          <w:rStyle w:val="Hervorhebung"/>
        </w:rPr>
        <w:t>\Longleftrightarrow</w:t>
      </w:r>
      <w:r>
        <w:rPr>
          <w:i/>
          <w:iCs/>
        </w:rPr>
        <w:br/>
      </w:r>
      <w:r>
        <w:rPr>
          <w:rStyle w:val="Hervorhebung"/>
        </w:rPr>
        <w:t>\nexists Y\in\mathcal C_F:</w:t>
      </w:r>
      <w:r>
        <w:rPr>
          <w:i/>
          <w:iCs/>
        </w:rPr>
        <w:br/>
      </w:r>
      <w:r>
        <w:rPr>
          <w:rStyle w:val="Hervorhebung"/>
        </w:rPr>
        <w:t>Y\prec_F X</w:t>
      </w:r>
      <w:r>
        <w:t>\star.</w:t>
      </w:r>
      <w:r>
        <w:br/>
        <w:t>}</w:t>
      </w:r>
      <w:r>
        <w:br/>
        <w:t>\tag{3.13002}</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\boxed{X_\star\in\operatorname{Min}_F(\mathcal C_F)\Longleftrightarrow\nexists Y\in\mathcal C_F:Y\prec_F X_\star.}</w:t>
      </w:r>
    </w:p>
    <w:p w:rsidR="00E950C8" w:rsidRDefault="00E50336" w:rsidP="00E950C8">
      <w:r>
        <w:pict>
          <v:rect id="_x0000_i4895" style="width:0;height:1.5pt" o:hralign="center" o:hrstd="t" o:hr="t" fillcolor="#a0a0a0" stroked="f"/>
        </w:pict>
      </w:r>
    </w:p>
    <w:p w:rsidR="00E950C8" w:rsidRDefault="00E950C8" w:rsidP="00E950C8">
      <w:pPr>
        <w:pStyle w:val="berschrift1"/>
      </w:pPr>
      <w:r>
        <w:t>3.3.50.49 Mehrere maximale Elemente</w:t>
      </w:r>
    </w:p>
    <w:p w:rsidR="00E950C8" w:rsidRDefault="00E950C8" w:rsidP="00E950C8">
      <w:pPr>
        <w:pStyle w:val="StandardWeb"/>
      </w:pPr>
      <w:r>
        <w:t>In einer partiell geordneten Menge können mehrere maximale Elemente existieren:</w:t>
      </w:r>
    </w:p>
    <w:p w:rsidR="00E950C8" w:rsidRDefault="00E950C8" w:rsidP="00E950C8">
      <w:pPr>
        <w:pStyle w:val="StandardWeb"/>
      </w:pPr>
      <w:r>
        <w:t>[</w:t>
      </w:r>
      <w:r>
        <w:br/>
        <w:t>X_1^\star</w:t>
      </w:r>
      <w:r>
        <w:br/>
        <w:t>\neq</w:t>
      </w:r>
      <w:r>
        <w:br/>
        <w:t>X_2^\star</w:t>
      </w:r>
      <w:r>
        <w:br/>
        <w:t>\tag{3.13003}</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X_1^\star\neq X_2^\star</w:t>
      </w:r>
    </w:p>
    <w:p w:rsidR="00E950C8" w:rsidRDefault="00E950C8" w:rsidP="00E950C8">
      <w:pPr>
        <w:pStyle w:val="StandardWeb"/>
      </w:pPr>
      <w:r>
        <w:t>mit</w:t>
      </w:r>
    </w:p>
    <w:p w:rsidR="00E950C8" w:rsidRDefault="00E950C8" w:rsidP="00E950C8">
      <w:pPr>
        <w:pStyle w:val="StandardWeb"/>
      </w:pPr>
      <w:r>
        <w:t>[</w:t>
      </w:r>
      <w:r>
        <w:br/>
        <w:t>X_1^\star,</w:t>
      </w:r>
      <w:r>
        <w:br/>
        <w:t>X_2^\star</w:t>
      </w:r>
      <w:r>
        <w:br/>
        <w:t>\in</w:t>
      </w:r>
      <w:r>
        <w:br/>
        <w:t>\operatorname{Max}_F(\mathcal C_F).</w:t>
      </w:r>
      <w:r>
        <w:br/>
        <w:t>\tag{3.13004}</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X_1^\star,X_2^\star\in\operatorname{Max}_F(\mathcal C_F)</w:t>
      </w:r>
    </w:p>
    <w:p w:rsidR="00E950C8" w:rsidRDefault="00E950C8" w:rsidP="00E950C8">
      <w:pPr>
        <w:pStyle w:val="StandardWeb"/>
      </w:pPr>
      <w:r>
        <w:t>Damit ist Maximalität nicht mit Eindeutigkeit gleichzusetzen.</w:t>
      </w:r>
    </w:p>
    <w:p w:rsidR="00E950C8" w:rsidRDefault="00E50336" w:rsidP="00E950C8">
      <w:r>
        <w:pict>
          <v:rect id="_x0000_i4896" style="width:0;height:1.5pt" o:hralign="center" o:hrstd="t" o:hr="t" fillcolor="#a0a0a0" stroked="f"/>
        </w:pict>
      </w:r>
    </w:p>
    <w:p w:rsidR="00E950C8" w:rsidRDefault="00E950C8" w:rsidP="00E950C8">
      <w:pPr>
        <w:pStyle w:val="berschrift1"/>
      </w:pPr>
      <w:r>
        <w:lastRenderedPageBreak/>
        <w:t>3.3.50.50 Definition 3.3.476 – Funktionales größtes Element</w:t>
      </w:r>
    </w:p>
    <w:p w:rsidR="00E950C8" w:rsidRDefault="00E950C8" w:rsidP="00E950C8">
      <w:pPr>
        <w:pStyle w:val="berschrift3"/>
      </w:pPr>
      <w:r>
        <w:t>Definition 3.3.476</w:t>
      </w:r>
    </w:p>
    <w:p w:rsidR="00E950C8" w:rsidRDefault="00E950C8" w:rsidP="00E950C8">
      <w:pPr>
        <w:pStyle w:val="StandardWeb"/>
      </w:pPr>
      <w:r>
        <w:t xml:space="preserve">Ein Element (X^{\max}\in\mathcal C_F) heißt </w:t>
      </w:r>
      <w:r>
        <w:rPr>
          <w:rStyle w:val="Fett"/>
        </w:rPr>
        <w:t>funktional größtes Element</w:t>
      </w:r>
      <w:r>
        <w:t>, wenn</w:t>
      </w:r>
    </w:p>
    <w:p w:rsidR="00E950C8" w:rsidRDefault="00E950C8" w:rsidP="00E950C8">
      <w:pPr>
        <w:pStyle w:val="StandardWeb"/>
      </w:pPr>
      <w:r>
        <w:t>[</w:t>
      </w:r>
      <w:r>
        <w:br/>
        <w:t>\boxed{</w:t>
      </w:r>
      <w:r>
        <w:br/>
        <w:t>\forall Y\in\mathcal C_F:</w:t>
      </w:r>
      <w:r>
        <w:br/>
        <w:t>Y\preceq_F X^{\max}.</w:t>
      </w:r>
      <w:r>
        <w:br/>
        <w:t>}</w:t>
      </w:r>
      <w:r>
        <w:br/>
        <w:t>\tag{3.13005}</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\boxed{\forall Y\in\mathcal C_F:Y\preceq_F X^{\max}.}</w:t>
      </w:r>
    </w:p>
    <w:p w:rsidR="00E950C8" w:rsidRDefault="00E50336" w:rsidP="00E950C8">
      <w:r>
        <w:pict>
          <v:rect id="_x0000_i4897" style="width:0;height:1.5pt" o:hralign="center" o:hrstd="t" o:hr="t" fillcolor="#a0a0a0" stroked="f"/>
        </w:pict>
      </w:r>
    </w:p>
    <w:p w:rsidR="00E950C8" w:rsidRDefault="00E950C8" w:rsidP="00E950C8">
      <w:pPr>
        <w:pStyle w:val="berschrift1"/>
      </w:pPr>
      <w:r>
        <w:t>3.3.50.51 Definition 3.3.477 – Funktional kleinstes Element</w:t>
      </w:r>
    </w:p>
    <w:p w:rsidR="00E950C8" w:rsidRDefault="00E950C8" w:rsidP="00E950C8">
      <w:pPr>
        <w:pStyle w:val="berschrift3"/>
      </w:pPr>
      <w:r>
        <w:t>Definition 3.3.477</w:t>
      </w:r>
    </w:p>
    <w:p w:rsidR="00E950C8" w:rsidRDefault="00E950C8" w:rsidP="00E950C8">
      <w:pPr>
        <w:pStyle w:val="StandardWeb"/>
      </w:pPr>
      <w:r>
        <w:t xml:space="preserve">Ein Element (X^{\min}\in\mathcal C_F) heißt </w:t>
      </w:r>
      <w:r>
        <w:rPr>
          <w:rStyle w:val="Fett"/>
        </w:rPr>
        <w:t>funktional kleinstes Element</w:t>
      </w:r>
      <w:r>
        <w:t>, wenn</w:t>
      </w:r>
    </w:p>
    <w:p w:rsidR="00E950C8" w:rsidRDefault="00E950C8" w:rsidP="00E950C8">
      <w:pPr>
        <w:pStyle w:val="StandardWeb"/>
      </w:pPr>
      <w:r>
        <w:t>[</w:t>
      </w:r>
      <w:r>
        <w:br/>
        <w:t>\boxed{</w:t>
      </w:r>
      <w:r>
        <w:br/>
        <w:t>\forall Y\in\mathcal C_F:</w:t>
      </w:r>
      <w:r>
        <w:br/>
        <w:t>X^{\min}\preceq_F Y.</w:t>
      </w:r>
      <w:r>
        <w:br/>
        <w:t>}</w:t>
      </w:r>
      <w:r>
        <w:br/>
        <w:t>\tag{3.13006}</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\boxed{\forall Y\in\mathcal C_F:X^{\min}\preceq_F Y.}</w:t>
      </w:r>
    </w:p>
    <w:p w:rsidR="00E950C8" w:rsidRDefault="00E50336" w:rsidP="00E950C8">
      <w:r>
        <w:pict>
          <v:rect id="_x0000_i4898" style="width:0;height:1.5pt" o:hralign="center" o:hrstd="t" o:hr="t" fillcolor="#a0a0a0" stroked="f"/>
        </w:pict>
      </w:r>
    </w:p>
    <w:p w:rsidR="00E950C8" w:rsidRDefault="00E950C8" w:rsidP="00E950C8">
      <w:pPr>
        <w:pStyle w:val="berschrift1"/>
      </w:pPr>
      <w:r>
        <w:t>3.3.50.52 Größtes Element impliziert Maximalität</w:t>
      </w:r>
    </w:p>
    <w:p w:rsidR="00E950C8" w:rsidRDefault="00E950C8" w:rsidP="00E950C8">
      <w:pPr>
        <w:pStyle w:val="StandardWeb"/>
      </w:pPr>
      <w:r>
        <w:t>Existiert ein größtes Element, so ist es maximal:</w:t>
      </w:r>
    </w:p>
    <w:p w:rsidR="00E950C8" w:rsidRDefault="00E950C8" w:rsidP="00E950C8">
      <w:pPr>
        <w:pStyle w:val="StandardWeb"/>
      </w:pPr>
      <w:r>
        <w:t>[</w:t>
      </w:r>
      <w:r>
        <w:br/>
        <w:t>X^{\max}</w:t>
      </w:r>
      <w:r>
        <w:br/>
        <w:t>\in</w:t>
      </w:r>
      <w:r>
        <w:br/>
        <w:t>\operatorname{Max}_F(\mathcal C_F).</w:t>
      </w:r>
      <w:r>
        <w:br/>
      </w:r>
      <w:r>
        <w:lastRenderedPageBreak/>
        <w:t>\tag{3.13007}</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X^{\max}\in\operatorname{Max}_F(\mathcal C_F)</w:t>
      </w:r>
    </w:p>
    <w:p w:rsidR="00E950C8" w:rsidRDefault="00E50336" w:rsidP="00E950C8">
      <w:r>
        <w:pict>
          <v:rect id="_x0000_i4899" style="width:0;height:1.5pt" o:hralign="center" o:hrstd="t" o:hr="t" fillcolor="#a0a0a0" stroked="f"/>
        </w:pict>
      </w:r>
    </w:p>
    <w:p w:rsidR="00E950C8" w:rsidRDefault="00E950C8" w:rsidP="00E950C8">
      <w:pPr>
        <w:pStyle w:val="berschrift1"/>
      </w:pPr>
      <w:r>
        <w:t>3.3.50.53 Satz 3.3.183 – Ein größtes funktionales Element ist maximal</w:t>
      </w:r>
    </w:p>
    <w:p w:rsidR="00E950C8" w:rsidRDefault="00E950C8" w:rsidP="00E950C8">
      <w:pPr>
        <w:pStyle w:val="berschrift3"/>
      </w:pPr>
      <w:r>
        <w:t>Satz 3.3.183</w:t>
      </w:r>
    </w:p>
    <w:p w:rsidR="00E950C8" w:rsidRDefault="00E950C8" w:rsidP="00E950C8">
      <w:pPr>
        <w:pStyle w:val="StandardWeb"/>
      </w:pPr>
      <w:r>
        <w:t>Ist (X^{\max}) ein größtes Element von (\mathcal C_F), dann ist (X^{\max}) maximal.</w:t>
      </w:r>
    </w:p>
    <w:p w:rsidR="00E950C8" w:rsidRDefault="00E950C8" w:rsidP="00E950C8">
      <w:pPr>
        <w:pStyle w:val="StandardWeb"/>
      </w:pPr>
      <w:r>
        <w:t>Formal gilt</w:t>
      </w:r>
    </w:p>
    <w:p w:rsidR="00E950C8" w:rsidRDefault="00E950C8" w:rsidP="00E950C8">
      <w:pPr>
        <w:pStyle w:val="StandardWeb"/>
      </w:pPr>
      <w:r>
        <w:t>[</w:t>
      </w:r>
      <w:r>
        <w:br/>
        <w:t>\boxed{</w:t>
      </w:r>
      <w:r>
        <w:br/>
        <w:t>\left(</w:t>
      </w:r>
      <w:r>
        <w:br/>
        <w:t>\forall Y\in\mathcal C_F:</w:t>
      </w:r>
      <w:r>
        <w:br/>
        <w:t>Y\preceq_F X^{\max}</w:t>
      </w:r>
      <w:r>
        <w:br/>
        <w:t>\right)</w:t>
      </w:r>
      <w:r>
        <w:br/>
        <w:t>\Rightarrow</w:t>
      </w:r>
      <w:r>
        <w:br/>
        <w:t>X^{\max}\in\operatorname{Max}_F(\mathcal C_F).</w:t>
      </w:r>
      <w:r>
        <w:br/>
        <w:t>}</w:t>
      </w:r>
      <w:r>
        <w:br/>
        <w:t>\tag{3.13008}</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\boxed{\left(\forall Y\in\mathcal C_F:Y\preceq_F X^{\max}\right)\Rightarrow X^{\max}\in\operatorname{Max}_F(\mathcal C_F).}</w:t>
      </w:r>
    </w:p>
    <w:p w:rsidR="00E950C8" w:rsidRDefault="00E950C8" w:rsidP="00E950C8">
      <w:pPr>
        <w:pStyle w:val="berschrift3"/>
      </w:pPr>
      <w:r>
        <w:t>Beweis</w:t>
      </w:r>
    </w:p>
    <w:p w:rsidR="00E950C8" w:rsidRDefault="00E950C8" w:rsidP="00E950C8">
      <w:pPr>
        <w:pStyle w:val="StandardWeb"/>
      </w:pPr>
      <w:r>
        <w:t>Angenommen, (X^{\max}) wäre nicht maximal. Dann existierte ein (Y\in\mathcal C_F) mit</w:t>
      </w:r>
    </w:p>
    <w:p w:rsidR="00E950C8" w:rsidRDefault="00E950C8" w:rsidP="00E950C8">
      <w:pPr>
        <w:pStyle w:val="StandardWeb"/>
      </w:pPr>
      <w:r>
        <w:t>[</w:t>
      </w:r>
      <w:r>
        <w:br/>
        <w:t>X^{\max}</w:t>
      </w:r>
      <w:r>
        <w:br/>
        <w:t>\prec_F</w:t>
      </w:r>
      <w:r>
        <w:br/>
        <w:t>Y.</w:t>
      </w:r>
      <w:r>
        <w:br/>
        <w:t>\tag{3.13009}</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X^{\max}\prec_F Y</w:t>
      </w:r>
    </w:p>
    <w:p w:rsidR="00E950C8" w:rsidRDefault="00E950C8" w:rsidP="00E950C8">
      <w:pPr>
        <w:pStyle w:val="StandardWeb"/>
      </w:pPr>
      <w:r>
        <w:t>Nach Definition der strikten Relation gilt dann</w:t>
      </w:r>
    </w:p>
    <w:p w:rsidR="00E950C8" w:rsidRDefault="00E950C8" w:rsidP="00E950C8">
      <w:pPr>
        <w:pStyle w:val="StandardWeb"/>
      </w:pPr>
      <w:r>
        <w:lastRenderedPageBreak/>
        <w:t>[</w:t>
      </w:r>
      <w:r>
        <w:br/>
        <w:t>X^{\max}\preceq_F Y</w:t>
      </w:r>
      <w:r>
        <w:br/>
        <w:t>\land</w:t>
      </w:r>
      <w:r>
        <w:br/>
        <w:t>Y\not\preceq_F X^{\max}.</w:t>
      </w:r>
      <w:r>
        <w:br/>
        <w:t>\tag{3.13010}</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X^{\max}\preceq_F Y\land Y\not\preceq_F X^{\max}</w:t>
      </w:r>
    </w:p>
    <w:p w:rsidR="00E950C8" w:rsidRDefault="00E950C8" w:rsidP="00E950C8">
      <w:pPr>
        <w:pStyle w:val="StandardWeb"/>
      </w:pPr>
      <w:r>
        <w:t>Dies widerspricht der Voraussetzung</w:t>
      </w:r>
    </w:p>
    <w:p w:rsidR="00E950C8" w:rsidRDefault="00E950C8" w:rsidP="00E950C8">
      <w:pPr>
        <w:pStyle w:val="StandardWeb"/>
      </w:pPr>
      <w:r>
        <w:t>[</w:t>
      </w:r>
      <w:r>
        <w:br/>
        <w:t>Y\preceq_F X^{\max}.</w:t>
      </w:r>
      <w:r>
        <w:br/>
        <w:t>\tag{3.13011}</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Y\preceq_F X^{\max}</w:t>
      </w:r>
    </w:p>
    <w:p w:rsidR="00E950C8" w:rsidRDefault="00E950C8" w:rsidP="00E950C8">
      <w:pPr>
        <w:pStyle w:val="StandardWeb"/>
      </w:pPr>
      <w:r>
        <w:t>Damit ist (X^{\max}) maximal. (\square)</w:t>
      </w:r>
    </w:p>
    <w:p w:rsidR="00E950C8" w:rsidRDefault="00E50336" w:rsidP="00E950C8">
      <w:r>
        <w:pict>
          <v:rect id="_x0000_i4900" style="width:0;height:1.5pt" o:hralign="center" o:hrstd="t" o:hr="t" fillcolor="#a0a0a0" stroked="f"/>
        </w:pict>
      </w:r>
    </w:p>
    <w:p w:rsidR="00E950C8" w:rsidRDefault="00E950C8" w:rsidP="00E950C8">
      <w:pPr>
        <w:pStyle w:val="berschrift1"/>
      </w:pPr>
      <w:r>
        <w:t>3.3.50.54 Korollar 3.3.43 – Ein kleinstes funktionales Element ist minimal</w:t>
      </w:r>
    </w:p>
    <w:p w:rsidR="00E950C8" w:rsidRDefault="00E950C8" w:rsidP="00E950C8">
      <w:pPr>
        <w:pStyle w:val="berschrift3"/>
      </w:pPr>
      <w:r>
        <w:t>Korollar 3.3.43</w:t>
      </w:r>
    </w:p>
    <w:p w:rsidR="00E950C8" w:rsidRDefault="00E950C8" w:rsidP="00E950C8">
      <w:pPr>
        <w:pStyle w:val="StandardWeb"/>
      </w:pPr>
      <w:r>
        <w:t>Dual folgt</w:t>
      </w:r>
    </w:p>
    <w:p w:rsidR="00E950C8" w:rsidRDefault="00E950C8" w:rsidP="00E950C8">
      <w:pPr>
        <w:pStyle w:val="StandardWeb"/>
      </w:pPr>
      <w:r>
        <w:t>[</w:t>
      </w:r>
      <w:r>
        <w:br/>
        <w:t>\boxed{</w:t>
      </w:r>
      <w:r>
        <w:br/>
        <w:t>\left(</w:t>
      </w:r>
      <w:r>
        <w:br/>
        <w:t>\forall Y\in\mathcal C_F:</w:t>
      </w:r>
      <w:r>
        <w:br/>
        <w:t>X^{\min}\preceq_F Y</w:t>
      </w:r>
      <w:r>
        <w:br/>
        <w:t>\right)</w:t>
      </w:r>
      <w:r>
        <w:br/>
        <w:t>\Rightarrow</w:t>
      </w:r>
      <w:r>
        <w:br/>
        <w:t>X^{\min}\in\operatorname{Min}_F(\mathcal C_F).</w:t>
      </w:r>
      <w:r>
        <w:br/>
        <w:t>}</w:t>
      </w:r>
      <w:r>
        <w:br/>
        <w:t>\tag{3.13012}</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\boxed{\left(\forall Y\in\mathcal C_F:X^{\min}\preceq_F Y\right)\Rightarrow X^{\min}\in\operatorname{Min}_F(\mathcal C_F).}</w:t>
      </w:r>
    </w:p>
    <w:p w:rsidR="00E950C8" w:rsidRDefault="00E50336" w:rsidP="00E950C8">
      <w:r>
        <w:pict>
          <v:rect id="_x0000_i4901" style="width:0;height:1.5pt" o:hralign="center" o:hrstd="t" o:hr="t" fillcolor="#a0a0a0" stroked="f"/>
        </w:pict>
      </w:r>
    </w:p>
    <w:p w:rsidR="00E950C8" w:rsidRDefault="00E950C8" w:rsidP="00E950C8">
      <w:pPr>
        <w:pStyle w:val="berschrift1"/>
      </w:pPr>
      <w:r>
        <w:lastRenderedPageBreak/>
        <w:t>3.3.50.55 Maximalität impliziert kein größtes Element</w:t>
      </w:r>
    </w:p>
    <w:p w:rsidR="00E950C8" w:rsidRDefault="00E950C8" w:rsidP="00E950C8">
      <w:pPr>
        <w:pStyle w:val="StandardWeb"/>
      </w:pPr>
      <w:r>
        <w:t>Die Umkehrung gilt im Allgemeinen nicht.</w:t>
      </w:r>
    </w:p>
    <w:p w:rsidR="00E950C8" w:rsidRDefault="00E950C8" w:rsidP="00E950C8">
      <w:pPr>
        <w:pStyle w:val="StandardWeb"/>
      </w:pPr>
      <w:r>
        <w:t>Es können zwei unvergleichbare maximale Elemente existieren:</w:t>
      </w:r>
    </w:p>
    <w:p w:rsidR="00E950C8" w:rsidRDefault="00E950C8" w:rsidP="00E950C8">
      <w:pPr>
        <w:pStyle w:val="StandardWeb"/>
      </w:pPr>
      <w:r>
        <w:t>[</w:t>
      </w:r>
      <w:r>
        <w:br/>
        <w:t>X_1^\star</w:t>
      </w:r>
      <w:r>
        <w:br/>
        <w:t>\parallel_F</w:t>
      </w:r>
      <w:r>
        <w:br/>
        <w:t>X_2^\star.</w:t>
      </w:r>
      <w:r>
        <w:br/>
        <w:t>\tag{3.13013}</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X_1^\star\parallel_F X_2^\star</w:t>
      </w:r>
    </w:p>
    <w:p w:rsidR="00E950C8" w:rsidRDefault="00E950C8" w:rsidP="00E950C8">
      <w:pPr>
        <w:pStyle w:val="StandardWeb"/>
      </w:pPr>
      <w:r>
        <w:t>Dann besitzt die Menge kein größtes Element.</w:t>
      </w:r>
    </w:p>
    <w:p w:rsidR="00E950C8" w:rsidRDefault="00E50336" w:rsidP="00E950C8">
      <w:r>
        <w:pict>
          <v:rect id="_x0000_i4902" style="width:0;height:1.5pt" o:hralign="center" o:hrstd="t" o:hr="t" fillcolor="#a0a0a0" stroked="f"/>
        </w:pict>
      </w:r>
    </w:p>
    <w:p w:rsidR="00E950C8" w:rsidRDefault="00E950C8" w:rsidP="00E950C8">
      <w:pPr>
        <w:pStyle w:val="berschrift1"/>
      </w:pPr>
      <w:r>
        <w:t>3.3.50.56 Definition 3.3.478 – Menge funktional maximaler Elemente</w:t>
      </w:r>
    </w:p>
    <w:p w:rsidR="00E950C8" w:rsidRDefault="00E950C8" w:rsidP="00E950C8">
      <w:pPr>
        <w:pStyle w:val="berschrift3"/>
      </w:pPr>
      <w:r>
        <w:t>Definition 3.3.478</w:t>
      </w:r>
    </w:p>
    <w:p w:rsidR="00E950C8" w:rsidRDefault="00E950C8" w:rsidP="00E950C8">
      <w:pPr>
        <w:pStyle w:val="StandardWeb"/>
      </w:pPr>
      <w:r>
        <w:t>Die Menge aller funktional maximalen Elemente einer Kandidatenmenge ist</w:t>
      </w:r>
    </w:p>
    <w:p w:rsidR="00E950C8" w:rsidRDefault="00E950C8" w:rsidP="00E950C8">
      <w:pPr>
        <w:pStyle w:val="berschrift1"/>
      </w:pPr>
      <w:r>
        <w:t>[</w:t>
      </w:r>
      <w:r>
        <w:br/>
        <w:t>\boxed{</w:t>
      </w:r>
      <w:r>
        <w:br/>
        <w:t>\operatorname{Max}_F(\mathcal C_F)</w:t>
      </w:r>
    </w:p>
    <w:p w:rsidR="00E950C8" w:rsidRDefault="00E950C8" w:rsidP="00E950C8">
      <w:pPr>
        <w:pStyle w:val="StandardWeb"/>
      </w:pPr>
      <w:r>
        <w:t>{</w:t>
      </w:r>
      <w:r>
        <w:br/>
        <w:t>X\in\mathcal C_F:</w:t>
      </w:r>
      <w:r>
        <w:br/>
        <w:t>\nexists Y\in\mathcal C_F</w:t>
      </w:r>
      <w:r>
        <w:br/>
        <w:t>\text{ mit }</w:t>
      </w:r>
      <w:r>
        <w:br/>
        <w:t>X\prec_F Y</w:t>
      </w:r>
      <w:r>
        <w:br/>
        <w:t>}.</w:t>
      </w:r>
      <w:r>
        <w:br/>
        <w:t>}</w:t>
      </w:r>
      <w:r>
        <w:br/>
        <w:t>\tag{3.13014}</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\boxed{\operatorname{Max}_F(\mathcal C_F)=\{X\in\mathcal C_F:\nexists Y\in\mathcal C_F\text{ mit }X\prec_F Y\}.}</w:t>
      </w:r>
    </w:p>
    <w:p w:rsidR="00E950C8" w:rsidRDefault="00E50336" w:rsidP="00E950C8">
      <w:r>
        <w:pict>
          <v:rect id="_x0000_i4903" style="width:0;height:1.5pt" o:hralign="center" o:hrstd="t" o:hr="t" fillcolor="#a0a0a0" stroked="f"/>
        </w:pict>
      </w:r>
    </w:p>
    <w:p w:rsidR="00E950C8" w:rsidRDefault="00E950C8" w:rsidP="00E950C8">
      <w:pPr>
        <w:pStyle w:val="berschrift1"/>
      </w:pPr>
      <w:r>
        <w:lastRenderedPageBreak/>
        <w:t>3.3.50.57 Definition 3.3.479 – Menge funktional minimaler Elemente</w:t>
      </w:r>
    </w:p>
    <w:p w:rsidR="00E950C8" w:rsidRDefault="00E950C8" w:rsidP="00E950C8">
      <w:pPr>
        <w:pStyle w:val="berschrift3"/>
      </w:pPr>
      <w:r>
        <w:t>Definition 3.3.479</w:t>
      </w:r>
    </w:p>
    <w:p w:rsidR="00E950C8" w:rsidRDefault="00E950C8" w:rsidP="00E950C8">
      <w:pPr>
        <w:pStyle w:val="StandardWeb"/>
      </w:pPr>
      <w:r>
        <w:t>Die Menge aller funktional minimalen Elemente ist</w:t>
      </w:r>
    </w:p>
    <w:p w:rsidR="00E950C8" w:rsidRDefault="00E950C8" w:rsidP="00E950C8">
      <w:pPr>
        <w:pStyle w:val="berschrift1"/>
      </w:pPr>
      <w:r>
        <w:t>[</w:t>
      </w:r>
      <w:r>
        <w:br/>
        <w:t>\boxed{</w:t>
      </w:r>
      <w:r>
        <w:br/>
        <w:t>\operatorname{Min}_F(\mathcal C_F)</w:t>
      </w:r>
    </w:p>
    <w:p w:rsidR="00E950C8" w:rsidRDefault="00E950C8" w:rsidP="00E950C8">
      <w:pPr>
        <w:pStyle w:val="StandardWeb"/>
      </w:pPr>
      <w:r>
        <w:t>{</w:t>
      </w:r>
      <w:r>
        <w:br/>
        <w:t>X\in\mathcal C_F:</w:t>
      </w:r>
      <w:r>
        <w:br/>
        <w:t>\nexists Y\in\mathcal C_F</w:t>
      </w:r>
      <w:r>
        <w:br/>
        <w:t>\text{ mit }</w:t>
      </w:r>
      <w:r>
        <w:br/>
        <w:t>Y\prec_F X</w:t>
      </w:r>
      <w:r>
        <w:br/>
        <w:t>}.</w:t>
      </w:r>
      <w:r>
        <w:br/>
        <w:t>}</w:t>
      </w:r>
      <w:r>
        <w:br/>
        <w:t>\tag{3.13015}</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\boxed{\operatorname{Min}_F(\mathcal C_F)=\{X\in\mathcal C_F:\nexists Y\in\mathcal C_F\text{ mit }Y\prec_F X\}.}</w:t>
      </w:r>
    </w:p>
    <w:p w:rsidR="00E950C8" w:rsidRDefault="00E50336" w:rsidP="00E950C8">
      <w:r>
        <w:pict>
          <v:rect id="_x0000_i4904" style="width:0;height:1.5pt" o:hralign="center" o:hrstd="t" o:hr="t" fillcolor="#a0a0a0" stroked="f"/>
        </w:pict>
      </w:r>
    </w:p>
    <w:p w:rsidR="00E950C8" w:rsidRDefault="00E950C8" w:rsidP="00E950C8">
      <w:pPr>
        <w:pStyle w:val="berschrift1"/>
      </w:pPr>
      <w:r>
        <w:t>3.3.50.58 Auswahl maximaler Elemente</w:t>
      </w:r>
    </w:p>
    <w:p w:rsidR="00E950C8" w:rsidRDefault="00E950C8" w:rsidP="00E950C8">
      <w:pPr>
        <w:pStyle w:val="StandardWeb"/>
      </w:pPr>
      <w:r>
        <w:t>Ein Auswahloperator kann beispielsweise durch</w:t>
      </w:r>
    </w:p>
    <w:p w:rsidR="00E950C8" w:rsidRDefault="00E950C8" w:rsidP="00E950C8">
      <w:pPr>
        <w:pStyle w:val="berschrift1"/>
      </w:pPr>
      <w:r>
        <w:t>[</w:t>
      </w:r>
      <w:r>
        <w:br/>
        <w:t>\operatorname{Sel}_F^{\max}(\mathcal C_F)</w:t>
      </w:r>
    </w:p>
    <w:p w:rsidR="00E950C8" w:rsidRDefault="00E950C8" w:rsidP="00E950C8">
      <w:pPr>
        <w:pStyle w:val="StandardWeb"/>
      </w:pPr>
      <w:r>
        <w:t>\operatorname{Max}_F(\mathcal C_F)</w:t>
      </w:r>
      <w:r>
        <w:br/>
        <w:t>\tag{3.13016}</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\operatorname{Sel}_F^{\max}(\mathcal C_F)=\operatorname{Max}_F(\mathcal C_F)</w:t>
      </w:r>
    </w:p>
    <w:p w:rsidR="00E950C8" w:rsidRDefault="00E950C8" w:rsidP="00E950C8">
      <w:pPr>
        <w:pStyle w:val="StandardWeb"/>
      </w:pPr>
      <w:r>
        <w:t>definiert werden.</w:t>
      </w:r>
    </w:p>
    <w:p w:rsidR="00E950C8" w:rsidRDefault="00E950C8" w:rsidP="00E950C8">
      <w:pPr>
        <w:pStyle w:val="StandardWeb"/>
      </w:pPr>
      <w:r>
        <w:t>Dies ist jedoch nur eine spezielle Auswahlregel.</w:t>
      </w:r>
    </w:p>
    <w:p w:rsidR="00E950C8" w:rsidRDefault="00E50336" w:rsidP="00E950C8">
      <w:r>
        <w:lastRenderedPageBreak/>
        <w:pict>
          <v:rect id="_x0000_i4905" style="width:0;height:1.5pt" o:hralign="center" o:hrstd="t" o:hr="t" fillcolor="#a0a0a0" stroked="f"/>
        </w:pict>
      </w:r>
    </w:p>
    <w:p w:rsidR="00E950C8" w:rsidRDefault="00E950C8" w:rsidP="00E950C8">
      <w:pPr>
        <w:pStyle w:val="berschrift1"/>
      </w:pPr>
      <w:r>
        <w:t>3.3.50.59 Definition 3.3.480 – Maximalitätsbasierter funktionaler Auswahloperator</w:t>
      </w:r>
    </w:p>
    <w:p w:rsidR="00E950C8" w:rsidRDefault="00E950C8" w:rsidP="00E950C8">
      <w:pPr>
        <w:pStyle w:val="berschrift3"/>
      </w:pPr>
      <w:r>
        <w:t>Definition 3.3.480</w:t>
      </w:r>
    </w:p>
    <w:p w:rsidR="00E950C8" w:rsidRDefault="00E950C8" w:rsidP="00E950C8">
      <w:pPr>
        <w:pStyle w:val="StandardWeb"/>
      </w:pPr>
      <w:r>
        <w:t xml:space="preserve">Der </w:t>
      </w:r>
      <w:r>
        <w:rPr>
          <w:rStyle w:val="Fett"/>
        </w:rPr>
        <w:t>maximalitätsbasierte funktionale Auswahloperator</w:t>
      </w:r>
      <w:r>
        <w:t xml:space="preserve"> ist</w:t>
      </w:r>
    </w:p>
    <w:p w:rsidR="00E950C8" w:rsidRDefault="00E950C8" w:rsidP="00E950C8">
      <w:pPr>
        <w:pStyle w:val="StandardWeb"/>
      </w:pPr>
      <w:r>
        <w:t>[</w:t>
      </w:r>
      <w:r>
        <w:br/>
        <w:t>\boxed{</w:t>
      </w:r>
      <w:r>
        <w:br/>
        <w:t>\operatorname{Sel}_F^{\max}</w:t>
      </w:r>
      <w:r>
        <w:br/>
        <w:t>:</w:t>
      </w:r>
      <w:r>
        <w:br/>
        <w:t>\mathcal C_F</w:t>
      </w:r>
      <w:r>
        <w:br/>
        <w:t>\mapsto</w:t>
      </w:r>
      <w:r>
        <w:br/>
        <w:t>\operatorname{Max}_F(\mathcal C_F).</w:t>
      </w:r>
      <w:r>
        <w:br/>
        <w:t>}</w:t>
      </w:r>
      <w:r>
        <w:br/>
        <w:t>\tag{3.13017}</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\boxed{\operatorname{Sel}_F^{\max}:\mathcal C_F\mapsto\operatorname{Max}_F(\mathcal C_F).}</w:t>
      </w:r>
    </w:p>
    <w:p w:rsidR="00E950C8" w:rsidRDefault="00E50336" w:rsidP="00E950C8">
      <w:r>
        <w:pict>
          <v:rect id="_x0000_i4906" style="width:0;height:1.5pt" o:hralign="center" o:hrstd="t" o:hr="t" fillcolor="#a0a0a0" stroked="f"/>
        </w:pict>
      </w:r>
    </w:p>
    <w:p w:rsidR="00E950C8" w:rsidRDefault="00E950C8" w:rsidP="00E950C8">
      <w:pPr>
        <w:pStyle w:val="berschrift1"/>
      </w:pPr>
      <w:r>
        <w:t>3.3.50.60 Eindeutige Auswahl</w:t>
      </w:r>
    </w:p>
    <w:p w:rsidR="00E950C8" w:rsidRDefault="00E950C8" w:rsidP="00E950C8">
      <w:pPr>
        <w:pStyle w:val="StandardWeb"/>
      </w:pPr>
      <w:r>
        <w:t>Auch wenn mehrere maximale Elemente existieren, kann ein zusätzlicher Auswahlmechanismus genau eines auswählen:</w:t>
      </w:r>
    </w:p>
    <w:p w:rsidR="00E950C8" w:rsidRDefault="00E950C8" w:rsidP="00E950C8">
      <w:pPr>
        <w:pStyle w:val="berschrift1"/>
      </w:pPr>
      <w:r>
        <w:t>[</w:t>
      </w:r>
      <w:r>
        <w:br/>
        <w:t>\left|</w:t>
      </w:r>
      <w:r>
        <w:br/>
        <w:t>\operatorname{Sel}_F(\mathcal C_F)</w:t>
      </w:r>
      <w:r>
        <w:br/>
        <w:t>\right|</w:t>
      </w:r>
    </w:p>
    <w:p w:rsidR="00E950C8" w:rsidRDefault="00E950C8" w:rsidP="00563F88">
      <w:pPr>
        <w:numPr>
          <w:ilvl w:val="0"/>
          <w:numId w:val="592"/>
        </w:numPr>
        <w:spacing w:before="100" w:beforeAutospacing="1" w:after="100" w:afterAutospacing="1"/>
      </w:pPr>
    </w:p>
    <w:p w:rsidR="00E950C8" w:rsidRDefault="00E950C8" w:rsidP="00E950C8">
      <w:pPr>
        <w:pStyle w:val="StandardWeb"/>
      </w:pPr>
      <w:r>
        <w:t>\tag{3.13018}</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\left|\operatorname{Sel}_F(\mathcal C_F)\right|=1</w:t>
      </w:r>
    </w:p>
    <w:p w:rsidR="00E950C8" w:rsidRDefault="00E950C8" w:rsidP="00E950C8">
      <w:pPr>
        <w:pStyle w:val="StandardWeb"/>
      </w:pPr>
      <w:r>
        <w:t>Eine solche Eindeutigkeit entsteht jedoch nicht aus der partiellen Ordnung allein.</w:t>
      </w:r>
    </w:p>
    <w:p w:rsidR="00E950C8" w:rsidRDefault="00E50336" w:rsidP="00E950C8">
      <w:r>
        <w:lastRenderedPageBreak/>
        <w:pict>
          <v:rect id="_x0000_i4907" style="width:0;height:1.5pt" o:hralign="center" o:hrstd="t" o:hr="t" fillcolor="#a0a0a0" stroked="f"/>
        </w:pict>
      </w:r>
    </w:p>
    <w:p w:rsidR="00E950C8" w:rsidRDefault="00E950C8" w:rsidP="00E950C8">
      <w:pPr>
        <w:pStyle w:val="berschrift1"/>
      </w:pPr>
      <w:r>
        <w:t>3.3.50.61 Eindeutige Maximalität als Primäraxiomkandidat</w:t>
      </w:r>
    </w:p>
    <w:p w:rsidR="00E950C8" w:rsidRDefault="00E950C8" w:rsidP="00E950C8">
      <w:pPr>
        <w:pStyle w:val="StandardWeb"/>
      </w:pPr>
      <w:r>
        <w:t>Ein möglicher Kandidat wäre</w:t>
      </w:r>
    </w:p>
    <w:p w:rsidR="00E950C8" w:rsidRDefault="00E950C8" w:rsidP="00E950C8">
      <w:pPr>
        <w:pStyle w:val="berschrift1"/>
      </w:pPr>
      <w:r>
        <w:t>[</w:t>
      </w:r>
      <w:r>
        <w:br/>
        <w:t>A_{\mathrm{uniq-max}}</w:t>
      </w:r>
      <w:r>
        <w:br/>
        <w:t>:</w:t>
      </w:r>
      <w:r>
        <w:br/>
        <w:t>\forall\mathcal C_F\neq\varnothing:</w:t>
      </w:r>
      <w:r>
        <w:br/>
        <w:t>\left|</w:t>
      </w:r>
      <w:r>
        <w:br/>
        <w:t>\operatorname{Max}_F(\mathcal C_F)</w:t>
      </w:r>
      <w:r>
        <w:br/>
        <w:t>\right|</w:t>
      </w:r>
    </w:p>
    <w:p w:rsidR="00E950C8" w:rsidRDefault="00E950C8" w:rsidP="00563F88">
      <w:pPr>
        <w:numPr>
          <w:ilvl w:val="0"/>
          <w:numId w:val="593"/>
        </w:numPr>
        <w:spacing w:before="100" w:beforeAutospacing="1" w:after="100" w:afterAutospacing="1"/>
      </w:pPr>
    </w:p>
    <w:p w:rsidR="00E950C8" w:rsidRDefault="00E950C8" w:rsidP="00E950C8">
      <w:pPr>
        <w:pStyle w:val="StandardWeb"/>
      </w:pPr>
      <w:r>
        <w:t>\tag{3.13019}</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A_{\mathrm{uniq-max}}:\forall\mathcal C_F\neq\varnothing:\left|\operatorname{Max}_F(\mathcal C_F)\right|=1</w:t>
      </w:r>
    </w:p>
    <w:p w:rsidR="00E950C8" w:rsidRDefault="00E50336" w:rsidP="00E950C8">
      <w:r>
        <w:pict>
          <v:rect id="_x0000_i4908" style="width:0;height:1.5pt" o:hralign="center" o:hrstd="t" o:hr="t" fillcolor="#a0a0a0" stroked="f"/>
        </w:pict>
      </w:r>
    </w:p>
    <w:p w:rsidR="00E950C8" w:rsidRDefault="00E950C8" w:rsidP="00E950C8">
      <w:pPr>
        <w:pStyle w:val="berschrift1"/>
      </w:pPr>
      <w:r>
        <w:t>3.3.50.62 Gegenmodell zur eindeutigen Maximalität</w:t>
      </w:r>
    </w:p>
    <w:p w:rsidR="00E950C8" w:rsidRDefault="00E950C8" w:rsidP="00E950C8">
      <w:pPr>
        <w:pStyle w:val="StandardWeb"/>
      </w:pPr>
      <w:r>
        <w:t>Seien</w:t>
      </w:r>
    </w:p>
    <w:p w:rsidR="00E950C8" w:rsidRDefault="00E950C8" w:rsidP="00E950C8">
      <w:pPr>
        <w:pStyle w:val="berschrift1"/>
      </w:pPr>
      <w:r>
        <w:t>[</w:t>
      </w:r>
      <w:r>
        <w:br/>
        <w:t>\mathcal C_F</w:t>
      </w:r>
    </w:p>
    <w:p w:rsidR="00E950C8" w:rsidRDefault="00E950C8" w:rsidP="00E950C8">
      <w:pPr>
        <w:pStyle w:val="StandardWeb"/>
      </w:pPr>
      <w:r>
        <w:t>{X_1,X_2}</w:t>
      </w:r>
      <w:r>
        <w:br/>
        <w:t>\tag{3.13020}</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\mathcal C_F=\{X_1,X_2\}</w:t>
      </w:r>
    </w:p>
    <w:p w:rsidR="00E950C8" w:rsidRDefault="00E950C8" w:rsidP="00E950C8">
      <w:pPr>
        <w:pStyle w:val="StandardWeb"/>
      </w:pPr>
      <w:r>
        <w:t>und</w:t>
      </w:r>
    </w:p>
    <w:p w:rsidR="00E950C8" w:rsidRDefault="00E950C8" w:rsidP="00E950C8">
      <w:pPr>
        <w:pStyle w:val="StandardWeb"/>
      </w:pPr>
      <w:r>
        <w:lastRenderedPageBreak/>
        <w:t>[</w:t>
      </w:r>
      <w:r>
        <w:br/>
        <w:t>X_1</w:t>
      </w:r>
      <w:r>
        <w:br/>
        <w:t>\parallel_F</w:t>
      </w:r>
      <w:r>
        <w:br/>
        <w:t>X_2.</w:t>
      </w:r>
      <w:r>
        <w:br/>
        <w:t>\tag{3.13021}</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X_1\parallel_F X_2</w:t>
      </w:r>
    </w:p>
    <w:p w:rsidR="00E950C8" w:rsidRDefault="00E950C8" w:rsidP="00E950C8">
      <w:pPr>
        <w:pStyle w:val="StandardWeb"/>
      </w:pPr>
      <w:r>
        <w:t>Dann gilt</w:t>
      </w:r>
    </w:p>
    <w:p w:rsidR="00E950C8" w:rsidRDefault="00E950C8" w:rsidP="00E950C8">
      <w:pPr>
        <w:pStyle w:val="berschrift1"/>
      </w:pPr>
      <w:r>
        <w:t>[</w:t>
      </w:r>
      <w:r>
        <w:br/>
        <w:t>\operatorname{Max}_F(\mathcal C_F)</w:t>
      </w:r>
    </w:p>
    <w:p w:rsidR="00E950C8" w:rsidRDefault="00E950C8" w:rsidP="00E950C8">
      <w:pPr>
        <w:pStyle w:val="StandardWeb"/>
      </w:pPr>
      <w:r>
        <w:t>{X_1,X_2}.</w:t>
      </w:r>
      <w:r>
        <w:br/>
        <w:t>\tag{3.13022}</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\operatorname{Max}_F(\mathcal C_F)=\{X_1,X_2\}</w:t>
      </w:r>
    </w:p>
    <w:p w:rsidR="00E950C8" w:rsidRDefault="00E950C8" w:rsidP="00E950C8">
      <w:pPr>
        <w:pStyle w:val="StandardWeb"/>
      </w:pPr>
      <w:r>
        <w:t>Somit ist</w:t>
      </w:r>
    </w:p>
    <w:p w:rsidR="00E950C8" w:rsidRDefault="00E950C8" w:rsidP="00E950C8">
      <w:pPr>
        <w:pStyle w:val="berschrift1"/>
      </w:pPr>
      <w:r>
        <w:t>[</w:t>
      </w:r>
      <w:r>
        <w:br/>
        <w:t>\left|</w:t>
      </w:r>
      <w:r>
        <w:br/>
        <w:t>\operatorname{Max}_F(\mathcal C_F)</w:t>
      </w:r>
      <w:r>
        <w:br/>
        <w:t>\right|</w:t>
      </w:r>
    </w:p>
    <w:p w:rsidR="00E950C8" w:rsidRDefault="00E950C8" w:rsidP="00563F88">
      <w:pPr>
        <w:numPr>
          <w:ilvl w:val="0"/>
          <w:numId w:val="594"/>
        </w:numPr>
        <w:spacing w:before="100" w:beforeAutospacing="1" w:after="100" w:afterAutospacing="1"/>
      </w:pPr>
    </w:p>
    <w:p w:rsidR="00E950C8" w:rsidRDefault="00E950C8" w:rsidP="00E950C8">
      <w:pPr>
        <w:pStyle w:val="StandardWeb"/>
      </w:pPr>
      <w:r>
        <w:t>\tag{3.13023}</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\left|\operatorname{Max}_F(\mathcal C_F)\right|=2</w:t>
      </w:r>
    </w:p>
    <w:p w:rsidR="00E950C8" w:rsidRDefault="00E50336" w:rsidP="00E950C8">
      <w:r>
        <w:pict>
          <v:rect id="_x0000_i4909" style="width:0;height:1.5pt" o:hralign="center" o:hrstd="t" o:hr="t" fillcolor="#a0a0a0" stroked="f"/>
        </w:pict>
      </w:r>
    </w:p>
    <w:p w:rsidR="00E950C8" w:rsidRDefault="00E950C8" w:rsidP="00E950C8">
      <w:pPr>
        <w:pStyle w:val="berschrift1"/>
      </w:pPr>
      <w:r>
        <w:t>3.3.50.63 Axiomentscheidung zur eindeutigen Maximalität</w:t>
      </w:r>
    </w:p>
    <w:p w:rsidR="00E950C8" w:rsidRDefault="00E950C8" w:rsidP="00E950C8">
      <w:pPr>
        <w:pStyle w:val="StandardWeb"/>
      </w:pPr>
      <w:r>
        <w:t>Daher gilt</w:t>
      </w:r>
    </w:p>
    <w:p w:rsidR="00E950C8" w:rsidRDefault="00E950C8" w:rsidP="00E950C8">
      <w:pPr>
        <w:pStyle w:val="berschrift1"/>
      </w:pPr>
      <w:r>
        <w:lastRenderedPageBreak/>
        <w:t>[</w:t>
      </w:r>
      <w:r>
        <w:br/>
        <w:t>\boxed{</w:t>
      </w:r>
      <w:r>
        <w:br/>
        <w:t>U_{\mathrm{Ax}}</w:t>
      </w:r>
      <w:r>
        <w:br/>
        <w:t>(A_{\mathrm{uniq-max}})</w:t>
      </w:r>
    </w:p>
    <w:p w:rsidR="00E950C8" w:rsidRDefault="00E950C8" w:rsidP="00563F88">
      <w:pPr>
        <w:numPr>
          <w:ilvl w:val="0"/>
          <w:numId w:val="595"/>
        </w:numPr>
        <w:spacing w:before="100" w:beforeAutospacing="1" w:after="100" w:afterAutospacing="1"/>
      </w:pPr>
    </w:p>
    <w:p w:rsidR="00E950C8" w:rsidRDefault="00E950C8" w:rsidP="00E950C8">
      <w:pPr>
        <w:pStyle w:val="StandardWeb"/>
      </w:pPr>
      <w:r>
        <w:t>}</w:t>
      </w:r>
      <w:r>
        <w:br/>
        <w:t>\tag{3.13024}</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\boxed{U_{\mathrm{Ax}}(A_{\mathrm{uniq-max}})=0.}</w:t>
      </w:r>
    </w:p>
    <w:p w:rsidR="00E950C8" w:rsidRDefault="00E50336" w:rsidP="00E950C8">
      <w:r>
        <w:pict>
          <v:rect id="_x0000_i4910" style="width:0;height:1.5pt" o:hralign="center" o:hrstd="t" o:hr="t" fillcolor="#a0a0a0" stroked="f"/>
        </w:pict>
      </w:r>
    </w:p>
    <w:p w:rsidR="00E950C8" w:rsidRDefault="00E950C8" w:rsidP="00E950C8">
      <w:pPr>
        <w:pStyle w:val="berschrift1"/>
      </w:pPr>
      <w:r>
        <w:t>3.3.50.64 Satz 3.3.184 – Eindeutige Maximalität ist kein Primäraxiom</w:t>
      </w:r>
    </w:p>
    <w:p w:rsidR="00E950C8" w:rsidRDefault="00E950C8" w:rsidP="00E950C8">
      <w:pPr>
        <w:pStyle w:val="berschrift3"/>
      </w:pPr>
      <w:r>
        <w:t>Satz 3.3.184</w:t>
      </w:r>
    </w:p>
    <w:p w:rsidR="00E950C8" w:rsidRDefault="00E950C8" w:rsidP="00E950C8">
      <w:pPr>
        <w:pStyle w:val="StandardWeb"/>
      </w:pPr>
      <w:r>
        <w:t>Die Forderung, jede nichtleere funktionale Kandidatenmenge müsse genau ein maximales Element besitzen, ist keine universell notwendige Voraussetzung des allgemeinen FRZK.</w:t>
      </w:r>
    </w:p>
    <w:p w:rsidR="00E950C8" w:rsidRDefault="00E950C8" w:rsidP="00E950C8">
      <w:pPr>
        <w:pStyle w:val="StandardWeb"/>
      </w:pPr>
      <w:r>
        <w:t>Formal gilt</w:t>
      </w:r>
    </w:p>
    <w:p w:rsidR="00E950C8" w:rsidRDefault="00E950C8" w:rsidP="00E950C8">
      <w:pPr>
        <w:pStyle w:val="berschrift1"/>
      </w:pPr>
      <w:r>
        <w:t>[</w:t>
      </w:r>
      <w:r>
        <w:br/>
        <w:t>\boxed{</w:t>
      </w:r>
      <w:r>
        <w:br/>
        <w:t>U_{\mathrm{Ax}}</w:t>
      </w:r>
      <w:r>
        <w:br/>
        <w:t>(A_{\mathrm{uniq-max}})</w:t>
      </w:r>
    </w:p>
    <w:p w:rsidR="00E950C8" w:rsidRDefault="00E950C8" w:rsidP="00563F88">
      <w:pPr>
        <w:numPr>
          <w:ilvl w:val="0"/>
          <w:numId w:val="596"/>
        </w:numPr>
        <w:spacing w:before="100" w:beforeAutospacing="1" w:after="100" w:afterAutospacing="1"/>
      </w:pPr>
    </w:p>
    <w:p w:rsidR="00E950C8" w:rsidRDefault="00E950C8" w:rsidP="00E950C8">
      <w:pPr>
        <w:pStyle w:val="StandardWeb"/>
      </w:pPr>
      <w:r>
        <w:t>}</w:t>
      </w:r>
      <w:r>
        <w:br/>
        <w:t>\tag{3.13025}</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\boxed{U_{\mathrm{Ax}}(A_{\mathrm{uniq-max}})=0.}</w:t>
      </w:r>
    </w:p>
    <w:p w:rsidR="00E950C8" w:rsidRDefault="00E50336" w:rsidP="00E950C8">
      <w:r>
        <w:pict>
          <v:rect id="_x0000_i4911" style="width:0;height:1.5pt" o:hralign="center" o:hrstd="t" o:hr="t" fillcolor="#a0a0a0" stroked="f"/>
        </w:pict>
      </w:r>
    </w:p>
    <w:p w:rsidR="00E950C8" w:rsidRDefault="00E950C8" w:rsidP="00E950C8">
      <w:pPr>
        <w:pStyle w:val="berschrift1"/>
      </w:pPr>
      <w:r>
        <w:t>3.3.50.65 Obere Schranke</w:t>
      </w:r>
    </w:p>
    <w:p w:rsidR="00E950C8" w:rsidRDefault="00E950C8" w:rsidP="00E950C8">
      <w:pPr>
        <w:pStyle w:val="StandardWeb"/>
      </w:pPr>
      <w:r>
        <w:lastRenderedPageBreak/>
        <w:t>Für eine Teilmenge</w:t>
      </w:r>
    </w:p>
    <w:p w:rsidR="00E950C8" w:rsidRDefault="00E950C8" w:rsidP="00E950C8">
      <w:pPr>
        <w:pStyle w:val="StandardWeb"/>
      </w:pPr>
      <w:r>
        <w:t>[</w:t>
      </w:r>
      <w:r>
        <w:br/>
        <w:t>\mathcal S_F</w:t>
      </w:r>
      <w:r>
        <w:br/>
        <w:t>\subseteq</w:t>
      </w:r>
      <w:r>
        <w:br/>
        <w:t>\mathcal X_F</w:t>
      </w:r>
      <w:r>
        <w:br/>
        <w:t>\tag{3.13026}</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\mathcal S_F\subseteq\mathcal X_F</w:t>
      </w:r>
    </w:p>
    <w:p w:rsidR="00E950C8" w:rsidRDefault="00E950C8" w:rsidP="00E950C8">
      <w:pPr>
        <w:pStyle w:val="StandardWeb"/>
      </w:pPr>
      <w:r>
        <w:t>kann ein Element (U\in\mathcal X_F) existieren, für das</w:t>
      </w:r>
    </w:p>
    <w:p w:rsidR="00E950C8" w:rsidRDefault="00E950C8" w:rsidP="00E950C8">
      <w:pPr>
        <w:pStyle w:val="StandardWeb"/>
      </w:pPr>
      <w:r>
        <w:t>[</w:t>
      </w:r>
      <w:r>
        <w:br/>
        <w:t>X\preceq_F U</w:t>
      </w:r>
      <w:r>
        <w:br/>
        <w:t>\qquad</w:t>
      </w:r>
      <w:r>
        <w:br/>
        <w:t>\forall X\in\mathcal S_F</w:t>
      </w:r>
      <w:r>
        <w:br/>
        <w:t>\tag{3.13027}</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X\preceq_F U\qquad\forall X\in\mathcal S_F</w:t>
      </w:r>
    </w:p>
    <w:p w:rsidR="00E950C8" w:rsidRDefault="00E950C8" w:rsidP="00E950C8">
      <w:pPr>
        <w:pStyle w:val="StandardWeb"/>
      </w:pPr>
      <w:r>
        <w:t>gilt.</w:t>
      </w:r>
    </w:p>
    <w:p w:rsidR="00E950C8" w:rsidRDefault="00E50336" w:rsidP="00E950C8">
      <w:r>
        <w:pict>
          <v:rect id="_x0000_i4912" style="width:0;height:1.5pt" o:hralign="center" o:hrstd="t" o:hr="t" fillcolor="#a0a0a0" stroked="f"/>
        </w:pict>
      </w:r>
    </w:p>
    <w:p w:rsidR="00E950C8" w:rsidRDefault="00E950C8" w:rsidP="00E950C8">
      <w:pPr>
        <w:pStyle w:val="berschrift1"/>
      </w:pPr>
      <w:r>
        <w:t>3.3.50.66 Definition 3.3.481 – Funktionale obere Schranke</w:t>
      </w:r>
    </w:p>
    <w:p w:rsidR="00E950C8" w:rsidRDefault="00E950C8" w:rsidP="00E950C8">
      <w:pPr>
        <w:pStyle w:val="berschrift3"/>
      </w:pPr>
      <w:r>
        <w:t>Definition 3.3.481</w:t>
      </w:r>
    </w:p>
    <w:p w:rsidR="00E950C8" w:rsidRDefault="00E950C8" w:rsidP="00E950C8">
      <w:pPr>
        <w:pStyle w:val="StandardWeb"/>
      </w:pPr>
      <w:r>
        <w:t xml:space="preserve">Ein Element (U\in\mathcal X_F) heißt </w:t>
      </w:r>
      <w:r>
        <w:rPr>
          <w:rStyle w:val="Fett"/>
        </w:rPr>
        <w:t>funktionale obere Schranke</w:t>
      </w:r>
      <w:r>
        <w:t xml:space="preserve"> einer Menge (\mathcal S_F), wenn</w:t>
      </w:r>
    </w:p>
    <w:p w:rsidR="00E950C8" w:rsidRDefault="00E950C8" w:rsidP="00E950C8">
      <w:pPr>
        <w:pStyle w:val="StandardWeb"/>
      </w:pPr>
      <w:r>
        <w:t>[</w:t>
      </w:r>
      <w:r>
        <w:br/>
        <w:t>\boxed{</w:t>
      </w:r>
      <w:r>
        <w:br/>
        <w:t>\forall X\in\mathcal S_F:</w:t>
      </w:r>
      <w:r>
        <w:br/>
        <w:t>X\preceq_F U.</w:t>
      </w:r>
      <w:r>
        <w:br/>
        <w:t>}</w:t>
      </w:r>
      <w:r>
        <w:br/>
        <w:t>\tag{3.13028}</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\boxed{\forall X\in\mathcal S_F:X\preceq_F U.}</w:t>
      </w:r>
    </w:p>
    <w:p w:rsidR="00E950C8" w:rsidRDefault="00E50336" w:rsidP="00E950C8">
      <w:r>
        <w:pict>
          <v:rect id="_x0000_i4913" style="width:0;height:1.5pt" o:hralign="center" o:hrstd="t" o:hr="t" fillcolor="#a0a0a0" stroked="f"/>
        </w:pict>
      </w:r>
    </w:p>
    <w:p w:rsidR="00E950C8" w:rsidRDefault="00E950C8" w:rsidP="00E950C8">
      <w:pPr>
        <w:pStyle w:val="berschrift1"/>
      </w:pPr>
      <w:r>
        <w:lastRenderedPageBreak/>
        <w:t>3.3.50.67 Definition 3.3.482 – Funktionale untere Schranke</w:t>
      </w:r>
    </w:p>
    <w:p w:rsidR="00E950C8" w:rsidRDefault="00E950C8" w:rsidP="00E950C8">
      <w:pPr>
        <w:pStyle w:val="berschrift3"/>
      </w:pPr>
      <w:r>
        <w:t>Definition 3.3.482</w:t>
      </w:r>
    </w:p>
    <w:p w:rsidR="00E950C8" w:rsidRDefault="00E950C8" w:rsidP="00E950C8">
      <w:pPr>
        <w:pStyle w:val="StandardWeb"/>
      </w:pPr>
      <w:r>
        <w:t xml:space="preserve">Ein Element (L\in\mathcal X_F) heißt </w:t>
      </w:r>
      <w:r>
        <w:rPr>
          <w:rStyle w:val="Fett"/>
        </w:rPr>
        <w:t>funktionale untere Schranke</w:t>
      </w:r>
      <w:r>
        <w:t xml:space="preserve"> von (\mathcal S_F), wenn</w:t>
      </w:r>
    </w:p>
    <w:p w:rsidR="00E950C8" w:rsidRDefault="00E950C8" w:rsidP="00E950C8">
      <w:pPr>
        <w:pStyle w:val="StandardWeb"/>
      </w:pPr>
      <w:r>
        <w:t>[</w:t>
      </w:r>
      <w:r>
        <w:br/>
        <w:t>\boxed{</w:t>
      </w:r>
      <w:r>
        <w:br/>
        <w:t>\forall X\in\mathcal S_F:</w:t>
      </w:r>
      <w:r>
        <w:br/>
        <w:t>L\preceq_F X.</w:t>
      </w:r>
      <w:r>
        <w:br/>
        <w:t>}</w:t>
      </w:r>
      <w:r>
        <w:br/>
        <w:t>\tag{3.13029}</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\boxed{\forall X\in\mathcal S_F:L\preceq_F X.}</w:t>
      </w:r>
    </w:p>
    <w:p w:rsidR="00E950C8" w:rsidRDefault="00E50336" w:rsidP="00E950C8">
      <w:r>
        <w:pict>
          <v:rect id="_x0000_i4914" style="width:0;height:1.5pt" o:hralign="center" o:hrstd="t" o:hr="t" fillcolor="#a0a0a0" stroked="f"/>
        </w:pict>
      </w:r>
    </w:p>
    <w:p w:rsidR="00E950C8" w:rsidRDefault="00E950C8" w:rsidP="00E950C8">
      <w:pPr>
        <w:pStyle w:val="berschrift1"/>
      </w:pPr>
      <w:r>
        <w:t>3.3.50.68 Menge oberer Schranken</w:t>
      </w:r>
    </w:p>
    <w:p w:rsidR="00E950C8" w:rsidRDefault="00E950C8" w:rsidP="00E950C8">
      <w:pPr>
        <w:pStyle w:val="StandardWeb"/>
      </w:pPr>
      <w:r>
        <w:t>Ich definiere</w:t>
      </w:r>
    </w:p>
    <w:p w:rsidR="00E950C8" w:rsidRDefault="00E950C8" w:rsidP="00E950C8">
      <w:pPr>
        <w:pStyle w:val="berschrift1"/>
      </w:pPr>
      <w:r>
        <w:t>[</w:t>
      </w:r>
      <w:r>
        <w:br/>
        <w:t>\operatorname{UB}_F(\mathcal S_F)</w:t>
      </w:r>
    </w:p>
    <w:p w:rsidR="00E950C8" w:rsidRDefault="00E950C8" w:rsidP="00E950C8">
      <w:pPr>
        <w:pStyle w:val="StandardWeb"/>
      </w:pPr>
      <w:r>
        <w:t>{</w:t>
      </w:r>
      <w:r>
        <w:br/>
        <w:t>U\in\mathcal X_F:</w:t>
      </w:r>
      <w:r>
        <w:br/>
        <w:t>\forall X\in\mathcal S_F,,</w:t>
      </w:r>
      <w:r>
        <w:br/>
        <w:t>X\preceq_F U</w:t>
      </w:r>
      <w:r>
        <w:br/>
        <w:t>}.</w:t>
      </w:r>
      <w:r>
        <w:br/>
        <w:t>\tag{3.13030}</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\operatorname{UB}_F(\mathcal S_F)=\{U\in\mathcal X_F:\forall X\in\mathcal S_F,\,X\preceq_F U\}</w:t>
      </w:r>
    </w:p>
    <w:p w:rsidR="00E950C8" w:rsidRDefault="00E50336" w:rsidP="00E950C8">
      <w:r>
        <w:pict>
          <v:rect id="_x0000_i4915" style="width:0;height:1.5pt" o:hralign="center" o:hrstd="t" o:hr="t" fillcolor="#a0a0a0" stroked="f"/>
        </w:pict>
      </w:r>
    </w:p>
    <w:p w:rsidR="00E950C8" w:rsidRDefault="00E950C8" w:rsidP="00E950C8">
      <w:pPr>
        <w:pStyle w:val="berschrift1"/>
      </w:pPr>
      <w:r>
        <w:t>3.3.50.69 Menge unterer Schranken</w:t>
      </w:r>
    </w:p>
    <w:p w:rsidR="00E950C8" w:rsidRDefault="00E950C8" w:rsidP="00E950C8">
      <w:pPr>
        <w:pStyle w:val="StandardWeb"/>
      </w:pPr>
      <w:r>
        <w:t>Analog setze ich</w:t>
      </w:r>
    </w:p>
    <w:p w:rsidR="00E950C8" w:rsidRDefault="00E950C8" w:rsidP="00E950C8">
      <w:pPr>
        <w:pStyle w:val="berschrift1"/>
      </w:pPr>
      <w:r>
        <w:lastRenderedPageBreak/>
        <w:t>[</w:t>
      </w:r>
      <w:r>
        <w:br/>
        <w:t>\operatorname{LB}_F(\mathcal S_F)</w:t>
      </w:r>
    </w:p>
    <w:p w:rsidR="00E950C8" w:rsidRDefault="00E950C8" w:rsidP="00E950C8">
      <w:pPr>
        <w:pStyle w:val="StandardWeb"/>
      </w:pPr>
      <w:r>
        <w:t>{</w:t>
      </w:r>
      <w:r>
        <w:br/>
        <w:t>L\in\mathcal X_F:</w:t>
      </w:r>
      <w:r>
        <w:br/>
        <w:t>\forall X\in\mathcal S_F,,</w:t>
      </w:r>
      <w:r>
        <w:br/>
        <w:t>L\preceq_F X</w:t>
      </w:r>
      <w:r>
        <w:br/>
        <w:t>}.</w:t>
      </w:r>
      <w:r>
        <w:br/>
        <w:t>\tag{3.13031}</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\operatorname{LB}_F(\mathcal S_F)=\{L\in\mathcal X_F:\forall X\in\mathcal S_F,\,L\preceq_F X\}</w:t>
      </w:r>
    </w:p>
    <w:p w:rsidR="00E950C8" w:rsidRDefault="00E50336" w:rsidP="00E950C8">
      <w:r>
        <w:pict>
          <v:rect id="_x0000_i4916" style="width:0;height:1.5pt" o:hralign="center" o:hrstd="t" o:hr="t" fillcolor="#a0a0a0" stroked="f"/>
        </w:pict>
      </w:r>
    </w:p>
    <w:p w:rsidR="00E950C8" w:rsidRDefault="00E950C8" w:rsidP="00E950C8">
      <w:pPr>
        <w:pStyle w:val="berschrift1"/>
      </w:pPr>
      <w:r>
        <w:t>3.3.50.70 Definition 3.3.483 – Funktionales Supremum</w:t>
      </w:r>
    </w:p>
    <w:p w:rsidR="00E950C8" w:rsidRDefault="00E950C8" w:rsidP="00E950C8">
      <w:pPr>
        <w:pStyle w:val="berschrift3"/>
      </w:pPr>
      <w:r>
        <w:t>Definition 3.3.483</w:t>
      </w:r>
    </w:p>
    <w:p w:rsidR="00E950C8" w:rsidRDefault="00E950C8" w:rsidP="00E950C8">
      <w:pPr>
        <w:pStyle w:val="StandardWeb"/>
      </w:pPr>
      <w:r>
        <w:t xml:space="preserve">Ein Element (\sup_F\mathcal S_F) heißt </w:t>
      </w:r>
      <w:r>
        <w:rPr>
          <w:rStyle w:val="Fett"/>
        </w:rPr>
        <w:t>funktionales Supremum</w:t>
      </w:r>
      <w:r>
        <w:t>, wenn es die kleinste obere Schranke von (\mathcal S_F) ist:</w:t>
      </w:r>
    </w:p>
    <w:p w:rsidR="00E950C8" w:rsidRDefault="00E950C8" w:rsidP="00E950C8">
      <w:pPr>
        <w:pStyle w:val="StandardWeb"/>
      </w:pPr>
      <w:r>
        <w:t>[</w:t>
      </w:r>
      <w:r>
        <w:br/>
        <w:t>\boxed{</w:t>
      </w:r>
      <w:r>
        <w:br/>
        <w:t>\sup_F\mathcal S_F</w:t>
      </w:r>
      <w:r>
        <w:br/>
        <w:t>\in</w:t>
      </w:r>
      <w:r>
        <w:br/>
        <w:t>\operatorname{UB}_F(\mathcal S_F)</w:t>
      </w:r>
      <w:r>
        <w:br/>
        <w:t>}</w:t>
      </w:r>
      <w:r>
        <w:br/>
        <w:t>\tag{3.13032}</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\boxed{\sup_F\mathcal S_F\in\operatorname{UB}_F(\mathcal S_F)}</w:t>
      </w:r>
    </w:p>
    <w:p w:rsidR="00E950C8" w:rsidRDefault="00E950C8" w:rsidP="00E950C8">
      <w:pPr>
        <w:pStyle w:val="StandardWeb"/>
      </w:pPr>
      <w:r>
        <w:t>und</w:t>
      </w:r>
    </w:p>
    <w:p w:rsidR="00E950C8" w:rsidRDefault="00E950C8" w:rsidP="00E950C8">
      <w:pPr>
        <w:pStyle w:val="StandardWeb"/>
      </w:pPr>
      <w:r>
        <w:t>[</w:t>
      </w:r>
      <w:r>
        <w:br/>
        <w:t>\forall U\in\operatorname{UB}_F(\mathcal S_F):</w:t>
      </w:r>
      <w:r>
        <w:br/>
        <w:t>\sup_F\mathcal S_F</w:t>
      </w:r>
      <w:r>
        <w:br/>
        <w:t>\preceq_F</w:t>
      </w:r>
      <w:r>
        <w:br/>
        <w:t>U.</w:t>
      </w:r>
      <w:r>
        <w:br/>
        <w:t>\tag{3.13033}</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\forall U\in\operatorname{UB}_F(\mathcal S_F):\sup_F\mathcal S_F\preceq_F U</w:t>
      </w:r>
    </w:p>
    <w:p w:rsidR="00E950C8" w:rsidRDefault="00E50336" w:rsidP="00E950C8">
      <w:r>
        <w:lastRenderedPageBreak/>
        <w:pict>
          <v:rect id="_x0000_i4917" style="width:0;height:1.5pt" o:hralign="center" o:hrstd="t" o:hr="t" fillcolor="#a0a0a0" stroked="f"/>
        </w:pict>
      </w:r>
    </w:p>
    <w:p w:rsidR="00E950C8" w:rsidRDefault="00E950C8" w:rsidP="00E950C8">
      <w:pPr>
        <w:pStyle w:val="berschrift1"/>
      </w:pPr>
      <w:r>
        <w:t>3.3.50.71 Definition 3.3.484 – Funktionales Infimum</w:t>
      </w:r>
    </w:p>
    <w:p w:rsidR="00E950C8" w:rsidRDefault="00E950C8" w:rsidP="00E950C8">
      <w:pPr>
        <w:pStyle w:val="berschrift3"/>
      </w:pPr>
      <w:r>
        <w:t>Definition 3.3.484</w:t>
      </w:r>
    </w:p>
    <w:p w:rsidR="00E950C8" w:rsidRDefault="00E950C8" w:rsidP="00E950C8">
      <w:pPr>
        <w:pStyle w:val="StandardWeb"/>
      </w:pPr>
      <w:r>
        <w:t xml:space="preserve">Ein Element (\inf_F\mathcal S_F) heißt </w:t>
      </w:r>
      <w:r>
        <w:rPr>
          <w:rStyle w:val="Fett"/>
        </w:rPr>
        <w:t>funktionales Infimum</w:t>
      </w:r>
      <w:r>
        <w:t>, wenn es die größte untere Schranke von (\mathcal S_F) ist:</w:t>
      </w:r>
    </w:p>
    <w:p w:rsidR="00E950C8" w:rsidRDefault="00E950C8" w:rsidP="00E950C8">
      <w:pPr>
        <w:pStyle w:val="StandardWeb"/>
      </w:pPr>
      <w:r>
        <w:t>[</w:t>
      </w:r>
      <w:r>
        <w:br/>
        <w:t>\boxed{</w:t>
      </w:r>
      <w:r>
        <w:br/>
        <w:t>\inf_F\mathcal S_F</w:t>
      </w:r>
      <w:r>
        <w:br/>
        <w:t>\in</w:t>
      </w:r>
      <w:r>
        <w:br/>
        <w:t>\operatorname{LB}_F(\mathcal S_F)</w:t>
      </w:r>
      <w:r>
        <w:br/>
        <w:t>}</w:t>
      </w:r>
      <w:r>
        <w:br/>
        <w:t>\tag{3.13034}</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\boxed{\inf_F\mathcal S_F\in\operatorname{LB}_F(\mathcal S_F)}</w:t>
      </w:r>
    </w:p>
    <w:p w:rsidR="00E950C8" w:rsidRDefault="00E950C8" w:rsidP="00E950C8">
      <w:pPr>
        <w:pStyle w:val="StandardWeb"/>
      </w:pPr>
      <w:r>
        <w:t>und</w:t>
      </w:r>
    </w:p>
    <w:p w:rsidR="00E950C8" w:rsidRDefault="00E950C8" w:rsidP="00E950C8">
      <w:pPr>
        <w:pStyle w:val="StandardWeb"/>
      </w:pPr>
      <w:r>
        <w:t>[</w:t>
      </w:r>
      <w:r>
        <w:br/>
        <w:t>\forall L\in\operatorname{LB}_F(\mathcal S_F):</w:t>
      </w:r>
      <w:r>
        <w:br/>
        <w:t>L</w:t>
      </w:r>
      <w:r>
        <w:br/>
        <w:t>\preceq_F</w:t>
      </w:r>
      <w:r>
        <w:br/>
        <w:t>\inf_F\mathcal S_F.</w:t>
      </w:r>
      <w:r>
        <w:br/>
        <w:t>\tag{3.13035}</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\forall L\in\operatorname{LB}_F(\mathcal S_F):L\preceq_F\inf_F\mathcal S_F</w:t>
      </w:r>
    </w:p>
    <w:p w:rsidR="00E950C8" w:rsidRDefault="00E50336" w:rsidP="00E950C8">
      <w:r>
        <w:pict>
          <v:rect id="_x0000_i4918" style="width:0;height:1.5pt" o:hralign="center" o:hrstd="t" o:hr="t" fillcolor="#a0a0a0" stroked="f"/>
        </w:pict>
      </w:r>
    </w:p>
    <w:p w:rsidR="00E950C8" w:rsidRDefault="00E950C8" w:rsidP="00E950C8">
      <w:pPr>
        <w:pStyle w:val="berschrift1"/>
      </w:pPr>
      <w:r>
        <w:t>3.3.50.72 Existenz eines Supremums ist nicht garantiert</w:t>
      </w:r>
    </w:p>
    <w:p w:rsidR="00E950C8" w:rsidRDefault="00E950C8" w:rsidP="00E950C8">
      <w:pPr>
        <w:pStyle w:val="StandardWeb"/>
      </w:pPr>
      <w:r>
        <w:t>Eine Kandidatenmenge kann keine obere Schranke besitzen:</w:t>
      </w:r>
    </w:p>
    <w:p w:rsidR="00E950C8" w:rsidRDefault="00E950C8" w:rsidP="00E950C8">
      <w:pPr>
        <w:pStyle w:val="berschrift1"/>
      </w:pPr>
      <w:r>
        <w:t>[</w:t>
      </w:r>
      <w:r>
        <w:br/>
        <w:t>\operatorname{UB}_F(\mathcal S_F)</w:t>
      </w:r>
    </w:p>
    <w:p w:rsidR="00E950C8" w:rsidRDefault="00E950C8" w:rsidP="00E950C8">
      <w:pPr>
        <w:pStyle w:val="StandardWeb"/>
      </w:pPr>
      <w:r>
        <w:t>\varnothing.</w:t>
      </w:r>
      <w:r>
        <w:br/>
        <w:t>\tag{3.13036}</w:t>
      </w:r>
      <w:r>
        <w:br/>
        <w:t>]</w:t>
      </w:r>
    </w:p>
    <w:p w:rsidR="00E950C8" w:rsidRDefault="00E950C8" w:rsidP="00E950C8">
      <w:pPr>
        <w:pStyle w:val="StandardWeb"/>
      </w:pPr>
      <w:r>
        <w:rPr>
          <w:rStyle w:val="Fett"/>
        </w:rPr>
        <w:lastRenderedPageBreak/>
        <w:t>Word-LaTeX</w:t>
      </w:r>
    </w:p>
    <w:p w:rsidR="00E950C8" w:rsidRDefault="00E950C8" w:rsidP="00E950C8">
      <w:pPr>
        <w:pStyle w:val="HTMLVorformatiert"/>
        <w:rPr>
          <w:rStyle w:val="HTMLCode"/>
        </w:rPr>
      </w:pPr>
      <w:r>
        <w:rPr>
          <w:rStyle w:val="HTMLCode"/>
        </w:rPr>
        <w:t>\operatorname{UB}_F(\mathcal S_F)=\varnothing</w:t>
      </w:r>
    </w:p>
    <w:p w:rsidR="00E950C8" w:rsidRDefault="00E950C8" w:rsidP="00E950C8">
      <w:pPr>
        <w:pStyle w:val="StandardWeb"/>
      </w:pPr>
      <w:r>
        <w:t>Dann existiert insbesondere kein Supremum.</w:t>
      </w:r>
    </w:p>
    <w:p w:rsidR="00E950C8" w:rsidRDefault="00E50336" w:rsidP="00E950C8">
      <w:r>
        <w:pict>
          <v:rect id="_x0000_i4919" style="width:0;height:1.5pt" o:hralign="center" o:hrstd="t" o:hr="t" fillcolor="#a0a0a0" stroked="f"/>
        </w:pict>
      </w:r>
    </w:p>
    <w:p w:rsidR="00E950C8" w:rsidRDefault="00E950C8" w:rsidP="00E950C8">
      <w:pPr>
        <w:pStyle w:val="berschrift1"/>
      </w:pPr>
      <w:r>
        <w:t>3.3.50.73 Universelle Supremumsexistenz als Primäraxiomkandidat</w:t>
      </w:r>
    </w:p>
    <w:p w:rsidR="00E950C8" w:rsidRDefault="00E950C8" w:rsidP="00E950C8">
      <w:pPr>
        <w:pStyle w:val="StandardWeb"/>
      </w:pPr>
      <w:r>
        <w:t>Ein möglicher Kandidat wäre</w:t>
      </w:r>
    </w:p>
    <w:p w:rsidR="00E950C8" w:rsidRDefault="00E950C8" w:rsidP="00E950C8">
      <w:pPr>
        <w:pStyle w:val="StandardWeb"/>
      </w:pPr>
      <w:r>
        <w:t>[</w:t>
      </w:r>
      <w:r>
        <w:br/>
        <w:t>A_{\mathrm{sup}}</w:t>
      </w:r>
      <w:r>
        <w:br/>
        <w:t>:</w:t>
      </w:r>
      <w:r>
        <w:br/>
        <w:t>\forall</w:t>
      </w:r>
      <w:r>
        <w:br/>
        <w:t>\varnothing\neq\mathcal S_F\subseteq\mathcal X_F:</w:t>
      </w:r>
      <w:r>
        <w:br/>
        <w:t>\exists</w:t>
      </w:r>
      <w:r>
        <w:br/>
        <w:t>\sup_F\mathcal S_F.</w:t>
      </w:r>
      <w:r>
        <w:br/>
        <w:t>\tag{3.13037}</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A_{\mathrm{sup}}:\forall\varnothing\neq\mathcal S_F\subseteq\mathcal X_F:\exists\sup_F\mathcal S_F</w:t>
      </w:r>
    </w:p>
    <w:p w:rsidR="00E950C8" w:rsidRDefault="00E50336" w:rsidP="00E950C8">
      <w:r>
        <w:pict>
          <v:rect id="_x0000_i4920" style="width:0;height:1.5pt" o:hralign="center" o:hrstd="t" o:hr="t" fillcolor="#a0a0a0" stroked="f"/>
        </w:pict>
      </w:r>
    </w:p>
    <w:p w:rsidR="00E950C8" w:rsidRDefault="00E950C8" w:rsidP="00E950C8">
      <w:pPr>
        <w:pStyle w:val="berschrift1"/>
      </w:pPr>
      <w:r>
        <w:t>3.3.50.74 Gegenmodell zur universellen Supremumsexistenz</w:t>
      </w:r>
    </w:p>
    <w:p w:rsidR="00E950C8" w:rsidRDefault="00E950C8" w:rsidP="00E950C8">
      <w:pPr>
        <w:pStyle w:val="StandardWeb"/>
      </w:pPr>
      <w:r>
        <w:t>Seien zwei unvergleichbare Elemente</w:t>
      </w:r>
    </w:p>
    <w:p w:rsidR="00E950C8" w:rsidRDefault="00E950C8" w:rsidP="00E950C8">
      <w:pPr>
        <w:pStyle w:val="StandardWeb"/>
      </w:pPr>
      <w:r>
        <w:t>[</w:t>
      </w:r>
      <w:r>
        <w:br/>
        <w:t>X_1</w:t>
      </w:r>
      <w:r>
        <w:br/>
        <w:t>\parallel_F</w:t>
      </w:r>
      <w:r>
        <w:br/>
        <w:t>X_2</w:t>
      </w:r>
      <w:r>
        <w:br/>
        <w:t>\tag{3.13038}</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X_1\parallel_F X_2</w:t>
      </w:r>
    </w:p>
    <w:p w:rsidR="00E950C8" w:rsidRDefault="00E950C8" w:rsidP="00E950C8">
      <w:pPr>
        <w:pStyle w:val="StandardWeb"/>
      </w:pPr>
      <w:r>
        <w:t>gegeben und existiere kein gemeinsames oberes Element.</w:t>
      </w:r>
    </w:p>
    <w:p w:rsidR="00E950C8" w:rsidRDefault="00E950C8" w:rsidP="00E950C8">
      <w:pPr>
        <w:pStyle w:val="StandardWeb"/>
      </w:pPr>
      <w:r>
        <w:t>Dann gilt</w:t>
      </w:r>
    </w:p>
    <w:p w:rsidR="00E950C8" w:rsidRDefault="00E950C8" w:rsidP="00E950C8">
      <w:pPr>
        <w:pStyle w:val="berschrift1"/>
      </w:pPr>
      <w:r>
        <w:lastRenderedPageBreak/>
        <w:t>[</w:t>
      </w:r>
      <w:r>
        <w:br/>
        <w:t>\operatorname{UB}_F</w:t>
      </w:r>
      <w:r>
        <w:br/>
        <w:t>(</w:t>
      </w:r>
      <w:r>
        <w:br/>
        <w:t>{X_1,X_2}</w:t>
      </w:r>
      <w:r>
        <w:br/>
        <w:t>)</w:t>
      </w:r>
    </w:p>
    <w:p w:rsidR="00E950C8" w:rsidRDefault="00E950C8" w:rsidP="00E950C8">
      <w:pPr>
        <w:pStyle w:val="StandardWeb"/>
      </w:pPr>
      <w:r>
        <w:t>\varnothing.</w:t>
      </w:r>
      <w:r>
        <w:br/>
        <w:t>\tag{3.13039}</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\operatorname{UB}_F(\{X_1,X_2\})=\varnothing</w:t>
      </w:r>
    </w:p>
    <w:p w:rsidR="00E950C8" w:rsidRDefault="00E950C8" w:rsidP="00E950C8">
      <w:pPr>
        <w:pStyle w:val="StandardWeb"/>
      </w:pPr>
      <w:r>
        <w:t>Damit existiert kein Supremum dieser Teilmenge.</w:t>
      </w:r>
    </w:p>
    <w:p w:rsidR="00E950C8" w:rsidRDefault="00E50336" w:rsidP="00E950C8">
      <w:r>
        <w:pict>
          <v:rect id="_x0000_i4921" style="width:0;height:1.5pt" o:hralign="center" o:hrstd="t" o:hr="t" fillcolor="#a0a0a0" stroked="f"/>
        </w:pict>
      </w:r>
    </w:p>
    <w:p w:rsidR="00E950C8" w:rsidRDefault="00E950C8" w:rsidP="00E950C8">
      <w:pPr>
        <w:pStyle w:val="berschrift1"/>
      </w:pPr>
      <w:r>
        <w:t>3.3.50.75 Axiomentscheidung zur universellen Supremumsexistenz</w:t>
      </w:r>
    </w:p>
    <w:p w:rsidR="00E950C8" w:rsidRDefault="00E950C8" w:rsidP="00E950C8">
      <w:pPr>
        <w:pStyle w:val="StandardWeb"/>
      </w:pPr>
      <w:r>
        <w:t>Daraus folgt</w:t>
      </w:r>
    </w:p>
    <w:p w:rsidR="00E950C8" w:rsidRDefault="00E950C8" w:rsidP="00E950C8">
      <w:pPr>
        <w:pStyle w:val="berschrift1"/>
      </w:pPr>
      <w:r>
        <w:t>[</w:t>
      </w:r>
      <w:r>
        <w:br/>
        <w:t>\boxed{</w:t>
      </w:r>
      <w:r>
        <w:br/>
        <w:t>U_{\mathrm{Ax}}</w:t>
      </w:r>
      <w:r>
        <w:br/>
        <w:t>(A_{\mathrm{sup}})</w:t>
      </w:r>
    </w:p>
    <w:p w:rsidR="00E950C8" w:rsidRDefault="00E950C8" w:rsidP="00563F88">
      <w:pPr>
        <w:numPr>
          <w:ilvl w:val="0"/>
          <w:numId w:val="597"/>
        </w:numPr>
        <w:spacing w:before="100" w:beforeAutospacing="1" w:after="100" w:afterAutospacing="1"/>
      </w:pPr>
    </w:p>
    <w:p w:rsidR="00E950C8" w:rsidRDefault="00E950C8" w:rsidP="00E950C8">
      <w:pPr>
        <w:pStyle w:val="StandardWeb"/>
      </w:pPr>
      <w:r>
        <w:t>}</w:t>
      </w:r>
      <w:r>
        <w:br/>
        <w:t>\tag{3.13040}</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\boxed{U_{\mathrm{Ax}}(A_{\mathrm{sup}})=0.}</w:t>
      </w:r>
    </w:p>
    <w:p w:rsidR="00E950C8" w:rsidRDefault="00E50336" w:rsidP="00E950C8">
      <w:r>
        <w:pict>
          <v:rect id="_x0000_i4922" style="width:0;height:1.5pt" o:hralign="center" o:hrstd="t" o:hr="t" fillcolor="#a0a0a0" stroked="f"/>
        </w:pict>
      </w:r>
    </w:p>
    <w:p w:rsidR="00E950C8" w:rsidRDefault="00E950C8" w:rsidP="00E950C8">
      <w:pPr>
        <w:pStyle w:val="berschrift1"/>
      </w:pPr>
      <w:r>
        <w:t>3.3.50.76 Satz 3.3.185 – Universelle Supremumsexistenz ist kein Primäraxiom</w:t>
      </w:r>
    </w:p>
    <w:p w:rsidR="00E950C8" w:rsidRDefault="00E950C8" w:rsidP="00E950C8">
      <w:pPr>
        <w:pStyle w:val="berschrift3"/>
      </w:pPr>
      <w:r>
        <w:lastRenderedPageBreak/>
        <w:t>Satz 3.3.185</w:t>
      </w:r>
    </w:p>
    <w:p w:rsidR="00E950C8" w:rsidRDefault="00E950C8" w:rsidP="00E950C8">
      <w:pPr>
        <w:pStyle w:val="StandardWeb"/>
      </w:pPr>
      <w:r>
        <w:t>Die Forderung, jede nichtleere Teilmenge einer funktionalen Ordnung müsse ein Supremum besitzen, ist keine universell notwendige Voraussetzung des allgemeinen FRZK.</w:t>
      </w:r>
    </w:p>
    <w:p w:rsidR="00E950C8" w:rsidRDefault="00E950C8" w:rsidP="00E950C8">
      <w:pPr>
        <w:pStyle w:val="StandardWeb"/>
      </w:pPr>
      <w:r>
        <w:t>Formal gilt</w:t>
      </w:r>
    </w:p>
    <w:p w:rsidR="00E950C8" w:rsidRDefault="00E950C8" w:rsidP="00E950C8">
      <w:pPr>
        <w:pStyle w:val="berschrift1"/>
      </w:pPr>
      <w:r>
        <w:t>[</w:t>
      </w:r>
      <w:r>
        <w:br/>
        <w:t>\boxed{</w:t>
      </w:r>
      <w:r>
        <w:br/>
        <w:t>U_{\mathrm{Ax}}</w:t>
      </w:r>
      <w:r>
        <w:br/>
        <w:t>(A_{\mathrm{sup}})</w:t>
      </w:r>
    </w:p>
    <w:p w:rsidR="00E950C8" w:rsidRDefault="00E950C8" w:rsidP="00563F88">
      <w:pPr>
        <w:numPr>
          <w:ilvl w:val="0"/>
          <w:numId w:val="598"/>
        </w:numPr>
        <w:spacing w:before="100" w:beforeAutospacing="1" w:after="100" w:afterAutospacing="1"/>
      </w:pPr>
    </w:p>
    <w:p w:rsidR="00E950C8" w:rsidRDefault="00E950C8" w:rsidP="00E950C8">
      <w:pPr>
        <w:pStyle w:val="StandardWeb"/>
      </w:pPr>
      <w:r>
        <w:t>}</w:t>
      </w:r>
      <w:r>
        <w:br/>
        <w:t>\tag{3.13041}</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\boxed{U_{\mathrm{Ax}}(A_{\mathrm{sup}})=0.}</w:t>
      </w:r>
    </w:p>
    <w:p w:rsidR="00E950C8" w:rsidRDefault="00E50336" w:rsidP="00E950C8">
      <w:r>
        <w:pict>
          <v:rect id="_x0000_i4923" style="width:0;height:1.5pt" o:hralign="center" o:hrstd="t" o:hr="t" fillcolor="#a0a0a0" stroked="f"/>
        </w:pict>
      </w:r>
    </w:p>
    <w:p w:rsidR="00E950C8" w:rsidRDefault="00E950C8" w:rsidP="00E950C8">
      <w:pPr>
        <w:pStyle w:val="berschrift1"/>
      </w:pPr>
      <w:r>
        <w:t>3.3.50.77 Korollar 3.3.44 – Vollständige Verbandsstruktur ist nicht erforderlich</w:t>
      </w:r>
    </w:p>
    <w:p w:rsidR="00E950C8" w:rsidRDefault="00E950C8" w:rsidP="00E950C8">
      <w:pPr>
        <w:pStyle w:val="berschrift3"/>
      </w:pPr>
      <w:r>
        <w:t>Korollar 3.3.44</w:t>
      </w:r>
    </w:p>
    <w:p w:rsidR="00E950C8" w:rsidRDefault="00E950C8" w:rsidP="00E950C8">
      <w:pPr>
        <w:pStyle w:val="StandardWeb"/>
      </w:pPr>
      <w:r>
        <w:t>Da bereits die universelle Existenz von Suprema nicht notwendig ist, folgt insbesondere</w:t>
      </w:r>
    </w:p>
    <w:p w:rsidR="00E950C8" w:rsidRDefault="00E950C8" w:rsidP="00E950C8">
      <w:pPr>
        <w:pStyle w:val="StandardWeb"/>
      </w:pPr>
      <w:r>
        <w:t>[</w:t>
      </w:r>
      <w:r>
        <w:br/>
        <w:t>\boxed{</w:t>
      </w:r>
      <w:r>
        <w:br/>
        <w:t>\text{vollständige Verbandsstruktur}</w:t>
      </w:r>
      <w:r>
        <w:br/>
        <w:t>\notin</w:t>
      </w:r>
      <w:r>
        <w:br/>
        <w:t>\mathcal A_{\mathrm{FRZK}}^{\min}.</w:t>
      </w:r>
      <w:r>
        <w:br/>
        <w:t>}</w:t>
      </w:r>
      <w:r>
        <w:br/>
        <w:t>\tag{3.13042}</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\boxed{\text{vollständige Verbandsstruktur}\notin\mathcal A_{\mathrm{FRZK}}^{\min}.}</w:t>
      </w:r>
    </w:p>
    <w:p w:rsidR="00E950C8" w:rsidRDefault="00E50336" w:rsidP="00E950C8">
      <w:r>
        <w:pict>
          <v:rect id="_x0000_i4924" style="width:0;height:1.5pt" o:hralign="center" o:hrstd="t" o:hr="t" fillcolor="#a0a0a0" stroked="f"/>
        </w:pict>
      </w:r>
    </w:p>
    <w:p w:rsidR="00E950C8" w:rsidRDefault="00E950C8" w:rsidP="00E950C8">
      <w:pPr>
        <w:pStyle w:val="berschrift1"/>
      </w:pPr>
      <w:r>
        <w:t>3.3.50.78 Funktionales Optimum</w:t>
      </w:r>
    </w:p>
    <w:p w:rsidR="00E950C8" w:rsidRDefault="00E950C8" w:rsidP="00E950C8">
      <w:pPr>
        <w:pStyle w:val="StandardWeb"/>
      </w:pPr>
      <w:r>
        <w:lastRenderedPageBreak/>
        <w:t>Ist eine Bewertungsabbildung</w:t>
      </w:r>
    </w:p>
    <w:p w:rsidR="00E950C8" w:rsidRDefault="00E950C8" w:rsidP="00E950C8">
      <w:pPr>
        <w:pStyle w:val="StandardWeb"/>
      </w:pPr>
      <w:r>
        <w:t>[</w:t>
      </w:r>
      <w:r>
        <w:br/>
        <w:t>u_F:</w:t>
      </w:r>
      <w:r>
        <w:br/>
        <w:t>\mathcal C_F</w:t>
      </w:r>
      <w:r>
        <w:br/>
        <w:t>\rightarrow</w:t>
      </w:r>
      <w:r>
        <w:br/>
        <w:t>\mathbb R</w:t>
      </w:r>
      <w:r>
        <w:br/>
        <w:t>\tag{3.13043}</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u_F:\mathcal C_F\rightarrow\mathbb R</w:t>
      </w:r>
    </w:p>
    <w:p w:rsidR="00E950C8" w:rsidRDefault="00E950C8" w:rsidP="00E950C8">
      <w:pPr>
        <w:pStyle w:val="StandardWeb"/>
      </w:pPr>
      <w:r>
        <w:t>gegeben, kann ein Optimierungsproblem formuliert werden.</w:t>
      </w:r>
    </w:p>
    <w:p w:rsidR="00E950C8" w:rsidRDefault="00E50336" w:rsidP="00E950C8">
      <w:r>
        <w:pict>
          <v:rect id="_x0000_i4925" style="width:0;height:1.5pt" o:hralign="center" o:hrstd="t" o:hr="t" fillcolor="#a0a0a0" stroked="f"/>
        </w:pict>
      </w:r>
    </w:p>
    <w:p w:rsidR="00E950C8" w:rsidRDefault="00E950C8" w:rsidP="00E950C8">
      <w:pPr>
        <w:pStyle w:val="berschrift1"/>
      </w:pPr>
      <w:r>
        <w:t>3.3.50.79 Definition 3.3.485 – Funktionales Maximum einer Bewertung</w:t>
      </w:r>
    </w:p>
    <w:p w:rsidR="00E950C8" w:rsidRDefault="00E950C8" w:rsidP="00E950C8">
      <w:pPr>
        <w:pStyle w:val="berschrift3"/>
      </w:pPr>
      <w:r>
        <w:t>Definition 3.3.485</w:t>
      </w:r>
    </w:p>
    <w:p w:rsidR="00E950C8" w:rsidRDefault="00E950C8" w:rsidP="00E950C8">
      <w:pPr>
        <w:pStyle w:val="StandardWeb"/>
      </w:pPr>
      <w:r>
        <w:t xml:space="preserve">Ein Element (X^\star\in\mathcal C_F) heißt </w:t>
      </w:r>
      <w:r>
        <w:rPr>
          <w:rStyle w:val="Fett"/>
        </w:rPr>
        <w:t>funktionales Bewertungsmaximum</w:t>
      </w:r>
      <w:r>
        <w:t>, wenn</w:t>
      </w:r>
    </w:p>
    <w:p w:rsidR="00E950C8" w:rsidRDefault="00E950C8" w:rsidP="00E950C8">
      <w:pPr>
        <w:pStyle w:val="StandardWeb"/>
      </w:pPr>
      <w:r>
        <w:t>[</w:t>
      </w:r>
      <w:r>
        <w:br/>
        <w:t>\boxed{</w:t>
      </w:r>
      <w:r>
        <w:br/>
        <w:t>u_F(X^\star)</w:t>
      </w:r>
      <w:r>
        <w:br/>
        <w:t>\geq</w:t>
      </w:r>
      <w:r>
        <w:br/>
        <w:t>u_F(X)</w:t>
      </w:r>
      <w:r>
        <w:br/>
        <w:t>\qquad</w:t>
      </w:r>
      <w:r>
        <w:br/>
        <w:t>\forall X\in\mathcal C_F.</w:t>
      </w:r>
      <w:r>
        <w:br/>
        <w:t>}</w:t>
      </w:r>
      <w:r>
        <w:br/>
        <w:t>\tag{3.13044}</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\boxed{u_F(X^\star)\geq u_F(X)\qquad\forall X\in\mathcal C_F.}</w:t>
      </w:r>
    </w:p>
    <w:p w:rsidR="00E950C8" w:rsidRDefault="00E50336" w:rsidP="00E950C8">
      <w:r>
        <w:pict>
          <v:rect id="_x0000_i4926" style="width:0;height:1.5pt" o:hralign="center" o:hrstd="t" o:hr="t" fillcolor="#a0a0a0" stroked="f"/>
        </w:pict>
      </w:r>
    </w:p>
    <w:p w:rsidR="00E950C8" w:rsidRDefault="00E950C8" w:rsidP="00E950C8">
      <w:pPr>
        <w:pStyle w:val="berschrift1"/>
      </w:pPr>
      <w:r>
        <w:t>3.3.50.80 Definition 3.3.486 – Funktionales Bewertungsminimum</w:t>
      </w:r>
    </w:p>
    <w:p w:rsidR="00E950C8" w:rsidRDefault="00E950C8" w:rsidP="00E950C8">
      <w:pPr>
        <w:pStyle w:val="berschrift3"/>
      </w:pPr>
      <w:r>
        <w:t>Definition 3.3.486</w:t>
      </w:r>
    </w:p>
    <w:p w:rsidR="00E950C8" w:rsidRDefault="00E950C8" w:rsidP="00E950C8">
      <w:pPr>
        <w:pStyle w:val="StandardWeb"/>
      </w:pPr>
      <w:r>
        <w:t xml:space="preserve">Ein Element (X_\star\in\mathcal C_F) heißt </w:t>
      </w:r>
      <w:r>
        <w:rPr>
          <w:rStyle w:val="Fett"/>
        </w:rPr>
        <w:t>funktionales Bewertungsminimum</w:t>
      </w:r>
      <w:r>
        <w:t>, wenn</w:t>
      </w:r>
    </w:p>
    <w:p w:rsidR="00E950C8" w:rsidRDefault="00E950C8" w:rsidP="00E950C8">
      <w:pPr>
        <w:pStyle w:val="StandardWeb"/>
      </w:pPr>
      <w:r>
        <w:lastRenderedPageBreak/>
        <w:t>[</w:t>
      </w:r>
      <w:r>
        <w:br/>
        <w:t>\boxed{</w:t>
      </w:r>
      <w:r>
        <w:br/>
        <w:t>u_F(X_\star)</w:t>
      </w:r>
      <w:r>
        <w:br/>
        <w:t>\leq</w:t>
      </w:r>
      <w:r>
        <w:br/>
        <w:t>u_F(X)</w:t>
      </w:r>
      <w:r>
        <w:br/>
        <w:t>\qquad</w:t>
      </w:r>
      <w:r>
        <w:br/>
        <w:t>\forall X\in\mathcal C_F.</w:t>
      </w:r>
      <w:r>
        <w:br/>
        <w:t>}</w:t>
      </w:r>
      <w:r>
        <w:br/>
        <w:t>\tag{3.13045}</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\boxed{u_F(X_\star)\leq u_F(X)\qquad\forall X\in\mathcal C_F.}</w:t>
      </w:r>
    </w:p>
    <w:p w:rsidR="00E950C8" w:rsidRDefault="00E50336" w:rsidP="00E950C8">
      <w:r>
        <w:pict>
          <v:rect id="_x0000_i4927" style="width:0;height:1.5pt" o:hralign="center" o:hrstd="t" o:hr="t" fillcolor="#a0a0a0" stroked="f"/>
        </w:pict>
      </w:r>
    </w:p>
    <w:p w:rsidR="00E950C8" w:rsidRDefault="00E950C8" w:rsidP="00E950C8">
      <w:pPr>
        <w:pStyle w:val="berschrift1"/>
      </w:pPr>
      <w:r>
        <w:t>3.3.50.81 Argmax-Menge</w:t>
      </w:r>
    </w:p>
    <w:p w:rsidR="00E950C8" w:rsidRDefault="00E950C8" w:rsidP="00E950C8">
      <w:pPr>
        <w:pStyle w:val="StandardWeb"/>
      </w:pPr>
      <w:r>
        <w:t>Die Menge aller Bewertungsmaxima ist</w:t>
      </w:r>
    </w:p>
    <w:p w:rsidR="00E950C8" w:rsidRDefault="00E950C8" w:rsidP="00E950C8">
      <w:pPr>
        <w:pStyle w:val="StandardWeb"/>
      </w:pPr>
      <w:r>
        <w:t>[</w:t>
      </w:r>
      <w:r>
        <w:br/>
        <w:t>\operatorname*{arg,max}_{X\in\mathcal C_F}</w:t>
      </w:r>
      <w:r>
        <w:br/>
        <w:t>u_F(X).</w:t>
      </w:r>
      <w:r>
        <w:br/>
        <w:t>\tag{3.13046}</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\operatorname*{arg\,max}_{X\in\mathcal C_F}u_F(X)</w:t>
      </w:r>
    </w:p>
    <w:p w:rsidR="00E950C8" w:rsidRDefault="00E50336" w:rsidP="00E950C8">
      <w:r>
        <w:pict>
          <v:rect id="_x0000_i4928" style="width:0;height:1.5pt" o:hralign="center" o:hrstd="t" o:hr="t" fillcolor="#a0a0a0" stroked="f"/>
        </w:pict>
      </w:r>
    </w:p>
    <w:p w:rsidR="00E950C8" w:rsidRDefault="00E950C8" w:rsidP="00E950C8">
      <w:pPr>
        <w:pStyle w:val="berschrift1"/>
      </w:pPr>
      <w:r>
        <w:t>3.3.50.82 Definition 3.3.487 – Funktionale Argmax-Auswahl</w:t>
      </w:r>
    </w:p>
    <w:p w:rsidR="00E950C8" w:rsidRDefault="00E950C8" w:rsidP="00E950C8">
      <w:pPr>
        <w:pStyle w:val="berschrift3"/>
      </w:pPr>
      <w:r>
        <w:t>Definition 3.3.487</w:t>
      </w:r>
    </w:p>
    <w:p w:rsidR="00E950C8" w:rsidRDefault="00E950C8" w:rsidP="00E950C8">
      <w:pPr>
        <w:pStyle w:val="StandardWeb"/>
      </w:pPr>
      <w:r>
        <w:t xml:space="preserve">Die </w:t>
      </w:r>
      <w:r>
        <w:rPr>
          <w:rStyle w:val="Fett"/>
        </w:rPr>
        <w:t>funktionale Argmax-Auswahl</w:t>
      </w:r>
      <w:r>
        <w:t xml:space="preserve"> ist</w:t>
      </w:r>
    </w:p>
    <w:p w:rsidR="00E950C8" w:rsidRDefault="00E950C8" w:rsidP="00E950C8">
      <w:pPr>
        <w:pStyle w:val="berschrift1"/>
      </w:pPr>
      <w:r>
        <w:t>[</w:t>
      </w:r>
      <w:r>
        <w:br/>
        <w:t>\boxed{</w:t>
      </w:r>
      <w:r>
        <w:br/>
        <w:t>\operatorname{Sel}_F^{u,\max}</w:t>
      </w:r>
      <w:r>
        <w:br/>
        <w:t>(\mathcal C_F)</w:t>
      </w:r>
    </w:p>
    <w:p w:rsidR="00E950C8" w:rsidRDefault="00E950C8" w:rsidP="00E950C8">
      <w:pPr>
        <w:pStyle w:val="StandardWeb"/>
      </w:pPr>
      <w:r>
        <w:t>\operatorname*{arg,max}_{X\in\mathcal C_F}</w:t>
      </w:r>
      <w:r>
        <w:br/>
        <w:t>u_F(X).</w:t>
      </w:r>
      <w:r>
        <w:br/>
        <w:t>}</w:t>
      </w:r>
      <w:r>
        <w:br/>
      </w:r>
      <w:r>
        <w:lastRenderedPageBreak/>
        <w:t>\tag{3.13047}</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\boxed{\operatorname{Sel}_F^{u,\max}(\mathcal C_F)=\operatorname*{arg\,max}_{X\in\mathcal C_F}u_F(X).}</w:t>
      </w:r>
    </w:p>
    <w:p w:rsidR="00E950C8" w:rsidRDefault="00E50336" w:rsidP="00E950C8">
      <w:r>
        <w:pict>
          <v:rect id="_x0000_i4929" style="width:0;height:1.5pt" o:hralign="center" o:hrstd="t" o:hr="t" fillcolor="#a0a0a0" stroked="f"/>
        </w:pict>
      </w:r>
    </w:p>
    <w:p w:rsidR="00E950C8" w:rsidRDefault="00E950C8" w:rsidP="00E950C8">
      <w:pPr>
        <w:pStyle w:val="berschrift1"/>
      </w:pPr>
      <w:r>
        <w:t>3.3.50.83 Bewertung und Ordnung müssen nicht übereinstimmen</w:t>
      </w:r>
    </w:p>
    <w:p w:rsidR="00E950C8" w:rsidRDefault="00E950C8" w:rsidP="00E950C8">
      <w:pPr>
        <w:pStyle w:val="StandardWeb"/>
      </w:pPr>
      <w:r>
        <w:t>Eine Vergleichsrelation kann unabhängig von der Bewertungsabbildung festgelegt sein.</w:t>
      </w:r>
    </w:p>
    <w:p w:rsidR="00E950C8" w:rsidRDefault="00E950C8" w:rsidP="00E950C8">
      <w:pPr>
        <w:pStyle w:val="StandardWeb"/>
      </w:pPr>
      <w:r>
        <w:t>Dann ist möglich:</w:t>
      </w:r>
    </w:p>
    <w:p w:rsidR="00E950C8" w:rsidRDefault="00E950C8" w:rsidP="00E950C8">
      <w:pPr>
        <w:pStyle w:val="StandardWeb"/>
      </w:pPr>
      <w:r>
        <w:t>[</w:t>
      </w:r>
      <w:r>
        <w:br/>
        <w:t>X\preceq_F Y</w:t>
      </w:r>
      <w:r>
        <w:br/>
        <w:t>\tag{3.13048}</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X\preceq_F Y</w:t>
      </w:r>
    </w:p>
    <w:p w:rsidR="00E950C8" w:rsidRDefault="00E950C8" w:rsidP="00E950C8">
      <w:pPr>
        <w:pStyle w:val="StandardWeb"/>
      </w:pPr>
      <w:r>
        <w:t>bei gleichzeitig</w:t>
      </w:r>
    </w:p>
    <w:p w:rsidR="00E950C8" w:rsidRDefault="00E950C8" w:rsidP="00E950C8">
      <w:pPr>
        <w:pStyle w:val="StandardWeb"/>
      </w:pPr>
      <w:r>
        <w:t>[</w:t>
      </w:r>
      <w:r>
        <w:br/>
        <w:t>u_F(X)</w:t>
      </w:r>
    </w:p>
    <w:p w:rsidR="00E950C8" w:rsidRDefault="00E950C8" w:rsidP="00E950C8">
      <w:pPr>
        <w:pStyle w:val="StandardWeb"/>
      </w:pPr>
      <w:r>
        <w:t>u_F(Y).</w:t>
      </w:r>
      <w:r>
        <w:br/>
        <w:t>\tag{3.13049}</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u_F(X)&gt;u_F(Y)</w:t>
      </w:r>
    </w:p>
    <w:p w:rsidR="00E950C8" w:rsidRDefault="00E50336" w:rsidP="00E950C8">
      <w:r>
        <w:pict>
          <v:rect id="_x0000_i4930" style="width:0;height:1.5pt" o:hralign="center" o:hrstd="t" o:hr="t" fillcolor="#a0a0a0" stroked="f"/>
        </w:pict>
      </w:r>
    </w:p>
    <w:p w:rsidR="00E950C8" w:rsidRDefault="00E950C8" w:rsidP="00E950C8">
      <w:pPr>
        <w:pStyle w:val="berschrift1"/>
      </w:pPr>
      <w:r>
        <w:t>3.3.50.84 Definition 3.3.488 – Ordnungskonsistente funktionale Bewertung</w:t>
      </w:r>
    </w:p>
    <w:p w:rsidR="00E950C8" w:rsidRDefault="00E950C8" w:rsidP="00E950C8">
      <w:pPr>
        <w:pStyle w:val="berschrift3"/>
      </w:pPr>
      <w:r>
        <w:t>Definition 3.3.488</w:t>
      </w:r>
    </w:p>
    <w:p w:rsidR="00E950C8" w:rsidRDefault="00E950C8" w:rsidP="00E950C8">
      <w:pPr>
        <w:pStyle w:val="StandardWeb"/>
      </w:pPr>
      <w:r>
        <w:t xml:space="preserve">Eine Bewertungsabbildung (u_F) heißt </w:t>
      </w:r>
      <w:r>
        <w:rPr>
          <w:rStyle w:val="Fett"/>
        </w:rPr>
        <w:t>ordnungskonsistent</w:t>
      </w:r>
      <w:r>
        <w:t>, wenn</w:t>
      </w:r>
    </w:p>
    <w:p w:rsidR="00E950C8" w:rsidRDefault="00E950C8" w:rsidP="00E950C8">
      <w:pPr>
        <w:pStyle w:val="StandardWeb"/>
      </w:pPr>
      <w:r>
        <w:t>[</w:t>
      </w:r>
      <w:r>
        <w:br/>
        <w:t>\boxed{</w:t>
      </w:r>
      <w:r>
        <w:br/>
        <w:t>X\preceq_F Y</w:t>
      </w:r>
      <w:r>
        <w:br/>
      </w:r>
      <w:r>
        <w:lastRenderedPageBreak/>
        <w:t>\Rightarrow</w:t>
      </w:r>
      <w:r>
        <w:br/>
        <w:t>u_F(X)\leq u_F(Y).</w:t>
      </w:r>
      <w:r>
        <w:br/>
        <w:t>}</w:t>
      </w:r>
      <w:r>
        <w:br/>
        <w:t>\tag{3.13050}</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\boxed{X\preceq_F Y\Rightarrow u_F(X)\leq u_F(Y).}</w:t>
      </w:r>
    </w:p>
    <w:p w:rsidR="00E950C8" w:rsidRDefault="00E50336" w:rsidP="00E950C8">
      <w:r>
        <w:pict>
          <v:rect id="_x0000_i4931" style="width:0;height:1.5pt" o:hralign="center" o:hrstd="t" o:hr="t" fillcolor="#a0a0a0" stroked="f"/>
        </w:pict>
      </w:r>
    </w:p>
    <w:p w:rsidR="00E950C8" w:rsidRDefault="00E950C8" w:rsidP="00E950C8">
      <w:pPr>
        <w:pStyle w:val="berschrift1"/>
      </w:pPr>
      <w:r>
        <w:t>3.3.50.85 Strikt ordnungskonsistente Bewertung</w:t>
      </w:r>
    </w:p>
    <w:p w:rsidR="00E950C8" w:rsidRDefault="00E950C8" w:rsidP="00E950C8">
      <w:pPr>
        <w:pStyle w:val="StandardWeb"/>
      </w:pPr>
      <w:r>
        <w:t>Eine stärkere Bedingung ist</w:t>
      </w:r>
    </w:p>
    <w:p w:rsidR="00E950C8" w:rsidRDefault="00E950C8" w:rsidP="00E950C8">
      <w:pPr>
        <w:pStyle w:val="StandardWeb"/>
      </w:pPr>
      <w:r>
        <w:t>[</w:t>
      </w:r>
      <w:r>
        <w:br/>
        <w:t>X\prec_F Y</w:t>
      </w:r>
      <w:r>
        <w:br/>
        <w:t>\Rightarrow</w:t>
      </w:r>
      <w:r>
        <w:br/>
        <w:t>u_F(X)&lt;u_F(Y).</w:t>
      </w:r>
      <w:r>
        <w:br/>
        <w:t>\tag{3.13051}</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X\prec_F Y\Rightarrow u_F(X)&lt;u_F(Y)</w:t>
      </w:r>
    </w:p>
    <w:p w:rsidR="00E950C8" w:rsidRDefault="00E50336" w:rsidP="00E950C8">
      <w:r>
        <w:pict>
          <v:rect id="_x0000_i4932" style="width:0;height:1.5pt" o:hralign="center" o:hrstd="t" o:hr="t" fillcolor="#a0a0a0" stroked="f"/>
        </w:pict>
      </w:r>
    </w:p>
    <w:p w:rsidR="00E950C8" w:rsidRDefault="00E950C8" w:rsidP="00E950C8">
      <w:pPr>
        <w:pStyle w:val="berschrift1"/>
      </w:pPr>
      <w:r>
        <w:t>3.3.50.86 Definition 3.3.489 – Strikt ordnungskonsistente funktionale Bewertung</w:t>
      </w:r>
    </w:p>
    <w:p w:rsidR="00E950C8" w:rsidRDefault="00E950C8" w:rsidP="00E950C8">
      <w:pPr>
        <w:pStyle w:val="berschrift3"/>
      </w:pPr>
      <w:r>
        <w:t>Definition 3.3.489</w:t>
      </w:r>
    </w:p>
    <w:p w:rsidR="00E950C8" w:rsidRDefault="00E950C8" w:rsidP="00E950C8">
      <w:pPr>
        <w:pStyle w:val="StandardWeb"/>
      </w:pPr>
      <w:r>
        <w:t xml:space="preserve">Eine Bewertungsabbildung heißt </w:t>
      </w:r>
      <w:r>
        <w:rPr>
          <w:rStyle w:val="Fett"/>
        </w:rPr>
        <w:t>strikt ordnungskonsistent</w:t>
      </w:r>
      <w:r>
        <w:t>, wenn</w:t>
      </w:r>
    </w:p>
    <w:p w:rsidR="00E950C8" w:rsidRDefault="00E950C8" w:rsidP="00E950C8">
      <w:pPr>
        <w:pStyle w:val="StandardWeb"/>
      </w:pPr>
      <w:r>
        <w:t>[</w:t>
      </w:r>
      <w:r>
        <w:br/>
        <w:t>\boxed{</w:t>
      </w:r>
      <w:r>
        <w:br/>
        <w:t>X\prec_F Y</w:t>
      </w:r>
      <w:r>
        <w:br/>
        <w:t>\Rightarrow</w:t>
      </w:r>
      <w:r>
        <w:br/>
        <w:t>u_F(X)&lt;u_F(Y).</w:t>
      </w:r>
      <w:r>
        <w:br/>
        <w:t>}</w:t>
      </w:r>
      <w:r>
        <w:br/>
        <w:t>\tag{3.13052}</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\boxed{X\prec_F Y\Rightarrow u_F(X)&lt;u_F(Y).}</w:t>
      </w:r>
    </w:p>
    <w:p w:rsidR="00E950C8" w:rsidRDefault="00E50336" w:rsidP="00E950C8">
      <w:r>
        <w:pict>
          <v:rect id="_x0000_i4933" style="width:0;height:1.5pt" o:hralign="center" o:hrstd="t" o:hr="t" fillcolor="#a0a0a0" stroked="f"/>
        </w:pict>
      </w:r>
    </w:p>
    <w:p w:rsidR="00E950C8" w:rsidRDefault="00E950C8" w:rsidP="00E950C8">
      <w:pPr>
        <w:pStyle w:val="berschrift1"/>
      </w:pPr>
      <w:r>
        <w:t>3.3.50.87 Universelle skalare Darstellbarkeit</w:t>
      </w:r>
    </w:p>
    <w:p w:rsidR="00E950C8" w:rsidRDefault="00E950C8" w:rsidP="00E950C8">
      <w:pPr>
        <w:pStyle w:val="StandardWeb"/>
      </w:pPr>
      <w:r>
        <w:lastRenderedPageBreak/>
        <w:t>Ein stärkerer Primäraxiomkandidat wäre die Forderung, jede funktionale Vergleichsrelation müsse vollständig durch eine reellwertige Bewertungsfunktion darstellbar sein:</w:t>
      </w:r>
    </w:p>
    <w:p w:rsidR="00E950C8" w:rsidRDefault="00E950C8" w:rsidP="00E950C8">
      <w:pPr>
        <w:pStyle w:val="StandardWeb"/>
      </w:pPr>
      <w:r>
        <w:t>[</w:t>
      </w:r>
      <w:r>
        <w:br/>
        <w:t>A_{\mathrm{scalar}}</w:t>
      </w:r>
      <w:r>
        <w:br/>
        <w:t>:</w:t>
      </w:r>
      <w:r>
        <w:br/>
        <w:t>X\preceq_F Y</w:t>
      </w:r>
      <w:r>
        <w:br/>
        <w:t>\Longleftrightarrow</w:t>
      </w:r>
      <w:r>
        <w:br/>
        <w:t>u_F(X)\leq u_F(Y).</w:t>
      </w:r>
      <w:r>
        <w:br/>
        <w:t>\tag{3.13053}</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A_{\mathrm{scalar}}:X\preceq_F Y\Longleftrightarrow u_F(X)\leq u_F(Y)</w:t>
      </w:r>
    </w:p>
    <w:p w:rsidR="00E950C8" w:rsidRDefault="00E50336" w:rsidP="00E950C8">
      <w:r>
        <w:pict>
          <v:rect id="_x0000_i4934" style="width:0;height:1.5pt" o:hralign="center" o:hrstd="t" o:hr="t" fillcolor="#a0a0a0" stroked="f"/>
        </w:pict>
      </w:r>
    </w:p>
    <w:p w:rsidR="00E950C8" w:rsidRDefault="00E950C8" w:rsidP="00E950C8">
      <w:pPr>
        <w:pStyle w:val="berschrift1"/>
      </w:pPr>
      <w:r>
        <w:t>3.3.50.88 Gegenmodell zur universellen skalaren Darstellbarkeit</w:t>
      </w:r>
    </w:p>
    <w:p w:rsidR="00E950C8" w:rsidRDefault="00E950C8" w:rsidP="00E950C8">
      <w:pPr>
        <w:pStyle w:val="StandardWeb"/>
      </w:pPr>
      <w:r>
        <w:t>Eine partielle Ordnung kann unvergleichbare Elemente enthalten:</w:t>
      </w:r>
    </w:p>
    <w:p w:rsidR="00E950C8" w:rsidRDefault="00E950C8" w:rsidP="00E950C8">
      <w:pPr>
        <w:pStyle w:val="StandardWeb"/>
      </w:pPr>
      <w:r>
        <w:t>[</w:t>
      </w:r>
      <w:r>
        <w:br/>
        <w:t>X</w:t>
      </w:r>
      <w:r>
        <w:br/>
        <w:t>\parallel_F</w:t>
      </w:r>
      <w:r>
        <w:br/>
        <w:t>Y.</w:t>
      </w:r>
      <w:r>
        <w:br/>
        <w:t>\tag{3.13054}</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X\parallel_F Y</w:t>
      </w:r>
    </w:p>
    <w:p w:rsidR="00E950C8" w:rsidRDefault="00E950C8" w:rsidP="00E950C8">
      <w:pPr>
        <w:pStyle w:val="StandardWeb"/>
      </w:pPr>
      <w:r>
        <w:t>Für reelle Zahlen gilt dagegen stets</w:t>
      </w:r>
    </w:p>
    <w:p w:rsidR="00E950C8" w:rsidRDefault="00E950C8" w:rsidP="00E950C8">
      <w:pPr>
        <w:pStyle w:val="StandardWeb"/>
      </w:pPr>
      <w:r>
        <w:t>[</w:t>
      </w:r>
      <w:r>
        <w:br/>
        <w:t>u_F(X)\leq u_F(Y)</w:t>
      </w:r>
      <w:r>
        <w:br/>
        <w:t>\lor</w:t>
      </w:r>
      <w:r>
        <w:br/>
        <w:t>u_F(Y)\leq u_F(X).</w:t>
      </w:r>
      <w:r>
        <w:br/>
        <w:t>\tag{3.13055}</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u_F(X)\leq u_F(Y)\lor u_F(Y)\leq u_F(X)</w:t>
      </w:r>
    </w:p>
    <w:p w:rsidR="00E950C8" w:rsidRDefault="00E950C8" w:rsidP="00E950C8">
      <w:pPr>
        <w:pStyle w:val="StandardWeb"/>
      </w:pPr>
      <w:r>
        <w:t>Damit kann eine reellwertige Ordnung nicht jede partielle Vergleichsstruktur exakt in dieser Form repräsentieren.</w:t>
      </w:r>
    </w:p>
    <w:p w:rsidR="00E950C8" w:rsidRDefault="00E50336" w:rsidP="00E950C8">
      <w:r>
        <w:pict>
          <v:rect id="_x0000_i4935" style="width:0;height:1.5pt" o:hralign="center" o:hrstd="t" o:hr="t" fillcolor="#a0a0a0" stroked="f"/>
        </w:pict>
      </w:r>
    </w:p>
    <w:p w:rsidR="00E950C8" w:rsidRDefault="00E950C8" w:rsidP="00E950C8">
      <w:pPr>
        <w:pStyle w:val="berschrift1"/>
      </w:pPr>
      <w:r>
        <w:lastRenderedPageBreak/>
        <w:t>3.3.50.89 Axiomentscheidung zur universellen skalaren Repräsentation</w:t>
      </w:r>
    </w:p>
    <w:p w:rsidR="00E950C8" w:rsidRDefault="00E950C8" w:rsidP="00E950C8">
      <w:pPr>
        <w:pStyle w:val="StandardWeb"/>
      </w:pPr>
      <w:r>
        <w:t>Folglich gilt</w:t>
      </w:r>
    </w:p>
    <w:p w:rsidR="00E950C8" w:rsidRDefault="00E950C8" w:rsidP="00E950C8">
      <w:pPr>
        <w:pStyle w:val="berschrift1"/>
      </w:pPr>
      <w:r>
        <w:t>[</w:t>
      </w:r>
      <w:r>
        <w:br/>
        <w:t>\boxed{</w:t>
      </w:r>
      <w:r>
        <w:br/>
        <w:t>U_{\mathrm{Ax}}</w:t>
      </w:r>
      <w:r>
        <w:br/>
        <w:t>(A_{\mathrm{scalar}})</w:t>
      </w:r>
    </w:p>
    <w:p w:rsidR="00E950C8" w:rsidRDefault="00E950C8" w:rsidP="00563F88">
      <w:pPr>
        <w:numPr>
          <w:ilvl w:val="0"/>
          <w:numId w:val="599"/>
        </w:numPr>
        <w:spacing w:before="100" w:beforeAutospacing="1" w:after="100" w:afterAutospacing="1"/>
      </w:pPr>
    </w:p>
    <w:p w:rsidR="00E950C8" w:rsidRDefault="00E950C8" w:rsidP="00E950C8">
      <w:pPr>
        <w:pStyle w:val="StandardWeb"/>
      </w:pPr>
      <w:r>
        <w:t>}</w:t>
      </w:r>
      <w:r>
        <w:br/>
        <w:t>\tag{3.13056}</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\boxed{U_{\mathrm{Ax}}(A_{\mathrm{scalar}})=0.}</w:t>
      </w:r>
    </w:p>
    <w:p w:rsidR="00E950C8" w:rsidRDefault="00E50336" w:rsidP="00E950C8">
      <w:r>
        <w:pict>
          <v:rect id="_x0000_i4936" style="width:0;height:1.5pt" o:hralign="center" o:hrstd="t" o:hr="t" fillcolor="#a0a0a0" stroked="f"/>
        </w:pict>
      </w:r>
    </w:p>
    <w:p w:rsidR="00E950C8" w:rsidRDefault="00E950C8" w:rsidP="00E950C8">
      <w:pPr>
        <w:pStyle w:val="berschrift1"/>
      </w:pPr>
      <w:r>
        <w:t>3.3.50.90 Satz 3.3.186 – Universelle reellwertige Bewertungsdarstellung ist kein Primäraxiom</w:t>
      </w:r>
    </w:p>
    <w:p w:rsidR="00E950C8" w:rsidRDefault="00E950C8" w:rsidP="00E950C8">
      <w:pPr>
        <w:pStyle w:val="berschrift3"/>
      </w:pPr>
      <w:r>
        <w:t>Satz 3.3.186</w:t>
      </w:r>
    </w:p>
    <w:p w:rsidR="00E950C8" w:rsidRDefault="00E950C8" w:rsidP="00E950C8">
      <w:pPr>
        <w:pStyle w:val="StandardWeb"/>
      </w:pPr>
      <w:r>
        <w:t>Die Forderung, jede funktionale Vergleichsrelation müsse vollständig durch genau eine reellwertige Bewertungsabbildung repräsentierbar sein, ist keine universell notwendige Voraussetzung des allgemeinen FRZK.</w:t>
      </w:r>
    </w:p>
    <w:p w:rsidR="00E950C8" w:rsidRDefault="00E950C8" w:rsidP="00E950C8">
      <w:pPr>
        <w:pStyle w:val="StandardWeb"/>
      </w:pPr>
      <w:r>
        <w:t>Formal gilt</w:t>
      </w:r>
    </w:p>
    <w:p w:rsidR="00E950C8" w:rsidRDefault="00E950C8" w:rsidP="00E950C8">
      <w:pPr>
        <w:pStyle w:val="berschrift1"/>
      </w:pPr>
      <w:r>
        <w:t>[</w:t>
      </w:r>
      <w:r>
        <w:br/>
        <w:t>\boxed{</w:t>
      </w:r>
      <w:r>
        <w:br/>
        <w:t>U_{\mathrm{Ax}}</w:t>
      </w:r>
      <w:r>
        <w:br/>
        <w:t>(A_{\mathrm{scalar}})</w:t>
      </w:r>
    </w:p>
    <w:p w:rsidR="00E950C8" w:rsidRDefault="00E950C8" w:rsidP="00563F88">
      <w:pPr>
        <w:numPr>
          <w:ilvl w:val="0"/>
          <w:numId w:val="600"/>
        </w:numPr>
        <w:spacing w:before="100" w:beforeAutospacing="1" w:after="100" w:afterAutospacing="1"/>
      </w:pPr>
    </w:p>
    <w:p w:rsidR="00E950C8" w:rsidRDefault="00E950C8" w:rsidP="00E950C8">
      <w:pPr>
        <w:pStyle w:val="StandardWeb"/>
      </w:pPr>
      <w:r>
        <w:t>}</w:t>
      </w:r>
      <w:r>
        <w:br/>
        <w:t>\tag{3.13057}</w:t>
      </w:r>
      <w:r>
        <w:br/>
        <w:t>]</w:t>
      </w:r>
    </w:p>
    <w:p w:rsidR="00E950C8" w:rsidRDefault="00E950C8" w:rsidP="00E950C8">
      <w:pPr>
        <w:pStyle w:val="StandardWeb"/>
      </w:pPr>
      <w:r>
        <w:rPr>
          <w:rStyle w:val="Fett"/>
        </w:rPr>
        <w:lastRenderedPageBreak/>
        <w:t>Word-LaTeX</w:t>
      </w:r>
    </w:p>
    <w:p w:rsidR="00E950C8" w:rsidRDefault="00E950C8" w:rsidP="00E950C8">
      <w:pPr>
        <w:pStyle w:val="HTMLVorformatiert"/>
        <w:rPr>
          <w:rStyle w:val="HTMLCode"/>
        </w:rPr>
      </w:pPr>
      <w:r>
        <w:rPr>
          <w:rStyle w:val="HTMLCode"/>
        </w:rPr>
        <w:t>\boxed{U_{\mathrm{Ax}}(A_{\mathrm{scalar}})=0.}</w:t>
      </w:r>
    </w:p>
    <w:p w:rsidR="00E950C8" w:rsidRDefault="00E50336" w:rsidP="00E950C8">
      <w:r>
        <w:pict>
          <v:rect id="_x0000_i4937" style="width:0;height:1.5pt" o:hralign="center" o:hrstd="t" o:hr="t" fillcolor="#a0a0a0" stroked="f"/>
        </w:pict>
      </w:r>
    </w:p>
    <w:p w:rsidR="00E950C8" w:rsidRDefault="00E950C8" w:rsidP="00E950C8">
      <w:pPr>
        <w:pStyle w:val="berschrift1"/>
      </w:pPr>
      <w:r>
        <w:t>3.3.50.91 Mehrkriterielle Bewertung</w:t>
      </w:r>
    </w:p>
    <w:p w:rsidR="00E950C8" w:rsidRDefault="00E950C8" w:rsidP="00E950C8">
      <w:pPr>
        <w:pStyle w:val="StandardWeb"/>
      </w:pPr>
      <w:r>
        <w:t>Viele funktionale Auswahlprobleme besitzen mehr als ein Bewertungskriterium.</w:t>
      </w:r>
    </w:p>
    <w:p w:rsidR="00E950C8" w:rsidRDefault="00E950C8" w:rsidP="00E950C8">
      <w:pPr>
        <w:pStyle w:val="StandardWeb"/>
      </w:pPr>
      <w:r>
        <w:t>Ich führe daher einen Bewertungsvektor</w:t>
      </w:r>
    </w:p>
    <w:p w:rsidR="00E950C8" w:rsidRDefault="00E950C8" w:rsidP="00E950C8">
      <w:pPr>
        <w:pStyle w:val="StandardWeb"/>
      </w:pPr>
      <w:r>
        <w:t>[</w:t>
      </w:r>
      <w:r>
        <w:br/>
        <w:t>\mathbf u_F</w:t>
      </w:r>
      <w:r>
        <w:br/>
        <w:t>:</w:t>
      </w:r>
      <w:r>
        <w:br/>
        <w:t>\mathcal X_F</w:t>
      </w:r>
      <w:r>
        <w:br/>
        <w:t>\rightarrow</w:t>
      </w:r>
      <w:r>
        <w:br/>
        <w:t>\mathbb R^m</w:t>
      </w:r>
      <w:r>
        <w:br/>
        <w:t>\tag{3.13058}</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\mathbf u_F:\mathcal X_F\rightarrow\mathbb R^m</w:t>
      </w:r>
    </w:p>
    <w:p w:rsidR="00E950C8" w:rsidRDefault="00E950C8" w:rsidP="00E950C8">
      <w:pPr>
        <w:pStyle w:val="StandardWeb"/>
      </w:pPr>
      <w:r>
        <w:t>ein.</w:t>
      </w:r>
    </w:p>
    <w:p w:rsidR="00E950C8" w:rsidRDefault="00E50336" w:rsidP="00E950C8">
      <w:r>
        <w:pict>
          <v:rect id="_x0000_i4938" style="width:0;height:1.5pt" o:hralign="center" o:hrstd="t" o:hr="t" fillcolor="#a0a0a0" stroked="f"/>
        </w:pict>
      </w:r>
    </w:p>
    <w:p w:rsidR="00E950C8" w:rsidRDefault="00E950C8" w:rsidP="00E950C8">
      <w:pPr>
        <w:pStyle w:val="berschrift1"/>
      </w:pPr>
      <w:r>
        <w:t>3.3.50.92 Definition 3.3.490 – Mehrkriterielle funktionale Bewertungsabbildung</w:t>
      </w:r>
    </w:p>
    <w:p w:rsidR="00E950C8" w:rsidRDefault="00E950C8" w:rsidP="00E950C8">
      <w:pPr>
        <w:pStyle w:val="berschrift3"/>
      </w:pPr>
      <w:r>
        <w:t>Definition 3.3.490</w:t>
      </w:r>
    </w:p>
    <w:p w:rsidR="00E950C8" w:rsidRDefault="00E950C8" w:rsidP="00E950C8">
      <w:pPr>
        <w:pStyle w:val="StandardWeb"/>
      </w:pPr>
      <w:r>
        <w:t xml:space="preserve">Eine </w:t>
      </w:r>
      <w:r>
        <w:rPr>
          <w:rStyle w:val="Fett"/>
        </w:rPr>
        <w:t>mehrkriterielle funktionale Bewertungsabbildung</w:t>
      </w:r>
      <w:r>
        <w:t xml:space="preserve"> ist</w:t>
      </w:r>
    </w:p>
    <w:p w:rsidR="00E950C8" w:rsidRDefault="00E950C8" w:rsidP="00E950C8">
      <w:pPr>
        <w:pStyle w:val="berschrift1"/>
      </w:pPr>
      <w:r>
        <w:t>[</w:t>
      </w:r>
      <w:r>
        <w:br/>
        <w:t>\boxed{</w:t>
      </w:r>
      <w:r>
        <w:br/>
        <w:t>\mathbf u_F(X)</w:t>
      </w:r>
    </w:p>
    <w:p w:rsidR="00E950C8" w:rsidRDefault="00E950C8" w:rsidP="00E950C8">
      <w:pPr>
        <w:pStyle w:val="StandardWeb"/>
      </w:pPr>
      <w:r>
        <w:t>\left(</w:t>
      </w:r>
      <w:r>
        <w:br/>
        <w:t>u_1(X),</w:t>
      </w:r>
      <w:r>
        <w:br/>
        <w:t>u_2(X),</w:t>
      </w:r>
      <w:r>
        <w:br/>
        <w:t>\ldots,</w:t>
      </w:r>
      <w:r>
        <w:br/>
        <w:t>u_m(X)</w:t>
      </w:r>
      <w:r>
        <w:br/>
        <w:t>\right).</w:t>
      </w:r>
      <w:r>
        <w:br/>
        <w:t>}</w:t>
      </w:r>
      <w:r>
        <w:br/>
        <w:t>\tag{3.13059}</w:t>
      </w:r>
      <w:r>
        <w:br/>
        <w:t>]</w:t>
      </w:r>
    </w:p>
    <w:p w:rsidR="00E950C8" w:rsidRDefault="00E950C8" w:rsidP="00E950C8">
      <w:pPr>
        <w:pStyle w:val="StandardWeb"/>
      </w:pPr>
      <w:r>
        <w:rPr>
          <w:rStyle w:val="Fett"/>
        </w:rPr>
        <w:lastRenderedPageBreak/>
        <w:t>Word-LaTeX</w:t>
      </w:r>
    </w:p>
    <w:p w:rsidR="00E950C8" w:rsidRDefault="00E950C8" w:rsidP="00E950C8">
      <w:pPr>
        <w:pStyle w:val="HTMLVorformatiert"/>
        <w:rPr>
          <w:rStyle w:val="HTMLCode"/>
        </w:rPr>
      </w:pPr>
      <w:r>
        <w:rPr>
          <w:rStyle w:val="HTMLCode"/>
        </w:rPr>
        <w:t>\boxed{\mathbf u_F(X)=\left(u_1(X),u_2(X),\ldots,u_m(X)\right).}</w:t>
      </w:r>
    </w:p>
    <w:p w:rsidR="00E950C8" w:rsidRDefault="00E50336" w:rsidP="00E950C8">
      <w:r>
        <w:pict>
          <v:rect id="_x0000_i4939" style="width:0;height:1.5pt" o:hralign="center" o:hrstd="t" o:hr="t" fillcolor="#a0a0a0" stroked="f"/>
        </w:pict>
      </w:r>
    </w:p>
    <w:p w:rsidR="00E950C8" w:rsidRDefault="00E950C8" w:rsidP="00E950C8">
      <w:pPr>
        <w:pStyle w:val="berschrift1"/>
      </w:pPr>
      <w:r>
        <w:t>3.3.50.93 Komponentenweise Dominanz</w:t>
      </w:r>
    </w:p>
    <w:p w:rsidR="00E950C8" w:rsidRDefault="00E950C8" w:rsidP="00E950C8">
      <w:pPr>
        <w:pStyle w:val="StandardWeb"/>
      </w:pPr>
      <w:r>
        <w:t>Für Maximierungsaufgaben kann ich schreiben</w:t>
      </w:r>
    </w:p>
    <w:p w:rsidR="00E950C8" w:rsidRDefault="00E950C8" w:rsidP="00E950C8">
      <w:pPr>
        <w:pStyle w:val="StandardWeb"/>
      </w:pPr>
      <w:r>
        <w:t>[</w:t>
      </w:r>
      <w:r>
        <w:br/>
        <w:t>X</w:t>
      </w:r>
      <w:r>
        <w:br/>
        <w:t>\preceq_P</w:t>
      </w:r>
      <w:r>
        <w:br/>
        <w:t>Y</w:t>
      </w:r>
      <w:r>
        <w:br/>
        <w:t>\Longleftrightarrow</w:t>
      </w:r>
      <w:r>
        <w:br/>
        <w:t>u_k(X)</w:t>
      </w:r>
      <w:r>
        <w:br/>
        <w:t>\leq</w:t>
      </w:r>
      <w:r>
        <w:br/>
        <w:t>u_k(Y)</w:t>
      </w:r>
      <w:r>
        <w:br/>
        <w:t>\quad</w:t>
      </w:r>
      <w:r>
        <w:br/>
        <w:t>\forall k.</w:t>
      </w:r>
      <w:r>
        <w:br/>
        <w:t>\tag{3.13060}</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X\preceq_P Y\Longleftrightarrow u_k(X)\leq u_k(Y)\quad\forall k</w:t>
      </w:r>
    </w:p>
    <w:p w:rsidR="00E950C8" w:rsidRDefault="00E50336" w:rsidP="00E950C8">
      <w:r>
        <w:pict>
          <v:rect id="_x0000_i4940" style="width:0;height:1.5pt" o:hralign="center" o:hrstd="t" o:hr="t" fillcolor="#a0a0a0" stroked="f"/>
        </w:pict>
      </w:r>
    </w:p>
    <w:p w:rsidR="00E950C8" w:rsidRDefault="00E950C8" w:rsidP="00E950C8">
      <w:pPr>
        <w:pStyle w:val="berschrift1"/>
      </w:pPr>
      <w:r>
        <w:t>3.3.50.94 Definition 3.3.491 – Funktionale Pareto-Dominanz</w:t>
      </w:r>
    </w:p>
    <w:p w:rsidR="00E950C8" w:rsidRDefault="00E950C8" w:rsidP="00E950C8">
      <w:pPr>
        <w:pStyle w:val="berschrift3"/>
      </w:pPr>
      <w:r>
        <w:t>Definition 3.3.491</w:t>
      </w:r>
    </w:p>
    <w:p w:rsidR="00E950C8" w:rsidRDefault="00E950C8" w:rsidP="00E950C8">
      <w:pPr>
        <w:pStyle w:val="StandardWeb"/>
      </w:pPr>
      <w:r>
        <w:t xml:space="preserve">Ein Objekt (Y) </w:t>
      </w:r>
      <w:r>
        <w:rPr>
          <w:rStyle w:val="Fett"/>
        </w:rPr>
        <w:t>Pareto-dominiert</w:t>
      </w:r>
      <w:r>
        <w:t xml:space="preserve"> (X), wenn</w:t>
      </w:r>
    </w:p>
    <w:p w:rsidR="00E950C8" w:rsidRDefault="00E950C8" w:rsidP="00E950C8">
      <w:pPr>
        <w:pStyle w:val="StandardWeb"/>
      </w:pPr>
      <w:r>
        <w:t>[</w:t>
      </w:r>
      <w:r>
        <w:br/>
        <w:t>\boxed{</w:t>
      </w:r>
      <w:r>
        <w:br/>
        <w:t>u_k(X)</w:t>
      </w:r>
      <w:r>
        <w:br/>
        <w:t>\leq</w:t>
      </w:r>
      <w:r>
        <w:br/>
        <w:t>u_k(Y)</w:t>
      </w:r>
      <w:r>
        <w:br/>
        <w:t>\quad</w:t>
      </w:r>
      <w:r>
        <w:br/>
        <w:t>\forall k</w:t>
      </w:r>
      <w:r>
        <w:br/>
        <w:t>}</w:t>
      </w:r>
      <w:r>
        <w:br/>
        <w:t>\tag{3.13061}</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\boxed{u_k(X)\leq u_k(Y)\quad\forall k}</w:t>
      </w:r>
    </w:p>
    <w:p w:rsidR="00E950C8" w:rsidRDefault="00E950C8" w:rsidP="00E950C8">
      <w:pPr>
        <w:pStyle w:val="StandardWeb"/>
      </w:pPr>
      <w:r>
        <w:t>und für mindestens ein Kriterium (j)</w:t>
      </w:r>
    </w:p>
    <w:p w:rsidR="00E950C8" w:rsidRDefault="00E950C8" w:rsidP="00E950C8">
      <w:pPr>
        <w:pStyle w:val="StandardWeb"/>
      </w:pPr>
      <w:r>
        <w:lastRenderedPageBreak/>
        <w:t>[</w:t>
      </w:r>
      <w:r>
        <w:br/>
        <w:t>u_j(X)</w:t>
      </w:r>
      <w:r>
        <w:br/>
        <w:t>&lt;</w:t>
      </w:r>
      <w:r>
        <w:br/>
        <w:t>u_j(Y).</w:t>
      </w:r>
      <w:r>
        <w:br/>
        <w:t>\tag{3.13062}</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u_j(X)&lt;u_j(Y)</w:t>
      </w:r>
    </w:p>
    <w:p w:rsidR="00E950C8" w:rsidRDefault="00E950C8" w:rsidP="00E950C8">
      <w:pPr>
        <w:pStyle w:val="StandardWeb"/>
      </w:pPr>
      <w:r>
        <w:t>gilt.</w:t>
      </w:r>
    </w:p>
    <w:p w:rsidR="00E950C8" w:rsidRDefault="00E50336" w:rsidP="00E950C8">
      <w:r>
        <w:pict>
          <v:rect id="_x0000_i4941" style="width:0;height:1.5pt" o:hralign="center" o:hrstd="t" o:hr="t" fillcolor="#a0a0a0" stroked="f"/>
        </w:pict>
      </w:r>
    </w:p>
    <w:p w:rsidR="00E950C8" w:rsidRDefault="00E950C8" w:rsidP="00E950C8">
      <w:pPr>
        <w:pStyle w:val="berschrift1"/>
      </w:pPr>
      <w:r>
        <w:t>3.3.50.95 Pareto-optimales Element</w:t>
      </w:r>
    </w:p>
    <w:p w:rsidR="00E950C8" w:rsidRDefault="00E950C8" w:rsidP="00E950C8">
      <w:pPr>
        <w:pStyle w:val="StandardWeb"/>
      </w:pPr>
      <w:r>
        <w:t>Ein Element ist Pareto-optimal, wenn es von keinem anderen Kandidaten dominiert wird.</w:t>
      </w:r>
    </w:p>
    <w:p w:rsidR="00E950C8" w:rsidRDefault="00E50336" w:rsidP="00E950C8">
      <w:r>
        <w:pict>
          <v:rect id="_x0000_i4942" style="width:0;height:1.5pt" o:hralign="center" o:hrstd="t" o:hr="t" fillcolor="#a0a0a0" stroked="f"/>
        </w:pict>
      </w:r>
    </w:p>
    <w:p w:rsidR="00E950C8" w:rsidRDefault="00E950C8" w:rsidP="00E950C8">
      <w:pPr>
        <w:pStyle w:val="berschrift1"/>
      </w:pPr>
      <w:r>
        <w:t>3.3.50.96 Definition 3.3.492 – Funktional Pareto-optimales Element</w:t>
      </w:r>
    </w:p>
    <w:p w:rsidR="00E950C8" w:rsidRDefault="00E950C8" w:rsidP="00E950C8">
      <w:pPr>
        <w:pStyle w:val="berschrift3"/>
      </w:pPr>
      <w:r>
        <w:t>Definition 3.3.492</w:t>
      </w:r>
    </w:p>
    <w:p w:rsidR="00E950C8" w:rsidRDefault="00E950C8" w:rsidP="00E950C8">
      <w:pPr>
        <w:pStyle w:val="StandardWeb"/>
      </w:pPr>
      <w:r>
        <w:t xml:space="preserve">Ein Element (X^\star\in\mathcal C_F) heißt </w:t>
      </w:r>
      <w:r>
        <w:rPr>
          <w:rStyle w:val="Fett"/>
        </w:rPr>
        <w:t>funktional Pareto-optimal</w:t>
      </w:r>
      <w:r>
        <w:t>, wenn</w:t>
      </w:r>
    </w:p>
    <w:p w:rsidR="00E950C8" w:rsidRDefault="00E950C8" w:rsidP="00E950C8">
      <w:pPr>
        <w:pStyle w:val="StandardWeb"/>
      </w:pPr>
      <w:r>
        <w:t>[</w:t>
      </w:r>
      <w:r>
        <w:br/>
        <w:t>\boxed{</w:t>
      </w:r>
      <w:r>
        <w:br/>
        <w:t>\nexists</w:t>
      </w:r>
      <w:r>
        <w:br/>
        <w:t>Y\in\mathcal C_F:</w:t>
      </w:r>
      <w:r>
        <w:br/>
        <w:t>X^\star</w:t>
      </w:r>
      <w:r>
        <w:br/>
        <w:t>\prec_P</w:t>
      </w:r>
      <w:r>
        <w:br/>
        <w:t>Y.</w:t>
      </w:r>
      <w:r>
        <w:br/>
        <w:t>}</w:t>
      </w:r>
      <w:r>
        <w:br/>
        <w:t>\tag{3.13063}</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\boxed{\nexists Y\in\mathcal C_F:X^\star\prec_P Y.}</w:t>
      </w:r>
    </w:p>
    <w:p w:rsidR="00E950C8" w:rsidRDefault="00E50336" w:rsidP="00E950C8">
      <w:r>
        <w:pict>
          <v:rect id="_x0000_i4943" style="width:0;height:1.5pt" o:hralign="center" o:hrstd="t" o:hr="t" fillcolor="#a0a0a0" stroked="f"/>
        </w:pict>
      </w:r>
    </w:p>
    <w:p w:rsidR="00E950C8" w:rsidRDefault="00E950C8" w:rsidP="00E950C8">
      <w:pPr>
        <w:pStyle w:val="berschrift1"/>
      </w:pPr>
      <w:r>
        <w:t>3.3.50.97 Pareto-Menge</w:t>
      </w:r>
    </w:p>
    <w:p w:rsidR="00E950C8" w:rsidRDefault="00E950C8" w:rsidP="00E950C8">
      <w:pPr>
        <w:pStyle w:val="StandardWeb"/>
      </w:pPr>
      <w:r>
        <w:t>Die Gesamtheit aller Pareto-optimalen Elemente ist</w:t>
      </w:r>
    </w:p>
    <w:p w:rsidR="00E950C8" w:rsidRDefault="00E950C8" w:rsidP="00E950C8">
      <w:pPr>
        <w:pStyle w:val="berschrift1"/>
      </w:pPr>
      <w:r>
        <w:lastRenderedPageBreak/>
        <w:t>[</w:t>
      </w:r>
      <w:r>
        <w:br/>
        <w:t>\mathcal P_F(\mathcal C_F)</w:t>
      </w:r>
    </w:p>
    <w:p w:rsidR="00E950C8" w:rsidRDefault="00E950C8" w:rsidP="00E950C8">
      <w:pPr>
        <w:pStyle w:val="StandardWeb"/>
      </w:pPr>
      <w:r>
        <w:t>{</w:t>
      </w:r>
      <w:r>
        <w:br/>
        <w:t>X\in\mathcal C_F:</w:t>
      </w:r>
      <w:r>
        <w:br/>
        <w:t>\nexists Y\in\mathcal C_F</w:t>
      </w:r>
      <w:r>
        <w:br/>
        <w:t>\text{ mit }</w:t>
      </w:r>
      <w:r>
        <w:br/>
        <w:t>X\prec_P Y</w:t>
      </w:r>
      <w:r>
        <w:br/>
        <w:t>}.</w:t>
      </w:r>
      <w:r>
        <w:br/>
        <w:t>\tag{3.13064}</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\mathcal P_F(\mathcal C_F)=\{X\in\mathcal C_F:\nexists Y\in\mathcal C_F\text{ mit }X\prec_P Y\}</w:t>
      </w:r>
    </w:p>
    <w:p w:rsidR="00E950C8" w:rsidRDefault="00E50336" w:rsidP="00E950C8">
      <w:r>
        <w:pict>
          <v:rect id="_x0000_i4944" style="width:0;height:1.5pt" o:hralign="center" o:hrstd="t" o:hr="t" fillcolor="#a0a0a0" stroked="f"/>
        </w:pict>
      </w:r>
    </w:p>
    <w:p w:rsidR="00E950C8" w:rsidRDefault="00E950C8" w:rsidP="00E950C8">
      <w:pPr>
        <w:pStyle w:val="berschrift1"/>
      </w:pPr>
      <w:r>
        <w:t>3.3.50.98 Definition 3.3.493 – Funktionale Pareto-Menge</w:t>
      </w:r>
    </w:p>
    <w:p w:rsidR="00E950C8" w:rsidRDefault="00E950C8" w:rsidP="00E950C8">
      <w:pPr>
        <w:pStyle w:val="berschrift3"/>
      </w:pPr>
      <w:r>
        <w:t>Definition 3.3.493</w:t>
      </w:r>
    </w:p>
    <w:p w:rsidR="00E950C8" w:rsidRDefault="00E950C8" w:rsidP="00E950C8">
      <w:pPr>
        <w:pStyle w:val="StandardWeb"/>
      </w:pPr>
      <w:r>
        <w:t xml:space="preserve">Die </w:t>
      </w:r>
      <w:r>
        <w:rPr>
          <w:rStyle w:val="Fett"/>
        </w:rPr>
        <w:t>funktionale Pareto-Menge</w:t>
      </w:r>
      <w:r>
        <w:t xml:space="preserve"> ist</w:t>
      </w:r>
    </w:p>
    <w:p w:rsidR="00E950C8" w:rsidRDefault="00E950C8" w:rsidP="00E950C8">
      <w:pPr>
        <w:pStyle w:val="berschrift1"/>
      </w:pPr>
      <w:r>
        <w:t>[</w:t>
      </w:r>
      <w:r>
        <w:br/>
        <w:t>\boxed{</w:t>
      </w:r>
      <w:r>
        <w:br/>
        <w:t>\mathcal P_F(\mathcal C_F)</w:t>
      </w:r>
    </w:p>
    <w:p w:rsidR="00E950C8" w:rsidRDefault="00E950C8" w:rsidP="00E950C8">
      <w:pPr>
        <w:pStyle w:val="StandardWeb"/>
      </w:pPr>
      <w:r>
        <w:t>\operatorname{Max}_{\preceq_P}(\mathcal C_F).</w:t>
      </w:r>
      <w:r>
        <w:br/>
        <w:t>}</w:t>
      </w:r>
      <w:r>
        <w:br/>
        <w:t>\tag{3.13065}</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\boxed{\mathcal P_F(\mathcal C_F)=\operatorname{Max}_{\preceq_P}(\mathcal C_F).}</w:t>
      </w:r>
    </w:p>
    <w:p w:rsidR="00E950C8" w:rsidRDefault="00E50336" w:rsidP="00E950C8">
      <w:r>
        <w:pict>
          <v:rect id="_x0000_i4945" style="width:0;height:1.5pt" o:hralign="center" o:hrstd="t" o:hr="t" fillcolor="#a0a0a0" stroked="f"/>
        </w:pict>
      </w:r>
    </w:p>
    <w:p w:rsidR="00E950C8" w:rsidRDefault="00E950C8" w:rsidP="00E950C8">
      <w:pPr>
        <w:pStyle w:val="berschrift1"/>
      </w:pPr>
      <w:r>
        <w:t>3.3.50.99 Mehrere Pareto-Optima</w:t>
      </w:r>
    </w:p>
    <w:p w:rsidR="00E950C8" w:rsidRDefault="00E950C8" w:rsidP="00E950C8">
      <w:pPr>
        <w:pStyle w:val="StandardWeb"/>
      </w:pPr>
      <w:r>
        <w:t>Es kann gelten</w:t>
      </w:r>
    </w:p>
    <w:p w:rsidR="00E950C8" w:rsidRDefault="00E950C8" w:rsidP="00E950C8">
      <w:pPr>
        <w:pStyle w:val="StandardWeb"/>
      </w:pPr>
      <w:r>
        <w:t>[</w:t>
      </w:r>
      <w:r>
        <w:br/>
        <w:t>\left|</w:t>
      </w:r>
      <w:r>
        <w:br/>
      </w:r>
      <w:r>
        <w:lastRenderedPageBreak/>
        <w:t>\mathcal P_F(\mathcal C_F)</w:t>
      </w:r>
      <w:r>
        <w:br/>
        <w:t>\right|</w:t>
      </w:r>
    </w:p>
    <w:p w:rsidR="00E950C8" w:rsidRDefault="00E950C8" w:rsidP="00563F88">
      <w:pPr>
        <w:numPr>
          <w:ilvl w:val="0"/>
          <w:numId w:val="601"/>
        </w:numPr>
        <w:spacing w:before="100" w:beforeAutospacing="1" w:after="100" w:afterAutospacing="1"/>
      </w:pPr>
    </w:p>
    <w:p w:rsidR="00E950C8" w:rsidRDefault="00E950C8" w:rsidP="00E950C8">
      <w:pPr>
        <w:pStyle w:val="StandardWeb"/>
      </w:pPr>
      <w:r>
        <w:t>\tag{3.13066}</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\left|\mathcal P_F(\mathcal C_F)\right|&gt;1</w:t>
      </w:r>
    </w:p>
    <w:p w:rsidR="00E950C8" w:rsidRDefault="00E950C8" w:rsidP="00E950C8">
      <w:pPr>
        <w:pStyle w:val="StandardWeb"/>
      </w:pPr>
      <w:r>
        <w:t>Damit liefert eine Mehrkriterienordnung im Allgemeinen keine eindeutige Auswahl.</w:t>
      </w:r>
    </w:p>
    <w:p w:rsidR="00E950C8" w:rsidRDefault="00E50336" w:rsidP="00E950C8">
      <w:r>
        <w:pict>
          <v:rect id="_x0000_i4946" style="width:0;height:1.5pt" o:hralign="center" o:hrstd="t" o:hr="t" fillcolor="#a0a0a0" stroked="f"/>
        </w:pict>
      </w:r>
    </w:p>
    <w:p w:rsidR="00E950C8" w:rsidRDefault="00E950C8" w:rsidP="00E950C8">
      <w:pPr>
        <w:pStyle w:val="berschrift1"/>
      </w:pPr>
      <w:r>
        <w:t>3.3.50.100 Gewichtete Skalarisierung</w:t>
      </w:r>
    </w:p>
    <w:p w:rsidR="00E950C8" w:rsidRDefault="00E950C8" w:rsidP="00E950C8">
      <w:pPr>
        <w:pStyle w:val="StandardWeb"/>
      </w:pPr>
      <w:r>
        <w:t>Eine Mehrkriterienbewertung kann modellabhängig durch Gewichte skalarisiert werden:</w:t>
      </w:r>
    </w:p>
    <w:p w:rsidR="00E950C8" w:rsidRDefault="00E950C8" w:rsidP="00E950C8">
      <w:pPr>
        <w:pStyle w:val="berschrift1"/>
      </w:pPr>
      <w:r>
        <w:t>[</w:t>
      </w:r>
      <w:r>
        <w:br/>
        <w:t>u_F^{(w)}(X)</w:t>
      </w:r>
    </w:p>
    <w:p w:rsidR="00E950C8" w:rsidRDefault="00E950C8" w:rsidP="00E950C8">
      <w:pPr>
        <w:pStyle w:val="StandardWeb"/>
      </w:pPr>
      <w:r>
        <w:t>\sum_{k=1}^{m}</w:t>
      </w:r>
      <w:r>
        <w:br/>
        <w:t>w_k u_k(X).</w:t>
      </w:r>
      <w:r>
        <w:br/>
        <w:t>\tag{3.13067}</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u_F^{(w)}(X)=\sum_{k=1}^{m}w_k u_k(X)</w:t>
      </w:r>
    </w:p>
    <w:p w:rsidR="00E950C8" w:rsidRDefault="00E950C8" w:rsidP="00E950C8">
      <w:pPr>
        <w:pStyle w:val="StandardWeb"/>
      </w:pPr>
      <w:r>
        <w:t>mit beispielsweise</w:t>
      </w:r>
    </w:p>
    <w:p w:rsidR="00E950C8" w:rsidRDefault="00E950C8" w:rsidP="00E950C8">
      <w:pPr>
        <w:pStyle w:val="StandardWeb"/>
      </w:pPr>
      <w:r>
        <w:t>[</w:t>
      </w:r>
      <w:r>
        <w:br/>
        <w:t>w_k</w:t>
      </w:r>
      <w:r>
        <w:br/>
        <w:t>\geq</w:t>
      </w:r>
      <w:r>
        <w:br/>
        <w:t>0.</w:t>
      </w:r>
      <w:r>
        <w:br/>
        <w:t>\tag{3.13068}</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w_k\geq0</w:t>
      </w:r>
    </w:p>
    <w:p w:rsidR="00E950C8" w:rsidRDefault="00E50336" w:rsidP="00E950C8">
      <w:r>
        <w:pict>
          <v:rect id="_x0000_i4947" style="width:0;height:1.5pt" o:hralign="center" o:hrstd="t" o:hr="t" fillcolor="#a0a0a0" stroked="f"/>
        </w:pict>
      </w:r>
    </w:p>
    <w:p w:rsidR="00E950C8" w:rsidRDefault="00E950C8" w:rsidP="00E950C8">
      <w:pPr>
        <w:pStyle w:val="berschrift1"/>
      </w:pPr>
      <w:r>
        <w:t>3.3.50.101 Definition 3.3.494 – Gewichtete funktionale Skalarisierung</w:t>
      </w:r>
    </w:p>
    <w:p w:rsidR="00E950C8" w:rsidRDefault="00E950C8" w:rsidP="00E950C8">
      <w:pPr>
        <w:pStyle w:val="berschrift3"/>
      </w:pPr>
      <w:r>
        <w:lastRenderedPageBreak/>
        <w:t>Definition 3.3.494</w:t>
      </w:r>
    </w:p>
    <w:p w:rsidR="00E950C8" w:rsidRDefault="00E950C8" w:rsidP="00E950C8">
      <w:pPr>
        <w:pStyle w:val="StandardWeb"/>
      </w:pPr>
      <w:r>
        <w:t xml:space="preserve">Eine </w:t>
      </w:r>
      <w:r>
        <w:rPr>
          <w:rStyle w:val="Fett"/>
        </w:rPr>
        <w:t>gewichtete funktionale Skalarisierung</w:t>
      </w:r>
      <w:r>
        <w:t xml:space="preserve"> ist</w:t>
      </w:r>
    </w:p>
    <w:p w:rsidR="00E950C8" w:rsidRDefault="00E950C8" w:rsidP="00E950C8">
      <w:pPr>
        <w:pStyle w:val="StandardWeb"/>
      </w:pPr>
      <w:r>
        <w:t>[</w:t>
      </w:r>
      <w:r>
        <w:br/>
        <w:t>\boxed{</w:t>
      </w:r>
      <w:r>
        <w:br/>
        <w:t>u_F^{(w)}(X)</w:t>
      </w:r>
      <w:r>
        <w:br/>
        <w:t>:=</w:t>
      </w:r>
      <w:r>
        <w:br/>
        <w:t>\sum_{k=1}^{m}</w:t>
      </w:r>
      <w:r>
        <w:br/>
        <w:t>w_k u_k(X).</w:t>
      </w:r>
      <w:r>
        <w:br/>
        <w:t>}</w:t>
      </w:r>
      <w:r>
        <w:br/>
        <w:t>\tag{3.13069}</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\boxed{u_F^{(w)}(X):=\sum_{k=1}^{m}w_k u_k(X).}</w:t>
      </w:r>
    </w:p>
    <w:p w:rsidR="00E950C8" w:rsidRDefault="00E50336" w:rsidP="00E950C8">
      <w:r>
        <w:pict>
          <v:rect id="_x0000_i4948" style="width:0;height:1.5pt" o:hralign="center" o:hrstd="t" o:hr="t" fillcolor="#a0a0a0" stroked="f"/>
        </w:pict>
      </w:r>
    </w:p>
    <w:p w:rsidR="00E950C8" w:rsidRDefault="00E950C8" w:rsidP="00E950C8">
      <w:pPr>
        <w:pStyle w:val="berschrift1"/>
      </w:pPr>
      <w:r>
        <w:t>3.3.50.102 Gewichte als Modellparameter</w:t>
      </w:r>
    </w:p>
    <w:p w:rsidR="00E950C8" w:rsidRDefault="00E950C8" w:rsidP="00E950C8">
      <w:pPr>
        <w:pStyle w:val="StandardWeb"/>
      </w:pPr>
      <w:r>
        <w:t>Die Gewichtung</w:t>
      </w:r>
    </w:p>
    <w:p w:rsidR="00E950C8" w:rsidRDefault="00E950C8" w:rsidP="00E950C8">
      <w:pPr>
        <w:pStyle w:val="berschrift1"/>
      </w:pPr>
      <w:r>
        <w:t>[</w:t>
      </w:r>
      <w:r>
        <w:br/>
        <w:t>\mathbf w</w:t>
      </w:r>
    </w:p>
    <w:p w:rsidR="00E950C8" w:rsidRDefault="00E950C8" w:rsidP="00E950C8">
      <w:pPr>
        <w:pStyle w:val="StandardWeb"/>
      </w:pPr>
      <w:r>
        <w:t>(w_1,\ldots,w_m)</w:t>
      </w:r>
      <w:r>
        <w:br/>
        <w:t>\tag{3.13070}</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\mathbf w=(w_1,\ldots,w_m)</w:t>
      </w:r>
    </w:p>
    <w:p w:rsidR="00E950C8" w:rsidRDefault="00E950C8" w:rsidP="00E950C8">
      <w:pPr>
        <w:pStyle w:val="StandardWeb"/>
      </w:pPr>
      <w:r>
        <w:t>ist eine modellabhängige Festlegung.</w:t>
      </w:r>
    </w:p>
    <w:p w:rsidR="00E950C8" w:rsidRDefault="00E950C8" w:rsidP="00E950C8">
      <w:pPr>
        <w:pStyle w:val="StandardWeb"/>
      </w:pPr>
      <w:r>
        <w:t>Eine andere Gewichtung</w:t>
      </w:r>
    </w:p>
    <w:p w:rsidR="00E950C8" w:rsidRDefault="00E950C8" w:rsidP="00E950C8">
      <w:pPr>
        <w:pStyle w:val="StandardWeb"/>
      </w:pPr>
      <w:r>
        <w:t>[</w:t>
      </w:r>
      <w:r>
        <w:br/>
        <w:t>\mathbf w'</w:t>
      </w:r>
      <w:r>
        <w:br/>
        <w:t>\neq</w:t>
      </w:r>
      <w:r>
        <w:br/>
        <w:t>\mathbf w</w:t>
      </w:r>
      <w:r>
        <w:br/>
        <w:t>\tag{3.13071}</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\mathbf w'\neq\mathbf w</w:t>
      </w:r>
    </w:p>
    <w:p w:rsidR="00E950C8" w:rsidRDefault="00E950C8" w:rsidP="00E950C8">
      <w:pPr>
        <w:pStyle w:val="StandardWeb"/>
      </w:pPr>
      <w:r>
        <w:lastRenderedPageBreak/>
        <w:t>kann eine andere Rangfolge erzeugen.</w:t>
      </w:r>
    </w:p>
    <w:p w:rsidR="00E950C8" w:rsidRDefault="00E50336" w:rsidP="00E950C8">
      <w:r>
        <w:pict>
          <v:rect id="_x0000_i4949" style="width:0;height:1.5pt" o:hralign="center" o:hrstd="t" o:hr="t" fillcolor="#a0a0a0" stroked="f"/>
        </w:pict>
      </w:r>
    </w:p>
    <w:p w:rsidR="00E950C8" w:rsidRDefault="00E950C8" w:rsidP="00E950C8">
      <w:pPr>
        <w:pStyle w:val="berschrift1"/>
      </w:pPr>
      <w:r>
        <w:t>3.3.50.103 Gewichtungsabhängige Auswahl</w:t>
      </w:r>
    </w:p>
    <w:p w:rsidR="00E950C8" w:rsidRDefault="00E950C8" w:rsidP="00E950C8">
      <w:pPr>
        <w:pStyle w:val="StandardWeb"/>
      </w:pPr>
      <w:r>
        <w:t>Es kann daher gelten</w:t>
      </w:r>
    </w:p>
    <w:p w:rsidR="00E950C8" w:rsidRDefault="00E950C8" w:rsidP="00E950C8">
      <w:pPr>
        <w:pStyle w:val="StandardWeb"/>
      </w:pPr>
      <w:r>
        <w:t>[</w:t>
      </w:r>
      <w:r>
        <w:br/>
        <w:t>\operatorname{Sel}_F^{(\mathbf w)}</w:t>
      </w:r>
      <w:r>
        <w:br/>
        <w:t>(\mathcal C_F)</w:t>
      </w:r>
      <w:r>
        <w:br/>
        <w:t>\neq</w:t>
      </w:r>
      <w:r>
        <w:br/>
        <w:t>\operatorname{Sel}_F^{(\mathbf w')}</w:t>
      </w:r>
      <w:r>
        <w:br/>
        <w:t>(\mathcal C_F).</w:t>
      </w:r>
      <w:r>
        <w:br/>
        <w:t>\tag{3.13072}</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\operatorname{Sel}_F^{(\mathbf w)}(\mathcal C_F)\neq\operatorname{Sel}_F^{(\mathbf w')}(\mathcal C_F)</w:t>
      </w:r>
    </w:p>
    <w:p w:rsidR="00E950C8" w:rsidRDefault="00E50336" w:rsidP="00E950C8">
      <w:r>
        <w:pict>
          <v:rect id="_x0000_i4950" style="width:0;height:1.5pt" o:hralign="center" o:hrstd="t" o:hr="t" fillcolor="#a0a0a0" stroked="f"/>
        </w:pict>
      </w:r>
    </w:p>
    <w:p w:rsidR="00E950C8" w:rsidRDefault="00E950C8" w:rsidP="00E950C8">
      <w:pPr>
        <w:pStyle w:val="berschrift1"/>
      </w:pPr>
      <w:r>
        <w:t>3.3.50.104 Definition 3.3.495 – Gewichtungsabhängige funktionale Auswahl</w:t>
      </w:r>
    </w:p>
    <w:p w:rsidR="00E950C8" w:rsidRDefault="00E950C8" w:rsidP="00E950C8">
      <w:pPr>
        <w:pStyle w:val="berschrift3"/>
      </w:pPr>
      <w:r>
        <w:t>Definition 3.3.495</w:t>
      </w:r>
    </w:p>
    <w:p w:rsidR="00E950C8" w:rsidRDefault="00E950C8" w:rsidP="00E950C8">
      <w:pPr>
        <w:pStyle w:val="StandardWeb"/>
      </w:pPr>
      <w:r>
        <w:t xml:space="preserve">Eine funktionale Auswahl heißt </w:t>
      </w:r>
      <w:r>
        <w:rPr>
          <w:rStyle w:val="Fett"/>
        </w:rPr>
        <w:t>gewichtungsabhängig</w:t>
      </w:r>
      <w:r>
        <w:t>, wenn</w:t>
      </w:r>
    </w:p>
    <w:p w:rsidR="00E950C8" w:rsidRDefault="00E950C8" w:rsidP="00E950C8">
      <w:pPr>
        <w:pStyle w:val="StandardWeb"/>
      </w:pPr>
      <w:r>
        <w:t>[</w:t>
      </w:r>
      <w:r>
        <w:br/>
        <w:t>\boxed{</w:t>
      </w:r>
      <w:r>
        <w:br/>
        <w:t>\exists</w:t>
      </w:r>
      <w:r>
        <w:br/>
        <w:t>\mathbf w\neq\mathbf w':</w:t>
      </w:r>
      <w:r>
        <w:br/>
        <w:t>\operatorname{Sel}_F^{(\mathbf w)}(\mathcal C_F)</w:t>
      </w:r>
      <w:r>
        <w:br/>
        <w:t>\neq</w:t>
      </w:r>
      <w:r>
        <w:br/>
        <w:t>\operatorname{Sel}_F^{(\mathbf w')}(\mathcal C_F).</w:t>
      </w:r>
      <w:r>
        <w:br/>
        <w:t>}</w:t>
      </w:r>
      <w:r>
        <w:br/>
        <w:t>\tag{3.13073}</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\boxed{\exists\mathbf w\neq\mathbf w':\operatorname{Sel}_F^{(\mathbf w)}(\mathcal C_F)\neq\operatorname{Sel}_F^{(\mathbf w')}(\mathcal C_F).}</w:t>
      </w:r>
    </w:p>
    <w:p w:rsidR="00E950C8" w:rsidRDefault="00E50336" w:rsidP="00E950C8">
      <w:r>
        <w:pict>
          <v:rect id="_x0000_i4951" style="width:0;height:1.5pt" o:hralign="center" o:hrstd="t" o:hr="t" fillcolor="#a0a0a0" stroked="f"/>
        </w:pict>
      </w:r>
    </w:p>
    <w:p w:rsidR="00E950C8" w:rsidRDefault="00E950C8" w:rsidP="00E950C8">
      <w:pPr>
        <w:pStyle w:val="berschrift1"/>
      </w:pPr>
      <w:r>
        <w:t>3.3.50.105 Universelle eindeutige Gewichtung als Primäraxiomkandidat</w:t>
      </w:r>
    </w:p>
    <w:p w:rsidR="00E950C8" w:rsidRDefault="00E950C8" w:rsidP="00E950C8">
      <w:pPr>
        <w:pStyle w:val="StandardWeb"/>
      </w:pPr>
      <w:r>
        <w:lastRenderedPageBreak/>
        <w:t>Ein möglicher Kandidat wäre</w:t>
      </w:r>
    </w:p>
    <w:p w:rsidR="00E950C8" w:rsidRDefault="00E950C8" w:rsidP="00E950C8">
      <w:pPr>
        <w:pStyle w:val="StandardWeb"/>
      </w:pPr>
      <w:r>
        <w:t>[</w:t>
      </w:r>
      <w:r>
        <w:br/>
        <w:t>A_{\mathbf w}</w:t>
      </w:r>
      <w:r>
        <w:br/>
        <w:t>:</w:t>
      </w:r>
      <w:r>
        <w:br/>
        <w:t>\exists!</w:t>
      </w:r>
      <w:r>
        <w:br/>
        <w:t>\mathbf w</w:t>
      </w:r>
      <w:r>
        <w:br/>
        <w:t>\text{ für jede Mehrkriterienauswahl}.</w:t>
      </w:r>
      <w:r>
        <w:br/>
        <w:t>\tag{3.13074}</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A_{\mathbf w}:\exists!\mathbf w\text{ für jede Mehrkriterienauswahl}</w:t>
      </w:r>
    </w:p>
    <w:p w:rsidR="00E950C8" w:rsidRDefault="00E50336" w:rsidP="00E950C8">
      <w:r>
        <w:pict>
          <v:rect id="_x0000_i4952" style="width:0;height:1.5pt" o:hralign="center" o:hrstd="t" o:hr="t" fillcolor="#a0a0a0" stroked="f"/>
        </w:pict>
      </w:r>
    </w:p>
    <w:p w:rsidR="00E950C8" w:rsidRDefault="00E950C8" w:rsidP="00E950C8">
      <w:pPr>
        <w:pStyle w:val="berschrift1"/>
      </w:pPr>
      <w:r>
        <w:t>3.3.50.106 Gegenmodell zur universellen eindeutigen Gewichtung</w:t>
      </w:r>
    </w:p>
    <w:p w:rsidR="00E950C8" w:rsidRDefault="00E950C8" w:rsidP="00E950C8">
      <w:pPr>
        <w:pStyle w:val="StandardWeb"/>
      </w:pPr>
      <w:r>
        <w:t>Eine Modellklasse kann zwei gleichberechtigte Gewichtungsvektoren zulassen:</w:t>
      </w:r>
    </w:p>
    <w:p w:rsidR="00E950C8" w:rsidRDefault="00E950C8" w:rsidP="00E950C8">
      <w:pPr>
        <w:pStyle w:val="StandardWeb"/>
      </w:pPr>
      <w:r>
        <w:t>[</w:t>
      </w:r>
      <w:r>
        <w:br/>
        <w:t>\mathbf w_1</w:t>
      </w:r>
      <w:r>
        <w:br/>
        <w:t>\neq</w:t>
      </w:r>
      <w:r>
        <w:br/>
        <w:t>\mathbf w_2.</w:t>
      </w:r>
      <w:r>
        <w:br/>
        <w:t>\tag{3.13075}</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\mathbf w_1\neq\mathbf w_2</w:t>
      </w:r>
    </w:p>
    <w:p w:rsidR="00E950C8" w:rsidRDefault="00E950C8" w:rsidP="00E950C8">
      <w:pPr>
        <w:pStyle w:val="StandardWeb"/>
      </w:pPr>
      <w:r>
        <w:t>Beide können konsistente, aber unterschiedliche Auswahlresultate erzeugen.</w:t>
      </w:r>
    </w:p>
    <w:p w:rsidR="00E950C8" w:rsidRDefault="00E50336" w:rsidP="00E950C8">
      <w:r>
        <w:pict>
          <v:rect id="_x0000_i4953" style="width:0;height:1.5pt" o:hralign="center" o:hrstd="t" o:hr="t" fillcolor="#a0a0a0" stroked="f"/>
        </w:pict>
      </w:r>
    </w:p>
    <w:p w:rsidR="00E950C8" w:rsidRDefault="00E950C8" w:rsidP="00E950C8">
      <w:pPr>
        <w:pStyle w:val="berschrift1"/>
      </w:pPr>
      <w:r>
        <w:t>3.3.50.107 Axiomentscheidung zur eindeutigen Gewichtung</w:t>
      </w:r>
    </w:p>
    <w:p w:rsidR="00E950C8" w:rsidRDefault="00E950C8" w:rsidP="00E950C8">
      <w:pPr>
        <w:pStyle w:val="StandardWeb"/>
      </w:pPr>
      <w:r>
        <w:t>Damit gilt</w:t>
      </w:r>
    </w:p>
    <w:p w:rsidR="00E950C8" w:rsidRDefault="00E950C8" w:rsidP="00E950C8">
      <w:pPr>
        <w:pStyle w:val="berschrift1"/>
      </w:pPr>
      <w:r>
        <w:t>[</w:t>
      </w:r>
      <w:r>
        <w:br/>
        <w:t>\boxed{</w:t>
      </w:r>
      <w:r>
        <w:br/>
        <w:t>U_{\mathrm{Ax}}</w:t>
      </w:r>
      <w:r>
        <w:br/>
        <w:t>(A_{\mathbf w})</w:t>
      </w:r>
    </w:p>
    <w:p w:rsidR="00E950C8" w:rsidRDefault="00E950C8" w:rsidP="00563F88">
      <w:pPr>
        <w:numPr>
          <w:ilvl w:val="0"/>
          <w:numId w:val="602"/>
        </w:numPr>
        <w:spacing w:before="100" w:beforeAutospacing="1" w:after="100" w:afterAutospacing="1"/>
      </w:pPr>
    </w:p>
    <w:p w:rsidR="00E950C8" w:rsidRDefault="00E950C8" w:rsidP="00E950C8">
      <w:pPr>
        <w:pStyle w:val="StandardWeb"/>
      </w:pPr>
      <w:r>
        <w:t>}</w:t>
      </w:r>
      <w:r>
        <w:br/>
        <w:t>\tag{3.13076}</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\boxed{U_{\mathrm{Ax}}(A_{\mathbf w})=0.}</w:t>
      </w:r>
    </w:p>
    <w:p w:rsidR="00E950C8" w:rsidRDefault="00E50336" w:rsidP="00E950C8">
      <w:r>
        <w:pict>
          <v:rect id="_x0000_i4954" style="width:0;height:1.5pt" o:hralign="center" o:hrstd="t" o:hr="t" fillcolor="#a0a0a0" stroked="f"/>
        </w:pict>
      </w:r>
    </w:p>
    <w:p w:rsidR="00E950C8" w:rsidRDefault="00E950C8" w:rsidP="00E950C8">
      <w:pPr>
        <w:pStyle w:val="berschrift1"/>
      </w:pPr>
      <w:r>
        <w:t>3.3.50.108 Satz 3.3.187 – Universell eindeutige Kriteriengewichtung ist kein Primäraxiom</w:t>
      </w:r>
    </w:p>
    <w:p w:rsidR="00E950C8" w:rsidRDefault="00E950C8" w:rsidP="00E950C8">
      <w:pPr>
        <w:pStyle w:val="berschrift3"/>
      </w:pPr>
      <w:r>
        <w:t>Satz 3.3.187</w:t>
      </w:r>
    </w:p>
    <w:p w:rsidR="00E950C8" w:rsidRDefault="00E950C8" w:rsidP="00E950C8">
      <w:pPr>
        <w:pStyle w:val="StandardWeb"/>
      </w:pPr>
      <w:r>
        <w:t>Die Forderung, jede mehrkriterielle funktionale Auswahl müsse eine universell eindeutig bestimmte Gewichtung besitzen, ist keine notwendige Voraussetzung des allgemeinen FRZK.</w:t>
      </w:r>
    </w:p>
    <w:p w:rsidR="00E950C8" w:rsidRDefault="00E950C8" w:rsidP="00E950C8">
      <w:pPr>
        <w:pStyle w:val="StandardWeb"/>
      </w:pPr>
      <w:r>
        <w:t>Formal gilt</w:t>
      </w:r>
    </w:p>
    <w:p w:rsidR="00E950C8" w:rsidRDefault="00E950C8" w:rsidP="00E950C8">
      <w:pPr>
        <w:pStyle w:val="berschrift1"/>
      </w:pPr>
      <w:r>
        <w:t>[</w:t>
      </w:r>
      <w:r>
        <w:br/>
        <w:t>\boxed{</w:t>
      </w:r>
      <w:r>
        <w:br/>
        <w:t>U_{\mathrm{Ax}}</w:t>
      </w:r>
      <w:r>
        <w:br/>
        <w:t>(A_{\mathbf w})</w:t>
      </w:r>
    </w:p>
    <w:p w:rsidR="00E950C8" w:rsidRDefault="00E950C8" w:rsidP="00563F88">
      <w:pPr>
        <w:numPr>
          <w:ilvl w:val="0"/>
          <w:numId w:val="603"/>
        </w:numPr>
        <w:spacing w:before="100" w:beforeAutospacing="1" w:after="100" w:afterAutospacing="1"/>
      </w:pPr>
    </w:p>
    <w:p w:rsidR="00E950C8" w:rsidRDefault="00E950C8" w:rsidP="00E950C8">
      <w:pPr>
        <w:pStyle w:val="StandardWeb"/>
      </w:pPr>
      <w:r>
        <w:t>}</w:t>
      </w:r>
      <w:r>
        <w:br/>
        <w:t>\tag{3.13077}</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\boxed{U_{\mathrm{Ax}}(A_{\mathbf w})=0.}</w:t>
      </w:r>
    </w:p>
    <w:p w:rsidR="00E950C8" w:rsidRDefault="00E50336" w:rsidP="00E950C8">
      <w:r>
        <w:pict>
          <v:rect id="_x0000_i4955" style="width:0;height:1.5pt" o:hralign="center" o:hrstd="t" o:hr="t" fillcolor="#a0a0a0" stroked="f"/>
        </w:pict>
      </w:r>
    </w:p>
    <w:p w:rsidR="00E950C8" w:rsidRDefault="00E950C8" w:rsidP="00E950C8">
      <w:pPr>
        <w:pStyle w:val="berschrift1"/>
      </w:pPr>
      <w:r>
        <w:t>3.3.50.109 Zustandsabhängige Priorität</w:t>
      </w:r>
    </w:p>
    <w:p w:rsidR="00E950C8" w:rsidRDefault="00E950C8" w:rsidP="00E950C8">
      <w:pPr>
        <w:pStyle w:val="StandardWeb"/>
      </w:pPr>
      <w:r>
        <w:t>Eine Prioritätsrelation kann vom aktuellen Systemzustand abhängen.</w:t>
      </w:r>
    </w:p>
    <w:p w:rsidR="00E950C8" w:rsidRDefault="00E950C8" w:rsidP="00E950C8">
      <w:pPr>
        <w:pStyle w:val="StandardWeb"/>
      </w:pPr>
      <w:r>
        <w:t>Ich schreibe</w:t>
      </w:r>
    </w:p>
    <w:p w:rsidR="00E950C8" w:rsidRDefault="00E950C8" w:rsidP="00E950C8">
      <w:pPr>
        <w:pStyle w:val="StandardWeb"/>
      </w:pPr>
      <w:r>
        <w:t>[</w:t>
      </w:r>
      <w:r>
        <w:br/>
        <w:t>\triangleleft_F^{(z)}.</w:t>
      </w:r>
      <w:r>
        <w:br/>
      </w:r>
      <w:r>
        <w:lastRenderedPageBreak/>
        <w:t>\tag{3.13078}</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\triangleleft_F^{(z)}</w:t>
      </w:r>
    </w:p>
    <w:p w:rsidR="00E950C8" w:rsidRDefault="00E950C8" w:rsidP="00E950C8">
      <w:pPr>
        <w:pStyle w:val="StandardWeb"/>
      </w:pPr>
      <w:r>
        <w:t>Dann kann gelten</w:t>
      </w:r>
    </w:p>
    <w:p w:rsidR="00E950C8" w:rsidRDefault="00E950C8" w:rsidP="00E950C8">
      <w:pPr>
        <w:pStyle w:val="StandardWeb"/>
      </w:pPr>
      <w:r>
        <w:t>[</w:t>
      </w:r>
      <w:r>
        <w:br/>
        <w:t>X</w:t>
      </w:r>
      <w:r>
        <w:br/>
        <w:t>\triangleleft_F^{(z_1)}</w:t>
      </w:r>
      <w:r>
        <w:br/>
        <w:t>Y</w:t>
      </w:r>
      <w:r>
        <w:br/>
        <w:t>\tag{3.13079}</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X\triangleleft_F^{(z_1)}Y</w:t>
      </w:r>
    </w:p>
    <w:p w:rsidR="00E950C8" w:rsidRDefault="00E950C8" w:rsidP="00E950C8">
      <w:pPr>
        <w:pStyle w:val="StandardWeb"/>
      </w:pPr>
      <w:r>
        <w:t>und zugleich</w:t>
      </w:r>
    </w:p>
    <w:p w:rsidR="00E950C8" w:rsidRDefault="00E950C8" w:rsidP="00E950C8">
      <w:pPr>
        <w:pStyle w:val="StandardWeb"/>
      </w:pPr>
      <w:r>
        <w:t>[</w:t>
      </w:r>
      <w:r>
        <w:br/>
        <w:t>Y</w:t>
      </w:r>
      <w:r>
        <w:br/>
        <w:t>\triangleleft_F^{(z_2)}</w:t>
      </w:r>
      <w:r>
        <w:br/>
        <w:t>X.</w:t>
      </w:r>
      <w:r>
        <w:br/>
        <w:t>\tag{3.13080}</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Y\triangleleft_F^{(z_2)}X</w:t>
      </w:r>
    </w:p>
    <w:p w:rsidR="00E950C8" w:rsidRDefault="00E50336" w:rsidP="00E950C8">
      <w:r>
        <w:pict>
          <v:rect id="_x0000_i4956" style="width:0;height:1.5pt" o:hralign="center" o:hrstd="t" o:hr="t" fillcolor="#a0a0a0" stroked="f"/>
        </w:pict>
      </w:r>
    </w:p>
    <w:p w:rsidR="00E950C8" w:rsidRDefault="00E950C8" w:rsidP="00E950C8">
      <w:pPr>
        <w:pStyle w:val="berschrift1"/>
      </w:pPr>
      <w:r>
        <w:t>3.3.50.110 Definition 3.3.496 – Zustandsabhängige funktionale Prioritätsrelation</w:t>
      </w:r>
    </w:p>
    <w:p w:rsidR="00E950C8" w:rsidRDefault="00E950C8" w:rsidP="00E950C8">
      <w:pPr>
        <w:pStyle w:val="berschrift3"/>
      </w:pPr>
      <w:r>
        <w:t>Definition 3.3.496</w:t>
      </w:r>
    </w:p>
    <w:p w:rsidR="00E950C8" w:rsidRDefault="00E950C8" w:rsidP="00E950C8">
      <w:pPr>
        <w:pStyle w:val="StandardWeb"/>
      </w:pPr>
      <w:r>
        <w:t xml:space="preserve">Eine funktionale Prioritätsrelation heißt </w:t>
      </w:r>
      <w:r>
        <w:rPr>
          <w:rStyle w:val="Fett"/>
        </w:rPr>
        <w:t>zustandsabhängig</w:t>
      </w:r>
      <w:r>
        <w:t>, wenn</w:t>
      </w:r>
    </w:p>
    <w:p w:rsidR="00E950C8" w:rsidRDefault="00E950C8" w:rsidP="00E950C8">
      <w:pPr>
        <w:pStyle w:val="berschrift1"/>
      </w:pPr>
      <w:r>
        <w:t>[</w:t>
      </w:r>
      <w:r>
        <w:br/>
        <w:t>\boxed{</w:t>
      </w:r>
      <w:r>
        <w:br/>
        <w:t>\triangleleft_F</w:t>
      </w:r>
    </w:p>
    <w:p w:rsidR="00E950C8" w:rsidRDefault="00E950C8" w:rsidP="00E950C8">
      <w:pPr>
        <w:pStyle w:val="StandardWeb"/>
      </w:pPr>
      <w:r>
        <w:t>\triangleleft_F(z).</w:t>
      </w:r>
      <w:r>
        <w:br/>
        <w:t>}</w:t>
      </w:r>
      <w:r>
        <w:br/>
      </w:r>
      <w:r>
        <w:lastRenderedPageBreak/>
        <w:t>\tag{3.13081}</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\boxed{\triangleleft_F=\triangleleft_F(z).}</w:t>
      </w:r>
    </w:p>
    <w:p w:rsidR="00E950C8" w:rsidRDefault="00E50336" w:rsidP="00E950C8">
      <w:r>
        <w:pict>
          <v:rect id="_x0000_i4957" style="width:0;height:1.5pt" o:hralign="center" o:hrstd="t" o:hr="t" fillcolor="#a0a0a0" stroked="f"/>
        </w:pict>
      </w:r>
    </w:p>
    <w:p w:rsidR="00E950C8" w:rsidRDefault="00E950C8" w:rsidP="00E950C8">
      <w:pPr>
        <w:pStyle w:val="berschrift1"/>
      </w:pPr>
      <w:r>
        <w:t>3.3.50.111 Kontextabhängige Priorität</w:t>
      </w:r>
    </w:p>
    <w:p w:rsidR="00E950C8" w:rsidRDefault="00E950C8" w:rsidP="00E950C8">
      <w:pPr>
        <w:pStyle w:val="StandardWeb"/>
      </w:pPr>
      <w:r>
        <w:t>Allgemeiner kann</w:t>
      </w:r>
    </w:p>
    <w:p w:rsidR="00E950C8" w:rsidRDefault="00E950C8" w:rsidP="00E950C8">
      <w:pPr>
        <w:pStyle w:val="berschrift1"/>
      </w:pPr>
      <w:r>
        <w:t>[</w:t>
      </w:r>
      <w:r>
        <w:br/>
        <w:t>\triangleleft_F</w:t>
      </w:r>
    </w:p>
    <w:p w:rsidR="00E950C8" w:rsidRDefault="00E950C8" w:rsidP="00E950C8">
      <w:pPr>
        <w:pStyle w:val="StandardWeb"/>
      </w:pPr>
      <w:r>
        <w:t>\triangleleft_F(z,c)</w:t>
      </w:r>
      <w:r>
        <w:br/>
        <w:t>\tag{3.13082}</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\triangleleft_F=\triangleleft_F(z,c)</w:t>
      </w:r>
    </w:p>
    <w:p w:rsidR="00E950C8" w:rsidRDefault="00E950C8" w:rsidP="00E950C8">
      <w:pPr>
        <w:pStyle w:val="StandardWeb"/>
      </w:pPr>
      <w:r>
        <w:t>gelten.</w:t>
      </w:r>
    </w:p>
    <w:p w:rsidR="00E950C8" w:rsidRDefault="00E50336" w:rsidP="00E950C8">
      <w:r>
        <w:pict>
          <v:rect id="_x0000_i4958" style="width:0;height:1.5pt" o:hralign="center" o:hrstd="t" o:hr="t" fillcolor="#a0a0a0" stroked="f"/>
        </w:pict>
      </w:r>
    </w:p>
    <w:p w:rsidR="00E950C8" w:rsidRDefault="00E950C8" w:rsidP="00E950C8">
      <w:pPr>
        <w:pStyle w:val="berschrift1"/>
      </w:pPr>
      <w:r>
        <w:t>3.3.50.112 Definition 3.3.497 – Zustands- und kontextabhängige funktionale Priorität</w:t>
      </w:r>
    </w:p>
    <w:p w:rsidR="00E950C8" w:rsidRDefault="00E950C8" w:rsidP="00E950C8">
      <w:pPr>
        <w:pStyle w:val="berschrift3"/>
      </w:pPr>
      <w:r>
        <w:t>Definition 3.3.497</w:t>
      </w:r>
    </w:p>
    <w:p w:rsidR="00E950C8" w:rsidRDefault="00E950C8" w:rsidP="00E950C8">
      <w:pPr>
        <w:pStyle w:val="StandardWeb"/>
      </w:pPr>
      <w:r>
        <w:t xml:space="preserve">Eine funktionale Prioritätsrelation heißt </w:t>
      </w:r>
      <w:r>
        <w:rPr>
          <w:rStyle w:val="Fett"/>
        </w:rPr>
        <w:t>zustands- und kontextabhängig</w:t>
      </w:r>
      <w:r>
        <w:t>, wenn</w:t>
      </w:r>
    </w:p>
    <w:p w:rsidR="00E950C8" w:rsidRDefault="00E950C8" w:rsidP="00E950C8">
      <w:pPr>
        <w:pStyle w:val="berschrift1"/>
      </w:pPr>
      <w:r>
        <w:t>[</w:t>
      </w:r>
      <w:r>
        <w:br/>
        <w:t>\boxed{</w:t>
      </w:r>
      <w:r>
        <w:br/>
        <w:t>\triangleleft_F</w:t>
      </w:r>
    </w:p>
    <w:p w:rsidR="00E950C8" w:rsidRDefault="00E950C8" w:rsidP="00E950C8">
      <w:pPr>
        <w:pStyle w:val="StandardWeb"/>
      </w:pPr>
      <w:r>
        <w:t>\triangleleft_F(z,c).</w:t>
      </w:r>
      <w:r>
        <w:br/>
        <w:t>}</w:t>
      </w:r>
      <w:r>
        <w:br/>
        <w:t>\tag{3.13083}</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\boxed{\triangleleft_F=\triangleleft_F(z,c).}</w:t>
      </w:r>
    </w:p>
    <w:p w:rsidR="00E950C8" w:rsidRDefault="00E50336" w:rsidP="00E950C8">
      <w:r>
        <w:lastRenderedPageBreak/>
        <w:pict>
          <v:rect id="_x0000_i4959" style="width:0;height:1.5pt" o:hralign="center" o:hrstd="t" o:hr="t" fillcolor="#a0a0a0" stroked="f"/>
        </w:pict>
      </w:r>
    </w:p>
    <w:p w:rsidR="00E950C8" w:rsidRDefault="00E950C8" w:rsidP="00E950C8">
      <w:pPr>
        <w:pStyle w:val="berschrift1"/>
      </w:pPr>
      <w:r>
        <w:t>3.3.50.113 Dynamischer Prioritätswechsel</w:t>
      </w:r>
    </w:p>
    <w:p w:rsidR="00E950C8" w:rsidRDefault="00E950C8" w:rsidP="00E950C8">
      <w:pPr>
        <w:pStyle w:val="StandardWeb"/>
      </w:pPr>
      <w:r>
        <w:t>Zwischen zwei Zuständen kann die Prioritätsrelation wechseln:</w:t>
      </w:r>
    </w:p>
    <w:p w:rsidR="00E950C8" w:rsidRDefault="00E950C8" w:rsidP="00E950C8">
      <w:pPr>
        <w:pStyle w:val="StandardWeb"/>
      </w:pPr>
      <w:r>
        <w:t>[</w:t>
      </w:r>
      <w:r>
        <w:br/>
        <w:t>X</w:t>
      </w:r>
      <w:r>
        <w:br/>
        <w:t>\triangleleft_F^{(z_1)}</w:t>
      </w:r>
      <w:r>
        <w:br/>
        <w:t>Y</w:t>
      </w:r>
      <w:r>
        <w:br/>
        <w:t>\land</w:t>
      </w:r>
      <w:r>
        <w:br/>
        <w:t>Y</w:t>
      </w:r>
      <w:r>
        <w:br/>
        <w:t>\triangleleft_F^{(z_2)}</w:t>
      </w:r>
      <w:r>
        <w:br/>
        <w:t>X.</w:t>
      </w:r>
      <w:r>
        <w:br/>
        <w:t>\tag{3.13084}</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X\triangleleft_F^{(z_1)}Y\land Y\triangleleft_F^{(z_2)}X</w:t>
      </w:r>
    </w:p>
    <w:p w:rsidR="00E950C8" w:rsidRDefault="00E50336" w:rsidP="00E950C8">
      <w:r>
        <w:pict>
          <v:rect id="_x0000_i4960" style="width:0;height:1.5pt" o:hralign="center" o:hrstd="t" o:hr="t" fillcolor="#a0a0a0" stroked="f"/>
        </w:pict>
      </w:r>
    </w:p>
    <w:p w:rsidR="00E950C8" w:rsidRDefault="00E950C8" w:rsidP="00E950C8">
      <w:pPr>
        <w:pStyle w:val="berschrift1"/>
      </w:pPr>
      <w:r>
        <w:t>3.3.50.114 Definition 3.3.498 – Funktionaler Prioritätswechsel</w:t>
      </w:r>
    </w:p>
    <w:p w:rsidR="00E950C8" w:rsidRDefault="00E950C8" w:rsidP="00E950C8">
      <w:pPr>
        <w:pStyle w:val="berschrift3"/>
      </w:pPr>
      <w:r>
        <w:t>Definition 3.3.498</w:t>
      </w:r>
    </w:p>
    <w:p w:rsidR="00E950C8" w:rsidRDefault="00E950C8" w:rsidP="00E950C8">
      <w:pPr>
        <w:pStyle w:val="StandardWeb"/>
      </w:pPr>
      <w:r>
        <w:t xml:space="preserve">Ein </w:t>
      </w:r>
      <w:r>
        <w:rPr>
          <w:rStyle w:val="Fett"/>
        </w:rPr>
        <w:t>funktionaler Prioritätswechsel</w:t>
      </w:r>
      <w:r>
        <w:t xml:space="preserve"> zwischen zwei Objekten liegt vor, wenn</w:t>
      </w:r>
    </w:p>
    <w:p w:rsidR="00E950C8" w:rsidRDefault="00E950C8" w:rsidP="00E950C8">
      <w:pPr>
        <w:pStyle w:val="StandardWeb"/>
      </w:pPr>
      <w:r>
        <w:t>[</w:t>
      </w:r>
      <w:r>
        <w:br/>
        <w:t>\boxed{</w:t>
      </w:r>
      <w:r>
        <w:br/>
        <w:t>X</w:t>
      </w:r>
      <w:r>
        <w:br/>
        <w:t>\triangleleft_F^{(z_1)}</w:t>
      </w:r>
      <w:r>
        <w:br/>
        <w:t>Y</w:t>
      </w:r>
      <w:r>
        <w:br/>
        <w:t>\land</w:t>
      </w:r>
      <w:r>
        <w:br/>
        <w:t>Y</w:t>
      </w:r>
      <w:r>
        <w:br/>
        <w:t>\triangleleft_F^{(z_2)}</w:t>
      </w:r>
      <w:r>
        <w:br/>
        <w:t>X.</w:t>
      </w:r>
      <w:r>
        <w:br/>
        <w:t>}</w:t>
      </w:r>
      <w:r>
        <w:br/>
        <w:t>\tag{3.13085}</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\boxed{X\triangleleft_F^{(z_1)}Y\land Y\triangleleft_F^{(z_2)}X.}</w:t>
      </w:r>
    </w:p>
    <w:p w:rsidR="00E950C8" w:rsidRDefault="00E50336" w:rsidP="00E950C8">
      <w:r>
        <w:pict>
          <v:rect id="_x0000_i4961" style="width:0;height:1.5pt" o:hralign="center" o:hrstd="t" o:hr="t" fillcolor="#a0a0a0" stroked="f"/>
        </w:pict>
      </w:r>
    </w:p>
    <w:p w:rsidR="00E950C8" w:rsidRDefault="00E950C8" w:rsidP="00E950C8">
      <w:pPr>
        <w:pStyle w:val="berschrift1"/>
      </w:pPr>
      <w:r>
        <w:t>3.3.50.115 Statische Priorität als Primäraxiomkandidat</w:t>
      </w:r>
    </w:p>
    <w:p w:rsidR="00E950C8" w:rsidRDefault="00E950C8" w:rsidP="00E950C8">
      <w:pPr>
        <w:pStyle w:val="StandardWeb"/>
      </w:pPr>
      <w:r>
        <w:lastRenderedPageBreak/>
        <w:t>Ein möglicher Kandidat wäre</w:t>
      </w:r>
    </w:p>
    <w:p w:rsidR="00E950C8" w:rsidRDefault="00E950C8" w:rsidP="00E950C8">
      <w:pPr>
        <w:pStyle w:val="berschrift1"/>
      </w:pPr>
      <w:r>
        <w:t>[</w:t>
      </w:r>
      <w:r>
        <w:br/>
        <w:t>A_{\mathrm{stat-prio}}</w:t>
      </w:r>
      <w:r>
        <w:br/>
        <w:t>:</w:t>
      </w:r>
      <w:r>
        <w:br/>
        <w:t>\triangleleft_F(z_1)</w:t>
      </w:r>
    </w:p>
    <w:p w:rsidR="00E950C8" w:rsidRDefault="00E950C8" w:rsidP="00E950C8">
      <w:pPr>
        <w:pStyle w:val="StandardWeb"/>
      </w:pPr>
      <w:r>
        <w:t>\triangleleft_F(z_2)</w:t>
      </w:r>
      <w:r>
        <w:br/>
        <w:t>\qquad</w:t>
      </w:r>
      <w:r>
        <w:br/>
        <w:t>\forall z_1,z_2.</w:t>
      </w:r>
      <w:r>
        <w:br/>
        <w:t>\tag{3.13086}</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A_{\mathrm{stat-prio}}:\triangleleft_F(z_1)=\triangleleft_F(z_2)\qquad\forall z_1,z_2</w:t>
      </w:r>
    </w:p>
    <w:p w:rsidR="00E950C8" w:rsidRDefault="00E50336" w:rsidP="00E950C8">
      <w:r>
        <w:pict>
          <v:rect id="_x0000_i4962" style="width:0;height:1.5pt" o:hralign="center" o:hrstd="t" o:hr="t" fillcolor="#a0a0a0" stroked="f"/>
        </w:pict>
      </w:r>
    </w:p>
    <w:p w:rsidR="00E950C8" w:rsidRDefault="00E950C8" w:rsidP="00E950C8">
      <w:pPr>
        <w:pStyle w:val="berschrift1"/>
      </w:pPr>
      <w:r>
        <w:t>3.3.50.116 Gegenmodell zur statischen Priorität</w:t>
      </w:r>
    </w:p>
    <w:p w:rsidR="00E950C8" w:rsidRDefault="00E950C8" w:rsidP="00E950C8">
      <w:pPr>
        <w:pStyle w:val="StandardWeb"/>
      </w:pPr>
      <w:r>
        <w:t>Ein Modell kann einen Prioritätswechsel enthalten:</w:t>
      </w:r>
    </w:p>
    <w:p w:rsidR="00E950C8" w:rsidRDefault="00E950C8" w:rsidP="00E950C8">
      <w:pPr>
        <w:pStyle w:val="StandardWeb"/>
      </w:pPr>
      <w:r>
        <w:t>[</w:t>
      </w:r>
      <w:r>
        <w:br/>
        <w:t>X</w:t>
      </w:r>
      <w:r>
        <w:br/>
        <w:t>\triangleleft_F^{(z_1)}</w:t>
      </w:r>
      <w:r>
        <w:br/>
        <w:t>Y</w:t>
      </w:r>
      <w:r>
        <w:br/>
        <w:t>\tag{3.13087}</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X\triangleleft_F^{(z_1)}Y</w:t>
      </w:r>
    </w:p>
    <w:p w:rsidR="00E950C8" w:rsidRDefault="00E950C8" w:rsidP="00E950C8">
      <w:pPr>
        <w:pStyle w:val="StandardWeb"/>
      </w:pPr>
      <w:r>
        <w:t>und</w:t>
      </w:r>
    </w:p>
    <w:p w:rsidR="00E950C8" w:rsidRDefault="00E950C8" w:rsidP="00E950C8">
      <w:pPr>
        <w:pStyle w:val="StandardWeb"/>
      </w:pPr>
      <w:r>
        <w:t>[</w:t>
      </w:r>
      <w:r>
        <w:br/>
        <w:t>Y</w:t>
      </w:r>
      <w:r>
        <w:br/>
        <w:t>\triangleleft_F^{(z_2)}</w:t>
      </w:r>
      <w:r>
        <w:br/>
        <w:t>X.</w:t>
      </w:r>
      <w:r>
        <w:br/>
        <w:t>\tag{3.13088}</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Y\triangleleft_F^{(z_2)}X</w:t>
      </w:r>
    </w:p>
    <w:p w:rsidR="00E950C8" w:rsidRDefault="00E950C8" w:rsidP="00E950C8">
      <w:pPr>
        <w:pStyle w:val="StandardWeb"/>
      </w:pPr>
      <w:r>
        <w:t>Damit ist eine zustandsinvariante Priorität nicht universell notwendig.</w:t>
      </w:r>
    </w:p>
    <w:p w:rsidR="00E950C8" w:rsidRDefault="00E50336" w:rsidP="00E950C8">
      <w:r>
        <w:lastRenderedPageBreak/>
        <w:pict>
          <v:rect id="_x0000_i4963" style="width:0;height:1.5pt" o:hralign="center" o:hrstd="t" o:hr="t" fillcolor="#a0a0a0" stroked="f"/>
        </w:pict>
      </w:r>
    </w:p>
    <w:p w:rsidR="00E950C8" w:rsidRDefault="00E950C8" w:rsidP="00E950C8">
      <w:pPr>
        <w:pStyle w:val="berschrift1"/>
      </w:pPr>
      <w:r>
        <w:t>3.3.50.117 Axiomentscheidung zur statischen Priorität</w:t>
      </w:r>
    </w:p>
    <w:p w:rsidR="00E950C8" w:rsidRDefault="00E950C8" w:rsidP="00E950C8">
      <w:pPr>
        <w:pStyle w:val="StandardWeb"/>
      </w:pPr>
      <w:r>
        <w:t>Es folgt</w:t>
      </w:r>
    </w:p>
    <w:p w:rsidR="00E950C8" w:rsidRDefault="00E950C8" w:rsidP="00E950C8">
      <w:pPr>
        <w:pStyle w:val="berschrift1"/>
      </w:pPr>
      <w:r>
        <w:t>[</w:t>
      </w:r>
      <w:r>
        <w:br/>
        <w:t>\boxed{</w:t>
      </w:r>
      <w:r>
        <w:br/>
        <w:t>U_{\mathrm{Ax}}</w:t>
      </w:r>
      <w:r>
        <w:br/>
        <w:t>(A_{\mathrm{stat-prio}})</w:t>
      </w:r>
    </w:p>
    <w:p w:rsidR="00E950C8" w:rsidRDefault="00E950C8" w:rsidP="00563F88">
      <w:pPr>
        <w:numPr>
          <w:ilvl w:val="0"/>
          <w:numId w:val="604"/>
        </w:numPr>
        <w:spacing w:before="100" w:beforeAutospacing="1" w:after="100" w:afterAutospacing="1"/>
      </w:pPr>
    </w:p>
    <w:p w:rsidR="00E950C8" w:rsidRDefault="00E950C8" w:rsidP="00E950C8">
      <w:pPr>
        <w:pStyle w:val="StandardWeb"/>
      </w:pPr>
      <w:r>
        <w:t>}</w:t>
      </w:r>
      <w:r>
        <w:br/>
        <w:t>\tag{3.13089}</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\boxed{U_{\mathrm{Ax}}(A_{\mathrm{stat-prio}})=0.}</w:t>
      </w:r>
    </w:p>
    <w:p w:rsidR="00E950C8" w:rsidRDefault="00E50336" w:rsidP="00E950C8">
      <w:r>
        <w:pict>
          <v:rect id="_x0000_i4964" style="width:0;height:1.5pt" o:hralign="center" o:hrstd="t" o:hr="t" fillcolor="#a0a0a0" stroked="f"/>
        </w:pict>
      </w:r>
    </w:p>
    <w:p w:rsidR="00E950C8" w:rsidRDefault="00E950C8" w:rsidP="00E950C8">
      <w:pPr>
        <w:pStyle w:val="berschrift1"/>
      </w:pPr>
      <w:r>
        <w:t>3.3.50.118 Satz 3.3.188 – Zustandsinvariante Priorität ist kein Primäraxiom</w:t>
      </w:r>
    </w:p>
    <w:p w:rsidR="00E950C8" w:rsidRDefault="00E950C8" w:rsidP="00E950C8">
      <w:pPr>
        <w:pStyle w:val="berschrift3"/>
      </w:pPr>
      <w:r>
        <w:t>Satz 3.3.188</w:t>
      </w:r>
    </w:p>
    <w:p w:rsidR="00E950C8" w:rsidRDefault="00E950C8" w:rsidP="00E950C8">
      <w:pPr>
        <w:pStyle w:val="StandardWeb"/>
      </w:pPr>
      <w:r>
        <w:t>Die Forderung, funktionale Prioritätsrelationen müssten für alle zulässigen Zustände unverändert bleiben, ist keine universell notwendige Voraussetzung des allgemeinen FRZK.</w:t>
      </w:r>
    </w:p>
    <w:p w:rsidR="00E950C8" w:rsidRDefault="00E950C8" w:rsidP="00E950C8">
      <w:pPr>
        <w:pStyle w:val="StandardWeb"/>
      </w:pPr>
      <w:r>
        <w:t>Formal gilt</w:t>
      </w:r>
    </w:p>
    <w:p w:rsidR="00E950C8" w:rsidRDefault="00E950C8" w:rsidP="00E950C8">
      <w:pPr>
        <w:pStyle w:val="berschrift1"/>
      </w:pPr>
      <w:r>
        <w:t>[</w:t>
      </w:r>
      <w:r>
        <w:br/>
        <w:t>\boxed{</w:t>
      </w:r>
      <w:r>
        <w:br/>
        <w:t>U_{\mathrm{Ax}}</w:t>
      </w:r>
      <w:r>
        <w:br/>
        <w:t>(A_{\mathrm{stat-prio}})</w:t>
      </w:r>
    </w:p>
    <w:p w:rsidR="00E950C8" w:rsidRDefault="00E950C8" w:rsidP="00563F88">
      <w:pPr>
        <w:numPr>
          <w:ilvl w:val="0"/>
          <w:numId w:val="605"/>
        </w:numPr>
        <w:spacing w:before="100" w:beforeAutospacing="1" w:after="100" w:afterAutospacing="1"/>
      </w:pPr>
    </w:p>
    <w:p w:rsidR="00E950C8" w:rsidRDefault="00E950C8" w:rsidP="00E950C8">
      <w:pPr>
        <w:pStyle w:val="StandardWeb"/>
      </w:pPr>
      <w:r>
        <w:t>}</w:t>
      </w:r>
      <w:r>
        <w:br/>
        <w:t>\tag{3.13090}</w:t>
      </w:r>
      <w:r>
        <w:br/>
        <w:t>]</w:t>
      </w:r>
    </w:p>
    <w:p w:rsidR="00E950C8" w:rsidRDefault="00E950C8" w:rsidP="00E950C8">
      <w:pPr>
        <w:pStyle w:val="StandardWeb"/>
      </w:pPr>
      <w:r>
        <w:rPr>
          <w:rStyle w:val="Fett"/>
        </w:rPr>
        <w:lastRenderedPageBreak/>
        <w:t>Word-LaTeX</w:t>
      </w:r>
    </w:p>
    <w:p w:rsidR="00E950C8" w:rsidRDefault="00E950C8" w:rsidP="00E950C8">
      <w:pPr>
        <w:pStyle w:val="HTMLVorformatiert"/>
        <w:rPr>
          <w:rStyle w:val="HTMLCode"/>
        </w:rPr>
      </w:pPr>
      <w:r>
        <w:rPr>
          <w:rStyle w:val="HTMLCode"/>
        </w:rPr>
        <w:t>\boxed{U_{\mathrm{Ax}}(A_{\mathrm{stat-prio}})=0.}</w:t>
      </w:r>
    </w:p>
    <w:p w:rsidR="00E950C8" w:rsidRDefault="00E50336" w:rsidP="00E950C8">
      <w:r>
        <w:pict>
          <v:rect id="_x0000_i4965" style="width:0;height:1.5pt" o:hralign="center" o:hrstd="t" o:hr="t" fillcolor="#a0a0a0" stroked="f"/>
        </w:pict>
      </w:r>
    </w:p>
    <w:p w:rsidR="00E950C8" w:rsidRDefault="00E950C8" w:rsidP="00E950C8">
      <w:pPr>
        <w:pStyle w:val="berschrift1"/>
      </w:pPr>
      <w:r>
        <w:t>3.3.50.119 Auswahl unter Nebenbedingungen</w:t>
      </w:r>
    </w:p>
    <w:p w:rsidR="00E950C8" w:rsidRDefault="00E950C8" w:rsidP="00E950C8">
      <w:pPr>
        <w:pStyle w:val="StandardWeb"/>
      </w:pPr>
      <w:r>
        <w:t>Eine Auswahl kann zusätzlich durch Zulässigkeitsbedingungen eingeschränkt werden.</w:t>
      </w:r>
    </w:p>
    <w:p w:rsidR="00E950C8" w:rsidRDefault="00E950C8" w:rsidP="00E950C8">
      <w:pPr>
        <w:pStyle w:val="StandardWeb"/>
      </w:pPr>
      <w:r>
        <w:t>Seien</w:t>
      </w:r>
    </w:p>
    <w:p w:rsidR="00E950C8" w:rsidRDefault="00E950C8" w:rsidP="00E950C8">
      <w:pPr>
        <w:pStyle w:val="StandardWeb"/>
      </w:pPr>
      <w:r>
        <w:t>[</w:t>
      </w:r>
      <w:r>
        <w:br/>
        <w:t>g_j(X)</w:t>
      </w:r>
      <w:r>
        <w:br/>
        <w:t>\leq</w:t>
      </w:r>
      <w:r>
        <w:br/>
        <w:t>0,</w:t>
      </w:r>
      <w:r>
        <w:br/>
        <w:t>\qquad</w:t>
      </w:r>
      <w:r>
        <w:br/>
        <w:t>j=1,\ldots,r.</w:t>
      </w:r>
      <w:r>
        <w:br/>
        <w:t>\tag{3.13091}</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g_j(X)\leq0,\qquad j=1,\ldots,r</w:t>
      </w:r>
    </w:p>
    <w:p w:rsidR="00E950C8" w:rsidRDefault="00E50336" w:rsidP="00E950C8">
      <w:r>
        <w:pict>
          <v:rect id="_x0000_i4966" style="width:0;height:1.5pt" o:hralign="center" o:hrstd="t" o:hr="t" fillcolor="#a0a0a0" stroked="f"/>
        </w:pict>
      </w:r>
    </w:p>
    <w:p w:rsidR="00E950C8" w:rsidRDefault="00E950C8" w:rsidP="00E950C8">
      <w:pPr>
        <w:pStyle w:val="berschrift1"/>
      </w:pPr>
      <w:r>
        <w:t>3.3.50.120 Zulässige Teilmenge</w:t>
      </w:r>
    </w:p>
    <w:p w:rsidR="00E950C8" w:rsidRDefault="00E950C8" w:rsidP="00E950C8">
      <w:pPr>
        <w:pStyle w:val="StandardWeb"/>
      </w:pPr>
      <w:r>
        <w:t>Ich definiere</w:t>
      </w:r>
    </w:p>
    <w:p w:rsidR="00E950C8" w:rsidRDefault="00E950C8" w:rsidP="00E950C8">
      <w:pPr>
        <w:pStyle w:val="berschrift1"/>
      </w:pPr>
      <w:r>
        <w:t>[</w:t>
      </w:r>
      <w:r>
        <w:br/>
        <w:t>\mathcal F_F</w:t>
      </w:r>
    </w:p>
    <w:p w:rsidR="00E950C8" w:rsidRDefault="00E950C8" w:rsidP="00E950C8">
      <w:pPr>
        <w:pStyle w:val="StandardWeb"/>
      </w:pPr>
      <w:r>
        <w:t>{</w:t>
      </w:r>
      <w:r>
        <w:br/>
        <w:t>X\in\mathcal C_F:</w:t>
      </w:r>
      <w:r>
        <w:br/>
        <w:t>g_j(X)\leq0</w:t>
      </w:r>
      <w:r>
        <w:br/>
        <w:t>;\forall j</w:t>
      </w:r>
      <w:r>
        <w:br/>
        <w:t>}.</w:t>
      </w:r>
      <w:r>
        <w:br/>
        <w:t>\tag{3.13092}</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\mathcal F_F=\{X\in\mathcal C_F:g_j(X)\leq0\;\forall j\}</w:t>
      </w:r>
    </w:p>
    <w:p w:rsidR="00E950C8" w:rsidRDefault="00E50336" w:rsidP="00E950C8">
      <w:r>
        <w:pict>
          <v:rect id="_x0000_i4967" style="width:0;height:1.5pt" o:hralign="center" o:hrstd="t" o:hr="t" fillcolor="#a0a0a0" stroked="f"/>
        </w:pict>
      </w:r>
    </w:p>
    <w:p w:rsidR="00E950C8" w:rsidRDefault="00E950C8" w:rsidP="00E950C8">
      <w:pPr>
        <w:pStyle w:val="berschrift1"/>
      </w:pPr>
      <w:r>
        <w:t>3.3.50.121 Definition 3.3.499 – Funktionale Zulässigkeitsmenge</w:t>
      </w:r>
    </w:p>
    <w:p w:rsidR="00E950C8" w:rsidRDefault="00E950C8" w:rsidP="00E950C8">
      <w:pPr>
        <w:pStyle w:val="berschrift3"/>
      </w:pPr>
      <w:r>
        <w:lastRenderedPageBreak/>
        <w:t>Definition 3.3.499</w:t>
      </w:r>
    </w:p>
    <w:p w:rsidR="00E950C8" w:rsidRDefault="00E950C8" w:rsidP="00E950C8">
      <w:pPr>
        <w:pStyle w:val="StandardWeb"/>
      </w:pPr>
      <w:r>
        <w:t xml:space="preserve">Die </w:t>
      </w:r>
      <w:r>
        <w:rPr>
          <w:rStyle w:val="Fett"/>
        </w:rPr>
        <w:t>funktionale Zulässigkeitsmenge</w:t>
      </w:r>
      <w:r>
        <w:t xml:space="preserve"> ist</w:t>
      </w:r>
    </w:p>
    <w:p w:rsidR="00E950C8" w:rsidRDefault="00E950C8" w:rsidP="00E950C8">
      <w:pPr>
        <w:pStyle w:val="berschrift1"/>
      </w:pPr>
      <w:r>
        <w:t>[</w:t>
      </w:r>
      <w:r>
        <w:br/>
        <w:t>\boxed{</w:t>
      </w:r>
      <w:r>
        <w:br/>
        <w:t>\mathcal F_F</w:t>
      </w:r>
    </w:p>
    <w:p w:rsidR="00E950C8" w:rsidRDefault="00E950C8" w:rsidP="00E950C8">
      <w:pPr>
        <w:pStyle w:val="StandardWeb"/>
      </w:pPr>
      <w:r>
        <w:t>{</w:t>
      </w:r>
      <w:r>
        <w:br/>
        <w:t>X\in\mathcal C_F:</w:t>
      </w:r>
      <w:r>
        <w:br/>
        <w:t>g_j(X)\leq0</w:t>
      </w:r>
      <w:r>
        <w:br/>
        <w:t>;\forall j</w:t>
      </w:r>
      <w:r>
        <w:br/>
        <w:t>}.</w:t>
      </w:r>
      <w:r>
        <w:br/>
        <w:t>}</w:t>
      </w:r>
      <w:r>
        <w:br/>
        <w:t>\tag{3.13093}</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\boxed{\mathcal F_F=\{X\in\mathcal C_F:g_j(X)\leq0\;\forall j\}.}</w:t>
      </w:r>
    </w:p>
    <w:p w:rsidR="00E950C8" w:rsidRDefault="00E50336" w:rsidP="00E950C8">
      <w:r>
        <w:pict>
          <v:rect id="_x0000_i4968" style="width:0;height:1.5pt" o:hralign="center" o:hrstd="t" o:hr="t" fillcolor="#a0a0a0" stroked="f"/>
        </w:pict>
      </w:r>
    </w:p>
    <w:p w:rsidR="00E950C8" w:rsidRDefault="00E950C8" w:rsidP="00E950C8">
      <w:pPr>
        <w:pStyle w:val="berschrift1"/>
      </w:pPr>
      <w:r>
        <w:t>3.3.50.122 Nebenbedingte Auswahl</w:t>
      </w:r>
    </w:p>
    <w:p w:rsidR="00E950C8" w:rsidRDefault="00E950C8" w:rsidP="00E950C8">
      <w:pPr>
        <w:pStyle w:val="StandardWeb"/>
      </w:pPr>
      <w:r>
        <w:t>Der Auswahloperator kann dann auf</w:t>
      </w:r>
    </w:p>
    <w:p w:rsidR="00E950C8" w:rsidRDefault="00E950C8" w:rsidP="00E950C8">
      <w:pPr>
        <w:pStyle w:val="StandardWeb"/>
      </w:pPr>
      <w:r>
        <w:t>[</w:t>
      </w:r>
      <w:r>
        <w:br/>
        <w:t>\operatorname{Sel}_F(\mathcal F_F)</w:t>
      </w:r>
      <w:r>
        <w:br/>
        <w:t>\tag{3.13094}</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\operatorname{Sel}_F(\mathcal F_F)</w:t>
      </w:r>
    </w:p>
    <w:p w:rsidR="00E950C8" w:rsidRDefault="00E950C8" w:rsidP="00E950C8">
      <w:pPr>
        <w:pStyle w:val="StandardWeb"/>
      </w:pPr>
      <w:r>
        <w:t>angewendet werden.</w:t>
      </w:r>
    </w:p>
    <w:p w:rsidR="00E950C8" w:rsidRDefault="00E50336" w:rsidP="00E950C8">
      <w:r>
        <w:pict>
          <v:rect id="_x0000_i4969" style="width:0;height:1.5pt" o:hralign="center" o:hrstd="t" o:hr="t" fillcolor="#a0a0a0" stroked="f"/>
        </w:pict>
      </w:r>
    </w:p>
    <w:p w:rsidR="00E950C8" w:rsidRDefault="00E950C8" w:rsidP="00E950C8">
      <w:pPr>
        <w:pStyle w:val="berschrift1"/>
      </w:pPr>
      <w:r>
        <w:t>3.3.50.123 Definition 3.3.500 – Nebenbedingter funktionaler Auswahloperator</w:t>
      </w:r>
    </w:p>
    <w:p w:rsidR="00E950C8" w:rsidRDefault="00E950C8" w:rsidP="00E950C8">
      <w:pPr>
        <w:pStyle w:val="berschrift3"/>
      </w:pPr>
      <w:r>
        <w:t>Definition 3.3.500</w:t>
      </w:r>
    </w:p>
    <w:p w:rsidR="00E950C8" w:rsidRDefault="00E950C8" w:rsidP="00E950C8">
      <w:pPr>
        <w:pStyle w:val="StandardWeb"/>
      </w:pPr>
      <w:r>
        <w:t xml:space="preserve">Ein </w:t>
      </w:r>
      <w:r>
        <w:rPr>
          <w:rStyle w:val="Fett"/>
        </w:rPr>
        <w:t>nebenbedingter funktionaler Auswahloperator</w:t>
      </w:r>
      <w:r>
        <w:t xml:space="preserve"> ist</w:t>
      </w:r>
    </w:p>
    <w:p w:rsidR="00E950C8" w:rsidRDefault="00E950C8" w:rsidP="00E950C8">
      <w:pPr>
        <w:pStyle w:val="StandardWeb"/>
      </w:pPr>
      <w:r>
        <w:lastRenderedPageBreak/>
        <w:t>[</w:t>
      </w:r>
      <w:r>
        <w:br/>
        <w:t>\boxed{</w:t>
      </w:r>
      <w:r>
        <w:br/>
        <w:t>\operatorname{Sel}_F^{(g)}</w:t>
      </w:r>
      <w:r>
        <w:br/>
        <w:t>(\mathcal C_F)</w:t>
      </w:r>
      <w:r>
        <w:br/>
        <w:t>:=</w:t>
      </w:r>
      <w:r>
        <w:br/>
        <w:t>\operatorname{Sel}_F</w:t>
      </w:r>
      <w:r>
        <w:br/>
        <w:t>(</w:t>
      </w:r>
      <w:r>
        <w:br/>
        <w:t>\mathcal F_F</w:t>
      </w:r>
      <w:r>
        <w:br/>
        <w:t>).</w:t>
      </w:r>
      <w:r>
        <w:br/>
        <w:t>}</w:t>
      </w:r>
      <w:r>
        <w:br/>
        <w:t>\tag{3.13095}</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\boxed{\operatorname{Sel}_F^{(g)}(\mathcal C_F):=\operatorname{Sel}_F(\mathcal F_F).}</w:t>
      </w:r>
    </w:p>
    <w:p w:rsidR="00E950C8" w:rsidRDefault="00E50336" w:rsidP="00E950C8">
      <w:r>
        <w:pict>
          <v:rect id="_x0000_i4970" style="width:0;height:1.5pt" o:hralign="center" o:hrstd="t" o:hr="t" fillcolor="#a0a0a0" stroked="f"/>
        </w:pict>
      </w:r>
    </w:p>
    <w:p w:rsidR="00E950C8" w:rsidRDefault="00E950C8" w:rsidP="00E950C8">
      <w:pPr>
        <w:pStyle w:val="berschrift1"/>
      </w:pPr>
      <w:r>
        <w:t>3.3.50.124 Leere Zulässigkeitsmenge</w:t>
      </w:r>
    </w:p>
    <w:p w:rsidR="00E950C8" w:rsidRDefault="00E950C8" w:rsidP="00E950C8">
      <w:pPr>
        <w:pStyle w:val="StandardWeb"/>
      </w:pPr>
      <w:r>
        <w:t>Es kann</w:t>
      </w:r>
    </w:p>
    <w:p w:rsidR="00E950C8" w:rsidRDefault="00E950C8" w:rsidP="00E950C8">
      <w:pPr>
        <w:pStyle w:val="berschrift1"/>
      </w:pPr>
      <w:r>
        <w:t>[</w:t>
      </w:r>
      <w:r>
        <w:br/>
        <w:t>\mathcal F_F</w:t>
      </w:r>
    </w:p>
    <w:p w:rsidR="00E950C8" w:rsidRDefault="00E950C8" w:rsidP="00E950C8">
      <w:pPr>
        <w:pStyle w:val="StandardWeb"/>
      </w:pPr>
      <w:r>
        <w:t>\varnothing</w:t>
      </w:r>
      <w:r>
        <w:br/>
        <w:t>\tag{3.13096}</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\mathcal F_F=\varnothing</w:t>
      </w:r>
    </w:p>
    <w:p w:rsidR="00E950C8" w:rsidRDefault="00E950C8" w:rsidP="00E950C8">
      <w:pPr>
        <w:pStyle w:val="StandardWeb"/>
      </w:pPr>
      <w:r>
        <w:t>gelten, obwohl</w:t>
      </w:r>
    </w:p>
    <w:p w:rsidR="00E950C8" w:rsidRDefault="00E950C8" w:rsidP="00E950C8">
      <w:pPr>
        <w:pStyle w:val="StandardWeb"/>
      </w:pPr>
      <w:r>
        <w:t>[</w:t>
      </w:r>
      <w:r>
        <w:br/>
        <w:t>\mathcal C_F</w:t>
      </w:r>
      <w:r>
        <w:br/>
        <w:t>\neq</w:t>
      </w:r>
      <w:r>
        <w:br/>
        <w:t>\varnothing.</w:t>
      </w:r>
      <w:r>
        <w:br/>
        <w:t>\tag{3.13097}</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\mathcal C_F\neq\varnothing</w:t>
      </w:r>
    </w:p>
    <w:p w:rsidR="00E950C8" w:rsidRDefault="00E50336" w:rsidP="00E950C8">
      <w:r>
        <w:pict>
          <v:rect id="_x0000_i4971" style="width:0;height:1.5pt" o:hralign="center" o:hrstd="t" o:hr="t" fillcolor="#a0a0a0" stroked="f"/>
        </w:pict>
      </w:r>
    </w:p>
    <w:p w:rsidR="00E950C8" w:rsidRDefault="00E950C8" w:rsidP="00E950C8">
      <w:pPr>
        <w:pStyle w:val="berschrift1"/>
      </w:pPr>
      <w:r>
        <w:t>3.3.50.125 Priorität und Zulässigkeit</w:t>
      </w:r>
    </w:p>
    <w:p w:rsidR="00E950C8" w:rsidRDefault="00E950C8" w:rsidP="00E950C8">
      <w:pPr>
        <w:pStyle w:val="StandardWeb"/>
      </w:pPr>
      <w:r>
        <w:lastRenderedPageBreak/>
        <w:t>Ein hoch priorisiertes Objekt muss nicht zulässig sein.</w:t>
      </w:r>
    </w:p>
    <w:p w:rsidR="00E950C8" w:rsidRDefault="00E950C8" w:rsidP="00E950C8">
      <w:pPr>
        <w:pStyle w:val="StandardWeb"/>
      </w:pPr>
      <w:r>
        <w:t>Es kann</w:t>
      </w:r>
    </w:p>
    <w:p w:rsidR="00E950C8" w:rsidRDefault="00E950C8" w:rsidP="00E950C8">
      <w:pPr>
        <w:pStyle w:val="StandardWeb"/>
      </w:pPr>
      <w:r>
        <w:t>[</w:t>
      </w:r>
      <w:r>
        <w:br/>
        <w:t>X</w:t>
      </w:r>
      <w:r>
        <w:br/>
        <w:t>\triangleleft_F</w:t>
      </w:r>
      <w:r>
        <w:br/>
        <w:t>Y</w:t>
      </w:r>
      <w:r>
        <w:br/>
        <w:t>\tag{3.13098}</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X\triangleleft_F Y</w:t>
      </w:r>
    </w:p>
    <w:p w:rsidR="00E950C8" w:rsidRDefault="00E950C8" w:rsidP="00E950C8">
      <w:pPr>
        <w:pStyle w:val="StandardWeb"/>
      </w:pPr>
      <w:r>
        <w:t>gelten, während</w:t>
      </w:r>
    </w:p>
    <w:p w:rsidR="00E950C8" w:rsidRDefault="00E950C8" w:rsidP="00E950C8">
      <w:pPr>
        <w:pStyle w:val="StandardWeb"/>
      </w:pPr>
      <w:r>
        <w:t>[</w:t>
      </w:r>
      <w:r>
        <w:br/>
        <w:t>X</w:t>
      </w:r>
      <w:r>
        <w:br/>
        <w:t>\notin</w:t>
      </w:r>
      <w:r>
        <w:br/>
        <w:t>\mathcal F_F.</w:t>
      </w:r>
      <w:r>
        <w:br/>
        <w:t>\tag{3.13099}</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X\notin\mathcal F_F</w:t>
      </w:r>
    </w:p>
    <w:p w:rsidR="00E950C8" w:rsidRDefault="00E50336" w:rsidP="00E950C8">
      <w:r>
        <w:pict>
          <v:rect id="_x0000_i4972" style="width:0;height:1.5pt" o:hralign="center" o:hrstd="t" o:hr="t" fillcolor="#a0a0a0" stroked="f"/>
        </w:pict>
      </w:r>
    </w:p>
    <w:p w:rsidR="00E950C8" w:rsidRDefault="00E950C8" w:rsidP="00E950C8">
      <w:pPr>
        <w:pStyle w:val="berschrift1"/>
      </w:pPr>
      <w:r>
        <w:t>3.3.50.126 Zwischenstand der erweiterten Ordnungsarchitektur</w:t>
      </w:r>
    </w:p>
    <w:p w:rsidR="00E950C8" w:rsidRDefault="00E950C8" w:rsidP="00E950C8">
      <w:pPr>
        <w:pStyle w:val="StandardWeb"/>
      </w:pPr>
      <w:r>
        <w:t>Damit erweitert sich die bisherige Struktur zu</w:t>
      </w:r>
    </w:p>
    <w:p w:rsidR="00E950C8" w:rsidRDefault="00E950C8" w:rsidP="00E950C8">
      <w:pPr>
        <w:pStyle w:val="berschrift1"/>
      </w:pPr>
      <w:r>
        <w:t>[</w:t>
      </w:r>
      <w:r>
        <w:br/>
        <w:t>\boxed{</w:t>
      </w:r>
      <w:r>
        <w:br/>
        <w:t>\mathfrak E_{\mathrm{ord}}^{(2)}</w:t>
      </w:r>
    </w:p>
    <w:p w:rsidR="00E950C8" w:rsidRDefault="00E950C8" w:rsidP="00E950C8">
      <w:pPr>
        <w:pStyle w:val="StandardWeb"/>
      </w:pPr>
      <w:r>
        <w:t>\left(</w:t>
      </w:r>
      <w:r>
        <w:br/>
        <w:t>\mathfrak E_{\mathrm{ord}}^{(1)},</w:t>
      </w:r>
      <w:r>
        <w:br/>
        <w:t>\operatorname{Max}_F,</w:t>
      </w:r>
      <w:r>
        <w:br/>
        <w:t>\operatorname{Min}_F,</w:t>
      </w:r>
      <w:r>
        <w:br/>
        <w:t>\operatorname{UB}_F,</w:t>
      </w:r>
      <w:r>
        <w:br/>
        <w:t>\operatorname{LB}_F,</w:t>
      </w:r>
      <w:r>
        <w:br/>
        <w:t>\sup_F,</w:t>
      </w:r>
      <w:r>
        <w:br/>
        <w:t>\inf_F,</w:t>
      </w:r>
      <w:r>
        <w:br/>
        <w:t>\mathbf u_F,</w:t>
      </w:r>
      <w:r>
        <w:br/>
        <w:t>\preceq_P,</w:t>
      </w:r>
      <w:r>
        <w:br/>
      </w:r>
      <w:r>
        <w:lastRenderedPageBreak/>
        <w:t>\mathcal P_F,</w:t>
      </w:r>
      <w:r>
        <w:br/>
        <w:t>\mathbf w,</w:t>
      </w:r>
      <w:r>
        <w:br/>
        <w:t>\mathcal F_F</w:t>
      </w:r>
      <w:r>
        <w:br/>
        <w:t>\right).</w:t>
      </w:r>
      <w:r>
        <w:br/>
        <w:t>}</w:t>
      </w:r>
      <w:r>
        <w:br/>
        <w:t>\tag{3.13100}</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\boxed{\mathfrak E_{\mathrm{ord}}^{(2)}=\left(\mathfrak E_{\mathrm{ord}}^{(1)},\operatorname{Max}_F,\operatorname{Min}_F,\operatorname{UB}_F,\operatorname{LB}_F,\sup_F,\inf_F,\mathbf u_F,\preceq_P,\mathcal P_F,\mathbf w,\mathcal F_F\right).}</w:t>
      </w:r>
    </w:p>
    <w:p w:rsidR="00E950C8" w:rsidRDefault="00E950C8" w:rsidP="00E950C8">
      <w:pPr>
        <w:pStyle w:val="StandardWeb"/>
      </w:pPr>
      <w:r>
        <w:t>Die bislang zusätzlich geprüften Primäraxiomkandidaten lauten</w:t>
      </w:r>
    </w:p>
    <w:p w:rsidR="00E950C8" w:rsidRDefault="00E950C8" w:rsidP="00E950C8">
      <w:pPr>
        <w:pStyle w:val="berschrift1"/>
      </w:pPr>
      <w:r>
        <w:t>[</w:t>
      </w:r>
      <w:r>
        <w:br/>
        <w:t>\mathcal A_{\mathrm{ord}}^{\mathrm{cand},2}</w:t>
      </w:r>
    </w:p>
    <w:p w:rsidR="00E950C8" w:rsidRDefault="00E950C8" w:rsidP="00E950C8">
      <w:pPr>
        <w:pStyle w:val="StandardWeb"/>
      </w:pPr>
      <w:r>
        <w:t>\mathcal A_{\mathrm{ord}}^{\mathrm{cand},1}</w:t>
      </w:r>
      <w:r>
        <w:br/>
        <w:t>\cup</w:t>
      </w:r>
      <w:r>
        <w:br/>
        <w:t>{</w:t>
      </w:r>
      <w:r>
        <w:br/>
        <w:t>A_{\mathrm{uniq-max}},</w:t>
      </w:r>
      <w:r>
        <w:br/>
        <w:t>A_{\mathrm{sup}},</w:t>
      </w:r>
      <w:r>
        <w:br/>
        <w:t>A_{\mathrm{scalar}},</w:t>
      </w:r>
      <w:r>
        <w:br/>
        <w:t>A_{\mathbf w},</w:t>
      </w:r>
      <w:r>
        <w:br/>
        <w:t>A_{\mathrm{stat-prio}}</w:t>
      </w:r>
      <w:r>
        <w:br/>
        <w:t>}.</w:t>
      </w:r>
      <w:r>
        <w:br/>
        <w:t>\tag{3.13101}</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\mathcal A_{\mathrm{ord}}^{\mathrm{cand},2}=\mathcal A_{\mathrm{ord}}^{\mathrm{cand},1}\cup\{A_{\mathrm{uniq-max}},A_{\mathrm{sup}},A_{\mathrm{scalar}},A_{\mathbf w},A_{\mathrm{stat-prio}}\}</w:t>
      </w:r>
    </w:p>
    <w:p w:rsidR="00E950C8" w:rsidRDefault="00E950C8" w:rsidP="00E950C8">
      <w:pPr>
        <w:pStyle w:val="StandardWeb"/>
      </w:pPr>
      <w:r>
        <w:t>Für sämtliche bisher geprüften Kandidaten gilt</w:t>
      </w:r>
    </w:p>
    <w:p w:rsidR="00E950C8" w:rsidRDefault="00E950C8" w:rsidP="00E950C8">
      <w:pPr>
        <w:pStyle w:val="berschrift1"/>
      </w:pPr>
      <w:r>
        <w:t>[</w:t>
      </w:r>
      <w:r>
        <w:br/>
        <w:t>\boxed{</w:t>
      </w:r>
      <w:r>
        <w:br/>
        <w:t>U_{\mathrm{Ax}}(A)</w:t>
      </w:r>
    </w:p>
    <w:p w:rsidR="00E950C8" w:rsidRDefault="00E950C8" w:rsidP="00E950C8">
      <w:pPr>
        <w:pStyle w:val="StandardWeb"/>
      </w:pPr>
      <w:r>
        <w:t>0</w:t>
      </w:r>
      <w:r>
        <w:br/>
        <w:t>\qquad</w:t>
      </w:r>
      <w:r>
        <w:br/>
        <w:t>\forall</w:t>
      </w:r>
      <w:r>
        <w:br/>
        <w:t>A</w:t>
      </w:r>
      <w:r>
        <w:br/>
      </w:r>
      <w:r>
        <w:lastRenderedPageBreak/>
        <w:t>\in</w:t>
      </w:r>
      <w:r>
        <w:br/>
        <w:t>\mathcal A_{\mathrm{ord}}^{\mathrm{cand},2}.</w:t>
      </w:r>
      <w:r>
        <w:br/>
        <w:t>}</w:t>
      </w:r>
      <w:r>
        <w:br/>
        <w:t>\tag{3.13102}</w:t>
      </w:r>
      <w:r>
        <w:br/>
        <w:t>]</w:t>
      </w:r>
    </w:p>
    <w:p w:rsidR="00E950C8" w:rsidRDefault="00E950C8" w:rsidP="00E950C8">
      <w:pPr>
        <w:pStyle w:val="StandardWeb"/>
      </w:pPr>
      <w:r>
        <w:rPr>
          <w:rStyle w:val="Fett"/>
        </w:rPr>
        <w:t>Word-LaTeX</w:t>
      </w:r>
    </w:p>
    <w:p w:rsidR="00E950C8" w:rsidRDefault="00E950C8" w:rsidP="00E950C8">
      <w:pPr>
        <w:pStyle w:val="HTMLVorformatiert"/>
        <w:rPr>
          <w:rStyle w:val="HTMLCode"/>
        </w:rPr>
      </w:pPr>
      <w:r>
        <w:rPr>
          <w:rStyle w:val="HTMLCode"/>
        </w:rPr>
        <w:t>\boxed{U_{\mathrm{Ax}}(A)=0\qquad\forall A\in\mathcal A_{\mathrm{ord}}^{\mathrm{cand},2}.}</w:t>
      </w:r>
    </w:p>
    <w:p w:rsidR="00E950C8" w:rsidRDefault="00E950C8" w:rsidP="00E950C8">
      <w:pPr>
        <w:pStyle w:val="StandardWeb"/>
      </w:pPr>
      <w:r>
        <w:t xml:space="preserve">Abschnitt </w:t>
      </w:r>
      <w:r>
        <w:rPr>
          <w:rStyle w:val="Fett"/>
        </w:rPr>
        <w:t>3.3.50 ist weiterhin nicht abgeschlossen</w:t>
      </w:r>
      <w:r>
        <w:t xml:space="preserve">. Im nächsten Block folgen insbesondere </w:t>
      </w:r>
      <w:r>
        <w:rPr>
          <w:rStyle w:val="Fett"/>
        </w:rPr>
        <w:t>lexikographische Ordnungen, Schwellen- und Toleranzrelationen, adaptive Auswahl, stabile und instabile Auswahlmengen, Konfliktauflösung zwischen Kriterien sowie die abschließende Primäraxiomprüfung und Statusmatrix</w:t>
      </w:r>
      <w:r>
        <w:t>.</w:t>
      </w:r>
    </w:p>
    <w:p w:rsidR="00E950C8" w:rsidRDefault="00E950C8" w:rsidP="00E950C8">
      <w:pPr>
        <w:pStyle w:val="StandardWeb"/>
      </w:pPr>
      <w:r>
        <w:t xml:space="preserve">Der nächste Startpunkt ist </w:t>
      </w:r>
      <w:r>
        <w:rPr>
          <w:rStyle w:val="Fett"/>
        </w:rPr>
        <w:t>3.3.50.127 / Gleichung (3.13103)</w:t>
      </w:r>
      <w:r>
        <w:t>.</w:t>
      </w:r>
    </w:p>
    <w:p w:rsidR="00150475" w:rsidRDefault="00150475" w:rsidP="00150475">
      <w:pPr>
        <w:pStyle w:val="berschrift1"/>
        <w:rPr>
          <w:rFonts w:cs="Times New Roman"/>
          <w:sz w:val="48"/>
          <w:szCs w:val="48"/>
        </w:rPr>
      </w:pPr>
      <w:r>
        <w:t>3.3.50.127 Lexikographische funktionale Ordnung</w:t>
      </w:r>
    </w:p>
    <w:p w:rsidR="00150475" w:rsidRDefault="00150475" w:rsidP="00150475">
      <w:pPr>
        <w:pStyle w:val="StandardWeb"/>
      </w:pPr>
      <w:r>
        <w:t xml:space="preserve">Nach der Einführung mehrkriterieller Bewertungen untersuche ich nun eine spezielle Form der Kriterienpriorisierung. Bei einer </w:t>
      </w:r>
      <w:r>
        <w:rPr>
          <w:rStyle w:val="Fett"/>
        </w:rPr>
        <w:t>lexikographischen Ordnung</w:t>
      </w:r>
      <w:r>
        <w:t xml:space="preserve"> werden die Kriterien nicht gleichzeitig gewichtet, sondern in einer festen Rangfolge geprüft. Erst wenn zwei Kandidaten im höher priorisierten Kriterium gleichwertig sind, wird das nächste Kriterium herangezogen.</w:t>
      </w:r>
    </w:p>
    <w:p w:rsidR="00150475" w:rsidRDefault="00150475" w:rsidP="00150475">
      <w:pPr>
        <w:pStyle w:val="StandardWeb"/>
      </w:pPr>
      <w:r>
        <w:t>Sei</w:t>
      </w:r>
    </w:p>
    <w:p w:rsidR="00150475" w:rsidRDefault="00150475" w:rsidP="00150475">
      <w:pPr>
        <w:pStyle w:val="berschrift1"/>
      </w:pPr>
      <w:r>
        <w:t>[</w:t>
      </w:r>
      <w:r>
        <w:br/>
        <w:t>\mathbf u_F(X)</w:t>
      </w:r>
    </w:p>
    <w:p w:rsidR="00150475" w:rsidRDefault="00150475" w:rsidP="00150475">
      <w:pPr>
        <w:pStyle w:val="StandardWeb"/>
      </w:pPr>
      <w:r>
        <w:t>\left(</w:t>
      </w:r>
      <w:r>
        <w:br/>
        <w:t>u_1(X),</w:t>
      </w:r>
      <w:r>
        <w:br/>
        <w:t>u_2(X),</w:t>
      </w:r>
      <w:r>
        <w:br/>
        <w:t>\ldots,</w:t>
      </w:r>
      <w:r>
        <w:br/>
        <w:t>u_m(X)</w:t>
      </w:r>
      <w:r>
        <w:br/>
        <w:t>\right).</w:t>
      </w:r>
      <w:r>
        <w:br/>
        <w:t>\tag{3.13103}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\mathbf u_F(X)=\left(u_1(X),u_2(X),\ldots,u_m(X)\right)</w:t>
      </w:r>
    </w:p>
    <w:p w:rsidR="00150475" w:rsidRDefault="00150475" w:rsidP="00150475">
      <w:pPr>
        <w:pStyle w:val="StandardWeb"/>
      </w:pPr>
      <w:r>
        <w:t>und sei die Kriterienreihenfolge</w:t>
      </w:r>
    </w:p>
    <w:p w:rsidR="00150475" w:rsidRDefault="00150475" w:rsidP="00150475">
      <w:pPr>
        <w:pStyle w:val="StandardWeb"/>
      </w:pPr>
      <w:r>
        <w:t>[</w:t>
      </w:r>
      <w:r>
        <w:br/>
        <w:t>u_1</w:t>
      </w:r>
      <w:r>
        <w:br/>
        <w:t>\triangleright</w:t>
      </w:r>
      <w:r>
        <w:br/>
        <w:t>u_2</w:t>
      </w:r>
      <w:r>
        <w:br/>
      </w:r>
      <w:r>
        <w:lastRenderedPageBreak/>
        <w:t>\triangleright</w:t>
      </w:r>
      <w:r>
        <w:br/>
        <w:t>\cdots</w:t>
      </w:r>
      <w:r>
        <w:br/>
        <w:t>\triangleright</w:t>
      </w:r>
      <w:r>
        <w:br/>
        <w:t>u_m.</w:t>
      </w:r>
      <w:r>
        <w:br/>
        <w:t>\tag{3.13104}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u_1\triangleright u_2\triangleright\cdots\triangleright u_m</w:t>
      </w:r>
    </w:p>
    <w:p w:rsidR="00150475" w:rsidRDefault="00150475" w:rsidP="00150475">
      <w:pPr>
        <w:pStyle w:val="StandardWeb"/>
      </w:pPr>
      <w:r>
        <w:t>festgelegt.</w:t>
      </w:r>
    </w:p>
    <w:p w:rsidR="00150475" w:rsidRDefault="00E50336" w:rsidP="00150475">
      <w:r>
        <w:pict>
          <v:rect id="_x0000_i4973" style="width:0;height:1.5pt" o:hralign="center" o:hrstd="t" o:hr="t" fillcolor="#a0a0a0" stroked="f"/>
        </w:pict>
      </w:r>
    </w:p>
    <w:p w:rsidR="00150475" w:rsidRDefault="00150475" w:rsidP="00150475">
      <w:pPr>
        <w:pStyle w:val="berschrift1"/>
      </w:pPr>
      <w:r>
        <w:t>3.3.50.128 Definition 3.3.501 – Funktionale Kriterienpriorität</w:t>
      </w:r>
    </w:p>
    <w:p w:rsidR="00150475" w:rsidRDefault="00150475" w:rsidP="00150475">
      <w:pPr>
        <w:pStyle w:val="berschrift3"/>
      </w:pPr>
      <w:r>
        <w:t>Definition 3.3.501</w:t>
      </w:r>
    </w:p>
    <w:p w:rsidR="00150475" w:rsidRDefault="00150475" w:rsidP="00150475">
      <w:pPr>
        <w:pStyle w:val="StandardWeb"/>
      </w:pPr>
      <w:r>
        <w:t xml:space="preserve">Eine </w:t>
      </w:r>
      <w:r>
        <w:rPr>
          <w:rStyle w:val="Fett"/>
        </w:rPr>
        <w:t>funktionale Kriterienpriorität</w:t>
      </w:r>
      <w:r>
        <w:t xml:space="preserve"> ist eine Ordnungsrelation</w:t>
      </w:r>
    </w:p>
    <w:p w:rsidR="00150475" w:rsidRDefault="00150475" w:rsidP="00150475">
      <w:pPr>
        <w:pStyle w:val="StandardWeb"/>
      </w:pPr>
      <w:r>
        <w:t>[</w:t>
      </w:r>
      <w:r>
        <w:br/>
        <w:t>\boxed{</w:t>
      </w:r>
      <w:r>
        <w:br/>
        <w:t>\triangleright_F</w:t>
      </w:r>
      <w:r>
        <w:br/>
        <w:t>\subseteq</w:t>
      </w:r>
      <w:r>
        <w:br/>
        <w:t>\mathcal U_F\times\mathcal U_F</w:t>
      </w:r>
      <w:r>
        <w:br/>
        <w:t>}</w:t>
      </w:r>
      <w:r>
        <w:br/>
        <w:t>\tag{3.13105}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\boxed{\triangleright_F\subseteq\mathcal U_F\times\mathcal U_F}</w:t>
      </w:r>
    </w:p>
    <w:p w:rsidR="00150475" w:rsidRDefault="00150475" w:rsidP="00150475">
      <w:pPr>
        <w:pStyle w:val="StandardWeb"/>
      </w:pPr>
      <w:r>
        <w:t>auf der Menge</w:t>
      </w:r>
    </w:p>
    <w:p w:rsidR="00150475" w:rsidRDefault="00150475" w:rsidP="00150475">
      <w:pPr>
        <w:pStyle w:val="berschrift1"/>
      </w:pPr>
      <w:r>
        <w:t>[</w:t>
      </w:r>
      <w:r>
        <w:br/>
        <w:t>\mathcal U_F</w:t>
      </w:r>
    </w:p>
    <w:p w:rsidR="00150475" w:rsidRDefault="00150475" w:rsidP="00150475">
      <w:pPr>
        <w:pStyle w:val="StandardWeb"/>
      </w:pPr>
      <w:r>
        <w:t>{u_1,\ldots,u_m}.</w:t>
      </w:r>
      <w:r>
        <w:br/>
        <w:t>\tag{3.13106}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\mathcal U_F=\{u_1,\ldots,u_m\}</w:t>
      </w:r>
    </w:p>
    <w:p w:rsidR="00150475" w:rsidRDefault="00150475" w:rsidP="00150475">
      <w:pPr>
        <w:pStyle w:val="StandardWeb"/>
      </w:pPr>
      <w:r>
        <w:t>Sie legt fest, welche Bewertungskriterien bei Konflikten vorrangig berücksichtigt werden.</w:t>
      </w:r>
    </w:p>
    <w:p w:rsidR="00150475" w:rsidRDefault="00E50336" w:rsidP="00150475">
      <w:r>
        <w:lastRenderedPageBreak/>
        <w:pict>
          <v:rect id="_x0000_i4974" style="width:0;height:1.5pt" o:hralign="center" o:hrstd="t" o:hr="t" fillcolor="#a0a0a0" stroked="f"/>
        </w:pict>
      </w:r>
    </w:p>
    <w:p w:rsidR="00150475" w:rsidRDefault="00150475" w:rsidP="00150475">
      <w:pPr>
        <w:pStyle w:val="berschrift1"/>
      </w:pPr>
      <w:r>
        <w:t>3.3.50.129 Lexikographischer Vergleich</w:t>
      </w:r>
    </w:p>
    <w:p w:rsidR="00150475" w:rsidRDefault="00150475" w:rsidP="00150475">
      <w:pPr>
        <w:pStyle w:val="StandardWeb"/>
      </w:pPr>
      <w:r>
        <w:t>Für zwei Kandidaten (X,Y\in\mathcal C_F) bestimme ich zunächst den ersten Index</w:t>
      </w:r>
    </w:p>
    <w:p w:rsidR="00150475" w:rsidRDefault="00150475" w:rsidP="00150475">
      <w:pPr>
        <w:pStyle w:val="berschrift1"/>
      </w:pPr>
      <w:r>
        <w:t>[</w:t>
      </w:r>
      <w:r>
        <w:br/>
        <w:t>k^\star</w:t>
      </w:r>
    </w:p>
    <w:p w:rsidR="00150475" w:rsidRDefault="00150475" w:rsidP="00150475">
      <w:pPr>
        <w:pStyle w:val="StandardWeb"/>
      </w:pPr>
      <w:r>
        <w:t>\min</w:t>
      </w:r>
      <w:r>
        <w:br/>
        <w:t>{</w:t>
      </w:r>
      <w:r>
        <w:br/>
        <w:t>k:</w:t>
      </w:r>
      <w:r>
        <w:br/>
        <w:t>u_k(X)\neq u_k(Y)</w:t>
      </w:r>
      <w:r>
        <w:br/>
        <w:t>}.</w:t>
      </w:r>
      <w:r>
        <w:br/>
        <w:t>\tag{3.13107}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k^\star=\min\{k:u_k(X)\neq u_k(Y)\}</w:t>
      </w:r>
    </w:p>
    <w:p w:rsidR="00150475" w:rsidRDefault="00150475" w:rsidP="00150475">
      <w:pPr>
        <w:pStyle w:val="StandardWeb"/>
      </w:pPr>
      <w:r>
        <w:t>Dann entscheidet ausschließlich dieses erste unterschiedliche Kriterium über die lexikographische Rangfolge.</w:t>
      </w:r>
    </w:p>
    <w:p w:rsidR="00150475" w:rsidRDefault="00E50336" w:rsidP="00150475">
      <w:r>
        <w:pict>
          <v:rect id="_x0000_i4975" style="width:0;height:1.5pt" o:hralign="center" o:hrstd="t" o:hr="t" fillcolor="#a0a0a0" stroked="f"/>
        </w:pict>
      </w:r>
    </w:p>
    <w:p w:rsidR="00150475" w:rsidRDefault="00150475" w:rsidP="00150475">
      <w:pPr>
        <w:pStyle w:val="berschrift1"/>
      </w:pPr>
      <w:r>
        <w:t>3.3.50.130 Definition 3.3.502 – Lexikographische funktionale Vergleichsrelation</w:t>
      </w:r>
    </w:p>
    <w:p w:rsidR="00150475" w:rsidRDefault="00150475" w:rsidP="00150475">
      <w:pPr>
        <w:pStyle w:val="berschrift3"/>
      </w:pPr>
      <w:r>
        <w:t>Definition 3.3.502</w:t>
      </w:r>
    </w:p>
    <w:p w:rsidR="00150475" w:rsidRDefault="00150475" w:rsidP="00150475">
      <w:pPr>
        <w:pStyle w:val="StandardWeb"/>
      </w:pPr>
      <w:r>
        <w:t>Für eine geordnete Kriterienfolge definiere ich</w:t>
      </w:r>
    </w:p>
    <w:p w:rsidR="00150475" w:rsidRDefault="00150475" w:rsidP="00150475">
      <w:pPr>
        <w:pStyle w:val="StandardWeb"/>
      </w:pPr>
      <w:r>
        <w:t>[</w:t>
      </w:r>
      <w:r>
        <w:br/>
        <w:t>\boxed{</w:t>
      </w:r>
      <w:r>
        <w:br/>
        <w:t>X</w:t>
      </w:r>
      <w:r>
        <w:br/>
        <w:t>\preceq_{\mathrm{lex},F}</w:t>
      </w:r>
      <w:r>
        <w:br/>
        <w:t>Y</w:t>
      </w:r>
      <w:r>
        <w:br/>
        <w:t>\Longleftrightarrow</w:t>
      </w:r>
      <w:r>
        <w:br/>
        <w:t>u_{k^\star}(X)</w:t>
      </w:r>
      <w:r>
        <w:br/>
        <w:t>\leq</w:t>
      </w:r>
      <w:r>
        <w:br/>
        <w:t>u_{k^\star}(Y),</w:t>
      </w:r>
      <w:r>
        <w:br/>
        <w:t>}</w:t>
      </w:r>
      <w:r>
        <w:br/>
        <w:t>\tag{3.13108}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lastRenderedPageBreak/>
        <w:t>\boxed{X\preceq_{\mathrm{lex},F}Y\Longleftrightarrow u_{k^\star}(X)\leq u_{k^\star}(Y),}</w:t>
      </w:r>
    </w:p>
    <w:p w:rsidR="00150475" w:rsidRDefault="00150475" w:rsidP="00150475">
      <w:pPr>
        <w:pStyle w:val="StandardWeb"/>
      </w:pPr>
      <w:r>
        <w:t>wobei (k^\star) der erste Index mit unterschiedlichen Kriterienwerten ist.</w:t>
      </w:r>
    </w:p>
    <w:p w:rsidR="00150475" w:rsidRDefault="00150475" w:rsidP="00150475">
      <w:pPr>
        <w:pStyle w:val="StandardWeb"/>
      </w:pPr>
      <w:r>
        <w:t>Sind sämtliche Kriterienwerte identisch, setze ich</w:t>
      </w:r>
    </w:p>
    <w:p w:rsidR="00150475" w:rsidRDefault="00150475" w:rsidP="00150475">
      <w:pPr>
        <w:pStyle w:val="StandardWeb"/>
      </w:pPr>
      <w:r>
        <w:t>[</w:t>
      </w:r>
      <w:r>
        <w:br/>
        <w:t>X</w:t>
      </w:r>
      <w:r>
        <w:br/>
        <w:t>\sim_{\mathrm{lex},F}</w:t>
      </w:r>
      <w:r>
        <w:br/>
        <w:t>Y.</w:t>
      </w:r>
      <w:r>
        <w:br/>
        <w:t>\tag{3.13109}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X\sim_{\mathrm{lex},F}Y</w:t>
      </w:r>
    </w:p>
    <w:p w:rsidR="00150475" w:rsidRDefault="00E50336" w:rsidP="00150475">
      <w:r>
        <w:pict>
          <v:rect id="_x0000_i4976" style="width:0;height:1.5pt" o:hralign="center" o:hrstd="t" o:hr="t" fillcolor="#a0a0a0" stroked="f"/>
        </w:pict>
      </w:r>
    </w:p>
    <w:p w:rsidR="00150475" w:rsidRDefault="00150475" w:rsidP="00150475">
      <w:pPr>
        <w:pStyle w:val="berschrift1"/>
      </w:pPr>
      <w:r>
        <w:t>3.3.50.131 Unterschied zur gewichteten Skalarisierung</w:t>
      </w:r>
    </w:p>
    <w:p w:rsidR="00150475" w:rsidRDefault="00150475" w:rsidP="00150475">
      <w:pPr>
        <w:pStyle w:val="StandardWeb"/>
      </w:pPr>
      <w:r>
        <w:t>Die lexikographische Ordnung ist nicht mit einer gewöhnlichen gewichteten Summe identisch.</w:t>
      </w:r>
    </w:p>
    <w:p w:rsidR="00150475" w:rsidRDefault="00150475" w:rsidP="00150475">
      <w:pPr>
        <w:pStyle w:val="StandardWeb"/>
      </w:pPr>
      <w:r>
        <w:t>Im Allgemeinen gilt</w:t>
      </w:r>
    </w:p>
    <w:p w:rsidR="00150475" w:rsidRDefault="00150475" w:rsidP="00150475">
      <w:pPr>
        <w:pStyle w:val="StandardWeb"/>
      </w:pPr>
      <w:r>
        <w:t>[</w:t>
      </w:r>
      <w:r>
        <w:br/>
        <w:t>\preceq_{\mathrm{lex},F}</w:t>
      </w:r>
      <w:r>
        <w:br/>
        <w:t>\not\equiv</w:t>
      </w:r>
      <w:r>
        <w:br/>
        <w:t>\preceq_F^{(\mathbf w)}.</w:t>
      </w:r>
      <w:r>
        <w:br/>
        <w:t>\tag{3.13110}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\preceq_{\mathrm{lex},F}\not\equiv\preceq_F^{(\mathbf w)}</w:t>
      </w:r>
    </w:p>
    <w:p w:rsidR="00150475" w:rsidRDefault="00150475" w:rsidP="00150475">
      <w:pPr>
        <w:pStyle w:val="StandardWeb"/>
      </w:pPr>
      <w:r>
        <w:t>Denn bei der gewichteten Skalarisierung können Verbesserungen in niedriger gewichteten Kriterien Verschlechterungen in höher gewichteten Kriterien kompensieren. Bei einer strikt lexikographischen Ordnung ist dies nicht notwendig möglich.</w:t>
      </w:r>
    </w:p>
    <w:p w:rsidR="00150475" w:rsidRDefault="00E50336" w:rsidP="00150475">
      <w:r>
        <w:pict>
          <v:rect id="_x0000_i4977" style="width:0;height:1.5pt" o:hralign="center" o:hrstd="t" o:hr="t" fillcolor="#a0a0a0" stroked="f"/>
        </w:pict>
      </w:r>
    </w:p>
    <w:p w:rsidR="00150475" w:rsidRDefault="00150475" w:rsidP="00150475">
      <w:pPr>
        <w:pStyle w:val="berschrift1"/>
      </w:pPr>
      <w:r>
        <w:t>3.3.50.132 Universelle lexikographische Ordnung als Primäraxiomkandidat</w:t>
      </w:r>
    </w:p>
    <w:p w:rsidR="00150475" w:rsidRDefault="00150475" w:rsidP="00150475">
      <w:pPr>
        <w:pStyle w:val="StandardWeb"/>
      </w:pPr>
      <w:r>
        <w:t>Ein möglicher Kandidat lautet</w:t>
      </w:r>
    </w:p>
    <w:p w:rsidR="00150475" w:rsidRDefault="00150475" w:rsidP="00150475">
      <w:pPr>
        <w:pStyle w:val="StandardWeb"/>
      </w:pPr>
      <w:r>
        <w:t>[</w:t>
      </w:r>
      <w:r>
        <w:br/>
        <w:t>A_{\mathrm{lex}}</w:t>
      </w:r>
      <w:r>
        <w:br/>
      </w:r>
      <w:r>
        <w:lastRenderedPageBreak/>
        <w:t>:</w:t>
      </w:r>
      <w:r>
        <w:br/>
        <w:t>\text{jede Mehrkriterienordnung ist lexikographisch}.</w:t>
      </w:r>
      <w:r>
        <w:br/>
        <w:t>\tag{3.13111}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A_{\mathrm{lex}}:\text{jede Mehrkriterienordnung ist lexikographisch}</w:t>
      </w:r>
    </w:p>
    <w:p w:rsidR="00150475" w:rsidRDefault="00E50336" w:rsidP="00150475">
      <w:r>
        <w:pict>
          <v:rect id="_x0000_i4978" style="width:0;height:1.5pt" o:hralign="center" o:hrstd="t" o:hr="t" fillcolor="#a0a0a0" stroked="f"/>
        </w:pict>
      </w:r>
    </w:p>
    <w:p w:rsidR="00150475" w:rsidRDefault="00150475" w:rsidP="00150475">
      <w:pPr>
        <w:pStyle w:val="berschrift1"/>
      </w:pPr>
      <w:r>
        <w:t>3.3.50.133 Gegenmodell zur universellen Lexikographie</w:t>
      </w:r>
    </w:p>
    <w:p w:rsidR="00150475" w:rsidRDefault="00150475" w:rsidP="00150475">
      <w:pPr>
        <w:pStyle w:val="StandardWeb"/>
      </w:pPr>
      <w:r>
        <w:t>Eine zulässige Modellklasse kann stattdessen eine Pareto-Relation verwenden:</w:t>
      </w:r>
    </w:p>
    <w:p w:rsidR="00150475" w:rsidRDefault="00150475" w:rsidP="00150475">
      <w:pPr>
        <w:pStyle w:val="berschrift1"/>
      </w:pPr>
      <w:r>
        <w:t>[</w:t>
      </w:r>
      <w:r>
        <w:br/>
        <w:t>\preceq_F</w:t>
      </w:r>
    </w:p>
    <w:p w:rsidR="00150475" w:rsidRDefault="00150475" w:rsidP="00150475">
      <w:pPr>
        <w:pStyle w:val="StandardWeb"/>
      </w:pPr>
      <w:r>
        <w:t>\preceq_P.</w:t>
      </w:r>
      <w:r>
        <w:br/>
        <w:t>\tag{3.13112}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\preceq_F=\preceq_P</w:t>
      </w:r>
    </w:p>
    <w:p w:rsidR="00150475" w:rsidRDefault="00150475" w:rsidP="00150475">
      <w:pPr>
        <w:pStyle w:val="StandardWeb"/>
      </w:pPr>
      <w:r>
        <w:t>Dabei können zwei Kandidaten unvergleichbar bleiben:</w:t>
      </w:r>
    </w:p>
    <w:p w:rsidR="00150475" w:rsidRDefault="00150475" w:rsidP="00150475">
      <w:pPr>
        <w:pStyle w:val="StandardWeb"/>
      </w:pPr>
      <w:r>
        <w:t>[</w:t>
      </w:r>
      <w:r>
        <w:br/>
        <w:t>X</w:t>
      </w:r>
      <w:r>
        <w:br/>
        <w:t>\parallel_P</w:t>
      </w:r>
      <w:r>
        <w:br/>
        <w:t>Y.</w:t>
      </w:r>
      <w:r>
        <w:br/>
        <w:t>\tag{3.13113}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X\parallel_P Y</w:t>
      </w:r>
    </w:p>
    <w:p w:rsidR="00150475" w:rsidRDefault="00150475" w:rsidP="00150475">
      <w:pPr>
        <w:pStyle w:val="StandardWeb"/>
      </w:pPr>
      <w:r>
        <w:t>Eine lexikographische Ordnung könnte dieselben Kandidaten dagegen durch die vorrangige Prüfung eines Kriteriums ordnen.</w:t>
      </w:r>
    </w:p>
    <w:p w:rsidR="00150475" w:rsidRDefault="00E50336" w:rsidP="00150475">
      <w:r>
        <w:pict>
          <v:rect id="_x0000_i4979" style="width:0;height:1.5pt" o:hralign="center" o:hrstd="t" o:hr="t" fillcolor="#a0a0a0" stroked="f"/>
        </w:pict>
      </w:r>
    </w:p>
    <w:p w:rsidR="00150475" w:rsidRDefault="00150475" w:rsidP="00150475">
      <w:pPr>
        <w:pStyle w:val="berschrift1"/>
      </w:pPr>
      <w:r>
        <w:t>3.3.50.134 Axiomentscheidung zur lexikographischen Ordnung</w:t>
      </w:r>
    </w:p>
    <w:p w:rsidR="00150475" w:rsidRDefault="00150475" w:rsidP="00150475">
      <w:pPr>
        <w:pStyle w:val="StandardWeb"/>
      </w:pPr>
      <w:r>
        <w:t>Damit folgt</w:t>
      </w:r>
    </w:p>
    <w:p w:rsidR="00150475" w:rsidRDefault="00150475" w:rsidP="00150475">
      <w:pPr>
        <w:pStyle w:val="berschrift1"/>
      </w:pPr>
      <w:r>
        <w:lastRenderedPageBreak/>
        <w:t>[</w:t>
      </w:r>
      <w:r>
        <w:br/>
        <w:t>\boxed{</w:t>
      </w:r>
      <w:r>
        <w:br/>
        <w:t>U_{\mathrm{Ax}}</w:t>
      </w:r>
      <w:r>
        <w:br/>
        <w:t>(A_{\mathrm{lex}})</w:t>
      </w:r>
    </w:p>
    <w:p w:rsidR="00150475" w:rsidRDefault="00150475" w:rsidP="00563F88">
      <w:pPr>
        <w:numPr>
          <w:ilvl w:val="0"/>
          <w:numId w:val="606"/>
        </w:numPr>
        <w:spacing w:before="100" w:beforeAutospacing="1" w:after="100" w:afterAutospacing="1"/>
      </w:pPr>
    </w:p>
    <w:p w:rsidR="00150475" w:rsidRDefault="00150475" w:rsidP="00150475">
      <w:pPr>
        <w:pStyle w:val="StandardWeb"/>
      </w:pPr>
      <w:r>
        <w:t>}</w:t>
      </w:r>
      <w:r>
        <w:br/>
        <w:t>\tag{3.13114}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\boxed{U_{\mathrm{Ax}}(A_{\mathrm{lex}})=0.}</w:t>
      </w:r>
    </w:p>
    <w:p w:rsidR="00150475" w:rsidRDefault="00E50336" w:rsidP="00150475">
      <w:r>
        <w:pict>
          <v:rect id="_x0000_i4980" style="width:0;height:1.5pt" o:hralign="center" o:hrstd="t" o:hr="t" fillcolor="#a0a0a0" stroked="f"/>
        </w:pict>
      </w:r>
    </w:p>
    <w:p w:rsidR="00150475" w:rsidRDefault="00150475" w:rsidP="00150475">
      <w:pPr>
        <w:pStyle w:val="berschrift1"/>
      </w:pPr>
      <w:r>
        <w:t>3.3.50.135 Satz 3.3.189 – Lexikographische Kriterienordnung ist kein Primäraxiom</w:t>
      </w:r>
    </w:p>
    <w:p w:rsidR="00150475" w:rsidRDefault="00150475" w:rsidP="00150475">
      <w:pPr>
        <w:pStyle w:val="berschrift3"/>
      </w:pPr>
      <w:r>
        <w:t>Satz 3.3.189</w:t>
      </w:r>
    </w:p>
    <w:p w:rsidR="00150475" w:rsidRDefault="00150475" w:rsidP="00150475">
      <w:pPr>
        <w:pStyle w:val="StandardWeb"/>
      </w:pPr>
      <w:r>
        <w:t>Die Forderung, jede mehrkriterielle funktionale Vergleichs- oder Auswahlstruktur müsse lexikographisch geordnet sein, ist keine universell notwendige Voraussetzung des allgemeinen FRZK.</w:t>
      </w:r>
    </w:p>
    <w:p w:rsidR="00150475" w:rsidRDefault="00150475" w:rsidP="00150475">
      <w:pPr>
        <w:pStyle w:val="StandardWeb"/>
      </w:pPr>
      <w:r>
        <w:t>Formal gilt</w:t>
      </w:r>
    </w:p>
    <w:p w:rsidR="00150475" w:rsidRDefault="00150475" w:rsidP="00150475">
      <w:pPr>
        <w:pStyle w:val="berschrift1"/>
      </w:pPr>
      <w:r>
        <w:t>[</w:t>
      </w:r>
      <w:r>
        <w:br/>
        <w:t>\boxed{</w:t>
      </w:r>
      <w:r>
        <w:br/>
        <w:t>U_{\mathrm{Ax}}</w:t>
      </w:r>
      <w:r>
        <w:br/>
        <w:t>(A_{\mathrm{lex}})</w:t>
      </w:r>
    </w:p>
    <w:p w:rsidR="00150475" w:rsidRDefault="00150475" w:rsidP="00563F88">
      <w:pPr>
        <w:numPr>
          <w:ilvl w:val="0"/>
          <w:numId w:val="607"/>
        </w:numPr>
        <w:spacing w:before="100" w:beforeAutospacing="1" w:after="100" w:afterAutospacing="1"/>
      </w:pPr>
    </w:p>
    <w:p w:rsidR="00150475" w:rsidRDefault="00150475" w:rsidP="00150475">
      <w:pPr>
        <w:pStyle w:val="StandardWeb"/>
      </w:pPr>
      <w:r>
        <w:t>}</w:t>
      </w:r>
      <w:r>
        <w:br/>
        <w:t>\tag{3.13115}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\boxed{U_{\mathrm{Ax}}(A_{\mathrm{lex}})=0.}</w:t>
      </w:r>
    </w:p>
    <w:p w:rsidR="00150475" w:rsidRDefault="00150475" w:rsidP="00150475">
      <w:pPr>
        <w:pStyle w:val="berschrift3"/>
      </w:pPr>
      <w:r>
        <w:t>Beweis</w:t>
      </w:r>
    </w:p>
    <w:p w:rsidR="00150475" w:rsidRDefault="00150475" w:rsidP="00150475">
      <w:pPr>
        <w:pStyle w:val="StandardWeb"/>
      </w:pPr>
      <w:r>
        <w:lastRenderedPageBreak/>
        <w:t>Eine zulässige Modellklasse kann eine nichtlexikographische Pareto-Ordnung besitzen:</w:t>
      </w:r>
    </w:p>
    <w:p w:rsidR="00150475" w:rsidRDefault="00150475" w:rsidP="00150475">
      <w:pPr>
        <w:pStyle w:val="berschrift1"/>
      </w:pPr>
      <w:r>
        <w:t>[</w:t>
      </w:r>
      <w:r>
        <w:br/>
        <w:t>\preceq_F</w:t>
      </w:r>
    </w:p>
    <w:p w:rsidR="00150475" w:rsidRDefault="00150475" w:rsidP="00150475">
      <w:pPr>
        <w:pStyle w:val="StandardWeb"/>
      </w:pPr>
      <w:r>
        <w:t>\preceq_P.</w:t>
      </w:r>
      <w:r>
        <w:br/>
        <w:t>\tag{3.13116}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\preceq_F=\preceq_P</w:t>
      </w:r>
    </w:p>
    <w:p w:rsidR="00150475" w:rsidRDefault="00150475" w:rsidP="00150475">
      <w:pPr>
        <w:pStyle w:val="StandardWeb"/>
      </w:pPr>
      <w:r>
        <w:t>Da die übrige FRZK-Struktur dadurch nicht widersprüchlich wird, ist Lexikographie nicht universell notwendig. (\square)</w:t>
      </w:r>
    </w:p>
    <w:p w:rsidR="00150475" w:rsidRDefault="00E50336" w:rsidP="00150475">
      <w:r>
        <w:pict>
          <v:rect id="_x0000_i4981" style="width:0;height:1.5pt" o:hralign="center" o:hrstd="t" o:hr="t" fillcolor="#a0a0a0" stroked="f"/>
        </w:pict>
      </w:r>
    </w:p>
    <w:p w:rsidR="00150475" w:rsidRDefault="00150475" w:rsidP="00150475">
      <w:pPr>
        <w:pStyle w:val="berschrift1"/>
      </w:pPr>
      <w:r>
        <w:t>3.3.50.136 Korollar 3.3.45 – Kriterienpriorität ist modellabhängig</w:t>
      </w:r>
    </w:p>
    <w:p w:rsidR="00150475" w:rsidRDefault="00150475" w:rsidP="00150475">
      <w:pPr>
        <w:pStyle w:val="berschrift3"/>
      </w:pPr>
      <w:r>
        <w:t>Korollar 3.3.45</w:t>
      </w:r>
    </w:p>
    <w:p w:rsidR="00150475" w:rsidRDefault="00150475" w:rsidP="00150475">
      <w:pPr>
        <w:pStyle w:val="StandardWeb"/>
      </w:pPr>
      <w:r>
        <w:t>Aus Satz 3.3.189 folgt</w:t>
      </w:r>
    </w:p>
    <w:p w:rsidR="00150475" w:rsidRDefault="00150475" w:rsidP="00150475">
      <w:pPr>
        <w:pStyle w:val="berschrift1"/>
      </w:pPr>
      <w:r>
        <w:t>[</w:t>
      </w:r>
      <w:r>
        <w:br/>
        <w:t>\boxed{</w:t>
      </w:r>
      <w:r>
        <w:br/>
        <w:t>\operatorname{Stat}</w:t>
      </w:r>
      <w:r>
        <w:br/>
        <w:t>(\triangleright_F)</w:t>
      </w:r>
    </w:p>
    <w:p w:rsidR="00150475" w:rsidRDefault="00150475" w:rsidP="00150475">
      <w:pPr>
        <w:pStyle w:val="StandardWeb"/>
      </w:pPr>
      <w:r>
        <w:t>\mathrm{Def/Mod}.</w:t>
      </w:r>
      <w:r>
        <w:br/>
        <w:t>}</w:t>
      </w:r>
      <w:r>
        <w:br/>
        <w:t>\tag{3.13117}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\boxed{\operatorname{Stat}(\triangleright_F)=\mathrm{Def/Mod}.}</w:t>
      </w:r>
    </w:p>
    <w:p w:rsidR="00150475" w:rsidRDefault="00150475" w:rsidP="00150475">
      <w:pPr>
        <w:pStyle w:val="StandardWeb"/>
      </w:pPr>
      <w:r>
        <w:t>Die Reihenfolge von Kriterien gehört damit nicht automatisch zum Primäraxiomkern.</w:t>
      </w:r>
    </w:p>
    <w:p w:rsidR="00150475" w:rsidRDefault="00E50336" w:rsidP="00150475">
      <w:r>
        <w:pict>
          <v:rect id="_x0000_i4982" style="width:0;height:1.5pt" o:hralign="center" o:hrstd="t" o:hr="t" fillcolor="#a0a0a0" stroked="f"/>
        </w:pict>
      </w:r>
    </w:p>
    <w:p w:rsidR="00150475" w:rsidRDefault="00150475" w:rsidP="00150475">
      <w:pPr>
        <w:pStyle w:val="berschrift1"/>
      </w:pPr>
      <w:r>
        <w:t>3.3.50.137 Schwellenbasierter Vergleich</w:t>
      </w:r>
    </w:p>
    <w:p w:rsidR="00150475" w:rsidRDefault="00150475" w:rsidP="00150475">
      <w:pPr>
        <w:pStyle w:val="StandardWeb"/>
      </w:pPr>
      <w:r>
        <w:lastRenderedPageBreak/>
        <w:t>Nicht jede kleine Differenz zwischen zwei Bewertungen muss als strukturell relevant betrachtet werden.</w:t>
      </w:r>
    </w:p>
    <w:p w:rsidR="00150475" w:rsidRDefault="00150475" w:rsidP="00150475">
      <w:pPr>
        <w:pStyle w:val="StandardWeb"/>
      </w:pPr>
      <w:r>
        <w:t>Ich führe deshalb einen Toleranzparameter</w:t>
      </w:r>
    </w:p>
    <w:p w:rsidR="00150475" w:rsidRDefault="00150475" w:rsidP="00150475">
      <w:pPr>
        <w:pStyle w:val="StandardWeb"/>
      </w:pPr>
      <w:r>
        <w:t>[</w:t>
      </w:r>
      <w:r>
        <w:br/>
        <w:t>\varepsilon_F</w:t>
      </w:r>
      <w:r>
        <w:br/>
        <w:t>\geq</w:t>
      </w:r>
      <w:r>
        <w:br/>
        <w:t>0</w:t>
      </w:r>
      <w:r>
        <w:br/>
        <w:t>\tag{3.13118}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\varepsilon_F\geq0</w:t>
      </w:r>
    </w:p>
    <w:p w:rsidR="00150475" w:rsidRDefault="00150475" w:rsidP="00150475">
      <w:pPr>
        <w:pStyle w:val="StandardWeb"/>
      </w:pPr>
      <w:r>
        <w:t>ein.</w:t>
      </w:r>
    </w:p>
    <w:p w:rsidR="00150475" w:rsidRDefault="00E50336" w:rsidP="00150475">
      <w:r>
        <w:pict>
          <v:rect id="_x0000_i4983" style="width:0;height:1.5pt" o:hralign="center" o:hrstd="t" o:hr="t" fillcolor="#a0a0a0" stroked="f"/>
        </w:pict>
      </w:r>
    </w:p>
    <w:p w:rsidR="00150475" w:rsidRDefault="00150475" w:rsidP="00150475">
      <w:pPr>
        <w:pStyle w:val="berschrift1"/>
      </w:pPr>
      <w:r>
        <w:t>3.3.50.138 Definition 3.3.503 – Funktionale Vergleichstoleranz</w:t>
      </w:r>
    </w:p>
    <w:p w:rsidR="00150475" w:rsidRDefault="00150475" w:rsidP="00150475">
      <w:pPr>
        <w:pStyle w:val="berschrift3"/>
      </w:pPr>
      <w:r>
        <w:t>Definition 3.3.503</w:t>
      </w:r>
    </w:p>
    <w:p w:rsidR="00150475" w:rsidRDefault="00150475" w:rsidP="00150475">
      <w:pPr>
        <w:pStyle w:val="StandardWeb"/>
      </w:pPr>
      <w:r>
        <w:t xml:space="preserve">Eine </w:t>
      </w:r>
      <w:r>
        <w:rPr>
          <w:rStyle w:val="Fett"/>
        </w:rPr>
        <w:t>funktionale Vergleichstoleranz</w:t>
      </w:r>
      <w:r>
        <w:t xml:space="preserve"> ist ein modellabhängiger Parameter</w:t>
      </w:r>
    </w:p>
    <w:p w:rsidR="00150475" w:rsidRDefault="00150475" w:rsidP="00150475">
      <w:pPr>
        <w:pStyle w:val="StandardWeb"/>
      </w:pPr>
      <w:r>
        <w:t>[</w:t>
      </w:r>
      <w:r>
        <w:br/>
        <w:t>\boxed{</w:t>
      </w:r>
      <w:r>
        <w:br/>
        <w:t>\varepsilon_F</w:t>
      </w:r>
      <w:r>
        <w:br/>
        <w:t>\in</w:t>
      </w:r>
      <w:r>
        <w:br/>
        <w:t>\mathbb R_{\geq0},</w:t>
      </w:r>
      <w:r>
        <w:br/>
        <w:t>}</w:t>
      </w:r>
      <w:r>
        <w:br/>
        <w:t>\tag{3.13119}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\boxed{\varepsilon_F\in\mathbb R_{\geq0},}</w:t>
      </w:r>
    </w:p>
    <w:p w:rsidR="00150475" w:rsidRDefault="00150475" w:rsidP="00150475">
      <w:pPr>
        <w:pStyle w:val="StandardWeb"/>
      </w:pPr>
      <w:r>
        <w:t>der festlegt, bis zu welcher Bewertungsdifferenz zwei Objekte als praktisch gleichwertig behandelt werden.</w:t>
      </w:r>
    </w:p>
    <w:p w:rsidR="00150475" w:rsidRDefault="00E50336" w:rsidP="00150475">
      <w:r>
        <w:pict>
          <v:rect id="_x0000_i4984" style="width:0;height:1.5pt" o:hralign="center" o:hrstd="t" o:hr="t" fillcolor="#a0a0a0" stroked="f"/>
        </w:pict>
      </w:r>
    </w:p>
    <w:p w:rsidR="00150475" w:rsidRDefault="00150475" w:rsidP="00150475">
      <w:pPr>
        <w:pStyle w:val="berschrift1"/>
      </w:pPr>
      <w:r>
        <w:t>3.3.50.139 Toleranzäquivalenz</w:t>
      </w:r>
    </w:p>
    <w:p w:rsidR="00150475" w:rsidRDefault="00150475" w:rsidP="00150475">
      <w:pPr>
        <w:pStyle w:val="StandardWeb"/>
      </w:pPr>
      <w:r>
        <w:t>Für eine reellwertige Bewertung kann ich definieren</w:t>
      </w:r>
    </w:p>
    <w:p w:rsidR="00150475" w:rsidRDefault="00150475" w:rsidP="00150475">
      <w:pPr>
        <w:pStyle w:val="StandardWeb"/>
      </w:pPr>
      <w:r>
        <w:lastRenderedPageBreak/>
        <w:t>[</w:t>
      </w:r>
      <w:r>
        <w:br/>
        <w:t>X</w:t>
      </w:r>
      <w:r>
        <w:br/>
        <w:t>\sim_{\varepsilon,F}</w:t>
      </w:r>
      <w:r>
        <w:br/>
        <w:t>Y</w:t>
      </w:r>
      <w:r>
        <w:br/>
        <w:t>\Longleftrightarrow</w:t>
      </w:r>
      <w:r>
        <w:br/>
        <w:t>\left|</w:t>
      </w:r>
      <w:r>
        <w:br/>
        <w:t>u_F(X)-u_F(Y)</w:t>
      </w:r>
      <w:r>
        <w:br/>
        <w:t>\right|</w:t>
      </w:r>
      <w:r>
        <w:br/>
        <w:t>\leq</w:t>
      </w:r>
      <w:r>
        <w:br/>
        <w:t>\varepsilon_F.</w:t>
      </w:r>
      <w:r>
        <w:br/>
        <w:t>\tag{3.13120}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X\sim_{\varepsilon,F}Y\Longleftrightarrow\left|u_F(X)-u_F(Y)\right|\leq\varepsilon_F</w:t>
      </w:r>
    </w:p>
    <w:p w:rsidR="00150475" w:rsidRDefault="00E50336" w:rsidP="00150475">
      <w:r>
        <w:pict>
          <v:rect id="_x0000_i4985" style="width:0;height:1.5pt" o:hralign="center" o:hrstd="t" o:hr="t" fillcolor="#a0a0a0" stroked="f"/>
        </w:pict>
      </w:r>
    </w:p>
    <w:p w:rsidR="00150475" w:rsidRDefault="00150475" w:rsidP="00150475">
      <w:pPr>
        <w:pStyle w:val="berschrift1"/>
      </w:pPr>
      <w:r>
        <w:t>3.3.50.140 Definition 3.3.504 – Funktionale Toleranzrelation</w:t>
      </w:r>
    </w:p>
    <w:p w:rsidR="00150475" w:rsidRDefault="00150475" w:rsidP="00150475">
      <w:pPr>
        <w:pStyle w:val="berschrift3"/>
      </w:pPr>
      <w:r>
        <w:t>Definition 3.3.504</w:t>
      </w:r>
    </w:p>
    <w:p w:rsidR="00150475" w:rsidRDefault="00150475" w:rsidP="00150475">
      <w:pPr>
        <w:pStyle w:val="StandardWeb"/>
      </w:pPr>
      <w:r>
        <w:t xml:space="preserve">Die </w:t>
      </w:r>
      <w:r>
        <w:rPr>
          <w:rStyle w:val="Fett"/>
        </w:rPr>
        <w:t>funktionale Toleranzrelation</w:t>
      </w:r>
      <w:r>
        <w:t xml:space="preserve"> bezüglich einer Bewertung (u_F) und einer Toleranz (\varepsilon_F) ist</w:t>
      </w:r>
    </w:p>
    <w:p w:rsidR="00150475" w:rsidRDefault="00150475" w:rsidP="00150475">
      <w:pPr>
        <w:pStyle w:val="StandardWeb"/>
      </w:pPr>
      <w:r>
        <w:t>[</w:t>
      </w:r>
      <w:r>
        <w:br/>
        <w:t>\boxed{</w:t>
      </w:r>
      <w:r>
        <w:br/>
        <w:t>X</w:t>
      </w:r>
      <w:r>
        <w:br/>
        <w:t>\sim_{\varepsilon,F}</w:t>
      </w:r>
      <w:r>
        <w:br/>
        <w:t>Y</w:t>
      </w:r>
      <w:r>
        <w:br/>
        <w:t>\Longleftrightarrow</w:t>
      </w:r>
      <w:r>
        <w:br/>
        <w:t>\left|</w:t>
      </w:r>
      <w:r>
        <w:br/>
        <w:t>u_F(X)-u_F(Y)</w:t>
      </w:r>
      <w:r>
        <w:br/>
        <w:t>\right|</w:t>
      </w:r>
      <w:r>
        <w:br/>
        <w:t>\leq</w:t>
      </w:r>
      <w:r>
        <w:br/>
        <w:t>\varepsilon_F.</w:t>
      </w:r>
      <w:r>
        <w:br/>
        <w:t>}</w:t>
      </w:r>
      <w:r>
        <w:br/>
        <w:t>\tag{3.13121}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\boxed{X\sim_{\varepsilon,F}Y\Longleftrightarrow\left|u_F(X)-u_F(Y)\right|\leq\varepsilon_F.}</w:t>
      </w:r>
    </w:p>
    <w:p w:rsidR="00150475" w:rsidRDefault="00E50336" w:rsidP="00150475">
      <w:r>
        <w:pict>
          <v:rect id="_x0000_i4986" style="width:0;height:1.5pt" o:hralign="center" o:hrstd="t" o:hr="t" fillcolor="#a0a0a0" stroked="f"/>
        </w:pict>
      </w:r>
    </w:p>
    <w:p w:rsidR="00150475" w:rsidRDefault="00150475" w:rsidP="00150475">
      <w:pPr>
        <w:pStyle w:val="berschrift1"/>
      </w:pPr>
      <w:r>
        <w:lastRenderedPageBreak/>
        <w:t>3.3.50.141 Toleranzrelation ist nicht notwendig transitiv</w:t>
      </w:r>
    </w:p>
    <w:p w:rsidR="00150475" w:rsidRDefault="00150475" w:rsidP="00150475">
      <w:pPr>
        <w:pStyle w:val="StandardWeb"/>
      </w:pPr>
      <w:r>
        <w:t>Seien drei Werte gegeben mit</w:t>
      </w:r>
    </w:p>
    <w:p w:rsidR="00150475" w:rsidRDefault="00150475" w:rsidP="00150475">
      <w:pPr>
        <w:pStyle w:val="StandardWeb"/>
      </w:pPr>
      <w:r>
        <w:t>[</w:t>
      </w:r>
      <w:r>
        <w:br/>
        <w:t>|u_F(X)-u_F(Y)|</w:t>
      </w:r>
      <w:r>
        <w:br/>
        <w:t>\leq</w:t>
      </w:r>
      <w:r>
        <w:br/>
        <w:t>\varepsilon_F</w:t>
      </w:r>
      <w:r>
        <w:br/>
        <w:t>\tag{3.13122}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|u_F(X)-u_F(Y)|\leq\varepsilon_F</w:t>
      </w:r>
    </w:p>
    <w:p w:rsidR="00150475" w:rsidRDefault="00150475" w:rsidP="00150475">
      <w:pPr>
        <w:pStyle w:val="StandardWeb"/>
      </w:pPr>
      <w:r>
        <w:t>und</w:t>
      </w:r>
    </w:p>
    <w:p w:rsidR="00150475" w:rsidRDefault="00150475" w:rsidP="00150475">
      <w:pPr>
        <w:pStyle w:val="StandardWeb"/>
      </w:pPr>
      <w:r>
        <w:t>[</w:t>
      </w:r>
      <w:r>
        <w:br/>
        <w:t>|u_F(Y)-u_F(Z)|</w:t>
      </w:r>
      <w:r>
        <w:br/>
        <w:t>\leq</w:t>
      </w:r>
      <w:r>
        <w:br/>
        <w:t>\varepsilon_F.</w:t>
      </w:r>
      <w:r>
        <w:br/>
        <w:t>\tag{3.13123}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|u_F(Y)-u_F(Z)|\leq\varepsilon_F</w:t>
      </w:r>
    </w:p>
    <w:p w:rsidR="00150475" w:rsidRDefault="00150475" w:rsidP="00150475">
      <w:pPr>
        <w:pStyle w:val="StandardWeb"/>
      </w:pPr>
      <w:r>
        <w:t>Daraus folgt nicht notwendig</w:t>
      </w:r>
    </w:p>
    <w:p w:rsidR="00150475" w:rsidRDefault="00150475" w:rsidP="00150475">
      <w:pPr>
        <w:pStyle w:val="StandardWeb"/>
      </w:pPr>
      <w:r>
        <w:t>[</w:t>
      </w:r>
      <w:r>
        <w:br/>
        <w:t>|u_F(X)-u_F(Z)|</w:t>
      </w:r>
      <w:r>
        <w:br/>
        <w:t>\leq</w:t>
      </w:r>
      <w:r>
        <w:br/>
        <w:t>\varepsilon_F.</w:t>
      </w:r>
      <w:r>
        <w:br/>
        <w:t>\tag{3.13124}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|u_F(X)-u_F(Z)|\leq\varepsilon_F</w:t>
      </w:r>
    </w:p>
    <w:p w:rsidR="00150475" w:rsidRDefault="00E50336" w:rsidP="00150475">
      <w:r>
        <w:pict>
          <v:rect id="_x0000_i4987" style="width:0;height:1.5pt" o:hralign="center" o:hrstd="t" o:hr="t" fillcolor="#a0a0a0" stroked="f"/>
        </w:pict>
      </w:r>
    </w:p>
    <w:p w:rsidR="00150475" w:rsidRDefault="00150475" w:rsidP="00150475">
      <w:pPr>
        <w:pStyle w:val="berschrift1"/>
      </w:pPr>
      <w:r>
        <w:t>3.3.50.142 Satz 3.3.190 – Funktionale Toleranzäquivalenz muss nicht transitiv sein</w:t>
      </w:r>
    </w:p>
    <w:p w:rsidR="00150475" w:rsidRDefault="00150475" w:rsidP="00150475">
      <w:pPr>
        <w:pStyle w:val="berschrift3"/>
      </w:pPr>
      <w:r>
        <w:t>Satz 3.3.190</w:t>
      </w:r>
    </w:p>
    <w:p w:rsidR="00150475" w:rsidRDefault="00150475" w:rsidP="00150475">
      <w:pPr>
        <w:pStyle w:val="StandardWeb"/>
      </w:pPr>
      <w:r>
        <w:lastRenderedPageBreak/>
        <w:t>Die durch eine feste Differenzschwelle erzeugte funktionale Toleranzrelation ist im Allgemeinen nicht transitiv.</w:t>
      </w:r>
    </w:p>
    <w:p w:rsidR="00150475" w:rsidRDefault="00150475" w:rsidP="00150475">
      <w:pPr>
        <w:pStyle w:val="StandardWeb"/>
      </w:pPr>
      <w:r>
        <w:t>Formal kann gelten</w:t>
      </w:r>
    </w:p>
    <w:p w:rsidR="00150475" w:rsidRDefault="00150475" w:rsidP="00150475">
      <w:pPr>
        <w:pStyle w:val="StandardWeb"/>
      </w:pPr>
      <w:r>
        <w:t>[</w:t>
      </w:r>
      <w:r>
        <w:br/>
        <w:t>\boxed{</w:t>
      </w:r>
      <w:r>
        <w:br/>
        <w:t>X\sim_{\varepsilon,F}Y</w:t>
      </w:r>
      <w:r>
        <w:br/>
        <w:t>\land</w:t>
      </w:r>
      <w:r>
        <w:br/>
        <w:t>Y\sim_{\varepsilon,F}Z</w:t>
      </w:r>
      <w:r>
        <w:br/>
        <w:t>\not\Rightarrow</w:t>
      </w:r>
      <w:r>
        <w:br/>
        <w:t>X\sim_{\varepsilon,F}Z.</w:t>
      </w:r>
      <w:r>
        <w:br/>
        <w:t>}</w:t>
      </w:r>
      <w:r>
        <w:br/>
        <w:t>\tag{3.13125}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\boxed{X\sim_{\varepsilon,F}Y\land Y\sim_{\varepsilon,F}Z\not\Rightarrow X\sim_{\varepsilon,F}Z.}</w:t>
      </w:r>
    </w:p>
    <w:p w:rsidR="00150475" w:rsidRDefault="00150475" w:rsidP="00150475">
      <w:pPr>
        <w:pStyle w:val="berschrift3"/>
      </w:pPr>
      <w:r>
        <w:t>Beweis</w:t>
      </w:r>
    </w:p>
    <w:p w:rsidR="00150475" w:rsidRDefault="00150475" w:rsidP="00150475">
      <w:pPr>
        <w:pStyle w:val="StandardWeb"/>
      </w:pPr>
      <w:r>
        <w:t>Wähle beispielsweise</w:t>
      </w:r>
    </w:p>
    <w:p w:rsidR="00150475" w:rsidRDefault="00150475" w:rsidP="00150475">
      <w:pPr>
        <w:pStyle w:val="StandardWeb"/>
      </w:pPr>
      <w:r>
        <w:t>[</w:t>
      </w:r>
      <w:r>
        <w:br/>
        <w:t>u_F(X)=0,</w:t>
      </w:r>
      <w:r>
        <w:br/>
        <w:t>\qquad</w:t>
      </w:r>
      <w:r>
        <w:br/>
        <w:t>u_F(Y)=0.75\varepsilon_F,</w:t>
      </w:r>
      <w:r>
        <w:br/>
        <w:t>\qquad</w:t>
      </w:r>
      <w:r>
        <w:br/>
        <w:t>u_F(Z)=1.5\varepsilon_F.</w:t>
      </w:r>
      <w:r>
        <w:br/>
        <w:t>\tag{3.13126}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u_F(X)=0,\qquad u_F(Y)=0.75\varepsilon_F,\qquad u_F(Z)=1.5\varepsilon_F</w:t>
      </w:r>
    </w:p>
    <w:p w:rsidR="00150475" w:rsidRDefault="00150475" w:rsidP="00150475">
      <w:pPr>
        <w:pStyle w:val="StandardWeb"/>
      </w:pPr>
      <w:r>
        <w:t>Dann gilt</w:t>
      </w:r>
    </w:p>
    <w:p w:rsidR="00150475" w:rsidRDefault="00150475" w:rsidP="00150475">
      <w:pPr>
        <w:pStyle w:val="berschrift1"/>
      </w:pPr>
      <w:r>
        <w:t>[</w:t>
      </w:r>
      <w:r>
        <w:br/>
        <w:t>|u_F(X)-u_F(Y)|</w:t>
      </w:r>
    </w:p>
    <w:p w:rsidR="00150475" w:rsidRDefault="00150475" w:rsidP="00150475">
      <w:pPr>
        <w:pStyle w:val="StandardWeb"/>
      </w:pPr>
      <w:r>
        <w:t>0.75\varepsilon_F</w:t>
      </w:r>
      <w:r>
        <w:br/>
        <w:t>\leq</w:t>
      </w:r>
      <w:r>
        <w:br/>
        <w:t>\varepsilon_F</w:t>
      </w:r>
      <w:r>
        <w:br/>
        <w:t>\tag{3.13127}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lastRenderedPageBreak/>
        <w:t>|u_F(X)-u_F(Y)|=0.75\varepsilon_F\leq\varepsilon_F</w:t>
      </w:r>
    </w:p>
    <w:p w:rsidR="00150475" w:rsidRDefault="00150475" w:rsidP="00150475">
      <w:pPr>
        <w:pStyle w:val="StandardWeb"/>
      </w:pPr>
      <w:r>
        <w:t>sowie</w:t>
      </w:r>
    </w:p>
    <w:p w:rsidR="00150475" w:rsidRDefault="00150475" w:rsidP="00150475">
      <w:pPr>
        <w:pStyle w:val="berschrift1"/>
      </w:pPr>
      <w:r>
        <w:t>[</w:t>
      </w:r>
      <w:r>
        <w:br/>
        <w:t>|u_F(Y)-u_F(Z)|</w:t>
      </w:r>
    </w:p>
    <w:p w:rsidR="00150475" w:rsidRDefault="00150475" w:rsidP="00150475">
      <w:pPr>
        <w:pStyle w:val="StandardWeb"/>
      </w:pPr>
      <w:r>
        <w:t>0.75\varepsilon_F</w:t>
      </w:r>
      <w:r>
        <w:br/>
        <w:t>\leq</w:t>
      </w:r>
      <w:r>
        <w:br/>
        <w:t>\varepsilon_F.</w:t>
      </w:r>
      <w:r>
        <w:br/>
        <w:t>\tag{3.13128}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|u_F(Y)-u_F(Z)|=0.75\varepsilon_F\leq\varepsilon_F</w:t>
      </w:r>
    </w:p>
    <w:p w:rsidR="00150475" w:rsidRDefault="00150475" w:rsidP="00150475">
      <w:pPr>
        <w:pStyle w:val="StandardWeb"/>
      </w:pPr>
      <w:r>
        <w:t>Gleichzeitig ist</w:t>
      </w:r>
    </w:p>
    <w:p w:rsidR="00150475" w:rsidRDefault="00150475" w:rsidP="00150475">
      <w:pPr>
        <w:pStyle w:val="berschrift1"/>
      </w:pPr>
      <w:r>
        <w:t>[</w:t>
      </w:r>
      <w:r>
        <w:br/>
        <w:t>|u_F(X)-u_F(Z)|</w:t>
      </w:r>
    </w:p>
    <w:p w:rsidR="00150475" w:rsidRDefault="00150475" w:rsidP="00150475">
      <w:pPr>
        <w:pStyle w:val="StandardWeb"/>
      </w:pPr>
      <w:r>
        <w:t>1.5\varepsilon_F</w:t>
      </w:r>
    </w:p>
    <w:p w:rsidR="00150475" w:rsidRDefault="00150475" w:rsidP="00150475">
      <w:pPr>
        <w:pStyle w:val="StandardWeb"/>
      </w:pPr>
      <w:r>
        <w:t>\varepsilon_F.</w:t>
      </w:r>
      <w:r>
        <w:br/>
        <w:t>\tag{3.13129}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|u_F(X)-u_F(Z)|=1.5\varepsilon_F&gt;\varepsilon_F</w:t>
      </w:r>
    </w:p>
    <w:p w:rsidR="00150475" w:rsidRDefault="00150475" w:rsidP="00150475">
      <w:pPr>
        <w:pStyle w:val="StandardWeb"/>
      </w:pPr>
      <w:r>
        <w:t>Damit ist die Transitivität widerlegt. (\square)</w:t>
      </w:r>
    </w:p>
    <w:p w:rsidR="00150475" w:rsidRDefault="00E50336" w:rsidP="00150475">
      <w:r>
        <w:pict>
          <v:rect id="_x0000_i4988" style="width:0;height:1.5pt" o:hralign="center" o:hrstd="t" o:hr="t" fillcolor="#a0a0a0" stroked="f"/>
        </w:pict>
      </w:r>
    </w:p>
    <w:p w:rsidR="00150475" w:rsidRDefault="00150475" w:rsidP="00150475">
      <w:pPr>
        <w:pStyle w:val="berschrift1"/>
      </w:pPr>
      <w:r>
        <w:t>3.3.50.143 Schwellenbasierte strikte Auswahl</w:t>
      </w:r>
    </w:p>
    <w:p w:rsidR="00150475" w:rsidRDefault="00150475" w:rsidP="00150475">
      <w:pPr>
        <w:pStyle w:val="StandardWeb"/>
      </w:pPr>
      <w:r>
        <w:t>Ein Kandidat (Y) kann erst dann als relevant besser als (X) betrachtet werden, wenn</w:t>
      </w:r>
    </w:p>
    <w:p w:rsidR="00150475" w:rsidRDefault="00150475" w:rsidP="00150475">
      <w:pPr>
        <w:pStyle w:val="StandardWeb"/>
      </w:pPr>
      <w:r>
        <w:t>[</w:t>
      </w:r>
      <w:r>
        <w:br/>
        <w:t>u_F(Y)-u_F(X)</w:t>
      </w:r>
    </w:p>
    <w:p w:rsidR="00150475" w:rsidRDefault="00150475" w:rsidP="00150475">
      <w:pPr>
        <w:pStyle w:val="StandardWeb"/>
      </w:pPr>
      <w:r>
        <w:t>\varepsilon_F.</w:t>
      </w:r>
      <w:r>
        <w:br/>
        <w:t>\tag{3.13130}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lastRenderedPageBreak/>
        <w:t>u_F(Y)-u_F(X)&gt;\varepsilon_F</w:t>
      </w:r>
    </w:p>
    <w:p w:rsidR="00150475" w:rsidRDefault="00E50336" w:rsidP="00150475">
      <w:r>
        <w:pict>
          <v:rect id="_x0000_i4989" style="width:0;height:1.5pt" o:hralign="center" o:hrstd="t" o:hr="t" fillcolor="#a0a0a0" stroked="f"/>
        </w:pict>
      </w:r>
    </w:p>
    <w:p w:rsidR="00150475" w:rsidRDefault="00150475" w:rsidP="00150475">
      <w:pPr>
        <w:pStyle w:val="berschrift1"/>
      </w:pPr>
      <w:r>
        <w:t>3.3.50.144 Definition 3.3.505 – Schwellenbasierte funktionale Dominanz</w:t>
      </w:r>
    </w:p>
    <w:p w:rsidR="00150475" w:rsidRDefault="00150475" w:rsidP="00150475">
      <w:pPr>
        <w:pStyle w:val="berschrift3"/>
      </w:pPr>
      <w:r>
        <w:t>Definition 3.3.505</w:t>
      </w:r>
    </w:p>
    <w:p w:rsidR="00150475" w:rsidRDefault="00150475" w:rsidP="00150475">
      <w:pPr>
        <w:pStyle w:val="StandardWeb"/>
      </w:pPr>
      <w:r>
        <w:t xml:space="preserve">Ich definiere die </w:t>
      </w:r>
      <w:r>
        <w:rPr>
          <w:rStyle w:val="Fett"/>
        </w:rPr>
        <w:t>schwellenbasierte funktionale Dominanz</w:t>
      </w:r>
      <w:r>
        <w:t xml:space="preserve"> durch</w:t>
      </w:r>
    </w:p>
    <w:p w:rsidR="00150475" w:rsidRDefault="00150475" w:rsidP="00150475">
      <w:pPr>
        <w:pStyle w:val="StandardWeb"/>
      </w:pPr>
      <w:r>
        <w:t>[</w:t>
      </w:r>
      <w:r>
        <w:br/>
        <w:t>\boxed{</w:t>
      </w:r>
      <w:r>
        <w:br/>
        <w:t>X</w:t>
      </w:r>
      <w:r>
        <w:br/>
        <w:t>\prec_{\varepsilon,F}</w:t>
      </w:r>
      <w:r>
        <w:br/>
        <w:t>Y</w:t>
      </w:r>
      <w:r>
        <w:br/>
        <w:t>\Longleftrightarrow</w:t>
      </w:r>
      <w:r>
        <w:br/>
        <w:t>u_F(Y)-u_F(X)</w:t>
      </w:r>
    </w:p>
    <w:p w:rsidR="00150475" w:rsidRDefault="00150475" w:rsidP="00150475">
      <w:pPr>
        <w:pStyle w:val="StandardWeb"/>
      </w:pPr>
      <w:r>
        <w:t>\varepsilon_F.</w:t>
      </w:r>
      <w:r>
        <w:br/>
        <w:t>}</w:t>
      </w:r>
      <w:r>
        <w:br/>
        <w:t>\tag{3.13131}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\boxed{X\prec_{\varepsilon,F}Y\Longleftrightarrow u_F(Y)-u_F(X)&gt;\varepsilon_F.}</w:t>
      </w:r>
    </w:p>
    <w:p w:rsidR="00150475" w:rsidRDefault="00E50336" w:rsidP="00150475">
      <w:r>
        <w:pict>
          <v:rect id="_x0000_i4990" style="width:0;height:1.5pt" o:hralign="center" o:hrstd="t" o:hr="t" fillcolor="#a0a0a0" stroked="f"/>
        </w:pict>
      </w:r>
    </w:p>
    <w:p w:rsidR="00150475" w:rsidRDefault="00150475" w:rsidP="00150475">
      <w:pPr>
        <w:pStyle w:val="berschrift1"/>
      </w:pPr>
      <w:r>
        <w:t>3.3.50.145 Schwellenbasierte Maximalmenge</w:t>
      </w:r>
    </w:p>
    <w:p w:rsidR="00150475" w:rsidRDefault="00150475" w:rsidP="00150475">
      <w:pPr>
        <w:pStyle w:val="StandardWeb"/>
      </w:pPr>
      <w:r>
        <w:t>Die zugehörige Maximalmenge lautet</w:t>
      </w:r>
    </w:p>
    <w:p w:rsidR="00150475" w:rsidRDefault="00150475" w:rsidP="00150475">
      <w:pPr>
        <w:pStyle w:val="berschrift1"/>
      </w:pPr>
      <w:r>
        <w:t>[</w:t>
      </w:r>
      <w:r>
        <w:br/>
        <w:t>\operatorname{Max}_{\varepsilon,F}(\mathcal C_F)</w:t>
      </w:r>
    </w:p>
    <w:p w:rsidR="00150475" w:rsidRDefault="00150475" w:rsidP="00150475">
      <w:pPr>
        <w:pStyle w:val="StandardWeb"/>
      </w:pPr>
      <w:r>
        <w:t>{</w:t>
      </w:r>
      <w:r>
        <w:br/>
        <w:t>X\in\mathcal C_F:</w:t>
      </w:r>
      <w:r>
        <w:br/>
        <w:t>\nexists Y\in\mathcal C_F</w:t>
      </w:r>
      <w:r>
        <w:br/>
        <w:t>\text{ mit }</w:t>
      </w:r>
      <w:r>
        <w:br/>
        <w:t>X\prec_{\varepsilon,F}Y</w:t>
      </w:r>
      <w:r>
        <w:br/>
        <w:t>}.</w:t>
      </w:r>
      <w:r>
        <w:br/>
        <w:t>\tag{3.13132}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lastRenderedPageBreak/>
        <w:t>\operatorname{Max}_{\varepsilon,F}(\mathcal C_F)=\{X\in\mathcal C_F:\nexists Y\in\mathcal C_F\text{ mit }X\prec_{\varepsilon,F}Y\}</w:t>
      </w:r>
    </w:p>
    <w:p w:rsidR="00150475" w:rsidRDefault="00E50336" w:rsidP="00150475">
      <w:r>
        <w:pict>
          <v:rect id="_x0000_i4991" style="width:0;height:1.5pt" o:hralign="center" o:hrstd="t" o:hr="t" fillcolor="#a0a0a0" stroked="f"/>
        </w:pict>
      </w:r>
    </w:p>
    <w:p w:rsidR="00150475" w:rsidRDefault="00150475" w:rsidP="00150475">
      <w:pPr>
        <w:pStyle w:val="berschrift1"/>
      </w:pPr>
      <w:r>
        <w:t>3.3.50.146 Definition 3.3.506 – Funktionale Schwellen-Maximalmenge</w:t>
      </w:r>
    </w:p>
    <w:p w:rsidR="00150475" w:rsidRDefault="00150475" w:rsidP="00150475">
      <w:pPr>
        <w:pStyle w:val="berschrift3"/>
      </w:pPr>
      <w:r>
        <w:t>Definition 3.3.506</w:t>
      </w:r>
    </w:p>
    <w:p w:rsidR="00150475" w:rsidRDefault="00150475" w:rsidP="00150475">
      <w:pPr>
        <w:pStyle w:val="StandardWeb"/>
      </w:pPr>
      <w:r>
        <w:t xml:space="preserve">Die </w:t>
      </w:r>
      <w:r>
        <w:rPr>
          <w:rStyle w:val="Fett"/>
        </w:rPr>
        <w:t>funktionale Schwellen-Maximalmenge</w:t>
      </w:r>
      <w:r>
        <w:t xml:space="preserve"> ist</w:t>
      </w:r>
    </w:p>
    <w:p w:rsidR="00150475" w:rsidRDefault="00150475" w:rsidP="00150475">
      <w:pPr>
        <w:pStyle w:val="StandardWeb"/>
      </w:pPr>
      <w:r>
        <w:t>[</w:t>
      </w:r>
      <w:r>
        <w:br/>
        <w:t>\boxed{</w:t>
      </w:r>
      <w:r>
        <w:br/>
        <w:t>\operatorname{Max}_{\varepsilon,F}(\mathcal C_F).</w:t>
      </w:r>
      <w:r>
        <w:br/>
        <w:t>}</w:t>
      </w:r>
      <w:r>
        <w:br/>
        <w:t>\tag{3.13133}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\boxed{\operatorname{Max}_{\varepsilon,F}(\mathcal C_F).}</w:t>
      </w:r>
    </w:p>
    <w:p w:rsidR="00150475" w:rsidRDefault="00E50336" w:rsidP="00150475">
      <w:r>
        <w:pict>
          <v:rect id="_x0000_i4992" style="width:0;height:1.5pt" o:hralign="center" o:hrstd="t" o:hr="t" fillcolor="#a0a0a0" stroked="f"/>
        </w:pict>
      </w:r>
    </w:p>
    <w:p w:rsidR="00150475" w:rsidRDefault="00150475" w:rsidP="00150475">
      <w:pPr>
        <w:pStyle w:val="berschrift1"/>
      </w:pPr>
      <w:r>
        <w:t>3.3.50.147 Grenzfall verschwindender Toleranz</w:t>
      </w:r>
    </w:p>
    <w:p w:rsidR="00150475" w:rsidRDefault="00150475" w:rsidP="00150475">
      <w:pPr>
        <w:pStyle w:val="StandardWeb"/>
      </w:pPr>
      <w:r>
        <w:t>Für</w:t>
      </w:r>
    </w:p>
    <w:p w:rsidR="00150475" w:rsidRDefault="00150475" w:rsidP="00150475">
      <w:pPr>
        <w:pStyle w:val="berschrift1"/>
      </w:pPr>
      <w:r>
        <w:t>[</w:t>
      </w:r>
      <w:r>
        <w:br/>
        <w:t>\varepsilon_F</w:t>
      </w:r>
    </w:p>
    <w:p w:rsidR="00150475" w:rsidRDefault="00150475" w:rsidP="00150475">
      <w:pPr>
        <w:pStyle w:val="StandardWeb"/>
      </w:pPr>
      <w:r>
        <w:t>0</w:t>
      </w:r>
      <w:r>
        <w:br/>
        <w:t>\tag{3.13134}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\varepsilon_F=0</w:t>
      </w:r>
    </w:p>
    <w:p w:rsidR="00150475" w:rsidRDefault="00150475" w:rsidP="00150475">
      <w:pPr>
        <w:pStyle w:val="StandardWeb"/>
      </w:pPr>
      <w:r>
        <w:t>reduziert sich die schwellenbasierte Dominanz bei reellwertiger Bewertung auf</w:t>
      </w:r>
    </w:p>
    <w:p w:rsidR="00150475" w:rsidRDefault="00150475" w:rsidP="00150475">
      <w:pPr>
        <w:pStyle w:val="StandardWeb"/>
      </w:pPr>
      <w:r>
        <w:t>[</w:t>
      </w:r>
      <w:r>
        <w:br/>
        <w:t>X</w:t>
      </w:r>
      <w:r>
        <w:br/>
        <w:t>\prec_{0,F}</w:t>
      </w:r>
      <w:r>
        <w:br/>
        <w:t>Y</w:t>
      </w:r>
      <w:r>
        <w:br/>
        <w:t>\Longleftrightarrow</w:t>
      </w:r>
      <w:r>
        <w:br/>
        <w:t>u_F(X)</w:t>
      </w:r>
      <w:r>
        <w:br/>
        <w:t>&lt;</w:t>
      </w:r>
      <w:r>
        <w:br/>
        <w:t>u_F(Y).</w:t>
      </w:r>
      <w:r>
        <w:br/>
      </w:r>
      <w:r>
        <w:lastRenderedPageBreak/>
        <w:t>\tag{3.13135}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X\prec_{0,F}Y\Longleftrightarrow u_F(X)&lt;u_F(Y)</w:t>
      </w:r>
    </w:p>
    <w:p w:rsidR="00150475" w:rsidRDefault="00E50336" w:rsidP="00150475">
      <w:r>
        <w:pict>
          <v:rect id="_x0000_i4993" style="width:0;height:1.5pt" o:hralign="center" o:hrstd="t" o:hr="t" fillcolor="#a0a0a0" stroked="f"/>
        </w:pict>
      </w:r>
    </w:p>
    <w:p w:rsidR="00150475" w:rsidRDefault="00150475" w:rsidP="00150475">
      <w:pPr>
        <w:pStyle w:val="berschrift1"/>
      </w:pPr>
      <w:r>
        <w:t>3.3.50.148 Positive Toleranz als Primäraxiomkandidat</w:t>
      </w:r>
    </w:p>
    <w:p w:rsidR="00150475" w:rsidRDefault="00150475" w:rsidP="00150475">
      <w:pPr>
        <w:pStyle w:val="StandardWeb"/>
      </w:pPr>
      <w:r>
        <w:t>Ein möglicher Kandidat wäre</w:t>
      </w:r>
    </w:p>
    <w:p w:rsidR="00150475" w:rsidRDefault="00150475" w:rsidP="00150475">
      <w:pPr>
        <w:pStyle w:val="StandardWeb"/>
      </w:pPr>
      <w:r>
        <w:t>[</w:t>
      </w:r>
      <w:r>
        <w:br/>
        <w:t>A_{\varepsilon}</w:t>
      </w:r>
      <w:r>
        <w:br/>
        <w:t>:</w:t>
      </w:r>
      <w:r>
        <w:br/>
        <w:t>\varepsilon_F</w:t>
      </w:r>
    </w:p>
    <w:p w:rsidR="00150475" w:rsidRDefault="00150475" w:rsidP="00150475">
      <w:pPr>
        <w:pStyle w:val="StandardWeb"/>
      </w:pPr>
      <w:r>
        <w:t>0</w:t>
      </w:r>
      <w:r>
        <w:br/>
        <w:t>\quad</w:t>
      </w:r>
      <w:r>
        <w:br/>
        <w:t>\text{für jede Auswahlstruktur}.</w:t>
      </w:r>
      <w:r>
        <w:br/>
        <w:t>\tag{3.13136}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A_{\varepsilon}:\varepsilon_F&gt;0\quad\text{für jede Auswahlstruktur}</w:t>
      </w:r>
    </w:p>
    <w:p w:rsidR="00150475" w:rsidRDefault="00E50336" w:rsidP="00150475">
      <w:r>
        <w:pict>
          <v:rect id="_x0000_i4994" style="width:0;height:1.5pt" o:hralign="center" o:hrstd="t" o:hr="t" fillcolor="#a0a0a0" stroked="f"/>
        </w:pict>
      </w:r>
    </w:p>
    <w:p w:rsidR="00150475" w:rsidRDefault="00150475" w:rsidP="00150475">
      <w:pPr>
        <w:pStyle w:val="berschrift1"/>
      </w:pPr>
      <w:r>
        <w:t>3.3.50.149 Gegenmodell zur universellen positiven Toleranz</w:t>
      </w:r>
    </w:p>
    <w:p w:rsidR="00150475" w:rsidRDefault="00150475" w:rsidP="00150475">
      <w:pPr>
        <w:pStyle w:val="StandardWeb"/>
      </w:pPr>
      <w:r>
        <w:t>Eine Modellklasse kann exakt vergleichen und setzen</w:t>
      </w:r>
    </w:p>
    <w:p w:rsidR="00150475" w:rsidRDefault="00150475" w:rsidP="00150475">
      <w:pPr>
        <w:pStyle w:val="berschrift1"/>
      </w:pPr>
      <w:r>
        <w:t>[</w:t>
      </w:r>
      <w:r>
        <w:br/>
        <w:t>\varepsilon_F</w:t>
      </w:r>
    </w:p>
    <w:p w:rsidR="00150475" w:rsidRDefault="00150475" w:rsidP="00563F88">
      <w:pPr>
        <w:numPr>
          <w:ilvl w:val="0"/>
          <w:numId w:val="608"/>
        </w:numPr>
        <w:spacing w:before="100" w:beforeAutospacing="1" w:after="100" w:afterAutospacing="1"/>
      </w:pPr>
    </w:p>
    <w:p w:rsidR="00150475" w:rsidRDefault="00150475" w:rsidP="00150475">
      <w:pPr>
        <w:pStyle w:val="StandardWeb"/>
      </w:pPr>
      <w:r>
        <w:t>\tag{3.13137}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\varepsilon_F=0</w:t>
      </w:r>
    </w:p>
    <w:p w:rsidR="00150475" w:rsidRDefault="00150475" w:rsidP="00150475">
      <w:pPr>
        <w:pStyle w:val="StandardWeb"/>
      </w:pPr>
      <w:r>
        <w:t>Dadurch bleibt die Vergleichsstruktur wohldefiniert.</w:t>
      </w:r>
    </w:p>
    <w:p w:rsidR="00150475" w:rsidRDefault="00E50336" w:rsidP="00150475">
      <w:r>
        <w:pict>
          <v:rect id="_x0000_i4995" style="width:0;height:1.5pt" o:hralign="center" o:hrstd="t" o:hr="t" fillcolor="#a0a0a0" stroked="f"/>
        </w:pict>
      </w:r>
    </w:p>
    <w:p w:rsidR="00150475" w:rsidRDefault="00150475" w:rsidP="00150475">
      <w:pPr>
        <w:pStyle w:val="berschrift1"/>
      </w:pPr>
      <w:r>
        <w:lastRenderedPageBreak/>
        <w:t>3.3.50.150 Axiomentscheidung zur positiven Toleranz</w:t>
      </w:r>
    </w:p>
    <w:p w:rsidR="00150475" w:rsidRDefault="00150475" w:rsidP="00150475">
      <w:pPr>
        <w:pStyle w:val="StandardWeb"/>
      </w:pPr>
      <w:r>
        <w:t>Damit gilt</w:t>
      </w:r>
    </w:p>
    <w:p w:rsidR="00150475" w:rsidRDefault="00150475" w:rsidP="00150475">
      <w:pPr>
        <w:pStyle w:val="berschrift1"/>
      </w:pPr>
      <w:r>
        <w:t>[</w:t>
      </w:r>
      <w:r>
        <w:br/>
        <w:t>\boxed{</w:t>
      </w:r>
      <w:r>
        <w:br/>
        <w:t>U_{\mathrm{Ax}}</w:t>
      </w:r>
      <w:r>
        <w:br/>
        <w:t>(A_{\varepsilon})</w:t>
      </w:r>
    </w:p>
    <w:p w:rsidR="00150475" w:rsidRDefault="00150475" w:rsidP="00563F88">
      <w:pPr>
        <w:numPr>
          <w:ilvl w:val="0"/>
          <w:numId w:val="609"/>
        </w:numPr>
        <w:spacing w:before="100" w:beforeAutospacing="1" w:after="100" w:afterAutospacing="1"/>
      </w:pPr>
    </w:p>
    <w:p w:rsidR="00150475" w:rsidRDefault="00150475" w:rsidP="00150475">
      <w:pPr>
        <w:pStyle w:val="StandardWeb"/>
      </w:pPr>
      <w:r>
        <w:t>}</w:t>
      </w:r>
      <w:r>
        <w:br/>
        <w:t>\tag{3.13138}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\boxed{U_{\mathrm{Ax}}(A_{\varepsilon})=0.}</w:t>
      </w:r>
    </w:p>
    <w:p w:rsidR="00150475" w:rsidRDefault="00E50336" w:rsidP="00150475">
      <w:r>
        <w:pict>
          <v:rect id="_x0000_i4996" style="width:0;height:1.5pt" o:hralign="center" o:hrstd="t" o:hr="t" fillcolor="#a0a0a0" stroked="f"/>
        </w:pict>
      </w:r>
    </w:p>
    <w:p w:rsidR="00150475" w:rsidRDefault="00150475" w:rsidP="00150475">
      <w:pPr>
        <w:pStyle w:val="berschrift1"/>
      </w:pPr>
      <w:r>
        <w:t>3.3.50.151 Satz 3.3.191 – Positive Vergleichstoleranz ist kein Primäraxiom</w:t>
      </w:r>
    </w:p>
    <w:p w:rsidR="00150475" w:rsidRDefault="00150475" w:rsidP="00150475">
      <w:pPr>
        <w:pStyle w:val="berschrift3"/>
      </w:pPr>
      <w:r>
        <w:t>Satz 3.3.191</w:t>
      </w:r>
    </w:p>
    <w:p w:rsidR="00150475" w:rsidRDefault="00150475" w:rsidP="00150475">
      <w:pPr>
        <w:pStyle w:val="StandardWeb"/>
      </w:pPr>
      <w:r>
        <w:t>Die Forderung, funktionale Vergleichs- und Auswahlstrukturen müssten stets eine strikt positive Toleranzschwelle verwenden, ist keine universell notwendige Voraussetzung des allgemeinen FRZK.</w:t>
      </w:r>
    </w:p>
    <w:p w:rsidR="00150475" w:rsidRDefault="00150475" w:rsidP="00150475">
      <w:pPr>
        <w:pStyle w:val="StandardWeb"/>
      </w:pPr>
      <w:r>
        <w:t>Formal gilt</w:t>
      </w:r>
    </w:p>
    <w:p w:rsidR="00150475" w:rsidRDefault="00150475" w:rsidP="00150475">
      <w:pPr>
        <w:pStyle w:val="berschrift1"/>
      </w:pPr>
      <w:r>
        <w:t>[</w:t>
      </w:r>
      <w:r>
        <w:br/>
        <w:t>\boxed{</w:t>
      </w:r>
      <w:r>
        <w:br/>
        <w:t>U_{\mathrm{Ax}}</w:t>
      </w:r>
      <w:r>
        <w:br/>
        <w:t>(A_{\varepsilon})</w:t>
      </w:r>
    </w:p>
    <w:p w:rsidR="00150475" w:rsidRDefault="00150475" w:rsidP="00563F88">
      <w:pPr>
        <w:numPr>
          <w:ilvl w:val="0"/>
          <w:numId w:val="610"/>
        </w:numPr>
        <w:spacing w:before="100" w:beforeAutospacing="1" w:after="100" w:afterAutospacing="1"/>
      </w:pPr>
    </w:p>
    <w:p w:rsidR="00150475" w:rsidRDefault="00150475" w:rsidP="00150475">
      <w:pPr>
        <w:pStyle w:val="StandardWeb"/>
      </w:pPr>
      <w:r>
        <w:t>}</w:t>
      </w:r>
      <w:r>
        <w:br/>
        <w:t>\tag{3.13139}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lastRenderedPageBreak/>
        <w:t>\boxed{U_{\mathrm{Ax}}(A_{\varepsilon})=0.}</w:t>
      </w:r>
    </w:p>
    <w:p w:rsidR="00150475" w:rsidRDefault="00E50336" w:rsidP="00150475">
      <w:r>
        <w:pict>
          <v:rect id="_x0000_i4997" style="width:0;height:1.5pt" o:hralign="center" o:hrstd="t" o:hr="t" fillcolor="#a0a0a0" stroked="f"/>
        </w:pict>
      </w:r>
    </w:p>
    <w:p w:rsidR="00150475" w:rsidRDefault="00150475" w:rsidP="00150475">
      <w:pPr>
        <w:pStyle w:val="berschrift1"/>
      </w:pPr>
      <w:r>
        <w:t>3.3.50.152 Adaptive Auswahl</w:t>
      </w:r>
    </w:p>
    <w:p w:rsidR="00150475" w:rsidRDefault="00150475" w:rsidP="00150475">
      <w:pPr>
        <w:pStyle w:val="StandardWeb"/>
      </w:pPr>
      <w:r>
        <w:t>Eine Auswahlregel kann selbst vom aktuellen Zustand oder Kontext abhängen.</w:t>
      </w:r>
    </w:p>
    <w:p w:rsidR="00150475" w:rsidRDefault="00150475" w:rsidP="00150475">
      <w:pPr>
        <w:pStyle w:val="StandardWeb"/>
      </w:pPr>
      <w:r>
        <w:t>Ich schreibe</w:t>
      </w:r>
    </w:p>
    <w:p w:rsidR="00150475" w:rsidRDefault="00150475" w:rsidP="00150475">
      <w:pPr>
        <w:pStyle w:val="berschrift1"/>
      </w:pPr>
      <w:r>
        <w:t>[</w:t>
      </w:r>
      <w:r>
        <w:br/>
        <w:t>\operatorname{Sel}_F</w:t>
      </w:r>
    </w:p>
    <w:p w:rsidR="00150475" w:rsidRDefault="00150475" w:rsidP="00150475">
      <w:pPr>
        <w:pStyle w:val="StandardWeb"/>
      </w:pPr>
      <w:r>
        <w:t>\operatorname{Sel}_F(z,c).</w:t>
      </w:r>
      <w:r>
        <w:br/>
        <w:t>\tag{3.13140}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\operatorname{Sel}_F=\operatorname{Sel}_F(z,c)</w:t>
      </w:r>
    </w:p>
    <w:p w:rsidR="00150475" w:rsidRDefault="00E50336" w:rsidP="00150475">
      <w:r>
        <w:pict>
          <v:rect id="_x0000_i4998" style="width:0;height:1.5pt" o:hralign="center" o:hrstd="t" o:hr="t" fillcolor="#a0a0a0" stroked="f"/>
        </w:pict>
      </w:r>
    </w:p>
    <w:p w:rsidR="00150475" w:rsidRDefault="00150475" w:rsidP="00150475">
      <w:pPr>
        <w:pStyle w:val="berschrift1"/>
      </w:pPr>
      <w:r>
        <w:t>3.3.50.153 Definition 3.3.507 – Adaptive funktionale Auswahl</w:t>
      </w:r>
    </w:p>
    <w:p w:rsidR="00150475" w:rsidRDefault="00150475" w:rsidP="00150475">
      <w:pPr>
        <w:pStyle w:val="berschrift3"/>
      </w:pPr>
      <w:r>
        <w:t>Definition 3.3.507</w:t>
      </w:r>
    </w:p>
    <w:p w:rsidR="00150475" w:rsidRDefault="00150475" w:rsidP="00150475">
      <w:pPr>
        <w:pStyle w:val="StandardWeb"/>
      </w:pPr>
      <w:r>
        <w:t xml:space="preserve">Eine funktionale Auswahl heißt </w:t>
      </w:r>
      <w:r>
        <w:rPr>
          <w:rStyle w:val="Fett"/>
        </w:rPr>
        <w:t>adaptiv</w:t>
      </w:r>
      <w:r>
        <w:t>, wenn der verwendete Auswahloperator vom Zustand oder Kontext abhängt:</w:t>
      </w:r>
    </w:p>
    <w:p w:rsidR="00150475" w:rsidRDefault="00150475" w:rsidP="00150475">
      <w:pPr>
        <w:pStyle w:val="StandardWeb"/>
      </w:pPr>
      <w:r>
        <w:t>[</w:t>
      </w:r>
      <w:r>
        <w:br/>
        <w:t>\boxed{</w:t>
      </w:r>
      <w:r>
        <w:br/>
        <w:t>\operatorname{Sel}_F^{(z,c)}</w:t>
      </w:r>
      <w:r>
        <w:br/>
        <w:t>:</w:t>
      </w:r>
      <w:r>
        <w:br/>
        <w:t>\mathcal P(\mathcal X_F)</w:t>
      </w:r>
      <w:r>
        <w:br/>
        <w:t>\rightarrow</w:t>
      </w:r>
      <w:r>
        <w:br/>
        <w:t>\mathcal P(\mathcal X_F).</w:t>
      </w:r>
      <w:r>
        <w:br/>
        <w:t>}</w:t>
      </w:r>
      <w:r>
        <w:br/>
        <w:t>\tag{3.13141}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\boxed{\operatorname{Sel}_F^{(z,c)}:\mathcal P(\mathcal X_F)\rightarrow\mathcal P(\mathcal X_F).}</w:t>
      </w:r>
    </w:p>
    <w:p w:rsidR="00150475" w:rsidRDefault="00E50336" w:rsidP="00150475">
      <w:r>
        <w:pict>
          <v:rect id="_x0000_i4999" style="width:0;height:1.5pt" o:hralign="center" o:hrstd="t" o:hr="t" fillcolor="#a0a0a0" stroked="f"/>
        </w:pict>
      </w:r>
    </w:p>
    <w:p w:rsidR="00150475" w:rsidRDefault="00150475" w:rsidP="00150475">
      <w:pPr>
        <w:pStyle w:val="berschrift1"/>
      </w:pPr>
      <w:r>
        <w:t>3.3.50.154 Auswahlwechsel</w:t>
      </w:r>
    </w:p>
    <w:p w:rsidR="00150475" w:rsidRDefault="00150475" w:rsidP="00150475">
      <w:pPr>
        <w:pStyle w:val="StandardWeb"/>
      </w:pPr>
      <w:r>
        <w:lastRenderedPageBreak/>
        <w:t>Für dieselbe Kandidatenmenge kann gelten</w:t>
      </w:r>
    </w:p>
    <w:p w:rsidR="00150475" w:rsidRDefault="00150475" w:rsidP="00150475">
      <w:pPr>
        <w:pStyle w:val="StandardWeb"/>
      </w:pPr>
      <w:r>
        <w:t>[</w:t>
      </w:r>
      <w:r>
        <w:br/>
        <w:t>\operatorname{Sel}_F^{(z_1,c_1)}</w:t>
      </w:r>
      <w:r>
        <w:br/>
        <w:t>(\mathcal C_F)</w:t>
      </w:r>
      <w:r>
        <w:br/>
        <w:t>\neq</w:t>
      </w:r>
      <w:r>
        <w:br/>
        <w:t>\operatorname{Sel}_F^{(z_2,c_2)}</w:t>
      </w:r>
      <w:r>
        <w:br/>
        <w:t>(\mathcal C_F).</w:t>
      </w:r>
      <w:r>
        <w:br/>
        <w:t>\tag{3.13142}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\operatorname{Sel}_F^{(z_1,c_1)}(\mathcal C_F)\neq\operatorname{Sel}_F^{(z_2,c_2)}(\mathcal C_F)</w:t>
      </w:r>
    </w:p>
    <w:p w:rsidR="00150475" w:rsidRDefault="00E50336" w:rsidP="00150475">
      <w:r>
        <w:pict>
          <v:rect id="_x0000_i5000" style="width:0;height:1.5pt" o:hralign="center" o:hrstd="t" o:hr="t" fillcolor="#a0a0a0" stroked="f"/>
        </w:pict>
      </w:r>
    </w:p>
    <w:p w:rsidR="00150475" w:rsidRDefault="00150475" w:rsidP="00150475">
      <w:pPr>
        <w:pStyle w:val="berschrift1"/>
      </w:pPr>
      <w:r>
        <w:t>3.3.50.155 Definition 3.3.508 – Funktionaler Auswahlwechsel</w:t>
      </w:r>
    </w:p>
    <w:p w:rsidR="00150475" w:rsidRDefault="00150475" w:rsidP="00150475">
      <w:pPr>
        <w:pStyle w:val="berschrift3"/>
      </w:pPr>
      <w:r>
        <w:t>Definition 3.3.508</w:t>
      </w:r>
    </w:p>
    <w:p w:rsidR="00150475" w:rsidRDefault="00150475" w:rsidP="00150475">
      <w:pPr>
        <w:pStyle w:val="StandardWeb"/>
      </w:pPr>
      <w:r>
        <w:t xml:space="preserve">Ein </w:t>
      </w:r>
      <w:r>
        <w:rPr>
          <w:rStyle w:val="Fett"/>
        </w:rPr>
        <w:t>funktionaler Auswahlwechsel</w:t>
      </w:r>
      <w:r>
        <w:t xml:space="preserve"> liegt vor, wenn für dieselbe Kandidatenmenge unter zwei zulässigen Zustands- oder Kontextbedingungen unterschiedliche Auswahlmengen entstehen:</w:t>
      </w:r>
    </w:p>
    <w:p w:rsidR="00150475" w:rsidRDefault="00150475" w:rsidP="00150475">
      <w:pPr>
        <w:pStyle w:val="StandardWeb"/>
      </w:pPr>
      <w:r>
        <w:t>[</w:t>
      </w:r>
      <w:r>
        <w:br/>
        <w:t>\boxed{</w:t>
      </w:r>
      <w:r>
        <w:br/>
        <w:t>\operatorname{Sel}_F^{(z_1,c_1)}(\mathcal C_F)</w:t>
      </w:r>
      <w:r>
        <w:br/>
        <w:t>\neq</w:t>
      </w:r>
      <w:r>
        <w:br/>
        <w:t>\operatorname{Sel}_F^{(z_2,c_2)}(\mathcal C_F).</w:t>
      </w:r>
      <w:r>
        <w:br/>
        <w:t>}</w:t>
      </w:r>
      <w:r>
        <w:br/>
        <w:t>\tag{3.13143}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\boxed{\operatorname{Sel}_F^{(z_1,c_1)}(\mathcal C_F)\neq\operatorname{Sel}_F^{(z_2,c_2)}(\mathcal C_F).}</w:t>
      </w:r>
    </w:p>
    <w:p w:rsidR="00150475" w:rsidRDefault="00E50336" w:rsidP="00150475">
      <w:r>
        <w:pict>
          <v:rect id="_x0000_i5001" style="width:0;height:1.5pt" o:hralign="center" o:hrstd="t" o:hr="t" fillcolor="#a0a0a0" stroked="f"/>
        </w:pict>
      </w:r>
    </w:p>
    <w:p w:rsidR="00150475" w:rsidRDefault="00150475" w:rsidP="00150475">
      <w:pPr>
        <w:pStyle w:val="berschrift1"/>
      </w:pPr>
      <w:r>
        <w:t>3.3.50.156 Stabile Auswahl</w:t>
      </w:r>
    </w:p>
    <w:p w:rsidR="00150475" w:rsidRDefault="00150475" w:rsidP="00150475">
      <w:pPr>
        <w:pStyle w:val="StandardWeb"/>
      </w:pPr>
      <w:r>
        <w:t>Eine Auswahl kann gegenüber einer Menge zulässiger Kontextvariationen unverändert bleiben.</w:t>
      </w:r>
    </w:p>
    <w:p w:rsidR="00150475" w:rsidRDefault="00150475" w:rsidP="00150475">
      <w:pPr>
        <w:pStyle w:val="StandardWeb"/>
      </w:pPr>
      <w:r>
        <w:t>Sei</w:t>
      </w:r>
    </w:p>
    <w:p w:rsidR="00150475" w:rsidRDefault="00150475" w:rsidP="00150475">
      <w:pPr>
        <w:pStyle w:val="StandardWeb"/>
      </w:pPr>
      <w:r>
        <w:t>[</w:t>
      </w:r>
      <w:r>
        <w:br/>
        <w:t>\mathcal N_F(z,c)</w:t>
      </w:r>
      <w:r>
        <w:br/>
      </w:r>
      <w:r>
        <w:lastRenderedPageBreak/>
        <w:t>\tag{3.13144}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\mathcal N_F(z,c)</w:t>
      </w:r>
    </w:p>
    <w:p w:rsidR="00150475" w:rsidRDefault="00150475" w:rsidP="00150475">
      <w:pPr>
        <w:pStyle w:val="StandardWeb"/>
      </w:pPr>
      <w:r>
        <w:t>eine festgelegte Umgebung des Referenzzustands.</w:t>
      </w:r>
    </w:p>
    <w:p w:rsidR="00150475" w:rsidRDefault="00E50336" w:rsidP="00150475">
      <w:r>
        <w:pict>
          <v:rect id="_x0000_i5002" style="width:0;height:1.5pt" o:hralign="center" o:hrstd="t" o:hr="t" fillcolor="#a0a0a0" stroked="f"/>
        </w:pict>
      </w:r>
    </w:p>
    <w:p w:rsidR="00150475" w:rsidRDefault="00150475" w:rsidP="00150475">
      <w:pPr>
        <w:pStyle w:val="berschrift1"/>
      </w:pPr>
      <w:r>
        <w:t>3.3.50.157 Definition 3.3.509 – Lokal stabile funktionale Auswahl</w:t>
      </w:r>
    </w:p>
    <w:p w:rsidR="00150475" w:rsidRDefault="00150475" w:rsidP="00150475">
      <w:pPr>
        <w:pStyle w:val="berschrift3"/>
      </w:pPr>
      <w:r>
        <w:t>Definition 3.3.509</w:t>
      </w:r>
    </w:p>
    <w:p w:rsidR="00150475" w:rsidRDefault="00150475" w:rsidP="00150475">
      <w:pPr>
        <w:pStyle w:val="StandardWeb"/>
      </w:pPr>
      <w:r>
        <w:t xml:space="preserve">Eine Auswahl heißt </w:t>
      </w:r>
      <w:r>
        <w:rPr>
          <w:rStyle w:val="Fett"/>
        </w:rPr>
        <w:t>lokal stabil</w:t>
      </w:r>
      <w:r>
        <w:t xml:space="preserve"> in ((z,c)), wenn</w:t>
      </w:r>
    </w:p>
    <w:p w:rsidR="00150475" w:rsidRDefault="00150475" w:rsidP="00150475">
      <w:pPr>
        <w:pStyle w:val="berschrift1"/>
      </w:pPr>
      <w:r>
        <w:t>[</w:t>
      </w:r>
      <w:r>
        <w:br/>
        <w:t>\boxed{</w:t>
      </w:r>
      <w:r>
        <w:br/>
        <w:t>\operatorname{Sel}_F^{(z',c')}</w:t>
      </w:r>
      <w:r>
        <w:br/>
        <w:t>(\mathcal C_F)</w:t>
      </w:r>
    </w:p>
    <w:p w:rsidR="00150475" w:rsidRDefault="00150475" w:rsidP="00150475">
      <w:pPr>
        <w:pStyle w:val="StandardWeb"/>
      </w:pPr>
      <w:r>
        <w:t>\operatorname{Sel}_F^{(z,c)}</w:t>
      </w:r>
      <w:r>
        <w:br/>
        <w:t>(\mathcal C_F)</w:t>
      </w:r>
      <w:r>
        <w:br/>
        <w:t>\quad</w:t>
      </w:r>
      <w:r>
        <w:br/>
        <w:t>\forall</w:t>
      </w:r>
      <w:r>
        <w:br/>
        <w:t>(z',c')</w:t>
      </w:r>
      <w:r>
        <w:br/>
        <w:t>\in</w:t>
      </w:r>
      <w:r>
        <w:br/>
        <w:t>\mathcal N_F(z,c).</w:t>
      </w:r>
      <w:r>
        <w:br/>
        <w:t>}</w:t>
      </w:r>
      <w:r>
        <w:br/>
        <w:t>\tag{3.13145}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\boxed{\operatorname{Sel}_F^{(z',c')}(\mathcal C_F)=\operatorname{Sel}_F^{(z,c)}(\mathcal C_F)\quad\forall(z',c')\in\mathcal N_F(z,c).}</w:t>
      </w:r>
    </w:p>
    <w:p w:rsidR="00150475" w:rsidRDefault="00E50336" w:rsidP="00150475">
      <w:r>
        <w:pict>
          <v:rect id="_x0000_i5003" style="width:0;height:1.5pt" o:hralign="center" o:hrstd="t" o:hr="t" fillcolor="#a0a0a0" stroked="f"/>
        </w:pict>
      </w:r>
    </w:p>
    <w:p w:rsidR="00150475" w:rsidRDefault="00150475" w:rsidP="00150475">
      <w:pPr>
        <w:pStyle w:val="berschrift1"/>
      </w:pPr>
      <w:r>
        <w:t>3.3.50.158 Instabile Auswahl</w:t>
      </w:r>
    </w:p>
    <w:p w:rsidR="00150475" w:rsidRDefault="00150475" w:rsidP="00150475">
      <w:pPr>
        <w:pStyle w:val="StandardWeb"/>
      </w:pPr>
      <w:r>
        <w:t>Entsprechend liegt lokale Instabilität vor, wenn mindestens eine beliebig kleine zulässige Veränderung die Auswahl ändert.</w:t>
      </w:r>
    </w:p>
    <w:p w:rsidR="00150475" w:rsidRDefault="00150475" w:rsidP="00150475">
      <w:pPr>
        <w:pStyle w:val="StandardWeb"/>
      </w:pPr>
      <w:r>
        <w:t>Formal schreibe ich</w:t>
      </w:r>
    </w:p>
    <w:p w:rsidR="00150475" w:rsidRDefault="00150475" w:rsidP="00150475">
      <w:pPr>
        <w:pStyle w:val="StandardWeb"/>
      </w:pPr>
      <w:r>
        <w:lastRenderedPageBreak/>
        <w:t>[</w:t>
      </w:r>
      <w:r>
        <w:br/>
        <w:t>\exists</w:t>
      </w:r>
      <w:r>
        <w:br/>
        <w:t>(z',c')</w:t>
      </w:r>
      <w:r>
        <w:br/>
        <w:t>\in</w:t>
      </w:r>
      <w:r>
        <w:br/>
        <w:t>\mathcal N_F(z,c):</w:t>
      </w:r>
      <w:r>
        <w:br/>
        <w:t>\operatorname{Sel}_F^{(z',c')}</w:t>
      </w:r>
      <w:r>
        <w:br/>
        <w:t>(\mathcal C_F)</w:t>
      </w:r>
      <w:r>
        <w:br/>
        <w:t>\neq</w:t>
      </w:r>
      <w:r>
        <w:br/>
        <w:t>\operatorname{Sel}_F^{(z,c)}</w:t>
      </w:r>
      <w:r>
        <w:br/>
        <w:t>(\mathcal C_F).</w:t>
      </w:r>
      <w:r>
        <w:br/>
        <w:t>\tag{3.13146}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\exists(z',c')\in\mathcal N_F(z,c):\operatorname{Sel}_F^{(z',c')}(\mathcal C_F)\neq\operatorname{Sel}_F^{(z,c)}(\mathcal C_F)</w:t>
      </w:r>
    </w:p>
    <w:p w:rsidR="00150475" w:rsidRDefault="00E50336" w:rsidP="00150475">
      <w:r>
        <w:pict>
          <v:rect id="_x0000_i5004" style="width:0;height:1.5pt" o:hralign="center" o:hrstd="t" o:hr="t" fillcolor="#a0a0a0" stroked="f"/>
        </w:pict>
      </w:r>
    </w:p>
    <w:p w:rsidR="00150475" w:rsidRDefault="00150475" w:rsidP="00150475">
      <w:pPr>
        <w:pStyle w:val="berschrift1"/>
      </w:pPr>
      <w:r>
        <w:t>3.3.50.159 Definition 3.3.510 – Lokal instabile funktionale Auswahl</w:t>
      </w:r>
    </w:p>
    <w:p w:rsidR="00150475" w:rsidRDefault="00150475" w:rsidP="00150475">
      <w:pPr>
        <w:pStyle w:val="berschrift3"/>
      </w:pPr>
      <w:r>
        <w:t>Definition 3.3.510</w:t>
      </w:r>
    </w:p>
    <w:p w:rsidR="00150475" w:rsidRDefault="00150475" w:rsidP="00150475">
      <w:pPr>
        <w:pStyle w:val="StandardWeb"/>
      </w:pPr>
      <w:r>
        <w:t xml:space="preserve">Eine funktionale Auswahl heißt </w:t>
      </w:r>
      <w:r>
        <w:rPr>
          <w:rStyle w:val="Fett"/>
        </w:rPr>
        <w:t>lokal instabil</w:t>
      </w:r>
      <w:r>
        <w:t>, wenn</w:t>
      </w:r>
    </w:p>
    <w:p w:rsidR="00150475" w:rsidRDefault="00150475" w:rsidP="00150475">
      <w:pPr>
        <w:pStyle w:val="StandardWeb"/>
      </w:pPr>
      <w:r>
        <w:t>[</w:t>
      </w:r>
      <w:r>
        <w:br/>
        <w:t>\boxed{</w:t>
      </w:r>
      <w:r>
        <w:br/>
        <w:t>\exists</w:t>
      </w:r>
      <w:r>
        <w:br/>
        <w:t>(z',c')</w:t>
      </w:r>
      <w:r>
        <w:br/>
        <w:t>\in</w:t>
      </w:r>
      <w:r>
        <w:br/>
        <w:t>\mathcal N_F(z,c):</w:t>
      </w:r>
      <w:r>
        <w:br/>
        <w:t>\operatorname{Sel}_F^{(z',c')}</w:t>
      </w:r>
      <w:r>
        <w:br/>
        <w:t>(\mathcal C_F)</w:t>
      </w:r>
      <w:r>
        <w:br/>
        <w:t>\neq</w:t>
      </w:r>
      <w:r>
        <w:br/>
        <w:t>\operatorname{Sel}_F^{(z,c)}</w:t>
      </w:r>
      <w:r>
        <w:br/>
        <w:t>(\mathcal C_F).</w:t>
      </w:r>
      <w:r>
        <w:br/>
        <w:t>}</w:t>
      </w:r>
      <w:r>
        <w:br/>
        <w:t>\tag{3.13147}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\boxed{\exists(z',c')\in\mathcal N_F(z,c):\operatorname{Sel}_F^{(z',c')}(\mathcal C_F)\neq\operatorname{Sel}_F^{(z,c)}(\mathcal C_F).}</w:t>
      </w:r>
    </w:p>
    <w:p w:rsidR="00150475" w:rsidRDefault="00E50336" w:rsidP="00150475">
      <w:r>
        <w:pict>
          <v:rect id="_x0000_i5005" style="width:0;height:1.5pt" o:hralign="center" o:hrstd="t" o:hr="t" fillcolor="#a0a0a0" stroked="f"/>
        </w:pict>
      </w:r>
    </w:p>
    <w:p w:rsidR="00150475" w:rsidRDefault="00150475" w:rsidP="00150475">
      <w:pPr>
        <w:pStyle w:val="berschrift1"/>
      </w:pPr>
      <w:r>
        <w:lastRenderedPageBreak/>
        <w:t>3.3.50.160 Universelle Auswahlstabilität als Primäraxiomkandidat</w:t>
      </w:r>
    </w:p>
    <w:p w:rsidR="00150475" w:rsidRDefault="00150475" w:rsidP="00150475">
      <w:pPr>
        <w:pStyle w:val="StandardWeb"/>
      </w:pPr>
      <w:r>
        <w:t>Ein möglicher Kandidat wäre</w:t>
      </w:r>
    </w:p>
    <w:p w:rsidR="00150475" w:rsidRDefault="00150475" w:rsidP="00150475">
      <w:pPr>
        <w:pStyle w:val="StandardWeb"/>
      </w:pPr>
      <w:r>
        <w:t>[</w:t>
      </w:r>
      <w:r>
        <w:br/>
        <w:t>A_{\mathrm{sel-stab}}</w:t>
      </w:r>
      <w:r>
        <w:br/>
        <w:t>:</w:t>
      </w:r>
      <w:r>
        <w:br/>
        <w:t>\operatorname{Sel}_F</w:t>
      </w:r>
      <w:r>
        <w:br/>
        <w:t>\text{ ist überall lokal stabil}.</w:t>
      </w:r>
      <w:r>
        <w:br/>
        <w:t>\tag{3.13148}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A_{\mathrm{sel-stab}}:\operatorname{Sel}_F\text{ ist überall lokal stabil}</w:t>
      </w:r>
    </w:p>
    <w:p w:rsidR="00150475" w:rsidRDefault="00E50336" w:rsidP="00150475">
      <w:r>
        <w:pict>
          <v:rect id="_x0000_i5006" style="width:0;height:1.5pt" o:hralign="center" o:hrstd="t" o:hr="t" fillcolor="#a0a0a0" stroked="f"/>
        </w:pict>
      </w:r>
    </w:p>
    <w:p w:rsidR="00150475" w:rsidRDefault="00150475" w:rsidP="00150475">
      <w:pPr>
        <w:pStyle w:val="berschrift1"/>
      </w:pPr>
      <w:r>
        <w:t>3.3.50.161 Gegenmodell zur universellen Auswahlstabilität</w:t>
      </w:r>
    </w:p>
    <w:p w:rsidR="00150475" w:rsidRDefault="00150475" w:rsidP="00150475">
      <w:pPr>
        <w:pStyle w:val="StandardWeb"/>
      </w:pPr>
      <w:r>
        <w:t>Sei eine Entscheidung an einen Schwellenwert gekoppelt:</w:t>
      </w:r>
    </w:p>
    <w:p w:rsidR="00150475" w:rsidRDefault="00150475" w:rsidP="00150475">
      <w:pPr>
        <w:pStyle w:val="berschrift1"/>
      </w:pPr>
      <w:r>
        <w:t>[</w:t>
      </w:r>
      <w:r>
        <w:br/>
        <w:t>\operatorname{Sel}_F(\mathcal C_F)</w:t>
      </w:r>
    </w:p>
    <w:p w:rsidR="00150475" w:rsidRDefault="00150475" w:rsidP="00150475">
      <w:pPr>
        <w:pStyle w:val="StandardWeb"/>
      </w:pPr>
      <w:r>
        <w:t>\begin{cases}</w:t>
      </w:r>
      <w:r>
        <w:br/>
        <w:t>{X}, &amp; \lambda&lt;\lambda^\star,\</w:t>
      </w:r>
      <w:r>
        <w:br/>
        <w:t>{Y}, &amp; \lambda&gt;\lambda^\star.</w:t>
      </w:r>
      <w:r>
        <w:br/>
        <w:t>\end{cases}</w:t>
      </w:r>
      <w:r>
        <w:br/>
        <w:t>\tag{3.13149}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\operatorname{Sel}_F(\mathcal C_F)=\begin{cases}\{X\},&amp;\lambda&lt;\lambda^\star,\\\{Y\},&amp;\lambda&gt;\lambda^\star.\end{cases}</w:t>
      </w:r>
    </w:p>
    <w:p w:rsidR="00150475" w:rsidRDefault="00150475" w:rsidP="00150475">
      <w:pPr>
        <w:pStyle w:val="StandardWeb"/>
      </w:pPr>
      <w:r>
        <w:t>In jeder Umgebung von (\lambda^\star) können unterschiedliche Auswahlresultate auftreten.</w:t>
      </w:r>
    </w:p>
    <w:p w:rsidR="00150475" w:rsidRDefault="00E50336" w:rsidP="00150475">
      <w:r>
        <w:pict>
          <v:rect id="_x0000_i5007" style="width:0;height:1.5pt" o:hralign="center" o:hrstd="t" o:hr="t" fillcolor="#a0a0a0" stroked="f"/>
        </w:pict>
      </w:r>
    </w:p>
    <w:p w:rsidR="00150475" w:rsidRDefault="00150475" w:rsidP="00150475">
      <w:pPr>
        <w:pStyle w:val="berschrift1"/>
      </w:pPr>
      <w:r>
        <w:t>3.3.50.162 Axiomentscheidung zur universellen Auswahlstabilität</w:t>
      </w:r>
    </w:p>
    <w:p w:rsidR="00150475" w:rsidRDefault="00150475" w:rsidP="00150475">
      <w:pPr>
        <w:pStyle w:val="StandardWeb"/>
      </w:pPr>
      <w:r>
        <w:lastRenderedPageBreak/>
        <w:t>Daher gilt</w:t>
      </w:r>
    </w:p>
    <w:p w:rsidR="00150475" w:rsidRDefault="00150475" w:rsidP="00150475">
      <w:pPr>
        <w:pStyle w:val="berschrift1"/>
      </w:pPr>
      <w:r>
        <w:t>[</w:t>
      </w:r>
      <w:r>
        <w:br/>
        <w:t>\boxed{</w:t>
      </w:r>
      <w:r>
        <w:br/>
        <w:t>U_{\mathrm{Ax}}</w:t>
      </w:r>
      <w:r>
        <w:br/>
        <w:t>(A_{\mathrm{sel-stab}})</w:t>
      </w:r>
    </w:p>
    <w:p w:rsidR="00150475" w:rsidRDefault="00150475" w:rsidP="00563F88">
      <w:pPr>
        <w:numPr>
          <w:ilvl w:val="0"/>
          <w:numId w:val="611"/>
        </w:numPr>
        <w:spacing w:before="100" w:beforeAutospacing="1" w:after="100" w:afterAutospacing="1"/>
      </w:pPr>
    </w:p>
    <w:p w:rsidR="00150475" w:rsidRDefault="00150475" w:rsidP="00150475">
      <w:pPr>
        <w:pStyle w:val="StandardWeb"/>
      </w:pPr>
      <w:r>
        <w:t>}</w:t>
      </w:r>
      <w:r>
        <w:br/>
        <w:t>\tag{3.13150}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\boxed{U_{\mathrm{Ax}}(A_{\mathrm{sel-stab}})=0.}</w:t>
      </w:r>
    </w:p>
    <w:p w:rsidR="00150475" w:rsidRDefault="00E50336" w:rsidP="00150475">
      <w:r>
        <w:pict>
          <v:rect id="_x0000_i5008" style="width:0;height:1.5pt" o:hralign="center" o:hrstd="t" o:hr="t" fillcolor="#a0a0a0" stroked="f"/>
        </w:pict>
      </w:r>
    </w:p>
    <w:p w:rsidR="00150475" w:rsidRDefault="00150475" w:rsidP="00150475">
      <w:pPr>
        <w:pStyle w:val="berschrift1"/>
      </w:pPr>
      <w:r>
        <w:t>3.3.50.163 Satz 3.3.192 – Universelle Auswahlstabilität ist kein Primäraxiom</w:t>
      </w:r>
    </w:p>
    <w:p w:rsidR="00150475" w:rsidRDefault="00150475" w:rsidP="00150475">
      <w:pPr>
        <w:pStyle w:val="berschrift3"/>
      </w:pPr>
      <w:r>
        <w:t>Satz 3.3.192</w:t>
      </w:r>
    </w:p>
    <w:p w:rsidR="00150475" w:rsidRDefault="00150475" w:rsidP="00150475">
      <w:pPr>
        <w:pStyle w:val="StandardWeb"/>
      </w:pPr>
      <w:r>
        <w:t>Die Forderung, jede funktionale Auswahlstruktur müsse gegenüber sämtlichen zulässigen Zustands- oder Kontextvariationen lokal stabil sein, ist keine universell notwendige Voraussetzung des allgemeinen FRZK.</w:t>
      </w:r>
    </w:p>
    <w:p w:rsidR="00150475" w:rsidRDefault="00150475" w:rsidP="00150475">
      <w:pPr>
        <w:pStyle w:val="StandardWeb"/>
      </w:pPr>
      <w:r>
        <w:t>Formal gilt</w:t>
      </w:r>
    </w:p>
    <w:p w:rsidR="00150475" w:rsidRDefault="00150475" w:rsidP="00150475">
      <w:pPr>
        <w:pStyle w:val="berschrift1"/>
      </w:pPr>
      <w:r>
        <w:t>[</w:t>
      </w:r>
      <w:r>
        <w:br/>
        <w:t>\boxed{</w:t>
      </w:r>
      <w:r>
        <w:br/>
        <w:t>U_{\mathrm{Ax}}</w:t>
      </w:r>
      <w:r>
        <w:br/>
        <w:t>(A_{\mathrm{sel-stab}})</w:t>
      </w:r>
    </w:p>
    <w:p w:rsidR="00150475" w:rsidRDefault="00150475" w:rsidP="00563F88">
      <w:pPr>
        <w:numPr>
          <w:ilvl w:val="0"/>
          <w:numId w:val="612"/>
        </w:numPr>
        <w:spacing w:before="100" w:beforeAutospacing="1" w:after="100" w:afterAutospacing="1"/>
      </w:pPr>
    </w:p>
    <w:p w:rsidR="00150475" w:rsidRDefault="00150475" w:rsidP="00150475">
      <w:pPr>
        <w:pStyle w:val="StandardWeb"/>
      </w:pPr>
      <w:r>
        <w:t>}</w:t>
      </w:r>
      <w:r>
        <w:br/>
        <w:t>\tag{3.13151}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\boxed{U_{\mathrm{Ax}}(A_{\mathrm{sel-stab}})=0.}</w:t>
      </w:r>
    </w:p>
    <w:p w:rsidR="00150475" w:rsidRDefault="00E50336" w:rsidP="00150475">
      <w:r>
        <w:lastRenderedPageBreak/>
        <w:pict>
          <v:rect id="_x0000_i5009" style="width:0;height:1.5pt" o:hralign="center" o:hrstd="t" o:hr="t" fillcolor="#a0a0a0" stroked="f"/>
        </w:pict>
      </w:r>
    </w:p>
    <w:p w:rsidR="00150475" w:rsidRDefault="00150475" w:rsidP="00150475">
      <w:pPr>
        <w:pStyle w:val="berschrift1"/>
      </w:pPr>
      <w:r>
        <w:t>3.3.50.164 Kriterienkonflikt</w:t>
      </w:r>
    </w:p>
    <w:p w:rsidR="00150475" w:rsidRDefault="00150475" w:rsidP="00150475">
      <w:pPr>
        <w:pStyle w:val="StandardWeb"/>
      </w:pPr>
      <w:r>
        <w:t>Bei einer mehrkriteriellen Bewertung können zwei Kandidaten in unterschiedlichen Kriterien jeweils besser abschneiden.</w:t>
      </w:r>
    </w:p>
    <w:p w:rsidR="00150475" w:rsidRDefault="00150475" w:rsidP="00150475">
      <w:pPr>
        <w:pStyle w:val="StandardWeb"/>
      </w:pPr>
      <w:r>
        <w:t>Es kann gelten</w:t>
      </w:r>
    </w:p>
    <w:p w:rsidR="00150475" w:rsidRDefault="00150475" w:rsidP="00150475">
      <w:pPr>
        <w:pStyle w:val="StandardWeb"/>
      </w:pPr>
      <w:r>
        <w:t>[</w:t>
      </w:r>
      <w:r>
        <w:br/>
        <w:t>u_1(X)</w:t>
      </w:r>
    </w:p>
    <w:p w:rsidR="00150475" w:rsidRDefault="00150475" w:rsidP="00150475">
      <w:pPr>
        <w:pStyle w:val="StandardWeb"/>
      </w:pPr>
      <w:r>
        <w:t>u_1(Y)</w:t>
      </w:r>
      <w:r>
        <w:br/>
        <w:t>\tag{3.13152}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u_1(X)&gt;u_1(Y)</w:t>
      </w:r>
    </w:p>
    <w:p w:rsidR="00150475" w:rsidRDefault="00150475" w:rsidP="00150475">
      <w:pPr>
        <w:pStyle w:val="StandardWeb"/>
      </w:pPr>
      <w:r>
        <w:t>und gleichzeitig</w:t>
      </w:r>
    </w:p>
    <w:p w:rsidR="00150475" w:rsidRDefault="00150475" w:rsidP="00150475">
      <w:pPr>
        <w:pStyle w:val="StandardWeb"/>
      </w:pPr>
      <w:r>
        <w:t>[</w:t>
      </w:r>
      <w:r>
        <w:br/>
        <w:t>u_2(X)</w:t>
      </w:r>
      <w:r>
        <w:br/>
        <w:t>&lt;</w:t>
      </w:r>
      <w:r>
        <w:br/>
        <w:t>u_2(Y).</w:t>
      </w:r>
      <w:r>
        <w:br/>
        <w:t>\tag{3.13153}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u_2(X)&lt;u_2(Y)</w:t>
      </w:r>
    </w:p>
    <w:p w:rsidR="00150475" w:rsidRDefault="00E50336" w:rsidP="00150475">
      <w:r>
        <w:pict>
          <v:rect id="_x0000_i5010" style="width:0;height:1.5pt" o:hralign="center" o:hrstd="t" o:hr="t" fillcolor="#a0a0a0" stroked="f"/>
        </w:pict>
      </w:r>
    </w:p>
    <w:p w:rsidR="00150475" w:rsidRDefault="00150475" w:rsidP="00150475">
      <w:pPr>
        <w:pStyle w:val="berschrift1"/>
      </w:pPr>
      <w:r>
        <w:t>3.3.50.165 Definition 3.3.511 – Funktionaler Kriterienkonflikt</w:t>
      </w:r>
    </w:p>
    <w:p w:rsidR="00150475" w:rsidRDefault="00150475" w:rsidP="00150475">
      <w:pPr>
        <w:pStyle w:val="berschrift3"/>
      </w:pPr>
      <w:r>
        <w:t>Definition 3.3.511</w:t>
      </w:r>
    </w:p>
    <w:p w:rsidR="00150475" w:rsidRDefault="00150475" w:rsidP="00150475">
      <w:pPr>
        <w:pStyle w:val="StandardWeb"/>
      </w:pPr>
      <w:r>
        <w:t xml:space="preserve">Ein </w:t>
      </w:r>
      <w:r>
        <w:rPr>
          <w:rStyle w:val="Fett"/>
        </w:rPr>
        <w:t>funktionaler Kriterienkonflikt</w:t>
      </w:r>
      <w:r>
        <w:t xml:space="preserve"> zwischen (X) und (Y) liegt vor, wenn mindestens zwei Kriterien entgegengesetzte Rangrichtungen erzeugen:</w:t>
      </w:r>
    </w:p>
    <w:p w:rsidR="00150475" w:rsidRDefault="00150475" w:rsidP="00150475">
      <w:pPr>
        <w:pStyle w:val="StandardWeb"/>
      </w:pPr>
      <w:r>
        <w:t>[</w:t>
      </w:r>
      <w:r>
        <w:br/>
        <w:t>\boxed{</w:t>
      </w:r>
      <w:r>
        <w:br/>
        <w:t>\exists i,j:</w:t>
      </w:r>
      <w:r>
        <w:br/>
        <w:t>u_i(X)&gt;u_i(Y)</w:t>
      </w:r>
      <w:r>
        <w:br/>
        <w:t>\land</w:t>
      </w:r>
      <w:r>
        <w:br/>
        <w:t>u_j(X)&lt;u_j(Y).</w:t>
      </w:r>
      <w:r>
        <w:br/>
        <w:t>}</w:t>
      </w:r>
      <w:r>
        <w:br/>
      </w:r>
      <w:r>
        <w:lastRenderedPageBreak/>
        <w:t>\tag{3.13154}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\boxed{\exists i,j:u_i(X)&gt;u_i(Y)\land u_j(X)&lt;u_j(Y).}</w:t>
      </w:r>
    </w:p>
    <w:p w:rsidR="00150475" w:rsidRDefault="00E50336" w:rsidP="00150475">
      <w:r>
        <w:pict>
          <v:rect id="_x0000_i5011" style="width:0;height:1.5pt" o:hralign="center" o:hrstd="t" o:hr="t" fillcolor="#a0a0a0" stroked="f"/>
        </w:pict>
      </w:r>
    </w:p>
    <w:p w:rsidR="00150475" w:rsidRDefault="00150475" w:rsidP="00150475">
      <w:pPr>
        <w:pStyle w:val="berschrift1"/>
      </w:pPr>
      <w:r>
        <w:t>3.3.50.166 Konfliktauflösungsoperator</w:t>
      </w:r>
    </w:p>
    <w:p w:rsidR="00150475" w:rsidRDefault="00150475" w:rsidP="00150475">
      <w:pPr>
        <w:pStyle w:val="StandardWeb"/>
      </w:pPr>
      <w:r>
        <w:t>Ein Modell kann einen eigenen Operator zur Auflösung solcher Konflikte definieren:</w:t>
      </w:r>
    </w:p>
    <w:p w:rsidR="00150475" w:rsidRDefault="00150475" w:rsidP="00150475">
      <w:pPr>
        <w:pStyle w:val="StandardWeb"/>
      </w:pPr>
      <w:r>
        <w:t>[</w:t>
      </w:r>
      <w:r>
        <w:br/>
        <w:t>\mathcal R_F^{\mathrm{conf}}</w:t>
      </w:r>
      <w:r>
        <w:br/>
        <w:t>:</w:t>
      </w:r>
      <w:r>
        <w:br/>
        <w:t>\mathcal C_F</w:t>
      </w:r>
      <w:r>
        <w:br/>
        <w:t>\times</w:t>
      </w:r>
      <w:r>
        <w:br/>
        <w:t>\mathcal U_F</w:t>
      </w:r>
      <w:r>
        <w:br/>
        <w:t>\rightarrow</w:t>
      </w:r>
      <w:r>
        <w:br/>
        <w:t>\mathcal P(\mathcal C_F).</w:t>
      </w:r>
      <w:r>
        <w:br/>
        <w:t>\tag{3.13155}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\mathcal R_F^{\mathrm{conf}}:\mathcal C_F\times\mathcal U_F\rightarrow\mathcal P(\mathcal C_F)</w:t>
      </w:r>
    </w:p>
    <w:p w:rsidR="00150475" w:rsidRDefault="00E50336" w:rsidP="00150475">
      <w:r>
        <w:pict>
          <v:rect id="_x0000_i5012" style="width:0;height:1.5pt" o:hralign="center" o:hrstd="t" o:hr="t" fillcolor="#a0a0a0" stroked="f"/>
        </w:pict>
      </w:r>
    </w:p>
    <w:p w:rsidR="00150475" w:rsidRDefault="00150475" w:rsidP="00150475">
      <w:pPr>
        <w:pStyle w:val="berschrift1"/>
      </w:pPr>
      <w:r>
        <w:t>3.3.50.167 Definition 3.3.512 – Funktionaler Konfliktauflösungsoperator</w:t>
      </w:r>
    </w:p>
    <w:p w:rsidR="00150475" w:rsidRDefault="00150475" w:rsidP="00150475">
      <w:pPr>
        <w:pStyle w:val="berschrift3"/>
      </w:pPr>
      <w:r>
        <w:t>Definition 3.3.512</w:t>
      </w:r>
    </w:p>
    <w:p w:rsidR="00150475" w:rsidRDefault="00150475" w:rsidP="00150475">
      <w:pPr>
        <w:pStyle w:val="StandardWeb"/>
      </w:pPr>
      <w:r>
        <w:t xml:space="preserve">Ein </w:t>
      </w:r>
      <w:r>
        <w:rPr>
          <w:rStyle w:val="Fett"/>
        </w:rPr>
        <w:t>funktionaler Konfliktauflösungsoperator</w:t>
      </w:r>
      <w:r>
        <w:t xml:space="preserve"> ist eine modellabhängige Abbildung</w:t>
      </w:r>
    </w:p>
    <w:p w:rsidR="00150475" w:rsidRDefault="00150475" w:rsidP="00150475">
      <w:pPr>
        <w:pStyle w:val="StandardWeb"/>
      </w:pPr>
      <w:r>
        <w:t>[</w:t>
      </w:r>
      <w:r>
        <w:br/>
        <w:t>\boxed{</w:t>
      </w:r>
      <w:r>
        <w:br/>
        <w:t>\mathcal R_F^{\mathrm{conf}}</w:t>
      </w:r>
      <w:r>
        <w:br/>
        <w:t>:</w:t>
      </w:r>
      <w:r>
        <w:br/>
        <w:t>\mathcal C_F</w:t>
      </w:r>
      <w:r>
        <w:br/>
        <w:t>\times</w:t>
      </w:r>
      <w:r>
        <w:br/>
        <w:t>\mathcal U_F</w:t>
      </w:r>
      <w:r>
        <w:br/>
        <w:t>\rightarrow</w:t>
      </w:r>
      <w:r>
        <w:br/>
        <w:t>\mathcal P(\mathcal C_F),</w:t>
      </w:r>
      <w:r>
        <w:br/>
        <w:t>}</w:t>
      </w:r>
      <w:r>
        <w:br/>
        <w:t>\tag{3.13156}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lastRenderedPageBreak/>
        <w:t>\boxed{\mathcal R_F^{\mathrm{conf}}:\mathcal C_F\times\mathcal U_F\rightarrow\mathcal P(\mathcal C_F),}</w:t>
      </w:r>
    </w:p>
    <w:p w:rsidR="00150475" w:rsidRDefault="00150475" w:rsidP="00150475">
      <w:pPr>
        <w:pStyle w:val="StandardWeb"/>
      </w:pPr>
      <w:r>
        <w:t>die bei widersprüchlichen Kriterienbewertungen eine zulässige Auswahl oder Restmenge bestimmt.</w:t>
      </w:r>
    </w:p>
    <w:p w:rsidR="00150475" w:rsidRDefault="00E50336" w:rsidP="00150475">
      <w:r>
        <w:pict>
          <v:rect id="_x0000_i5013" style="width:0;height:1.5pt" o:hralign="center" o:hrstd="t" o:hr="t" fillcolor="#a0a0a0" stroked="f"/>
        </w:pict>
      </w:r>
    </w:p>
    <w:p w:rsidR="00150475" w:rsidRDefault="00150475" w:rsidP="00150475">
      <w:pPr>
        <w:pStyle w:val="berschrift1"/>
      </w:pPr>
      <w:r>
        <w:t>3.3.50.168 Mehrere Konfliktauflösungen</w:t>
      </w:r>
    </w:p>
    <w:p w:rsidR="00150475" w:rsidRDefault="00150475" w:rsidP="00150475">
      <w:pPr>
        <w:pStyle w:val="StandardWeb"/>
      </w:pPr>
      <w:r>
        <w:t>Für denselben Kriterienkonflikt können verschiedene zulässige Regeln existieren:</w:t>
      </w:r>
    </w:p>
    <w:p w:rsidR="00150475" w:rsidRDefault="00150475" w:rsidP="00150475">
      <w:pPr>
        <w:pStyle w:val="StandardWeb"/>
      </w:pPr>
      <w:r>
        <w:t>[</w:t>
      </w:r>
      <w:r>
        <w:br/>
        <w:t>\mathcal R_{F,1}^{\mathrm{conf}}</w:t>
      </w:r>
      <w:r>
        <w:br/>
        <w:t>\neq</w:t>
      </w:r>
      <w:r>
        <w:br/>
        <w:t>\mathcal R_{F,2}^{\mathrm{conf}}.</w:t>
      </w:r>
      <w:r>
        <w:br/>
        <w:t>\tag{3.13157}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\mathcal R_{F,1}^{\mathrm{conf}}\neq\mathcal R_{F,2}^{\mathrm{conf}}</w:t>
      </w:r>
    </w:p>
    <w:p w:rsidR="00150475" w:rsidRDefault="00150475" w:rsidP="00150475">
      <w:pPr>
        <w:pStyle w:val="StandardWeb"/>
      </w:pPr>
      <w:r>
        <w:t>Dadurch können unterschiedliche Auswahlmengen entstehen:</w:t>
      </w:r>
    </w:p>
    <w:p w:rsidR="00150475" w:rsidRDefault="00150475" w:rsidP="00150475">
      <w:pPr>
        <w:pStyle w:val="StandardWeb"/>
      </w:pPr>
      <w:r>
        <w:t>[</w:t>
      </w:r>
      <w:r>
        <w:br/>
        <w:t>\mathcal R_{F,1}^{\mathrm{conf}}(\mathcal C_F)</w:t>
      </w:r>
      <w:r>
        <w:br/>
        <w:t>\neq</w:t>
      </w:r>
      <w:r>
        <w:br/>
        <w:t>\mathcal R_{F,2}^{\mathrm{conf}}(\mathcal C_F).</w:t>
      </w:r>
      <w:r>
        <w:br/>
        <w:t>\tag{3.13158}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\mathcal R_{F,1}^{\mathrm{conf}}(\mathcal C_F)\neq\mathcal R_{F,2}^{\mathrm{conf}}(\mathcal C_F)</w:t>
      </w:r>
    </w:p>
    <w:p w:rsidR="00150475" w:rsidRDefault="00E50336" w:rsidP="00150475">
      <w:r>
        <w:pict>
          <v:rect id="_x0000_i5014" style="width:0;height:1.5pt" o:hralign="center" o:hrstd="t" o:hr="t" fillcolor="#a0a0a0" stroked="f"/>
        </w:pict>
      </w:r>
    </w:p>
    <w:p w:rsidR="00150475" w:rsidRDefault="00150475" w:rsidP="00150475">
      <w:pPr>
        <w:pStyle w:val="berschrift1"/>
      </w:pPr>
      <w:r>
        <w:t>3.3.50.169 Universell eindeutige Konfliktauflösung als Primäraxiomkandidat</w:t>
      </w:r>
    </w:p>
    <w:p w:rsidR="00150475" w:rsidRDefault="00150475" w:rsidP="00150475">
      <w:pPr>
        <w:pStyle w:val="StandardWeb"/>
      </w:pPr>
      <w:r>
        <w:t>Der entsprechende Kandidat wäre</w:t>
      </w:r>
    </w:p>
    <w:p w:rsidR="00150475" w:rsidRDefault="00150475" w:rsidP="00150475">
      <w:pPr>
        <w:pStyle w:val="StandardWeb"/>
      </w:pPr>
      <w:r>
        <w:t>[</w:t>
      </w:r>
      <w:r>
        <w:br/>
        <w:t>A_{\mathrm{conf}}</w:t>
      </w:r>
      <w:r>
        <w:br/>
        <w:t>:</w:t>
      </w:r>
      <w:r>
        <w:br/>
        <w:t>\exists!</w:t>
      </w:r>
      <w:r>
        <w:br/>
        <w:t>\mathcal R_F^{\mathrm{conf}}</w:t>
      </w:r>
      <w:r>
        <w:br/>
        <w:t>\text{ für jeden Kriterienkonflikt}.</w:t>
      </w:r>
      <w:r>
        <w:br/>
      </w:r>
      <w:r>
        <w:lastRenderedPageBreak/>
        <w:t>\tag{3.13159}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A_{\mathrm{conf}}:\exists!\mathcal R_F^{\mathrm{conf}}\text{ für jeden Kriterienkonflikt}</w:t>
      </w:r>
    </w:p>
    <w:p w:rsidR="00150475" w:rsidRDefault="00E50336" w:rsidP="00150475">
      <w:r>
        <w:pict>
          <v:rect id="_x0000_i5015" style="width:0;height:1.5pt" o:hralign="center" o:hrstd="t" o:hr="t" fillcolor="#a0a0a0" stroked="f"/>
        </w:pict>
      </w:r>
    </w:p>
    <w:p w:rsidR="00150475" w:rsidRDefault="00150475" w:rsidP="00150475">
      <w:pPr>
        <w:pStyle w:val="berschrift1"/>
      </w:pPr>
      <w:r>
        <w:t>3.3.50.170 Gegenmodell</w:t>
      </w:r>
    </w:p>
    <w:p w:rsidR="00150475" w:rsidRDefault="00150475" w:rsidP="00150475">
      <w:pPr>
        <w:pStyle w:val="StandardWeb"/>
      </w:pPr>
      <w:r>
        <w:t>Eine Modellklasse kann zwei zulässige Konfliktauflösungen verwenden:</w:t>
      </w:r>
    </w:p>
    <w:p w:rsidR="00150475" w:rsidRDefault="00150475" w:rsidP="00150475">
      <w:pPr>
        <w:pStyle w:val="StandardWeb"/>
      </w:pPr>
      <w:r>
        <w:t>[</w:t>
      </w:r>
      <w:r>
        <w:br/>
        <w:t>\mathcal R_{F,1}^{\mathrm{conf}}</w:t>
      </w:r>
      <w:r>
        <w:br/>
        <w:t>\neq</w:t>
      </w:r>
      <w:r>
        <w:br/>
        <w:t>\mathcal R_{F,2}^{\mathrm{conf}}.</w:t>
      </w:r>
      <w:r>
        <w:br/>
        <w:t>\tag{3.13160}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\mathcal R_{F,1}^{\mathrm{conf}}\neq\mathcal R_{F,2}^{\mathrm{conf}}</w:t>
      </w:r>
    </w:p>
    <w:p w:rsidR="00150475" w:rsidRDefault="00150475" w:rsidP="00150475">
      <w:pPr>
        <w:pStyle w:val="StandardWeb"/>
      </w:pPr>
      <w:r>
        <w:t>Beide bleiben mathematisch konsistent.</w:t>
      </w:r>
    </w:p>
    <w:p w:rsidR="00150475" w:rsidRDefault="00E50336" w:rsidP="00150475">
      <w:r>
        <w:pict>
          <v:rect id="_x0000_i5016" style="width:0;height:1.5pt" o:hralign="center" o:hrstd="t" o:hr="t" fillcolor="#a0a0a0" stroked="f"/>
        </w:pict>
      </w:r>
    </w:p>
    <w:p w:rsidR="00150475" w:rsidRDefault="00150475" w:rsidP="00150475">
      <w:pPr>
        <w:pStyle w:val="berschrift1"/>
      </w:pPr>
      <w:r>
        <w:t>3.3.50.171 Axiomentscheidung zur eindeutigen Konfliktauflösung</w:t>
      </w:r>
    </w:p>
    <w:p w:rsidR="00150475" w:rsidRDefault="00150475" w:rsidP="00150475">
      <w:pPr>
        <w:pStyle w:val="StandardWeb"/>
      </w:pPr>
      <w:r>
        <w:t>Damit folgt</w:t>
      </w:r>
    </w:p>
    <w:p w:rsidR="00150475" w:rsidRDefault="00150475" w:rsidP="00150475">
      <w:pPr>
        <w:pStyle w:val="berschrift1"/>
      </w:pPr>
      <w:r>
        <w:t>[</w:t>
      </w:r>
      <w:r>
        <w:br/>
        <w:t>\boxed{</w:t>
      </w:r>
      <w:r>
        <w:br/>
        <w:t>U_{\mathrm{Ax}}</w:t>
      </w:r>
      <w:r>
        <w:br/>
        <w:t>(A_{\mathrm{conf}})</w:t>
      </w:r>
    </w:p>
    <w:p w:rsidR="00150475" w:rsidRDefault="00150475" w:rsidP="00563F88">
      <w:pPr>
        <w:numPr>
          <w:ilvl w:val="0"/>
          <w:numId w:val="613"/>
        </w:numPr>
        <w:spacing w:before="100" w:beforeAutospacing="1" w:after="100" w:afterAutospacing="1"/>
      </w:pPr>
    </w:p>
    <w:p w:rsidR="00150475" w:rsidRDefault="00150475" w:rsidP="00150475">
      <w:pPr>
        <w:pStyle w:val="StandardWeb"/>
      </w:pPr>
      <w:r>
        <w:t>}</w:t>
      </w:r>
      <w:r>
        <w:br/>
        <w:t>\tag{3.13161}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\boxed{U_{\mathrm{Ax}}(A_{\mathrm{conf}})=0.}</w:t>
      </w:r>
    </w:p>
    <w:p w:rsidR="00150475" w:rsidRDefault="00E50336" w:rsidP="00150475">
      <w:r>
        <w:lastRenderedPageBreak/>
        <w:pict>
          <v:rect id="_x0000_i5017" style="width:0;height:1.5pt" o:hralign="center" o:hrstd="t" o:hr="t" fillcolor="#a0a0a0" stroked="f"/>
        </w:pict>
      </w:r>
    </w:p>
    <w:p w:rsidR="00150475" w:rsidRDefault="00150475" w:rsidP="00150475">
      <w:pPr>
        <w:pStyle w:val="berschrift1"/>
      </w:pPr>
      <w:r>
        <w:t>3.3.50.172 Satz 3.3.193 – Universell eindeutige Konfliktauflösung ist kein Primäraxiom</w:t>
      </w:r>
    </w:p>
    <w:p w:rsidR="00150475" w:rsidRDefault="00150475" w:rsidP="00150475">
      <w:pPr>
        <w:pStyle w:val="berschrift3"/>
      </w:pPr>
      <w:r>
        <w:t>Satz 3.3.193</w:t>
      </w:r>
    </w:p>
    <w:p w:rsidR="00150475" w:rsidRDefault="00150475" w:rsidP="00150475">
      <w:pPr>
        <w:pStyle w:val="StandardWeb"/>
      </w:pPr>
      <w:r>
        <w:t>Die Forderung, jeder funktionale Kriterienkonflikt müsse durch genau eine universell vorgegebene Regel aufgelöst werden, ist keine universell notwendige Voraussetzung des allgemeinen FRZK.</w:t>
      </w:r>
    </w:p>
    <w:p w:rsidR="00150475" w:rsidRDefault="00150475" w:rsidP="00150475">
      <w:pPr>
        <w:pStyle w:val="StandardWeb"/>
      </w:pPr>
      <w:r>
        <w:t>Formal gilt</w:t>
      </w:r>
    </w:p>
    <w:p w:rsidR="00150475" w:rsidRDefault="00150475" w:rsidP="00150475">
      <w:pPr>
        <w:pStyle w:val="berschrift1"/>
      </w:pPr>
      <w:r>
        <w:t>[</w:t>
      </w:r>
      <w:r>
        <w:br/>
        <w:t>\boxed{</w:t>
      </w:r>
      <w:r>
        <w:br/>
        <w:t>U_{\mathrm{Ax}}</w:t>
      </w:r>
      <w:r>
        <w:br/>
        <w:t>(A_{\mathrm{conf}})</w:t>
      </w:r>
    </w:p>
    <w:p w:rsidR="00150475" w:rsidRDefault="00150475" w:rsidP="00563F88">
      <w:pPr>
        <w:numPr>
          <w:ilvl w:val="0"/>
          <w:numId w:val="614"/>
        </w:numPr>
        <w:spacing w:before="100" w:beforeAutospacing="1" w:after="100" w:afterAutospacing="1"/>
      </w:pPr>
    </w:p>
    <w:p w:rsidR="00150475" w:rsidRDefault="00150475" w:rsidP="00150475">
      <w:pPr>
        <w:pStyle w:val="StandardWeb"/>
      </w:pPr>
      <w:r>
        <w:t>}</w:t>
      </w:r>
      <w:r>
        <w:br/>
        <w:t>\tag{3.13162}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\boxed{U_{\mathrm{Ax}}(A_{\mathrm{conf}})=0.}</w:t>
      </w:r>
    </w:p>
    <w:p w:rsidR="00150475" w:rsidRDefault="00E50336" w:rsidP="00150475">
      <w:r>
        <w:pict>
          <v:rect id="_x0000_i5018" style="width:0;height:1.5pt" o:hralign="center" o:hrstd="t" o:hr="t" fillcolor="#a0a0a0" stroked="f"/>
        </w:pict>
      </w:r>
    </w:p>
    <w:p w:rsidR="00150475" w:rsidRDefault="00150475" w:rsidP="00150475">
      <w:pPr>
        <w:pStyle w:val="berschrift1"/>
      </w:pPr>
      <w:r>
        <w:t>3.3.50.173 Auswahlkonsistenz bei Teilmengen</w:t>
      </w:r>
    </w:p>
    <w:p w:rsidR="00150475" w:rsidRDefault="00150475" w:rsidP="00150475">
      <w:pPr>
        <w:pStyle w:val="StandardWeb"/>
      </w:pPr>
      <w:r>
        <w:t>Ein weiterer möglicher Strukturparameter betrifft die Frage, ob eine Auswahl bei einer Einschränkung der Kandidatenmenge erhalten bleibt.</w:t>
      </w:r>
    </w:p>
    <w:p w:rsidR="00150475" w:rsidRDefault="00150475" w:rsidP="00150475">
      <w:pPr>
        <w:pStyle w:val="StandardWeb"/>
      </w:pPr>
      <w:r>
        <w:t>Seien</w:t>
      </w:r>
    </w:p>
    <w:p w:rsidR="00150475" w:rsidRDefault="00150475" w:rsidP="00150475">
      <w:pPr>
        <w:pStyle w:val="StandardWeb"/>
      </w:pPr>
      <w:r>
        <w:t>[</w:t>
      </w:r>
      <w:r>
        <w:br/>
        <w:t>\mathcal C_1</w:t>
      </w:r>
      <w:r>
        <w:br/>
        <w:t>\subseteq</w:t>
      </w:r>
      <w:r>
        <w:br/>
        <w:t>\mathcal C_2.</w:t>
      </w:r>
      <w:r>
        <w:br/>
        <w:t>\tag{3.13163}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\mathcal C_1\subseteq\mathcal C_2</w:t>
      </w:r>
    </w:p>
    <w:p w:rsidR="00150475" w:rsidRDefault="00E50336" w:rsidP="00150475">
      <w:r>
        <w:lastRenderedPageBreak/>
        <w:pict>
          <v:rect id="_x0000_i5019" style="width:0;height:1.5pt" o:hralign="center" o:hrstd="t" o:hr="t" fillcolor="#a0a0a0" stroked="f"/>
        </w:pict>
      </w:r>
    </w:p>
    <w:p w:rsidR="00150475" w:rsidRDefault="00150475" w:rsidP="00150475">
      <w:pPr>
        <w:pStyle w:val="berschrift1"/>
      </w:pPr>
      <w:r>
        <w:t>3.3.50.174 Definition 3.3.513 – Funktionale Teilmengenkonsistenz</w:t>
      </w:r>
    </w:p>
    <w:p w:rsidR="00150475" w:rsidRDefault="00150475" w:rsidP="00150475">
      <w:pPr>
        <w:pStyle w:val="berschrift3"/>
      </w:pPr>
      <w:r>
        <w:t>Definition 3.3.513</w:t>
      </w:r>
    </w:p>
    <w:p w:rsidR="00150475" w:rsidRDefault="00150475" w:rsidP="00150475">
      <w:pPr>
        <w:pStyle w:val="StandardWeb"/>
      </w:pPr>
      <w:r>
        <w:t xml:space="preserve">Eine Auswahlregel heißt </w:t>
      </w:r>
      <w:r>
        <w:rPr>
          <w:rStyle w:val="Fett"/>
        </w:rPr>
        <w:t>teilmengenkonsistent</w:t>
      </w:r>
      <w:r>
        <w:t>, wenn</w:t>
      </w:r>
    </w:p>
    <w:p w:rsidR="00150475" w:rsidRDefault="00150475" w:rsidP="00150475">
      <w:pPr>
        <w:pStyle w:val="StandardWeb"/>
      </w:pPr>
      <w:r>
        <w:t>[</w:t>
      </w:r>
      <w:r>
        <w:br/>
        <w:t>\boxed{</w:t>
      </w:r>
      <w:r>
        <w:br/>
        <w:t>\operatorname{Sel}_F(\mathcal C_2)</w:t>
      </w:r>
      <w:r>
        <w:br/>
        <w:t>\cap</w:t>
      </w:r>
      <w:r>
        <w:br/>
        <w:t>\mathcal C_1</w:t>
      </w:r>
      <w:r>
        <w:br/>
        <w:t>\neq</w:t>
      </w:r>
      <w:r>
        <w:br/>
        <w:t>\varnothing</w:t>
      </w:r>
      <w:r>
        <w:br/>
        <w:t>\Rightarrow</w:t>
      </w:r>
      <w:r>
        <w:br/>
        <w:t>\operatorname{Sel}_F(\mathcal C_1)</w:t>
      </w:r>
      <w:r>
        <w:br/>
        <w:t>\subseteq</w:t>
      </w:r>
      <w:r>
        <w:br/>
        <w:t>\operatorname{Sel}_F(\mathcal C_2)</w:t>
      </w:r>
      <w:r>
        <w:br/>
        <w:t>\cap</w:t>
      </w:r>
      <w:r>
        <w:br/>
        <w:t>\mathcal C_1.</w:t>
      </w:r>
      <w:r>
        <w:br/>
        <w:t>}</w:t>
      </w:r>
      <w:r>
        <w:br/>
        <w:t>\tag{3.13164}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\boxed{\operatorname{Sel}_F(\mathcal C_2)\cap\mathcal C_1\neq\varnothing\Rightarrow\operatorname{Sel}_F(\mathcal C_1)\subseteq\operatorname{Sel}_F(\mathcal C_2)\cap\mathcal C_1.}</w:t>
      </w:r>
    </w:p>
    <w:p w:rsidR="00150475" w:rsidRDefault="00E50336" w:rsidP="00150475">
      <w:r>
        <w:pict>
          <v:rect id="_x0000_i5020" style="width:0;height:1.5pt" o:hralign="center" o:hrstd="t" o:hr="t" fillcolor="#a0a0a0" stroked="f"/>
        </w:pict>
      </w:r>
    </w:p>
    <w:p w:rsidR="00150475" w:rsidRDefault="00150475" w:rsidP="00150475">
      <w:pPr>
        <w:pStyle w:val="berschrift1"/>
      </w:pPr>
      <w:r>
        <w:t>3.3.50.175 Verletzung der Teilmengenkonsistenz</w:t>
      </w:r>
    </w:p>
    <w:p w:rsidR="00150475" w:rsidRDefault="00150475" w:rsidP="00150475">
      <w:pPr>
        <w:pStyle w:val="StandardWeb"/>
      </w:pPr>
      <w:r>
        <w:t>Es kann gelten</w:t>
      </w:r>
    </w:p>
    <w:p w:rsidR="00150475" w:rsidRDefault="00150475" w:rsidP="00150475">
      <w:pPr>
        <w:pStyle w:val="StandardWeb"/>
      </w:pPr>
      <w:r>
        <w:t>[</w:t>
      </w:r>
      <w:r>
        <w:br/>
        <w:t>X</w:t>
      </w:r>
      <w:r>
        <w:br/>
        <w:t>\in</w:t>
      </w:r>
      <w:r>
        <w:br/>
        <w:t>\operatorname{Sel}_F(\mathcal C_2)</w:t>
      </w:r>
      <w:r>
        <w:br/>
        <w:t>\cap</w:t>
      </w:r>
      <w:r>
        <w:br/>
        <w:t>\mathcal C_1</w:t>
      </w:r>
      <w:r>
        <w:br/>
        <w:t>\tag{3.13165}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X\in\operatorname{Sel}_F(\mathcal C_2)\cap\mathcal C_1</w:t>
      </w:r>
    </w:p>
    <w:p w:rsidR="00150475" w:rsidRDefault="00150475" w:rsidP="00150475">
      <w:pPr>
        <w:pStyle w:val="StandardWeb"/>
      </w:pPr>
      <w:r>
        <w:lastRenderedPageBreak/>
        <w:t>aber</w:t>
      </w:r>
    </w:p>
    <w:p w:rsidR="00150475" w:rsidRDefault="00150475" w:rsidP="00150475">
      <w:pPr>
        <w:pStyle w:val="StandardWeb"/>
      </w:pPr>
      <w:r>
        <w:t>[</w:t>
      </w:r>
      <w:r>
        <w:br/>
        <w:t>X</w:t>
      </w:r>
      <w:r>
        <w:br/>
        <w:t>\notin</w:t>
      </w:r>
      <w:r>
        <w:br/>
        <w:t>\operatorname{Sel}_F(\mathcal C_1).</w:t>
      </w:r>
      <w:r>
        <w:br/>
        <w:t>\tag{3.13166}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X\notin\operatorname{Sel}_F(\mathcal C_1)</w:t>
      </w:r>
    </w:p>
    <w:p w:rsidR="00150475" w:rsidRDefault="00150475" w:rsidP="00150475">
      <w:pPr>
        <w:pStyle w:val="StandardWeb"/>
      </w:pPr>
      <w:r>
        <w:t>Dies kann beispielsweise auftreten, wenn der Auswahloperator kontextabhängig auf die gesamte Kandidatenmenge reagiert.</w:t>
      </w:r>
    </w:p>
    <w:p w:rsidR="00150475" w:rsidRDefault="00E50336" w:rsidP="00150475">
      <w:r>
        <w:pict>
          <v:rect id="_x0000_i5021" style="width:0;height:1.5pt" o:hralign="center" o:hrstd="t" o:hr="t" fillcolor="#a0a0a0" stroked="f"/>
        </w:pict>
      </w:r>
    </w:p>
    <w:p w:rsidR="00150475" w:rsidRDefault="00150475" w:rsidP="00150475">
      <w:pPr>
        <w:pStyle w:val="berschrift1"/>
      </w:pPr>
      <w:r>
        <w:t>3.3.50.176 Universelle Teilmengenkonsistenz als Primäraxiomkandidat</w:t>
      </w:r>
    </w:p>
    <w:p w:rsidR="00150475" w:rsidRDefault="00150475" w:rsidP="00150475">
      <w:pPr>
        <w:pStyle w:val="StandardWeb"/>
      </w:pPr>
      <w:r>
        <w:t>Ein möglicher Kandidat lautet</w:t>
      </w:r>
    </w:p>
    <w:p w:rsidR="00150475" w:rsidRDefault="00150475" w:rsidP="00150475">
      <w:pPr>
        <w:pStyle w:val="StandardWeb"/>
      </w:pPr>
      <w:r>
        <w:t>[</w:t>
      </w:r>
      <w:r>
        <w:br/>
        <w:t>A_{\mathrm{sub-cons}}</w:t>
      </w:r>
      <w:r>
        <w:br/>
        <w:t>:</w:t>
      </w:r>
      <w:r>
        <w:br/>
        <w:t>\operatorname{Sel}_F</w:t>
      </w:r>
      <w:r>
        <w:br/>
        <w:t>\text{ ist stets teilmengenkonsistent}.</w:t>
      </w:r>
      <w:r>
        <w:br/>
        <w:t>\tag{3.13167}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A_{\mathrm{sub-cons}}:\operatorname{Sel}_F\text{ ist stets teilmengenkonsistent}</w:t>
      </w:r>
    </w:p>
    <w:p w:rsidR="00150475" w:rsidRDefault="00E50336" w:rsidP="00150475">
      <w:r>
        <w:pict>
          <v:rect id="_x0000_i5022" style="width:0;height:1.5pt" o:hralign="center" o:hrstd="t" o:hr="t" fillcolor="#a0a0a0" stroked="f"/>
        </w:pict>
      </w:r>
    </w:p>
    <w:p w:rsidR="00150475" w:rsidRDefault="00150475" w:rsidP="00150475">
      <w:pPr>
        <w:pStyle w:val="berschrift1"/>
      </w:pPr>
      <w:r>
        <w:t>3.3.50.177 Gegenmodell zur universellen Teilmengenkonsistenz</w:t>
      </w:r>
    </w:p>
    <w:p w:rsidR="00150475" w:rsidRDefault="00150475" w:rsidP="00150475">
      <w:pPr>
        <w:pStyle w:val="StandardWeb"/>
      </w:pPr>
      <w:r>
        <w:t>Ein kontextabhängiger Auswahloperator kann durch</w:t>
      </w:r>
    </w:p>
    <w:p w:rsidR="00150475" w:rsidRDefault="00150475" w:rsidP="00150475">
      <w:pPr>
        <w:pStyle w:val="berschrift1"/>
      </w:pPr>
      <w:r>
        <w:t>[</w:t>
      </w:r>
      <w:r>
        <w:br/>
        <w:t>\operatorname{Sel}_F</w:t>
      </w:r>
    </w:p>
    <w:p w:rsidR="00150475" w:rsidRDefault="00150475" w:rsidP="00150475">
      <w:pPr>
        <w:pStyle w:val="StandardWeb"/>
      </w:pPr>
      <w:r>
        <w:t>\operatorname{Sel}_F(\mathcal C_F,z,c)</w:t>
      </w:r>
      <w:r>
        <w:br/>
        <w:t>\tag{3.13168}</w:t>
      </w:r>
      <w:r>
        <w:br/>
        <w:t>]</w:t>
      </w:r>
    </w:p>
    <w:p w:rsidR="00150475" w:rsidRDefault="00150475" w:rsidP="00150475">
      <w:pPr>
        <w:pStyle w:val="StandardWeb"/>
      </w:pPr>
      <w:r>
        <w:rPr>
          <w:rStyle w:val="Fett"/>
        </w:rPr>
        <w:lastRenderedPageBreak/>
        <w:t>Word-LaTeX</w:t>
      </w:r>
    </w:p>
    <w:p w:rsidR="00150475" w:rsidRDefault="00150475" w:rsidP="00150475">
      <w:pPr>
        <w:pStyle w:val="HTMLVorformatiert"/>
        <w:rPr>
          <w:rStyle w:val="HTMLCode"/>
        </w:rPr>
      </w:pPr>
      <w:r>
        <w:rPr>
          <w:rStyle w:val="HTMLCode"/>
        </w:rPr>
        <w:t>\operatorname{Sel}_F=\operatorname{Sel}_F(\mathcal C_F,z,c)</w:t>
      </w:r>
    </w:p>
    <w:p w:rsidR="00150475" w:rsidRDefault="00150475" w:rsidP="00150475">
      <w:pPr>
        <w:pStyle w:val="StandardWeb"/>
      </w:pPr>
      <w:r>
        <w:t>definiert sein.</w:t>
      </w:r>
    </w:p>
    <w:p w:rsidR="00150475" w:rsidRDefault="00150475" w:rsidP="00150475">
      <w:pPr>
        <w:pStyle w:val="StandardWeb"/>
      </w:pPr>
      <w:r>
        <w:t>Die Änderung von (\mathcal C_F) kann dann selbst den relevanten Kontext der Auswahl verändern.</w:t>
      </w:r>
    </w:p>
    <w:p w:rsidR="00150475" w:rsidRDefault="00E50336" w:rsidP="00150475">
      <w:r>
        <w:pict>
          <v:rect id="_x0000_i5023" style="width:0;height:1.5pt" o:hralign="center" o:hrstd="t" o:hr="t" fillcolor="#a0a0a0" stroked="f"/>
        </w:pict>
      </w:r>
    </w:p>
    <w:p w:rsidR="00150475" w:rsidRDefault="00150475" w:rsidP="00150475">
      <w:pPr>
        <w:pStyle w:val="berschrift1"/>
      </w:pPr>
      <w:r>
        <w:t>3.3.50.178 Axiomentscheidung zur Teilmengenkonsistenz</w:t>
      </w:r>
    </w:p>
    <w:p w:rsidR="00150475" w:rsidRDefault="00150475" w:rsidP="00150475">
      <w:pPr>
        <w:pStyle w:val="StandardWeb"/>
      </w:pPr>
      <w:r>
        <w:t>Daher gilt</w:t>
      </w:r>
    </w:p>
    <w:p w:rsidR="00150475" w:rsidRDefault="00150475" w:rsidP="00150475">
      <w:pPr>
        <w:pStyle w:val="berschrift1"/>
      </w:pPr>
      <w:r>
        <w:t>[</w:t>
      </w:r>
      <w:r>
        <w:br/>
        <w:t>\boxed{</w:t>
      </w:r>
      <w:r>
        <w:br/>
        <w:t>U_{\mathrm{Ax}}</w:t>
      </w:r>
      <w:r>
        <w:br/>
        <w:t>(A_{\mathrm{sub-cons}})</w:t>
      </w:r>
    </w:p>
    <w:p w:rsidR="00150475" w:rsidRDefault="00150475" w:rsidP="00563F88">
      <w:pPr>
        <w:numPr>
          <w:ilvl w:val="0"/>
          <w:numId w:val="615"/>
        </w:numPr>
        <w:spacing w:before="100" w:beforeAutospacing="1" w:after="100" w:afterAutospacing="1"/>
      </w:pPr>
    </w:p>
    <w:p w:rsidR="00150475" w:rsidRDefault="00150475" w:rsidP="00150475">
      <w:pPr>
        <w:pStyle w:val="StandardWeb"/>
      </w:pPr>
      <w:r>
        <w:t>}</w:t>
      </w:r>
      <w:r>
        <w:br/>
        <w:t>\tag{3.13169}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\boxed{U_{\mathrm{Ax}}(A_{\mathrm{sub-cons}})=0.}</w:t>
      </w:r>
    </w:p>
    <w:p w:rsidR="00150475" w:rsidRDefault="00E50336" w:rsidP="00150475">
      <w:r>
        <w:pict>
          <v:rect id="_x0000_i5024" style="width:0;height:1.5pt" o:hralign="center" o:hrstd="t" o:hr="t" fillcolor="#a0a0a0" stroked="f"/>
        </w:pict>
      </w:r>
    </w:p>
    <w:p w:rsidR="00150475" w:rsidRDefault="00150475" w:rsidP="00150475">
      <w:pPr>
        <w:pStyle w:val="berschrift1"/>
      </w:pPr>
      <w:r>
        <w:t>3.3.50.179 Satz 3.3.194 – Universelle Teilmengenkonsistenz ist kein Primäraxiom</w:t>
      </w:r>
    </w:p>
    <w:p w:rsidR="00150475" w:rsidRDefault="00150475" w:rsidP="00150475">
      <w:pPr>
        <w:pStyle w:val="berschrift3"/>
      </w:pPr>
      <w:r>
        <w:t>Satz 3.3.194</w:t>
      </w:r>
    </w:p>
    <w:p w:rsidR="00150475" w:rsidRDefault="00150475" w:rsidP="00150475">
      <w:pPr>
        <w:pStyle w:val="StandardWeb"/>
      </w:pPr>
      <w:r>
        <w:t>Die Forderung, jede funktionale Auswahlregel müsse gegenüber jeder Einschränkung der Kandidatenmenge teilmengenkonsistent bleiben, ist keine universell notwendige Voraussetzung des allgemeinen FRZK.</w:t>
      </w:r>
    </w:p>
    <w:p w:rsidR="00150475" w:rsidRDefault="00150475" w:rsidP="00150475">
      <w:pPr>
        <w:pStyle w:val="StandardWeb"/>
      </w:pPr>
      <w:r>
        <w:t>Formal gilt</w:t>
      </w:r>
    </w:p>
    <w:p w:rsidR="00150475" w:rsidRDefault="00150475" w:rsidP="00150475">
      <w:pPr>
        <w:pStyle w:val="berschrift1"/>
      </w:pPr>
      <w:r>
        <w:lastRenderedPageBreak/>
        <w:t>[</w:t>
      </w:r>
      <w:r>
        <w:br/>
        <w:t>\boxed{</w:t>
      </w:r>
      <w:r>
        <w:br/>
        <w:t>U_{\mathrm{Ax}}</w:t>
      </w:r>
      <w:r>
        <w:br/>
        <w:t>(A_{\mathrm{sub-cons}})</w:t>
      </w:r>
    </w:p>
    <w:p w:rsidR="00150475" w:rsidRDefault="00150475" w:rsidP="00563F88">
      <w:pPr>
        <w:numPr>
          <w:ilvl w:val="0"/>
          <w:numId w:val="616"/>
        </w:numPr>
        <w:spacing w:before="100" w:beforeAutospacing="1" w:after="100" w:afterAutospacing="1"/>
      </w:pPr>
    </w:p>
    <w:p w:rsidR="00150475" w:rsidRDefault="00150475" w:rsidP="00150475">
      <w:pPr>
        <w:pStyle w:val="StandardWeb"/>
      </w:pPr>
      <w:r>
        <w:t>}</w:t>
      </w:r>
      <w:r>
        <w:br/>
        <w:t>\tag{3.13170}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\boxed{U_{\mathrm{Ax}}(A_{\mathrm{sub-cons}})=0.}</w:t>
      </w:r>
    </w:p>
    <w:p w:rsidR="00150475" w:rsidRDefault="00E50336" w:rsidP="00150475">
      <w:r>
        <w:pict>
          <v:rect id="_x0000_i5025" style="width:0;height:1.5pt" o:hralign="center" o:hrstd="t" o:hr="t" fillcolor="#a0a0a0" stroked="f"/>
        </w:pict>
      </w:r>
    </w:p>
    <w:p w:rsidR="00150475" w:rsidRDefault="00150475" w:rsidP="00150475">
      <w:pPr>
        <w:pStyle w:val="berschrift1"/>
      </w:pPr>
      <w:r>
        <w:t>3.3.50.180 Auswahlidempotenz</w:t>
      </w:r>
    </w:p>
    <w:p w:rsidR="00150475" w:rsidRDefault="00150475" w:rsidP="00150475">
      <w:pPr>
        <w:pStyle w:val="StandardWeb"/>
      </w:pPr>
      <w:r>
        <w:t>Eine weitere mögliche Eigenschaft besteht darin, dass eine bereits ausgewählte Menge bei erneuter Auswahl unverändert bleibt:</w:t>
      </w:r>
    </w:p>
    <w:p w:rsidR="00150475" w:rsidRDefault="00150475" w:rsidP="00150475">
      <w:pPr>
        <w:pStyle w:val="berschrift1"/>
      </w:pPr>
      <w:r>
        <w:t>[</w:t>
      </w:r>
      <w:r>
        <w:br/>
        <w:t>\operatorname{Sel}_F</w:t>
      </w:r>
      <w:r>
        <w:br/>
        <w:t>\left(</w:t>
      </w:r>
      <w:r>
        <w:br/>
        <w:t>\operatorname{Sel}_F(\mathcal C_F)</w:t>
      </w:r>
      <w:r>
        <w:br/>
        <w:t>\right)</w:t>
      </w:r>
    </w:p>
    <w:p w:rsidR="00150475" w:rsidRDefault="00150475" w:rsidP="00150475">
      <w:pPr>
        <w:pStyle w:val="StandardWeb"/>
      </w:pPr>
      <w:r>
        <w:t>\operatorname{Sel}_F(\mathcal C_F).</w:t>
      </w:r>
      <w:r>
        <w:br/>
        <w:t>\tag{3.13171}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\operatorname{Sel}_F\left(\operatorname{Sel}_F(\mathcal C_F)\right)=\operatorname{Sel}_F(\mathcal C_F)</w:t>
      </w:r>
    </w:p>
    <w:p w:rsidR="00150475" w:rsidRDefault="00E50336" w:rsidP="00150475">
      <w:r>
        <w:pict>
          <v:rect id="_x0000_i5026" style="width:0;height:1.5pt" o:hralign="center" o:hrstd="t" o:hr="t" fillcolor="#a0a0a0" stroked="f"/>
        </w:pict>
      </w:r>
    </w:p>
    <w:p w:rsidR="00150475" w:rsidRDefault="00150475" w:rsidP="00150475">
      <w:pPr>
        <w:pStyle w:val="berschrift1"/>
      </w:pPr>
      <w:r>
        <w:t>3.3.50.181 Definition 3.3.514 – Idempotenter funktionaler Auswahloperator</w:t>
      </w:r>
    </w:p>
    <w:p w:rsidR="00150475" w:rsidRDefault="00150475" w:rsidP="00150475">
      <w:pPr>
        <w:pStyle w:val="berschrift3"/>
      </w:pPr>
      <w:r>
        <w:t>Definition 3.3.514</w:t>
      </w:r>
    </w:p>
    <w:p w:rsidR="00150475" w:rsidRDefault="00150475" w:rsidP="00150475">
      <w:pPr>
        <w:pStyle w:val="StandardWeb"/>
      </w:pPr>
      <w:r>
        <w:t xml:space="preserve">Ein Auswahloperator heißt </w:t>
      </w:r>
      <w:r>
        <w:rPr>
          <w:rStyle w:val="Fett"/>
        </w:rPr>
        <w:t>idempotent</w:t>
      </w:r>
      <w:r>
        <w:t>, wenn</w:t>
      </w:r>
    </w:p>
    <w:p w:rsidR="00150475" w:rsidRDefault="00150475" w:rsidP="00150475">
      <w:pPr>
        <w:pStyle w:val="berschrift1"/>
      </w:pPr>
      <w:r>
        <w:lastRenderedPageBreak/>
        <w:t>[</w:t>
      </w:r>
      <w:r>
        <w:br/>
        <w:t>\boxed{</w:t>
      </w:r>
      <w:r>
        <w:br/>
        <w:t>\operatorname{Sel}_F</w:t>
      </w:r>
      <w:r>
        <w:br/>
        <w:t>\circ</w:t>
      </w:r>
      <w:r>
        <w:br/>
        <w:t>\operatorname{Sel}_F</w:t>
      </w:r>
    </w:p>
    <w:p w:rsidR="00150475" w:rsidRDefault="00150475" w:rsidP="00150475">
      <w:pPr>
        <w:pStyle w:val="StandardWeb"/>
      </w:pPr>
      <w:r>
        <w:t>\operatorname{Sel}_F.</w:t>
      </w:r>
      <w:r>
        <w:br/>
        <w:t>}</w:t>
      </w:r>
      <w:r>
        <w:br/>
        <w:t>\tag{3.13172}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\boxed{\operatorname{Sel}_F\circ\operatorname{Sel}_F=\operatorname{Sel}_F.}</w:t>
      </w:r>
    </w:p>
    <w:p w:rsidR="00150475" w:rsidRDefault="00E50336" w:rsidP="00150475">
      <w:r>
        <w:pict>
          <v:rect id="_x0000_i5027" style="width:0;height:1.5pt" o:hralign="center" o:hrstd="t" o:hr="t" fillcolor="#a0a0a0" stroked="f"/>
        </w:pict>
      </w:r>
    </w:p>
    <w:p w:rsidR="00150475" w:rsidRDefault="00150475" w:rsidP="00150475">
      <w:pPr>
        <w:pStyle w:val="berschrift1"/>
      </w:pPr>
      <w:r>
        <w:t>3.3.50.182 Nichtidempotente Auswahl</w:t>
      </w:r>
    </w:p>
    <w:p w:rsidR="00150475" w:rsidRDefault="00150475" w:rsidP="00150475">
      <w:pPr>
        <w:pStyle w:val="StandardWeb"/>
      </w:pPr>
      <w:r>
        <w:t>Eine Auswahlregel kann jedoch mehrstufig aufgebaut sein.</w:t>
      </w:r>
    </w:p>
    <w:p w:rsidR="00150475" w:rsidRDefault="00150475" w:rsidP="00150475">
      <w:pPr>
        <w:pStyle w:val="StandardWeb"/>
      </w:pPr>
      <w:r>
        <w:t>Dann kann gelten</w:t>
      </w:r>
    </w:p>
    <w:p w:rsidR="00150475" w:rsidRDefault="00150475" w:rsidP="00150475">
      <w:pPr>
        <w:pStyle w:val="StandardWeb"/>
      </w:pPr>
      <w:r>
        <w:t>[</w:t>
      </w:r>
      <w:r>
        <w:br/>
        <w:t>\operatorname{Sel}_F^{(2)}</w:t>
      </w:r>
      <w:r>
        <w:br/>
        <w:t>\left(</w:t>
      </w:r>
      <w:r>
        <w:br/>
        <w:t>\operatorname{Sel}_F^{(1)}(\mathcal C_F)</w:t>
      </w:r>
      <w:r>
        <w:br/>
        <w:t>\right)</w:t>
      </w:r>
      <w:r>
        <w:br/>
        <w:t>\subsetneq</w:t>
      </w:r>
      <w:r>
        <w:br/>
        <w:t>\operatorname{Sel}_F^{(1)}(\mathcal C_F).</w:t>
      </w:r>
      <w:r>
        <w:br/>
        <w:t>\tag{3.13173}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\operatorname{Sel}_F^{(2)}\left(\operatorname{Sel}_F^{(1)}(\mathcal C_F)\right)\subsetneq\operatorname{Sel}_F^{(1)}(\mathcal C_F)</w:t>
      </w:r>
    </w:p>
    <w:p w:rsidR="00150475" w:rsidRDefault="00E50336" w:rsidP="00150475">
      <w:r>
        <w:pict>
          <v:rect id="_x0000_i5028" style="width:0;height:1.5pt" o:hralign="center" o:hrstd="t" o:hr="t" fillcolor="#a0a0a0" stroked="f"/>
        </w:pict>
      </w:r>
    </w:p>
    <w:p w:rsidR="00150475" w:rsidRDefault="00150475" w:rsidP="00150475">
      <w:pPr>
        <w:pStyle w:val="berschrift1"/>
      </w:pPr>
      <w:r>
        <w:t>3.3.50.183 Universelle Idempotenz als Primäraxiomkandidat</w:t>
      </w:r>
    </w:p>
    <w:p w:rsidR="00150475" w:rsidRDefault="00150475" w:rsidP="00150475">
      <w:pPr>
        <w:pStyle w:val="StandardWeb"/>
      </w:pPr>
      <w:r>
        <w:t>Ein möglicher Kandidat wäre</w:t>
      </w:r>
    </w:p>
    <w:p w:rsidR="00150475" w:rsidRDefault="00150475" w:rsidP="00150475">
      <w:pPr>
        <w:pStyle w:val="berschrift1"/>
      </w:pPr>
      <w:r>
        <w:lastRenderedPageBreak/>
        <w:t>[</w:t>
      </w:r>
      <w:r>
        <w:br/>
        <w:t>A_{\mathrm{idemp-sel}}</w:t>
      </w:r>
      <w:r>
        <w:br/>
        <w:t>:</w:t>
      </w:r>
      <w:r>
        <w:br/>
        <w:t>\operatorname{Sel}_F^2</w:t>
      </w:r>
    </w:p>
    <w:p w:rsidR="00150475" w:rsidRDefault="00150475" w:rsidP="00150475">
      <w:pPr>
        <w:pStyle w:val="StandardWeb"/>
      </w:pPr>
      <w:r>
        <w:t>\operatorname{Sel}_F.</w:t>
      </w:r>
      <w:r>
        <w:br/>
        <w:t>\tag{3.13174}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A_{\mathrm{idemp-sel}}:\operatorname{Sel}_F^2=\operatorname{Sel}_F</w:t>
      </w:r>
    </w:p>
    <w:p w:rsidR="00150475" w:rsidRDefault="00E50336" w:rsidP="00150475">
      <w:r>
        <w:pict>
          <v:rect id="_x0000_i5029" style="width:0;height:1.5pt" o:hralign="center" o:hrstd="t" o:hr="t" fillcolor="#a0a0a0" stroked="f"/>
        </w:pict>
      </w:r>
    </w:p>
    <w:p w:rsidR="00150475" w:rsidRDefault="00150475" w:rsidP="00150475">
      <w:pPr>
        <w:pStyle w:val="berschrift1"/>
      </w:pPr>
      <w:r>
        <w:t>3.3.50.184 Gegenmodell</w:t>
      </w:r>
    </w:p>
    <w:p w:rsidR="00150475" w:rsidRDefault="00150475" w:rsidP="00150475">
      <w:pPr>
        <w:pStyle w:val="StandardWeb"/>
      </w:pPr>
      <w:r>
        <w:t>Eine zweistufige Auswahl kann zunächst nach Zulässigkeit und danach nach Priorität filtern:</w:t>
      </w:r>
    </w:p>
    <w:p w:rsidR="00150475" w:rsidRDefault="00150475" w:rsidP="00150475">
      <w:pPr>
        <w:pStyle w:val="berschrift1"/>
      </w:pPr>
      <w:r>
        <w:t>[</w:t>
      </w:r>
      <w:r>
        <w:br/>
        <w:t>\operatorname{Sel}_F^{(1)}</w:t>
      </w:r>
    </w:p>
    <w:p w:rsidR="00150475" w:rsidRDefault="00150475" w:rsidP="00150475">
      <w:pPr>
        <w:pStyle w:val="StandardWeb"/>
      </w:pPr>
      <w:r>
        <w:t>\operatorname{Sel}_F^{(g)}</w:t>
      </w:r>
      <w:r>
        <w:br/>
        <w:t>\tag{3.13175}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\operatorname{Sel}_F^{(1)}=\operatorname{Sel}_F^{(g)}</w:t>
      </w:r>
    </w:p>
    <w:p w:rsidR="00150475" w:rsidRDefault="00150475" w:rsidP="00150475">
      <w:pPr>
        <w:pStyle w:val="StandardWeb"/>
      </w:pPr>
      <w:r>
        <w:t>und anschließend</w:t>
      </w:r>
    </w:p>
    <w:p w:rsidR="00150475" w:rsidRDefault="00150475" w:rsidP="00150475">
      <w:pPr>
        <w:pStyle w:val="berschrift1"/>
      </w:pPr>
      <w:r>
        <w:t>[</w:t>
      </w:r>
      <w:r>
        <w:br/>
        <w:t>\operatorname{Sel}_F^{(2)}</w:t>
      </w:r>
    </w:p>
    <w:p w:rsidR="00150475" w:rsidRDefault="00150475" w:rsidP="00150475">
      <w:pPr>
        <w:pStyle w:val="StandardWeb"/>
      </w:pPr>
      <w:r>
        <w:t>\operatorname{Sel}_F^{\max}.</w:t>
      </w:r>
      <w:r>
        <w:br/>
        <w:t>\tag{3.13176}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\operatorname{Sel}_F^{(2)}=\operatorname{Sel}_F^{\max}</w:t>
      </w:r>
    </w:p>
    <w:p w:rsidR="00150475" w:rsidRDefault="00150475" w:rsidP="00150475">
      <w:pPr>
        <w:pStyle w:val="StandardWeb"/>
      </w:pPr>
      <w:r>
        <w:t>Eine erneute Anwendung derselben zusammengesetzten Regel muss daher nicht bereits nach dem ersten Teilschritt abgeschlossen sein.</w:t>
      </w:r>
    </w:p>
    <w:p w:rsidR="00150475" w:rsidRDefault="00E50336" w:rsidP="00150475">
      <w:r>
        <w:lastRenderedPageBreak/>
        <w:pict>
          <v:rect id="_x0000_i5030" style="width:0;height:1.5pt" o:hralign="center" o:hrstd="t" o:hr="t" fillcolor="#a0a0a0" stroked="f"/>
        </w:pict>
      </w:r>
    </w:p>
    <w:p w:rsidR="00150475" w:rsidRDefault="00150475" w:rsidP="00150475">
      <w:pPr>
        <w:pStyle w:val="berschrift1"/>
      </w:pPr>
      <w:r>
        <w:t>3.3.50.185 Axiomentscheidung zur universellen Auswahlidempotenz</w:t>
      </w:r>
    </w:p>
    <w:p w:rsidR="00150475" w:rsidRDefault="00150475" w:rsidP="00150475">
      <w:pPr>
        <w:pStyle w:val="StandardWeb"/>
      </w:pPr>
      <w:r>
        <w:t>Daraus folgt</w:t>
      </w:r>
    </w:p>
    <w:p w:rsidR="00150475" w:rsidRDefault="00150475" w:rsidP="00150475">
      <w:pPr>
        <w:pStyle w:val="berschrift1"/>
      </w:pPr>
      <w:r>
        <w:t>[</w:t>
      </w:r>
      <w:r>
        <w:br/>
        <w:t>\boxed{</w:t>
      </w:r>
      <w:r>
        <w:br/>
        <w:t>U_{\mathrm{Ax}}</w:t>
      </w:r>
      <w:r>
        <w:br/>
        <w:t>(A_{\mathrm{idemp-sel}})</w:t>
      </w:r>
    </w:p>
    <w:p w:rsidR="00150475" w:rsidRDefault="00150475" w:rsidP="00563F88">
      <w:pPr>
        <w:numPr>
          <w:ilvl w:val="0"/>
          <w:numId w:val="617"/>
        </w:numPr>
        <w:spacing w:before="100" w:beforeAutospacing="1" w:after="100" w:afterAutospacing="1"/>
      </w:pPr>
    </w:p>
    <w:p w:rsidR="00150475" w:rsidRDefault="00150475" w:rsidP="00150475">
      <w:pPr>
        <w:pStyle w:val="StandardWeb"/>
      </w:pPr>
      <w:r>
        <w:t>}</w:t>
      </w:r>
      <w:r>
        <w:br/>
        <w:t>\tag{3.13177}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\boxed{U_{\mathrm{Ax}}(A_{\mathrm{idemp-sel}})=0.}</w:t>
      </w:r>
    </w:p>
    <w:p w:rsidR="00150475" w:rsidRDefault="00E50336" w:rsidP="00150475">
      <w:r>
        <w:pict>
          <v:rect id="_x0000_i5031" style="width:0;height:1.5pt" o:hralign="center" o:hrstd="t" o:hr="t" fillcolor="#a0a0a0" stroked="f"/>
        </w:pict>
      </w:r>
    </w:p>
    <w:p w:rsidR="00150475" w:rsidRDefault="00150475" w:rsidP="00150475">
      <w:pPr>
        <w:pStyle w:val="berschrift1"/>
      </w:pPr>
      <w:r>
        <w:t>3.3.50.186 Satz 3.3.195 – Universelle Auswahlidempotenz ist kein Primäraxiom</w:t>
      </w:r>
    </w:p>
    <w:p w:rsidR="00150475" w:rsidRDefault="00150475" w:rsidP="00150475">
      <w:pPr>
        <w:pStyle w:val="berschrift3"/>
      </w:pPr>
      <w:r>
        <w:t>Satz 3.3.195</w:t>
      </w:r>
    </w:p>
    <w:p w:rsidR="00150475" w:rsidRDefault="00150475" w:rsidP="00150475">
      <w:pPr>
        <w:pStyle w:val="StandardWeb"/>
      </w:pPr>
      <w:r>
        <w:t>Die Forderung, jeder funktionale Auswahloperator müsse idempotent sein, ist keine universell notwendige Voraussetzung des allgemeinen FRZK.</w:t>
      </w:r>
    </w:p>
    <w:p w:rsidR="00150475" w:rsidRDefault="00150475" w:rsidP="00150475">
      <w:pPr>
        <w:pStyle w:val="StandardWeb"/>
      </w:pPr>
      <w:r>
        <w:t>Formal gilt</w:t>
      </w:r>
    </w:p>
    <w:p w:rsidR="00150475" w:rsidRDefault="00150475" w:rsidP="00150475">
      <w:pPr>
        <w:pStyle w:val="berschrift1"/>
      </w:pPr>
      <w:r>
        <w:t>[</w:t>
      </w:r>
      <w:r>
        <w:br/>
        <w:t>\boxed{</w:t>
      </w:r>
      <w:r>
        <w:br/>
        <w:t>U_{\mathrm{Ax}}</w:t>
      </w:r>
      <w:r>
        <w:br/>
        <w:t>(A_{\mathrm{idemp-sel}})</w:t>
      </w:r>
    </w:p>
    <w:p w:rsidR="00150475" w:rsidRDefault="00150475" w:rsidP="00563F88">
      <w:pPr>
        <w:numPr>
          <w:ilvl w:val="0"/>
          <w:numId w:val="618"/>
        </w:numPr>
        <w:spacing w:before="100" w:beforeAutospacing="1" w:after="100" w:afterAutospacing="1"/>
      </w:pPr>
    </w:p>
    <w:p w:rsidR="00150475" w:rsidRDefault="00150475" w:rsidP="00150475">
      <w:pPr>
        <w:pStyle w:val="StandardWeb"/>
      </w:pPr>
      <w:r>
        <w:t>}</w:t>
      </w:r>
      <w:r>
        <w:br/>
        <w:t>\tag{3.13178}</w:t>
      </w:r>
      <w:r>
        <w:br/>
        <w:t>]</w:t>
      </w:r>
    </w:p>
    <w:p w:rsidR="00150475" w:rsidRDefault="00150475" w:rsidP="00150475">
      <w:pPr>
        <w:pStyle w:val="StandardWeb"/>
      </w:pPr>
      <w:r>
        <w:rPr>
          <w:rStyle w:val="Fett"/>
        </w:rPr>
        <w:lastRenderedPageBreak/>
        <w:t>Word-LaTeX</w:t>
      </w:r>
    </w:p>
    <w:p w:rsidR="00150475" w:rsidRDefault="00150475" w:rsidP="00150475">
      <w:pPr>
        <w:pStyle w:val="HTMLVorformatiert"/>
        <w:rPr>
          <w:rStyle w:val="HTMLCode"/>
        </w:rPr>
      </w:pPr>
      <w:r>
        <w:rPr>
          <w:rStyle w:val="HTMLCode"/>
        </w:rPr>
        <w:t>\boxed{U_{\mathrm{Ax}}(A_{\mathrm{idemp-sel}})=0.}</w:t>
      </w:r>
    </w:p>
    <w:p w:rsidR="00150475" w:rsidRDefault="00E50336" w:rsidP="00150475">
      <w:r>
        <w:pict>
          <v:rect id="_x0000_i5032" style="width:0;height:1.5pt" o:hralign="center" o:hrstd="t" o:hr="t" fillcolor="#a0a0a0" stroked="f"/>
        </w:pict>
      </w:r>
    </w:p>
    <w:p w:rsidR="00150475" w:rsidRDefault="00150475" w:rsidP="00150475">
      <w:pPr>
        <w:pStyle w:val="berschrift1"/>
      </w:pPr>
      <w:r>
        <w:t>3.3.50.187 Sequenzielle Auswahl</w:t>
      </w:r>
    </w:p>
    <w:p w:rsidR="00150475" w:rsidRDefault="00150475" w:rsidP="00150475">
      <w:pPr>
        <w:pStyle w:val="StandardWeb"/>
      </w:pPr>
      <w:r>
        <w:t>Mehrere Auswahloperatoren können hintereinander angewendet werden:</w:t>
      </w:r>
    </w:p>
    <w:p w:rsidR="00150475" w:rsidRDefault="00150475" w:rsidP="00150475">
      <w:pPr>
        <w:pStyle w:val="StandardWeb"/>
      </w:pPr>
      <w:r>
        <w:t>[</w:t>
      </w:r>
      <w:r>
        <w:br/>
        <w:t>\operatorname{Sel}_F^{(n)}</w:t>
      </w:r>
      <w:r>
        <w:br/>
        <w:t>\circ</w:t>
      </w:r>
      <w:r>
        <w:br/>
        <w:t>\cdots</w:t>
      </w:r>
      <w:r>
        <w:br/>
        <w:t>\circ</w:t>
      </w:r>
      <w:r>
        <w:br/>
        <w:t>\operatorname{Sel}_F^{(2)}</w:t>
      </w:r>
      <w:r>
        <w:br/>
        <w:t>\circ</w:t>
      </w:r>
      <w:r>
        <w:br/>
        <w:t>\operatorname{Sel}_F^{(1)}.</w:t>
      </w:r>
      <w:r>
        <w:br/>
        <w:t>\tag{3.13179}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\operatorname{Sel}_F^{(n)}\circ\cdots\circ\operatorname{Sel}_F^{(2)}\circ\operatorname{Sel}_F^{(1)}</w:t>
      </w:r>
    </w:p>
    <w:p w:rsidR="00150475" w:rsidRDefault="00E50336" w:rsidP="00150475">
      <w:r>
        <w:pict>
          <v:rect id="_x0000_i5033" style="width:0;height:1.5pt" o:hralign="center" o:hrstd="t" o:hr="t" fillcolor="#a0a0a0" stroked="f"/>
        </w:pict>
      </w:r>
    </w:p>
    <w:p w:rsidR="00150475" w:rsidRDefault="00150475" w:rsidP="00150475">
      <w:pPr>
        <w:pStyle w:val="berschrift1"/>
      </w:pPr>
      <w:r>
        <w:t>3.3.50.188 Definition 3.3.515 – Sequenzielle funktionale Auswahl</w:t>
      </w:r>
    </w:p>
    <w:p w:rsidR="00150475" w:rsidRDefault="00150475" w:rsidP="00150475">
      <w:pPr>
        <w:pStyle w:val="berschrift3"/>
      </w:pPr>
      <w:r>
        <w:t>Definition 3.3.515</w:t>
      </w:r>
    </w:p>
    <w:p w:rsidR="00150475" w:rsidRDefault="00150475" w:rsidP="00150475">
      <w:pPr>
        <w:pStyle w:val="StandardWeb"/>
      </w:pPr>
      <w:r>
        <w:t xml:space="preserve">Eine </w:t>
      </w:r>
      <w:r>
        <w:rPr>
          <w:rStyle w:val="Fett"/>
        </w:rPr>
        <w:t>sequenzielle funktionale Auswahl</w:t>
      </w:r>
      <w:r>
        <w:t xml:space="preserve"> ist die Komposition</w:t>
      </w:r>
    </w:p>
    <w:p w:rsidR="00150475" w:rsidRDefault="00150475" w:rsidP="00150475">
      <w:pPr>
        <w:pStyle w:val="berschrift1"/>
      </w:pPr>
      <w:r>
        <w:t>[</w:t>
      </w:r>
      <w:r>
        <w:br/>
        <w:t>\boxed{</w:t>
      </w:r>
      <w:r>
        <w:br/>
        <w:t>\operatorname{Sel}_{F,\mathrm{seq}}</w:t>
      </w:r>
    </w:p>
    <w:p w:rsidR="00150475" w:rsidRDefault="00150475" w:rsidP="00150475">
      <w:pPr>
        <w:pStyle w:val="StandardWeb"/>
      </w:pPr>
      <w:r>
        <w:t>\operatorname{Sel}_F^{(n)}</w:t>
      </w:r>
      <w:r>
        <w:br/>
        <w:t>\circ</w:t>
      </w:r>
      <w:r>
        <w:br/>
        <w:t>\cdots</w:t>
      </w:r>
      <w:r>
        <w:br/>
        <w:t>\circ</w:t>
      </w:r>
      <w:r>
        <w:br/>
        <w:t>\operatorname{Sel}_F^{(1)}.</w:t>
      </w:r>
      <w:r>
        <w:br/>
        <w:t>}</w:t>
      </w:r>
      <w:r>
        <w:br/>
        <w:t>\tag{3.13180}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lastRenderedPageBreak/>
        <w:t>\boxed{\operatorname{Sel}_{F,\mathrm{seq}}=\operatorname{Sel}_F^{(n)}\circ\cdots\circ\operatorname{Sel}_F^{(1)}.}</w:t>
      </w:r>
    </w:p>
    <w:p w:rsidR="00150475" w:rsidRDefault="00E50336" w:rsidP="00150475">
      <w:r>
        <w:pict>
          <v:rect id="_x0000_i5034" style="width:0;height:1.5pt" o:hralign="center" o:hrstd="t" o:hr="t" fillcolor="#a0a0a0" stroked="f"/>
        </w:pict>
      </w:r>
    </w:p>
    <w:p w:rsidR="00150475" w:rsidRDefault="00150475" w:rsidP="00150475">
      <w:pPr>
        <w:pStyle w:val="berschrift1"/>
      </w:pPr>
      <w:r>
        <w:t>3.3.50.189 Reihenfolgeabhängigkeit</w:t>
      </w:r>
    </w:p>
    <w:p w:rsidR="00150475" w:rsidRDefault="00150475" w:rsidP="00150475">
      <w:pPr>
        <w:pStyle w:val="StandardWeb"/>
      </w:pPr>
      <w:r>
        <w:t>Zwei Auswahloperatoren müssen nicht kommutieren:</w:t>
      </w:r>
    </w:p>
    <w:p w:rsidR="00150475" w:rsidRDefault="00150475" w:rsidP="00150475">
      <w:pPr>
        <w:pStyle w:val="StandardWeb"/>
      </w:pPr>
      <w:r>
        <w:t>[</w:t>
      </w:r>
      <w:r>
        <w:br/>
        <w:t>\operatorname{Sel}_F^{(2)}</w:t>
      </w:r>
      <w:r>
        <w:br/>
        <w:t>\circ</w:t>
      </w:r>
      <w:r>
        <w:br/>
        <w:t>\operatorname{Sel}_F^{(1)}</w:t>
      </w:r>
      <w:r>
        <w:br/>
        <w:t>\neq</w:t>
      </w:r>
      <w:r>
        <w:br/>
        <w:t>\operatorname{Sel}_F^{(1)}</w:t>
      </w:r>
      <w:r>
        <w:br/>
        <w:t>\circ</w:t>
      </w:r>
      <w:r>
        <w:br/>
        <w:t>\operatorname{Sel}_F^{(2)}.</w:t>
      </w:r>
      <w:r>
        <w:br/>
        <w:t>\tag{3.13181}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\operatorname{Sel}_F^{(2)}\circ\operatorname{Sel}_F^{(1)}\neq\operatorname{Sel}_F^{(1)}\circ\operatorname{Sel}_F^{(2)}</w:t>
      </w:r>
    </w:p>
    <w:p w:rsidR="00150475" w:rsidRDefault="00E50336" w:rsidP="00150475">
      <w:r>
        <w:pict>
          <v:rect id="_x0000_i5035" style="width:0;height:1.5pt" o:hralign="center" o:hrstd="t" o:hr="t" fillcolor="#a0a0a0" stroked="f"/>
        </w:pict>
      </w:r>
    </w:p>
    <w:p w:rsidR="00150475" w:rsidRDefault="00150475" w:rsidP="00150475">
      <w:pPr>
        <w:pStyle w:val="berschrift1"/>
      </w:pPr>
      <w:r>
        <w:t>3.3.50.190 Definition 3.3.516 – Nichtkommutierende funktionale Auswahloperatoren</w:t>
      </w:r>
    </w:p>
    <w:p w:rsidR="00150475" w:rsidRDefault="00150475" w:rsidP="00150475">
      <w:pPr>
        <w:pStyle w:val="berschrift3"/>
      </w:pPr>
      <w:r>
        <w:t>Definition 3.3.516</w:t>
      </w:r>
    </w:p>
    <w:p w:rsidR="00150475" w:rsidRDefault="00150475" w:rsidP="00150475">
      <w:pPr>
        <w:pStyle w:val="StandardWeb"/>
      </w:pPr>
      <w:r>
        <w:t xml:space="preserve">Zwei funktionale Auswahloperatoren heißen </w:t>
      </w:r>
      <w:r>
        <w:rPr>
          <w:rStyle w:val="Fett"/>
        </w:rPr>
        <w:t>nichtkommutierend</w:t>
      </w:r>
      <w:r>
        <w:t>, wenn</w:t>
      </w:r>
    </w:p>
    <w:p w:rsidR="00150475" w:rsidRDefault="00150475" w:rsidP="00150475">
      <w:pPr>
        <w:pStyle w:val="StandardWeb"/>
      </w:pPr>
      <w:r>
        <w:t>[</w:t>
      </w:r>
      <w:r>
        <w:br/>
        <w:t>\boxed{</w:t>
      </w:r>
      <w:r>
        <w:br/>
        <w:t>\operatorname{Sel}_F^{(2)}</w:t>
      </w:r>
      <w:r>
        <w:br/>
        <w:t>\circ</w:t>
      </w:r>
      <w:r>
        <w:br/>
        <w:t>\operatorname{Sel}_F^{(1)}</w:t>
      </w:r>
      <w:r>
        <w:br/>
        <w:t>\neq</w:t>
      </w:r>
      <w:r>
        <w:br/>
        <w:t>\operatorname{Sel}_F^{(1)}</w:t>
      </w:r>
      <w:r>
        <w:br/>
        <w:t>\circ</w:t>
      </w:r>
      <w:r>
        <w:br/>
        <w:t>\operatorname{Sel}_F^{(2)}.</w:t>
      </w:r>
      <w:r>
        <w:br/>
        <w:t>}</w:t>
      </w:r>
      <w:r>
        <w:br/>
        <w:t>\tag{3.13182}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\boxed{\operatorname{Sel}_F^{(2)}\circ\operatorname{Sel}_F^{(1)}\neq\operatorname{Sel}_F^{(1)}\circ\operatorname{Sel}_F^{(2)}.}</w:t>
      </w:r>
    </w:p>
    <w:p w:rsidR="00150475" w:rsidRDefault="00E50336" w:rsidP="00150475">
      <w:r>
        <w:pict>
          <v:rect id="_x0000_i5036" style="width:0;height:1.5pt" o:hralign="center" o:hrstd="t" o:hr="t" fillcolor="#a0a0a0" stroked="f"/>
        </w:pict>
      </w:r>
    </w:p>
    <w:p w:rsidR="00150475" w:rsidRDefault="00150475" w:rsidP="00150475">
      <w:pPr>
        <w:pStyle w:val="berschrift1"/>
      </w:pPr>
      <w:r>
        <w:lastRenderedPageBreak/>
        <w:t>3.3.50.191 Universelle Auswahlkommutativität als Primäraxiomkandidat</w:t>
      </w:r>
    </w:p>
    <w:p w:rsidR="00150475" w:rsidRDefault="00150475" w:rsidP="00150475">
      <w:pPr>
        <w:pStyle w:val="StandardWeb"/>
      </w:pPr>
      <w:r>
        <w:t>Ein möglicher Kandidat wäre</w:t>
      </w:r>
    </w:p>
    <w:p w:rsidR="00150475" w:rsidRDefault="00150475" w:rsidP="00150475">
      <w:pPr>
        <w:pStyle w:val="berschrift1"/>
      </w:pPr>
      <w:r>
        <w:t>[</w:t>
      </w:r>
      <w:r>
        <w:br/>
        <w:t>A_{\mathrm{comm-sel}}</w:t>
      </w:r>
      <w:r>
        <w:br/>
        <w:t>:</w:t>
      </w:r>
      <w:r>
        <w:br/>
        <w:t>\operatorname{Sel}_F^{(i)}</w:t>
      </w:r>
      <w:r>
        <w:br/>
        <w:t>\circ</w:t>
      </w:r>
      <w:r>
        <w:br/>
        <w:t>\operatorname{Sel}_F^{(j)}</w:t>
      </w:r>
    </w:p>
    <w:p w:rsidR="00150475" w:rsidRDefault="00150475" w:rsidP="00150475">
      <w:pPr>
        <w:pStyle w:val="StandardWeb"/>
      </w:pPr>
      <w:r>
        <w:t>\operatorname{Sel}_F^{(j)}</w:t>
      </w:r>
      <w:r>
        <w:br/>
        <w:t>\circ</w:t>
      </w:r>
      <w:r>
        <w:br/>
        <w:t>\operatorname{Sel}_F^{(i)}</w:t>
      </w:r>
      <w:r>
        <w:br/>
        <w:t>\tag{3.13183}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A_{\mathrm{comm-sel}}:\operatorname{Sel}_F^{(i)}\circ\operatorname{Sel}_F^{(j)}=\operatorname{Sel}_F^{(j)}\circ\operatorname{Sel}_F^{(i)}</w:t>
      </w:r>
    </w:p>
    <w:p w:rsidR="00150475" w:rsidRDefault="00150475" w:rsidP="00150475">
      <w:pPr>
        <w:pStyle w:val="StandardWeb"/>
      </w:pPr>
      <w:r>
        <w:t>für sämtliche Auswahloperatoren.</w:t>
      </w:r>
    </w:p>
    <w:p w:rsidR="00150475" w:rsidRDefault="00E50336" w:rsidP="00150475">
      <w:r>
        <w:pict>
          <v:rect id="_x0000_i5037" style="width:0;height:1.5pt" o:hralign="center" o:hrstd="t" o:hr="t" fillcolor="#a0a0a0" stroked="f"/>
        </w:pict>
      </w:r>
    </w:p>
    <w:p w:rsidR="00150475" w:rsidRDefault="00150475" w:rsidP="00150475">
      <w:pPr>
        <w:pStyle w:val="berschrift1"/>
      </w:pPr>
      <w:r>
        <w:t>3.3.50.192 Gegenmodell</w:t>
      </w:r>
    </w:p>
    <w:p w:rsidR="00150475" w:rsidRDefault="00150475" w:rsidP="00150475">
      <w:pPr>
        <w:pStyle w:val="StandardWeb"/>
      </w:pPr>
      <w:r>
        <w:t>Zunächst kann nach Zulässigkeit und anschließend nach Bewertung ausgewählt werden:</w:t>
      </w:r>
    </w:p>
    <w:p w:rsidR="00150475" w:rsidRDefault="00150475" w:rsidP="00150475">
      <w:pPr>
        <w:pStyle w:val="StandardWeb"/>
      </w:pPr>
      <w:r>
        <w:t>[</w:t>
      </w:r>
      <w:r>
        <w:br/>
        <w:t>\operatorname{Sel}_F^{u}</w:t>
      </w:r>
      <w:r>
        <w:br/>
        <w:t>\circ</w:t>
      </w:r>
      <w:r>
        <w:br/>
        <w:t>\operatorname{Sel}_F^{g}.</w:t>
      </w:r>
      <w:r>
        <w:br/>
        <w:t>\tag{3.13184}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\operatorname{Sel}_F^{u}\circ\operatorname{Sel}_F^{g}</w:t>
      </w:r>
    </w:p>
    <w:p w:rsidR="00150475" w:rsidRDefault="00150475" w:rsidP="00150475">
      <w:pPr>
        <w:pStyle w:val="StandardWeb"/>
      </w:pPr>
      <w:r>
        <w:t>Wird die Reihenfolge vertauscht,</w:t>
      </w:r>
    </w:p>
    <w:p w:rsidR="00150475" w:rsidRDefault="00150475" w:rsidP="00150475">
      <w:pPr>
        <w:pStyle w:val="StandardWeb"/>
      </w:pPr>
      <w:r>
        <w:lastRenderedPageBreak/>
        <w:t>[</w:t>
      </w:r>
      <w:r>
        <w:br/>
        <w:t>\operatorname{Sel}_F^{g}</w:t>
      </w:r>
      <w:r>
        <w:br/>
        <w:t>\circ</w:t>
      </w:r>
      <w:r>
        <w:br/>
        <w:t>\operatorname{Sel}_F^{u},</w:t>
      </w:r>
      <w:r>
        <w:br/>
        <w:t>\tag{3.13185}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\operatorname{Sel}_F^{g}\circ\operatorname{Sel}_F^{u}</w:t>
      </w:r>
    </w:p>
    <w:p w:rsidR="00150475" w:rsidRDefault="00150475" w:rsidP="00150475">
      <w:pPr>
        <w:pStyle w:val="StandardWeb"/>
      </w:pPr>
      <w:r>
        <w:t>kann ein anderes Ergebnis entstehen.</w:t>
      </w:r>
    </w:p>
    <w:p w:rsidR="00150475" w:rsidRDefault="00E50336" w:rsidP="00150475">
      <w:r>
        <w:pict>
          <v:rect id="_x0000_i5038" style="width:0;height:1.5pt" o:hralign="center" o:hrstd="t" o:hr="t" fillcolor="#a0a0a0" stroked="f"/>
        </w:pict>
      </w:r>
    </w:p>
    <w:p w:rsidR="00150475" w:rsidRDefault="00150475" w:rsidP="00150475">
      <w:pPr>
        <w:pStyle w:val="berschrift1"/>
      </w:pPr>
      <w:r>
        <w:t>3.3.50.193 Axiomentscheidung zur Auswahlkommutativität</w:t>
      </w:r>
    </w:p>
    <w:p w:rsidR="00150475" w:rsidRDefault="00150475" w:rsidP="00150475">
      <w:pPr>
        <w:pStyle w:val="StandardWeb"/>
      </w:pPr>
      <w:r>
        <w:t>Daher gilt</w:t>
      </w:r>
    </w:p>
    <w:p w:rsidR="00150475" w:rsidRDefault="00150475" w:rsidP="00150475">
      <w:pPr>
        <w:pStyle w:val="berschrift1"/>
      </w:pPr>
      <w:r>
        <w:t>[</w:t>
      </w:r>
      <w:r>
        <w:br/>
        <w:t>\boxed{</w:t>
      </w:r>
      <w:r>
        <w:br/>
        <w:t>U_{\mathrm{Ax}}</w:t>
      </w:r>
      <w:r>
        <w:br/>
        <w:t>(A_{\mathrm{comm-sel}})</w:t>
      </w:r>
    </w:p>
    <w:p w:rsidR="00150475" w:rsidRDefault="00150475" w:rsidP="00563F88">
      <w:pPr>
        <w:numPr>
          <w:ilvl w:val="0"/>
          <w:numId w:val="619"/>
        </w:numPr>
        <w:spacing w:before="100" w:beforeAutospacing="1" w:after="100" w:afterAutospacing="1"/>
      </w:pPr>
    </w:p>
    <w:p w:rsidR="00150475" w:rsidRDefault="00150475" w:rsidP="00150475">
      <w:pPr>
        <w:pStyle w:val="StandardWeb"/>
      </w:pPr>
      <w:r>
        <w:t>}</w:t>
      </w:r>
      <w:r>
        <w:br/>
        <w:t>\tag{3.13186}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\boxed{U_{\mathrm{Ax}}(A_{\mathrm{comm-sel}})=0.}</w:t>
      </w:r>
    </w:p>
    <w:p w:rsidR="00150475" w:rsidRDefault="00E50336" w:rsidP="00150475">
      <w:r>
        <w:pict>
          <v:rect id="_x0000_i5039" style="width:0;height:1.5pt" o:hralign="center" o:hrstd="t" o:hr="t" fillcolor="#a0a0a0" stroked="f"/>
        </w:pict>
      </w:r>
    </w:p>
    <w:p w:rsidR="00150475" w:rsidRDefault="00150475" w:rsidP="00150475">
      <w:pPr>
        <w:pStyle w:val="berschrift1"/>
      </w:pPr>
      <w:r>
        <w:t>3.3.50.194 Satz 3.3.196 – Universelle Kommutativität von Auswahloperatoren ist kein Primäraxiom</w:t>
      </w:r>
    </w:p>
    <w:p w:rsidR="00150475" w:rsidRDefault="00150475" w:rsidP="00150475">
      <w:pPr>
        <w:pStyle w:val="berschrift3"/>
      </w:pPr>
      <w:r>
        <w:t>Satz 3.3.196</w:t>
      </w:r>
    </w:p>
    <w:p w:rsidR="00150475" w:rsidRDefault="00150475" w:rsidP="00150475">
      <w:pPr>
        <w:pStyle w:val="StandardWeb"/>
      </w:pPr>
      <w:r>
        <w:t>Die Forderung, beliebige funktionale Auswahloperatoren müssten miteinander kommutieren, ist keine universell notwendige Voraussetzung des allgemeinen FRZK.</w:t>
      </w:r>
    </w:p>
    <w:p w:rsidR="00150475" w:rsidRDefault="00150475" w:rsidP="00150475">
      <w:pPr>
        <w:pStyle w:val="StandardWeb"/>
      </w:pPr>
      <w:r>
        <w:t>Formal gilt</w:t>
      </w:r>
    </w:p>
    <w:p w:rsidR="00150475" w:rsidRDefault="00150475" w:rsidP="00150475">
      <w:pPr>
        <w:pStyle w:val="berschrift1"/>
      </w:pPr>
      <w:r>
        <w:lastRenderedPageBreak/>
        <w:t>[</w:t>
      </w:r>
      <w:r>
        <w:br/>
        <w:t>\boxed{</w:t>
      </w:r>
      <w:r>
        <w:br/>
        <w:t>U_{\mathrm{Ax}}</w:t>
      </w:r>
      <w:r>
        <w:br/>
        <w:t>(A_{\mathrm{comm-sel}})</w:t>
      </w:r>
    </w:p>
    <w:p w:rsidR="00150475" w:rsidRDefault="00150475" w:rsidP="00563F88">
      <w:pPr>
        <w:numPr>
          <w:ilvl w:val="0"/>
          <w:numId w:val="620"/>
        </w:numPr>
        <w:spacing w:before="100" w:beforeAutospacing="1" w:after="100" w:afterAutospacing="1"/>
      </w:pPr>
    </w:p>
    <w:p w:rsidR="00150475" w:rsidRDefault="00150475" w:rsidP="00150475">
      <w:pPr>
        <w:pStyle w:val="StandardWeb"/>
      </w:pPr>
      <w:r>
        <w:t>}</w:t>
      </w:r>
      <w:r>
        <w:br/>
        <w:t>\tag{3.13187}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\boxed{U_{\mathrm{Ax}}(A_{\mathrm{comm-sel}})=0.}</w:t>
      </w:r>
    </w:p>
    <w:p w:rsidR="00150475" w:rsidRDefault="00E50336" w:rsidP="00150475">
      <w:r>
        <w:pict>
          <v:rect id="_x0000_i5040" style="width:0;height:1.5pt" o:hralign="center" o:hrstd="t" o:hr="t" fillcolor="#a0a0a0" stroked="f"/>
        </w:pict>
      </w:r>
    </w:p>
    <w:p w:rsidR="00150475" w:rsidRDefault="00150475" w:rsidP="00150475">
      <w:pPr>
        <w:pStyle w:val="berschrift1"/>
      </w:pPr>
      <w:r>
        <w:t>3.3.50.195 Korollar 3.3.46 – Auswahlreihenfolge kann strukturell relevant sein</w:t>
      </w:r>
    </w:p>
    <w:p w:rsidR="00150475" w:rsidRDefault="00150475" w:rsidP="00150475">
      <w:pPr>
        <w:pStyle w:val="berschrift3"/>
      </w:pPr>
      <w:r>
        <w:t>Korollar 3.3.46</w:t>
      </w:r>
    </w:p>
    <w:p w:rsidR="00150475" w:rsidRDefault="00150475" w:rsidP="00150475">
      <w:pPr>
        <w:pStyle w:val="StandardWeb"/>
      </w:pPr>
      <w:r>
        <w:t>Aus Satz 3.3.196 folgt</w:t>
      </w:r>
    </w:p>
    <w:p w:rsidR="00150475" w:rsidRDefault="00150475" w:rsidP="00150475">
      <w:pPr>
        <w:pStyle w:val="StandardWeb"/>
      </w:pPr>
      <w:r>
        <w:t>[</w:t>
      </w:r>
      <w:r>
        <w:br/>
        <w:t>\boxed{</w:t>
      </w:r>
      <w:r>
        <w:br/>
        <w:t>\operatorname{Sel}_F^{(2)}</w:t>
      </w:r>
      <w:r>
        <w:br/>
        <w:t>\circ</w:t>
      </w:r>
      <w:r>
        <w:br/>
        <w:t>\operatorname{Sel}_F^{(1)}</w:t>
      </w:r>
      <w:r>
        <w:br/>
        <w:t>\not\equiv</w:t>
      </w:r>
      <w:r>
        <w:br/>
        <w:t>\operatorname{Sel}_F^{(1)}</w:t>
      </w:r>
      <w:r>
        <w:br/>
        <w:t>\circ</w:t>
      </w:r>
      <w:r>
        <w:br/>
        <w:t>\operatorname{Sel}_F^{(2)}.</w:t>
      </w:r>
      <w:r>
        <w:br/>
        <w:t>}</w:t>
      </w:r>
      <w:r>
        <w:br/>
        <w:t>\tag{3.13188}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\boxed{\operatorname{Sel}_F^{(2)}\circ\operatorname{Sel}_F^{(1)}\not\equiv\operatorname{Sel}_F^{(1)}\circ\operatorname{Sel}_F^{(2)}.}</w:t>
      </w:r>
    </w:p>
    <w:p w:rsidR="00150475" w:rsidRDefault="00E50336" w:rsidP="00150475">
      <w:r>
        <w:pict>
          <v:rect id="_x0000_i5041" style="width:0;height:1.5pt" o:hralign="center" o:hrstd="t" o:hr="t" fillcolor="#a0a0a0" stroked="f"/>
        </w:pict>
      </w:r>
    </w:p>
    <w:p w:rsidR="00150475" w:rsidRDefault="00150475" w:rsidP="00150475">
      <w:pPr>
        <w:pStyle w:val="berschrift1"/>
      </w:pPr>
      <w:r>
        <w:t>3.3.50.196 Historienabhängige Auswahl</w:t>
      </w:r>
    </w:p>
    <w:p w:rsidR="00150475" w:rsidRDefault="00150475" w:rsidP="00150475">
      <w:pPr>
        <w:pStyle w:val="StandardWeb"/>
      </w:pPr>
      <w:r>
        <w:t>Eine Auswahlregel kann nicht nur vom gegenwärtigen Zustand, sondern auch von der vorangegangenen Entwicklung abhängen.</w:t>
      </w:r>
    </w:p>
    <w:p w:rsidR="00150475" w:rsidRDefault="00150475" w:rsidP="00150475">
      <w:pPr>
        <w:pStyle w:val="StandardWeb"/>
      </w:pPr>
      <w:r>
        <w:lastRenderedPageBreak/>
        <w:t>Sei</w:t>
      </w:r>
    </w:p>
    <w:p w:rsidR="00150475" w:rsidRDefault="00150475" w:rsidP="00150475">
      <w:pPr>
        <w:pStyle w:val="berschrift1"/>
      </w:pPr>
      <w:r>
        <w:t>[</w:t>
      </w:r>
      <w:r>
        <w:br/>
        <w:t>h_t</w:t>
      </w:r>
    </w:p>
    <w:p w:rsidR="00150475" w:rsidRDefault="00150475" w:rsidP="00150475">
      <w:pPr>
        <w:pStyle w:val="StandardWeb"/>
      </w:pPr>
      <w:r>
        <w:t>(z_0,z_1,\ldots,z_t)</w:t>
      </w:r>
      <w:r>
        <w:br/>
        <w:t>\tag{3.13189}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h_t=(z_0,z_1,\ldots,z_t)</w:t>
      </w:r>
    </w:p>
    <w:p w:rsidR="00150475" w:rsidRDefault="00150475" w:rsidP="00150475">
      <w:pPr>
        <w:pStyle w:val="StandardWeb"/>
      </w:pPr>
      <w:r>
        <w:t>eine Zustandshistorie.</w:t>
      </w:r>
    </w:p>
    <w:p w:rsidR="00150475" w:rsidRDefault="00E50336" w:rsidP="00150475">
      <w:r>
        <w:pict>
          <v:rect id="_x0000_i5042" style="width:0;height:1.5pt" o:hralign="center" o:hrstd="t" o:hr="t" fillcolor="#a0a0a0" stroked="f"/>
        </w:pict>
      </w:r>
    </w:p>
    <w:p w:rsidR="00150475" w:rsidRDefault="00150475" w:rsidP="00150475">
      <w:pPr>
        <w:pStyle w:val="berschrift1"/>
      </w:pPr>
      <w:r>
        <w:t>3.3.50.197 Definition 3.3.517 – Funktionale Auswahlhistorie</w:t>
      </w:r>
    </w:p>
    <w:p w:rsidR="00150475" w:rsidRDefault="00150475" w:rsidP="00150475">
      <w:pPr>
        <w:pStyle w:val="berschrift3"/>
      </w:pPr>
      <w:r>
        <w:t>Definition 3.3.517</w:t>
      </w:r>
    </w:p>
    <w:p w:rsidR="00150475" w:rsidRDefault="00150475" w:rsidP="00150475">
      <w:pPr>
        <w:pStyle w:val="StandardWeb"/>
      </w:pPr>
      <w:r>
        <w:t xml:space="preserve">Eine </w:t>
      </w:r>
      <w:r>
        <w:rPr>
          <w:rStyle w:val="Fett"/>
        </w:rPr>
        <w:t>funktionale Auswahlhistorie</w:t>
      </w:r>
      <w:r>
        <w:t xml:space="preserve"> ist eine geordnete Folge</w:t>
      </w:r>
    </w:p>
    <w:p w:rsidR="00150475" w:rsidRDefault="00150475" w:rsidP="00150475">
      <w:pPr>
        <w:pStyle w:val="berschrift1"/>
      </w:pPr>
      <w:r>
        <w:t>[</w:t>
      </w:r>
      <w:r>
        <w:br/>
        <w:t>\boxed{</w:t>
      </w:r>
      <w:r>
        <w:br/>
        <w:t>h_t</w:t>
      </w:r>
    </w:p>
    <w:p w:rsidR="00150475" w:rsidRDefault="00150475" w:rsidP="00150475">
      <w:pPr>
        <w:pStyle w:val="StandardWeb"/>
      </w:pPr>
      <w:r>
        <w:t>(z_0,z_1,\ldots,z_t).</w:t>
      </w:r>
      <w:r>
        <w:br/>
        <w:t>}</w:t>
      </w:r>
      <w:r>
        <w:br/>
        <w:t>\tag{3.13190}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\boxed{h_t=(z_0,z_1,\ldots,z_t).}</w:t>
      </w:r>
    </w:p>
    <w:p w:rsidR="00150475" w:rsidRDefault="00E50336" w:rsidP="00150475">
      <w:r>
        <w:pict>
          <v:rect id="_x0000_i5043" style="width:0;height:1.5pt" o:hralign="center" o:hrstd="t" o:hr="t" fillcolor="#a0a0a0" stroked="f"/>
        </w:pict>
      </w:r>
    </w:p>
    <w:p w:rsidR="00150475" w:rsidRDefault="00150475" w:rsidP="00150475">
      <w:pPr>
        <w:pStyle w:val="berschrift1"/>
      </w:pPr>
      <w:r>
        <w:t>3.3.50.198 Historienabhängiger Auswahloperator</w:t>
      </w:r>
    </w:p>
    <w:p w:rsidR="00150475" w:rsidRDefault="00150475" w:rsidP="00150475">
      <w:pPr>
        <w:pStyle w:val="StandardWeb"/>
      </w:pPr>
      <w:r>
        <w:t>Ich schreibe</w:t>
      </w:r>
    </w:p>
    <w:p w:rsidR="00150475" w:rsidRDefault="00150475" w:rsidP="00150475">
      <w:pPr>
        <w:pStyle w:val="berschrift1"/>
      </w:pPr>
      <w:r>
        <w:t>[</w:t>
      </w:r>
      <w:r>
        <w:br/>
        <w:t>\operatorname{Sel}_F</w:t>
      </w:r>
    </w:p>
    <w:p w:rsidR="00150475" w:rsidRDefault="00150475" w:rsidP="00150475">
      <w:pPr>
        <w:pStyle w:val="StandardWeb"/>
      </w:pPr>
      <w:r>
        <w:lastRenderedPageBreak/>
        <w:t>\operatorname{Sel}_F(h_t,c).</w:t>
      </w:r>
      <w:r>
        <w:br/>
        <w:t>\tag{3.13191}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\operatorname{Sel}_F=\operatorname{Sel}_F(h_t,c)</w:t>
      </w:r>
    </w:p>
    <w:p w:rsidR="00150475" w:rsidRDefault="00E50336" w:rsidP="00150475">
      <w:r>
        <w:pict>
          <v:rect id="_x0000_i5044" style="width:0;height:1.5pt" o:hralign="center" o:hrstd="t" o:hr="t" fillcolor="#a0a0a0" stroked="f"/>
        </w:pict>
      </w:r>
    </w:p>
    <w:p w:rsidR="00150475" w:rsidRDefault="00150475" w:rsidP="00150475">
      <w:pPr>
        <w:pStyle w:val="berschrift1"/>
      </w:pPr>
      <w:r>
        <w:t>3.3.50.199 Definition 3.3.518 – Historienabhängige funktionale Auswahl</w:t>
      </w:r>
    </w:p>
    <w:p w:rsidR="00150475" w:rsidRDefault="00150475" w:rsidP="00150475">
      <w:pPr>
        <w:pStyle w:val="berschrift3"/>
      </w:pPr>
      <w:r>
        <w:t>Definition 3.3.518</w:t>
      </w:r>
    </w:p>
    <w:p w:rsidR="00150475" w:rsidRDefault="00150475" w:rsidP="00150475">
      <w:pPr>
        <w:pStyle w:val="StandardWeb"/>
      </w:pPr>
      <w:r>
        <w:t xml:space="preserve">Eine Auswahl heißt </w:t>
      </w:r>
      <w:r>
        <w:rPr>
          <w:rStyle w:val="Fett"/>
        </w:rPr>
        <w:t>historienabhängig</w:t>
      </w:r>
      <w:r>
        <w:t>, wenn</w:t>
      </w:r>
    </w:p>
    <w:p w:rsidR="00150475" w:rsidRDefault="00150475" w:rsidP="00150475">
      <w:pPr>
        <w:pStyle w:val="berschrift1"/>
      </w:pPr>
      <w:r>
        <w:t>[</w:t>
      </w:r>
      <w:r>
        <w:br/>
        <w:t>\boxed{</w:t>
      </w:r>
      <w:r>
        <w:br/>
        <w:t>\operatorname{Sel}_F</w:t>
      </w:r>
    </w:p>
    <w:p w:rsidR="00150475" w:rsidRDefault="00150475" w:rsidP="00150475">
      <w:pPr>
        <w:pStyle w:val="StandardWeb"/>
      </w:pPr>
      <w:r>
        <w:t>\operatorname{Sel}_F(h_t,c).</w:t>
      </w:r>
      <w:r>
        <w:br/>
        <w:t>}</w:t>
      </w:r>
      <w:r>
        <w:br/>
        <w:t>\tag{3.13192}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\boxed{\operatorname{Sel}_F=\operatorname{Sel}_F(h_t,c).}</w:t>
      </w:r>
    </w:p>
    <w:p w:rsidR="00150475" w:rsidRDefault="00E50336" w:rsidP="00150475">
      <w:r>
        <w:pict>
          <v:rect id="_x0000_i5045" style="width:0;height:1.5pt" o:hralign="center" o:hrstd="t" o:hr="t" fillcolor="#a0a0a0" stroked="f"/>
        </w:pict>
      </w:r>
    </w:p>
    <w:p w:rsidR="00150475" w:rsidRDefault="00150475" w:rsidP="00150475">
      <w:pPr>
        <w:pStyle w:val="berschrift1"/>
      </w:pPr>
      <w:r>
        <w:t>3.3.50.200 Gleicher Zustand, andere Auswahl</w:t>
      </w:r>
    </w:p>
    <w:p w:rsidR="00150475" w:rsidRDefault="00150475" w:rsidP="00150475">
      <w:pPr>
        <w:pStyle w:val="StandardWeb"/>
      </w:pPr>
      <w:r>
        <w:t>Zwei Historien können im selben aktuellen Zustand enden:</w:t>
      </w:r>
    </w:p>
    <w:p w:rsidR="00150475" w:rsidRDefault="00150475" w:rsidP="00150475">
      <w:pPr>
        <w:pStyle w:val="berschrift1"/>
      </w:pPr>
      <w:r>
        <w:t>[</w:t>
      </w:r>
      <w:r>
        <w:br/>
        <w:t>z_t^{(1)}</w:t>
      </w:r>
    </w:p>
    <w:p w:rsidR="00150475" w:rsidRDefault="00150475" w:rsidP="00150475">
      <w:pPr>
        <w:pStyle w:val="StandardWeb"/>
      </w:pPr>
      <w:r>
        <w:t>z_t^{(2)}</w:t>
      </w:r>
      <w:r>
        <w:br/>
        <w:t>\tag{3.13193}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z_t^{(1)}=z_t^{(2)}</w:t>
      </w:r>
    </w:p>
    <w:p w:rsidR="00150475" w:rsidRDefault="00150475" w:rsidP="00150475">
      <w:pPr>
        <w:pStyle w:val="StandardWeb"/>
      </w:pPr>
      <w:r>
        <w:t>und dennoch unterschiedliche Auswahlresultate erzeugen:</w:t>
      </w:r>
    </w:p>
    <w:p w:rsidR="00150475" w:rsidRDefault="00150475" w:rsidP="00150475">
      <w:pPr>
        <w:pStyle w:val="StandardWeb"/>
      </w:pPr>
      <w:r>
        <w:lastRenderedPageBreak/>
        <w:t>[</w:t>
      </w:r>
      <w:r>
        <w:br/>
        <w:t>\operatorname{Sel}_F(h_t^{(1)},c)</w:t>
      </w:r>
      <w:r>
        <w:br/>
        <w:t>\neq</w:t>
      </w:r>
      <w:r>
        <w:br/>
        <w:t>\operatorname{Sel}_F(h_t^{(2)},c).</w:t>
      </w:r>
      <w:r>
        <w:br/>
        <w:t>\tag{3.13194}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\operatorname{Sel}_F(h_t^{(1)},c)\neq\operatorname{Sel}_F(h_t^{(2)},c)</w:t>
      </w:r>
    </w:p>
    <w:p w:rsidR="00150475" w:rsidRDefault="00E50336" w:rsidP="00150475">
      <w:r>
        <w:pict>
          <v:rect id="_x0000_i5046" style="width:0;height:1.5pt" o:hralign="center" o:hrstd="t" o:hr="t" fillcolor="#a0a0a0" stroked="f"/>
        </w:pict>
      </w:r>
    </w:p>
    <w:p w:rsidR="00150475" w:rsidRDefault="00150475" w:rsidP="00150475">
      <w:pPr>
        <w:pStyle w:val="berschrift1"/>
      </w:pPr>
      <w:r>
        <w:t>3.3.50.201 Definition 3.3.519 – Funktionale Auswahlpfadabhängigkeit</w:t>
      </w:r>
    </w:p>
    <w:p w:rsidR="00150475" w:rsidRDefault="00150475" w:rsidP="00150475">
      <w:pPr>
        <w:pStyle w:val="berschrift3"/>
      </w:pPr>
      <w:r>
        <w:t>Definition 3.3.519</w:t>
      </w:r>
    </w:p>
    <w:p w:rsidR="00150475" w:rsidRDefault="00150475" w:rsidP="00150475">
      <w:pPr>
        <w:pStyle w:val="StandardWeb"/>
      </w:pPr>
      <w:r>
        <w:t xml:space="preserve">Eine funktionale Auswahl heißt </w:t>
      </w:r>
      <w:r>
        <w:rPr>
          <w:rStyle w:val="Fett"/>
        </w:rPr>
        <w:t>pfadabhängig</w:t>
      </w:r>
      <w:r>
        <w:t>, wenn zwei Historien mit identischem aktuellem Zustand zu unterschiedlichen Auswahlresultaten führen:</w:t>
      </w:r>
    </w:p>
    <w:p w:rsidR="00150475" w:rsidRDefault="00150475" w:rsidP="00150475">
      <w:pPr>
        <w:pStyle w:val="berschrift1"/>
      </w:pPr>
      <w:r>
        <w:t>[</w:t>
      </w:r>
      <w:r>
        <w:br/>
        <w:t>\boxed{</w:t>
      </w:r>
      <w:r>
        <w:br/>
        <w:t>z_t^{(1)}</w:t>
      </w:r>
    </w:p>
    <w:p w:rsidR="00150475" w:rsidRDefault="00150475" w:rsidP="00150475">
      <w:pPr>
        <w:pStyle w:val="StandardWeb"/>
      </w:pPr>
      <w:r>
        <w:t>z_t^{(2)}</w:t>
      </w:r>
      <w:r>
        <w:br/>
        <w:t>\land</w:t>
      </w:r>
      <w:r>
        <w:br/>
        <w:t>\operatorname{Sel}_F(h_t^{(1)},c)</w:t>
      </w:r>
      <w:r>
        <w:br/>
        <w:t>\neq</w:t>
      </w:r>
      <w:r>
        <w:br/>
        <w:t>\operatorname{Sel}_F(h_t^{(2)},c).</w:t>
      </w:r>
      <w:r>
        <w:br/>
        <w:t>}</w:t>
      </w:r>
      <w:r>
        <w:br/>
        <w:t>\tag{3.13195}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\boxed{z_t^{(1)}=z_t^{(2)}\land\operatorname{Sel}_F(h_t^{(1)},c)\neq\operatorname{Sel}_F(h_t^{(2)},c).}</w:t>
      </w:r>
    </w:p>
    <w:p w:rsidR="00150475" w:rsidRDefault="00E50336" w:rsidP="00150475">
      <w:r>
        <w:pict>
          <v:rect id="_x0000_i5047" style="width:0;height:1.5pt" o:hralign="center" o:hrstd="t" o:hr="t" fillcolor="#a0a0a0" stroked="f"/>
        </w:pict>
      </w:r>
    </w:p>
    <w:p w:rsidR="00150475" w:rsidRDefault="00150475" w:rsidP="00150475">
      <w:pPr>
        <w:pStyle w:val="berschrift1"/>
      </w:pPr>
      <w:r>
        <w:t>3.3.50.202 Gedächtnislose Auswahl als Primäraxiomkandidat</w:t>
      </w:r>
    </w:p>
    <w:p w:rsidR="00150475" w:rsidRDefault="00150475" w:rsidP="00150475">
      <w:pPr>
        <w:pStyle w:val="StandardWeb"/>
      </w:pPr>
      <w:r>
        <w:t>Ein möglicher Kandidat wäre</w:t>
      </w:r>
    </w:p>
    <w:p w:rsidR="00150475" w:rsidRDefault="00150475" w:rsidP="00150475">
      <w:pPr>
        <w:pStyle w:val="berschrift1"/>
      </w:pPr>
      <w:r>
        <w:lastRenderedPageBreak/>
        <w:t>[</w:t>
      </w:r>
      <w:r>
        <w:br/>
        <w:t>A_{\mathrm{memoryless}}</w:t>
      </w:r>
      <w:r>
        <w:br/>
        <w:t>:</w:t>
      </w:r>
      <w:r>
        <w:br/>
        <w:t>\operatorname{Sel}_F</w:t>
      </w:r>
    </w:p>
    <w:p w:rsidR="00150475" w:rsidRDefault="00150475" w:rsidP="00150475">
      <w:pPr>
        <w:pStyle w:val="StandardWeb"/>
      </w:pPr>
      <w:r>
        <w:t>\operatorname{Sel}_F(z_t,c).</w:t>
      </w:r>
      <w:r>
        <w:br/>
        <w:t>\tag{3.13196}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A_{\mathrm{memoryless}}:\operatorname{Sel}_F=\operatorname{Sel}_F(z_t,c)</w:t>
      </w:r>
    </w:p>
    <w:p w:rsidR="00150475" w:rsidRDefault="00E50336" w:rsidP="00150475">
      <w:r>
        <w:pict>
          <v:rect id="_x0000_i5048" style="width:0;height:1.5pt" o:hralign="center" o:hrstd="t" o:hr="t" fillcolor="#a0a0a0" stroked="f"/>
        </w:pict>
      </w:r>
    </w:p>
    <w:p w:rsidR="00150475" w:rsidRDefault="00150475" w:rsidP="00150475">
      <w:pPr>
        <w:pStyle w:val="berschrift1"/>
      </w:pPr>
      <w:r>
        <w:t>3.3.50.203 Gegenmodell zur Gedächtnislosigkeit</w:t>
      </w:r>
    </w:p>
    <w:p w:rsidR="00150475" w:rsidRDefault="00150475" w:rsidP="00150475">
      <w:pPr>
        <w:pStyle w:val="StandardWeb"/>
      </w:pPr>
      <w:r>
        <w:t>Eine zulässige Modellklasse kann pfadabhängig sein:</w:t>
      </w:r>
    </w:p>
    <w:p w:rsidR="00150475" w:rsidRDefault="00150475" w:rsidP="00150475">
      <w:pPr>
        <w:pStyle w:val="berschrift1"/>
      </w:pPr>
      <w:r>
        <w:t>[</w:t>
      </w:r>
      <w:r>
        <w:br/>
        <w:t>\operatorname{Sel}_F</w:t>
      </w:r>
    </w:p>
    <w:p w:rsidR="00150475" w:rsidRDefault="00150475" w:rsidP="00150475">
      <w:pPr>
        <w:pStyle w:val="StandardWeb"/>
      </w:pPr>
      <w:r>
        <w:t>\operatorname{Sel}_F(h_t,c).</w:t>
      </w:r>
      <w:r>
        <w:br/>
        <w:t>\tag{3.13197}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\operatorname{Sel}_F=\operatorname{Sel}_F(h_t,c)</w:t>
      </w:r>
    </w:p>
    <w:p w:rsidR="00150475" w:rsidRDefault="00150475" w:rsidP="00150475">
      <w:pPr>
        <w:pStyle w:val="StandardWeb"/>
      </w:pPr>
      <w:r>
        <w:t>Dann reicht der aktuelle Zustand allein nicht zur Bestimmung der Auswahl.</w:t>
      </w:r>
    </w:p>
    <w:p w:rsidR="00150475" w:rsidRDefault="00E50336" w:rsidP="00150475">
      <w:r>
        <w:pict>
          <v:rect id="_x0000_i5049" style="width:0;height:1.5pt" o:hralign="center" o:hrstd="t" o:hr="t" fillcolor="#a0a0a0" stroked="f"/>
        </w:pict>
      </w:r>
    </w:p>
    <w:p w:rsidR="00150475" w:rsidRDefault="00150475" w:rsidP="00150475">
      <w:pPr>
        <w:pStyle w:val="berschrift1"/>
      </w:pPr>
      <w:r>
        <w:t>3.3.50.204 Axiomentscheidung zur Gedächtnislosigkeit</w:t>
      </w:r>
    </w:p>
    <w:p w:rsidR="00150475" w:rsidRDefault="00150475" w:rsidP="00150475">
      <w:pPr>
        <w:pStyle w:val="StandardWeb"/>
      </w:pPr>
      <w:r>
        <w:t>Somit gilt</w:t>
      </w:r>
    </w:p>
    <w:p w:rsidR="00150475" w:rsidRDefault="00150475" w:rsidP="00150475">
      <w:pPr>
        <w:pStyle w:val="berschrift1"/>
      </w:pPr>
      <w:r>
        <w:t>[</w:t>
      </w:r>
      <w:r>
        <w:br/>
        <w:t>\boxed{</w:t>
      </w:r>
      <w:r>
        <w:br/>
        <w:t>U_{\mathrm{Ax}}</w:t>
      </w:r>
      <w:r>
        <w:br/>
        <w:t>(A_{\mathrm{memoryless}})</w:t>
      </w:r>
    </w:p>
    <w:p w:rsidR="00150475" w:rsidRDefault="00150475" w:rsidP="00563F88">
      <w:pPr>
        <w:numPr>
          <w:ilvl w:val="0"/>
          <w:numId w:val="621"/>
        </w:numPr>
        <w:spacing w:before="100" w:beforeAutospacing="1" w:after="100" w:afterAutospacing="1"/>
      </w:pPr>
    </w:p>
    <w:p w:rsidR="00150475" w:rsidRDefault="00150475" w:rsidP="00150475">
      <w:pPr>
        <w:pStyle w:val="StandardWeb"/>
      </w:pPr>
      <w:r>
        <w:t>}</w:t>
      </w:r>
      <w:r>
        <w:br/>
        <w:t>\tag{3.13198}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\boxed{U_{\mathrm{Ax}}(A_{\mathrm{memoryless}})=0.}</w:t>
      </w:r>
    </w:p>
    <w:p w:rsidR="00150475" w:rsidRDefault="00E50336" w:rsidP="00150475">
      <w:r>
        <w:pict>
          <v:rect id="_x0000_i5050" style="width:0;height:1.5pt" o:hralign="center" o:hrstd="t" o:hr="t" fillcolor="#a0a0a0" stroked="f"/>
        </w:pict>
      </w:r>
    </w:p>
    <w:p w:rsidR="00150475" w:rsidRDefault="00150475" w:rsidP="00150475">
      <w:pPr>
        <w:pStyle w:val="berschrift1"/>
      </w:pPr>
      <w:r>
        <w:t>3.3.50.205 Satz 3.3.197 – Gedächtnislose Auswahl ist kein Primäraxiom</w:t>
      </w:r>
    </w:p>
    <w:p w:rsidR="00150475" w:rsidRDefault="00150475" w:rsidP="00150475">
      <w:pPr>
        <w:pStyle w:val="berschrift3"/>
      </w:pPr>
      <w:r>
        <w:t>Satz 3.3.197</w:t>
      </w:r>
    </w:p>
    <w:p w:rsidR="00150475" w:rsidRDefault="00150475" w:rsidP="00150475">
      <w:pPr>
        <w:pStyle w:val="StandardWeb"/>
      </w:pPr>
      <w:r>
        <w:t>Die Forderung, jede funktionale Auswahl müsse ausschließlich vom aktuellen Zustand und nicht von ihrer Zustandshistorie abhängen, ist keine universell notwendige Voraussetzung des allgemeinen FRZK.</w:t>
      </w:r>
    </w:p>
    <w:p w:rsidR="00150475" w:rsidRDefault="00150475" w:rsidP="00150475">
      <w:pPr>
        <w:pStyle w:val="StandardWeb"/>
      </w:pPr>
      <w:r>
        <w:t>Formal gilt</w:t>
      </w:r>
    </w:p>
    <w:p w:rsidR="00150475" w:rsidRDefault="00150475" w:rsidP="00150475">
      <w:pPr>
        <w:pStyle w:val="berschrift1"/>
      </w:pPr>
      <w:r>
        <w:t>[</w:t>
      </w:r>
      <w:r>
        <w:br/>
        <w:t>\boxed{</w:t>
      </w:r>
      <w:r>
        <w:br/>
        <w:t>U_{\mathrm{Ax}}</w:t>
      </w:r>
      <w:r>
        <w:br/>
        <w:t>(A_{\mathrm{memoryless}})</w:t>
      </w:r>
    </w:p>
    <w:p w:rsidR="00150475" w:rsidRDefault="00150475" w:rsidP="00563F88">
      <w:pPr>
        <w:numPr>
          <w:ilvl w:val="0"/>
          <w:numId w:val="622"/>
        </w:numPr>
        <w:spacing w:before="100" w:beforeAutospacing="1" w:after="100" w:afterAutospacing="1"/>
      </w:pPr>
    </w:p>
    <w:p w:rsidR="00150475" w:rsidRDefault="00150475" w:rsidP="00150475">
      <w:pPr>
        <w:pStyle w:val="StandardWeb"/>
      </w:pPr>
      <w:r>
        <w:t>}</w:t>
      </w:r>
      <w:r>
        <w:br/>
        <w:t>\tag{3.13199}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\boxed{U_{\mathrm{Ax}}(A_{\mathrm{memoryless}})=0.}</w:t>
      </w:r>
    </w:p>
    <w:p w:rsidR="00150475" w:rsidRDefault="00E50336" w:rsidP="00150475">
      <w:r>
        <w:pict>
          <v:rect id="_x0000_i5051" style="width:0;height:1.5pt" o:hralign="center" o:hrstd="t" o:hr="t" fillcolor="#a0a0a0" stroked="f"/>
        </w:pict>
      </w:r>
    </w:p>
    <w:p w:rsidR="00150475" w:rsidRDefault="00150475" w:rsidP="00150475">
      <w:pPr>
        <w:pStyle w:val="berschrift1"/>
      </w:pPr>
      <w:r>
        <w:t>3.3.50.206 Zufallsbasierte Auswahl</w:t>
      </w:r>
    </w:p>
    <w:p w:rsidR="00150475" w:rsidRDefault="00150475" w:rsidP="00150475">
      <w:pPr>
        <w:pStyle w:val="StandardWeb"/>
      </w:pPr>
      <w:r>
        <w:t>Eine Auswahl kann zusätzlich einen stochastischen Parameter besitzen.</w:t>
      </w:r>
    </w:p>
    <w:p w:rsidR="00150475" w:rsidRDefault="00150475" w:rsidP="00150475">
      <w:pPr>
        <w:pStyle w:val="StandardWeb"/>
      </w:pPr>
      <w:r>
        <w:t>Ich schreibe</w:t>
      </w:r>
    </w:p>
    <w:p w:rsidR="00150475" w:rsidRDefault="00150475" w:rsidP="00150475">
      <w:pPr>
        <w:pStyle w:val="berschrift1"/>
      </w:pPr>
      <w:r>
        <w:lastRenderedPageBreak/>
        <w:t>[</w:t>
      </w:r>
      <w:r>
        <w:br/>
        <w:t>\operatorname{Sel}_F</w:t>
      </w:r>
    </w:p>
    <w:p w:rsidR="00150475" w:rsidRDefault="00150475" w:rsidP="00150475">
      <w:pPr>
        <w:pStyle w:val="StandardWeb"/>
      </w:pPr>
      <w:r>
        <w:t>\operatorname{Sel}_F(\mathcal C_F,\omega)</w:t>
      </w:r>
      <w:r>
        <w:br/>
        <w:t>\tag{3.13200}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\operatorname{Sel}_F=\operatorname{Sel}_F(\mathcal C_F,\omega)</w:t>
      </w:r>
    </w:p>
    <w:p w:rsidR="00150475" w:rsidRDefault="00150475" w:rsidP="00150475">
      <w:pPr>
        <w:pStyle w:val="StandardWeb"/>
      </w:pPr>
      <w:r>
        <w:t>mit</w:t>
      </w:r>
    </w:p>
    <w:p w:rsidR="00150475" w:rsidRDefault="00150475" w:rsidP="00150475">
      <w:pPr>
        <w:pStyle w:val="StandardWeb"/>
      </w:pPr>
      <w:r>
        <w:t>[</w:t>
      </w:r>
      <w:r>
        <w:br/>
        <w:t>\omega</w:t>
      </w:r>
      <w:r>
        <w:br/>
        <w:t>\in</w:t>
      </w:r>
      <w:r>
        <w:br/>
        <w:t>\Omega_{\mathrm{sel}}.</w:t>
      </w:r>
      <w:r>
        <w:br/>
        <w:t>\tag{3.13201}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\omega\in\Omega_{\mathrm{sel}}</w:t>
      </w:r>
    </w:p>
    <w:p w:rsidR="00150475" w:rsidRDefault="00E50336" w:rsidP="00150475">
      <w:r>
        <w:pict>
          <v:rect id="_x0000_i5052" style="width:0;height:1.5pt" o:hralign="center" o:hrstd="t" o:hr="t" fillcolor="#a0a0a0" stroked="f"/>
        </w:pict>
      </w:r>
    </w:p>
    <w:p w:rsidR="00150475" w:rsidRDefault="00150475" w:rsidP="00150475">
      <w:pPr>
        <w:pStyle w:val="berschrift1"/>
      </w:pPr>
      <w:r>
        <w:t>3.3.50.207 Definition 3.3.520 – Stochastischer funktionaler Auswahloperator</w:t>
      </w:r>
    </w:p>
    <w:p w:rsidR="00150475" w:rsidRDefault="00150475" w:rsidP="00150475">
      <w:pPr>
        <w:pStyle w:val="berschrift3"/>
      </w:pPr>
      <w:r>
        <w:t>Definition 3.3.520</w:t>
      </w:r>
    </w:p>
    <w:p w:rsidR="00150475" w:rsidRDefault="00150475" w:rsidP="00150475">
      <w:pPr>
        <w:pStyle w:val="StandardWeb"/>
      </w:pPr>
      <w:r>
        <w:t xml:space="preserve">Ein </w:t>
      </w:r>
      <w:r>
        <w:rPr>
          <w:rStyle w:val="Fett"/>
        </w:rPr>
        <w:t>stochastischer funktionaler Auswahloperator</w:t>
      </w:r>
      <w:r>
        <w:t xml:space="preserve"> ist eine Auswahlabbildung</w:t>
      </w:r>
    </w:p>
    <w:p w:rsidR="00150475" w:rsidRDefault="00150475" w:rsidP="00150475">
      <w:pPr>
        <w:pStyle w:val="StandardWeb"/>
      </w:pPr>
      <w:r>
        <w:t>[</w:t>
      </w:r>
      <w:r>
        <w:br/>
        <w:t>\boxed{</w:t>
      </w:r>
      <w:r>
        <w:br/>
        <w:t>\operatorname{Sel}</w:t>
      </w:r>
      <w:r>
        <w:rPr>
          <w:rStyle w:val="Hervorhebung"/>
        </w:rPr>
        <w:t>F^\omega</w:t>
      </w:r>
      <w:r>
        <w:rPr>
          <w:i/>
          <w:iCs/>
        </w:rPr>
        <w:br/>
      </w:r>
      <w:r>
        <w:rPr>
          <w:rStyle w:val="Hervorhebung"/>
        </w:rPr>
        <w:t>:</w:t>
      </w:r>
      <w:r>
        <w:rPr>
          <w:i/>
          <w:iCs/>
        </w:rPr>
        <w:br/>
      </w:r>
      <w:r>
        <w:rPr>
          <w:rStyle w:val="Hervorhebung"/>
        </w:rPr>
        <w:t>\mathcal P(\mathcal X_F)</w:t>
      </w:r>
      <w:r>
        <w:rPr>
          <w:i/>
          <w:iCs/>
        </w:rPr>
        <w:br/>
      </w:r>
      <w:r>
        <w:rPr>
          <w:rStyle w:val="Hervorhebung"/>
        </w:rPr>
        <w:t>\times</w:t>
      </w:r>
      <w:r>
        <w:rPr>
          <w:i/>
          <w:iCs/>
        </w:rPr>
        <w:br/>
      </w:r>
      <w:r>
        <w:rPr>
          <w:rStyle w:val="Hervorhebung"/>
        </w:rPr>
        <w:t>\Omega</w:t>
      </w:r>
      <w:r>
        <w:t>{\mathrm{sel}}</w:t>
      </w:r>
      <w:r>
        <w:br/>
        <w:t>\rightarrow</w:t>
      </w:r>
      <w:r>
        <w:br/>
        <w:t>\mathcal P(\mathcal X_F).</w:t>
      </w:r>
      <w:r>
        <w:br/>
        <w:t>}</w:t>
      </w:r>
      <w:r>
        <w:br/>
        <w:t>\tag{3.13202}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\boxed{\operatorname{Sel}_F^\omega:\mathcal P(\mathcal X_F)\times\Omega_{\mathrm{sel}}\rightarrow\mathcal P(\mathcal X_F).}</w:t>
      </w:r>
    </w:p>
    <w:p w:rsidR="00150475" w:rsidRDefault="00E50336" w:rsidP="00150475">
      <w:r>
        <w:lastRenderedPageBreak/>
        <w:pict>
          <v:rect id="_x0000_i5053" style="width:0;height:1.5pt" o:hralign="center" o:hrstd="t" o:hr="t" fillcolor="#a0a0a0" stroked="f"/>
        </w:pict>
      </w:r>
    </w:p>
    <w:p w:rsidR="00150475" w:rsidRDefault="00150475" w:rsidP="00150475">
      <w:pPr>
        <w:pStyle w:val="berschrift1"/>
      </w:pPr>
      <w:r>
        <w:t>3.3.50.208 Auswahlwahrscheinlichkeit</w:t>
      </w:r>
    </w:p>
    <w:p w:rsidR="00150475" w:rsidRDefault="00150475" w:rsidP="00150475">
      <w:pPr>
        <w:pStyle w:val="StandardWeb"/>
      </w:pPr>
      <w:r>
        <w:t>Für ein Objekt (X) kann dann</w:t>
      </w:r>
    </w:p>
    <w:p w:rsidR="00150475" w:rsidRDefault="00150475" w:rsidP="00150475">
      <w:pPr>
        <w:pStyle w:val="berschrift1"/>
      </w:pPr>
      <w:r>
        <w:t>[</w:t>
      </w:r>
      <w:r>
        <w:br/>
        <w:t>p_F(X\mid\mathcal C_F)</w:t>
      </w:r>
    </w:p>
    <w:p w:rsidR="00150475" w:rsidRDefault="00150475" w:rsidP="00150475">
      <w:pPr>
        <w:pStyle w:val="StandardWeb"/>
      </w:pPr>
      <w:r>
        <w:t>\Pr</w:t>
      </w:r>
      <w:r>
        <w:br/>
        <w:t>\left[</w:t>
      </w:r>
      <w:r>
        <w:br/>
        <w:t>X</w:t>
      </w:r>
      <w:r>
        <w:br/>
        <w:t>\in</w:t>
      </w:r>
      <w:r>
        <w:br/>
        <w:t>\operatorname{Sel}_F^\omega(\mathcal C_F)</w:t>
      </w:r>
      <w:r>
        <w:br/>
        <w:t>\right]</w:t>
      </w:r>
      <w:r>
        <w:br/>
        <w:t>\tag{3.13203}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p_F(X\mid\mathcal C_F)=\Pr\left[X\in\operatorname{Sel}_F^\omega(\mathcal C_F)\right]</w:t>
      </w:r>
    </w:p>
    <w:p w:rsidR="00150475" w:rsidRDefault="00150475" w:rsidP="00150475">
      <w:pPr>
        <w:pStyle w:val="StandardWeb"/>
      </w:pPr>
      <w:r>
        <w:t>definiert werden.</w:t>
      </w:r>
    </w:p>
    <w:p w:rsidR="00150475" w:rsidRDefault="00E50336" w:rsidP="00150475">
      <w:r>
        <w:pict>
          <v:rect id="_x0000_i5054" style="width:0;height:1.5pt" o:hralign="center" o:hrstd="t" o:hr="t" fillcolor="#a0a0a0" stroked="f"/>
        </w:pict>
      </w:r>
    </w:p>
    <w:p w:rsidR="00150475" w:rsidRDefault="00150475" w:rsidP="00150475">
      <w:pPr>
        <w:pStyle w:val="berschrift1"/>
      </w:pPr>
      <w:r>
        <w:t>3.3.50.209 Definition 3.3.521 – Funktionale Auswahlwahrscheinlichkeit</w:t>
      </w:r>
    </w:p>
    <w:p w:rsidR="00150475" w:rsidRDefault="00150475" w:rsidP="00150475">
      <w:pPr>
        <w:pStyle w:val="berschrift3"/>
      </w:pPr>
      <w:r>
        <w:t>Definition 3.3.521</w:t>
      </w:r>
    </w:p>
    <w:p w:rsidR="00150475" w:rsidRDefault="00150475" w:rsidP="00150475">
      <w:pPr>
        <w:pStyle w:val="StandardWeb"/>
      </w:pPr>
      <w:r>
        <w:t xml:space="preserve">Die </w:t>
      </w:r>
      <w:r>
        <w:rPr>
          <w:rStyle w:val="Fett"/>
        </w:rPr>
        <w:t>funktionale Auswahlwahrscheinlichkeit</w:t>
      </w:r>
      <w:r>
        <w:t xml:space="preserve"> eines Kandidaten (X) ist</w:t>
      </w:r>
    </w:p>
    <w:p w:rsidR="00150475" w:rsidRDefault="00150475" w:rsidP="00150475">
      <w:pPr>
        <w:pStyle w:val="StandardWeb"/>
      </w:pPr>
      <w:r>
        <w:t>[</w:t>
      </w:r>
      <w:r>
        <w:br/>
        <w:t>\boxed{</w:t>
      </w:r>
      <w:r>
        <w:br/>
        <w:t>p_F(X\mid\mathcal C_F)</w:t>
      </w:r>
      <w:r>
        <w:br/>
        <w:t>:=</w:t>
      </w:r>
      <w:r>
        <w:br/>
        <w:t>\Pr</w:t>
      </w:r>
      <w:r>
        <w:br/>
        <w:t>\left[</w:t>
      </w:r>
      <w:r>
        <w:br/>
        <w:t>X</w:t>
      </w:r>
      <w:r>
        <w:br/>
        <w:t>\in</w:t>
      </w:r>
      <w:r>
        <w:br/>
        <w:t>\operatorname{Sel}_F^\omega(\mathcal C_F)</w:t>
      </w:r>
      <w:r>
        <w:br/>
        <w:t>\right].</w:t>
      </w:r>
      <w:r>
        <w:br/>
        <w:t>}</w:t>
      </w:r>
      <w:r>
        <w:br/>
        <w:t>\tag{3.13204}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lastRenderedPageBreak/>
        <w:t>\boxed{p_F(X\mid\mathcal C_F):=\Pr\left[X\in\operatorname{Sel}_F^\omega(\mathcal C_F)\right].}</w:t>
      </w:r>
    </w:p>
    <w:p w:rsidR="00150475" w:rsidRDefault="00E50336" w:rsidP="00150475">
      <w:r>
        <w:pict>
          <v:rect id="_x0000_i5055" style="width:0;height:1.5pt" o:hralign="center" o:hrstd="t" o:hr="t" fillcolor="#a0a0a0" stroked="f"/>
        </w:pict>
      </w:r>
    </w:p>
    <w:p w:rsidR="00150475" w:rsidRDefault="00150475" w:rsidP="00150475">
      <w:pPr>
        <w:pStyle w:val="berschrift1"/>
      </w:pPr>
      <w:r>
        <w:t>3.3.50.210 Deterministische Auswahl als Spezialfall</w:t>
      </w:r>
    </w:p>
    <w:p w:rsidR="00150475" w:rsidRDefault="00150475" w:rsidP="00150475">
      <w:pPr>
        <w:pStyle w:val="StandardWeb"/>
      </w:pPr>
      <w:r>
        <w:t>Eine deterministische Auswahl kann durch</w:t>
      </w:r>
    </w:p>
    <w:p w:rsidR="00150475" w:rsidRDefault="00150475" w:rsidP="00150475">
      <w:pPr>
        <w:pStyle w:val="StandardWeb"/>
      </w:pPr>
      <w:r>
        <w:t>[</w:t>
      </w:r>
      <w:r>
        <w:br/>
        <w:t>p_F(X\mid\mathcal C_F)</w:t>
      </w:r>
      <w:r>
        <w:br/>
        <w:t>\in</w:t>
      </w:r>
      <w:r>
        <w:br/>
        <w:t>{0,1}</w:t>
      </w:r>
      <w:r>
        <w:br/>
        <w:t>\tag{3.13205}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p_F(X\mid\mathcal C_F)\in\{0,1\}</w:t>
      </w:r>
    </w:p>
    <w:p w:rsidR="00150475" w:rsidRDefault="00150475" w:rsidP="00150475">
      <w:pPr>
        <w:pStyle w:val="StandardWeb"/>
      </w:pPr>
      <w:r>
        <w:t>charakterisiert werden.</w:t>
      </w:r>
    </w:p>
    <w:p w:rsidR="00150475" w:rsidRDefault="00E50336" w:rsidP="00150475">
      <w:r>
        <w:pict>
          <v:rect id="_x0000_i5056" style="width:0;height:1.5pt" o:hralign="center" o:hrstd="t" o:hr="t" fillcolor="#a0a0a0" stroked="f"/>
        </w:pict>
      </w:r>
    </w:p>
    <w:p w:rsidR="00150475" w:rsidRDefault="00150475" w:rsidP="00150475">
      <w:pPr>
        <w:pStyle w:val="berschrift1"/>
      </w:pPr>
      <w:r>
        <w:t>3.3.50.211 Determinismus als Primäraxiomkandidat</w:t>
      </w:r>
    </w:p>
    <w:p w:rsidR="00150475" w:rsidRDefault="00150475" w:rsidP="00150475">
      <w:pPr>
        <w:pStyle w:val="StandardWeb"/>
      </w:pPr>
      <w:r>
        <w:t>Ein möglicher Kandidat lautet</w:t>
      </w:r>
    </w:p>
    <w:p w:rsidR="00150475" w:rsidRDefault="00150475" w:rsidP="00150475">
      <w:pPr>
        <w:pStyle w:val="StandardWeb"/>
      </w:pPr>
      <w:r>
        <w:t>[</w:t>
      </w:r>
      <w:r>
        <w:br/>
        <w:t>A_{\mathrm{det-sel}}</w:t>
      </w:r>
      <w:r>
        <w:br/>
        <w:t>:</w:t>
      </w:r>
      <w:r>
        <w:br/>
        <w:t>p_F(X\mid\mathcal C_F)</w:t>
      </w:r>
      <w:r>
        <w:br/>
        <w:t>\in</w:t>
      </w:r>
      <w:r>
        <w:br/>
        <w:t>{0,1}</w:t>
      </w:r>
      <w:r>
        <w:br/>
        <w:t>\quad</w:t>
      </w:r>
      <w:r>
        <w:br/>
        <w:t>\forall X,\mathcal C_F.</w:t>
      </w:r>
      <w:r>
        <w:br/>
        <w:t>\tag{3.13206}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A_{\mathrm{det-sel}}:p_F(X\mid\mathcal C_F)\in\{0,1\}\quad\forall X,\mathcal C_F</w:t>
      </w:r>
    </w:p>
    <w:p w:rsidR="00150475" w:rsidRDefault="00E50336" w:rsidP="00150475">
      <w:r>
        <w:pict>
          <v:rect id="_x0000_i5057" style="width:0;height:1.5pt" o:hralign="center" o:hrstd="t" o:hr="t" fillcolor="#a0a0a0" stroked="f"/>
        </w:pict>
      </w:r>
    </w:p>
    <w:p w:rsidR="00150475" w:rsidRDefault="00150475" w:rsidP="00150475">
      <w:pPr>
        <w:pStyle w:val="berschrift1"/>
      </w:pPr>
      <w:r>
        <w:t>3.3.50.212 Gegenmodell</w:t>
      </w:r>
    </w:p>
    <w:p w:rsidR="00150475" w:rsidRDefault="00150475" w:rsidP="00150475">
      <w:pPr>
        <w:pStyle w:val="StandardWeb"/>
      </w:pPr>
      <w:r>
        <w:t>Eine zulässige Auswahlregel kann für zwei gleichwertige Kandidaten setzen</w:t>
      </w:r>
    </w:p>
    <w:p w:rsidR="00150475" w:rsidRDefault="00150475" w:rsidP="00150475">
      <w:pPr>
        <w:pStyle w:val="berschrift1"/>
      </w:pPr>
      <w:r>
        <w:lastRenderedPageBreak/>
        <w:t>[</w:t>
      </w:r>
      <w:r>
        <w:br/>
        <w:t>p_F(X_1\mid\mathcal C_F)</w:t>
      </w:r>
    </w:p>
    <w:p w:rsidR="00150475" w:rsidRDefault="00150475" w:rsidP="00150475">
      <w:pPr>
        <w:pStyle w:val="berschrift1"/>
      </w:pPr>
      <w:r>
        <w:t>p_F(X_2\mid\mathcal C_F)</w:t>
      </w:r>
    </w:p>
    <w:p w:rsidR="00150475" w:rsidRDefault="00150475" w:rsidP="00150475">
      <w:pPr>
        <w:pStyle w:val="StandardWeb"/>
      </w:pPr>
      <w:r>
        <w:t>\frac{1}{2}.</w:t>
      </w:r>
      <w:r>
        <w:br/>
        <w:t>\tag{3.13207}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p_F(X_1\mid\mathcal C_F)=p_F(X_2\mid\mathcal C_F)=\frac{1}{2}</w:t>
      </w:r>
    </w:p>
    <w:p w:rsidR="00150475" w:rsidRDefault="00150475" w:rsidP="00150475">
      <w:pPr>
        <w:pStyle w:val="StandardWeb"/>
      </w:pPr>
      <w:r>
        <w:t>Damit ist die Auswahl nicht deterministisch.</w:t>
      </w:r>
    </w:p>
    <w:p w:rsidR="00150475" w:rsidRDefault="00E50336" w:rsidP="00150475">
      <w:r>
        <w:pict>
          <v:rect id="_x0000_i5058" style="width:0;height:1.5pt" o:hralign="center" o:hrstd="t" o:hr="t" fillcolor="#a0a0a0" stroked="f"/>
        </w:pict>
      </w:r>
    </w:p>
    <w:p w:rsidR="00150475" w:rsidRDefault="00150475" w:rsidP="00150475">
      <w:pPr>
        <w:pStyle w:val="berschrift1"/>
      </w:pPr>
      <w:r>
        <w:t>3.3.50.213 Axiomentscheidung zum Auswahldeterminismus</w:t>
      </w:r>
    </w:p>
    <w:p w:rsidR="00150475" w:rsidRDefault="00150475" w:rsidP="00150475">
      <w:pPr>
        <w:pStyle w:val="StandardWeb"/>
      </w:pPr>
      <w:r>
        <w:t>Es folgt</w:t>
      </w:r>
    </w:p>
    <w:p w:rsidR="00150475" w:rsidRDefault="00150475" w:rsidP="00150475">
      <w:pPr>
        <w:pStyle w:val="berschrift1"/>
      </w:pPr>
      <w:r>
        <w:t>[</w:t>
      </w:r>
      <w:r>
        <w:br/>
        <w:t>\boxed{</w:t>
      </w:r>
      <w:r>
        <w:br/>
        <w:t>U_{\mathrm{Ax}}</w:t>
      </w:r>
      <w:r>
        <w:br/>
        <w:t>(A_{\mathrm{det-sel}})</w:t>
      </w:r>
    </w:p>
    <w:p w:rsidR="00150475" w:rsidRDefault="00150475" w:rsidP="00563F88">
      <w:pPr>
        <w:numPr>
          <w:ilvl w:val="0"/>
          <w:numId w:val="623"/>
        </w:numPr>
        <w:spacing w:before="100" w:beforeAutospacing="1" w:after="100" w:afterAutospacing="1"/>
      </w:pPr>
    </w:p>
    <w:p w:rsidR="00150475" w:rsidRDefault="00150475" w:rsidP="00150475">
      <w:pPr>
        <w:pStyle w:val="StandardWeb"/>
      </w:pPr>
      <w:r>
        <w:t>}</w:t>
      </w:r>
      <w:r>
        <w:br/>
        <w:t>\tag{3.13208}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\boxed{U_{\mathrm{Ax}}(A_{\mathrm{det-sel}})=0.}</w:t>
      </w:r>
    </w:p>
    <w:p w:rsidR="00150475" w:rsidRDefault="00E50336" w:rsidP="00150475">
      <w:r>
        <w:pict>
          <v:rect id="_x0000_i5059" style="width:0;height:1.5pt" o:hralign="center" o:hrstd="t" o:hr="t" fillcolor="#a0a0a0" stroked="f"/>
        </w:pict>
      </w:r>
    </w:p>
    <w:p w:rsidR="00150475" w:rsidRDefault="00150475" w:rsidP="00150475">
      <w:pPr>
        <w:pStyle w:val="berschrift1"/>
      </w:pPr>
      <w:r>
        <w:t>3.3.50.214 Satz 3.3.198 – Deterministische Auswahl ist kein Primäraxiom</w:t>
      </w:r>
    </w:p>
    <w:p w:rsidR="00150475" w:rsidRDefault="00150475" w:rsidP="00150475">
      <w:pPr>
        <w:pStyle w:val="berschrift3"/>
      </w:pPr>
      <w:r>
        <w:t>Satz 3.3.198</w:t>
      </w:r>
    </w:p>
    <w:p w:rsidR="00150475" w:rsidRDefault="00150475" w:rsidP="00150475">
      <w:pPr>
        <w:pStyle w:val="StandardWeb"/>
      </w:pPr>
      <w:r>
        <w:lastRenderedPageBreak/>
        <w:t>Die Forderung, jede funktionale Auswahl müsse deterministisch sein, ist keine universell notwendige Voraussetzung des allgemeinen FRZK.</w:t>
      </w:r>
    </w:p>
    <w:p w:rsidR="00150475" w:rsidRDefault="00150475" w:rsidP="00150475">
      <w:pPr>
        <w:pStyle w:val="StandardWeb"/>
      </w:pPr>
      <w:r>
        <w:t>Formal gilt</w:t>
      </w:r>
    </w:p>
    <w:p w:rsidR="00150475" w:rsidRDefault="00150475" w:rsidP="00150475">
      <w:pPr>
        <w:pStyle w:val="berschrift1"/>
      </w:pPr>
      <w:r>
        <w:t>[</w:t>
      </w:r>
      <w:r>
        <w:br/>
        <w:t>\boxed{</w:t>
      </w:r>
      <w:r>
        <w:br/>
        <w:t>U_{\mathrm{Ax}}</w:t>
      </w:r>
      <w:r>
        <w:br/>
        <w:t>(A_{\mathrm{det-sel}})</w:t>
      </w:r>
    </w:p>
    <w:p w:rsidR="00150475" w:rsidRDefault="00150475" w:rsidP="00563F88">
      <w:pPr>
        <w:numPr>
          <w:ilvl w:val="0"/>
          <w:numId w:val="624"/>
        </w:numPr>
        <w:spacing w:before="100" w:beforeAutospacing="1" w:after="100" w:afterAutospacing="1"/>
      </w:pPr>
    </w:p>
    <w:p w:rsidR="00150475" w:rsidRDefault="00150475" w:rsidP="00150475">
      <w:pPr>
        <w:pStyle w:val="StandardWeb"/>
      </w:pPr>
      <w:r>
        <w:t>}</w:t>
      </w:r>
      <w:r>
        <w:br/>
        <w:t>\tag{3.13209}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\boxed{U_{\mathrm{Ax}}(A_{\mathrm{det-sel}})=0.}</w:t>
      </w:r>
    </w:p>
    <w:p w:rsidR="00150475" w:rsidRDefault="00E50336" w:rsidP="00150475">
      <w:r>
        <w:pict>
          <v:rect id="_x0000_i5060" style="width:0;height:1.5pt" o:hralign="center" o:hrstd="t" o:hr="t" fillcolor="#a0a0a0" stroked="f"/>
        </w:pict>
      </w:r>
    </w:p>
    <w:p w:rsidR="00150475" w:rsidRDefault="00150475" w:rsidP="00150475">
      <w:pPr>
        <w:pStyle w:val="berschrift1"/>
      </w:pPr>
      <w:r>
        <w:t>3.3.50.215 Erweiterter Zwischenstand</w:t>
      </w:r>
    </w:p>
    <w:p w:rsidR="00150475" w:rsidRDefault="00150475" w:rsidP="00150475">
      <w:pPr>
        <w:pStyle w:val="StandardWeb"/>
      </w:pPr>
      <w:r>
        <w:t>Die Ordnungs- und Auswahlarchitektur erweitert sich damit zu</w:t>
      </w:r>
    </w:p>
    <w:p w:rsidR="00150475" w:rsidRDefault="00150475" w:rsidP="00150475">
      <w:pPr>
        <w:pStyle w:val="berschrift1"/>
      </w:pPr>
      <w:r>
        <w:t>[</w:t>
      </w:r>
      <w:r>
        <w:br/>
        <w:t>\mathfrak E_{\mathrm{ord}}^{(3)}</w:t>
      </w:r>
    </w:p>
    <w:p w:rsidR="00150475" w:rsidRDefault="00150475" w:rsidP="00150475">
      <w:pPr>
        <w:pStyle w:val="StandardWeb"/>
      </w:pPr>
      <w:r>
        <w:t>\left(</w:t>
      </w:r>
      <w:r>
        <w:br/>
        <w:t>\mathfrak E_{\mathrm{ord}}^{(2)},</w:t>
      </w:r>
      <w:r>
        <w:br/>
        <w:t>\preceq_{\mathrm{lex},F},</w:t>
      </w:r>
      <w:r>
        <w:br/>
        <w:t>\varepsilon_F,</w:t>
      </w:r>
      <w:r>
        <w:br/>
        <w:t>\sim_{\varepsilon,F},</w:t>
      </w:r>
      <w:r>
        <w:br/>
        <w:t>\operatorname{Max}_{\varepsilon,F},</w:t>
      </w:r>
      <w:r>
        <w:br/>
        <w:t>\operatorname{Sel}</w:t>
      </w:r>
      <w:r>
        <w:rPr>
          <w:rStyle w:val="Hervorhebung"/>
        </w:rPr>
        <w:t>F^{(z,c)},</w:t>
      </w:r>
      <w:r>
        <w:rPr>
          <w:i/>
          <w:iCs/>
        </w:rPr>
        <w:br/>
      </w:r>
      <w:r>
        <w:rPr>
          <w:rStyle w:val="Hervorhebung"/>
        </w:rPr>
        <w:t>\mathcal R_F^{\mathrm{conf}},</w:t>
      </w:r>
      <w:r>
        <w:rPr>
          <w:i/>
          <w:iCs/>
        </w:rPr>
        <w:br/>
      </w:r>
      <w:r>
        <w:rPr>
          <w:rStyle w:val="Hervorhebung"/>
        </w:rPr>
        <w:t>\operatorname{Sel}</w:t>
      </w:r>
      <w:r>
        <w:t>{F,\mathrm{seq}},</w:t>
      </w:r>
      <w:r>
        <w:br/>
        <w:t>h_t,</w:t>
      </w:r>
      <w:r>
        <w:br/>
        <w:t>\operatorname{Sel}_F^\omega,</w:t>
      </w:r>
      <w:r>
        <w:br/>
        <w:t>p_F</w:t>
      </w:r>
      <w:r>
        <w:br/>
        <w:t>\right).</w:t>
      </w:r>
      <w:r>
        <w:br/>
        <w:t>\tag{3.13210}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lastRenderedPageBreak/>
        <w:t>\mathfrak E_{\mathrm{ord}}^{(3)}=\left(\mathfrak E_{\mathrm{ord}}^{(2)},\preceq_{\mathrm{lex},F},\varepsilon_F,\sim_{\varepsilon,F},\operatorname{Max}_{\varepsilon,F},\operatorname{Sel}_F^{(z,c)},\mathcal R_F^{\mathrm{conf}},\operatorname{Sel}_{F,\mathrm{seq}},h_t,\operatorname{Sel}_F^\omega,p_F\right)</w:t>
      </w:r>
    </w:p>
    <w:p w:rsidR="00150475" w:rsidRDefault="00E50336" w:rsidP="00150475">
      <w:r>
        <w:pict>
          <v:rect id="_x0000_i5061" style="width:0;height:1.5pt" o:hralign="center" o:hrstd="t" o:hr="t" fillcolor="#a0a0a0" stroked="f"/>
        </w:pict>
      </w:r>
    </w:p>
    <w:p w:rsidR="00150475" w:rsidRDefault="00150475" w:rsidP="00150475">
      <w:pPr>
        <w:pStyle w:val="berschrift1"/>
      </w:pPr>
      <w:r>
        <w:t>3.3.50.216 Erweiterte Kandidatenmenge</w:t>
      </w:r>
    </w:p>
    <w:p w:rsidR="00150475" w:rsidRDefault="00150475" w:rsidP="00150475">
      <w:pPr>
        <w:pStyle w:val="StandardWeb"/>
      </w:pPr>
      <w:r>
        <w:t>Die bislang geprüfte Primäraxiomkandidatenmenge lautet nun</w:t>
      </w:r>
    </w:p>
    <w:p w:rsidR="00150475" w:rsidRDefault="00150475" w:rsidP="00150475">
      <w:pPr>
        <w:pStyle w:val="berschrift1"/>
      </w:pPr>
      <w:r>
        <w:t>[</w:t>
      </w:r>
      <w:r>
        <w:br/>
        <w:t>\mathcal A_{\mathrm{ord}}^{\mathrm{cand},3}</w:t>
      </w:r>
    </w:p>
    <w:p w:rsidR="00150475" w:rsidRDefault="00150475" w:rsidP="00150475">
      <w:pPr>
        <w:pStyle w:val="StandardWeb"/>
      </w:pPr>
      <w:r>
        <w:t>\mathcal A_{\mathrm{ord}}^{\mathrm{cand},2}</w:t>
      </w:r>
      <w:r>
        <w:br/>
        <w:t>\cup</w:t>
      </w:r>
      <w:r>
        <w:br/>
        <w:t>{</w:t>
      </w:r>
      <w:r>
        <w:br/>
        <w:t>A_{\mathrm{lex}},</w:t>
      </w:r>
      <w:r>
        <w:br/>
        <w:t>A_{\varepsilon},</w:t>
      </w:r>
      <w:r>
        <w:br/>
        <w:t>A_{\mathrm{sel-stab}},</w:t>
      </w:r>
      <w:r>
        <w:br/>
        <w:t>A_{\mathrm{conf}},</w:t>
      </w:r>
      <w:r>
        <w:br/>
        <w:t>A_{\mathrm{sub-cons}},</w:t>
      </w:r>
      <w:r>
        <w:br/>
        <w:t>A_{\mathrm{idemp-sel}},</w:t>
      </w:r>
      <w:r>
        <w:br/>
        <w:t>A_{\mathrm{comm-sel}},</w:t>
      </w:r>
      <w:r>
        <w:br/>
        <w:t>A_{\mathrm{memoryless}},</w:t>
      </w:r>
      <w:r>
        <w:br/>
        <w:t>A_{\mathrm{det-sel}}</w:t>
      </w:r>
      <w:r>
        <w:br/>
        <w:t>}.</w:t>
      </w:r>
      <w:r>
        <w:br/>
        <w:t>\tag{3.13211}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\mathcal A_{\mathrm{ord}}^{\mathrm{cand},3}=\mathcal A_{\mathrm{ord}}^{\mathrm{cand},2}\cup\{A_{\mathrm{lex}},A_{\varepsilon},A_{\mathrm{sel-stab}},A_{\mathrm{conf}},A_{\mathrm{sub-cons}},A_{\mathrm{idemp-sel}},A_{\mathrm{comm-sel}},A_{\mathrm{memoryless}},A_{\mathrm{det-sel}}\}</w:t>
      </w:r>
    </w:p>
    <w:p w:rsidR="00150475" w:rsidRDefault="00150475" w:rsidP="00150475">
      <w:pPr>
        <w:pStyle w:val="StandardWeb"/>
      </w:pPr>
      <w:r>
        <w:t>Für alle bisher geprüften Kandidaten gilt</w:t>
      </w:r>
    </w:p>
    <w:p w:rsidR="00150475" w:rsidRDefault="00150475" w:rsidP="00150475">
      <w:pPr>
        <w:pStyle w:val="berschrift1"/>
      </w:pPr>
      <w:r>
        <w:t>[</w:t>
      </w:r>
      <w:r>
        <w:br/>
        <w:t>\boxed{</w:t>
      </w:r>
      <w:r>
        <w:br/>
        <w:t>U_{\mathrm{Ax}}(A)</w:t>
      </w:r>
    </w:p>
    <w:p w:rsidR="00150475" w:rsidRDefault="00150475" w:rsidP="00150475">
      <w:pPr>
        <w:pStyle w:val="StandardWeb"/>
      </w:pPr>
      <w:r>
        <w:t>0</w:t>
      </w:r>
      <w:r>
        <w:br/>
        <w:t>\qquad</w:t>
      </w:r>
      <w:r>
        <w:br/>
        <w:t>\forall</w:t>
      </w:r>
      <w:r>
        <w:br/>
        <w:t>A</w:t>
      </w:r>
      <w:r>
        <w:br/>
      </w:r>
      <w:r>
        <w:lastRenderedPageBreak/>
        <w:t>\in</w:t>
      </w:r>
      <w:r>
        <w:br/>
        <w:t>\mathcal A_{\mathrm{ord}}^{\mathrm{cand},3}.</w:t>
      </w:r>
      <w:r>
        <w:br/>
        <w:t>}</w:t>
      </w:r>
      <w:r>
        <w:br/>
        <w:t>\tag{3.13212}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\boxed{U_{\mathrm{Ax}}(A)=0\qquad\forall A\in\mathcal A_{\mathrm{ord}}^{\mathrm{cand},3}.}</w:t>
      </w:r>
    </w:p>
    <w:p w:rsidR="00150475" w:rsidRDefault="00E50336" w:rsidP="00150475">
      <w:r>
        <w:pict>
          <v:rect id="_x0000_i5062" style="width:0;height:1.5pt" o:hralign="center" o:hrstd="t" o:hr="t" fillcolor="#a0a0a0" stroked="f"/>
        </w:pict>
      </w:r>
    </w:p>
    <w:p w:rsidR="00150475" w:rsidRDefault="00150475" w:rsidP="00150475">
      <w:pPr>
        <w:pStyle w:val="berschrift1"/>
      </w:pPr>
      <w:r>
        <w:t>3.3.50.217 Primäraxiomkandidat Existenz einer Ordnungsrelation</w:t>
      </w:r>
    </w:p>
    <w:p w:rsidR="00150475" w:rsidRDefault="00150475" w:rsidP="00150475">
      <w:pPr>
        <w:pStyle w:val="StandardWeb"/>
      </w:pPr>
      <w:r>
        <w:t>Nach den bisherigen Einzelprüfungen bleibt noch die stärkste mögliche Frage: Muss ein allgemeines FRZK überhaupt irgendeine Vergleichs- oder Ordnungsrelation enthalten?</w:t>
      </w:r>
    </w:p>
    <w:p w:rsidR="00150475" w:rsidRDefault="00150475" w:rsidP="00150475">
      <w:pPr>
        <w:pStyle w:val="StandardWeb"/>
      </w:pPr>
      <w:r>
        <w:t>Der Kandidat lautet</w:t>
      </w:r>
    </w:p>
    <w:p w:rsidR="00150475" w:rsidRDefault="00150475" w:rsidP="00150475">
      <w:pPr>
        <w:pStyle w:val="StandardWeb"/>
      </w:pPr>
      <w:r>
        <w:t>[</w:t>
      </w:r>
      <w:r>
        <w:br/>
        <w:t>A_{\mathrm{ord-ex}}</w:t>
      </w:r>
      <w:r>
        <w:br/>
        <w:t>:</w:t>
      </w:r>
      <w:r>
        <w:br/>
        <w:t>\preceq_F</w:t>
      </w:r>
      <w:r>
        <w:br/>
        <w:t>\neq</w:t>
      </w:r>
      <w:r>
        <w:br/>
        <w:t>\varnothing.</w:t>
      </w:r>
      <w:r>
        <w:br/>
        <w:t>\tag{3.13213}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A_{\mathrm{ord-ex}}:\preceq_F\neq\varnothing</w:t>
      </w:r>
    </w:p>
    <w:p w:rsidR="00150475" w:rsidRDefault="00E50336" w:rsidP="00150475">
      <w:r>
        <w:pict>
          <v:rect id="_x0000_i5063" style="width:0;height:1.5pt" o:hralign="center" o:hrstd="t" o:hr="t" fillcolor="#a0a0a0" stroked="f"/>
        </w:pict>
      </w:r>
    </w:p>
    <w:p w:rsidR="00150475" w:rsidRDefault="00150475" w:rsidP="00150475">
      <w:pPr>
        <w:pStyle w:val="berschrift1"/>
      </w:pPr>
      <w:r>
        <w:t>3.3.50.218 Gegenmodell ohne Ordnungsrelation</w:t>
      </w:r>
    </w:p>
    <w:p w:rsidR="00150475" w:rsidRDefault="00150475" w:rsidP="00150475">
      <w:pPr>
        <w:pStyle w:val="StandardWeb"/>
      </w:pPr>
      <w:r>
        <w:t>Ich kann eine zulässige FRZK-Modellklasse formulieren, in der zwar funktionale Zustände und Transformationen existieren, jedoch keine Vergleichsrelation zwischen ihnen definiert wird:</w:t>
      </w:r>
    </w:p>
    <w:p w:rsidR="00150475" w:rsidRDefault="00150475" w:rsidP="00150475">
      <w:pPr>
        <w:pStyle w:val="StandardWeb"/>
      </w:pPr>
      <w:r>
        <w:t>[</w:t>
      </w:r>
      <w:r>
        <w:br/>
        <w:t>\mathcal X_F</w:t>
      </w:r>
      <w:r>
        <w:br/>
        <w:t>\neq</w:t>
      </w:r>
      <w:r>
        <w:br/>
        <w:t>\varnothing</w:t>
      </w:r>
      <w:r>
        <w:br/>
        <w:t>\tag{3.13214}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\mathcal X_F\neq\varnothing</w:t>
      </w:r>
    </w:p>
    <w:p w:rsidR="00150475" w:rsidRDefault="00150475" w:rsidP="00150475">
      <w:pPr>
        <w:pStyle w:val="StandardWeb"/>
      </w:pPr>
      <w:r>
        <w:lastRenderedPageBreak/>
        <w:t>bei</w:t>
      </w:r>
    </w:p>
    <w:p w:rsidR="00150475" w:rsidRDefault="00150475" w:rsidP="00150475">
      <w:pPr>
        <w:pStyle w:val="berschrift1"/>
      </w:pPr>
      <w:r>
        <w:t>[</w:t>
      </w:r>
      <w:r>
        <w:br/>
        <w:t>\preceq_F</w:t>
      </w:r>
    </w:p>
    <w:p w:rsidR="00150475" w:rsidRDefault="00150475" w:rsidP="00150475">
      <w:pPr>
        <w:pStyle w:val="StandardWeb"/>
      </w:pPr>
      <w:r>
        <w:t>\varnothing.</w:t>
      </w:r>
      <w:r>
        <w:br/>
        <w:t>\tag{3.13215}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\preceq_F=\varnothing</w:t>
      </w:r>
    </w:p>
    <w:p w:rsidR="00150475" w:rsidRDefault="00150475" w:rsidP="00150475">
      <w:pPr>
        <w:pStyle w:val="StandardWeb"/>
      </w:pPr>
      <w:r>
        <w:t>Die Existenz des Zustandsraums wird dadurch nicht aufgehoben.</w:t>
      </w:r>
    </w:p>
    <w:p w:rsidR="00150475" w:rsidRDefault="00E50336" w:rsidP="00150475">
      <w:r>
        <w:pict>
          <v:rect id="_x0000_i5064" style="width:0;height:1.5pt" o:hralign="center" o:hrstd="t" o:hr="t" fillcolor="#a0a0a0" stroked="f"/>
        </w:pict>
      </w:r>
    </w:p>
    <w:p w:rsidR="00150475" w:rsidRDefault="00150475" w:rsidP="00150475">
      <w:pPr>
        <w:pStyle w:val="berschrift1"/>
      </w:pPr>
      <w:r>
        <w:t>3.3.50.219 Axiomentscheidung zur Existenz einer Ordnungsrelation</w:t>
      </w:r>
    </w:p>
    <w:p w:rsidR="00150475" w:rsidRDefault="00150475" w:rsidP="00150475">
      <w:pPr>
        <w:pStyle w:val="StandardWeb"/>
      </w:pPr>
      <w:r>
        <w:t>Damit folgt</w:t>
      </w:r>
    </w:p>
    <w:p w:rsidR="00150475" w:rsidRDefault="00150475" w:rsidP="00150475">
      <w:pPr>
        <w:pStyle w:val="berschrift1"/>
      </w:pPr>
      <w:r>
        <w:t>[</w:t>
      </w:r>
      <w:r>
        <w:br/>
        <w:t>\boxed{</w:t>
      </w:r>
      <w:r>
        <w:br/>
        <w:t>U_{\mathrm{Ax}}</w:t>
      </w:r>
      <w:r>
        <w:br/>
        <w:t>(A_{\mathrm{ord-ex}})</w:t>
      </w:r>
    </w:p>
    <w:p w:rsidR="00150475" w:rsidRDefault="00150475" w:rsidP="00563F88">
      <w:pPr>
        <w:numPr>
          <w:ilvl w:val="0"/>
          <w:numId w:val="625"/>
        </w:numPr>
        <w:spacing w:before="100" w:beforeAutospacing="1" w:after="100" w:afterAutospacing="1"/>
      </w:pPr>
    </w:p>
    <w:p w:rsidR="00150475" w:rsidRDefault="00150475" w:rsidP="00150475">
      <w:pPr>
        <w:pStyle w:val="StandardWeb"/>
      </w:pPr>
      <w:r>
        <w:t>}</w:t>
      </w:r>
      <w:r>
        <w:br/>
        <w:t>\tag{3.13216}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\boxed{U_{\mathrm{Ax}}(A_{\mathrm{ord-ex}})=0.}</w:t>
      </w:r>
    </w:p>
    <w:p w:rsidR="00150475" w:rsidRDefault="00E50336" w:rsidP="00150475">
      <w:r>
        <w:pict>
          <v:rect id="_x0000_i5065" style="width:0;height:1.5pt" o:hralign="center" o:hrstd="t" o:hr="t" fillcolor="#a0a0a0" stroked="f"/>
        </w:pict>
      </w:r>
    </w:p>
    <w:p w:rsidR="00150475" w:rsidRDefault="00150475" w:rsidP="00150475">
      <w:pPr>
        <w:pStyle w:val="berschrift1"/>
      </w:pPr>
      <w:r>
        <w:t>3.3.50.220 Satz 3.3.199 – Die Existenz einer funktionalen Ordnungsrelation ist kein Primäraxiom</w:t>
      </w:r>
    </w:p>
    <w:p w:rsidR="00150475" w:rsidRDefault="00150475" w:rsidP="00150475">
      <w:pPr>
        <w:pStyle w:val="berschrift3"/>
      </w:pPr>
      <w:r>
        <w:t>Satz 3.3.199</w:t>
      </w:r>
    </w:p>
    <w:p w:rsidR="00150475" w:rsidRDefault="00150475" w:rsidP="00150475">
      <w:pPr>
        <w:pStyle w:val="StandardWeb"/>
      </w:pPr>
      <w:r>
        <w:lastRenderedPageBreak/>
        <w:t>Die Forderung, jedes zulässige FRZK-Modell müsse mindestens eine nichtleere funktionale Vergleichs-, Prioritäts- oder Ordnungsrelation enthalten, ist keine universell notwendige Voraussetzung des allgemeinen FRZK.</w:t>
      </w:r>
    </w:p>
    <w:p w:rsidR="00150475" w:rsidRDefault="00150475" w:rsidP="00150475">
      <w:pPr>
        <w:pStyle w:val="StandardWeb"/>
      </w:pPr>
      <w:r>
        <w:t>Formal gilt</w:t>
      </w:r>
    </w:p>
    <w:p w:rsidR="00150475" w:rsidRDefault="00150475" w:rsidP="00150475">
      <w:pPr>
        <w:pStyle w:val="berschrift1"/>
      </w:pPr>
      <w:r>
        <w:t>[</w:t>
      </w:r>
      <w:r>
        <w:br/>
        <w:t>\boxed{</w:t>
      </w:r>
      <w:r>
        <w:br/>
        <w:t>U_{\mathrm{Ax}}</w:t>
      </w:r>
      <w:r>
        <w:br/>
        <w:t>(A_{\mathrm{ord-ex}})</w:t>
      </w:r>
    </w:p>
    <w:p w:rsidR="00150475" w:rsidRDefault="00150475" w:rsidP="00563F88">
      <w:pPr>
        <w:numPr>
          <w:ilvl w:val="0"/>
          <w:numId w:val="626"/>
        </w:numPr>
        <w:spacing w:before="100" w:beforeAutospacing="1" w:after="100" w:afterAutospacing="1"/>
      </w:pPr>
    </w:p>
    <w:p w:rsidR="00150475" w:rsidRDefault="00150475" w:rsidP="00150475">
      <w:pPr>
        <w:pStyle w:val="StandardWeb"/>
      </w:pPr>
      <w:r>
        <w:t>}</w:t>
      </w:r>
      <w:r>
        <w:br/>
        <w:t>\tag{3.13217}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\boxed{U_{\mathrm{Ax}}(A_{\mathrm{ord-ex}})=0.}</w:t>
      </w:r>
    </w:p>
    <w:p w:rsidR="00150475" w:rsidRDefault="00150475" w:rsidP="00150475">
      <w:pPr>
        <w:pStyle w:val="berschrift3"/>
      </w:pPr>
      <w:r>
        <w:t>Beweis</w:t>
      </w:r>
    </w:p>
    <w:p w:rsidR="00150475" w:rsidRDefault="00150475" w:rsidP="00150475">
      <w:pPr>
        <w:pStyle w:val="StandardWeb"/>
      </w:pPr>
      <w:r>
        <w:t>Eine Modellstruktur kann eine nichtleere Objektmenge besitzen,</w:t>
      </w:r>
    </w:p>
    <w:p w:rsidR="00150475" w:rsidRDefault="00150475" w:rsidP="00150475">
      <w:pPr>
        <w:pStyle w:val="StandardWeb"/>
      </w:pPr>
      <w:r>
        <w:t>[</w:t>
      </w:r>
      <w:r>
        <w:br/>
        <w:t>\mathcal X_F</w:t>
      </w:r>
      <w:r>
        <w:br/>
        <w:t>\neq</w:t>
      </w:r>
      <w:r>
        <w:br/>
        <w:t>\varnothing,</w:t>
      </w:r>
      <w:r>
        <w:br/>
        <w:t>\tag{3.13218}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\mathcal X_F\neq\varnothing</w:t>
      </w:r>
    </w:p>
    <w:p w:rsidR="00150475" w:rsidRDefault="00150475" w:rsidP="00150475">
      <w:pPr>
        <w:pStyle w:val="StandardWeb"/>
      </w:pPr>
      <w:r>
        <w:t>während keine Vergleichsrelation definiert wird:</w:t>
      </w:r>
    </w:p>
    <w:p w:rsidR="00150475" w:rsidRDefault="00150475" w:rsidP="00150475">
      <w:pPr>
        <w:pStyle w:val="berschrift1"/>
      </w:pPr>
      <w:r>
        <w:t>[</w:t>
      </w:r>
      <w:r>
        <w:br/>
        <w:t>\preceq_F</w:t>
      </w:r>
    </w:p>
    <w:p w:rsidR="00150475" w:rsidRDefault="00150475" w:rsidP="00150475">
      <w:pPr>
        <w:pStyle w:val="StandardWeb"/>
      </w:pPr>
      <w:r>
        <w:t>\varnothing.</w:t>
      </w:r>
      <w:r>
        <w:br/>
        <w:t>\tag{3.13219}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lastRenderedPageBreak/>
        <w:t>\preceq_F=\varnothing</w:t>
      </w:r>
    </w:p>
    <w:p w:rsidR="00150475" w:rsidRDefault="00150475" w:rsidP="00150475">
      <w:pPr>
        <w:pStyle w:val="StandardWeb"/>
      </w:pPr>
      <w:r>
        <w:t>Da daraus kein Widerspruch zur minimalen Existenz der bereits eingeführten FRZK-Grundstrukturen folgt, ist die Existenz einer Ordnungsrelation nicht universell notwendig. (\square)</w:t>
      </w:r>
    </w:p>
    <w:p w:rsidR="00150475" w:rsidRDefault="00E50336" w:rsidP="00150475">
      <w:r>
        <w:pict>
          <v:rect id="_x0000_i5066" style="width:0;height:1.5pt" o:hralign="center" o:hrstd="t" o:hr="t" fillcolor="#a0a0a0" stroked="f"/>
        </w:pict>
      </w:r>
    </w:p>
    <w:p w:rsidR="00150475" w:rsidRDefault="00150475" w:rsidP="00150475">
      <w:pPr>
        <w:pStyle w:val="berschrift1"/>
      </w:pPr>
      <w:r>
        <w:t>3.3.50.221 Korollar 3.3.47 – Ordnungsstrukturen sind optionale Modellerweiterungen</w:t>
      </w:r>
    </w:p>
    <w:p w:rsidR="00150475" w:rsidRDefault="00150475" w:rsidP="00150475">
      <w:pPr>
        <w:pStyle w:val="berschrift3"/>
      </w:pPr>
      <w:r>
        <w:t>Korollar 3.3.47</w:t>
      </w:r>
    </w:p>
    <w:p w:rsidR="00150475" w:rsidRDefault="00150475" w:rsidP="00150475">
      <w:pPr>
        <w:pStyle w:val="StandardWeb"/>
      </w:pPr>
      <w:r>
        <w:t>Aus Satz 3.3.199 folgt</w:t>
      </w:r>
    </w:p>
    <w:p w:rsidR="00150475" w:rsidRDefault="00150475" w:rsidP="00150475">
      <w:pPr>
        <w:pStyle w:val="StandardWeb"/>
      </w:pPr>
      <w:r>
        <w:t>[</w:t>
      </w:r>
      <w:r>
        <w:br/>
        <w:t>\boxed{</w:t>
      </w:r>
      <w:r>
        <w:br/>
        <w:t>\mathfrak E_{\mathrm{ord}}</w:t>
      </w:r>
      <w:r>
        <w:br/>
        <w:t>\subseteq</w:t>
      </w:r>
      <w:r>
        <w:br/>
        <w:t>\mathfrak E_{\mathrm{FRZK}}^{\mathrm{opt}}.</w:t>
      </w:r>
      <w:r>
        <w:br/>
        <w:t>}</w:t>
      </w:r>
      <w:r>
        <w:br/>
        <w:t>\tag{3.13220}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\boxed{\mathfrak E_{\mathrm{ord}}\subseteq\mathfrak E_{\mathrm{FRZK}}^{\mathrm{opt}}.}</w:t>
      </w:r>
    </w:p>
    <w:p w:rsidR="00150475" w:rsidRDefault="00E50336" w:rsidP="00150475">
      <w:r>
        <w:pict>
          <v:rect id="_x0000_i5067" style="width:0;height:1.5pt" o:hralign="center" o:hrstd="t" o:hr="t" fillcolor="#a0a0a0" stroked="f"/>
        </w:pict>
      </w:r>
    </w:p>
    <w:p w:rsidR="00150475" w:rsidRDefault="00150475" w:rsidP="00150475">
      <w:pPr>
        <w:pStyle w:val="berschrift1"/>
      </w:pPr>
      <w:r>
        <w:t>3.3.50.222 Endgültige Primäraxiomkandidatenmenge</w:t>
      </w:r>
    </w:p>
    <w:p w:rsidR="00150475" w:rsidRDefault="00150475" w:rsidP="00150475">
      <w:pPr>
        <w:pStyle w:val="StandardWeb"/>
      </w:pPr>
      <w:r>
        <w:t>Ich fasse die in Abschnitt 3.3.50 bislang geprüften Kandidaten zusammen:</w:t>
      </w:r>
    </w:p>
    <w:p w:rsidR="00150475" w:rsidRDefault="00150475" w:rsidP="00150475">
      <w:pPr>
        <w:pStyle w:val="berschrift1"/>
      </w:pPr>
      <w:r>
        <w:t>[</w:t>
      </w:r>
      <w:r>
        <w:br/>
        <w:t>\mathcal A_{\mathrm{ord}}^{\mathrm{cand,final}}</w:t>
      </w:r>
    </w:p>
    <w:p w:rsidR="00150475" w:rsidRDefault="00150475" w:rsidP="00150475">
      <w:pPr>
        <w:pStyle w:val="StandardWeb"/>
      </w:pPr>
      <w:r>
        <w:t>\mathcal A_{\mathrm{ord}}^{\mathrm{cand},3}</w:t>
      </w:r>
      <w:r>
        <w:br/>
        <w:t>\cup</w:t>
      </w:r>
      <w:r>
        <w:br/>
        <w:t>{</w:t>
      </w:r>
      <w:r>
        <w:br/>
        <w:t>A_{\mathrm{ord-ex}}</w:t>
      </w:r>
      <w:r>
        <w:br/>
        <w:t>}.</w:t>
      </w:r>
      <w:r>
        <w:br/>
        <w:t>\tag{3.13221}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\mathcal A_{\mathrm{ord}}^{\mathrm{cand,final}}=\mathcal A_{\mathrm{ord}}^{\mathrm{cand},3}\cup\{A_{\mathrm{ord-ex}}\}</w:t>
      </w:r>
    </w:p>
    <w:p w:rsidR="00150475" w:rsidRDefault="00150475" w:rsidP="00150475">
      <w:pPr>
        <w:pStyle w:val="StandardWeb"/>
      </w:pPr>
      <w:r>
        <w:lastRenderedPageBreak/>
        <w:t>Damit gilt</w:t>
      </w:r>
    </w:p>
    <w:p w:rsidR="00150475" w:rsidRDefault="00150475" w:rsidP="00150475">
      <w:pPr>
        <w:pStyle w:val="berschrift1"/>
      </w:pPr>
      <w:r>
        <w:t>[</w:t>
      </w:r>
      <w:r>
        <w:br/>
        <w:t>\boxed{</w:t>
      </w:r>
      <w:r>
        <w:br/>
        <w:t>U_{\mathrm{Ax}}(A)</w:t>
      </w:r>
    </w:p>
    <w:p w:rsidR="00150475" w:rsidRDefault="00150475" w:rsidP="00150475">
      <w:pPr>
        <w:pStyle w:val="StandardWeb"/>
      </w:pPr>
      <w:r>
        <w:t>0</w:t>
      </w:r>
      <w:r>
        <w:br/>
        <w:t>\qquad</w:t>
      </w:r>
      <w:r>
        <w:br/>
        <w:t>\forall</w:t>
      </w:r>
      <w:r>
        <w:br/>
        <w:t>A</w:t>
      </w:r>
      <w:r>
        <w:br/>
        <w:t>\in</w:t>
      </w:r>
      <w:r>
        <w:br/>
        <w:t>\mathcal A_{\mathrm{ord}}^{\mathrm{cand,final}}.</w:t>
      </w:r>
      <w:r>
        <w:br/>
        <w:t>}</w:t>
      </w:r>
      <w:r>
        <w:br/>
        <w:t>\tag{3.13222}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\boxed{U_{\mathrm{Ax}}(A)=0\qquad\forall A\in\mathcal A_{\mathrm{ord}}^{\mathrm{cand,final}}.}</w:t>
      </w:r>
    </w:p>
    <w:p w:rsidR="00150475" w:rsidRDefault="00E50336" w:rsidP="00150475">
      <w:r>
        <w:pict>
          <v:rect id="_x0000_i5068" style="width:0;height:1.5pt" o:hralign="center" o:hrstd="t" o:hr="t" fillcolor="#a0a0a0" stroked="f"/>
        </w:pict>
      </w:r>
    </w:p>
    <w:p w:rsidR="00150475" w:rsidRDefault="00150475" w:rsidP="00150475">
      <w:pPr>
        <w:pStyle w:val="berschrift1"/>
      </w:pPr>
      <w:r>
        <w:t>3.3.50.223 Satz 3.3.200 – Abschnitt 3.3.50 erzeugt kein neues Primäraxiom</w:t>
      </w:r>
    </w:p>
    <w:p w:rsidR="00150475" w:rsidRDefault="00150475" w:rsidP="00150475">
      <w:pPr>
        <w:pStyle w:val="berschrift3"/>
      </w:pPr>
      <w:r>
        <w:t>Satz 3.3.200</w:t>
      </w:r>
    </w:p>
    <w:p w:rsidR="00150475" w:rsidRDefault="00150475" w:rsidP="00150475">
      <w:pPr>
        <w:pStyle w:val="StandardWeb"/>
      </w:pPr>
      <w:r>
        <w:t>Keine der in Abschnitt 3.3.50 eingeführten Vergleichs-, Ordnungs-, Prioritäts-, Bewertungs-, Optimierungs-, Toleranz-, Auswahl-, Konfliktauflösungs-, Pfad- oder Zufallsstrukturen ist für die minimale Existenz des allgemeinen FRZK universell notwendig.</w:t>
      </w:r>
    </w:p>
    <w:p w:rsidR="00150475" w:rsidRDefault="00150475" w:rsidP="00150475">
      <w:pPr>
        <w:pStyle w:val="StandardWeb"/>
      </w:pPr>
      <w:r>
        <w:t>Formal gilt</w:t>
      </w:r>
    </w:p>
    <w:p w:rsidR="00150475" w:rsidRDefault="00150475" w:rsidP="00150475">
      <w:pPr>
        <w:pStyle w:val="berschrift1"/>
      </w:pPr>
      <w:r>
        <w:t>[</w:t>
      </w:r>
      <w:r>
        <w:br/>
        <w:t>\boxed{</w:t>
      </w:r>
      <w:r>
        <w:br/>
        <w:t>\mathcal A_{3.3.50}^{\mathrm{new}}</w:t>
      </w:r>
    </w:p>
    <w:p w:rsidR="00150475" w:rsidRDefault="00150475" w:rsidP="00150475">
      <w:pPr>
        <w:pStyle w:val="StandardWeb"/>
      </w:pPr>
      <w:r>
        <w:t>\varnothing.</w:t>
      </w:r>
      <w:r>
        <w:br/>
        <w:t>}</w:t>
      </w:r>
      <w:r>
        <w:br/>
        <w:t>\tag{3.13223}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\boxed{\mathcal A_{3.3.50}^{\mathrm{new}}=\varnothing.}</w:t>
      </w:r>
    </w:p>
    <w:p w:rsidR="00150475" w:rsidRDefault="00150475" w:rsidP="00150475">
      <w:pPr>
        <w:pStyle w:val="berschrift3"/>
      </w:pPr>
      <w:r>
        <w:lastRenderedPageBreak/>
        <w:t>Beweis</w:t>
      </w:r>
    </w:p>
    <w:p w:rsidR="00150475" w:rsidRDefault="00150475" w:rsidP="00150475">
      <w:pPr>
        <w:pStyle w:val="StandardWeb"/>
      </w:pPr>
      <w:r>
        <w:t>Für alle untersuchten Primäraxiomkandidaten gilt</w:t>
      </w:r>
    </w:p>
    <w:p w:rsidR="00150475" w:rsidRDefault="00150475" w:rsidP="00150475">
      <w:pPr>
        <w:pStyle w:val="berschrift1"/>
      </w:pPr>
      <w:r>
        <w:t>[</w:t>
      </w:r>
      <w:r>
        <w:br/>
        <w:t>U_{\mathrm{Ax}}(A)</w:t>
      </w:r>
    </w:p>
    <w:p w:rsidR="00150475" w:rsidRDefault="00150475" w:rsidP="00563F88">
      <w:pPr>
        <w:numPr>
          <w:ilvl w:val="0"/>
          <w:numId w:val="627"/>
        </w:numPr>
        <w:spacing w:before="100" w:beforeAutospacing="1" w:after="100" w:afterAutospacing="1"/>
      </w:pPr>
    </w:p>
    <w:p w:rsidR="00150475" w:rsidRDefault="00150475" w:rsidP="00150475">
      <w:pPr>
        <w:pStyle w:val="StandardWeb"/>
      </w:pPr>
      <w:r>
        <w:t>\tag{3.13224}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U_{\mathrm{Ax}}(A)=0</w:t>
      </w:r>
    </w:p>
    <w:p w:rsidR="00150475" w:rsidRDefault="00150475" w:rsidP="00150475">
      <w:pPr>
        <w:pStyle w:val="StandardWeb"/>
      </w:pPr>
      <w:r>
        <w:t>Insbesondere wurde auch die Existenz einer nichtleeren Ordnungsrelation selbst verworfen:</w:t>
      </w:r>
    </w:p>
    <w:p w:rsidR="00150475" w:rsidRDefault="00150475" w:rsidP="00150475">
      <w:pPr>
        <w:pStyle w:val="berschrift1"/>
      </w:pPr>
      <w:r>
        <w:t>[</w:t>
      </w:r>
      <w:r>
        <w:br/>
        <w:t>U_{\mathrm{Ax}}</w:t>
      </w:r>
      <w:r>
        <w:br/>
        <w:t>(A_{\mathrm{ord-ex}})</w:t>
      </w:r>
    </w:p>
    <w:p w:rsidR="00150475" w:rsidRDefault="00150475" w:rsidP="00563F88">
      <w:pPr>
        <w:numPr>
          <w:ilvl w:val="0"/>
          <w:numId w:val="628"/>
        </w:numPr>
        <w:spacing w:before="100" w:beforeAutospacing="1" w:after="100" w:afterAutospacing="1"/>
      </w:pPr>
    </w:p>
    <w:p w:rsidR="00150475" w:rsidRDefault="00150475" w:rsidP="00150475">
      <w:pPr>
        <w:pStyle w:val="StandardWeb"/>
      </w:pPr>
      <w:r>
        <w:t>\tag{3.13225}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U_{\mathrm{Ax}}(A_{\mathrm{ord-ex}})=0</w:t>
      </w:r>
    </w:p>
    <w:p w:rsidR="00150475" w:rsidRDefault="00150475" w:rsidP="00150475">
      <w:pPr>
        <w:pStyle w:val="StandardWeb"/>
      </w:pPr>
      <w:r>
        <w:t>Damit enthält die vollständige Kandidatenmenge kein universell notwendiges neues Axiom:</w:t>
      </w:r>
    </w:p>
    <w:p w:rsidR="00150475" w:rsidRDefault="00150475" w:rsidP="00150475">
      <w:pPr>
        <w:pStyle w:val="StandardWeb"/>
      </w:pPr>
      <w:r>
        <w:t>[</w:t>
      </w:r>
      <w:r>
        <w:br/>
        <w:t>\forall</w:t>
      </w:r>
      <w:r>
        <w:br/>
        <w:t>A</w:t>
      </w:r>
      <w:r>
        <w:br/>
        <w:t>\in</w:t>
      </w:r>
      <w:r>
        <w:br/>
        <w:t>\mathcal A_{\mathrm{ord}}^{\mathrm{cand,final}}</w:t>
      </w:r>
      <w:r>
        <w:br/>
        <w:t>:</w:t>
      </w:r>
      <w:r>
        <w:br/>
        <w:t>U_{\mathrm{Ax}}(A)=0.</w:t>
      </w:r>
      <w:r>
        <w:br/>
        <w:t>\tag{3.13226}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\forall A\in\mathcal A_{\mathrm{ord}}^{\mathrm{cand,final}}:U_{\mathrm{Ax}}(A)=0</w:t>
      </w:r>
    </w:p>
    <w:p w:rsidR="00150475" w:rsidRDefault="00150475" w:rsidP="00150475">
      <w:pPr>
        <w:pStyle w:val="StandardWeb"/>
      </w:pPr>
      <w:r>
        <w:lastRenderedPageBreak/>
        <w:t>Somit folgt</w:t>
      </w:r>
    </w:p>
    <w:p w:rsidR="00150475" w:rsidRDefault="00150475" w:rsidP="00150475">
      <w:pPr>
        <w:pStyle w:val="berschrift1"/>
      </w:pPr>
      <w:r>
        <w:t>[</w:t>
      </w:r>
      <w:r>
        <w:br/>
        <w:t>\mathcal A_{3.3.50}^{\mathrm{new}}</w:t>
      </w:r>
    </w:p>
    <w:p w:rsidR="00150475" w:rsidRDefault="00150475" w:rsidP="00150475">
      <w:pPr>
        <w:pStyle w:val="StandardWeb"/>
      </w:pPr>
      <w:r>
        <w:t>\varnothing.</w:t>
      </w:r>
      <w:r>
        <w:br/>
        <w:t>\tag{3.13227}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\mathcal A_{3.3.50}^{\mathrm{new}}=\varnothing</w:t>
      </w:r>
    </w:p>
    <w:p w:rsidR="00150475" w:rsidRDefault="00150475" w:rsidP="00150475">
      <w:pPr>
        <w:pStyle w:val="StandardWeb"/>
      </w:pPr>
      <w:r>
        <w:t>(\square)</w:t>
      </w:r>
    </w:p>
    <w:p w:rsidR="00150475" w:rsidRDefault="00E50336" w:rsidP="00150475">
      <w:r>
        <w:pict>
          <v:rect id="_x0000_i5069" style="width:0;height:1.5pt" o:hralign="center" o:hrstd="t" o:hr="t" fillcolor="#a0a0a0" stroked="f"/>
        </w:pict>
      </w:r>
    </w:p>
    <w:p w:rsidR="00150475" w:rsidRDefault="00150475" w:rsidP="00150475">
      <w:pPr>
        <w:pStyle w:val="berschrift1"/>
      </w:pPr>
      <w:r>
        <w:t>3.3.50.224 Korollar 3.3.48 – Der Primäraxiomkern bleibt unverändert</w:t>
      </w:r>
    </w:p>
    <w:p w:rsidR="00150475" w:rsidRDefault="00150475" w:rsidP="00150475">
      <w:pPr>
        <w:pStyle w:val="berschrift3"/>
      </w:pPr>
      <w:r>
        <w:t>Korollar 3.3.48</w:t>
      </w:r>
    </w:p>
    <w:p w:rsidR="00150475" w:rsidRDefault="00150475" w:rsidP="00150475">
      <w:pPr>
        <w:pStyle w:val="StandardWeb"/>
      </w:pPr>
      <w:r>
        <w:t>Aus Satz 3.3.200 folgt</w:t>
      </w:r>
    </w:p>
    <w:p w:rsidR="00150475" w:rsidRDefault="00150475" w:rsidP="00150475">
      <w:pPr>
        <w:pStyle w:val="berschrift1"/>
      </w:pPr>
      <w:r>
        <w:t>[</w:t>
      </w:r>
      <w:r>
        <w:br/>
        <w:t>\boxed{</w:t>
      </w:r>
      <w:r>
        <w:br/>
        <w:t>\mathcal A_{\mathrm{FRZK}}^{\mathrm{nach},3.3.50}</w:t>
      </w:r>
    </w:p>
    <w:p w:rsidR="00150475" w:rsidRDefault="00150475" w:rsidP="00150475">
      <w:pPr>
        <w:pStyle w:val="StandardWeb"/>
      </w:pPr>
      <w:r>
        <w:t>\mathcal A_{\mathrm{FRZK}}^{\mathrm{vor},3.3.50}.</w:t>
      </w:r>
      <w:r>
        <w:br/>
        <w:t>}</w:t>
      </w:r>
      <w:r>
        <w:br/>
        <w:t>\tag{3.13228}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\boxed{\mathcal A_{\mathrm{FRZK}}^{\mathrm{nach}\,3.3.50}=\mathcal A_{\mathrm{FRZK}}^{\mathrm{vor}\,3.3.50}.}</w:t>
      </w:r>
    </w:p>
    <w:p w:rsidR="00150475" w:rsidRDefault="00E50336" w:rsidP="00150475">
      <w:r>
        <w:pict>
          <v:rect id="_x0000_i5070" style="width:0;height:1.5pt" o:hralign="center" o:hrstd="t" o:hr="t" fillcolor="#a0a0a0" stroked="f"/>
        </w:pict>
      </w:r>
    </w:p>
    <w:p w:rsidR="00150475" w:rsidRDefault="00150475" w:rsidP="00150475">
      <w:pPr>
        <w:pStyle w:val="berschrift1"/>
      </w:pPr>
      <w:r>
        <w:t>3.3.50.225 Statusmatrix – Vergleich und Ordnung</w:t>
      </w:r>
    </w:p>
    <w:p w:rsidR="00150475" w:rsidRDefault="00150475" w:rsidP="00150475">
      <w:pPr>
        <w:pStyle w:val="StandardWeb"/>
      </w:pPr>
      <w:r>
        <w:t>Für die grundlegende Vergleichsrelation gilt</w:t>
      </w:r>
    </w:p>
    <w:p w:rsidR="00150475" w:rsidRDefault="00150475" w:rsidP="00150475">
      <w:pPr>
        <w:pStyle w:val="berschrift1"/>
      </w:pPr>
      <w:r>
        <w:lastRenderedPageBreak/>
        <w:t>[</w:t>
      </w:r>
      <w:r>
        <w:br/>
        <w:t>\operatorname{Stat}</w:t>
      </w:r>
      <w:r>
        <w:br/>
        <w:t>(\preceq_F)</w:t>
      </w:r>
    </w:p>
    <w:p w:rsidR="00150475" w:rsidRDefault="00150475" w:rsidP="00150475">
      <w:pPr>
        <w:pStyle w:val="StandardWeb"/>
      </w:pPr>
      <w:r>
        <w:t>\mathrm{Def/Mod}.</w:t>
      </w:r>
      <w:r>
        <w:br/>
        <w:t>\tag{3.13229}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\operatorname{Stat}(\preceq_F)=\mathrm{Def/Mod}</w:t>
      </w:r>
    </w:p>
    <w:p w:rsidR="00150475" w:rsidRDefault="00150475" w:rsidP="00150475">
      <w:pPr>
        <w:pStyle w:val="StandardWeb"/>
      </w:pPr>
      <w:r>
        <w:t>Für die strikte Relation gilt</w:t>
      </w:r>
    </w:p>
    <w:p w:rsidR="00150475" w:rsidRDefault="00150475" w:rsidP="00150475">
      <w:pPr>
        <w:pStyle w:val="berschrift1"/>
      </w:pPr>
      <w:r>
        <w:t>[</w:t>
      </w:r>
      <w:r>
        <w:br/>
        <w:t>\operatorname{Stat}</w:t>
      </w:r>
      <w:r>
        <w:br/>
        <w:t>(\prec_F)</w:t>
      </w:r>
    </w:p>
    <w:p w:rsidR="00150475" w:rsidRDefault="00150475" w:rsidP="00150475">
      <w:pPr>
        <w:pStyle w:val="StandardWeb"/>
      </w:pPr>
      <w:r>
        <w:t>\mathrm{Def/Der}.</w:t>
      </w:r>
      <w:r>
        <w:br/>
        <w:t>\tag{3.13230}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\operatorname{Stat}(\prec_F)=\mathrm{Def/Der}</w:t>
      </w:r>
    </w:p>
    <w:p w:rsidR="00150475" w:rsidRDefault="00150475" w:rsidP="00150475">
      <w:pPr>
        <w:pStyle w:val="StandardWeb"/>
      </w:pPr>
      <w:r>
        <w:t>und für Vergleichsäquivalenz</w:t>
      </w:r>
    </w:p>
    <w:p w:rsidR="00150475" w:rsidRDefault="00150475" w:rsidP="00150475">
      <w:pPr>
        <w:pStyle w:val="berschrift1"/>
      </w:pPr>
      <w:r>
        <w:t>[</w:t>
      </w:r>
      <w:r>
        <w:br/>
        <w:t>\operatorname{Stat}</w:t>
      </w:r>
      <w:r>
        <w:br/>
        <w:t>(\sim_{\preceq})</w:t>
      </w:r>
    </w:p>
    <w:p w:rsidR="00150475" w:rsidRDefault="00150475" w:rsidP="00150475">
      <w:pPr>
        <w:pStyle w:val="StandardWeb"/>
      </w:pPr>
      <w:r>
        <w:t>\mathrm{Def/Der}.</w:t>
      </w:r>
      <w:r>
        <w:br/>
        <w:t>\tag{3.13231}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\operatorname{Stat}(\sim_{\preceq})=\mathrm{Def/Der}</w:t>
      </w:r>
    </w:p>
    <w:p w:rsidR="00150475" w:rsidRDefault="00E50336" w:rsidP="00150475">
      <w:r>
        <w:pict>
          <v:rect id="_x0000_i5071" style="width:0;height:1.5pt" o:hralign="center" o:hrstd="t" o:hr="t" fillcolor="#a0a0a0" stroked="f"/>
        </w:pict>
      </w:r>
    </w:p>
    <w:p w:rsidR="00150475" w:rsidRDefault="00150475" w:rsidP="00150475">
      <w:pPr>
        <w:pStyle w:val="berschrift1"/>
      </w:pPr>
      <w:r>
        <w:t>3.3.50.226 Statusmatrix – Bewertungsstrukturen</w:t>
      </w:r>
    </w:p>
    <w:p w:rsidR="00150475" w:rsidRDefault="00150475" w:rsidP="00150475">
      <w:pPr>
        <w:pStyle w:val="StandardWeb"/>
      </w:pPr>
      <w:r>
        <w:t>Für Bewertungsabbildungen gilt</w:t>
      </w:r>
    </w:p>
    <w:p w:rsidR="00150475" w:rsidRDefault="00150475" w:rsidP="00150475">
      <w:pPr>
        <w:pStyle w:val="berschrift1"/>
      </w:pPr>
      <w:r>
        <w:lastRenderedPageBreak/>
        <w:t>[</w:t>
      </w:r>
      <w:r>
        <w:br/>
        <w:t>\operatorname{Stat}</w:t>
      </w:r>
      <w:r>
        <w:br/>
        <w:t>(u_F)</w:t>
      </w:r>
    </w:p>
    <w:p w:rsidR="00150475" w:rsidRDefault="00150475" w:rsidP="00150475">
      <w:pPr>
        <w:pStyle w:val="StandardWeb"/>
      </w:pPr>
      <w:r>
        <w:t>\mathrm{Def/Mod/Op}.</w:t>
      </w:r>
      <w:r>
        <w:br/>
        <w:t>\tag{3.13232}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\operatorname{Stat}(u_F)=\mathrm{Def/Mod/Op}</w:t>
      </w:r>
    </w:p>
    <w:p w:rsidR="00150475" w:rsidRDefault="00150475" w:rsidP="00150475">
      <w:pPr>
        <w:pStyle w:val="StandardWeb"/>
      </w:pPr>
      <w:r>
        <w:t>Für mehrkriterielle Bewertung gilt</w:t>
      </w:r>
    </w:p>
    <w:p w:rsidR="00150475" w:rsidRDefault="00150475" w:rsidP="00150475">
      <w:pPr>
        <w:pStyle w:val="berschrift1"/>
      </w:pPr>
      <w:r>
        <w:t>[</w:t>
      </w:r>
      <w:r>
        <w:br/>
        <w:t>\operatorname{Stat}</w:t>
      </w:r>
      <w:r>
        <w:br/>
        <w:t>(\mathbf u_F)</w:t>
      </w:r>
    </w:p>
    <w:p w:rsidR="00150475" w:rsidRDefault="00150475" w:rsidP="00150475">
      <w:pPr>
        <w:pStyle w:val="StandardWeb"/>
      </w:pPr>
      <w:r>
        <w:t>\mathrm{Def/Mod/Op}.</w:t>
      </w:r>
      <w:r>
        <w:br/>
        <w:t>\tag{3.13233}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\operatorname{Stat}(\mathbf u_F)=\mathrm{Def/Mod/Op}</w:t>
      </w:r>
    </w:p>
    <w:p w:rsidR="00150475" w:rsidRDefault="00150475" w:rsidP="00150475">
      <w:pPr>
        <w:pStyle w:val="StandardWeb"/>
      </w:pPr>
      <w:r>
        <w:t>und für Gewichtungsvektoren</w:t>
      </w:r>
    </w:p>
    <w:p w:rsidR="00150475" w:rsidRDefault="00150475" w:rsidP="00150475">
      <w:pPr>
        <w:pStyle w:val="berschrift1"/>
      </w:pPr>
      <w:r>
        <w:t>[</w:t>
      </w:r>
      <w:r>
        <w:br/>
        <w:t>\operatorname{Stat}</w:t>
      </w:r>
      <w:r>
        <w:br/>
        <w:t>(\mathbf w)</w:t>
      </w:r>
    </w:p>
    <w:p w:rsidR="00150475" w:rsidRDefault="00150475" w:rsidP="00150475">
      <w:pPr>
        <w:pStyle w:val="StandardWeb"/>
      </w:pPr>
      <w:r>
        <w:t>\mathrm{Mod/Op}.</w:t>
      </w:r>
      <w:r>
        <w:br/>
        <w:t>\tag{3.13234}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\operatorname{Stat}(\mathbf w)=\mathrm{Mod/Op}</w:t>
      </w:r>
    </w:p>
    <w:p w:rsidR="00150475" w:rsidRDefault="00E50336" w:rsidP="00150475">
      <w:r>
        <w:pict>
          <v:rect id="_x0000_i5072" style="width:0;height:1.5pt" o:hralign="center" o:hrstd="t" o:hr="t" fillcolor="#a0a0a0" stroked="f"/>
        </w:pict>
      </w:r>
    </w:p>
    <w:p w:rsidR="00150475" w:rsidRDefault="00150475" w:rsidP="00150475">
      <w:pPr>
        <w:pStyle w:val="berschrift1"/>
      </w:pPr>
      <w:r>
        <w:t>3.3.50.227 Statusmatrix – Optimierungsstrukturen</w:t>
      </w:r>
    </w:p>
    <w:p w:rsidR="00150475" w:rsidRDefault="00150475" w:rsidP="00150475">
      <w:pPr>
        <w:pStyle w:val="StandardWeb"/>
      </w:pPr>
      <w:r>
        <w:t>Für maximale Elemente gilt</w:t>
      </w:r>
    </w:p>
    <w:p w:rsidR="00150475" w:rsidRDefault="00150475" w:rsidP="00150475">
      <w:pPr>
        <w:pStyle w:val="berschrift1"/>
      </w:pPr>
      <w:r>
        <w:lastRenderedPageBreak/>
        <w:t>[</w:t>
      </w:r>
      <w:r>
        <w:br/>
        <w:t>\operatorname{Stat}</w:t>
      </w:r>
      <w:r>
        <w:br/>
        <w:t>(\operatorname{Max}_F)</w:t>
      </w:r>
    </w:p>
    <w:p w:rsidR="00150475" w:rsidRDefault="00150475" w:rsidP="00150475">
      <w:pPr>
        <w:pStyle w:val="StandardWeb"/>
      </w:pPr>
      <w:r>
        <w:t>\mathrm{Def/Der}.</w:t>
      </w:r>
      <w:r>
        <w:br/>
        <w:t>\tag{3.13235}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\operatorname{Stat}(\operatorname{Max}_F)=\mathrm{Def/Der}</w:t>
      </w:r>
    </w:p>
    <w:p w:rsidR="00150475" w:rsidRDefault="00150475" w:rsidP="00150475">
      <w:pPr>
        <w:pStyle w:val="StandardWeb"/>
      </w:pPr>
      <w:r>
        <w:t>Für Suprema gilt</w:t>
      </w:r>
    </w:p>
    <w:p w:rsidR="00150475" w:rsidRDefault="00150475" w:rsidP="00150475">
      <w:pPr>
        <w:pStyle w:val="berschrift1"/>
      </w:pPr>
      <w:r>
        <w:t>[</w:t>
      </w:r>
      <w:r>
        <w:br/>
        <w:t>\operatorname{Stat}</w:t>
      </w:r>
      <w:r>
        <w:br/>
        <w:t>(\sup_F)</w:t>
      </w:r>
    </w:p>
    <w:p w:rsidR="00150475" w:rsidRDefault="00150475" w:rsidP="00150475">
      <w:pPr>
        <w:pStyle w:val="StandardWeb"/>
      </w:pPr>
      <w:r>
        <w:t>\mathrm{Def/Der}.</w:t>
      </w:r>
      <w:r>
        <w:br/>
        <w:t>\tag{3.13236}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\operatorname{Stat}(\sup_F)=\mathrm{Def/Der}</w:t>
      </w:r>
    </w:p>
    <w:p w:rsidR="00150475" w:rsidRDefault="00150475" w:rsidP="00150475">
      <w:pPr>
        <w:pStyle w:val="StandardWeb"/>
      </w:pPr>
      <w:r>
        <w:t>und für Pareto-Mengen</w:t>
      </w:r>
    </w:p>
    <w:p w:rsidR="00150475" w:rsidRDefault="00150475" w:rsidP="00150475">
      <w:pPr>
        <w:pStyle w:val="berschrift1"/>
      </w:pPr>
      <w:r>
        <w:t>[</w:t>
      </w:r>
      <w:r>
        <w:br/>
        <w:t>\operatorname{Stat}</w:t>
      </w:r>
      <w:r>
        <w:br/>
        <w:t>(\mathcal P_F)</w:t>
      </w:r>
    </w:p>
    <w:p w:rsidR="00150475" w:rsidRDefault="00150475" w:rsidP="00150475">
      <w:pPr>
        <w:pStyle w:val="StandardWeb"/>
      </w:pPr>
      <w:r>
        <w:t>\mathrm{Def/Der/Op}.</w:t>
      </w:r>
      <w:r>
        <w:br/>
        <w:t>\tag{3.13237}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\operatorname{Stat}(\mathcal P_F)=\mathrm{Def/Der/Op}</w:t>
      </w:r>
    </w:p>
    <w:p w:rsidR="00150475" w:rsidRDefault="00E50336" w:rsidP="00150475">
      <w:r>
        <w:pict>
          <v:rect id="_x0000_i5073" style="width:0;height:1.5pt" o:hralign="center" o:hrstd="t" o:hr="t" fillcolor="#a0a0a0" stroked="f"/>
        </w:pict>
      </w:r>
    </w:p>
    <w:p w:rsidR="00150475" w:rsidRDefault="00150475" w:rsidP="00150475">
      <w:pPr>
        <w:pStyle w:val="berschrift1"/>
      </w:pPr>
      <w:r>
        <w:t>3.3.50.228 Statusmatrix – Priorität</w:t>
      </w:r>
    </w:p>
    <w:p w:rsidR="00150475" w:rsidRDefault="00150475" w:rsidP="00150475">
      <w:pPr>
        <w:pStyle w:val="StandardWeb"/>
      </w:pPr>
      <w:r>
        <w:t>Für Prioritätsrelationen gilt</w:t>
      </w:r>
    </w:p>
    <w:p w:rsidR="00150475" w:rsidRDefault="00150475" w:rsidP="00150475">
      <w:pPr>
        <w:pStyle w:val="berschrift1"/>
      </w:pPr>
      <w:r>
        <w:lastRenderedPageBreak/>
        <w:t>[</w:t>
      </w:r>
      <w:r>
        <w:br/>
        <w:t>\operatorname{Stat}</w:t>
      </w:r>
      <w:r>
        <w:br/>
        <w:t>(\triangleleft_F)</w:t>
      </w:r>
    </w:p>
    <w:p w:rsidR="00150475" w:rsidRDefault="00150475" w:rsidP="00150475">
      <w:pPr>
        <w:pStyle w:val="StandardWeb"/>
      </w:pPr>
      <w:r>
        <w:t>\mathrm{Def/Mod}.</w:t>
      </w:r>
      <w:r>
        <w:br/>
        <w:t>\tag{3.13238}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\operatorname{Stat}(\triangleleft_F)=\mathrm{Def/Mod}</w:t>
      </w:r>
    </w:p>
    <w:p w:rsidR="00150475" w:rsidRDefault="00150475" w:rsidP="00150475">
      <w:pPr>
        <w:pStyle w:val="StandardWeb"/>
      </w:pPr>
      <w:r>
        <w:t>Für Kriterienprioritäten gilt</w:t>
      </w:r>
    </w:p>
    <w:p w:rsidR="00150475" w:rsidRDefault="00150475" w:rsidP="00150475">
      <w:pPr>
        <w:pStyle w:val="berschrift1"/>
      </w:pPr>
      <w:r>
        <w:t>[</w:t>
      </w:r>
      <w:r>
        <w:br/>
        <w:t>\operatorname{Stat}</w:t>
      </w:r>
      <w:r>
        <w:br/>
        <w:t>(\triangleright_F)</w:t>
      </w:r>
    </w:p>
    <w:p w:rsidR="00150475" w:rsidRDefault="00150475" w:rsidP="00150475">
      <w:pPr>
        <w:pStyle w:val="StandardWeb"/>
      </w:pPr>
      <w:r>
        <w:t>\mathrm{Def/Mod}.</w:t>
      </w:r>
      <w:r>
        <w:br/>
        <w:t>\tag{3.13239}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\operatorname{Stat}(\triangleright_F)=\mathrm{Def/Mod}</w:t>
      </w:r>
    </w:p>
    <w:p w:rsidR="00150475" w:rsidRDefault="00E50336" w:rsidP="00150475">
      <w:r>
        <w:pict>
          <v:rect id="_x0000_i5074" style="width:0;height:1.5pt" o:hralign="center" o:hrstd="t" o:hr="t" fillcolor="#a0a0a0" stroked="f"/>
        </w:pict>
      </w:r>
    </w:p>
    <w:p w:rsidR="00150475" w:rsidRDefault="00150475" w:rsidP="00150475">
      <w:pPr>
        <w:pStyle w:val="berschrift1"/>
      </w:pPr>
      <w:r>
        <w:t>3.3.50.229 Statusmatrix – Auswahloperatoren</w:t>
      </w:r>
    </w:p>
    <w:p w:rsidR="00150475" w:rsidRDefault="00150475" w:rsidP="00150475">
      <w:pPr>
        <w:pStyle w:val="StandardWeb"/>
      </w:pPr>
      <w:r>
        <w:t>Der allgemeine Auswahloperator besitzt den Status</w:t>
      </w:r>
    </w:p>
    <w:p w:rsidR="00150475" w:rsidRDefault="00150475" w:rsidP="00150475">
      <w:pPr>
        <w:pStyle w:val="berschrift1"/>
      </w:pPr>
      <w:r>
        <w:t>[</w:t>
      </w:r>
      <w:r>
        <w:br/>
        <w:t>\operatorname{Stat}</w:t>
      </w:r>
      <w:r>
        <w:br/>
        <w:t>(\operatorname{Sel}_F)</w:t>
      </w:r>
    </w:p>
    <w:p w:rsidR="00150475" w:rsidRDefault="00150475" w:rsidP="00150475">
      <w:pPr>
        <w:pStyle w:val="StandardWeb"/>
      </w:pPr>
      <w:r>
        <w:t>\mathrm{Def/Mod/Op}.</w:t>
      </w:r>
      <w:r>
        <w:br/>
        <w:t>\tag{3.13240}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\operatorname{Stat}(\operatorname{Sel}_F)=\mathrm{Def/Mod/Op}</w:t>
      </w:r>
    </w:p>
    <w:p w:rsidR="00150475" w:rsidRDefault="00150475" w:rsidP="00150475">
      <w:pPr>
        <w:pStyle w:val="StandardWeb"/>
      </w:pPr>
      <w:r>
        <w:t>Für sequenzielle Auswahl gilt</w:t>
      </w:r>
    </w:p>
    <w:p w:rsidR="00150475" w:rsidRDefault="00150475" w:rsidP="00150475">
      <w:pPr>
        <w:pStyle w:val="berschrift1"/>
      </w:pPr>
      <w:r>
        <w:lastRenderedPageBreak/>
        <w:t>[</w:t>
      </w:r>
      <w:r>
        <w:br/>
        <w:t>\operatorname{Stat}</w:t>
      </w:r>
      <w:r>
        <w:br/>
        <w:t>(\operatorname{Sel}_{F,\mathrm{seq}})</w:t>
      </w:r>
    </w:p>
    <w:p w:rsidR="00150475" w:rsidRDefault="00150475" w:rsidP="00150475">
      <w:pPr>
        <w:pStyle w:val="StandardWeb"/>
      </w:pPr>
      <w:r>
        <w:t>\mathrm{Def/Mod/Op}.</w:t>
      </w:r>
      <w:r>
        <w:br/>
        <w:t>\tag{3.13241}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\operatorname{Stat}(\operatorname{Sel}_{F,\mathrm{seq}})=\mathrm{Def/Mod/Op}</w:t>
      </w:r>
    </w:p>
    <w:p w:rsidR="00150475" w:rsidRDefault="00150475" w:rsidP="00150475">
      <w:pPr>
        <w:pStyle w:val="StandardWeb"/>
      </w:pPr>
      <w:r>
        <w:t>und für stochastische Auswahl</w:t>
      </w:r>
    </w:p>
    <w:p w:rsidR="00150475" w:rsidRDefault="00150475" w:rsidP="00150475">
      <w:pPr>
        <w:pStyle w:val="berschrift1"/>
      </w:pPr>
      <w:r>
        <w:t>[</w:t>
      </w:r>
      <w:r>
        <w:br/>
        <w:t>\operatorname{Stat}</w:t>
      </w:r>
      <w:r>
        <w:br/>
        <w:t>(\operatorname{Sel}_F^\omega)</w:t>
      </w:r>
    </w:p>
    <w:p w:rsidR="00150475" w:rsidRDefault="00150475" w:rsidP="00150475">
      <w:pPr>
        <w:pStyle w:val="StandardWeb"/>
      </w:pPr>
      <w:r>
        <w:t>\mathrm{Def/Mod/Op}.</w:t>
      </w:r>
      <w:r>
        <w:br/>
        <w:t>\tag{3.13242}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\operatorname{Stat}(\operatorname{Sel}_F^\omega)=\mathrm{Def/Mod/Op}</w:t>
      </w:r>
    </w:p>
    <w:p w:rsidR="00150475" w:rsidRDefault="00E50336" w:rsidP="00150475">
      <w:r>
        <w:pict>
          <v:rect id="_x0000_i5075" style="width:0;height:1.5pt" o:hralign="center" o:hrstd="t" o:hr="t" fillcolor="#a0a0a0" stroked="f"/>
        </w:pict>
      </w:r>
    </w:p>
    <w:p w:rsidR="00150475" w:rsidRDefault="00150475" w:rsidP="00150475">
      <w:pPr>
        <w:pStyle w:val="berschrift1"/>
      </w:pPr>
      <w:r>
        <w:t>3.3.50.230 Definition 3.3.522 – Endgültige Statusabbildung von Abschnitt 3.3.50</w:t>
      </w:r>
    </w:p>
    <w:p w:rsidR="00150475" w:rsidRDefault="00150475" w:rsidP="00150475">
      <w:pPr>
        <w:pStyle w:val="berschrift3"/>
      </w:pPr>
      <w:r>
        <w:t>Definition 3.3.522</w:t>
      </w:r>
    </w:p>
    <w:p w:rsidR="00150475" w:rsidRDefault="00150475" w:rsidP="00150475">
      <w:pPr>
        <w:pStyle w:val="StandardWeb"/>
      </w:pPr>
      <w:r>
        <w:t>Die endgültige Statusabbildung lautet</w:t>
      </w:r>
    </w:p>
    <w:p w:rsidR="00150475" w:rsidRDefault="00150475" w:rsidP="00150475">
      <w:pPr>
        <w:pStyle w:val="StandardWeb"/>
      </w:pPr>
      <w:r>
        <w:t>[</w:t>
      </w:r>
      <w:r>
        <w:br/>
        <w:t>\boxed{</w:t>
      </w:r>
      <w:r>
        <w:br/>
        <w:t>\mathfrak M_{3.3.50}</w:t>
      </w:r>
      <w:r>
        <w:br/>
        <w:t>:</w:t>
      </w:r>
      <w:r>
        <w:br/>
        <w:t>\mathcal O_{3.3.50}</w:t>
      </w:r>
      <w:r>
        <w:br/>
        <w:t>\rightarrow</w:t>
      </w:r>
      <w:r>
        <w:br/>
        <w:t>\mathcal P</w:t>
      </w:r>
      <w:r>
        <w:br/>
        <w:t>\left(</w:t>
      </w:r>
      <w:r>
        <w:br/>
        <w:t>{</w:t>
      </w:r>
      <w:r>
        <w:br/>
        <w:t>\mathrm{Def},</w:t>
      </w:r>
      <w:r>
        <w:br/>
        <w:t>\mathrm{Der},</w:t>
      </w:r>
      <w:r>
        <w:br/>
      </w:r>
      <w:r>
        <w:lastRenderedPageBreak/>
        <w:t>\mathrm{Mod},</w:t>
      </w:r>
      <w:r>
        <w:br/>
        <w:t>\mathrm{Op},</w:t>
      </w:r>
      <w:r>
        <w:br/>
        <w:t>\mathrm{Ax}</w:t>
      </w:r>
      <w:r>
        <w:br/>
        <w:t>}</w:t>
      </w:r>
      <w:r>
        <w:br/>
        <w:t>\right).</w:t>
      </w:r>
      <w:r>
        <w:br/>
        <w:t>}</w:t>
      </w:r>
      <w:r>
        <w:br/>
        <w:t>\tag{3.13243}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\boxed{\mathfrak M_{3.3.50}:\mathcal O_{3.3.50}\rightarrow\mathcal P\left(\{\mathrm{Def},\mathrm{Der},\mathrm{Mod},\mathrm{Op},\mathrm{Ax}\}\right).}</w:t>
      </w:r>
    </w:p>
    <w:p w:rsidR="00150475" w:rsidRDefault="00150475" w:rsidP="00150475">
      <w:pPr>
        <w:pStyle w:val="StandardWeb"/>
      </w:pPr>
      <w:r>
        <w:t>Für sämtliche in diesem Abschnitt eingeführten Strukturen bleibt die Primäraxiomkomponente leer.</w:t>
      </w:r>
    </w:p>
    <w:p w:rsidR="00150475" w:rsidRDefault="00E50336" w:rsidP="00150475">
      <w:r>
        <w:pict>
          <v:rect id="_x0000_i5076" style="width:0;height:1.5pt" o:hralign="center" o:hrstd="t" o:hr="t" fillcolor="#a0a0a0" stroked="f"/>
        </w:pict>
      </w:r>
    </w:p>
    <w:p w:rsidR="00150475" w:rsidRDefault="00150475" w:rsidP="00150475">
      <w:pPr>
        <w:pStyle w:val="berschrift1"/>
      </w:pPr>
      <w:r>
        <w:t>3.3.50.231 Gesamtklassifikation</w:t>
      </w:r>
    </w:p>
    <w:p w:rsidR="00150475" w:rsidRDefault="00150475" w:rsidP="00150475">
      <w:pPr>
        <w:pStyle w:val="StandardWeb"/>
      </w:pPr>
      <w:r>
        <w:t>Ich fasse die gesamte Ordnungs- und Auswahlarchitektur zusammen als</w:t>
      </w:r>
    </w:p>
    <w:p w:rsidR="00150475" w:rsidRDefault="00150475" w:rsidP="00150475">
      <w:pPr>
        <w:pStyle w:val="berschrift1"/>
      </w:pPr>
      <w:r>
        <w:t>[</w:t>
      </w:r>
      <w:r>
        <w:br/>
        <w:t>\mathfrak C_{3.3.50}</w:t>
      </w:r>
    </w:p>
    <w:p w:rsidR="00150475" w:rsidRDefault="00150475" w:rsidP="00150475">
      <w:pPr>
        <w:pStyle w:val="StandardWeb"/>
      </w:pPr>
      <w:r>
        <w:t>\left(</w:t>
      </w:r>
      <w:r>
        <w:br/>
        <w:t>\mathfrak D_{\mathrm{ord}},</w:t>
      </w:r>
      <w:r>
        <w:br/>
        <w:t>\mathfrak R_{\mathrm{ord}},</w:t>
      </w:r>
      <w:r>
        <w:br/>
        <w:t>\mathfrak M_{\mathrm{ord}},</w:t>
      </w:r>
      <w:r>
        <w:br/>
        <w:t>\mathfrak O_{\mathrm{ord}}</w:t>
      </w:r>
      <w:r>
        <w:br/>
        <w:t>\right).</w:t>
      </w:r>
      <w:r>
        <w:br/>
        <w:t>\tag{3.13244}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\mathfrak C_{3.3.50}=\left(\mathfrak D_{\mathrm{ord}},\mathfrak R_{\mathrm{ord}},\mathfrak M_{\mathrm{ord}},\mathfrak O_{\mathrm{ord}}\right)</w:t>
      </w:r>
    </w:p>
    <w:p w:rsidR="00150475" w:rsidRDefault="00E50336" w:rsidP="00150475">
      <w:r>
        <w:pict>
          <v:rect id="_x0000_i5077" style="width:0;height:1.5pt" o:hralign="center" o:hrstd="t" o:hr="t" fillcolor="#a0a0a0" stroked="f"/>
        </w:pict>
      </w:r>
    </w:p>
    <w:p w:rsidR="00150475" w:rsidRDefault="00150475" w:rsidP="00150475">
      <w:pPr>
        <w:pStyle w:val="berschrift1"/>
      </w:pPr>
      <w:r>
        <w:t>3.3.50.232 Definition 3.3.523 – Gesamtklassifikation der funktionalen Ordnungs- und Auswahlarchitektur</w:t>
      </w:r>
    </w:p>
    <w:p w:rsidR="00150475" w:rsidRDefault="00150475" w:rsidP="00150475">
      <w:pPr>
        <w:pStyle w:val="berschrift3"/>
      </w:pPr>
      <w:r>
        <w:t>Definition 3.3.523</w:t>
      </w:r>
    </w:p>
    <w:p w:rsidR="00150475" w:rsidRDefault="00150475" w:rsidP="00150475">
      <w:pPr>
        <w:pStyle w:val="StandardWeb"/>
      </w:pPr>
      <w:r>
        <w:t xml:space="preserve">Die </w:t>
      </w:r>
      <w:r>
        <w:rPr>
          <w:rStyle w:val="Fett"/>
        </w:rPr>
        <w:t>Gesamtklassifikation der funktionalen Ordnungs- und Auswahlarchitektur</w:t>
      </w:r>
      <w:r>
        <w:t xml:space="preserve"> ist</w:t>
      </w:r>
    </w:p>
    <w:p w:rsidR="00150475" w:rsidRDefault="00150475" w:rsidP="00150475">
      <w:pPr>
        <w:pStyle w:val="berschrift1"/>
      </w:pPr>
      <w:r>
        <w:lastRenderedPageBreak/>
        <w:t>[</w:t>
      </w:r>
      <w:r>
        <w:br/>
        <w:t>\boxed{</w:t>
      </w:r>
      <w:r>
        <w:br/>
        <w:t>\mathfrak C_{3.3.50}</w:t>
      </w:r>
    </w:p>
    <w:p w:rsidR="00150475" w:rsidRDefault="00150475" w:rsidP="00150475">
      <w:pPr>
        <w:pStyle w:val="StandardWeb"/>
      </w:pPr>
      <w:r>
        <w:t>\left(</w:t>
      </w:r>
      <w:r>
        <w:br/>
        <w:t>\mathfrak D_{\mathrm{ord}},</w:t>
      </w:r>
      <w:r>
        <w:br/>
        <w:t>\mathfrak R_{\mathrm{ord}},</w:t>
      </w:r>
      <w:r>
        <w:br/>
        <w:t>\mathfrak M_{\mathrm{ord}},</w:t>
      </w:r>
      <w:r>
        <w:br/>
        <w:t>\mathfrak O_{\mathrm{ord}}</w:t>
      </w:r>
      <w:r>
        <w:br/>
        <w:t>\right).</w:t>
      </w:r>
      <w:r>
        <w:br/>
        <w:t>}</w:t>
      </w:r>
      <w:r>
        <w:br/>
        <w:t>\tag{3.13245}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\boxed{\mathfrak C_{3.3.50}=\left(\mathfrak D_{\mathrm{ord}},\mathfrak R_{\mathrm{ord}},\mathfrak M_{\mathrm{ord}},\mathfrak O_{\mathrm{ord}}\right).}</w:t>
      </w:r>
    </w:p>
    <w:p w:rsidR="00150475" w:rsidRDefault="00150475" w:rsidP="00150475">
      <w:pPr>
        <w:pStyle w:val="StandardWeb"/>
      </w:pPr>
      <w:r>
        <w:t>Die Primäraxiomkomponente lautet</w:t>
      </w:r>
    </w:p>
    <w:p w:rsidR="00150475" w:rsidRDefault="00150475" w:rsidP="00150475">
      <w:pPr>
        <w:pStyle w:val="berschrift1"/>
      </w:pPr>
      <w:r>
        <w:t>[</w:t>
      </w:r>
      <w:r>
        <w:br/>
        <w:t>\boxed{</w:t>
      </w:r>
      <w:r>
        <w:br/>
        <w:t>\mathfrak A_{\mathrm{ord}}</w:t>
      </w:r>
    </w:p>
    <w:p w:rsidR="00150475" w:rsidRDefault="00150475" w:rsidP="00150475">
      <w:pPr>
        <w:pStyle w:val="StandardWeb"/>
      </w:pPr>
      <w:r>
        <w:t>\varnothing.</w:t>
      </w:r>
      <w:r>
        <w:br/>
        <w:t>}</w:t>
      </w:r>
      <w:r>
        <w:br/>
        <w:t>\tag{3.13246}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\boxed{\mathfrak A_{\mathrm{ord}}=\varnothing.}</w:t>
      </w:r>
    </w:p>
    <w:p w:rsidR="00150475" w:rsidRDefault="00E50336" w:rsidP="00150475">
      <w:r>
        <w:pict>
          <v:rect id="_x0000_i5078" style="width:0;height:1.5pt" o:hralign="center" o:hrstd="t" o:hr="t" fillcolor="#a0a0a0" stroked="f"/>
        </w:pict>
      </w:r>
    </w:p>
    <w:p w:rsidR="00150475" w:rsidRDefault="00150475" w:rsidP="00150475">
      <w:pPr>
        <w:pStyle w:val="berschrift1"/>
      </w:pPr>
      <w:r>
        <w:t>3.3.50.233 Methodologische Betrachtungen</w:t>
      </w:r>
    </w:p>
    <w:p w:rsidR="00150475" w:rsidRDefault="00150475" w:rsidP="00150475">
      <w:pPr>
        <w:pStyle w:val="StandardWeb"/>
      </w:pPr>
      <w:r>
        <w:t>Methodologisch ist für mich entscheidend, dass eine mathematische Ordnung niemals ohne Weiteres mit einer physikalischen oder ontologischen Rangordnung gleichgesetzt werden darf. Eine Relation</w:t>
      </w:r>
    </w:p>
    <w:p w:rsidR="00150475" w:rsidRDefault="00150475" w:rsidP="00150475">
      <w:pPr>
        <w:pStyle w:val="StandardWeb"/>
      </w:pPr>
      <w:r>
        <w:t>[</w:t>
      </w:r>
      <w:r>
        <w:br/>
        <w:t>X</w:t>
      </w:r>
      <w:r>
        <w:br/>
        <w:t>\preceq_F</w:t>
      </w:r>
      <w:r>
        <w:br/>
        <w:t>Y</w:t>
      </w:r>
      <w:r>
        <w:br/>
      </w:r>
      <w:r>
        <w:lastRenderedPageBreak/>
        <w:t>\tag{3.13247}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X\preceq_F Y</w:t>
      </w:r>
    </w:p>
    <w:p w:rsidR="00150475" w:rsidRDefault="00150475" w:rsidP="00150475">
      <w:pPr>
        <w:pStyle w:val="StandardWeb"/>
      </w:pPr>
      <w:r>
        <w:t>bedeutet zunächst ausschließlich, dass ich innerhalb einer festgelegten Modellstruktur ein Vergleichskriterium definiert habe.</w:t>
      </w:r>
    </w:p>
    <w:p w:rsidR="00150475" w:rsidRDefault="00150475" w:rsidP="00150475">
      <w:pPr>
        <w:pStyle w:val="StandardWeb"/>
      </w:pPr>
      <w:r>
        <w:t>Ebenso trenne ich ausdrücklich</w:t>
      </w:r>
    </w:p>
    <w:p w:rsidR="00150475" w:rsidRDefault="00150475" w:rsidP="00150475">
      <w:pPr>
        <w:pStyle w:val="StandardWeb"/>
      </w:pPr>
      <w:r>
        <w:t>[</w:t>
      </w:r>
      <w:r>
        <w:br/>
        <w:t>\preceq_F</w:t>
      </w:r>
      <w:r>
        <w:br/>
        <w:t>\not\equiv</w:t>
      </w:r>
      <w:r>
        <w:br/>
        <w:t>\triangleleft_F</w:t>
      </w:r>
      <w:r>
        <w:br/>
        <w:t>\not\equiv</w:t>
      </w:r>
      <w:r>
        <w:br/>
        <w:t>\rightsquigarrow.</w:t>
      </w:r>
      <w:r>
        <w:br/>
        <w:t>\tag{3.13248}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\preceq_F\not\equiv\triangleleft_F\not\equiv\rightsquigarrow</w:t>
      </w:r>
    </w:p>
    <w:p w:rsidR="00150475" w:rsidRDefault="00150475" w:rsidP="00150475">
      <w:pPr>
        <w:pStyle w:val="StandardWeb"/>
      </w:pPr>
      <w:r>
        <w:t>Eine Vergleichsrelation ist damit weder automatisch eine Prioritätsrelation noch eine gerichtete Einflussrelation.</w:t>
      </w:r>
    </w:p>
    <w:p w:rsidR="00150475" w:rsidRDefault="00150475" w:rsidP="00150475">
      <w:pPr>
        <w:pStyle w:val="StandardWeb"/>
      </w:pPr>
      <w:r>
        <w:t>Auch die Bewertungsabbildung</w:t>
      </w:r>
    </w:p>
    <w:p w:rsidR="00150475" w:rsidRDefault="00150475" w:rsidP="00150475">
      <w:pPr>
        <w:pStyle w:val="StandardWeb"/>
      </w:pPr>
      <w:r>
        <w:t>[</w:t>
      </w:r>
      <w:r>
        <w:br/>
        <w:t>u_F</w:t>
      </w:r>
      <w:r>
        <w:br/>
        <w:t>:</w:t>
      </w:r>
      <w:r>
        <w:br/>
        <w:t>\mathcal X_F</w:t>
      </w:r>
      <w:r>
        <w:br/>
        <w:t>\rightarrow</w:t>
      </w:r>
      <w:r>
        <w:br/>
        <w:t>\mathcal V_u</w:t>
      </w:r>
      <w:r>
        <w:br/>
        <w:t>\tag{3.13249}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u_F:\mathcal X_F\rightarrow\mathcal V_u</w:t>
      </w:r>
    </w:p>
    <w:p w:rsidR="00150475" w:rsidRDefault="00150475" w:rsidP="00150475">
      <w:pPr>
        <w:pStyle w:val="StandardWeb"/>
      </w:pPr>
      <w:r>
        <w:t>behandle ich als Modellinstrument und nicht als intrinsische Eigenschaft eines funktionalen Objekts.</w:t>
      </w:r>
    </w:p>
    <w:p w:rsidR="00150475" w:rsidRDefault="00150475" w:rsidP="00150475">
      <w:pPr>
        <w:pStyle w:val="StandardWeb"/>
      </w:pPr>
      <w:r>
        <w:t>Besonders wichtig ist diese Trennung bei Mehrkriterienproblemen. Eine Gewichtung</w:t>
      </w:r>
    </w:p>
    <w:p w:rsidR="00150475" w:rsidRDefault="00150475" w:rsidP="00150475">
      <w:pPr>
        <w:pStyle w:val="berschrift1"/>
      </w:pPr>
      <w:r>
        <w:t>[</w:t>
      </w:r>
      <w:r>
        <w:br/>
        <w:t>\mathbf w</w:t>
      </w:r>
    </w:p>
    <w:p w:rsidR="00150475" w:rsidRDefault="00150475" w:rsidP="00150475">
      <w:pPr>
        <w:pStyle w:val="StandardWeb"/>
      </w:pPr>
      <w:r>
        <w:lastRenderedPageBreak/>
        <w:t>(w_1,\ldots,w_m)</w:t>
      </w:r>
      <w:r>
        <w:br/>
        <w:t>\tag{3.13250}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\mathbf w=(w_1,\ldots,w_m)</w:t>
      </w:r>
    </w:p>
    <w:p w:rsidR="00150475" w:rsidRDefault="00150475" w:rsidP="00150475">
      <w:pPr>
        <w:pStyle w:val="StandardWeb"/>
      </w:pPr>
      <w:r>
        <w:t>ist keine objektive Eigenschaft des allgemeinen FRZK, sondern eine explizite Modellfestlegung.</w:t>
      </w:r>
    </w:p>
    <w:p w:rsidR="00150475" w:rsidRDefault="00150475" w:rsidP="00150475">
      <w:pPr>
        <w:pStyle w:val="StandardWeb"/>
      </w:pPr>
      <w:r>
        <w:t>Daraus folgt für mich methodologisch</w:t>
      </w:r>
    </w:p>
    <w:p w:rsidR="00150475" w:rsidRDefault="00150475" w:rsidP="00150475">
      <w:pPr>
        <w:pStyle w:val="StandardWeb"/>
      </w:pPr>
      <w:r>
        <w:t>[</w:t>
      </w:r>
      <w:r>
        <w:br/>
        <w:t>\boxed{</w:t>
      </w:r>
      <w:r>
        <w:br/>
        <w:t>\text{Ordnung}</w:t>
      </w:r>
      <w:r>
        <w:br/>
        <w:t>\neq</w:t>
      </w:r>
      <w:r>
        <w:br/>
        <w:t>\text{Priorität}</w:t>
      </w:r>
      <w:r>
        <w:br/>
        <w:t>\neq</w:t>
      </w:r>
      <w:r>
        <w:br/>
        <w:t>\text{Bewertung}</w:t>
      </w:r>
      <w:r>
        <w:br/>
        <w:t>\neq</w:t>
      </w:r>
      <w:r>
        <w:br/>
        <w:t>\text{Auswahl}.</w:t>
      </w:r>
      <w:r>
        <w:br/>
        <w:t>}</w:t>
      </w:r>
      <w:r>
        <w:br/>
        <w:t>\tag{3.13251}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\boxed{\text{Ordnung}\neq\text{Priorität}\neq\text{Bewertung}\neq\text{Auswahl}.}</w:t>
      </w:r>
    </w:p>
    <w:p w:rsidR="00150475" w:rsidRDefault="00E50336" w:rsidP="00150475">
      <w:r>
        <w:pict>
          <v:rect id="_x0000_i5079" style="width:0;height:1.5pt" o:hralign="center" o:hrstd="t" o:hr="t" fillcolor="#a0a0a0" stroked="f"/>
        </w:pict>
      </w:r>
    </w:p>
    <w:p w:rsidR="00150475" w:rsidRDefault="00150475" w:rsidP="00150475">
      <w:pPr>
        <w:pStyle w:val="berschrift1"/>
      </w:pPr>
      <w:r>
        <w:t>3.3.50.234 Didaktische Betrachtungen</w:t>
      </w:r>
    </w:p>
    <w:p w:rsidR="00150475" w:rsidRDefault="00150475" w:rsidP="00150475">
      <w:pPr>
        <w:pStyle w:val="StandardWeb"/>
      </w:pPr>
      <w:r>
        <w:t>Didaktisch beginne ich mit einer einfachen binären Relation</w:t>
      </w:r>
    </w:p>
    <w:p w:rsidR="00150475" w:rsidRDefault="00150475" w:rsidP="00150475">
      <w:pPr>
        <w:pStyle w:val="StandardWeb"/>
      </w:pPr>
      <w:r>
        <w:t>[</w:t>
      </w:r>
      <w:r>
        <w:br/>
        <w:t>\preceq_F</w:t>
      </w:r>
      <w:r>
        <w:br/>
        <w:t>\subseteq</w:t>
      </w:r>
      <w:r>
        <w:br/>
        <w:t>\mathcal X_F\times\mathcal X_F.</w:t>
      </w:r>
      <w:r>
        <w:br/>
        <w:t>\tag{3.13252}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\preceq_F\subseteq\mathcal X_F\times\mathcal X_F</w:t>
      </w:r>
    </w:p>
    <w:p w:rsidR="00150475" w:rsidRDefault="00150475" w:rsidP="00150475">
      <w:pPr>
        <w:pStyle w:val="StandardWeb"/>
      </w:pPr>
      <w:r>
        <w:t>Darauf baue ich schrittweise stärkere Strukturen auf.</w:t>
      </w:r>
    </w:p>
    <w:p w:rsidR="00150475" w:rsidRDefault="00150475" w:rsidP="00150475">
      <w:pPr>
        <w:pStyle w:val="StandardWeb"/>
      </w:pPr>
      <w:r>
        <w:t>Zunächst unterscheide ich partielle von totalen Ordnungen:</w:t>
      </w:r>
    </w:p>
    <w:p w:rsidR="00150475" w:rsidRDefault="00150475" w:rsidP="00150475">
      <w:pPr>
        <w:pStyle w:val="StandardWeb"/>
      </w:pPr>
      <w:r>
        <w:lastRenderedPageBreak/>
        <w:t>[</w:t>
      </w:r>
      <w:r>
        <w:br/>
        <w:t>\operatorname{PO}</w:t>
      </w:r>
      <w:r>
        <w:br/>
        <w:t>\longrightarrow</w:t>
      </w:r>
      <w:r>
        <w:br/>
        <w:t>\operatorname{TO}.</w:t>
      </w:r>
      <w:r>
        <w:br/>
        <w:t>\tag{3.13253}</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\operatorname{PO}\longrightarrow\operatorname{TO}</w:t>
      </w:r>
    </w:p>
    <w:p w:rsidR="00150475" w:rsidRDefault="00150475" w:rsidP="00150475">
      <w:pPr>
        <w:pStyle w:val="StandardWeb"/>
      </w:pPr>
      <w:r>
        <w:t>Danach führe ich ausgezeichnete Elemente ein:</w:t>
      </w:r>
    </w:p>
    <w:p w:rsidR="00150475" w:rsidRDefault="00150475" w:rsidP="00150475">
      <w:pPr>
        <w:pStyle w:val="StandardWeb"/>
      </w:pPr>
      <w:r>
        <w:t>[</w:t>
      </w:r>
      <w:r>
        <w:br/>
        <w:t>\operatorname{Max}_F,</w:t>
      </w:r>
      <w:r>
        <w:br/>
        <w:t>\operatorname{Min}_F,</w:t>
      </w:r>
      <w:r>
        <w:br/>
        <w:t>\sup_F,</w:t>
      </w:r>
      <w:r>
        <w:br/>
        <w:t>\inf_F.</w:t>
      </w:r>
      <w:r>
        <w:br/>
        <w:t>\tag{3.13254}</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\operatorname{Max}_F,\operatorname{Min}_F,\sup_F,\inf_F</w:t>
      </w:r>
    </w:p>
    <w:p w:rsidR="00150475" w:rsidRDefault="00150475" w:rsidP="00150475">
      <w:pPr>
        <w:pStyle w:val="StandardWeb"/>
      </w:pPr>
      <w:r>
        <w:t>Erst anschließend ergänze ich Bewertungsfunktionen,</w:t>
      </w:r>
    </w:p>
    <w:p w:rsidR="00150475" w:rsidRDefault="00150475" w:rsidP="00150475">
      <w:pPr>
        <w:pStyle w:val="StandardWeb"/>
      </w:pPr>
      <w:r>
        <w:t>[</w:t>
      </w:r>
      <w:r>
        <w:br/>
        <w:t>u_F,</w:t>
      </w:r>
      <w:r>
        <w:br/>
        <w:t>\mathbf u_F,</w:t>
      </w:r>
      <w:r>
        <w:br/>
        <w:t>\tag{3.13255}</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u_F,\mathbf u_F</w:t>
      </w:r>
    </w:p>
    <w:p w:rsidR="00150475" w:rsidRDefault="00150475" w:rsidP="00150475">
      <w:pPr>
        <w:pStyle w:val="StandardWeb"/>
      </w:pPr>
      <w:r>
        <w:t>Mehrkriterienstrukturen,</w:t>
      </w:r>
    </w:p>
    <w:p w:rsidR="00150475" w:rsidRDefault="00150475" w:rsidP="00150475">
      <w:pPr>
        <w:pStyle w:val="StandardWeb"/>
      </w:pPr>
      <w:r>
        <w:t>[</w:t>
      </w:r>
      <w:r>
        <w:br/>
        <w:t>\preceq_P,</w:t>
      </w:r>
      <w:r>
        <w:br/>
        <w:t>\mathcal P_F,</w:t>
      </w:r>
      <w:r>
        <w:br/>
        <w:t>\tag{3.13256}</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\preceq_P,\mathcal P_F</w:t>
      </w:r>
    </w:p>
    <w:p w:rsidR="00150475" w:rsidRDefault="00150475" w:rsidP="00150475">
      <w:pPr>
        <w:pStyle w:val="StandardWeb"/>
      </w:pPr>
      <w:r>
        <w:t>und schließlich Auswahloperatoren</w:t>
      </w:r>
    </w:p>
    <w:p w:rsidR="00150475" w:rsidRDefault="00150475" w:rsidP="00150475">
      <w:pPr>
        <w:pStyle w:val="StandardWeb"/>
      </w:pPr>
      <w:r>
        <w:lastRenderedPageBreak/>
        <w:t>[</w:t>
      </w:r>
      <w:r>
        <w:br/>
        <w:t>\operatorname{Sel}_F.</w:t>
      </w:r>
      <w:r>
        <w:br/>
        <w:t>\tag{3.13257}</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\operatorname{Sel}_F</w:t>
      </w:r>
    </w:p>
    <w:p w:rsidR="00150475" w:rsidRDefault="00150475" w:rsidP="00150475">
      <w:pPr>
        <w:pStyle w:val="StandardWeb"/>
      </w:pPr>
      <w:r>
        <w:t xml:space="preserve">Diese Reihenfolge macht sichtbar, dass </w:t>
      </w:r>
      <w:r>
        <w:rPr>
          <w:rStyle w:val="Fett"/>
        </w:rPr>
        <w:t>Auswahl eine zusätzliche Operation auf einer bereits definierten Vergleichs- oder Bewertungsstruktur ist</w:t>
      </w:r>
      <w:r>
        <w:t xml:space="preserve"> und nicht mit der Ordnung selbst verwechselt werden darf.</w:t>
      </w:r>
    </w:p>
    <w:p w:rsidR="00150475" w:rsidRDefault="00150475" w:rsidP="00150475">
      <w:pPr>
        <w:pStyle w:val="StandardWeb"/>
      </w:pPr>
      <w:r>
        <w:t>Die didaktische Struktur des Abschnitts kann daher als</w:t>
      </w:r>
    </w:p>
    <w:p w:rsidR="00150475" w:rsidRDefault="00150475" w:rsidP="00150475">
      <w:pPr>
        <w:pStyle w:val="StandardWeb"/>
      </w:pPr>
      <w:r>
        <w:t>[</w:t>
      </w:r>
      <w:r>
        <w:br/>
        <w:t>\boxed{</w:t>
      </w:r>
      <w:r>
        <w:br/>
        <w:t>\text{Vergleich}</w:t>
      </w:r>
      <w:r>
        <w:br/>
        <w:t>\rightarrow</w:t>
      </w:r>
      <w:r>
        <w:br/>
        <w:t>\text{Ordnung}</w:t>
      </w:r>
      <w:r>
        <w:br/>
        <w:t>\rightarrow</w:t>
      </w:r>
      <w:r>
        <w:br/>
        <w:t>\text{Bewertung}</w:t>
      </w:r>
      <w:r>
        <w:br/>
        <w:t>\rightarrow</w:t>
      </w:r>
      <w:r>
        <w:br/>
        <w:t>\text{Optimierung}</w:t>
      </w:r>
      <w:r>
        <w:br/>
        <w:t>\rightarrow</w:t>
      </w:r>
      <w:r>
        <w:br/>
        <w:t>\text{Auswahl}</w:t>
      </w:r>
      <w:r>
        <w:br/>
        <w:t>}</w:t>
      </w:r>
      <w:r>
        <w:br/>
        <w:t>\tag{3.13258}</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\boxed{\text{Vergleich}\rightarrow\text{Ordnung}\rightarrow\text{Bewertung}\rightarrow\text{Optimierung}\rightarrow\text{Auswahl}}</w:t>
      </w:r>
    </w:p>
    <w:p w:rsidR="00150475" w:rsidRDefault="00150475" w:rsidP="00150475">
      <w:pPr>
        <w:pStyle w:val="StandardWeb"/>
      </w:pPr>
      <w:r>
        <w:t>gelesen werden.</w:t>
      </w:r>
    </w:p>
    <w:p w:rsidR="00150475" w:rsidRDefault="00E50336" w:rsidP="00150475">
      <w:r>
        <w:pict>
          <v:rect id="_x0000_i5080" style="width:0;height:1.5pt" o:hralign="center" o:hrstd="t" o:hr="t" fillcolor="#a0a0a0" stroked="f"/>
        </w:pict>
      </w:r>
    </w:p>
    <w:p w:rsidR="00150475" w:rsidRDefault="00150475" w:rsidP="00150475">
      <w:pPr>
        <w:pStyle w:val="berschrift1"/>
      </w:pPr>
      <w:r>
        <w:t>3.3.50.235 Gesamtabschluss</w:t>
      </w:r>
    </w:p>
    <w:p w:rsidR="00150475" w:rsidRDefault="00150475" w:rsidP="00150475">
      <w:pPr>
        <w:pStyle w:val="StandardWeb"/>
      </w:pPr>
      <w:r>
        <w:t>Die vollständige funktionale Ordnungs-, Prioritäts- und Auswahlarchitektur fasse ich als</w:t>
      </w:r>
    </w:p>
    <w:p w:rsidR="00150475" w:rsidRDefault="00150475" w:rsidP="00150475">
      <w:pPr>
        <w:pStyle w:val="berschrift1"/>
      </w:pPr>
      <w:r>
        <w:t>[</w:t>
      </w:r>
      <w:r>
        <w:br/>
        <w:t>\mathfrak E_{\mathrm{ord}}</w:t>
      </w:r>
    </w:p>
    <w:p w:rsidR="00150475" w:rsidRDefault="00150475" w:rsidP="00150475">
      <w:pPr>
        <w:pStyle w:val="StandardWeb"/>
      </w:pPr>
      <w:r>
        <w:t>\left(</w:t>
      </w:r>
      <w:r>
        <w:br/>
        <w:t>\preceq_F,</w:t>
      </w:r>
      <w:r>
        <w:br/>
        <w:t>\prec_F,</w:t>
      </w:r>
      <w:r>
        <w:br/>
        <w:t>\sim_{\preceq},</w:t>
      </w:r>
      <w:r>
        <w:br/>
      </w:r>
      <w:r>
        <w:lastRenderedPageBreak/>
        <w:t>u_F,</w:t>
      </w:r>
      <w:r>
        <w:br/>
        <w:t>\mathbf u_F,</w:t>
      </w:r>
      <w:r>
        <w:br/>
        <w:t>\triangleleft_F,</w:t>
      </w:r>
      <w:r>
        <w:br/>
        <w:t>\triangleright_F,</w:t>
      </w:r>
      <w:r>
        <w:br/>
        <w:t>\operatorname{Max}_F,</w:t>
      </w:r>
      <w:r>
        <w:br/>
        <w:t>\operatorname{Min}_F,</w:t>
      </w:r>
      <w:r>
        <w:br/>
        <w:t>\sup_F,</w:t>
      </w:r>
      <w:r>
        <w:br/>
        <w:t>\inf_F,</w:t>
      </w:r>
      <w:r>
        <w:br/>
        <w:t>\preceq_P,</w:t>
      </w:r>
      <w:r>
        <w:br/>
        <w:t>\mathcal P_F,</w:t>
      </w:r>
      <w:r>
        <w:br/>
        <w:t>\varepsilon_F,</w:t>
      </w:r>
      <w:r>
        <w:br/>
        <w:t>\operatorname{Sel}</w:t>
      </w:r>
      <w:r>
        <w:rPr>
          <w:rStyle w:val="Hervorhebung"/>
        </w:rPr>
        <w:t>F,</w:t>
      </w:r>
      <w:r>
        <w:rPr>
          <w:i/>
          <w:iCs/>
        </w:rPr>
        <w:br/>
      </w:r>
      <w:r>
        <w:rPr>
          <w:rStyle w:val="Hervorhebung"/>
        </w:rPr>
        <w:t>\mathcal R_F^{\mathrm{conf}},</w:t>
      </w:r>
      <w:r>
        <w:rPr>
          <w:i/>
          <w:iCs/>
        </w:rPr>
        <w:br/>
      </w:r>
      <w:r>
        <w:rPr>
          <w:rStyle w:val="Hervorhebung"/>
        </w:rPr>
        <w:t>\operatorname{Sel}</w:t>
      </w:r>
      <w:r>
        <w:t>{F,\mathrm{seq}},</w:t>
      </w:r>
      <w:r>
        <w:br/>
        <w:t>h_t,</w:t>
      </w:r>
      <w:r>
        <w:br/>
        <w:t>\operatorname{Sel}_F^\omega,</w:t>
      </w:r>
      <w:r>
        <w:br/>
        <w:t>p_F</w:t>
      </w:r>
      <w:r>
        <w:br/>
        <w:t>\right).</w:t>
      </w:r>
      <w:r>
        <w:br/>
        <w:t>\tag{3.13259}</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\mathfrak E_{\mathrm{ord}}=\left(\preceq_F,\prec_F,\sim_{\preceq},u_F,\mathbf u_F,\triangleleft_F,\triangleright_F,\operatorname{Max}_F,\operatorname{Min}_F,\sup_F,\inf_F,\preceq_P,\mathcal P_F,\varepsilon_F,\operatorname{Sel}_F,\mathcal R_F^{\mathrm{conf}},\operatorname{Sel}_{F,\mathrm{seq}},h_t,\operatorname{Sel}_F^\omega,p_F\right)</w:t>
      </w:r>
    </w:p>
    <w:p w:rsidR="00150475" w:rsidRDefault="00150475" w:rsidP="00150475">
      <w:pPr>
        <w:pStyle w:val="StandardWeb"/>
      </w:pPr>
      <w:r>
        <w:t>zusammen.</w:t>
      </w:r>
    </w:p>
    <w:p w:rsidR="00150475" w:rsidRDefault="00150475" w:rsidP="00150475">
      <w:pPr>
        <w:pStyle w:val="StandardWeb"/>
      </w:pPr>
      <w:r>
        <w:t>Die Primäraxiomkomponente bleibt</w:t>
      </w:r>
    </w:p>
    <w:p w:rsidR="00150475" w:rsidRDefault="00150475" w:rsidP="00150475">
      <w:pPr>
        <w:pStyle w:val="berschrift1"/>
      </w:pPr>
      <w:r>
        <w:t>[</w:t>
      </w:r>
      <w:r>
        <w:br/>
        <w:t>\boxed{</w:t>
      </w:r>
      <w:r>
        <w:br/>
        <w:t>\mathfrak A_{\mathrm{ord}}</w:t>
      </w:r>
    </w:p>
    <w:p w:rsidR="00150475" w:rsidRDefault="00150475" w:rsidP="00150475">
      <w:pPr>
        <w:pStyle w:val="StandardWeb"/>
      </w:pPr>
      <w:r>
        <w:t>\varnothing.</w:t>
      </w:r>
      <w:r>
        <w:br/>
        <w:t>}</w:t>
      </w:r>
      <w:r>
        <w:br/>
        <w:t>\tag{3.13260}</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\boxed{\mathfrak A_{\mathrm{ord}}=\varnothing.}</w:t>
      </w:r>
    </w:p>
    <w:p w:rsidR="00150475" w:rsidRDefault="00150475" w:rsidP="00150475">
      <w:pPr>
        <w:pStyle w:val="StandardWeb"/>
      </w:pPr>
      <w:r>
        <w:t>Damit gilt abschließend</w:t>
      </w:r>
    </w:p>
    <w:p w:rsidR="00150475" w:rsidRDefault="00150475" w:rsidP="00150475">
      <w:pPr>
        <w:pStyle w:val="berschrift1"/>
      </w:pPr>
      <w:r>
        <w:lastRenderedPageBreak/>
        <w:t>[</w:t>
      </w:r>
      <w:r>
        <w:br/>
        <w:t>\boxed{</w:t>
      </w:r>
      <w:r>
        <w:br/>
        <w:t>\mathcal A_{3.3.50}^{\mathrm{new}}</w:t>
      </w:r>
    </w:p>
    <w:p w:rsidR="00150475" w:rsidRDefault="00150475" w:rsidP="00150475">
      <w:pPr>
        <w:pStyle w:val="StandardWeb"/>
      </w:pPr>
      <w:r>
        <w:t>\varnothing.</w:t>
      </w:r>
      <w:r>
        <w:br/>
        <w:t>}</w:t>
      </w:r>
      <w:r>
        <w:br/>
        <w:t>\tag{3.13261}</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\boxed{\mathcal A_{3.3.50}^{\mathrm{new}}=\varnothing.}</w:t>
      </w:r>
    </w:p>
    <w:p w:rsidR="00150475" w:rsidRDefault="00E50336" w:rsidP="00150475">
      <w:r>
        <w:pict>
          <v:rect id="_x0000_i5081" style="width:0;height:1.5pt" o:hralign="center" o:hrstd="t" o:hr="t" fillcolor="#a0a0a0" stroked="f"/>
        </w:pict>
      </w:r>
    </w:p>
    <w:p w:rsidR="00150475" w:rsidRDefault="00150475" w:rsidP="00150475">
      <w:pPr>
        <w:pStyle w:val="berschrift1"/>
      </w:pPr>
      <w:r>
        <w:t>3.3.50.236 Endstand und Übergabepunkt</w:t>
      </w:r>
    </w:p>
    <w:p w:rsidR="00150475" w:rsidRDefault="00150475" w:rsidP="00150475">
      <w:pPr>
        <w:pStyle w:val="StandardWeb"/>
      </w:pPr>
      <w:r>
        <w:t xml:space="preserve">Abschnitt </w:t>
      </w:r>
      <w:r>
        <w:rPr>
          <w:rStyle w:val="Fett"/>
        </w:rPr>
        <w:t>3.3.50 ist damit vollständig abgeschlossen</w:t>
      </w:r>
      <w:r>
        <w:t>.</w:t>
      </w:r>
    </w:p>
    <w:p w:rsidR="00150475" w:rsidRDefault="00150475" w:rsidP="00150475">
      <w:pPr>
        <w:pStyle w:val="StandardWeb"/>
      </w:pPr>
      <w:r>
        <w:t>Der letzte Textpunkt lautet</w:t>
      </w:r>
    </w:p>
    <w:p w:rsidR="00150475" w:rsidRDefault="00150475" w:rsidP="00150475">
      <w:pPr>
        <w:pStyle w:val="berschrift1"/>
      </w:pPr>
      <w:r>
        <w:t>[</w:t>
      </w:r>
      <w:r>
        <w:br/>
        <w:t>\boxed{</w:t>
      </w:r>
      <w:r>
        <w:br/>
        <w:t>\text{letzter Textpunkt}</w:t>
      </w:r>
    </w:p>
    <w:p w:rsidR="00150475" w:rsidRDefault="00150475" w:rsidP="00150475">
      <w:pPr>
        <w:pStyle w:val="StandardWeb"/>
      </w:pPr>
      <w:r>
        <w:t>3.3.50.236.</w:t>
      </w:r>
      <w:r>
        <w:br/>
        <w:t>}</w:t>
      </w:r>
      <w:r>
        <w:br/>
        <w:t>\tag{3.13262}</w:t>
      </w:r>
      <w:r>
        <w:br/>
        <w:t>]</w:t>
      </w:r>
    </w:p>
    <w:p w:rsidR="00150475" w:rsidRDefault="00150475" w:rsidP="00150475">
      <w:pPr>
        <w:pStyle w:val="StandardWeb"/>
      </w:pPr>
      <w:r>
        <w:rPr>
          <w:rStyle w:val="Fett"/>
        </w:rPr>
        <w:t>Word-LaTeX</w:t>
      </w:r>
    </w:p>
    <w:p w:rsidR="00150475" w:rsidRDefault="00150475" w:rsidP="00150475">
      <w:pPr>
        <w:pStyle w:val="HTMLVorformatiert"/>
        <w:rPr>
          <w:rStyle w:val="HTMLCode"/>
        </w:rPr>
      </w:pPr>
      <w:r>
        <w:rPr>
          <w:rStyle w:val="HTMLCode"/>
        </w:rPr>
        <w:t>\boxed{\text{letzter Textpunkt}=3.3.50.236.}</w:t>
      </w:r>
    </w:p>
    <w:p w:rsidR="00150475" w:rsidRDefault="00150475" w:rsidP="00150475">
      <w:pPr>
        <w:pStyle w:val="StandardWeb"/>
      </w:pPr>
      <w:r>
        <w:t>Die letzte Gleichung lautet</w:t>
      </w:r>
    </w:p>
    <w:p w:rsidR="00150475" w:rsidRDefault="00150475" w:rsidP="00150475">
      <w:pPr>
        <w:pStyle w:val="berschrift1"/>
      </w:pPr>
      <w:r>
        <w:t>[</w:t>
      </w:r>
      <w:r>
        <w:br/>
        <w:t>\boxed{</w:t>
      </w:r>
      <w:r>
        <w:br/>
        <w:t>\text{letzte Gleichung}</w:t>
      </w:r>
    </w:p>
    <w:p w:rsidR="00150475" w:rsidRDefault="00150475" w:rsidP="00150475">
      <w:pPr>
        <w:pStyle w:val="StandardWeb"/>
      </w:pPr>
      <w:r>
        <w:t>(3.13262).</w:t>
      </w:r>
      <w:r>
        <w:br/>
        <w:t>}</w:t>
      </w:r>
      <w:r>
        <w:br/>
        <w:t>\tag{3.13263}</w:t>
      </w:r>
      <w:r>
        <w:br/>
        <w:t>]</w:t>
      </w:r>
    </w:p>
    <w:p w:rsidR="00150475" w:rsidRDefault="00150475" w:rsidP="00150475">
      <w:pPr>
        <w:pStyle w:val="StandardWeb"/>
      </w:pPr>
      <w:r>
        <w:rPr>
          <w:rStyle w:val="Fett"/>
        </w:rPr>
        <w:lastRenderedPageBreak/>
        <w:t>Word-LaTeX</w:t>
      </w:r>
    </w:p>
    <w:p w:rsidR="00150475" w:rsidRDefault="00150475" w:rsidP="00150475">
      <w:pPr>
        <w:pStyle w:val="HTMLVorformatiert"/>
        <w:rPr>
          <w:rStyle w:val="HTMLCode"/>
        </w:rPr>
      </w:pPr>
      <w:r>
        <w:rPr>
          <w:rStyle w:val="HTMLCode"/>
        </w:rPr>
        <w:t>\boxed{\text{letzte Gleichung}=(3.13262).}</w:t>
      </w:r>
    </w:p>
    <w:p w:rsidR="00150475" w:rsidRDefault="00150475" w:rsidP="00150475">
      <w:pPr>
        <w:pStyle w:val="StandardWeb"/>
      </w:pPr>
      <w:r>
        <w:t xml:space="preserve">Der nächste Übergabepunkt ist damit </w:t>
      </w:r>
      <w:r>
        <w:rPr>
          <w:rStyle w:val="Fett"/>
        </w:rPr>
        <w:t>Abschnitt 3.3.51.0</w:t>
      </w:r>
      <w:r>
        <w:t xml:space="preserve">, </w:t>
      </w:r>
      <w:r>
        <w:rPr>
          <w:rStyle w:val="Fett"/>
        </w:rPr>
        <w:t>nächste Gleichung (3.13264)</w:t>
      </w:r>
      <w:r>
        <w:t xml:space="preserve">, </w:t>
      </w:r>
      <w:r>
        <w:rPr>
          <w:rStyle w:val="Fett"/>
        </w:rPr>
        <w:t>nächste Definition 3.3.524</w:t>
      </w:r>
      <w:r>
        <w:t xml:space="preserve">, </w:t>
      </w:r>
      <w:r>
        <w:rPr>
          <w:rStyle w:val="Fett"/>
        </w:rPr>
        <w:t>nächster Satz 3.3.201</w:t>
      </w:r>
      <w:r>
        <w:t xml:space="preserve"> und </w:t>
      </w:r>
      <w:r>
        <w:rPr>
          <w:rStyle w:val="Fett"/>
        </w:rPr>
        <w:t>nächstes Korollar 3.3.49</w:t>
      </w:r>
      <w:r>
        <w:t>.</w:t>
      </w:r>
    </w:p>
    <w:p w:rsidR="00E50336" w:rsidRDefault="00E50336" w:rsidP="00E50336">
      <w:pPr>
        <w:pStyle w:val="berschrift1"/>
        <w:rPr>
          <w:rFonts w:cs="Times New Roman"/>
          <w:sz w:val="48"/>
          <w:szCs w:val="48"/>
        </w:rPr>
      </w:pPr>
      <w:r>
        <w:t>3.3.51 Funktionale Aggregations-, Fusions- und Zerlegungsstrukturen</w:t>
      </w:r>
    </w:p>
    <w:p w:rsidR="00E50336" w:rsidRDefault="00E50336" w:rsidP="00E50336">
      <w:pPr>
        <w:pStyle w:val="berschrift2"/>
      </w:pPr>
      <w:r>
        <w:t>3.3.51.0 Ausgangspunkt und Zielsetzung</w:t>
      </w:r>
    </w:p>
    <w:p w:rsidR="00E50336" w:rsidRDefault="00E50336" w:rsidP="00E50336">
      <w:pPr>
        <w:pStyle w:val="StandardWeb"/>
      </w:pPr>
      <w:r>
        <w:t xml:space="preserve">Nachdem ich in Abschnitt 3.3.50 Vergleichs-, Prioritäts- und Auswahlstrukturen untersucht habe, gehe ich nun einen Schritt weiter. Eine Auswahl beantwortet die Frage, </w:t>
      </w:r>
      <w:r>
        <w:rPr>
          <w:rStyle w:val="Fett"/>
        </w:rPr>
        <w:t>welche</w:t>
      </w:r>
      <w:r>
        <w:t xml:space="preserve"> funktionalen Objekte berücksichtigt werden sollen. Sie beantwortet jedoch noch nicht, ob und wie mehrere ausgewählte Objekte anschließend zu einer neuen funktionalen Einheit zusammengeführt werden dürfen. Genau diese zweite Ebene untersuche ich in diesem Abschnitt.</w:t>
      </w:r>
    </w:p>
    <w:p w:rsidR="00E50336" w:rsidRDefault="00E50336" w:rsidP="00E50336">
      <w:pPr>
        <w:pStyle w:val="StandardWeb"/>
      </w:pPr>
      <w:r>
        <w:t>Ich beginne mit einer Menge funktionaler Objekte</w:t>
      </w:r>
    </w:p>
    <w:p w:rsidR="00E50336" w:rsidRDefault="00E50336" w:rsidP="00E50336">
      <w:pPr>
        <w:pStyle w:val="berschrift1"/>
      </w:pPr>
      <w:r>
        <w:t>[</w:t>
      </w:r>
      <w:r>
        <w:br/>
        <w:t>\mathcal X_F</w:t>
      </w:r>
    </w:p>
    <w:p w:rsidR="00E50336" w:rsidRDefault="00E50336" w:rsidP="00E50336">
      <w:pPr>
        <w:pStyle w:val="StandardWeb"/>
      </w:pPr>
      <w:r>
        <w:t>{X_1,X_2,\ldots}.</w:t>
      </w:r>
      <w:r>
        <w:br/>
        <w:t>\tag{3.13264}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X_F=\{X_1,X_2,\ldots\}</w:t>
      </w:r>
    </w:p>
    <w:p w:rsidR="00E50336" w:rsidRDefault="00E50336" w:rsidP="00E50336">
      <w:pPr>
        <w:pStyle w:val="StandardWeb"/>
      </w:pPr>
      <w:r>
        <w:t>Eine Aggregationsstruktur soll aus mehreren Elementen dieser Menge ein neues funktionales Objekt erzeugen können.</w:t>
      </w:r>
    </w:p>
    <w:p w:rsidR="00E50336" w:rsidRDefault="00E50336" w:rsidP="00E50336">
      <w:r>
        <w:pict>
          <v:rect id="_x0000_i5082" style="width:0;height:1.5pt" o:hralign="center" o:hrstd="t" o:hr="t" fillcolor="#a0a0a0" stroked="f"/>
        </w:pict>
      </w:r>
    </w:p>
    <w:p w:rsidR="00E50336" w:rsidRDefault="00E50336" w:rsidP="00E50336">
      <w:pPr>
        <w:pStyle w:val="berschrift2"/>
      </w:pPr>
      <w:r>
        <w:t>3.3.51.1 Binäre funktionale Aggregation</w:t>
      </w:r>
    </w:p>
    <w:p w:rsidR="00E50336" w:rsidRDefault="00E50336" w:rsidP="00E50336">
      <w:pPr>
        <w:pStyle w:val="StandardWeb"/>
      </w:pPr>
      <w:r>
        <w:t>Die einfachste Form einer Aggregation ist eine binäre Operation</w:t>
      </w:r>
    </w:p>
    <w:p w:rsidR="00E50336" w:rsidRDefault="00E50336" w:rsidP="00E50336">
      <w:pPr>
        <w:pStyle w:val="StandardWeb"/>
      </w:pPr>
      <w:r>
        <w:t>[</w:t>
      </w:r>
      <w:r>
        <w:br/>
        <w:t>\oplus_F</w:t>
      </w:r>
      <w:r>
        <w:br/>
        <w:t>:</w:t>
      </w:r>
      <w:r>
        <w:br/>
        <w:t>\mathcal X_F\times\mathcal X_F</w:t>
      </w:r>
      <w:r>
        <w:br/>
        <w:t>\rightarrow</w:t>
      </w:r>
      <w:r>
        <w:br/>
        <w:t>\mathcal X_F.</w:t>
      </w:r>
      <w:r>
        <w:br/>
      </w:r>
      <w:r>
        <w:lastRenderedPageBreak/>
        <w:t>\tag{3.13265}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\oplus_F:\mathcal X_F\times\mathcal X_F\rightarrow\mathcal X_F</w:t>
      </w:r>
    </w:p>
    <w:p w:rsidR="00E50336" w:rsidRDefault="00E50336" w:rsidP="00E50336">
      <w:pPr>
        <w:pStyle w:val="StandardWeb"/>
      </w:pPr>
      <w:r>
        <w:t>Dabei schreibe ich</w:t>
      </w:r>
    </w:p>
    <w:p w:rsidR="00E50336" w:rsidRDefault="00E50336" w:rsidP="00E50336">
      <w:pPr>
        <w:pStyle w:val="berschrift1"/>
      </w:pPr>
      <w:r>
        <w:t>[</w:t>
      </w:r>
      <w:r>
        <w:br/>
        <w:t>X\oplus_F Y</w:t>
      </w:r>
    </w:p>
    <w:p w:rsidR="00E50336" w:rsidRDefault="00E50336" w:rsidP="00E50336">
      <w:pPr>
        <w:pStyle w:val="StandardWeb"/>
      </w:pPr>
      <w:r>
        <w:t>Z.</w:t>
      </w:r>
      <w:r>
        <w:br/>
        <w:t>\tag{3.13266}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X\oplus_F Y=Z</w:t>
      </w:r>
    </w:p>
    <w:p w:rsidR="00E50336" w:rsidRDefault="00E50336" w:rsidP="00E50336">
      <w:pPr>
        <w:pStyle w:val="StandardWeb"/>
      </w:pPr>
      <w:r>
        <w:t>Diese Schreibweise bedeutet zunächst ausschließlich, dass die festgelegte Aggregationsoperation den beiden Objekten (X) und (Y) ein neues funktionales Objekt (Z) zuordnet.</w:t>
      </w:r>
    </w:p>
    <w:p w:rsidR="00E50336" w:rsidRDefault="00E50336" w:rsidP="00E50336">
      <w:r>
        <w:pict>
          <v:rect id="_x0000_i5083" style="width:0;height:1.5pt" o:hralign="center" o:hrstd="t" o:hr="t" fillcolor="#a0a0a0" stroked="f"/>
        </w:pict>
      </w:r>
    </w:p>
    <w:p w:rsidR="00E50336" w:rsidRDefault="00E50336" w:rsidP="00E50336">
      <w:pPr>
        <w:pStyle w:val="berschrift2"/>
      </w:pPr>
      <w:r>
        <w:t>3.3.51.2 Definition 3.3.524 – Funktionale Aggregationsoperation</w:t>
      </w:r>
    </w:p>
    <w:p w:rsidR="00E50336" w:rsidRDefault="00E50336" w:rsidP="00E50336">
      <w:pPr>
        <w:pStyle w:val="berschrift3"/>
      </w:pPr>
      <w:r>
        <w:t>Definition 3.3.524</w:t>
      </w:r>
    </w:p>
    <w:p w:rsidR="00E50336" w:rsidRDefault="00E50336" w:rsidP="00E50336">
      <w:pPr>
        <w:pStyle w:val="StandardWeb"/>
      </w:pPr>
      <w:r>
        <w:t xml:space="preserve">Eine </w:t>
      </w:r>
      <w:r>
        <w:rPr>
          <w:rStyle w:val="Fett"/>
        </w:rPr>
        <w:t>funktionale Aggregationsoperation</w:t>
      </w:r>
      <w:r>
        <w:t xml:space="preserve"> ist eine Abbildung</w:t>
      </w:r>
    </w:p>
    <w:p w:rsidR="00E50336" w:rsidRDefault="00E50336" w:rsidP="00E50336">
      <w:pPr>
        <w:pStyle w:val="StandardWeb"/>
      </w:pPr>
      <w:r>
        <w:t>[</w:t>
      </w:r>
      <w:r>
        <w:br/>
        <w:t>\boxed{</w:t>
      </w:r>
      <w:r>
        <w:br/>
        <w:t>\oplus_F</w:t>
      </w:r>
      <w:r>
        <w:br/>
        <w:t>:</w:t>
      </w:r>
      <w:r>
        <w:br/>
        <w:t>\mathcal X_F\times\mathcal X_F</w:t>
      </w:r>
      <w:r>
        <w:br/>
        <w:t>\rightarrow</w:t>
      </w:r>
      <w:r>
        <w:br/>
        <w:t>\mathcal X_F.</w:t>
      </w:r>
      <w:r>
        <w:br/>
        <w:t>}</w:t>
      </w:r>
      <w:r>
        <w:br/>
        <w:t>\tag{3.13267}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\boxed{\oplus_F:\mathcal X_F\times\mathcal X_F\rightarrow\mathcal X_F.}</w:t>
      </w:r>
    </w:p>
    <w:p w:rsidR="00E50336" w:rsidRDefault="00E50336" w:rsidP="00E50336">
      <w:pPr>
        <w:pStyle w:val="StandardWeb"/>
      </w:pPr>
      <w:r>
        <w:t>Sie legt modellabhängig fest, wie zwei funktionale Objekte zu einem neuen Objekt zusammengeführt werden.</w:t>
      </w:r>
    </w:p>
    <w:p w:rsidR="00E50336" w:rsidRDefault="00E50336" w:rsidP="00E50336">
      <w:r>
        <w:lastRenderedPageBreak/>
        <w:pict>
          <v:rect id="_x0000_i5084" style="width:0;height:1.5pt" o:hralign="center" o:hrstd="t" o:hr="t" fillcolor="#a0a0a0" stroked="f"/>
        </w:pict>
      </w:r>
    </w:p>
    <w:p w:rsidR="00E50336" w:rsidRDefault="00E50336" w:rsidP="00E50336">
      <w:pPr>
        <w:pStyle w:val="berschrift2"/>
      </w:pPr>
      <w:r>
        <w:t>3.3.51.3 Abgeschlossenheit</w:t>
      </w:r>
    </w:p>
    <w:p w:rsidR="00E50336" w:rsidRDefault="00E50336" w:rsidP="00E50336">
      <w:pPr>
        <w:pStyle w:val="StandardWeb"/>
      </w:pPr>
      <w:r>
        <w:t>Aus der Definition folgt unmittelbar die Abgeschlossenheit bezüglich der gewählten Aggregationsoperation:</w:t>
      </w:r>
    </w:p>
    <w:p w:rsidR="00E50336" w:rsidRDefault="00E50336" w:rsidP="00E50336">
      <w:pPr>
        <w:pStyle w:val="StandardWeb"/>
      </w:pPr>
      <w:r>
        <w:t>[</w:t>
      </w:r>
      <w:r>
        <w:br/>
        <w:t>X,Y\in\mathcal X_F</w:t>
      </w:r>
      <w:r>
        <w:br/>
        <w:t>\Rightarrow</w:t>
      </w:r>
      <w:r>
        <w:br/>
        <w:t>X\oplus_F Y</w:t>
      </w:r>
      <w:r>
        <w:br/>
        <w:t>\in</w:t>
      </w:r>
      <w:r>
        <w:br/>
        <w:t>\mathcal X_F.</w:t>
      </w:r>
      <w:r>
        <w:br/>
        <w:t>\tag{3.13268}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X,Y\in\mathcal X_F\Rightarrow X\oplus_F Y\in\mathcal X_F</w:t>
      </w:r>
    </w:p>
    <w:p w:rsidR="00E50336" w:rsidRDefault="00E50336" w:rsidP="00E50336">
      <w:pPr>
        <w:pStyle w:val="StandardWeb"/>
      </w:pPr>
      <w:r>
        <w:t>Diese Abgeschlossenheit ist jedoch eine Eigenschaft der konkreten Definition von (\oplus_F), nicht notwendig der gesamten FRZK-Grundstruktur.</w:t>
      </w:r>
    </w:p>
    <w:p w:rsidR="00E50336" w:rsidRDefault="00E50336" w:rsidP="00E50336">
      <w:r>
        <w:pict>
          <v:rect id="_x0000_i5085" style="width:0;height:1.5pt" o:hralign="center" o:hrstd="t" o:hr="t" fillcolor="#a0a0a0" stroked="f"/>
        </w:pict>
      </w:r>
    </w:p>
    <w:p w:rsidR="00E50336" w:rsidRDefault="00E50336" w:rsidP="00E50336">
      <w:pPr>
        <w:pStyle w:val="berschrift2"/>
      </w:pPr>
      <w:r>
        <w:t>3.3.51.4 Partielle Aggregation</w:t>
      </w:r>
    </w:p>
    <w:p w:rsidR="00E50336" w:rsidRDefault="00E50336" w:rsidP="00E50336">
      <w:pPr>
        <w:pStyle w:val="StandardWeb"/>
      </w:pPr>
      <w:r>
        <w:t>Nicht in jeder Modellklasse muss jede Kombination zweier Objekte zulässig sein.</w:t>
      </w:r>
    </w:p>
    <w:p w:rsidR="00E50336" w:rsidRDefault="00E50336" w:rsidP="00E50336">
      <w:pPr>
        <w:pStyle w:val="StandardWeb"/>
      </w:pPr>
      <w:r>
        <w:t>Ich kann daher eine Teilmenge</w:t>
      </w:r>
    </w:p>
    <w:p w:rsidR="00E50336" w:rsidRDefault="00E50336" w:rsidP="00E50336">
      <w:pPr>
        <w:pStyle w:val="StandardWeb"/>
      </w:pPr>
      <w:r>
        <w:t>[</w:t>
      </w:r>
      <w:r>
        <w:br/>
        <w:t>\mathcal D_{\oplus}</w:t>
      </w:r>
      <w:r>
        <w:br/>
        <w:t>\subseteq</w:t>
      </w:r>
      <w:r>
        <w:br/>
        <w:t>\mathcal X_F\times\mathcal X_F</w:t>
      </w:r>
      <w:r>
        <w:br/>
        <w:t>\tag{3.13269}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D_{\oplus}\subseteq\mathcal X_F\times\mathcal X_F</w:t>
      </w:r>
    </w:p>
    <w:p w:rsidR="00E50336" w:rsidRDefault="00E50336" w:rsidP="00E50336">
      <w:pPr>
        <w:pStyle w:val="StandardWeb"/>
      </w:pPr>
      <w:r>
        <w:t>als Aggregationsdomäne definieren.</w:t>
      </w:r>
    </w:p>
    <w:p w:rsidR="00E50336" w:rsidRDefault="00E50336" w:rsidP="00E50336">
      <w:pPr>
        <w:pStyle w:val="StandardWeb"/>
      </w:pPr>
      <w:r>
        <w:t>Dann gilt</w:t>
      </w:r>
    </w:p>
    <w:p w:rsidR="00E50336" w:rsidRDefault="00E50336" w:rsidP="00E50336">
      <w:pPr>
        <w:pStyle w:val="StandardWeb"/>
      </w:pPr>
      <w:r>
        <w:t>[</w:t>
      </w:r>
      <w:r>
        <w:br/>
        <w:t>\oplus_F</w:t>
      </w:r>
      <w:r>
        <w:br/>
        <w:t>:</w:t>
      </w:r>
      <w:r>
        <w:br/>
        <w:t>\mathcal D_{\oplus}</w:t>
      </w:r>
      <w:r>
        <w:br/>
        <w:t>\rightarrow</w:t>
      </w:r>
      <w:r>
        <w:br/>
      </w:r>
      <w:r>
        <w:lastRenderedPageBreak/>
        <w:t>\mathcal X_F.</w:t>
      </w:r>
      <w:r>
        <w:br/>
        <w:t>\tag{3.13270}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\oplus_F:\mathcal D_{\oplus}\rightarrow\mathcal X_F</w:t>
      </w:r>
    </w:p>
    <w:p w:rsidR="00E50336" w:rsidRDefault="00E50336" w:rsidP="00E50336">
      <w:r>
        <w:pict>
          <v:rect id="_x0000_i5086" style="width:0;height:1.5pt" o:hralign="center" o:hrstd="t" o:hr="t" fillcolor="#a0a0a0" stroked="f"/>
        </w:pict>
      </w:r>
    </w:p>
    <w:p w:rsidR="00E50336" w:rsidRDefault="00E50336" w:rsidP="00E50336">
      <w:pPr>
        <w:pStyle w:val="berschrift2"/>
      </w:pPr>
      <w:r>
        <w:t>3.3.51.5 Definition 3.3.525 – Partielle funktionale Aggregation</w:t>
      </w:r>
    </w:p>
    <w:p w:rsidR="00E50336" w:rsidRDefault="00E50336" w:rsidP="00E50336">
      <w:pPr>
        <w:pStyle w:val="berschrift3"/>
      </w:pPr>
      <w:r>
        <w:t>Definition 3.3.525</w:t>
      </w:r>
    </w:p>
    <w:p w:rsidR="00E50336" w:rsidRDefault="00E50336" w:rsidP="00E50336">
      <w:pPr>
        <w:pStyle w:val="StandardWeb"/>
      </w:pPr>
      <w:r>
        <w:t xml:space="preserve">Eine </w:t>
      </w:r>
      <w:r>
        <w:rPr>
          <w:rStyle w:val="Fett"/>
        </w:rPr>
        <w:t>partielle funktionale Aggregation</w:t>
      </w:r>
      <w:r>
        <w:t xml:space="preserve"> ist eine Abbildung</w:t>
      </w:r>
    </w:p>
    <w:p w:rsidR="00E50336" w:rsidRDefault="00E50336" w:rsidP="00E50336">
      <w:pPr>
        <w:pStyle w:val="StandardWeb"/>
      </w:pPr>
      <w:r>
        <w:t>[</w:t>
      </w:r>
      <w:r>
        <w:br/>
        <w:t>\boxed{</w:t>
      </w:r>
      <w:r>
        <w:br/>
        <w:t>\oplus_F</w:t>
      </w:r>
      <w:r>
        <w:br/>
        <w:t>:</w:t>
      </w:r>
      <w:r>
        <w:br/>
        <w:t>\mathcal D_{\oplus}</w:t>
      </w:r>
      <w:r>
        <w:br/>
        <w:t>\rightarrow</w:t>
      </w:r>
      <w:r>
        <w:br/>
        <w:t>\mathcal X_F,</w:t>
      </w:r>
      <w:r>
        <w:br/>
        <w:t>\qquad</w:t>
      </w:r>
      <w:r>
        <w:br/>
        <w:t>\mathcal D_{\oplus}</w:t>
      </w:r>
      <w:r>
        <w:br/>
        <w:t>\subseteq</w:t>
      </w:r>
      <w:r>
        <w:br/>
        <w:t>\mathcal X_F\times\mathcal X_F.</w:t>
      </w:r>
      <w:r>
        <w:br/>
        <w:t>}</w:t>
      </w:r>
      <w:r>
        <w:br/>
        <w:t>\tag{3.13271}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\boxed{\oplus_F:\mathcal D_{\oplus}\rightarrow\mathcal X_F,\qquad\mathcal D_{\oplus}\subseteq\mathcal X_F\times\mathcal X_F.}</w:t>
      </w:r>
    </w:p>
    <w:p w:rsidR="00E50336" w:rsidRDefault="00E50336" w:rsidP="00E50336">
      <w:r>
        <w:pict>
          <v:rect id="_x0000_i5087" style="width:0;height:1.5pt" o:hralign="center" o:hrstd="t" o:hr="t" fillcolor="#a0a0a0" stroked="f"/>
        </w:pict>
      </w:r>
    </w:p>
    <w:p w:rsidR="00E50336" w:rsidRDefault="00E50336" w:rsidP="00E50336">
      <w:pPr>
        <w:pStyle w:val="berschrift2"/>
      </w:pPr>
      <w:r>
        <w:t>3.3.51.6 Universelle Aggregierbarkeit als Primäraxiomkandidat</w:t>
      </w:r>
    </w:p>
    <w:p w:rsidR="00E50336" w:rsidRDefault="00E50336" w:rsidP="00E50336">
      <w:pPr>
        <w:pStyle w:val="StandardWeb"/>
      </w:pPr>
      <w:r>
        <w:t>Eine mögliche Forderung wäre</w:t>
      </w:r>
    </w:p>
    <w:p w:rsidR="00E50336" w:rsidRDefault="00E50336" w:rsidP="00E50336">
      <w:pPr>
        <w:pStyle w:val="berschrift1"/>
      </w:pPr>
      <w:r>
        <w:t>[</w:t>
      </w:r>
      <w:r>
        <w:br/>
        <w:t>A_{\mathrm{agg-all}}</w:t>
      </w:r>
      <w:r>
        <w:br/>
        <w:t>:</w:t>
      </w:r>
      <w:r>
        <w:br/>
        <w:t>\mathcal D_{\oplus}</w:t>
      </w:r>
    </w:p>
    <w:p w:rsidR="00E50336" w:rsidRDefault="00E50336" w:rsidP="00E50336">
      <w:pPr>
        <w:pStyle w:val="StandardWeb"/>
      </w:pPr>
      <w:r>
        <w:lastRenderedPageBreak/>
        <w:t>\mathcal X_F\times\mathcal X_F.</w:t>
      </w:r>
      <w:r>
        <w:br/>
        <w:t>\tag{3.13272}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A_{\mathrm{agg-all}}:\mathcal D_{\oplus}=\mathcal X_F\times\mathcal X_F</w:t>
      </w:r>
    </w:p>
    <w:p w:rsidR="00E50336" w:rsidRDefault="00E50336" w:rsidP="00E50336">
      <w:pPr>
        <w:pStyle w:val="StandardWeb"/>
      </w:pPr>
      <w:r>
        <w:t>Damit müsste jedes Objekt mit jedem anderen aggregierbar sein.</w:t>
      </w:r>
    </w:p>
    <w:p w:rsidR="00E50336" w:rsidRDefault="00E50336" w:rsidP="00E50336">
      <w:r>
        <w:pict>
          <v:rect id="_x0000_i5088" style="width:0;height:1.5pt" o:hralign="center" o:hrstd="t" o:hr="t" fillcolor="#a0a0a0" stroked="f"/>
        </w:pict>
      </w:r>
    </w:p>
    <w:p w:rsidR="00E50336" w:rsidRDefault="00E50336" w:rsidP="00E50336">
      <w:pPr>
        <w:pStyle w:val="berschrift2"/>
      </w:pPr>
      <w:r>
        <w:t>3.3.51.7 Gegenmodell zur universellen Aggregierbarkeit</w:t>
      </w:r>
    </w:p>
    <w:p w:rsidR="00E50336" w:rsidRDefault="00E50336" w:rsidP="00E50336">
      <w:pPr>
        <w:pStyle w:val="StandardWeb"/>
      </w:pPr>
      <w:r>
        <w:t>Ich kann jedoch eine Modellklasse mit</w:t>
      </w:r>
    </w:p>
    <w:p w:rsidR="00E50336" w:rsidRDefault="00E50336" w:rsidP="00E50336">
      <w:pPr>
        <w:pStyle w:val="StandardWeb"/>
      </w:pPr>
      <w:r>
        <w:t>[</w:t>
      </w:r>
      <w:r>
        <w:br/>
        <w:t>(X,Y)</w:t>
      </w:r>
      <w:r>
        <w:br/>
        <w:t>\notin</w:t>
      </w:r>
      <w:r>
        <w:br/>
        <w:t>\mathcal D_{\oplus}</w:t>
      </w:r>
      <w:r>
        <w:br/>
        <w:t>\tag{3.13273}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(X,Y)\notin\mathcal D_{\oplus}</w:t>
      </w:r>
    </w:p>
    <w:p w:rsidR="00E50336" w:rsidRDefault="00E50336" w:rsidP="00E50336">
      <w:pPr>
        <w:pStyle w:val="StandardWeb"/>
      </w:pPr>
      <w:r>
        <w:t>definieren, während andere Paare aggregierbar bleiben.</w:t>
      </w:r>
    </w:p>
    <w:p w:rsidR="00E50336" w:rsidRDefault="00E50336" w:rsidP="00E50336">
      <w:pPr>
        <w:pStyle w:val="StandardWeb"/>
      </w:pPr>
      <w:r>
        <w:t>Die übrige funktionale Struktur wird dadurch nicht widersprüchlich.</w:t>
      </w:r>
    </w:p>
    <w:p w:rsidR="00E50336" w:rsidRDefault="00E50336" w:rsidP="00E50336">
      <w:r>
        <w:pict>
          <v:rect id="_x0000_i5089" style="width:0;height:1.5pt" o:hralign="center" o:hrstd="t" o:hr="t" fillcolor="#a0a0a0" stroked="f"/>
        </w:pict>
      </w:r>
    </w:p>
    <w:p w:rsidR="00E50336" w:rsidRDefault="00E50336" w:rsidP="00E50336">
      <w:pPr>
        <w:pStyle w:val="berschrift2"/>
      </w:pPr>
      <w:r>
        <w:t>3.3.51.8 Axiomentscheidung zur universellen Aggregierbarkeit</w:t>
      </w:r>
    </w:p>
    <w:p w:rsidR="00E50336" w:rsidRDefault="00E50336" w:rsidP="00E50336">
      <w:pPr>
        <w:pStyle w:val="StandardWeb"/>
      </w:pPr>
      <w:r>
        <w:t>Daher gilt</w:t>
      </w:r>
    </w:p>
    <w:p w:rsidR="00E50336" w:rsidRDefault="00E50336" w:rsidP="00E50336">
      <w:pPr>
        <w:pStyle w:val="berschrift1"/>
      </w:pPr>
      <w:r>
        <w:t>[</w:t>
      </w:r>
      <w:r>
        <w:br/>
        <w:t>\boxed{</w:t>
      </w:r>
      <w:r>
        <w:br/>
        <w:t>U_{\mathrm{Ax}}</w:t>
      </w:r>
      <w:r>
        <w:br/>
        <w:t>(A_{\mathrm{agg-all}})</w:t>
      </w:r>
    </w:p>
    <w:p w:rsidR="00E50336" w:rsidRDefault="00E50336" w:rsidP="009F7790">
      <w:pPr>
        <w:numPr>
          <w:ilvl w:val="0"/>
          <w:numId w:val="629"/>
        </w:numPr>
        <w:spacing w:before="100" w:beforeAutospacing="1" w:after="100" w:afterAutospacing="1"/>
      </w:pPr>
    </w:p>
    <w:p w:rsidR="00E50336" w:rsidRDefault="00E50336" w:rsidP="00E50336">
      <w:pPr>
        <w:pStyle w:val="StandardWeb"/>
      </w:pPr>
      <w:r>
        <w:lastRenderedPageBreak/>
        <w:t>}</w:t>
      </w:r>
      <w:r>
        <w:br/>
        <w:t>\tag{3.13274}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\boxed{U_{\mathrm{Ax}}(A_{\mathrm{agg-all}})=0.}</w:t>
      </w:r>
    </w:p>
    <w:p w:rsidR="00E50336" w:rsidRDefault="00E50336" w:rsidP="00E50336">
      <w:r>
        <w:pict>
          <v:rect id="_x0000_i5090" style="width:0;height:1.5pt" o:hralign="center" o:hrstd="t" o:hr="t" fillcolor="#a0a0a0" stroked="f"/>
        </w:pict>
      </w:r>
    </w:p>
    <w:p w:rsidR="00E50336" w:rsidRDefault="00E50336" w:rsidP="00E50336">
      <w:pPr>
        <w:pStyle w:val="berschrift2"/>
      </w:pPr>
      <w:r>
        <w:t>3.3.51.9 Satz 3.3.201 – Universelle Aggregierbarkeit ist kein Primäraxiom</w:t>
      </w:r>
    </w:p>
    <w:p w:rsidR="00E50336" w:rsidRDefault="00E50336" w:rsidP="00E50336">
      <w:pPr>
        <w:pStyle w:val="berschrift3"/>
      </w:pPr>
      <w:r>
        <w:t>Satz 3.3.201</w:t>
      </w:r>
    </w:p>
    <w:p w:rsidR="00E50336" w:rsidRDefault="00E50336" w:rsidP="00E50336">
      <w:pPr>
        <w:pStyle w:val="StandardWeb"/>
      </w:pPr>
      <w:r>
        <w:t>Die Forderung, jedes Paar funktionaler Objekte müsse durch dieselbe Aggregationsoperation miteinander aggregierbar sein, ist keine universell notwendige Voraussetzung des allgemeinen FRZK.</w:t>
      </w:r>
    </w:p>
    <w:p w:rsidR="00E50336" w:rsidRDefault="00E50336" w:rsidP="00E50336">
      <w:pPr>
        <w:pStyle w:val="StandardWeb"/>
      </w:pPr>
      <w:r>
        <w:t>Formal gilt</w:t>
      </w:r>
    </w:p>
    <w:p w:rsidR="00E50336" w:rsidRDefault="00E50336" w:rsidP="00E50336">
      <w:pPr>
        <w:pStyle w:val="berschrift1"/>
      </w:pPr>
      <w:r>
        <w:t>[</w:t>
      </w:r>
      <w:r>
        <w:br/>
        <w:t>\boxed{</w:t>
      </w:r>
      <w:r>
        <w:br/>
        <w:t>U_{\mathrm{Ax}}</w:t>
      </w:r>
      <w:r>
        <w:br/>
        <w:t>(A_{\mathrm{agg-all}})</w:t>
      </w:r>
    </w:p>
    <w:p w:rsidR="00E50336" w:rsidRDefault="00E50336" w:rsidP="009F7790">
      <w:pPr>
        <w:numPr>
          <w:ilvl w:val="0"/>
          <w:numId w:val="630"/>
        </w:numPr>
        <w:spacing w:before="100" w:beforeAutospacing="1" w:after="100" w:afterAutospacing="1"/>
      </w:pPr>
    </w:p>
    <w:p w:rsidR="00E50336" w:rsidRDefault="00E50336" w:rsidP="00E50336">
      <w:pPr>
        <w:pStyle w:val="StandardWeb"/>
      </w:pPr>
      <w:r>
        <w:t>}</w:t>
      </w:r>
      <w:r>
        <w:br/>
        <w:t>\tag{3.13275}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\boxed{U_{\mathrm{Ax}}(A_{\mathrm{agg-all}})=0.}</w:t>
      </w:r>
    </w:p>
    <w:p w:rsidR="00E50336" w:rsidRDefault="00E50336" w:rsidP="00E50336">
      <w:pPr>
        <w:pStyle w:val="berschrift3"/>
      </w:pPr>
      <w:r>
        <w:t>Beweis</w:t>
      </w:r>
    </w:p>
    <w:p w:rsidR="00E50336" w:rsidRDefault="00E50336" w:rsidP="00E50336">
      <w:pPr>
        <w:pStyle w:val="StandardWeb"/>
      </w:pPr>
      <w:r>
        <w:t>Eine zulässige Modellklasse kann eine echte Teilmenge</w:t>
      </w:r>
    </w:p>
    <w:p w:rsidR="00E50336" w:rsidRDefault="00E50336" w:rsidP="00E50336">
      <w:pPr>
        <w:pStyle w:val="StandardWeb"/>
      </w:pPr>
      <w:r>
        <w:t>[</w:t>
      </w:r>
      <w:r>
        <w:br/>
        <w:t>\mathcal D_{\oplus}</w:t>
      </w:r>
      <w:r>
        <w:br/>
        <w:t>\subsetneq</w:t>
      </w:r>
      <w:r>
        <w:br/>
        <w:t>\mathcal X_F\times\mathcal X_F</w:t>
      </w:r>
      <w:r>
        <w:br/>
        <w:t>\tag{3.13276}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lastRenderedPageBreak/>
        <w:t>\mathcal D_{\oplus}\subsetneq\mathcal X_F\times\mathcal X_F</w:t>
      </w:r>
    </w:p>
    <w:p w:rsidR="00E50336" w:rsidRDefault="00E50336" w:rsidP="00E50336">
      <w:pPr>
        <w:pStyle w:val="StandardWeb"/>
      </w:pPr>
      <w:r>
        <w:t>als Aggregationsdomäne besitzen. Damit existieren nicht aggregierbare Objektpaare, ohne dass die übrigen FRZK-Strukturen undefiniert werden. Folglich ist universelle Aggregierbarkeit nicht notwendig. (\square)</w:t>
      </w:r>
    </w:p>
    <w:p w:rsidR="00E50336" w:rsidRDefault="00E50336" w:rsidP="00E50336">
      <w:r>
        <w:pict>
          <v:rect id="_x0000_i5091" style="width:0;height:1.5pt" o:hralign="center" o:hrstd="t" o:hr="t" fillcolor="#a0a0a0" stroked="f"/>
        </w:pict>
      </w:r>
    </w:p>
    <w:p w:rsidR="00E50336" w:rsidRDefault="00E50336" w:rsidP="00E50336">
      <w:pPr>
        <w:pStyle w:val="berschrift2"/>
      </w:pPr>
      <w:r>
        <w:t>3.3.51.10 Korollar 3.3.49 – Aggregierbarkeit ist modellabhängig</w:t>
      </w:r>
    </w:p>
    <w:p w:rsidR="00E50336" w:rsidRDefault="00E50336" w:rsidP="00E50336">
      <w:pPr>
        <w:pStyle w:val="berschrift3"/>
      </w:pPr>
      <w:r>
        <w:t>Korollar 3.3.49</w:t>
      </w:r>
    </w:p>
    <w:p w:rsidR="00E50336" w:rsidRDefault="00E50336" w:rsidP="00E50336">
      <w:pPr>
        <w:pStyle w:val="StandardWeb"/>
      </w:pPr>
      <w:r>
        <w:t>Aus Satz 3.3.201 folgt</w:t>
      </w:r>
    </w:p>
    <w:p w:rsidR="00E50336" w:rsidRDefault="00E50336" w:rsidP="00E50336">
      <w:pPr>
        <w:pStyle w:val="berschrift1"/>
      </w:pPr>
      <w:r>
        <w:t>[</w:t>
      </w:r>
      <w:r>
        <w:br/>
        <w:t>\boxed{</w:t>
      </w:r>
      <w:r>
        <w:br/>
        <w:t>\operatorname{Stat}</w:t>
      </w:r>
      <w:r>
        <w:br/>
        <w:t>(\mathcal D_{\oplus})</w:t>
      </w:r>
    </w:p>
    <w:p w:rsidR="00E50336" w:rsidRDefault="00E50336" w:rsidP="00E50336">
      <w:pPr>
        <w:pStyle w:val="StandardWeb"/>
      </w:pPr>
      <w:r>
        <w:t>\mathrm{Def/Mod}.</w:t>
      </w:r>
      <w:r>
        <w:br/>
        <w:t>}</w:t>
      </w:r>
      <w:r>
        <w:br/>
        <w:t>\tag{3.13277}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\boxed{\operatorname{Stat}(\mathcal D_{\oplus})=\mathrm{Def/Mod}.}</w:t>
      </w:r>
    </w:p>
    <w:p w:rsidR="00E50336" w:rsidRDefault="00E50336" w:rsidP="00E50336">
      <w:r>
        <w:pict>
          <v:rect id="_x0000_i5092" style="width:0;height:1.5pt" o:hralign="center" o:hrstd="t" o:hr="t" fillcolor="#a0a0a0" stroked="f"/>
        </w:pict>
      </w:r>
    </w:p>
    <w:p w:rsidR="00E50336" w:rsidRDefault="00E50336" w:rsidP="00E50336">
      <w:pPr>
        <w:pStyle w:val="berschrift2"/>
      </w:pPr>
      <w:r>
        <w:t>3.3.51.11 Kommutative Aggregation</w:t>
      </w:r>
    </w:p>
    <w:p w:rsidR="00E50336" w:rsidRDefault="00E50336" w:rsidP="00E50336">
      <w:pPr>
        <w:pStyle w:val="StandardWeb"/>
      </w:pPr>
      <w:r>
        <w:t>Eine Aggregationsoperation kann die Bedingung</w:t>
      </w:r>
    </w:p>
    <w:p w:rsidR="00E50336" w:rsidRDefault="00E50336" w:rsidP="00E50336">
      <w:pPr>
        <w:pStyle w:val="berschrift1"/>
      </w:pPr>
      <w:r>
        <w:t>[</w:t>
      </w:r>
      <w:r>
        <w:br/>
        <w:t>X\oplus_F Y</w:t>
      </w:r>
    </w:p>
    <w:p w:rsidR="00E50336" w:rsidRDefault="00E50336" w:rsidP="00E50336">
      <w:pPr>
        <w:pStyle w:val="StandardWeb"/>
      </w:pPr>
      <w:r>
        <w:t>Y\oplus_F X</w:t>
      </w:r>
      <w:r>
        <w:br/>
        <w:t>\tag{3.13278}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X\oplus_F Y=Y\oplus_F X</w:t>
      </w:r>
    </w:p>
    <w:p w:rsidR="00E50336" w:rsidRDefault="00E50336" w:rsidP="00E50336">
      <w:pPr>
        <w:pStyle w:val="StandardWeb"/>
      </w:pPr>
      <w:r>
        <w:t>erfüllen.</w:t>
      </w:r>
    </w:p>
    <w:p w:rsidR="00E50336" w:rsidRDefault="00E50336" w:rsidP="00E50336">
      <w:r>
        <w:lastRenderedPageBreak/>
        <w:pict>
          <v:rect id="_x0000_i5093" style="width:0;height:1.5pt" o:hralign="center" o:hrstd="t" o:hr="t" fillcolor="#a0a0a0" stroked="f"/>
        </w:pict>
      </w:r>
    </w:p>
    <w:p w:rsidR="00E50336" w:rsidRDefault="00E50336" w:rsidP="00E50336">
      <w:pPr>
        <w:pStyle w:val="berschrift2"/>
      </w:pPr>
      <w:r>
        <w:t>3.3.51.12 Definition 3.3.526 – Kommutative funktionale Aggregation</w:t>
      </w:r>
    </w:p>
    <w:p w:rsidR="00E50336" w:rsidRDefault="00E50336" w:rsidP="00E50336">
      <w:pPr>
        <w:pStyle w:val="berschrift3"/>
      </w:pPr>
      <w:r>
        <w:t>Definition 3.3.526</w:t>
      </w:r>
    </w:p>
    <w:p w:rsidR="00E50336" w:rsidRDefault="00E50336" w:rsidP="00E50336">
      <w:pPr>
        <w:pStyle w:val="StandardWeb"/>
      </w:pPr>
      <w:r>
        <w:t xml:space="preserve">Eine funktionale Aggregationsoperation heißt </w:t>
      </w:r>
      <w:r>
        <w:rPr>
          <w:rStyle w:val="Fett"/>
        </w:rPr>
        <w:t>kommutativ</w:t>
      </w:r>
      <w:r>
        <w:t>, wenn</w:t>
      </w:r>
    </w:p>
    <w:p w:rsidR="00E50336" w:rsidRDefault="00E50336" w:rsidP="00E50336">
      <w:pPr>
        <w:pStyle w:val="berschrift1"/>
      </w:pPr>
      <w:r>
        <w:t>[</w:t>
      </w:r>
      <w:r>
        <w:br/>
        <w:t>\boxed{</w:t>
      </w:r>
      <w:r>
        <w:br/>
        <w:t>X\oplus_F Y</w:t>
      </w:r>
    </w:p>
    <w:p w:rsidR="00E50336" w:rsidRDefault="00E50336" w:rsidP="00E50336">
      <w:pPr>
        <w:pStyle w:val="StandardWeb"/>
      </w:pPr>
      <w:r>
        <w:t>Y\oplus_F X</w:t>
      </w:r>
      <w:r>
        <w:br/>
        <w:t>}</w:t>
      </w:r>
      <w:r>
        <w:br/>
        <w:t>\tag{3.13279}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\boxed{X\oplus_F Y=Y\oplus_F X}</w:t>
      </w:r>
    </w:p>
    <w:p w:rsidR="00E50336" w:rsidRDefault="00E50336" w:rsidP="00E50336">
      <w:pPr>
        <w:pStyle w:val="StandardWeb"/>
      </w:pPr>
      <w:r>
        <w:t>für alle zulässigen Objektpaare gilt.</w:t>
      </w:r>
    </w:p>
    <w:p w:rsidR="00E50336" w:rsidRDefault="00E50336" w:rsidP="00E50336">
      <w:r>
        <w:pict>
          <v:rect id="_x0000_i5094" style="width:0;height:1.5pt" o:hralign="center" o:hrstd="t" o:hr="t" fillcolor="#a0a0a0" stroked="f"/>
        </w:pict>
      </w:r>
    </w:p>
    <w:p w:rsidR="00E50336" w:rsidRDefault="00E50336" w:rsidP="00E50336">
      <w:pPr>
        <w:pStyle w:val="berschrift2"/>
      </w:pPr>
      <w:r>
        <w:t>3.3.51.13 Nichtkommutative Aggregation</w:t>
      </w:r>
    </w:p>
    <w:p w:rsidR="00E50336" w:rsidRDefault="00E50336" w:rsidP="00E50336">
      <w:pPr>
        <w:pStyle w:val="StandardWeb"/>
      </w:pPr>
      <w:r>
        <w:t>Es kann jedoch auch gelten</w:t>
      </w:r>
    </w:p>
    <w:p w:rsidR="00E50336" w:rsidRDefault="00E50336" w:rsidP="00E50336">
      <w:pPr>
        <w:pStyle w:val="StandardWeb"/>
      </w:pPr>
      <w:r>
        <w:t>[</w:t>
      </w:r>
      <w:r>
        <w:br/>
        <w:t>X\oplus_F Y</w:t>
      </w:r>
      <w:r>
        <w:br/>
        <w:t>\neq</w:t>
      </w:r>
      <w:r>
        <w:br/>
        <w:t>Y\oplus_F X.</w:t>
      </w:r>
      <w:r>
        <w:br/>
        <w:t>\tag{3.13280}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X\oplus_F Y\neq Y\oplus_F X</w:t>
      </w:r>
    </w:p>
    <w:p w:rsidR="00E50336" w:rsidRDefault="00E50336" w:rsidP="00E50336">
      <w:pPr>
        <w:pStyle w:val="StandardWeb"/>
      </w:pPr>
      <w:r>
        <w:t>Dann ist die Reihenfolge der Aggregation strukturell relevant.</w:t>
      </w:r>
    </w:p>
    <w:p w:rsidR="00E50336" w:rsidRDefault="00E50336" w:rsidP="00E50336">
      <w:r>
        <w:pict>
          <v:rect id="_x0000_i5095" style="width:0;height:1.5pt" o:hralign="center" o:hrstd="t" o:hr="t" fillcolor="#a0a0a0" stroked="f"/>
        </w:pict>
      </w:r>
    </w:p>
    <w:p w:rsidR="00E50336" w:rsidRDefault="00E50336" w:rsidP="00E50336">
      <w:pPr>
        <w:pStyle w:val="berschrift2"/>
      </w:pPr>
      <w:r>
        <w:t>3.3.51.14 Kommutativität als Primäraxiomkandidat</w:t>
      </w:r>
    </w:p>
    <w:p w:rsidR="00E50336" w:rsidRDefault="00E50336" w:rsidP="00E50336">
      <w:pPr>
        <w:pStyle w:val="StandardWeb"/>
      </w:pPr>
      <w:r>
        <w:t>Ein möglicher Kandidat lautet</w:t>
      </w:r>
    </w:p>
    <w:p w:rsidR="00E50336" w:rsidRDefault="00E50336" w:rsidP="00E50336">
      <w:pPr>
        <w:pStyle w:val="berschrift1"/>
      </w:pPr>
      <w:r>
        <w:lastRenderedPageBreak/>
        <w:t>[</w:t>
      </w:r>
      <w:r>
        <w:br/>
        <w:t>A_{\mathrm{comm-agg}}</w:t>
      </w:r>
      <w:r>
        <w:br/>
        <w:t>:</w:t>
      </w:r>
      <w:r>
        <w:br/>
        <w:t>X\oplus_F Y</w:t>
      </w:r>
    </w:p>
    <w:p w:rsidR="00E50336" w:rsidRDefault="00E50336" w:rsidP="00E50336">
      <w:pPr>
        <w:pStyle w:val="StandardWeb"/>
      </w:pPr>
      <w:r>
        <w:t>Y\oplus_F X.</w:t>
      </w:r>
      <w:r>
        <w:br/>
        <w:t>\tag{3.13281}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A_{\mathrm{comm-agg}}:X\oplus_F Y=Y\oplus_F X</w:t>
      </w:r>
    </w:p>
    <w:p w:rsidR="00E50336" w:rsidRDefault="00E50336" w:rsidP="00E50336">
      <w:r>
        <w:pict>
          <v:rect id="_x0000_i5096" style="width:0;height:1.5pt" o:hralign="center" o:hrstd="t" o:hr="t" fillcolor="#a0a0a0" stroked="f"/>
        </w:pict>
      </w:r>
    </w:p>
    <w:p w:rsidR="00E50336" w:rsidRDefault="00E50336" w:rsidP="00E50336">
      <w:pPr>
        <w:pStyle w:val="berschrift2"/>
      </w:pPr>
      <w:r>
        <w:t>3.3.51.15 Gegenmodell zur Kommutativität</w:t>
      </w:r>
    </w:p>
    <w:p w:rsidR="00E50336" w:rsidRDefault="00E50336" w:rsidP="00E50336">
      <w:pPr>
        <w:pStyle w:val="StandardWeb"/>
      </w:pPr>
      <w:r>
        <w:t>Sei beispielsweise eine Operation definiert, bei der das erste Argument die Rolle eines Basiselements und das zweite die Rolle einer Ergänzung besitzt:</w:t>
      </w:r>
    </w:p>
    <w:p w:rsidR="00E50336" w:rsidRDefault="00E50336" w:rsidP="00E50336">
      <w:pPr>
        <w:pStyle w:val="berschrift1"/>
      </w:pPr>
      <w:r>
        <w:t>[</w:t>
      </w:r>
      <w:r>
        <w:br/>
        <w:t>X\oplus_F Y</w:t>
      </w:r>
    </w:p>
    <w:p w:rsidR="00E50336" w:rsidRDefault="00E50336" w:rsidP="00E50336">
      <w:pPr>
        <w:pStyle w:val="StandardWeb"/>
      </w:pPr>
      <w:r>
        <w:t>Z_1</w:t>
      </w:r>
      <w:r>
        <w:br/>
        <w:t>\tag{3.13282}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X\oplus_F Y=Z_1</w:t>
      </w:r>
    </w:p>
    <w:p w:rsidR="00E50336" w:rsidRDefault="00E50336" w:rsidP="00E50336">
      <w:pPr>
        <w:pStyle w:val="StandardWeb"/>
      </w:pPr>
      <w:r>
        <w:t>und</w:t>
      </w:r>
    </w:p>
    <w:p w:rsidR="00E50336" w:rsidRDefault="00E50336" w:rsidP="00E50336">
      <w:pPr>
        <w:pStyle w:val="berschrift1"/>
      </w:pPr>
      <w:r>
        <w:t>[</w:t>
      </w:r>
      <w:r>
        <w:br/>
        <w:t>Y\oplus_F X</w:t>
      </w:r>
    </w:p>
    <w:p w:rsidR="00E50336" w:rsidRDefault="00E50336" w:rsidP="00E50336">
      <w:pPr>
        <w:pStyle w:val="StandardWeb"/>
      </w:pPr>
      <w:r>
        <w:t>Z_2</w:t>
      </w:r>
      <w:r>
        <w:br/>
        <w:t>\tag{3.13283}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Y\oplus_F X=Z_2</w:t>
      </w:r>
    </w:p>
    <w:p w:rsidR="00E50336" w:rsidRDefault="00E50336" w:rsidP="00E50336">
      <w:pPr>
        <w:pStyle w:val="StandardWeb"/>
      </w:pPr>
      <w:r>
        <w:t>mit</w:t>
      </w:r>
    </w:p>
    <w:p w:rsidR="00E50336" w:rsidRDefault="00E50336" w:rsidP="00E50336">
      <w:pPr>
        <w:pStyle w:val="StandardWeb"/>
      </w:pPr>
      <w:r>
        <w:lastRenderedPageBreak/>
        <w:t>[</w:t>
      </w:r>
      <w:r>
        <w:br/>
        <w:t>Z_1</w:t>
      </w:r>
      <w:r>
        <w:br/>
        <w:t>\neq</w:t>
      </w:r>
      <w:r>
        <w:br/>
        <w:t>Z_2.</w:t>
      </w:r>
      <w:r>
        <w:br/>
        <w:t>\tag{3.13284}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Z_1\neq Z_2</w:t>
      </w:r>
    </w:p>
    <w:p w:rsidR="00E50336" w:rsidRDefault="00E50336" w:rsidP="00E50336">
      <w:r>
        <w:pict>
          <v:rect id="_x0000_i5097" style="width:0;height:1.5pt" o:hralign="center" o:hrstd="t" o:hr="t" fillcolor="#a0a0a0" stroked="f"/>
        </w:pict>
      </w:r>
    </w:p>
    <w:p w:rsidR="00E50336" w:rsidRDefault="00E50336" w:rsidP="00E50336">
      <w:pPr>
        <w:pStyle w:val="berschrift2"/>
      </w:pPr>
      <w:r>
        <w:t>3.3.51.16 Axiomentscheidung zur Kommutativität</w:t>
      </w:r>
    </w:p>
    <w:p w:rsidR="00E50336" w:rsidRDefault="00E50336" w:rsidP="00E50336">
      <w:pPr>
        <w:pStyle w:val="StandardWeb"/>
      </w:pPr>
      <w:r>
        <w:t>Damit gilt</w:t>
      </w:r>
    </w:p>
    <w:p w:rsidR="00E50336" w:rsidRDefault="00E50336" w:rsidP="00E50336">
      <w:pPr>
        <w:pStyle w:val="berschrift1"/>
      </w:pPr>
      <w:r>
        <w:t>[</w:t>
      </w:r>
      <w:r>
        <w:br/>
        <w:t>\boxed{</w:t>
      </w:r>
      <w:r>
        <w:br/>
        <w:t>U_{\mathrm{Ax}}</w:t>
      </w:r>
      <w:r>
        <w:br/>
        <w:t>(A_{\mathrm{comm-agg}})</w:t>
      </w:r>
    </w:p>
    <w:p w:rsidR="00E50336" w:rsidRDefault="00E50336" w:rsidP="009F7790">
      <w:pPr>
        <w:numPr>
          <w:ilvl w:val="0"/>
          <w:numId w:val="631"/>
        </w:numPr>
        <w:spacing w:before="100" w:beforeAutospacing="1" w:after="100" w:afterAutospacing="1"/>
      </w:pPr>
    </w:p>
    <w:p w:rsidR="00E50336" w:rsidRDefault="00E50336" w:rsidP="00E50336">
      <w:pPr>
        <w:pStyle w:val="StandardWeb"/>
      </w:pPr>
      <w:r>
        <w:t>}</w:t>
      </w:r>
      <w:r>
        <w:br/>
        <w:t>\tag{3.13285}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\boxed{U_{\mathrm{Ax}}(A_{\mathrm{comm-agg}})=0.}</w:t>
      </w:r>
    </w:p>
    <w:p w:rsidR="00E50336" w:rsidRDefault="00E50336" w:rsidP="00E50336">
      <w:r>
        <w:pict>
          <v:rect id="_x0000_i5098" style="width:0;height:1.5pt" o:hralign="center" o:hrstd="t" o:hr="t" fillcolor="#a0a0a0" stroked="f"/>
        </w:pict>
      </w:r>
    </w:p>
    <w:p w:rsidR="00E50336" w:rsidRDefault="00E50336" w:rsidP="00E50336">
      <w:pPr>
        <w:pStyle w:val="berschrift2"/>
      </w:pPr>
      <w:r>
        <w:t>3.3.51.17 Satz 3.3.202 – Kommutativität der Aggregation ist kein Primäraxiom</w:t>
      </w:r>
    </w:p>
    <w:p w:rsidR="00E50336" w:rsidRDefault="00E50336" w:rsidP="00E50336">
      <w:pPr>
        <w:pStyle w:val="berschrift3"/>
      </w:pPr>
      <w:r>
        <w:t>Satz 3.3.202</w:t>
      </w:r>
    </w:p>
    <w:p w:rsidR="00E50336" w:rsidRDefault="00E50336" w:rsidP="00E50336">
      <w:pPr>
        <w:pStyle w:val="StandardWeb"/>
      </w:pPr>
      <w:r>
        <w:t>Die Forderung, jede funktionale Aggregationsoperation müsse kommutativ sein, ist keine universell notwendige Voraussetzung des allgemeinen FRZK.</w:t>
      </w:r>
    </w:p>
    <w:p w:rsidR="00E50336" w:rsidRDefault="00E50336" w:rsidP="00E50336">
      <w:pPr>
        <w:pStyle w:val="berschrift1"/>
      </w:pPr>
      <w:r>
        <w:t>[</w:t>
      </w:r>
      <w:r>
        <w:br/>
        <w:t>\boxed{</w:t>
      </w:r>
      <w:r>
        <w:br/>
        <w:t>U_{\mathrm{Ax}}</w:t>
      </w:r>
      <w:r>
        <w:br/>
        <w:t>(A_{\mathrm{comm-agg}})</w:t>
      </w:r>
    </w:p>
    <w:p w:rsidR="00E50336" w:rsidRDefault="00E50336" w:rsidP="009F7790">
      <w:pPr>
        <w:numPr>
          <w:ilvl w:val="0"/>
          <w:numId w:val="632"/>
        </w:numPr>
        <w:spacing w:before="100" w:beforeAutospacing="1" w:after="100" w:afterAutospacing="1"/>
      </w:pPr>
    </w:p>
    <w:p w:rsidR="00E50336" w:rsidRDefault="00E50336" w:rsidP="00E50336">
      <w:pPr>
        <w:pStyle w:val="StandardWeb"/>
      </w:pPr>
      <w:r>
        <w:t>}</w:t>
      </w:r>
      <w:r>
        <w:br/>
        <w:t>\tag{3.13286}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\boxed{U_{\mathrm{Ax}}(A_{\mathrm{comm-agg}})=0.}</w:t>
      </w:r>
    </w:p>
    <w:p w:rsidR="00E50336" w:rsidRDefault="00E50336" w:rsidP="00E50336">
      <w:r>
        <w:pict>
          <v:rect id="_x0000_i5099" style="width:0;height:1.5pt" o:hralign="center" o:hrstd="t" o:hr="t" fillcolor="#a0a0a0" stroked="f"/>
        </w:pict>
      </w:r>
    </w:p>
    <w:p w:rsidR="00E50336" w:rsidRDefault="00E50336" w:rsidP="00E50336">
      <w:pPr>
        <w:pStyle w:val="berschrift2"/>
      </w:pPr>
      <w:r>
        <w:t>3.3.51.18 Assoziativität</w:t>
      </w:r>
    </w:p>
    <w:p w:rsidR="00E50336" w:rsidRDefault="00E50336" w:rsidP="00E50336">
      <w:pPr>
        <w:pStyle w:val="StandardWeb"/>
      </w:pPr>
      <w:r>
        <w:t>Eine Aggregationsoperation kann ferner assoziativ sein:</w:t>
      </w:r>
    </w:p>
    <w:p w:rsidR="00E50336" w:rsidRDefault="00E50336" w:rsidP="00E50336">
      <w:pPr>
        <w:pStyle w:val="berschrift1"/>
      </w:pPr>
      <w:r>
        <w:t>[</w:t>
      </w:r>
      <w:r>
        <w:br/>
        <w:t>(X\oplus_F Y)\oplus_F Z</w:t>
      </w:r>
    </w:p>
    <w:p w:rsidR="00E50336" w:rsidRDefault="00E50336" w:rsidP="00E50336">
      <w:pPr>
        <w:pStyle w:val="StandardWeb"/>
      </w:pPr>
      <w:r>
        <w:t>X\oplus_F(Y\oplus_F Z).</w:t>
      </w:r>
      <w:r>
        <w:br/>
        <w:t>\tag{3.13287}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(X\oplus_F Y)\oplus_F Z=X\oplus_F(Y\oplus_F Z)</w:t>
      </w:r>
    </w:p>
    <w:p w:rsidR="00E50336" w:rsidRDefault="00E50336" w:rsidP="00E50336">
      <w:r>
        <w:pict>
          <v:rect id="_x0000_i5100" style="width:0;height:1.5pt" o:hralign="center" o:hrstd="t" o:hr="t" fillcolor="#a0a0a0" stroked="f"/>
        </w:pict>
      </w:r>
    </w:p>
    <w:p w:rsidR="00E50336" w:rsidRDefault="00E50336" w:rsidP="00E50336">
      <w:pPr>
        <w:pStyle w:val="berschrift2"/>
      </w:pPr>
      <w:r>
        <w:t>3.3.51.19 Definition 3.3.527 – Assoziative funktionale Aggregation</w:t>
      </w:r>
    </w:p>
    <w:p w:rsidR="00E50336" w:rsidRDefault="00E50336" w:rsidP="00E50336">
      <w:pPr>
        <w:pStyle w:val="berschrift3"/>
      </w:pPr>
      <w:r>
        <w:t>Definition 3.3.527</w:t>
      </w:r>
    </w:p>
    <w:p w:rsidR="00E50336" w:rsidRDefault="00E50336" w:rsidP="00E50336">
      <w:pPr>
        <w:pStyle w:val="StandardWeb"/>
      </w:pPr>
      <w:r>
        <w:t xml:space="preserve">Eine Aggregationsoperation heißt </w:t>
      </w:r>
      <w:r>
        <w:rPr>
          <w:rStyle w:val="Fett"/>
        </w:rPr>
        <w:t>assoziativ</w:t>
      </w:r>
      <w:r>
        <w:t>, wenn</w:t>
      </w:r>
    </w:p>
    <w:p w:rsidR="00E50336" w:rsidRDefault="00E50336" w:rsidP="00E50336">
      <w:pPr>
        <w:pStyle w:val="berschrift1"/>
      </w:pPr>
      <w:r>
        <w:t>[</w:t>
      </w:r>
      <w:r>
        <w:br/>
        <w:t>\boxed{</w:t>
      </w:r>
      <w:r>
        <w:br/>
        <w:t>(X\oplus_F Y)\oplus_F Z</w:t>
      </w:r>
    </w:p>
    <w:p w:rsidR="00E50336" w:rsidRDefault="00E50336" w:rsidP="00E50336">
      <w:pPr>
        <w:pStyle w:val="StandardWeb"/>
      </w:pPr>
      <w:r>
        <w:t>X\oplus_F(Y\oplus_F Z)</w:t>
      </w:r>
      <w:r>
        <w:br/>
        <w:t>}</w:t>
      </w:r>
      <w:r>
        <w:br/>
        <w:t>\tag{3.13288}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\boxed{(X\oplus_F Y)\oplus_F Z=X\oplus_F(Y\oplus_F Z)}</w:t>
      </w:r>
    </w:p>
    <w:p w:rsidR="00E50336" w:rsidRDefault="00E50336" w:rsidP="00E50336">
      <w:pPr>
        <w:pStyle w:val="StandardWeb"/>
      </w:pPr>
      <w:r>
        <w:lastRenderedPageBreak/>
        <w:t>für alle zulässigen Tripel gilt.</w:t>
      </w:r>
    </w:p>
    <w:p w:rsidR="00E50336" w:rsidRDefault="00E50336" w:rsidP="00E50336">
      <w:r>
        <w:pict>
          <v:rect id="_x0000_i5101" style="width:0;height:1.5pt" o:hralign="center" o:hrstd="t" o:hr="t" fillcolor="#a0a0a0" stroked="f"/>
        </w:pict>
      </w:r>
    </w:p>
    <w:p w:rsidR="00E50336" w:rsidRDefault="00E50336" w:rsidP="00E50336">
      <w:pPr>
        <w:pStyle w:val="berschrift2"/>
      </w:pPr>
      <w:r>
        <w:t>3.3.51.20 Nichtassoziative Aggregation</w:t>
      </w:r>
    </w:p>
    <w:p w:rsidR="00E50336" w:rsidRDefault="00E50336" w:rsidP="00E50336">
      <w:pPr>
        <w:pStyle w:val="StandardWeb"/>
      </w:pPr>
      <w:r>
        <w:t>Eine Modellklasse kann dagegen</w:t>
      </w:r>
    </w:p>
    <w:p w:rsidR="00E50336" w:rsidRDefault="00E50336" w:rsidP="00E50336">
      <w:pPr>
        <w:pStyle w:val="StandardWeb"/>
      </w:pPr>
      <w:r>
        <w:t>[</w:t>
      </w:r>
      <w:r>
        <w:br/>
        <w:t>(X\oplus_F Y)\oplus_F Z</w:t>
      </w:r>
      <w:r>
        <w:br/>
        <w:t>\neq</w:t>
      </w:r>
      <w:r>
        <w:br/>
        <w:t>X\oplus_F(Y\oplus_F Z)</w:t>
      </w:r>
      <w:r>
        <w:br/>
        <w:t>\tag{3.13289}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(X\oplus_F Y)\oplus_F Z\neq X\oplus_F(Y\oplus_F Z)</w:t>
      </w:r>
    </w:p>
    <w:p w:rsidR="00E50336" w:rsidRDefault="00E50336" w:rsidP="00E50336">
      <w:pPr>
        <w:pStyle w:val="StandardWeb"/>
      </w:pPr>
      <w:r>
        <w:t>zulassen.</w:t>
      </w:r>
    </w:p>
    <w:p w:rsidR="00E50336" w:rsidRDefault="00E50336" w:rsidP="00E50336">
      <w:pPr>
        <w:pStyle w:val="StandardWeb"/>
      </w:pPr>
      <w:r>
        <w:t>Dies bedeutet, dass die Reihenfolge der Zwischenaggregation selbst Information trägt.</w:t>
      </w:r>
    </w:p>
    <w:p w:rsidR="00E50336" w:rsidRDefault="00E50336" w:rsidP="00E50336">
      <w:r>
        <w:pict>
          <v:rect id="_x0000_i5102" style="width:0;height:1.5pt" o:hralign="center" o:hrstd="t" o:hr="t" fillcolor="#a0a0a0" stroked="f"/>
        </w:pict>
      </w:r>
    </w:p>
    <w:p w:rsidR="00E50336" w:rsidRDefault="00E50336" w:rsidP="00E50336">
      <w:pPr>
        <w:pStyle w:val="berschrift2"/>
      </w:pPr>
      <w:r>
        <w:t>3.3.51.21 Assoziativität als Primäraxiomkandidat</w:t>
      </w:r>
    </w:p>
    <w:p w:rsidR="00E50336" w:rsidRDefault="00E50336" w:rsidP="00E50336">
      <w:pPr>
        <w:pStyle w:val="StandardWeb"/>
      </w:pPr>
      <w:r>
        <w:t>Der entsprechende Kandidat ist</w:t>
      </w:r>
    </w:p>
    <w:p w:rsidR="00E50336" w:rsidRDefault="00E50336" w:rsidP="00E50336">
      <w:pPr>
        <w:pStyle w:val="berschrift1"/>
      </w:pPr>
      <w:r>
        <w:t>[</w:t>
      </w:r>
      <w:r>
        <w:br/>
        <w:t>A_{\mathrm{assoc-agg}}</w:t>
      </w:r>
      <w:r>
        <w:br/>
        <w:t>:</w:t>
      </w:r>
      <w:r>
        <w:br/>
        <w:t>(X\oplus_F Y)\oplus_F Z</w:t>
      </w:r>
    </w:p>
    <w:p w:rsidR="00E50336" w:rsidRDefault="00E50336" w:rsidP="00E50336">
      <w:pPr>
        <w:pStyle w:val="StandardWeb"/>
      </w:pPr>
      <w:r>
        <w:t>X\oplus_F(Y\oplus_F Z).</w:t>
      </w:r>
      <w:r>
        <w:br/>
        <w:t>\tag{3.13290}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A_{\mathrm{assoc-agg}}:(X\oplus_F Y)\oplus_F Z=X\oplus_F(Y\oplus_F Z)</w:t>
      </w:r>
    </w:p>
    <w:p w:rsidR="00E50336" w:rsidRDefault="00E50336" w:rsidP="00E50336">
      <w:r>
        <w:pict>
          <v:rect id="_x0000_i5103" style="width:0;height:1.5pt" o:hralign="center" o:hrstd="t" o:hr="t" fillcolor="#a0a0a0" stroked="f"/>
        </w:pict>
      </w:r>
    </w:p>
    <w:p w:rsidR="00E50336" w:rsidRDefault="00E50336" w:rsidP="00E50336">
      <w:pPr>
        <w:pStyle w:val="berschrift2"/>
      </w:pPr>
      <w:r>
        <w:t>3.3.51.22 Axiomentscheidung zur Assoziativität</w:t>
      </w:r>
    </w:p>
    <w:p w:rsidR="00E50336" w:rsidRDefault="00E50336" w:rsidP="00E50336">
      <w:pPr>
        <w:pStyle w:val="StandardWeb"/>
      </w:pPr>
      <w:r>
        <w:t>Da nichtassoziative Operationen mathematisch zulässig sind, gilt</w:t>
      </w:r>
    </w:p>
    <w:p w:rsidR="00E50336" w:rsidRDefault="00E50336" w:rsidP="00E50336">
      <w:pPr>
        <w:pStyle w:val="berschrift1"/>
      </w:pPr>
      <w:r>
        <w:lastRenderedPageBreak/>
        <w:t>[</w:t>
      </w:r>
      <w:r>
        <w:br/>
        <w:t>\boxed{</w:t>
      </w:r>
      <w:r>
        <w:br/>
        <w:t>U_{\mathrm{Ax}}</w:t>
      </w:r>
      <w:r>
        <w:br/>
        <w:t>(A_{\mathrm{assoc-agg}})</w:t>
      </w:r>
    </w:p>
    <w:p w:rsidR="00E50336" w:rsidRDefault="00E50336" w:rsidP="009F7790">
      <w:pPr>
        <w:numPr>
          <w:ilvl w:val="0"/>
          <w:numId w:val="633"/>
        </w:numPr>
        <w:spacing w:before="100" w:beforeAutospacing="1" w:after="100" w:afterAutospacing="1"/>
      </w:pPr>
    </w:p>
    <w:p w:rsidR="00E50336" w:rsidRDefault="00E50336" w:rsidP="00E50336">
      <w:pPr>
        <w:pStyle w:val="StandardWeb"/>
      </w:pPr>
      <w:r>
        <w:t>}</w:t>
      </w:r>
      <w:r>
        <w:br/>
        <w:t>\tag{3.13291}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\boxed{U_{\mathrm{Ax}}(A_{\mathrm{assoc-agg}})=0.}</w:t>
      </w:r>
    </w:p>
    <w:p w:rsidR="00E50336" w:rsidRDefault="00E50336" w:rsidP="00E50336">
      <w:r>
        <w:pict>
          <v:rect id="_x0000_i5104" style="width:0;height:1.5pt" o:hralign="center" o:hrstd="t" o:hr="t" fillcolor="#a0a0a0" stroked="f"/>
        </w:pict>
      </w:r>
    </w:p>
    <w:p w:rsidR="00E50336" w:rsidRDefault="00E50336" w:rsidP="00E50336">
      <w:pPr>
        <w:pStyle w:val="berschrift2"/>
      </w:pPr>
      <w:r>
        <w:t>3.3.51.23 Satz 3.3.203 – Assoziativität der Aggregation ist kein Primäraxiom</w:t>
      </w:r>
    </w:p>
    <w:p w:rsidR="00E50336" w:rsidRDefault="00E50336" w:rsidP="00E50336">
      <w:pPr>
        <w:pStyle w:val="berschrift3"/>
      </w:pPr>
      <w:r>
        <w:t>Satz 3.3.203</w:t>
      </w:r>
    </w:p>
    <w:p w:rsidR="00E50336" w:rsidRDefault="00E50336" w:rsidP="00E50336">
      <w:pPr>
        <w:pStyle w:val="StandardWeb"/>
      </w:pPr>
      <w:r>
        <w:t>Die Forderung, jede funktionale Aggregationsoperation müsse assoziativ sein, ist keine universell notwendige Voraussetzung des allgemeinen FRZK.</w:t>
      </w:r>
    </w:p>
    <w:p w:rsidR="00E50336" w:rsidRDefault="00E50336" w:rsidP="00E50336">
      <w:pPr>
        <w:pStyle w:val="berschrift1"/>
      </w:pPr>
      <w:r>
        <w:t>[</w:t>
      </w:r>
      <w:r>
        <w:br/>
        <w:t>\boxed{</w:t>
      </w:r>
      <w:r>
        <w:br/>
        <w:t>U_{\mathrm{Ax}}</w:t>
      </w:r>
      <w:r>
        <w:br/>
        <w:t>(A_{\mathrm{assoc-agg}})</w:t>
      </w:r>
    </w:p>
    <w:p w:rsidR="00E50336" w:rsidRDefault="00E50336" w:rsidP="009F7790">
      <w:pPr>
        <w:numPr>
          <w:ilvl w:val="0"/>
          <w:numId w:val="634"/>
        </w:numPr>
        <w:spacing w:before="100" w:beforeAutospacing="1" w:after="100" w:afterAutospacing="1"/>
      </w:pPr>
    </w:p>
    <w:p w:rsidR="00E50336" w:rsidRDefault="00E50336" w:rsidP="00E50336">
      <w:pPr>
        <w:pStyle w:val="StandardWeb"/>
      </w:pPr>
      <w:r>
        <w:t>}</w:t>
      </w:r>
      <w:r>
        <w:br/>
        <w:t>\tag{3.13292}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\boxed{U_{\mathrm{Ax}}(A_{\mathrm{assoc-agg}})=0.}</w:t>
      </w:r>
    </w:p>
    <w:p w:rsidR="00E50336" w:rsidRDefault="00E50336" w:rsidP="00E50336">
      <w:r>
        <w:pict>
          <v:rect id="_x0000_i5105" style="width:0;height:1.5pt" o:hralign="center" o:hrstd="t" o:hr="t" fillcolor="#a0a0a0" stroked="f"/>
        </w:pict>
      </w:r>
    </w:p>
    <w:p w:rsidR="00E50336" w:rsidRDefault="00E50336" w:rsidP="00E50336">
      <w:pPr>
        <w:pStyle w:val="berschrift2"/>
      </w:pPr>
      <w:r>
        <w:t>3.3.51.24 Neutrales Element</w:t>
      </w:r>
    </w:p>
    <w:p w:rsidR="00E50336" w:rsidRDefault="00E50336" w:rsidP="00E50336">
      <w:pPr>
        <w:pStyle w:val="StandardWeb"/>
      </w:pPr>
      <w:r>
        <w:t>Eine Aggregationsstruktur kann ein neutrales Element (E_F) besitzen:</w:t>
      </w:r>
    </w:p>
    <w:p w:rsidR="00E50336" w:rsidRDefault="00E50336" w:rsidP="00E50336">
      <w:pPr>
        <w:pStyle w:val="berschrift1"/>
      </w:pPr>
      <w:r>
        <w:lastRenderedPageBreak/>
        <w:t>[</w:t>
      </w:r>
      <w:r>
        <w:br/>
        <w:t>X\oplus_F E_F</w:t>
      </w:r>
    </w:p>
    <w:p w:rsidR="00E50336" w:rsidRDefault="00E50336" w:rsidP="00E50336">
      <w:pPr>
        <w:pStyle w:val="StandardWeb"/>
      </w:pPr>
      <w:r>
        <w:t>X.</w:t>
      </w:r>
      <w:r>
        <w:br/>
        <w:t>\tag{3.13293}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X\oplus_F E_F=X</w:t>
      </w:r>
    </w:p>
    <w:p w:rsidR="00E50336" w:rsidRDefault="00E50336" w:rsidP="00E50336">
      <w:pPr>
        <w:pStyle w:val="StandardWeb"/>
      </w:pPr>
      <w:r>
        <w:t>Für ein beidseitig neutrales Element soll zusätzlich</w:t>
      </w:r>
    </w:p>
    <w:p w:rsidR="00E50336" w:rsidRDefault="00E50336" w:rsidP="00E50336">
      <w:pPr>
        <w:pStyle w:val="berschrift1"/>
      </w:pPr>
      <w:r>
        <w:t>[</w:t>
      </w:r>
      <w:r>
        <w:br/>
        <w:t>E_F\oplus_F X</w:t>
      </w:r>
    </w:p>
    <w:p w:rsidR="00E50336" w:rsidRDefault="00E50336" w:rsidP="00E50336">
      <w:pPr>
        <w:pStyle w:val="StandardWeb"/>
      </w:pPr>
      <w:r>
        <w:t>X</w:t>
      </w:r>
      <w:r>
        <w:br/>
        <w:t>\tag{3.13294}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E_F\oplus_F X=X</w:t>
      </w:r>
    </w:p>
    <w:p w:rsidR="00E50336" w:rsidRDefault="00E50336" w:rsidP="00E50336">
      <w:pPr>
        <w:pStyle w:val="StandardWeb"/>
      </w:pPr>
      <w:r>
        <w:t>gelten.</w:t>
      </w:r>
    </w:p>
    <w:p w:rsidR="00E50336" w:rsidRDefault="00E50336" w:rsidP="00E50336">
      <w:r>
        <w:pict>
          <v:rect id="_x0000_i5106" style="width:0;height:1.5pt" o:hralign="center" o:hrstd="t" o:hr="t" fillcolor="#a0a0a0" stroked="f"/>
        </w:pict>
      </w:r>
    </w:p>
    <w:p w:rsidR="00E50336" w:rsidRDefault="00E50336" w:rsidP="00E50336">
      <w:pPr>
        <w:pStyle w:val="berschrift2"/>
      </w:pPr>
      <w:r>
        <w:t>3.3.51.25 Definition 3.3.528 – Funktionales neutrales Aggregationselement</w:t>
      </w:r>
    </w:p>
    <w:p w:rsidR="00E50336" w:rsidRDefault="00E50336" w:rsidP="00E50336">
      <w:pPr>
        <w:pStyle w:val="berschrift3"/>
      </w:pPr>
      <w:r>
        <w:t>Definition 3.3.528</w:t>
      </w:r>
    </w:p>
    <w:p w:rsidR="00E50336" w:rsidRDefault="00E50336" w:rsidP="00E50336">
      <w:pPr>
        <w:pStyle w:val="StandardWeb"/>
      </w:pPr>
      <w:r>
        <w:t xml:space="preserve">Ein Objekt (E_F\in\mathcal X_F) heißt </w:t>
      </w:r>
      <w:r>
        <w:rPr>
          <w:rStyle w:val="Fett"/>
        </w:rPr>
        <w:t>neutrales funktionales Aggregationselement</w:t>
      </w:r>
      <w:r>
        <w:t>, wenn</w:t>
      </w:r>
    </w:p>
    <w:p w:rsidR="00E50336" w:rsidRDefault="00E50336" w:rsidP="00E50336">
      <w:pPr>
        <w:pStyle w:val="berschrift1"/>
      </w:pPr>
      <w:r>
        <w:t>[</w:t>
      </w:r>
      <w:r>
        <w:br/>
        <w:t>\boxed{</w:t>
      </w:r>
      <w:r>
        <w:br/>
        <w:t>X\oplus_F E_F</w:t>
      </w:r>
    </w:p>
    <w:p w:rsidR="00E50336" w:rsidRDefault="00E50336" w:rsidP="00E50336">
      <w:pPr>
        <w:pStyle w:val="berschrift1"/>
      </w:pPr>
      <w:r>
        <w:t>E_F\oplus_F X</w:t>
      </w:r>
    </w:p>
    <w:p w:rsidR="00E50336" w:rsidRDefault="00E50336" w:rsidP="00E50336">
      <w:pPr>
        <w:pStyle w:val="StandardWeb"/>
      </w:pPr>
      <w:r>
        <w:t>X</w:t>
      </w:r>
      <w:r>
        <w:br/>
        <w:t>}</w:t>
      </w:r>
      <w:r>
        <w:br/>
        <w:t>\tag{3.13295}</w:t>
      </w:r>
      <w:r>
        <w:br/>
        <w:t>]</w:t>
      </w:r>
    </w:p>
    <w:p w:rsidR="00E50336" w:rsidRDefault="00E50336" w:rsidP="00E50336">
      <w:pPr>
        <w:pStyle w:val="StandardWeb"/>
      </w:pPr>
      <w:r>
        <w:rPr>
          <w:rStyle w:val="Fett"/>
        </w:rPr>
        <w:lastRenderedPageBreak/>
        <w:t>Word-LaTeX</w:t>
      </w:r>
    </w:p>
    <w:p w:rsidR="00E50336" w:rsidRDefault="00E50336" w:rsidP="00E50336">
      <w:pPr>
        <w:pStyle w:val="HTMLVorformatiert"/>
        <w:rPr>
          <w:rStyle w:val="HTMLCode"/>
        </w:rPr>
      </w:pPr>
      <w:r>
        <w:rPr>
          <w:rStyle w:val="HTMLCode"/>
        </w:rPr>
        <w:t>\boxed{X\oplus_F E_F=E_F\oplus_F X=X}</w:t>
      </w:r>
    </w:p>
    <w:p w:rsidR="00E50336" w:rsidRDefault="00E50336" w:rsidP="00E50336">
      <w:pPr>
        <w:pStyle w:val="StandardWeb"/>
      </w:pPr>
      <w:r>
        <w:t>für alle zulässigen (X) gilt.</w:t>
      </w:r>
    </w:p>
    <w:p w:rsidR="00E50336" w:rsidRDefault="00E50336" w:rsidP="00E50336">
      <w:r>
        <w:pict>
          <v:rect id="_x0000_i5107" style="width:0;height:1.5pt" o:hralign="center" o:hrstd="t" o:hr="t" fillcolor="#a0a0a0" stroked="f"/>
        </w:pict>
      </w:r>
    </w:p>
    <w:p w:rsidR="00E50336" w:rsidRDefault="00E50336" w:rsidP="00E50336">
      <w:pPr>
        <w:pStyle w:val="berschrift2"/>
      </w:pPr>
      <w:r>
        <w:t>3.3.51.26 Existenz eines neutralen Elements als Primäraxiomkandidat</w:t>
      </w:r>
    </w:p>
    <w:p w:rsidR="00E50336" w:rsidRDefault="00E50336" w:rsidP="00E50336">
      <w:pPr>
        <w:pStyle w:val="StandardWeb"/>
      </w:pPr>
      <w:r>
        <w:t>Ein möglicher Kandidat wäre</w:t>
      </w:r>
    </w:p>
    <w:p w:rsidR="00E50336" w:rsidRDefault="00E50336" w:rsidP="00E50336">
      <w:pPr>
        <w:pStyle w:val="berschrift1"/>
      </w:pPr>
      <w:r>
        <w:t>[</w:t>
      </w:r>
      <w:r>
        <w:br/>
        <w:t>A_{\mathrm{neutral}}</w:t>
      </w:r>
      <w:r>
        <w:br/>
        <w:t>:</w:t>
      </w:r>
      <w:r>
        <w:br/>
        <w:t>\exists E_F</w:t>
      </w:r>
      <w:r>
        <w:br/>
        <w:t>\quad</w:t>
      </w:r>
      <w:r>
        <w:br/>
        <w:t>\forall X:</w:t>
      </w:r>
      <w:r>
        <w:br/>
        <w:t>X\oplus_F E_F</w:t>
      </w:r>
    </w:p>
    <w:p w:rsidR="00E50336" w:rsidRDefault="00E50336" w:rsidP="00E50336">
      <w:pPr>
        <w:pStyle w:val="berschrift1"/>
      </w:pPr>
      <w:r>
        <w:t>E_F\oplus_F X</w:t>
      </w:r>
    </w:p>
    <w:p w:rsidR="00E50336" w:rsidRDefault="00E50336" w:rsidP="00E50336">
      <w:pPr>
        <w:pStyle w:val="StandardWeb"/>
      </w:pPr>
      <w:r>
        <w:t>X.</w:t>
      </w:r>
      <w:r>
        <w:br/>
        <w:t>\tag{3.13296}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A_{\mathrm{neutral}}:\exists E_F\quad\forall X:X\oplus_F E_F=E_F\oplus_F X=X</w:t>
      </w:r>
    </w:p>
    <w:p w:rsidR="00E50336" w:rsidRDefault="00E50336" w:rsidP="00E50336">
      <w:r>
        <w:pict>
          <v:rect id="_x0000_i5108" style="width:0;height:1.5pt" o:hralign="center" o:hrstd="t" o:hr="t" fillcolor="#a0a0a0" stroked="f"/>
        </w:pict>
      </w:r>
    </w:p>
    <w:p w:rsidR="00E50336" w:rsidRDefault="00E50336" w:rsidP="00E50336">
      <w:pPr>
        <w:pStyle w:val="berschrift2"/>
      </w:pPr>
      <w:r>
        <w:t>3.3.51.27 Gegenmodell</w:t>
      </w:r>
    </w:p>
    <w:p w:rsidR="00E50336" w:rsidRDefault="00E50336" w:rsidP="00E50336">
      <w:pPr>
        <w:pStyle w:val="StandardWeb"/>
      </w:pPr>
      <w:r>
        <w:t>Eine Aggregationsoperation kann ohne neutrales Element definiert werden:</w:t>
      </w:r>
    </w:p>
    <w:p w:rsidR="00E50336" w:rsidRDefault="00E50336" w:rsidP="00E50336">
      <w:pPr>
        <w:pStyle w:val="berschrift1"/>
      </w:pPr>
      <w:r>
        <w:t>[</w:t>
      </w:r>
      <w:r>
        <w:br/>
        <w:t>\nexists</w:t>
      </w:r>
      <w:r>
        <w:br/>
        <w:t>E_F</w:t>
      </w:r>
      <w:r>
        <w:br/>
        <w:t>\in</w:t>
      </w:r>
      <w:r>
        <w:br/>
      </w:r>
      <w:r>
        <w:lastRenderedPageBreak/>
        <w:t>\mathcal X_F</w:t>
      </w:r>
      <w:r>
        <w:br/>
        <w:t>:</w:t>
      </w:r>
      <w:r>
        <w:br/>
        <w:t>X\oplus_F E_F</w:t>
      </w:r>
    </w:p>
    <w:p w:rsidR="00E50336" w:rsidRDefault="00E50336" w:rsidP="00E50336">
      <w:pPr>
        <w:pStyle w:val="StandardWeb"/>
      </w:pPr>
      <w:r>
        <w:t>X</w:t>
      </w:r>
      <w:r>
        <w:br/>
        <w:t>\quad</w:t>
      </w:r>
      <w:r>
        <w:br/>
        <w:t>\forall X.</w:t>
      </w:r>
      <w:r>
        <w:br/>
        <w:t>\tag{3.13297}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\nexists E_F\in\mathcal X_F:X\oplus_F E_F=X\quad\forall X</w:t>
      </w:r>
    </w:p>
    <w:p w:rsidR="00E50336" w:rsidRDefault="00E50336" w:rsidP="00E50336">
      <w:r>
        <w:pict>
          <v:rect id="_x0000_i5109" style="width:0;height:1.5pt" o:hralign="center" o:hrstd="t" o:hr="t" fillcolor="#a0a0a0" stroked="f"/>
        </w:pict>
      </w:r>
    </w:p>
    <w:p w:rsidR="00E50336" w:rsidRDefault="00E50336" w:rsidP="00E50336">
      <w:pPr>
        <w:pStyle w:val="berschrift2"/>
      </w:pPr>
      <w:r>
        <w:t>3.3.51.28 Axiomentscheidung zum neutralen Element</w:t>
      </w:r>
    </w:p>
    <w:p w:rsidR="00E50336" w:rsidRDefault="00E50336" w:rsidP="00E50336">
      <w:pPr>
        <w:pStyle w:val="StandardWeb"/>
      </w:pPr>
      <w:r>
        <w:t>Damit folgt</w:t>
      </w:r>
    </w:p>
    <w:p w:rsidR="00E50336" w:rsidRDefault="00E50336" w:rsidP="00E50336">
      <w:pPr>
        <w:pStyle w:val="berschrift1"/>
      </w:pPr>
      <w:r>
        <w:t>[</w:t>
      </w:r>
      <w:r>
        <w:br/>
        <w:t>\boxed{</w:t>
      </w:r>
      <w:r>
        <w:br/>
        <w:t>U_{\mathrm{Ax}}</w:t>
      </w:r>
      <w:r>
        <w:br/>
        <w:t>(A_{\mathrm{neutral}})</w:t>
      </w:r>
    </w:p>
    <w:p w:rsidR="00E50336" w:rsidRDefault="00E50336" w:rsidP="009F7790">
      <w:pPr>
        <w:numPr>
          <w:ilvl w:val="0"/>
          <w:numId w:val="635"/>
        </w:numPr>
        <w:spacing w:before="100" w:beforeAutospacing="1" w:after="100" w:afterAutospacing="1"/>
      </w:pPr>
    </w:p>
    <w:p w:rsidR="00E50336" w:rsidRDefault="00E50336" w:rsidP="00E50336">
      <w:pPr>
        <w:pStyle w:val="StandardWeb"/>
      </w:pPr>
      <w:r>
        <w:t>}</w:t>
      </w:r>
      <w:r>
        <w:br/>
        <w:t>\tag{3.13298}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\boxed{U_{\mathrm{Ax}}(A_{\mathrm{neutral}})=0.}</w:t>
      </w:r>
    </w:p>
    <w:p w:rsidR="00E50336" w:rsidRDefault="00E50336" w:rsidP="00E50336">
      <w:r>
        <w:pict>
          <v:rect id="_x0000_i5110" style="width:0;height:1.5pt" o:hralign="center" o:hrstd="t" o:hr="t" fillcolor="#a0a0a0" stroked="f"/>
        </w:pict>
      </w:r>
    </w:p>
    <w:p w:rsidR="00E50336" w:rsidRDefault="00E50336" w:rsidP="00E50336">
      <w:pPr>
        <w:pStyle w:val="berschrift2"/>
      </w:pPr>
      <w:r>
        <w:t>3.3.51.29 Satz 3.3.204 – Ein neutrales Aggregationselement ist kein Primäraxiom</w:t>
      </w:r>
    </w:p>
    <w:p w:rsidR="00E50336" w:rsidRDefault="00E50336" w:rsidP="00E50336">
      <w:pPr>
        <w:pStyle w:val="berschrift3"/>
      </w:pPr>
      <w:r>
        <w:t>Satz 3.3.204</w:t>
      </w:r>
    </w:p>
    <w:p w:rsidR="00E50336" w:rsidRDefault="00E50336" w:rsidP="00E50336">
      <w:pPr>
        <w:pStyle w:val="StandardWeb"/>
      </w:pPr>
      <w:r>
        <w:t>Die Forderung, jede funktionale Aggregationsstruktur müsse ein neutrales Element besitzen, ist keine universell notwendige Voraussetzung des allgemeinen FRZK.</w:t>
      </w:r>
    </w:p>
    <w:p w:rsidR="00E50336" w:rsidRDefault="00E50336" w:rsidP="00E50336">
      <w:pPr>
        <w:pStyle w:val="berschrift1"/>
      </w:pPr>
      <w:r>
        <w:lastRenderedPageBreak/>
        <w:t>[</w:t>
      </w:r>
      <w:r>
        <w:br/>
        <w:t>\boxed{</w:t>
      </w:r>
      <w:r>
        <w:br/>
        <w:t>U_{\mathrm{Ax}}</w:t>
      </w:r>
      <w:r>
        <w:br/>
        <w:t>(A_{\mathrm{neutral}})</w:t>
      </w:r>
    </w:p>
    <w:p w:rsidR="00E50336" w:rsidRDefault="00E50336" w:rsidP="009F7790">
      <w:pPr>
        <w:numPr>
          <w:ilvl w:val="0"/>
          <w:numId w:val="636"/>
        </w:numPr>
        <w:spacing w:before="100" w:beforeAutospacing="1" w:after="100" w:afterAutospacing="1"/>
      </w:pPr>
    </w:p>
    <w:p w:rsidR="00E50336" w:rsidRDefault="00E50336" w:rsidP="00E50336">
      <w:pPr>
        <w:pStyle w:val="StandardWeb"/>
      </w:pPr>
      <w:r>
        <w:t>}</w:t>
      </w:r>
      <w:r>
        <w:br/>
        <w:t>\tag{3.13299}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\boxed{U_{\mathrm{Ax}}(A_{\mathrm{neutral}})=0.}</w:t>
      </w:r>
    </w:p>
    <w:p w:rsidR="00E50336" w:rsidRDefault="00E50336" w:rsidP="00E50336">
      <w:r>
        <w:pict>
          <v:rect id="_x0000_i5111" style="width:0;height:1.5pt" o:hralign="center" o:hrstd="t" o:hr="t" fillcolor="#a0a0a0" stroked="f"/>
        </w:pict>
      </w:r>
    </w:p>
    <w:p w:rsidR="00E50336" w:rsidRDefault="00E50336" w:rsidP="00E50336">
      <w:pPr>
        <w:pStyle w:val="berschrift2"/>
      </w:pPr>
      <w:r>
        <w:t>3.3.51.30 Idempotente Aggregation</w:t>
      </w:r>
    </w:p>
    <w:p w:rsidR="00E50336" w:rsidRDefault="00E50336" w:rsidP="00E50336">
      <w:pPr>
        <w:pStyle w:val="StandardWeb"/>
      </w:pPr>
      <w:r>
        <w:t>Eine weitere mögliche Eigenschaft lautet</w:t>
      </w:r>
    </w:p>
    <w:p w:rsidR="00E50336" w:rsidRDefault="00E50336" w:rsidP="00E50336">
      <w:pPr>
        <w:pStyle w:val="berschrift1"/>
      </w:pPr>
      <w:r>
        <w:t>[</w:t>
      </w:r>
      <w:r>
        <w:br/>
        <w:t>X\oplus_F X</w:t>
      </w:r>
    </w:p>
    <w:p w:rsidR="00E50336" w:rsidRDefault="00E50336" w:rsidP="00E50336">
      <w:pPr>
        <w:pStyle w:val="StandardWeb"/>
      </w:pPr>
      <w:r>
        <w:t>X.</w:t>
      </w:r>
      <w:r>
        <w:br/>
        <w:t>\tag{3.13300}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X\oplus_F X=X</w:t>
      </w:r>
    </w:p>
    <w:p w:rsidR="00E50336" w:rsidRDefault="00E50336" w:rsidP="00E50336">
      <w:r>
        <w:pict>
          <v:rect id="_x0000_i5112" style="width:0;height:1.5pt" o:hralign="center" o:hrstd="t" o:hr="t" fillcolor="#a0a0a0" stroked="f"/>
        </w:pict>
      </w:r>
    </w:p>
    <w:p w:rsidR="00E50336" w:rsidRDefault="00E50336" w:rsidP="00E50336">
      <w:pPr>
        <w:pStyle w:val="berschrift2"/>
      </w:pPr>
      <w:r>
        <w:t>3.3.51.31 Definition 3.3.529 – Idempotente funktionale Aggregation</w:t>
      </w:r>
    </w:p>
    <w:p w:rsidR="00E50336" w:rsidRDefault="00E50336" w:rsidP="00E50336">
      <w:pPr>
        <w:pStyle w:val="berschrift3"/>
      </w:pPr>
      <w:r>
        <w:t>Definition 3.3.529</w:t>
      </w:r>
    </w:p>
    <w:p w:rsidR="00E50336" w:rsidRDefault="00E50336" w:rsidP="00E50336">
      <w:pPr>
        <w:pStyle w:val="StandardWeb"/>
      </w:pPr>
      <w:r>
        <w:t xml:space="preserve">Eine funktionale Aggregationsoperation heißt </w:t>
      </w:r>
      <w:r>
        <w:rPr>
          <w:rStyle w:val="Fett"/>
        </w:rPr>
        <w:t>idempotent</w:t>
      </w:r>
      <w:r>
        <w:t>, wenn</w:t>
      </w:r>
    </w:p>
    <w:p w:rsidR="00E50336" w:rsidRDefault="00E50336" w:rsidP="00E50336">
      <w:pPr>
        <w:pStyle w:val="berschrift1"/>
      </w:pPr>
      <w:r>
        <w:t>[</w:t>
      </w:r>
      <w:r>
        <w:br/>
        <w:t>\boxed{</w:t>
      </w:r>
      <w:r>
        <w:br/>
        <w:t>X\oplus_F X</w:t>
      </w:r>
    </w:p>
    <w:p w:rsidR="00E50336" w:rsidRDefault="00E50336" w:rsidP="00E50336">
      <w:pPr>
        <w:pStyle w:val="StandardWeb"/>
      </w:pPr>
      <w:r>
        <w:lastRenderedPageBreak/>
        <w:t>X</w:t>
      </w:r>
      <w:r>
        <w:br/>
        <w:t>}</w:t>
      </w:r>
      <w:r>
        <w:br/>
        <w:t>\tag{3.13301}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\boxed{X\oplus_F X=X}</w:t>
      </w:r>
    </w:p>
    <w:p w:rsidR="00E50336" w:rsidRDefault="00E50336" w:rsidP="00E50336">
      <w:pPr>
        <w:pStyle w:val="StandardWeb"/>
      </w:pPr>
      <w:r>
        <w:t>für alle zulässigen (X) gilt.</w:t>
      </w:r>
    </w:p>
    <w:p w:rsidR="00E50336" w:rsidRDefault="00E50336" w:rsidP="00E50336">
      <w:r>
        <w:pict>
          <v:rect id="_x0000_i5113" style="width:0;height:1.5pt" o:hralign="center" o:hrstd="t" o:hr="t" fillcolor="#a0a0a0" stroked="f"/>
        </w:pict>
      </w:r>
    </w:p>
    <w:p w:rsidR="00E50336" w:rsidRDefault="00E50336" w:rsidP="00E50336">
      <w:pPr>
        <w:pStyle w:val="berschrift2"/>
      </w:pPr>
      <w:r>
        <w:t>3.3.51.32 Nichtidempotente Aggregation</w:t>
      </w:r>
    </w:p>
    <w:p w:rsidR="00E50336" w:rsidRDefault="00E50336" w:rsidP="00E50336">
      <w:pPr>
        <w:pStyle w:val="StandardWeb"/>
      </w:pPr>
      <w:r>
        <w:t>Ebenso kann gelten</w:t>
      </w:r>
    </w:p>
    <w:p w:rsidR="00E50336" w:rsidRDefault="00E50336" w:rsidP="00E50336">
      <w:pPr>
        <w:pStyle w:val="StandardWeb"/>
      </w:pPr>
      <w:r>
        <w:t>[</w:t>
      </w:r>
      <w:r>
        <w:br/>
        <w:t>X\oplus_F X</w:t>
      </w:r>
      <w:r>
        <w:br/>
        <w:t>\neq</w:t>
      </w:r>
      <w:r>
        <w:br/>
        <w:t>X.</w:t>
      </w:r>
      <w:r>
        <w:br/>
        <w:t>\tag{3.13302}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X\oplus_F X\neq X</w:t>
      </w:r>
    </w:p>
    <w:p w:rsidR="00E50336" w:rsidRDefault="00E50336" w:rsidP="00E50336">
      <w:pPr>
        <w:pStyle w:val="StandardWeb"/>
      </w:pPr>
      <w:r>
        <w:t>Damit kann die Mehrfachberücksichtigung desselben funktionalen Objekts das Aggregationsergebnis verändern.</w:t>
      </w:r>
    </w:p>
    <w:p w:rsidR="00E50336" w:rsidRDefault="00E50336" w:rsidP="00E50336">
      <w:r>
        <w:pict>
          <v:rect id="_x0000_i5114" style="width:0;height:1.5pt" o:hralign="center" o:hrstd="t" o:hr="t" fillcolor="#a0a0a0" stroked="f"/>
        </w:pict>
      </w:r>
    </w:p>
    <w:p w:rsidR="00E50336" w:rsidRDefault="00E50336" w:rsidP="00E50336">
      <w:pPr>
        <w:pStyle w:val="berschrift2"/>
      </w:pPr>
      <w:r>
        <w:t>3.3.51.33 Idempotenz als Primäraxiomkandidat</w:t>
      </w:r>
    </w:p>
    <w:p w:rsidR="00E50336" w:rsidRDefault="00E50336" w:rsidP="00E50336">
      <w:pPr>
        <w:pStyle w:val="StandardWeb"/>
      </w:pPr>
      <w:r>
        <w:t>Der Kandidat lautet</w:t>
      </w:r>
    </w:p>
    <w:p w:rsidR="00E50336" w:rsidRDefault="00E50336" w:rsidP="00E50336">
      <w:pPr>
        <w:pStyle w:val="berschrift1"/>
      </w:pPr>
      <w:r>
        <w:t>[</w:t>
      </w:r>
      <w:r>
        <w:br/>
        <w:t>A_{\mathrm{idemp-agg}}</w:t>
      </w:r>
      <w:r>
        <w:br/>
        <w:t>:</w:t>
      </w:r>
      <w:r>
        <w:br/>
        <w:t>X\oplus_F X</w:t>
      </w:r>
    </w:p>
    <w:p w:rsidR="00E50336" w:rsidRDefault="00E50336" w:rsidP="00E50336">
      <w:pPr>
        <w:pStyle w:val="StandardWeb"/>
      </w:pPr>
      <w:r>
        <w:t>X.</w:t>
      </w:r>
      <w:r>
        <w:br/>
        <w:t>\tag{3.13303}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lastRenderedPageBreak/>
        <w:t>A_{\mathrm{idemp-agg}}:X\oplus_F X=X</w:t>
      </w:r>
    </w:p>
    <w:p w:rsidR="00E50336" w:rsidRDefault="00E50336" w:rsidP="00E50336">
      <w:r>
        <w:pict>
          <v:rect id="_x0000_i5115" style="width:0;height:1.5pt" o:hralign="center" o:hrstd="t" o:hr="t" fillcolor="#a0a0a0" stroked="f"/>
        </w:pict>
      </w:r>
    </w:p>
    <w:p w:rsidR="00E50336" w:rsidRDefault="00E50336" w:rsidP="00E50336">
      <w:pPr>
        <w:pStyle w:val="berschrift2"/>
      </w:pPr>
      <w:r>
        <w:t>3.3.51.34 Axiomentscheidung zur Idempotenz</w:t>
      </w:r>
    </w:p>
    <w:p w:rsidR="00E50336" w:rsidRDefault="00E50336" w:rsidP="00E50336">
      <w:pPr>
        <w:pStyle w:val="StandardWeb"/>
      </w:pPr>
      <w:r>
        <w:t>Es folgt</w:t>
      </w:r>
    </w:p>
    <w:p w:rsidR="00E50336" w:rsidRDefault="00E50336" w:rsidP="00E50336">
      <w:pPr>
        <w:pStyle w:val="berschrift1"/>
      </w:pPr>
      <w:r>
        <w:t>[</w:t>
      </w:r>
      <w:r>
        <w:br/>
        <w:t>\boxed{</w:t>
      </w:r>
      <w:r>
        <w:br/>
        <w:t>U_{\mathrm{Ax}}</w:t>
      </w:r>
      <w:r>
        <w:br/>
        <w:t>(A_{\mathrm{idemp-agg}})</w:t>
      </w:r>
    </w:p>
    <w:p w:rsidR="00E50336" w:rsidRDefault="00E50336" w:rsidP="009F7790">
      <w:pPr>
        <w:numPr>
          <w:ilvl w:val="0"/>
          <w:numId w:val="637"/>
        </w:numPr>
        <w:spacing w:before="100" w:beforeAutospacing="1" w:after="100" w:afterAutospacing="1"/>
      </w:pPr>
    </w:p>
    <w:p w:rsidR="00E50336" w:rsidRDefault="00E50336" w:rsidP="00E50336">
      <w:pPr>
        <w:pStyle w:val="StandardWeb"/>
      </w:pPr>
      <w:r>
        <w:t>}</w:t>
      </w:r>
      <w:r>
        <w:br/>
        <w:t>\tag{3.13304}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\boxed{U_{\mathrm{Ax}}(A_{\mathrm{idemp-agg}})=0.}</w:t>
      </w:r>
    </w:p>
    <w:p w:rsidR="00E50336" w:rsidRDefault="00E50336" w:rsidP="00E50336">
      <w:r>
        <w:pict>
          <v:rect id="_x0000_i5116" style="width:0;height:1.5pt" o:hralign="center" o:hrstd="t" o:hr="t" fillcolor="#a0a0a0" stroked="f"/>
        </w:pict>
      </w:r>
    </w:p>
    <w:p w:rsidR="00E50336" w:rsidRDefault="00E50336" w:rsidP="00E50336">
      <w:pPr>
        <w:pStyle w:val="berschrift2"/>
      </w:pPr>
      <w:r>
        <w:t>3.3.51.35 Satz 3.3.205 – Idempotenz der Aggregation ist kein Primäraxiom</w:t>
      </w:r>
    </w:p>
    <w:p w:rsidR="00E50336" w:rsidRDefault="00E50336" w:rsidP="00E50336">
      <w:pPr>
        <w:pStyle w:val="berschrift3"/>
      </w:pPr>
      <w:r>
        <w:t>Satz 3.3.205</w:t>
      </w:r>
    </w:p>
    <w:p w:rsidR="00E50336" w:rsidRDefault="00E50336" w:rsidP="00E50336">
      <w:pPr>
        <w:pStyle w:val="StandardWeb"/>
      </w:pPr>
      <w:r>
        <w:t>Die Forderung, jede funktionale Aggregationsoperation müsse idempotent sein, ist keine universell notwendige Voraussetzung des allgemeinen FRZK.</w:t>
      </w:r>
    </w:p>
    <w:p w:rsidR="00E50336" w:rsidRDefault="00E50336" w:rsidP="00E50336">
      <w:pPr>
        <w:pStyle w:val="berschrift1"/>
      </w:pPr>
      <w:r>
        <w:t>[</w:t>
      </w:r>
      <w:r>
        <w:br/>
        <w:t>\boxed{</w:t>
      </w:r>
      <w:r>
        <w:br/>
        <w:t>U_{\mathrm{Ax}}</w:t>
      </w:r>
      <w:r>
        <w:br/>
        <w:t>(A_{\mathrm{idemp-agg}})</w:t>
      </w:r>
    </w:p>
    <w:p w:rsidR="00E50336" w:rsidRDefault="00E50336" w:rsidP="009F7790">
      <w:pPr>
        <w:numPr>
          <w:ilvl w:val="0"/>
          <w:numId w:val="638"/>
        </w:numPr>
        <w:spacing w:before="100" w:beforeAutospacing="1" w:after="100" w:afterAutospacing="1"/>
      </w:pPr>
    </w:p>
    <w:p w:rsidR="00E50336" w:rsidRDefault="00E50336" w:rsidP="00E50336">
      <w:pPr>
        <w:pStyle w:val="StandardWeb"/>
      </w:pPr>
      <w:r>
        <w:t>}</w:t>
      </w:r>
      <w:r>
        <w:br/>
        <w:t>\tag{3.13305}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lastRenderedPageBreak/>
        <w:t>\boxed{U_{\mathrm{Ax}}(A_{\mathrm{idemp-agg}})=0.}</w:t>
      </w:r>
    </w:p>
    <w:p w:rsidR="00E50336" w:rsidRDefault="00E50336" w:rsidP="00E50336">
      <w:r>
        <w:pict>
          <v:rect id="_x0000_i5117" style="width:0;height:1.5pt" o:hralign="center" o:hrstd="t" o:hr="t" fillcolor="#a0a0a0" stroked="f"/>
        </w:pict>
      </w:r>
    </w:p>
    <w:p w:rsidR="00E50336" w:rsidRDefault="00E50336" w:rsidP="00E50336">
      <w:pPr>
        <w:pStyle w:val="berschrift2"/>
      </w:pPr>
      <w:r>
        <w:t>3.3.51.36 Mehrstellige Aggregation</w:t>
      </w:r>
    </w:p>
    <w:p w:rsidR="00E50336" w:rsidRDefault="00E50336" w:rsidP="00E50336">
      <w:pPr>
        <w:pStyle w:val="StandardWeb"/>
      </w:pPr>
      <w:r>
        <w:t>Statt einer binären Operation kann unmittelbar eine (n)-stellige Aggregation definiert werden:</w:t>
      </w:r>
    </w:p>
    <w:p w:rsidR="00E50336" w:rsidRDefault="00E50336" w:rsidP="00E50336">
      <w:pPr>
        <w:pStyle w:val="StandardWeb"/>
      </w:pPr>
      <w:r>
        <w:t>[</w:t>
      </w:r>
      <w:r>
        <w:br/>
        <w:t>\mathcal A_F^{(n)}</w:t>
      </w:r>
      <w:r>
        <w:br/>
        <w:t>:</w:t>
      </w:r>
      <w:r>
        <w:br/>
        <w:t>\mathcal X_F^n</w:t>
      </w:r>
      <w:r>
        <w:br/>
        <w:t>\rightarrow</w:t>
      </w:r>
      <w:r>
        <w:br/>
        <w:t>\mathcal X_F.</w:t>
      </w:r>
      <w:r>
        <w:br/>
        <w:t>\tag{3.13306}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A_F^{(n)}:\mathcal X_F^n\rightarrow\mathcal X_F</w:t>
      </w:r>
    </w:p>
    <w:p w:rsidR="00E50336" w:rsidRDefault="00E50336" w:rsidP="00E50336">
      <w:r>
        <w:pict>
          <v:rect id="_x0000_i5118" style="width:0;height:1.5pt" o:hralign="center" o:hrstd="t" o:hr="t" fillcolor="#a0a0a0" stroked="f"/>
        </w:pict>
      </w:r>
    </w:p>
    <w:p w:rsidR="00E50336" w:rsidRDefault="00E50336" w:rsidP="00E50336">
      <w:pPr>
        <w:pStyle w:val="berschrift2"/>
      </w:pPr>
      <w:r>
        <w:t>3.3.51.37 Definition 3.3.530 – (n)-stellige funktionale Aggregation</w:t>
      </w:r>
    </w:p>
    <w:p w:rsidR="00E50336" w:rsidRDefault="00E50336" w:rsidP="00E50336">
      <w:pPr>
        <w:pStyle w:val="berschrift3"/>
      </w:pPr>
      <w:r>
        <w:t>Definition 3.3.530</w:t>
      </w:r>
    </w:p>
    <w:p w:rsidR="00E50336" w:rsidRDefault="00E50336" w:rsidP="00E50336">
      <w:pPr>
        <w:pStyle w:val="StandardWeb"/>
      </w:pPr>
      <w:r>
        <w:t xml:space="preserve">Eine </w:t>
      </w:r>
      <w:r>
        <w:rPr>
          <w:rStyle w:val="Fett"/>
        </w:rPr>
        <w:t>(n)-stellige funktionale Aggregation</w:t>
      </w:r>
      <w:r>
        <w:t xml:space="preserve"> ist eine Abbildung</w:t>
      </w:r>
    </w:p>
    <w:p w:rsidR="00E50336" w:rsidRDefault="00E50336" w:rsidP="00E50336">
      <w:pPr>
        <w:pStyle w:val="StandardWeb"/>
      </w:pPr>
      <w:r>
        <w:t>[</w:t>
      </w:r>
      <w:r>
        <w:br/>
        <w:t>\boxed{</w:t>
      </w:r>
      <w:r>
        <w:br/>
        <w:t>\mathcal A_F^{(n)}</w:t>
      </w:r>
      <w:r>
        <w:br/>
        <w:t>:</w:t>
      </w:r>
      <w:r>
        <w:br/>
        <w:t>\mathcal X_F^n</w:t>
      </w:r>
      <w:r>
        <w:br/>
        <w:t>\rightarrow</w:t>
      </w:r>
      <w:r>
        <w:br/>
        <w:t>\mathcal X_F.</w:t>
      </w:r>
      <w:r>
        <w:br/>
        <w:t>}</w:t>
      </w:r>
      <w:r>
        <w:br/>
        <w:t>\tag{3.13307}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A_F^{(n)}:\mathcal X_F^n\rightarrow\mathcal X_F.}</w:t>
      </w:r>
    </w:p>
    <w:p w:rsidR="00E50336" w:rsidRDefault="00E50336" w:rsidP="00E50336">
      <w:r>
        <w:pict>
          <v:rect id="_x0000_i5119" style="width:0;height:1.5pt" o:hralign="center" o:hrstd="t" o:hr="t" fillcolor="#a0a0a0" stroked="f"/>
        </w:pict>
      </w:r>
    </w:p>
    <w:p w:rsidR="00E50336" w:rsidRDefault="00E50336" w:rsidP="00E50336">
      <w:pPr>
        <w:pStyle w:val="berschrift2"/>
      </w:pPr>
      <w:r>
        <w:t>3.3.51.38 Aggregation einer endlichen Objektfamilie</w:t>
      </w:r>
    </w:p>
    <w:p w:rsidR="00E50336" w:rsidRDefault="00E50336" w:rsidP="00E50336">
      <w:pPr>
        <w:pStyle w:val="StandardWeb"/>
      </w:pPr>
      <w:r>
        <w:t>Für</w:t>
      </w:r>
    </w:p>
    <w:p w:rsidR="00E50336" w:rsidRDefault="00E50336" w:rsidP="00E50336">
      <w:pPr>
        <w:pStyle w:val="berschrift1"/>
      </w:pPr>
      <w:r>
        <w:lastRenderedPageBreak/>
        <w:t>[</w:t>
      </w:r>
      <w:r>
        <w:br/>
        <w:t>\mathbf X</w:t>
      </w:r>
    </w:p>
    <w:p w:rsidR="00E50336" w:rsidRDefault="00E50336" w:rsidP="00E50336">
      <w:pPr>
        <w:pStyle w:val="StandardWeb"/>
      </w:pPr>
      <w:r>
        <w:t>(X_1,\ldots,X_n)</w:t>
      </w:r>
      <w:r>
        <w:br/>
        <w:t>\tag{3.13308}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\mathbf X=(X_1,\ldots,X_n)</w:t>
      </w:r>
    </w:p>
    <w:p w:rsidR="00E50336" w:rsidRDefault="00E50336" w:rsidP="00E50336">
      <w:pPr>
        <w:pStyle w:val="StandardWeb"/>
      </w:pPr>
      <w:r>
        <w:t>schreibe ich</w:t>
      </w:r>
    </w:p>
    <w:p w:rsidR="00E50336" w:rsidRDefault="00E50336" w:rsidP="00E50336">
      <w:pPr>
        <w:pStyle w:val="berschrift1"/>
      </w:pPr>
      <w:r>
        <w:t>[</w:t>
      </w:r>
      <w:r>
        <w:br/>
        <w:t>\mathcal A_F^{(n)}(\mathbf X)</w:t>
      </w:r>
    </w:p>
    <w:p w:rsidR="00E50336" w:rsidRDefault="00E50336" w:rsidP="00E50336">
      <w:pPr>
        <w:pStyle w:val="StandardWeb"/>
      </w:pPr>
      <w:r>
        <w:t>Z.</w:t>
      </w:r>
      <w:r>
        <w:br/>
        <w:t>\tag{3.13309}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A_F^{(n)}(\mathbf X)=Z</w:t>
      </w:r>
    </w:p>
    <w:p w:rsidR="00E50336" w:rsidRDefault="00E50336" w:rsidP="00E50336">
      <w:r>
        <w:pict>
          <v:rect id="_x0000_i5120" style="width:0;height:1.5pt" o:hralign="center" o:hrstd="t" o:hr="t" fillcolor="#a0a0a0" stroked="f"/>
        </w:pict>
      </w:r>
    </w:p>
    <w:p w:rsidR="00E50336" w:rsidRDefault="00E50336" w:rsidP="00E50336">
      <w:pPr>
        <w:pStyle w:val="berschrift2"/>
      </w:pPr>
      <w:r>
        <w:t>3.3.51.39 Reihenfolgeabhängige Mehrfachaggregation</w:t>
      </w:r>
    </w:p>
    <w:p w:rsidR="00E50336" w:rsidRDefault="00E50336" w:rsidP="00E50336">
      <w:pPr>
        <w:pStyle w:val="StandardWeb"/>
      </w:pPr>
      <w:r>
        <w:t>Die Aggregation kann von der Reihenfolge der Eingangselemente abhängen:</w:t>
      </w:r>
    </w:p>
    <w:p w:rsidR="00E50336" w:rsidRDefault="00E50336" w:rsidP="00E50336">
      <w:pPr>
        <w:pStyle w:val="StandardWeb"/>
      </w:pPr>
      <w:r>
        <w:t>[</w:t>
      </w:r>
      <w:r>
        <w:br/>
        <w:t>\mathcal A_F^{(n)}</w:t>
      </w:r>
      <w:r>
        <w:br/>
        <w:t>(X_1,\ldots,X_n)</w:t>
      </w:r>
      <w:r>
        <w:br/>
        <w:t>\neq</w:t>
      </w:r>
      <w:r>
        <w:br/>
        <w:t>\mathcal A_F^{(n)}</w:t>
      </w:r>
      <w:r>
        <w:br/>
        <w:t>(X_{\pi(1)},\ldots,X_{\pi(n)}).</w:t>
      </w:r>
      <w:r>
        <w:br/>
        <w:t>\tag{3.13310}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A_F^{(n)}(X_1,\ldots,X_n)\neq\mathcal A_F^{(n)}(X_{\pi(1)},\ldots,X_{\pi(n)})</w:t>
      </w:r>
    </w:p>
    <w:p w:rsidR="00E50336" w:rsidRDefault="00E50336" w:rsidP="00E50336">
      <w:r>
        <w:pict>
          <v:rect id="_x0000_i5121" style="width:0;height:1.5pt" o:hralign="center" o:hrstd="t" o:hr="t" fillcolor="#a0a0a0" stroked="f"/>
        </w:pict>
      </w:r>
    </w:p>
    <w:p w:rsidR="00E50336" w:rsidRDefault="00E50336" w:rsidP="00E50336">
      <w:pPr>
        <w:pStyle w:val="berschrift2"/>
      </w:pPr>
      <w:r>
        <w:t>3.3.51.40 Definition 3.3.531 – Permutationsinvariante funktionale Aggregation</w:t>
      </w:r>
    </w:p>
    <w:p w:rsidR="00E50336" w:rsidRDefault="00E50336" w:rsidP="00E50336">
      <w:pPr>
        <w:pStyle w:val="berschrift3"/>
      </w:pPr>
      <w:r>
        <w:lastRenderedPageBreak/>
        <w:t>Definition 3.3.531</w:t>
      </w:r>
    </w:p>
    <w:p w:rsidR="00E50336" w:rsidRDefault="00E50336" w:rsidP="00E50336">
      <w:pPr>
        <w:pStyle w:val="StandardWeb"/>
      </w:pPr>
      <w:r>
        <w:t xml:space="preserve">Eine (n)-stellige Aggregation heißt </w:t>
      </w:r>
      <w:r>
        <w:rPr>
          <w:rStyle w:val="Fett"/>
        </w:rPr>
        <w:t>permutationsinvariant</w:t>
      </w:r>
      <w:r>
        <w:t>, wenn</w:t>
      </w:r>
    </w:p>
    <w:p w:rsidR="00E50336" w:rsidRDefault="00E50336" w:rsidP="00E50336">
      <w:pPr>
        <w:pStyle w:val="berschrift1"/>
      </w:pPr>
      <w:r>
        <w:t>[</w:t>
      </w:r>
      <w:r>
        <w:br/>
        <w:t>\boxed{</w:t>
      </w:r>
      <w:r>
        <w:br/>
        <w:t>\mathcal A_F^{(n)}</w:t>
      </w:r>
      <w:r>
        <w:br/>
        <w:t>(X_1,\ldots,X_n)</w:t>
      </w:r>
    </w:p>
    <w:p w:rsidR="00E50336" w:rsidRDefault="00E50336" w:rsidP="00E50336">
      <w:pPr>
        <w:pStyle w:val="StandardWeb"/>
      </w:pPr>
      <w:r>
        <w:t>\mathcal A_F^{(n)}</w:t>
      </w:r>
      <w:r>
        <w:br/>
        <w:t>(X_{\pi(1)},\ldots,X_{\pi(n)})</w:t>
      </w:r>
      <w:r>
        <w:br/>
        <w:t>}</w:t>
      </w:r>
      <w:r>
        <w:br/>
        <w:t>\tag{3.13311}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A_F^{(n)}(X_1,\ldots,X_n)=\mathcal A_F^{(n)}(X_{\pi(1)},\ldots,X_{\pi(n)})}</w:t>
      </w:r>
    </w:p>
    <w:p w:rsidR="00E50336" w:rsidRDefault="00E50336" w:rsidP="00E50336">
      <w:pPr>
        <w:pStyle w:val="StandardWeb"/>
      </w:pPr>
      <w:r>
        <w:t>für jede zulässige Permutation (\pi) gilt.</w:t>
      </w:r>
    </w:p>
    <w:p w:rsidR="00E50336" w:rsidRDefault="00E50336" w:rsidP="00E50336">
      <w:r>
        <w:pict>
          <v:rect id="_x0000_i5122" style="width:0;height:1.5pt" o:hralign="center" o:hrstd="t" o:hr="t" fillcolor="#a0a0a0" stroked="f"/>
        </w:pict>
      </w:r>
    </w:p>
    <w:p w:rsidR="00E50336" w:rsidRDefault="00E50336" w:rsidP="00E50336">
      <w:pPr>
        <w:pStyle w:val="berschrift2"/>
      </w:pPr>
      <w:r>
        <w:t>3.3.51.41 Permutationsinvarianz als Primäraxiomkandidat</w:t>
      </w:r>
    </w:p>
    <w:p w:rsidR="00E50336" w:rsidRDefault="00E50336" w:rsidP="00E50336">
      <w:pPr>
        <w:pStyle w:val="StandardWeb"/>
      </w:pPr>
      <w:r>
        <w:t>Der Kandidat lautet</w:t>
      </w:r>
    </w:p>
    <w:p w:rsidR="00E50336" w:rsidRDefault="00E50336" w:rsidP="00E50336">
      <w:pPr>
        <w:pStyle w:val="StandardWeb"/>
      </w:pPr>
      <w:r>
        <w:t>[</w:t>
      </w:r>
      <w:r>
        <w:br/>
        <w:t>A_{\mathrm{perm}}</w:t>
      </w:r>
      <w:r>
        <w:br/>
        <w:t>:</w:t>
      </w:r>
      <w:r>
        <w:br/>
        <w:t>\mathcal A_F^{(n)}</w:t>
      </w:r>
      <w:r>
        <w:br/>
        <w:t>\text{ ist permutationsinvariant}.</w:t>
      </w:r>
      <w:r>
        <w:br/>
        <w:t>\tag{3.13312}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A_{\mathrm{perm}}:\mathcal A_F^{(n)}\text{ ist permutationsinvariant}</w:t>
      </w:r>
    </w:p>
    <w:p w:rsidR="00E50336" w:rsidRDefault="00E50336" w:rsidP="00E50336">
      <w:r>
        <w:pict>
          <v:rect id="_x0000_i5123" style="width:0;height:1.5pt" o:hralign="center" o:hrstd="t" o:hr="t" fillcolor="#a0a0a0" stroked="f"/>
        </w:pict>
      </w:r>
    </w:p>
    <w:p w:rsidR="00E50336" w:rsidRDefault="00E50336" w:rsidP="00E50336">
      <w:pPr>
        <w:pStyle w:val="berschrift2"/>
      </w:pPr>
      <w:r>
        <w:t>3.3.51.42 Axiomentscheidung zur Permutationsinvarianz</w:t>
      </w:r>
    </w:p>
    <w:p w:rsidR="00E50336" w:rsidRDefault="00E50336" w:rsidP="00E50336">
      <w:pPr>
        <w:pStyle w:val="StandardWeb"/>
      </w:pPr>
      <w:r>
        <w:t>Da reihenfolgeabhängige Aggregationen zulässig sind,</w:t>
      </w:r>
    </w:p>
    <w:p w:rsidR="00E50336" w:rsidRDefault="00E50336" w:rsidP="00E50336">
      <w:pPr>
        <w:pStyle w:val="berschrift1"/>
      </w:pPr>
      <w:r>
        <w:lastRenderedPageBreak/>
        <w:t>[</w:t>
      </w:r>
      <w:r>
        <w:br/>
        <w:t>\boxed{</w:t>
      </w:r>
      <w:r>
        <w:br/>
        <w:t>U_{\mathrm{Ax}}</w:t>
      </w:r>
      <w:r>
        <w:br/>
        <w:t>(A_{\mathrm{perm}})</w:t>
      </w:r>
    </w:p>
    <w:p w:rsidR="00E50336" w:rsidRDefault="00E50336" w:rsidP="009F7790">
      <w:pPr>
        <w:numPr>
          <w:ilvl w:val="0"/>
          <w:numId w:val="639"/>
        </w:numPr>
        <w:spacing w:before="100" w:beforeAutospacing="1" w:after="100" w:afterAutospacing="1"/>
      </w:pPr>
    </w:p>
    <w:p w:rsidR="00E50336" w:rsidRDefault="00E50336" w:rsidP="00E50336">
      <w:pPr>
        <w:pStyle w:val="StandardWeb"/>
      </w:pPr>
      <w:r>
        <w:t>}</w:t>
      </w:r>
      <w:r>
        <w:br/>
        <w:t>\tag{3.13313}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\boxed{U_{\mathrm{Ax}}(A_{\mathrm{perm}})=0.}</w:t>
      </w:r>
    </w:p>
    <w:p w:rsidR="00E50336" w:rsidRDefault="00E50336" w:rsidP="00E50336">
      <w:r>
        <w:pict>
          <v:rect id="_x0000_i5124" style="width:0;height:1.5pt" o:hralign="center" o:hrstd="t" o:hr="t" fillcolor="#a0a0a0" stroked="f"/>
        </w:pict>
      </w:r>
    </w:p>
    <w:p w:rsidR="00E50336" w:rsidRDefault="00E50336" w:rsidP="00E50336">
      <w:pPr>
        <w:pStyle w:val="berschrift2"/>
      </w:pPr>
      <w:r>
        <w:t>3.3.51.43 Satz 3.3.206 – Permutationsinvarianz ist kein Primäraxiom</w:t>
      </w:r>
    </w:p>
    <w:p w:rsidR="00E50336" w:rsidRDefault="00E50336" w:rsidP="00E50336">
      <w:pPr>
        <w:pStyle w:val="berschrift3"/>
      </w:pPr>
      <w:r>
        <w:t>Satz 3.3.206</w:t>
      </w:r>
    </w:p>
    <w:p w:rsidR="00E50336" w:rsidRDefault="00E50336" w:rsidP="00E50336">
      <w:pPr>
        <w:pStyle w:val="StandardWeb"/>
      </w:pPr>
      <w:r>
        <w:t>Die Forderung, jede mehrstellige funktionale Aggregation müsse gegenüber allen Permutationen ihrer Eingangselemente invariant sein, ist keine universell notwendige Voraussetzung des allgemeinen FRZK.</w:t>
      </w:r>
    </w:p>
    <w:p w:rsidR="00E50336" w:rsidRDefault="00E50336" w:rsidP="00E50336">
      <w:pPr>
        <w:pStyle w:val="berschrift1"/>
      </w:pPr>
      <w:r>
        <w:t>[</w:t>
      </w:r>
      <w:r>
        <w:br/>
        <w:t>\boxed{</w:t>
      </w:r>
      <w:r>
        <w:br/>
        <w:t>U_{\mathrm{Ax}}</w:t>
      </w:r>
      <w:r>
        <w:br/>
        <w:t>(A_{\mathrm{perm}})</w:t>
      </w:r>
    </w:p>
    <w:p w:rsidR="00E50336" w:rsidRDefault="00E50336" w:rsidP="009F7790">
      <w:pPr>
        <w:numPr>
          <w:ilvl w:val="0"/>
          <w:numId w:val="640"/>
        </w:numPr>
        <w:spacing w:before="100" w:beforeAutospacing="1" w:after="100" w:afterAutospacing="1"/>
      </w:pPr>
    </w:p>
    <w:p w:rsidR="00E50336" w:rsidRDefault="00E50336" w:rsidP="00E50336">
      <w:pPr>
        <w:pStyle w:val="StandardWeb"/>
      </w:pPr>
      <w:r>
        <w:t>}</w:t>
      </w:r>
      <w:r>
        <w:br/>
        <w:t>\tag{3.13314}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\boxed{U_{\mathrm{Ax}}(A_{\mathrm{perm}})=0.}</w:t>
      </w:r>
    </w:p>
    <w:p w:rsidR="00E50336" w:rsidRDefault="00E50336" w:rsidP="00E50336">
      <w:r>
        <w:pict>
          <v:rect id="_x0000_i5125" style="width:0;height:1.5pt" o:hralign="center" o:hrstd="t" o:hr="t" fillcolor="#a0a0a0" stroked="f"/>
        </w:pict>
      </w:r>
    </w:p>
    <w:p w:rsidR="00E50336" w:rsidRDefault="00E50336" w:rsidP="00E50336">
      <w:pPr>
        <w:pStyle w:val="berschrift2"/>
      </w:pPr>
      <w:r>
        <w:t>3.3.51.44 Gewichtete Aggregation</w:t>
      </w:r>
    </w:p>
    <w:p w:rsidR="00E50336" w:rsidRDefault="00E50336" w:rsidP="00E50336">
      <w:pPr>
        <w:pStyle w:val="StandardWeb"/>
      </w:pPr>
      <w:r>
        <w:t>Eine Aggregation kann Gewichtungsparameter besitzen:</w:t>
      </w:r>
    </w:p>
    <w:p w:rsidR="00E50336" w:rsidRDefault="00E50336" w:rsidP="00E50336">
      <w:pPr>
        <w:pStyle w:val="StandardWeb"/>
      </w:pPr>
      <w:r>
        <w:lastRenderedPageBreak/>
        <w:t>[</w:t>
      </w:r>
      <w:r>
        <w:br/>
        <w:t>\mathcal A_F^{(w)}</w:t>
      </w:r>
      <w:r>
        <w:br/>
        <w:t>:</w:t>
      </w:r>
      <w:r>
        <w:br/>
        <w:t>(\mathbf X,\mathbf w)</w:t>
      </w:r>
      <w:r>
        <w:br/>
        <w:t>\mapsto</w:t>
      </w:r>
      <w:r>
        <w:br/>
        <w:t>Z.</w:t>
      </w:r>
      <w:r>
        <w:br/>
        <w:t>\tag{3.13315}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A_F^{(w)}:(\mathbf X,\mathbf w)\mapsto Z</w:t>
      </w:r>
    </w:p>
    <w:p w:rsidR="00E50336" w:rsidRDefault="00E50336" w:rsidP="00E50336">
      <w:pPr>
        <w:pStyle w:val="StandardWeb"/>
      </w:pPr>
      <w:r>
        <w:t>Dabei sei</w:t>
      </w:r>
    </w:p>
    <w:p w:rsidR="00E50336" w:rsidRDefault="00E50336" w:rsidP="00E50336">
      <w:pPr>
        <w:pStyle w:val="berschrift1"/>
      </w:pPr>
      <w:r>
        <w:t>[</w:t>
      </w:r>
      <w:r>
        <w:br/>
        <w:t>\mathbf w</w:t>
      </w:r>
    </w:p>
    <w:p w:rsidR="00E50336" w:rsidRDefault="00E50336" w:rsidP="00E50336">
      <w:pPr>
        <w:pStyle w:val="StandardWeb"/>
      </w:pPr>
      <w:r>
        <w:t>(w_1,\ldots,w_n).</w:t>
      </w:r>
      <w:r>
        <w:br/>
        <w:t>\tag{3.13316}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\mathbf w=(w_1,\ldots,w_n)</w:t>
      </w:r>
    </w:p>
    <w:p w:rsidR="00E50336" w:rsidRDefault="00E50336" w:rsidP="00E50336">
      <w:r>
        <w:pict>
          <v:rect id="_x0000_i5126" style="width:0;height:1.5pt" o:hralign="center" o:hrstd="t" o:hr="t" fillcolor="#a0a0a0" stroked="f"/>
        </w:pict>
      </w:r>
    </w:p>
    <w:p w:rsidR="00E50336" w:rsidRDefault="00E50336" w:rsidP="00E50336">
      <w:pPr>
        <w:pStyle w:val="berschrift2"/>
      </w:pPr>
      <w:r>
        <w:t>3.3.51.45 Definition 3.3.532 – Gewichtete funktionale Aggregation</w:t>
      </w:r>
    </w:p>
    <w:p w:rsidR="00E50336" w:rsidRDefault="00E50336" w:rsidP="00E50336">
      <w:pPr>
        <w:pStyle w:val="berschrift3"/>
      </w:pPr>
      <w:r>
        <w:t>Definition 3.3.532</w:t>
      </w:r>
    </w:p>
    <w:p w:rsidR="00E50336" w:rsidRDefault="00E50336" w:rsidP="00E50336">
      <w:pPr>
        <w:pStyle w:val="StandardWeb"/>
      </w:pPr>
      <w:r>
        <w:t xml:space="preserve">Eine </w:t>
      </w:r>
      <w:r>
        <w:rPr>
          <w:rStyle w:val="Fett"/>
        </w:rPr>
        <w:t>gewichtete funktionale Aggregation</w:t>
      </w:r>
      <w:r>
        <w:t xml:space="preserve"> ist eine Abbildung</w:t>
      </w:r>
    </w:p>
    <w:p w:rsidR="00E50336" w:rsidRDefault="00E50336" w:rsidP="00E50336">
      <w:pPr>
        <w:pStyle w:val="StandardWeb"/>
      </w:pPr>
      <w:r>
        <w:t>[</w:t>
      </w:r>
      <w:r>
        <w:br/>
        <w:t>\boxed{</w:t>
      </w:r>
      <w:r>
        <w:br/>
        <w:t>\mathcal A_F^{(w)}</w:t>
      </w:r>
      <w:r>
        <w:br/>
        <w:t>:</w:t>
      </w:r>
      <w:r>
        <w:br/>
        <w:t>\mathcal X_F^n</w:t>
      </w:r>
      <w:r>
        <w:br/>
        <w:t>\times</w:t>
      </w:r>
      <w:r>
        <w:br/>
        <w:t>\mathcal W_F</w:t>
      </w:r>
      <w:r>
        <w:br/>
        <w:t>\rightarrow</w:t>
      </w:r>
      <w:r>
        <w:br/>
        <w:t>\mathcal X_F.</w:t>
      </w:r>
      <w:r>
        <w:br/>
        <w:t>}</w:t>
      </w:r>
      <w:r>
        <w:br/>
        <w:t>\tag{3.13317}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lastRenderedPageBreak/>
        <w:t>\boxed{\mathcal A_F^{(w)}:\mathcal X_F^n\times\mathcal W_F\rightarrow\mathcal X_F.}</w:t>
      </w:r>
    </w:p>
    <w:p w:rsidR="00E50336" w:rsidRDefault="00E50336" w:rsidP="00E50336">
      <w:r>
        <w:pict>
          <v:rect id="_x0000_i5127" style="width:0;height:1.5pt" o:hralign="center" o:hrstd="t" o:hr="t" fillcolor="#a0a0a0" stroked="f"/>
        </w:pict>
      </w:r>
    </w:p>
    <w:p w:rsidR="00E50336" w:rsidRDefault="00E50336" w:rsidP="00E50336">
      <w:pPr>
        <w:pStyle w:val="berschrift2"/>
      </w:pPr>
      <w:r>
        <w:t>3.3.51.46 Normierte Gewichte</w:t>
      </w:r>
    </w:p>
    <w:p w:rsidR="00E50336" w:rsidRDefault="00E50336" w:rsidP="00E50336">
      <w:pPr>
        <w:pStyle w:val="StandardWeb"/>
      </w:pPr>
      <w:r>
        <w:t>Eine mögliche Modellbedingung lautet</w:t>
      </w:r>
    </w:p>
    <w:p w:rsidR="00E50336" w:rsidRDefault="00E50336" w:rsidP="00E50336">
      <w:pPr>
        <w:pStyle w:val="berschrift1"/>
      </w:pPr>
      <w:r>
        <w:t>[</w:t>
      </w:r>
      <w:r>
        <w:br/>
        <w:t>\sum_{i=1}^{n}</w:t>
      </w:r>
      <w:r>
        <w:br/>
        <w:t>w_i</w:t>
      </w:r>
    </w:p>
    <w:p w:rsidR="00E50336" w:rsidRDefault="00E50336" w:rsidP="009F7790">
      <w:pPr>
        <w:numPr>
          <w:ilvl w:val="0"/>
          <w:numId w:val="641"/>
        </w:numPr>
        <w:spacing w:before="100" w:beforeAutospacing="1" w:after="100" w:afterAutospacing="1"/>
      </w:pPr>
    </w:p>
    <w:p w:rsidR="00E50336" w:rsidRDefault="00E50336" w:rsidP="00E50336">
      <w:pPr>
        <w:pStyle w:val="StandardWeb"/>
      </w:pPr>
      <w:r>
        <w:t>\tag{3.13318}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\sum_{i=1}^{n}w_i=1</w:t>
      </w:r>
    </w:p>
    <w:p w:rsidR="00E50336" w:rsidRDefault="00E50336" w:rsidP="00E50336">
      <w:pPr>
        <w:pStyle w:val="StandardWeb"/>
      </w:pPr>
      <w:r>
        <w:t>Zusätzlich kann verlangt werden</w:t>
      </w:r>
    </w:p>
    <w:p w:rsidR="00E50336" w:rsidRDefault="00E50336" w:rsidP="00E50336">
      <w:pPr>
        <w:pStyle w:val="StandardWeb"/>
      </w:pPr>
      <w:r>
        <w:t>[</w:t>
      </w:r>
      <w:r>
        <w:br/>
        <w:t>w_i</w:t>
      </w:r>
      <w:r>
        <w:br/>
        <w:t>\geq</w:t>
      </w:r>
      <w:r>
        <w:br/>
        <w:t>0.</w:t>
      </w:r>
      <w:r>
        <w:br/>
        <w:t>\tag{3.13319}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w_i\geq0</w:t>
      </w:r>
    </w:p>
    <w:p w:rsidR="00E50336" w:rsidRDefault="00E50336" w:rsidP="00E50336">
      <w:r>
        <w:pict>
          <v:rect id="_x0000_i5128" style="width:0;height:1.5pt" o:hralign="center" o:hrstd="t" o:hr="t" fillcolor="#a0a0a0" stroked="f"/>
        </w:pict>
      </w:r>
    </w:p>
    <w:p w:rsidR="00E50336" w:rsidRDefault="00E50336" w:rsidP="00E50336">
      <w:pPr>
        <w:pStyle w:val="berschrift2"/>
      </w:pPr>
      <w:r>
        <w:t>3.3.51.47 Definition 3.3.533 – Normierter funktionaler Gewichtungsvektor</w:t>
      </w:r>
    </w:p>
    <w:p w:rsidR="00E50336" w:rsidRDefault="00E50336" w:rsidP="00E50336">
      <w:pPr>
        <w:pStyle w:val="berschrift3"/>
      </w:pPr>
      <w:r>
        <w:t>Definition 3.3.533</w:t>
      </w:r>
    </w:p>
    <w:p w:rsidR="00E50336" w:rsidRDefault="00E50336" w:rsidP="00E50336">
      <w:pPr>
        <w:pStyle w:val="StandardWeb"/>
      </w:pPr>
      <w:r>
        <w:t xml:space="preserve">Ein Gewichtungsvektor heißt </w:t>
      </w:r>
      <w:r>
        <w:rPr>
          <w:rStyle w:val="Fett"/>
        </w:rPr>
        <w:t>normiert</w:t>
      </w:r>
      <w:r>
        <w:t>, wenn</w:t>
      </w:r>
    </w:p>
    <w:p w:rsidR="00E50336" w:rsidRDefault="00E50336" w:rsidP="00E50336">
      <w:pPr>
        <w:pStyle w:val="StandardWeb"/>
      </w:pPr>
      <w:r>
        <w:t>[</w:t>
      </w:r>
      <w:r>
        <w:br/>
        <w:t>\boxed{</w:t>
      </w:r>
      <w:r>
        <w:br/>
        <w:t>w_i\geq0</w:t>
      </w:r>
      <w:r>
        <w:br/>
        <w:t>\quad\forall i,</w:t>
      </w:r>
      <w:r>
        <w:br/>
        <w:t>\qquad</w:t>
      </w:r>
      <w:r>
        <w:br/>
        <w:t>\sum_{i=1}^{n}w_i=1.</w:t>
      </w:r>
      <w:r>
        <w:br/>
      </w:r>
      <w:r>
        <w:lastRenderedPageBreak/>
        <w:t>}</w:t>
      </w:r>
      <w:r>
        <w:br/>
        <w:t>\tag{3.13320}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\boxed{w_i\geq0\quad\forall i,\qquad\sum_{i=1}^{n}w_i=1.}</w:t>
      </w:r>
    </w:p>
    <w:p w:rsidR="00E50336" w:rsidRDefault="00E50336" w:rsidP="00E50336">
      <w:r>
        <w:pict>
          <v:rect id="_x0000_i5129" style="width:0;height:1.5pt" o:hralign="center" o:hrstd="t" o:hr="t" fillcolor="#a0a0a0" stroked="f"/>
        </w:pict>
      </w:r>
    </w:p>
    <w:p w:rsidR="00E50336" w:rsidRDefault="00E50336" w:rsidP="00E50336">
      <w:pPr>
        <w:pStyle w:val="berschrift2"/>
      </w:pPr>
      <w:r>
        <w:t>3.3.51.48 Normierte Gewichtung als Primäraxiomkandidat</w:t>
      </w:r>
    </w:p>
    <w:p w:rsidR="00E50336" w:rsidRDefault="00E50336" w:rsidP="00E50336">
      <w:pPr>
        <w:pStyle w:val="StandardWeb"/>
      </w:pPr>
      <w:r>
        <w:t>Eine mögliche Forderung wäre</w:t>
      </w:r>
    </w:p>
    <w:p w:rsidR="00E50336" w:rsidRDefault="00E50336" w:rsidP="00E50336">
      <w:pPr>
        <w:pStyle w:val="berschrift1"/>
      </w:pPr>
      <w:r>
        <w:t>[</w:t>
      </w:r>
      <w:r>
        <w:br/>
        <w:t>A_{\mathrm{norm-w}}</w:t>
      </w:r>
      <w:r>
        <w:br/>
        <w:t>:</w:t>
      </w:r>
      <w:r>
        <w:br/>
        <w:t>\sum_{i=1}^{n}</w:t>
      </w:r>
      <w:r>
        <w:br/>
        <w:t>w_i</w:t>
      </w:r>
    </w:p>
    <w:p w:rsidR="00E50336" w:rsidRDefault="00E50336" w:rsidP="009F7790">
      <w:pPr>
        <w:numPr>
          <w:ilvl w:val="0"/>
          <w:numId w:val="642"/>
        </w:numPr>
        <w:spacing w:before="100" w:beforeAutospacing="1" w:after="100" w:afterAutospacing="1"/>
      </w:pPr>
    </w:p>
    <w:p w:rsidR="00E50336" w:rsidRDefault="00E50336" w:rsidP="00E50336">
      <w:pPr>
        <w:pStyle w:val="StandardWeb"/>
      </w:pPr>
      <w:r>
        <w:t>\tag{3.13321}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A_{\mathrm{norm-w}}:\sum_{i=1}^{n}w_i=1</w:t>
      </w:r>
    </w:p>
    <w:p w:rsidR="00E50336" w:rsidRDefault="00E50336" w:rsidP="00E50336">
      <w:pPr>
        <w:pStyle w:val="StandardWeb"/>
      </w:pPr>
      <w:r>
        <w:t>für jede gewichtete funktionale Aggregation.</w:t>
      </w:r>
    </w:p>
    <w:p w:rsidR="00E50336" w:rsidRDefault="00E50336" w:rsidP="00E50336">
      <w:r>
        <w:pict>
          <v:rect id="_x0000_i5130" style="width:0;height:1.5pt" o:hralign="center" o:hrstd="t" o:hr="t" fillcolor="#a0a0a0" stroked="f"/>
        </w:pict>
      </w:r>
    </w:p>
    <w:p w:rsidR="00E50336" w:rsidRDefault="00E50336" w:rsidP="00E50336">
      <w:pPr>
        <w:pStyle w:val="berschrift2"/>
      </w:pPr>
      <w:r>
        <w:t>3.3.51.49 Gegenmodell</w:t>
      </w:r>
    </w:p>
    <w:p w:rsidR="00E50336" w:rsidRDefault="00E50336" w:rsidP="00E50336">
      <w:pPr>
        <w:pStyle w:val="StandardWeb"/>
      </w:pPr>
      <w:r>
        <w:t>Eine Aggregationsoperation kann mit unnormierten Parametern arbeiten:</w:t>
      </w:r>
    </w:p>
    <w:p w:rsidR="00E50336" w:rsidRDefault="00E50336" w:rsidP="00E50336">
      <w:pPr>
        <w:pStyle w:val="StandardWeb"/>
      </w:pPr>
      <w:r>
        <w:t>[</w:t>
      </w:r>
      <w:r>
        <w:br/>
        <w:t>\sum_{i=1}^{n}</w:t>
      </w:r>
      <w:r>
        <w:br/>
        <w:t>w_i</w:t>
      </w:r>
      <w:r>
        <w:br/>
        <w:t>\neq</w:t>
      </w:r>
      <w:r>
        <w:br/>
        <w:t>1.</w:t>
      </w:r>
      <w:r>
        <w:br/>
        <w:t>\tag{3.13322}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\sum_{i=1}^{n}w_i\neq1</w:t>
      </w:r>
    </w:p>
    <w:p w:rsidR="00E50336" w:rsidRDefault="00E50336" w:rsidP="00E50336">
      <w:pPr>
        <w:pStyle w:val="StandardWeb"/>
      </w:pPr>
      <w:r>
        <w:lastRenderedPageBreak/>
        <w:t>Eine nachgeschaltete Normalisierung kann optional erfolgen, muss aber nicht Teil der Aggregationsoperation sein.</w:t>
      </w:r>
    </w:p>
    <w:p w:rsidR="00E50336" w:rsidRDefault="00E50336" w:rsidP="00E50336">
      <w:r>
        <w:pict>
          <v:rect id="_x0000_i5131" style="width:0;height:1.5pt" o:hralign="center" o:hrstd="t" o:hr="t" fillcolor="#a0a0a0" stroked="f"/>
        </w:pict>
      </w:r>
    </w:p>
    <w:p w:rsidR="00E50336" w:rsidRDefault="00E50336" w:rsidP="00E50336">
      <w:pPr>
        <w:pStyle w:val="berschrift2"/>
      </w:pPr>
      <w:r>
        <w:t>3.3.51.50 Axiomentscheidung zur Gewichtsnormierung</w:t>
      </w:r>
    </w:p>
    <w:p w:rsidR="00E50336" w:rsidRDefault="00E50336" w:rsidP="00E50336">
      <w:pPr>
        <w:pStyle w:val="StandardWeb"/>
      </w:pPr>
      <w:r>
        <w:t>Daher gilt</w:t>
      </w:r>
    </w:p>
    <w:p w:rsidR="00E50336" w:rsidRDefault="00E50336" w:rsidP="00E50336">
      <w:pPr>
        <w:pStyle w:val="berschrift1"/>
      </w:pPr>
      <w:r>
        <w:t>[</w:t>
      </w:r>
      <w:r>
        <w:br/>
        <w:t>\boxed{</w:t>
      </w:r>
      <w:r>
        <w:br/>
        <w:t>U_{\mathrm{Ax}}</w:t>
      </w:r>
      <w:r>
        <w:br/>
        <w:t>(A_{\mathrm{norm-w}})</w:t>
      </w:r>
    </w:p>
    <w:p w:rsidR="00E50336" w:rsidRDefault="00E50336" w:rsidP="009F7790">
      <w:pPr>
        <w:numPr>
          <w:ilvl w:val="0"/>
          <w:numId w:val="643"/>
        </w:numPr>
        <w:spacing w:before="100" w:beforeAutospacing="1" w:after="100" w:afterAutospacing="1"/>
      </w:pPr>
    </w:p>
    <w:p w:rsidR="00E50336" w:rsidRDefault="00E50336" w:rsidP="00E50336">
      <w:pPr>
        <w:pStyle w:val="StandardWeb"/>
      </w:pPr>
      <w:r>
        <w:t>}</w:t>
      </w:r>
      <w:r>
        <w:br/>
        <w:t>\tag{3.13323}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\boxed{U_{\mathrm{Ax}}(A_{\mathrm{norm-w}})=0.}</w:t>
      </w:r>
    </w:p>
    <w:p w:rsidR="00E50336" w:rsidRDefault="00E50336" w:rsidP="00E50336">
      <w:r>
        <w:pict>
          <v:rect id="_x0000_i5132" style="width:0;height:1.5pt" o:hralign="center" o:hrstd="t" o:hr="t" fillcolor="#a0a0a0" stroked="f"/>
        </w:pict>
      </w:r>
    </w:p>
    <w:p w:rsidR="00E50336" w:rsidRDefault="00E50336" w:rsidP="00E50336">
      <w:pPr>
        <w:pStyle w:val="berschrift2"/>
      </w:pPr>
      <w:r>
        <w:t>3.3.51.51 Satz 3.3.207 – Normierte Aggregationsgewichte sind kein Primäraxiom</w:t>
      </w:r>
    </w:p>
    <w:p w:rsidR="00E50336" w:rsidRDefault="00E50336" w:rsidP="00E50336">
      <w:pPr>
        <w:pStyle w:val="berschrift3"/>
      </w:pPr>
      <w:r>
        <w:t>Satz 3.3.207</w:t>
      </w:r>
    </w:p>
    <w:p w:rsidR="00E50336" w:rsidRDefault="00E50336" w:rsidP="00E50336">
      <w:pPr>
        <w:pStyle w:val="StandardWeb"/>
      </w:pPr>
      <w:r>
        <w:t>Die Forderung, Gewichtungsparameter jeder funktionalen Aggregation müssten nichtnegativ sein und sich zu Eins summieren, ist keine universell notwendige Voraussetzung des allgemeinen FRZK.</w:t>
      </w:r>
    </w:p>
    <w:p w:rsidR="00E50336" w:rsidRDefault="00E50336" w:rsidP="00E50336">
      <w:pPr>
        <w:pStyle w:val="berschrift1"/>
      </w:pPr>
      <w:r>
        <w:t>[</w:t>
      </w:r>
      <w:r>
        <w:br/>
        <w:t>\boxed{</w:t>
      </w:r>
      <w:r>
        <w:br/>
        <w:t>U_{\mathrm{Ax}}</w:t>
      </w:r>
      <w:r>
        <w:br/>
        <w:t>(A_{\mathrm{norm-w}})</w:t>
      </w:r>
    </w:p>
    <w:p w:rsidR="00E50336" w:rsidRDefault="00E50336" w:rsidP="009F7790">
      <w:pPr>
        <w:numPr>
          <w:ilvl w:val="0"/>
          <w:numId w:val="644"/>
        </w:numPr>
        <w:spacing w:before="100" w:beforeAutospacing="1" w:after="100" w:afterAutospacing="1"/>
      </w:pPr>
    </w:p>
    <w:p w:rsidR="00E50336" w:rsidRDefault="00E50336" w:rsidP="00E50336">
      <w:pPr>
        <w:pStyle w:val="StandardWeb"/>
      </w:pPr>
      <w:r>
        <w:t>}</w:t>
      </w:r>
      <w:r>
        <w:br/>
        <w:t>\tag{3.13324}</w:t>
      </w:r>
      <w:r>
        <w:br/>
        <w:t>]</w:t>
      </w:r>
    </w:p>
    <w:p w:rsidR="00E50336" w:rsidRDefault="00E50336" w:rsidP="00E50336">
      <w:pPr>
        <w:pStyle w:val="StandardWeb"/>
      </w:pPr>
      <w:r>
        <w:rPr>
          <w:rStyle w:val="Fett"/>
        </w:rPr>
        <w:lastRenderedPageBreak/>
        <w:t>Word-LaTeX</w:t>
      </w:r>
    </w:p>
    <w:p w:rsidR="00E50336" w:rsidRDefault="00E50336" w:rsidP="00E50336">
      <w:pPr>
        <w:pStyle w:val="HTMLVorformatiert"/>
        <w:rPr>
          <w:rStyle w:val="HTMLCode"/>
        </w:rPr>
      </w:pPr>
      <w:r>
        <w:rPr>
          <w:rStyle w:val="HTMLCode"/>
        </w:rPr>
        <w:t>\boxed{U_{\mathrm{Ax}}(A_{\mathrm{norm-w}})=0.}</w:t>
      </w:r>
    </w:p>
    <w:p w:rsidR="00E50336" w:rsidRDefault="00E50336" w:rsidP="00E50336">
      <w:r>
        <w:pict>
          <v:rect id="_x0000_i5133" style="width:0;height:1.5pt" o:hralign="center" o:hrstd="t" o:hr="t" fillcolor="#a0a0a0" stroked="f"/>
        </w:pict>
      </w:r>
    </w:p>
    <w:p w:rsidR="00E50336" w:rsidRDefault="00E50336" w:rsidP="00E50336">
      <w:pPr>
        <w:pStyle w:val="berschrift2"/>
      </w:pPr>
      <w:r>
        <w:t>3.3.51.52 Funktionale Fusion</w:t>
      </w:r>
    </w:p>
    <w:p w:rsidR="00E50336" w:rsidRDefault="00E50336" w:rsidP="00E50336">
      <w:pPr>
        <w:pStyle w:val="StandardWeb"/>
      </w:pPr>
      <w:r>
        <w:t>Ich unterscheide nun zwischen einer allgemeinen Aggregation und einer Fusion.</w:t>
      </w:r>
    </w:p>
    <w:p w:rsidR="00E50336" w:rsidRDefault="00E50336" w:rsidP="00E50336">
      <w:pPr>
        <w:pStyle w:val="StandardWeb"/>
      </w:pPr>
      <w:r>
        <w:t>Bei einer Fusion soll das Ergebnis als neue funktionale Einheit behandelt werden:</w:t>
      </w:r>
    </w:p>
    <w:p w:rsidR="00E50336" w:rsidRDefault="00E50336" w:rsidP="00E50336">
      <w:pPr>
        <w:pStyle w:val="berschrift1"/>
      </w:pPr>
      <w:r>
        <w:t>[</w:t>
      </w:r>
      <w:r>
        <w:br/>
        <w:t>X</w:t>
      </w:r>
      <w:r>
        <w:br/>
        <w:t>\otimes_F</w:t>
      </w:r>
      <w:r>
        <w:br/>
        <w:t>Y</w:t>
      </w:r>
    </w:p>
    <w:p w:rsidR="00E50336" w:rsidRDefault="00E50336" w:rsidP="00E50336">
      <w:pPr>
        <w:pStyle w:val="StandardWeb"/>
      </w:pPr>
      <w:r>
        <w:t>Z_F^{\mathrm{fus}}.</w:t>
      </w:r>
      <w:r>
        <w:br/>
        <w:t>\tag{3.13325}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X\otimes_F Y=Z_F^{\mathrm{fus}}</w:t>
      </w:r>
    </w:p>
    <w:p w:rsidR="00E50336" w:rsidRDefault="00E50336" w:rsidP="00E50336">
      <w:r>
        <w:pict>
          <v:rect id="_x0000_i5134" style="width:0;height:1.5pt" o:hralign="center" o:hrstd="t" o:hr="t" fillcolor="#a0a0a0" stroked="f"/>
        </w:pict>
      </w:r>
    </w:p>
    <w:p w:rsidR="00E50336" w:rsidRDefault="00E50336" w:rsidP="00E50336">
      <w:pPr>
        <w:pStyle w:val="berschrift2"/>
      </w:pPr>
      <w:r>
        <w:t>3.3.51.53 Definition 3.3.534 – Funktionale Fusion</w:t>
      </w:r>
    </w:p>
    <w:p w:rsidR="00E50336" w:rsidRDefault="00E50336" w:rsidP="00E50336">
      <w:pPr>
        <w:pStyle w:val="berschrift3"/>
      </w:pPr>
      <w:r>
        <w:t>Definition 3.3.534</w:t>
      </w:r>
    </w:p>
    <w:p w:rsidR="00E50336" w:rsidRDefault="00E50336" w:rsidP="00E50336">
      <w:pPr>
        <w:pStyle w:val="StandardWeb"/>
      </w:pPr>
      <w:r>
        <w:t xml:space="preserve">Eine </w:t>
      </w:r>
      <w:r>
        <w:rPr>
          <w:rStyle w:val="Fett"/>
        </w:rPr>
        <w:t>funktionale Fusion</w:t>
      </w:r>
      <w:r>
        <w:t xml:space="preserve"> ist eine modellabhängige Abbildung</w:t>
      </w:r>
    </w:p>
    <w:p w:rsidR="00E50336" w:rsidRDefault="00E50336" w:rsidP="00E50336">
      <w:pPr>
        <w:pStyle w:val="StandardWeb"/>
      </w:pPr>
      <w:r>
        <w:t>[</w:t>
      </w:r>
      <w:r>
        <w:br/>
        <w:t>\boxed{</w:t>
      </w:r>
      <w:r>
        <w:br/>
        <w:t>\otimes_F</w:t>
      </w:r>
      <w:r>
        <w:br/>
        <w:t>:</w:t>
      </w:r>
      <w:r>
        <w:br/>
        <w:t>\mathcal D_{\otimes}</w:t>
      </w:r>
      <w:r>
        <w:br/>
        <w:t>\rightarrow</w:t>
      </w:r>
      <w:r>
        <w:br/>
        <w:t>\mathcal X_F</w:t>
      </w:r>
      <w:r>
        <w:br/>
        <w:t>}</w:t>
      </w:r>
      <w:r>
        <w:br/>
        <w:t>\tag{3.13326}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\boxed{\otimes_F:\mathcal D_{\otimes}\rightarrow\mathcal X_F}</w:t>
      </w:r>
    </w:p>
    <w:p w:rsidR="00E50336" w:rsidRDefault="00E50336" w:rsidP="00E50336">
      <w:pPr>
        <w:pStyle w:val="StandardWeb"/>
      </w:pPr>
      <w:r>
        <w:t>mit</w:t>
      </w:r>
    </w:p>
    <w:p w:rsidR="00E50336" w:rsidRDefault="00E50336" w:rsidP="00E50336">
      <w:pPr>
        <w:pStyle w:val="StandardWeb"/>
      </w:pPr>
      <w:r>
        <w:lastRenderedPageBreak/>
        <w:t>[</w:t>
      </w:r>
      <w:r>
        <w:br/>
        <w:t>\mathcal D_{\otimes}</w:t>
      </w:r>
      <w:r>
        <w:br/>
        <w:t>\subseteq</w:t>
      </w:r>
      <w:r>
        <w:br/>
        <w:t>\mathcal X_F\times\mathcal X_F.</w:t>
      </w:r>
      <w:r>
        <w:br/>
        <w:t>\tag{3.13327}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D_{\otimes}\subseteq\mathcal X_F\times\mathcal X_F</w:t>
      </w:r>
    </w:p>
    <w:p w:rsidR="00E50336" w:rsidRDefault="00E50336" w:rsidP="00E50336">
      <w:pPr>
        <w:pStyle w:val="StandardWeb"/>
      </w:pPr>
      <w:r>
        <w:t>Das Ergebnis wird innerhalb der Modellklasse als neue funktionale Einheit behandelt.</w:t>
      </w:r>
    </w:p>
    <w:p w:rsidR="00E50336" w:rsidRDefault="00E50336" w:rsidP="00E50336">
      <w:r>
        <w:pict>
          <v:rect id="_x0000_i5135" style="width:0;height:1.5pt" o:hralign="center" o:hrstd="t" o:hr="t" fillcolor="#a0a0a0" stroked="f"/>
        </w:pict>
      </w:r>
    </w:p>
    <w:p w:rsidR="00E50336" w:rsidRDefault="00E50336" w:rsidP="00E50336">
      <w:pPr>
        <w:pStyle w:val="berschrift2"/>
      </w:pPr>
      <w:r>
        <w:t>3.3.51.54 Aggregation und Fusion sind nicht identisch</w:t>
      </w:r>
    </w:p>
    <w:p w:rsidR="00E50336" w:rsidRDefault="00E50336" w:rsidP="00E50336">
      <w:pPr>
        <w:pStyle w:val="StandardWeb"/>
      </w:pPr>
      <w:r>
        <w:t>Methodisch trenne ich</w:t>
      </w:r>
    </w:p>
    <w:p w:rsidR="00E50336" w:rsidRDefault="00E50336" w:rsidP="00E50336">
      <w:pPr>
        <w:pStyle w:val="StandardWeb"/>
      </w:pPr>
      <w:r>
        <w:t>[</w:t>
      </w:r>
      <w:r>
        <w:br/>
        <w:t>\boxed{</w:t>
      </w:r>
      <w:r>
        <w:br/>
        <w:t>\oplus_F</w:t>
      </w:r>
      <w:r>
        <w:br/>
        <w:t>\not\equiv</w:t>
      </w:r>
      <w:r>
        <w:br/>
        <w:t>\otimes_F.</w:t>
      </w:r>
      <w:r>
        <w:br/>
        <w:t>}</w:t>
      </w:r>
      <w:r>
        <w:br/>
        <w:t>\tag{3.13328}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\boxed{\oplus_F\not\equiv\otimes_F.}</w:t>
      </w:r>
    </w:p>
    <w:p w:rsidR="00E50336" w:rsidRDefault="00E50336" w:rsidP="00E50336">
      <w:pPr>
        <w:pStyle w:val="StandardWeb"/>
      </w:pPr>
      <w:r>
        <w:t>Eine Aggregation kann lediglich eine Zusammenfassung oder gemeinsame Repräsentation erzeugen, während eine Fusion modellabhängig als neues funktionales Objekt interpretiert werden kann.</w:t>
      </w:r>
    </w:p>
    <w:p w:rsidR="00E50336" w:rsidRDefault="00E50336" w:rsidP="00E50336">
      <w:r>
        <w:pict>
          <v:rect id="_x0000_i5136" style="width:0;height:1.5pt" o:hralign="center" o:hrstd="t" o:hr="t" fillcolor="#a0a0a0" stroked="f"/>
        </w:pict>
      </w:r>
    </w:p>
    <w:p w:rsidR="00E50336" w:rsidRDefault="00E50336" w:rsidP="00E50336">
      <w:pPr>
        <w:pStyle w:val="berschrift2"/>
      </w:pPr>
      <w:r>
        <w:t>3.3.51.55 Erhaltung der Komponenten</w:t>
      </w:r>
    </w:p>
    <w:p w:rsidR="00E50336" w:rsidRDefault="00E50336" w:rsidP="00E50336">
      <w:pPr>
        <w:pStyle w:val="StandardWeb"/>
      </w:pPr>
      <w:r>
        <w:t>Eine Fusion kann die Ausgangsobjekte rekonstruierbar erhalten:</w:t>
      </w:r>
    </w:p>
    <w:p w:rsidR="00E50336" w:rsidRDefault="00E50336" w:rsidP="00E50336">
      <w:pPr>
        <w:pStyle w:val="berschrift1"/>
      </w:pPr>
      <w:r>
        <w:t>[</w:t>
      </w:r>
      <w:r>
        <w:br/>
        <w:t>\mathcal R_1</w:t>
      </w:r>
      <w:r>
        <w:br/>
        <w:t>(X\otimes_F Y)</w:t>
      </w:r>
    </w:p>
    <w:p w:rsidR="00E50336" w:rsidRDefault="00E50336" w:rsidP="00E50336">
      <w:pPr>
        <w:pStyle w:val="StandardWeb"/>
      </w:pPr>
      <w:r>
        <w:t>X</w:t>
      </w:r>
      <w:r>
        <w:br/>
        <w:t>\tag{3.13329}</w:t>
      </w:r>
      <w:r>
        <w:br/>
        <w:t>]</w:t>
      </w:r>
    </w:p>
    <w:p w:rsidR="00E50336" w:rsidRDefault="00E50336" w:rsidP="00E50336">
      <w:pPr>
        <w:pStyle w:val="StandardWeb"/>
      </w:pPr>
      <w:r>
        <w:rPr>
          <w:rStyle w:val="Fett"/>
        </w:rPr>
        <w:lastRenderedPageBreak/>
        <w:t>Word-LaTeX</w:t>
      </w:r>
    </w:p>
    <w:p w:rsidR="00E50336" w:rsidRDefault="00E50336" w:rsidP="00E50336">
      <w:pPr>
        <w:pStyle w:val="HTMLVorformatiert"/>
        <w:rPr>
          <w:rStyle w:val="HTMLCode"/>
        </w:rPr>
      </w:pPr>
      <w:r>
        <w:rPr>
          <w:rStyle w:val="HTMLCode"/>
        </w:rPr>
        <w:t>\mathcal R_1(X\otimes_F Y)=X</w:t>
      </w:r>
    </w:p>
    <w:p w:rsidR="00E50336" w:rsidRDefault="00E50336" w:rsidP="00E50336">
      <w:pPr>
        <w:pStyle w:val="StandardWeb"/>
      </w:pPr>
      <w:r>
        <w:t>und</w:t>
      </w:r>
    </w:p>
    <w:p w:rsidR="00E50336" w:rsidRDefault="00E50336" w:rsidP="00E50336">
      <w:pPr>
        <w:pStyle w:val="berschrift1"/>
      </w:pPr>
      <w:r>
        <w:t>[</w:t>
      </w:r>
      <w:r>
        <w:br/>
        <w:t>\mathcal R_2</w:t>
      </w:r>
      <w:r>
        <w:br/>
        <w:t>(X\otimes_F Y)</w:t>
      </w:r>
    </w:p>
    <w:p w:rsidR="00E50336" w:rsidRDefault="00E50336" w:rsidP="00E50336">
      <w:pPr>
        <w:pStyle w:val="StandardWeb"/>
      </w:pPr>
      <w:r>
        <w:t>Y.</w:t>
      </w:r>
      <w:r>
        <w:br/>
        <w:t>\tag{3.13330}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R_2(X\otimes_F Y)=Y</w:t>
      </w:r>
    </w:p>
    <w:p w:rsidR="00E50336" w:rsidRDefault="00E50336" w:rsidP="00E50336">
      <w:r>
        <w:pict>
          <v:rect id="_x0000_i5137" style="width:0;height:1.5pt" o:hralign="center" o:hrstd="t" o:hr="t" fillcolor="#a0a0a0" stroked="f"/>
        </w:pict>
      </w:r>
    </w:p>
    <w:p w:rsidR="00E50336" w:rsidRDefault="00E50336" w:rsidP="00E50336">
      <w:pPr>
        <w:pStyle w:val="berschrift2"/>
      </w:pPr>
      <w:r>
        <w:t>3.3.51.56 Definition 3.3.535 – Rekonstruierbare funktionale Fusion</w:t>
      </w:r>
    </w:p>
    <w:p w:rsidR="00E50336" w:rsidRDefault="00E50336" w:rsidP="00E50336">
      <w:pPr>
        <w:pStyle w:val="berschrift3"/>
      </w:pPr>
      <w:r>
        <w:t>Definition 3.3.535</w:t>
      </w:r>
    </w:p>
    <w:p w:rsidR="00E50336" w:rsidRDefault="00E50336" w:rsidP="00E50336">
      <w:pPr>
        <w:pStyle w:val="StandardWeb"/>
      </w:pPr>
      <w:r>
        <w:t xml:space="preserve">Eine Fusion heißt </w:t>
      </w:r>
      <w:r>
        <w:rPr>
          <w:rStyle w:val="Fett"/>
        </w:rPr>
        <w:t>rekonstruierbar</w:t>
      </w:r>
      <w:r>
        <w:t>, wenn Abbildungen (\mathcal R_1) und (\mathcal R_2) existieren mit</w:t>
      </w:r>
    </w:p>
    <w:p w:rsidR="00E50336" w:rsidRDefault="00E50336" w:rsidP="00E50336">
      <w:pPr>
        <w:pStyle w:val="StandardWeb"/>
      </w:pPr>
      <w:r>
        <w:t>[</w:t>
      </w:r>
      <w:r>
        <w:br/>
        <w:t>\boxed{</w:t>
      </w:r>
      <w:r>
        <w:br/>
        <w:t>\mathcal R_1(X\otimes_F Y)=X,</w:t>
      </w:r>
      <w:r>
        <w:br/>
        <w:t>\qquad</w:t>
      </w:r>
      <w:r>
        <w:br/>
        <w:t>\mathcal R_2(X\otimes_F Y)=Y.</w:t>
      </w:r>
      <w:r>
        <w:br/>
        <w:t>}</w:t>
      </w:r>
      <w:r>
        <w:br/>
        <w:t>\tag{3.13331}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R_1(X\otimes_F Y)=X,\qquad\mathcal R_2(X\otimes_F Y)=Y.}</w:t>
      </w:r>
    </w:p>
    <w:p w:rsidR="00E50336" w:rsidRDefault="00E50336" w:rsidP="00E50336">
      <w:r>
        <w:pict>
          <v:rect id="_x0000_i5138" style="width:0;height:1.5pt" o:hralign="center" o:hrstd="t" o:hr="t" fillcolor="#a0a0a0" stroked="f"/>
        </w:pict>
      </w:r>
    </w:p>
    <w:p w:rsidR="00E50336" w:rsidRDefault="00E50336" w:rsidP="00E50336">
      <w:pPr>
        <w:pStyle w:val="berschrift2"/>
      </w:pPr>
      <w:r>
        <w:t>3.3.51.57 Informationsverlustbehaftete Fusion</w:t>
      </w:r>
    </w:p>
    <w:p w:rsidR="00E50336" w:rsidRDefault="00E50336" w:rsidP="00E50336">
      <w:pPr>
        <w:pStyle w:val="StandardWeb"/>
      </w:pPr>
      <w:r>
        <w:t>Es kann jedoch auch gelten</w:t>
      </w:r>
    </w:p>
    <w:p w:rsidR="00E50336" w:rsidRDefault="00E50336" w:rsidP="00E50336">
      <w:pPr>
        <w:pStyle w:val="StandardWeb"/>
      </w:pPr>
      <w:r>
        <w:t>[</w:t>
      </w:r>
      <w:r>
        <w:br/>
        <w:t>\nexists</w:t>
      </w:r>
      <w:r>
        <w:br/>
        <w:t>\mathcal R_1,\mathcal R_2</w:t>
      </w:r>
      <w:r>
        <w:br/>
      </w:r>
      <w:r>
        <w:lastRenderedPageBreak/>
        <w:t>\tag{3.13332}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\nexists\mathcal R_1,\mathcal R_2</w:t>
      </w:r>
    </w:p>
    <w:p w:rsidR="00E50336" w:rsidRDefault="00E50336" w:rsidP="00E50336">
      <w:pPr>
        <w:pStyle w:val="StandardWeb"/>
      </w:pPr>
      <w:r>
        <w:t>mit vollständiger Rekonstruktion beider Ausgangsobjekte.</w:t>
      </w:r>
    </w:p>
    <w:p w:rsidR="00E50336" w:rsidRDefault="00E50336" w:rsidP="00E50336">
      <w:pPr>
        <w:pStyle w:val="StandardWeb"/>
      </w:pPr>
      <w:r>
        <w:t>Dann ist die Fusion bezüglich dieser Komponenten nicht invertierbar.</w:t>
      </w:r>
    </w:p>
    <w:p w:rsidR="00E50336" w:rsidRDefault="00E50336" w:rsidP="00E50336">
      <w:r>
        <w:pict>
          <v:rect id="_x0000_i5139" style="width:0;height:1.5pt" o:hralign="center" o:hrstd="t" o:hr="t" fillcolor="#a0a0a0" stroked="f"/>
        </w:pict>
      </w:r>
    </w:p>
    <w:p w:rsidR="00E50336" w:rsidRDefault="00E50336" w:rsidP="00E50336">
      <w:pPr>
        <w:pStyle w:val="berschrift2"/>
      </w:pPr>
      <w:r>
        <w:t>3.3.51.58 Definition 3.3.536 – Irreversible funktionale Fusion</w:t>
      </w:r>
    </w:p>
    <w:p w:rsidR="00E50336" w:rsidRDefault="00E50336" w:rsidP="00E50336">
      <w:pPr>
        <w:pStyle w:val="berschrift3"/>
      </w:pPr>
      <w:r>
        <w:t>Definition 3.3.536</w:t>
      </w:r>
    </w:p>
    <w:p w:rsidR="00E50336" w:rsidRDefault="00E50336" w:rsidP="00E50336">
      <w:pPr>
        <w:pStyle w:val="StandardWeb"/>
      </w:pPr>
      <w:r>
        <w:t xml:space="preserve">Eine Fusion heißt </w:t>
      </w:r>
      <w:r>
        <w:rPr>
          <w:rStyle w:val="Fett"/>
        </w:rPr>
        <w:t>irreversibel bezüglich ihrer Komponenten</w:t>
      </w:r>
      <w:r>
        <w:t>, wenn</w:t>
      </w:r>
    </w:p>
    <w:p w:rsidR="00E50336" w:rsidRDefault="00E50336" w:rsidP="00E50336">
      <w:pPr>
        <w:pStyle w:val="StandardWeb"/>
      </w:pPr>
      <w:r>
        <w:t>[</w:t>
      </w:r>
      <w:r>
        <w:br/>
        <w:t>\boxed{</w:t>
      </w:r>
      <w:r>
        <w:br/>
        <w:t>\nexists</w:t>
      </w:r>
      <w:r>
        <w:br/>
        <w:t>(\mathcal R_1,\mathcal R_2)</w:t>
      </w:r>
      <w:r>
        <w:br/>
        <w:t>:</w:t>
      </w:r>
      <w:r>
        <w:br/>
        <w:t>\mathcal R_1(X\otimes_F Y)=X</w:t>
      </w:r>
      <w:r>
        <w:br/>
        <w:t>\land</w:t>
      </w:r>
      <w:r>
        <w:br/>
        <w:t>\mathcal R_2(X\otimes_F Y)=Y.</w:t>
      </w:r>
      <w:r>
        <w:br/>
        <w:t>}</w:t>
      </w:r>
      <w:r>
        <w:br/>
        <w:t>\tag{3.13333}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\boxed{\nexists(\mathcal R_1,\mathcal R_2):\mathcal R_1(X\otimes_F Y)=X\land\mathcal R_2(X\otimes_F Y)=Y.}</w:t>
      </w:r>
    </w:p>
    <w:p w:rsidR="00E50336" w:rsidRDefault="00E50336" w:rsidP="00E50336">
      <w:r>
        <w:pict>
          <v:rect id="_x0000_i5140" style="width:0;height:1.5pt" o:hralign="center" o:hrstd="t" o:hr="t" fillcolor="#a0a0a0" stroked="f"/>
        </w:pict>
      </w:r>
    </w:p>
    <w:p w:rsidR="00E50336" w:rsidRDefault="00E50336" w:rsidP="00E50336">
      <w:pPr>
        <w:pStyle w:val="berschrift2"/>
      </w:pPr>
      <w:r>
        <w:t>3.3.51.59 Reversibilität als Primäraxiomkandidat</w:t>
      </w:r>
    </w:p>
    <w:p w:rsidR="00E50336" w:rsidRDefault="00E50336" w:rsidP="00E50336">
      <w:pPr>
        <w:pStyle w:val="StandardWeb"/>
      </w:pPr>
      <w:r>
        <w:t>Ein möglicher Kandidat wäre</w:t>
      </w:r>
    </w:p>
    <w:p w:rsidR="00E50336" w:rsidRDefault="00E50336" w:rsidP="00E50336">
      <w:pPr>
        <w:pStyle w:val="StandardWeb"/>
      </w:pPr>
      <w:r>
        <w:t>[</w:t>
      </w:r>
      <w:r>
        <w:br/>
        <w:t>A_{\mathrm{rev-fus}}</w:t>
      </w:r>
      <w:r>
        <w:br/>
        <w:t>:</w:t>
      </w:r>
      <w:r>
        <w:br/>
        <w:t>\text{jede Fusion ist vollständig rekonstruierbar}.</w:t>
      </w:r>
      <w:r>
        <w:br/>
        <w:t>\tag{3.13334}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A_{\mathrm{rev-fus}}:\text{jede Fusion ist vollständig rekonstruierbar}</w:t>
      </w:r>
    </w:p>
    <w:p w:rsidR="00E50336" w:rsidRDefault="00E50336" w:rsidP="00E50336">
      <w:r>
        <w:lastRenderedPageBreak/>
        <w:pict>
          <v:rect id="_x0000_i5141" style="width:0;height:1.5pt" o:hralign="center" o:hrstd="t" o:hr="t" fillcolor="#a0a0a0" stroked="f"/>
        </w:pict>
      </w:r>
    </w:p>
    <w:p w:rsidR="00E50336" w:rsidRDefault="00E50336" w:rsidP="00E50336">
      <w:pPr>
        <w:pStyle w:val="berschrift2"/>
      </w:pPr>
      <w:r>
        <w:t>3.3.51.60 Gegenmodell zur Reversibilität</w:t>
      </w:r>
    </w:p>
    <w:p w:rsidR="00E50336" w:rsidRDefault="00E50336" w:rsidP="00E50336">
      <w:pPr>
        <w:pStyle w:val="StandardWeb"/>
      </w:pPr>
      <w:r>
        <w:t>Eine zulässige Modellklasse kann eine many-to-one-Fusion besitzen:</w:t>
      </w:r>
    </w:p>
    <w:p w:rsidR="00E50336" w:rsidRDefault="00E50336" w:rsidP="00E50336">
      <w:pPr>
        <w:pStyle w:val="berschrift1"/>
      </w:pPr>
      <w:r>
        <w:t>[</w:t>
      </w:r>
      <w:r>
        <w:br/>
        <w:t>X_1\otimes_F Y_1</w:t>
      </w:r>
    </w:p>
    <w:p w:rsidR="00E50336" w:rsidRDefault="00E50336" w:rsidP="00E50336">
      <w:pPr>
        <w:pStyle w:val="StandardWeb"/>
      </w:pPr>
      <w:r>
        <w:t>X_2\otimes_F Y_2</w:t>
      </w:r>
      <w:r>
        <w:br/>
        <w:t>\tag{3.13335}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X_1\otimes_F Y_1=X_2\otimes_F Y_2</w:t>
      </w:r>
    </w:p>
    <w:p w:rsidR="00E50336" w:rsidRDefault="00E50336" w:rsidP="00E50336">
      <w:pPr>
        <w:pStyle w:val="StandardWeb"/>
      </w:pPr>
      <w:r>
        <w:t>obwohl</w:t>
      </w:r>
    </w:p>
    <w:p w:rsidR="00E50336" w:rsidRDefault="00E50336" w:rsidP="00E50336">
      <w:pPr>
        <w:pStyle w:val="StandardWeb"/>
      </w:pPr>
      <w:r>
        <w:t>[</w:t>
      </w:r>
      <w:r>
        <w:br/>
        <w:t>(X_1,Y_1)</w:t>
      </w:r>
      <w:r>
        <w:br/>
        <w:t>\neq</w:t>
      </w:r>
      <w:r>
        <w:br/>
        <w:t>(X_2,Y_2).</w:t>
      </w:r>
      <w:r>
        <w:br/>
        <w:t>\tag{3.13336}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(X_1,Y_1)\neq(X_2,Y_2)</w:t>
      </w:r>
    </w:p>
    <w:p w:rsidR="00E50336" w:rsidRDefault="00E50336" w:rsidP="00E50336">
      <w:pPr>
        <w:pStyle w:val="StandardWeb"/>
      </w:pPr>
      <w:r>
        <w:t>Dann ist eine eindeutige vollständige Rekonstruktion unmöglich.</w:t>
      </w:r>
    </w:p>
    <w:p w:rsidR="00E50336" w:rsidRDefault="00E50336" w:rsidP="00E50336">
      <w:r>
        <w:pict>
          <v:rect id="_x0000_i5142" style="width:0;height:1.5pt" o:hralign="center" o:hrstd="t" o:hr="t" fillcolor="#a0a0a0" stroked="f"/>
        </w:pict>
      </w:r>
    </w:p>
    <w:p w:rsidR="00E50336" w:rsidRDefault="00E50336" w:rsidP="00E50336">
      <w:pPr>
        <w:pStyle w:val="berschrift2"/>
      </w:pPr>
      <w:r>
        <w:t>3.3.51.61 Axiomentscheidung zur Fusionsreversibilität</w:t>
      </w:r>
    </w:p>
    <w:p w:rsidR="00E50336" w:rsidRDefault="00E50336" w:rsidP="00E50336">
      <w:pPr>
        <w:pStyle w:val="StandardWeb"/>
      </w:pPr>
      <w:r>
        <w:t>Damit folgt</w:t>
      </w:r>
    </w:p>
    <w:p w:rsidR="00E50336" w:rsidRDefault="00E50336" w:rsidP="00E50336">
      <w:pPr>
        <w:pStyle w:val="berschrift1"/>
      </w:pPr>
      <w:r>
        <w:t>[</w:t>
      </w:r>
      <w:r>
        <w:br/>
        <w:t>\boxed{</w:t>
      </w:r>
      <w:r>
        <w:br/>
        <w:t>U_{\mathrm{Ax}}</w:t>
      </w:r>
      <w:r>
        <w:br/>
        <w:t>(A_{\mathrm{rev-fus}})</w:t>
      </w:r>
    </w:p>
    <w:p w:rsidR="00E50336" w:rsidRDefault="00E50336" w:rsidP="009F7790">
      <w:pPr>
        <w:numPr>
          <w:ilvl w:val="0"/>
          <w:numId w:val="645"/>
        </w:numPr>
        <w:spacing w:before="100" w:beforeAutospacing="1" w:after="100" w:afterAutospacing="1"/>
      </w:pPr>
    </w:p>
    <w:p w:rsidR="00E50336" w:rsidRDefault="00E50336" w:rsidP="00E50336">
      <w:pPr>
        <w:pStyle w:val="StandardWeb"/>
      </w:pPr>
      <w:r>
        <w:lastRenderedPageBreak/>
        <w:t>}</w:t>
      </w:r>
      <w:r>
        <w:br/>
        <w:t>\tag{3.13337}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\boxed{U_{\mathrm{Ax}}(A_{\mathrm{rev-fus}})=0.}</w:t>
      </w:r>
    </w:p>
    <w:p w:rsidR="00E50336" w:rsidRDefault="00E50336" w:rsidP="00E50336">
      <w:r>
        <w:pict>
          <v:rect id="_x0000_i5143" style="width:0;height:1.5pt" o:hralign="center" o:hrstd="t" o:hr="t" fillcolor="#a0a0a0" stroked="f"/>
        </w:pict>
      </w:r>
    </w:p>
    <w:p w:rsidR="00E50336" w:rsidRDefault="00E50336" w:rsidP="00E50336">
      <w:pPr>
        <w:pStyle w:val="berschrift2"/>
      </w:pPr>
      <w:r>
        <w:t>3.3.51.62 Satz 3.3.208 – Vollständige Fusionsreversibilität ist kein Primäraxiom</w:t>
      </w:r>
    </w:p>
    <w:p w:rsidR="00E50336" w:rsidRDefault="00E50336" w:rsidP="00E50336">
      <w:pPr>
        <w:pStyle w:val="berschrift3"/>
      </w:pPr>
      <w:r>
        <w:t>Satz 3.3.208</w:t>
      </w:r>
    </w:p>
    <w:p w:rsidR="00E50336" w:rsidRDefault="00E50336" w:rsidP="00E50336">
      <w:pPr>
        <w:pStyle w:val="StandardWeb"/>
      </w:pPr>
      <w:r>
        <w:t>Die Forderung, jede funktionale Fusion müsse ihre Eingangskomponenten vollständig und eindeutig rekonstruierbar erhalten, ist keine universell notwendige Voraussetzung des allgemeinen FRZK.</w:t>
      </w:r>
    </w:p>
    <w:p w:rsidR="00E50336" w:rsidRDefault="00E50336" w:rsidP="00E50336">
      <w:pPr>
        <w:pStyle w:val="berschrift1"/>
      </w:pPr>
      <w:r>
        <w:t>[</w:t>
      </w:r>
      <w:r>
        <w:br/>
        <w:t>\boxed{</w:t>
      </w:r>
      <w:r>
        <w:br/>
        <w:t>U_{\mathrm{Ax}}</w:t>
      </w:r>
      <w:r>
        <w:br/>
        <w:t>(A_{\mathrm{rev-fus}})</w:t>
      </w:r>
    </w:p>
    <w:p w:rsidR="00E50336" w:rsidRDefault="00E50336" w:rsidP="009F7790">
      <w:pPr>
        <w:numPr>
          <w:ilvl w:val="0"/>
          <w:numId w:val="646"/>
        </w:numPr>
        <w:spacing w:before="100" w:beforeAutospacing="1" w:after="100" w:afterAutospacing="1"/>
      </w:pPr>
    </w:p>
    <w:p w:rsidR="00E50336" w:rsidRDefault="00E50336" w:rsidP="00E50336">
      <w:pPr>
        <w:pStyle w:val="StandardWeb"/>
      </w:pPr>
      <w:r>
        <w:t>}</w:t>
      </w:r>
      <w:r>
        <w:br/>
        <w:t>\tag{3.13338}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\boxed{U_{\mathrm{Ax}}(A_{\mathrm{rev-fus}})=0.}</w:t>
      </w:r>
    </w:p>
    <w:p w:rsidR="00E50336" w:rsidRDefault="00E50336" w:rsidP="00E50336">
      <w:r>
        <w:pict>
          <v:rect id="_x0000_i5144" style="width:0;height:1.5pt" o:hralign="center" o:hrstd="t" o:hr="t" fillcolor="#a0a0a0" stroked="f"/>
        </w:pict>
      </w:r>
    </w:p>
    <w:p w:rsidR="00E50336" w:rsidRDefault="00E50336" w:rsidP="00E50336">
      <w:pPr>
        <w:pStyle w:val="berschrift2"/>
      </w:pPr>
      <w:r>
        <w:t>3.3.51.63 Funktionale Zerlegung</w:t>
      </w:r>
    </w:p>
    <w:p w:rsidR="00E50336" w:rsidRDefault="00E50336" w:rsidP="00E50336">
      <w:pPr>
        <w:pStyle w:val="StandardWeb"/>
      </w:pPr>
      <w:r>
        <w:t>Zur Aggregation und Fusion gehört als Gegenrichtung die Zerlegung.</w:t>
      </w:r>
    </w:p>
    <w:p w:rsidR="00E50336" w:rsidRDefault="00E50336" w:rsidP="00E50336">
      <w:pPr>
        <w:pStyle w:val="StandardWeb"/>
      </w:pPr>
      <w:r>
        <w:t>Ich schreibe</w:t>
      </w:r>
    </w:p>
    <w:p w:rsidR="00E50336" w:rsidRDefault="00E50336" w:rsidP="00E50336">
      <w:pPr>
        <w:pStyle w:val="StandardWeb"/>
      </w:pPr>
      <w:r>
        <w:t>[</w:t>
      </w:r>
      <w:r>
        <w:br/>
        <w:t>\mathcal D_F</w:t>
      </w:r>
      <w:r>
        <w:br/>
        <w:t>:</w:t>
      </w:r>
      <w:r>
        <w:br/>
        <w:t>\mathcal X_F</w:t>
      </w:r>
      <w:r>
        <w:br/>
        <w:t>\rightarrow</w:t>
      </w:r>
      <w:r>
        <w:br/>
        <w:t>\mathcal P(\mathcal X_F).</w:t>
      </w:r>
      <w:r>
        <w:br/>
      </w:r>
      <w:r>
        <w:lastRenderedPageBreak/>
        <w:t>\tag{3.13339}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D_F:\mathcal X_F\rightarrow\mathcal P(\mathcal X_F)</w:t>
      </w:r>
    </w:p>
    <w:p w:rsidR="00E50336" w:rsidRDefault="00E50336" w:rsidP="00E50336">
      <w:r>
        <w:pict>
          <v:rect id="_x0000_i5145" style="width:0;height:1.5pt" o:hralign="center" o:hrstd="t" o:hr="t" fillcolor="#a0a0a0" stroked="f"/>
        </w:pict>
      </w:r>
    </w:p>
    <w:p w:rsidR="00E50336" w:rsidRDefault="00E50336" w:rsidP="00E50336">
      <w:pPr>
        <w:pStyle w:val="berschrift2"/>
      </w:pPr>
      <w:r>
        <w:t>3.3.51.64 Definition 3.3.537 – Funktionale Zerlegungsabbildung</w:t>
      </w:r>
    </w:p>
    <w:p w:rsidR="00E50336" w:rsidRDefault="00E50336" w:rsidP="00E50336">
      <w:pPr>
        <w:pStyle w:val="berschrift3"/>
      </w:pPr>
      <w:r>
        <w:t>Definition 3.3.537</w:t>
      </w:r>
    </w:p>
    <w:p w:rsidR="00E50336" w:rsidRDefault="00E50336" w:rsidP="00E50336">
      <w:pPr>
        <w:pStyle w:val="StandardWeb"/>
      </w:pPr>
      <w:r>
        <w:t xml:space="preserve">Eine </w:t>
      </w:r>
      <w:r>
        <w:rPr>
          <w:rStyle w:val="Fett"/>
        </w:rPr>
        <w:t>funktionale Zerlegungsabbildung</w:t>
      </w:r>
      <w:r>
        <w:t xml:space="preserve"> ist</w:t>
      </w:r>
    </w:p>
    <w:p w:rsidR="00E50336" w:rsidRDefault="00E50336" w:rsidP="00E50336">
      <w:pPr>
        <w:pStyle w:val="StandardWeb"/>
      </w:pPr>
      <w:r>
        <w:t>[</w:t>
      </w:r>
      <w:r>
        <w:br/>
        <w:t>\boxed{</w:t>
      </w:r>
      <w:r>
        <w:br/>
        <w:t>\mathcal D_F</w:t>
      </w:r>
      <w:r>
        <w:br/>
        <w:t>:</w:t>
      </w:r>
      <w:r>
        <w:br/>
        <w:t>\mathcal X_F</w:t>
      </w:r>
      <w:r>
        <w:br/>
        <w:t>\rightarrow</w:t>
      </w:r>
      <w:r>
        <w:br/>
        <w:t>\mathcal P(\mathcal X_F).</w:t>
      </w:r>
      <w:r>
        <w:br/>
        <w:t>}</w:t>
      </w:r>
      <w:r>
        <w:br/>
        <w:t>\tag{3.13340}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D_F:\mathcal X_F\rightarrow\mathcal P(\mathcal X_F).}</w:t>
      </w:r>
    </w:p>
    <w:p w:rsidR="00E50336" w:rsidRDefault="00E50336" w:rsidP="00E50336">
      <w:pPr>
        <w:pStyle w:val="StandardWeb"/>
      </w:pPr>
      <w:r>
        <w:t>Für</w:t>
      </w:r>
    </w:p>
    <w:p w:rsidR="00E50336" w:rsidRDefault="00E50336" w:rsidP="00E50336">
      <w:pPr>
        <w:pStyle w:val="berschrift1"/>
      </w:pPr>
      <w:r>
        <w:t>[</w:t>
      </w:r>
      <w:r>
        <w:br/>
        <w:t>\mathcal D_F(Z)</w:t>
      </w:r>
    </w:p>
    <w:p w:rsidR="00E50336" w:rsidRDefault="00E50336" w:rsidP="00E50336">
      <w:pPr>
        <w:pStyle w:val="StandardWeb"/>
      </w:pPr>
      <w:r>
        <w:t>{X_1,\ldots,X_n}</w:t>
      </w:r>
      <w:r>
        <w:br/>
        <w:t>\tag{3.13341}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D_F(Z)=\{X_1,\ldots,X_n\}</w:t>
      </w:r>
    </w:p>
    <w:p w:rsidR="00E50336" w:rsidRDefault="00E50336" w:rsidP="00E50336">
      <w:pPr>
        <w:pStyle w:val="StandardWeb"/>
      </w:pPr>
      <w:r>
        <w:t>interpretiere ich die Elemente (X_i) als modellabhängig definierte funktionale Komponenten von (Z).</w:t>
      </w:r>
    </w:p>
    <w:p w:rsidR="00E50336" w:rsidRDefault="00E50336" w:rsidP="00E50336">
      <w:r>
        <w:pict>
          <v:rect id="_x0000_i5146" style="width:0;height:1.5pt" o:hralign="center" o:hrstd="t" o:hr="t" fillcolor="#a0a0a0" stroked="f"/>
        </w:pict>
      </w:r>
    </w:p>
    <w:p w:rsidR="00E50336" w:rsidRDefault="00E50336" w:rsidP="00E50336">
      <w:pPr>
        <w:pStyle w:val="berschrift2"/>
      </w:pPr>
      <w:r>
        <w:t>3.3.51.65 Zerlegung ist nicht Mengeninklusion</w:t>
      </w:r>
    </w:p>
    <w:p w:rsidR="00E50336" w:rsidRDefault="00E50336" w:rsidP="00E50336">
      <w:pPr>
        <w:pStyle w:val="StandardWeb"/>
      </w:pPr>
      <w:r>
        <w:lastRenderedPageBreak/>
        <w:t>Aus</w:t>
      </w:r>
    </w:p>
    <w:p w:rsidR="00E50336" w:rsidRDefault="00E50336" w:rsidP="00E50336">
      <w:pPr>
        <w:pStyle w:val="StandardWeb"/>
      </w:pPr>
      <w:r>
        <w:t>[</w:t>
      </w:r>
      <w:r>
        <w:br/>
        <w:t>X</w:t>
      </w:r>
      <w:r>
        <w:br/>
        <w:t>\in</w:t>
      </w:r>
      <w:r>
        <w:br/>
        <w:t>\mathcal D_F(Z)</w:t>
      </w:r>
      <w:r>
        <w:br/>
        <w:t>\tag{3.13342}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X\in\mathcal D_F(Z)</w:t>
      </w:r>
    </w:p>
    <w:p w:rsidR="00E50336" w:rsidRDefault="00E50336" w:rsidP="00E50336">
      <w:pPr>
        <w:pStyle w:val="StandardWeb"/>
      </w:pPr>
      <w:r>
        <w:t>folgt nicht automatisch</w:t>
      </w:r>
    </w:p>
    <w:p w:rsidR="00E50336" w:rsidRDefault="00E50336" w:rsidP="00E50336">
      <w:pPr>
        <w:pStyle w:val="StandardWeb"/>
      </w:pPr>
      <w:r>
        <w:t>[</w:t>
      </w:r>
      <w:r>
        <w:br/>
        <w:t>X</w:t>
      </w:r>
      <w:r>
        <w:br/>
        <w:t>\subseteq</w:t>
      </w:r>
      <w:r>
        <w:br/>
        <w:t>Z.</w:t>
      </w:r>
      <w:r>
        <w:br/>
        <w:t>\tag{3.13343}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X\subseteq Z</w:t>
      </w:r>
    </w:p>
    <w:p w:rsidR="00E50336" w:rsidRDefault="00E50336" w:rsidP="00E50336">
      <w:pPr>
        <w:pStyle w:val="StandardWeb"/>
      </w:pPr>
      <w:r>
        <w:t>Denn (X) und (Z) können funktionale Theorieobjekte und keine Mengen im mengentheoretischen Sinn sein.</w:t>
      </w:r>
    </w:p>
    <w:p w:rsidR="00E50336" w:rsidRDefault="00E50336" w:rsidP="00E50336">
      <w:pPr>
        <w:pStyle w:val="StandardWeb"/>
      </w:pPr>
      <w:r>
        <w:t>Daher halte ich ausdrücklich fest:</w:t>
      </w:r>
    </w:p>
    <w:p w:rsidR="00E50336" w:rsidRDefault="00E50336" w:rsidP="00E50336">
      <w:pPr>
        <w:pStyle w:val="StandardWeb"/>
      </w:pPr>
      <w:r>
        <w:t>[</w:t>
      </w:r>
      <w:r>
        <w:br/>
        <w:t>\boxed{</w:t>
      </w:r>
      <w:r>
        <w:br/>
        <w:t>X\in\mathcal D_F(Z)</w:t>
      </w:r>
      <w:r>
        <w:br/>
        <w:t>\not\Rightarrow</w:t>
      </w:r>
      <w:r>
        <w:br/>
        <w:t>X\subseteq Z.</w:t>
      </w:r>
      <w:r>
        <w:br/>
        <w:t>}</w:t>
      </w:r>
      <w:r>
        <w:br/>
        <w:t>\tag{3.13344}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\boxed{X\in\mathcal D_F(Z)\not\Rightarrow X\subseteq Z.}</w:t>
      </w:r>
    </w:p>
    <w:p w:rsidR="00E50336" w:rsidRDefault="00E50336" w:rsidP="00E50336">
      <w:r>
        <w:pict>
          <v:rect id="_x0000_i5147" style="width:0;height:1.5pt" o:hralign="center" o:hrstd="t" o:hr="t" fillcolor="#a0a0a0" stroked="f"/>
        </w:pict>
      </w:r>
    </w:p>
    <w:p w:rsidR="00E50336" w:rsidRDefault="00E50336" w:rsidP="00E50336">
      <w:pPr>
        <w:pStyle w:val="berschrift2"/>
      </w:pPr>
      <w:r>
        <w:t>3.3.51.66 Rekonstruktive Zerlegung</w:t>
      </w:r>
    </w:p>
    <w:p w:rsidR="00E50336" w:rsidRDefault="00E50336" w:rsidP="00E50336">
      <w:pPr>
        <w:pStyle w:val="StandardWeb"/>
      </w:pPr>
      <w:r>
        <w:t>Eine Zerlegung kann mit einer Aggregation gekoppelt sein:</w:t>
      </w:r>
    </w:p>
    <w:p w:rsidR="00E50336" w:rsidRDefault="00E50336" w:rsidP="00E50336">
      <w:pPr>
        <w:pStyle w:val="berschrift1"/>
      </w:pPr>
      <w:r>
        <w:lastRenderedPageBreak/>
        <w:t>[</w:t>
      </w:r>
      <w:r>
        <w:br/>
        <w:t>\mathcal A_F</w:t>
      </w:r>
      <w:r>
        <w:br/>
        <w:t>\bigl(</w:t>
      </w:r>
      <w:r>
        <w:br/>
        <w:t>\mathcal D_F(Z)</w:t>
      </w:r>
      <w:r>
        <w:br/>
        <w:t>\bigr)</w:t>
      </w:r>
    </w:p>
    <w:p w:rsidR="00E50336" w:rsidRDefault="00E50336" w:rsidP="00E50336">
      <w:pPr>
        <w:pStyle w:val="StandardWeb"/>
      </w:pPr>
      <w:r>
        <w:t>Z.</w:t>
      </w:r>
      <w:r>
        <w:br/>
        <w:t>\tag{3.13345}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A_F\bigl(\mathcal D_F(Z)\bigr)=Z</w:t>
      </w:r>
    </w:p>
    <w:p w:rsidR="00E50336" w:rsidRDefault="00E50336" w:rsidP="00E50336">
      <w:r>
        <w:pict>
          <v:rect id="_x0000_i5148" style="width:0;height:1.5pt" o:hralign="center" o:hrstd="t" o:hr="t" fillcolor="#a0a0a0" stroked="f"/>
        </w:pict>
      </w:r>
    </w:p>
    <w:p w:rsidR="00E50336" w:rsidRDefault="00E50336" w:rsidP="00E50336">
      <w:pPr>
        <w:pStyle w:val="berschrift2"/>
      </w:pPr>
      <w:r>
        <w:t>3.3.51.67 Definition 3.3.538 – Rekonstruktive funktionale Zerlegung</w:t>
      </w:r>
    </w:p>
    <w:p w:rsidR="00E50336" w:rsidRDefault="00E50336" w:rsidP="00E50336">
      <w:pPr>
        <w:pStyle w:val="berschrift3"/>
      </w:pPr>
      <w:r>
        <w:t>Definition 3.3.538</w:t>
      </w:r>
    </w:p>
    <w:p w:rsidR="00E50336" w:rsidRDefault="00E50336" w:rsidP="00E50336">
      <w:pPr>
        <w:pStyle w:val="StandardWeb"/>
      </w:pPr>
      <w:r>
        <w:t xml:space="preserve">Eine Zerlegung heißt </w:t>
      </w:r>
      <w:r>
        <w:rPr>
          <w:rStyle w:val="Fett"/>
        </w:rPr>
        <w:t>rekonstruktiv bezüglich (\mathcal A_F)</w:t>
      </w:r>
      <w:r>
        <w:t>, wenn</w:t>
      </w:r>
    </w:p>
    <w:p w:rsidR="00E50336" w:rsidRDefault="00E50336" w:rsidP="00E50336">
      <w:pPr>
        <w:pStyle w:val="berschrift1"/>
      </w:pPr>
      <w:r>
        <w:t>[</w:t>
      </w:r>
      <w:r>
        <w:br/>
        <w:t>\boxed{</w:t>
      </w:r>
      <w:r>
        <w:br/>
        <w:t>\mathcal A_F</w:t>
      </w:r>
      <w:r>
        <w:br/>
        <w:t>\circ</w:t>
      </w:r>
      <w:r>
        <w:br/>
        <w:t>\mathcal D_F</w:t>
      </w:r>
    </w:p>
    <w:p w:rsidR="00E50336" w:rsidRDefault="00E50336" w:rsidP="00E50336">
      <w:pPr>
        <w:pStyle w:val="StandardWeb"/>
      </w:pPr>
      <w:r>
        <w:t>\operatorname{id}_{\mathcal X_F}.</w:t>
      </w:r>
      <w:r>
        <w:br/>
        <w:t>}</w:t>
      </w:r>
      <w:r>
        <w:br/>
        <w:t>\tag{3.13346}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A_F\circ\mathcal D_F=\operatorname{id}_{\mathcal X_F}.}</w:t>
      </w:r>
    </w:p>
    <w:p w:rsidR="00E50336" w:rsidRDefault="00E50336" w:rsidP="00E50336">
      <w:r>
        <w:pict>
          <v:rect id="_x0000_i5149" style="width:0;height:1.5pt" o:hralign="center" o:hrstd="t" o:hr="t" fillcolor="#a0a0a0" stroked="f"/>
        </w:pict>
      </w:r>
    </w:p>
    <w:p w:rsidR="00E50336" w:rsidRDefault="00E50336" w:rsidP="00E50336">
      <w:pPr>
        <w:pStyle w:val="berschrift2"/>
      </w:pPr>
      <w:r>
        <w:t>3.3.51.68 Nichtrekonstruktive Zerlegung</w:t>
      </w:r>
    </w:p>
    <w:p w:rsidR="00E50336" w:rsidRDefault="00E50336" w:rsidP="00E50336">
      <w:pPr>
        <w:pStyle w:val="StandardWeb"/>
      </w:pPr>
      <w:r>
        <w:t>Es kann jedoch</w:t>
      </w:r>
    </w:p>
    <w:p w:rsidR="00E50336" w:rsidRDefault="00E50336" w:rsidP="00E50336">
      <w:pPr>
        <w:pStyle w:val="StandardWeb"/>
      </w:pPr>
      <w:r>
        <w:lastRenderedPageBreak/>
        <w:t>[</w:t>
      </w:r>
      <w:r>
        <w:br/>
        <w:t>\mathcal A_F</w:t>
      </w:r>
      <w:r>
        <w:br/>
        <w:t>\bigl(</w:t>
      </w:r>
      <w:r>
        <w:br/>
        <w:t>\mathcal D_F(Z)</w:t>
      </w:r>
      <w:r>
        <w:br/>
        <w:t>\bigr)</w:t>
      </w:r>
      <w:r>
        <w:br/>
        <w:t>\neq</w:t>
      </w:r>
      <w:r>
        <w:br/>
        <w:t>Z</w:t>
      </w:r>
      <w:r>
        <w:br/>
        <w:t>\tag{3.13347}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A_F\bigl(\mathcal D_F(Z)\bigr)\neq Z</w:t>
      </w:r>
    </w:p>
    <w:p w:rsidR="00E50336" w:rsidRDefault="00E50336" w:rsidP="00E50336">
      <w:pPr>
        <w:pStyle w:val="StandardWeb"/>
      </w:pPr>
      <w:r>
        <w:t>gelten.</w:t>
      </w:r>
    </w:p>
    <w:p w:rsidR="00E50336" w:rsidRDefault="00E50336" w:rsidP="00E50336">
      <w:pPr>
        <w:pStyle w:val="StandardWeb"/>
      </w:pPr>
      <w:r>
        <w:t>Eine Zerlegung kann beispielsweise nur bestimmte funktionale Aspekte eines Objekts erfassen.</w:t>
      </w:r>
    </w:p>
    <w:p w:rsidR="00E50336" w:rsidRDefault="00E50336" w:rsidP="00E50336">
      <w:r>
        <w:pict>
          <v:rect id="_x0000_i5150" style="width:0;height:1.5pt" o:hralign="center" o:hrstd="t" o:hr="t" fillcolor="#a0a0a0" stroked="f"/>
        </w:pict>
      </w:r>
    </w:p>
    <w:p w:rsidR="00E50336" w:rsidRDefault="00E50336" w:rsidP="00E50336">
      <w:pPr>
        <w:pStyle w:val="berschrift2"/>
      </w:pPr>
      <w:r>
        <w:t>3.3.51.69 Rekonstruktivität als Primäraxiomkandidat</w:t>
      </w:r>
    </w:p>
    <w:p w:rsidR="00E50336" w:rsidRDefault="00E50336" w:rsidP="00E50336">
      <w:pPr>
        <w:pStyle w:val="StandardWeb"/>
      </w:pPr>
      <w:r>
        <w:t>Ein möglicher Kandidat wäre</w:t>
      </w:r>
    </w:p>
    <w:p w:rsidR="00E50336" w:rsidRDefault="00E50336" w:rsidP="00E50336">
      <w:pPr>
        <w:pStyle w:val="berschrift1"/>
      </w:pPr>
      <w:r>
        <w:t>[</w:t>
      </w:r>
      <w:r>
        <w:br/>
        <w:t>A_{\mathrm{recon-dec}}</w:t>
      </w:r>
      <w:r>
        <w:br/>
        <w:t>:</w:t>
      </w:r>
      <w:r>
        <w:br/>
        <w:t>\mathcal A_F</w:t>
      </w:r>
      <w:r>
        <w:br/>
        <w:t>\circ</w:t>
      </w:r>
      <w:r>
        <w:br/>
        <w:t>\mathcal D_F</w:t>
      </w:r>
    </w:p>
    <w:p w:rsidR="00E50336" w:rsidRDefault="00E50336" w:rsidP="00E50336">
      <w:pPr>
        <w:pStyle w:val="StandardWeb"/>
      </w:pPr>
      <w:r>
        <w:t>\operatorname{id}.</w:t>
      </w:r>
      <w:r>
        <w:br/>
        <w:t>\tag{3.13348}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A_{\mathrm{recon-dec}}:\mathcal A_F\circ\mathcal D_F=\operatorname{id}</w:t>
      </w:r>
    </w:p>
    <w:p w:rsidR="00E50336" w:rsidRDefault="00E50336" w:rsidP="00E50336">
      <w:r>
        <w:pict>
          <v:rect id="_x0000_i5151" style="width:0;height:1.5pt" o:hralign="center" o:hrstd="t" o:hr="t" fillcolor="#a0a0a0" stroked="f"/>
        </w:pict>
      </w:r>
    </w:p>
    <w:p w:rsidR="00E50336" w:rsidRDefault="00E50336" w:rsidP="00E50336">
      <w:pPr>
        <w:pStyle w:val="berschrift2"/>
      </w:pPr>
      <w:r>
        <w:t>3.3.51.70 Axiomentscheidung zur rekonstruktiven Zerlegung</w:t>
      </w:r>
    </w:p>
    <w:p w:rsidR="00E50336" w:rsidRDefault="00E50336" w:rsidP="00E50336">
      <w:pPr>
        <w:pStyle w:val="StandardWeb"/>
      </w:pPr>
      <w:r>
        <w:t>Da nichtrekonstruktive Zerlegungen zulässig sind, folgt</w:t>
      </w:r>
    </w:p>
    <w:p w:rsidR="00E50336" w:rsidRDefault="00E50336" w:rsidP="00E50336">
      <w:pPr>
        <w:pStyle w:val="berschrift1"/>
      </w:pPr>
      <w:r>
        <w:lastRenderedPageBreak/>
        <w:t>[</w:t>
      </w:r>
      <w:r>
        <w:br/>
        <w:t>\boxed{</w:t>
      </w:r>
      <w:r>
        <w:br/>
        <w:t>U_{\mathrm{Ax}}</w:t>
      </w:r>
      <w:r>
        <w:br/>
        <w:t>(A_{\mathrm{recon-dec}})</w:t>
      </w:r>
    </w:p>
    <w:p w:rsidR="00E50336" w:rsidRDefault="00E50336" w:rsidP="009F7790">
      <w:pPr>
        <w:numPr>
          <w:ilvl w:val="0"/>
          <w:numId w:val="647"/>
        </w:numPr>
        <w:spacing w:before="100" w:beforeAutospacing="1" w:after="100" w:afterAutospacing="1"/>
      </w:pPr>
    </w:p>
    <w:p w:rsidR="00E50336" w:rsidRDefault="00E50336" w:rsidP="00E50336">
      <w:pPr>
        <w:pStyle w:val="StandardWeb"/>
      </w:pPr>
      <w:r>
        <w:t>}</w:t>
      </w:r>
      <w:r>
        <w:br/>
        <w:t>\tag{3.13349}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\boxed{U_{\mathrm{Ax}}(A_{\mathrm{recon-dec}})=0.}</w:t>
      </w:r>
    </w:p>
    <w:p w:rsidR="00E50336" w:rsidRDefault="00E50336" w:rsidP="00E50336">
      <w:r>
        <w:pict>
          <v:rect id="_x0000_i5152" style="width:0;height:1.5pt" o:hralign="center" o:hrstd="t" o:hr="t" fillcolor="#a0a0a0" stroked="f"/>
        </w:pict>
      </w:r>
    </w:p>
    <w:p w:rsidR="00E50336" w:rsidRDefault="00E50336" w:rsidP="00E50336">
      <w:pPr>
        <w:pStyle w:val="berschrift2"/>
      </w:pPr>
      <w:r>
        <w:t>3.3.51.71 Satz 3.3.209 – Rekonstruktive Zerlegung ist kein Primäraxiom</w:t>
      </w:r>
    </w:p>
    <w:p w:rsidR="00E50336" w:rsidRDefault="00E50336" w:rsidP="00E50336">
      <w:pPr>
        <w:pStyle w:val="berschrift3"/>
      </w:pPr>
      <w:r>
        <w:t>Satz 3.3.209</w:t>
      </w:r>
    </w:p>
    <w:p w:rsidR="00E50336" w:rsidRDefault="00E50336" w:rsidP="00E50336">
      <w:pPr>
        <w:pStyle w:val="StandardWeb"/>
      </w:pPr>
      <w:r>
        <w:t>Die Forderung, jede funktionale Zerlegung müsse durch eine Aggregationsoperation exakt zum Ausgangsobjekt rekonstruierbar sein, ist keine universell notwendige Voraussetzung des allgemeinen FRZK.</w:t>
      </w:r>
    </w:p>
    <w:p w:rsidR="00E50336" w:rsidRDefault="00E50336" w:rsidP="00E50336">
      <w:pPr>
        <w:pStyle w:val="berschrift1"/>
      </w:pPr>
      <w:r>
        <w:t>[</w:t>
      </w:r>
      <w:r>
        <w:br/>
        <w:t>\boxed{</w:t>
      </w:r>
      <w:r>
        <w:br/>
        <w:t>U_{\mathrm{Ax}}</w:t>
      </w:r>
      <w:r>
        <w:br/>
        <w:t>(A_{\mathrm{recon-dec}})</w:t>
      </w:r>
    </w:p>
    <w:p w:rsidR="00E50336" w:rsidRDefault="00E50336" w:rsidP="009F7790">
      <w:pPr>
        <w:numPr>
          <w:ilvl w:val="0"/>
          <w:numId w:val="648"/>
        </w:numPr>
        <w:spacing w:before="100" w:beforeAutospacing="1" w:after="100" w:afterAutospacing="1"/>
      </w:pPr>
    </w:p>
    <w:p w:rsidR="00E50336" w:rsidRDefault="00E50336" w:rsidP="00E50336">
      <w:pPr>
        <w:pStyle w:val="StandardWeb"/>
      </w:pPr>
      <w:r>
        <w:t>}</w:t>
      </w:r>
      <w:r>
        <w:br/>
        <w:t>\tag{3.13350}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\boxed{U_{\mathrm{Ax}}(A_{\mathrm{recon-dec}})=0.}</w:t>
      </w:r>
    </w:p>
    <w:p w:rsidR="00E50336" w:rsidRDefault="00E50336" w:rsidP="00E50336">
      <w:r>
        <w:pict>
          <v:rect id="_x0000_i5153" style="width:0;height:1.5pt" o:hralign="center" o:hrstd="t" o:hr="t" fillcolor="#a0a0a0" stroked="f"/>
        </w:pict>
      </w:r>
    </w:p>
    <w:p w:rsidR="00E50336" w:rsidRDefault="00E50336" w:rsidP="00E50336">
      <w:pPr>
        <w:pStyle w:val="berschrift2"/>
      </w:pPr>
      <w:r>
        <w:t>3.3.51.72 Mehrdeutige Zerlegung</w:t>
      </w:r>
    </w:p>
    <w:p w:rsidR="00E50336" w:rsidRDefault="00E50336" w:rsidP="00E50336">
      <w:pPr>
        <w:pStyle w:val="StandardWeb"/>
      </w:pPr>
      <w:r>
        <w:t>Ein Objekt kann mehrere zulässige Zerlegungen besitzen:</w:t>
      </w:r>
    </w:p>
    <w:p w:rsidR="00E50336" w:rsidRDefault="00E50336" w:rsidP="00E50336">
      <w:pPr>
        <w:pStyle w:val="StandardWeb"/>
      </w:pPr>
      <w:r>
        <w:lastRenderedPageBreak/>
        <w:t>[</w:t>
      </w:r>
      <w:r>
        <w:br/>
        <w:t>\mathcal D_{F,1}(Z)</w:t>
      </w:r>
      <w:r>
        <w:br/>
        <w:t>\neq</w:t>
      </w:r>
      <w:r>
        <w:br/>
        <w:t>\mathcal D_{F,2}(Z).</w:t>
      </w:r>
      <w:r>
        <w:br/>
        <w:t>\tag{3.13351}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D_{F,1}(Z)\neq\mathcal D_{F,2}(Z)</w:t>
      </w:r>
    </w:p>
    <w:p w:rsidR="00E50336" w:rsidRDefault="00E50336" w:rsidP="00E50336">
      <w:r>
        <w:pict>
          <v:rect id="_x0000_i5154" style="width:0;height:1.5pt" o:hralign="center" o:hrstd="t" o:hr="t" fillcolor="#a0a0a0" stroked="f"/>
        </w:pict>
      </w:r>
    </w:p>
    <w:p w:rsidR="00E50336" w:rsidRDefault="00E50336" w:rsidP="00E50336">
      <w:pPr>
        <w:pStyle w:val="berschrift2"/>
      </w:pPr>
      <w:r>
        <w:t>3.3.51.73 Definition 3.3.539 – Funktionale Zerlegungsmehrdeutigkeit</w:t>
      </w:r>
    </w:p>
    <w:p w:rsidR="00E50336" w:rsidRDefault="00E50336" w:rsidP="00E50336">
      <w:pPr>
        <w:pStyle w:val="berschrift3"/>
      </w:pPr>
      <w:r>
        <w:t>Definition 3.3.539</w:t>
      </w:r>
    </w:p>
    <w:p w:rsidR="00E50336" w:rsidRDefault="00E50336" w:rsidP="00E50336">
      <w:pPr>
        <w:pStyle w:val="StandardWeb"/>
      </w:pPr>
      <w:r>
        <w:t xml:space="preserve">Ein funktionales Objekt (Z) besitzt </w:t>
      </w:r>
      <w:r>
        <w:rPr>
          <w:rStyle w:val="Fett"/>
        </w:rPr>
        <w:t>Zerlegungsmehrdeutigkeit</w:t>
      </w:r>
      <w:r>
        <w:t>, wenn</w:t>
      </w:r>
    </w:p>
    <w:p w:rsidR="00E50336" w:rsidRDefault="00E50336" w:rsidP="00E50336">
      <w:pPr>
        <w:pStyle w:val="StandardWeb"/>
      </w:pPr>
      <w:r>
        <w:t>[</w:t>
      </w:r>
      <w:r>
        <w:br/>
        <w:t>\boxed{</w:t>
      </w:r>
      <w:r>
        <w:br/>
        <w:t>\exists</w:t>
      </w:r>
      <w:r>
        <w:br/>
        <w:t>\mathcal D_{F,1}</w:t>
      </w:r>
      <w:r>
        <w:br/>
        <w:t>\neq</w:t>
      </w:r>
      <w:r>
        <w:br/>
        <w:t>\mathcal D_{F,2}</w:t>
      </w:r>
      <w:r>
        <w:br/>
        <w:t>:</w:t>
      </w:r>
      <w:r>
        <w:br/>
        <w:t>\mathcal D_{F,1}(Z)</w:t>
      </w:r>
      <w:r>
        <w:br/>
        <w:t>\neq</w:t>
      </w:r>
      <w:r>
        <w:br/>
        <w:t>\mathcal D_{F,2}(Z).</w:t>
      </w:r>
      <w:r>
        <w:br/>
        <w:t>}</w:t>
      </w:r>
      <w:r>
        <w:br/>
        <w:t>\tag{3.13352}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\boxed{\exists\mathcal D_{F,1}\neq\mathcal D_{F,2}:\mathcal D_{F,1}(Z)\neq\mathcal D_{F,2}(Z).}</w:t>
      </w:r>
    </w:p>
    <w:p w:rsidR="00E50336" w:rsidRDefault="00E50336" w:rsidP="00E50336">
      <w:r>
        <w:pict>
          <v:rect id="_x0000_i5155" style="width:0;height:1.5pt" o:hralign="center" o:hrstd="t" o:hr="t" fillcolor="#a0a0a0" stroked="f"/>
        </w:pict>
      </w:r>
    </w:p>
    <w:p w:rsidR="00E50336" w:rsidRDefault="00E50336" w:rsidP="00E50336">
      <w:pPr>
        <w:pStyle w:val="berschrift2"/>
      </w:pPr>
      <w:r>
        <w:t>3.3.51.74 Eindeutige Zerlegung als Primäraxiomkandidat</w:t>
      </w:r>
    </w:p>
    <w:p w:rsidR="00E50336" w:rsidRDefault="00E50336" w:rsidP="00E50336">
      <w:pPr>
        <w:pStyle w:val="StandardWeb"/>
      </w:pPr>
      <w:r>
        <w:t>Ein möglicher Kandidat wäre</w:t>
      </w:r>
    </w:p>
    <w:p w:rsidR="00E50336" w:rsidRDefault="00E50336" w:rsidP="00E50336">
      <w:pPr>
        <w:pStyle w:val="StandardWeb"/>
      </w:pPr>
      <w:r>
        <w:t>[</w:t>
      </w:r>
      <w:r>
        <w:br/>
        <w:t>A_{\mathrm{uniq-dec}}</w:t>
      </w:r>
      <w:r>
        <w:br/>
        <w:t>:</w:t>
      </w:r>
      <w:r>
        <w:br/>
        <w:t>\exists!</w:t>
      </w:r>
      <w:r>
        <w:br/>
        <w:t>\mathcal D_F(Z)</w:t>
      </w:r>
      <w:r>
        <w:br/>
        <w:t>\quad</w:t>
      </w:r>
      <w:r>
        <w:br/>
        <w:t>\forall Z.</w:t>
      </w:r>
      <w:r>
        <w:br/>
      </w:r>
      <w:r>
        <w:lastRenderedPageBreak/>
        <w:t>\tag{3.13353}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A_{\mathrm{uniq-dec}}:\exists!\mathcal D_F(Z)\quad\forall Z</w:t>
      </w:r>
    </w:p>
    <w:p w:rsidR="00E50336" w:rsidRDefault="00E50336" w:rsidP="00E50336">
      <w:r>
        <w:pict>
          <v:rect id="_x0000_i5156" style="width:0;height:1.5pt" o:hralign="center" o:hrstd="t" o:hr="t" fillcolor="#a0a0a0" stroked="f"/>
        </w:pict>
      </w:r>
    </w:p>
    <w:p w:rsidR="00E50336" w:rsidRDefault="00E50336" w:rsidP="00E50336">
      <w:pPr>
        <w:pStyle w:val="berschrift2"/>
      </w:pPr>
      <w:r>
        <w:t>3.3.51.75 Gegenmodell</w:t>
      </w:r>
    </w:p>
    <w:p w:rsidR="00E50336" w:rsidRDefault="00E50336" w:rsidP="00E50336">
      <w:pPr>
        <w:pStyle w:val="StandardWeb"/>
      </w:pPr>
      <w:r>
        <w:t>Ein Objekt kann bezüglich zweier verschiedener Kriterien zerlegt werden:</w:t>
      </w:r>
    </w:p>
    <w:p w:rsidR="00E50336" w:rsidRDefault="00E50336" w:rsidP="00E50336">
      <w:pPr>
        <w:pStyle w:val="StandardWeb"/>
      </w:pPr>
      <w:r>
        <w:t>[</w:t>
      </w:r>
      <w:r>
        <w:br/>
        <w:t>\mathcal D_F^{(a)}(Z)</w:t>
      </w:r>
      <w:r>
        <w:br/>
        <w:t>\neq</w:t>
      </w:r>
      <w:r>
        <w:br/>
        <w:t>\mathcal D_F^{(b)}(Z).</w:t>
      </w:r>
      <w:r>
        <w:br/>
        <w:t>\tag{3.13354}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D_F^{(a)}(Z)\neq\mathcal D_F^{(b)}(Z)</w:t>
      </w:r>
    </w:p>
    <w:p w:rsidR="00E50336" w:rsidRDefault="00E50336" w:rsidP="00E50336">
      <w:pPr>
        <w:pStyle w:val="StandardWeb"/>
      </w:pPr>
      <w:r>
        <w:t>Beide Zerlegungen können innerhalb ihrer jeweiligen Modellbedeutung gültig sein.</w:t>
      </w:r>
    </w:p>
    <w:p w:rsidR="00E50336" w:rsidRDefault="00E50336" w:rsidP="00E50336">
      <w:r>
        <w:pict>
          <v:rect id="_x0000_i5157" style="width:0;height:1.5pt" o:hralign="center" o:hrstd="t" o:hr="t" fillcolor="#a0a0a0" stroked="f"/>
        </w:pict>
      </w:r>
    </w:p>
    <w:p w:rsidR="00E50336" w:rsidRDefault="00E50336" w:rsidP="00E50336">
      <w:pPr>
        <w:pStyle w:val="berschrift2"/>
      </w:pPr>
      <w:r>
        <w:t>3.3.51.76 Axiomentscheidung zur eindeutigen Zerlegung</w:t>
      </w:r>
    </w:p>
    <w:p w:rsidR="00E50336" w:rsidRDefault="00E50336" w:rsidP="00E50336">
      <w:pPr>
        <w:pStyle w:val="StandardWeb"/>
      </w:pPr>
      <w:r>
        <w:t>Damit gilt</w:t>
      </w:r>
    </w:p>
    <w:p w:rsidR="00E50336" w:rsidRDefault="00E50336" w:rsidP="00E50336">
      <w:pPr>
        <w:pStyle w:val="berschrift1"/>
      </w:pPr>
      <w:r>
        <w:t>[</w:t>
      </w:r>
      <w:r>
        <w:br/>
        <w:t>\boxed{</w:t>
      </w:r>
      <w:r>
        <w:br/>
        <w:t>U_{\mathrm{Ax}}</w:t>
      </w:r>
      <w:r>
        <w:br/>
        <w:t>(A_{\mathrm{uniq-dec}})</w:t>
      </w:r>
    </w:p>
    <w:p w:rsidR="00E50336" w:rsidRDefault="00E50336" w:rsidP="009F7790">
      <w:pPr>
        <w:numPr>
          <w:ilvl w:val="0"/>
          <w:numId w:val="649"/>
        </w:numPr>
        <w:spacing w:before="100" w:beforeAutospacing="1" w:after="100" w:afterAutospacing="1"/>
      </w:pPr>
    </w:p>
    <w:p w:rsidR="00E50336" w:rsidRDefault="00E50336" w:rsidP="00E50336">
      <w:pPr>
        <w:pStyle w:val="StandardWeb"/>
      </w:pPr>
      <w:r>
        <w:t>}</w:t>
      </w:r>
      <w:r>
        <w:br/>
        <w:t>\tag{3.13355}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\boxed{U_{\mathrm{Ax}}(A_{\mathrm{uniq-dec}})=0.}</w:t>
      </w:r>
    </w:p>
    <w:p w:rsidR="00E50336" w:rsidRDefault="00E50336" w:rsidP="00E50336">
      <w:r>
        <w:pict>
          <v:rect id="_x0000_i5158" style="width:0;height:1.5pt" o:hralign="center" o:hrstd="t" o:hr="t" fillcolor="#a0a0a0" stroked="f"/>
        </w:pict>
      </w:r>
    </w:p>
    <w:p w:rsidR="00E50336" w:rsidRDefault="00E50336" w:rsidP="00E50336">
      <w:pPr>
        <w:pStyle w:val="berschrift2"/>
      </w:pPr>
      <w:r>
        <w:lastRenderedPageBreak/>
        <w:t>3.3.51.77 Satz 3.3.210 – Eindeutige funktionale Zerlegung ist kein Primäraxiom</w:t>
      </w:r>
    </w:p>
    <w:p w:rsidR="00E50336" w:rsidRDefault="00E50336" w:rsidP="00E50336">
      <w:pPr>
        <w:pStyle w:val="berschrift3"/>
      </w:pPr>
      <w:r>
        <w:t>Satz 3.3.210</w:t>
      </w:r>
    </w:p>
    <w:p w:rsidR="00E50336" w:rsidRDefault="00E50336" w:rsidP="00E50336">
      <w:pPr>
        <w:pStyle w:val="StandardWeb"/>
      </w:pPr>
      <w:r>
        <w:t>Die Forderung, jedes funktionale Objekt müsse genau eine eindeutige Zerlegung besitzen, ist keine universell notwendige Voraussetzung des allgemeinen FRZK.</w:t>
      </w:r>
    </w:p>
    <w:p w:rsidR="00E50336" w:rsidRDefault="00E50336" w:rsidP="00E50336">
      <w:pPr>
        <w:pStyle w:val="berschrift1"/>
      </w:pPr>
      <w:r>
        <w:t>[</w:t>
      </w:r>
      <w:r>
        <w:br/>
        <w:t>\boxed{</w:t>
      </w:r>
      <w:r>
        <w:br/>
        <w:t>U_{\mathrm{Ax}}</w:t>
      </w:r>
      <w:r>
        <w:br/>
        <w:t>(A_{\mathrm{uniq-dec}})</w:t>
      </w:r>
    </w:p>
    <w:p w:rsidR="00E50336" w:rsidRDefault="00E50336" w:rsidP="009F7790">
      <w:pPr>
        <w:numPr>
          <w:ilvl w:val="0"/>
          <w:numId w:val="650"/>
        </w:numPr>
        <w:spacing w:before="100" w:beforeAutospacing="1" w:after="100" w:afterAutospacing="1"/>
      </w:pPr>
    </w:p>
    <w:p w:rsidR="00E50336" w:rsidRDefault="00E50336" w:rsidP="00E50336">
      <w:pPr>
        <w:pStyle w:val="StandardWeb"/>
      </w:pPr>
      <w:r>
        <w:t>}</w:t>
      </w:r>
      <w:r>
        <w:br/>
        <w:t>\tag{3.13356}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\boxed{U_{\mathrm{Ax}}(A_{\mathrm{uniq-dec}})=0.}</w:t>
      </w:r>
    </w:p>
    <w:p w:rsidR="00E50336" w:rsidRDefault="00E50336" w:rsidP="00E50336">
      <w:r>
        <w:pict>
          <v:rect id="_x0000_i5159" style="width:0;height:1.5pt" o:hralign="center" o:hrstd="t" o:hr="t" fillcolor="#a0a0a0" stroked="f"/>
        </w:pict>
      </w:r>
    </w:p>
    <w:p w:rsidR="00E50336" w:rsidRDefault="00E50336" w:rsidP="00E50336">
      <w:pPr>
        <w:pStyle w:val="berschrift2"/>
      </w:pPr>
      <w:r>
        <w:t>3.3.51.78 Hierarchische Zerlegung</w:t>
      </w:r>
    </w:p>
    <w:p w:rsidR="00E50336" w:rsidRDefault="00E50336" w:rsidP="00E50336">
      <w:pPr>
        <w:pStyle w:val="StandardWeb"/>
      </w:pPr>
      <w:r>
        <w:t>Eine Zerlegung kann rekursiv fortgesetzt werden:</w:t>
      </w:r>
    </w:p>
    <w:p w:rsidR="00E50336" w:rsidRDefault="00E50336" w:rsidP="00E50336">
      <w:pPr>
        <w:pStyle w:val="StandardWeb"/>
      </w:pPr>
      <w:r>
        <w:t>[</w:t>
      </w:r>
      <w:r>
        <w:br/>
        <w:t>Z</w:t>
      </w:r>
      <w:r>
        <w:br/>
        <w:t>\mapsto</w:t>
      </w:r>
      <w:r>
        <w:br/>
        <w:t>{X_1,\ldots,X_n}</w:t>
      </w:r>
      <w:r>
        <w:br/>
        <w:t>\tag{3.13357}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Z\mapsto\{X_1,\ldots,X_n\}</w:t>
      </w:r>
    </w:p>
    <w:p w:rsidR="00E50336" w:rsidRDefault="00E50336" w:rsidP="00E50336">
      <w:pPr>
        <w:pStyle w:val="StandardWeb"/>
      </w:pPr>
      <w:r>
        <w:t>und für einzelne Komponenten wiederum</w:t>
      </w:r>
    </w:p>
    <w:p w:rsidR="00E50336" w:rsidRDefault="00E50336" w:rsidP="00E50336">
      <w:pPr>
        <w:pStyle w:val="StandardWeb"/>
      </w:pPr>
      <w:r>
        <w:t>[</w:t>
      </w:r>
      <w:r>
        <w:br/>
        <w:t>X_i</w:t>
      </w:r>
      <w:r>
        <w:br/>
        <w:t>\mapsto</w:t>
      </w:r>
      <w:r>
        <w:br/>
        <w:t>{X_{i1},\ldots,X_{ik_i}}.</w:t>
      </w:r>
      <w:r>
        <w:br/>
        <w:t>\tag{3.13358}</w:t>
      </w:r>
      <w:r>
        <w:br/>
        <w:t>]</w:t>
      </w:r>
    </w:p>
    <w:p w:rsidR="00E50336" w:rsidRDefault="00E50336" w:rsidP="00E50336">
      <w:pPr>
        <w:pStyle w:val="StandardWeb"/>
      </w:pPr>
      <w:r>
        <w:rPr>
          <w:rStyle w:val="Fett"/>
        </w:rPr>
        <w:lastRenderedPageBreak/>
        <w:t>Word-LaTeX</w:t>
      </w:r>
    </w:p>
    <w:p w:rsidR="00E50336" w:rsidRDefault="00E50336" w:rsidP="00E50336">
      <w:pPr>
        <w:pStyle w:val="HTMLVorformatiert"/>
        <w:rPr>
          <w:rStyle w:val="HTMLCode"/>
        </w:rPr>
      </w:pPr>
      <w:r>
        <w:rPr>
          <w:rStyle w:val="HTMLCode"/>
        </w:rPr>
        <w:t>X_i\mapsto\{X_{i1},\ldots,X_{ik_i}\}</w:t>
      </w:r>
    </w:p>
    <w:p w:rsidR="00E50336" w:rsidRDefault="00E50336" w:rsidP="00E50336">
      <w:r>
        <w:pict>
          <v:rect id="_x0000_i5160" style="width:0;height:1.5pt" o:hralign="center" o:hrstd="t" o:hr="t" fillcolor="#a0a0a0" stroked="f"/>
        </w:pict>
      </w:r>
    </w:p>
    <w:p w:rsidR="00E50336" w:rsidRDefault="00E50336" w:rsidP="00E50336">
      <w:pPr>
        <w:pStyle w:val="berschrift2"/>
      </w:pPr>
      <w:r>
        <w:t>3.3.51.79 Definition 3.3.540 – Hierarchische funktionale Zerlegung</w:t>
      </w:r>
    </w:p>
    <w:p w:rsidR="00E50336" w:rsidRDefault="00E50336" w:rsidP="00E50336">
      <w:pPr>
        <w:pStyle w:val="berschrift3"/>
      </w:pPr>
      <w:r>
        <w:t>Definition 3.3.540</w:t>
      </w:r>
    </w:p>
    <w:p w:rsidR="00E50336" w:rsidRDefault="00E50336" w:rsidP="00E50336">
      <w:pPr>
        <w:pStyle w:val="StandardWeb"/>
      </w:pPr>
      <w:r>
        <w:t xml:space="preserve">Eine funktionale Zerlegung heißt </w:t>
      </w:r>
      <w:r>
        <w:rPr>
          <w:rStyle w:val="Fett"/>
        </w:rPr>
        <w:t>hierarchisch</w:t>
      </w:r>
      <w:r>
        <w:t>, wenn mindestens eine ihrer Komponenten erneut zerlegt wird:</w:t>
      </w:r>
    </w:p>
    <w:p w:rsidR="00E50336" w:rsidRDefault="00E50336" w:rsidP="00E50336">
      <w:pPr>
        <w:pStyle w:val="StandardWeb"/>
      </w:pPr>
      <w:r>
        <w:t>[</w:t>
      </w:r>
      <w:r>
        <w:br/>
        <w:t>\boxed{</w:t>
      </w:r>
      <w:r>
        <w:br/>
        <w:t>X_i</w:t>
      </w:r>
      <w:r>
        <w:br/>
        <w:t>\in</w:t>
      </w:r>
      <w:r>
        <w:br/>
        <w:t>\mathcal D_F(Z)</w:t>
      </w:r>
      <w:r>
        <w:br/>
        <w:t>\land</w:t>
      </w:r>
      <w:r>
        <w:br/>
        <w:t>\mathcal D_F(X_i)</w:t>
      </w:r>
      <w:r>
        <w:br/>
        <w:t>\neq</w:t>
      </w:r>
      <w:r>
        <w:br/>
        <w:t>\varnothing.</w:t>
      </w:r>
      <w:r>
        <w:br/>
        <w:t>}</w:t>
      </w:r>
      <w:r>
        <w:br/>
        <w:t>\tag{3.13359}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\boxed{X_i\in\mathcal D_F(Z)\land\mathcal D_F(X_i)\neq\varnothing.}</w:t>
      </w:r>
    </w:p>
    <w:p w:rsidR="00E50336" w:rsidRDefault="00E50336" w:rsidP="00E50336">
      <w:r>
        <w:pict>
          <v:rect id="_x0000_i5161" style="width:0;height:1.5pt" o:hralign="center" o:hrstd="t" o:hr="t" fillcolor="#a0a0a0" stroked="f"/>
        </w:pict>
      </w:r>
    </w:p>
    <w:p w:rsidR="00E50336" w:rsidRDefault="00E50336" w:rsidP="00E50336">
      <w:pPr>
        <w:pStyle w:val="berschrift2"/>
      </w:pPr>
      <w:r>
        <w:t>3.3.51.80 Zerlegungstiefe</w:t>
      </w:r>
    </w:p>
    <w:p w:rsidR="00E50336" w:rsidRDefault="00E50336" w:rsidP="00E50336">
      <w:pPr>
        <w:pStyle w:val="StandardWeb"/>
      </w:pPr>
      <w:r>
        <w:t>Für eine hierarchische Zerlegung kann ich eine Tiefe</w:t>
      </w:r>
    </w:p>
    <w:p w:rsidR="00E50336" w:rsidRDefault="00E50336" w:rsidP="00E50336">
      <w:pPr>
        <w:pStyle w:val="StandardWeb"/>
      </w:pPr>
      <w:r>
        <w:t>[</w:t>
      </w:r>
      <w:r>
        <w:br/>
        <w:t>d_F(Z)</w:t>
      </w:r>
      <w:r>
        <w:br/>
        <w:t>\in</w:t>
      </w:r>
      <w:r>
        <w:br/>
        <w:t>\mathbb N_0</w:t>
      </w:r>
      <w:r>
        <w:br/>
        <w:t>\tag{3.13360}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d_F(Z)\in\mathbb N_0</w:t>
      </w:r>
    </w:p>
    <w:p w:rsidR="00E50336" w:rsidRDefault="00E50336" w:rsidP="00E50336">
      <w:pPr>
        <w:pStyle w:val="StandardWeb"/>
      </w:pPr>
      <w:r>
        <w:t>definieren.</w:t>
      </w:r>
    </w:p>
    <w:p w:rsidR="00E50336" w:rsidRDefault="00E50336" w:rsidP="00E50336">
      <w:r>
        <w:pict>
          <v:rect id="_x0000_i5162" style="width:0;height:1.5pt" o:hralign="center" o:hrstd="t" o:hr="t" fillcolor="#a0a0a0" stroked="f"/>
        </w:pict>
      </w:r>
    </w:p>
    <w:p w:rsidR="00E50336" w:rsidRDefault="00E50336" w:rsidP="00E50336">
      <w:pPr>
        <w:pStyle w:val="berschrift2"/>
      </w:pPr>
      <w:r>
        <w:lastRenderedPageBreak/>
        <w:t>3.3.51.81 Definition 3.3.541 – Funktionale Zerlegungstiefe</w:t>
      </w:r>
    </w:p>
    <w:p w:rsidR="00E50336" w:rsidRDefault="00E50336" w:rsidP="00E50336">
      <w:pPr>
        <w:pStyle w:val="berschrift3"/>
      </w:pPr>
      <w:r>
        <w:t>Definition 3.3.541</w:t>
      </w:r>
    </w:p>
    <w:p w:rsidR="00E50336" w:rsidRDefault="00E50336" w:rsidP="00E50336">
      <w:pPr>
        <w:pStyle w:val="StandardWeb"/>
      </w:pPr>
      <w:r>
        <w:t xml:space="preserve">Die </w:t>
      </w:r>
      <w:r>
        <w:rPr>
          <w:rStyle w:val="Fett"/>
        </w:rPr>
        <w:t>funktionale Zerlegungstiefe</w:t>
      </w:r>
      <w:r>
        <w:t xml:space="preserve"> (d_F(Z)) ist die maximale Anzahl aufeinanderfolgender zulässiger Zerlegungsschritte innerhalb der gewählten Zerlegungsstruktur.</w:t>
      </w:r>
    </w:p>
    <w:p w:rsidR="00E50336" w:rsidRDefault="00E50336" w:rsidP="00E50336">
      <w:pPr>
        <w:pStyle w:val="StandardWeb"/>
      </w:pPr>
      <w:r>
        <w:t>Für ein nicht weiter zerlegtes Objekt setze ich</w:t>
      </w:r>
    </w:p>
    <w:p w:rsidR="00E50336" w:rsidRDefault="00E50336" w:rsidP="00E50336">
      <w:pPr>
        <w:pStyle w:val="berschrift1"/>
      </w:pPr>
      <w:r>
        <w:t>[</w:t>
      </w:r>
      <w:r>
        <w:br/>
        <w:t>\boxed{</w:t>
      </w:r>
      <w:r>
        <w:br/>
        <w:t>d_F(Z)</w:t>
      </w:r>
    </w:p>
    <w:p w:rsidR="00E50336" w:rsidRDefault="00E50336" w:rsidP="009F7790">
      <w:pPr>
        <w:numPr>
          <w:ilvl w:val="0"/>
          <w:numId w:val="651"/>
        </w:numPr>
        <w:spacing w:before="100" w:beforeAutospacing="1" w:after="100" w:afterAutospacing="1"/>
      </w:pPr>
    </w:p>
    <w:p w:rsidR="00E50336" w:rsidRDefault="00E50336" w:rsidP="00E50336">
      <w:pPr>
        <w:pStyle w:val="StandardWeb"/>
      </w:pPr>
      <w:r>
        <w:t>}</w:t>
      </w:r>
      <w:r>
        <w:br/>
        <w:t>\tag{3.13361}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\boxed{d_F(Z)=0.}</w:t>
      </w:r>
    </w:p>
    <w:p w:rsidR="00E50336" w:rsidRDefault="00E50336" w:rsidP="00E50336">
      <w:r>
        <w:pict>
          <v:rect id="_x0000_i5163" style="width:0;height:1.5pt" o:hralign="center" o:hrstd="t" o:hr="t" fillcolor="#a0a0a0" stroked="f"/>
        </w:pict>
      </w:r>
    </w:p>
    <w:p w:rsidR="00E50336" w:rsidRDefault="00E50336" w:rsidP="00E50336">
      <w:pPr>
        <w:pStyle w:val="berschrift2"/>
      </w:pPr>
      <w:r>
        <w:t>3.3.51.82 Endliche Zerlegungstiefe als Primäraxiomkandidat</w:t>
      </w:r>
    </w:p>
    <w:p w:rsidR="00E50336" w:rsidRDefault="00E50336" w:rsidP="00E50336">
      <w:pPr>
        <w:pStyle w:val="StandardWeb"/>
      </w:pPr>
      <w:r>
        <w:t>Eine mögliche Forderung wäre</w:t>
      </w:r>
    </w:p>
    <w:p w:rsidR="00E50336" w:rsidRDefault="00E50336" w:rsidP="00E50336">
      <w:pPr>
        <w:pStyle w:val="StandardWeb"/>
      </w:pPr>
      <w:r>
        <w:t>[</w:t>
      </w:r>
      <w:r>
        <w:br/>
        <w:t>A_{\mathrm{finite-dec}}</w:t>
      </w:r>
      <w:r>
        <w:br/>
        <w:t>:</w:t>
      </w:r>
      <w:r>
        <w:br/>
        <w:t>d_F(Z)</w:t>
      </w:r>
      <w:r>
        <w:br/>
        <w:t>&lt;</w:t>
      </w:r>
      <w:r>
        <w:br/>
        <w:t>\infty</w:t>
      </w:r>
      <w:r>
        <w:br/>
        <w:t>\qquad</w:t>
      </w:r>
      <w:r>
        <w:br/>
        <w:t>\forall Z.</w:t>
      </w:r>
      <w:r>
        <w:br/>
        <w:t>\tag{3.13362}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A_{\mathrm{finite-dec}}:d_F(Z)&lt;\infty\qquad\forall Z</w:t>
      </w:r>
    </w:p>
    <w:p w:rsidR="00E50336" w:rsidRDefault="00E50336" w:rsidP="00E50336">
      <w:r>
        <w:pict>
          <v:rect id="_x0000_i5164" style="width:0;height:1.5pt" o:hralign="center" o:hrstd="t" o:hr="t" fillcolor="#a0a0a0" stroked="f"/>
        </w:pict>
      </w:r>
    </w:p>
    <w:p w:rsidR="00E50336" w:rsidRDefault="00E50336" w:rsidP="00E50336">
      <w:pPr>
        <w:pStyle w:val="berschrift2"/>
      </w:pPr>
      <w:r>
        <w:t>3.3.51.83 Potenziell unbeschränkte Zerlegung</w:t>
      </w:r>
    </w:p>
    <w:p w:rsidR="00E50336" w:rsidRDefault="00E50336" w:rsidP="00E50336">
      <w:pPr>
        <w:pStyle w:val="StandardWeb"/>
      </w:pPr>
      <w:r>
        <w:t>Eine Modellklasse kann eine rekursive Zerlegungsregel besitzen, für die keine universelle endliche Maximalstufe vorgegeben wird:</w:t>
      </w:r>
    </w:p>
    <w:p w:rsidR="00E50336" w:rsidRDefault="00E50336" w:rsidP="00E50336">
      <w:pPr>
        <w:pStyle w:val="StandardWeb"/>
      </w:pPr>
      <w:r>
        <w:lastRenderedPageBreak/>
        <w:t>[</w:t>
      </w:r>
      <w:r>
        <w:br/>
        <w:t>d_F(Z)</w:t>
      </w:r>
      <w:r>
        <w:br/>
        <w:t>\not\leq</w:t>
      </w:r>
      <w:r>
        <w:br/>
        <w:t>d_{\max}</w:t>
      </w:r>
      <w:r>
        <w:br/>
        <w:t>\quad</w:t>
      </w:r>
      <w:r>
        <w:br/>
        <w:t>\text{für ein global festes }d_{\max}.</w:t>
      </w:r>
      <w:r>
        <w:br/>
        <w:t>\tag{3.13363}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d_F(Z)\not\leq d_{\max}\quad\text{für ein global festes }d_{\max}</w:t>
      </w:r>
    </w:p>
    <w:p w:rsidR="00E50336" w:rsidRDefault="00E50336" w:rsidP="00E50336">
      <w:r>
        <w:pict>
          <v:rect id="_x0000_i5165" style="width:0;height:1.5pt" o:hralign="center" o:hrstd="t" o:hr="t" fillcolor="#a0a0a0" stroked="f"/>
        </w:pict>
      </w:r>
    </w:p>
    <w:p w:rsidR="00E50336" w:rsidRDefault="00E50336" w:rsidP="00E50336">
      <w:pPr>
        <w:pStyle w:val="berschrift2"/>
      </w:pPr>
      <w:r>
        <w:t>3.3.51.84 Axiomentscheidung zur endlichen globalen Zerlegungstiefe</w:t>
      </w:r>
    </w:p>
    <w:p w:rsidR="00E50336" w:rsidRDefault="00E50336" w:rsidP="00E50336">
      <w:pPr>
        <w:pStyle w:val="StandardWeb"/>
      </w:pPr>
      <w:r>
        <w:t>Damit gilt</w:t>
      </w:r>
    </w:p>
    <w:p w:rsidR="00E50336" w:rsidRDefault="00E50336" w:rsidP="00E50336">
      <w:pPr>
        <w:pStyle w:val="berschrift1"/>
      </w:pPr>
      <w:r>
        <w:t>[</w:t>
      </w:r>
      <w:r>
        <w:br/>
        <w:t>\boxed{</w:t>
      </w:r>
      <w:r>
        <w:br/>
        <w:t>U_{\mathrm{Ax}}</w:t>
      </w:r>
      <w:r>
        <w:br/>
        <w:t>(A_{\mathrm{finite-dec}})</w:t>
      </w:r>
    </w:p>
    <w:p w:rsidR="00E50336" w:rsidRDefault="00E50336" w:rsidP="009F7790">
      <w:pPr>
        <w:numPr>
          <w:ilvl w:val="0"/>
          <w:numId w:val="652"/>
        </w:numPr>
        <w:spacing w:before="100" w:beforeAutospacing="1" w:after="100" w:afterAutospacing="1"/>
      </w:pPr>
    </w:p>
    <w:p w:rsidR="00E50336" w:rsidRDefault="00E50336" w:rsidP="00E50336">
      <w:pPr>
        <w:pStyle w:val="StandardWeb"/>
      </w:pPr>
      <w:r>
        <w:t>}</w:t>
      </w:r>
      <w:r>
        <w:br/>
        <w:t>\tag{3.13364}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\boxed{U_{\mathrm{Ax}}(A_{\mathrm{finite-dec}})=0.}</w:t>
      </w:r>
    </w:p>
    <w:p w:rsidR="00E50336" w:rsidRDefault="00E50336" w:rsidP="00E50336">
      <w:r>
        <w:pict>
          <v:rect id="_x0000_i5166" style="width:0;height:1.5pt" o:hralign="center" o:hrstd="t" o:hr="t" fillcolor="#a0a0a0" stroked="f"/>
        </w:pict>
      </w:r>
    </w:p>
    <w:p w:rsidR="00E50336" w:rsidRDefault="00E50336" w:rsidP="00E50336">
      <w:pPr>
        <w:pStyle w:val="berschrift2"/>
      </w:pPr>
      <w:r>
        <w:t>3.3.51.85 Satz 3.3.211 – Global beschränkte Zerlegungstiefe ist kein Primäraxiom</w:t>
      </w:r>
    </w:p>
    <w:p w:rsidR="00E50336" w:rsidRDefault="00E50336" w:rsidP="00E50336">
      <w:pPr>
        <w:pStyle w:val="berschrift3"/>
      </w:pPr>
      <w:r>
        <w:t>Satz 3.3.211</w:t>
      </w:r>
    </w:p>
    <w:p w:rsidR="00E50336" w:rsidRDefault="00E50336" w:rsidP="00E50336">
      <w:pPr>
        <w:pStyle w:val="StandardWeb"/>
      </w:pPr>
      <w:r>
        <w:t>Die Forderung, für alle funktionalen Objekte müsse eine universell vorgegebene endliche maximale Zerlegungstiefe existieren, ist keine notwendige Voraussetzung des allgemeinen FRZK.</w:t>
      </w:r>
    </w:p>
    <w:p w:rsidR="00E50336" w:rsidRDefault="00E50336" w:rsidP="00E50336">
      <w:pPr>
        <w:pStyle w:val="berschrift1"/>
      </w:pPr>
      <w:r>
        <w:lastRenderedPageBreak/>
        <w:t>[</w:t>
      </w:r>
      <w:r>
        <w:br/>
        <w:t>\boxed{</w:t>
      </w:r>
      <w:r>
        <w:br/>
        <w:t>U_{\mathrm{Ax}}</w:t>
      </w:r>
      <w:r>
        <w:br/>
        <w:t>(A_{\mathrm{finite-dec}})</w:t>
      </w:r>
    </w:p>
    <w:p w:rsidR="00E50336" w:rsidRDefault="00E50336" w:rsidP="009F7790">
      <w:pPr>
        <w:numPr>
          <w:ilvl w:val="0"/>
          <w:numId w:val="653"/>
        </w:numPr>
        <w:spacing w:before="100" w:beforeAutospacing="1" w:after="100" w:afterAutospacing="1"/>
      </w:pPr>
    </w:p>
    <w:p w:rsidR="00E50336" w:rsidRDefault="00E50336" w:rsidP="00E50336">
      <w:pPr>
        <w:pStyle w:val="StandardWeb"/>
      </w:pPr>
      <w:r>
        <w:t>}</w:t>
      </w:r>
      <w:r>
        <w:br/>
        <w:t>\tag{3.13365}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\boxed{U_{\mathrm{Ax}}(A_{\mathrm{finite-dec}})=0.}</w:t>
      </w:r>
    </w:p>
    <w:p w:rsidR="00E50336" w:rsidRDefault="00E50336" w:rsidP="00E50336">
      <w:r>
        <w:pict>
          <v:rect id="_x0000_i5167" style="width:0;height:1.5pt" o:hralign="center" o:hrstd="t" o:hr="t" fillcolor="#a0a0a0" stroked="f"/>
        </w:pict>
      </w:r>
    </w:p>
    <w:p w:rsidR="00E50336" w:rsidRDefault="00E50336" w:rsidP="00E50336">
      <w:pPr>
        <w:pStyle w:val="berschrift2"/>
      </w:pPr>
      <w:r>
        <w:t>3.3.51.86 Korollar 3.3.50 – Hierarchietiefe ist modellabhängig</w:t>
      </w:r>
    </w:p>
    <w:p w:rsidR="00E50336" w:rsidRDefault="00E50336" w:rsidP="00E50336">
      <w:pPr>
        <w:pStyle w:val="berschrift3"/>
      </w:pPr>
      <w:r>
        <w:t>Korollar 3.3.50</w:t>
      </w:r>
    </w:p>
    <w:p w:rsidR="00E50336" w:rsidRDefault="00E50336" w:rsidP="00E50336">
      <w:pPr>
        <w:pStyle w:val="StandardWeb"/>
      </w:pPr>
      <w:r>
        <w:t>Aus Satz 3.3.211 folgt</w:t>
      </w:r>
    </w:p>
    <w:p w:rsidR="00E50336" w:rsidRDefault="00E50336" w:rsidP="00E50336">
      <w:pPr>
        <w:pStyle w:val="berschrift1"/>
      </w:pPr>
      <w:r>
        <w:t>[</w:t>
      </w:r>
      <w:r>
        <w:br/>
        <w:t>\boxed{</w:t>
      </w:r>
      <w:r>
        <w:br/>
        <w:t>\operatorname{Stat}</w:t>
      </w:r>
      <w:r>
        <w:br/>
        <w:t>(d_F)</w:t>
      </w:r>
    </w:p>
    <w:p w:rsidR="00E50336" w:rsidRDefault="00E50336" w:rsidP="00E50336">
      <w:pPr>
        <w:pStyle w:val="StandardWeb"/>
      </w:pPr>
      <w:r>
        <w:t>\mathrm{Def/Mod/Op}.</w:t>
      </w:r>
      <w:r>
        <w:br/>
        <w:t>}</w:t>
      </w:r>
      <w:r>
        <w:br/>
        <w:t>\tag{3.13366}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\boxed{\operatorname{Stat}(d_F)=\mathrm{Def/Mod/Op}.}</w:t>
      </w:r>
    </w:p>
    <w:p w:rsidR="00E50336" w:rsidRDefault="00E50336" w:rsidP="00E50336">
      <w:r>
        <w:pict>
          <v:rect id="_x0000_i5168" style="width:0;height:1.5pt" o:hralign="center" o:hrstd="t" o:hr="t" fillcolor="#a0a0a0" stroked="f"/>
        </w:pict>
      </w:r>
    </w:p>
    <w:p w:rsidR="00E50336" w:rsidRDefault="00E50336" w:rsidP="00E50336">
      <w:pPr>
        <w:pStyle w:val="berschrift2"/>
      </w:pPr>
      <w:r>
        <w:t>3.3.51.87 Zwischenstand der Aggregationsarchitektur</w:t>
      </w:r>
    </w:p>
    <w:p w:rsidR="00E50336" w:rsidRDefault="00E50336" w:rsidP="00E50336">
      <w:pPr>
        <w:pStyle w:val="StandardWeb"/>
      </w:pPr>
      <w:r>
        <w:t>Bis zu diesem Punkt habe ich vier verschiedene Strukturtypen getrennt:</w:t>
      </w:r>
    </w:p>
    <w:p w:rsidR="00E50336" w:rsidRDefault="00E50336" w:rsidP="00E50336">
      <w:pPr>
        <w:pStyle w:val="StandardWeb"/>
      </w:pPr>
      <w:r>
        <w:t>[</w:t>
      </w:r>
      <w:r>
        <w:br/>
        <w:t>\oplus_F</w:t>
      </w:r>
      <w:r>
        <w:br/>
      </w:r>
      <w:r>
        <w:lastRenderedPageBreak/>
        <w:t>\tag{3.13367}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\oplus_F</w:t>
      </w:r>
    </w:p>
    <w:p w:rsidR="00E50336" w:rsidRDefault="00E50336" w:rsidP="00E50336">
      <w:pPr>
        <w:pStyle w:val="StandardWeb"/>
      </w:pPr>
      <w:r>
        <w:t>für allgemeine Aggregation,</w:t>
      </w:r>
    </w:p>
    <w:p w:rsidR="00E50336" w:rsidRDefault="00E50336" w:rsidP="00E50336">
      <w:pPr>
        <w:pStyle w:val="StandardWeb"/>
      </w:pPr>
      <w:r>
        <w:t>[</w:t>
      </w:r>
      <w:r>
        <w:br/>
        <w:t>\mathcal A_F^{(n)}</w:t>
      </w:r>
      <w:r>
        <w:br/>
        <w:t>\tag{3.13368}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A_F^{(n)}</w:t>
      </w:r>
    </w:p>
    <w:p w:rsidR="00E50336" w:rsidRDefault="00E50336" w:rsidP="00E50336">
      <w:pPr>
        <w:pStyle w:val="StandardWeb"/>
      </w:pPr>
      <w:r>
        <w:t>für mehrstellige Aggregation,</w:t>
      </w:r>
    </w:p>
    <w:p w:rsidR="00E50336" w:rsidRDefault="00E50336" w:rsidP="00E50336">
      <w:pPr>
        <w:pStyle w:val="StandardWeb"/>
      </w:pPr>
      <w:r>
        <w:t>[</w:t>
      </w:r>
      <w:r>
        <w:br/>
        <w:t>\otimes_F</w:t>
      </w:r>
      <w:r>
        <w:br/>
        <w:t>\tag{3.13369}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\otimes_F</w:t>
      </w:r>
    </w:p>
    <w:p w:rsidR="00E50336" w:rsidRDefault="00E50336" w:rsidP="00E50336">
      <w:pPr>
        <w:pStyle w:val="StandardWeb"/>
      </w:pPr>
      <w:r>
        <w:t>für Fusion und</w:t>
      </w:r>
    </w:p>
    <w:p w:rsidR="00E50336" w:rsidRDefault="00E50336" w:rsidP="00E50336">
      <w:pPr>
        <w:pStyle w:val="StandardWeb"/>
      </w:pPr>
      <w:r>
        <w:t>[</w:t>
      </w:r>
      <w:r>
        <w:br/>
        <w:t>\mathcal D_F</w:t>
      </w:r>
      <w:r>
        <w:br/>
        <w:t>\tag{3.13370}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D_F</w:t>
      </w:r>
    </w:p>
    <w:p w:rsidR="00E50336" w:rsidRDefault="00E50336" w:rsidP="00E50336">
      <w:pPr>
        <w:pStyle w:val="StandardWeb"/>
      </w:pPr>
      <w:r>
        <w:t>für Zerlegung.</w:t>
      </w:r>
    </w:p>
    <w:p w:rsidR="00E50336" w:rsidRDefault="00E50336" w:rsidP="00E50336">
      <w:pPr>
        <w:pStyle w:val="StandardWeb"/>
      </w:pPr>
      <w:r>
        <w:t>Ich fasse diese Strukturen vorläufig zusammen als</w:t>
      </w:r>
    </w:p>
    <w:p w:rsidR="00E50336" w:rsidRDefault="00E50336" w:rsidP="00E50336">
      <w:pPr>
        <w:pStyle w:val="berschrift1"/>
      </w:pPr>
      <w:r>
        <w:t>[</w:t>
      </w:r>
      <w:r>
        <w:br/>
        <w:t>\boxed{</w:t>
      </w:r>
      <w:r>
        <w:br/>
        <w:t>\mathfrak E_{\mathrm{agg}}^{(1)}</w:t>
      </w:r>
    </w:p>
    <w:p w:rsidR="00E50336" w:rsidRDefault="00E50336" w:rsidP="00E50336">
      <w:pPr>
        <w:pStyle w:val="StandardWeb"/>
      </w:pPr>
      <w:r>
        <w:lastRenderedPageBreak/>
        <w:t>\left(</w:t>
      </w:r>
      <w:r>
        <w:br/>
        <w:t>\oplus_F,</w:t>
      </w:r>
      <w:r>
        <w:br/>
        <w:t>\mathcal D_{\oplus},</w:t>
      </w:r>
      <w:r>
        <w:br/>
        <w:t>\mathcal A_F^{(n)},</w:t>
      </w:r>
      <w:r>
        <w:br/>
        <w:t>\mathbf w,</w:t>
      </w:r>
      <w:r>
        <w:br/>
        <w:t>\otimes_F,</w:t>
      </w:r>
      <w:r>
        <w:br/>
        <w:t>\mathcal D_{\otimes},</w:t>
      </w:r>
      <w:r>
        <w:br/>
        <w:t>\mathcal R_1,</w:t>
      </w:r>
      <w:r>
        <w:br/>
        <w:t>\mathcal R_2,</w:t>
      </w:r>
      <w:r>
        <w:br/>
        <w:t>\mathcal D_F,</w:t>
      </w:r>
      <w:r>
        <w:br/>
        <w:t>d_F</w:t>
      </w:r>
      <w:r>
        <w:br/>
        <w:t>\right).</w:t>
      </w:r>
      <w:r>
        <w:br/>
        <w:t>}</w:t>
      </w:r>
      <w:r>
        <w:br/>
        <w:t>\tag{3.13371}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\boxed{\mathfrak E_{\mathrm{agg}}^{(1)}=\left(\oplus_F,\mathcal D_{\oplus},\mathcal A_F^{(n)},\mathbf w,\otimes_F,\mathcal D_{\otimes},\mathcal R_1,\mathcal R_2,\mathcal D_F,d_F\right).}</w:t>
      </w:r>
    </w:p>
    <w:p w:rsidR="00E50336" w:rsidRDefault="00E50336" w:rsidP="00E50336">
      <w:pPr>
        <w:pStyle w:val="StandardWeb"/>
      </w:pPr>
      <w:r>
        <w:t>Die bislang geprüften Primäraxiomkandidaten lauten</w:t>
      </w:r>
    </w:p>
    <w:p w:rsidR="00E50336" w:rsidRDefault="00E50336" w:rsidP="00E50336">
      <w:pPr>
        <w:pStyle w:val="berschrift1"/>
      </w:pPr>
      <w:r>
        <w:t>[</w:t>
      </w:r>
      <w:r>
        <w:br/>
        <w:t>\mathcal A_{\mathrm{agg}}^{\mathrm{cand},1}</w:t>
      </w:r>
    </w:p>
    <w:p w:rsidR="00E50336" w:rsidRDefault="00E50336" w:rsidP="00E50336">
      <w:pPr>
        <w:pStyle w:val="StandardWeb"/>
      </w:pPr>
      <w:r>
        <w:t>{</w:t>
      </w:r>
      <w:r>
        <w:br/>
        <w:t>A_{\mathrm{agg-all}},</w:t>
      </w:r>
      <w:r>
        <w:br/>
        <w:t>A_{\mathrm{comm-agg}},</w:t>
      </w:r>
      <w:r>
        <w:br/>
        <w:t>A_{\mathrm{assoc-agg}},</w:t>
      </w:r>
      <w:r>
        <w:br/>
        <w:t>A_{\mathrm{neutral}},</w:t>
      </w:r>
      <w:r>
        <w:br/>
        <w:t>A_{\mathrm{idemp-agg}},</w:t>
      </w:r>
      <w:r>
        <w:br/>
        <w:t>A_{\mathrm{perm}},</w:t>
      </w:r>
      <w:r>
        <w:br/>
        <w:t>A_{\mathrm{norm-w}},</w:t>
      </w:r>
      <w:r>
        <w:br/>
        <w:t>A_{\mathrm{rev-fus}},</w:t>
      </w:r>
      <w:r>
        <w:br/>
        <w:t>A_{\mathrm{recon-dec}},</w:t>
      </w:r>
      <w:r>
        <w:br/>
        <w:t>A_{\mathrm{uniq-dec}},</w:t>
      </w:r>
      <w:r>
        <w:br/>
        <w:t>A_{\mathrm{finite-dec}}</w:t>
      </w:r>
      <w:r>
        <w:br/>
        <w:t>}.</w:t>
      </w:r>
      <w:r>
        <w:br/>
        <w:t>\tag{3.13372}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A_{\mathrm{agg}}^{\mathrm{cand},1}=\{A_{\mathrm{agg-all}},A_{\mathrm{comm-agg}},A_{\mathrm{assoc-agg}},A_{\mathrm{neutral}},A_{\mathrm{idemp-agg}},A_{\mathrm{perm}},A_{\mathrm{norm-w}},A_{\mathrm{rev-fus}},A_{\mathrm{recon-dec}},A_{\mathrm{uniq-dec}},A_{\mathrm{finite-dec}}\}</w:t>
      </w:r>
    </w:p>
    <w:p w:rsidR="00E50336" w:rsidRDefault="00E50336" w:rsidP="00E50336">
      <w:pPr>
        <w:pStyle w:val="StandardWeb"/>
      </w:pPr>
      <w:r>
        <w:lastRenderedPageBreak/>
        <w:t>Für sämtliche bisher geprüften Kandidaten gilt</w:t>
      </w:r>
    </w:p>
    <w:p w:rsidR="00E50336" w:rsidRDefault="00E50336" w:rsidP="00E50336">
      <w:pPr>
        <w:pStyle w:val="berschrift1"/>
      </w:pPr>
      <w:r>
        <w:t>[</w:t>
      </w:r>
      <w:r>
        <w:br/>
        <w:t>\boxed{</w:t>
      </w:r>
      <w:r>
        <w:br/>
        <w:t>U_{\mathrm{Ax}}(A)</w:t>
      </w:r>
    </w:p>
    <w:p w:rsidR="00E50336" w:rsidRDefault="00E50336" w:rsidP="00E50336">
      <w:pPr>
        <w:pStyle w:val="StandardWeb"/>
      </w:pPr>
      <w:r>
        <w:t>0</w:t>
      </w:r>
      <w:r>
        <w:br/>
        <w:t>\qquad</w:t>
      </w:r>
      <w:r>
        <w:br/>
        <w:t>\forall</w:t>
      </w:r>
      <w:r>
        <w:br/>
        <w:t>A</w:t>
      </w:r>
      <w:r>
        <w:br/>
        <w:t>\in</w:t>
      </w:r>
      <w:r>
        <w:br/>
        <w:t>\mathcal A_{\mathrm{agg}}^{\mathrm{cand},1}.</w:t>
      </w:r>
      <w:r>
        <w:br/>
        <w:t>}</w:t>
      </w:r>
      <w:r>
        <w:br/>
        <w:t>\tag{3.13373}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\boxed{U_{\mathrm{Ax}}(A)=0\qquad\forall A\in\mathcal A_{\mathrm{agg}}^{\mathrm{cand},1}.}</w:t>
      </w:r>
    </w:p>
    <w:p w:rsidR="00E50336" w:rsidRDefault="00E50336" w:rsidP="00E50336">
      <w:pPr>
        <w:pStyle w:val="StandardWeb"/>
      </w:pPr>
      <w:r>
        <w:t xml:space="preserve">Abschnitt </w:t>
      </w:r>
      <w:r>
        <w:rPr>
          <w:rStyle w:val="Fett"/>
        </w:rPr>
        <w:t>3.3.51 ist damit noch nicht abgeschlossen</w:t>
      </w:r>
      <w:r>
        <w:t xml:space="preserve">. Im nächsten Block untersuche ich insbesondere </w:t>
      </w:r>
      <w:r>
        <w:rPr>
          <w:rStyle w:val="Fett"/>
        </w:rPr>
        <w:t>Überlappung und Redundanz von Komponenten, verlustfreie und verlustbehaftete Aggregation, Aggregationshierarchien, distributive Beziehungen, Kontextabhängigkeit, dynamische Fusion, Aggregationspfade sowie die Frage, ob überhaupt irgendeine Aggregationsstruktur zum minimalen FRZK gehören muss</w:t>
      </w:r>
      <w:r>
        <w:t>.</w:t>
      </w:r>
    </w:p>
    <w:p w:rsidR="00E50336" w:rsidRDefault="00E50336" w:rsidP="00E50336">
      <w:pPr>
        <w:pStyle w:val="StandardWeb"/>
      </w:pPr>
      <w:r>
        <w:t xml:space="preserve">Der nächste Startpunkt ist </w:t>
      </w:r>
      <w:r>
        <w:rPr>
          <w:rStyle w:val="Fett"/>
        </w:rPr>
        <w:t>3.3.51.88 / Gleichung (3.13374)</w:t>
      </w:r>
      <w:r>
        <w:t xml:space="preserve">, nächste Definition </w:t>
      </w:r>
      <w:r>
        <w:rPr>
          <w:rStyle w:val="Fett"/>
        </w:rPr>
        <w:t>3.3.542</w:t>
      </w:r>
      <w:r>
        <w:t xml:space="preserve">, nächster Satz </w:t>
      </w:r>
      <w:r>
        <w:rPr>
          <w:rStyle w:val="Fett"/>
        </w:rPr>
        <w:t>3.3.212</w:t>
      </w:r>
      <w:r>
        <w:t xml:space="preserve">, nächstes Korollar </w:t>
      </w:r>
      <w:r>
        <w:rPr>
          <w:rStyle w:val="Fett"/>
        </w:rPr>
        <w:t>3.3.51</w:t>
      </w:r>
      <w:r>
        <w:t>.</w:t>
      </w:r>
    </w:p>
    <w:p w:rsidR="00E50336" w:rsidRDefault="00E50336" w:rsidP="00E50336">
      <w:pPr>
        <w:pStyle w:val="berschrift1"/>
        <w:rPr>
          <w:rFonts w:cs="Times New Roman"/>
          <w:sz w:val="48"/>
          <w:szCs w:val="48"/>
        </w:rPr>
      </w:pPr>
      <w:r>
        <w:t>3.3.51.88 Überlappung funktionaler Komponenten</w:t>
      </w:r>
    </w:p>
    <w:p w:rsidR="00E50336" w:rsidRDefault="00E50336" w:rsidP="00E50336">
      <w:pPr>
        <w:pStyle w:val="StandardWeb"/>
      </w:pPr>
      <w:r>
        <w:t>Nach der Einführung von Aggregation, Fusion und Zerlegung untersuche ich nun, ob funktionale Komponenten voneinander vollständig getrennt sein müssen. Eine Zerlegung kann Komponenten erzeugen, die sich hinsichtlich ihrer funktionalen Zuordnung teilweise überlappen.</w:t>
      </w:r>
    </w:p>
    <w:p w:rsidR="00E50336" w:rsidRDefault="00E50336" w:rsidP="00E50336">
      <w:pPr>
        <w:pStyle w:val="StandardWeb"/>
      </w:pPr>
      <w:r>
        <w:t>Sei</w:t>
      </w:r>
    </w:p>
    <w:p w:rsidR="00E50336" w:rsidRDefault="00E50336" w:rsidP="00E50336">
      <w:pPr>
        <w:pStyle w:val="berschrift1"/>
      </w:pPr>
      <w:r>
        <w:t>[</w:t>
      </w:r>
      <w:r>
        <w:br/>
        <w:t>\mathcal D_F(Z)</w:t>
      </w:r>
    </w:p>
    <w:p w:rsidR="00E50336" w:rsidRDefault="00E50336" w:rsidP="00E50336">
      <w:pPr>
        <w:pStyle w:val="StandardWeb"/>
      </w:pPr>
      <w:r>
        <w:t>{X_1,\ldots,X_n}.</w:t>
      </w:r>
      <w:r>
        <w:br/>
        <w:t>\tag{3.13374}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lastRenderedPageBreak/>
        <w:t>\mathcal D_F(Z)=\{X_1,\ldots,X_n\}</w:t>
      </w:r>
    </w:p>
    <w:p w:rsidR="00E50336" w:rsidRDefault="00E50336" w:rsidP="00E50336">
      <w:pPr>
        <w:pStyle w:val="StandardWeb"/>
      </w:pPr>
      <w:r>
        <w:t>Für zwei Komponenten (X_i) und (X_j) kann eine modellabhängige Überlappungsstruktur eingeführt werden.</w:t>
      </w:r>
    </w:p>
    <w:p w:rsidR="00E50336" w:rsidRDefault="00E50336" w:rsidP="00E50336">
      <w:r>
        <w:pict>
          <v:rect id="_x0000_i5256" style="width:0;height:1.5pt" o:hralign="center" o:hrstd="t" o:hr="t" fillcolor="#a0a0a0" stroked="f"/>
        </w:pict>
      </w:r>
    </w:p>
    <w:p w:rsidR="00E50336" w:rsidRDefault="00E50336" w:rsidP="00E50336">
      <w:pPr>
        <w:pStyle w:val="berschrift2"/>
      </w:pPr>
      <w:r>
        <w:t>3.3.51.89 Definition 3.3.542 – Funktionale Komponentenüberlappung</w:t>
      </w:r>
    </w:p>
    <w:p w:rsidR="00E50336" w:rsidRDefault="00E50336" w:rsidP="00E50336">
      <w:pPr>
        <w:pStyle w:val="berschrift3"/>
      </w:pPr>
      <w:r>
        <w:t>Definition 3.3.542</w:t>
      </w:r>
    </w:p>
    <w:p w:rsidR="00E50336" w:rsidRDefault="00E50336" w:rsidP="00E50336">
      <w:pPr>
        <w:pStyle w:val="StandardWeb"/>
      </w:pPr>
      <w:r>
        <w:t xml:space="preserve">Eine </w:t>
      </w:r>
      <w:r>
        <w:rPr>
          <w:rStyle w:val="Fett"/>
        </w:rPr>
        <w:t>funktionale Komponentenüberlappung</w:t>
      </w:r>
      <w:r>
        <w:t xml:space="preserve"> zwischen zwei Komponenten (X_i) und (X_j) liegt vor, wenn ein nichtleerer funktionaler Anteil beiden Komponenten zugeordnet wird.</w:t>
      </w:r>
    </w:p>
    <w:p w:rsidR="00E50336" w:rsidRDefault="00E50336" w:rsidP="00E50336">
      <w:pPr>
        <w:pStyle w:val="StandardWeb"/>
      </w:pPr>
      <w:r>
        <w:t>Formal schreibe ich</w:t>
      </w:r>
    </w:p>
    <w:p w:rsidR="00E50336" w:rsidRDefault="00E50336" w:rsidP="00E50336">
      <w:pPr>
        <w:pStyle w:val="StandardWeb"/>
      </w:pPr>
      <w:r>
        <w:t>[</w:t>
      </w:r>
      <w:r>
        <w:br/>
        <w:t>\boxed{</w:t>
      </w:r>
      <w:r>
        <w:br/>
        <w:t>\mathcal O_F(X_i,X_j)</w:t>
      </w:r>
      <w:r>
        <w:br/>
        <w:t>\neq</w:t>
      </w:r>
      <w:r>
        <w:br/>
        <w:t>\varnothing.</w:t>
      </w:r>
      <w:r>
        <w:br/>
        <w:t>}</w:t>
      </w:r>
      <w:r>
        <w:br/>
        <w:t>\tag{3.13375}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O_F(X_i,X_j)\neq\varnothing.}</w:t>
      </w:r>
    </w:p>
    <w:p w:rsidR="00E50336" w:rsidRDefault="00E50336" w:rsidP="00E50336">
      <w:pPr>
        <w:pStyle w:val="StandardWeb"/>
      </w:pPr>
      <w:r>
        <w:t>Dabei ist (\mathcal O_F) selbst eine modellabhängig definierte Überlappungsabbildung.</w:t>
      </w:r>
    </w:p>
    <w:p w:rsidR="00E50336" w:rsidRDefault="00E50336" w:rsidP="00E50336">
      <w:r>
        <w:pict>
          <v:rect id="_x0000_i5257" style="width:0;height:1.5pt" o:hralign="center" o:hrstd="t" o:hr="t" fillcolor="#a0a0a0" stroked="f"/>
        </w:pict>
      </w:r>
    </w:p>
    <w:p w:rsidR="00E50336" w:rsidRDefault="00E50336" w:rsidP="00E50336">
      <w:pPr>
        <w:pStyle w:val="berschrift2"/>
      </w:pPr>
      <w:r>
        <w:t>3.3.51.90 Disjunkte funktionale Komponenten</w:t>
      </w:r>
    </w:p>
    <w:p w:rsidR="00E50336" w:rsidRDefault="00E50336" w:rsidP="00E50336">
      <w:pPr>
        <w:pStyle w:val="StandardWeb"/>
      </w:pPr>
      <w:r>
        <w:t>Komponenten können auch vollständig getrennt sein:</w:t>
      </w:r>
    </w:p>
    <w:p w:rsidR="00E50336" w:rsidRDefault="00E50336" w:rsidP="00E50336">
      <w:pPr>
        <w:pStyle w:val="berschrift1"/>
      </w:pPr>
      <w:r>
        <w:t>[</w:t>
      </w:r>
      <w:r>
        <w:br/>
        <w:t>\mathcal O_F(X_i,X_j)</w:t>
      </w:r>
    </w:p>
    <w:p w:rsidR="00E50336" w:rsidRDefault="00E50336" w:rsidP="00E50336">
      <w:pPr>
        <w:pStyle w:val="StandardWeb"/>
      </w:pPr>
      <w:r>
        <w:t>\varnothing</w:t>
      </w:r>
      <w:r>
        <w:br/>
        <w:t>\qquad</w:t>
      </w:r>
      <w:r>
        <w:br/>
        <w:t>i\neq j.</w:t>
      </w:r>
      <w:r>
        <w:br/>
        <w:t>\tag{3.13376}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lastRenderedPageBreak/>
        <w:t>\mathcal O_F(X_i,X_j)=\varnothing\qquad i\neq j</w:t>
      </w:r>
    </w:p>
    <w:p w:rsidR="00E50336" w:rsidRDefault="00E50336" w:rsidP="00E50336">
      <w:r>
        <w:pict>
          <v:rect id="_x0000_i5258" style="width:0;height:1.5pt" o:hralign="center" o:hrstd="t" o:hr="t" fillcolor="#a0a0a0" stroked="f"/>
        </w:pict>
      </w:r>
    </w:p>
    <w:p w:rsidR="00E50336" w:rsidRDefault="00E50336" w:rsidP="00E50336">
      <w:pPr>
        <w:pStyle w:val="berschrift2"/>
      </w:pPr>
      <w:r>
        <w:t>3.3.51.91 Definition 3.3.543 – Funktional disjunkte Zerlegung</w:t>
      </w:r>
    </w:p>
    <w:p w:rsidR="00E50336" w:rsidRDefault="00E50336" w:rsidP="00E50336">
      <w:pPr>
        <w:pStyle w:val="berschrift3"/>
      </w:pPr>
      <w:r>
        <w:t>Definition 3.3.543</w:t>
      </w:r>
    </w:p>
    <w:p w:rsidR="00E50336" w:rsidRDefault="00E50336" w:rsidP="00E50336">
      <w:pPr>
        <w:pStyle w:val="StandardWeb"/>
      </w:pPr>
      <w:r>
        <w:t xml:space="preserve">Eine Zerlegung heißt </w:t>
      </w:r>
      <w:r>
        <w:rPr>
          <w:rStyle w:val="Fett"/>
        </w:rPr>
        <w:t>funktional disjunkt</w:t>
      </w:r>
      <w:r>
        <w:t>, wenn</w:t>
      </w:r>
    </w:p>
    <w:p w:rsidR="00E50336" w:rsidRDefault="00E50336" w:rsidP="00E50336">
      <w:pPr>
        <w:pStyle w:val="berschrift1"/>
      </w:pPr>
      <w:r>
        <w:t>[</w:t>
      </w:r>
      <w:r>
        <w:br/>
        <w:t>\boxed{</w:t>
      </w:r>
      <w:r>
        <w:br/>
        <w:t>\mathcal O_F(X_i,X_j)</w:t>
      </w:r>
    </w:p>
    <w:p w:rsidR="00E50336" w:rsidRDefault="00E50336" w:rsidP="00E50336">
      <w:pPr>
        <w:pStyle w:val="StandardWeb"/>
      </w:pPr>
      <w:r>
        <w:t>\varnothing</w:t>
      </w:r>
      <w:r>
        <w:br/>
        <w:t>\qquad</w:t>
      </w:r>
      <w:r>
        <w:br/>
        <w:t>\forall i\neq j.</w:t>
      </w:r>
      <w:r>
        <w:br/>
        <w:t>}</w:t>
      </w:r>
      <w:r>
        <w:br/>
        <w:t>\tag{3.13377}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O_F(X_i,X_j)=\varnothing\qquad\forall i\neq j.}</w:t>
      </w:r>
    </w:p>
    <w:p w:rsidR="00E50336" w:rsidRDefault="00E50336" w:rsidP="00E50336">
      <w:r>
        <w:pict>
          <v:rect id="_x0000_i5259" style="width:0;height:1.5pt" o:hralign="center" o:hrstd="t" o:hr="t" fillcolor="#a0a0a0" stroked="f"/>
        </w:pict>
      </w:r>
    </w:p>
    <w:p w:rsidR="00E50336" w:rsidRDefault="00E50336" w:rsidP="00E50336">
      <w:pPr>
        <w:pStyle w:val="berschrift2"/>
      </w:pPr>
      <w:r>
        <w:t>3.3.51.92 Universelle Disjunktheit als Primäraxiomkandidat</w:t>
      </w:r>
    </w:p>
    <w:p w:rsidR="00E50336" w:rsidRDefault="00E50336" w:rsidP="00E50336">
      <w:pPr>
        <w:pStyle w:val="StandardWeb"/>
      </w:pPr>
      <w:r>
        <w:t>Ein möglicher Kandidat lautet</w:t>
      </w:r>
    </w:p>
    <w:p w:rsidR="00E50336" w:rsidRDefault="00E50336" w:rsidP="00E50336">
      <w:pPr>
        <w:pStyle w:val="berschrift1"/>
      </w:pPr>
      <w:r>
        <w:t>[</w:t>
      </w:r>
      <w:r>
        <w:br/>
        <w:t>A_{\mathrm{disj}}</w:t>
      </w:r>
      <w:r>
        <w:br/>
        <w:t>:</w:t>
      </w:r>
      <w:r>
        <w:br/>
        <w:t>\mathcal O_F(X_i,X_j)</w:t>
      </w:r>
    </w:p>
    <w:p w:rsidR="00E50336" w:rsidRDefault="00E50336" w:rsidP="00E50336">
      <w:pPr>
        <w:pStyle w:val="StandardWeb"/>
      </w:pPr>
      <w:r>
        <w:t>\varnothing</w:t>
      </w:r>
      <w:r>
        <w:br/>
        <w:t>\qquad</w:t>
      </w:r>
      <w:r>
        <w:br/>
        <w:t>\forall i\neq j.</w:t>
      </w:r>
      <w:r>
        <w:br/>
        <w:t>\tag{3.13378}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A_{\mathrm{disj}}:\mathcal O_F(X_i,X_j)=\varnothing\qquad\forall i\neq j</w:t>
      </w:r>
    </w:p>
    <w:p w:rsidR="00E50336" w:rsidRDefault="00E50336" w:rsidP="00E50336">
      <w:r>
        <w:lastRenderedPageBreak/>
        <w:pict>
          <v:rect id="_x0000_i5260" style="width:0;height:1.5pt" o:hralign="center" o:hrstd="t" o:hr="t" fillcolor="#a0a0a0" stroked="f"/>
        </w:pict>
      </w:r>
    </w:p>
    <w:p w:rsidR="00E50336" w:rsidRDefault="00E50336" w:rsidP="00E50336">
      <w:pPr>
        <w:pStyle w:val="berschrift2"/>
      </w:pPr>
      <w:r>
        <w:t>3.3.51.93 Gegenmodell zur universellen Disjunktheit</w:t>
      </w:r>
    </w:p>
    <w:p w:rsidR="00E50336" w:rsidRDefault="00E50336" w:rsidP="00E50336">
      <w:pPr>
        <w:pStyle w:val="StandardWeb"/>
      </w:pPr>
      <w:r>
        <w:t>Eine Modellklasse kann zwei funktionale Komponenten besitzen mit</w:t>
      </w:r>
    </w:p>
    <w:p w:rsidR="00E50336" w:rsidRDefault="00E50336" w:rsidP="00E50336">
      <w:pPr>
        <w:pStyle w:val="StandardWeb"/>
      </w:pPr>
      <w:r>
        <w:t>[</w:t>
      </w:r>
      <w:r>
        <w:br/>
        <w:t>\mathcal O_F(X_1,X_2)</w:t>
      </w:r>
      <w:r>
        <w:br/>
        <w:t>\neq</w:t>
      </w:r>
      <w:r>
        <w:br/>
        <w:t>\varnothing.</w:t>
      </w:r>
      <w:r>
        <w:br/>
        <w:t>\tag{3.13379}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O_F(X_1,X_2)\neq\varnothing</w:t>
      </w:r>
    </w:p>
    <w:p w:rsidR="00E50336" w:rsidRDefault="00E50336" w:rsidP="00E50336">
      <w:pPr>
        <w:pStyle w:val="StandardWeb"/>
      </w:pPr>
      <w:r>
        <w:t>Damit kann eine funktionale Struktur mehrere Komponenten enthalten, die bestimmte Eigenschaften oder Wirkungsanteile gemeinsam repräsentieren.</w:t>
      </w:r>
    </w:p>
    <w:p w:rsidR="00E50336" w:rsidRDefault="00E50336" w:rsidP="00E50336">
      <w:r>
        <w:pict>
          <v:rect id="_x0000_i5261" style="width:0;height:1.5pt" o:hralign="center" o:hrstd="t" o:hr="t" fillcolor="#a0a0a0" stroked="f"/>
        </w:pict>
      </w:r>
    </w:p>
    <w:p w:rsidR="00E50336" w:rsidRDefault="00E50336" w:rsidP="00E50336">
      <w:pPr>
        <w:pStyle w:val="berschrift2"/>
      </w:pPr>
      <w:r>
        <w:t>3.3.51.94 Axiomentscheidung zur Disjunktheit</w:t>
      </w:r>
    </w:p>
    <w:p w:rsidR="00E50336" w:rsidRDefault="00E50336" w:rsidP="00E50336">
      <w:pPr>
        <w:pStyle w:val="StandardWeb"/>
      </w:pPr>
      <w:r>
        <w:t>Daher gilt</w:t>
      </w:r>
    </w:p>
    <w:p w:rsidR="00E50336" w:rsidRDefault="00E50336" w:rsidP="00E50336">
      <w:pPr>
        <w:pStyle w:val="berschrift1"/>
      </w:pPr>
      <w:r>
        <w:t>[</w:t>
      </w:r>
      <w:r>
        <w:br/>
        <w:t>\boxed{</w:t>
      </w:r>
      <w:r>
        <w:br/>
        <w:t>U_{\mathrm{Ax}}</w:t>
      </w:r>
      <w:r>
        <w:br/>
        <w:t>(A_{\mathrm{disj}})</w:t>
      </w:r>
    </w:p>
    <w:p w:rsidR="00E50336" w:rsidRDefault="00E50336" w:rsidP="009F7790">
      <w:pPr>
        <w:numPr>
          <w:ilvl w:val="0"/>
          <w:numId w:val="654"/>
        </w:numPr>
        <w:spacing w:before="100" w:beforeAutospacing="1" w:after="100" w:afterAutospacing="1"/>
      </w:pPr>
    </w:p>
    <w:p w:rsidR="00E50336" w:rsidRDefault="00E50336" w:rsidP="00E50336">
      <w:pPr>
        <w:pStyle w:val="StandardWeb"/>
      </w:pPr>
      <w:r>
        <w:t>}</w:t>
      </w:r>
      <w:r>
        <w:br/>
        <w:t>\tag{3.13380}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\boxed{U_{\mathrm{Ax}}(A_{\mathrm{disj}})=0.}</w:t>
      </w:r>
    </w:p>
    <w:p w:rsidR="00E50336" w:rsidRDefault="00E50336" w:rsidP="00E50336">
      <w:r>
        <w:pict>
          <v:rect id="_x0000_i5262" style="width:0;height:1.5pt" o:hralign="center" o:hrstd="t" o:hr="t" fillcolor="#a0a0a0" stroked="f"/>
        </w:pict>
      </w:r>
    </w:p>
    <w:p w:rsidR="00E50336" w:rsidRDefault="00E50336" w:rsidP="00E50336">
      <w:pPr>
        <w:pStyle w:val="berschrift2"/>
      </w:pPr>
      <w:r>
        <w:t>3.3.51.95 Satz 3.3.212 – Disjunktheit funktionaler Komponenten ist kein Primäraxiom</w:t>
      </w:r>
    </w:p>
    <w:p w:rsidR="00E50336" w:rsidRDefault="00E50336" w:rsidP="00E50336">
      <w:pPr>
        <w:pStyle w:val="berschrift3"/>
      </w:pPr>
      <w:r>
        <w:t>Satz 3.3.212</w:t>
      </w:r>
    </w:p>
    <w:p w:rsidR="00E50336" w:rsidRDefault="00E50336" w:rsidP="00E50336">
      <w:pPr>
        <w:pStyle w:val="StandardWeb"/>
      </w:pPr>
      <w:r>
        <w:lastRenderedPageBreak/>
        <w:t>Die Forderung, sämtliche Komponenten einer funktionalen Zerlegung müssten paarweise disjunkt sein, ist keine universell notwendige Voraussetzung des allgemeinen FRZK.</w:t>
      </w:r>
    </w:p>
    <w:p w:rsidR="00E50336" w:rsidRDefault="00E50336" w:rsidP="00E50336">
      <w:pPr>
        <w:pStyle w:val="StandardWeb"/>
      </w:pPr>
      <w:r>
        <w:t>Formal gilt</w:t>
      </w:r>
    </w:p>
    <w:p w:rsidR="00E50336" w:rsidRDefault="00E50336" w:rsidP="00E50336">
      <w:pPr>
        <w:pStyle w:val="berschrift1"/>
      </w:pPr>
      <w:r>
        <w:t>[</w:t>
      </w:r>
      <w:r>
        <w:br/>
        <w:t>\boxed{</w:t>
      </w:r>
      <w:r>
        <w:br/>
        <w:t>U_{\mathrm{Ax}}</w:t>
      </w:r>
      <w:r>
        <w:br/>
        <w:t>(A_{\mathrm{disj}})</w:t>
      </w:r>
    </w:p>
    <w:p w:rsidR="00E50336" w:rsidRDefault="00E50336" w:rsidP="009F7790">
      <w:pPr>
        <w:numPr>
          <w:ilvl w:val="0"/>
          <w:numId w:val="655"/>
        </w:numPr>
        <w:spacing w:before="100" w:beforeAutospacing="1" w:after="100" w:afterAutospacing="1"/>
      </w:pPr>
    </w:p>
    <w:p w:rsidR="00E50336" w:rsidRDefault="00E50336" w:rsidP="00E50336">
      <w:pPr>
        <w:pStyle w:val="StandardWeb"/>
      </w:pPr>
      <w:r>
        <w:t>}</w:t>
      </w:r>
      <w:r>
        <w:br/>
        <w:t>\tag{3.13381}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\boxed{U_{\mathrm{Ax}}(A_{\mathrm{disj}})=0.}</w:t>
      </w:r>
    </w:p>
    <w:p w:rsidR="00E50336" w:rsidRDefault="00E50336" w:rsidP="00E50336">
      <w:pPr>
        <w:pStyle w:val="berschrift3"/>
      </w:pPr>
      <w:r>
        <w:t>Beweis</w:t>
      </w:r>
    </w:p>
    <w:p w:rsidR="00E50336" w:rsidRDefault="00E50336" w:rsidP="00E50336">
      <w:pPr>
        <w:pStyle w:val="StandardWeb"/>
      </w:pPr>
      <w:r>
        <w:t>Eine zulässige Zerlegung kann zwei Komponenten mit nichtleerer funktionaler Überlappung besitzen:</w:t>
      </w:r>
    </w:p>
    <w:p w:rsidR="00E50336" w:rsidRDefault="00E50336" w:rsidP="00E50336">
      <w:pPr>
        <w:pStyle w:val="StandardWeb"/>
      </w:pPr>
      <w:r>
        <w:t>[</w:t>
      </w:r>
      <w:r>
        <w:br/>
        <w:t>\mathcal O_F(X_1,X_2)\neq\varnothing.</w:t>
      </w:r>
      <w:r>
        <w:br/>
        <w:t>\tag{3.13382}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O_F(X_1,X_2)\neq\varnothing</w:t>
      </w:r>
    </w:p>
    <w:p w:rsidR="00E50336" w:rsidRDefault="00E50336" w:rsidP="00E50336">
      <w:pPr>
        <w:pStyle w:val="StandardWeb"/>
      </w:pPr>
      <w:r>
        <w:t>Die Existenz dieser Überlappung erzeugt keinen Widerspruch zur allgemeinen FRZK-Struktur. Somit ist paarweise Disjunktheit nicht universell notwendig. (\square)</w:t>
      </w:r>
    </w:p>
    <w:p w:rsidR="00E50336" w:rsidRDefault="00E50336" w:rsidP="00E50336">
      <w:r>
        <w:pict>
          <v:rect id="_x0000_i5263" style="width:0;height:1.5pt" o:hralign="center" o:hrstd="t" o:hr="t" fillcolor="#a0a0a0" stroked="f"/>
        </w:pict>
      </w:r>
    </w:p>
    <w:p w:rsidR="00E50336" w:rsidRDefault="00E50336" w:rsidP="00E50336">
      <w:pPr>
        <w:pStyle w:val="berschrift2"/>
      </w:pPr>
      <w:r>
        <w:t>3.3.51.96 Korollar 3.3.51 – Überlappungsstruktur ist modellabhängig</w:t>
      </w:r>
    </w:p>
    <w:p w:rsidR="00E50336" w:rsidRDefault="00E50336" w:rsidP="00E50336">
      <w:pPr>
        <w:pStyle w:val="berschrift3"/>
      </w:pPr>
      <w:r>
        <w:t>Korollar 3.3.51</w:t>
      </w:r>
    </w:p>
    <w:p w:rsidR="00E50336" w:rsidRDefault="00E50336" w:rsidP="00E50336">
      <w:pPr>
        <w:pStyle w:val="StandardWeb"/>
      </w:pPr>
      <w:r>
        <w:t>Aus Satz 3.3.212 folgt</w:t>
      </w:r>
    </w:p>
    <w:p w:rsidR="00E50336" w:rsidRDefault="00E50336" w:rsidP="00E50336">
      <w:pPr>
        <w:pStyle w:val="berschrift1"/>
      </w:pPr>
      <w:r>
        <w:lastRenderedPageBreak/>
        <w:t>[</w:t>
      </w:r>
      <w:r>
        <w:br/>
        <w:t>\boxed{</w:t>
      </w:r>
      <w:r>
        <w:br/>
        <w:t>\operatorname{Stat}</w:t>
      </w:r>
      <w:r>
        <w:br/>
        <w:t>(\mathcal O_F)</w:t>
      </w:r>
    </w:p>
    <w:p w:rsidR="00E50336" w:rsidRDefault="00E50336" w:rsidP="00E50336">
      <w:pPr>
        <w:pStyle w:val="StandardWeb"/>
      </w:pPr>
      <w:r>
        <w:t>\mathrm{Def/Mod}.</w:t>
      </w:r>
      <w:r>
        <w:br/>
        <w:t>}</w:t>
      </w:r>
      <w:r>
        <w:br/>
        <w:t>\tag{3.13383}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\boxed{\operatorname{Stat}(\mathcal O_F)=\mathrm{Def/Mod}.}</w:t>
      </w:r>
    </w:p>
    <w:p w:rsidR="00E50336" w:rsidRDefault="00E50336" w:rsidP="00E50336">
      <w:r>
        <w:pict>
          <v:rect id="_x0000_i5264" style="width:0;height:1.5pt" o:hralign="center" o:hrstd="t" o:hr="t" fillcolor="#a0a0a0" stroked="f"/>
        </w:pict>
      </w:r>
    </w:p>
    <w:p w:rsidR="00E50336" w:rsidRDefault="00E50336" w:rsidP="00E50336">
      <w:pPr>
        <w:pStyle w:val="berschrift2"/>
      </w:pPr>
      <w:r>
        <w:t>3.3.51.97 Redundante Komponenten</w:t>
      </w:r>
    </w:p>
    <w:p w:rsidR="00E50336" w:rsidRDefault="00E50336" w:rsidP="00E50336">
      <w:pPr>
        <w:pStyle w:val="StandardWeb"/>
      </w:pPr>
      <w:r>
        <w:t>Eine Zerlegung kann Komponenten enthalten, deren Entfernung die Aggregation nicht verändert.</w:t>
      </w:r>
    </w:p>
    <w:p w:rsidR="00E50336" w:rsidRDefault="00E50336" w:rsidP="00E50336">
      <w:pPr>
        <w:pStyle w:val="StandardWeb"/>
      </w:pPr>
      <w:r>
        <w:t>Sei</w:t>
      </w:r>
    </w:p>
    <w:p w:rsidR="00E50336" w:rsidRDefault="00E50336" w:rsidP="00E50336">
      <w:pPr>
        <w:pStyle w:val="berschrift1"/>
      </w:pPr>
      <w:r>
        <w:t>[</w:t>
      </w:r>
      <w:r>
        <w:br/>
        <w:t>\mathcal D_F(Z)</w:t>
      </w:r>
    </w:p>
    <w:p w:rsidR="00E50336" w:rsidRDefault="00E50336" w:rsidP="00E50336">
      <w:pPr>
        <w:pStyle w:val="StandardWeb"/>
      </w:pPr>
      <w:r>
        <w:t>{X_1,\ldots,X_n}.</w:t>
      </w:r>
      <w:r>
        <w:br/>
        <w:t>\tag{3.13384}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D_F(Z)=\{X_1,\ldots,X_n\}</w:t>
      </w:r>
    </w:p>
    <w:p w:rsidR="00E50336" w:rsidRDefault="00E50336" w:rsidP="00E50336">
      <w:pPr>
        <w:pStyle w:val="StandardWeb"/>
      </w:pPr>
      <w:r>
        <w:t>Für eine Komponente (X_k) kann gelten</w:t>
      </w:r>
    </w:p>
    <w:p w:rsidR="00E50336" w:rsidRDefault="00E50336" w:rsidP="00E50336">
      <w:pPr>
        <w:pStyle w:val="berschrift1"/>
      </w:pPr>
      <w:r>
        <w:t>[</w:t>
      </w:r>
      <w:r>
        <w:br/>
        <w:t>\mathcal A_F(X_1,\ldots,X_n)</w:t>
      </w:r>
    </w:p>
    <w:p w:rsidR="00E50336" w:rsidRDefault="00E50336" w:rsidP="00E50336">
      <w:pPr>
        <w:pStyle w:val="StandardWeb"/>
      </w:pPr>
      <w:r>
        <w:t>\mathcal A_F(X_1,\ldots,\widehat{X_k},\ldots,X_n),</w:t>
      </w:r>
      <w:r>
        <w:br/>
        <w:t>\tag{3.13385}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lastRenderedPageBreak/>
        <w:t>\mathcal A_F(X_1,\ldots,X_n)=\mathcal A_F(X_1,\ldots,\widehat{X_k},\ldots,X_n)</w:t>
      </w:r>
    </w:p>
    <w:p w:rsidR="00E50336" w:rsidRDefault="00E50336" w:rsidP="00E50336">
      <w:pPr>
        <w:pStyle w:val="StandardWeb"/>
      </w:pPr>
      <w:r>
        <w:t>wobei (\widehat{X_k}) das Weglassen der Komponente bezeichnet.</w:t>
      </w:r>
    </w:p>
    <w:p w:rsidR="00E50336" w:rsidRDefault="00E50336" w:rsidP="00E50336">
      <w:r>
        <w:pict>
          <v:rect id="_x0000_i5265" style="width:0;height:1.5pt" o:hralign="center" o:hrstd="t" o:hr="t" fillcolor="#a0a0a0" stroked="f"/>
        </w:pict>
      </w:r>
    </w:p>
    <w:p w:rsidR="00E50336" w:rsidRDefault="00E50336" w:rsidP="00E50336">
      <w:pPr>
        <w:pStyle w:val="berschrift2"/>
      </w:pPr>
      <w:r>
        <w:t>3.3.51.98 Definition 3.3.544 – Funktional redundante Komponente</w:t>
      </w:r>
    </w:p>
    <w:p w:rsidR="00E50336" w:rsidRDefault="00E50336" w:rsidP="00E50336">
      <w:pPr>
        <w:pStyle w:val="berschrift3"/>
      </w:pPr>
      <w:r>
        <w:t>Definition 3.3.544</w:t>
      </w:r>
    </w:p>
    <w:p w:rsidR="00E50336" w:rsidRDefault="00E50336" w:rsidP="00E50336">
      <w:pPr>
        <w:pStyle w:val="StandardWeb"/>
      </w:pPr>
      <w:r>
        <w:t xml:space="preserve">Eine Komponente (X_k) heißt </w:t>
      </w:r>
      <w:r>
        <w:rPr>
          <w:rStyle w:val="Fett"/>
        </w:rPr>
        <w:t>funktional redundant bezüglich (\mathcal A_F)</w:t>
      </w:r>
      <w:r>
        <w:t>, wenn</w:t>
      </w:r>
    </w:p>
    <w:p w:rsidR="00E50336" w:rsidRDefault="00E50336" w:rsidP="00E50336">
      <w:pPr>
        <w:pStyle w:val="berschrift1"/>
      </w:pPr>
      <w:r>
        <w:t>[</w:t>
      </w:r>
      <w:r>
        <w:br/>
        <w:t>\boxed{</w:t>
      </w:r>
      <w:r>
        <w:br/>
        <w:t>\mathcal A_F(X_1,\ldots,X_n)</w:t>
      </w:r>
    </w:p>
    <w:p w:rsidR="00E50336" w:rsidRDefault="00E50336" w:rsidP="00E50336">
      <w:pPr>
        <w:pStyle w:val="StandardWeb"/>
      </w:pPr>
      <w:r>
        <w:t>\mathcal A_F(X_1,\ldots,\widehat{X_k},\ldots,X_n).</w:t>
      </w:r>
      <w:r>
        <w:br/>
        <w:t>}</w:t>
      </w:r>
      <w:r>
        <w:br/>
        <w:t>\tag{3.13386}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A_F(X_1,\ldots,X_n)=\mathcal A_F(X_1,\ldots,\widehat{X_k},\ldots,X_n).}</w:t>
      </w:r>
    </w:p>
    <w:p w:rsidR="00E50336" w:rsidRDefault="00E50336" w:rsidP="00E50336">
      <w:r>
        <w:pict>
          <v:rect id="_x0000_i5266" style="width:0;height:1.5pt" o:hralign="center" o:hrstd="t" o:hr="t" fillcolor="#a0a0a0" stroked="f"/>
        </w:pict>
      </w:r>
    </w:p>
    <w:p w:rsidR="00E50336" w:rsidRDefault="00E50336" w:rsidP="00E50336">
      <w:pPr>
        <w:pStyle w:val="berschrift2"/>
      </w:pPr>
      <w:r>
        <w:t>3.3.51.99 Irredundante Zerlegung</w:t>
      </w:r>
    </w:p>
    <w:p w:rsidR="00E50336" w:rsidRDefault="00E50336" w:rsidP="00E50336">
      <w:pPr>
        <w:pStyle w:val="StandardWeb"/>
      </w:pPr>
      <w:r>
        <w:t>Eine Zerlegung heißt irredundant, wenn keine ihrer Komponenten redundant ist.</w:t>
      </w:r>
    </w:p>
    <w:p w:rsidR="00E50336" w:rsidRDefault="00E50336" w:rsidP="00E50336">
      <w:r>
        <w:pict>
          <v:rect id="_x0000_i5267" style="width:0;height:1.5pt" o:hralign="center" o:hrstd="t" o:hr="t" fillcolor="#a0a0a0" stroked="f"/>
        </w:pict>
      </w:r>
    </w:p>
    <w:p w:rsidR="00E50336" w:rsidRDefault="00E50336" w:rsidP="00E50336">
      <w:pPr>
        <w:pStyle w:val="berschrift2"/>
      </w:pPr>
      <w:r>
        <w:t>3.3.51.100 Definition 3.3.545 – Funktional irredundante Zerlegung</w:t>
      </w:r>
    </w:p>
    <w:p w:rsidR="00E50336" w:rsidRDefault="00E50336" w:rsidP="00E50336">
      <w:pPr>
        <w:pStyle w:val="berschrift3"/>
      </w:pPr>
      <w:r>
        <w:t>Definition 3.3.545</w:t>
      </w:r>
    </w:p>
    <w:p w:rsidR="00E50336" w:rsidRDefault="00E50336" w:rsidP="00E50336">
      <w:pPr>
        <w:pStyle w:val="StandardWeb"/>
      </w:pPr>
      <w:r>
        <w:t xml:space="preserve">Eine Zerlegung (\mathcal D_F(Z)={X_1,\ldots,X_n}) heißt </w:t>
      </w:r>
      <w:r>
        <w:rPr>
          <w:rStyle w:val="Fett"/>
        </w:rPr>
        <w:t>funktional irredundant</w:t>
      </w:r>
      <w:r>
        <w:t>, wenn</w:t>
      </w:r>
    </w:p>
    <w:p w:rsidR="00E50336" w:rsidRDefault="00E50336" w:rsidP="00E50336">
      <w:pPr>
        <w:pStyle w:val="StandardWeb"/>
      </w:pPr>
      <w:r>
        <w:t>[</w:t>
      </w:r>
      <w:r>
        <w:br/>
        <w:t>\boxed{</w:t>
      </w:r>
      <w:r>
        <w:br/>
        <w:t>\forall k:</w:t>
      </w:r>
      <w:r>
        <w:br/>
        <w:t>\mathcal A_F(X_1,\ldots,X_n)</w:t>
      </w:r>
      <w:r>
        <w:br/>
        <w:t>\neq</w:t>
      </w:r>
      <w:r>
        <w:br/>
        <w:t>\mathcal A_F(X_1,\ldots,\widehat{X_k},\ldots,X_n).</w:t>
      </w:r>
      <w:r>
        <w:br/>
      </w:r>
      <w:r>
        <w:lastRenderedPageBreak/>
        <w:t>}</w:t>
      </w:r>
      <w:r>
        <w:br/>
        <w:t>\tag{3.13387}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\boxed{\forall k:\mathcal A_F(X_1,\ldots,X_n)\neq\mathcal A_F(X_1,\ldots,\widehat{X_k},\ldots,X_n).}</w:t>
      </w:r>
    </w:p>
    <w:p w:rsidR="00E50336" w:rsidRDefault="00E50336" w:rsidP="00E50336">
      <w:r>
        <w:pict>
          <v:rect id="_x0000_i5268" style="width:0;height:1.5pt" o:hralign="center" o:hrstd="t" o:hr="t" fillcolor="#a0a0a0" stroked="f"/>
        </w:pict>
      </w:r>
    </w:p>
    <w:p w:rsidR="00E50336" w:rsidRDefault="00E50336" w:rsidP="00E50336">
      <w:pPr>
        <w:pStyle w:val="berschrift2"/>
      </w:pPr>
      <w:r>
        <w:t>3.3.51.101 Irredundanz als Primäraxiomkandidat</w:t>
      </w:r>
    </w:p>
    <w:p w:rsidR="00E50336" w:rsidRDefault="00E50336" w:rsidP="00E50336">
      <w:pPr>
        <w:pStyle w:val="StandardWeb"/>
      </w:pPr>
      <w:r>
        <w:t>Ein möglicher Kandidat lautet</w:t>
      </w:r>
    </w:p>
    <w:p w:rsidR="00E50336" w:rsidRDefault="00E50336" w:rsidP="00E50336">
      <w:pPr>
        <w:pStyle w:val="StandardWeb"/>
      </w:pPr>
      <w:r>
        <w:t>[</w:t>
      </w:r>
      <w:r>
        <w:br/>
        <w:t>A_{\mathrm{irred}}</w:t>
      </w:r>
      <w:r>
        <w:br/>
        <w:t>:</w:t>
      </w:r>
      <w:r>
        <w:br/>
        <w:t>\mathcal D_F(Z)</w:t>
      </w:r>
      <w:r>
        <w:br/>
        <w:t>\text{ ist für jedes }Z\text{ irredundant}.</w:t>
      </w:r>
      <w:r>
        <w:br/>
        <w:t>\tag{3.13388}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A_{\mathrm{irred}}:\mathcal D_F(Z)\text{ ist für jedes }Z\text{ irredundant}</w:t>
      </w:r>
    </w:p>
    <w:p w:rsidR="00E50336" w:rsidRDefault="00E50336" w:rsidP="00E50336">
      <w:r>
        <w:pict>
          <v:rect id="_x0000_i5269" style="width:0;height:1.5pt" o:hralign="center" o:hrstd="t" o:hr="t" fillcolor="#a0a0a0" stroked="f"/>
        </w:pict>
      </w:r>
    </w:p>
    <w:p w:rsidR="00E50336" w:rsidRDefault="00E50336" w:rsidP="00E50336">
      <w:pPr>
        <w:pStyle w:val="berschrift2"/>
      </w:pPr>
      <w:r>
        <w:t>3.3.51.102 Gegenmodell zur Irredundanz</w:t>
      </w:r>
    </w:p>
    <w:p w:rsidR="00E50336" w:rsidRDefault="00E50336" w:rsidP="00E50336">
      <w:pPr>
        <w:pStyle w:val="StandardWeb"/>
      </w:pPr>
      <w:r>
        <w:t>Eine Modellklasse kann bewusst redundante Repräsentationen zulassen:</w:t>
      </w:r>
    </w:p>
    <w:p w:rsidR="00E50336" w:rsidRDefault="00E50336" w:rsidP="00E50336">
      <w:pPr>
        <w:pStyle w:val="StandardWeb"/>
      </w:pPr>
      <w:r>
        <w:t>[</w:t>
      </w:r>
      <w:r>
        <w:br/>
        <w:t>X_k</w:t>
      </w:r>
      <w:r>
        <w:br/>
        <w:t>\in</w:t>
      </w:r>
      <w:r>
        <w:br/>
        <w:t>\mathcal D_F(Z)</w:t>
      </w:r>
      <w:r>
        <w:br/>
        <w:t>\tag{3.13389}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X_k\in\mathcal D_F(Z)</w:t>
      </w:r>
    </w:p>
    <w:p w:rsidR="00E50336" w:rsidRDefault="00E50336" w:rsidP="00E50336">
      <w:pPr>
        <w:pStyle w:val="StandardWeb"/>
      </w:pPr>
      <w:r>
        <w:t>mit</w:t>
      </w:r>
    </w:p>
    <w:p w:rsidR="00E50336" w:rsidRDefault="00E50336" w:rsidP="00E50336">
      <w:pPr>
        <w:pStyle w:val="berschrift1"/>
      </w:pPr>
      <w:r>
        <w:t>[</w:t>
      </w:r>
      <w:r>
        <w:br/>
        <w:t>\mathcal A_F</w:t>
      </w:r>
      <w:r>
        <w:br/>
        <w:t>\bigl(</w:t>
      </w:r>
      <w:r>
        <w:br/>
      </w:r>
      <w:r>
        <w:lastRenderedPageBreak/>
        <w:t>\mathcal D_F(Z)</w:t>
      </w:r>
      <w:r>
        <w:br/>
        <w:t>\bigr)</w:t>
      </w:r>
    </w:p>
    <w:p w:rsidR="00E50336" w:rsidRDefault="00E50336" w:rsidP="00E50336">
      <w:pPr>
        <w:pStyle w:val="StandardWeb"/>
      </w:pPr>
      <w:r>
        <w:t>\mathcal A_F</w:t>
      </w:r>
      <w:r>
        <w:br/>
        <w:t>\bigl(</w:t>
      </w:r>
      <w:r>
        <w:br/>
        <w:t>\mathcal D_F(Z)\setminus{X_k}</w:t>
      </w:r>
      <w:r>
        <w:br/>
        <w:t>\bigr).</w:t>
      </w:r>
      <w:r>
        <w:br/>
        <w:t>\tag{3.13390}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A_F\bigl(\mathcal D_F(Z)\bigr)=\mathcal A_F\bigl(\mathcal D_F(Z)\setminus\{X_k\}\bigr)</w:t>
      </w:r>
    </w:p>
    <w:p w:rsidR="00E50336" w:rsidRDefault="00E50336" w:rsidP="00E50336">
      <w:r>
        <w:pict>
          <v:rect id="_x0000_i5270" style="width:0;height:1.5pt" o:hralign="center" o:hrstd="t" o:hr="t" fillcolor="#a0a0a0" stroked="f"/>
        </w:pict>
      </w:r>
    </w:p>
    <w:p w:rsidR="00E50336" w:rsidRDefault="00E50336" w:rsidP="00E50336">
      <w:pPr>
        <w:pStyle w:val="berschrift2"/>
      </w:pPr>
      <w:r>
        <w:t>3.3.51.103 Axiomentscheidung zur Irredundanz</w:t>
      </w:r>
    </w:p>
    <w:p w:rsidR="00E50336" w:rsidRDefault="00E50336" w:rsidP="00E50336">
      <w:pPr>
        <w:pStyle w:val="StandardWeb"/>
      </w:pPr>
      <w:r>
        <w:t>Damit gilt</w:t>
      </w:r>
    </w:p>
    <w:p w:rsidR="00E50336" w:rsidRDefault="00E50336" w:rsidP="00E50336">
      <w:pPr>
        <w:pStyle w:val="berschrift1"/>
      </w:pPr>
      <w:r>
        <w:t>[</w:t>
      </w:r>
      <w:r>
        <w:br/>
        <w:t>\boxed{</w:t>
      </w:r>
      <w:r>
        <w:br/>
        <w:t>U_{\mathrm{Ax}}</w:t>
      </w:r>
      <w:r>
        <w:br/>
        <w:t>(A_{\mathrm{irred}})</w:t>
      </w:r>
    </w:p>
    <w:p w:rsidR="00E50336" w:rsidRDefault="00E50336" w:rsidP="009F7790">
      <w:pPr>
        <w:numPr>
          <w:ilvl w:val="0"/>
          <w:numId w:val="656"/>
        </w:numPr>
        <w:spacing w:before="100" w:beforeAutospacing="1" w:after="100" w:afterAutospacing="1"/>
      </w:pPr>
    </w:p>
    <w:p w:rsidR="00E50336" w:rsidRDefault="00E50336" w:rsidP="00E50336">
      <w:pPr>
        <w:pStyle w:val="StandardWeb"/>
      </w:pPr>
      <w:r>
        <w:t>}</w:t>
      </w:r>
      <w:r>
        <w:br/>
        <w:t>\tag{3.13391}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\boxed{U_{\mathrm{Ax}}(A_{\mathrm{irred}})=0.}</w:t>
      </w:r>
    </w:p>
    <w:p w:rsidR="00E50336" w:rsidRDefault="00E50336" w:rsidP="00E50336">
      <w:r>
        <w:pict>
          <v:rect id="_x0000_i5271" style="width:0;height:1.5pt" o:hralign="center" o:hrstd="t" o:hr="t" fillcolor="#a0a0a0" stroked="f"/>
        </w:pict>
      </w:r>
    </w:p>
    <w:p w:rsidR="00E50336" w:rsidRDefault="00E50336" w:rsidP="00E50336">
      <w:pPr>
        <w:pStyle w:val="berschrift2"/>
      </w:pPr>
      <w:r>
        <w:t>3.3.51.104 Satz 3.3.213 – Irredundanz einer Zerlegung ist kein Primäraxiom</w:t>
      </w:r>
    </w:p>
    <w:p w:rsidR="00E50336" w:rsidRDefault="00E50336" w:rsidP="00E50336">
      <w:pPr>
        <w:pStyle w:val="berschrift3"/>
      </w:pPr>
      <w:r>
        <w:t>Satz 3.3.213</w:t>
      </w:r>
    </w:p>
    <w:p w:rsidR="00E50336" w:rsidRDefault="00E50336" w:rsidP="00E50336">
      <w:pPr>
        <w:pStyle w:val="StandardWeb"/>
      </w:pPr>
      <w:r>
        <w:t>Die Forderung, jede funktionale Zerlegung müsse vollständig irredundant sein, ist keine universell notwendige Voraussetzung des allgemeinen FRZK.</w:t>
      </w:r>
    </w:p>
    <w:p w:rsidR="00E50336" w:rsidRDefault="00E50336" w:rsidP="00E50336">
      <w:pPr>
        <w:pStyle w:val="berschrift1"/>
      </w:pPr>
      <w:r>
        <w:lastRenderedPageBreak/>
        <w:t>[</w:t>
      </w:r>
      <w:r>
        <w:br/>
        <w:t>\boxed{</w:t>
      </w:r>
      <w:r>
        <w:br/>
        <w:t>U_{\mathrm{Ax}}</w:t>
      </w:r>
      <w:r>
        <w:br/>
        <w:t>(A_{\mathrm{irred}})</w:t>
      </w:r>
    </w:p>
    <w:p w:rsidR="00E50336" w:rsidRDefault="00E50336" w:rsidP="009F7790">
      <w:pPr>
        <w:numPr>
          <w:ilvl w:val="0"/>
          <w:numId w:val="657"/>
        </w:numPr>
        <w:spacing w:before="100" w:beforeAutospacing="1" w:after="100" w:afterAutospacing="1"/>
      </w:pPr>
    </w:p>
    <w:p w:rsidR="00E50336" w:rsidRDefault="00E50336" w:rsidP="00E50336">
      <w:pPr>
        <w:pStyle w:val="StandardWeb"/>
      </w:pPr>
      <w:r>
        <w:t>}</w:t>
      </w:r>
      <w:r>
        <w:br/>
        <w:t>\tag{3.13392}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\boxed{U_{\mathrm{Ax}}(A_{\mathrm{irred}})=0.}</w:t>
      </w:r>
    </w:p>
    <w:p w:rsidR="00E50336" w:rsidRDefault="00E50336" w:rsidP="00E50336">
      <w:r>
        <w:pict>
          <v:rect id="_x0000_i5272" style="width:0;height:1.5pt" o:hralign="center" o:hrstd="t" o:hr="t" fillcolor="#a0a0a0" stroked="f"/>
        </w:pict>
      </w:r>
    </w:p>
    <w:p w:rsidR="00E50336" w:rsidRDefault="00E50336" w:rsidP="00E50336">
      <w:pPr>
        <w:pStyle w:val="berschrift2"/>
      </w:pPr>
      <w:r>
        <w:t>3.3.51.105 Informationsgehalt vor und nach Aggregation</w:t>
      </w:r>
    </w:p>
    <w:p w:rsidR="00E50336" w:rsidRDefault="00E50336" w:rsidP="00E50336">
      <w:pPr>
        <w:pStyle w:val="StandardWeb"/>
      </w:pPr>
      <w:r>
        <w:t>Um verlustfreie und verlustbehaftete Aggregation formal unterscheiden zu können, führe ich einen modellabhängigen Informationsfunktor</w:t>
      </w:r>
    </w:p>
    <w:p w:rsidR="00E50336" w:rsidRDefault="00E50336" w:rsidP="00E50336">
      <w:pPr>
        <w:pStyle w:val="StandardWeb"/>
      </w:pPr>
      <w:r>
        <w:t>[</w:t>
      </w:r>
      <w:r>
        <w:br/>
        <w:t>I_F</w:t>
      </w:r>
      <w:r>
        <w:br/>
        <w:t>:</w:t>
      </w:r>
      <w:r>
        <w:br/>
        <w:t>\mathcal X_F</w:t>
      </w:r>
      <w:r>
        <w:br/>
        <w:t>\rightarrow</w:t>
      </w:r>
      <w:r>
        <w:br/>
        <w:t>\mathcal V_I</w:t>
      </w:r>
      <w:r>
        <w:br/>
        <w:t>\tag{3.13393}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I_F:\mathcal X_F\rightarrow\mathcal V_I</w:t>
      </w:r>
    </w:p>
    <w:p w:rsidR="00E50336" w:rsidRDefault="00E50336" w:rsidP="00E50336">
      <w:pPr>
        <w:pStyle w:val="StandardWeb"/>
      </w:pPr>
      <w:r>
        <w:t>ein.</w:t>
      </w:r>
    </w:p>
    <w:p w:rsidR="00E50336" w:rsidRDefault="00E50336" w:rsidP="00E50336">
      <w:r>
        <w:pict>
          <v:rect id="_x0000_i5273" style="width:0;height:1.5pt" o:hralign="center" o:hrstd="t" o:hr="t" fillcolor="#a0a0a0" stroked="f"/>
        </w:pict>
      </w:r>
    </w:p>
    <w:p w:rsidR="00E50336" w:rsidRDefault="00E50336" w:rsidP="00E50336">
      <w:pPr>
        <w:pStyle w:val="berschrift2"/>
      </w:pPr>
      <w:r>
        <w:t>3.3.51.106 Definition 3.3.546 – Funktionaler Informationsfunktor</w:t>
      </w:r>
    </w:p>
    <w:p w:rsidR="00E50336" w:rsidRDefault="00E50336" w:rsidP="00E50336">
      <w:pPr>
        <w:pStyle w:val="berschrift3"/>
      </w:pPr>
      <w:r>
        <w:t>Definition 3.3.546</w:t>
      </w:r>
    </w:p>
    <w:p w:rsidR="00E50336" w:rsidRDefault="00E50336" w:rsidP="00E50336">
      <w:pPr>
        <w:pStyle w:val="StandardWeb"/>
      </w:pPr>
      <w:r>
        <w:t xml:space="preserve">Ein </w:t>
      </w:r>
      <w:r>
        <w:rPr>
          <w:rStyle w:val="Fett"/>
        </w:rPr>
        <w:t>funktionaler Informationsfunktor</w:t>
      </w:r>
      <w:r>
        <w:t xml:space="preserve"> ist eine modellabhängige Abbildung</w:t>
      </w:r>
    </w:p>
    <w:p w:rsidR="00E50336" w:rsidRDefault="00E50336" w:rsidP="00E50336">
      <w:pPr>
        <w:pStyle w:val="StandardWeb"/>
      </w:pPr>
      <w:r>
        <w:t>[</w:t>
      </w:r>
      <w:r>
        <w:br/>
        <w:t>\boxed{</w:t>
      </w:r>
      <w:r>
        <w:br/>
      </w:r>
      <w:r>
        <w:lastRenderedPageBreak/>
        <w:t>I_F</w:t>
      </w:r>
      <w:r>
        <w:br/>
        <w:t>:</w:t>
      </w:r>
      <w:r>
        <w:br/>
        <w:t>\mathcal X_F</w:t>
      </w:r>
      <w:r>
        <w:br/>
        <w:t>\rightarrow</w:t>
      </w:r>
      <w:r>
        <w:br/>
        <w:t>\mathcal V_I,</w:t>
      </w:r>
      <w:r>
        <w:br/>
        <w:t>}</w:t>
      </w:r>
      <w:r>
        <w:br/>
        <w:t>\tag{3.13394}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\boxed{I_F:\mathcal X_F\rightarrow\mathcal V_I,}</w:t>
      </w:r>
    </w:p>
    <w:p w:rsidR="00E50336" w:rsidRDefault="00E50336" w:rsidP="00E50336">
      <w:pPr>
        <w:pStyle w:val="StandardWeb"/>
      </w:pPr>
      <w:r>
        <w:t>durch die der für eine konkrete Modellfrage relevante Informationsgehalt eines funktionalen Objekts beschrieben wird.</w:t>
      </w:r>
    </w:p>
    <w:p w:rsidR="00E50336" w:rsidRDefault="00E50336" w:rsidP="00E50336">
      <w:r>
        <w:pict>
          <v:rect id="_x0000_i5274" style="width:0;height:1.5pt" o:hralign="center" o:hrstd="t" o:hr="t" fillcolor="#a0a0a0" stroked="f"/>
        </w:pict>
      </w:r>
    </w:p>
    <w:p w:rsidR="00E50336" w:rsidRDefault="00E50336" w:rsidP="00E50336">
      <w:pPr>
        <w:pStyle w:val="berschrift2"/>
      </w:pPr>
      <w:r>
        <w:t>3.3.51.107 Informationsäquivalente Aggregation</w:t>
      </w:r>
    </w:p>
    <w:p w:rsidR="00E50336" w:rsidRDefault="00E50336" w:rsidP="00E50336">
      <w:pPr>
        <w:pStyle w:val="StandardWeb"/>
      </w:pPr>
      <w:r>
        <w:t>Eine Aggregation kann hinsichtlich des gewählten Informationsfunktors verlustfrei sein.</w:t>
      </w:r>
    </w:p>
    <w:p w:rsidR="00E50336" w:rsidRDefault="00E50336" w:rsidP="00E50336">
      <w:pPr>
        <w:pStyle w:val="StandardWeb"/>
      </w:pPr>
      <w:r>
        <w:t>Ich schreibe</w:t>
      </w:r>
    </w:p>
    <w:p w:rsidR="00E50336" w:rsidRDefault="00E50336" w:rsidP="00E50336">
      <w:pPr>
        <w:pStyle w:val="berschrift1"/>
      </w:pPr>
      <w:r>
        <w:t>[</w:t>
      </w:r>
      <w:r>
        <w:br/>
        <w:t>I_F</w:t>
      </w:r>
      <w:r>
        <w:br/>
        <w:t>\bigl(</w:t>
      </w:r>
      <w:r>
        <w:br/>
        <w:t>\mathcal A_F(X_1,\ldots,X_n)</w:t>
      </w:r>
      <w:r>
        <w:br/>
        <w:t>\bigr)</w:t>
      </w:r>
    </w:p>
    <w:p w:rsidR="00E50336" w:rsidRDefault="00E50336" w:rsidP="00E50336">
      <w:pPr>
        <w:pStyle w:val="StandardWeb"/>
      </w:pPr>
      <w:r>
        <w:t>I_F(X_1,\ldots,X_n).</w:t>
      </w:r>
      <w:r>
        <w:br/>
        <w:t>\tag{3.13395}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I_F\bigl(\mathcal A_F(X_1,\ldots,X_n)\bigr)=I_F(X_1,\ldots,X_n)</w:t>
      </w:r>
    </w:p>
    <w:p w:rsidR="00E50336" w:rsidRDefault="00E50336" w:rsidP="00E50336">
      <w:r>
        <w:pict>
          <v:rect id="_x0000_i5275" style="width:0;height:1.5pt" o:hralign="center" o:hrstd="t" o:hr="t" fillcolor="#a0a0a0" stroked="f"/>
        </w:pict>
      </w:r>
    </w:p>
    <w:p w:rsidR="00E50336" w:rsidRDefault="00E50336" w:rsidP="00E50336">
      <w:pPr>
        <w:pStyle w:val="berschrift2"/>
      </w:pPr>
      <w:r>
        <w:t>3.3.51.108 Definition 3.3.547 – Informationsverlustfreie funktionale Aggregation</w:t>
      </w:r>
    </w:p>
    <w:p w:rsidR="00E50336" w:rsidRDefault="00E50336" w:rsidP="00E50336">
      <w:pPr>
        <w:pStyle w:val="berschrift3"/>
      </w:pPr>
      <w:r>
        <w:t>Definition 3.3.547</w:t>
      </w:r>
    </w:p>
    <w:p w:rsidR="00E50336" w:rsidRDefault="00E50336" w:rsidP="00E50336">
      <w:pPr>
        <w:pStyle w:val="StandardWeb"/>
      </w:pPr>
      <w:r>
        <w:t xml:space="preserve">Eine Aggregation heißt </w:t>
      </w:r>
      <w:r>
        <w:rPr>
          <w:rStyle w:val="Fett"/>
        </w:rPr>
        <w:t>informationsverlustfrei bezüglich (I_F)</w:t>
      </w:r>
      <w:r>
        <w:t>, wenn</w:t>
      </w:r>
    </w:p>
    <w:p w:rsidR="00E50336" w:rsidRDefault="00E50336" w:rsidP="00E50336">
      <w:pPr>
        <w:pStyle w:val="berschrift1"/>
      </w:pPr>
      <w:r>
        <w:lastRenderedPageBreak/>
        <w:t>[</w:t>
      </w:r>
      <w:r>
        <w:br/>
        <w:t>\boxed{</w:t>
      </w:r>
      <w:r>
        <w:br/>
        <w:t>I_F</w:t>
      </w:r>
      <w:r>
        <w:br/>
        <w:t>\bigl(</w:t>
      </w:r>
      <w:r>
        <w:br/>
        <w:t>\mathcal A_F(X_1,\ldots,X_n)</w:t>
      </w:r>
      <w:r>
        <w:br/>
        <w:t>\bigr)</w:t>
      </w:r>
    </w:p>
    <w:p w:rsidR="00E50336" w:rsidRDefault="00E50336" w:rsidP="00E50336">
      <w:pPr>
        <w:pStyle w:val="StandardWeb"/>
      </w:pPr>
      <w:r>
        <w:t>I_F(X_1,\ldots,X_n).</w:t>
      </w:r>
      <w:r>
        <w:br/>
        <w:t>}</w:t>
      </w:r>
      <w:r>
        <w:br/>
        <w:t>\tag{3.13396}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\boxed{I_F\bigl(\mathcal A_F(X_1,\ldots,X_n)\bigr)=I_F(X_1,\ldots,X_n).}</w:t>
      </w:r>
    </w:p>
    <w:p w:rsidR="00E50336" w:rsidRDefault="00E50336" w:rsidP="00E50336">
      <w:r>
        <w:pict>
          <v:rect id="_x0000_i5276" style="width:0;height:1.5pt" o:hralign="center" o:hrstd="t" o:hr="t" fillcolor="#a0a0a0" stroked="f"/>
        </w:pict>
      </w:r>
    </w:p>
    <w:p w:rsidR="00E50336" w:rsidRDefault="00E50336" w:rsidP="00E50336">
      <w:pPr>
        <w:pStyle w:val="berschrift2"/>
      </w:pPr>
      <w:r>
        <w:t>3.3.51.109 Informationsverlustbehaftete Aggregation</w:t>
      </w:r>
    </w:p>
    <w:p w:rsidR="00E50336" w:rsidRDefault="00E50336" w:rsidP="00E50336">
      <w:pPr>
        <w:pStyle w:val="StandardWeb"/>
      </w:pPr>
      <w:r>
        <w:t>Eine verlustbehaftete Aggregation erfüllt dagegen</w:t>
      </w:r>
    </w:p>
    <w:p w:rsidR="00E50336" w:rsidRDefault="00E50336" w:rsidP="00E50336">
      <w:pPr>
        <w:pStyle w:val="StandardWeb"/>
      </w:pPr>
      <w:r>
        <w:t>[</w:t>
      </w:r>
      <w:r>
        <w:br/>
        <w:t>I_F</w:t>
      </w:r>
      <w:r>
        <w:br/>
        <w:t>\bigl(</w:t>
      </w:r>
      <w:r>
        <w:br/>
        <w:t>\mathcal A_F(X_1,\ldots,X_n)</w:t>
      </w:r>
      <w:r>
        <w:br/>
        <w:t>\bigr)</w:t>
      </w:r>
      <w:r>
        <w:br/>
        <w:t>\neq</w:t>
      </w:r>
      <w:r>
        <w:br/>
        <w:t>I_F(X_1,\ldots,X_n).</w:t>
      </w:r>
      <w:r>
        <w:br/>
        <w:t>\tag{3.13397}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I_F\bigl(\mathcal A_F(X_1,\ldots,X_n)\bigr)\neq I_F(X_1,\ldots,X_n)</w:t>
      </w:r>
    </w:p>
    <w:p w:rsidR="00E50336" w:rsidRDefault="00E50336" w:rsidP="00E50336">
      <w:r>
        <w:pict>
          <v:rect id="_x0000_i5277" style="width:0;height:1.5pt" o:hralign="center" o:hrstd="t" o:hr="t" fillcolor="#a0a0a0" stroked="f"/>
        </w:pict>
      </w:r>
    </w:p>
    <w:p w:rsidR="00E50336" w:rsidRDefault="00E50336" w:rsidP="00E50336">
      <w:pPr>
        <w:pStyle w:val="berschrift2"/>
      </w:pPr>
      <w:r>
        <w:t>3.3.51.110 Definition 3.3.548 – Informationsverlustbehaftete funktionale Aggregation</w:t>
      </w:r>
    </w:p>
    <w:p w:rsidR="00E50336" w:rsidRDefault="00E50336" w:rsidP="00E50336">
      <w:pPr>
        <w:pStyle w:val="berschrift3"/>
      </w:pPr>
      <w:r>
        <w:t>Definition 3.3.548</w:t>
      </w:r>
    </w:p>
    <w:p w:rsidR="00E50336" w:rsidRDefault="00E50336" w:rsidP="00E50336">
      <w:pPr>
        <w:pStyle w:val="StandardWeb"/>
      </w:pPr>
      <w:r>
        <w:t xml:space="preserve">Eine Aggregation heißt </w:t>
      </w:r>
      <w:r>
        <w:rPr>
          <w:rStyle w:val="Fett"/>
        </w:rPr>
        <w:t>informationsverlustbehaftet bezüglich (I_F)</w:t>
      </w:r>
      <w:r>
        <w:t>, wenn</w:t>
      </w:r>
    </w:p>
    <w:p w:rsidR="00E50336" w:rsidRDefault="00E50336" w:rsidP="00E50336">
      <w:pPr>
        <w:pStyle w:val="StandardWeb"/>
      </w:pPr>
      <w:r>
        <w:t>[</w:t>
      </w:r>
      <w:r>
        <w:br/>
        <w:t>\boxed{</w:t>
      </w:r>
      <w:r>
        <w:br/>
      </w:r>
      <w:r>
        <w:lastRenderedPageBreak/>
        <w:t>I_F</w:t>
      </w:r>
      <w:r>
        <w:br/>
        <w:t>\bigl(</w:t>
      </w:r>
      <w:r>
        <w:br/>
        <w:t>\mathcal A_F(X_1,\ldots,X_n)</w:t>
      </w:r>
      <w:r>
        <w:br/>
        <w:t>\bigr)</w:t>
      </w:r>
      <w:r>
        <w:br/>
        <w:t>\neq</w:t>
      </w:r>
      <w:r>
        <w:br/>
        <w:t>I_F(X_1,\ldots,X_n).</w:t>
      </w:r>
      <w:r>
        <w:br/>
        <w:t>}</w:t>
      </w:r>
      <w:r>
        <w:br/>
        <w:t>\tag{3.13398}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\boxed{I_F\bigl(\mathcal A_F(X_1,\ldots,X_n)\bigr)\neq I_F(X_1,\ldots,X_n).}</w:t>
      </w:r>
    </w:p>
    <w:p w:rsidR="00E50336" w:rsidRDefault="00E50336" w:rsidP="00E50336">
      <w:r>
        <w:pict>
          <v:rect id="_x0000_i5278" style="width:0;height:1.5pt" o:hralign="center" o:hrstd="t" o:hr="t" fillcolor="#a0a0a0" stroked="f"/>
        </w:pict>
      </w:r>
    </w:p>
    <w:p w:rsidR="00E50336" w:rsidRDefault="00E50336" w:rsidP="00E50336">
      <w:pPr>
        <w:pStyle w:val="berschrift2"/>
      </w:pPr>
      <w:r>
        <w:t>3.3.51.111 Verlustfreiheit als Primäraxiomkandidat</w:t>
      </w:r>
    </w:p>
    <w:p w:rsidR="00E50336" w:rsidRDefault="00E50336" w:rsidP="00E50336">
      <w:pPr>
        <w:pStyle w:val="StandardWeb"/>
      </w:pPr>
      <w:r>
        <w:t>Ein möglicher Kandidat lautet</w:t>
      </w:r>
    </w:p>
    <w:p w:rsidR="00E50336" w:rsidRDefault="00E50336" w:rsidP="00E50336">
      <w:pPr>
        <w:pStyle w:val="StandardWeb"/>
      </w:pPr>
      <w:r>
        <w:t>[</w:t>
      </w:r>
      <w:r>
        <w:br/>
        <w:t>A_{\mathrm{lossless}}</w:t>
      </w:r>
      <w:r>
        <w:br/>
        <w:t>:</w:t>
      </w:r>
      <w:r>
        <w:br/>
        <w:t>\mathcal A_F</w:t>
      </w:r>
      <w:r>
        <w:br/>
        <w:t>\text{ ist stets informationsverlustfrei}.</w:t>
      </w:r>
      <w:r>
        <w:br/>
        <w:t>\tag{3.13399}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A_{\mathrm{lossless}}:\mathcal A_F\text{ ist stets informationsverlustfrei}</w:t>
      </w:r>
    </w:p>
    <w:p w:rsidR="00E50336" w:rsidRDefault="00E50336" w:rsidP="00E50336">
      <w:r>
        <w:pict>
          <v:rect id="_x0000_i5279" style="width:0;height:1.5pt" o:hralign="center" o:hrstd="t" o:hr="t" fillcolor="#a0a0a0" stroked="f"/>
        </w:pict>
      </w:r>
    </w:p>
    <w:p w:rsidR="00E50336" w:rsidRDefault="00E50336" w:rsidP="00E50336">
      <w:pPr>
        <w:pStyle w:val="berschrift2"/>
      </w:pPr>
      <w:r>
        <w:t>3.3.51.112 Gegenmodell zur Verlustfreiheit</w:t>
      </w:r>
    </w:p>
    <w:p w:rsidR="00E50336" w:rsidRDefault="00E50336" w:rsidP="00E50336">
      <w:pPr>
        <w:pStyle w:val="StandardWeb"/>
      </w:pPr>
      <w:r>
        <w:t>Eine Modellklasse kann eine verdichtende Aggregation besitzen:</w:t>
      </w:r>
    </w:p>
    <w:p w:rsidR="00E50336" w:rsidRDefault="00E50336" w:rsidP="00E50336">
      <w:pPr>
        <w:pStyle w:val="StandardWeb"/>
      </w:pPr>
      <w:r>
        <w:t>[</w:t>
      </w:r>
      <w:r>
        <w:br/>
        <w:t>\mathcal A_F</w:t>
      </w:r>
      <w:r>
        <w:br/>
        <w:t>:</w:t>
      </w:r>
      <w:r>
        <w:br/>
        <w:t>(X_1,\ldots,X_n)</w:t>
      </w:r>
      <w:r>
        <w:br/>
        <w:t>\mapsto</w:t>
      </w:r>
      <w:r>
        <w:br/>
        <w:t>Z</w:t>
      </w:r>
      <w:r>
        <w:br/>
        <w:t>\tag{3.13400}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A_F:(X_1,\ldots,X_n)\mapsto Z</w:t>
      </w:r>
    </w:p>
    <w:p w:rsidR="00E50336" w:rsidRDefault="00E50336" w:rsidP="00E50336">
      <w:pPr>
        <w:pStyle w:val="StandardWeb"/>
      </w:pPr>
      <w:r>
        <w:t>mit</w:t>
      </w:r>
    </w:p>
    <w:p w:rsidR="00E50336" w:rsidRDefault="00E50336" w:rsidP="00E50336">
      <w:pPr>
        <w:pStyle w:val="StandardWeb"/>
      </w:pPr>
      <w:r>
        <w:lastRenderedPageBreak/>
        <w:t>[</w:t>
      </w:r>
      <w:r>
        <w:br/>
        <w:t>I_F(Z)</w:t>
      </w:r>
      <w:r>
        <w:br/>
        <w:t>\neq</w:t>
      </w:r>
      <w:r>
        <w:br/>
        <w:t>I_F(X_1,\ldots,X_n).</w:t>
      </w:r>
      <w:r>
        <w:br/>
        <w:t>\tag{3.13401}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I_F(Z)\neq I_F(X_1,\ldots,X_n)</w:t>
      </w:r>
    </w:p>
    <w:p w:rsidR="00E50336" w:rsidRDefault="00E50336" w:rsidP="00E50336">
      <w:r>
        <w:pict>
          <v:rect id="_x0000_i5280" style="width:0;height:1.5pt" o:hralign="center" o:hrstd="t" o:hr="t" fillcolor="#a0a0a0" stroked="f"/>
        </w:pict>
      </w:r>
    </w:p>
    <w:p w:rsidR="00E50336" w:rsidRDefault="00E50336" w:rsidP="00E50336">
      <w:pPr>
        <w:pStyle w:val="berschrift2"/>
      </w:pPr>
      <w:r>
        <w:t>3.3.51.113 Axiomentscheidung zur Verlustfreiheit</w:t>
      </w:r>
    </w:p>
    <w:p w:rsidR="00E50336" w:rsidRDefault="00E50336" w:rsidP="00E50336">
      <w:pPr>
        <w:pStyle w:val="StandardWeb"/>
      </w:pPr>
      <w:r>
        <w:t>Daraus folgt</w:t>
      </w:r>
    </w:p>
    <w:p w:rsidR="00E50336" w:rsidRDefault="00E50336" w:rsidP="00E50336">
      <w:pPr>
        <w:pStyle w:val="berschrift1"/>
      </w:pPr>
      <w:r>
        <w:t>[</w:t>
      </w:r>
      <w:r>
        <w:br/>
        <w:t>\boxed{</w:t>
      </w:r>
      <w:r>
        <w:br/>
        <w:t>U_{\mathrm{Ax}}</w:t>
      </w:r>
      <w:r>
        <w:br/>
        <w:t>(A_{\mathrm{lossless}})</w:t>
      </w:r>
    </w:p>
    <w:p w:rsidR="00E50336" w:rsidRDefault="00E50336" w:rsidP="009F7790">
      <w:pPr>
        <w:numPr>
          <w:ilvl w:val="0"/>
          <w:numId w:val="658"/>
        </w:numPr>
        <w:spacing w:before="100" w:beforeAutospacing="1" w:after="100" w:afterAutospacing="1"/>
      </w:pPr>
    </w:p>
    <w:p w:rsidR="00E50336" w:rsidRDefault="00E50336" w:rsidP="00E50336">
      <w:pPr>
        <w:pStyle w:val="StandardWeb"/>
      </w:pPr>
      <w:r>
        <w:t>}</w:t>
      </w:r>
      <w:r>
        <w:br/>
        <w:t>\tag{3.13402}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\boxed{U_{\mathrm{Ax}}(A_{\mathrm{lossless}})=0.}</w:t>
      </w:r>
    </w:p>
    <w:p w:rsidR="00E50336" w:rsidRDefault="00E50336" w:rsidP="00E50336">
      <w:r>
        <w:pict>
          <v:rect id="_x0000_i5281" style="width:0;height:1.5pt" o:hralign="center" o:hrstd="t" o:hr="t" fillcolor="#a0a0a0" stroked="f"/>
        </w:pict>
      </w:r>
    </w:p>
    <w:p w:rsidR="00E50336" w:rsidRDefault="00E50336" w:rsidP="00E50336">
      <w:pPr>
        <w:pStyle w:val="berschrift2"/>
      </w:pPr>
      <w:r>
        <w:t>3.3.51.114 Satz 3.3.214 – Informationsverlustfreie Aggregation ist kein Primäraxiom</w:t>
      </w:r>
    </w:p>
    <w:p w:rsidR="00E50336" w:rsidRDefault="00E50336" w:rsidP="00E50336">
      <w:pPr>
        <w:pStyle w:val="berschrift3"/>
      </w:pPr>
      <w:r>
        <w:t>Satz 3.3.214</w:t>
      </w:r>
    </w:p>
    <w:p w:rsidR="00E50336" w:rsidRDefault="00E50336" w:rsidP="00E50336">
      <w:pPr>
        <w:pStyle w:val="StandardWeb"/>
      </w:pPr>
      <w:r>
        <w:t>Die Forderung, jede funktionale Aggregation müsse sämtliche bezüglich eines gewählten Informationsfunktors beschriebene Information vollständig erhalten, ist keine universell notwendige Voraussetzung des allgemeinen FRZK.</w:t>
      </w:r>
    </w:p>
    <w:p w:rsidR="00E50336" w:rsidRDefault="00E50336" w:rsidP="00E50336">
      <w:pPr>
        <w:pStyle w:val="berschrift1"/>
      </w:pPr>
      <w:r>
        <w:t>[</w:t>
      </w:r>
      <w:r>
        <w:br/>
        <w:t>\boxed{</w:t>
      </w:r>
      <w:r>
        <w:br/>
      </w:r>
      <w:r>
        <w:lastRenderedPageBreak/>
        <w:t>U_{\mathrm{Ax}}</w:t>
      </w:r>
      <w:r>
        <w:br/>
        <w:t>(A_{\mathrm{lossless}})</w:t>
      </w:r>
    </w:p>
    <w:p w:rsidR="00E50336" w:rsidRDefault="00E50336" w:rsidP="009F7790">
      <w:pPr>
        <w:numPr>
          <w:ilvl w:val="0"/>
          <w:numId w:val="659"/>
        </w:numPr>
        <w:spacing w:before="100" w:beforeAutospacing="1" w:after="100" w:afterAutospacing="1"/>
      </w:pPr>
    </w:p>
    <w:p w:rsidR="00E50336" w:rsidRDefault="00E50336" w:rsidP="00E50336">
      <w:pPr>
        <w:pStyle w:val="StandardWeb"/>
      </w:pPr>
      <w:r>
        <w:t>}</w:t>
      </w:r>
      <w:r>
        <w:br/>
        <w:t>\tag{3.13403}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\boxed{U_{\mathrm{Ax}}(A_{\mathrm{lossless}})=0.}</w:t>
      </w:r>
    </w:p>
    <w:p w:rsidR="00E50336" w:rsidRDefault="00E50336" w:rsidP="00E50336">
      <w:r>
        <w:pict>
          <v:rect id="_x0000_i5282" style="width:0;height:1.5pt" o:hralign="center" o:hrstd="t" o:hr="t" fillcolor="#a0a0a0" stroked="f"/>
        </w:pict>
      </w:r>
    </w:p>
    <w:p w:rsidR="00E50336" w:rsidRDefault="00E50336" w:rsidP="00E50336">
      <w:pPr>
        <w:pStyle w:val="berschrift2"/>
      </w:pPr>
      <w:r>
        <w:t>3.3.51.115 Aggregationshierarchie</w:t>
      </w:r>
    </w:p>
    <w:p w:rsidR="00E50336" w:rsidRDefault="00E50336" w:rsidP="00E50336">
      <w:pPr>
        <w:pStyle w:val="StandardWeb"/>
      </w:pPr>
      <w:r>
        <w:t>Mehrere Aggregationen können hierarchisch verschachtelt werden.</w:t>
      </w:r>
    </w:p>
    <w:p w:rsidR="00E50336" w:rsidRDefault="00E50336" w:rsidP="00E50336">
      <w:pPr>
        <w:pStyle w:val="StandardWeb"/>
      </w:pPr>
      <w:r>
        <w:t>Seien</w:t>
      </w:r>
    </w:p>
    <w:p w:rsidR="00E50336" w:rsidRDefault="00E50336" w:rsidP="00E50336">
      <w:pPr>
        <w:pStyle w:val="berschrift1"/>
      </w:pPr>
      <w:r>
        <w:t>[</w:t>
      </w:r>
      <w:r>
        <w:br/>
        <w:t>Z_1</w:t>
      </w:r>
    </w:p>
    <w:p w:rsidR="00E50336" w:rsidRDefault="00E50336" w:rsidP="00E50336">
      <w:pPr>
        <w:pStyle w:val="StandardWeb"/>
      </w:pPr>
      <w:r>
        <w:t>\mathcal A_F(X_1,X_2)</w:t>
      </w:r>
      <w:r>
        <w:br/>
        <w:t>\tag{3.13404}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Z_1=\mathcal A_F(X_1,X_2)</w:t>
      </w:r>
    </w:p>
    <w:p w:rsidR="00E50336" w:rsidRDefault="00E50336" w:rsidP="00E50336">
      <w:pPr>
        <w:pStyle w:val="StandardWeb"/>
      </w:pPr>
      <w:r>
        <w:t>und</w:t>
      </w:r>
    </w:p>
    <w:p w:rsidR="00E50336" w:rsidRDefault="00E50336" w:rsidP="00E50336">
      <w:pPr>
        <w:pStyle w:val="berschrift1"/>
      </w:pPr>
      <w:r>
        <w:t>[</w:t>
      </w:r>
      <w:r>
        <w:br/>
        <w:t>Z_2</w:t>
      </w:r>
    </w:p>
    <w:p w:rsidR="00E50336" w:rsidRDefault="00E50336" w:rsidP="00E50336">
      <w:pPr>
        <w:pStyle w:val="StandardWeb"/>
      </w:pPr>
      <w:r>
        <w:t>\mathcal A_F(X_3,X_4).</w:t>
      </w:r>
      <w:r>
        <w:br/>
        <w:t>\tag{3.13405}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Z_2=\mathcal A_F(X_3,X_4)</w:t>
      </w:r>
    </w:p>
    <w:p w:rsidR="00E50336" w:rsidRDefault="00E50336" w:rsidP="00E50336">
      <w:pPr>
        <w:pStyle w:val="StandardWeb"/>
      </w:pPr>
      <w:r>
        <w:t>Dann kann erneut aggregiert werden:</w:t>
      </w:r>
    </w:p>
    <w:p w:rsidR="00E50336" w:rsidRDefault="00E50336" w:rsidP="00E50336">
      <w:pPr>
        <w:pStyle w:val="berschrift1"/>
      </w:pPr>
      <w:r>
        <w:lastRenderedPageBreak/>
        <w:t>[</w:t>
      </w:r>
      <w:r>
        <w:br/>
        <w:t>Z</w:t>
      </w:r>
    </w:p>
    <w:p w:rsidR="00E50336" w:rsidRDefault="00E50336" w:rsidP="00E50336">
      <w:pPr>
        <w:pStyle w:val="StandardWeb"/>
      </w:pPr>
      <w:r>
        <w:t>\mathcal A_F(Z_1,Z_2).</w:t>
      </w:r>
      <w:r>
        <w:br/>
        <w:t>\tag{3.13406}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Z=\mathcal A_F(Z_1,Z_2)</w:t>
      </w:r>
    </w:p>
    <w:p w:rsidR="00E50336" w:rsidRDefault="00E50336" w:rsidP="00E50336">
      <w:r>
        <w:pict>
          <v:rect id="_x0000_i5283" style="width:0;height:1.5pt" o:hralign="center" o:hrstd="t" o:hr="t" fillcolor="#a0a0a0" stroked="f"/>
        </w:pict>
      </w:r>
    </w:p>
    <w:p w:rsidR="00E50336" w:rsidRDefault="00E50336" w:rsidP="00E50336">
      <w:pPr>
        <w:pStyle w:val="berschrift2"/>
      </w:pPr>
      <w:r>
        <w:t>3.3.51.116 Definition 3.3.549 – Hierarchische funktionale Aggregation</w:t>
      </w:r>
    </w:p>
    <w:p w:rsidR="00E50336" w:rsidRDefault="00E50336" w:rsidP="00E50336">
      <w:pPr>
        <w:pStyle w:val="berschrift3"/>
      </w:pPr>
      <w:r>
        <w:t>Definition 3.3.549</w:t>
      </w:r>
    </w:p>
    <w:p w:rsidR="00E50336" w:rsidRDefault="00E50336" w:rsidP="00E50336">
      <w:pPr>
        <w:pStyle w:val="StandardWeb"/>
      </w:pPr>
      <w:r>
        <w:t xml:space="preserve">Eine Aggregationsstruktur heißt </w:t>
      </w:r>
      <w:r>
        <w:rPr>
          <w:rStyle w:val="Fett"/>
        </w:rPr>
        <w:t>hierarchisch</w:t>
      </w:r>
      <w:r>
        <w:t>, wenn mindestens ein Aggregationsergebnis erneut als Eingang einer weiteren Aggregation verwendet wird:</w:t>
      </w:r>
    </w:p>
    <w:p w:rsidR="00E50336" w:rsidRDefault="00E50336" w:rsidP="00E50336">
      <w:pPr>
        <w:pStyle w:val="berschrift1"/>
      </w:pPr>
      <w:r>
        <w:t>[</w:t>
      </w:r>
      <w:r>
        <w:br/>
        <w:t>\boxed{</w:t>
      </w:r>
      <w:r>
        <w:br/>
        <w:t>Z_i</w:t>
      </w:r>
    </w:p>
    <w:p w:rsidR="00E50336" w:rsidRDefault="00E50336" w:rsidP="00E50336">
      <w:pPr>
        <w:pStyle w:val="berschrift1"/>
      </w:pPr>
      <w:r>
        <w:t>\mathcal A_F(\mathbf X_i),</w:t>
      </w:r>
      <w:r>
        <w:br/>
        <w:t>\qquad</w:t>
      </w:r>
      <w:r>
        <w:br/>
        <w:t>Z</w:t>
      </w:r>
    </w:p>
    <w:p w:rsidR="00E50336" w:rsidRDefault="00E50336" w:rsidP="00E50336">
      <w:pPr>
        <w:pStyle w:val="StandardWeb"/>
      </w:pPr>
      <w:r>
        <w:t>\mathcal A_F(Z_1,\ldots,Z_m).</w:t>
      </w:r>
      <w:r>
        <w:br/>
        <w:t>}</w:t>
      </w:r>
      <w:r>
        <w:br/>
        <w:t>\tag{3.13407}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\boxed{Z_i=\mathcal A_F(\mathbf X_i),\qquad Z=\mathcal A_F(Z_1,\ldots,Z_m).}</w:t>
      </w:r>
    </w:p>
    <w:p w:rsidR="00E50336" w:rsidRDefault="00E50336" w:rsidP="00E50336">
      <w:r>
        <w:pict>
          <v:rect id="_x0000_i5284" style="width:0;height:1.5pt" o:hralign="center" o:hrstd="t" o:hr="t" fillcolor="#a0a0a0" stroked="f"/>
        </w:pict>
      </w:r>
    </w:p>
    <w:p w:rsidR="00E50336" w:rsidRDefault="00E50336" w:rsidP="00E50336">
      <w:pPr>
        <w:pStyle w:val="berschrift2"/>
      </w:pPr>
      <w:r>
        <w:t>3.3.51.117 Aggregationsbaum</w:t>
      </w:r>
    </w:p>
    <w:p w:rsidR="00E50336" w:rsidRDefault="00E50336" w:rsidP="00E50336">
      <w:pPr>
        <w:pStyle w:val="StandardWeb"/>
      </w:pPr>
      <w:r>
        <w:t>Eine hierarchische Aggregation kann als gerichtete Baumstruktur dargestellt werden:</w:t>
      </w:r>
    </w:p>
    <w:p w:rsidR="00E50336" w:rsidRDefault="00E50336" w:rsidP="00E50336">
      <w:pPr>
        <w:pStyle w:val="berschrift1"/>
      </w:pPr>
      <w:r>
        <w:lastRenderedPageBreak/>
        <w:t>[</w:t>
      </w:r>
      <w:r>
        <w:br/>
        <w:t>\mathcal T_{\mathrm{agg}}</w:t>
      </w:r>
    </w:p>
    <w:p w:rsidR="00E50336" w:rsidRDefault="00E50336" w:rsidP="00E50336">
      <w:pPr>
        <w:pStyle w:val="StandardWeb"/>
      </w:pPr>
      <w:r>
        <w:t>(V_{\mathrm{agg}},E_{\mathrm{agg}}).</w:t>
      </w:r>
      <w:r>
        <w:br/>
        <w:t>\tag{3.13408}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T_{\mathrm{agg}}=(V_{\mathrm{agg}},E_{\mathrm{agg}})</w:t>
      </w:r>
    </w:p>
    <w:p w:rsidR="00E50336" w:rsidRDefault="00E50336" w:rsidP="00E50336">
      <w:r>
        <w:pict>
          <v:rect id="_x0000_i5285" style="width:0;height:1.5pt" o:hralign="center" o:hrstd="t" o:hr="t" fillcolor="#a0a0a0" stroked="f"/>
        </w:pict>
      </w:r>
    </w:p>
    <w:p w:rsidR="00E50336" w:rsidRDefault="00E50336" w:rsidP="00E50336">
      <w:pPr>
        <w:pStyle w:val="berschrift2"/>
      </w:pPr>
      <w:r>
        <w:t>3.3.51.118 Definition 3.3.550 – Funktionaler Aggregationsbaum</w:t>
      </w:r>
    </w:p>
    <w:p w:rsidR="00E50336" w:rsidRDefault="00E50336" w:rsidP="00E50336">
      <w:pPr>
        <w:pStyle w:val="berschrift3"/>
      </w:pPr>
      <w:r>
        <w:t>Definition 3.3.550</w:t>
      </w:r>
    </w:p>
    <w:p w:rsidR="00E50336" w:rsidRDefault="00E50336" w:rsidP="00E50336">
      <w:pPr>
        <w:pStyle w:val="StandardWeb"/>
      </w:pPr>
      <w:r>
        <w:t xml:space="preserve">Ein </w:t>
      </w:r>
      <w:r>
        <w:rPr>
          <w:rStyle w:val="Fett"/>
        </w:rPr>
        <w:t>funktionaler Aggregationsbaum</w:t>
      </w:r>
      <w:r>
        <w:t xml:space="preserve"> ist eine gerichtete Struktur</w:t>
      </w:r>
    </w:p>
    <w:p w:rsidR="00E50336" w:rsidRDefault="00E50336" w:rsidP="00E50336">
      <w:pPr>
        <w:pStyle w:val="berschrift1"/>
      </w:pPr>
      <w:r>
        <w:t>[</w:t>
      </w:r>
      <w:r>
        <w:br/>
        <w:t>\boxed{</w:t>
      </w:r>
      <w:r>
        <w:br/>
        <w:t>\mathcal T_{\mathrm{agg}}</w:t>
      </w:r>
    </w:p>
    <w:p w:rsidR="00E50336" w:rsidRDefault="00E50336" w:rsidP="00E50336">
      <w:pPr>
        <w:pStyle w:val="StandardWeb"/>
      </w:pPr>
      <w:r>
        <w:t>(V_{\mathrm{agg}},E_{\mathrm{agg}})</w:t>
      </w:r>
      <w:r>
        <w:br/>
        <w:t>}</w:t>
      </w:r>
      <w:r>
        <w:br/>
        <w:t>\tag{3.13409}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T_{\mathrm{agg}}=(V_{\mathrm{agg}},E_{\mathrm{agg}})}</w:t>
      </w:r>
    </w:p>
    <w:p w:rsidR="00E50336" w:rsidRDefault="00E50336" w:rsidP="00E50336">
      <w:pPr>
        <w:pStyle w:val="StandardWeb"/>
      </w:pPr>
      <w:r>
        <w:t>deren Blätter Eingangskomponenten und deren innere Knoten Aggregationsresultate repräsentieren.</w:t>
      </w:r>
    </w:p>
    <w:p w:rsidR="00E50336" w:rsidRDefault="00E50336" w:rsidP="00E50336">
      <w:r>
        <w:pict>
          <v:rect id="_x0000_i5286" style="width:0;height:1.5pt" o:hralign="center" o:hrstd="t" o:hr="t" fillcolor="#a0a0a0" stroked="f"/>
        </w:pict>
      </w:r>
    </w:p>
    <w:p w:rsidR="00E50336" w:rsidRDefault="00E50336" w:rsidP="00E50336">
      <w:pPr>
        <w:pStyle w:val="berschrift2"/>
      </w:pPr>
      <w:r>
        <w:t>3.3.51.119 Pfadabhängige Aggregation</w:t>
      </w:r>
    </w:p>
    <w:p w:rsidR="00E50336" w:rsidRDefault="00E50336" w:rsidP="00E50336">
      <w:pPr>
        <w:pStyle w:val="StandardWeb"/>
      </w:pPr>
      <w:r>
        <w:t>Sind Aggregationen nicht assoziativ, kann der gewählte Aggregationsbaum das Endergebnis beeinflussen:</w:t>
      </w:r>
    </w:p>
    <w:p w:rsidR="00E50336" w:rsidRDefault="00E50336" w:rsidP="00E50336">
      <w:pPr>
        <w:pStyle w:val="StandardWeb"/>
      </w:pPr>
      <w:r>
        <w:t>[</w:t>
      </w:r>
      <w:r>
        <w:br/>
        <w:t>\mathcal A_F^{\mathcal T_1}</w:t>
      </w:r>
      <w:r>
        <w:br/>
        <w:t>(X_1,\ldots,X_n)</w:t>
      </w:r>
      <w:r>
        <w:br/>
        <w:t>\neq</w:t>
      </w:r>
      <w:r>
        <w:br/>
        <w:t>\mathcal A_F^{\mathcal T_2}</w:t>
      </w:r>
      <w:r>
        <w:br/>
      </w:r>
      <w:r>
        <w:lastRenderedPageBreak/>
        <w:t>(X_1,\ldots,X_n).</w:t>
      </w:r>
      <w:r>
        <w:br/>
        <w:t>\tag{3.13410}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A_F^{\mathcal T_1}(X_1,\ldots,X_n)\neq\mathcal A_F^{\mathcal T_2}(X_1,\ldots,X_n)</w:t>
      </w:r>
    </w:p>
    <w:p w:rsidR="00E50336" w:rsidRDefault="00E50336" w:rsidP="00E50336">
      <w:r>
        <w:pict>
          <v:rect id="_x0000_i5287" style="width:0;height:1.5pt" o:hralign="center" o:hrstd="t" o:hr="t" fillcolor="#a0a0a0" stroked="f"/>
        </w:pict>
      </w:r>
    </w:p>
    <w:p w:rsidR="00E50336" w:rsidRDefault="00E50336" w:rsidP="00E50336">
      <w:pPr>
        <w:pStyle w:val="berschrift2"/>
      </w:pPr>
      <w:r>
        <w:t>3.3.51.120 Definition 3.3.551 – Funktionale Aggregationspfadabhängigkeit</w:t>
      </w:r>
    </w:p>
    <w:p w:rsidR="00E50336" w:rsidRDefault="00E50336" w:rsidP="00E50336">
      <w:pPr>
        <w:pStyle w:val="berschrift3"/>
      </w:pPr>
      <w:r>
        <w:t>Definition 3.3.551</w:t>
      </w:r>
    </w:p>
    <w:p w:rsidR="00E50336" w:rsidRDefault="00E50336" w:rsidP="00E50336">
      <w:pPr>
        <w:pStyle w:val="StandardWeb"/>
      </w:pPr>
      <w:r>
        <w:t xml:space="preserve">Eine Aggregation heißt </w:t>
      </w:r>
      <w:r>
        <w:rPr>
          <w:rStyle w:val="Fett"/>
        </w:rPr>
        <w:t>pfadabhängig</w:t>
      </w:r>
      <w:r>
        <w:t>, wenn für dieselben Eingangskomponenten zwei zulässige Aggregationshierarchien unterschiedliche Endresultate erzeugen:</w:t>
      </w:r>
    </w:p>
    <w:p w:rsidR="00E50336" w:rsidRDefault="00E50336" w:rsidP="00E50336">
      <w:pPr>
        <w:pStyle w:val="StandardWeb"/>
      </w:pPr>
      <w:r>
        <w:t>[</w:t>
      </w:r>
      <w:r>
        <w:br/>
        <w:t>\boxed{</w:t>
      </w:r>
      <w:r>
        <w:br/>
        <w:t>\mathcal T_1</w:t>
      </w:r>
      <w:r>
        <w:br/>
        <w:t>\neq</w:t>
      </w:r>
      <w:r>
        <w:br/>
        <w:t>\mathcal T_2</w:t>
      </w:r>
      <w:r>
        <w:br/>
        <w:t>\land</w:t>
      </w:r>
      <w:r>
        <w:br/>
        <w:t>\mathcal A_F^{\mathcal T_1}(\mathbf X)</w:t>
      </w:r>
      <w:r>
        <w:br/>
        <w:t>\neq</w:t>
      </w:r>
      <w:r>
        <w:br/>
        <w:t>\mathcal A_F^{\mathcal T_2}(\mathbf X).</w:t>
      </w:r>
      <w:r>
        <w:br/>
        <w:t>}</w:t>
      </w:r>
      <w:r>
        <w:br/>
        <w:t>\tag{3.13411}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T_1\neq\mathcal T_2\land\mathcal A_F^{\mathcal T_1}(\mathbf X)\neq\mathcal A_F^{\mathcal T_2}(\mathbf X).}</w:t>
      </w:r>
    </w:p>
    <w:p w:rsidR="00E50336" w:rsidRDefault="00E50336" w:rsidP="00E50336">
      <w:r>
        <w:pict>
          <v:rect id="_x0000_i5288" style="width:0;height:1.5pt" o:hralign="center" o:hrstd="t" o:hr="t" fillcolor="#a0a0a0" stroked="f"/>
        </w:pict>
      </w:r>
    </w:p>
    <w:p w:rsidR="00E50336" w:rsidRDefault="00E50336" w:rsidP="00E50336">
      <w:pPr>
        <w:pStyle w:val="berschrift2"/>
      </w:pPr>
      <w:r>
        <w:t>3.3.51.121 Pfadunabhängigkeit als Primäraxiomkandidat</w:t>
      </w:r>
    </w:p>
    <w:p w:rsidR="00E50336" w:rsidRDefault="00E50336" w:rsidP="00E50336">
      <w:pPr>
        <w:pStyle w:val="StandardWeb"/>
      </w:pPr>
      <w:r>
        <w:t>Ein möglicher Kandidat lautet</w:t>
      </w:r>
    </w:p>
    <w:p w:rsidR="00E50336" w:rsidRDefault="00E50336" w:rsidP="00E50336">
      <w:pPr>
        <w:pStyle w:val="berschrift1"/>
      </w:pPr>
      <w:r>
        <w:t>[</w:t>
      </w:r>
      <w:r>
        <w:br/>
        <w:t>A_{\mathrm{path-ind}}</w:t>
      </w:r>
      <w:r>
        <w:br/>
        <w:t>:</w:t>
      </w:r>
      <w:r>
        <w:br/>
        <w:t>\mathcal A_F^{\mathcal T_1}(\mathbf X)</w:t>
      </w:r>
    </w:p>
    <w:p w:rsidR="00E50336" w:rsidRDefault="00E50336" w:rsidP="00E50336">
      <w:pPr>
        <w:pStyle w:val="StandardWeb"/>
      </w:pPr>
      <w:r>
        <w:lastRenderedPageBreak/>
        <w:t>\mathcal A_F^{\mathcal T_2}(\mathbf X)</w:t>
      </w:r>
      <w:r>
        <w:br/>
        <w:t>\tag{3.13412}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A_{\mathrm{path-ind}}:\mathcal A_F^{\mathcal T_1}(\mathbf X)=\mathcal A_F^{\mathcal T_2}(\mathbf X)</w:t>
      </w:r>
    </w:p>
    <w:p w:rsidR="00E50336" w:rsidRDefault="00E50336" w:rsidP="00E50336">
      <w:pPr>
        <w:pStyle w:val="StandardWeb"/>
      </w:pPr>
      <w:r>
        <w:t>für alle zulässigen Aggregationshierarchien.</w:t>
      </w:r>
    </w:p>
    <w:p w:rsidR="00E50336" w:rsidRDefault="00E50336" w:rsidP="00E50336">
      <w:r>
        <w:pict>
          <v:rect id="_x0000_i5289" style="width:0;height:1.5pt" o:hralign="center" o:hrstd="t" o:hr="t" fillcolor="#a0a0a0" stroked="f"/>
        </w:pict>
      </w:r>
    </w:p>
    <w:p w:rsidR="00E50336" w:rsidRDefault="00E50336" w:rsidP="00E50336">
      <w:pPr>
        <w:pStyle w:val="berschrift2"/>
      </w:pPr>
      <w:r>
        <w:t>3.3.51.122 Gegenmodell zur Pfadunabhängigkeit</w:t>
      </w:r>
    </w:p>
    <w:p w:rsidR="00E50336" w:rsidRDefault="00E50336" w:rsidP="00E50336">
      <w:pPr>
        <w:pStyle w:val="StandardWeb"/>
      </w:pPr>
      <w:r>
        <w:t>Eine nichtassoziative Aggregation liefert unmittelbar</w:t>
      </w:r>
    </w:p>
    <w:p w:rsidR="00E50336" w:rsidRDefault="00E50336" w:rsidP="00E50336">
      <w:pPr>
        <w:pStyle w:val="StandardWeb"/>
      </w:pPr>
      <w:r>
        <w:t>[</w:t>
      </w:r>
      <w:r>
        <w:br/>
        <w:t>(X\oplus_F Y)\oplus_F Z</w:t>
      </w:r>
      <w:r>
        <w:br/>
        <w:t>\neq</w:t>
      </w:r>
      <w:r>
        <w:br/>
        <w:t>X\oplus_F(Y\oplus_F Z).</w:t>
      </w:r>
      <w:r>
        <w:br/>
        <w:t>\tag{3.13413}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(X\oplus_F Y)\oplus_F Z\neq X\oplus_F(Y\oplus_F Z)</w:t>
      </w:r>
    </w:p>
    <w:p w:rsidR="00E50336" w:rsidRDefault="00E50336" w:rsidP="00E50336">
      <w:pPr>
        <w:pStyle w:val="StandardWeb"/>
      </w:pPr>
      <w:r>
        <w:t>Damit können zwei Aggregationspfade unterschiedliche Resultate erzeugen.</w:t>
      </w:r>
    </w:p>
    <w:p w:rsidR="00E50336" w:rsidRDefault="00E50336" w:rsidP="00E50336">
      <w:r>
        <w:pict>
          <v:rect id="_x0000_i5290" style="width:0;height:1.5pt" o:hralign="center" o:hrstd="t" o:hr="t" fillcolor="#a0a0a0" stroked="f"/>
        </w:pict>
      </w:r>
    </w:p>
    <w:p w:rsidR="00E50336" w:rsidRDefault="00E50336" w:rsidP="00E50336">
      <w:pPr>
        <w:pStyle w:val="berschrift2"/>
      </w:pPr>
      <w:r>
        <w:t>3.3.51.123 Axiomentscheidung zur Pfadunabhängigkeit</w:t>
      </w:r>
    </w:p>
    <w:p w:rsidR="00E50336" w:rsidRDefault="00E50336" w:rsidP="00E50336">
      <w:pPr>
        <w:pStyle w:val="StandardWeb"/>
      </w:pPr>
      <w:r>
        <w:t>Es folgt</w:t>
      </w:r>
    </w:p>
    <w:p w:rsidR="00E50336" w:rsidRDefault="00E50336" w:rsidP="00E50336">
      <w:pPr>
        <w:pStyle w:val="berschrift1"/>
      </w:pPr>
      <w:r>
        <w:t>[</w:t>
      </w:r>
      <w:r>
        <w:br/>
        <w:t>\boxed{</w:t>
      </w:r>
      <w:r>
        <w:br/>
        <w:t>U_{\mathrm{Ax}}</w:t>
      </w:r>
      <w:r>
        <w:br/>
        <w:t>(A_{\mathrm{path-ind}})</w:t>
      </w:r>
    </w:p>
    <w:p w:rsidR="00E50336" w:rsidRDefault="00E50336" w:rsidP="009F7790">
      <w:pPr>
        <w:numPr>
          <w:ilvl w:val="0"/>
          <w:numId w:val="660"/>
        </w:numPr>
        <w:spacing w:before="100" w:beforeAutospacing="1" w:after="100" w:afterAutospacing="1"/>
      </w:pPr>
    </w:p>
    <w:p w:rsidR="00E50336" w:rsidRDefault="00E50336" w:rsidP="00E50336">
      <w:pPr>
        <w:pStyle w:val="StandardWeb"/>
      </w:pPr>
      <w:r>
        <w:t>}</w:t>
      </w:r>
      <w:r>
        <w:br/>
        <w:t>\tag{3.13414}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lastRenderedPageBreak/>
        <w:t>\boxed{U_{\mathrm{Ax}}(A_{\mathrm{path-ind}})=0.}</w:t>
      </w:r>
    </w:p>
    <w:p w:rsidR="00E50336" w:rsidRDefault="00E50336" w:rsidP="00E50336">
      <w:r>
        <w:pict>
          <v:rect id="_x0000_i5291" style="width:0;height:1.5pt" o:hralign="center" o:hrstd="t" o:hr="t" fillcolor="#a0a0a0" stroked="f"/>
        </w:pict>
      </w:r>
    </w:p>
    <w:p w:rsidR="00E50336" w:rsidRDefault="00E50336" w:rsidP="00E50336">
      <w:pPr>
        <w:pStyle w:val="berschrift2"/>
      </w:pPr>
      <w:r>
        <w:t>3.3.51.124 Satz 3.3.215 – Aggregationspfadunabhängigkeit ist kein Primäraxiom</w:t>
      </w:r>
    </w:p>
    <w:p w:rsidR="00E50336" w:rsidRDefault="00E50336" w:rsidP="00E50336">
      <w:pPr>
        <w:pStyle w:val="berschrift3"/>
      </w:pPr>
      <w:r>
        <w:t>Satz 3.3.215</w:t>
      </w:r>
    </w:p>
    <w:p w:rsidR="00E50336" w:rsidRDefault="00E50336" w:rsidP="00E50336">
      <w:pPr>
        <w:pStyle w:val="StandardWeb"/>
      </w:pPr>
      <w:r>
        <w:t>Die Forderung, das Ergebnis einer funktionalen Mehrfachaggregation müsse unabhängig von der gewählten Aggregationshierarchie sein, ist keine universell notwendige Voraussetzung des allgemeinen FRZK.</w:t>
      </w:r>
    </w:p>
    <w:p w:rsidR="00E50336" w:rsidRDefault="00E50336" w:rsidP="00E50336">
      <w:pPr>
        <w:pStyle w:val="berschrift1"/>
      </w:pPr>
      <w:r>
        <w:t>[</w:t>
      </w:r>
      <w:r>
        <w:br/>
        <w:t>\boxed{</w:t>
      </w:r>
      <w:r>
        <w:br/>
        <w:t>U_{\mathrm{Ax}}</w:t>
      </w:r>
      <w:r>
        <w:br/>
        <w:t>(A_{\mathrm{path-ind}})</w:t>
      </w:r>
    </w:p>
    <w:p w:rsidR="00E50336" w:rsidRDefault="00E50336" w:rsidP="009F7790">
      <w:pPr>
        <w:numPr>
          <w:ilvl w:val="0"/>
          <w:numId w:val="661"/>
        </w:numPr>
        <w:spacing w:before="100" w:beforeAutospacing="1" w:after="100" w:afterAutospacing="1"/>
      </w:pPr>
    </w:p>
    <w:p w:rsidR="00E50336" w:rsidRDefault="00E50336" w:rsidP="00E50336">
      <w:pPr>
        <w:pStyle w:val="StandardWeb"/>
      </w:pPr>
      <w:r>
        <w:t>}</w:t>
      </w:r>
      <w:r>
        <w:br/>
        <w:t>\tag{3.13415}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\boxed{U_{\mathrm{Ax}}(A_{\mathrm{path-ind}})=0.}</w:t>
      </w:r>
    </w:p>
    <w:p w:rsidR="00E50336" w:rsidRDefault="00E50336" w:rsidP="00E50336">
      <w:r>
        <w:pict>
          <v:rect id="_x0000_i5292" style="width:0;height:1.5pt" o:hralign="center" o:hrstd="t" o:hr="t" fillcolor="#a0a0a0" stroked="f"/>
        </w:pict>
      </w:r>
    </w:p>
    <w:p w:rsidR="00E50336" w:rsidRDefault="00E50336" w:rsidP="00E50336">
      <w:pPr>
        <w:pStyle w:val="berschrift2"/>
      </w:pPr>
      <w:r>
        <w:t>3.3.51.125 Kontextabhängige Aggregation</w:t>
      </w:r>
    </w:p>
    <w:p w:rsidR="00E50336" w:rsidRDefault="00E50336" w:rsidP="00E50336">
      <w:pPr>
        <w:pStyle w:val="StandardWeb"/>
      </w:pPr>
      <w:r>
        <w:t>Eine Aggregationsoperation kann vom aktuellen Zustand oder Kontext abhängen:</w:t>
      </w:r>
    </w:p>
    <w:p w:rsidR="00E50336" w:rsidRDefault="00E50336" w:rsidP="00E50336">
      <w:pPr>
        <w:pStyle w:val="berschrift1"/>
      </w:pPr>
      <w:r>
        <w:t>[</w:t>
      </w:r>
      <w:r>
        <w:br/>
        <w:t>\mathcal A_F</w:t>
      </w:r>
    </w:p>
    <w:p w:rsidR="00E50336" w:rsidRDefault="00E50336" w:rsidP="00E50336">
      <w:pPr>
        <w:pStyle w:val="StandardWeb"/>
      </w:pPr>
      <w:r>
        <w:t>\mathcal A_F(z,c).</w:t>
      </w:r>
      <w:r>
        <w:br/>
        <w:t>\tag{3.13416}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A_F=\mathcal A_F(z,c)</w:t>
      </w:r>
    </w:p>
    <w:p w:rsidR="00E50336" w:rsidRDefault="00E50336" w:rsidP="00E50336">
      <w:r>
        <w:pict>
          <v:rect id="_x0000_i5293" style="width:0;height:1.5pt" o:hralign="center" o:hrstd="t" o:hr="t" fillcolor="#a0a0a0" stroked="f"/>
        </w:pict>
      </w:r>
    </w:p>
    <w:p w:rsidR="00E50336" w:rsidRDefault="00E50336" w:rsidP="00E50336">
      <w:pPr>
        <w:pStyle w:val="berschrift2"/>
      </w:pPr>
      <w:r>
        <w:lastRenderedPageBreak/>
        <w:t>3.3.51.126 Definition 3.3.552 – Zustands- und kontextabhängige funktionale Aggregation</w:t>
      </w:r>
    </w:p>
    <w:p w:rsidR="00E50336" w:rsidRDefault="00E50336" w:rsidP="00E50336">
      <w:pPr>
        <w:pStyle w:val="berschrift3"/>
      </w:pPr>
      <w:r>
        <w:t>Definition 3.3.552</w:t>
      </w:r>
    </w:p>
    <w:p w:rsidR="00E50336" w:rsidRDefault="00E50336" w:rsidP="00E50336">
      <w:pPr>
        <w:pStyle w:val="StandardWeb"/>
      </w:pPr>
      <w:r>
        <w:t xml:space="preserve">Eine Aggregationsoperation heißt </w:t>
      </w:r>
      <w:r>
        <w:rPr>
          <w:rStyle w:val="Fett"/>
        </w:rPr>
        <w:t>zustands- und kontextabhängig</w:t>
      </w:r>
      <w:r>
        <w:t>, wenn</w:t>
      </w:r>
    </w:p>
    <w:p w:rsidR="00E50336" w:rsidRDefault="00E50336" w:rsidP="00E50336">
      <w:pPr>
        <w:pStyle w:val="berschrift1"/>
      </w:pPr>
      <w:r>
        <w:t>[</w:t>
      </w:r>
      <w:r>
        <w:br/>
        <w:t>\boxed{</w:t>
      </w:r>
      <w:r>
        <w:br/>
        <w:t>\mathcal A_F</w:t>
      </w:r>
    </w:p>
    <w:p w:rsidR="00E50336" w:rsidRDefault="00E50336" w:rsidP="00E50336">
      <w:pPr>
        <w:pStyle w:val="StandardWeb"/>
      </w:pPr>
      <w:r>
        <w:t>\mathcal A_F(z,c).</w:t>
      </w:r>
      <w:r>
        <w:br/>
        <w:t>}</w:t>
      </w:r>
      <w:r>
        <w:br/>
        <w:t>\tag{3.13417}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A_F=\mathcal A_F(z,c).}</w:t>
      </w:r>
    </w:p>
    <w:p w:rsidR="00E50336" w:rsidRDefault="00E50336" w:rsidP="00E50336">
      <w:r>
        <w:pict>
          <v:rect id="_x0000_i5294" style="width:0;height:1.5pt" o:hralign="center" o:hrstd="t" o:hr="t" fillcolor="#a0a0a0" stroked="f"/>
        </w:pict>
      </w:r>
    </w:p>
    <w:p w:rsidR="00E50336" w:rsidRDefault="00E50336" w:rsidP="00E50336">
      <w:pPr>
        <w:pStyle w:val="berschrift2"/>
      </w:pPr>
      <w:r>
        <w:t>3.3.51.127 Aggregationswechsel</w:t>
      </w:r>
    </w:p>
    <w:p w:rsidR="00E50336" w:rsidRDefault="00E50336" w:rsidP="00E50336">
      <w:pPr>
        <w:pStyle w:val="StandardWeb"/>
      </w:pPr>
      <w:r>
        <w:t>Für dieselben Eingangselemente kann gelten</w:t>
      </w:r>
    </w:p>
    <w:p w:rsidR="00E50336" w:rsidRDefault="00E50336" w:rsidP="00E50336">
      <w:pPr>
        <w:pStyle w:val="StandardWeb"/>
      </w:pPr>
      <w:r>
        <w:t>[</w:t>
      </w:r>
      <w:r>
        <w:br/>
        <w:t>\mathcal A_F^{(z_1,c_1)}</w:t>
      </w:r>
      <w:r>
        <w:br/>
        <w:t>(\mathbf X)</w:t>
      </w:r>
      <w:r>
        <w:br/>
        <w:t>\neq</w:t>
      </w:r>
      <w:r>
        <w:br/>
        <w:t>\mathcal A_F^{(z_2,c_2)}</w:t>
      </w:r>
      <w:r>
        <w:br/>
        <w:t>(\mathbf X).</w:t>
      </w:r>
      <w:r>
        <w:br/>
        <w:t>\tag{3.13418}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A_F^{(z_1,c_1)}(\mathbf X)\neq\mathcal A_F^{(z_2,c_2)}(\mathbf X)</w:t>
      </w:r>
    </w:p>
    <w:p w:rsidR="00E50336" w:rsidRDefault="00E50336" w:rsidP="00E50336">
      <w:r>
        <w:pict>
          <v:rect id="_x0000_i5295" style="width:0;height:1.5pt" o:hralign="center" o:hrstd="t" o:hr="t" fillcolor="#a0a0a0" stroked="f"/>
        </w:pict>
      </w:r>
    </w:p>
    <w:p w:rsidR="00E50336" w:rsidRDefault="00E50336" w:rsidP="00E50336">
      <w:pPr>
        <w:pStyle w:val="berschrift2"/>
      </w:pPr>
      <w:r>
        <w:t>3.3.51.128 Definition 3.3.553 – Funktionaler Aggregationswechsel</w:t>
      </w:r>
    </w:p>
    <w:p w:rsidR="00E50336" w:rsidRDefault="00E50336" w:rsidP="00E50336">
      <w:pPr>
        <w:pStyle w:val="berschrift3"/>
      </w:pPr>
      <w:r>
        <w:t>Definition 3.3.553</w:t>
      </w:r>
    </w:p>
    <w:p w:rsidR="00E50336" w:rsidRDefault="00E50336" w:rsidP="00E50336">
      <w:pPr>
        <w:pStyle w:val="StandardWeb"/>
      </w:pPr>
      <w:r>
        <w:t xml:space="preserve">Ein </w:t>
      </w:r>
      <w:r>
        <w:rPr>
          <w:rStyle w:val="Fett"/>
        </w:rPr>
        <w:t>funktionaler Aggregationswechsel</w:t>
      </w:r>
      <w:r>
        <w:t xml:space="preserve"> liegt vor, wenn dieselben Eingangskomponenten unter zwei zulässigen Zustands- oder Kontextbedingungen unterschiedliche Aggregationsergebnisse erzeugen:</w:t>
      </w:r>
    </w:p>
    <w:p w:rsidR="00E50336" w:rsidRDefault="00E50336" w:rsidP="00E50336">
      <w:pPr>
        <w:pStyle w:val="StandardWeb"/>
      </w:pPr>
      <w:r>
        <w:lastRenderedPageBreak/>
        <w:t>[</w:t>
      </w:r>
      <w:r>
        <w:br/>
        <w:t>\boxed{</w:t>
      </w:r>
      <w:r>
        <w:br/>
        <w:t>\mathcal A_F^{(z_1,c_1)}</w:t>
      </w:r>
      <w:r>
        <w:br/>
        <w:t>(\mathbf X)</w:t>
      </w:r>
      <w:r>
        <w:br/>
        <w:t>\neq</w:t>
      </w:r>
      <w:r>
        <w:br/>
        <w:t>\mathcal A_F^{(z_2,c_2)}</w:t>
      </w:r>
      <w:r>
        <w:br/>
        <w:t>(\mathbf X).</w:t>
      </w:r>
      <w:r>
        <w:br/>
        <w:t>}</w:t>
      </w:r>
      <w:r>
        <w:br/>
        <w:t>\tag{3.13419}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A_F^{(z_1,c_1)}(\mathbf X)\neq\mathcal A_F^{(z_2,c_2)}(\mathbf X).}</w:t>
      </w:r>
    </w:p>
    <w:p w:rsidR="00E50336" w:rsidRDefault="00E50336" w:rsidP="00E50336">
      <w:r>
        <w:pict>
          <v:rect id="_x0000_i5296" style="width:0;height:1.5pt" o:hralign="center" o:hrstd="t" o:hr="t" fillcolor="#a0a0a0" stroked="f"/>
        </w:pict>
      </w:r>
    </w:p>
    <w:p w:rsidR="00E50336" w:rsidRDefault="00E50336" w:rsidP="00E50336">
      <w:pPr>
        <w:pStyle w:val="berschrift2"/>
      </w:pPr>
      <w:r>
        <w:t>3.3.51.129 Zustandsinvarianz als Primäraxiomkandidat</w:t>
      </w:r>
    </w:p>
    <w:p w:rsidR="00E50336" w:rsidRDefault="00E50336" w:rsidP="00E50336">
      <w:pPr>
        <w:pStyle w:val="StandardWeb"/>
      </w:pPr>
      <w:r>
        <w:t>Ein möglicher Kandidat ist</w:t>
      </w:r>
    </w:p>
    <w:p w:rsidR="00E50336" w:rsidRDefault="00E50336" w:rsidP="00E50336">
      <w:pPr>
        <w:pStyle w:val="berschrift1"/>
      </w:pPr>
      <w:r>
        <w:t>[</w:t>
      </w:r>
      <w:r>
        <w:br/>
        <w:t>A_{\mathrm{agg-stat}}</w:t>
      </w:r>
      <w:r>
        <w:br/>
        <w:t>:</w:t>
      </w:r>
      <w:r>
        <w:br/>
        <w:t>\mathcal A_F^{(z_1,c_1)}</w:t>
      </w:r>
    </w:p>
    <w:p w:rsidR="00E50336" w:rsidRDefault="00E50336" w:rsidP="00E50336">
      <w:pPr>
        <w:pStyle w:val="StandardWeb"/>
      </w:pPr>
      <w:r>
        <w:t>\mathcal A_F^{(z_2,c_2)}</w:t>
      </w:r>
      <w:r>
        <w:br/>
        <w:t>\tag{3.13420}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A_{\mathrm{agg-stat}}:\mathcal A_F^{(z_1,c_1)}=\mathcal A_F^{(z_2,c_2)}</w:t>
      </w:r>
    </w:p>
    <w:p w:rsidR="00E50336" w:rsidRDefault="00E50336" w:rsidP="00E50336">
      <w:pPr>
        <w:pStyle w:val="StandardWeb"/>
      </w:pPr>
      <w:r>
        <w:t>für alle zulässigen Zustände und Kontexte.</w:t>
      </w:r>
    </w:p>
    <w:p w:rsidR="00E50336" w:rsidRDefault="00E50336" w:rsidP="00E50336">
      <w:r>
        <w:pict>
          <v:rect id="_x0000_i5297" style="width:0;height:1.5pt" o:hralign="center" o:hrstd="t" o:hr="t" fillcolor="#a0a0a0" stroked="f"/>
        </w:pict>
      </w:r>
    </w:p>
    <w:p w:rsidR="00E50336" w:rsidRDefault="00E50336" w:rsidP="00E50336">
      <w:pPr>
        <w:pStyle w:val="berschrift2"/>
      </w:pPr>
      <w:r>
        <w:t>3.3.51.130 Gegenmodell zur Zustandsinvarianz</w:t>
      </w:r>
    </w:p>
    <w:p w:rsidR="00E50336" w:rsidRDefault="00E50336" w:rsidP="00E50336">
      <w:pPr>
        <w:pStyle w:val="StandardWeb"/>
      </w:pPr>
      <w:r>
        <w:t>Eine Modellklasse kann beispielsweise setzen</w:t>
      </w:r>
    </w:p>
    <w:p w:rsidR="00E50336" w:rsidRDefault="00E50336" w:rsidP="00E50336">
      <w:pPr>
        <w:pStyle w:val="berschrift1"/>
      </w:pPr>
      <w:r>
        <w:t>[</w:t>
      </w:r>
      <w:r>
        <w:br/>
        <w:t>\mathcal A_F</w:t>
      </w:r>
    </w:p>
    <w:p w:rsidR="00E50336" w:rsidRDefault="00E50336" w:rsidP="00E50336">
      <w:pPr>
        <w:pStyle w:val="StandardWeb"/>
      </w:pPr>
      <w:r>
        <w:lastRenderedPageBreak/>
        <w:t>\mathcal A_F(z),</w:t>
      </w:r>
      <w:r>
        <w:br/>
        <w:t>\tag{3.13421}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A_F=\mathcal A_F(z)</w:t>
      </w:r>
    </w:p>
    <w:p w:rsidR="00E50336" w:rsidRDefault="00E50336" w:rsidP="00E50336">
      <w:pPr>
        <w:pStyle w:val="StandardWeb"/>
      </w:pPr>
      <w:r>
        <w:t>sodass Änderungen von (z) das Aggregationsergebnis beeinflussen.</w:t>
      </w:r>
    </w:p>
    <w:p w:rsidR="00E50336" w:rsidRDefault="00E50336" w:rsidP="00E50336">
      <w:r>
        <w:pict>
          <v:rect id="_x0000_i5298" style="width:0;height:1.5pt" o:hralign="center" o:hrstd="t" o:hr="t" fillcolor="#a0a0a0" stroked="f"/>
        </w:pict>
      </w:r>
    </w:p>
    <w:p w:rsidR="00E50336" w:rsidRDefault="00E50336" w:rsidP="00E50336">
      <w:pPr>
        <w:pStyle w:val="berschrift2"/>
      </w:pPr>
      <w:r>
        <w:t>3.3.51.131 Axiomentscheidung zur Zustandsinvarianz</w:t>
      </w:r>
    </w:p>
    <w:p w:rsidR="00E50336" w:rsidRDefault="00E50336" w:rsidP="00E50336">
      <w:pPr>
        <w:pStyle w:val="StandardWeb"/>
      </w:pPr>
      <w:r>
        <w:t>Damit gilt</w:t>
      </w:r>
    </w:p>
    <w:p w:rsidR="00E50336" w:rsidRDefault="00E50336" w:rsidP="00E50336">
      <w:pPr>
        <w:pStyle w:val="berschrift1"/>
      </w:pPr>
      <w:r>
        <w:t>[</w:t>
      </w:r>
      <w:r>
        <w:br/>
        <w:t>\boxed{</w:t>
      </w:r>
      <w:r>
        <w:br/>
        <w:t>U_{\mathrm{Ax}}</w:t>
      </w:r>
      <w:r>
        <w:br/>
        <w:t>(A_{\mathrm{agg-stat}})</w:t>
      </w:r>
    </w:p>
    <w:p w:rsidR="00E50336" w:rsidRDefault="00E50336" w:rsidP="009F7790">
      <w:pPr>
        <w:numPr>
          <w:ilvl w:val="0"/>
          <w:numId w:val="662"/>
        </w:numPr>
        <w:spacing w:before="100" w:beforeAutospacing="1" w:after="100" w:afterAutospacing="1"/>
      </w:pPr>
    </w:p>
    <w:p w:rsidR="00E50336" w:rsidRDefault="00E50336" w:rsidP="00E50336">
      <w:pPr>
        <w:pStyle w:val="StandardWeb"/>
      </w:pPr>
      <w:r>
        <w:t>}</w:t>
      </w:r>
      <w:r>
        <w:br/>
        <w:t>\tag{3.13422}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\boxed{U_{\mathrm{Ax}}(A_{\mathrm{agg-stat}})=0.}</w:t>
      </w:r>
    </w:p>
    <w:p w:rsidR="00E50336" w:rsidRDefault="00E50336" w:rsidP="00E50336">
      <w:r>
        <w:pict>
          <v:rect id="_x0000_i5299" style="width:0;height:1.5pt" o:hralign="center" o:hrstd="t" o:hr="t" fillcolor="#a0a0a0" stroked="f"/>
        </w:pict>
      </w:r>
    </w:p>
    <w:p w:rsidR="00E50336" w:rsidRDefault="00E50336" w:rsidP="00E50336">
      <w:pPr>
        <w:pStyle w:val="berschrift2"/>
      </w:pPr>
      <w:r>
        <w:t>3.3.51.132 Satz 3.3.216 – Zustandsinvariante Aggregation ist kein Primäraxiom</w:t>
      </w:r>
    </w:p>
    <w:p w:rsidR="00E50336" w:rsidRDefault="00E50336" w:rsidP="00E50336">
      <w:pPr>
        <w:pStyle w:val="berschrift3"/>
      </w:pPr>
      <w:r>
        <w:t>Satz 3.3.216</w:t>
      </w:r>
    </w:p>
    <w:p w:rsidR="00E50336" w:rsidRDefault="00E50336" w:rsidP="00E50336">
      <w:pPr>
        <w:pStyle w:val="StandardWeb"/>
      </w:pPr>
      <w:r>
        <w:t>Die Forderung, funktionale Aggregationsoperationen müssten unabhängig von Zustand und Kontext unverändert bleiben, ist keine universell notwendige Voraussetzung des allgemeinen FRZK.</w:t>
      </w:r>
    </w:p>
    <w:p w:rsidR="00E50336" w:rsidRDefault="00E50336" w:rsidP="00E50336">
      <w:pPr>
        <w:pStyle w:val="berschrift1"/>
      </w:pPr>
      <w:r>
        <w:t>[</w:t>
      </w:r>
      <w:r>
        <w:br/>
        <w:t>\boxed{</w:t>
      </w:r>
      <w:r>
        <w:br/>
      </w:r>
      <w:r>
        <w:lastRenderedPageBreak/>
        <w:t>U_{\mathrm{Ax}}</w:t>
      </w:r>
      <w:r>
        <w:br/>
        <w:t>(A_{\mathrm{agg-stat}})</w:t>
      </w:r>
    </w:p>
    <w:p w:rsidR="00E50336" w:rsidRDefault="00E50336" w:rsidP="009F7790">
      <w:pPr>
        <w:numPr>
          <w:ilvl w:val="0"/>
          <w:numId w:val="663"/>
        </w:numPr>
        <w:spacing w:before="100" w:beforeAutospacing="1" w:after="100" w:afterAutospacing="1"/>
      </w:pPr>
    </w:p>
    <w:p w:rsidR="00E50336" w:rsidRDefault="00E50336" w:rsidP="00E50336">
      <w:pPr>
        <w:pStyle w:val="StandardWeb"/>
      </w:pPr>
      <w:r>
        <w:t>}</w:t>
      </w:r>
      <w:r>
        <w:br/>
        <w:t>\tag{3.13423}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\boxed{U_{\mathrm{Ax}}(A_{\mathrm{agg-stat}})=0.}</w:t>
      </w:r>
    </w:p>
    <w:p w:rsidR="00E50336" w:rsidRDefault="00E50336" w:rsidP="00E50336">
      <w:r>
        <w:pict>
          <v:rect id="_x0000_i5300" style="width:0;height:1.5pt" o:hralign="center" o:hrstd="t" o:hr="t" fillcolor="#a0a0a0" stroked="f"/>
        </w:pict>
      </w:r>
    </w:p>
    <w:p w:rsidR="00E50336" w:rsidRDefault="00E50336" w:rsidP="00E50336">
      <w:pPr>
        <w:pStyle w:val="berschrift2"/>
      </w:pPr>
      <w:r>
        <w:t>3.3.51.133 Dynamische Fusion</w:t>
      </w:r>
    </w:p>
    <w:p w:rsidR="00E50336" w:rsidRDefault="00E50336" w:rsidP="00E50336">
      <w:pPr>
        <w:pStyle w:val="StandardWeb"/>
      </w:pPr>
      <w:r>
        <w:t>Analog kann die Fusion zeit- oder zustandsabhängig sein:</w:t>
      </w:r>
    </w:p>
    <w:p w:rsidR="00E50336" w:rsidRDefault="00E50336" w:rsidP="00E50336">
      <w:pPr>
        <w:pStyle w:val="berschrift1"/>
      </w:pPr>
      <w:r>
        <w:t>[</w:t>
      </w:r>
      <w:r>
        <w:br/>
        <w:t>\otimes_F</w:t>
      </w:r>
    </w:p>
    <w:p w:rsidR="00E50336" w:rsidRDefault="00E50336" w:rsidP="00E50336">
      <w:pPr>
        <w:pStyle w:val="StandardWeb"/>
      </w:pPr>
      <w:r>
        <w:t>\otimes_F(z_t,c_t).</w:t>
      </w:r>
      <w:r>
        <w:br/>
        <w:t>\tag{3.13424}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\otimes_F=\otimes_F(z_t,c_t)</w:t>
      </w:r>
    </w:p>
    <w:p w:rsidR="00E50336" w:rsidRDefault="00E50336" w:rsidP="00E50336">
      <w:r>
        <w:pict>
          <v:rect id="_x0000_i5301" style="width:0;height:1.5pt" o:hralign="center" o:hrstd="t" o:hr="t" fillcolor="#a0a0a0" stroked="f"/>
        </w:pict>
      </w:r>
    </w:p>
    <w:p w:rsidR="00E50336" w:rsidRDefault="00E50336" w:rsidP="00E50336">
      <w:pPr>
        <w:pStyle w:val="berschrift2"/>
      </w:pPr>
      <w:r>
        <w:t>3.3.51.134 Definition 3.3.554 – Dynamische funktionale Fusion</w:t>
      </w:r>
    </w:p>
    <w:p w:rsidR="00E50336" w:rsidRDefault="00E50336" w:rsidP="00E50336">
      <w:pPr>
        <w:pStyle w:val="berschrift3"/>
      </w:pPr>
      <w:r>
        <w:t>Definition 3.3.554</w:t>
      </w:r>
    </w:p>
    <w:p w:rsidR="00E50336" w:rsidRDefault="00E50336" w:rsidP="00E50336">
      <w:pPr>
        <w:pStyle w:val="StandardWeb"/>
      </w:pPr>
      <w:r>
        <w:t xml:space="preserve">Eine funktionale Fusion heißt </w:t>
      </w:r>
      <w:r>
        <w:rPr>
          <w:rStyle w:val="Fett"/>
        </w:rPr>
        <w:t>dynamisch</w:t>
      </w:r>
      <w:r>
        <w:t>, wenn</w:t>
      </w:r>
    </w:p>
    <w:p w:rsidR="00E50336" w:rsidRDefault="00E50336" w:rsidP="00E50336">
      <w:pPr>
        <w:pStyle w:val="berschrift1"/>
      </w:pPr>
      <w:r>
        <w:t>[</w:t>
      </w:r>
      <w:r>
        <w:br/>
        <w:t>\boxed{</w:t>
      </w:r>
      <w:r>
        <w:br/>
        <w:t>\otimes_F</w:t>
      </w:r>
    </w:p>
    <w:p w:rsidR="00E50336" w:rsidRDefault="00E50336" w:rsidP="00E50336">
      <w:pPr>
        <w:pStyle w:val="StandardWeb"/>
      </w:pPr>
      <w:r>
        <w:t>\otimes_F(z_t,c_t).</w:t>
      </w:r>
      <w:r>
        <w:br/>
        <w:t>}</w:t>
      </w:r>
      <w:r>
        <w:br/>
        <w:t>\tag{3.13425}</w:t>
      </w:r>
      <w:r>
        <w:br/>
        <w:t>]</w:t>
      </w:r>
    </w:p>
    <w:p w:rsidR="00E50336" w:rsidRDefault="00E50336" w:rsidP="00E50336">
      <w:pPr>
        <w:pStyle w:val="StandardWeb"/>
      </w:pPr>
      <w:r>
        <w:rPr>
          <w:rStyle w:val="Fett"/>
        </w:rPr>
        <w:lastRenderedPageBreak/>
        <w:t>Word-LaTeX</w:t>
      </w:r>
    </w:p>
    <w:p w:rsidR="00E50336" w:rsidRDefault="00E50336" w:rsidP="00E50336">
      <w:pPr>
        <w:pStyle w:val="HTMLVorformatiert"/>
        <w:rPr>
          <w:rStyle w:val="HTMLCode"/>
        </w:rPr>
      </w:pPr>
      <w:r>
        <w:rPr>
          <w:rStyle w:val="HTMLCode"/>
        </w:rPr>
        <w:t>\boxed{\otimes_F=\otimes_F(z_t,c_t).}</w:t>
      </w:r>
    </w:p>
    <w:p w:rsidR="00E50336" w:rsidRDefault="00E50336" w:rsidP="00E50336">
      <w:r>
        <w:pict>
          <v:rect id="_x0000_i5302" style="width:0;height:1.5pt" o:hralign="center" o:hrstd="t" o:hr="t" fillcolor="#a0a0a0" stroked="f"/>
        </w:pict>
      </w:r>
    </w:p>
    <w:p w:rsidR="00E50336" w:rsidRDefault="00E50336" w:rsidP="00E50336">
      <w:pPr>
        <w:pStyle w:val="berschrift2"/>
      </w:pPr>
      <w:r>
        <w:t>3.3.51.135 Fusionswechsel</w:t>
      </w:r>
    </w:p>
    <w:p w:rsidR="00E50336" w:rsidRDefault="00E50336" w:rsidP="00E50336">
      <w:pPr>
        <w:pStyle w:val="StandardWeb"/>
      </w:pPr>
      <w:r>
        <w:t>Damit kann</w:t>
      </w:r>
    </w:p>
    <w:p w:rsidR="00E50336" w:rsidRDefault="00E50336" w:rsidP="00E50336">
      <w:pPr>
        <w:pStyle w:val="StandardWeb"/>
      </w:pPr>
      <w:r>
        <w:t>[</w:t>
      </w:r>
      <w:r>
        <w:br/>
        <w:t>X\otimes_F^{(z_1)}Y</w:t>
      </w:r>
      <w:r>
        <w:br/>
        <w:t>\neq</w:t>
      </w:r>
      <w:r>
        <w:br/>
        <w:t>X\otimes_F^{(z_2)}Y</w:t>
      </w:r>
      <w:r>
        <w:br/>
        <w:t>\tag{3.13426}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X\otimes_F^{(z_1)}Y\neq X\otimes_F^{(z_2)}Y</w:t>
      </w:r>
    </w:p>
    <w:p w:rsidR="00E50336" w:rsidRDefault="00E50336" w:rsidP="00E50336">
      <w:pPr>
        <w:pStyle w:val="StandardWeb"/>
      </w:pPr>
      <w:r>
        <w:t>gelten.</w:t>
      </w:r>
    </w:p>
    <w:p w:rsidR="00E50336" w:rsidRDefault="00E50336" w:rsidP="00E50336">
      <w:r>
        <w:pict>
          <v:rect id="_x0000_i5303" style="width:0;height:1.5pt" o:hralign="center" o:hrstd="t" o:hr="t" fillcolor="#a0a0a0" stroked="f"/>
        </w:pict>
      </w:r>
    </w:p>
    <w:p w:rsidR="00E50336" w:rsidRDefault="00E50336" w:rsidP="00E50336">
      <w:pPr>
        <w:pStyle w:val="berschrift2"/>
      </w:pPr>
      <w:r>
        <w:t>3.3.51.136 Definition 3.3.555 – Funktionaler Fusionswechsel</w:t>
      </w:r>
    </w:p>
    <w:p w:rsidR="00E50336" w:rsidRDefault="00E50336" w:rsidP="00E50336">
      <w:pPr>
        <w:pStyle w:val="berschrift3"/>
      </w:pPr>
      <w:r>
        <w:t>Definition 3.3.555</w:t>
      </w:r>
    </w:p>
    <w:p w:rsidR="00E50336" w:rsidRDefault="00E50336" w:rsidP="00E50336">
      <w:pPr>
        <w:pStyle w:val="StandardWeb"/>
      </w:pPr>
      <w:r>
        <w:t xml:space="preserve">Ein </w:t>
      </w:r>
      <w:r>
        <w:rPr>
          <w:rStyle w:val="Fett"/>
        </w:rPr>
        <w:t>funktionaler Fusionswechsel</w:t>
      </w:r>
      <w:r>
        <w:t xml:space="preserve"> liegt vor, wenn</w:t>
      </w:r>
    </w:p>
    <w:p w:rsidR="00E50336" w:rsidRDefault="00E50336" w:rsidP="00E50336">
      <w:pPr>
        <w:pStyle w:val="StandardWeb"/>
      </w:pPr>
      <w:r>
        <w:t>[</w:t>
      </w:r>
      <w:r>
        <w:br/>
        <w:t>\boxed{</w:t>
      </w:r>
      <w:r>
        <w:br/>
        <w:t>X\otimes_F^{(z_1,c_1)}Y</w:t>
      </w:r>
      <w:r>
        <w:br/>
        <w:t>\neq</w:t>
      </w:r>
      <w:r>
        <w:br/>
        <w:t>X\otimes_F^{(z_2,c_2)}Y.</w:t>
      </w:r>
      <w:r>
        <w:br/>
        <w:t>}</w:t>
      </w:r>
      <w:r>
        <w:br/>
        <w:t>\tag{3.13427}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\boxed{X\otimes_F^{(z_1,c_1)}Y\neq X\otimes_F^{(z_2,c_2)}Y.}</w:t>
      </w:r>
    </w:p>
    <w:p w:rsidR="00E50336" w:rsidRDefault="00E50336" w:rsidP="00E50336">
      <w:r>
        <w:pict>
          <v:rect id="_x0000_i5304" style="width:0;height:1.5pt" o:hralign="center" o:hrstd="t" o:hr="t" fillcolor="#a0a0a0" stroked="f"/>
        </w:pict>
      </w:r>
    </w:p>
    <w:p w:rsidR="00E50336" w:rsidRDefault="00E50336" w:rsidP="00E50336">
      <w:pPr>
        <w:pStyle w:val="berschrift2"/>
      </w:pPr>
      <w:r>
        <w:t>3.3.51.137 Zerlegung und Kontext</w:t>
      </w:r>
    </w:p>
    <w:p w:rsidR="00E50336" w:rsidRDefault="00E50336" w:rsidP="00E50336">
      <w:pPr>
        <w:pStyle w:val="StandardWeb"/>
      </w:pPr>
      <w:r>
        <w:t>Auch eine Zerlegung kann kontextabhängig sein:</w:t>
      </w:r>
    </w:p>
    <w:p w:rsidR="00E50336" w:rsidRDefault="00E50336" w:rsidP="00E50336">
      <w:pPr>
        <w:pStyle w:val="berschrift1"/>
      </w:pPr>
      <w:r>
        <w:lastRenderedPageBreak/>
        <w:t>[</w:t>
      </w:r>
      <w:r>
        <w:br/>
        <w:t>\mathcal D_F</w:t>
      </w:r>
    </w:p>
    <w:p w:rsidR="00E50336" w:rsidRDefault="00E50336" w:rsidP="00E50336">
      <w:pPr>
        <w:pStyle w:val="StandardWeb"/>
      </w:pPr>
      <w:r>
        <w:t>\mathcal D_F(z,c).</w:t>
      </w:r>
      <w:r>
        <w:br/>
        <w:t>\tag{3.13428}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D_F=\mathcal D_F(z,c)</w:t>
      </w:r>
    </w:p>
    <w:p w:rsidR="00E50336" w:rsidRDefault="00E50336" w:rsidP="00E50336">
      <w:r>
        <w:pict>
          <v:rect id="_x0000_i5305" style="width:0;height:1.5pt" o:hralign="center" o:hrstd="t" o:hr="t" fillcolor="#a0a0a0" stroked="f"/>
        </w:pict>
      </w:r>
    </w:p>
    <w:p w:rsidR="00E50336" w:rsidRDefault="00E50336" w:rsidP="00E50336">
      <w:pPr>
        <w:pStyle w:val="berschrift2"/>
      </w:pPr>
      <w:r>
        <w:t>3.3.51.138 Definition 3.3.556 – Kontextabhängige funktionale Zerlegung</w:t>
      </w:r>
    </w:p>
    <w:p w:rsidR="00E50336" w:rsidRDefault="00E50336" w:rsidP="00E50336">
      <w:pPr>
        <w:pStyle w:val="berschrift3"/>
      </w:pPr>
      <w:r>
        <w:t>Definition 3.3.556</w:t>
      </w:r>
    </w:p>
    <w:p w:rsidR="00E50336" w:rsidRDefault="00E50336" w:rsidP="00E50336">
      <w:pPr>
        <w:pStyle w:val="StandardWeb"/>
      </w:pPr>
      <w:r>
        <w:t xml:space="preserve">Eine Zerlegung heißt </w:t>
      </w:r>
      <w:r>
        <w:rPr>
          <w:rStyle w:val="Fett"/>
        </w:rPr>
        <w:t>kontextabhängig</w:t>
      </w:r>
      <w:r>
        <w:t>, wenn</w:t>
      </w:r>
    </w:p>
    <w:p w:rsidR="00E50336" w:rsidRDefault="00E50336" w:rsidP="00E50336">
      <w:pPr>
        <w:pStyle w:val="berschrift1"/>
      </w:pPr>
      <w:r>
        <w:t>[</w:t>
      </w:r>
      <w:r>
        <w:br/>
        <w:t>\boxed{</w:t>
      </w:r>
      <w:r>
        <w:br/>
        <w:t>\mathcal D_F</w:t>
      </w:r>
    </w:p>
    <w:p w:rsidR="00E50336" w:rsidRDefault="00E50336" w:rsidP="00E50336">
      <w:pPr>
        <w:pStyle w:val="StandardWeb"/>
      </w:pPr>
      <w:r>
        <w:t>\mathcal D_F(z,c).</w:t>
      </w:r>
      <w:r>
        <w:br/>
        <w:t>}</w:t>
      </w:r>
      <w:r>
        <w:br/>
        <w:t>\tag{3.13429}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D_F=\mathcal D_F(z,c).}</w:t>
      </w:r>
    </w:p>
    <w:p w:rsidR="00E50336" w:rsidRDefault="00E50336" w:rsidP="00E50336">
      <w:r>
        <w:pict>
          <v:rect id="_x0000_i5306" style="width:0;height:1.5pt" o:hralign="center" o:hrstd="t" o:hr="t" fillcolor="#a0a0a0" stroked="f"/>
        </w:pict>
      </w:r>
    </w:p>
    <w:p w:rsidR="00E50336" w:rsidRDefault="00E50336" w:rsidP="00E50336">
      <w:pPr>
        <w:pStyle w:val="berschrift2"/>
      </w:pPr>
      <w:r>
        <w:t>3.3.51.139 Unterschiedliche Zerlegungen desselben Objekts</w:t>
      </w:r>
    </w:p>
    <w:p w:rsidR="00E50336" w:rsidRDefault="00E50336" w:rsidP="00E50336">
      <w:pPr>
        <w:pStyle w:val="StandardWeb"/>
      </w:pPr>
      <w:r>
        <w:t>Dann kann gelten</w:t>
      </w:r>
    </w:p>
    <w:p w:rsidR="00E50336" w:rsidRDefault="00E50336" w:rsidP="00E50336">
      <w:pPr>
        <w:pStyle w:val="StandardWeb"/>
      </w:pPr>
      <w:r>
        <w:t>[</w:t>
      </w:r>
      <w:r>
        <w:br/>
        <w:t>\mathcal D_F^{(z_1,c_1)}(Z)</w:t>
      </w:r>
      <w:r>
        <w:br/>
        <w:t>\neq</w:t>
      </w:r>
      <w:r>
        <w:br/>
        <w:t>\mathcal D_F^{(z_2,c_2)}(Z).</w:t>
      </w:r>
      <w:r>
        <w:br/>
        <w:t>\tag{3.13430}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lastRenderedPageBreak/>
        <w:t>\mathcal D_F^{(z_1,c_1)}(Z)\neq\mathcal D_F^{(z_2,c_2)}(Z)</w:t>
      </w:r>
    </w:p>
    <w:p w:rsidR="00E50336" w:rsidRDefault="00E50336" w:rsidP="00E50336">
      <w:r>
        <w:pict>
          <v:rect id="_x0000_i5307" style="width:0;height:1.5pt" o:hralign="center" o:hrstd="t" o:hr="t" fillcolor="#a0a0a0" stroked="f"/>
        </w:pict>
      </w:r>
    </w:p>
    <w:p w:rsidR="00E50336" w:rsidRDefault="00E50336" w:rsidP="00E50336">
      <w:pPr>
        <w:pStyle w:val="berschrift2"/>
      </w:pPr>
      <w:r>
        <w:t>3.3.51.140 Definition 3.3.557 – Funktionaler Zerlegungswechsel</w:t>
      </w:r>
    </w:p>
    <w:p w:rsidR="00E50336" w:rsidRDefault="00E50336" w:rsidP="00E50336">
      <w:pPr>
        <w:pStyle w:val="berschrift3"/>
      </w:pPr>
      <w:r>
        <w:t>Definition 3.3.557</w:t>
      </w:r>
    </w:p>
    <w:p w:rsidR="00E50336" w:rsidRDefault="00E50336" w:rsidP="00E50336">
      <w:pPr>
        <w:pStyle w:val="StandardWeb"/>
      </w:pPr>
      <w:r>
        <w:t xml:space="preserve">Ein </w:t>
      </w:r>
      <w:r>
        <w:rPr>
          <w:rStyle w:val="Fett"/>
        </w:rPr>
        <w:t>funktionaler Zerlegungswechsel</w:t>
      </w:r>
      <w:r>
        <w:t xml:space="preserve"> liegt vor, wenn</w:t>
      </w:r>
    </w:p>
    <w:p w:rsidR="00E50336" w:rsidRDefault="00E50336" w:rsidP="00E50336">
      <w:pPr>
        <w:pStyle w:val="StandardWeb"/>
      </w:pPr>
      <w:r>
        <w:t>[</w:t>
      </w:r>
      <w:r>
        <w:br/>
        <w:t>\boxed{</w:t>
      </w:r>
      <w:r>
        <w:br/>
        <w:t>\mathcal D_F^{(z_1,c_1)}(Z)</w:t>
      </w:r>
      <w:r>
        <w:br/>
        <w:t>\neq</w:t>
      </w:r>
      <w:r>
        <w:br/>
        <w:t>\mathcal D_F^{(z_2,c_2)}(Z).</w:t>
      </w:r>
      <w:r>
        <w:br/>
        <w:t>}</w:t>
      </w:r>
      <w:r>
        <w:br/>
        <w:t>\tag{3.13431}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\boxed{\mathcal D_F^{(z_1,c_1)}(Z)\neq\mathcal D_F^{(z_2,c_2)}(Z).}</w:t>
      </w:r>
    </w:p>
    <w:p w:rsidR="00E50336" w:rsidRDefault="00E50336" w:rsidP="00E50336">
      <w:r>
        <w:pict>
          <v:rect id="_x0000_i5308" style="width:0;height:1.5pt" o:hralign="center" o:hrstd="t" o:hr="t" fillcolor="#a0a0a0" stroked="f"/>
        </w:pict>
      </w:r>
    </w:p>
    <w:p w:rsidR="00E50336" w:rsidRDefault="00E50336" w:rsidP="00E50336">
      <w:pPr>
        <w:pStyle w:val="berschrift2"/>
      </w:pPr>
      <w:r>
        <w:t>3.3.51.141 Statische Zerlegung als Primäraxiomkandidat</w:t>
      </w:r>
    </w:p>
    <w:p w:rsidR="00E50336" w:rsidRDefault="00E50336" w:rsidP="00E50336">
      <w:pPr>
        <w:pStyle w:val="StandardWeb"/>
      </w:pPr>
      <w:r>
        <w:t>Ein möglicher Kandidat lautet</w:t>
      </w:r>
    </w:p>
    <w:p w:rsidR="00E50336" w:rsidRDefault="00E50336" w:rsidP="00E50336">
      <w:pPr>
        <w:pStyle w:val="berschrift1"/>
      </w:pPr>
      <w:r>
        <w:t>[</w:t>
      </w:r>
      <w:r>
        <w:br/>
        <w:t>A_{\mathrm{dec-stat}}</w:t>
      </w:r>
      <w:r>
        <w:br/>
        <w:t>:</w:t>
      </w:r>
      <w:r>
        <w:br/>
        <w:t>\mathcal D_F^{(z_1,c_1)}(Z)</w:t>
      </w:r>
    </w:p>
    <w:p w:rsidR="00E50336" w:rsidRDefault="00E50336" w:rsidP="00E50336">
      <w:pPr>
        <w:pStyle w:val="StandardWeb"/>
      </w:pPr>
      <w:r>
        <w:t>\mathcal D_F^{(z_2,c_2)}(Z).</w:t>
      </w:r>
      <w:r>
        <w:br/>
        <w:t>\tag{3.13432}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A_{\mathrm{dec-stat}}:\mathcal D_F^{(z_1,c_1)}(Z)=\mathcal D_F^{(z_2,c_2)}(Z)</w:t>
      </w:r>
    </w:p>
    <w:p w:rsidR="00E50336" w:rsidRDefault="00E50336" w:rsidP="00E50336">
      <w:r>
        <w:pict>
          <v:rect id="_x0000_i5309" style="width:0;height:1.5pt" o:hralign="center" o:hrstd="t" o:hr="t" fillcolor="#a0a0a0" stroked="f"/>
        </w:pict>
      </w:r>
    </w:p>
    <w:p w:rsidR="00E50336" w:rsidRDefault="00E50336" w:rsidP="00E50336">
      <w:pPr>
        <w:pStyle w:val="berschrift2"/>
      </w:pPr>
      <w:r>
        <w:t>3.3.51.142 Gegenmodell zur statischen Zerlegung</w:t>
      </w:r>
    </w:p>
    <w:p w:rsidR="00E50336" w:rsidRDefault="00E50336" w:rsidP="00E50336">
      <w:pPr>
        <w:pStyle w:val="StandardWeb"/>
      </w:pPr>
      <w:r>
        <w:t>Eine Modellklasse kann dasselbe Objekt je nach Fragestellung unterschiedlich zerlegen:</w:t>
      </w:r>
    </w:p>
    <w:p w:rsidR="00E50336" w:rsidRDefault="00E50336" w:rsidP="00E50336">
      <w:pPr>
        <w:pStyle w:val="StandardWeb"/>
      </w:pPr>
      <w:r>
        <w:lastRenderedPageBreak/>
        <w:t>[</w:t>
      </w:r>
      <w:r>
        <w:br/>
        <w:t>\mathcal D_F^{(a)}(Z)</w:t>
      </w:r>
      <w:r>
        <w:br/>
        <w:t>\neq</w:t>
      </w:r>
      <w:r>
        <w:br/>
        <w:t>\mathcal D_F^{(b)}(Z).</w:t>
      </w:r>
      <w:r>
        <w:br/>
        <w:t>\tag{3.13433}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\mathcal D_F^{(a)}(Z)\neq\mathcal D_F^{(b)}(Z)</w:t>
      </w:r>
    </w:p>
    <w:p w:rsidR="00E50336" w:rsidRDefault="00E50336" w:rsidP="00E50336">
      <w:r>
        <w:pict>
          <v:rect id="_x0000_i5310" style="width:0;height:1.5pt" o:hralign="center" o:hrstd="t" o:hr="t" fillcolor="#a0a0a0" stroked="f"/>
        </w:pict>
      </w:r>
    </w:p>
    <w:p w:rsidR="00E50336" w:rsidRDefault="00E50336" w:rsidP="00E50336">
      <w:pPr>
        <w:pStyle w:val="berschrift2"/>
      </w:pPr>
      <w:r>
        <w:t>3.3.51.143 Axiomentscheidung zur statischen Zerlegung</w:t>
      </w:r>
    </w:p>
    <w:p w:rsidR="00E50336" w:rsidRDefault="00E50336" w:rsidP="00E50336">
      <w:pPr>
        <w:pStyle w:val="StandardWeb"/>
      </w:pPr>
      <w:r>
        <w:t>Damit gilt</w:t>
      </w:r>
    </w:p>
    <w:p w:rsidR="00E50336" w:rsidRDefault="00E50336" w:rsidP="00E50336">
      <w:pPr>
        <w:pStyle w:val="berschrift1"/>
      </w:pPr>
      <w:r>
        <w:t>[</w:t>
      </w:r>
      <w:r>
        <w:br/>
        <w:t>\boxed{</w:t>
      </w:r>
      <w:r>
        <w:br/>
        <w:t>U_{\mathrm{Ax}}</w:t>
      </w:r>
      <w:r>
        <w:br/>
        <w:t>(A_{\mathrm{dec-stat}})</w:t>
      </w:r>
    </w:p>
    <w:p w:rsidR="00E50336" w:rsidRDefault="00E50336" w:rsidP="009F7790">
      <w:pPr>
        <w:numPr>
          <w:ilvl w:val="0"/>
          <w:numId w:val="664"/>
        </w:numPr>
        <w:spacing w:before="100" w:beforeAutospacing="1" w:after="100" w:afterAutospacing="1"/>
      </w:pPr>
    </w:p>
    <w:p w:rsidR="00E50336" w:rsidRDefault="00E50336" w:rsidP="00E50336">
      <w:pPr>
        <w:pStyle w:val="StandardWeb"/>
      </w:pPr>
      <w:r>
        <w:t>}</w:t>
      </w:r>
      <w:r>
        <w:br/>
        <w:t>\tag{3.13434}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\boxed{U_{\mathrm{Ax}}(A_{\mathrm{dec-stat}})=0.}</w:t>
      </w:r>
    </w:p>
    <w:p w:rsidR="00E50336" w:rsidRDefault="00E50336" w:rsidP="00E50336">
      <w:r>
        <w:pict>
          <v:rect id="_x0000_i5311" style="width:0;height:1.5pt" o:hralign="center" o:hrstd="t" o:hr="t" fillcolor="#a0a0a0" stroked="f"/>
        </w:pict>
      </w:r>
    </w:p>
    <w:p w:rsidR="00E50336" w:rsidRDefault="00E50336" w:rsidP="00E50336">
      <w:pPr>
        <w:pStyle w:val="berschrift2"/>
      </w:pPr>
      <w:r>
        <w:t>3.3.51.144 Satz 3.3.217 – Kontextinvariante Zerlegung ist kein Primäraxiom</w:t>
      </w:r>
    </w:p>
    <w:p w:rsidR="00E50336" w:rsidRDefault="00E50336" w:rsidP="00E50336">
      <w:pPr>
        <w:pStyle w:val="berschrift3"/>
      </w:pPr>
      <w:r>
        <w:t>Satz 3.3.217</w:t>
      </w:r>
    </w:p>
    <w:p w:rsidR="00E50336" w:rsidRDefault="00E50336" w:rsidP="00E50336">
      <w:pPr>
        <w:pStyle w:val="StandardWeb"/>
      </w:pPr>
      <w:r>
        <w:t>Die Forderung, jedes funktionale Objekt müsse unabhängig von Zustand, Kontext oder Modellfrage stets dieselbe Zerlegung besitzen, ist keine universell notwendige Voraussetzung des allgemeinen FRZK.</w:t>
      </w:r>
    </w:p>
    <w:p w:rsidR="00E50336" w:rsidRDefault="00E50336" w:rsidP="00E50336">
      <w:pPr>
        <w:pStyle w:val="berschrift1"/>
      </w:pPr>
      <w:r>
        <w:t>[</w:t>
      </w:r>
      <w:r>
        <w:br/>
        <w:t>\boxed{</w:t>
      </w:r>
      <w:r>
        <w:br/>
      </w:r>
      <w:r>
        <w:lastRenderedPageBreak/>
        <w:t>U_{\mathrm{Ax}}</w:t>
      </w:r>
      <w:r>
        <w:br/>
        <w:t>(A_{\mathrm{dec-stat}})</w:t>
      </w:r>
    </w:p>
    <w:p w:rsidR="00E50336" w:rsidRDefault="00E50336" w:rsidP="009F7790">
      <w:pPr>
        <w:numPr>
          <w:ilvl w:val="0"/>
          <w:numId w:val="665"/>
        </w:numPr>
        <w:spacing w:before="100" w:beforeAutospacing="1" w:after="100" w:afterAutospacing="1"/>
      </w:pPr>
    </w:p>
    <w:p w:rsidR="00E50336" w:rsidRDefault="00E50336" w:rsidP="00E50336">
      <w:pPr>
        <w:pStyle w:val="StandardWeb"/>
      </w:pPr>
      <w:r>
        <w:t>}</w:t>
      </w:r>
      <w:r>
        <w:br/>
        <w:t>\tag{3.13435}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\boxed{U_{\mathrm{Ax}}(A_{\mathrm{dec-stat}})=0.}</w:t>
      </w:r>
    </w:p>
    <w:p w:rsidR="00E50336" w:rsidRDefault="00E50336" w:rsidP="00E50336">
      <w:r>
        <w:pict>
          <v:rect id="_x0000_i5312" style="width:0;height:1.5pt" o:hralign="center" o:hrstd="t" o:hr="t" fillcolor="#a0a0a0" stroked="f"/>
        </w:pict>
      </w:r>
    </w:p>
    <w:p w:rsidR="00E50336" w:rsidRDefault="00E50336" w:rsidP="00E50336">
      <w:pPr>
        <w:pStyle w:val="berschrift2"/>
      </w:pPr>
      <w:r>
        <w:t>3.3.51.145 Distributive Beziehungen</w:t>
      </w:r>
    </w:p>
    <w:p w:rsidR="00E50336" w:rsidRDefault="00E50336" w:rsidP="00E50336">
      <w:pPr>
        <w:pStyle w:val="StandardWeb"/>
      </w:pPr>
      <w:r>
        <w:t>Wenn mehrere Operationen existieren, kann eine Aggregationsoperation über einer zweiten Operation distributiv sein.</w:t>
      </w:r>
    </w:p>
    <w:p w:rsidR="00E50336" w:rsidRDefault="00E50336" w:rsidP="00E50336">
      <w:pPr>
        <w:pStyle w:val="StandardWeb"/>
      </w:pPr>
      <w:r>
        <w:t>Seien (\oplus_F) und (\otimes_F) zwei definierte Operationen.</w:t>
      </w:r>
    </w:p>
    <w:p w:rsidR="00E50336" w:rsidRDefault="00E50336" w:rsidP="00E50336">
      <w:pPr>
        <w:pStyle w:val="StandardWeb"/>
      </w:pPr>
      <w:r>
        <w:t>Eine mögliche Bedingung lautet</w:t>
      </w:r>
    </w:p>
    <w:p w:rsidR="00E50336" w:rsidRDefault="00E50336" w:rsidP="00E50336">
      <w:pPr>
        <w:pStyle w:val="berschrift1"/>
      </w:pPr>
      <w:r>
        <w:t>[</w:t>
      </w:r>
      <w:r>
        <w:br/>
        <w:t>X\otimes_F(Y\oplus_F Z)</w:t>
      </w:r>
    </w:p>
    <w:p w:rsidR="00E50336" w:rsidRDefault="00E50336" w:rsidP="00E50336">
      <w:pPr>
        <w:pStyle w:val="StandardWeb"/>
      </w:pPr>
      <w:r>
        <w:t>(X\otimes_F Y)</w:t>
      </w:r>
      <w:r>
        <w:br/>
        <w:t>\oplus_F</w:t>
      </w:r>
      <w:r>
        <w:br/>
        <w:t>(X\otimes_F Z).</w:t>
      </w:r>
      <w:r>
        <w:br/>
        <w:t>\tag{3.13436}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X\otimes_F(Y\oplus_F Z)=(X\otimes_F Y)\oplus_F(X\otimes_F Z)</w:t>
      </w:r>
    </w:p>
    <w:p w:rsidR="00E50336" w:rsidRDefault="00E50336" w:rsidP="00E50336">
      <w:r>
        <w:pict>
          <v:rect id="_x0000_i5313" style="width:0;height:1.5pt" o:hralign="center" o:hrstd="t" o:hr="t" fillcolor="#a0a0a0" stroked="f"/>
        </w:pict>
      </w:r>
    </w:p>
    <w:p w:rsidR="00E50336" w:rsidRDefault="00E50336" w:rsidP="00E50336">
      <w:pPr>
        <w:pStyle w:val="berschrift2"/>
      </w:pPr>
      <w:r>
        <w:t>3.3.51.146 Definition 3.3.558 – Linksdistributive funktionale Operationen</w:t>
      </w:r>
    </w:p>
    <w:p w:rsidR="00E50336" w:rsidRDefault="00E50336" w:rsidP="00E50336">
      <w:pPr>
        <w:pStyle w:val="berschrift3"/>
      </w:pPr>
      <w:r>
        <w:t>Definition 3.3.558</w:t>
      </w:r>
    </w:p>
    <w:p w:rsidR="00E50336" w:rsidRDefault="00E50336" w:rsidP="00E50336">
      <w:pPr>
        <w:pStyle w:val="StandardWeb"/>
      </w:pPr>
      <w:r>
        <w:t xml:space="preserve">Die Operation (\otimes_F) heißt </w:t>
      </w:r>
      <w:r>
        <w:rPr>
          <w:rStyle w:val="Fett"/>
        </w:rPr>
        <w:t>linksdistributiv über (\oplus_F)</w:t>
      </w:r>
      <w:r>
        <w:t>, wenn</w:t>
      </w:r>
    </w:p>
    <w:p w:rsidR="00E50336" w:rsidRDefault="00E50336" w:rsidP="00E50336">
      <w:pPr>
        <w:pStyle w:val="berschrift1"/>
      </w:pPr>
      <w:r>
        <w:lastRenderedPageBreak/>
        <w:t>[</w:t>
      </w:r>
      <w:r>
        <w:br/>
        <w:t>\boxed{</w:t>
      </w:r>
      <w:r>
        <w:br/>
        <w:t>X\otimes_F(Y\oplus_F Z)</w:t>
      </w:r>
    </w:p>
    <w:p w:rsidR="00E50336" w:rsidRDefault="00E50336" w:rsidP="00E50336">
      <w:pPr>
        <w:pStyle w:val="StandardWeb"/>
      </w:pPr>
      <w:r>
        <w:t>(X\otimes_F Y)</w:t>
      </w:r>
      <w:r>
        <w:br/>
        <w:t>\oplus_F</w:t>
      </w:r>
      <w:r>
        <w:br/>
        <w:t>(X\otimes_F Z).</w:t>
      </w:r>
      <w:r>
        <w:br/>
        <w:t>}</w:t>
      </w:r>
      <w:r>
        <w:br/>
        <w:t>\tag{3.13437}</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\boxed{X\otimes_F(Y\oplus_F Z)=(X\otimes_F Y)\oplus_F(X\otimes_F Z).}</w:t>
      </w:r>
    </w:p>
    <w:p w:rsidR="00E50336" w:rsidRDefault="00E50336" w:rsidP="00E50336">
      <w:r>
        <w:pict>
          <v:rect id="_x0000_i5314" style="width:0;height:1.5pt" o:hralign="center" o:hrstd="t" o:hr="t" fillcolor="#a0a0a0" stroked="f"/>
        </w:pict>
      </w:r>
    </w:p>
    <w:p w:rsidR="00E50336" w:rsidRDefault="00E50336" w:rsidP="00E50336">
      <w:pPr>
        <w:pStyle w:val="berschrift2"/>
      </w:pPr>
      <w:r>
        <w:t>3.3.51.147 Rechtsdistributivität</w:t>
      </w:r>
    </w:p>
    <w:p w:rsidR="00E50336" w:rsidRDefault="00E50336" w:rsidP="00E50336">
      <w:pPr>
        <w:pStyle w:val="StandardWeb"/>
      </w:pPr>
      <w:r>
        <w:t>Analog kann gelten</w:t>
      </w:r>
    </w:p>
    <w:p w:rsidR="00E50336" w:rsidRDefault="00E50336" w:rsidP="00E50336">
      <w:pPr>
        <w:pStyle w:val="berschrift1"/>
      </w:pPr>
      <w:r>
        <w:t>[</w:t>
      </w:r>
      <w:r>
        <w:br/>
        <w:t>(X\oplus_F Y)\otimes_F Z</w:t>
      </w:r>
    </w:p>
    <w:p w:rsidR="00E50336" w:rsidRDefault="00E50336" w:rsidP="00E50336">
      <w:pPr>
        <w:pStyle w:val="StandardWeb"/>
      </w:pPr>
      <w:r>
        <w:t>(X\otimes_F Z)</w:t>
      </w:r>
      <w:r>
        <w:br/>
        <w:t>\oplus_F</w:t>
      </w:r>
      <w:r>
        <w:br/>
        <w:t>(Y\otimes_F Z).</w:t>
      </w:r>
      <w:r>
        <w:br/>
        <w:t>\tag{3.13438}</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(X\oplus_F Y)\otimes_F Z=(X\otimes_F Z)\oplus_F(Y\otimes_F Z)</w:t>
      </w:r>
    </w:p>
    <w:p w:rsidR="00E50336" w:rsidRDefault="00E50336" w:rsidP="00E50336">
      <w:r>
        <w:pict>
          <v:rect id="_x0000_i5315" style="width:0;height:1.5pt" o:hralign="center" o:hrstd="t" o:hr="t" fillcolor="#a0a0a0" stroked="f"/>
        </w:pict>
      </w:r>
    </w:p>
    <w:p w:rsidR="00E50336" w:rsidRDefault="00E50336" w:rsidP="00E50336">
      <w:pPr>
        <w:pStyle w:val="berschrift2"/>
      </w:pPr>
      <w:r>
        <w:t>3.3.51.148 Definition 3.3.559 – Rechtsdistributive funktionale Operationen</w:t>
      </w:r>
    </w:p>
    <w:p w:rsidR="00E50336" w:rsidRDefault="00E50336" w:rsidP="00E50336">
      <w:pPr>
        <w:pStyle w:val="berschrift3"/>
      </w:pPr>
      <w:r>
        <w:t>Definition 3.3.559</w:t>
      </w:r>
    </w:p>
    <w:p w:rsidR="00E50336" w:rsidRDefault="00E50336" w:rsidP="00E50336">
      <w:pPr>
        <w:pStyle w:val="StandardWeb"/>
      </w:pPr>
      <w:r>
        <w:t xml:space="preserve">Die Operation (\otimes_F) heißt </w:t>
      </w:r>
      <w:r>
        <w:rPr>
          <w:rStyle w:val="Fett"/>
        </w:rPr>
        <w:t>rechtsdistributiv über (\oplus_F)</w:t>
      </w:r>
      <w:r>
        <w:t>, wenn</w:t>
      </w:r>
    </w:p>
    <w:p w:rsidR="00E50336" w:rsidRDefault="00E50336" w:rsidP="00E50336">
      <w:pPr>
        <w:pStyle w:val="berschrift1"/>
      </w:pPr>
      <w:r>
        <w:t>[</w:t>
      </w:r>
      <w:r>
        <w:br/>
        <w:t>\boxed{</w:t>
      </w:r>
      <w:r>
        <w:br/>
        <w:t>(X\oplus_F Y)\otimes_F Z</w:t>
      </w:r>
    </w:p>
    <w:p w:rsidR="00E50336" w:rsidRDefault="00E50336" w:rsidP="00E50336">
      <w:pPr>
        <w:pStyle w:val="StandardWeb"/>
      </w:pPr>
      <w:r>
        <w:lastRenderedPageBreak/>
        <w:t>(X\otimes_F Z)</w:t>
      </w:r>
      <w:r>
        <w:br/>
        <w:t>\oplus_F</w:t>
      </w:r>
      <w:r>
        <w:br/>
        <w:t>(Y\otimes_F Z).</w:t>
      </w:r>
      <w:r>
        <w:br/>
        <w:t>}</w:t>
      </w:r>
      <w:r>
        <w:br/>
        <w:t>\tag{3.13439}</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\boxed{(X\oplus_F Y)\otimes_F Z=(X\otimes_F Z)\oplus_F(Y\otimes_F Z).}</w:t>
      </w:r>
    </w:p>
    <w:p w:rsidR="00E50336" w:rsidRDefault="00E50336" w:rsidP="00E50336">
      <w:r>
        <w:pict>
          <v:rect id="_x0000_i5316" style="width:0;height:1.5pt" o:hralign="center" o:hrstd="t" o:hr="t" fillcolor="#a0a0a0" stroked="f"/>
        </w:pict>
      </w:r>
    </w:p>
    <w:p w:rsidR="00E50336" w:rsidRDefault="00E50336" w:rsidP="00E50336">
      <w:pPr>
        <w:pStyle w:val="berschrift2"/>
      </w:pPr>
      <w:r>
        <w:t>3.3.51.149 Distributivität als Primäraxiomkandidat</w:t>
      </w:r>
    </w:p>
    <w:p w:rsidR="00E50336" w:rsidRDefault="00E50336" w:rsidP="00E50336">
      <w:pPr>
        <w:pStyle w:val="StandardWeb"/>
      </w:pPr>
      <w:r>
        <w:t>Ein möglicher Kandidat ist</w:t>
      </w:r>
    </w:p>
    <w:p w:rsidR="00E50336" w:rsidRDefault="00E50336" w:rsidP="00E50336">
      <w:pPr>
        <w:pStyle w:val="StandardWeb"/>
      </w:pPr>
      <w:r>
        <w:t>[</w:t>
      </w:r>
      <w:r>
        <w:br/>
        <w:t>A_{\mathrm{dist}}</w:t>
      </w:r>
      <w:r>
        <w:br/>
        <w:t>:</w:t>
      </w:r>
      <w:r>
        <w:br/>
        <w:t>\otimes_F</w:t>
      </w:r>
      <w:r>
        <w:br/>
        <w:t>\text{ ist distributiv über }</w:t>
      </w:r>
      <w:r>
        <w:br/>
        <w:t>\oplus_F.</w:t>
      </w:r>
      <w:r>
        <w:br/>
        <w:t>\tag{3.13440}</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A_{\mathrm{dist}}:\otimes_F\text{ ist distributiv über }\oplus_F</w:t>
      </w:r>
    </w:p>
    <w:p w:rsidR="00E50336" w:rsidRDefault="00E50336" w:rsidP="00E50336">
      <w:r>
        <w:pict>
          <v:rect id="_x0000_i5317" style="width:0;height:1.5pt" o:hralign="center" o:hrstd="t" o:hr="t" fillcolor="#a0a0a0" stroked="f"/>
        </w:pict>
      </w:r>
    </w:p>
    <w:p w:rsidR="00E50336" w:rsidRDefault="00E50336" w:rsidP="00E50336">
      <w:pPr>
        <w:pStyle w:val="berschrift2"/>
      </w:pPr>
      <w:r>
        <w:t>3.3.51.150 Gegenmodell zur Distributivität</w:t>
      </w:r>
    </w:p>
    <w:p w:rsidR="00E50336" w:rsidRDefault="00E50336" w:rsidP="00E50336">
      <w:pPr>
        <w:pStyle w:val="StandardWeb"/>
      </w:pPr>
      <w:r>
        <w:t>Zwei Modelloperationen können unabhängig definiert sein und</w:t>
      </w:r>
    </w:p>
    <w:p w:rsidR="00E50336" w:rsidRDefault="00E50336" w:rsidP="00E50336">
      <w:pPr>
        <w:pStyle w:val="StandardWeb"/>
      </w:pPr>
      <w:r>
        <w:t>[</w:t>
      </w:r>
      <w:r>
        <w:br/>
        <w:t>X\otimes_F(Y\oplus_F Z)</w:t>
      </w:r>
      <w:r>
        <w:br/>
        <w:t>\neq</w:t>
      </w:r>
      <w:r>
        <w:br/>
        <w:t>(X\otimes_F Y)\oplus_F(X\otimes_F Z)</w:t>
      </w:r>
      <w:r>
        <w:br/>
        <w:t>\tag{3.13441}</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X\otimes_F(Y\oplus_F Z)\neq(X\otimes_F Y)\oplus_F(X\otimes_F Z)</w:t>
      </w:r>
    </w:p>
    <w:p w:rsidR="00E50336" w:rsidRDefault="00E50336" w:rsidP="00E50336">
      <w:pPr>
        <w:pStyle w:val="StandardWeb"/>
      </w:pPr>
      <w:r>
        <w:t>erfüllen.</w:t>
      </w:r>
    </w:p>
    <w:p w:rsidR="00E50336" w:rsidRDefault="00E50336" w:rsidP="00E50336">
      <w:r>
        <w:pict>
          <v:rect id="_x0000_i5318" style="width:0;height:1.5pt" o:hralign="center" o:hrstd="t" o:hr="t" fillcolor="#a0a0a0" stroked="f"/>
        </w:pict>
      </w:r>
    </w:p>
    <w:p w:rsidR="00E50336" w:rsidRDefault="00E50336" w:rsidP="00E50336">
      <w:pPr>
        <w:pStyle w:val="berschrift2"/>
      </w:pPr>
      <w:r>
        <w:t>3.3.51.151 Axiomentscheidung zur Distributivität</w:t>
      </w:r>
    </w:p>
    <w:p w:rsidR="00E50336" w:rsidRDefault="00E50336" w:rsidP="00E50336">
      <w:pPr>
        <w:pStyle w:val="StandardWeb"/>
      </w:pPr>
      <w:r>
        <w:lastRenderedPageBreak/>
        <w:t>Daher folgt</w:t>
      </w:r>
    </w:p>
    <w:p w:rsidR="00E50336" w:rsidRDefault="00E50336" w:rsidP="00E50336">
      <w:pPr>
        <w:pStyle w:val="berschrift1"/>
      </w:pPr>
      <w:r>
        <w:t>[</w:t>
      </w:r>
      <w:r>
        <w:br/>
        <w:t>\boxed{</w:t>
      </w:r>
      <w:r>
        <w:br/>
        <w:t>U_{\mathrm{Ax}}</w:t>
      </w:r>
      <w:r>
        <w:br/>
        <w:t>(A_{\mathrm{dist}})</w:t>
      </w:r>
    </w:p>
    <w:p w:rsidR="00E50336" w:rsidRDefault="00E50336" w:rsidP="009F7790">
      <w:pPr>
        <w:numPr>
          <w:ilvl w:val="0"/>
          <w:numId w:val="666"/>
        </w:numPr>
        <w:spacing w:before="100" w:beforeAutospacing="1" w:after="100" w:afterAutospacing="1"/>
      </w:pPr>
    </w:p>
    <w:p w:rsidR="00E50336" w:rsidRDefault="00E50336" w:rsidP="00E50336">
      <w:pPr>
        <w:pStyle w:val="StandardWeb"/>
      </w:pPr>
      <w:r>
        <w:t>}</w:t>
      </w:r>
      <w:r>
        <w:br/>
        <w:t>\tag{3.13442}</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\boxed{U_{\mathrm{Ax}}(A_{\mathrm{dist}})=0.}</w:t>
      </w:r>
    </w:p>
    <w:p w:rsidR="00E50336" w:rsidRDefault="00E50336" w:rsidP="00E50336">
      <w:r>
        <w:pict>
          <v:rect id="_x0000_i5319" style="width:0;height:1.5pt" o:hralign="center" o:hrstd="t" o:hr="t" fillcolor="#a0a0a0" stroked="f"/>
        </w:pict>
      </w:r>
    </w:p>
    <w:p w:rsidR="00E50336" w:rsidRDefault="00E50336" w:rsidP="00E50336">
      <w:pPr>
        <w:pStyle w:val="berschrift2"/>
      </w:pPr>
      <w:r>
        <w:t>3.3.51.152 Satz 3.3.218 – Distributivität funktionaler Aggregationsoperationen ist kein Primäraxiom</w:t>
      </w:r>
    </w:p>
    <w:p w:rsidR="00E50336" w:rsidRDefault="00E50336" w:rsidP="00E50336">
      <w:pPr>
        <w:pStyle w:val="berschrift3"/>
      </w:pPr>
      <w:r>
        <w:t>Satz 3.3.218</w:t>
      </w:r>
    </w:p>
    <w:p w:rsidR="00E50336" w:rsidRDefault="00E50336" w:rsidP="00E50336">
      <w:pPr>
        <w:pStyle w:val="StandardWeb"/>
      </w:pPr>
      <w:r>
        <w:t>Die Forderung, verschiedene funktionale Aggregations- oder Fusionsoperationen müssten distributive Gesetze erfüllen, ist keine universell notwendige Voraussetzung des allgemeinen FRZK.</w:t>
      </w:r>
    </w:p>
    <w:p w:rsidR="00E50336" w:rsidRDefault="00E50336" w:rsidP="00E50336">
      <w:pPr>
        <w:pStyle w:val="berschrift1"/>
      </w:pPr>
      <w:r>
        <w:t>[</w:t>
      </w:r>
      <w:r>
        <w:br/>
        <w:t>\boxed{</w:t>
      </w:r>
      <w:r>
        <w:br/>
        <w:t>U_{\mathrm{Ax}}</w:t>
      </w:r>
      <w:r>
        <w:br/>
        <w:t>(A_{\mathrm{dist}})</w:t>
      </w:r>
    </w:p>
    <w:p w:rsidR="00E50336" w:rsidRDefault="00E50336" w:rsidP="009F7790">
      <w:pPr>
        <w:numPr>
          <w:ilvl w:val="0"/>
          <w:numId w:val="667"/>
        </w:numPr>
        <w:spacing w:before="100" w:beforeAutospacing="1" w:after="100" w:afterAutospacing="1"/>
      </w:pPr>
    </w:p>
    <w:p w:rsidR="00E50336" w:rsidRDefault="00E50336" w:rsidP="00E50336">
      <w:pPr>
        <w:pStyle w:val="StandardWeb"/>
      </w:pPr>
      <w:r>
        <w:t>}</w:t>
      </w:r>
      <w:r>
        <w:br/>
        <w:t>\tag{3.13443}</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\boxed{U_{\mathrm{Ax}}(A_{\mathrm{dist}})=0.}</w:t>
      </w:r>
    </w:p>
    <w:p w:rsidR="00E50336" w:rsidRDefault="00E50336" w:rsidP="00E50336">
      <w:r>
        <w:pict>
          <v:rect id="_x0000_i5320" style="width:0;height:1.5pt" o:hralign="center" o:hrstd="t" o:hr="t" fillcolor="#a0a0a0" stroked="f"/>
        </w:pict>
      </w:r>
    </w:p>
    <w:p w:rsidR="00E50336" w:rsidRDefault="00E50336" w:rsidP="00E50336">
      <w:pPr>
        <w:pStyle w:val="berschrift2"/>
      </w:pPr>
      <w:r>
        <w:t>3.3.51.153 Zwischenstand</w:t>
      </w:r>
    </w:p>
    <w:p w:rsidR="00E50336" w:rsidRDefault="00E50336" w:rsidP="00E50336">
      <w:pPr>
        <w:pStyle w:val="StandardWeb"/>
      </w:pPr>
      <w:r>
        <w:lastRenderedPageBreak/>
        <w:t>Die bisherige Architektur erweitert sich damit zu</w:t>
      </w:r>
    </w:p>
    <w:p w:rsidR="00E50336" w:rsidRDefault="00E50336" w:rsidP="00E50336">
      <w:pPr>
        <w:pStyle w:val="berschrift1"/>
      </w:pPr>
      <w:r>
        <w:t>[</w:t>
      </w:r>
      <w:r>
        <w:br/>
        <w:t>\mathfrak E_{\mathrm{agg}}^{(2)}</w:t>
      </w:r>
    </w:p>
    <w:p w:rsidR="00E50336" w:rsidRDefault="00E50336" w:rsidP="00E50336">
      <w:pPr>
        <w:pStyle w:val="StandardWeb"/>
      </w:pPr>
      <w:r>
        <w:t>\left(</w:t>
      </w:r>
      <w:r>
        <w:br/>
        <w:t>\mathfrak E_{\mathrm{agg}}^{(1)},</w:t>
      </w:r>
      <w:r>
        <w:br/>
        <w:t>\mathcal O_F,</w:t>
      </w:r>
      <w:r>
        <w:br/>
        <w:t>I_F,</w:t>
      </w:r>
      <w:r>
        <w:br/>
        <w:t>\mathcal T_{\mathrm{agg}},</w:t>
      </w:r>
      <w:r>
        <w:br/>
        <w:t>\mathcal A_F(z,c),</w:t>
      </w:r>
      <w:r>
        <w:br/>
        <w:t>\otimes_F(z,c),</w:t>
      </w:r>
      <w:r>
        <w:br/>
        <w:t>\mathcal D_F(z,c)</w:t>
      </w:r>
      <w:r>
        <w:br/>
        <w:t>\right).</w:t>
      </w:r>
      <w:r>
        <w:br/>
        <w:t>\tag{3.13444}</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\mathfrak E_{\mathrm{agg}}^{(2)}=\left(\mathfrak E_{\mathrm{agg}}^{(1)},\mathcal O_F,I_F,\mathcal T_{\mathrm{agg}},\mathcal A_F(z,c),\otimes_F(z,c),\mathcal D_F(z,c)\right)</w:t>
      </w:r>
    </w:p>
    <w:p w:rsidR="00E50336" w:rsidRDefault="00E50336" w:rsidP="00E50336">
      <w:r>
        <w:pict>
          <v:rect id="_x0000_i5321" style="width:0;height:1.5pt" o:hralign="center" o:hrstd="t" o:hr="t" fillcolor="#a0a0a0" stroked="f"/>
        </w:pict>
      </w:r>
    </w:p>
    <w:p w:rsidR="00E50336" w:rsidRDefault="00E50336" w:rsidP="00E50336">
      <w:pPr>
        <w:pStyle w:val="berschrift2"/>
      </w:pPr>
      <w:r>
        <w:t>3.3.51.154 Erweiterte Primäraxiomkandidatenmenge</w:t>
      </w:r>
    </w:p>
    <w:p w:rsidR="00E50336" w:rsidRDefault="00E50336" w:rsidP="00E50336">
      <w:pPr>
        <w:pStyle w:val="StandardWeb"/>
      </w:pPr>
      <w:r>
        <w:t>Die bislang geprüften Kandidaten lauten nun</w:t>
      </w:r>
    </w:p>
    <w:p w:rsidR="00E50336" w:rsidRDefault="00E50336" w:rsidP="00E50336">
      <w:pPr>
        <w:pStyle w:val="berschrift1"/>
      </w:pPr>
      <w:r>
        <w:t>[</w:t>
      </w:r>
      <w:r>
        <w:br/>
        <w:t>\mathcal A_{\mathrm{agg}}^{\mathrm{cand},2}</w:t>
      </w:r>
    </w:p>
    <w:p w:rsidR="00E50336" w:rsidRDefault="00E50336" w:rsidP="00E50336">
      <w:pPr>
        <w:pStyle w:val="StandardWeb"/>
      </w:pPr>
      <w:r>
        <w:t>\mathcal A_{\mathrm{agg}}^{\mathrm{cand},1}</w:t>
      </w:r>
      <w:r>
        <w:br/>
        <w:t>\cup</w:t>
      </w:r>
      <w:r>
        <w:br/>
        <w:t>{</w:t>
      </w:r>
      <w:r>
        <w:br/>
        <w:t>A_{\mathrm{disj}},</w:t>
      </w:r>
      <w:r>
        <w:br/>
        <w:t>A_{\mathrm{irred}},</w:t>
      </w:r>
      <w:r>
        <w:br/>
        <w:t>A_{\mathrm{lossless}},</w:t>
      </w:r>
      <w:r>
        <w:br/>
        <w:t>A_{\mathrm{path-ind}},</w:t>
      </w:r>
      <w:r>
        <w:br/>
        <w:t>A_{\mathrm{agg-stat}},</w:t>
      </w:r>
      <w:r>
        <w:br/>
        <w:t>A_{\mathrm{dec-stat}},</w:t>
      </w:r>
      <w:r>
        <w:br/>
        <w:t>A_{\mathrm{dist}}</w:t>
      </w:r>
      <w:r>
        <w:br/>
        <w:t>}.</w:t>
      </w:r>
      <w:r>
        <w:br/>
        <w:t>\tag{3.13445}</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lastRenderedPageBreak/>
        <w:t>\mathcal A_{\mathrm{agg}}^{\mathrm{cand},2}=\mathcal A_{\mathrm{agg}}^{\mathrm{cand},1}\cup\{A_{\mathrm{disj}},A_{\mathrm{irred}},A_{\mathrm{lossless}},A_{\mathrm{path-ind}},A_{\mathrm{agg-stat}},A_{\mathrm{dec-stat}},A_{\mathrm{dist}}\}</w:t>
      </w:r>
    </w:p>
    <w:p w:rsidR="00E50336" w:rsidRDefault="00E50336" w:rsidP="00E50336">
      <w:pPr>
        <w:pStyle w:val="StandardWeb"/>
      </w:pPr>
      <w:r>
        <w:t>Für alle bislang geprüften Kandidaten gilt weiterhin</w:t>
      </w:r>
    </w:p>
    <w:p w:rsidR="00E50336" w:rsidRDefault="00E50336" w:rsidP="00E50336">
      <w:pPr>
        <w:pStyle w:val="berschrift1"/>
      </w:pPr>
      <w:r>
        <w:t>[</w:t>
      </w:r>
      <w:r>
        <w:br/>
        <w:t>\boxed{</w:t>
      </w:r>
      <w:r>
        <w:br/>
        <w:t>U_{\mathrm{Ax}}(A)</w:t>
      </w:r>
    </w:p>
    <w:p w:rsidR="00E50336" w:rsidRDefault="00E50336" w:rsidP="00E50336">
      <w:pPr>
        <w:pStyle w:val="StandardWeb"/>
      </w:pPr>
      <w:r>
        <w:t>0</w:t>
      </w:r>
      <w:r>
        <w:br/>
        <w:t>\qquad</w:t>
      </w:r>
      <w:r>
        <w:br/>
        <w:t>\forall</w:t>
      </w:r>
      <w:r>
        <w:br/>
        <w:t>A</w:t>
      </w:r>
      <w:r>
        <w:br/>
        <w:t>\in</w:t>
      </w:r>
      <w:r>
        <w:br/>
        <w:t>\mathcal A_{\mathrm{agg}}^{\mathrm{cand},2}.</w:t>
      </w:r>
      <w:r>
        <w:br/>
        <w:t>}</w:t>
      </w:r>
      <w:r>
        <w:br/>
        <w:t>\tag{3.13446}</w:t>
      </w:r>
      <w:r>
        <w:br/>
        <w:t>]</w:t>
      </w:r>
    </w:p>
    <w:p w:rsidR="00E50336" w:rsidRDefault="00E50336" w:rsidP="00E50336">
      <w:pPr>
        <w:pStyle w:val="StandardWeb"/>
      </w:pPr>
      <w:r>
        <w:rPr>
          <w:rStyle w:val="Fett"/>
        </w:rPr>
        <w:t>Word-LaTeX</w:t>
      </w:r>
    </w:p>
    <w:p w:rsidR="00E50336" w:rsidRDefault="00E50336" w:rsidP="00E50336">
      <w:pPr>
        <w:pStyle w:val="HTMLVorformatiert"/>
        <w:rPr>
          <w:rStyle w:val="HTMLCode"/>
        </w:rPr>
      </w:pPr>
      <w:r>
        <w:rPr>
          <w:rStyle w:val="HTMLCode"/>
        </w:rPr>
        <w:t>\boxed{U_{\mathrm{Ax}}(A)=0\qquad\forall A\in\mathcal A_{\mathrm{agg}}^{\mathrm{cand},2}.}</w:t>
      </w:r>
    </w:p>
    <w:p w:rsidR="00E50336" w:rsidRDefault="00E50336" w:rsidP="00E50336">
      <w:pPr>
        <w:pStyle w:val="StandardWeb"/>
      </w:pPr>
      <w:r>
        <w:t xml:space="preserve">Abschnitt </w:t>
      </w:r>
      <w:r>
        <w:rPr>
          <w:rStyle w:val="Fett"/>
        </w:rPr>
        <w:t>3.3.51 ist weiterhin nicht abgeschlossen</w:t>
      </w:r>
      <w:r>
        <w:t xml:space="preserve">. Im nächsten Block prüfe ich insbesondere </w:t>
      </w:r>
      <w:r>
        <w:rPr>
          <w:rStyle w:val="Fett"/>
        </w:rPr>
        <w:t>Kohärenzerhaltung bei Aggregation, Größen- und Dimensionsverträglichkeit, Aggregation über Übergänge, zeitliche Aggregation, kontinuierliche beziehungsweise diskrete Aggregationsfamilien sowie die stärkste Frage, ob überhaupt irgendeine Aggregations-, Fusions- oder Zerlegungsstruktur zum minimalen FRZK gehören muss</w:t>
      </w:r>
      <w:r>
        <w:t>.</w:t>
      </w:r>
    </w:p>
    <w:p w:rsidR="00E50336" w:rsidRDefault="00E50336" w:rsidP="00E50336">
      <w:pPr>
        <w:pStyle w:val="StandardWeb"/>
      </w:pPr>
      <w:r>
        <w:t xml:space="preserve">Der nächste Startpunkt ist </w:t>
      </w:r>
      <w:r>
        <w:rPr>
          <w:rStyle w:val="Fett"/>
        </w:rPr>
        <w:t>3.3.51.155 / Gleichung (3.13447)</w:t>
      </w:r>
      <w:r>
        <w:t xml:space="preserve">, nächste Definition </w:t>
      </w:r>
      <w:r>
        <w:rPr>
          <w:rStyle w:val="Fett"/>
        </w:rPr>
        <w:t>3.3.560</w:t>
      </w:r>
      <w:r>
        <w:t xml:space="preserve">, nächster Satz </w:t>
      </w:r>
      <w:r>
        <w:rPr>
          <w:rStyle w:val="Fett"/>
        </w:rPr>
        <w:t>3.3.219</w:t>
      </w:r>
      <w:r>
        <w:t xml:space="preserve">, nächstes Korollar </w:t>
      </w:r>
      <w:r>
        <w:rPr>
          <w:rStyle w:val="Fett"/>
        </w:rPr>
        <w:t>3.3.52</w:t>
      </w:r>
      <w:r>
        <w:t>.</w:t>
      </w:r>
    </w:p>
    <w:p w:rsidR="00CF7C35" w:rsidRDefault="00CF7C35" w:rsidP="00CF7C35">
      <w:pPr>
        <w:pStyle w:val="berschrift1"/>
        <w:rPr>
          <w:rFonts w:cs="Times New Roman"/>
          <w:sz w:val="48"/>
          <w:szCs w:val="48"/>
        </w:rPr>
      </w:pPr>
      <w:r>
        <w:t>3.3.51.155 Kohärenzerhaltung bei funktionaler Aggregation</w:t>
      </w:r>
    </w:p>
    <w:p w:rsidR="00CF7C35" w:rsidRDefault="00CF7C35" w:rsidP="00CF7C35">
      <w:pPr>
        <w:pStyle w:val="StandardWeb"/>
      </w:pPr>
      <w:r>
        <w:t>Nachdem ich Aggregation, Fusion und Zerlegung hinsichtlich ihrer algebraischen, strukturellen und kontextabhängigen Eigenschaften untersucht habe, richte ich den Blick nun auf eine für das FRZK besonders naheliegende Frage: Muss die Aggregation funktionaler Objekte deren Kohärenz erhalten?</w:t>
      </w:r>
    </w:p>
    <w:p w:rsidR="00CF7C35" w:rsidRDefault="00CF7C35" w:rsidP="00CF7C35">
      <w:pPr>
        <w:pStyle w:val="StandardWeb"/>
      </w:pPr>
      <w:r>
        <w:t xml:space="preserve">Diese Frage ist für die Axiomatik besonders wichtig. Aus der Bezeichnung „Kohärenzsystem“ darf nicht ohne weitere Begründung geschlossen werden, dass jede zulässige Operation Kohärenz invariant lassen muss. Eine solche Forderung wäre eine </w:t>
      </w:r>
      <w:r>
        <w:lastRenderedPageBreak/>
        <w:t>zusätzliche mathematische Strukturbedingung und muss deshalb unabhängig auf ihre axiomatische Notwendigkeit geprüft werden.</w:t>
      </w:r>
    </w:p>
    <w:p w:rsidR="00CF7C35" w:rsidRDefault="00CF7C35" w:rsidP="00CF7C35">
      <w:r>
        <w:pict>
          <v:rect id="_x0000_i5388" style="width:0;height:1.5pt" o:hralign="center" o:hrstd="t" o:hr="t" fillcolor="#a0a0a0" stroked="f"/>
        </w:pict>
      </w:r>
    </w:p>
    <w:p w:rsidR="00CF7C35" w:rsidRDefault="00CF7C35" w:rsidP="00CF7C35">
      <w:pPr>
        <w:pStyle w:val="berschrift2"/>
      </w:pPr>
      <w:r>
        <w:t>3.3.51.156 Kohärenzbewertung funktionaler Objekte</w:t>
      </w:r>
    </w:p>
    <w:p w:rsidR="00CF7C35" w:rsidRDefault="00CF7C35" w:rsidP="00CF7C35">
      <w:pPr>
        <w:pStyle w:val="StandardWeb"/>
      </w:pPr>
      <w:r>
        <w:t>Ich führe zunächst eine modellabhängige Kohärenzbewertung ein:</w:t>
      </w:r>
    </w:p>
    <w:p w:rsidR="00CF7C35" w:rsidRDefault="00CF7C35" w:rsidP="00CF7C35">
      <w:pPr>
        <w:pStyle w:val="StandardWeb"/>
      </w:pPr>
      <w:r>
        <w:t>[</w:t>
      </w:r>
      <w:r>
        <w:br/>
        <w:t>\kappa_F</w:t>
      </w:r>
      <w:r>
        <w:br/>
        <w:t>:</w:t>
      </w:r>
      <w:r>
        <w:br/>
        <w:t>\mathcal X_F</w:t>
      </w:r>
      <w:r>
        <w:br/>
        <w:t>\rightarrow</w:t>
      </w:r>
      <w:r>
        <w:br/>
        <w:t>\mathcal K_F.</w:t>
      </w:r>
      <w:r>
        <w:br/>
        <w:t>\tag{3.13447}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\kappa_F:\mathcal X_F\rightarrow\mathcal K_F</w:t>
      </w:r>
    </w:p>
    <w:p w:rsidR="00CF7C35" w:rsidRDefault="00CF7C35" w:rsidP="00CF7C35">
      <w:pPr>
        <w:pStyle w:val="StandardWeb"/>
      </w:pPr>
      <w:r>
        <w:t>Dabei bezeichnet (\mathcal K_F) zunächst lediglich einen geeigneten Kohärenzwerteraum. Ich lege an dieser Stelle ausdrücklich weder voraus, dass (\mathcal K_F=\mathbb R) gilt, noch dass eine natürliche Ordnung, Metrik oder Norm auf diesem Raum existiert.</w:t>
      </w:r>
    </w:p>
    <w:p w:rsidR="00CF7C35" w:rsidRDefault="00CF7C35" w:rsidP="00CF7C35">
      <w:r>
        <w:pict>
          <v:rect id="_x0000_i5389" style="width:0;height:1.5pt" o:hralign="center" o:hrstd="t" o:hr="t" fillcolor="#a0a0a0" stroked="f"/>
        </w:pict>
      </w:r>
    </w:p>
    <w:p w:rsidR="00CF7C35" w:rsidRDefault="00CF7C35" w:rsidP="00CF7C35">
      <w:pPr>
        <w:pStyle w:val="berschrift2"/>
      </w:pPr>
      <w:r>
        <w:t>3.3.51.157 Definition 3.3.560 – Funktionale Kohärenzbewertung</w:t>
      </w:r>
    </w:p>
    <w:p w:rsidR="00CF7C35" w:rsidRDefault="00CF7C35" w:rsidP="00CF7C35">
      <w:pPr>
        <w:pStyle w:val="berschrift3"/>
      </w:pPr>
      <w:r>
        <w:t>Definition 3.3.560</w:t>
      </w:r>
    </w:p>
    <w:p w:rsidR="00CF7C35" w:rsidRDefault="00CF7C35" w:rsidP="00CF7C35">
      <w:pPr>
        <w:pStyle w:val="StandardWeb"/>
      </w:pPr>
      <w:r>
        <w:t xml:space="preserve">Eine </w:t>
      </w:r>
      <w:r>
        <w:rPr>
          <w:rStyle w:val="Fett"/>
        </w:rPr>
        <w:t>funktionale Kohärenzbewertung</w:t>
      </w:r>
      <w:r>
        <w:t xml:space="preserve"> ist eine modellabhängige Abbildung</w:t>
      </w:r>
    </w:p>
    <w:p w:rsidR="00CF7C35" w:rsidRDefault="00CF7C35" w:rsidP="00CF7C35">
      <w:pPr>
        <w:pStyle w:val="StandardWeb"/>
      </w:pPr>
      <w:r>
        <w:t>[</w:t>
      </w:r>
      <w:r>
        <w:br/>
        <w:t>\boxed{</w:t>
      </w:r>
      <w:r>
        <w:br/>
        <w:t>\kappa_F</w:t>
      </w:r>
      <w:r>
        <w:br/>
        <w:t>:</w:t>
      </w:r>
      <w:r>
        <w:br/>
        <w:t>\mathcal X_F</w:t>
      </w:r>
      <w:r>
        <w:br/>
        <w:t>\rightarrow</w:t>
      </w:r>
      <w:r>
        <w:br/>
        <w:t>\mathcal K_F,</w:t>
      </w:r>
      <w:r>
        <w:br/>
        <w:t>}</w:t>
      </w:r>
      <w:r>
        <w:br/>
        <w:t>\tag{3.13448}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\boxed{\kappa_F:\mathcal X_F\rightarrow\mathcal K_F,}</w:t>
      </w:r>
    </w:p>
    <w:p w:rsidR="00CF7C35" w:rsidRDefault="00CF7C35" w:rsidP="00CF7C35">
      <w:pPr>
        <w:pStyle w:val="StandardWeb"/>
      </w:pPr>
      <w:r>
        <w:lastRenderedPageBreak/>
        <w:t>durch die einem funktionalen Objekt ein bezüglich der jeweiligen Modellfrage definierter Kohärenzwert zugeordnet wird.</w:t>
      </w:r>
    </w:p>
    <w:p w:rsidR="00CF7C35" w:rsidRDefault="00CF7C35" w:rsidP="00CF7C35">
      <w:pPr>
        <w:pStyle w:val="StandardWeb"/>
      </w:pPr>
      <w:r>
        <w:t>Ich behandle (\kappa_F) damit zunächst als Definition beziehungsweise Modellstruktur und nicht als Bestandteil der Primäraxiomatik.</w:t>
      </w:r>
    </w:p>
    <w:p w:rsidR="00CF7C35" w:rsidRDefault="00CF7C35" w:rsidP="00CF7C35">
      <w:r>
        <w:pict>
          <v:rect id="_x0000_i5390" style="width:0;height:1.5pt" o:hralign="center" o:hrstd="t" o:hr="t" fillcolor="#a0a0a0" stroked="f"/>
        </w:pict>
      </w:r>
    </w:p>
    <w:p w:rsidR="00CF7C35" w:rsidRDefault="00CF7C35" w:rsidP="00CF7C35">
      <w:pPr>
        <w:pStyle w:val="berschrift2"/>
      </w:pPr>
      <w:r>
        <w:t>3.3.51.158 Kohärenz vor einer Aggregation</w:t>
      </w:r>
    </w:p>
    <w:p w:rsidR="00CF7C35" w:rsidRDefault="00CF7C35" w:rsidP="00CF7C35">
      <w:pPr>
        <w:pStyle w:val="StandardWeb"/>
      </w:pPr>
      <w:r>
        <w:t>Für zwei funktionale Objekte (X,Y\in\mathcal X_F) können die Kohärenzbewertungen</w:t>
      </w:r>
    </w:p>
    <w:p w:rsidR="00CF7C35" w:rsidRDefault="00CF7C35" w:rsidP="00CF7C35">
      <w:pPr>
        <w:pStyle w:val="StandardWeb"/>
      </w:pPr>
      <w:r>
        <w:t>[</w:t>
      </w:r>
      <w:r>
        <w:br/>
        <w:t>\kappa_F(X)</w:t>
      </w:r>
      <w:r>
        <w:br/>
        <w:t>\quad\text{und}\quad</w:t>
      </w:r>
      <w:r>
        <w:br/>
        <w:t>\kappa_F(Y)</w:t>
      </w:r>
      <w:r>
        <w:br/>
        <w:t>\tag{3.13449}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\kappa_F(X)\quad\text{und}\quad\kappa_F(Y)</w:t>
      </w:r>
    </w:p>
    <w:p w:rsidR="00CF7C35" w:rsidRDefault="00CF7C35" w:rsidP="00CF7C35">
      <w:pPr>
        <w:pStyle w:val="StandardWeb"/>
      </w:pPr>
      <w:r>
        <w:t>bestimmt werden, sofern die konkrete Modellklasse eine solche Bewertung vorsieht.</w:t>
      </w:r>
    </w:p>
    <w:p w:rsidR="00CF7C35" w:rsidRDefault="00CF7C35" w:rsidP="00CF7C35">
      <w:r>
        <w:pict>
          <v:rect id="_x0000_i5391" style="width:0;height:1.5pt" o:hralign="center" o:hrstd="t" o:hr="t" fillcolor="#a0a0a0" stroked="f"/>
        </w:pict>
      </w:r>
    </w:p>
    <w:p w:rsidR="00CF7C35" w:rsidRDefault="00CF7C35" w:rsidP="00CF7C35">
      <w:pPr>
        <w:pStyle w:val="berschrift2"/>
      </w:pPr>
      <w:r>
        <w:t>3.3.51.159 Kohärenz nach einer Aggregation</w:t>
      </w:r>
    </w:p>
    <w:p w:rsidR="00CF7C35" w:rsidRDefault="00CF7C35" w:rsidP="00CF7C35">
      <w:pPr>
        <w:pStyle w:val="StandardWeb"/>
      </w:pPr>
      <w:r>
        <w:t>Ist</w:t>
      </w:r>
    </w:p>
    <w:p w:rsidR="00CF7C35" w:rsidRDefault="00CF7C35" w:rsidP="00CF7C35">
      <w:pPr>
        <w:pStyle w:val="berschrift1"/>
      </w:pPr>
      <w:r>
        <w:t>[</w:t>
      </w:r>
      <w:r>
        <w:br/>
        <w:t>Z</w:t>
      </w:r>
    </w:p>
    <w:p w:rsidR="00CF7C35" w:rsidRDefault="00CF7C35" w:rsidP="00CF7C35">
      <w:pPr>
        <w:pStyle w:val="StandardWeb"/>
      </w:pPr>
      <w:r>
        <w:t>X\oplus_F Y,</w:t>
      </w:r>
      <w:r>
        <w:br/>
        <w:t>\tag{3.13450}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Z=X\oplus_F Y</w:t>
      </w:r>
    </w:p>
    <w:p w:rsidR="00CF7C35" w:rsidRDefault="00CF7C35" w:rsidP="00CF7C35">
      <w:pPr>
        <w:pStyle w:val="StandardWeb"/>
      </w:pPr>
      <w:r>
        <w:t>so besitzt auch das Aggregationsergebnis gegebenenfalls eine Kohärenzbewertung</w:t>
      </w:r>
    </w:p>
    <w:p w:rsidR="00CF7C35" w:rsidRDefault="00CF7C35" w:rsidP="00CF7C35">
      <w:pPr>
        <w:pStyle w:val="berschrift1"/>
      </w:pPr>
      <w:r>
        <w:t>[</w:t>
      </w:r>
      <w:r>
        <w:br/>
        <w:t>\kappa_F(Z)</w:t>
      </w:r>
    </w:p>
    <w:p w:rsidR="00CF7C35" w:rsidRDefault="00CF7C35" w:rsidP="00CF7C35">
      <w:pPr>
        <w:pStyle w:val="StandardWeb"/>
      </w:pPr>
      <w:r>
        <w:lastRenderedPageBreak/>
        <w:t>\kappa_F(X\oplus_F Y).</w:t>
      </w:r>
      <w:r>
        <w:br/>
        <w:t>\tag{3.13451}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\kappa_F(Z)=\kappa_F(X\oplus_F Y)</w:t>
      </w:r>
    </w:p>
    <w:p w:rsidR="00CF7C35" w:rsidRDefault="00CF7C35" w:rsidP="00CF7C35">
      <w:pPr>
        <w:pStyle w:val="StandardWeb"/>
      </w:pPr>
      <w:r>
        <w:t>Damit kann untersucht werden, wie sich Aggregation auf Kohärenz auswirkt.</w:t>
      </w:r>
    </w:p>
    <w:p w:rsidR="00CF7C35" w:rsidRDefault="00CF7C35" w:rsidP="00CF7C35">
      <w:r>
        <w:pict>
          <v:rect id="_x0000_i5392" style="width:0;height:1.5pt" o:hralign="center" o:hrstd="t" o:hr="t" fillcolor="#a0a0a0" stroked="f"/>
        </w:pict>
      </w:r>
    </w:p>
    <w:p w:rsidR="00CF7C35" w:rsidRDefault="00CF7C35" w:rsidP="00CF7C35">
      <w:pPr>
        <w:pStyle w:val="berschrift2"/>
      </w:pPr>
      <w:r>
        <w:t>3.3.51.160 Warum eine einfache Gleichheit nicht genügt</w:t>
      </w:r>
    </w:p>
    <w:p w:rsidR="00CF7C35" w:rsidRDefault="00CF7C35" w:rsidP="00CF7C35">
      <w:pPr>
        <w:pStyle w:val="StandardWeb"/>
      </w:pPr>
      <w:r>
        <w:t>Eine zunächst naheliegende Forderung wäre</w:t>
      </w:r>
    </w:p>
    <w:p w:rsidR="00CF7C35" w:rsidRDefault="00CF7C35" w:rsidP="00CF7C35">
      <w:pPr>
        <w:pStyle w:val="berschrift1"/>
      </w:pPr>
      <w:r>
        <w:t>[</w:t>
      </w:r>
      <w:r>
        <w:br/>
        <w:t>\kappa_F(X\oplus_F Y)</w:t>
      </w:r>
    </w:p>
    <w:p w:rsidR="00CF7C35" w:rsidRDefault="00CF7C35" w:rsidP="00CF7C35">
      <w:pPr>
        <w:pStyle w:val="berschrift1"/>
      </w:pPr>
      <w:r>
        <w:t>\kappa_F(X)</w:t>
      </w:r>
    </w:p>
    <w:p w:rsidR="00CF7C35" w:rsidRDefault="00CF7C35" w:rsidP="00CF7C35">
      <w:pPr>
        <w:pStyle w:val="StandardWeb"/>
      </w:pPr>
      <w:r>
        <w:t>\kappa_F(Y).</w:t>
      </w:r>
      <w:r>
        <w:br/>
        <w:t>\tag{3.13452}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\kappa_F(X\oplus_F Y)=\kappa_F(X)=\kappa_F(Y)</w:t>
      </w:r>
    </w:p>
    <w:p w:rsidR="00CF7C35" w:rsidRDefault="00CF7C35" w:rsidP="00CF7C35">
      <w:pPr>
        <w:pStyle w:val="StandardWeb"/>
      </w:pPr>
      <w:r>
        <w:t>Diese Bedingung wäre jedoch außerordentlich stark. Sie würde nicht nur verlangen, dass Aggregation Kohärenz erhält, sondern zusätzlich voraussetzen, dass beide Eingangselemente bereits denselben Kohärenzwert besitzen.</w:t>
      </w:r>
    </w:p>
    <w:p w:rsidR="00CF7C35" w:rsidRDefault="00CF7C35" w:rsidP="00CF7C35">
      <w:pPr>
        <w:pStyle w:val="StandardWeb"/>
      </w:pPr>
      <w:r>
        <w:t>Ich trenne deshalb die Kohärenz des Aggregationsergebnisses von einer möglichen Vergleichsregel für die Kohärenzen der Eingangselemente.</w:t>
      </w:r>
    </w:p>
    <w:p w:rsidR="00CF7C35" w:rsidRDefault="00CF7C35" w:rsidP="00CF7C35">
      <w:r>
        <w:pict>
          <v:rect id="_x0000_i5393" style="width:0;height:1.5pt" o:hralign="center" o:hrstd="t" o:hr="t" fillcolor="#a0a0a0" stroked="f"/>
        </w:pict>
      </w:r>
    </w:p>
    <w:p w:rsidR="00CF7C35" w:rsidRDefault="00CF7C35" w:rsidP="00CF7C35">
      <w:pPr>
        <w:pStyle w:val="berschrift2"/>
      </w:pPr>
      <w:r>
        <w:t>3.3.51.161 Kohärenzaggregator</w:t>
      </w:r>
    </w:p>
    <w:p w:rsidR="00CF7C35" w:rsidRDefault="00CF7C35" w:rsidP="00CF7C35">
      <w:pPr>
        <w:pStyle w:val="StandardWeb"/>
      </w:pPr>
      <w:r>
        <w:t>Hierzu kann eine weitere modellabhängige Abbildung eingeführt werden:</w:t>
      </w:r>
    </w:p>
    <w:p w:rsidR="00CF7C35" w:rsidRDefault="00CF7C35" w:rsidP="00CF7C35">
      <w:pPr>
        <w:pStyle w:val="StandardWeb"/>
      </w:pPr>
      <w:r>
        <w:t>[</w:t>
      </w:r>
      <w:r>
        <w:br/>
        <w:t>\Gamma_\kappa</w:t>
      </w:r>
      <w:r>
        <w:br/>
        <w:t>:</w:t>
      </w:r>
      <w:r>
        <w:br/>
        <w:t>\mathcal K_F\times\mathcal K_F</w:t>
      </w:r>
      <w:r>
        <w:br/>
        <w:t>\rightarrow</w:t>
      </w:r>
      <w:r>
        <w:br/>
        <w:t>\mathcal K_F.</w:t>
      </w:r>
      <w:r>
        <w:br/>
        <w:t>\tag{3.13453}</w:t>
      </w:r>
      <w:r>
        <w:br/>
        <w:t>]</w:t>
      </w:r>
    </w:p>
    <w:p w:rsidR="00CF7C35" w:rsidRDefault="00CF7C35" w:rsidP="00CF7C35">
      <w:pPr>
        <w:pStyle w:val="StandardWeb"/>
      </w:pPr>
      <w:r>
        <w:rPr>
          <w:rStyle w:val="Fett"/>
        </w:rPr>
        <w:lastRenderedPageBreak/>
        <w:t>Word-LaTeX</w:t>
      </w:r>
    </w:p>
    <w:p w:rsidR="00CF7C35" w:rsidRDefault="00CF7C35" w:rsidP="00CF7C35">
      <w:pPr>
        <w:pStyle w:val="HTMLVorformatiert"/>
        <w:rPr>
          <w:rStyle w:val="HTMLCode"/>
        </w:rPr>
      </w:pPr>
      <w:r>
        <w:rPr>
          <w:rStyle w:val="HTMLCode"/>
        </w:rPr>
        <w:t>\Gamma_\kappa:\mathcal K_F\times\mathcal K_F\rightarrow\mathcal K_F</w:t>
      </w:r>
    </w:p>
    <w:p w:rsidR="00CF7C35" w:rsidRDefault="00CF7C35" w:rsidP="00CF7C35">
      <w:r>
        <w:pict>
          <v:rect id="_x0000_i5394" style="width:0;height:1.5pt" o:hralign="center" o:hrstd="t" o:hr="t" fillcolor="#a0a0a0" stroked="f"/>
        </w:pict>
      </w:r>
    </w:p>
    <w:p w:rsidR="00CF7C35" w:rsidRDefault="00CF7C35" w:rsidP="00CF7C35">
      <w:pPr>
        <w:pStyle w:val="berschrift2"/>
      </w:pPr>
      <w:r>
        <w:t>3.3.51.162 Definition 3.3.561 – Funktionaler Kohärenzaggregator</w:t>
      </w:r>
    </w:p>
    <w:p w:rsidR="00CF7C35" w:rsidRDefault="00CF7C35" w:rsidP="00CF7C35">
      <w:pPr>
        <w:pStyle w:val="berschrift3"/>
      </w:pPr>
      <w:r>
        <w:t>Definition 3.3.561</w:t>
      </w:r>
    </w:p>
    <w:p w:rsidR="00CF7C35" w:rsidRDefault="00CF7C35" w:rsidP="00CF7C35">
      <w:pPr>
        <w:pStyle w:val="StandardWeb"/>
      </w:pPr>
      <w:r>
        <w:t xml:space="preserve">Ein </w:t>
      </w:r>
      <w:r>
        <w:rPr>
          <w:rStyle w:val="Fett"/>
        </w:rPr>
        <w:t>funktionaler Kohärenzaggregator</w:t>
      </w:r>
      <w:r>
        <w:t xml:space="preserve"> ist eine modellabhängige Abbildung</w:t>
      </w:r>
    </w:p>
    <w:p w:rsidR="00CF7C35" w:rsidRDefault="00CF7C35" w:rsidP="00CF7C35">
      <w:pPr>
        <w:pStyle w:val="StandardWeb"/>
      </w:pPr>
      <w:r>
        <w:t>[</w:t>
      </w:r>
      <w:r>
        <w:br/>
        <w:t>\boxed{</w:t>
      </w:r>
      <w:r>
        <w:br/>
        <w:t>\Gamma_\kappa</w:t>
      </w:r>
      <w:r>
        <w:br/>
        <w:t>:</w:t>
      </w:r>
      <w:r>
        <w:br/>
        <w:t>\mathcal K_F\times\mathcal K_F</w:t>
      </w:r>
      <w:r>
        <w:br/>
        <w:t>\rightarrow</w:t>
      </w:r>
      <w:r>
        <w:br/>
        <w:t>\mathcal K_F,</w:t>
      </w:r>
      <w:r>
        <w:br/>
        <w:t>}</w:t>
      </w:r>
      <w:r>
        <w:br/>
        <w:t>\tag{3.13454}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\boxed{\Gamma_\kappa:\mathcal K_F\times\mathcal K_F\rightarrow\mathcal K_F,}</w:t>
      </w:r>
    </w:p>
    <w:p w:rsidR="00CF7C35" w:rsidRDefault="00CF7C35" w:rsidP="00CF7C35">
      <w:pPr>
        <w:pStyle w:val="StandardWeb"/>
      </w:pPr>
      <w:r>
        <w:t>durch die aus den Kohärenzbewertungen zweier Eingangselemente ein Referenzwert für deren Aggregation gebildet werden kann.</w:t>
      </w:r>
    </w:p>
    <w:p w:rsidR="00CF7C35" w:rsidRDefault="00CF7C35" w:rsidP="00CF7C35">
      <w:r>
        <w:pict>
          <v:rect id="_x0000_i5395" style="width:0;height:1.5pt" o:hralign="center" o:hrstd="t" o:hr="t" fillcolor="#a0a0a0" stroked="f"/>
        </w:pict>
      </w:r>
    </w:p>
    <w:p w:rsidR="00CF7C35" w:rsidRDefault="00CF7C35" w:rsidP="00CF7C35">
      <w:pPr>
        <w:pStyle w:val="berschrift2"/>
      </w:pPr>
      <w:r>
        <w:t>3.3.51.163 Kohärenzerhaltende Aggregation</w:t>
      </w:r>
    </w:p>
    <w:p w:rsidR="00CF7C35" w:rsidRDefault="00CF7C35" w:rsidP="00CF7C35">
      <w:pPr>
        <w:pStyle w:val="StandardWeb"/>
      </w:pPr>
      <w:r>
        <w:t>Damit kann Kohärenzerhaltung präziser formuliert werden:</w:t>
      </w:r>
    </w:p>
    <w:p w:rsidR="00CF7C35" w:rsidRDefault="00CF7C35" w:rsidP="00CF7C35">
      <w:pPr>
        <w:pStyle w:val="berschrift1"/>
      </w:pPr>
      <w:r>
        <w:t>[</w:t>
      </w:r>
      <w:r>
        <w:br/>
        <w:t>\kappa_F(X\oplus_F Y)</w:t>
      </w:r>
    </w:p>
    <w:p w:rsidR="00CF7C35" w:rsidRDefault="00CF7C35" w:rsidP="00CF7C35">
      <w:pPr>
        <w:pStyle w:val="StandardWeb"/>
      </w:pPr>
      <w:r>
        <w:t>\Gamma_\kappa</w:t>
      </w:r>
      <w:r>
        <w:br/>
        <w:t>\bigl(</w:t>
      </w:r>
      <w:r>
        <w:br/>
        <w:t>\kappa_F(X),</w:t>
      </w:r>
      <w:r>
        <w:br/>
        <w:t>\kappa_F(Y)</w:t>
      </w:r>
      <w:r>
        <w:br/>
        <w:t>\bigr).</w:t>
      </w:r>
      <w:r>
        <w:br/>
        <w:t>\tag{3.13455}</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lastRenderedPageBreak/>
        <w:t>\kappa_F(X\oplus_F Y)=\Gamma_\kappa\bigl(\kappa_F(X),\kappa_F(Y)\bigr)</w:t>
      </w:r>
    </w:p>
    <w:p w:rsidR="00CF7C35" w:rsidRDefault="00CF7C35" w:rsidP="00CF7C35">
      <w:r>
        <w:pict>
          <v:rect id="_x0000_i5396" style="width:0;height:1.5pt" o:hralign="center" o:hrstd="t" o:hr="t" fillcolor="#a0a0a0" stroked="f"/>
        </w:pict>
      </w:r>
    </w:p>
    <w:p w:rsidR="00CF7C35" w:rsidRDefault="00CF7C35" w:rsidP="00CF7C35">
      <w:pPr>
        <w:pStyle w:val="berschrift2"/>
      </w:pPr>
      <w:r>
        <w:t>3.3.51.164 Definition 3.3.562 – Kohärenzerhaltende funktionale Aggregation</w:t>
      </w:r>
    </w:p>
    <w:p w:rsidR="00CF7C35" w:rsidRDefault="00CF7C35" w:rsidP="00CF7C35">
      <w:pPr>
        <w:pStyle w:val="berschrift3"/>
      </w:pPr>
      <w:r>
        <w:t>Definition 3.3.562</w:t>
      </w:r>
    </w:p>
    <w:p w:rsidR="00CF7C35" w:rsidRDefault="00CF7C35" w:rsidP="00CF7C35">
      <w:pPr>
        <w:pStyle w:val="StandardWeb"/>
      </w:pPr>
      <w:r>
        <w:t xml:space="preserve">Eine funktionale Aggregation heißt bezüglich (\kappa_F) und (\Gamma_\kappa) </w:t>
      </w:r>
      <w:r>
        <w:rPr>
          <w:rStyle w:val="Fett"/>
        </w:rPr>
        <w:t>kohärenzerhaltend</w:t>
      </w:r>
      <w:r>
        <w:t>, wenn</w:t>
      </w:r>
    </w:p>
    <w:p w:rsidR="00CF7C35" w:rsidRDefault="00CF7C35" w:rsidP="00CF7C35">
      <w:pPr>
        <w:pStyle w:val="berschrift1"/>
      </w:pPr>
      <w:r>
        <w:t>[</w:t>
      </w:r>
      <w:r>
        <w:br/>
        <w:t>\boxed{</w:t>
      </w:r>
      <w:r>
        <w:br/>
        <w:t>\kappa_F(X\oplus_F Y)</w:t>
      </w:r>
    </w:p>
    <w:p w:rsidR="00CF7C35" w:rsidRDefault="00CF7C35" w:rsidP="00CF7C35">
      <w:pPr>
        <w:pStyle w:val="StandardWeb"/>
      </w:pPr>
      <w:r>
        <w:t>\Gamma_\kappa</w:t>
      </w:r>
      <w:r>
        <w:br/>
        <w:t>\bigl(</w:t>
      </w:r>
      <w:r>
        <w:br/>
        <w:t>\kappa_F(X),</w:t>
      </w:r>
      <w:r>
        <w:br/>
        <w:t>\kappa_F(Y)</w:t>
      </w:r>
      <w:r>
        <w:br/>
        <w:t>\bigr)</w:t>
      </w:r>
      <w:r>
        <w:br/>
        <w:t>}</w:t>
      </w:r>
      <w:r>
        <w:br/>
        <w:t>\tag{3.13456}</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\boxed{\kappa_F(X\oplus_F Y)=\Gamma_\kappa\bigl(\kappa_F(X),\kappa_F(Y)\bigr)}</w:t>
      </w:r>
    </w:p>
    <w:p w:rsidR="00CF7C35" w:rsidRDefault="00CF7C35" w:rsidP="00CF7C35">
      <w:pPr>
        <w:pStyle w:val="StandardWeb"/>
      </w:pPr>
      <w:r>
        <w:t>für alle betrachteten zulässigen Paare ((X,Y)) gilt.</w:t>
      </w:r>
    </w:p>
    <w:p w:rsidR="00CF7C35" w:rsidRDefault="00CF7C35" w:rsidP="00CF7C35">
      <w:pPr>
        <w:pStyle w:val="StandardWeb"/>
      </w:pPr>
      <w:r>
        <w:t>Diese Definition enthält bewusst keine konkrete Vorschrift für (\Gamma_\kappa).</w:t>
      </w:r>
    </w:p>
    <w:p w:rsidR="00CF7C35" w:rsidRDefault="00CF7C35" w:rsidP="00CF7C35">
      <w:r>
        <w:pict>
          <v:rect id="_x0000_i5397" style="width:0;height:1.5pt" o:hralign="center" o:hrstd="t" o:hr="t" fillcolor="#a0a0a0" stroked="f"/>
        </w:pict>
      </w:r>
    </w:p>
    <w:p w:rsidR="00CF7C35" w:rsidRDefault="00CF7C35" w:rsidP="00CF7C35">
      <w:pPr>
        <w:pStyle w:val="berschrift2"/>
      </w:pPr>
      <w:r>
        <w:t>3.3.51.165 Kohärenzverändernde Aggregation</w:t>
      </w:r>
    </w:p>
    <w:p w:rsidR="00CF7C35" w:rsidRDefault="00CF7C35" w:rsidP="00CF7C35">
      <w:pPr>
        <w:pStyle w:val="StandardWeb"/>
      </w:pPr>
      <w:r>
        <w:t>Eine Aggregation kann dagegen erfüllen</w:t>
      </w:r>
    </w:p>
    <w:p w:rsidR="00CF7C35" w:rsidRDefault="00CF7C35" w:rsidP="00CF7C35">
      <w:pPr>
        <w:pStyle w:val="StandardWeb"/>
      </w:pPr>
      <w:r>
        <w:t>[</w:t>
      </w:r>
      <w:r>
        <w:br/>
        <w:t>\kappa_F(X\oplus_F Y)</w:t>
      </w:r>
      <w:r>
        <w:br/>
        <w:t>\neq</w:t>
      </w:r>
      <w:r>
        <w:br/>
        <w:t>\Gamma_\kappa</w:t>
      </w:r>
      <w:r>
        <w:br/>
        <w:t>\bigl(</w:t>
      </w:r>
      <w:r>
        <w:br/>
        <w:t>\kappa_F(X),</w:t>
      </w:r>
      <w:r>
        <w:br/>
        <w:t>\kappa_F(Y)</w:t>
      </w:r>
      <w:r>
        <w:br/>
        <w:t>\bigr).</w:t>
      </w:r>
      <w:r>
        <w:br/>
      </w:r>
      <w:r>
        <w:lastRenderedPageBreak/>
        <w:t>\tag{3.13457}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\kappa_F(X\oplus_F Y)\neq\Gamma_\kappa\bigl(\kappa_F(X),\kappa_F(Y)\bigr)</w:t>
      </w:r>
    </w:p>
    <w:p w:rsidR="00CF7C35" w:rsidRDefault="00CF7C35" w:rsidP="00CF7C35">
      <w:pPr>
        <w:pStyle w:val="StandardWeb"/>
      </w:pPr>
      <w:r>
        <w:t>Eine solche Abweichung darf nicht automatisch als mathematischer Defekt interpretiert werden. Sie kann gerade den funktionalen Effekt der Aggregation repräsentieren.</w:t>
      </w:r>
    </w:p>
    <w:p w:rsidR="00CF7C35" w:rsidRDefault="00CF7C35" w:rsidP="00CF7C35">
      <w:r>
        <w:pict>
          <v:rect id="_x0000_i5398" style="width:0;height:1.5pt" o:hralign="center" o:hrstd="t" o:hr="t" fillcolor="#a0a0a0" stroked="f"/>
        </w:pict>
      </w:r>
    </w:p>
    <w:p w:rsidR="00CF7C35" w:rsidRDefault="00CF7C35" w:rsidP="00CF7C35">
      <w:pPr>
        <w:pStyle w:val="berschrift2"/>
      </w:pPr>
      <w:r>
        <w:t>3.3.51.166 Definition 3.3.563 – Kohärenzverändernde funktionale Aggregation</w:t>
      </w:r>
    </w:p>
    <w:p w:rsidR="00CF7C35" w:rsidRDefault="00CF7C35" w:rsidP="00CF7C35">
      <w:pPr>
        <w:pStyle w:val="berschrift3"/>
      </w:pPr>
      <w:r>
        <w:t>Definition 3.3.563</w:t>
      </w:r>
    </w:p>
    <w:p w:rsidR="00CF7C35" w:rsidRDefault="00CF7C35" w:rsidP="00CF7C35">
      <w:pPr>
        <w:pStyle w:val="StandardWeb"/>
      </w:pPr>
      <w:r>
        <w:t xml:space="preserve">Eine Aggregation heißt bezüglich der gewählten Kohärenzbewertung und des gewählten Kohärenzaggregators </w:t>
      </w:r>
      <w:r>
        <w:rPr>
          <w:rStyle w:val="Fett"/>
        </w:rPr>
        <w:t>kohärenzverändernd</w:t>
      </w:r>
      <w:r>
        <w:t>, wenn</w:t>
      </w:r>
    </w:p>
    <w:p w:rsidR="00CF7C35" w:rsidRDefault="00CF7C35" w:rsidP="00CF7C35">
      <w:pPr>
        <w:pStyle w:val="StandardWeb"/>
      </w:pPr>
      <w:r>
        <w:t>[</w:t>
      </w:r>
      <w:r>
        <w:br/>
        <w:t>\boxed{</w:t>
      </w:r>
      <w:r>
        <w:br/>
        <w:t>\kappa_F(X\oplus_F Y)</w:t>
      </w:r>
      <w:r>
        <w:br/>
        <w:t>\neq</w:t>
      </w:r>
      <w:r>
        <w:br/>
        <w:t>\Gamma_\kappa</w:t>
      </w:r>
      <w:r>
        <w:br/>
        <w:t>\bigl(</w:t>
      </w:r>
      <w:r>
        <w:br/>
        <w:t>\kappa_F(X),</w:t>
      </w:r>
      <w:r>
        <w:br/>
        <w:t>\kappa_F(Y)</w:t>
      </w:r>
      <w:r>
        <w:br/>
        <w:t>\bigr).</w:t>
      </w:r>
      <w:r>
        <w:br/>
        <w:t>}</w:t>
      </w:r>
      <w:r>
        <w:br/>
        <w:t>\tag{3.13458}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\boxed{\kappa_F(X\oplus_F Y)\neq\Gamma_\kappa\bigl(\kappa_F(X),\kappa_F(Y)\bigr).}</w:t>
      </w:r>
    </w:p>
    <w:p w:rsidR="00CF7C35" w:rsidRDefault="00CF7C35" w:rsidP="00CF7C35">
      <w:r>
        <w:pict>
          <v:rect id="_x0000_i5399" style="width:0;height:1.5pt" o:hralign="center" o:hrstd="t" o:hr="t" fillcolor="#a0a0a0" stroked="f"/>
        </w:pict>
      </w:r>
    </w:p>
    <w:p w:rsidR="00CF7C35" w:rsidRDefault="00CF7C35" w:rsidP="00CF7C35">
      <w:pPr>
        <w:pStyle w:val="berschrift2"/>
      </w:pPr>
      <w:r>
        <w:t>3.3.51.167 Kohärenzerhöhung</w:t>
      </w:r>
    </w:p>
    <w:p w:rsidR="00CF7C35" w:rsidRDefault="00CF7C35" w:rsidP="00CF7C35">
      <w:pPr>
        <w:pStyle w:val="StandardWeb"/>
      </w:pPr>
      <w:r>
        <w:t>Besitzt (\mathcal K_F) in einer konkreten Modellklasse eine geeignete Ordnungsrelation (\preceq_\kappa), kann eine Kohärenzerhöhung definiert werden.</w:t>
      </w:r>
    </w:p>
    <w:p w:rsidR="00CF7C35" w:rsidRDefault="00CF7C35" w:rsidP="00CF7C35">
      <w:pPr>
        <w:pStyle w:val="StandardWeb"/>
      </w:pPr>
      <w:r>
        <w:t>Eine mögliche Relation lautet</w:t>
      </w:r>
    </w:p>
    <w:p w:rsidR="00CF7C35" w:rsidRDefault="00CF7C35" w:rsidP="00CF7C35">
      <w:pPr>
        <w:pStyle w:val="StandardWeb"/>
      </w:pPr>
      <w:r>
        <w:t>[</w:t>
      </w:r>
      <w:r>
        <w:br/>
        <w:t>\Gamma_\kappa</w:t>
      </w:r>
      <w:r>
        <w:br/>
        <w:t>\bigl(</w:t>
      </w:r>
      <w:r>
        <w:br/>
        <w:t>\kappa_F(X),</w:t>
      </w:r>
      <w:r>
        <w:br/>
        <w:t>\kappa_F(Y)</w:t>
      </w:r>
      <w:r>
        <w:br/>
      </w:r>
      <w:r>
        <w:lastRenderedPageBreak/>
        <w:t>\bigr)</w:t>
      </w:r>
      <w:r>
        <w:br/>
        <w:t>\prec_\kappa</w:t>
      </w:r>
      <w:r>
        <w:br/>
        <w:t>\kappa_F(X\oplus_F Y).</w:t>
      </w:r>
      <w:r>
        <w:br/>
        <w:t>\tag{3.13459}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\Gamma_\kappa\bigl(\kappa_F(X),\kappa_F(Y)\bigr)\prec_\kappa\kappa_F(X\oplus_F Y)</w:t>
      </w:r>
    </w:p>
    <w:p w:rsidR="00CF7C35" w:rsidRDefault="00CF7C35" w:rsidP="00CF7C35">
      <w:pPr>
        <w:pStyle w:val="StandardWeb"/>
      </w:pPr>
      <w:r>
        <w:t>Diese Aussage setzt ausdrücklich eine zuvor definierte Ordnungsstruktur auf (\mathcal K_F) voraus.</w:t>
      </w:r>
    </w:p>
    <w:p w:rsidR="00CF7C35" w:rsidRDefault="00CF7C35" w:rsidP="00CF7C35">
      <w:r>
        <w:pict>
          <v:rect id="_x0000_i5400" style="width:0;height:1.5pt" o:hralign="center" o:hrstd="t" o:hr="t" fillcolor="#a0a0a0" stroked="f"/>
        </w:pict>
      </w:r>
    </w:p>
    <w:p w:rsidR="00CF7C35" w:rsidRDefault="00CF7C35" w:rsidP="00CF7C35">
      <w:pPr>
        <w:pStyle w:val="berschrift2"/>
      </w:pPr>
      <w:r>
        <w:t>3.3.51.168 Definition 3.3.564 – Kohärenzsteigernde funktionale Aggregation</w:t>
      </w:r>
    </w:p>
    <w:p w:rsidR="00CF7C35" w:rsidRDefault="00CF7C35" w:rsidP="00CF7C35">
      <w:pPr>
        <w:pStyle w:val="berschrift3"/>
      </w:pPr>
      <w:r>
        <w:t>Definition 3.3.564</w:t>
      </w:r>
    </w:p>
    <w:p w:rsidR="00CF7C35" w:rsidRDefault="00CF7C35" w:rsidP="00CF7C35">
      <w:pPr>
        <w:pStyle w:val="StandardWeb"/>
      </w:pPr>
      <w:r>
        <w:t xml:space="preserve">Eine funktionale Aggregation heißt </w:t>
      </w:r>
      <w:r>
        <w:rPr>
          <w:rStyle w:val="Fett"/>
        </w:rPr>
        <w:t>kohärenzsteigernd</w:t>
      </w:r>
      <w:r>
        <w:t>, wenn bezüglich einer definierten strikten Kohärenzordnung (\prec_\kappa)</w:t>
      </w:r>
    </w:p>
    <w:p w:rsidR="00CF7C35" w:rsidRDefault="00CF7C35" w:rsidP="00CF7C35">
      <w:pPr>
        <w:pStyle w:val="StandardWeb"/>
      </w:pPr>
      <w:r>
        <w:t>[</w:t>
      </w:r>
      <w:r>
        <w:br/>
        <w:t>\boxed{</w:t>
      </w:r>
      <w:r>
        <w:br/>
        <w:t>\Gamma_\kappa</w:t>
      </w:r>
      <w:r>
        <w:br/>
        <w:t>\bigl(</w:t>
      </w:r>
      <w:r>
        <w:br/>
        <w:t>\kappa_F(X),</w:t>
      </w:r>
      <w:r>
        <w:br/>
        <w:t>\kappa_F(Y)</w:t>
      </w:r>
      <w:r>
        <w:br/>
        <w:t>\bigr)</w:t>
      </w:r>
      <w:r>
        <w:br/>
        <w:t>\prec_\kappa</w:t>
      </w:r>
      <w:r>
        <w:br/>
        <w:t>\kappa_F(X\oplus_F Y)</w:t>
      </w:r>
      <w:r>
        <w:br/>
        <w:t>}</w:t>
      </w:r>
      <w:r>
        <w:br/>
        <w:t>\tag{3.13460}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\boxed{\Gamma_\kappa\bigl(\kappa_F(X),\kappa_F(Y)\bigr)\prec_\kappa\kappa_F(X\oplus_F Y)}</w:t>
      </w:r>
    </w:p>
    <w:p w:rsidR="00CF7C35" w:rsidRDefault="00CF7C35" w:rsidP="00CF7C35">
      <w:pPr>
        <w:pStyle w:val="StandardWeb"/>
      </w:pPr>
      <w:r>
        <w:t>gilt.</w:t>
      </w:r>
    </w:p>
    <w:p w:rsidR="00CF7C35" w:rsidRDefault="00CF7C35" w:rsidP="00CF7C35">
      <w:r>
        <w:pict>
          <v:rect id="_x0000_i5401" style="width:0;height:1.5pt" o:hralign="center" o:hrstd="t" o:hr="t" fillcolor="#a0a0a0" stroked="f"/>
        </w:pict>
      </w:r>
    </w:p>
    <w:p w:rsidR="00CF7C35" w:rsidRDefault="00CF7C35" w:rsidP="00CF7C35">
      <w:pPr>
        <w:pStyle w:val="berschrift2"/>
      </w:pPr>
      <w:r>
        <w:t>3.3.51.169 Kohärenzverminderung</w:t>
      </w:r>
    </w:p>
    <w:p w:rsidR="00CF7C35" w:rsidRDefault="00CF7C35" w:rsidP="00CF7C35">
      <w:pPr>
        <w:pStyle w:val="StandardWeb"/>
      </w:pPr>
      <w:r>
        <w:t>Analog kann</w:t>
      </w:r>
    </w:p>
    <w:p w:rsidR="00CF7C35" w:rsidRDefault="00CF7C35" w:rsidP="00CF7C35">
      <w:pPr>
        <w:pStyle w:val="StandardWeb"/>
      </w:pPr>
      <w:r>
        <w:lastRenderedPageBreak/>
        <w:t>[</w:t>
      </w:r>
      <w:r>
        <w:br/>
        <w:t>\kappa_F(X\oplus_F Y)</w:t>
      </w:r>
      <w:r>
        <w:br/>
        <w:t>\prec_\kappa</w:t>
      </w:r>
      <w:r>
        <w:br/>
        <w:t>\Gamma_\kappa</w:t>
      </w:r>
      <w:r>
        <w:br/>
        <w:t>\bigl(</w:t>
      </w:r>
      <w:r>
        <w:br/>
        <w:t>\kappa_F(X),</w:t>
      </w:r>
      <w:r>
        <w:br/>
        <w:t>\kappa_F(Y)</w:t>
      </w:r>
      <w:r>
        <w:br/>
        <w:t>\bigr)</w:t>
      </w:r>
      <w:r>
        <w:br/>
        <w:t>\tag{3.13461}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\kappa_F(X\oplus_F Y)\prec_\kappa\Gamma_\kappa\bigl(\kappa_F(X),\kappa_F(Y)\bigr)</w:t>
      </w:r>
    </w:p>
    <w:p w:rsidR="00CF7C35" w:rsidRDefault="00CF7C35" w:rsidP="00CF7C35">
      <w:pPr>
        <w:pStyle w:val="StandardWeb"/>
      </w:pPr>
      <w:r>
        <w:t>gelten.</w:t>
      </w:r>
    </w:p>
    <w:p w:rsidR="00CF7C35" w:rsidRDefault="00CF7C35" w:rsidP="00CF7C35">
      <w:r>
        <w:pict>
          <v:rect id="_x0000_i5402" style="width:0;height:1.5pt" o:hralign="center" o:hrstd="t" o:hr="t" fillcolor="#a0a0a0" stroked="f"/>
        </w:pict>
      </w:r>
    </w:p>
    <w:p w:rsidR="00CF7C35" w:rsidRDefault="00CF7C35" w:rsidP="00CF7C35">
      <w:pPr>
        <w:pStyle w:val="berschrift2"/>
      </w:pPr>
      <w:r>
        <w:t>3.3.51.170 Definition 3.3.565 – Kohärenzvermindernde funktionale Aggregation</w:t>
      </w:r>
    </w:p>
    <w:p w:rsidR="00CF7C35" w:rsidRDefault="00CF7C35" w:rsidP="00CF7C35">
      <w:pPr>
        <w:pStyle w:val="berschrift3"/>
      </w:pPr>
      <w:r>
        <w:t>Definition 3.3.565</w:t>
      </w:r>
    </w:p>
    <w:p w:rsidR="00CF7C35" w:rsidRDefault="00CF7C35" w:rsidP="00CF7C35">
      <w:pPr>
        <w:pStyle w:val="StandardWeb"/>
      </w:pPr>
      <w:r>
        <w:t xml:space="preserve">Eine funktionale Aggregation heißt </w:t>
      </w:r>
      <w:r>
        <w:rPr>
          <w:rStyle w:val="Fett"/>
        </w:rPr>
        <w:t>kohärenzvermindernd</w:t>
      </w:r>
      <w:r>
        <w:t>, wenn</w:t>
      </w:r>
    </w:p>
    <w:p w:rsidR="00CF7C35" w:rsidRDefault="00CF7C35" w:rsidP="00CF7C35">
      <w:pPr>
        <w:pStyle w:val="StandardWeb"/>
      </w:pPr>
      <w:r>
        <w:t>[</w:t>
      </w:r>
      <w:r>
        <w:br/>
        <w:t>\boxed{</w:t>
      </w:r>
      <w:r>
        <w:br/>
        <w:t>\kappa_F(X\oplus_F Y)</w:t>
      </w:r>
      <w:r>
        <w:br/>
        <w:t>\prec_\kappa</w:t>
      </w:r>
      <w:r>
        <w:br/>
        <w:t>\Gamma_\kappa</w:t>
      </w:r>
      <w:r>
        <w:br/>
        <w:t>\bigl(</w:t>
      </w:r>
      <w:r>
        <w:br/>
        <w:t>\kappa_F(X),</w:t>
      </w:r>
      <w:r>
        <w:br/>
        <w:t>\kappa_F(Y)</w:t>
      </w:r>
      <w:r>
        <w:br/>
        <w:t>\bigr).</w:t>
      </w:r>
      <w:r>
        <w:br/>
        <w:t>}</w:t>
      </w:r>
      <w:r>
        <w:br/>
        <w:t>\tag{3.13462}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\boxed{\kappa_F(X\oplus_F Y)\prec_\kappa\Gamma_\kappa\bigl(\kappa_F(X),\kappa_F(Y)\bigr).}</w:t>
      </w:r>
    </w:p>
    <w:p w:rsidR="00CF7C35" w:rsidRDefault="00CF7C35" w:rsidP="00CF7C35">
      <w:r>
        <w:pict>
          <v:rect id="_x0000_i5403" style="width:0;height:1.5pt" o:hralign="center" o:hrstd="t" o:hr="t" fillcolor="#a0a0a0" stroked="f"/>
        </w:pict>
      </w:r>
    </w:p>
    <w:p w:rsidR="00CF7C35" w:rsidRDefault="00CF7C35" w:rsidP="00CF7C35">
      <w:pPr>
        <w:pStyle w:val="berschrift2"/>
      </w:pPr>
      <w:r>
        <w:t>3.3.51.171 Keine universelle Richtung der Kohärenzänderung</w:t>
      </w:r>
    </w:p>
    <w:p w:rsidR="00CF7C35" w:rsidRDefault="00CF7C35" w:rsidP="00CF7C35">
      <w:pPr>
        <w:pStyle w:val="StandardWeb"/>
      </w:pPr>
      <w:r>
        <w:t>Damit können mindestens drei strukturell verschiedene Fälle unterschieden werden:</w:t>
      </w:r>
    </w:p>
    <w:p w:rsidR="00CF7C35" w:rsidRDefault="00CF7C35" w:rsidP="00CF7C35">
      <w:pPr>
        <w:pStyle w:val="berschrift1"/>
      </w:pPr>
      <w:r>
        <w:lastRenderedPageBreak/>
        <w:t>[</w:t>
      </w:r>
      <w:r>
        <w:br/>
        <w:t>\kappa_F(X\oplus_F Y)</w:t>
      </w:r>
      <w:r>
        <w:br/>
        <w:t>\begin{cases}</w:t>
      </w:r>
      <w:r>
        <w:br/>
        <w:t>\succ_\kappa</w:t>
      </w:r>
      <w:r>
        <w:br/>
        <w:t>\Gamma_\kappa(\kappa_F(X),\kappa_F(Y)),\</w:t>
      </w:r>
    </w:p>
    <w:p w:rsidR="00CF7C35" w:rsidRDefault="00CF7C35" w:rsidP="00CF7C35">
      <w:pPr>
        <w:pStyle w:val="StandardWeb"/>
      </w:pPr>
      <w:r>
        <w:t>\Gamma_\kappa(\kappa_F(X),\kappa_F(Y)),\</w:t>
      </w:r>
      <w:r>
        <w:br/>
        <w:t>\prec_\kappa</w:t>
      </w:r>
      <w:r>
        <w:br/>
        <w:t>\Gamma_\kappa(\kappa_F(X),\kappa_F(Y)).</w:t>
      </w:r>
      <w:r>
        <w:br/>
        <w:t>\end{cases}</w:t>
      </w:r>
      <w:r>
        <w:br/>
        <w:t>\tag{3.13463}</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\kappa_F(X\oplus_F Y)\begin{cases}\succ_\kappa\Gamma_\kappa(\kappa_F(X),\kappa_F(Y)),\\=\Gamma_\kappa(\kappa_F(X),\kappa_F(Y)),\\\prec_\kappa\Gamma_\kappa(\kappa_F(X),\kappa_F(Y)).\end{cases}</w:t>
      </w:r>
    </w:p>
    <w:p w:rsidR="00CF7C35" w:rsidRDefault="00CF7C35" w:rsidP="00CF7C35">
      <w:pPr>
        <w:pStyle w:val="StandardWeb"/>
      </w:pPr>
      <w:r>
        <w:t>Eine Aggregation kann Kohärenz somit steigern, erhalten oder vermindern.</w:t>
      </w:r>
    </w:p>
    <w:p w:rsidR="00CF7C35" w:rsidRDefault="00CF7C35" w:rsidP="00CF7C35">
      <w:r>
        <w:pict>
          <v:rect id="_x0000_i5404" style="width:0;height:1.5pt" o:hralign="center" o:hrstd="t" o:hr="t" fillcolor="#a0a0a0" stroked="f"/>
        </w:pict>
      </w:r>
    </w:p>
    <w:p w:rsidR="00CF7C35" w:rsidRDefault="00CF7C35" w:rsidP="00CF7C35">
      <w:pPr>
        <w:pStyle w:val="berschrift2"/>
      </w:pPr>
      <w:r>
        <w:t>3.3.51.172 Universelle Kohärenzerhaltung als Primäraxiomkandidat</w:t>
      </w:r>
    </w:p>
    <w:p w:rsidR="00CF7C35" w:rsidRDefault="00CF7C35" w:rsidP="00CF7C35">
      <w:pPr>
        <w:pStyle w:val="StandardWeb"/>
      </w:pPr>
      <w:r>
        <w:t>Ich prüfe nun den Kandidaten</w:t>
      </w:r>
    </w:p>
    <w:p w:rsidR="00CF7C35" w:rsidRDefault="00CF7C35" w:rsidP="00CF7C35">
      <w:pPr>
        <w:pStyle w:val="berschrift1"/>
      </w:pPr>
      <w:r>
        <w:t>[</w:t>
      </w:r>
      <w:r>
        <w:br/>
        <w:t>A_{\mathrm{coh-pres}}</w:t>
      </w:r>
      <w:r>
        <w:br/>
        <w:t>:</w:t>
      </w:r>
      <w:r>
        <w:br/>
        <w:t>\kappa_F(X\oplus_F Y)</w:t>
      </w:r>
    </w:p>
    <w:p w:rsidR="00CF7C35" w:rsidRDefault="00CF7C35" w:rsidP="00CF7C35">
      <w:pPr>
        <w:pStyle w:val="StandardWeb"/>
      </w:pPr>
      <w:r>
        <w:t>\Gamma_\kappa</w:t>
      </w:r>
      <w:r>
        <w:br/>
        <w:t>\bigl(</w:t>
      </w:r>
      <w:r>
        <w:br/>
        <w:t>\kappa_F(X),</w:t>
      </w:r>
      <w:r>
        <w:br/>
        <w:t>\kappa_F(Y)</w:t>
      </w:r>
      <w:r>
        <w:br/>
        <w:t>\bigr)</w:t>
      </w:r>
      <w:r>
        <w:br/>
        <w:t>\tag{3.13464}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lastRenderedPageBreak/>
        <w:t>A_{\mathrm{coh-pres}}:\kappa_F(X\oplus_F Y)=\Gamma_\kappa\bigl(\kappa_F(X),\kappa_F(Y)\bigr)</w:t>
      </w:r>
    </w:p>
    <w:p w:rsidR="00CF7C35" w:rsidRDefault="00CF7C35" w:rsidP="00CF7C35">
      <w:pPr>
        <w:pStyle w:val="StandardWeb"/>
      </w:pPr>
      <w:r>
        <w:t>für jede zulässige funktionale Aggregation.</w:t>
      </w:r>
    </w:p>
    <w:p w:rsidR="00CF7C35" w:rsidRDefault="00CF7C35" w:rsidP="00CF7C35">
      <w:r>
        <w:pict>
          <v:rect id="_x0000_i5405" style="width:0;height:1.5pt" o:hralign="center" o:hrstd="t" o:hr="t" fillcolor="#a0a0a0" stroked="f"/>
        </w:pict>
      </w:r>
    </w:p>
    <w:p w:rsidR="00CF7C35" w:rsidRDefault="00CF7C35" w:rsidP="00CF7C35">
      <w:pPr>
        <w:pStyle w:val="berschrift2"/>
      </w:pPr>
      <w:r>
        <w:t>3.3.51.173 Gegenmodell zur universellen Kohärenzerhaltung</w:t>
      </w:r>
    </w:p>
    <w:p w:rsidR="00CF7C35" w:rsidRDefault="00CF7C35" w:rsidP="00CF7C35">
      <w:pPr>
        <w:pStyle w:val="StandardWeb"/>
      </w:pPr>
      <w:r>
        <w:t>Es genügt eine zulässige Modellklasse mit</w:t>
      </w:r>
    </w:p>
    <w:p w:rsidR="00CF7C35" w:rsidRDefault="00CF7C35" w:rsidP="00CF7C35">
      <w:pPr>
        <w:pStyle w:val="StandardWeb"/>
      </w:pPr>
      <w:r>
        <w:t>[</w:t>
      </w:r>
      <w:r>
        <w:br/>
        <w:t>Z=X\oplus_F Y</w:t>
      </w:r>
      <w:r>
        <w:br/>
        <w:t>\tag{3.13465}</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Z=X\oplus_F Y</w:t>
      </w:r>
    </w:p>
    <w:p w:rsidR="00CF7C35" w:rsidRDefault="00CF7C35" w:rsidP="00CF7C35">
      <w:pPr>
        <w:pStyle w:val="StandardWeb"/>
      </w:pPr>
      <w:r>
        <w:t>und</w:t>
      </w:r>
    </w:p>
    <w:p w:rsidR="00CF7C35" w:rsidRDefault="00CF7C35" w:rsidP="00CF7C35">
      <w:pPr>
        <w:pStyle w:val="StandardWeb"/>
      </w:pPr>
      <w:r>
        <w:t>[</w:t>
      </w:r>
      <w:r>
        <w:br/>
        <w:t>\kappa_F(Z)</w:t>
      </w:r>
      <w:r>
        <w:br/>
        <w:t>\neq</w:t>
      </w:r>
      <w:r>
        <w:br/>
        <w:t>\Gamma_\kappa</w:t>
      </w:r>
      <w:r>
        <w:br/>
        <w:t>\bigl(</w:t>
      </w:r>
      <w:r>
        <w:br/>
        <w:t>\kappa_F(X),</w:t>
      </w:r>
      <w:r>
        <w:br/>
        <w:t>\kappa_F(Y)</w:t>
      </w:r>
      <w:r>
        <w:br/>
        <w:t>\bigr).</w:t>
      </w:r>
      <w:r>
        <w:br/>
        <w:t>\tag{3.13466}</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\kappa_F(Z)\neq\Gamma_\kappa\bigl(\kappa_F(X),\kappa_F(Y)\bigr)</w:t>
      </w:r>
    </w:p>
    <w:p w:rsidR="00CF7C35" w:rsidRDefault="00CF7C35" w:rsidP="00CF7C35">
      <w:pPr>
        <w:pStyle w:val="StandardWeb"/>
      </w:pPr>
      <w:r>
        <w:t>Eine solche Modellklasse bleibt mathematisch konsistent, solange die Aggregation und die Kohärenzbewertung jeweils wohldefiniert sind. Das FRZK benötigt auf dieser Abstraktionsebene keine Invarianz von (\kappa_F) unter (\oplus_F).</w:t>
      </w:r>
    </w:p>
    <w:p w:rsidR="00CF7C35" w:rsidRDefault="00CF7C35" w:rsidP="00CF7C35">
      <w:r>
        <w:pict>
          <v:rect id="_x0000_i5406" style="width:0;height:1.5pt" o:hralign="center" o:hrstd="t" o:hr="t" fillcolor="#a0a0a0" stroked="f"/>
        </w:pict>
      </w:r>
    </w:p>
    <w:p w:rsidR="00CF7C35" w:rsidRDefault="00CF7C35" w:rsidP="00CF7C35">
      <w:pPr>
        <w:pStyle w:val="berschrift2"/>
      </w:pPr>
      <w:r>
        <w:t>3.3.51.174 Axiomentscheidung zur Kohärenzerhaltung</w:t>
      </w:r>
    </w:p>
    <w:p w:rsidR="00CF7C35" w:rsidRDefault="00CF7C35" w:rsidP="00CF7C35">
      <w:pPr>
        <w:pStyle w:val="StandardWeb"/>
      </w:pPr>
      <w:r>
        <w:t>Damit erhalte ich</w:t>
      </w:r>
    </w:p>
    <w:p w:rsidR="00CF7C35" w:rsidRDefault="00CF7C35" w:rsidP="00CF7C35">
      <w:pPr>
        <w:pStyle w:val="berschrift1"/>
      </w:pPr>
      <w:r>
        <w:t>[</w:t>
      </w:r>
      <w:r>
        <w:br/>
        <w:t>\boxed{</w:t>
      </w:r>
      <w:r>
        <w:br/>
      </w:r>
      <w:r>
        <w:lastRenderedPageBreak/>
        <w:t>U_{\mathrm{Ax}}</w:t>
      </w:r>
      <w:r>
        <w:br/>
        <w:t>(A_{\mathrm{coh-pres}})</w:t>
      </w:r>
    </w:p>
    <w:p w:rsidR="00CF7C35" w:rsidRDefault="00CF7C35" w:rsidP="009F7790">
      <w:pPr>
        <w:numPr>
          <w:ilvl w:val="0"/>
          <w:numId w:val="668"/>
        </w:numPr>
        <w:spacing w:before="100" w:beforeAutospacing="1" w:after="100" w:afterAutospacing="1"/>
      </w:pPr>
    </w:p>
    <w:p w:rsidR="00CF7C35" w:rsidRDefault="00CF7C35" w:rsidP="00CF7C35">
      <w:pPr>
        <w:pStyle w:val="StandardWeb"/>
      </w:pPr>
      <w:r>
        <w:t>}</w:t>
      </w:r>
      <w:r>
        <w:br/>
        <w:t>\tag{3.13467}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\boxed{U_{\mathrm{Ax}}(A_{\mathrm{coh-pres}})=0.}</w:t>
      </w:r>
    </w:p>
    <w:p w:rsidR="00CF7C35" w:rsidRDefault="00CF7C35" w:rsidP="00CF7C35">
      <w:r>
        <w:pict>
          <v:rect id="_x0000_i5407" style="width:0;height:1.5pt" o:hralign="center" o:hrstd="t" o:hr="t" fillcolor="#a0a0a0" stroked="f"/>
        </w:pict>
      </w:r>
    </w:p>
    <w:p w:rsidR="00CF7C35" w:rsidRDefault="00CF7C35" w:rsidP="00CF7C35">
      <w:pPr>
        <w:pStyle w:val="berschrift1"/>
      </w:pPr>
      <w:r>
        <w:t>3.3.51.175 Satz 3.3.219 – Kohärenzerhaltung bei Aggregation ist kein Primäraxiom</w:t>
      </w:r>
    </w:p>
    <w:p w:rsidR="00CF7C35" w:rsidRDefault="00CF7C35" w:rsidP="00CF7C35">
      <w:pPr>
        <w:pStyle w:val="berschrift3"/>
      </w:pPr>
      <w:r>
        <w:t>Satz 3.3.219</w:t>
      </w:r>
    </w:p>
    <w:p w:rsidR="00CF7C35" w:rsidRDefault="00CF7C35" w:rsidP="00CF7C35">
      <w:pPr>
        <w:pStyle w:val="StandardWeb"/>
      </w:pPr>
      <w:r>
        <w:t>Die Forderung, jede funktionale Aggregation müsse eine zuvor definierte Kohärenzbewertung gemäß einem vorgegebenen Kohärenzaggregator erhalten, ist keine universell notwendige Voraussetzung des allgemeinen FRZK.</w:t>
      </w:r>
    </w:p>
    <w:p w:rsidR="00CF7C35" w:rsidRDefault="00CF7C35" w:rsidP="00CF7C35">
      <w:pPr>
        <w:pStyle w:val="StandardWeb"/>
      </w:pPr>
      <w:r>
        <w:t>Formal gilt</w:t>
      </w:r>
    </w:p>
    <w:p w:rsidR="00CF7C35" w:rsidRDefault="00CF7C35" w:rsidP="00CF7C35">
      <w:pPr>
        <w:pStyle w:val="berschrift1"/>
      </w:pPr>
      <w:r>
        <w:t>[</w:t>
      </w:r>
      <w:r>
        <w:br/>
        <w:t>\boxed{</w:t>
      </w:r>
      <w:r>
        <w:br/>
        <w:t>U_{\mathrm{Ax}}</w:t>
      </w:r>
      <w:r>
        <w:br/>
        <w:t>(A_{\mathrm{coh-pres}})</w:t>
      </w:r>
    </w:p>
    <w:p w:rsidR="00CF7C35" w:rsidRDefault="00CF7C35" w:rsidP="009F7790">
      <w:pPr>
        <w:numPr>
          <w:ilvl w:val="0"/>
          <w:numId w:val="669"/>
        </w:numPr>
        <w:spacing w:before="100" w:beforeAutospacing="1" w:after="100" w:afterAutospacing="1"/>
      </w:pPr>
    </w:p>
    <w:p w:rsidR="00CF7C35" w:rsidRDefault="00CF7C35" w:rsidP="00CF7C35">
      <w:pPr>
        <w:pStyle w:val="StandardWeb"/>
      </w:pPr>
      <w:r>
        <w:t>}</w:t>
      </w:r>
      <w:r>
        <w:br/>
        <w:t>\tag{3.13468}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\boxed{U_{\mathrm{Ax}}(A_{\mathrm{coh-pres}})=0.}</w:t>
      </w:r>
    </w:p>
    <w:p w:rsidR="00CF7C35" w:rsidRDefault="00CF7C35" w:rsidP="00CF7C35">
      <w:pPr>
        <w:pStyle w:val="berschrift3"/>
      </w:pPr>
      <w:r>
        <w:t>Beweis</w:t>
      </w:r>
    </w:p>
    <w:p w:rsidR="00CF7C35" w:rsidRDefault="00CF7C35" w:rsidP="00CF7C35">
      <w:pPr>
        <w:pStyle w:val="StandardWeb"/>
      </w:pPr>
      <w:r>
        <w:t>Ich betrachte eine zulässige Modellklasse, in der (X) und (Y) aggregiert werden können:</w:t>
      </w:r>
    </w:p>
    <w:p w:rsidR="00CF7C35" w:rsidRDefault="00CF7C35" w:rsidP="00CF7C35">
      <w:pPr>
        <w:pStyle w:val="StandardWeb"/>
      </w:pPr>
      <w:r>
        <w:t>[</w:t>
      </w:r>
      <w:r>
        <w:br/>
        <w:t>Z=X\oplus_F Y.</w:t>
      </w:r>
      <w:r>
        <w:br/>
      </w:r>
      <w:r>
        <w:lastRenderedPageBreak/>
        <w:t>\tag{3.13469}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Z=X\oplus_F Y</w:t>
      </w:r>
    </w:p>
    <w:p w:rsidR="00CF7C35" w:rsidRDefault="00CF7C35" w:rsidP="00CF7C35">
      <w:pPr>
        <w:pStyle w:val="StandardWeb"/>
      </w:pPr>
      <w:r>
        <w:t>Weiter sei eine Kohärenzbewertung (\kappa_F) definiert. Ich wähle die Modellstruktur so, dass</w:t>
      </w:r>
    </w:p>
    <w:p w:rsidR="00CF7C35" w:rsidRDefault="00CF7C35" w:rsidP="00CF7C35">
      <w:pPr>
        <w:pStyle w:val="StandardWeb"/>
      </w:pPr>
      <w:r>
        <w:t>[</w:t>
      </w:r>
      <w:r>
        <w:br/>
        <w:t>\kappa_F(Z)</w:t>
      </w:r>
      <w:r>
        <w:br/>
        <w:t>\neq</w:t>
      </w:r>
      <w:r>
        <w:br/>
        <w:t>\Gamma_\kappa</w:t>
      </w:r>
      <w:r>
        <w:br/>
        <w:t>\bigl(</w:t>
      </w:r>
      <w:r>
        <w:br/>
        <w:t>\kappa_F(X),</w:t>
      </w:r>
      <w:r>
        <w:br/>
        <w:t>\kappa_F(Y)</w:t>
      </w:r>
      <w:r>
        <w:br/>
        <w:t>\bigr).</w:t>
      </w:r>
      <w:r>
        <w:br/>
        <w:t>\tag{3.13470}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\kappa_F(Z)\neq\Gamma_\kappa\bigl(\kappa_F(X),\kappa_F(Y)\bigr)</w:t>
      </w:r>
    </w:p>
    <w:p w:rsidR="00CF7C35" w:rsidRDefault="00CF7C35" w:rsidP="00CF7C35">
      <w:pPr>
        <w:pStyle w:val="StandardWeb"/>
      </w:pPr>
      <w:r>
        <w:t>Weder die Existenz von (Z) noch die Wohldefiniertheit der Aggregation wird durch diese Ungleichheit aufgehoben. Die Kohärenzänderung beschreibt vielmehr eine Eigenschaft der konkreten Aggregation. Daher kann die universelle Kohärenzerhaltung nicht aus der minimalen FRZK-Struktur erzwungen werden.</w:t>
      </w:r>
    </w:p>
    <w:p w:rsidR="00CF7C35" w:rsidRDefault="00CF7C35" w:rsidP="00CF7C35">
      <w:pPr>
        <w:pStyle w:val="StandardWeb"/>
      </w:pPr>
      <w:r>
        <w:t>Somit gilt</w:t>
      </w:r>
    </w:p>
    <w:p w:rsidR="00CF7C35" w:rsidRDefault="00CF7C35" w:rsidP="00CF7C35">
      <w:pPr>
        <w:pStyle w:val="berschrift1"/>
      </w:pPr>
      <w:r>
        <w:t>[</w:t>
      </w:r>
      <w:r>
        <w:br/>
        <w:t>U_{\mathrm{Ax}}</w:t>
      </w:r>
      <w:r>
        <w:br/>
        <w:t>(A_{\mathrm{coh-pres}})</w:t>
      </w:r>
    </w:p>
    <w:p w:rsidR="00CF7C35" w:rsidRDefault="00CF7C35" w:rsidP="009F7790">
      <w:pPr>
        <w:numPr>
          <w:ilvl w:val="0"/>
          <w:numId w:val="670"/>
        </w:numPr>
        <w:spacing w:before="100" w:beforeAutospacing="1" w:after="100" w:afterAutospacing="1"/>
      </w:pPr>
    </w:p>
    <w:p w:rsidR="00CF7C35" w:rsidRDefault="00CF7C35" w:rsidP="00CF7C35">
      <w:pPr>
        <w:pStyle w:val="StandardWeb"/>
      </w:pPr>
      <w:r>
        <w:t>\tag{3.13471}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U_{\mathrm{Ax}}(A_{\mathrm{coh-pres}})=0</w:t>
      </w:r>
    </w:p>
    <w:p w:rsidR="00CF7C35" w:rsidRDefault="00CF7C35" w:rsidP="00CF7C35">
      <w:pPr>
        <w:pStyle w:val="StandardWeb"/>
      </w:pPr>
      <w:r>
        <w:t>(\square)</w:t>
      </w:r>
    </w:p>
    <w:p w:rsidR="00CF7C35" w:rsidRDefault="00CF7C35" w:rsidP="00CF7C35">
      <w:r>
        <w:pict>
          <v:rect id="_x0000_i5408" style="width:0;height:1.5pt" o:hralign="center" o:hrstd="t" o:hr="t" fillcolor="#a0a0a0" stroked="f"/>
        </w:pict>
      </w:r>
    </w:p>
    <w:p w:rsidR="00CF7C35" w:rsidRDefault="00CF7C35" w:rsidP="00CF7C35">
      <w:pPr>
        <w:pStyle w:val="berschrift1"/>
      </w:pPr>
      <w:r>
        <w:lastRenderedPageBreak/>
        <w:t>3.3.51.176 Korollar 3.3.52 – Kohärenzverhalten der Aggregation ist modellabhängig</w:t>
      </w:r>
    </w:p>
    <w:p w:rsidR="00CF7C35" w:rsidRDefault="00CF7C35" w:rsidP="00CF7C35">
      <w:pPr>
        <w:pStyle w:val="berschrift3"/>
      </w:pPr>
      <w:r>
        <w:t>Korollar 3.3.52</w:t>
      </w:r>
    </w:p>
    <w:p w:rsidR="00CF7C35" w:rsidRDefault="00CF7C35" w:rsidP="00CF7C35">
      <w:pPr>
        <w:pStyle w:val="StandardWeb"/>
      </w:pPr>
      <w:r>
        <w:t>Aus Satz 3.3.219 folgt, dass die Wirkung einer funktionalen Aggregation auf eine Kohärenzbewertung nicht durch die minimale Primäraxiomatik festgelegt wird.</w:t>
      </w:r>
    </w:p>
    <w:p w:rsidR="00CF7C35" w:rsidRDefault="00CF7C35" w:rsidP="00CF7C35">
      <w:pPr>
        <w:pStyle w:val="StandardWeb"/>
      </w:pPr>
      <w:r>
        <w:t>Ich fasse dies zusammen als</w:t>
      </w:r>
    </w:p>
    <w:p w:rsidR="00CF7C35" w:rsidRDefault="00CF7C35" w:rsidP="00CF7C35">
      <w:pPr>
        <w:pStyle w:val="berschrift1"/>
      </w:pPr>
      <w:r>
        <w:t>[</w:t>
      </w:r>
      <w:r>
        <w:br/>
        <w:t>\boxed{</w:t>
      </w:r>
      <w:r>
        <w:br/>
        <w:t>\operatorname{Stat}</w:t>
      </w:r>
      <w:r>
        <w:br/>
        <w:t>(\kappa_F,\Gamma_\kappa,\oplus_F)</w:t>
      </w:r>
    </w:p>
    <w:p w:rsidR="00CF7C35" w:rsidRDefault="00CF7C35" w:rsidP="00CF7C35">
      <w:pPr>
        <w:pStyle w:val="StandardWeb"/>
      </w:pPr>
      <w:r>
        <w:t>\mathrm{Def/Mod/Op}.</w:t>
      </w:r>
      <w:r>
        <w:br/>
        <w:t>}</w:t>
      </w:r>
      <w:r>
        <w:br/>
        <w:t>\tag{3.13472}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\boxed{\operatorname{Stat}(\kappa_F,\Gamma_\kappa,\oplus_F)=\mathrm{Def/Mod/Op}.}</w:t>
      </w:r>
    </w:p>
    <w:p w:rsidR="00CF7C35" w:rsidRDefault="00CF7C35" w:rsidP="00CF7C35">
      <w:pPr>
        <w:pStyle w:val="StandardWeb"/>
      </w:pPr>
      <w:r>
        <w:t>Die konkrete Kohärenzbewertung, ihre Vergleichsstruktur und ihre Veränderung durch Aggregation müssen daher innerhalb der jeweiligen Modellklasse definiert beziehungsweise operationalisiert werden.</w:t>
      </w:r>
    </w:p>
    <w:p w:rsidR="00CF7C35" w:rsidRDefault="00CF7C35" w:rsidP="00CF7C35">
      <w:r>
        <w:pict>
          <v:rect id="_x0000_i5409" style="width:0;height:1.5pt" o:hralign="center" o:hrstd="t" o:hr="t" fillcolor="#a0a0a0" stroked="f"/>
        </w:pict>
      </w:r>
    </w:p>
    <w:p w:rsidR="00CF7C35" w:rsidRDefault="00CF7C35" w:rsidP="00CF7C35">
      <w:pPr>
        <w:pStyle w:val="berschrift1"/>
      </w:pPr>
      <w:r>
        <w:t>3.3.51.177 Kohärenzerhaltung und Kohärenzbegriff</w:t>
      </w:r>
    </w:p>
    <w:p w:rsidR="00CF7C35" w:rsidRDefault="00CF7C35" w:rsidP="00CF7C35">
      <w:pPr>
        <w:pStyle w:val="StandardWeb"/>
      </w:pPr>
      <w:r>
        <w:t>Dieses Ergebnis besitzt für die weitere Konstruktion des FRZK eine methodologische Bedeutung. Der Begriff „Kohärenz“ darf nicht dazu führen, Eigenschaften einer speziellen Kohärenzmetrik unbemerkt in die Primäraxiomatik zu übertragen.</w:t>
      </w:r>
    </w:p>
    <w:p w:rsidR="00CF7C35" w:rsidRDefault="00CF7C35" w:rsidP="00CF7C35">
      <w:pPr>
        <w:pStyle w:val="StandardWeb"/>
      </w:pPr>
      <w:r>
        <w:t>Insbesondere folgt aus der Existenz einer Kohärenzbewertung nicht automatisch</w:t>
      </w:r>
    </w:p>
    <w:p w:rsidR="00CF7C35" w:rsidRDefault="00CF7C35" w:rsidP="00CF7C35">
      <w:pPr>
        <w:pStyle w:val="berschrift1"/>
      </w:pPr>
      <w:r>
        <w:t>[</w:t>
      </w:r>
      <w:r>
        <w:br/>
        <w:t>\mathcal K_F</w:t>
      </w:r>
    </w:p>
    <w:p w:rsidR="00CF7C35" w:rsidRDefault="00CF7C35" w:rsidP="00CF7C35">
      <w:pPr>
        <w:pStyle w:val="StandardWeb"/>
      </w:pPr>
      <w:r>
        <w:t>\mathbb R.</w:t>
      </w:r>
      <w:r>
        <w:br/>
        <w:t>\tag{3.13473}</w:t>
      </w:r>
      <w:r>
        <w:br/>
        <w:t>]</w:t>
      </w:r>
    </w:p>
    <w:p w:rsidR="00CF7C35" w:rsidRDefault="00CF7C35" w:rsidP="00CF7C35">
      <w:pPr>
        <w:pStyle w:val="StandardWeb"/>
      </w:pPr>
      <w:r>
        <w:rPr>
          <w:rStyle w:val="Fett"/>
        </w:rPr>
        <w:lastRenderedPageBreak/>
        <w:t>Word-LaTeX</w:t>
      </w:r>
    </w:p>
    <w:p w:rsidR="00CF7C35" w:rsidRDefault="00CF7C35" w:rsidP="00CF7C35">
      <w:pPr>
        <w:pStyle w:val="HTMLVorformatiert"/>
        <w:rPr>
          <w:rStyle w:val="HTMLCode"/>
        </w:rPr>
      </w:pPr>
      <w:r>
        <w:rPr>
          <w:rStyle w:val="HTMLCode"/>
        </w:rPr>
        <w:t>\mathcal K_F=\mathbb R</w:t>
      </w:r>
    </w:p>
    <w:p w:rsidR="00CF7C35" w:rsidRDefault="00CF7C35" w:rsidP="00CF7C35">
      <w:pPr>
        <w:pStyle w:val="StandardWeb"/>
      </w:pPr>
      <w:r>
        <w:t>Ebenso folgt nicht automatisch die Existenz einer totalen Ordnung</w:t>
      </w:r>
    </w:p>
    <w:p w:rsidR="00CF7C35" w:rsidRDefault="00CF7C35" w:rsidP="00CF7C35">
      <w:pPr>
        <w:pStyle w:val="StandardWeb"/>
      </w:pPr>
      <w:r>
        <w:t>[</w:t>
      </w:r>
      <w:r>
        <w:br/>
        <w:t>\forall a,b\in\mathcal K_F:</w:t>
      </w:r>
      <w:r>
        <w:br/>
        <w:t>\quad</w:t>
      </w:r>
      <w:r>
        <w:br/>
        <w:t>a\preceq_\kappa b</w:t>
      </w:r>
      <w:r>
        <w:br/>
        <w:t>\lor</w:t>
      </w:r>
      <w:r>
        <w:br/>
        <w:t>b\preceq_\kappa a.</w:t>
      </w:r>
      <w:r>
        <w:br/>
        <w:t>\tag{3.13474}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\forall a,b\in\mathcal K_F:\quad a\preceq_\kappa b\lor b\preceq_\kappa a</w:t>
      </w:r>
    </w:p>
    <w:p w:rsidR="00CF7C35" w:rsidRDefault="00CF7C35" w:rsidP="00CF7C35">
      <w:pPr>
        <w:pStyle w:val="StandardWeb"/>
      </w:pPr>
      <w:r>
        <w:t>Auch diese Eigenschaften wären zusätzliche Modellstrukturen.</w:t>
      </w:r>
    </w:p>
    <w:p w:rsidR="00CF7C35" w:rsidRDefault="00CF7C35" w:rsidP="00CF7C35">
      <w:r>
        <w:pict>
          <v:rect id="_x0000_i5410" style="width:0;height:1.5pt" o:hralign="center" o:hrstd="t" o:hr="t" fillcolor="#a0a0a0" stroked="f"/>
        </w:pict>
      </w:r>
    </w:p>
    <w:p w:rsidR="00CF7C35" w:rsidRDefault="00CF7C35" w:rsidP="00CF7C35">
      <w:pPr>
        <w:pStyle w:val="berschrift1"/>
      </w:pPr>
      <w:r>
        <w:t>3.3.51.178 Numerische Kohärenz als Spezialfall</w:t>
      </w:r>
    </w:p>
    <w:p w:rsidR="00CF7C35" w:rsidRDefault="00CF7C35" w:rsidP="00CF7C35">
      <w:pPr>
        <w:pStyle w:val="StandardWeb"/>
      </w:pPr>
      <w:r>
        <w:t>Eine konkrete Modellklasse kann selbstverständlich eine numerische Kohärenzbewertung verwenden:</w:t>
      </w:r>
    </w:p>
    <w:p w:rsidR="00CF7C35" w:rsidRDefault="00CF7C35" w:rsidP="00CF7C35">
      <w:pPr>
        <w:pStyle w:val="StandardWeb"/>
      </w:pPr>
      <w:r>
        <w:t>[</w:t>
      </w:r>
      <w:r>
        <w:br/>
        <w:t>\kappa_F</w:t>
      </w:r>
      <w:r>
        <w:br/>
        <w:t>:</w:t>
      </w:r>
      <w:r>
        <w:br/>
        <w:t>\mathcal X_F</w:t>
      </w:r>
      <w:r>
        <w:br/>
        <w:t>\rightarrow</w:t>
      </w:r>
      <w:r>
        <w:br/>
        <w:t>\mathbb R.</w:t>
      </w:r>
      <w:r>
        <w:br/>
        <w:t>\tag{3.13475}</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\kappa_F:\mathcal X_F\rightarrow\mathbb R</w:t>
      </w:r>
    </w:p>
    <w:p w:rsidR="00CF7C35" w:rsidRDefault="00CF7C35" w:rsidP="00CF7C35">
      <w:pPr>
        <w:pStyle w:val="StandardWeb"/>
      </w:pPr>
      <w:r>
        <w:t>Sie kann den Wertebereich zusätzlich beschränken, beispielsweise durch</w:t>
      </w:r>
    </w:p>
    <w:p w:rsidR="00CF7C35" w:rsidRDefault="00CF7C35" w:rsidP="00CF7C35">
      <w:pPr>
        <w:pStyle w:val="StandardWeb"/>
      </w:pPr>
      <w:r>
        <w:t>[</w:t>
      </w:r>
      <w:r>
        <w:br/>
        <w:t>0</w:t>
      </w:r>
      <w:r>
        <w:br/>
        <w:t>\leq</w:t>
      </w:r>
      <w:r>
        <w:br/>
        <w:t>\kappa_F(X)</w:t>
      </w:r>
      <w:r>
        <w:br/>
        <w:t>\leq</w:t>
      </w:r>
      <w:r>
        <w:br/>
        <w:t>1.</w:t>
      </w:r>
      <w:r>
        <w:br/>
        <w:t>\tag{3.13476}</w:t>
      </w:r>
      <w:r>
        <w:br/>
        <w:t>]</w:t>
      </w:r>
    </w:p>
    <w:p w:rsidR="00CF7C35" w:rsidRDefault="00CF7C35" w:rsidP="00CF7C35">
      <w:pPr>
        <w:pStyle w:val="StandardWeb"/>
      </w:pPr>
      <w:r>
        <w:rPr>
          <w:rStyle w:val="Fett"/>
        </w:rPr>
        <w:lastRenderedPageBreak/>
        <w:t>Word-LaTeX</w:t>
      </w:r>
    </w:p>
    <w:p w:rsidR="00CF7C35" w:rsidRDefault="00CF7C35" w:rsidP="00CF7C35">
      <w:pPr>
        <w:pStyle w:val="HTMLVorformatiert"/>
        <w:rPr>
          <w:rStyle w:val="HTMLCode"/>
        </w:rPr>
      </w:pPr>
      <w:r>
        <w:rPr>
          <w:rStyle w:val="HTMLCode"/>
        </w:rPr>
        <w:t>0\leq\kappa_F(X)\leq1</w:t>
      </w:r>
    </w:p>
    <w:p w:rsidR="00CF7C35" w:rsidRDefault="00CF7C35" w:rsidP="00CF7C35">
      <w:pPr>
        <w:pStyle w:val="StandardWeb"/>
      </w:pPr>
      <w:r>
        <w:t>Eine solche Normierung ist jedoch eine Eigenschaft der konkreten Operationalisierung und keine bereits aus dem allgemeinen FRZK folgende Struktur.</w:t>
      </w:r>
    </w:p>
    <w:p w:rsidR="00CF7C35" w:rsidRDefault="00CF7C35" w:rsidP="00CF7C35">
      <w:r>
        <w:pict>
          <v:rect id="_x0000_i5411" style="width:0;height:1.5pt" o:hralign="center" o:hrstd="t" o:hr="t" fillcolor="#a0a0a0" stroked="f"/>
        </w:pict>
      </w:r>
    </w:p>
    <w:p w:rsidR="00CF7C35" w:rsidRDefault="00CF7C35" w:rsidP="00CF7C35">
      <w:pPr>
        <w:pStyle w:val="berschrift1"/>
      </w:pPr>
      <w:r>
        <w:t>3.3.51.179 Normierte Kohärenz als Primäraxiomkandidat</w:t>
      </w:r>
    </w:p>
    <w:p w:rsidR="00CF7C35" w:rsidRDefault="00CF7C35" w:rsidP="00CF7C35">
      <w:pPr>
        <w:pStyle w:val="StandardWeb"/>
      </w:pPr>
      <w:r>
        <w:t>Der entsprechende Kandidat wäre</w:t>
      </w:r>
    </w:p>
    <w:p w:rsidR="00CF7C35" w:rsidRDefault="00CF7C35" w:rsidP="00CF7C35">
      <w:pPr>
        <w:pStyle w:val="StandardWeb"/>
      </w:pPr>
      <w:r>
        <w:t>[</w:t>
      </w:r>
      <w:r>
        <w:br/>
        <w:t>A_{\kappa,[0,1]}</w:t>
      </w:r>
      <w:r>
        <w:br/>
        <w:t>:</w:t>
      </w:r>
      <w:r>
        <w:br/>
        <w:t>\kappa_F(X)\in[0,1]</w:t>
      </w:r>
      <w:r>
        <w:br/>
        <w:t>\qquad</w:t>
      </w:r>
      <w:r>
        <w:br/>
        <w:t>\forall X\in\mathcal X_F.</w:t>
      </w:r>
      <w:r>
        <w:br/>
        <w:t>\tag{3.13477}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A_{\kappa,[0,1]}:\kappa_F(X)\in[0,1]\qquad\forall X\in\mathcal X_F</w:t>
      </w:r>
    </w:p>
    <w:p w:rsidR="00CF7C35" w:rsidRDefault="00CF7C35" w:rsidP="00CF7C35">
      <w:r>
        <w:pict>
          <v:rect id="_x0000_i5412" style="width:0;height:1.5pt" o:hralign="center" o:hrstd="t" o:hr="t" fillcolor="#a0a0a0" stroked="f"/>
        </w:pict>
      </w:r>
    </w:p>
    <w:p w:rsidR="00CF7C35" w:rsidRDefault="00CF7C35" w:rsidP="00CF7C35">
      <w:pPr>
        <w:pStyle w:val="berschrift1"/>
      </w:pPr>
      <w:r>
        <w:t>3.3.51.180 Gegenmodell zur normierten Kohärenz</w:t>
      </w:r>
    </w:p>
    <w:p w:rsidR="00CF7C35" w:rsidRDefault="00CF7C35" w:rsidP="00CF7C35">
      <w:pPr>
        <w:pStyle w:val="StandardWeb"/>
      </w:pPr>
      <w:r>
        <w:t>Eine ebenso zulässige Modellklasse kann beispielsweise</w:t>
      </w:r>
    </w:p>
    <w:p w:rsidR="00CF7C35" w:rsidRDefault="00CF7C35" w:rsidP="00CF7C35">
      <w:pPr>
        <w:pStyle w:val="StandardWeb"/>
      </w:pPr>
      <w:r>
        <w:t>[</w:t>
      </w:r>
      <w:r>
        <w:br/>
        <w:t>\kappa_F</w:t>
      </w:r>
      <w:r>
        <w:br/>
        <w:t>:</w:t>
      </w:r>
      <w:r>
        <w:br/>
        <w:t>\mathcal X_F</w:t>
      </w:r>
      <w:r>
        <w:br/>
        <w:t>\rightarrow</w:t>
      </w:r>
      <w:r>
        <w:br/>
        <w:t>\mathbb R</w:t>
      </w:r>
      <w:r>
        <w:br/>
        <w:t>\tag{3.13478}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\kappa_F:\mathcal X_F\rightarrow\mathbb R</w:t>
      </w:r>
    </w:p>
    <w:p w:rsidR="00CF7C35" w:rsidRDefault="00CF7C35" w:rsidP="00CF7C35">
      <w:pPr>
        <w:pStyle w:val="StandardWeb"/>
      </w:pPr>
      <w:r>
        <w:t>mit</w:t>
      </w:r>
    </w:p>
    <w:p w:rsidR="00CF7C35" w:rsidRDefault="00CF7C35" w:rsidP="00CF7C35">
      <w:pPr>
        <w:pStyle w:val="StandardWeb"/>
      </w:pPr>
      <w:r>
        <w:t>[</w:t>
      </w:r>
      <w:r>
        <w:br/>
        <w:t>\kappa_F(X)&gt;1</w:t>
      </w:r>
      <w:r>
        <w:br/>
      </w:r>
      <w:r>
        <w:lastRenderedPageBreak/>
        <w:t>\tag{3.13479}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\kappa_F(X)&gt;1</w:t>
      </w:r>
    </w:p>
    <w:p w:rsidR="00CF7C35" w:rsidRDefault="00CF7C35" w:rsidP="00CF7C35">
      <w:pPr>
        <w:pStyle w:val="StandardWeb"/>
      </w:pPr>
      <w:r>
        <w:t>für mindestens ein Objekt verwenden, ohne dadurch die allgemeine funktionale Struktur zu verletzen.</w:t>
      </w:r>
    </w:p>
    <w:p w:rsidR="00CF7C35" w:rsidRDefault="00CF7C35" w:rsidP="00CF7C35">
      <w:r>
        <w:pict>
          <v:rect id="_x0000_i5413" style="width:0;height:1.5pt" o:hralign="center" o:hrstd="t" o:hr="t" fillcolor="#a0a0a0" stroked="f"/>
        </w:pict>
      </w:r>
    </w:p>
    <w:p w:rsidR="00CF7C35" w:rsidRDefault="00CF7C35" w:rsidP="00CF7C35">
      <w:pPr>
        <w:pStyle w:val="berschrift1"/>
      </w:pPr>
      <w:r>
        <w:t>3.3.51.181 Axiomentscheidung zur Kohärenznormierung</w:t>
      </w:r>
    </w:p>
    <w:p w:rsidR="00CF7C35" w:rsidRDefault="00CF7C35" w:rsidP="00CF7C35">
      <w:pPr>
        <w:pStyle w:val="StandardWeb"/>
      </w:pPr>
      <w:r>
        <w:t>Daher gilt</w:t>
      </w:r>
    </w:p>
    <w:p w:rsidR="00CF7C35" w:rsidRDefault="00CF7C35" w:rsidP="00CF7C35">
      <w:pPr>
        <w:pStyle w:val="berschrift1"/>
      </w:pPr>
      <w:r>
        <w:t>[</w:t>
      </w:r>
      <w:r>
        <w:br/>
        <w:t>\boxed{</w:t>
      </w:r>
      <w:r>
        <w:br/>
        <w:t>U_{\mathrm{Ax}}</w:t>
      </w:r>
      <w:r>
        <w:br/>
        <w:t>(A_{\kappa,[0,1]})</w:t>
      </w:r>
    </w:p>
    <w:p w:rsidR="00CF7C35" w:rsidRDefault="00CF7C35" w:rsidP="009F7790">
      <w:pPr>
        <w:numPr>
          <w:ilvl w:val="0"/>
          <w:numId w:val="671"/>
        </w:numPr>
        <w:spacing w:before="100" w:beforeAutospacing="1" w:after="100" w:afterAutospacing="1"/>
      </w:pPr>
    </w:p>
    <w:p w:rsidR="00CF7C35" w:rsidRDefault="00CF7C35" w:rsidP="00CF7C35">
      <w:pPr>
        <w:pStyle w:val="StandardWeb"/>
      </w:pPr>
      <w:r>
        <w:t>}</w:t>
      </w:r>
      <w:r>
        <w:br/>
        <w:t>\tag{3.13480}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\boxed{U_{\mathrm{Ax}}(A_{\kappa,[0,1]})=0.}</w:t>
      </w:r>
    </w:p>
    <w:p w:rsidR="00CF7C35" w:rsidRDefault="00CF7C35" w:rsidP="00CF7C35">
      <w:r>
        <w:pict>
          <v:rect id="_x0000_i5414" style="width:0;height:1.5pt" o:hralign="center" o:hrstd="t" o:hr="t" fillcolor="#a0a0a0" stroked="f"/>
        </w:pict>
      </w:r>
    </w:p>
    <w:p w:rsidR="00CF7C35" w:rsidRDefault="00CF7C35" w:rsidP="00CF7C35">
      <w:pPr>
        <w:pStyle w:val="berschrift1"/>
      </w:pPr>
      <w:r>
        <w:t>3.3.51.182 Satz 3.3.220 – Eine normierte Kohärenzskala ist kein Primäraxiom</w:t>
      </w:r>
    </w:p>
    <w:p w:rsidR="00CF7C35" w:rsidRDefault="00CF7C35" w:rsidP="00CF7C35">
      <w:pPr>
        <w:pStyle w:val="berschrift3"/>
      </w:pPr>
      <w:r>
        <w:t>Satz 3.3.220</w:t>
      </w:r>
    </w:p>
    <w:p w:rsidR="00CF7C35" w:rsidRDefault="00CF7C35" w:rsidP="00CF7C35">
      <w:pPr>
        <w:pStyle w:val="StandardWeb"/>
      </w:pPr>
      <w:r>
        <w:t>Die Forderung, jede funktionale Kohärenzbewertung müsse Werte im normierten Intervall ([0,1]) annehmen, ist keine universell notwendige Voraussetzung des allgemeinen FRZK.</w:t>
      </w:r>
    </w:p>
    <w:p w:rsidR="00CF7C35" w:rsidRDefault="00CF7C35" w:rsidP="00CF7C35">
      <w:pPr>
        <w:pStyle w:val="berschrift1"/>
      </w:pPr>
      <w:r>
        <w:t>[</w:t>
      </w:r>
      <w:r>
        <w:br/>
        <w:t>\boxed{</w:t>
      </w:r>
      <w:r>
        <w:br/>
      </w:r>
      <w:r>
        <w:lastRenderedPageBreak/>
        <w:t>U_{\mathrm{Ax}}</w:t>
      </w:r>
      <w:r>
        <w:br/>
        <w:t>(A_{\kappa,[0,1]})</w:t>
      </w:r>
    </w:p>
    <w:p w:rsidR="00CF7C35" w:rsidRDefault="00CF7C35" w:rsidP="009F7790">
      <w:pPr>
        <w:numPr>
          <w:ilvl w:val="0"/>
          <w:numId w:val="672"/>
        </w:numPr>
        <w:spacing w:before="100" w:beforeAutospacing="1" w:after="100" w:afterAutospacing="1"/>
      </w:pPr>
    </w:p>
    <w:p w:rsidR="00CF7C35" w:rsidRDefault="00CF7C35" w:rsidP="00CF7C35">
      <w:pPr>
        <w:pStyle w:val="StandardWeb"/>
      </w:pPr>
      <w:r>
        <w:t>}</w:t>
      </w:r>
      <w:r>
        <w:br/>
        <w:t>\tag{3.13481}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\boxed{U_{\mathrm{Ax}}(A_{\kappa,[0,1]})=0.}</w:t>
      </w:r>
    </w:p>
    <w:p w:rsidR="00CF7C35" w:rsidRDefault="00CF7C35" w:rsidP="00CF7C35">
      <w:pPr>
        <w:pStyle w:val="berschrift3"/>
      </w:pPr>
      <w:r>
        <w:t>Beweis</w:t>
      </w:r>
    </w:p>
    <w:p w:rsidR="00CF7C35" w:rsidRDefault="00CF7C35" w:rsidP="00CF7C35">
      <w:pPr>
        <w:pStyle w:val="StandardWeb"/>
      </w:pPr>
      <w:r>
        <w:t>Die Wahl des Wertebereichs gehört zur Operationalisierung von (\kappa_F). Eine Modellklasse kann einen anderen Wertebereich verwenden, ohne die Existenz funktionaler Objekte oder ihrer Beziehungen aufzuheben. Die Intervallnormierung ist daher nicht universell notwendig. (\square)</w:t>
      </w:r>
    </w:p>
    <w:p w:rsidR="00CF7C35" w:rsidRDefault="00CF7C35" w:rsidP="00CF7C35">
      <w:r>
        <w:pict>
          <v:rect id="_x0000_i5415" style="width:0;height:1.5pt" o:hralign="center" o:hrstd="t" o:hr="t" fillcolor="#a0a0a0" stroked="f"/>
        </w:pict>
      </w:r>
    </w:p>
    <w:p w:rsidR="00CF7C35" w:rsidRDefault="00CF7C35" w:rsidP="00CF7C35">
      <w:pPr>
        <w:pStyle w:val="berschrift1"/>
      </w:pPr>
      <w:r>
        <w:t>3.3.51.183 Dimensionszuordnung funktionaler Objekte</w:t>
      </w:r>
    </w:p>
    <w:p w:rsidR="00CF7C35" w:rsidRDefault="00CF7C35" w:rsidP="00CF7C35">
      <w:pPr>
        <w:pStyle w:val="StandardWeb"/>
      </w:pPr>
      <w:r>
        <w:t>Als Nächstes untersuche ich, ob funktionalen Objekten zwingend physikalische oder abstrakte Dimensionen zugeordnet werden müssen.</w:t>
      </w:r>
    </w:p>
    <w:p w:rsidR="00CF7C35" w:rsidRDefault="00CF7C35" w:rsidP="00CF7C35">
      <w:pPr>
        <w:pStyle w:val="StandardWeb"/>
      </w:pPr>
      <w:r>
        <w:t>Hierzu kann eine Abbildung</w:t>
      </w:r>
    </w:p>
    <w:p w:rsidR="00CF7C35" w:rsidRDefault="00CF7C35" w:rsidP="00CF7C35">
      <w:pPr>
        <w:pStyle w:val="StandardWeb"/>
      </w:pPr>
      <w:r>
        <w:t>[</w:t>
      </w:r>
      <w:r>
        <w:br/>
        <w:t>\delta_F</w:t>
      </w:r>
      <w:r>
        <w:br/>
        <w:t>:</w:t>
      </w:r>
      <w:r>
        <w:br/>
        <w:t>\mathcal X_F</w:t>
      </w:r>
      <w:r>
        <w:br/>
        <w:t>\rightarrow</w:t>
      </w:r>
      <w:r>
        <w:br/>
        <w:t>\mathcal D_F^{\mathrm{dim}}</w:t>
      </w:r>
      <w:r>
        <w:br/>
        <w:t>\tag{3.13482}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\delta_F:\mathcal X_F\rightarrow\mathcal D_F^{\mathrm{dim}}</w:t>
      </w:r>
    </w:p>
    <w:p w:rsidR="00CF7C35" w:rsidRDefault="00CF7C35" w:rsidP="00CF7C35">
      <w:pPr>
        <w:pStyle w:val="StandardWeb"/>
      </w:pPr>
      <w:r>
        <w:t>eingeführt werden.</w:t>
      </w:r>
    </w:p>
    <w:p w:rsidR="00CF7C35" w:rsidRDefault="00CF7C35" w:rsidP="00CF7C35">
      <w:r>
        <w:pict>
          <v:rect id="_x0000_i5416" style="width:0;height:1.5pt" o:hralign="center" o:hrstd="t" o:hr="t" fillcolor="#a0a0a0" stroked="f"/>
        </w:pict>
      </w:r>
    </w:p>
    <w:p w:rsidR="00CF7C35" w:rsidRDefault="00CF7C35" w:rsidP="00CF7C35">
      <w:pPr>
        <w:pStyle w:val="berschrift1"/>
      </w:pPr>
      <w:r>
        <w:lastRenderedPageBreak/>
        <w:t>3.3.51.184 Definition 3.3.566 – Funktionale Dimensionszuordnung</w:t>
      </w:r>
    </w:p>
    <w:p w:rsidR="00CF7C35" w:rsidRDefault="00CF7C35" w:rsidP="00CF7C35">
      <w:pPr>
        <w:pStyle w:val="berschrift3"/>
      </w:pPr>
      <w:r>
        <w:t>Definition 3.3.566</w:t>
      </w:r>
    </w:p>
    <w:p w:rsidR="00CF7C35" w:rsidRDefault="00CF7C35" w:rsidP="00CF7C35">
      <w:pPr>
        <w:pStyle w:val="StandardWeb"/>
      </w:pPr>
      <w:r>
        <w:t xml:space="preserve">Eine </w:t>
      </w:r>
      <w:r>
        <w:rPr>
          <w:rStyle w:val="Fett"/>
        </w:rPr>
        <w:t>funktionale Dimensionszuordnung</w:t>
      </w:r>
      <w:r>
        <w:t xml:space="preserve"> ist eine modellabhängige Abbildung</w:t>
      </w:r>
    </w:p>
    <w:p w:rsidR="00CF7C35" w:rsidRDefault="00CF7C35" w:rsidP="00CF7C35">
      <w:pPr>
        <w:pStyle w:val="StandardWeb"/>
      </w:pPr>
      <w:r>
        <w:t>[</w:t>
      </w:r>
      <w:r>
        <w:br/>
        <w:t>\boxed{</w:t>
      </w:r>
      <w:r>
        <w:br/>
        <w:t>\delta_F</w:t>
      </w:r>
      <w:r>
        <w:br/>
        <w:t>:</w:t>
      </w:r>
      <w:r>
        <w:br/>
        <w:t>\mathcal X_F</w:t>
      </w:r>
      <w:r>
        <w:br/>
        <w:t>\rightarrow</w:t>
      </w:r>
      <w:r>
        <w:br/>
        <w:t>\mathcal D_F^{\mathrm{dim}},</w:t>
      </w:r>
      <w:r>
        <w:br/>
        <w:t>}</w:t>
      </w:r>
      <w:r>
        <w:br/>
        <w:t>\tag{3.13483}</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\boxed{\delta_F:\mathcal X_F\rightarrow\mathcal D_F^{\mathrm{dim}},}</w:t>
      </w:r>
    </w:p>
    <w:p w:rsidR="00CF7C35" w:rsidRDefault="00CF7C35" w:rsidP="00CF7C35">
      <w:pPr>
        <w:pStyle w:val="StandardWeb"/>
      </w:pPr>
      <w:r>
        <w:t>die einem funktionalen Objekt eine innerhalb der jeweiligen Modellklasse definierte Dimension oder Dimensionsklasse zuordnet.</w:t>
      </w:r>
    </w:p>
    <w:p w:rsidR="00CF7C35" w:rsidRDefault="00CF7C35" w:rsidP="00CF7C35">
      <w:pPr>
        <w:pStyle w:val="StandardWeb"/>
      </w:pPr>
      <w:r>
        <w:t>Dabei ist (\mathcal D_F^{\mathrm{dim}}) nicht mit der zuvor verwendeten Zerlegungsabbildung (\mathcal D_F) gleichzusetzen.</w:t>
      </w:r>
    </w:p>
    <w:p w:rsidR="00CF7C35" w:rsidRDefault="00CF7C35" w:rsidP="00CF7C35">
      <w:r>
        <w:pict>
          <v:rect id="_x0000_i5417" style="width:0;height:1.5pt" o:hralign="center" o:hrstd="t" o:hr="t" fillcolor="#a0a0a0" stroked="f"/>
        </w:pict>
      </w:r>
    </w:p>
    <w:p w:rsidR="00CF7C35" w:rsidRDefault="00CF7C35" w:rsidP="00CF7C35">
      <w:pPr>
        <w:pStyle w:val="berschrift1"/>
      </w:pPr>
      <w:r>
        <w:t>3.3.51.185 Dimensionsverträgliche Aggregation</w:t>
      </w:r>
    </w:p>
    <w:p w:rsidR="00CF7C35" w:rsidRDefault="00CF7C35" w:rsidP="00CF7C35">
      <w:pPr>
        <w:pStyle w:val="StandardWeb"/>
      </w:pPr>
      <w:r>
        <w:t>Besitzt der Dimensionsraum eine geeignete Verknüpfung</w:t>
      </w:r>
    </w:p>
    <w:p w:rsidR="00CF7C35" w:rsidRDefault="00CF7C35" w:rsidP="00CF7C35">
      <w:pPr>
        <w:pStyle w:val="StandardWeb"/>
      </w:pPr>
      <w:r>
        <w:t>[</w:t>
      </w:r>
      <w:r>
        <w:br/>
        <w:t>\star_{\mathrm{dim}}</w:t>
      </w:r>
      <w:r>
        <w:br/>
        <w:t>:</w:t>
      </w:r>
      <w:r>
        <w:br/>
        <w:t>\mathcal D_F^{\mathrm{dim}}</w:t>
      </w:r>
      <w:r>
        <w:br/>
        <w:t>\times</w:t>
      </w:r>
      <w:r>
        <w:br/>
        <w:t>\mathcal D_F^{\mathrm{dim}}</w:t>
      </w:r>
      <w:r>
        <w:br/>
        <w:t>\rightarrow</w:t>
      </w:r>
      <w:r>
        <w:br/>
        <w:t>\mathcal D_F^{\mathrm{dim}},</w:t>
      </w:r>
      <w:r>
        <w:br/>
        <w:t>\tag{3.13484}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\star_{\mathrm{dim}}:\mathcal D_F^{\mathrm{dim}}\times\mathcal D_F^{\mathrm{dim}}\rightarrow\mathcal D_F^{\mathrm{dim}}</w:t>
      </w:r>
    </w:p>
    <w:p w:rsidR="00CF7C35" w:rsidRDefault="00CF7C35" w:rsidP="00CF7C35">
      <w:pPr>
        <w:pStyle w:val="StandardWeb"/>
      </w:pPr>
      <w:r>
        <w:lastRenderedPageBreak/>
        <w:t>kann die Dimension eines Aggregationsergebnisses mit den Dimensionen seiner Eingangselemente verglichen werden.</w:t>
      </w:r>
    </w:p>
    <w:p w:rsidR="00CF7C35" w:rsidRDefault="00CF7C35" w:rsidP="00CF7C35">
      <w:r>
        <w:pict>
          <v:rect id="_x0000_i5418" style="width:0;height:1.5pt" o:hralign="center" o:hrstd="t" o:hr="t" fillcolor="#a0a0a0" stroked="f"/>
        </w:pict>
      </w:r>
    </w:p>
    <w:p w:rsidR="00CF7C35" w:rsidRDefault="00CF7C35" w:rsidP="00CF7C35">
      <w:pPr>
        <w:pStyle w:val="berschrift1"/>
      </w:pPr>
      <w:r>
        <w:t>3.3.51.186 Definition 3.3.567 – Dimensionsverträgliche funktionale Aggregation</w:t>
      </w:r>
    </w:p>
    <w:p w:rsidR="00CF7C35" w:rsidRDefault="00CF7C35" w:rsidP="00CF7C35">
      <w:pPr>
        <w:pStyle w:val="berschrift3"/>
      </w:pPr>
      <w:r>
        <w:t>Definition 3.3.567</w:t>
      </w:r>
    </w:p>
    <w:p w:rsidR="00CF7C35" w:rsidRDefault="00CF7C35" w:rsidP="00CF7C35">
      <w:pPr>
        <w:pStyle w:val="StandardWeb"/>
      </w:pPr>
      <w:r>
        <w:t xml:space="preserve">Eine Aggregation heißt </w:t>
      </w:r>
      <w:r>
        <w:rPr>
          <w:rStyle w:val="Fett"/>
        </w:rPr>
        <w:t>dimensionsverträglich</w:t>
      </w:r>
      <w:r>
        <w:t xml:space="preserve"> bezüglich (\delta_F) und (\star_{\mathrm{dim}}), wenn</w:t>
      </w:r>
    </w:p>
    <w:p w:rsidR="00CF7C35" w:rsidRDefault="00CF7C35" w:rsidP="00CF7C35">
      <w:pPr>
        <w:pStyle w:val="berschrift1"/>
      </w:pPr>
      <w:r>
        <w:t>[</w:t>
      </w:r>
      <w:r>
        <w:br/>
        <w:t>\boxed{</w:t>
      </w:r>
      <w:r>
        <w:br/>
        <w:t>\delta_F(X\oplus_F Y)</w:t>
      </w:r>
    </w:p>
    <w:p w:rsidR="00CF7C35" w:rsidRDefault="00CF7C35" w:rsidP="00CF7C35">
      <w:pPr>
        <w:pStyle w:val="StandardWeb"/>
      </w:pPr>
      <w:r>
        <w:t>\delta_F(X)</w:t>
      </w:r>
      <w:r>
        <w:br/>
        <w:t>\star_{\mathrm{dim}}</w:t>
      </w:r>
      <w:r>
        <w:br/>
        <w:t>\delta_F(Y).</w:t>
      </w:r>
      <w:r>
        <w:br/>
        <w:t>}</w:t>
      </w:r>
      <w:r>
        <w:br/>
        <w:t>\tag{3.13485}</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\boxed{\delta_F(X\oplus_F Y)=\delta_F(X)\star_{\mathrm{dim}}\delta_F(Y).}</w:t>
      </w:r>
    </w:p>
    <w:p w:rsidR="00CF7C35" w:rsidRDefault="00CF7C35" w:rsidP="00CF7C35">
      <w:r>
        <w:pict>
          <v:rect id="_x0000_i5419" style="width:0;height:1.5pt" o:hralign="center" o:hrstd="t" o:hr="t" fillcolor="#a0a0a0" stroked="f"/>
        </w:pict>
      </w:r>
    </w:p>
    <w:p w:rsidR="00CF7C35" w:rsidRDefault="00CF7C35" w:rsidP="00CF7C35">
      <w:pPr>
        <w:pStyle w:val="berschrift1"/>
      </w:pPr>
      <w:r>
        <w:t>3.3.51.187 Dimensionsverträglichkeit als Primäraxiomkandidat</w:t>
      </w:r>
    </w:p>
    <w:p w:rsidR="00CF7C35" w:rsidRDefault="00CF7C35" w:rsidP="00CF7C35">
      <w:pPr>
        <w:pStyle w:val="StandardWeb"/>
      </w:pPr>
      <w:r>
        <w:t>Ich prüfe</w:t>
      </w:r>
    </w:p>
    <w:p w:rsidR="00CF7C35" w:rsidRDefault="00CF7C35" w:rsidP="00CF7C35">
      <w:pPr>
        <w:pStyle w:val="berschrift1"/>
      </w:pPr>
      <w:r>
        <w:t>[</w:t>
      </w:r>
      <w:r>
        <w:br/>
        <w:t>A_{\mathrm{dim-comp}}</w:t>
      </w:r>
      <w:r>
        <w:br/>
        <w:t>:</w:t>
      </w:r>
      <w:r>
        <w:br/>
        <w:t>\delta_F(X\oplus_F Y)</w:t>
      </w:r>
    </w:p>
    <w:p w:rsidR="00CF7C35" w:rsidRDefault="00CF7C35" w:rsidP="00CF7C35">
      <w:pPr>
        <w:pStyle w:val="StandardWeb"/>
      </w:pPr>
      <w:r>
        <w:t>\delta_F(X)</w:t>
      </w:r>
      <w:r>
        <w:br/>
        <w:t>\star_{\mathrm{dim}}</w:t>
      </w:r>
      <w:r>
        <w:br/>
        <w:t>\delta_F(Y)</w:t>
      </w:r>
      <w:r>
        <w:br/>
        <w:t>\tag{3.13486}</w:t>
      </w:r>
      <w:r>
        <w:br/>
        <w:t>]</w:t>
      </w:r>
    </w:p>
    <w:p w:rsidR="00CF7C35" w:rsidRDefault="00CF7C35" w:rsidP="00CF7C35">
      <w:pPr>
        <w:pStyle w:val="StandardWeb"/>
      </w:pPr>
      <w:r>
        <w:rPr>
          <w:rStyle w:val="Fett"/>
        </w:rPr>
        <w:lastRenderedPageBreak/>
        <w:t>Word-LaTeX</w:t>
      </w:r>
    </w:p>
    <w:p w:rsidR="00CF7C35" w:rsidRDefault="00CF7C35" w:rsidP="00CF7C35">
      <w:pPr>
        <w:pStyle w:val="HTMLVorformatiert"/>
        <w:rPr>
          <w:rStyle w:val="HTMLCode"/>
        </w:rPr>
      </w:pPr>
      <w:r>
        <w:rPr>
          <w:rStyle w:val="HTMLCode"/>
        </w:rPr>
        <w:t>A_{\mathrm{dim-comp}}:\delta_F(X\oplus_F Y)=\delta_F(X)\star_{\mathrm{dim}}\delta_F(Y)</w:t>
      </w:r>
    </w:p>
    <w:p w:rsidR="00CF7C35" w:rsidRDefault="00CF7C35" w:rsidP="00CF7C35">
      <w:pPr>
        <w:pStyle w:val="StandardWeb"/>
      </w:pPr>
      <w:r>
        <w:t>für jede zulässige Aggregation.</w:t>
      </w:r>
    </w:p>
    <w:p w:rsidR="00CF7C35" w:rsidRDefault="00CF7C35" w:rsidP="00CF7C35">
      <w:r>
        <w:pict>
          <v:rect id="_x0000_i5420" style="width:0;height:1.5pt" o:hralign="center" o:hrstd="t" o:hr="t" fillcolor="#a0a0a0" stroked="f"/>
        </w:pict>
      </w:r>
    </w:p>
    <w:p w:rsidR="00CF7C35" w:rsidRDefault="00CF7C35" w:rsidP="00CF7C35">
      <w:pPr>
        <w:pStyle w:val="berschrift1"/>
      </w:pPr>
      <w:r>
        <w:t>3.3.51.188 Gegenmodell zur universellen Dimensionsverträglichkeit</w:t>
      </w:r>
    </w:p>
    <w:p w:rsidR="00CF7C35" w:rsidRDefault="00CF7C35" w:rsidP="00CF7C35">
      <w:pPr>
        <w:pStyle w:val="StandardWeb"/>
      </w:pPr>
      <w:r>
        <w:t>Eine Modellklasse kann funktionale Objekte ohne jede Dimensionszuordnung verwenden. Dann ist</w:t>
      </w:r>
    </w:p>
    <w:p w:rsidR="00CF7C35" w:rsidRDefault="00CF7C35" w:rsidP="00CF7C35">
      <w:pPr>
        <w:pStyle w:val="StandardWeb"/>
      </w:pPr>
      <w:r>
        <w:t>[</w:t>
      </w:r>
      <w:r>
        <w:br/>
        <w:t>\delta_F</w:t>
      </w:r>
      <w:r>
        <w:br/>
        <w:t>\quad</w:t>
      </w:r>
      <w:r>
        <w:br/>
        <w:t>\text{nicht Bestandteil der Modellstruktur}.</w:t>
      </w:r>
      <w:r>
        <w:br/>
        <w:t>\tag{3.13487}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\delta_F\quad\text{nicht Bestandteil der Modellstruktur}</w:t>
      </w:r>
    </w:p>
    <w:p w:rsidR="00CF7C35" w:rsidRDefault="00CF7C35" w:rsidP="00CF7C35">
      <w:pPr>
        <w:pStyle w:val="StandardWeb"/>
      </w:pPr>
      <w:r>
        <w:t>Die Aggregation</w:t>
      </w:r>
    </w:p>
    <w:p w:rsidR="00CF7C35" w:rsidRDefault="00CF7C35" w:rsidP="00CF7C35">
      <w:pPr>
        <w:pStyle w:val="StandardWeb"/>
      </w:pPr>
      <w:r>
        <w:t>[</w:t>
      </w:r>
      <w:r>
        <w:br/>
        <w:t>X\oplus_F Y</w:t>
      </w:r>
      <w:r>
        <w:br/>
        <w:t>\tag{3.13488}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X\oplus_F Y</w:t>
      </w:r>
    </w:p>
    <w:p w:rsidR="00CF7C35" w:rsidRDefault="00CF7C35" w:rsidP="00CF7C35">
      <w:pPr>
        <w:pStyle w:val="StandardWeb"/>
      </w:pPr>
      <w:r>
        <w:t>kann dennoch wohldefiniert sein.</w:t>
      </w:r>
    </w:p>
    <w:p w:rsidR="00CF7C35" w:rsidRDefault="00CF7C35" w:rsidP="00CF7C35">
      <w:pPr>
        <w:pStyle w:val="StandardWeb"/>
      </w:pPr>
      <w:r>
        <w:t>Damit kann eine Dimensionsverträglichkeitsforderung nicht zur minimalen Struktur jeder FRZK-Modellklasse gehören.</w:t>
      </w:r>
    </w:p>
    <w:p w:rsidR="00CF7C35" w:rsidRDefault="00CF7C35" w:rsidP="00CF7C35">
      <w:r>
        <w:pict>
          <v:rect id="_x0000_i5421" style="width:0;height:1.5pt" o:hralign="center" o:hrstd="t" o:hr="t" fillcolor="#a0a0a0" stroked="f"/>
        </w:pict>
      </w:r>
    </w:p>
    <w:p w:rsidR="00CF7C35" w:rsidRDefault="00CF7C35" w:rsidP="00CF7C35">
      <w:pPr>
        <w:pStyle w:val="berschrift1"/>
      </w:pPr>
      <w:r>
        <w:t>3.3.51.189 Axiomentscheidung zur Dimensionsverträglichkeit</w:t>
      </w:r>
    </w:p>
    <w:p w:rsidR="00CF7C35" w:rsidRDefault="00CF7C35" w:rsidP="00CF7C35">
      <w:pPr>
        <w:pStyle w:val="StandardWeb"/>
      </w:pPr>
      <w:r>
        <w:t>Es folgt</w:t>
      </w:r>
    </w:p>
    <w:p w:rsidR="00CF7C35" w:rsidRDefault="00CF7C35" w:rsidP="00CF7C35">
      <w:pPr>
        <w:pStyle w:val="berschrift1"/>
      </w:pPr>
      <w:r>
        <w:lastRenderedPageBreak/>
        <w:t>[</w:t>
      </w:r>
      <w:r>
        <w:br/>
        <w:t>\boxed{</w:t>
      </w:r>
      <w:r>
        <w:br/>
        <w:t>U_{\mathrm{Ax}}</w:t>
      </w:r>
      <w:r>
        <w:br/>
        <w:t>(A_{\mathrm{dim-comp}})</w:t>
      </w:r>
    </w:p>
    <w:p w:rsidR="00CF7C35" w:rsidRDefault="00CF7C35" w:rsidP="009F7790">
      <w:pPr>
        <w:numPr>
          <w:ilvl w:val="0"/>
          <w:numId w:val="673"/>
        </w:numPr>
        <w:spacing w:before="100" w:beforeAutospacing="1" w:after="100" w:afterAutospacing="1"/>
      </w:pPr>
    </w:p>
    <w:p w:rsidR="00CF7C35" w:rsidRDefault="00CF7C35" w:rsidP="00CF7C35">
      <w:pPr>
        <w:pStyle w:val="StandardWeb"/>
      </w:pPr>
      <w:r>
        <w:t>}</w:t>
      </w:r>
      <w:r>
        <w:br/>
        <w:t>\tag{3.13489}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\boxed{U_{\mathrm{Ax}}(A_{\mathrm{dim-comp}})=0.}</w:t>
      </w:r>
    </w:p>
    <w:p w:rsidR="00CF7C35" w:rsidRDefault="00CF7C35" w:rsidP="00CF7C35">
      <w:r>
        <w:pict>
          <v:rect id="_x0000_i5422" style="width:0;height:1.5pt" o:hralign="center" o:hrstd="t" o:hr="t" fillcolor="#a0a0a0" stroked="f"/>
        </w:pict>
      </w:r>
    </w:p>
    <w:p w:rsidR="00CF7C35" w:rsidRDefault="00CF7C35" w:rsidP="00CF7C35">
      <w:pPr>
        <w:pStyle w:val="berschrift1"/>
      </w:pPr>
      <w:r>
        <w:t>3.3.51.190 Satz 3.3.221 – Dimensionsverträglichkeit der Aggregation ist kein Primäraxiom</w:t>
      </w:r>
    </w:p>
    <w:p w:rsidR="00CF7C35" w:rsidRDefault="00CF7C35" w:rsidP="00CF7C35">
      <w:pPr>
        <w:pStyle w:val="berschrift3"/>
      </w:pPr>
      <w:r>
        <w:t>Satz 3.3.221</w:t>
      </w:r>
    </w:p>
    <w:p w:rsidR="00CF7C35" w:rsidRDefault="00CF7C35" w:rsidP="00CF7C35">
      <w:pPr>
        <w:pStyle w:val="StandardWeb"/>
      </w:pPr>
      <w:r>
        <w:t>Die Forderung, funktionale Objekte müssten eine Dimensionszuordnung besitzen und jede Aggregation müsse mit dieser Dimensionsstruktur verträglich sein, ist keine universell notwendige Voraussetzung des allgemeinen FRZK.</w:t>
      </w:r>
    </w:p>
    <w:p w:rsidR="00CF7C35" w:rsidRDefault="00CF7C35" w:rsidP="00CF7C35">
      <w:pPr>
        <w:pStyle w:val="berschrift1"/>
      </w:pPr>
      <w:r>
        <w:t>[</w:t>
      </w:r>
      <w:r>
        <w:br/>
        <w:t>\boxed{</w:t>
      </w:r>
      <w:r>
        <w:br/>
        <w:t>U_{\mathrm{Ax}}</w:t>
      </w:r>
      <w:r>
        <w:br/>
        <w:t>(A_{\mathrm{dim-comp}})</w:t>
      </w:r>
    </w:p>
    <w:p w:rsidR="00CF7C35" w:rsidRDefault="00CF7C35" w:rsidP="009F7790">
      <w:pPr>
        <w:numPr>
          <w:ilvl w:val="0"/>
          <w:numId w:val="674"/>
        </w:numPr>
        <w:spacing w:before="100" w:beforeAutospacing="1" w:after="100" w:afterAutospacing="1"/>
      </w:pPr>
    </w:p>
    <w:p w:rsidR="00CF7C35" w:rsidRDefault="00CF7C35" w:rsidP="00CF7C35">
      <w:pPr>
        <w:pStyle w:val="StandardWeb"/>
      </w:pPr>
      <w:r>
        <w:t>}</w:t>
      </w:r>
      <w:r>
        <w:br/>
        <w:t>\tag{3.13490}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\boxed{U_{\mathrm{Ax}}(A_{\mathrm{dim-comp}})=0.}</w:t>
      </w:r>
    </w:p>
    <w:p w:rsidR="00CF7C35" w:rsidRDefault="00CF7C35" w:rsidP="00CF7C35">
      <w:pPr>
        <w:pStyle w:val="berschrift3"/>
      </w:pPr>
      <w:r>
        <w:t>Beweis</w:t>
      </w:r>
    </w:p>
    <w:p w:rsidR="00CF7C35" w:rsidRDefault="00CF7C35" w:rsidP="00CF7C35">
      <w:pPr>
        <w:pStyle w:val="StandardWeb"/>
      </w:pPr>
      <w:r>
        <w:t xml:space="preserve">Eine zulässige abstrakte FRZK-Modellklasse kann ohne Dimensionsabbildung (\delta_F) formuliert werden. Die funktionalen Objekte und ihre Aggregationen bleiben dabei definiert. </w:t>
      </w:r>
      <w:r>
        <w:lastRenderedPageBreak/>
        <w:t>Eine Dimensionsverträglichkeitsbedingung kann folglich nicht universell vorausgesetzt werden. (\square)</w:t>
      </w:r>
    </w:p>
    <w:p w:rsidR="00CF7C35" w:rsidRDefault="00CF7C35" w:rsidP="00CF7C35">
      <w:r>
        <w:pict>
          <v:rect id="_x0000_i5423" style="width:0;height:1.5pt" o:hralign="center" o:hrstd="t" o:hr="t" fillcolor="#a0a0a0" stroked="f"/>
        </w:pict>
      </w:r>
    </w:p>
    <w:p w:rsidR="00CF7C35" w:rsidRDefault="00CF7C35" w:rsidP="00CF7C35">
      <w:pPr>
        <w:pStyle w:val="berschrift1"/>
      </w:pPr>
      <w:r>
        <w:t>3.3.51.191 Korollar 3.3.53 – Dimensionsstruktur ist eine optionale Modellerweiterung</w:t>
      </w:r>
    </w:p>
    <w:p w:rsidR="00CF7C35" w:rsidRDefault="00CF7C35" w:rsidP="00CF7C35">
      <w:pPr>
        <w:pStyle w:val="berschrift3"/>
      </w:pPr>
      <w:r>
        <w:t>Korollar 3.3.53</w:t>
      </w:r>
    </w:p>
    <w:p w:rsidR="00CF7C35" w:rsidRDefault="00CF7C35" w:rsidP="00CF7C35">
      <w:pPr>
        <w:pStyle w:val="StandardWeb"/>
      </w:pPr>
      <w:r>
        <w:t>Aus Satz 3.3.221 folgt</w:t>
      </w:r>
    </w:p>
    <w:p w:rsidR="00CF7C35" w:rsidRDefault="00CF7C35" w:rsidP="00CF7C35">
      <w:pPr>
        <w:pStyle w:val="berschrift1"/>
      </w:pPr>
      <w:r>
        <w:t>[</w:t>
      </w:r>
      <w:r>
        <w:br/>
        <w:t>\boxed{</w:t>
      </w:r>
      <w:r>
        <w:br/>
        <w:t>\operatorname{Stat}</w:t>
      </w:r>
      <w:r>
        <w:br/>
        <w:t>(\delta_F)</w:t>
      </w:r>
    </w:p>
    <w:p w:rsidR="00CF7C35" w:rsidRDefault="00CF7C35" w:rsidP="00CF7C35">
      <w:pPr>
        <w:pStyle w:val="StandardWeb"/>
      </w:pPr>
      <w:r>
        <w:t>\mathrm{Def/Mod}.</w:t>
      </w:r>
      <w:r>
        <w:br/>
        <w:t>}</w:t>
      </w:r>
      <w:r>
        <w:br/>
        <w:t>\tag{3.13491}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\boxed{\operatorname{Stat}(\delta_F)=\mathrm{Def/Mod}.}</w:t>
      </w:r>
    </w:p>
    <w:p w:rsidR="00CF7C35" w:rsidRDefault="00CF7C35" w:rsidP="00CF7C35">
      <w:pPr>
        <w:pStyle w:val="StandardWeb"/>
      </w:pPr>
      <w:r>
        <w:t>Damit kann eine Dimensionsstruktur dort eingeführt werden, wo sie für eine konkrete physikalische oder mathematische Modellklasse benötigt wird, ohne sie der minimalen FRZK-Primäraxiomatik aufzuerlegen.</w:t>
      </w:r>
    </w:p>
    <w:p w:rsidR="00CF7C35" w:rsidRDefault="00CF7C35" w:rsidP="00CF7C35">
      <w:r>
        <w:pict>
          <v:rect id="_x0000_i5424" style="width:0;height:1.5pt" o:hralign="center" o:hrstd="t" o:hr="t" fillcolor="#a0a0a0" stroked="f"/>
        </w:pict>
      </w:r>
    </w:p>
    <w:p w:rsidR="00CF7C35" w:rsidRDefault="00CF7C35" w:rsidP="00CF7C35">
      <w:pPr>
        <w:pStyle w:val="berschrift1"/>
      </w:pPr>
      <w:r>
        <w:t>3.3.51.192 Zwischenbilanz</w:t>
      </w:r>
    </w:p>
    <w:p w:rsidR="00CF7C35" w:rsidRDefault="00CF7C35" w:rsidP="00CF7C35">
      <w:pPr>
        <w:pStyle w:val="StandardWeb"/>
      </w:pPr>
      <w:r>
        <w:t>Die bisherige Aggregationsarchitektur erweitert sich damit um Kohärenz- und Dimensionsstrukturen:</w:t>
      </w:r>
    </w:p>
    <w:p w:rsidR="00CF7C35" w:rsidRDefault="00CF7C35" w:rsidP="00CF7C35">
      <w:pPr>
        <w:pStyle w:val="berschrift1"/>
      </w:pPr>
      <w:r>
        <w:t>[</w:t>
      </w:r>
      <w:r>
        <w:br/>
        <w:t>\mathfrak E_{\mathrm{agg}}^{(3)}</w:t>
      </w:r>
    </w:p>
    <w:p w:rsidR="00CF7C35" w:rsidRDefault="00CF7C35" w:rsidP="00CF7C35">
      <w:pPr>
        <w:pStyle w:val="StandardWeb"/>
      </w:pPr>
      <w:r>
        <w:t>\left(</w:t>
      </w:r>
      <w:r>
        <w:br/>
        <w:t>\mathfrak E_{\mathrm{agg}}^{(2)},</w:t>
      </w:r>
      <w:r>
        <w:br/>
        <w:t>\kappa_F,</w:t>
      </w:r>
      <w:r>
        <w:br/>
        <w:t>\Gamma_\kappa,</w:t>
      </w:r>
      <w:r>
        <w:br/>
        <w:t>\preceq_\kappa,</w:t>
      </w:r>
      <w:r>
        <w:br/>
        <w:t>\delta_F,</w:t>
      </w:r>
      <w:r>
        <w:br/>
      </w:r>
      <w:r>
        <w:lastRenderedPageBreak/>
        <w:t>\star_{\mathrm{dim}}</w:t>
      </w:r>
      <w:r>
        <w:br/>
        <w:t>\right).</w:t>
      </w:r>
      <w:r>
        <w:br/>
        <w:t>\tag{3.13492}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\mathfrak E_{\mathrm{agg}}^{(3)}=\left(\mathfrak E_{\mathrm{agg}}^{(2)},\kappa_F,\Gamma_\kappa,\preceq_\kappa,\delta_F,\star_{\mathrm{dim}}\right)</w:t>
      </w:r>
    </w:p>
    <w:p w:rsidR="00CF7C35" w:rsidRDefault="00CF7C35" w:rsidP="00CF7C35">
      <w:pPr>
        <w:pStyle w:val="StandardWeb"/>
      </w:pPr>
      <w:r>
        <w:t>Die Kandidatenmenge erweitert sich zu</w:t>
      </w:r>
    </w:p>
    <w:p w:rsidR="00CF7C35" w:rsidRDefault="00CF7C35" w:rsidP="00CF7C35">
      <w:pPr>
        <w:pStyle w:val="berschrift1"/>
      </w:pPr>
      <w:r>
        <w:t>[</w:t>
      </w:r>
      <w:r>
        <w:br/>
        <w:t>\mathcal A_{\mathrm{agg}}^{\mathrm{cand},3}</w:t>
      </w:r>
    </w:p>
    <w:p w:rsidR="00CF7C35" w:rsidRDefault="00CF7C35" w:rsidP="00CF7C35">
      <w:pPr>
        <w:pStyle w:val="StandardWeb"/>
      </w:pPr>
      <w:r>
        <w:t>\mathcal A_{\mathrm{agg}}^{\mathrm{cand},2}</w:t>
      </w:r>
      <w:r>
        <w:br/>
        <w:t>\cup</w:t>
      </w:r>
      <w:r>
        <w:br/>
        <w:t>{</w:t>
      </w:r>
      <w:r>
        <w:br/>
        <w:t>A_{\mathrm{coh-pres}},</w:t>
      </w:r>
      <w:r>
        <w:br/>
        <w:t>A_{\kappa,[0,1]},</w:t>
      </w:r>
      <w:r>
        <w:br/>
        <w:t>A_{\mathrm{dim-comp}}</w:t>
      </w:r>
      <w:r>
        <w:br/>
        <w:t>}.</w:t>
      </w:r>
      <w:r>
        <w:br/>
        <w:t>\tag{3.13493}</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A_{\mathrm{agg}}^{\mathrm{cand},3}=\mathcal A_{\mathrm{agg}}^{\mathrm{cand},2}\cup\{A_{\mathrm{coh-pres}},A_{\kappa,[0,1]},A_{\mathrm{dim-comp}}\}</w:t>
      </w:r>
    </w:p>
    <w:p w:rsidR="00CF7C35" w:rsidRDefault="00CF7C35" w:rsidP="00CF7C35">
      <w:pPr>
        <w:pStyle w:val="StandardWeb"/>
      </w:pPr>
      <w:r>
        <w:t>Für sämtliche bislang in 3.3.51 untersuchten Primäraxiomkandidaten gilt weiterhin</w:t>
      </w:r>
    </w:p>
    <w:p w:rsidR="00CF7C35" w:rsidRDefault="00CF7C35" w:rsidP="00CF7C35">
      <w:pPr>
        <w:pStyle w:val="berschrift1"/>
      </w:pPr>
      <w:r>
        <w:t>[</w:t>
      </w:r>
      <w:r>
        <w:br/>
        <w:t>\boxed{</w:t>
      </w:r>
      <w:r>
        <w:br/>
        <w:t>U_{\mathrm{Ax}}(A)</w:t>
      </w:r>
    </w:p>
    <w:p w:rsidR="00CF7C35" w:rsidRDefault="00CF7C35" w:rsidP="00CF7C35">
      <w:pPr>
        <w:pStyle w:val="StandardWeb"/>
      </w:pPr>
      <w:r>
        <w:t>0</w:t>
      </w:r>
      <w:r>
        <w:br/>
        <w:t>\qquad</w:t>
      </w:r>
      <w:r>
        <w:br/>
        <w:t>\forall</w:t>
      </w:r>
      <w:r>
        <w:br/>
        <w:t>A</w:t>
      </w:r>
      <w:r>
        <w:br/>
        <w:t>\in</w:t>
      </w:r>
      <w:r>
        <w:br/>
        <w:t>\mathcal A_{\mathrm{agg}}^{\mathrm{cand},3}.</w:t>
      </w:r>
      <w:r>
        <w:br/>
        <w:t>}</w:t>
      </w:r>
      <w:r>
        <w:br/>
        <w:t>\tag{3.13494}</w:t>
      </w:r>
      <w:r>
        <w:br/>
        <w:t>]</w:t>
      </w:r>
    </w:p>
    <w:p w:rsidR="00CF7C35" w:rsidRDefault="00CF7C35" w:rsidP="00CF7C35">
      <w:pPr>
        <w:pStyle w:val="StandardWeb"/>
      </w:pPr>
      <w:r>
        <w:rPr>
          <w:rStyle w:val="Fett"/>
        </w:rPr>
        <w:lastRenderedPageBreak/>
        <w:t>Word-LaTeX</w:t>
      </w:r>
    </w:p>
    <w:p w:rsidR="00CF7C35" w:rsidRDefault="00CF7C35" w:rsidP="00CF7C35">
      <w:pPr>
        <w:pStyle w:val="HTMLVorformatiert"/>
        <w:rPr>
          <w:rStyle w:val="HTMLCode"/>
        </w:rPr>
      </w:pPr>
      <w:r>
        <w:rPr>
          <w:rStyle w:val="HTMLCode"/>
        </w:rPr>
        <w:t>\boxed{U_{\mathrm{Ax}}(A)=0\qquad\forall A\in\mathcal A_{\mathrm{agg}}^{\mathrm{cand},3}.}</w:t>
      </w:r>
    </w:p>
    <w:p w:rsidR="00CF7C35" w:rsidRDefault="00CF7C35" w:rsidP="00CF7C35">
      <w:pPr>
        <w:pStyle w:val="StandardWeb"/>
      </w:pPr>
      <w:r>
        <w:t xml:space="preserve">Damit bleibt eine entscheidende Frage weiterhin offen: </w:t>
      </w:r>
      <w:r>
        <w:rPr>
          <w:rStyle w:val="Fett"/>
        </w:rPr>
        <w:t>Benötigt das minimale FRZK überhaupt eine Aggregations-, Fusions- oder Zerlegungsoperation, oder sind sämtliche bisher eingeführten Strukturen lediglich optionale Erweiterungen konkreter Modellklassen?</w:t>
      </w:r>
    </w:p>
    <w:p w:rsidR="00CF7C35" w:rsidRDefault="00CF7C35" w:rsidP="00CF7C35">
      <w:pPr>
        <w:pStyle w:val="StandardWeb"/>
      </w:pPr>
      <w:r>
        <w:t xml:space="preserve">Diese stärkere Minimalitätsprüfung führe ich erst nach der Untersuchung der </w:t>
      </w:r>
      <w:r>
        <w:rPr>
          <w:rStyle w:val="Fett"/>
        </w:rPr>
        <w:t>Aggregation über Übergänge und zeitliche Strukturen</w:t>
      </w:r>
      <w:r>
        <w:t xml:space="preserve"> durch.</w:t>
      </w:r>
    </w:p>
    <w:p w:rsidR="00CF7C35" w:rsidRDefault="00CF7C35" w:rsidP="00CF7C35">
      <w:pPr>
        <w:pStyle w:val="StandardWeb"/>
      </w:pPr>
      <w:r>
        <w:rPr>
          <w:rStyle w:val="Fett"/>
        </w:rPr>
        <w:t>Nächster Startpunkt:</w:t>
      </w:r>
      <w:r>
        <w:t xml:space="preserve"> </w:t>
      </w:r>
      <w:r>
        <w:rPr>
          <w:rStyle w:val="Fett"/>
        </w:rPr>
        <w:t>3.3.51.193 / Gleichung (3.13495)</w:t>
      </w:r>
      <w:r>
        <w:t xml:space="preserve">, nächste Definition </w:t>
      </w:r>
      <w:r>
        <w:rPr>
          <w:rStyle w:val="Fett"/>
        </w:rPr>
        <w:t>3.3.568</w:t>
      </w:r>
      <w:r>
        <w:t xml:space="preserve">, nächster Satz </w:t>
      </w:r>
      <w:r>
        <w:rPr>
          <w:rStyle w:val="Fett"/>
        </w:rPr>
        <w:t>3.3.222</w:t>
      </w:r>
      <w:r>
        <w:t xml:space="preserve">, nächstes Korollar </w:t>
      </w:r>
      <w:r>
        <w:rPr>
          <w:rStyle w:val="Fett"/>
        </w:rPr>
        <w:t>3.3.54</w:t>
      </w:r>
      <w:r>
        <w:t>.</w:t>
      </w:r>
    </w:p>
    <w:p w:rsidR="00CF7C35" w:rsidRDefault="00CF7C35" w:rsidP="00CF7C35">
      <w:pPr>
        <w:pStyle w:val="berschrift1"/>
        <w:rPr>
          <w:rFonts w:cs="Times New Roman"/>
          <w:sz w:val="48"/>
          <w:szCs w:val="48"/>
        </w:rPr>
      </w:pPr>
      <w:r>
        <w:t>3.3.51.193 Aggregation über funktionale Übergänge</w:t>
      </w:r>
    </w:p>
    <w:p w:rsidR="00CF7C35" w:rsidRDefault="00CF7C35" w:rsidP="00CF7C35">
      <w:pPr>
        <w:pStyle w:val="StandardWeb"/>
      </w:pPr>
      <w:r>
        <w:t>Nach der Untersuchung von Kohärenz- und Dimensionsverträglichkeit richte ich den Blick nun auf eine weitere strukturelle Frage: Wie verhält sich Aggregation gegenüber funktionalen Übergängen? Dabei ist insbesondere zu klären, ob ich zunächst einzelne Objekte transformieren und anschließend aggregieren kann oder ob zunächst aggregiert und anschließend transformiert werden muss.</w:t>
      </w:r>
    </w:p>
    <w:p w:rsidR="00CF7C35" w:rsidRDefault="00CF7C35" w:rsidP="00CF7C35">
      <w:pPr>
        <w:pStyle w:val="StandardWeb"/>
      </w:pPr>
      <w:r>
        <w:t>Sei eine funktionale Übergangsabbildung gegeben durch</w:t>
      </w:r>
    </w:p>
    <w:p w:rsidR="00CF7C35" w:rsidRDefault="00CF7C35" w:rsidP="00CF7C35">
      <w:pPr>
        <w:pStyle w:val="StandardWeb"/>
      </w:pPr>
      <w:r>
        <w:t>[</w:t>
      </w:r>
      <w:r>
        <w:br/>
        <w:t>T_F</w:t>
      </w:r>
      <w:r>
        <w:br/>
        <w:t>:</w:t>
      </w:r>
      <w:r>
        <w:br/>
        <w:t>\mathcal X_F</w:t>
      </w:r>
      <w:r>
        <w:br/>
        <w:t>\rightarrow</w:t>
      </w:r>
      <w:r>
        <w:br/>
        <w:t>\mathcal X_F.</w:t>
      </w:r>
      <w:r>
        <w:br/>
        <w:t>\tag{3.13495}</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T_F:\mathcal X_F\rightarrow\mathcal X_F</w:t>
      </w:r>
    </w:p>
    <w:p w:rsidR="00CF7C35" w:rsidRDefault="00CF7C35" w:rsidP="00CF7C35">
      <w:pPr>
        <w:pStyle w:val="StandardWeb"/>
      </w:pPr>
      <w:r>
        <w:t>Für zwei Objekte (X,Y\in\mathcal X_F) kann ich zunächst getrennt transformieren:</w:t>
      </w:r>
    </w:p>
    <w:p w:rsidR="00CF7C35" w:rsidRDefault="00CF7C35" w:rsidP="00CF7C35">
      <w:pPr>
        <w:pStyle w:val="berschrift1"/>
      </w:pPr>
      <w:r>
        <w:t>[</w:t>
      </w:r>
      <w:r>
        <w:br/>
        <w:t>X'</w:t>
      </w:r>
    </w:p>
    <w:p w:rsidR="00CF7C35" w:rsidRDefault="00CF7C35" w:rsidP="00CF7C35">
      <w:pPr>
        <w:pStyle w:val="berschrift1"/>
      </w:pPr>
      <w:r>
        <w:t>T_F(X),</w:t>
      </w:r>
      <w:r>
        <w:br/>
        <w:t>\qquad</w:t>
      </w:r>
      <w:r>
        <w:br/>
        <w:t>Y'</w:t>
      </w:r>
    </w:p>
    <w:p w:rsidR="00CF7C35" w:rsidRDefault="00CF7C35" w:rsidP="00CF7C35">
      <w:pPr>
        <w:pStyle w:val="StandardWeb"/>
      </w:pPr>
      <w:r>
        <w:lastRenderedPageBreak/>
        <w:t>T_F(Y).</w:t>
      </w:r>
      <w:r>
        <w:br/>
        <w:t>\tag{3.13496}</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X'=T_F(X),\qquad Y'=T_F(Y)</w:t>
      </w:r>
    </w:p>
    <w:p w:rsidR="00CF7C35" w:rsidRDefault="00CF7C35" w:rsidP="00CF7C35">
      <w:pPr>
        <w:pStyle w:val="StandardWeb"/>
      </w:pPr>
      <w:r>
        <w:t>Anschließend kann ich aggregieren:</w:t>
      </w:r>
    </w:p>
    <w:p w:rsidR="00CF7C35" w:rsidRDefault="00CF7C35" w:rsidP="00CF7C35">
      <w:pPr>
        <w:pStyle w:val="StandardWeb"/>
      </w:pPr>
      <w:r>
        <w:t>[</w:t>
      </w:r>
      <w:r>
        <w:br/>
        <w:t>T_F(X)\oplus_F T_F(Y).</w:t>
      </w:r>
      <w:r>
        <w:br/>
        <w:t>\tag{3.13497}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T_F(X)\oplus_F T_F(Y)</w:t>
      </w:r>
    </w:p>
    <w:p w:rsidR="00CF7C35" w:rsidRDefault="00CF7C35" w:rsidP="00CF7C35">
      <w:pPr>
        <w:pStyle w:val="StandardWeb"/>
      </w:pPr>
      <w:r>
        <w:t>Alternativ kann ich zunächst aggregieren und danach transformieren:</w:t>
      </w:r>
    </w:p>
    <w:p w:rsidR="00CF7C35" w:rsidRDefault="00CF7C35" w:rsidP="00CF7C35">
      <w:pPr>
        <w:pStyle w:val="StandardWeb"/>
      </w:pPr>
      <w:r>
        <w:t>[</w:t>
      </w:r>
      <w:r>
        <w:br/>
        <w:t>T_F(X\oplus_F Y).</w:t>
      </w:r>
      <w:r>
        <w:br/>
        <w:t>\tag{3.13498}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T_F(X\oplus_F Y)</w:t>
      </w:r>
    </w:p>
    <w:p w:rsidR="00CF7C35" w:rsidRDefault="00CF7C35" w:rsidP="00CF7C35">
      <w:r>
        <w:pict>
          <v:rect id="_x0000_i5462" style="width:0;height:1.5pt" o:hralign="center" o:hrstd="t" o:hr="t" fillcolor="#a0a0a0" stroked="f"/>
        </w:pict>
      </w:r>
    </w:p>
    <w:p w:rsidR="00CF7C35" w:rsidRDefault="00CF7C35" w:rsidP="00CF7C35">
      <w:pPr>
        <w:pStyle w:val="berschrift2"/>
      </w:pPr>
      <w:r>
        <w:t>3.3.51.194 Definition 3.3.568 – Übergangsverträgliche funktionale Aggregation</w:t>
      </w:r>
    </w:p>
    <w:p w:rsidR="00CF7C35" w:rsidRDefault="00CF7C35" w:rsidP="00CF7C35">
      <w:pPr>
        <w:pStyle w:val="berschrift3"/>
      </w:pPr>
      <w:r>
        <w:t>Definition 3.3.568</w:t>
      </w:r>
    </w:p>
    <w:p w:rsidR="00CF7C35" w:rsidRDefault="00CF7C35" w:rsidP="00CF7C35">
      <w:pPr>
        <w:pStyle w:val="StandardWeb"/>
      </w:pPr>
      <w:r>
        <w:t xml:space="preserve">Eine funktionale Aggregation heißt </w:t>
      </w:r>
      <w:r>
        <w:rPr>
          <w:rStyle w:val="Fett"/>
        </w:rPr>
        <w:t>übergangsverträglich bezüglich (T_F)</w:t>
      </w:r>
      <w:r>
        <w:t>, wenn</w:t>
      </w:r>
    </w:p>
    <w:p w:rsidR="00CF7C35" w:rsidRDefault="00CF7C35" w:rsidP="00CF7C35">
      <w:pPr>
        <w:pStyle w:val="berschrift1"/>
      </w:pPr>
      <w:r>
        <w:t>[</w:t>
      </w:r>
      <w:r>
        <w:br/>
        <w:t>\boxed{</w:t>
      </w:r>
      <w:r>
        <w:br/>
        <w:t>T_F(X\oplus_F Y)</w:t>
      </w:r>
    </w:p>
    <w:p w:rsidR="00CF7C35" w:rsidRDefault="00CF7C35" w:rsidP="00CF7C35">
      <w:pPr>
        <w:pStyle w:val="StandardWeb"/>
      </w:pPr>
      <w:r>
        <w:t>T_F(X)\oplus_F T_F(Y)</w:t>
      </w:r>
      <w:r>
        <w:br/>
        <w:t>}</w:t>
      </w:r>
      <w:r>
        <w:br/>
        <w:t>\tag{3.13499}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lastRenderedPageBreak/>
        <w:t>\boxed{T_F(X\oplus_F Y)=T_F(X)\oplus_F T_F(Y)}</w:t>
      </w:r>
    </w:p>
    <w:p w:rsidR="00CF7C35" w:rsidRDefault="00CF7C35" w:rsidP="00CF7C35">
      <w:pPr>
        <w:pStyle w:val="StandardWeb"/>
      </w:pPr>
      <w:r>
        <w:t>für alle betrachteten zulässigen Objektpaare gilt.</w:t>
      </w:r>
    </w:p>
    <w:p w:rsidR="00CF7C35" w:rsidRDefault="00CF7C35" w:rsidP="00CF7C35">
      <w:r>
        <w:pict>
          <v:rect id="_x0000_i5463" style="width:0;height:1.5pt" o:hralign="center" o:hrstd="t" o:hr="t" fillcolor="#a0a0a0" stroked="f"/>
        </w:pict>
      </w:r>
    </w:p>
    <w:p w:rsidR="00CF7C35" w:rsidRDefault="00CF7C35" w:rsidP="00CF7C35">
      <w:pPr>
        <w:pStyle w:val="berschrift2"/>
      </w:pPr>
      <w:r>
        <w:t>3.3.51.195 Interpretation der Übergangsverträglichkeit</w:t>
      </w:r>
    </w:p>
    <w:p w:rsidR="00CF7C35" w:rsidRDefault="00CF7C35" w:rsidP="00CF7C35">
      <w:pPr>
        <w:pStyle w:val="StandardWeb"/>
      </w:pPr>
      <w:r>
        <w:t>Die Gleichung</w:t>
      </w:r>
    </w:p>
    <w:p w:rsidR="00CF7C35" w:rsidRDefault="00CF7C35" w:rsidP="00CF7C35">
      <w:pPr>
        <w:pStyle w:val="berschrift1"/>
      </w:pPr>
      <w:r>
        <w:t>[</w:t>
      </w:r>
      <w:r>
        <w:br/>
        <w:t>T_F\circ\oplus_F</w:t>
      </w:r>
    </w:p>
    <w:p w:rsidR="00CF7C35" w:rsidRDefault="00CF7C35" w:rsidP="00CF7C35">
      <w:pPr>
        <w:pStyle w:val="StandardWeb"/>
      </w:pPr>
      <w:r>
        <w:t>\oplus_F\circ(T_F\times T_F)</w:t>
      </w:r>
      <w:r>
        <w:br/>
        <w:t>\tag{3.13500}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T_F\circ\oplus_F=\oplus_F\circ(T_F\times T_F)</w:t>
      </w:r>
    </w:p>
    <w:p w:rsidR="00CF7C35" w:rsidRDefault="00CF7C35" w:rsidP="00CF7C35">
      <w:pPr>
        <w:pStyle w:val="StandardWeb"/>
      </w:pPr>
      <w:r>
        <w:t>bedeutet, dass Aggregation und Übergang in der betrachteten Modellklasse miteinander verträglich sind.</w:t>
      </w:r>
    </w:p>
    <w:p w:rsidR="00CF7C35" w:rsidRDefault="00CF7C35" w:rsidP="00CF7C35">
      <w:pPr>
        <w:pStyle w:val="StandardWeb"/>
      </w:pPr>
      <w:r>
        <w:t>Ich interpretiere diese Beziehung jedoch nicht automatisch als physikalisches Erhaltungsgesetz. Sie ist zunächst lediglich eine mathematische Kompatibilitätsbedingung zwischen zwei definierten Operationen.</w:t>
      </w:r>
    </w:p>
    <w:p w:rsidR="00CF7C35" w:rsidRDefault="00CF7C35" w:rsidP="00CF7C35">
      <w:r>
        <w:pict>
          <v:rect id="_x0000_i5464" style="width:0;height:1.5pt" o:hralign="center" o:hrstd="t" o:hr="t" fillcolor="#a0a0a0" stroked="f"/>
        </w:pict>
      </w:r>
    </w:p>
    <w:p w:rsidR="00CF7C35" w:rsidRDefault="00CF7C35" w:rsidP="00CF7C35">
      <w:pPr>
        <w:pStyle w:val="berschrift2"/>
      </w:pPr>
      <w:r>
        <w:t>3.3.51.196 Nichtverträgliche Übergänge</w:t>
      </w:r>
    </w:p>
    <w:p w:rsidR="00CF7C35" w:rsidRDefault="00CF7C35" w:rsidP="00CF7C35">
      <w:pPr>
        <w:pStyle w:val="StandardWeb"/>
      </w:pPr>
      <w:r>
        <w:t>Es kann ebenso gelten</w:t>
      </w:r>
    </w:p>
    <w:p w:rsidR="00CF7C35" w:rsidRDefault="00CF7C35" w:rsidP="00CF7C35">
      <w:pPr>
        <w:pStyle w:val="StandardWeb"/>
      </w:pPr>
      <w:r>
        <w:t>[</w:t>
      </w:r>
      <w:r>
        <w:br/>
        <w:t>T_F(X\oplus_F Y)</w:t>
      </w:r>
      <w:r>
        <w:br/>
        <w:t>\neq</w:t>
      </w:r>
      <w:r>
        <w:br/>
        <w:t>T_F(X)\oplus_F T_F(Y).</w:t>
      </w:r>
      <w:r>
        <w:br/>
        <w:t>\tag{3.13501}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T_F(X\oplus_F Y)\neq T_F(X)\oplus_F T_F(Y)</w:t>
      </w:r>
    </w:p>
    <w:p w:rsidR="00CF7C35" w:rsidRDefault="00CF7C35" w:rsidP="00CF7C35">
      <w:pPr>
        <w:pStyle w:val="StandardWeb"/>
      </w:pPr>
      <w:r>
        <w:t>Dann beeinflusst die Reihenfolge von Aggregation und Übergang das Ergebnis.</w:t>
      </w:r>
    </w:p>
    <w:p w:rsidR="00CF7C35" w:rsidRDefault="00CF7C35" w:rsidP="00CF7C35">
      <w:r>
        <w:pict>
          <v:rect id="_x0000_i5465" style="width:0;height:1.5pt" o:hralign="center" o:hrstd="t" o:hr="t" fillcolor="#a0a0a0" stroked="f"/>
        </w:pict>
      </w:r>
    </w:p>
    <w:p w:rsidR="00CF7C35" w:rsidRDefault="00CF7C35" w:rsidP="00CF7C35">
      <w:pPr>
        <w:pStyle w:val="berschrift2"/>
      </w:pPr>
      <w:r>
        <w:lastRenderedPageBreak/>
        <w:t>3.3.51.197 Übergangsverträglichkeit als Primäraxiomkandidat</w:t>
      </w:r>
    </w:p>
    <w:p w:rsidR="00CF7C35" w:rsidRDefault="00CF7C35" w:rsidP="00CF7C35">
      <w:pPr>
        <w:pStyle w:val="StandardWeb"/>
      </w:pPr>
      <w:r>
        <w:t>Ein möglicher Kandidat lautet</w:t>
      </w:r>
    </w:p>
    <w:p w:rsidR="00CF7C35" w:rsidRDefault="00CF7C35" w:rsidP="00CF7C35">
      <w:pPr>
        <w:pStyle w:val="berschrift1"/>
      </w:pPr>
      <w:r>
        <w:t>[</w:t>
      </w:r>
      <w:r>
        <w:br/>
        <w:t>A_{\mathrm{trans-agg}}</w:t>
      </w:r>
      <w:r>
        <w:br/>
        <w:t>:</w:t>
      </w:r>
      <w:r>
        <w:br/>
        <w:t>T_F(X\oplus_F Y)</w:t>
      </w:r>
    </w:p>
    <w:p w:rsidR="00CF7C35" w:rsidRDefault="00CF7C35" w:rsidP="00CF7C35">
      <w:pPr>
        <w:pStyle w:val="StandardWeb"/>
      </w:pPr>
      <w:r>
        <w:t>T_F(X)\oplus_F T_F(Y)</w:t>
      </w:r>
      <w:r>
        <w:br/>
        <w:t>\tag{3.13502}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A_{\mathrm{trans-agg}}:T_F(X\oplus_F Y)=T_F(X)\oplus_F T_F(Y)</w:t>
      </w:r>
    </w:p>
    <w:p w:rsidR="00CF7C35" w:rsidRDefault="00CF7C35" w:rsidP="00CF7C35">
      <w:pPr>
        <w:pStyle w:val="StandardWeb"/>
      </w:pPr>
      <w:r>
        <w:t>für alle zulässigen Übergänge und Aggregationen.</w:t>
      </w:r>
    </w:p>
    <w:p w:rsidR="00CF7C35" w:rsidRDefault="00CF7C35" w:rsidP="00CF7C35">
      <w:r>
        <w:pict>
          <v:rect id="_x0000_i5466" style="width:0;height:1.5pt" o:hralign="center" o:hrstd="t" o:hr="t" fillcolor="#a0a0a0" stroked="f"/>
        </w:pict>
      </w:r>
    </w:p>
    <w:p w:rsidR="00CF7C35" w:rsidRDefault="00CF7C35" w:rsidP="00CF7C35">
      <w:pPr>
        <w:pStyle w:val="berschrift2"/>
      </w:pPr>
      <w:r>
        <w:t>3.3.51.198 Gegenmodell zur universellen Übergangsverträglichkeit</w:t>
      </w:r>
    </w:p>
    <w:p w:rsidR="00CF7C35" w:rsidRDefault="00CF7C35" w:rsidP="00CF7C35">
      <w:pPr>
        <w:pStyle w:val="StandardWeb"/>
      </w:pPr>
      <w:r>
        <w:t>Eine Modellklasse kann zwei Operationen besitzen, für die</w:t>
      </w:r>
    </w:p>
    <w:p w:rsidR="00CF7C35" w:rsidRDefault="00CF7C35" w:rsidP="00CF7C35">
      <w:pPr>
        <w:pStyle w:val="berschrift1"/>
      </w:pPr>
      <w:r>
        <w:t>[</w:t>
      </w:r>
      <w:r>
        <w:br/>
        <w:t>T_F(X\oplus_F Y)</w:t>
      </w:r>
    </w:p>
    <w:p w:rsidR="00CF7C35" w:rsidRDefault="00CF7C35" w:rsidP="00CF7C35">
      <w:pPr>
        <w:pStyle w:val="StandardWeb"/>
      </w:pPr>
      <w:r>
        <w:t>Z_1</w:t>
      </w:r>
      <w:r>
        <w:br/>
        <w:t>\tag{3.13503}</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T_F(X\oplus_F Y)=Z_1</w:t>
      </w:r>
    </w:p>
    <w:p w:rsidR="00CF7C35" w:rsidRDefault="00CF7C35" w:rsidP="00CF7C35">
      <w:pPr>
        <w:pStyle w:val="StandardWeb"/>
      </w:pPr>
      <w:r>
        <w:t>und gleichzeitig</w:t>
      </w:r>
    </w:p>
    <w:p w:rsidR="00CF7C35" w:rsidRDefault="00CF7C35" w:rsidP="00CF7C35">
      <w:pPr>
        <w:pStyle w:val="berschrift1"/>
      </w:pPr>
      <w:r>
        <w:t>[</w:t>
      </w:r>
      <w:r>
        <w:br/>
        <w:t>T_F(X)\oplus_F T_F(Y)</w:t>
      </w:r>
    </w:p>
    <w:p w:rsidR="00CF7C35" w:rsidRDefault="00CF7C35" w:rsidP="00CF7C35">
      <w:pPr>
        <w:pStyle w:val="StandardWeb"/>
      </w:pPr>
      <w:r>
        <w:lastRenderedPageBreak/>
        <w:t>Z_2</w:t>
      </w:r>
      <w:r>
        <w:br/>
        <w:t>\tag{3.13504}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T_F(X)\oplus_F T_F(Y)=Z_2</w:t>
      </w:r>
    </w:p>
    <w:p w:rsidR="00CF7C35" w:rsidRDefault="00CF7C35" w:rsidP="00CF7C35">
      <w:pPr>
        <w:pStyle w:val="StandardWeb"/>
      </w:pPr>
      <w:r>
        <w:t>mit</w:t>
      </w:r>
    </w:p>
    <w:p w:rsidR="00CF7C35" w:rsidRDefault="00CF7C35" w:rsidP="00CF7C35">
      <w:pPr>
        <w:pStyle w:val="StandardWeb"/>
      </w:pPr>
      <w:r>
        <w:t>[</w:t>
      </w:r>
      <w:r>
        <w:br/>
        <w:t>Z_1</w:t>
      </w:r>
      <w:r>
        <w:br/>
        <w:t>\neq</w:t>
      </w:r>
      <w:r>
        <w:br/>
        <w:t>Z_2</w:t>
      </w:r>
      <w:r>
        <w:br/>
        <w:t>\tag{3.13505}</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Z_1\neq Z_2</w:t>
      </w:r>
    </w:p>
    <w:p w:rsidR="00CF7C35" w:rsidRDefault="00CF7C35" w:rsidP="00CF7C35">
      <w:pPr>
        <w:pStyle w:val="StandardWeb"/>
      </w:pPr>
      <w:r>
        <w:t>gilt.</w:t>
      </w:r>
    </w:p>
    <w:p w:rsidR="00CF7C35" w:rsidRDefault="00CF7C35" w:rsidP="00CF7C35">
      <w:pPr>
        <w:pStyle w:val="StandardWeb"/>
      </w:pPr>
      <w:r>
        <w:t>Die beiden Operationen bleiben jeweils wohldefiniert.</w:t>
      </w:r>
    </w:p>
    <w:p w:rsidR="00CF7C35" w:rsidRDefault="00CF7C35" w:rsidP="00CF7C35">
      <w:r>
        <w:pict>
          <v:rect id="_x0000_i5467" style="width:0;height:1.5pt" o:hralign="center" o:hrstd="t" o:hr="t" fillcolor="#a0a0a0" stroked="f"/>
        </w:pict>
      </w:r>
    </w:p>
    <w:p w:rsidR="00CF7C35" w:rsidRDefault="00CF7C35" w:rsidP="00CF7C35">
      <w:pPr>
        <w:pStyle w:val="berschrift2"/>
      </w:pPr>
      <w:r>
        <w:t>3.3.51.199 Axiomentscheidung zur Übergangsverträglichkeit</w:t>
      </w:r>
    </w:p>
    <w:p w:rsidR="00CF7C35" w:rsidRDefault="00CF7C35" w:rsidP="00CF7C35">
      <w:pPr>
        <w:pStyle w:val="StandardWeb"/>
      </w:pPr>
      <w:r>
        <w:t>Damit folgt</w:t>
      </w:r>
    </w:p>
    <w:p w:rsidR="00CF7C35" w:rsidRDefault="00CF7C35" w:rsidP="00CF7C35">
      <w:pPr>
        <w:pStyle w:val="berschrift1"/>
      </w:pPr>
      <w:r>
        <w:t>[</w:t>
      </w:r>
      <w:r>
        <w:br/>
        <w:t>\boxed{</w:t>
      </w:r>
      <w:r>
        <w:br/>
        <w:t>U_{\mathrm{Ax}}</w:t>
      </w:r>
      <w:r>
        <w:br/>
        <w:t>(A_{\mathrm{trans-agg}})</w:t>
      </w:r>
    </w:p>
    <w:p w:rsidR="00CF7C35" w:rsidRDefault="00CF7C35" w:rsidP="009F7790">
      <w:pPr>
        <w:numPr>
          <w:ilvl w:val="0"/>
          <w:numId w:val="675"/>
        </w:numPr>
        <w:spacing w:before="100" w:beforeAutospacing="1" w:after="100" w:afterAutospacing="1"/>
      </w:pPr>
    </w:p>
    <w:p w:rsidR="00CF7C35" w:rsidRDefault="00CF7C35" w:rsidP="00CF7C35">
      <w:pPr>
        <w:pStyle w:val="StandardWeb"/>
      </w:pPr>
      <w:r>
        <w:t>}</w:t>
      </w:r>
      <w:r>
        <w:br/>
        <w:t>\tag{3.13506}</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\boxed{U_{\mathrm{Ax}}(A_{\mathrm{trans-agg}})=0.}</w:t>
      </w:r>
    </w:p>
    <w:p w:rsidR="00CF7C35" w:rsidRDefault="00CF7C35" w:rsidP="00CF7C35">
      <w:r>
        <w:pict>
          <v:rect id="_x0000_i5468" style="width:0;height:1.5pt" o:hralign="center" o:hrstd="t" o:hr="t" fillcolor="#a0a0a0" stroked="f"/>
        </w:pict>
      </w:r>
    </w:p>
    <w:p w:rsidR="00CF7C35" w:rsidRDefault="00CF7C35" w:rsidP="00CF7C35">
      <w:pPr>
        <w:pStyle w:val="berschrift1"/>
      </w:pPr>
      <w:r>
        <w:lastRenderedPageBreak/>
        <w:t>3.3.51.200 Satz 3.3.222 – Übergangsverträglichkeit der Aggregation ist kein Primäraxiom</w:t>
      </w:r>
    </w:p>
    <w:p w:rsidR="00CF7C35" w:rsidRDefault="00CF7C35" w:rsidP="00CF7C35">
      <w:pPr>
        <w:pStyle w:val="berschrift3"/>
      </w:pPr>
      <w:r>
        <w:t>Satz 3.3.222</w:t>
      </w:r>
    </w:p>
    <w:p w:rsidR="00CF7C35" w:rsidRDefault="00CF7C35" w:rsidP="00CF7C35">
      <w:pPr>
        <w:pStyle w:val="StandardWeb"/>
      </w:pPr>
      <w:r>
        <w:t>Die Forderung, jede funktionale Aggregationsoperation müsse mit jeder funktionalen Übergangsabbildung verträglich sein, ist keine universell notwendige Voraussetzung des allgemeinen FRZK.</w:t>
      </w:r>
    </w:p>
    <w:p w:rsidR="00CF7C35" w:rsidRDefault="00CF7C35" w:rsidP="00CF7C35">
      <w:pPr>
        <w:pStyle w:val="StandardWeb"/>
      </w:pPr>
      <w:r>
        <w:t>Formal gilt</w:t>
      </w:r>
    </w:p>
    <w:p w:rsidR="00CF7C35" w:rsidRDefault="00CF7C35" w:rsidP="00CF7C35">
      <w:pPr>
        <w:pStyle w:val="berschrift1"/>
      </w:pPr>
      <w:r>
        <w:t>[</w:t>
      </w:r>
      <w:r>
        <w:br/>
        <w:t>\boxed{</w:t>
      </w:r>
      <w:r>
        <w:br/>
        <w:t>U_{\mathrm{Ax}}</w:t>
      </w:r>
      <w:r>
        <w:br/>
        <w:t>(A_{\mathrm{trans-agg}})</w:t>
      </w:r>
    </w:p>
    <w:p w:rsidR="00CF7C35" w:rsidRDefault="00CF7C35" w:rsidP="009F7790">
      <w:pPr>
        <w:numPr>
          <w:ilvl w:val="0"/>
          <w:numId w:val="676"/>
        </w:numPr>
        <w:spacing w:before="100" w:beforeAutospacing="1" w:after="100" w:afterAutospacing="1"/>
      </w:pPr>
    </w:p>
    <w:p w:rsidR="00CF7C35" w:rsidRDefault="00CF7C35" w:rsidP="00CF7C35">
      <w:pPr>
        <w:pStyle w:val="StandardWeb"/>
      </w:pPr>
      <w:r>
        <w:t>}</w:t>
      </w:r>
      <w:r>
        <w:br/>
        <w:t>\tag{3.13507}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\boxed{U_{\mathrm{Ax}}(A_{\mathrm{trans-agg}})=0.}</w:t>
      </w:r>
    </w:p>
    <w:p w:rsidR="00CF7C35" w:rsidRDefault="00CF7C35" w:rsidP="00CF7C35">
      <w:pPr>
        <w:pStyle w:val="berschrift3"/>
      </w:pPr>
      <w:r>
        <w:t>Beweis</w:t>
      </w:r>
    </w:p>
    <w:p w:rsidR="00CF7C35" w:rsidRDefault="00CF7C35" w:rsidP="00CF7C35">
      <w:pPr>
        <w:pStyle w:val="StandardWeb"/>
      </w:pPr>
      <w:r>
        <w:t>Ich betrachte eine zulässige Modellklasse mit Aggregation (\oplus_F) und Übergangsabbildung (T_F), für die</w:t>
      </w:r>
    </w:p>
    <w:p w:rsidR="00CF7C35" w:rsidRDefault="00CF7C35" w:rsidP="00CF7C35">
      <w:pPr>
        <w:pStyle w:val="StandardWeb"/>
      </w:pPr>
      <w:r>
        <w:t>[</w:t>
      </w:r>
      <w:r>
        <w:br/>
        <w:t>T_F(X\oplus_F Y)</w:t>
      </w:r>
      <w:r>
        <w:br/>
        <w:t>\neq</w:t>
      </w:r>
      <w:r>
        <w:br/>
        <w:t>T_F(X)\oplus_F T_F(Y).</w:t>
      </w:r>
      <w:r>
        <w:br/>
        <w:t>\tag{3.13508}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T_F(X\oplus_F Y)\neq T_F(X)\oplus_F T_F(Y)</w:t>
      </w:r>
    </w:p>
    <w:p w:rsidR="00CF7C35" w:rsidRDefault="00CF7C35" w:rsidP="00CF7C35">
      <w:pPr>
        <w:pStyle w:val="StandardWeb"/>
      </w:pPr>
      <w:r>
        <w:t>Beide Operationen bleiben unabhängig voneinander wohldefiniert. Aus der minimalen FRZK-Struktur folgt daher keine universelle Kommutativität beziehungsweise Homomorphie zwischen Übergang und Aggregation.</w:t>
      </w:r>
    </w:p>
    <w:p w:rsidR="00CF7C35" w:rsidRDefault="00CF7C35" w:rsidP="00CF7C35">
      <w:pPr>
        <w:pStyle w:val="StandardWeb"/>
      </w:pPr>
      <w:r>
        <w:t>Somit gilt</w:t>
      </w:r>
    </w:p>
    <w:p w:rsidR="00CF7C35" w:rsidRDefault="00CF7C35" w:rsidP="00CF7C35">
      <w:pPr>
        <w:pStyle w:val="berschrift1"/>
      </w:pPr>
      <w:r>
        <w:lastRenderedPageBreak/>
        <w:t>[</w:t>
      </w:r>
      <w:r>
        <w:br/>
        <w:t>U_{\mathrm{Ax}}</w:t>
      </w:r>
      <w:r>
        <w:br/>
        <w:t>(A_{\mathrm{trans-agg}})</w:t>
      </w:r>
    </w:p>
    <w:p w:rsidR="00CF7C35" w:rsidRDefault="00CF7C35" w:rsidP="009F7790">
      <w:pPr>
        <w:numPr>
          <w:ilvl w:val="0"/>
          <w:numId w:val="677"/>
        </w:numPr>
        <w:spacing w:before="100" w:beforeAutospacing="1" w:after="100" w:afterAutospacing="1"/>
      </w:pPr>
    </w:p>
    <w:p w:rsidR="00CF7C35" w:rsidRDefault="00CF7C35" w:rsidP="00CF7C35">
      <w:pPr>
        <w:pStyle w:val="StandardWeb"/>
      </w:pPr>
      <w:r>
        <w:t>\tag{3.13509}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U_{\mathrm{Ax}}(A_{\mathrm{trans-agg}})=0</w:t>
      </w:r>
    </w:p>
    <w:p w:rsidR="00CF7C35" w:rsidRDefault="00CF7C35" w:rsidP="00CF7C35">
      <w:pPr>
        <w:pStyle w:val="StandardWeb"/>
      </w:pPr>
      <w:r>
        <w:t>(\square)</w:t>
      </w:r>
    </w:p>
    <w:p w:rsidR="00CF7C35" w:rsidRDefault="00CF7C35" w:rsidP="00CF7C35">
      <w:r>
        <w:pict>
          <v:rect id="_x0000_i5469" style="width:0;height:1.5pt" o:hralign="center" o:hrstd="t" o:hr="t" fillcolor="#a0a0a0" stroked="f"/>
        </w:pict>
      </w:r>
    </w:p>
    <w:p w:rsidR="00CF7C35" w:rsidRDefault="00CF7C35" w:rsidP="00CF7C35">
      <w:pPr>
        <w:pStyle w:val="berschrift1"/>
      </w:pPr>
      <w:r>
        <w:t>3.3.51.201 Korollar 3.3.54 – Übergangsverträglichkeit ist modellabhängig</w:t>
      </w:r>
    </w:p>
    <w:p w:rsidR="00CF7C35" w:rsidRDefault="00CF7C35" w:rsidP="00CF7C35">
      <w:pPr>
        <w:pStyle w:val="berschrift3"/>
      </w:pPr>
      <w:r>
        <w:t>Korollar 3.3.54</w:t>
      </w:r>
    </w:p>
    <w:p w:rsidR="00CF7C35" w:rsidRDefault="00CF7C35" w:rsidP="00CF7C35">
      <w:pPr>
        <w:pStyle w:val="StandardWeb"/>
      </w:pPr>
      <w:r>
        <w:t>Aus Satz 3.3.222 folgt</w:t>
      </w:r>
    </w:p>
    <w:p w:rsidR="00CF7C35" w:rsidRDefault="00CF7C35" w:rsidP="00CF7C35">
      <w:pPr>
        <w:pStyle w:val="berschrift1"/>
      </w:pPr>
      <w:r>
        <w:t>[</w:t>
      </w:r>
      <w:r>
        <w:br/>
        <w:t>\boxed{</w:t>
      </w:r>
      <w:r>
        <w:br/>
        <w:t>\operatorname{Stat}</w:t>
      </w:r>
      <w:r>
        <w:br/>
        <w:t>(T_F,\oplus_F)</w:t>
      </w:r>
    </w:p>
    <w:p w:rsidR="00CF7C35" w:rsidRDefault="00CF7C35" w:rsidP="00CF7C35">
      <w:pPr>
        <w:pStyle w:val="StandardWeb"/>
      </w:pPr>
      <w:r>
        <w:t>\mathrm{Def/Mod/Op}.</w:t>
      </w:r>
      <w:r>
        <w:br/>
        <w:t>}</w:t>
      </w:r>
      <w:r>
        <w:br/>
        <w:t>\tag{3.13510}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\boxed{\operatorname{Stat}(T_F,\oplus_F)=\mathrm{Def/Mod/Op}.}</w:t>
      </w:r>
    </w:p>
    <w:p w:rsidR="00CF7C35" w:rsidRDefault="00CF7C35" w:rsidP="00CF7C35">
      <w:r>
        <w:pict>
          <v:rect id="_x0000_i5470" style="width:0;height:1.5pt" o:hralign="center" o:hrstd="t" o:hr="t" fillcolor="#a0a0a0" stroked="f"/>
        </w:pict>
      </w:r>
    </w:p>
    <w:p w:rsidR="00CF7C35" w:rsidRDefault="00CF7C35" w:rsidP="00CF7C35">
      <w:pPr>
        <w:pStyle w:val="berschrift1"/>
      </w:pPr>
      <w:r>
        <w:t>3.3.51.202 Zeitabhängige Aggregation</w:t>
      </w:r>
    </w:p>
    <w:p w:rsidR="00CF7C35" w:rsidRDefault="00CF7C35" w:rsidP="00CF7C35">
      <w:pPr>
        <w:pStyle w:val="StandardWeb"/>
      </w:pPr>
      <w:r>
        <w:t>Ein weiterer Spezialfall entsteht, wenn die Aggregationsvorschrift selbst explizit von einem Zeitparameter abhängt.</w:t>
      </w:r>
    </w:p>
    <w:p w:rsidR="00CF7C35" w:rsidRDefault="00CF7C35" w:rsidP="00CF7C35">
      <w:pPr>
        <w:pStyle w:val="StandardWeb"/>
      </w:pPr>
      <w:r>
        <w:lastRenderedPageBreak/>
        <w:t>Ich schreibe</w:t>
      </w:r>
    </w:p>
    <w:p w:rsidR="00CF7C35" w:rsidRDefault="00CF7C35" w:rsidP="00CF7C35">
      <w:pPr>
        <w:pStyle w:val="berschrift1"/>
      </w:pPr>
      <w:r>
        <w:t>[</w:t>
      </w:r>
      <w:r>
        <w:br/>
        <w:t>\mathcal A_F</w:t>
      </w:r>
    </w:p>
    <w:p w:rsidR="00CF7C35" w:rsidRDefault="00CF7C35" w:rsidP="00CF7C35">
      <w:pPr>
        <w:pStyle w:val="StandardWeb"/>
      </w:pPr>
      <w:r>
        <w:t>\mathcal A_F(t).</w:t>
      </w:r>
      <w:r>
        <w:br/>
        <w:t>\tag{3.13511}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A_F=\mathcal A_F(t)</w:t>
      </w:r>
    </w:p>
    <w:p w:rsidR="00CF7C35" w:rsidRDefault="00CF7C35" w:rsidP="00CF7C35">
      <w:pPr>
        <w:pStyle w:val="StandardWeb"/>
      </w:pPr>
      <w:r>
        <w:t>Dann kann für dieselben Eingangselemente gelten</w:t>
      </w:r>
    </w:p>
    <w:p w:rsidR="00CF7C35" w:rsidRDefault="00CF7C35" w:rsidP="00CF7C35">
      <w:pPr>
        <w:pStyle w:val="StandardWeb"/>
      </w:pPr>
      <w:r>
        <w:t>[</w:t>
      </w:r>
      <w:r>
        <w:br/>
        <w:t>\mathcal A_F^{(t_1)}(\mathbf X)</w:t>
      </w:r>
      <w:r>
        <w:br/>
        <w:t>\neq</w:t>
      </w:r>
      <w:r>
        <w:br/>
        <w:t>\mathcal A_F^{(t_2)}(\mathbf X).</w:t>
      </w:r>
      <w:r>
        <w:br/>
        <w:t>\tag{3.13512}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A_F^{(t_1)}(\mathbf X)\neq\mathcal A_F^{(t_2)}(\mathbf X)</w:t>
      </w:r>
    </w:p>
    <w:p w:rsidR="00CF7C35" w:rsidRDefault="00CF7C35" w:rsidP="00CF7C35">
      <w:r>
        <w:pict>
          <v:rect id="_x0000_i5471" style="width:0;height:1.5pt" o:hralign="center" o:hrstd="t" o:hr="t" fillcolor="#a0a0a0" stroked="f"/>
        </w:pict>
      </w:r>
    </w:p>
    <w:p w:rsidR="00CF7C35" w:rsidRDefault="00CF7C35" w:rsidP="00CF7C35">
      <w:pPr>
        <w:pStyle w:val="berschrift2"/>
      </w:pPr>
      <w:r>
        <w:t>3.3.51.203 Definition 3.3.569 – Zeitabhängige funktionale Aggregation</w:t>
      </w:r>
    </w:p>
    <w:p w:rsidR="00CF7C35" w:rsidRDefault="00CF7C35" w:rsidP="00CF7C35">
      <w:pPr>
        <w:pStyle w:val="berschrift3"/>
      </w:pPr>
      <w:r>
        <w:t>Definition 3.3.569</w:t>
      </w:r>
    </w:p>
    <w:p w:rsidR="00CF7C35" w:rsidRDefault="00CF7C35" w:rsidP="00CF7C35">
      <w:pPr>
        <w:pStyle w:val="StandardWeb"/>
      </w:pPr>
      <w:r>
        <w:t xml:space="preserve">Eine funktionale Aggregation heißt </w:t>
      </w:r>
      <w:r>
        <w:rPr>
          <w:rStyle w:val="Fett"/>
        </w:rPr>
        <w:t>zeitabhängig</w:t>
      </w:r>
      <w:r>
        <w:t>, wenn</w:t>
      </w:r>
    </w:p>
    <w:p w:rsidR="00CF7C35" w:rsidRDefault="00CF7C35" w:rsidP="00CF7C35">
      <w:pPr>
        <w:pStyle w:val="berschrift1"/>
      </w:pPr>
      <w:r>
        <w:t>[</w:t>
      </w:r>
      <w:r>
        <w:br/>
        <w:t>\boxed{</w:t>
      </w:r>
      <w:r>
        <w:br/>
        <w:t>\mathcal A_F</w:t>
      </w:r>
    </w:p>
    <w:p w:rsidR="00CF7C35" w:rsidRDefault="00CF7C35" w:rsidP="00CF7C35">
      <w:pPr>
        <w:pStyle w:val="StandardWeb"/>
      </w:pPr>
      <w:r>
        <w:t>\mathcal A_F(t).</w:t>
      </w:r>
      <w:r>
        <w:br/>
        <w:t>}</w:t>
      </w:r>
      <w:r>
        <w:br/>
        <w:t>\tag{3.13513}</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\boxed{\mathcal A_F=\mathcal A_F(t).}</w:t>
      </w:r>
    </w:p>
    <w:p w:rsidR="00CF7C35" w:rsidRDefault="00CF7C35" w:rsidP="00CF7C35">
      <w:r>
        <w:lastRenderedPageBreak/>
        <w:pict>
          <v:rect id="_x0000_i5472" style="width:0;height:1.5pt" o:hralign="center" o:hrstd="t" o:hr="t" fillcolor="#a0a0a0" stroked="f"/>
        </w:pict>
      </w:r>
    </w:p>
    <w:p w:rsidR="00CF7C35" w:rsidRDefault="00CF7C35" w:rsidP="00CF7C35">
      <w:pPr>
        <w:pStyle w:val="berschrift2"/>
      </w:pPr>
      <w:r>
        <w:t>3.3.51.204 Zeitliche Aggregationsfamilie</w:t>
      </w:r>
    </w:p>
    <w:p w:rsidR="00CF7C35" w:rsidRDefault="00CF7C35" w:rsidP="00CF7C35">
      <w:pPr>
        <w:pStyle w:val="StandardWeb"/>
      </w:pPr>
      <w:r>
        <w:t>Die Gesamtheit zeitabhängiger Aggregationen kann als Familie</w:t>
      </w:r>
    </w:p>
    <w:p w:rsidR="00CF7C35" w:rsidRDefault="00CF7C35" w:rsidP="00CF7C35">
      <w:pPr>
        <w:pStyle w:val="berschrift1"/>
      </w:pPr>
      <w:r>
        <w:t>[</w:t>
      </w:r>
      <w:r>
        <w:br/>
        <w:t>\mathfrak A_F^{\mathrm{time}}</w:t>
      </w:r>
    </w:p>
    <w:p w:rsidR="00CF7C35" w:rsidRDefault="00CF7C35" w:rsidP="00CF7C35">
      <w:pPr>
        <w:pStyle w:val="StandardWeb"/>
      </w:pPr>
      <w:r>
        <w:t>{</w:t>
      </w:r>
      <w:r>
        <w:br/>
        <w:t>\mathcal A_F^{(t)}</w:t>
      </w:r>
      <w:r>
        <w:br/>
        <w:t>:</w:t>
      </w:r>
      <w:r>
        <w:br/>
        <w:t>t\in\mathcal T</w:t>
      </w:r>
      <w:r>
        <w:br/>
        <w:t>}</w:t>
      </w:r>
      <w:r>
        <w:br/>
        <w:t>\tag{3.13514}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\mathfrak A_F^{\mathrm{time}}=\{\mathcal A_F^{(t)}:t\in\mathcal T\}</w:t>
      </w:r>
    </w:p>
    <w:p w:rsidR="00CF7C35" w:rsidRDefault="00CF7C35" w:rsidP="00CF7C35">
      <w:pPr>
        <w:pStyle w:val="StandardWeb"/>
      </w:pPr>
      <w:r>
        <w:t>aufgefasst werden.</w:t>
      </w:r>
    </w:p>
    <w:p w:rsidR="00CF7C35" w:rsidRDefault="00CF7C35" w:rsidP="00CF7C35">
      <w:r>
        <w:pict>
          <v:rect id="_x0000_i5473" style="width:0;height:1.5pt" o:hralign="center" o:hrstd="t" o:hr="t" fillcolor="#a0a0a0" stroked="f"/>
        </w:pict>
      </w:r>
    </w:p>
    <w:p w:rsidR="00CF7C35" w:rsidRDefault="00CF7C35" w:rsidP="00CF7C35">
      <w:pPr>
        <w:pStyle w:val="berschrift2"/>
      </w:pPr>
      <w:r>
        <w:t>3.3.51.205 Definition 3.3.570 – Funktionale Aggregationsfamilie</w:t>
      </w:r>
    </w:p>
    <w:p w:rsidR="00CF7C35" w:rsidRDefault="00CF7C35" w:rsidP="00CF7C35">
      <w:pPr>
        <w:pStyle w:val="berschrift3"/>
      </w:pPr>
      <w:r>
        <w:t>Definition 3.3.570</w:t>
      </w:r>
    </w:p>
    <w:p w:rsidR="00CF7C35" w:rsidRDefault="00CF7C35" w:rsidP="00CF7C35">
      <w:pPr>
        <w:pStyle w:val="StandardWeb"/>
      </w:pPr>
      <w:r>
        <w:t xml:space="preserve">Eine </w:t>
      </w:r>
      <w:r>
        <w:rPr>
          <w:rStyle w:val="Fett"/>
        </w:rPr>
        <w:t>funktionale Aggregationsfamilie</w:t>
      </w:r>
      <w:r>
        <w:t xml:space="preserve"> ist eine parametrisierte Menge</w:t>
      </w:r>
    </w:p>
    <w:p w:rsidR="00CF7C35" w:rsidRDefault="00CF7C35" w:rsidP="00CF7C35">
      <w:pPr>
        <w:pStyle w:val="berschrift1"/>
      </w:pPr>
      <w:r>
        <w:t>[</w:t>
      </w:r>
      <w:r>
        <w:br/>
        <w:t>\boxed{</w:t>
      </w:r>
      <w:r>
        <w:br/>
        <w:t>\mathfrak A_F</w:t>
      </w:r>
    </w:p>
    <w:p w:rsidR="00CF7C35" w:rsidRDefault="00CF7C35" w:rsidP="00CF7C35">
      <w:pPr>
        <w:pStyle w:val="StandardWeb"/>
      </w:pPr>
      <w:r>
        <w:t>{</w:t>
      </w:r>
      <w:r>
        <w:br/>
        <w:t>\mathcal A_F^{(\lambda)}</w:t>
      </w:r>
      <w:r>
        <w:br/>
        <w:t>:</w:t>
      </w:r>
      <w:r>
        <w:br/>
        <w:t>\lambda\in\Lambda_F</w:t>
      </w:r>
      <w:r>
        <w:br/>
        <w:t>},</w:t>
      </w:r>
      <w:r>
        <w:br/>
        <w:t>}</w:t>
      </w:r>
      <w:r>
        <w:br/>
        <w:t>\tag{3.13515}</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lastRenderedPageBreak/>
        <w:t>\boxed{\mathfrak A_F=\{\mathcal A_F^{(\lambda)}:\lambda\in\Lambda_F\},}</w:t>
      </w:r>
    </w:p>
    <w:p w:rsidR="00CF7C35" w:rsidRDefault="00CF7C35" w:rsidP="00CF7C35">
      <w:pPr>
        <w:pStyle w:val="StandardWeb"/>
      </w:pPr>
      <w:r>
        <w:t>deren Elemente jeweils zulässige Aggregationsabbildungen darstellen.</w:t>
      </w:r>
    </w:p>
    <w:p w:rsidR="00CF7C35" w:rsidRDefault="00CF7C35" w:rsidP="00CF7C35">
      <w:pPr>
        <w:pStyle w:val="StandardWeb"/>
      </w:pPr>
      <w:r>
        <w:t>Zeitabhängigkeit ist damit der Spezialfall</w:t>
      </w:r>
    </w:p>
    <w:p w:rsidR="00CF7C35" w:rsidRDefault="00CF7C35" w:rsidP="00CF7C35">
      <w:pPr>
        <w:pStyle w:val="StandardWeb"/>
      </w:pPr>
      <w:r>
        <w:t>[</w:t>
      </w:r>
      <w:r>
        <w:br/>
        <w:t>\lambda=t.</w:t>
      </w:r>
      <w:r>
        <w:br/>
        <w:t>\tag{3.13516}</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\lambda=t</w:t>
      </w:r>
    </w:p>
    <w:p w:rsidR="00CF7C35" w:rsidRDefault="00CF7C35" w:rsidP="00CF7C35">
      <w:r>
        <w:pict>
          <v:rect id="_x0000_i5474" style="width:0;height:1.5pt" o:hralign="center" o:hrstd="t" o:hr="t" fillcolor="#a0a0a0" stroked="f"/>
        </w:pict>
      </w:r>
    </w:p>
    <w:p w:rsidR="00CF7C35" w:rsidRDefault="00CF7C35" w:rsidP="00CF7C35">
      <w:pPr>
        <w:pStyle w:val="berschrift1"/>
      </w:pPr>
      <w:r>
        <w:t>3.3.51.206 Diskrete Aggregationsfamilien</w:t>
      </w:r>
    </w:p>
    <w:p w:rsidR="00CF7C35" w:rsidRDefault="00CF7C35" w:rsidP="00CF7C35">
      <w:pPr>
        <w:pStyle w:val="StandardWeb"/>
      </w:pPr>
      <w:r>
        <w:t>Ein Parameterraum kann diskret sein:</w:t>
      </w:r>
    </w:p>
    <w:p w:rsidR="00CF7C35" w:rsidRDefault="00CF7C35" w:rsidP="00CF7C35">
      <w:pPr>
        <w:pStyle w:val="berschrift1"/>
      </w:pPr>
      <w:r>
        <w:t>[</w:t>
      </w:r>
      <w:r>
        <w:br/>
        <w:t>\Lambda_F</w:t>
      </w:r>
    </w:p>
    <w:p w:rsidR="00CF7C35" w:rsidRDefault="00CF7C35" w:rsidP="00CF7C35">
      <w:pPr>
        <w:pStyle w:val="StandardWeb"/>
      </w:pPr>
      <w:r>
        <w:t>{\lambda_1,\lambda_2,\ldots}.</w:t>
      </w:r>
      <w:r>
        <w:br/>
        <w:t>\tag{3.13517}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\Lambda_F=\{\lambda_1,\lambda_2,\ldots\}</w:t>
      </w:r>
    </w:p>
    <w:p w:rsidR="00CF7C35" w:rsidRDefault="00CF7C35" w:rsidP="00CF7C35">
      <w:pPr>
        <w:pStyle w:val="StandardWeb"/>
      </w:pPr>
      <w:r>
        <w:t>Dann besteht die Aggregationsfamilie aus einzelnen unterscheidbaren Aggregationsregeln.</w:t>
      </w:r>
    </w:p>
    <w:p w:rsidR="00CF7C35" w:rsidRDefault="00CF7C35" w:rsidP="00CF7C35">
      <w:r>
        <w:pict>
          <v:rect id="_x0000_i5475" style="width:0;height:1.5pt" o:hralign="center" o:hrstd="t" o:hr="t" fillcolor="#a0a0a0" stroked="f"/>
        </w:pict>
      </w:r>
    </w:p>
    <w:p w:rsidR="00CF7C35" w:rsidRDefault="00CF7C35" w:rsidP="00CF7C35">
      <w:pPr>
        <w:pStyle w:val="berschrift2"/>
      </w:pPr>
      <w:r>
        <w:t>3.3.51.207 Definition 3.3.571 – Diskrete funktionale Aggregationsfamilie</w:t>
      </w:r>
    </w:p>
    <w:p w:rsidR="00CF7C35" w:rsidRDefault="00CF7C35" w:rsidP="00CF7C35">
      <w:pPr>
        <w:pStyle w:val="berschrift3"/>
      </w:pPr>
      <w:r>
        <w:t>Definition 3.3.571</w:t>
      </w:r>
    </w:p>
    <w:p w:rsidR="00CF7C35" w:rsidRDefault="00CF7C35" w:rsidP="00CF7C35">
      <w:pPr>
        <w:pStyle w:val="StandardWeb"/>
      </w:pPr>
      <w:r>
        <w:t xml:space="preserve">Eine funktionale Aggregationsfamilie heißt </w:t>
      </w:r>
      <w:r>
        <w:rPr>
          <w:rStyle w:val="Fett"/>
        </w:rPr>
        <w:t>diskret</w:t>
      </w:r>
      <w:r>
        <w:t>, wenn ihr Parameterraum diskret ist:</w:t>
      </w:r>
    </w:p>
    <w:p w:rsidR="00CF7C35" w:rsidRDefault="00CF7C35" w:rsidP="00CF7C35">
      <w:pPr>
        <w:pStyle w:val="StandardWeb"/>
      </w:pPr>
      <w:r>
        <w:t>[</w:t>
      </w:r>
      <w:r>
        <w:br/>
        <w:t>\boxed{</w:t>
      </w:r>
      <w:r>
        <w:br/>
        <w:t>\Lambda_F</w:t>
      </w:r>
      <w:r>
        <w:br/>
        <w:t>\text{ ist diskret}.</w:t>
      </w:r>
      <w:r>
        <w:br/>
        <w:t>}</w:t>
      </w:r>
      <w:r>
        <w:br/>
        <w:t>\tag{3.13518}</w:t>
      </w:r>
      <w:r>
        <w:br/>
        <w:t>]</w:t>
      </w:r>
    </w:p>
    <w:p w:rsidR="00CF7C35" w:rsidRDefault="00CF7C35" w:rsidP="00CF7C35">
      <w:pPr>
        <w:pStyle w:val="StandardWeb"/>
      </w:pPr>
      <w:r>
        <w:rPr>
          <w:rStyle w:val="Fett"/>
        </w:rPr>
        <w:lastRenderedPageBreak/>
        <w:t>Word-LaTeX</w:t>
      </w:r>
    </w:p>
    <w:p w:rsidR="00CF7C35" w:rsidRDefault="00CF7C35" w:rsidP="00CF7C35">
      <w:pPr>
        <w:pStyle w:val="HTMLVorformatiert"/>
        <w:rPr>
          <w:rStyle w:val="HTMLCode"/>
        </w:rPr>
      </w:pPr>
      <w:r>
        <w:rPr>
          <w:rStyle w:val="HTMLCode"/>
        </w:rPr>
        <w:t>\boxed{\Lambda_F\text{ ist diskret}.}</w:t>
      </w:r>
    </w:p>
    <w:p w:rsidR="00CF7C35" w:rsidRDefault="00CF7C35" w:rsidP="00CF7C35">
      <w:r>
        <w:pict>
          <v:rect id="_x0000_i5476" style="width:0;height:1.5pt" o:hralign="center" o:hrstd="t" o:hr="t" fillcolor="#a0a0a0" stroked="f"/>
        </w:pict>
      </w:r>
    </w:p>
    <w:p w:rsidR="00CF7C35" w:rsidRDefault="00CF7C35" w:rsidP="00CF7C35">
      <w:pPr>
        <w:pStyle w:val="berschrift1"/>
      </w:pPr>
      <w:r>
        <w:t>3.3.51.208 Kontinuierliche Aggregationsfamilien</w:t>
      </w:r>
    </w:p>
    <w:p w:rsidR="00CF7C35" w:rsidRDefault="00CF7C35" w:rsidP="00CF7C35">
      <w:pPr>
        <w:pStyle w:val="StandardWeb"/>
      </w:pPr>
      <w:r>
        <w:t>Eine Modellklasse kann stattdessen einen kontinuierlichen Parameterraum verwenden:</w:t>
      </w:r>
    </w:p>
    <w:p w:rsidR="00CF7C35" w:rsidRDefault="00CF7C35" w:rsidP="00CF7C35">
      <w:pPr>
        <w:pStyle w:val="StandardWeb"/>
      </w:pPr>
      <w:r>
        <w:t>[</w:t>
      </w:r>
      <w:r>
        <w:br/>
        <w:t>\Lambda_F</w:t>
      </w:r>
      <w:r>
        <w:br/>
        <w:t>\subseteq</w:t>
      </w:r>
      <w:r>
        <w:br/>
        <w:t>\mathbb R.</w:t>
      </w:r>
      <w:r>
        <w:br/>
        <w:t>\tag{3.13519}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\Lambda_F\subseteq\mathbb R</w:t>
      </w:r>
    </w:p>
    <w:p w:rsidR="00CF7C35" w:rsidRDefault="00CF7C35" w:rsidP="00CF7C35">
      <w:pPr>
        <w:pStyle w:val="StandardWeb"/>
      </w:pPr>
      <w:r>
        <w:t>Dabei bedeutet die Kontinuität des Parameterraums noch nicht automatisch, dass auch die Abbildung</w:t>
      </w:r>
    </w:p>
    <w:p w:rsidR="00CF7C35" w:rsidRDefault="00CF7C35" w:rsidP="00CF7C35">
      <w:pPr>
        <w:pStyle w:val="StandardWeb"/>
      </w:pPr>
      <w:r>
        <w:t>[</w:t>
      </w:r>
      <w:r>
        <w:br/>
        <w:t>\lambda</w:t>
      </w:r>
      <w:r>
        <w:br/>
        <w:t>\mapsto</w:t>
      </w:r>
      <w:r>
        <w:br/>
        <w:t>\mathcal A_F^{(\lambda)}</w:t>
      </w:r>
      <w:r>
        <w:br/>
        <w:t>\tag{3.13520}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\lambda\mapsto\mathcal A_F^{(\lambda)}</w:t>
      </w:r>
    </w:p>
    <w:p w:rsidR="00CF7C35" w:rsidRDefault="00CF7C35" w:rsidP="00CF7C35">
      <w:pPr>
        <w:pStyle w:val="StandardWeb"/>
      </w:pPr>
      <w:r>
        <w:t>in irgendeinem mathematischen Sinn stetig ist.</w:t>
      </w:r>
    </w:p>
    <w:p w:rsidR="00CF7C35" w:rsidRDefault="00CF7C35" w:rsidP="00CF7C35">
      <w:r>
        <w:pict>
          <v:rect id="_x0000_i5477" style="width:0;height:1.5pt" o:hralign="center" o:hrstd="t" o:hr="t" fillcolor="#a0a0a0" stroked="f"/>
        </w:pict>
      </w:r>
    </w:p>
    <w:p w:rsidR="00CF7C35" w:rsidRDefault="00CF7C35" w:rsidP="00CF7C35">
      <w:pPr>
        <w:pStyle w:val="berschrift2"/>
      </w:pPr>
      <w:r>
        <w:t>3.3.51.209 Definition 3.3.572 – Parametrisch kontinuierliche funktionale Aggregationsfamilie</w:t>
      </w:r>
    </w:p>
    <w:p w:rsidR="00CF7C35" w:rsidRDefault="00CF7C35" w:rsidP="00CF7C35">
      <w:pPr>
        <w:pStyle w:val="berschrift3"/>
      </w:pPr>
      <w:r>
        <w:t>Definition 3.3.572</w:t>
      </w:r>
    </w:p>
    <w:p w:rsidR="00CF7C35" w:rsidRDefault="00CF7C35" w:rsidP="00CF7C35">
      <w:pPr>
        <w:pStyle w:val="StandardWeb"/>
      </w:pPr>
      <w:r>
        <w:t xml:space="preserve">Eine Aggregationsfamilie heißt </w:t>
      </w:r>
      <w:r>
        <w:rPr>
          <w:rStyle w:val="Fett"/>
        </w:rPr>
        <w:t>parametrisch kontinuierlich</w:t>
      </w:r>
      <w:r>
        <w:t>, wenn auf (\Lambda_F) und einem geeigneten Raum von Aggregationsabbildungen topologische Strukturen definiert sind und</w:t>
      </w:r>
    </w:p>
    <w:p w:rsidR="00CF7C35" w:rsidRDefault="00CF7C35" w:rsidP="00CF7C35">
      <w:pPr>
        <w:pStyle w:val="StandardWeb"/>
      </w:pPr>
      <w:r>
        <w:t>[</w:t>
      </w:r>
      <w:r>
        <w:br/>
        <w:t>\boxed{</w:t>
      </w:r>
      <w:r>
        <w:br/>
        <w:t>\lambda</w:t>
      </w:r>
      <w:r>
        <w:br/>
      </w:r>
      <w:r>
        <w:lastRenderedPageBreak/>
        <w:t>\mapsto</w:t>
      </w:r>
      <w:r>
        <w:br/>
        <w:t>\mathcal A_F^{(\lambda)}</w:t>
      </w:r>
      <w:r>
        <w:br/>
        <w:t>}</w:t>
      </w:r>
      <w:r>
        <w:br/>
        <w:t>\tag{3.13521}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\boxed{\lambda\mapsto\mathcal A_F^{(\lambda)}}</w:t>
      </w:r>
    </w:p>
    <w:p w:rsidR="00CF7C35" w:rsidRDefault="00CF7C35" w:rsidP="00CF7C35">
      <w:pPr>
        <w:pStyle w:val="StandardWeb"/>
      </w:pPr>
      <w:r>
        <w:t>bezüglich dieser Strukturen stetig ist.</w:t>
      </w:r>
    </w:p>
    <w:p w:rsidR="00CF7C35" w:rsidRDefault="00CF7C35" w:rsidP="00CF7C35">
      <w:r>
        <w:pict>
          <v:rect id="_x0000_i5478" style="width:0;height:1.5pt" o:hralign="center" o:hrstd="t" o:hr="t" fillcolor="#a0a0a0" stroked="f"/>
        </w:pict>
      </w:r>
    </w:p>
    <w:p w:rsidR="00CF7C35" w:rsidRDefault="00CF7C35" w:rsidP="00CF7C35">
      <w:pPr>
        <w:pStyle w:val="berschrift1"/>
      </w:pPr>
      <w:r>
        <w:t>3.3.51.210 Kontinuität als zusätzliche Struktur</w:t>
      </w:r>
    </w:p>
    <w:p w:rsidR="00CF7C35" w:rsidRDefault="00CF7C35" w:rsidP="00CF7C35">
      <w:pPr>
        <w:pStyle w:val="StandardWeb"/>
      </w:pPr>
      <w:r>
        <w:t>Damit wird sichtbar, dass die Aussage</w:t>
      </w:r>
    </w:p>
    <w:p w:rsidR="00CF7C35" w:rsidRDefault="00CF7C35" w:rsidP="00CF7C35">
      <w:pPr>
        <w:pStyle w:val="StandardWeb"/>
      </w:pPr>
      <w:r>
        <w:t>[</w:t>
      </w:r>
      <w:r>
        <w:br/>
        <w:t>\mathcal A_F</w:t>
      </w:r>
      <w:r>
        <w:br/>
        <w:t>\text{ variiert kontinuierlich}</w:t>
      </w:r>
      <w:r>
        <w:br/>
        <w:t>\tag{3.13522}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A_F\text{ variiert kontinuierlich}</w:t>
      </w:r>
    </w:p>
    <w:p w:rsidR="00CF7C35" w:rsidRDefault="00CF7C35" w:rsidP="00CF7C35">
      <w:pPr>
        <w:pStyle w:val="StandardWeb"/>
      </w:pPr>
      <w:r>
        <w:t>bereits zusätzliche topologische Voraussetzungen benötigt.</w:t>
      </w:r>
    </w:p>
    <w:p w:rsidR="00CF7C35" w:rsidRDefault="00CF7C35" w:rsidP="00CF7C35">
      <w:pPr>
        <w:pStyle w:val="StandardWeb"/>
      </w:pPr>
      <w:r>
        <w:t>Es müssen insbesondere eine Topologie</w:t>
      </w:r>
    </w:p>
    <w:p w:rsidR="00CF7C35" w:rsidRDefault="00CF7C35" w:rsidP="00CF7C35">
      <w:pPr>
        <w:pStyle w:val="StandardWeb"/>
      </w:pPr>
      <w:r>
        <w:t>[</w:t>
      </w:r>
      <w:r>
        <w:br/>
        <w:t>\tau_\Lambda</w:t>
      </w:r>
      <w:r>
        <w:br/>
        <w:t>\tag{3.13523}</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\tau_\Lambda</w:t>
      </w:r>
    </w:p>
    <w:p w:rsidR="00CF7C35" w:rsidRDefault="00CF7C35" w:rsidP="00CF7C35">
      <w:pPr>
        <w:pStyle w:val="StandardWeb"/>
      </w:pPr>
      <w:r>
        <w:t>auf dem Parameterraum und eine geeignete Topologie</w:t>
      </w:r>
    </w:p>
    <w:p w:rsidR="00CF7C35" w:rsidRDefault="00CF7C35" w:rsidP="00CF7C35">
      <w:pPr>
        <w:pStyle w:val="StandardWeb"/>
      </w:pPr>
      <w:r>
        <w:t>[</w:t>
      </w:r>
      <w:r>
        <w:br/>
        <w:t>\tau_{\mathcal A}</w:t>
      </w:r>
      <w:r>
        <w:br/>
        <w:t>\tag{3.13524}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\tau_{\mathcal A}</w:t>
      </w:r>
    </w:p>
    <w:p w:rsidR="00CF7C35" w:rsidRDefault="00CF7C35" w:rsidP="00CF7C35">
      <w:pPr>
        <w:pStyle w:val="StandardWeb"/>
      </w:pPr>
      <w:r>
        <w:lastRenderedPageBreak/>
        <w:t>auf dem Raum der Aggregationsabbildungen festgelegt werden.</w:t>
      </w:r>
    </w:p>
    <w:p w:rsidR="00CF7C35" w:rsidRDefault="00CF7C35" w:rsidP="00CF7C35">
      <w:r>
        <w:pict>
          <v:rect id="_x0000_i5479" style="width:0;height:1.5pt" o:hralign="center" o:hrstd="t" o:hr="t" fillcolor="#a0a0a0" stroked="f"/>
        </w:pict>
      </w:r>
    </w:p>
    <w:p w:rsidR="00CF7C35" w:rsidRDefault="00CF7C35" w:rsidP="00CF7C35">
      <w:pPr>
        <w:pStyle w:val="berschrift1"/>
      </w:pPr>
      <w:r>
        <w:t>3.3.51.211 Universelle kontinuierliche Aggregationsentwicklung als Primäraxiomkandidat</w:t>
      </w:r>
    </w:p>
    <w:p w:rsidR="00CF7C35" w:rsidRDefault="00CF7C35" w:rsidP="00CF7C35">
      <w:pPr>
        <w:pStyle w:val="StandardWeb"/>
      </w:pPr>
      <w:r>
        <w:t>Ein möglicher Kandidat lautet</w:t>
      </w:r>
    </w:p>
    <w:p w:rsidR="00CF7C35" w:rsidRDefault="00CF7C35" w:rsidP="00CF7C35">
      <w:pPr>
        <w:pStyle w:val="StandardWeb"/>
      </w:pPr>
      <w:r>
        <w:t>[</w:t>
      </w:r>
      <w:r>
        <w:br/>
        <w:t>A_{\mathrm{cont-agg}}</w:t>
      </w:r>
      <w:r>
        <w:br/>
        <w:t>:</w:t>
      </w:r>
      <w:r>
        <w:br/>
        <w:t>\lambda</w:t>
      </w:r>
      <w:r>
        <w:br/>
        <w:t>\mapsto</w:t>
      </w:r>
      <w:r>
        <w:br/>
        <w:t>\mathcal A_F^{(\lambda)}</w:t>
      </w:r>
      <w:r>
        <w:br/>
        <w:t>\text{ ist stetig}.</w:t>
      </w:r>
      <w:r>
        <w:br/>
        <w:t>\tag{3.13525}</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A_{\mathrm{cont-agg}}:\lambda\mapsto\mathcal A_F^{(\lambda)}\text{ ist stetig}</w:t>
      </w:r>
    </w:p>
    <w:p w:rsidR="00CF7C35" w:rsidRDefault="00CF7C35" w:rsidP="00CF7C35">
      <w:r>
        <w:pict>
          <v:rect id="_x0000_i5480" style="width:0;height:1.5pt" o:hralign="center" o:hrstd="t" o:hr="t" fillcolor="#a0a0a0" stroked="f"/>
        </w:pict>
      </w:r>
    </w:p>
    <w:p w:rsidR="00CF7C35" w:rsidRDefault="00CF7C35" w:rsidP="00CF7C35">
      <w:pPr>
        <w:pStyle w:val="berschrift1"/>
      </w:pPr>
      <w:r>
        <w:t>3.3.51.212 Gegenmodell zur universellen Kontinuität</w:t>
      </w:r>
    </w:p>
    <w:p w:rsidR="00CF7C35" w:rsidRDefault="00CF7C35" w:rsidP="00CF7C35">
      <w:pPr>
        <w:pStyle w:val="StandardWeb"/>
      </w:pPr>
      <w:r>
        <w:t>Eine zulässige Aggregationsfamilie kann sprunghaft zwischen zwei Regeln wechseln:</w:t>
      </w:r>
    </w:p>
    <w:p w:rsidR="00CF7C35" w:rsidRDefault="00CF7C35" w:rsidP="00CF7C35">
      <w:pPr>
        <w:pStyle w:val="berschrift1"/>
      </w:pPr>
      <w:r>
        <w:t>[</w:t>
      </w:r>
      <w:r>
        <w:br/>
        <w:t>\mathcal A_F^{(\lambda)}</w:t>
      </w:r>
    </w:p>
    <w:p w:rsidR="00CF7C35" w:rsidRDefault="00CF7C35" w:rsidP="00CF7C35">
      <w:pPr>
        <w:pStyle w:val="StandardWeb"/>
      </w:pPr>
      <w:r>
        <w:t>\begin{cases}</w:t>
      </w:r>
      <w:r>
        <w:br/>
        <w:t>\mathcal A_{F,1},</w:t>
      </w:r>
      <w:r>
        <w:br/>
        <w:t>&amp;</w:t>
      </w:r>
      <w:r>
        <w:br/>
        <w:t>\lambda&lt;\lambda^\star,</w:t>
      </w:r>
      <w:r>
        <w:br/>
        <w:t>\</w:t>
      </w:r>
      <w:r>
        <w:br/>
        <w:t>\mathcal A_{F,2},</w:t>
      </w:r>
      <w:r>
        <w:br/>
        <w:t>&amp;</w:t>
      </w:r>
      <w:r>
        <w:br/>
        <w:t>\lambda\geq\lambda^\star.</w:t>
      </w:r>
      <w:r>
        <w:br/>
        <w:t>\end{cases}</w:t>
      </w:r>
      <w:r>
        <w:br/>
        <w:t>\tag{3.13526}</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A_F^{(\lambda)}=\begin{cases}\mathcal A_{F,1},&amp;\lambda&lt;\lambda^\star,\\\mathcal A_{F,2},&amp;\lambda\geq\lambda^\star.\end{cases}</w:t>
      </w:r>
    </w:p>
    <w:p w:rsidR="00CF7C35" w:rsidRDefault="00CF7C35" w:rsidP="00CF7C35">
      <w:pPr>
        <w:pStyle w:val="StandardWeb"/>
      </w:pPr>
      <w:r>
        <w:lastRenderedPageBreak/>
        <w:t>Dabei sei</w:t>
      </w:r>
    </w:p>
    <w:p w:rsidR="00CF7C35" w:rsidRDefault="00CF7C35" w:rsidP="00CF7C35">
      <w:pPr>
        <w:pStyle w:val="StandardWeb"/>
      </w:pPr>
      <w:r>
        <w:t>[</w:t>
      </w:r>
      <w:r>
        <w:br/>
        <w:t>\mathcal A_{F,1}</w:t>
      </w:r>
      <w:r>
        <w:br/>
        <w:t>\neq</w:t>
      </w:r>
      <w:r>
        <w:br/>
        <w:t>\mathcal A_{F,2}.</w:t>
      </w:r>
      <w:r>
        <w:br/>
        <w:t>\tag{3.13527}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A_{F,1}\neq\mathcal A_{F,2}</w:t>
      </w:r>
    </w:p>
    <w:p w:rsidR="00CF7C35" w:rsidRDefault="00CF7C35" w:rsidP="00CF7C35">
      <w:pPr>
        <w:pStyle w:val="StandardWeb"/>
      </w:pPr>
      <w:r>
        <w:t>Damit ist eine diskontinuierliche Aggregationsentwicklung möglich.</w:t>
      </w:r>
    </w:p>
    <w:p w:rsidR="00CF7C35" w:rsidRDefault="00CF7C35" w:rsidP="00CF7C35">
      <w:r>
        <w:pict>
          <v:rect id="_x0000_i5481" style="width:0;height:1.5pt" o:hralign="center" o:hrstd="t" o:hr="t" fillcolor="#a0a0a0" stroked="f"/>
        </w:pict>
      </w:r>
    </w:p>
    <w:p w:rsidR="00CF7C35" w:rsidRDefault="00CF7C35" w:rsidP="00CF7C35">
      <w:pPr>
        <w:pStyle w:val="berschrift1"/>
      </w:pPr>
      <w:r>
        <w:t>3.3.51.213 Axiomentscheidung zur Aggregationskontinuität</w:t>
      </w:r>
    </w:p>
    <w:p w:rsidR="00CF7C35" w:rsidRDefault="00CF7C35" w:rsidP="00CF7C35">
      <w:pPr>
        <w:pStyle w:val="StandardWeb"/>
      </w:pPr>
      <w:r>
        <w:t>Es folgt</w:t>
      </w:r>
    </w:p>
    <w:p w:rsidR="00CF7C35" w:rsidRDefault="00CF7C35" w:rsidP="00CF7C35">
      <w:pPr>
        <w:pStyle w:val="berschrift1"/>
      </w:pPr>
      <w:r>
        <w:t>[</w:t>
      </w:r>
      <w:r>
        <w:br/>
        <w:t>\boxed{</w:t>
      </w:r>
      <w:r>
        <w:br/>
        <w:t>U_{\mathrm{Ax}}</w:t>
      </w:r>
      <w:r>
        <w:br/>
        <w:t>(A_{\mathrm{cont-agg}})</w:t>
      </w:r>
    </w:p>
    <w:p w:rsidR="00CF7C35" w:rsidRDefault="00CF7C35" w:rsidP="009F7790">
      <w:pPr>
        <w:numPr>
          <w:ilvl w:val="0"/>
          <w:numId w:val="678"/>
        </w:numPr>
        <w:spacing w:before="100" w:beforeAutospacing="1" w:after="100" w:afterAutospacing="1"/>
      </w:pPr>
    </w:p>
    <w:p w:rsidR="00CF7C35" w:rsidRDefault="00CF7C35" w:rsidP="00CF7C35">
      <w:pPr>
        <w:pStyle w:val="StandardWeb"/>
      </w:pPr>
      <w:r>
        <w:t>}</w:t>
      </w:r>
      <w:r>
        <w:br/>
        <w:t>\tag{3.13528}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\boxed{U_{\mathrm{Ax}}(A_{\mathrm{cont-agg}})=0.}</w:t>
      </w:r>
    </w:p>
    <w:p w:rsidR="00CF7C35" w:rsidRDefault="00CF7C35" w:rsidP="00CF7C35">
      <w:r>
        <w:pict>
          <v:rect id="_x0000_i5482" style="width:0;height:1.5pt" o:hralign="center" o:hrstd="t" o:hr="t" fillcolor="#a0a0a0" stroked="f"/>
        </w:pict>
      </w:r>
    </w:p>
    <w:p w:rsidR="00CF7C35" w:rsidRDefault="00CF7C35" w:rsidP="00CF7C35">
      <w:pPr>
        <w:pStyle w:val="berschrift1"/>
      </w:pPr>
      <w:r>
        <w:t>3.3.51.214 Satz 3.3.223 – Kontinuierliche Aggregationsentwicklung ist kein Primäraxiom</w:t>
      </w:r>
    </w:p>
    <w:p w:rsidR="00CF7C35" w:rsidRDefault="00CF7C35" w:rsidP="00CF7C35">
      <w:pPr>
        <w:pStyle w:val="berschrift3"/>
      </w:pPr>
      <w:r>
        <w:t>Satz 3.3.223</w:t>
      </w:r>
    </w:p>
    <w:p w:rsidR="00CF7C35" w:rsidRDefault="00CF7C35" w:rsidP="00CF7C35">
      <w:pPr>
        <w:pStyle w:val="StandardWeb"/>
      </w:pPr>
      <w:r>
        <w:t>Die Forderung, parametrisierte funktionale Aggregationsfamilien müssten sich bezüglich des Parameters kontinuierlich verändern, ist keine universell notwendige Voraussetzung des allgemeinen FRZK.</w:t>
      </w:r>
    </w:p>
    <w:p w:rsidR="00CF7C35" w:rsidRDefault="00CF7C35" w:rsidP="00CF7C35">
      <w:pPr>
        <w:pStyle w:val="StandardWeb"/>
      </w:pPr>
      <w:r>
        <w:lastRenderedPageBreak/>
        <w:t>Formal gilt</w:t>
      </w:r>
    </w:p>
    <w:p w:rsidR="00CF7C35" w:rsidRDefault="00CF7C35" w:rsidP="00CF7C35">
      <w:pPr>
        <w:pStyle w:val="berschrift1"/>
      </w:pPr>
      <w:r>
        <w:t>[</w:t>
      </w:r>
      <w:r>
        <w:br/>
        <w:t>\boxed{</w:t>
      </w:r>
      <w:r>
        <w:br/>
        <w:t>U_{\mathrm{Ax}}</w:t>
      </w:r>
      <w:r>
        <w:br/>
        <w:t>(A_{\mathrm{cont-agg}})</w:t>
      </w:r>
    </w:p>
    <w:p w:rsidR="00CF7C35" w:rsidRDefault="00CF7C35" w:rsidP="009F7790">
      <w:pPr>
        <w:numPr>
          <w:ilvl w:val="0"/>
          <w:numId w:val="679"/>
        </w:numPr>
        <w:spacing w:before="100" w:beforeAutospacing="1" w:after="100" w:afterAutospacing="1"/>
      </w:pPr>
    </w:p>
    <w:p w:rsidR="00CF7C35" w:rsidRDefault="00CF7C35" w:rsidP="00CF7C35">
      <w:pPr>
        <w:pStyle w:val="StandardWeb"/>
      </w:pPr>
      <w:r>
        <w:t>}</w:t>
      </w:r>
      <w:r>
        <w:br/>
        <w:t>\tag{3.13529}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\boxed{U_{\mathrm{Ax}}(A_{\mathrm{cont-agg}})=0.}</w:t>
      </w:r>
    </w:p>
    <w:p w:rsidR="00CF7C35" w:rsidRDefault="00CF7C35" w:rsidP="00CF7C35">
      <w:pPr>
        <w:pStyle w:val="berschrift3"/>
      </w:pPr>
      <w:r>
        <w:t>Beweis</w:t>
      </w:r>
    </w:p>
    <w:p w:rsidR="00CF7C35" w:rsidRDefault="00CF7C35" w:rsidP="00CF7C35">
      <w:pPr>
        <w:pStyle w:val="StandardWeb"/>
      </w:pPr>
      <w:r>
        <w:t>Eine Aggregationsfamilie kann einen diskreten oder sprunghaften Regelwechsel besitzen:</w:t>
      </w:r>
    </w:p>
    <w:p w:rsidR="00CF7C35" w:rsidRDefault="00CF7C35" w:rsidP="00CF7C35">
      <w:pPr>
        <w:pStyle w:val="StandardWeb"/>
      </w:pPr>
      <w:r>
        <w:t>[</w:t>
      </w:r>
      <w:r>
        <w:br/>
        <w:t>\mathcal A_F^{(\lambda^-)}</w:t>
      </w:r>
      <w:r>
        <w:br/>
        <w:t>\neq</w:t>
      </w:r>
      <w:r>
        <w:br/>
        <w:t>\mathcal A_F^{(\lambda^+)}.</w:t>
      </w:r>
      <w:r>
        <w:br/>
        <w:t>\tag{3.13530}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A_F^{(\lambda^-)}\neq\mathcal A_F^{(\lambda^+)}</w:t>
      </w:r>
    </w:p>
    <w:p w:rsidR="00CF7C35" w:rsidRDefault="00CF7C35" w:rsidP="00CF7C35">
      <w:pPr>
        <w:pStyle w:val="StandardWeb"/>
      </w:pPr>
      <w:r>
        <w:t>Die Aggregationsabbildungen bleiben auf beiden Seiten des Übergangs wohldefiniert. Kontinuität ist daher keine universell notwendige Bedingung. (\square)</w:t>
      </w:r>
    </w:p>
    <w:p w:rsidR="00CF7C35" w:rsidRDefault="00CF7C35" w:rsidP="00CF7C35">
      <w:r>
        <w:pict>
          <v:rect id="_x0000_i5483" style="width:0;height:1.5pt" o:hralign="center" o:hrstd="t" o:hr="t" fillcolor="#a0a0a0" stroked="f"/>
        </w:pict>
      </w:r>
    </w:p>
    <w:p w:rsidR="00CF7C35" w:rsidRDefault="00CF7C35" w:rsidP="00CF7C35">
      <w:pPr>
        <w:pStyle w:val="berschrift1"/>
      </w:pPr>
      <w:r>
        <w:t>3.3.51.215 Korollar 3.3.55 – Zeit- und Parameterabhängigkeit ist modellabhängig</w:t>
      </w:r>
    </w:p>
    <w:p w:rsidR="00CF7C35" w:rsidRDefault="00CF7C35" w:rsidP="00CF7C35">
      <w:pPr>
        <w:pStyle w:val="berschrift3"/>
      </w:pPr>
      <w:r>
        <w:t>Korollar 3.3.55</w:t>
      </w:r>
    </w:p>
    <w:p w:rsidR="00CF7C35" w:rsidRDefault="00CF7C35" w:rsidP="00CF7C35">
      <w:pPr>
        <w:pStyle w:val="StandardWeb"/>
      </w:pPr>
      <w:r>
        <w:t>Aus Satz 3.3.223 folgt</w:t>
      </w:r>
    </w:p>
    <w:p w:rsidR="00CF7C35" w:rsidRDefault="00CF7C35" w:rsidP="00CF7C35">
      <w:pPr>
        <w:pStyle w:val="berschrift1"/>
      </w:pPr>
      <w:r>
        <w:t>[</w:t>
      </w:r>
      <w:r>
        <w:br/>
        <w:t>\boxed{</w:t>
      </w:r>
      <w:r>
        <w:br/>
      </w:r>
      <w:r>
        <w:lastRenderedPageBreak/>
        <w:t>\operatorname{Stat}</w:t>
      </w:r>
      <w:r>
        <w:br/>
        <w:t>(\mathfrak A_F)</w:t>
      </w:r>
    </w:p>
    <w:p w:rsidR="00CF7C35" w:rsidRDefault="00CF7C35" w:rsidP="00CF7C35">
      <w:pPr>
        <w:pStyle w:val="StandardWeb"/>
      </w:pPr>
      <w:r>
        <w:t>\mathrm{Def/Mod/Op}.</w:t>
      </w:r>
      <w:r>
        <w:br/>
        <w:t>}</w:t>
      </w:r>
      <w:r>
        <w:br/>
        <w:t>\tag{3.13531}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\boxed{\operatorname{Stat}(\mathfrak A_F)=\mathrm{Def/Mod/Op}.}</w:t>
      </w:r>
    </w:p>
    <w:p w:rsidR="00CF7C35" w:rsidRDefault="00CF7C35" w:rsidP="00CF7C35">
      <w:r>
        <w:pict>
          <v:rect id="_x0000_i5484" style="width:0;height:1.5pt" o:hralign="center" o:hrstd="t" o:hr="t" fillcolor="#a0a0a0" stroked="f"/>
        </w:pict>
      </w:r>
    </w:p>
    <w:p w:rsidR="00CF7C35" w:rsidRDefault="00CF7C35" w:rsidP="00CF7C35">
      <w:pPr>
        <w:pStyle w:val="berschrift1"/>
      </w:pPr>
      <w:r>
        <w:t>3.3.51.216 Aggregation über einen Zeitabschnitt</w:t>
      </w:r>
    </w:p>
    <w:p w:rsidR="00CF7C35" w:rsidRDefault="00CF7C35" w:rsidP="00CF7C35">
      <w:pPr>
        <w:pStyle w:val="StandardWeb"/>
      </w:pPr>
      <w:r>
        <w:t>Eine weitere Möglichkeit besteht darin, nicht mehrere Objekte zu einem Zeitpunkt, sondern eine Folge desselben oder verschiedener funktionaler Objekte über einen Zeitbereich zu aggregieren.</w:t>
      </w:r>
    </w:p>
    <w:p w:rsidR="00CF7C35" w:rsidRDefault="00CF7C35" w:rsidP="00CF7C35">
      <w:pPr>
        <w:pStyle w:val="StandardWeb"/>
      </w:pPr>
      <w:r>
        <w:t>Sei</w:t>
      </w:r>
    </w:p>
    <w:p w:rsidR="00CF7C35" w:rsidRDefault="00CF7C35" w:rsidP="00CF7C35">
      <w:pPr>
        <w:pStyle w:val="StandardWeb"/>
      </w:pPr>
      <w:r>
        <w:t>[</w:t>
      </w:r>
      <w:r>
        <w:br/>
        <w:t>X</w:t>
      </w:r>
      <w:r>
        <w:br/>
        <w:t>:</w:t>
      </w:r>
      <w:r>
        <w:br/>
        <w:t>\mathcal T</w:t>
      </w:r>
      <w:r>
        <w:br/>
        <w:t>\rightarrow</w:t>
      </w:r>
      <w:r>
        <w:br/>
        <w:t>\mathcal X_F</w:t>
      </w:r>
      <w:r>
        <w:br/>
        <w:t>\tag{3.13532}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X:\mathcal T\rightarrow\mathcal X_F</w:t>
      </w:r>
    </w:p>
    <w:p w:rsidR="00CF7C35" w:rsidRDefault="00CF7C35" w:rsidP="00CF7C35">
      <w:pPr>
        <w:pStyle w:val="StandardWeb"/>
      </w:pPr>
      <w:r>
        <w:t>eine zeitparametrisierte funktionale Objektfolge.</w:t>
      </w:r>
    </w:p>
    <w:p w:rsidR="00CF7C35" w:rsidRDefault="00CF7C35" w:rsidP="00CF7C35">
      <w:r>
        <w:pict>
          <v:rect id="_x0000_i5485" style="width:0;height:1.5pt" o:hralign="center" o:hrstd="t" o:hr="t" fillcolor="#a0a0a0" stroked="f"/>
        </w:pict>
      </w:r>
    </w:p>
    <w:p w:rsidR="00CF7C35" w:rsidRDefault="00CF7C35" w:rsidP="00CF7C35">
      <w:pPr>
        <w:pStyle w:val="berschrift2"/>
      </w:pPr>
      <w:r>
        <w:t>3.3.51.217 Definition 3.3.573 – Funktionaler Objektverlauf</w:t>
      </w:r>
    </w:p>
    <w:p w:rsidR="00CF7C35" w:rsidRDefault="00CF7C35" w:rsidP="00CF7C35">
      <w:pPr>
        <w:pStyle w:val="berschrift3"/>
      </w:pPr>
      <w:r>
        <w:t>Definition 3.3.573</w:t>
      </w:r>
    </w:p>
    <w:p w:rsidR="00CF7C35" w:rsidRDefault="00CF7C35" w:rsidP="00CF7C35">
      <w:pPr>
        <w:pStyle w:val="StandardWeb"/>
      </w:pPr>
      <w:r>
        <w:t xml:space="preserve">Ein </w:t>
      </w:r>
      <w:r>
        <w:rPr>
          <w:rStyle w:val="Fett"/>
        </w:rPr>
        <w:t>funktionaler Objektverlauf</w:t>
      </w:r>
      <w:r>
        <w:t xml:space="preserve"> ist eine Abbildung</w:t>
      </w:r>
    </w:p>
    <w:p w:rsidR="00CF7C35" w:rsidRDefault="00CF7C35" w:rsidP="00CF7C35">
      <w:pPr>
        <w:pStyle w:val="StandardWeb"/>
      </w:pPr>
      <w:r>
        <w:t>[</w:t>
      </w:r>
      <w:r>
        <w:br/>
        <w:t>\boxed{</w:t>
      </w:r>
      <w:r>
        <w:br/>
        <w:t>X</w:t>
      </w:r>
      <w:r>
        <w:br/>
        <w:t>:</w:t>
      </w:r>
      <w:r>
        <w:br/>
        <w:t>\mathcal T</w:t>
      </w:r>
      <w:r>
        <w:br/>
      </w:r>
      <w:r>
        <w:lastRenderedPageBreak/>
        <w:t>\rightarrow</w:t>
      </w:r>
      <w:r>
        <w:br/>
        <w:t>\mathcal X_F.</w:t>
      </w:r>
      <w:r>
        <w:br/>
        <w:t>}</w:t>
      </w:r>
      <w:r>
        <w:br/>
        <w:t>\tag{3.13533}</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\boxed{X:\mathcal T\rightarrow\mathcal X_F.}</w:t>
      </w:r>
    </w:p>
    <w:p w:rsidR="00CF7C35" w:rsidRDefault="00CF7C35" w:rsidP="00CF7C35">
      <w:r>
        <w:pict>
          <v:rect id="_x0000_i5486" style="width:0;height:1.5pt" o:hralign="center" o:hrstd="t" o:hr="t" fillcolor="#a0a0a0" stroked="f"/>
        </w:pict>
      </w:r>
    </w:p>
    <w:p w:rsidR="00CF7C35" w:rsidRDefault="00CF7C35" w:rsidP="00CF7C35">
      <w:pPr>
        <w:pStyle w:val="berschrift1"/>
      </w:pPr>
      <w:r>
        <w:t>3.3.51.218 Zeitfenster</w:t>
      </w:r>
    </w:p>
    <w:p w:rsidR="00CF7C35" w:rsidRDefault="00CF7C35" w:rsidP="00CF7C35">
      <w:pPr>
        <w:pStyle w:val="StandardWeb"/>
      </w:pPr>
      <w:r>
        <w:t>Ich betrachte ein Zeitfenster</w:t>
      </w:r>
    </w:p>
    <w:p w:rsidR="00CF7C35" w:rsidRDefault="00CF7C35" w:rsidP="00CF7C35">
      <w:pPr>
        <w:pStyle w:val="StandardWeb"/>
      </w:pPr>
      <w:r>
        <w:t>[</w:t>
      </w:r>
      <w:r>
        <w:br/>
        <w:t>W</w:t>
      </w:r>
      <w:r>
        <w:br/>
        <w:t>\subseteq</w:t>
      </w:r>
      <w:r>
        <w:br/>
        <w:t>\mathcal T.</w:t>
      </w:r>
      <w:r>
        <w:br/>
        <w:t>\tag{3.13534}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W\subseteq\mathcal T</w:t>
      </w:r>
    </w:p>
    <w:p w:rsidR="00CF7C35" w:rsidRDefault="00CF7C35" w:rsidP="00CF7C35">
      <w:pPr>
        <w:pStyle w:val="StandardWeb"/>
      </w:pPr>
      <w:r>
        <w:t>Die innerhalb dieses Fensters betrachtete Objektfamilie ist</w:t>
      </w:r>
    </w:p>
    <w:p w:rsidR="00CF7C35" w:rsidRDefault="00CF7C35" w:rsidP="00CF7C35">
      <w:pPr>
        <w:pStyle w:val="berschrift1"/>
      </w:pPr>
      <w:r>
        <w:t>[</w:t>
      </w:r>
      <w:r>
        <w:br/>
        <w:t>X(W)</w:t>
      </w:r>
    </w:p>
    <w:p w:rsidR="00CF7C35" w:rsidRDefault="00CF7C35" w:rsidP="00CF7C35">
      <w:pPr>
        <w:pStyle w:val="StandardWeb"/>
      </w:pPr>
      <w:r>
        <w:t>{X(t):t\in W}.</w:t>
      </w:r>
      <w:r>
        <w:br/>
        <w:t>\tag{3.13535}</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X(W)=\{X(t):t\in W\}</w:t>
      </w:r>
    </w:p>
    <w:p w:rsidR="00CF7C35" w:rsidRDefault="00CF7C35" w:rsidP="00CF7C35">
      <w:r>
        <w:pict>
          <v:rect id="_x0000_i5487" style="width:0;height:1.5pt" o:hralign="center" o:hrstd="t" o:hr="t" fillcolor="#a0a0a0" stroked="f"/>
        </w:pict>
      </w:r>
    </w:p>
    <w:p w:rsidR="00CF7C35" w:rsidRDefault="00CF7C35" w:rsidP="00CF7C35">
      <w:pPr>
        <w:pStyle w:val="berschrift2"/>
      </w:pPr>
      <w:r>
        <w:t>3.3.51.219 Definition 3.3.574 – Zeitfensterbezogene funktionale Aggregation</w:t>
      </w:r>
    </w:p>
    <w:p w:rsidR="00CF7C35" w:rsidRDefault="00CF7C35" w:rsidP="00CF7C35">
      <w:pPr>
        <w:pStyle w:val="berschrift3"/>
      </w:pPr>
      <w:r>
        <w:t>Definition 3.3.574</w:t>
      </w:r>
    </w:p>
    <w:p w:rsidR="00CF7C35" w:rsidRDefault="00CF7C35" w:rsidP="00CF7C35">
      <w:pPr>
        <w:pStyle w:val="StandardWeb"/>
      </w:pPr>
      <w:r>
        <w:t xml:space="preserve">Eine </w:t>
      </w:r>
      <w:r>
        <w:rPr>
          <w:rStyle w:val="Fett"/>
        </w:rPr>
        <w:t>zeitfensterbezogene funktionale Aggregation</w:t>
      </w:r>
      <w:r>
        <w:t xml:space="preserve"> ist eine Abbildung</w:t>
      </w:r>
    </w:p>
    <w:p w:rsidR="00CF7C35" w:rsidRDefault="00CF7C35" w:rsidP="00CF7C35">
      <w:pPr>
        <w:pStyle w:val="StandardWeb"/>
      </w:pPr>
      <w:r>
        <w:lastRenderedPageBreak/>
        <w:t>[</w:t>
      </w:r>
      <w:r>
        <w:br/>
        <w:t>\boxed{</w:t>
      </w:r>
      <w:r>
        <w:br/>
        <w:t>\mathcal A_F^{W}</w:t>
      </w:r>
      <w:r>
        <w:br/>
        <w:t>:</w:t>
      </w:r>
      <w:r>
        <w:br/>
        <w:t>X(W)</w:t>
      </w:r>
      <w:r>
        <w:br/>
        <w:t>\mapsto</w:t>
      </w:r>
      <w:r>
        <w:br/>
        <w:t>Z_W.</w:t>
      </w:r>
      <w:r>
        <w:br/>
        <w:t>}</w:t>
      </w:r>
      <w:r>
        <w:br/>
        <w:t>\tag{3.13536}</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\boxed{\mathcal A_F^{W}:X(W)\mapsto Z_W.}</w:t>
      </w:r>
    </w:p>
    <w:p w:rsidR="00CF7C35" w:rsidRDefault="00CF7C35" w:rsidP="00CF7C35">
      <w:r>
        <w:pict>
          <v:rect id="_x0000_i5488" style="width:0;height:1.5pt" o:hralign="center" o:hrstd="t" o:hr="t" fillcolor="#a0a0a0" stroked="f"/>
        </w:pict>
      </w:r>
    </w:p>
    <w:p w:rsidR="00CF7C35" w:rsidRDefault="00CF7C35" w:rsidP="00CF7C35">
      <w:pPr>
        <w:pStyle w:val="berschrift1"/>
      </w:pPr>
      <w:r>
        <w:t>3.3.51.220 Unterschiedliche Zeitfenster</w:t>
      </w:r>
    </w:p>
    <w:p w:rsidR="00CF7C35" w:rsidRDefault="00CF7C35" w:rsidP="00CF7C35">
      <w:pPr>
        <w:pStyle w:val="StandardWeb"/>
      </w:pPr>
      <w:r>
        <w:t>Für zwei verschiedene Zeitfenster kann gelten</w:t>
      </w:r>
    </w:p>
    <w:p w:rsidR="00CF7C35" w:rsidRDefault="00CF7C35" w:rsidP="00CF7C35">
      <w:pPr>
        <w:pStyle w:val="StandardWeb"/>
      </w:pPr>
      <w:r>
        <w:t>[</w:t>
      </w:r>
      <w:r>
        <w:br/>
        <w:t>W_1</w:t>
      </w:r>
      <w:r>
        <w:br/>
        <w:t>\neq</w:t>
      </w:r>
      <w:r>
        <w:br/>
        <w:t>W_2</w:t>
      </w:r>
      <w:r>
        <w:br/>
        <w:t>\tag{3.13537}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W_1\neq W_2</w:t>
      </w:r>
    </w:p>
    <w:p w:rsidR="00CF7C35" w:rsidRDefault="00CF7C35" w:rsidP="00CF7C35">
      <w:pPr>
        <w:pStyle w:val="StandardWeb"/>
      </w:pPr>
      <w:r>
        <w:t>und entsprechend</w:t>
      </w:r>
    </w:p>
    <w:p w:rsidR="00CF7C35" w:rsidRDefault="00CF7C35" w:rsidP="00CF7C35">
      <w:pPr>
        <w:pStyle w:val="StandardWeb"/>
      </w:pPr>
      <w:r>
        <w:t>[</w:t>
      </w:r>
      <w:r>
        <w:br/>
        <w:t>\mathcal A_F^{W_1}</w:t>
      </w:r>
      <w:r>
        <w:br/>
        <w:t>(X(W_1))</w:t>
      </w:r>
      <w:r>
        <w:br/>
        <w:t>\neq</w:t>
      </w:r>
      <w:r>
        <w:br/>
        <w:t>\mathcal A_F^{W_2}</w:t>
      </w:r>
      <w:r>
        <w:br/>
        <w:t>(X(W_2)).</w:t>
      </w:r>
      <w:r>
        <w:br/>
        <w:t>\tag{3.13538}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A_F^{W_1}(X(W_1))\neq\mathcal A_F^{W_2}(X(W_2))</w:t>
      </w:r>
    </w:p>
    <w:p w:rsidR="00CF7C35" w:rsidRDefault="00CF7C35" w:rsidP="00CF7C35">
      <w:r>
        <w:pict>
          <v:rect id="_x0000_i5489" style="width:0;height:1.5pt" o:hralign="center" o:hrstd="t" o:hr="t" fillcolor="#a0a0a0" stroked="f"/>
        </w:pict>
      </w:r>
    </w:p>
    <w:p w:rsidR="00CF7C35" w:rsidRDefault="00CF7C35" w:rsidP="00CF7C35">
      <w:pPr>
        <w:pStyle w:val="berschrift1"/>
      </w:pPr>
      <w:r>
        <w:t>3.3.51.221 Definition 3.3.575 – Zeitfensterabhängigkeit der Aggregation</w:t>
      </w:r>
    </w:p>
    <w:p w:rsidR="00CF7C35" w:rsidRDefault="00CF7C35" w:rsidP="00CF7C35">
      <w:pPr>
        <w:pStyle w:val="berschrift3"/>
      </w:pPr>
      <w:r>
        <w:lastRenderedPageBreak/>
        <w:t>Definition 3.3.575</w:t>
      </w:r>
    </w:p>
    <w:p w:rsidR="00CF7C35" w:rsidRDefault="00CF7C35" w:rsidP="00CF7C35">
      <w:pPr>
        <w:pStyle w:val="StandardWeb"/>
      </w:pPr>
      <w:r>
        <w:t xml:space="preserve">Eine funktionale Aggregation heißt </w:t>
      </w:r>
      <w:r>
        <w:rPr>
          <w:rStyle w:val="Fett"/>
        </w:rPr>
        <w:t>zeitfensterabhängig</w:t>
      </w:r>
      <w:r>
        <w:t>, wenn</w:t>
      </w:r>
    </w:p>
    <w:p w:rsidR="00CF7C35" w:rsidRDefault="00CF7C35" w:rsidP="00CF7C35">
      <w:pPr>
        <w:pStyle w:val="StandardWeb"/>
      </w:pPr>
      <w:r>
        <w:t>[</w:t>
      </w:r>
      <w:r>
        <w:br/>
        <w:t>\boxed{</w:t>
      </w:r>
      <w:r>
        <w:br/>
        <w:t>W_1\neq W_2</w:t>
      </w:r>
      <w:r>
        <w:br/>
        <w:t>\land</w:t>
      </w:r>
      <w:r>
        <w:br/>
        <w:t>\mathcal A_F^{W_1}(X(W_1))</w:t>
      </w:r>
      <w:r>
        <w:br/>
        <w:t>\neq</w:t>
      </w:r>
      <w:r>
        <w:br/>
        <w:t>\mathcal A_F^{W_2}(X(W_2)).</w:t>
      </w:r>
      <w:r>
        <w:br/>
        <w:t>}</w:t>
      </w:r>
      <w:r>
        <w:br/>
        <w:t>\tag{3.13539}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\boxed{W_1\neq W_2\land\mathcal A_F^{W_1}(X(W_1))\neq\mathcal A_F^{W_2}(X(W_2)).}</w:t>
      </w:r>
    </w:p>
    <w:p w:rsidR="00CF7C35" w:rsidRDefault="00CF7C35" w:rsidP="00CF7C35">
      <w:r>
        <w:pict>
          <v:rect id="_x0000_i5490" style="width:0;height:1.5pt" o:hralign="center" o:hrstd="t" o:hr="t" fillcolor="#a0a0a0" stroked="f"/>
        </w:pict>
      </w:r>
    </w:p>
    <w:p w:rsidR="00CF7C35" w:rsidRDefault="00CF7C35" w:rsidP="00CF7C35">
      <w:pPr>
        <w:pStyle w:val="berschrift1"/>
      </w:pPr>
      <w:r>
        <w:t>3.3.51.222 Zeitfensterinvarianz als Primäraxiomkandidat</w:t>
      </w:r>
    </w:p>
    <w:p w:rsidR="00CF7C35" w:rsidRDefault="00CF7C35" w:rsidP="00CF7C35">
      <w:pPr>
        <w:pStyle w:val="StandardWeb"/>
      </w:pPr>
      <w:r>
        <w:t>Ein möglicher Kandidat wäre</w:t>
      </w:r>
    </w:p>
    <w:p w:rsidR="00CF7C35" w:rsidRDefault="00CF7C35" w:rsidP="00CF7C35">
      <w:pPr>
        <w:pStyle w:val="berschrift1"/>
      </w:pPr>
      <w:r>
        <w:t>[</w:t>
      </w:r>
      <w:r>
        <w:br/>
        <w:t>A_{\mathrm{window}}</w:t>
      </w:r>
      <w:r>
        <w:br/>
        <w:t>:</w:t>
      </w:r>
      <w:r>
        <w:br/>
        <w:t>\mathcal A_F^{W_1}</w:t>
      </w:r>
    </w:p>
    <w:p w:rsidR="00CF7C35" w:rsidRDefault="00CF7C35" w:rsidP="00CF7C35">
      <w:pPr>
        <w:pStyle w:val="StandardWeb"/>
      </w:pPr>
      <w:r>
        <w:t>\mathcal A_F^{W_2}</w:t>
      </w:r>
      <w:r>
        <w:br/>
        <w:t>\quad</w:t>
      </w:r>
      <w:r>
        <w:br/>
        <w:t>\forall W_1,W_2.</w:t>
      </w:r>
      <w:r>
        <w:br/>
        <w:t>\tag{3.13540}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A_{\mathrm{window}}:\mathcal A_F^{W_1}=\mathcal A_F^{W_2}\quad\forall W_1,W_2</w:t>
      </w:r>
    </w:p>
    <w:p w:rsidR="00CF7C35" w:rsidRDefault="00CF7C35" w:rsidP="00CF7C35">
      <w:r>
        <w:pict>
          <v:rect id="_x0000_i5491" style="width:0;height:1.5pt" o:hralign="center" o:hrstd="t" o:hr="t" fillcolor="#a0a0a0" stroked="f"/>
        </w:pict>
      </w:r>
    </w:p>
    <w:p w:rsidR="00CF7C35" w:rsidRDefault="00CF7C35" w:rsidP="00CF7C35">
      <w:pPr>
        <w:pStyle w:val="berschrift1"/>
      </w:pPr>
      <w:r>
        <w:t>3.3.51.223 Gegenmodell zur Zeitfensterinvarianz</w:t>
      </w:r>
    </w:p>
    <w:p w:rsidR="00CF7C35" w:rsidRDefault="00CF7C35" w:rsidP="00CF7C35">
      <w:pPr>
        <w:pStyle w:val="StandardWeb"/>
      </w:pPr>
      <w:r>
        <w:lastRenderedPageBreak/>
        <w:t>Eine Aggregation kann beispielsweise nur lokale zeitliche Ereignisse berücksichtigen. Dann hängt das Ergebnis unmittelbar davon ab, welches Fenster gewählt wird:</w:t>
      </w:r>
    </w:p>
    <w:p w:rsidR="00CF7C35" w:rsidRDefault="00CF7C35" w:rsidP="00CF7C35">
      <w:pPr>
        <w:pStyle w:val="StandardWeb"/>
      </w:pPr>
      <w:r>
        <w:t>[</w:t>
      </w:r>
      <w:r>
        <w:br/>
        <w:t>Z_{W_1}</w:t>
      </w:r>
      <w:r>
        <w:br/>
        <w:t>\neq</w:t>
      </w:r>
      <w:r>
        <w:br/>
        <w:t>Z_{W_2}.</w:t>
      </w:r>
      <w:r>
        <w:br/>
        <w:t>\tag{3.13541}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Z_{W_1}\neq Z_{W_2}</w:t>
      </w:r>
    </w:p>
    <w:p w:rsidR="00CF7C35" w:rsidRDefault="00CF7C35" w:rsidP="00CF7C35">
      <w:r>
        <w:pict>
          <v:rect id="_x0000_i5492" style="width:0;height:1.5pt" o:hralign="center" o:hrstd="t" o:hr="t" fillcolor="#a0a0a0" stroked="f"/>
        </w:pict>
      </w:r>
    </w:p>
    <w:p w:rsidR="00CF7C35" w:rsidRDefault="00CF7C35" w:rsidP="00CF7C35">
      <w:pPr>
        <w:pStyle w:val="berschrift1"/>
      </w:pPr>
      <w:r>
        <w:t>3.3.51.224 Axiomentscheidung zur Zeitfensterinvarianz</w:t>
      </w:r>
    </w:p>
    <w:p w:rsidR="00CF7C35" w:rsidRDefault="00CF7C35" w:rsidP="00CF7C35">
      <w:pPr>
        <w:pStyle w:val="StandardWeb"/>
      </w:pPr>
      <w:r>
        <w:t>Damit gilt</w:t>
      </w:r>
    </w:p>
    <w:p w:rsidR="00CF7C35" w:rsidRDefault="00CF7C35" w:rsidP="00CF7C35">
      <w:pPr>
        <w:pStyle w:val="berschrift1"/>
      </w:pPr>
      <w:r>
        <w:t>[</w:t>
      </w:r>
      <w:r>
        <w:br/>
        <w:t>\boxed{</w:t>
      </w:r>
      <w:r>
        <w:br/>
        <w:t>U_{\mathrm{Ax}}</w:t>
      </w:r>
      <w:r>
        <w:br/>
        <w:t>(A_{\mathrm{window}})</w:t>
      </w:r>
    </w:p>
    <w:p w:rsidR="00CF7C35" w:rsidRDefault="00CF7C35" w:rsidP="009F7790">
      <w:pPr>
        <w:numPr>
          <w:ilvl w:val="0"/>
          <w:numId w:val="680"/>
        </w:numPr>
        <w:spacing w:before="100" w:beforeAutospacing="1" w:after="100" w:afterAutospacing="1"/>
      </w:pPr>
    </w:p>
    <w:p w:rsidR="00CF7C35" w:rsidRDefault="00CF7C35" w:rsidP="00CF7C35">
      <w:pPr>
        <w:pStyle w:val="StandardWeb"/>
      </w:pPr>
      <w:r>
        <w:t>}</w:t>
      </w:r>
      <w:r>
        <w:br/>
        <w:t>\tag{3.13542}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\boxed{U_{\mathrm{Ax}}(A_{\mathrm{window}})=0.}</w:t>
      </w:r>
    </w:p>
    <w:p w:rsidR="00CF7C35" w:rsidRDefault="00CF7C35" w:rsidP="00CF7C35">
      <w:r>
        <w:pict>
          <v:rect id="_x0000_i5493" style="width:0;height:1.5pt" o:hralign="center" o:hrstd="t" o:hr="t" fillcolor="#a0a0a0" stroked="f"/>
        </w:pict>
      </w:r>
    </w:p>
    <w:p w:rsidR="00CF7C35" w:rsidRDefault="00CF7C35" w:rsidP="00CF7C35">
      <w:pPr>
        <w:pStyle w:val="berschrift1"/>
      </w:pPr>
      <w:r>
        <w:t>3.3.51.225 Satz 3.3.224 – Zeitfensterinvarianz ist kein Primäraxiom</w:t>
      </w:r>
    </w:p>
    <w:p w:rsidR="00CF7C35" w:rsidRDefault="00CF7C35" w:rsidP="00CF7C35">
      <w:pPr>
        <w:pStyle w:val="berschrift3"/>
      </w:pPr>
      <w:r>
        <w:t>Satz 3.3.224</w:t>
      </w:r>
    </w:p>
    <w:p w:rsidR="00CF7C35" w:rsidRDefault="00CF7C35" w:rsidP="00CF7C35">
      <w:pPr>
        <w:pStyle w:val="StandardWeb"/>
      </w:pPr>
      <w:r>
        <w:t>Die Forderung, eine funktionale Aggregation müsse unabhängig vom gewählten Zeitfenster dasselbe strukturelle Ergebnis liefern, ist keine universell notwendige Voraussetzung des allgemeinen FRZK.</w:t>
      </w:r>
    </w:p>
    <w:p w:rsidR="00CF7C35" w:rsidRDefault="00CF7C35" w:rsidP="00CF7C35">
      <w:pPr>
        <w:pStyle w:val="berschrift1"/>
      </w:pPr>
      <w:r>
        <w:lastRenderedPageBreak/>
        <w:t>[</w:t>
      </w:r>
      <w:r>
        <w:br/>
        <w:t>\boxed{</w:t>
      </w:r>
      <w:r>
        <w:br/>
        <w:t>U_{\mathrm{Ax}}</w:t>
      </w:r>
      <w:r>
        <w:br/>
        <w:t>(A_{\mathrm{window}})</w:t>
      </w:r>
    </w:p>
    <w:p w:rsidR="00CF7C35" w:rsidRDefault="00CF7C35" w:rsidP="009F7790">
      <w:pPr>
        <w:numPr>
          <w:ilvl w:val="0"/>
          <w:numId w:val="681"/>
        </w:numPr>
        <w:spacing w:before="100" w:beforeAutospacing="1" w:after="100" w:afterAutospacing="1"/>
      </w:pPr>
    </w:p>
    <w:p w:rsidR="00CF7C35" w:rsidRDefault="00CF7C35" w:rsidP="00CF7C35">
      <w:pPr>
        <w:pStyle w:val="StandardWeb"/>
      </w:pPr>
      <w:r>
        <w:t>}</w:t>
      </w:r>
      <w:r>
        <w:br/>
        <w:t>\tag{3.13543}</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\boxed{U_{\mathrm{Ax}}(A_{\mathrm{window}})=0.}</w:t>
      </w:r>
    </w:p>
    <w:p w:rsidR="00CF7C35" w:rsidRDefault="00CF7C35" w:rsidP="00CF7C35">
      <w:r>
        <w:pict>
          <v:rect id="_x0000_i5494" style="width:0;height:1.5pt" o:hralign="center" o:hrstd="t" o:hr="t" fillcolor="#a0a0a0" stroked="f"/>
        </w:pict>
      </w:r>
    </w:p>
    <w:p w:rsidR="00CF7C35" w:rsidRDefault="00CF7C35" w:rsidP="00CF7C35">
      <w:pPr>
        <w:pStyle w:val="berschrift1"/>
      </w:pPr>
      <w:r>
        <w:t>3.3.51.226 Übergang zur Minimalitätsprüfung</w:t>
      </w:r>
    </w:p>
    <w:p w:rsidR="00CF7C35" w:rsidRDefault="00CF7C35" w:rsidP="00CF7C35">
      <w:pPr>
        <w:pStyle w:val="StandardWeb"/>
      </w:pPr>
      <w:r>
        <w:t>Damit habe ich nun Aggregation hinsichtlich</w:t>
      </w:r>
    </w:p>
    <w:p w:rsidR="00CF7C35" w:rsidRDefault="00CF7C35" w:rsidP="00CF7C35">
      <w:pPr>
        <w:pStyle w:val="StandardWeb"/>
      </w:pPr>
      <w:r>
        <w:t>[</w:t>
      </w:r>
      <w:r>
        <w:br/>
        <w:t>\text{Algebra},</w:t>
      </w:r>
      <w:r>
        <w:br/>
        <w:t>\tag{3.13544}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\text{Algebra}</w:t>
      </w:r>
    </w:p>
    <w:p w:rsidR="00CF7C35" w:rsidRDefault="00CF7C35" w:rsidP="00CF7C35">
      <w:pPr>
        <w:pStyle w:val="StandardWeb"/>
      </w:pPr>
      <w:r>
        <w:t>[</w:t>
      </w:r>
      <w:r>
        <w:br/>
        <w:t>\text{Fusion und Zerlegung},</w:t>
      </w:r>
      <w:r>
        <w:br/>
        <w:t>\tag{3.13545}</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\text{Fusion und Zerlegung}</w:t>
      </w:r>
    </w:p>
    <w:p w:rsidR="00CF7C35" w:rsidRDefault="00CF7C35" w:rsidP="00CF7C35">
      <w:pPr>
        <w:pStyle w:val="StandardWeb"/>
      </w:pPr>
      <w:r>
        <w:t>[</w:t>
      </w:r>
      <w:r>
        <w:br/>
        <w:t>\text{Kohärenz und Dimension},</w:t>
      </w:r>
      <w:r>
        <w:br/>
        <w:t>\tag{3.13546}</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\text{Kohärenz und Dimension}</w:t>
      </w:r>
    </w:p>
    <w:p w:rsidR="00CF7C35" w:rsidRDefault="00CF7C35" w:rsidP="00CF7C35">
      <w:pPr>
        <w:pStyle w:val="StandardWeb"/>
      </w:pPr>
      <w:r>
        <w:t>sowie</w:t>
      </w:r>
    </w:p>
    <w:p w:rsidR="00CF7C35" w:rsidRDefault="00CF7C35" w:rsidP="00CF7C35">
      <w:pPr>
        <w:pStyle w:val="StandardWeb"/>
      </w:pPr>
      <w:r>
        <w:lastRenderedPageBreak/>
        <w:t>[</w:t>
      </w:r>
      <w:r>
        <w:br/>
        <w:t>\text{Übergang und Zeit}</w:t>
      </w:r>
      <w:r>
        <w:br/>
        <w:t>\tag{3.13547}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\text{Übergang und Zeit}</w:t>
      </w:r>
    </w:p>
    <w:p w:rsidR="00CF7C35" w:rsidRDefault="00CF7C35" w:rsidP="00CF7C35">
      <w:pPr>
        <w:pStyle w:val="StandardWeb"/>
      </w:pPr>
      <w:r>
        <w:t>untersucht.</w:t>
      </w:r>
    </w:p>
    <w:p w:rsidR="00CF7C35" w:rsidRDefault="00CF7C35" w:rsidP="00CF7C35">
      <w:pPr>
        <w:pStyle w:val="StandardWeb"/>
      </w:pPr>
      <w:r>
        <w:t>Damit kann ich nun die stärkste Frage stellen.</w:t>
      </w:r>
    </w:p>
    <w:p w:rsidR="00CF7C35" w:rsidRDefault="00CF7C35" w:rsidP="00CF7C35">
      <w:r>
        <w:pict>
          <v:rect id="_x0000_i5495" style="width:0;height:1.5pt" o:hralign="center" o:hrstd="t" o:hr="t" fillcolor="#a0a0a0" stroked="f"/>
        </w:pict>
      </w:r>
    </w:p>
    <w:p w:rsidR="00CF7C35" w:rsidRDefault="00CF7C35" w:rsidP="00CF7C35">
      <w:pPr>
        <w:pStyle w:val="berschrift1"/>
      </w:pPr>
      <w:r>
        <w:t>3.3.51.227 Existenz einer Aggregationsstruktur als Primäraxiomkandidat</w:t>
      </w:r>
    </w:p>
    <w:p w:rsidR="00CF7C35" w:rsidRDefault="00CF7C35" w:rsidP="00CF7C35">
      <w:pPr>
        <w:pStyle w:val="StandardWeb"/>
      </w:pPr>
      <w:r>
        <w:t>Der Kandidat lautet</w:t>
      </w:r>
    </w:p>
    <w:p w:rsidR="00CF7C35" w:rsidRDefault="00CF7C35" w:rsidP="00CF7C35">
      <w:pPr>
        <w:pStyle w:val="StandardWeb"/>
      </w:pPr>
      <w:r>
        <w:t>[</w:t>
      </w:r>
      <w:r>
        <w:br/>
        <w:t>A_{\mathrm{agg-ex}}</w:t>
      </w:r>
      <w:r>
        <w:br/>
        <w:t>:</w:t>
      </w:r>
      <w:r>
        <w:br/>
        <w:t>\exists</w:t>
      </w:r>
      <w:r>
        <w:br/>
        <w:t>\mathcal A_F.</w:t>
      </w:r>
      <w:r>
        <w:br/>
        <w:t>\tag{3.13548}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A_{\mathrm{agg-ex}}:\exists\mathcal A_F</w:t>
      </w:r>
    </w:p>
    <w:p w:rsidR="00CF7C35" w:rsidRDefault="00CF7C35" w:rsidP="00CF7C35">
      <w:pPr>
        <w:pStyle w:val="StandardWeb"/>
      </w:pPr>
      <w:r>
        <w:t>Er behauptet, dass jedes zulässige FRZK-Modell mindestens eine Aggregationsoperation enthalten müsse.</w:t>
      </w:r>
    </w:p>
    <w:p w:rsidR="00CF7C35" w:rsidRDefault="00CF7C35" w:rsidP="00CF7C35">
      <w:r>
        <w:pict>
          <v:rect id="_x0000_i5496" style="width:0;height:1.5pt" o:hralign="center" o:hrstd="t" o:hr="t" fillcolor="#a0a0a0" stroked="f"/>
        </w:pict>
      </w:r>
    </w:p>
    <w:p w:rsidR="00CF7C35" w:rsidRDefault="00CF7C35" w:rsidP="00CF7C35">
      <w:pPr>
        <w:pStyle w:val="berschrift1"/>
      </w:pPr>
      <w:r>
        <w:t>3.3.51.228 Gegenmodell ohne Aggregation</w:t>
      </w:r>
    </w:p>
    <w:p w:rsidR="00CF7C35" w:rsidRDefault="00CF7C35" w:rsidP="00CF7C35">
      <w:pPr>
        <w:pStyle w:val="StandardWeb"/>
      </w:pPr>
      <w:r>
        <w:t>Ich kann jedoch eine Modellstruktur betrachten, in der funktionale Objekte existieren,</w:t>
      </w:r>
    </w:p>
    <w:p w:rsidR="00CF7C35" w:rsidRDefault="00CF7C35" w:rsidP="00CF7C35">
      <w:pPr>
        <w:pStyle w:val="StandardWeb"/>
      </w:pPr>
      <w:r>
        <w:t>[</w:t>
      </w:r>
      <w:r>
        <w:br/>
        <w:t>\mathcal X_F</w:t>
      </w:r>
      <w:r>
        <w:br/>
        <w:t>\neq</w:t>
      </w:r>
      <w:r>
        <w:br/>
        <w:t>\varnothing,</w:t>
      </w:r>
      <w:r>
        <w:br/>
        <w:t>\tag{3.13549}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lastRenderedPageBreak/>
        <w:t>\mathcal X_F\neq\varnothing</w:t>
      </w:r>
    </w:p>
    <w:p w:rsidR="00CF7C35" w:rsidRDefault="00CF7C35" w:rsidP="00CF7C35">
      <w:pPr>
        <w:pStyle w:val="StandardWeb"/>
      </w:pPr>
      <w:r>
        <w:t>aber keine Aggregationsoperation definiert ist:</w:t>
      </w:r>
    </w:p>
    <w:p w:rsidR="00CF7C35" w:rsidRDefault="00CF7C35" w:rsidP="00CF7C35">
      <w:pPr>
        <w:pStyle w:val="StandardWeb"/>
      </w:pPr>
      <w:r>
        <w:t>[</w:t>
      </w:r>
      <w:r>
        <w:br/>
        <w:t>\mathcal A_F</w:t>
      </w:r>
      <w:r>
        <w:br/>
        <w:t>\notin</w:t>
      </w:r>
      <w:r>
        <w:br/>
        <w:t>\mathfrak E_{\mathrm{model}}.</w:t>
      </w:r>
      <w:r>
        <w:br/>
        <w:t>\tag{3.13550}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A_F\notin\mathfrak E_{\mathrm{model}}</w:t>
      </w:r>
    </w:p>
    <w:p w:rsidR="00CF7C35" w:rsidRDefault="00CF7C35" w:rsidP="00CF7C35">
      <w:pPr>
        <w:pStyle w:val="StandardWeb"/>
      </w:pPr>
      <w:r>
        <w:t>Die Existenz funktionaler Zustände, Relationen oder Übergänge wird dadurch nicht aufgehoben.</w:t>
      </w:r>
    </w:p>
    <w:p w:rsidR="00CF7C35" w:rsidRDefault="00CF7C35" w:rsidP="00CF7C35">
      <w:r>
        <w:pict>
          <v:rect id="_x0000_i5497" style="width:0;height:1.5pt" o:hralign="center" o:hrstd="t" o:hr="t" fillcolor="#a0a0a0" stroked="f"/>
        </w:pict>
      </w:r>
    </w:p>
    <w:p w:rsidR="00CF7C35" w:rsidRDefault="00CF7C35" w:rsidP="00CF7C35">
      <w:pPr>
        <w:pStyle w:val="berschrift1"/>
      </w:pPr>
      <w:r>
        <w:t>3.3.51.229 Existenz einer Fusion als Primäraxiomkandidat</w:t>
      </w:r>
    </w:p>
    <w:p w:rsidR="00CF7C35" w:rsidRDefault="00CF7C35" w:rsidP="00CF7C35">
      <w:pPr>
        <w:pStyle w:val="StandardWeb"/>
      </w:pPr>
      <w:r>
        <w:t>Analog kann ich prüfen</w:t>
      </w:r>
    </w:p>
    <w:p w:rsidR="00CF7C35" w:rsidRDefault="00CF7C35" w:rsidP="00CF7C35">
      <w:pPr>
        <w:pStyle w:val="StandardWeb"/>
      </w:pPr>
      <w:r>
        <w:t>[</w:t>
      </w:r>
      <w:r>
        <w:br/>
        <w:t>A_{\mathrm{fus-ex}}</w:t>
      </w:r>
      <w:r>
        <w:br/>
        <w:t>:</w:t>
      </w:r>
      <w:r>
        <w:br/>
        <w:t>\exists</w:t>
      </w:r>
      <w:r>
        <w:br/>
        <w:t>\otimes_F.</w:t>
      </w:r>
      <w:r>
        <w:br/>
        <w:t>\tag{3.13551}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A_{\mathrm{fus-ex}}:\exists\otimes_F</w:t>
      </w:r>
    </w:p>
    <w:p w:rsidR="00CF7C35" w:rsidRDefault="00CF7C35" w:rsidP="00CF7C35">
      <w:r>
        <w:pict>
          <v:rect id="_x0000_i5498" style="width:0;height:1.5pt" o:hralign="center" o:hrstd="t" o:hr="t" fillcolor="#a0a0a0" stroked="f"/>
        </w:pict>
      </w:r>
    </w:p>
    <w:p w:rsidR="00CF7C35" w:rsidRDefault="00CF7C35" w:rsidP="00CF7C35">
      <w:pPr>
        <w:pStyle w:val="berschrift1"/>
      </w:pPr>
      <w:r>
        <w:t>3.3.51.230 Gegenmodell ohne Fusion</w:t>
      </w:r>
    </w:p>
    <w:p w:rsidR="00CF7C35" w:rsidRDefault="00CF7C35" w:rsidP="00CF7C35">
      <w:pPr>
        <w:pStyle w:val="StandardWeb"/>
      </w:pPr>
      <w:r>
        <w:t>Eine zulässige Modellklasse kann vollständig ohne Fusionsoperator formuliert werden:</w:t>
      </w:r>
    </w:p>
    <w:p w:rsidR="00CF7C35" w:rsidRDefault="00CF7C35" w:rsidP="00CF7C35">
      <w:pPr>
        <w:pStyle w:val="StandardWeb"/>
      </w:pPr>
      <w:r>
        <w:t>[</w:t>
      </w:r>
      <w:r>
        <w:br/>
        <w:t>\otimes_F</w:t>
      </w:r>
      <w:r>
        <w:br/>
        <w:t>\notin</w:t>
      </w:r>
      <w:r>
        <w:br/>
        <w:t>\mathfrak E_{\mathrm{model}}.</w:t>
      </w:r>
      <w:r>
        <w:br/>
        <w:t>\tag{3.13552}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lastRenderedPageBreak/>
        <w:t>\otimes_F\notin\mathfrak E_{\mathrm{model}}</w:t>
      </w:r>
    </w:p>
    <w:p w:rsidR="00CF7C35" w:rsidRDefault="00CF7C35" w:rsidP="00CF7C35">
      <w:r>
        <w:pict>
          <v:rect id="_x0000_i5499" style="width:0;height:1.5pt" o:hralign="center" o:hrstd="t" o:hr="t" fillcolor="#a0a0a0" stroked="f"/>
        </w:pict>
      </w:r>
    </w:p>
    <w:p w:rsidR="00CF7C35" w:rsidRDefault="00CF7C35" w:rsidP="00CF7C35">
      <w:pPr>
        <w:pStyle w:val="berschrift1"/>
      </w:pPr>
      <w:r>
        <w:t>3.3.51.231 Existenz einer Zerlegung als Primäraxiomkandidat</w:t>
      </w:r>
    </w:p>
    <w:p w:rsidR="00CF7C35" w:rsidRDefault="00CF7C35" w:rsidP="00CF7C35">
      <w:pPr>
        <w:pStyle w:val="StandardWeb"/>
      </w:pPr>
      <w:r>
        <w:t>Schließlich prüfe ich</w:t>
      </w:r>
    </w:p>
    <w:p w:rsidR="00CF7C35" w:rsidRDefault="00CF7C35" w:rsidP="00CF7C35">
      <w:pPr>
        <w:pStyle w:val="StandardWeb"/>
      </w:pPr>
      <w:r>
        <w:t>[</w:t>
      </w:r>
      <w:r>
        <w:br/>
        <w:t>A_{\mathrm{dec-ex}}</w:t>
      </w:r>
      <w:r>
        <w:br/>
        <w:t>:</w:t>
      </w:r>
      <w:r>
        <w:br/>
        <w:t>\exists</w:t>
      </w:r>
      <w:r>
        <w:br/>
        <w:t>\mathcal D_F.</w:t>
      </w:r>
      <w:r>
        <w:br/>
        <w:t>\tag{3.13553}</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A_{\mathrm{dec-ex}}:\exists\mathcal D_F</w:t>
      </w:r>
    </w:p>
    <w:p w:rsidR="00CF7C35" w:rsidRDefault="00CF7C35" w:rsidP="00CF7C35">
      <w:r>
        <w:pict>
          <v:rect id="_x0000_i5500" style="width:0;height:1.5pt" o:hralign="center" o:hrstd="t" o:hr="t" fillcolor="#a0a0a0" stroked="f"/>
        </w:pict>
      </w:r>
    </w:p>
    <w:p w:rsidR="00CF7C35" w:rsidRDefault="00CF7C35" w:rsidP="00CF7C35">
      <w:pPr>
        <w:pStyle w:val="berschrift1"/>
      </w:pPr>
      <w:r>
        <w:t>3.3.51.232 Gegenmodell ohne Zerlegung</w:t>
      </w:r>
    </w:p>
    <w:p w:rsidR="00CF7C35" w:rsidRDefault="00CF7C35" w:rsidP="00CF7C35">
      <w:pPr>
        <w:pStyle w:val="StandardWeb"/>
      </w:pPr>
      <w:r>
        <w:t>Auch eine Zerlegungsabbildung muss nicht zwingend vorhanden sein:</w:t>
      </w:r>
    </w:p>
    <w:p w:rsidR="00CF7C35" w:rsidRDefault="00CF7C35" w:rsidP="00CF7C35">
      <w:pPr>
        <w:pStyle w:val="StandardWeb"/>
      </w:pPr>
      <w:r>
        <w:t>[</w:t>
      </w:r>
      <w:r>
        <w:br/>
        <w:t>\mathcal D_F</w:t>
      </w:r>
      <w:r>
        <w:br/>
        <w:t>\notin</w:t>
      </w:r>
      <w:r>
        <w:br/>
        <w:t>\mathfrak E_{\mathrm{model}}.</w:t>
      </w:r>
      <w:r>
        <w:br/>
        <w:t>\tag{3.13554}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D_F\notin\mathfrak E_{\mathrm{model}}</w:t>
      </w:r>
    </w:p>
    <w:p w:rsidR="00CF7C35" w:rsidRDefault="00CF7C35" w:rsidP="00CF7C35">
      <w:r>
        <w:pict>
          <v:rect id="_x0000_i5501" style="width:0;height:1.5pt" o:hralign="center" o:hrstd="t" o:hr="t" fillcolor="#a0a0a0" stroked="f"/>
        </w:pict>
      </w:r>
    </w:p>
    <w:p w:rsidR="00CF7C35" w:rsidRDefault="00CF7C35" w:rsidP="00CF7C35">
      <w:pPr>
        <w:pStyle w:val="berschrift1"/>
      </w:pPr>
      <w:r>
        <w:t>3.3.51.233 Axiomentscheidung zur Existenz von Aggregation, Fusion und Zerlegung</w:t>
      </w:r>
    </w:p>
    <w:p w:rsidR="00CF7C35" w:rsidRDefault="00CF7C35" w:rsidP="00CF7C35">
      <w:pPr>
        <w:pStyle w:val="StandardWeb"/>
      </w:pPr>
      <w:r>
        <w:t>Damit erhalte ich</w:t>
      </w:r>
    </w:p>
    <w:p w:rsidR="00CF7C35" w:rsidRDefault="00CF7C35" w:rsidP="00CF7C35">
      <w:pPr>
        <w:pStyle w:val="berschrift1"/>
      </w:pPr>
      <w:r>
        <w:t>[</w:t>
      </w:r>
      <w:r>
        <w:br/>
        <w:t>\boxed{</w:t>
      </w:r>
      <w:r>
        <w:br/>
      </w:r>
      <w:r>
        <w:lastRenderedPageBreak/>
        <w:t>U_{\mathrm{Ax}}</w:t>
      </w:r>
      <w:r>
        <w:br/>
        <w:t>(A_{\mathrm{agg-ex}})</w:t>
      </w:r>
    </w:p>
    <w:p w:rsidR="00CF7C35" w:rsidRDefault="00CF7C35" w:rsidP="00CF7C35">
      <w:pPr>
        <w:pStyle w:val="StandardWeb"/>
      </w:pPr>
      <w:r>
        <w:t>0,</w:t>
      </w:r>
      <w:r>
        <w:br/>
        <w:t>}</w:t>
      </w:r>
      <w:r>
        <w:br/>
        <w:t>\tag{3.13555}</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\boxed{U_{\mathrm{Ax}}(A_{\mathrm{agg-ex}})=0,}</w:t>
      </w:r>
    </w:p>
    <w:p w:rsidR="00CF7C35" w:rsidRDefault="00CF7C35" w:rsidP="00CF7C35">
      <w:pPr>
        <w:pStyle w:val="berschrift1"/>
      </w:pPr>
      <w:r>
        <w:t>[</w:t>
      </w:r>
      <w:r>
        <w:br/>
        <w:t>\boxed{</w:t>
      </w:r>
      <w:r>
        <w:br/>
        <w:t>U_{\mathrm{Ax}}</w:t>
      </w:r>
      <w:r>
        <w:br/>
        <w:t>(A_{\mathrm{fus-ex}})</w:t>
      </w:r>
    </w:p>
    <w:p w:rsidR="00CF7C35" w:rsidRDefault="00CF7C35" w:rsidP="00CF7C35">
      <w:pPr>
        <w:pStyle w:val="StandardWeb"/>
      </w:pPr>
      <w:r>
        <w:t>0,</w:t>
      </w:r>
      <w:r>
        <w:br/>
        <w:t>}</w:t>
      </w:r>
      <w:r>
        <w:br/>
        <w:t>\tag{3.13556}</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\boxed{U_{\mathrm{Ax}}(A_{\mathrm{fus-ex}})=0,}</w:t>
      </w:r>
    </w:p>
    <w:p w:rsidR="00CF7C35" w:rsidRDefault="00CF7C35" w:rsidP="00CF7C35">
      <w:pPr>
        <w:pStyle w:val="StandardWeb"/>
      </w:pPr>
      <w:r>
        <w:t>und</w:t>
      </w:r>
    </w:p>
    <w:p w:rsidR="00CF7C35" w:rsidRDefault="00CF7C35" w:rsidP="00CF7C35">
      <w:pPr>
        <w:pStyle w:val="berschrift1"/>
      </w:pPr>
      <w:r>
        <w:t>[</w:t>
      </w:r>
      <w:r>
        <w:br/>
        <w:t>\boxed{</w:t>
      </w:r>
      <w:r>
        <w:br/>
        <w:t>U_{\mathrm{Ax}}</w:t>
      </w:r>
      <w:r>
        <w:br/>
        <w:t>(A_{\mathrm{dec-ex}})</w:t>
      </w:r>
    </w:p>
    <w:p w:rsidR="00CF7C35" w:rsidRDefault="00CF7C35" w:rsidP="009F7790">
      <w:pPr>
        <w:numPr>
          <w:ilvl w:val="0"/>
          <w:numId w:val="682"/>
        </w:numPr>
        <w:spacing w:before="100" w:beforeAutospacing="1" w:after="100" w:afterAutospacing="1"/>
      </w:pPr>
    </w:p>
    <w:p w:rsidR="00CF7C35" w:rsidRDefault="00CF7C35" w:rsidP="00CF7C35">
      <w:pPr>
        <w:pStyle w:val="StandardWeb"/>
      </w:pPr>
      <w:r>
        <w:t>}</w:t>
      </w:r>
      <w:r>
        <w:br/>
        <w:t>\tag{3.13557}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\boxed{U_{\mathrm{Ax}}(A_{\mathrm{dec-ex}})=0.}</w:t>
      </w:r>
    </w:p>
    <w:p w:rsidR="00CF7C35" w:rsidRDefault="00CF7C35" w:rsidP="00CF7C35">
      <w:r>
        <w:pict>
          <v:rect id="_x0000_i5502" style="width:0;height:1.5pt" o:hralign="center" o:hrstd="t" o:hr="t" fillcolor="#a0a0a0" stroked="f"/>
        </w:pict>
      </w:r>
    </w:p>
    <w:p w:rsidR="00CF7C35" w:rsidRDefault="00CF7C35" w:rsidP="00CF7C35">
      <w:pPr>
        <w:pStyle w:val="berschrift1"/>
      </w:pPr>
      <w:r>
        <w:lastRenderedPageBreak/>
        <w:t>3.3.51.234 Satz 3.3.225 – Aggregations-, Fusions- und Zerlegungsoperationen sind keine Primäraxiome</w:t>
      </w:r>
    </w:p>
    <w:p w:rsidR="00CF7C35" w:rsidRDefault="00CF7C35" w:rsidP="00CF7C35">
      <w:pPr>
        <w:pStyle w:val="berschrift3"/>
      </w:pPr>
      <w:r>
        <w:t>Satz 3.3.225</w:t>
      </w:r>
    </w:p>
    <w:p w:rsidR="00CF7C35" w:rsidRDefault="00CF7C35" w:rsidP="00CF7C35">
      <w:pPr>
        <w:pStyle w:val="StandardWeb"/>
      </w:pPr>
      <w:r>
        <w:t>Die Forderung, jedes zulässige FRZK-Modell müsse mindestens eine Aggregations-, Fusions- oder Zerlegungsoperation enthalten, ist keine universell notwendige Voraussetzung des allgemeinen FRZK.</w:t>
      </w:r>
    </w:p>
    <w:p w:rsidR="00CF7C35" w:rsidRDefault="00CF7C35" w:rsidP="00CF7C35">
      <w:pPr>
        <w:pStyle w:val="StandardWeb"/>
      </w:pPr>
      <w:r>
        <w:t>Formal gilt</w:t>
      </w:r>
    </w:p>
    <w:p w:rsidR="00CF7C35" w:rsidRDefault="00CF7C35" w:rsidP="00CF7C35">
      <w:pPr>
        <w:pStyle w:val="berschrift1"/>
      </w:pPr>
      <w:r>
        <w:t>[</w:t>
      </w:r>
      <w:r>
        <w:br/>
        <w:t>\boxed{</w:t>
      </w:r>
      <w:r>
        <w:br/>
        <w:t>U_{\mathrm{Ax}}</w:t>
      </w:r>
      <w:r>
        <w:br/>
        <w:t>(A_{\mathrm{agg-ex}})</w:t>
      </w:r>
    </w:p>
    <w:p w:rsidR="00CF7C35" w:rsidRDefault="00CF7C35" w:rsidP="00CF7C35">
      <w:pPr>
        <w:pStyle w:val="berschrift1"/>
      </w:pPr>
      <w:r>
        <w:t>U_{\mathrm{Ax}}</w:t>
      </w:r>
      <w:r>
        <w:br/>
        <w:t>(A_{\mathrm{fus-ex}})</w:t>
      </w:r>
    </w:p>
    <w:p w:rsidR="00CF7C35" w:rsidRDefault="00CF7C35" w:rsidP="00CF7C35">
      <w:pPr>
        <w:pStyle w:val="berschrift1"/>
      </w:pPr>
      <w:r>
        <w:t>U_{\mathrm{Ax}}</w:t>
      </w:r>
      <w:r>
        <w:br/>
        <w:t>(A_{\mathrm{dec-ex}})</w:t>
      </w:r>
    </w:p>
    <w:p w:rsidR="00CF7C35" w:rsidRDefault="00CF7C35" w:rsidP="009F7790">
      <w:pPr>
        <w:numPr>
          <w:ilvl w:val="0"/>
          <w:numId w:val="683"/>
        </w:numPr>
        <w:spacing w:before="100" w:beforeAutospacing="1" w:after="100" w:afterAutospacing="1"/>
      </w:pPr>
    </w:p>
    <w:p w:rsidR="00CF7C35" w:rsidRDefault="00CF7C35" w:rsidP="00CF7C35">
      <w:pPr>
        <w:pStyle w:val="StandardWeb"/>
      </w:pPr>
      <w:r>
        <w:t>}</w:t>
      </w:r>
      <w:r>
        <w:br/>
        <w:t>\tag{3.13558}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\boxed{U_{\mathrm{Ax}}(A_{\mathrm{agg-ex}})=U_{\mathrm{Ax}}(A_{\mathrm{fus-ex}})=U_{\mathrm{Ax}}(A_{\mathrm{dec-ex}})=0.}</w:t>
      </w:r>
    </w:p>
    <w:p w:rsidR="00CF7C35" w:rsidRDefault="00CF7C35" w:rsidP="00CF7C35">
      <w:pPr>
        <w:pStyle w:val="berschrift3"/>
      </w:pPr>
      <w:r>
        <w:t>Beweis</w:t>
      </w:r>
    </w:p>
    <w:p w:rsidR="00CF7C35" w:rsidRDefault="00CF7C35" w:rsidP="00CF7C35">
      <w:pPr>
        <w:pStyle w:val="StandardWeb"/>
      </w:pPr>
      <w:r>
        <w:t>Ich betrachte eine zulässige abstrakte FRZK-Modellklasse mit einer nichtleeren funktionalen Objektmenge:</w:t>
      </w:r>
    </w:p>
    <w:p w:rsidR="00CF7C35" w:rsidRDefault="00CF7C35" w:rsidP="00CF7C35">
      <w:pPr>
        <w:pStyle w:val="StandardWeb"/>
      </w:pPr>
      <w:r>
        <w:t>[</w:t>
      </w:r>
      <w:r>
        <w:br/>
        <w:t>\mathcal X_F</w:t>
      </w:r>
      <w:r>
        <w:br/>
        <w:t>\neq</w:t>
      </w:r>
      <w:r>
        <w:br/>
        <w:t>\varnothing.</w:t>
      </w:r>
      <w:r>
        <w:br/>
        <w:t>\tag{3.13559}</w:t>
      </w:r>
      <w:r>
        <w:br/>
        <w:t>]</w:t>
      </w:r>
    </w:p>
    <w:p w:rsidR="00CF7C35" w:rsidRDefault="00CF7C35" w:rsidP="00CF7C35">
      <w:pPr>
        <w:pStyle w:val="StandardWeb"/>
      </w:pPr>
      <w:r>
        <w:rPr>
          <w:rStyle w:val="Fett"/>
        </w:rPr>
        <w:lastRenderedPageBreak/>
        <w:t>Word-LaTeX</w:t>
      </w:r>
    </w:p>
    <w:p w:rsidR="00CF7C35" w:rsidRDefault="00CF7C35" w:rsidP="00CF7C35">
      <w:pPr>
        <w:pStyle w:val="HTMLVorformatiert"/>
        <w:rPr>
          <w:rStyle w:val="HTMLCode"/>
        </w:rPr>
      </w:pPr>
      <w:r>
        <w:rPr>
          <w:rStyle w:val="HTMLCode"/>
        </w:rPr>
        <w:t>\mathcal X_F\neq\varnothing</w:t>
      </w:r>
    </w:p>
    <w:p w:rsidR="00CF7C35" w:rsidRDefault="00CF7C35" w:rsidP="00CF7C35">
      <w:pPr>
        <w:pStyle w:val="StandardWeb"/>
      </w:pPr>
      <w:r>
        <w:t>Zusätzlich setze ich</w:t>
      </w:r>
    </w:p>
    <w:p w:rsidR="00CF7C35" w:rsidRDefault="00CF7C35" w:rsidP="00CF7C35">
      <w:pPr>
        <w:pStyle w:val="StandardWeb"/>
      </w:pPr>
      <w:r>
        <w:t>[</w:t>
      </w:r>
      <w:r>
        <w:br/>
        <w:t>\mathcal A_F,</w:t>
      </w:r>
      <w:r>
        <w:br/>
        <w:t>\otimes_F,</w:t>
      </w:r>
      <w:r>
        <w:br/>
        <w:t>\mathcal D_F</w:t>
      </w:r>
      <w:r>
        <w:br/>
        <w:t>\notin</w:t>
      </w:r>
      <w:r>
        <w:br/>
        <w:t>\mathfrak E_{\mathrm{model}}.</w:t>
      </w:r>
      <w:r>
        <w:br/>
        <w:t>\tag{3.13560}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A_F,\otimes_F,\mathcal D_F\notin\mathfrak E_{\mathrm{model}}</w:t>
      </w:r>
    </w:p>
    <w:p w:rsidR="00CF7C35" w:rsidRDefault="00CF7C35" w:rsidP="00CF7C35">
      <w:pPr>
        <w:pStyle w:val="StandardWeb"/>
      </w:pPr>
      <w:r>
        <w:t>Die funktionalen Objekte können dennoch existieren und durch andere bereits definierte Strukturen beschrieben werden. Daraus folgt, dass Aggregation, Fusion und Zerlegung nicht zur minimalen Existenzstruktur jedes FRZK-Modells gehören müssen. (\square)</w:t>
      </w:r>
    </w:p>
    <w:p w:rsidR="00CF7C35" w:rsidRDefault="00CF7C35" w:rsidP="00CF7C35">
      <w:r>
        <w:pict>
          <v:rect id="_x0000_i5503" style="width:0;height:1.5pt" o:hralign="center" o:hrstd="t" o:hr="t" fillcolor="#a0a0a0" stroked="f"/>
        </w:pict>
      </w:r>
    </w:p>
    <w:p w:rsidR="00CF7C35" w:rsidRDefault="00CF7C35" w:rsidP="00CF7C35">
      <w:pPr>
        <w:pStyle w:val="berschrift1"/>
      </w:pPr>
      <w:r>
        <w:t>3.3.51.235 Korollar 3.3.56 – Aggregationsarchitektur ist optional</w:t>
      </w:r>
    </w:p>
    <w:p w:rsidR="00CF7C35" w:rsidRDefault="00CF7C35" w:rsidP="00CF7C35">
      <w:pPr>
        <w:pStyle w:val="berschrift3"/>
      </w:pPr>
      <w:r>
        <w:t>Korollar 3.3.56</w:t>
      </w:r>
    </w:p>
    <w:p w:rsidR="00CF7C35" w:rsidRDefault="00CF7C35" w:rsidP="00CF7C35">
      <w:pPr>
        <w:pStyle w:val="StandardWeb"/>
      </w:pPr>
      <w:r>
        <w:t>Aus Satz 3.3.225 folgt</w:t>
      </w:r>
    </w:p>
    <w:p w:rsidR="00CF7C35" w:rsidRDefault="00CF7C35" w:rsidP="00CF7C35">
      <w:pPr>
        <w:pStyle w:val="StandardWeb"/>
      </w:pPr>
      <w:r>
        <w:t>[</w:t>
      </w:r>
      <w:r>
        <w:br/>
        <w:t>\boxed{</w:t>
      </w:r>
      <w:r>
        <w:br/>
        <w:t>\mathfrak E_{\mathrm{agg}}</w:t>
      </w:r>
      <w:r>
        <w:br/>
        <w:t>\subseteq</w:t>
      </w:r>
      <w:r>
        <w:br/>
        <w:t>\mathfrak E_{\mathrm{FRZK}}^{\mathrm{opt}}.</w:t>
      </w:r>
      <w:r>
        <w:br/>
        <w:t>}</w:t>
      </w:r>
      <w:r>
        <w:br/>
        <w:t>\tag{3.13561}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\boxed{\mathfrak E_{\mathrm{agg}}\subseteq\mathfrak E_{\mathrm{FRZK}}^{\mathrm{opt}}.}</w:t>
      </w:r>
    </w:p>
    <w:p w:rsidR="00CF7C35" w:rsidRDefault="00CF7C35" w:rsidP="00CF7C35">
      <w:r>
        <w:pict>
          <v:rect id="_x0000_i5504" style="width:0;height:1.5pt" o:hralign="center" o:hrstd="t" o:hr="t" fillcolor="#a0a0a0" stroked="f"/>
        </w:pict>
      </w:r>
    </w:p>
    <w:p w:rsidR="00CF7C35" w:rsidRDefault="00CF7C35" w:rsidP="00CF7C35">
      <w:pPr>
        <w:pStyle w:val="berschrift1"/>
      </w:pPr>
      <w:r>
        <w:t>3.3.51.236 Erweiterte Primäraxiomkandidatenmenge</w:t>
      </w:r>
    </w:p>
    <w:p w:rsidR="00CF7C35" w:rsidRDefault="00CF7C35" w:rsidP="00CF7C35">
      <w:pPr>
        <w:pStyle w:val="StandardWeb"/>
      </w:pPr>
      <w:r>
        <w:t>Die in diesem Abschnitt geprüfte Kandidatenmenge erweitert sich zu</w:t>
      </w:r>
    </w:p>
    <w:p w:rsidR="00CF7C35" w:rsidRDefault="00CF7C35" w:rsidP="00CF7C35">
      <w:pPr>
        <w:pStyle w:val="berschrift1"/>
      </w:pPr>
      <w:r>
        <w:lastRenderedPageBreak/>
        <w:t>[</w:t>
      </w:r>
      <w:r>
        <w:br/>
        <w:t>\mathcal A_{\mathrm{agg}}^{\mathrm{cand},4}</w:t>
      </w:r>
    </w:p>
    <w:p w:rsidR="00CF7C35" w:rsidRDefault="00CF7C35" w:rsidP="00CF7C35">
      <w:pPr>
        <w:pStyle w:val="StandardWeb"/>
      </w:pPr>
      <w:r>
        <w:t>\mathcal A_{\mathrm{agg}}^{\mathrm{cand},3}</w:t>
      </w:r>
      <w:r>
        <w:br/>
        <w:t>\cup</w:t>
      </w:r>
      <w:r>
        <w:br/>
        <w:t>{</w:t>
      </w:r>
      <w:r>
        <w:br/>
        <w:t>A_{\mathrm{trans-agg}},</w:t>
      </w:r>
      <w:r>
        <w:br/>
        <w:t>A_{\mathrm{cont-agg}},</w:t>
      </w:r>
      <w:r>
        <w:br/>
        <w:t>A_{\mathrm{window}},</w:t>
      </w:r>
      <w:r>
        <w:br/>
        <w:t>A_{\mathrm{agg-ex}},</w:t>
      </w:r>
      <w:r>
        <w:br/>
        <w:t>A_{\mathrm{fus-ex}},</w:t>
      </w:r>
      <w:r>
        <w:br/>
        <w:t>A_{\mathrm{dec-ex}}</w:t>
      </w:r>
      <w:r>
        <w:br/>
        <w:t>}.</w:t>
      </w:r>
      <w:r>
        <w:br/>
        <w:t>\tag{3.13562}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A_{\mathrm{agg}}^{\mathrm{cand},4}=\mathcal A_{\mathrm{agg}}^{\mathrm{cand},3}\cup\{A_{\mathrm{trans-agg}},A_{\mathrm{cont-agg}},A_{\mathrm{window}},A_{\mathrm{agg-ex}},A_{\mathrm{fus-ex}},A_{\mathrm{dec-ex}}\}</w:t>
      </w:r>
    </w:p>
    <w:p w:rsidR="00CF7C35" w:rsidRDefault="00CF7C35" w:rsidP="00CF7C35">
      <w:pPr>
        <w:pStyle w:val="StandardWeb"/>
      </w:pPr>
      <w:r>
        <w:t>Für sämtliche Kandidaten gilt</w:t>
      </w:r>
    </w:p>
    <w:p w:rsidR="00CF7C35" w:rsidRDefault="00CF7C35" w:rsidP="00CF7C35">
      <w:pPr>
        <w:pStyle w:val="berschrift1"/>
      </w:pPr>
      <w:r>
        <w:t>[</w:t>
      </w:r>
      <w:r>
        <w:br/>
        <w:t>\boxed{</w:t>
      </w:r>
      <w:r>
        <w:br/>
        <w:t>U_{\mathrm{Ax}}(A)</w:t>
      </w:r>
    </w:p>
    <w:p w:rsidR="00CF7C35" w:rsidRDefault="00CF7C35" w:rsidP="00CF7C35">
      <w:pPr>
        <w:pStyle w:val="StandardWeb"/>
      </w:pPr>
      <w:r>
        <w:t>0</w:t>
      </w:r>
      <w:r>
        <w:br/>
        <w:t>\qquad</w:t>
      </w:r>
      <w:r>
        <w:br/>
        <w:t>\forall</w:t>
      </w:r>
      <w:r>
        <w:br/>
        <w:t>A</w:t>
      </w:r>
      <w:r>
        <w:br/>
        <w:t>\in</w:t>
      </w:r>
      <w:r>
        <w:br/>
        <w:t>\mathcal A_{\mathrm{agg}}^{\mathrm{cand},4}.</w:t>
      </w:r>
      <w:r>
        <w:br/>
        <w:t>}</w:t>
      </w:r>
      <w:r>
        <w:br/>
        <w:t>\tag{3.13563}</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\boxed{U_{\mathrm{Ax}}(A)=0\qquad\forall A\in\mathcal A_{\mathrm{agg}}^{\mathrm{cand},4}.}</w:t>
      </w:r>
    </w:p>
    <w:p w:rsidR="00CF7C35" w:rsidRDefault="00CF7C35" w:rsidP="00CF7C35">
      <w:r>
        <w:pict>
          <v:rect id="_x0000_i5505" style="width:0;height:1.5pt" o:hralign="center" o:hrstd="t" o:hr="t" fillcolor="#a0a0a0" stroked="f"/>
        </w:pict>
      </w:r>
    </w:p>
    <w:p w:rsidR="00CF7C35" w:rsidRDefault="00CF7C35" w:rsidP="00CF7C35">
      <w:pPr>
        <w:pStyle w:val="berschrift1"/>
      </w:pPr>
      <w:r>
        <w:t>3.3.51.237 Satz 3.3.226 – Abschnitt 3.3.51 erzeugt kein neues Primäraxiom</w:t>
      </w:r>
    </w:p>
    <w:p w:rsidR="00CF7C35" w:rsidRDefault="00CF7C35" w:rsidP="00CF7C35">
      <w:pPr>
        <w:pStyle w:val="berschrift3"/>
      </w:pPr>
      <w:r>
        <w:lastRenderedPageBreak/>
        <w:t>Satz 3.3.226</w:t>
      </w:r>
    </w:p>
    <w:p w:rsidR="00CF7C35" w:rsidRDefault="00CF7C35" w:rsidP="00CF7C35">
      <w:pPr>
        <w:pStyle w:val="StandardWeb"/>
      </w:pPr>
      <w:r>
        <w:t>Keine der in Abschnitt 3.3.51 eingeführten Aggregations-, Fusions-, Zerlegungs-, Kohärenz-, Dimensions-, Zeit-, Übergangs- oder Parameterstrukturen ist für die minimale Existenz des allgemeinen FRZK universell notwendig.</w:t>
      </w:r>
    </w:p>
    <w:p w:rsidR="00CF7C35" w:rsidRDefault="00CF7C35" w:rsidP="00CF7C35">
      <w:pPr>
        <w:pStyle w:val="StandardWeb"/>
      </w:pPr>
      <w:r>
        <w:t>Formal gilt</w:t>
      </w:r>
    </w:p>
    <w:p w:rsidR="00CF7C35" w:rsidRDefault="00CF7C35" w:rsidP="00CF7C35">
      <w:pPr>
        <w:pStyle w:val="berschrift1"/>
      </w:pPr>
      <w:r>
        <w:t>[</w:t>
      </w:r>
      <w:r>
        <w:br/>
        <w:t>\boxed{</w:t>
      </w:r>
      <w:r>
        <w:br/>
        <w:t>\mathcal A_{3.3.51}^{\mathrm{new}}</w:t>
      </w:r>
    </w:p>
    <w:p w:rsidR="00CF7C35" w:rsidRDefault="00CF7C35" w:rsidP="00CF7C35">
      <w:pPr>
        <w:pStyle w:val="StandardWeb"/>
      </w:pPr>
      <w:r>
        <w:t>\varnothing.</w:t>
      </w:r>
      <w:r>
        <w:br/>
        <w:t>}</w:t>
      </w:r>
      <w:r>
        <w:br/>
        <w:t>\tag{3.13564}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\boxed{\mathcal A_{3.3.51}^{\mathrm{new}}=\varnothing.}</w:t>
      </w:r>
    </w:p>
    <w:p w:rsidR="00CF7C35" w:rsidRDefault="00CF7C35" w:rsidP="00CF7C35">
      <w:pPr>
        <w:pStyle w:val="berschrift3"/>
      </w:pPr>
      <w:r>
        <w:t>Beweis</w:t>
      </w:r>
    </w:p>
    <w:p w:rsidR="00CF7C35" w:rsidRDefault="00CF7C35" w:rsidP="00CF7C35">
      <w:pPr>
        <w:pStyle w:val="StandardWeb"/>
      </w:pPr>
      <w:r>
        <w:t>Für alle untersuchten Primäraxiomkandidaten gilt</w:t>
      </w:r>
    </w:p>
    <w:p w:rsidR="00CF7C35" w:rsidRDefault="00CF7C35" w:rsidP="00CF7C35">
      <w:pPr>
        <w:pStyle w:val="berschrift1"/>
      </w:pPr>
      <w:r>
        <w:t>[</w:t>
      </w:r>
      <w:r>
        <w:br/>
        <w:t>U_{\mathrm{Ax}}(A)</w:t>
      </w:r>
    </w:p>
    <w:p w:rsidR="00CF7C35" w:rsidRDefault="00CF7C35" w:rsidP="009F7790">
      <w:pPr>
        <w:numPr>
          <w:ilvl w:val="0"/>
          <w:numId w:val="684"/>
        </w:numPr>
        <w:spacing w:before="100" w:beforeAutospacing="1" w:after="100" w:afterAutospacing="1"/>
      </w:pPr>
    </w:p>
    <w:p w:rsidR="00CF7C35" w:rsidRDefault="00CF7C35" w:rsidP="00CF7C35">
      <w:pPr>
        <w:pStyle w:val="StandardWeb"/>
      </w:pPr>
      <w:r>
        <w:t>\tag{3.13565}</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U_{\mathrm{Ax}}(A)=0</w:t>
      </w:r>
    </w:p>
    <w:p w:rsidR="00CF7C35" w:rsidRDefault="00CF7C35" w:rsidP="00CF7C35">
      <w:pPr>
        <w:pStyle w:val="StandardWeb"/>
      </w:pPr>
      <w:r>
        <w:t>Insbesondere wurden auch die Existenzforderungen</w:t>
      </w:r>
    </w:p>
    <w:p w:rsidR="00CF7C35" w:rsidRDefault="00CF7C35" w:rsidP="00CF7C35">
      <w:pPr>
        <w:pStyle w:val="StandardWeb"/>
      </w:pPr>
      <w:r>
        <w:t>[</w:t>
      </w:r>
      <w:r>
        <w:br/>
        <w:t>A_{\mathrm{agg-ex}},</w:t>
      </w:r>
      <w:r>
        <w:br/>
        <w:t>\qquad</w:t>
      </w:r>
      <w:r>
        <w:br/>
        <w:t>A_{\mathrm{fus-ex}},</w:t>
      </w:r>
      <w:r>
        <w:br/>
        <w:t>\qquad</w:t>
      </w:r>
      <w:r>
        <w:br/>
        <w:t>A_{\mathrm{dec-ex}}</w:t>
      </w:r>
      <w:r>
        <w:br/>
        <w:t>\tag{3.13566}</w:t>
      </w:r>
      <w:r>
        <w:br/>
        <w:t>]</w:t>
      </w:r>
    </w:p>
    <w:p w:rsidR="00CF7C35" w:rsidRDefault="00CF7C35" w:rsidP="00CF7C35">
      <w:pPr>
        <w:pStyle w:val="StandardWeb"/>
      </w:pPr>
      <w:r>
        <w:rPr>
          <w:rStyle w:val="Fett"/>
        </w:rPr>
        <w:lastRenderedPageBreak/>
        <w:t>Word-LaTeX</w:t>
      </w:r>
    </w:p>
    <w:p w:rsidR="00CF7C35" w:rsidRDefault="00CF7C35" w:rsidP="00CF7C35">
      <w:pPr>
        <w:pStyle w:val="HTMLVorformatiert"/>
        <w:rPr>
          <w:rStyle w:val="HTMLCode"/>
        </w:rPr>
      </w:pPr>
      <w:r>
        <w:rPr>
          <w:rStyle w:val="HTMLCode"/>
        </w:rPr>
        <w:t>A_{\mathrm{agg-ex}},\qquad A_{\mathrm{fus-ex}},\qquad A_{\mathrm{dec-ex}}</w:t>
      </w:r>
    </w:p>
    <w:p w:rsidR="00CF7C35" w:rsidRDefault="00CF7C35" w:rsidP="00CF7C35">
      <w:pPr>
        <w:pStyle w:val="StandardWeb"/>
      </w:pPr>
      <w:r>
        <w:t>verworfen.</w:t>
      </w:r>
    </w:p>
    <w:p w:rsidR="00CF7C35" w:rsidRDefault="00CF7C35" w:rsidP="00CF7C35">
      <w:pPr>
        <w:pStyle w:val="StandardWeb"/>
      </w:pPr>
      <w:r>
        <w:t>Damit gilt</w:t>
      </w:r>
    </w:p>
    <w:p w:rsidR="00CF7C35" w:rsidRDefault="00CF7C35" w:rsidP="00CF7C35">
      <w:pPr>
        <w:pStyle w:val="berschrift1"/>
      </w:pPr>
      <w:r>
        <w:t>[</w:t>
      </w:r>
      <w:r>
        <w:br/>
        <w:t>\forall</w:t>
      </w:r>
      <w:r>
        <w:br/>
        <w:t>A</w:t>
      </w:r>
      <w:r>
        <w:br/>
        <w:t>\in</w:t>
      </w:r>
      <w:r>
        <w:br/>
        <w:t>\mathcal A_{\mathrm{agg}}^{\mathrm{cand},4}</w:t>
      </w:r>
      <w:r>
        <w:br/>
        <w:t>:</w:t>
      </w:r>
      <w:r>
        <w:br/>
        <w:t>U_{\mathrm{Ax}}(A)</w:t>
      </w:r>
    </w:p>
    <w:p w:rsidR="00CF7C35" w:rsidRDefault="00CF7C35" w:rsidP="009F7790">
      <w:pPr>
        <w:numPr>
          <w:ilvl w:val="0"/>
          <w:numId w:val="685"/>
        </w:numPr>
        <w:spacing w:before="100" w:beforeAutospacing="1" w:after="100" w:afterAutospacing="1"/>
      </w:pPr>
    </w:p>
    <w:p w:rsidR="00CF7C35" w:rsidRDefault="00CF7C35" w:rsidP="00CF7C35">
      <w:pPr>
        <w:pStyle w:val="StandardWeb"/>
      </w:pPr>
      <w:r>
        <w:t>\tag{3.13567}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\forall A\in\mathcal A_{\mathrm{agg}}^{\mathrm{cand},4}:U_{\mathrm{Ax}}(A)=0</w:t>
      </w:r>
    </w:p>
    <w:p w:rsidR="00CF7C35" w:rsidRDefault="00CF7C35" w:rsidP="00CF7C35">
      <w:pPr>
        <w:pStyle w:val="StandardWeb"/>
      </w:pPr>
      <w:r>
        <w:t>Folglich ist</w:t>
      </w:r>
    </w:p>
    <w:p w:rsidR="00CF7C35" w:rsidRDefault="00CF7C35" w:rsidP="00CF7C35">
      <w:pPr>
        <w:pStyle w:val="berschrift1"/>
      </w:pPr>
      <w:r>
        <w:t>[</w:t>
      </w:r>
      <w:r>
        <w:br/>
        <w:t>\mathcal A_{3.3.51}^{\mathrm{new}}</w:t>
      </w:r>
    </w:p>
    <w:p w:rsidR="00CF7C35" w:rsidRDefault="00CF7C35" w:rsidP="00CF7C35">
      <w:pPr>
        <w:pStyle w:val="StandardWeb"/>
      </w:pPr>
      <w:r>
        <w:t>\varnothing.</w:t>
      </w:r>
      <w:r>
        <w:br/>
        <w:t>\tag{3.13568}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A_{3.3.51}^{\mathrm{new}}=\varnothing</w:t>
      </w:r>
    </w:p>
    <w:p w:rsidR="00CF7C35" w:rsidRDefault="00CF7C35" w:rsidP="00CF7C35">
      <w:pPr>
        <w:pStyle w:val="StandardWeb"/>
      </w:pPr>
      <w:r>
        <w:t>(\square)</w:t>
      </w:r>
    </w:p>
    <w:p w:rsidR="00CF7C35" w:rsidRDefault="00CF7C35" w:rsidP="00CF7C35">
      <w:r>
        <w:pict>
          <v:rect id="_x0000_i5506" style="width:0;height:1.5pt" o:hralign="center" o:hrstd="t" o:hr="t" fillcolor="#a0a0a0" stroked="f"/>
        </w:pict>
      </w:r>
    </w:p>
    <w:p w:rsidR="00CF7C35" w:rsidRDefault="00CF7C35" w:rsidP="00CF7C35">
      <w:pPr>
        <w:pStyle w:val="berschrift1"/>
      </w:pPr>
      <w:r>
        <w:lastRenderedPageBreak/>
        <w:t>3.3.51.238 Korollar 3.3.57 – Der FRZK-Primäraxiomkern bleibt unverändert</w:t>
      </w:r>
    </w:p>
    <w:p w:rsidR="00CF7C35" w:rsidRDefault="00CF7C35" w:rsidP="00CF7C35">
      <w:pPr>
        <w:pStyle w:val="berschrift3"/>
      </w:pPr>
      <w:r>
        <w:t>Korollar 3.3.57</w:t>
      </w:r>
    </w:p>
    <w:p w:rsidR="00CF7C35" w:rsidRDefault="00CF7C35" w:rsidP="00CF7C35">
      <w:pPr>
        <w:pStyle w:val="StandardWeb"/>
      </w:pPr>
      <w:r>
        <w:t>Aus Satz 3.3.226 folgt</w:t>
      </w:r>
    </w:p>
    <w:p w:rsidR="00CF7C35" w:rsidRDefault="00CF7C35" w:rsidP="00CF7C35">
      <w:pPr>
        <w:pStyle w:val="berschrift1"/>
      </w:pPr>
      <w:r>
        <w:t>[</w:t>
      </w:r>
      <w:r>
        <w:br/>
        <w:t>\boxed{</w:t>
      </w:r>
      <w:r>
        <w:br/>
        <w:t>\mathcal A_{\mathrm{FRZK}}^{\mathrm{nach},3.3.51}</w:t>
      </w:r>
    </w:p>
    <w:p w:rsidR="00CF7C35" w:rsidRDefault="00CF7C35" w:rsidP="00CF7C35">
      <w:pPr>
        <w:pStyle w:val="StandardWeb"/>
      </w:pPr>
      <w:r>
        <w:t>\mathcal A_{\mathrm{FRZK}}^{\mathrm{vor},3.3.51}.</w:t>
      </w:r>
      <w:r>
        <w:br/>
        <w:t>}</w:t>
      </w:r>
      <w:r>
        <w:br/>
        <w:t>\tag{3.13569}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\boxed{\mathcal A_{\mathrm{FRZK}}^{\mathrm{nach}\,3.3.51}=\mathcal A_{\mathrm{FRZK}}^{\mathrm{vor}\,3.3.51}.}</w:t>
      </w:r>
    </w:p>
    <w:p w:rsidR="00CF7C35" w:rsidRDefault="00CF7C35" w:rsidP="00CF7C35">
      <w:r>
        <w:pict>
          <v:rect id="_x0000_i5507" style="width:0;height:1.5pt" o:hralign="center" o:hrstd="t" o:hr="t" fillcolor="#a0a0a0" stroked="f"/>
        </w:pict>
      </w:r>
    </w:p>
    <w:p w:rsidR="00CF7C35" w:rsidRDefault="00CF7C35" w:rsidP="00CF7C35">
      <w:pPr>
        <w:pStyle w:val="berschrift1"/>
      </w:pPr>
      <w:r>
        <w:t>3.3.51.239 Status der Aggregationsoperation</w:t>
      </w:r>
    </w:p>
    <w:p w:rsidR="00CF7C35" w:rsidRDefault="00CF7C35" w:rsidP="00CF7C35">
      <w:pPr>
        <w:pStyle w:val="StandardWeb"/>
      </w:pPr>
      <w:r>
        <w:t>Für die allgemeine Aggregation gilt</w:t>
      </w:r>
    </w:p>
    <w:p w:rsidR="00CF7C35" w:rsidRDefault="00CF7C35" w:rsidP="00CF7C35">
      <w:pPr>
        <w:pStyle w:val="berschrift1"/>
      </w:pPr>
      <w:r>
        <w:t>[</w:t>
      </w:r>
      <w:r>
        <w:br/>
        <w:t>\operatorname{Stat}</w:t>
      </w:r>
      <w:r>
        <w:br/>
        <w:t>(\oplus_F)</w:t>
      </w:r>
    </w:p>
    <w:p w:rsidR="00CF7C35" w:rsidRDefault="00CF7C35" w:rsidP="00CF7C35">
      <w:pPr>
        <w:pStyle w:val="StandardWeb"/>
      </w:pPr>
      <w:r>
        <w:t>\mathrm{Def/Mod/Op}.</w:t>
      </w:r>
      <w:r>
        <w:br/>
        <w:t>\tag{3.13570}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\operatorname{Stat}(\oplus_F)=\mathrm{Def/Mod/Op}</w:t>
      </w:r>
    </w:p>
    <w:p w:rsidR="00CF7C35" w:rsidRDefault="00CF7C35" w:rsidP="00CF7C35">
      <w:r>
        <w:pict>
          <v:rect id="_x0000_i5508" style="width:0;height:1.5pt" o:hralign="center" o:hrstd="t" o:hr="t" fillcolor="#a0a0a0" stroked="f"/>
        </w:pict>
      </w:r>
    </w:p>
    <w:p w:rsidR="00CF7C35" w:rsidRDefault="00CF7C35" w:rsidP="00CF7C35">
      <w:pPr>
        <w:pStyle w:val="berschrift1"/>
      </w:pPr>
      <w:r>
        <w:t>3.3.51.240 Status der Fusion</w:t>
      </w:r>
    </w:p>
    <w:p w:rsidR="00CF7C35" w:rsidRDefault="00CF7C35" w:rsidP="00CF7C35">
      <w:pPr>
        <w:pStyle w:val="StandardWeb"/>
      </w:pPr>
      <w:r>
        <w:t>Für die funktionale Fusion gilt</w:t>
      </w:r>
    </w:p>
    <w:p w:rsidR="00CF7C35" w:rsidRDefault="00CF7C35" w:rsidP="00CF7C35">
      <w:pPr>
        <w:pStyle w:val="berschrift1"/>
      </w:pPr>
      <w:r>
        <w:lastRenderedPageBreak/>
        <w:t>[</w:t>
      </w:r>
      <w:r>
        <w:br/>
        <w:t>\operatorname{Stat}</w:t>
      </w:r>
      <w:r>
        <w:br/>
        <w:t>(\otimes_F)</w:t>
      </w:r>
    </w:p>
    <w:p w:rsidR="00CF7C35" w:rsidRDefault="00CF7C35" w:rsidP="00CF7C35">
      <w:pPr>
        <w:pStyle w:val="StandardWeb"/>
      </w:pPr>
      <w:r>
        <w:t>\mathrm{Def/Mod/Op}.</w:t>
      </w:r>
      <w:r>
        <w:br/>
        <w:t>\tag{3.13571}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\operatorname{Stat}(\otimes_F)=\mathrm{Def/Mod/Op}</w:t>
      </w:r>
    </w:p>
    <w:p w:rsidR="00CF7C35" w:rsidRDefault="00CF7C35" w:rsidP="00CF7C35">
      <w:r>
        <w:pict>
          <v:rect id="_x0000_i5509" style="width:0;height:1.5pt" o:hralign="center" o:hrstd="t" o:hr="t" fillcolor="#a0a0a0" stroked="f"/>
        </w:pict>
      </w:r>
    </w:p>
    <w:p w:rsidR="00CF7C35" w:rsidRDefault="00CF7C35" w:rsidP="00CF7C35">
      <w:pPr>
        <w:pStyle w:val="berschrift1"/>
      </w:pPr>
      <w:r>
        <w:t>3.3.51.241 Status der Zerlegung</w:t>
      </w:r>
    </w:p>
    <w:p w:rsidR="00CF7C35" w:rsidRDefault="00CF7C35" w:rsidP="00CF7C35">
      <w:pPr>
        <w:pStyle w:val="StandardWeb"/>
      </w:pPr>
      <w:r>
        <w:t>Für die Zerlegungsabbildung gilt</w:t>
      </w:r>
    </w:p>
    <w:p w:rsidR="00CF7C35" w:rsidRDefault="00CF7C35" w:rsidP="00CF7C35">
      <w:pPr>
        <w:pStyle w:val="berschrift1"/>
      </w:pPr>
      <w:r>
        <w:t>[</w:t>
      </w:r>
      <w:r>
        <w:br/>
        <w:t>\operatorname{Stat}</w:t>
      </w:r>
      <w:r>
        <w:br/>
        <w:t>(\mathcal D_F)</w:t>
      </w:r>
    </w:p>
    <w:p w:rsidR="00CF7C35" w:rsidRDefault="00CF7C35" w:rsidP="00CF7C35">
      <w:pPr>
        <w:pStyle w:val="StandardWeb"/>
      </w:pPr>
      <w:r>
        <w:t>\mathrm{Def/Mod/Op}.</w:t>
      </w:r>
      <w:r>
        <w:br/>
        <w:t>\tag{3.13572}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\operatorname{Stat}(\mathcal D_F)=\mathrm{Def/Mod/Op}</w:t>
      </w:r>
    </w:p>
    <w:p w:rsidR="00CF7C35" w:rsidRDefault="00CF7C35" w:rsidP="00CF7C35">
      <w:r>
        <w:pict>
          <v:rect id="_x0000_i5510" style="width:0;height:1.5pt" o:hralign="center" o:hrstd="t" o:hr="t" fillcolor="#a0a0a0" stroked="f"/>
        </w:pict>
      </w:r>
    </w:p>
    <w:p w:rsidR="00CF7C35" w:rsidRDefault="00CF7C35" w:rsidP="00CF7C35">
      <w:pPr>
        <w:pStyle w:val="berschrift1"/>
      </w:pPr>
      <w:r>
        <w:t>3.3.51.242 Status der Kohärenzbewertung</w:t>
      </w:r>
    </w:p>
    <w:p w:rsidR="00CF7C35" w:rsidRDefault="00CF7C35" w:rsidP="00CF7C35">
      <w:pPr>
        <w:pStyle w:val="StandardWeb"/>
      </w:pPr>
      <w:r>
        <w:t>Für die Kohärenzbewertung gilt</w:t>
      </w:r>
    </w:p>
    <w:p w:rsidR="00CF7C35" w:rsidRDefault="00CF7C35" w:rsidP="00CF7C35">
      <w:pPr>
        <w:pStyle w:val="berschrift1"/>
      </w:pPr>
      <w:r>
        <w:t>[</w:t>
      </w:r>
      <w:r>
        <w:br/>
        <w:t>\operatorname{Stat}</w:t>
      </w:r>
      <w:r>
        <w:br/>
        <w:t>(\kappa_F)</w:t>
      </w:r>
    </w:p>
    <w:p w:rsidR="00CF7C35" w:rsidRDefault="00CF7C35" w:rsidP="00CF7C35">
      <w:pPr>
        <w:pStyle w:val="StandardWeb"/>
      </w:pPr>
      <w:r>
        <w:t>\mathrm{Def/Mod/Op}.</w:t>
      </w:r>
      <w:r>
        <w:br/>
        <w:t>\tag{3.13573}</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lastRenderedPageBreak/>
        <w:t>\operatorname{Stat}(\kappa_F)=\mathrm{Def/Mod/Op}</w:t>
      </w:r>
    </w:p>
    <w:p w:rsidR="00CF7C35" w:rsidRDefault="00CF7C35" w:rsidP="00CF7C35">
      <w:r>
        <w:pict>
          <v:rect id="_x0000_i5511" style="width:0;height:1.5pt" o:hralign="center" o:hrstd="t" o:hr="t" fillcolor="#a0a0a0" stroked="f"/>
        </w:pict>
      </w:r>
    </w:p>
    <w:p w:rsidR="00CF7C35" w:rsidRDefault="00CF7C35" w:rsidP="00CF7C35">
      <w:pPr>
        <w:pStyle w:val="berschrift1"/>
      </w:pPr>
      <w:r>
        <w:t>3.3.51.243 Status der Dimensionszuordnung</w:t>
      </w:r>
    </w:p>
    <w:p w:rsidR="00CF7C35" w:rsidRDefault="00CF7C35" w:rsidP="00CF7C35">
      <w:pPr>
        <w:pStyle w:val="StandardWeb"/>
      </w:pPr>
      <w:r>
        <w:t>Für die Dimensionszuordnung gilt</w:t>
      </w:r>
    </w:p>
    <w:p w:rsidR="00CF7C35" w:rsidRDefault="00CF7C35" w:rsidP="00CF7C35">
      <w:pPr>
        <w:pStyle w:val="berschrift1"/>
      </w:pPr>
      <w:r>
        <w:t>[</w:t>
      </w:r>
      <w:r>
        <w:br/>
        <w:t>\operatorname{Stat}</w:t>
      </w:r>
      <w:r>
        <w:br/>
        <w:t>(\delta_F)</w:t>
      </w:r>
    </w:p>
    <w:p w:rsidR="00CF7C35" w:rsidRDefault="00CF7C35" w:rsidP="00CF7C35">
      <w:pPr>
        <w:pStyle w:val="StandardWeb"/>
      </w:pPr>
      <w:r>
        <w:t>\mathrm{Def/Mod}.</w:t>
      </w:r>
      <w:r>
        <w:br/>
        <w:t>\tag{3.13574}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\operatorname{Stat}(\delta_F)=\mathrm{Def/Mod}</w:t>
      </w:r>
    </w:p>
    <w:p w:rsidR="00CF7C35" w:rsidRDefault="00CF7C35" w:rsidP="00CF7C35">
      <w:r>
        <w:pict>
          <v:rect id="_x0000_i5512" style="width:0;height:1.5pt" o:hralign="center" o:hrstd="t" o:hr="t" fillcolor="#a0a0a0" stroked="f"/>
        </w:pict>
      </w:r>
    </w:p>
    <w:p w:rsidR="00CF7C35" w:rsidRDefault="00CF7C35" w:rsidP="00CF7C35">
      <w:pPr>
        <w:pStyle w:val="berschrift1"/>
      </w:pPr>
      <w:r>
        <w:t>3.3.51.244 Definition 3.3.576 – Endgültige Statusabbildung von Abschnitt 3.3.51</w:t>
      </w:r>
    </w:p>
    <w:p w:rsidR="00CF7C35" w:rsidRDefault="00CF7C35" w:rsidP="00CF7C35">
      <w:pPr>
        <w:pStyle w:val="berschrift3"/>
      </w:pPr>
      <w:r>
        <w:t>Definition 3.3.576</w:t>
      </w:r>
    </w:p>
    <w:p w:rsidR="00CF7C35" w:rsidRDefault="00CF7C35" w:rsidP="00CF7C35">
      <w:pPr>
        <w:pStyle w:val="StandardWeb"/>
      </w:pPr>
      <w:r>
        <w:t>Die endgültige Statusabbildung von Abschnitt 3.3.51 ist</w:t>
      </w:r>
    </w:p>
    <w:p w:rsidR="00CF7C35" w:rsidRDefault="00CF7C35" w:rsidP="00CF7C35">
      <w:pPr>
        <w:pStyle w:val="StandardWeb"/>
      </w:pPr>
      <w:r>
        <w:t>[</w:t>
      </w:r>
      <w:r>
        <w:br/>
        <w:t>\boxed{</w:t>
      </w:r>
      <w:r>
        <w:br/>
        <w:t>\mathfrak M_{3.3.51}</w:t>
      </w:r>
      <w:r>
        <w:br/>
        <w:t>:</w:t>
      </w:r>
      <w:r>
        <w:br/>
        <w:t>\mathcal O_{3.3.51}</w:t>
      </w:r>
      <w:r>
        <w:br/>
        <w:t>\rightarrow</w:t>
      </w:r>
      <w:r>
        <w:br/>
        <w:t>\mathcal P</w:t>
      </w:r>
      <w:r>
        <w:br/>
        <w:t>\left(</w:t>
      </w:r>
      <w:r>
        <w:br/>
        <w:t>{</w:t>
      </w:r>
      <w:r>
        <w:br/>
        <w:t>\mathrm{Def},</w:t>
      </w:r>
      <w:r>
        <w:br/>
        <w:t>\mathrm{Der},</w:t>
      </w:r>
      <w:r>
        <w:br/>
        <w:t>\mathrm{Mod},</w:t>
      </w:r>
      <w:r>
        <w:br/>
        <w:t>\mathrm{Op},</w:t>
      </w:r>
      <w:r>
        <w:br/>
        <w:t>\mathrm{Ax}</w:t>
      </w:r>
      <w:r>
        <w:br/>
        <w:t>}</w:t>
      </w:r>
      <w:r>
        <w:br/>
        <w:t>\right).</w:t>
      </w:r>
      <w:r>
        <w:br/>
        <w:t>}</w:t>
      </w:r>
      <w:r>
        <w:br/>
        <w:t>\tag{3.13575}</w:t>
      </w:r>
      <w:r>
        <w:br/>
        <w:t>]</w:t>
      </w:r>
    </w:p>
    <w:p w:rsidR="00CF7C35" w:rsidRDefault="00CF7C35" w:rsidP="00CF7C35">
      <w:pPr>
        <w:pStyle w:val="StandardWeb"/>
      </w:pPr>
      <w:r>
        <w:rPr>
          <w:rStyle w:val="Fett"/>
        </w:rPr>
        <w:lastRenderedPageBreak/>
        <w:t>Word-LaTeX</w:t>
      </w:r>
    </w:p>
    <w:p w:rsidR="00CF7C35" w:rsidRDefault="00CF7C35" w:rsidP="00CF7C35">
      <w:pPr>
        <w:pStyle w:val="HTMLVorformatiert"/>
        <w:rPr>
          <w:rStyle w:val="HTMLCode"/>
        </w:rPr>
      </w:pPr>
      <w:r>
        <w:rPr>
          <w:rStyle w:val="HTMLCode"/>
        </w:rPr>
        <w:t>\boxed{\mathfrak M_{3.3.51}:\mathcal O_{3.3.51}\rightarrow\mathcal P\left(\{\mathrm{Def},\mathrm{Der},\mathrm{Mod},\mathrm{Op},\mathrm{Ax}\}\right).}</w:t>
      </w:r>
    </w:p>
    <w:p w:rsidR="00CF7C35" w:rsidRDefault="00CF7C35" w:rsidP="00CF7C35">
      <w:pPr>
        <w:pStyle w:val="StandardWeb"/>
      </w:pPr>
      <w:r>
        <w:t>Für keine der in diesem Abschnitt eingeführten Strukturen wird die Komponente (\mathrm{Ax}) aufgrund einer universellen Notwendigkeit aktiviert.</w:t>
      </w:r>
    </w:p>
    <w:p w:rsidR="00CF7C35" w:rsidRDefault="00CF7C35" w:rsidP="00CF7C35">
      <w:r>
        <w:pict>
          <v:rect id="_x0000_i5513" style="width:0;height:1.5pt" o:hralign="center" o:hrstd="t" o:hr="t" fillcolor="#a0a0a0" stroked="f"/>
        </w:pict>
      </w:r>
    </w:p>
    <w:p w:rsidR="00CF7C35" w:rsidRDefault="00CF7C35" w:rsidP="00CF7C35">
      <w:pPr>
        <w:pStyle w:val="berschrift1"/>
      </w:pPr>
      <w:r>
        <w:t>3.3.51.245 Gesamtklassifikation</w:t>
      </w:r>
    </w:p>
    <w:p w:rsidR="00CF7C35" w:rsidRDefault="00CF7C35" w:rsidP="00CF7C35">
      <w:pPr>
        <w:pStyle w:val="StandardWeb"/>
      </w:pPr>
      <w:r>
        <w:t>Ich fasse die funktionale Aggregationsarchitektur zusammen als</w:t>
      </w:r>
    </w:p>
    <w:p w:rsidR="00CF7C35" w:rsidRDefault="00CF7C35" w:rsidP="00CF7C35">
      <w:pPr>
        <w:pStyle w:val="berschrift1"/>
      </w:pPr>
      <w:r>
        <w:t>[</w:t>
      </w:r>
      <w:r>
        <w:br/>
        <w:t>\mathfrak C_{3.3.51}</w:t>
      </w:r>
    </w:p>
    <w:p w:rsidR="00CF7C35" w:rsidRDefault="00CF7C35" w:rsidP="00CF7C35">
      <w:pPr>
        <w:pStyle w:val="StandardWeb"/>
      </w:pPr>
      <w:r>
        <w:t>\left(</w:t>
      </w:r>
      <w:r>
        <w:br/>
        <w:t>\mathfrak D_{\mathrm{agg}},</w:t>
      </w:r>
      <w:r>
        <w:br/>
        <w:t>\mathfrak R_{\mathrm{agg}},</w:t>
      </w:r>
      <w:r>
        <w:br/>
        <w:t>\mathfrak M_{\mathrm{agg}},</w:t>
      </w:r>
      <w:r>
        <w:br/>
        <w:t>\mathfrak O_{\mathrm{agg}}</w:t>
      </w:r>
      <w:r>
        <w:br/>
        <w:t>\right).</w:t>
      </w:r>
      <w:r>
        <w:br/>
        <w:t>\tag{3.13576}</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\mathfrak C_{3.3.51}=\left(\mathfrak D_{\mathrm{agg}},\mathfrak R_{\mathrm{agg}},\mathfrak M_{\mathrm{agg}},\mathfrak O_{\mathrm{agg}}\right)</w:t>
      </w:r>
    </w:p>
    <w:p w:rsidR="00CF7C35" w:rsidRDefault="00CF7C35" w:rsidP="00CF7C35">
      <w:r>
        <w:pict>
          <v:rect id="_x0000_i5514" style="width:0;height:1.5pt" o:hralign="center" o:hrstd="t" o:hr="t" fillcolor="#a0a0a0" stroked="f"/>
        </w:pict>
      </w:r>
    </w:p>
    <w:p w:rsidR="00CF7C35" w:rsidRDefault="00CF7C35" w:rsidP="00CF7C35">
      <w:pPr>
        <w:pStyle w:val="berschrift1"/>
      </w:pPr>
      <w:r>
        <w:t>3.3.51.246 Definition 3.3.577 – Gesamtklassifikation der Aggregations-, Fusions- und Zerlegungsarchitektur</w:t>
      </w:r>
    </w:p>
    <w:p w:rsidR="00CF7C35" w:rsidRDefault="00CF7C35" w:rsidP="00CF7C35">
      <w:pPr>
        <w:pStyle w:val="berschrift3"/>
      </w:pPr>
      <w:r>
        <w:t>Definition 3.3.577</w:t>
      </w:r>
    </w:p>
    <w:p w:rsidR="00CF7C35" w:rsidRDefault="00CF7C35" w:rsidP="00CF7C35">
      <w:pPr>
        <w:pStyle w:val="StandardWeb"/>
      </w:pPr>
      <w:r>
        <w:t xml:space="preserve">Die </w:t>
      </w:r>
      <w:r>
        <w:rPr>
          <w:rStyle w:val="Fett"/>
        </w:rPr>
        <w:t>Gesamtklassifikation der funktionalen Aggregations-, Fusions- und Zerlegungsarchitektur</w:t>
      </w:r>
      <w:r>
        <w:t xml:space="preserve"> ist</w:t>
      </w:r>
    </w:p>
    <w:p w:rsidR="00CF7C35" w:rsidRDefault="00CF7C35" w:rsidP="00CF7C35">
      <w:pPr>
        <w:pStyle w:val="berschrift1"/>
      </w:pPr>
      <w:r>
        <w:t>[</w:t>
      </w:r>
      <w:r>
        <w:br/>
        <w:t>\boxed{</w:t>
      </w:r>
      <w:r>
        <w:br/>
        <w:t>\mathfrak C_{3.3.51}</w:t>
      </w:r>
    </w:p>
    <w:p w:rsidR="00CF7C35" w:rsidRDefault="00CF7C35" w:rsidP="00CF7C35">
      <w:pPr>
        <w:pStyle w:val="StandardWeb"/>
      </w:pPr>
      <w:r>
        <w:lastRenderedPageBreak/>
        <w:t>\left(</w:t>
      </w:r>
      <w:r>
        <w:br/>
        <w:t>\mathfrak D_{\mathrm{agg}},</w:t>
      </w:r>
      <w:r>
        <w:br/>
        <w:t>\mathfrak R_{\mathrm{agg}},</w:t>
      </w:r>
      <w:r>
        <w:br/>
        <w:t>\mathfrak M_{\mathrm{agg}},</w:t>
      </w:r>
      <w:r>
        <w:br/>
        <w:t>\mathfrak O_{\mathrm{agg}}</w:t>
      </w:r>
      <w:r>
        <w:br/>
        <w:t>\right).</w:t>
      </w:r>
      <w:r>
        <w:br/>
        <w:t>}</w:t>
      </w:r>
      <w:r>
        <w:br/>
        <w:t>\tag{3.13577}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\boxed{\mathfrak C_{3.3.51}=\left(\mathfrak D_{\mathrm{agg}},\mathfrak R_{\mathrm{agg}},\mathfrak M_{\mathrm{agg}},\mathfrak O_{\mathrm{agg}}\right).}</w:t>
      </w:r>
    </w:p>
    <w:p w:rsidR="00CF7C35" w:rsidRDefault="00CF7C35" w:rsidP="00CF7C35">
      <w:pPr>
        <w:pStyle w:val="StandardWeb"/>
      </w:pPr>
      <w:r>
        <w:t>Die Primäraxiomkomponente ist</w:t>
      </w:r>
    </w:p>
    <w:p w:rsidR="00CF7C35" w:rsidRDefault="00CF7C35" w:rsidP="00CF7C35">
      <w:pPr>
        <w:pStyle w:val="berschrift1"/>
      </w:pPr>
      <w:r>
        <w:t>[</w:t>
      </w:r>
      <w:r>
        <w:br/>
        <w:t>\boxed{</w:t>
      </w:r>
      <w:r>
        <w:br/>
        <w:t>\mathfrak A_{\mathrm{agg}}</w:t>
      </w:r>
    </w:p>
    <w:p w:rsidR="00CF7C35" w:rsidRDefault="00CF7C35" w:rsidP="00CF7C35">
      <w:pPr>
        <w:pStyle w:val="StandardWeb"/>
      </w:pPr>
      <w:r>
        <w:t>\varnothing.</w:t>
      </w:r>
      <w:r>
        <w:br/>
        <w:t>}</w:t>
      </w:r>
      <w:r>
        <w:br/>
        <w:t>\tag{3.13578}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\boxed{\mathfrak A_{\mathrm{agg}}=\varnothing.}</w:t>
      </w:r>
    </w:p>
    <w:p w:rsidR="00CF7C35" w:rsidRDefault="00CF7C35" w:rsidP="00CF7C35">
      <w:r>
        <w:pict>
          <v:rect id="_x0000_i5515" style="width:0;height:1.5pt" o:hralign="center" o:hrstd="t" o:hr="t" fillcolor="#a0a0a0" stroked="f"/>
        </w:pict>
      </w:r>
    </w:p>
    <w:p w:rsidR="00CF7C35" w:rsidRDefault="00CF7C35" w:rsidP="00CF7C35">
      <w:pPr>
        <w:pStyle w:val="berschrift1"/>
      </w:pPr>
      <w:r>
        <w:t>3.3.51.247 Methodologische Betrachtungen</w:t>
      </w:r>
    </w:p>
    <w:p w:rsidR="00CF7C35" w:rsidRDefault="00CF7C35" w:rsidP="00CF7C35">
      <w:pPr>
        <w:pStyle w:val="StandardWeb"/>
      </w:pPr>
      <w:r>
        <w:t>Methodologisch ist für mich entscheidend, dass eine Aggregationsoperation nicht mit einer physikalischen Addition verwechselt werden darf. Aus</w:t>
      </w:r>
    </w:p>
    <w:p w:rsidR="00CF7C35" w:rsidRDefault="00CF7C35" w:rsidP="00CF7C35">
      <w:pPr>
        <w:pStyle w:val="berschrift1"/>
      </w:pPr>
      <w:r>
        <w:t>[</w:t>
      </w:r>
      <w:r>
        <w:br/>
        <w:t>X\oplus_F Y</w:t>
      </w:r>
    </w:p>
    <w:p w:rsidR="00CF7C35" w:rsidRDefault="00CF7C35" w:rsidP="00CF7C35">
      <w:pPr>
        <w:pStyle w:val="StandardWeb"/>
      </w:pPr>
      <w:r>
        <w:t>Z</w:t>
      </w:r>
      <w:r>
        <w:br/>
        <w:t>\tag{3.13579}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X\oplus_F Y=Z</w:t>
      </w:r>
    </w:p>
    <w:p w:rsidR="00CF7C35" w:rsidRDefault="00CF7C35" w:rsidP="00CF7C35">
      <w:pPr>
        <w:pStyle w:val="StandardWeb"/>
      </w:pPr>
      <w:r>
        <w:lastRenderedPageBreak/>
        <w:t>folgt weder automatisch</w:t>
      </w:r>
    </w:p>
    <w:p w:rsidR="00CF7C35" w:rsidRDefault="00CF7C35" w:rsidP="00CF7C35">
      <w:pPr>
        <w:pStyle w:val="StandardWeb"/>
      </w:pPr>
      <w:r>
        <w:t>[</w:t>
      </w:r>
      <w:r>
        <w:br/>
        <w:t>X+Y=Z</w:t>
      </w:r>
      <w:r>
        <w:br/>
        <w:t>\tag{3.13580}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X+Y=Z</w:t>
      </w:r>
    </w:p>
    <w:p w:rsidR="00CF7C35" w:rsidRDefault="00CF7C35" w:rsidP="00CF7C35">
      <w:pPr>
        <w:pStyle w:val="StandardWeb"/>
      </w:pPr>
      <w:r>
        <w:t>noch irgendeine Aussage über Masse, Energie, räumliche Vereinigung oder materielle Fusion.</w:t>
      </w:r>
    </w:p>
    <w:p w:rsidR="00CF7C35" w:rsidRDefault="00CF7C35" w:rsidP="00CF7C35">
      <w:pPr>
        <w:pStyle w:val="StandardWeb"/>
      </w:pPr>
      <w:r>
        <w:t>Ebenso trenne ich ausdrücklich</w:t>
      </w:r>
    </w:p>
    <w:p w:rsidR="00CF7C35" w:rsidRDefault="00CF7C35" w:rsidP="00CF7C35">
      <w:pPr>
        <w:pStyle w:val="StandardWeb"/>
      </w:pPr>
      <w:r>
        <w:t>[</w:t>
      </w:r>
      <w:r>
        <w:br/>
        <w:t>\boxed{</w:t>
      </w:r>
      <w:r>
        <w:br/>
        <w:t>\oplus_F</w:t>
      </w:r>
      <w:r>
        <w:br/>
        <w:t>\not\equiv</w:t>
      </w:r>
      <w:r>
        <w:br/>
        <w:t>+</w:t>
      </w:r>
      <w:r>
        <w:br/>
        <w:t>\not\equiv</w:t>
      </w:r>
      <w:r>
        <w:br/>
        <w:t>\otimes_F</w:t>
      </w:r>
      <w:r>
        <w:br/>
        <w:t>\not\equiv</w:t>
      </w:r>
      <w:r>
        <w:br/>
        <w:t>\mathcal D_F^{-1}.</w:t>
      </w:r>
      <w:r>
        <w:br/>
        <w:t>}</w:t>
      </w:r>
      <w:r>
        <w:br/>
        <w:t>\tag{3.13581}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\boxed{\oplus_F\not\equiv+\not\equiv\otimes_F\not\equiv\mathcal D_F^{-1}.}</w:t>
      </w:r>
    </w:p>
    <w:p w:rsidR="00CF7C35" w:rsidRDefault="00CF7C35" w:rsidP="00CF7C35">
      <w:pPr>
        <w:pStyle w:val="StandardWeb"/>
      </w:pPr>
      <w:r>
        <w:t>Die Symbole besitzen nur die jeweils zuvor definierte funktionale Bedeutung.</w:t>
      </w:r>
    </w:p>
    <w:p w:rsidR="00CF7C35" w:rsidRDefault="00CF7C35" w:rsidP="00CF7C35">
      <w:pPr>
        <w:pStyle w:val="StandardWeb"/>
      </w:pPr>
      <w:r>
        <w:t>Auch eine Kohärenzbewertung</w:t>
      </w:r>
    </w:p>
    <w:p w:rsidR="00CF7C35" w:rsidRDefault="00CF7C35" w:rsidP="00CF7C35">
      <w:pPr>
        <w:pStyle w:val="StandardWeb"/>
      </w:pPr>
      <w:r>
        <w:t>[</w:t>
      </w:r>
      <w:r>
        <w:br/>
        <w:t>\kappa_F(X)</w:t>
      </w:r>
      <w:r>
        <w:br/>
        <w:t>\tag{3.13582}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\kappa_F(X)</w:t>
      </w:r>
    </w:p>
    <w:p w:rsidR="00CF7C35" w:rsidRDefault="00CF7C35" w:rsidP="00CF7C35">
      <w:pPr>
        <w:pStyle w:val="StandardWeb"/>
      </w:pPr>
      <w:r>
        <w:t>stellt für mich keine ontologische Eigenschaft des Objekts dar, solange sie nicht durch eine konkrete empirische und theoretische Operationalisierung begründet wurde.</w:t>
      </w:r>
    </w:p>
    <w:p w:rsidR="00CF7C35" w:rsidRDefault="00CF7C35" w:rsidP="00CF7C35">
      <w:pPr>
        <w:pStyle w:val="StandardWeb"/>
      </w:pPr>
      <w:r>
        <w:t>Daraus ergibt sich methodologisch</w:t>
      </w:r>
    </w:p>
    <w:p w:rsidR="00CF7C35" w:rsidRDefault="00CF7C35" w:rsidP="00CF7C35">
      <w:pPr>
        <w:pStyle w:val="StandardWeb"/>
      </w:pPr>
      <w:r>
        <w:t>[</w:t>
      </w:r>
      <w:r>
        <w:br/>
        <w:t>\boxed{</w:t>
      </w:r>
      <w:r>
        <w:br/>
      </w:r>
      <w:r>
        <w:lastRenderedPageBreak/>
        <w:t>\text{Aggregation}</w:t>
      </w:r>
      <w:r>
        <w:br/>
        <w:t>\neq</w:t>
      </w:r>
      <w:r>
        <w:br/>
        <w:t>\text{physikalische Addition}</w:t>
      </w:r>
      <w:r>
        <w:br/>
        <w:t>\neq</w:t>
      </w:r>
      <w:r>
        <w:br/>
        <w:t>\text{Fusion}</w:t>
      </w:r>
      <w:r>
        <w:br/>
        <w:t>\neq</w:t>
      </w:r>
      <w:r>
        <w:br/>
        <w:t>\text{Zerlegung}^{-1}.</w:t>
      </w:r>
      <w:r>
        <w:br/>
        <w:t>}</w:t>
      </w:r>
      <w:r>
        <w:br/>
        <w:t>\tag{3.13583}</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\boxed{\text{Aggregation}\neq\text{physikalische Addition}\neq\text{Fusion}\neq\text{Zerlegung}^{-1}.}</w:t>
      </w:r>
    </w:p>
    <w:p w:rsidR="00CF7C35" w:rsidRDefault="00CF7C35" w:rsidP="00CF7C35">
      <w:r>
        <w:pict>
          <v:rect id="_x0000_i5516" style="width:0;height:1.5pt" o:hralign="center" o:hrstd="t" o:hr="t" fillcolor="#a0a0a0" stroked="f"/>
        </w:pict>
      </w:r>
    </w:p>
    <w:p w:rsidR="00CF7C35" w:rsidRDefault="00CF7C35" w:rsidP="00CF7C35">
      <w:pPr>
        <w:pStyle w:val="berschrift1"/>
      </w:pPr>
      <w:r>
        <w:t>3.3.51.248 Didaktische Betrachtungen</w:t>
      </w:r>
    </w:p>
    <w:p w:rsidR="00CF7C35" w:rsidRDefault="00CF7C35" w:rsidP="00CF7C35">
      <w:pPr>
        <w:pStyle w:val="StandardWeb"/>
      </w:pPr>
      <w:r>
        <w:t>Didaktisch beginne ich mit der einfachsten Struktur,</w:t>
      </w:r>
    </w:p>
    <w:p w:rsidR="00CF7C35" w:rsidRDefault="00CF7C35" w:rsidP="00CF7C35">
      <w:pPr>
        <w:pStyle w:val="StandardWeb"/>
      </w:pPr>
      <w:r>
        <w:t>[</w:t>
      </w:r>
      <w:r>
        <w:br/>
        <w:t>X\oplus_F Y,</w:t>
      </w:r>
      <w:r>
        <w:br/>
        <w:t>\tag{3.13584}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X\oplus_F Y</w:t>
      </w:r>
    </w:p>
    <w:p w:rsidR="00CF7C35" w:rsidRDefault="00CF7C35" w:rsidP="00CF7C35">
      <w:pPr>
        <w:pStyle w:val="StandardWeb"/>
      </w:pPr>
      <w:r>
        <w:t>und erweitere diese schrittweise zu</w:t>
      </w:r>
    </w:p>
    <w:p w:rsidR="00CF7C35" w:rsidRDefault="00CF7C35" w:rsidP="00CF7C35">
      <w:pPr>
        <w:pStyle w:val="StandardWeb"/>
      </w:pPr>
      <w:r>
        <w:t>[</w:t>
      </w:r>
      <w:r>
        <w:br/>
        <w:t>\mathcal A_F^{(n)},</w:t>
      </w:r>
      <w:r>
        <w:br/>
        <w:t>\tag{3.13585}</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A_F^{(n)}</w:t>
      </w:r>
    </w:p>
    <w:p w:rsidR="00CF7C35" w:rsidRDefault="00CF7C35" w:rsidP="00CF7C35">
      <w:pPr>
        <w:pStyle w:val="StandardWeb"/>
      </w:pPr>
      <w:r>
        <w:t>danach zu</w:t>
      </w:r>
    </w:p>
    <w:p w:rsidR="00CF7C35" w:rsidRDefault="00CF7C35" w:rsidP="00CF7C35">
      <w:pPr>
        <w:pStyle w:val="StandardWeb"/>
      </w:pPr>
      <w:r>
        <w:t>[</w:t>
      </w:r>
      <w:r>
        <w:br/>
        <w:t>\otimes_F</w:t>
      </w:r>
      <w:r>
        <w:br/>
        <w:t>\tag{3.13586}</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\otimes_F</w:t>
      </w:r>
    </w:p>
    <w:p w:rsidR="00CF7C35" w:rsidRDefault="00CF7C35" w:rsidP="00CF7C35">
      <w:pPr>
        <w:pStyle w:val="StandardWeb"/>
      </w:pPr>
      <w:r>
        <w:lastRenderedPageBreak/>
        <w:t>und schließlich zur Gegenrichtung</w:t>
      </w:r>
    </w:p>
    <w:p w:rsidR="00CF7C35" w:rsidRDefault="00CF7C35" w:rsidP="00CF7C35">
      <w:pPr>
        <w:pStyle w:val="StandardWeb"/>
      </w:pPr>
      <w:r>
        <w:t>[</w:t>
      </w:r>
      <w:r>
        <w:br/>
        <w:t>\mathcal D_F.</w:t>
      </w:r>
      <w:r>
        <w:br/>
        <w:t>\tag{3.13587}</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\mathcal D_F</w:t>
      </w:r>
    </w:p>
    <w:p w:rsidR="00CF7C35" w:rsidRDefault="00CF7C35" w:rsidP="00CF7C35">
      <w:pPr>
        <w:pStyle w:val="StandardWeb"/>
      </w:pPr>
      <w:r>
        <w:t>Erst danach ergänze ich Eigenschaften wie</w:t>
      </w:r>
    </w:p>
    <w:p w:rsidR="00CF7C35" w:rsidRDefault="00CF7C35" w:rsidP="00CF7C35">
      <w:pPr>
        <w:pStyle w:val="StandardWeb"/>
      </w:pPr>
      <w:r>
        <w:t>[</w:t>
      </w:r>
      <w:r>
        <w:br/>
        <w:t>\text{Kommutativität},</w:t>
      </w:r>
      <w:r>
        <w:br/>
        <w:t>\quad</w:t>
      </w:r>
      <w:r>
        <w:br/>
        <w:t>\text{Assoziativität},</w:t>
      </w:r>
      <w:r>
        <w:br/>
        <w:t>\quad</w:t>
      </w:r>
      <w:r>
        <w:br/>
        <w:t>\text{Reversibilität},</w:t>
      </w:r>
      <w:r>
        <w:br/>
        <w:t>\quad</w:t>
      </w:r>
      <w:r>
        <w:br/>
        <w:t>\text{Kohärenzverträglichkeit}.</w:t>
      </w:r>
      <w:r>
        <w:br/>
        <w:t>\tag{3.13588}</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\text{Kommutativität},\quad\text{Assoziativität},\quad\text{Reversibilität},\quad\text{Kohärenzverträglichkeit}</w:t>
      </w:r>
    </w:p>
    <w:p w:rsidR="00CF7C35" w:rsidRDefault="00CF7C35" w:rsidP="00CF7C35">
      <w:pPr>
        <w:pStyle w:val="StandardWeb"/>
      </w:pPr>
      <w:r>
        <w:t>Dadurch bleibt sichtbar, dass diese Eigenschaften nicht Bestandteil des Begriffs „Aggregation“ selbst sind.</w:t>
      </w:r>
    </w:p>
    <w:p w:rsidR="00CF7C35" w:rsidRDefault="00CF7C35" w:rsidP="00CF7C35">
      <w:pPr>
        <w:pStyle w:val="StandardWeb"/>
      </w:pPr>
      <w:r>
        <w:t>Die didaktische Entwicklungsfolge lautet daher</w:t>
      </w:r>
    </w:p>
    <w:p w:rsidR="00CF7C35" w:rsidRDefault="00CF7C35" w:rsidP="00CF7C35">
      <w:pPr>
        <w:pStyle w:val="StandardWeb"/>
      </w:pPr>
      <w:r>
        <w:t>[</w:t>
      </w:r>
      <w:r>
        <w:br/>
        <w:t>\boxed{</w:t>
      </w:r>
      <w:r>
        <w:br/>
        <w:t>\text{Objekte}</w:t>
      </w:r>
      <w:r>
        <w:br/>
        <w:t>\rightarrow</w:t>
      </w:r>
      <w:r>
        <w:br/>
        <w:t>\text{Aggregation}</w:t>
      </w:r>
      <w:r>
        <w:br/>
        <w:t>\rightarrow</w:t>
      </w:r>
      <w:r>
        <w:br/>
        <w:t>\text{Fusion}</w:t>
      </w:r>
      <w:r>
        <w:br/>
        <w:t>\rightarrow</w:t>
      </w:r>
      <w:r>
        <w:br/>
        <w:t>\text{Zerlegung}</w:t>
      </w:r>
      <w:r>
        <w:br/>
        <w:t>\rightarrow</w:t>
      </w:r>
      <w:r>
        <w:br/>
        <w:t>\text{Zusatzstrukturen}</w:t>
      </w:r>
      <w:r>
        <w:br/>
        <w:t>\rightarrow</w:t>
      </w:r>
      <w:r>
        <w:br/>
        <w:t>\text{Axiomprüfung}.</w:t>
      </w:r>
      <w:r>
        <w:br/>
        <w:t>}</w:t>
      </w:r>
      <w:r>
        <w:br/>
        <w:t>\tag{3.13589}</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lastRenderedPageBreak/>
        <w:t>\boxed{\text{Objekte}\rightarrow\text{Aggregation}\rightarrow\text{Fusion}\rightarrow\text{Zerlegung}\rightarrow\text{Zusatzstrukturen}\rightarrow\text{Axiomprüfung}.}</w:t>
      </w:r>
    </w:p>
    <w:p w:rsidR="00CF7C35" w:rsidRDefault="00CF7C35" w:rsidP="00CF7C35">
      <w:r>
        <w:pict>
          <v:rect id="_x0000_i5517" style="width:0;height:1.5pt" o:hralign="center" o:hrstd="t" o:hr="t" fillcolor="#a0a0a0" stroked="f"/>
        </w:pict>
      </w:r>
    </w:p>
    <w:p w:rsidR="00CF7C35" w:rsidRDefault="00CF7C35" w:rsidP="00CF7C35">
      <w:pPr>
        <w:pStyle w:val="berschrift1"/>
      </w:pPr>
      <w:r>
        <w:t>3.3.51.249 Gesamtabschluss</w:t>
      </w:r>
    </w:p>
    <w:p w:rsidR="00CF7C35" w:rsidRDefault="00CF7C35" w:rsidP="00CF7C35">
      <w:pPr>
        <w:pStyle w:val="StandardWeb"/>
      </w:pPr>
      <w:r>
        <w:t>Die vollständige funktionale Aggregations-, Fusions- und Zerlegungsarchitektur fasse ich als</w:t>
      </w:r>
    </w:p>
    <w:p w:rsidR="00CF7C35" w:rsidRDefault="00CF7C35" w:rsidP="00CF7C35">
      <w:pPr>
        <w:pStyle w:val="berschrift1"/>
      </w:pPr>
      <w:r>
        <w:t>[</w:t>
      </w:r>
      <w:r>
        <w:br/>
        <w:t>\mathfrak E_{\mathrm{agg}}</w:t>
      </w:r>
    </w:p>
    <w:p w:rsidR="00CF7C35" w:rsidRDefault="00CF7C35" w:rsidP="00CF7C35">
      <w:pPr>
        <w:pStyle w:val="StandardWeb"/>
      </w:pPr>
      <w:r>
        <w:t>\left(</w:t>
      </w:r>
      <w:r>
        <w:br/>
        <w:t>\oplus_F,</w:t>
      </w:r>
      <w:r>
        <w:br/>
        <w:t>\mathcal A_F^{(n)},</w:t>
      </w:r>
      <w:r>
        <w:br/>
        <w:t>\mathcal D_{\oplus},</w:t>
      </w:r>
      <w:r>
        <w:br/>
        <w:t>\mathbf w,</w:t>
      </w:r>
      <w:r>
        <w:br/>
        <w:t>\otimes_F,</w:t>
      </w:r>
      <w:r>
        <w:br/>
        <w:t>\mathcal D_{\otimes},</w:t>
      </w:r>
      <w:r>
        <w:br/>
        <w:t>\mathcal R_1,</w:t>
      </w:r>
      <w:r>
        <w:br/>
        <w:t>\mathcal R_2,</w:t>
      </w:r>
      <w:r>
        <w:br/>
        <w:t>\mathcal D_F,</w:t>
      </w:r>
      <w:r>
        <w:br/>
        <w:t>d_F,</w:t>
      </w:r>
      <w:r>
        <w:br/>
        <w:t>\mathcal O_F,</w:t>
      </w:r>
      <w:r>
        <w:br/>
        <w:t>I_F,</w:t>
      </w:r>
      <w:r>
        <w:br/>
        <w:t>\mathcal T_{\mathrm{agg}},</w:t>
      </w:r>
      <w:r>
        <w:br/>
        <w:t>\kappa_F,</w:t>
      </w:r>
      <w:r>
        <w:br/>
        <w:t>\Gamma_\kappa,</w:t>
      </w:r>
      <w:r>
        <w:br/>
        <w:t>\delta_F,</w:t>
      </w:r>
      <w:r>
        <w:br/>
        <w:t>\star_{\mathrm{dim}},</w:t>
      </w:r>
      <w:r>
        <w:br/>
        <w:t>T_F,</w:t>
      </w:r>
      <w:r>
        <w:br/>
        <w:t>\mathfrak A_F</w:t>
      </w:r>
      <w:r>
        <w:br/>
        <w:t>\right).</w:t>
      </w:r>
      <w:r>
        <w:br/>
        <w:t>\tag{3.13590}</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\mathfrak E_{\mathrm{agg}}=\left(\oplus_F,\mathcal A_F^{(n)},\mathcal D_{\oplus},\mathbf w,\otimes_F,\mathcal D_{\otimes},\mathcal R_1,\mathcal R_2,\mathcal D_F,d_F,\mathcal O_F,I_F,\mathcal T_{\mathrm{agg}},\kappa_F,\Gamma_\kappa,\delta_F,\star_{\mathrm{dim}},T_F,\mathfrak A_F\right)</w:t>
      </w:r>
    </w:p>
    <w:p w:rsidR="00CF7C35" w:rsidRDefault="00CF7C35" w:rsidP="00CF7C35">
      <w:pPr>
        <w:pStyle w:val="StandardWeb"/>
      </w:pPr>
      <w:r>
        <w:t>zusammen.</w:t>
      </w:r>
    </w:p>
    <w:p w:rsidR="00CF7C35" w:rsidRDefault="00CF7C35" w:rsidP="00CF7C35">
      <w:pPr>
        <w:pStyle w:val="StandardWeb"/>
      </w:pPr>
      <w:r>
        <w:t>Die Primäraxiomkomponente bleibt</w:t>
      </w:r>
    </w:p>
    <w:p w:rsidR="00CF7C35" w:rsidRDefault="00CF7C35" w:rsidP="00CF7C35">
      <w:pPr>
        <w:pStyle w:val="berschrift1"/>
      </w:pPr>
      <w:r>
        <w:lastRenderedPageBreak/>
        <w:t>[</w:t>
      </w:r>
      <w:r>
        <w:br/>
        <w:t>\boxed{</w:t>
      </w:r>
      <w:r>
        <w:br/>
        <w:t>\mathfrak A_{\mathrm{agg}}</w:t>
      </w:r>
    </w:p>
    <w:p w:rsidR="00CF7C35" w:rsidRDefault="00CF7C35" w:rsidP="00CF7C35">
      <w:pPr>
        <w:pStyle w:val="StandardWeb"/>
      </w:pPr>
      <w:r>
        <w:t>\varnothing.</w:t>
      </w:r>
      <w:r>
        <w:br/>
        <w:t>}</w:t>
      </w:r>
      <w:r>
        <w:br/>
        <w:t>\tag{3.13591}</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\boxed{\mathfrak A_{\mathrm{agg}}=\varnothing.}</w:t>
      </w:r>
    </w:p>
    <w:p w:rsidR="00CF7C35" w:rsidRDefault="00CF7C35" w:rsidP="00CF7C35">
      <w:pPr>
        <w:pStyle w:val="StandardWeb"/>
      </w:pPr>
      <w:r>
        <w:t>Damit gilt abschließend</w:t>
      </w:r>
    </w:p>
    <w:p w:rsidR="00CF7C35" w:rsidRDefault="00CF7C35" w:rsidP="00CF7C35">
      <w:pPr>
        <w:pStyle w:val="berschrift1"/>
      </w:pPr>
      <w:r>
        <w:t>[</w:t>
      </w:r>
      <w:r>
        <w:br/>
        <w:t>\boxed{</w:t>
      </w:r>
      <w:r>
        <w:br/>
        <w:t>\mathcal A_{3.3.51}^{\mathrm{new}}</w:t>
      </w:r>
    </w:p>
    <w:p w:rsidR="00CF7C35" w:rsidRDefault="00CF7C35" w:rsidP="00CF7C35">
      <w:pPr>
        <w:pStyle w:val="StandardWeb"/>
      </w:pPr>
      <w:r>
        <w:t>\varnothing.</w:t>
      </w:r>
      <w:r>
        <w:br/>
        <w:t>}</w:t>
      </w:r>
      <w:r>
        <w:br/>
        <w:t>\tag{3.13592}</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\boxed{\mathcal A_{3.3.51}^{\mathrm{new}}=\varnothing.}</w:t>
      </w:r>
    </w:p>
    <w:p w:rsidR="00CF7C35" w:rsidRDefault="00CF7C35" w:rsidP="00CF7C35">
      <w:r>
        <w:pict>
          <v:rect id="_x0000_i5518" style="width:0;height:1.5pt" o:hralign="center" o:hrstd="t" o:hr="t" fillcolor="#a0a0a0" stroked="f"/>
        </w:pict>
      </w:r>
    </w:p>
    <w:p w:rsidR="00CF7C35" w:rsidRDefault="00CF7C35" w:rsidP="00CF7C35">
      <w:pPr>
        <w:pStyle w:val="berschrift1"/>
      </w:pPr>
      <w:r>
        <w:t>3.3.51.250 Endstand und Übergabepunkt</w:t>
      </w:r>
    </w:p>
    <w:p w:rsidR="00CF7C35" w:rsidRDefault="00CF7C35" w:rsidP="00CF7C35">
      <w:pPr>
        <w:pStyle w:val="StandardWeb"/>
      </w:pPr>
      <w:r>
        <w:t xml:space="preserve">Abschnitt </w:t>
      </w:r>
      <w:r>
        <w:rPr>
          <w:rStyle w:val="Fett"/>
        </w:rPr>
        <w:t>3.3.51 ist damit vollständig abgeschlossen</w:t>
      </w:r>
      <w:r>
        <w:t>.</w:t>
      </w:r>
    </w:p>
    <w:p w:rsidR="00CF7C35" w:rsidRDefault="00CF7C35" w:rsidP="00CF7C35">
      <w:pPr>
        <w:pStyle w:val="StandardWeb"/>
      </w:pPr>
      <w:r>
        <w:t>Der letzte Textpunkt lautet</w:t>
      </w:r>
    </w:p>
    <w:p w:rsidR="00CF7C35" w:rsidRDefault="00CF7C35" w:rsidP="00CF7C35">
      <w:pPr>
        <w:pStyle w:val="berschrift1"/>
      </w:pPr>
      <w:r>
        <w:t>[</w:t>
      </w:r>
      <w:r>
        <w:br/>
        <w:t>\boxed{</w:t>
      </w:r>
      <w:r>
        <w:br/>
        <w:t>\text{letzter Textpunkt}</w:t>
      </w:r>
    </w:p>
    <w:p w:rsidR="00CF7C35" w:rsidRDefault="00CF7C35" w:rsidP="00CF7C35">
      <w:pPr>
        <w:pStyle w:val="StandardWeb"/>
      </w:pPr>
      <w:r>
        <w:t>3.3.51.250.</w:t>
      </w:r>
      <w:r>
        <w:br/>
        <w:t>}</w:t>
      </w:r>
      <w:r>
        <w:br/>
        <w:t>\tag{3.13593}</w:t>
      </w:r>
      <w:r>
        <w:br/>
        <w:t>]</w:t>
      </w:r>
    </w:p>
    <w:p w:rsidR="00CF7C35" w:rsidRDefault="00CF7C35" w:rsidP="00CF7C35">
      <w:pPr>
        <w:pStyle w:val="StandardWeb"/>
      </w:pPr>
      <w:r>
        <w:rPr>
          <w:rStyle w:val="Fett"/>
        </w:rPr>
        <w:lastRenderedPageBreak/>
        <w:t>Word-LaTeX</w:t>
      </w:r>
    </w:p>
    <w:p w:rsidR="00CF7C35" w:rsidRDefault="00CF7C35" w:rsidP="00CF7C35">
      <w:pPr>
        <w:pStyle w:val="HTMLVorformatiert"/>
        <w:rPr>
          <w:rStyle w:val="HTMLCode"/>
        </w:rPr>
      </w:pPr>
      <w:r>
        <w:rPr>
          <w:rStyle w:val="HTMLCode"/>
        </w:rPr>
        <w:t>\boxed{\text{letzter Textpunkt}=3.3.51.250.}</w:t>
      </w:r>
    </w:p>
    <w:p w:rsidR="00CF7C35" w:rsidRDefault="00CF7C35" w:rsidP="00CF7C35">
      <w:pPr>
        <w:pStyle w:val="StandardWeb"/>
      </w:pPr>
      <w:r>
        <w:t>Die letzte Gleichung lautet</w:t>
      </w:r>
    </w:p>
    <w:p w:rsidR="00CF7C35" w:rsidRDefault="00CF7C35" w:rsidP="00CF7C35">
      <w:pPr>
        <w:pStyle w:val="berschrift1"/>
      </w:pPr>
      <w:r>
        <w:t>[</w:t>
      </w:r>
      <w:r>
        <w:br/>
        <w:t>\boxed{</w:t>
      </w:r>
      <w:r>
        <w:br/>
        <w:t>\text{letzte Gleichung}</w:t>
      </w:r>
    </w:p>
    <w:p w:rsidR="00CF7C35" w:rsidRDefault="00CF7C35" w:rsidP="00CF7C35">
      <w:pPr>
        <w:pStyle w:val="StandardWeb"/>
      </w:pPr>
      <w:r>
        <w:t>(3.13593).</w:t>
      </w:r>
      <w:r>
        <w:br/>
        <w:t>}</w:t>
      </w:r>
      <w:r>
        <w:br/>
        <w:t>\tag{3.13594}</w:t>
      </w:r>
      <w:r>
        <w:br/>
        <w:t>]</w:t>
      </w:r>
    </w:p>
    <w:p w:rsidR="00CF7C35" w:rsidRDefault="00CF7C35" w:rsidP="00CF7C35">
      <w:pPr>
        <w:pStyle w:val="StandardWeb"/>
      </w:pPr>
      <w:r>
        <w:rPr>
          <w:rStyle w:val="Fett"/>
        </w:rPr>
        <w:t>Word-LaTeX</w:t>
      </w:r>
    </w:p>
    <w:p w:rsidR="00CF7C35" w:rsidRDefault="00CF7C35" w:rsidP="00CF7C35">
      <w:pPr>
        <w:pStyle w:val="HTMLVorformatiert"/>
        <w:rPr>
          <w:rStyle w:val="HTMLCode"/>
        </w:rPr>
      </w:pPr>
      <w:r>
        <w:rPr>
          <w:rStyle w:val="HTMLCode"/>
        </w:rPr>
        <w:t>\boxed{\text{letzte Gleichung}=(3.13593).}</w:t>
      </w:r>
    </w:p>
    <w:p w:rsidR="00CF7C35" w:rsidRDefault="00CF7C35" w:rsidP="00CF7C35">
      <w:pPr>
        <w:pStyle w:val="StandardWeb"/>
      </w:pPr>
      <w:r>
        <w:t xml:space="preserve">Damit ist der nächste Übergabepunkt </w:t>
      </w:r>
      <w:r>
        <w:rPr>
          <w:rStyle w:val="Fett"/>
        </w:rPr>
        <w:t>3.3.52.0</w:t>
      </w:r>
      <w:r>
        <w:t xml:space="preserve">, nächste Gleichung </w:t>
      </w:r>
      <w:r>
        <w:rPr>
          <w:rStyle w:val="Fett"/>
        </w:rPr>
        <w:t>(3.13595)</w:t>
      </w:r>
      <w:r>
        <w:t xml:space="preserve">, nächste Definition </w:t>
      </w:r>
      <w:r>
        <w:rPr>
          <w:rStyle w:val="Fett"/>
        </w:rPr>
        <w:t>3.3.578</w:t>
      </w:r>
      <w:r>
        <w:t xml:space="preserve">, nächster Satz </w:t>
      </w:r>
      <w:r>
        <w:rPr>
          <w:rStyle w:val="Fett"/>
        </w:rPr>
        <w:t>3.3.227</w:t>
      </w:r>
      <w:r>
        <w:t xml:space="preserve"> und nächstes Korollar </w:t>
      </w:r>
      <w:r>
        <w:rPr>
          <w:rStyle w:val="Fett"/>
        </w:rPr>
        <w:t>3.3.58</w:t>
      </w:r>
      <w:r>
        <w:t>.</w:t>
      </w:r>
    </w:p>
    <w:p w:rsidR="001E3C2A" w:rsidRDefault="001E3C2A" w:rsidP="001E3C2A">
      <w:pPr>
        <w:pStyle w:val="berschrift1"/>
        <w:rPr>
          <w:rFonts w:cs="Times New Roman"/>
          <w:sz w:val="48"/>
          <w:szCs w:val="48"/>
        </w:rPr>
      </w:pPr>
      <w:r>
        <w:t>3.3.52 Funktionale Projektion, Restriktion, Reduktion und Quotientenstrukturen</w:t>
      </w:r>
    </w:p>
    <w:p w:rsidR="001E3C2A" w:rsidRDefault="001E3C2A" w:rsidP="001E3C2A">
      <w:pPr>
        <w:pStyle w:val="berschrift2"/>
      </w:pPr>
      <w:r>
        <w:t>3.3.52.0 Ausgangspunkt und Zielsetzung</w:t>
      </w:r>
    </w:p>
    <w:p w:rsidR="001E3C2A" w:rsidRDefault="001E3C2A" w:rsidP="001E3C2A">
      <w:pPr>
        <w:pStyle w:val="StandardWeb"/>
      </w:pPr>
      <w:r>
        <w:t xml:space="preserve">Nachdem ich in Abschnitt 3.3.51 untersucht habe, wie mehrere funktionale Objekte aggregiert, fusioniert oder zerlegt werden können, betrachte ich nun die komplementäre Frage, wie aus einer gegebenen funktionalen Struktur gezielt </w:t>
      </w:r>
      <w:r>
        <w:rPr>
          <w:rStyle w:val="Fett"/>
        </w:rPr>
        <w:t>Teilinformationen, Teilräume oder reduzierte Repräsentationen</w:t>
      </w:r>
      <w:r>
        <w:t xml:space="preserve"> gewonnen werden können.</w:t>
      </w:r>
    </w:p>
    <w:p w:rsidR="001E3C2A" w:rsidRDefault="001E3C2A" w:rsidP="001E3C2A">
      <w:pPr>
        <w:pStyle w:val="StandardWeb"/>
      </w:pPr>
      <w:r>
        <w:t>Dabei unterscheide ich zunächst vier grundsätzlich verschiedene Operationstypen:</w:t>
      </w:r>
    </w:p>
    <w:p w:rsidR="001E3C2A" w:rsidRDefault="001E3C2A" w:rsidP="001E3C2A">
      <w:pPr>
        <w:pStyle w:val="StandardWeb"/>
      </w:pPr>
      <w:r>
        <w:t>[</w:t>
      </w:r>
      <w:r>
        <w:br/>
        <w:t>\text{Projektion},</w:t>
      </w:r>
      <w:r>
        <w:br/>
        <w:t>\qquad</w:t>
      </w:r>
      <w:r>
        <w:br/>
        <w:t>\text{Restriktion},</w:t>
      </w:r>
      <w:r>
        <w:br/>
        <w:t>\qquad</w:t>
      </w:r>
      <w:r>
        <w:br/>
        <w:t>\text{Reduktion},</w:t>
      </w:r>
      <w:r>
        <w:br/>
        <w:t>\qquad</w:t>
      </w:r>
      <w:r>
        <w:br/>
        <w:t>\text{Quotientierung}.</w:t>
      </w:r>
      <w:r>
        <w:br/>
        <w:t>\tag{3.13595}</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lastRenderedPageBreak/>
        <w:t>\text{Projektion},\qquad\text{Restriktion},\qquad\text{Reduktion},\qquad\text{Quotientierung}</w:t>
      </w:r>
    </w:p>
    <w:p w:rsidR="001E3C2A" w:rsidRDefault="001E3C2A" w:rsidP="001E3C2A">
      <w:pPr>
        <w:pStyle w:val="StandardWeb"/>
      </w:pPr>
      <w:r>
        <w:t>Diese Begriffe dürfen nicht miteinander gleichgesetzt werden. Eine Projektion wählt beziehungsweise erzeugt eine bestimmte Sicht auf ein Objekt, eine Restriktion begrenzt den betrachteten Definitions- oder Zustandsbereich, eine Reduktion ersetzt eine Struktur durch eine vereinfachte Repräsentation und eine Quotientierung identifiziert Objekte bezüglich einer zuvor festgelegten Äquivalenzrelation.</w:t>
      </w:r>
    </w:p>
    <w:p w:rsidR="001E3C2A" w:rsidRDefault="001E3C2A" w:rsidP="001E3C2A">
      <w:r>
        <w:pict>
          <v:rect id="_x0000_i5576" style="width:0;height:1.5pt" o:hralign="center" o:hrstd="t" o:hr="t" fillcolor="#a0a0a0" stroked="f"/>
        </w:pict>
      </w:r>
    </w:p>
    <w:p w:rsidR="001E3C2A" w:rsidRDefault="001E3C2A" w:rsidP="001E3C2A">
      <w:pPr>
        <w:pStyle w:val="berschrift2"/>
      </w:pPr>
      <w:r>
        <w:t>3.3.52.1 Funktionale Projektion</w:t>
      </w:r>
    </w:p>
    <w:p w:rsidR="001E3C2A" w:rsidRDefault="001E3C2A" w:rsidP="001E3C2A">
      <w:pPr>
        <w:pStyle w:val="StandardWeb"/>
      </w:pPr>
      <w:r>
        <w:t>Seien zwei funktionale Räume</w:t>
      </w:r>
    </w:p>
    <w:p w:rsidR="001E3C2A" w:rsidRDefault="001E3C2A" w:rsidP="001E3C2A">
      <w:pPr>
        <w:pStyle w:val="StandardWeb"/>
      </w:pPr>
      <w:r>
        <w:t>[</w:t>
      </w:r>
      <w:r>
        <w:br/>
        <w:t>\mathcal X_F</w:t>
      </w:r>
      <w:r>
        <w:br/>
        <w:t>\quad\text{und}\quad</w:t>
      </w:r>
      <w:r>
        <w:br/>
        <w:t>\mathcal Y_F</w:t>
      </w:r>
      <w:r>
        <w:br/>
        <w:t>\tag{3.13596}</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\mathcal X_F\quad\text{und}\quad\mathcal Y_F</w:t>
      </w:r>
    </w:p>
    <w:p w:rsidR="001E3C2A" w:rsidRDefault="001E3C2A" w:rsidP="001E3C2A">
      <w:pPr>
        <w:pStyle w:val="StandardWeb"/>
      </w:pPr>
      <w:r>
        <w:t>gegeben.</w:t>
      </w:r>
    </w:p>
    <w:p w:rsidR="001E3C2A" w:rsidRDefault="001E3C2A" w:rsidP="001E3C2A">
      <w:pPr>
        <w:pStyle w:val="StandardWeb"/>
      </w:pPr>
      <w:r>
        <w:t>Eine Projektion kann als Abbildung</w:t>
      </w:r>
    </w:p>
    <w:p w:rsidR="001E3C2A" w:rsidRDefault="001E3C2A" w:rsidP="001E3C2A">
      <w:pPr>
        <w:pStyle w:val="StandardWeb"/>
      </w:pPr>
      <w:r>
        <w:t>[</w:t>
      </w:r>
      <w:r>
        <w:br/>
        <w:t>\Pi_F</w:t>
      </w:r>
      <w:r>
        <w:br/>
        <w:t>:</w:t>
      </w:r>
      <w:r>
        <w:br/>
        <w:t>\mathcal X_F</w:t>
      </w:r>
      <w:r>
        <w:br/>
        <w:t>\rightarrow</w:t>
      </w:r>
      <w:r>
        <w:br/>
        <w:t>\mathcal Y_F</w:t>
      </w:r>
      <w:r>
        <w:br/>
        <w:t>\tag{3.13597}</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\Pi_F:\mathcal X_F\rightarrow\mathcal Y_F</w:t>
      </w:r>
    </w:p>
    <w:p w:rsidR="001E3C2A" w:rsidRDefault="001E3C2A" w:rsidP="001E3C2A">
      <w:pPr>
        <w:pStyle w:val="StandardWeb"/>
      </w:pPr>
      <w:r>
        <w:t>formuliert werden.</w:t>
      </w:r>
    </w:p>
    <w:p w:rsidR="001E3C2A" w:rsidRDefault="001E3C2A" w:rsidP="001E3C2A">
      <w:r>
        <w:pict>
          <v:rect id="_x0000_i5577" style="width:0;height:1.5pt" o:hralign="center" o:hrstd="t" o:hr="t" fillcolor="#a0a0a0" stroked="f"/>
        </w:pict>
      </w:r>
    </w:p>
    <w:p w:rsidR="001E3C2A" w:rsidRDefault="001E3C2A" w:rsidP="001E3C2A">
      <w:pPr>
        <w:pStyle w:val="berschrift2"/>
      </w:pPr>
      <w:r>
        <w:t>3.3.52.2 Definition 3.3.578 – Funktionale Projektion</w:t>
      </w:r>
    </w:p>
    <w:p w:rsidR="001E3C2A" w:rsidRDefault="001E3C2A" w:rsidP="001E3C2A">
      <w:pPr>
        <w:pStyle w:val="berschrift3"/>
      </w:pPr>
      <w:r>
        <w:t>Definition 3.3.578</w:t>
      </w:r>
    </w:p>
    <w:p w:rsidR="001E3C2A" w:rsidRDefault="001E3C2A" w:rsidP="001E3C2A">
      <w:pPr>
        <w:pStyle w:val="StandardWeb"/>
      </w:pPr>
      <w:r>
        <w:t xml:space="preserve">Eine </w:t>
      </w:r>
      <w:r>
        <w:rPr>
          <w:rStyle w:val="Fett"/>
        </w:rPr>
        <w:t>funktionale Projektion</w:t>
      </w:r>
      <w:r>
        <w:t xml:space="preserve"> ist eine modellabhängig definierte Abbildung</w:t>
      </w:r>
    </w:p>
    <w:p w:rsidR="001E3C2A" w:rsidRDefault="001E3C2A" w:rsidP="001E3C2A">
      <w:pPr>
        <w:pStyle w:val="StandardWeb"/>
      </w:pPr>
      <w:r>
        <w:lastRenderedPageBreak/>
        <w:t>[</w:t>
      </w:r>
      <w:r>
        <w:br/>
        <w:t>\boxed{</w:t>
      </w:r>
      <w:r>
        <w:br/>
        <w:t>\Pi_F</w:t>
      </w:r>
      <w:r>
        <w:br/>
        <w:t>:</w:t>
      </w:r>
      <w:r>
        <w:br/>
        <w:t>\mathcal X_F</w:t>
      </w:r>
      <w:r>
        <w:br/>
        <w:t>\rightarrow</w:t>
      </w:r>
      <w:r>
        <w:br/>
        <w:t>\mathcal Y_F,</w:t>
      </w:r>
      <w:r>
        <w:br/>
        <w:t>}</w:t>
      </w:r>
      <w:r>
        <w:br/>
        <w:t>\tag{3.13598}</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\boxed{\Pi_F:\mathcal X_F\rightarrow\mathcal Y_F,}</w:t>
      </w:r>
    </w:p>
    <w:p w:rsidR="001E3C2A" w:rsidRDefault="001E3C2A" w:rsidP="001E3C2A">
      <w:pPr>
        <w:pStyle w:val="StandardWeb"/>
      </w:pPr>
      <w:r>
        <w:t>die einem funktionalen Objekt (X\in\mathcal X_F) eine hinsichtlich einer festgelegten Modellfrage relevante Repräsentation (\Pi_F(X)\in\mathcal Y_F) zuordnet.</w:t>
      </w:r>
    </w:p>
    <w:p w:rsidR="001E3C2A" w:rsidRDefault="001E3C2A" w:rsidP="001E3C2A">
      <w:r>
        <w:pict>
          <v:rect id="_x0000_i5578" style="width:0;height:1.5pt" o:hralign="center" o:hrstd="t" o:hr="t" fillcolor="#a0a0a0" stroked="f"/>
        </w:pict>
      </w:r>
    </w:p>
    <w:p w:rsidR="001E3C2A" w:rsidRDefault="001E3C2A" w:rsidP="001E3C2A">
      <w:pPr>
        <w:pStyle w:val="berschrift2"/>
      </w:pPr>
      <w:r>
        <w:t>3.3.52.3 Projektion ist nicht notwendig geometrisch</w:t>
      </w:r>
    </w:p>
    <w:p w:rsidR="001E3C2A" w:rsidRDefault="001E3C2A" w:rsidP="001E3C2A">
      <w:pPr>
        <w:pStyle w:val="StandardWeb"/>
      </w:pPr>
      <w:r>
        <w:t>Die Schreibweise</w:t>
      </w:r>
    </w:p>
    <w:p w:rsidR="001E3C2A" w:rsidRDefault="001E3C2A" w:rsidP="001E3C2A">
      <w:pPr>
        <w:pStyle w:val="StandardWeb"/>
      </w:pPr>
      <w:r>
        <w:t>[</w:t>
      </w:r>
      <w:r>
        <w:br/>
        <w:t>\Pi_F(X)</w:t>
      </w:r>
      <w:r>
        <w:br/>
        <w:t>\tag{3.13599}</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\Pi_F(X)</w:t>
      </w:r>
    </w:p>
    <w:p w:rsidR="001E3C2A" w:rsidRDefault="001E3C2A" w:rsidP="001E3C2A">
      <w:pPr>
        <w:pStyle w:val="StandardWeb"/>
      </w:pPr>
      <w:r>
        <w:t>impliziert nicht, dass (\Pi_F) eine orthogonale Projektion eines euklidischen oder Hilbertraums sein muss.</w:t>
      </w:r>
    </w:p>
    <w:p w:rsidR="001E3C2A" w:rsidRDefault="001E3C2A" w:rsidP="001E3C2A">
      <w:pPr>
        <w:pStyle w:val="StandardWeb"/>
      </w:pPr>
      <w:r>
        <w:t>Insbesondere folgt nicht automatisch</w:t>
      </w:r>
    </w:p>
    <w:p w:rsidR="001E3C2A" w:rsidRDefault="001E3C2A" w:rsidP="001E3C2A">
      <w:pPr>
        <w:pStyle w:val="berschrift1"/>
      </w:pPr>
      <w:r>
        <w:t>[</w:t>
      </w:r>
      <w:r>
        <w:br/>
        <w:t>\Pi_F^2</w:t>
      </w:r>
    </w:p>
    <w:p w:rsidR="001E3C2A" w:rsidRDefault="001E3C2A" w:rsidP="001E3C2A">
      <w:pPr>
        <w:pStyle w:val="StandardWeb"/>
      </w:pPr>
      <w:r>
        <w:t>\Pi_F.</w:t>
      </w:r>
      <w:r>
        <w:br/>
        <w:t>\tag{3.13600}</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\Pi_F^2=\Pi_F</w:t>
      </w:r>
    </w:p>
    <w:p w:rsidR="001E3C2A" w:rsidRDefault="001E3C2A" w:rsidP="001E3C2A">
      <w:pPr>
        <w:pStyle w:val="StandardWeb"/>
      </w:pPr>
      <w:r>
        <w:t>Die algebraische Idempotenz muss gesondert eingeführt und geprüft werden.</w:t>
      </w:r>
    </w:p>
    <w:p w:rsidR="001E3C2A" w:rsidRDefault="001E3C2A" w:rsidP="001E3C2A">
      <w:r>
        <w:lastRenderedPageBreak/>
        <w:pict>
          <v:rect id="_x0000_i5579" style="width:0;height:1.5pt" o:hralign="center" o:hrstd="t" o:hr="t" fillcolor="#a0a0a0" stroked="f"/>
        </w:pict>
      </w:r>
    </w:p>
    <w:p w:rsidR="001E3C2A" w:rsidRDefault="001E3C2A" w:rsidP="001E3C2A">
      <w:pPr>
        <w:pStyle w:val="berschrift2"/>
      </w:pPr>
      <w:r>
        <w:t>3.3.52.4 Idempotente Projektion</w:t>
      </w:r>
    </w:p>
    <w:p w:rsidR="001E3C2A" w:rsidRDefault="001E3C2A" w:rsidP="001E3C2A">
      <w:pPr>
        <w:pStyle w:val="StandardWeb"/>
      </w:pPr>
      <w:r>
        <w:t>Eine Projektion kann die Eigenschaft</w:t>
      </w:r>
    </w:p>
    <w:p w:rsidR="001E3C2A" w:rsidRDefault="001E3C2A" w:rsidP="001E3C2A">
      <w:pPr>
        <w:pStyle w:val="berschrift1"/>
      </w:pPr>
      <w:r>
        <w:t>[</w:t>
      </w:r>
      <w:r>
        <w:br/>
        <w:t>\Pi_F</w:t>
      </w:r>
      <w:r>
        <w:br/>
        <w:t>\circ</w:t>
      </w:r>
      <w:r>
        <w:br/>
        <w:t>\Pi_F</w:t>
      </w:r>
    </w:p>
    <w:p w:rsidR="001E3C2A" w:rsidRDefault="001E3C2A" w:rsidP="001E3C2A">
      <w:pPr>
        <w:pStyle w:val="StandardWeb"/>
      </w:pPr>
      <w:r>
        <w:t>\Pi_F</w:t>
      </w:r>
      <w:r>
        <w:br/>
        <w:t>\tag{3.13601}</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\Pi_F\circ\Pi_F=\Pi_F</w:t>
      </w:r>
    </w:p>
    <w:p w:rsidR="001E3C2A" w:rsidRDefault="001E3C2A" w:rsidP="001E3C2A">
      <w:pPr>
        <w:pStyle w:val="StandardWeb"/>
      </w:pPr>
      <w:r>
        <w:t>besitzen.</w:t>
      </w:r>
    </w:p>
    <w:p w:rsidR="001E3C2A" w:rsidRDefault="001E3C2A" w:rsidP="001E3C2A">
      <w:r>
        <w:pict>
          <v:rect id="_x0000_i5580" style="width:0;height:1.5pt" o:hralign="center" o:hrstd="t" o:hr="t" fillcolor="#a0a0a0" stroked="f"/>
        </w:pict>
      </w:r>
    </w:p>
    <w:p w:rsidR="001E3C2A" w:rsidRDefault="001E3C2A" w:rsidP="001E3C2A">
      <w:pPr>
        <w:pStyle w:val="berschrift2"/>
      </w:pPr>
      <w:r>
        <w:t>3.3.52.5 Definition 3.3.579 – Idempotente funktionale Projektion</w:t>
      </w:r>
    </w:p>
    <w:p w:rsidR="001E3C2A" w:rsidRDefault="001E3C2A" w:rsidP="001E3C2A">
      <w:pPr>
        <w:pStyle w:val="berschrift3"/>
      </w:pPr>
      <w:r>
        <w:t>Definition 3.3.579</w:t>
      </w:r>
    </w:p>
    <w:p w:rsidR="001E3C2A" w:rsidRDefault="001E3C2A" w:rsidP="001E3C2A">
      <w:pPr>
        <w:pStyle w:val="StandardWeb"/>
      </w:pPr>
      <w:r>
        <w:t xml:space="preserve">Eine funktionale Projektion heißt </w:t>
      </w:r>
      <w:r>
        <w:rPr>
          <w:rStyle w:val="Fett"/>
        </w:rPr>
        <w:t>idempotent</w:t>
      </w:r>
      <w:r>
        <w:t>, wenn</w:t>
      </w:r>
    </w:p>
    <w:p w:rsidR="001E3C2A" w:rsidRDefault="001E3C2A" w:rsidP="001E3C2A">
      <w:pPr>
        <w:pStyle w:val="berschrift1"/>
      </w:pPr>
      <w:r>
        <w:t>[</w:t>
      </w:r>
      <w:r>
        <w:br/>
        <w:t>\boxed{</w:t>
      </w:r>
      <w:r>
        <w:br/>
        <w:t>\Pi_F^2</w:t>
      </w:r>
    </w:p>
    <w:p w:rsidR="001E3C2A" w:rsidRDefault="001E3C2A" w:rsidP="001E3C2A">
      <w:pPr>
        <w:pStyle w:val="StandardWeb"/>
      </w:pPr>
      <w:r>
        <w:t>\Pi_F.</w:t>
      </w:r>
      <w:r>
        <w:br/>
        <w:t>}</w:t>
      </w:r>
      <w:r>
        <w:br/>
        <w:t>\tag{3.13602}</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\boxed{\Pi_F^2=\Pi_F.}</w:t>
      </w:r>
    </w:p>
    <w:p w:rsidR="001E3C2A" w:rsidRDefault="001E3C2A" w:rsidP="001E3C2A">
      <w:r>
        <w:pict>
          <v:rect id="_x0000_i5581" style="width:0;height:1.5pt" o:hralign="center" o:hrstd="t" o:hr="t" fillcolor="#a0a0a0" stroked="f"/>
        </w:pict>
      </w:r>
    </w:p>
    <w:p w:rsidR="001E3C2A" w:rsidRDefault="001E3C2A" w:rsidP="001E3C2A">
      <w:pPr>
        <w:pStyle w:val="berschrift2"/>
      </w:pPr>
      <w:r>
        <w:t>3.3.52.6 Nichtidempotente projektionsartige Abbildung</w:t>
      </w:r>
    </w:p>
    <w:p w:rsidR="001E3C2A" w:rsidRDefault="001E3C2A" w:rsidP="001E3C2A">
      <w:pPr>
        <w:pStyle w:val="StandardWeb"/>
      </w:pPr>
      <w:r>
        <w:lastRenderedPageBreak/>
        <w:t>Eine modellabhängige Sichtabbildung kann dagegen</w:t>
      </w:r>
    </w:p>
    <w:p w:rsidR="001E3C2A" w:rsidRDefault="001E3C2A" w:rsidP="001E3C2A">
      <w:pPr>
        <w:pStyle w:val="StandardWeb"/>
      </w:pPr>
      <w:r>
        <w:t>[</w:t>
      </w:r>
      <w:r>
        <w:br/>
        <w:t>\Pi_F^2</w:t>
      </w:r>
      <w:r>
        <w:br/>
        <w:t>\neq</w:t>
      </w:r>
      <w:r>
        <w:br/>
        <w:t>\Pi_F</w:t>
      </w:r>
      <w:r>
        <w:br/>
        <w:t>\tag{3.13603}</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\Pi_F^2\neq\Pi_F</w:t>
      </w:r>
    </w:p>
    <w:p w:rsidR="001E3C2A" w:rsidRDefault="001E3C2A" w:rsidP="001E3C2A">
      <w:pPr>
        <w:pStyle w:val="StandardWeb"/>
      </w:pPr>
      <w:r>
        <w:t>erfüllen.</w:t>
      </w:r>
    </w:p>
    <w:p w:rsidR="001E3C2A" w:rsidRDefault="001E3C2A" w:rsidP="001E3C2A">
      <w:pPr>
        <w:pStyle w:val="StandardWeb"/>
      </w:pPr>
      <w:r>
        <w:t>Dann verändert eine erneute Anwendung die bereits erzeugte Repräsentation nochmals.</w:t>
      </w:r>
    </w:p>
    <w:p w:rsidR="001E3C2A" w:rsidRDefault="001E3C2A" w:rsidP="001E3C2A">
      <w:r>
        <w:pict>
          <v:rect id="_x0000_i5582" style="width:0;height:1.5pt" o:hralign="center" o:hrstd="t" o:hr="t" fillcolor="#a0a0a0" stroked="f"/>
        </w:pict>
      </w:r>
    </w:p>
    <w:p w:rsidR="001E3C2A" w:rsidRDefault="001E3C2A" w:rsidP="001E3C2A">
      <w:pPr>
        <w:pStyle w:val="berschrift2"/>
      </w:pPr>
      <w:r>
        <w:t>3.3.52.7 Projektionsidempotenz als Primäraxiomkandidat</w:t>
      </w:r>
    </w:p>
    <w:p w:rsidR="001E3C2A" w:rsidRDefault="001E3C2A" w:rsidP="001E3C2A">
      <w:pPr>
        <w:pStyle w:val="StandardWeb"/>
      </w:pPr>
      <w:r>
        <w:t>Ein möglicher Kandidat lautet</w:t>
      </w:r>
    </w:p>
    <w:p w:rsidR="001E3C2A" w:rsidRDefault="001E3C2A" w:rsidP="001E3C2A">
      <w:pPr>
        <w:pStyle w:val="berschrift1"/>
      </w:pPr>
      <w:r>
        <w:t>[</w:t>
      </w:r>
      <w:r>
        <w:br/>
        <w:t>A_{\mathrm{proj-idem}}</w:t>
      </w:r>
      <w:r>
        <w:br/>
        <w:t>:</w:t>
      </w:r>
      <w:r>
        <w:br/>
        <w:t>\Pi_F^2</w:t>
      </w:r>
    </w:p>
    <w:p w:rsidR="001E3C2A" w:rsidRDefault="001E3C2A" w:rsidP="001E3C2A">
      <w:pPr>
        <w:pStyle w:val="StandardWeb"/>
      </w:pPr>
      <w:r>
        <w:t>\Pi_F.</w:t>
      </w:r>
      <w:r>
        <w:br/>
        <w:t>\tag{3.13604}</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A_{\mathrm{proj-idem}}:\Pi_F^2=\Pi_F</w:t>
      </w:r>
    </w:p>
    <w:p w:rsidR="001E3C2A" w:rsidRDefault="001E3C2A" w:rsidP="001E3C2A">
      <w:r>
        <w:pict>
          <v:rect id="_x0000_i5583" style="width:0;height:1.5pt" o:hralign="center" o:hrstd="t" o:hr="t" fillcolor="#a0a0a0" stroked="f"/>
        </w:pict>
      </w:r>
    </w:p>
    <w:p w:rsidR="001E3C2A" w:rsidRDefault="001E3C2A" w:rsidP="001E3C2A">
      <w:pPr>
        <w:pStyle w:val="berschrift2"/>
      </w:pPr>
      <w:r>
        <w:t>3.3.52.8 Gegenmodell zur universellen Projektionsidempotenz</w:t>
      </w:r>
    </w:p>
    <w:p w:rsidR="001E3C2A" w:rsidRDefault="001E3C2A" w:rsidP="001E3C2A">
      <w:pPr>
        <w:pStyle w:val="StandardWeb"/>
      </w:pPr>
      <w:r>
        <w:t>Eine zulässige Modellabbildung kann erfüllen</w:t>
      </w:r>
    </w:p>
    <w:p w:rsidR="001E3C2A" w:rsidRDefault="001E3C2A" w:rsidP="001E3C2A">
      <w:pPr>
        <w:pStyle w:val="berschrift1"/>
      </w:pPr>
      <w:r>
        <w:t>[</w:t>
      </w:r>
      <w:r>
        <w:br/>
        <w:t>\Pi_F(X)</w:t>
      </w:r>
    </w:p>
    <w:p w:rsidR="001E3C2A" w:rsidRDefault="001E3C2A" w:rsidP="001E3C2A">
      <w:pPr>
        <w:pStyle w:val="StandardWeb"/>
      </w:pPr>
      <w:r>
        <w:lastRenderedPageBreak/>
        <w:t>Y</w:t>
      </w:r>
      <w:r>
        <w:br/>
        <w:t>\tag{3.13605}</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\Pi_F(X)=Y</w:t>
      </w:r>
    </w:p>
    <w:p w:rsidR="001E3C2A" w:rsidRDefault="001E3C2A" w:rsidP="001E3C2A">
      <w:pPr>
        <w:pStyle w:val="StandardWeb"/>
      </w:pPr>
      <w:r>
        <w:t>und</w:t>
      </w:r>
    </w:p>
    <w:p w:rsidR="001E3C2A" w:rsidRDefault="001E3C2A" w:rsidP="001E3C2A">
      <w:pPr>
        <w:pStyle w:val="berschrift1"/>
      </w:pPr>
      <w:r>
        <w:t>[</w:t>
      </w:r>
      <w:r>
        <w:br/>
        <w:t>\Pi_F(Y)</w:t>
      </w:r>
    </w:p>
    <w:p w:rsidR="001E3C2A" w:rsidRDefault="001E3C2A" w:rsidP="001E3C2A">
      <w:pPr>
        <w:pStyle w:val="StandardWeb"/>
      </w:pPr>
      <w:r>
        <w:t>Z</w:t>
      </w:r>
      <w:r>
        <w:br/>
        <w:t>\tag{3.13606}</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\Pi_F(Y)=Z</w:t>
      </w:r>
    </w:p>
    <w:p w:rsidR="001E3C2A" w:rsidRDefault="001E3C2A" w:rsidP="001E3C2A">
      <w:pPr>
        <w:pStyle w:val="StandardWeb"/>
      </w:pPr>
      <w:r>
        <w:t>mit</w:t>
      </w:r>
    </w:p>
    <w:p w:rsidR="001E3C2A" w:rsidRDefault="001E3C2A" w:rsidP="001E3C2A">
      <w:pPr>
        <w:pStyle w:val="StandardWeb"/>
      </w:pPr>
      <w:r>
        <w:t>[</w:t>
      </w:r>
      <w:r>
        <w:br/>
        <w:t>Z</w:t>
      </w:r>
      <w:r>
        <w:br/>
        <w:t>\neq</w:t>
      </w:r>
      <w:r>
        <w:br/>
        <w:t>Y.</w:t>
      </w:r>
      <w:r>
        <w:br/>
        <w:t>\tag{3.13607}</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Z\neq Y</w:t>
      </w:r>
    </w:p>
    <w:p w:rsidR="001E3C2A" w:rsidRDefault="001E3C2A" w:rsidP="001E3C2A">
      <w:pPr>
        <w:pStyle w:val="StandardWeb"/>
      </w:pPr>
      <w:r>
        <w:t>Damit ist</w:t>
      </w:r>
    </w:p>
    <w:p w:rsidR="001E3C2A" w:rsidRDefault="001E3C2A" w:rsidP="001E3C2A">
      <w:pPr>
        <w:pStyle w:val="StandardWeb"/>
      </w:pPr>
      <w:r>
        <w:t>[</w:t>
      </w:r>
      <w:r>
        <w:br/>
        <w:t>\Pi_F^2(X)</w:t>
      </w:r>
      <w:r>
        <w:br/>
        <w:t>\neq</w:t>
      </w:r>
      <w:r>
        <w:br/>
        <w:t>\Pi_F(X).</w:t>
      </w:r>
      <w:r>
        <w:br/>
        <w:t>\tag{3.13608}</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\Pi_F^2(X)\neq\Pi_F(X)</w:t>
      </w:r>
    </w:p>
    <w:p w:rsidR="001E3C2A" w:rsidRDefault="001E3C2A" w:rsidP="001E3C2A">
      <w:r>
        <w:pict>
          <v:rect id="_x0000_i5584" style="width:0;height:1.5pt" o:hralign="center" o:hrstd="t" o:hr="t" fillcolor="#a0a0a0" stroked="f"/>
        </w:pict>
      </w:r>
    </w:p>
    <w:p w:rsidR="001E3C2A" w:rsidRDefault="001E3C2A" w:rsidP="001E3C2A">
      <w:pPr>
        <w:pStyle w:val="berschrift2"/>
      </w:pPr>
      <w:r>
        <w:t>3.3.52.9 Axiomentscheidung zur Projektionsidempotenz</w:t>
      </w:r>
    </w:p>
    <w:p w:rsidR="001E3C2A" w:rsidRDefault="001E3C2A" w:rsidP="001E3C2A">
      <w:pPr>
        <w:pStyle w:val="StandardWeb"/>
      </w:pPr>
      <w:r>
        <w:lastRenderedPageBreak/>
        <w:t>Es folgt</w:t>
      </w:r>
    </w:p>
    <w:p w:rsidR="001E3C2A" w:rsidRDefault="001E3C2A" w:rsidP="001E3C2A">
      <w:pPr>
        <w:pStyle w:val="berschrift1"/>
      </w:pPr>
      <w:r>
        <w:t>[</w:t>
      </w:r>
      <w:r>
        <w:br/>
        <w:t>\boxed{</w:t>
      </w:r>
      <w:r>
        <w:br/>
        <w:t>U_{\mathrm{Ax}}</w:t>
      </w:r>
      <w:r>
        <w:br/>
        <w:t>(A_{\mathrm{proj-idem}})</w:t>
      </w:r>
    </w:p>
    <w:p w:rsidR="001E3C2A" w:rsidRDefault="001E3C2A" w:rsidP="009F7790">
      <w:pPr>
        <w:numPr>
          <w:ilvl w:val="0"/>
          <w:numId w:val="686"/>
        </w:numPr>
        <w:spacing w:before="100" w:beforeAutospacing="1" w:after="100" w:afterAutospacing="1"/>
      </w:pPr>
    </w:p>
    <w:p w:rsidR="001E3C2A" w:rsidRDefault="001E3C2A" w:rsidP="001E3C2A">
      <w:pPr>
        <w:pStyle w:val="StandardWeb"/>
      </w:pPr>
      <w:r>
        <w:t>}</w:t>
      </w:r>
      <w:r>
        <w:br/>
        <w:t>\tag{3.13609}</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\boxed{U_{\mathrm{Ax}}(A_{\mathrm{proj-idem}})=0.}</w:t>
      </w:r>
    </w:p>
    <w:p w:rsidR="001E3C2A" w:rsidRDefault="001E3C2A" w:rsidP="001E3C2A">
      <w:r>
        <w:pict>
          <v:rect id="_x0000_i5585" style="width:0;height:1.5pt" o:hralign="center" o:hrstd="t" o:hr="t" fillcolor="#a0a0a0" stroked="f"/>
        </w:pict>
      </w:r>
    </w:p>
    <w:p w:rsidR="001E3C2A" w:rsidRDefault="001E3C2A" w:rsidP="001E3C2A">
      <w:pPr>
        <w:pStyle w:val="berschrift1"/>
      </w:pPr>
      <w:r>
        <w:t>3.3.52.10 Satz 3.3.227 – Projektionsidempotenz ist kein Primäraxiom</w:t>
      </w:r>
    </w:p>
    <w:p w:rsidR="001E3C2A" w:rsidRDefault="001E3C2A" w:rsidP="001E3C2A">
      <w:pPr>
        <w:pStyle w:val="berschrift3"/>
      </w:pPr>
      <w:r>
        <w:t>Satz 3.3.227</w:t>
      </w:r>
    </w:p>
    <w:p w:rsidR="001E3C2A" w:rsidRDefault="001E3C2A" w:rsidP="001E3C2A">
      <w:pPr>
        <w:pStyle w:val="StandardWeb"/>
      </w:pPr>
      <w:r>
        <w:t>Die Forderung, jede funktionale Projektions- oder Sichtabbildung müsse idempotent sein, ist keine universell notwendige Voraussetzung des allgemeinen FRZK.</w:t>
      </w:r>
    </w:p>
    <w:p w:rsidR="001E3C2A" w:rsidRDefault="001E3C2A" w:rsidP="001E3C2A">
      <w:pPr>
        <w:pStyle w:val="StandardWeb"/>
      </w:pPr>
      <w:r>
        <w:t>Formal gilt</w:t>
      </w:r>
    </w:p>
    <w:p w:rsidR="001E3C2A" w:rsidRDefault="001E3C2A" w:rsidP="001E3C2A">
      <w:pPr>
        <w:pStyle w:val="berschrift1"/>
      </w:pPr>
      <w:r>
        <w:t>[</w:t>
      </w:r>
      <w:r>
        <w:br/>
        <w:t>\boxed{</w:t>
      </w:r>
      <w:r>
        <w:br/>
        <w:t>U_{\mathrm{Ax}}</w:t>
      </w:r>
      <w:r>
        <w:br/>
        <w:t>(A_{\mathrm{proj-idem}})</w:t>
      </w:r>
    </w:p>
    <w:p w:rsidR="001E3C2A" w:rsidRDefault="001E3C2A" w:rsidP="009F7790">
      <w:pPr>
        <w:numPr>
          <w:ilvl w:val="0"/>
          <w:numId w:val="687"/>
        </w:numPr>
        <w:spacing w:before="100" w:beforeAutospacing="1" w:after="100" w:afterAutospacing="1"/>
      </w:pPr>
    </w:p>
    <w:p w:rsidR="001E3C2A" w:rsidRDefault="001E3C2A" w:rsidP="001E3C2A">
      <w:pPr>
        <w:pStyle w:val="StandardWeb"/>
      </w:pPr>
      <w:r>
        <w:t>}</w:t>
      </w:r>
      <w:r>
        <w:br/>
        <w:t>\tag{3.13610}</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\boxed{U_{\mathrm{Ax}}(A_{\mathrm{proj-idem}})=0.}</w:t>
      </w:r>
    </w:p>
    <w:p w:rsidR="001E3C2A" w:rsidRDefault="001E3C2A" w:rsidP="001E3C2A">
      <w:pPr>
        <w:pStyle w:val="berschrift3"/>
      </w:pPr>
      <w:r>
        <w:t>Beweis</w:t>
      </w:r>
    </w:p>
    <w:p w:rsidR="001E3C2A" w:rsidRDefault="001E3C2A" w:rsidP="001E3C2A">
      <w:pPr>
        <w:pStyle w:val="StandardWeb"/>
      </w:pPr>
      <w:r>
        <w:lastRenderedPageBreak/>
        <w:t>Eine zulässige Modellklasse kann eine Abbildung (\Pi_F) besitzen mit</w:t>
      </w:r>
    </w:p>
    <w:p w:rsidR="001E3C2A" w:rsidRDefault="001E3C2A" w:rsidP="001E3C2A">
      <w:pPr>
        <w:pStyle w:val="StandardWeb"/>
      </w:pPr>
      <w:r>
        <w:t>[</w:t>
      </w:r>
      <w:r>
        <w:br/>
        <w:t>\Pi_F^2(X)</w:t>
      </w:r>
      <w:r>
        <w:br/>
        <w:t>\neq</w:t>
      </w:r>
      <w:r>
        <w:br/>
        <w:t>\Pi_F(X).</w:t>
      </w:r>
      <w:r>
        <w:br/>
        <w:t>\tag{3.13611}</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\Pi_F^2(X)\neq\Pi_F(X)</w:t>
      </w:r>
    </w:p>
    <w:p w:rsidR="001E3C2A" w:rsidRDefault="001E3C2A" w:rsidP="001E3C2A">
      <w:pPr>
        <w:pStyle w:val="StandardWeb"/>
      </w:pPr>
      <w:r>
        <w:t>Die Abbildung bleibt dennoch wohldefiniert. Idempotenz ist daher eine zusätzliche algebraische Eigenschaft und keine universelle Voraussetzung. (\square)</w:t>
      </w:r>
    </w:p>
    <w:p w:rsidR="001E3C2A" w:rsidRDefault="001E3C2A" w:rsidP="001E3C2A">
      <w:r>
        <w:pict>
          <v:rect id="_x0000_i5586" style="width:0;height:1.5pt" o:hralign="center" o:hrstd="t" o:hr="t" fillcolor="#a0a0a0" stroked="f"/>
        </w:pict>
      </w:r>
    </w:p>
    <w:p w:rsidR="001E3C2A" w:rsidRDefault="001E3C2A" w:rsidP="001E3C2A">
      <w:pPr>
        <w:pStyle w:val="berschrift1"/>
      </w:pPr>
      <w:r>
        <w:t>3.3.52.11 Korollar 3.3.58 – Projektionsart ist modellabhängig</w:t>
      </w:r>
    </w:p>
    <w:p w:rsidR="001E3C2A" w:rsidRDefault="001E3C2A" w:rsidP="001E3C2A">
      <w:pPr>
        <w:pStyle w:val="berschrift3"/>
      </w:pPr>
      <w:r>
        <w:t>Korollar 3.3.58</w:t>
      </w:r>
    </w:p>
    <w:p w:rsidR="001E3C2A" w:rsidRDefault="001E3C2A" w:rsidP="001E3C2A">
      <w:pPr>
        <w:pStyle w:val="StandardWeb"/>
      </w:pPr>
      <w:r>
        <w:t>Aus Satz 3.3.227 folgt</w:t>
      </w:r>
    </w:p>
    <w:p w:rsidR="001E3C2A" w:rsidRDefault="001E3C2A" w:rsidP="001E3C2A">
      <w:pPr>
        <w:pStyle w:val="berschrift1"/>
      </w:pPr>
      <w:r>
        <w:t>[</w:t>
      </w:r>
      <w:r>
        <w:br/>
        <w:t>\boxed{</w:t>
      </w:r>
      <w:r>
        <w:br/>
        <w:t>\operatorname{Stat}</w:t>
      </w:r>
      <w:r>
        <w:br/>
        <w:t>(\Pi_F)</w:t>
      </w:r>
    </w:p>
    <w:p w:rsidR="001E3C2A" w:rsidRDefault="001E3C2A" w:rsidP="001E3C2A">
      <w:pPr>
        <w:pStyle w:val="StandardWeb"/>
      </w:pPr>
      <w:r>
        <w:t>\mathrm{Def/Mod/Op}.</w:t>
      </w:r>
      <w:r>
        <w:br/>
        <w:t>}</w:t>
      </w:r>
      <w:r>
        <w:br/>
        <w:t>\tag{3.13612}</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\boxed{\operatorname{Stat}(\Pi_F)=\mathrm{Def/Mod/Op}.}</w:t>
      </w:r>
    </w:p>
    <w:p w:rsidR="001E3C2A" w:rsidRDefault="001E3C2A" w:rsidP="001E3C2A">
      <w:r>
        <w:pict>
          <v:rect id="_x0000_i5587" style="width:0;height:1.5pt" o:hralign="center" o:hrstd="t" o:hr="t" fillcolor="#a0a0a0" stroked="f"/>
        </w:pict>
      </w:r>
    </w:p>
    <w:p w:rsidR="001E3C2A" w:rsidRDefault="001E3C2A" w:rsidP="001E3C2A">
      <w:pPr>
        <w:pStyle w:val="berschrift1"/>
      </w:pPr>
      <w:r>
        <w:t>3.3.52.12 Projektion auf eine Teilstruktur</w:t>
      </w:r>
    </w:p>
    <w:p w:rsidR="001E3C2A" w:rsidRDefault="001E3C2A" w:rsidP="001E3C2A">
      <w:pPr>
        <w:pStyle w:val="StandardWeb"/>
      </w:pPr>
      <w:r>
        <w:t>Eine Projektion kann in eine Teilstruktur</w:t>
      </w:r>
    </w:p>
    <w:p w:rsidR="001E3C2A" w:rsidRDefault="001E3C2A" w:rsidP="001E3C2A">
      <w:pPr>
        <w:pStyle w:val="StandardWeb"/>
      </w:pPr>
      <w:r>
        <w:t>[</w:t>
      </w:r>
      <w:r>
        <w:br/>
        <w:t>\mathcal Y_F</w:t>
      </w:r>
      <w:r>
        <w:br/>
        <w:t>\subseteq</w:t>
      </w:r>
      <w:r>
        <w:br/>
      </w:r>
      <w:r>
        <w:lastRenderedPageBreak/>
        <w:t>\mathcal X_F</w:t>
      </w:r>
      <w:r>
        <w:br/>
        <w:t>\tag{3.13613}</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\mathcal Y_F\subseteq\mathcal X_F</w:t>
      </w:r>
    </w:p>
    <w:p w:rsidR="001E3C2A" w:rsidRDefault="001E3C2A" w:rsidP="001E3C2A">
      <w:pPr>
        <w:pStyle w:val="StandardWeb"/>
      </w:pPr>
      <w:r>
        <w:t>führen.</w:t>
      </w:r>
    </w:p>
    <w:p w:rsidR="001E3C2A" w:rsidRDefault="001E3C2A" w:rsidP="001E3C2A">
      <w:pPr>
        <w:pStyle w:val="StandardWeb"/>
      </w:pPr>
      <w:r>
        <w:t>Dann gilt</w:t>
      </w:r>
    </w:p>
    <w:p w:rsidR="001E3C2A" w:rsidRDefault="001E3C2A" w:rsidP="001E3C2A">
      <w:pPr>
        <w:pStyle w:val="StandardWeb"/>
      </w:pPr>
      <w:r>
        <w:t>[</w:t>
      </w:r>
      <w:r>
        <w:br/>
        <w:t>\Pi_F</w:t>
      </w:r>
      <w:r>
        <w:br/>
        <w:t>:</w:t>
      </w:r>
      <w:r>
        <w:br/>
        <w:t>\mathcal X_F</w:t>
      </w:r>
      <w:r>
        <w:br/>
        <w:t>\rightarrow</w:t>
      </w:r>
      <w:r>
        <w:br/>
        <w:t>\mathcal Y_F.</w:t>
      </w:r>
      <w:r>
        <w:br/>
        <w:t>\tag{3.13614}</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\Pi_F:\mathcal X_F\rightarrow\mathcal Y_F</w:t>
      </w:r>
    </w:p>
    <w:p w:rsidR="001E3C2A" w:rsidRDefault="001E3C2A" w:rsidP="001E3C2A">
      <w:r>
        <w:pict>
          <v:rect id="_x0000_i5588" style="width:0;height:1.5pt" o:hralign="center" o:hrstd="t" o:hr="t" fillcolor="#a0a0a0" stroked="f"/>
        </w:pict>
      </w:r>
    </w:p>
    <w:p w:rsidR="001E3C2A" w:rsidRDefault="001E3C2A" w:rsidP="001E3C2A">
      <w:pPr>
        <w:pStyle w:val="berschrift1"/>
      </w:pPr>
      <w:r>
        <w:t>3.3.52.13 Fixpunkte einer Projektion</w:t>
      </w:r>
    </w:p>
    <w:p w:rsidR="001E3C2A" w:rsidRDefault="001E3C2A" w:rsidP="001E3C2A">
      <w:pPr>
        <w:pStyle w:val="StandardWeb"/>
      </w:pPr>
      <w:r>
        <w:t>Ein Objekt (Y\in\mathcal Y_F) kann ein Fixpunkt der Projektion sein:</w:t>
      </w:r>
    </w:p>
    <w:p w:rsidR="001E3C2A" w:rsidRDefault="001E3C2A" w:rsidP="001E3C2A">
      <w:pPr>
        <w:pStyle w:val="berschrift1"/>
      </w:pPr>
      <w:r>
        <w:t>[</w:t>
      </w:r>
      <w:r>
        <w:br/>
        <w:t>\Pi_F(Y)</w:t>
      </w:r>
    </w:p>
    <w:p w:rsidR="001E3C2A" w:rsidRDefault="001E3C2A" w:rsidP="001E3C2A">
      <w:pPr>
        <w:pStyle w:val="StandardWeb"/>
      </w:pPr>
      <w:r>
        <w:t>Y.</w:t>
      </w:r>
      <w:r>
        <w:br/>
        <w:t>\tag{3.13615}</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\Pi_F(Y)=Y</w:t>
      </w:r>
    </w:p>
    <w:p w:rsidR="001E3C2A" w:rsidRDefault="001E3C2A" w:rsidP="001E3C2A">
      <w:r>
        <w:pict>
          <v:rect id="_x0000_i5589" style="width:0;height:1.5pt" o:hralign="center" o:hrstd="t" o:hr="t" fillcolor="#a0a0a0" stroked="f"/>
        </w:pict>
      </w:r>
    </w:p>
    <w:p w:rsidR="001E3C2A" w:rsidRDefault="001E3C2A" w:rsidP="001E3C2A">
      <w:pPr>
        <w:pStyle w:val="berschrift2"/>
      </w:pPr>
      <w:r>
        <w:t>3.3.52.14 Definition 3.3.580 – Funktionaler Projektionsfixpunkt</w:t>
      </w:r>
    </w:p>
    <w:p w:rsidR="001E3C2A" w:rsidRDefault="001E3C2A" w:rsidP="001E3C2A">
      <w:pPr>
        <w:pStyle w:val="berschrift3"/>
      </w:pPr>
      <w:r>
        <w:t>Definition 3.3.580</w:t>
      </w:r>
    </w:p>
    <w:p w:rsidR="001E3C2A" w:rsidRDefault="001E3C2A" w:rsidP="001E3C2A">
      <w:pPr>
        <w:pStyle w:val="StandardWeb"/>
      </w:pPr>
      <w:r>
        <w:t xml:space="preserve">Ein Objekt (Y\in\mathcal X_F) heißt </w:t>
      </w:r>
      <w:r>
        <w:rPr>
          <w:rStyle w:val="Fett"/>
        </w:rPr>
        <w:t>Fixpunkt der funktionalen Projektion (\Pi_F)</w:t>
      </w:r>
      <w:r>
        <w:t>, wenn</w:t>
      </w:r>
    </w:p>
    <w:p w:rsidR="001E3C2A" w:rsidRDefault="001E3C2A" w:rsidP="001E3C2A">
      <w:pPr>
        <w:pStyle w:val="berschrift1"/>
      </w:pPr>
      <w:r>
        <w:lastRenderedPageBreak/>
        <w:t>[</w:t>
      </w:r>
      <w:r>
        <w:br/>
        <w:t>\boxed{</w:t>
      </w:r>
      <w:r>
        <w:br/>
        <w:t>\Pi_F(Y)</w:t>
      </w:r>
    </w:p>
    <w:p w:rsidR="001E3C2A" w:rsidRDefault="001E3C2A" w:rsidP="001E3C2A">
      <w:pPr>
        <w:pStyle w:val="StandardWeb"/>
      </w:pPr>
      <w:r>
        <w:t>Y.</w:t>
      </w:r>
      <w:r>
        <w:br/>
        <w:t>}</w:t>
      </w:r>
      <w:r>
        <w:br/>
        <w:t>\tag{3.13616}</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\boxed{\Pi_F(Y)=Y.}</w:t>
      </w:r>
    </w:p>
    <w:p w:rsidR="001E3C2A" w:rsidRDefault="001E3C2A" w:rsidP="001E3C2A">
      <w:r>
        <w:pict>
          <v:rect id="_x0000_i5590" style="width:0;height:1.5pt" o:hralign="center" o:hrstd="t" o:hr="t" fillcolor="#a0a0a0" stroked="f"/>
        </w:pict>
      </w:r>
    </w:p>
    <w:p w:rsidR="001E3C2A" w:rsidRDefault="001E3C2A" w:rsidP="001E3C2A">
      <w:pPr>
        <w:pStyle w:val="berschrift1"/>
      </w:pPr>
      <w:r>
        <w:t>3.3.52.15 Fixpunktmenge</w:t>
      </w:r>
    </w:p>
    <w:p w:rsidR="001E3C2A" w:rsidRDefault="001E3C2A" w:rsidP="001E3C2A">
      <w:pPr>
        <w:pStyle w:val="StandardWeb"/>
      </w:pPr>
      <w:r>
        <w:t>Die Menge aller Projektionsfixpunkte ist</w:t>
      </w:r>
    </w:p>
    <w:p w:rsidR="001E3C2A" w:rsidRDefault="001E3C2A" w:rsidP="001E3C2A">
      <w:pPr>
        <w:pStyle w:val="berschrift1"/>
      </w:pPr>
      <w:r>
        <w:t>[</w:t>
      </w:r>
      <w:r>
        <w:br/>
        <w:t>\operatorname{Fix}(\Pi_F)</w:t>
      </w:r>
    </w:p>
    <w:p w:rsidR="001E3C2A" w:rsidRDefault="001E3C2A" w:rsidP="001E3C2A">
      <w:pPr>
        <w:pStyle w:val="StandardWeb"/>
      </w:pPr>
      <w:r>
        <w:t>{</w:t>
      </w:r>
      <w:r>
        <w:br/>
        <w:t>X\in\mathcal X_F</w:t>
      </w:r>
      <w:r>
        <w:br/>
        <w:t>:</w:t>
      </w:r>
      <w:r>
        <w:br/>
        <w:t>\Pi_F(X)=X</w:t>
      </w:r>
      <w:r>
        <w:br/>
        <w:t>}.</w:t>
      </w:r>
      <w:r>
        <w:br/>
        <w:t>\tag{3.13617}</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\operatorname{Fix}(\Pi_F)=\{X\in\mathcal X_F:\Pi_F(X)=X\}</w:t>
      </w:r>
    </w:p>
    <w:p w:rsidR="001E3C2A" w:rsidRDefault="001E3C2A" w:rsidP="001E3C2A">
      <w:r>
        <w:pict>
          <v:rect id="_x0000_i5591" style="width:0;height:1.5pt" o:hralign="center" o:hrstd="t" o:hr="t" fillcolor="#a0a0a0" stroked="f"/>
        </w:pict>
      </w:r>
    </w:p>
    <w:p w:rsidR="001E3C2A" w:rsidRDefault="001E3C2A" w:rsidP="001E3C2A">
      <w:pPr>
        <w:pStyle w:val="berschrift2"/>
      </w:pPr>
      <w:r>
        <w:t>3.3.52.16 Definition 3.3.581 – Funktionale Projektionsfixpunktmenge</w:t>
      </w:r>
    </w:p>
    <w:p w:rsidR="001E3C2A" w:rsidRDefault="001E3C2A" w:rsidP="001E3C2A">
      <w:pPr>
        <w:pStyle w:val="berschrift3"/>
      </w:pPr>
      <w:r>
        <w:t>Definition 3.3.581</w:t>
      </w:r>
    </w:p>
    <w:p w:rsidR="001E3C2A" w:rsidRDefault="001E3C2A" w:rsidP="001E3C2A">
      <w:pPr>
        <w:pStyle w:val="StandardWeb"/>
      </w:pPr>
      <w:r>
        <w:t xml:space="preserve">Die </w:t>
      </w:r>
      <w:r>
        <w:rPr>
          <w:rStyle w:val="Fett"/>
        </w:rPr>
        <w:t>funktionale Projektionsfixpunktmenge</w:t>
      </w:r>
      <w:r>
        <w:t xml:space="preserve"> ist</w:t>
      </w:r>
    </w:p>
    <w:p w:rsidR="001E3C2A" w:rsidRDefault="001E3C2A" w:rsidP="001E3C2A">
      <w:pPr>
        <w:pStyle w:val="berschrift1"/>
      </w:pPr>
      <w:r>
        <w:t>[</w:t>
      </w:r>
      <w:r>
        <w:br/>
        <w:t>\boxed{</w:t>
      </w:r>
      <w:r>
        <w:br/>
        <w:t>\operatorname{Fix}(\Pi_F)</w:t>
      </w:r>
    </w:p>
    <w:p w:rsidR="001E3C2A" w:rsidRDefault="001E3C2A" w:rsidP="001E3C2A">
      <w:pPr>
        <w:pStyle w:val="StandardWeb"/>
      </w:pPr>
      <w:r>
        <w:lastRenderedPageBreak/>
        <w:t>{</w:t>
      </w:r>
      <w:r>
        <w:br/>
        <w:t>X\in\mathcal X_F</w:t>
      </w:r>
      <w:r>
        <w:br/>
        <w:t>:</w:t>
      </w:r>
      <w:r>
        <w:br/>
        <w:t>\Pi_F(X)=X</w:t>
      </w:r>
      <w:r>
        <w:br/>
        <w:t>}.</w:t>
      </w:r>
      <w:r>
        <w:br/>
        <w:t>}</w:t>
      </w:r>
      <w:r>
        <w:br/>
        <w:t>\tag{3.13618}</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\boxed{\operatorname{Fix}(\Pi_F)=\{X\in\mathcal X_F:\Pi_F(X)=X\}.}</w:t>
      </w:r>
    </w:p>
    <w:p w:rsidR="001E3C2A" w:rsidRDefault="001E3C2A" w:rsidP="001E3C2A">
      <w:r>
        <w:pict>
          <v:rect id="_x0000_i5592" style="width:0;height:1.5pt" o:hralign="center" o:hrstd="t" o:hr="t" fillcolor="#a0a0a0" stroked="f"/>
        </w:pict>
      </w:r>
    </w:p>
    <w:p w:rsidR="001E3C2A" w:rsidRDefault="001E3C2A" w:rsidP="001E3C2A">
      <w:pPr>
        <w:pStyle w:val="berschrift1"/>
      </w:pPr>
      <w:r>
        <w:t>3.3.52.17 Surjektive Projektion</w:t>
      </w:r>
    </w:p>
    <w:p w:rsidR="001E3C2A" w:rsidRDefault="001E3C2A" w:rsidP="001E3C2A">
      <w:pPr>
        <w:pStyle w:val="StandardWeb"/>
      </w:pPr>
      <w:r>
        <w:t>Eine Projektion kann surjektiv auf ihren Zielraum sein:</w:t>
      </w:r>
    </w:p>
    <w:p w:rsidR="001E3C2A" w:rsidRDefault="001E3C2A" w:rsidP="001E3C2A">
      <w:pPr>
        <w:pStyle w:val="berschrift1"/>
      </w:pPr>
      <w:r>
        <w:t>[</w:t>
      </w:r>
      <w:r>
        <w:br/>
        <w:t>\Pi_F(\mathcal X_F)</w:t>
      </w:r>
    </w:p>
    <w:p w:rsidR="001E3C2A" w:rsidRDefault="001E3C2A" w:rsidP="001E3C2A">
      <w:pPr>
        <w:pStyle w:val="StandardWeb"/>
      </w:pPr>
      <w:r>
        <w:t>\mathcal Y_F.</w:t>
      </w:r>
      <w:r>
        <w:br/>
        <w:t>\tag{3.13619}</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\Pi_F(\mathcal X_F)=\mathcal Y_F</w:t>
      </w:r>
    </w:p>
    <w:p w:rsidR="001E3C2A" w:rsidRDefault="001E3C2A" w:rsidP="001E3C2A">
      <w:r>
        <w:pict>
          <v:rect id="_x0000_i5593" style="width:0;height:1.5pt" o:hralign="center" o:hrstd="t" o:hr="t" fillcolor="#a0a0a0" stroked="f"/>
        </w:pict>
      </w:r>
    </w:p>
    <w:p w:rsidR="001E3C2A" w:rsidRDefault="001E3C2A" w:rsidP="001E3C2A">
      <w:pPr>
        <w:pStyle w:val="berschrift2"/>
      </w:pPr>
      <w:r>
        <w:t>3.3.52.18 Definition 3.3.582 – Surjektive funktionale Projektion</w:t>
      </w:r>
    </w:p>
    <w:p w:rsidR="001E3C2A" w:rsidRDefault="001E3C2A" w:rsidP="001E3C2A">
      <w:pPr>
        <w:pStyle w:val="berschrift3"/>
      </w:pPr>
      <w:r>
        <w:t>Definition 3.3.582</w:t>
      </w:r>
    </w:p>
    <w:p w:rsidR="001E3C2A" w:rsidRDefault="001E3C2A" w:rsidP="001E3C2A">
      <w:pPr>
        <w:pStyle w:val="StandardWeb"/>
      </w:pPr>
      <w:r>
        <w:t xml:space="preserve">Eine funktionale Projektion heißt </w:t>
      </w:r>
      <w:r>
        <w:rPr>
          <w:rStyle w:val="Fett"/>
        </w:rPr>
        <w:t>surjektiv bezüglich ihres Zielraums</w:t>
      </w:r>
      <w:r>
        <w:t>, wenn</w:t>
      </w:r>
    </w:p>
    <w:p w:rsidR="001E3C2A" w:rsidRDefault="001E3C2A" w:rsidP="001E3C2A">
      <w:pPr>
        <w:pStyle w:val="berschrift1"/>
      </w:pPr>
      <w:r>
        <w:t>[</w:t>
      </w:r>
      <w:r>
        <w:br/>
        <w:t>\boxed{</w:t>
      </w:r>
      <w:r>
        <w:br/>
        <w:t>\Pi_F(\mathcal X_F)</w:t>
      </w:r>
    </w:p>
    <w:p w:rsidR="001E3C2A" w:rsidRDefault="001E3C2A" w:rsidP="001E3C2A">
      <w:pPr>
        <w:pStyle w:val="StandardWeb"/>
      </w:pPr>
      <w:r>
        <w:t>\mathcal Y_F.</w:t>
      </w:r>
      <w:r>
        <w:br/>
        <w:t>}</w:t>
      </w:r>
      <w:r>
        <w:br/>
        <w:t>\tag{3.13620}</w:t>
      </w:r>
      <w:r>
        <w:br/>
        <w:t>]</w:t>
      </w:r>
    </w:p>
    <w:p w:rsidR="001E3C2A" w:rsidRDefault="001E3C2A" w:rsidP="001E3C2A">
      <w:pPr>
        <w:pStyle w:val="StandardWeb"/>
      </w:pPr>
      <w:r>
        <w:rPr>
          <w:rStyle w:val="Fett"/>
        </w:rPr>
        <w:lastRenderedPageBreak/>
        <w:t>Word-LaTeX</w:t>
      </w:r>
    </w:p>
    <w:p w:rsidR="001E3C2A" w:rsidRDefault="001E3C2A" w:rsidP="001E3C2A">
      <w:pPr>
        <w:pStyle w:val="HTMLVorformatiert"/>
        <w:rPr>
          <w:rStyle w:val="HTMLCode"/>
        </w:rPr>
      </w:pPr>
      <w:r>
        <w:rPr>
          <w:rStyle w:val="HTMLCode"/>
        </w:rPr>
        <w:t>\boxed{\Pi_F(\mathcal X_F)=\mathcal Y_F.}</w:t>
      </w:r>
    </w:p>
    <w:p w:rsidR="001E3C2A" w:rsidRDefault="001E3C2A" w:rsidP="001E3C2A">
      <w:r>
        <w:pict>
          <v:rect id="_x0000_i5594" style="width:0;height:1.5pt" o:hralign="center" o:hrstd="t" o:hr="t" fillcolor="#a0a0a0" stroked="f"/>
        </w:pict>
      </w:r>
    </w:p>
    <w:p w:rsidR="001E3C2A" w:rsidRDefault="001E3C2A" w:rsidP="001E3C2A">
      <w:pPr>
        <w:pStyle w:val="berschrift1"/>
      </w:pPr>
      <w:r>
        <w:t>3.3.52.19 Surjektivität als Primäraxiomkandidat</w:t>
      </w:r>
    </w:p>
    <w:p w:rsidR="001E3C2A" w:rsidRDefault="001E3C2A" w:rsidP="001E3C2A">
      <w:pPr>
        <w:pStyle w:val="StandardWeb"/>
      </w:pPr>
      <w:r>
        <w:t>Ein Kandidat wäre</w:t>
      </w:r>
    </w:p>
    <w:p w:rsidR="001E3C2A" w:rsidRDefault="001E3C2A" w:rsidP="001E3C2A">
      <w:pPr>
        <w:pStyle w:val="berschrift1"/>
      </w:pPr>
      <w:r>
        <w:t>[</w:t>
      </w:r>
      <w:r>
        <w:br/>
        <w:t>A_{\mathrm{proj-surj}}</w:t>
      </w:r>
      <w:r>
        <w:br/>
        <w:t>:</w:t>
      </w:r>
      <w:r>
        <w:br/>
        <w:t>\Pi_F(\mathcal X_F)</w:t>
      </w:r>
    </w:p>
    <w:p w:rsidR="001E3C2A" w:rsidRDefault="001E3C2A" w:rsidP="001E3C2A">
      <w:pPr>
        <w:pStyle w:val="StandardWeb"/>
      </w:pPr>
      <w:r>
        <w:t>\mathcal Y_F.</w:t>
      </w:r>
      <w:r>
        <w:br/>
        <w:t>\tag{3.13621}</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A_{\mathrm{proj-surj}}:\Pi_F(\mathcal X_F)=\mathcal Y_F</w:t>
      </w:r>
    </w:p>
    <w:p w:rsidR="001E3C2A" w:rsidRDefault="001E3C2A" w:rsidP="001E3C2A">
      <w:r>
        <w:pict>
          <v:rect id="_x0000_i5595" style="width:0;height:1.5pt" o:hralign="center" o:hrstd="t" o:hr="t" fillcolor="#a0a0a0" stroked="f"/>
        </w:pict>
      </w:r>
    </w:p>
    <w:p w:rsidR="001E3C2A" w:rsidRDefault="001E3C2A" w:rsidP="001E3C2A">
      <w:pPr>
        <w:pStyle w:val="berschrift1"/>
      </w:pPr>
      <w:r>
        <w:t>3.3.52.20 Gegenmodell zur universellen Surjektivität</w:t>
      </w:r>
    </w:p>
    <w:p w:rsidR="001E3C2A" w:rsidRDefault="001E3C2A" w:rsidP="001E3C2A">
      <w:pPr>
        <w:pStyle w:val="StandardWeb"/>
      </w:pPr>
      <w:r>
        <w:t>Eine zulässige Projektionsabbildung kann</w:t>
      </w:r>
    </w:p>
    <w:p w:rsidR="001E3C2A" w:rsidRDefault="001E3C2A" w:rsidP="001E3C2A">
      <w:pPr>
        <w:pStyle w:val="StandardWeb"/>
      </w:pPr>
      <w:r>
        <w:t>[</w:t>
      </w:r>
      <w:r>
        <w:br/>
        <w:t>\Pi_F(\mathcal X_F)</w:t>
      </w:r>
      <w:r>
        <w:br/>
        <w:t>\subsetneq</w:t>
      </w:r>
      <w:r>
        <w:br/>
        <w:t>\mathcal Y_F</w:t>
      </w:r>
      <w:r>
        <w:br/>
        <w:t>\tag{3.13622}</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\Pi_F(\mathcal X_F)\subsetneq\mathcal Y_F</w:t>
      </w:r>
    </w:p>
    <w:p w:rsidR="001E3C2A" w:rsidRDefault="001E3C2A" w:rsidP="001E3C2A">
      <w:pPr>
        <w:pStyle w:val="StandardWeb"/>
      </w:pPr>
      <w:r>
        <w:t>erfüllen.</w:t>
      </w:r>
    </w:p>
    <w:p w:rsidR="001E3C2A" w:rsidRDefault="001E3C2A" w:rsidP="001E3C2A">
      <w:r>
        <w:pict>
          <v:rect id="_x0000_i5596" style="width:0;height:1.5pt" o:hralign="center" o:hrstd="t" o:hr="t" fillcolor="#a0a0a0" stroked="f"/>
        </w:pict>
      </w:r>
    </w:p>
    <w:p w:rsidR="001E3C2A" w:rsidRDefault="001E3C2A" w:rsidP="001E3C2A">
      <w:pPr>
        <w:pStyle w:val="berschrift1"/>
      </w:pPr>
      <w:r>
        <w:t>3.3.52.21 Axiomentscheidung zur Projektionssurjektivität</w:t>
      </w:r>
    </w:p>
    <w:p w:rsidR="001E3C2A" w:rsidRDefault="001E3C2A" w:rsidP="001E3C2A">
      <w:pPr>
        <w:pStyle w:val="StandardWeb"/>
      </w:pPr>
      <w:r>
        <w:t>Damit gilt</w:t>
      </w:r>
    </w:p>
    <w:p w:rsidR="001E3C2A" w:rsidRDefault="001E3C2A" w:rsidP="001E3C2A">
      <w:pPr>
        <w:pStyle w:val="berschrift1"/>
      </w:pPr>
      <w:r>
        <w:lastRenderedPageBreak/>
        <w:t>[</w:t>
      </w:r>
      <w:r>
        <w:br/>
        <w:t>\boxed{</w:t>
      </w:r>
      <w:r>
        <w:br/>
        <w:t>U_{\mathrm{Ax}}</w:t>
      </w:r>
      <w:r>
        <w:br/>
        <w:t>(A_{\mathrm{proj-surj}})</w:t>
      </w:r>
    </w:p>
    <w:p w:rsidR="001E3C2A" w:rsidRDefault="001E3C2A" w:rsidP="009F7790">
      <w:pPr>
        <w:numPr>
          <w:ilvl w:val="0"/>
          <w:numId w:val="688"/>
        </w:numPr>
        <w:spacing w:before="100" w:beforeAutospacing="1" w:after="100" w:afterAutospacing="1"/>
      </w:pPr>
    </w:p>
    <w:p w:rsidR="001E3C2A" w:rsidRDefault="001E3C2A" w:rsidP="001E3C2A">
      <w:pPr>
        <w:pStyle w:val="StandardWeb"/>
      </w:pPr>
      <w:r>
        <w:t>}</w:t>
      </w:r>
      <w:r>
        <w:br/>
        <w:t>\tag{3.13623}</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\boxed{U_{\mathrm{Ax}}(A_{\mathrm{proj-surj}})=0.}</w:t>
      </w:r>
    </w:p>
    <w:p w:rsidR="001E3C2A" w:rsidRDefault="001E3C2A" w:rsidP="001E3C2A">
      <w:r>
        <w:pict>
          <v:rect id="_x0000_i5597" style="width:0;height:1.5pt" o:hralign="center" o:hrstd="t" o:hr="t" fillcolor="#a0a0a0" stroked="f"/>
        </w:pict>
      </w:r>
    </w:p>
    <w:p w:rsidR="001E3C2A" w:rsidRDefault="001E3C2A" w:rsidP="001E3C2A">
      <w:pPr>
        <w:pStyle w:val="berschrift1"/>
      </w:pPr>
      <w:r>
        <w:t>3.3.52.22 Satz 3.3.228 – Surjektivität funktionaler Projektionen ist kein Primäraxiom</w:t>
      </w:r>
    </w:p>
    <w:p w:rsidR="001E3C2A" w:rsidRDefault="001E3C2A" w:rsidP="001E3C2A">
      <w:pPr>
        <w:pStyle w:val="berschrift3"/>
      </w:pPr>
      <w:r>
        <w:t>Satz 3.3.228</w:t>
      </w:r>
    </w:p>
    <w:p w:rsidR="001E3C2A" w:rsidRDefault="001E3C2A" w:rsidP="001E3C2A">
      <w:pPr>
        <w:pStyle w:val="StandardWeb"/>
      </w:pPr>
      <w:r>
        <w:t>Die Forderung, jede funktionale Projektion müsse ihren gesamten deklarierten Zielraum erreichen, ist keine universell notwendige Voraussetzung des allgemeinen FRZK.</w:t>
      </w:r>
    </w:p>
    <w:p w:rsidR="001E3C2A" w:rsidRDefault="001E3C2A" w:rsidP="001E3C2A">
      <w:pPr>
        <w:pStyle w:val="berschrift1"/>
      </w:pPr>
      <w:r>
        <w:t>[</w:t>
      </w:r>
      <w:r>
        <w:br/>
        <w:t>\boxed{</w:t>
      </w:r>
      <w:r>
        <w:br/>
        <w:t>U_{\mathrm{Ax}}</w:t>
      </w:r>
      <w:r>
        <w:br/>
        <w:t>(A_{\mathrm{proj-surj}})</w:t>
      </w:r>
    </w:p>
    <w:p w:rsidR="001E3C2A" w:rsidRDefault="001E3C2A" w:rsidP="009F7790">
      <w:pPr>
        <w:numPr>
          <w:ilvl w:val="0"/>
          <w:numId w:val="689"/>
        </w:numPr>
        <w:spacing w:before="100" w:beforeAutospacing="1" w:after="100" w:afterAutospacing="1"/>
      </w:pPr>
    </w:p>
    <w:p w:rsidR="001E3C2A" w:rsidRDefault="001E3C2A" w:rsidP="001E3C2A">
      <w:pPr>
        <w:pStyle w:val="StandardWeb"/>
      </w:pPr>
      <w:r>
        <w:t>}</w:t>
      </w:r>
      <w:r>
        <w:br/>
        <w:t>\tag{3.13624}</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\boxed{U_{\mathrm{Ax}}(A_{\mathrm{proj-surj}})=0.}</w:t>
      </w:r>
    </w:p>
    <w:p w:rsidR="001E3C2A" w:rsidRDefault="001E3C2A" w:rsidP="001E3C2A">
      <w:r>
        <w:pict>
          <v:rect id="_x0000_i5598" style="width:0;height:1.5pt" o:hralign="center" o:hrstd="t" o:hr="t" fillcolor="#a0a0a0" stroked="f"/>
        </w:pict>
      </w:r>
    </w:p>
    <w:p w:rsidR="001E3C2A" w:rsidRDefault="001E3C2A" w:rsidP="001E3C2A">
      <w:pPr>
        <w:pStyle w:val="berschrift1"/>
      </w:pPr>
      <w:r>
        <w:t>3.3.52.23 Funktionale Restriktion</w:t>
      </w:r>
    </w:p>
    <w:p w:rsidR="001E3C2A" w:rsidRDefault="001E3C2A" w:rsidP="001E3C2A">
      <w:pPr>
        <w:pStyle w:val="StandardWeb"/>
      </w:pPr>
      <w:r>
        <w:t>Ich unterscheide nun die Projektion von einer Restriktion.</w:t>
      </w:r>
    </w:p>
    <w:p w:rsidR="001E3C2A" w:rsidRDefault="001E3C2A" w:rsidP="001E3C2A">
      <w:pPr>
        <w:pStyle w:val="StandardWeb"/>
      </w:pPr>
      <w:r>
        <w:lastRenderedPageBreak/>
        <w:t>Sei eine Abbildung</w:t>
      </w:r>
    </w:p>
    <w:p w:rsidR="001E3C2A" w:rsidRDefault="001E3C2A" w:rsidP="001E3C2A">
      <w:pPr>
        <w:pStyle w:val="StandardWeb"/>
      </w:pPr>
      <w:r>
        <w:t>[</w:t>
      </w:r>
      <w:r>
        <w:br/>
        <w:t>F</w:t>
      </w:r>
      <w:r>
        <w:br/>
        <w:t>:</w:t>
      </w:r>
      <w:r>
        <w:br/>
        <w:t>\mathcal X_F</w:t>
      </w:r>
      <w:r>
        <w:br/>
        <w:t>\rightarrow</w:t>
      </w:r>
      <w:r>
        <w:br/>
        <w:t>\mathcal Y_F</w:t>
      </w:r>
      <w:r>
        <w:br/>
        <w:t>\tag{3.13625}</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F:\mathcal X_F\rightarrow\mathcal Y_F</w:t>
      </w:r>
    </w:p>
    <w:p w:rsidR="001E3C2A" w:rsidRDefault="001E3C2A" w:rsidP="001E3C2A">
      <w:pPr>
        <w:pStyle w:val="StandardWeb"/>
      </w:pPr>
      <w:r>
        <w:t>und sei</w:t>
      </w:r>
    </w:p>
    <w:p w:rsidR="001E3C2A" w:rsidRDefault="001E3C2A" w:rsidP="001E3C2A">
      <w:pPr>
        <w:pStyle w:val="StandardWeb"/>
      </w:pPr>
      <w:r>
        <w:t>[</w:t>
      </w:r>
      <w:r>
        <w:br/>
        <w:t>\mathcal X_F'</w:t>
      </w:r>
      <w:r>
        <w:br/>
        <w:t>\subseteq</w:t>
      </w:r>
      <w:r>
        <w:br/>
        <w:t>\mathcal X_F.</w:t>
      </w:r>
      <w:r>
        <w:br/>
        <w:t>\tag{3.13626}</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\mathcal X_F'\subseteq\mathcal X_F</w:t>
      </w:r>
    </w:p>
    <w:p w:rsidR="001E3C2A" w:rsidRDefault="001E3C2A" w:rsidP="001E3C2A">
      <w:pPr>
        <w:pStyle w:val="StandardWeb"/>
      </w:pPr>
      <w:r>
        <w:t>Dann kann ich (F) auf (\mathcal X_F') einschränken.</w:t>
      </w:r>
    </w:p>
    <w:p w:rsidR="001E3C2A" w:rsidRDefault="001E3C2A" w:rsidP="001E3C2A">
      <w:r>
        <w:pict>
          <v:rect id="_x0000_i5599" style="width:0;height:1.5pt" o:hralign="center" o:hrstd="t" o:hr="t" fillcolor="#a0a0a0" stroked="f"/>
        </w:pict>
      </w:r>
    </w:p>
    <w:p w:rsidR="001E3C2A" w:rsidRDefault="001E3C2A" w:rsidP="001E3C2A">
      <w:pPr>
        <w:pStyle w:val="berschrift2"/>
      </w:pPr>
      <w:r>
        <w:t>3.3.52.24 Definition 3.3.583 – Funktionale Restriktion</w:t>
      </w:r>
    </w:p>
    <w:p w:rsidR="001E3C2A" w:rsidRDefault="001E3C2A" w:rsidP="001E3C2A">
      <w:pPr>
        <w:pStyle w:val="berschrift3"/>
      </w:pPr>
      <w:r>
        <w:t>Definition 3.3.583</w:t>
      </w:r>
    </w:p>
    <w:p w:rsidR="001E3C2A" w:rsidRDefault="001E3C2A" w:rsidP="001E3C2A">
      <w:pPr>
        <w:pStyle w:val="StandardWeb"/>
      </w:pPr>
      <w:r>
        <w:t xml:space="preserve">Die </w:t>
      </w:r>
      <w:r>
        <w:rPr>
          <w:rStyle w:val="Fett"/>
        </w:rPr>
        <w:t>funktionale Restriktion</w:t>
      </w:r>
      <w:r>
        <w:t xml:space="preserve"> einer Abbildung (F) auf (\mathcal X_F'\subseteq\mathcal X_F) ist</w:t>
      </w:r>
    </w:p>
    <w:p w:rsidR="001E3C2A" w:rsidRDefault="001E3C2A" w:rsidP="001E3C2A">
      <w:pPr>
        <w:pStyle w:val="StandardWeb"/>
      </w:pPr>
      <w:r>
        <w:t>[</w:t>
      </w:r>
      <w:r>
        <w:br/>
        <w:t>\boxed{</w:t>
      </w:r>
      <w:r>
        <w:br/>
        <w:t>F|_{\mathcal X_F'}</w:t>
      </w:r>
      <w:r>
        <w:br/>
        <w:t>:</w:t>
      </w:r>
      <w:r>
        <w:br/>
        <w:t>\mathcal X_F'</w:t>
      </w:r>
      <w:r>
        <w:br/>
        <w:t>\rightarrow</w:t>
      </w:r>
      <w:r>
        <w:br/>
        <w:t>\mathcal Y_F.</w:t>
      </w:r>
      <w:r>
        <w:br/>
        <w:t>}</w:t>
      </w:r>
      <w:r>
        <w:br/>
        <w:t>\tag{3.13627}</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lastRenderedPageBreak/>
        <w:t>\boxed{F|_{\mathcal X_F'}:\mathcal X_F'\rightarrow\mathcal Y_F.}</w:t>
      </w:r>
    </w:p>
    <w:p w:rsidR="001E3C2A" w:rsidRDefault="001E3C2A" w:rsidP="001E3C2A">
      <w:r>
        <w:pict>
          <v:rect id="_x0000_i5600" style="width:0;height:1.5pt" o:hralign="center" o:hrstd="t" o:hr="t" fillcolor="#a0a0a0" stroked="f"/>
        </w:pict>
      </w:r>
    </w:p>
    <w:p w:rsidR="001E3C2A" w:rsidRDefault="001E3C2A" w:rsidP="001E3C2A">
      <w:pPr>
        <w:pStyle w:val="berschrift1"/>
      </w:pPr>
      <w:r>
        <w:t>3.3.52.25 Restriktion verändert den Definitionsbereich</w:t>
      </w:r>
    </w:p>
    <w:p w:rsidR="001E3C2A" w:rsidRDefault="001E3C2A" w:rsidP="001E3C2A">
      <w:pPr>
        <w:pStyle w:val="StandardWeb"/>
      </w:pPr>
      <w:r>
        <w:t>Für die Restriktion gilt</w:t>
      </w:r>
    </w:p>
    <w:p w:rsidR="001E3C2A" w:rsidRDefault="001E3C2A" w:rsidP="001E3C2A">
      <w:pPr>
        <w:pStyle w:val="berschrift1"/>
      </w:pPr>
      <w:r>
        <w:t>[</w:t>
      </w:r>
      <w:r>
        <w:br/>
        <w:t>\operatorname{dom}</w:t>
      </w:r>
      <w:r>
        <w:br/>
        <w:t>\left(</w:t>
      </w:r>
      <w:r>
        <w:br/>
        <w:t>F|_{\mathcal X_F'}</w:t>
      </w:r>
      <w:r>
        <w:br/>
        <w:t>\right)</w:t>
      </w:r>
    </w:p>
    <w:p w:rsidR="001E3C2A" w:rsidRDefault="001E3C2A" w:rsidP="001E3C2A">
      <w:pPr>
        <w:pStyle w:val="StandardWeb"/>
      </w:pPr>
      <w:r>
        <w:t>\mathcal X_F'.</w:t>
      </w:r>
      <w:r>
        <w:br/>
        <w:t>\tag{3.13628}</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\operatorname{dom}\left(F|_{\mathcal X_F'}\right)=\mathcal X_F'</w:t>
      </w:r>
    </w:p>
    <w:p w:rsidR="001E3C2A" w:rsidRDefault="001E3C2A" w:rsidP="001E3C2A">
      <w:pPr>
        <w:pStyle w:val="StandardWeb"/>
      </w:pPr>
      <w:r>
        <w:t>Dagegen bleibt die Abbildungsvorschrift auf den verbleibenden Elementen unverändert:</w:t>
      </w:r>
    </w:p>
    <w:p w:rsidR="001E3C2A" w:rsidRDefault="001E3C2A" w:rsidP="001E3C2A">
      <w:pPr>
        <w:pStyle w:val="berschrift1"/>
      </w:pPr>
      <w:r>
        <w:t>[</w:t>
      </w:r>
      <w:r>
        <w:br/>
        <w:t>F|_{\mathcal X_F'}(X)</w:t>
      </w:r>
    </w:p>
    <w:p w:rsidR="001E3C2A" w:rsidRDefault="001E3C2A" w:rsidP="001E3C2A">
      <w:pPr>
        <w:pStyle w:val="StandardWeb"/>
      </w:pPr>
      <w:r>
        <w:t>F(X)</w:t>
      </w:r>
      <w:r>
        <w:br/>
        <w:t>\qquad</w:t>
      </w:r>
      <w:r>
        <w:br/>
        <w:t>\forall X\in\mathcal X_F'.</w:t>
      </w:r>
      <w:r>
        <w:br/>
        <w:t>\tag{3.13629}</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F|_{\mathcal X_F'}(X)=F(X)\qquad\forall X\in\mathcal X_F'</w:t>
      </w:r>
    </w:p>
    <w:p w:rsidR="001E3C2A" w:rsidRDefault="001E3C2A" w:rsidP="001E3C2A">
      <w:r>
        <w:pict>
          <v:rect id="_x0000_i5601" style="width:0;height:1.5pt" o:hralign="center" o:hrstd="t" o:hr="t" fillcolor="#a0a0a0" stroked="f"/>
        </w:pict>
      </w:r>
    </w:p>
    <w:p w:rsidR="001E3C2A" w:rsidRDefault="001E3C2A" w:rsidP="001E3C2A">
      <w:pPr>
        <w:pStyle w:val="berschrift1"/>
      </w:pPr>
      <w:r>
        <w:t>3.3.52.26 Projektion und Restriktion sind verschieden</w:t>
      </w:r>
    </w:p>
    <w:p w:rsidR="001E3C2A" w:rsidRDefault="001E3C2A" w:rsidP="001E3C2A">
      <w:pPr>
        <w:pStyle w:val="StandardWeb"/>
      </w:pPr>
      <w:r>
        <w:t>Ich halte daher ausdrücklich fest:</w:t>
      </w:r>
    </w:p>
    <w:p w:rsidR="001E3C2A" w:rsidRDefault="001E3C2A" w:rsidP="001E3C2A">
      <w:pPr>
        <w:pStyle w:val="StandardWeb"/>
      </w:pPr>
      <w:r>
        <w:t>[</w:t>
      </w:r>
      <w:r>
        <w:br/>
        <w:t>\boxed{</w:t>
      </w:r>
      <w:r>
        <w:br/>
        <w:t>\Pi_F</w:t>
      </w:r>
      <w:r>
        <w:br/>
        <w:t>\not\equiv</w:t>
      </w:r>
      <w:r>
        <w:br/>
      </w:r>
      <w:r>
        <w:lastRenderedPageBreak/>
        <w:t>F|_{\mathcal X_F'}.</w:t>
      </w:r>
      <w:r>
        <w:br/>
        <w:t>}</w:t>
      </w:r>
      <w:r>
        <w:br/>
        <w:t>\tag{3.13630}</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\boxed{\Pi_F\not\equiv F|_{\mathcal X_F'}.}</w:t>
      </w:r>
    </w:p>
    <w:p w:rsidR="001E3C2A" w:rsidRDefault="001E3C2A" w:rsidP="001E3C2A">
      <w:pPr>
        <w:pStyle w:val="StandardWeb"/>
      </w:pPr>
      <w:r>
        <w:t>Eine Projektion verändert typischerweise die Repräsentation oder den Zielraum eines Objekts. Eine Restriktion beschränkt dagegen den betrachteten Definitionsbereich einer bereits gegebenen Abbildung.</w:t>
      </w:r>
    </w:p>
    <w:p w:rsidR="001E3C2A" w:rsidRDefault="001E3C2A" w:rsidP="001E3C2A">
      <w:r>
        <w:pict>
          <v:rect id="_x0000_i5602" style="width:0;height:1.5pt" o:hralign="center" o:hrstd="t" o:hr="t" fillcolor="#a0a0a0" stroked="f"/>
        </w:pict>
      </w:r>
    </w:p>
    <w:p w:rsidR="001E3C2A" w:rsidRDefault="001E3C2A" w:rsidP="001E3C2A">
      <w:pPr>
        <w:pStyle w:val="berschrift1"/>
      </w:pPr>
      <w:r>
        <w:t>3.3.52.27 Zustandsrestriktion</w:t>
      </w:r>
    </w:p>
    <w:p w:rsidR="001E3C2A" w:rsidRDefault="001E3C2A" w:rsidP="001E3C2A">
      <w:pPr>
        <w:pStyle w:val="StandardWeb"/>
      </w:pPr>
      <w:r>
        <w:t>Eine Restriktion kann sich unmittelbar auf eine Zustandsmenge beziehen.</w:t>
      </w:r>
    </w:p>
    <w:p w:rsidR="001E3C2A" w:rsidRDefault="001E3C2A" w:rsidP="001E3C2A">
      <w:pPr>
        <w:pStyle w:val="StandardWeb"/>
      </w:pPr>
      <w:r>
        <w:t>Sei</w:t>
      </w:r>
    </w:p>
    <w:p w:rsidR="001E3C2A" w:rsidRDefault="001E3C2A" w:rsidP="001E3C2A">
      <w:pPr>
        <w:pStyle w:val="StandardWeb"/>
      </w:pPr>
      <w:r>
        <w:t>[</w:t>
      </w:r>
      <w:r>
        <w:br/>
        <w:t>\mathcal Z_F'</w:t>
      </w:r>
      <w:r>
        <w:br/>
        <w:t>\subseteq</w:t>
      </w:r>
      <w:r>
        <w:br/>
        <w:t>\mathcal Z_F.</w:t>
      </w:r>
      <w:r>
        <w:br/>
        <w:t>\tag{3.13631}</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\mathcal Z_F'\subseteq\mathcal Z_F</w:t>
      </w:r>
    </w:p>
    <w:p w:rsidR="001E3C2A" w:rsidRDefault="001E3C2A" w:rsidP="001E3C2A">
      <w:pPr>
        <w:pStyle w:val="StandardWeb"/>
      </w:pPr>
      <w:r>
        <w:t>Dann kann eine Übergangsabbildung</w:t>
      </w:r>
    </w:p>
    <w:p w:rsidR="001E3C2A" w:rsidRDefault="001E3C2A" w:rsidP="001E3C2A">
      <w:pPr>
        <w:pStyle w:val="StandardWeb"/>
      </w:pPr>
      <w:r>
        <w:t>[</w:t>
      </w:r>
      <w:r>
        <w:br/>
        <w:t>T_F</w:t>
      </w:r>
      <w:r>
        <w:br/>
        <w:t>:</w:t>
      </w:r>
      <w:r>
        <w:br/>
        <w:t>\mathcal Z_F</w:t>
      </w:r>
      <w:r>
        <w:br/>
        <w:t>\rightarrow</w:t>
      </w:r>
      <w:r>
        <w:br/>
        <w:t>\mathcal Z_F</w:t>
      </w:r>
      <w:r>
        <w:br/>
        <w:t>\tag{3.13632}</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T_F:\mathcal Z_F\rightarrow\mathcal Z_F</w:t>
      </w:r>
    </w:p>
    <w:p w:rsidR="001E3C2A" w:rsidRDefault="001E3C2A" w:rsidP="001E3C2A">
      <w:pPr>
        <w:pStyle w:val="StandardWeb"/>
      </w:pPr>
      <w:r>
        <w:t>auf (\mathcal Z_F') eingeschränkt werden.</w:t>
      </w:r>
    </w:p>
    <w:p w:rsidR="001E3C2A" w:rsidRDefault="001E3C2A" w:rsidP="001E3C2A">
      <w:r>
        <w:pict>
          <v:rect id="_x0000_i5603" style="width:0;height:1.5pt" o:hralign="center" o:hrstd="t" o:hr="t" fillcolor="#a0a0a0" stroked="f"/>
        </w:pict>
      </w:r>
    </w:p>
    <w:p w:rsidR="001E3C2A" w:rsidRDefault="001E3C2A" w:rsidP="001E3C2A">
      <w:pPr>
        <w:pStyle w:val="berschrift2"/>
      </w:pPr>
      <w:r>
        <w:lastRenderedPageBreak/>
        <w:t>3.3.52.28 Definition 3.3.584 – Funktionale Zustandsrestriktion</w:t>
      </w:r>
    </w:p>
    <w:p w:rsidR="001E3C2A" w:rsidRDefault="001E3C2A" w:rsidP="001E3C2A">
      <w:pPr>
        <w:pStyle w:val="berschrift3"/>
      </w:pPr>
      <w:r>
        <w:t>Definition 3.3.584</w:t>
      </w:r>
    </w:p>
    <w:p w:rsidR="001E3C2A" w:rsidRDefault="001E3C2A" w:rsidP="001E3C2A">
      <w:pPr>
        <w:pStyle w:val="StandardWeb"/>
      </w:pPr>
      <w:r>
        <w:t xml:space="preserve">Eine </w:t>
      </w:r>
      <w:r>
        <w:rPr>
          <w:rStyle w:val="Fett"/>
        </w:rPr>
        <w:t>funktionale Zustandsrestriktion</w:t>
      </w:r>
      <w:r>
        <w:t xml:space="preserve"> ist die Einschränkung einer funktionalen Abbildung auf eine ausgewählte Zustandsmenge</w:t>
      </w:r>
    </w:p>
    <w:p w:rsidR="001E3C2A" w:rsidRDefault="001E3C2A" w:rsidP="001E3C2A">
      <w:pPr>
        <w:pStyle w:val="StandardWeb"/>
      </w:pPr>
      <w:r>
        <w:t>[</w:t>
      </w:r>
      <w:r>
        <w:br/>
        <w:t>\boxed{</w:t>
      </w:r>
      <w:r>
        <w:br/>
        <w:t>T_F|_{\mathcal Z_F'}</w:t>
      </w:r>
      <w:r>
        <w:br/>
        <w:t>:</w:t>
      </w:r>
      <w:r>
        <w:br/>
        <w:t>\mathcal Z_F'</w:t>
      </w:r>
      <w:r>
        <w:br/>
        <w:t>\rightarrow</w:t>
      </w:r>
      <w:r>
        <w:br/>
        <w:t>\mathcal Z_F.</w:t>
      </w:r>
      <w:r>
        <w:br/>
        <w:t>}</w:t>
      </w:r>
      <w:r>
        <w:br/>
        <w:t>\tag{3.13633}</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\boxed{T_F|_{\mathcal Z_F'}:\mathcal Z_F'\rightarrow\mathcal Z_F.}</w:t>
      </w:r>
    </w:p>
    <w:p w:rsidR="001E3C2A" w:rsidRDefault="001E3C2A" w:rsidP="001E3C2A">
      <w:r>
        <w:pict>
          <v:rect id="_x0000_i5604" style="width:0;height:1.5pt" o:hralign="center" o:hrstd="t" o:hr="t" fillcolor="#a0a0a0" stroked="f"/>
        </w:pict>
      </w:r>
    </w:p>
    <w:p w:rsidR="001E3C2A" w:rsidRDefault="001E3C2A" w:rsidP="001E3C2A">
      <w:pPr>
        <w:pStyle w:val="berschrift1"/>
      </w:pPr>
      <w:r>
        <w:t>3.3.52.29 Invariante Restriktionsmenge</w:t>
      </w:r>
    </w:p>
    <w:p w:rsidR="001E3C2A" w:rsidRDefault="001E3C2A" w:rsidP="001E3C2A">
      <w:pPr>
        <w:pStyle w:val="StandardWeb"/>
      </w:pPr>
      <w:r>
        <w:t>Eine Zustandsmenge (\mathcal Z_F') kann unter (T_F) invariant sein:</w:t>
      </w:r>
    </w:p>
    <w:p w:rsidR="001E3C2A" w:rsidRDefault="001E3C2A" w:rsidP="001E3C2A">
      <w:pPr>
        <w:pStyle w:val="StandardWeb"/>
      </w:pPr>
      <w:r>
        <w:t>[</w:t>
      </w:r>
      <w:r>
        <w:br/>
        <w:t>T_F(\mathcal Z_F')</w:t>
      </w:r>
      <w:r>
        <w:br/>
        <w:t>\subseteq</w:t>
      </w:r>
      <w:r>
        <w:br/>
        <w:t>\mathcal Z_F'.</w:t>
      </w:r>
      <w:r>
        <w:br/>
        <w:t>\tag{3.13634}</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T_F(\mathcal Z_F')\subseteq\mathcal Z_F'</w:t>
      </w:r>
    </w:p>
    <w:p w:rsidR="001E3C2A" w:rsidRDefault="001E3C2A" w:rsidP="001E3C2A">
      <w:r>
        <w:pict>
          <v:rect id="_x0000_i5605" style="width:0;height:1.5pt" o:hralign="center" o:hrstd="t" o:hr="t" fillcolor="#a0a0a0" stroked="f"/>
        </w:pict>
      </w:r>
    </w:p>
    <w:p w:rsidR="001E3C2A" w:rsidRDefault="001E3C2A" w:rsidP="001E3C2A">
      <w:pPr>
        <w:pStyle w:val="berschrift2"/>
      </w:pPr>
      <w:r>
        <w:t>3.3.52.30 Definition 3.3.585 – Funktional invariante Restriktionsmenge</w:t>
      </w:r>
    </w:p>
    <w:p w:rsidR="001E3C2A" w:rsidRDefault="001E3C2A" w:rsidP="001E3C2A">
      <w:pPr>
        <w:pStyle w:val="berschrift3"/>
      </w:pPr>
      <w:r>
        <w:t>Definition 3.3.585</w:t>
      </w:r>
    </w:p>
    <w:p w:rsidR="001E3C2A" w:rsidRDefault="001E3C2A" w:rsidP="001E3C2A">
      <w:pPr>
        <w:pStyle w:val="StandardWeb"/>
      </w:pPr>
      <w:r>
        <w:t xml:space="preserve">Eine Teilmenge (\mathcal Z_F'\subseteq\mathcal Z_F) heißt bezüglich (T_F) </w:t>
      </w:r>
      <w:r>
        <w:rPr>
          <w:rStyle w:val="Fett"/>
        </w:rPr>
        <w:t>funktional invariant</w:t>
      </w:r>
      <w:r>
        <w:t>, wenn</w:t>
      </w:r>
    </w:p>
    <w:p w:rsidR="001E3C2A" w:rsidRDefault="001E3C2A" w:rsidP="001E3C2A">
      <w:pPr>
        <w:pStyle w:val="StandardWeb"/>
      </w:pPr>
      <w:r>
        <w:lastRenderedPageBreak/>
        <w:t>[</w:t>
      </w:r>
      <w:r>
        <w:br/>
        <w:t>\boxed{</w:t>
      </w:r>
      <w:r>
        <w:br/>
        <w:t>T_F(\mathcal Z_F')</w:t>
      </w:r>
      <w:r>
        <w:br/>
        <w:t>\subseteq</w:t>
      </w:r>
      <w:r>
        <w:br/>
        <w:t>\mathcal Z_F'.</w:t>
      </w:r>
      <w:r>
        <w:br/>
        <w:t>}</w:t>
      </w:r>
      <w:r>
        <w:br/>
        <w:t>\tag{3.13635}</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\boxed{T_F(\mathcal Z_F')\subseteq\mathcal Z_F'.}</w:t>
      </w:r>
    </w:p>
    <w:p w:rsidR="001E3C2A" w:rsidRDefault="001E3C2A" w:rsidP="001E3C2A">
      <w:r>
        <w:pict>
          <v:rect id="_x0000_i5606" style="width:0;height:1.5pt" o:hralign="center" o:hrstd="t" o:hr="t" fillcolor="#a0a0a0" stroked="f"/>
        </w:pict>
      </w:r>
    </w:p>
    <w:p w:rsidR="001E3C2A" w:rsidRDefault="001E3C2A" w:rsidP="001E3C2A">
      <w:pPr>
        <w:pStyle w:val="berschrift1"/>
      </w:pPr>
      <w:r>
        <w:t>3.3.52.31 Nichtinvariante Restriktionsmenge</w:t>
      </w:r>
    </w:p>
    <w:p w:rsidR="001E3C2A" w:rsidRDefault="001E3C2A" w:rsidP="001E3C2A">
      <w:pPr>
        <w:pStyle w:val="StandardWeb"/>
      </w:pPr>
      <w:r>
        <w:t>Es kann dagegen gelten</w:t>
      </w:r>
    </w:p>
    <w:p w:rsidR="001E3C2A" w:rsidRDefault="001E3C2A" w:rsidP="001E3C2A">
      <w:pPr>
        <w:pStyle w:val="StandardWeb"/>
      </w:pPr>
      <w:r>
        <w:t>[</w:t>
      </w:r>
      <w:r>
        <w:br/>
        <w:t>T_F(\mathcal Z_F')</w:t>
      </w:r>
      <w:r>
        <w:br/>
        <w:t>\not\subseteq</w:t>
      </w:r>
      <w:r>
        <w:br/>
        <w:t>\mathcal Z_F'.</w:t>
      </w:r>
      <w:r>
        <w:br/>
        <w:t>\tag{3.13636}</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T_F(\mathcal Z_F')\not\subseteq\mathcal Z_F'</w:t>
      </w:r>
    </w:p>
    <w:p w:rsidR="001E3C2A" w:rsidRDefault="001E3C2A" w:rsidP="001E3C2A">
      <w:pPr>
        <w:pStyle w:val="StandardWeb"/>
      </w:pPr>
      <w:r>
        <w:t>Dann verlassen einzelne Übergänge den restringierten Zustandsbereich.</w:t>
      </w:r>
    </w:p>
    <w:p w:rsidR="001E3C2A" w:rsidRDefault="001E3C2A" w:rsidP="001E3C2A">
      <w:r>
        <w:pict>
          <v:rect id="_x0000_i5607" style="width:0;height:1.5pt" o:hralign="center" o:hrstd="t" o:hr="t" fillcolor="#a0a0a0" stroked="f"/>
        </w:pict>
      </w:r>
    </w:p>
    <w:p w:rsidR="001E3C2A" w:rsidRDefault="001E3C2A" w:rsidP="001E3C2A">
      <w:pPr>
        <w:pStyle w:val="berschrift1"/>
      </w:pPr>
      <w:r>
        <w:t>3.3.52.32 Universelle Invarianz von Restriktionen als Primäraxiomkandidat</w:t>
      </w:r>
    </w:p>
    <w:p w:rsidR="001E3C2A" w:rsidRDefault="001E3C2A" w:rsidP="001E3C2A">
      <w:pPr>
        <w:pStyle w:val="StandardWeb"/>
      </w:pPr>
      <w:r>
        <w:t>Der Kandidat lautet</w:t>
      </w:r>
    </w:p>
    <w:p w:rsidR="001E3C2A" w:rsidRDefault="001E3C2A" w:rsidP="001E3C2A">
      <w:pPr>
        <w:pStyle w:val="StandardWeb"/>
      </w:pPr>
      <w:r>
        <w:t>[</w:t>
      </w:r>
      <w:r>
        <w:br/>
        <w:t>A_{\mathrm{restr-inv}}</w:t>
      </w:r>
      <w:r>
        <w:br/>
        <w:t>:</w:t>
      </w:r>
      <w:r>
        <w:br/>
        <w:t>T_F(\mathcal Z_F')</w:t>
      </w:r>
      <w:r>
        <w:br/>
        <w:t>\subseteq</w:t>
      </w:r>
      <w:r>
        <w:br/>
        <w:t>\mathcal Z_F'</w:t>
      </w:r>
      <w:r>
        <w:br/>
        <w:t>\tag{3.13637}</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A_{\mathrm{restr-inv}}:T_F(\mathcal Z_F')\subseteq\mathcal Z_F'</w:t>
      </w:r>
    </w:p>
    <w:p w:rsidR="001E3C2A" w:rsidRDefault="001E3C2A" w:rsidP="001E3C2A">
      <w:pPr>
        <w:pStyle w:val="StandardWeb"/>
      </w:pPr>
      <w:r>
        <w:lastRenderedPageBreak/>
        <w:t>für jede zulässige Zustandsrestriktion.</w:t>
      </w:r>
    </w:p>
    <w:p w:rsidR="001E3C2A" w:rsidRDefault="001E3C2A" w:rsidP="001E3C2A">
      <w:r>
        <w:pict>
          <v:rect id="_x0000_i5608" style="width:0;height:1.5pt" o:hralign="center" o:hrstd="t" o:hr="t" fillcolor="#a0a0a0" stroked="f"/>
        </w:pict>
      </w:r>
    </w:p>
    <w:p w:rsidR="001E3C2A" w:rsidRDefault="001E3C2A" w:rsidP="001E3C2A">
      <w:pPr>
        <w:pStyle w:val="berschrift1"/>
      </w:pPr>
      <w:r>
        <w:t>3.3.52.33 Gegenmodell</w:t>
      </w:r>
    </w:p>
    <w:p w:rsidR="001E3C2A" w:rsidRDefault="001E3C2A" w:rsidP="001E3C2A">
      <w:pPr>
        <w:pStyle w:val="StandardWeb"/>
      </w:pPr>
      <w:r>
        <w:t>Eine Teilmenge kann einen Zustand (z) enthalten,</w:t>
      </w:r>
    </w:p>
    <w:p w:rsidR="001E3C2A" w:rsidRDefault="001E3C2A" w:rsidP="001E3C2A">
      <w:pPr>
        <w:pStyle w:val="StandardWeb"/>
      </w:pPr>
      <w:r>
        <w:t>[</w:t>
      </w:r>
      <w:r>
        <w:br/>
        <w:t>z</w:t>
      </w:r>
      <w:r>
        <w:br/>
        <w:t>\in</w:t>
      </w:r>
      <w:r>
        <w:br/>
        <w:t>\mathcal Z_F',</w:t>
      </w:r>
      <w:r>
        <w:br/>
        <w:t>\tag{3.13638}</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z\in\mathcal Z_F'</w:t>
      </w:r>
    </w:p>
    <w:p w:rsidR="001E3C2A" w:rsidRDefault="001E3C2A" w:rsidP="001E3C2A">
      <w:pPr>
        <w:pStyle w:val="StandardWeb"/>
      </w:pPr>
      <w:r>
        <w:t>während</w:t>
      </w:r>
    </w:p>
    <w:p w:rsidR="001E3C2A" w:rsidRDefault="001E3C2A" w:rsidP="001E3C2A">
      <w:pPr>
        <w:pStyle w:val="StandardWeb"/>
      </w:pPr>
      <w:r>
        <w:t>[</w:t>
      </w:r>
      <w:r>
        <w:br/>
        <w:t>T_F(z)</w:t>
      </w:r>
      <w:r>
        <w:br/>
        <w:t>\notin</w:t>
      </w:r>
      <w:r>
        <w:br/>
        <w:t>\mathcal Z_F'.</w:t>
      </w:r>
      <w:r>
        <w:br/>
        <w:t>\tag{3.13639}</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T_F(z)\notin\mathcal Z_F'</w:t>
      </w:r>
    </w:p>
    <w:p w:rsidR="001E3C2A" w:rsidRDefault="001E3C2A" w:rsidP="001E3C2A">
      <w:pPr>
        <w:pStyle w:val="StandardWeb"/>
      </w:pPr>
      <w:r>
        <w:t>Die Übergangsabbildung bleibt dabei vollständig wohldefiniert.</w:t>
      </w:r>
    </w:p>
    <w:p w:rsidR="001E3C2A" w:rsidRDefault="001E3C2A" w:rsidP="001E3C2A">
      <w:r>
        <w:pict>
          <v:rect id="_x0000_i5609" style="width:0;height:1.5pt" o:hralign="center" o:hrstd="t" o:hr="t" fillcolor="#a0a0a0" stroked="f"/>
        </w:pict>
      </w:r>
    </w:p>
    <w:p w:rsidR="001E3C2A" w:rsidRDefault="001E3C2A" w:rsidP="001E3C2A">
      <w:pPr>
        <w:pStyle w:val="berschrift1"/>
      </w:pPr>
      <w:r>
        <w:t>3.3.52.34 Axiomentscheidung zur Restriktionsinvarianz</w:t>
      </w:r>
    </w:p>
    <w:p w:rsidR="001E3C2A" w:rsidRDefault="001E3C2A" w:rsidP="001E3C2A">
      <w:pPr>
        <w:pStyle w:val="StandardWeb"/>
      </w:pPr>
      <w:r>
        <w:t>Daher gilt</w:t>
      </w:r>
    </w:p>
    <w:p w:rsidR="001E3C2A" w:rsidRDefault="001E3C2A" w:rsidP="001E3C2A">
      <w:pPr>
        <w:pStyle w:val="berschrift1"/>
      </w:pPr>
      <w:r>
        <w:t>[</w:t>
      </w:r>
      <w:r>
        <w:br/>
        <w:t>\boxed{</w:t>
      </w:r>
      <w:r>
        <w:br/>
        <w:t>U_{\mathrm{Ax}}</w:t>
      </w:r>
      <w:r>
        <w:br/>
        <w:t>(A_{\mathrm{restr-inv}})</w:t>
      </w:r>
    </w:p>
    <w:p w:rsidR="001E3C2A" w:rsidRDefault="001E3C2A" w:rsidP="009F7790">
      <w:pPr>
        <w:numPr>
          <w:ilvl w:val="0"/>
          <w:numId w:val="690"/>
        </w:numPr>
        <w:spacing w:before="100" w:beforeAutospacing="1" w:after="100" w:afterAutospacing="1"/>
      </w:pPr>
    </w:p>
    <w:p w:rsidR="001E3C2A" w:rsidRDefault="001E3C2A" w:rsidP="001E3C2A">
      <w:pPr>
        <w:pStyle w:val="StandardWeb"/>
      </w:pPr>
      <w:r>
        <w:lastRenderedPageBreak/>
        <w:t>}</w:t>
      </w:r>
      <w:r>
        <w:br/>
        <w:t>\tag{3.13640}</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\boxed{U_{\mathrm{Ax}}(A_{\mathrm{restr-inv}})=0.}</w:t>
      </w:r>
    </w:p>
    <w:p w:rsidR="001E3C2A" w:rsidRDefault="001E3C2A" w:rsidP="001E3C2A">
      <w:r>
        <w:pict>
          <v:rect id="_x0000_i5610" style="width:0;height:1.5pt" o:hralign="center" o:hrstd="t" o:hr="t" fillcolor="#a0a0a0" stroked="f"/>
        </w:pict>
      </w:r>
    </w:p>
    <w:p w:rsidR="001E3C2A" w:rsidRDefault="001E3C2A" w:rsidP="001E3C2A">
      <w:pPr>
        <w:pStyle w:val="berschrift1"/>
      </w:pPr>
      <w:r>
        <w:t>3.3.52.35 Satz 3.3.229 – Invarianz restringierter Zustandsmengen ist kein Primäraxiom</w:t>
      </w:r>
    </w:p>
    <w:p w:rsidR="001E3C2A" w:rsidRDefault="001E3C2A" w:rsidP="001E3C2A">
      <w:pPr>
        <w:pStyle w:val="berschrift3"/>
      </w:pPr>
      <w:r>
        <w:t>Satz 3.3.229</w:t>
      </w:r>
    </w:p>
    <w:p w:rsidR="001E3C2A" w:rsidRDefault="001E3C2A" w:rsidP="001E3C2A">
      <w:pPr>
        <w:pStyle w:val="StandardWeb"/>
      </w:pPr>
      <w:r>
        <w:t>Die Forderung, jede ausgewählte funktionale Zustandsrestriktion müsse unter allen betrachteten Übergängen invariant bleiben, ist keine universell notwendige Voraussetzung des allgemeinen FRZK.</w:t>
      </w:r>
    </w:p>
    <w:p w:rsidR="001E3C2A" w:rsidRDefault="001E3C2A" w:rsidP="001E3C2A">
      <w:pPr>
        <w:pStyle w:val="berschrift1"/>
      </w:pPr>
      <w:r>
        <w:t>[</w:t>
      </w:r>
      <w:r>
        <w:br/>
        <w:t>\boxed{</w:t>
      </w:r>
      <w:r>
        <w:br/>
        <w:t>U_{\mathrm{Ax}}</w:t>
      </w:r>
      <w:r>
        <w:br/>
        <w:t>(A_{\mathrm{restr-inv}})</w:t>
      </w:r>
    </w:p>
    <w:p w:rsidR="001E3C2A" w:rsidRDefault="001E3C2A" w:rsidP="009F7790">
      <w:pPr>
        <w:numPr>
          <w:ilvl w:val="0"/>
          <w:numId w:val="691"/>
        </w:numPr>
        <w:spacing w:before="100" w:beforeAutospacing="1" w:after="100" w:afterAutospacing="1"/>
      </w:pPr>
    </w:p>
    <w:p w:rsidR="001E3C2A" w:rsidRDefault="001E3C2A" w:rsidP="001E3C2A">
      <w:pPr>
        <w:pStyle w:val="StandardWeb"/>
      </w:pPr>
      <w:r>
        <w:t>}</w:t>
      </w:r>
      <w:r>
        <w:br/>
        <w:t>\tag{3.13641}</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\boxed{U_{\mathrm{Ax}}(A_{\mathrm{restr-inv}})=0.}</w:t>
      </w:r>
    </w:p>
    <w:p w:rsidR="001E3C2A" w:rsidRDefault="001E3C2A" w:rsidP="001E3C2A">
      <w:r>
        <w:pict>
          <v:rect id="_x0000_i5611" style="width:0;height:1.5pt" o:hralign="center" o:hrstd="t" o:hr="t" fillcolor="#a0a0a0" stroked="f"/>
        </w:pict>
      </w:r>
    </w:p>
    <w:p w:rsidR="001E3C2A" w:rsidRDefault="001E3C2A" w:rsidP="001E3C2A">
      <w:pPr>
        <w:pStyle w:val="berschrift1"/>
      </w:pPr>
      <w:r>
        <w:t>3.3.52.36 Funktionale Reduktion</w:t>
      </w:r>
    </w:p>
    <w:p w:rsidR="001E3C2A" w:rsidRDefault="001E3C2A" w:rsidP="001E3C2A">
      <w:pPr>
        <w:pStyle w:val="StandardWeb"/>
      </w:pPr>
      <w:r>
        <w:t>Eine Reduktion geht über eine bloße Restriktion hinaus. Sie ersetzt ein funktionales Objekt oder eine funktionale Struktur durch eine vereinfachte Repräsentation.</w:t>
      </w:r>
    </w:p>
    <w:p w:rsidR="001E3C2A" w:rsidRDefault="001E3C2A" w:rsidP="001E3C2A">
      <w:pPr>
        <w:pStyle w:val="StandardWeb"/>
      </w:pPr>
      <w:r>
        <w:t>Ich schreibe</w:t>
      </w:r>
    </w:p>
    <w:p w:rsidR="001E3C2A" w:rsidRDefault="001E3C2A" w:rsidP="001E3C2A">
      <w:pPr>
        <w:pStyle w:val="StandardWeb"/>
      </w:pPr>
      <w:r>
        <w:t>[</w:t>
      </w:r>
      <w:r>
        <w:br/>
        <w:t>R_F</w:t>
      </w:r>
      <w:r>
        <w:br/>
        <w:t>:</w:t>
      </w:r>
      <w:r>
        <w:br/>
        <w:t>\mathcal X_F</w:t>
      </w:r>
      <w:r>
        <w:br/>
        <w:t>\rightarrow</w:t>
      </w:r>
      <w:r>
        <w:br/>
      </w:r>
      <w:r>
        <w:lastRenderedPageBreak/>
        <w:t>\mathcal X_F^{\mathrm{red}}.</w:t>
      </w:r>
      <w:r>
        <w:br/>
        <w:t>\tag{3.13642}</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R_F:\mathcal X_F\rightarrow\mathcal X_F^{\mathrm{red}}</w:t>
      </w:r>
    </w:p>
    <w:p w:rsidR="001E3C2A" w:rsidRDefault="001E3C2A" w:rsidP="001E3C2A">
      <w:r>
        <w:pict>
          <v:rect id="_x0000_i5612" style="width:0;height:1.5pt" o:hralign="center" o:hrstd="t" o:hr="t" fillcolor="#a0a0a0" stroked="f"/>
        </w:pict>
      </w:r>
    </w:p>
    <w:p w:rsidR="001E3C2A" w:rsidRDefault="001E3C2A" w:rsidP="001E3C2A">
      <w:pPr>
        <w:pStyle w:val="berschrift2"/>
      </w:pPr>
      <w:r>
        <w:t>3.3.52.37 Definition 3.3.586 – Funktionale Reduktionsabbildung</w:t>
      </w:r>
    </w:p>
    <w:p w:rsidR="001E3C2A" w:rsidRDefault="001E3C2A" w:rsidP="001E3C2A">
      <w:pPr>
        <w:pStyle w:val="berschrift3"/>
      </w:pPr>
      <w:r>
        <w:t>Definition 3.3.586</w:t>
      </w:r>
    </w:p>
    <w:p w:rsidR="001E3C2A" w:rsidRDefault="001E3C2A" w:rsidP="001E3C2A">
      <w:pPr>
        <w:pStyle w:val="StandardWeb"/>
      </w:pPr>
      <w:r>
        <w:t xml:space="preserve">Eine </w:t>
      </w:r>
      <w:r>
        <w:rPr>
          <w:rStyle w:val="Fett"/>
        </w:rPr>
        <w:t>funktionale Reduktionsabbildung</w:t>
      </w:r>
      <w:r>
        <w:t xml:space="preserve"> ist eine modellabhängige Abbildung</w:t>
      </w:r>
    </w:p>
    <w:p w:rsidR="001E3C2A" w:rsidRDefault="001E3C2A" w:rsidP="001E3C2A">
      <w:pPr>
        <w:pStyle w:val="StandardWeb"/>
      </w:pPr>
      <w:r>
        <w:t>[</w:t>
      </w:r>
      <w:r>
        <w:br/>
        <w:t>\boxed{</w:t>
      </w:r>
      <w:r>
        <w:br/>
        <w:t>R_F</w:t>
      </w:r>
      <w:r>
        <w:br/>
        <w:t>:</w:t>
      </w:r>
      <w:r>
        <w:br/>
        <w:t>\mathcal X_F</w:t>
      </w:r>
      <w:r>
        <w:br/>
        <w:t>\rightarrow</w:t>
      </w:r>
      <w:r>
        <w:br/>
        <w:t>\mathcal X_F^{\mathrm{red}},</w:t>
      </w:r>
      <w:r>
        <w:br/>
        <w:t>}</w:t>
      </w:r>
      <w:r>
        <w:br/>
        <w:t>\tag{3.13643}</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\boxed{R_F:\mathcal X_F\rightarrow\mathcal X_F^{\mathrm{red}},}</w:t>
      </w:r>
    </w:p>
    <w:p w:rsidR="001E3C2A" w:rsidRDefault="001E3C2A" w:rsidP="001E3C2A">
      <w:pPr>
        <w:pStyle w:val="StandardWeb"/>
      </w:pPr>
      <w:r>
        <w:t>die ein funktionales Objekt durch eine bezüglich einer festgelegten Modellfrage vereinfachte Repräsentation ersetzt.</w:t>
      </w:r>
    </w:p>
    <w:p w:rsidR="001E3C2A" w:rsidRDefault="001E3C2A" w:rsidP="001E3C2A">
      <w:r>
        <w:pict>
          <v:rect id="_x0000_i5613" style="width:0;height:1.5pt" o:hralign="center" o:hrstd="t" o:hr="t" fillcolor="#a0a0a0" stroked="f"/>
        </w:pict>
      </w:r>
    </w:p>
    <w:p w:rsidR="001E3C2A" w:rsidRDefault="001E3C2A" w:rsidP="001E3C2A">
      <w:pPr>
        <w:pStyle w:val="berschrift1"/>
      </w:pPr>
      <w:r>
        <w:t>3.3.52.38 Reduktion ist nicht notwendig Projektion</w:t>
      </w:r>
    </w:p>
    <w:p w:rsidR="001E3C2A" w:rsidRDefault="001E3C2A" w:rsidP="001E3C2A">
      <w:pPr>
        <w:pStyle w:val="StandardWeb"/>
      </w:pPr>
      <w:r>
        <w:t>Auch hier gilt</w:t>
      </w:r>
    </w:p>
    <w:p w:rsidR="001E3C2A" w:rsidRDefault="001E3C2A" w:rsidP="001E3C2A">
      <w:pPr>
        <w:pStyle w:val="StandardWeb"/>
      </w:pPr>
      <w:r>
        <w:t>[</w:t>
      </w:r>
      <w:r>
        <w:br/>
        <w:t>\boxed{</w:t>
      </w:r>
      <w:r>
        <w:br/>
        <w:t>R_F</w:t>
      </w:r>
      <w:r>
        <w:br/>
        <w:t>\not\equiv</w:t>
      </w:r>
      <w:r>
        <w:br/>
        <w:t>\Pi_F.</w:t>
      </w:r>
      <w:r>
        <w:br/>
        <w:t>}</w:t>
      </w:r>
      <w:r>
        <w:br/>
        <w:t>\tag{3.13644}</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lastRenderedPageBreak/>
        <w:t>\boxed{R_F\not\equiv\Pi_F.}</w:t>
      </w:r>
    </w:p>
    <w:p w:rsidR="001E3C2A" w:rsidRDefault="001E3C2A" w:rsidP="001E3C2A">
      <w:pPr>
        <w:pStyle w:val="StandardWeb"/>
      </w:pPr>
      <w:r>
        <w:t>Eine Projektion kann beispielsweise lediglich eine bestimmte Komponente sichtbar machen, während eine Reduktion mehrere Strukturmerkmale bewusst zusammenfassen oder verwerfen kann.</w:t>
      </w:r>
    </w:p>
    <w:p w:rsidR="001E3C2A" w:rsidRDefault="001E3C2A" w:rsidP="001E3C2A">
      <w:r>
        <w:pict>
          <v:rect id="_x0000_i5614" style="width:0;height:1.5pt" o:hralign="center" o:hrstd="t" o:hr="t" fillcolor="#a0a0a0" stroked="f"/>
        </w:pict>
      </w:r>
    </w:p>
    <w:p w:rsidR="001E3C2A" w:rsidRDefault="001E3C2A" w:rsidP="001E3C2A">
      <w:pPr>
        <w:pStyle w:val="berschrift1"/>
      </w:pPr>
      <w:r>
        <w:t>3.3.52.39 Informationsverlust einer Reduktion</w:t>
      </w:r>
    </w:p>
    <w:p w:rsidR="001E3C2A" w:rsidRDefault="001E3C2A" w:rsidP="001E3C2A">
      <w:pPr>
        <w:pStyle w:val="StandardWeb"/>
      </w:pPr>
      <w:r>
        <w:t>Eine Reduktionsabbildung kann verschiedene Objekte auf dasselbe reduzierte Objekt abbilden:</w:t>
      </w:r>
    </w:p>
    <w:p w:rsidR="001E3C2A" w:rsidRDefault="001E3C2A" w:rsidP="001E3C2A">
      <w:pPr>
        <w:pStyle w:val="berschrift1"/>
      </w:pPr>
      <w:r>
        <w:t>[</w:t>
      </w:r>
      <w:r>
        <w:br/>
        <w:t>R_F(X_1)</w:t>
      </w:r>
    </w:p>
    <w:p w:rsidR="001E3C2A" w:rsidRDefault="001E3C2A" w:rsidP="001E3C2A">
      <w:pPr>
        <w:pStyle w:val="StandardWeb"/>
      </w:pPr>
      <w:r>
        <w:t>R_F(X_2)</w:t>
      </w:r>
      <w:r>
        <w:br/>
        <w:t>\tag{3.13645}</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R_F(X_1)=R_F(X_2)</w:t>
      </w:r>
    </w:p>
    <w:p w:rsidR="001E3C2A" w:rsidRDefault="001E3C2A" w:rsidP="001E3C2A">
      <w:pPr>
        <w:pStyle w:val="StandardWeb"/>
      </w:pPr>
      <w:r>
        <w:t>obwohl</w:t>
      </w:r>
    </w:p>
    <w:p w:rsidR="001E3C2A" w:rsidRDefault="001E3C2A" w:rsidP="001E3C2A">
      <w:pPr>
        <w:pStyle w:val="StandardWeb"/>
      </w:pPr>
      <w:r>
        <w:t>[</w:t>
      </w:r>
      <w:r>
        <w:br/>
        <w:t>X_1</w:t>
      </w:r>
      <w:r>
        <w:br/>
        <w:t>\neq</w:t>
      </w:r>
      <w:r>
        <w:br/>
        <w:t>X_2.</w:t>
      </w:r>
      <w:r>
        <w:br/>
        <w:t>\tag{3.13646}</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X_1\neq X_2</w:t>
      </w:r>
    </w:p>
    <w:p w:rsidR="001E3C2A" w:rsidRDefault="001E3C2A" w:rsidP="001E3C2A">
      <w:r>
        <w:pict>
          <v:rect id="_x0000_i5615" style="width:0;height:1.5pt" o:hralign="center" o:hrstd="t" o:hr="t" fillcolor="#a0a0a0" stroked="f"/>
        </w:pict>
      </w:r>
    </w:p>
    <w:p w:rsidR="001E3C2A" w:rsidRDefault="001E3C2A" w:rsidP="001E3C2A">
      <w:pPr>
        <w:pStyle w:val="berschrift2"/>
      </w:pPr>
      <w:r>
        <w:t>3.3.52.40 Definition 3.3.587 – Informationsverdichtende funktionale Reduktion</w:t>
      </w:r>
    </w:p>
    <w:p w:rsidR="001E3C2A" w:rsidRDefault="001E3C2A" w:rsidP="001E3C2A">
      <w:pPr>
        <w:pStyle w:val="berschrift3"/>
      </w:pPr>
      <w:r>
        <w:t>Definition 3.3.587</w:t>
      </w:r>
    </w:p>
    <w:p w:rsidR="001E3C2A" w:rsidRDefault="001E3C2A" w:rsidP="001E3C2A">
      <w:pPr>
        <w:pStyle w:val="StandardWeb"/>
      </w:pPr>
      <w:r>
        <w:t xml:space="preserve">Eine funktionale Reduktion heißt </w:t>
      </w:r>
      <w:r>
        <w:rPr>
          <w:rStyle w:val="Fett"/>
        </w:rPr>
        <w:t>informationsverdichtend</w:t>
      </w:r>
      <w:r>
        <w:t>, wenn mindestens zwei verschiedene Ausgangsobjekte dieselbe reduzierte Repräsentation besitzen:</w:t>
      </w:r>
    </w:p>
    <w:p w:rsidR="001E3C2A" w:rsidRDefault="001E3C2A" w:rsidP="001E3C2A">
      <w:pPr>
        <w:pStyle w:val="berschrift1"/>
      </w:pPr>
      <w:r>
        <w:lastRenderedPageBreak/>
        <w:t>[</w:t>
      </w:r>
      <w:r>
        <w:br/>
        <w:t>\boxed{</w:t>
      </w:r>
      <w:r>
        <w:br/>
        <w:t>\exists X_1\neq X_2:</w:t>
      </w:r>
      <w:r>
        <w:br/>
        <w:t>R_F(X_1)</w:t>
      </w:r>
    </w:p>
    <w:p w:rsidR="001E3C2A" w:rsidRDefault="001E3C2A" w:rsidP="001E3C2A">
      <w:pPr>
        <w:pStyle w:val="StandardWeb"/>
      </w:pPr>
      <w:r>
        <w:t>R_F(X_2).</w:t>
      </w:r>
      <w:r>
        <w:br/>
        <w:t>}</w:t>
      </w:r>
      <w:r>
        <w:br/>
        <w:t>\tag{3.13647}</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\boxed{\exists X_1\neq X_2:R_F(X_1)=R_F(X_2).}</w:t>
      </w:r>
    </w:p>
    <w:p w:rsidR="001E3C2A" w:rsidRDefault="001E3C2A" w:rsidP="001E3C2A">
      <w:r>
        <w:pict>
          <v:rect id="_x0000_i5616" style="width:0;height:1.5pt" o:hralign="center" o:hrstd="t" o:hr="t" fillcolor="#a0a0a0" stroked="f"/>
        </w:pict>
      </w:r>
    </w:p>
    <w:p w:rsidR="001E3C2A" w:rsidRDefault="001E3C2A" w:rsidP="001E3C2A">
      <w:pPr>
        <w:pStyle w:val="berschrift1"/>
      </w:pPr>
      <w:r>
        <w:t>3.3.52.41 Injektive Reduktion</w:t>
      </w:r>
    </w:p>
    <w:p w:rsidR="001E3C2A" w:rsidRDefault="001E3C2A" w:rsidP="001E3C2A">
      <w:pPr>
        <w:pStyle w:val="StandardWeb"/>
      </w:pPr>
      <w:r>
        <w:t>Eine Reduktionsabbildung kann alternativ injektiv sein:</w:t>
      </w:r>
    </w:p>
    <w:p w:rsidR="001E3C2A" w:rsidRDefault="001E3C2A" w:rsidP="001E3C2A">
      <w:pPr>
        <w:pStyle w:val="berschrift1"/>
      </w:pPr>
      <w:r>
        <w:t>[</w:t>
      </w:r>
      <w:r>
        <w:br/>
        <w:t>R_F(X_1)</w:t>
      </w:r>
    </w:p>
    <w:p w:rsidR="001E3C2A" w:rsidRDefault="001E3C2A" w:rsidP="001E3C2A">
      <w:pPr>
        <w:pStyle w:val="berschrift1"/>
      </w:pPr>
      <w:r>
        <w:t>R_F(X_2)</w:t>
      </w:r>
      <w:r>
        <w:br/>
        <w:t>\Rightarrow</w:t>
      </w:r>
      <w:r>
        <w:br/>
        <w:t>X_1</w:t>
      </w:r>
    </w:p>
    <w:p w:rsidR="001E3C2A" w:rsidRDefault="001E3C2A" w:rsidP="001E3C2A">
      <w:pPr>
        <w:pStyle w:val="StandardWeb"/>
      </w:pPr>
      <w:r>
        <w:t>X_2.</w:t>
      </w:r>
      <w:r>
        <w:br/>
        <w:t>\tag{3.13648}</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R_F(X_1)=R_F(X_2)\Rightarrow X_1=X_2</w:t>
      </w:r>
    </w:p>
    <w:p w:rsidR="001E3C2A" w:rsidRDefault="001E3C2A" w:rsidP="001E3C2A">
      <w:r>
        <w:pict>
          <v:rect id="_x0000_i5617" style="width:0;height:1.5pt" o:hralign="center" o:hrstd="t" o:hr="t" fillcolor="#a0a0a0" stroked="f"/>
        </w:pict>
      </w:r>
    </w:p>
    <w:p w:rsidR="001E3C2A" w:rsidRDefault="001E3C2A" w:rsidP="001E3C2A">
      <w:pPr>
        <w:pStyle w:val="berschrift2"/>
      </w:pPr>
      <w:r>
        <w:t>3.3.52.42 Definition 3.3.588 – Injektive funktionale Reduktion</w:t>
      </w:r>
    </w:p>
    <w:p w:rsidR="001E3C2A" w:rsidRDefault="001E3C2A" w:rsidP="001E3C2A">
      <w:pPr>
        <w:pStyle w:val="berschrift3"/>
      </w:pPr>
      <w:r>
        <w:t>Definition 3.3.588</w:t>
      </w:r>
    </w:p>
    <w:p w:rsidR="001E3C2A" w:rsidRDefault="001E3C2A" w:rsidP="001E3C2A">
      <w:pPr>
        <w:pStyle w:val="StandardWeb"/>
      </w:pPr>
      <w:r>
        <w:t xml:space="preserve">Eine funktionale Reduktionsabbildung heißt </w:t>
      </w:r>
      <w:r>
        <w:rPr>
          <w:rStyle w:val="Fett"/>
        </w:rPr>
        <w:t>injektiv</w:t>
      </w:r>
      <w:r>
        <w:t>, wenn</w:t>
      </w:r>
    </w:p>
    <w:p w:rsidR="001E3C2A" w:rsidRDefault="001E3C2A" w:rsidP="001E3C2A">
      <w:pPr>
        <w:pStyle w:val="berschrift1"/>
      </w:pPr>
      <w:r>
        <w:lastRenderedPageBreak/>
        <w:t>[</w:t>
      </w:r>
      <w:r>
        <w:br/>
        <w:t>\boxed{</w:t>
      </w:r>
      <w:r>
        <w:br/>
        <w:t>R_F(X_1)</w:t>
      </w:r>
    </w:p>
    <w:p w:rsidR="001E3C2A" w:rsidRDefault="001E3C2A" w:rsidP="001E3C2A">
      <w:pPr>
        <w:pStyle w:val="berschrift1"/>
      </w:pPr>
      <w:r>
        <w:t>R_F(X_2)</w:t>
      </w:r>
      <w:r>
        <w:br/>
        <w:t>\Rightarrow</w:t>
      </w:r>
      <w:r>
        <w:br/>
        <w:t>X_1</w:t>
      </w:r>
    </w:p>
    <w:p w:rsidR="001E3C2A" w:rsidRDefault="001E3C2A" w:rsidP="001E3C2A">
      <w:pPr>
        <w:pStyle w:val="StandardWeb"/>
      </w:pPr>
      <w:r>
        <w:t>X_2.</w:t>
      </w:r>
      <w:r>
        <w:br/>
        <w:t>}</w:t>
      </w:r>
      <w:r>
        <w:br/>
        <w:t>\tag{3.13649}</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\boxed{R_F(X_1)=R_F(X_2)\Rightarrow X_1=X_2.}</w:t>
      </w:r>
    </w:p>
    <w:p w:rsidR="001E3C2A" w:rsidRDefault="001E3C2A" w:rsidP="001E3C2A">
      <w:r>
        <w:pict>
          <v:rect id="_x0000_i5618" style="width:0;height:1.5pt" o:hralign="center" o:hrstd="t" o:hr="t" fillcolor="#a0a0a0" stroked="f"/>
        </w:pict>
      </w:r>
    </w:p>
    <w:p w:rsidR="001E3C2A" w:rsidRDefault="001E3C2A" w:rsidP="001E3C2A">
      <w:pPr>
        <w:pStyle w:val="berschrift1"/>
      </w:pPr>
      <w:r>
        <w:t>3.3.52.43 Universelle Injektivität von Reduktionen als Primäraxiomkandidat</w:t>
      </w:r>
    </w:p>
    <w:p w:rsidR="001E3C2A" w:rsidRDefault="001E3C2A" w:rsidP="001E3C2A">
      <w:pPr>
        <w:pStyle w:val="StandardWeb"/>
      </w:pPr>
      <w:r>
        <w:t>Ein möglicher Kandidat lautet</w:t>
      </w:r>
    </w:p>
    <w:p w:rsidR="001E3C2A" w:rsidRDefault="001E3C2A" w:rsidP="001E3C2A">
      <w:pPr>
        <w:pStyle w:val="StandardWeb"/>
      </w:pPr>
      <w:r>
        <w:t>[</w:t>
      </w:r>
      <w:r>
        <w:br/>
        <w:t>A_{\mathrm{red-inj}}</w:t>
      </w:r>
      <w:r>
        <w:br/>
        <w:t>:</w:t>
      </w:r>
      <w:r>
        <w:br/>
        <w:t>R_F</w:t>
      </w:r>
      <w:r>
        <w:br/>
        <w:t>\text{ ist injektiv}.</w:t>
      </w:r>
      <w:r>
        <w:br/>
        <w:t>\tag{3.13650}</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A_{\mathrm{red-inj}}:R_F\text{ ist injektiv}</w:t>
      </w:r>
    </w:p>
    <w:p w:rsidR="001E3C2A" w:rsidRDefault="001E3C2A" w:rsidP="001E3C2A">
      <w:r>
        <w:pict>
          <v:rect id="_x0000_i5619" style="width:0;height:1.5pt" o:hralign="center" o:hrstd="t" o:hr="t" fillcolor="#a0a0a0" stroked="f"/>
        </w:pict>
      </w:r>
    </w:p>
    <w:p w:rsidR="001E3C2A" w:rsidRDefault="001E3C2A" w:rsidP="001E3C2A">
      <w:pPr>
        <w:pStyle w:val="berschrift1"/>
      </w:pPr>
      <w:r>
        <w:t>3.3.52.44 Gegenmodell zur universellen Injektivität</w:t>
      </w:r>
    </w:p>
    <w:p w:rsidR="001E3C2A" w:rsidRDefault="001E3C2A" w:rsidP="001E3C2A">
      <w:pPr>
        <w:pStyle w:val="StandardWeb"/>
      </w:pPr>
      <w:r>
        <w:t>Eine verdichtende Reduktion kann erfüllen</w:t>
      </w:r>
    </w:p>
    <w:p w:rsidR="001E3C2A" w:rsidRDefault="001E3C2A" w:rsidP="001E3C2A">
      <w:pPr>
        <w:pStyle w:val="StandardWeb"/>
      </w:pPr>
      <w:r>
        <w:t>[</w:t>
      </w:r>
      <w:r>
        <w:br/>
        <w:t>X_1</w:t>
      </w:r>
      <w:r>
        <w:br/>
        <w:t>\neq</w:t>
      </w:r>
      <w:r>
        <w:br/>
        <w:t>X_2</w:t>
      </w:r>
      <w:r>
        <w:br/>
      </w:r>
      <w:r>
        <w:lastRenderedPageBreak/>
        <w:t>\tag{3.13651}</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X_1\neq X_2</w:t>
      </w:r>
    </w:p>
    <w:p w:rsidR="001E3C2A" w:rsidRDefault="001E3C2A" w:rsidP="001E3C2A">
      <w:pPr>
        <w:pStyle w:val="StandardWeb"/>
      </w:pPr>
      <w:r>
        <w:t>und dennoch</w:t>
      </w:r>
    </w:p>
    <w:p w:rsidR="001E3C2A" w:rsidRDefault="001E3C2A" w:rsidP="001E3C2A">
      <w:pPr>
        <w:pStyle w:val="berschrift1"/>
      </w:pPr>
      <w:r>
        <w:t>[</w:t>
      </w:r>
      <w:r>
        <w:br/>
        <w:t>R_F(X_1)</w:t>
      </w:r>
    </w:p>
    <w:p w:rsidR="001E3C2A" w:rsidRDefault="001E3C2A" w:rsidP="001E3C2A">
      <w:pPr>
        <w:pStyle w:val="StandardWeb"/>
      </w:pPr>
      <w:r>
        <w:t>R_F(X_2).</w:t>
      </w:r>
      <w:r>
        <w:br/>
        <w:t>\tag{3.13652}</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R_F(X_1)=R_F(X_2)</w:t>
      </w:r>
    </w:p>
    <w:p w:rsidR="001E3C2A" w:rsidRDefault="001E3C2A" w:rsidP="001E3C2A">
      <w:r>
        <w:pict>
          <v:rect id="_x0000_i5620" style="width:0;height:1.5pt" o:hralign="center" o:hrstd="t" o:hr="t" fillcolor="#a0a0a0" stroked="f"/>
        </w:pict>
      </w:r>
    </w:p>
    <w:p w:rsidR="001E3C2A" w:rsidRDefault="001E3C2A" w:rsidP="001E3C2A">
      <w:pPr>
        <w:pStyle w:val="berschrift1"/>
      </w:pPr>
      <w:r>
        <w:t>3.3.52.45 Axiomentscheidung zur Reduktionsinjektivität</w:t>
      </w:r>
    </w:p>
    <w:p w:rsidR="001E3C2A" w:rsidRDefault="001E3C2A" w:rsidP="001E3C2A">
      <w:pPr>
        <w:pStyle w:val="StandardWeb"/>
      </w:pPr>
      <w:r>
        <w:t>Damit folgt</w:t>
      </w:r>
    </w:p>
    <w:p w:rsidR="001E3C2A" w:rsidRDefault="001E3C2A" w:rsidP="001E3C2A">
      <w:pPr>
        <w:pStyle w:val="berschrift1"/>
      </w:pPr>
      <w:r>
        <w:t>[</w:t>
      </w:r>
      <w:r>
        <w:br/>
        <w:t>\boxed{</w:t>
      </w:r>
      <w:r>
        <w:br/>
        <w:t>U_{\mathrm{Ax}}</w:t>
      </w:r>
      <w:r>
        <w:br/>
        <w:t>(A_{\mathrm{red-inj}})</w:t>
      </w:r>
    </w:p>
    <w:p w:rsidR="001E3C2A" w:rsidRDefault="001E3C2A" w:rsidP="009F7790">
      <w:pPr>
        <w:numPr>
          <w:ilvl w:val="0"/>
          <w:numId w:val="692"/>
        </w:numPr>
        <w:spacing w:before="100" w:beforeAutospacing="1" w:after="100" w:afterAutospacing="1"/>
      </w:pPr>
    </w:p>
    <w:p w:rsidR="001E3C2A" w:rsidRDefault="001E3C2A" w:rsidP="001E3C2A">
      <w:pPr>
        <w:pStyle w:val="StandardWeb"/>
      </w:pPr>
      <w:r>
        <w:t>}</w:t>
      </w:r>
      <w:r>
        <w:br/>
        <w:t>\tag{3.13653}</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\boxed{U_{\mathrm{Ax}}(A_{\mathrm{red-inj}})=0.}</w:t>
      </w:r>
    </w:p>
    <w:p w:rsidR="001E3C2A" w:rsidRDefault="001E3C2A" w:rsidP="001E3C2A">
      <w:r>
        <w:pict>
          <v:rect id="_x0000_i5621" style="width:0;height:1.5pt" o:hralign="center" o:hrstd="t" o:hr="t" fillcolor="#a0a0a0" stroked="f"/>
        </w:pict>
      </w:r>
    </w:p>
    <w:p w:rsidR="001E3C2A" w:rsidRDefault="001E3C2A" w:rsidP="001E3C2A">
      <w:pPr>
        <w:pStyle w:val="berschrift1"/>
      </w:pPr>
      <w:r>
        <w:t>3.3.52.46 Satz 3.3.230 – Injektivität funktionaler Reduktion ist kein Primäraxiom</w:t>
      </w:r>
    </w:p>
    <w:p w:rsidR="001E3C2A" w:rsidRDefault="001E3C2A" w:rsidP="001E3C2A">
      <w:pPr>
        <w:pStyle w:val="berschrift3"/>
      </w:pPr>
      <w:r>
        <w:lastRenderedPageBreak/>
        <w:t>Satz 3.3.230</w:t>
      </w:r>
    </w:p>
    <w:p w:rsidR="001E3C2A" w:rsidRDefault="001E3C2A" w:rsidP="001E3C2A">
      <w:pPr>
        <w:pStyle w:val="StandardWeb"/>
      </w:pPr>
      <w:r>
        <w:t>Die Forderung, jede funktionale Reduktionsabbildung müsse sämtliche Ausgangsobjekte eindeutig unterscheidbar erhalten, ist keine universell notwendige Voraussetzung des allgemeinen FRZK.</w:t>
      </w:r>
    </w:p>
    <w:p w:rsidR="001E3C2A" w:rsidRDefault="001E3C2A" w:rsidP="001E3C2A">
      <w:pPr>
        <w:pStyle w:val="berschrift1"/>
      </w:pPr>
      <w:r>
        <w:t>[</w:t>
      </w:r>
      <w:r>
        <w:br/>
        <w:t>\boxed{</w:t>
      </w:r>
      <w:r>
        <w:br/>
        <w:t>U_{\mathrm{Ax}}</w:t>
      </w:r>
      <w:r>
        <w:br/>
        <w:t>(A_{\mathrm{red-inj}})</w:t>
      </w:r>
    </w:p>
    <w:p w:rsidR="001E3C2A" w:rsidRDefault="001E3C2A" w:rsidP="009F7790">
      <w:pPr>
        <w:numPr>
          <w:ilvl w:val="0"/>
          <w:numId w:val="693"/>
        </w:numPr>
        <w:spacing w:before="100" w:beforeAutospacing="1" w:after="100" w:afterAutospacing="1"/>
      </w:pPr>
    </w:p>
    <w:p w:rsidR="001E3C2A" w:rsidRDefault="001E3C2A" w:rsidP="001E3C2A">
      <w:pPr>
        <w:pStyle w:val="StandardWeb"/>
      </w:pPr>
      <w:r>
        <w:t>}</w:t>
      </w:r>
      <w:r>
        <w:br/>
        <w:t>\tag{3.13654}</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\boxed{U_{\mathrm{Ax}}(A_{\mathrm{red-inj}})=0.}</w:t>
      </w:r>
    </w:p>
    <w:p w:rsidR="001E3C2A" w:rsidRDefault="001E3C2A" w:rsidP="001E3C2A">
      <w:r>
        <w:pict>
          <v:rect id="_x0000_i5622" style="width:0;height:1.5pt" o:hralign="center" o:hrstd="t" o:hr="t" fillcolor="#a0a0a0" stroked="f"/>
        </w:pict>
      </w:r>
    </w:p>
    <w:p w:rsidR="001E3C2A" w:rsidRDefault="001E3C2A" w:rsidP="001E3C2A">
      <w:pPr>
        <w:pStyle w:val="berschrift1"/>
      </w:pPr>
      <w:r>
        <w:t>3.3.52.47 Rekonstruktive Reduktion</w:t>
      </w:r>
    </w:p>
    <w:p w:rsidR="001E3C2A" w:rsidRDefault="001E3C2A" w:rsidP="001E3C2A">
      <w:pPr>
        <w:pStyle w:val="StandardWeb"/>
      </w:pPr>
      <w:r>
        <w:t>Eine Reduktion kann eine Rekonstruktionsabbildung besitzen:</w:t>
      </w:r>
    </w:p>
    <w:p w:rsidR="001E3C2A" w:rsidRDefault="001E3C2A" w:rsidP="001E3C2A">
      <w:pPr>
        <w:pStyle w:val="StandardWeb"/>
      </w:pPr>
      <w:r>
        <w:t>[</w:t>
      </w:r>
      <w:r>
        <w:br/>
        <w:t>S_F</w:t>
      </w:r>
      <w:r>
        <w:br/>
        <w:t>:</w:t>
      </w:r>
      <w:r>
        <w:br/>
        <w:t>\mathcal X_F^{\mathrm{red}}</w:t>
      </w:r>
      <w:r>
        <w:br/>
        <w:t>\rightarrow</w:t>
      </w:r>
      <w:r>
        <w:br/>
        <w:t>\mathcal X_F.</w:t>
      </w:r>
      <w:r>
        <w:br/>
        <w:t>\tag{3.13655}</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S_F:\mathcal X_F^{\mathrm{red}}\rightarrow\mathcal X_F</w:t>
      </w:r>
    </w:p>
    <w:p w:rsidR="001E3C2A" w:rsidRDefault="001E3C2A" w:rsidP="001E3C2A">
      <w:r>
        <w:pict>
          <v:rect id="_x0000_i5623" style="width:0;height:1.5pt" o:hralign="center" o:hrstd="t" o:hr="t" fillcolor="#a0a0a0" stroked="f"/>
        </w:pict>
      </w:r>
    </w:p>
    <w:p w:rsidR="001E3C2A" w:rsidRDefault="001E3C2A" w:rsidP="001E3C2A">
      <w:pPr>
        <w:pStyle w:val="berschrift2"/>
      </w:pPr>
      <w:r>
        <w:t>3.3.52.48 Definition 3.3.589 – Rekonstruktive funktionale Reduktion</w:t>
      </w:r>
    </w:p>
    <w:p w:rsidR="001E3C2A" w:rsidRDefault="001E3C2A" w:rsidP="001E3C2A">
      <w:pPr>
        <w:pStyle w:val="berschrift3"/>
      </w:pPr>
      <w:r>
        <w:t>Definition 3.3.589</w:t>
      </w:r>
    </w:p>
    <w:p w:rsidR="001E3C2A" w:rsidRDefault="001E3C2A" w:rsidP="001E3C2A">
      <w:pPr>
        <w:pStyle w:val="StandardWeb"/>
      </w:pPr>
      <w:r>
        <w:lastRenderedPageBreak/>
        <w:t xml:space="preserve">Eine funktionale Reduktion heißt </w:t>
      </w:r>
      <w:r>
        <w:rPr>
          <w:rStyle w:val="Fett"/>
        </w:rPr>
        <w:t>vollständig rekonstruierbar</w:t>
      </w:r>
      <w:r>
        <w:t>, wenn eine Abbildung (S_F) existiert mit</w:t>
      </w:r>
    </w:p>
    <w:p w:rsidR="001E3C2A" w:rsidRDefault="001E3C2A" w:rsidP="001E3C2A">
      <w:pPr>
        <w:pStyle w:val="berschrift1"/>
      </w:pPr>
      <w:r>
        <w:t>[</w:t>
      </w:r>
      <w:r>
        <w:br/>
        <w:t>\boxed{</w:t>
      </w:r>
      <w:r>
        <w:br/>
        <w:t>S_F</w:t>
      </w:r>
      <w:r>
        <w:br/>
        <w:t>\circ</w:t>
      </w:r>
      <w:r>
        <w:br/>
        <w:t>R_F</w:t>
      </w:r>
    </w:p>
    <w:p w:rsidR="001E3C2A" w:rsidRDefault="001E3C2A" w:rsidP="001E3C2A">
      <w:pPr>
        <w:pStyle w:val="StandardWeb"/>
      </w:pPr>
      <w:r>
        <w:t>\operatorname{id}_{\mathcal X_F}.</w:t>
      </w:r>
      <w:r>
        <w:br/>
        <w:t>}</w:t>
      </w:r>
      <w:r>
        <w:br/>
        <w:t>\tag{3.13656}</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\boxed{S_F\circ R_F=\operatorname{id}_{\mathcal X_F}.}</w:t>
      </w:r>
    </w:p>
    <w:p w:rsidR="001E3C2A" w:rsidRDefault="001E3C2A" w:rsidP="001E3C2A">
      <w:r>
        <w:pict>
          <v:rect id="_x0000_i5624" style="width:0;height:1.5pt" o:hralign="center" o:hrstd="t" o:hr="t" fillcolor="#a0a0a0" stroked="f"/>
        </w:pict>
      </w:r>
    </w:p>
    <w:p w:rsidR="001E3C2A" w:rsidRDefault="001E3C2A" w:rsidP="001E3C2A">
      <w:pPr>
        <w:pStyle w:val="berschrift1"/>
      </w:pPr>
      <w:r>
        <w:t>3.3.52.49 Nichtrekonstruktive Reduktion</w:t>
      </w:r>
    </w:p>
    <w:p w:rsidR="001E3C2A" w:rsidRDefault="001E3C2A" w:rsidP="001E3C2A">
      <w:pPr>
        <w:pStyle w:val="StandardWeb"/>
      </w:pPr>
      <w:r>
        <w:t>Eine Reduktion kann dagegen erfüllen</w:t>
      </w:r>
    </w:p>
    <w:p w:rsidR="001E3C2A" w:rsidRDefault="001E3C2A" w:rsidP="001E3C2A">
      <w:pPr>
        <w:pStyle w:val="berschrift1"/>
      </w:pPr>
      <w:r>
        <w:t>[</w:t>
      </w:r>
      <w:r>
        <w:br/>
        <w:t>\nexists</w:t>
      </w:r>
      <w:r>
        <w:br/>
        <w:t>S_F</w:t>
      </w:r>
      <w:r>
        <w:br/>
        <w:t>:</w:t>
      </w:r>
      <w:r>
        <w:br/>
        <w:t>S_F</w:t>
      </w:r>
      <w:r>
        <w:br/>
        <w:t>\circ</w:t>
      </w:r>
      <w:r>
        <w:br/>
        <w:t>R_F</w:t>
      </w:r>
    </w:p>
    <w:p w:rsidR="001E3C2A" w:rsidRDefault="001E3C2A" w:rsidP="001E3C2A">
      <w:pPr>
        <w:pStyle w:val="StandardWeb"/>
      </w:pPr>
      <w:r>
        <w:t>\operatorname{id}_{\mathcal X_F}.</w:t>
      </w:r>
      <w:r>
        <w:br/>
        <w:t>\tag{3.13657}</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\nexists S_F:S_F\circ R_F=\operatorname{id}_{\mathcal X_F}</w:t>
      </w:r>
    </w:p>
    <w:p w:rsidR="001E3C2A" w:rsidRDefault="001E3C2A" w:rsidP="001E3C2A">
      <w:r>
        <w:pict>
          <v:rect id="_x0000_i5625" style="width:0;height:1.5pt" o:hralign="center" o:hrstd="t" o:hr="t" fillcolor="#a0a0a0" stroked="f"/>
        </w:pict>
      </w:r>
    </w:p>
    <w:p w:rsidR="001E3C2A" w:rsidRDefault="001E3C2A" w:rsidP="001E3C2A">
      <w:pPr>
        <w:pStyle w:val="berschrift1"/>
      </w:pPr>
      <w:r>
        <w:t>3.3.52.50 Rekonstruktivität als Primäraxiomkandidat</w:t>
      </w:r>
    </w:p>
    <w:p w:rsidR="001E3C2A" w:rsidRDefault="001E3C2A" w:rsidP="001E3C2A">
      <w:pPr>
        <w:pStyle w:val="StandardWeb"/>
      </w:pPr>
      <w:r>
        <w:lastRenderedPageBreak/>
        <w:t>Der Kandidat lautet</w:t>
      </w:r>
    </w:p>
    <w:p w:rsidR="001E3C2A" w:rsidRDefault="001E3C2A" w:rsidP="001E3C2A">
      <w:pPr>
        <w:pStyle w:val="berschrift1"/>
      </w:pPr>
      <w:r>
        <w:t>[</w:t>
      </w:r>
      <w:r>
        <w:br/>
        <w:t>A_{\mathrm{red-rec}}</w:t>
      </w:r>
      <w:r>
        <w:br/>
        <w:t>:</w:t>
      </w:r>
      <w:r>
        <w:br/>
        <w:t>\exists S_F:</w:t>
      </w:r>
      <w:r>
        <w:br/>
        <w:t>S_F\circ R_F</w:t>
      </w:r>
    </w:p>
    <w:p w:rsidR="001E3C2A" w:rsidRDefault="001E3C2A" w:rsidP="001E3C2A">
      <w:pPr>
        <w:pStyle w:val="StandardWeb"/>
      </w:pPr>
      <w:r>
        <w:t>\operatorname{id}.</w:t>
      </w:r>
      <w:r>
        <w:br/>
        <w:t>\tag{3.13658}</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A_{\mathrm{red-rec}}:\exists S_F:S_F\circ R_F=\operatorname{id}</w:t>
      </w:r>
    </w:p>
    <w:p w:rsidR="001E3C2A" w:rsidRDefault="001E3C2A" w:rsidP="001E3C2A">
      <w:r>
        <w:pict>
          <v:rect id="_x0000_i5626" style="width:0;height:1.5pt" o:hralign="center" o:hrstd="t" o:hr="t" fillcolor="#a0a0a0" stroked="f"/>
        </w:pict>
      </w:r>
    </w:p>
    <w:p w:rsidR="001E3C2A" w:rsidRDefault="001E3C2A" w:rsidP="001E3C2A">
      <w:pPr>
        <w:pStyle w:val="berschrift1"/>
      </w:pPr>
      <w:r>
        <w:t>3.3.52.51 Gegenmodell</w:t>
      </w:r>
    </w:p>
    <w:p w:rsidR="001E3C2A" w:rsidRDefault="001E3C2A" w:rsidP="001E3C2A">
      <w:pPr>
        <w:pStyle w:val="StandardWeb"/>
      </w:pPr>
      <w:r>
        <w:t>Für eine informationsverdichtende Reduktion mit</w:t>
      </w:r>
    </w:p>
    <w:p w:rsidR="001E3C2A" w:rsidRDefault="001E3C2A" w:rsidP="001E3C2A">
      <w:pPr>
        <w:pStyle w:val="StandardWeb"/>
      </w:pPr>
      <w:r>
        <w:t>[</w:t>
      </w:r>
      <w:r>
        <w:br/>
        <w:t>X_1</w:t>
      </w:r>
      <w:r>
        <w:br/>
        <w:t>\neq</w:t>
      </w:r>
      <w:r>
        <w:br/>
        <w:t>X_2</w:t>
      </w:r>
      <w:r>
        <w:br/>
        <w:t>\tag{3.13659}</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X_1\neq X_2</w:t>
      </w:r>
    </w:p>
    <w:p w:rsidR="001E3C2A" w:rsidRDefault="001E3C2A" w:rsidP="001E3C2A">
      <w:pPr>
        <w:pStyle w:val="StandardWeb"/>
      </w:pPr>
      <w:r>
        <w:t>und</w:t>
      </w:r>
    </w:p>
    <w:p w:rsidR="001E3C2A" w:rsidRDefault="001E3C2A" w:rsidP="001E3C2A">
      <w:pPr>
        <w:pStyle w:val="berschrift1"/>
      </w:pPr>
      <w:r>
        <w:t>[</w:t>
      </w:r>
      <w:r>
        <w:br/>
        <w:t>R_F(X_1)</w:t>
      </w:r>
    </w:p>
    <w:p w:rsidR="001E3C2A" w:rsidRDefault="001E3C2A" w:rsidP="001E3C2A">
      <w:pPr>
        <w:pStyle w:val="StandardWeb"/>
      </w:pPr>
      <w:r>
        <w:t>R_F(X_2)</w:t>
      </w:r>
      <w:r>
        <w:br/>
        <w:t>\tag{3.13660}</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R_F(X_1)=R_F(X_2)</w:t>
      </w:r>
    </w:p>
    <w:p w:rsidR="001E3C2A" w:rsidRDefault="001E3C2A" w:rsidP="001E3C2A">
      <w:pPr>
        <w:pStyle w:val="StandardWeb"/>
      </w:pPr>
      <w:r>
        <w:lastRenderedPageBreak/>
        <w:t>kann keine eindeutige vollständige Rekonstruktion beider Ausgangsobjekte aus dem reduzierten Objekt erfolgen.</w:t>
      </w:r>
    </w:p>
    <w:p w:rsidR="001E3C2A" w:rsidRDefault="001E3C2A" w:rsidP="001E3C2A">
      <w:r>
        <w:pict>
          <v:rect id="_x0000_i5627" style="width:0;height:1.5pt" o:hralign="center" o:hrstd="t" o:hr="t" fillcolor="#a0a0a0" stroked="f"/>
        </w:pict>
      </w:r>
    </w:p>
    <w:p w:rsidR="001E3C2A" w:rsidRDefault="001E3C2A" w:rsidP="001E3C2A">
      <w:pPr>
        <w:pStyle w:val="berschrift1"/>
      </w:pPr>
      <w:r>
        <w:t>3.3.52.52 Axiomentscheidung zur Reduktionsrekonstruktion</w:t>
      </w:r>
    </w:p>
    <w:p w:rsidR="001E3C2A" w:rsidRDefault="001E3C2A" w:rsidP="001E3C2A">
      <w:pPr>
        <w:pStyle w:val="StandardWeb"/>
      </w:pPr>
      <w:r>
        <w:t>Damit gilt</w:t>
      </w:r>
    </w:p>
    <w:p w:rsidR="001E3C2A" w:rsidRDefault="001E3C2A" w:rsidP="001E3C2A">
      <w:pPr>
        <w:pStyle w:val="berschrift1"/>
      </w:pPr>
      <w:r>
        <w:t>[</w:t>
      </w:r>
      <w:r>
        <w:br/>
        <w:t>\boxed{</w:t>
      </w:r>
      <w:r>
        <w:br/>
        <w:t>U_{\mathrm{Ax}}</w:t>
      </w:r>
      <w:r>
        <w:br/>
        <w:t>(A_{\mathrm{red-rec}})</w:t>
      </w:r>
    </w:p>
    <w:p w:rsidR="001E3C2A" w:rsidRDefault="001E3C2A" w:rsidP="009F7790">
      <w:pPr>
        <w:numPr>
          <w:ilvl w:val="0"/>
          <w:numId w:val="694"/>
        </w:numPr>
        <w:spacing w:before="100" w:beforeAutospacing="1" w:after="100" w:afterAutospacing="1"/>
      </w:pPr>
    </w:p>
    <w:p w:rsidR="001E3C2A" w:rsidRDefault="001E3C2A" w:rsidP="001E3C2A">
      <w:pPr>
        <w:pStyle w:val="StandardWeb"/>
      </w:pPr>
      <w:r>
        <w:t>}</w:t>
      </w:r>
      <w:r>
        <w:br/>
        <w:t>\tag{3.13661}</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\boxed{U_{\mathrm{Ax}}(A_{\mathrm{red-rec}})=0.}</w:t>
      </w:r>
    </w:p>
    <w:p w:rsidR="001E3C2A" w:rsidRDefault="001E3C2A" w:rsidP="001E3C2A">
      <w:r>
        <w:pict>
          <v:rect id="_x0000_i5628" style="width:0;height:1.5pt" o:hralign="center" o:hrstd="t" o:hr="t" fillcolor="#a0a0a0" stroked="f"/>
        </w:pict>
      </w:r>
    </w:p>
    <w:p w:rsidR="001E3C2A" w:rsidRDefault="001E3C2A" w:rsidP="001E3C2A">
      <w:pPr>
        <w:pStyle w:val="berschrift1"/>
      </w:pPr>
      <w:r>
        <w:t>3.3.52.53 Satz 3.3.231 – Vollständige Rekonstruktivität einer Reduktion ist kein Primäraxiom</w:t>
      </w:r>
    </w:p>
    <w:p w:rsidR="001E3C2A" w:rsidRDefault="001E3C2A" w:rsidP="001E3C2A">
      <w:pPr>
        <w:pStyle w:val="berschrift3"/>
      </w:pPr>
      <w:r>
        <w:t>Satz 3.3.231</w:t>
      </w:r>
    </w:p>
    <w:p w:rsidR="001E3C2A" w:rsidRDefault="001E3C2A" w:rsidP="001E3C2A">
      <w:pPr>
        <w:pStyle w:val="StandardWeb"/>
      </w:pPr>
      <w:r>
        <w:t>Die Forderung, jede funktionale Reduktion müsse vollständig invertierbar beziehungsweise rekonstruierbar sein, ist keine universell notwendige Voraussetzung des allgemeinen FRZK.</w:t>
      </w:r>
    </w:p>
    <w:p w:rsidR="001E3C2A" w:rsidRDefault="001E3C2A" w:rsidP="001E3C2A">
      <w:pPr>
        <w:pStyle w:val="berschrift1"/>
      </w:pPr>
      <w:r>
        <w:t>[</w:t>
      </w:r>
      <w:r>
        <w:br/>
        <w:t>\boxed{</w:t>
      </w:r>
      <w:r>
        <w:br/>
        <w:t>U_{\mathrm{Ax}}</w:t>
      </w:r>
      <w:r>
        <w:br/>
        <w:t>(A_{\mathrm{red-rec}})</w:t>
      </w:r>
    </w:p>
    <w:p w:rsidR="001E3C2A" w:rsidRDefault="001E3C2A" w:rsidP="009F7790">
      <w:pPr>
        <w:numPr>
          <w:ilvl w:val="0"/>
          <w:numId w:val="695"/>
        </w:numPr>
        <w:spacing w:before="100" w:beforeAutospacing="1" w:after="100" w:afterAutospacing="1"/>
      </w:pPr>
    </w:p>
    <w:p w:rsidR="001E3C2A" w:rsidRDefault="001E3C2A" w:rsidP="001E3C2A">
      <w:pPr>
        <w:pStyle w:val="StandardWeb"/>
      </w:pPr>
      <w:r>
        <w:lastRenderedPageBreak/>
        <w:t>}</w:t>
      </w:r>
      <w:r>
        <w:br/>
        <w:t>\tag{3.13662}</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\boxed{U_{\mathrm{Ax}}(A_{\mathrm{red-rec}})=0.}</w:t>
      </w:r>
    </w:p>
    <w:p w:rsidR="001E3C2A" w:rsidRDefault="001E3C2A" w:rsidP="001E3C2A">
      <w:r>
        <w:pict>
          <v:rect id="_x0000_i5629" style="width:0;height:1.5pt" o:hralign="center" o:hrstd="t" o:hr="t" fillcolor="#a0a0a0" stroked="f"/>
        </w:pict>
      </w:r>
    </w:p>
    <w:p w:rsidR="001E3C2A" w:rsidRDefault="001E3C2A" w:rsidP="001E3C2A">
      <w:pPr>
        <w:pStyle w:val="berschrift1"/>
      </w:pPr>
      <w:r>
        <w:t>3.3.52.54 Äquivalenzbasierte Identifikation</w:t>
      </w:r>
    </w:p>
    <w:p w:rsidR="001E3C2A" w:rsidRDefault="001E3C2A" w:rsidP="001E3C2A">
      <w:pPr>
        <w:pStyle w:val="StandardWeb"/>
      </w:pPr>
      <w:r>
        <w:t>Eine weitere Form der Reduktion entsteht, wenn funktionale Objekte bezüglich einer Äquivalenzrelation identifiziert werden.</w:t>
      </w:r>
    </w:p>
    <w:p w:rsidR="001E3C2A" w:rsidRDefault="001E3C2A" w:rsidP="001E3C2A">
      <w:pPr>
        <w:pStyle w:val="StandardWeb"/>
      </w:pPr>
      <w:r>
        <w:t>Sei</w:t>
      </w:r>
    </w:p>
    <w:p w:rsidR="001E3C2A" w:rsidRDefault="001E3C2A" w:rsidP="001E3C2A">
      <w:pPr>
        <w:pStyle w:val="StandardWeb"/>
      </w:pPr>
      <w:r>
        <w:t>[</w:t>
      </w:r>
      <w:r>
        <w:br/>
        <w:t>\sim_F</w:t>
      </w:r>
      <w:r>
        <w:br/>
        <w:t>\subseteq</w:t>
      </w:r>
      <w:r>
        <w:br/>
        <w:t>\mathcal X_F\times\mathcal X_F</w:t>
      </w:r>
      <w:r>
        <w:br/>
        <w:t>\tag{3.13663}</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\sim_F\subseteq\mathcal X_F\times\mathcal X_F</w:t>
      </w:r>
    </w:p>
    <w:p w:rsidR="001E3C2A" w:rsidRDefault="001E3C2A" w:rsidP="001E3C2A">
      <w:pPr>
        <w:pStyle w:val="StandardWeb"/>
      </w:pPr>
      <w:r>
        <w:t>eine Äquivalenzrelation.</w:t>
      </w:r>
    </w:p>
    <w:p w:rsidR="001E3C2A" w:rsidRDefault="001E3C2A" w:rsidP="001E3C2A">
      <w:r>
        <w:pict>
          <v:rect id="_x0000_i5630" style="width:0;height:1.5pt" o:hralign="center" o:hrstd="t" o:hr="t" fillcolor="#a0a0a0" stroked="f"/>
        </w:pict>
      </w:r>
    </w:p>
    <w:p w:rsidR="001E3C2A" w:rsidRDefault="001E3C2A" w:rsidP="001E3C2A">
      <w:pPr>
        <w:pStyle w:val="berschrift2"/>
      </w:pPr>
      <w:r>
        <w:t>3.3.52.55 Definition 3.3.590 – Funktionale Äquivalenzklasse</w:t>
      </w:r>
    </w:p>
    <w:p w:rsidR="001E3C2A" w:rsidRDefault="001E3C2A" w:rsidP="001E3C2A">
      <w:pPr>
        <w:pStyle w:val="berschrift3"/>
      </w:pPr>
      <w:r>
        <w:t>Definition 3.3.590</w:t>
      </w:r>
    </w:p>
    <w:p w:rsidR="001E3C2A" w:rsidRDefault="001E3C2A" w:rsidP="001E3C2A">
      <w:pPr>
        <w:pStyle w:val="StandardWeb"/>
      </w:pPr>
      <w:r>
        <w:t xml:space="preserve">Für (X\in\mathcal X_F) ist die </w:t>
      </w:r>
      <w:r>
        <w:rPr>
          <w:rStyle w:val="Fett"/>
        </w:rPr>
        <w:t>funktionale Äquivalenzklasse bezüglich (\sim_F)</w:t>
      </w:r>
      <w:r>
        <w:t xml:space="preserve"> definiert durch</w:t>
      </w:r>
    </w:p>
    <w:p w:rsidR="001E3C2A" w:rsidRDefault="001E3C2A" w:rsidP="001E3C2A">
      <w:pPr>
        <w:pStyle w:val="berschrift1"/>
      </w:pPr>
      <w:r>
        <w:t>[</w:t>
      </w:r>
      <w:r>
        <w:br/>
        <w:t>\boxed{</w:t>
      </w:r>
      <w:r>
        <w:br/>
        <w:t>[X]_F</w:t>
      </w:r>
    </w:p>
    <w:p w:rsidR="001E3C2A" w:rsidRDefault="001E3C2A" w:rsidP="001E3C2A">
      <w:pPr>
        <w:pStyle w:val="StandardWeb"/>
      </w:pPr>
      <w:r>
        <w:t>{</w:t>
      </w:r>
      <w:r>
        <w:br/>
        <w:t>Y\in\mathcal X_F</w:t>
      </w:r>
      <w:r>
        <w:br/>
        <w:t>:</w:t>
      </w:r>
      <w:r>
        <w:br/>
        <w:t>Y\sim_F X</w:t>
      </w:r>
      <w:r>
        <w:br/>
        <w:t>}.</w:t>
      </w:r>
      <w:r>
        <w:br/>
        <w:t>}</w:t>
      </w:r>
      <w:r>
        <w:br/>
      </w:r>
      <w:r>
        <w:lastRenderedPageBreak/>
        <w:t>\tag{3.13664}</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\boxed{[X]_F=\{Y\in\mathcal X_F:Y\sim_F X\}.}</w:t>
      </w:r>
    </w:p>
    <w:p w:rsidR="001E3C2A" w:rsidRDefault="001E3C2A" w:rsidP="001E3C2A">
      <w:r>
        <w:pict>
          <v:rect id="_x0000_i5631" style="width:0;height:1.5pt" o:hralign="center" o:hrstd="t" o:hr="t" fillcolor="#a0a0a0" stroked="f"/>
        </w:pict>
      </w:r>
    </w:p>
    <w:p w:rsidR="001E3C2A" w:rsidRDefault="001E3C2A" w:rsidP="001E3C2A">
      <w:pPr>
        <w:pStyle w:val="berschrift1"/>
      </w:pPr>
      <w:r>
        <w:t>3.3.52.56 Funktionaler Quotientenraum</w:t>
      </w:r>
    </w:p>
    <w:p w:rsidR="001E3C2A" w:rsidRDefault="001E3C2A" w:rsidP="001E3C2A">
      <w:pPr>
        <w:pStyle w:val="StandardWeb"/>
      </w:pPr>
      <w:r>
        <w:t>Die Menge aller Äquivalenzklassen lautet</w:t>
      </w:r>
    </w:p>
    <w:p w:rsidR="001E3C2A" w:rsidRDefault="001E3C2A" w:rsidP="001E3C2A">
      <w:pPr>
        <w:pStyle w:val="berschrift1"/>
      </w:pPr>
      <w:r>
        <w:t>[</w:t>
      </w:r>
      <w:r>
        <w:br/>
        <w:t>\mathcal X_F/{\sim_F}</w:t>
      </w:r>
    </w:p>
    <w:p w:rsidR="001E3C2A" w:rsidRDefault="001E3C2A" w:rsidP="001E3C2A">
      <w:pPr>
        <w:pStyle w:val="StandardWeb"/>
      </w:pPr>
      <w:r>
        <w:t>{</w:t>
      </w:r>
      <w:r>
        <w:br/>
        <w:t>[X]_F</w:t>
      </w:r>
      <w:r>
        <w:br/>
        <w:t>:</w:t>
      </w:r>
      <w:r>
        <w:br/>
        <w:t>X\in\mathcal X_F</w:t>
      </w:r>
      <w:r>
        <w:br/>
        <w:t>}.</w:t>
      </w:r>
      <w:r>
        <w:br/>
        <w:t>\tag{3.13665}</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\mathcal X_F/{\sim_F}=\{[X]_F:X\in\mathcal X_F\}</w:t>
      </w:r>
    </w:p>
    <w:p w:rsidR="001E3C2A" w:rsidRDefault="001E3C2A" w:rsidP="001E3C2A">
      <w:r>
        <w:pict>
          <v:rect id="_x0000_i5632" style="width:0;height:1.5pt" o:hralign="center" o:hrstd="t" o:hr="t" fillcolor="#a0a0a0" stroked="f"/>
        </w:pict>
      </w:r>
    </w:p>
    <w:p w:rsidR="001E3C2A" w:rsidRDefault="001E3C2A" w:rsidP="001E3C2A">
      <w:pPr>
        <w:pStyle w:val="berschrift2"/>
      </w:pPr>
      <w:r>
        <w:t>3.3.52.57 Definition 3.3.591 – Funktionaler Quotientenraum</w:t>
      </w:r>
    </w:p>
    <w:p w:rsidR="001E3C2A" w:rsidRDefault="001E3C2A" w:rsidP="001E3C2A">
      <w:pPr>
        <w:pStyle w:val="berschrift3"/>
      </w:pPr>
      <w:r>
        <w:t>Definition 3.3.591</w:t>
      </w:r>
    </w:p>
    <w:p w:rsidR="001E3C2A" w:rsidRDefault="001E3C2A" w:rsidP="001E3C2A">
      <w:pPr>
        <w:pStyle w:val="StandardWeb"/>
      </w:pPr>
      <w:r>
        <w:t xml:space="preserve">Der </w:t>
      </w:r>
      <w:r>
        <w:rPr>
          <w:rStyle w:val="Fett"/>
        </w:rPr>
        <w:t>funktionale Quotientenraum</w:t>
      </w:r>
      <w:r>
        <w:t xml:space="preserve"> bezüglich (\sim_F) ist</w:t>
      </w:r>
    </w:p>
    <w:p w:rsidR="001E3C2A" w:rsidRDefault="001E3C2A" w:rsidP="001E3C2A">
      <w:pPr>
        <w:pStyle w:val="berschrift1"/>
      </w:pPr>
      <w:r>
        <w:t>[</w:t>
      </w:r>
      <w:r>
        <w:br/>
        <w:t>\boxed{</w:t>
      </w:r>
      <w:r>
        <w:br/>
        <w:t>\mathcal X_F/{\sim_F}</w:t>
      </w:r>
    </w:p>
    <w:p w:rsidR="001E3C2A" w:rsidRDefault="001E3C2A" w:rsidP="001E3C2A">
      <w:pPr>
        <w:pStyle w:val="StandardWeb"/>
      </w:pPr>
      <w:r>
        <w:t>{</w:t>
      </w:r>
      <w:r>
        <w:br/>
        <w:t>[X]_F</w:t>
      </w:r>
      <w:r>
        <w:br/>
        <w:t>:</w:t>
      </w:r>
      <w:r>
        <w:br/>
        <w:t>X\in\mathcal X_F</w:t>
      </w:r>
      <w:r>
        <w:br/>
        <w:t>}.</w:t>
      </w:r>
      <w:r>
        <w:br/>
        <w:t>}</w:t>
      </w:r>
      <w:r>
        <w:br/>
        <w:t>\tag{3.13666}</w:t>
      </w:r>
      <w:r>
        <w:br/>
        <w:t>]</w:t>
      </w:r>
    </w:p>
    <w:p w:rsidR="001E3C2A" w:rsidRDefault="001E3C2A" w:rsidP="001E3C2A">
      <w:pPr>
        <w:pStyle w:val="StandardWeb"/>
      </w:pPr>
      <w:r>
        <w:rPr>
          <w:rStyle w:val="Fett"/>
        </w:rPr>
        <w:lastRenderedPageBreak/>
        <w:t>Word-LaTeX</w:t>
      </w:r>
    </w:p>
    <w:p w:rsidR="001E3C2A" w:rsidRDefault="001E3C2A" w:rsidP="001E3C2A">
      <w:pPr>
        <w:pStyle w:val="HTMLVorformatiert"/>
        <w:rPr>
          <w:rStyle w:val="HTMLCode"/>
        </w:rPr>
      </w:pPr>
      <w:r>
        <w:rPr>
          <w:rStyle w:val="HTMLCode"/>
        </w:rPr>
        <w:t>\boxed{\mathcal X_F/{\sim_F}=\{[X]_F:X\in\mathcal X_F\}.}</w:t>
      </w:r>
    </w:p>
    <w:p w:rsidR="001E3C2A" w:rsidRDefault="001E3C2A" w:rsidP="001E3C2A">
      <w:r>
        <w:pict>
          <v:rect id="_x0000_i5633" style="width:0;height:1.5pt" o:hralign="center" o:hrstd="t" o:hr="t" fillcolor="#a0a0a0" stroked="f"/>
        </w:pict>
      </w:r>
    </w:p>
    <w:p w:rsidR="001E3C2A" w:rsidRDefault="001E3C2A" w:rsidP="001E3C2A">
      <w:pPr>
        <w:pStyle w:val="berschrift1"/>
      </w:pPr>
      <w:r>
        <w:t>3.3.52.58 Kanonische Quotientenabbildung</w:t>
      </w:r>
    </w:p>
    <w:p w:rsidR="001E3C2A" w:rsidRDefault="001E3C2A" w:rsidP="001E3C2A">
      <w:pPr>
        <w:pStyle w:val="StandardWeb"/>
      </w:pPr>
      <w:r>
        <w:t>Die zugehörige Abbildung lautet</w:t>
      </w:r>
    </w:p>
    <w:p w:rsidR="001E3C2A" w:rsidRDefault="001E3C2A" w:rsidP="001E3C2A">
      <w:pPr>
        <w:pStyle w:val="StandardWeb"/>
      </w:pPr>
      <w:r>
        <w:t>[</w:t>
      </w:r>
      <w:r>
        <w:br/>
        <w:t>q_F</w:t>
      </w:r>
      <w:r>
        <w:br/>
        <w:t>:</w:t>
      </w:r>
      <w:r>
        <w:br/>
        <w:t>\mathcal X_F</w:t>
      </w:r>
      <w:r>
        <w:br/>
        <w:t>\rightarrow</w:t>
      </w:r>
      <w:r>
        <w:br/>
        <w:t>\mathcal X_F/{\sim_F}.</w:t>
      </w:r>
      <w:r>
        <w:br/>
        <w:t>\tag{3.13667}</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q_F:\mathcal X_F\rightarrow\mathcal X_F/{\sim_F}</w:t>
      </w:r>
    </w:p>
    <w:p w:rsidR="001E3C2A" w:rsidRDefault="001E3C2A" w:rsidP="001E3C2A">
      <w:pPr>
        <w:pStyle w:val="StandardWeb"/>
      </w:pPr>
      <w:r>
        <w:t>mit</w:t>
      </w:r>
    </w:p>
    <w:p w:rsidR="001E3C2A" w:rsidRDefault="001E3C2A" w:rsidP="001E3C2A">
      <w:pPr>
        <w:pStyle w:val="berschrift1"/>
      </w:pPr>
      <w:r>
        <w:t>[</w:t>
      </w:r>
      <w:r>
        <w:br/>
        <w:t>q_F(X)</w:t>
      </w:r>
    </w:p>
    <w:p w:rsidR="001E3C2A" w:rsidRDefault="001E3C2A" w:rsidP="001E3C2A">
      <w:pPr>
        <w:pStyle w:val="StandardWeb"/>
      </w:pPr>
      <w:r>
        <w:t>[X]_F.</w:t>
      </w:r>
      <w:r>
        <w:br/>
        <w:t>\tag{3.13668}</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q_F(X)=[X]_F</w:t>
      </w:r>
    </w:p>
    <w:p w:rsidR="001E3C2A" w:rsidRDefault="001E3C2A" w:rsidP="001E3C2A">
      <w:r>
        <w:pict>
          <v:rect id="_x0000_i5634" style="width:0;height:1.5pt" o:hralign="center" o:hrstd="t" o:hr="t" fillcolor="#a0a0a0" stroked="f"/>
        </w:pict>
      </w:r>
    </w:p>
    <w:p w:rsidR="001E3C2A" w:rsidRDefault="001E3C2A" w:rsidP="001E3C2A">
      <w:pPr>
        <w:pStyle w:val="berschrift2"/>
      </w:pPr>
      <w:r>
        <w:t>3.3.52.59 Definition 3.3.592 – Funktionale Quotientenabbildung</w:t>
      </w:r>
    </w:p>
    <w:p w:rsidR="001E3C2A" w:rsidRDefault="001E3C2A" w:rsidP="001E3C2A">
      <w:pPr>
        <w:pStyle w:val="berschrift3"/>
      </w:pPr>
      <w:r>
        <w:t>Definition 3.3.592</w:t>
      </w:r>
    </w:p>
    <w:p w:rsidR="001E3C2A" w:rsidRDefault="001E3C2A" w:rsidP="001E3C2A">
      <w:pPr>
        <w:pStyle w:val="StandardWeb"/>
      </w:pPr>
      <w:r>
        <w:t xml:space="preserve">Die </w:t>
      </w:r>
      <w:r>
        <w:rPr>
          <w:rStyle w:val="Fett"/>
        </w:rPr>
        <w:t>funktionale Quotientenabbildung</w:t>
      </w:r>
      <w:r>
        <w:t xml:space="preserve"> bezüglich (\sim_F) ist</w:t>
      </w:r>
    </w:p>
    <w:p w:rsidR="001E3C2A" w:rsidRDefault="001E3C2A" w:rsidP="001E3C2A">
      <w:pPr>
        <w:pStyle w:val="berschrift1"/>
      </w:pPr>
      <w:r>
        <w:t>[</w:t>
      </w:r>
      <w:r>
        <w:br/>
        <w:t>\boxed{</w:t>
      </w:r>
      <w:r>
        <w:br/>
        <w:t>q_F(X)</w:t>
      </w:r>
    </w:p>
    <w:p w:rsidR="001E3C2A" w:rsidRDefault="001E3C2A" w:rsidP="001E3C2A">
      <w:pPr>
        <w:pStyle w:val="StandardWeb"/>
      </w:pPr>
      <w:r>
        <w:lastRenderedPageBreak/>
        <w:t>[X]_F.</w:t>
      </w:r>
      <w:r>
        <w:br/>
        <w:t>}</w:t>
      </w:r>
      <w:r>
        <w:br/>
        <w:t>\tag{3.13669}</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\boxed{q_F(X)=[X]_F.}</w:t>
      </w:r>
    </w:p>
    <w:p w:rsidR="001E3C2A" w:rsidRDefault="001E3C2A" w:rsidP="001E3C2A">
      <w:r>
        <w:pict>
          <v:rect id="_x0000_i5635" style="width:0;height:1.5pt" o:hralign="center" o:hrstd="t" o:hr="t" fillcolor="#a0a0a0" stroked="f"/>
        </w:pict>
      </w:r>
    </w:p>
    <w:p w:rsidR="001E3C2A" w:rsidRDefault="001E3C2A" w:rsidP="001E3C2A">
      <w:pPr>
        <w:pStyle w:val="berschrift1"/>
      </w:pPr>
      <w:r>
        <w:t>3.3.52.60 Quotientierung ist nicht beliebige Reduktion</w:t>
      </w:r>
    </w:p>
    <w:p w:rsidR="001E3C2A" w:rsidRDefault="001E3C2A" w:rsidP="001E3C2A">
      <w:pPr>
        <w:pStyle w:val="StandardWeb"/>
      </w:pPr>
      <w:r>
        <w:t>Eine Quotientierung besitzt eine spezifische logische Grundlage:</w:t>
      </w:r>
    </w:p>
    <w:p w:rsidR="001E3C2A" w:rsidRDefault="001E3C2A" w:rsidP="001E3C2A">
      <w:pPr>
        <w:pStyle w:val="berschrift1"/>
      </w:pPr>
      <w:r>
        <w:t>[</w:t>
      </w:r>
      <w:r>
        <w:br/>
        <w:t>X\sim_F Y</w:t>
      </w:r>
      <w:r>
        <w:br/>
        <w:t>\Rightarrow</w:t>
      </w:r>
      <w:r>
        <w:br/>
        <w:t>q_F(X)</w:t>
      </w:r>
    </w:p>
    <w:p w:rsidR="001E3C2A" w:rsidRDefault="001E3C2A" w:rsidP="001E3C2A">
      <w:pPr>
        <w:pStyle w:val="StandardWeb"/>
      </w:pPr>
      <w:r>
        <w:t>q_F(Y).</w:t>
      </w:r>
      <w:r>
        <w:br/>
        <w:t>\tag{3.13670}</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X\sim_F Y\Rightarrow q_F(X)=q_F(Y)</w:t>
      </w:r>
    </w:p>
    <w:p w:rsidR="001E3C2A" w:rsidRDefault="001E3C2A" w:rsidP="001E3C2A">
      <w:pPr>
        <w:pStyle w:val="StandardWeb"/>
      </w:pPr>
      <w:r>
        <w:t>Daher gilt methodisch</w:t>
      </w:r>
    </w:p>
    <w:p w:rsidR="001E3C2A" w:rsidRDefault="001E3C2A" w:rsidP="001E3C2A">
      <w:pPr>
        <w:pStyle w:val="StandardWeb"/>
      </w:pPr>
      <w:r>
        <w:t>[</w:t>
      </w:r>
      <w:r>
        <w:br/>
        <w:t>\boxed{</w:t>
      </w:r>
      <w:r>
        <w:br/>
        <w:t>q_F</w:t>
      </w:r>
      <w:r>
        <w:br/>
        <w:t>\not\equiv</w:t>
      </w:r>
      <w:r>
        <w:br/>
        <w:t>R_F</w:t>
      </w:r>
      <w:r>
        <w:br/>
        <w:t>}</w:t>
      </w:r>
      <w:r>
        <w:br/>
        <w:t>\tag{3.13671}</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\boxed{q_F\not\equiv R_F}</w:t>
      </w:r>
    </w:p>
    <w:p w:rsidR="001E3C2A" w:rsidRDefault="001E3C2A" w:rsidP="001E3C2A">
      <w:pPr>
        <w:pStyle w:val="StandardWeb"/>
      </w:pPr>
      <w:r>
        <w:t>für eine beliebige Reduktionsabbildung (R_F).</w:t>
      </w:r>
    </w:p>
    <w:p w:rsidR="001E3C2A" w:rsidRDefault="001E3C2A" w:rsidP="001E3C2A">
      <w:r>
        <w:pict>
          <v:rect id="_x0000_i5636" style="width:0;height:1.5pt" o:hralign="center" o:hrstd="t" o:hr="t" fillcolor="#a0a0a0" stroked="f"/>
        </w:pict>
      </w:r>
    </w:p>
    <w:p w:rsidR="001E3C2A" w:rsidRDefault="001E3C2A" w:rsidP="001E3C2A">
      <w:pPr>
        <w:pStyle w:val="berschrift1"/>
      </w:pPr>
      <w:r>
        <w:lastRenderedPageBreak/>
        <w:t>3.3.52.61 Äquivalenzrelation als Voraussetzung der Quotientierung</w:t>
      </w:r>
    </w:p>
    <w:p w:rsidR="001E3C2A" w:rsidRDefault="001E3C2A" w:rsidP="001E3C2A">
      <w:pPr>
        <w:pStyle w:val="StandardWeb"/>
      </w:pPr>
      <w:r>
        <w:t>Für eine Quotientenstruktur muss (\sim_F) insbesondere reflexiv sein:</w:t>
      </w:r>
    </w:p>
    <w:p w:rsidR="001E3C2A" w:rsidRDefault="001E3C2A" w:rsidP="001E3C2A">
      <w:pPr>
        <w:pStyle w:val="StandardWeb"/>
      </w:pPr>
      <w:r>
        <w:t>[</w:t>
      </w:r>
      <w:r>
        <w:br/>
        <w:t>X\sim_F X.</w:t>
      </w:r>
      <w:r>
        <w:br/>
        <w:t>\tag{3.13672}</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X\sim_F X</w:t>
      </w:r>
    </w:p>
    <w:p w:rsidR="001E3C2A" w:rsidRDefault="001E3C2A" w:rsidP="001E3C2A">
      <w:pPr>
        <w:pStyle w:val="StandardWeb"/>
      </w:pPr>
      <w:r>
        <w:t>Sie muss symmetrisch sein:</w:t>
      </w:r>
    </w:p>
    <w:p w:rsidR="001E3C2A" w:rsidRDefault="001E3C2A" w:rsidP="001E3C2A">
      <w:pPr>
        <w:pStyle w:val="StandardWeb"/>
      </w:pPr>
      <w:r>
        <w:t>[</w:t>
      </w:r>
      <w:r>
        <w:br/>
        <w:t>X\sim_F Y</w:t>
      </w:r>
      <w:r>
        <w:br/>
        <w:t>\Rightarrow</w:t>
      </w:r>
      <w:r>
        <w:br/>
        <w:t>Y\sim_F X.</w:t>
      </w:r>
      <w:r>
        <w:br/>
        <w:t>\tag{3.13673}</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X\sim_F Y\Rightarrow Y\sim_F X</w:t>
      </w:r>
    </w:p>
    <w:p w:rsidR="001E3C2A" w:rsidRDefault="001E3C2A" w:rsidP="001E3C2A">
      <w:pPr>
        <w:pStyle w:val="StandardWeb"/>
      </w:pPr>
      <w:r>
        <w:t>und transitiv:</w:t>
      </w:r>
    </w:p>
    <w:p w:rsidR="001E3C2A" w:rsidRDefault="001E3C2A" w:rsidP="001E3C2A">
      <w:pPr>
        <w:pStyle w:val="StandardWeb"/>
      </w:pPr>
      <w:r>
        <w:t>[</w:t>
      </w:r>
      <w:r>
        <w:br/>
        <w:t>X\sim_F Y</w:t>
      </w:r>
      <w:r>
        <w:br/>
        <w:t>\land</w:t>
      </w:r>
      <w:r>
        <w:br/>
        <w:t>Y\sim_F Z</w:t>
      </w:r>
      <w:r>
        <w:br/>
        <w:t>\Rightarrow</w:t>
      </w:r>
      <w:r>
        <w:br/>
        <w:t>X\sim_F Z.</w:t>
      </w:r>
      <w:r>
        <w:br/>
        <w:t>\tag{3.13674}</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X\sim_F Y\land Y\sim_F Z\Rightarrow X\sim_F Z</w:t>
      </w:r>
    </w:p>
    <w:p w:rsidR="001E3C2A" w:rsidRDefault="001E3C2A" w:rsidP="001E3C2A">
      <w:r>
        <w:pict>
          <v:rect id="_x0000_i5637" style="width:0;height:1.5pt" o:hralign="center" o:hrstd="t" o:hr="t" fillcolor="#a0a0a0" stroked="f"/>
        </w:pict>
      </w:r>
    </w:p>
    <w:p w:rsidR="001E3C2A" w:rsidRDefault="001E3C2A" w:rsidP="001E3C2A">
      <w:pPr>
        <w:pStyle w:val="berschrift2"/>
      </w:pPr>
      <w:r>
        <w:t>3.3.52.62 Definition 3.3.593 – Quotientierungsfähige funktionale Relation</w:t>
      </w:r>
    </w:p>
    <w:p w:rsidR="001E3C2A" w:rsidRDefault="001E3C2A" w:rsidP="001E3C2A">
      <w:pPr>
        <w:pStyle w:val="berschrift3"/>
      </w:pPr>
      <w:r>
        <w:t>Definition 3.3.593</w:t>
      </w:r>
    </w:p>
    <w:p w:rsidR="001E3C2A" w:rsidRDefault="001E3C2A" w:rsidP="001E3C2A">
      <w:pPr>
        <w:pStyle w:val="StandardWeb"/>
      </w:pPr>
      <w:r>
        <w:lastRenderedPageBreak/>
        <w:t xml:space="preserve">Eine Relation (\sim_F) heißt </w:t>
      </w:r>
      <w:r>
        <w:rPr>
          <w:rStyle w:val="Fett"/>
        </w:rPr>
        <w:t>quotientierungsfähig</w:t>
      </w:r>
      <w:r>
        <w:t>, wenn sie eine Äquivalenzrelation auf (\mathcal X_F) ist:</w:t>
      </w:r>
    </w:p>
    <w:p w:rsidR="001E3C2A" w:rsidRDefault="001E3C2A" w:rsidP="001E3C2A">
      <w:pPr>
        <w:pStyle w:val="StandardWeb"/>
      </w:pPr>
      <w:r>
        <w:t>[</w:t>
      </w:r>
      <w:r>
        <w:br/>
        <w:t>\boxed{</w:t>
      </w:r>
      <w:r>
        <w:br/>
        <w:t>\sim_F</w:t>
      </w:r>
      <w:r>
        <w:br/>
        <w:t>\text{ ist reflexiv, symmetrisch und transitiv}.</w:t>
      </w:r>
      <w:r>
        <w:br/>
        <w:t>}</w:t>
      </w:r>
      <w:r>
        <w:br/>
        <w:t>\tag{3.13675}</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\boxed{\sim_F\text{ ist reflexiv, symmetrisch und transitiv}.}</w:t>
      </w:r>
    </w:p>
    <w:p w:rsidR="001E3C2A" w:rsidRDefault="001E3C2A" w:rsidP="001E3C2A">
      <w:r>
        <w:pict>
          <v:rect id="_x0000_i5638" style="width:0;height:1.5pt" o:hralign="center" o:hrstd="t" o:hr="t" fillcolor="#a0a0a0" stroked="f"/>
        </w:pict>
      </w:r>
    </w:p>
    <w:p w:rsidR="001E3C2A" w:rsidRDefault="001E3C2A" w:rsidP="001E3C2A">
      <w:pPr>
        <w:pStyle w:val="berschrift1"/>
      </w:pPr>
      <w:r>
        <w:t>3.3.52.63 Universelle Existenz einer Quotientenrelation als Primäraxiomkandidat</w:t>
      </w:r>
    </w:p>
    <w:p w:rsidR="001E3C2A" w:rsidRDefault="001E3C2A" w:rsidP="001E3C2A">
      <w:pPr>
        <w:pStyle w:val="StandardWeb"/>
      </w:pPr>
      <w:r>
        <w:t>Ein möglicher Kandidat wäre</w:t>
      </w:r>
    </w:p>
    <w:p w:rsidR="001E3C2A" w:rsidRDefault="001E3C2A" w:rsidP="001E3C2A">
      <w:pPr>
        <w:pStyle w:val="StandardWeb"/>
      </w:pPr>
      <w:r>
        <w:t>[</w:t>
      </w:r>
      <w:r>
        <w:br/>
        <w:t>A_{\mathrm{quot-ex}}</w:t>
      </w:r>
      <w:r>
        <w:br/>
        <w:t>:</w:t>
      </w:r>
      <w:r>
        <w:br/>
        <w:t>\exists</w:t>
      </w:r>
      <w:r>
        <w:br/>
        <w:t>\sim_F</w:t>
      </w:r>
      <w:r>
        <w:br/>
        <w:t>\text{ mit nichttrivialem Quotientenraum}.</w:t>
      </w:r>
      <w:r>
        <w:br/>
        <w:t>\tag{3.13676}</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A_{\mathrm{quot-ex}}:\exists\sim_F\text{ mit nichttrivialem Quotientenraum}</w:t>
      </w:r>
    </w:p>
    <w:p w:rsidR="001E3C2A" w:rsidRDefault="001E3C2A" w:rsidP="001E3C2A">
      <w:r>
        <w:pict>
          <v:rect id="_x0000_i5639" style="width:0;height:1.5pt" o:hralign="center" o:hrstd="t" o:hr="t" fillcolor="#a0a0a0" stroked="f"/>
        </w:pict>
      </w:r>
    </w:p>
    <w:p w:rsidR="001E3C2A" w:rsidRDefault="001E3C2A" w:rsidP="001E3C2A">
      <w:pPr>
        <w:pStyle w:val="berschrift1"/>
      </w:pPr>
      <w:r>
        <w:t>3.3.52.64 Gegenmodell ohne Quotientierung</w:t>
      </w:r>
    </w:p>
    <w:p w:rsidR="001E3C2A" w:rsidRDefault="001E3C2A" w:rsidP="001E3C2A">
      <w:pPr>
        <w:pStyle w:val="StandardWeb"/>
      </w:pPr>
      <w:r>
        <w:t>Eine zulässige Modellklasse kann vollständig ohne Äquivalenzklassifikation formuliert sein:</w:t>
      </w:r>
    </w:p>
    <w:p w:rsidR="001E3C2A" w:rsidRDefault="001E3C2A" w:rsidP="001E3C2A">
      <w:pPr>
        <w:pStyle w:val="StandardWeb"/>
      </w:pPr>
      <w:r>
        <w:t>[</w:t>
      </w:r>
      <w:r>
        <w:br/>
        <w:t>q_F</w:t>
      </w:r>
      <w:r>
        <w:br/>
        <w:t>\notin</w:t>
      </w:r>
      <w:r>
        <w:br/>
        <w:t>\mathfrak E_{\mathrm{model}}.</w:t>
      </w:r>
      <w:r>
        <w:br/>
        <w:t>\tag{3.13677}</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q_F\notin\mathfrak E_{\mathrm{model}}</w:t>
      </w:r>
    </w:p>
    <w:p w:rsidR="001E3C2A" w:rsidRDefault="001E3C2A" w:rsidP="001E3C2A">
      <w:pPr>
        <w:pStyle w:val="StandardWeb"/>
      </w:pPr>
      <w:r>
        <w:lastRenderedPageBreak/>
        <w:t>Die funktionalen Objekte bleiben dabei unverändert vorhanden.</w:t>
      </w:r>
    </w:p>
    <w:p w:rsidR="001E3C2A" w:rsidRDefault="001E3C2A" w:rsidP="001E3C2A">
      <w:r>
        <w:pict>
          <v:rect id="_x0000_i5640" style="width:0;height:1.5pt" o:hralign="center" o:hrstd="t" o:hr="t" fillcolor="#a0a0a0" stroked="f"/>
        </w:pict>
      </w:r>
    </w:p>
    <w:p w:rsidR="001E3C2A" w:rsidRDefault="001E3C2A" w:rsidP="001E3C2A">
      <w:pPr>
        <w:pStyle w:val="berschrift1"/>
      </w:pPr>
      <w:r>
        <w:t>3.3.52.65 Axiomentscheidung zur Quotientenexistenz</w:t>
      </w:r>
    </w:p>
    <w:p w:rsidR="001E3C2A" w:rsidRDefault="001E3C2A" w:rsidP="001E3C2A">
      <w:pPr>
        <w:pStyle w:val="StandardWeb"/>
      </w:pPr>
      <w:r>
        <w:t>Daher gilt</w:t>
      </w:r>
    </w:p>
    <w:p w:rsidR="001E3C2A" w:rsidRDefault="001E3C2A" w:rsidP="001E3C2A">
      <w:pPr>
        <w:pStyle w:val="berschrift1"/>
      </w:pPr>
      <w:r>
        <w:t>[</w:t>
      </w:r>
      <w:r>
        <w:br/>
        <w:t>\boxed{</w:t>
      </w:r>
      <w:r>
        <w:br/>
        <w:t>U_{\mathrm{Ax}}</w:t>
      </w:r>
      <w:r>
        <w:br/>
        <w:t>(A_{\mathrm{quot-ex}})</w:t>
      </w:r>
    </w:p>
    <w:p w:rsidR="001E3C2A" w:rsidRDefault="001E3C2A" w:rsidP="009F7790">
      <w:pPr>
        <w:numPr>
          <w:ilvl w:val="0"/>
          <w:numId w:val="696"/>
        </w:numPr>
        <w:spacing w:before="100" w:beforeAutospacing="1" w:after="100" w:afterAutospacing="1"/>
      </w:pPr>
    </w:p>
    <w:p w:rsidR="001E3C2A" w:rsidRDefault="001E3C2A" w:rsidP="001E3C2A">
      <w:pPr>
        <w:pStyle w:val="StandardWeb"/>
      </w:pPr>
      <w:r>
        <w:t>}</w:t>
      </w:r>
      <w:r>
        <w:br/>
        <w:t>\tag{3.13678}</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\boxed{U_{\mathrm{Ax}}(A_{\mathrm{quot-ex}})=0.}</w:t>
      </w:r>
    </w:p>
    <w:p w:rsidR="001E3C2A" w:rsidRDefault="001E3C2A" w:rsidP="001E3C2A">
      <w:r>
        <w:pict>
          <v:rect id="_x0000_i5641" style="width:0;height:1.5pt" o:hralign="center" o:hrstd="t" o:hr="t" fillcolor="#a0a0a0" stroked="f"/>
        </w:pict>
      </w:r>
    </w:p>
    <w:p w:rsidR="001E3C2A" w:rsidRDefault="001E3C2A" w:rsidP="001E3C2A">
      <w:pPr>
        <w:pStyle w:val="berschrift1"/>
      </w:pPr>
      <w:r>
        <w:t>3.3.52.66 Satz 3.3.232 – Die Existenz einer Quotientenstruktur ist kein Primäraxiom</w:t>
      </w:r>
    </w:p>
    <w:p w:rsidR="001E3C2A" w:rsidRDefault="001E3C2A" w:rsidP="001E3C2A">
      <w:pPr>
        <w:pStyle w:val="berschrift3"/>
      </w:pPr>
      <w:r>
        <w:t>Satz 3.3.232</w:t>
      </w:r>
    </w:p>
    <w:p w:rsidR="001E3C2A" w:rsidRDefault="001E3C2A" w:rsidP="001E3C2A">
      <w:pPr>
        <w:pStyle w:val="StandardWeb"/>
      </w:pPr>
      <w:r>
        <w:t>Die Forderung, jedes zulässige FRZK-Modell müsse eine Äquivalenzrelation und einen daraus gebildeten nichttrivialen Quotientenraum besitzen, ist keine universell notwendige Voraussetzung des allgemeinen FRZK.</w:t>
      </w:r>
    </w:p>
    <w:p w:rsidR="001E3C2A" w:rsidRDefault="001E3C2A" w:rsidP="001E3C2A">
      <w:pPr>
        <w:pStyle w:val="berschrift1"/>
      </w:pPr>
      <w:r>
        <w:t>[</w:t>
      </w:r>
      <w:r>
        <w:br/>
        <w:t>\boxed{</w:t>
      </w:r>
      <w:r>
        <w:br/>
        <w:t>U_{\mathrm{Ax}}</w:t>
      </w:r>
      <w:r>
        <w:br/>
        <w:t>(A_{\mathrm{quot-ex}})</w:t>
      </w:r>
    </w:p>
    <w:p w:rsidR="001E3C2A" w:rsidRDefault="001E3C2A" w:rsidP="009F7790">
      <w:pPr>
        <w:numPr>
          <w:ilvl w:val="0"/>
          <w:numId w:val="697"/>
        </w:numPr>
        <w:spacing w:before="100" w:beforeAutospacing="1" w:after="100" w:afterAutospacing="1"/>
      </w:pPr>
    </w:p>
    <w:p w:rsidR="001E3C2A" w:rsidRDefault="001E3C2A" w:rsidP="001E3C2A">
      <w:pPr>
        <w:pStyle w:val="StandardWeb"/>
      </w:pPr>
      <w:r>
        <w:t>}</w:t>
      </w:r>
      <w:r>
        <w:br/>
        <w:t>\tag{3.13679}</w:t>
      </w:r>
      <w:r>
        <w:br/>
        <w:t>]</w:t>
      </w:r>
    </w:p>
    <w:p w:rsidR="001E3C2A" w:rsidRDefault="001E3C2A" w:rsidP="001E3C2A">
      <w:pPr>
        <w:pStyle w:val="StandardWeb"/>
      </w:pPr>
      <w:r>
        <w:rPr>
          <w:rStyle w:val="Fett"/>
        </w:rPr>
        <w:lastRenderedPageBreak/>
        <w:t>Word-LaTeX</w:t>
      </w:r>
    </w:p>
    <w:p w:rsidR="001E3C2A" w:rsidRDefault="001E3C2A" w:rsidP="001E3C2A">
      <w:pPr>
        <w:pStyle w:val="HTMLVorformatiert"/>
        <w:rPr>
          <w:rStyle w:val="HTMLCode"/>
        </w:rPr>
      </w:pPr>
      <w:r>
        <w:rPr>
          <w:rStyle w:val="HTMLCode"/>
        </w:rPr>
        <w:t>\boxed{U_{\mathrm{Ax}}(A_{\mathrm{quot-ex}})=0.}</w:t>
      </w:r>
    </w:p>
    <w:p w:rsidR="001E3C2A" w:rsidRDefault="001E3C2A" w:rsidP="001E3C2A">
      <w:r>
        <w:pict>
          <v:rect id="_x0000_i5642" style="width:0;height:1.5pt" o:hralign="center" o:hrstd="t" o:hr="t" fillcolor="#a0a0a0" stroked="f"/>
        </w:pict>
      </w:r>
    </w:p>
    <w:p w:rsidR="001E3C2A" w:rsidRDefault="001E3C2A" w:rsidP="001E3C2A">
      <w:pPr>
        <w:pStyle w:val="berschrift1"/>
      </w:pPr>
      <w:r>
        <w:t>3.3.52.67 Korollar 3.3.59 – Quotientierung ist eine optionale Modellerweiterung</w:t>
      </w:r>
    </w:p>
    <w:p w:rsidR="001E3C2A" w:rsidRDefault="001E3C2A" w:rsidP="001E3C2A">
      <w:pPr>
        <w:pStyle w:val="berschrift3"/>
      </w:pPr>
      <w:r>
        <w:t>Korollar 3.3.59</w:t>
      </w:r>
    </w:p>
    <w:p w:rsidR="001E3C2A" w:rsidRDefault="001E3C2A" w:rsidP="001E3C2A">
      <w:pPr>
        <w:pStyle w:val="StandardWeb"/>
      </w:pPr>
      <w:r>
        <w:t>Aus Satz 3.3.232 folgt</w:t>
      </w:r>
    </w:p>
    <w:p w:rsidR="001E3C2A" w:rsidRDefault="001E3C2A" w:rsidP="001E3C2A">
      <w:pPr>
        <w:pStyle w:val="berschrift1"/>
      </w:pPr>
      <w:r>
        <w:t>[</w:t>
      </w:r>
      <w:r>
        <w:br/>
        <w:t>\boxed{</w:t>
      </w:r>
      <w:r>
        <w:br/>
        <w:t>\operatorname{Stat}</w:t>
      </w:r>
      <w:r>
        <w:br/>
        <w:t>(q_F)</w:t>
      </w:r>
    </w:p>
    <w:p w:rsidR="001E3C2A" w:rsidRDefault="001E3C2A" w:rsidP="001E3C2A">
      <w:pPr>
        <w:pStyle w:val="StandardWeb"/>
      </w:pPr>
      <w:r>
        <w:t>\mathrm{Def/Mod/Op}.</w:t>
      </w:r>
      <w:r>
        <w:br/>
        <w:t>}</w:t>
      </w:r>
      <w:r>
        <w:br/>
        <w:t>\tag{3.13680}</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\boxed{\operatorname{Stat}(q_F)=\mathrm{Def/Mod/Op}.}</w:t>
      </w:r>
    </w:p>
    <w:p w:rsidR="001E3C2A" w:rsidRDefault="001E3C2A" w:rsidP="001E3C2A">
      <w:r>
        <w:pict>
          <v:rect id="_x0000_i5643" style="width:0;height:1.5pt" o:hralign="center" o:hrstd="t" o:hr="t" fillcolor="#a0a0a0" stroked="f"/>
        </w:pict>
      </w:r>
    </w:p>
    <w:p w:rsidR="001E3C2A" w:rsidRDefault="001E3C2A" w:rsidP="001E3C2A">
      <w:pPr>
        <w:pStyle w:val="berschrift1"/>
      </w:pPr>
      <w:r>
        <w:t>3.3.52.68 Verträglichkeit einer Operation mit der Äquivalenzrelation</w:t>
      </w:r>
    </w:p>
    <w:p w:rsidR="001E3C2A" w:rsidRDefault="001E3C2A" w:rsidP="001E3C2A">
      <w:pPr>
        <w:pStyle w:val="StandardWeb"/>
      </w:pPr>
      <w:r>
        <w:t>Ist zusätzlich eine funktionale Operation (\circ_F) definiert, stellt sich die Frage, ob sie auf Äquivalenzklassen wohldefiniert ist.</w:t>
      </w:r>
    </w:p>
    <w:p w:rsidR="001E3C2A" w:rsidRDefault="001E3C2A" w:rsidP="001E3C2A">
      <w:pPr>
        <w:pStyle w:val="StandardWeb"/>
      </w:pPr>
      <w:r>
        <w:t>Dafür kann verlangt werden:</w:t>
      </w:r>
    </w:p>
    <w:p w:rsidR="001E3C2A" w:rsidRDefault="001E3C2A" w:rsidP="001E3C2A">
      <w:pPr>
        <w:pStyle w:val="StandardWeb"/>
      </w:pPr>
      <w:r>
        <w:t>[</w:t>
      </w:r>
      <w:r>
        <w:br/>
        <w:t>X_1\sim_F X_2</w:t>
      </w:r>
      <w:r>
        <w:br/>
        <w:t>\land</w:t>
      </w:r>
      <w:r>
        <w:br/>
        <w:t>Y_1\sim_F Y_2</w:t>
      </w:r>
      <w:r>
        <w:br/>
        <w:t>\Rightarrow</w:t>
      </w:r>
      <w:r>
        <w:br/>
        <w:t>X_1\circ_F Y_1</w:t>
      </w:r>
      <w:r>
        <w:br/>
        <w:t>\sim_F</w:t>
      </w:r>
      <w:r>
        <w:br/>
        <w:t>X_2\circ_F Y_2.</w:t>
      </w:r>
      <w:r>
        <w:br/>
        <w:t>\tag{3.13681}</w:t>
      </w:r>
      <w:r>
        <w:br/>
        <w:t>]</w:t>
      </w:r>
    </w:p>
    <w:p w:rsidR="001E3C2A" w:rsidRDefault="001E3C2A" w:rsidP="001E3C2A">
      <w:pPr>
        <w:pStyle w:val="StandardWeb"/>
      </w:pPr>
      <w:r>
        <w:rPr>
          <w:rStyle w:val="Fett"/>
        </w:rPr>
        <w:lastRenderedPageBreak/>
        <w:t>Word-LaTeX</w:t>
      </w:r>
    </w:p>
    <w:p w:rsidR="001E3C2A" w:rsidRDefault="001E3C2A" w:rsidP="001E3C2A">
      <w:pPr>
        <w:pStyle w:val="HTMLVorformatiert"/>
        <w:rPr>
          <w:rStyle w:val="HTMLCode"/>
        </w:rPr>
      </w:pPr>
      <w:r>
        <w:rPr>
          <w:rStyle w:val="HTMLCode"/>
        </w:rPr>
        <w:t>X_1\sim_F X_2\land Y_1\sim_F Y_2\Rightarrow X_1\circ_F Y_1\sim_F X_2\circ_F Y_2</w:t>
      </w:r>
    </w:p>
    <w:p w:rsidR="001E3C2A" w:rsidRDefault="001E3C2A" w:rsidP="001E3C2A">
      <w:r>
        <w:pict>
          <v:rect id="_x0000_i5644" style="width:0;height:1.5pt" o:hralign="center" o:hrstd="t" o:hr="t" fillcolor="#a0a0a0" stroked="f"/>
        </w:pict>
      </w:r>
    </w:p>
    <w:p w:rsidR="001E3C2A" w:rsidRDefault="001E3C2A" w:rsidP="001E3C2A">
      <w:pPr>
        <w:pStyle w:val="berschrift2"/>
      </w:pPr>
      <w:r>
        <w:t>3.3.52.69 Definition 3.3.594 – Äquivalenzverträgliche funktionale Operation</w:t>
      </w:r>
    </w:p>
    <w:p w:rsidR="001E3C2A" w:rsidRDefault="001E3C2A" w:rsidP="001E3C2A">
      <w:pPr>
        <w:pStyle w:val="berschrift3"/>
      </w:pPr>
      <w:r>
        <w:t>Definition 3.3.594</w:t>
      </w:r>
    </w:p>
    <w:p w:rsidR="001E3C2A" w:rsidRDefault="001E3C2A" w:rsidP="001E3C2A">
      <w:pPr>
        <w:pStyle w:val="StandardWeb"/>
      </w:pPr>
      <w:r>
        <w:t xml:space="preserve">Eine funktionale Operation (\circ_F) heißt </w:t>
      </w:r>
      <w:r>
        <w:rPr>
          <w:rStyle w:val="Fett"/>
        </w:rPr>
        <w:t>verträglich mit (\sim_F)</w:t>
      </w:r>
      <w:r>
        <w:t>, wenn</w:t>
      </w:r>
    </w:p>
    <w:p w:rsidR="001E3C2A" w:rsidRDefault="001E3C2A" w:rsidP="001E3C2A">
      <w:pPr>
        <w:pStyle w:val="StandardWeb"/>
      </w:pPr>
      <w:r>
        <w:t>[</w:t>
      </w:r>
      <w:r>
        <w:br/>
        <w:t>\boxed{</w:t>
      </w:r>
      <w:r>
        <w:br/>
        <w:t>X_1\sim_F X_2</w:t>
      </w:r>
      <w:r>
        <w:br/>
        <w:t>\land</w:t>
      </w:r>
      <w:r>
        <w:br/>
        <w:t>Y_1\sim_F Y_2</w:t>
      </w:r>
      <w:r>
        <w:br/>
        <w:t>\Rightarrow</w:t>
      </w:r>
      <w:r>
        <w:br/>
        <w:t>X_1\circ_F Y_1</w:t>
      </w:r>
      <w:r>
        <w:br/>
        <w:t>\sim_F</w:t>
      </w:r>
      <w:r>
        <w:br/>
        <w:t>X_2\circ_F Y_2.</w:t>
      </w:r>
      <w:r>
        <w:br/>
        <w:t>}</w:t>
      </w:r>
      <w:r>
        <w:br/>
        <w:t>\tag{3.13682}</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\boxed{X_1\sim_F X_2\land Y_1\sim_F Y_2\Rightarrow X_1\circ_F Y_1\sim_F X_2\circ_F Y_2.}</w:t>
      </w:r>
    </w:p>
    <w:p w:rsidR="001E3C2A" w:rsidRDefault="001E3C2A" w:rsidP="001E3C2A">
      <w:r>
        <w:pict>
          <v:rect id="_x0000_i5645" style="width:0;height:1.5pt" o:hralign="center" o:hrstd="t" o:hr="t" fillcolor="#a0a0a0" stroked="f"/>
        </w:pict>
      </w:r>
    </w:p>
    <w:p w:rsidR="001E3C2A" w:rsidRDefault="001E3C2A" w:rsidP="001E3C2A">
      <w:pPr>
        <w:pStyle w:val="berschrift1"/>
      </w:pPr>
      <w:r>
        <w:t>3.3.52.70 Induzierte Operation auf dem Quotientenraum</w:t>
      </w:r>
    </w:p>
    <w:p w:rsidR="001E3C2A" w:rsidRDefault="001E3C2A" w:rsidP="001E3C2A">
      <w:pPr>
        <w:pStyle w:val="StandardWeb"/>
      </w:pPr>
      <w:r>
        <w:t>Ist diese Verträglichkeit gegeben, kann ich definieren</w:t>
      </w:r>
    </w:p>
    <w:p w:rsidR="001E3C2A" w:rsidRDefault="001E3C2A" w:rsidP="001E3C2A">
      <w:pPr>
        <w:pStyle w:val="StandardWeb"/>
      </w:pPr>
      <w:r>
        <w:t>[</w:t>
      </w:r>
      <w:r>
        <w:br/>
        <w:t>[X]</w:t>
      </w:r>
      <w:r>
        <w:rPr>
          <w:rStyle w:val="Hervorhebung"/>
        </w:rPr>
        <w:t>F</w:t>
      </w:r>
      <w:r>
        <w:rPr>
          <w:i/>
          <w:iCs/>
        </w:rPr>
        <w:br/>
      </w:r>
      <w:r>
        <w:rPr>
          <w:rStyle w:val="Hervorhebung"/>
        </w:rPr>
        <w:t>\circ</w:t>
      </w:r>
      <w:r>
        <w:t>{F/{\sim}}</w:t>
      </w:r>
      <w:r>
        <w:br/>
        <w:t>[Y]_F</w:t>
      </w:r>
      <w:r>
        <w:br/>
        <w:t>:=</w:t>
      </w:r>
      <w:r>
        <w:br/>
        <w:t>[X\circ_F Y]_F.</w:t>
      </w:r>
      <w:r>
        <w:br/>
        <w:t>\tag{3.13683}</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[X]_F\circ_{F/{\sim}}[Y]_F:=[X\circ_F Y]_F</w:t>
      </w:r>
    </w:p>
    <w:p w:rsidR="001E3C2A" w:rsidRDefault="001E3C2A" w:rsidP="001E3C2A">
      <w:r>
        <w:lastRenderedPageBreak/>
        <w:pict>
          <v:rect id="_x0000_i5646" style="width:0;height:1.5pt" o:hralign="center" o:hrstd="t" o:hr="t" fillcolor="#a0a0a0" stroked="f"/>
        </w:pict>
      </w:r>
    </w:p>
    <w:p w:rsidR="001E3C2A" w:rsidRDefault="001E3C2A" w:rsidP="001E3C2A">
      <w:pPr>
        <w:pStyle w:val="berschrift2"/>
      </w:pPr>
      <w:r>
        <w:t>3.3.52.71 Definition 3.3.595 – Induzierte funktionale Quotientenoperation</w:t>
      </w:r>
    </w:p>
    <w:p w:rsidR="001E3C2A" w:rsidRDefault="001E3C2A" w:rsidP="001E3C2A">
      <w:pPr>
        <w:pStyle w:val="berschrift3"/>
      </w:pPr>
      <w:r>
        <w:t>Definition 3.3.595</w:t>
      </w:r>
    </w:p>
    <w:p w:rsidR="001E3C2A" w:rsidRDefault="001E3C2A" w:rsidP="001E3C2A">
      <w:pPr>
        <w:pStyle w:val="StandardWeb"/>
      </w:pPr>
      <w:r>
        <w:t xml:space="preserve">Für eine mit (\sim_F) verträgliche Operation (\circ_F) definiere ich die </w:t>
      </w:r>
      <w:r>
        <w:rPr>
          <w:rStyle w:val="Fett"/>
        </w:rPr>
        <w:t>induzierte Quotientenoperation</w:t>
      </w:r>
      <w:r>
        <w:t xml:space="preserve"> durch</w:t>
      </w:r>
    </w:p>
    <w:p w:rsidR="001E3C2A" w:rsidRDefault="001E3C2A" w:rsidP="001E3C2A">
      <w:pPr>
        <w:pStyle w:val="StandardWeb"/>
      </w:pPr>
      <w:r>
        <w:t>[</w:t>
      </w:r>
      <w:r>
        <w:br/>
        <w:t>\boxed{</w:t>
      </w:r>
      <w:r>
        <w:br/>
        <w:t>[X]</w:t>
      </w:r>
      <w:r>
        <w:rPr>
          <w:rStyle w:val="Hervorhebung"/>
        </w:rPr>
        <w:t>F</w:t>
      </w:r>
      <w:r>
        <w:rPr>
          <w:i/>
          <w:iCs/>
        </w:rPr>
        <w:br/>
      </w:r>
      <w:r>
        <w:rPr>
          <w:rStyle w:val="Hervorhebung"/>
        </w:rPr>
        <w:t>\circ</w:t>
      </w:r>
      <w:r>
        <w:t>{F/{\sim}}</w:t>
      </w:r>
      <w:r>
        <w:br/>
        <w:t>[Y]_F</w:t>
      </w:r>
      <w:r>
        <w:br/>
        <w:t>:=</w:t>
      </w:r>
      <w:r>
        <w:br/>
        <w:t>[X\circ_F Y]_F.</w:t>
      </w:r>
      <w:r>
        <w:br/>
        <w:t>}</w:t>
      </w:r>
      <w:r>
        <w:br/>
        <w:t>\tag{3.13684}</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\boxed{[X]_F\circ_{F/{\sim}}[Y]_F:=[X\circ_F Y]_F.}</w:t>
      </w:r>
    </w:p>
    <w:p w:rsidR="001E3C2A" w:rsidRDefault="001E3C2A" w:rsidP="001E3C2A">
      <w:r>
        <w:pict>
          <v:rect id="_x0000_i5647" style="width:0;height:1.5pt" o:hralign="center" o:hrstd="t" o:hr="t" fillcolor="#a0a0a0" stroked="f"/>
        </w:pict>
      </w:r>
    </w:p>
    <w:p w:rsidR="001E3C2A" w:rsidRDefault="001E3C2A" w:rsidP="001E3C2A">
      <w:pPr>
        <w:pStyle w:val="berschrift1"/>
      </w:pPr>
      <w:r>
        <w:t>3.3.52.72 Nichtverträgliche Operation</w:t>
      </w:r>
    </w:p>
    <w:p w:rsidR="001E3C2A" w:rsidRDefault="001E3C2A" w:rsidP="001E3C2A">
      <w:pPr>
        <w:pStyle w:val="StandardWeb"/>
      </w:pPr>
      <w:r>
        <w:t>Eine Operation kann dagegen erfüllen</w:t>
      </w:r>
    </w:p>
    <w:p w:rsidR="001E3C2A" w:rsidRDefault="001E3C2A" w:rsidP="001E3C2A">
      <w:pPr>
        <w:pStyle w:val="StandardWeb"/>
      </w:pPr>
      <w:r>
        <w:t>[</w:t>
      </w:r>
      <w:r>
        <w:br/>
        <w:t>X_1\sim_F X_2,</w:t>
      </w:r>
      <w:r>
        <w:br/>
        <w:t>\qquad</w:t>
      </w:r>
      <w:r>
        <w:br/>
        <w:t>Y_1\sim_F Y_2</w:t>
      </w:r>
      <w:r>
        <w:br/>
        <w:t>\tag{3.13685}</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X_1\sim_F X_2,\qquad Y_1\sim_F Y_2</w:t>
      </w:r>
    </w:p>
    <w:p w:rsidR="001E3C2A" w:rsidRDefault="001E3C2A" w:rsidP="001E3C2A">
      <w:pPr>
        <w:pStyle w:val="StandardWeb"/>
      </w:pPr>
      <w:r>
        <w:t>aber</w:t>
      </w:r>
    </w:p>
    <w:p w:rsidR="001E3C2A" w:rsidRDefault="001E3C2A" w:rsidP="001E3C2A">
      <w:pPr>
        <w:pStyle w:val="StandardWeb"/>
      </w:pPr>
      <w:r>
        <w:t>[</w:t>
      </w:r>
      <w:r>
        <w:br/>
        <w:t>X_1\circ_F Y_1</w:t>
      </w:r>
      <w:r>
        <w:br/>
        <w:t>\not\sim_F</w:t>
      </w:r>
      <w:r>
        <w:br/>
        <w:t>X_2\circ_F Y_2.</w:t>
      </w:r>
      <w:r>
        <w:br/>
        <w:t>\tag{3.13686}</w:t>
      </w:r>
      <w:r>
        <w:br/>
        <w:t>]</w:t>
      </w:r>
    </w:p>
    <w:p w:rsidR="001E3C2A" w:rsidRDefault="001E3C2A" w:rsidP="001E3C2A">
      <w:pPr>
        <w:pStyle w:val="StandardWeb"/>
      </w:pPr>
      <w:r>
        <w:rPr>
          <w:rStyle w:val="Fett"/>
        </w:rPr>
        <w:lastRenderedPageBreak/>
        <w:t>Word-LaTeX</w:t>
      </w:r>
    </w:p>
    <w:p w:rsidR="001E3C2A" w:rsidRDefault="001E3C2A" w:rsidP="001E3C2A">
      <w:pPr>
        <w:pStyle w:val="HTMLVorformatiert"/>
        <w:rPr>
          <w:rStyle w:val="HTMLCode"/>
        </w:rPr>
      </w:pPr>
      <w:r>
        <w:rPr>
          <w:rStyle w:val="HTMLCode"/>
        </w:rPr>
        <w:t>X_1\circ_F Y_1\not\sim_F X_2\circ_F Y_2</w:t>
      </w:r>
    </w:p>
    <w:p w:rsidR="001E3C2A" w:rsidRDefault="001E3C2A" w:rsidP="001E3C2A">
      <w:pPr>
        <w:pStyle w:val="StandardWeb"/>
      </w:pPr>
      <w:r>
        <w:t>Dann ist die Quotientenoperation nicht durch die einfache Klassenformel wohldefiniert.</w:t>
      </w:r>
    </w:p>
    <w:p w:rsidR="001E3C2A" w:rsidRDefault="001E3C2A" w:rsidP="001E3C2A">
      <w:r>
        <w:pict>
          <v:rect id="_x0000_i5648" style="width:0;height:1.5pt" o:hralign="center" o:hrstd="t" o:hr="t" fillcolor="#a0a0a0" stroked="f"/>
        </w:pict>
      </w:r>
    </w:p>
    <w:p w:rsidR="001E3C2A" w:rsidRDefault="001E3C2A" w:rsidP="001E3C2A">
      <w:pPr>
        <w:pStyle w:val="berschrift1"/>
      </w:pPr>
      <w:r>
        <w:t>3.3.52.73 Universelle Quotientenverträglichkeit als Primäraxiomkandidat</w:t>
      </w:r>
    </w:p>
    <w:p w:rsidR="001E3C2A" w:rsidRDefault="001E3C2A" w:rsidP="001E3C2A">
      <w:pPr>
        <w:pStyle w:val="StandardWeb"/>
      </w:pPr>
      <w:r>
        <w:t>Ein Kandidat lautet</w:t>
      </w:r>
    </w:p>
    <w:p w:rsidR="001E3C2A" w:rsidRDefault="001E3C2A" w:rsidP="001E3C2A">
      <w:pPr>
        <w:pStyle w:val="StandardWeb"/>
      </w:pPr>
      <w:r>
        <w:t>[</w:t>
      </w:r>
      <w:r>
        <w:br/>
        <w:t>A_{\mathrm{quot-comp}}</w:t>
      </w:r>
      <w:r>
        <w:br/>
        <w:t>:</w:t>
      </w:r>
      <w:r>
        <w:br/>
        <w:t>\circ_F</w:t>
      </w:r>
      <w:r>
        <w:br/>
        <w:t>\text{ ist mit jeder zulässigen }\sim_F\text{ verträglich}.</w:t>
      </w:r>
      <w:r>
        <w:br/>
        <w:t>\tag{3.13687}</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A_{\mathrm{quot-comp}}:\circ_F\text{ ist mit jeder zulässigen }\sim_F\text{ verträglich}</w:t>
      </w:r>
    </w:p>
    <w:p w:rsidR="001E3C2A" w:rsidRDefault="001E3C2A" w:rsidP="001E3C2A">
      <w:r>
        <w:pict>
          <v:rect id="_x0000_i5649" style="width:0;height:1.5pt" o:hralign="center" o:hrstd="t" o:hr="t" fillcolor="#a0a0a0" stroked="f"/>
        </w:pict>
      </w:r>
    </w:p>
    <w:p w:rsidR="001E3C2A" w:rsidRDefault="001E3C2A" w:rsidP="001E3C2A">
      <w:pPr>
        <w:pStyle w:val="berschrift1"/>
      </w:pPr>
      <w:r>
        <w:t>3.3.52.74 Gegenmodell</w:t>
      </w:r>
    </w:p>
    <w:p w:rsidR="001E3C2A" w:rsidRDefault="001E3C2A" w:rsidP="001E3C2A">
      <w:pPr>
        <w:pStyle w:val="StandardWeb"/>
      </w:pPr>
      <w:r>
        <w:t>Es genügt eine Modellklasse mit</w:t>
      </w:r>
    </w:p>
    <w:p w:rsidR="001E3C2A" w:rsidRDefault="001E3C2A" w:rsidP="001E3C2A">
      <w:pPr>
        <w:pStyle w:val="StandardWeb"/>
      </w:pPr>
      <w:r>
        <w:t>[</w:t>
      </w:r>
      <w:r>
        <w:br/>
        <w:t>X_1\sim_F X_2</w:t>
      </w:r>
      <w:r>
        <w:br/>
        <w:t>\tag{3.13688}</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X_1\sim_F X_2</w:t>
      </w:r>
    </w:p>
    <w:p w:rsidR="001E3C2A" w:rsidRDefault="001E3C2A" w:rsidP="001E3C2A">
      <w:pPr>
        <w:pStyle w:val="StandardWeb"/>
      </w:pPr>
      <w:r>
        <w:t>und</w:t>
      </w:r>
    </w:p>
    <w:p w:rsidR="001E3C2A" w:rsidRDefault="001E3C2A" w:rsidP="001E3C2A">
      <w:pPr>
        <w:pStyle w:val="StandardWeb"/>
      </w:pPr>
      <w:r>
        <w:t>[</w:t>
      </w:r>
      <w:r>
        <w:br/>
        <w:t>X_1\circ_F Y</w:t>
      </w:r>
      <w:r>
        <w:br/>
        <w:t>\not\sim_F</w:t>
      </w:r>
      <w:r>
        <w:br/>
        <w:t>X_2\circ_F Y.</w:t>
      </w:r>
      <w:r>
        <w:br/>
        <w:t>\tag{3.13689}</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lastRenderedPageBreak/>
        <w:t>X_1\circ_F Y\not\sim_F X_2\circ_F Y</w:t>
      </w:r>
    </w:p>
    <w:p w:rsidR="001E3C2A" w:rsidRDefault="001E3C2A" w:rsidP="001E3C2A">
      <w:pPr>
        <w:pStyle w:val="StandardWeb"/>
      </w:pPr>
      <w:r>
        <w:t>Die ursprüngliche Operation kann dennoch vollständig wohldefiniert sein.</w:t>
      </w:r>
    </w:p>
    <w:p w:rsidR="001E3C2A" w:rsidRDefault="001E3C2A" w:rsidP="001E3C2A">
      <w:r>
        <w:pict>
          <v:rect id="_x0000_i5650" style="width:0;height:1.5pt" o:hralign="center" o:hrstd="t" o:hr="t" fillcolor="#a0a0a0" stroked="f"/>
        </w:pict>
      </w:r>
    </w:p>
    <w:p w:rsidR="001E3C2A" w:rsidRDefault="001E3C2A" w:rsidP="001E3C2A">
      <w:pPr>
        <w:pStyle w:val="berschrift1"/>
      </w:pPr>
      <w:r>
        <w:t>3.3.52.75 Axiomentscheidung zur Quotientenverträglichkeit</w:t>
      </w:r>
    </w:p>
    <w:p w:rsidR="001E3C2A" w:rsidRDefault="001E3C2A" w:rsidP="001E3C2A">
      <w:pPr>
        <w:pStyle w:val="StandardWeb"/>
      </w:pPr>
      <w:r>
        <w:t>Damit folgt</w:t>
      </w:r>
    </w:p>
    <w:p w:rsidR="001E3C2A" w:rsidRDefault="001E3C2A" w:rsidP="001E3C2A">
      <w:pPr>
        <w:pStyle w:val="berschrift1"/>
      </w:pPr>
      <w:r>
        <w:t>[</w:t>
      </w:r>
      <w:r>
        <w:br/>
        <w:t>\boxed{</w:t>
      </w:r>
      <w:r>
        <w:br/>
        <w:t>U_{\mathrm{Ax}}</w:t>
      </w:r>
      <w:r>
        <w:br/>
        <w:t>(A_{\mathrm{quot-comp}})</w:t>
      </w:r>
    </w:p>
    <w:p w:rsidR="001E3C2A" w:rsidRDefault="001E3C2A" w:rsidP="009F7790">
      <w:pPr>
        <w:numPr>
          <w:ilvl w:val="0"/>
          <w:numId w:val="698"/>
        </w:numPr>
        <w:spacing w:before="100" w:beforeAutospacing="1" w:after="100" w:afterAutospacing="1"/>
      </w:pPr>
    </w:p>
    <w:p w:rsidR="001E3C2A" w:rsidRDefault="001E3C2A" w:rsidP="001E3C2A">
      <w:pPr>
        <w:pStyle w:val="StandardWeb"/>
      </w:pPr>
      <w:r>
        <w:t>}</w:t>
      </w:r>
      <w:r>
        <w:br/>
        <w:t>\tag{3.13690}</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\boxed{U_{\mathrm{Ax}}(A_{\mathrm{quot-comp}})=0.}</w:t>
      </w:r>
    </w:p>
    <w:p w:rsidR="001E3C2A" w:rsidRDefault="001E3C2A" w:rsidP="001E3C2A">
      <w:r>
        <w:pict>
          <v:rect id="_x0000_i5651" style="width:0;height:1.5pt" o:hralign="center" o:hrstd="t" o:hr="t" fillcolor="#a0a0a0" stroked="f"/>
        </w:pict>
      </w:r>
    </w:p>
    <w:p w:rsidR="001E3C2A" w:rsidRDefault="001E3C2A" w:rsidP="001E3C2A">
      <w:pPr>
        <w:pStyle w:val="berschrift1"/>
      </w:pPr>
      <w:r>
        <w:t>3.3.52.76 Satz 3.3.233 – Universelle Quotientenverträglichkeit ist kein Primäraxiom</w:t>
      </w:r>
    </w:p>
    <w:p w:rsidR="001E3C2A" w:rsidRDefault="001E3C2A" w:rsidP="001E3C2A">
      <w:pPr>
        <w:pStyle w:val="berschrift3"/>
      </w:pPr>
      <w:r>
        <w:t>Satz 3.3.233</w:t>
      </w:r>
    </w:p>
    <w:p w:rsidR="001E3C2A" w:rsidRDefault="001E3C2A" w:rsidP="001E3C2A">
      <w:pPr>
        <w:pStyle w:val="StandardWeb"/>
      </w:pPr>
      <w:r>
        <w:t>Die Forderung, jede funktionale Operation müsse mit jeder in einer Modellklasse definierten Äquivalenzrelation verträglich sein und deshalb auf jedem Quotientenraum induzierbar sein, ist keine universell notwendige Voraussetzung des allgemeinen FRZK.</w:t>
      </w:r>
    </w:p>
    <w:p w:rsidR="001E3C2A" w:rsidRDefault="001E3C2A" w:rsidP="001E3C2A">
      <w:pPr>
        <w:pStyle w:val="berschrift1"/>
      </w:pPr>
      <w:r>
        <w:t>[</w:t>
      </w:r>
      <w:r>
        <w:br/>
        <w:t>\boxed{</w:t>
      </w:r>
      <w:r>
        <w:br/>
        <w:t>U_{\mathrm{Ax}}</w:t>
      </w:r>
      <w:r>
        <w:br/>
        <w:t>(A_{\mathrm{quot-comp}})</w:t>
      </w:r>
    </w:p>
    <w:p w:rsidR="001E3C2A" w:rsidRDefault="001E3C2A" w:rsidP="009F7790">
      <w:pPr>
        <w:numPr>
          <w:ilvl w:val="0"/>
          <w:numId w:val="699"/>
        </w:numPr>
        <w:spacing w:before="100" w:beforeAutospacing="1" w:after="100" w:afterAutospacing="1"/>
      </w:pPr>
    </w:p>
    <w:p w:rsidR="001E3C2A" w:rsidRDefault="001E3C2A" w:rsidP="001E3C2A">
      <w:pPr>
        <w:pStyle w:val="StandardWeb"/>
      </w:pPr>
      <w:r>
        <w:lastRenderedPageBreak/>
        <w:t>}</w:t>
      </w:r>
      <w:r>
        <w:br/>
        <w:t>\tag{3.13691}</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\boxed{U_{\mathrm{Ax}}(A_{\mathrm{quot-comp}})=0.}</w:t>
      </w:r>
    </w:p>
    <w:p w:rsidR="001E3C2A" w:rsidRDefault="001E3C2A" w:rsidP="001E3C2A">
      <w:r>
        <w:pict>
          <v:rect id="_x0000_i5652" style="width:0;height:1.5pt" o:hralign="center" o:hrstd="t" o:hr="t" fillcolor="#a0a0a0" stroked="f"/>
        </w:pict>
      </w:r>
    </w:p>
    <w:p w:rsidR="001E3C2A" w:rsidRDefault="001E3C2A" w:rsidP="001E3C2A">
      <w:pPr>
        <w:pStyle w:val="berschrift1"/>
      </w:pPr>
      <w:r>
        <w:t>3.3.52.77 Mehrstufige Reduktion</w:t>
      </w:r>
    </w:p>
    <w:p w:rsidR="001E3C2A" w:rsidRDefault="001E3C2A" w:rsidP="001E3C2A">
      <w:pPr>
        <w:pStyle w:val="StandardWeb"/>
      </w:pPr>
      <w:r>
        <w:t>Reduktionsabbildungen können hintereinander angewendet werden:</w:t>
      </w:r>
    </w:p>
    <w:p w:rsidR="001E3C2A" w:rsidRDefault="001E3C2A" w:rsidP="001E3C2A">
      <w:pPr>
        <w:pStyle w:val="StandardWeb"/>
      </w:pPr>
      <w:r>
        <w:t>[</w:t>
      </w:r>
      <w:r>
        <w:br/>
        <w:t>\mathcal X_F</w:t>
      </w:r>
      <w:r>
        <w:br/>
        <w:t>\xrightarrow{R_{F,1}}</w:t>
      </w:r>
      <w:r>
        <w:br/>
        <w:t>\mathcal X_F^{(1)}</w:t>
      </w:r>
      <w:r>
        <w:br/>
        <w:t>\xrightarrow{R_{F,2}}</w:t>
      </w:r>
      <w:r>
        <w:br/>
        <w:t>\mathcal X_F^{(2)}.</w:t>
      </w:r>
      <w:r>
        <w:br/>
        <w:t>\tag{3.13692}</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\mathcal X_F\xrightarrow{R_{F,1}}\mathcal X_F^{(1)}\xrightarrow{R_{F,2}}\mathcal X_F^{(2)}</w:t>
      </w:r>
    </w:p>
    <w:p w:rsidR="001E3C2A" w:rsidRDefault="001E3C2A" w:rsidP="001E3C2A">
      <w:r>
        <w:pict>
          <v:rect id="_x0000_i5653" style="width:0;height:1.5pt" o:hralign="center" o:hrstd="t" o:hr="t" fillcolor="#a0a0a0" stroked="f"/>
        </w:pict>
      </w:r>
    </w:p>
    <w:p w:rsidR="001E3C2A" w:rsidRDefault="001E3C2A" w:rsidP="001E3C2A">
      <w:pPr>
        <w:pStyle w:val="berschrift2"/>
      </w:pPr>
      <w:r>
        <w:t>3.3.52.78 Definition 3.3.596 – Sequenzielle funktionale Reduktion</w:t>
      </w:r>
    </w:p>
    <w:p w:rsidR="001E3C2A" w:rsidRDefault="001E3C2A" w:rsidP="001E3C2A">
      <w:pPr>
        <w:pStyle w:val="berschrift3"/>
      </w:pPr>
      <w:r>
        <w:t>Definition 3.3.596</w:t>
      </w:r>
    </w:p>
    <w:p w:rsidR="001E3C2A" w:rsidRDefault="001E3C2A" w:rsidP="001E3C2A">
      <w:pPr>
        <w:pStyle w:val="StandardWeb"/>
      </w:pPr>
      <w:r>
        <w:t xml:space="preserve">Eine </w:t>
      </w:r>
      <w:r>
        <w:rPr>
          <w:rStyle w:val="Fett"/>
        </w:rPr>
        <w:t>sequenzielle funktionale Reduktion</w:t>
      </w:r>
      <w:r>
        <w:t xml:space="preserve"> ist die Komposition</w:t>
      </w:r>
    </w:p>
    <w:p w:rsidR="001E3C2A" w:rsidRDefault="001E3C2A" w:rsidP="001E3C2A">
      <w:pPr>
        <w:pStyle w:val="berschrift1"/>
      </w:pPr>
      <w:r>
        <w:t>[</w:t>
      </w:r>
      <w:r>
        <w:br/>
        <w:t>\boxed{</w:t>
      </w:r>
      <w:r>
        <w:br/>
        <w:t>R_{F,\mathrm{seq}}</w:t>
      </w:r>
    </w:p>
    <w:p w:rsidR="001E3C2A" w:rsidRDefault="001E3C2A" w:rsidP="001E3C2A">
      <w:pPr>
        <w:pStyle w:val="StandardWeb"/>
      </w:pPr>
      <w:r>
        <w:t>R_{F,n}</w:t>
      </w:r>
      <w:r>
        <w:br/>
        <w:t>\circ</w:t>
      </w:r>
      <w:r>
        <w:br/>
        <w:t>\cdots</w:t>
      </w:r>
      <w:r>
        <w:br/>
        <w:t>\circ</w:t>
      </w:r>
      <w:r>
        <w:br/>
        <w:t>R_{F,2}</w:t>
      </w:r>
      <w:r>
        <w:br/>
        <w:t>\circ</w:t>
      </w:r>
      <w:r>
        <w:br/>
        <w:t>R_{F,1}.</w:t>
      </w:r>
      <w:r>
        <w:br/>
        <w:t>}</w:t>
      </w:r>
      <w:r>
        <w:br/>
      </w:r>
      <w:r>
        <w:lastRenderedPageBreak/>
        <w:t>\tag{3.13693}</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\boxed{R_{F,\mathrm{seq}}=R_{F,n}\circ\cdots\circ R_{F,2}\circ R_{F,1}.}</w:t>
      </w:r>
    </w:p>
    <w:p w:rsidR="001E3C2A" w:rsidRDefault="001E3C2A" w:rsidP="001E3C2A">
      <w:r>
        <w:pict>
          <v:rect id="_x0000_i5654" style="width:0;height:1.5pt" o:hralign="center" o:hrstd="t" o:hr="t" fillcolor="#a0a0a0" stroked="f"/>
        </w:pict>
      </w:r>
    </w:p>
    <w:p w:rsidR="001E3C2A" w:rsidRDefault="001E3C2A" w:rsidP="001E3C2A">
      <w:pPr>
        <w:pStyle w:val="berschrift1"/>
      </w:pPr>
      <w:r>
        <w:t>3.3.52.79 Reihenfolgeabhängige Reduktion</w:t>
      </w:r>
    </w:p>
    <w:p w:rsidR="001E3C2A" w:rsidRDefault="001E3C2A" w:rsidP="001E3C2A">
      <w:pPr>
        <w:pStyle w:val="StandardWeb"/>
      </w:pPr>
      <w:r>
        <w:t>Zwei Reduktionen müssen nicht kommutieren:</w:t>
      </w:r>
    </w:p>
    <w:p w:rsidR="001E3C2A" w:rsidRDefault="001E3C2A" w:rsidP="001E3C2A">
      <w:pPr>
        <w:pStyle w:val="StandardWeb"/>
      </w:pPr>
      <w:r>
        <w:t>[</w:t>
      </w:r>
      <w:r>
        <w:br/>
        <w:t>R_{F,2}</w:t>
      </w:r>
      <w:r>
        <w:br/>
        <w:t>\circ</w:t>
      </w:r>
      <w:r>
        <w:br/>
        <w:t>R_{F,1}</w:t>
      </w:r>
      <w:r>
        <w:br/>
        <w:t>\neq</w:t>
      </w:r>
      <w:r>
        <w:br/>
        <w:t>R_{F,1}</w:t>
      </w:r>
      <w:r>
        <w:br/>
        <w:t>\circ</w:t>
      </w:r>
      <w:r>
        <w:br/>
        <w:t>R_{F,2}.</w:t>
      </w:r>
      <w:r>
        <w:br/>
        <w:t>\tag{3.13694}</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R_{F,2}\circ R_{F,1}\neq R_{F,1}\circ R_{F,2}</w:t>
      </w:r>
    </w:p>
    <w:p w:rsidR="001E3C2A" w:rsidRDefault="001E3C2A" w:rsidP="001E3C2A">
      <w:r>
        <w:pict>
          <v:rect id="_x0000_i5655" style="width:0;height:1.5pt" o:hralign="center" o:hrstd="t" o:hr="t" fillcolor="#a0a0a0" stroked="f"/>
        </w:pict>
      </w:r>
    </w:p>
    <w:p w:rsidR="001E3C2A" w:rsidRDefault="001E3C2A" w:rsidP="001E3C2A">
      <w:pPr>
        <w:pStyle w:val="berschrift2"/>
      </w:pPr>
      <w:r>
        <w:t>3.3.52.80 Definition 3.3.597 – Nichtkommutierende funktionale Reduktionen</w:t>
      </w:r>
    </w:p>
    <w:p w:rsidR="001E3C2A" w:rsidRDefault="001E3C2A" w:rsidP="001E3C2A">
      <w:pPr>
        <w:pStyle w:val="berschrift3"/>
      </w:pPr>
      <w:r>
        <w:t>Definition 3.3.597</w:t>
      </w:r>
    </w:p>
    <w:p w:rsidR="001E3C2A" w:rsidRDefault="001E3C2A" w:rsidP="001E3C2A">
      <w:pPr>
        <w:pStyle w:val="StandardWeb"/>
      </w:pPr>
      <w:r>
        <w:t xml:space="preserve">Zwei funktionale Reduktionsabbildungen heißen </w:t>
      </w:r>
      <w:r>
        <w:rPr>
          <w:rStyle w:val="Fett"/>
        </w:rPr>
        <w:t>nichtkommutierend</w:t>
      </w:r>
      <w:r>
        <w:t>, wenn</w:t>
      </w:r>
    </w:p>
    <w:p w:rsidR="001E3C2A" w:rsidRDefault="001E3C2A" w:rsidP="001E3C2A">
      <w:pPr>
        <w:pStyle w:val="StandardWeb"/>
      </w:pPr>
      <w:r>
        <w:t>[</w:t>
      </w:r>
      <w:r>
        <w:br/>
        <w:t>\boxed{</w:t>
      </w:r>
      <w:r>
        <w:br/>
        <w:t>R_{F,2}</w:t>
      </w:r>
      <w:r>
        <w:br/>
        <w:t>\circ</w:t>
      </w:r>
      <w:r>
        <w:br/>
        <w:t>R_{F,1}</w:t>
      </w:r>
      <w:r>
        <w:br/>
        <w:t>\neq</w:t>
      </w:r>
      <w:r>
        <w:br/>
        <w:t>R_{F,1}</w:t>
      </w:r>
      <w:r>
        <w:br/>
        <w:t>\circ</w:t>
      </w:r>
      <w:r>
        <w:br/>
        <w:t>R_{F,2}.</w:t>
      </w:r>
      <w:r>
        <w:br/>
        <w:t>}</w:t>
      </w:r>
      <w:r>
        <w:br/>
        <w:t>\tag{3.13695}</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lastRenderedPageBreak/>
        <w:t>\boxed{R_{F,2}\circ R_{F,1}\neq R_{F,1}\circ R_{F,2}.}</w:t>
      </w:r>
    </w:p>
    <w:p w:rsidR="001E3C2A" w:rsidRDefault="001E3C2A" w:rsidP="001E3C2A">
      <w:r>
        <w:pict>
          <v:rect id="_x0000_i5656" style="width:0;height:1.5pt" o:hralign="center" o:hrstd="t" o:hr="t" fillcolor="#a0a0a0" stroked="f"/>
        </w:pict>
      </w:r>
    </w:p>
    <w:p w:rsidR="001E3C2A" w:rsidRDefault="001E3C2A" w:rsidP="001E3C2A">
      <w:pPr>
        <w:pStyle w:val="berschrift1"/>
      </w:pPr>
      <w:r>
        <w:t>3.3.52.81 Reduktionskommutativität als Primäraxiomkandidat</w:t>
      </w:r>
    </w:p>
    <w:p w:rsidR="001E3C2A" w:rsidRDefault="001E3C2A" w:rsidP="001E3C2A">
      <w:pPr>
        <w:pStyle w:val="StandardWeb"/>
      </w:pPr>
      <w:r>
        <w:t>Ein möglicher Kandidat lautet</w:t>
      </w:r>
    </w:p>
    <w:p w:rsidR="001E3C2A" w:rsidRDefault="001E3C2A" w:rsidP="001E3C2A">
      <w:pPr>
        <w:pStyle w:val="berschrift1"/>
      </w:pPr>
      <w:r>
        <w:t>[</w:t>
      </w:r>
      <w:r>
        <w:br/>
        <w:t>A_{\mathrm{red-comm}}</w:t>
      </w:r>
      <w:r>
        <w:br/>
        <w:t>:</w:t>
      </w:r>
      <w:r>
        <w:br/>
        <w:t>R_{F,i}</w:t>
      </w:r>
      <w:r>
        <w:br/>
        <w:t>\circ</w:t>
      </w:r>
      <w:r>
        <w:br/>
        <w:t>R_{F,j}</w:t>
      </w:r>
    </w:p>
    <w:p w:rsidR="001E3C2A" w:rsidRDefault="001E3C2A" w:rsidP="001E3C2A">
      <w:pPr>
        <w:pStyle w:val="StandardWeb"/>
      </w:pPr>
      <w:r>
        <w:t>R_{F,j}</w:t>
      </w:r>
      <w:r>
        <w:br/>
        <w:t>\circ</w:t>
      </w:r>
      <w:r>
        <w:br/>
        <w:t>R_{F,i}</w:t>
      </w:r>
      <w:r>
        <w:br/>
        <w:t>\tag{3.13696}</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A_{\mathrm{red-comm}}:R_{F,i}\circ R_{F,j}=R_{F,j}\circ R_{F,i}</w:t>
      </w:r>
    </w:p>
    <w:p w:rsidR="001E3C2A" w:rsidRDefault="001E3C2A" w:rsidP="001E3C2A">
      <w:pPr>
        <w:pStyle w:val="StandardWeb"/>
      </w:pPr>
      <w:r>
        <w:t>für alle Reduktionsabbildungen.</w:t>
      </w:r>
    </w:p>
    <w:p w:rsidR="001E3C2A" w:rsidRDefault="001E3C2A" w:rsidP="001E3C2A">
      <w:r>
        <w:pict>
          <v:rect id="_x0000_i5657" style="width:0;height:1.5pt" o:hralign="center" o:hrstd="t" o:hr="t" fillcolor="#a0a0a0" stroked="f"/>
        </w:pict>
      </w:r>
    </w:p>
    <w:p w:rsidR="001E3C2A" w:rsidRDefault="001E3C2A" w:rsidP="001E3C2A">
      <w:pPr>
        <w:pStyle w:val="berschrift1"/>
      </w:pPr>
      <w:r>
        <w:t>3.3.52.82 Gegenmodell zur Reduktionskommutativität</w:t>
      </w:r>
    </w:p>
    <w:p w:rsidR="001E3C2A" w:rsidRDefault="001E3C2A" w:rsidP="001E3C2A">
      <w:pPr>
        <w:pStyle w:val="StandardWeb"/>
      </w:pPr>
      <w:r>
        <w:t>Zunächst kann ein Merkmal entfernt und anschließend klassifiziert werden:</w:t>
      </w:r>
    </w:p>
    <w:p w:rsidR="001E3C2A" w:rsidRDefault="001E3C2A" w:rsidP="001E3C2A">
      <w:pPr>
        <w:pStyle w:val="StandardWeb"/>
      </w:pPr>
      <w:r>
        <w:t>[</w:t>
      </w:r>
      <w:r>
        <w:br/>
        <w:t>R_{\mathrm{class}}</w:t>
      </w:r>
      <w:r>
        <w:br/>
        <w:t>\circ</w:t>
      </w:r>
      <w:r>
        <w:br/>
        <w:t>R_{\mathrm{remove}}.</w:t>
      </w:r>
      <w:r>
        <w:br/>
        <w:t>\tag{3.13697}</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R_{\mathrm{class}}\circ R_{\mathrm{remove}}</w:t>
      </w:r>
    </w:p>
    <w:p w:rsidR="001E3C2A" w:rsidRDefault="001E3C2A" w:rsidP="001E3C2A">
      <w:pPr>
        <w:pStyle w:val="StandardWeb"/>
      </w:pPr>
      <w:r>
        <w:t>In umgekehrter Reihenfolge</w:t>
      </w:r>
    </w:p>
    <w:p w:rsidR="001E3C2A" w:rsidRDefault="001E3C2A" w:rsidP="001E3C2A">
      <w:pPr>
        <w:pStyle w:val="StandardWeb"/>
      </w:pPr>
      <w:r>
        <w:lastRenderedPageBreak/>
        <w:t>[</w:t>
      </w:r>
      <w:r>
        <w:br/>
        <w:t>R_{\mathrm{remove}}</w:t>
      </w:r>
      <w:r>
        <w:br/>
        <w:t>\circ</w:t>
      </w:r>
      <w:r>
        <w:br/>
        <w:t>R_{\mathrm{class}}</w:t>
      </w:r>
      <w:r>
        <w:br/>
        <w:t>\tag{3.13698}</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R_{\mathrm{remove}}\circ R_{\mathrm{class}}</w:t>
      </w:r>
    </w:p>
    <w:p w:rsidR="001E3C2A" w:rsidRDefault="001E3C2A" w:rsidP="001E3C2A">
      <w:pPr>
        <w:pStyle w:val="StandardWeb"/>
      </w:pPr>
      <w:r>
        <w:t>kann eine andere reduzierte Struktur entstehen.</w:t>
      </w:r>
    </w:p>
    <w:p w:rsidR="001E3C2A" w:rsidRDefault="001E3C2A" w:rsidP="001E3C2A">
      <w:r>
        <w:pict>
          <v:rect id="_x0000_i5658" style="width:0;height:1.5pt" o:hralign="center" o:hrstd="t" o:hr="t" fillcolor="#a0a0a0" stroked="f"/>
        </w:pict>
      </w:r>
    </w:p>
    <w:p w:rsidR="001E3C2A" w:rsidRDefault="001E3C2A" w:rsidP="001E3C2A">
      <w:pPr>
        <w:pStyle w:val="berschrift1"/>
      </w:pPr>
      <w:r>
        <w:t>3.3.52.83 Axiomentscheidung zur Reduktionskommutativität</w:t>
      </w:r>
    </w:p>
    <w:p w:rsidR="001E3C2A" w:rsidRDefault="001E3C2A" w:rsidP="001E3C2A">
      <w:pPr>
        <w:pStyle w:val="StandardWeb"/>
      </w:pPr>
      <w:r>
        <w:t>Daher gilt</w:t>
      </w:r>
    </w:p>
    <w:p w:rsidR="001E3C2A" w:rsidRDefault="001E3C2A" w:rsidP="001E3C2A">
      <w:pPr>
        <w:pStyle w:val="berschrift1"/>
      </w:pPr>
      <w:r>
        <w:t>[</w:t>
      </w:r>
      <w:r>
        <w:br/>
        <w:t>\boxed{</w:t>
      </w:r>
      <w:r>
        <w:br/>
        <w:t>U_{\mathrm{Ax}}</w:t>
      </w:r>
      <w:r>
        <w:br/>
        <w:t>(A_{\mathrm{red-comm}})</w:t>
      </w:r>
    </w:p>
    <w:p w:rsidR="001E3C2A" w:rsidRDefault="001E3C2A" w:rsidP="009F7790">
      <w:pPr>
        <w:numPr>
          <w:ilvl w:val="0"/>
          <w:numId w:val="700"/>
        </w:numPr>
        <w:spacing w:before="100" w:beforeAutospacing="1" w:after="100" w:afterAutospacing="1"/>
      </w:pPr>
    </w:p>
    <w:p w:rsidR="001E3C2A" w:rsidRDefault="001E3C2A" w:rsidP="001E3C2A">
      <w:pPr>
        <w:pStyle w:val="StandardWeb"/>
      </w:pPr>
      <w:r>
        <w:t>}</w:t>
      </w:r>
      <w:r>
        <w:br/>
        <w:t>\tag{3.13699}</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\boxed{U_{\mathrm{Ax}}(A_{\mathrm{red-comm}})=0.}</w:t>
      </w:r>
    </w:p>
    <w:p w:rsidR="001E3C2A" w:rsidRDefault="001E3C2A" w:rsidP="001E3C2A">
      <w:r>
        <w:pict>
          <v:rect id="_x0000_i5659" style="width:0;height:1.5pt" o:hralign="center" o:hrstd="t" o:hr="t" fillcolor="#a0a0a0" stroked="f"/>
        </w:pict>
      </w:r>
    </w:p>
    <w:p w:rsidR="001E3C2A" w:rsidRDefault="001E3C2A" w:rsidP="001E3C2A">
      <w:pPr>
        <w:pStyle w:val="berschrift1"/>
      </w:pPr>
      <w:r>
        <w:t>3.3.52.84 Satz 3.3.234 – Kommutativität von Reduktionsabbildungen ist kein Primäraxiom</w:t>
      </w:r>
    </w:p>
    <w:p w:rsidR="001E3C2A" w:rsidRDefault="001E3C2A" w:rsidP="001E3C2A">
      <w:pPr>
        <w:pStyle w:val="berschrift3"/>
      </w:pPr>
      <w:r>
        <w:t>Satz 3.3.234</w:t>
      </w:r>
    </w:p>
    <w:p w:rsidR="001E3C2A" w:rsidRDefault="001E3C2A" w:rsidP="001E3C2A">
      <w:pPr>
        <w:pStyle w:val="StandardWeb"/>
      </w:pPr>
      <w:r>
        <w:t>Die Forderung, beliebige funktionale Reduktionsabbildungen müssten miteinander kommutieren, ist keine universell notwendige Voraussetzung des allgemeinen FRZK.</w:t>
      </w:r>
    </w:p>
    <w:p w:rsidR="001E3C2A" w:rsidRDefault="001E3C2A" w:rsidP="001E3C2A">
      <w:pPr>
        <w:pStyle w:val="berschrift1"/>
      </w:pPr>
      <w:r>
        <w:lastRenderedPageBreak/>
        <w:t>[</w:t>
      </w:r>
      <w:r>
        <w:br/>
        <w:t>\boxed{</w:t>
      </w:r>
      <w:r>
        <w:br/>
        <w:t>U_{\mathrm{Ax}}</w:t>
      </w:r>
      <w:r>
        <w:br/>
        <w:t>(A_{\mathrm{red-comm}})</w:t>
      </w:r>
    </w:p>
    <w:p w:rsidR="001E3C2A" w:rsidRDefault="001E3C2A" w:rsidP="009F7790">
      <w:pPr>
        <w:numPr>
          <w:ilvl w:val="0"/>
          <w:numId w:val="701"/>
        </w:numPr>
        <w:spacing w:before="100" w:beforeAutospacing="1" w:after="100" w:afterAutospacing="1"/>
      </w:pPr>
    </w:p>
    <w:p w:rsidR="001E3C2A" w:rsidRDefault="001E3C2A" w:rsidP="001E3C2A">
      <w:pPr>
        <w:pStyle w:val="StandardWeb"/>
      </w:pPr>
      <w:r>
        <w:t>}</w:t>
      </w:r>
      <w:r>
        <w:br/>
        <w:t>\tag{3.13700}</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\boxed{U_{\mathrm{Ax}}(A_{\mathrm{red-comm}})=0.}</w:t>
      </w:r>
    </w:p>
    <w:p w:rsidR="001E3C2A" w:rsidRDefault="001E3C2A" w:rsidP="001E3C2A">
      <w:r>
        <w:pict>
          <v:rect id="_x0000_i5660" style="width:0;height:1.5pt" o:hralign="center" o:hrstd="t" o:hr="t" fillcolor="#a0a0a0" stroked="f"/>
        </w:pict>
      </w:r>
    </w:p>
    <w:p w:rsidR="001E3C2A" w:rsidRDefault="001E3C2A" w:rsidP="001E3C2A">
      <w:pPr>
        <w:pStyle w:val="berschrift1"/>
      </w:pPr>
      <w:r>
        <w:t>3.3.52.85 Korollar 3.3.60 – Reduktionsreihenfolge kann strukturell relevant sein</w:t>
      </w:r>
    </w:p>
    <w:p w:rsidR="001E3C2A" w:rsidRDefault="001E3C2A" w:rsidP="001E3C2A">
      <w:pPr>
        <w:pStyle w:val="berschrift3"/>
      </w:pPr>
      <w:r>
        <w:t>Korollar 3.3.60</w:t>
      </w:r>
    </w:p>
    <w:p w:rsidR="001E3C2A" w:rsidRDefault="001E3C2A" w:rsidP="001E3C2A">
      <w:pPr>
        <w:pStyle w:val="StandardWeb"/>
      </w:pPr>
      <w:r>
        <w:t>Aus Satz 3.3.234 folgt</w:t>
      </w:r>
    </w:p>
    <w:p w:rsidR="001E3C2A" w:rsidRDefault="001E3C2A" w:rsidP="001E3C2A">
      <w:pPr>
        <w:pStyle w:val="StandardWeb"/>
      </w:pPr>
      <w:r>
        <w:t>[</w:t>
      </w:r>
      <w:r>
        <w:br/>
        <w:t>\boxed{</w:t>
      </w:r>
      <w:r>
        <w:br/>
        <w:t>R_{F,2}</w:t>
      </w:r>
      <w:r>
        <w:br/>
        <w:t>\circ</w:t>
      </w:r>
      <w:r>
        <w:br/>
        <w:t>R_{F,1}</w:t>
      </w:r>
      <w:r>
        <w:br/>
        <w:t>\not\equiv</w:t>
      </w:r>
      <w:r>
        <w:br/>
        <w:t>R_{F,1}</w:t>
      </w:r>
      <w:r>
        <w:br/>
        <w:t>\circ</w:t>
      </w:r>
      <w:r>
        <w:br/>
        <w:t>R_{F,2}.</w:t>
      </w:r>
      <w:r>
        <w:br/>
        <w:t>}</w:t>
      </w:r>
      <w:r>
        <w:br/>
        <w:t>\tag{3.13701}</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\boxed{R_{F,2}\circ R_{F,1}\not\equiv R_{F,1}\circ R_{F,2}.}</w:t>
      </w:r>
    </w:p>
    <w:p w:rsidR="001E3C2A" w:rsidRDefault="001E3C2A" w:rsidP="001E3C2A">
      <w:r>
        <w:pict>
          <v:rect id="_x0000_i5661" style="width:0;height:1.5pt" o:hralign="center" o:hrstd="t" o:hr="t" fillcolor="#a0a0a0" stroked="f"/>
        </w:pict>
      </w:r>
    </w:p>
    <w:p w:rsidR="001E3C2A" w:rsidRDefault="001E3C2A" w:rsidP="001E3C2A">
      <w:pPr>
        <w:pStyle w:val="berschrift1"/>
      </w:pPr>
      <w:r>
        <w:t>3.3.52.86 Kontextabhängige Projektion</w:t>
      </w:r>
    </w:p>
    <w:p w:rsidR="001E3C2A" w:rsidRDefault="001E3C2A" w:rsidP="001E3C2A">
      <w:pPr>
        <w:pStyle w:val="StandardWeb"/>
      </w:pPr>
      <w:r>
        <w:t>Eine Projektion kann vom Zustand oder Kontext abhängen:</w:t>
      </w:r>
    </w:p>
    <w:p w:rsidR="001E3C2A" w:rsidRDefault="001E3C2A" w:rsidP="001E3C2A">
      <w:pPr>
        <w:pStyle w:val="berschrift1"/>
      </w:pPr>
      <w:r>
        <w:lastRenderedPageBreak/>
        <w:t>[</w:t>
      </w:r>
      <w:r>
        <w:br/>
        <w:t>\Pi_F</w:t>
      </w:r>
    </w:p>
    <w:p w:rsidR="001E3C2A" w:rsidRDefault="001E3C2A" w:rsidP="001E3C2A">
      <w:pPr>
        <w:pStyle w:val="StandardWeb"/>
      </w:pPr>
      <w:r>
        <w:t>\Pi_F(z,c).</w:t>
      </w:r>
      <w:r>
        <w:br/>
        <w:t>\tag{3.13702}</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\Pi_F=\Pi_F(z,c)</w:t>
      </w:r>
    </w:p>
    <w:p w:rsidR="001E3C2A" w:rsidRDefault="001E3C2A" w:rsidP="001E3C2A">
      <w:r>
        <w:pict>
          <v:rect id="_x0000_i5662" style="width:0;height:1.5pt" o:hralign="center" o:hrstd="t" o:hr="t" fillcolor="#a0a0a0" stroked="f"/>
        </w:pict>
      </w:r>
    </w:p>
    <w:p w:rsidR="001E3C2A" w:rsidRDefault="001E3C2A" w:rsidP="001E3C2A">
      <w:pPr>
        <w:pStyle w:val="berschrift2"/>
      </w:pPr>
      <w:r>
        <w:t>3.3.52.87 Definition 3.3.598 – Kontextabhängige funktionale Projektion</w:t>
      </w:r>
    </w:p>
    <w:p w:rsidR="001E3C2A" w:rsidRDefault="001E3C2A" w:rsidP="001E3C2A">
      <w:pPr>
        <w:pStyle w:val="berschrift3"/>
      </w:pPr>
      <w:r>
        <w:t>Definition 3.3.598</w:t>
      </w:r>
    </w:p>
    <w:p w:rsidR="001E3C2A" w:rsidRDefault="001E3C2A" w:rsidP="001E3C2A">
      <w:pPr>
        <w:pStyle w:val="StandardWeb"/>
      </w:pPr>
      <w:r>
        <w:t xml:space="preserve">Eine funktionale Projektion heißt </w:t>
      </w:r>
      <w:r>
        <w:rPr>
          <w:rStyle w:val="Fett"/>
        </w:rPr>
        <w:t>kontextabhängig</w:t>
      </w:r>
      <w:r>
        <w:t>, wenn</w:t>
      </w:r>
    </w:p>
    <w:p w:rsidR="001E3C2A" w:rsidRDefault="001E3C2A" w:rsidP="001E3C2A">
      <w:pPr>
        <w:pStyle w:val="berschrift1"/>
      </w:pPr>
      <w:r>
        <w:t>[</w:t>
      </w:r>
      <w:r>
        <w:br/>
        <w:t>\boxed{</w:t>
      </w:r>
      <w:r>
        <w:br/>
        <w:t>\Pi_F</w:t>
      </w:r>
    </w:p>
    <w:p w:rsidR="001E3C2A" w:rsidRDefault="001E3C2A" w:rsidP="001E3C2A">
      <w:pPr>
        <w:pStyle w:val="StandardWeb"/>
      </w:pPr>
      <w:r>
        <w:t>\Pi_F(z,c).</w:t>
      </w:r>
      <w:r>
        <w:br/>
        <w:t>}</w:t>
      </w:r>
      <w:r>
        <w:br/>
        <w:t>\tag{3.13703}</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\boxed{\Pi_F=\Pi_F(z,c).}</w:t>
      </w:r>
    </w:p>
    <w:p w:rsidR="001E3C2A" w:rsidRDefault="001E3C2A" w:rsidP="001E3C2A">
      <w:r>
        <w:pict>
          <v:rect id="_x0000_i5663" style="width:0;height:1.5pt" o:hralign="center" o:hrstd="t" o:hr="t" fillcolor="#a0a0a0" stroked="f"/>
        </w:pict>
      </w:r>
    </w:p>
    <w:p w:rsidR="001E3C2A" w:rsidRDefault="001E3C2A" w:rsidP="001E3C2A">
      <w:pPr>
        <w:pStyle w:val="berschrift1"/>
      </w:pPr>
      <w:r>
        <w:t>3.3.52.88 Projektionswechsel</w:t>
      </w:r>
    </w:p>
    <w:p w:rsidR="001E3C2A" w:rsidRDefault="001E3C2A" w:rsidP="001E3C2A">
      <w:pPr>
        <w:pStyle w:val="StandardWeb"/>
      </w:pPr>
      <w:r>
        <w:t>Für dasselbe Objekt kann gelten</w:t>
      </w:r>
    </w:p>
    <w:p w:rsidR="001E3C2A" w:rsidRDefault="001E3C2A" w:rsidP="001E3C2A">
      <w:pPr>
        <w:pStyle w:val="StandardWeb"/>
      </w:pPr>
      <w:r>
        <w:t>[</w:t>
      </w:r>
      <w:r>
        <w:br/>
        <w:t>\Pi_F^{(z_1,c_1)}(X)</w:t>
      </w:r>
      <w:r>
        <w:br/>
        <w:t>\neq</w:t>
      </w:r>
      <w:r>
        <w:br/>
        <w:t>\Pi_F^{(z_2,c_2)}(X).</w:t>
      </w:r>
      <w:r>
        <w:br/>
        <w:t>\tag{3.13704}</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lastRenderedPageBreak/>
        <w:t>\Pi_F^{(z_1,c_1)}(X)\neq\Pi_F^{(z_2,c_2)}(X)</w:t>
      </w:r>
    </w:p>
    <w:p w:rsidR="001E3C2A" w:rsidRDefault="001E3C2A" w:rsidP="001E3C2A">
      <w:r>
        <w:pict>
          <v:rect id="_x0000_i5664" style="width:0;height:1.5pt" o:hralign="center" o:hrstd="t" o:hr="t" fillcolor="#a0a0a0" stroked="f"/>
        </w:pict>
      </w:r>
    </w:p>
    <w:p w:rsidR="001E3C2A" w:rsidRDefault="001E3C2A" w:rsidP="001E3C2A">
      <w:pPr>
        <w:pStyle w:val="berschrift2"/>
      </w:pPr>
      <w:r>
        <w:t>3.3.52.89 Definition 3.3.599 – Funktionaler Projektionswechsel</w:t>
      </w:r>
    </w:p>
    <w:p w:rsidR="001E3C2A" w:rsidRDefault="001E3C2A" w:rsidP="001E3C2A">
      <w:pPr>
        <w:pStyle w:val="berschrift3"/>
      </w:pPr>
      <w:r>
        <w:t>Definition 3.3.599</w:t>
      </w:r>
    </w:p>
    <w:p w:rsidR="001E3C2A" w:rsidRDefault="001E3C2A" w:rsidP="001E3C2A">
      <w:pPr>
        <w:pStyle w:val="StandardWeb"/>
      </w:pPr>
      <w:r>
        <w:t xml:space="preserve">Ein </w:t>
      </w:r>
      <w:r>
        <w:rPr>
          <w:rStyle w:val="Fett"/>
        </w:rPr>
        <w:t>funktionaler Projektionswechsel</w:t>
      </w:r>
      <w:r>
        <w:t xml:space="preserve"> liegt vor, wenn dasselbe funktionale Objekt unter zwei zulässigen Zustands- oder Kontextbedingungen unterschiedliche Projektionen besitzt:</w:t>
      </w:r>
    </w:p>
    <w:p w:rsidR="001E3C2A" w:rsidRDefault="001E3C2A" w:rsidP="001E3C2A">
      <w:pPr>
        <w:pStyle w:val="StandardWeb"/>
      </w:pPr>
      <w:r>
        <w:t>[</w:t>
      </w:r>
      <w:r>
        <w:br/>
        <w:t>\boxed{</w:t>
      </w:r>
      <w:r>
        <w:br/>
        <w:t>\Pi_F^{(z_1,c_1)}(X)</w:t>
      </w:r>
      <w:r>
        <w:br/>
        <w:t>\neq</w:t>
      </w:r>
      <w:r>
        <w:br/>
        <w:t>\Pi_F^{(z_2,c_2)}(X).</w:t>
      </w:r>
      <w:r>
        <w:br/>
        <w:t>}</w:t>
      </w:r>
      <w:r>
        <w:br/>
        <w:t>\tag{3.13705}</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\boxed{\Pi_F^{(z_1,c_1)}(X)\neq\Pi_F^{(z_2,c_2)}(X).}</w:t>
      </w:r>
    </w:p>
    <w:p w:rsidR="001E3C2A" w:rsidRDefault="001E3C2A" w:rsidP="001E3C2A">
      <w:r>
        <w:pict>
          <v:rect id="_x0000_i5665" style="width:0;height:1.5pt" o:hralign="center" o:hrstd="t" o:hr="t" fillcolor="#a0a0a0" stroked="f"/>
        </w:pict>
      </w:r>
    </w:p>
    <w:p w:rsidR="001E3C2A" w:rsidRDefault="001E3C2A" w:rsidP="001E3C2A">
      <w:pPr>
        <w:pStyle w:val="berschrift1"/>
      </w:pPr>
      <w:r>
        <w:t>3.3.52.90 Kontextunabhängige Projektion als Primäraxiomkandidat</w:t>
      </w:r>
    </w:p>
    <w:p w:rsidR="001E3C2A" w:rsidRDefault="001E3C2A" w:rsidP="001E3C2A">
      <w:pPr>
        <w:pStyle w:val="StandardWeb"/>
      </w:pPr>
      <w:r>
        <w:t>Ein möglicher Kandidat ist</w:t>
      </w:r>
    </w:p>
    <w:p w:rsidR="001E3C2A" w:rsidRDefault="001E3C2A" w:rsidP="001E3C2A">
      <w:pPr>
        <w:pStyle w:val="berschrift1"/>
      </w:pPr>
      <w:r>
        <w:t>[</w:t>
      </w:r>
      <w:r>
        <w:br/>
        <w:t>A_{\mathrm{proj-stat}}</w:t>
      </w:r>
      <w:r>
        <w:br/>
        <w:t>:</w:t>
      </w:r>
      <w:r>
        <w:br/>
        <w:t>\Pi_F^{(z_1,c_1)}</w:t>
      </w:r>
    </w:p>
    <w:p w:rsidR="001E3C2A" w:rsidRDefault="001E3C2A" w:rsidP="001E3C2A">
      <w:pPr>
        <w:pStyle w:val="StandardWeb"/>
      </w:pPr>
      <w:r>
        <w:t>\Pi_F^{(z_2,c_2)}</w:t>
      </w:r>
      <w:r>
        <w:br/>
        <w:t>\tag{3.13706}</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A_{\mathrm{proj-stat}}:\Pi_F^{(z_1,c_1)}=\Pi_F^{(z_2,c_2)}</w:t>
      </w:r>
    </w:p>
    <w:p w:rsidR="001E3C2A" w:rsidRDefault="001E3C2A" w:rsidP="001E3C2A">
      <w:pPr>
        <w:pStyle w:val="StandardWeb"/>
      </w:pPr>
      <w:r>
        <w:t>für alle zulässigen Zustände und Kontexte.</w:t>
      </w:r>
    </w:p>
    <w:p w:rsidR="001E3C2A" w:rsidRDefault="001E3C2A" w:rsidP="001E3C2A">
      <w:r>
        <w:pict>
          <v:rect id="_x0000_i5666" style="width:0;height:1.5pt" o:hralign="center" o:hrstd="t" o:hr="t" fillcolor="#a0a0a0" stroked="f"/>
        </w:pict>
      </w:r>
    </w:p>
    <w:p w:rsidR="001E3C2A" w:rsidRDefault="001E3C2A" w:rsidP="001E3C2A">
      <w:pPr>
        <w:pStyle w:val="berschrift1"/>
      </w:pPr>
      <w:r>
        <w:lastRenderedPageBreak/>
        <w:t>3.3.52.91 Gegenmodell</w:t>
      </w:r>
    </w:p>
    <w:p w:rsidR="001E3C2A" w:rsidRDefault="001E3C2A" w:rsidP="001E3C2A">
      <w:pPr>
        <w:pStyle w:val="StandardWeb"/>
      </w:pPr>
      <w:r>
        <w:t>Eine Sichtabbildung kann ausdrücklich kontextabhängig definiert sein:</w:t>
      </w:r>
    </w:p>
    <w:p w:rsidR="001E3C2A" w:rsidRDefault="001E3C2A" w:rsidP="001E3C2A">
      <w:pPr>
        <w:pStyle w:val="berschrift1"/>
      </w:pPr>
      <w:r>
        <w:t>[</w:t>
      </w:r>
      <w:r>
        <w:br/>
        <w:t>\Pi_F</w:t>
      </w:r>
    </w:p>
    <w:p w:rsidR="001E3C2A" w:rsidRDefault="001E3C2A" w:rsidP="001E3C2A">
      <w:pPr>
        <w:pStyle w:val="StandardWeb"/>
      </w:pPr>
      <w:r>
        <w:t>\Pi_F(c).</w:t>
      </w:r>
      <w:r>
        <w:br/>
        <w:t>\tag{3.13707}</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\Pi_F=\Pi_F(c)</w:t>
      </w:r>
    </w:p>
    <w:p w:rsidR="001E3C2A" w:rsidRDefault="001E3C2A" w:rsidP="001E3C2A">
      <w:pPr>
        <w:pStyle w:val="StandardWeb"/>
      </w:pPr>
      <w:r>
        <w:t>Dann kann ein Kontextwechsel eine andere Repräsentation desselben Objekts erzeugen.</w:t>
      </w:r>
    </w:p>
    <w:p w:rsidR="001E3C2A" w:rsidRDefault="001E3C2A" w:rsidP="001E3C2A">
      <w:r>
        <w:pict>
          <v:rect id="_x0000_i5667" style="width:0;height:1.5pt" o:hralign="center" o:hrstd="t" o:hr="t" fillcolor="#a0a0a0" stroked="f"/>
        </w:pict>
      </w:r>
    </w:p>
    <w:p w:rsidR="001E3C2A" w:rsidRDefault="001E3C2A" w:rsidP="001E3C2A">
      <w:pPr>
        <w:pStyle w:val="berschrift1"/>
      </w:pPr>
      <w:r>
        <w:t>3.3.52.92 Axiomentscheidung zur Projektionsinvarianz</w:t>
      </w:r>
    </w:p>
    <w:p w:rsidR="001E3C2A" w:rsidRDefault="001E3C2A" w:rsidP="001E3C2A">
      <w:pPr>
        <w:pStyle w:val="StandardWeb"/>
      </w:pPr>
      <w:r>
        <w:t>Damit gilt</w:t>
      </w:r>
    </w:p>
    <w:p w:rsidR="001E3C2A" w:rsidRDefault="001E3C2A" w:rsidP="001E3C2A">
      <w:pPr>
        <w:pStyle w:val="berschrift1"/>
      </w:pPr>
      <w:r>
        <w:t>[</w:t>
      </w:r>
      <w:r>
        <w:br/>
        <w:t>\boxed{</w:t>
      </w:r>
      <w:r>
        <w:br/>
        <w:t>U_{\mathrm{Ax}}</w:t>
      </w:r>
      <w:r>
        <w:br/>
        <w:t>(A_{\mathrm{proj-stat}})</w:t>
      </w:r>
    </w:p>
    <w:p w:rsidR="001E3C2A" w:rsidRDefault="001E3C2A" w:rsidP="009F7790">
      <w:pPr>
        <w:numPr>
          <w:ilvl w:val="0"/>
          <w:numId w:val="702"/>
        </w:numPr>
        <w:spacing w:before="100" w:beforeAutospacing="1" w:after="100" w:afterAutospacing="1"/>
      </w:pPr>
    </w:p>
    <w:p w:rsidR="001E3C2A" w:rsidRDefault="001E3C2A" w:rsidP="001E3C2A">
      <w:pPr>
        <w:pStyle w:val="StandardWeb"/>
      </w:pPr>
      <w:r>
        <w:t>}</w:t>
      </w:r>
      <w:r>
        <w:br/>
        <w:t>\tag{3.13708}</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\boxed{U_{\mathrm{Ax}}(A_{\mathrm{proj-stat}})=0.}</w:t>
      </w:r>
    </w:p>
    <w:p w:rsidR="001E3C2A" w:rsidRDefault="001E3C2A" w:rsidP="001E3C2A">
      <w:r>
        <w:pict>
          <v:rect id="_x0000_i5668" style="width:0;height:1.5pt" o:hralign="center" o:hrstd="t" o:hr="t" fillcolor="#a0a0a0" stroked="f"/>
        </w:pict>
      </w:r>
    </w:p>
    <w:p w:rsidR="001E3C2A" w:rsidRDefault="001E3C2A" w:rsidP="001E3C2A">
      <w:pPr>
        <w:pStyle w:val="berschrift1"/>
      </w:pPr>
      <w:r>
        <w:t>3.3.52.93 Satz 3.3.235 – Kontextunabhängigkeit funktionaler Projektionen ist kein Primäraxiom</w:t>
      </w:r>
    </w:p>
    <w:p w:rsidR="001E3C2A" w:rsidRDefault="001E3C2A" w:rsidP="001E3C2A">
      <w:pPr>
        <w:pStyle w:val="berschrift3"/>
      </w:pPr>
      <w:r>
        <w:t>Satz 3.3.235</w:t>
      </w:r>
    </w:p>
    <w:p w:rsidR="001E3C2A" w:rsidRDefault="001E3C2A" w:rsidP="001E3C2A">
      <w:pPr>
        <w:pStyle w:val="StandardWeb"/>
      </w:pPr>
      <w:r>
        <w:lastRenderedPageBreak/>
        <w:t>Die Forderung, eine funktionale Projektion müsse für dasselbe Objekt unabhängig von Zustand und Kontext stets dieselbe Repräsentation liefern, ist keine universell notwendige Voraussetzung des allgemeinen FRZK.</w:t>
      </w:r>
    </w:p>
    <w:p w:rsidR="001E3C2A" w:rsidRDefault="001E3C2A" w:rsidP="001E3C2A">
      <w:pPr>
        <w:pStyle w:val="berschrift1"/>
      </w:pPr>
      <w:r>
        <w:t>[</w:t>
      </w:r>
      <w:r>
        <w:br/>
        <w:t>\boxed{</w:t>
      </w:r>
      <w:r>
        <w:br/>
        <w:t>U_{\mathrm{Ax}}</w:t>
      </w:r>
      <w:r>
        <w:br/>
        <w:t>(A_{\mathrm{proj-stat}})</w:t>
      </w:r>
    </w:p>
    <w:p w:rsidR="001E3C2A" w:rsidRDefault="001E3C2A" w:rsidP="009F7790">
      <w:pPr>
        <w:numPr>
          <w:ilvl w:val="0"/>
          <w:numId w:val="703"/>
        </w:numPr>
        <w:spacing w:before="100" w:beforeAutospacing="1" w:after="100" w:afterAutospacing="1"/>
      </w:pPr>
    </w:p>
    <w:p w:rsidR="001E3C2A" w:rsidRDefault="001E3C2A" w:rsidP="001E3C2A">
      <w:pPr>
        <w:pStyle w:val="StandardWeb"/>
      </w:pPr>
      <w:r>
        <w:t>}</w:t>
      </w:r>
      <w:r>
        <w:br/>
        <w:t>\tag{3.13709}</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\boxed{U_{\mathrm{Ax}}(A_{\mathrm{proj-stat}})=0.}</w:t>
      </w:r>
    </w:p>
    <w:p w:rsidR="001E3C2A" w:rsidRDefault="001E3C2A" w:rsidP="001E3C2A">
      <w:r>
        <w:pict>
          <v:rect id="_x0000_i5669" style="width:0;height:1.5pt" o:hralign="center" o:hrstd="t" o:hr="t" fillcolor="#a0a0a0" stroked="f"/>
        </w:pict>
      </w:r>
    </w:p>
    <w:p w:rsidR="001E3C2A" w:rsidRDefault="001E3C2A" w:rsidP="001E3C2A">
      <w:pPr>
        <w:pStyle w:val="berschrift1"/>
      </w:pPr>
      <w:r>
        <w:t>3.3.52.94 Kontextabhängige Reduktion</w:t>
      </w:r>
    </w:p>
    <w:p w:rsidR="001E3C2A" w:rsidRDefault="001E3C2A" w:rsidP="001E3C2A">
      <w:pPr>
        <w:pStyle w:val="StandardWeb"/>
      </w:pPr>
      <w:r>
        <w:t>Analog kann gelten</w:t>
      </w:r>
    </w:p>
    <w:p w:rsidR="001E3C2A" w:rsidRDefault="001E3C2A" w:rsidP="001E3C2A">
      <w:pPr>
        <w:pStyle w:val="berschrift1"/>
      </w:pPr>
      <w:r>
        <w:t>[</w:t>
      </w:r>
      <w:r>
        <w:br/>
        <w:t>R_F</w:t>
      </w:r>
    </w:p>
    <w:p w:rsidR="001E3C2A" w:rsidRDefault="001E3C2A" w:rsidP="001E3C2A">
      <w:pPr>
        <w:pStyle w:val="StandardWeb"/>
      </w:pPr>
      <w:r>
        <w:t>R_F(z,c).</w:t>
      </w:r>
      <w:r>
        <w:br/>
        <w:t>\tag{3.13710}</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R_F=R_F(z,c)</w:t>
      </w:r>
    </w:p>
    <w:p w:rsidR="001E3C2A" w:rsidRDefault="001E3C2A" w:rsidP="001E3C2A">
      <w:r>
        <w:pict>
          <v:rect id="_x0000_i5670" style="width:0;height:1.5pt" o:hralign="center" o:hrstd="t" o:hr="t" fillcolor="#a0a0a0" stroked="f"/>
        </w:pict>
      </w:r>
    </w:p>
    <w:p w:rsidR="001E3C2A" w:rsidRDefault="001E3C2A" w:rsidP="001E3C2A">
      <w:pPr>
        <w:pStyle w:val="berschrift2"/>
      </w:pPr>
      <w:r>
        <w:t>3.3.52.95 Definition 3.3.600 – Kontextabhängige funktionale Reduktion</w:t>
      </w:r>
    </w:p>
    <w:p w:rsidR="001E3C2A" w:rsidRDefault="001E3C2A" w:rsidP="001E3C2A">
      <w:pPr>
        <w:pStyle w:val="berschrift3"/>
      </w:pPr>
      <w:r>
        <w:t>Definition 3.3.600</w:t>
      </w:r>
    </w:p>
    <w:p w:rsidR="001E3C2A" w:rsidRDefault="001E3C2A" w:rsidP="001E3C2A">
      <w:pPr>
        <w:pStyle w:val="StandardWeb"/>
      </w:pPr>
      <w:r>
        <w:t xml:space="preserve">Eine funktionale Reduktion heißt </w:t>
      </w:r>
      <w:r>
        <w:rPr>
          <w:rStyle w:val="Fett"/>
        </w:rPr>
        <w:t>kontextabhängig</w:t>
      </w:r>
      <w:r>
        <w:t>, wenn</w:t>
      </w:r>
    </w:p>
    <w:p w:rsidR="001E3C2A" w:rsidRDefault="001E3C2A" w:rsidP="001E3C2A">
      <w:pPr>
        <w:pStyle w:val="berschrift1"/>
      </w:pPr>
      <w:r>
        <w:lastRenderedPageBreak/>
        <w:t>[</w:t>
      </w:r>
      <w:r>
        <w:br/>
        <w:t>\boxed{</w:t>
      </w:r>
      <w:r>
        <w:br/>
        <w:t>R_F</w:t>
      </w:r>
    </w:p>
    <w:p w:rsidR="001E3C2A" w:rsidRDefault="001E3C2A" w:rsidP="001E3C2A">
      <w:pPr>
        <w:pStyle w:val="StandardWeb"/>
      </w:pPr>
      <w:r>
        <w:t>R_F(z,c).</w:t>
      </w:r>
      <w:r>
        <w:br/>
        <w:t>}</w:t>
      </w:r>
      <w:r>
        <w:br/>
        <w:t>\tag{3.13711}</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\boxed{R_F=R_F(z,c).}</w:t>
      </w:r>
    </w:p>
    <w:p w:rsidR="001E3C2A" w:rsidRDefault="001E3C2A" w:rsidP="001E3C2A">
      <w:r>
        <w:pict>
          <v:rect id="_x0000_i5671" style="width:0;height:1.5pt" o:hralign="center" o:hrstd="t" o:hr="t" fillcolor="#a0a0a0" stroked="f"/>
        </w:pict>
      </w:r>
    </w:p>
    <w:p w:rsidR="001E3C2A" w:rsidRDefault="001E3C2A" w:rsidP="001E3C2A">
      <w:pPr>
        <w:pStyle w:val="berschrift1"/>
      </w:pPr>
      <w:r>
        <w:t>3.3.52.96 Reduktionswechsel</w:t>
      </w:r>
    </w:p>
    <w:p w:rsidR="001E3C2A" w:rsidRDefault="001E3C2A" w:rsidP="001E3C2A">
      <w:pPr>
        <w:pStyle w:val="StandardWeb"/>
      </w:pPr>
      <w:r>
        <w:t>Für ein Objekt (X) kann gelten</w:t>
      </w:r>
    </w:p>
    <w:p w:rsidR="001E3C2A" w:rsidRDefault="001E3C2A" w:rsidP="001E3C2A">
      <w:pPr>
        <w:pStyle w:val="StandardWeb"/>
      </w:pPr>
      <w:r>
        <w:t>[</w:t>
      </w:r>
      <w:r>
        <w:br/>
        <w:t>R_F^{(z_1,c_1)}(X)</w:t>
      </w:r>
      <w:r>
        <w:br/>
        <w:t>\neq</w:t>
      </w:r>
      <w:r>
        <w:br/>
        <w:t>R_F^{(z_2,c_2)}(X).</w:t>
      </w:r>
      <w:r>
        <w:br/>
        <w:t>\tag{3.13712}</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R_F^{(z_1,c_1)}(X)\neq R_F^{(z_2,c_2)}(X)</w:t>
      </w:r>
    </w:p>
    <w:p w:rsidR="001E3C2A" w:rsidRDefault="001E3C2A" w:rsidP="001E3C2A">
      <w:r>
        <w:pict>
          <v:rect id="_x0000_i5672" style="width:0;height:1.5pt" o:hralign="center" o:hrstd="t" o:hr="t" fillcolor="#a0a0a0" stroked="f"/>
        </w:pict>
      </w:r>
    </w:p>
    <w:p w:rsidR="001E3C2A" w:rsidRDefault="001E3C2A" w:rsidP="001E3C2A">
      <w:pPr>
        <w:pStyle w:val="berschrift2"/>
      </w:pPr>
      <w:r>
        <w:t>3.3.52.97 Definition 3.3.601 – Funktionaler Reduktionswechsel</w:t>
      </w:r>
    </w:p>
    <w:p w:rsidR="001E3C2A" w:rsidRDefault="001E3C2A" w:rsidP="001E3C2A">
      <w:pPr>
        <w:pStyle w:val="berschrift3"/>
      </w:pPr>
      <w:r>
        <w:t>Definition 3.3.601</w:t>
      </w:r>
    </w:p>
    <w:p w:rsidR="001E3C2A" w:rsidRDefault="001E3C2A" w:rsidP="001E3C2A">
      <w:pPr>
        <w:pStyle w:val="StandardWeb"/>
      </w:pPr>
      <w:r>
        <w:t xml:space="preserve">Ein </w:t>
      </w:r>
      <w:r>
        <w:rPr>
          <w:rStyle w:val="Fett"/>
        </w:rPr>
        <w:t>funktionaler Reduktionswechsel</w:t>
      </w:r>
      <w:r>
        <w:t xml:space="preserve"> liegt vor, wenn</w:t>
      </w:r>
    </w:p>
    <w:p w:rsidR="001E3C2A" w:rsidRDefault="001E3C2A" w:rsidP="001E3C2A">
      <w:pPr>
        <w:pStyle w:val="StandardWeb"/>
      </w:pPr>
      <w:r>
        <w:t>[</w:t>
      </w:r>
      <w:r>
        <w:br/>
        <w:t>\boxed{</w:t>
      </w:r>
      <w:r>
        <w:br/>
        <w:t>R_F^{(z_1,c_1)}(X)</w:t>
      </w:r>
      <w:r>
        <w:br/>
        <w:t>\neq</w:t>
      </w:r>
      <w:r>
        <w:br/>
        <w:t>R_F^{(z_2,c_2)}(X).</w:t>
      </w:r>
      <w:r>
        <w:br/>
        <w:t>}</w:t>
      </w:r>
      <w:r>
        <w:br/>
        <w:t>\tag{3.13713}</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lastRenderedPageBreak/>
        <w:t>\boxed{R_F^{(z_1,c_1)}(X)\neq R_F^{(z_2,c_2)}(X).}</w:t>
      </w:r>
    </w:p>
    <w:p w:rsidR="001E3C2A" w:rsidRDefault="001E3C2A" w:rsidP="001E3C2A">
      <w:r>
        <w:pict>
          <v:rect id="_x0000_i5673" style="width:0;height:1.5pt" o:hralign="center" o:hrstd="t" o:hr="t" fillcolor="#a0a0a0" stroked="f"/>
        </w:pict>
      </w:r>
    </w:p>
    <w:p w:rsidR="001E3C2A" w:rsidRDefault="001E3C2A" w:rsidP="001E3C2A">
      <w:pPr>
        <w:pStyle w:val="berschrift1"/>
      </w:pPr>
      <w:r>
        <w:t>3.3.52.98 Zwischenstand der Projektions- und Reduktionsarchitektur</w:t>
      </w:r>
    </w:p>
    <w:p w:rsidR="001E3C2A" w:rsidRDefault="001E3C2A" w:rsidP="001E3C2A">
      <w:pPr>
        <w:pStyle w:val="StandardWeb"/>
      </w:pPr>
      <w:r>
        <w:t>Ich fasse die bislang eingeführten Strukturen zusammen als</w:t>
      </w:r>
    </w:p>
    <w:p w:rsidR="001E3C2A" w:rsidRDefault="001E3C2A" w:rsidP="001E3C2A">
      <w:pPr>
        <w:pStyle w:val="berschrift1"/>
      </w:pPr>
      <w:r>
        <w:t>[</w:t>
      </w:r>
      <w:r>
        <w:br/>
        <w:t>\mathfrak E_{\mathrm{red}}^{(1)}</w:t>
      </w:r>
    </w:p>
    <w:p w:rsidR="001E3C2A" w:rsidRDefault="001E3C2A" w:rsidP="001E3C2A">
      <w:pPr>
        <w:pStyle w:val="StandardWeb"/>
      </w:pPr>
      <w:r>
        <w:t>\left(</w:t>
      </w:r>
      <w:r>
        <w:br/>
        <w:t>\Pi_F,</w:t>
      </w:r>
      <w:r>
        <w:br/>
        <w:t>\operatorname{Fix}(\Pi_F),</w:t>
      </w:r>
      <w:r>
        <w:br/>
        <w:t>F|_{\mathcal X_F'},</w:t>
      </w:r>
      <w:r>
        <w:br/>
        <w:t>R_F,</w:t>
      </w:r>
      <w:r>
        <w:br/>
        <w:t>S_F,</w:t>
      </w:r>
      <w:r>
        <w:br/>
        <w:t>\sim_F,</w:t>
      </w:r>
      <w:r>
        <w:br/>
        <w:t>[X]</w:t>
      </w:r>
      <w:r>
        <w:rPr>
          <w:rStyle w:val="Hervorhebung"/>
        </w:rPr>
        <w:t>F,</w:t>
      </w:r>
      <w:r>
        <w:rPr>
          <w:i/>
          <w:iCs/>
        </w:rPr>
        <w:br/>
      </w:r>
      <w:r>
        <w:rPr>
          <w:rStyle w:val="Hervorhebung"/>
        </w:rPr>
        <w:t>q_F,</w:t>
      </w:r>
      <w:r>
        <w:rPr>
          <w:i/>
          <w:iCs/>
        </w:rPr>
        <w:br/>
      </w:r>
      <w:r>
        <w:rPr>
          <w:rStyle w:val="Hervorhebung"/>
        </w:rPr>
        <w:t>\circ</w:t>
      </w:r>
      <w:r>
        <w:t>{F/{\sim}}</w:t>
      </w:r>
      <w:r>
        <w:br/>
        <w:t>\right).</w:t>
      </w:r>
      <w:r>
        <w:br/>
        <w:t>\tag{3.13714}</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\mathfrak E_{\mathrm{red}}^{(1)}=\left(\Pi_F,\operatorname{Fix}(\Pi_F),F|_{\mathcal X_F'},R_F,S_F,\sim_F,[X]_F,q_F,\circ_{F/{\sim}}\right)</w:t>
      </w:r>
    </w:p>
    <w:p w:rsidR="001E3C2A" w:rsidRDefault="001E3C2A" w:rsidP="001E3C2A">
      <w:r>
        <w:pict>
          <v:rect id="_x0000_i5674" style="width:0;height:1.5pt" o:hralign="center" o:hrstd="t" o:hr="t" fillcolor="#a0a0a0" stroked="f"/>
        </w:pict>
      </w:r>
    </w:p>
    <w:p w:rsidR="001E3C2A" w:rsidRDefault="001E3C2A" w:rsidP="001E3C2A">
      <w:pPr>
        <w:pStyle w:val="berschrift1"/>
      </w:pPr>
      <w:r>
        <w:t>3.3.52.99 Primäraxiomkandidatenmenge</w:t>
      </w:r>
    </w:p>
    <w:p w:rsidR="001E3C2A" w:rsidRDefault="001E3C2A" w:rsidP="001E3C2A">
      <w:pPr>
        <w:pStyle w:val="StandardWeb"/>
      </w:pPr>
      <w:r>
        <w:t>Die bislang geprüften Kandidaten lauten</w:t>
      </w:r>
    </w:p>
    <w:p w:rsidR="001E3C2A" w:rsidRDefault="001E3C2A" w:rsidP="001E3C2A">
      <w:pPr>
        <w:pStyle w:val="berschrift1"/>
      </w:pPr>
      <w:r>
        <w:t>[</w:t>
      </w:r>
      <w:r>
        <w:br/>
        <w:t>\mathcal A_{\mathrm{red}}^{\mathrm{cand},1}</w:t>
      </w:r>
    </w:p>
    <w:p w:rsidR="001E3C2A" w:rsidRDefault="001E3C2A" w:rsidP="001E3C2A">
      <w:pPr>
        <w:pStyle w:val="StandardWeb"/>
      </w:pPr>
      <w:r>
        <w:t>{</w:t>
      </w:r>
      <w:r>
        <w:br/>
        <w:t>A_{\mathrm{proj-idem}},</w:t>
      </w:r>
      <w:r>
        <w:br/>
        <w:t>A_{\mathrm{proj-surj}},</w:t>
      </w:r>
      <w:r>
        <w:br/>
        <w:t>A_{\mathrm{restr-inv}},</w:t>
      </w:r>
      <w:r>
        <w:br/>
        <w:t>A_{\mathrm{red-inj}},</w:t>
      </w:r>
      <w:r>
        <w:br/>
        <w:t>A_{\mathrm{red-rec}},</w:t>
      </w:r>
      <w:r>
        <w:br/>
        <w:t>A_{\mathrm{quot-ex}},</w:t>
      </w:r>
      <w:r>
        <w:br/>
        <w:t>A_{\mathrm{quot-comp}},</w:t>
      </w:r>
      <w:r>
        <w:br/>
      </w:r>
      <w:r>
        <w:lastRenderedPageBreak/>
        <w:t>A_{\mathrm{red-comm}},</w:t>
      </w:r>
      <w:r>
        <w:br/>
        <w:t>A_{\mathrm{proj-stat}}</w:t>
      </w:r>
      <w:r>
        <w:br/>
        <w:t>}.</w:t>
      </w:r>
      <w:r>
        <w:br/>
        <w:t>\tag{3.13715}</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\mathcal A_{\mathrm{red}}^{\mathrm{cand},1}=\{A_{\mathrm{proj-idem}},A_{\mathrm{proj-surj}},A_{\mathrm{restr-inv}},A_{\mathrm{red-inj}},A_{\mathrm{red-rec}},A_{\mathrm{quot-ex}},A_{\mathrm{quot-comp}},A_{\mathrm{red-comm}},A_{\mathrm{proj-stat}}\}</w:t>
      </w:r>
    </w:p>
    <w:p w:rsidR="001E3C2A" w:rsidRDefault="001E3C2A" w:rsidP="001E3C2A">
      <w:pPr>
        <w:pStyle w:val="StandardWeb"/>
      </w:pPr>
      <w:r>
        <w:t>Für sämtliche bislang geprüften Kandidaten gilt</w:t>
      </w:r>
    </w:p>
    <w:p w:rsidR="001E3C2A" w:rsidRDefault="001E3C2A" w:rsidP="001E3C2A">
      <w:pPr>
        <w:pStyle w:val="berschrift1"/>
      </w:pPr>
      <w:r>
        <w:t>[</w:t>
      </w:r>
      <w:r>
        <w:br/>
        <w:t>\boxed{</w:t>
      </w:r>
      <w:r>
        <w:br/>
        <w:t>U_{\mathrm{Ax}}(A)</w:t>
      </w:r>
    </w:p>
    <w:p w:rsidR="001E3C2A" w:rsidRDefault="001E3C2A" w:rsidP="001E3C2A">
      <w:pPr>
        <w:pStyle w:val="StandardWeb"/>
      </w:pPr>
      <w:r>
        <w:t>0</w:t>
      </w:r>
      <w:r>
        <w:br/>
        <w:t>\qquad</w:t>
      </w:r>
      <w:r>
        <w:br/>
        <w:t>\forall</w:t>
      </w:r>
      <w:r>
        <w:br/>
        <w:t>A</w:t>
      </w:r>
      <w:r>
        <w:br/>
        <w:t>\in</w:t>
      </w:r>
      <w:r>
        <w:br/>
        <w:t>\mathcal A_{\mathrm{red}}^{\mathrm{cand},1}.</w:t>
      </w:r>
      <w:r>
        <w:br/>
        <w:t>}</w:t>
      </w:r>
      <w:r>
        <w:br/>
        <w:t>\tag{3.13716}</w:t>
      </w:r>
      <w:r>
        <w:br/>
        <w:t>]</w:t>
      </w:r>
    </w:p>
    <w:p w:rsidR="001E3C2A" w:rsidRDefault="001E3C2A" w:rsidP="001E3C2A">
      <w:pPr>
        <w:pStyle w:val="StandardWeb"/>
      </w:pPr>
      <w:r>
        <w:rPr>
          <w:rStyle w:val="Fett"/>
        </w:rPr>
        <w:t>Word-LaTeX</w:t>
      </w:r>
    </w:p>
    <w:p w:rsidR="001E3C2A" w:rsidRDefault="001E3C2A" w:rsidP="001E3C2A">
      <w:pPr>
        <w:pStyle w:val="HTMLVorformatiert"/>
        <w:rPr>
          <w:rStyle w:val="HTMLCode"/>
        </w:rPr>
      </w:pPr>
      <w:r>
        <w:rPr>
          <w:rStyle w:val="HTMLCode"/>
        </w:rPr>
        <w:t>\boxed{U_{\mathrm{Ax}}(A)=0\qquad\forall A\in\mathcal A_{\mathrm{red}}^{\mathrm{cand},1}.}</w:t>
      </w:r>
    </w:p>
    <w:p w:rsidR="001E3C2A" w:rsidRDefault="001E3C2A" w:rsidP="001E3C2A">
      <w:pPr>
        <w:pStyle w:val="StandardWeb"/>
      </w:pPr>
      <w:r>
        <w:t xml:space="preserve">Abschnitt </w:t>
      </w:r>
      <w:r>
        <w:rPr>
          <w:rStyle w:val="Fett"/>
        </w:rPr>
        <w:t>3.3.52 ist damit noch nicht abgeschlossen</w:t>
      </w:r>
      <w:r>
        <w:t xml:space="preserve">. Im nächsten Block untersuche ich </w:t>
      </w:r>
      <w:r>
        <w:rPr>
          <w:rStyle w:val="Fett"/>
        </w:rPr>
        <w:t>Reduktion über Übergänge, Dynamikerhaltung, approximative Reduktion, Fehler- und Distanzbegriffe, minimale beziehungsweise maximale Reduktion, Hierarchien von Quotientenräumen und schließlich die stärkste Minimalitätsfrage, ob Projektion, Restriktion, Reduktion oder Quotientierung überhaupt Bestandteil eines minimalen FRZK sein müssen</w:t>
      </w:r>
      <w:r>
        <w:t>.</w:t>
      </w:r>
    </w:p>
    <w:p w:rsidR="001E3C2A" w:rsidRDefault="001E3C2A" w:rsidP="001E3C2A">
      <w:pPr>
        <w:pStyle w:val="StandardWeb"/>
      </w:pPr>
      <w:r>
        <w:t xml:space="preserve">Der nächste Startpunkt ist </w:t>
      </w:r>
      <w:r>
        <w:rPr>
          <w:rStyle w:val="Fett"/>
        </w:rPr>
        <w:t>3.3.52.100 / Gleichung (3.13717)</w:t>
      </w:r>
      <w:r>
        <w:t xml:space="preserve">, nächste Definition </w:t>
      </w:r>
      <w:r>
        <w:rPr>
          <w:rStyle w:val="Fett"/>
        </w:rPr>
        <w:t>3.3.602</w:t>
      </w:r>
      <w:r>
        <w:t xml:space="preserve">, nächster Satz </w:t>
      </w:r>
      <w:r>
        <w:rPr>
          <w:rStyle w:val="Fett"/>
        </w:rPr>
        <w:t>3.3.236</w:t>
      </w:r>
      <w:r>
        <w:t xml:space="preserve">, nächstes Korollar </w:t>
      </w:r>
      <w:r>
        <w:rPr>
          <w:rStyle w:val="Fett"/>
        </w:rPr>
        <w:t>3.3.61</w:t>
      </w:r>
      <w:r>
        <w:t>.</w:t>
      </w:r>
    </w:p>
    <w:p w:rsidR="00EE70E6" w:rsidRDefault="00EE70E6" w:rsidP="00EE70E6">
      <w:pPr>
        <w:pStyle w:val="berschrift1"/>
        <w:rPr>
          <w:rFonts w:cs="Times New Roman"/>
          <w:sz w:val="48"/>
          <w:szCs w:val="48"/>
        </w:rPr>
      </w:pPr>
      <w:r>
        <w:t>3.3.52.100 Reduktion über funktionale Übergänge</w:t>
      </w:r>
    </w:p>
    <w:p w:rsidR="00EE70E6" w:rsidRDefault="00EE70E6" w:rsidP="00EE70E6">
      <w:pPr>
        <w:pStyle w:val="StandardWeb"/>
      </w:pPr>
      <w:r>
        <w:t xml:space="preserve">Nach der Untersuchung statischer Projektions-, Restriktions-, Reduktions- und Quotientenstrukturen betrachte ich nun deren Verhältnis zu funktionalen Übergängen. Entscheidend ist dabei, ob eine Reduktion mit der Dynamik eines Modells verträglich sein </w:t>
      </w:r>
      <w:r>
        <w:lastRenderedPageBreak/>
        <w:t>muss oder ob reduzierte und nichtreduzierte Zustandsentwicklungen voneinander abweichen dürfen.</w:t>
      </w:r>
    </w:p>
    <w:p w:rsidR="00EE70E6" w:rsidRDefault="00EE70E6" w:rsidP="00EE70E6">
      <w:pPr>
        <w:pStyle w:val="StandardWeb"/>
      </w:pPr>
      <w:r>
        <w:t>Sei eine funktionale Übergangsabbildung</w:t>
      </w:r>
    </w:p>
    <w:p w:rsidR="00EE70E6" w:rsidRDefault="00EE70E6" w:rsidP="00EE70E6">
      <w:pPr>
        <w:pStyle w:val="StandardWeb"/>
      </w:pPr>
      <w:r>
        <w:t>[</w:t>
      </w:r>
      <w:r>
        <w:br/>
        <w:t>T_F</w:t>
      </w:r>
      <w:r>
        <w:br/>
        <w:t>:</w:t>
      </w:r>
      <w:r>
        <w:br/>
        <w:t>\mathcal X_F</w:t>
      </w:r>
      <w:r>
        <w:br/>
        <w:t>\rightarrow</w:t>
      </w:r>
      <w:r>
        <w:br/>
        <w:t>\mathcal X_F</w:t>
      </w:r>
      <w:r>
        <w:br/>
        <w:t>\tag{3.13717}</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T_F:\mathcal X_F\rightarrow\mathcal X_F</w:t>
      </w:r>
    </w:p>
    <w:p w:rsidR="00EE70E6" w:rsidRDefault="00EE70E6" w:rsidP="00EE70E6">
      <w:pPr>
        <w:pStyle w:val="StandardWeb"/>
      </w:pPr>
      <w:r>
        <w:t>und eine Reduktionsabbildung</w:t>
      </w:r>
    </w:p>
    <w:p w:rsidR="00EE70E6" w:rsidRDefault="00EE70E6" w:rsidP="00EE70E6">
      <w:pPr>
        <w:pStyle w:val="StandardWeb"/>
      </w:pPr>
      <w:r>
        <w:t>[</w:t>
      </w:r>
      <w:r>
        <w:br/>
        <w:t>R_F</w:t>
      </w:r>
      <w:r>
        <w:br/>
        <w:t>:</w:t>
      </w:r>
      <w:r>
        <w:br/>
        <w:t>\mathcal X_F</w:t>
      </w:r>
      <w:r>
        <w:br/>
        <w:t>\rightarrow</w:t>
      </w:r>
      <w:r>
        <w:br/>
        <w:t>\mathcal X_F^{\mathrm{red}}.</w:t>
      </w:r>
      <w:r>
        <w:br/>
        <w:t>\tag{3.13718}</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R_F:\mathcal X_F\rightarrow\mathcal X_F^{\mathrm{red}}</w:t>
      </w:r>
    </w:p>
    <w:p w:rsidR="00EE70E6" w:rsidRDefault="00EE70E6" w:rsidP="00EE70E6">
      <w:pPr>
        <w:pStyle w:val="StandardWeb"/>
      </w:pPr>
      <w:r>
        <w:t>Für eine reduzierte Dynamik führe ich zusätzlich</w:t>
      </w:r>
    </w:p>
    <w:p w:rsidR="00EE70E6" w:rsidRDefault="00EE70E6" w:rsidP="00EE70E6">
      <w:pPr>
        <w:pStyle w:val="StandardWeb"/>
      </w:pPr>
      <w:r>
        <w:t>[</w:t>
      </w:r>
      <w:r>
        <w:br/>
        <w:t>T_F^{\mathrm{red}}</w:t>
      </w:r>
      <w:r>
        <w:br/>
        <w:t>:</w:t>
      </w:r>
      <w:r>
        <w:br/>
        <w:t>\mathcal X_F^{\mathrm{red}}</w:t>
      </w:r>
      <w:r>
        <w:br/>
        <w:t>\rightarrow</w:t>
      </w:r>
      <w:r>
        <w:br/>
        <w:t>\mathcal X_F^{\mathrm{red}}</w:t>
      </w:r>
      <w:r>
        <w:br/>
        <w:t>\tag{3.13719}</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T_F^{\mathrm{red}}:\mathcal X_F^{\mathrm{red}}\rightarrow\mathcal X_F^{\mathrm{red}}</w:t>
      </w:r>
    </w:p>
    <w:p w:rsidR="00EE70E6" w:rsidRDefault="00EE70E6" w:rsidP="00EE70E6">
      <w:pPr>
        <w:pStyle w:val="StandardWeb"/>
      </w:pPr>
      <w:r>
        <w:t>ein.</w:t>
      </w:r>
    </w:p>
    <w:p w:rsidR="00EE70E6" w:rsidRDefault="00EE70E6" w:rsidP="00EE70E6">
      <w:r>
        <w:pict>
          <v:rect id="_x0000_i5774" style="width:0;height:1.5pt" o:hralign="center" o:hrstd="t" o:hr="t" fillcolor="#a0a0a0" stroked="f"/>
        </w:pict>
      </w:r>
    </w:p>
    <w:p w:rsidR="00EE70E6" w:rsidRDefault="00EE70E6" w:rsidP="00EE70E6">
      <w:pPr>
        <w:pStyle w:val="berschrift1"/>
      </w:pPr>
      <w:r>
        <w:lastRenderedPageBreak/>
        <w:t>3.3.52.101 Dynamikverträglichkeit</w:t>
      </w:r>
    </w:p>
    <w:p w:rsidR="00EE70E6" w:rsidRDefault="00EE70E6" w:rsidP="00EE70E6">
      <w:pPr>
        <w:pStyle w:val="StandardWeb"/>
      </w:pPr>
      <w:r>
        <w:t>Zunächst kann ein Objekt im vollständigen Modell entwickelt und anschließend reduziert werden:</w:t>
      </w:r>
    </w:p>
    <w:p w:rsidR="00EE70E6" w:rsidRDefault="00EE70E6" w:rsidP="00EE70E6">
      <w:pPr>
        <w:pStyle w:val="StandardWeb"/>
      </w:pPr>
      <w:r>
        <w:t>[</w:t>
      </w:r>
      <w:r>
        <w:br/>
        <w:t>R_F</w:t>
      </w:r>
      <w:r>
        <w:br/>
        <w:t>\bigl(</w:t>
      </w:r>
      <w:r>
        <w:br/>
        <w:t>T_F(X)</w:t>
      </w:r>
      <w:r>
        <w:br/>
        <w:t>\bigr).</w:t>
      </w:r>
      <w:r>
        <w:br/>
        <w:t>\tag{3.13720}</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R_F\bigl(T_F(X)\bigr)</w:t>
      </w:r>
    </w:p>
    <w:p w:rsidR="00EE70E6" w:rsidRDefault="00EE70E6" w:rsidP="00EE70E6">
      <w:pPr>
        <w:pStyle w:val="StandardWeb"/>
      </w:pPr>
      <w:r>
        <w:t>Alternativ kann zuerst reduziert und anschließend mit der reduzierten Dynamik fortgeschritten werden:</w:t>
      </w:r>
    </w:p>
    <w:p w:rsidR="00EE70E6" w:rsidRDefault="00EE70E6" w:rsidP="00EE70E6">
      <w:pPr>
        <w:pStyle w:val="StandardWeb"/>
      </w:pPr>
      <w:r>
        <w:t>[</w:t>
      </w:r>
      <w:r>
        <w:br/>
        <w:t>T_F^{\mathrm{red}}</w:t>
      </w:r>
      <w:r>
        <w:br/>
        <w:t>\bigl(</w:t>
      </w:r>
      <w:r>
        <w:br/>
        <w:t>R_F(X)</w:t>
      </w:r>
      <w:r>
        <w:br/>
        <w:t>\bigr).</w:t>
      </w:r>
      <w:r>
        <w:br/>
        <w:t>\tag{3.13721}</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T_F^{\mathrm{red}}\bigl(R_F(X)\bigr)</w:t>
      </w:r>
    </w:p>
    <w:p w:rsidR="00EE70E6" w:rsidRDefault="00EE70E6" w:rsidP="00EE70E6">
      <w:r>
        <w:pict>
          <v:rect id="_x0000_i5775" style="width:0;height:1.5pt" o:hralign="center" o:hrstd="t" o:hr="t" fillcolor="#a0a0a0" stroked="f"/>
        </w:pict>
      </w:r>
    </w:p>
    <w:p w:rsidR="00EE70E6" w:rsidRDefault="00EE70E6" w:rsidP="00EE70E6">
      <w:pPr>
        <w:pStyle w:val="berschrift1"/>
      </w:pPr>
      <w:r>
        <w:t>3.3.52.102 Definition 3.3.602 – Dynamikverträgliche funktionale Reduktion</w:t>
      </w:r>
    </w:p>
    <w:p w:rsidR="00EE70E6" w:rsidRDefault="00EE70E6" w:rsidP="00EE70E6">
      <w:pPr>
        <w:pStyle w:val="berschrift3"/>
      </w:pPr>
      <w:r>
        <w:t>Definition 3.3.602</w:t>
      </w:r>
    </w:p>
    <w:p w:rsidR="00EE70E6" w:rsidRDefault="00EE70E6" w:rsidP="00EE70E6">
      <w:pPr>
        <w:pStyle w:val="StandardWeb"/>
      </w:pPr>
      <w:r>
        <w:t xml:space="preserve">Eine funktionale Reduktion heißt </w:t>
      </w:r>
      <w:r>
        <w:rPr>
          <w:rStyle w:val="Fett"/>
        </w:rPr>
        <w:t>dynamikverträglich</w:t>
      </w:r>
      <w:r>
        <w:t>, wenn</w:t>
      </w:r>
    </w:p>
    <w:p w:rsidR="00EE70E6" w:rsidRDefault="00EE70E6" w:rsidP="00EE70E6">
      <w:pPr>
        <w:pStyle w:val="berschrift1"/>
      </w:pPr>
      <w:r>
        <w:t>[</w:t>
      </w:r>
      <w:r>
        <w:br/>
        <w:t>\boxed{</w:t>
      </w:r>
      <w:r>
        <w:br/>
        <w:t>R_F</w:t>
      </w:r>
      <w:r>
        <w:br/>
        <w:t>\circ</w:t>
      </w:r>
      <w:r>
        <w:br/>
        <w:t>T_F</w:t>
      </w:r>
    </w:p>
    <w:p w:rsidR="00EE70E6" w:rsidRDefault="00EE70E6" w:rsidP="00EE70E6">
      <w:pPr>
        <w:pStyle w:val="StandardWeb"/>
      </w:pPr>
      <w:r>
        <w:lastRenderedPageBreak/>
        <w:t>T_F^{\mathrm{red}}</w:t>
      </w:r>
      <w:r>
        <w:br/>
        <w:t>\circ</w:t>
      </w:r>
      <w:r>
        <w:br/>
        <w:t>R_F.</w:t>
      </w:r>
      <w:r>
        <w:br/>
        <w:t>}</w:t>
      </w:r>
      <w:r>
        <w:br/>
        <w:t>\tag{3.13722}</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\boxed{R_F\circ T_F=T_F^{\mathrm{red}}\circ R_F.}</w:t>
      </w:r>
    </w:p>
    <w:p w:rsidR="00EE70E6" w:rsidRDefault="00EE70E6" w:rsidP="00EE70E6">
      <w:pPr>
        <w:pStyle w:val="StandardWeb"/>
      </w:pPr>
      <w:r>
        <w:t>Äquivalent gilt für jedes betrachtete (X):</w:t>
      </w:r>
    </w:p>
    <w:p w:rsidR="00EE70E6" w:rsidRDefault="00EE70E6" w:rsidP="00EE70E6">
      <w:pPr>
        <w:pStyle w:val="berschrift1"/>
      </w:pPr>
      <w:r>
        <w:t>[</w:t>
      </w:r>
      <w:r>
        <w:br/>
        <w:t>R_F</w:t>
      </w:r>
      <w:r>
        <w:br/>
        <w:t>\bigl(</w:t>
      </w:r>
      <w:r>
        <w:br/>
        <w:t>T_F(X)</w:t>
      </w:r>
      <w:r>
        <w:br/>
        <w:t>\bigr)</w:t>
      </w:r>
    </w:p>
    <w:p w:rsidR="00EE70E6" w:rsidRDefault="00EE70E6" w:rsidP="00EE70E6">
      <w:pPr>
        <w:pStyle w:val="StandardWeb"/>
      </w:pPr>
      <w:r>
        <w:t>T_F^{\mathrm{red}}</w:t>
      </w:r>
      <w:r>
        <w:br/>
        <w:t>\bigl(</w:t>
      </w:r>
      <w:r>
        <w:br/>
        <w:t>R_F(X)</w:t>
      </w:r>
      <w:r>
        <w:br/>
        <w:t>\bigr).</w:t>
      </w:r>
      <w:r>
        <w:br/>
        <w:t>\tag{3.13723}</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R_F\bigl(T_F(X)\bigr)=T_F^{\mathrm{red}}\bigl(R_F(X)\bigr)</w:t>
      </w:r>
    </w:p>
    <w:p w:rsidR="00EE70E6" w:rsidRDefault="00EE70E6" w:rsidP="00EE70E6">
      <w:r>
        <w:pict>
          <v:rect id="_x0000_i5776" style="width:0;height:1.5pt" o:hralign="center" o:hrstd="t" o:hr="t" fillcolor="#a0a0a0" stroked="f"/>
        </w:pict>
      </w:r>
    </w:p>
    <w:p w:rsidR="00EE70E6" w:rsidRDefault="00EE70E6" w:rsidP="00EE70E6">
      <w:pPr>
        <w:pStyle w:val="berschrift1"/>
      </w:pPr>
      <w:r>
        <w:t>3.3.52.103 Nichtverträgliche Reduktion</w:t>
      </w:r>
    </w:p>
    <w:p w:rsidR="00EE70E6" w:rsidRDefault="00EE70E6" w:rsidP="00EE70E6">
      <w:pPr>
        <w:pStyle w:val="StandardWeb"/>
      </w:pPr>
      <w:r>
        <w:t>Eine Reduktion kann dagegen erfüllen</w:t>
      </w:r>
    </w:p>
    <w:p w:rsidR="00EE70E6" w:rsidRDefault="00EE70E6" w:rsidP="00EE70E6">
      <w:pPr>
        <w:pStyle w:val="StandardWeb"/>
      </w:pPr>
      <w:r>
        <w:t>[</w:t>
      </w:r>
      <w:r>
        <w:br/>
        <w:t>R_F</w:t>
      </w:r>
      <w:r>
        <w:br/>
        <w:t>\bigl(</w:t>
      </w:r>
      <w:r>
        <w:br/>
        <w:t>T_F(X)</w:t>
      </w:r>
      <w:r>
        <w:br/>
        <w:t>\bigr)</w:t>
      </w:r>
      <w:r>
        <w:br/>
        <w:t>\neq</w:t>
      </w:r>
      <w:r>
        <w:br/>
        <w:t>T_F^{\mathrm{red}}</w:t>
      </w:r>
      <w:r>
        <w:br/>
        <w:t>\bigl(</w:t>
      </w:r>
      <w:r>
        <w:br/>
        <w:t>R_F(X)</w:t>
      </w:r>
      <w:r>
        <w:br/>
        <w:t>\bigr).</w:t>
      </w:r>
      <w:r>
        <w:br/>
        <w:t>\tag{3.13724}</w:t>
      </w:r>
      <w:r>
        <w:br/>
        <w:t>]</w:t>
      </w:r>
    </w:p>
    <w:p w:rsidR="00EE70E6" w:rsidRDefault="00EE70E6" w:rsidP="00EE70E6">
      <w:pPr>
        <w:pStyle w:val="StandardWeb"/>
      </w:pPr>
      <w:r>
        <w:rPr>
          <w:rStyle w:val="Fett"/>
        </w:rPr>
        <w:lastRenderedPageBreak/>
        <w:t>Word-LaTeX</w:t>
      </w:r>
    </w:p>
    <w:p w:rsidR="00EE70E6" w:rsidRDefault="00EE70E6" w:rsidP="00EE70E6">
      <w:pPr>
        <w:pStyle w:val="HTMLVorformatiert"/>
        <w:rPr>
          <w:rStyle w:val="HTMLCode"/>
        </w:rPr>
      </w:pPr>
      <w:r>
        <w:rPr>
          <w:rStyle w:val="HTMLCode"/>
        </w:rPr>
        <w:t>R_F\bigl(T_F(X)\bigr)\neq T_F^{\mathrm{red}}\bigl(R_F(X)\bigr)</w:t>
      </w:r>
    </w:p>
    <w:p w:rsidR="00EE70E6" w:rsidRDefault="00EE70E6" w:rsidP="00EE70E6">
      <w:pPr>
        <w:pStyle w:val="StandardWeb"/>
      </w:pPr>
      <w:r>
        <w:t>Dann geht durch die Reduktion Information verloren, die für die vollständige Übergangsdynamik relevant ist.</w:t>
      </w:r>
    </w:p>
    <w:p w:rsidR="00EE70E6" w:rsidRDefault="00EE70E6" w:rsidP="00EE70E6">
      <w:r>
        <w:pict>
          <v:rect id="_x0000_i5777" style="width:0;height:1.5pt" o:hralign="center" o:hrstd="t" o:hr="t" fillcolor="#a0a0a0" stroked="f"/>
        </w:pict>
      </w:r>
    </w:p>
    <w:p w:rsidR="00EE70E6" w:rsidRDefault="00EE70E6" w:rsidP="00EE70E6">
      <w:pPr>
        <w:pStyle w:val="berschrift1"/>
      </w:pPr>
      <w:r>
        <w:t>3.3.52.104 Dynamikverträglichkeit als Primäraxiomkandidat</w:t>
      </w:r>
    </w:p>
    <w:p w:rsidR="00EE70E6" w:rsidRDefault="00EE70E6" w:rsidP="00EE70E6">
      <w:pPr>
        <w:pStyle w:val="StandardWeb"/>
      </w:pPr>
      <w:r>
        <w:t>Ein möglicher Kandidat lautet</w:t>
      </w:r>
    </w:p>
    <w:p w:rsidR="00EE70E6" w:rsidRDefault="00EE70E6" w:rsidP="00EE70E6">
      <w:pPr>
        <w:pStyle w:val="berschrift1"/>
      </w:pPr>
      <w:r>
        <w:t>[</w:t>
      </w:r>
      <w:r>
        <w:br/>
        <w:t>A_{\mathrm{dyn-red}}</w:t>
      </w:r>
      <w:r>
        <w:br/>
        <w:t>:</w:t>
      </w:r>
      <w:r>
        <w:br/>
        <w:t>R_F</w:t>
      </w:r>
      <w:r>
        <w:br/>
        <w:t>\circ</w:t>
      </w:r>
      <w:r>
        <w:br/>
        <w:t>T_F</w:t>
      </w:r>
    </w:p>
    <w:p w:rsidR="00EE70E6" w:rsidRDefault="00EE70E6" w:rsidP="00EE70E6">
      <w:pPr>
        <w:pStyle w:val="StandardWeb"/>
      </w:pPr>
      <w:r>
        <w:t>T_F^{\mathrm{red}}</w:t>
      </w:r>
      <w:r>
        <w:br/>
        <w:t>\circ</w:t>
      </w:r>
      <w:r>
        <w:br/>
        <w:t>R_F.</w:t>
      </w:r>
      <w:r>
        <w:br/>
        <w:t>\tag{3.13725}</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A_{\mathrm{dyn-red}}:R_F\circ T_F=T_F^{\mathrm{red}}\circ R_F</w:t>
      </w:r>
    </w:p>
    <w:p w:rsidR="00EE70E6" w:rsidRDefault="00EE70E6" w:rsidP="00EE70E6">
      <w:r>
        <w:pict>
          <v:rect id="_x0000_i5778" style="width:0;height:1.5pt" o:hralign="center" o:hrstd="t" o:hr="t" fillcolor="#a0a0a0" stroked="f"/>
        </w:pict>
      </w:r>
    </w:p>
    <w:p w:rsidR="00EE70E6" w:rsidRDefault="00EE70E6" w:rsidP="00EE70E6">
      <w:pPr>
        <w:pStyle w:val="berschrift1"/>
      </w:pPr>
      <w:r>
        <w:t>3.3.52.105 Gegenmodell zur universellen Dynamikverträglichkeit</w:t>
      </w:r>
    </w:p>
    <w:p w:rsidR="00EE70E6" w:rsidRDefault="00EE70E6" w:rsidP="00EE70E6">
      <w:pPr>
        <w:pStyle w:val="StandardWeb"/>
      </w:pPr>
      <w:r>
        <w:t>Eine zulässige Reduktion kann zwei vollständige Zustände identifizieren,</w:t>
      </w:r>
    </w:p>
    <w:p w:rsidR="00EE70E6" w:rsidRDefault="00EE70E6" w:rsidP="00EE70E6">
      <w:pPr>
        <w:pStyle w:val="berschrift1"/>
      </w:pPr>
      <w:r>
        <w:t>[</w:t>
      </w:r>
      <w:r>
        <w:br/>
        <w:t>R_F(X_1)</w:t>
      </w:r>
    </w:p>
    <w:p w:rsidR="00EE70E6" w:rsidRDefault="00EE70E6" w:rsidP="00EE70E6">
      <w:pPr>
        <w:pStyle w:val="StandardWeb"/>
      </w:pPr>
      <w:r>
        <w:t>R_F(X_2),</w:t>
      </w:r>
      <w:r>
        <w:br/>
        <w:t>\tag{3.13726}</w:t>
      </w:r>
      <w:r>
        <w:br/>
        <w:t>]</w:t>
      </w:r>
    </w:p>
    <w:p w:rsidR="00EE70E6" w:rsidRDefault="00EE70E6" w:rsidP="00EE70E6">
      <w:pPr>
        <w:pStyle w:val="StandardWeb"/>
      </w:pPr>
      <w:r>
        <w:rPr>
          <w:rStyle w:val="Fett"/>
        </w:rPr>
        <w:lastRenderedPageBreak/>
        <w:t>Word-LaTeX</w:t>
      </w:r>
    </w:p>
    <w:p w:rsidR="00EE70E6" w:rsidRDefault="00EE70E6" w:rsidP="00EE70E6">
      <w:pPr>
        <w:pStyle w:val="HTMLVorformatiert"/>
        <w:rPr>
          <w:rStyle w:val="HTMLCode"/>
        </w:rPr>
      </w:pPr>
      <w:r>
        <w:rPr>
          <w:rStyle w:val="HTMLCode"/>
        </w:rPr>
        <w:t>R_F(X_1)=R_F(X_2)</w:t>
      </w:r>
    </w:p>
    <w:p w:rsidR="00EE70E6" w:rsidRDefault="00EE70E6" w:rsidP="00EE70E6">
      <w:pPr>
        <w:pStyle w:val="StandardWeb"/>
      </w:pPr>
      <w:r>
        <w:t>obwohl deren vollständige Übergänge verschieden sind:</w:t>
      </w:r>
    </w:p>
    <w:p w:rsidR="00EE70E6" w:rsidRDefault="00EE70E6" w:rsidP="00EE70E6">
      <w:pPr>
        <w:pStyle w:val="StandardWeb"/>
      </w:pPr>
      <w:r>
        <w:t>[</w:t>
      </w:r>
      <w:r>
        <w:br/>
        <w:t>T_F(X_1)</w:t>
      </w:r>
      <w:r>
        <w:br/>
        <w:t>\neq</w:t>
      </w:r>
      <w:r>
        <w:br/>
        <w:t>T_F(X_2).</w:t>
      </w:r>
      <w:r>
        <w:br/>
        <w:t>\tag{3.13727}</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T_F(X_1)\neq T_F(X_2)</w:t>
      </w:r>
    </w:p>
    <w:p w:rsidR="00EE70E6" w:rsidRDefault="00EE70E6" w:rsidP="00EE70E6">
      <w:pPr>
        <w:pStyle w:val="StandardWeb"/>
      </w:pPr>
      <w:r>
        <w:t>Falls zusätzlich</w:t>
      </w:r>
    </w:p>
    <w:p w:rsidR="00EE70E6" w:rsidRDefault="00EE70E6" w:rsidP="00EE70E6">
      <w:pPr>
        <w:pStyle w:val="StandardWeb"/>
      </w:pPr>
      <w:r>
        <w:t>[</w:t>
      </w:r>
      <w:r>
        <w:br/>
        <w:t>R_F</w:t>
      </w:r>
      <w:r>
        <w:br/>
        <w:t>\bigl(</w:t>
      </w:r>
      <w:r>
        <w:br/>
        <w:t>T_F(X_1)</w:t>
      </w:r>
      <w:r>
        <w:br/>
        <w:t>\bigr)</w:t>
      </w:r>
      <w:r>
        <w:br/>
        <w:t>\neq</w:t>
      </w:r>
      <w:r>
        <w:br/>
        <w:t>R_F</w:t>
      </w:r>
      <w:r>
        <w:br/>
        <w:t>\bigl(</w:t>
      </w:r>
      <w:r>
        <w:br/>
        <w:t>T_F(X_2)</w:t>
      </w:r>
      <w:r>
        <w:br/>
        <w:t>\bigr),</w:t>
      </w:r>
      <w:r>
        <w:br/>
        <w:t>\tag{3.13728}</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R_F\bigl(T_F(X_1)\bigr)\neq R_F\bigl(T_F(X_2)\bigr)</w:t>
      </w:r>
    </w:p>
    <w:p w:rsidR="00EE70E6" w:rsidRDefault="00EE70E6" w:rsidP="00EE70E6">
      <w:pPr>
        <w:pStyle w:val="StandardWeb"/>
      </w:pPr>
      <w:r>
        <w:t>kann keine eindeutige reduzierte Übergangsabbildung (T_F^{\mathrm{red}}) beide Verläufe exakt reproduzieren.</w:t>
      </w:r>
    </w:p>
    <w:p w:rsidR="00EE70E6" w:rsidRDefault="00EE70E6" w:rsidP="00EE70E6">
      <w:r>
        <w:pict>
          <v:rect id="_x0000_i5779" style="width:0;height:1.5pt" o:hralign="center" o:hrstd="t" o:hr="t" fillcolor="#a0a0a0" stroked="f"/>
        </w:pict>
      </w:r>
    </w:p>
    <w:p w:rsidR="00EE70E6" w:rsidRDefault="00EE70E6" w:rsidP="00EE70E6">
      <w:pPr>
        <w:pStyle w:val="berschrift1"/>
      </w:pPr>
      <w:r>
        <w:t>3.3.52.106 Axiomentscheidung zur Dynamikverträglichkeit</w:t>
      </w:r>
    </w:p>
    <w:p w:rsidR="00EE70E6" w:rsidRDefault="00EE70E6" w:rsidP="00EE70E6">
      <w:pPr>
        <w:pStyle w:val="StandardWeb"/>
      </w:pPr>
      <w:r>
        <w:t>Daraus folgt</w:t>
      </w:r>
    </w:p>
    <w:p w:rsidR="00EE70E6" w:rsidRDefault="00EE70E6" w:rsidP="00EE70E6">
      <w:pPr>
        <w:pStyle w:val="berschrift1"/>
      </w:pPr>
      <w:r>
        <w:t>[</w:t>
      </w:r>
      <w:r>
        <w:br/>
        <w:t>\boxed{</w:t>
      </w:r>
      <w:r>
        <w:br/>
      </w:r>
      <w:r>
        <w:lastRenderedPageBreak/>
        <w:t>U_{\mathrm{Ax}}</w:t>
      </w:r>
      <w:r>
        <w:br/>
        <w:t>(A_{\mathrm{dyn-red}})</w:t>
      </w:r>
    </w:p>
    <w:p w:rsidR="00EE70E6" w:rsidRDefault="00EE70E6" w:rsidP="009F7790">
      <w:pPr>
        <w:numPr>
          <w:ilvl w:val="0"/>
          <w:numId w:val="704"/>
        </w:numPr>
        <w:spacing w:before="100" w:beforeAutospacing="1" w:after="100" w:afterAutospacing="1"/>
      </w:pPr>
    </w:p>
    <w:p w:rsidR="00EE70E6" w:rsidRDefault="00EE70E6" w:rsidP="00EE70E6">
      <w:pPr>
        <w:pStyle w:val="StandardWeb"/>
      </w:pPr>
      <w:r>
        <w:t>}</w:t>
      </w:r>
      <w:r>
        <w:br/>
        <w:t>\tag{3.13729}</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\boxed{U_{\mathrm{Ax}}(A_{\mathrm{dyn-red}})=0.}</w:t>
      </w:r>
    </w:p>
    <w:p w:rsidR="00EE70E6" w:rsidRDefault="00EE70E6" w:rsidP="00EE70E6">
      <w:r>
        <w:pict>
          <v:rect id="_x0000_i5780" style="width:0;height:1.5pt" o:hralign="center" o:hrstd="t" o:hr="t" fillcolor="#a0a0a0" stroked="f"/>
        </w:pict>
      </w:r>
    </w:p>
    <w:p w:rsidR="00EE70E6" w:rsidRDefault="00EE70E6" w:rsidP="00EE70E6">
      <w:pPr>
        <w:pStyle w:val="berschrift1"/>
      </w:pPr>
      <w:r>
        <w:t>3.3.52.107 Satz 3.3.236 – Dynamikverträglichkeit funktionaler Reduktion ist kein Primäraxiom</w:t>
      </w:r>
    </w:p>
    <w:p w:rsidR="00EE70E6" w:rsidRDefault="00EE70E6" w:rsidP="00EE70E6">
      <w:pPr>
        <w:pStyle w:val="berschrift3"/>
      </w:pPr>
      <w:r>
        <w:t>Satz 3.3.236</w:t>
      </w:r>
    </w:p>
    <w:p w:rsidR="00EE70E6" w:rsidRDefault="00EE70E6" w:rsidP="00EE70E6">
      <w:pPr>
        <w:pStyle w:val="StandardWeb"/>
      </w:pPr>
      <w:r>
        <w:t>Die Forderung, jede funktionale Reduktionsabbildung müsse mit der vollständigen Übergangsdynamik durch eine exakt induzierte reduzierte Dynamik verträglich sein, ist keine universell notwendige Voraussetzung des allgemeinen FRZK.</w:t>
      </w:r>
    </w:p>
    <w:p w:rsidR="00EE70E6" w:rsidRDefault="00EE70E6" w:rsidP="00EE70E6">
      <w:pPr>
        <w:pStyle w:val="berschrift1"/>
      </w:pPr>
      <w:r>
        <w:t>[</w:t>
      </w:r>
      <w:r>
        <w:br/>
        <w:t>\boxed{</w:t>
      </w:r>
      <w:r>
        <w:br/>
        <w:t>U_{\mathrm{Ax}}</w:t>
      </w:r>
      <w:r>
        <w:br/>
        <w:t>(A_{\mathrm{dyn-red}})</w:t>
      </w:r>
    </w:p>
    <w:p w:rsidR="00EE70E6" w:rsidRDefault="00EE70E6" w:rsidP="009F7790">
      <w:pPr>
        <w:numPr>
          <w:ilvl w:val="0"/>
          <w:numId w:val="705"/>
        </w:numPr>
        <w:spacing w:before="100" w:beforeAutospacing="1" w:after="100" w:afterAutospacing="1"/>
      </w:pPr>
    </w:p>
    <w:p w:rsidR="00EE70E6" w:rsidRDefault="00EE70E6" w:rsidP="00EE70E6">
      <w:pPr>
        <w:pStyle w:val="StandardWeb"/>
      </w:pPr>
      <w:r>
        <w:t>}</w:t>
      </w:r>
      <w:r>
        <w:br/>
        <w:t>\tag{3.13730}</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\boxed{U_{\mathrm{Ax}}(A_{\mathrm{dyn-red}})=0.}</w:t>
      </w:r>
    </w:p>
    <w:p w:rsidR="00EE70E6" w:rsidRDefault="00EE70E6" w:rsidP="00EE70E6">
      <w:pPr>
        <w:pStyle w:val="berschrift3"/>
      </w:pPr>
      <w:r>
        <w:t>Beweis</w:t>
      </w:r>
    </w:p>
    <w:p w:rsidR="00EE70E6" w:rsidRDefault="00EE70E6" w:rsidP="00EE70E6">
      <w:pPr>
        <w:pStyle w:val="StandardWeb"/>
      </w:pPr>
      <w:r>
        <w:t>Ich betrachte zwei funktionale Objekte (X_1) und (X_2), für die</w:t>
      </w:r>
    </w:p>
    <w:p w:rsidR="00EE70E6" w:rsidRDefault="00EE70E6" w:rsidP="00EE70E6">
      <w:pPr>
        <w:pStyle w:val="berschrift1"/>
      </w:pPr>
      <w:r>
        <w:t>[</w:t>
      </w:r>
      <w:r>
        <w:br/>
        <w:t>R_F(X_1)</w:t>
      </w:r>
    </w:p>
    <w:p w:rsidR="00EE70E6" w:rsidRDefault="00EE70E6" w:rsidP="00EE70E6">
      <w:pPr>
        <w:pStyle w:val="StandardWeb"/>
      </w:pPr>
      <w:r>
        <w:lastRenderedPageBreak/>
        <w:t>R_F(X_2)</w:t>
      </w:r>
      <w:r>
        <w:br/>
        <w:t>\tag{3.13731}</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R_F(X_1)=R_F(X_2)</w:t>
      </w:r>
    </w:p>
    <w:p w:rsidR="00EE70E6" w:rsidRDefault="00EE70E6" w:rsidP="00EE70E6">
      <w:pPr>
        <w:pStyle w:val="StandardWeb"/>
      </w:pPr>
      <w:r>
        <w:t>gilt, während nach einem Übergang</w:t>
      </w:r>
    </w:p>
    <w:p w:rsidR="00EE70E6" w:rsidRDefault="00EE70E6" w:rsidP="00EE70E6">
      <w:pPr>
        <w:pStyle w:val="StandardWeb"/>
      </w:pPr>
      <w:r>
        <w:t>[</w:t>
      </w:r>
      <w:r>
        <w:br/>
        <w:t>R_F</w:t>
      </w:r>
      <w:r>
        <w:br/>
        <w:t>\bigl(</w:t>
      </w:r>
      <w:r>
        <w:br/>
        <w:t>T_F(X_1)</w:t>
      </w:r>
      <w:r>
        <w:br/>
        <w:t>\bigr)</w:t>
      </w:r>
      <w:r>
        <w:br/>
        <w:t>\neq</w:t>
      </w:r>
      <w:r>
        <w:br/>
        <w:t>R_F</w:t>
      </w:r>
      <w:r>
        <w:br/>
        <w:t>\bigl(</w:t>
      </w:r>
      <w:r>
        <w:br/>
        <w:t>T_F(X_2)</w:t>
      </w:r>
      <w:r>
        <w:br/>
        <w:t>\bigr)</w:t>
      </w:r>
      <w:r>
        <w:br/>
        <w:t>\tag{3.13732}</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R_F\bigl(T_F(X_1)\bigr)\neq R_F\bigl(T_F(X_2)\bigr)</w:t>
      </w:r>
    </w:p>
    <w:p w:rsidR="00EE70E6" w:rsidRDefault="00EE70E6" w:rsidP="00EE70E6">
      <w:pPr>
        <w:pStyle w:val="StandardWeb"/>
      </w:pPr>
      <w:r>
        <w:t>gilt. Dann kann aus dem gemeinsamen reduzierten Zustand nicht eindeutig bestimmt werden, welcher reduzierte Folgezustand eintreten soll. Die Reduktion bleibt dennoch wohldefiniert. Deshalb ist exakte Dynamikverträglichkeit nicht universell notwendig. (\square)</w:t>
      </w:r>
    </w:p>
    <w:p w:rsidR="00EE70E6" w:rsidRDefault="00EE70E6" w:rsidP="00EE70E6">
      <w:r>
        <w:pict>
          <v:rect id="_x0000_i5781" style="width:0;height:1.5pt" o:hralign="center" o:hrstd="t" o:hr="t" fillcolor="#a0a0a0" stroked="f"/>
        </w:pict>
      </w:r>
    </w:p>
    <w:p w:rsidR="00EE70E6" w:rsidRDefault="00EE70E6" w:rsidP="00EE70E6">
      <w:pPr>
        <w:pStyle w:val="berschrift1"/>
      </w:pPr>
      <w:r>
        <w:t>3.3.52.108 Korollar 3.3.61 – Reduzierte Dynamik ist modellabhängig</w:t>
      </w:r>
    </w:p>
    <w:p w:rsidR="00EE70E6" w:rsidRDefault="00EE70E6" w:rsidP="00EE70E6">
      <w:pPr>
        <w:pStyle w:val="berschrift3"/>
      </w:pPr>
      <w:r>
        <w:t>Korollar 3.3.61</w:t>
      </w:r>
    </w:p>
    <w:p w:rsidR="00EE70E6" w:rsidRDefault="00EE70E6" w:rsidP="00EE70E6">
      <w:pPr>
        <w:pStyle w:val="StandardWeb"/>
      </w:pPr>
      <w:r>
        <w:t>Aus Satz 3.3.236 folgt</w:t>
      </w:r>
    </w:p>
    <w:p w:rsidR="00EE70E6" w:rsidRDefault="00EE70E6" w:rsidP="00EE70E6">
      <w:pPr>
        <w:pStyle w:val="berschrift1"/>
      </w:pPr>
      <w:r>
        <w:t>[</w:t>
      </w:r>
      <w:r>
        <w:br/>
        <w:t>\boxed{</w:t>
      </w:r>
      <w:r>
        <w:br/>
        <w:t>\operatorname{Stat}</w:t>
      </w:r>
      <w:r>
        <w:br/>
        <w:t>(T_F^{\mathrm{red}})</w:t>
      </w:r>
    </w:p>
    <w:p w:rsidR="00EE70E6" w:rsidRDefault="00EE70E6" w:rsidP="00EE70E6">
      <w:pPr>
        <w:pStyle w:val="StandardWeb"/>
      </w:pPr>
      <w:r>
        <w:t>\mathrm{Def/Mod/Op}.</w:t>
      </w:r>
      <w:r>
        <w:br/>
        <w:t>}</w:t>
      </w:r>
      <w:r>
        <w:br/>
      </w:r>
      <w:r>
        <w:lastRenderedPageBreak/>
        <w:t>\tag{3.13733}</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\boxed{\operatorname{Stat}(T_F^{\mathrm{red}})=\mathrm{Def/Mod/Op}.}</w:t>
      </w:r>
    </w:p>
    <w:p w:rsidR="00EE70E6" w:rsidRDefault="00EE70E6" w:rsidP="00EE70E6">
      <w:r>
        <w:pict>
          <v:rect id="_x0000_i5782" style="width:0;height:1.5pt" o:hralign="center" o:hrstd="t" o:hr="t" fillcolor="#a0a0a0" stroked="f"/>
        </w:pict>
      </w:r>
    </w:p>
    <w:p w:rsidR="00EE70E6" w:rsidRDefault="00EE70E6" w:rsidP="00EE70E6">
      <w:pPr>
        <w:pStyle w:val="berschrift1"/>
      </w:pPr>
      <w:r>
        <w:t>3.3.52.109 Approximative Reduktion</w:t>
      </w:r>
    </w:p>
    <w:p w:rsidR="00EE70E6" w:rsidRDefault="00EE70E6" w:rsidP="00EE70E6">
      <w:pPr>
        <w:pStyle w:val="StandardWeb"/>
      </w:pPr>
      <w:r>
        <w:t>Nicht jede Reduktion muss eine exakte reduzierte Dynamik erzeugen. Stattdessen kann die Abweichung zwischen vollständiger und reduzierter Entwicklung quantitativ bewertet werden.</w:t>
      </w:r>
    </w:p>
    <w:p w:rsidR="00EE70E6" w:rsidRDefault="00EE70E6" w:rsidP="00EE70E6">
      <w:pPr>
        <w:pStyle w:val="StandardWeb"/>
      </w:pPr>
      <w:r>
        <w:t>Dazu führe ich eine Abweichungsabbildung</w:t>
      </w:r>
    </w:p>
    <w:p w:rsidR="00EE70E6" w:rsidRDefault="00EE70E6" w:rsidP="00EE70E6">
      <w:pPr>
        <w:pStyle w:val="StandardWeb"/>
      </w:pPr>
      <w:r>
        <w:t>[</w:t>
      </w:r>
      <w:r>
        <w:br/>
        <w:t>d_F^{\mathrm{red}}</w:t>
      </w:r>
      <w:r>
        <w:br/>
        <w:t>:</w:t>
      </w:r>
      <w:r>
        <w:br/>
        <w:t>\mathcal X_F^{\mathrm{red}}</w:t>
      </w:r>
      <w:r>
        <w:br/>
        <w:t>\times</w:t>
      </w:r>
      <w:r>
        <w:br/>
        <w:t>\mathcal X_F^{\mathrm{red}}</w:t>
      </w:r>
      <w:r>
        <w:br/>
        <w:t>\rightarrow</w:t>
      </w:r>
      <w:r>
        <w:br/>
        <w:t>\mathbb R_{\geq0}</w:t>
      </w:r>
      <w:r>
        <w:br/>
        <w:t>\tag{3.13734}</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d_F^{\mathrm{red}}:\mathcal X_F^{\mathrm{red}}\times\mathcal X_F^{\mathrm{red}}\rightarrow\mathbb R_{\geq0}</w:t>
      </w:r>
    </w:p>
    <w:p w:rsidR="00EE70E6" w:rsidRDefault="00EE70E6" w:rsidP="00EE70E6">
      <w:pPr>
        <w:pStyle w:val="StandardWeb"/>
      </w:pPr>
      <w:r>
        <w:t>ein.</w:t>
      </w:r>
    </w:p>
    <w:p w:rsidR="00EE70E6" w:rsidRDefault="00EE70E6" w:rsidP="00EE70E6">
      <w:r>
        <w:pict>
          <v:rect id="_x0000_i5783" style="width:0;height:1.5pt" o:hralign="center" o:hrstd="t" o:hr="t" fillcolor="#a0a0a0" stroked="f"/>
        </w:pict>
      </w:r>
    </w:p>
    <w:p w:rsidR="00EE70E6" w:rsidRDefault="00EE70E6" w:rsidP="00EE70E6">
      <w:pPr>
        <w:pStyle w:val="berschrift1"/>
      </w:pPr>
      <w:r>
        <w:t>3.3.52.110 Definition 3.3.603 – Funktionales Reduktionsabweichungsmaß</w:t>
      </w:r>
    </w:p>
    <w:p w:rsidR="00EE70E6" w:rsidRDefault="00EE70E6" w:rsidP="00EE70E6">
      <w:pPr>
        <w:pStyle w:val="berschrift3"/>
      </w:pPr>
      <w:r>
        <w:t>Definition 3.3.603</w:t>
      </w:r>
    </w:p>
    <w:p w:rsidR="00EE70E6" w:rsidRDefault="00EE70E6" w:rsidP="00EE70E6">
      <w:pPr>
        <w:pStyle w:val="StandardWeb"/>
      </w:pPr>
      <w:r>
        <w:t xml:space="preserve">Ein </w:t>
      </w:r>
      <w:r>
        <w:rPr>
          <w:rStyle w:val="Fett"/>
        </w:rPr>
        <w:t>funktionales Reduktionsabweichungsmaß</w:t>
      </w:r>
      <w:r>
        <w:t xml:space="preserve"> ist eine modellabhängig definierte Abbildung</w:t>
      </w:r>
    </w:p>
    <w:p w:rsidR="00EE70E6" w:rsidRDefault="00EE70E6" w:rsidP="00EE70E6">
      <w:pPr>
        <w:pStyle w:val="StandardWeb"/>
      </w:pPr>
      <w:r>
        <w:t>[</w:t>
      </w:r>
      <w:r>
        <w:br/>
        <w:t>\boxed{</w:t>
      </w:r>
      <w:r>
        <w:br/>
        <w:t>d_F^{\mathrm{red}}</w:t>
      </w:r>
      <w:r>
        <w:br/>
        <w:t>:</w:t>
      </w:r>
      <w:r>
        <w:br/>
        <w:t>\mathcal X_F^{\mathrm{red}}</w:t>
      </w:r>
      <w:r>
        <w:br/>
        <w:t>\times</w:t>
      </w:r>
      <w:r>
        <w:br/>
      </w:r>
      <w:r>
        <w:lastRenderedPageBreak/>
        <w:t>\mathcal X_F^{\mathrm{red}}</w:t>
      </w:r>
      <w:r>
        <w:br/>
        <w:t>\rightarrow</w:t>
      </w:r>
      <w:r>
        <w:br/>
        <w:t>\mathbb R_{\geq0}.</w:t>
      </w:r>
      <w:r>
        <w:br/>
        <w:t>}</w:t>
      </w:r>
      <w:r>
        <w:br/>
        <w:t>\tag{3.13735}</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\boxed{d_F^{\mathrm{red}}:\mathcal X_F^{\mathrm{red}}\times\mathcal X_F^{\mathrm{red}}\rightarrow\mathbb R_{\geq0}.}</w:t>
      </w:r>
    </w:p>
    <w:p w:rsidR="00EE70E6" w:rsidRDefault="00EE70E6" w:rsidP="00EE70E6">
      <w:pPr>
        <w:pStyle w:val="StandardWeb"/>
      </w:pPr>
      <w:r>
        <w:t>Ich verlange an dieser Stelle ausdrücklich nicht, dass (d_F^{\mathrm{red}}) eine Metrik sein muss.</w:t>
      </w:r>
    </w:p>
    <w:p w:rsidR="00EE70E6" w:rsidRDefault="00EE70E6" w:rsidP="00EE70E6">
      <w:r>
        <w:pict>
          <v:rect id="_x0000_i5784" style="width:0;height:1.5pt" o:hralign="center" o:hrstd="t" o:hr="t" fillcolor="#a0a0a0" stroked="f"/>
        </w:pict>
      </w:r>
    </w:p>
    <w:p w:rsidR="00EE70E6" w:rsidRDefault="00EE70E6" w:rsidP="00EE70E6">
      <w:pPr>
        <w:pStyle w:val="berschrift1"/>
      </w:pPr>
      <w:r>
        <w:t>3.3.52.111 Dynamischer Reduktionsfehler</w:t>
      </w:r>
    </w:p>
    <w:p w:rsidR="00EE70E6" w:rsidRDefault="00EE70E6" w:rsidP="00EE70E6">
      <w:pPr>
        <w:pStyle w:val="StandardWeb"/>
      </w:pPr>
      <w:r>
        <w:t>Der Unterschied zwischen vollständigem Übergang mit anschließender Reduktion und reduzierter Dynamik kann als</w:t>
      </w:r>
    </w:p>
    <w:p w:rsidR="00EE70E6" w:rsidRDefault="00EE70E6" w:rsidP="00EE70E6">
      <w:pPr>
        <w:pStyle w:val="berschrift1"/>
      </w:pPr>
      <w:r>
        <w:t>[</w:t>
      </w:r>
      <w:r>
        <w:br/>
        <w:t>\varepsilon_{\mathrm{dyn}}</w:t>
      </w:r>
      <w:r>
        <w:br/>
        <w:t>(X)</w:t>
      </w:r>
    </w:p>
    <w:p w:rsidR="00EE70E6" w:rsidRDefault="00EE70E6" w:rsidP="00EE70E6">
      <w:pPr>
        <w:pStyle w:val="StandardWeb"/>
      </w:pPr>
      <w:r>
        <w:t>d_F^{\mathrm{red}}</w:t>
      </w:r>
      <w:r>
        <w:br/>
        <w:t>\left(</w:t>
      </w:r>
      <w:r>
        <w:br/>
        <w:t>R_F(T_F(X)),</w:t>
      </w:r>
      <w:r>
        <w:br/>
        <w:t>T_F^{\mathrm{red}}(R_F(X))</w:t>
      </w:r>
      <w:r>
        <w:br/>
        <w:t>\right)</w:t>
      </w:r>
      <w:r>
        <w:br/>
        <w:t>\tag{3.13736}</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\varepsilon_{\mathrm{dyn}}(X)=d_F^{\mathrm{red}}\left(R_F(T_F(X)),T_F^{\mathrm{red}}(R_F(X))\right)</w:t>
      </w:r>
    </w:p>
    <w:p w:rsidR="00EE70E6" w:rsidRDefault="00EE70E6" w:rsidP="00EE70E6">
      <w:pPr>
        <w:pStyle w:val="StandardWeb"/>
      </w:pPr>
      <w:r>
        <w:t>beschrieben werden.</w:t>
      </w:r>
    </w:p>
    <w:p w:rsidR="00EE70E6" w:rsidRDefault="00EE70E6" w:rsidP="00EE70E6">
      <w:r>
        <w:pict>
          <v:rect id="_x0000_i5785" style="width:0;height:1.5pt" o:hralign="center" o:hrstd="t" o:hr="t" fillcolor="#a0a0a0" stroked="f"/>
        </w:pict>
      </w:r>
    </w:p>
    <w:p w:rsidR="00EE70E6" w:rsidRDefault="00EE70E6" w:rsidP="00EE70E6">
      <w:pPr>
        <w:pStyle w:val="berschrift1"/>
      </w:pPr>
      <w:r>
        <w:t>3.3.52.112 Definition 3.3.604 – Funktionaler dynamischer Reduktionsfehler</w:t>
      </w:r>
    </w:p>
    <w:p w:rsidR="00EE70E6" w:rsidRDefault="00EE70E6" w:rsidP="00EE70E6">
      <w:pPr>
        <w:pStyle w:val="berschrift3"/>
      </w:pPr>
      <w:r>
        <w:t>Definition 3.3.604</w:t>
      </w:r>
    </w:p>
    <w:p w:rsidR="00EE70E6" w:rsidRDefault="00EE70E6" w:rsidP="00EE70E6">
      <w:pPr>
        <w:pStyle w:val="StandardWeb"/>
      </w:pPr>
      <w:r>
        <w:lastRenderedPageBreak/>
        <w:t xml:space="preserve">Der </w:t>
      </w:r>
      <w:r>
        <w:rPr>
          <w:rStyle w:val="Fett"/>
        </w:rPr>
        <w:t>funktionale dynamische Reduktionsfehler</w:t>
      </w:r>
      <w:r>
        <w:t xml:space="preserve"> eines Objekts (X) ist</w:t>
      </w:r>
    </w:p>
    <w:p w:rsidR="00EE70E6" w:rsidRDefault="00EE70E6" w:rsidP="00EE70E6">
      <w:pPr>
        <w:pStyle w:val="StandardWeb"/>
      </w:pPr>
      <w:r>
        <w:t>[</w:t>
      </w:r>
      <w:r>
        <w:br/>
        <w:t>\boxed{</w:t>
      </w:r>
      <w:r>
        <w:br/>
        <w:t>\varepsilon_{\mathrm{dyn}}</w:t>
      </w:r>
      <w:r>
        <w:br/>
        <w:t>(X)</w:t>
      </w:r>
      <w:r>
        <w:br/>
        <w:t>:=</w:t>
      </w:r>
      <w:r>
        <w:br/>
        <w:t>d_F^{\mathrm{red}}</w:t>
      </w:r>
      <w:r>
        <w:br/>
        <w:t>\left(</w:t>
      </w:r>
      <w:r>
        <w:br/>
        <w:t>R_F(T_F(X)),</w:t>
      </w:r>
      <w:r>
        <w:br/>
        <w:t>T_F^{\mathrm{red}}(R_F(X))</w:t>
      </w:r>
      <w:r>
        <w:br/>
        <w:t>\right).</w:t>
      </w:r>
      <w:r>
        <w:br/>
        <w:t>}</w:t>
      </w:r>
      <w:r>
        <w:br/>
        <w:t>\tag{3.13737}</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\boxed{\varepsilon_{\mathrm{dyn}}(X):=d_F^{\mathrm{red}}\left(R_F(T_F(X)),T_F^{\mathrm{red}}(R_F(X))\right).}</w:t>
      </w:r>
    </w:p>
    <w:p w:rsidR="00EE70E6" w:rsidRDefault="00EE70E6" w:rsidP="00EE70E6">
      <w:r>
        <w:pict>
          <v:rect id="_x0000_i5786" style="width:0;height:1.5pt" o:hralign="center" o:hrstd="t" o:hr="t" fillcolor="#a0a0a0" stroked="f"/>
        </w:pict>
      </w:r>
    </w:p>
    <w:p w:rsidR="00EE70E6" w:rsidRDefault="00EE70E6" w:rsidP="00EE70E6">
      <w:pPr>
        <w:pStyle w:val="berschrift1"/>
      </w:pPr>
      <w:r>
        <w:t>3.3.52.113 Exakte Reduktion als Spezialfall</w:t>
      </w:r>
    </w:p>
    <w:p w:rsidR="00EE70E6" w:rsidRDefault="00EE70E6" w:rsidP="00EE70E6">
      <w:pPr>
        <w:pStyle w:val="StandardWeb"/>
      </w:pPr>
      <w:r>
        <w:t>Ist die Reduktion dynamikverträglich, so gilt</w:t>
      </w:r>
    </w:p>
    <w:p w:rsidR="00EE70E6" w:rsidRDefault="00EE70E6" w:rsidP="00EE70E6">
      <w:pPr>
        <w:pStyle w:val="berschrift1"/>
      </w:pPr>
      <w:r>
        <w:t>[</w:t>
      </w:r>
      <w:r>
        <w:br/>
        <w:t>\varepsilon_{\mathrm{dyn}}</w:t>
      </w:r>
      <w:r>
        <w:br/>
        <w:t>(X)</w:t>
      </w:r>
    </w:p>
    <w:p w:rsidR="00EE70E6" w:rsidRDefault="00EE70E6" w:rsidP="009F7790">
      <w:pPr>
        <w:numPr>
          <w:ilvl w:val="0"/>
          <w:numId w:val="706"/>
        </w:numPr>
        <w:spacing w:before="100" w:beforeAutospacing="1" w:after="100" w:afterAutospacing="1"/>
      </w:pPr>
    </w:p>
    <w:p w:rsidR="00EE70E6" w:rsidRDefault="00EE70E6" w:rsidP="00EE70E6">
      <w:pPr>
        <w:pStyle w:val="StandardWeb"/>
      </w:pPr>
      <w:r>
        <w:t>\tag{3.13738}</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\varepsilon_{\mathrm{dyn}}(X)=0</w:t>
      </w:r>
    </w:p>
    <w:p w:rsidR="00EE70E6" w:rsidRDefault="00EE70E6" w:rsidP="00EE70E6">
      <w:pPr>
        <w:pStyle w:val="StandardWeb"/>
      </w:pPr>
      <w:r>
        <w:t>Damit ist exakte Dynamikverträglichkeit ein Spezialfall der fehlerbewerteten Reduktion.</w:t>
      </w:r>
    </w:p>
    <w:p w:rsidR="00EE70E6" w:rsidRDefault="00EE70E6" w:rsidP="00EE70E6">
      <w:r>
        <w:pict>
          <v:rect id="_x0000_i5787" style="width:0;height:1.5pt" o:hralign="center" o:hrstd="t" o:hr="t" fillcolor="#a0a0a0" stroked="f"/>
        </w:pict>
      </w:r>
    </w:p>
    <w:p w:rsidR="00EE70E6" w:rsidRDefault="00EE70E6" w:rsidP="00EE70E6">
      <w:pPr>
        <w:pStyle w:val="berschrift1"/>
      </w:pPr>
      <w:r>
        <w:t>3.3.52.114 Tolerierte Reduktion</w:t>
      </w:r>
    </w:p>
    <w:p w:rsidR="00EE70E6" w:rsidRDefault="00EE70E6" w:rsidP="00EE70E6">
      <w:pPr>
        <w:pStyle w:val="StandardWeb"/>
      </w:pPr>
      <w:r>
        <w:t>Eine Modellklasse kann einen maximal zulässigen Fehler</w:t>
      </w:r>
    </w:p>
    <w:p w:rsidR="00EE70E6" w:rsidRDefault="00EE70E6" w:rsidP="00EE70E6">
      <w:pPr>
        <w:pStyle w:val="StandardWeb"/>
      </w:pPr>
      <w:r>
        <w:lastRenderedPageBreak/>
        <w:t>[</w:t>
      </w:r>
      <w:r>
        <w:br/>
        <w:t>\varepsilon_{\max}</w:t>
      </w:r>
      <w:r>
        <w:br/>
        <w:t>\geq</w:t>
      </w:r>
      <w:r>
        <w:br/>
        <w:t>0</w:t>
      </w:r>
      <w:r>
        <w:br/>
        <w:t>\tag{3.13739}</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\varepsilon_{\max}\geq0</w:t>
      </w:r>
    </w:p>
    <w:p w:rsidR="00EE70E6" w:rsidRDefault="00EE70E6" w:rsidP="00EE70E6">
      <w:pPr>
        <w:pStyle w:val="StandardWeb"/>
      </w:pPr>
      <w:r>
        <w:t>festlegen.</w:t>
      </w:r>
    </w:p>
    <w:p w:rsidR="00EE70E6" w:rsidRDefault="00EE70E6" w:rsidP="00EE70E6">
      <w:pPr>
        <w:pStyle w:val="StandardWeb"/>
      </w:pPr>
      <w:r>
        <w:t>Dann kann verlangt werden</w:t>
      </w:r>
    </w:p>
    <w:p w:rsidR="00EE70E6" w:rsidRDefault="00EE70E6" w:rsidP="00EE70E6">
      <w:pPr>
        <w:pStyle w:val="StandardWeb"/>
      </w:pPr>
      <w:r>
        <w:t>[</w:t>
      </w:r>
      <w:r>
        <w:br/>
        <w:t>\varepsilon_{\mathrm{dyn}}</w:t>
      </w:r>
      <w:r>
        <w:br/>
        <w:t>(X)</w:t>
      </w:r>
      <w:r>
        <w:br/>
        <w:t>\leq</w:t>
      </w:r>
      <w:r>
        <w:br/>
        <w:t>\varepsilon_{\max}.</w:t>
      </w:r>
      <w:r>
        <w:br/>
        <w:t>\tag{3.13740}</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\varepsilon_{\mathrm{dyn}}(X)\leq\varepsilon_{\max}</w:t>
      </w:r>
    </w:p>
    <w:p w:rsidR="00EE70E6" w:rsidRDefault="00EE70E6" w:rsidP="00EE70E6">
      <w:r>
        <w:pict>
          <v:rect id="_x0000_i5788" style="width:0;height:1.5pt" o:hralign="center" o:hrstd="t" o:hr="t" fillcolor="#a0a0a0" stroked="f"/>
        </w:pict>
      </w:r>
    </w:p>
    <w:p w:rsidR="00EE70E6" w:rsidRDefault="00EE70E6" w:rsidP="00EE70E6">
      <w:pPr>
        <w:pStyle w:val="berschrift1"/>
      </w:pPr>
      <w:r>
        <w:t>3.3.52.115 Definition 3.3.605 – Fehlertolerierte funktionale Reduktion</w:t>
      </w:r>
    </w:p>
    <w:p w:rsidR="00EE70E6" w:rsidRDefault="00EE70E6" w:rsidP="00EE70E6">
      <w:pPr>
        <w:pStyle w:val="berschrift3"/>
      </w:pPr>
      <w:r>
        <w:t>Definition 3.3.605</w:t>
      </w:r>
    </w:p>
    <w:p w:rsidR="00EE70E6" w:rsidRDefault="00EE70E6" w:rsidP="00EE70E6">
      <w:pPr>
        <w:pStyle w:val="StandardWeb"/>
      </w:pPr>
      <w:r>
        <w:t xml:space="preserve">Eine funktionale Reduktion heißt </w:t>
      </w:r>
      <w:r>
        <w:rPr>
          <w:rStyle w:val="Fett"/>
        </w:rPr>
        <w:t>fehlertoleriert bezüglich (\varepsilon_{\max})</w:t>
      </w:r>
      <w:r>
        <w:t>, wenn</w:t>
      </w:r>
    </w:p>
    <w:p w:rsidR="00EE70E6" w:rsidRDefault="00EE70E6" w:rsidP="00EE70E6">
      <w:pPr>
        <w:pStyle w:val="StandardWeb"/>
      </w:pPr>
      <w:r>
        <w:t>[</w:t>
      </w:r>
      <w:r>
        <w:br/>
        <w:t>\boxed{</w:t>
      </w:r>
      <w:r>
        <w:br/>
        <w:t>\varepsilon_{\mathrm{dyn}}</w:t>
      </w:r>
      <w:r>
        <w:br/>
        <w:t>(X)</w:t>
      </w:r>
      <w:r>
        <w:br/>
        <w:t>\leq</w:t>
      </w:r>
      <w:r>
        <w:br/>
        <w:t>\varepsilon_{\max}</w:t>
      </w:r>
      <w:r>
        <w:br/>
        <w:t>}</w:t>
      </w:r>
      <w:r>
        <w:br/>
        <w:t>\tag{3.13741}</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\boxed{\varepsilon_{\mathrm{dyn}}(X)\leq\varepsilon_{\max}}</w:t>
      </w:r>
    </w:p>
    <w:p w:rsidR="00EE70E6" w:rsidRDefault="00EE70E6" w:rsidP="00EE70E6">
      <w:pPr>
        <w:pStyle w:val="StandardWeb"/>
      </w:pPr>
      <w:r>
        <w:t>für alle betrachteten Objekte gilt.</w:t>
      </w:r>
    </w:p>
    <w:p w:rsidR="00EE70E6" w:rsidRDefault="00EE70E6" w:rsidP="00EE70E6">
      <w:r>
        <w:lastRenderedPageBreak/>
        <w:pict>
          <v:rect id="_x0000_i5789" style="width:0;height:1.5pt" o:hralign="center" o:hrstd="t" o:hr="t" fillcolor="#a0a0a0" stroked="f"/>
        </w:pict>
      </w:r>
    </w:p>
    <w:p w:rsidR="00EE70E6" w:rsidRDefault="00EE70E6" w:rsidP="00EE70E6">
      <w:pPr>
        <w:pStyle w:val="berschrift1"/>
      </w:pPr>
      <w:r>
        <w:t>3.3.52.116 Universelle Nullfehlerreduktion als Primäraxiomkandidat</w:t>
      </w:r>
    </w:p>
    <w:p w:rsidR="00EE70E6" w:rsidRDefault="00EE70E6" w:rsidP="00EE70E6">
      <w:pPr>
        <w:pStyle w:val="StandardWeb"/>
      </w:pPr>
      <w:r>
        <w:t>Ein möglicher Kandidat lautet</w:t>
      </w:r>
    </w:p>
    <w:p w:rsidR="00EE70E6" w:rsidRDefault="00EE70E6" w:rsidP="00EE70E6">
      <w:pPr>
        <w:pStyle w:val="berschrift1"/>
      </w:pPr>
      <w:r>
        <w:t>[</w:t>
      </w:r>
      <w:r>
        <w:br/>
        <w:t>A_{\mathrm{red-zero}}</w:t>
      </w:r>
      <w:r>
        <w:br/>
        <w:t>:</w:t>
      </w:r>
      <w:r>
        <w:br/>
        <w:t>\varepsilon_{\mathrm{dyn}}</w:t>
      </w:r>
      <w:r>
        <w:br/>
        <w:t>(X)</w:t>
      </w:r>
    </w:p>
    <w:p w:rsidR="00EE70E6" w:rsidRDefault="00EE70E6" w:rsidP="00EE70E6">
      <w:pPr>
        <w:pStyle w:val="StandardWeb"/>
      </w:pPr>
      <w:r>
        <w:t>0</w:t>
      </w:r>
      <w:r>
        <w:br/>
        <w:t>\qquad</w:t>
      </w:r>
      <w:r>
        <w:br/>
        <w:t>\forall X.</w:t>
      </w:r>
      <w:r>
        <w:br/>
        <w:t>\tag{3.13742}</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A_{\mathrm{red-zero}}:\varepsilon_{\mathrm{dyn}}(X)=0\qquad\forall X</w:t>
      </w:r>
    </w:p>
    <w:p w:rsidR="00EE70E6" w:rsidRDefault="00EE70E6" w:rsidP="00EE70E6">
      <w:r>
        <w:pict>
          <v:rect id="_x0000_i5790" style="width:0;height:1.5pt" o:hralign="center" o:hrstd="t" o:hr="t" fillcolor="#a0a0a0" stroked="f"/>
        </w:pict>
      </w:r>
    </w:p>
    <w:p w:rsidR="00EE70E6" w:rsidRDefault="00EE70E6" w:rsidP="00EE70E6">
      <w:pPr>
        <w:pStyle w:val="berschrift1"/>
      </w:pPr>
      <w:r>
        <w:t>3.3.52.117 Gegenmodell zur Nullfehlerforderung</w:t>
      </w:r>
    </w:p>
    <w:p w:rsidR="00EE70E6" w:rsidRDefault="00EE70E6" w:rsidP="00EE70E6">
      <w:pPr>
        <w:pStyle w:val="StandardWeb"/>
      </w:pPr>
      <w:r>
        <w:t>Eine zulässige approximative Reduktion kann</w:t>
      </w:r>
    </w:p>
    <w:p w:rsidR="00EE70E6" w:rsidRDefault="00EE70E6" w:rsidP="00EE70E6">
      <w:pPr>
        <w:pStyle w:val="StandardWeb"/>
      </w:pPr>
      <w:r>
        <w:t>[</w:t>
      </w:r>
      <w:r>
        <w:br/>
        <w:t>0</w:t>
      </w:r>
      <w:r>
        <w:br/>
        <w:t>&lt;</w:t>
      </w:r>
      <w:r>
        <w:br/>
        <w:t>\varepsilon_{\mathrm{dyn}}</w:t>
      </w:r>
      <w:r>
        <w:br/>
        <w:t>(X)</w:t>
      </w:r>
      <w:r>
        <w:br/>
        <w:t>&lt;</w:t>
      </w:r>
      <w:r>
        <w:br/>
        <w:t>\infty</w:t>
      </w:r>
      <w:r>
        <w:br/>
        <w:t>\tag{3.13743}</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0&lt;\varepsilon_{\mathrm{dyn}}(X)&lt;\infty</w:t>
      </w:r>
    </w:p>
    <w:p w:rsidR="00EE70E6" w:rsidRDefault="00EE70E6" w:rsidP="00EE70E6">
      <w:pPr>
        <w:pStyle w:val="StandardWeb"/>
      </w:pPr>
      <w:r>
        <w:t>für einzelne Objekte besitzen.</w:t>
      </w:r>
    </w:p>
    <w:p w:rsidR="00EE70E6" w:rsidRDefault="00EE70E6" w:rsidP="00EE70E6">
      <w:r>
        <w:pict>
          <v:rect id="_x0000_i5791" style="width:0;height:1.5pt" o:hralign="center" o:hrstd="t" o:hr="t" fillcolor="#a0a0a0" stroked="f"/>
        </w:pict>
      </w:r>
    </w:p>
    <w:p w:rsidR="00EE70E6" w:rsidRDefault="00EE70E6" w:rsidP="00EE70E6">
      <w:pPr>
        <w:pStyle w:val="berschrift1"/>
      </w:pPr>
      <w:r>
        <w:lastRenderedPageBreak/>
        <w:t>3.3.52.118 Axiomentscheidung zur Nullfehlerreduktion</w:t>
      </w:r>
    </w:p>
    <w:p w:rsidR="00EE70E6" w:rsidRDefault="00EE70E6" w:rsidP="00EE70E6">
      <w:pPr>
        <w:pStyle w:val="StandardWeb"/>
      </w:pPr>
      <w:r>
        <w:t>Daher gilt</w:t>
      </w:r>
    </w:p>
    <w:p w:rsidR="00EE70E6" w:rsidRDefault="00EE70E6" w:rsidP="00EE70E6">
      <w:pPr>
        <w:pStyle w:val="berschrift1"/>
      </w:pPr>
      <w:r>
        <w:t>[</w:t>
      </w:r>
      <w:r>
        <w:br/>
        <w:t>\boxed{</w:t>
      </w:r>
      <w:r>
        <w:br/>
        <w:t>U_{\mathrm{Ax}}</w:t>
      </w:r>
      <w:r>
        <w:br/>
        <w:t>(A_{\mathrm{red-zero}})</w:t>
      </w:r>
    </w:p>
    <w:p w:rsidR="00EE70E6" w:rsidRDefault="00EE70E6" w:rsidP="009F7790">
      <w:pPr>
        <w:numPr>
          <w:ilvl w:val="0"/>
          <w:numId w:val="707"/>
        </w:numPr>
        <w:spacing w:before="100" w:beforeAutospacing="1" w:after="100" w:afterAutospacing="1"/>
      </w:pPr>
    </w:p>
    <w:p w:rsidR="00EE70E6" w:rsidRDefault="00EE70E6" w:rsidP="00EE70E6">
      <w:pPr>
        <w:pStyle w:val="StandardWeb"/>
      </w:pPr>
      <w:r>
        <w:t>}</w:t>
      </w:r>
      <w:r>
        <w:br/>
        <w:t>\tag{3.13744}</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\boxed{U_{\mathrm{Ax}}(A_{\mathrm{red-zero}})=0.}</w:t>
      </w:r>
    </w:p>
    <w:p w:rsidR="00EE70E6" w:rsidRDefault="00EE70E6" w:rsidP="00EE70E6">
      <w:r>
        <w:pict>
          <v:rect id="_x0000_i5792" style="width:0;height:1.5pt" o:hralign="center" o:hrstd="t" o:hr="t" fillcolor="#a0a0a0" stroked="f"/>
        </w:pict>
      </w:r>
    </w:p>
    <w:p w:rsidR="00EE70E6" w:rsidRDefault="00EE70E6" w:rsidP="00EE70E6">
      <w:pPr>
        <w:pStyle w:val="berschrift1"/>
      </w:pPr>
      <w:r>
        <w:t>3.3.52.119 Satz 3.3.237 – Fehlerfreie Reduktion ist kein Primäraxiom</w:t>
      </w:r>
    </w:p>
    <w:p w:rsidR="00EE70E6" w:rsidRDefault="00EE70E6" w:rsidP="00EE70E6">
      <w:pPr>
        <w:pStyle w:val="berschrift3"/>
      </w:pPr>
      <w:r>
        <w:t>Satz 3.3.237</w:t>
      </w:r>
    </w:p>
    <w:p w:rsidR="00EE70E6" w:rsidRDefault="00EE70E6" w:rsidP="00EE70E6">
      <w:pPr>
        <w:pStyle w:val="StandardWeb"/>
      </w:pPr>
      <w:r>
        <w:t>Die Forderung, jede funktionale Reduktion müsse die vollständige Dynamik ohne jede Abweichung reproduzieren, ist keine universell notwendige Voraussetzung des allgemeinen FRZK.</w:t>
      </w:r>
    </w:p>
    <w:p w:rsidR="00EE70E6" w:rsidRDefault="00EE70E6" w:rsidP="00EE70E6">
      <w:pPr>
        <w:pStyle w:val="berschrift1"/>
      </w:pPr>
      <w:r>
        <w:t>[</w:t>
      </w:r>
      <w:r>
        <w:br/>
        <w:t>\boxed{</w:t>
      </w:r>
      <w:r>
        <w:br/>
        <w:t>U_{\mathrm{Ax}}</w:t>
      </w:r>
      <w:r>
        <w:br/>
        <w:t>(A_{\mathrm{red-zero}})</w:t>
      </w:r>
    </w:p>
    <w:p w:rsidR="00EE70E6" w:rsidRDefault="00EE70E6" w:rsidP="009F7790">
      <w:pPr>
        <w:numPr>
          <w:ilvl w:val="0"/>
          <w:numId w:val="708"/>
        </w:numPr>
        <w:spacing w:before="100" w:beforeAutospacing="1" w:after="100" w:afterAutospacing="1"/>
      </w:pPr>
    </w:p>
    <w:p w:rsidR="00EE70E6" w:rsidRDefault="00EE70E6" w:rsidP="00EE70E6">
      <w:pPr>
        <w:pStyle w:val="StandardWeb"/>
      </w:pPr>
      <w:r>
        <w:t>}</w:t>
      </w:r>
      <w:r>
        <w:br/>
        <w:t>\tag{3.13745}</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lastRenderedPageBreak/>
        <w:t>\boxed{U_{\mathrm{Ax}}(A_{\mathrm{red-zero}})=0.}</w:t>
      </w:r>
    </w:p>
    <w:p w:rsidR="00EE70E6" w:rsidRDefault="00EE70E6" w:rsidP="00EE70E6">
      <w:r>
        <w:pict>
          <v:rect id="_x0000_i5793" style="width:0;height:1.5pt" o:hralign="center" o:hrstd="t" o:hr="t" fillcolor="#a0a0a0" stroked="f"/>
        </w:pict>
      </w:r>
    </w:p>
    <w:p w:rsidR="00EE70E6" w:rsidRDefault="00EE70E6" w:rsidP="00EE70E6">
      <w:pPr>
        <w:pStyle w:val="berschrift1"/>
      </w:pPr>
      <w:r>
        <w:t>3.3.52.120 Metrische Eigenschaften des Reduktionsfehlers</w:t>
      </w:r>
    </w:p>
    <w:p w:rsidR="00EE70E6" w:rsidRDefault="00EE70E6" w:rsidP="00EE70E6">
      <w:pPr>
        <w:pStyle w:val="StandardWeb"/>
      </w:pPr>
      <w:r>
        <w:t>Das Abweichungsmaß (d_F^{\mathrm{red}}) kann eine Metrik sein. Dann müsste insbesondere gelten:</w:t>
      </w:r>
    </w:p>
    <w:p w:rsidR="00EE70E6" w:rsidRDefault="00EE70E6" w:rsidP="00EE70E6">
      <w:pPr>
        <w:pStyle w:val="berschrift1"/>
      </w:pPr>
      <w:r>
        <w:t>[</w:t>
      </w:r>
      <w:r>
        <w:br/>
        <w:t>d_F^{\mathrm{red}}(X,Y)</w:t>
      </w:r>
    </w:p>
    <w:p w:rsidR="00EE70E6" w:rsidRDefault="00EE70E6" w:rsidP="00EE70E6">
      <w:pPr>
        <w:pStyle w:val="StandardWeb"/>
      </w:pPr>
      <w:r>
        <w:t>0</w:t>
      </w:r>
      <w:r>
        <w:br/>
        <w:t>\Longleftrightarrow</w:t>
      </w:r>
      <w:r>
        <w:br/>
        <w:t>X=Y,</w:t>
      </w:r>
      <w:r>
        <w:br/>
        <w:t>\tag{3.13746}</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d_F^{\mathrm{red}}(X,Y)=0\Longleftrightarrow X=Y</w:t>
      </w:r>
    </w:p>
    <w:p w:rsidR="00EE70E6" w:rsidRDefault="00EE70E6" w:rsidP="00EE70E6">
      <w:pPr>
        <w:pStyle w:val="berschrift1"/>
      </w:pPr>
      <w:r>
        <w:t>[</w:t>
      </w:r>
      <w:r>
        <w:br/>
        <w:t>d_F^{\mathrm{red}}(X,Y)</w:t>
      </w:r>
    </w:p>
    <w:p w:rsidR="00EE70E6" w:rsidRDefault="00EE70E6" w:rsidP="00EE70E6">
      <w:pPr>
        <w:pStyle w:val="StandardWeb"/>
      </w:pPr>
      <w:r>
        <w:t>d_F^{\mathrm{red}}(Y,X),</w:t>
      </w:r>
      <w:r>
        <w:br/>
        <w:t>\tag{3.13747}</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d_F^{\mathrm{red}}(X,Y)=d_F^{\mathrm{red}}(Y,X)</w:t>
      </w:r>
    </w:p>
    <w:p w:rsidR="00EE70E6" w:rsidRDefault="00EE70E6" w:rsidP="00EE70E6">
      <w:pPr>
        <w:pStyle w:val="StandardWeb"/>
      </w:pPr>
      <w:r>
        <w:t>und</w:t>
      </w:r>
    </w:p>
    <w:p w:rsidR="00EE70E6" w:rsidRDefault="00EE70E6" w:rsidP="00EE70E6">
      <w:pPr>
        <w:pStyle w:val="StandardWeb"/>
      </w:pPr>
      <w:r>
        <w:t>[</w:t>
      </w:r>
      <w:r>
        <w:br/>
        <w:t>d_F^{\mathrm{red}}(X,Z)</w:t>
      </w:r>
      <w:r>
        <w:br/>
        <w:t>\leq</w:t>
      </w:r>
      <w:r>
        <w:br/>
        <w:t>d_F^{\mathrm{red}}(X,Y)</w:t>
      </w:r>
      <w:r>
        <w:br/>
        <w:t>+</w:t>
      </w:r>
      <w:r>
        <w:br/>
        <w:t>d_F^{\mathrm{red}}(Y,Z).</w:t>
      </w:r>
      <w:r>
        <w:br/>
        <w:t>\tag{3.13748}</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d_F^{\mathrm{red}}(X,Z)\leq d_F^{\mathrm{red}}(X,Y)+d_F^{\mathrm{red}}(Y,Z)</w:t>
      </w:r>
    </w:p>
    <w:p w:rsidR="00EE70E6" w:rsidRDefault="00EE70E6" w:rsidP="00EE70E6">
      <w:r>
        <w:lastRenderedPageBreak/>
        <w:pict>
          <v:rect id="_x0000_i5794" style="width:0;height:1.5pt" o:hralign="center" o:hrstd="t" o:hr="t" fillcolor="#a0a0a0" stroked="f"/>
        </w:pict>
      </w:r>
    </w:p>
    <w:p w:rsidR="00EE70E6" w:rsidRDefault="00EE70E6" w:rsidP="00EE70E6">
      <w:pPr>
        <w:pStyle w:val="berschrift1"/>
      </w:pPr>
      <w:r>
        <w:t>3.3.52.121 Definition 3.3.606 – Metrisches funktionales Reduktionsabweichungsmaß</w:t>
      </w:r>
    </w:p>
    <w:p w:rsidR="00EE70E6" w:rsidRDefault="00EE70E6" w:rsidP="00EE70E6">
      <w:pPr>
        <w:pStyle w:val="berschrift3"/>
      </w:pPr>
      <w:r>
        <w:t>Definition 3.3.606</w:t>
      </w:r>
    </w:p>
    <w:p w:rsidR="00EE70E6" w:rsidRDefault="00EE70E6" w:rsidP="00EE70E6">
      <w:pPr>
        <w:pStyle w:val="StandardWeb"/>
      </w:pPr>
      <w:r>
        <w:t xml:space="preserve">Ein Reduktionsabweichungsmaß heißt </w:t>
      </w:r>
      <w:r>
        <w:rPr>
          <w:rStyle w:val="Fett"/>
        </w:rPr>
        <w:t>metrisch</w:t>
      </w:r>
      <w:r>
        <w:t>, wenn es die Metrikaxiome auf dem betrachteten reduzierten Zustandsraum erfüllt.</w:t>
      </w:r>
    </w:p>
    <w:p w:rsidR="00EE70E6" w:rsidRDefault="00EE70E6" w:rsidP="00EE70E6">
      <w:pPr>
        <w:pStyle w:val="StandardWeb"/>
      </w:pPr>
      <w:r>
        <w:t>Formal schreibe ich</w:t>
      </w:r>
    </w:p>
    <w:p w:rsidR="00EE70E6" w:rsidRDefault="00EE70E6" w:rsidP="00EE70E6">
      <w:pPr>
        <w:pStyle w:val="StandardWeb"/>
      </w:pPr>
      <w:r>
        <w:t>[</w:t>
      </w:r>
      <w:r>
        <w:br/>
        <w:t>\boxed{</w:t>
      </w:r>
      <w:r>
        <w:br/>
        <w:t>d_F^{\mathrm{red}}</w:t>
      </w:r>
      <w:r>
        <w:br/>
        <w:t>\in</w:t>
      </w:r>
      <w:r>
        <w:br/>
        <w:t>\operatorname{Met}</w:t>
      </w:r>
      <w:r>
        <w:br/>
        <w:t>\left(</w:t>
      </w:r>
      <w:r>
        <w:br/>
        <w:t>\mathcal X_F^{\mathrm{red}}</w:t>
      </w:r>
      <w:r>
        <w:br/>
        <w:t>\right).</w:t>
      </w:r>
      <w:r>
        <w:br/>
        <w:t>}</w:t>
      </w:r>
      <w:r>
        <w:br/>
        <w:t>\tag{3.13749}</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\boxed{d_F^{\mathrm{red}}\in\operatorname{Met}\left(\mathcal X_F^{\mathrm{red}}\right).}</w:t>
      </w:r>
    </w:p>
    <w:p w:rsidR="00EE70E6" w:rsidRDefault="00EE70E6" w:rsidP="00EE70E6">
      <w:r>
        <w:pict>
          <v:rect id="_x0000_i5795" style="width:0;height:1.5pt" o:hralign="center" o:hrstd="t" o:hr="t" fillcolor="#a0a0a0" stroked="f"/>
        </w:pict>
      </w:r>
    </w:p>
    <w:p w:rsidR="00EE70E6" w:rsidRDefault="00EE70E6" w:rsidP="00EE70E6">
      <w:pPr>
        <w:pStyle w:val="berschrift1"/>
      </w:pPr>
      <w:r>
        <w:t>3.3.52.122 Metrizität als Primäraxiomkandidat</w:t>
      </w:r>
    </w:p>
    <w:p w:rsidR="00EE70E6" w:rsidRDefault="00EE70E6" w:rsidP="00EE70E6">
      <w:pPr>
        <w:pStyle w:val="StandardWeb"/>
      </w:pPr>
      <w:r>
        <w:t>Ein Kandidat wäre</w:t>
      </w:r>
    </w:p>
    <w:p w:rsidR="00EE70E6" w:rsidRDefault="00EE70E6" w:rsidP="00EE70E6">
      <w:pPr>
        <w:pStyle w:val="StandardWeb"/>
      </w:pPr>
      <w:r>
        <w:t>[</w:t>
      </w:r>
      <w:r>
        <w:br/>
        <w:t>A_{\mathrm{red-metric}}</w:t>
      </w:r>
      <w:r>
        <w:br/>
        <w:t>:</w:t>
      </w:r>
      <w:r>
        <w:br/>
        <w:t>d_F^{\mathrm{red}}</w:t>
      </w:r>
      <w:r>
        <w:br/>
        <w:t>\text{ ist eine Metrik}.</w:t>
      </w:r>
      <w:r>
        <w:br/>
        <w:t>\tag{3.13750}</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A_{\mathrm{red-metric}}:d_F^{\mathrm{red}}\text{ ist eine Metrik}</w:t>
      </w:r>
    </w:p>
    <w:p w:rsidR="00EE70E6" w:rsidRDefault="00EE70E6" w:rsidP="00EE70E6">
      <w:r>
        <w:pict>
          <v:rect id="_x0000_i5796" style="width:0;height:1.5pt" o:hralign="center" o:hrstd="t" o:hr="t" fillcolor="#a0a0a0" stroked="f"/>
        </w:pict>
      </w:r>
    </w:p>
    <w:p w:rsidR="00EE70E6" w:rsidRDefault="00EE70E6" w:rsidP="00EE70E6">
      <w:pPr>
        <w:pStyle w:val="berschrift1"/>
      </w:pPr>
      <w:r>
        <w:t>3.3.52.123 Gegenmodell zur universellen Metrizität</w:t>
      </w:r>
    </w:p>
    <w:p w:rsidR="00EE70E6" w:rsidRDefault="00EE70E6" w:rsidP="00EE70E6">
      <w:pPr>
        <w:pStyle w:val="StandardWeb"/>
      </w:pPr>
      <w:r>
        <w:lastRenderedPageBreak/>
        <w:t>Ein Abweichungsmaß kann beispielsweise asymmetrisch sein:</w:t>
      </w:r>
    </w:p>
    <w:p w:rsidR="00EE70E6" w:rsidRDefault="00EE70E6" w:rsidP="00EE70E6">
      <w:pPr>
        <w:pStyle w:val="StandardWeb"/>
      </w:pPr>
      <w:r>
        <w:t>[</w:t>
      </w:r>
      <w:r>
        <w:br/>
        <w:t>d_F^{\mathrm{red}}(X,Y)</w:t>
      </w:r>
      <w:r>
        <w:br/>
        <w:t>\neq</w:t>
      </w:r>
      <w:r>
        <w:br/>
        <w:t>d_F^{\mathrm{red}}(Y,X).</w:t>
      </w:r>
      <w:r>
        <w:br/>
        <w:t>\tag{3.13751}</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d_F^{\mathrm{red}}(X,Y)\neq d_F^{\mathrm{red}}(Y,X)</w:t>
      </w:r>
    </w:p>
    <w:p w:rsidR="00EE70E6" w:rsidRDefault="00EE70E6" w:rsidP="00EE70E6">
      <w:pPr>
        <w:pStyle w:val="StandardWeb"/>
      </w:pPr>
      <w:r>
        <w:t>Eine solche Abbildung kann dennoch für eine konkrete Reduktionsbewertung sinnvoll definiert sein.</w:t>
      </w:r>
    </w:p>
    <w:p w:rsidR="00EE70E6" w:rsidRDefault="00EE70E6" w:rsidP="00EE70E6">
      <w:r>
        <w:pict>
          <v:rect id="_x0000_i5797" style="width:0;height:1.5pt" o:hralign="center" o:hrstd="t" o:hr="t" fillcolor="#a0a0a0" stroked="f"/>
        </w:pict>
      </w:r>
    </w:p>
    <w:p w:rsidR="00EE70E6" w:rsidRDefault="00EE70E6" w:rsidP="00EE70E6">
      <w:pPr>
        <w:pStyle w:val="berschrift1"/>
      </w:pPr>
      <w:r>
        <w:t>3.3.52.124 Axiomentscheidung zur Metrizität</w:t>
      </w:r>
    </w:p>
    <w:p w:rsidR="00EE70E6" w:rsidRDefault="00EE70E6" w:rsidP="00EE70E6">
      <w:pPr>
        <w:pStyle w:val="StandardWeb"/>
      </w:pPr>
      <w:r>
        <w:t>Damit folgt</w:t>
      </w:r>
    </w:p>
    <w:p w:rsidR="00EE70E6" w:rsidRDefault="00EE70E6" w:rsidP="00EE70E6">
      <w:pPr>
        <w:pStyle w:val="berschrift1"/>
      </w:pPr>
      <w:r>
        <w:t>[</w:t>
      </w:r>
      <w:r>
        <w:br/>
        <w:t>\boxed{</w:t>
      </w:r>
      <w:r>
        <w:br/>
        <w:t>U_{\mathrm{Ax}}</w:t>
      </w:r>
      <w:r>
        <w:br/>
        <w:t>(A_{\mathrm{red-metric}})</w:t>
      </w:r>
    </w:p>
    <w:p w:rsidR="00EE70E6" w:rsidRDefault="00EE70E6" w:rsidP="009F7790">
      <w:pPr>
        <w:numPr>
          <w:ilvl w:val="0"/>
          <w:numId w:val="709"/>
        </w:numPr>
        <w:spacing w:before="100" w:beforeAutospacing="1" w:after="100" w:afterAutospacing="1"/>
      </w:pPr>
    </w:p>
    <w:p w:rsidR="00EE70E6" w:rsidRDefault="00EE70E6" w:rsidP="00EE70E6">
      <w:pPr>
        <w:pStyle w:val="StandardWeb"/>
      </w:pPr>
      <w:r>
        <w:t>}</w:t>
      </w:r>
      <w:r>
        <w:br/>
        <w:t>\tag{3.13752}</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\boxed{U_{\mathrm{Ax}}(A_{\mathrm{red-metric}})=0.}</w:t>
      </w:r>
    </w:p>
    <w:p w:rsidR="00EE70E6" w:rsidRDefault="00EE70E6" w:rsidP="00EE70E6">
      <w:r>
        <w:pict>
          <v:rect id="_x0000_i5798" style="width:0;height:1.5pt" o:hralign="center" o:hrstd="t" o:hr="t" fillcolor="#a0a0a0" stroked="f"/>
        </w:pict>
      </w:r>
    </w:p>
    <w:p w:rsidR="00EE70E6" w:rsidRDefault="00EE70E6" w:rsidP="00EE70E6">
      <w:pPr>
        <w:pStyle w:val="berschrift1"/>
      </w:pPr>
      <w:r>
        <w:t>3.3.52.125 Satz 3.3.238 – Ein metrischer Reduktionsfehler ist kein Primäraxiom</w:t>
      </w:r>
    </w:p>
    <w:p w:rsidR="00EE70E6" w:rsidRDefault="00EE70E6" w:rsidP="00EE70E6">
      <w:pPr>
        <w:pStyle w:val="berschrift3"/>
      </w:pPr>
      <w:r>
        <w:t>Satz 3.3.238</w:t>
      </w:r>
    </w:p>
    <w:p w:rsidR="00EE70E6" w:rsidRDefault="00EE70E6" w:rsidP="00EE70E6">
      <w:pPr>
        <w:pStyle w:val="StandardWeb"/>
      </w:pPr>
      <w:r>
        <w:t>Die Forderung, jedes funktionale Reduktionsabweichungsmaß müsse eine mathematische Metrik sein, ist keine universell notwendige Voraussetzung des allgemeinen FRZK.</w:t>
      </w:r>
    </w:p>
    <w:p w:rsidR="00EE70E6" w:rsidRDefault="00EE70E6" w:rsidP="00EE70E6">
      <w:pPr>
        <w:pStyle w:val="berschrift1"/>
      </w:pPr>
      <w:r>
        <w:lastRenderedPageBreak/>
        <w:t>[</w:t>
      </w:r>
      <w:r>
        <w:br/>
        <w:t>\boxed{</w:t>
      </w:r>
      <w:r>
        <w:br/>
        <w:t>U_{\mathrm{Ax}}</w:t>
      </w:r>
      <w:r>
        <w:br/>
        <w:t>(A_{\mathrm{red-metric}})</w:t>
      </w:r>
    </w:p>
    <w:p w:rsidR="00EE70E6" w:rsidRDefault="00EE70E6" w:rsidP="009F7790">
      <w:pPr>
        <w:numPr>
          <w:ilvl w:val="0"/>
          <w:numId w:val="710"/>
        </w:numPr>
        <w:spacing w:before="100" w:beforeAutospacing="1" w:after="100" w:afterAutospacing="1"/>
      </w:pPr>
    </w:p>
    <w:p w:rsidR="00EE70E6" w:rsidRDefault="00EE70E6" w:rsidP="00EE70E6">
      <w:pPr>
        <w:pStyle w:val="StandardWeb"/>
      </w:pPr>
      <w:r>
        <w:t>}</w:t>
      </w:r>
      <w:r>
        <w:br/>
        <w:t>\tag{3.13753}</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\boxed{U_{\mathrm{Ax}}(A_{\mathrm{red-metric}})=0.}</w:t>
      </w:r>
    </w:p>
    <w:p w:rsidR="00EE70E6" w:rsidRDefault="00EE70E6" w:rsidP="00EE70E6">
      <w:r>
        <w:pict>
          <v:rect id="_x0000_i5799" style="width:0;height:1.5pt" o:hralign="center" o:hrstd="t" o:hr="t" fillcolor="#a0a0a0" stroked="f"/>
        </w:pict>
      </w:r>
    </w:p>
    <w:p w:rsidR="00EE70E6" w:rsidRDefault="00EE70E6" w:rsidP="00EE70E6">
      <w:pPr>
        <w:pStyle w:val="berschrift1"/>
      </w:pPr>
      <w:r>
        <w:t>3.3.52.126 Hierarchie funktionaler Reduktionen</w:t>
      </w:r>
    </w:p>
    <w:p w:rsidR="00EE70E6" w:rsidRDefault="00EE70E6" w:rsidP="00EE70E6">
      <w:pPr>
        <w:pStyle w:val="StandardWeb"/>
      </w:pPr>
      <w:r>
        <w:t>Mehrere Reduktionsräume können hierarchisch angeordnet werden:</w:t>
      </w:r>
    </w:p>
    <w:p w:rsidR="00EE70E6" w:rsidRDefault="00EE70E6" w:rsidP="00EE70E6">
      <w:pPr>
        <w:pStyle w:val="StandardWeb"/>
      </w:pPr>
      <w:r>
        <w:t>[</w:t>
      </w:r>
      <w:r>
        <w:br/>
        <w:t>\mathcal X_F</w:t>
      </w:r>
      <w:r>
        <w:br/>
        <w:t>\xrightarrow{R_{F,1}}</w:t>
      </w:r>
      <w:r>
        <w:br/>
        <w:t>\mathcal X_F^{(1)}</w:t>
      </w:r>
      <w:r>
        <w:br/>
        <w:t>\xrightarrow{R_{F,2}}</w:t>
      </w:r>
      <w:r>
        <w:br/>
        <w:t>\mathcal X_F^{(2)}</w:t>
      </w:r>
      <w:r>
        <w:br/>
        <w:t>\xrightarrow{R_{F,3}}</w:t>
      </w:r>
      <w:r>
        <w:br/>
        <w:t>\cdots.</w:t>
      </w:r>
      <w:r>
        <w:br/>
        <w:t>\tag{3.13754}</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\mathcal X_F\xrightarrow{R_{F,1}}\mathcal X_F^{(1)}\xrightarrow{R_{F,2}}\mathcal X_F^{(2)}\xrightarrow{R_{F,3}}\cdots</w:t>
      </w:r>
    </w:p>
    <w:p w:rsidR="00EE70E6" w:rsidRDefault="00EE70E6" w:rsidP="00EE70E6">
      <w:r>
        <w:pict>
          <v:rect id="_x0000_i5800" style="width:0;height:1.5pt" o:hralign="center" o:hrstd="t" o:hr="t" fillcolor="#a0a0a0" stroked="f"/>
        </w:pict>
      </w:r>
    </w:p>
    <w:p w:rsidR="00EE70E6" w:rsidRDefault="00EE70E6" w:rsidP="00EE70E6">
      <w:pPr>
        <w:pStyle w:val="berschrift1"/>
      </w:pPr>
      <w:r>
        <w:t>3.3.52.127 Definition 3.3.607 – Funktionale Reduktionshierarchie</w:t>
      </w:r>
    </w:p>
    <w:p w:rsidR="00EE70E6" w:rsidRDefault="00EE70E6" w:rsidP="00EE70E6">
      <w:pPr>
        <w:pStyle w:val="berschrift3"/>
      </w:pPr>
      <w:r>
        <w:t>Definition 3.3.607</w:t>
      </w:r>
    </w:p>
    <w:p w:rsidR="00EE70E6" w:rsidRDefault="00EE70E6" w:rsidP="00EE70E6">
      <w:pPr>
        <w:pStyle w:val="StandardWeb"/>
      </w:pPr>
      <w:r>
        <w:t xml:space="preserve">Eine </w:t>
      </w:r>
      <w:r>
        <w:rPr>
          <w:rStyle w:val="Fett"/>
        </w:rPr>
        <w:t>funktionale Reduktionshierarchie</w:t>
      </w:r>
      <w:r>
        <w:t xml:space="preserve"> ist eine Folge von Räumen und Reduktionsabbildungen</w:t>
      </w:r>
    </w:p>
    <w:p w:rsidR="00EE70E6" w:rsidRDefault="00EE70E6" w:rsidP="00EE70E6">
      <w:pPr>
        <w:pStyle w:val="StandardWeb"/>
      </w:pPr>
      <w:r>
        <w:t>[</w:t>
      </w:r>
      <w:r>
        <w:br/>
        <w:t>\boxed{</w:t>
      </w:r>
      <w:r>
        <w:br/>
      </w:r>
      <w:r>
        <w:lastRenderedPageBreak/>
        <w:t>\mathcal X_F^{(0)}</w:t>
      </w:r>
      <w:r>
        <w:br/>
        <w:t>\xrightarrow{R_{F,1}}</w:t>
      </w:r>
      <w:r>
        <w:br/>
        <w:t>\mathcal X_F^{(1)}</w:t>
      </w:r>
      <w:r>
        <w:br/>
        <w:t>\xrightarrow{R_{F,2}}</w:t>
      </w:r>
      <w:r>
        <w:br/>
        <w:t>\cdots</w:t>
      </w:r>
      <w:r>
        <w:br/>
        <w:t>\xrightarrow{R_{F,n}}</w:t>
      </w:r>
      <w:r>
        <w:br/>
        <w:t>\mathcal X_F^{(n)},</w:t>
      </w:r>
      <w:r>
        <w:br/>
        <w:t>}</w:t>
      </w:r>
      <w:r>
        <w:br/>
        <w:t>\tag{3.13755}</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\boxed{\mathcal X_F^{(0)}\xrightarrow{R_{F,1}}\mathcal X_F^{(1)}\xrightarrow{R_{F,2}}\cdots\xrightarrow{R_{F,n}}\mathcal X_F^{(n)},}</w:t>
      </w:r>
    </w:p>
    <w:p w:rsidR="00EE70E6" w:rsidRDefault="00EE70E6" w:rsidP="00EE70E6">
      <w:pPr>
        <w:pStyle w:val="StandardWeb"/>
      </w:pPr>
      <w:r>
        <w:t>wobei</w:t>
      </w:r>
    </w:p>
    <w:p w:rsidR="00EE70E6" w:rsidRDefault="00EE70E6" w:rsidP="00EE70E6">
      <w:pPr>
        <w:pStyle w:val="berschrift1"/>
      </w:pPr>
      <w:r>
        <w:t>[</w:t>
      </w:r>
      <w:r>
        <w:br/>
        <w:t>\mathcal X_F^{(0)}</w:t>
      </w:r>
    </w:p>
    <w:p w:rsidR="00EE70E6" w:rsidRDefault="00EE70E6" w:rsidP="00EE70E6">
      <w:pPr>
        <w:pStyle w:val="StandardWeb"/>
      </w:pPr>
      <w:r>
        <w:t>\mathcal X_F.</w:t>
      </w:r>
      <w:r>
        <w:br/>
        <w:t>\tag{3.13756}</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\mathcal X_F^{(0)}=\mathcal X_F</w:t>
      </w:r>
    </w:p>
    <w:p w:rsidR="00EE70E6" w:rsidRDefault="00EE70E6" w:rsidP="00EE70E6">
      <w:r>
        <w:pict>
          <v:rect id="_x0000_i5801" style="width:0;height:1.5pt" o:hralign="center" o:hrstd="t" o:hr="t" fillcolor="#a0a0a0" stroked="f"/>
        </w:pict>
      </w:r>
    </w:p>
    <w:p w:rsidR="00EE70E6" w:rsidRDefault="00EE70E6" w:rsidP="00EE70E6">
      <w:pPr>
        <w:pStyle w:val="berschrift1"/>
      </w:pPr>
      <w:r>
        <w:t>3.3.52.128 Reduktionstiefe</w:t>
      </w:r>
    </w:p>
    <w:p w:rsidR="00EE70E6" w:rsidRDefault="00EE70E6" w:rsidP="00EE70E6">
      <w:pPr>
        <w:pStyle w:val="StandardWeb"/>
      </w:pPr>
      <w:r>
        <w:t>Einer endlichen Reduktionshierarchie kann eine Tiefe</w:t>
      </w:r>
    </w:p>
    <w:p w:rsidR="00EE70E6" w:rsidRDefault="00EE70E6" w:rsidP="00EE70E6">
      <w:pPr>
        <w:pStyle w:val="StandardWeb"/>
      </w:pPr>
      <w:r>
        <w:t>[</w:t>
      </w:r>
      <w:r>
        <w:br/>
        <w:t>h_{\mathrm{red}}</w:t>
      </w:r>
      <w:r>
        <w:br/>
        <w:t>\in</w:t>
      </w:r>
      <w:r>
        <w:br/>
        <w:t>\mathbb N_0</w:t>
      </w:r>
      <w:r>
        <w:br/>
        <w:t>\tag{3.13757}</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h_{\mathrm{red}}\in\mathbb N_0</w:t>
      </w:r>
    </w:p>
    <w:p w:rsidR="00EE70E6" w:rsidRDefault="00EE70E6" w:rsidP="00EE70E6">
      <w:pPr>
        <w:pStyle w:val="StandardWeb"/>
      </w:pPr>
      <w:r>
        <w:t>zugeordnet werden.</w:t>
      </w:r>
    </w:p>
    <w:p w:rsidR="00EE70E6" w:rsidRDefault="00EE70E6" w:rsidP="00EE70E6">
      <w:r>
        <w:pict>
          <v:rect id="_x0000_i5802" style="width:0;height:1.5pt" o:hralign="center" o:hrstd="t" o:hr="t" fillcolor="#a0a0a0" stroked="f"/>
        </w:pict>
      </w:r>
    </w:p>
    <w:p w:rsidR="00EE70E6" w:rsidRDefault="00EE70E6" w:rsidP="00EE70E6">
      <w:pPr>
        <w:pStyle w:val="berschrift1"/>
      </w:pPr>
      <w:r>
        <w:lastRenderedPageBreak/>
        <w:t>3.3.52.129 Definition 3.3.608 – Funktionale Reduktionstiefe</w:t>
      </w:r>
    </w:p>
    <w:p w:rsidR="00EE70E6" w:rsidRDefault="00EE70E6" w:rsidP="00EE70E6">
      <w:pPr>
        <w:pStyle w:val="berschrift3"/>
      </w:pPr>
      <w:r>
        <w:t>Definition 3.3.608</w:t>
      </w:r>
    </w:p>
    <w:p w:rsidR="00EE70E6" w:rsidRDefault="00EE70E6" w:rsidP="00EE70E6">
      <w:pPr>
        <w:pStyle w:val="StandardWeb"/>
      </w:pPr>
      <w:r>
        <w:t xml:space="preserve">Die </w:t>
      </w:r>
      <w:r>
        <w:rPr>
          <w:rStyle w:val="Fett"/>
        </w:rPr>
        <w:t>funktionale Reduktionstiefe</w:t>
      </w:r>
      <w:r>
        <w:t xml:space="preserve"> einer endlichen Reduktionshierarchie ist die Anzahl der aufeinanderfolgenden Reduktionsstufen:</w:t>
      </w:r>
    </w:p>
    <w:p w:rsidR="00EE70E6" w:rsidRDefault="00EE70E6" w:rsidP="00EE70E6">
      <w:pPr>
        <w:pStyle w:val="berschrift1"/>
      </w:pPr>
      <w:r>
        <w:t>[</w:t>
      </w:r>
      <w:r>
        <w:br/>
        <w:t>\boxed{</w:t>
      </w:r>
      <w:r>
        <w:br/>
        <w:t>h_{\mathrm{red}}</w:t>
      </w:r>
    </w:p>
    <w:p w:rsidR="00EE70E6" w:rsidRDefault="00EE70E6" w:rsidP="00EE70E6">
      <w:pPr>
        <w:pStyle w:val="StandardWeb"/>
      </w:pPr>
      <w:r>
        <w:t>n.</w:t>
      </w:r>
      <w:r>
        <w:br/>
        <w:t>}</w:t>
      </w:r>
      <w:r>
        <w:br/>
        <w:t>\tag{3.13758}</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\boxed{h_{\mathrm{red}}=n.}</w:t>
      </w:r>
    </w:p>
    <w:p w:rsidR="00EE70E6" w:rsidRDefault="00EE70E6" w:rsidP="00EE70E6">
      <w:r>
        <w:pict>
          <v:rect id="_x0000_i5803" style="width:0;height:1.5pt" o:hralign="center" o:hrstd="t" o:hr="t" fillcolor="#a0a0a0" stroked="f"/>
        </w:pict>
      </w:r>
    </w:p>
    <w:p w:rsidR="00EE70E6" w:rsidRDefault="00EE70E6" w:rsidP="00EE70E6">
      <w:pPr>
        <w:pStyle w:val="berschrift1"/>
      </w:pPr>
      <w:r>
        <w:t>3.3.52.130 Global beschränkte Reduktionstiefe als Primäraxiomkandidat</w:t>
      </w:r>
    </w:p>
    <w:p w:rsidR="00EE70E6" w:rsidRDefault="00EE70E6" w:rsidP="00EE70E6">
      <w:pPr>
        <w:pStyle w:val="StandardWeb"/>
      </w:pPr>
      <w:r>
        <w:t>Ein Kandidat wäre</w:t>
      </w:r>
    </w:p>
    <w:p w:rsidR="00EE70E6" w:rsidRDefault="00EE70E6" w:rsidP="00EE70E6">
      <w:pPr>
        <w:pStyle w:val="StandardWeb"/>
      </w:pPr>
      <w:r>
        <w:t>[</w:t>
      </w:r>
      <w:r>
        <w:br/>
        <w:t>A_{\mathrm{red-depth}}</w:t>
      </w:r>
      <w:r>
        <w:br/>
        <w:t>:</w:t>
      </w:r>
      <w:r>
        <w:br/>
        <w:t>\exists h_{\max}</w:t>
      </w:r>
      <w:r>
        <w:br/>
        <w:t>&lt;</w:t>
      </w:r>
      <w:r>
        <w:br/>
        <w:t>\infty</w:t>
      </w:r>
      <w:r>
        <w:br/>
        <w:t>:</w:t>
      </w:r>
      <w:r>
        <w:br/>
        <w:t>h_{\mathrm{red}}</w:t>
      </w:r>
      <w:r>
        <w:br/>
        <w:t>\leq</w:t>
      </w:r>
      <w:r>
        <w:br/>
        <w:t>h_{\max}</w:t>
      </w:r>
      <w:r>
        <w:br/>
        <w:t>\tag{3.13759}</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A_{\mathrm{red-depth}}:\exists h_{\max}&lt;\infty:h_{\mathrm{red}}\leq h_{\max}</w:t>
      </w:r>
    </w:p>
    <w:p w:rsidR="00EE70E6" w:rsidRDefault="00EE70E6" w:rsidP="00EE70E6">
      <w:pPr>
        <w:pStyle w:val="StandardWeb"/>
      </w:pPr>
      <w:r>
        <w:t>für jede zulässige Reduktionshierarchie.</w:t>
      </w:r>
    </w:p>
    <w:p w:rsidR="00EE70E6" w:rsidRDefault="00EE70E6" w:rsidP="00EE70E6">
      <w:r>
        <w:lastRenderedPageBreak/>
        <w:pict>
          <v:rect id="_x0000_i5804" style="width:0;height:1.5pt" o:hralign="center" o:hrstd="t" o:hr="t" fillcolor="#a0a0a0" stroked="f"/>
        </w:pict>
      </w:r>
    </w:p>
    <w:p w:rsidR="00EE70E6" w:rsidRDefault="00EE70E6" w:rsidP="00EE70E6">
      <w:pPr>
        <w:pStyle w:val="berschrift1"/>
      </w:pPr>
      <w:r>
        <w:t>3.3.52.131 Gegenmodell</w:t>
      </w:r>
    </w:p>
    <w:p w:rsidR="00EE70E6" w:rsidRDefault="00EE70E6" w:rsidP="00EE70E6">
      <w:pPr>
        <w:pStyle w:val="StandardWeb"/>
      </w:pPr>
      <w:r>
        <w:t>Eine Modellklasse kann eine beliebig fortsetzbare Folge verschiedener Reduktionsstufen zulassen:</w:t>
      </w:r>
    </w:p>
    <w:p w:rsidR="00EE70E6" w:rsidRDefault="00EE70E6" w:rsidP="00EE70E6">
      <w:pPr>
        <w:pStyle w:val="StandardWeb"/>
      </w:pPr>
      <w:r>
        <w:t>[</w:t>
      </w:r>
      <w:r>
        <w:br/>
        <w:t>\forall n\in\mathbb N</w:t>
      </w:r>
      <w:r>
        <w:br/>
        <w:t>\quad</w:t>
      </w:r>
      <w:r>
        <w:br/>
        <w:t>\exists</w:t>
      </w:r>
      <w:r>
        <w:br/>
        <w:t>\mathcal X_F^{(n)}.</w:t>
      </w:r>
      <w:r>
        <w:br/>
        <w:t>\tag{3.13760}</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\forall n\in\mathbb N\quad\exists\mathcal X_F^{(n)}</w:t>
      </w:r>
    </w:p>
    <w:p w:rsidR="00EE70E6" w:rsidRDefault="00EE70E6" w:rsidP="00EE70E6">
      <w:pPr>
        <w:pStyle w:val="StandardWeb"/>
      </w:pPr>
      <w:r>
        <w:t>Daraus folgt keine universelle endliche obere Grenze.</w:t>
      </w:r>
    </w:p>
    <w:p w:rsidR="00EE70E6" w:rsidRDefault="00EE70E6" w:rsidP="00EE70E6">
      <w:r>
        <w:pict>
          <v:rect id="_x0000_i5805" style="width:0;height:1.5pt" o:hralign="center" o:hrstd="t" o:hr="t" fillcolor="#a0a0a0" stroked="f"/>
        </w:pict>
      </w:r>
    </w:p>
    <w:p w:rsidR="00EE70E6" w:rsidRDefault="00EE70E6" w:rsidP="00EE70E6">
      <w:pPr>
        <w:pStyle w:val="berschrift1"/>
      </w:pPr>
      <w:r>
        <w:t>3.3.52.132 Axiomentscheidung zur globalen Reduktionstiefe</w:t>
      </w:r>
    </w:p>
    <w:p w:rsidR="00EE70E6" w:rsidRDefault="00EE70E6" w:rsidP="00EE70E6">
      <w:pPr>
        <w:pStyle w:val="StandardWeb"/>
      </w:pPr>
      <w:r>
        <w:t>Somit gilt</w:t>
      </w:r>
    </w:p>
    <w:p w:rsidR="00EE70E6" w:rsidRDefault="00EE70E6" w:rsidP="00EE70E6">
      <w:pPr>
        <w:pStyle w:val="berschrift1"/>
      </w:pPr>
      <w:r>
        <w:t>[</w:t>
      </w:r>
      <w:r>
        <w:br/>
        <w:t>\boxed{</w:t>
      </w:r>
      <w:r>
        <w:br/>
        <w:t>U_{\mathrm{Ax}}</w:t>
      </w:r>
      <w:r>
        <w:br/>
        <w:t>(A_{\mathrm{red-depth}})</w:t>
      </w:r>
    </w:p>
    <w:p w:rsidR="00EE70E6" w:rsidRDefault="00EE70E6" w:rsidP="009F7790">
      <w:pPr>
        <w:numPr>
          <w:ilvl w:val="0"/>
          <w:numId w:val="711"/>
        </w:numPr>
        <w:spacing w:before="100" w:beforeAutospacing="1" w:after="100" w:afterAutospacing="1"/>
      </w:pPr>
    </w:p>
    <w:p w:rsidR="00EE70E6" w:rsidRDefault="00EE70E6" w:rsidP="00EE70E6">
      <w:pPr>
        <w:pStyle w:val="StandardWeb"/>
      </w:pPr>
      <w:r>
        <w:t>}</w:t>
      </w:r>
      <w:r>
        <w:br/>
        <w:t>\tag{3.13761}</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\boxed{U_{\mathrm{Ax}}(A_{\mathrm{red-depth}})=0.}</w:t>
      </w:r>
    </w:p>
    <w:p w:rsidR="00EE70E6" w:rsidRDefault="00EE70E6" w:rsidP="00EE70E6">
      <w:r>
        <w:pict>
          <v:rect id="_x0000_i5806" style="width:0;height:1.5pt" o:hralign="center" o:hrstd="t" o:hr="t" fillcolor="#a0a0a0" stroked="f"/>
        </w:pict>
      </w:r>
    </w:p>
    <w:p w:rsidR="00EE70E6" w:rsidRDefault="00EE70E6" w:rsidP="00EE70E6">
      <w:pPr>
        <w:pStyle w:val="berschrift1"/>
      </w:pPr>
      <w:r>
        <w:t>3.3.52.133 Satz 3.3.239 – Eine universell begrenzte Reduktionstiefe ist kein Primäraxiom</w:t>
      </w:r>
    </w:p>
    <w:p w:rsidR="00EE70E6" w:rsidRDefault="00EE70E6" w:rsidP="00EE70E6">
      <w:pPr>
        <w:pStyle w:val="berschrift3"/>
      </w:pPr>
      <w:r>
        <w:lastRenderedPageBreak/>
        <w:t>Satz 3.3.239</w:t>
      </w:r>
    </w:p>
    <w:p w:rsidR="00EE70E6" w:rsidRDefault="00EE70E6" w:rsidP="00EE70E6">
      <w:pPr>
        <w:pStyle w:val="StandardWeb"/>
      </w:pPr>
      <w:r>
        <w:t>Die Forderung, jede funktionale Reduktionshierarchie müsse durch eine universell festgelegte endliche maximale Tiefe begrenzt sein, ist keine notwendige Voraussetzung des allgemeinen FRZK.</w:t>
      </w:r>
    </w:p>
    <w:p w:rsidR="00EE70E6" w:rsidRDefault="00EE70E6" w:rsidP="00EE70E6">
      <w:pPr>
        <w:pStyle w:val="berschrift1"/>
      </w:pPr>
      <w:r>
        <w:t>[</w:t>
      </w:r>
      <w:r>
        <w:br/>
        <w:t>\boxed{</w:t>
      </w:r>
      <w:r>
        <w:br/>
        <w:t>U_{\mathrm{Ax}}</w:t>
      </w:r>
      <w:r>
        <w:br/>
        <w:t>(A_{\mathrm{red-depth}})</w:t>
      </w:r>
    </w:p>
    <w:p w:rsidR="00EE70E6" w:rsidRDefault="00EE70E6" w:rsidP="009F7790">
      <w:pPr>
        <w:numPr>
          <w:ilvl w:val="0"/>
          <w:numId w:val="712"/>
        </w:numPr>
        <w:spacing w:before="100" w:beforeAutospacing="1" w:after="100" w:afterAutospacing="1"/>
      </w:pPr>
    </w:p>
    <w:p w:rsidR="00EE70E6" w:rsidRDefault="00EE70E6" w:rsidP="00EE70E6">
      <w:pPr>
        <w:pStyle w:val="StandardWeb"/>
      </w:pPr>
      <w:r>
        <w:t>}</w:t>
      </w:r>
      <w:r>
        <w:br/>
        <w:t>\tag{3.13762}</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\boxed{U_{\mathrm{Ax}}(A_{\mathrm{red-depth}})=0.}</w:t>
      </w:r>
    </w:p>
    <w:p w:rsidR="00EE70E6" w:rsidRDefault="00EE70E6" w:rsidP="00EE70E6">
      <w:r>
        <w:pict>
          <v:rect id="_x0000_i5807" style="width:0;height:1.5pt" o:hralign="center" o:hrstd="t" o:hr="t" fillcolor="#a0a0a0" stroked="f"/>
        </w:pict>
      </w:r>
    </w:p>
    <w:p w:rsidR="00EE70E6" w:rsidRDefault="00EE70E6" w:rsidP="00EE70E6">
      <w:pPr>
        <w:pStyle w:val="berschrift1"/>
      </w:pPr>
      <w:r>
        <w:t>3.3.52.134 Korollar 3.3.62 – Reduktionstiefe ist modellabhängig</w:t>
      </w:r>
    </w:p>
    <w:p w:rsidR="00EE70E6" w:rsidRDefault="00EE70E6" w:rsidP="00EE70E6">
      <w:pPr>
        <w:pStyle w:val="berschrift3"/>
      </w:pPr>
      <w:r>
        <w:t>Korollar 3.3.62</w:t>
      </w:r>
    </w:p>
    <w:p w:rsidR="00EE70E6" w:rsidRDefault="00EE70E6" w:rsidP="00EE70E6">
      <w:pPr>
        <w:pStyle w:val="StandardWeb"/>
      </w:pPr>
      <w:r>
        <w:t>Aus Satz 3.3.239 folgt</w:t>
      </w:r>
    </w:p>
    <w:p w:rsidR="00EE70E6" w:rsidRDefault="00EE70E6" w:rsidP="00EE70E6">
      <w:pPr>
        <w:pStyle w:val="berschrift1"/>
      </w:pPr>
      <w:r>
        <w:t>[</w:t>
      </w:r>
      <w:r>
        <w:br/>
        <w:t>\boxed{</w:t>
      </w:r>
      <w:r>
        <w:br/>
        <w:t>\operatorname{Stat}</w:t>
      </w:r>
      <w:r>
        <w:br/>
        <w:t>(h_{\mathrm{red}})</w:t>
      </w:r>
    </w:p>
    <w:p w:rsidR="00EE70E6" w:rsidRDefault="00EE70E6" w:rsidP="00EE70E6">
      <w:pPr>
        <w:pStyle w:val="StandardWeb"/>
      </w:pPr>
      <w:r>
        <w:t>\mathrm{Def/Mod/Op}.</w:t>
      </w:r>
      <w:r>
        <w:br/>
        <w:t>}</w:t>
      </w:r>
      <w:r>
        <w:br/>
        <w:t>\tag{3.13763}</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\boxed{\operatorname{Stat}(h_{\mathrm{red}})=\mathrm{Def/Mod/Op}.}</w:t>
      </w:r>
    </w:p>
    <w:p w:rsidR="00EE70E6" w:rsidRDefault="00EE70E6" w:rsidP="00EE70E6">
      <w:r>
        <w:pict>
          <v:rect id="_x0000_i5808" style="width:0;height:1.5pt" o:hralign="center" o:hrstd="t" o:hr="t" fillcolor="#a0a0a0" stroked="f"/>
        </w:pict>
      </w:r>
    </w:p>
    <w:p w:rsidR="00EE70E6" w:rsidRDefault="00EE70E6" w:rsidP="00EE70E6">
      <w:pPr>
        <w:pStyle w:val="berschrift1"/>
      </w:pPr>
      <w:r>
        <w:lastRenderedPageBreak/>
        <w:t>3.3.52.135 Hierarchie von Äquivalenzrelationen</w:t>
      </w:r>
    </w:p>
    <w:p w:rsidR="00EE70E6" w:rsidRDefault="00EE70E6" w:rsidP="00EE70E6">
      <w:pPr>
        <w:pStyle w:val="StandardWeb"/>
      </w:pPr>
      <w:r>
        <w:t>Auch Quotientenstrukturen können hierarchisch aufgebaut werden.</w:t>
      </w:r>
    </w:p>
    <w:p w:rsidR="00EE70E6" w:rsidRDefault="00EE70E6" w:rsidP="00EE70E6">
      <w:pPr>
        <w:pStyle w:val="StandardWeb"/>
      </w:pPr>
      <w:r>
        <w:t>Seien zwei Äquivalenzrelationen</w:t>
      </w:r>
    </w:p>
    <w:p w:rsidR="00EE70E6" w:rsidRDefault="00EE70E6" w:rsidP="00EE70E6">
      <w:pPr>
        <w:pStyle w:val="StandardWeb"/>
      </w:pPr>
      <w:r>
        <w:t>[</w:t>
      </w:r>
      <w:r>
        <w:br/>
        <w:t>\sim_1</w:t>
      </w:r>
      <w:r>
        <w:br/>
        <w:t>\quad\text{und}\quad</w:t>
      </w:r>
      <w:r>
        <w:br/>
        <w:t>\sim_2</w:t>
      </w:r>
      <w:r>
        <w:br/>
        <w:t>\tag{3.13764}</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\sim_1\quad\text{und}\quad\sim_2</w:t>
      </w:r>
    </w:p>
    <w:p w:rsidR="00EE70E6" w:rsidRDefault="00EE70E6" w:rsidP="00EE70E6">
      <w:pPr>
        <w:pStyle w:val="StandardWeb"/>
      </w:pPr>
      <w:r>
        <w:t>auf (\mathcal X_F) definiert.</w:t>
      </w:r>
    </w:p>
    <w:p w:rsidR="00EE70E6" w:rsidRDefault="00EE70E6" w:rsidP="00EE70E6">
      <w:pPr>
        <w:pStyle w:val="StandardWeb"/>
      </w:pPr>
      <w:r>
        <w:t>Eine Relation kann feiner sein als eine andere.</w:t>
      </w:r>
    </w:p>
    <w:p w:rsidR="00EE70E6" w:rsidRDefault="00EE70E6" w:rsidP="00EE70E6">
      <w:r>
        <w:pict>
          <v:rect id="_x0000_i5809" style="width:0;height:1.5pt" o:hralign="center" o:hrstd="t" o:hr="t" fillcolor="#a0a0a0" stroked="f"/>
        </w:pict>
      </w:r>
    </w:p>
    <w:p w:rsidR="00EE70E6" w:rsidRDefault="00EE70E6" w:rsidP="00EE70E6">
      <w:pPr>
        <w:pStyle w:val="berschrift1"/>
      </w:pPr>
      <w:r>
        <w:t>3.3.52.136 Definition 3.3.609 – Feinere funktionale Äquivalenzrelation</w:t>
      </w:r>
    </w:p>
    <w:p w:rsidR="00EE70E6" w:rsidRDefault="00EE70E6" w:rsidP="00EE70E6">
      <w:pPr>
        <w:pStyle w:val="berschrift3"/>
      </w:pPr>
      <w:r>
        <w:t>Definition 3.3.609</w:t>
      </w:r>
    </w:p>
    <w:p w:rsidR="00EE70E6" w:rsidRDefault="00EE70E6" w:rsidP="00EE70E6">
      <w:pPr>
        <w:pStyle w:val="StandardWeb"/>
      </w:pPr>
      <w:r>
        <w:t xml:space="preserve">Eine Äquivalenzrelation (\sim_1) heißt </w:t>
      </w:r>
      <w:r>
        <w:rPr>
          <w:rStyle w:val="Fett"/>
        </w:rPr>
        <w:t>feiner als (\sim_2)</w:t>
      </w:r>
      <w:r>
        <w:t>, wenn</w:t>
      </w:r>
    </w:p>
    <w:p w:rsidR="00EE70E6" w:rsidRDefault="00EE70E6" w:rsidP="00EE70E6">
      <w:pPr>
        <w:pStyle w:val="StandardWeb"/>
      </w:pPr>
      <w:r>
        <w:t>[</w:t>
      </w:r>
      <w:r>
        <w:br/>
        <w:t>\boxed{</w:t>
      </w:r>
      <w:r>
        <w:br/>
        <w:t>X\sim_1 Y</w:t>
      </w:r>
      <w:r>
        <w:br/>
        <w:t>\Rightarrow</w:t>
      </w:r>
      <w:r>
        <w:br/>
        <w:t>X\sim_2 Y</w:t>
      </w:r>
      <w:r>
        <w:br/>
        <w:t>}</w:t>
      </w:r>
      <w:r>
        <w:br/>
        <w:t>\tag{3.13765}</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\boxed{X\sim_1 Y\Rightarrow X\sim_2 Y}</w:t>
      </w:r>
    </w:p>
    <w:p w:rsidR="00EE70E6" w:rsidRDefault="00EE70E6" w:rsidP="00EE70E6">
      <w:pPr>
        <w:pStyle w:val="StandardWeb"/>
      </w:pPr>
      <w:r>
        <w:t>für alle (X,Y\in\mathcal X_F) gilt.</w:t>
      </w:r>
    </w:p>
    <w:p w:rsidR="00EE70E6" w:rsidRDefault="00EE70E6" w:rsidP="00EE70E6">
      <w:pPr>
        <w:pStyle w:val="StandardWeb"/>
      </w:pPr>
      <w:r>
        <w:t>Ich schreibe dafür</w:t>
      </w:r>
    </w:p>
    <w:p w:rsidR="00EE70E6" w:rsidRDefault="00EE70E6" w:rsidP="00EE70E6">
      <w:pPr>
        <w:pStyle w:val="StandardWeb"/>
      </w:pPr>
      <w:r>
        <w:t>[</w:t>
      </w:r>
      <w:r>
        <w:br/>
        <w:t>\sim_1</w:t>
      </w:r>
      <w:r>
        <w:br/>
        <w:t>\preceq_{\mathrm{eq}}</w:t>
      </w:r>
      <w:r>
        <w:br/>
      </w:r>
      <w:r>
        <w:lastRenderedPageBreak/>
        <w:t>\sim_2.</w:t>
      </w:r>
      <w:r>
        <w:br/>
        <w:t>\tag{3.13766}</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\sim_1\preceq_{\mathrm{eq}}\sim_2</w:t>
      </w:r>
    </w:p>
    <w:p w:rsidR="00EE70E6" w:rsidRDefault="00EE70E6" w:rsidP="00EE70E6">
      <w:r>
        <w:pict>
          <v:rect id="_x0000_i5810" style="width:0;height:1.5pt" o:hralign="center" o:hrstd="t" o:hr="t" fillcolor="#a0a0a0" stroked="f"/>
        </w:pict>
      </w:r>
    </w:p>
    <w:p w:rsidR="00EE70E6" w:rsidRDefault="00EE70E6" w:rsidP="00EE70E6">
      <w:pPr>
        <w:pStyle w:val="berschrift1"/>
      </w:pPr>
      <w:r>
        <w:t>3.3.52.137 Quotientenvergröberung</w:t>
      </w:r>
    </w:p>
    <w:p w:rsidR="00EE70E6" w:rsidRDefault="00EE70E6" w:rsidP="00EE70E6">
      <w:pPr>
        <w:pStyle w:val="StandardWeb"/>
      </w:pPr>
      <w:r>
        <w:t>Ist</w:t>
      </w:r>
    </w:p>
    <w:p w:rsidR="00EE70E6" w:rsidRDefault="00EE70E6" w:rsidP="00EE70E6">
      <w:pPr>
        <w:pStyle w:val="StandardWeb"/>
      </w:pPr>
      <w:r>
        <w:t>[</w:t>
      </w:r>
      <w:r>
        <w:br/>
        <w:t>\sim_1</w:t>
      </w:r>
      <w:r>
        <w:br/>
        <w:t>\preceq_{\mathrm{eq}}</w:t>
      </w:r>
      <w:r>
        <w:br/>
        <w:t>\sim_2,</w:t>
      </w:r>
      <w:r>
        <w:br/>
        <w:t>\tag{3.13767}</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\sim_1\preceq_{\mathrm{eq}}\sim_2</w:t>
      </w:r>
    </w:p>
    <w:p w:rsidR="00EE70E6" w:rsidRDefault="00EE70E6" w:rsidP="00EE70E6">
      <w:pPr>
        <w:pStyle w:val="StandardWeb"/>
      </w:pPr>
      <w:r>
        <w:t>so enthält die gröbere Relation (\sim_2) im Allgemeinen größere Äquivalenzklassen.</w:t>
      </w:r>
    </w:p>
    <w:p w:rsidR="00EE70E6" w:rsidRDefault="00EE70E6" w:rsidP="00EE70E6">
      <w:r>
        <w:pict>
          <v:rect id="_x0000_i5811" style="width:0;height:1.5pt" o:hralign="center" o:hrstd="t" o:hr="t" fillcolor="#a0a0a0" stroked="f"/>
        </w:pict>
      </w:r>
    </w:p>
    <w:p w:rsidR="00EE70E6" w:rsidRDefault="00EE70E6" w:rsidP="00EE70E6">
      <w:pPr>
        <w:pStyle w:val="berschrift1"/>
      </w:pPr>
      <w:r>
        <w:t>3.3.52.138 Definition 3.3.610 – Funktionale Quotientenvergröberung</w:t>
      </w:r>
    </w:p>
    <w:p w:rsidR="00EE70E6" w:rsidRDefault="00EE70E6" w:rsidP="00EE70E6">
      <w:pPr>
        <w:pStyle w:val="berschrift3"/>
      </w:pPr>
      <w:r>
        <w:t>Definition 3.3.610</w:t>
      </w:r>
    </w:p>
    <w:p w:rsidR="00EE70E6" w:rsidRDefault="00EE70E6" w:rsidP="00EE70E6">
      <w:pPr>
        <w:pStyle w:val="StandardWeb"/>
      </w:pPr>
      <w:r>
        <w:t xml:space="preserve">Eine </w:t>
      </w:r>
      <w:r>
        <w:rPr>
          <w:rStyle w:val="Fett"/>
        </w:rPr>
        <w:t>funktionale Quotientenvergröberung</w:t>
      </w:r>
      <w:r>
        <w:t xml:space="preserve"> liegt vor, wenn</w:t>
      </w:r>
    </w:p>
    <w:p w:rsidR="00EE70E6" w:rsidRDefault="00EE70E6" w:rsidP="00EE70E6">
      <w:pPr>
        <w:pStyle w:val="StandardWeb"/>
      </w:pPr>
      <w:r>
        <w:t>[</w:t>
      </w:r>
      <w:r>
        <w:br/>
        <w:t>\boxed{</w:t>
      </w:r>
      <w:r>
        <w:br/>
        <w:t>\sim_1</w:t>
      </w:r>
      <w:r>
        <w:br/>
        <w:t>\preceq_{\mathrm{eq}}</w:t>
      </w:r>
      <w:r>
        <w:br/>
        <w:t>\sim_2</w:t>
      </w:r>
      <w:r>
        <w:br/>
        <w:t>}</w:t>
      </w:r>
      <w:r>
        <w:br/>
        <w:t>\tag{3.13768}</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\boxed{\sim_1\preceq_{\mathrm{eq}}\sim_2}</w:t>
      </w:r>
    </w:p>
    <w:p w:rsidR="00EE70E6" w:rsidRDefault="00EE70E6" w:rsidP="00EE70E6">
      <w:pPr>
        <w:pStyle w:val="StandardWeb"/>
      </w:pPr>
      <w:r>
        <w:t>und damit von</w:t>
      </w:r>
    </w:p>
    <w:p w:rsidR="00EE70E6" w:rsidRDefault="00EE70E6" w:rsidP="00EE70E6">
      <w:pPr>
        <w:pStyle w:val="StandardWeb"/>
      </w:pPr>
      <w:r>
        <w:lastRenderedPageBreak/>
        <w:t>[</w:t>
      </w:r>
      <w:r>
        <w:br/>
        <w:t>\mathcal X_F/{\sim_1}</w:t>
      </w:r>
      <w:r>
        <w:br/>
        <w:t>\tag{3.13769}</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\mathcal X_F/{\sim_1}</w:t>
      </w:r>
    </w:p>
    <w:p w:rsidR="00EE70E6" w:rsidRDefault="00EE70E6" w:rsidP="00EE70E6">
      <w:pPr>
        <w:pStyle w:val="StandardWeb"/>
      </w:pPr>
      <w:r>
        <w:t>zu</w:t>
      </w:r>
    </w:p>
    <w:p w:rsidR="00EE70E6" w:rsidRDefault="00EE70E6" w:rsidP="00EE70E6">
      <w:pPr>
        <w:pStyle w:val="StandardWeb"/>
      </w:pPr>
      <w:r>
        <w:t>[</w:t>
      </w:r>
      <w:r>
        <w:br/>
        <w:t>\mathcal X_F/{\sim_2}</w:t>
      </w:r>
      <w:r>
        <w:br/>
        <w:t>\tag{3.13770}</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\mathcal X_F/{\sim_2}</w:t>
      </w:r>
    </w:p>
    <w:p w:rsidR="00EE70E6" w:rsidRDefault="00EE70E6" w:rsidP="00EE70E6">
      <w:pPr>
        <w:pStyle w:val="StandardWeb"/>
      </w:pPr>
      <w:r>
        <w:t>übergegangen wird.</w:t>
      </w:r>
    </w:p>
    <w:p w:rsidR="00EE70E6" w:rsidRDefault="00EE70E6" w:rsidP="00EE70E6">
      <w:r>
        <w:pict>
          <v:rect id="_x0000_i5812" style="width:0;height:1.5pt" o:hralign="center" o:hrstd="t" o:hr="t" fillcolor="#a0a0a0" stroked="f"/>
        </w:pict>
      </w:r>
    </w:p>
    <w:p w:rsidR="00EE70E6" w:rsidRDefault="00EE70E6" w:rsidP="00EE70E6">
      <w:pPr>
        <w:pStyle w:val="berschrift1"/>
      </w:pPr>
      <w:r>
        <w:t>3.3.52.139 Kanonische Abbildung zwischen Quotienten</w:t>
      </w:r>
    </w:p>
    <w:p w:rsidR="00EE70E6" w:rsidRDefault="00EE70E6" w:rsidP="00EE70E6">
      <w:pPr>
        <w:pStyle w:val="StandardWeb"/>
      </w:pPr>
      <w:r>
        <w:t>Unter geeigneten Bedingungen kann eine Abbildung</w:t>
      </w:r>
    </w:p>
    <w:p w:rsidR="00EE70E6" w:rsidRDefault="00EE70E6" w:rsidP="00EE70E6">
      <w:pPr>
        <w:pStyle w:val="StandardWeb"/>
      </w:pPr>
      <w:r>
        <w:t>[</w:t>
      </w:r>
      <w:r>
        <w:br/>
        <w:t>Q_{12}</w:t>
      </w:r>
      <w:r>
        <w:br/>
        <w:t>:</w:t>
      </w:r>
      <w:r>
        <w:br/>
        <w:t>\mathcal X_F/{\sim_1}</w:t>
      </w:r>
      <w:r>
        <w:br/>
        <w:t>\rightarrow</w:t>
      </w:r>
      <w:r>
        <w:br/>
        <w:t>\mathcal X_F/{\sim_2}</w:t>
      </w:r>
      <w:r>
        <w:br/>
        <w:t>\tag{3.13771}</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Q_{12}:\mathcal X_F/{\sim_1}\rightarrow\mathcal X_F/{\sim_2}</w:t>
      </w:r>
    </w:p>
    <w:p w:rsidR="00EE70E6" w:rsidRDefault="00EE70E6" w:rsidP="00EE70E6">
      <w:pPr>
        <w:pStyle w:val="StandardWeb"/>
      </w:pPr>
      <w:r>
        <w:t>definiert werden durch</w:t>
      </w:r>
    </w:p>
    <w:p w:rsidR="00EE70E6" w:rsidRDefault="00EE70E6" w:rsidP="00EE70E6">
      <w:pPr>
        <w:pStyle w:val="berschrift1"/>
      </w:pPr>
      <w:r>
        <w:t>[</w:t>
      </w:r>
      <w:r>
        <w:br/>
        <w:t>Q_{12}</w:t>
      </w:r>
      <w:r>
        <w:br/>
        <w:t>([X]_{\sim_1})</w:t>
      </w:r>
    </w:p>
    <w:p w:rsidR="00EE70E6" w:rsidRDefault="00EE70E6" w:rsidP="00EE70E6">
      <w:pPr>
        <w:pStyle w:val="StandardWeb"/>
      </w:pPr>
      <w:r>
        <w:lastRenderedPageBreak/>
        <w:t>[X]_{\sim_2}.</w:t>
      </w:r>
      <w:r>
        <w:br/>
        <w:t>\tag{3.13772}</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Q_{12}([X]_{\sim_1})=[X]_{\sim_2}</w:t>
      </w:r>
    </w:p>
    <w:p w:rsidR="00EE70E6" w:rsidRDefault="00EE70E6" w:rsidP="00EE70E6">
      <w:r>
        <w:pict>
          <v:rect id="_x0000_i5813" style="width:0;height:1.5pt" o:hralign="center" o:hrstd="t" o:hr="t" fillcolor="#a0a0a0" stroked="f"/>
        </w:pict>
      </w:r>
    </w:p>
    <w:p w:rsidR="00EE70E6" w:rsidRDefault="00EE70E6" w:rsidP="00EE70E6">
      <w:pPr>
        <w:pStyle w:val="berschrift1"/>
      </w:pPr>
      <w:r>
        <w:t>3.3.52.140 Definition 3.3.611 – Funktionale Quotientenübergangsabbildung</w:t>
      </w:r>
    </w:p>
    <w:p w:rsidR="00EE70E6" w:rsidRDefault="00EE70E6" w:rsidP="00EE70E6">
      <w:pPr>
        <w:pStyle w:val="berschrift3"/>
      </w:pPr>
      <w:r>
        <w:t>Definition 3.3.611</w:t>
      </w:r>
    </w:p>
    <w:p w:rsidR="00EE70E6" w:rsidRDefault="00EE70E6" w:rsidP="00EE70E6">
      <w:pPr>
        <w:pStyle w:val="StandardWeb"/>
      </w:pPr>
      <w:r>
        <w:t xml:space="preserve">Für (\sim_1\preceq_{\mathrm{eq}}\sim_2) ist die </w:t>
      </w:r>
      <w:r>
        <w:rPr>
          <w:rStyle w:val="Fett"/>
        </w:rPr>
        <w:t>funktionale Quotientenübergangsabbildung</w:t>
      </w:r>
    </w:p>
    <w:p w:rsidR="00EE70E6" w:rsidRDefault="00EE70E6" w:rsidP="00EE70E6">
      <w:pPr>
        <w:pStyle w:val="StandardWeb"/>
      </w:pPr>
      <w:r>
        <w:t>[</w:t>
      </w:r>
      <w:r>
        <w:br/>
        <w:t>\boxed{</w:t>
      </w:r>
      <w:r>
        <w:br/>
        <w:t>Q_{12}</w:t>
      </w:r>
      <w:r>
        <w:br/>
        <w:t>([X]</w:t>
      </w:r>
      <w:r>
        <w:rPr>
          <w:rStyle w:val="Hervorhebung"/>
        </w:rPr>
        <w:t>{\sim_1})</w:t>
      </w:r>
      <w:r>
        <w:rPr>
          <w:i/>
          <w:iCs/>
        </w:rPr>
        <w:br/>
      </w:r>
      <w:r>
        <w:rPr>
          <w:rStyle w:val="Hervorhebung"/>
        </w:rPr>
        <w:t>:=</w:t>
      </w:r>
      <w:r>
        <w:rPr>
          <w:i/>
          <w:iCs/>
        </w:rPr>
        <w:br/>
      </w:r>
      <w:r>
        <w:rPr>
          <w:rStyle w:val="Hervorhebung"/>
        </w:rPr>
        <w:t>[X]</w:t>
      </w:r>
      <w:r>
        <w:t>{\sim_2}.</w:t>
      </w:r>
      <w:r>
        <w:br/>
        <w:t>}</w:t>
      </w:r>
      <w:r>
        <w:br/>
        <w:t>\tag{3.13773}</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\boxed{Q_{12}([X]_{\sim_1}):=[X]_{\sim_2}.}</w:t>
      </w:r>
    </w:p>
    <w:p w:rsidR="00EE70E6" w:rsidRDefault="00EE70E6" w:rsidP="00EE70E6">
      <w:r>
        <w:pict>
          <v:rect id="_x0000_i5814" style="width:0;height:1.5pt" o:hralign="center" o:hrstd="t" o:hr="t" fillcolor="#a0a0a0" stroked="f"/>
        </w:pict>
      </w:r>
    </w:p>
    <w:p w:rsidR="00EE70E6" w:rsidRDefault="00EE70E6" w:rsidP="00EE70E6">
      <w:pPr>
        <w:pStyle w:val="berschrift1"/>
      </w:pPr>
      <w:r>
        <w:t>3.3.52.141 Totale Ordnung von Quotientenstrukturen als Primäraxiomkandidat</w:t>
      </w:r>
    </w:p>
    <w:p w:rsidR="00EE70E6" w:rsidRDefault="00EE70E6" w:rsidP="00EE70E6">
      <w:pPr>
        <w:pStyle w:val="StandardWeb"/>
      </w:pPr>
      <w:r>
        <w:t>Ein möglicher Kandidat wäre, dass alle zulässigen Äquivalenzrelationen vergleichbar sein müssen:</w:t>
      </w:r>
    </w:p>
    <w:p w:rsidR="00EE70E6" w:rsidRDefault="00EE70E6" w:rsidP="00EE70E6">
      <w:pPr>
        <w:pStyle w:val="StandardWeb"/>
      </w:pPr>
      <w:r>
        <w:t>[</w:t>
      </w:r>
      <w:r>
        <w:br/>
        <w:t>A_{\mathrm{eq-total}}</w:t>
      </w:r>
      <w:r>
        <w:br/>
        <w:t>:</w:t>
      </w:r>
      <w:r>
        <w:br/>
        <w:t>\forall</w:t>
      </w:r>
      <w:r>
        <w:br/>
        <w:t>\sim_i,\sim_j:</w:t>
      </w:r>
      <w:r>
        <w:br/>
        <w:t>\quad</w:t>
      </w:r>
      <w:r>
        <w:br/>
        <w:t>\sim_i</w:t>
      </w:r>
      <w:r>
        <w:br/>
        <w:t>\preceq_{\mathrm{eq}}</w:t>
      </w:r>
      <w:r>
        <w:br/>
        <w:t>\sim_j</w:t>
      </w:r>
      <w:r>
        <w:br/>
        <w:t>\lor</w:t>
      </w:r>
      <w:r>
        <w:br/>
        <w:t>\sim_j</w:t>
      </w:r>
      <w:r>
        <w:br/>
      </w:r>
      <w:r>
        <w:lastRenderedPageBreak/>
        <w:t>\preceq_{\mathrm{eq}}</w:t>
      </w:r>
      <w:r>
        <w:br/>
        <w:t>\sim_i.</w:t>
      </w:r>
      <w:r>
        <w:br/>
        <w:t>\tag{3.13774}</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A_{\mathrm{eq-total}}:\forall\sim_i,\sim_j:\quad\sim_i\preceq_{\mathrm{eq}}\sim_j\lor\sim_j\preceq_{\mathrm{eq}}\sim_i</w:t>
      </w:r>
    </w:p>
    <w:p w:rsidR="00EE70E6" w:rsidRDefault="00EE70E6" w:rsidP="00EE70E6">
      <w:r>
        <w:pict>
          <v:rect id="_x0000_i5815" style="width:0;height:1.5pt" o:hralign="center" o:hrstd="t" o:hr="t" fillcolor="#a0a0a0" stroked="f"/>
        </w:pict>
      </w:r>
    </w:p>
    <w:p w:rsidR="00EE70E6" w:rsidRDefault="00EE70E6" w:rsidP="00EE70E6">
      <w:pPr>
        <w:pStyle w:val="berschrift1"/>
      </w:pPr>
      <w:r>
        <w:t>3.3.52.142 Gegenmodell zur totalen Vergleichbarkeit</w:t>
      </w:r>
    </w:p>
    <w:p w:rsidR="00EE70E6" w:rsidRDefault="00EE70E6" w:rsidP="00EE70E6">
      <w:pPr>
        <w:pStyle w:val="StandardWeb"/>
      </w:pPr>
      <w:r>
        <w:t>Zwei Äquivalenzrelationen können unterschiedliche Objektpaare identifizieren.</w:t>
      </w:r>
    </w:p>
    <w:p w:rsidR="00EE70E6" w:rsidRDefault="00EE70E6" w:rsidP="00EE70E6">
      <w:pPr>
        <w:pStyle w:val="StandardWeb"/>
      </w:pPr>
      <w:r>
        <w:t>Es kann gelten</w:t>
      </w:r>
    </w:p>
    <w:p w:rsidR="00EE70E6" w:rsidRDefault="00EE70E6" w:rsidP="00EE70E6">
      <w:pPr>
        <w:pStyle w:val="StandardWeb"/>
      </w:pPr>
      <w:r>
        <w:t>[</w:t>
      </w:r>
      <w:r>
        <w:br/>
        <w:t>X\sim_1 Y</w:t>
      </w:r>
      <w:r>
        <w:br/>
        <w:t>\quad\text{aber}\quad</w:t>
      </w:r>
      <w:r>
        <w:br/>
        <w:t>X\not\sim_2 Y</w:t>
      </w:r>
      <w:r>
        <w:br/>
        <w:t>\tag{3.13775}</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X\sim_1 Y\quad\text{aber}\quad X\not\sim_2 Y</w:t>
      </w:r>
    </w:p>
    <w:p w:rsidR="00EE70E6" w:rsidRDefault="00EE70E6" w:rsidP="00EE70E6">
      <w:pPr>
        <w:pStyle w:val="StandardWeb"/>
      </w:pPr>
      <w:r>
        <w:t>und gleichzeitig</w:t>
      </w:r>
    </w:p>
    <w:p w:rsidR="00EE70E6" w:rsidRDefault="00EE70E6" w:rsidP="00EE70E6">
      <w:pPr>
        <w:pStyle w:val="StandardWeb"/>
      </w:pPr>
      <w:r>
        <w:t>[</w:t>
      </w:r>
      <w:r>
        <w:br/>
        <w:t>U\sim_2 V</w:t>
      </w:r>
      <w:r>
        <w:br/>
        <w:t>\quad\text{aber}\quad</w:t>
      </w:r>
      <w:r>
        <w:br/>
        <w:t>U\not\sim_1 V.</w:t>
      </w:r>
      <w:r>
        <w:br/>
        <w:t>\tag{3.13776}</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U\sim_2 V\quad\text{aber}\quad U\not\sim_1 V</w:t>
      </w:r>
    </w:p>
    <w:p w:rsidR="00EE70E6" w:rsidRDefault="00EE70E6" w:rsidP="00EE70E6">
      <w:pPr>
        <w:pStyle w:val="StandardWeb"/>
      </w:pPr>
      <w:r>
        <w:t>Dann ist weder</w:t>
      </w:r>
    </w:p>
    <w:p w:rsidR="00EE70E6" w:rsidRDefault="00EE70E6" w:rsidP="00EE70E6">
      <w:pPr>
        <w:pStyle w:val="StandardWeb"/>
      </w:pPr>
      <w:r>
        <w:t>[</w:t>
      </w:r>
      <w:r>
        <w:br/>
        <w:t>\sim_1</w:t>
      </w:r>
      <w:r>
        <w:br/>
        <w:t>\preceq_{\mathrm{eq}}</w:t>
      </w:r>
      <w:r>
        <w:br/>
        <w:t>\sim_2</w:t>
      </w:r>
      <w:r>
        <w:br/>
        <w:t>\tag{3.13777}</w:t>
      </w:r>
      <w:r>
        <w:br/>
        <w:t>]</w:t>
      </w:r>
    </w:p>
    <w:p w:rsidR="00EE70E6" w:rsidRDefault="00EE70E6" w:rsidP="00EE70E6">
      <w:pPr>
        <w:pStyle w:val="StandardWeb"/>
      </w:pPr>
      <w:r>
        <w:rPr>
          <w:rStyle w:val="Fett"/>
        </w:rPr>
        <w:lastRenderedPageBreak/>
        <w:t>Word-LaTeX</w:t>
      </w:r>
    </w:p>
    <w:p w:rsidR="00EE70E6" w:rsidRDefault="00EE70E6" w:rsidP="00EE70E6">
      <w:pPr>
        <w:pStyle w:val="HTMLVorformatiert"/>
        <w:rPr>
          <w:rStyle w:val="HTMLCode"/>
        </w:rPr>
      </w:pPr>
      <w:r>
        <w:rPr>
          <w:rStyle w:val="HTMLCode"/>
        </w:rPr>
        <w:t>\sim_1\preceq_{\mathrm{eq}}\sim_2</w:t>
      </w:r>
    </w:p>
    <w:p w:rsidR="00EE70E6" w:rsidRDefault="00EE70E6" w:rsidP="00EE70E6">
      <w:pPr>
        <w:pStyle w:val="StandardWeb"/>
      </w:pPr>
      <w:r>
        <w:t>noch</w:t>
      </w:r>
    </w:p>
    <w:p w:rsidR="00EE70E6" w:rsidRDefault="00EE70E6" w:rsidP="00EE70E6">
      <w:pPr>
        <w:pStyle w:val="StandardWeb"/>
      </w:pPr>
      <w:r>
        <w:t>[</w:t>
      </w:r>
      <w:r>
        <w:br/>
        <w:t>\sim_2</w:t>
      </w:r>
      <w:r>
        <w:br/>
        <w:t>\preceq_{\mathrm{eq}}</w:t>
      </w:r>
      <w:r>
        <w:br/>
        <w:t>\sim_1</w:t>
      </w:r>
      <w:r>
        <w:br/>
        <w:t>\tag{3.13778}</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\sim_2\preceq_{\mathrm{eq}}\sim_1</w:t>
      </w:r>
    </w:p>
    <w:p w:rsidR="00EE70E6" w:rsidRDefault="00EE70E6" w:rsidP="00EE70E6">
      <w:pPr>
        <w:pStyle w:val="StandardWeb"/>
      </w:pPr>
      <w:r>
        <w:t>erfüllt.</w:t>
      </w:r>
    </w:p>
    <w:p w:rsidR="00EE70E6" w:rsidRDefault="00EE70E6" w:rsidP="00EE70E6">
      <w:r>
        <w:pict>
          <v:rect id="_x0000_i5816" style="width:0;height:1.5pt" o:hralign="center" o:hrstd="t" o:hr="t" fillcolor="#a0a0a0" stroked="f"/>
        </w:pict>
      </w:r>
    </w:p>
    <w:p w:rsidR="00EE70E6" w:rsidRDefault="00EE70E6" w:rsidP="00EE70E6">
      <w:pPr>
        <w:pStyle w:val="berschrift1"/>
      </w:pPr>
      <w:r>
        <w:t>3.3.52.143 Axiomentscheidung zur totalen Quotientenordnung</w:t>
      </w:r>
    </w:p>
    <w:p w:rsidR="00EE70E6" w:rsidRDefault="00EE70E6" w:rsidP="00EE70E6">
      <w:pPr>
        <w:pStyle w:val="StandardWeb"/>
      </w:pPr>
      <w:r>
        <w:t>Damit gilt</w:t>
      </w:r>
    </w:p>
    <w:p w:rsidR="00EE70E6" w:rsidRDefault="00EE70E6" w:rsidP="00EE70E6">
      <w:pPr>
        <w:pStyle w:val="berschrift1"/>
      </w:pPr>
      <w:r>
        <w:t>[</w:t>
      </w:r>
      <w:r>
        <w:br/>
        <w:t>\boxed{</w:t>
      </w:r>
      <w:r>
        <w:br/>
        <w:t>U_{\mathrm{Ax}}</w:t>
      </w:r>
      <w:r>
        <w:br/>
        <w:t>(A_{\mathrm{eq-total}})</w:t>
      </w:r>
    </w:p>
    <w:p w:rsidR="00EE70E6" w:rsidRDefault="00EE70E6" w:rsidP="009F7790">
      <w:pPr>
        <w:numPr>
          <w:ilvl w:val="0"/>
          <w:numId w:val="713"/>
        </w:numPr>
        <w:spacing w:before="100" w:beforeAutospacing="1" w:after="100" w:afterAutospacing="1"/>
      </w:pPr>
    </w:p>
    <w:p w:rsidR="00EE70E6" w:rsidRDefault="00EE70E6" w:rsidP="00EE70E6">
      <w:pPr>
        <w:pStyle w:val="StandardWeb"/>
      </w:pPr>
      <w:r>
        <w:t>}</w:t>
      </w:r>
      <w:r>
        <w:br/>
        <w:t>\tag{3.13779}</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\boxed{U_{\mathrm{Ax}}(A_{\mathrm{eq-total}})=0.}</w:t>
      </w:r>
    </w:p>
    <w:p w:rsidR="00EE70E6" w:rsidRDefault="00EE70E6" w:rsidP="00EE70E6">
      <w:r>
        <w:pict>
          <v:rect id="_x0000_i5817" style="width:0;height:1.5pt" o:hralign="center" o:hrstd="t" o:hr="t" fillcolor="#a0a0a0" stroked="f"/>
        </w:pict>
      </w:r>
    </w:p>
    <w:p w:rsidR="00EE70E6" w:rsidRDefault="00EE70E6" w:rsidP="00EE70E6">
      <w:pPr>
        <w:pStyle w:val="berschrift1"/>
      </w:pPr>
      <w:r>
        <w:t>3.3.52.144 Satz 3.3.240 – Totale Vergleichbarkeit funktionaler Quotientenstrukturen ist kein Primäraxiom</w:t>
      </w:r>
    </w:p>
    <w:p w:rsidR="00EE70E6" w:rsidRDefault="00EE70E6" w:rsidP="00EE70E6">
      <w:pPr>
        <w:pStyle w:val="berschrift3"/>
      </w:pPr>
      <w:r>
        <w:lastRenderedPageBreak/>
        <w:t>Satz 3.3.240</w:t>
      </w:r>
    </w:p>
    <w:p w:rsidR="00EE70E6" w:rsidRDefault="00EE70E6" w:rsidP="00EE70E6">
      <w:pPr>
        <w:pStyle w:val="StandardWeb"/>
      </w:pPr>
      <w:r>
        <w:t>Die Forderung, sämtliche funktionalen Äquivalenzrelationen müssten bezüglich ihrer Feinheit total geordnet sein, ist keine universell notwendige Voraussetzung des allgemeinen FRZK.</w:t>
      </w:r>
    </w:p>
    <w:p w:rsidR="00EE70E6" w:rsidRDefault="00EE70E6" w:rsidP="00EE70E6">
      <w:pPr>
        <w:pStyle w:val="berschrift1"/>
      </w:pPr>
      <w:r>
        <w:t>[</w:t>
      </w:r>
      <w:r>
        <w:br/>
        <w:t>\boxed{</w:t>
      </w:r>
      <w:r>
        <w:br/>
        <w:t>U_{\mathrm{Ax}}</w:t>
      </w:r>
      <w:r>
        <w:br/>
        <w:t>(A_{\mathrm{eq-total}})</w:t>
      </w:r>
    </w:p>
    <w:p w:rsidR="00EE70E6" w:rsidRDefault="00EE70E6" w:rsidP="009F7790">
      <w:pPr>
        <w:numPr>
          <w:ilvl w:val="0"/>
          <w:numId w:val="714"/>
        </w:numPr>
        <w:spacing w:before="100" w:beforeAutospacing="1" w:after="100" w:afterAutospacing="1"/>
      </w:pPr>
    </w:p>
    <w:p w:rsidR="00EE70E6" w:rsidRDefault="00EE70E6" w:rsidP="00EE70E6">
      <w:pPr>
        <w:pStyle w:val="StandardWeb"/>
      </w:pPr>
      <w:r>
        <w:t>}</w:t>
      </w:r>
      <w:r>
        <w:br/>
        <w:t>\tag{3.13780}</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\boxed{U_{\mathrm{Ax}}(A_{\mathrm{eq-total}})=0.}</w:t>
      </w:r>
    </w:p>
    <w:p w:rsidR="00EE70E6" w:rsidRDefault="00EE70E6" w:rsidP="00EE70E6">
      <w:r>
        <w:pict>
          <v:rect id="_x0000_i5818" style="width:0;height:1.5pt" o:hralign="center" o:hrstd="t" o:hr="t" fillcolor="#a0a0a0" stroked="f"/>
        </w:pict>
      </w:r>
    </w:p>
    <w:p w:rsidR="00EE70E6" w:rsidRDefault="00EE70E6" w:rsidP="00EE70E6">
      <w:pPr>
        <w:pStyle w:val="berschrift1"/>
      </w:pPr>
      <w:r>
        <w:t>3.3.52.145 Minimale Reduktion</w:t>
      </w:r>
    </w:p>
    <w:p w:rsidR="00EE70E6" w:rsidRDefault="00EE70E6" w:rsidP="00EE70E6">
      <w:pPr>
        <w:pStyle w:val="StandardWeb"/>
      </w:pPr>
      <w:r>
        <w:t>Eine Modellklasse kann unter mehreren Reduktionsabbildungen eine bestimmte Reduktion als minimal bezeichnen. Dies setzt jedoch zunächst ein Vergleichskriterium voraus.</w:t>
      </w:r>
    </w:p>
    <w:p w:rsidR="00EE70E6" w:rsidRDefault="00EE70E6" w:rsidP="00EE70E6">
      <w:pPr>
        <w:pStyle w:val="StandardWeb"/>
      </w:pPr>
      <w:r>
        <w:t>Ich führe eine Reduktionsordnung</w:t>
      </w:r>
    </w:p>
    <w:p w:rsidR="00EE70E6" w:rsidRDefault="00EE70E6" w:rsidP="00EE70E6">
      <w:pPr>
        <w:pStyle w:val="StandardWeb"/>
      </w:pPr>
      <w:r>
        <w:t>[</w:t>
      </w:r>
      <w:r>
        <w:br/>
        <w:t>\preceq_{\mathrm{red}}</w:t>
      </w:r>
      <w:r>
        <w:br/>
        <w:t>\tag{3.13781}</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\preceq_{\mathrm{red}}</w:t>
      </w:r>
    </w:p>
    <w:p w:rsidR="00EE70E6" w:rsidRDefault="00EE70E6" w:rsidP="00EE70E6">
      <w:pPr>
        <w:pStyle w:val="StandardWeb"/>
      </w:pPr>
      <w:r>
        <w:t>auf einer Menge zulässiger Reduktionen (\mathcal R_F) ein.</w:t>
      </w:r>
    </w:p>
    <w:p w:rsidR="00EE70E6" w:rsidRDefault="00EE70E6" w:rsidP="00EE70E6">
      <w:r>
        <w:pict>
          <v:rect id="_x0000_i5819" style="width:0;height:1.5pt" o:hralign="center" o:hrstd="t" o:hr="t" fillcolor="#a0a0a0" stroked="f"/>
        </w:pict>
      </w:r>
    </w:p>
    <w:p w:rsidR="00EE70E6" w:rsidRDefault="00EE70E6" w:rsidP="00EE70E6">
      <w:pPr>
        <w:pStyle w:val="berschrift1"/>
      </w:pPr>
      <w:r>
        <w:t>3.3.52.146 Definition 3.3.612 – Funktionale Reduktionsordnung</w:t>
      </w:r>
    </w:p>
    <w:p w:rsidR="00EE70E6" w:rsidRDefault="00EE70E6" w:rsidP="00EE70E6">
      <w:pPr>
        <w:pStyle w:val="berschrift3"/>
      </w:pPr>
      <w:r>
        <w:t>Definition 3.3.612</w:t>
      </w:r>
    </w:p>
    <w:p w:rsidR="00EE70E6" w:rsidRDefault="00EE70E6" w:rsidP="00EE70E6">
      <w:pPr>
        <w:pStyle w:val="StandardWeb"/>
      </w:pPr>
      <w:r>
        <w:lastRenderedPageBreak/>
        <w:t xml:space="preserve">Eine </w:t>
      </w:r>
      <w:r>
        <w:rPr>
          <w:rStyle w:val="Fett"/>
        </w:rPr>
        <w:t>funktionale Reduktionsordnung</w:t>
      </w:r>
      <w:r>
        <w:t xml:space="preserve"> ist eine modellabhängig definierte Relation</w:t>
      </w:r>
    </w:p>
    <w:p w:rsidR="00EE70E6" w:rsidRDefault="00EE70E6" w:rsidP="00EE70E6">
      <w:pPr>
        <w:pStyle w:val="StandardWeb"/>
      </w:pPr>
      <w:r>
        <w:t>[</w:t>
      </w:r>
      <w:r>
        <w:br/>
        <w:t>\boxed{</w:t>
      </w:r>
      <w:r>
        <w:br/>
        <w:t>\preceq_{\mathrm{red}}</w:t>
      </w:r>
      <w:r>
        <w:br/>
        <w:t>\subseteq</w:t>
      </w:r>
      <w:r>
        <w:br/>
        <w:t>\mathcal R_F</w:t>
      </w:r>
      <w:r>
        <w:br/>
        <w:t>\times</w:t>
      </w:r>
      <w:r>
        <w:br/>
        <w:t>\mathcal R_F,</w:t>
      </w:r>
      <w:r>
        <w:br/>
        <w:t>}</w:t>
      </w:r>
      <w:r>
        <w:br/>
        <w:t>\tag{3.13782}</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\boxed{\preceq_{\mathrm{red}}\subseteq\mathcal R_F\times\mathcal R_F,}</w:t>
      </w:r>
    </w:p>
    <w:p w:rsidR="00EE70E6" w:rsidRDefault="00EE70E6" w:rsidP="00EE70E6">
      <w:pPr>
        <w:pStyle w:val="StandardWeb"/>
      </w:pPr>
      <w:r>
        <w:t>durch die Reduktionsabbildungen hinsichtlich eines festgelegten Reduktionskriteriums verglichen werden.</w:t>
      </w:r>
    </w:p>
    <w:p w:rsidR="00EE70E6" w:rsidRDefault="00EE70E6" w:rsidP="00EE70E6">
      <w:r>
        <w:pict>
          <v:rect id="_x0000_i5820" style="width:0;height:1.5pt" o:hralign="center" o:hrstd="t" o:hr="t" fillcolor="#a0a0a0" stroked="f"/>
        </w:pict>
      </w:r>
    </w:p>
    <w:p w:rsidR="00EE70E6" w:rsidRDefault="00EE70E6" w:rsidP="00EE70E6">
      <w:pPr>
        <w:pStyle w:val="berschrift1"/>
      </w:pPr>
      <w:r>
        <w:t>3.3.52.147 Minimales Reduktionselement</w:t>
      </w:r>
    </w:p>
    <w:p w:rsidR="00EE70E6" w:rsidRDefault="00EE70E6" w:rsidP="00EE70E6">
      <w:pPr>
        <w:pStyle w:val="StandardWeb"/>
      </w:pPr>
      <w:r>
        <w:t>Ein Reduktionsoperator (R_F^\star) kann minimal sein:</w:t>
      </w:r>
    </w:p>
    <w:p w:rsidR="00EE70E6" w:rsidRDefault="00EE70E6" w:rsidP="00EE70E6">
      <w:pPr>
        <w:pStyle w:val="StandardWeb"/>
      </w:pPr>
      <w:r>
        <w:t>[</w:t>
      </w:r>
      <w:r>
        <w:br/>
        <w:t>R_F^\star</w:t>
      </w:r>
      <w:r>
        <w:br/>
        <w:t>\preceq_{\mathrm{red}}</w:t>
      </w:r>
      <w:r>
        <w:br/>
        <w:t>R_F</w:t>
      </w:r>
      <w:r>
        <w:br/>
        <w:t>\qquad</w:t>
      </w:r>
      <w:r>
        <w:br/>
        <w:t>\forall R_F\in\mathcal R_F.</w:t>
      </w:r>
      <w:r>
        <w:br/>
        <w:t>\tag{3.13783}</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R_F^\star\preceq_{\mathrm{red}}R_F\qquad\forall R_F\in\mathcal R_F</w:t>
      </w:r>
    </w:p>
    <w:p w:rsidR="00EE70E6" w:rsidRDefault="00EE70E6" w:rsidP="00EE70E6">
      <w:r>
        <w:pict>
          <v:rect id="_x0000_i5821" style="width:0;height:1.5pt" o:hralign="center" o:hrstd="t" o:hr="t" fillcolor="#a0a0a0" stroked="f"/>
        </w:pict>
      </w:r>
    </w:p>
    <w:p w:rsidR="00EE70E6" w:rsidRDefault="00EE70E6" w:rsidP="00EE70E6">
      <w:pPr>
        <w:pStyle w:val="berschrift1"/>
      </w:pPr>
      <w:r>
        <w:t>3.3.52.148 Definition 3.3.613 – Minimaler funktionaler Reduktionsoperator</w:t>
      </w:r>
    </w:p>
    <w:p w:rsidR="00EE70E6" w:rsidRDefault="00EE70E6" w:rsidP="00EE70E6">
      <w:pPr>
        <w:pStyle w:val="berschrift3"/>
      </w:pPr>
      <w:r>
        <w:t>Definition 3.3.613</w:t>
      </w:r>
    </w:p>
    <w:p w:rsidR="00EE70E6" w:rsidRDefault="00EE70E6" w:rsidP="00EE70E6">
      <w:pPr>
        <w:pStyle w:val="StandardWeb"/>
      </w:pPr>
      <w:r>
        <w:t xml:space="preserve">Ein Reduktionsoperator (R_F^\star) heißt </w:t>
      </w:r>
      <w:r>
        <w:rPr>
          <w:rStyle w:val="Fett"/>
        </w:rPr>
        <w:t>minimal bezüglich (\preceq_{\mathrm{red}})</w:t>
      </w:r>
      <w:r>
        <w:t>, wenn</w:t>
      </w:r>
    </w:p>
    <w:p w:rsidR="00EE70E6" w:rsidRDefault="00EE70E6" w:rsidP="00EE70E6">
      <w:pPr>
        <w:pStyle w:val="StandardWeb"/>
      </w:pPr>
      <w:r>
        <w:t>[</w:t>
      </w:r>
      <w:r>
        <w:br/>
        <w:t>\boxed{</w:t>
      </w:r>
      <w:r>
        <w:br/>
      </w:r>
      <w:r>
        <w:lastRenderedPageBreak/>
        <w:t>R_F^\star</w:t>
      </w:r>
      <w:r>
        <w:br/>
        <w:t>\preceq_{\mathrm{red}}</w:t>
      </w:r>
      <w:r>
        <w:br/>
        <w:t>R_F</w:t>
      </w:r>
      <w:r>
        <w:br/>
        <w:t>\qquad</w:t>
      </w:r>
      <w:r>
        <w:br/>
        <w:t>\forall R_F\in\mathcal R_F.</w:t>
      </w:r>
      <w:r>
        <w:br/>
        <w:t>}</w:t>
      </w:r>
      <w:r>
        <w:br/>
        <w:t>\tag{3.13784}</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\boxed{R_F^\star\preceq_{\mathrm{red}}R_F\qquad\forall R_F\in\mathcal R_F.}</w:t>
      </w:r>
    </w:p>
    <w:p w:rsidR="00EE70E6" w:rsidRDefault="00EE70E6" w:rsidP="00EE70E6">
      <w:r>
        <w:pict>
          <v:rect id="_x0000_i5822" style="width:0;height:1.5pt" o:hralign="center" o:hrstd="t" o:hr="t" fillcolor="#a0a0a0" stroked="f"/>
        </w:pict>
      </w:r>
    </w:p>
    <w:p w:rsidR="00EE70E6" w:rsidRDefault="00EE70E6" w:rsidP="00EE70E6">
      <w:pPr>
        <w:pStyle w:val="berschrift1"/>
      </w:pPr>
      <w:r>
        <w:t>3.3.52.149 Existenz eines minimalen Reduktionsoperators als Primäraxiomkandidat</w:t>
      </w:r>
    </w:p>
    <w:p w:rsidR="00EE70E6" w:rsidRDefault="00EE70E6" w:rsidP="00EE70E6">
      <w:pPr>
        <w:pStyle w:val="StandardWeb"/>
      </w:pPr>
      <w:r>
        <w:t>Der Kandidat lautet</w:t>
      </w:r>
    </w:p>
    <w:p w:rsidR="00EE70E6" w:rsidRDefault="00EE70E6" w:rsidP="00EE70E6">
      <w:pPr>
        <w:pStyle w:val="StandardWeb"/>
      </w:pPr>
      <w:r>
        <w:t>[</w:t>
      </w:r>
      <w:r>
        <w:br/>
        <w:t>A_{\mathrm{red-min}}</w:t>
      </w:r>
      <w:r>
        <w:br/>
        <w:t>:</w:t>
      </w:r>
      <w:r>
        <w:br/>
        <w:t>\exists</w:t>
      </w:r>
      <w:r>
        <w:br/>
        <w:t>R_F^\star</w:t>
      </w:r>
      <w:r>
        <w:br/>
        <w:t>\in</w:t>
      </w:r>
      <w:r>
        <w:br/>
        <w:t>\mathcal R_F.</w:t>
      </w:r>
      <w:r>
        <w:br/>
        <w:t>\tag{3.13785}</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A_{\mathrm{red-min}}:\exists R_F^\star\in\mathcal R_F</w:t>
      </w:r>
    </w:p>
    <w:p w:rsidR="00EE70E6" w:rsidRDefault="00EE70E6" w:rsidP="00EE70E6">
      <w:r>
        <w:pict>
          <v:rect id="_x0000_i5823" style="width:0;height:1.5pt" o:hralign="center" o:hrstd="t" o:hr="t" fillcolor="#a0a0a0" stroked="f"/>
        </w:pict>
      </w:r>
    </w:p>
    <w:p w:rsidR="00EE70E6" w:rsidRDefault="00EE70E6" w:rsidP="00EE70E6">
      <w:pPr>
        <w:pStyle w:val="berschrift1"/>
      </w:pPr>
      <w:r>
        <w:t>3.3.52.150 Gegenmodell ohne minimales Element</w:t>
      </w:r>
    </w:p>
    <w:p w:rsidR="00EE70E6" w:rsidRDefault="00EE70E6" w:rsidP="00EE70E6">
      <w:pPr>
        <w:pStyle w:val="StandardWeb"/>
      </w:pPr>
      <w:r>
        <w:t>Eine Reduktionsordnung kann eine streng absteigende Folge</w:t>
      </w:r>
    </w:p>
    <w:p w:rsidR="00EE70E6" w:rsidRDefault="00EE70E6" w:rsidP="00EE70E6">
      <w:pPr>
        <w:pStyle w:val="StandardWeb"/>
      </w:pPr>
      <w:r>
        <w:t>[</w:t>
      </w:r>
      <w:r>
        <w:br/>
        <w:t>R_{F,1}</w:t>
      </w:r>
      <w:r>
        <w:br/>
        <w:t>\succ_{\mathrm{red}}</w:t>
      </w:r>
      <w:r>
        <w:br/>
        <w:t>R_{F,2}</w:t>
      </w:r>
      <w:r>
        <w:br/>
        <w:t>\succ_{\mathrm{red}}</w:t>
      </w:r>
      <w:r>
        <w:br/>
        <w:t>R_{F,3}</w:t>
      </w:r>
      <w:r>
        <w:br/>
        <w:t>\succ_{\mathrm{red}}</w:t>
      </w:r>
      <w:r>
        <w:br/>
        <w:t>\cdots</w:t>
      </w:r>
      <w:r>
        <w:br/>
        <w:t>\tag{3.13786}</w:t>
      </w:r>
      <w:r>
        <w:br/>
        <w:t>]</w:t>
      </w:r>
    </w:p>
    <w:p w:rsidR="00EE70E6" w:rsidRDefault="00EE70E6" w:rsidP="00EE70E6">
      <w:pPr>
        <w:pStyle w:val="StandardWeb"/>
      </w:pPr>
      <w:r>
        <w:rPr>
          <w:rStyle w:val="Fett"/>
        </w:rPr>
        <w:lastRenderedPageBreak/>
        <w:t>Word-LaTeX</w:t>
      </w:r>
    </w:p>
    <w:p w:rsidR="00EE70E6" w:rsidRDefault="00EE70E6" w:rsidP="00EE70E6">
      <w:pPr>
        <w:pStyle w:val="HTMLVorformatiert"/>
        <w:rPr>
          <w:rStyle w:val="HTMLCode"/>
        </w:rPr>
      </w:pPr>
      <w:r>
        <w:rPr>
          <w:rStyle w:val="HTMLCode"/>
        </w:rPr>
        <w:t>R_{F,1}\succ_{\mathrm{red}}R_{F,2}\succ_{\mathrm{red}}R_{F,3}\succ_{\mathrm{red}}\cdots</w:t>
      </w:r>
    </w:p>
    <w:p w:rsidR="00EE70E6" w:rsidRDefault="00EE70E6" w:rsidP="00EE70E6">
      <w:pPr>
        <w:pStyle w:val="StandardWeb"/>
      </w:pPr>
      <w:r>
        <w:t>besitzen, ohne dass ein minimales Element erreicht wird.</w:t>
      </w:r>
    </w:p>
    <w:p w:rsidR="00EE70E6" w:rsidRDefault="00EE70E6" w:rsidP="00EE70E6">
      <w:r>
        <w:pict>
          <v:rect id="_x0000_i5824" style="width:0;height:1.5pt" o:hralign="center" o:hrstd="t" o:hr="t" fillcolor="#a0a0a0" stroked="f"/>
        </w:pict>
      </w:r>
    </w:p>
    <w:p w:rsidR="00EE70E6" w:rsidRDefault="00EE70E6" w:rsidP="00EE70E6">
      <w:pPr>
        <w:pStyle w:val="berschrift1"/>
      </w:pPr>
      <w:r>
        <w:t>3.3.52.151 Axiomentscheidung zur Existenz minimaler Reduktionen</w:t>
      </w:r>
    </w:p>
    <w:p w:rsidR="00EE70E6" w:rsidRDefault="00EE70E6" w:rsidP="00EE70E6">
      <w:pPr>
        <w:pStyle w:val="StandardWeb"/>
      </w:pPr>
      <w:r>
        <w:t>Daher gilt</w:t>
      </w:r>
    </w:p>
    <w:p w:rsidR="00EE70E6" w:rsidRDefault="00EE70E6" w:rsidP="00EE70E6">
      <w:pPr>
        <w:pStyle w:val="berschrift1"/>
      </w:pPr>
      <w:r>
        <w:t>[</w:t>
      </w:r>
      <w:r>
        <w:br/>
        <w:t>\boxed{</w:t>
      </w:r>
      <w:r>
        <w:br/>
        <w:t>U_{\mathrm{Ax}}</w:t>
      </w:r>
      <w:r>
        <w:br/>
        <w:t>(A_{\mathrm{red-min}})</w:t>
      </w:r>
    </w:p>
    <w:p w:rsidR="00EE70E6" w:rsidRDefault="00EE70E6" w:rsidP="009F7790">
      <w:pPr>
        <w:numPr>
          <w:ilvl w:val="0"/>
          <w:numId w:val="715"/>
        </w:numPr>
        <w:spacing w:before="100" w:beforeAutospacing="1" w:after="100" w:afterAutospacing="1"/>
      </w:pPr>
    </w:p>
    <w:p w:rsidR="00EE70E6" w:rsidRDefault="00EE70E6" w:rsidP="00EE70E6">
      <w:pPr>
        <w:pStyle w:val="StandardWeb"/>
      </w:pPr>
      <w:r>
        <w:t>}</w:t>
      </w:r>
      <w:r>
        <w:br/>
        <w:t>\tag{3.13787}</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\boxed{U_{\mathrm{Ax}}(A_{\mathrm{red-min}})=0.}</w:t>
      </w:r>
    </w:p>
    <w:p w:rsidR="00EE70E6" w:rsidRDefault="00EE70E6" w:rsidP="00EE70E6">
      <w:r>
        <w:pict>
          <v:rect id="_x0000_i5825" style="width:0;height:1.5pt" o:hralign="center" o:hrstd="t" o:hr="t" fillcolor="#a0a0a0" stroked="f"/>
        </w:pict>
      </w:r>
    </w:p>
    <w:p w:rsidR="00EE70E6" w:rsidRDefault="00EE70E6" w:rsidP="00EE70E6">
      <w:pPr>
        <w:pStyle w:val="berschrift1"/>
      </w:pPr>
      <w:r>
        <w:t>3.3.52.152 Satz 3.3.241 – Die Existenz einer minimalen Reduktion ist kein Primäraxiom</w:t>
      </w:r>
    </w:p>
    <w:p w:rsidR="00EE70E6" w:rsidRDefault="00EE70E6" w:rsidP="00EE70E6">
      <w:pPr>
        <w:pStyle w:val="berschrift3"/>
      </w:pPr>
      <w:r>
        <w:t>Satz 3.3.241</w:t>
      </w:r>
    </w:p>
    <w:p w:rsidR="00EE70E6" w:rsidRDefault="00EE70E6" w:rsidP="00EE70E6">
      <w:pPr>
        <w:pStyle w:val="StandardWeb"/>
      </w:pPr>
      <w:r>
        <w:t>Die Forderung, jede zulässige Menge funktionaler Reduktionen müsse bezüglich eines Reduktionskriteriums ein minimales Element besitzen, ist keine universell notwendige Voraussetzung des allgemeinen FRZK.</w:t>
      </w:r>
    </w:p>
    <w:p w:rsidR="00EE70E6" w:rsidRDefault="00EE70E6" w:rsidP="00EE70E6">
      <w:pPr>
        <w:pStyle w:val="berschrift1"/>
      </w:pPr>
      <w:r>
        <w:t>[</w:t>
      </w:r>
      <w:r>
        <w:br/>
        <w:t>\boxed{</w:t>
      </w:r>
      <w:r>
        <w:br/>
        <w:t>U_{\mathrm{Ax}}</w:t>
      </w:r>
      <w:r>
        <w:br/>
        <w:t>(A_{\mathrm{red-min}})</w:t>
      </w:r>
    </w:p>
    <w:p w:rsidR="00EE70E6" w:rsidRDefault="00EE70E6" w:rsidP="009F7790">
      <w:pPr>
        <w:numPr>
          <w:ilvl w:val="0"/>
          <w:numId w:val="716"/>
        </w:numPr>
        <w:spacing w:before="100" w:beforeAutospacing="1" w:after="100" w:afterAutospacing="1"/>
      </w:pPr>
    </w:p>
    <w:p w:rsidR="00EE70E6" w:rsidRDefault="00EE70E6" w:rsidP="00EE70E6">
      <w:pPr>
        <w:pStyle w:val="StandardWeb"/>
      </w:pPr>
      <w:r>
        <w:t>}</w:t>
      </w:r>
      <w:r>
        <w:br/>
        <w:t>\tag{3.13788}</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\boxed{U_{\mathrm{Ax}}(A_{\mathrm{red-min}})=0.}</w:t>
      </w:r>
    </w:p>
    <w:p w:rsidR="00EE70E6" w:rsidRDefault="00EE70E6" w:rsidP="00EE70E6">
      <w:r>
        <w:pict>
          <v:rect id="_x0000_i5826" style="width:0;height:1.5pt" o:hralign="center" o:hrstd="t" o:hr="t" fillcolor="#a0a0a0" stroked="f"/>
        </w:pict>
      </w:r>
    </w:p>
    <w:p w:rsidR="00EE70E6" w:rsidRDefault="00EE70E6" w:rsidP="00EE70E6">
      <w:pPr>
        <w:pStyle w:val="berschrift1"/>
      </w:pPr>
      <w:r>
        <w:t>3.3.52.153 Maximale Reduktion</w:t>
      </w:r>
    </w:p>
    <w:p w:rsidR="00EE70E6" w:rsidRDefault="00EE70E6" w:rsidP="00EE70E6">
      <w:pPr>
        <w:pStyle w:val="StandardWeb"/>
      </w:pPr>
      <w:r>
        <w:t>Analog kann ein maximales Element definiert werden:</w:t>
      </w:r>
    </w:p>
    <w:p w:rsidR="00EE70E6" w:rsidRDefault="00EE70E6" w:rsidP="00EE70E6">
      <w:pPr>
        <w:pStyle w:val="StandardWeb"/>
      </w:pPr>
      <w:r>
        <w:t>[</w:t>
      </w:r>
      <w:r>
        <w:br/>
        <w:t>R_F</w:t>
      </w:r>
      <w:r>
        <w:br/>
        <w:t>\preceq_{\mathrm{red}}</w:t>
      </w:r>
      <w:r>
        <w:br/>
        <w:t>R_F^{\max}</w:t>
      </w:r>
      <w:r>
        <w:br/>
        <w:t>\qquad</w:t>
      </w:r>
      <w:r>
        <w:br/>
        <w:t>\forall R_F\in\mathcal R_F.</w:t>
      </w:r>
      <w:r>
        <w:br/>
        <w:t>\tag{3.13789}</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R_F\preceq_{\mathrm{red}}R_F^{\max}\qquad\forall R_F\in\mathcal R_F</w:t>
      </w:r>
    </w:p>
    <w:p w:rsidR="00EE70E6" w:rsidRDefault="00EE70E6" w:rsidP="00EE70E6">
      <w:r>
        <w:pict>
          <v:rect id="_x0000_i5827" style="width:0;height:1.5pt" o:hralign="center" o:hrstd="t" o:hr="t" fillcolor="#a0a0a0" stroked="f"/>
        </w:pict>
      </w:r>
    </w:p>
    <w:p w:rsidR="00EE70E6" w:rsidRDefault="00EE70E6" w:rsidP="00EE70E6">
      <w:pPr>
        <w:pStyle w:val="berschrift1"/>
      </w:pPr>
      <w:r>
        <w:t>3.3.52.154 Definition 3.3.614 – Maximaler funktionaler Reduktionsoperator</w:t>
      </w:r>
    </w:p>
    <w:p w:rsidR="00EE70E6" w:rsidRDefault="00EE70E6" w:rsidP="00EE70E6">
      <w:pPr>
        <w:pStyle w:val="berschrift3"/>
      </w:pPr>
      <w:r>
        <w:t>Definition 3.3.614</w:t>
      </w:r>
    </w:p>
    <w:p w:rsidR="00EE70E6" w:rsidRDefault="00EE70E6" w:rsidP="00EE70E6">
      <w:pPr>
        <w:pStyle w:val="StandardWeb"/>
      </w:pPr>
      <w:r>
        <w:t xml:space="preserve">Ein Reduktionsoperator (R_F^{\max}) heißt </w:t>
      </w:r>
      <w:r>
        <w:rPr>
          <w:rStyle w:val="Fett"/>
        </w:rPr>
        <w:t>maximal bezüglich (\preceq_{\mathrm{red}})</w:t>
      </w:r>
      <w:r>
        <w:t>, wenn</w:t>
      </w:r>
    </w:p>
    <w:p w:rsidR="00EE70E6" w:rsidRDefault="00EE70E6" w:rsidP="00EE70E6">
      <w:pPr>
        <w:pStyle w:val="StandardWeb"/>
      </w:pPr>
      <w:r>
        <w:t>[</w:t>
      </w:r>
      <w:r>
        <w:br/>
        <w:t>\boxed{</w:t>
      </w:r>
      <w:r>
        <w:br/>
        <w:t>R_F</w:t>
      </w:r>
      <w:r>
        <w:br/>
        <w:t>\preceq_{\mathrm{red}}</w:t>
      </w:r>
      <w:r>
        <w:br/>
        <w:t>R_F^{\max}</w:t>
      </w:r>
      <w:r>
        <w:br/>
        <w:t>\qquad</w:t>
      </w:r>
      <w:r>
        <w:br/>
        <w:t>\forall R_F\in\mathcal R_F.</w:t>
      </w:r>
      <w:r>
        <w:br/>
        <w:t>}</w:t>
      </w:r>
      <w:r>
        <w:br/>
        <w:t>\tag{3.13790}</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lastRenderedPageBreak/>
        <w:t>\boxed{R_F\preceq_{\mathrm{red}}R_F^{\max}\qquad\forall R_F\in\mathcal R_F.}</w:t>
      </w:r>
    </w:p>
    <w:p w:rsidR="00EE70E6" w:rsidRDefault="00EE70E6" w:rsidP="00EE70E6">
      <w:r>
        <w:pict>
          <v:rect id="_x0000_i5828" style="width:0;height:1.5pt" o:hralign="center" o:hrstd="t" o:hr="t" fillcolor="#a0a0a0" stroked="f"/>
        </w:pict>
      </w:r>
    </w:p>
    <w:p w:rsidR="00EE70E6" w:rsidRDefault="00EE70E6" w:rsidP="00EE70E6">
      <w:pPr>
        <w:pStyle w:val="berschrift1"/>
      </w:pPr>
      <w:r>
        <w:t>3.3.52.155 Zwischenbilanz</w:t>
      </w:r>
    </w:p>
    <w:p w:rsidR="00EE70E6" w:rsidRDefault="00EE70E6" w:rsidP="00EE70E6">
      <w:pPr>
        <w:pStyle w:val="StandardWeb"/>
      </w:pPr>
      <w:r>
        <w:t>Die Projektions- und Reduktionsarchitektur erweitert sich damit zu</w:t>
      </w:r>
    </w:p>
    <w:p w:rsidR="00EE70E6" w:rsidRDefault="00EE70E6" w:rsidP="00EE70E6">
      <w:pPr>
        <w:pStyle w:val="berschrift1"/>
      </w:pPr>
      <w:r>
        <w:t>[</w:t>
      </w:r>
      <w:r>
        <w:br/>
        <w:t>\mathfrak E_{\mathrm{red}}^{(2)}</w:t>
      </w:r>
    </w:p>
    <w:p w:rsidR="00EE70E6" w:rsidRDefault="00EE70E6" w:rsidP="00EE70E6">
      <w:pPr>
        <w:pStyle w:val="StandardWeb"/>
      </w:pPr>
      <w:r>
        <w:t>\left(</w:t>
      </w:r>
      <w:r>
        <w:br/>
        <w:t>\mathfrak E_{\mathrm{red}}^{(1)},</w:t>
      </w:r>
      <w:r>
        <w:br/>
        <w:t>T_F^{\mathrm{red}},</w:t>
      </w:r>
      <w:r>
        <w:br/>
        <w:t>d_F^{\mathrm{red}},</w:t>
      </w:r>
      <w:r>
        <w:br/>
        <w:t>\varepsilon_{\mathrm{dyn}},</w:t>
      </w:r>
      <w:r>
        <w:br/>
        <w:t>h_{\mathrm{red}},</w:t>
      </w:r>
      <w:r>
        <w:br/>
        <w:t>\preceq_{\mathrm{eq}},</w:t>
      </w:r>
      <w:r>
        <w:br/>
        <w:t>Q_{12},</w:t>
      </w:r>
      <w:r>
        <w:br/>
        <w:t>\preceq_{\mathrm{red}}</w:t>
      </w:r>
      <w:r>
        <w:br/>
        <w:t>\right).</w:t>
      </w:r>
      <w:r>
        <w:br/>
        <w:t>\tag{3.13791}</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\mathfrak E_{\mathrm{red}}^{(2)}=\left(\mathfrak E_{\mathrm{red}}^{(1)},T_F^{\mathrm{red}},d_F^{\mathrm{red}},\varepsilon_{\mathrm{dyn}},h_{\mathrm{red}},\preceq_{\mathrm{eq}},Q_{12},\preceq_{\mathrm{red}}\right)</w:t>
      </w:r>
    </w:p>
    <w:p w:rsidR="00EE70E6" w:rsidRDefault="00EE70E6" w:rsidP="00EE70E6">
      <w:pPr>
        <w:pStyle w:val="StandardWeb"/>
      </w:pPr>
      <w:r>
        <w:t>Die Kandidatenmenge erweitert sich zu</w:t>
      </w:r>
    </w:p>
    <w:p w:rsidR="00EE70E6" w:rsidRDefault="00EE70E6" w:rsidP="00EE70E6">
      <w:pPr>
        <w:pStyle w:val="berschrift1"/>
      </w:pPr>
      <w:r>
        <w:t>[</w:t>
      </w:r>
      <w:r>
        <w:br/>
        <w:t>\mathcal A_{\mathrm{red}}^{\mathrm{cand},2}</w:t>
      </w:r>
    </w:p>
    <w:p w:rsidR="00EE70E6" w:rsidRDefault="00EE70E6" w:rsidP="00EE70E6">
      <w:pPr>
        <w:pStyle w:val="StandardWeb"/>
      </w:pPr>
      <w:r>
        <w:t>\mathcal A_{\mathrm{red}}^{\mathrm{cand},1}</w:t>
      </w:r>
      <w:r>
        <w:br/>
        <w:t>\cup</w:t>
      </w:r>
      <w:r>
        <w:br/>
        <w:t>{</w:t>
      </w:r>
      <w:r>
        <w:br/>
        <w:t>A_{\mathrm{dyn-red}},</w:t>
      </w:r>
      <w:r>
        <w:br/>
        <w:t>A_{\mathrm{red-zero}},</w:t>
      </w:r>
      <w:r>
        <w:br/>
        <w:t>A_{\mathrm{red-metric}},</w:t>
      </w:r>
      <w:r>
        <w:br/>
        <w:t>A_{\mathrm{red-depth}},</w:t>
      </w:r>
      <w:r>
        <w:br/>
        <w:t>A_{\mathrm{eq-total}},</w:t>
      </w:r>
      <w:r>
        <w:br/>
        <w:t>A_{\mathrm{red-min}}</w:t>
      </w:r>
      <w:r>
        <w:br/>
        <w:t>}.</w:t>
      </w:r>
      <w:r>
        <w:br/>
        <w:t>\tag{3.13792}</w:t>
      </w:r>
      <w:r>
        <w:br/>
        <w:t>]</w:t>
      </w:r>
    </w:p>
    <w:p w:rsidR="00EE70E6" w:rsidRDefault="00EE70E6" w:rsidP="00EE70E6">
      <w:pPr>
        <w:pStyle w:val="StandardWeb"/>
      </w:pPr>
      <w:r>
        <w:rPr>
          <w:rStyle w:val="Fett"/>
        </w:rPr>
        <w:lastRenderedPageBreak/>
        <w:t>Word-LaTeX</w:t>
      </w:r>
    </w:p>
    <w:p w:rsidR="00EE70E6" w:rsidRDefault="00EE70E6" w:rsidP="00EE70E6">
      <w:pPr>
        <w:pStyle w:val="HTMLVorformatiert"/>
        <w:rPr>
          <w:rStyle w:val="HTMLCode"/>
        </w:rPr>
      </w:pPr>
      <w:r>
        <w:rPr>
          <w:rStyle w:val="HTMLCode"/>
        </w:rPr>
        <w:t>\mathcal A_{\mathrm{red}}^{\mathrm{cand},2}=\mathcal A_{\mathrm{red}}^{\mathrm{cand},1}\cup\{A_{\mathrm{dyn-red}},A_{\mathrm{red-zero}},A_{\mathrm{red-metric}},A_{\mathrm{red-depth}},A_{\mathrm{eq-total}},A_{\mathrm{red-min}}\}</w:t>
      </w:r>
    </w:p>
    <w:p w:rsidR="00EE70E6" w:rsidRDefault="00EE70E6" w:rsidP="00EE70E6">
      <w:pPr>
        <w:pStyle w:val="StandardWeb"/>
      </w:pPr>
      <w:r>
        <w:t>Für sämtliche bislang geprüften Primäraxiomkandidaten gilt weiterhin</w:t>
      </w:r>
    </w:p>
    <w:p w:rsidR="00EE70E6" w:rsidRDefault="00EE70E6" w:rsidP="00EE70E6">
      <w:pPr>
        <w:pStyle w:val="berschrift1"/>
      </w:pPr>
      <w:r>
        <w:t>[</w:t>
      </w:r>
      <w:r>
        <w:br/>
        <w:t>\boxed{</w:t>
      </w:r>
      <w:r>
        <w:br/>
        <w:t>U_{\mathrm{Ax}}(A)</w:t>
      </w:r>
    </w:p>
    <w:p w:rsidR="00EE70E6" w:rsidRDefault="00EE70E6" w:rsidP="00EE70E6">
      <w:pPr>
        <w:pStyle w:val="StandardWeb"/>
      </w:pPr>
      <w:r>
        <w:t>0</w:t>
      </w:r>
      <w:r>
        <w:br/>
        <w:t>\qquad</w:t>
      </w:r>
      <w:r>
        <w:br/>
        <w:t>\forall A</w:t>
      </w:r>
      <w:r>
        <w:br/>
        <w:t>\in</w:t>
      </w:r>
      <w:r>
        <w:br/>
        <w:t>\mathcal A_{\mathrm{red}}^{\mathrm{cand},2}.</w:t>
      </w:r>
      <w:r>
        <w:br/>
        <w:t>}</w:t>
      </w:r>
      <w:r>
        <w:br/>
        <w:t>\tag{3.13793}</w:t>
      </w:r>
      <w:r>
        <w:br/>
        <w:t>]</w:t>
      </w:r>
    </w:p>
    <w:p w:rsidR="00EE70E6" w:rsidRDefault="00EE70E6" w:rsidP="00EE70E6">
      <w:pPr>
        <w:pStyle w:val="StandardWeb"/>
      </w:pPr>
      <w:r>
        <w:rPr>
          <w:rStyle w:val="Fett"/>
        </w:rPr>
        <w:t>Word-LaTeX</w:t>
      </w:r>
    </w:p>
    <w:p w:rsidR="00EE70E6" w:rsidRDefault="00EE70E6" w:rsidP="00EE70E6">
      <w:pPr>
        <w:pStyle w:val="HTMLVorformatiert"/>
        <w:rPr>
          <w:rStyle w:val="HTMLCode"/>
        </w:rPr>
      </w:pPr>
      <w:r>
        <w:rPr>
          <w:rStyle w:val="HTMLCode"/>
        </w:rPr>
        <w:t>\boxed{U_{\mathrm{Ax}}(A)=0\qquad\forall A\in\mathcal A_{\mathrm{red}}^{\mathrm{cand},2}.}</w:t>
      </w:r>
    </w:p>
    <w:p w:rsidR="00EE70E6" w:rsidRDefault="00EE70E6" w:rsidP="00EE70E6">
      <w:pPr>
        <w:pStyle w:val="StandardWeb"/>
      </w:pPr>
      <w:r>
        <w:t xml:space="preserve">Abschnitt </w:t>
      </w:r>
      <w:r>
        <w:rPr>
          <w:rStyle w:val="Fett"/>
        </w:rPr>
        <w:t>3.3.52 ist weiterhin nicht abgeschlossen</w:t>
      </w:r>
      <w:r>
        <w:t xml:space="preserve">. Als Nächstes prüfe ich insbesondere </w:t>
      </w:r>
      <w:r>
        <w:rPr>
          <w:rStyle w:val="Fett"/>
        </w:rPr>
        <w:t>maximale Reduktionen, Reduktionsstabilität, Projektion und Reduktion über Zeit, stochastische Reduktionen, Erhaltung funktionaler Relationen und schließlich die Minimalitätsfrage, ob Projektion, Restriktion, Reduktion oder Quotientierung überhaupt im minimalen FRZK vorhanden sein müssen</w:t>
      </w:r>
      <w:r>
        <w:t>.</w:t>
      </w:r>
    </w:p>
    <w:p w:rsidR="00EE70E6" w:rsidRDefault="00EE70E6" w:rsidP="00EE70E6">
      <w:pPr>
        <w:pStyle w:val="StandardWeb"/>
      </w:pPr>
      <w:r>
        <w:t xml:space="preserve">Der nächste Startpunkt ist </w:t>
      </w:r>
      <w:r>
        <w:rPr>
          <w:rStyle w:val="Fett"/>
        </w:rPr>
        <w:t>3.3.52.156 / Gleichung (3.13794)</w:t>
      </w:r>
      <w:r>
        <w:t xml:space="preserve">, nächste Definition </w:t>
      </w:r>
      <w:r>
        <w:rPr>
          <w:rStyle w:val="Fett"/>
        </w:rPr>
        <w:t>3.3.615</w:t>
      </w:r>
      <w:r>
        <w:t xml:space="preserve">, nächster Satz </w:t>
      </w:r>
      <w:r>
        <w:rPr>
          <w:rStyle w:val="Fett"/>
        </w:rPr>
        <w:t>3.3.242</w:t>
      </w:r>
      <w:r>
        <w:t xml:space="preserve">, nächstes Korollar </w:t>
      </w:r>
      <w:r>
        <w:rPr>
          <w:rStyle w:val="Fett"/>
        </w:rPr>
        <w:t>3.3.63</w:t>
      </w:r>
      <w:r>
        <w:t>.</w:t>
      </w:r>
    </w:p>
    <w:p w:rsidR="008B59F4" w:rsidRDefault="008B59F4" w:rsidP="008B59F4">
      <w:pPr>
        <w:pStyle w:val="berschrift1"/>
        <w:rPr>
          <w:rFonts w:cs="Times New Roman"/>
          <w:sz w:val="48"/>
          <w:szCs w:val="48"/>
        </w:rPr>
      </w:pPr>
      <w:r>
        <w:t>3.3.52.156 Maximale funktionale Reduktion</w:t>
      </w:r>
    </w:p>
    <w:p w:rsidR="008B59F4" w:rsidRDefault="008B59F4" w:rsidP="008B59F4">
      <w:pPr>
        <w:pStyle w:val="StandardWeb"/>
      </w:pPr>
      <w:r>
        <w:t>Nach der Einführung eines minimalen funktionalen Reduktionsoperators untersuche ich nun die komplementäre Frage, ob eine Modellklasse einen maximalen Reduktionsoperator besitzen muss. Die Definition eines maximalen Operators setzt bereits eine Reduktionsordnung (\preceq_{\mathrm{red}}) voraus.</w:t>
      </w:r>
    </w:p>
    <w:p w:rsidR="008B59F4" w:rsidRDefault="008B59F4" w:rsidP="008B59F4">
      <w:pPr>
        <w:pStyle w:val="StandardWeb"/>
      </w:pPr>
      <w:r>
        <w:t>Ein maximaler Reduktionsoperator (R_F^{\max}) erfüllt</w:t>
      </w:r>
    </w:p>
    <w:p w:rsidR="008B59F4" w:rsidRDefault="008B59F4" w:rsidP="008B59F4">
      <w:pPr>
        <w:pStyle w:val="StandardWeb"/>
      </w:pPr>
      <w:r>
        <w:t>[</w:t>
      </w:r>
      <w:r>
        <w:br/>
        <w:t>R_F</w:t>
      </w:r>
      <w:r>
        <w:br/>
        <w:t>\preceq_{\mathrm{red}}</w:t>
      </w:r>
      <w:r>
        <w:br/>
        <w:t>R_F^{\max}</w:t>
      </w:r>
      <w:r>
        <w:br/>
      </w:r>
      <w:r>
        <w:lastRenderedPageBreak/>
        <w:t>\qquad</w:t>
      </w:r>
      <w:r>
        <w:br/>
        <w:t>\forall R_F\in\mathcal R_F.</w:t>
      </w:r>
      <w:r>
        <w:br/>
        <w:t>\tag{3.13794}</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R_F\preceq_{\mathrm{red}}R_F^{\max}\qquad\forall R_F\in\mathcal R_F</w:t>
      </w:r>
    </w:p>
    <w:p w:rsidR="008B59F4" w:rsidRDefault="008B59F4" w:rsidP="008B59F4">
      <w:pPr>
        <w:pStyle w:val="StandardWeb"/>
      </w:pPr>
      <w:r>
        <w:t>Dabei bedeutet „maximal“ ausschließlich maximal bezüglich der zuvor gewählten Reduktionsordnung. Es bedeutet nicht automatisch maximalen Informationsverlust, minimale Dimension oder größtmögliche Vereinfachung.</w:t>
      </w:r>
    </w:p>
    <w:p w:rsidR="008B59F4" w:rsidRDefault="008B59F4" w:rsidP="008B59F4">
      <w:r>
        <w:pict>
          <v:rect id="_x0000_i5884" style="width:0;height:1.5pt" o:hralign="center" o:hrstd="t" o:hr="t" fillcolor="#a0a0a0" stroked="f"/>
        </w:pict>
      </w:r>
    </w:p>
    <w:p w:rsidR="008B59F4" w:rsidRDefault="008B59F4" w:rsidP="008B59F4">
      <w:pPr>
        <w:pStyle w:val="berschrift1"/>
      </w:pPr>
      <w:r>
        <w:t>3.3.52.157 Existenz eines maximalen Reduktionsoperators als Primäraxiomkandidat</w:t>
      </w:r>
    </w:p>
    <w:p w:rsidR="008B59F4" w:rsidRDefault="008B59F4" w:rsidP="008B59F4">
      <w:pPr>
        <w:pStyle w:val="StandardWeb"/>
      </w:pPr>
      <w:r>
        <w:t>Der entsprechende Kandidat lautet</w:t>
      </w:r>
    </w:p>
    <w:p w:rsidR="008B59F4" w:rsidRDefault="008B59F4" w:rsidP="008B59F4">
      <w:pPr>
        <w:pStyle w:val="StandardWeb"/>
      </w:pPr>
      <w:r>
        <w:t>[</w:t>
      </w:r>
      <w:r>
        <w:br/>
        <w:t>A_{\mathrm{red-max}}</w:t>
      </w:r>
      <w:r>
        <w:br/>
        <w:t>:</w:t>
      </w:r>
      <w:r>
        <w:br/>
        <w:t>\exists</w:t>
      </w:r>
      <w:r>
        <w:br/>
        <w:t>R_F^{\max}</w:t>
      </w:r>
      <w:r>
        <w:br/>
        <w:t>\in</w:t>
      </w:r>
      <w:r>
        <w:br/>
        <w:t>\mathcal R_F.</w:t>
      </w:r>
      <w:r>
        <w:br/>
        <w:t>\tag{3.13795}</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A_{\mathrm{red-max}}:\exists R_F^{\max}\in\mathcal R_F</w:t>
      </w:r>
    </w:p>
    <w:p w:rsidR="008B59F4" w:rsidRDefault="008B59F4" w:rsidP="008B59F4">
      <w:r>
        <w:pict>
          <v:rect id="_x0000_i5885" style="width:0;height:1.5pt" o:hralign="center" o:hrstd="t" o:hr="t" fillcolor="#a0a0a0" stroked="f"/>
        </w:pict>
      </w:r>
    </w:p>
    <w:p w:rsidR="008B59F4" w:rsidRDefault="008B59F4" w:rsidP="008B59F4">
      <w:pPr>
        <w:pStyle w:val="berschrift1"/>
      </w:pPr>
      <w:r>
        <w:t>3.3.52.158 Gegenmodell ohne maximales Element</w:t>
      </w:r>
    </w:p>
    <w:p w:rsidR="008B59F4" w:rsidRDefault="008B59F4" w:rsidP="008B59F4">
      <w:pPr>
        <w:pStyle w:val="StandardWeb"/>
      </w:pPr>
      <w:r>
        <w:t>Eine Reduktionsordnung kann eine streng aufsteigende Folge besitzen:</w:t>
      </w:r>
    </w:p>
    <w:p w:rsidR="008B59F4" w:rsidRDefault="008B59F4" w:rsidP="008B59F4">
      <w:pPr>
        <w:pStyle w:val="StandardWeb"/>
      </w:pPr>
      <w:r>
        <w:t>[</w:t>
      </w:r>
      <w:r>
        <w:br/>
        <w:t>R_{F,1}</w:t>
      </w:r>
      <w:r>
        <w:br/>
        <w:t>\prec_{\mathrm{red}}</w:t>
      </w:r>
      <w:r>
        <w:br/>
        <w:t>R_{F,2}</w:t>
      </w:r>
      <w:r>
        <w:br/>
        <w:t>\prec_{\mathrm{red}}</w:t>
      </w:r>
      <w:r>
        <w:br/>
        <w:t>R_{F,3}</w:t>
      </w:r>
      <w:r>
        <w:br/>
        <w:t>\prec_{\mathrm{red}}</w:t>
      </w:r>
      <w:r>
        <w:br/>
        <w:t>\cdots.</w:t>
      </w:r>
      <w:r>
        <w:br/>
        <w:t>\tag{3.13796}</w:t>
      </w:r>
      <w:r>
        <w:br/>
        <w:t>]</w:t>
      </w:r>
    </w:p>
    <w:p w:rsidR="008B59F4" w:rsidRDefault="008B59F4" w:rsidP="008B59F4">
      <w:pPr>
        <w:pStyle w:val="StandardWeb"/>
      </w:pPr>
      <w:r>
        <w:rPr>
          <w:rStyle w:val="Fett"/>
        </w:rPr>
        <w:lastRenderedPageBreak/>
        <w:t>Word-LaTeX</w:t>
      </w:r>
    </w:p>
    <w:p w:rsidR="008B59F4" w:rsidRDefault="008B59F4" w:rsidP="008B59F4">
      <w:pPr>
        <w:pStyle w:val="HTMLVorformatiert"/>
        <w:rPr>
          <w:rStyle w:val="HTMLCode"/>
        </w:rPr>
      </w:pPr>
      <w:r>
        <w:rPr>
          <w:rStyle w:val="HTMLCode"/>
        </w:rPr>
        <w:t>R_{F,1}\prec_{\mathrm{red}}R_{F,2}\prec_{\mathrm{red}}R_{F,3}\prec_{\mathrm{red}}\cdots</w:t>
      </w:r>
    </w:p>
    <w:p w:rsidR="008B59F4" w:rsidRDefault="008B59F4" w:rsidP="008B59F4">
      <w:pPr>
        <w:pStyle w:val="StandardWeb"/>
      </w:pPr>
      <w:r>
        <w:t>Dabei kann für jedes (R_{F,n}) ein stärkeres Element (R_{F,n+1}) existieren.</w:t>
      </w:r>
    </w:p>
    <w:p w:rsidR="008B59F4" w:rsidRDefault="008B59F4" w:rsidP="008B59F4">
      <w:pPr>
        <w:pStyle w:val="StandardWeb"/>
      </w:pPr>
      <w:r>
        <w:t>Formal gilt dann</w:t>
      </w:r>
    </w:p>
    <w:p w:rsidR="008B59F4" w:rsidRDefault="008B59F4" w:rsidP="008B59F4">
      <w:pPr>
        <w:pStyle w:val="StandardWeb"/>
      </w:pPr>
      <w:r>
        <w:t>[</w:t>
      </w:r>
      <w:r>
        <w:br/>
        <w:t>\forall n\in\mathbb N</w:t>
      </w:r>
      <w:r>
        <w:br/>
        <w:t>\quad</w:t>
      </w:r>
      <w:r>
        <w:br/>
        <w:t>\exists R_{F,n+1}</w:t>
      </w:r>
      <w:r>
        <w:br/>
        <w:t>:</w:t>
      </w:r>
      <w:r>
        <w:br/>
        <w:t>R_{F,n}</w:t>
      </w:r>
      <w:r>
        <w:br/>
        <w:t>\prec_{\mathrm{red}}</w:t>
      </w:r>
      <w:r>
        <w:br/>
        <w:t>R_{F,n+1}.</w:t>
      </w:r>
      <w:r>
        <w:br/>
        <w:t>\tag{3.13797}</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\forall n\in\mathbb N\quad\exists R_{F,n+1}:R_{F,n}\prec_{\mathrm{red}}R_{F,n+1}</w:t>
      </w:r>
    </w:p>
    <w:p w:rsidR="008B59F4" w:rsidRDefault="008B59F4" w:rsidP="008B59F4">
      <w:pPr>
        <w:pStyle w:val="StandardWeb"/>
      </w:pPr>
      <w:r>
        <w:t>Ein maximales Element muss in einer solchen Struktur nicht existieren.</w:t>
      </w:r>
    </w:p>
    <w:p w:rsidR="008B59F4" w:rsidRDefault="008B59F4" w:rsidP="008B59F4">
      <w:r>
        <w:pict>
          <v:rect id="_x0000_i5886" style="width:0;height:1.5pt" o:hralign="center" o:hrstd="t" o:hr="t" fillcolor="#a0a0a0" stroked="f"/>
        </w:pict>
      </w:r>
    </w:p>
    <w:p w:rsidR="008B59F4" w:rsidRDefault="008B59F4" w:rsidP="008B59F4">
      <w:pPr>
        <w:pStyle w:val="berschrift1"/>
      </w:pPr>
      <w:r>
        <w:t>3.3.52.159 Axiomentscheidung zur maximalen Reduktion</w:t>
      </w:r>
    </w:p>
    <w:p w:rsidR="008B59F4" w:rsidRDefault="008B59F4" w:rsidP="008B59F4">
      <w:pPr>
        <w:pStyle w:val="StandardWeb"/>
      </w:pPr>
      <w:r>
        <w:t>Daher gilt</w:t>
      </w:r>
    </w:p>
    <w:p w:rsidR="008B59F4" w:rsidRDefault="008B59F4" w:rsidP="008B59F4">
      <w:pPr>
        <w:pStyle w:val="berschrift1"/>
      </w:pPr>
      <w:r>
        <w:t>[</w:t>
      </w:r>
      <w:r>
        <w:br/>
        <w:t>\boxed{</w:t>
      </w:r>
      <w:r>
        <w:br/>
        <w:t>U_{\mathrm{Ax}}</w:t>
      </w:r>
      <w:r>
        <w:br/>
        <w:t>(A_{\mathrm{red-max}})</w:t>
      </w:r>
    </w:p>
    <w:p w:rsidR="008B59F4" w:rsidRDefault="008B59F4" w:rsidP="009F7790">
      <w:pPr>
        <w:numPr>
          <w:ilvl w:val="0"/>
          <w:numId w:val="717"/>
        </w:numPr>
        <w:spacing w:before="100" w:beforeAutospacing="1" w:after="100" w:afterAutospacing="1"/>
      </w:pPr>
    </w:p>
    <w:p w:rsidR="008B59F4" w:rsidRDefault="008B59F4" w:rsidP="008B59F4">
      <w:pPr>
        <w:pStyle w:val="StandardWeb"/>
      </w:pPr>
      <w:r>
        <w:t>}</w:t>
      </w:r>
      <w:r>
        <w:br/>
        <w:t>\tag{3.13798}</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\boxed{U_{\mathrm{Ax}}(A_{\mathrm{red-max}})=0.}</w:t>
      </w:r>
    </w:p>
    <w:p w:rsidR="008B59F4" w:rsidRDefault="008B59F4" w:rsidP="008B59F4">
      <w:r>
        <w:lastRenderedPageBreak/>
        <w:pict>
          <v:rect id="_x0000_i5887" style="width:0;height:1.5pt" o:hralign="center" o:hrstd="t" o:hr="t" fillcolor="#a0a0a0" stroked="f"/>
        </w:pict>
      </w:r>
    </w:p>
    <w:p w:rsidR="008B59F4" w:rsidRDefault="008B59F4" w:rsidP="008B59F4">
      <w:pPr>
        <w:pStyle w:val="berschrift1"/>
      </w:pPr>
      <w:r>
        <w:t>3.3.52.160 Satz 3.3.242 – Die Existenz einer maximalen Reduktion ist kein Primäraxiom</w:t>
      </w:r>
    </w:p>
    <w:p w:rsidR="008B59F4" w:rsidRDefault="008B59F4" w:rsidP="008B59F4">
      <w:pPr>
        <w:pStyle w:val="berschrift3"/>
      </w:pPr>
      <w:r>
        <w:t>Satz 3.3.242</w:t>
      </w:r>
    </w:p>
    <w:p w:rsidR="008B59F4" w:rsidRDefault="008B59F4" w:rsidP="008B59F4">
      <w:pPr>
        <w:pStyle w:val="StandardWeb"/>
      </w:pPr>
      <w:r>
        <w:t>Die Forderung, jede zulässige Menge funktionaler Reduktionen müsse bezüglich einer festgelegten Reduktionsordnung ein maximales Element besitzen, ist keine universell notwendige Voraussetzung des allgemeinen FRZK.</w:t>
      </w:r>
    </w:p>
    <w:p w:rsidR="008B59F4" w:rsidRDefault="008B59F4" w:rsidP="008B59F4">
      <w:pPr>
        <w:pStyle w:val="StandardWeb"/>
      </w:pPr>
      <w:r>
        <w:t>Formal gilt</w:t>
      </w:r>
    </w:p>
    <w:p w:rsidR="008B59F4" w:rsidRDefault="008B59F4" w:rsidP="008B59F4">
      <w:pPr>
        <w:pStyle w:val="berschrift1"/>
      </w:pPr>
      <w:r>
        <w:t>[</w:t>
      </w:r>
      <w:r>
        <w:br/>
        <w:t>\boxed{</w:t>
      </w:r>
      <w:r>
        <w:br/>
        <w:t>U_{\mathrm{Ax}}</w:t>
      </w:r>
      <w:r>
        <w:br/>
        <w:t>(A_{\mathrm{red-max}})</w:t>
      </w:r>
    </w:p>
    <w:p w:rsidR="008B59F4" w:rsidRDefault="008B59F4" w:rsidP="009F7790">
      <w:pPr>
        <w:numPr>
          <w:ilvl w:val="0"/>
          <w:numId w:val="718"/>
        </w:numPr>
        <w:spacing w:before="100" w:beforeAutospacing="1" w:after="100" w:afterAutospacing="1"/>
      </w:pPr>
    </w:p>
    <w:p w:rsidR="008B59F4" w:rsidRDefault="008B59F4" w:rsidP="008B59F4">
      <w:pPr>
        <w:pStyle w:val="StandardWeb"/>
      </w:pPr>
      <w:r>
        <w:t>}</w:t>
      </w:r>
      <w:r>
        <w:br/>
        <w:t>\tag{3.13799}</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\boxed{U_{\mathrm{Ax}}(A_{\mathrm{red-max}})=0.}</w:t>
      </w:r>
    </w:p>
    <w:p w:rsidR="008B59F4" w:rsidRDefault="008B59F4" w:rsidP="008B59F4">
      <w:pPr>
        <w:pStyle w:val="berschrift3"/>
      </w:pPr>
      <w:r>
        <w:t>Beweis</w:t>
      </w:r>
    </w:p>
    <w:p w:rsidR="008B59F4" w:rsidRDefault="008B59F4" w:rsidP="008B59F4">
      <w:pPr>
        <w:pStyle w:val="StandardWeb"/>
      </w:pPr>
      <w:r>
        <w:t>Ich betrachte eine streng aufsteigende Reduktionsfolge</w:t>
      </w:r>
    </w:p>
    <w:p w:rsidR="008B59F4" w:rsidRDefault="008B59F4" w:rsidP="008B59F4">
      <w:pPr>
        <w:pStyle w:val="StandardWeb"/>
      </w:pPr>
      <w:r>
        <w:t>[</w:t>
      </w:r>
      <w:r>
        <w:br/>
        <w:t>R_{F,1}</w:t>
      </w:r>
      <w:r>
        <w:br/>
        <w:t>\prec_{\mathrm{red}}</w:t>
      </w:r>
      <w:r>
        <w:br/>
        <w:t>R_{F,2}</w:t>
      </w:r>
      <w:r>
        <w:br/>
        <w:t>\prec_{\mathrm{red}}</w:t>
      </w:r>
      <w:r>
        <w:br/>
        <w:t>\cdots</w:t>
      </w:r>
      <w:r>
        <w:br/>
        <w:t>\tag{3.13800}</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R_{F,1}\prec_{\mathrm{red}}R_{F,2}\prec_{\mathrm{red}}\cdots</w:t>
      </w:r>
    </w:p>
    <w:p w:rsidR="008B59F4" w:rsidRDefault="008B59F4" w:rsidP="008B59F4">
      <w:pPr>
        <w:pStyle w:val="StandardWeb"/>
      </w:pPr>
      <w:r>
        <w:t>mit</w:t>
      </w:r>
    </w:p>
    <w:p w:rsidR="008B59F4" w:rsidRDefault="008B59F4" w:rsidP="008B59F4">
      <w:pPr>
        <w:pStyle w:val="StandardWeb"/>
      </w:pPr>
      <w:r>
        <w:lastRenderedPageBreak/>
        <w:t>[</w:t>
      </w:r>
      <w:r>
        <w:br/>
        <w:t>\forall n</w:t>
      </w:r>
      <w:r>
        <w:br/>
        <w:t>\quad</w:t>
      </w:r>
      <w:r>
        <w:br/>
        <w:t>\exists R_{F,n+1}</w:t>
      </w:r>
      <w:r>
        <w:br/>
        <w:t>:</w:t>
      </w:r>
      <w:r>
        <w:br/>
        <w:t>R_{F,n}</w:t>
      </w:r>
      <w:r>
        <w:br/>
        <w:t>\prec_{\mathrm{red}}</w:t>
      </w:r>
      <w:r>
        <w:br/>
        <w:t>R_{F,n+1}.</w:t>
      </w:r>
      <w:r>
        <w:br/>
        <w:t>\tag{3.13801}</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\forall n\quad\exists R_{F,n+1}:R_{F,n}\prec_{\mathrm{red}}R_{F,n+1}</w:t>
      </w:r>
    </w:p>
    <w:p w:rsidR="008B59F4" w:rsidRDefault="008B59F4" w:rsidP="008B59F4">
      <w:pPr>
        <w:pStyle w:val="StandardWeb"/>
      </w:pPr>
      <w:r>
        <w:t>Dann existiert innerhalb dieser Folge kein maximales Element. Die Reduktionsstruktur bleibt dennoch wohldefiniert. Somit ist die Existenz eines maximalen Reduktionsoperators nicht universell notwendig. (\square)</w:t>
      </w:r>
    </w:p>
    <w:p w:rsidR="008B59F4" w:rsidRDefault="008B59F4" w:rsidP="008B59F4">
      <w:r>
        <w:pict>
          <v:rect id="_x0000_i5888" style="width:0;height:1.5pt" o:hralign="center" o:hrstd="t" o:hr="t" fillcolor="#a0a0a0" stroked="f"/>
        </w:pict>
      </w:r>
    </w:p>
    <w:p w:rsidR="008B59F4" w:rsidRDefault="008B59F4" w:rsidP="008B59F4">
      <w:pPr>
        <w:pStyle w:val="berschrift1"/>
      </w:pPr>
      <w:r>
        <w:t>3.3.52.161 Korollar 3.3.63 – Extremale Reduktionsoperatoren sind modellabhängig</w:t>
      </w:r>
    </w:p>
    <w:p w:rsidR="008B59F4" w:rsidRDefault="008B59F4" w:rsidP="008B59F4">
      <w:pPr>
        <w:pStyle w:val="berschrift3"/>
      </w:pPr>
      <w:r>
        <w:t>Korollar 3.3.63</w:t>
      </w:r>
    </w:p>
    <w:p w:rsidR="008B59F4" w:rsidRDefault="008B59F4" w:rsidP="008B59F4">
      <w:pPr>
        <w:pStyle w:val="StandardWeb"/>
      </w:pPr>
      <w:r>
        <w:t>Aus den Sätzen 3.3.241 und 3.3.242 folgt</w:t>
      </w:r>
    </w:p>
    <w:p w:rsidR="008B59F4" w:rsidRDefault="008B59F4" w:rsidP="008B59F4">
      <w:pPr>
        <w:pStyle w:val="berschrift1"/>
      </w:pPr>
      <w:r>
        <w:t>[</w:t>
      </w:r>
      <w:r>
        <w:br/>
        <w:t>\boxed{</w:t>
      </w:r>
      <w:r>
        <w:br/>
        <w:t>\operatorname{Stat}</w:t>
      </w:r>
      <w:r>
        <w:br/>
        <w:t>(R_F^\star,R_F^{\max})</w:t>
      </w:r>
    </w:p>
    <w:p w:rsidR="008B59F4" w:rsidRDefault="008B59F4" w:rsidP="008B59F4">
      <w:pPr>
        <w:pStyle w:val="StandardWeb"/>
      </w:pPr>
      <w:r>
        <w:t>\mathrm{Def/Mod/Op}.</w:t>
      </w:r>
      <w:r>
        <w:br/>
        <w:t>}</w:t>
      </w:r>
      <w:r>
        <w:br/>
        <w:t>\tag{3.13802}</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\boxed{\operatorname{Stat}(R_F^\star,R_F^{\max})=\mathrm{Def/Mod/Op}.}</w:t>
      </w:r>
    </w:p>
    <w:p w:rsidR="008B59F4" w:rsidRDefault="008B59F4" w:rsidP="008B59F4">
      <w:r>
        <w:pict>
          <v:rect id="_x0000_i5889" style="width:0;height:1.5pt" o:hralign="center" o:hrstd="t" o:hr="t" fillcolor="#a0a0a0" stroked="f"/>
        </w:pict>
      </w:r>
    </w:p>
    <w:p w:rsidR="008B59F4" w:rsidRDefault="008B59F4" w:rsidP="008B59F4">
      <w:pPr>
        <w:pStyle w:val="berschrift1"/>
      </w:pPr>
      <w:r>
        <w:t>3.3.52.162 Reduktionsstabilität</w:t>
      </w:r>
    </w:p>
    <w:p w:rsidR="008B59F4" w:rsidRDefault="008B59F4" w:rsidP="008B59F4">
      <w:pPr>
        <w:pStyle w:val="StandardWeb"/>
      </w:pPr>
      <w:r>
        <w:t>Eine weitere Frage betrifft die wiederholte Anwendung derselben Reduktionsabbildung.</w:t>
      </w:r>
    </w:p>
    <w:p w:rsidR="008B59F4" w:rsidRDefault="008B59F4" w:rsidP="008B59F4">
      <w:pPr>
        <w:pStyle w:val="StandardWeb"/>
      </w:pPr>
      <w:r>
        <w:lastRenderedPageBreak/>
        <w:t>Sei</w:t>
      </w:r>
    </w:p>
    <w:p w:rsidR="008B59F4" w:rsidRDefault="008B59F4" w:rsidP="008B59F4">
      <w:pPr>
        <w:pStyle w:val="StandardWeb"/>
      </w:pPr>
      <w:r>
        <w:t>[</w:t>
      </w:r>
      <w:r>
        <w:br/>
        <w:t>R_F</w:t>
      </w:r>
      <w:r>
        <w:br/>
        <w:t>:</w:t>
      </w:r>
      <w:r>
        <w:br/>
        <w:t>\mathcal X_F</w:t>
      </w:r>
      <w:r>
        <w:br/>
        <w:t>\rightarrow</w:t>
      </w:r>
      <w:r>
        <w:br/>
        <w:t>\mathcal X_F.</w:t>
      </w:r>
      <w:r>
        <w:br/>
        <w:t>\tag{3.13803}</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R_F:\mathcal X_F\rightarrow\mathcal X_F</w:t>
      </w:r>
    </w:p>
    <w:p w:rsidR="008B59F4" w:rsidRDefault="008B59F4" w:rsidP="008B59F4">
      <w:pPr>
        <w:pStyle w:val="StandardWeb"/>
      </w:pPr>
      <w:r>
        <w:t>Dann kann ich die iterierte Reduktion</w:t>
      </w:r>
    </w:p>
    <w:p w:rsidR="008B59F4" w:rsidRDefault="008B59F4" w:rsidP="008B59F4">
      <w:pPr>
        <w:pStyle w:val="StandardWeb"/>
      </w:pPr>
      <w:r>
        <w:t>[</w:t>
      </w:r>
      <w:r>
        <w:br/>
        <w:t>R_F^{,n}(X)</w:t>
      </w:r>
      <w:r>
        <w:br/>
        <w:t>\tag{3.13804}</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R_F^{\,n}(X)</w:t>
      </w:r>
    </w:p>
    <w:p w:rsidR="008B59F4" w:rsidRDefault="008B59F4" w:rsidP="008B59F4">
      <w:pPr>
        <w:pStyle w:val="StandardWeb"/>
      </w:pPr>
      <w:r>
        <w:t>betrachten.</w:t>
      </w:r>
    </w:p>
    <w:p w:rsidR="008B59F4" w:rsidRDefault="008B59F4" w:rsidP="008B59F4">
      <w:r>
        <w:pict>
          <v:rect id="_x0000_i5890" style="width:0;height:1.5pt" o:hralign="center" o:hrstd="t" o:hr="t" fillcolor="#a0a0a0" stroked="f"/>
        </w:pict>
      </w:r>
    </w:p>
    <w:p w:rsidR="008B59F4" w:rsidRDefault="008B59F4" w:rsidP="008B59F4">
      <w:pPr>
        <w:pStyle w:val="berschrift1"/>
      </w:pPr>
      <w:r>
        <w:t>3.3.52.163 Definition 3.3.615 – Funktionale Reduktionsiteration</w:t>
      </w:r>
    </w:p>
    <w:p w:rsidR="008B59F4" w:rsidRDefault="008B59F4" w:rsidP="008B59F4">
      <w:pPr>
        <w:pStyle w:val="berschrift3"/>
      </w:pPr>
      <w:r>
        <w:t>Definition 3.3.615</w:t>
      </w:r>
    </w:p>
    <w:p w:rsidR="008B59F4" w:rsidRDefault="008B59F4" w:rsidP="008B59F4">
      <w:pPr>
        <w:pStyle w:val="StandardWeb"/>
      </w:pPr>
      <w:r>
        <w:t xml:space="preserve">Die </w:t>
      </w:r>
      <w:r>
        <w:rPr>
          <w:rStyle w:val="Fett"/>
        </w:rPr>
        <w:t>(n)-fache funktionale Reduktionsiteration</w:t>
      </w:r>
      <w:r>
        <w:t xml:space="preserve"> ist rekursiv definiert durch</w:t>
      </w:r>
    </w:p>
    <w:p w:rsidR="008B59F4" w:rsidRDefault="008B59F4" w:rsidP="008B59F4">
      <w:pPr>
        <w:pStyle w:val="berschrift1"/>
      </w:pPr>
      <w:r>
        <w:t>[</w:t>
      </w:r>
      <w:r>
        <w:br/>
        <w:t>\boxed{</w:t>
      </w:r>
      <w:r>
        <w:br/>
        <w:t>R_F^{,0}</w:t>
      </w:r>
    </w:p>
    <w:p w:rsidR="008B59F4" w:rsidRDefault="008B59F4" w:rsidP="008B59F4">
      <w:pPr>
        <w:pStyle w:val="berschrift1"/>
      </w:pPr>
      <w:r>
        <w:t>\operatorname{id},</w:t>
      </w:r>
      <w:r>
        <w:br/>
        <w:t>\qquad</w:t>
      </w:r>
      <w:r>
        <w:br/>
        <w:t>R_F^{,n+1}</w:t>
      </w:r>
    </w:p>
    <w:p w:rsidR="008B59F4" w:rsidRDefault="008B59F4" w:rsidP="008B59F4">
      <w:pPr>
        <w:pStyle w:val="StandardWeb"/>
      </w:pPr>
      <w:r>
        <w:t>R_F</w:t>
      </w:r>
      <w:r>
        <w:br/>
        <w:t>\circ</w:t>
      </w:r>
      <w:r>
        <w:br/>
      </w:r>
      <w:r>
        <w:lastRenderedPageBreak/>
        <w:t>R_F^{,n}.</w:t>
      </w:r>
      <w:r>
        <w:br/>
        <w:t>}</w:t>
      </w:r>
      <w:r>
        <w:br/>
        <w:t>\tag{3.13805}</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\boxed{R_F^{\,0}=\operatorname{id},\qquad R_F^{\,n+1}=R_F\circ R_F^{\,n}.}</w:t>
      </w:r>
    </w:p>
    <w:p w:rsidR="008B59F4" w:rsidRDefault="008B59F4" w:rsidP="008B59F4">
      <w:r>
        <w:pict>
          <v:rect id="_x0000_i5891" style="width:0;height:1.5pt" o:hralign="center" o:hrstd="t" o:hr="t" fillcolor="#a0a0a0" stroked="f"/>
        </w:pict>
      </w:r>
    </w:p>
    <w:p w:rsidR="008B59F4" w:rsidRDefault="008B59F4" w:rsidP="008B59F4">
      <w:pPr>
        <w:pStyle w:val="berschrift1"/>
      </w:pPr>
      <w:r>
        <w:t>3.3.52.164 Reduktionsfixpunkt</w:t>
      </w:r>
    </w:p>
    <w:p w:rsidR="008B59F4" w:rsidRDefault="008B59F4" w:rsidP="008B59F4">
      <w:pPr>
        <w:pStyle w:val="StandardWeb"/>
      </w:pPr>
      <w:r>
        <w:t>Ein Objekt kann unter der Reduktion unverändert bleiben:</w:t>
      </w:r>
    </w:p>
    <w:p w:rsidR="008B59F4" w:rsidRDefault="008B59F4" w:rsidP="008B59F4">
      <w:pPr>
        <w:pStyle w:val="berschrift1"/>
      </w:pPr>
      <w:r>
        <w:t>[</w:t>
      </w:r>
      <w:r>
        <w:br/>
        <w:t>R_F(X^\star)</w:t>
      </w:r>
    </w:p>
    <w:p w:rsidR="008B59F4" w:rsidRDefault="008B59F4" w:rsidP="008B59F4">
      <w:pPr>
        <w:pStyle w:val="StandardWeb"/>
      </w:pPr>
      <w:r>
        <w:t>X^\star.</w:t>
      </w:r>
      <w:r>
        <w:br/>
        <w:t>\tag{3.13806}</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R_F(X^\star)=X^\star</w:t>
      </w:r>
    </w:p>
    <w:p w:rsidR="008B59F4" w:rsidRDefault="008B59F4" w:rsidP="008B59F4">
      <w:r>
        <w:pict>
          <v:rect id="_x0000_i5892" style="width:0;height:1.5pt" o:hralign="center" o:hrstd="t" o:hr="t" fillcolor="#a0a0a0" stroked="f"/>
        </w:pict>
      </w:r>
    </w:p>
    <w:p w:rsidR="008B59F4" w:rsidRDefault="008B59F4" w:rsidP="008B59F4">
      <w:pPr>
        <w:pStyle w:val="berschrift1"/>
      </w:pPr>
      <w:r>
        <w:t>3.3.52.165 Definition 3.3.616 – Funktionaler Reduktionsfixpunkt</w:t>
      </w:r>
    </w:p>
    <w:p w:rsidR="008B59F4" w:rsidRDefault="008B59F4" w:rsidP="008B59F4">
      <w:pPr>
        <w:pStyle w:val="berschrift3"/>
      </w:pPr>
      <w:r>
        <w:t>Definition 3.3.616</w:t>
      </w:r>
    </w:p>
    <w:p w:rsidR="008B59F4" w:rsidRDefault="008B59F4" w:rsidP="008B59F4">
      <w:pPr>
        <w:pStyle w:val="StandardWeb"/>
      </w:pPr>
      <w:r>
        <w:t xml:space="preserve">Ein Objekt (X^\star) heißt </w:t>
      </w:r>
      <w:r>
        <w:rPr>
          <w:rStyle w:val="Fett"/>
        </w:rPr>
        <w:t>funktionaler Reduktionsfixpunkt</w:t>
      </w:r>
      <w:r>
        <w:t>, wenn</w:t>
      </w:r>
    </w:p>
    <w:p w:rsidR="008B59F4" w:rsidRDefault="008B59F4" w:rsidP="008B59F4">
      <w:pPr>
        <w:pStyle w:val="berschrift1"/>
      </w:pPr>
      <w:r>
        <w:t>[</w:t>
      </w:r>
      <w:r>
        <w:br/>
        <w:t>\boxed{</w:t>
      </w:r>
      <w:r>
        <w:br/>
        <w:t>R_F(X^\star)</w:t>
      </w:r>
    </w:p>
    <w:p w:rsidR="008B59F4" w:rsidRDefault="008B59F4" w:rsidP="008B59F4">
      <w:pPr>
        <w:pStyle w:val="StandardWeb"/>
      </w:pPr>
      <w:r>
        <w:t>X^\star.</w:t>
      </w:r>
      <w:r>
        <w:br/>
        <w:t>}</w:t>
      </w:r>
      <w:r>
        <w:br/>
        <w:t>\tag{3.13807}</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\boxed{R_F(X^\star)=X^\star.}</w:t>
      </w:r>
    </w:p>
    <w:p w:rsidR="008B59F4" w:rsidRDefault="008B59F4" w:rsidP="008B59F4">
      <w:r>
        <w:lastRenderedPageBreak/>
        <w:pict>
          <v:rect id="_x0000_i5893" style="width:0;height:1.5pt" o:hralign="center" o:hrstd="t" o:hr="t" fillcolor="#a0a0a0" stroked="f"/>
        </w:pict>
      </w:r>
    </w:p>
    <w:p w:rsidR="008B59F4" w:rsidRDefault="008B59F4" w:rsidP="008B59F4">
      <w:pPr>
        <w:pStyle w:val="berschrift1"/>
      </w:pPr>
      <w:r>
        <w:t>3.3.52.166 Endlich stabilisierende Reduktion</w:t>
      </w:r>
    </w:p>
    <w:p w:rsidR="008B59F4" w:rsidRDefault="008B59F4" w:rsidP="008B59F4">
      <w:pPr>
        <w:pStyle w:val="StandardWeb"/>
      </w:pPr>
      <w:r>
        <w:t>Eine Reduktion kann nach endlich vielen Iterationen einen Fixpunkt erreichen:</w:t>
      </w:r>
    </w:p>
    <w:p w:rsidR="008B59F4" w:rsidRDefault="008B59F4" w:rsidP="008B59F4">
      <w:pPr>
        <w:pStyle w:val="berschrift1"/>
      </w:pPr>
      <w:r>
        <w:t>[</w:t>
      </w:r>
      <w:r>
        <w:br/>
        <w:t>\exists n^\star</w:t>
      </w:r>
      <w:r>
        <w:br/>
        <w:t>\in</w:t>
      </w:r>
      <w:r>
        <w:br/>
        <w:t>\mathbb N_0</w:t>
      </w:r>
      <w:r>
        <w:br/>
        <w:t>:</w:t>
      </w:r>
      <w:r>
        <w:br/>
        <w:t>R_F^{,n^\star+1}(X)</w:t>
      </w:r>
    </w:p>
    <w:p w:rsidR="008B59F4" w:rsidRDefault="008B59F4" w:rsidP="008B59F4">
      <w:pPr>
        <w:pStyle w:val="StandardWeb"/>
      </w:pPr>
      <w:r>
        <w:t>R_F^{,n^\star}(X).</w:t>
      </w:r>
      <w:r>
        <w:br/>
        <w:t>\tag{3.13808}</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\exists n^\star\in\mathbb N_0:R_F^{\,n^\star+1}(X)=R_F^{\,n^\star}(X)</w:t>
      </w:r>
    </w:p>
    <w:p w:rsidR="008B59F4" w:rsidRDefault="008B59F4" w:rsidP="008B59F4">
      <w:r>
        <w:pict>
          <v:rect id="_x0000_i5894" style="width:0;height:1.5pt" o:hralign="center" o:hrstd="t" o:hr="t" fillcolor="#a0a0a0" stroked="f"/>
        </w:pict>
      </w:r>
    </w:p>
    <w:p w:rsidR="008B59F4" w:rsidRDefault="008B59F4" w:rsidP="008B59F4">
      <w:pPr>
        <w:pStyle w:val="berschrift1"/>
      </w:pPr>
      <w:r>
        <w:t>3.3.52.167 Definition 3.3.617 – Endlich stabilisierende funktionale Reduktion</w:t>
      </w:r>
    </w:p>
    <w:p w:rsidR="008B59F4" w:rsidRDefault="008B59F4" w:rsidP="008B59F4">
      <w:pPr>
        <w:pStyle w:val="berschrift3"/>
      </w:pPr>
      <w:r>
        <w:t>Definition 3.3.617</w:t>
      </w:r>
    </w:p>
    <w:p w:rsidR="008B59F4" w:rsidRDefault="008B59F4" w:rsidP="008B59F4">
      <w:pPr>
        <w:pStyle w:val="StandardWeb"/>
      </w:pPr>
      <w:r>
        <w:t xml:space="preserve">Eine Reduktion heißt </w:t>
      </w:r>
      <w:r>
        <w:rPr>
          <w:rStyle w:val="Fett"/>
        </w:rPr>
        <w:t>endlich stabilisierend für (X)</w:t>
      </w:r>
      <w:r>
        <w:t>, wenn</w:t>
      </w:r>
    </w:p>
    <w:p w:rsidR="008B59F4" w:rsidRDefault="008B59F4" w:rsidP="008B59F4">
      <w:pPr>
        <w:pStyle w:val="berschrift1"/>
      </w:pPr>
      <w:r>
        <w:t>[</w:t>
      </w:r>
      <w:r>
        <w:br/>
        <w:t>\boxed{</w:t>
      </w:r>
      <w:r>
        <w:br/>
        <w:t>\exists n^\star\in\mathbb N_0:</w:t>
      </w:r>
      <w:r>
        <w:br/>
        <w:t>R_F^{,n^\star+1}(X)</w:t>
      </w:r>
    </w:p>
    <w:p w:rsidR="008B59F4" w:rsidRDefault="008B59F4" w:rsidP="008B59F4">
      <w:pPr>
        <w:pStyle w:val="StandardWeb"/>
      </w:pPr>
      <w:r>
        <w:t>R_F^{,n^\star}(X).</w:t>
      </w:r>
      <w:r>
        <w:br/>
        <w:t>}</w:t>
      </w:r>
      <w:r>
        <w:br/>
        <w:t>\tag{3.13809}</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lastRenderedPageBreak/>
        <w:t>\boxed{\exists n^\star\in\mathbb N_0:R_F^{\,n^\star+1}(X)=R_F^{\,n^\star}(X).}</w:t>
      </w:r>
    </w:p>
    <w:p w:rsidR="008B59F4" w:rsidRDefault="008B59F4" w:rsidP="008B59F4">
      <w:r>
        <w:pict>
          <v:rect id="_x0000_i5895" style="width:0;height:1.5pt" o:hralign="center" o:hrstd="t" o:hr="t" fillcolor="#a0a0a0" stroked="f"/>
        </w:pict>
      </w:r>
    </w:p>
    <w:p w:rsidR="008B59F4" w:rsidRDefault="008B59F4" w:rsidP="008B59F4">
      <w:pPr>
        <w:pStyle w:val="berschrift1"/>
      </w:pPr>
      <w:r>
        <w:t>3.3.52.168 Nichtstabilisierende Reduktion</w:t>
      </w:r>
    </w:p>
    <w:p w:rsidR="008B59F4" w:rsidRDefault="008B59F4" w:rsidP="008B59F4">
      <w:pPr>
        <w:pStyle w:val="StandardWeb"/>
      </w:pPr>
      <w:r>
        <w:t>Eine Reduktionsiteration kann dagegen für alle endlichen Schritte weitere Veränderungen erzeugen:</w:t>
      </w:r>
    </w:p>
    <w:p w:rsidR="008B59F4" w:rsidRDefault="008B59F4" w:rsidP="008B59F4">
      <w:pPr>
        <w:pStyle w:val="StandardWeb"/>
      </w:pPr>
      <w:r>
        <w:t>[</w:t>
      </w:r>
      <w:r>
        <w:br/>
        <w:t>R_F^{,n+1}(X)</w:t>
      </w:r>
      <w:r>
        <w:br/>
        <w:t>\neq</w:t>
      </w:r>
      <w:r>
        <w:br/>
        <w:t>R_F^{,n}(X)</w:t>
      </w:r>
      <w:r>
        <w:br/>
        <w:t>\qquad</w:t>
      </w:r>
      <w:r>
        <w:br/>
        <w:t>\forall n\in\mathbb N_0.</w:t>
      </w:r>
      <w:r>
        <w:br/>
        <w:t>\tag{3.13810}</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R_F^{\,n+1}(X)\neq R_F^{\,n}(X)\qquad\forall n\in\mathbb N_0</w:t>
      </w:r>
    </w:p>
    <w:p w:rsidR="008B59F4" w:rsidRDefault="008B59F4" w:rsidP="008B59F4">
      <w:r>
        <w:pict>
          <v:rect id="_x0000_i5896" style="width:0;height:1.5pt" o:hralign="center" o:hrstd="t" o:hr="t" fillcolor="#a0a0a0" stroked="f"/>
        </w:pict>
      </w:r>
    </w:p>
    <w:p w:rsidR="008B59F4" w:rsidRDefault="008B59F4" w:rsidP="008B59F4">
      <w:pPr>
        <w:pStyle w:val="berschrift1"/>
      </w:pPr>
      <w:r>
        <w:t>3.3.52.169 Endliche Reduktionsstabilisierung als Primäraxiomkandidat</w:t>
      </w:r>
    </w:p>
    <w:p w:rsidR="008B59F4" w:rsidRDefault="008B59F4" w:rsidP="008B59F4">
      <w:pPr>
        <w:pStyle w:val="StandardWeb"/>
      </w:pPr>
      <w:r>
        <w:t>Der Kandidat lautet</w:t>
      </w:r>
    </w:p>
    <w:p w:rsidR="008B59F4" w:rsidRDefault="008B59F4" w:rsidP="008B59F4">
      <w:pPr>
        <w:pStyle w:val="berschrift1"/>
      </w:pPr>
      <w:r>
        <w:t>[</w:t>
      </w:r>
      <w:r>
        <w:br/>
        <w:t>A_{\mathrm{red-stab}}</w:t>
      </w:r>
      <w:r>
        <w:br/>
        <w:t>:</w:t>
      </w:r>
      <w:r>
        <w:br/>
        <w:t>\forall X</w:t>
      </w:r>
      <w:r>
        <w:br/>
        <w:t>\quad</w:t>
      </w:r>
      <w:r>
        <w:br/>
        <w:t>\exists n^\star&lt;\infty</w:t>
      </w:r>
      <w:r>
        <w:br/>
        <w:t>:</w:t>
      </w:r>
      <w:r>
        <w:br/>
        <w:t>R_F^{,n^\star+1}(X)</w:t>
      </w:r>
    </w:p>
    <w:p w:rsidR="008B59F4" w:rsidRDefault="008B59F4" w:rsidP="008B59F4">
      <w:pPr>
        <w:pStyle w:val="StandardWeb"/>
      </w:pPr>
      <w:r>
        <w:t>R_F^{,n^\star}(X).</w:t>
      </w:r>
      <w:r>
        <w:br/>
        <w:t>\tag{3.13811}</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lastRenderedPageBreak/>
        <w:t>A_{\mathrm{red-stab}}:\forall X\quad\exists n^\star&lt;\infty:R_F^{\,n^\star+1}(X)=R_F^{\,n^\star}(X)</w:t>
      </w:r>
    </w:p>
    <w:p w:rsidR="008B59F4" w:rsidRDefault="008B59F4" w:rsidP="008B59F4">
      <w:r>
        <w:pict>
          <v:rect id="_x0000_i5897" style="width:0;height:1.5pt" o:hralign="center" o:hrstd="t" o:hr="t" fillcolor="#a0a0a0" stroked="f"/>
        </w:pict>
      </w:r>
    </w:p>
    <w:p w:rsidR="008B59F4" w:rsidRDefault="008B59F4" w:rsidP="008B59F4">
      <w:pPr>
        <w:pStyle w:val="berschrift1"/>
      </w:pPr>
      <w:r>
        <w:t>3.3.52.170 Gegenmodell zur endlichen Stabilisierung</w:t>
      </w:r>
    </w:p>
    <w:p w:rsidR="008B59F4" w:rsidRDefault="008B59F4" w:rsidP="008B59F4">
      <w:pPr>
        <w:pStyle w:val="StandardWeb"/>
      </w:pPr>
      <w:r>
        <w:t>Eine zulässige Modellabbildung kann eine unendliche Folge verschiedener Reduktionszustände erzeugen:</w:t>
      </w:r>
    </w:p>
    <w:p w:rsidR="008B59F4" w:rsidRDefault="008B59F4" w:rsidP="008B59F4">
      <w:pPr>
        <w:pStyle w:val="StandardWeb"/>
      </w:pPr>
      <w:r>
        <w:t>[</w:t>
      </w:r>
      <w:r>
        <w:br/>
        <w:t>X,</w:t>
      </w:r>
      <w:r>
        <w:br/>
        <w:t>R_F(X),</w:t>
      </w:r>
      <w:r>
        <w:br/>
        <w:t>R_F^2(X),</w:t>
      </w:r>
      <w:r>
        <w:br/>
        <w:t>R_F^3(X),</w:t>
      </w:r>
      <w:r>
        <w:br/>
        <w:t>\ldots</w:t>
      </w:r>
      <w:r>
        <w:br/>
        <w:t>\tag{3.13812}</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X,R_F(X),R_F^2(X),R_F^3(X),\ldots</w:t>
      </w:r>
    </w:p>
    <w:p w:rsidR="008B59F4" w:rsidRDefault="008B59F4" w:rsidP="008B59F4">
      <w:pPr>
        <w:pStyle w:val="StandardWeb"/>
      </w:pPr>
      <w:r>
        <w:t>mit</w:t>
      </w:r>
    </w:p>
    <w:p w:rsidR="008B59F4" w:rsidRDefault="008B59F4" w:rsidP="008B59F4">
      <w:pPr>
        <w:pStyle w:val="StandardWeb"/>
      </w:pPr>
      <w:r>
        <w:t>[</w:t>
      </w:r>
      <w:r>
        <w:br/>
        <w:t>R_F^{,n+1}(X)</w:t>
      </w:r>
      <w:r>
        <w:br/>
        <w:t>\neq</w:t>
      </w:r>
      <w:r>
        <w:br/>
        <w:t>R_F^{,n}(X)</w:t>
      </w:r>
      <w:r>
        <w:br/>
        <w:t>\qquad</w:t>
      </w:r>
      <w:r>
        <w:br/>
        <w:t>\forall n.</w:t>
      </w:r>
      <w:r>
        <w:br/>
        <w:t>\tag{3.13813}</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R_F^{\,n+1}(X)\neq R_F^{\,n}(X)\qquad\forall n</w:t>
      </w:r>
    </w:p>
    <w:p w:rsidR="008B59F4" w:rsidRDefault="008B59F4" w:rsidP="008B59F4">
      <w:r>
        <w:pict>
          <v:rect id="_x0000_i5898" style="width:0;height:1.5pt" o:hralign="center" o:hrstd="t" o:hr="t" fillcolor="#a0a0a0" stroked="f"/>
        </w:pict>
      </w:r>
    </w:p>
    <w:p w:rsidR="008B59F4" w:rsidRDefault="008B59F4" w:rsidP="008B59F4">
      <w:pPr>
        <w:pStyle w:val="berschrift1"/>
      </w:pPr>
      <w:r>
        <w:t>3.3.52.171 Axiomentscheidung zur Reduktionsstabilität</w:t>
      </w:r>
    </w:p>
    <w:p w:rsidR="008B59F4" w:rsidRDefault="008B59F4" w:rsidP="008B59F4">
      <w:pPr>
        <w:pStyle w:val="StandardWeb"/>
      </w:pPr>
      <w:r>
        <w:t>Damit folgt</w:t>
      </w:r>
    </w:p>
    <w:p w:rsidR="008B59F4" w:rsidRDefault="008B59F4" w:rsidP="008B59F4">
      <w:pPr>
        <w:pStyle w:val="berschrift1"/>
      </w:pPr>
      <w:r>
        <w:t>[</w:t>
      </w:r>
      <w:r>
        <w:br/>
        <w:t>\boxed{</w:t>
      </w:r>
      <w:r>
        <w:br/>
        <w:t>U_{\mathrm{Ax}}</w:t>
      </w:r>
      <w:r>
        <w:br/>
        <w:t>(A_{\mathrm{red-stab}})</w:t>
      </w:r>
    </w:p>
    <w:p w:rsidR="008B59F4" w:rsidRDefault="008B59F4" w:rsidP="009F7790">
      <w:pPr>
        <w:numPr>
          <w:ilvl w:val="0"/>
          <w:numId w:val="719"/>
        </w:numPr>
        <w:spacing w:before="100" w:beforeAutospacing="1" w:after="100" w:afterAutospacing="1"/>
      </w:pPr>
    </w:p>
    <w:p w:rsidR="008B59F4" w:rsidRDefault="008B59F4" w:rsidP="008B59F4">
      <w:pPr>
        <w:pStyle w:val="StandardWeb"/>
      </w:pPr>
      <w:r>
        <w:t>}</w:t>
      </w:r>
      <w:r>
        <w:br/>
        <w:t>\tag{3.13814}</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\boxed{U_{\mathrm{Ax}}(A_{\mathrm{red-stab}})=0.}</w:t>
      </w:r>
    </w:p>
    <w:p w:rsidR="008B59F4" w:rsidRDefault="008B59F4" w:rsidP="008B59F4">
      <w:r>
        <w:pict>
          <v:rect id="_x0000_i5899" style="width:0;height:1.5pt" o:hralign="center" o:hrstd="t" o:hr="t" fillcolor="#a0a0a0" stroked="f"/>
        </w:pict>
      </w:r>
    </w:p>
    <w:p w:rsidR="008B59F4" w:rsidRDefault="008B59F4" w:rsidP="008B59F4">
      <w:pPr>
        <w:pStyle w:val="berschrift1"/>
      </w:pPr>
      <w:r>
        <w:t>3.3.52.172 Satz 3.3.243 – Endliche Reduktionsstabilisierung ist kein Primäraxiom</w:t>
      </w:r>
    </w:p>
    <w:p w:rsidR="008B59F4" w:rsidRDefault="008B59F4" w:rsidP="008B59F4">
      <w:pPr>
        <w:pStyle w:val="berschrift3"/>
      </w:pPr>
      <w:r>
        <w:t>Satz 3.3.243</w:t>
      </w:r>
    </w:p>
    <w:p w:rsidR="008B59F4" w:rsidRDefault="008B59F4" w:rsidP="008B59F4">
      <w:pPr>
        <w:pStyle w:val="StandardWeb"/>
      </w:pPr>
      <w:r>
        <w:t>Die Forderung, jede wiederholt angewandte funktionale Reduktion müsse nach endlich vielen Schritten einen Fixpunkt erreichen, ist keine universell notwendige Voraussetzung des allgemeinen FRZK.</w:t>
      </w:r>
    </w:p>
    <w:p w:rsidR="008B59F4" w:rsidRDefault="008B59F4" w:rsidP="008B59F4">
      <w:pPr>
        <w:pStyle w:val="berschrift1"/>
      </w:pPr>
      <w:r>
        <w:t>[</w:t>
      </w:r>
      <w:r>
        <w:br/>
        <w:t>\boxed{</w:t>
      </w:r>
      <w:r>
        <w:br/>
        <w:t>U_{\mathrm{Ax}}</w:t>
      </w:r>
      <w:r>
        <w:br/>
        <w:t>(A_{\mathrm{red-stab}})</w:t>
      </w:r>
    </w:p>
    <w:p w:rsidR="008B59F4" w:rsidRDefault="008B59F4" w:rsidP="009F7790">
      <w:pPr>
        <w:numPr>
          <w:ilvl w:val="0"/>
          <w:numId w:val="720"/>
        </w:numPr>
        <w:spacing w:before="100" w:beforeAutospacing="1" w:after="100" w:afterAutospacing="1"/>
      </w:pPr>
    </w:p>
    <w:p w:rsidR="008B59F4" w:rsidRDefault="008B59F4" w:rsidP="008B59F4">
      <w:pPr>
        <w:pStyle w:val="StandardWeb"/>
      </w:pPr>
      <w:r>
        <w:t>}</w:t>
      </w:r>
      <w:r>
        <w:br/>
        <w:t>\tag{3.13815}</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\boxed{U_{\mathrm{Ax}}(A_{\mathrm{red-stab}})=0.}</w:t>
      </w:r>
    </w:p>
    <w:p w:rsidR="008B59F4" w:rsidRDefault="008B59F4" w:rsidP="008B59F4">
      <w:pPr>
        <w:pStyle w:val="berschrift3"/>
      </w:pPr>
      <w:r>
        <w:t>Beweis</w:t>
      </w:r>
    </w:p>
    <w:p w:rsidR="008B59F4" w:rsidRDefault="008B59F4" w:rsidP="008B59F4">
      <w:pPr>
        <w:pStyle w:val="StandardWeb"/>
      </w:pPr>
      <w:r>
        <w:t>Eine zulässige Reduktionsabbildung kann eine unendliche Folge paarweise verschiedener iterierter Zustände erzeugen. Die Reduktion ist in jedem Iterationsschritt wohldefiniert, obwohl kein endlicher Fixpunkt erreicht wird. Damit ist endliche Stabilisierung nicht universell notwendig. (\square)</w:t>
      </w:r>
    </w:p>
    <w:p w:rsidR="008B59F4" w:rsidRDefault="008B59F4" w:rsidP="008B59F4">
      <w:r>
        <w:pict>
          <v:rect id="_x0000_i5900" style="width:0;height:1.5pt" o:hralign="center" o:hrstd="t" o:hr="t" fillcolor="#a0a0a0" stroked="f"/>
        </w:pict>
      </w:r>
    </w:p>
    <w:p w:rsidR="008B59F4" w:rsidRDefault="008B59F4" w:rsidP="008B59F4">
      <w:pPr>
        <w:pStyle w:val="berschrift1"/>
      </w:pPr>
      <w:r>
        <w:t>3.3.52.173 Zeitabhängige Projektion</w:t>
      </w:r>
    </w:p>
    <w:p w:rsidR="008B59F4" w:rsidRDefault="008B59F4" w:rsidP="008B59F4">
      <w:pPr>
        <w:pStyle w:val="StandardWeb"/>
      </w:pPr>
      <w:r>
        <w:t>Eine Projektion kann explizit vom Zeitparameter abhängen:</w:t>
      </w:r>
    </w:p>
    <w:p w:rsidR="008B59F4" w:rsidRDefault="008B59F4" w:rsidP="008B59F4">
      <w:pPr>
        <w:pStyle w:val="berschrift1"/>
      </w:pPr>
      <w:r>
        <w:lastRenderedPageBreak/>
        <w:t>[</w:t>
      </w:r>
      <w:r>
        <w:br/>
        <w:t>\Pi_F</w:t>
      </w:r>
    </w:p>
    <w:p w:rsidR="008B59F4" w:rsidRDefault="008B59F4" w:rsidP="008B59F4">
      <w:pPr>
        <w:pStyle w:val="StandardWeb"/>
      </w:pPr>
      <w:r>
        <w:t>\Pi_F(t).</w:t>
      </w:r>
      <w:r>
        <w:br/>
        <w:t>\tag{3.13816}</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\Pi_F=\Pi_F(t)</w:t>
      </w:r>
    </w:p>
    <w:p w:rsidR="008B59F4" w:rsidRDefault="008B59F4" w:rsidP="008B59F4">
      <w:r>
        <w:pict>
          <v:rect id="_x0000_i5901" style="width:0;height:1.5pt" o:hralign="center" o:hrstd="t" o:hr="t" fillcolor="#a0a0a0" stroked="f"/>
        </w:pict>
      </w:r>
    </w:p>
    <w:p w:rsidR="008B59F4" w:rsidRDefault="008B59F4" w:rsidP="008B59F4">
      <w:pPr>
        <w:pStyle w:val="berschrift1"/>
      </w:pPr>
      <w:r>
        <w:t>3.3.52.174 Definition 3.3.618 – Zeitabhängige funktionale Projektion</w:t>
      </w:r>
    </w:p>
    <w:p w:rsidR="008B59F4" w:rsidRDefault="008B59F4" w:rsidP="008B59F4">
      <w:pPr>
        <w:pStyle w:val="berschrift3"/>
      </w:pPr>
      <w:r>
        <w:t>Definition 3.3.618</w:t>
      </w:r>
    </w:p>
    <w:p w:rsidR="008B59F4" w:rsidRDefault="008B59F4" w:rsidP="008B59F4">
      <w:pPr>
        <w:pStyle w:val="StandardWeb"/>
      </w:pPr>
      <w:r>
        <w:t xml:space="preserve">Eine funktionale Projektion heißt </w:t>
      </w:r>
      <w:r>
        <w:rPr>
          <w:rStyle w:val="Fett"/>
        </w:rPr>
        <w:t>zeitabhängig</w:t>
      </w:r>
      <w:r>
        <w:t>, wenn</w:t>
      </w:r>
    </w:p>
    <w:p w:rsidR="008B59F4" w:rsidRDefault="008B59F4" w:rsidP="008B59F4">
      <w:pPr>
        <w:pStyle w:val="berschrift1"/>
      </w:pPr>
      <w:r>
        <w:t>[</w:t>
      </w:r>
      <w:r>
        <w:br/>
        <w:t>\boxed{</w:t>
      </w:r>
      <w:r>
        <w:br/>
        <w:t>\Pi_F</w:t>
      </w:r>
    </w:p>
    <w:p w:rsidR="008B59F4" w:rsidRDefault="008B59F4" w:rsidP="008B59F4">
      <w:pPr>
        <w:pStyle w:val="StandardWeb"/>
      </w:pPr>
      <w:r>
        <w:t>\Pi_F(t).</w:t>
      </w:r>
      <w:r>
        <w:br/>
        <w:t>}</w:t>
      </w:r>
      <w:r>
        <w:br/>
        <w:t>\tag{3.13817}</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\boxed{\Pi_F=\Pi_F(t).}</w:t>
      </w:r>
    </w:p>
    <w:p w:rsidR="008B59F4" w:rsidRDefault="008B59F4" w:rsidP="008B59F4">
      <w:r>
        <w:pict>
          <v:rect id="_x0000_i5902" style="width:0;height:1.5pt" o:hralign="center" o:hrstd="t" o:hr="t" fillcolor="#a0a0a0" stroked="f"/>
        </w:pict>
      </w:r>
    </w:p>
    <w:p w:rsidR="008B59F4" w:rsidRDefault="008B59F4" w:rsidP="008B59F4">
      <w:pPr>
        <w:pStyle w:val="berschrift1"/>
      </w:pPr>
      <w:r>
        <w:t>3.3.52.175 Zeitlicher Projektionswechsel</w:t>
      </w:r>
    </w:p>
    <w:p w:rsidR="008B59F4" w:rsidRDefault="008B59F4" w:rsidP="008B59F4">
      <w:pPr>
        <w:pStyle w:val="StandardWeb"/>
      </w:pPr>
      <w:r>
        <w:t>Für dasselbe Objekt kann gelten</w:t>
      </w:r>
    </w:p>
    <w:p w:rsidR="008B59F4" w:rsidRDefault="008B59F4" w:rsidP="008B59F4">
      <w:pPr>
        <w:pStyle w:val="StandardWeb"/>
      </w:pPr>
      <w:r>
        <w:t>[</w:t>
      </w:r>
      <w:r>
        <w:br/>
        <w:t>\Pi_F^{(t_1)}(X)</w:t>
      </w:r>
      <w:r>
        <w:br/>
        <w:t>\neq</w:t>
      </w:r>
      <w:r>
        <w:br/>
        <w:t>\Pi_F^{(t_2)}(X).</w:t>
      </w:r>
      <w:r>
        <w:br/>
        <w:t>\tag{3.13818}</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lastRenderedPageBreak/>
        <w:t>\Pi_F^{(t_1)}(X)\neq\Pi_F^{(t_2)}(X)</w:t>
      </w:r>
    </w:p>
    <w:p w:rsidR="008B59F4" w:rsidRDefault="008B59F4" w:rsidP="008B59F4">
      <w:r>
        <w:pict>
          <v:rect id="_x0000_i5903" style="width:0;height:1.5pt" o:hralign="center" o:hrstd="t" o:hr="t" fillcolor="#a0a0a0" stroked="f"/>
        </w:pict>
      </w:r>
    </w:p>
    <w:p w:rsidR="008B59F4" w:rsidRDefault="008B59F4" w:rsidP="008B59F4">
      <w:pPr>
        <w:pStyle w:val="berschrift1"/>
      </w:pPr>
      <w:r>
        <w:t>3.3.52.176 Definition 3.3.619 – Zeitlicher funktionaler Projektionswechsel</w:t>
      </w:r>
    </w:p>
    <w:p w:rsidR="008B59F4" w:rsidRDefault="008B59F4" w:rsidP="008B59F4">
      <w:pPr>
        <w:pStyle w:val="berschrift3"/>
      </w:pPr>
      <w:r>
        <w:t>Definition 3.3.619</w:t>
      </w:r>
    </w:p>
    <w:p w:rsidR="008B59F4" w:rsidRDefault="008B59F4" w:rsidP="008B59F4">
      <w:pPr>
        <w:pStyle w:val="StandardWeb"/>
      </w:pPr>
      <w:r>
        <w:t xml:space="preserve">Ein </w:t>
      </w:r>
      <w:r>
        <w:rPr>
          <w:rStyle w:val="Fett"/>
        </w:rPr>
        <w:t>zeitlicher funktionaler Projektionswechsel</w:t>
      </w:r>
      <w:r>
        <w:t xml:space="preserve"> liegt vor, wenn</w:t>
      </w:r>
    </w:p>
    <w:p w:rsidR="008B59F4" w:rsidRDefault="008B59F4" w:rsidP="008B59F4">
      <w:pPr>
        <w:pStyle w:val="StandardWeb"/>
      </w:pPr>
      <w:r>
        <w:t>[</w:t>
      </w:r>
      <w:r>
        <w:br/>
        <w:t>\boxed{</w:t>
      </w:r>
      <w:r>
        <w:br/>
        <w:t>t_1\neq t_2</w:t>
      </w:r>
      <w:r>
        <w:br/>
        <w:t>\land</w:t>
      </w:r>
      <w:r>
        <w:br/>
        <w:t>\Pi_F^{(t_1)}(X)</w:t>
      </w:r>
      <w:r>
        <w:br/>
        <w:t>\neq</w:t>
      </w:r>
      <w:r>
        <w:br/>
        <w:t>\Pi_F^{(t_2)}(X).</w:t>
      </w:r>
      <w:r>
        <w:br/>
        <w:t>}</w:t>
      </w:r>
      <w:r>
        <w:br/>
        <w:t>\tag{3.13819}</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\boxed{t_1\neq t_2\land\Pi_F^{(t_1)}(X)\neq\Pi_F^{(t_2)}(X).}</w:t>
      </w:r>
    </w:p>
    <w:p w:rsidR="008B59F4" w:rsidRDefault="008B59F4" w:rsidP="008B59F4">
      <w:r>
        <w:pict>
          <v:rect id="_x0000_i5904" style="width:0;height:1.5pt" o:hralign="center" o:hrstd="t" o:hr="t" fillcolor="#a0a0a0" stroked="f"/>
        </w:pict>
      </w:r>
    </w:p>
    <w:p w:rsidR="008B59F4" w:rsidRDefault="008B59F4" w:rsidP="008B59F4">
      <w:pPr>
        <w:pStyle w:val="berschrift1"/>
      </w:pPr>
      <w:r>
        <w:t>3.3.52.177 Zeitabhängige Reduktion</w:t>
      </w:r>
    </w:p>
    <w:p w:rsidR="008B59F4" w:rsidRDefault="008B59F4" w:rsidP="008B59F4">
      <w:pPr>
        <w:pStyle w:val="StandardWeb"/>
      </w:pPr>
      <w:r>
        <w:t>Analog kann eine Reduktionsabbildung zeitabhängig sein:</w:t>
      </w:r>
    </w:p>
    <w:p w:rsidR="008B59F4" w:rsidRDefault="008B59F4" w:rsidP="008B59F4">
      <w:pPr>
        <w:pStyle w:val="berschrift1"/>
      </w:pPr>
      <w:r>
        <w:t>[</w:t>
      </w:r>
      <w:r>
        <w:br/>
        <w:t>R_F</w:t>
      </w:r>
    </w:p>
    <w:p w:rsidR="008B59F4" w:rsidRDefault="008B59F4" w:rsidP="008B59F4">
      <w:pPr>
        <w:pStyle w:val="StandardWeb"/>
      </w:pPr>
      <w:r>
        <w:t>R_F(t).</w:t>
      </w:r>
      <w:r>
        <w:br/>
        <w:t>\tag{3.13820}</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R_F=R_F(t)</w:t>
      </w:r>
    </w:p>
    <w:p w:rsidR="008B59F4" w:rsidRDefault="008B59F4" w:rsidP="008B59F4">
      <w:r>
        <w:pict>
          <v:rect id="_x0000_i5905" style="width:0;height:1.5pt" o:hralign="center" o:hrstd="t" o:hr="t" fillcolor="#a0a0a0" stroked="f"/>
        </w:pict>
      </w:r>
    </w:p>
    <w:p w:rsidR="008B59F4" w:rsidRDefault="008B59F4" w:rsidP="008B59F4">
      <w:pPr>
        <w:pStyle w:val="berschrift1"/>
      </w:pPr>
      <w:r>
        <w:t>3.3.52.178 Definition 3.3.620 – Zeitabhängige funktionale Reduktion</w:t>
      </w:r>
    </w:p>
    <w:p w:rsidR="008B59F4" w:rsidRDefault="008B59F4" w:rsidP="008B59F4">
      <w:pPr>
        <w:pStyle w:val="berschrift3"/>
      </w:pPr>
      <w:r>
        <w:t>Definition 3.3.620</w:t>
      </w:r>
    </w:p>
    <w:p w:rsidR="008B59F4" w:rsidRDefault="008B59F4" w:rsidP="008B59F4">
      <w:pPr>
        <w:pStyle w:val="StandardWeb"/>
      </w:pPr>
      <w:r>
        <w:lastRenderedPageBreak/>
        <w:t xml:space="preserve">Eine funktionale Reduktion heißt </w:t>
      </w:r>
      <w:r>
        <w:rPr>
          <w:rStyle w:val="Fett"/>
        </w:rPr>
        <w:t>zeitabhängig</w:t>
      </w:r>
      <w:r>
        <w:t>, wenn</w:t>
      </w:r>
    </w:p>
    <w:p w:rsidR="008B59F4" w:rsidRDefault="008B59F4" w:rsidP="008B59F4">
      <w:pPr>
        <w:pStyle w:val="berschrift1"/>
      </w:pPr>
      <w:r>
        <w:t>[</w:t>
      </w:r>
      <w:r>
        <w:br/>
        <w:t>\boxed{</w:t>
      </w:r>
      <w:r>
        <w:br/>
        <w:t>R_F</w:t>
      </w:r>
    </w:p>
    <w:p w:rsidR="008B59F4" w:rsidRDefault="008B59F4" w:rsidP="008B59F4">
      <w:pPr>
        <w:pStyle w:val="StandardWeb"/>
      </w:pPr>
      <w:r>
        <w:t>R_F(t).</w:t>
      </w:r>
      <w:r>
        <w:br/>
        <w:t>}</w:t>
      </w:r>
      <w:r>
        <w:br/>
        <w:t>\tag{3.13821}</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\boxed{R_F=R_F(t).}</w:t>
      </w:r>
    </w:p>
    <w:p w:rsidR="008B59F4" w:rsidRDefault="008B59F4" w:rsidP="008B59F4">
      <w:r>
        <w:pict>
          <v:rect id="_x0000_i5906" style="width:0;height:1.5pt" o:hralign="center" o:hrstd="t" o:hr="t" fillcolor="#a0a0a0" stroked="f"/>
        </w:pict>
      </w:r>
    </w:p>
    <w:p w:rsidR="008B59F4" w:rsidRDefault="008B59F4" w:rsidP="008B59F4">
      <w:pPr>
        <w:pStyle w:val="berschrift1"/>
      </w:pPr>
      <w:r>
        <w:t>3.3.52.179 Zeitlicher Reduktionswechsel</w:t>
      </w:r>
    </w:p>
    <w:p w:rsidR="008B59F4" w:rsidRDefault="008B59F4" w:rsidP="008B59F4">
      <w:pPr>
        <w:pStyle w:val="StandardWeb"/>
      </w:pPr>
      <w:r>
        <w:t>Für dasselbe Objekt kann</w:t>
      </w:r>
    </w:p>
    <w:p w:rsidR="008B59F4" w:rsidRDefault="008B59F4" w:rsidP="008B59F4">
      <w:pPr>
        <w:pStyle w:val="StandardWeb"/>
      </w:pPr>
      <w:r>
        <w:t>[</w:t>
      </w:r>
      <w:r>
        <w:br/>
        <w:t>R_F^{(t_1)}(X)</w:t>
      </w:r>
      <w:r>
        <w:br/>
        <w:t>\neq</w:t>
      </w:r>
      <w:r>
        <w:br/>
        <w:t>R_F^{(t_2)}(X)</w:t>
      </w:r>
      <w:r>
        <w:br/>
        <w:t>\tag{3.13822}</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R_F^{(t_1)}(X)\neq R_F^{(t_2)}(X)</w:t>
      </w:r>
    </w:p>
    <w:p w:rsidR="008B59F4" w:rsidRDefault="008B59F4" w:rsidP="008B59F4">
      <w:pPr>
        <w:pStyle w:val="StandardWeb"/>
      </w:pPr>
      <w:r>
        <w:t>gelten.</w:t>
      </w:r>
    </w:p>
    <w:p w:rsidR="008B59F4" w:rsidRDefault="008B59F4" w:rsidP="008B59F4">
      <w:r>
        <w:pict>
          <v:rect id="_x0000_i5907" style="width:0;height:1.5pt" o:hralign="center" o:hrstd="t" o:hr="t" fillcolor="#a0a0a0" stroked="f"/>
        </w:pict>
      </w:r>
    </w:p>
    <w:p w:rsidR="008B59F4" w:rsidRDefault="008B59F4" w:rsidP="008B59F4">
      <w:pPr>
        <w:pStyle w:val="berschrift1"/>
      </w:pPr>
      <w:r>
        <w:t>3.3.52.180 Zeitinvarianz als Primäraxiomkandidat</w:t>
      </w:r>
    </w:p>
    <w:p w:rsidR="008B59F4" w:rsidRDefault="008B59F4" w:rsidP="008B59F4">
      <w:pPr>
        <w:pStyle w:val="StandardWeb"/>
      </w:pPr>
      <w:r>
        <w:t>Eine mögliche Forderung wäre</w:t>
      </w:r>
    </w:p>
    <w:p w:rsidR="008B59F4" w:rsidRDefault="008B59F4" w:rsidP="008B59F4">
      <w:pPr>
        <w:pStyle w:val="berschrift1"/>
      </w:pPr>
      <w:r>
        <w:t>[</w:t>
      </w:r>
      <w:r>
        <w:br/>
        <w:t>A_{\mathrm{red-time}}</w:t>
      </w:r>
      <w:r>
        <w:br/>
        <w:t>:</w:t>
      </w:r>
      <w:r>
        <w:br/>
        <w:t>R_F^{(t_1)}</w:t>
      </w:r>
    </w:p>
    <w:p w:rsidR="008B59F4" w:rsidRDefault="008B59F4" w:rsidP="008B59F4">
      <w:pPr>
        <w:pStyle w:val="StandardWeb"/>
      </w:pPr>
      <w:r>
        <w:lastRenderedPageBreak/>
        <w:t>R_F^{(t_2)}</w:t>
      </w:r>
      <w:r>
        <w:br/>
        <w:t>\qquad</w:t>
      </w:r>
      <w:r>
        <w:br/>
        <w:t>\forall t_1,t_2.</w:t>
      </w:r>
      <w:r>
        <w:br/>
        <w:t>\tag{3.13823}</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A_{\mathrm{red-time}}:R_F^{(t_1)}=R_F^{(t_2)}\qquad\forall t_1,t_2</w:t>
      </w:r>
    </w:p>
    <w:p w:rsidR="008B59F4" w:rsidRDefault="008B59F4" w:rsidP="008B59F4">
      <w:r>
        <w:pict>
          <v:rect id="_x0000_i5908" style="width:0;height:1.5pt" o:hralign="center" o:hrstd="t" o:hr="t" fillcolor="#a0a0a0" stroked="f"/>
        </w:pict>
      </w:r>
    </w:p>
    <w:p w:rsidR="008B59F4" w:rsidRDefault="008B59F4" w:rsidP="008B59F4">
      <w:pPr>
        <w:pStyle w:val="berschrift1"/>
      </w:pPr>
      <w:r>
        <w:t>3.3.52.181 Gegenmodell zur Zeitinvarianz</w:t>
      </w:r>
    </w:p>
    <w:p w:rsidR="008B59F4" w:rsidRDefault="008B59F4" w:rsidP="008B59F4">
      <w:pPr>
        <w:pStyle w:val="StandardWeb"/>
      </w:pPr>
      <w:r>
        <w:t>Eine Modellklasse kann eine zeitadaptive Reduktion besitzen:</w:t>
      </w:r>
    </w:p>
    <w:p w:rsidR="008B59F4" w:rsidRDefault="008B59F4" w:rsidP="008B59F4">
      <w:pPr>
        <w:pStyle w:val="berschrift1"/>
      </w:pPr>
      <w:r>
        <w:t>[</w:t>
      </w:r>
      <w:r>
        <w:br/>
        <w:t>R_F^{(t)}</w:t>
      </w:r>
    </w:p>
    <w:p w:rsidR="008B59F4" w:rsidRDefault="008B59F4" w:rsidP="008B59F4">
      <w:pPr>
        <w:pStyle w:val="StandardWeb"/>
      </w:pPr>
      <w:r>
        <w:t>R_F</w:t>
      </w:r>
      <w:r>
        <w:br/>
        <w:t>\bigl(</w:t>
      </w:r>
      <w:r>
        <w:br/>
        <w:t>\theta(t)</w:t>
      </w:r>
      <w:r>
        <w:br/>
        <w:t>\bigr),</w:t>
      </w:r>
      <w:r>
        <w:br/>
        <w:t>\tag{3.13824}</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R_F^{(t)}=R_F\bigl(\theta(t)\bigr)</w:t>
      </w:r>
    </w:p>
    <w:p w:rsidR="008B59F4" w:rsidRDefault="008B59F4" w:rsidP="008B59F4">
      <w:pPr>
        <w:pStyle w:val="StandardWeb"/>
      </w:pPr>
      <w:r>
        <w:t>wobei (\theta(t)) einen zeitabhängigen Modellparameter bezeichnet.</w:t>
      </w:r>
    </w:p>
    <w:p w:rsidR="008B59F4" w:rsidRDefault="008B59F4" w:rsidP="008B59F4">
      <w:pPr>
        <w:pStyle w:val="StandardWeb"/>
      </w:pPr>
      <w:r>
        <w:t>Dann kann</w:t>
      </w:r>
    </w:p>
    <w:p w:rsidR="008B59F4" w:rsidRDefault="008B59F4" w:rsidP="008B59F4">
      <w:pPr>
        <w:pStyle w:val="StandardWeb"/>
      </w:pPr>
      <w:r>
        <w:t>[</w:t>
      </w:r>
      <w:r>
        <w:br/>
        <w:t>\theta(t_1)</w:t>
      </w:r>
      <w:r>
        <w:br/>
        <w:t>\neq</w:t>
      </w:r>
      <w:r>
        <w:br/>
        <w:t>\theta(t_2)</w:t>
      </w:r>
      <w:r>
        <w:br/>
        <w:t>\tag{3.13825}</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\theta(t_1)\neq\theta(t_2)</w:t>
      </w:r>
    </w:p>
    <w:p w:rsidR="008B59F4" w:rsidRDefault="008B59F4" w:rsidP="008B59F4">
      <w:pPr>
        <w:pStyle w:val="StandardWeb"/>
      </w:pPr>
      <w:r>
        <w:t>und folglich</w:t>
      </w:r>
    </w:p>
    <w:p w:rsidR="008B59F4" w:rsidRDefault="008B59F4" w:rsidP="008B59F4">
      <w:pPr>
        <w:pStyle w:val="StandardWeb"/>
      </w:pPr>
      <w:r>
        <w:t>[</w:t>
      </w:r>
      <w:r>
        <w:br/>
        <w:t>R_F^{(t_1)}</w:t>
      </w:r>
      <w:r>
        <w:br/>
        <w:t>\neq</w:t>
      </w:r>
      <w:r>
        <w:br/>
      </w:r>
      <w:r>
        <w:lastRenderedPageBreak/>
        <w:t>R_F^{(t_2)}</w:t>
      </w:r>
      <w:r>
        <w:br/>
        <w:t>\tag{3.13826}</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R_F^{(t_1)}\neq R_F^{(t_2)}</w:t>
      </w:r>
    </w:p>
    <w:p w:rsidR="008B59F4" w:rsidRDefault="008B59F4" w:rsidP="008B59F4">
      <w:pPr>
        <w:pStyle w:val="StandardWeb"/>
      </w:pPr>
      <w:r>
        <w:t>gelten.</w:t>
      </w:r>
    </w:p>
    <w:p w:rsidR="008B59F4" w:rsidRDefault="008B59F4" w:rsidP="008B59F4">
      <w:r>
        <w:pict>
          <v:rect id="_x0000_i5909" style="width:0;height:1.5pt" o:hralign="center" o:hrstd="t" o:hr="t" fillcolor="#a0a0a0" stroked="f"/>
        </w:pict>
      </w:r>
    </w:p>
    <w:p w:rsidR="008B59F4" w:rsidRDefault="008B59F4" w:rsidP="008B59F4">
      <w:pPr>
        <w:pStyle w:val="berschrift1"/>
      </w:pPr>
      <w:r>
        <w:t>3.3.52.182 Axiomentscheidung zur Zeitinvarianz</w:t>
      </w:r>
    </w:p>
    <w:p w:rsidR="008B59F4" w:rsidRDefault="008B59F4" w:rsidP="008B59F4">
      <w:pPr>
        <w:pStyle w:val="StandardWeb"/>
      </w:pPr>
      <w:r>
        <w:t>Damit gilt</w:t>
      </w:r>
    </w:p>
    <w:p w:rsidR="008B59F4" w:rsidRDefault="008B59F4" w:rsidP="008B59F4">
      <w:pPr>
        <w:pStyle w:val="berschrift1"/>
      </w:pPr>
      <w:r>
        <w:t>[</w:t>
      </w:r>
      <w:r>
        <w:br/>
        <w:t>\boxed{</w:t>
      </w:r>
      <w:r>
        <w:br/>
        <w:t>U_{\mathrm{Ax}}</w:t>
      </w:r>
      <w:r>
        <w:br/>
        <w:t>(A_{\mathrm{red-time}})</w:t>
      </w:r>
    </w:p>
    <w:p w:rsidR="008B59F4" w:rsidRDefault="008B59F4" w:rsidP="009F7790">
      <w:pPr>
        <w:numPr>
          <w:ilvl w:val="0"/>
          <w:numId w:val="721"/>
        </w:numPr>
        <w:spacing w:before="100" w:beforeAutospacing="1" w:after="100" w:afterAutospacing="1"/>
      </w:pPr>
    </w:p>
    <w:p w:rsidR="008B59F4" w:rsidRDefault="008B59F4" w:rsidP="008B59F4">
      <w:pPr>
        <w:pStyle w:val="StandardWeb"/>
      </w:pPr>
      <w:r>
        <w:t>}</w:t>
      </w:r>
      <w:r>
        <w:br/>
        <w:t>\tag{3.13827}</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\boxed{U_{\mathrm{Ax}}(A_{\mathrm{red-time}})=0.}</w:t>
      </w:r>
    </w:p>
    <w:p w:rsidR="008B59F4" w:rsidRDefault="008B59F4" w:rsidP="008B59F4">
      <w:r>
        <w:pict>
          <v:rect id="_x0000_i5910" style="width:0;height:1.5pt" o:hralign="center" o:hrstd="t" o:hr="t" fillcolor="#a0a0a0" stroked="f"/>
        </w:pict>
      </w:r>
    </w:p>
    <w:p w:rsidR="008B59F4" w:rsidRDefault="008B59F4" w:rsidP="008B59F4">
      <w:pPr>
        <w:pStyle w:val="berschrift1"/>
      </w:pPr>
      <w:r>
        <w:t>3.3.52.183 Satz 3.3.244 – Zeitinvarianz funktionaler Reduktion ist kein Primäraxiom</w:t>
      </w:r>
    </w:p>
    <w:p w:rsidR="008B59F4" w:rsidRDefault="008B59F4" w:rsidP="008B59F4">
      <w:pPr>
        <w:pStyle w:val="berschrift3"/>
      </w:pPr>
      <w:r>
        <w:t>Satz 3.3.244</w:t>
      </w:r>
    </w:p>
    <w:p w:rsidR="008B59F4" w:rsidRDefault="008B59F4" w:rsidP="008B59F4">
      <w:pPr>
        <w:pStyle w:val="StandardWeb"/>
      </w:pPr>
      <w:r>
        <w:t>Die Forderung, eine funktionale Reduktionsabbildung müsse zu allen Zeitpunkten identisch bleiben, ist keine universell notwendige Voraussetzung des allgemeinen FRZK.</w:t>
      </w:r>
    </w:p>
    <w:p w:rsidR="008B59F4" w:rsidRDefault="008B59F4" w:rsidP="008B59F4">
      <w:pPr>
        <w:pStyle w:val="berschrift1"/>
      </w:pPr>
      <w:r>
        <w:t>[</w:t>
      </w:r>
      <w:r>
        <w:br/>
        <w:t>\boxed{</w:t>
      </w:r>
      <w:r>
        <w:br/>
        <w:t>U_{\mathrm{Ax}}</w:t>
      </w:r>
      <w:r>
        <w:br/>
        <w:t>(A_{\mathrm{red-time}})</w:t>
      </w:r>
    </w:p>
    <w:p w:rsidR="008B59F4" w:rsidRDefault="008B59F4" w:rsidP="009F7790">
      <w:pPr>
        <w:numPr>
          <w:ilvl w:val="0"/>
          <w:numId w:val="722"/>
        </w:numPr>
        <w:spacing w:before="100" w:beforeAutospacing="1" w:after="100" w:afterAutospacing="1"/>
      </w:pPr>
    </w:p>
    <w:p w:rsidR="008B59F4" w:rsidRDefault="008B59F4" w:rsidP="008B59F4">
      <w:pPr>
        <w:pStyle w:val="StandardWeb"/>
      </w:pPr>
      <w:r>
        <w:t>}</w:t>
      </w:r>
      <w:r>
        <w:br/>
        <w:t>\tag{3.13828}</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\boxed{U_{\mathrm{Ax}}(A_{\mathrm{red-time}})=0.}</w:t>
      </w:r>
    </w:p>
    <w:p w:rsidR="008B59F4" w:rsidRDefault="008B59F4" w:rsidP="008B59F4">
      <w:r>
        <w:pict>
          <v:rect id="_x0000_i5911" style="width:0;height:1.5pt" o:hralign="center" o:hrstd="t" o:hr="t" fillcolor="#a0a0a0" stroked="f"/>
        </w:pict>
      </w:r>
    </w:p>
    <w:p w:rsidR="008B59F4" w:rsidRDefault="008B59F4" w:rsidP="008B59F4">
      <w:pPr>
        <w:pStyle w:val="berschrift1"/>
      </w:pPr>
      <w:r>
        <w:t>3.3.52.184 Korollar 3.3.64 – Zeitabhängige Reduktion ist modellabhängig</w:t>
      </w:r>
    </w:p>
    <w:p w:rsidR="008B59F4" w:rsidRDefault="008B59F4" w:rsidP="008B59F4">
      <w:pPr>
        <w:pStyle w:val="berschrift3"/>
      </w:pPr>
      <w:r>
        <w:t>Korollar 3.3.64</w:t>
      </w:r>
    </w:p>
    <w:p w:rsidR="008B59F4" w:rsidRDefault="008B59F4" w:rsidP="008B59F4">
      <w:pPr>
        <w:pStyle w:val="StandardWeb"/>
      </w:pPr>
      <w:r>
        <w:t>Aus Satz 3.3.244 folgt</w:t>
      </w:r>
    </w:p>
    <w:p w:rsidR="008B59F4" w:rsidRDefault="008B59F4" w:rsidP="008B59F4">
      <w:pPr>
        <w:pStyle w:val="berschrift1"/>
      </w:pPr>
      <w:r>
        <w:t>[</w:t>
      </w:r>
      <w:r>
        <w:br/>
        <w:t>\boxed{</w:t>
      </w:r>
      <w:r>
        <w:br/>
        <w:t>\operatorname{Stat}</w:t>
      </w:r>
      <w:r>
        <w:br/>
        <w:t>(R_F(t))</w:t>
      </w:r>
    </w:p>
    <w:p w:rsidR="008B59F4" w:rsidRDefault="008B59F4" w:rsidP="008B59F4">
      <w:pPr>
        <w:pStyle w:val="StandardWeb"/>
      </w:pPr>
      <w:r>
        <w:t>\mathrm{Def/Mod/Op}.</w:t>
      </w:r>
      <w:r>
        <w:br/>
        <w:t>}</w:t>
      </w:r>
      <w:r>
        <w:br/>
        <w:t>\tag{3.13829}</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\boxed{\operatorname{Stat}(R_F(t))=\mathrm{Def/Mod/Op}.}</w:t>
      </w:r>
    </w:p>
    <w:p w:rsidR="008B59F4" w:rsidRDefault="008B59F4" w:rsidP="008B59F4">
      <w:r>
        <w:pict>
          <v:rect id="_x0000_i5912" style="width:0;height:1.5pt" o:hralign="center" o:hrstd="t" o:hr="t" fillcolor="#a0a0a0" stroked="f"/>
        </w:pict>
      </w:r>
    </w:p>
    <w:p w:rsidR="008B59F4" w:rsidRDefault="008B59F4" w:rsidP="008B59F4">
      <w:pPr>
        <w:pStyle w:val="berschrift1"/>
      </w:pPr>
      <w:r>
        <w:t>3.3.52.185 Stochastische Reduktion</w:t>
      </w:r>
    </w:p>
    <w:p w:rsidR="008B59F4" w:rsidRDefault="008B59F4" w:rsidP="008B59F4">
      <w:pPr>
        <w:pStyle w:val="StandardWeb"/>
      </w:pPr>
      <w:r>
        <w:t>Eine Reduktionsabbildung muss nicht deterministisch sein. Statt einem Objekt genau eine reduzierte Repräsentation zuzuordnen, kann eine Wahrscheinlichkeitsverteilung über reduzierte Zustände definiert werden.</w:t>
      </w:r>
    </w:p>
    <w:p w:rsidR="008B59F4" w:rsidRDefault="008B59F4" w:rsidP="008B59F4">
      <w:pPr>
        <w:pStyle w:val="StandardWeb"/>
      </w:pPr>
      <w:r>
        <w:t>Ich schreibe</w:t>
      </w:r>
    </w:p>
    <w:p w:rsidR="008B59F4" w:rsidRDefault="008B59F4" w:rsidP="008B59F4">
      <w:pPr>
        <w:pStyle w:val="StandardWeb"/>
      </w:pPr>
      <w:r>
        <w:t>[</w:t>
      </w:r>
      <w:r>
        <w:br/>
        <w:t>\mathbb P_F^{\mathrm{red}}</w:t>
      </w:r>
      <w:r>
        <w:br/>
        <w:t>(,\cdot,|X)</w:t>
      </w:r>
      <w:r>
        <w:br/>
        <w:t>\tag{3.13830}</w:t>
      </w:r>
      <w:r>
        <w:br/>
        <w:t>]</w:t>
      </w:r>
    </w:p>
    <w:p w:rsidR="008B59F4" w:rsidRDefault="008B59F4" w:rsidP="008B59F4">
      <w:pPr>
        <w:pStyle w:val="StandardWeb"/>
      </w:pPr>
      <w:r>
        <w:rPr>
          <w:rStyle w:val="Fett"/>
        </w:rPr>
        <w:lastRenderedPageBreak/>
        <w:t>Word-LaTeX</w:t>
      </w:r>
    </w:p>
    <w:p w:rsidR="008B59F4" w:rsidRDefault="008B59F4" w:rsidP="008B59F4">
      <w:pPr>
        <w:pStyle w:val="HTMLVorformatiert"/>
        <w:rPr>
          <w:rStyle w:val="HTMLCode"/>
        </w:rPr>
      </w:pPr>
      <w:r>
        <w:rPr>
          <w:rStyle w:val="HTMLCode"/>
        </w:rPr>
        <w:t>\mathbb P_F^{\mathrm{red}}(\,\cdot\,|X)</w:t>
      </w:r>
    </w:p>
    <w:p w:rsidR="008B59F4" w:rsidRDefault="008B59F4" w:rsidP="008B59F4">
      <w:pPr>
        <w:pStyle w:val="StandardWeb"/>
      </w:pPr>
      <w:r>
        <w:t>für eine bedingte Wahrscheinlichkeitsverteilung.</w:t>
      </w:r>
    </w:p>
    <w:p w:rsidR="008B59F4" w:rsidRDefault="008B59F4" w:rsidP="008B59F4">
      <w:r>
        <w:pict>
          <v:rect id="_x0000_i5913" style="width:0;height:1.5pt" o:hralign="center" o:hrstd="t" o:hr="t" fillcolor="#a0a0a0" stroked="f"/>
        </w:pict>
      </w:r>
    </w:p>
    <w:p w:rsidR="008B59F4" w:rsidRDefault="008B59F4" w:rsidP="008B59F4">
      <w:pPr>
        <w:pStyle w:val="berschrift1"/>
      </w:pPr>
      <w:r>
        <w:t>3.3.52.186 Definition 3.3.621 – Stochastische funktionale Reduktion</w:t>
      </w:r>
    </w:p>
    <w:p w:rsidR="008B59F4" w:rsidRDefault="008B59F4" w:rsidP="008B59F4">
      <w:pPr>
        <w:pStyle w:val="berschrift3"/>
      </w:pPr>
      <w:r>
        <w:t>Definition 3.3.621</w:t>
      </w:r>
    </w:p>
    <w:p w:rsidR="008B59F4" w:rsidRDefault="008B59F4" w:rsidP="008B59F4">
      <w:pPr>
        <w:pStyle w:val="StandardWeb"/>
      </w:pPr>
      <w:r>
        <w:t xml:space="preserve">Eine </w:t>
      </w:r>
      <w:r>
        <w:rPr>
          <w:rStyle w:val="Fett"/>
        </w:rPr>
        <w:t>stochastische funktionale Reduktion</w:t>
      </w:r>
      <w:r>
        <w:t xml:space="preserve"> ordnet einem Ausgangsobjekt (X) eine Wahrscheinlichkeitsverteilung auf dem reduzierten Zustandsraum zu:</w:t>
      </w:r>
    </w:p>
    <w:p w:rsidR="008B59F4" w:rsidRDefault="008B59F4" w:rsidP="008B59F4">
      <w:pPr>
        <w:pStyle w:val="StandardWeb"/>
      </w:pPr>
      <w:r>
        <w:t>[</w:t>
      </w:r>
      <w:r>
        <w:br/>
        <w:t>\boxed{</w:t>
      </w:r>
      <w:r>
        <w:br/>
        <w:t>R_F^{\mathrm{stoch}}</w:t>
      </w:r>
      <w:r>
        <w:br/>
        <w:t>:</w:t>
      </w:r>
      <w:r>
        <w:br/>
        <w:t>X</w:t>
      </w:r>
      <w:r>
        <w:br/>
        <w:t>\mapsto</w:t>
      </w:r>
      <w:r>
        <w:br/>
        <w:t>\mathbb P_F^{\mathrm{red}}</w:t>
      </w:r>
      <w:r>
        <w:br/>
        <w:t>(,\cdot,|X).</w:t>
      </w:r>
      <w:r>
        <w:br/>
        <w:t>}</w:t>
      </w:r>
      <w:r>
        <w:br/>
        <w:t>\tag{3.13831}</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\boxed{R_F^{\mathrm{stoch}}:X\mapsto\mathbb P_F^{\mathrm{red}}(\,\cdot\,|X).}</w:t>
      </w:r>
    </w:p>
    <w:p w:rsidR="008B59F4" w:rsidRDefault="008B59F4" w:rsidP="008B59F4">
      <w:r>
        <w:pict>
          <v:rect id="_x0000_i5914" style="width:0;height:1.5pt" o:hralign="center" o:hrstd="t" o:hr="t" fillcolor="#a0a0a0" stroked="f"/>
        </w:pict>
      </w:r>
    </w:p>
    <w:p w:rsidR="008B59F4" w:rsidRDefault="008B59F4" w:rsidP="008B59F4">
      <w:pPr>
        <w:pStyle w:val="berschrift1"/>
      </w:pPr>
      <w:r>
        <w:t>3.3.52.187 Deterministische Reduktion als Spezialfall</w:t>
      </w:r>
    </w:p>
    <w:p w:rsidR="008B59F4" w:rsidRDefault="008B59F4" w:rsidP="008B59F4">
      <w:pPr>
        <w:pStyle w:val="StandardWeb"/>
      </w:pPr>
      <w:r>
        <w:t>Eine deterministische Reduktion kann als Spezialfall einer stochastischen Reduktion dargestellt werden:</w:t>
      </w:r>
    </w:p>
    <w:p w:rsidR="008B59F4" w:rsidRDefault="008B59F4" w:rsidP="008B59F4">
      <w:pPr>
        <w:pStyle w:val="berschrift1"/>
      </w:pPr>
      <w:r>
        <w:t>[</w:t>
      </w:r>
      <w:r>
        <w:br/>
        <w:t>\mathbb P_F^{\mathrm{red}}</w:t>
      </w:r>
      <w:r>
        <w:br/>
        <w:t>(Y|X)</w:t>
      </w:r>
    </w:p>
    <w:p w:rsidR="008B59F4" w:rsidRDefault="008B59F4" w:rsidP="008B59F4">
      <w:pPr>
        <w:pStyle w:val="StandardWeb"/>
      </w:pPr>
      <w:r>
        <w:t>\delta_{Y,R_F(X)}.</w:t>
      </w:r>
      <w:r>
        <w:br/>
        <w:t>\tag{3.13832}</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lastRenderedPageBreak/>
        <w:t>\mathbb P_F^{\mathrm{red}}(Y|X)=\delta_{Y,R_F(X)}</w:t>
      </w:r>
    </w:p>
    <w:p w:rsidR="008B59F4" w:rsidRDefault="008B59F4" w:rsidP="008B59F4">
      <w:pPr>
        <w:pStyle w:val="StandardWeb"/>
      </w:pPr>
      <w:r>
        <w:t>Dabei bezeichnet (\delta) symbolisch eine auf dem deterministischen Ergebnis konzentrierte Verteilung.</w:t>
      </w:r>
    </w:p>
    <w:p w:rsidR="008B59F4" w:rsidRDefault="008B59F4" w:rsidP="008B59F4">
      <w:r>
        <w:pict>
          <v:rect id="_x0000_i5915" style="width:0;height:1.5pt" o:hralign="center" o:hrstd="t" o:hr="t" fillcolor="#a0a0a0" stroked="f"/>
        </w:pict>
      </w:r>
    </w:p>
    <w:p w:rsidR="008B59F4" w:rsidRDefault="008B59F4" w:rsidP="008B59F4">
      <w:pPr>
        <w:pStyle w:val="berschrift1"/>
      </w:pPr>
      <w:r>
        <w:t>3.3.52.188 Determinismus als Primäraxiomkandidat</w:t>
      </w:r>
    </w:p>
    <w:p w:rsidR="008B59F4" w:rsidRDefault="008B59F4" w:rsidP="008B59F4">
      <w:pPr>
        <w:pStyle w:val="StandardWeb"/>
      </w:pPr>
      <w:r>
        <w:t>Ein möglicher Kandidat wäre</w:t>
      </w:r>
    </w:p>
    <w:p w:rsidR="008B59F4" w:rsidRDefault="008B59F4" w:rsidP="008B59F4">
      <w:pPr>
        <w:pStyle w:val="StandardWeb"/>
      </w:pPr>
      <w:r>
        <w:t>[</w:t>
      </w:r>
      <w:r>
        <w:br/>
        <w:t>A_{\mathrm{red-det}}</w:t>
      </w:r>
      <w:r>
        <w:br/>
        <w:t>:</w:t>
      </w:r>
      <w:r>
        <w:br/>
        <w:t>\forall X</w:t>
      </w:r>
      <w:r>
        <w:br/>
        <w:t>\quad</w:t>
      </w:r>
      <w:r>
        <w:br/>
        <w:t>\exists!Y:</w:t>
      </w:r>
      <w:r>
        <w:br/>
        <w:t>R_F(X)=Y.</w:t>
      </w:r>
      <w:r>
        <w:br/>
        <w:t>\tag{3.13833}</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A_{\mathrm{red-det}}:\forall X\quad\exists!Y:R_F(X)=Y</w:t>
      </w:r>
    </w:p>
    <w:p w:rsidR="008B59F4" w:rsidRDefault="008B59F4" w:rsidP="008B59F4">
      <w:r>
        <w:pict>
          <v:rect id="_x0000_i5916" style="width:0;height:1.5pt" o:hralign="center" o:hrstd="t" o:hr="t" fillcolor="#a0a0a0" stroked="f"/>
        </w:pict>
      </w:r>
    </w:p>
    <w:p w:rsidR="008B59F4" w:rsidRDefault="008B59F4" w:rsidP="008B59F4">
      <w:pPr>
        <w:pStyle w:val="berschrift1"/>
      </w:pPr>
      <w:r>
        <w:t>3.3.52.189 Gegenmodell zur universellen Determiniertheit</w:t>
      </w:r>
    </w:p>
    <w:p w:rsidR="008B59F4" w:rsidRDefault="008B59F4" w:rsidP="008B59F4">
      <w:pPr>
        <w:pStyle w:val="StandardWeb"/>
      </w:pPr>
      <w:r>
        <w:t>Eine stochastische Reduktion kann für mindestens zwei reduzierte Zustände positive Wahrscheinlichkeit besitzen:</w:t>
      </w:r>
    </w:p>
    <w:p w:rsidR="008B59F4" w:rsidRDefault="008B59F4" w:rsidP="008B59F4">
      <w:pPr>
        <w:pStyle w:val="StandardWeb"/>
      </w:pPr>
      <w:r>
        <w:t>[</w:t>
      </w:r>
      <w:r>
        <w:br/>
        <w:t>\mathbb P_F^{\mathrm{red}}</w:t>
      </w:r>
      <w:r>
        <w:br/>
        <w:t>(Y_1|X)</w:t>
      </w:r>
    </w:p>
    <w:p w:rsidR="008B59F4" w:rsidRDefault="008B59F4" w:rsidP="008B59F4">
      <w:pPr>
        <w:pStyle w:val="StandardWeb"/>
      </w:pPr>
      <w:r>
        <w:t>0</w:t>
      </w:r>
      <w:r>
        <w:br/>
        <w:t>\tag{3.13834}</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\mathbb P_F^{\mathrm{red}}(Y_1|X)&gt;0</w:t>
      </w:r>
    </w:p>
    <w:p w:rsidR="008B59F4" w:rsidRDefault="008B59F4" w:rsidP="008B59F4">
      <w:pPr>
        <w:pStyle w:val="StandardWeb"/>
      </w:pPr>
      <w:r>
        <w:t>und</w:t>
      </w:r>
    </w:p>
    <w:p w:rsidR="008B59F4" w:rsidRDefault="008B59F4" w:rsidP="008B59F4">
      <w:pPr>
        <w:pStyle w:val="StandardWeb"/>
      </w:pPr>
      <w:r>
        <w:t>[</w:t>
      </w:r>
      <w:r>
        <w:br/>
        <w:t>\mathbb P_F^{\mathrm{red}}</w:t>
      </w:r>
      <w:r>
        <w:br/>
        <w:t>(Y_2|X)</w:t>
      </w:r>
    </w:p>
    <w:p w:rsidR="008B59F4" w:rsidRDefault="008B59F4" w:rsidP="008B59F4">
      <w:pPr>
        <w:pStyle w:val="StandardWeb"/>
      </w:pPr>
      <w:r>
        <w:lastRenderedPageBreak/>
        <w:t>0</w:t>
      </w:r>
      <w:r>
        <w:br/>
        <w:t>\tag{3.13835}</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\mathbb P_F^{\mathrm{red}}(Y_2|X)&gt;0</w:t>
      </w:r>
    </w:p>
    <w:p w:rsidR="008B59F4" w:rsidRDefault="008B59F4" w:rsidP="008B59F4">
      <w:pPr>
        <w:pStyle w:val="StandardWeb"/>
      </w:pPr>
      <w:r>
        <w:t>mit</w:t>
      </w:r>
    </w:p>
    <w:p w:rsidR="008B59F4" w:rsidRDefault="008B59F4" w:rsidP="008B59F4">
      <w:pPr>
        <w:pStyle w:val="StandardWeb"/>
      </w:pPr>
      <w:r>
        <w:t>[</w:t>
      </w:r>
      <w:r>
        <w:br/>
        <w:t>Y_1</w:t>
      </w:r>
      <w:r>
        <w:br/>
        <w:t>\neq</w:t>
      </w:r>
      <w:r>
        <w:br/>
        <w:t>Y_2.</w:t>
      </w:r>
      <w:r>
        <w:br/>
        <w:t>\tag{3.13836}</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Y_1\neq Y_2</w:t>
      </w:r>
    </w:p>
    <w:p w:rsidR="008B59F4" w:rsidRDefault="008B59F4" w:rsidP="008B59F4">
      <w:r>
        <w:pict>
          <v:rect id="_x0000_i5917" style="width:0;height:1.5pt" o:hralign="center" o:hrstd="t" o:hr="t" fillcolor="#a0a0a0" stroked="f"/>
        </w:pict>
      </w:r>
    </w:p>
    <w:p w:rsidR="008B59F4" w:rsidRDefault="008B59F4" w:rsidP="008B59F4">
      <w:pPr>
        <w:pStyle w:val="berschrift1"/>
      </w:pPr>
      <w:r>
        <w:t>3.3.52.190 Axiomentscheidung zum Reduktionsdeterminismus</w:t>
      </w:r>
    </w:p>
    <w:p w:rsidR="008B59F4" w:rsidRDefault="008B59F4" w:rsidP="008B59F4">
      <w:pPr>
        <w:pStyle w:val="StandardWeb"/>
      </w:pPr>
      <w:r>
        <w:t>Daher gilt</w:t>
      </w:r>
    </w:p>
    <w:p w:rsidR="008B59F4" w:rsidRDefault="008B59F4" w:rsidP="008B59F4">
      <w:pPr>
        <w:pStyle w:val="berschrift1"/>
      </w:pPr>
      <w:r>
        <w:t>[</w:t>
      </w:r>
      <w:r>
        <w:br/>
        <w:t>\boxed{</w:t>
      </w:r>
      <w:r>
        <w:br/>
        <w:t>U_{\mathrm{Ax}}</w:t>
      </w:r>
      <w:r>
        <w:br/>
        <w:t>(A_{\mathrm{red-det}})</w:t>
      </w:r>
    </w:p>
    <w:p w:rsidR="008B59F4" w:rsidRDefault="008B59F4" w:rsidP="009F7790">
      <w:pPr>
        <w:numPr>
          <w:ilvl w:val="0"/>
          <w:numId w:val="723"/>
        </w:numPr>
        <w:spacing w:before="100" w:beforeAutospacing="1" w:after="100" w:afterAutospacing="1"/>
      </w:pPr>
    </w:p>
    <w:p w:rsidR="008B59F4" w:rsidRDefault="008B59F4" w:rsidP="008B59F4">
      <w:pPr>
        <w:pStyle w:val="StandardWeb"/>
      </w:pPr>
      <w:r>
        <w:t>}</w:t>
      </w:r>
      <w:r>
        <w:br/>
        <w:t>\tag{3.13837}</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\boxed{U_{\mathrm{Ax}}(A_{\mathrm{red-det}})=0.}</w:t>
      </w:r>
    </w:p>
    <w:p w:rsidR="008B59F4" w:rsidRDefault="008B59F4" w:rsidP="008B59F4">
      <w:r>
        <w:pict>
          <v:rect id="_x0000_i5918" style="width:0;height:1.5pt" o:hralign="center" o:hrstd="t" o:hr="t" fillcolor="#a0a0a0" stroked="f"/>
        </w:pict>
      </w:r>
    </w:p>
    <w:p w:rsidR="008B59F4" w:rsidRDefault="008B59F4" w:rsidP="008B59F4">
      <w:pPr>
        <w:pStyle w:val="berschrift1"/>
      </w:pPr>
      <w:r>
        <w:t>3.3.52.191 Satz 3.3.245 – Deterministische Reduktion ist kein Primäraxiom</w:t>
      </w:r>
    </w:p>
    <w:p w:rsidR="008B59F4" w:rsidRDefault="008B59F4" w:rsidP="008B59F4">
      <w:pPr>
        <w:pStyle w:val="berschrift3"/>
      </w:pPr>
      <w:r>
        <w:lastRenderedPageBreak/>
        <w:t>Satz 3.3.245</w:t>
      </w:r>
    </w:p>
    <w:p w:rsidR="008B59F4" w:rsidRDefault="008B59F4" w:rsidP="008B59F4">
      <w:pPr>
        <w:pStyle w:val="StandardWeb"/>
      </w:pPr>
      <w:r>
        <w:t>Die Forderung, jede funktionale Reduktion müsse jedem Ausgangsobjekt eindeutig genau eine reduzierte Repräsentation zuordnen, ist keine universell notwendige Voraussetzung des allgemeinen FRZK.</w:t>
      </w:r>
    </w:p>
    <w:p w:rsidR="008B59F4" w:rsidRDefault="008B59F4" w:rsidP="008B59F4">
      <w:pPr>
        <w:pStyle w:val="berschrift1"/>
      </w:pPr>
      <w:r>
        <w:t>[</w:t>
      </w:r>
      <w:r>
        <w:br/>
        <w:t>\boxed{</w:t>
      </w:r>
      <w:r>
        <w:br/>
        <w:t>U_{\mathrm{Ax}}</w:t>
      </w:r>
      <w:r>
        <w:br/>
        <w:t>(A_{\mathrm{red-det}})</w:t>
      </w:r>
    </w:p>
    <w:p w:rsidR="008B59F4" w:rsidRDefault="008B59F4" w:rsidP="009F7790">
      <w:pPr>
        <w:numPr>
          <w:ilvl w:val="0"/>
          <w:numId w:val="724"/>
        </w:numPr>
        <w:spacing w:before="100" w:beforeAutospacing="1" w:after="100" w:afterAutospacing="1"/>
      </w:pPr>
    </w:p>
    <w:p w:rsidR="008B59F4" w:rsidRDefault="008B59F4" w:rsidP="008B59F4">
      <w:pPr>
        <w:pStyle w:val="StandardWeb"/>
      </w:pPr>
      <w:r>
        <w:t>}</w:t>
      </w:r>
      <w:r>
        <w:br/>
        <w:t>\tag{3.13838}</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\boxed{U_{\mathrm{Ax}}(A_{\mathrm{red-det}})=0.}</w:t>
      </w:r>
    </w:p>
    <w:p w:rsidR="008B59F4" w:rsidRDefault="008B59F4" w:rsidP="008B59F4">
      <w:r>
        <w:pict>
          <v:rect id="_x0000_i5919" style="width:0;height:1.5pt" o:hralign="center" o:hrstd="t" o:hr="t" fillcolor="#a0a0a0" stroked="f"/>
        </w:pict>
      </w:r>
    </w:p>
    <w:p w:rsidR="008B59F4" w:rsidRDefault="008B59F4" w:rsidP="008B59F4">
      <w:pPr>
        <w:pStyle w:val="berschrift1"/>
      </w:pPr>
      <w:r>
        <w:t>3.3.52.192 Relationserhaltung unter Reduktion</w:t>
      </w:r>
    </w:p>
    <w:p w:rsidR="008B59F4" w:rsidRDefault="008B59F4" w:rsidP="008B59F4">
      <w:pPr>
        <w:pStyle w:val="StandardWeb"/>
      </w:pPr>
      <w:r>
        <w:t>Ich untersuche nun, ob eine funktionale Relation unter einer Reduktion erhalten bleiben muss.</w:t>
      </w:r>
    </w:p>
    <w:p w:rsidR="008B59F4" w:rsidRDefault="008B59F4" w:rsidP="008B59F4">
      <w:pPr>
        <w:pStyle w:val="StandardWeb"/>
      </w:pPr>
      <w:r>
        <w:t>Sei</w:t>
      </w:r>
    </w:p>
    <w:p w:rsidR="008B59F4" w:rsidRDefault="008B59F4" w:rsidP="008B59F4">
      <w:pPr>
        <w:pStyle w:val="StandardWeb"/>
      </w:pPr>
      <w:r>
        <w:t>[</w:t>
      </w:r>
      <w:r>
        <w:br/>
        <w:t>\mathcal R_F</w:t>
      </w:r>
      <w:r>
        <w:br/>
        <w:t>\subseteq</w:t>
      </w:r>
      <w:r>
        <w:br/>
        <w:t>\mathcal X_F</w:t>
      </w:r>
      <w:r>
        <w:br/>
        <w:t>\times</w:t>
      </w:r>
      <w:r>
        <w:br/>
        <w:t>\mathcal X_F</w:t>
      </w:r>
      <w:r>
        <w:br/>
        <w:t>\tag{3.13839}</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\mathcal R_F\subseteq\mathcal X_F\times\mathcal X_F</w:t>
      </w:r>
    </w:p>
    <w:p w:rsidR="008B59F4" w:rsidRDefault="008B59F4" w:rsidP="008B59F4">
      <w:pPr>
        <w:pStyle w:val="StandardWeb"/>
      </w:pPr>
      <w:r>
        <w:t>eine funktionale Relation.</w:t>
      </w:r>
    </w:p>
    <w:p w:rsidR="008B59F4" w:rsidRDefault="008B59F4" w:rsidP="008B59F4">
      <w:r>
        <w:pict>
          <v:rect id="_x0000_i5920" style="width:0;height:1.5pt" o:hralign="center" o:hrstd="t" o:hr="t" fillcolor="#a0a0a0" stroked="f"/>
        </w:pict>
      </w:r>
    </w:p>
    <w:p w:rsidR="008B59F4" w:rsidRDefault="008B59F4" w:rsidP="008B59F4">
      <w:pPr>
        <w:pStyle w:val="berschrift1"/>
      </w:pPr>
      <w:r>
        <w:t>3.3.52.193 Reduzierte Relation</w:t>
      </w:r>
    </w:p>
    <w:p w:rsidR="008B59F4" w:rsidRDefault="008B59F4" w:rsidP="008B59F4">
      <w:pPr>
        <w:pStyle w:val="StandardWeb"/>
      </w:pPr>
      <w:r>
        <w:lastRenderedPageBreak/>
        <w:t>Auf dem reduzierten Raum kann eine Relation</w:t>
      </w:r>
    </w:p>
    <w:p w:rsidR="008B59F4" w:rsidRDefault="008B59F4" w:rsidP="008B59F4">
      <w:pPr>
        <w:pStyle w:val="StandardWeb"/>
      </w:pPr>
      <w:r>
        <w:t>[</w:t>
      </w:r>
      <w:r>
        <w:br/>
        <w:t>\mathcal R_F^{\mathrm{red}}</w:t>
      </w:r>
      <w:r>
        <w:br/>
        <w:t>\subseteq</w:t>
      </w:r>
      <w:r>
        <w:br/>
        <w:t>\mathcal X_F^{\mathrm{red}}</w:t>
      </w:r>
      <w:r>
        <w:br/>
        <w:t>\times</w:t>
      </w:r>
      <w:r>
        <w:br/>
        <w:t>\mathcal X_F^{\mathrm{red}}</w:t>
      </w:r>
      <w:r>
        <w:br/>
        <w:t>\tag{3.13840}</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\mathcal R_F^{\mathrm{red}}\subseteq\mathcal X_F^{\mathrm{red}}\times\mathcal X_F^{\mathrm{red}}</w:t>
      </w:r>
    </w:p>
    <w:p w:rsidR="008B59F4" w:rsidRDefault="008B59F4" w:rsidP="008B59F4">
      <w:pPr>
        <w:pStyle w:val="StandardWeb"/>
      </w:pPr>
      <w:r>
        <w:t>definiert werden.</w:t>
      </w:r>
    </w:p>
    <w:p w:rsidR="008B59F4" w:rsidRDefault="008B59F4" w:rsidP="008B59F4">
      <w:r>
        <w:pict>
          <v:rect id="_x0000_i5921" style="width:0;height:1.5pt" o:hralign="center" o:hrstd="t" o:hr="t" fillcolor="#a0a0a0" stroked="f"/>
        </w:pict>
      </w:r>
    </w:p>
    <w:p w:rsidR="008B59F4" w:rsidRDefault="008B59F4" w:rsidP="008B59F4">
      <w:pPr>
        <w:pStyle w:val="berschrift1"/>
      </w:pPr>
      <w:r>
        <w:t>3.3.52.194 Definition 3.3.622 – Relationserhaltende funktionale Reduktion</w:t>
      </w:r>
    </w:p>
    <w:p w:rsidR="008B59F4" w:rsidRDefault="008B59F4" w:rsidP="008B59F4">
      <w:pPr>
        <w:pStyle w:val="berschrift3"/>
      </w:pPr>
      <w:r>
        <w:t>Definition 3.3.622</w:t>
      </w:r>
    </w:p>
    <w:p w:rsidR="008B59F4" w:rsidRDefault="008B59F4" w:rsidP="008B59F4">
      <w:pPr>
        <w:pStyle w:val="StandardWeb"/>
      </w:pPr>
      <w:r>
        <w:t xml:space="preserve">Eine funktionale Reduktion heißt </w:t>
      </w:r>
      <w:r>
        <w:rPr>
          <w:rStyle w:val="Fett"/>
        </w:rPr>
        <w:t>relationserhaltend</w:t>
      </w:r>
      <w:r>
        <w:t xml:space="preserve"> bezüglich (\mathcal R_F) und (\mathcal R_F^{\mathrm{red}}), wenn</w:t>
      </w:r>
    </w:p>
    <w:p w:rsidR="008B59F4" w:rsidRDefault="008B59F4" w:rsidP="008B59F4">
      <w:pPr>
        <w:pStyle w:val="StandardWeb"/>
      </w:pPr>
      <w:r>
        <w:t>[</w:t>
      </w:r>
      <w:r>
        <w:br/>
        <w:t>\boxed{</w:t>
      </w:r>
      <w:r>
        <w:br/>
        <w:t>X,\mathcal R_F,Y</w:t>
      </w:r>
      <w:r>
        <w:br/>
        <w:t>\Rightarrow</w:t>
      </w:r>
      <w:r>
        <w:br/>
        <w:t>R_F(X),</w:t>
      </w:r>
      <w:r>
        <w:br/>
        <w:t>\mathcal R_F^{\mathrm{red}},</w:t>
      </w:r>
      <w:r>
        <w:br/>
        <w:t>R_F(Y).</w:t>
      </w:r>
      <w:r>
        <w:br/>
        <w:t>}</w:t>
      </w:r>
      <w:r>
        <w:br/>
        <w:t>\tag{3.13841}</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\boxed{X\,\mathcal R_F\,Y\Rightarrow R_F(X)\,\mathcal R_F^{\mathrm{red}}\,R_F(Y).}</w:t>
      </w:r>
    </w:p>
    <w:p w:rsidR="008B59F4" w:rsidRDefault="008B59F4" w:rsidP="008B59F4">
      <w:r>
        <w:pict>
          <v:rect id="_x0000_i5922" style="width:0;height:1.5pt" o:hralign="center" o:hrstd="t" o:hr="t" fillcolor="#a0a0a0" stroked="f"/>
        </w:pict>
      </w:r>
    </w:p>
    <w:p w:rsidR="008B59F4" w:rsidRDefault="008B59F4" w:rsidP="008B59F4">
      <w:pPr>
        <w:pStyle w:val="berschrift1"/>
      </w:pPr>
      <w:r>
        <w:t>3.3.52.195 Relationserhaltungsbruch</w:t>
      </w:r>
    </w:p>
    <w:p w:rsidR="008B59F4" w:rsidRDefault="008B59F4" w:rsidP="008B59F4">
      <w:pPr>
        <w:pStyle w:val="StandardWeb"/>
      </w:pPr>
      <w:r>
        <w:t>Eine Reduktion kann dagegen erfüllen</w:t>
      </w:r>
    </w:p>
    <w:p w:rsidR="008B59F4" w:rsidRDefault="008B59F4" w:rsidP="008B59F4">
      <w:pPr>
        <w:pStyle w:val="StandardWeb"/>
      </w:pPr>
      <w:r>
        <w:lastRenderedPageBreak/>
        <w:t>[</w:t>
      </w:r>
      <w:r>
        <w:br/>
        <w:t>X,\mathcal R_F,Y</w:t>
      </w:r>
      <w:r>
        <w:br/>
        <w:t>\tag{3.13842}</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X\,\mathcal R_F\,Y</w:t>
      </w:r>
    </w:p>
    <w:p w:rsidR="008B59F4" w:rsidRDefault="008B59F4" w:rsidP="008B59F4">
      <w:pPr>
        <w:pStyle w:val="StandardWeb"/>
      </w:pPr>
      <w:r>
        <w:t>aber</w:t>
      </w:r>
    </w:p>
    <w:p w:rsidR="008B59F4" w:rsidRDefault="008B59F4" w:rsidP="008B59F4">
      <w:pPr>
        <w:pStyle w:val="StandardWeb"/>
      </w:pPr>
      <w:r>
        <w:t>[</w:t>
      </w:r>
      <w:r>
        <w:br/>
        <w:t>R_F(X)</w:t>
      </w:r>
      <w:r>
        <w:br/>
        <w:t>\not\mathcal R_F^{\mathrm{red}}</w:t>
      </w:r>
      <w:r>
        <w:br/>
        <w:t>R_F(Y).</w:t>
      </w:r>
      <w:r>
        <w:br/>
        <w:t>\tag{3.13843}</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R_F(X)\not\mathcal R_F^{\mathrm{red}}R_F(Y)</w:t>
      </w:r>
    </w:p>
    <w:p w:rsidR="008B59F4" w:rsidRDefault="008B59F4" w:rsidP="008B59F4">
      <w:r>
        <w:pict>
          <v:rect id="_x0000_i5923" style="width:0;height:1.5pt" o:hralign="center" o:hrstd="t" o:hr="t" fillcolor="#a0a0a0" stroked="f"/>
        </w:pict>
      </w:r>
    </w:p>
    <w:p w:rsidR="008B59F4" w:rsidRDefault="008B59F4" w:rsidP="008B59F4">
      <w:pPr>
        <w:pStyle w:val="berschrift1"/>
      </w:pPr>
      <w:r>
        <w:t>3.3.52.196 Relationserhaltung als Primäraxiomkandidat</w:t>
      </w:r>
    </w:p>
    <w:p w:rsidR="008B59F4" w:rsidRDefault="008B59F4" w:rsidP="008B59F4">
      <w:pPr>
        <w:pStyle w:val="StandardWeb"/>
      </w:pPr>
      <w:r>
        <w:t>Der Kandidat lautet</w:t>
      </w:r>
    </w:p>
    <w:p w:rsidR="008B59F4" w:rsidRDefault="008B59F4" w:rsidP="008B59F4">
      <w:pPr>
        <w:pStyle w:val="StandardWeb"/>
      </w:pPr>
      <w:r>
        <w:t>[</w:t>
      </w:r>
      <w:r>
        <w:br/>
        <w:t>A_{\mathrm{red-rel}}</w:t>
      </w:r>
      <w:r>
        <w:br/>
        <w:t>:</w:t>
      </w:r>
      <w:r>
        <w:br/>
        <w:t>X,\mathcal R_F,Y</w:t>
      </w:r>
      <w:r>
        <w:br/>
        <w:t>\Rightarrow</w:t>
      </w:r>
      <w:r>
        <w:br/>
        <w:t>R_F(X)</w:t>
      </w:r>
      <w:r>
        <w:br/>
        <w:t>\mathcal R_F^{\mathrm{red}}</w:t>
      </w:r>
      <w:r>
        <w:br/>
        <w:t>R_F(Y).</w:t>
      </w:r>
      <w:r>
        <w:br/>
        <w:t>\tag{3.13844}</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A_{\mathrm{red-rel}}:X\,\mathcal R_F\,Y\Rightarrow R_F(X)\mathcal R_F^{\mathrm{red}}R_F(Y)</w:t>
      </w:r>
    </w:p>
    <w:p w:rsidR="008B59F4" w:rsidRDefault="008B59F4" w:rsidP="008B59F4">
      <w:r>
        <w:pict>
          <v:rect id="_x0000_i5924" style="width:0;height:1.5pt" o:hralign="center" o:hrstd="t" o:hr="t" fillcolor="#a0a0a0" stroked="f"/>
        </w:pict>
      </w:r>
    </w:p>
    <w:p w:rsidR="008B59F4" w:rsidRDefault="008B59F4" w:rsidP="008B59F4">
      <w:pPr>
        <w:pStyle w:val="berschrift1"/>
      </w:pPr>
      <w:r>
        <w:t>3.3.52.197 Gegenmodell zur universellen Relationserhaltung</w:t>
      </w:r>
    </w:p>
    <w:p w:rsidR="008B59F4" w:rsidRDefault="008B59F4" w:rsidP="008B59F4">
      <w:pPr>
        <w:pStyle w:val="StandardWeb"/>
      </w:pPr>
      <w:r>
        <w:lastRenderedPageBreak/>
        <w:t>Eine Reduktion kann gerade diejenige Information entfernen, durch die die Relation bestimmt wird.</w:t>
      </w:r>
    </w:p>
    <w:p w:rsidR="008B59F4" w:rsidRDefault="008B59F4" w:rsidP="008B59F4">
      <w:pPr>
        <w:pStyle w:val="StandardWeb"/>
      </w:pPr>
      <w:r>
        <w:t>Dann kann</w:t>
      </w:r>
    </w:p>
    <w:p w:rsidR="008B59F4" w:rsidRDefault="008B59F4" w:rsidP="008B59F4">
      <w:pPr>
        <w:pStyle w:val="StandardWeb"/>
      </w:pPr>
      <w:r>
        <w:t>[</w:t>
      </w:r>
      <w:r>
        <w:br/>
        <w:t>X,\mathcal R_F,Y</w:t>
      </w:r>
      <w:r>
        <w:br/>
        <w:t>\tag{3.13845}</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X\,\mathcal R_F\,Y</w:t>
      </w:r>
    </w:p>
    <w:p w:rsidR="008B59F4" w:rsidRDefault="008B59F4" w:rsidP="008B59F4">
      <w:pPr>
        <w:pStyle w:val="StandardWeb"/>
      </w:pPr>
      <w:r>
        <w:t>gelten, während im reduzierten Raum</w:t>
      </w:r>
    </w:p>
    <w:p w:rsidR="008B59F4" w:rsidRDefault="008B59F4" w:rsidP="008B59F4">
      <w:pPr>
        <w:pStyle w:val="StandardWeb"/>
      </w:pPr>
      <w:r>
        <w:t>[</w:t>
      </w:r>
      <w:r>
        <w:br/>
        <w:t>R_F(X)</w:t>
      </w:r>
      <w:r>
        <w:br/>
        <w:t>\not\mathcal R_F^{\mathrm{red}}</w:t>
      </w:r>
      <w:r>
        <w:br/>
        <w:t>R_F(Y)</w:t>
      </w:r>
      <w:r>
        <w:br/>
        <w:t>\tag{3.13846}</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R_F(X)\not\mathcal R_F^{\mathrm{red}}R_F(Y)</w:t>
      </w:r>
    </w:p>
    <w:p w:rsidR="008B59F4" w:rsidRDefault="008B59F4" w:rsidP="008B59F4">
      <w:pPr>
        <w:pStyle w:val="StandardWeb"/>
      </w:pPr>
      <w:r>
        <w:t>gilt.</w:t>
      </w:r>
    </w:p>
    <w:p w:rsidR="008B59F4" w:rsidRDefault="008B59F4" w:rsidP="008B59F4">
      <w:r>
        <w:pict>
          <v:rect id="_x0000_i5925" style="width:0;height:1.5pt" o:hralign="center" o:hrstd="t" o:hr="t" fillcolor="#a0a0a0" stroked="f"/>
        </w:pict>
      </w:r>
    </w:p>
    <w:p w:rsidR="008B59F4" w:rsidRDefault="008B59F4" w:rsidP="008B59F4">
      <w:pPr>
        <w:pStyle w:val="berschrift1"/>
      </w:pPr>
      <w:r>
        <w:t>3.3.52.198 Axiomentscheidung zur Relationserhaltung</w:t>
      </w:r>
    </w:p>
    <w:p w:rsidR="008B59F4" w:rsidRDefault="008B59F4" w:rsidP="008B59F4">
      <w:pPr>
        <w:pStyle w:val="StandardWeb"/>
      </w:pPr>
      <w:r>
        <w:t>Damit folgt</w:t>
      </w:r>
    </w:p>
    <w:p w:rsidR="008B59F4" w:rsidRDefault="008B59F4" w:rsidP="008B59F4">
      <w:pPr>
        <w:pStyle w:val="berschrift1"/>
      </w:pPr>
      <w:r>
        <w:t>[</w:t>
      </w:r>
      <w:r>
        <w:br/>
        <w:t>\boxed{</w:t>
      </w:r>
      <w:r>
        <w:br/>
        <w:t>U_{\mathrm{Ax}}</w:t>
      </w:r>
      <w:r>
        <w:br/>
        <w:t>(A_{\mathrm{red-rel}})</w:t>
      </w:r>
    </w:p>
    <w:p w:rsidR="008B59F4" w:rsidRDefault="008B59F4" w:rsidP="009F7790">
      <w:pPr>
        <w:numPr>
          <w:ilvl w:val="0"/>
          <w:numId w:val="725"/>
        </w:numPr>
        <w:spacing w:before="100" w:beforeAutospacing="1" w:after="100" w:afterAutospacing="1"/>
      </w:pPr>
    </w:p>
    <w:p w:rsidR="008B59F4" w:rsidRDefault="008B59F4" w:rsidP="008B59F4">
      <w:pPr>
        <w:pStyle w:val="StandardWeb"/>
      </w:pPr>
      <w:r>
        <w:t>}</w:t>
      </w:r>
      <w:r>
        <w:br/>
        <w:t>\tag{3.13847}</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lastRenderedPageBreak/>
        <w:t>\boxed{U_{\mathrm{Ax}}(A_{\mathrm{red-rel}})=0.}</w:t>
      </w:r>
    </w:p>
    <w:p w:rsidR="008B59F4" w:rsidRDefault="008B59F4" w:rsidP="008B59F4">
      <w:r>
        <w:pict>
          <v:rect id="_x0000_i5926" style="width:0;height:1.5pt" o:hralign="center" o:hrstd="t" o:hr="t" fillcolor="#a0a0a0" stroked="f"/>
        </w:pict>
      </w:r>
    </w:p>
    <w:p w:rsidR="008B59F4" w:rsidRDefault="008B59F4" w:rsidP="008B59F4">
      <w:pPr>
        <w:pStyle w:val="berschrift1"/>
      </w:pPr>
      <w:r>
        <w:t>3.3.52.199 Satz 3.3.246 – Relationserhaltung unter Reduktion ist kein Primäraxiom</w:t>
      </w:r>
    </w:p>
    <w:p w:rsidR="008B59F4" w:rsidRDefault="008B59F4" w:rsidP="008B59F4">
      <w:pPr>
        <w:pStyle w:val="berschrift3"/>
      </w:pPr>
      <w:r>
        <w:t>Satz 3.3.246</w:t>
      </w:r>
    </w:p>
    <w:p w:rsidR="008B59F4" w:rsidRDefault="008B59F4" w:rsidP="008B59F4">
      <w:pPr>
        <w:pStyle w:val="StandardWeb"/>
      </w:pPr>
      <w:r>
        <w:t>Die Forderung, jede funktionale Relation müsse unter jeder zulässigen Reduktionsabbildung erhalten bleiben, ist keine universell notwendige Voraussetzung des allgemeinen FRZK.</w:t>
      </w:r>
    </w:p>
    <w:p w:rsidR="008B59F4" w:rsidRDefault="008B59F4" w:rsidP="008B59F4">
      <w:pPr>
        <w:pStyle w:val="berschrift1"/>
      </w:pPr>
      <w:r>
        <w:t>[</w:t>
      </w:r>
      <w:r>
        <w:br/>
        <w:t>\boxed{</w:t>
      </w:r>
      <w:r>
        <w:br/>
        <w:t>U_{\mathrm{Ax}}</w:t>
      </w:r>
      <w:r>
        <w:br/>
        <w:t>(A_{\mathrm{red-rel}})</w:t>
      </w:r>
    </w:p>
    <w:p w:rsidR="008B59F4" w:rsidRDefault="008B59F4" w:rsidP="009F7790">
      <w:pPr>
        <w:numPr>
          <w:ilvl w:val="0"/>
          <w:numId w:val="726"/>
        </w:numPr>
        <w:spacing w:before="100" w:beforeAutospacing="1" w:after="100" w:afterAutospacing="1"/>
      </w:pPr>
    </w:p>
    <w:p w:rsidR="008B59F4" w:rsidRDefault="008B59F4" w:rsidP="008B59F4">
      <w:pPr>
        <w:pStyle w:val="StandardWeb"/>
      </w:pPr>
      <w:r>
        <w:t>}</w:t>
      </w:r>
      <w:r>
        <w:br/>
        <w:t>\tag{3.13848}</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\boxed{U_{\mathrm{Ax}}(A_{\mathrm{red-rel}})=0.}</w:t>
      </w:r>
    </w:p>
    <w:p w:rsidR="008B59F4" w:rsidRDefault="008B59F4" w:rsidP="008B59F4">
      <w:r>
        <w:pict>
          <v:rect id="_x0000_i5927" style="width:0;height:1.5pt" o:hralign="center" o:hrstd="t" o:hr="t" fillcolor="#a0a0a0" stroked="f"/>
        </w:pict>
      </w:r>
    </w:p>
    <w:p w:rsidR="008B59F4" w:rsidRDefault="008B59F4" w:rsidP="008B59F4">
      <w:pPr>
        <w:pStyle w:val="berschrift1"/>
      </w:pPr>
      <w:r>
        <w:t>3.3.52.200 Korollar 3.3.65 – Relationserhaltung ist modellabhängig</w:t>
      </w:r>
    </w:p>
    <w:p w:rsidR="008B59F4" w:rsidRDefault="008B59F4" w:rsidP="008B59F4">
      <w:pPr>
        <w:pStyle w:val="berschrift3"/>
      </w:pPr>
      <w:r>
        <w:t>Korollar 3.3.65</w:t>
      </w:r>
    </w:p>
    <w:p w:rsidR="008B59F4" w:rsidRDefault="008B59F4" w:rsidP="008B59F4">
      <w:pPr>
        <w:pStyle w:val="StandardWeb"/>
      </w:pPr>
      <w:r>
        <w:t>Aus Satz 3.3.246 folgt</w:t>
      </w:r>
    </w:p>
    <w:p w:rsidR="008B59F4" w:rsidRDefault="008B59F4" w:rsidP="008B59F4">
      <w:pPr>
        <w:pStyle w:val="berschrift1"/>
      </w:pPr>
      <w:r>
        <w:t>[</w:t>
      </w:r>
      <w:r>
        <w:br/>
        <w:t>\boxed{</w:t>
      </w:r>
      <w:r>
        <w:br/>
        <w:t>\operatorname{Stat}</w:t>
      </w:r>
      <w:r>
        <w:br/>
        <w:t>(\mathcal R_F^{\mathrm{red}})</w:t>
      </w:r>
    </w:p>
    <w:p w:rsidR="008B59F4" w:rsidRDefault="008B59F4" w:rsidP="008B59F4">
      <w:pPr>
        <w:pStyle w:val="StandardWeb"/>
      </w:pPr>
      <w:r>
        <w:t>\mathrm{Def/Mod/Op}.</w:t>
      </w:r>
      <w:r>
        <w:br/>
        <w:t>}</w:t>
      </w:r>
      <w:r>
        <w:br/>
        <w:t>\tag{3.13849}</w:t>
      </w:r>
      <w:r>
        <w:br/>
        <w:t>]</w:t>
      </w:r>
    </w:p>
    <w:p w:rsidR="008B59F4" w:rsidRDefault="008B59F4" w:rsidP="008B59F4">
      <w:pPr>
        <w:pStyle w:val="StandardWeb"/>
      </w:pPr>
      <w:r>
        <w:rPr>
          <w:rStyle w:val="Fett"/>
        </w:rPr>
        <w:lastRenderedPageBreak/>
        <w:t>Word-LaTeX</w:t>
      </w:r>
    </w:p>
    <w:p w:rsidR="008B59F4" w:rsidRDefault="008B59F4" w:rsidP="008B59F4">
      <w:pPr>
        <w:pStyle w:val="HTMLVorformatiert"/>
        <w:rPr>
          <w:rStyle w:val="HTMLCode"/>
        </w:rPr>
      </w:pPr>
      <w:r>
        <w:rPr>
          <w:rStyle w:val="HTMLCode"/>
        </w:rPr>
        <w:t>\boxed{\operatorname{Stat}(\mathcal R_F^{\mathrm{red}})=\mathrm{Def/Mod/Op}.}</w:t>
      </w:r>
    </w:p>
    <w:p w:rsidR="008B59F4" w:rsidRDefault="008B59F4" w:rsidP="008B59F4">
      <w:r>
        <w:pict>
          <v:rect id="_x0000_i5928" style="width:0;height:1.5pt" o:hralign="center" o:hrstd="t" o:hr="t" fillcolor="#a0a0a0" stroked="f"/>
        </w:pict>
      </w:r>
    </w:p>
    <w:p w:rsidR="008B59F4" w:rsidRDefault="008B59F4" w:rsidP="008B59F4">
      <w:pPr>
        <w:pStyle w:val="berschrift1"/>
      </w:pPr>
      <w:r>
        <w:t>3.3.52.201 Erhaltung funktionaler Kohärenz unter Reduktion</w:t>
      </w:r>
    </w:p>
    <w:p w:rsidR="008B59F4" w:rsidRDefault="008B59F4" w:rsidP="008B59F4">
      <w:pPr>
        <w:pStyle w:val="StandardWeb"/>
      </w:pPr>
      <w:r>
        <w:t>Analog kann geprüft werden, ob eine Kohärenzbewertung unter Reduktion erhalten bleibt.</w:t>
      </w:r>
    </w:p>
    <w:p w:rsidR="008B59F4" w:rsidRDefault="008B59F4" w:rsidP="008B59F4">
      <w:pPr>
        <w:pStyle w:val="StandardWeb"/>
      </w:pPr>
      <w:r>
        <w:t>Sei</w:t>
      </w:r>
    </w:p>
    <w:p w:rsidR="008B59F4" w:rsidRDefault="008B59F4" w:rsidP="008B59F4">
      <w:pPr>
        <w:pStyle w:val="StandardWeb"/>
      </w:pPr>
      <w:r>
        <w:t>[</w:t>
      </w:r>
      <w:r>
        <w:br/>
        <w:t>\kappa_F</w:t>
      </w:r>
      <w:r>
        <w:br/>
        <w:t>:</w:t>
      </w:r>
      <w:r>
        <w:br/>
        <w:t>\mathcal X_F</w:t>
      </w:r>
      <w:r>
        <w:br/>
        <w:t>\rightarrow</w:t>
      </w:r>
      <w:r>
        <w:br/>
        <w:t>\mathcal K_F</w:t>
      </w:r>
      <w:r>
        <w:br/>
        <w:t>\tag{3.13850}</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\kappa_F:\mathcal X_F\rightarrow\mathcal K_F</w:t>
      </w:r>
    </w:p>
    <w:p w:rsidR="008B59F4" w:rsidRDefault="008B59F4" w:rsidP="008B59F4">
      <w:pPr>
        <w:pStyle w:val="StandardWeb"/>
      </w:pPr>
      <w:r>
        <w:t>und</w:t>
      </w:r>
    </w:p>
    <w:p w:rsidR="008B59F4" w:rsidRDefault="008B59F4" w:rsidP="008B59F4">
      <w:pPr>
        <w:pStyle w:val="StandardWeb"/>
      </w:pPr>
      <w:r>
        <w:t>[</w:t>
      </w:r>
      <w:r>
        <w:br/>
        <w:t>\kappa_F^{\mathrm{red}}</w:t>
      </w:r>
      <w:r>
        <w:br/>
        <w:t>:</w:t>
      </w:r>
      <w:r>
        <w:br/>
        <w:t>\mathcal X_F^{\mathrm{red}}</w:t>
      </w:r>
      <w:r>
        <w:br/>
        <w:t>\rightarrow</w:t>
      </w:r>
      <w:r>
        <w:br/>
        <w:t>\mathcal K_F^{\mathrm{red}}.</w:t>
      </w:r>
      <w:r>
        <w:br/>
        <w:t>\tag{3.13851}</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\kappa_F^{\mathrm{red}}:\mathcal X_F^{\mathrm{red}}\rightarrow\mathcal K_F^{\mathrm{red}}</w:t>
      </w:r>
    </w:p>
    <w:p w:rsidR="008B59F4" w:rsidRDefault="008B59F4" w:rsidP="008B59F4">
      <w:r>
        <w:pict>
          <v:rect id="_x0000_i5929" style="width:0;height:1.5pt" o:hralign="center" o:hrstd="t" o:hr="t" fillcolor="#a0a0a0" stroked="f"/>
        </w:pict>
      </w:r>
    </w:p>
    <w:p w:rsidR="008B59F4" w:rsidRDefault="008B59F4" w:rsidP="008B59F4">
      <w:pPr>
        <w:pStyle w:val="berschrift1"/>
      </w:pPr>
      <w:r>
        <w:t>3.3.52.202 Kohärenzübertragung</w:t>
      </w:r>
    </w:p>
    <w:p w:rsidR="008B59F4" w:rsidRDefault="008B59F4" w:rsidP="008B59F4">
      <w:pPr>
        <w:pStyle w:val="StandardWeb"/>
      </w:pPr>
      <w:r>
        <w:t>Eine Übertragungsabbildung kann definiert werden als</w:t>
      </w:r>
    </w:p>
    <w:p w:rsidR="008B59F4" w:rsidRDefault="008B59F4" w:rsidP="008B59F4">
      <w:pPr>
        <w:pStyle w:val="StandardWeb"/>
      </w:pPr>
      <w:r>
        <w:t>[</w:t>
      </w:r>
      <w:r>
        <w:br/>
        <w:t>\Theta_\kappa</w:t>
      </w:r>
      <w:r>
        <w:br/>
        <w:t>:</w:t>
      </w:r>
      <w:r>
        <w:br/>
      </w:r>
      <w:r>
        <w:lastRenderedPageBreak/>
        <w:t>\mathcal K_F</w:t>
      </w:r>
      <w:r>
        <w:br/>
        <w:t>\rightarrow</w:t>
      </w:r>
      <w:r>
        <w:br/>
        <w:t>\mathcal K_F^{\mathrm{red}}.</w:t>
      </w:r>
      <w:r>
        <w:br/>
        <w:t>\tag{3.13852}</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\Theta_\kappa:\mathcal K_F\rightarrow\mathcal K_F^{\mathrm{red}}</w:t>
      </w:r>
    </w:p>
    <w:p w:rsidR="008B59F4" w:rsidRDefault="008B59F4" w:rsidP="008B59F4">
      <w:r>
        <w:pict>
          <v:rect id="_x0000_i5930" style="width:0;height:1.5pt" o:hralign="center" o:hrstd="t" o:hr="t" fillcolor="#a0a0a0" stroked="f"/>
        </w:pict>
      </w:r>
    </w:p>
    <w:p w:rsidR="008B59F4" w:rsidRDefault="008B59F4" w:rsidP="008B59F4">
      <w:pPr>
        <w:pStyle w:val="berschrift1"/>
      </w:pPr>
      <w:r>
        <w:t>3.3.52.203 Definition 3.3.623 – Kohärenzverträgliche funktionale Reduktion</w:t>
      </w:r>
    </w:p>
    <w:p w:rsidR="008B59F4" w:rsidRDefault="008B59F4" w:rsidP="008B59F4">
      <w:pPr>
        <w:pStyle w:val="berschrift3"/>
      </w:pPr>
      <w:r>
        <w:t>Definition 3.3.623</w:t>
      </w:r>
    </w:p>
    <w:p w:rsidR="008B59F4" w:rsidRDefault="008B59F4" w:rsidP="008B59F4">
      <w:pPr>
        <w:pStyle w:val="StandardWeb"/>
      </w:pPr>
      <w:r>
        <w:t xml:space="preserve">Eine Reduktion heißt </w:t>
      </w:r>
      <w:r>
        <w:rPr>
          <w:rStyle w:val="Fett"/>
        </w:rPr>
        <w:t>kohärenzverträglich</w:t>
      </w:r>
      <w:r>
        <w:t>, wenn</w:t>
      </w:r>
    </w:p>
    <w:p w:rsidR="008B59F4" w:rsidRDefault="008B59F4" w:rsidP="008B59F4">
      <w:pPr>
        <w:pStyle w:val="berschrift1"/>
      </w:pPr>
      <w:r>
        <w:t>[</w:t>
      </w:r>
      <w:r>
        <w:br/>
        <w:t>\boxed{</w:t>
      </w:r>
      <w:r>
        <w:br/>
        <w:t>\kappa_F^{\mathrm{red}}</w:t>
      </w:r>
      <w:r>
        <w:br/>
        <w:t>\bigl(</w:t>
      </w:r>
      <w:r>
        <w:br/>
        <w:t>R_F(X)</w:t>
      </w:r>
      <w:r>
        <w:br/>
        <w:t>\bigr)</w:t>
      </w:r>
    </w:p>
    <w:p w:rsidR="008B59F4" w:rsidRDefault="008B59F4" w:rsidP="008B59F4">
      <w:pPr>
        <w:pStyle w:val="StandardWeb"/>
      </w:pPr>
      <w:r>
        <w:t>\Theta_\kappa</w:t>
      </w:r>
      <w:r>
        <w:br/>
        <w:t>\bigl(</w:t>
      </w:r>
      <w:r>
        <w:br/>
        <w:t>\kappa_F(X)</w:t>
      </w:r>
      <w:r>
        <w:br/>
        <w:t>\bigr).</w:t>
      </w:r>
      <w:r>
        <w:br/>
        <w:t>}</w:t>
      </w:r>
      <w:r>
        <w:br/>
        <w:t>\tag{3.13853}</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\boxed{\kappa_F^{\mathrm{red}}\bigl(R_F(X)\bigr)=\Theta_\kappa\bigl(\kappa_F(X)\bigr).}</w:t>
      </w:r>
    </w:p>
    <w:p w:rsidR="008B59F4" w:rsidRDefault="008B59F4" w:rsidP="008B59F4">
      <w:r>
        <w:pict>
          <v:rect id="_x0000_i5931" style="width:0;height:1.5pt" o:hralign="center" o:hrstd="t" o:hr="t" fillcolor="#a0a0a0" stroked="f"/>
        </w:pict>
      </w:r>
    </w:p>
    <w:p w:rsidR="008B59F4" w:rsidRDefault="008B59F4" w:rsidP="008B59F4">
      <w:pPr>
        <w:pStyle w:val="berschrift1"/>
      </w:pPr>
      <w:r>
        <w:t>3.3.52.204 Kohärenzverträglichkeit als Primäraxiomkandidat</w:t>
      </w:r>
    </w:p>
    <w:p w:rsidR="008B59F4" w:rsidRDefault="008B59F4" w:rsidP="008B59F4">
      <w:pPr>
        <w:pStyle w:val="StandardWeb"/>
      </w:pPr>
      <w:r>
        <w:t>Ein möglicher Kandidat lautet</w:t>
      </w:r>
    </w:p>
    <w:p w:rsidR="008B59F4" w:rsidRDefault="008B59F4" w:rsidP="008B59F4">
      <w:pPr>
        <w:pStyle w:val="berschrift1"/>
      </w:pPr>
      <w:r>
        <w:lastRenderedPageBreak/>
        <w:t>[</w:t>
      </w:r>
      <w:r>
        <w:br/>
        <w:t>A_{\mathrm{red-coh}}</w:t>
      </w:r>
      <w:r>
        <w:br/>
        <w:t>:</w:t>
      </w:r>
      <w:r>
        <w:br/>
        <w:t>\kappa_F^{\mathrm{red}}</w:t>
      </w:r>
      <w:r>
        <w:br/>
        <w:t>\circ</w:t>
      </w:r>
      <w:r>
        <w:br/>
        <w:t>R_F</w:t>
      </w:r>
    </w:p>
    <w:p w:rsidR="008B59F4" w:rsidRDefault="008B59F4" w:rsidP="008B59F4">
      <w:pPr>
        <w:pStyle w:val="StandardWeb"/>
      </w:pPr>
      <w:r>
        <w:t>\Theta_\kappa</w:t>
      </w:r>
      <w:r>
        <w:br/>
        <w:t>\circ</w:t>
      </w:r>
      <w:r>
        <w:br/>
        <w:t>\kappa_F.</w:t>
      </w:r>
      <w:r>
        <w:br/>
        <w:t>\tag{3.13854}</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A_{\mathrm{red-coh}}:\kappa_F^{\mathrm{red}}\circ R_F=\Theta_\kappa\circ\kappa_F</w:t>
      </w:r>
    </w:p>
    <w:p w:rsidR="008B59F4" w:rsidRDefault="008B59F4" w:rsidP="008B59F4">
      <w:r>
        <w:pict>
          <v:rect id="_x0000_i5932" style="width:0;height:1.5pt" o:hralign="center" o:hrstd="t" o:hr="t" fillcolor="#a0a0a0" stroked="f"/>
        </w:pict>
      </w:r>
    </w:p>
    <w:p w:rsidR="008B59F4" w:rsidRDefault="008B59F4" w:rsidP="008B59F4">
      <w:pPr>
        <w:pStyle w:val="berschrift1"/>
      </w:pPr>
      <w:r>
        <w:t>3.3.52.205 Gegenmodell</w:t>
      </w:r>
    </w:p>
    <w:p w:rsidR="008B59F4" w:rsidRDefault="008B59F4" w:rsidP="008B59F4">
      <w:pPr>
        <w:pStyle w:val="StandardWeb"/>
      </w:pPr>
      <w:r>
        <w:t>Eine Reduktion kann Informationen entfernen, die für (\kappa_F) relevant sind.</w:t>
      </w:r>
    </w:p>
    <w:p w:rsidR="008B59F4" w:rsidRDefault="008B59F4" w:rsidP="008B59F4">
      <w:pPr>
        <w:pStyle w:val="StandardWeb"/>
      </w:pPr>
      <w:r>
        <w:t>Dann kann</w:t>
      </w:r>
    </w:p>
    <w:p w:rsidR="008B59F4" w:rsidRDefault="008B59F4" w:rsidP="008B59F4">
      <w:pPr>
        <w:pStyle w:val="StandardWeb"/>
      </w:pPr>
      <w:r>
        <w:t>[</w:t>
      </w:r>
      <w:r>
        <w:br/>
        <w:t>\kappa_F^{\mathrm{red}}</w:t>
      </w:r>
      <w:r>
        <w:br/>
        <w:t>\bigl(</w:t>
      </w:r>
      <w:r>
        <w:br/>
        <w:t>R_F(X)</w:t>
      </w:r>
      <w:r>
        <w:br/>
        <w:t>\bigr)</w:t>
      </w:r>
      <w:r>
        <w:br/>
        <w:t>\neq</w:t>
      </w:r>
      <w:r>
        <w:br/>
        <w:t>\Theta_\kappa</w:t>
      </w:r>
      <w:r>
        <w:br/>
        <w:t>\bigl(</w:t>
      </w:r>
      <w:r>
        <w:br/>
        <w:t>\kappa_F(X)</w:t>
      </w:r>
      <w:r>
        <w:br/>
        <w:t>\bigr)</w:t>
      </w:r>
      <w:r>
        <w:br/>
        <w:t>\tag{3.13855}</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\kappa_F^{\mathrm{red}}\bigl(R_F(X)\bigr)\neq\Theta_\kappa\bigl(\kappa_F(X)\bigr)</w:t>
      </w:r>
    </w:p>
    <w:p w:rsidR="008B59F4" w:rsidRDefault="008B59F4" w:rsidP="008B59F4">
      <w:pPr>
        <w:pStyle w:val="StandardWeb"/>
      </w:pPr>
      <w:r>
        <w:t>gelten.</w:t>
      </w:r>
    </w:p>
    <w:p w:rsidR="008B59F4" w:rsidRDefault="008B59F4" w:rsidP="008B59F4">
      <w:r>
        <w:pict>
          <v:rect id="_x0000_i5933" style="width:0;height:1.5pt" o:hralign="center" o:hrstd="t" o:hr="t" fillcolor="#a0a0a0" stroked="f"/>
        </w:pict>
      </w:r>
    </w:p>
    <w:p w:rsidR="008B59F4" w:rsidRDefault="008B59F4" w:rsidP="008B59F4">
      <w:pPr>
        <w:pStyle w:val="berschrift1"/>
      </w:pPr>
      <w:r>
        <w:lastRenderedPageBreak/>
        <w:t>3.3.52.206 Axiomentscheidung zur Kohärenzverträglichkeit</w:t>
      </w:r>
    </w:p>
    <w:p w:rsidR="008B59F4" w:rsidRDefault="008B59F4" w:rsidP="008B59F4">
      <w:pPr>
        <w:pStyle w:val="StandardWeb"/>
      </w:pPr>
      <w:r>
        <w:t>Somit gilt</w:t>
      </w:r>
    </w:p>
    <w:p w:rsidR="008B59F4" w:rsidRDefault="008B59F4" w:rsidP="008B59F4">
      <w:pPr>
        <w:pStyle w:val="berschrift1"/>
      </w:pPr>
      <w:r>
        <w:t>[</w:t>
      </w:r>
      <w:r>
        <w:br/>
        <w:t>\boxed{</w:t>
      </w:r>
      <w:r>
        <w:br/>
        <w:t>U_{\mathrm{Ax}}</w:t>
      </w:r>
      <w:r>
        <w:br/>
        <w:t>(A_{\mathrm{red-coh}})</w:t>
      </w:r>
    </w:p>
    <w:p w:rsidR="008B59F4" w:rsidRDefault="008B59F4" w:rsidP="009F7790">
      <w:pPr>
        <w:numPr>
          <w:ilvl w:val="0"/>
          <w:numId w:val="727"/>
        </w:numPr>
        <w:spacing w:before="100" w:beforeAutospacing="1" w:after="100" w:afterAutospacing="1"/>
      </w:pPr>
    </w:p>
    <w:p w:rsidR="008B59F4" w:rsidRDefault="008B59F4" w:rsidP="008B59F4">
      <w:pPr>
        <w:pStyle w:val="StandardWeb"/>
      </w:pPr>
      <w:r>
        <w:t>}</w:t>
      </w:r>
      <w:r>
        <w:br/>
        <w:t>\tag{3.13856}</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\boxed{U_{\mathrm{Ax}}(A_{\mathrm{red-coh}})=0.}</w:t>
      </w:r>
    </w:p>
    <w:p w:rsidR="008B59F4" w:rsidRDefault="008B59F4" w:rsidP="008B59F4">
      <w:r>
        <w:pict>
          <v:rect id="_x0000_i5934" style="width:0;height:1.5pt" o:hralign="center" o:hrstd="t" o:hr="t" fillcolor="#a0a0a0" stroked="f"/>
        </w:pict>
      </w:r>
    </w:p>
    <w:p w:rsidR="008B59F4" w:rsidRDefault="008B59F4" w:rsidP="008B59F4">
      <w:pPr>
        <w:pStyle w:val="berschrift1"/>
      </w:pPr>
      <w:r>
        <w:t>3.3.52.207 Satz 3.3.247 – Kohärenzverträglichkeit der Reduktion ist kein Primäraxiom</w:t>
      </w:r>
    </w:p>
    <w:p w:rsidR="008B59F4" w:rsidRDefault="008B59F4" w:rsidP="008B59F4">
      <w:pPr>
        <w:pStyle w:val="berschrift3"/>
      </w:pPr>
      <w:r>
        <w:t>Satz 3.3.247</w:t>
      </w:r>
    </w:p>
    <w:p w:rsidR="008B59F4" w:rsidRDefault="008B59F4" w:rsidP="008B59F4">
      <w:pPr>
        <w:pStyle w:val="StandardWeb"/>
      </w:pPr>
      <w:r>
        <w:t>Die Forderung, jede funktionale Reduktion müsse eine definierte Kohärenzbewertung durch eine vorgegebene Übertragungsabbildung erhalten, ist keine universell notwendige Voraussetzung des allgemeinen FRZK.</w:t>
      </w:r>
    </w:p>
    <w:p w:rsidR="008B59F4" w:rsidRDefault="008B59F4" w:rsidP="008B59F4">
      <w:pPr>
        <w:pStyle w:val="berschrift1"/>
      </w:pPr>
      <w:r>
        <w:t>[</w:t>
      </w:r>
      <w:r>
        <w:br/>
        <w:t>\boxed{</w:t>
      </w:r>
      <w:r>
        <w:br/>
        <w:t>U_{\mathrm{Ax}}</w:t>
      </w:r>
      <w:r>
        <w:br/>
        <w:t>(A_{\mathrm{red-coh}})</w:t>
      </w:r>
    </w:p>
    <w:p w:rsidR="008B59F4" w:rsidRDefault="008B59F4" w:rsidP="009F7790">
      <w:pPr>
        <w:numPr>
          <w:ilvl w:val="0"/>
          <w:numId w:val="728"/>
        </w:numPr>
        <w:spacing w:before="100" w:beforeAutospacing="1" w:after="100" w:afterAutospacing="1"/>
      </w:pPr>
    </w:p>
    <w:p w:rsidR="008B59F4" w:rsidRDefault="008B59F4" w:rsidP="008B59F4">
      <w:pPr>
        <w:pStyle w:val="StandardWeb"/>
      </w:pPr>
      <w:r>
        <w:t>}</w:t>
      </w:r>
      <w:r>
        <w:br/>
        <w:t>\tag{3.13857}</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lastRenderedPageBreak/>
        <w:t>\boxed{U_{\mathrm{Ax}}(A_{\mathrm{red-coh}})=0.}</w:t>
      </w:r>
    </w:p>
    <w:p w:rsidR="008B59F4" w:rsidRDefault="008B59F4" w:rsidP="008B59F4">
      <w:r>
        <w:pict>
          <v:rect id="_x0000_i5935" style="width:0;height:1.5pt" o:hralign="center" o:hrstd="t" o:hr="t" fillcolor="#a0a0a0" stroked="f"/>
        </w:pict>
      </w:r>
    </w:p>
    <w:p w:rsidR="008B59F4" w:rsidRDefault="008B59F4" w:rsidP="008B59F4">
      <w:pPr>
        <w:pStyle w:val="berschrift1"/>
      </w:pPr>
      <w:r>
        <w:t>3.3.52.208 Projektion über Übergänge</w:t>
      </w:r>
    </w:p>
    <w:p w:rsidR="008B59F4" w:rsidRDefault="008B59F4" w:rsidP="008B59F4">
      <w:pPr>
        <w:pStyle w:val="StandardWeb"/>
      </w:pPr>
      <w:r>
        <w:t>Für eine Projektion (\Pi_F) und eine Übergangsabbildung (T_F) kann ebenfalls Kompatibilität untersucht werden.</w:t>
      </w:r>
    </w:p>
    <w:p w:rsidR="008B59F4" w:rsidRDefault="008B59F4" w:rsidP="008B59F4">
      <w:pPr>
        <w:pStyle w:val="StandardWeb"/>
      </w:pPr>
      <w:r>
        <w:t>Eine mögliche Bedingung lautet</w:t>
      </w:r>
    </w:p>
    <w:p w:rsidR="008B59F4" w:rsidRDefault="008B59F4" w:rsidP="008B59F4">
      <w:pPr>
        <w:pStyle w:val="berschrift1"/>
      </w:pPr>
      <w:r>
        <w:t>[</w:t>
      </w:r>
      <w:r>
        <w:br/>
        <w:t>\Pi_F</w:t>
      </w:r>
      <w:r>
        <w:br/>
        <w:t>\circ</w:t>
      </w:r>
      <w:r>
        <w:br/>
        <w:t>T_F</w:t>
      </w:r>
    </w:p>
    <w:p w:rsidR="008B59F4" w:rsidRDefault="008B59F4" w:rsidP="008B59F4">
      <w:pPr>
        <w:pStyle w:val="StandardWeb"/>
      </w:pPr>
      <w:r>
        <w:t>T_F^\Pi</w:t>
      </w:r>
      <w:r>
        <w:br/>
        <w:t>\circ</w:t>
      </w:r>
      <w:r>
        <w:br/>
        <w:t>\Pi_F,</w:t>
      </w:r>
      <w:r>
        <w:br/>
        <w:t>\tag{3.13858}</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\Pi_F\circ T_F=T_F^\Pi\circ\Pi_F</w:t>
      </w:r>
    </w:p>
    <w:p w:rsidR="008B59F4" w:rsidRDefault="008B59F4" w:rsidP="008B59F4">
      <w:pPr>
        <w:pStyle w:val="StandardWeb"/>
      </w:pPr>
      <w:r>
        <w:t>wobei (T_F^\Pi) eine auf dem Projektionsraum definierte Übergangsabbildung bezeichnet.</w:t>
      </w:r>
    </w:p>
    <w:p w:rsidR="008B59F4" w:rsidRDefault="008B59F4" w:rsidP="008B59F4">
      <w:r>
        <w:pict>
          <v:rect id="_x0000_i5936" style="width:0;height:1.5pt" o:hralign="center" o:hrstd="t" o:hr="t" fillcolor="#a0a0a0" stroked="f"/>
        </w:pict>
      </w:r>
    </w:p>
    <w:p w:rsidR="008B59F4" w:rsidRDefault="008B59F4" w:rsidP="008B59F4">
      <w:pPr>
        <w:pStyle w:val="berschrift1"/>
      </w:pPr>
      <w:r>
        <w:t>3.3.52.209 Definition 3.3.624 – Übergangsverträgliche funktionale Projektion</w:t>
      </w:r>
    </w:p>
    <w:p w:rsidR="008B59F4" w:rsidRDefault="008B59F4" w:rsidP="008B59F4">
      <w:pPr>
        <w:pStyle w:val="berschrift3"/>
      </w:pPr>
      <w:r>
        <w:t>Definition 3.3.624</w:t>
      </w:r>
    </w:p>
    <w:p w:rsidR="008B59F4" w:rsidRDefault="008B59F4" w:rsidP="008B59F4">
      <w:pPr>
        <w:pStyle w:val="StandardWeb"/>
      </w:pPr>
      <w:r>
        <w:t xml:space="preserve">Eine Projektion heißt </w:t>
      </w:r>
      <w:r>
        <w:rPr>
          <w:rStyle w:val="Fett"/>
        </w:rPr>
        <w:t>übergangsverträglich</w:t>
      </w:r>
      <w:r>
        <w:t>, wenn eine Abbildung (T_F^\Pi) existiert mit</w:t>
      </w:r>
    </w:p>
    <w:p w:rsidR="008B59F4" w:rsidRDefault="008B59F4" w:rsidP="008B59F4">
      <w:pPr>
        <w:pStyle w:val="berschrift1"/>
      </w:pPr>
      <w:r>
        <w:t>[</w:t>
      </w:r>
      <w:r>
        <w:br/>
        <w:t>\boxed{</w:t>
      </w:r>
      <w:r>
        <w:br/>
        <w:t>\Pi_F</w:t>
      </w:r>
      <w:r>
        <w:br/>
        <w:t>\circ</w:t>
      </w:r>
      <w:r>
        <w:br/>
        <w:t>T_F</w:t>
      </w:r>
    </w:p>
    <w:p w:rsidR="008B59F4" w:rsidRDefault="008B59F4" w:rsidP="008B59F4">
      <w:pPr>
        <w:pStyle w:val="StandardWeb"/>
      </w:pPr>
      <w:r>
        <w:lastRenderedPageBreak/>
        <w:t>T_F^\Pi</w:t>
      </w:r>
      <w:r>
        <w:br/>
        <w:t>\circ</w:t>
      </w:r>
      <w:r>
        <w:br/>
        <w:t>\Pi_F.</w:t>
      </w:r>
      <w:r>
        <w:br/>
        <w:t>}</w:t>
      </w:r>
      <w:r>
        <w:br/>
        <w:t>\tag{3.13859}</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\boxed{\Pi_F\circ T_F=T_F^\Pi\circ\Pi_F.}</w:t>
      </w:r>
    </w:p>
    <w:p w:rsidR="008B59F4" w:rsidRDefault="008B59F4" w:rsidP="008B59F4">
      <w:r>
        <w:pict>
          <v:rect id="_x0000_i5937" style="width:0;height:1.5pt" o:hralign="center" o:hrstd="t" o:hr="t" fillcolor="#a0a0a0" stroked="f"/>
        </w:pict>
      </w:r>
    </w:p>
    <w:p w:rsidR="008B59F4" w:rsidRDefault="008B59F4" w:rsidP="008B59F4">
      <w:pPr>
        <w:pStyle w:val="berschrift1"/>
      </w:pPr>
      <w:r>
        <w:t>3.3.52.210 Universelle Projektionsverträglichkeit als Primäraxiomkandidat</w:t>
      </w:r>
    </w:p>
    <w:p w:rsidR="008B59F4" w:rsidRDefault="008B59F4" w:rsidP="008B59F4">
      <w:pPr>
        <w:pStyle w:val="StandardWeb"/>
      </w:pPr>
      <w:r>
        <w:t>Der Kandidat lautet</w:t>
      </w:r>
    </w:p>
    <w:p w:rsidR="008B59F4" w:rsidRDefault="008B59F4" w:rsidP="008B59F4">
      <w:pPr>
        <w:pStyle w:val="berschrift1"/>
      </w:pPr>
      <w:r>
        <w:t>[</w:t>
      </w:r>
      <w:r>
        <w:br/>
        <w:t>A_{\mathrm{proj-dyn}}</w:t>
      </w:r>
      <w:r>
        <w:br/>
        <w:t>:</w:t>
      </w:r>
      <w:r>
        <w:br/>
        <w:t>\Pi_F</w:t>
      </w:r>
      <w:r>
        <w:br/>
        <w:t>\circ</w:t>
      </w:r>
      <w:r>
        <w:br/>
        <w:t>T_F</w:t>
      </w:r>
    </w:p>
    <w:p w:rsidR="008B59F4" w:rsidRDefault="008B59F4" w:rsidP="008B59F4">
      <w:pPr>
        <w:pStyle w:val="StandardWeb"/>
      </w:pPr>
      <w:r>
        <w:t>T_F^\Pi</w:t>
      </w:r>
      <w:r>
        <w:br/>
        <w:t>\circ</w:t>
      </w:r>
      <w:r>
        <w:br/>
        <w:t>\Pi_F.</w:t>
      </w:r>
      <w:r>
        <w:br/>
        <w:t>\tag{3.13860}</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A_{\mathrm{proj-dyn}}:\Pi_F\circ T_F=T_F^\Pi\circ\Pi_F</w:t>
      </w:r>
    </w:p>
    <w:p w:rsidR="008B59F4" w:rsidRDefault="008B59F4" w:rsidP="008B59F4">
      <w:r>
        <w:pict>
          <v:rect id="_x0000_i5938" style="width:0;height:1.5pt" o:hralign="center" o:hrstd="t" o:hr="t" fillcolor="#a0a0a0" stroked="f"/>
        </w:pict>
      </w:r>
    </w:p>
    <w:p w:rsidR="008B59F4" w:rsidRDefault="008B59F4" w:rsidP="008B59F4">
      <w:pPr>
        <w:pStyle w:val="berschrift1"/>
      </w:pPr>
      <w:r>
        <w:t>3.3.52.211 Gegenmodell</w:t>
      </w:r>
    </w:p>
    <w:p w:rsidR="008B59F4" w:rsidRDefault="008B59F4" w:rsidP="008B59F4">
      <w:pPr>
        <w:pStyle w:val="StandardWeb"/>
      </w:pPr>
      <w:r>
        <w:t>Zwei vollständige Zustände können dieselbe Projektion besitzen:</w:t>
      </w:r>
    </w:p>
    <w:p w:rsidR="008B59F4" w:rsidRDefault="008B59F4" w:rsidP="008B59F4">
      <w:pPr>
        <w:pStyle w:val="berschrift1"/>
      </w:pPr>
      <w:r>
        <w:t>[</w:t>
      </w:r>
      <w:r>
        <w:br/>
        <w:t>\Pi_F(X_1)</w:t>
      </w:r>
    </w:p>
    <w:p w:rsidR="008B59F4" w:rsidRDefault="008B59F4" w:rsidP="008B59F4">
      <w:pPr>
        <w:pStyle w:val="StandardWeb"/>
      </w:pPr>
      <w:r>
        <w:lastRenderedPageBreak/>
        <w:t>\Pi_F(X_2),</w:t>
      </w:r>
      <w:r>
        <w:br/>
        <w:t>\tag{3.13861}</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\Pi_F(X_1)=\Pi_F(X_2)</w:t>
      </w:r>
    </w:p>
    <w:p w:rsidR="008B59F4" w:rsidRDefault="008B59F4" w:rsidP="008B59F4">
      <w:pPr>
        <w:pStyle w:val="StandardWeb"/>
      </w:pPr>
      <w:r>
        <w:t>während nach einem Übergang</w:t>
      </w:r>
    </w:p>
    <w:p w:rsidR="008B59F4" w:rsidRDefault="008B59F4" w:rsidP="008B59F4">
      <w:pPr>
        <w:pStyle w:val="StandardWeb"/>
      </w:pPr>
      <w:r>
        <w:t>[</w:t>
      </w:r>
      <w:r>
        <w:br/>
        <w:t>\Pi_F(T_F(X_1))</w:t>
      </w:r>
      <w:r>
        <w:br/>
        <w:t>\neq</w:t>
      </w:r>
      <w:r>
        <w:br/>
        <w:t>\Pi_F(T_F(X_2)).</w:t>
      </w:r>
      <w:r>
        <w:br/>
        <w:t>\tag{3.13862}</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\Pi_F(T_F(X_1))\neq\Pi_F(T_F(X_2))</w:t>
      </w:r>
    </w:p>
    <w:p w:rsidR="008B59F4" w:rsidRDefault="008B59F4" w:rsidP="008B59F4">
      <w:pPr>
        <w:pStyle w:val="StandardWeb"/>
      </w:pPr>
      <w:r>
        <w:t>Damit kann keine eindeutige projektierte Dynamik (T_F^\Pi) aus dem gemeinsamen Projektionszustand bestimmt werden.</w:t>
      </w:r>
    </w:p>
    <w:p w:rsidR="008B59F4" w:rsidRDefault="008B59F4" w:rsidP="008B59F4">
      <w:r>
        <w:pict>
          <v:rect id="_x0000_i5939" style="width:0;height:1.5pt" o:hralign="center" o:hrstd="t" o:hr="t" fillcolor="#a0a0a0" stroked="f"/>
        </w:pict>
      </w:r>
    </w:p>
    <w:p w:rsidR="008B59F4" w:rsidRDefault="008B59F4" w:rsidP="008B59F4">
      <w:pPr>
        <w:pStyle w:val="berschrift1"/>
      </w:pPr>
      <w:r>
        <w:t>3.3.52.212 Axiomentscheidung zur Projektionsverträglichkeit</w:t>
      </w:r>
    </w:p>
    <w:p w:rsidR="008B59F4" w:rsidRDefault="008B59F4" w:rsidP="008B59F4">
      <w:pPr>
        <w:pStyle w:val="StandardWeb"/>
      </w:pPr>
      <w:r>
        <w:t>Daraus folgt</w:t>
      </w:r>
    </w:p>
    <w:p w:rsidR="008B59F4" w:rsidRDefault="008B59F4" w:rsidP="008B59F4">
      <w:pPr>
        <w:pStyle w:val="berschrift1"/>
      </w:pPr>
      <w:r>
        <w:t>[</w:t>
      </w:r>
      <w:r>
        <w:br/>
        <w:t>\boxed{</w:t>
      </w:r>
      <w:r>
        <w:br/>
        <w:t>U_{\mathrm{Ax}}</w:t>
      </w:r>
      <w:r>
        <w:br/>
        <w:t>(A_{\mathrm{proj-dyn}})</w:t>
      </w:r>
    </w:p>
    <w:p w:rsidR="008B59F4" w:rsidRDefault="008B59F4" w:rsidP="009F7790">
      <w:pPr>
        <w:numPr>
          <w:ilvl w:val="0"/>
          <w:numId w:val="729"/>
        </w:numPr>
        <w:spacing w:before="100" w:beforeAutospacing="1" w:after="100" w:afterAutospacing="1"/>
      </w:pPr>
    </w:p>
    <w:p w:rsidR="008B59F4" w:rsidRDefault="008B59F4" w:rsidP="008B59F4">
      <w:pPr>
        <w:pStyle w:val="StandardWeb"/>
      </w:pPr>
      <w:r>
        <w:t>}</w:t>
      </w:r>
      <w:r>
        <w:br/>
        <w:t>\tag{3.13863}</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\boxed{U_{\mathrm{Ax}}(A_{\mathrm{proj-dyn}})=0.}</w:t>
      </w:r>
    </w:p>
    <w:p w:rsidR="008B59F4" w:rsidRDefault="008B59F4" w:rsidP="008B59F4">
      <w:r>
        <w:pict>
          <v:rect id="_x0000_i5940" style="width:0;height:1.5pt" o:hralign="center" o:hrstd="t" o:hr="t" fillcolor="#a0a0a0" stroked="f"/>
        </w:pict>
      </w:r>
    </w:p>
    <w:p w:rsidR="008B59F4" w:rsidRDefault="008B59F4" w:rsidP="008B59F4">
      <w:pPr>
        <w:pStyle w:val="berschrift1"/>
      </w:pPr>
      <w:r>
        <w:lastRenderedPageBreak/>
        <w:t>3.3.52.213 Satz 3.3.248 – Übergangsverträglichkeit funktionaler Projektionen ist kein Primäraxiom</w:t>
      </w:r>
    </w:p>
    <w:p w:rsidR="008B59F4" w:rsidRDefault="008B59F4" w:rsidP="008B59F4">
      <w:pPr>
        <w:pStyle w:val="berschrift3"/>
      </w:pPr>
      <w:r>
        <w:t>Satz 3.3.248</w:t>
      </w:r>
    </w:p>
    <w:p w:rsidR="008B59F4" w:rsidRDefault="008B59F4" w:rsidP="008B59F4">
      <w:pPr>
        <w:pStyle w:val="StandardWeb"/>
      </w:pPr>
      <w:r>
        <w:t>Die Forderung, jede funktionale Projektion müsse mit der vollständigen Übergangsdynamik durch eine eindeutig induzierte projektierte Dynamik verträglich sein, ist keine universell notwendige Voraussetzung des allgemeinen FRZK.</w:t>
      </w:r>
    </w:p>
    <w:p w:rsidR="008B59F4" w:rsidRDefault="008B59F4" w:rsidP="008B59F4">
      <w:pPr>
        <w:pStyle w:val="berschrift1"/>
      </w:pPr>
      <w:r>
        <w:t>[</w:t>
      </w:r>
      <w:r>
        <w:br/>
        <w:t>\boxed{</w:t>
      </w:r>
      <w:r>
        <w:br/>
        <w:t>U_{\mathrm{Ax}}</w:t>
      </w:r>
      <w:r>
        <w:br/>
        <w:t>(A_{\mathrm{proj-dyn}})</w:t>
      </w:r>
    </w:p>
    <w:p w:rsidR="008B59F4" w:rsidRDefault="008B59F4" w:rsidP="009F7790">
      <w:pPr>
        <w:numPr>
          <w:ilvl w:val="0"/>
          <w:numId w:val="730"/>
        </w:numPr>
        <w:spacing w:before="100" w:beforeAutospacing="1" w:after="100" w:afterAutospacing="1"/>
      </w:pPr>
    </w:p>
    <w:p w:rsidR="008B59F4" w:rsidRDefault="008B59F4" w:rsidP="008B59F4">
      <w:pPr>
        <w:pStyle w:val="StandardWeb"/>
      </w:pPr>
      <w:r>
        <w:t>}</w:t>
      </w:r>
      <w:r>
        <w:br/>
        <w:t>\tag{3.13864}</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\boxed{U_{\mathrm{Ax}}(A_{\mathrm{proj-dyn}})=0.}</w:t>
      </w:r>
    </w:p>
    <w:p w:rsidR="008B59F4" w:rsidRDefault="008B59F4" w:rsidP="008B59F4">
      <w:r>
        <w:pict>
          <v:rect id="_x0000_i5941" style="width:0;height:1.5pt" o:hralign="center" o:hrstd="t" o:hr="t" fillcolor="#a0a0a0" stroked="f"/>
        </w:pict>
      </w:r>
    </w:p>
    <w:p w:rsidR="008B59F4" w:rsidRDefault="008B59F4" w:rsidP="008B59F4">
      <w:pPr>
        <w:pStyle w:val="berschrift1"/>
      </w:pPr>
      <w:r>
        <w:t>3.3.52.214 Existenz einer Projektion als Primäraxiomkandidat</w:t>
      </w:r>
    </w:p>
    <w:p w:rsidR="008B59F4" w:rsidRDefault="008B59F4" w:rsidP="008B59F4">
      <w:pPr>
        <w:pStyle w:val="StandardWeb"/>
      </w:pPr>
      <w:r>
        <w:t>Nun beginne ich die stärkere Minimalitätsprüfung.</w:t>
      </w:r>
    </w:p>
    <w:p w:rsidR="008B59F4" w:rsidRDefault="008B59F4" w:rsidP="008B59F4">
      <w:pPr>
        <w:pStyle w:val="StandardWeb"/>
      </w:pPr>
      <w:r>
        <w:t>Der erste Kandidat lautet</w:t>
      </w:r>
    </w:p>
    <w:p w:rsidR="008B59F4" w:rsidRDefault="008B59F4" w:rsidP="008B59F4">
      <w:pPr>
        <w:pStyle w:val="StandardWeb"/>
      </w:pPr>
      <w:r>
        <w:t>[</w:t>
      </w:r>
      <w:r>
        <w:br/>
        <w:t>A_{\mathrm{proj-ex}}</w:t>
      </w:r>
      <w:r>
        <w:br/>
        <w:t>:</w:t>
      </w:r>
      <w:r>
        <w:br/>
        <w:t>\exists</w:t>
      </w:r>
      <w:r>
        <w:br/>
        <w:t>\Pi_F.</w:t>
      </w:r>
      <w:r>
        <w:br/>
        <w:t>\tag{3.13865}</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A_{\mathrm{proj-ex}}:\exists\Pi_F</w:t>
      </w:r>
    </w:p>
    <w:p w:rsidR="008B59F4" w:rsidRDefault="008B59F4" w:rsidP="008B59F4">
      <w:pPr>
        <w:pStyle w:val="StandardWeb"/>
      </w:pPr>
      <w:r>
        <w:t>Er fordert, dass jedes FRZK-Modell mindestens eine Projektionsstruktur besitzen muss.</w:t>
      </w:r>
    </w:p>
    <w:p w:rsidR="008B59F4" w:rsidRDefault="008B59F4" w:rsidP="008B59F4">
      <w:r>
        <w:lastRenderedPageBreak/>
        <w:pict>
          <v:rect id="_x0000_i5942" style="width:0;height:1.5pt" o:hralign="center" o:hrstd="t" o:hr="t" fillcolor="#a0a0a0" stroked="f"/>
        </w:pict>
      </w:r>
    </w:p>
    <w:p w:rsidR="008B59F4" w:rsidRDefault="008B59F4" w:rsidP="008B59F4">
      <w:pPr>
        <w:pStyle w:val="berschrift1"/>
      </w:pPr>
      <w:r>
        <w:t>3.3.52.215 Gegenmodell ohne Projektion</w:t>
      </w:r>
    </w:p>
    <w:p w:rsidR="008B59F4" w:rsidRDefault="008B59F4" w:rsidP="008B59F4">
      <w:pPr>
        <w:pStyle w:val="StandardWeb"/>
      </w:pPr>
      <w:r>
        <w:t>Eine zulässige funktionale Modellstruktur kann vollständig ohne Projektionsabbildung formuliert werden:</w:t>
      </w:r>
    </w:p>
    <w:p w:rsidR="008B59F4" w:rsidRDefault="008B59F4" w:rsidP="008B59F4">
      <w:pPr>
        <w:pStyle w:val="StandardWeb"/>
      </w:pPr>
      <w:r>
        <w:t>[</w:t>
      </w:r>
      <w:r>
        <w:br/>
        <w:t>\Pi_F</w:t>
      </w:r>
      <w:r>
        <w:br/>
        <w:t>\notin</w:t>
      </w:r>
      <w:r>
        <w:br/>
        <w:t>\mathfrak E_{\mathrm{model}}.</w:t>
      </w:r>
      <w:r>
        <w:br/>
        <w:t>\tag{3.13866}</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\Pi_F\notin\mathfrak E_{\mathrm{model}}</w:t>
      </w:r>
    </w:p>
    <w:p w:rsidR="008B59F4" w:rsidRDefault="008B59F4" w:rsidP="008B59F4">
      <w:pPr>
        <w:pStyle w:val="StandardWeb"/>
      </w:pPr>
      <w:r>
        <w:t>Funktionale Objekte und Übergänge bleiben dennoch definierbar.</w:t>
      </w:r>
    </w:p>
    <w:p w:rsidR="008B59F4" w:rsidRDefault="008B59F4" w:rsidP="008B59F4">
      <w:r>
        <w:pict>
          <v:rect id="_x0000_i5943" style="width:0;height:1.5pt" o:hralign="center" o:hrstd="t" o:hr="t" fillcolor="#a0a0a0" stroked="f"/>
        </w:pict>
      </w:r>
    </w:p>
    <w:p w:rsidR="008B59F4" w:rsidRDefault="008B59F4" w:rsidP="008B59F4">
      <w:pPr>
        <w:pStyle w:val="berschrift1"/>
      </w:pPr>
      <w:r>
        <w:t>3.3.52.216 Existenz einer Restriktion als Primäraxiomkandidat</w:t>
      </w:r>
    </w:p>
    <w:p w:rsidR="008B59F4" w:rsidRDefault="008B59F4" w:rsidP="008B59F4">
      <w:pPr>
        <w:pStyle w:val="StandardWeb"/>
      </w:pPr>
      <w:r>
        <w:t>Analog prüfe ich</w:t>
      </w:r>
    </w:p>
    <w:p w:rsidR="008B59F4" w:rsidRDefault="008B59F4" w:rsidP="008B59F4">
      <w:pPr>
        <w:pStyle w:val="StandardWeb"/>
      </w:pPr>
      <w:r>
        <w:t>[</w:t>
      </w:r>
      <w:r>
        <w:br/>
        <w:t>A_{\mathrm{restr-ex}}</w:t>
      </w:r>
      <w:r>
        <w:br/>
        <w:t>:</w:t>
      </w:r>
      <w:r>
        <w:br/>
        <w:t>\exists</w:t>
      </w:r>
      <w:r>
        <w:br/>
        <w:t>F|_{\mathcal X_F'}.</w:t>
      </w:r>
      <w:r>
        <w:br/>
        <w:t>\tag{3.13867}</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A_{\mathrm{restr-ex}}:\exists F|_{\mathcal X_F'}</w:t>
      </w:r>
    </w:p>
    <w:p w:rsidR="008B59F4" w:rsidRDefault="008B59F4" w:rsidP="008B59F4">
      <w:r>
        <w:pict>
          <v:rect id="_x0000_i5944" style="width:0;height:1.5pt" o:hralign="center" o:hrstd="t" o:hr="t" fillcolor="#a0a0a0" stroked="f"/>
        </w:pict>
      </w:r>
    </w:p>
    <w:p w:rsidR="008B59F4" w:rsidRDefault="008B59F4" w:rsidP="008B59F4">
      <w:pPr>
        <w:pStyle w:val="berschrift1"/>
      </w:pPr>
      <w:r>
        <w:t>3.3.52.217 Gegenmodell ohne explizite Restriktionsstruktur</w:t>
      </w:r>
    </w:p>
    <w:p w:rsidR="008B59F4" w:rsidRDefault="008B59F4" w:rsidP="008B59F4">
      <w:pPr>
        <w:pStyle w:val="StandardWeb"/>
      </w:pPr>
      <w:r>
        <w:t>Eine Modellklasse kann ausschließlich auf ihrem vollständigen Definitionsbereich formuliert sein:</w:t>
      </w:r>
    </w:p>
    <w:p w:rsidR="008B59F4" w:rsidRDefault="008B59F4" w:rsidP="008B59F4">
      <w:pPr>
        <w:pStyle w:val="StandardWeb"/>
      </w:pPr>
      <w:r>
        <w:t>[</w:t>
      </w:r>
      <w:r>
        <w:br/>
        <w:t>F|</w:t>
      </w:r>
      <w:r>
        <w:rPr>
          <w:rStyle w:val="Hervorhebung"/>
        </w:rPr>
        <w:t>{\mathcal X_F'}</w:t>
      </w:r>
      <w:r>
        <w:rPr>
          <w:i/>
          <w:iCs/>
        </w:rPr>
        <w:br/>
      </w:r>
      <w:r>
        <w:rPr>
          <w:rStyle w:val="Hervorhebung"/>
        </w:rPr>
        <w:t>\notin</w:t>
      </w:r>
      <w:r>
        <w:rPr>
          <w:i/>
          <w:iCs/>
        </w:rPr>
        <w:br/>
      </w:r>
      <w:r>
        <w:rPr>
          <w:rStyle w:val="Hervorhebung"/>
        </w:rPr>
        <w:lastRenderedPageBreak/>
        <w:t>\mathfrak E</w:t>
      </w:r>
      <w:r>
        <w:t>{\mathrm{model}}.</w:t>
      </w:r>
      <w:r>
        <w:br/>
        <w:t>\tag{3.13868}</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F|_{\mathcal X_F'}\notin\mathfrak E_{\mathrm{model}}</w:t>
      </w:r>
    </w:p>
    <w:p w:rsidR="008B59F4" w:rsidRDefault="008B59F4" w:rsidP="008B59F4">
      <w:r>
        <w:pict>
          <v:rect id="_x0000_i5945" style="width:0;height:1.5pt" o:hralign="center" o:hrstd="t" o:hr="t" fillcolor="#a0a0a0" stroked="f"/>
        </w:pict>
      </w:r>
    </w:p>
    <w:p w:rsidR="008B59F4" w:rsidRDefault="008B59F4" w:rsidP="008B59F4">
      <w:pPr>
        <w:pStyle w:val="berschrift1"/>
      </w:pPr>
      <w:r>
        <w:t>3.3.52.218 Existenz einer Reduktion als Primäraxiomkandidat</w:t>
      </w:r>
    </w:p>
    <w:p w:rsidR="008B59F4" w:rsidRDefault="008B59F4" w:rsidP="008B59F4">
      <w:pPr>
        <w:pStyle w:val="StandardWeb"/>
      </w:pPr>
      <w:r>
        <w:t>Der nächste Kandidat lautet</w:t>
      </w:r>
    </w:p>
    <w:p w:rsidR="008B59F4" w:rsidRDefault="008B59F4" w:rsidP="008B59F4">
      <w:pPr>
        <w:pStyle w:val="StandardWeb"/>
      </w:pPr>
      <w:r>
        <w:t>[</w:t>
      </w:r>
      <w:r>
        <w:br/>
        <w:t>A_{\mathrm{red-ex}}</w:t>
      </w:r>
      <w:r>
        <w:br/>
        <w:t>:</w:t>
      </w:r>
      <w:r>
        <w:br/>
        <w:t>\exists</w:t>
      </w:r>
      <w:r>
        <w:br/>
        <w:t>R_F.</w:t>
      </w:r>
      <w:r>
        <w:br/>
        <w:t>\tag{3.13869}</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A_{\mathrm{red-ex}}:\exists R_F</w:t>
      </w:r>
    </w:p>
    <w:p w:rsidR="008B59F4" w:rsidRDefault="008B59F4" w:rsidP="008B59F4">
      <w:r>
        <w:pict>
          <v:rect id="_x0000_i5946" style="width:0;height:1.5pt" o:hralign="center" o:hrstd="t" o:hr="t" fillcolor="#a0a0a0" stroked="f"/>
        </w:pict>
      </w:r>
    </w:p>
    <w:p w:rsidR="008B59F4" w:rsidRDefault="008B59F4" w:rsidP="008B59F4">
      <w:pPr>
        <w:pStyle w:val="berschrift1"/>
      </w:pPr>
      <w:r>
        <w:t>3.3.52.219 Gegenmodell ohne Reduktion</w:t>
      </w:r>
    </w:p>
    <w:p w:rsidR="008B59F4" w:rsidRDefault="008B59F4" w:rsidP="008B59F4">
      <w:pPr>
        <w:pStyle w:val="StandardWeb"/>
      </w:pPr>
      <w:r>
        <w:t>Eine zulässige Modellklasse kann ihre funktionalen Objekte direkt verwenden:</w:t>
      </w:r>
    </w:p>
    <w:p w:rsidR="008B59F4" w:rsidRDefault="008B59F4" w:rsidP="008B59F4">
      <w:pPr>
        <w:pStyle w:val="StandardWeb"/>
      </w:pPr>
      <w:r>
        <w:t>[</w:t>
      </w:r>
      <w:r>
        <w:br/>
        <w:t>R_F</w:t>
      </w:r>
      <w:r>
        <w:br/>
        <w:t>\notin</w:t>
      </w:r>
      <w:r>
        <w:br/>
        <w:t>\mathfrak E_{\mathrm{model}}.</w:t>
      </w:r>
      <w:r>
        <w:br/>
        <w:t>\tag{3.13870}</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R_F\notin\mathfrak E_{\mathrm{model}}</w:t>
      </w:r>
    </w:p>
    <w:p w:rsidR="008B59F4" w:rsidRDefault="008B59F4" w:rsidP="008B59F4">
      <w:r>
        <w:pict>
          <v:rect id="_x0000_i5947" style="width:0;height:1.5pt" o:hralign="center" o:hrstd="t" o:hr="t" fillcolor="#a0a0a0" stroked="f"/>
        </w:pict>
      </w:r>
    </w:p>
    <w:p w:rsidR="008B59F4" w:rsidRDefault="008B59F4" w:rsidP="008B59F4">
      <w:pPr>
        <w:pStyle w:val="berschrift1"/>
      </w:pPr>
      <w:r>
        <w:t>3.3.52.220 Quotientenstruktur als Primäraxiomkandidat</w:t>
      </w:r>
    </w:p>
    <w:p w:rsidR="008B59F4" w:rsidRDefault="008B59F4" w:rsidP="008B59F4">
      <w:pPr>
        <w:pStyle w:val="StandardWeb"/>
      </w:pPr>
      <w:r>
        <w:t>Die Existenzforderung für Quotientierung wurde bereits lokal verworfen. Für die gemeinsame Minimalitätsprüfung schreibe ich erneut</w:t>
      </w:r>
    </w:p>
    <w:p w:rsidR="008B59F4" w:rsidRDefault="008B59F4" w:rsidP="008B59F4">
      <w:pPr>
        <w:pStyle w:val="StandardWeb"/>
      </w:pPr>
      <w:r>
        <w:lastRenderedPageBreak/>
        <w:t>[</w:t>
      </w:r>
      <w:r>
        <w:br/>
        <w:t>A_{\mathrm{quot-ex}}</w:t>
      </w:r>
      <w:r>
        <w:br/>
        <w:t>:</w:t>
      </w:r>
      <w:r>
        <w:br/>
        <w:t>\exists</w:t>
      </w:r>
      <w:r>
        <w:br/>
        <w:t>q_F.</w:t>
      </w:r>
      <w:r>
        <w:br/>
        <w:t>\tag{3.13871}</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A_{\mathrm{quot-ex}}:\exists q_F</w:t>
      </w:r>
    </w:p>
    <w:p w:rsidR="008B59F4" w:rsidRDefault="008B59F4" w:rsidP="008B59F4">
      <w:r>
        <w:pict>
          <v:rect id="_x0000_i5948" style="width:0;height:1.5pt" o:hralign="center" o:hrstd="t" o:hr="t" fillcolor="#a0a0a0" stroked="f"/>
        </w:pict>
      </w:r>
    </w:p>
    <w:p w:rsidR="008B59F4" w:rsidRDefault="008B59F4" w:rsidP="008B59F4">
      <w:pPr>
        <w:pStyle w:val="berschrift1"/>
      </w:pPr>
      <w:r>
        <w:t>3.3.52.221 Gemeinsames Gegenmodell</w:t>
      </w:r>
    </w:p>
    <w:p w:rsidR="008B59F4" w:rsidRDefault="008B59F4" w:rsidP="008B59F4">
      <w:pPr>
        <w:pStyle w:val="StandardWeb"/>
      </w:pPr>
      <w:r>
        <w:t>Ich kann eine Modellstruktur betrachten mit</w:t>
      </w:r>
    </w:p>
    <w:p w:rsidR="008B59F4" w:rsidRDefault="008B59F4" w:rsidP="008B59F4">
      <w:pPr>
        <w:pStyle w:val="StandardWeb"/>
      </w:pPr>
      <w:r>
        <w:t>[</w:t>
      </w:r>
      <w:r>
        <w:br/>
        <w:t>\mathcal X_F</w:t>
      </w:r>
      <w:r>
        <w:br/>
        <w:t>\neq</w:t>
      </w:r>
      <w:r>
        <w:br/>
        <w:t>\varnothing</w:t>
      </w:r>
      <w:r>
        <w:br/>
        <w:t>\tag{3.13872}</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\mathcal X_F\neq\varnothing</w:t>
      </w:r>
    </w:p>
    <w:p w:rsidR="008B59F4" w:rsidRDefault="008B59F4" w:rsidP="008B59F4">
      <w:pPr>
        <w:pStyle w:val="StandardWeb"/>
      </w:pPr>
      <w:r>
        <w:t>und</w:t>
      </w:r>
    </w:p>
    <w:p w:rsidR="008B59F4" w:rsidRDefault="008B59F4" w:rsidP="008B59F4">
      <w:pPr>
        <w:pStyle w:val="StandardWeb"/>
      </w:pPr>
      <w:r>
        <w:t>[</w:t>
      </w:r>
      <w:r>
        <w:br/>
        <w:t>\Pi_F,</w:t>
      </w:r>
      <w:r>
        <w:br/>
        <w:t>R_F,</w:t>
      </w:r>
      <w:r>
        <w:br/>
        <w:t>q_F</w:t>
      </w:r>
      <w:r>
        <w:br/>
        <w:t>\notin</w:t>
      </w:r>
      <w:r>
        <w:br/>
        <w:t>\mathfrak E_{\mathrm{model}}.</w:t>
      </w:r>
      <w:r>
        <w:br/>
        <w:t>\tag{3.13873}</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\Pi_F,R_F,q_F\notin\mathfrak E_{\mathrm{model}}</w:t>
      </w:r>
    </w:p>
    <w:p w:rsidR="008B59F4" w:rsidRDefault="008B59F4" w:rsidP="008B59F4">
      <w:pPr>
        <w:pStyle w:val="StandardWeb"/>
      </w:pPr>
      <w:r>
        <w:t>Zusätzlich muss keine ausgezeichnete Restriktionsoperation als eigenständiges Theorieobjekt eingeführt werden.</w:t>
      </w:r>
    </w:p>
    <w:p w:rsidR="008B59F4" w:rsidRDefault="008B59F4" w:rsidP="008B59F4">
      <w:r>
        <w:pict>
          <v:rect id="_x0000_i5949" style="width:0;height:1.5pt" o:hralign="center" o:hrstd="t" o:hr="t" fillcolor="#a0a0a0" stroked="f"/>
        </w:pict>
      </w:r>
    </w:p>
    <w:p w:rsidR="008B59F4" w:rsidRDefault="008B59F4" w:rsidP="008B59F4">
      <w:pPr>
        <w:pStyle w:val="berschrift1"/>
      </w:pPr>
      <w:r>
        <w:t>3.3.52.222 Gemeinsame Axiomentscheidung</w:t>
      </w:r>
    </w:p>
    <w:p w:rsidR="008B59F4" w:rsidRDefault="008B59F4" w:rsidP="008B59F4">
      <w:pPr>
        <w:pStyle w:val="StandardWeb"/>
      </w:pPr>
      <w:r>
        <w:t>Damit gilt</w:t>
      </w:r>
    </w:p>
    <w:p w:rsidR="008B59F4" w:rsidRDefault="008B59F4" w:rsidP="008B59F4">
      <w:pPr>
        <w:pStyle w:val="berschrift1"/>
      </w:pPr>
      <w:r>
        <w:lastRenderedPageBreak/>
        <w:t>[</w:t>
      </w:r>
      <w:r>
        <w:br/>
        <w:t>\boxed{</w:t>
      </w:r>
      <w:r>
        <w:br/>
        <w:t>U_{\mathrm{Ax}}</w:t>
      </w:r>
      <w:r>
        <w:br/>
        <w:t>(A_{\mathrm{proj-ex}})</w:t>
      </w:r>
    </w:p>
    <w:p w:rsidR="008B59F4" w:rsidRDefault="008B59F4" w:rsidP="008B59F4">
      <w:pPr>
        <w:pStyle w:val="StandardWeb"/>
      </w:pPr>
      <w:r>
        <w:t>0,</w:t>
      </w:r>
      <w:r>
        <w:br/>
        <w:t>}</w:t>
      </w:r>
      <w:r>
        <w:br/>
        <w:t>\tag{3.13874}</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\boxed{U_{\mathrm{Ax}}(A_{\mathrm{proj-ex}})=0,}</w:t>
      </w:r>
    </w:p>
    <w:p w:rsidR="008B59F4" w:rsidRDefault="008B59F4" w:rsidP="008B59F4">
      <w:pPr>
        <w:pStyle w:val="berschrift1"/>
      </w:pPr>
      <w:r>
        <w:t>[</w:t>
      </w:r>
      <w:r>
        <w:br/>
        <w:t>\boxed{</w:t>
      </w:r>
      <w:r>
        <w:br/>
        <w:t>U_{\mathrm{Ax}}</w:t>
      </w:r>
      <w:r>
        <w:br/>
        <w:t>(A_{\mathrm{restr-ex}})</w:t>
      </w:r>
    </w:p>
    <w:p w:rsidR="008B59F4" w:rsidRDefault="008B59F4" w:rsidP="008B59F4">
      <w:pPr>
        <w:pStyle w:val="StandardWeb"/>
      </w:pPr>
      <w:r>
        <w:t>0,</w:t>
      </w:r>
      <w:r>
        <w:br/>
        <w:t>}</w:t>
      </w:r>
      <w:r>
        <w:br/>
        <w:t>\tag{3.13875}</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\boxed{U_{\mathrm{Ax}}(A_{\mathrm{restr-ex}})=0,}</w:t>
      </w:r>
    </w:p>
    <w:p w:rsidR="008B59F4" w:rsidRDefault="008B59F4" w:rsidP="008B59F4">
      <w:pPr>
        <w:pStyle w:val="berschrift1"/>
      </w:pPr>
      <w:r>
        <w:t>[</w:t>
      </w:r>
      <w:r>
        <w:br/>
        <w:t>\boxed{</w:t>
      </w:r>
      <w:r>
        <w:br/>
        <w:t>U_{\mathrm{Ax}}</w:t>
      </w:r>
      <w:r>
        <w:br/>
        <w:t>(A_{\mathrm{red-ex}})</w:t>
      </w:r>
    </w:p>
    <w:p w:rsidR="008B59F4" w:rsidRDefault="008B59F4" w:rsidP="008B59F4">
      <w:pPr>
        <w:pStyle w:val="StandardWeb"/>
      </w:pPr>
      <w:r>
        <w:t>0,</w:t>
      </w:r>
      <w:r>
        <w:br/>
        <w:t>}</w:t>
      </w:r>
      <w:r>
        <w:br/>
        <w:t>\tag{3.13876}</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\boxed{U_{\mathrm{Ax}}(A_{\mathrm{red-ex}})=0,}</w:t>
      </w:r>
    </w:p>
    <w:p w:rsidR="008B59F4" w:rsidRDefault="008B59F4" w:rsidP="008B59F4">
      <w:pPr>
        <w:pStyle w:val="StandardWeb"/>
      </w:pPr>
      <w:r>
        <w:t>und</w:t>
      </w:r>
    </w:p>
    <w:p w:rsidR="008B59F4" w:rsidRDefault="008B59F4" w:rsidP="008B59F4">
      <w:pPr>
        <w:pStyle w:val="berschrift1"/>
      </w:pPr>
      <w:r>
        <w:lastRenderedPageBreak/>
        <w:t>[</w:t>
      </w:r>
      <w:r>
        <w:br/>
        <w:t>\boxed{</w:t>
      </w:r>
      <w:r>
        <w:br/>
        <w:t>U_{\mathrm{Ax}}</w:t>
      </w:r>
      <w:r>
        <w:br/>
        <w:t>(A_{\mathrm{quot-ex}})</w:t>
      </w:r>
    </w:p>
    <w:p w:rsidR="008B59F4" w:rsidRDefault="008B59F4" w:rsidP="009F7790">
      <w:pPr>
        <w:numPr>
          <w:ilvl w:val="0"/>
          <w:numId w:val="731"/>
        </w:numPr>
        <w:spacing w:before="100" w:beforeAutospacing="1" w:after="100" w:afterAutospacing="1"/>
      </w:pPr>
    </w:p>
    <w:p w:rsidR="008B59F4" w:rsidRDefault="008B59F4" w:rsidP="008B59F4">
      <w:pPr>
        <w:pStyle w:val="StandardWeb"/>
      </w:pPr>
      <w:r>
        <w:t>}</w:t>
      </w:r>
      <w:r>
        <w:br/>
        <w:t>\tag{3.13877}</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\boxed{U_{\mathrm{Ax}}(A_{\mathrm{quot-ex}})=0.}</w:t>
      </w:r>
    </w:p>
    <w:p w:rsidR="008B59F4" w:rsidRDefault="008B59F4" w:rsidP="008B59F4">
      <w:r>
        <w:pict>
          <v:rect id="_x0000_i5950" style="width:0;height:1.5pt" o:hralign="center" o:hrstd="t" o:hr="t" fillcolor="#a0a0a0" stroked="f"/>
        </w:pict>
      </w:r>
    </w:p>
    <w:p w:rsidR="008B59F4" w:rsidRDefault="008B59F4" w:rsidP="008B59F4">
      <w:pPr>
        <w:pStyle w:val="berschrift1"/>
      </w:pPr>
      <w:r>
        <w:t>3.3.52.223 Satz 3.3.249 – Projektion, Restriktion, Reduktion und Quotientierung sind keine Primäraxiome</w:t>
      </w:r>
    </w:p>
    <w:p w:rsidR="008B59F4" w:rsidRDefault="008B59F4" w:rsidP="008B59F4">
      <w:pPr>
        <w:pStyle w:val="berschrift3"/>
      </w:pPr>
      <w:r>
        <w:t>Satz 3.3.249</w:t>
      </w:r>
    </w:p>
    <w:p w:rsidR="008B59F4" w:rsidRDefault="008B59F4" w:rsidP="008B59F4">
      <w:pPr>
        <w:pStyle w:val="StandardWeb"/>
      </w:pPr>
      <w:r>
        <w:t>Die Forderung, jedes zulässige FRZK-Modell müsse mindestens eine Projektions-, Restriktions-, Reduktions- oder Quotientenstruktur besitzen, ist keine universell notwendige Voraussetzung des allgemeinen FRZK.</w:t>
      </w:r>
    </w:p>
    <w:p w:rsidR="008B59F4" w:rsidRDefault="008B59F4" w:rsidP="008B59F4">
      <w:pPr>
        <w:pStyle w:val="StandardWeb"/>
      </w:pPr>
      <w:r>
        <w:t>Formal gilt</w:t>
      </w:r>
    </w:p>
    <w:p w:rsidR="008B59F4" w:rsidRDefault="008B59F4" w:rsidP="008B59F4">
      <w:pPr>
        <w:pStyle w:val="berschrift1"/>
      </w:pPr>
      <w:r>
        <w:t>[</w:t>
      </w:r>
      <w:r>
        <w:br/>
        <w:t>\boxed{</w:t>
      </w:r>
      <w:r>
        <w:br/>
        <w:t>U_{\mathrm{Ax}}</w:t>
      </w:r>
      <w:r>
        <w:br/>
        <w:t>(A_{\mathrm{proj-ex}})</w:t>
      </w:r>
    </w:p>
    <w:p w:rsidR="008B59F4" w:rsidRDefault="008B59F4" w:rsidP="008B59F4">
      <w:pPr>
        <w:pStyle w:val="berschrift1"/>
      </w:pPr>
      <w:r>
        <w:t>U_{\mathrm{Ax}}</w:t>
      </w:r>
      <w:r>
        <w:br/>
        <w:t>(A_{\mathrm{restr-ex}})</w:t>
      </w:r>
    </w:p>
    <w:p w:rsidR="008B59F4" w:rsidRDefault="008B59F4" w:rsidP="008B59F4">
      <w:pPr>
        <w:pStyle w:val="berschrift1"/>
      </w:pPr>
      <w:r>
        <w:t>U_{\mathrm{Ax}}</w:t>
      </w:r>
      <w:r>
        <w:br/>
        <w:t>(A_{\mathrm{red-ex}})</w:t>
      </w:r>
    </w:p>
    <w:p w:rsidR="008B59F4" w:rsidRDefault="008B59F4" w:rsidP="008B59F4">
      <w:pPr>
        <w:pStyle w:val="berschrift1"/>
      </w:pPr>
      <w:r>
        <w:lastRenderedPageBreak/>
        <w:t>U_{\mathrm{Ax}}</w:t>
      </w:r>
      <w:r>
        <w:br/>
        <w:t>(A_{\mathrm{quot-ex}})</w:t>
      </w:r>
    </w:p>
    <w:p w:rsidR="008B59F4" w:rsidRDefault="008B59F4" w:rsidP="009F7790">
      <w:pPr>
        <w:numPr>
          <w:ilvl w:val="0"/>
          <w:numId w:val="732"/>
        </w:numPr>
        <w:spacing w:before="100" w:beforeAutospacing="1" w:after="100" w:afterAutospacing="1"/>
      </w:pPr>
    </w:p>
    <w:p w:rsidR="008B59F4" w:rsidRDefault="008B59F4" w:rsidP="008B59F4">
      <w:pPr>
        <w:pStyle w:val="StandardWeb"/>
      </w:pPr>
      <w:r>
        <w:t>}</w:t>
      </w:r>
      <w:r>
        <w:br/>
        <w:t>\tag{3.13878}</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\boxed{U_{\mathrm{Ax}}(A_{\mathrm{proj-ex}})=U_{\mathrm{Ax}}(A_{\mathrm{restr-ex}})=U_{\mathrm{Ax}}(A_{\mathrm{red-ex}})=U_{\mathrm{Ax}}(A_{\mathrm{quot-ex}})=0.}</w:t>
      </w:r>
    </w:p>
    <w:p w:rsidR="008B59F4" w:rsidRDefault="008B59F4" w:rsidP="008B59F4">
      <w:pPr>
        <w:pStyle w:val="berschrift3"/>
      </w:pPr>
      <w:r>
        <w:t>Beweis</w:t>
      </w:r>
    </w:p>
    <w:p w:rsidR="008B59F4" w:rsidRDefault="008B59F4" w:rsidP="008B59F4">
      <w:pPr>
        <w:pStyle w:val="StandardWeb"/>
      </w:pPr>
      <w:r>
        <w:t>Eine abstrakte FRZK-Modellklasse kann eine nichtleere Objektmenge besitzen,</w:t>
      </w:r>
    </w:p>
    <w:p w:rsidR="008B59F4" w:rsidRDefault="008B59F4" w:rsidP="008B59F4">
      <w:pPr>
        <w:pStyle w:val="StandardWeb"/>
      </w:pPr>
      <w:r>
        <w:t>[</w:t>
      </w:r>
      <w:r>
        <w:br/>
        <w:t>\mathcal X_F</w:t>
      </w:r>
      <w:r>
        <w:br/>
        <w:t>\neq</w:t>
      </w:r>
      <w:r>
        <w:br/>
        <w:t>\varnothing,</w:t>
      </w:r>
      <w:r>
        <w:br/>
        <w:t>\tag{3.13879}</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\mathcal X_F\neq\varnothing</w:t>
      </w:r>
    </w:p>
    <w:p w:rsidR="008B59F4" w:rsidRDefault="008B59F4" w:rsidP="008B59F4">
      <w:pPr>
        <w:pStyle w:val="StandardWeb"/>
      </w:pPr>
      <w:r>
        <w:t>ohne dass Projektion, Reduktion oder Quotientierung als Theorieobjekte eingeführt werden:</w:t>
      </w:r>
    </w:p>
    <w:p w:rsidR="008B59F4" w:rsidRDefault="008B59F4" w:rsidP="008B59F4">
      <w:pPr>
        <w:pStyle w:val="StandardWeb"/>
      </w:pPr>
      <w:r>
        <w:t>[</w:t>
      </w:r>
      <w:r>
        <w:br/>
        <w:t>\Pi_F,</w:t>
      </w:r>
      <w:r>
        <w:br/>
        <w:t>R_F,</w:t>
      </w:r>
      <w:r>
        <w:br/>
        <w:t>q_F</w:t>
      </w:r>
      <w:r>
        <w:br/>
        <w:t>\notin</w:t>
      </w:r>
      <w:r>
        <w:br/>
        <w:t>\mathfrak E_{\mathrm{model}}.</w:t>
      </w:r>
      <w:r>
        <w:br/>
        <w:t>\tag{3.13880}</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\Pi_F,R_F,q_F\notin\mathfrak E_{\mathrm{model}}</w:t>
      </w:r>
    </w:p>
    <w:p w:rsidR="008B59F4" w:rsidRDefault="008B59F4" w:rsidP="008B59F4">
      <w:pPr>
        <w:pStyle w:val="StandardWeb"/>
      </w:pPr>
      <w:r>
        <w:t>Auch eine ausgezeichnete Restriktionsstruktur ist nicht erforderlich. Da die übrige funktionale Grundstruktur dadurch nicht widersprüchlich wird, sind diese Existenzforderungen nicht universell notwendig. (\square)</w:t>
      </w:r>
    </w:p>
    <w:p w:rsidR="008B59F4" w:rsidRDefault="008B59F4" w:rsidP="008B59F4">
      <w:r>
        <w:pict>
          <v:rect id="_x0000_i5951" style="width:0;height:1.5pt" o:hralign="center" o:hrstd="t" o:hr="t" fillcolor="#a0a0a0" stroked="f"/>
        </w:pict>
      </w:r>
    </w:p>
    <w:p w:rsidR="008B59F4" w:rsidRDefault="008B59F4" w:rsidP="008B59F4">
      <w:pPr>
        <w:pStyle w:val="berschrift1"/>
      </w:pPr>
      <w:r>
        <w:lastRenderedPageBreak/>
        <w:t>3.3.52.224 Korollar 3.3.66 – Projektions- und Reduktionsarchitektur ist optional</w:t>
      </w:r>
    </w:p>
    <w:p w:rsidR="008B59F4" w:rsidRDefault="008B59F4" w:rsidP="008B59F4">
      <w:pPr>
        <w:pStyle w:val="berschrift3"/>
      </w:pPr>
      <w:r>
        <w:t>Korollar 3.3.66</w:t>
      </w:r>
    </w:p>
    <w:p w:rsidR="008B59F4" w:rsidRDefault="008B59F4" w:rsidP="008B59F4">
      <w:pPr>
        <w:pStyle w:val="StandardWeb"/>
      </w:pPr>
      <w:r>
        <w:t>Aus Satz 3.3.249 folgt</w:t>
      </w:r>
    </w:p>
    <w:p w:rsidR="008B59F4" w:rsidRDefault="008B59F4" w:rsidP="008B59F4">
      <w:pPr>
        <w:pStyle w:val="StandardWeb"/>
      </w:pPr>
      <w:r>
        <w:t>[</w:t>
      </w:r>
      <w:r>
        <w:br/>
        <w:t>\boxed{</w:t>
      </w:r>
      <w:r>
        <w:br/>
        <w:t>\mathfrak E_{\mathrm{red}}</w:t>
      </w:r>
      <w:r>
        <w:br/>
        <w:t>\subseteq</w:t>
      </w:r>
      <w:r>
        <w:br/>
        <w:t>\mathfrak E_{\mathrm{FRZK}}^{\mathrm{opt}}.</w:t>
      </w:r>
      <w:r>
        <w:br/>
        <w:t>}</w:t>
      </w:r>
      <w:r>
        <w:br/>
        <w:t>\tag{3.13881}</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\boxed{\mathfrak E_{\mathrm{red}}\subseteq\mathfrak E_{\mathrm{FRZK}}^{\mathrm{opt}}.}</w:t>
      </w:r>
    </w:p>
    <w:p w:rsidR="008B59F4" w:rsidRDefault="008B59F4" w:rsidP="008B59F4">
      <w:r>
        <w:pict>
          <v:rect id="_x0000_i5952" style="width:0;height:1.5pt" o:hralign="center" o:hrstd="t" o:hr="t" fillcolor="#a0a0a0" stroked="f"/>
        </w:pict>
      </w:r>
    </w:p>
    <w:p w:rsidR="008B59F4" w:rsidRDefault="008B59F4" w:rsidP="008B59F4">
      <w:pPr>
        <w:pStyle w:val="berschrift1"/>
      </w:pPr>
      <w:r>
        <w:t>3.3.52.225 Erweiterte Primäraxiomkandidatenmenge</w:t>
      </w:r>
    </w:p>
    <w:p w:rsidR="008B59F4" w:rsidRDefault="008B59F4" w:rsidP="008B59F4">
      <w:pPr>
        <w:pStyle w:val="StandardWeb"/>
      </w:pPr>
      <w:r>
        <w:t>Die Kandidatenmenge erweitert sich zu</w:t>
      </w:r>
    </w:p>
    <w:p w:rsidR="008B59F4" w:rsidRDefault="008B59F4" w:rsidP="008B59F4">
      <w:pPr>
        <w:pStyle w:val="berschrift1"/>
      </w:pPr>
      <w:r>
        <w:t>[</w:t>
      </w:r>
      <w:r>
        <w:br/>
        <w:t>\mathcal A_{\mathrm{red}}^{\mathrm{cand},3}</w:t>
      </w:r>
    </w:p>
    <w:p w:rsidR="008B59F4" w:rsidRDefault="008B59F4" w:rsidP="008B59F4">
      <w:pPr>
        <w:pStyle w:val="StandardWeb"/>
      </w:pPr>
      <w:r>
        <w:t>\mathcal A_{\mathrm{red}}^{\mathrm{cand},2}</w:t>
      </w:r>
      <w:r>
        <w:br/>
        <w:t>\cup</w:t>
      </w:r>
      <w:r>
        <w:br/>
        <w:t>{</w:t>
      </w:r>
      <w:r>
        <w:br/>
        <w:t>A_{\mathrm{red-max}},</w:t>
      </w:r>
      <w:r>
        <w:br/>
        <w:t>A_{\mathrm{red-stab}},</w:t>
      </w:r>
      <w:r>
        <w:br/>
        <w:t>A_{\mathrm{red-time}},</w:t>
      </w:r>
      <w:r>
        <w:br/>
        <w:t>A_{\mathrm{red-det}},</w:t>
      </w:r>
      <w:r>
        <w:br/>
        <w:t>A_{\mathrm{red-rel}},</w:t>
      </w:r>
      <w:r>
        <w:br/>
        <w:t>A_{\mathrm{red-coh}},</w:t>
      </w:r>
      <w:r>
        <w:br/>
        <w:t>A_{\mathrm{proj-dyn}},</w:t>
      </w:r>
      <w:r>
        <w:br/>
        <w:t>A_{\mathrm{proj-ex}},</w:t>
      </w:r>
      <w:r>
        <w:br/>
        <w:t>A_{\mathrm{restr-ex}},</w:t>
      </w:r>
      <w:r>
        <w:br/>
        <w:t>A_{\mathrm{red-ex}}</w:t>
      </w:r>
      <w:r>
        <w:br/>
        <w:t>}.</w:t>
      </w:r>
      <w:r>
        <w:br/>
        <w:t>\tag{3.13882}</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lastRenderedPageBreak/>
        <w:t>\mathcal A_{\mathrm{red}}^{\mathrm{cand},3}=\mathcal A_{\mathrm{red}}^{\mathrm{cand},2}\cup\{A_{\mathrm{red-max}},A_{\mathrm{red-stab}},A_{\mathrm{red-time}},A_{\mathrm{red-det}},A_{\mathrm{red-rel}},A_{\mathrm{red-coh}},A_{\mathrm{proj-dyn}},A_{\mathrm{proj-ex}},A_{\mathrm{restr-ex}},A_{\mathrm{red-ex}}\}</w:t>
      </w:r>
    </w:p>
    <w:p w:rsidR="008B59F4" w:rsidRDefault="008B59F4" w:rsidP="008B59F4">
      <w:pPr>
        <w:pStyle w:val="StandardWeb"/>
      </w:pPr>
      <w:r>
        <w:t>Für sämtliche geprüften Kandidaten gilt</w:t>
      </w:r>
    </w:p>
    <w:p w:rsidR="008B59F4" w:rsidRDefault="008B59F4" w:rsidP="008B59F4">
      <w:pPr>
        <w:pStyle w:val="berschrift1"/>
      </w:pPr>
      <w:r>
        <w:t>[</w:t>
      </w:r>
      <w:r>
        <w:br/>
        <w:t>\boxed{</w:t>
      </w:r>
      <w:r>
        <w:br/>
        <w:t>U_{\mathrm{Ax}}(A)</w:t>
      </w:r>
    </w:p>
    <w:p w:rsidR="008B59F4" w:rsidRDefault="008B59F4" w:rsidP="008B59F4">
      <w:pPr>
        <w:pStyle w:val="StandardWeb"/>
      </w:pPr>
      <w:r>
        <w:t>0</w:t>
      </w:r>
      <w:r>
        <w:br/>
        <w:t>\qquad</w:t>
      </w:r>
      <w:r>
        <w:br/>
        <w:t>\forall</w:t>
      </w:r>
      <w:r>
        <w:br/>
        <w:t>A</w:t>
      </w:r>
      <w:r>
        <w:br/>
        <w:t>\in</w:t>
      </w:r>
      <w:r>
        <w:br/>
        <w:t>\mathcal A_{\mathrm{red}}^{\mathrm{cand},3}.</w:t>
      </w:r>
      <w:r>
        <w:br/>
        <w:t>}</w:t>
      </w:r>
      <w:r>
        <w:br/>
        <w:t>\tag{3.13883}</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\boxed{U_{\mathrm{Ax}}(A)=0\qquad\forall A\in\mathcal A_{\mathrm{red}}^{\mathrm{cand},3}.}</w:t>
      </w:r>
    </w:p>
    <w:p w:rsidR="008B59F4" w:rsidRDefault="008B59F4" w:rsidP="008B59F4">
      <w:r>
        <w:pict>
          <v:rect id="_x0000_i5953" style="width:0;height:1.5pt" o:hralign="center" o:hrstd="t" o:hr="t" fillcolor="#a0a0a0" stroked="f"/>
        </w:pict>
      </w:r>
    </w:p>
    <w:p w:rsidR="008B59F4" w:rsidRDefault="008B59F4" w:rsidP="008B59F4">
      <w:pPr>
        <w:pStyle w:val="berschrift1"/>
      </w:pPr>
      <w:r>
        <w:t>3.3.52.226 Satz 3.3.250 – Abschnitt 3.3.52 erzeugt kein neues Primäraxiom</w:t>
      </w:r>
    </w:p>
    <w:p w:rsidR="008B59F4" w:rsidRDefault="008B59F4" w:rsidP="008B59F4">
      <w:pPr>
        <w:pStyle w:val="berschrift3"/>
      </w:pPr>
      <w:r>
        <w:t>Satz 3.3.250</w:t>
      </w:r>
    </w:p>
    <w:p w:rsidR="008B59F4" w:rsidRDefault="008B59F4" w:rsidP="008B59F4">
      <w:pPr>
        <w:pStyle w:val="StandardWeb"/>
      </w:pPr>
      <w:r>
        <w:t>Keine der in Abschnitt 3.3.52 eingeführten Projektions-, Restriktions-, Reduktions-, Quotienten-, Fehler-, Hierarchie-, Zeit-, Übergangs-, Kohärenz- oder Relationsstrukturen ist für die minimale Existenz des allgemeinen FRZK universell notwendig.</w:t>
      </w:r>
    </w:p>
    <w:p w:rsidR="008B59F4" w:rsidRDefault="008B59F4" w:rsidP="008B59F4">
      <w:pPr>
        <w:pStyle w:val="StandardWeb"/>
      </w:pPr>
      <w:r>
        <w:t>Formal gilt</w:t>
      </w:r>
    </w:p>
    <w:p w:rsidR="008B59F4" w:rsidRDefault="008B59F4" w:rsidP="008B59F4">
      <w:pPr>
        <w:pStyle w:val="berschrift1"/>
      </w:pPr>
      <w:r>
        <w:t>[</w:t>
      </w:r>
      <w:r>
        <w:br/>
        <w:t>\boxed{</w:t>
      </w:r>
      <w:r>
        <w:br/>
        <w:t>\mathcal A_{3.3.52}^{\mathrm{new}}</w:t>
      </w:r>
    </w:p>
    <w:p w:rsidR="008B59F4" w:rsidRDefault="008B59F4" w:rsidP="008B59F4">
      <w:pPr>
        <w:pStyle w:val="StandardWeb"/>
      </w:pPr>
      <w:r>
        <w:t>\varnothing.</w:t>
      </w:r>
      <w:r>
        <w:br/>
        <w:t>}</w:t>
      </w:r>
      <w:r>
        <w:br/>
      </w:r>
      <w:r>
        <w:lastRenderedPageBreak/>
        <w:t>\tag{3.13884}</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\boxed{\mathcal A_{3.3.52}^{\mathrm{new}}=\varnothing.}</w:t>
      </w:r>
    </w:p>
    <w:p w:rsidR="008B59F4" w:rsidRDefault="008B59F4" w:rsidP="008B59F4">
      <w:pPr>
        <w:pStyle w:val="berschrift3"/>
      </w:pPr>
      <w:r>
        <w:t>Beweis</w:t>
      </w:r>
    </w:p>
    <w:p w:rsidR="008B59F4" w:rsidRDefault="008B59F4" w:rsidP="008B59F4">
      <w:pPr>
        <w:pStyle w:val="StandardWeb"/>
      </w:pPr>
      <w:r>
        <w:t>Für sämtliche geprüften Kandidaten gilt</w:t>
      </w:r>
    </w:p>
    <w:p w:rsidR="008B59F4" w:rsidRDefault="008B59F4" w:rsidP="008B59F4">
      <w:pPr>
        <w:pStyle w:val="berschrift1"/>
      </w:pPr>
      <w:r>
        <w:t>[</w:t>
      </w:r>
      <w:r>
        <w:br/>
        <w:t>U_{\mathrm{Ax}}(A)</w:t>
      </w:r>
    </w:p>
    <w:p w:rsidR="008B59F4" w:rsidRDefault="008B59F4" w:rsidP="009F7790">
      <w:pPr>
        <w:numPr>
          <w:ilvl w:val="0"/>
          <w:numId w:val="733"/>
        </w:numPr>
        <w:spacing w:before="100" w:beforeAutospacing="1" w:after="100" w:afterAutospacing="1"/>
      </w:pPr>
    </w:p>
    <w:p w:rsidR="008B59F4" w:rsidRDefault="008B59F4" w:rsidP="008B59F4">
      <w:pPr>
        <w:pStyle w:val="StandardWeb"/>
      </w:pPr>
      <w:r>
        <w:t>\tag{3.13885}</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U_{\mathrm{Ax}}(A)=0</w:t>
      </w:r>
    </w:p>
    <w:p w:rsidR="008B59F4" w:rsidRDefault="008B59F4" w:rsidP="008B59F4">
      <w:pPr>
        <w:pStyle w:val="StandardWeb"/>
      </w:pPr>
      <w:r>
        <w:t>Insbesondere wurden auch die Existenzforderungen</w:t>
      </w:r>
    </w:p>
    <w:p w:rsidR="008B59F4" w:rsidRDefault="008B59F4" w:rsidP="008B59F4">
      <w:pPr>
        <w:pStyle w:val="StandardWeb"/>
      </w:pPr>
      <w:r>
        <w:t>[</w:t>
      </w:r>
      <w:r>
        <w:br/>
        <w:t>A_{\mathrm{proj-ex}},</w:t>
      </w:r>
      <w:r>
        <w:br/>
        <w:t>\quad</w:t>
      </w:r>
      <w:r>
        <w:br/>
        <w:t>A_{\mathrm{restr-ex}},</w:t>
      </w:r>
      <w:r>
        <w:br/>
        <w:t>\quad</w:t>
      </w:r>
      <w:r>
        <w:br/>
        <w:t>A_{\mathrm{red-ex}},</w:t>
      </w:r>
      <w:r>
        <w:br/>
        <w:t>\quad</w:t>
      </w:r>
      <w:r>
        <w:br/>
        <w:t>A_{\mathrm{quot-ex}}</w:t>
      </w:r>
      <w:r>
        <w:br/>
        <w:t>\tag{3.13886}</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A_{\mathrm{proj-ex}},\quad A_{\mathrm{restr-ex}},\quad A_{\mathrm{red-ex}},\quad A_{\mathrm{quot-ex}}</w:t>
      </w:r>
    </w:p>
    <w:p w:rsidR="008B59F4" w:rsidRDefault="008B59F4" w:rsidP="008B59F4">
      <w:pPr>
        <w:pStyle w:val="StandardWeb"/>
      </w:pPr>
      <w:r>
        <w:t>verworfen.</w:t>
      </w:r>
    </w:p>
    <w:p w:rsidR="008B59F4" w:rsidRDefault="008B59F4" w:rsidP="008B59F4">
      <w:pPr>
        <w:pStyle w:val="StandardWeb"/>
      </w:pPr>
      <w:r>
        <w:t>Daher gilt</w:t>
      </w:r>
    </w:p>
    <w:p w:rsidR="008B59F4" w:rsidRDefault="008B59F4" w:rsidP="008B59F4">
      <w:pPr>
        <w:pStyle w:val="berschrift1"/>
      </w:pPr>
      <w:r>
        <w:t>[</w:t>
      </w:r>
      <w:r>
        <w:br/>
        <w:t>\forall</w:t>
      </w:r>
      <w:r>
        <w:br/>
        <w:t>A</w:t>
      </w:r>
      <w:r>
        <w:br/>
      </w:r>
      <w:r>
        <w:lastRenderedPageBreak/>
        <w:t>\in</w:t>
      </w:r>
      <w:r>
        <w:br/>
        <w:t>\mathcal A_{\mathrm{red}}^{\mathrm{cand},3}</w:t>
      </w:r>
      <w:r>
        <w:br/>
        <w:t>:</w:t>
      </w:r>
      <w:r>
        <w:br/>
        <w:t>U_{\mathrm{Ax}}(A)</w:t>
      </w:r>
    </w:p>
    <w:p w:rsidR="008B59F4" w:rsidRDefault="008B59F4" w:rsidP="009F7790">
      <w:pPr>
        <w:numPr>
          <w:ilvl w:val="0"/>
          <w:numId w:val="734"/>
        </w:numPr>
        <w:spacing w:before="100" w:beforeAutospacing="1" w:after="100" w:afterAutospacing="1"/>
      </w:pPr>
    </w:p>
    <w:p w:rsidR="008B59F4" w:rsidRDefault="008B59F4" w:rsidP="008B59F4">
      <w:pPr>
        <w:pStyle w:val="StandardWeb"/>
      </w:pPr>
      <w:r>
        <w:t>\tag{3.13887}</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\forall A\in\mathcal A_{\mathrm{red}}^{\mathrm{cand},3}:U_{\mathrm{Ax}}(A)=0</w:t>
      </w:r>
    </w:p>
    <w:p w:rsidR="008B59F4" w:rsidRDefault="008B59F4" w:rsidP="008B59F4">
      <w:pPr>
        <w:pStyle w:val="StandardWeb"/>
      </w:pPr>
      <w:r>
        <w:t>Somit folgt</w:t>
      </w:r>
    </w:p>
    <w:p w:rsidR="008B59F4" w:rsidRDefault="008B59F4" w:rsidP="008B59F4">
      <w:pPr>
        <w:pStyle w:val="berschrift1"/>
      </w:pPr>
      <w:r>
        <w:t>[</w:t>
      </w:r>
      <w:r>
        <w:br/>
        <w:t>\mathcal A_{3.3.52}^{\mathrm{new}}</w:t>
      </w:r>
    </w:p>
    <w:p w:rsidR="008B59F4" w:rsidRDefault="008B59F4" w:rsidP="008B59F4">
      <w:pPr>
        <w:pStyle w:val="StandardWeb"/>
      </w:pPr>
      <w:r>
        <w:t>\varnothing.</w:t>
      </w:r>
      <w:r>
        <w:br/>
        <w:t>\tag{3.13888}</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\mathcal A_{3.3.52}^{\mathrm{new}}=\varnothing</w:t>
      </w:r>
    </w:p>
    <w:p w:rsidR="008B59F4" w:rsidRDefault="008B59F4" w:rsidP="008B59F4">
      <w:pPr>
        <w:pStyle w:val="StandardWeb"/>
      </w:pPr>
      <w:r>
        <w:t>(\square)</w:t>
      </w:r>
    </w:p>
    <w:p w:rsidR="008B59F4" w:rsidRDefault="008B59F4" w:rsidP="008B59F4">
      <w:r>
        <w:pict>
          <v:rect id="_x0000_i5954" style="width:0;height:1.5pt" o:hralign="center" o:hrstd="t" o:hr="t" fillcolor="#a0a0a0" stroked="f"/>
        </w:pict>
      </w:r>
    </w:p>
    <w:p w:rsidR="008B59F4" w:rsidRDefault="008B59F4" w:rsidP="008B59F4">
      <w:pPr>
        <w:pStyle w:val="berschrift1"/>
      </w:pPr>
      <w:r>
        <w:t>3.3.52.227 Korollar 3.3.67 – Der FRZK-Primäraxiomkern bleibt unverändert</w:t>
      </w:r>
    </w:p>
    <w:p w:rsidR="008B59F4" w:rsidRDefault="008B59F4" w:rsidP="008B59F4">
      <w:pPr>
        <w:pStyle w:val="berschrift3"/>
      </w:pPr>
      <w:r>
        <w:t>Korollar 3.3.67</w:t>
      </w:r>
    </w:p>
    <w:p w:rsidR="008B59F4" w:rsidRDefault="008B59F4" w:rsidP="008B59F4">
      <w:pPr>
        <w:pStyle w:val="StandardWeb"/>
      </w:pPr>
      <w:r>
        <w:t>Aus Satz 3.3.250 folgt</w:t>
      </w:r>
    </w:p>
    <w:p w:rsidR="008B59F4" w:rsidRDefault="008B59F4" w:rsidP="008B59F4">
      <w:pPr>
        <w:pStyle w:val="berschrift1"/>
      </w:pPr>
      <w:r>
        <w:t>[</w:t>
      </w:r>
      <w:r>
        <w:br/>
        <w:t>\boxed{</w:t>
      </w:r>
      <w:r>
        <w:br/>
        <w:t>\mathcal A_{\mathrm{FRZK}}^{\mathrm{nach},3.3.52}</w:t>
      </w:r>
    </w:p>
    <w:p w:rsidR="008B59F4" w:rsidRDefault="008B59F4" w:rsidP="008B59F4">
      <w:pPr>
        <w:pStyle w:val="StandardWeb"/>
      </w:pPr>
      <w:r>
        <w:lastRenderedPageBreak/>
        <w:t>\mathcal A_{\mathrm{FRZK}}^{\mathrm{vor},3.3.52}.</w:t>
      </w:r>
      <w:r>
        <w:br/>
        <w:t>}</w:t>
      </w:r>
      <w:r>
        <w:br/>
        <w:t>\tag{3.13889}</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\boxed{\mathcal A_{\mathrm{FRZK}}^{\mathrm{nach}\,3.3.52}=\mathcal A_{\mathrm{FRZK}}^{\mathrm{vor}\,3.3.52}.}</w:t>
      </w:r>
    </w:p>
    <w:p w:rsidR="008B59F4" w:rsidRDefault="008B59F4" w:rsidP="008B59F4">
      <w:r>
        <w:pict>
          <v:rect id="_x0000_i5955" style="width:0;height:1.5pt" o:hralign="center" o:hrstd="t" o:hr="t" fillcolor="#a0a0a0" stroked="f"/>
        </w:pict>
      </w:r>
    </w:p>
    <w:p w:rsidR="008B59F4" w:rsidRDefault="008B59F4" w:rsidP="008B59F4">
      <w:pPr>
        <w:pStyle w:val="berschrift1"/>
      </w:pPr>
      <w:r>
        <w:t>3.3.52.228 Status der Projektion</w:t>
      </w:r>
    </w:p>
    <w:p w:rsidR="008B59F4" w:rsidRDefault="008B59F4" w:rsidP="008B59F4">
      <w:pPr>
        <w:pStyle w:val="StandardWeb"/>
      </w:pPr>
      <w:r>
        <w:t>Für die funktionale Projektion gilt</w:t>
      </w:r>
    </w:p>
    <w:p w:rsidR="008B59F4" w:rsidRDefault="008B59F4" w:rsidP="008B59F4">
      <w:pPr>
        <w:pStyle w:val="berschrift1"/>
      </w:pPr>
      <w:r>
        <w:t>[</w:t>
      </w:r>
      <w:r>
        <w:br/>
        <w:t>\operatorname{Stat}</w:t>
      </w:r>
      <w:r>
        <w:br/>
        <w:t>(\Pi_F)</w:t>
      </w:r>
    </w:p>
    <w:p w:rsidR="008B59F4" w:rsidRDefault="008B59F4" w:rsidP="008B59F4">
      <w:pPr>
        <w:pStyle w:val="StandardWeb"/>
      </w:pPr>
      <w:r>
        <w:t>\mathrm{Def/Mod/Op}.</w:t>
      </w:r>
      <w:r>
        <w:br/>
        <w:t>\tag{3.13890}</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\operatorname{Stat}(\Pi_F)=\mathrm{Def/Mod/Op}</w:t>
      </w:r>
    </w:p>
    <w:p w:rsidR="008B59F4" w:rsidRDefault="008B59F4" w:rsidP="008B59F4">
      <w:r>
        <w:pict>
          <v:rect id="_x0000_i5956" style="width:0;height:1.5pt" o:hralign="center" o:hrstd="t" o:hr="t" fillcolor="#a0a0a0" stroked="f"/>
        </w:pict>
      </w:r>
    </w:p>
    <w:p w:rsidR="008B59F4" w:rsidRDefault="008B59F4" w:rsidP="008B59F4">
      <w:pPr>
        <w:pStyle w:val="berschrift1"/>
      </w:pPr>
      <w:r>
        <w:t>3.3.52.229 Status der Restriktion</w:t>
      </w:r>
    </w:p>
    <w:p w:rsidR="008B59F4" w:rsidRDefault="008B59F4" w:rsidP="008B59F4">
      <w:pPr>
        <w:pStyle w:val="StandardWeb"/>
      </w:pPr>
      <w:r>
        <w:t>Für die funktionale Restriktion gilt</w:t>
      </w:r>
    </w:p>
    <w:p w:rsidR="008B59F4" w:rsidRDefault="008B59F4" w:rsidP="008B59F4">
      <w:pPr>
        <w:pStyle w:val="berschrift1"/>
      </w:pPr>
      <w:r>
        <w:t>[</w:t>
      </w:r>
      <w:r>
        <w:br/>
        <w:t>\operatorname{Stat}</w:t>
      </w:r>
      <w:r>
        <w:br/>
        <w:t>(F|_{\mathcal X_F'})</w:t>
      </w:r>
    </w:p>
    <w:p w:rsidR="008B59F4" w:rsidRDefault="008B59F4" w:rsidP="008B59F4">
      <w:pPr>
        <w:pStyle w:val="StandardWeb"/>
      </w:pPr>
      <w:r>
        <w:t>\mathrm{Def/Mod/Op}.</w:t>
      </w:r>
      <w:r>
        <w:br/>
        <w:t>\tag{3.13891}</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\operatorname{Stat}(F|_{\mathcal X_F'})=\mathrm{Def/Mod/Op}</w:t>
      </w:r>
    </w:p>
    <w:p w:rsidR="008B59F4" w:rsidRDefault="008B59F4" w:rsidP="008B59F4">
      <w:r>
        <w:pict>
          <v:rect id="_x0000_i5957" style="width:0;height:1.5pt" o:hralign="center" o:hrstd="t" o:hr="t" fillcolor="#a0a0a0" stroked="f"/>
        </w:pict>
      </w:r>
    </w:p>
    <w:p w:rsidR="008B59F4" w:rsidRDefault="008B59F4" w:rsidP="008B59F4">
      <w:pPr>
        <w:pStyle w:val="berschrift1"/>
      </w:pPr>
      <w:r>
        <w:lastRenderedPageBreak/>
        <w:t>3.3.52.230 Status der Reduktion</w:t>
      </w:r>
    </w:p>
    <w:p w:rsidR="008B59F4" w:rsidRDefault="008B59F4" w:rsidP="008B59F4">
      <w:pPr>
        <w:pStyle w:val="StandardWeb"/>
      </w:pPr>
      <w:r>
        <w:t>Für die funktionale Reduktion gilt</w:t>
      </w:r>
    </w:p>
    <w:p w:rsidR="008B59F4" w:rsidRDefault="008B59F4" w:rsidP="008B59F4">
      <w:pPr>
        <w:pStyle w:val="berschrift1"/>
      </w:pPr>
      <w:r>
        <w:t>[</w:t>
      </w:r>
      <w:r>
        <w:br/>
        <w:t>\operatorname{Stat}</w:t>
      </w:r>
      <w:r>
        <w:br/>
        <w:t>(R_F)</w:t>
      </w:r>
    </w:p>
    <w:p w:rsidR="008B59F4" w:rsidRDefault="008B59F4" w:rsidP="008B59F4">
      <w:pPr>
        <w:pStyle w:val="StandardWeb"/>
      </w:pPr>
      <w:r>
        <w:t>\mathrm{Def/Mod/Op}.</w:t>
      </w:r>
      <w:r>
        <w:br/>
        <w:t>\tag{3.13892}</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\operatorname{Stat}(R_F)=\mathrm{Def/Mod/Op}</w:t>
      </w:r>
    </w:p>
    <w:p w:rsidR="008B59F4" w:rsidRDefault="008B59F4" w:rsidP="008B59F4">
      <w:r>
        <w:pict>
          <v:rect id="_x0000_i5958" style="width:0;height:1.5pt" o:hralign="center" o:hrstd="t" o:hr="t" fillcolor="#a0a0a0" stroked="f"/>
        </w:pict>
      </w:r>
    </w:p>
    <w:p w:rsidR="008B59F4" w:rsidRDefault="008B59F4" w:rsidP="008B59F4">
      <w:pPr>
        <w:pStyle w:val="berschrift1"/>
      </w:pPr>
      <w:r>
        <w:t>3.3.52.231 Status der Quotientierung</w:t>
      </w:r>
    </w:p>
    <w:p w:rsidR="008B59F4" w:rsidRDefault="008B59F4" w:rsidP="008B59F4">
      <w:pPr>
        <w:pStyle w:val="StandardWeb"/>
      </w:pPr>
      <w:r>
        <w:t>Für die Quotientenabbildung gilt</w:t>
      </w:r>
    </w:p>
    <w:p w:rsidR="008B59F4" w:rsidRDefault="008B59F4" w:rsidP="008B59F4">
      <w:pPr>
        <w:pStyle w:val="berschrift1"/>
      </w:pPr>
      <w:r>
        <w:t>[</w:t>
      </w:r>
      <w:r>
        <w:br/>
        <w:t>\operatorname{Stat}</w:t>
      </w:r>
      <w:r>
        <w:br/>
        <w:t>(q_F)</w:t>
      </w:r>
    </w:p>
    <w:p w:rsidR="008B59F4" w:rsidRDefault="008B59F4" w:rsidP="008B59F4">
      <w:pPr>
        <w:pStyle w:val="StandardWeb"/>
      </w:pPr>
      <w:r>
        <w:t>\mathrm{Def/Mod/Op}.</w:t>
      </w:r>
      <w:r>
        <w:br/>
        <w:t>\tag{3.13893}</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\operatorname{Stat}(q_F)=\mathrm{Def/Mod/Op}</w:t>
      </w:r>
    </w:p>
    <w:p w:rsidR="008B59F4" w:rsidRDefault="008B59F4" w:rsidP="008B59F4">
      <w:r>
        <w:pict>
          <v:rect id="_x0000_i5959" style="width:0;height:1.5pt" o:hralign="center" o:hrstd="t" o:hr="t" fillcolor="#a0a0a0" stroked="f"/>
        </w:pict>
      </w:r>
    </w:p>
    <w:p w:rsidR="008B59F4" w:rsidRDefault="008B59F4" w:rsidP="008B59F4">
      <w:pPr>
        <w:pStyle w:val="berschrift1"/>
      </w:pPr>
      <w:r>
        <w:t>3.3.52.232 Definition 3.3.625 – Endgültige Statusabbildung von Abschnitt 3.3.52</w:t>
      </w:r>
    </w:p>
    <w:p w:rsidR="008B59F4" w:rsidRDefault="008B59F4" w:rsidP="008B59F4">
      <w:pPr>
        <w:pStyle w:val="berschrift3"/>
      </w:pPr>
      <w:r>
        <w:t>Definition 3.3.625</w:t>
      </w:r>
    </w:p>
    <w:p w:rsidR="008B59F4" w:rsidRDefault="008B59F4" w:rsidP="008B59F4">
      <w:pPr>
        <w:pStyle w:val="StandardWeb"/>
      </w:pPr>
      <w:r>
        <w:t>Die endgültige Statusabbildung des Abschnitts ist</w:t>
      </w:r>
    </w:p>
    <w:p w:rsidR="008B59F4" w:rsidRDefault="008B59F4" w:rsidP="008B59F4">
      <w:pPr>
        <w:pStyle w:val="StandardWeb"/>
      </w:pPr>
      <w:r>
        <w:t>[</w:t>
      </w:r>
      <w:r>
        <w:br/>
        <w:t>\boxed{</w:t>
      </w:r>
      <w:r>
        <w:br/>
        <w:t>\mathfrak M_{3.3.52}</w:t>
      </w:r>
      <w:r>
        <w:br/>
      </w:r>
      <w:r>
        <w:lastRenderedPageBreak/>
        <w:t>:</w:t>
      </w:r>
      <w:r>
        <w:br/>
        <w:t>\mathcal O_{3.3.52}</w:t>
      </w:r>
      <w:r>
        <w:br/>
        <w:t>\rightarrow</w:t>
      </w:r>
      <w:r>
        <w:br/>
        <w:t>\mathcal P</w:t>
      </w:r>
      <w:r>
        <w:br/>
        <w:t>\left(</w:t>
      </w:r>
      <w:r>
        <w:br/>
        <w:t>{</w:t>
      </w:r>
      <w:r>
        <w:br/>
        <w:t>\mathrm{Def},</w:t>
      </w:r>
      <w:r>
        <w:br/>
        <w:t>\mathrm{Der},</w:t>
      </w:r>
      <w:r>
        <w:br/>
        <w:t>\mathrm{Mod},</w:t>
      </w:r>
      <w:r>
        <w:br/>
        <w:t>\mathrm{Op},</w:t>
      </w:r>
      <w:r>
        <w:br/>
        <w:t>\mathrm{Ax}</w:t>
      </w:r>
      <w:r>
        <w:br/>
        <w:t>}</w:t>
      </w:r>
      <w:r>
        <w:br/>
        <w:t>\right).</w:t>
      </w:r>
      <w:r>
        <w:br/>
        <w:t>}</w:t>
      </w:r>
      <w:r>
        <w:br/>
        <w:t>\tag{3.13894}</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\boxed{\mathfrak M_{3.3.52}:\mathcal O_{3.3.52}\rightarrow\mathcal P\left(\{\mathrm{Def},\mathrm{Der},\mathrm{Mod},\mathrm{Op},\mathrm{Ax}\}\right).}</w:t>
      </w:r>
    </w:p>
    <w:p w:rsidR="008B59F4" w:rsidRDefault="008B59F4" w:rsidP="008B59F4">
      <w:pPr>
        <w:pStyle w:val="StandardWeb"/>
      </w:pPr>
      <w:r>
        <w:t>Für keine der in diesem Abschnitt neu eingeführten Strukturen wird aufgrund universeller Notwendigkeit der Status (\mathrm{Ax}) vergeben.</w:t>
      </w:r>
    </w:p>
    <w:p w:rsidR="008B59F4" w:rsidRDefault="008B59F4" w:rsidP="008B59F4">
      <w:r>
        <w:pict>
          <v:rect id="_x0000_i5960" style="width:0;height:1.5pt" o:hralign="center" o:hrstd="t" o:hr="t" fillcolor="#a0a0a0" stroked="f"/>
        </w:pict>
      </w:r>
    </w:p>
    <w:p w:rsidR="008B59F4" w:rsidRDefault="008B59F4" w:rsidP="008B59F4">
      <w:pPr>
        <w:pStyle w:val="berschrift1"/>
      </w:pPr>
      <w:r>
        <w:t>3.3.52.233 Gesamtklassifikation der Reduktionsarchitektur</w:t>
      </w:r>
    </w:p>
    <w:p w:rsidR="008B59F4" w:rsidRDefault="008B59F4" w:rsidP="008B59F4">
      <w:pPr>
        <w:pStyle w:val="StandardWeb"/>
      </w:pPr>
      <w:r>
        <w:t>Ich fasse die Struktur zusammen als</w:t>
      </w:r>
    </w:p>
    <w:p w:rsidR="008B59F4" w:rsidRDefault="008B59F4" w:rsidP="008B59F4">
      <w:pPr>
        <w:pStyle w:val="berschrift1"/>
      </w:pPr>
      <w:r>
        <w:t>[</w:t>
      </w:r>
      <w:r>
        <w:br/>
        <w:t>\mathfrak C_{3.3.52}</w:t>
      </w:r>
    </w:p>
    <w:p w:rsidR="008B59F4" w:rsidRDefault="008B59F4" w:rsidP="008B59F4">
      <w:pPr>
        <w:pStyle w:val="StandardWeb"/>
      </w:pPr>
      <w:r>
        <w:t>\left(</w:t>
      </w:r>
      <w:r>
        <w:br/>
        <w:t>\mathfrak D_{\mathrm{red}},</w:t>
      </w:r>
      <w:r>
        <w:br/>
        <w:t>\mathfrak R_{\mathrm{red}},</w:t>
      </w:r>
      <w:r>
        <w:br/>
        <w:t>\mathfrak M_{\mathrm{red}},</w:t>
      </w:r>
      <w:r>
        <w:br/>
        <w:t>\mathfrak O_{\mathrm{red}}</w:t>
      </w:r>
      <w:r>
        <w:br/>
        <w:t>\right).</w:t>
      </w:r>
      <w:r>
        <w:br/>
        <w:t>\tag{3.13895}</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\mathfrak C_{3.3.52}=\left(\mathfrak D_{\mathrm{red}},\mathfrak R_{\mathrm{red}},\mathfrak M_{\mathrm{red}},\mathfrak O_{\mathrm{red}}\right)</w:t>
      </w:r>
    </w:p>
    <w:p w:rsidR="008B59F4" w:rsidRDefault="008B59F4" w:rsidP="008B59F4">
      <w:r>
        <w:lastRenderedPageBreak/>
        <w:pict>
          <v:rect id="_x0000_i5961" style="width:0;height:1.5pt" o:hralign="center" o:hrstd="t" o:hr="t" fillcolor="#a0a0a0" stroked="f"/>
        </w:pict>
      </w:r>
    </w:p>
    <w:p w:rsidR="008B59F4" w:rsidRDefault="008B59F4" w:rsidP="008B59F4">
      <w:pPr>
        <w:pStyle w:val="berschrift1"/>
      </w:pPr>
      <w:r>
        <w:t>3.3.52.234 Definition 3.3.626 – Gesamtklassifikation der Projektions-, Restriktions-, Reduktions- und Quotientenarchitektur</w:t>
      </w:r>
    </w:p>
    <w:p w:rsidR="008B59F4" w:rsidRDefault="008B59F4" w:rsidP="008B59F4">
      <w:pPr>
        <w:pStyle w:val="berschrift3"/>
      </w:pPr>
      <w:r>
        <w:t>Definition 3.3.626</w:t>
      </w:r>
    </w:p>
    <w:p w:rsidR="008B59F4" w:rsidRDefault="008B59F4" w:rsidP="008B59F4">
      <w:pPr>
        <w:pStyle w:val="StandardWeb"/>
      </w:pPr>
      <w:r>
        <w:t xml:space="preserve">Die </w:t>
      </w:r>
      <w:r>
        <w:rPr>
          <w:rStyle w:val="Fett"/>
        </w:rPr>
        <w:t>Gesamtklassifikation der Projektions-, Restriktions-, Reduktions- und Quotientenarchitektur</w:t>
      </w:r>
      <w:r>
        <w:t xml:space="preserve"> ist</w:t>
      </w:r>
    </w:p>
    <w:p w:rsidR="008B59F4" w:rsidRDefault="008B59F4" w:rsidP="008B59F4">
      <w:pPr>
        <w:pStyle w:val="berschrift1"/>
      </w:pPr>
      <w:r>
        <w:t>[</w:t>
      </w:r>
      <w:r>
        <w:br/>
        <w:t>\boxed{</w:t>
      </w:r>
      <w:r>
        <w:br/>
        <w:t>\mathfrak C_{3.3.52}</w:t>
      </w:r>
    </w:p>
    <w:p w:rsidR="008B59F4" w:rsidRDefault="008B59F4" w:rsidP="008B59F4">
      <w:pPr>
        <w:pStyle w:val="StandardWeb"/>
      </w:pPr>
      <w:r>
        <w:t>\left(</w:t>
      </w:r>
      <w:r>
        <w:br/>
        <w:t>\mathfrak D_{\mathrm{red}},</w:t>
      </w:r>
      <w:r>
        <w:br/>
        <w:t>\mathfrak R_{\mathrm{red}},</w:t>
      </w:r>
      <w:r>
        <w:br/>
        <w:t>\mathfrak M_{\mathrm{red}},</w:t>
      </w:r>
      <w:r>
        <w:br/>
        <w:t>\mathfrak O_{\mathrm{red}}</w:t>
      </w:r>
      <w:r>
        <w:br/>
        <w:t>\right).</w:t>
      </w:r>
      <w:r>
        <w:br/>
        <w:t>}</w:t>
      </w:r>
      <w:r>
        <w:br/>
        <w:t>\tag{3.13896}</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\boxed{\mathfrak C_{3.3.52}=\left(\mathfrak D_{\mathrm{red}},\mathfrak R_{\mathrm{red}},\mathfrak M_{\mathrm{red}},\mathfrak O_{\mathrm{red}}\right).}</w:t>
      </w:r>
    </w:p>
    <w:p w:rsidR="008B59F4" w:rsidRDefault="008B59F4" w:rsidP="008B59F4">
      <w:pPr>
        <w:pStyle w:val="StandardWeb"/>
      </w:pPr>
      <w:r>
        <w:t>Die zugehörige Primäraxiomkomponente ist</w:t>
      </w:r>
    </w:p>
    <w:p w:rsidR="008B59F4" w:rsidRDefault="008B59F4" w:rsidP="008B59F4">
      <w:pPr>
        <w:pStyle w:val="berschrift1"/>
      </w:pPr>
      <w:r>
        <w:t>[</w:t>
      </w:r>
      <w:r>
        <w:br/>
        <w:t>\boxed{</w:t>
      </w:r>
      <w:r>
        <w:br/>
        <w:t>\mathfrak A_{\mathrm{red}}</w:t>
      </w:r>
    </w:p>
    <w:p w:rsidR="008B59F4" w:rsidRDefault="008B59F4" w:rsidP="008B59F4">
      <w:pPr>
        <w:pStyle w:val="StandardWeb"/>
      </w:pPr>
      <w:r>
        <w:t>\varnothing.</w:t>
      </w:r>
      <w:r>
        <w:br/>
        <w:t>}</w:t>
      </w:r>
      <w:r>
        <w:br/>
        <w:t>\tag{3.13897}</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\boxed{\mathfrak A_{\mathrm{red}}=\varnothing.}</w:t>
      </w:r>
    </w:p>
    <w:p w:rsidR="008B59F4" w:rsidRDefault="008B59F4" w:rsidP="008B59F4">
      <w:r>
        <w:lastRenderedPageBreak/>
        <w:pict>
          <v:rect id="_x0000_i5962" style="width:0;height:1.5pt" o:hralign="center" o:hrstd="t" o:hr="t" fillcolor="#a0a0a0" stroked="f"/>
        </w:pict>
      </w:r>
    </w:p>
    <w:p w:rsidR="008B59F4" w:rsidRDefault="008B59F4" w:rsidP="008B59F4">
      <w:pPr>
        <w:pStyle w:val="berschrift1"/>
      </w:pPr>
      <w:r>
        <w:t>3.3.52.235 Methodologische Betrachtungen</w:t>
      </w:r>
    </w:p>
    <w:p w:rsidR="008B59F4" w:rsidRDefault="008B59F4" w:rsidP="008B59F4">
      <w:pPr>
        <w:pStyle w:val="StandardWeb"/>
      </w:pPr>
      <w:r>
        <w:t>Methodologisch ist für mich besonders wichtig, Projektion, Restriktion, Reduktion und Quotientierung nicht als synonyme Begriffe zu verwenden.</w:t>
      </w:r>
    </w:p>
    <w:p w:rsidR="008B59F4" w:rsidRDefault="008B59F4" w:rsidP="008B59F4">
      <w:pPr>
        <w:pStyle w:val="StandardWeb"/>
      </w:pPr>
      <w:r>
        <w:t>Ich unterscheide daher ausdrücklich</w:t>
      </w:r>
    </w:p>
    <w:p w:rsidR="008B59F4" w:rsidRDefault="008B59F4" w:rsidP="008B59F4">
      <w:pPr>
        <w:pStyle w:val="StandardWeb"/>
      </w:pPr>
      <w:r>
        <w:t>[</w:t>
      </w:r>
      <w:r>
        <w:br/>
        <w:t>\Pi_F,</w:t>
      </w:r>
      <w:r>
        <w:br/>
        <w:t>\qquad</w:t>
      </w:r>
      <w:r>
        <w:br/>
        <w:t>F|_{\mathcal X_F'},</w:t>
      </w:r>
      <w:r>
        <w:br/>
        <w:t>\qquad</w:t>
      </w:r>
      <w:r>
        <w:br/>
        <w:t>R_F,</w:t>
      </w:r>
      <w:r>
        <w:br/>
        <w:t>\qquad</w:t>
      </w:r>
      <w:r>
        <w:br/>
        <w:t>q_F.</w:t>
      </w:r>
      <w:r>
        <w:br/>
        <w:t>\tag{3.13898}</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\Pi_F,\qquad F|_{\mathcal X_F'},\qquad R_F,\qquad q_F</w:t>
      </w:r>
    </w:p>
    <w:p w:rsidR="008B59F4" w:rsidRDefault="008B59F4" w:rsidP="008B59F4">
      <w:pPr>
        <w:pStyle w:val="StandardWeb"/>
      </w:pPr>
      <w:r>
        <w:t>Eine Projektion erzeugt eine bestimmte funktionale Sicht, eine Restriktion beschränkt einen Definitionsbereich, eine Reduktion ersetzt eine Struktur durch eine vereinfachte Repräsentation und eine Quotientierung identifiziert Objekte anhand einer zuvor definierten Äquivalenzrelation.</w:t>
      </w:r>
    </w:p>
    <w:p w:rsidR="008B59F4" w:rsidRDefault="008B59F4" w:rsidP="008B59F4">
      <w:pPr>
        <w:pStyle w:val="StandardWeb"/>
      </w:pPr>
      <w:r>
        <w:t>Daher gilt</w:t>
      </w:r>
    </w:p>
    <w:p w:rsidR="008B59F4" w:rsidRDefault="008B59F4" w:rsidP="008B59F4">
      <w:pPr>
        <w:pStyle w:val="StandardWeb"/>
      </w:pPr>
      <w:r>
        <w:t>[</w:t>
      </w:r>
      <w:r>
        <w:br/>
        <w:t>\boxed{</w:t>
      </w:r>
      <w:r>
        <w:br/>
        <w:t>\Pi_F</w:t>
      </w:r>
      <w:r>
        <w:br/>
        <w:t>\not\equiv</w:t>
      </w:r>
      <w:r>
        <w:br/>
        <w:t>F|_{\mathcal X_F'}</w:t>
      </w:r>
      <w:r>
        <w:br/>
        <w:t>\not\equiv</w:t>
      </w:r>
      <w:r>
        <w:br/>
        <w:t>R_F</w:t>
      </w:r>
      <w:r>
        <w:br/>
        <w:t>\not\equiv</w:t>
      </w:r>
      <w:r>
        <w:br/>
        <w:t>q_F.</w:t>
      </w:r>
      <w:r>
        <w:br/>
        <w:t>}</w:t>
      </w:r>
      <w:r>
        <w:br/>
        <w:t>\tag{3.13899}</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\boxed{\Pi_F\not\equiv F|_{\mathcal X_F'}\not\equiv R_F\not\equiv q_F.}</w:t>
      </w:r>
    </w:p>
    <w:p w:rsidR="008B59F4" w:rsidRDefault="008B59F4" w:rsidP="008B59F4">
      <w:pPr>
        <w:pStyle w:val="StandardWeb"/>
      </w:pPr>
      <w:r>
        <w:t>Ebenso darf ich eine Reduktion nicht allein deshalb als physikalisch real interpretieren, weil sie mathematisch nützlich ist. Eine Abbildung</w:t>
      </w:r>
    </w:p>
    <w:p w:rsidR="008B59F4" w:rsidRDefault="008B59F4" w:rsidP="008B59F4">
      <w:pPr>
        <w:pStyle w:val="berschrift1"/>
      </w:pPr>
      <w:r>
        <w:lastRenderedPageBreak/>
        <w:t>[</w:t>
      </w:r>
      <w:r>
        <w:br/>
        <w:t>R_F(X)</w:t>
      </w:r>
    </w:p>
    <w:p w:rsidR="008B59F4" w:rsidRDefault="008B59F4" w:rsidP="008B59F4">
      <w:pPr>
        <w:pStyle w:val="StandardWeb"/>
      </w:pPr>
      <w:r>
        <w:t>X^{\mathrm{red}}</w:t>
      </w:r>
      <w:r>
        <w:br/>
        <w:t>\tag{3.13900}</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R_F(X)=X^{\mathrm{red}}</w:t>
      </w:r>
    </w:p>
    <w:p w:rsidR="008B59F4" w:rsidRDefault="008B59F4" w:rsidP="008B59F4">
      <w:pPr>
        <w:pStyle w:val="StandardWeb"/>
      </w:pPr>
      <w:r>
        <w:t>beschreibt zunächst eine Modelloperation.</w:t>
      </w:r>
    </w:p>
    <w:p w:rsidR="008B59F4" w:rsidRDefault="008B59F4" w:rsidP="008B59F4">
      <w:pPr>
        <w:pStyle w:val="StandardWeb"/>
      </w:pPr>
      <w:r>
        <w:t>Daraus folgt nicht automatisch</w:t>
      </w:r>
    </w:p>
    <w:p w:rsidR="008B59F4" w:rsidRDefault="008B59F4" w:rsidP="008B59F4">
      <w:pPr>
        <w:pStyle w:val="StandardWeb"/>
      </w:pPr>
      <w:r>
        <w:t>[</w:t>
      </w:r>
      <w:r>
        <w:br/>
        <w:t>X^{\mathrm{red}}</w:t>
      </w:r>
      <w:r>
        <w:br/>
        <w:t>\text{ ist ontologisch fundamentaler als }X.</w:t>
      </w:r>
      <w:r>
        <w:br/>
        <w:t>\tag{3.13901}</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X^{\mathrm{red}}\text{ ist ontologisch fundamentaler als }X</w:t>
      </w:r>
    </w:p>
    <w:p w:rsidR="008B59F4" w:rsidRDefault="008B59F4" w:rsidP="008B59F4">
      <w:pPr>
        <w:pStyle w:val="StandardWeb"/>
      </w:pPr>
      <w:r>
        <w:t>Auch ein Quotientenraum</w:t>
      </w:r>
    </w:p>
    <w:p w:rsidR="008B59F4" w:rsidRDefault="008B59F4" w:rsidP="008B59F4">
      <w:pPr>
        <w:pStyle w:val="StandardWeb"/>
      </w:pPr>
      <w:r>
        <w:t>[</w:t>
      </w:r>
      <w:r>
        <w:br/>
        <w:t>\mathcal X_F/{\sim_F}</w:t>
      </w:r>
      <w:r>
        <w:br/>
        <w:t>\tag{3.13902}</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\mathcal X_F/{\sim_F}</w:t>
      </w:r>
    </w:p>
    <w:p w:rsidR="008B59F4" w:rsidRDefault="008B59F4" w:rsidP="008B59F4">
      <w:pPr>
        <w:pStyle w:val="StandardWeb"/>
      </w:pPr>
      <w:r>
        <w:t>stellt zunächst eine mathematische Identifikationsstruktur dar und keine Aussage darüber, dass die zusammengefassten Objekte physikalisch identisch sein müssen.</w:t>
      </w:r>
    </w:p>
    <w:p w:rsidR="008B59F4" w:rsidRDefault="008B59F4" w:rsidP="008B59F4">
      <w:pPr>
        <w:pStyle w:val="StandardWeb"/>
      </w:pPr>
      <w:r>
        <w:t>Methodologisch halte ich deshalb fest:</w:t>
      </w:r>
    </w:p>
    <w:p w:rsidR="008B59F4" w:rsidRDefault="008B59F4" w:rsidP="008B59F4">
      <w:pPr>
        <w:pStyle w:val="StandardWeb"/>
      </w:pPr>
      <w:r>
        <w:t>[</w:t>
      </w:r>
      <w:r>
        <w:br/>
        <w:t>\boxed{</w:t>
      </w:r>
      <w:r>
        <w:br/>
        <w:t>\text{mathematische Identifikation}</w:t>
      </w:r>
      <w:r>
        <w:br/>
        <w:t>\not\Rightarrow</w:t>
      </w:r>
      <w:r>
        <w:br/>
        <w:t>\text{ontologische Identität}.</w:t>
      </w:r>
      <w:r>
        <w:br/>
        <w:t>}</w:t>
      </w:r>
      <w:r>
        <w:br/>
        <w:t>\tag{3.13903}</w:t>
      </w:r>
      <w:r>
        <w:br/>
        <w:t>]</w:t>
      </w:r>
    </w:p>
    <w:p w:rsidR="008B59F4" w:rsidRDefault="008B59F4" w:rsidP="008B59F4">
      <w:pPr>
        <w:pStyle w:val="StandardWeb"/>
      </w:pPr>
      <w:r>
        <w:rPr>
          <w:rStyle w:val="Fett"/>
        </w:rPr>
        <w:lastRenderedPageBreak/>
        <w:t>Word-LaTeX</w:t>
      </w:r>
    </w:p>
    <w:p w:rsidR="008B59F4" w:rsidRDefault="008B59F4" w:rsidP="008B59F4">
      <w:pPr>
        <w:pStyle w:val="HTMLVorformatiert"/>
        <w:rPr>
          <w:rStyle w:val="HTMLCode"/>
        </w:rPr>
      </w:pPr>
      <w:r>
        <w:rPr>
          <w:rStyle w:val="HTMLCode"/>
        </w:rPr>
        <w:t>\boxed{\text{mathematische Identifikation}\not\Rightarrow\text{ontologische Identität}.}</w:t>
      </w:r>
    </w:p>
    <w:p w:rsidR="008B59F4" w:rsidRDefault="008B59F4" w:rsidP="008B59F4">
      <w:r>
        <w:pict>
          <v:rect id="_x0000_i5963" style="width:0;height:1.5pt" o:hralign="center" o:hrstd="t" o:hr="t" fillcolor="#a0a0a0" stroked="f"/>
        </w:pict>
      </w:r>
    </w:p>
    <w:p w:rsidR="008B59F4" w:rsidRDefault="008B59F4" w:rsidP="008B59F4">
      <w:pPr>
        <w:pStyle w:val="berschrift1"/>
      </w:pPr>
      <w:r>
        <w:t>3.3.52.236 Didaktische Betrachtungen</w:t>
      </w:r>
    </w:p>
    <w:p w:rsidR="008B59F4" w:rsidRDefault="008B59F4" w:rsidP="008B59F4">
      <w:pPr>
        <w:pStyle w:val="StandardWeb"/>
      </w:pPr>
      <w:r>
        <w:t>Didaktisch ordne ich die Strukturen vom einfacheren zum voraussetzungsreicheren Konzept.</w:t>
      </w:r>
    </w:p>
    <w:p w:rsidR="008B59F4" w:rsidRDefault="008B59F4" w:rsidP="008B59F4">
      <w:pPr>
        <w:pStyle w:val="StandardWeb"/>
      </w:pPr>
      <w:r>
        <w:t>Ich beginne mit einer Projektion</w:t>
      </w:r>
    </w:p>
    <w:p w:rsidR="008B59F4" w:rsidRDefault="008B59F4" w:rsidP="008B59F4">
      <w:pPr>
        <w:pStyle w:val="StandardWeb"/>
      </w:pPr>
      <w:r>
        <w:t>[</w:t>
      </w:r>
      <w:r>
        <w:br/>
        <w:t>X</w:t>
      </w:r>
      <w:r>
        <w:br/>
        <w:t>\mapsto</w:t>
      </w:r>
      <w:r>
        <w:br/>
        <w:t>\Pi_F(X),</w:t>
      </w:r>
      <w:r>
        <w:br/>
        <w:t>\tag{3.13904}</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X\mapsto\Pi_F(X)</w:t>
      </w:r>
    </w:p>
    <w:p w:rsidR="008B59F4" w:rsidRDefault="008B59F4" w:rsidP="008B59F4">
      <w:pPr>
        <w:pStyle w:val="StandardWeb"/>
      </w:pPr>
      <w:r>
        <w:t>gehe anschließend zur Restriktion</w:t>
      </w:r>
    </w:p>
    <w:p w:rsidR="008B59F4" w:rsidRDefault="008B59F4" w:rsidP="008B59F4">
      <w:pPr>
        <w:pStyle w:val="StandardWeb"/>
      </w:pPr>
      <w:r>
        <w:t>[</w:t>
      </w:r>
      <w:r>
        <w:br/>
        <w:t>F</w:t>
      </w:r>
      <w:r>
        <w:br/>
        <w:t>\mapsto</w:t>
      </w:r>
      <w:r>
        <w:br/>
        <w:t>F|_{\mathcal X_F'}</w:t>
      </w:r>
      <w:r>
        <w:br/>
        <w:t>\tag{3.13905}</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F\mapsto F|_{\mathcal X_F'}</w:t>
      </w:r>
    </w:p>
    <w:p w:rsidR="008B59F4" w:rsidRDefault="008B59F4" w:rsidP="008B59F4">
      <w:pPr>
        <w:pStyle w:val="StandardWeb"/>
      </w:pPr>
      <w:r>
        <w:t>und danach zur Reduktion</w:t>
      </w:r>
    </w:p>
    <w:p w:rsidR="008B59F4" w:rsidRDefault="008B59F4" w:rsidP="008B59F4">
      <w:pPr>
        <w:pStyle w:val="StandardWeb"/>
      </w:pPr>
      <w:r>
        <w:t>[</w:t>
      </w:r>
      <w:r>
        <w:br/>
        <w:t>X</w:t>
      </w:r>
      <w:r>
        <w:br/>
        <w:t>\mapsto</w:t>
      </w:r>
      <w:r>
        <w:br/>
        <w:t>R_F(X).</w:t>
      </w:r>
      <w:r>
        <w:br/>
        <w:t>\tag{3.13906}</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X\mapsto R_F(X)</w:t>
      </w:r>
    </w:p>
    <w:p w:rsidR="008B59F4" w:rsidRDefault="008B59F4" w:rsidP="008B59F4">
      <w:pPr>
        <w:pStyle w:val="StandardWeb"/>
      </w:pPr>
      <w:r>
        <w:t>Erst anschließend führe ich eine Äquivalenzrelation</w:t>
      </w:r>
    </w:p>
    <w:p w:rsidR="008B59F4" w:rsidRDefault="008B59F4" w:rsidP="008B59F4">
      <w:pPr>
        <w:pStyle w:val="StandardWeb"/>
      </w:pPr>
      <w:r>
        <w:lastRenderedPageBreak/>
        <w:t>[</w:t>
      </w:r>
      <w:r>
        <w:br/>
        <w:t>\sim_F</w:t>
      </w:r>
      <w:r>
        <w:br/>
        <w:t>\tag{3.13907}</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\sim_F</w:t>
      </w:r>
    </w:p>
    <w:p w:rsidR="008B59F4" w:rsidRDefault="008B59F4" w:rsidP="008B59F4">
      <w:pPr>
        <w:pStyle w:val="StandardWeb"/>
      </w:pPr>
      <w:r>
        <w:t>und daraus einen Quotientenraum</w:t>
      </w:r>
    </w:p>
    <w:p w:rsidR="008B59F4" w:rsidRDefault="008B59F4" w:rsidP="008B59F4">
      <w:pPr>
        <w:pStyle w:val="StandardWeb"/>
      </w:pPr>
      <w:r>
        <w:t>[</w:t>
      </w:r>
      <w:r>
        <w:br/>
        <w:t>\mathcal X_F/{\sim_F}</w:t>
      </w:r>
      <w:r>
        <w:br/>
        <w:t>\tag{3.13908}</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\mathcal X_F/{\sim_F}</w:t>
      </w:r>
    </w:p>
    <w:p w:rsidR="008B59F4" w:rsidRDefault="008B59F4" w:rsidP="008B59F4">
      <w:pPr>
        <w:pStyle w:val="StandardWeb"/>
      </w:pPr>
      <w:r>
        <w:t>ein.</w:t>
      </w:r>
    </w:p>
    <w:p w:rsidR="008B59F4" w:rsidRDefault="008B59F4" w:rsidP="008B59F4">
      <w:pPr>
        <w:pStyle w:val="StandardWeb"/>
      </w:pPr>
      <w:r>
        <w:t>Die didaktische Entwicklungsfolge lautet daher</w:t>
      </w:r>
    </w:p>
    <w:p w:rsidR="008B59F4" w:rsidRDefault="008B59F4" w:rsidP="008B59F4">
      <w:pPr>
        <w:pStyle w:val="StandardWeb"/>
      </w:pPr>
      <w:r>
        <w:t>[</w:t>
      </w:r>
      <w:r>
        <w:br/>
        <w:t>\boxed{</w:t>
      </w:r>
      <w:r>
        <w:br/>
        <w:t>\text{Objekt}</w:t>
      </w:r>
      <w:r>
        <w:br/>
        <w:t>\rightarrow</w:t>
      </w:r>
      <w:r>
        <w:br/>
        <w:t>\text{Projektion}</w:t>
      </w:r>
      <w:r>
        <w:br/>
        <w:t>\rightarrow</w:t>
      </w:r>
      <w:r>
        <w:br/>
        <w:t>\text{Restriktion}</w:t>
      </w:r>
      <w:r>
        <w:br/>
        <w:t>\rightarrow</w:t>
      </w:r>
      <w:r>
        <w:br/>
        <w:t>\text{Reduktion}</w:t>
      </w:r>
      <w:r>
        <w:br/>
        <w:t>\rightarrow</w:t>
      </w:r>
      <w:r>
        <w:br/>
        <w:t>\text{Äquivalenz}</w:t>
      </w:r>
      <w:r>
        <w:br/>
        <w:t>\rightarrow</w:t>
      </w:r>
      <w:r>
        <w:br/>
        <w:t>\text{Quotientierung}</w:t>
      </w:r>
      <w:r>
        <w:br/>
        <w:t>\rightarrow</w:t>
      </w:r>
      <w:r>
        <w:br/>
        <w:t>\text{Dynamikprüfung}</w:t>
      </w:r>
      <w:r>
        <w:br/>
        <w:t>\rightarrow</w:t>
      </w:r>
      <w:r>
        <w:br/>
        <w:t>\text{Axiomprüfung}.</w:t>
      </w:r>
      <w:r>
        <w:br/>
        <w:t>}</w:t>
      </w:r>
      <w:r>
        <w:br/>
        <w:t>\tag{3.13909}</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\boxed{\text{Objekt}\rightarrow\text{Projektion}\rightarrow\text{Restriktion}\rightarrow\text{Reduktion}\rightarrow\text{Äquivalenz}\rightarrow\text{Quotientierung}\rightarrow\text{Dynamikprüfung}\rightarrow\text{Axiomprüfung}.}</w:t>
      </w:r>
    </w:p>
    <w:p w:rsidR="008B59F4" w:rsidRDefault="008B59F4" w:rsidP="008B59F4">
      <w:r>
        <w:pict>
          <v:rect id="_x0000_i5964" style="width:0;height:1.5pt" o:hralign="center" o:hrstd="t" o:hr="t" fillcolor="#a0a0a0" stroked="f"/>
        </w:pict>
      </w:r>
    </w:p>
    <w:p w:rsidR="008B59F4" w:rsidRDefault="008B59F4" w:rsidP="008B59F4">
      <w:pPr>
        <w:pStyle w:val="berschrift1"/>
      </w:pPr>
      <w:r>
        <w:lastRenderedPageBreak/>
        <w:t>3.3.52.237 Gesamtstruktur des Abschnitts</w:t>
      </w:r>
    </w:p>
    <w:p w:rsidR="008B59F4" w:rsidRDefault="008B59F4" w:rsidP="008B59F4">
      <w:pPr>
        <w:pStyle w:val="StandardWeb"/>
      </w:pPr>
      <w:r>
        <w:t>Die vollständige Projektions- und Reduktionsarchitektur fasse ich zusammen als</w:t>
      </w:r>
    </w:p>
    <w:p w:rsidR="008B59F4" w:rsidRDefault="008B59F4" w:rsidP="008B59F4">
      <w:pPr>
        <w:pStyle w:val="berschrift1"/>
      </w:pPr>
      <w:r>
        <w:t>[</w:t>
      </w:r>
      <w:r>
        <w:br/>
        <w:t>\mathfrak E_{\mathrm{red}}</w:t>
      </w:r>
    </w:p>
    <w:p w:rsidR="008B59F4" w:rsidRDefault="008B59F4" w:rsidP="008B59F4">
      <w:pPr>
        <w:pStyle w:val="StandardWeb"/>
      </w:pPr>
      <w:r>
        <w:t>\left(</w:t>
      </w:r>
      <w:r>
        <w:br/>
        <w:t>\Pi_F,</w:t>
      </w:r>
      <w:r>
        <w:br/>
        <w:t>\operatorname{Fix}(\Pi_F),</w:t>
      </w:r>
      <w:r>
        <w:br/>
        <w:t>F|</w:t>
      </w:r>
      <w:r>
        <w:rPr>
          <w:rStyle w:val="Hervorhebung"/>
        </w:rPr>
        <w:t>{\mathcal X_F'},</w:t>
      </w:r>
      <w:r>
        <w:rPr>
          <w:i/>
          <w:iCs/>
        </w:rPr>
        <w:br/>
      </w:r>
      <w:r>
        <w:rPr>
          <w:rStyle w:val="Hervorhebung"/>
        </w:rPr>
        <w:t>R_F,</w:t>
      </w:r>
      <w:r>
        <w:rPr>
          <w:i/>
          <w:iCs/>
        </w:rPr>
        <w:br/>
      </w:r>
      <w:r>
        <w:rPr>
          <w:rStyle w:val="Hervorhebung"/>
        </w:rPr>
        <w:t>S_F,</w:t>
      </w:r>
      <w:r>
        <w:rPr>
          <w:i/>
          <w:iCs/>
        </w:rPr>
        <w:br/>
      </w:r>
      <w:r>
        <w:rPr>
          <w:rStyle w:val="Hervorhebung"/>
        </w:rPr>
        <w:t>T_F^{\mathrm{red}},</w:t>
      </w:r>
      <w:r>
        <w:rPr>
          <w:i/>
          <w:iCs/>
        </w:rPr>
        <w:br/>
      </w:r>
      <w:r>
        <w:rPr>
          <w:rStyle w:val="Hervorhebung"/>
        </w:rPr>
        <w:t>d_F^{\mathrm{red}},</w:t>
      </w:r>
      <w:r>
        <w:rPr>
          <w:i/>
          <w:iCs/>
        </w:rPr>
        <w:br/>
      </w:r>
      <w:r>
        <w:rPr>
          <w:rStyle w:val="Hervorhebung"/>
        </w:rPr>
        <w:t>\varepsilon</w:t>
      </w:r>
      <w:r>
        <w:t>{\mathrm{dyn}},</w:t>
      </w:r>
      <w:r>
        <w:br/>
        <w:t>h_{\mathrm{red}},</w:t>
      </w:r>
      <w:r>
        <w:br/>
        <w:t>\sim_F,</w:t>
      </w:r>
      <w:r>
        <w:br/>
        <w:t>[X]</w:t>
      </w:r>
      <w:r>
        <w:rPr>
          <w:rStyle w:val="Hervorhebung"/>
        </w:rPr>
        <w:t>F,</w:t>
      </w:r>
      <w:r>
        <w:rPr>
          <w:i/>
          <w:iCs/>
        </w:rPr>
        <w:br/>
      </w:r>
      <w:r>
        <w:rPr>
          <w:rStyle w:val="Hervorhebung"/>
        </w:rPr>
        <w:t>q_F,</w:t>
      </w:r>
      <w:r>
        <w:rPr>
          <w:i/>
          <w:iCs/>
        </w:rPr>
        <w:br/>
      </w:r>
      <w:r>
        <w:rPr>
          <w:rStyle w:val="Hervorhebung"/>
        </w:rPr>
        <w:t>\circ</w:t>
      </w:r>
      <w:r>
        <w:t>{F/{\sim}},</w:t>
      </w:r>
      <w:r>
        <w:br/>
        <w:t>Q_{12},</w:t>
      </w:r>
      <w:r>
        <w:br/>
        <w:t>\preceq_{\mathrm{eq}},</w:t>
      </w:r>
      <w:r>
        <w:br/>
        <w:t>\preceq_{\mathrm{red}},</w:t>
      </w:r>
      <w:r>
        <w:br/>
        <w:t>R_F^\star,</w:t>
      </w:r>
      <w:r>
        <w:br/>
        <w:t>R_F^{\max},</w:t>
      </w:r>
      <w:r>
        <w:br/>
        <w:t>\mathbb P_F^{\mathrm{red}}</w:t>
      </w:r>
      <w:r>
        <w:br/>
        <w:t>\right).</w:t>
      </w:r>
      <w:r>
        <w:br/>
        <w:t>\tag{3.13910}</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\mathfrak E_{\mathrm{red}}=\left(\Pi_F,\operatorname{Fix}(\Pi_F),F|_{\mathcal X_F'},R_F,S_F,T_F^{\mathrm{red}},d_F^{\mathrm{red}},\varepsilon_{\mathrm{dyn}},h_{\mathrm{red}},\sim_F,[X]_F,q_F,\circ_{F/{\sim}},Q_{12},\preceq_{\mathrm{eq}},\preceq_{\mathrm{red}},R_F^\star,R_F^{\max},\mathbb P_F^{\mathrm{red}}\right)</w:t>
      </w:r>
    </w:p>
    <w:p w:rsidR="008B59F4" w:rsidRDefault="008B59F4" w:rsidP="008B59F4">
      <w:pPr>
        <w:pStyle w:val="StandardWeb"/>
      </w:pPr>
      <w:r>
        <w:t>Die Primäraxiomkomponente bleibt</w:t>
      </w:r>
    </w:p>
    <w:p w:rsidR="008B59F4" w:rsidRDefault="008B59F4" w:rsidP="008B59F4">
      <w:pPr>
        <w:pStyle w:val="berschrift1"/>
      </w:pPr>
      <w:r>
        <w:t>[</w:t>
      </w:r>
      <w:r>
        <w:br/>
        <w:t>\boxed{</w:t>
      </w:r>
      <w:r>
        <w:br/>
        <w:t>\mathfrak A_{\mathrm{red}}</w:t>
      </w:r>
    </w:p>
    <w:p w:rsidR="008B59F4" w:rsidRDefault="008B59F4" w:rsidP="008B59F4">
      <w:pPr>
        <w:pStyle w:val="StandardWeb"/>
      </w:pPr>
      <w:r>
        <w:t>\varnothing.</w:t>
      </w:r>
      <w:r>
        <w:br/>
        <w:t>}</w:t>
      </w:r>
      <w:r>
        <w:br/>
      </w:r>
      <w:r>
        <w:lastRenderedPageBreak/>
        <w:t>\tag{3.13911}</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\boxed{\mathfrak A_{\mathrm{red}}=\varnothing.}</w:t>
      </w:r>
    </w:p>
    <w:p w:rsidR="008B59F4" w:rsidRDefault="008B59F4" w:rsidP="008B59F4">
      <w:r>
        <w:pict>
          <v:rect id="_x0000_i5965" style="width:0;height:1.5pt" o:hralign="center" o:hrstd="t" o:hr="t" fillcolor="#a0a0a0" stroked="f"/>
        </w:pict>
      </w:r>
    </w:p>
    <w:p w:rsidR="008B59F4" w:rsidRDefault="008B59F4" w:rsidP="008B59F4">
      <w:pPr>
        <w:pStyle w:val="berschrift1"/>
      </w:pPr>
      <w:r>
        <w:t>3.3.52.238 Gesamtabschluss</w:t>
      </w:r>
    </w:p>
    <w:p w:rsidR="008B59F4" w:rsidRDefault="008B59F4" w:rsidP="008B59F4">
      <w:pPr>
        <w:pStyle w:val="StandardWeb"/>
      </w:pPr>
      <w:r>
        <w:t>Damit folgt für den vollständigen Abschnitt</w:t>
      </w:r>
    </w:p>
    <w:p w:rsidR="008B59F4" w:rsidRDefault="008B59F4" w:rsidP="008B59F4">
      <w:pPr>
        <w:pStyle w:val="berschrift1"/>
      </w:pPr>
      <w:r>
        <w:t>[</w:t>
      </w:r>
      <w:r>
        <w:br/>
        <w:t>\boxed{</w:t>
      </w:r>
      <w:r>
        <w:br/>
        <w:t>\mathcal A_{3.3.52}^{\mathrm{new}}</w:t>
      </w:r>
    </w:p>
    <w:p w:rsidR="008B59F4" w:rsidRDefault="008B59F4" w:rsidP="008B59F4">
      <w:pPr>
        <w:pStyle w:val="StandardWeb"/>
      </w:pPr>
      <w:r>
        <w:t>\varnothing.</w:t>
      </w:r>
      <w:r>
        <w:br/>
        <w:t>}</w:t>
      </w:r>
      <w:r>
        <w:br/>
        <w:t>\tag{3.13912}</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\boxed{\mathcal A_{3.3.52}^{\mathrm{new}}=\varnothing.}</w:t>
      </w:r>
    </w:p>
    <w:p w:rsidR="008B59F4" w:rsidRDefault="008B59F4" w:rsidP="008B59F4">
      <w:pPr>
        <w:pStyle w:val="StandardWeb"/>
      </w:pPr>
      <w:r>
        <w:t>Gleichzeitig bleiben sämtliche eingeführten Strukturen für spätere konkrete FRZK-Modellklassen verfügbar:</w:t>
      </w:r>
    </w:p>
    <w:p w:rsidR="008B59F4" w:rsidRDefault="008B59F4" w:rsidP="008B59F4">
      <w:pPr>
        <w:pStyle w:val="StandardWeb"/>
      </w:pPr>
      <w:r>
        <w:t>[</w:t>
      </w:r>
      <w:r>
        <w:br/>
        <w:t>\boxed{</w:t>
      </w:r>
      <w:r>
        <w:br/>
        <w:t>\mathfrak E_{\mathrm{red}}</w:t>
      </w:r>
      <w:r>
        <w:br/>
        <w:t>\subseteq</w:t>
      </w:r>
      <w:r>
        <w:br/>
        <w:t>\mathfrak E_{\mathrm{FRZK}}^{\mathrm{opt}}.</w:t>
      </w:r>
      <w:r>
        <w:br/>
        <w:t>}</w:t>
      </w:r>
      <w:r>
        <w:br/>
        <w:t>\tag{3.13913}</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\boxed{\mathfrak E_{\mathrm{red}}\subseteq\mathfrak E_{\mathrm{FRZK}}^{\mathrm{opt}}.}</w:t>
      </w:r>
    </w:p>
    <w:p w:rsidR="008B59F4" w:rsidRDefault="008B59F4" w:rsidP="008B59F4">
      <w:r>
        <w:pict>
          <v:rect id="_x0000_i5966" style="width:0;height:1.5pt" o:hralign="center" o:hrstd="t" o:hr="t" fillcolor="#a0a0a0" stroked="f"/>
        </w:pict>
      </w:r>
    </w:p>
    <w:p w:rsidR="008B59F4" w:rsidRDefault="008B59F4" w:rsidP="008B59F4">
      <w:pPr>
        <w:pStyle w:val="berschrift1"/>
      </w:pPr>
      <w:r>
        <w:t>3.3.52.239 Endstand und Übergabepunkt</w:t>
      </w:r>
    </w:p>
    <w:p w:rsidR="008B59F4" w:rsidRDefault="008B59F4" w:rsidP="008B59F4">
      <w:pPr>
        <w:pStyle w:val="StandardWeb"/>
      </w:pPr>
      <w:r>
        <w:t xml:space="preserve">Abschnitt </w:t>
      </w:r>
      <w:r>
        <w:rPr>
          <w:rStyle w:val="Fett"/>
        </w:rPr>
        <w:t>3.3.52 ist damit vollständig abgeschlossen</w:t>
      </w:r>
      <w:r>
        <w:t>.</w:t>
      </w:r>
    </w:p>
    <w:p w:rsidR="008B59F4" w:rsidRDefault="008B59F4" w:rsidP="008B59F4">
      <w:pPr>
        <w:pStyle w:val="StandardWeb"/>
      </w:pPr>
      <w:r>
        <w:t>Der letzte Textpunkt ist</w:t>
      </w:r>
    </w:p>
    <w:p w:rsidR="008B59F4" w:rsidRDefault="008B59F4" w:rsidP="008B59F4">
      <w:pPr>
        <w:pStyle w:val="berschrift1"/>
      </w:pPr>
      <w:r>
        <w:lastRenderedPageBreak/>
        <w:t>[</w:t>
      </w:r>
      <w:r>
        <w:br/>
        <w:t>\boxed{</w:t>
      </w:r>
      <w:r>
        <w:br/>
        <w:t>\text{letzter Textpunkt}</w:t>
      </w:r>
    </w:p>
    <w:p w:rsidR="008B59F4" w:rsidRDefault="008B59F4" w:rsidP="008B59F4">
      <w:pPr>
        <w:pStyle w:val="StandardWeb"/>
      </w:pPr>
      <w:r>
        <w:t>3.3.52.239.</w:t>
      </w:r>
      <w:r>
        <w:br/>
        <w:t>}</w:t>
      </w:r>
      <w:r>
        <w:br/>
        <w:t>\tag{3.13914}</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\boxed{\text{letzter Textpunkt}=3.3.52.239.}</w:t>
      </w:r>
    </w:p>
    <w:p w:rsidR="008B59F4" w:rsidRDefault="008B59F4" w:rsidP="008B59F4">
      <w:pPr>
        <w:pStyle w:val="StandardWeb"/>
      </w:pPr>
      <w:r>
        <w:t>Die letzte Gleichung des Abschnitts ist</w:t>
      </w:r>
    </w:p>
    <w:p w:rsidR="008B59F4" w:rsidRDefault="008B59F4" w:rsidP="008B59F4">
      <w:pPr>
        <w:pStyle w:val="berschrift1"/>
      </w:pPr>
      <w:r>
        <w:t>[</w:t>
      </w:r>
      <w:r>
        <w:br/>
        <w:t>\boxed{</w:t>
      </w:r>
      <w:r>
        <w:br/>
        <w:t>\text{letzte Gleichung}</w:t>
      </w:r>
    </w:p>
    <w:p w:rsidR="008B59F4" w:rsidRDefault="008B59F4" w:rsidP="008B59F4">
      <w:pPr>
        <w:pStyle w:val="StandardWeb"/>
      </w:pPr>
      <w:r>
        <w:t>(3.13914).</w:t>
      </w:r>
      <w:r>
        <w:br/>
        <w:t>}</w:t>
      </w:r>
      <w:r>
        <w:br/>
        <w:t>\tag{3.13915}</w:t>
      </w:r>
      <w:r>
        <w:br/>
        <w:t>]</w:t>
      </w:r>
    </w:p>
    <w:p w:rsidR="008B59F4" w:rsidRDefault="008B59F4" w:rsidP="008B59F4">
      <w:pPr>
        <w:pStyle w:val="StandardWeb"/>
      </w:pPr>
      <w:r>
        <w:rPr>
          <w:rStyle w:val="Fett"/>
        </w:rPr>
        <w:t>Word-LaTeX</w:t>
      </w:r>
    </w:p>
    <w:p w:rsidR="008B59F4" w:rsidRDefault="008B59F4" w:rsidP="008B59F4">
      <w:pPr>
        <w:pStyle w:val="HTMLVorformatiert"/>
        <w:rPr>
          <w:rStyle w:val="HTMLCode"/>
        </w:rPr>
      </w:pPr>
      <w:r>
        <w:rPr>
          <w:rStyle w:val="HTMLCode"/>
        </w:rPr>
        <w:t>\boxed{\text{letzte Gleichung}=(3.13914).}</w:t>
      </w:r>
    </w:p>
    <w:p w:rsidR="008B59F4" w:rsidRDefault="008B59F4" w:rsidP="008B59F4">
      <w:pPr>
        <w:pStyle w:val="StandardWeb"/>
      </w:pPr>
      <w:r>
        <w:t xml:space="preserve">Damit ist der nächste Übergabepunkt </w:t>
      </w:r>
      <w:r>
        <w:rPr>
          <w:rStyle w:val="Fett"/>
        </w:rPr>
        <w:t>3.3.53.0</w:t>
      </w:r>
      <w:r>
        <w:t xml:space="preserve">, nächste Gleichung </w:t>
      </w:r>
      <w:r>
        <w:rPr>
          <w:rStyle w:val="Fett"/>
        </w:rPr>
        <w:t>(3.13916)</w:t>
      </w:r>
      <w:r>
        <w:t xml:space="preserve">, nächste Definition </w:t>
      </w:r>
      <w:r>
        <w:rPr>
          <w:rStyle w:val="Fett"/>
        </w:rPr>
        <w:t>3.3.627</w:t>
      </w:r>
      <w:r>
        <w:t xml:space="preserve">, nächster Satz </w:t>
      </w:r>
      <w:r>
        <w:rPr>
          <w:rStyle w:val="Fett"/>
        </w:rPr>
        <w:t>3.3.251</w:t>
      </w:r>
      <w:r>
        <w:t xml:space="preserve"> und nächstes Korollar </w:t>
      </w:r>
      <w:r>
        <w:rPr>
          <w:rStyle w:val="Fett"/>
        </w:rPr>
        <w:t>3.3.68</w:t>
      </w:r>
      <w:r>
        <w:t>.</w:t>
      </w:r>
    </w:p>
    <w:p w:rsidR="008D6044" w:rsidRDefault="008D6044" w:rsidP="008D6044">
      <w:pPr>
        <w:pStyle w:val="berschrift1"/>
        <w:rPr>
          <w:rFonts w:cs="Times New Roman"/>
          <w:sz w:val="48"/>
          <w:szCs w:val="48"/>
        </w:rPr>
      </w:pPr>
      <w:r>
        <w:t>3.3.53 Funktionale Einbettung, Erweiterung, Liftings und Rekonstruktionsstrukturen</w:t>
      </w:r>
    </w:p>
    <w:p w:rsidR="008D6044" w:rsidRDefault="008D6044" w:rsidP="008D6044">
      <w:pPr>
        <w:pStyle w:val="berschrift2"/>
      </w:pPr>
      <w:r>
        <w:t>3.3.53.0 Ausgangspunkt und Zielsetzung</w:t>
      </w:r>
    </w:p>
    <w:p w:rsidR="008D6044" w:rsidRDefault="008D6044" w:rsidP="008D6044">
      <w:pPr>
        <w:pStyle w:val="StandardWeb"/>
      </w:pPr>
      <w:r>
        <w:t>Nachdem ich in Abschnitt 3.3.52 untersucht habe, wie funktionale Strukturen projiziert, restringiert, reduziert und quotientiert werden können, betrachte ich nun die umgekehrte Richtung: Wie kann eine funktionale Struktur in einen größeren Raum eingebettet, erweitert oder aus einer reduzierten Darstellung in eine reichhaltigere Struktur überführt werden?</w:t>
      </w:r>
    </w:p>
    <w:p w:rsidR="008D6044" w:rsidRDefault="008D6044" w:rsidP="008D6044">
      <w:pPr>
        <w:pStyle w:val="StandardWeb"/>
      </w:pPr>
      <w:r>
        <w:t>Dabei unterscheide ich zunächst vier verschiedene Strukturtypen:</w:t>
      </w:r>
    </w:p>
    <w:p w:rsidR="008D6044" w:rsidRDefault="008D6044" w:rsidP="008D6044">
      <w:pPr>
        <w:pStyle w:val="StandardWeb"/>
      </w:pPr>
      <w:r>
        <w:t>[</w:t>
      </w:r>
      <w:r>
        <w:br/>
        <w:t>\text{Einbettung},</w:t>
      </w:r>
      <w:r>
        <w:br/>
      </w:r>
      <w:r>
        <w:lastRenderedPageBreak/>
        <w:t>\qquad</w:t>
      </w:r>
      <w:r>
        <w:br/>
        <w:t>\text{Erweiterung},</w:t>
      </w:r>
      <w:r>
        <w:br/>
        <w:t>\qquad</w:t>
      </w:r>
      <w:r>
        <w:br/>
        <w:t>\text{Lifting},</w:t>
      </w:r>
      <w:r>
        <w:br/>
        <w:t>\qquad</w:t>
      </w:r>
      <w:r>
        <w:br/>
        <w:t>\text{Rekonstruktion}.</w:t>
      </w:r>
      <w:r>
        <w:br/>
        <w:t>\tag{3.13916}</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\text{Einbettung},\qquad\text{Erweiterung},\qquad\text{Lifting},\qquad\text{Rekonstruktion}</w:t>
      </w:r>
    </w:p>
    <w:p w:rsidR="008D6044" w:rsidRDefault="008D6044" w:rsidP="008D6044">
      <w:pPr>
        <w:pStyle w:val="StandardWeb"/>
      </w:pPr>
      <w:r>
        <w:t>Diese Begriffe verwende ich nicht synonym. Eine Einbettung erhält ein Objekt innerhalb eines größeren Strukturraums wieder, eine Erweiterung ergänzt zusätzliche Struktur, ein Lifting hebt eine Repräsentation auf eine andere Beschreibungsebene und eine Rekonstruktion versucht, aus einer abgeleiteten Darstellung wieder eine Ausgangsstruktur zu gewinnen.</w:t>
      </w:r>
    </w:p>
    <w:p w:rsidR="008D6044" w:rsidRDefault="008D6044" w:rsidP="008D6044">
      <w:r>
        <w:pict>
          <v:rect id="_x0000_i6050" style="width:0;height:1.5pt" o:hralign="center" o:hrstd="t" o:hr="t" fillcolor="#a0a0a0" stroked="f"/>
        </w:pict>
      </w:r>
    </w:p>
    <w:p w:rsidR="008D6044" w:rsidRDefault="008D6044" w:rsidP="008D6044">
      <w:pPr>
        <w:pStyle w:val="berschrift2"/>
      </w:pPr>
      <w:r>
        <w:t>3.3.53.1 Funktionale Einbettung</w:t>
      </w:r>
    </w:p>
    <w:p w:rsidR="008D6044" w:rsidRDefault="008D6044" w:rsidP="008D6044">
      <w:pPr>
        <w:pStyle w:val="StandardWeb"/>
      </w:pPr>
      <w:r>
        <w:t>Seien zwei funktionale Räume gegeben mit</w:t>
      </w:r>
    </w:p>
    <w:p w:rsidR="008D6044" w:rsidRDefault="008D6044" w:rsidP="008D6044">
      <w:pPr>
        <w:pStyle w:val="StandardWeb"/>
      </w:pPr>
      <w:r>
        <w:t>[</w:t>
      </w:r>
      <w:r>
        <w:br/>
        <w:t>\mathcal X_F</w:t>
      </w:r>
      <w:r>
        <w:br/>
        <w:t>\quad\text{und}\quad</w:t>
      </w:r>
      <w:r>
        <w:br/>
        <w:t>\mathcal Y_F.</w:t>
      </w:r>
      <w:r>
        <w:br/>
        <w:t>\tag{3.13917}</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\mathcal X_F\quad\text{und}\quad\mathcal Y_F</w:t>
      </w:r>
    </w:p>
    <w:p w:rsidR="008D6044" w:rsidRDefault="008D6044" w:rsidP="008D6044">
      <w:pPr>
        <w:pStyle w:val="StandardWeb"/>
      </w:pPr>
      <w:r>
        <w:t>Eine Einbettungsabbildung schreibe ich zunächst allgemein als</w:t>
      </w:r>
    </w:p>
    <w:p w:rsidR="008D6044" w:rsidRDefault="008D6044" w:rsidP="008D6044">
      <w:pPr>
        <w:pStyle w:val="StandardWeb"/>
      </w:pPr>
      <w:r>
        <w:t>[</w:t>
      </w:r>
      <w:r>
        <w:br/>
        <w:t>\iota_F</w:t>
      </w:r>
      <w:r>
        <w:br/>
        <w:t>:</w:t>
      </w:r>
      <w:r>
        <w:br/>
        <w:t>\mathcal X_F</w:t>
      </w:r>
      <w:r>
        <w:br/>
        <w:t>\rightarrow</w:t>
      </w:r>
      <w:r>
        <w:br/>
        <w:t>\mathcal Y_F.</w:t>
      </w:r>
      <w:r>
        <w:br/>
        <w:t>\tag{3.13918}</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\iota_F:\mathcal X_F\rightarrow\mathcal Y_F</w:t>
      </w:r>
    </w:p>
    <w:p w:rsidR="008D6044" w:rsidRDefault="008D6044" w:rsidP="008D6044">
      <w:r>
        <w:lastRenderedPageBreak/>
        <w:pict>
          <v:rect id="_x0000_i6051" style="width:0;height:1.5pt" o:hralign="center" o:hrstd="t" o:hr="t" fillcolor="#a0a0a0" stroked="f"/>
        </w:pict>
      </w:r>
    </w:p>
    <w:p w:rsidR="008D6044" w:rsidRDefault="008D6044" w:rsidP="008D6044">
      <w:pPr>
        <w:pStyle w:val="berschrift2"/>
      </w:pPr>
      <w:r>
        <w:t>3.3.53.2 Definition 3.3.627 – Funktionale Einbettung</w:t>
      </w:r>
    </w:p>
    <w:p w:rsidR="008D6044" w:rsidRDefault="008D6044" w:rsidP="008D6044">
      <w:pPr>
        <w:pStyle w:val="berschrift3"/>
      </w:pPr>
      <w:r>
        <w:t>Definition 3.3.627</w:t>
      </w:r>
    </w:p>
    <w:p w:rsidR="008D6044" w:rsidRDefault="008D6044" w:rsidP="008D6044">
      <w:pPr>
        <w:pStyle w:val="StandardWeb"/>
      </w:pPr>
      <w:r>
        <w:t xml:space="preserve">Eine </w:t>
      </w:r>
      <w:r>
        <w:rPr>
          <w:rStyle w:val="Fett"/>
        </w:rPr>
        <w:t>funktionale Einbettung</w:t>
      </w:r>
      <w:r>
        <w:t xml:space="preserve"> ist eine modellabhängig definierte Abbildung</w:t>
      </w:r>
    </w:p>
    <w:p w:rsidR="008D6044" w:rsidRDefault="008D6044" w:rsidP="008D6044">
      <w:pPr>
        <w:pStyle w:val="StandardWeb"/>
      </w:pPr>
      <w:r>
        <w:t>[</w:t>
      </w:r>
      <w:r>
        <w:br/>
        <w:t>\boxed{</w:t>
      </w:r>
      <w:r>
        <w:br/>
        <w:t>\iota_F</w:t>
      </w:r>
      <w:r>
        <w:br/>
        <w:t>:</w:t>
      </w:r>
      <w:r>
        <w:br/>
        <w:t>\mathcal X_F</w:t>
      </w:r>
      <w:r>
        <w:br/>
        <w:t>\rightarrow</w:t>
      </w:r>
      <w:r>
        <w:br/>
        <w:t>\mathcal Y_F,</w:t>
      </w:r>
      <w:r>
        <w:br/>
        <w:t>}</w:t>
      </w:r>
      <w:r>
        <w:br/>
        <w:t>\tag{3.13919}</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\boxed{\iota_F:\mathcal X_F\rightarrow\mathcal Y_F,}</w:t>
      </w:r>
    </w:p>
    <w:p w:rsidR="008D6044" w:rsidRDefault="008D6044" w:rsidP="008D6044">
      <w:pPr>
        <w:pStyle w:val="StandardWeb"/>
      </w:pPr>
      <w:r>
        <w:t>durch die ein funktionales Objekt aus (\mathcal X_F) als Objekt oder Repräsentation innerhalb von (\mathcal Y_F) dargestellt wird.</w:t>
      </w:r>
    </w:p>
    <w:p w:rsidR="008D6044" w:rsidRDefault="008D6044" w:rsidP="008D6044">
      <w:r>
        <w:pict>
          <v:rect id="_x0000_i6052" style="width:0;height:1.5pt" o:hralign="center" o:hrstd="t" o:hr="t" fillcolor="#a0a0a0" stroked="f"/>
        </w:pict>
      </w:r>
    </w:p>
    <w:p w:rsidR="008D6044" w:rsidRDefault="008D6044" w:rsidP="008D6044">
      <w:pPr>
        <w:pStyle w:val="berschrift2"/>
      </w:pPr>
      <w:r>
        <w:t>3.3.53.3 Einbettung und Injektivität</w:t>
      </w:r>
    </w:p>
    <w:p w:rsidR="008D6044" w:rsidRDefault="008D6044" w:rsidP="008D6044">
      <w:pPr>
        <w:pStyle w:val="StandardWeb"/>
      </w:pPr>
      <w:r>
        <w:t>In der klassischen mathematischen Verwendung ist eine Einbettung häufig injektiv. Für die allgemeine FRZK-Struktur prüfe ich jedoch ausdrücklich, ob diese Eigenschaft universell vorausgesetzt werden muss.</w:t>
      </w:r>
    </w:p>
    <w:p w:rsidR="008D6044" w:rsidRDefault="008D6044" w:rsidP="008D6044">
      <w:pPr>
        <w:pStyle w:val="StandardWeb"/>
      </w:pPr>
      <w:r>
        <w:t>Injektivität würde bedeuten</w:t>
      </w:r>
    </w:p>
    <w:p w:rsidR="008D6044" w:rsidRDefault="008D6044" w:rsidP="008D6044">
      <w:pPr>
        <w:pStyle w:val="berschrift1"/>
      </w:pPr>
      <w:r>
        <w:t>[</w:t>
      </w:r>
      <w:r>
        <w:br/>
        <w:t>\iota_F(X_1)</w:t>
      </w:r>
    </w:p>
    <w:p w:rsidR="008D6044" w:rsidRDefault="008D6044" w:rsidP="008D6044">
      <w:pPr>
        <w:pStyle w:val="berschrift1"/>
      </w:pPr>
      <w:r>
        <w:t>\iota_F(X_2)</w:t>
      </w:r>
      <w:r>
        <w:br/>
        <w:t>\Rightarrow</w:t>
      </w:r>
      <w:r>
        <w:br/>
        <w:t>X_1</w:t>
      </w:r>
    </w:p>
    <w:p w:rsidR="008D6044" w:rsidRDefault="008D6044" w:rsidP="008D6044">
      <w:pPr>
        <w:pStyle w:val="StandardWeb"/>
      </w:pPr>
      <w:r>
        <w:t>X_2.</w:t>
      </w:r>
      <w:r>
        <w:br/>
        <w:t>\tag{3.13920}</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lastRenderedPageBreak/>
        <w:t>\iota_F(X_1)=\iota_F(X_2)\Rightarrow X_1=X_2</w:t>
      </w:r>
    </w:p>
    <w:p w:rsidR="008D6044" w:rsidRDefault="008D6044" w:rsidP="008D6044">
      <w:r>
        <w:pict>
          <v:rect id="_x0000_i6053" style="width:0;height:1.5pt" o:hralign="center" o:hrstd="t" o:hr="t" fillcolor="#a0a0a0" stroked="f"/>
        </w:pict>
      </w:r>
    </w:p>
    <w:p w:rsidR="008D6044" w:rsidRDefault="008D6044" w:rsidP="008D6044">
      <w:pPr>
        <w:pStyle w:val="berschrift2"/>
      </w:pPr>
      <w:r>
        <w:t>3.3.53.4 Definition 3.3.628 – Injektive funktionale Einbettung</w:t>
      </w:r>
    </w:p>
    <w:p w:rsidR="008D6044" w:rsidRDefault="008D6044" w:rsidP="008D6044">
      <w:pPr>
        <w:pStyle w:val="berschrift3"/>
      </w:pPr>
      <w:r>
        <w:t>Definition 3.3.628</w:t>
      </w:r>
    </w:p>
    <w:p w:rsidR="008D6044" w:rsidRDefault="008D6044" w:rsidP="008D6044">
      <w:pPr>
        <w:pStyle w:val="StandardWeb"/>
      </w:pPr>
      <w:r>
        <w:t xml:space="preserve">Eine funktionale Einbettung heißt </w:t>
      </w:r>
      <w:r>
        <w:rPr>
          <w:rStyle w:val="Fett"/>
        </w:rPr>
        <w:t>injektiv</w:t>
      </w:r>
      <w:r>
        <w:t>, wenn</w:t>
      </w:r>
    </w:p>
    <w:p w:rsidR="008D6044" w:rsidRDefault="008D6044" w:rsidP="008D6044">
      <w:pPr>
        <w:pStyle w:val="berschrift1"/>
      </w:pPr>
      <w:r>
        <w:t>[</w:t>
      </w:r>
      <w:r>
        <w:br/>
        <w:t>\boxed{</w:t>
      </w:r>
      <w:r>
        <w:br/>
        <w:t>\iota_F(X_1)</w:t>
      </w:r>
    </w:p>
    <w:p w:rsidR="008D6044" w:rsidRDefault="008D6044" w:rsidP="008D6044">
      <w:pPr>
        <w:pStyle w:val="berschrift1"/>
      </w:pPr>
      <w:r>
        <w:t>\iota_F(X_2)</w:t>
      </w:r>
      <w:r>
        <w:br/>
        <w:t>\Rightarrow</w:t>
      </w:r>
      <w:r>
        <w:br/>
        <w:t>X_1</w:t>
      </w:r>
    </w:p>
    <w:p w:rsidR="008D6044" w:rsidRDefault="008D6044" w:rsidP="008D6044">
      <w:pPr>
        <w:pStyle w:val="StandardWeb"/>
      </w:pPr>
      <w:r>
        <w:t>X_2.</w:t>
      </w:r>
      <w:r>
        <w:br/>
        <w:t>}</w:t>
      </w:r>
      <w:r>
        <w:br/>
        <w:t>\tag{3.13921}</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\boxed{\iota_F(X_1)=\iota_F(X_2)\Rightarrow X_1=X_2.}</w:t>
      </w:r>
    </w:p>
    <w:p w:rsidR="008D6044" w:rsidRDefault="008D6044" w:rsidP="008D6044">
      <w:r>
        <w:pict>
          <v:rect id="_x0000_i6054" style="width:0;height:1.5pt" o:hralign="center" o:hrstd="t" o:hr="t" fillcolor="#a0a0a0" stroked="f"/>
        </w:pict>
      </w:r>
    </w:p>
    <w:p w:rsidR="008D6044" w:rsidRDefault="008D6044" w:rsidP="008D6044">
      <w:pPr>
        <w:pStyle w:val="berschrift2"/>
      </w:pPr>
      <w:r>
        <w:t>3.3.53.5 Nichtinjektive einbettungsartige Abbildung</w:t>
      </w:r>
    </w:p>
    <w:p w:rsidR="008D6044" w:rsidRDefault="008D6044" w:rsidP="008D6044">
      <w:pPr>
        <w:pStyle w:val="StandardWeb"/>
      </w:pPr>
      <w:r>
        <w:t>Eine modellabhängige Abbildung kann dagegen erfüllen</w:t>
      </w:r>
    </w:p>
    <w:p w:rsidR="008D6044" w:rsidRDefault="008D6044" w:rsidP="008D6044">
      <w:pPr>
        <w:pStyle w:val="StandardWeb"/>
      </w:pPr>
      <w:r>
        <w:t>[</w:t>
      </w:r>
      <w:r>
        <w:br/>
        <w:t>X_1</w:t>
      </w:r>
      <w:r>
        <w:br/>
        <w:t>\neq</w:t>
      </w:r>
      <w:r>
        <w:br/>
        <w:t>X_2</w:t>
      </w:r>
      <w:r>
        <w:br/>
        <w:t>\tag{3.13922}</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X_1\neq X_2</w:t>
      </w:r>
    </w:p>
    <w:p w:rsidR="008D6044" w:rsidRDefault="008D6044" w:rsidP="008D6044">
      <w:pPr>
        <w:pStyle w:val="StandardWeb"/>
      </w:pPr>
      <w:r>
        <w:t>und dennoch</w:t>
      </w:r>
    </w:p>
    <w:p w:rsidR="008D6044" w:rsidRDefault="008D6044" w:rsidP="008D6044">
      <w:pPr>
        <w:pStyle w:val="berschrift1"/>
      </w:pPr>
      <w:r>
        <w:lastRenderedPageBreak/>
        <w:t>[</w:t>
      </w:r>
      <w:r>
        <w:br/>
        <w:t>\iota_F(X_1)</w:t>
      </w:r>
    </w:p>
    <w:p w:rsidR="008D6044" w:rsidRDefault="008D6044" w:rsidP="008D6044">
      <w:pPr>
        <w:pStyle w:val="StandardWeb"/>
      </w:pPr>
      <w:r>
        <w:t>\iota_F(X_2).</w:t>
      </w:r>
      <w:r>
        <w:br/>
        <w:t>\tag{3.13923}</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\iota_F(X_1)=\iota_F(X_2)</w:t>
      </w:r>
    </w:p>
    <w:p w:rsidR="008D6044" w:rsidRDefault="008D6044" w:rsidP="008D6044">
      <w:pPr>
        <w:pStyle w:val="StandardWeb"/>
      </w:pPr>
      <w:r>
        <w:t>In diesem Fall geht bei der Abbildung Unterscheidungsinformation verloren.</w:t>
      </w:r>
    </w:p>
    <w:p w:rsidR="008D6044" w:rsidRDefault="008D6044" w:rsidP="008D6044">
      <w:r>
        <w:pict>
          <v:rect id="_x0000_i6055" style="width:0;height:1.5pt" o:hralign="center" o:hrstd="t" o:hr="t" fillcolor="#a0a0a0" stroked="f"/>
        </w:pict>
      </w:r>
    </w:p>
    <w:p w:rsidR="008D6044" w:rsidRDefault="008D6044" w:rsidP="008D6044">
      <w:pPr>
        <w:pStyle w:val="berschrift2"/>
      </w:pPr>
      <w:r>
        <w:t>3.3.53.6 Injektivität als Primäraxiomkandidat</w:t>
      </w:r>
    </w:p>
    <w:p w:rsidR="008D6044" w:rsidRDefault="008D6044" w:rsidP="008D6044">
      <w:pPr>
        <w:pStyle w:val="StandardWeb"/>
      </w:pPr>
      <w:r>
        <w:t>Der entsprechende Kandidat lautet</w:t>
      </w:r>
    </w:p>
    <w:p w:rsidR="008D6044" w:rsidRDefault="008D6044" w:rsidP="008D6044">
      <w:pPr>
        <w:pStyle w:val="StandardWeb"/>
      </w:pPr>
      <w:r>
        <w:t>[</w:t>
      </w:r>
      <w:r>
        <w:br/>
        <w:t>A_{\mathrm{emb-inj}}</w:t>
      </w:r>
      <w:r>
        <w:br/>
        <w:t>:</w:t>
      </w:r>
      <w:r>
        <w:br/>
        <w:t>\iota_F</w:t>
      </w:r>
      <w:r>
        <w:br/>
        <w:t>\text{ ist injektiv}.</w:t>
      </w:r>
      <w:r>
        <w:br/>
        <w:t>\tag{3.13924}</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A_{\mathrm{emb-inj}}:\iota_F\text{ ist injektiv}</w:t>
      </w:r>
    </w:p>
    <w:p w:rsidR="008D6044" w:rsidRDefault="008D6044" w:rsidP="008D6044">
      <w:r>
        <w:pict>
          <v:rect id="_x0000_i6056" style="width:0;height:1.5pt" o:hralign="center" o:hrstd="t" o:hr="t" fillcolor="#a0a0a0" stroked="f"/>
        </w:pict>
      </w:r>
    </w:p>
    <w:p w:rsidR="008D6044" w:rsidRDefault="008D6044" w:rsidP="008D6044">
      <w:pPr>
        <w:pStyle w:val="berschrift2"/>
      </w:pPr>
      <w:r>
        <w:t>3.3.53.7 Gegenmodell zur universellen Injektivität</w:t>
      </w:r>
    </w:p>
    <w:p w:rsidR="008D6044" w:rsidRDefault="008D6044" w:rsidP="008D6044">
      <w:pPr>
        <w:pStyle w:val="StandardWeb"/>
      </w:pPr>
      <w:r>
        <w:t>Ich kann eine zulässige Abbildung definieren mit</w:t>
      </w:r>
    </w:p>
    <w:p w:rsidR="008D6044" w:rsidRDefault="008D6044" w:rsidP="008D6044">
      <w:pPr>
        <w:pStyle w:val="berschrift1"/>
      </w:pPr>
      <w:r>
        <w:t>[</w:t>
      </w:r>
      <w:r>
        <w:br/>
        <w:t>\iota_F(X_1)</w:t>
      </w:r>
    </w:p>
    <w:p w:rsidR="008D6044" w:rsidRDefault="008D6044" w:rsidP="008D6044">
      <w:pPr>
        <w:pStyle w:val="StandardWeb"/>
      </w:pPr>
      <w:r>
        <w:t>Y</w:t>
      </w:r>
      <w:r>
        <w:br/>
        <w:t>\tag{3.13925}</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\iota_F(X_1)=Y</w:t>
      </w:r>
    </w:p>
    <w:p w:rsidR="008D6044" w:rsidRDefault="008D6044" w:rsidP="008D6044">
      <w:pPr>
        <w:pStyle w:val="StandardWeb"/>
      </w:pPr>
      <w:r>
        <w:t>und</w:t>
      </w:r>
    </w:p>
    <w:p w:rsidR="008D6044" w:rsidRDefault="008D6044" w:rsidP="008D6044">
      <w:pPr>
        <w:pStyle w:val="berschrift1"/>
      </w:pPr>
      <w:r>
        <w:lastRenderedPageBreak/>
        <w:t>[</w:t>
      </w:r>
      <w:r>
        <w:br/>
        <w:t>\iota_F(X_2)</w:t>
      </w:r>
    </w:p>
    <w:p w:rsidR="008D6044" w:rsidRDefault="008D6044" w:rsidP="008D6044">
      <w:pPr>
        <w:pStyle w:val="StandardWeb"/>
      </w:pPr>
      <w:r>
        <w:t>Y</w:t>
      </w:r>
      <w:r>
        <w:br/>
        <w:t>\tag{3.13926}</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\iota_F(X_2)=Y</w:t>
      </w:r>
    </w:p>
    <w:p w:rsidR="008D6044" w:rsidRDefault="008D6044" w:rsidP="008D6044">
      <w:pPr>
        <w:pStyle w:val="StandardWeb"/>
      </w:pPr>
      <w:r>
        <w:t>bei</w:t>
      </w:r>
    </w:p>
    <w:p w:rsidR="008D6044" w:rsidRDefault="008D6044" w:rsidP="008D6044">
      <w:pPr>
        <w:pStyle w:val="StandardWeb"/>
      </w:pPr>
      <w:r>
        <w:t>[</w:t>
      </w:r>
      <w:r>
        <w:br/>
        <w:t>X_1</w:t>
      </w:r>
      <w:r>
        <w:br/>
        <w:t>\neq</w:t>
      </w:r>
      <w:r>
        <w:br/>
        <w:t>X_2.</w:t>
      </w:r>
      <w:r>
        <w:br/>
        <w:t>\tag{3.13927}</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X_1\neq X_2</w:t>
      </w:r>
    </w:p>
    <w:p w:rsidR="008D6044" w:rsidRDefault="008D6044" w:rsidP="008D6044">
      <w:pPr>
        <w:pStyle w:val="StandardWeb"/>
      </w:pPr>
      <w:r>
        <w:t>Die Abbildung bleibt wohldefiniert.</w:t>
      </w:r>
    </w:p>
    <w:p w:rsidR="008D6044" w:rsidRDefault="008D6044" w:rsidP="008D6044">
      <w:r>
        <w:pict>
          <v:rect id="_x0000_i6057" style="width:0;height:1.5pt" o:hralign="center" o:hrstd="t" o:hr="t" fillcolor="#a0a0a0" stroked="f"/>
        </w:pict>
      </w:r>
    </w:p>
    <w:p w:rsidR="008D6044" w:rsidRDefault="008D6044" w:rsidP="008D6044">
      <w:pPr>
        <w:pStyle w:val="berschrift2"/>
      </w:pPr>
      <w:r>
        <w:t>3.3.53.8 Axiomentscheidung zur Einbettungsinjektivität</w:t>
      </w:r>
    </w:p>
    <w:p w:rsidR="008D6044" w:rsidRDefault="008D6044" w:rsidP="008D6044">
      <w:pPr>
        <w:pStyle w:val="StandardWeb"/>
      </w:pPr>
      <w:r>
        <w:t>Damit gilt</w:t>
      </w:r>
    </w:p>
    <w:p w:rsidR="008D6044" w:rsidRDefault="008D6044" w:rsidP="008D6044">
      <w:pPr>
        <w:pStyle w:val="berschrift1"/>
      </w:pPr>
      <w:r>
        <w:t>[</w:t>
      </w:r>
      <w:r>
        <w:br/>
        <w:t>\boxed{</w:t>
      </w:r>
      <w:r>
        <w:br/>
        <w:t>U_{\mathrm{Ax}}</w:t>
      </w:r>
      <w:r>
        <w:br/>
        <w:t>(A_{\mathrm{emb-inj}})</w:t>
      </w:r>
    </w:p>
    <w:p w:rsidR="008D6044" w:rsidRDefault="008D6044" w:rsidP="009F7790">
      <w:pPr>
        <w:numPr>
          <w:ilvl w:val="0"/>
          <w:numId w:val="735"/>
        </w:numPr>
        <w:spacing w:before="100" w:beforeAutospacing="1" w:after="100" w:afterAutospacing="1"/>
      </w:pPr>
    </w:p>
    <w:p w:rsidR="008D6044" w:rsidRDefault="008D6044" w:rsidP="008D6044">
      <w:pPr>
        <w:pStyle w:val="StandardWeb"/>
      </w:pPr>
      <w:r>
        <w:t>}</w:t>
      </w:r>
      <w:r>
        <w:br/>
        <w:t>\tag{3.13928}</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\boxed{U_{\mathrm{Ax}}(A_{\mathrm{emb-inj}})=0.}</w:t>
      </w:r>
    </w:p>
    <w:p w:rsidR="008D6044" w:rsidRDefault="008D6044" w:rsidP="008D6044">
      <w:r>
        <w:lastRenderedPageBreak/>
        <w:pict>
          <v:rect id="_x0000_i6058" style="width:0;height:1.5pt" o:hralign="center" o:hrstd="t" o:hr="t" fillcolor="#a0a0a0" stroked="f"/>
        </w:pict>
      </w:r>
    </w:p>
    <w:p w:rsidR="008D6044" w:rsidRDefault="008D6044" w:rsidP="008D6044">
      <w:pPr>
        <w:pStyle w:val="berschrift1"/>
      </w:pPr>
      <w:r>
        <w:t>3.3.53.9 Satz 3.3.251 – Injektivität funktionaler Einbettungen ist kein Primäraxiom</w:t>
      </w:r>
    </w:p>
    <w:p w:rsidR="008D6044" w:rsidRDefault="008D6044" w:rsidP="008D6044">
      <w:pPr>
        <w:pStyle w:val="berschrift3"/>
      </w:pPr>
      <w:r>
        <w:t>Satz 3.3.251</w:t>
      </w:r>
    </w:p>
    <w:p w:rsidR="008D6044" w:rsidRDefault="008D6044" w:rsidP="008D6044">
      <w:pPr>
        <w:pStyle w:val="StandardWeb"/>
      </w:pPr>
      <w:r>
        <w:t>Die Forderung, jede funktionale Einbettungs- oder Einordnungsabbildung müsse injektiv sein, ist keine universell notwendige Voraussetzung des allgemeinen FRZK.</w:t>
      </w:r>
    </w:p>
    <w:p w:rsidR="008D6044" w:rsidRDefault="008D6044" w:rsidP="008D6044">
      <w:pPr>
        <w:pStyle w:val="StandardWeb"/>
      </w:pPr>
      <w:r>
        <w:t>Formal gilt</w:t>
      </w:r>
    </w:p>
    <w:p w:rsidR="008D6044" w:rsidRDefault="008D6044" w:rsidP="008D6044">
      <w:pPr>
        <w:pStyle w:val="berschrift1"/>
      </w:pPr>
      <w:r>
        <w:t>[</w:t>
      </w:r>
      <w:r>
        <w:br/>
        <w:t>\boxed{</w:t>
      </w:r>
      <w:r>
        <w:br/>
        <w:t>U_{\mathrm{Ax}}</w:t>
      </w:r>
      <w:r>
        <w:br/>
        <w:t>(A_{\mathrm{emb-inj}})</w:t>
      </w:r>
    </w:p>
    <w:p w:rsidR="008D6044" w:rsidRDefault="008D6044" w:rsidP="009F7790">
      <w:pPr>
        <w:numPr>
          <w:ilvl w:val="0"/>
          <w:numId w:val="736"/>
        </w:numPr>
        <w:spacing w:before="100" w:beforeAutospacing="1" w:after="100" w:afterAutospacing="1"/>
      </w:pPr>
    </w:p>
    <w:p w:rsidR="008D6044" w:rsidRDefault="008D6044" w:rsidP="008D6044">
      <w:pPr>
        <w:pStyle w:val="StandardWeb"/>
      </w:pPr>
      <w:r>
        <w:t>}</w:t>
      </w:r>
      <w:r>
        <w:br/>
        <w:t>\tag{3.13929}</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\boxed{U_{\mathrm{Ax}}(A_{\mathrm{emb-inj}})=0.}</w:t>
      </w:r>
    </w:p>
    <w:p w:rsidR="008D6044" w:rsidRDefault="008D6044" w:rsidP="008D6044">
      <w:pPr>
        <w:pStyle w:val="berschrift3"/>
      </w:pPr>
      <w:r>
        <w:t>Beweis</w:t>
      </w:r>
    </w:p>
    <w:p w:rsidR="008D6044" w:rsidRDefault="008D6044" w:rsidP="008D6044">
      <w:pPr>
        <w:pStyle w:val="StandardWeb"/>
      </w:pPr>
      <w:r>
        <w:t>Eine zulässige Modellabbildung kann verschiedene Ausgangsobjekte auf dieselbe Repräsentation im Zielraum abbilden:</w:t>
      </w:r>
    </w:p>
    <w:p w:rsidR="008D6044" w:rsidRDefault="008D6044" w:rsidP="008D6044">
      <w:pPr>
        <w:pStyle w:val="StandardWeb"/>
      </w:pPr>
      <w:r>
        <w:t>[</w:t>
      </w:r>
      <w:r>
        <w:br/>
        <w:t>X_1\neq X_2,</w:t>
      </w:r>
      <w:r>
        <w:br/>
        <w:t>\qquad</w:t>
      </w:r>
      <w:r>
        <w:br/>
        <w:t>\iota_F(X_1)=\iota_F(X_2).</w:t>
      </w:r>
      <w:r>
        <w:br/>
        <w:t>\tag{3.13930}</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X_1\neq X_2,\qquad\iota_F(X_1)=\iota_F(X_2)</w:t>
      </w:r>
    </w:p>
    <w:p w:rsidR="008D6044" w:rsidRDefault="008D6044" w:rsidP="008D6044">
      <w:pPr>
        <w:pStyle w:val="StandardWeb"/>
      </w:pPr>
      <w:r>
        <w:t>Die Abbildung bleibt wohldefiniert. Injektivität stellt daher eine zusätzliche Strukturbedingung dar und keine universelle Voraussetzung des allgemeinen FRZK. (\square)</w:t>
      </w:r>
    </w:p>
    <w:p w:rsidR="008D6044" w:rsidRDefault="008D6044" w:rsidP="008D6044">
      <w:r>
        <w:pict>
          <v:rect id="_x0000_i6059" style="width:0;height:1.5pt" o:hralign="center" o:hrstd="t" o:hr="t" fillcolor="#a0a0a0" stroked="f"/>
        </w:pict>
      </w:r>
    </w:p>
    <w:p w:rsidR="008D6044" w:rsidRDefault="008D6044" w:rsidP="008D6044">
      <w:pPr>
        <w:pStyle w:val="berschrift1"/>
      </w:pPr>
      <w:r>
        <w:lastRenderedPageBreak/>
        <w:t>3.3.53.10 Korollar 3.3.68 – Einbettungsart ist modellabhängig</w:t>
      </w:r>
    </w:p>
    <w:p w:rsidR="008D6044" w:rsidRDefault="008D6044" w:rsidP="008D6044">
      <w:pPr>
        <w:pStyle w:val="berschrift3"/>
      </w:pPr>
      <w:r>
        <w:t>Korollar 3.3.68</w:t>
      </w:r>
    </w:p>
    <w:p w:rsidR="008D6044" w:rsidRDefault="008D6044" w:rsidP="008D6044">
      <w:pPr>
        <w:pStyle w:val="StandardWeb"/>
      </w:pPr>
      <w:r>
        <w:t>Aus Satz 3.3.251 folgt</w:t>
      </w:r>
    </w:p>
    <w:p w:rsidR="008D6044" w:rsidRDefault="008D6044" w:rsidP="008D6044">
      <w:pPr>
        <w:pStyle w:val="berschrift1"/>
      </w:pPr>
      <w:r>
        <w:t>[</w:t>
      </w:r>
      <w:r>
        <w:br/>
        <w:t>\boxed{</w:t>
      </w:r>
      <w:r>
        <w:br/>
        <w:t>\operatorname{Stat}</w:t>
      </w:r>
      <w:r>
        <w:br/>
        <w:t>(\iota_F)</w:t>
      </w:r>
    </w:p>
    <w:p w:rsidR="008D6044" w:rsidRDefault="008D6044" w:rsidP="008D6044">
      <w:pPr>
        <w:pStyle w:val="StandardWeb"/>
      </w:pPr>
      <w:r>
        <w:t>\mathrm{Def/Mod/Op}.</w:t>
      </w:r>
      <w:r>
        <w:br/>
        <w:t>}</w:t>
      </w:r>
      <w:r>
        <w:br/>
        <w:t>\tag{3.13931}</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\boxed{\operatorname{Stat}(\iota_F)=\mathrm{Def/Mod/Op}.}</w:t>
      </w:r>
    </w:p>
    <w:p w:rsidR="008D6044" w:rsidRDefault="008D6044" w:rsidP="008D6044">
      <w:r>
        <w:pict>
          <v:rect id="_x0000_i6060" style="width:0;height:1.5pt" o:hralign="center" o:hrstd="t" o:hr="t" fillcolor="#a0a0a0" stroked="f"/>
        </w:pict>
      </w:r>
    </w:p>
    <w:p w:rsidR="008D6044" w:rsidRDefault="008D6044" w:rsidP="008D6044">
      <w:pPr>
        <w:pStyle w:val="berschrift1"/>
      </w:pPr>
      <w:r>
        <w:t>3.3.53.11 Strukturtreue Einbettung</w:t>
      </w:r>
    </w:p>
    <w:p w:rsidR="008D6044" w:rsidRDefault="008D6044" w:rsidP="008D6044">
      <w:pPr>
        <w:pStyle w:val="StandardWeb"/>
      </w:pPr>
      <w:r>
        <w:t>Eine Einbettung kann zusätzlich eine vorhandene Relation erhalten.</w:t>
      </w:r>
    </w:p>
    <w:p w:rsidR="008D6044" w:rsidRDefault="008D6044" w:rsidP="008D6044">
      <w:pPr>
        <w:pStyle w:val="StandardWeb"/>
      </w:pPr>
      <w:r>
        <w:t>Sei</w:t>
      </w:r>
    </w:p>
    <w:p w:rsidR="008D6044" w:rsidRDefault="008D6044" w:rsidP="008D6044">
      <w:pPr>
        <w:pStyle w:val="StandardWeb"/>
      </w:pPr>
      <w:r>
        <w:t>[</w:t>
      </w:r>
      <w:r>
        <w:br/>
        <w:t>\mathcal R_F</w:t>
      </w:r>
      <w:r>
        <w:br/>
        <w:t>\subseteq</w:t>
      </w:r>
      <w:r>
        <w:br/>
        <w:t>\mathcal X_F\times\mathcal X_F</w:t>
      </w:r>
      <w:r>
        <w:br/>
        <w:t>\tag{3.13932}</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\mathcal R_F\subseteq\mathcal X_F\times\mathcal X_F</w:t>
      </w:r>
    </w:p>
    <w:p w:rsidR="008D6044" w:rsidRDefault="008D6044" w:rsidP="008D6044">
      <w:pPr>
        <w:pStyle w:val="StandardWeb"/>
      </w:pPr>
      <w:r>
        <w:t>und im Zielraum</w:t>
      </w:r>
    </w:p>
    <w:p w:rsidR="008D6044" w:rsidRDefault="008D6044" w:rsidP="008D6044">
      <w:pPr>
        <w:pStyle w:val="StandardWeb"/>
      </w:pPr>
      <w:r>
        <w:t>[</w:t>
      </w:r>
      <w:r>
        <w:br/>
        <w:t>\mathcal R_F^{\iota}</w:t>
      </w:r>
      <w:r>
        <w:br/>
        <w:t>\subseteq</w:t>
      </w:r>
      <w:r>
        <w:br/>
        <w:t>\mathcal Y_F\times\mathcal Y_F.</w:t>
      </w:r>
      <w:r>
        <w:br/>
      </w:r>
      <w:r>
        <w:lastRenderedPageBreak/>
        <w:t>\tag{3.13933}</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\mathcal R_F^{\iota}\subseteq\mathcal Y_F\times\mathcal Y_F</w:t>
      </w:r>
    </w:p>
    <w:p w:rsidR="008D6044" w:rsidRDefault="008D6044" w:rsidP="008D6044">
      <w:r>
        <w:pict>
          <v:rect id="_x0000_i6061" style="width:0;height:1.5pt" o:hralign="center" o:hrstd="t" o:hr="t" fillcolor="#a0a0a0" stroked="f"/>
        </w:pict>
      </w:r>
    </w:p>
    <w:p w:rsidR="008D6044" w:rsidRDefault="008D6044" w:rsidP="008D6044">
      <w:pPr>
        <w:pStyle w:val="berschrift2"/>
      </w:pPr>
      <w:r>
        <w:t>3.3.53.12 Definition 3.3.629 – Relationstreue funktionale Einbettung</w:t>
      </w:r>
    </w:p>
    <w:p w:rsidR="008D6044" w:rsidRDefault="008D6044" w:rsidP="008D6044">
      <w:pPr>
        <w:pStyle w:val="berschrift3"/>
      </w:pPr>
      <w:r>
        <w:t>Definition 3.3.629</w:t>
      </w:r>
    </w:p>
    <w:p w:rsidR="008D6044" w:rsidRDefault="008D6044" w:rsidP="008D6044">
      <w:pPr>
        <w:pStyle w:val="StandardWeb"/>
      </w:pPr>
      <w:r>
        <w:t xml:space="preserve">Eine funktionale Einbettung heißt </w:t>
      </w:r>
      <w:r>
        <w:rPr>
          <w:rStyle w:val="Fett"/>
        </w:rPr>
        <w:t>relationstreu</w:t>
      </w:r>
      <w:r>
        <w:t>, wenn</w:t>
      </w:r>
    </w:p>
    <w:p w:rsidR="008D6044" w:rsidRDefault="008D6044" w:rsidP="008D6044">
      <w:pPr>
        <w:pStyle w:val="StandardWeb"/>
      </w:pPr>
      <w:r>
        <w:t>[</w:t>
      </w:r>
      <w:r>
        <w:br/>
        <w:t>\boxed{</w:t>
      </w:r>
      <w:r>
        <w:br/>
        <w:t>X,\mathcal R_F,Y</w:t>
      </w:r>
      <w:r>
        <w:br/>
        <w:t>\Rightarrow</w:t>
      </w:r>
      <w:r>
        <w:br/>
        <w:t>\iota_F(X),</w:t>
      </w:r>
      <w:r>
        <w:br/>
        <w:t>\mathcal R_F^{\iota},</w:t>
      </w:r>
      <w:r>
        <w:br/>
        <w:t>\iota_F(Y).</w:t>
      </w:r>
      <w:r>
        <w:br/>
        <w:t>}</w:t>
      </w:r>
      <w:r>
        <w:br/>
        <w:t>\tag{3.13934}</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\boxed{X\,\mathcal R_F\,Y\Rightarrow\iota_F(X)\,\mathcal R_F^{\iota}\,\iota_F(Y).}</w:t>
      </w:r>
    </w:p>
    <w:p w:rsidR="008D6044" w:rsidRDefault="008D6044" w:rsidP="008D6044">
      <w:r>
        <w:pict>
          <v:rect id="_x0000_i6062" style="width:0;height:1.5pt" o:hralign="center" o:hrstd="t" o:hr="t" fillcolor="#a0a0a0" stroked="f"/>
        </w:pict>
      </w:r>
    </w:p>
    <w:p w:rsidR="008D6044" w:rsidRDefault="008D6044" w:rsidP="008D6044">
      <w:pPr>
        <w:pStyle w:val="berschrift1"/>
      </w:pPr>
      <w:r>
        <w:t>3.3.53.13 Relationsbruch unter Einbettung</w:t>
      </w:r>
    </w:p>
    <w:p w:rsidR="008D6044" w:rsidRDefault="008D6044" w:rsidP="008D6044">
      <w:pPr>
        <w:pStyle w:val="StandardWeb"/>
      </w:pPr>
      <w:r>
        <w:t>Es kann dagegen gelten</w:t>
      </w:r>
    </w:p>
    <w:p w:rsidR="008D6044" w:rsidRDefault="008D6044" w:rsidP="008D6044">
      <w:pPr>
        <w:pStyle w:val="StandardWeb"/>
      </w:pPr>
      <w:r>
        <w:t>[</w:t>
      </w:r>
      <w:r>
        <w:br/>
        <w:t>X,\mathcal R_F,Y</w:t>
      </w:r>
      <w:r>
        <w:br/>
        <w:t>\tag{3.13935}</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X\,\mathcal R_F\,Y</w:t>
      </w:r>
    </w:p>
    <w:p w:rsidR="008D6044" w:rsidRDefault="008D6044" w:rsidP="008D6044">
      <w:pPr>
        <w:pStyle w:val="StandardWeb"/>
      </w:pPr>
      <w:r>
        <w:t>aber</w:t>
      </w:r>
    </w:p>
    <w:p w:rsidR="008D6044" w:rsidRDefault="008D6044" w:rsidP="008D6044">
      <w:pPr>
        <w:pStyle w:val="StandardWeb"/>
      </w:pPr>
      <w:r>
        <w:t>[</w:t>
      </w:r>
      <w:r>
        <w:br/>
        <w:t>\iota_F(X)</w:t>
      </w:r>
      <w:r>
        <w:br/>
        <w:t>\not\mathcal R_F^{\iota}</w:t>
      </w:r>
      <w:r>
        <w:br/>
      </w:r>
      <w:r>
        <w:lastRenderedPageBreak/>
        <w:t>\iota_F(Y).</w:t>
      </w:r>
      <w:r>
        <w:br/>
        <w:t>\tag{3.13936}</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\iota_F(X)\not\mathcal R_F^{\iota}\iota_F(Y)</w:t>
      </w:r>
    </w:p>
    <w:p w:rsidR="008D6044" w:rsidRDefault="008D6044" w:rsidP="008D6044">
      <w:r>
        <w:pict>
          <v:rect id="_x0000_i6063" style="width:0;height:1.5pt" o:hralign="center" o:hrstd="t" o:hr="t" fillcolor="#a0a0a0" stroked="f"/>
        </w:pict>
      </w:r>
    </w:p>
    <w:p w:rsidR="008D6044" w:rsidRDefault="008D6044" w:rsidP="008D6044">
      <w:pPr>
        <w:pStyle w:val="berschrift1"/>
      </w:pPr>
      <w:r>
        <w:t>3.3.53.14 Relationstreue als Primäraxiomkandidat</w:t>
      </w:r>
    </w:p>
    <w:p w:rsidR="008D6044" w:rsidRDefault="008D6044" w:rsidP="008D6044">
      <w:pPr>
        <w:pStyle w:val="StandardWeb"/>
      </w:pPr>
      <w:r>
        <w:t>Ich prüfe</w:t>
      </w:r>
    </w:p>
    <w:p w:rsidR="008D6044" w:rsidRDefault="008D6044" w:rsidP="008D6044">
      <w:pPr>
        <w:pStyle w:val="StandardWeb"/>
      </w:pPr>
      <w:r>
        <w:t>[</w:t>
      </w:r>
      <w:r>
        <w:br/>
        <w:t>A_{\mathrm{emb-rel}}</w:t>
      </w:r>
      <w:r>
        <w:br/>
        <w:t>:</w:t>
      </w:r>
      <w:r>
        <w:br/>
        <w:t>X,\mathcal R_F,Y</w:t>
      </w:r>
      <w:r>
        <w:br/>
        <w:t>\Rightarrow</w:t>
      </w:r>
      <w:r>
        <w:br/>
        <w:t>\iota_F(X)</w:t>
      </w:r>
      <w:r>
        <w:br/>
        <w:t>\mathcal R_F^{\iota}</w:t>
      </w:r>
      <w:r>
        <w:br/>
        <w:t>\iota_F(Y).</w:t>
      </w:r>
      <w:r>
        <w:br/>
        <w:t>\tag{3.13937}</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A_{\mathrm{emb-rel}}:X\,\mathcal R_F\,Y\Rightarrow\iota_F(X)\mathcal R_F^{\iota}\iota_F(Y)</w:t>
      </w:r>
    </w:p>
    <w:p w:rsidR="008D6044" w:rsidRDefault="008D6044" w:rsidP="008D6044">
      <w:r>
        <w:pict>
          <v:rect id="_x0000_i6064" style="width:0;height:1.5pt" o:hralign="center" o:hrstd="t" o:hr="t" fillcolor="#a0a0a0" stroked="f"/>
        </w:pict>
      </w:r>
    </w:p>
    <w:p w:rsidR="008D6044" w:rsidRDefault="008D6044" w:rsidP="008D6044">
      <w:pPr>
        <w:pStyle w:val="berschrift1"/>
      </w:pPr>
      <w:r>
        <w:t>3.3.53.15 Gegenmodell</w:t>
      </w:r>
    </w:p>
    <w:p w:rsidR="008D6044" w:rsidRDefault="008D6044" w:rsidP="008D6044">
      <w:pPr>
        <w:pStyle w:val="StandardWeb"/>
      </w:pPr>
      <w:r>
        <w:t>Eine Einbettungsabbildung kann ausschließlich ausgewählte Eigenschaften eines Ausgangsobjekts repräsentieren. Dann kann eine Relation, die auf nicht übertragenen Eigenschaften beruht, im Zielraum verloren gehen.</w:t>
      </w:r>
    </w:p>
    <w:p w:rsidR="008D6044" w:rsidRDefault="008D6044" w:rsidP="008D6044">
      <w:pPr>
        <w:pStyle w:val="StandardWeb"/>
      </w:pPr>
      <w:r>
        <w:t>Formal ist möglich:</w:t>
      </w:r>
    </w:p>
    <w:p w:rsidR="008D6044" w:rsidRDefault="008D6044" w:rsidP="008D6044">
      <w:pPr>
        <w:pStyle w:val="StandardWeb"/>
      </w:pPr>
      <w:r>
        <w:t>[</w:t>
      </w:r>
      <w:r>
        <w:br/>
        <w:t>X,\mathcal R_F,Y</w:t>
      </w:r>
      <w:r>
        <w:br/>
        <w:t>\land</w:t>
      </w:r>
      <w:r>
        <w:br/>
        <w:t>\iota_F(X)</w:t>
      </w:r>
      <w:r>
        <w:br/>
        <w:t>\not\mathcal R_F^{\iota}</w:t>
      </w:r>
      <w:r>
        <w:br/>
        <w:t>\iota_F(Y).</w:t>
      </w:r>
      <w:r>
        <w:br/>
        <w:t>\tag{3.13938}</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X\,\mathcal R_F\,Y\land\iota_F(X)\not\mathcal R_F^{\iota}\iota_F(Y)</w:t>
      </w:r>
    </w:p>
    <w:p w:rsidR="008D6044" w:rsidRDefault="008D6044" w:rsidP="008D6044">
      <w:r>
        <w:lastRenderedPageBreak/>
        <w:pict>
          <v:rect id="_x0000_i6065" style="width:0;height:1.5pt" o:hralign="center" o:hrstd="t" o:hr="t" fillcolor="#a0a0a0" stroked="f"/>
        </w:pict>
      </w:r>
    </w:p>
    <w:p w:rsidR="008D6044" w:rsidRDefault="008D6044" w:rsidP="008D6044">
      <w:pPr>
        <w:pStyle w:val="berschrift1"/>
      </w:pPr>
      <w:r>
        <w:t>3.3.53.16 Axiomentscheidung zur Relationstreue</w:t>
      </w:r>
    </w:p>
    <w:p w:rsidR="008D6044" w:rsidRDefault="008D6044" w:rsidP="008D6044">
      <w:pPr>
        <w:pStyle w:val="StandardWeb"/>
      </w:pPr>
      <w:r>
        <w:t>Damit gilt</w:t>
      </w:r>
    </w:p>
    <w:p w:rsidR="008D6044" w:rsidRDefault="008D6044" w:rsidP="008D6044">
      <w:pPr>
        <w:pStyle w:val="berschrift1"/>
      </w:pPr>
      <w:r>
        <w:t>[</w:t>
      </w:r>
      <w:r>
        <w:br/>
        <w:t>\boxed{</w:t>
      </w:r>
      <w:r>
        <w:br/>
        <w:t>U_{\mathrm{Ax}}</w:t>
      </w:r>
      <w:r>
        <w:br/>
        <w:t>(A_{\mathrm{emb-rel}})</w:t>
      </w:r>
    </w:p>
    <w:p w:rsidR="008D6044" w:rsidRDefault="008D6044" w:rsidP="009F7790">
      <w:pPr>
        <w:numPr>
          <w:ilvl w:val="0"/>
          <w:numId w:val="737"/>
        </w:numPr>
        <w:spacing w:before="100" w:beforeAutospacing="1" w:after="100" w:afterAutospacing="1"/>
      </w:pPr>
    </w:p>
    <w:p w:rsidR="008D6044" w:rsidRDefault="008D6044" w:rsidP="008D6044">
      <w:pPr>
        <w:pStyle w:val="StandardWeb"/>
      </w:pPr>
      <w:r>
        <w:t>}</w:t>
      </w:r>
      <w:r>
        <w:br/>
        <w:t>\tag{3.13939}</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\boxed{U_{\mathrm{Ax}}(A_{\mathrm{emb-rel}})=0.}</w:t>
      </w:r>
    </w:p>
    <w:p w:rsidR="008D6044" w:rsidRDefault="008D6044" w:rsidP="008D6044">
      <w:r>
        <w:pict>
          <v:rect id="_x0000_i6066" style="width:0;height:1.5pt" o:hralign="center" o:hrstd="t" o:hr="t" fillcolor="#a0a0a0" stroked="f"/>
        </w:pict>
      </w:r>
    </w:p>
    <w:p w:rsidR="008D6044" w:rsidRDefault="008D6044" w:rsidP="008D6044">
      <w:pPr>
        <w:pStyle w:val="berschrift1"/>
      </w:pPr>
      <w:r>
        <w:t>3.3.53.17 Satz 3.3.252 – Relationstreue funktionaler Einbettungen ist kein Primäraxiom</w:t>
      </w:r>
    </w:p>
    <w:p w:rsidR="008D6044" w:rsidRDefault="008D6044" w:rsidP="008D6044">
      <w:pPr>
        <w:pStyle w:val="berschrift3"/>
      </w:pPr>
      <w:r>
        <w:t>Satz 3.3.252</w:t>
      </w:r>
    </w:p>
    <w:p w:rsidR="008D6044" w:rsidRDefault="008D6044" w:rsidP="008D6044">
      <w:pPr>
        <w:pStyle w:val="StandardWeb"/>
      </w:pPr>
      <w:r>
        <w:t>Die Forderung, jede funktionale Einbettung müsse sämtliche funktionalen Relationen des Ausgangsraums in einer Zielraumrelation erhalten, ist keine universell notwendige Voraussetzung des allgemeinen FRZK.</w:t>
      </w:r>
    </w:p>
    <w:p w:rsidR="008D6044" w:rsidRDefault="008D6044" w:rsidP="008D6044">
      <w:pPr>
        <w:pStyle w:val="berschrift1"/>
      </w:pPr>
      <w:r>
        <w:t>[</w:t>
      </w:r>
      <w:r>
        <w:br/>
        <w:t>\boxed{</w:t>
      </w:r>
      <w:r>
        <w:br/>
        <w:t>U_{\mathrm{Ax}}</w:t>
      </w:r>
      <w:r>
        <w:br/>
        <w:t>(A_{\mathrm{emb-rel}})</w:t>
      </w:r>
    </w:p>
    <w:p w:rsidR="008D6044" w:rsidRDefault="008D6044" w:rsidP="009F7790">
      <w:pPr>
        <w:numPr>
          <w:ilvl w:val="0"/>
          <w:numId w:val="738"/>
        </w:numPr>
        <w:spacing w:before="100" w:beforeAutospacing="1" w:after="100" w:afterAutospacing="1"/>
      </w:pPr>
    </w:p>
    <w:p w:rsidR="008D6044" w:rsidRDefault="008D6044" w:rsidP="008D6044">
      <w:pPr>
        <w:pStyle w:val="StandardWeb"/>
      </w:pPr>
      <w:r>
        <w:t>}</w:t>
      </w:r>
      <w:r>
        <w:br/>
        <w:t>\tag{3.13940}</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lastRenderedPageBreak/>
        <w:t>\boxed{U_{\mathrm{Ax}}(A_{\mathrm{emb-rel}})=0.}</w:t>
      </w:r>
    </w:p>
    <w:p w:rsidR="008D6044" w:rsidRDefault="008D6044" w:rsidP="008D6044">
      <w:r>
        <w:pict>
          <v:rect id="_x0000_i6067" style="width:0;height:1.5pt" o:hralign="center" o:hrstd="t" o:hr="t" fillcolor="#a0a0a0" stroked="f"/>
        </w:pict>
      </w:r>
    </w:p>
    <w:p w:rsidR="008D6044" w:rsidRDefault="008D6044" w:rsidP="008D6044">
      <w:pPr>
        <w:pStyle w:val="berschrift1"/>
      </w:pPr>
      <w:r>
        <w:t>3.3.53.18 Funktionale Erweiterung</w:t>
      </w:r>
    </w:p>
    <w:p w:rsidR="008D6044" w:rsidRDefault="008D6044" w:rsidP="008D6044">
      <w:pPr>
        <w:pStyle w:val="StandardWeb"/>
      </w:pPr>
      <w:r>
        <w:t>Eine Erweiterung unterscheidet sich von einer bloßen Einbettung dadurch, dass die Zielstruktur zusätzliche funktionale Komponenten enthalten kann.</w:t>
      </w:r>
    </w:p>
    <w:p w:rsidR="008D6044" w:rsidRDefault="008D6044" w:rsidP="008D6044">
      <w:pPr>
        <w:pStyle w:val="StandardWeb"/>
      </w:pPr>
      <w:r>
        <w:t>Ich schreibe</w:t>
      </w:r>
    </w:p>
    <w:p w:rsidR="008D6044" w:rsidRDefault="008D6044" w:rsidP="008D6044">
      <w:pPr>
        <w:pStyle w:val="StandardWeb"/>
      </w:pPr>
      <w:r>
        <w:t>[</w:t>
      </w:r>
      <w:r>
        <w:br/>
        <w:t>E_F</w:t>
      </w:r>
      <w:r>
        <w:br/>
        <w:t>:</w:t>
      </w:r>
      <w:r>
        <w:br/>
        <w:t>\mathcal X_F</w:t>
      </w:r>
      <w:r>
        <w:br/>
        <w:t>\rightarrow</w:t>
      </w:r>
      <w:r>
        <w:br/>
        <w:t>\mathcal X_F^{\mathrm{ext}}.</w:t>
      </w:r>
      <w:r>
        <w:br/>
        <w:t>\tag{3.13941}</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E_F:\mathcal X_F\rightarrow\mathcal X_F^{\mathrm{ext}}</w:t>
      </w:r>
    </w:p>
    <w:p w:rsidR="008D6044" w:rsidRDefault="008D6044" w:rsidP="008D6044">
      <w:r>
        <w:pict>
          <v:rect id="_x0000_i6068" style="width:0;height:1.5pt" o:hralign="center" o:hrstd="t" o:hr="t" fillcolor="#a0a0a0" stroked="f"/>
        </w:pict>
      </w:r>
    </w:p>
    <w:p w:rsidR="008D6044" w:rsidRDefault="008D6044" w:rsidP="008D6044">
      <w:pPr>
        <w:pStyle w:val="berschrift2"/>
      </w:pPr>
      <w:r>
        <w:t>3.3.53.19 Definition 3.3.630 – Funktionale Erweiterungsabbildung</w:t>
      </w:r>
    </w:p>
    <w:p w:rsidR="008D6044" w:rsidRDefault="008D6044" w:rsidP="008D6044">
      <w:pPr>
        <w:pStyle w:val="berschrift3"/>
      </w:pPr>
      <w:r>
        <w:t>Definition 3.3.630</w:t>
      </w:r>
    </w:p>
    <w:p w:rsidR="008D6044" w:rsidRDefault="008D6044" w:rsidP="008D6044">
      <w:pPr>
        <w:pStyle w:val="StandardWeb"/>
      </w:pPr>
      <w:r>
        <w:t xml:space="preserve">Eine </w:t>
      </w:r>
      <w:r>
        <w:rPr>
          <w:rStyle w:val="Fett"/>
        </w:rPr>
        <w:t>funktionale Erweiterungsabbildung</w:t>
      </w:r>
      <w:r>
        <w:t xml:space="preserve"> ist eine modellabhängig definierte Abbildung</w:t>
      </w:r>
    </w:p>
    <w:p w:rsidR="008D6044" w:rsidRDefault="008D6044" w:rsidP="008D6044">
      <w:pPr>
        <w:pStyle w:val="StandardWeb"/>
      </w:pPr>
      <w:r>
        <w:t>[</w:t>
      </w:r>
      <w:r>
        <w:br/>
        <w:t>\boxed{</w:t>
      </w:r>
      <w:r>
        <w:br/>
        <w:t>E_F</w:t>
      </w:r>
      <w:r>
        <w:br/>
        <w:t>:</w:t>
      </w:r>
      <w:r>
        <w:br/>
        <w:t>\mathcal X_F</w:t>
      </w:r>
      <w:r>
        <w:br/>
        <w:t>\rightarrow</w:t>
      </w:r>
      <w:r>
        <w:br/>
        <w:t>\mathcal X_F^{\mathrm{ext}},</w:t>
      </w:r>
      <w:r>
        <w:br/>
        <w:t>}</w:t>
      </w:r>
      <w:r>
        <w:br/>
        <w:t>\tag{3.13942}</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\boxed{E_F:\mathcal X_F\rightarrow\mathcal X_F^{\mathrm{ext}},}</w:t>
      </w:r>
    </w:p>
    <w:p w:rsidR="008D6044" w:rsidRDefault="008D6044" w:rsidP="008D6044">
      <w:pPr>
        <w:pStyle w:val="StandardWeb"/>
      </w:pPr>
      <w:r>
        <w:t>die einem Ausgangsobjekt eine erweiterte Repräsentation in einem reichhaltigeren Strukturraum zuordnet.</w:t>
      </w:r>
    </w:p>
    <w:p w:rsidR="008D6044" w:rsidRDefault="008D6044" w:rsidP="008D6044">
      <w:r>
        <w:pict>
          <v:rect id="_x0000_i6069" style="width:0;height:1.5pt" o:hralign="center" o:hrstd="t" o:hr="t" fillcolor="#a0a0a0" stroked="f"/>
        </w:pict>
      </w:r>
    </w:p>
    <w:p w:rsidR="008D6044" w:rsidRDefault="008D6044" w:rsidP="008D6044">
      <w:pPr>
        <w:pStyle w:val="berschrift1"/>
      </w:pPr>
      <w:r>
        <w:lastRenderedPageBreak/>
        <w:t>3.3.53.20 Zusätzliche Strukturkomponente</w:t>
      </w:r>
    </w:p>
    <w:p w:rsidR="008D6044" w:rsidRDefault="008D6044" w:rsidP="008D6044">
      <w:pPr>
        <w:pStyle w:val="StandardWeb"/>
      </w:pPr>
      <w:r>
        <w:t>Eine Erweiterung kann schematisch geschrieben werden als</w:t>
      </w:r>
    </w:p>
    <w:p w:rsidR="008D6044" w:rsidRDefault="008D6044" w:rsidP="008D6044">
      <w:pPr>
        <w:pStyle w:val="berschrift1"/>
      </w:pPr>
      <w:r>
        <w:t>[</w:t>
      </w:r>
      <w:r>
        <w:br/>
        <w:t>E_F(X)</w:t>
      </w:r>
    </w:p>
    <w:p w:rsidR="008D6044" w:rsidRDefault="008D6044" w:rsidP="008D6044">
      <w:pPr>
        <w:pStyle w:val="StandardWeb"/>
      </w:pPr>
      <w:r>
        <w:t>(X,\eta_F),</w:t>
      </w:r>
      <w:r>
        <w:br/>
        <w:t>\tag{3.13943}</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E_F(X)=(X,\eta_F)</w:t>
      </w:r>
    </w:p>
    <w:p w:rsidR="008D6044" w:rsidRDefault="008D6044" w:rsidP="008D6044">
      <w:pPr>
        <w:pStyle w:val="StandardWeb"/>
      </w:pPr>
      <w:r>
        <w:t>wobei (\eta_F) eine zusätzliche modellabhängige Strukturkomponente bezeichnet.</w:t>
      </w:r>
    </w:p>
    <w:p w:rsidR="008D6044" w:rsidRDefault="008D6044" w:rsidP="008D6044">
      <w:r>
        <w:pict>
          <v:rect id="_x0000_i6070" style="width:0;height:1.5pt" o:hralign="center" o:hrstd="t" o:hr="t" fillcolor="#a0a0a0" stroked="f"/>
        </w:pict>
      </w:r>
    </w:p>
    <w:p w:rsidR="008D6044" w:rsidRDefault="008D6044" w:rsidP="008D6044">
      <w:pPr>
        <w:pStyle w:val="berschrift2"/>
      </w:pPr>
      <w:r>
        <w:t>3.3.53.21 Definition 3.3.631 – Funktionale Erweiterungskomponente</w:t>
      </w:r>
    </w:p>
    <w:p w:rsidR="008D6044" w:rsidRDefault="008D6044" w:rsidP="008D6044">
      <w:pPr>
        <w:pStyle w:val="berschrift3"/>
      </w:pPr>
      <w:r>
        <w:t>Definition 3.3.631</w:t>
      </w:r>
    </w:p>
    <w:p w:rsidR="008D6044" w:rsidRDefault="008D6044" w:rsidP="008D6044">
      <w:pPr>
        <w:pStyle w:val="StandardWeb"/>
      </w:pPr>
      <w:r>
        <w:t xml:space="preserve">Eine </w:t>
      </w:r>
      <w:r>
        <w:rPr>
          <w:rStyle w:val="Fett"/>
        </w:rPr>
        <w:t>funktionale Erweiterungskomponente</w:t>
      </w:r>
      <w:r>
        <w:t xml:space="preserve"> ist eine zusätzliche Strukturgröße (\eta_F), durch die ein Ausgangsobjekt zu einer erweiterten Repräsentation</w:t>
      </w:r>
    </w:p>
    <w:p w:rsidR="008D6044" w:rsidRDefault="008D6044" w:rsidP="008D6044">
      <w:pPr>
        <w:pStyle w:val="berschrift1"/>
      </w:pPr>
      <w:r>
        <w:t>[</w:t>
      </w:r>
      <w:r>
        <w:br/>
        <w:t>\boxed{</w:t>
      </w:r>
      <w:r>
        <w:br/>
        <w:t>X^{\mathrm{ext}}</w:t>
      </w:r>
    </w:p>
    <w:p w:rsidR="008D6044" w:rsidRDefault="008D6044" w:rsidP="008D6044">
      <w:pPr>
        <w:pStyle w:val="StandardWeb"/>
      </w:pPr>
      <w:r>
        <w:t>(X,\eta_F)</w:t>
      </w:r>
      <w:r>
        <w:br/>
        <w:t>}</w:t>
      </w:r>
      <w:r>
        <w:br/>
        <w:t>\tag{3.13944}</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\boxed{X^{\mathrm{ext}}=(X,\eta_F)}</w:t>
      </w:r>
    </w:p>
    <w:p w:rsidR="008D6044" w:rsidRDefault="008D6044" w:rsidP="008D6044">
      <w:pPr>
        <w:pStyle w:val="StandardWeb"/>
      </w:pPr>
      <w:r>
        <w:t>ergänzt wird.</w:t>
      </w:r>
    </w:p>
    <w:p w:rsidR="008D6044" w:rsidRDefault="008D6044" w:rsidP="008D6044">
      <w:r>
        <w:pict>
          <v:rect id="_x0000_i6071" style="width:0;height:1.5pt" o:hralign="center" o:hrstd="t" o:hr="t" fillcolor="#a0a0a0" stroked="f"/>
        </w:pict>
      </w:r>
    </w:p>
    <w:p w:rsidR="008D6044" w:rsidRDefault="008D6044" w:rsidP="008D6044">
      <w:pPr>
        <w:pStyle w:val="berschrift1"/>
      </w:pPr>
      <w:r>
        <w:lastRenderedPageBreak/>
        <w:t>3.3.53.22 Erweiterung ohne Erhaltung des Ausgangsobjekts</w:t>
      </w:r>
    </w:p>
    <w:p w:rsidR="008D6044" w:rsidRDefault="008D6044" w:rsidP="008D6044">
      <w:pPr>
        <w:pStyle w:val="StandardWeb"/>
      </w:pPr>
      <w:r>
        <w:t>Nicht jede Erweiterung muss das ursprüngliche Objekt als direkt identifizierbare Komponente enthalten.</w:t>
      </w:r>
    </w:p>
    <w:p w:rsidR="008D6044" w:rsidRDefault="008D6044" w:rsidP="008D6044">
      <w:pPr>
        <w:pStyle w:val="StandardWeb"/>
      </w:pPr>
      <w:r>
        <w:t>Es kann gelten</w:t>
      </w:r>
    </w:p>
    <w:p w:rsidR="008D6044" w:rsidRDefault="008D6044" w:rsidP="008D6044">
      <w:pPr>
        <w:pStyle w:val="berschrift1"/>
      </w:pPr>
      <w:r>
        <w:t>[</w:t>
      </w:r>
      <w:r>
        <w:br/>
        <w:t>E_F(X)</w:t>
      </w:r>
    </w:p>
    <w:p w:rsidR="008D6044" w:rsidRDefault="008D6044" w:rsidP="008D6044">
      <w:pPr>
        <w:pStyle w:val="StandardWeb"/>
      </w:pPr>
      <w:r>
        <w:t>Y</w:t>
      </w:r>
      <w:r>
        <w:br/>
        <w:t>\tag{3.13945}</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E_F(X)=Y</w:t>
      </w:r>
    </w:p>
    <w:p w:rsidR="008D6044" w:rsidRDefault="008D6044" w:rsidP="008D6044">
      <w:pPr>
        <w:pStyle w:val="StandardWeb"/>
      </w:pPr>
      <w:r>
        <w:t>ohne dass (X) als expliziter Bestandteil von (Y) dargestellt wird.</w:t>
      </w:r>
    </w:p>
    <w:p w:rsidR="008D6044" w:rsidRDefault="008D6044" w:rsidP="008D6044">
      <w:r>
        <w:pict>
          <v:rect id="_x0000_i6072" style="width:0;height:1.5pt" o:hralign="center" o:hrstd="t" o:hr="t" fillcolor="#a0a0a0" stroked="f"/>
        </w:pict>
      </w:r>
    </w:p>
    <w:p w:rsidR="008D6044" w:rsidRDefault="008D6044" w:rsidP="008D6044">
      <w:pPr>
        <w:pStyle w:val="berschrift1"/>
      </w:pPr>
      <w:r>
        <w:t>3.3.53.23 Rückgewinnbare Erweiterung</w:t>
      </w:r>
    </w:p>
    <w:p w:rsidR="008D6044" w:rsidRDefault="008D6044" w:rsidP="008D6044">
      <w:pPr>
        <w:pStyle w:val="StandardWeb"/>
      </w:pPr>
      <w:r>
        <w:t>Eine Erweiterung kann eine Rückabbildung besitzen:</w:t>
      </w:r>
    </w:p>
    <w:p w:rsidR="008D6044" w:rsidRDefault="008D6044" w:rsidP="008D6044">
      <w:pPr>
        <w:pStyle w:val="StandardWeb"/>
      </w:pPr>
      <w:r>
        <w:t>[</w:t>
      </w:r>
      <w:r>
        <w:br/>
        <w:t>P_F</w:t>
      </w:r>
      <w:r>
        <w:br/>
        <w:t>:</w:t>
      </w:r>
      <w:r>
        <w:br/>
        <w:t>\mathcal X_F^{\mathrm{ext}}</w:t>
      </w:r>
      <w:r>
        <w:br/>
        <w:t>\rightarrow</w:t>
      </w:r>
      <w:r>
        <w:br/>
        <w:t>\mathcal X_F.</w:t>
      </w:r>
      <w:r>
        <w:br/>
        <w:t>\tag{3.13946}</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P_F:\mathcal X_F^{\mathrm{ext}}\rightarrow\mathcal X_F</w:t>
      </w:r>
    </w:p>
    <w:p w:rsidR="008D6044" w:rsidRDefault="008D6044" w:rsidP="008D6044">
      <w:pPr>
        <w:pStyle w:val="StandardWeb"/>
      </w:pPr>
      <w:r>
        <w:t>mit</w:t>
      </w:r>
    </w:p>
    <w:p w:rsidR="008D6044" w:rsidRDefault="008D6044" w:rsidP="008D6044">
      <w:pPr>
        <w:pStyle w:val="berschrift1"/>
      </w:pPr>
      <w:r>
        <w:t>[</w:t>
      </w:r>
      <w:r>
        <w:br/>
        <w:t>P_F</w:t>
      </w:r>
      <w:r>
        <w:br/>
      </w:r>
      <w:r>
        <w:lastRenderedPageBreak/>
        <w:t>\circ</w:t>
      </w:r>
      <w:r>
        <w:br/>
        <w:t>E_F</w:t>
      </w:r>
    </w:p>
    <w:p w:rsidR="008D6044" w:rsidRDefault="008D6044" w:rsidP="008D6044">
      <w:pPr>
        <w:pStyle w:val="StandardWeb"/>
      </w:pPr>
      <w:r>
        <w:t>\operatorname{id}_{\mathcal X_F}.</w:t>
      </w:r>
      <w:r>
        <w:br/>
        <w:t>\tag{3.13947}</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P_F\circ E_F=\operatorname{id}_{\mathcal X_F}</w:t>
      </w:r>
    </w:p>
    <w:p w:rsidR="008D6044" w:rsidRDefault="008D6044" w:rsidP="008D6044">
      <w:r>
        <w:pict>
          <v:rect id="_x0000_i6073" style="width:0;height:1.5pt" o:hralign="center" o:hrstd="t" o:hr="t" fillcolor="#a0a0a0" stroked="f"/>
        </w:pict>
      </w:r>
    </w:p>
    <w:p w:rsidR="008D6044" w:rsidRDefault="008D6044" w:rsidP="008D6044">
      <w:pPr>
        <w:pStyle w:val="berschrift2"/>
      </w:pPr>
      <w:r>
        <w:t>3.3.53.24 Definition 3.3.632 – Rückgewinnbare funktionale Erweiterung</w:t>
      </w:r>
    </w:p>
    <w:p w:rsidR="008D6044" w:rsidRDefault="008D6044" w:rsidP="008D6044">
      <w:pPr>
        <w:pStyle w:val="berschrift3"/>
      </w:pPr>
      <w:r>
        <w:t>Definition 3.3.632</w:t>
      </w:r>
    </w:p>
    <w:p w:rsidR="008D6044" w:rsidRDefault="008D6044" w:rsidP="008D6044">
      <w:pPr>
        <w:pStyle w:val="StandardWeb"/>
      </w:pPr>
      <w:r>
        <w:t xml:space="preserve">Eine funktionale Erweiterung heißt </w:t>
      </w:r>
      <w:r>
        <w:rPr>
          <w:rStyle w:val="Fett"/>
        </w:rPr>
        <w:t>rückgewinnbar</w:t>
      </w:r>
      <w:r>
        <w:t>, wenn eine Abbildung (P_F) existiert mit</w:t>
      </w:r>
    </w:p>
    <w:p w:rsidR="008D6044" w:rsidRDefault="008D6044" w:rsidP="008D6044">
      <w:pPr>
        <w:pStyle w:val="berschrift1"/>
      </w:pPr>
      <w:r>
        <w:t>[</w:t>
      </w:r>
      <w:r>
        <w:br/>
        <w:t>\boxed{</w:t>
      </w:r>
      <w:r>
        <w:br/>
        <w:t>P_F</w:t>
      </w:r>
      <w:r>
        <w:br/>
        <w:t>\circ</w:t>
      </w:r>
      <w:r>
        <w:br/>
        <w:t>E_F</w:t>
      </w:r>
    </w:p>
    <w:p w:rsidR="008D6044" w:rsidRDefault="008D6044" w:rsidP="008D6044">
      <w:pPr>
        <w:pStyle w:val="StandardWeb"/>
      </w:pPr>
      <w:r>
        <w:t>\operatorname{id}_{\mathcal X_F}.</w:t>
      </w:r>
      <w:r>
        <w:br/>
        <w:t>}</w:t>
      </w:r>
      <w:r>
        <w:br/>
        <w:t>\tag{3.13948}</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\boxed{P_F\circ E_F=\operatorname{id}_{\mathcal X_F}.}</w:t>
      </w:r>
    </w:p>
    <w:p w:rsidR="008D6044" w:rsidRDefault="008D6044" w:rsidP="008D6044">
      <w:r>
        <w:pict>
          <v:rect id="_x0000_i6074" style="width:0;height:1.5pt" o:hralign="center" o:hrstd="t" o:hr="t" fillcolor="#a0a0a0" stroked="f"/>
        </w:pict>
      </w:r>
    </w:p>
    <w:p w:rsidR="008D6044" w:rsidRDefault="008D6044" w:rsidP="008D6044">
      <w:pPr>
        <w:pStyle w:val="berschrift1"/>
      </w:pPr>
      <w:r>
        <w:t>3.3.53.25 Nicht rückgewinnbare Erweiterung</w:t>
      </w:r>
    </w:p>
    <w:p w:rsidR="008D6044" w:rsidRDefault="008D6044" w:rsidP="008D6044">
      <w:pPr>
        <w:pStyle w:val="StandardWeb"/>
      </w:pPr>
      <w:r>
        <w:t>Eine Erweiterung kann dagegen erfüllen</w:t>
      </w:r>
    </w:p>
    <w:p w:rsidR="008D6044" w:rsidRDefault="008D6044" w:rsidP="008D6044">
      <w:pPr>
        <w:pStyle w:val="berschrift1"/>
      </w:pPr>
      <w:r>
        <w:t>[</w:t>
      </w:r>
      <w:r>
        <w:br/>
        <w:t>\nexists</w:t>
      </w:r>
      <w:r>
        <w:br/>
        <w:t>P_F</w:t>
      </w:r>
      <w:r>
        <w:br/>
      </w:r>
      <w:r>
        <w:lastRenderedPageBreak/>
        <w:t>:</w:t>
      </w:r>
      <w:r>
        <w:br/>
        <w:t>P_F\circ E_F</w:t>
      </w:r>
    </w:p>
    <w:p w:rsidR="008D6044" w:rsidRDefault="008D6044" w:rsidP="008D6044">
      <w:pPr>
        <w:pStyle w:val="StandardWeb"/>
      </w:pPr>
      <w:r>
        <w:t>\operatorname{id}_{\mathcal X_F}.</w:t>
      </w:r>
      <w:r>
        <w:br/>
        <w:t>\tag{3.13949}</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\nexists P_F:P_F\circ E_F=\operatorname{id}_{\mathcal X_F}</w:t>
      </w:r>
    </w:p>
    <w:p w:rsidR="008D6044" w:rsidRDefault="008D6044" w:rsidP="008D6044">
      <w:r>
        <w:pict>
          <v:rect id="_x0000_i6075" style="width:0;height:1.5pt" o:hralign="center" o:hrstd="t" o:hr="t" fillcolor="#a0a0a0" stroked="f"/>
        </w:pict>
      </w:r>
    </w:p>
    <w:p w:rsidR="008D6044" w:rsidRDefault="008D6044" w:rsidP="008D6044">
      <w:pPr>
        <w:pStyle w:val="berschrift1"/>
      </w:pPr>
      <w:r>
        <w:t>3.3.53.26 Rückgewinnbarkeit als Primäraxiomkandidat</w:t>
      </w:r>
    </w:p>
    <w:p w:rsidR="008D6044" w:rsidRDefault="008D6044" w:rsidP="008D6044">
      <w:pPr>
        <w:pStyle w:val="StandardWeb"/>
      </w:pPr>
      <w:r>
        <w:t>Der Kandidat lautet</w:t>
      </w:r>
    </w:p>
    <w:p w:rsidR="008D6044" w:rsidRDefault="008D6044" w:rsidP="008D6044">
      <w:pPr>
        <w:pStyle w:val="berschrift1"/>
      </w:pPr>
      <w:r>
        <w:t>[</w:t>
      </w:r>
      <w:r>
        <w:br/>
        <w:t>A_{\mathrm{ext-rec}}</w:t>
      </w:r>
      <w:r>
        <w:br/>
        <w:t>:</w:t>
      </w:r>
      <w:r>
        <w:br/>
        <w:t>\exists P_F:</w:t>
      </w:r>
      <w:r>
        <w:br/>
        <w:t>P_F\circ E_F</w:t>
      </w:r>
    </w:p>
    <w:p w:rsidR="008D6044" w:rsidRDefault="008D6044" w:rsidP="008D6044">
      <w:pPr>
        <w:pStyle w:val="StandardWeb"/>
      </w:pPr>
      <w:r>
        <w:t>\operatorname{id}.</w:t>
      </w:r>
      <w:r>
        <w:br/>
        <w:t>\tag{3.13950}</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A_{\mathrm{ext-rec}}:\exists P_F:P_F\circ E_F=\operatorname{id}</w:t>
      </w:r>
    </w:p>
    <w:p w:rsidR="008D6044" w:rsidRDefault="008D6044" w:rsidP="008D6044">
      <w:r>
        <w:pict>
          <v:rect id="_x0000_i6076" style="width:0;height:1.5pt" o:hralign="center" o:hrstd="t" o:hr="t" fillcolor="#a0a0a0" stroked="f"/>
        </w:pict>
      </w:r>
    </w:p>
    <w:p w:rsidR="008D6044" w:rsidRDefault="008D6044" w:rsidP="008D6044">
      <w:pPr>
        <w:pStyle w:val="berschrift1"/>
      </w:pPr>
      <w:r>
        <w:t>3.3.53.27 Gegenmodell</w:t>
      </w:r>
    </w:p>
    <w:p w:rsidR="008D6044" w:rsidRDefault="008D6044" w:rsidP="008D6044">
      <w:pPr>
        <w:pStyle w:val="StandardWeb"/>
      </w:pPr>
      <w:r>
        <w:t>Eine Erweiterungsabbildung kann verschiedene Ausgangsobjekte auf dieselbe erweiterte Repräsentation abbilden:</w:t>
      </w:r>
    </w:p>
    <w:p w:rsidR="008D6044" w:rsidRDefault="008D6044" w:rsidP="008D6044">
      <w:pPr>
        <w:pStyle w:val="StandardWeb"/>
      </w:pPr>
      <w:r>
        <w:t>[</w:t>
      </w:r>
      <w:r>
        <w:br/>
        <w:t>X_1</w:t>
      </w:r>
      <w:r>
        <w:br/>
        <w:t>\neq</w:t>
      </w:r>
      <w:r>
        <w:br/>
        <w:t>X_2</w:t>
      </w:r>
      <w:r>
        <w:br/>
        <w:t>\tag{3.13951}</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lastRenderedPageBreak/>
        <w:t>X_1\neq X_2</w:t>
      </w:r>
    </w:p>
    <w:p w:rsidR="008D6044" w:rsidRDefault="008D6044" w:rsidP="008D6044">
      <w:pPr>
        <w:pStyle w:val="StandardWeb"/>
      </w:pPr>
      <w:r>
        <w:t>und</w:t>
      </w:r>
    </w:p>
    <w:p w:rsidR="008D6044" w:rsidRDefault="008D6044" w:rsidP="008D6044">
      <w:pPr>
        <w:pStyle w:val="berschrift1"/>
      </w:pPr>
      <w:r>
        <w:t>[</w:t>
      </w:r>
      <w:r>
        <w:br/>
        <w:t>E_F(X_1)</w:t>
      </w:r>
    </w:p>
    <w:p w:rsidR="008D6044" w:rsidRDefault="008D6044" w:rsidP="008D6044">
      <w:pPr>
        <w:pStyle w:val="StandardWeb"/>
      </w:pPr>
      <w:r>
        <w:t>E_F(X_2).</w:t>
      </w:r>
      <w:r>
        <w:br/>
        <w:t>\tag{3.13952}</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E_F(X_1)=E_F(X_2)</w:t>
      </w:r>
    </w:p>
    <w:p w:rsidR="008D6044" w:rsidRDefault="008D6044" w:rsidP="008D6044">
      <w:pPr>
        <w:pStyle w:val="StandardWeb"/>
      </w:pPr>
      <w:r>
        <w:t>Dann ist eine eindeutige Rückgewinnung beider Ausgangsobjekte unmöglich.</w:t>
      </w:r>
    </w:p>
    <w:p w:rsidR="008D6044" w:rsidRDefault="008D6044" w:rsidP="008D6044">
      <w:r>
        <w:pict>
          <v:rect id="_x0000_i6077" style="width:0;height:1.5pt" o:hralign="center" o:hrstd="t" o:hr="t" fillcolor="#a0a0a0" stroked="f"/>
        </w:pict>
      </w:r>
    </w:p>
    <w:p w:rsidR="008D6044" w:rsidRDefault="008D6044" w:rsidP="008D6044">
      <w:pPr>
        <w:pStyle w:val="berschrift1"/>
      </w:pPr>
      <w:r>
        <w:t>3.3.53.28 Axiomentscheidung zur Rückgewinnbarkeit</w:t>
      </w:r>
    </w:p>
    <w:p w:rsidR="008D6044" w:rsidRDefault="008D6044" w:rsidP="008D6044">
      <w:pPr>
        <w:pStyle w:val="StandardWeb"/>
      </w:pPr>
      <w:r>
        <w:t>Daraus folgt</w:t>
      </w:r>
    </w:p>
    <w:p w:rsidR="008D6044" w:rsidRDefault="008D6044" w:rsidP="008D6044">
      <w:pPr>
        <w:pStyle w:val="berschrift1"/>
      </w:pPr>
      <w:r>
        <w:t>[</w:t>
      </w:r>
      <w:r>
        <w:br/>
        <w:t>\boxed{</w:t>
      </w:r>
      <w:r>
        <w:br/>
        <w:t>U_{\mathrm{Ax}}</w:t>
      </w:r>
      <w:r>
        <w:br/>
        <w:t>(A_{\mathrm{ext-rec}})</w:t>
      </w:r>
    </w:p>
    <w:p w:rsidR="008D6044" w:rsidRDefault="008D6044" w:rsidP="009F7790">
      <w:pPr>
        <w:numPr>
          <w:ilvl w:val="0"/>
          <w:numId w:val="739"/>
        </w:numPr>
        <w:spacing w:before="100" w:beforeAutospacing="1" w:after="100" w:afterAutospacing="1"/>
      </w:pPr>
    </w:p>
    <w:p w:rsidR="008D6044" w:rsidRDefault="008D6044" w:rsidP="008D6044">
      <w:pPr>
        <w:pStyle w:val="StandardWeb"/>
      </w:pPr>
      <w:r>
        <w:t>}</w:t>
      </w:r>
      <w:r>
        <w:br/>
        <w:t>\tag{3.13953}</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\boxed{U_{\mathrm{Ax}}(A_{\mathrm{ext-rec}})=0.}</w:t>
      </w:r>
    </w:p>
    <w:p w:rsidR="008D6044" w:rsidRDefault="008D6044" w:rsidP="008D6044">
      <w:r>
        <w:pict>
          <v:rect id="_x0000_i6078" style="width:0;height:1.5pt" o:hralign="center" o:hrstd="t" o:hr="t" fillcolor="#a0a0a0" stroked="f"/>
        </w:pict>
      </w:r>
    </w:p>
    <w:p w:rsidR="008D6044" w:rsidRDefault="008D6044" w:rsidP="008D6044">
      <w:pPr>
        <w:pStyle w:val="berschrift1"/>
      </w:pPr>
      <w:r>
        <w:t>3.3.53.29 Satz 3.3.253 – Rückgewinnbarkeit funktionaler Erweiterungen ist kein Primäraxiom</w:t>
      </w:r>
    </w:p>
    <w:p w:rsidR="008D6044" w:rsidRDefault="008D6044" w:rsidP="008D6044">
      <w:pPr>
        <w:pStyle w:val="berschrift3"/>
      </w:pPr>
      <w:r>
        <w:t>Satz 3.3.253</w:t>
      </w:r>
    </w:p>
    <w:p w:rsidR="008D6044" w:rsidRDefault="008D6044" w:rsidP="008D6044">
      <w:pPr>
        <w:pStyle w:val="StandardWeb"/>
      </w:pPr>
      <w:r>
        <w:lastRenderedPageBreak/>
        <w:t>Die Forderung, jede funktionale Erweiterung müsse eine eindeutige Rückabbildung zum ursprünglichen funktionalen Objekt besitzen, ist keine universell notwendige Voraussetzung des allgemeinen FRZK.</w:t>
      </w:r>
    </w:p>
    <w:p w:rsidR="008D6044" w:rsidRDefault="008D6044" w:rsidP="008D6044">
      <w:pPr>
        <w:pStyle w:val="berschrift1"/>
      </w:pPr>
      <w:r>
        <w:t>[</w:t>
      </w:r>
      <w:r>
        <w:br/>
        <w:t>\boxed{</w:t>
      </w:r>
      <w:r>
        <w:br/>
        <w:t>U_{\mathrm{Ax}}</w:t>
      </w:r>
      <w:r>
        <w:br/>
        <w:t>(A_{\mathrm{ext-rec}})</w:t>
      </w:r>
    </w:p>
    <w:p w:rsidR="008D6044" w:rsidRDefault="008D6044" w:rsidP="009F7790">
      <w:pPr>
        <w:numPr>
          <w:ilvl w:val="0"/>
          <w:numId w:val="740"/>
        </w:numPr>
        <w:spacing w:before="100" w:beforeAutospacing="1" w:after="100" w:afterAutospacing="1"/>
      </w:pPr>
    </w:p>
    <w:p w:rsidR="008D6044" w:rsidRDefault="008D6044" w:rsidP="008D6044">
      <w:pPr>
        <w:pStyle w:val="StandardWeb"/>
      </w:pPr>
      <w:r>
        <w:t>}</w:t>
      </w:r>
      <w:r>
        <w:br/>
        <w:t>\tag{3.13954}</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\boxed{U_{\mathrm{Ax}}(A_{\mathrm{ext-rec}})=0.}</w:t>
      </w:r>
    </w:p>
    <w:p w:rsidR="008D6044" w:rsidRDefault="008D6044" w:rsidP="008D6044">
      <w:r>
        <w:pict>
          <v:rect id="_x0000_i6079" style="width:0;height:1.5pt" o:hralign="center" o:hrstd="t" o:hr="t" fillcolor="#a0a0a0" stroked="f"/>
        </w:pict>
      </w:r>
    </w:p>
    <w:p w:rsidR="008D6044" w:rsidRDefault="008D6044" w:rsidP="008D6044">
      <w:pPr>
        <w:pStyle w:val="berschrift1"/>
      </w:pPr>
      <w:r>
        <w:t>3.3.53.30 Korollar 3.3.69 – Erweiterungsstrukturen sind modellabhängig</w:t>
      </w:r>
    </w:p>
    <w:p w:rsidR="008D6044" w:rsidRDefault="008D6044" w:rsidP="008D6044">
      <w:pPr>
        <w:pStyle w:val="berschrift3"/>
      </w:pPr>
      <w:r>
        <w:t>Korollar 3.3.69</w:t>
      </w:r>
    </w:p>
    <w:p w:rsidR="008D6044" w:rsidRDefault="008D6044" w:rsidP="008D6044">
      <w:pPr>
        <w:pStyle w:val="StandardWeb"/>
      </w:pPr>
      <w:r>
        <w:t>Aus Satz 3.3.253 folgt</w:t>
      </w:r>
    </w:p>
    <w:p w:rsidR="008D6044" w:rsidRDefault="008D6044" w:rsidP="008D6044">
      <w:pPr>
        <w:pStyle w:val="berschrift1"/>
      </w:pPr>
      <w:r>
        <w:t>[</w:t>
      </w:r>
      <w:r>
        <w:br/>
        <w:t>\boxed{</w:t>
      </w:r>
      <w:r>
        <w:br/>
        <w:t>\operatorname{Stat}</w:t>
      </w:r>
      <w:r>
        <w:br/>
        <w:t>(E_F)</w:t>
      </w:r>
    </w:p>
    <w:p w:rsidR="008D6044" w:rsidRDefault="008D6044" w:rsidP="008D6044">
      <w:pPr>
        <w:pStyle w:val="StandardWeb"/>
      </w:pPr>
      <w:r>
        <w:t>\mathrm{Def/Mod/Op}.</w:t>
      </w:r>
      <w:r>
        <w:br/>
        <w:t>}</w:t>
      </w:r>
      <w:r>
        <w:br/>
        <w:t>\tag{3.13955}</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\boxed{\operatorname{Stat}(E_F)=\mathrm{Def/Mod/Op}.}</w:t>
      </w:r>
    </w:p>
    <w:p w:rsidR="008D6044" w:rsidRDefault="008D6044" w:rsidP="008D6044">
      <w:r>
        <w:pict>
          <v:rect id="_x0000_i6080" style="width:0;height:1.5pt" o:hralign="center" o:hrstd="t" o:hr="t" fillcolor="#a0a0a0" stroked="f"/>
        </w:pict>
      </w:r>
    </w:p>
    <w:p w:rsidR="008D6044" w:rsidRDefault="008D6044" w:rsidP="008D6044">
      <w:pPr>
        <w:pStyle w:val="berschrift1"/>
      </w:pPr>
      <w:r>
        <w:t>3.3.53.31 Funktionales Lifting</w:t>
      </w:r>
    </w:p>
    <w:p w:rsidR="008D6044" w:rsidRDefault="008D6044" w:rsidP="008D6044">
      <w:pPr>
        <w:pStyle w:val="StandardWeb"/>
      </w:pPr>
      <w:r>
        <w:lastRenderedPageBreak/>
        <w:t>Ein Lifting beschreibt die Überführung eines Objekts oder Zustands in eine andere Darstellungsebene.</w:t>
      </w:r>
    </w:p>
    <w:p w:rsidR="008D6044" w:rsidRDefault="008D6044" w:rsidP="008D6044">
      <w:pPr>
        <w:pStyle w:val="StandardWeb"/>
      </w:pPr>
      <w:r>
        <w:t>Ich schreibe</w:t>
      </w:r>
    </w:p>
    <w:p w:rsidR="008D6044" w:rsidRDefault="008D6044" w:rsidP="008D6044">
      <w:pPr>
        <w:pStyle w:val="StandardWeb"/>
      </w:pPr>
      <w:r>
        <w:t>[</w:t>
      </w:r>
      <w:r>
        <w:br/>
        <w:t>L_F</w:t>
      </w:r>
      <w:r>
        <w:br/>
        <w:t>:</w:t>
      </w:r>
      <w:r>
        <w:br/>
        <w:t>\mathcal X_F</w:t>
      </w:r>
      <w:r>
        <w:br/>
        <w:t>\rightarrow</w:t>
      </w:r>
      <w:r>
        <w:br/>
        <w:t>\widetilde{\mathcal X}_F.</w:t>
      </w:r>
      <w:r>
        <w:br/>
        <w:t>\tag{3.13956}</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L_F:\mathcal X_F\rightarrow\widetilde{\mathcal X}_F</w:t>
      </w:r>
    </w:p>
    <w:p w:rsidR="008D6044" w:rsidRDefault="008D6044" w:rsidP="008D6044">
      <w:r>
        <w:pict>
          <v:rect id="_x0000_i6081" style="width:0;height:1.5pt" o:hralign="center" o:hrstd="t" o:hr="t" fillcolor="#a0a0a0" stroked="f"/>
        </w:pict>
      </w:r>
    </w:p>
    <w:p w:rsidR="008D6044" w:rsidRDefault="008D6044" w:rsidP="008D6044">
      <w:pPr>
        <w:pStyle w:val="berschrift2"/>
      </w:pPr>
      <w:r>
        <w:t>3.3.53.32 Definition 3.3.633 – Funktionales Lifting</w:t>
      </w:r>
    </w:p>
    <w:p w:rsidR="008D6044" w:rsidRDefault="008D6044" w:rsidP="008D6044">
      <w:pPr>
        <w:pStyle w:val="berschrift3"/>
      </w:pPr>
      <w:r>
        <w:t>Definition 3.3.633</w:t>
      </w:r>
    </w:p>
    <w:p w:rsidR="008D6044" w:rsidRDefault="008D6044" w:rsidP="008D6044">
      <w:pPr>
        <w:pStyle w:val="StandardWeb"/>
      </w:pPr>
      <w:r>
        <w:t xml:space="preserve">Ein </w:t>
      </w:r>
      <w:r>
        <w:rPr>
          <w:rStyle w:val="Fett"/>
        </w:rPr>
        <w:t>funktionales Lifting</w:t>
      </w:r>
      <w:r>
        <w:t xml:space="preserve"> ist eine modellabhängige Abbildung</w:t>
      </w:r>
    </w:p>
    <w:p w:rsidR="008D6044" w:rsidRDefault="008D6044" w:rsidP="008D6044">
      <w:pPr>
        <w:pStyle w:val="StandardWeb"/>
      </w:pPr>
      <w:r>
        <w:t>[</w:t>
      </w:r>
      <w:r>
        <w:br/>
        <w:t>\boxed{</w:t>
      </w:r>
      <w:r>
        <w:br/>
        <w:t>L_F</w:t>
      </w:r>
      <w:r>
        <w:br/>
        <w:t>:</w:t>
      </w:r>
      <w:r>
        <w:br/>
        <w:t>\mathcal X_F</w:t>
      </w:r>
      <w:r>
        <w:br/>
        <w:t>\rightarrow</w:t>
      </w:r>
      <w:r>
        <w:br/>
        <w:t>\widetilde{\mathcal X}_F,</w:t>
      </w:r>
      <w:r>
        <w:br/>
        <w:t>}</w:t>
      </w:r>
      <w:r>
        <w:br/>
        <w:t>\tag{3.13957}</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\boxed{L_F:\mathcal X_F\rightarrow\widetilde{\mathcal X}_F,}</w:t>
      </w:r>
    </w:p>
    <w:p w:rsidR="008D6044" w:rsidRDefault="008D6044" w:rsidP="008D6044">
      <w:pPr>
        <w:pStyle w:val="StandardWeb"/>
      </w:pPr>
      <w:r>
        <w:t>durch die ein funktionales Objekt in eine andere oder strukturreichere Repräsentationsebene überführt wird.</w:t>
      </w:r>
    </w:p>
    <w:p w:rsidR="008D6044" w:rsidRDefault="008D6044" w:rsidP="008D6044">
      <w:r>
        <w:pict>
          <v:rect id="_x0000_i6082" style="width:0;height:1.5pt" o:hralign="center" o:hrstd="t" o:hr="t" fillcolor="#a0a0a0" stroked="f"/>
        </w:pict>
      </w:r>
    </w:p>
    <w:p w:rsidR="008D6044" w:rsidRDefault="008D6044" w:rsidP="008D6044">
      <w:pPr>
        <w:pStyle w:val="berschrift1"/>
      </w:pPr>
      <w:r>
        <w:t>3.3.53.33 Lifting und Projektion</w:t>
      </w:r>
    </w:p>
    <w:p w:rsidR="008D6044" w:rsidRDefault="008D6044" w:rsidP="008D6044">
      <w:pPr>
        <w:pStyle w:val="StandardWeb"/>
      </w:pPr>
      <w:r>
        <w:t>Ein Lifting kann mit einer Projektion (\Pi_F) verbunden sein.</w:t>
      </w:r>
    </w:p>
    <w:p w:rsidR="008D6044" w:rsidRDefault="008D6044" w:rsidP="008D6044">
      <w:pPr>
        <w:pStyle w:val="StandardWeb"/>
      </w:pPr>
      <w:r>
        <w:t>Eine mögliche Bedingung ist</w:t>
      </w:r>
    </w:p>
    <w:p w:rsidR="008D6044" w:rsidRDefault="008D6044" w:rsidP="008D6044">
      <w:pPr>
        <w:pStyle w:val="berschrift1"/>
      </w:pPr>
      <w:r>
        <w:lastRenderedPageBreak/>
        <w:t>[</w:t>
      </w:r>
      <w:r>
        <w:br/>
        <w:t>\Pi_F</w:t>
      </w:r>
      <w:r>
        <w:br/>
        <w:t>\circ</w:t>
      </w:r>
      <w:r>
        <w:br/>
        <w:t>L_F</w:t>
      </w:r>
    </w:p>
    <w:p w:rsidR="008D6044" w:rsidRDefault="008D6044" w:rsidP="008D6044">
      <w:pPr>
        <w:pStyle w:val="StandardWeb"/>
      </w:pPr>
      <w:r>
        <w:t>\operatorname{id}_{\mathcal X_F}.</w:t>
      </w:r>
      <w:r>
        <w:br/>
        <w:t>\tag{3.13958}</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\Pi_F\circ L_F=\operatorname{id}_{\mathcal X_F}</w:t>
      </w:r>
    </w:p>
    <w:p w:rsidR="008D6044" w:rsidRDefault="008D6044" w:rsidP="008D6044">
      <w:r>
        <w:pict>
          <v:rect id="_x0000_i6083" style="width:0;height:1.5pt" o:hralign="center" o:hrstd="t" o:hr="t" fillcolor="#a0a0a0" stroked="f"/>
        </w:pict>
      </w:r>
    </w:p>
    <w:p w:rsidR="008D6044" w:rsidRDefault="008D6044" w:rsidP="008D6044">
      <w:pPr>
        <w:pStyle w:val="berschrift2"/>
      </w:pPr>
      <w:r>
        <w:t>3.3.53.34 Definition 3.3.634 – Projektionskompatibles funktionales Lifting</w:t>
      </w:r>
    </w:p>
    <w:p w:rsidR="008D6044" w:rsidRDefault="008D6044" w:rsidP="008D6044">
      <w:pPr>
        <w:pStyle w:val="berschrift3"/>
      </w:pPr>
      <w:r>
        <w:t>Definition 3.3.634</w:t>
      </w:r>
    </w:p>
    <w:p w:rsidR="008D6044" w:rsidRDefault="008D6044" w:rsidP="008D6044">
      <w:pPr>
        <w:pStyle w:val="StandardWeb"/>
      </w:pPr>
      <w:r>
        <w:t xml:space="preserve">Ein funktionales Lifting heißt </w:t>
      </w:r>
      <w:r>
        <w:rPr>
          <w:rStyle w:val="Fett"/>
        </w:rPr>
        <w:t>projektionskompatibel</w:t>
      </w:r>
      <w:r>
        <w:t>, wenn</w:t>
      </w:r>
    </w:p>
    <w:p w:rsidR="008D6044" w:rsidRDefault="008D6044" w:rsidP="008D6044">
      <w:pPr>
        <w:pStyle w:val="berschrift1"/>
      </w:pPr>
      <w:r>
        <w:t>[</w:t>
      </w:r>
      <w:r>
        <w:br/>
        <w:t>\boxed{</w:t>
      </w:r>
      <w:r>
        <w:br/>
        <w:t>\Pi_F</w:t>
      </w:r>
      <w:r>
        <w:br/>
        <w:t>\circ</w:t>
      </w:r>
      <w:r>
        <w:br/>
        <w:t>L_F</w:t>
      </w:r>
    </w:p>
    <w:p w:rsidR="008D6044" w:rsidRDefault="008D6044" w:rsidP="008D6044">
      <w:pPr>
        <w:pStyle w:val="StandardWeb"/>
      </w:pPr>
      <w:r>
        <w:t>\operatorname{id}_{\mathcal X_F}.</w:t>
      </w:r>
      <w:r>
        <w:br/>
        <w:t>}</w:t>
      </w:r>
      <w:r>
        <w:br/>
        <w:t>\tag{3.13959}</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\boxed{\Pi_F\circ L_F=\operatorname{id}_{\mathcal X_F}.}</w:t>
      </w:r>
    </w:p>
    <w:p w:rsidR="008D6044" w:rsidRDefault="008D6044" w:rsidP="008D6044">
      <w:r>
        <w:pict>
          <v:rect id="_x0000_i6084" style="width:0;height:1.5pt" o:hralign="center" o:hrstd="t" o:hr="t" fillcolor="#a0a0a0" stroked="f"/>
        </w:pict>
      </w:r>
    </w:p>
    <w:p w:rsidR="008D6044" w:rsidRDefault="008D6044" w:rsidP="008D6044">
      <w:pPr>
        <w:pStyle w:val="berschrift1"/>
      </w:pPr>
      <w:r>
        <w:t>3.3.53.35 Nichtkompatibles Lifting</w:t>
      </w:r>
    </w:p>
    <w:p w:rsidR="008D6044" w:rsidRDefault="008D6044" w:rsidP="008D6044">
      <w:pPr>
        <w:pStyle w:val="StandardWeb"/>
      </w:pPr>
      <w:r>
        <w:t>Es kann dagegen gelten</w:t>
      </w:r>
    </w:p>
    <w:p w:rsidR="008D6044" w:rsidRDefault="008D6044" w:rsidP="008D6044">
      <w:pPr>
        <w:pStyle w:val="StandardWeb"/>
      </w:pPr>
      <w:r>
        <w:t>[</w:t>
      </w:r>
      <w:r>
        <w:br/>
        <w:t>\Pi_F</w:t>
      </w:r>
      <w:r>
        <w:br/>
      </w:r>
      <w:r>
        <w:lastRenderedPageBreak/>
        <w:t>\bigl(</w:t>
      </w:r>
      <w:r>
        <w:br/>
        <w:t>L_F(X)</w:t>
      </w:r>
      <w:r>
        <w:br/>
        <w:t>\bigr)</w:t>
      </w:r>
      <w:r>
        <w:br/>
        <w:t>\neq</w:t>
      </w:r>
      <w:r>
        <w:br/>
        <w:t>X.</w:t>
      </w:r>
      <w:r>
        <w:br/>
        <w:t>\tag{3.13960}</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\Pi_F\bigl(L_F(X)\bigr)\neq X</w:t>
      </w:r>
    </w:p>
    <w:p w:rsidR="008D6044" w:rsidRDefault="008D6044" w:rsidP="008D6044">
      <w:r>
        <w:pict>
          <v:rect id="_x0000_i6085" style="width:0;height:1.5pt" o:hralign="center" o:hrstd="t" o:hr="t" fillcolor="#a0a0a0" stroked="f"/>
        </w:pict>
      </w:r>
    </w:p>
    <w:p w:rsidR="008D6044" w:rsidRDefault="008D6044" w:rsidP="008D6044">
      <w:pPr>
        <w:pStyle w:val="berschrift1"/>
      </w:pPr>
      <w:r>
        <w:t>3.3.53.36 Projektionskompatibilität als Primäraxiomkandidat</w:t>
      </w:r>
    </w:p>
    <w:p w:rsidR="008D6044" w:rsidRDefault="008D6044" w:rsidP="008D6044">
      <w:pPr>
        <w:pStyle w:val="StandardWeb"/>
      </w:pPr>
      <w:r>
        <w:t>Ein möglicher Kandidat lautet</w:t>
      </w:r>
    </w:p>
    <w:p w:rsidR="008D6044" w:rsidRDefault="008D6044" w:rsidP="008D6044">
      <w:pPr>
        <w:pStyle w:val="berschrift1"/>
      </w:pPr>
      <w:r>
        <w:t>[</w:t>
      </w:r>
      <w:r>
        <w:br/>
        <w:t>A_{\mathrm{lift-proj}}</w:t>
      </w:r>
      <w:r>
        <w:br/>
        <w:t>:</w:t>
      </w:r>
      <w:r>
        <w:br/>
        <w:t>\Pi_F\circ L_F</w:t>
      </w:r>
    </w:p>
    <w:p w:rsidR="008D6044" w:rsidRDefault="008D6044" w:rsidP="008D6044">
      <w:pPr>
        <w:pStyle w:val="StandardWeb"/>
      </w:pPr>
      <w:r>
        <w:t>\operatorname{id}.</w:t>
      </w:r>
      <w:r>
        <w:br/>
        <w:t>\tag{3.13961}</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A_{\mathrm{lift-proj}}:\Pi_F\circ L_F=\operatorname{id}</w:t>
      </w:r>
    </w:p>
    <w:p w:rsidR="008D6044" w:rsidRDefault="008D6044" w:rsidP="008D6044">
      <w:r>
        <w:pict>
          <v:rect id="_x0000_i6086" style="width:0;height:1.5pt" o:hralign="center" o:hrstd="t" o:hr="t" fillcolor="#a0a0a0" stroked="f"/>
        </w:pict>
      </w:r>
    </w:p>
    <w:p w:rsidR="008D6044" w:rsidRDefault="008D6044" w:rsidP="008D6044">
      <w:pPr>
        <w:pStyle w:val="berschrift1"/>
      </w:pPr>
      <w:r>
        <w:t>3.3.53.37 Gegenmodell</w:t>
      </w:r>
    </w:p>
    <w:p w:rsidR="008D6044" w:rsidRDefault="008D6044" w:rsidP="008D6044">
      <w:pPr>
        <w:pStyle w:val="StandardWeb"/>
      </w:pPr>
      <w:r>
        <w:t>Ein Lifting kann zusätzliche Verarbeitung enthalten, sodass nach anschließender Projektion nicht exakt der Ausgangszustand entsteht:</w:t>
      </w:r>
    </w:p>
    <w:p w:rsidR="008D6044" w:rsidRDefault="008D6044" w:rsidP="008D6044">
      <w:pPr>
        <w:pStyle w:val="berschrift1"/>
      </w:pPr>
      <w:r>
        <w:t>[</w:t>
      </w:r>
      <w:r>
        <w:br/>
        <w:t>\Pi_F(L_F(X))</w:t>
      </w:r>
    </w:p>
    <w:p w:rsidR="008D6044" w:rsidRDefault="008D6044" w:rsidP="008D6044">
      <w:pPr>
        <w:pStyle w:val="StandardWeb"/>
      </w:pPr>
      <w:r>
        <w:t>X'</w:t>
      </w:r>
      <w:r>
        <w:br/>
        <w:t>\tag{3.13962}</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lastRenderedPageBreak/>
        <w:t>\Pi_F(L_F(X))=X'</w:t>
      </w:r>
    </w:p>
    <w:p w:rsidR="008D6044" w:rsidRDefault="008D6044" w:rsidP="008D6044">
      <w:pPr>
        <w:pStyle w:val="StandardWeb"/>
      </w:pPr>
      <w:r>
        <w:t>mit</w:t>
      </w:r>
    </w:p>
    <w:p w:rsidR="008D6044" w:rsidRDefault="008D6044" w:rsidP="008D6044">
      <w:pPr>
        <w:pStyle w:val="StandardWeb"/>
      </w:pPr>
      <w:r>
        <w:t>[</w:t>
      </w:r>
      <w:r>
        <w:br/>
        <w:t>X'</w:t>
      </w:r>
      <w:r>
        <w:br/>
        <w:t>\neq</w:t>
      </w:r>
      <w:r>
        <w:br/>
        <w:t>X.</w:t>
      </w:r>
      <w:r>
        <w:br/>
        <w:t>\tag{3.13963}</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X'\neq X</w:t>
      </w:r>
    </w:p>
    <w:p w:rsidR="008D6044" w:rsidRDefault="008D6044" w:rsidP="008D6044">
      <w:r>
        <w:pict>
          <v:rect id="_x0000_i6087" style="width:0;height:1.5pt" o:hralign="center" o:hrstd="t" o:hr="t" fillcolor="#a0a0a0" stroked="f"/>
        </w:pict>
      </w:r>
    </w:p>
    <w:p w:rsidR="008D6044" w:rsidRDefault="008D6044" w:rsidP="008D6044">
      <w:pPr>
        <w:pStyle w:val="berschrift1"/>
      </w:pPr>
      <w:r>
        <w:t>3.3.53.38 Axiomentscheidung zur Lifting-Projektionskompatibilität</w:t>
      </w:r>
    </w:p>
    <w:p w:rsidR="008D6044" w:rsidRDefault="008D6044" w:rsidP="008D6044">
      <w:pPr>
        <w:pStyle w:val="StandardWeb"/>
      </w:pPr>
      <w:r>
        <w:t>Daher gilt</w:t>
      </w:r>
    </w:p>
    <w:p w:rsidR="008D6044" w:rsidRDefault="008D6044" w:rsidP="008D6044">
      <w:pPr>
        <w:pStyle w:val="berschrift1"/>
      </w:pPr>
      <w:r>
        <w:t>[</w:t>
      </w:r>
      <w:r>
        <w:br/>
        <w:t>\boxed{</w:t>
      </w:r>
      <w:r>
        <w:br/>
        <w:t>U_{\mathrm{Ax}}</w:t>
      </w:r>
      <w:r>
        <w:br/>
        <w:t>(A_{\mathrm{lift-proj}})</w:t>
      </w:r>
    </w:p>
    <w:p w:rsidR="008D6044" w:rsidRDefault="008D6044" w:rsidP="009F7790">
      <w:pPr>
        <w:numPr>
          <w:ilvl w:val="0"/>
          <w:numId w:val="741"/>
        </w:numPr>
        <w:spacing w:before="100" w:beforeAutospacing="1" w:after="100" w:afterAutospacing="1"/>
      </w:pPr>
    </w:p>
    <w:p w:rsidR="008D6044" w:rsidRDefault="008D6044" w:rsidP="008D6044">
      <w:pPr>
        <w:pStyle w:val="StandardWeb"/>
      </w:pPr>
      <w:r>
        <w:t>}</w:t>
      </w:r>
      <w:r>
        <w:br/>
        <w:t>\tag{3.13964}</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\boxed{U_{\mathrm{Ax}}(A_{\mathrm{lift-proj}})=0.}</w:t>
      </w:r>
    </w:p>
    <w:p w:rsidR="008D6044" w:rsidRDefault="008D6044" w:rsidP="008D6044">
      <w:r>
        <w:pict>
          <v:rect id="_x0000_i6088" style="width:0;height:1.5pt" o:hralign="center" o:hrstd="t" o:hr="t" fillcolor="#a0a0a0" stroked="f"/>
        </w:pict>
      </w:r>
    </w:p>
    <w:p w:rsidR="008D6044" w:rsidRDefault="008D6044" w:rsidP="008D6044">
      <w:pPr>
        <w:pStyle w:val="berschrift1"/>
      </w:pPr>
      <w:r>
        <w:t>3.3.53.39 Satz 3.3.254 – Projektionskompatibilität eines Liftings ist kein Primäraxiom</w:t>
      </w:r>
    </w:p>
    <w:p w:rsidR="008D6044" w:rsidRDefault="008D6044" w:rsidP="008D6044">
      <w:pPr>
        <w:pStyle w:val="berschrift3"/>
      </w:pPr>
      <w:r>
        <w:t>Satz 3.3.254</w:t>
      </w:r>
    </w:p>
    <w:p w:rsidR="008D6044" w:rsidRDefault="008D6044" w:rsidP="008D6044">
      <w:pPr>
        <w:pStyle w:val="StandardWeb"/>
      </w:pPr>
      <w:r>
        <w:t>Die Forderung, jedes funktionale Lifting müsse durch eine zugehörige Projektion exakt auf das Ausgangsobjekt zurückgeführt werden können, ist keine universell notwendige Voraussetzung des allgemeinen FRZK.</w:t>
      </w:r>
    </w:p>
    <w:p w:rsidR="008D6044" w:rsidRDefault="008D6044" w:rsidP="008D6044">
      <w:pPr>
        <w:pStyle w:val="berschrift1"/>
      </w:pPr>
      <w:r>
        <w:lastRenderedPageBreak/>
        <w:t>[</w:t>
      </w:r>
      <w:r>
        <w:br/>
        <w:t>\boxed{</w:t>
      </w:r>
      <w:r>
        <w:br/>
        <w:t>U_{\mathrm{Ax}}</w:t>
      </w:r>
      <w:r>
        <w:br/>
        <w:t>(A_{\mathrm{lift-proj}})</w:t>
      </w:r>
    </w:p>
    <w:p w:rsidR="008D6044" w:rsidRDefault="008D6044" w:rsidP="009F7790">
      <w:pPr>
        <w:numPr>
          <w:ilvl w:val="0"/>
          <w:numId w:val="742"/>
        </w:numPr>
        <w:spacing w:before="100" w:beforeAutospacing="1" w:after="100" w:afterAutospacing="1"/>
      </w:pPr>
    </w:p>
    <w:p w:rsidR="008D6044" w:rsidRDefault="008D6044" w:rsidP="008D6044">
      <w:pPr>
        <w:pStyle w:val="StandardWeb"/>
      </w:pPr>
      <w:r>
        <w:t>}</w:t>
      </w:r>
      <w:r>
        <w:br/>
        <w:t>\tag{3.13965}</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\boxed{U_{\mathrm{Ax}}(A_{\mathrm{lift-proj}})=0.}</w:t>
      </w:r>
    </w:p>
    <w:p w:rsidR="008D6044" w:rsidRDefault="008D6044" w:rsidP="008D6044">
      <w:r>
        <w:pict>
          <v:rect id="_x0000_i6089" style="width:0;height:1.5pt" o:hralign="center" o:hrstd="t" o:hr="t" fillcolor="#a0a0a0" stroked="f"/>
        </w:pict>
      </w:r>
    </w:p>
    <w:p w:rsidR="008D6044" w:rsidRDefault="008D6044" w:rsidP="008D6044">
      <w:pPr>
        <w:pStyle w:val="berschrift1"/>
      </w:pPr>
      <w:r>
        <w:t>3.3.53.40 Rekonstruktion aus einer reduzierten Darstellung</w:t>
      </w:r>
    </w:p>
    <w:p w:rsidR="008D6044" w:rsidRDefault="008D6044" w:rsidP="008D6044">
      <w:pPr>
        <w:pStyle w:val="StandardWeb"/>
      </w:pPr>
      <w:r>
        <w:t>Ich untersuche nun die Rückrichtung zu Abschnitt 3.3.52.</w:t>
      </w:r>
    </w:p>
    <w:p w:rsidR="008D6044" w:rsidRDefault="008D6044" w:rsidP="008D6044">
      <w:pPr>
        <w:pStyle w:val="StandardWeb"/>
      </w:pPr>
      <w:r>
        <w:t>Sei</w:t>
      </w:r>
    </w:p>
    <w:p w:rsidR="008D6044" w:rsidRDefault="008D6044" w:rsidP="008D6044">
      <w:pPr>
        <w:pStyle w:val="StandardWeb"/>
      </w:pPr>
      <w:r>
        <w:t>[</w:t>
      </w:r>
      <w:r>
        <w:br/>
        <w:t>R_F</w:t>
      </w:r>
      <w:r>
        <w:br/>
        <w:t>:</w:t>
      </w:r>
      <w:r>
        <w:br/>
        <w:t>\mathcal X_F</w:t>
      </w:r>
      <w:r>
        <w:br/>
        <w:t>\rightarrow</w:t>
      </w:r>
      <w:r>
        <w:br/>
        <w:t>\mathcal X_F^{\mathrm{red}}</w:t>
      </w:r>
      <w:r>
        <w:br/>
        <w:t>\tag{3.13966}</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R_F:\mathcal X_F\rightarrow\mathcal X_F^{\mathrm{red}}</w:t>
      </w:r>
    </w:p>
    <w:p w:rsidR="008D6044" w:rsidRDefault="008D6044" w:rsidP="008D6044">
      <w:pPr>
        <w:pStyle w:val="StandardWeb"/>
      </w:pPr>
      <w:r>
        <w:t>eine Reduktionsabbildung.</w:t>
      </w:r>
    </w:p>
    <w:p w:rsidR="008D6044" w:rsidRDefault="008D6044" w:rsidP="008D6044">
      <w:pPr>
        <w:pStyle w:val="StandardWeb"/>
      </w:pPr>
      <w:r>
        <w:t>Eine Rekonstruktionsabbildung sei</w:t>
      </w:r>
    </w:p>
    <w:p w:rsidR="008D6044" w:rsidRDefault="008D6044" w:rsidP="008D6044">
      <w:pPr>
        <w:pStyle w:val="StandardWeb"/>
      </w:pPr>
      <w:r>
        <w:t>[</w:t>
      </w:r>
      <w:r>
        <w:br/>
        <w:t>C_F</w:t>
      </w:r>
      <w:r>
        <w:br/>
        <w:t>:</w:t>
      </w:r>
      <w:r>
        <w:br/>
        <w:t>\mathcal X_F^{\mathrm{red}}</w:t>
      </w:r>
      <w:r>
        <w:br/>
        <w:t>\rightarrow</w:t>
      </w:r>
      <w:r>
        <w:br/>
        <w:t>\mathcal X_F.</w:t>
      </w:r>
      <w:r>
        <w:br/>
      </w:r>
      <w:r>
        <w:lastRenderedPageBreak/>
        <w:t>\tag{3.13967}</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C_F:\mathcal X_F^{\mathrm{red}}\rightarrow\mathcal X_F</w:t>
      </w:r>
    </w:p>
    <w:p w:rsidR="008D6044" w:rsidRDefault="008D6044" w:rsidP="008D6044">
      <w:r>
        <w:pict>
          <v:rect id="_x0000_i6090" style="width:0;height:1.5pt" o:hralign="center" o:hrstd="t" o:hr="t" fillcolor="#a0a0a0" stroked="f"/>
        </w:pict>
      </w:r>
    </w:p>
    <w:p w:rsidR="008D6044" w:rsidRDefault="008D6044" w:rsidP="008D6044">
      <w:pPr>
        <w:pStyle w:val="berschrift2"/>
      </w:pPr>
      <w:r>
        <w:t>3.3.53.41 Definition 3.3.635 – Funktionale Rekonstruktionsabbildung</w:t>
      </w:r>
    </w:p>
    <w:p w:rsidR="008D6044" w:rsidRDefault="008D6044" w:rsidP="008D6044">
      <w:pPr>
        <w:pStyle w:val="berschrift3"/>
      </w:pPr>
      <w:r>
        <w:t>Definition 3.3.635</w:t>
      </w:r>
    </w:p>
    <w:p w:rsidR="008D6044" w:rsidRDefault="008D6044" w:rsidP="008D6044">
      <w:pPr>
        <w:pStyle w:val="StandardWeb"/>
      </w:pPr>
      <w:r>
        <w:t xml:space="preserve">Eine </w:t>
      </w:r>
      <w:r>
        <w:rPr>
          <w:rStyle w:val="Fett"/>
        </w:rPr>
        <w:t>funktionale Rekonstruktionsabbildung</w:t>
      </w:r>
      <w:r>
        <w:t xml:space="preserve"> ist eine modellabhängig definierte Abbildung</w:t>
      </w:r>
    </w:p>
    <w:p w:rsidR="008D6044" w:rsidRDefault="008D6044" w:rsidP="008D6044">
      <w:pPr>
        <w:pStyle w:val="StandardWeb"/>
      </w:pPr>
      <w:r>
        <w:t>[</w:t>
      </w:r>
      <w:r>
        <w:br/>
        <w:t>\boxed{</w:t>
      </w:r>
      <w:r>
        <w:br/>
        <w:t>C_F</w:t>
      </w:r>
      <w:r>
        <w:br/>
        <w:t>:</w:t>
      </w:r>
      <w:r>
        <w:br/>
        <w:t>\mathcal X_F^{\mathrm{red}}</w:t>
      </w:r>
      <w:r>
        <w:br/>
        <w:t>\rightarrow</w:t>
      </w:r>
      <w:r>
        <w:br/>
        <w:t>\mathcal X_F,</w:t>
      </w:r>
      <w:r>
        <w:br/>
        <w:t>}</w:t>
      </w:r>
      <w:r>
        <w:br/>
        <w:t>\tag{3.13968}</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\boxed{C_F:\mathcal X_F^{\mathrm{red}}\rightarrow\mathcal X_F,}</w:t>
      </w:r>
    </w:p>
    <w:p w:rsidR="008D6044" w:rsidRDefault="008D6044" w:rsidP="008D6044">
      <w:pPr>
        <w:pStyle w:val="StandardWeb"/>
      </w:pPr>
      <w:r>
        <w:t>die einer reduzierten Repräsentation ein funktionales Objekt des Ausgangsraums zuordnet.</w:t>
      </w:r>
    </w:p>
    <w:p w:rsidR="008D6044" w:rsidRDefault="008D6044" w:rsidP="008D6044">
      <w:r>
        <w:pict>
          <v:rect id="_x0000_i6091" style="width:0;height:1.5pt" o:hralign="center" o:hrstd="t" o:hr="t" fillcolor="#a0a0a0" stroked="f"/>
        </w:pict>
      </w:r>
    </w:p>
    <w:p w:rsidR="008D6044" w:rsidRDefault="008D6044" w:rsidP="008D6044">
      <w:pPr>
        <w:pStyle w:val="berschrift1"/>
      </w:pPr>
      <w:r>
        <w:t>3.3.53.42 Exakte Rekonstruktion</w:t>
      </w:r>
    </w:p>
    <w:p w:rsidR="008D6044" w:rsidRDefault="008D6044" w:rsidP="008D6044">
      <w:pPr>
        <w:pStyle w:val="StandardWeb"/>
      </w:pPr>
      <w:r>
        <w:t>Eine Rekonstruktion heißt exakt, wenn</w:t>
      </w:r>
    </w:p>
    <w:p w:rsidR="008D6044" w:rsidRDefault="008D6044" w:rsidP="008D6044">
      <w:pPr>
        <w:pStyle w:val="berschrift1"/>
      </w:pPr>
      <w:r>
        <w:t>[</w:t>
      </w:r>
      <w:r>
        <w:br/>
        <w:t>C_F</w:t>
      </w:r>
      <w:r>
        <w:br/>
        <w:t>\circ</w:t>
      </w:r>
      <w:r>
        <w:br/>
        <w:t>R_F</w:t>
      </w:r>
    </w:p>
    <w:p w:rsidR="008D6044" w:rsidRDefault="008D6044" w:rsidP="008D6044">
      <w:pPr>
        <w:pStyle w:val="StandardWeb"/>
      </w:pPr>
      <w:r>
        <w:t>\operatorname{id}_{\mathcal X_F}.</w:t>
      </w:r>
      <w:r>
        <w:br/>
        <w:t>\tag{3.13969}</w:t>
      </w:r>
      <w:r>
        <w:br/>
        <w:t>]</w:t>
      </w:r>
    </w:p>
    <w:p w:rsidR="008D6044" w:rsidRDefault="008D6044" w:rsidP="008D6044">
      <w:pPr>
        <w:pStyle w:val="StandardWeb"/>
      </w:pPr>
      <w:r>
        <w:rPr>
          <w:rStyle w:val="Fett"/>
        </w:rPr>
        <w:lastRenderedPageBreak/>
        <w:t>Word-LaTeX</w:t>
      </w:r>
    </w:p>
    <w:p w:rsidR="008D6044" w:rsidRDefault="008D6044" w:rsidP="008D6044">
      <w:pPr>
        <w:pStyle w:val="HTMLVorformatiert"/>
        <w:rPr>
          <w:rStyle w:val="HTMLCode"/>
        </w:rPr>
      </w:pPr>
      <w:r>
        <w:rPr>
          <w:rStyle w:val="HTMLCode"/>
        </w:rPr>
        <w:t>C_F\circ R_F=\operatorname{id}_{\mathcal X_F}</w:t>
      </w:r>
    </w:p>
    <w:p w:rsidR="008D6044" w:rsidRDefault="008D6044" w:rsidP="008D6044">
      <w:r>
        <w:pict>
          <v:rect id="_x0000_i6092" style="width:0;height:1.5pt" o:hralign="center" o:hrstd="t" o:hr="t" fillcolor="#a0a0a0" stroked="f"/>
        </w:pict>
      </w:r>
    </w:p>
    <w:p w:rsidR="008D6044" w:rsidRDefault="008D6044" w:rsidP="008D6044">
      <w:pPr>
        <w:pStyle w:val="berschrift2"/>
      </w:pPr>
      <w:r>
        <w:t>3.3.53.43 Definition 3.3.636 – Exakte funktionale Rekonstruktion</w:t>
      </w:r>
    </w:p>
    <w:p w:rsidR="008D6044" w:rsidRDefault="008D6044" w:rsidP="008D6044">
      <w:pPr>
        <w:pStyle w:val="berschrift3"/>
      </w:pPr>
      <w:r>
        <w:t>Definition 3.3.636</w:t>
      </w:r>
    </w:p>
    <w:p w:rsidR="008D6044" w:rsidRDefault="008D6044" w:rsidP="008D6044">
      <w:pPr>
        <w:pStyle w:val="StandardWeb"/>
      </w:pPr>
      <w:r>
        <w:t xml:space="preserve">Eine funktionale Rekonstruktion heißt </w:t>
      </w:r>
      <w:r>
        <w:rPr>
          <w:rStyle w:val="Fett"/>
        </w:rPr>
        <w:t>exakt bezüglich (R_F)</w:t>
      </w:r>
      <w:r>
        <w:t>, wenn</w:t>
      </w:r>
    </w:p>
    <w:p w:rsidR="008D6044" w:rsidRDefault="008D6044" w:rsidP="008D6044">
      <w:pPr>
        <w:pStyle w:val="berschrift1"/>
      </w:pPr>
      <w:r>
        <w:t>[</w:t>
      </w:r>
      <w:r>
        <w:br/>
        <w:t>\boxed{</w:t>
      </w:r>
      <w:r>
        <w:br/>
        <w:t>C_F</w:t>
      </w:r>
      <w:r>
        <w:br/>
        <w:t>\circ</w:t>
      </w:r>
      <w:r>
        <w:br/>
        <w:t>R_F</w:t>
      </w:r>
    </w:p>
    <w:p w:rsidR="008D6044" w:rsidRDefault="008D6044" w:rsidP="008D6044">
      <w:pPr>
        <w:pStyle w:val="StandardWeb"/>
      </w:pPr>
      <w:r>
        <w:t>\operatorname{id}_{\mathcal X_F}.</w:t>
      </w:r>
      <w:r>
        <w:br/>
        <w:t>}</w:t>
      </w:r>
      <w:r>
        <w:br/>
        <w:t>\tag{3.13970}</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\boxed{C_F\circ R_F=\operatorname{id}_{\mathcal X_F}.}</w:t>
      </w:r>
    </w:p>
    <w:p w:rsidR="008D6044" w:rsidRDefault="008D6044" w:rsidP="008D6044">
      <w:r>
        <w:pict>
          <v:rect id="_x0000_i6093" style="width:0;height:1.5pt" o:hralign="center" o:hrstd="t" o:hr="t" fillcolor="#a0a0a0" stroked="f"/>
        </w:pict>
      </w:r>
    </w:p>
    <w:p w:rsidR="008D6044" w:rsidRDefault="008D6044" w:rsidP="008D6044">
      <w:pPr>
        <w:pStyle w:val="berschrift1"/>
      </w:pPr>
      <w:r>
        <w:t>3.3.53.44 Nicht exakte Rekonstruktion</w:t>
      </w:r>
    </w:p>
    <w:p w:rsidR="008D6044" w:rsidRDefault="008D6044" w:rsidP="008D6044">
      <w:pPr>
        <w:pStyle w:val="StandardWeb"/>
      </w:pPr>
      <w:r>
        <w:t>Es kann dagegen gelten</w:t>
      </w:r>
    </w:p>
    <w:p w:rsidR="008D6044" w:rsidRDefault="008D6044" w:rsidP="008D6044">
      <w:pPr>
        <w:pStyle w:val="StandardWeb"/>
      </w:pPr>
      <w:r>
        <w:t>[</w:t>
      </w:r>
      <w:r>
        <w:br/>
        <w:t>C_F</w:t>
      </w:r>
      <w:r>
        <w:br/>
        <w:t>\bigl(</w:t>
      </w:r>
      <w:r>
        <w:br/>
        <w:t>R_F(X)</w:t>
      </w:r>
      <w:r>
        <w:br/>
        <w:t>\bigr)</w:t>
      </w:r>
      <w:r>
        <w:br/>
        <w:t>\neq</w:t>
      </w:r>
      <w:r>
        <w:br/>
        <w:t>X.</w:t>
      </w:r>
      <w:r>
        <w:br/>
        <w:t>\tag{3.13971}</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C_F\bigl(R_F(X)\bigr)\neq X</w:t>
      </w:r>
    </w:p>
    <w:p w:rsidR="008D6044" w:rsidRDefault="008D6044" w:rsidP="008D6044">
      <w:r>
        <w:pict>
          <v:rect id="_x0000_i6094" style="width:0;height:1.5pt" o:hralign="center" o:hrstd="t" o:hr="t" fillcolor="#a0a0a0" stroked="f"/>
        </w:pict>
      </w:r>
    </w:p>
    <w:p w:rsidR="008D6044" w:rsidRDefault="008D6044" w:rsidP="008D6044">
      <w:pPr>
        <w:pStyle w:val="berschrift1"/>
      </w:pPr>
      <w:r>
        <w:lastRenderedPageBreak/>
        <w:t>3.3.53.45 Rekonstruktionsabweichung</w:t>
      </w:r>
    </w:p>
    <w:p w:rsidR="008D6044" w:rsidRDefault="008D6044" w:rsidP="008D6044">
      <w:pPr>
        <w:pStyle w:val="StandardWeb"/>
      </w:pPr>
      <w:r>
        <w:t>Zur Bewertung einer nicht exakten Rekonstruktion kann eine Abweichungsabbildung</w:t>
      </w:r>
    </w:p>
    <w:p w:rsidR="008D6044" w:rsidRDefault="008D6044" w:rsidP="008D6044">
      <w:pPr>
        <w:pStyle w:val="StandardWeb"/>
      </w:pPr>
      <w:r>
        <w:t>[</w:t>
      </w:r>
      <w:r>
        <w:br/>
        <w:t>d_F^{\mathrm{rec}}</w:t>
      </w:r>
      <w:r>
        <w:br/>
        <w:t>:</w:t>
      </w:r>
      <w:r>
        <w:br/>
        <w:t>\mathcal X_F</w:t>
      </w:r>
      <w:r>
        <w:br/>
        <w:t>\times</w:t>
      </w:r>
      <w:r>
        <w:br/>
        <w:t>\mathcal X_F</w:t>
      </w:r>
      <w:r>
        <w:br/>
        <w:t>\rightarrow</w:t>
      </w:r>
      <w:r>
        <w:br/>
        <w:t>\mathbb R_{\geq0}</w:t>
      </w:r>
      <w:r>
        <w:br/>
        <w:t>\tag{3.13972}</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d_F^{\mathrm{rec}}:\mathcal X_F\times\mathcal X_F\rightarrow\mathbb R_{\geq0}</w:t>
      </w:r>
    </w:p>
    <w:p w:rsidR="008D6044" w:rsidRDefault="008D6044" w:rsidP="008D6044">
      <w:pPr>
        <w:pStyle w:val="StandardWeb"/>
      </w:pPr>
      <w:r>
        <w:t>verwendet werden.</w:t>
      </w:r>
    </w:p>
    <w:p w:rsidR="008D6044" w:rsidRDefault="008D6044" w:rsidP="008D6044">
      <w:r>
        <w:pict>
          <v:rect id="_x0000_i6095" style="width:0;height:1.5pt" o:hralign="center" o:hrstd="t" o:hr="t" fillcolor="#a0a0a0" stroked="f"/>
        </w:pict>
      </w:r>
    </w:p>
    <w:p w:rsidR="008D6044" w:rsidRDefault="008D6044" w:rsidP="008D6044">
      <w:pPr>
        <w:pStyle w:val="berschrift2"/>
      </w:pPr>
      <w:r>
        <w:t>3.3.53.46 Definition 3.3.637 – Funktionales Rekonstruktionsabweichungsmaß</w:t>
      </w:r>
    </w:p>
    <w:p w:rsidR="008D6044" w:rsidRDefault="008D6044" w:rsidP="008D6044">
      <w:pPr>
        <w:pStyle w:val="berschrift3"/>
      </w:pPr>
      <w:r>
        <w:t>Definition 3.3.637</w:t>
      </w:r>
    </w:p>
    <w:p w:rsidR="008D6044" w:rsidRDefault="008D6044" w:rsidP="008D6044">
      <w:pPr>
        <w:pStyle w:val="StandardWeb"/>
      </w:pPr>
      <w:r>
        <w:t xml:space="preserve">Ein </w:t>
      </w:r>
      <w:r>
        <w:rPr>
          <w:rStyle w:val="Fett"/>
        </w:rPr>
        <w:t>funktionales Rekonstruktionsabweichungsmaß</w:t>
      </w:r>
      <w:r>
        <w:t xml:space="preserve"> ist eine modellabhängige Abbildung</w:t>
      </w:r>
    </w:p>
    <w:p w:rsidR="008D6044" w:rsidRDefault="008D6044" w:rsidP="008D6044">
      <w:pPr>
        <w:pStyle w:val="StandardWeb"/>
      </w:pPr>
      <w:r>
        <w:t>[</w:t>
      </w:r>
      <w:r>
        <w:br/>
        <w:t>\boxed{</w:t>
      </w:r>
      <w:r>
        <w:br/>
        <w:t>d_F^{\mathrm{rec}}</w:t>
      </w:r>
      <w:r>
        <w:br/>
        <w:t>:</w:t>
      </w:r>
      <w:r>
        <w:br/>
        <w:t>\mathcal X_F</w:t>
      </w:r>
      <w:r>
        <w:br/>
        <w:t>\times</w:t>
      </w:r>
      <w:r>
        <w:br/>
        <w:t>\mathcal X_F</w:t>
      </w:r>
      <w:r>
        <w:br/>
        <w:t>\rightarrow</w:t>
      </w:r>
      <w:r>
        <w:br/>
        <w:t>\mathbb R_{\geq0}.</w:t>
      </w:r>
      <w:r>
        <w:br/>
        <w:t>}</w:t>
      </w:r>
      <w:r>
        <w:br/>
        <w:t>\tag{3.13973}</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\boxed{d_F^{\mathrm{rec}}:\mathcal X_F\times\mathcal X_F\rightarrow\mathbb R_{\geq0}.}</w:t>
      </w:r>
    </w:p>
    <w:p w:rsidR="008D6044" w:rsidRDefault="008D6044" w:rsidP="008D6044">
      <w:pPr>
        <w:pStyle w:val="StandardWeb"/>
      </w:pPr>
      <w:r>
        <w:t>Auch hier setze ich nicht voraus, dass (d_F^{\mathrm{rec}}) eine Metrik sein muss.</w:t>
      </w:r>
    </w:p>
    <w:p w:rsidR="008D6044" w:rsidRDefault="008D6044" w:rsidP="008D6044">
      <w:r>
        <w:lastRenderedPageBreak/>
        <w:pict>
          <v:rect id="_x0000_i6096" style="width:0;height:1.5pt" o:hralign="center" o:hrstd="t" o:hr="t" fillcolor="#a0a0a0" stroked="f"/>
        </w:pict>
      </w:r>
    </w:p>
    <w:p w:rsidR="008D6044" w:rsidRDefault="008D6044" w:rsidP="008D6044">
      <w:pPr>
        <w:pStyle w:val="berschrift1"/>
      </w:pPr>
      <w:r>
        <w:t>3.3.53.47 Rekonstruktionsfehler</w:t>
      </w:r>
    </w:p>
    <w:p w:rsidR="008D6044" w:rsidRDefault="008D6044" w:rsidP="008D6044">
      <w:pPr>
        <w:pStyle w:val="StandardWeb"/>
      </w:pPr>
      <w:r>
        <w:t>Der Rekonstruktionsfehler eines Objekts lautet</w:t>
      </w:r>
    </w:p>
    <w:p w:rsidR="008D6044" w:rsidRDefault="008D6044" w:rsidP="008D6044">
      <w:pPr>
        <w:pStyle w:val="berschrift1"/>
      </w:pPr>
      <w:r>
        <w:t>[</w:t>
      </w:r>
      <w:r>
        <w:br/>
        <w:t>\varepsilon_{\mathrm{rec}}(X)</w:t>
      </w:r>
    </w:p>
    <w:p w:rsidR="008D6044" w:rsidRDefault="008D6044" w:rsidP="008D6044">
      <w:pPr>
        <w:pStyle w:val="StandardWeb"/>
      </w:pPr>
      <w:r>
        <w:t>d_F^{\mathrm{rec}}</w:t>
      </w:r>
      <w:r>
        <w:br/>
        <w:t>\left(</w:t>
      </w:r>
      <w:r>
        <w:br/>
        <w:t>X,</w:t>
      </w:r>
      <w:r>
        <w:br/>
        <w:t>C_F(R_F(X))</w:t>
      </w:r>
      <w:r>
        <w:br/>
        <w:t>\right).</w:t>
      </w:r>
      <w:r>
        <w:br/>
        <w:t>\tag{3.13974}</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\varepsilon_{\mathrm{rec}}(X)=d_F^{\mathrm{rec}}\left(X,C_F(R_F(X))\right)</w:t>
      </w:r>
    </w:p>
    <w:p w:rsidR="008D6044" w:rsidRDefault="008D6044" w:rsidP="008D6044">
      <w:r>
        <w:pict>
          <v:rect id="_x0000_i6097" style="width:0;height:1.5pt" o:hralign="center" o:hrstd="t" o:hr="t" fillcolor="#a0a0a0" stroked="f"/>
        </w:pict>
      </w:r>
    </w:p>
    <w:p w:rsidR="008D6044" w:rsidRDefault="008D6044" w:rsidP="008D6044">
      <w:pPr>
        <w:pStyle w:val="berschrift2"/>
      </w:pPr>
      <w:r>
        <w:t>3.3.53.48 Definition 3.3.638 – Funktionaler Rekonstruktionsfehler</w:t>
      </w:r>
    </w:p>
    <w:p w:rsidR="008D6044" w:rsidRDefault="008D6044" w:rsidP="008D6044">
      <w:pPr>
        <w:pStyle w:val="berschrift3"/>
      </w:pPr>
      <w:r>
        <w:t>Definition 3.3.638</w:t>
      </w:r>
    </w:p>
    <w:p w:rsidR="008D6044" w:rsidRDefault="008D6044" w:rsidP="008D6044">
      <w:pPr>
        <w:pStyle w:val="StandardWeb"/>
      </w:pPr>
      <w:r>
        <w:t xml:space="preserve">Der </w:t>
      </w:r>
      <w:r>
        <w:rPr>
          <w:rStyle w:val="Fett"/>
        </w:rPr>
        <w:t>funktionale Rekonstruktionsfehler</w:t>
      </w:r>
      <w:r>
        <w:t xml:space="preserve"> eines Objekts (X) ist</w:t>
      </w:r>
    </w:p>
    <w:p w:rsidR="008D6044" w:rsidRDefault="008D6044" w:rsidP="008D6044">
      <w:pPr>
        <w:pStyle w:val="StandardWeb"/>
      </w:pPr>
      <w:r>
        <w:t>[</w:t>
      </w:r>
      <w:r>
        <w:br/>
        <w:t>\boxed{</w:t>
      </w:r>
      <w:r>
        <w:br/>
        <w:t>\varepsilon_{\mathrm{rec}}(X)</w:t>
      </w:r>
      <w:r>
        <w:br/>
        <w:t>:=</w:t>
      </w:r>
      <w:r>
        <w:br/>
        <w:t>d_F^{\mathrm{rec}}</w:t>
      </w:r>
      <w:r>
        <w:br/>
        <w:t>\left(</w:t>
      </w:r>
      <w:r>
        <w:br/>
        <w:t>X,</w:t>
      </w:r>
      <w:r>
        <w:br/>
        <w:t>C_F(R_F(X))</w:t>
      </w:r>
      <w:r>
        <w:br/>
        <w:t>\right).</w:t>
      </w:r>
      <w:r>
        <w:br/>
        <w:t>}</w:t>
      </w:r>
      <w:r>
        <w:br/>
        <w:t>\tag{3.13975}</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\boxed{\varepsilon_{\mathrm{rec}}(X):=d_F^{\mathrm{rec}}\left(X,C_F(R_F(X))\right).}</w:t>
      </w:r>
    </w:p>
    <w:p w:rsidR="008D6044" w:rsidRDefault="008D6044" w:rsidP="008D6044">
      <w:r>
        <w:pict>
          <v:rect id="_x0000_i6098" style="width:0;height:1.5pt" o:hralign="center" o:hrstd="t" o:hr="t" fillcolor="#a0a0a0" stroked="f"/>
        </w:pict>
      </w:r>
    </w:p>
    <w:p w:rsidR="008D6044" w:rsidRDefault="008D6044" w:rsidP="008D6044">
      <w:pPr>
        <w:pStyle w:val="berschrift1"/>
      </w:pPr>
      <w:r>
        <w:lastRenderedPageBreak/>
        <w:t>3.3.53.49 Exakte Rekonstruktion als Nullfehlerfall</w:t>
      </w:r>
    </w:p>
    <w:p w:rsidR="008D6044" w:rsidRDefault="008D6044" w:rsidP="008D6044">
      <w:pPr>
        <w:pStyle w:val="StandardWeb"/>
      </w:pPr>
      <w:r>
        <w:t>Bei exakter Rekonstruktion gilt</w:t>
      </w:r>
    </w:p>
    <w:p w:rsidR="008D6044" w:rsidRDefault="008D6044" w:rsidP="008D6044">
      <w:pPr>
        <w:pStyle w:val="berschrift1"/>
      </w:pPr>
      <w:r>
        <w:t>[</w:t>
      </w:r>
      <w:r>
        <w:br/>
        <w:t>\varepsilon_{\mathrm{rec}}(X)</w:t>
      </w:r>
    </w:p>
    <w:p w:rsidR="008D6044" w:rsidRDefault="008D6044" w:rsidP="009F7790">
      <w:pPr>
        <w:numPr>
          <w:ilvl w:val="0"/>
          <w:numId w:val="743"/>
        </w:numPr>
        <w:spacing w:before="100" w:beforeAutospacing="1" w:after="100" w:afterAutospacing="1"/>
      </w:pPr>
    </w:p>
    <w:p w:rsidR="008D6044" w:rsidRDefault="008D6044" w:rsidP="008D6044">
      <w:pPr>
        <w:pStyle w:val="StandardWeb"/>
      </w:pPr>
      <w:r>
        <w:t>\tag{3.13976}</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\varepsilon_{\mathrm{rec}}(X)=0</w:t>
      </w:r>
    </w:p>
    <w:p w:rsidR="008D6044" w:rsidRDefault="008D6044" w:rsidP="008D6044">
      <w:r>
        <w:pict>
          <v:rect id="_x0000_i6099" style="width:0;height:1.5pt" o:hralign="center" o:hrstd="t" o:hr="t" fillcolor="#a0a0a0" stroked="f"/>
        </w:pict>
      </w:r>
    </w:p>
    <w:p w:rsidR="008D6044" w:rsidRDefault="008D6044" w:rsidP="008D6044">
      <w:pPr>
        <w:pStyle w:val="berschrift1"/>
      </w:pPr>
      <w:r>
        <w:t>3.3.53.50 Nullfehlerrekonstruktion als Primäraxiomkandidat</w:t>
      </w:r>
    </w:p>
    <w:p w:rsidR="008D6044" w:rsidRDefault="008D6044" w:rsidP="008D6044">
      <w:pPr>
        <w:pStyle w:val="StandardWeb"/>
      </w:pPr>
      <w:r>
        <w:t>Ein möglicher Kandidat lautet</w:t>
      </w:r>
    </w:p>
    <w:p w:rsidR="008D6044" w:rsidRDefault="008D6044" w:rsidP="008D6044">
      <w:pPr>
        <w:pStyle w:val="berschrift1"/>
      </w:pPr>
      <w:r>
        <w:t>[</w:t>
      </w:r>
      <w:r>
        <w:br/>
        <w:t>A_{\mathrm{rec-zero}}</w:t>
      </w:r>
      <w:r>
        <w:br/>
        <w:t>:</w:t>
      </w:r>
      <w:r>
        <w:br/>
        <w:t>\varepsilon_{\mathrm{rec}}(X)</w:t>
      </w:r>
    </w:p>
    <w:p w:rsidR="008D6044" w:rsidRDefault="008D6044" w:rsidP="008D6044">
      <w:pPr>
        <w:pStyle w:val="StandardWeb"/>
      </w:pPr>
      <w:r>
        <w:t>0</w:t>
      </w:r>
      <w:r>
        <w:br/>
        <w:t>\qquad</w:t>
      </w:r>
      <w:r>
        <w:br/>
        <w:t>\forall X.</w:t>
      </w:r>
      <w:r>
        <w:br/>
        <w:t>\tag{3.13977}</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A_{\mathrm{rec-zero}}:\varepsilon_{\mathrm{rec}}(X)=0\qquad\forall X</w:t>
      </w:r>
    </w:p>
    <w:p w:rsidR="008D6044" w:rsidRDefault="008D6044" w:rsidP="008D6044">
      <w:r>
        <w:pict>
          <v:rect id="_x0000_i6100" style="width:0;height:1.5pt" o:hralign="center" o:hrstd="t" o:hr="t" fillcolor="#a0a0a0" stroked="f"/>
        </w:pict>
      </w:r>
    </w:p>
    <w:p w:rsidR="008D6044" w:rsidRDefault="008D6044" w:rsidP="008D6044">
      <w:pPr>
        <w:pStyle w:val="berschrift1"/>
      </w:pPr>
      <w:r>
        <w:t>3.3.53.51 Gegenmodell zur universellen Nullfehlerrekonstruktion</w:t>
      </w:r>
    </w:p>
    <w:p w:rsidR="008D6044" w:rsidRDefault="008D6044" w:rsidP="008D6044">
      <w:pPr>
        <w:pStyle w:val="StandardWeb"/>
      </w:pPr>
      <w:r>
        <w:t>Eine Reduktion kann verschiedene Ausgangsobjekte identifizieren:</w:t>
      </w:r>
    </w:p>
    <w:p w:rsidR="008D6044" w:rsidRDefault="008D6044" w:rsidP="008D6044">
      <w:pPr>
        <w:pStyle w:val="berschrift1"/>
      </w:pPr>
      <w:r>
        <w:lastRenderedPageBreak/>
        <w:t>[</w:t>
      </w:r>
      <w:r>
        <w:br/>
        <w:t>R_F(X_1)</w:t>
      </w:r>
    </w:p>
    <w:p w:rsidR="008D6044" w:rsidRDefault="008D6044" w:rsidP="008D6044">
      <w:pPr>
        <w:pStyle w:val="StandardWeb"/>
      </w:pPr>
      <w:r>
        <w:t>R_F(X_2)</w:t>
      </w:r>
      <w:r>
        <w:br/>
        <w:t>\tag{3.13978}</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R_F(X_1)=R_F(X_2)</w:t>
      </w:r>
    </w:p>
    <w:p w:rsidR="008D6044" w:rsidRDefault="008D6044" w:rsidP="008D6044">
      <w:pPr>
        <w:pStyle w:val="StandardWeb"/>
      </w:pPr>
      <w:r>
        <w:t>bei</w:t>
      </w:r>
    </w:p>
    <w:p w:rsidR="008D6044" w:rsidRDefault="008D6044" w:rsidP="008D6044">
      <w:pPr>
        <w:pStyle w:val="StandardWeb"/>
      </w:pPr>
      <w:r>
        <w:t>[</w:t>
      </w:r>
      <w:r>
        <w:br/>
        <w:t>X_1</w:t>
      </w:r>
      <w:r>
        <w:br/>
        <w:t>\neq</w:t>
      </w:r>
      <w:r>
        <w:br/>
        <w:t>X_2.</w:t>
      </w:r>
      <w:r>
        <w:br/>
        <w:t>\tag{3.13979}</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X_1\neq X_2</w:t>
      </w:r>
    </w:p>
    <w:p w:rsidR="008D6044" w:rsidRDefault="008D6044" w:rsidP="008D6044">
      <w:pPr>
        <w:pStyle w:val="StandardWeb"/>
      </w:pPr>
      <w:r>
        <w:t>Dann kann eine einzelne Rekonstruktionsabbildung aus dem gemeinsamen reduzierten Zustand nicht gleichzeitig beide Objekte exakt zurückgeben.</w:t>
      </w:r>
    </w:p>
    <w:p w:rsidR="008D6044" w:rsidRDefault="008D6044" w:rsidP="008D6044">
      <w:r>
        <w:pict>
          <v:rect id="_x0000_i6101" style="width:0;height:1.5pt" o:hralign="center" o:hrstd="t" o:hr="t" fillcolor="#a0a0a0" stroked="f"/>
        </w:pict>
      </w:r>
    </w:p>
    <w:p w:rsidR="008D6044" w:rsidRDefault="008D6044" w:rsidP="008D6044">
      <w:pPr>
        <w:pStyle w:val="berschrift1"/>
      </w:pPr>
      <w:r>
        <w:t>3.3.53.52 Axiomentscheidung zur exakten Rekonstruktion</w:t>
      </w:r>
    </w:p>
    <w:p w:rsidR="008D6044" w:rsidRDefault="008D6044" w:rsidP="008D6044">
      <w:pPr>
        <w:pStyle w:val="StandardWeb"/>
      </w:pPr>
      <w:r>
        <w:t>Damit folgt</w:t>
      </w:r>
    </w:p>
    <w:p w:rsidR="008D6044" w:rsidRDefault="008D6044" w:rsidP="008D6044">
      <w:pPr>
        <w:pStyle w:val="berschrift1"/>
      </w:pPr>
      <w:r>
        <w:t>[</w:t>
      </w:r>
      <w:r>
        <w:br/>
        <w:t>\boxed{</w:t>
      </w:r>
      <w:r>
        <w:br/>
        <w:t>U_{\mathrm{Ax}}</w:t>
      </w:r>
      <w:r>
        <w:br/>
        <w:t>(A_{\mathrm{rec-zero}})</w:t>
      </w:r>
    </w:p>
    <w:p w:rsidR="008D6044" w:rsidRDefault="008D6044" w:rsidP="009F7790">
      <w:pPr>
        <w:numPr>
          <w:ilvl w:val="0"/>
          <w:numId w:val="744"/>
        </w:numPr>
        <w:spacing w:before="100" w:beforeAutospacing="1" w:after="100" w:afterAutospacing="1"/>
      </w:pPr>
    </w:p>
    <w:p w:rsidR="008D6044" w:rsidRDefault="008D6044" w:rsidP="008D6044">
      <w:pPr>
        <w:pStyle w:val="StandardWeb"/>
      </w:pPr>
      <w:r>
        <w:t>}</w:t>
      </w:r>
      <w:r>
        <w:br/>
        <w:t>\tag{3.13980}</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lastRenderedPageBreak/>
        <w:t>\boxed{U_{\mathrm{Ax}}(A_{\mathrm{rec-zero}})=0.}</w:t>
      </w:r>
    </w:p>
    <w:p w:rsidR="008D6044" w:rsidRDefault="008D6044" w:rsidP="008D6044">
      <w:r>
        <w:pict>
          <v:rect id="_x0000_i6102" style="width:0;height:1.5pt" o:hralign="center" o:hrstd="t" o:hr="t" fillcolor="#a0a0a0" stroked="f"/>
        </w:pict>
      </w:r>
    </w:p>
    <w:p w:rsidR="008D6044" w:rsidRDefault="008D6044" w:rsidP="008D6044">
      <w:pPr>
        <w:pStyle w:val="berschrift1"/>
      </w:pPr>
      <w:r>
        <w:t>3.3.53.53 Satz 3.3.255 – Exakte Rekonstruktion ist kein Primäraxiom</w:t>
      </w:r>
    </w:p>
    <w:p w:rsidR="008D6044" w:rsidRDefault="008D6044" w:rsidP="008D6044">
      <w:pPr>
        <w:pStyle w:val="berschrift3"/>
      </w:pPr>
      <w:r>
        <w:t>Satz 3.3.255</w:t>
      </w:r>
    </w:p>
    <w:p w:rsidR="008D6044" w:rsidRDefault="008D6044" w:rsidP="008D6044">
      <w:pPr>
        <w:pStyle w:val="StandardWeb"/>
      </w:pPr>
      <w:r>
        <w:t>Die Forderung, aus jeder funktionalen Reduktion müsse das ursprüngliche Objekt fehlerfrei rekonstruiert werden können, ist keine universell notwendige Voraussetzung des allgemeinen FRZK.</w:t>
      </w:r>
    </w:p>
    <w:p w:rsidR="008D6044" w:rsidRDefault="008D6044" w:rsidP="008D6044">
      <w:pPr>
        <w:pStyle w:val="berschrift1"/>
      </w:pPr>
      <w:r>
        <w:t>[</w:t>
      </w:r>
      <w:r>
        <w:br/>
        <w:t>\boxed{</w:t>
      </w:r>
      <w:r>
        <w:br/>
        <w:t>U_{\mathrm{Ax}}</w:t>
      </w:r>
      <w:r>
        <w:br/>
        <w:t>(A_{\mathrm{rec-zero}})</w:t>
      </w:r>
    </w:p>
    <w:p w:rsidR="008D6044" w:rsidRDefault="008D6044" w:rsidP="009F7790">
      <w:pPr>
        <w:numPr>
          <w:ilvl w:val="0"/>
          <w:numId w:val="745"/>
        </w:numPr>
        <w:spacing w:before="100" w:beforeAutospacing="1" w:after="100" w:afterAutospacing="1"/>
      </w:pPr>
    </w:p>
    <w:p w:rsidR="008D6044" w:rsidRDefault="008D6044" w:rsidP="008D6044">
      <w:pPr>
        <w:pStyle w:val="StandardWeb"/>
      </w:pPr>
      <w:r>
        <w:t>}</w:t>
      </w:r>
      <w:r>
        <w:br/>
        <w:t>\tag{3.13981}</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\boxed{U_{\mathrm{Ax}}(A_{\mathrm{rec-zero}})=0.}</w:t>
      </w:r>
    </w:p>
    <w:p w:rsidR="008D6044" w:rsidRDefault="008D6044" w:rsidP="008D6044">
      <w:pPr>
        <w:pStyle w:val="berschrift3"/>
      </w:pPr>
      <w:r>
        <w:t>Beweis</w:t>
      </w:r>
    </w:p>
    <w:p w:rsidR="008D6044" w:rsidRDefault="008D6044" w:rsidP="008D6044">
      <w:pPr>
        <w:pStyle w:val="StandardWeb"/>
      </w:pPr>
      <w:r>
        <w:t>Seien (X_1\neq X_2) mit</w:t>
      </w:r>
    </w:p>
    <w:p w:rsidR="008D6044" w:rsidRDefault="008D6044" w:rsidP="008D6044">
      <w:pPr>
        <w:pStyle w:val="berschrift1"/>
      </w:pPr>
      <w:r>
        <w:t>[</w:t>
      </w:r>
      <w:r>
        <w:br/>
        <w:t>R_F(X_1)</w:t>
      </w:r>
    </w:p>
    <w:p w:rsidR="008D6044" w:rsidRDefault="008D6044" w:rsidP="008D6044">
      <w:pPr>
        <w:pStyle w:val="StandardWeb"/>
      </w:pPr>
      <w:r>
        <w:t>R_F(X_2).</w:t>
      </w:r>
      <w:r>
        <w:br/>
        <w:t>\tag{3.13982}</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R_F(X_1)=R_F(X_2)</w:t>
      </w:r>
    </w:p>
    <w:p w:rsidR="008D6044" w:rsidRDefault="008D6044" w:rsidP="008D6044">
      <w:pPr>
        <w:pStyle w:val="StandardWeb"/>
      </w:pPr>
      <w:r>
        <w:t>Eine Rekonstruktionsabbildung (C_F) erhält für beide Objekte denselben Eingangswert. Sie kann daher nicht gleichzeitig</w:t>
      </w:r>
    </w:p>
    <w:p w:rsidR="008D6044" w:rsidRDefault="008D6044" w:rsidP="008D6044">
      <w:pPr>
        <w:pStyle w:val="berschrift1"/>
      </w:pPr>
      <w:r>
        <w:lastRenderedPageBreak/>
        <w:t>[</w:t>
      </w:r>
      <w:r>
        <w:br/>
        <w:t>C_F(R_F(X_1))</w:t>
      </w:r>
    </w:p>
    <w:p w:rsidR="008D6044" w:rsidRDefault="008D6044" w:rsidP="008D6044">
      <w:pPr>
        <w:pStyle w:val="StandardWeb"/>
      </w:pPr>
      <w:r>
        <w:t>X_1</w:t>
      </w:r>
      <w:r>
        <w:br/>
        <w:t>\tag{3.13983}</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C_F(R_F(X_1))=X_1</w:t>
      </w:r>
    </w:p>
    <w:p w:rsidR="008D6044" w:rsidRDefault="008D6044" w:rsidP="008D6044">
      <w:pPr>
        <w:pStyle w:val="StandardWeb"/>
      </w:pPr>
      <w:r>
        <w:t>und</w:t>
      </w:r>
    </w:p>
    <w:p w:rsidR="008D6044" w:rsidRDefault="008D6044" w:rsidP="008D6044">
      <w:pPr>
        <w:pStyle w:val="berschrift1"/>
      </w:pPr>
      <w:r>
        <w:t>[</w:t>
      </w:r>
      <w:r>
        <w:br/>
        <w:t>C_F(R_F(X_2))</w:t>
      </w:r>
    </w:p>
    <w:p w:rsidR="008D6044" w:rsidRDefault="008D6044" w:rsidP="008D6044">
      <w:pPr>
        <w:pStyle w:val="StandardWeb"/>
      </w:pPr>
      <w:r>
        <w:t>X_2</w:t>
      </w:r>
      <w:r>
        <w:br/>
        <w:t>\tag{3.13984}</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C_F(R_F(X_2))=X_2</w:t>
      </w:r>
    </w:p>
    <w:p w:rsidR="008D6044" w:rsidRDefault="008D6044" w:rsidP="008D6044">
      <w:pPr>
        <w:pStyle w:val="StandardWeb"/>
      </w:pPr>
      <w:r>
        <w:t>erfüllen. Exakte Rekonstruktion ist somit nicht universell möglich und daher kein Primäraxiom. (\square)</w:t>
      </w:r>
    </w:p>
    <w:p w:rsidR="008D6044" w:rsidRDefault="008D6044" w:rsidP="008D6044">
      <w:r>
        <w:pict>
          <v:rect id="_x0000_i6103" style="width:0;height:1.5pt" o:hralign="center" o:hrstd="t" o:hr="t" fillcolor="#a0a0a0" stroked="f"/>
        </w:pict>
      </w:r>
    </w:p>
    <w:p w:rsidR="008D6044" w:rsidRDefault="008D6044" w:rsidP="008D6044">
      <w:pPr>
        <w:pStyle w:val="berschrift1"/>
      </w:pPr>
      <w:r>
        <w:t>3.3.53.54 Korollar 3.3.70 – Rekonstruktionsgenauigkeit ist modellabhängig</w:t>
      </w:r>
    </w:p>
    <w:p w:rsidR="008D6044" w:rsidRDefault="008D6044" w:rsidP="008D6044">
      <w:pPr>
        <w:pStyle w:val="berschrift3"/>
      </w:pPr>
      <w:r>
        <w:t>Korollar 3.3.70</w:t>
      </w:r>
    </w:p>
    <w:p w:rsidR="008D6044" w:rsidRDefault="008D6044" w:rsidP="008D6044">
      <w:pPr>
        <w:pStyle w:val="StandardWeb"/>
      </w:pPr>
      <w:r>
        <w:t>Aus Satz 3.3.255 folgt</w:t>
      </w:r>
    </w:p>
    <w:p w:rsidR="008D6044" w:rsidRDefault="008D6044" w:rsidP="008D6044">
      <w:pPr>
        <w:pStyle w:val="berschrift1"/>
      </w:pPr>
      <w:r>
        <w:t>[</w:t>
      </w:r>
      <w:r>
        <w:br/>
        <w:t>\boxed{</w:t>
      </w:r>
      <w:r>
        <w:br/>
        <w:t>\operatorname{Stat}</w:t>
      </w:r>
      <w:r>
        <w:br/>
        <w:t>(C_F,\varepsilon_{\mathrm{rec}})</w:t>
      </w:r>
    </w:p>
    <w:p w:rsidR="008D6044" w:rsidRDefault="008D6044" w:rsidP="008D6044">
      <w:pPr>
        <w:pStyle w:val="StandardWeb"/>
      </w:pPr>
      <w:r>
        <w:t>\mathrm{Def/Mod/Op}.</w:t>
      </w:r>
      <w:r>
        <w:br/>
        <w:t>}</w:t>
      </w:r>
      <w:r>
        <w:br/>
      </w:r>
      <w:r>
        <w:lastRenderedPageBreak/>
        <w:t>\tag{3.13985}</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\boxed{\operatorname{Stat}(C_F,\varepsilon_{\mathrm{rec}})=\mathrm{Def/Mod/Op}.}</w:t>
      </w:r>
    </w:p>
    <w:p w:rsidR="008D6044" w:rsidRDefault="008D6044" w:rsidP="008D6044">
      <w:r>
        <w:pict>
          <v:rect id="_x0000_i6104" style="width:0;height:1.5pt" o:hralign="center" o:hrstd="t" o:hr="t" fillcolor="#a0a0a0" stroked="f"/>
        </w:pict>
      </w:r>
    </w:p>
    <w:p w:rsidR="008D6044" w:rsidRDefault="008D6044" w:rsidP="008D6044">
      <w:pPr>
        <w:pStyle w:val="berschrift1"/>
      </w:pPr>
      <w:r>
        <w:t>3.3.53.55 Fehlertolerierte Rekonstruktion</w:t>
      </w:r>
    </w:p>
    <w:p w:rsidR="008D6044" w:rsidRDefault="008D6044" w:rsidP="008D6044">
      <w:pPr>
        <w:pStyle w:val="StandardWeb"/>
      </w:pPr>
      <w:r>
        <w:t>Eine Modellklasse kann eine zulässige Rekonstruktionsabweichung</w:t>
      </w:r>
    </w:p>
    <w:p w:rsidR="008D6044" w:rsidRDefault="008D6044" w:rsidP="008D6044">
      <w:pPr>
        <w:pStyle w:val="StandardWeb"/>
      </w:pPr>
      <w:r>
        <w:t>[</w:t>
      </w:r>
      <w:r>
        <w:br/>
        <w:t>\varepsilon_{\mathrm{rec,max}}</w:t>
      </w:r>
      <w:r>
        <w:br/>
        <w:t>\geq</w:t>
      </w:r>
      <w:r>
        <w:br/>
        <w:t>0</w:t>
      </w:r>
      <w:r>
        <w:br/>
        <w:t>\tag{3.13986}</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\varepsilon_{\mathrm{rec,max}}\geq0</w:t>
      </w:r>
    </w:p>
    <w:p w:rsidR="008D6044" w:rsidRDefault="008D6044" w:rsidP="008D6044">
      <w:pPr>
        <w:pStyle w:val="StandardWeb"/>
      </w:pPr>
      <w:r>
        <w:t>definieren.</w:t>
      </w:r>
    </w:p>
    <w:p w:rsidR="008D6044" w:rsidRDefault="008D6044" w:rsidP="008D6044">
      <w:pPr>
        <w:pStyle w:val="StandardWeb"/>
      </w:pPr>
      <w:r>
        <w:t>Dann kann verlangt werden</w:t>
      </w:r>
    </w:p>
    <w:p w:rsidR="008D6044" w:rsidRDefault="008D6044" w:rsidP="008D6044">
      <w:pPr>
        <w:pStyle w:val="StandardWeb"/>
      </w:pPr>
      <w:r>
        <w:t>[</w:t>
      </w:r>
      <w:r>
        <w:br/>
        <w:t>\varepsilon_{\mathrm{rec}}(X)</w:t>
      </w:r>
      <w:r>
        <w:br/>
        <w:t>\leq</w:t>
      </w:r>
      <w:r>
        <w:br/>
        <w:t>\varepsilon_{\mathrm{rec,max}}.</w:t>
      </w:r>
      <w:r>
        <w:br/>
        <w:t>\tag{3.13987}</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\varepsilon_{\mathrm{rec}}(X)\leq\varepsilon_{\mathrm{rec,max}}</w:t>
      </w:r>
    </w:p>
    <w:p w:rsidR="008D6044" w:rsidRDefault="008D6044" w:rsidP="008D6044">
      <w:r>
        <w:pict>
          <v:rect id="_x0000_i6105" style="width:0;height:1.5pt" o:hralign="center" o:hrstd="t" o:hr="t" fillcolor="#a0a0a0" stroked="f"/>
        </w:pict>
      </w:r>
    </w:p>
    <w:p w:rsidR="008D6044" w:rsidRDefault="008D6044" w:rsidP="008D6044">
      <w:pPr>
        <w:pStyle w:val="berschrift2"/>
      </w:pPr>
      <w:r>
        <w:t>3.3.53.56 Definition 3.3.639 – Fehlertolerierte funktionale Rekonstruktion</w:t>
      </w:r>
    </w:p>
    <w:p w:rsidR="008D6044" w:rsidRDefault="008D6044" w:rsidP="008D6044">
      <w:pPr>
        <w:pStyle w:val="berschrift3"/>
      </w:pPr>
      <w:r>
        <w:t>Definition 3.3.639</w:t>
      </w:r>
    </w:p>
    <w:p w:rsidR="008D6044" w:rsidRDefault="008D6044" w:rsidP="008D6044">
      <w:pPr>
        <w:pStyle w:val="StandardWeb"/>
      </w:pPr>
      <w:r>
        <w:t xml:space="preserve">Eine funktionale Rekonstruktion heißt </w:t>
      </w:r>
      <w:r>
        <w:rPr>
          <w:rStyle w:val="Fett"/>
        </w:rPr>
        <w:t>fehlertoleriert</w:t>
      </w:r>
      <w:r>
        <w:t>, wenn</w:t>
      </w:r>
    </w:p>
    <w:p w:rsidR="008D6044" w:rsidRDefault="008D6044" w:rsidP="008D6044">
      <w:pPr>
        <w:pStyle w:val="StandardWeb"/>
      </w:pPr>
      <w:r>
        <w:t>[</w:t>
      </w:r>
      <w:r>
        <w:br/>
        <w:t>\boxed{</w:t>
      </w:r>
      <w:r>
        <w:br/>
        <w:t>\varepsilon_{\mathrm{rec}}(X)</w:t>
      </w:r>
      <w:r>
        <w:br/>
      </w:r>
      <w:r>
        <w:lastRenderedPageBreak/>
        <w:t>\leq</w:t>
      </w:r>
      <w:r>
        <w:br/>
        <w:t>\varepsilon_{\mathrm{rec,max}}</w:t>
      </w:r>
      <w:r>
        <w:br/>
        <w:t>}</w:t>
      </w:r>
      <w:r>
        <w:br/>
        <w:t>\tag{3.13988}</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\boxed{\varepsilon_{\mathrm{rec}}(X)\leq\varepsilon_{\mathrm{rec,max}}}</w:t>
      </w:r>
    </w:p>
    <w:p w:rsidR="008D6044" w:rsidRDefault="008D6044" w:rsidP="008D6044">
      <w:pPr>
        <w:pStyle w:val="StandardWeb"/>
      </w:pPr>
      <w:r>
        <w:t>für alle betrachteten Objekte gilt.</w:t>
      </w:r>
    </w:p>
    <w:p w:rsidR="008D6044" w:rsidRDefault="008D6044" w:rsidP="008D6044">
      <w:r>
        <w:pict>
          <v:rect id="_x0000_i6106" style="width:0;height:1.5pt" o:hralign="center" o:hrstd="t" o:hr="t" fillcolor="#a0a0a0" stroked="f"/>
        </w:pict>
      </w:r>
    </w:p>
    <w:p w:rsidR="008D6044" w:rsidRDefault="008D6044" w:rsidP="008D6044">
      <w:pPr>
        <w:pStyle w:val="berschrift1"/>
      </w:pPr>
      <w:r>
        <w:t>3.3.53.57 Rekonstruktionsgüte</w:t>
      </w:r>
    </w:p>
    <w:p w:rsidR="008D6044" w:rsidRDefault="008D6044" w:rsidP="008D6044">
      <w:pPr>
        <w:pStyle w:val="StandardWeb"/>
      </w:pPr>
      <w:r>
        <w:t>Eine allgemeine Gütefunktion kann geschrieben werden als</w:t>
      </w:r>
    </w:p>
    <w:p w:rsidR="008D6044" w:rsidRDefault="008D6044" w:rsidP="008D6044">
      <w:pPr>
        <w:pStyle w:val="StandardWeb"/>
      </w:pPr>
      <w:r>
        <w:t>[</w:t>
      </w:r>
      <w:r>
        <w:br/>
        <w:t>Q_{\mathrm{rec}}</w:t>
      </w:r>
      <w:r>
        <w:br/>
        <w:t>:</w:t>
      </w:r>
      <w:r>
        <w:br/>
        <w:t>\mathcal X_F</w:t>
      </w:r>
      <w:r>
        <w:br/>
        <w:t>\rightarrow</w:t>
      </w:r>
      <w:r>
        <w:br/>
        <w:t>\mathcal Q_F.</w:t>
      </w:r>
      <w:r>
        <w:br/>
        <w:t>\tag{3.13989}</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Q_{\mathrm{rec}}:\mathcal X_F\rightarrow\mathcal Q_F</w:t>
      </w:r>
    </w:p>
    <w:p w:rsidR="008D6044" w:rsidRDefault="008D6044" w:rsidP="008D6044">
      <w:r>
        <w:pict>
          <v:rect id="_x0000_i6107" style="width:0;height:1.5pt" o:hralign="center" o:hrstd="t" o:hr="t" fillcolor="#a0a0a0" stroked="f"/>
        </w:pict>
      </w:r>
    </w:p>
    <w:p w:rsidR="008D6044" w:rsidRDefault="008D6044" w:rsidP="008D6044">
      <w:pPr>
        <w:pStyle w:val="berschrift2"/>
      </w:pPr>
      <w:r>
        <w:t>3.3.53.58 Definition 3.3.640 – Funktionale Rekonstruktionsgüte</w:t>
      </w:r>
    </w:p>
    <w:p w:rsidR="008D6044" w:rsidRDefault="008D6044" w:rsidP="008D6044">
      <w:pPr>
        <w:pStyle w:val="berschrift3"/>
      </w:pPr>
      <w:r>
        <w:t>Definition 3.3.640</w:t>
      </w:r>
    </w:p>
    <w:p w:rsidR="008D6044" w:rsidRDefault="008D6044" w:rsidP="008D6044">
      <w:pPr>
        <w:pStyle w:val="StandardWeb"/>
      </w:pPr>
      <w:r>
        <w:t xml:space="preserve">Eine </w:t>
      </w:r>
      <w:r>
        <w:rPr>
          <w:rStyle w:val="Fett"/>
        </w:rPr>
        <w:t>funktionale Rekonstruktionsgüte</w:t>
      </w:r>
      <w:r>
        <w:t xml:space="preserve"> ist eine modellabhängige Abbildung</w:t>
      </w:r>
    </w:p>
    <w:p w:rsidR="008D6044" w:rsidRDefault="008D6044" w:rsidP="008D6044">
      <w:pPr>
        <w:pStyle w:val="StandardWeb"/>
      </w:pPr>
      <w:r>
        <w:t>[</w:t>
      </w:r>
      <w:r>
        <w:br/>
        <w:t>\boxed{</w:t>
      </w:r>
      <w:r>
        <w:br/>
        <w:t>Q_{\mathrm{rec}}</w:t>
      </w:r>
      <w:r>
        <w:br/>
        <w:t>:</w:t>
      </w:r>
      <w:r>
        <w:br/>
        <w:t>\mathcal X_F</w:t>
      </w:r>
      <w:r>
        <w:br/>
        <w:t>\rightarrow</w:t>
      </w:r>
      <w:r>
        <w:br/>
        <w:t>\mathcal Q_F,</w:t>
      </w:r>
      <w:r>
        <w:br/>
        <w:t>}</w:t>
      </w:r>
      <w:r>
        <w:br/>
        <w:t>\tag{3.13990}</w:t>
      </w:r>
      <w:r>
        <w:br/>
        <w:t>]</w:t>
      </w:r>
    </w:p>
    <w:p w:rsidR="008D6044" w:rsidRDefault="008D6044" w:rsidP="008D6044">
      <w:pPr>
        <w:pStyle w:val="StandardWeb"/>
      </w:pPr>
      <w:r>
        <w:rPr>
          <w:rStyle w:val="Fett"/>
        </w:rPr>
        <w:lastRenderedPageBreak/>
        <w:t>Word-LaTeX</w:t>
      </w:r>
    </w:p>
    <w:p w:rsidR="008D6044" w:rsidRDefault="008D6044" w:rsidP="008D6044">
      <w:pPr>
        <w:pStyle w:val="HTMLVorformatiert"/>
        <w:rPr>
          <w:rStyle w:val="HTMLCode"/>
        </w:rPr>
      </w:pPr>
      <w:r>
        <w:rPr>
          <w:rStyle w:val="HTMLCode"/>
        </w:rPr>
        <w:t>\boxed{Q_{\mathrm{rec}}:\mathcal X_F\rightarrow\mathcal Q_F,}</w:t>
      </w:r>
    </w:p>
    <w:p w:rsidR="008D6044" w:rsidRDefault="008D6044" w:rsidP="008D6044">
      <w:pPr>
        <w:pStyle w:val="StandardWeb"/>
      </w:pPr>
      <w:r>
        <w:t>die die Qualität einer Rekonstruktion bezüglich eines explizit festgelegten Bewertungskriteriums beschreibt.</w:t>
      </w:r>
    </w:p>
    <w:p w:rsidR="008D6044" w:rsidRDefault="008D6044" w:rsidP="008D6044">
      <w:r>
        <w:pict>
          <v:rect id="_x0000_i6108" style="width:0;height:1.5pt" o:hralign="center" o:hrstd="t" o:hr="t" fillcolor="#a0a0a0" stroked="f"/>
        </w:pict>
      </w:r>
    </w:p>
    <w:p w:rsidR="008D6044" w:rsidRDefault="008D6044" w:rsidP="008D6044">
      <w:pPr>
        <w:pStyle w:val="berschrift1"/>
      </w:pPr>
      <w:r>
        <w:t>3.3.53.59 Keine universelle numerische Güteskala</w:t>
      </w:r>
    </w:p>
    <w:p w:rsidR="008D6044" w:rsidRDefault="008D6044" w:rsidP="008D6044">
      <w:pPr>
        <w:pStyle w:val="StandardWeb"/>
      </w:pPr>
      <w:r>
        <w:t>Der Güteraum muss nicht</w:t>
      </w:r>
    </w:p>
    <w:p w:rsidR="008D6044" w:rsidRDefault="008D6044" w:rsidP="008D6044">
      <w:pPr>
        <w:pStyle w:val="berschrift1"/>
      </w:pPr>
      <w:r>
        <w:t>[</w:t>
      </w:r>
      <w:r>
        <w:br/>
        <w:t>\mathcal Q_F</w:t>
      </w:r>
    </w:p>
    <w:p w:rsidR="008D6044" w:rsidRDefault="008D6044" w:rsidP="008D6044">
      <w:pPr>
        <w:pStyle w:val="StandardWeb"/>
      </w:pPr>
      <w:r>
        <w:t>[0,1]</w:t>
      </w:r>
      <w:r>
        <w:br/>
        <w:t>\tag{3.13991}</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\mathcal Q_F=[0,1]</w:t>
      </w:r>
    </w:p>
    <w:p w:rsidR="008D6044" w:rsidRDefault="008D6044" w:rsidP="008D6044">
      <w:pPr>
        <w:pStyle w:val="StandardWeb"/>
      </w:pPr>
      <w:r>
        <w:t>sein.</w:t>
      </w:r>
    </w:p>
    <w:p w:rsidR="008D6044" w:rsidRDefault="008D6044" w:rsidP="008D6044">
      <w:pPr>
        <w:pStyle w:val="StandardWeb"/>
      </w:pPr>
      <w:r>
        <w:t>Ebenso wenig muss gelten</w:t>
      </w:r>
    </w:p>
    <w:p w:rsidR="008D6044" w:rsidRDefault="008D6044" w:rsidP="008D6044">
      <w:pPr>
        <w:pStyle w:val="StandardWeb"/>
      </w:pPr>
      <w:r>
        <w:t>[</w:t>
      </w:r>
      <w:r>
        <w:br/>
        <w:t>\mathcal Q_F</w:t>
      </w:r>
      <w:r>
        <w:br/>
        <w:t>\subseteq</w:t>
      </w:r>
      <w:r>
        <w:br/>
        <w:t>\mathbb R.</w:t>
      </w:r>
      <w:r>
        <w:br/>
        <w:t>\tag{3.13992}</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\mathcal Q_F\subseteq\mathbb R</w:t>
      </w:r>
    </w:p>
    <w:p w:rsidR="008D6044" w:rsidRDefault="008D6044" w:rsidP="008D6044">
      <w:r>
        <w:pict>
          <v:rect id="_x0000_i6109" style="width:0;height:1.5pt" o:hralign="center" o:hrstd="t" o:hr="t" fillcolor="#a0a0a0" stroked="f"/>
        </w:pict>
      </w:r>
    </w:p>
    <w:p w:rsidR="008D6044" w:rsidRDefault="008D6044" w:rsidP="008D6044">
      <w:pPr>
        <w:pStyle w:val="berschrift1"/>
      </w:pPr>
      <w:r>
        <w:t>3.3.53.60 Numerische Rekonstruktionsgüte als Primäraxiomkandidat</w:t>
      </w:r>
    </w:p>
    <w:p w:rsidR="008D6044" w:rsidRDefault="008D6044" w:rsidP="008D6044">
      <w:pPr>
        <w:pStyle w:val="StandardWeb"/>
      </w:pPr>
      <w:r>
        <w:t>Ein möglicher Kandidat wäre</w:t>
      </w:r>
    </w:p>
    <w:p w:rsidR="008D6044" w:rsidRDefault="008D6044" w:rsidP="008D6044">
      <w:pPr>
        <w:pStyle w:val="StandardWeb"/>
      </w:pPr>
      <w:r>
        <w:t>[</w:t>
      </w:r>
      <w:r>
        <w:br/>
        <w:t>A_{\mathrm{rec-num}}</w:t>
      </w:r>
      <w:r>
        <w:br/>
        <w:t>:</w:t>
      </w:r>
      <w:r>
        <w:br/>
      </w:r>
      <w:r>
        <w:lastRenderedPageBreak/>
        <w:t>Q_{\mathrm{rec}}(X)</w:t>
      </w:r>
      <w:r>
        <w:br/>
        <w:t>\in</w:t>
      </w:r>
      <w:r>
        <w:br/>
        <w:t>[0,1].</w:t>
      </w:r>
      <w:r>
        <w:br/>
        <w:t>\tag{3.13993}</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A_{\mathrm{rec-num}}:Q_{\mathrm{rec}}(X)\in[0,1]</w:t>
      </w:r>
    </w:p>
    <w:p w:rsidR="008D6044" w:rsidRDefault="008D6044" w:rsidP="008D6044">
      <w:r>
        <w:pict>
          <v:rect id="_x0000_i6110" style="width:0;height:1.5pt" o:hralign="center" o:hrstd="t" o:hr="t" fillcolor="#a0a0a0" stroked="f"/>
        </w:pict>
      </w:r>
    </w:p>
    <w:p w:rsidR="008D6044" w:rsidRDefault="008D6044" w:rsidP="008D6044">
      <w:pPr>
        <w:pStyle w:val="berschrift1"/>
      </w:pPr>
      <w:r>
        <w:t>3.3.53.61 Gegenmodell</w:t>
      </w:r>
    </w:p>
    <w:p w:rsidR="008D6044" w:rsidRDefault="008D6044" w:rsidP="008D6044">
      <w:pPr>
        <w:pStyle w:val="StandardWeb"/>
      </w:pPr>
      <w:r>
        <w:t>Eine Modellklasse kann qualitative Güteklassen verwenden:</w:t>
      </w:r>
    </w:p>
    <w:p w:rsidR="008D6044" w:rsidRDefault="008D6044" w:rsidP="008D6044">
      <w:pPr>
        <w:pStyle w:val="berschrift1"/>
      </w:pPr>
      <w:r>
        <w:t>[</w:t>
      </w:r>
      <w:r>
        <w:br/>
        <w:t>\mathcal Q_F</w:t>
      </w:r>
    </w:p>
    <w:p w:rsidR="008D6044" w:rsidRDefault="008D6044" w:rsidP="008D6044">
      <w:pPr>
        <w:pStyle w:val="StandardWeb"/>
      </w:pPr>
      <w:r>
        <w:t>{</w:t>
      </w:r>
      <w:r>
        <w:br/>
        <w:t>\mathrm{gering},</w:t>
      </w:r>
      <w:r>
        <w:br/>
        <w:t>\mathrm{mittel},</w:t>
      </w:r>
      <w:r>
        <w:br/>
        <w:t>\mathrm{hoch}</w:t>
      </w:r>
      <w:r>
        <w:br/>
        <w:t>}.</w:t>
      </w:r>
      <w:r>
        <w:br/>
        <w:t>\tag{3.13994}</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\mathcal Q_F=\{\mathrm{gering},\mathrm{mittel},\mathrm{hoch}\}</w:t>
      </w:r>
    </w:p>
    <w:p w:rsidR="008D6044" w:rsidRDefault="008D6044" w:rsidP="008D6044">
      <w:pPr>
        <w:pStyle w:val="StandardWeb"/>
      </w:pPr>
      <w:r>
        <w:t>Damit ist eine reellwertige Normierung nicht notwendig.</w:t>
      </w:r>
    </w:p>
    <w:p w:rsidR="008D6044" w:rsidRDefault="008D6044" w:rsidP="008D6044">
      <w:r>
        <w:pict>
          <v:rect id="_x0000_i6111" style="width:0;height:1.5pt" o:hralign="center" o:hrstd="t" o:hr="t" fillcolor="#a0a0a0" stroked="f"/>
        </w:pict>
      </w:r>
    </w:p>
    <w:p w:rsidR="008D6044" w:rsidRDefault="008D6044" w:rsidP="008D6044">
      <w:pPr>
        <w:pStyle w:val="berschrift1"/>
      </w:pPr>
      <w:r>
        <w:t>3.3.53.62 Axiomentscheidung zur numerischen Rekonstruktionsgüte</w:t>
      </w:r>
    </w:p>
    <w:p w:rsidR="008D6044" w:rsidRDefault="008D6044" w:rsidP="008D6044">
      <w:pPr>
        <w:pStyle w:val="StandardWeb"/>
      </w:pPr>
      <w:r>
        <w:t>Es folgt</w:t>
      </w:r>
    </w:p>
    <w:p w:rsidR="008D6044" w:rsidRDefault="008D6044" w:rsidP="008D6044">
      <w:pPr>
        <w:pStyle w:val="berschrift1"/>
      </w:pPr>
      <w:r>
        <w:t>[</w:t>
      </w:r>
      <w:r>
        <w:br/>
        <w:t>\boxed{</w:t>
      </w:r>
      <w:r>
        <w:br/>
        <w:t>U_{\mathrm{Ax}}</w:t>
      </w:r>
      <w:r>
        <w:br/>
        <w:t>(A_{\mathrm{rec-num}})</w:t>
      </w:r>
    </w:p>
    <w:p w:rsidR="008D6044" w:rsidRDefault="008D6044" w:rsidP="009F7790">
      <w:pPr>
        <w:numPr>
          <w:ilvl w:val="0"/>
          <w:numId w:val="746"/>
        </w:numPr>
        <w:spacing w:before="100" w:beforeAutospacing="1" w:after="100" w:afterAutospacing="1"/>
      </w:pPr>
    </w:p>
    <w:p w:rsidR="008D6044" w:rsidRDefault="008D6044" w:rsidP="008D6044">
      <w:pPr>
        <w:pStyle w:val="StandardWeb"/>
      </w:pPr>
      <w:r>
        <w:lastRenderedPageBreak/>
        <w:t>}</w:t>
      </w:r>
      <w:r>
        <w:br/>
        <w:t>\tag{3.13995}</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\boxed{U_{\mathrm{Ax}}(A_{\mathrm{rec-num}})=0.}</w:t>
      </w:r>
    </w:p>
    <w:p w:rsidR="008D6044" w:rsidRDefault="008D6044" w:rsidP="008D6044">
      <w:r>
        <w:pict>
          <v:rect id="_x0000_i6112" style="width:0;height:1.5pt" o:hralign="center" o:hrstd="t" o:hr="t" fillcolor="#a0a0a0" stroked="f"/>
        </w:pict>
      </w:r>
    </w:p>
    <w:p w:rsidR="008D6044" w:rsidRDefault="008D6044" w:rsidP="008D6044">
      <w:pPr>
        <w:pStyle w:val="berschrift1"/>
      </w:pPr>
      <w:r>
        <w:t>3.3.53.63 Satz 3.3.256 – Eine normierte numerische Rekonstruktionsgüte ist kein Primäraxiom</w:t>
      </w:r>
    </w:p>
    <w:p w:rsidR="008D6044" w:rsidRDefault="008D6044" w:rsidP="008D6044">
      <w:pPr>
        <w:pStyle w:val="berschrift3"/>
      </w:pPr>
      <w:r>
        <w:t>Satz 3.3.256</w:t>
      </w:r>
    </w:p>
    <w:p w:rsidR="008D6044" w:rsidRDefault="008D6044" w:rsidP="008D6044">
      <w:pPr>
        <w:pStyle w:val="StandardWeb"/>
      </w:pPr>
      <w:r>
        <w:t>Die Forderung, jede Rekonstruktionsgüte müsse durch eine normierte reellwertige Skala beschrieben werden, ist keine universell notwendige Voraussetzung des allgemeinen FRZK.</w:t>
      </w:r>
    </w:p>
    <w:p w:rsidR="008D6044" w:rsidRDefault="008D6044" w:rsidP="008D6044">
      <w:pPr>
        <w:pStyle w:val="berschrift1"/>
      </w:pPr>
      <w:r>
        <w:t>[</w:t>
      </w:r>
      <w:r>
        <w:br/>
        <w:t>\boxed{</w:t>
      </w:r>
      <w:r>
        <w:br/>
        <w:t>U_{\mathrm{Ax}}</w:t>
      </w:r>
      <w:r>
        <w:br/>
        <w:t>(A_{\mathrm{rec-num}})</w:t>
      </w:r>
    </w:p>
    <w:p w:rsidR="008D6044" w:rsidRDefault="008D6044" w:rsidP="009F7790">
      <w:pPr>
        <w:numPr>
          <w:ilvl w:val="0"/>
          <w:numId w:val="747"/>
        </w:numPr>
        <w:spacing w:before="100" w:beforeAutospacing="1" w:after="100" w:afterAutospacing="1"/>
      </w:pPr>
    </w:p>
    <w:p w:rsidR="008D6044" w:rsidRDefault="008D6044" w:rsidP="008D6044">
      <w:pPr>
        <w:pStyle w:val="StandardWeb"/>
      </w:pPr>
      <w:r>
        <w:t>}</w:t>
      </w:r>
      <w:r>
        <w:br/>
        <w:t>\tag{3.13996}</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\boxed{U_{\mathrm{Ax}}(A_{\mathrm{rec-num}})=0.}</w:t>
      </w:r>
    </w:p>
    <w:p w:rsidR="008D6044" w:rsidRDefault="008D6044" w:rsidP="008D6044">
      <w:r>
        <w:pict>
          <v:rect id="_x0000_i6113" style="width:0;height:1.5pt" o:hralign="center" o:hrstd="t" o:hr="t" fillcolor="#a0a0a0" stroked="f"/>
        </w:pict>
      </w:r>
    </w:p>
    <w:p w:rsidR="008D6044" w:rsidRDefault="008D6044" w:rsidP="008D6044">
      <w:pPr>
        <w:pStyle w:val="berschrift1"/>
      </w:pPr>
      <w:r>
        <w:t>3.3.53.64 Mehrstufige Erweiterung</w:t>
      </w:r>
    </w:p>
    <w:p w:rsidR="008D6044" w:rsidRDefault="008D6044" w:rsidP="008D6044">
      <w:pPr>
        <w:pStyle w:val="StandardWeb"/>
      </w:pPr>
      <w:r>
        <w:t>Erweiterungen können sequenziell ausgeführt werden:</w:t>
      </w:r>
    </w:p>
    <w:p w:rsidR="008D6044" w:rsidRDefault="008D6044" w:rsidP="008D6044">
      <w:pPr>
        <w:pStyle w:val="StandardWeb"/>
      </w:pPr>
      <w:r>
        <w:t>[</w:t>
      </w:r>
      <w:r>
        <w:br/>
        <w:t>\mathcal X_F</w:t>
      </w:r>
      <w:r>
        <w:br/>
        <w:t>\xrightarrow{E_{F,1}}</w:t>
      </w:r>
      <w:r>
        <w:br/>
        <w:t>\mathcal X_F^{(1)}</w:t>
      </w:r>
      <w:r>
        <w:br/>
        <w:t>\xrightarrow{E_{F,2}}</w:t>
      </w:r>
      <w:r>
        <w:br/>
        <w:t>\mathcal X_F^{(2)}</w:t>
      </w:r>
      <w:r>
        <w:br/>
        <w:t>\xrightarrow{}</w:t>
      </w:r>
      <w:r>
        <w:br/>
        <w:t>\cdots.</w:t>
      </w:r>
      <w:r>
        <w:br/>
      </w:r>
      <w:r>
        <w:lastRenderedPageBreak/>
        <w:t>\tag{3.13997}</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\mathcal X_F\xrightarrow{E_{F,1}}\mathcal X_F^{(1)}\xrightarrow{E_{F,2}}\mathcal X_F^{(2)}\xrightarrow{}\cdots</w:t>
      </w:r>
    </w:p>
    <w:p w:rsidR="008D6044" w:rsidRDefault="008D6044" w:rsidP="008D6044">
      <w:r>
        <w:pict>
          <v:rect id="_x0000_i6114" style="width:0;height:1.5pt" o:hralign="center" o:hrstd="t" o:hr="t" fillcolor="#a0a0a0" stroked="f"/>
        </w:pict>
      </w:r>
    </w:p>
    <w:p w:rsidR="008D6044" w:rsidRDefault="008D6044" w:rsidP="008D6044">
      <w:pPr>
        <w:pStyle w:val="berschrift2"/>
      </w:pPr>
      <w:r>
        <w:t>3.3.53.65 Definition 3.3.641 – Sequenzielle funktionale Erweiterung</w:t>
      </w:r>
    </w:p>
    <w:p w:rsidR="008D6044" w:rsidRDefault="008D6044" w:rsidP="008D6044">
      <w:pPr>
        <w:pStyle w:val="berschrift3"/>
      </w:pPr>
      <w:r>
        <w:t>Definition 3.3.641</w:t>
      </w:r>
    </w:p>
    <w:p w:rsidR="008D6044" w:rsidRDefault="008D6044" w:rsidP="008D6044">
      <w:pPr>
        <w:pStyle w:val="StandardWeb"/>
      </w:pPr>
      <w:r>
        <w:t xml:space="preserve">Eine </w:t>
      </w:r>
      <w:r>
        <w:rPr>
          <w:rStyle w:val="Fett"/>
        </w:rPr>
        <w:t>sequenzielle funktionale Erweiterung</w:t>
      </w:r>
      <w:r>
        <w:t xml:space="preserve"> ist die Komposition</w:t>
      </w:r>
    </w:p>
    <w:p w:rsidR="008D6044" w:rsidRDefault="008D6044" w:rsidP="008D6044">
      <w:pPr>
        <w:pStyle w:val="berschrift1"/>
      </w:pPr>
      <w:r>
        <w:t>[</w:t>
      </w:r>
      <w:r>
        <w:br/>
        <w:t>\boxed{</w:t>
      </w:r>
      <w:r>
        <w:br/>
        <w:t>E_{F,\mathrm{seq}}</w:t>
      </w:r>
    </w:p>
    <w:p w:rsidR="008D6044" w:rsidRDefault="008D6044" w:rsidP="008D6044">
      <w:pPr>
        <w:pStyle w:val="StandardWeb"/>
      </w:pPr>
      <w:r>
        <w:t>E_{F,n}</w:t>
      </w:r>
      <w:r>
        <w:br/>
        <w:t>\circ</w:t>
      </w:r>
      <w:r>
        <w:br/>
        <w:t>\cdots</w:t>
      </w:r>
      <w:r>
        <w:br/>
        <w:t>\circ</w:t>
      </w:r>
      <w:r>
        <w:br/>
        <w:t>E_{F,2}</w:t>
      </w:r>
      <w:r>
        <w:br/>
        <w:t>\circ</w:t>
      </w:r>
      <w:r>
        <w:br/>
        <w:t>E_{F,1}.</w:t>
      </w:r>
      <w:r>
        <w:br/>
        <w:t>}</w:t>
      </w:r>
      <w:r>
        <w:br/>
        <w:t>\tag{3.13998}</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\boxed{E_{F,\mathrm{seq}}=E_{F,n}\circ\cdots\circ E_{F,2}\circ E_{F,1}.}</w:t>
      </w:r>
    </w:p>
    <w:p w:rsidR="008D6044" w:rsidRDefault="008D6044" w:rsidP="008D6044">
      <w:r>
        <w:pict>
          <v:rect id="_x0000_i6115" style="width:0;height:1.5pt" o:hralign="center" o:hrstd="t" o:hr="t" fillcolor="#a0a0a0" stroked="f"/>
        </w:pict>
      </w:r>
    </w:p>
    <w:p w:rsidR="008D6044" w:rsidRDefault="008D6044" w:rsidP="008D6044">
      <w:pPr>
        <w:pStyle w:val="berschrift1"/>
      </w:pPr>
      <w:r>
        <w:t>3.3.53.66 Reihenfolgeabhängige Erweiterung</w:t>
      </w:r>
    </w:p>
    <w:p w:rsidR="008D6044" w:rsidRDefault="008D6044" w:rsidP="008D6044">
      <w:pPr>
        <w:pStyle w:val="StandardWeb"/>
      </w:pPr>
      <w:r>
        <w:t>Zwei Erweiterungen müssen nicht kommutieren:</w:t>
      </w:r>
    </w:p>
    <w:p w:rsidR="008D6044" w:rsidRDefault="008D6044" w:rsidP="008D6044">
      <w:pPr>
        <w:pStyle w:val="StandardWeb"/>
      </w:pPr>
      <w:r>
        <w:t>[</w:t>
      </w:r>
      <w:r>
        <w:br/>
        <w:t>E_{F,2}</w:t>
      </w:r>
      <w:r>
        <w:br/>
        <w:t>\circ</w:t>
      </w:r>
      <w:r>
        <w:br/>
        <w:t>E_{F,1}</w:t>
      </w:r>
      <w:r>
        <w:br/>
        <w:t>\neq</w:t>
      </w:r>
      <w:r>
        <w:br/>
        <w:t>E_{F,1}</w:t>
      </w:r>
      <w:r>
        <w:br/>
        <w:t>\circ</w:t>
      </w:r>
      <w:r>
        <w:br/>
        <w:t>E_{F,2}.</w:t>
      </w:r>
      <w:r>
        <w:br/>
      </w:r>
      <w:r>
        <w:lastRenderedPageBreak/>
        <w:t>\tag{3.13999}</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E_{F,2}\circ E_{F,1}\neq E_{F,1}\circ E_{F,2}</w:t>
      </w:r>
    </w:p>
    <w:p w:rsidR="008D6044" w:rsidRDefault="008D6044" w:rsidP="008D6044">
      <w:r>
        <w:pict>
          <v:rect id="_x0000_i6116" style="width:0;height:1.5pt" o:hralign="center" o:hrstd="t" o:hr="t" fillcolor="#a0a0a0" stroked="f"/>
        </w:pict>
      </w:r>
    </w:p>
    <w:p w:rsidR="008D6044" w:rsidRDefault="008D6044" w:rsidP="008D6044">
      <w:pPr>
        <w:pStyle w:val="berschrift2"/>
      </w:pPr>
      <w:r>
        <w:t>3.3.53.67 Definition 3.3.642 – Nichtkommutierende funktionale Erweiterungen</w:t>
      </w:r>
    </w:p>
    <w:p w:rsidR="008D6044" w:rsidRDefault="008D6044" w:rsidP="008D6044">
      <w:pPr>
        <w:pStyle w:val="berschrift3"/>
      </w:pPr>
      <w:r>
        <w:t>Definition 3.3.642</w:t>
      </w:r>
    </w:p>
    <w:p w:rsidR="008D6044" w:rsidRDefault="008D6044" w:rsidP="008D6044">
      <w:pPr>
        <w:pStyle w:val="StandardWeb"/>
      </w:pPr>
      <w:r>
        <w:t xml:space="preserve">Zwei funktionale Erweiterungsabbildungen heißen </w:t>
      </w:r>
      <w:r>
        <w:rPr>
          <w:rStyle w:val="Fett"/>
        </w:rPr>
        <w:t>nichtkommutierend</w:t>
      </w:r>
      <w:r>
        <w:t>, wenn</w:t>
      </w:r>
    </w:p>
    <w:p w:rsidR="008D6044" w:rsidRDefault="008D6044" w:rsidP="008D6044">
      <w:pPr>
        <w:pStyle w:val="StandardWeb"/>
      </w:pPr>
      <w:r>
        <w:t>[</w:t>
      </w:r>
      <w:r>
        <w:br/>
        <w:t>\boxed{</w:t>
      </w:r>
      <w:r>
        <w:br/>
        <w:t>E_{F,2}</w:t>
      </w:r>
      <w:r>
        <w:br/>
        <w:t>\circ</w:t>
      </w:r>
      <w:r>
        <w:br/>
        <w:t>E_{F,1}</w:t>
      </w:r>
      <w:r>
        <w:br/>
        <w:t>\neq</w:t>
      </w:r>
      <w:r>
        <w:br/>
        <w:t>E_{F,1}</w:t>
      </w:r>
      <w:r>
        <w:br/>
        <w:t>\circ</w:t>
      </w:r>
      <w:r>
        <w:br/>
        <w:t>E_{F,2}.</w:t>
      </w:r>
      <w:r>
        <w:br/>
        <w:t>}</w:t>
      </w:r>
      <w:r>
        <w:br/>
        <w:t>\tag{3.14000}</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\boxed{E_{F,2}\circ E_{F,1}\neq E_{F,1}\circ E_{F,2}.}</w:t>
      </w:r>
    </w:p>
    <w:p w:rsidR="008D6044" w:rsidRDefault="008D6044" w:rsidP="008D6044">
      <w:r>
        <w:pict>
          <v:rect id="_x0000_i6117" style="width:0;height:1.5pt" o:hralign="center" o:hrstd="t" o:hr="t" fillcolor="#a0a0a0" stroked="f"/>
        </w:pict>
      </w:r>
    </w:p>
    <w:p w:rsidR="008D6044" w:rsidRDefault="008D6044" w:rsidP="008D6044">
      <w:pPr>
        <w:pStyle w:val="berschrift1"/>
      </w:pPr>
      <w:r>
        <w:t>3.3.53.68 Erweiterungskommutativität als Primäraxiomkandidat</w:t>
      </w:r>
    </w:p>
    <w:p w:rsidR="008D6044" w:rsidRDefault="008D6044" w:rsidP="008D6044">
      <w:pPr>
        <w:pStyle w:val="StandardWeb"/>
      </w:pPr>
      <w:r>
        <w:t>Der Kandidat lautet</w:t>
      </w:r>
    </w:p>
    <w:p w:rsidR="008D6044" w:rsidRDefault="008D6044" w:rsidP="008D6044">
      <w:pPr>
        <w:pStyle w:val="berschrift1"/>
      </w:pPr>
      <w:r>
        <w:t>[</w:t>
      </w:r>
      <w:r>
        <w:br/>
        <w:t>A_{\mathrm{ext-comm}}</w:t>
      </w:r>
      <w:r>
        <w:br/>
        <w:t>:</w:t>
      </w:r>
      <w:r>
        <w:br/>
        <w:t>E_{F,i}</w:t>
      </w:r>
      <w:r>
        <w:br/>
        <w:t>\circ</w:t>
      </w:r>
      <w:r>
        <w:br/>
        <w:t>E_{F,j}</w:t>
      </w:r>
    </w:p>
    <w:p w:rsidR="008D6044" w:rsidRDefault="008D6044" w:rsidP="008D6044">
      <w:pPr>
        <w:pStyle w:val="StandardWeb"/>
      </w:pPr>
      <w:r>
        <w:lastRenderedPageBreak/>
        <w:t>E_{F,j}</w:t>
      </w:r>
      <w:r>
        <w:br/>
        <w:t>\circ</w:t>
      </w:r>
      <w:r>
        <w:br/>
        <w:t>E_{F,i}.</w:t>
      </w:r>
      <w:r>
        <w:br/>
        <w:t>\tag{3.14001}</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A_{\mathrm{ext-comm}}:E_{F,i}\circ E_{F,j}=E_{F,j}\circ E_{F,i}</w:t>
      </w:r>
    </w:p>
    <w:p w:rsidR="008D6044" w:rsidRDefault="008D6044" w:rsidP="008D6044">
      <w:r>
        <w:pict>
          <v:rect id="_x0000_i6118" style="width:0;height:1.5pt" o:hralign="center" o:hrstd="t" o:hr="t" fillcolor="#a0a0a0" stroked="f"/>
        </w:pict>
      </w:r>
    </w:p>
    <w:p w:rsidR="008D6044" w:rsidRDefault="008D6044" w:rsidP="008D6044">
      <w:pPr>
        <w:pStyle w:val="berschrift1"/>
      </w:pPr>
      <w:r>
        <w:t>3.3.53.69 Gegenmodell</w:t>
      </w:r>
    </w:p>
    <w:p w:rsidR="008D6044" w:rsidRDefault="008D6044" w:rsidP="008D6044">
      <w:pPr>
        <w:pStyle w:val="StandardWeb"/>
      </w:pPr>
      <w:r>
        <w:t>Eine Erweiterung kann eine Struktur erzeugen, auf die eine zweite Erweiterung anders reagiert als auf das ursprüngliche Objekt.</w:t>
      </w:r>
    </w:p>
    <w:p w:rsidR="008D6044" w:rsidRDefault="008D6044" w:rsidP="008D6044">
      <w:pPr>
        <w:pStyle w:val="StandardWeb"/>
      </w:pPr>
      <w:r>
        <w:t>Dann kann</w:t>
      </w:r>
    </w:p>
    <w:p w:rsidR="008D6044" w:rsidRDefault="008D6044" w:rsidP="008D6044">
      <w:pPr>
        <w:pStyle w:val="berschrift1"/>
      </w:pPr>
      <w:r>
        <w:t>[</w:t>
      </w:r>
      <w:r>
        <w:br/>
        <w:t>E_{F,2}(E_{F,1}(X))</w:t>
      </w:r>
    </w:p>
    <w:p w:rsidR="008D6044" w:rsidRDefault="008D6044" w:rsidP="008D6044">
      <w:pPr>
        <w:pStyle w:val="StandardWeb"/>
      </w:pPr>
      <w:r>
        <w:t>Y_1</w:t>
      </w:r>
      <w:r>
        <w:br/>
        <w:t>\tag{3.14002}</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E_{F,2}(E_{F,1}(X))=Y_1</w:t>
      </w:r>
    </w:p>
    <w:p w:rsidR="008D6044" w:rsidRDefault="008D6044" w:rsidP="008D6044">
      <w:pPr>
        <w:pStyle w:val="StandardWeb"/>
      </w:pPr>
      <w:r>
        <w:t>und</w:t>
      </w:r>
    </w:p>
    <w:p w:rsidR="008D6044" w:rsidRDefault="008D6044" w:rsidP="008D6044">
      <w:pPr>
        <w:pStyle w:val="berschrift1"/>
      </w:pPr>
      <w:r>
        <w:t>[</w:t>
      </w:r>
      <w:r>
        <w:br/>
        <w:t>E_{F,1}(E_{F,2}(X))</w:t>
      </w:r>
    </w:p>
    <w:p w:rsidR="008D6044" w:rsidRDefault="008D6044" w:rsidP="008D6044">
      <w:pPr>
        <w:pStyle w:val="StandardWeb"/>
      </w:pPr>
      <w:r>
        <w:t>Y_2</w:t>
      </w:r>
      <w:r>
        <w:br/>
        <w:t>\tag{3.14003}</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E_{F,1}(E_{F,2}(X))=Y_2</w:t>
      </w:r>
    </w:p>
    <w:p w:rsidR="008D6044" w:rsidRDefault="008D6044" w:rsidP="008D6044">
      <w:pPr>
        <w:pStyle w:val="StandardWeb"/>
      </w:pPr>
      <w:r>
        <w:t>mit</w:t>
      </w:r>
    </w:p>
    <w:p w:rsidR="008D6044" w:rsidRDefault="008D6044" w:rsidP="008D6044">
      <w:pPr>
        <w:pStyle w:val="StandardWeb"/>
      </w:pPr>
      <w:r>
        <w:t>[</w:t>
      </w:r>
      <w:r>
        <w:br/>
        <w:t>Y_1</w:t>
      </w:r>
      <w:r>
        <w:br/>
        <w:t>\neq</w:t>
      </w:r>
      <w:r>
        <w:br/>
        <w:t>Y_2</w:t>
      </w:r>
      <w:r>
        <w:br/>
      </w:r>
      <w:r>
        <w:lastRenderedPageBreak/>
        <w:t>\tag{3.14004}</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Y_1\neq Y_2</w:t>
      </w:r>
    </w:p>
    <w:p w:rsidR="008D6044" w:rsidRDefault="008D6044" w:rsidP="008D6044">
      <w:pPr>
        <w:pStyle w:val="StandardWeb"/>
      </w:pPr>
      <w:r>
        <w:t>gelten.</w:t>
      </w:r>
    </w:p>
    <w:p w:rsidR="008D6044" w:rsidRDefault="008D6044" w:rsidP="008D6044">
      <w:r>
        <w:pict>
          <v:rect id="_x0000_i6119" style="width:0;height:1.5pt" o:hralign="center" o:hrstd="t" o:hr="t" fillcolor="#a0a0a0" stroked="f"/>
        </w:pict>
      </w:r>
    </w:p>
    <w:p w:rsidR="008D6044" w:rsidRDefault="008D6044" w:rsidP="008D6044">
      <w:pPr>
        <w:pStyle w:val="berschrift1"/>
      </w:pPr>
      <w:r>
        <w:t>3.3.53.70 Axiomentscheidung zur Erweiterungskommutativität</w:t>
      </w:r>
    </w:p>
    <w:p w:rsidR="008D6044" w:rsidRDefault="008D6044" w:rsidP="008D6044">
      <w:pPr>
        <w:pStyle w:val="StandardWeb"/>
      </w:pPr>
      <w:r>
        <w:t>Damit folgt</w:t>
      </w:r>
    </w:p>
    <w:p w:rsidR="008D6044" w:rsidRDefault="008D6044" w:rsidP="008D6044">
      <w:pPr>
        <w:pStyle w:val="berschrift1"/>
      </w:pPr>
      <w:r>
        <w:t>[</w:t>
      </w:r>
      <w:r>
        <w:br/>
        <w:t>\boxed{</w:t>
      </w:r>
      <w:r>
        <w:br/>
        <w:t>U_{\mathrm{Ax}}</w:t>
      </w:r>
      <w:r>
        <w:br/>
        <w:t>(A_{\mathrm{ext-comm}})</w:t>
      </w:r>
    </w:p>
    <w:p w:rsidR="008D6044" w:rsidRDefault="008D6044" w:rsidP="009F7790">
      <w:pPr>
        <w:numPr>
          <w:ilvl w:val="0"/>
          <w:numId w:val="748"/>
        </w:numPr>
        <w:spacing w:before="100" w:beforeAutospacing="1" w:after="100" w:afterAutospacing="1"/>
      </w:pPr>
    </w:p>
    <w:p w:rsidR="008D6044" w:rsidRDefault="008D6044" w:rsidP="008D6044">
      <w:pPr>
        <w:pStyle w:val="StandardWeb"/>
      </w:pPr>
      <w:r>
        <w:t>}</w:t>
      </w:r>
      <w:r>
        <w:br/>
        <w:t>\tag{3.14005}</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\boxed{U_{\mathrm{Ax}}(A_{\mathrm{ext-comm}})=0.}</w:t>
      </w:r>
    </w:p>
    <w:p w:rsidR="008D6044" w:rsidRDefault="008D6044" w:rsidP="008D6044">
      <w:r>
        <w:pict>
          <v:rect id="_x0000_i6120" style="width:0;height:1.5pt" o:hralign="center" o:hrstd="t" o:hr="t" fillcolor="#a0a0a0" stroked="f"/>
        </w:pict>
      </w:r>
    </w:p>
    <w:p w:rsidR="008D6044" w:rsidRDefault="008D6044" w:rsidP="008D6044">
      <w:pPr>
        <w:pStyle w:val="berschrift1"/>
      </w:pPr>
      <w:r>
        <w:t>3.3.53.71 Satz 3.3.257 – Kommutativität funktionaler Erweiterungen ist kein Primäraxiom</w:t>
      </w:r>
    </w:p>
    <w:p w:rsidR="008D6044" w:rsidRDefault="008D6044" w:rsidP="008D6044">
      <w:pPr>
        <w:pStyle w:val="berschrift3"/>
      </w:pPr>
      <w:r>
        <w:t>Satz 3.3.257</w:t>
      </w:r>
    </w:p>
    <w:p w:rsidR="008D6044" w:rsidRDefault="008D6044" w:rsidP="008D6044">
      <w:pPr>
        <w:pStyle w:val="StandardWeb"/>
      </w:pPr>
      <w:r>
        <w:t>Die Forderung, beliebige funktionale Erweiterungsabbildungen müssten miteinander kommutieren, ist keine universell notwendige Voraussetzung des allgemeinen FRZK.</w:t>
      </w:r>
    </w:p>
    <w:p w:rsidR="008D6044" w:rsidRDefault="008D6044" w:rsidP="008D6044">
      <w:pPr>
        <w:pStyle w:val="berschrift1"/>
      </w:pPr>
      <w:r>
        <w:t>[</w:t>
      </w:r>
      <w:r>
        <w:br/>
        <w:t>\boxed{</w:t>
      </w:r>
      <w:r>
        <w:br/>
      </w:r>
      <w:r>
        <w:lastRenderedPageBreak/>
        <w:t>U_{\mathrm{Ax}}</w:t>
      </w:r>
      <w:r>
        <w:br/>
        <w:t>(A_{\mathrm{ext-comm}})</w:t>
      </w:r>
    </w:p>
    <w:p w:rsidR="008D6044" w:rsidRDefault="008D6044" w:rsidP="009F7790">
      <w:pPr>
        <w:numPr>
          <w:ilvl w:val="0"/>
          <w:numId w:val="749"/>
        </w:numPr>
        <w:spacing w:before="100" w:beforeAutospacing="1" w:after="100" w:afterAutospacing="1"/>
      </w:pPr>
    </w:p>
    <w:p w:rsidR="008D6044" w:rsidRDefault="008D6044" w:rsidP="008D6044">
      <w:pPr>
        <w:pStyle w:val="StandardWeb"/>
      </w:pPr>
      <w:r>
        <w:t>}</w:t>
      </w:r>
      <w:r>
        <w:br/>
        <w:t>\tag{3.14006}</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\boxed{U_{\mathrm{Ax}}(A_{\mathrm{ext-comm}})=0.}</w:t>
      </w:r>
    </w:p>
    <w:p w:rsidR="008D6044" w:rsidRDefault="008D6044" w:rsidP="008D6044">
      <w:r>
        <w:pict>
          <v:rect id="_x0000_i6121" style="width:0;height:1.5pt" o:hralign="center" o:hrstd="t" o:hr="t" fillcolor="#a0a0a0" stroked="f"/>
        </w:pict>
      </w:r>
    </w:p>
    <w:p w:rsidR="008D6044" w:rsidRDefault="008D6044" w:rsidP="008D6044">
      <w:pPr>
        <w:pStyle w:val="berschrift1"/>
      </w:pPr>
      <w:r>
        <w:t>3.3.53.72 Korollar 3.3.71 – Erweiterungsreihenfolge kann strukturell relevant sein</w:t>
      </w:r>
    </w:p>
    <w:p w:rsidR="008D6044" w:rsidRDefault="008D6044" w:rsidP="008D6044">
      <w:pPr>
        <w:pStyle w:val="berschrift3"/>
      </w:pPr>
      <w:r>
        <w:t>Korollar 3.3.71</w:t>
      </w:r>
    </w:p>
    <w:p w:rsidR="008D6044" w:rsidRDefault="008D6044" w:rsidP="008D6044">
      <w:pPr>
        <w:pStyle w:val="StandardWeb"/>
      </w:pPr>
      <w:r>
        <w:t>Aus Satz 3.3.257 folgt</w:t>
      </w:r>
    </w:p>
    <w:p w:rsidR="008D6044" w:rsidRDefault="008D6044" w:rsidP="008D6044">
      <w:pPr>
        <w:pStyle w:val="StandardWeb"/>
      </w:pPr>
      <w:r>
        <w:t>[</w:t>
      </w:r>
      <w:r>
        <w:br/>
        <w:t>\boxed{</w:t>
      </w:r>
      <w:r>
        <w:br/>
        <w:t>E_{F,2}</w:t>
      </w:r>
      <w:r>
        <w:br/>
        <w:t>\circ</w:t>
      </w:r>
      <w:r>
        <w:br/>
        <w:t>E_{F,1}</w:t>
      </w:r>
      <w:r>
        <w:br/>
        <w:t>\not\equiv</w:t>
      </w:r>
      <w:r>
        <w:br/>
        <w:t>E_{F,1}</w:t>
      </w:r>
      <w:r>
        <w:br/>
        <w:t>\circ</w:t>
      </w:r>
      <w:r>
        <w:br/>
        <w:t>E_{F,2}.</w:t>
      </w:r>
      <w:r>
        <w:br/>
        <w:t>}</w:t>
      </w:r>
      <w:r>
        <w:br/>
        <w:t>\tag{3.14007}</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\boxed{E_{F,2}\circ E_{F,1}\not\equiv E_{F,1}\circ E_{F,2}.}</w:t>
      </w:r>
    </w:p>
    <w:p w:rsidR="008D6044" w:rsidRDefault="008D6044" w:rsidP="008D6044">
      <w:r>
        <w:pict>
          <v:rect id="_x0000_i6122" style="width:0;height:1.5pt" o:hralign="center" o:hrstd="t" o:hr="t" fillcolor="#a0a0a0" stroked="f"/>
        </w:pict>
      </w:r>
    </w:p>
    <w:p w:rsidR="008D6044" w:rsidRDefault="008D6044" w:rsidP="008D6044">
      <w:pPr>
        <w:pStyle w:val="berschrift1"/>
      </w:pPr>
      <w:r>
        <w:t>3.3.53.73 Erweiterungshierarchie</w:t>
      </w:r>
    </w:p>
    <w:p w:rsidR="008D6044" w:rsidRDefault="008D6044" w:rsidP="008D6044">
      <w:pPr>
        <w:pStyle w:val="StandardWeb"/>
      </w:pPr>
      <w:r>
        <w:t>Mehrere Erweiterungsebenen können hierarchisch angeordnet werden:</w:t>
      </w:r>
    </w:p>
    <w:p w:rsidR="008D6044" w:rsidRDefault="008D6044" w:rsidP="008D6044">
      <w:pPr>
        <w:pStyle w:val="StandardWeb"/>
      </w:pPr>
      <w:r>
        <w:t>[</w:t>
      </w:r>
      <w:r>
        <w:br/>
        <w:t>\mathcal X_F^{(0)}</w:t>
      </w:r>
      <w:r>
        <w:br/>
        <w:t>\xrightarrow{E_{F,1}}</w:t>
      </w:r>
      <w:r>
        <w:br/>
        <w:t>\mathcal X_F^{(1)}</w:t>
      </w:r>
      <w:r>
        <w:br/>
        <w:t>\xrightarrow{E_{F,2}}</w:t>
      </w:r>
      <w:r>
        <w:br/>
      </w:r>
      <w:r>
        <w:lastRenderedPageBreak/>
        <w:t>\cdots</w:t>
      </w:r>
      <w:r>
        <w:br/>
        <w:t>\xrightarrow{E_{F,n}}</w:t>
      </w:r>
      <w:r>
        <w:br/>
        <w:t>\mathcal X_F^{(n)}.</w:t>
      </w:r>
      <w:r>
        <w:br/>
        <w:t>\tag{3.14008}</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\mathcal X_F^{(0)}\xrightarrow{E_{F,1}}\mathcal X_F^{(1)}\xrightarrow{E_{F,2}}\cdots\xrightarrow{E_{F,n}}\mathcal X_F^{(n)}</w:t>
      </w:r>
    </w:p>
    <w:p w:rsidR="008D6044" w:rsidRDefault="008D6044" w:rsidP="008D6044">
      <w:r>
        <w:pict>
          <v:rect id="_x0000_i6123" style="width:0;height:1.5pt" o:hralign="center" o:hrstd="t" o:hr="t" fillcolor="#a0a0a0" stroked="f"/>
        </w:pict>
      </w:r>
    </w:p>
    <w:p w:rsidR="008D6044" w:rsidRDefault="008D6044" w:rsidP="008D6044">
      <w:pPr>
        <w:pStyle w:val="berschrift2"/>
      </w:pPr>
      <w:r>
        <w:t>3.3.53.74 Definition 3.3.643 – Funktionale Erweiterungshierarchie</w:t>
      </w:r>
    </w:p>
    <w:p w:rsidR="008D6044" w:rsidRDefault="008D6044" w:rsidP="008D6044">
      <w:pPr>
        <w:pStyle w:val="berschrift3"/>
      </w:pPr>
      <w:r>
        <w:t>Definition 3.3.643</w:t>
      </w:r>
    </w:p>
    <w:p w:rsidR="008D6044" w:rsidRDefault="008D6044" w:rsidP="008D6044">
      <w:pPr>
        <w:pStyle w:val="StandardWeb"/>
      </w:pPr>
      <w:r>
        <w:t xml:space="preserve">Eine </w:t>
      </w:r>
      <w:r>
        <w:rPr>
          <w:rStyle w:val="Fett"/>
        </w:rPr>
        <w:t>funktionale Erweiterungshierarchie</w:t>
      </w:r>
      <w:r>
        <w:t xml:space="preserve"> ist eine Folge</w:t>
      </w:r>
    </w:p>
    <w:p w:rsidR="008D6044" w:rsidRDefault="008D6044" w:rsidP="008D6044">
      <w:pPr>
        <w:pStyle w:val="StandardWeb"/>
      </w:pPr>
      <w:r>
        <w:t>[</w:t>
      </w:r>
      <w:r>
        <w:br/>
        <w:t>\boxed{</w:t>
      </w:r>
      <w:r>
        <w:br/>
        <w:t>\mathcal X_F^{(0)}</w:t>
      </w:r>
      <w:r>
        <w:br/>
        <w:t>\xrightarrow{E_{F,1}}</w:t>
      </w:r>
      <w:r>
        <w:br/>
        <w:t>\mathcal X_F^{(1)}</w:t>
      </w:r>
      <w:r>
        <w:br/>
        <w:t>\xrightarrow{E_{F,2}}</w:t>
      </w:r>
      <w:r>
        <w:br/>
        <w:t>\cdots</w:t>
      </w:r>
      <w:r>
        <w:br/>
        <w:t>\xrightarrow{E_{F,n}}</w:t>
      </w:r>
      <w:r>
        <w:br/>
        <w:t>\mathcal X_F^{(n)}.</w:t>
      </w:r>
      <w:r>
        <w:br/>
        <w:t>}</w:t>
      </w:r>
      <w:r>
        <w:br/>
        <w:t>\tag{3.14009}</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\boxed{\mathcal X_F^{(0)}\xrightarrow{E_{F,1}}\mathcal X_F^{(1)}\xrightarrow{E_{F,2}}\cdots\xrightarrow{E_{F,n}}\mathcal X_F^{(n)}.}</w:t>
      </w:r>
    </w:p>
    <w:p w:rsidR="008D6044" w:rsidRDefault="008D6044" w:rsidP="008D6044">
      <w:pPr>
        <w:pStyle w:val="StandardWeb"/>
      </w:pPr>
      <w:r>
        <w:t>Dabei setze ich</w:t>
      </w:r>
    </w:p>
    <w:p w:rsidR="008D6044" w:rsidRDefault="008D6044" w:rsidP="008D6044">
      <w:pPr>
        <w:pStyle w:val="berschrift1"/>
      </w:pPr>
      <w:r>
        <w:t>[</w:t>
      </w:r>
      <w:r>
        <w:br/>
        <w:t>\mathcal X_F^{(0)}</w:t>
      </w:r>
    </w:p>
    <w:p w:rsidR="008D6044" w:rsidRDefault="008D6044" w:rsidP="008D6044">
      <w:pPr>
        <w:pStyle w:val="StandardWeb"/>
      </w:pPr>
      <w:r>
        <w:t>\mathcal X_F.</w:t>
      </w:r>
      <w:r>
        <w:br/>
        <w:t>\tag{3.14010}</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\mathcal X_F^{(0)}=\mathcal X_F</w:t>
      </w:r>
    </w:p>
    <w:p w:rsidR="008D6044" w:rsidRDefault="008D6044" w:rsidP="008D6044">
      <w:r>
        <w:lastRenderedPageBreak/>
        <w:pict>
          <v:rect id="_x0000_i6124" style="width:0;height:1.5pt" o:hralign="center" o:hrstd="t" o:hr="t" fillcolor="#a0a0a0" stroked="f"/>
        </w:pict>
      </w:r>
    </w:p>
    <w:p w:rsidR="008D6044" w:rsidRDefault="008D6044" w:rsidP="008D6044">
      <w:pPr>
        <w:pStyle w:val="berschrift1"/>
      </w:pPr>
      <w:r>
        <w:t>3.3.53.75 Erweiterungstiefe</w:t>
      </w:r>
    </w:p>
    <w:p w:rsidR="008D6044" w:rsidRDefault="008D6044" w:rsidP="008D6044">
      <w:pPr>
        <w:pStyle w:val="StandardWeb"/>
      </w:pPr>
      <w:r>
        <w:t>Für eine endliche Erweiterungshierarchie kann ich definieren</w:t>
      </w:r>
    </w:p>
    <w:p w:rsidR="008D6044" w:rsidRDefault="008D6044" w:rsidP="008D6044">
      <w:pPr>
        <w:pStyle w:val="berschrift1"/>
      </w:pPr>
      <w:r>
        <w:t>[</w:t>
      </w:r>
      <w:r>
        <w:br/>
        <w:t>h_{\mathrm{ext}}</w:t>
      </w:r>
    </w:p>
    <w:p w:rsidR="008D6044" w:rsidRDefault="008D6044" w:rsidP="008D6044">
      <w:pPr>
        <w:pStyle w:val="StandardWeb"/>
      </w:pPr>
      <w:r>
        <w:t>n.</w:t>
      </w:r>
      <w:r>
        <w:br/>
        <w:t>\tag{3.14011}</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h_{\mathrm{ext}}=n</w:t>
      </w:r>
    </w:p>
    <w:p w:rsidR="008D6044" w:rsidRDefault="008D6044" w:rsidP="008D6044">
      <w:r>
        <w:pict>
          <v:rect id="_x0000_i6125" style="width:0;height:1.5pt" o:hralign="center" o:hrstd="t" o:hr="t" fillcolor="#a0a0a0" stroked="f"/>
        </w:pict>
      </w:r>
    </w:p>
    <w:p w:rsidR="008D6044" w:rsidRDefault="008D6044" w:rsidP="008D6044">
      <w:pPr>
        <w:pStyle w:val="berschrift2"/>
      </w:pPr>
      <w:r>
        <w:t>3.3.53.76 Definition 3.3.644 – Funktionale Erweiterungstiefe</w:t>
      </w:r>
    </w:p>
    <w:p w:rsidR="008D6044" w:rsidRDefault="008D6044" w:rsidP="008D6044">
      <w:pPr>
        <w:pStyle w:val="berschrift3"/>
      </w:pPr>
      <w:r>
        <w:t>Definition 3.3.644</w:t>
      </w:r>
    </w:p>
    <w:p w:rsidR="008D6044" w:rsidRDefault="008D6044" w:rsidP="008D6044">
      <w:pPr>
        <w:pStyle w:val="StandardWeb"/>
      </w:pPr>
      <w:r>
        <w:t xml:space="preserve">Die </w:t>
      </w:r>
      <w:r>
        <w:rPr>
          <w:rStyle w:val="Fett"/>
        </w:rPr>
        <w:t>funktionale Erweiterungstiefe</w:t>
      </w:r>
      <w:r>
        <w:t xml:space="preserve"> einer endlichen Erweiterungshierarchie ist</w:t>
      </w:r>
    </w:p>
    <w:p w:rsidR="008D6044" w:rsidRDefault="008D6044" w:rsidP="008D6044">
      <w:pPr>
        <w:pStyle w:val="berschrift1"/>
      </w:pPr>
      <w:r>
        <w:t>[</w:t>
      </w:r>
      <w:r>
        <w:br/>
        <w:t>\boxed{</w:t>
      </w:r>
      <w:r>
        <w:br/>
        <w:t>h_{\mathrm{ext}}</w:t>
      </w:r>
    </w:p>
    <w:p w:rsidR="008D6044" w:rsidRDefault="008D6044" w:rsidP="008D6044">
      <w:pPr>
        <w:pStyle w:val="StandardWeb"/>
      </w:pPr>
      <w:r>
        <w:t>n.</w:t>
      </w:r>
      <w:r>
        <w:br/>
        <w:t>}</w:t>
      </w:r>
      <w:r>
        <w:br/>
        <w:t>\tag{3.14012}</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\boxed{h_{\mathrm{ext}}=n.}</w:t>
      </w:r>
    </w:p>
    <w:p w:rsidR="008D6044" w:rsidRDefault="008D6044" w:rsidP="008D6044">
      <w:r>
        <w:pict>
          <v:rect id="_x0000_i6126" style="width:0;height:1.5pt" o:hralign="center" o:hrstd="t" o:hr="t" fillcolor="#a0a0a0" stroked="f"/>
        </w:pict>
      </w:r>
    </w:p>
    <w:p w:rsidR="008D6044" w:rsidRDefault="008D6044" w:rsidP="008D6044">
      <w:pPr>
        <w:pStyle w:val="berschrift1"/>
      </w:pPr>
      <w:r>
        <w:t>3.3.53.77 Universell beschränkte Erweiterungstiefe als Primäraxiomkandidat</w:t>
      </w:r>
    </w:p>
    <w:p w:rsidR="008D6044" w:rsidRDefault="008D6044" w:rsidP="008D6044">
      <w:pPr>
        <w:pStyle w:val="StandardWeb"/>
      </w:pPr>
      <w:r>
        <w:t>Ein möglicher Kandidat lautet</w:t>
      </w:r>
    </w:p>
    <w:p w:rsidR="008D6044" w:rsidRDefault="008D6044" w:rsidP="008D6044">
      <w:pPr>
        <w:pStyle w:val="StandardWeb"/>
      </w:pPr>
      <w:r>
        <w:t>[</w:t>
      </w:r>
      <w:r>
        <w:br/>
        <w:t>A_{\mathrm{ext-depth}}</w:t>
      </w:r>
      <w:r>
        <w:br/>
      </w:r>
      <w:r>
        <w:lastRenderedPageBreak/>
        <w:t>:</w:t>
      </w:r>
      <w:r>
        <w:br/>
        <w:t>\exists h_{\max}^{\mathrm{ext}}</w:t>
      </w:r>
      <w:r>
        <w:br/>
        <w:t>&lt;</w:t>
      </w:r>
      <w:r>
        <w:br/>
        <w:t>\infty</w:t>
      </w:r>
      <w:r>
        <w:br/>
        <w:t>:</w:t>
      </w:r>
      <w:r>
        <w:br/>
        <w:t>h_{\mathrm{ext}}</w:t>
      </w:r>
      <w:r>
        <w:br/>
        <w:t>\leq</w:t>
      </w:r>
      <w:r>
        <w:br/>
        <w:t>h_{\max}^{\mathrm{ext}}.</w:t>
      </w:r>
      <w:r>
        <w:br/>
        <w:t>\tag{3.14013}</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A_{\mathrm{ext-depth}}:\exists h_{\max}^{\mathrm{ext}}&lt;\infty:h_{\mathrm{ext}}\leq h_{\max}^{\mathrm{ext}}</w:t>
      </w:r>
    </w:p>
    <w:p w:rsidR="008D6044" w:rsidRDefault="008D6044" w:rsidP="008D6044">
      <w:r>
        <w:pict>
          <v:rect id="_x0000_i6127" style="width:0;height:1.5pt" o:hralign="center" o:hrstd="t" o:hr="t" fillcolor="#a0a0a0" stroked="f"/>
        </w:pict>
      </w:r>
    </w:p>
    <w:p w:rsidR="008D6044" w:rsidRDefault="008D6044" w:rsidP="008D6044">
      <w:pPr>
        <w:pStyle w:val="berschrift1"/>
      </w:pPr>
      <w:r>
        <w:t>3.3.53.78 Gegenmodell</w:t>
      </w:r>
    </w:p>
    <w:p w:rsidR="008D6044" w:rsidRDefault="008D6044" w:rsidP="008D6044">
      <w:pPr>
        <w:pStyle w:val="StandardWeb"/>
      </w:pPr>
      <w:r>
        <w:t>Eine Modellklasse kann für jede endliche Erweiterungsstufe eine weitere Erweiterung zulassen:</w:t>
      </w:r>
    </w:p>
    <w:p w:rsidR="008D6044" w:rsidRDefault="008D6044" w:rsidP="008D6044">
      <w:pPr>
        <w:pStyle w:val="StandardWeb"/>
      </w:pPr>
      <w:r>
        <w:t>[</w:t>
      </w:r>
      <w:r>
        <w:br/>
        <w:t>\forall n\in\mathbb N</w:t>
      </w:r>
      <w:r>
        <w:br/>
        <w:t>\quad</w:t>
      </w:r>
      <w:r>
        <w:br/>
        <w:t>\exists</w:t>
      </w:r>
      <w:r>
        <w:br/>
        <w:t>\mathcal X_F^{(n+1)}.</w:t>
      </w:r>
      <w:r>
        <w:br/>
        <w:t>\tag{3.14014}</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\forall n\in\mathbb N\quad\exists\mathcal X_F^{(n+1)}</w:t>
      </w:r>
    </w:p>
    <w:p w:rsidR="008D6044" w:rsidRDefault="008D6044" w:rsidP="008D6044">
      <w:pPr>
        <w:pStyle w:val="StandardWeb"/>
      </w:pPr>
      <w:r>
        <w:t>Damit existiert keine universelle endliche obere Grenze.</w:t>
      </w:r>
    </w:p>
    <w:p w:rsidR="008D6044" w:rsidRDefault="008D6044" w:rsidP="008D6044">
      <w:r>
        <w:pict>
          <v:rect id="_x0000_i6128" style="width:0;height:1.5pt" o:hralign="center" o:hrstd="t" o:hr="t" fillcolor="#a0a0a0" stroked="f"/>
        </w:pict>
      </w:r>
    </w:p>
    <w:p w:rsidR="008D6044" w:rsidRDefault="008D6044" w:rsidP="008D6044">
      <w:pPr>
        <w:pStyle w:val="berschrift1"/>
      </w:pPr>
      <w:r>
        <w:t>3.3.53.79 Axiomentscheidung zur Erweiterungstiefe</w:t>
      </w:r>
    </w:p>
    <w:p w:rsidR="008D6044" w:rsidRDefault="008D6044" w:rsidP="008D6044">
      <w:pPr>
        <w:pStyle w:val="StandardWeb"/>
      </w:pPr>
      <w:r>
        <w:t>Daher gilt</w:t>
      </w:r>
    </w:p>
    <w:p w:rsidR="008D6044" w:rsidRDefault="008D6044" w:rsidP="008D6044">
      <w:pPr>
        <w:pStyle w:val="berschrift1"/>
      </w:pPr>
      <w:r>
        <w:t>[</w:t>
      </w:r>
      <w:r>
        <w:br/>
        <w:t>\boxed{</w:t>
      </w:r>
      <w:r>
        <w:br/>
        <w:t>U_{\mathrm{Ax}}</w:t>
      </w:r>
      <w:r>
        <w:br/>
        <w:t>(A_{\mathrm{ext-depth}})</w:t>
      </w:r>
    </w:p>
    <w:p w:rsidR="008D6044" w:rsidRDefault="008D6044" w:rsidP="009F7790">
      <w:pPr>
        <w:numPr>
          <w:ilvl w:val="0"/>
          <w:numId w:val="750"/>
        </w:numPr>
        <w:spacing w:before="100" w:beforeAutospacing="1" w:after="100" w:afterAutospacing="1"/>
      </w:pPr>
    </w:p>
    <w:p w:rsidR="008D6044" w:rsidRDefault="008D6044" w:rsidP="008D6044">
      <w:pPr>
        <w:pStyle w:val="StandardWeb"/>
      </w:pPr>
      <w:r>
        <w:lastRenderedPageBreak/>
        <w:t>}</w:t>
      </w:r>
      <w:r>
        <w:br/>
        <w:t>\tag{3.14015}</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\boxed{U_{\mathrm{Ax}}(A_{\mathrm{ext-depth}})=0.}</w:t>
      </w:r>
    </w:p>
    <w:p w:rsidR="008D6044" w:rsidRDefault="008D6044" w:rsidP="008D6044">
      <w:r>
        <w:pict>
          <v:rect id="_x0000_i6129" style="width:0;height:1.5pt" o:hralign="center" o:hrstd="t" o:hr="t" fillcolor="#a0a0a0" stroked="f"/>
        </w:pict>
      </w:r>
    </w:p>
    <w:p w:rsidR="008D6044" w:rsidRDefault="008D6044" w:rsidP="008D6044">
      <w:pPr>
        <w:pStyle w:val="berschrift1"/>
      </w:pPr>
      <w:r>
        <w:t>3.3.53.80 Satz 3.3.258 – Universell begrenzte Erweiterungstiefe ist kein Primäraxiom</w:t>
      </w:r>
    </w:p>
    <w:p w:rsidR="008D6044" w:rsidRDefault="008D6044" w:rsidP="008D6044">
      <w:pPr>
        <w:pStyle w:val="berschrift3"/>
      </w:pPr>
      <w:r>
        <w:t>Satz 3.3.258</w:t>
      </w:r>
    </w:p>
    <w:p w:rsidR="008D6044" w:rsidRDefault="008D6044" w:rsidP="008D6044">
      <w:pPr>
        <w:pStyle w:val="StandardWeb"/>
      </w:pPr>
      <w:r>
        <w:t>Die Forderung, jede funktionale Erweiterungshierarchie müsse durch eine universell festgelegte endliche maximale Tiefe begrenzt sein, ist keine notwendige Voraussetzung des allgemeinen FRZK.</w:t>
      </w:r>
    </w:p>
    <w:p w:rsidR="008D6044" w:rsidRDefault="008D6044" w:rsidP="008D6044">
      <w:pPr>
        <w:pStyle w:val="berschrift1"/>
      </w:pPr>
      <w:r>
        <w:t>[</w:t>
      </w:r>
      <w:r>
        <w:br/>
        <w:t>\boxed{</w:t>
      </w:r>
      <w:r>
        <w:br/>
        <w:t>U_{\mathrm{Ax}}</w:t>
      </w:r>
      <w:r>
        <w:br/>
        <w:t>(A_{\mathrm{ext-depth}})</w:t>
      </w:r>
    </w:p>
    <w:p w:rsidR="008D6044" w:rsidRDefault="008D6044" w:rsidP="009F7790">
      <w:pPr>
        <w:numPr>
          <w:ilvl w:val="0"/>
          <w:numId w:val="751"/>
        </w:numPr>
        <w:spacing w:before="100" w:beforeAutospacing="1" w:after="100" w:afterAutospacing="1"/>
      </w:pPr>
    </w:p>
    <w:p w:rsidR="008D6044" w:rsidRDefault="008D6044" w:rsidP="008D6044">
      <w:pPr>
        <w:pStyle w:val="StandardWeb"/>
      </w:pPr>
      <w:r>
        <w:t>}</w:t>
      </w:r>
      <w:r>
        <w:br/>
        <w:t>\tag{3.14016}</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\boxed{U_{\mathrm{Ax}}(A_{\mathrm{ext-depth}})=0.}</w:t>
      </w:r>
    </w:p>
    <w:p w:rsidR="008D6044" w:rsidRDefault="008D6044" w:rsidP="008D6044">
      <w:r>
        <w:pict>
          <v:rect id="_x0000_i6130" style="width:0;height:1.5pt" o:hralign="center" o:hrstd="t" o:hr="t" fillcolor="#a0a0a0" stroked="f"/>
        </w:pict>
      </w:r>
    </w:p>
    <w:p w:rsidR="008D6044" w:rsidRDefault="008D6044" w:rsidP="008D6044">
      <w:pPr>
        <w:pStyle w:val="berschrift1"/>
      </w:pPr>
      <w:r>
        <w:t>3.3.53.81 Zeitabhängige Erweiterung</w:t>
      </w:r>
    </w:p>
    <w:p w:rsidR="008D6044" w:rsidRDefault="008D6044" w:rsidP="008D6044">
      <w:pPr>
        <w:pStyle w:val="StandardWeb"/>
      </w:pPr>
      <w:r>
        <w:t>Eine Erweiterungsabbildung kann vom Zeitparameter abhängen:</w:t>
      </w:r>
    </w:p>
    <w:p w:rsidR="008D6044" w:rsidRDefault="008D6044" w:rsidP="008D6044">
      <w:pPr>
        <w:pStyle w:val="berschrift1"/>
      </w:pPr>
      <w:r>
        <w:t>[</w:t>
      </w:r>
      <w:r>
        <w:br/>
        <w:t>E_F</w:t>
      </w:r>
    </w:p>
    <w:p w:rsidR="008D6044" w:rsidRDefault="008D6044" w:rsidP="008D6044">
      <w:pPr>
        <w:pStyle w:val="StandardWeb"/>
      </w:pPr>
      <w:r>
        <w:t>E_F(t).</w:t>
      </w:r>
      <w:r>
        <w:br/>
        <w:t>\tag{3.14017}</w:t>
      </w:r>
      <w:r>
        <w:br/>
        <w:t>]</w:t>
      </w:r>
    </w:p>
    <w:p w:rsidR="008D6044" w:rsidRDefault="008D6044" w:rsidP="008D6044">
      <w:pPr>
        <w:pStyle w:val="StandardWeb"/>
      </w:pPr>
      <w:r>
        <w:rPr>
          <w:rStyle w:val="Fett"/>
        </w:rPr>
        <w:lastRenderedPageBreak/>
        <w:t>Word-LaTeX</w:t>
      </w:r>
    </w:p>
    <w:p w:rsidR="008D6044" w:rsidRDefault="008D6044" w:rsidP="008D6044">
      <w:pPr>
        <w:pStyle w:val="HTMLVorformatiert"/>
        <w:rPr>
          <w:rStyle w:val="HTMLCode"/>
        </w:rPr>
      </w:pPr>
      <w:r>
        <w:rPr>
          <w:rStyle w:val="HTMLCode"/>
        </w:rPr>
        <w:t>E_F=E_F(t)</w:t>
      </w:r>
    </w:p>
    <w:p w:rsidR="008D6044" w:rsidRDefault="008D6044" w:rsidP="008D6044">
      <w:r>
        <w:pict>
          <v:rect id="_x0000_i6131" style="width:0;height:1.5pt" o:hralign="center" o:hrstd="t" o:hr="t" fillcolor="#a0a0a0" stroked="f"/>
        </w:pict>
      </w:r>
    </w:p>
    <w:p w:rsidR="008D6044" w:rsidRDefault="008D6044" w:rsidP="008D6044">
      <w:pPr>
        <w:pStyle w:val="berschrift2"/>
      </w:pPr>
      <w:r>
        <w:t>3.3.53.82 Definition 3.3.645 – Zeitabhängige funktionale Erweiterung</w:t>
      </w:r>
    </w:p>
    <w:p w:rsidR="008D6044" w:rsidRDefault="008D6044" w:rsidP="008D6044">
      <w:pPr>
        <w:pStyle w:val="berschrift3"/>
      </w:pPr>
      <w:r>
        <w:t>Definition 3.3.645</w:t>
      </w:r>
    </w:p>
    <w:p w:rsidR="008D6044" w:rsidRDefault="008D6044" w:rsidP="008D6044">
      <w:pPr>
        <w:pStyle w:val="StandardWeb"/>
      </w:pPr>
      <w:r>
        <w:t xml:space="preserve">Eine funktionale Erweiterung heißt </w:t>
      </w:r>
      <w:r>
        <w:rPr>
          <w:rStyle w:val="Fett"/>
        </w:rPr>
        <w:t>zeitabhängig</w:t>
      </w:r>
      <w:r>
        <w:t>, wenn</w:t>
      </w:r>
    </w:p>
    <w:p w:rsidR="008D6044" w:rsidRDefault="008D6044" w:rsidP="008D6044">
      <w:pPr>
        <w:pStyle w:val="berschrift1"/>
      </w:pPr>
      <w:r>
        <w:t>[</w:t>
      </w:r>
      <w:r>
        <w:br/>
        <w:t>\boxed{</w:t>
      </w:r>
      <w:r>
        <w:br/>
        <w:t>E_F</w:t>
      </w:r>
    </w:p>
    <w:p w:rsidR="008D6044" w:rsidRDefault="008D6044" w:rsidP="008D6044">
      <w:pPr>
        <w:pStyle w:val="StandardWeb"/>
      </w:pPr>
      <w:r>
        <w:t>E_F(t).</w:t>
      </w:r>
      <w:r>
        <w:br/>
        <w:t>}</w:t>
      </w:r>
      <w:r>
        <w:br/>
        <w:t>\tag{3.14018}</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\boxed{E_F=E_F(t).}</w:t>
      </w:r>
    </w:p>
    <w:p w:rsidR="008D6044" w:rsidRDefault="008D6044" w:rsidP="008D6044">
      <w:r>
        <w:pict>
          <v:rect id="_x0000_i6132" style="width:0;height:1.5pt" o:hralign="center" o:hrstd="t" o:hr="t" fillcolor="#a0a0a0" stroked="f"/>
        </w:pict>
      </w:r>
    </w:p>
    <w:p w:rsidR="008D6044" w:rsidRDefault="008D6044" w:rsidP="008D6044">
      <w:pPr>
        <w:pStyle w:val="berschrift1"/>
      </w:pPr>
      <w:r>
        <w:t>3.3.53.83 Zeitlicher Erweiterungswechsel</w:t>
      </w:r>
    </w:p>
    <w:p w:rsidR="008D6044" w:rsidRDefault="008D6044" w:rsidP="008D6044">
      <w:pPr>
        <w:pStyle w:val="StandardWeb"/>
      </w:pPr>
      <w:r>
        <w:t>Für dasselbe Objekt kann gelten</w:t>
      </w:r>
    </w:p>
    <w:p w:rsidR="008D6044" w:rsidRDefault="008D6044" w:rsidP="008D6044">
      <w:pPr>
        <w:pStyle w:val="StandardWeb"/>
      </w:pPr>
      <w:r>
        <w:t>[</w:t>
      </w:r>
      <w:r>
        <w:br/>
        <w:t>E_F^{(t_1)}(X)</w:t>
      </w:r>
      <w:r>
        <w:br/>
        <w:t>\neq</w:t>
      </w:r>
      <w:r>
        <w:br/>
        <w:t>E_F^{(t_2)}(X).</w:t>
      </w:r>
      <w:r>
        <w:br/>
        <w:t>\tag{3.14019}</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E_F^{(t_1)}(X)\neq E_F^{(t_2)}(X)</w:t>
      </w:r>
    </w:p>
    <w:p w:rsidR="008D6044" w:rsidRDefault="008D6044" w:rsidP="008D6044">
      <w:r>
        <w:pict>
          <v:rect id="_x0000_i6133" style="width:0;height:1.5pt" o:hralign="center" o:hrstd="t" o:hr="t" fillcolor="#a0a0a0" stroked="f"/>
        </w:pict>
      </w:r>
    </w:p>
    <w:p w:rsidR="008D6044" w:rsidRDefault="008D6044" w:rsidP="008D6044">
      <w:pPr>
        <w:pStyle w:val="berschrift2"/>
      </w:pPr>
      <w:r>
        <w:t>3.3.53.84 Definition 3.3.646 – Zeitlicher funktionaler Erweiterungswechsel</w:t>
      </w:r>
    </w:p>
    <w:p w:rsidR="008D6044" w:rsidRDefault="008D6044" w:rsidP="008D6044">
      <w:pPr>
        <w:pStyle w:val="berschrift3"/>
      </w:pPr>
      <w:r>
        <w:t>Definition 3.3.646</w:t>
      </w:r>
    </w:p>
    <w:p w:rsidR="008D6044" w:rsidRDefault="008D6044" w:rsidP="008D6044">
      <w:pPr>
        <w:pStyle w:val="StandardWeb"/>
      </w:pPr>
      <w:r>
        <w:lastRenderedPageBreak/>
        <w:t xml:space="preserve">Ein </w:t>
      </w:r>
      <w:r>
        <w:rPr>
          <w:rStyle w:val="Fett"/>
        </w:rPr>
        <w:t>zeitlicher funktionaler Erweiterungswechsel</w:t>
      </w:r>
      <w:r>
        <w:t xml:space="preserve"> liegt vor, wenn</w:t>
      </w:r>
    </w:p>
    <w:p w:rsidR="008D6044" w:rsidRDefault="008D6044" w:rsidP="008D6044">
      <w:pPr>
        <w:pStyle w:val="StandardWeb"/>
      </w:pPr>
      <w:r>
        <w:t>[</w:t>
      </w:r>
      <w:r>
        <w:br/>
        <w:t>\boxed{</w:t>
      </w:r>
      <w:r>
        <w:br/>
        <w:t>t_1</w:t>
      </w:r>
      <w:r>
        <w:br/>
        <w:t>\neq</w:t>
      </w:r>
      <w:r>
        <w:br/>
        <w:t>t_2</w:t>
      </w:r>
      <w:r>
        <w:br/>
        <w:t>\land</w:t>
      </w:r>
      <w:r>
        <w:br/>
        <w:t>E_F^{(t_1)}(X)</w:t>
      </w:r>
      <w:r>
        <w:br/>
        <w:t>\neq</w:t>
      </w:r>
      <w:r>
        <w:br/>
        <w:t>E_F^{(t_2)}(X).</w:t>
      </w:r>
      <w:r>
        <w:br/>
        <w:t>}</w:t>
      </w:r>
      <w:r>
        <w:br/>
        <w:t>\tag{3.14020}</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\boxed{t_1\neq t_2\land E_F^{(t_1)}(X)\neq E_F^{(t_2)}(X).}</w:t>
      </w:r>
    </w:p>
    <w:p w:rsidR="008D6044" w:rsidRDefault="008D6044" w:rsidP="008D6044">
      <w:r>
        <w:pict>
          <v:rect id="_x0000_i6134" style="width:0;height:1.5pt" o:hralign="center" o:hrstd="t" o:hr="t" fillcolor="#a0a0a0" stroked="f"/>
        </w:pict>
      </w:r>
    </w:p>
    <w:p w:rsidR="008D6044" w:rsidRDefault="008D6044" w:rsidP="008D6044">
      <w:pPr>
        <w:pStyle w:val="berschrift1"/>
      </w:pPr>
      <w:r>
        <w:t>3.3.53.85 Zeitinvarianz als Primäraxiomkandidat</w:t>
      </w:r>
    </w:p>
    <w:p w:rsidR="008D6044" w:rsidRDefault="008D6044" w:rsidP="008D6044">
      <w:pPr>
        <w:pStyle w:val="StandardWeb"/>
      </w:pPr>
      <w:r>
        <w:t>Der Kandidat lautet</w:t>
      </w:r>
    </w:p>
    <w:p w:rsidR="008D6044" w:rsidRDefault="008D6044" w:rsidP="008D6044">
      <w:pPr>
        <w:pStyle w:val="berschrift1"/>
      </w:pPr>
      <w:r>
        <w:t>[</w:t>
      </w:r>
      <w:r>
        <w:br/>
        <w:t>A_{\mathrm{ext-time}}</w:t>
      </w:r>
      <w:r>
        <w:br/>
        <w:t>:</w:t>
      </w:r>
      <w:r>
        <w:br/>
        <w:t>E_F^{(t_1)}</w:t>
      </w:r>
    </w:p>
    <w:p w:rsidR="008D6044" w:rsidRDefault="008D6044" w:rsidP="008D6044">
      <w:pPr>
        <w:pStyle w:val="StandardWeb"/>
      </w:pPr>
      <w:r>
        <w:t>E_F^{(t_2)}</w:t>
      </w:r>
      <w:r>
        <w:br/>
        <w:t>\qquad</w:t>
      </w:r>
      <w:r>
        <w:br/>
        <w:t>\forall t_1,t_2.</w:t>
      </w:r>
      <w:r>
        <w:br/>
        <w:t>\tag{3.14021}</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A_{\mathrm{ext-time}}:E_F^{(t_1)}=E_F^{(t_2)}\qquad\forall t_1,t_2</w:t>
      </w:r>
    </w:p>
    <w:p w:rsidR="008D6044" w:rsidRDefault="008D6044" w:rsidP="008D6044">
      <w:r>
        <w:pict>
          <v:rect id="_x0000_i6135" style="width:0;height:1.5pt" o:hralign="center" o:hrstd="t" o:hr="t" fillcolor="#a0a0a0" stroked="f"/>
        </w:pict>
      </w:r>
    </w:p>
    <w:p w:rsidR="008D6044" w:rsidRDefault="008D6044" w:rsidP="008D6044">
      <w:pPr>
        <w:pStyle w:val="berschrift1"/>
      </w:pPr>
      <w:r>
        <w:t>3.3.53.86 Gegenmodell</w:t>
      </w:r>
    </w:p>
    <w:p w:rsidR="008D6044" w:rsidRDefault="008D6044" w:rsidP="008D6044">
      <w:pPr>
        <w:pStyle w:val="StandardWeb"/>
      </w:pPr>
      <w:r>
        <w:t>Eine Erweiterung kann von einem zeitabhängigen Parameter abhängen:</w:t>
      </w:r>
    </w:p>
    <w:p w:rsidR="008D6044" w:rsidRDefault="008D6044" w:rsidP="008D6044">
      <w:pPr>
        <w:pStyle w:val="berschrift1"/>
      </w:pPr>
      <w:r>
        <w:lastRenderedPageBreak/>
        <w:t>[</w:t>
      </w:r>
      <w:r>
        <w:br/>
        <w:t>E_F^{(t)}</w:t>
      </w:r>
    </w:p>
    <w:p w:rsidR="008D6044" w:rsidRDefault="008D6044" w:rsidP="008D6044">
      <w:pPr>
        <w:pStyle w:val="StandardWeb"/>
      </w:pPr>
      <w:r>
        <w:t>E_F(\theta(t)).</w:t>
      </w:r>
      <w:r>
        <w:br/>
        <w:t>\tag{3.14022}</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E_F^{(t)}=E_F(\theta(t))</w:t>
      </w:r>
    </w:p>
    <w:p w:rsidR="008D6044" w:rsidRDefault="008D6044" w:rsidP="008D6044">
      <w:pPr>
        <w:pStyle w:val="StandardWeb"/>
      </w:pPr>
      <w:r>
        <w:t>Für</w:t>
      </w:r>
    </w:p>
    <w:p w:rsidR="008D6044" w:rsidRDefault="008D6044" w:rsidP="008D6044">
      <w:pPr>
        <w:pStyle w:val="StandardWeb"/>
      </w:pPr>
      <w:r>
        <w:t>[</w:t>
      </w:r>
      <w:r>
        <w:br/>
        <w:t>\theta(t_1)</w:t>
      </w:r>
      <w:r>
        <w:br/>
        <w:t>\neq</w:t>
      </w:r>
      <w:r>
        <w:br/>
        <w:t>\theta(t_2)</w:t>
      </w:r>
      <w:r>
        <w:br/>
        <w:t>\tag{3.14023}</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\theta(t_1)\neq\theta(t_2)</w:t>
      </w:r>
    </w:p>
    <w:p w:rsidR="008D6044" w:rsidRDefault="008D6044" w:rsidP="008D6044">
      <w:pPr>
        <w:pStyle w:val="StandardWeb"/>
      </w:pPr>
      <w:r>
        <w:t>kann gelten</w:t>
      </w:r>
    </w:p>
    <w:p w:rsidR="008D6044" w:rsidRDefault="008D6044" w:rsidP="008D6044">
      <w:pPr>
        <w:pStyle w:val="StandardWeb"/>
      </w:pPr>
      <w:r>
        <w:t>[</w:t>
      </w:r>
      <w:r>
        <w:br/>
        <w:t>E_F^{(t_1)}</w:t>
      </w:r>
      <w:r>
        <w:br/>
        <w:t>\neq</w:t>
      </w:r>
      <w:r>
        <w:br/>
        <w:t>E_F^{(t_2)}.</w:t>
      </w:r>
      <w:r>
        <w:br/>
        <w:t>\tag{3.14024}</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E_F^{(t_1)}\neq E_F^{(t_2)}</w:t>
      </w:r>
    </w:p>
    <w:p w:rsidR="008D6044" w:rsidRDefault="008D6044" w:rsidP="008D6044">
      <w:r>
        <w:pict>
          <v:rect id="_x0000_i6136" style="width:0;height:1.5pt" o:hralign="center" o:hrstd="t" o:hr="t" fillcolor="#a0a0a0" stroked="f"/>
        </w:pict>
      </w:r>
    </w:p>
    <w:p w:rsidR="008D6044" w:rsidRDefault="008D6044" w:rsidP="008D6044">
      <w:pPr>
        <w:pStyle w:val="berschrift1"/>
      </w:pPr>
      <w:r>
        <w:t>3.3.53.87 Axiomentscheidung zur Zeitinvarianz</w:t>
      </w:r>
    </w:p>
    <w:p w:rsidR="008D6044" w:rsidRDefault="008D6044" w:rsidP="008D6044">
      <w:pPr>
        <w:pStyle w:val="StandardWeb"/>
      </w:pPr>
      <w:r>
        <w:t>Damit gilt</w:t>
      </w:r>
    </w:p>
    <w:p w:rsidR="008D6044" w:rsidRDefault="008D6044" w:rsidP="008D6044">
      <w:pPr>
        <w:pStyle w:val="berschrift1"/>
      </w:pPr>
      <w:r>
        <w:t>[</w:t>
      </w:r>
      <w:r>
        <w:br/>
        <w:t>\boxed{</w:t>
      </w:r>
      <w:r>
        <w:br/>
        <w:t>U_{\mathrm{Ax}}</w:t>
      </w:r>
      <w:r>
        <w:br/>
        <w:t>(A_{\mathrm{ext-time}})</w:t>
      </w:r>
    </w:p>
    <w:p w:rsidR="008D6044" w:rsidRDefault="008D6044" w:rsidP="009F7790">
      <w:pPr>
        <w:numPr>
          <w:ilvl w:val="0"/>
          <w:numId w:val="752"/>
        </w:numPr>
        <w:spacing w:before="100" w:beforeAutospacing="1" w:after="100" w:afterAutospacing="1"/>
      </w:pPr>
    </w:p>
    <w:p w:rsidR="008D6044" w:rsidRDefault="008D6044" w:rsidP="008D6044">
      <w:pPr>
        <w:pStyle w:val="StandardWeb"/>
      </w:pPr>
      <w:r>
        <w:t>}</w:t>
      </w:r>
      <w:r>
        <w:br/>
        <w:t>\tag{3.14025}</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\boxed{U_{\mathrm{Ax}}(A_{\mathrm{ext-time}})=0.}</w:t>
      </w:r>
    </w:p>
    <w:p w:rsidR="008D6044" w:rsidRDefault="008D6044" w:rsidP="008D6044">
      <w:r>
        <w:pict>
          <v:rect id="_x0000_i6137" style="width:0;height:1.5pt" o:hralign="center" o:hrstd="t" o:hr="t" fillcolor="#a0a0a0" stroked="f"/>
        </w:pict>
      </w:r>
    </w:p>
    <w:p w:rsidR="008D6044" w:rsidRDefault="008D6044" w:rsidP="008D6044">
      <w:pPr>
        <w:pStyle w:val="berschrift1"/>
      </w:pPr>
      <w:r>
        <w:t>3.3.53.88 Satz 3.3.259 – Zeitinvarianz funktionaler Erweiterungen ist kein Primäraxiom</w:t>
      </w:r>
    </w:p>
    <w:p w:rsidR="008D6044" w:rsidRDefault="008D6044" w:rsidP="008D6044">
      <w:pPr>
        <w:pStyle w:val="berschrift3"/>
      </w:pPr>
      <w:r>
        <w:t>Satz 3.3.259</w:t>
      </w:r>
    </w:p>
    <w:p w:rsidR="008D6044" w:rsidRDefault="008D6044" w:rsidP="008D6044">
      <w:pPr>
        <w:pStyle w:val="StandardWeb"/>
      </w:pPr>
      <w:r>
        <w:t>Die Forderung, eine funktionale Erweiterungsabbildung müsse unabhängig vom Zeitpunkt stets identisch sein, ist keine universell notwendige Voraussetzung des allgemeinen FRZK.</w:t>
      </w:r>
    </w:p>
    <w:p w:rsidR="008D6044" w:rsidRDefault="008D6044" w:rsidP="008D6044">
      <w:pPr>
        <w:pStyle w:val="berschrift1"/>
      </w:pPr>
      <w:r>
        <w:t>[</w:t>
      </w:r>
      <w:r>
        <w:br/>
        <w:t>\boxed{</w:t>
      </w:r>
      <w:r>
        <w:br/>
        <w:t>U_{\mathrm{Ax}}</w:t>
      </w:r>
      <w:r>
        <w:br/>
        <w:t>(A_{\mathrm{ext-time}})</w:t>
      </w:r>
    </w:p>
    <w:p w:rsidR="008D6044" w:rsidRDefault="008D6044" w:rsidP="009F7790">
      <w:pPr>
        <w:numPr>
          <w:ilvl w:val="0"/>
          <w:numId w:val="753"/>
        </w:numPr>
        <w:spacing w:before="100" w:beforeAutospacing="1" w:after="100" w:afterAutospacing="1"/>
      </w:pPr>
    </w:p>
    <w:p w:rsidR="008D6044" w:rsidRDefault="008D6044" w:rsidP="008D6044">
      <w:pPr>
        <w:pStyle w:val="StandardWeb"/>
      </w:pPr>
      <w:r>
        <w:t>}</w:t>
      </w:r>
      <w:r>
        <w:br/>
        <w:t>\tag{3.14026}</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\boxed{U_{\mathrm{Ax}}(A_{\mathrm{ext-time}})=0.}</w:t>
      </w:r>
    </w:p>
    <w:p w:rsidR="008D6044" w:rsidRDefault="008D6044" w:rsidP="008D6044">
      <w:r>
        <w:pict>
          <v:rect id="_x0000_i6138" style="width:0;height:1.5pt" o:hralign="center" o:hrstd="t" o:hr="t" fillcolor="#a0a0a0" stroked="f"/>
        </w:pict>
      </w:r>
    </w:p>
    <w:p w:rsidR="008D6044" w:rsidRDefault="008D6044" w:rsidP="008D6044">
      <w:pPr>
        <w:pStyle w:val="berschrift1"/>
      </w:pPr>
      <w:r>
        <w:t>3.3.53.89 Korollar 3.3.72 – Zeitabhängige Erweiterung ist modellabhängig</w:t>
      </w:r>
    </w:p>
    <w:p w:rsidR="008D6044" w:rsidRDefault="008D6044" w:rsidP="008D6044">
      <w:pPr>
        <w:pStyle w:val="berschrift3"/>
      </w:pPr>
      <w:r>
        <w:t>Korollar 3.3.72</w:t>
      </w:r>
    </w:p>
    <w:p w:rsidR="008D6044" w:rsidRDefault="008D6044" w:rsidP="008D6044">
      <w:pPr>
        <w:pStyle w:val="StandardWeb"/>
      </w:pPr>
      <w:r>
        <w:t>Aus Satz 3.3.259 folgt</w:t>
      </w:r>
    </w:p>
    <w:p w:rsidR="008D6044" w:rsidRDefault="008D6044" w:rsidP="008D6044">
      <w:pPr>
        <w:pStyle w:val="berschrift1"/>
      </w:pPr>
      <w:r>
        <w:t>[</w:t>
      </w:r>
      <w:r>
        <w:br/>
        <w:t>\boxed{</w:t>
      </w:r>
      <w:r>
        <w:br/>
      </w:r>
      <w:r>
        <w:lastRenderedPageBreak/>
        <w:t>\operatorname{Stat}</w:t>
      </w:r>
      <w:r>
        <w:br/>
        <w:t>(E_F(t))</w:t>
      </w:r>
    </w:p>
    <w:p w:rsidR="008D6044" w:rsidRDefault="008D6044" w:rsidP="008D6044">
      <w:pPr>
        <w:pStyle w:val="StandardWeb"/>
      </w:pPr>
      <w:r>
        <w:t>\mathrm{Def/Mod/Op}.</w:t>
      </w:r>
      <w:r>
        <w:br/>
        <w:t>}</w:t>
      </w:r>
      <w:r>
        <w:br/>
        <w:t>\tag{3.14027}</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\boxed{\operatorname{Stat}(E_F(t))=\mathrm{Def/Mod/Op}.}</w:t>
      </w:r>
    </w:p>
    <w:p w:rsidR="008D6044" w:rsidRDefault="008D6044" w:rsidP="008D6044">
      <w:r>
        <w:pict>
          <v:rect id="_x0000_i6139" style="width:0;height:1.5pt" o:hralign="center" o:hrstd="t" o:hr="t" fillcolor="#a0a0a0" stroked="f"/>
        </w:pict>
      </w:r>
    </w:p>
    <w:p w:rsidR="008D6044" w:rsidRDefault="008D6044" w:rsidP="008D6044">
      <w:pPr>
        <w:pStyle w:val="berschrift1"/>
      </w:pPr>
      <w:r>
        <w:t>3.3.53.90 Dynamikverträgliche Erweiterung</w:t>
      </w:r>
    </w:p>
    <w:p w:rsidR="008D6044" w:rsidRDefault="008D6044" w:rsidP="008D6044">
      <w:pPr>
        <w:pStyle w:val="StandardWeb"/>
      </w:pPr>
      <w:r>
        <w:t>Sei eine vollständige Übergangsabbildung</w:t>
      </w:r>
    </w:p>
    <w:p w:rsidR="008D6044" w:rsidRDefault="008D6044" w:rsidP="008D6044">
      <w:pPr>
        <w:pStyle w:val="StandardWeb"/>
      </w:pPr>
      <w:r>
        <w:t>[</w:t>
      </w:r>
      <w:r>
        <w:br/>
        <w:t>T_F</w:t>
      </w:r>
      <w:r>
        <w:br/>
        <w:t>:</w:t>
      </w:r>
      <w:r>
        <w:br/>
        <w:t>\mathcal X_F</w:t>
      </w:r>
      <w:r>
        <w:br/>
        <w:t>\rightarrow</w:t>
      </w:r>
      <w:r>
        <w:br/>
        <w:t>\mathcal X_F</w:t>
      </w:r>
      <w:r>
        <w:br/>
        <w:t>\tag{3.14028}</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T_F:\mathcal X_F\rightarrow\mathcal X_F</w:t>
      </w:r>
    </w:p>
    <w:p w:rsidR="008D6044" w:rsidRDefault="008D6044" w:rsidP="008D6044">
      <w:pPr>
        <w:pStyle w:val="StandardWeb"/>
      </w:pPr>
      <w:r>
        <w:t>und auf dem Erweiterungsraum eine Übergangsabbildung</w:t>
      </w:r>
    </w:p>
    <w:p w:rsidR="008D6044" w:rsidRDefault="008D6044" w:rsidP="008D6044">
      <w:pPr>
        <w:pStyle w:val="StandardWeb"/>
      </w:pPr>
      <w:r>
        <w:t>[</w:t>
      </w:r>
      <w:r>
        <w:br/>
        <w:t>T_F^{\mathrm{ext}}</w:t>
      </w:r>
      <w:r>
        <w:br/>
        <w:t>:</w:t>
      </w:r>
      <w:r>
        <w:br/>
        <w:t>\mathcal X_F^{\mathrm{ext}}</w:t>
      </w:r>
      <w:r>
        <w:br/>
        <w:t>\rightarrow</w:t>
      </w:r>
      <w:r>
        <w:br/>
        <w:t>\mathcal X_F^{\mathrm{ext}}.</w:t>
      </w:r>
      <w:r>
        <w:br/>
        <w:t>\tag{3.14029}</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T_F^{\mathrm{ext}}:\mathcal X_F^{\mathrm{ext}}\rightarrow\mathcal X_F^{\mathrm{ext}}</w:t>
      </w:r>
    </w:p>
    <w:p w:rsidR="008D6044" w:rsidRDefault="008D6044" w:rsidP="008D6044">
      <w:r>
        <w:pict>
          <v:rect id="_x0000_i6140" style="width:0;height:1.5pt" o:hralign="center" o:hrstd="t" o:hr="t" fillcolor="#a0a0a0" stroked="f"/>
        </w:pict>
      </w:r>
    </w:p>
    <w:p w:rsidR="008D6044" w:rsidRDefault="008D6044" w:rsidP="008D6044">
      <w:pPr>
        <w:pStyle w:val="berschrift2"/>
      </w:pPr>
      <w:r>
        <w:lastRenderedPageBreak/>
        <w:t>3.3.53.91 Definition 3.3.647 – Dynamikverträgliche funktionale Erweiterung</w:t>
      </w:r>
    </w:p>
    <w:p w:rsidR="008D6044" w:rsidRDefault="008D6044" w:rsidP="008D6044">
      <w:pPr>
        <w:pStyle w:val="berschrift3"/>
      </w:pPr>
      <w:r>
        <w:t>Definition 3.3.647</w:t>
      </w:r>
    </w:p>
    <w:p w:rsidR="008D6044" w:rsidRDefault="008D6044" w:rsidP="008D6044">
      <w:pPr>
        <w:pStyle w:val="StandardWeb"/>
      </w:pPr>
      <w:r>
        <w:t xml:space="preserve">Eine funktionale Erweiterung heißt </w:t>
      </w:r>
      <w:r>
        <w:rPr>
          <w:rStyle w:val="Fett"/>
        </w:rPr>
        <w:t>dynamikverträglich</w:t>
      </w:r>
      <w:r>
        <w:t>, wenn</w:t>
      </w:r>
    </w:p>
    <w:p w:rsidR="008D6044" w:rsidRDefault="008D6044" w:rsidP="008D6044">
      <w:pPr>
        <w:pStyle w:val="berschrift1"/>
      </w:pPr>
      <w:r>
        <w:t>[</w:t>
      </w:r>
      <w:r>
        <w:br/>
        <w:t>\boxed{</w:t>
      </w:r>
      <w:r>
        <w:br/>
        <w:t>E_F</w:t>
      </w:r>
      <w:r>
        <w:br/>
        <w:t>\circ</w:t>
      </w:r>
      <w:r>
        <w:br/>
        <w:t>T_F</w:t>
      </w:r>
    </w:p>
    <w:p w:rsidR="008D6044" w:rsidRDefault="008D6044" w:rsidP="008D6044">
      <w:pPr>
        <w:pStyle w:val="StandardWeb"/>
      </w:pPr>
      <w:r>
        <w:t>T_F^{\mathrm{ext}}</w:t>
      </w:r>
      <w:r>
        <w:br/>
        <w:t>\circ</w:t>
      </w:r>
      <w:r>
        <w:br/>
        <w:t>E_F.</w:t>
      </w:r>
      <w:r>
        <w:br/>
        <w:t>}</w:t>
      </w:r>
      <w:r>
        <w:br/>
        <w:t>\tag{3.14030}</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\boxed{E_F\circ T_F=T_F^{\mathrm{ext}}\circ E_F.}</w:t>
      </w:r>
    </w:p>
    <w:p w:rsidR="008D6044" w:rsidRDefault="008D6044" w:rsidP="008D6044">
      <w:r>
        <w:pict>
          <v:rect id="_x0000_i6141" style="width:0;height:1.5pt" o:hralign="center" o:hrstd="t" o:hr="t" fillcolor="#a0a0a0" stroked="f"/>
        </w:pict>
      </w:r>
    </w:p>
    <w:p w:rsidR="008D6044" w:rsidRDefault="008D6044" w:rsidP="008D6044">
      <w:pPr>
        <w:pStyle w:val="berschrift1"/>
      </w:pPr>
      <w:r>
        <w:t>3.3.53.92 Nicht dynamikverträgliche Erweiterung</w:t>
      </w:r>
    </w:p>
    <w:p w:rsidR="008D6044" w:rsidRDefault="008D6044" w:rsidP="008D6044">
      <w:pPr>
        <w:pStyle w:val="StandardWeb"/>
      </w:pPr>
      <w:r>
        <w:t>Es kann gelten</w:t>
      </w:r>
    </w:p>
    <w:p w:rsidR="008D6044" w:rsidRDefault="008D6044" w:rsidP="008D6044">
      <w:pPr>
        <w:pStyle w:val="StandardWeb"/>
      </w:pPr>
      <w:r>
        <w:t>[</w:t>
      </w:r>
      <w:r>
        <w:br/>
        <w:t>E_F(T_F(X))</w:t>
      </w:r>
      <w:r>
        <w:br/>
        <w:t>\neq</w:t>
      </w:r>
      <w:r>
        <w:br/>
        <w:t>T_F^{\mathrm{ext}}(E_F(X)).</w:t>
      </w:r>
      <w:r>
        <w:br/>
        <w:t>\tag{3.14031}</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E_F(T_F(X))\neq T_F^{\mathrm{ext}}(E_F(X))</w:t>
      </w:r>
    </w:p>
    <w:p w:rsidR="008D6044" w:rsidRDefault="008D6044" w:rsidP="008D6044">
      <w:r>
        <w:pict>
          <v:rect id="_x0000_i6142" style="width:0;height:1.5pt" o:hralign="center" o:hrstd="t" o:hr="t" fillcolor="#a0a0a0" stroked="f"/>
        </w:pict>
      </w:r>
    </w:p>
    <w:p w:rsidR="008D6044" w:rsidRDefault="008D6044" w:rsidP="008D6044">
      <w:pPr>
        <w:pStyle w:val="berschrift1"/>
      </w:pPr>
      <w:r>
        <w:t>3.3.53.93 Dynamikverträglichkeit als Primäraxiomkandidat</w:t>
      </w:r>
    </w:p>
    <w:p w:rsidR="008D6044" w:rsidRDefault="008D6044" w:rsidP="008D6044">
      <w:pPr>
        <w:pStyle w:val="StandardWeb"/>
      </w:pPr>
      <w:r>
        <w:lastRenderedPageBreak/>
        <w:t>Ein möglicher Kandidat lautet</w:t>
      </w:r>
    </w:p>
    <w:p w:rsidR="008D6044" w:rsidRDefault="008D6044" w:rsidP="008D6044">
      <w:pPr>
        <w:pStyle w:val="berschrift1"/>
      </w:pPr>
      <w:r>
        <w:t>[</w:t>
      </w:r>
      <w:r>
        <w:br/>
        <w:t>A_{\mathrm{ext-dyn}}</w:t>
      </w:r>
      <w:r>
        <w:br/>
        <w:t>:</w:t>
      </w:r>
      <w:r>
        <w:br/>
        <w:t>E_F\circ T_F</w:t>
      </w:r>
    </w:p>
    <w:p w:rsidR="008D6044" w:rsidRDefault="008D6044" w:rsidP="008D6044">
      <w:pPr>
        <w:pStyle w:val="StandardWeb"/>
      </w:pPr>
      <w:r>
        <w:t>T_F^{\mathrm{ext}}\circ E_F.</w:t>
      </w:r>
      <w:r>
        <w:br/>
        <w:t>\tag{3.14032}</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A_{\mathrm{ext-dyn}}:E_F\circ T_F=T_F^{\mathrm{ext}}\circ E_F</w:t>
      </w:r>
    </w:p>
    <w:p w:rsidR="008D6044" w:rsidRDefault="008D6044" w:rsidP="008D6044">
      <w:r>
        <w:pict>
          <v:rect id="_x0000_i6143" style="width:0;height:1.5pt" o:hralign="center" o:hrstd="t" o:hr="t" fillcolor="#a0a0a0" stroked="f"/>
        </w:pict>
      </w:r>
    </w:p>
    <w:p w:rsidR="008D6044" w:rsidRDefault="008D6044" w:rsidP="008D6044">
      <w:pPr>
        <w:pStyle w:val="berschrift1"/>
      </w:pPr>
      <w:r>
        <w:t>3.3.53.94 Gegenmodell</w:t>
      </w:r>
    </w:p>
    <w:p w:rsidR="008D6044" w:rsidRDefault="008D6044" w:rsidP="008D6044">
      <w:pPr>
        <w:pStyle w:val="StandardWeb"/>
      </w:pPr>
      <w:r>
        <w:t>Eine Erweiterungsstruktur kann zusätzliche Freiheitsgrade enthalten, deren Entwicklung nicht eindeutig durch den Ausgangszustand bestimmt ist.</w:t>
      </w:r>
    </w:p>
    <w:p w:rsidR="008D6044" w:rsidRDefault="008D6044" w:rsidP="008D6044">
      <w:pPr>
        <w:pStyle w:val="StandardWeb"/>
      </w:pPr>
      <w:r>
        <w:t>Dann können zwei erweiterte Zustände</w:t>
      </w:r>
    </w:p>
    <w:p w:rsidR="008D6044" w:rsidRDefault="008D6044" w:rsidP="008D6044">
      <w:pPr>
        <w:pStyle w:val="berschrift1"/>
      </w:pPr>
      <w:r>
        <w:t>[</w:t>
      </w:r>
      <w:r>
        <w:br/>
        <w:t>E_F(X)</w:t>
      </w:r>
    </w:p>
    <w:p w:rsidR="008D6044" w:rsidRDefault="008D6044" w:rsidP="008D6044">
      <w:pPr>
        <w:pStyle w:val="StandardWeb"/>
      </w:pPr>
      <w:r>
        <w:t>Y</w:t>
      </w:r>
      <w:r>
        <w:br/>
        <w:t>\tag{3.14033}</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E_F(X)=Y</w:t>
      </w:r>
    </w:p>
    <w:p w:rsidR="008D6044" w:rsidRDefault="008D6044" w:rsidP="008D6044">
      <w:pPr>
        <w:pStyle w:val="StandardWeb"/>
      </w:pPr>
      <w:r>
        <w:t>und nach Übergang</w:t>
      </w:r>
    </w:p>
    <w:p w:rsidR="008D6044" w:rsidRDefault="008D6044" w:rsidP="008D6044">
      <w:pPr>
        <w:pStyle w:val="berschrift1"/>
      </w:pPr>
      <w:r>
        <w:t>[</w:t>
      </w:r>
      <w:r>
        <w:br/>
        <w:t>E_F(T_F(X))</w:t>
      </w:r>
    </w:p>
    <w:p w:rsidR="008D6044" w:rsidRDefault="008D6044" w:rsidP="008D6044">
      <w:pPr>
        <w:pStyle w:val="StandardWeb"/>
      </w:pPr>
      <w:r>
        <w:t>Y_1</w:t>
      </w:r>
      <w:r>
        <w:br/>
        <w:t>\tag{3.14034}</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lastRenderedPageBreak/>
        <w:t>E_F(T_F(X))=Y_1</w:t>
      </w:r>
    </w:p>
    <w:p w:rsidR="008D6044" w:rsidRDefault="008D6044" w:rsidP="008D6044">
      <w:pPr>
        <w:pStyle w:val="StandardWeb"/>
      </w:pPr>
      <w:r>
        <w:t>auftreten, während</w:t>
      </w:r>
    </w:p>
    <w:p w:rsidR="008D6044" w:rsidRDefault="008D6044" w:rsidP="008D6044">
      <w:pPr>
        <w:pStyle w:val="berschrift1"/>
      </w:pPr>
      <w:r>
        <w:t>[</w:t>
      </w:r>
      <w:r>
        <w:br/>
        <w:t>T_F^{\mathrm{ext}}(Y)</w:t>
      </w:r>
    </w:p>
    <w:p w:rsidR="008D6044" w:rsidRDefault="008D6044" w:rsidP="008D6044">
      <w:pPr>
        <w:pStyle w:val="StandardWeb"/>
      </w:pPr>
      <w:r>
        <w:t>Y_2</w:t>
      </w:r>
      <w:r>
        <w:br/>
        <w:t>\tag{3.14035}</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T_F^{\mathrm{ext}}(Y)=Y_2</w:t>
      </w:r>
    </w:p>
    <w:p w:rsidR="008D6044" w:rsidRDefault="008D6044" w:rsidP="008D6044">
      <w:pPr>
        <w:pStyle w:val="StandardWeb"/>
      </w:pPr>
      <w:r>
        <w:t>mit</w:t>
      </w:r>
    </w:p>
    <w:p w:rsidR="008D6044" w:rsidRDefault="008D6044" w:rsidP="008D6044">
      <w:pPr>
        <w:pStyle w:val="StandardWeb"/>
      </w:pPr>
      <w:r>
        <w:t>[</w:t>
      </w:r>
      <w:r>
        <w:br/>
        <w:t>Y_1</w:t>
      </w:r>
      <w:r>
        <w:br/>
        <w:t>\neq</w:t>
      </w:r>
      <w:r>
        <w:br/>
        <w:t>Y_2</w:t>
      </w:r>
      <w:r>
        <w:br/>
        <w:t>\tag{3.14036}</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Y_1\neq Y_2</w:t>
      </w:r>
    </w:p>
    <w:p w:rsidR="008D6044" w:rsidRDefault="008D6044" w:rsidP="008D6044">
      <w:pPr>
        <w:pStyle w:val="StandardWeb"/>
      </w:pPr>
      <w:r>
        <w:t>gilt.</w:t>
      </w:r>
    </w:p>
    <w:p w:rsidR="008D6044" w:rsidRDefault="008D6044" w:rsidP="008D6044">
      <w:r>
        <w:pict>
          <v:rect id="_x0000_i6144" style="width:0;height:1.5pt" o:hralign="center" o:hrstd="t" o:hr="t" fillcolor="#a0a0a0" stroked="f"/>
        </w:pict>
      </w:r>
    </w:p>
    <w:p w:rsidR="008D6044" w:rsidRDefault="008D6044" w:rsidP="008D6044">
      <w:pPr>
        <w:pStyle w:val="berschrift1"/>
      </w:pPr>
      <w:r>
        <w:t>3.3.53.95 Axiomentscheidung zur Erweiterungsdynamik</w:t>
      </w:r>
    </w:p>
    <w:p w:rsidR="008D6044" w:rsidRDefault="008D6044" w:rsidP="008D6044">
      <w:pPr>
        <w:pStyle w:val="StandardWeb"/>
      </w:pPr>
      <w:r>
        <w:t>Daraus folgt</w:t>
      </w:r>
    </w:p>
    <w:p w:rsidR="008D6044" w:rsidRDefault="008D6044" w:rsidP="008D6044">
      <w:pPr>
        <w:pStyle w:val="berschrift1"/>
      </w:pPr>
      <w:r>
        <w:t>[</w:t>
      </w:r>
      <w:r>
        <w:br/>
        <w:t>\boxed{</w:t>
      </w:r>
      <w:r>
        <w:br/>
        <w:t>U_{\mathrm{Ax}}</w:t>
      </w:r>
      <w:r>
        <w:br/>
        <w:t>(A_{\mathrm{ext-dyn}})</w:t>
      </w:r>
    </w:p>
    <w:p w:rsidR="008D6044" w:rsidRDefault="008D6044" w:rsidP="009F7790">
      <w:pPr>
        <w:numPr>
          <w:ilvl w:val="0"/>
          <w:numId w:val="754"/>
        </w:numPr>
        <w:spacing w:before="100" w:beforeAutospacing="1" w:after="100" w:afterAutospacing="1"/>
      </w:pPr>
    </w:p>
    <w:p w:rsidR="008D6044" w:rsidRDefault="008D6044" w:rsidP="008D6044">
      <w:pPr>
        <w:pStyle w:val="StandardWeb"/>
      </w:pPr>
      <w:r>
        <w:lastRenderedPageBreak/>
        <w:t>}</w:t>
      </w:r>
      <w:r>
        <w:br/>
        <w:t>\tag{3.14037}</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\boxed{U_{\mathrm{Ax}}(A_{\mathrm{ext-dyn}})=0.}</w:t>
      </w:r>
    </w:p>
    <w:p w:rsidR="008D6044" w:rsidRDefault="008D6044" w:rsidP="008D6044">
      <w:r>
        <w:pict>
          <v:rect id="_x0000_i6145" style="width:0;height:1.5pt" o:hralign="center" o:hrstd="t" o:hr="t" fillcolor="#a0a0a0" stroked="f"/>
        </w:pict>
      </w:r>
    </w:p>
    <w:p w:rsidR="008D6044" w:rsidRDefault="008D6044" w:rsidP="008D6044">
      <w:pPr>
        <w:pStyle w:val="berschrift1"/>
      </w:pPr>
      <w:r>
        <w:t>3.3.53.96 Satz 3.3.260 – Dynamikverträglichkeit funktionaler Erweiterungen ist kein Primäraxiom</w:t>
      </w:r>
    </w:p>
    <w:p w:rsidR="008D6044" w:rsidRDefault="008D6044" w:rsidP="008D6044">
      <w:pPr>
        <w:pStyle w:val="berschrift3"/>
      </w:pPr>
      <w:r>
        <w:t>Satz 3.3.260</w:t>
      </w:r>
    </w:p>
    <w:p w:rsidR="008D6044" w:rsidRDefault="008D6044" w:rsidP="008D6044">
      <w:pPr>
        <w:pStyle w:val="StandardWeb"/>
      </w:pPr>
      <w:r>
        <w:t>Die Forderung, jede funktionale Erweiterung müsse mit der Ausgangsdynamik durch eine eindeutig festgelegte erweiterte Dynamik kompatibel sein, ist keine universell notwendige Voraussetzung des allgemeinen FRZK.</w:t>
      </w:r>
    </w:p>
    <w:p w:rsidR="008D6044" w:rsidRDefault="008D6044" w:rsidP="008D6044">
      <w:pPr>
        <w:pStyle w:val="berschrift1"/>
      </w:pPr>
      <w:r>
        <w:t>[</w:t>
      </w:r>
      <w:r>
        <w:br/>
        <w:t>\boxed{</w:t>
      </w:r>
      <w:r>
        <w:br/>
        <w:t>U_{\mathrm{Ax}}</w:t>
      </w:r>
      <w:r>
        <w:br/>
        <w:t>(A_{\mathrm{ext-dyn}})</w:t>
      </w:r>
    </w:p>
    <w:p w:rsidR="008D6044" w:rsidRDefault="008D6044" w:rsidP="009F7790">
      <w:pPr>
        <w:numPr>
          <w:ilvl w:val="0"/>
          <w:numId w:val="755"/>
        </w:numPr>
        <w:spacing w:before="100" w:beforeAutospacing="1" w:after="100" w:afterAutospacing="1"/>
      </w:pPr>
    </w:p>
    <w:p w:rsidR="008D6044" w:rsidRDefault="008D6044" w:rsidP="008D6044">
      <w:pPr>
        <w:pStyle w:val="StandardWeb"/>
      </w:pPr>
      <w:r>
        <w:t>}</w:t>
      </w:r>
      <w:r>
        <w:br/>
        <w:t>\tag{3.14038}</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\boxed{U_{\mathrm{Ax}}(A_{\mathrm{ext-dyn}})=0.}</w:t>
      </w:r>
    </w:p>
    <w:p w:rsidR="008D6044" w:rsidRDefault="008D6044" w:rsidP="008D6044">
      <w:r>
        <w:pict>
          <v:rect id="_x0000_i6146" style="width:0;height:1.5pt" o:hralign="center" o:hrstd="t" o:hr="t" fillcolor="#a0a0a0" stroked="f"/>
        </w:pict>
      </w:r>
    </w:p>
    <w:p w:rsidR="008D6044" w:rsidRDefault="008D6044" w:rsidP="008D6044">
      <w:pPr>
        <w:pStyle w:val="berschrift1"/>
      </w:pPr>
      <w:r>
        <w:t>3.3.53.97 Zwischenstruktur</w:t>
      </w:r>
    </w:p>
    <w:p w:rsidR="008D6044" w:rsidRDefault="008D6044" w:rsidP="008D6044">
      <w:pPr>
        <w:pStyle w:val="StandardWeb"/>
      </w:pPr>
      <w:r>
        <w:t>Die bisher entwickelte Einbettungs-, Erweiterungs-, Lifting- und Rekonstruktionsarchitektur fasse ich zusammen als</w:t>
      </w:r>
    </w:p>
    <w:p w:rsidR="008D6044" w:rsidRDefault="008D6044" w:rsidP="008D6044">
      <w:pPr>
        <w:pStyle w:val="berschrift1"/>
      </w:pPr>
      <w:r>
        <w:t>[</w:t>
      </w:r>
      <w:r>
        <w:br/>
        <w:t>\mathfrak E_{\mathrm{ext}}^{(1)}</w:t>
      </w:r>
    </w:p>
    <w:p w:rsidR="008D6044" w:rsidRDefault="008D6044" w:rsidP="008D6044">
      <w:pPr>
        <w:pStyle w:val="StandardWeb"/>
      </w:pPr>
      <w:r>
        <w:t>\left(</w:t>
      </w:r>
      <w:r>
        <w:br/>
        <w:t>\iota_F,</w:t>
      </w:r>
      <w:r>
        <w:br/>
        <w:t>E_F,</w:t>
      </w:r>
      <w:r>
        <w:br/>
      </w:r>
      <w:r>
        <w:lastRenderedPageBreak/>
        <w:t>\eta_F,</w:t>
      </w:r>
      <w:r>
        <w:br/>
        <w:t>P_F,</w:t>
      </w:r>
      <w:r>
        <w:br/>
        <w:t>L_F,</w:t>
      </w:r>
      <w:r>
        <w:br/>
        <w:t>C_F,</w:t>
      </w:r>
      <w:r>
        <w:br/>
        <w:t>d_F^{\mathrm{rec}},</w:t>
      </w:r>
      <w:r>
        <w:br/>
        <w:t>\varepsilon_{\mathrm{rec}},</w:t>
      </w:r>
      <w:r>
        <w:br/>
        <w:t>Q_{\mathrm{rec}},</w:t>
      </w:r>
      <w:r>
        <w:br/>
        <w:t>h_{\mathrm{ext}},</w:t>
      </w:r>
      <w:r>
        <w:br/>
        <w:t>T_F^{\mathrm{ext}}</w:t>
      </w:r>
      <w:r>
        <w:br/>
        <w:t>\right).</w:t>
      </w:r>
      <w:r>
        <w:br/>
        <w:t>\tag{3.14039}</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\mathfrak E_{\mathrm{ext}}^{(1)}=\left(\iota_F,E_F,\eta_F,P_F,L_F,C_F,d_F^{\mathrm{rec}},\varepsilon_{\mathrm{rec}},Q_{\mathrm{rec}},h_{\mathrm{ext}},T_F^{\mathrm{ext}}\right)</w:t>
      </w:r>
    </w:p>
    <w:p w:rsidR="008D6044" w:rsidRDefault="008D6044" w:rsidP="008D6044">
      <w:r>
        <w:pict>
          <v:rect id="_x0000_i6147" style="width:0;height:1.5pt" o:hralign="center" o:hrstd="t" o:hr="t" fillcolor="#a0a0a0" stroked="f"/>
        </w:pict>
      </w:r>
    </w:p>
    <w:p w:rsidR="008D6044" w:rsidRDefault="008D6044" w:rsidP="008D6044">
      <w:pPr>
        <w:pStyle w:val="berschrift1"/>
      </w:pPr>
      <w:r>
        <w:t>3.3.53.98 Primäraxiomkandidatenmenge</w:t>
      </w:r>
    </w:p>
    <w:p w:rsidR="008D6044" w:rsidRDefault="008D6044" w:rsidP="008D6044">
      <w:pPr>
        <w:pStyle w:val="StandardWeb"/>
      </w:pPr>
      <w:r>
        <w:t>Die bislang geprüften Kandidaten lauten</w:t>
      </w:r>
    </w:p>
    <w:p w:rsidR="008D6044" w:rsidRDefault="008D6044" w:rsidP="008D6044">
      <w:pPr>
        <w:pStyle w:val="berschrift1"/>
      </w:pPr>
      <w:r>
        <w:t>[</w:t>
      </w:r>
      <w:r>
        <w:br/>
        <w:t>\mathcal A_{\mathrm{ext}}^{\mathrm{cand},1}</w:t>
      </w:r>
    </w:p>
    <w:p w:rsidR="008D6044" w:rsidRDefault="008D6044" w:rsidP="008D6044">
      <w:pPr>
        <w:pStyle w:val="StandardWeb"/>
      </w:pPr>
      <w:r>
        <w:t>{</w:t>
      </w:r>
      <w:r>
        <w:br/>
        <w:t>A_{\mathrm{emb-inj}},</w:t>
      </w:r>
      <w:r>
        <w:br/>
        <w:t>A_{\mathrm{emb-rel}},</w:t>
      </w:r>
      <w:r>
        <w:br/>
        <w:t>A_{\mathrm{ext-rec}},</w:t>
      </w:r>
      <w:r>
        <w:br/>
        <w:t>A_{\mathrm{lift-proj}},</w:t>
      </w:r>
      <w:r>
        <w:br/>
        <w:t>A_{\mathrm{rec-zero}},</w:t>
      </w:r>
      <w:r>
        <w:br/>
        <w:t>A_{\mathrm{rec-num}},</w:t>
      </w:r>
      <w:r>
        <w:br/>
        <w:t>A_{\mathrm{ext-comm}},</w:t>
      </w:r>
      <w:r>
        <w:br/>
        <w:t>A_{\mathrm{ext-depth}},</w:t>
      </w:r>
      <w:r>
        <w:br/>
        <w:t>A_{\mathrm{ext-time}},</w:t>
      </w:r>
      <w:r>
        <w:br/>
        <w:t>A_{\mathrm{ext-dyn}}</w:t>
      </w:r>
      <w:r>
        <w:br/>
        <w:t>}.</w:t>
      </w:r>
      <w:r>
        <w:br/>
        <w:t>\tag{3.14040}</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\mathcal A_{\mathrm{ext}}^{\mathrm{cand},1}=\{A_{\mathrm{emb-inj}},A_{\mathrm{emb-rel}},A_{\mathrm{ext-rec}},A_{\mathrm{lift-proj}},A_{\mathrm{rec-zero}},A_{\mathrm{rec-num}},A_{\mathrm{ext-comm}},A_{\mathrm{ext-depth}},A_{\mathrm{ext-time}},A_{\mathrm{ext-dyn}}\}</w:t>
      </w:r>
    </w:p>
    <w:p w:rsidR="008D6044" w:rsidRDefault="008D6044" w:rsidP="008D6044">
      <w:pPr>
        <w:pStyle w:val="StandardWeb"/>
      </w:pPr>
      <w:r>
        <w:lastRenderedPageBreak/>
        <w:t>Für alle bislang geprüften Kandidaten gilt</w:t>
      </w:r>
    </w:p>
    <w:p w:rsidR="008D6044" w:rsidRDefault="008D6044" w:rsidP="008D6044">
      <w:pPr>
        <w:pStyle w:val="berschrift1"/>
      </w:pPr>
      <w:r>
        <w:t>[</w:t>
      </w:r>
      <w:r>
        <w:br/>
        <w:t>\boxed{</w:t>
      </w:r>
      <w:r>
        <w:br/>
        <w:t>U_{\mathrm{Ax}}(A)</w:t>
      </w:r>
    </w:p>
    <w:p w:rsidR="008D6044" w:rsidRDefault="008D6044" w:rsidP="008D6044">
      <w:pPr>
        <w:pStyle w:val="StandardWeb"/>
      </w:pPr>
      <w:r>
        <w:t>0</w:t>
      </w:r>
      <w:r>
        <w:br/>
        <w:t>\qquad</w:t>
      </w:r>
      <w:r>
        <w:br/>
        <w:t>\forall</w:t>
      </w:r>
      <w:r>
        <w:br/>
        <w:t>A</w:t>
      </w:r>
      <w:r>
        <w:br/>
        <w:t>\in</w:t>
      </w:r>
      <w:r>
        <w:br/>
        <w:t>\mathcal A_{\mathrm{ext}}^{\mathrm{cand},1}.</w:t>
      </w:r>
      <w:r>
        <w:br/>
        <w:t>}</w:t>
      </w:r>
      <w:r>
        <w:br/>
        <w:t>\tag{3.14041}</w:t>
      </w:r>
      <w:r>
        <w:br/>
        <w:t>]</w:t>
      </w:r>
    </w:p>
    <w:p w:rsidR="008D6044" w:rsidRDefault="008D6044" w:rsidP="008D6044">
      <w:pPr>
        <w:pStyle w:val="StandardWeb"/>
      </w:pPr>
      <w:r>
        <w:rPr>
          <w:rStyle w:val="Fett"/>
        </w:rPr>
        <w:t>Word-LaTeX</w:t>
      </w:r>
    </w:p>
    <w:p w:rsidR="008D6044" w:rsidRDefault="008D6044" w:rsidP="008D6044">
      <w:pPr>
        <w:pStyle w:val="HTMLVorformatiert"/>
        <w:rPr>
          <w:rStyle w:val="HTMLCode"/>
        </w:rPr>
      </w:pPr>
      <w:r>
        <w:rPr>
          <w:rStyle w:val="HTMLCode"/>
        </w:rPr>
        <w:t>\boxed{U_{\mathrm{Ax}}(A)=0\qquad\forall A\in\mathcal A_{\mathrm{ext}}^{\mathrm{cand},1}.}</w:t>
      </w:r>
    </w:p>
    <w:p w:rsidR="008D6044" w:rsidRDefault="008D6044" w:rsidP="008D6044">
      <w:r>
        <w:pict>
          <v:rect id="_x0000_i6148" style="width:0;height:1.5pt" o:hralign="center" o:hrstd="t" o:hr="t" fillcolor="#a0a0a0" stroked="f"/>
        </w:pict>
      </w:r>
    </w:p>
    <w:p w:rsidR="008D6044" w:rsidRDefault="008D6044" w:rsidP="008D6044">
      <w:pPr>
        <w:pStyle w:val="berschrift1"/>
      </w:pPr>
      <w:r>
        <w:t>3.3.53.99 Zwischenbilanz und Fortsetzung</w:t>
      </w:r>
    </w:p>
    <w:p w:rsidR="008D6044" w:rsidRDefault="008D6044" w:rsidP="008D6044">
      <w:pPr>
        <w:pStyle w:val="StandardWeb"/>
      </w:pPr>
      <w:r>
        <w:t>Bis zu diesem Punkt habe ich gezeigt, dass weder Injektivität noch Relationstreue einer Einbettung, weder exakte Rückgewinnbarkeit einer Erweiterung noch exakte Projektionskompatibilität eines Liftings, weder fehlerfreie Rekonstruktion noch eine normierte Rekonstruktionsgüte, noch Kommutativität, endliche Erweiterungstiefe, Zeitinvarianz oder Dynamikverträglichkeit universell vorausgesetzt werden müssen.</w:t>
      </w:r>
    </w:p>
    <w:p w:rsidR="008D6044" w:rsidRDefault="008D6044" w:rsidP="008D6044">
      <w:pPr>
        <w:pStyle w:val="StandardWeb"/>
      </w:pPr>
      <w:r>
        <w:t xml:space="preserve">Damit ist </w:t>
      </w:r>
      <w:r>
        <w:rPr>
          <w:rStyle w:val="Fett"/>
        </w:rPr>
        <w:t>3.3.53 noch nicht abgeschlossen</w:t>
      </w:r>
      <w:r>
        <w:t>.</w:t>
      </w:r>
    </w:p>
    <w:p w:rsidR="008D6044" w:rsidRDefault="008D6044" w:rsidP="008D6044">
      <w:pPr>
        <w:pStyle w:val="StandardWeb"/>
      </w:pPr>
      <w:r>
        <w:t xml:space="preserve">Im nächsten Block untersuche ich insbesondere </w:t>
      </w:r>
      <w:r>
        <w:rPr>
          <w:rStyle w:val="Fett"/>
        </w:rPr>
        <w:t>stochastische Erweiterungen und Rekonstruktionen, kontextabhängige Liftings, Kohärenz- und Dimensionsverträglichkeit, Einbettungs- und Erweiterungsordnungen, minimale und maximale Erweiterungen sowie schließlich die entscheidende Minimalitätsfrage, ob Einbettung, Erweiterung, Lifting oder Rekonstruktion überhaupt Bestandteil eines minimalen FRZK sein müssen</w:t>
      </w:r>
      <w:r>
        <w:t>.</w:t>
      </w:r>
    </w:p>
    <w:p w:rsidR="008D6044" w:rsidRDefault="008D6044" w:rsidP="008D6044">
      <w:pPr>
        <w:pStyle w:val="StandardWeb"/>
      </w:pPr>
      <w:r>
        <w:t xml:space="preserve">Der nächste Startpunkt ist </w:t>
      </w:r>
      <w:r>
        <w:rPr>
          <w:rStyle w:val="Fett"/>
        </w:rPr>
        <w:t>3.3.53.100 / Gleichung (3.14042)</w:t>
      </w:r>
      <w:r>
        <w:t xml:space="preserve">, nächste Definition </w:t>
      </w:r>
      <w:r>
        <w:rPr>
          <w:rStyle w:val="Fett"/>
        </w:rPr>
        <w:t>3.3.648</w:t>
      </w:r>
      <w:r>
        <w:t xml:space="preserve">, nächster Satz </w:t>
      </w:r>
      <w:r>
        <w:rPr>
          <w:rStyle w:val="Fett"/>
        </w:rPr>
        <w:t>3.3.261</w:t>
      </w:r>
      <w:r>
        <w:t xml:space="preserve">, nächstes Korollar </w:t>
      </w:r>
      <w:r>
        <w:rPr>
          <w:rStyle w:val="Fett"/>
        </w:rPr>
        <w:t>3.3.73</w:t>
      </w:r>
      <w:r>
        <w:t>.</w:t>
      </w:r>
    </w:p>
    <w:p w:rsidR="0041055D" w:rsidRDefault="0041055D" w:rsidP="0041055D">
      <w:pPr>
        <w:pStyle w:val="berschrift1"/>
        <w:rPr>
          <w:rFonts w:cs="Times New Roman"/>
          <w:sz w:val="48"/>
          <w:szCs w:val="48"/>
        </w:rPr>
      </w:pPr>
      <w:r>
        <w:t>3.3.53.100 Stochastische funktionale Erweiterung</w:t>
      </w:r>
    </w:p>
    <w:p w:rsidR="0041055D" w:rsidRDefault="0041055D" w:rsidP="0041055D">
      <w:pPr>
        <w:pStyle w:val="StandardWeb"/>
      </w:pPr>
      <w:r>
        <w:t>Nach der Untersuchung deterministischer Erweiterungsabbildungen betrachte ich nun den Fall, dass eine Erweiterung nicht eindeutig durch genau eine Zielrepräsentation bestimmt wird. Stattdessen kann einem Ausgangsobjekt eine Verteilung möglicher erweiterter Zustände zugeordnet werden.</w:t>
      </w:r>
    </w:p>
    <w:p w:rsidR="0041055D" w:rsidRDefault="0041055D" w:rsidP="0041055D">
      <w:pPr>
        <w:pStyle w:val="StandardWeb"/>
      </w:pPr>
      <w:r>
        <w:lastRenderedPageBreak/>
        <w:t>Ich schreibe dafür</w:t>
      </w:r>
    </w:p>
    <w:p w:rsidR="0041055D" w:rsidRDefault="0041055D" w:rsidP="0041055D">
      <w:pPr>
        <w:pStyle w:val="StandardWeb"/>
      </w:pPr>
      <w:r>
        <w:t>[</w:t>
      </w:r>
      <w:r>
        <w:br/>
        <w:t>\mathbb P_F^{\mathrm{ext}}</w:t>
      </w:r>
      <w:r>
        <w:br/>
        <w:t>(,\cdot,|X)</w:t>
      </w:r>
      <w:r>
        <w:br/>
        <w:t>\tag{3.14042}</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\mathbb P_F^{\mathrm{ext}}(\,\cdot\,|X)</w:t>
      </w:r>
    </w:p>
    <w:p w:rsidR="0041055D" w:rsidRDefault="0041055D" w:rsidP="0041055D">
      <w:pPr>
        <w:pStyle w:val="StandardWeb"/>
      </w:pPr>
      <w:r>
        <w:t>für eine bedingte Wahrscheinlichkeitsverteilung auf einem Erweiterungsraum (\mathcal X_F^{\mathrm{ext}}).</w:t>
      </w:r>
    </w:p>
    <w:p w:rsidR="0041055D" w:rsidRDefault="0041055D" w:rsidP="0041055D">
      <w:r>
        <w:pict>
          <v:rect id="_x0000_i6248" style="width:0;height:1.5pt" o:hralign="center" o:hrstd="t" o:hr="t" fillcolor="#a0a0a0" stroked="f"/>
        </w:pict>
      </w:r>
    </w:p>
    <w:p w:rsidR="0041055D" w:rsidRDefault="0041055D" w:rsidP="0041055D">
      <w:pPr>
        <w:pStyle w:val="berschrift2"/>
      </w:pPr>
      <w:r>
        <w:t>3.3.53.101 Definition 3.3.648 – Stochastische funktionale Erweiterung</w:t>
      </w:r>
    </w:p>
    <w:p w:rsidR="0041055D" w:rsidRDefault="0041055D" w:rsidP="0041055D">
      <w:pPr>
        <w:pStyle w:val="berschrift3"/>
      </w:pPr>
      <w:r>
        <w:t>Definition 3.3.648</w:t>
      </w:r>
    </w:p>
    <w:p w:rsidR="0041055D" w:rsidRDefault="0041055D" w:rsidP="0041055D">
      <w:pPr>
        <w:pStyle w:val="StandardWeb"/>
      </w:pPr>
      <w:r>
        <w:t xml:space="preserve">Eine </w:t>
      </w:r>
      <w:r>
        <w:rPr>
          <w:rStyle w:val="Fett"/>
        </w:rPr>
        <w:t>stochastische funktionale Erweiterung</w:t>
      </w:r>
      <w:r>
        <w:t xml:space="preserve"> ordnet einem Ausgangsobjekt (X) eine Wahrscheinlichkeitsverteilung auf dem Erweiterungsraum zu:</w:t>
      </w:r>
    </w:p>
    <w:p w:rsidR="0041055D" w:rsidRDefault="0041055D" w:rsidP="0041055D">
      <w:pPr>
        <w:pStyle w:val="StandardWeb"/>
      </w:pPr>
      <w:r>
        <w:t>[</w:t>
      </w:r>
      <w:r>
        <w:br/>
        <w:t>\boxed{</w:t>
      </w:r>
      <w:r>
        <w:br/>
        <w:t>E_F^{\mathrm{stoch}}</w:t>
      </w:r>
      <w:r>
        <w:br/>
        <w:t>:</w:t>
      </w:r>
      <w:r>
        <w:br/>
        <w:t>X</w:t>
      </w:r>
      <w:r>
        <w:br/>
        <w:t>\mapsto</w:t>
      </w:r>
      <w:r>
        <w:br/>
        <w:t>\mathbb P_F^{\mathrm{ext}}</w:t>
      </w:r>
      <w:r>
        <w:br/>
        <w:t>(,\cdot,|X).</w:t>
      </w:r>
      <w:r>
        <w:br/>
        <w:t>}</w:t>
      </w:r>
      <w:r>
        <w:br/>
        <w:t>\tag{3.14043}</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\boxed{E_F^{\mathrm{stoch}}:X\mapsto\mathbb P_F^{\mathrm{ext}}(\,\cdot\,|X).}</w:t>
      </w:r>
    </w:p>
    <w:p w:rsidR="0041055D" w:rsidRDefault="0041055D" w:rsidP="0041055D">
      <w:r>
        <w:pict>
          <v:rect id="_x0000_i6249" style="width:0;height:1.5pt" o:hralign="center" o:hrstd="t" o:hr="t" fillcolor="#a0a0a0" stroked="f"/>
        </w:pict>
      </w:r>
    </w:p>
    <w:p w:rsidR="0041055D" w:rsidRDefault="0041055D" w:rsidP="0041055D">
      <w:pPr>
        <w:pStyle w:val="berschrift1"/>
      </w:pPr>
      <w:r>
        <w:t>3.3.53.102 Deterministische Erweiterung als Spezialfall</w:t>
      </w:r>
    </w:p>
    <w:p w:rsidR="0041055D" w:rsidRDefault="0041055D" w:rsidP="0041055D">
      <w:pPr>
        <w:pStyle w:val="StandardWeb"/>
      </w:pPr>
      <w:r>
        <w:t>Eine deterministische Erweiterung kann als Spezialfall einer stochastischen Erweiterung dargestellt werden:</w:t>
      </w:r>
    </w:p>
    <w:p w:rsidR="0041055D" w:rsidRDefault="0041055D" w:rsidP="0041055D">
      <w:pPr>
        <w:pStyle w:val="berschrift1"/>
      </w:pPr>
      <w:r>
        <w:lastRenderedPageBreak/>
        <w:t>[</w:t>
      </w:r>
      <w:r>
        <w:br/>
        <w:t>\mathbb P_F^{\mathrm{ext}}</w:t>
      </w:r>
      <w:r>
        <w:br/>
        <w:t>(Y|X)</w:t>
      </w:r>
    </w:p>
    <w:p w:rsidR="0041055D" w:rsidRDefault="0041055D" w:rsidP="0041055D">
      <w:pPr>
        <w:pStyle w:val="StandardWeb"/>
      </w:pPr>
      <w:r>
        <w:t>\delta_{Y,E_F(X)}.</w:t>
      </w:r>
      <w:r>
        <w:br/>
        <w:t>\tag{3.14044}</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\mathbb P_F^{\mathrm{ext}}(Y|X)=\delta_{Y,E_F(X)}</w:t>
      </w:r>
    </w:p>
    <w:p w:rsidR="0041055D" w:rsidRDefault="0041055D" w:rsidP="0041055D">
      <w:pPr>
        <w:pStyle w:val="StandardWeb"/>
      </w:pPr>
      <w:r>
        <w:t>Dabei verwende ich (\delta) lediglich als symbolische Darstellung einer auf einem einzigen Ergebnis konzentrierten Verteilung.</w:t>
      </w:r>
    </w:p>
    <w:p w:rsidR="0041055D" w:rsidRDefault="0041055D" w:rsidP="0041055D">
      <w:r>
        <w:pict>
          <v:rect id="_x0000_i6250" style="width:0;height:1.5pt" o:hralign="center" o:hrstd="t" o:hr="t" fillcolor="#a0a0a0" stroked="f"/>
        </w:pict>
      </w:r>
    </w:p>
    <w:p w:rsidR="0041055D" w:rsidRDefault="0041055D" w:rsidP="0041055D">
      <w:pPr>
        <w:pStyle w:val="berschrift1"/>
      </w:pPr>
      <w:r>
        <w:t>3.3.53.103 Determinismus funktionaler Erweiterungen als Primäraxiomkandidat</w:t>
      </w:r>
    </w:p>
    <w:p w:rsidR="0041055D" w:rsidRDefault="0041055D" w:rsidP="0041055D">
      <w:pPr>
        <w:pStyle w:val="StandardWeb"/>
      </w:pPr>
      <w:r>
        <w:t>Ein möglicher Kandidat lautet</w:t>
      </w:r>
    </w:p>
    <w:p w:rsidR="0041055D" w:rsidRDefault="0041055D" w:rsidP="0041055D">
      <w:pPr>
        <w:pStyle w:val="berschrift1"/>
      </w:pPr>
      <w:r>
        <w:t>[</w:t>
      </w:r>
      <w:r>
        <w:br/>
        <w:t>A_{\mathrm{ext-det}}</w:t>
      </w:r>
      <w:r>
        <w:br/>
        <w:t>:</w:t>
      </w:r>
      <w:r>
        <w:br/>
        <w:t>\forall X</w:t>
      </w:r>
      <w:r>
        <w:br/>
        <w:t>\quad</w:t>
      </w:r>
      <w:r>
        <w:br/>
        <w:t>\exists!Y:</w:t>
      </w:r>
      <w:r>
        <w:br/>
        <w:t>E_F(X)</w:t>
      </w:r>
    </w:p>
    <w:p w:rsidR="0041055D" w:rsidRDefault="0041055D" w:rsidP="0041055D">
      <w:pPr>
        <w:pStyle w:val="StandardWeb"/>
      </w:pPr>
      <w:r>
        <w:t>Y.</w:t>
      </w:r>
      <w:r>
        <w:br/>
        <w:t>\tag{3.14045}</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A_{\mathrm{ext-det}}:\forall X\quad\exists!Y:E_F(X)=Y</w:t>
      </w:r>
    </w:p>
    <w:p w:rsidR="0041055D" w:rsidRDefault="0041055D" w:rsidP="0041055D">
      <w:r>
        <w:pict>
          <v:rect id="_x0000_i6251" style="width:0;height:1.5pt" o:hralign="center" o:hrstd="t" o:hr="t" fillcolor="#a0a0a0" stroked="f"/>
        </w:pict>
      </w:r>
    </w:p>
    <w:p w:rsidR="0041055D" w:rsidRDefault="0041055D" w:rsidP="0041055D">
      <w:pPr>
        <w:pStyle w:val="berschrift1"/>
      </w:pPr>
      <w:r>
        <w:t>3.3.53.104 Gegenmodell zur universellen Determiniertheit</w:t>
      </w:r>
    </w:p>
    <w:p w:rsidR="0041055D" w:rsidRDefault="0041055D" w:rsidP="0041055D">
      <w:pPr>
        <w:pStyle w:val="StandardWeb"/>
      </w:pPr>
      <w:r>
        <w:lastRenderedPageBreak/>
        <w:t>Eine stochastische Erweiterung kann für zwei verschiedene erweiterte Zustände positive Wahrscheinlichkeit besitzen:</w:t>
      </w:r>
    </w:p>
    <w:p w:rsidR="0041055D" w:rsidRDefault="0041055D" w:rsidP="0041055D">
      <w:pPr>
        <w:pStyle w:val="StandardWeb"/>
      </w:pPr>
      <w:r>
        <w:t>[</w:t>
      </w:r>
      <w:r>
        <w:br/>
        <w:t>\mathbb P_F^{\mathrm{ext}}</w:t>
      </w:r>
      <w:r>
        <w:br/>
        <w:t>(Y_1|X)</w:t>
      </w:r>
    </w:p>
    <w:p w:rsidR="0041055D" w:rsidRDefault="0041055D" w:rsidP="0041055D">
      <w:pPr>
        <w:pStyle w:val="StandardWeb"/>
      </w:pPr>
      <w:r>
        <w:t>0</w:t>
      </w:r>
      <w:r>
        <w:br/>
        <w:t>\tag{3.14046}</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\mathbb P_F^{\mathrm{ext}}(Y_1|X)&gt;0</w:t>
      </w:r>
    </w:p>
    <w:p w:rsidR="0041055D" w:rsidRDefault="0041055D" w:rsidP="0041055D">
      <w:pPr>
        <w:pStyle w:val="StandardWeb"/>
      </w:pPr>
      <w:r>
        <w:t>und</w:t>
      </w:r>
    </w:p>
    <w:p w:rsidR="0041055D" w:rsidRDefault="0041055D" w:rsidP="0041055D">
      <w:pPr>
        <w:pStyle w:val="StandardWeb"/>
      </w:pPr>
      <w:r>
        <w:t>[</w:t>
      </w:r>
      <w:r>
        <w:br/>
        <w:t>\mathbb P_F^{\mathrm{ext}}</w:t>
      </w:r>
      <w:r>
        <w:br/>
        <w:t>(Y_2|X)</w:t>
      </w:r>
    </w:p>
    <w:p w:rsidR="0041055D" w:rsidRDefault="0041055D" w:rsidP="0041055D">
      <w:pPr>
        <w:pStyle w:val="StandardWeb"/>
      </w:pPr>
      <w:r>
        <w:t>0</w:t>
      </w:r>
      <w:r>
        <w:br/>
        <w:t>\tag{3.14047}</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\mathbb P_F^{\mathrm{ext}}(Y_2|X)&gt;0</w:t>
      </w:r>
    </w:p>
    <w:p w:rsidR="0041055D" w:rsidRDefault="0041055D" w:rsidP="0041055D">
      <w:pPr>
        <w:pStyle w:val="StandardWeb"/>
      </w:pPr>
      <w:r>
        <w:t>mit</w:t>
      </w:r>
    </w:p>
    <w:p w:rsidR="0041055D" w:rsidRDefault="0041055D" w:rsidP="0041055D">
      <w:pPr>
        <w:pStyle w:val="StandardWeb"/>
      </w:pPr>
      <w:r>
        <w:t>[</w:t>
      </w:r>
      <w:r>
        <w:br/>
        <w:t>Y_1</w:t>
      </w:r>
      <w:r>
        <w:br/>
        <w:t>\neq</w:t>
      </w:r>
      <w:r>
        <w:br/>
        <w:t>Y_2.</w:t>
      </w:r>
      <w:r>
        <w:br/>
        <w:t>\tag{3.14048}</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Y_1\neq Y_2</w:t>
      </w:r>
    </w:p>
    <w:p w:rsidR="0041055D" w:rsidRDefault="0041055D" w:rsidP="0041055D">
      <w:r>
        <w:pict>
          <v:rect id="_x0000_i6252" style="width:0;height:1.5pt" o:hralign="center" o:hrstd="t" o:hr="t" fillcolor="#a0a0a0" stroked="f"/>
        </w:pict>
      </w:r>
    </w:p>
    <w:p w:rsidR="0041055D" w:rsidRDefault="0041055D" w:rsidP="0041055D">
      <w:pPr>
        <w:pStyle w:val="berschrift1"/>
      </w:pPr>
      <w:r>
        <w:t>3.3.53.105 Axiomentscheidung zum Erweiterungsdeterminismus</w:t>
      </w:r>
    </w:p>
    <w:p w:rsidR="0041055D" w:rsidRDefault="0041055D" w:rsidP="0041055D">
      <w:pPr>
        <w:pStyle w:val="StandardWeb"/>
      </w:pPr>
      <w:r>
        <w:t>Damit gilt</w:t>
      </w:r>
    </w:p>
    <w:p w:rsidR="0041055D" w:rsidRDefault="0041055D" w:rsidP="0041055D">
      <w:pPr>
        <w:pStyle w:val="berschrift1"/>
      </w:pPr>
      <w:r>
        <w:lastRenderedPageBreak/>
        <w:t>[</w:t>
      </w:r>
      <w:r>
        <w:br/>
        <w:t>\boxed{</w:t>
      </w:r>
      <w:r>
        <w:br/>
        <w:t>U_{\mathrm{Ax}}</w:t>
      </w:r>
      <w:r>
        <w:br/>
        <w:t>(A_{\mathrm{ext-det}})</w:t>
      </w:r>
    </w:p>
    <w:p w:rsidR="0041055D" w:rsidRDefault="0041055D" w:rsidP="009F7790">
      <w:pPr>
        <w:numPr>
          <w:ilvl w:val="0"/>
          <w:numId w:val="756"/>
        </w:numPr>
        <w:spacing w:before="100" w:beforeAutospacing="1" w:after="100" w:afterAutospacing="1"/>
      </w:pPr>
    </w:p>
    <w:p w:rsidR="0041055D" w:rsidRDefault="0041055D" w:rsidP="0041055D">
      <w:pPr>
        <w:pStyle w:val="StandardWeb"/>
      </w:pPr>
      <w:r>
        <w:t>}</w:t>
      </w:r>
      <w:r>
        <w:br/>
        <w:t>\tag{3.14049}</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\boxed{U_{\mathrm{Ax}}(A_{\mathrm{ext-det}})=0.}</w:t>
      </w:r>
    </w:p>
    <w:p w:rsidR="0041055D" w:rsidRDefault="0041055D" w:rsidP="0041055D">
      <w:r>
        <w:pict>
          <v:rect id="_x0000_i6253" style="width:0;height:1.5pt" o:hralign="center" o:hrstd="t" o:hr="t" fillcolor="#a0a0a0" stroked="f"/>
        </w:pict>
      </w:r>
    </w:p>
    <w:p w:rsidR="0041055D" w:rsidRDefault="0041055D" w:rsidP="0041055D">
      <w:pPr>
        <w:pStyle w:val="berschrift1"/>
      </w:pPr>
      <w:r>
        <w:t>3.3.53.106 Satz 3.3.261 – Deterministische funktionale Erweiterung ist kein Primäraxiom</w:t>
      </w:r>
    </w:p>
    <w:p w:rsidR="0041055D" w:rsidRDefault="0041055D" w:rsidP="0041055D">
      <w:pPr>
        <w:pStyle w:val="berschrift3"/>
      </w:pPr>
      <w:r>
        <w:t>Satz 3.3.261</w:t>
      </w:r>
    </w:p>
    <w:p w:rsidR="0041055D" w:rsidRDefault="0041055D" w:rsidP="0041055D">
      <w:pPr>
        <w:pStyle w:val="StandardWeb"/>
      </w:pPr>
      <w:r>
        <w:t>Die Forderung, jede funktionale Erweiterung müsse jedem Ausgangsobjekt eindeutig genau eine erweiterte Repräsentation zuordnen, ist keine universell notwendige Voraussetzung des allgemeinen FRZK.</w:t>
      </w:r>
    </w:p>
    <w:p w:rsidR="0041055D" w:rsidRDefault="0041055D" w:rsidP="0041055D">
      <w:pPr>
        <w:pStyle w:val="StandardWeb"/>
      </w:pPr>
      <w:r>
        <w:t>Formal gilt</w:t>
      </w:r>
    </w:p>
    <w:p w:rsidR="0041055D" w:rsidRDefault="0041055D" w:rsidP="0041055D">
      <w:pPr>
        <w:pStyle w:val="berschrift1"/>
      </w:pPr>
      <w:r>
        <w:t>[</w:t>
      </w:r>
      <w:r>
        <w:br/>
        <w:t>\boxed{</w:t>
      </w:r>
      <w:r>
        <w:br/>
        <w:t>U_{\mathrm{Ax}}</w:t>
      </w:r>
      <w:r>
        <w:br/>
        <w:t>(A_{\mathrm{ext-det}})</w:t>
      </w:r>
    </w:p>
    <w:p w:rsidR="0041055D" w:rsidRDefault="0041055D" w:rsidP="009F7790">
      <w:pPr>
        <w:numPr>
          <w:ilvl w:val="0"/>
          <w:numId w:val="757"/>
        </w:numPr>
        <w:spacing w:before="100" w:beforeAutospacing="1" w:after="100" w:afterAutospacing="1"/>
      </w:pPr>
    </w:p>
    <w:p w:rsidR="0041055D" w:rsidRDefault="0041055D" w:rsidP="0041055D">
      <w:pPr>
        <w:pStyle w:val="StandardWeb"/>
      </w:pPr>
      <w:r>
        <w:t>}</w:t>
      </w:r>
      <w:r>
        <w:br/>
        <w:t>\tag{3.14050}</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\boxed{U_{\mathrm{Ax}}(A_{\mathrm{ext-det}})=0.}</w:t>
      </w:r>
    </w:p>
    <w:p w:rsidR="0041055D" w:rsidRDefault="0041055D" w:rsidP="0041055D">
      <w:pPr>
        <w:pStyle w:val="berschrift3"/>
      </w:pPr>
      <w:r>
        <w:t>Beweis</w:t>
      </w:r>
    </w:p>
    <w:p w:rsidR="0041055D" w:rsidRDefault="0041055D" w:rsidP="0041055D">
      <w:pPr>
        <w:pStyle w:val="StandardWeb"/>
      </w:pPr>
      <w:r>
        <w:lastRenderedPageBreak/>
        <w:t>Ich betrachte eine zulässige stochastische Erweiterung mit</w:t>
      </w:r>
    </w:p>
    <w:p w:rsidR="0041055D" w:rsidRDefault="0041055D" w:rsidP="0041055D">
      <w:pPr>
        <w:pStyle w:val="StandardWeb"/>
      </w:pPr>
      <w:r>
        <w:t>[</w:t>
      </w:r>
      <w:r>
        <w:br/>
        <w:t>\mathbb P_F^{\mathrm{ext}}</w:t>
      </w:r>
      <w:r>
        <w:br/>
        <w:t>(Y_1|X)</w:t>
      </w:r>
    </w:p>
    <w:p w:rsidR="0041055D" w:rsidRDefault="0041055D" w:rsidP="0041055D">
      <w:pPr>
        <w:pStyle w:val="StandardWeb"/>
      </w:pPr>
      <w:r>
        <w:t>0,</w:t>
      </w:r>
      <w:r>
        <w:br/>
        <w:t>\qquad</w:t>
      </w:r>
      <w:r>
        <w:br/>
        <w:t>\mathbb P_F^{\mathrm{ext}}</w:t>
      </w:r>
      <w:r>
        <w:br/>
        <w:t>(Y_2|X)</w:t>
      </w:r>
    </w:p>
    <w:p w:rsidR="0041055D" w:rsidRDefault="0041055D" w:rsidP="0041055D">
      <w:pPr>
        <w:pStyle w:val="StandardWeb"/>
      </w:pPr>
      <w:r>
        <w:t>0</w:t>
      </w:r>
      <w:r>
        <w:br/>
        <w:t>\tag{3.14051}</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\mathbb P_F^{\mathrm{ext}}(Y_1|X)&gt;0,\qquad\mathbb P_F^{\mathrm{ext}}(Y_2|X)&gt;0</w:t>
      </w:r>
    </w:p>
    <w:p w:rsidR="0041055D" w:rsidRDefault="0041055D" w:rsidP="0041055D">
      <w:pPr>
        <w:pStyle w:val="StandardWeb"/>
      </w:pPr>
      <w:r>
        <w:t>und</w:t>
      </w:r>
    </w:p>
    <w:p w:rsidR="0041055D" w:rsidRDefault="0041055D" w:rsidP="0041055D">
      <w:pPr>
        <w:pStyle w:val="StandardWeb"/>
      </w:pPr>
      <w:r>
        <w:t>[</w:t>
      </w:r>
      <w:r>
        <w:br/>
        <w:t>Y_1</w:t>
      </w:r>
      <w:r>
        <w:br/>
        <w:t>\neq</w:t>
      </w:r>
      <w:r>
        <w:br/>
        <w:t>Y_2.</w:t>
      </w:r>
      <w:r>
        <w:br/>
        <w:t>\tag{3.14052}</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Y_1\neq Y_2</w:t>
      </w:r>
    </w:p>
    <w:p w:rsidR="0041055D" w:rsidRDefault="0041055D" w:rsidP="0041055D">
      <w:pPr>
        <w:pStyle w:val="StandardWeb"/>
      </w:pPr>
      <w:r>
        <w:t>Damit ist die Erweiterung nicht deterministisch, bleibt jedoch wohldefiniert. Die Determiniertheit ist folglich keine universell notwendige Eigenschaft. (\square)</w:t>
      </w:r>
    </w:p>
    <w:p w:rsidR="0041055D" w:rsidRDefault="0041055D" w:rsidP="0041055D">
      <w:r>
        <w:pict>
          <v:rect id="_x0000_i6254" style="width:0;height:1.5pt" o:hralign="center" o:hrstd="t" o:hr="t" fillcolor="#a0a0a0" stroked="f"/>
        </w:pict>
      </w:r>
    </w:p>
    <w:p w:rsidR="0041055D" w:rsidRDefault="0041055D" w:rsidP="0041055D">
      <w:pPr>
        <w:pStyle w:val="berschrift1"/>
      </w:pPr>
      <w:r>
        <w:t>3.3.53.107 Korollar 3.3.73 – Stochastische Erweiterungen sind modellabhängig</w:t>
      </w:r>
    </w:p>
    <w:p w:rsidR="0041055D" w:rsidRDefault="0041055D" w:rsidP="0041055D">
      <w:pPr>
        <w:pStyle w:val="berschrift3"/>
      </w:pPr>
      <w:r>
        <w:t>Korollar 3.3.73</w:t>
      </w:r>
    </w:p>
    <w:p w:rsidR="0041055D" w:rsidRDefault="0041055D" w:rsidP="0041055D">
      <w:pPr>
        <w:pStyle w:val="StandardWeb"/>
      </w:pPr>
      <w:r>
        <w:t>Aus Satz 3.3.261 folgt</w:t>
      </w:r>
    </w:p>
    <w:p w:rsidR="0041055D" w:rsidRDefault="0041055D" w:rsidP="0041055D">
      <w:pPr>
        <w:pStyle w:val="berschrift1"/>
      </w:pPr>
      <w:r>
        <w:t>[</w:t>
      </w:r>
      <w:r>
        <w:br/>
        <w:t>\boxed{</w:t>
      </w:r>
      <w:r>
        <w:br/>
      </w:r>
      <w:r>
        <w:lastRenderedPageBreak/>
        <w:t>\operatorname{Stat}</w:t>
      </w:r>
      <w:r>
        <w:br/>
        <w:t>(E_F^{\mathrm{stoch}})</w:t>
      </w:r>
    </w:p>
    <w:p w:rsidR="0041055D" w:rsidRDefault="0041055D" w:rsidP="0041055D">
      <w:pPr>
        <w:pStyle w:val="StandardWeb"/>
      </w:pPr>
      <w:r>
        <w:t>\mathrm{Def/Mod/Op}.</w:t>
      </w:r>
      <w:r>
        <w:br/>
        <w:t>}</w:t>
      </w:r>
      <w:r>
        <w:br/>
        <w:t>\tag{3.14053}</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\boxed{\operatorname{Stat}(E_F^{\mathrm{stoch}})=\mathrm{Def/Mod/Op}.}</w:t>
      </w:r>
    </w:p>
    <w:p w:rsidR="0041055D" w:rsidRDefault="0041055D" w:rsidP="0041055D">
      <w:r>
        <w:pict>
          <v:rect id="_x0000_i6255" style="width:0;height:1.5pt" o:hralign="center" o:hrstd="t" o:hr="t" fillcolor="#a0a0a0" stroked="f"/>
        </w:pict>
      </w:r>
    </w:p>
    <w:p w:rsidR="0041055D" w:rsidRDefault="0041055D" w:rsidP="0041055D">
      <w:pPr>
        <w:pStyle w:val="berschrift1"/>
      </w:pPr>
      <w:r>
        <w:t>3.3.53.108 Stochastische funktionale Rekonstruktion</w:t>
      </w:r>
    </w:p>
    <w:p w:rsidR="0041055D" w:rsidRDefault="0041055D" w:rsidP="0041055D">
      <w:pPr>
        <w:pStyle w:val="StandardWeb"/>
      </w:pPr>
      <w:r>
        <w:t>Auch eine Rekonstruktion muss nicht deterministisch sein. Einer reduzierten Repräsentation kann eine Verteilung möglicher rekonstruierter Ausgangsobjekte zugeordnet werden.</w:t>
      </w:r>
    </w:p>
    <w:p w:rsidR="0041055D" w:rsidRDefault="0041055D" w:rsidP="0041055D">
      <w:pPr>
        <w:pStyle w:val="StandardWeb"/>
      </w:pPr>
      <w:r>
        <w:t>Ich schreibe</w:t>
      </w:r>
    </w:p>
    <w:p w:rsidR="0041055D" w:rsidRDefault="0041055D" w:rsidP="0041055D">
      <w:pPr>
        <w:pStyle w:val="StandardWeb"/>
      </w:pPr>
      <w:r>
        <w:t>[</w:t>
      </w:r>
      <w:r>
        <w:br/>
        <w:t>\mathbb P_F^{\mathrm{rec}}</w:t>
      </w:r>
      <w:r>
        <w:br/>
        <w:t>(,\cdot,|X^{\mathrm{red}})</w:t>
      </w:r>
      <w:r>
        <w:br/>
        <w:t>\tag{3.14054}</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\mathbb P_F^{\mathrm{rec}}(\,\cdot\,|X^{\mathrm{red}})</w:t>
      </w:r>
    </w:p>
    <w:p w:rsidR="0041055D" w:rsidRDefault="0041055D" w:rsidP="0041055D">
      <w:pPr>
        <w:pStyle w:val="StandardWeb"/>
      </w:pPr>
      <w:r>
        <w:t>für eine entsprechende bedingte Wahrscheinlichkeitsverteilung.</w:t>
      </w:r>
    </w:p>
    <w:p w:rsidR="0041055D" w:rsidRDefault="0041055D" w:rsidP="0041055D">
      <w:r>
        <w:pict>
          <v:rect id="_x0000_i6256" style="width:0;height:1.5pt" o:hralign="center" o:hrstd="t" o:hr="t" fillcolor="#a0a0a0" stroked="f"/>
        </w:pict>
      </w:r>
    </w:p>
    <w:p w:rsidR="0041055D" w:rsidRDefault="0041055D" w:rsidP="0041055D">
      <w:pPr>
        <w:pStyle w:val="berschrift2"/>
      </w:pPr>
      <w:r>
        <w:t>3.3.53.109 Definition 3.3.649 – Stochastische funktionale Rekonstruktion</w:t>
      </w:r>
    </w:p>
    <w:p w:rsidR="0041055D" w:rsidRDefault="0041055D" w:rsidP="0041055D">
      <w:pPr>
        <w:pStyle w:val="berschrift3"/>
      </w:pPr>
      <w:r>
        <w:t>Definition 3.3.649</w:t>
      </w:r>
    </w:p>
    <w:p w:rsidR="0041055D" w:rsidRDefault="0041055D" w:rsidP="0041055D">
      <w:pPr>
        <w:pStyle w:val="StandardWeb"/>
      </w:pPr>
      <w:r>
        <w:t xml:space="preserve">Eine </w:t>
      </w:r>
      <w:r>
        <w:rPr>
          <w:rStyle w:val="Fett"/>
        </w:rPr>
        <w:t>stochastische funktionale Rekonstruktion</w:t>
      </w:r>
      <w:r>
        <w:t xml:space="preserve"> ist eine Zuordnung</w:t>
      </w:r>
    </w:p>
    <w:p w:rsidR="0041055D" w:rsidRDefault="0041055D" w:rsidP="0041055D">
      <w:pPr>
        <w:pStyle w:val="StandardWeb"/>
      </w:pPr>
      <w:r>
        <w:t>[</w:t>
      </w:r>
      <w:r>
        <w:br/>
        <w:t>\boxed{</w:t>
      </w:r>
      <w:r>
        <w:br/>
        <w:t>C_F^{\mathrm{stoch}}</w:t>
      </w:r>
      <w:r>
        <w:br/>
        <w:t>:</w:t>
      </w:r>
      <w:r>
        <w:br/>
        <w:t>X^{\mathrm{red}}</w:t>
      </w:r>
      <w:r>
        <w:br/>
        <w:t>\mapsto</w:t>
      </w:r>
      <w:r>
        <w:br/>
        <w:t>\mathbb P_F^{\mathrm{rec}}</w:t>
      </w:r>
      <w:r>
        <w:br/>
        <w:t>(,\cdot,|X^{\mathrm{red}}).</w:t>
      </w:r>
      <w:r>
        <w:br/>
      </w:r>
      <w:r>
        <w:lastRenderedPageBreak/>
        <w:t>}</w:t>
      </w:r>
      <w:r>
        <w:br/>
        <w:t>\tag{3.14055}</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\boxed{C_F^{\mathrm{stoch}}:X^{\mathrm{red}}\mapsto\mathbb P_F^{\mathrm{rec}}(\,\cdot\,|X^{\mathrm{red}}).}</w:t>
      </w:r>
    </w:p>
    <w:p w:rsidR="0041055D" w:rsidRDefault="0041055D" w:rsidP="0041055D">
      <w:r>
        <w:pict>
          <v:rect id="_x0000_i6257" style="width:0;height:1.5pt" o:hralign="center" o:hrstd="t" o:hr="t" fillcolor="#a0a0a0" stroked="f"/>
        </w:pict>
      </w:r>
    </w:p>
    <w:p w:rsidR="0041055D" w:rsidRDefault="0041055D" w:rsidP="0041055D">
      <w:pPr>
        <w:pStyle w:val="berschrift1"/>
      </w:pPr>
      <w:r>
        <w:t>3.3.53.110 Deterministische Rekonstruktion als Spezialfall</w:t>
      </w:r>
    </w:p>
    <w:p w:rsidR="0041055D" w:rsidRDefault="0041055D" w:rsidP="0041055D">
      <w:pPr>
        <w:pStyle w:val="StandardWeb"/>
      </w:pPr>
      <w:r>
        <w:t>Eine deterministische Rekonstruktion ist der Spezialfall</w:t>
      </w:r>
    </w:p>
    <w:p w:rsidR="0041055D" w:rsidRDefault="0041055D" w:rsidP="0041055D">
      <w:pPr>
        <w:pStyle w:val="berschrift1"/>
      </w:pPr>
      <w:r>
        <w:t>[</w:t>
      </w:r>
      <w:r>
        <w:br/>
        <w:t>\mathbb P_F^{\mathrm{rec}}</w:t>
      </w:r>
      <w:r>
        <w:br/>
        <w:t>(Y|X^{\mathrm{red}})</w:t>
      </w:r>
    </w:p>
    <w:p w:rsidR="0041055D" w:rsidRDefault="0041055D" w:rsidP="0041055D">
      <w:pPr>
        <w:pStyle w:val="StandardWeb"/>
      </w:pPr>
      <w:r>
        <w:t>\delta_{Y,C_F(X^{\mathrm{red}})}.</w:t>
      </w:r>
      <w:r>
        <w:br/>
        <w:t>\tag{3.14056}</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\mathbb P_F^{\mathrm{rec}}(Y|X^{\mathrm{red}})=\delta_{Y,C_F(X^{\mathrm{red}})}</w:t>
      </w:r>
    </w:p>
    <w:p w:rsidR="0041055D" w:rsidRDefault="0041055D" w:rsidP="0041055D">
      <w:r>
        <w:pict>
          <v:rect id="_x0000_i6258" style="width:0;height:1.5pt" o:hralign="center" o:hrstd="t" o:hr="t" fillcolor="#a0a0a0" stroked="f"/>
        </w:pict>
      </w:r>
    </w:p>
    <w:p w:rsidR="0041055D" w:rsidRDefault="0041055D" w:rsidP="0041055D">
      <w:pPr>
        <w:pStyle w:val="berschrift1"/>
      </w:pPr>
      <w:r>
        <w:t>3.3.53.111 Eindeutigkeit der Rekonstruktion als Primäraxiomkandidat</w:t>
      </w:r>
    </w:p>
    <w:p w:rsidR="0041055D" w:rsidRDefault="0041055D" w:rsidP="0041055D">
      <w:pPr>
        <w:pStyle w:val="StandardWeb"/>
      </w:pPr>
      <w:r>
        <w:t>Der entsprechende Kandidat lautet</w:t>
      </w:r>
    </w:p>
    <w:p w:rsidR="0041055D" w:rsidRDefault="0041055D" w:rsidP="0041055D">
      <w:pPr>
        <w:pStyle w:val="berschrift1"/>
      </w:pPr>
      <w:r>
        <w:t>[</w:t>
      </w:r>
      <w:r>
        <w:br/>
        <w:t>A_{\mathrm{rec-det}}</w:t>
      </w:r>
      <w:r>
        <w:br/>
        <w:t>:</w:t>
      </w:r>
      <w:r>
        <w:br/>
        <w:t>\forall X^{\mathrm{red}}</w:t>
      </w:r>
      <w:r>
        <w:br/>
        <w:t>\quad</w:t>
      </w:r>
      <w:r>
        <w:br/>
        <w:t>\exists!X:</w:t>
      </w:r>
      <w:r>
        <w:br/>
        <w:t>C_F(X^{\mathrm{red}})</w:t>
      </w:r>
    </w:p>
    <w:p w:rsidR="0041055D" w:rsidRDefault="0041055D" w:rsidP="0041055D">
      <w:pPr>
        <w:pStyle w:val="StandardWeb"/>
      </w:pPr>
      <w:r>
        <w:lastRenderedPageBreak/>
        <w:t>X.</w:t>
      </w:r>
      <w:r>
        <w:br/>
        <w:t>\tag{3.14057}</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A_{\mathrm{rec-det}}:\forall X^{\mathrm{red}}\quad\exists!X:C_F(X^{\mathrm{red}})=X</w:t>
      </w:r>
    </w:p>
    <w:p w:rsidR="0041055D" w:rsidRDefault="0041055D" w:rsidP="0041055D">
      <w:r>
        <w:pict>
          <v:rect id="_x0000_i6259" style="width:0;height:1.5pt" o:hralign="center" o:hrstd="t" o:hr="t" fillcolor="#a0a0a0" stroked="f"/>
        </w:pict>
      </w:r>
    </w:p>
    <w:p w:rsidR="0041055D" w:rsidRDefault="0041055D" w:rsidP="0041055D">
      <w:pPr>
        <w:pStyle w:val="berschrift1"/>
      </w:pPr>
      <w:r>
        <w:t>3.3.53.112 Gegenmodell</w:t>
      </w:r>
    </w:p>
    <w:p w:rsidR="0041055D" w:rsidRDefault="0041055D" w:rsidP="0041055D">
      <w:pPr>
        <w:pStyle w:val="StandardWeb"/>
      </w:pPr>
      <w:r>
        <w:t>Eine reduzierte Repräsentation kann mit mehreren möglichen Ausgangsobjekten vereinbar sein:</w:t>
      </w:r>
    </w:p>
    <w:p w:rsidR="0041055D" w:rsidRDefault="0041055D" w:rsidP="0041055D">
      <w:pPr>
        <w:pStyle w:val="StandardWeb"/>
      </w:pPr>
      <w:r>
        <w:t>[</w:t>
      </w:r>
      <w:r>
        <w:br/>
        <w:t>\mathbb P_F^{\mathrm{rec}}</w:t>
      </w:r>
      <w:r>
        <w:br/>
        <w:t>(X_1|X^{\mathrm{red}})</w:t>
      </w:r>
    </w:p>
    <w:p w:rsidR="0041055D" w:rsidRDefault="0041055D" w:rsidP="0041055D">
      <w:pPr>
        <w:pStyle w:val="StandardWeb"/>
      </w:pPr>
      <w:r>
        <w:t>0</w:t>
      </w:r>
      <w:r>
        <w:br/>
        <w:t>\tag{3.14058}</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\mathbb P_F^{\mathrm{rec}}(X_1|X^{\mathrm{red}})&gt;0</w:t>
      </w:r>
    </w:p>
    <w:p w:rsidR="0041055D" w:rsidRDefault="0041055D" w:rsidP="0041055D">
      <w:pPr>
        <w:pStyle w:val="StandardWeb"/>
      </w:pPr>
      <w:r>
        <w:t>und</w:t>
      </w:r>
    </w:p>
    <w:p w:rsidR="0041055D" w:rsidRDefault="0041055D" w:rsidP="0041055D">
      <w:pPr>
        <w:pStyle w:val="StandardWeb"/>
      </w:pPr>
      <w:r>
        <w:t>[</w:t>
      </w:r>
      <w:r>
        <w:br/>
        <w:t>\mathbb P_F^{\mathrm{rec}}</w:t>
      </w:r>
      <w:r>
        <w:br/>
        <w:t>(X_2|X^{\mathrm{red}})</w:t>
      </w:r>
    </w:p>
    <w:p w:rsidR="0041055D" w:rsidRDefault="0041055D" w:rsidP="0041055D">
      <w:pPr>
        <w:pStyle w:val="StandardWeb"/>
      </w:pPr>
      <w:r>
        <w:t>0</w:t>
      </w:r>
      <w:r>
        <w:br/>
        <w:t>\tag{3.14059}</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\mathbb P_F^{\mathrm{rec}}(X_2|X^{\mathrm{red}})&gt;0</w:t>
      </w:r>
    </w:p>
    <w:p w:rsidR="0041055D" w:rsidRDefault="0041055D" w:rsidP="0041055D">
      <w:pPr>
        <w:pStyle w:val="StandardWeb"/>
      </w:pPr>
      <w:r>
        <w:t>bei</w:t>
      </w:r>
    </w:p>
    <w:p w:rsidR="0041055D" w:rsidRDefault="0041055D" w:rsidP="0041055D">
      <w:pPr>
        <w:pStyle w:val="StandardWeb"/>
      </w:pPr>
      <w:r>
        <w:t>[</w:t>
      </w:r>
      <w:r>
        <w:br/>
        <w:t>X_1</w:t>
      </w:r>
      <w:r>
        <w:br/>
        <w:t>\neq</w:t>
      </w:r>
      <w:r>
        <w:br/>
        <w:t>X_2.</w:t>
      </w:r>
      <w:r>
        <w:br/>
        <w:t>\tag{3.14060}</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lastRenderedPageBreak/>
        <w:t>X_1\neq X_2</w:t>
      </w:r>
    </w:p>
    <w:p w:rsidR="0041055D" w:rsidRDefault="0041055D" w:rsidP="0041055D">
      <w:r>
        <w:pict>
          <v:rect id="_x0000_i6260" style="width:0;height:1.5pt" o:hralign="center" o:hrstd="t" o:hr="t" fillcolor="#a0a0a0" stroked="f"/>
        </w:pict>
      </w:r>
    </w:p>
    <w:p w:rsidR="0041055D" w:rsidRDefault="0041055D" w:rsidP="0041055D">
      <w:pPr>
        <w:pStyle w:val="berschrift1"/>
      </w:pPr>
      <w:r>
        <w:t>3.3.53.113 Axiomentscheidung zur Rekonstruktionsdeterminierung</w:t>
      </w:r>
    </w:p>
    <w:p w:rsidR="0041055D" w:rsidRDefault="0041055D" w:rsidP="0041055D">
      <w:pPr>
        <w:pStyle w:val="StandardWeb"/>
      </w:pPr>
      <w:r>
        <w:t>Daher gilt</w:t>
      </w:r>
    </w:p>
    <w:p w:rsidR="0041055D" w:rsidRDefault="0041055D" w:rsidP="0041055D">
      <w:pPr>
        <w:pStyle w:val="berschrift1"/>
      </w:pPr>
      <w:r>
        <w:t>[</w:t>
      </w:r>
      <w:r>
        <w:br/>
        <w:t>\boxed{</w:t>
      </w:r>
      <w:r>
        <w:br/>
        <w:t>U_{\mathrm{Ax}}</w:t>
      </w:r>
      <w:r>
        <w:br/>
        <w:t>(A_{\mathrm{rec-det}})</w:t>
      </w:r>
    </w:p>
    <w:p w:rsidR="0041055D" w:rsidRDefault="0041055D" w:rsidP="009F7790">
      <w:pPr>
        <w:numPr>
          <w:ilvl w:val="0"/>
          <w:numId w:val="758"/>
        </w:numPr>
        <w:spacing w:before="100" w:beforeAutospacing="1" w:after="100" w:afterAutospacing="1"/>
      </w:pPr>
    </w:p>
    <w:p w:rsidR="0041055D" w:rsidRDefault="0041055D" w:rsidP="0041055D">
      <w:pPr>
        <w:pStyle w:val="StandardWeb"/>
      </w:pPr>
      <w:r>
        <w:t>}</w:t>
      </w:r>
      <w:r>
        <w:br/>
        <w:t>\tag{3.14061}</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\boxed{U_{\mathrm{Ax}}(A_{\mathrm{rec-det}})=0.}</w:t>
      </w:r>
    </w:p>
    <w:p w:rsidR="0041055D" w:rsidRDefault="0041055D" w:rsidP="0041055D">
      <w:r>
        <w:pict>
          <v:rect id="_x0000_i6261" style="width:0;height:1.5pt" o:hralign="center" o:hrstd="t" o:hr="t" fillcolor="#a0a0a0" stroked="f"/>
        </w:pict>
      </w:r>
    </w:p>
    <w:p w:rsidR="0041055D" w:rsidRDefault="0041055D" w:rsidP="0041055D">
      <w:pPr>
        <w:pStyle w:val="berschrift1"/>
      </w:pPr>
      <w:r>
        <w:t>3.3.53.114 Satz 3.3.262 – Eindeutige funktionale Rekonstruktion ist kein Primäraxiom</w:t>
      </w:r>
    </w:p>
    <w:p w:rsidR="0041055D" w:rsidRDefault="0041055D" w:rsidP="0041055D">
      <w:pPr>
        <w:pStyle w:val="berschrift3"/>
      </w:pPr>
      <w:r>
        <w:t>Satz 3.3.262</w:t>
      </w:r>
    </w:p>
    <w:p w:rsidR="0041055D" w:rsidRDefault="0041055D" w:rsidP="0041055D">
      <w:pPr>
        <w:pStyle w:val="StandardWeb"/>
      </w:pPr>
      <w:r>
        <w:t>Die Forderung, jede reduzierte funktionale Repräsentation müsse genau einem eindeutig bestimmten Ausgangsobjekt zugeordnet werden können, ist keine universell notwendige Voraussetzung des allgemeinen FRZK.</w:t>
      </w:r>
    </w:p>
    <w:p w:rsidR="0041055D" w:rsidRDefault="0041055D" w:rsidP="0041055D">
      <w:pPr>
        <w:pStyle w:val="berschrift1"/>
      </w:pPr>
      <w:r>
        <w:t>[</w:t>
      </w:r>
      <w:r>
        <w:br/>
        <w:t>\boxed{</w:t>
      </w:r>
      <w:r>
        <w:br/>
        <w:t>U_{\mathrm{Ax}}</w:t>
      </w:r>
      <w:r>
        <w:br/>
        <w:t>(A_{\mathrm{rec-det}})</w:t>
      </w:r>
    </w:p>
    <w:p w:rsidR="0041055D" w:rsidRDefault="0041055D" w:rsidP="009F7790">
      <w:pPr>
        <w:numPr>
          <w:ilvl w:val="0"/>
          <w:numId w:val="759"/>
        </w:numPr>
        <w:spacing w:before="100" w:beforeAutospacing="1" w:after="100" w:afterAutospacing="1"/>
      </w:pPr>
    </w:p>
    <w:p w:rsidR="0041055D" w:rsidRDefault="0041055D" w:rsidP="0041055D">
      <w:pPr>
        <w:pStyle w:val="StandardWeb"/>
      </w:pPr>
      <w:r>
        <w:lastRenderedPageBreak/>
        <w:t>}</w:t>
      </w:r>
      <w:r>
        <w:br/>
        <w:t>\tag{3.14062}</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\boxed{U_{\mathrm{Ax}}(A_{\mathrm{rec-det}})=0.}</w:t>
      </w:r>
    </w:p>
    <w:p w:rsidR="0041055D" w:rsidRDefault="0041055D" w:rsidP="0041055D">
      <w:r>
        <w:pict>
          <v:rect id="_x0000_i6262" style="width:0;height:1.5pt" o:hralign="center" o:hrstd="t" o:hr="t" fillcolor="#a0a0a0" stroked="f"/>
        </w:pict>
      </w:r>
    </w:p>
    <w:p w:rsidR="0041055D" w:rsidRDefault="0041055D" w:rsidP="0041055D">
      <w:pPr>
        <w:pStyle w:val="berschrift1"/>
      </w:pPr>
      <w:r>
        <w:t>3.3.53.115 Kontextabhängiges Lifting</w:t>
      </w:r>
    </w:p>
    <w:p w:rsidR="0041055D" w:rsidRDefault="0041055D" w:rsidP="0041055D">
      <w:pPr>
        <w:pStyle w:val="StandardWeb"/>
      </w:pPr>
      <w:r>
        <w:t>Ein funktionales Lifting kann vom Zustand oder Kontext abhängen:</w:t>
      </w:r>
    </w:p>
    <w:p w:rsidR="0041055D" w:rsidRDefault="0041055D" w:rsidP="0041055D">
      <w:pPr>
        <w:pStyle w:val="berschrift1"/>
      </w:pPr>
      <w:r>
        <w:t>[</w:t>
      </w:r>
      <w:r>
        <w:br/>
        <w:t>L_F</w:t>
      </w:r>
    </w:p>
    <w:p w:rsidR="0041055D" w:rsidRDefault="0041055D" w:rsidP="0041055D">
      <w:pPr>
        <w:pStyle w:val="StandardWeb"/>
      </w:pPr>
      <w:r>
        <w:t>L_F(z,c).</w:t>
      </w:r>
      <w:r>
        <w:br/>
        <w:t>\tag{3.14063}</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L_F=L_F(z,c)</w:t>
      </w:r>
    </w:p>
    <w:p w:rsidR="0041055D" w:rsidRDefault="0041055D" w:rsidP="0041055D">
      <w:r>
        <w:pict>
          <v:rect id="_x0000_i6263" style="width:0;height:1.5pt" o:hralign="center" o:hrstd="t" o:hr="t" fillcolor="#a0a0a0" stroked="f"/>
        </w:pict>
      </w:r>
    </w:p>
    <w:p w:rsidR="0041055D" w:rsidRDefault="0041055D" w:rsidP="0041055D">
      <w:pPr>
        <w:pStyle w:val="berschrift2"/>
      </w:pPr>
      <w:r>
        <w:t>3.3.53.116 Definition 3.3.650 – Kontextabhängiges funktionales Lifting</w:t>
      </w:r>
    </w:p>
    <w:p w:rsidR="0041055D" w:rsidRDefault="0041055D" w:rsidP="0041055D">
      <w:pPr>
        <w:pStyle w:val="berschrift3"/>
      </w:pPr>
      <w:r>
        <w:t>Definition 3.3.650</w:t>
      </w:r>
    </w:p>
    <w:p w:rsidR="0041055D" w:rsidRDefault="0041055D" w:rsidP="0041055D">
      <w:pPr>
        <w:pStyle w:val="StandardWeb"/>
      </w:pPr>
      <w:r>
        <w:t xml:space="preserve">Ein funktionales Lifting heißt </w:t>
      </w:r>
      <w:r>
        <w:rPr>
          <w:rStyle w:val="Fett"/>
        </w:rPr>
        <w:t>kontextabhängig</w:t>
      </w:r>
      <w:r>
        <w:t>, wenn</w:t>
      </w:r>
    </w:p>
    <w:p w:rsidR="0041055D" w:rsidRDefault="0041055D" w:rsidP="0041055D">
      <w:pPr>
        <w:pStyle w:val="berschrift1"/>
      </w:pPr>
      <w:r>
        <w:t>[</w:t>
      </w:r>
      <w:r>
        <w:br/>
        <w:t>\boxed{</w:t>
      </w:r>
      <w:r>
        <w:br/>
        <w:t>L_F</w:t>
      </w:r>
    </w:p>
    <w:p w:rsidR="0041055D" w:rsidRDefault="0041055D" w:rsidP="0041055D">
      <w:pPr>
        <w:pStyle w:val="StandardWeb"/>
      </w:pPr>
      <w:r>
        <w:t>L_F(z,c).</w:t>
      </w:r>
      <w:r>
        <w:br/>
        <w:t>}</w:t>
      </w:r>
      <w:r>
        <w:br/>
        <w:t>\tag{3.14064}</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\boxed{L_F=L_F(z,c).}</w:t>
      </w:r>
    </w:p>
    <w:p w:rsidR="0041055D" w:rsidRDefault="0041055D" w:rsidP="0041055D">
      <w:r>
        <w:pict>
          <v:rect id="_x0000_i6264" style="width:0;height:1.5pt" o:hralign="center" o:hrstd="t" o:hr="t" fillcolor="#a0a0a0" stroked="f"/>
        </w:pict>
      </w:r>
    </w:p>
    <w:p w:rsidR="0041055D" w:rsidRDefault="0041055D" w:rsidP="0041055D">
      <w:pPr>
        <w:pStyle w:val="berschrift1"/>
      </w:pPr>
      <w:r>
        <w:lastRenderedPageBreak/>
        <w:t>3.3.53.117 Funktionaler Liftingwechsel</w:t>
      </w:r>
    </w:p>
    <w:p w:rsidR="0041055D" w:rsidRDefault="0041055D" w:rsidP="0041055D">
      <w:pPr>
        <w:pStyle w:val="StandardWeb"/>
      </w:pPr>
      <w:r>
        <w:t>Für dasselbe Ausgangsobjekt kann gelten</w:t>
      </w:r>
    </w:p>
    <w:p w:rsidR="0041055D" w:rsidRDefault="0041055D" w:rsidP="0041055D">
      <w:pPr>
        <w:pStyle w:val="StandardWeb"/>
      </w:pPr>
      <w:r>
        <w:t>[</w:t>
      </w:r>
      <w:r>
        <w:br/>
        <w:t>L_F^{(z_1,c_1)}(X)</w:t>
      </w:r>
      <w:r>
        <w:br/>
        <w:t>\neq</w:t>
      </w:r>
      <w:r>
        <w:br/>
        <w:t>L_F^{(z_2,c_2)}(X).</w:t>
      </w:r>
      <w:r>
        <w:br/>
        <w:t>\tag{3.14065}</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L_F^{(z_1,c_1)}(X)\neq L_F^{(z_2,c_2)}(X)</w:t>
      </w:r>
    </w:p>
    <w:p w:rsidR="0041055D" w:rsidRDefault="0041055D" w:rsidP="0041055D">
      <w:r>
        <w:pict>
          <v:rect id="_x0000_i6265" style="width:0;height:1.5pt" o:hralign="center" o:hrstd="t" o:hr="t" fillcolor="#a0a0a0" stroked="f"/>
        </w:pict>
      </w:r>
    </w:p>
    <w:p w:rsidR="0041055D" w:rsidRDefault="0041055D" w:rsidP="0041055D">
      <w:pPr>
        <w:pStyle w:val="berschrift2"/>
      </w:pPr>
      <w:r>
        <w:t>3.3.53.118 Definition 3.3.651 – Funktionaler Liftingwechsel</w:t>
      </w:r>
    </w:p>
    <w:p w:rsidR="0041055D" w:rsidRDefault="0041055D" w:rsidP="0041055D">
      <w:pPr>
        <w:pStyle w:val="berschrift3"/>
      </w:pPr>
      <w:r>
        <w:t>Definition 3.3.651</w:t>
      </w:r>
    </w:p>
    <w:p w:rsidR="0041055D" w:rsidRDefault="0041055D" w:rsidP="0041055D">
      <w:pPr>
        <w:pStyle w:val="StandardWeb"/>
      </w:pPr>
      <w:r>
        <w:t xml:space="preserve">Ein </w:t>
      </w:r>
      <w:r>
        <w:rPr>
          <w:rStyle w:val="Fett"/>
        </w:rPr>
        <w:t>funktionaler Liftingwechsel</w:t>
      </w:r>
      <w:r>
        <w:t xml:space="preserve"> liegt vor, wenn</w:t>
      </w:r>
    </w:p>
    <w:p w:rsidR="0041055D" w:rsidRDefault="0041055D" w:rsidP="0041055D">
      <w:pPr>
        <w:pStyle w:val="StandardWeb"/>
      </w:pPr>
      <w:r>
        <w:t>[</w:t>
      </w:r>
      <w:r>
        <w:br/>
        <w:t>\boxed{</w:t>
      </w:r>
      <w:r>
        <w:br/>
        <w:t>L_F^{(z_1,c_1)}(X)</w:t>
      </w:r>
      <w:r>
        <w:br/>
        <w:t>\neq</w:t>
      </w:r>
      <w:r>
        <w:br/>
        <w:t>L_F^{(z_2,c_2)}(X).</w:t>
      </w:r>
      <w:r>
        <w:br/>
        <w:t>}</w:t>
      </w:r>
      <w:r>
        <w:br/>
        <w:t>\tag{3.14066}</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\boxed{L_F^{(z_1,c_1)}(X)\neq L_F^{(z_2,c_2)}(X).}</w:t>
      </w:r>
    </w:p>
    <w:p w:rsidR="0041055D" w:rsidRDefault="0041055D" w:rsidP="0041055D">
      <w:r>
        <w:pict>
          <v:rect id="_x0000_i6266" style="width:0;height:1.5pt" o:hralign="center" o:hrstd="t" o:hr="t" fillcolor="#a0a0a0" stroked="f"/>
        </w:pict>
      </w:r>
    </w:p>
    <w:p w:rsidR="0041055D" w:rsidRDefault="0041055D" w:rsidP="0041055D">
      <w:pPr>
        <w:pStyle w:val="berschrift1"/>
      </w:pPr>
      <w:r>
        <w:t>3.3.53.119 Kontextunabhängigkeit eines Liftings als Primäraxiomkandidat</w:t>
      </w:r>
    </w:p>
    <w:p w:rsidR="0041055D" w:rsidRDefault="0041055D" w:rsidP="0041055D">
      <w:pPr>
        <w:pStyle w:val="StandardWeb"/>
      </w:pPr>
      <w:r>
        <w:t>Ein möglicher Kandidat lautet</w:t>
      </w:r>
    </w:p>
    <w:p w:rsidR="0041055D" w:rsidRDefault="0041055D" w:rsidP="0041055D">
      <w:pPr>
        <w:pStyle w:val="berschrift1"/>
      </w:pPr>
      <w:r>
        <w:t>[</w:t>
      </w:r>
      <w:r>
        <w:br/>
        <w:t>A_{\mathrm{lift-stat}}</w:t>
      </w:r>
      <w:r>
        <w:br/>
        <w:t>:</w:t>
      </w:r>
      <w:r>
        <w:br/>
        <w:t>L_F^{(z_1,c_1)}</w:t>
      </w:r>
    </w:p>
    <w:p w:rsidR="0041055D" w:rsidRDefault="0041055D" w:rsidP="0041055D">
      <w:pPr>
        <w:pStyle w:val="StandardWeb"/>
      </w:pPr>
      <w:r>
        <w:lastRenderedPageBreak/>
        <w:t>L_F^{(z_2,c_2)}</w:t>
      </w:r>
      <w:r>
        <w:br/>
        <w:t>\tag{3.14067}</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A_{\mathrm{lift-stat}}:L_F^{(z_1,c_1)}=L_F^{(z_2,c_2)}</w:t>
      </w:r>
    </w:p>
    <w:p w:rsidR="0041055D" w:rsidRDefault="0041055D" w:rsidP="0041055D">
      <w:pPr>
        <w:pStyle w:val="StandardWeb"/>
      </w:pPr>
      <w:r>
        <w:t>für alle zulässigen Zustände und Kontexte.</w:t>
      </w:r>
    </w:p>
    <w:p w:rsidR="0041055D" w:rsidRDefault="0041055D" w:rsidP="0041055D">
      <w:r>
        <w:pict>
          <v:rect id="_x0000_i6267" style="width:0;height:1.5pt" o:hralign="center" o:hrstd="t" o:hr="t" fillcolor="#a0a0a0" stroked="f"/>
        </w:pict>
      </w:r>
    </w:p>
    <w:p w:rsidR="0041055D" w:rsidRDefault="0041055D" w:rsidP="0041055D">
      <w:pPr>
        <w:pStyle w:val="berschrift1"/>
      </w:pPr>
      <w:r>
        <w:t>3.3.53.120 Gegenmodell zur Kontextunabhängigkeit</w:t>
      </w:r>
    </w:p>
    <w:p w:rsidR="0041055D" w:rsidRDefault="0041055D" w:rsidP="0041055D">
      <w:pPr>
        <w:pStyle w:val="StandardWeb"/>
      </w:pPr>
      <w:r>
        <w:t>Ein Lifting kann ausdrücklich kontextadaptiv definiert werden:</w:t>
      </w:r>
    </w:p>
    <w:p w:rsidR="0041055D" w:rsidRDefault="0041055D" w:rsidP="0041055D">
      <w:pPr>
        <w:pStyle w:val="berschrift1"/>
      </w:pPr>
      <w:r>
        <w:t>[</w:t>
      </w:r>
      <w:r>
        <w:br/>
        <w:t>L_F</w:t>
      </w:r>
    </w:p>
    <w:p w:rsidR="0041055D" w:rsidRDefault="0041055D" w:rsidP="0041055D">
      <w:pPr>
        <w:pStyle w:val="StandardWeb"/>
      </w:pPr>
      <w:r>
        <w:t>L_F(c).</w:t>
      </w:r>
      <w:r>
        <w:br/>
        <w:t>\tag{3.14068}</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L_F=L_F(c)</w:t>
      </w:r>
    </w:p>
    <w:p w:rsidR="0041055D" w:rsidRDefault="0041055D" w:rsidP="0041055D">
      <w:pPr>
        <w:pStyle w:val="StandardWeb"/>
      </w:pPr>
      <w:r>
        <w:t>Für zwei Kontexte kann dann gelten</w:t>
      </w:r>
    </w:p>
    <w:p w:rsidR="0041055D" w:rsidRDefault="0041055D" w:rsidP="0041055D">
      <w:pPr>
        <w:pStyle w:val="StandardWeb"/>
      </w:pPr>
      <w:r>
        <w:t>[</w:t>
      </w:r>
      <w:r>
        <w:br/>
        <w:t>c_1</w:t>
      </w:r>
      <w:r>
        <w:br/>
        <w:t>\neq</w:t>
      </w:r>
      <w:r>
        <w:br/>
        <w:t>c_2</w:t>
      </w:r>
      <w:r>
        <w:br/>
        <w:t>\tag{3.14069}</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c_1\neq c_2</w:t>
      </w:r>
    </w:p>
    <w:p w:rsidR="0041055D" w:rsidRDefault="0041055D" w:rsidP="0041055D">
      <w:pPr>
        <w:pStyle w:val="StandardWeb"/>
      </w:pPr>
      <w:r>
        <w:t>und</w:t>
      </w:r>
    </w:p>
    <w:p w:rsidR="0041055D" w:rsidRDefault="0041055D" w:rsidP="0041055D">
      <w:pPr>
        <w:pStyle w:val="StandardWeb"/>
      </w:pPr>
      <w:r>
        <w:t>[</w:t>
      </w:r>
      <w:r>
        <w:br/>
        <w:t>L_F^{(c_1)}</w:t>
      </w:r>
      <w:r>
        <w:br/>
        <w:t>\neq</w:t>
      </w:r>
      <w:r>
        <w:br/>
        <w:t>L_F^{(c_2)}.</w:t>
      </w:r>
      <w:r>
        <w:br/>
        <w:t>\tag{3.14070}</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lastRenderedPageBreak/>
        <w:t>L_F^{(c_1)}\neq L_F^{(c_2)}</w:t>
      </w:r>
    </w:p>
    <w:p w:rsidR="0041055D" w:rsidRDefault="0041055D" w:rsidP="0041055D">
      <w:r>
        <w:pict>
          <v:rect id="_x0000_i6268" style="width:0;height:1.5pt" o:hralign="center" o:hrstd="t" o:hr="t" fillcolor="#a0a0a0" stroked="f"/>
        </w:pict>
      </w:r>
    </w:p>
    <w:p w:rsidR="0041055D" w:rsidRDefault="0041055D" w:rsidP="0041055D">
      <w:pPr>
        <w:pStyle w:val="berschrift1"/>
      </w:pPr>
      <w:r>
        <w:t>3.3.53.121 Axiomentscheidung zur Liftinginvarianz</w:t>
      </w:r>
    </w:p>
    <w:p w:rsidR="0041055D" w:rsidRDefault="0041055D" w:rsidP="0041055D">
      <w:pPr>
        <w:pStyle w:val="StandardWeb"/>
      </w:pPr>
      <w:r>
        <w:t>Damit folgt</w:t>
      </w:r>
    </w:p>
    <w:p w:rsidR="0041055D" w:rsidRDefault="0041055D" w:rsidP="0041055D">
      <w:pPr>
        <w:pStyle w:val="berschrift1"/>
      </w:pPr>
      <w:r>
        <w:t>[</w:t>
      </w:r>
      <w:r>
        <w:br/>
        <w:t>\boxed{</w:t>
      </w:r>
      <w:r>
        <w:br/>
        <w:t>U_{\mathrm{Ax}}</w:t>
      </w:r>
      <w:r>
        <w:br/>
        <w:t>(A_{\mathrm{lift-stat}})</w:t>
      </w:r>
    </w:p>
    <w:p w:rsidR="0041055D" w:rsidRDefault="0041055D" w:rsidP="009F7790">
      <w:pPr>
        <w:numPr>
          <w:ilvl w:val="0"/>
          <w:numId w:val="760"/>
        </w:numPr>
        <w:spacing w:before="100" w:beforeAutospacing="1" w:after="100" w:afterAutospacing="1"/>
      </w:pPr>
    </w:p>
    <w:p w:rsidR="0041055D" w:rsidRDefault="0041055D" w:rsidP="0041055D">
      <w:pPr>
        <w:pStyle w:val="StandardWeb"/>
      </w:pPr>
      <w:r>
        <w:t>}</w:t>
      </w:r>
      <w:r>
        <w:br/>
        <w:t>\tag{3.14071}</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\boxed{U_{\mathrm{Ax}}(A_{\mathrm{lift-stat}})=0.}</w:t>
      </w:r>
    </w:p>
    <w:p w:rsidR="0041055D" w:rsidRDefault="0041055D" w:rsidP="0041055D">
      <w:r>
        <w:pict>
          <v:rect id="_x0000_i6269" style="width:0;height:1.5pt" o:hralign="center" o:hrstd="t" o:hr="t" fillcolor="#a0a0a0" stroked="f"/>
        </w:pict>
      </w:r>
    </w:p>
    <w:p w:rsidR="0041055D" w:rsidRDefault="0041055D" w:rsidP="0041055D">
      <w:pPr>
        <w:pStyle w:val="berschrift1"/>
      </w:pPr>
      <w:r>
        <w:t>3.3.53.122 Satz 3.3.263 – Kontextunabhängigkeit funktionaler Liftings ist kein Primäraxiom</w:t>
      </w:r>
    </w:p>
    <w:p w:rsidR="0041055D" w:rsidRDefault="0041055D" w:rsidP="0041055D">
      <w:pPr>
        <w:pStyle w:val="berschrift3"/>
      </w:pPr>
      <w:r>
        <w:t>Satz 3.3.263</w:t>
      </w:r>
    </w:p>
    <w:p w:rsidR="0041055D" w:rsidRDefault="0041055D" w:rsidP="0041055D">
      <w:pPr>
        <w:pStyle w:val="StandardWeb"/>
      </w:pPr>
      <w:r>
        <w:t>Die Forderung, ein funktionales Lifting müsse unabhängig von Zustand und Kontext stets dieselbe gehobene Repräsentation erzeugen, ist keine universell notwendige Voraussetzung des allgemeinen FRZK.</w:t>
      </w:r>
    </w:p>
    <w:p w:rsidR="0041055D" w:rsidRDefault="0041055D" w:rsidP="0041055D">
      <w:pPr>
        <w:pStyle w:val="berschrift1"/>
      </w:pPr>
      <w:r>
        <w:t>[</w:t>
      </w:r>
      <w:r>
        <w:br/>
        <w:t>\boxed{</w:t>
      </w:r>
      <w:r>
        <w:br/>
        <w:t>U_{\mathrm{Ax}}</w:t>
      </w:r>
      <w:r>
        <w:br/>
        <w:t>(A_{\mathrm{lift-stat}})</w:t>
      </w:r>
    </w:p>
    <w:p w:rsidR="0041055D" w:rsidRDefault="0041055D" w:rsidP="009F7790">
      <w:pPr>
        <w:numPr>
          <w:ilvl w:val="0"/>
          <w:numId w:val="761"/>
        </w:numPr>
        <w:spacing w:before="100" w:beforeAutospacing="1" w:after="100" w:afterAutospacing="1"/>
      </w:pPr>
    </w:p>
    <w:p w:rsidR="0041055D" w:rsidRDefault="0041055D" w:rsidP="0041055D">
      <w:pPr>
        <w:pStyle w:val="StandardWeb"/>
      </w:pPr>
      <w:r>
        <w:t>}</w:t>
      </w:r>
      <w:r>
        <w:br/>
        <w:t>\tag{3.14072}</w:t>
      </w:r>
      <w:r>
        <w:br/>
        <w:t>]</w:t>
      </w:r>
    </w:p>
    <w:p w:rsidR="0041055D" w:rsidRDefault="0041055D" w:rsidP="0041055D">
      <w:pPr>
        <w:pStyle w:val="StandardWeb"/>
      </w:pPr>
      <w:r>
        <w:rPr>
          <w:rStyle w:val="Fett"/>
        </w:rPr>
        <w:lastRenderedPageBreak/>
        <w:t>Word-LaTeX</w:t>
      </w:r>
    </w:p>
    <w:p w:rsidR="0041055D" w:rsidRDefault="0041055D" w:rsidP="0041055D">
      <w:pPr>
        <w:pStyle w:val="HTMLVorformatiert"/>
        <w:rPr>
          <w:rStyle w:val="HTMLCode"/>
        </w:rPr>
      </w:pPr>
      <w:r>
        <w:rPr>
          <w:rStyle w:val="HTMLCode"/>
        </w:rPr>
        <w:t>\boxed{U_{\mathrm{Ax}}(A_{\mathrm{lift-stat}})=0.}</w:t>
      </w:r>
    </w:p>
    <w:p w:rsidR="0041055D" w:rsidRDefault="0041055D" w:rsidP="0041055D">
      <w:r>
        <w:pict>
          <v:rect id="_x0000_i6270" style="width:0;height:1.5pt" o:hralign="center" o:hrstd="t" o:hr="t" fillcolor="#a0a0a0" stroked="f"/>
        </w:pict>
      </w:r>
    </w:p>
    <w:p w:rsidR="0041055D" w:rsidRDefault="0041055D" w:rsidP="0041055D">
      <w:pPr>
        <w:pStyle w:val="berschrift1"/>
      </w:pPr>
      <w:r>
        <w:t>3.3.53.123 Korollar 3.3.74 – Liftingstrukturen sind kontextabhängig modellierbar</w:t>
      </w:r>
    </w:p>
    <w:p w:rsidR="0041055D" w:rsidRDefault="0041055D" w:rsidP="0041055D">
      <w:pPr>
        <w:pStyle w:val="berschrift3"/>
      </w:pPr>
      <w:r>
        <w:t>Korollar 3.3.74</w:t>
      </w:r>
    </w:p>
    <w:p w:rsidR="0041055D" w:rsidRDefault="0041055D" w:rsidP="0041055D">
      <w:pPr>
        <w:pStyle w:val="StandardWeb"/>
      </w:pPr>
      <w:r>
        <w:t>Aus Satz 3.3.263 folgt</w:t>
      </w:r>
    </w:p>
    <w:p w:rsidR="0041055D" w:rsidRDefault="0041055D" w:rsidP="0041055D">
      <w:pPr>
        <w:pStyle w:val="berschrift1"/>
      </w:pPr>
      <w:r>
        <w:t>[</w:t>
      </w:r>
      <w:r>
        <w:br/>
        <w:t>\boxed{</w:t>
      </w:r>
      <w:r>
        <w:br/>
        <w:t>\operatorname{Stat}</w:t>
      </w:r>
      <w:r>
        <w:br/>
        <w:t>(L_F(z,c))</w:t>
      </w:r>
    </w:p>
    <w:p w:rsidR="0041055D" w:rsidRDefault="0041055D" w:rsidP="0041055D">
      <w:pPr>
        <w:pStyle w:val="StandardWeb"/>
      </w:pPr>
      <w:r>
        <w:t>\mathrm{Def/Mod/Op}.</w:t>
      </w:r>
      <w:r>
        <w:br/>
        <w:t>}</w:t>
      </w:r>
      <w:r>
        <w:br/>
        <w:t>\tag{3.14073}</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\boxed{\operatorname{Stat}(L_F(z,c))=\mathrm{Def/Mod/Op}.}</w:t>
      </w:r>
    </w:p>
    <w:p w:rsidR="0041055D" w:rsidRDefault="0041055D" w:rsidP="0041055D">
      <w:r>
        <w:pict>
          <v:rect id="_x0000_i6271" style="width:0;height:1.5pt" o:hralign="center" o:hrstd="t" o:hr="t" fillcolor="#a0a0a0" stroked="f"/>
        </w:pict>
      </w:r>
    </w:p>
    <w:p w:rsidR="0041055D" w:rsidRDefault="0041055D" w:rsidP="0041055D">
      <w:pPr>
        <w:pStyle w:val="berschrift1"/>
      </w:pPr>
      <w:r>
        <w:t>3.3.53.124 Kohärenzverträgliche Einbettung</w:t>
      </w:r>
    </w:p>
    <w:p w:rsidR="0041055D" w:rsidRDefault="0041055D" w:rsidP="0041055D">
      <w:pPr>
        <w:pStyle w:val="StandardWeb"/>
      </w:pPr>
      <w:r>
        <w:t>Ich untersuche nun, ob eine funktionale Kohärenzbewertung bei einer Einbettung erhalten bleiben muss.</w:t>
      </w:r>
    </w:p>
    <w:p w:rsidR="0041055D" w:rsidRDefault="0041055D" w:rsidP="0041055D">
      <w:pPr>
        <w:pStyle w:val="StandardWeb"/>
      </w:pPr>
      <w:r>
        <w:t>Sei</w:t>
      </w:r>
    </w:p>
    <w:p w:rsidR="0041055D" w:rsidRDefault="0041055D" w:rsidP="0041055D">
      <w:pPr>
        <w:pStyle w:val="StandardWeb"/>
      </w:pPr>
      <w:r>
        <w:t>[</w:t>
      </w:r>
      <w:r>
        <w:br/>
        <w:t>\kappa_F</w:t>
      </w:r>
      <w:r>
        <w:br/>
        <w:t>:</w:t>
      </w:r>
      <w:r>
        <w:br/>
        <w:t>\mathcal X_F</w:t>
      </w:r>
      <w:r>
        <w:br/>
        <w:t>\rightarrow</w:t>
      </w:r>
      <w:r>
        <w:br/>
        <w:t>\mathcal K_F</w:t>
      </w:r>
      <w:r>
        <w:br/>
        <w:t>\tag{3.14074}</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\kappa_F:\mathcal X_F\rightarrow\mathcal K_F</w:t>
      </w:r>
    </w:p>
    <w:p w:rsidR="0041055D" w:rsidRDefault="0041055D" w:rsidP="0041055D">
      <w:pPr>
        <w:pStyle w:val="StandardWeb"/>
      </w:pPr>
      <w:r>
        <w:lastRenderedPageBreak/>
        <w:t>und im Zielraum</w:t>
      </w:r>
    </w:p>
    <w:p w:rsidR="0041055D" w:rsidRDefault="0041055D" w:rsidP="0041055D">
      <w:pPr>
        <w:pStyle w:val="StandardWeb"/>
      </w:pPr>
      <w:r>
        <w:t>[</w:t>
      </w:r>
      <w:r>
        <w:br/>
        <w:t>\kappa_F^{\iota}</w:t>
      </w:r>
      <w:r>
        <w:br/>
        <w:t>:</w:t>
      </w:r>
      <w:r>
        <w:br/>
        <w:t>\mathcal Y_F</w:t>
      </w:r>
      <w:r>
        <w:br/>
        <w:t>\rightarrow</w:t>
      </w:r>
      <w:r>
        <w:br/>
        <w:t>\mathcal K_F^{\iota}.</w:t>
      </w:r>
      <w:r>
        <w:br/>
        <w:t>\tag{3.14075}</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\kappa_F^{\iota}:\mathcal Y_F\rightarrow\mathcal K_F^{\iota}</w:t>
      </w:r>
    </w:p>
    <w:p w:rsidR="0041055D" w:rsidRDefault="0041055D" w:rsidP="0041055D">
      <w:pPr>
        <w:pStyle w:val="StandardWeb"/>
      </w:pPr>
      <w:r>
        <w:t>Eine Übertragungsabbildung sei</w:t>
      </w:r>
    </w:p>
    <w:p w:rsidR="0041055D" w:rsidRDefault="0041055D" w:rsidP="0041055D">
      <w:pPr>
        <w:pStyle w:val="StandardWeb"/>
      </w:pPr>
      <w:r>
        <w:t>[</w:t>
      </w:r>
      <w:r>
        <w:br/>
        <w:t>\Theta_\kappa^{\iota}</w:t>
      </w:r>
      <w:r>
        <w:br/>
        <w:t>:</w:t>
      </w:r>
      <w:r>
        <w:br/>
        <w:t>\mathcal K_F</w:t>
      </w:r>
      <w:r>
        <w:br/>
        <w:t>\rightarrow</w:t>
      </w:r>
      <w:r>
        <w:br/>
        <w:t>\mathcal K_F^{\iota}.</w:t>
      </w:r>
      <w:r>
        <w:br/>
        <w:t>\tag{3.14076}</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\Theta_\kappa^{\iota}:\mathcal K_F\rightarrow\mathcal K_F^{\iota}</w:t>
      </w:r>
    </w:p>
    <w:p w:rsidR="0041055D" w:rsidRDefault="0041055D" w:rsidP="0041055D">
      <w:r>
        <w:pict>
          <v:rect id="_x0000_i6272" style="width:0;height:1.5pt" o:hralign="center" o:hrstd="t" o:hr="t" fillcolor="#a0a0a0" stroked="f"/>
        </w:pict>
      </w:r>
    </w:p>
    <w:p w:rsidR="0041055D" w:rsidRDefault="0041055D" w:rsidP="0041055D">
      <w:pPr>
        <w:pStyle w:val="berschrift2"/>
      </w:pPr>
      <w:r>
        <w:t>3.3.53.125 Definition 3.3.652 – Kohärenzverträgliche funktionale Einbettung</w:t>
      </w:r>
    </w:p>
    <w:p w:rsidR="0041055D" w:rsidRDefault="0041055D" w:rsidP="0041055D">
      <w:pPr>
        <w:pStyle w:val="berschrift3"/>
      </w:pPr>
      <w:r>
        <w:t>Definition 3.3.652</w:t>
      </w:r>
    </w:p>
    <w:p w:rsidR="0041055D" w:rsidRDefault="0041055D" w:rsidP="0041055D">
      <w:pPr>
        <w:pStyle w:val="StandardWeb"/>
      </w:pPr>
      <w:r>
        <w:t xml:space="preserve">Eine funktionale Einbettung heißt </w:t>
      </w:r>
      <w:r>
        <w:rPr>
          <w:rStyle w:val="Fett"/>
        </w:rPr>
        <w:t>kohärenzverträglich</w:t>
      </w:r>
      <w:r>
        <w:t>, wenn</w:t>
      </w:r>
    </w:p>
    <w:p w:rsidR="0041055D" w:rsidRDefault="0041055D" w:rsidP="0041055D">
      <w:pPr>
        <w:pStyle w:val="berschrift1"/>
      </w:pPr>
      <w:r>
        <w:t>[</w:t>
      </w:r>
      <w:r>
        <w:br/>
        <w:t>\boxed{</w:t>
      </w:r>
      <w:r>
        <w:br/>
        <w:t>\kappa_F^{\iota}</w:t>
      </w:r>
      <w:r>
        <w:br/>
        <w:t>\bigl(</w:t>
      </w:r>
      <w:r>
        <w:br/>
        <w:t>\iota_F(X)</w:t>
      </w:r>
      <w:r>
        <w:br/>
        <w:t>\bigr)</w:t>
      </w:r>
    </w:p>
    <w:p w:rsidR="0041055D" w:rsidRDefault="0041055D" w:rsidP="0041055D">
      <w:pPr>
        <w:pStyle w:val="StandardWeb"/>
      </w:pPr>
      <w:r>
        <w:lastRenderedPageBreak/>
        <w:t>\Theta_\kappa^{\iota}</w:t>
      </w:r>
      <w:r>
        <w:br/>
        <w:t>\bigl(</w:t>
      </w:r>
      <w:r>
        <w:br/>
        <w:t>\kappa_F(X)</w:t>
      </w:r>
      <w:r>
        <w:br/>
        <w:t>\bigr).</w:t>
      </w:r>
      <w:r>
        <w:br/>
        <w:t>}</w:t>
      </w:r>
      <w:r>
        <w:br/>
        <w:t>\tag{3.14077}</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\boxed{\kappa_F^{\iota}\bigl(\iota_F(X)\bigr)=\Theta_\kappa^{\iota}\bigl(\kappa_F(X)\bigr).}</w:t>
      </w:r>
    </w:p>
    <w:p w:rsidR="0041055D" w:rsidRDefault="0041055D" w:rsidP="0041055D">
      <w:r>
        <w:pict>
          <v:rect id="_x0000_i6273" style="width:0;height:1.5pt" o:hralign="center" o:hrstd="t" o:hr="t" fillcolor="#a0a0a0" stroked="f"/>
        </w:pict>
      </w:r>
    </w:p>
    <w:p w:rsidR="0041055D" w:rsidRDefault="0041055D" w:rsidP="0041055D">
      <w:pPr>
        <w:pStyle w:val="berschrift1"/>
      </w:pPr>
      <w:r>
        <w:t>3.3.53.126 Kohärenzbruch unter Einbettung</w:t>
      </w:r>
    </w:p>
    <w:p w:rsidR="0041055D" w:rsidRDefault="0041055D" w:rsidP="0041055D">
      <w:pPr>
        <w:pStyle w:val="StandardWeb"/>
      </w:pPr>
      <w:r>
        <w:t>Es kann dagegen gelten</w:t>
      </w:r>
    </w:p>
    <w:p w:rsidR="0041055D" w:rsidRDefault="0041055D" w:rsidP="0041055D">
      <w:pPr>
        <w:pStyle w:val="StandardWeb"/>
      </w:pPr>
      <w:r>
        <w:t>[</w:t>
      </w:r>
      <w:r>
        <w:br/>
        <w:t>\kappa_F^{\iota}</w:t>
      </w:r>
      <w:r>
        <w:br/>
        <w:t>\bigl(</w:t>
      </w:r>
      <w:r>
        <w:br/>
        <w:t>\iota_F(X)</w:t>
      </w:r>
      <w:r>
        <w:br/>
        <w:t>\bigr)</w:t>
      </w:r>
      <w:r>
        <w:br/>
        <w:t>\neq</w:t>
      </w:r>
      <w:r>
        <w:br/>
        <w:t>\Theta_\kappa^{\iota}</w:t>
      </w:r>
      <w:r>
        <w:br/>
        <w:t>\bigl(</w:t>
      </w:r>
      <w:r>
        <w:br/>
        <w:t>\kappa_F(X)</w:t>
      </w:r>
      <w:r>
        <w:br/>
        <w:t>\bigr).</w:t>
      </w:r>
      <w:r>
        <w:br/>
        <w:t>\tag{3.14078}</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\kappa_F^{\iota}\bigl(\iota_F(X)\bigr)\neq\Theta_\kappa^{\iota}\bigl(\kappa_F(X)\bigr)</w:t>
      </w:r>
    </w:p>
    <w:p w:rsidR="0041055D" w:rsidRDefault="0041055D" w:rsidP="0041055D">
      <w:r>
        <w:pict>
          <v:rect id="_x0000_i6274" style="width:0;height:1.5pt" o:hralign="center" o:hrstd="t" o:hr="t" fillcolor="#a0a0a0" stroked="f"/>
        </w:pict>
      </w:r>
    </w:p>
    <w:p w:rsidR="0041055D" w:rsidRDefault="0041055D" w:rsidP="0041055D">
      <w:pPr>
        <w:pStyle w:val="berschrift1"/>
      </w:pPr>
      <w:r>
        <w:t>3.3.53.127 Kohärenzverträglichkeit als Primäraxiomkandidat</w:t>
      </w:r>
    </w:p>
    <w:p w:rsidR="0041055D" w:rsidRDefault="0041055D" w:rsidP="0041055D">
      <w:pPr>
        <w:pStyle w:val="StandardWeb"/>
      </w:pPr>
      <w:r>
        <w:t>Der Kandidat lautet</w:t>
      </w:r>
    </w:p>
    <w:p w:rsidR="0041055D" w:rsidRDefault="0041055D" w:rsidP="0041055D">
      <w:pPr>
        <w:pStyle w:val="berschrift1"/>
      </w:pPr>
      <w:r>
        <w:t>[</w:t>
      </w:r>
      <w:r>
        <w:br/>
        <w:t>A_{\mathrm{emb-coh}}</w:t>
      </w:r>
      <w:r>
        <w:br/>
        <w:t>:</w:t>
      </w:r>
      <w:r>
        <w:br/>
        <w:t>\kappa_F^{\iota}</w:t>
      </w:r>
      <w:r>
        <w:br/>
      </w:r>
      <w:r>
        <w:lastRenderedPageBreak/>
        <w:t>\circ</w:t>
      </w:r>
      <w:r>
        <w:br/>
        <w:t>\iota_F</w:t>
      </w:r>
    </w:p>
    <w:p w:rsidR="0041055D" w:rsidRDefault="0041055D" w:rsidP="0041055D">
      <w:pPr>
        <w:pStyle w:val="StandardWeb"/>
      </w:pPr>
      <w:r>
        <w:t>\Theta_\kappa^{\iota}</w:t>
      </w:r>
      <w:r>
        <w:br/>
        <w:t>\circ</w:t>
      </w:r>
      <w:r>
        <w:br/>
        <w:t>\kappa_F.</w:t>
      </w:r>
      <w:r>
        <w:br/>
        <w:t>\tag{3.14079}</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A_{\mathrm{emb-coh}}:\kappa_F^{\iota}\circ\iota_F=\Theta_\kappa^{\iota}\circ\kappa_F</w:t>
      </w:r>
    </w:p>
    <w:p w:rsidR="0041055D" w:rsidRDefault="0041055D" w:rsidP="0041055D">
      <w:r>
        <w:pict>
          <v:rect id="_x0000_i6275" style="width:0;height:1.5pt" o:hralign="center" o:hrstd="t" o:hr="t" fillcolor="#a0a0a0" stroked="f"/>
        </w:pict>
      </w:r>
    </w:p>
    <w:p w:rsidR="0041055D" w:rsidRDefault="0041055D" w:rsidP="0041055D">
      <w:pPr>
        <w:pStyle w:val="berschrift1"/>
      </w:pPr>
      <w:r>
        <w:t>3.3.53.128 Gegenmodell zur Kohärenzverträglichkeit</w:t>
      </w:r>
    </w:p>
    <w:p w:rsidR="0041055D" w:rsidRDefault="0041055D" w:rsidP="0041055D">
      <w:pPr>
        <w:pStyle w:val="StandardWeb"/>
      </w:pPr>
      <w:r>
        <w:t>Eine Einbettung kann zusätzliche Strukturkomponenten einführen oder vorhandene Strukturen anders repräsentieren. Dadurch kann die Kohärenzbewertung des Zielraums von der übertragenen Ausgangsbewertung abweichen:</w:t>
      </w:r>
    </w:p>
    <w:p w:rsidR="0041055D" w:rsidRDefault="0041055D" w:rsidP="0041055D">
      <w:pPr>
        <w:pStyle w:val="StandardWeb"/>
      </w:pPr>
      <w:r>
        <w:t>[</w:t>
      </w:r>
      <w:r>
        <w:br/>
        <w:t>\kappa_F^{\iota}</w:t>
      </w:r>
      <w:r>
        <w:br/>
        <w:t>(\iota_F(X))</w:t>
      </w:r>
      <w:r>
        <w:br/>
        <w:t>\neq</w:t>
      </w:r>
      <w:r>
        <w:br/>
        <w:t>\Theta_\kappa^{\iota}</w:t>
      </w:r>
      <w:r>
        <w:br/>
        <w:t>(\kappa_F(X)).</w:t>
      </w:r>
      <w:r>
        <w:br/>
        <w:t>\tag{3.14080}</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\kappa_F^{\iota}(\iota_F(X))\neq\Theta_\kappa^{\iota}(\kappa_F(X))</w:t>
      </w:r>
    </w:p>
    <w:p w:rsidR="0041055D" w:rsidRDefault="0041055D" w:rsidP="0041055D">
      <w:r>
        <w:pict>
          <v:rect id="_x0000_i6276" style="width:0;height:1.5pt" o:hralign="center" o:hrstd="t" o:hr="t" fillcolor="#a0a0a0" stroked="f"/>
        </w:pict>
      </w:r>
    </w:p>
    <w:p w:rsidR="0041055D" w:rsidRDefault="0041055D" w:rsidP="0041055D">
      <w:pPr>
        <w:pStyle w:val="berschrift1"/>
      </w:pPr>
      <w:r>
        <w:t>3.3.53.129 Axiomentscheidung zur Einbettungskohärenz</w:t>
      </w:r>
    </w:p>
    <w:p w:rsidR="0041055D" w:rsidRDefault="0041055D" w:rsidP="0041055D">
      <w:pPr>
        <w:pStyle w:val="StandardWeb"/>
      </w:pPr>
      <w:r>
        <w:t>Damit gilt</w:t>
      </w:r>
    </w:p>
    <w:p w:rsidR="0041055D" w:rsidRDefault="0041055D" w:rsidP="0041055D">
      <w:pPr>
        <w:pStyle w:val="berschrift1"/>
      </w:pPr>
      <w:r>
        <w:t>[</w:t>
      </w:r>
      <w:r>
        <w:br/>
        <w:t>\boxed{</w:t>
      </w:r>
      <w:r>
        <w:br/>
        <w:t>U_{\mathrm{Ax}}</w:t>
      </w:r>
      <w:r>
        <w:br/>
        <w:t>(A_{\mathrm{emb-coh}})</w:t>
      </w:r>
    </w:p>
    <w:p w:rsidR="0041055D" w:rsidRDefault="0041055D" w:rsidP="009F7790">
      <w:pPr>
        <w:numPr>
          <w:ilvl w:val="0"/>
          <w:numId w:val="762"/>
        </w:numPr>
        <w:spacing w:before="100" w:beforeAutospacing="1" w:after="100" w:afterAutospacing="1"/>
      </w:pPr>
    </w:p>
    <w:p w:rsidR="0041055D" w:rsidRDefault="0041055D" w:rsidP="0041055D">
      <w:pPr>
        <w:pStyle w:val="StandardWeb"/>
      </w:pPr>
      <w:r>
        <w:t>}</w:t>
      </w:r>
      <w:r>
        <w:br/>
        <w:t>\tag{3.14081}</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\boxed{U_{\mathrm{Ax}}(A_{\mathrm{emb-coh}})=0.}</w:t>
      </w:r>
    </w:p>
    <w:p w:rsidR="0041055D" w:rsidRDefault="0041055D" w:rsidP="0041055D">
      <w:r>
        <w:pict>
          <v:rect id="_x0000_i6277" style="width:0;height:1.5pt" o:hralign="center" o:hrstd="t" o:hr="t" fillcolor="#a0a0a0" stroked="f"/>
        </w:pict>
      </w:r>
    </w:p>
    <w:p w:rsidR="0041055D" w:rsidRDefault="0041055D" w:rsidP="0041055D">
      <w:pPr>
        <w:pStyle w:val="berschrift1"/>
      </w:pPr>
      <w:r>
        <w:t>3.3.53.130 Satz 3.3.264 – Kohärenzverträglichkeit funktionaler Einbettungen ist kein Primäraxiom</w:t>
      </w:r>
    </w:p>
    <w:p w:rsidR="0041055D" w:rsidRDefault="0041055D" w:rsidP="0041055D">
      <w:pPr>
        <w:pStyle w:val="berschrift3"/>
      </w:pPr>
      <w:r>
        <w:t>Satz 3.3.264</w:t>
      </w:r>
    </w:p>
    <w:p w:rsidR="0041055D" w:rsidRDefault="0041055D" w:rsidP="0041055D">
      <w:pPr>
        <w:pStyle w:val="StandardWeb"/>
      </w:pPr>
      <w:r>
        <w:t>Die Forderung, jede funktionale Einbettung müsse eine bestehende Kohärenzbewertung über eine festgelegte Übertragungsabbildung erhalten, ist keine universell notwendige Voraussetzung des allgemeinen FRZK.</w:t>
      </w:r>
    </w:p>
    <w:p w:rsidR="0041055D" w:rsidRDefault="0041055D" w:rsidP="0041055D">
      <w:pPr>
        <w:pStyle w:val="berschrift1"/>
      </w:pPr>
      <w:r>
        <w:t>[</w:t>
      </w:r>
      <w:r>
        <w:br/>
        <w:t>\boxed{</w:t>
      </w:r>
      <w:r>
        <w:br/>
        <w:t>U_{\mathrm{Ax}}</w:t>
      </w:r>
      <w:r>
        <w:br/>
        <w:t>(A_{\mathrm{emb-coh}})</w:t>
      </w:r>
    </w:p>
    <w:p w:rsidR="0041055D" w:rsidRDefault="0041055D" w:rsidP="009F7790">
      <w:pPr>
        <w:numPr>
          <w:ilvl w:val="0"/>
          <w:numId w:val="763"/>
        </w:numPr>
        <w:spacing w:before="100" w:beforeAutospacing="1" w:after="100" w:afterAutospacing="1"/>
      </w:pPr>
    </w:p>
    <w:p w:rsidR="0041055D" w:rsidRDefault="0041055D" w:rsidP="0041055D">
      <w:pPr>
        <w:pStyle w:val="StandardWeb"/>
      </w:pPr>
      <w:r>
        <w:t>}</w:t>
      </w:r>
      <w:r>
        <w:br/>
        <w:t>\tag{3.14082}</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\boxed{U_{\mathrm{Ax}}(A_{\mathrm{emb-coh}})=0.}</w:t>
      </w:r>
    </w:p>
    <w:p w:rsidR="0041055D" w:rsidRDefault="0041055D" w:rsidP="0041055D">
      <w:r>
        <w:pict>
          <v:rect id="_x0000_i6278" style="width:0;height:1.5pt" o:hralign="center" o:hrstd="t" o:hr="t" fillcolor="#a0a0a0" stroked="f"/>
        </w:pict>
      </w:r>
    </w:p>
    <w:p w:rsidR="0041055D" w:rsidRDefault="0041055D" w:rsidP="0041055D">
      <w:pPr>
        <w:pStyle w:val="berschrift1"/>
      </w:pPr>
      <w:r>
        <w:t>3.3.53.131 Dimensionsverträgliche Einbettung</w:t>
      </w:r>
    </w:p>
    <w:p w:rsidR="0041055D" w:rsidRDefault="0041055D" w:rsidP="0041055D">
      <w:pPr>
        <w:pStyle w:val="StandardWeb"/>
      </w:pPr>
      <w:r>
        <w:t>Analog untersuche ich die Dimensionszuordnung.</w:t>
      </w:r>
    </w:p>
    <w:p w:rsidR="0041055D" w:rsidRDefault="0041055D" w:rsidP="0041055D">
      <w:pPr>
        <w:pStyle w:val="StandardWeb"/>
      </w:pPr>
      <w:r>
        <w:t>Sei</w:t>
      </w:r>
    </w:p>
    <w:p w:rsidR="0041055D" w:rsidRDefault="0041055D" w:rsidP="0041055D">
      <w:pPr>
        <w:pStyle w:val="StandardWeb"/>
      </w:pPr>
      <w:r>
        <w:t>[</w:t>
      </w:r>
      <w:r>
        <w:br/>
        <w:t>\delta_F</w:t>
      </w:r>
      <w:r>
        <w:br/>
        <w:t>:</w:t>
      </w:r>
      <w:r>
        <w:br/>
        <w:t>\mathcal X_F</w:t>
      </w:r>
      <w:r>
        <w:br/>
      </w:r>
      <w:r>
        <w:lastRenderedPageBreak/>
        <w:t>\rightarrow</w:t>
      </w:r>
      <w:r>
        <w:br/>
        <w:t>\mathcal D_F</w:t>
      </w:r>
      <w:r>
        <w:br/>
        <w:t>\tag{3.14083}</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\delta_F:\mathcal X_F\rightarrow\mathcal D_F</w:t>
      </w:r>
    </w:p>
    <w:p w:rsidR="0041055D" w:rsidRDefault="0041055D" w:rsidP="0041055D">
      <w:pPr>
        <w:pStyle w:val="StandardWeb"/>
      </w:pPr>
      <w:r>
        <w:t>und</w:t>
      </w:r>
    </w:p>
    <w:p w:rsidR="0041055D" w:rsidRDefault="0041055D" w:rsidP="0041055D">
      <w:pPr>
        <w:pStyle w:val="StandardWeb"/>
      </w:pPr>
      <w:r>
        <w:t>[</w:t>
      </w:r>
      <w:r>
        <w:br/>
        <w:t>\delta_F^{\iota}</w:t>
      </w:r>
      <w:r>
        <w:br/>
        <w:t>:</w:t>
      </w:r>
      <w:r>
        <w:br/>
        <w:t>\mathcal Y_F</w:t>
      </w:r>
      <w:r>
        <w:br/>
        <w:t>\rightarrow</w:t>
      </w:r>
      <w:r>
        <w:br/>
        <w:t>\mathcal D_F^{\iota}.</w:t>
      </w:r>
      <w:r>
        <w:br/>
        <w:t>\tag{3.14084}</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\delta_F^{\iota}:\mathcal Y_F\rightarrow\mathcal D_F^{\iota}</w:t>
      </w:r>
    </w:p>
    <w:p w:rsidR="0041055D" w:rsidRDefault="0041055D" w:rsidP="0041055D">
      <w:pPr>
        <w:pStyle w:val="StandardWeb"/>
      </w:pPr>
      <w:r>
        <w:t>Eine Übertragungsabbildung sei</w:t>
      </w:r>
    </w:p>
    <w:p w:rsidR="0041055D" w:rsidRDefault="0041055D" w:rsidP="0041055D">
      <w:pPr>
        <w:pStyle w:val="StandardWeb"/>
      </w:pPr>
      <w:r>
        <w:t>[</w:t>
      </w:r>
      <w:r>
        <w:br/>
        <w:t>\Theta_\delta^{\iota}</w:t>
      </w:r>
      <w:r>
        <w:br/>
        <w:t>:</w:t>
      </w:r>
      <w:r>
        <w:br/>
        <w:t>\mathcal D_F</w:t>
      </w:r>
      <w:r>
        <w:br/>
        <w:t>\rightarrow</w:t>
      </w:r>
      <w:r>
        <w:br/>
        <w:t>\mathcal D_F^{\iota}.</w:t>
      </w:r>
      <w:r>
        <w:br/>
        <w:t>\tag{3.14085}</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\Theta_\delta^{\iota}:\mathcal D_F\rightarrow\mathcal D_F^{\iota}</w:t>
      </w:r>
    </w:p>
    <w:p w:rsidR="0041055D" w:rsidRDefault="0041055D" w:rsidP="0041055D">
      <w:r>
        <w:pict>
          <v:rect id="_x0000_i6279" style="width:0;height:1.5pt" o:hralign="center" o:hrstd="t" o:hr="t" fillcolor="#a0a0a0" stroked="f"/>
        </w:pict>
      </w:r>
    </w:p>
    <w:p w:rsidR="0041055D" w:rsidRDefault="0041055D" w:rsidP="0041055D">
      <w:pPr>
        <w:pStyle w:val="berschrift2"/>
      </w:pPr>
      <w:r>
        <w:t>3.3.53.132 Definition 3.3.653 – Dimensionsverträgliche funktionale Einbettung</w:t>
      </w:r>
    </w:p>
    <w:p w:rsidR="0041055D" w:rsidRDefault="0041055D" w:rsidP="0041055D">
      <w:pPr>
        <w:pStyle w:val="berschrift3"/>
      </w:pPr>
      <w:r>
        <w:t>Definition 3.3.653</w:t>
      </w:r>
    </w:p>
    <w:p w:rsidR="0041055D" w:rsidRDefault="0041055D" w:rsidP="0041055D">
      <w:pPr>
        <w:pStyle w:val="StandardWeb"/>
      </w:pPr>
      <w:r>
        <w:t xml:space="preserve">Eine funktionale Einbettung heißt </w:t>
      </w:r>
      <w:r>
        <w:rPr>
          <w:rStyle w:val="Fett"/>
        </w:rPr>
        <w:t>dimensionsverträglich</w:t>
      </w:r>
      <w:r>
        <w:t>, wenn</w:t>
      </w:r>
    </w:p>
    <w:p w:rsidR="0041055D" w:rsidRDefault="0041055D" w:rsidP="0041055D">
      <w:pPr>
        <w:pStyle w:val="berschrift1"/>
      </w:pPr>
      <w:r>
        <w:t>[</w:t>
      </w:r>
      <w:r>
        <w:br/>
        <w:t>\boxed{</w:t>
      </w:r>
      <w:r>
        <w:br/>
      </w:r>
      <w:r>
        <w:lastRenderedPageBreak/>
        <w:t>\delta_F^{\iota}</w:t>
      </w:r>
      <w:r>
        <w:br/>
        <w:t>\bigl(</w:t>
      </w:r>
      <w:r>
        <w:br/>
        <w:t>\iota_F(X)</w:t>
      </w:r>
      <w:r>
        <w:br/>
        <w:t>\bigr)</w:t>
      </w:r>
    </w:p>
    <w:p w:rsidR="0041055D" w:rsidRDefault="0041055D" w:rsidP="0041055D">
      <w:pPr>
        <w:pStyle w:val="StandardWeb"/>
      </w:pPr>
      <w:r>
        <w:t>\Theta_\delta^{\iota}</w:t>
      </w:r>
      <w:r>
        <w:br/>
        <w:t>\bigl(</w:t>
      </w:r>
      <w:r>
        <w:br/>
        <w:t>\delta_F(X)</w:t>
      </w:r>
      <w:r>
        <w:br/>
        <w:t>\bigr).</w:t>
      </w:r>
      <w:r>
        <w:br/>
        <w:t>}</w:t>
      </w:r>
      <w:r>
        <w:br/>
        <w:t>\tag{3.14086}</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\boxed{\delta_F^{\iota}\bigl(\iota_F(X)\bigr)=\Theta_\delta^{\iota}\bigl(\delta_F(X)\bigr).}</w:t>
      </w:r>
    </w:p>
    <w:p w:rsidR="0041055D" w:rsidRDefault="0041055D" w:rsidP="0041055D">
      <w:r>
        <w:pict>
          <v:rect id="_x0000_i6280" style="width:0;height:1.5pt" o:hralign="center" o:hrstd="t" o:hr="t" fillcolor="#a0a0a0" stroked="f"/>
        </w:pict>
      </w:r>
    </w:p>
    <w:p w:rsidR="0041055D" w:rsidRDefault="0041055D" w:rsidP="0041055D">
      <w:pPr>
        <w:pStyle w:val="berschrift1"/>
      </w:pPr>
      <w:r>
        <w:t>3.3.53.133 Dimensionsbruch unter Einbettung</w:t>
      </w:r>
    </w:p>
    <w:p w:rsidR="0041055D" w:rsidRDefault="0041055D" w:rsidP="0041055D">
      <w:pPr>
        <w:pStyle w:val="StandardWeb"/>
      </w:pPr>
      <w:r>
        <w:t>Eine Einbettung kann einen anderen Dimensionsstatus erzeugen:</w:t>
      </w:r>
    </w:p>
    <w:p w:rsidR="0041055D" w:rsidRDefault="0041055D" w:rsidP="0041055D">
      <w:pPr>
        <w:pStyle w:val="StandardWeb"/>
      </w:pPr>
      <w:r>
        <w:t>[</w:t>
      </w:r>
      <w:r>
        <w:br/>
        <w:t>\delta_F^{\iota}</w:t>
      </w:r>
      <w:r>
        <w:br/>
        <w:t>(\iota_F(X))</w:t>
      </w:r>
      <w:r>
        <w:br/>
        <w:t>\neq</w:t>
      </w:r>
      <w:r>
        <w:br/>
        <w:t>\Theta_\delta^{\iota}</w:t>
      </w:r>
      <w:r>
        <w:br/>
        <w:t>(\delta_F(X)).</w:t>
      </w:r>
      <w:r>
        <w:br/>
        <w:t>\tag{3.14087}</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\delta_F^{\iota}(\iota_F(X))\neq\Theta_\delta^{\iota}(\delta_F(X))</w:t>
      </w:r>
    </w:p>
    <w:p w:rsidR="0041055D" w:rsidRDefault="0041055D" w:rsidP="0041055D">
      <w:r>
        <w:pict>
          <v:rect id="_x0000_i6281" style="width:0;height:1.5pt" o:hralign="center" o:hrstd="t" o:hr="t" fillcolor="#a0a0a0" stroked="f"/>
        </w:pict>
      </w:r>
    </w:p>
    <w:p w:rsidR="0041055D" w:rsidRDefault="0041055D" w:rsidP="0041055D">
      <w:pPr>
        <w:pStyle w:val="berschrift1"/>
      </w:pPr>
      <w:r>
        <w:t>3.3.53.134 Dimensionsverträglichkeit als Primäraxiomkandidat</w:t>
      </w:r>
    </w:p>
    <w:p w:rsidR="0041055D" w:rsidRDefault="0041055D" w:rsidP="0041055D">
      <w:pPr>
        <w:pStyle w:val="StandardWeb"/>
      </w:pPr>
      <w:r>
        <w:t>Der Kandidat lautet</w:t>
      </w:r>
    </w:p>
    <w:p w:rsidR="0041055D" w:rsidRDefault="0041055D" w:rsidP="0041055D">
      <w:pPr>
        <w:pStyle w:val="berschrift1"/>
      </w:pPr>
      <w:r>
        <w:t>[</w:t>
      </w:r>
      <w:r>
        <w:br/>
        <w:t>A_{\mathrm{emb-dim}}</w:t>
      </w:r>
      <w:r>
        <w:br/>
      </w:r>
      <w:r>
        <w:lastRenderedPageBreak/>
        <w:t>:</w:t>
      </w:r>
      <w:r>
        <w:br/>
        <w:t>\delta_F^{\iota}</w:t>
      </w:r>
      <w:r>
        <w:br/>
        <w:t>\circ</w:t>
      </w:r>
      <w:r>
        <w:br/>
        <w:t>\iota_F</w:t>
      </w:r>
    </w:p>
    <w:p w:rsidR="0041055D" w:rsidRDefault="0041055D" w:rsidP="0041055D">
      <w:pPr>
        <w:pStyle w:val="StandardWeb"/>
      </w:pPr>
      <w:r>
        <w:t>\Theta_\delta^{\iota}</w:t>
      </w:r>
      <w:r>
        <w:br/>
        <w:t>\circ</w:t>
      </w:r>
      <w:r>
        <w:br/>
        <w:t>\delta_F.</w:t>
      </w:r>
      <w:r>
        <w:br/>
        <w:t>\tag{3.14088}</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A_{\mathrm{emb-dim}}:\delta_F^{\iota}\circ\iota_F=\Theta_\delta^{\iota}\circ\delta_F</w:t>
      </w:r>
    </w:p>
    <w:p w:rsidR="0041055D" w:rsidRDefault="0041055D" w:rsidP="0041055D">
      <w:r>
        <w:pict>
          <v:rect id="_x0000_i6282" style="width:0;height:1.5pt" o:hralign="center" o:hrstd="t" o:hr="t" fillcolor="#a0a0a0" stroked="f"/>
        </w:pict>
      </w:r>
    </w:p>
    <w:p w:rsidR="0041055D" w:rsidRDefault="0041055D" w:rsidP="0041055D">
      <w:pPr>
        <w:pStyle w:val="berschrift1"/>
      </w:pPr>
      <w:r>
        <w:t>3.3.53.135 Gegenmodell</w:t>
      </w:r>
    </w:p>
    <w:p w:rsidR="0041055D" w:rsidRDefault="0041055D" w:rsidP="0041055D">
      <w:pPr>
        <w:pStyle w:val="StandardWeb"/>
      </w:pPr>
      <w:r>
        <w:t>Eine Erweiterung des Zielraums kann zusätzliche funktionale Dimensionen enthalten:</w:t>
      </w:r>
    </w:p>
    <w:p w:rsidR="0041055D" w:rsidRDefault="0041055D" w:rsidP="0041055D">
      <w:pPr>
        <w:pStyle w:val="berschrift1"/>
      </w:pPr>
      <w:r>
        <w:t>[</w:t>
      </w:r>
      <w:r>
        <w:br/>
        <w:t>\delta_F^{\iota}</w:t>
      </w:r>
      <w:r>
        <w:br/>
        <w:t>(\iota_F(X))</w:t>
      </w:r>
    </w:p>
    <w:p w:rsidR="0041055D" w:rsidRDefault="0041055D" w:rsidP="0041055D">
      <w:pPr>
        <w:pStyle w:val="StandardWeb"/>
      </w:pPr>
      <w:r>
        <w:t>d'</w:t>
      </w:r>
      <w:r>
        <w:br/>
        <w:t>\tag{3.14089}</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\delta_F^{\iota}(\iota_F(X))=d'</w:t>
      </w:r>
    </w:p>
    <w:p w:rsidR="0041055D" w:rsidRDefault="0041055D" w:rsidP="0041055D">
      <w:pPr>
        <w:pStyle w:val="StandardWeb"/>
      </w:pPr>
      <w:r>
        <w:t>mit</w:t>
      </w:r>
    </w:p>
    <w:p w:rsidR="0041055D" w:rsidRDefault="0041055D" w:rsidP="0041055D">
      <w:pPr>
        <w:pStyle w:val="StandardWeb"/>
      </w:pPr>
      <w:r>
        <w:t>[</w:t>
      </w:r>
      <w:r>
        <w:br/>
        <w:t>d'</w:t>
      </w:r>
      <w:r>
        <w:br/>
        <w:t>\neq</w:t>
      </w:r>
      <w:r>
        <w:br/>
        <w:t>\Theta_\delta^{\iota}</w:t>
      </w:r>
      <w:r>
        <w:br/>
        <w:t>(\delta_F(X)).</w:t>
      </w:r>
      <w:r>
        <w:br/>
        <w:t>\tag{3.14090}</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d'\neq\Theta_\delta^{\iota}(\delta_F(X))</w:t>
      </w:r>
    </w:p>
    <w:p w:rsidR="0041055D" w:rsidRDefault="0041055D" w:rsidP="0041055D">
      <w:r>
        <w:lastRenderedPageBreak/>
        <w:pict>
          <v:rect id="_x0000_i6283" style="width:0;height:1.5pt" o:hralign="center" o:hrstd="t" o:hr="t" fillcolor="#a0a0a0" stroked="f"/>
        </w:pict>
      </w:r>
    </w:p>
    <w:p w:rsidR="0041055D" w:rsidRDefault="0041055D" w:rsidP="0041055D">
      <w:pPr>
        <w:pStyle w:val="berschrift1"/>
      </w:pPr>
      <w:r>
        <w:t>3.3.53.136 Axiomentscheidung zur Dimensionsverträglichkeit</w:t>
      </w:r>
    </w:p>
    <w:p w:rsidR="0041055D" w:rsidRDefault="0041055D" w:rsidP="0041055D">
      <w:pPr>
        <w:pStyle w:val="StandardWeb"/>
      </w:pPr>
      <w:r>
        <w:t>Daher gilt</w:t>
      </w:r>
    </w:p>
    <w:p w:rsidR="0041055D" w:rsidRDefault="0041055D" w:rsidP="0041055D">
      <w:pPr>
        <w:pStyle w:val="berschrift1"/>
      </w:pPr>
      <w:r>
        <w:t>[</w:t>
      </w:r>
      <w:r>
        <w:br/>
        <w:t>\boxed{</w:t>
      </w:r>
      <w:r>
        <w:br/>
        <w:t>U_{\mathrm{Ax}}</w:t>
      </w:r>
      <w:r>
        <w:br/>
        <w:t>(A_{\mathrm{emb-dim}})</w:t>
      </w:r>
    </w:p>
    <w:p w:rsidR="0041055D" w:rsidRDefault="0041055D" w:rsidP="009F7790">
      <w:pPr>
        <w:numPr>
          <w:ilvl w:val="0"/>
          <w:numId w:val="764"/>
        </w:numPr>
        <w:spacing w:before="100" w:beforeAutospacing="1" w:after="100" w:afterAutospacing="1"/>
      </w:pPr>
    </w:p>
    <w:p w:rsidR="0041055D" w:rsidRDefault="0041055D" w:rsidP="0041055D">
      <w:pPr>
        <w:pStyle w:val="StandardWeb"/>
      </w:pPr>
      <w:r>
        <w:t>}</w:t>
      </w:r>
      <w:r>
        <w:br/>
        <w:t>\tag{3.14091}</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\boxed{U_{\mathrm{Ax}}(A_{\mathrm{emb-dim}})=0.}</w:t>
      </w:r>
    </w:p>
    <w:p w:rsidR="0041055D" w:rsidRDefault="0041055D" w:rsidP="0041055D">
      <w:r>
        <w:pict>
          <v:rect id="_x0000_i6284" style="width:0;height:1.5pt" o:hralign="center" o:hrstd="t" o:hr="t" fillcolor="#a0a0a0" stroked="f"/>
        </w:pict>
      </w:r>
    </w:p>
    <w:p w:rsidR="0041055D" w:rsidRDefault="0041055D" w:rsidP="0041055D">
      <w:pPr>
        <w:pStyle w:val="berschrift1"/>
      </w:pPr>
      <w:r>
        <w:t>3.3.53.137 Satz 3.3.265 – Dimensionsverträglichkeit funktionaler Einbettungen ist kein Primäraxiom</w:t>
      </w:r>
    </w:p>
    <w:p w:rsidR="0041055D" w:rsidRDefault="0041055D" w:rsidP="0041055D">
      <w:pPr>
        <w:pStyle w:val="berschrift3"/>
      </w:pPr>
      <w:r>
        <w:t>Satz 3.3.265</w:t>
      </w:r>
    </w:p>
    <w:p w:rsidR="0041055D" w:rsidRDefault="0041055D" w:rsidP="0041055D">
      <w:pPr>
        <w:pStyle w:val="StandardWeb"/>
      </w:pPr>
      <w:r>
        <w:t>Die Forderung, jede funktionale Einbettung müsse eine definierte Dimensionszuordnung durch eine festgelegte Übertragungsabbildung erhalten, ist keine universell notwendige Voraussetzung des allgemeinen FRZK.</w:t>
      </w:r>
    </w:p>
    <w:p w:rsidR="0041055D" w:rsidRDefault="0041055D" w:rsidP="0041055D">
      <w:pPr>
        <w:pStyle w:val="berschrift1"/>
      </w:pPr>
      <w:r>
        <w:t>[</w:t>
      </w:r>
      <w:r>
        <w:br/>
        <w:t>\boxed{</w:t>
      </w:r>
      <w:r>
        <w:br/>
        <w:t>U_{\mathrm{Ax}}</w:t>
      </w:r>
      <w:r>
        <w:br/>
        <w:t>(A_{\mathrm{emb-dim}})</w:t>
      </w:r>
    </w:p>
    <w:p w:rsidR="0041055D" w:rsidRDefault="0041055D" w:rsidP="009F7790">
      <w:pPr>
        <w:numPr>
          <w:ilvl w:val="0"/>
          <w:numId w:val="765"/>
        </w:numPr>
        <w:spacing w:before="100" w:beforeAutospacing="1" w:after="100" w:afterAutospacing="1"/>
      </w:pPr>
    </w:p>
    <w:p w:rsidR="0041055D" w:rsidRDefault="0041055D" w:rsidP="0041055D">
      <w:pPr>
        <w:pStyle w:val="StandardWeb"/>
      </w:pPr>
      <w:r>
        <w:t>}</w:t>
      </w:r>
      <w:r>
        <w:br/>
        <w:t>\tag{3.14092}</w:t>
      </w:r>
      <w:r>
        <w:br/>
        <w:t>]</w:t>
      </w:r>
    </w:p>
    <w:p w:rsidR="0041055D" w:rsidRDefault="0041055D" w:rsidP="0041055D">
      <w:pPr>
        <w:pStyle w:val="StandardWeb"/>
      </w:pPr>
      <w:r>
        <w:rPr>
          <w:rStyle w:val="Fett"/>
        </w:rPr>
        <w:lastRenderedPageBreak/>
        <w:t>Word-LaTeX</w:t>
      </w:r>
    </w:p>
    <w:p w:rsidR="0041055D" w:rsidRDefault="0041055D" w:rsidP="0041055D">
      <w:pPr>
        <w:pStyle w:val="HTMLVorformatiert"/>
        <w:rPr>
          <w:rStyle w:val="HTMLCode"/>
        </w:rPr>
      </w:pPr>
      <w:r>
        <w:rPr>
          <w:rStyle w:val="HTMLCode"/>
        </w:rPr>
        <w:t>\boxed{U_{\mathrm{Ax}}(A_{\mathrm{emb-dim}})=0.}</w:t>
      </w:r>
    </w:p>
    <w:p w:rsidR="0041055D" w:rsidRDefault="0041055D" w:rsidP="0041055D">
      <w:r>
        <w:pict>
          <v:rect id="_x0000_i6285" style="width:0;height:1.5pt" o:hralign="center" o:hrstd="t" o:hr="t" fillcolor="#a0a0a0" stroked="f"/>
        </w:pict>
      </w:r>
    </w:p>
    <w:p w:rsidR="0041055D" w:rsidRDefault="0041055D" w:rsidP="0041055D">
      <w:pPr>
        <w:pStyle w:val="berschrift1"/>
      </w:pPr>
      <w:r>
        <w:t>3.3.53.138 Einbettungsordnung</w:t>
      </w:r>
    </w:p>
    <w:p w:rsidR="0041055D" w:rsidRDefault="0041055D" w:rsidP="0041055D">
      <w:pPr>
        <w:pStyle w:val="StandardWeb"/>
      </w:pPr>
      <w:r>
        <w:t>Mehrere Einbettungsabbildungen können hinsichtlich eines modellabhängigen Kriteriums verglichen werden.</w:t>
      </w:r>
    </w:p>
    <w:p w:rsidR="0041055D" w:rsidRDefault="0041055D" w:rsidP="0041055D">
      <w:pPr>
        <w:pStyle w:val="StandardWeb"/>
      </w:pPr>
      <w:r>
        <w:t>Ich führe eine Relation</w:t>
      </w:r>
    </w:p>
    <w:p w:rsidR="0041055D" w:rsidRDefault="0041055D" w:rsidP="0041055D">
      <w:pPr>
        <w:pStyle w:val="StandardWeb"/>
      </w:pPr>
      <w:r>
        <w:t>[</w:t>
      </w:r>
      <w:r>
        <w:br/>
        <w:t>\preceq_{\mathrm{emb}}</w:t>
      </w:r>
      <w:r>
        <w:br/>
        <w:t>\tag{3.14093}</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\preceq_{\mathrm{emb}}</w:t>
      </w:r>
    </w:p>
    <w:p w:rsidR="0041055D" w:rsidRDefault="0041055D" w:rsidP="0041055D">
      <w:pPr>
        <w:pStyle w:val="StandardWeb"/>
      </w:pPr>
      <w:r>
        <w:t>auf einer Menge zulässiger Einbettungen (\mathcal I_F) ein.</w:t>
      </w:r>
    </w:p>
    <w:p w:rsidR="0041055D" w:rsidRDefault="0041055D" w:rsidP="0041055D">
      <w:r>
        <w:pict>
          <v:rect id="_x0000_i6286" style="width:0;height:1.5pt" o:hralign="center" o:hrstd="t" o:hr="t" fillcolor="#a0a0a0" stroked="f"/>
        </w:pict>
      </w:r>
    </w:p>
    <w:p w:rsidR="0041055D" w:rsidRDefault="0041055D" w:rsidP="0041055D">
      <w:pPr>
        <w:pStyle w:val="berschrift2"/>
      </w:pPr>
      <w:r>
        <w:t>3.3.53.139 Definition 3.3.654 – Funktionale Einbettungsordnung</w:t>
      </w:r>
    </w:p>
    <w:p w:rsidR="0041055D" w:rsidRDefault="0041055D" w:rsidP="0041055D">
      <w:pPr>
        <w:pStyle w:val="berschrift3"/>
      </w:pPr>
      <w:r>
        <w:t>Definition 3.3.654</w:t>
      </w:r>
    </w:p>
    <w:p w:rsidR="0041055D" w:rsidRDefault="0041055D" w:rsidP="0041055D">
      <w:pPr>
        <w:pStyle w:val="StandardWeb"/>
      </w:pPr>
      <w:r>
        <w:t xml:space="preserve">Eine </w:t>
      </w:r>
      <w:r>
        <w:rPr>
          <w:rStyle w:val="Fett"/>
        </w:rPr>
        <w:t>funktionale Einbettungsordnung</w:t>
      </w:r>
      <w:r>
        <w:t xml:space="preserve"> ist eine modellabhängig definierte Relation</w:t>
      </w:r>
    </w:p>
    <w:p w:rsidR="0041055D" w:rsidRDefault="0041055D" w:rsidP="0041055D">
      <w:pPr>
        <w:pStyle w:val="StandardWeb"/>
      </w:pPr>
      <w:r>
        <w:t>[</w:t>
      </w:r>
      <w:r>
        <w:br/>
        <w:t>\boxed{</w:t>
      </w:r>
      <w:r>
        <w:br/>
        <w:t>\preceq_{\mathrm{emb}}</w:t>
      </w:r>
      <w:r>
        <w:br/>
        <w:t>\subseteq</w:t>
      </w:r>
      <w:r>
        <w:br/>
        <w:t>\mathcal I_F</w:t>
      </w:r>
      <w:r>
        <w:br/>
        <w:t>\times</w:t>
      </w:r>
      <w:r>
        <w:br/>
        <w:t>\mathcal I_F.</w:t>
      </w:r>
      <w:r>
        <w:br/>
        <w:t>}</w:t>
      </w:r>
      <w:r>
        <w:br/>
        <w:t>\tag{3.14094}</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\boxed{\preceq_{\mathrm{emb}}\subseteq\mathcal I_F\times\mathcal I_F.}</w:t>
      </w:r>
    </w:p>
    <w:p w:rsidR="0041055D" w:rsidRDefault="0041055D" w:rsidP="0041055D">
      <w:r>
        <w:pict>
          <v:rect id="_x0000_i6287" style="width:0;height:1.5pt" o:hralign="center" o:hrstd="t" o:hr="t" fillcolor="#a0a0a0" stroked="f"/>
        </w:pict>
      </w:r>
    </w:p>
    <w:p w:rsidR="0041055D" w:rsidRDefault="0041055D" w:rsidP="0041055D">
      <w:pPr>
        <w:pStyle w:val="berschrift1"/>
      </w:pPr>
      <w:r>
        <w:t>3.3.53.140 Minimale funktionale Einbettung</w:t>
      </w:r>
    </w:p>
    <w:p w:rsidR="0041055D" w:rsidRDefault="0041055D" w:rsidP="0041055D">
      <w:pPr>
        <w:pStyle w:val="StandardWeb"/>
      </w:pPr>
      <w:r>
        <w:lastRenderedPageBreak/>
        <w:t>Ein Element (\iota_F^\star) heißt bezüglich dieser Ordnung minimal, wenn</w:t>
      </w:r>
    </w:p>
    <w:p w:rsidR="0041055D" w:rsidRDefault="0041055D" w:rsidP="0041055D">
      <w:pPr>
        <w:pStyle w:val="StandardWeb"/>
      </w:pPr>
      <w:r>
        <w:t>[</w:t>
      </w:r>
      <w:r>
        <w:br/>
        <w:t>\iota_F^\star</w:t>
      </w:r>
      <w:r>
        <w:br/>
        <w:t>\preceq_{\mathrm{emb}}</w:t>
      </w:r>
      <w:r>
        <w:br/>
        <w:t>\iota_F</w:t>
      </w:r>
      <w:r>
        <w:br/>
        <w:t>\qquad</w:t>
      </w:r>
      <w:r>
        <w:br/>
        <w:t>\forall</w:t>
      </w:r>
      <w:r>
        <w:br/>
        <w:t>\iota_F\in\mathcal I_F.</w:t>
      </w:r>
      <w:r>
        <w:br/>
        <w:t>\tag{3.14095}</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\iota_F^\star\preceq_{\mathrm{emb}}\iota_F\qquad\forall\iota_F\in\mathcal I_F</w:t>
      </w:r>
    </w:p>
    <w:p w:rsidR="0041055D" w:rsidRDefault="0041055D" w:rsidP="0041055D">
      <w:r>
        <w:pict>
          <v:rect id="_x0000_i6288" style="width:0;height:1.5pt" o:hralign="center" o:hrstd="t" o:hr="t" fillcolor="#a0a0a0" stroked="f"/>
        </w:pict>
      </w:r>
    </w:p>
    <w:p w:rsidR="0041055D" w:rsidRDefault="0041055D" w:rsidP="0041055D">
      <w:pPr>
        <w:pStyle w:val="berschrift2"/>
      </w:pPr>
      <w:r>
        <w:t>3.3.53.141 Definition 3.3.655 – Minimale funktionale Einbettung</w:t>
      </w:r>
    </w:p>
    <w:p w:rsidR="0041055D" w:rsidRDefault="0041055D" w:rsidP="0041055D">
      <w:pPr>
        <w:pStyle w:val="berschrift3"/>
      </w:pPr>
      <w:r>
        <w:t>Definition 3.3.655</w:t>
      </w:r>
    </w:p>
    <w:p w:rsidR="0041055D" w:rsidRDefault="0041055D" w:rsidP="0041055D">
      <w:pPr>
        <w:pStyle w:val="StandardWeb"/>
      </w:pPr>
      <w:r>
        <w:t xml:space="preserve">Eine Einbettung (\iota_F^\star) heißt </w:t>
      </w:r>
      <w:r>
        <w:rPr>
          <w:rStyle w:val="Fett"/>
        </w:rPr>
        <w:t>minimal bezüglich (\preceq_{\mathrm{emb}})</w:t>
      </w:r>
      <w:r>
        <w:t>, wenn</w:t>
      </w:r>
    </w:p>
    <w:p w:rsidR="0041055D" w:rsidRDefault="0041055D" w:rsidP="0041055D">
      <w:pPr>
        <w:pStyle w:val="StandardWeb"/>
      </w:pPr>
      <w:r>
        <w:t>[</w:t>
      </w:r>
      <w:r>
        <w:br/>
        <w:t>\boxed{</w:t>
      </w:r>
      <w:r>
        <w:br/>
        <w:t>\iota_F^\star</w:t>
      </w:r>
      <w:r>
        <w:br/>
        <w:t>\preceq_{\mathrm{emb}}</w:t>
      </w:r>
      <w:r>
        <w:br/>
        <w:t>\iota_F</w:t>
      </w:r>
      <w:r>
        <w:br/>
        <w:t>\qquad</w:t>
      </w:r>
      <w:r>
        <w:br/>
        <w:t>\forall</w:t>
      </w:r>
      <w:r>
        <w:br/>
        <w:t>\iota_F\in\mathcal I_F.</w:t>
      </w:r>
      <w:r>
        <w:br/>
        <w:t>}</w:t>
      </w:r>
      <w:r>
        <w:br/>
        <w:t>\tag{3.14096}</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\boxed{\iota_F^\star\preceq_{\mathrm{emb}}\iota_F\qquad\forall\iota_F\in\mathcal I_F.}</w:t>
      </w:r>
    </w:p>
    <w:p w:rsidR="0041055D" w:rsidRDefault="0041055D" w:rsidP="0041055D">
      <w:r>
        <w:pict>
          <v:rect id="_x0000_i6289" style="width:0;height:1.5pt" o:hralign="center" o:hrstd="t" o:hr="t" fillcolor="#a0a0a0" stroked="f"/>
        </w:pict>
      </w:r>
    </w:p>
    <w:p w:rsidR="0041055D" w:rsidRDefault="0041055D" w:rsidP="0041055D">
      <w:pPr>
        <w:pStyle w:val="berschrift1"/>
      </w:pPr>
      <w:r>
        <w:t>3.3.53.142 Existenz einer minimalen Einbettung als Primäraxiomkandidat</w:t>
      </w:r>
    </w:p>
    <w:p w:rsidR="0041055D" w:rsidRDefault="0041055D" w:rsidP="0041055D">
      <w:pPr>
        <w:pStyle w:val="StandardWeb"/>
      </w:pPr>
      <w:r>
        <w:t>Der Kandidat lautet</w:t>
      </w:r>
    </w:p>
    <w:p w:rsidR="0041055D" w:rsidRDefault="0041055D" w:rsidP="0041055D">
      <w:pPr>
        <w:pStyle w:val="StandardWeb"/>
      </w:pPr>
      <w:r>
        <w:lastRenderedPageBreak/>
        <w:t>[</w:t>
      </w:r>
      <w:r>
        <w:br/>
        <w:t>A_{\mathrm{emb-min}}</w:t>
      </w:r>
      <w:r>
        <w:br/>
        <w:t>:</w:t>
      </w:r>
      <w:r>
        <w:br/>
        <w:t>\exists</w:t>
      </w:r>
      <w:r>
        <w:br/>
        <w:t>\iota_F^\star.</w:t>
      </w:r>
      <w:r>
        <w:br/>
        <w:t>\tag{3.14097}</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A_{\mathrm{emb-min}}:\exists\iota_F^\star</w:t>
      </w:r>
    </w:p>
    <w:p w:rsidR="0041055D" w:rsidRDefault="0041055D" w:rsidP="0041055D">
      <w:r>
        <w:pict>
          <v:rect id="_x0000_i6290" style="width:0;height:1.5pt" o:hralign="center" o:hrstd="t" o:hr="t" fillcolor="#a0a0a0" stroked="f"/>
        </w:pict>
      </w:r>
    </w:p>
    <w:p w:rsidR="0041055D" w:rsidRDefault="0041055D" w:rsidP="0041055D">
      <w:pPr>
        <w:pStyle w:val="berschrift1"/>
      </w:pPr>
      <w:r>
        <w:t>3.3.53.143 Gegenmodell ohne minimale Einbettung</w:t>
      </w:r>
    </w:p>
    <w:p w:rsidR="0041055D" w:rsidRDefault="0041055D" w:rsidP="0041055D">
      <w:pPr>
        <w:pStyle w:val="StandardWeb"/>
      </w:pPr>
      <w:r>
        <w:t>Eine Einbettungsordnung kann eine streng absteigende Folge besitzen:</w:t>
      </w:r>
    </w:p>
    <w:p w:rsidR="0041055D" w:rsidRDefault="0041055D" w:rsidP="0041055D">
      <w:pPr>
        <w:pStyle w:val="StandardWeb"/>
      </w:pPr>
      <w:r>
        <w:t>[</w:t>
      </w:r>
      <w:r>
        <w:br/>
        <w:t>\iota_{F,1}</w:t>
      </w:r>
      <w:r>
        <w:br/>
        <w:t>\succ_{\mathrm{emb}}</w:t>
      </w:r>
      <w:r>
        <w:br/>
        <w:t>\iota_{F,2}</w:t>
      </w:r>
      <w:r>
        <w:br/>
        <w:t>\succ_{\mathrm{emb}}</w:t>
      </w:r>
      <w:r>
        <w:br/>
        <w:t>\iota_{F,3}</w:t>
      </w:r>
      <w:r>
        <w:br/>
        <w:t>\succ_{\mathrm{emb}}</w:t>
      </w:r>
      <w:r>
        <w:br/>
        <w:t>\cdots.</w:t>
      </w:r>
      <w:r>
        <w:br/>
        <w:t>\tag{3.14098}</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\iota_{F,1}\succ_{\mathrm{emb}}\iota_{F,2}\succ_{\mathrm{emb}}\iota_{F,3}\succ_{\mathrm{emb}}\cdots</w:t>
      </w:r>
    </w:p>
    <w:p w:rsidR="0041055D" w:rsidRDefault="0041055D" w:rsidP="0041055D">
      <w:pPr>
        <w:pStyle w:val="StandardWeb"/>
      </w:pPr>
      <w:r>
        <w:t>Für jedes Element kann ein kleineres existieren:</w:t>
      </w:r>
    </w:p>
    <w:p w:rsidR="0041055D" w:rsidRDefault="0041055D" w:rsidP="0041055D">
      <w:pPr>
        <w:pStyle w:val="StandardWeb"/>
      </w:pPr>
      <w:r>
        <w:t>[</w:t>
      </w:r>
      <w:r>
        <w:br/>
        <w:t>\forall n</w:t>
      </w:r>
      <w:r>
        <w:br/>
        <w:t>\quad</w:t>
      </w:r>
      <w:r>
        <w:br/>
        <w:t>\exists</w:t>
      </w:r>
      <w:r>
        <w:br/>
        <w:t>\iota_{F,n+1}</w:t>
      </w:r>
      <w:r>
        <w:br/>
        <w:t>:</w:t>
      </w:r>
      <w:r>
        <w:br/>
        <w:t>\iota_{F,n+1}</w:t>
      </w:r>
      <w:r>
        <w:br/>
        <w:t>\prec_{\mathrm{emb}}</w:t>
      </w:r>
      <w:r>
        <w:br/>
        <w:t>\iota_{F,n}.</w:t>
      </w:r>
      <w:r>
        <w:br/>
        <w:t>\tag{3.14099}</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\forall n\quad\exists\iota_{F,n+1}:\iota_{F,n+1}\prec_{\mathrm{emb}}\iota_{F,n}</w:t>
      </w:r>
    </w:p>
    <w:p w:rsidR="0041055D" w:rsidRDefault="0041055D" w:rsidP="0041055D">
      <w:r>
        <w:lastRenderedPageBreak/>
        <w:pict>
          <v:rect id="_x0000_i6291" style="width:0;height:1.5pt" o:hralign="center" o:hrstd="t" o:hr="t" fillcolor="#a0a0a0" stroked="f"/>
        </w:pict>
      </w:r>
    </w:p>
    <w:p w:rsidR="0041055D" w:rsidRDefault="0041055D" w:rsidP="0041055D">
      <w:pPr>
        <w:pStyle w:val="berschrift1"/>
      </w:pPr>
      <w:r>
        <w:t>3.3.53.144 Axiomentscheidung zur minimalen Einbettung</w:t>
      </w:r>
    </w:p>
    <w:p w:rsidR="0041055D" w:rsidRDefault="0041055D" w:rsidP="0041055D">
      <w:pPr>
        <w:pStyle w:val="StandardWeb"/>
      </w:pPr>
      <w:r>
        <w:t>Damit folgt</w:t>
      </w:r>
    </w:p>
    <w:p w:rsidR="0041055D" w:rsidRDefault="0041055D" w:rsidP="0041055D">
      <w:pPr>
        <w:pStyle w:val="berschrift1"/>
      </w:pPr>
      <w:r>
        <w:t>[</w:t>
      </w:r>
      <w:r>
        <w:br/>
        <w:t>\boxed{</w:t>
      </w:r>
      <w:r>
        <w:br/>
        <w:t>U_{\mathrm{Ax}}</w:t>
      </w:r>
      <w:r>
        <w:br/>
        <w:t>(A_{\mathrm{emb-min}})</w:t>
      </w:r>
    </w:p>
    <w:p w:rsidR="0041055D" w:rsidRDefault="0041055D" w:rsidP="009F7790">
      <w:pPr>
        <w:numPr>
          <w:ilvl w:val="0"/>
          <w:numId w:val="766"/>
        </w:numPr>
        <w:spacing w:before="100" w:beforeAutospacing="1" w:after="100" w:afterAutospacing="1"/>
      </w:pPr>
    </w:p>
    <w:p w:rsidR="0041055D" w:rsidRDefault="0041055D" w:rsidP="0041055D">
      <w:pPr>
        <w:pStyle w:val="StandardWeb"/>
      </w:pPr>
      <w:r>
        <w:t>}</w:t>
      </w:r>
      <w:r>
        <w:br/>
        <w:t>\tag{3.14100}</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\boxed{U_{\mathrm{Ax}}(A_{\mathrm{emb-min}})=0.}</w:t>
      </w:r>
    </w:p>
    <w:p w:rsidR="0041055D" w:rsidRDefault="0041055D" w:rsidP="0041055D">
      <w:r>
        <w:pict>
          <v:rect id="_x0000_i6292" style="width:0;height:1.5pt" o:hralign="center" o:hrstd="t" o:hr="t" fillcolor="#a0a0a0" stroked="f"/>
        </w:pict>
      </w:r>
    </w:p>
    <w:p w:rsidR="0041055D" w:rsidRDefault="0041055D" w:rsidP="0041055D">
      <w:pPr>
        <w:pStyle w:val="berschrift1"/>
      </w:pPr>
      <w:r>
        <w:t>3.3.53.145 Satz 3.3.266 – Die Existenz einer minimalen Einbettung ist kein Primäraxiom</w:t>
      </w:r>
    </w:p>
    <w:p w:rsidR="0041055D" w:rsidRDefault="0041055D" w:rsidP="0041055D">
      <w:pPr>
        <w:pStyle w:val="berschrift3"/>
      </w:pPr>
      <w:r>
        <w:t>Satz 3.3.266</w:t>
      </w:r>
    </w:p>
    <w:p w:rsidR="0041055D" w:rsidRDefault="0041055D" w:rsidP="0041055D">
      <w:pPr>
        <w:pStyle w:val="StandardWeb"/>
      </w:pPr>
      <w:r>
        <w:t>Die Forderung, jede zulässige Menge funktionaler Einbettungen müsse bezüglich einer Einbettungsordnung ein minimales Element besitzen, ist keine universell notwendige Voraussetzung des allgemeinen FRZK.</w:t>
      </w:r>
    </w:p>
    <w:p w:rsidR="0041055D" w:rsidRDefault="0041055D" w:rsidP="0041055D">
      <w:pPr>
        <w:pStyle w:val="berschrift1"/>
      </w:pPr>
      <w:r>
        <w:t>[</w:t>
      </w:r>
      <w:r>
        <w:br/>
        <w:t>\boxed{</w:t>
      </w:r>
      <w:r>
        <w:br/>
        <w:t>U_{\mathrm{Ax}}</w:t>
      </w:r>
      <w:r>
        <w:br/>
        <w:t>(A_{\mathrm{emb-min}})</w:t>
      </w:r>
    </w:p>
    <w:p w:rsidR="0041055D" w:rsidRDefault="0041055D" w:rsidP="009F7790">
      <w:pPr>
        <w:numPr>
          <w:ilvl w:val="0"/>
          <w:numId w:val="767"/>
        </w:numPr>
        <w:spacing w:before="100" w:beforeAutospacing="1" w:after="100" w:afterAutospacing="1"/>
      </w:pPr>
    </w:p>
    <w:p w:rsidR="0041055D" w:rsidRDefault="0041055D" w:rsidP="0041055D">
      <w:pPr>
        <w:pStyle w:val="StandardWeb"/>
      </w:pPr>
      <w:r>
        <w:t>}</w:t>
      </w:r>
      <w:r>
        <w:br/>
        <w:t>\tag{3.14101}</w:t>
      </w:r>
      <w:r>
        <w:br/>
        <w:t>]</w:t>
      </w:r>
    </w:p>
    <w:p w:rsidR="0041055D" w:rsidRDefault="0041055D" w:rsidP="0041055D">
      <w:pPr>
        <w:pStyle w:val="StandardWeb"/>
      </w:pPr>
      <w:r>
        <w:rPr>
          <w:rStyle w:val="Fett"/>
        </w:rPr>
        <w:lastRenderedPageBreak/>
        <w:t>Word-LaTeX</w:t>
      </w:r>
    </w:p>
    <w:p w:rsidR="0041055D" w:rsidRDefault="0041055D" w:rsidP="0041055D">
      <w:pPr>
        <w:pStyle w:val="HTMLVorformatiert"/>
        <w:rPr>
          <w:rStyle w:val="HTMLCode"/>
        </w:rPr>
      </w:pPr>
      <w:r>
        <w:rPr>
          <w:rStyle w:val="HTMLCode"/>
        </w:rPr>
        <w:t>\boxed{U_{\mathrm{Ax}}(A_{\mathrm{emb-min}})=0.}</w:t>
      </w:r>
    </w:p>
    <w:p w:rsidR="0041055D" w:rsidRDefault="0041055D" w:rsidP="0041055D">
      <w:r>
        <w:pict>
          <v:rect id="_x0000_i6293" style="width:0;height:1.5pt" o:hralign="center" o:hrstd="t" o:hr="t" fillcolor="#a0a0a0" stroked="f"/>
        </w:pict>
      </w:r>
    </w:p>
    <w:p w:rsidR="0041055D" w:rsidRDefault="0041055D" w:rsidP="0041055D">
      <w:pPr>
        <w:pStyle w:val="berschrift1"/>
      </w:pPr>
      <w:r>
        <w:t>3.3.53.146 Maximale funktionale Einbettung</w:t>
      </w:r>
    </w:p>
    <w:p w:rsidR="0041055D" w:rsidRDefault="0041055D" w:rsidP="0041055D">
      <w:pPr>
        <w:pStyle w:val="StandardWeb"/>
      </w:pPr>
      <w:r>
        <w:t>Analog kann ein maximales Element definiert werden:</w:t>
      </w:r>
    </w:p>
    <w:p w:rsidR="0041055D" w:rsidRDefault="0041055D" w:rsidP="0041055D">
      <w:pPr>
        <w:pStyle w:val="StandardWeb"/>
      </w:pPr>
      <w:r>
        <w:t>[</w:t>
      </w:r>
      <w:r>
        <w:br/>
        <w:t>\iota_F</w:t>
      </w:r>
      <w:r>
        <w:br/>
        <w:t>\preceq_{\mathrm{emb}}</w:t>
      </w:r>
      <w:r>
        <w:br/>
        <w:t>\iota_F^{\max}</w:t>
      </w:r>
      <w:r>
        <w:br/>
        <w:t>\qquad</w:t>
      </w:r>
      <w:r>
        <w:br/>
        <w:t>\forall</w:t>
      </w:r>
      <w:r>
        <w:br/>
        <w:t>\iota_F\in\mathcal I_F.</w:t>
      </w:r>
      <w:r>
        <w:br/>
        <w:t>\tag{3.14102}</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\iota_F\preceq_{\mathrm{emb}}\iota_F^{\max}\qquad\forall\iota_F\in\mathcal I_F</w:t>
      </w:r>
    </w:p>
    <w:p w:rsidR="0041055D" w:rsidRDefault="0041055D" w:rsidP="0041055D">
      <w:r>
        <w:pict>
          <v:rect id="_x0000_i6294" style="width:0;height:1.5pt" o:hralign="center" o:hrstd="t" o:hr="t" fillcolor="#a0a0a0" stroked="f"/>
        </w:pict>
      </w:r>
    </w:p>
    <w:p w:rsidR="0041055D" w:rsidRDefault="0041055D" w:rsidP="0041055D">
      <w:pPr>
        <w:pStyle w:val="berschrift2"/>
      </w:pPr>
      <w:r>
        <w:t>3.3.53.147 Definition 3.3.656 – Maximale funktionale Einbettung</w:t>
      </w:r>
    </w:p>
    <w:p w:rsidR="0041055D" w:rsidRDefault="0041055D" w:rsidP="0041055D">
      <w:pPr>
        <w:pStyle w:val="berschrift3"/>
      </w:pPr>
      <w:r>
        <w:t>Definition 3.3.656</w:t>
      </w:r>
    </w:p>
    <w:p w:rsidR="0041055D" w:rsidRDefault="0041055D" w:rsidP="0041055D">
      <w:pPr>
        <w:pStyle w:val="StandardWeb"/>
      </w:pPr>
      <w:r>
        <w:t xml:space="preserve">Eine Einbettung (\iota_F^{\max}) heißt </w:t>
      </w:r>
      <w:r>
        <w:rPr>
          <w:rStyle w:val="Fett"/>
        </w:rPr>
        <w:t>maximal bezüglich (\preceq_{\mathrm{emb}})</w:t>
      </w:r>
      <w:r>
        <w:t>, wenn</w:t>
      </w:r>
    </w:p>
    <w:p w:rsidR="0041055D" w:rsidRDefault="0041055D" w:rsidP="0041055D">
      <w:pPr>
        <w:pStyle w:val="StandardWeb"/>
      </w:pPr>
      <w:r>
        <w:t>[</w:t>
      </w:r>
      <w:r>
        <w:br/>
        <w:t>\boxed{</w:t>
      </w:r>
      <w:r>
        <w:br/>
        <w:t>\iota_F</w:t>
      </w:r>
      <w:r>
        <w:br/>
        <w:t>\preceq_{\mathrm{emb}}</w:t>
      </w:r>
      <w:r>
        <w:br/>
        <w:t>\iota_F^{\max}</w:t>
      </w:r>
      <w:r>
        <w:br/>
        <w:t>\qquad</w:t>
      </w:r>
      <w:r>
        <w:br/>
        <w:t>\forall</w:t>
      </w:r>
      <w:r>
        <w:br/>
        <w:t>\iota_F\in\mathcal I_F.</w:t>
      </w:r>
      <w:r>
        <w:br/>
        <w:t>}</w:t>
      </w:r>
      <w:r>
        <w:br/>
        <w:t>\tag{3.14103}</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\boxed{\iota_F\preceq_{\mathrm{emb}}\iota_F^{\max}\qquad\forall\iota_F\in\mathcal I_F.}</w:t>
      </w:r>
    </w:p>
    <w:p w:rsidR="0041055D" w:rsidRDefault="0041055D" w:rsidP="0041055D">
      <w:r>
        <w:pict>
          <v:rect id="_x0000_i6295" style="width:0;height:1.5pt" o:hralign="center" o:hrstd="t" o:hr="t" fillcolor="#a0a0a0" stroked="f"/>
        </w:pict>
      </w:r>
    </w:p>
    <w:p w:rsidR="0041055D" w:rsidRDefault="0041055D" w:rsidP="0041055D">
      <w:pPr>
        <w:pStyle w:val="berschrift1"/>
      </w:pPr>
      <w:r>
        <w:lastRenderedPageBreak/>
        <w:t>3.3.53.148 Existenz einer maximalen Einbettung als Primäraxiomkandidat</w:t>
      </w:r>
    </w:p>
    <w:p w:rsidR="0041055D" w:rsidRDefault="0041055D" w:rsidP="0041055D">
      <w:pPr>
        <w:pStyle w:val="StandardWeb"/>
      </w:pPr>
      <w:r>
        <w:t>Der Kandidat lautet</w:t>
      </w:r>
    </w:p>
    <w:p w:rsidR="0041055D" w:rsidRDefault="0041055D" w:rsidP="0041055D">
      <w:pPr>
        <w:pStyle w:val="StandardWeb"/>
      </w:pPr>
      <w:r>
        <w:t>[</w:t>
      </w:r>
      <w:r>
        <w:br/>
        <w:t>A_{\mathrm{emb-max}}</w:t>
      </w:r>
      <w:r>
        <w:br/>
        <w:t>:</w:t>
      </w:r>
      <w:r>
        <w:br/>
        <w:t>\exists</w:t>
      </w:r>
      <w:r>
        <w:br/>
        <w:t>\iota_F^{\max}.</w:t>
      </w:r>
      <w:r>
        <w:br/>
        <w:t>\tag{3.14104}</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A_{\mathrm{emb-max}}:\exists\iota_F^{\max}</w:t>
      </w:r>
    </w:p>
    <w:p w:rsidR="0041055D" w:rsidRDefault="0041055D" w:rsidP="0041055D">
      <w:r>
        <w:pict>
          <v:rect id="_x0000_i6296" style="width:0;height:1.5pt" o:hralign="center" o:hrstd="t" o:hr="t" fillcolor="#a0a0a0" stroked="f"/>
        </w:pict>
      </w:r>
    </w:p>
    <w:p w:rsidR="0041055D" w:rsidRDefault="0041055D" w:rsidP="0041055D">
      <w:pPr>
        <w:pStyle w:val="berschrift1"/>
      </w:pPr>
      <w:r>
        <w:t>3.3.53.149 Gegenmodell ohne maximales Element</w:t>
      </w:r>
    </w:p>
    <w:p w:rsidR="0041055D" w:rsidRDefault="0041055D" w:rsidP="0041055D">
      <w:pPr>
        <w:pStyle w:val="StandardWeb"/>
      </w:pPr>
      <w:r>
        <w:t>Eine Einbettungsordnung kann eine streng aufsteigende Folge besitzen:</w:t>
      </w:r>
    </w:p>
    <w:p w:rsidR="0041055D" w:rsidRDefault="0041055D" w:rsidP="0041055D">
      <w:pPr>
        <w:pStyle w:val="StandardWeb"/>
      </w:pPr>
      <w:r>
        <w:t>[</w:t>
      </w:r>
      <w:r>
        <w:br/>
        <w:t>\iota_{F,1}</w:t>
      </w:r>
      <w:r>
        <w:br/>
        <w:t>\prec_{\mathrm{emb}}</w:t>
      </w:r>
      <w:r>
        <w:br/>
        <w:t>\iota_{F,2}</w:t>
      </w:r>
      <w:r>
        <w:br/>
        <w:t>\prec_{\mathrm{emb}}</w:t>
      </w:r>
      <w:r>
        <w:br/>
        <w:t>\iota_{F,3}</w:t>
      </w:r>
      <w:r>
        <w:br/>
        <w:t>\prec_{\mathrm{emb}}</w:t>
      </w:r>
      <w:r>
        <w:br/>
        <w:t>\cdots.</w:t>
      </w:r>
      <w:r>
        <w:br/>
        <w:t>\tag{3.14105}</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\iota_{F,1}\prec_{\mathrm{emb}}\iota_{F,2}\prec_{\mathrm{emb}}\iota_{F,3}\prec_{\mathrm{emb}}\cdots</w:t>
      </w:r>
    </w:p>
    <w:p w:rsidR="0041055D" w:rsidRDefault="0041055D" w:rsidP="0041055D">
      <w:r>
        <w:pict>
          <v:rect id="_x0000_i6297" style="width:0;height:1.5pt" o:hralign="center" o:hrstd="t" o:hr="t" fillcolor="#a0a0a0" stroked="f"/>
        </w:pict>
      </w:r>
    </w:p>
    <w:p w:rsidR="0041055D" w:rsidRDefault="0041055D" w:rsidP="0041055D">
      <w:pPr>
        <w:pStyle w:val="berschrift1"/>
      </w:pPr>
      <w:r>
        <w:t>3.3.53.150 Axiomentscheidung zur maximalen Einbettung</w:t>
      </w:r>
    </w:p>
    <w:p w:rsidR="0041055D" w:rsidRDefault="0041055D" w:rsidP="0041055D">
      <w:pPr>
        <w:pStyle w:val="StandardWeb"/>
      </w:pPr>
      <w:r>
        <w:t>Damit gilt</w:t>
      </w:r>
    </w:p>
    <w:p w:rsidR="0041055D" w:rsidRDefault="0041055D" w:rsidP="0041055D">
      <w:pPr>
        <w:pStyle w:val="berschrift1"/>
      </w:pPr>
      <w:r>
        <w:t>[</w:t>
      </w:r>
      <w:r>
        <w:br/>
        <w:t>\boxed{</w:t>
      </w:r>
      <w:r>
        <w:br/>
      </w:r>
      <w:r>
        <w:lastRenderedPageBreak/>
        <w:t>U_{\mathrm{Ax}}</w:t>
      </w:r>
      <w:r>
        <w:br/>
        <w:t>(A_{\mathrm{emb-max}})</w:t>
      </w:r>
    </w:p>
    <w:p w:rsidR="0041055D" w:rsidRDefault="0041055D" w:rsidP="009F7790">
      <w:pPr>
        <w:numPr>
          <w:ilvl w:val="0"/>
          <w:numId w:val="768"/>
        </w:numPr>
        <w:spacing w:before="100" w:beforeAutospacing="1" w:after="100" w:afterAutospacing="1"/>
      </w:pPr>
    </w:p>
    <w:p w:rsidR="0041055D" w:rsidRDefault="0041055D" w:rsidP="0041055D">
      <w:pPr>
        <w:pStyle w:val="StandardWeb"/>
      </w:pPr>
      <w:r>
        <w:t>}</w:t>
      </w:r>
      <w:r>
        <w:br/>
        <w:t>\tag{3.14106}</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\boxed{U_{\mathrm{Ax}}(A_{\mathrm{emb-max}})=0.}</w:t>
      </w:r>
    </w:p>
    <w:p w:rsidR="0041055D" w:rsidRDefault="0041055D" w:rsidP="0041055D">
      <w:r>
        <w:pict>
          <v:rect id="_x0000_i6298" style="width:0;height:1.5pt" o:hralign="center" o:hrstd="t" o:hr="t" fillcolor="#a0a0a0" stroked="f"/>
        </w:pict>
      </w:r>
    </w:p>
    <w:p w:rsidR="0041055D" w:rsidRDefault="0041055D" w:rsidP="0041055D">
      <w:pPr>
        <w:pStyle w:val="berschrift1"/>
      </w:pPr>
      <w:r>
        <w:t>3.3.53.151 Satz 3.3.267 – Die Existenz einer maximalen Einbettung ist kein Primäraxiom</w:t>
      </w:r>
    </w:p>
    <w:p w:rsidR="0041055D" w:rsidRDefault="0041055D" w:rsidP="0041055D">
      <w:pPr>
        <w:pStyle w:val="berschrift3"/>
      </w:pPr>
      <w:r>
        <w:t>Satz 3.3.267</w:t>
      </w:r>
    </w:p>
    <w:p w:rsidR="0041055D" w:rsidRDefault="0041055D" w:rsidP="0041055D">
      <w:pPr>
        <w:pStyle w:val="StandardWeb"/>
      </w:pPr>
      <w:r>
        <w:t>Die Forderung, jede zulässige Menge funktionaler Einbettungen müsse bezüglich einer Einbettungsordnung ein maximales Element besitzen, ist keine universell notwendige Voraussetzung des allgemeinen FRZK.</w:t>
      </w:r>
    </w:p>
    <w:p w:rsidR="0041055D" w:rsidRDefault="0041055D" w:rsidP="0041055D">
      <w:pPr>
        <w:pStyle w:val="berschrift1"/>
      </w:pPr>
      <w:r>
        <w:t>[</w:t>
      </w:r>
      <w:r>
        <w:br/>
        <w:t>\boxed{</w:t>
      </w:r>
      <w:r>
        <w:br/>
        <w:t>U_{\mathrm{Ax}}</w:t>
      </w:r>
      <w:r>
        <w:br/>
        <w:t>(A_{\mathrm{emb-max}})</w:t>
      </w:r>
    </w:p>
    <w:p w:rsidR="0041055D" w:rsidRDefault="0041055D" w:rsidP="009F7790">
      <w:pPr>
        <w:numPr>
          <w:ilvl w:val="0"/>
          <w:numId w:val="769"/>
        </w:numPr>
        <w:spacing w:before="100" w:beforeAutospacing="1" w:after="100" w:afterAutospacing="1"/>
      </w:pPr>
    </w:p>
    <w:p w:rsidR="0041055D" w:rsidRDefault="0041055D" w:rsidP="0041055D">
      <w:pPr>
        <w:pStyle w:val="StandardWeb"/>
      </w:pPr>
      <w:r>
        <w:t>}</w:t>
      </w:r>
      <w:r>
        <w:br/>
        <w:t>\tag{3.14107}</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\boxed{U_{\mathrm{Ax}}(A_{\mathrm{emb-max}})=0.}</w:t>
      </w:r>
    </w:p>
    <w:p w:rsidR="0041055D" w:rsidRDefault="0041055D" w:rsidP="0041055D">
      <w:r>
        <w:pict>
          <v:rect id="_x0000_i6299" style="width:0;height:1.5pt" o:hralign="center" o:hrstd="t" o:hr="t" fillcolor="#a0a0a0" stroked="f"/>
        </w:pict>
      </w:r>
    </w:p>
    <w:p w:rsidR="0041055D" w:rsidRDefault="0041055D" w:rsidP="0041055D">
      <w:pPr>
        <w:pStyle w:val="berschrift1"/>
      </w:pPr>
      <w:r>
        <w:t>3.3.53.152 Korollar 3.3.75 – Extremale Einbettungsstrukturen sind modellabhängig</w:t>
      </w:r>
    </w:p>
    <w:p w:rsidR="0041055D" w:rsidRDefault="0041055D" w:rsidP="0041055D">
      <w:pPr>
        <w:pStyle w:val="berschrift3"/>
      </w:pPr>
      <w:r>
        <w:t>Korollar 3.3.75</w:t>
      </w:r>
    </w:p>
    <w:p w:rsidR="0041055D" w:rsidRDefault="0041055D" w:rsidP="0041055D">
      <w:pPr>
        <w:pStyle w:val="StandardWeb"/>
      </w:pPr>
      <w:r>
        <w:lastRenderedPageBreak/>
        <w:t>Aus den Sätzen 3.3.266 und 3.3.267 folgt</w:t>
      </w:r>
    </w:p>
    <w:p w:rsidR="0041055D" w:rsidRDefault="0041055D" w:rsidP="0041055D">
      <w:pPr>
        <w:pStyle w:val="berschrift1"/>
      </w:pPr>
      <w:r>
        <w:t>[</w:t>
      </w:r>
      <w:r>
        <w:br/>
        <w:t>\boxed{</w:t>
      </w:r>
      <w:r>
        <w:br/>
        <w:t>\operatorname{Stat}</w:t>
      </w:r>
      <w:r>
        <w:br/>
        <w:t>(\iota_F^\star,\iota_F^{\max})</w:t>
      </w:r>
    </w:p>
    <w:p w:rsidR="0041055D" w:rsidRDefault="0041055D" w:rsidP="0041055D">
      <w:pPr>
        <w:pStyle w:val="StandardWeb"/>
      </w:pPr>
      <w:r>
        <w:t>\mathrm{Def/Mod/Op}.</w:t>
      </w:r>
      <w:r>
        <w:br/>
        <w:t>}</w:t>
      </w:r>
      <w:r>
        <w:br/>
        <w:t>\tag{3.14108}</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\boxed{\operatorname{Stat}(\iota_F^\star,\iota_F^{\max})=\mathrm{Def/Mod/Op}.}</w:t>
      </w:r>
    </w:p>
    <w:p w:rsidR="0041055D" w:rsidRDefault="0041055D" w:rsidP="0041055D">
      <w:r>
        <w:pict>
          <v:rect id="_x0000_i6300" style="width:0;height:1.5pt" o:hralign="center" o:hrstd="t" o:hr="t" fillcolor="#a0a0a0" stroked="f"/>
        </w:pict>
      </w:r>
    </w:p>
    <w:p w:rsidR="0041055D" w:rsidRDefault="0041055D" w:rsidP="0041055D">
      <w:pPr>
        <w:pStyle w:val="berschrift1"/>
      </w:pPr>
      <w:r>
        <w:t>3.3.53.153 Erweiterungsordnung</w:t>
      </w:r>
    </w:p>
    <w:p w:rsidR="0041055D" w:rsidRDefault="0041055D" w:rsidP="0041055D">
      <w:pPr>
        <w:pStyle w:val="StandardWeb"/>
      </w:pPr>
      <w:r>
        <w:t>Analog zu Einbettungen kann ich auch Erweiterungen vergleichen.</w:t>
      </w:r>
    </w:p>
    <w:p w:rsidR="0041055D" w:rsidRDefault="0041055D" w:rsidP="0041055D">
      <w:pPr>
        <w:pStyle w:val="StandardWeb"/>
      </w:pPr>
      <w:r>
        <w:t>Ich führe</w:t>
      </w:r>
    </w:p>
    <w:p w:rsidR="0041055D" w:rsidRDefault="0041055D" w:rsidP="0041055D">
      <w:pPr>
        <w:pStyle w:val="StandardWeb"/>
      </w:pPr>
      <w:r>
        <w:t>[</w:t>
      </w:r>
      <w:r>
        <w:br/>
        <w:t>\preceq_{\mathrm{ext}}</w:t>
      </w:r>
      <w:r>
        <w:br/>
        <w:t>\tag{3.14109}</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\preceq_{\mathrm{ext}}</w:t>
      </w:r>
    </w:p>
    <w:p w:rsidR="0041055D" w:rsidRDefault="0041055D" w:rsidP="0041055D">
      <w:pPr>
        <w:pStyle w:val="StandardWeb"/>
      </w:pPr>
      <w:r>
        <w:t>auf einer Menge zulässiger Erweiterungsabbildungen (\mathcal E_F) ein.</w:t>
      </w:r>
    </w:p>
    <w:p w:rsidR="0041055D" w:rsidRDefault="0041055D" w:rsidP="0041055D">
      <w:r>
        <w:pict>
          <v:rect id="_x0000_i6301" style="width:0;height:1.5pt" o:hralign="center" o:hrstd="t" o:hr="t" fillcolor="#a0a0a0" stroked="f"/>
        </w:pict>
      </w:r>
    </w:p>
    <w:p w:rsidR="0041055D" w:rsidRDefault="0041055D" w:rsidP="0041055D">
      <w:pPr>
        <w:pStyle w:val="berschrift2"/>
      </w:pPr>
      <w:r>
        <w:t>3.3.53.154 Definition 3.3.657 – Funktionale Erweiterungsordnung</w:t>
      </w:r>
    </w:p>
    <w:p w:rsidR="0041055D" w:rsidRDefault="0041055D" w:rsidP="0041055D">
      <w:pPr>
        <w:pStyle w:val="berschrift3"/>
      </w:pPr>
      <w:r>
        <w:t>Definition 3.3.657</w:t>
      </w:r>
    </w:p>
    <w:p w:rsidR="0041055D" w:rsidRDefault="0041055D" w:rsidP="0041055D">
      <w:pPr>
        <w:pStyle w:val="StandardWeb"/>
      </w:pPr>
      <w:r>
        <w:t xml:space="preserve">Eine </w:t>
      </w:r>
      <w:r>
        <w:rPr>
          <w:rStyle w:val="Fett"/>
        </w:rPr>
        <w:t>funktionale Erweiterungsordnung</w:t>
      </w:r>
      <w:r>
        <w:t xml:space="preserve"> ist eine modellabhängig definierte Relation</w:t>
      </w:r>
    </w:p>
    <w:p w:rsidR="0041055D" w:rsidRDefault="0041055D" w:rsidP="0041055D">
      <w:pPr>
        <w:pStyle w:val="StandardWeb"/>
      </w:pPr>
      <w:r>
        <w:t>[</w:t>
      </w:r>
      <w:r>
        <w:br/>
        <w:t>\boxed{</w:t>
      </w:r>
      <w:r>
        <w:br/>
        <w:t>\preceq_{\mathrm{ext}}</w:t>
      </w:r>
      <w:r>
        <w:br/>
      </w:r>
      <w:r>
        <w:lastRenderedPageBreak/>
        <w:t>\subseteq</w:t>
      </w:r>
      <w:r>
        <w:br/>
        <w:t>\mathcal E_F</w:t>
      </w:r>
      <w:r>
        <w:br/>
        <w:t>\times</w:t>
      </w:r>
      <w:r>
        <w:br/>
        <w:t>\mathcal E_F.</w:t>
      </w:r>
      <w:r>
        <w:br/>
        <w:t>}</w:t>
      </w:r>
      <w:r>
        <w:br/>
        <w:t>\tag{3.14110}</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\boxed{\preceq_{\mathrm{ext}}\subseteq\mathcal E_F\times\mathcal E_F.}</w:t>
      </w:r>
    </w:p>
    <w:p w:rsidR="0041055D" w:rsidRDefault="0041055D" w:rsidP="0041055D">
      <w:r>
        <w:pict>
          <v:rect id="_x0000_i6302" style="width:0;height:1.5pt" o:hralign="center" o:hrstd="t" o:hr="t" fillcolor="#a0a0a0" stroked="f"/>
        </w:pict>
      </w:r>
    </w:p>
    <w:p w:rsidR="0041055D" w:rsidRDefault="0041055D" w:rsidP="0041055D">
      <w:pPr>
        <w:pStyle w:val="berschrift1"/>
      </w:pPr>
      <w:r>
        <w:t>3.3.53.155 Zwischenbilanz</w:t>
      </w:r>
    </w:p>
    <w:p w:rsidR="0041055D" w:rsidRDefault="0041055D" w:rsidP="0041055D">
      <w:pPr>
        <w:pStyle w:val="StandardWeb"/>
      </w:pPr>
      <w:r>
        <w:t>Die bislang entwickelte Struktur erweitert sich damit zu</w:t>
      </w:r>
    </w:p>
    <w:p w:rsidR="0041055D" w:rsidRDefault="0041055D" w:rsidP="0041055D">
      <w:pPr>
        <w:pStyle w:val="berschrift1"/>
      </w:pPr>
      <w:r>
        <w:t>[</w:t>
      </w:r>
      <w:r>
        <w:br/>
        <w:t>\mathfrak E_{\mathrm{ext}}^{(2)}</w:t>
      </w:r>
    </w:p>
    <w:p w:rsidR="0041055D" w:rsidRDefault="0041055D" w:rsidP="0041055D">
      <w:pPr>
        <w:pStyle w:val="StandardWeb"/>
      </w:pPr>
      <w:r>
        <w:t>\left(</w:t>
      </w:r>
      <w:r>
        <w:br/>
        <w:t>\mathfrak E_{\mathrm{ext}}^{(1)},</w:t>
      </w:r>
      <w:r>
        <w:br/>
        <w:t>E_F^{\mathrm{stoch}},</w:t>
      </w:r>
      <w:r>
        <w:br/>
        <w:t>C_F^{\mathrm{stoch}},</w:t>
      </w:r>
      <w:r>
        <w:br/>
        <w:t>L_F(z,c),</w:t>
      </w:r>
      <w:r>
        <w:br/>
        <w:t>\kappa_F^{\iota},</w:t>
      </w:r>
      <w:r>
        <w:br/>
        <w:t>\delta_F^{\iota},</w:t>
      </w:r>
      <w:r>
        <w:br/>
        <w:t>\preceq_{\mathrm{emb}},</w:t>
      </w:r>
      <w:r>
        <w:br/>
        <w:t>\preceq_{\mathrm{ext}}</w:t>
      </w:r>
      <w:r>
        <w:br/>
        <w:t>\right).</w:t>
      </w:r>
      <w:r>
        <w:br/>
        <w:t>\tag{3.14111}</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\mathfrak E_{\mathrm{ext}}^{(2)}=\left(\mathfrak E_{\mathrm{ext}}^{(1)},E_F^{\mathrm{stoch}},C_F^{\mathrm{stoch}},L_F(z,c),\kappa_F^{\iota},\delta_F^{\iota},\preceq_{\mathrm{emb}},\preceq_{\mathrm{ext}}\right)</w:t>
      </w:r>
    </w:p>
    <w:p w:rsidR="0041055D" w:rsidRDefault="0041055D" w:rsidP="0041055D">
      <w:pPr>
        <w:pStyle w:val="StandardWeb"/>
      </w:pPr>
      <w:r>
        <w:t>Die Primäraxiomkandidatenmenge erweitert sich zu</w:t>
      </w:r>
    </w:p>
    <w:p w:rsidR="0041055D" w:rsidRDefault="0041055D" w:rsidP="0041055D">
      <w:pPr>
        <w:pStyle w:val="berschrift1"/>
      </w:pPr>
      <w:r>
        <w:t>[</w:t>
      </w:r>
      <w:r>
        <w:br/>
        <w:t>\mathcal A_{\mathrm{ext}}^{\mathrm{cand},2}</w:t>
      </w:r>
    </w:p>
    <w:p w:rsidR="0041055D" w:rsidRDefault="0041055D" w:rsidP="0041055D">
      <w:pPr>
        <w:pStyle w:val="StandardWeb"/>
      </w:pPr>
      <w:r>
        <w:t>\mathcal A_{\mathrm{ext}}^{\mathrm{cand},1}</w:t>
      </w:r>
      <w:r>
        <w:br/>
        <w:t>\cup</w:t>
      </w:r>
      <w:r>
        <w:br/>
        <w:t>{</w:t>
      </w:r>
      <w:r>
        <w:br/>
      </w:r>
      <w:r>
        <w:lastRenderedPageBreak/>
        <w:t>A_{\mathrm{ext-det}},</w:t>
      </w:r>
      <w:r>
        <w:br/>
        <w:t>A_{\mathrm{rec-det}},</w:t>
      </w:r>
      <w:r>
        <w:br/>
        <w:t>A_{\mathrm{lift-stat}},</w:t>
      </w:r>
      <w:r>
        <w:br/>
        <w:t>A_{\mathrm{emb-coh}},</w:t>
      </w:r>
      <w:r>
        <w:br/>
        <w:t>A_{\mathrm{emb-dim}},</w:t>
      </w:r>
      <w:r>
        <w:br/>
        <w:t>A_{\mathrm{emb-min}},</w:t>
      </w:r>
      <w:r>
        <w:br/>
        <w:t>A_{\mathrm{emb-max}}</w:t>
      </w:r>
      <w:r>
        <w:br/>
        <w:t>}.</w:t>
      </w:r>
      <w:r>
        <w:br/>
        <w:t>\tag{3.14112}</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\mathcal A_{\mathrm{ext}}^{\mathrm{cand},2}=\mathcal A_{\mathrm{ext}}^{\mathrm{cand},1}\cup\{A_{\mathrm{ext-det}},A_{\mathrm{rec-det}},A_{\mathrm{lift-stat}},A_{\mathrm{emb-coh}},A_{\mathrm{emb-dim}},A_{\mathrm{emb-min}},A_{\mathrm{emb-max}}\}</w:t>
      </w:r>
    </w:p>
    <w:p w:rsidR="0041055D" w:rsidRDefault="0041055D" w:rsidP="0041055D">
      <w:pPr>
        <w:pStyle w:val="StandardWeb"/>
      </w:pPr>
      <w:r>
        <w:t>Für sämtliche bislang geprüften Kandidaten gilt weiterhin</w:t>
      </w:r>
    </w:p>
    <w:p w:rsidR="0041055D" w:rsidRDefault="0041055D" w:rsidP="0041055D">
      <w:pPr>
        <w:pStyle w:val="berschrift1"/>
      </w:pPr>
      <w:r>
        <w:t>[</w:t>
      </w:r>
      <w:r>
        <w:br/>
        <w:t>\boxed{</w:t>
      </w:r>
      <w:r>
        <w:br/>
        <w:t>U_{\mathrm{Ax}}(A)</w:t>
      </w:r>
    </w:p>
    <w:p w:rsidR="0041055D" w:rsidRDefault="0041055D" w:rsidP="0041055D">
      <w:pPr>
        <w:pStyle w:val="StandardWeb"/>
      </w:pPr>
      <w:r>
        <w:t>0</w:t>
      </w:r>
      <w:r>
        <w:br/>
        <w:t>\qquad</w:t>
      </w:r>
      <w:r>
        <w:br/>
        <w:t>\forall</w:t>
      </w:r>
      <w:r>
        <w:br/>
        <w:t>A</w:t>
      </w:r>
      <w:r>
        <w:br/>
        <w:t>\in</w:t>
      </w:r>
      <w:r>
        <w:br/>
        <w:t>\mathcal A_{\mathrm{ext}}^{\mathrm{cand},2}.</w:t>
      </w:r>
      <w:r>
        <w:br/>
        <w:t>}</w:t>
      </w:r>
      <w:r>
        <w:br/>
        <w:t>\tag{3.14113}</w:t>
      </w:r>
      <w:r>
        <w:br/>
        <w:t>]</w:t>
      </w:r>
    </w:p>
    <w:p w:rsidR="0041055D" w:rsidRDefault="0041055D" w:rsidP="0041055D">
      <w:pPr>
        <w:pStyle w:val="StandardWeb"/>
      </w:pPr>
      <w:r>
        <w:rPr>
          <w:rStyle w:val="Fett"/>
        </w:rPr>
        <w:t>Word-LaTeX</w:t>
      </w:r>
    </w:p>
    <w:p w:rsidR="0041055D" w:rsidRDefault="0041055D" w:rsidP="0041055D">
      <w:pPr>
        <w:pStyle w:val="HTMLVorformatiert"/>
        <w:rPr>
          <w:rStyle w:val="HTMLCode"/>
        </w:rPr>
      </w:pPr>
      <w:r>
        <w:rPr>
          <w:rStyle w:val="HTMLCode"/>
        </w:rPr>
        <w:t>\boxed{U_{\mathrm{Ax}}(A)=0\qquad\forall A\in\mathcal A_{\mathrm{ext}}^{\mathrm{cand},2}.}</w:t>
      </w:r>
    </w:p>
    <w:p w:rsidR="0041055D" w:rsidRDefault="0041055D" w:rsidP="0041055D">
      <w:pPr>
        <w:pStyle w:val="StandardWeb"/>
      </w:pPr>
      <w:r>
        <w:t xml:space="preserve">Abschnitt </w:t>
      </w:r>
      <w:r>
        <w:rPr>
          <w:rStyle w:val="Fett"/>
        </w:rPr>
        <w:t>3.3.53 ist weiterhin nicht abgeschlossen</w:t>
      </w:r>
      <w:r>
        <w:t xml:space="preserve">. Als Nächstes untersuche ich </w:t>
      </w:r>
      <w:r>
        <w:rPr>
          <w:rStyle w:val="Fett"/>
        </w:rPr>
        <w:t>minimale und maximale Erweiterungen, Stabilität iterierter Erweiterungen, Relationserhaltung und Kohärenzverträglichkeit von Rekonstruktionen, Übergangsverträglichkeit von Liftings sowie schließlich die Minimalitätsfrage, ob Einbettung, Erweiterung, Lifting oder Rekonstruktion überhaupt im minimalen FRZK vorhanden sein müssen</w:t>
      </w:r>
      <w:r>
        <w:t>.</w:t>
      </w:r>
    </w:p>
    <w:p w:rsidR="0041055D" w:rsidRDefault="0041055D" w:rsidP="0041055D">
      <w:pPr>
        <w:pStyle w:val="StandardWeb"/>
      </w:pPr>
      <w:r>
        <w:t xml:space="preserve">Der nächste Startpunkt ist </w:t>
      </w:r>
      <w:r>
        <w:rPr>
          <w:rStyle w:val="Fett"/>
        </w:rPr>
        <w:t>3.3.53.156 / Gleichung (3.14114)</w:t>
      </w:r>
      <w:r>
        <w:t xml:space="preserve">, nächste Definition </w:t>
      </w:r>
      <w:r>
        <w:rPr>
          <w:rStyle w:val="Fett"/>
        </w:rPr>
        <w:t>3.3.658</w:t>
      </w:r>
      <w:r>
        <w:t xml:space="preserve">, nächster Satz </w:t>
      </w:r>
      <w:r>
        <w:rPr>
          <w:rStyle w:val="Fett"/>
        </w:rPr>
        <w:t>3.3.268</w:t>
      </w:r>
      <w:r>
        <w:t xml:space="preserve">, nächstes Korollar </w:t>
      </w:r>
      <w:r>
        <w:rPr>
          <w:rStyle w:val="Fett"/>
        </w:rPr>
        <w:t>3.3.76</w:t>
      </w:r>
      <w:r>
        <w:t>.</w:t>
      </w:r>
    </w:p>
    <w:p w:rsidR="00B520CF" w:rsidRDefault="00B520CF" w:rsidP="00B520CF">
      <w:pPr>
        <w:pStyle w:val="berschrift1"/>
        <w:rPr>
          <w:rFonts w:cs="Times New Roman"/>
          <w:sz w:val="48"/>
          <w:szCs w:val="48"/>
        </w:rPr>
      </w:pPr>
      <w:r>
        <w:lastRenderedPageBreak/>
        <w:t>3.3.53.156 Minimale und maximale funktionale Erweiterung</w:t>
      </w:r>
    </w:p>
    <w:p w:rsidR="00B520CF" w:rsidRDefault="00B520CF" w:rsidP="00B520CF">
      <w:pPr>
        <w:pStyle w:val="StandardWeb"/>
      </w:pPr>
      <w:r>
        <w:t>Nachdem ich in 3.3.53.153 und 3.3.53.154 eine funktionale Erweiterungsordnung (\preceq_{\mathrm{ext}}) eingeführt habe, kann ich nun Extremalelemente dieser Ordnung untersuchen.</w:t>
      </w:r>
    </w:p>
    <w:p w:rsidR="00B520CF" w:rsidRDefault="00B520CF" w:rsidP="00B520CF">
      <w:pPr>
        <w:pStyle w:val="StandardWeb"/>
      </w:pPr>
      <w:r>
        <w:t>Eine minimale Erweiterung (E_F^\star) erfüllt</w:t>
      </w:r>
    </w:p>
    <w:p w:rsidR="00B520CF" w:rsidRDefault="00B520CF" w:rsidP="00B520CF">
      <w:pPr>
        <w:pStyle w:val="StandardWeb"/>
      </w:pPr>
      <w:r>
        <w:t>[</w:t>
      </w:r>
      <w:r>
        <w:br/>
        <w:t>E_F^\star</w:t>
      </w:r>
      <w:r>
        <w:br/>
        <w:t>\preceq_{\mathrm{ext}}</w:t>
      </w:r>
      <w:r>
        <w:br/>
        <w:t>E_F</w:t>
      </w:r>
      <w:r>
        <w:br/>
        <w:t>\qquad</w:t>
      </w:r>
      <w:r>
        <w:br/>
        <w:t>\forall E_F\in\mathcal E_F.</w:t>
      </w:r>
      <w:r>
        <w:br/>
        <w:t>\tag{3.14114}</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E_F^\star\preceq_{\mathrm{ext}}E_F\qquad\forall E_F\in\mathcal E_F</w:t>
      </w:r>
    </w:p>
    <w:p w:rsidR="00B520CF" w:rsidRDefault="00B520CF" w:rsidP="00B520CF">
      <w:r>
        <w:pict>
          <v:rect id="_x0000_i6358" style="width:0;height:1.5pt" o:hralign="center" o:hrstd="t" o:hr="t" fillcolor="#a0a0a0" stroked="f"/>
        </w:pict>
      </w:r>
    </w:p>
    <w:p w:rsidR="00B520CF" w:rsidRDefault="00B520CF" w:rsidP="00B520CF">
      <w:pPr>
        <w:pStyle w:val="berschrift2"/>
      </w:pPr>
      <w:r>
        <w:t>3.3.53.157 Definition 3.3.658 – Minimale funktionale Erweiterung</w:t>
      </w:r>
    </w:p>
    <w:p w:rsidR="00B520CF" w:rsidRDefault="00B520CF" w:rsidP="00B520CF">
      <w:pPr>
        <w:pStyle w:val="berschrift3"/>
      </w:pPr>
      <w:r>
        <w:t>Definition 3.3.658</w:t>
      </w:r>
    </w:p>
    <w:p w:rsidR="00B520CF" w:rsidRDefault="00B520CF" w:rsidP="00B520CF">
      <w:pPr>
        <w:pStyle w:val="StandardWeb"/>
      </w:pPr>
      <w:r>
        <w:t xml:space="preserve">Eine Erweiterung (E_F^\star) heißt </w:t>
      </w:r>
      <w:r>
        <w:rPr>
          <w:rStyle w:val="Fett"/>
        </w:rPr>
        <w:t>minimal bezüglich (\preceq_{\mathrm{ext}})</w:t>
      </w:r>
      <w:r>
        <w:t>, wenn</w:t>
      </w:r>
    </w:p>
    <w:p w:rsidR="00B520CF" w:rsidRDefault="00B520CF" w:rsidP="00B520CF">
      <w:pPr>
        <w:pStyle w:val="StandardWeb"/>
      </w:pPr>
      <w:r>
        <w:t>[</w:t>
      </w:r>
      <w:r>
        <w:br/>
        <w:t>\boxed{</w:t>
      </w:r>
      <w:r>
        <w:br/>
        <w:t>E_F^\star</w:t>
      </w:r>
      <w:r>
        <w:br/>
        <w:t>\preceq_{\mathrm{ext}}</w:t>
      </w:r>
      <w:r>
        <w:br/>
        <w:t>E_F</w:t>
      </w:r>
      <w:r>
        <w:br/>
        <w:t>\qquad</w:t>
      </w:r>
      <w:r>
        <w:br/>
        <w:t>\forall E_F\in\mathcal E_F.</w:t>
      </w:r>
      <w:r>
        <w:br/>
        <w:t>}</w:t>
      </w:r>
      <w:r>
        <w:br/>
        <w:t>\tag{3.14115}</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\boxed{E_F^\star\preceq_{\mathrm{ext}}E_F\qquad\forall E_F\in\mathcal E_F.}</w:t>
      </w:r>
    </w:p>
    <w:p w:rsidR="00B520CF" w:rsidRDefault="00B520CF" w:rsidP="00B520CF">
      <w:r>
        <w:pict>
          <v:rect id="_x0000_i6359" style="width:0;height:1.5pt" o:hralign="center" o:hrstd="t" o:hr="t" fillcolor="#a0a0a0" stroked="f"/>
        </w:pict>
      </w:r>
    </w:p>
    <w:p w:rsidR="00B520CF" w:rsidRDefault="00B520CF" w:rsidP="00B520CF">
      <w:pPr>
        <w:pStyle w:val="berschrift1"/>
      </w:pPr>
      <w:r>
        <w:t>3.3.53.158 Existenz einer minimalen Erweiterung als Primäraxiomkandidat</w:t>
      </w:r>
    </w:p>
    <w:p w:rsidR="00B520CF" w:rsidRDefault="00B520CF" w:rsidP="00B520CF">
      <w:pPr>
        <w:pStyle w:val="StandardWeb"/>
      </w:pPr>
      <w:r>
        <w:lastRenderedPageBreak/>
        <w:t>Der Kandidat lautet</w:t>
      </w:r>
    </w:p>
    <w:p w:rsidR="00B520CF" w:rsidRDefault="00B520CF" w:rsidP="00B520CF">
      <w:pPr>
        <w:pStyle w:val="StandardWeb"/>
      </w:pPr>
      <w:r>
        <w:t>[</w:t>
      </w:r>
      <w:r>
        <w:br/>
        <w:t>A_{\mathrm{ext-min}}</w:t>
      </w:r>
      <w:r>
        <w:br/>
        <w:t>:</w:t>
      </w:r>
      <w:r>
        <w:br/>
        <w:t>\exists E_F^\star.</w:t>
      </w:r>
      <w:r>
        <w:br/>
        <w:t>\tag{3.14116}</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A_{\mathrm{ext-min}}:\exists E_F^\star</w:t>
      </w:r>
    </w:p>
    <w:p w:rsidR="00B520CF" w:rsidRDefault="00B520CF" w:rsidP="00B520CF">
      <w:r>
        <w:pict>
          <v:rect id="_x0000_i6360" style="width:0;height:1.5pt" o:hralign="center" o:hrstd="t" o:hr="t" fillcolor="#a0a0a0" stroked="f"/>
        </w:pict>
      </w:r>
    </w:p>
    <w:p w:rsidR="00B520CF" w:rsidRDefault="00B520CF" w:rsidP="00B520CF">
      <w:pPr>
        <w:pStyle w:val="berschrift1"/>
      </w:pPr>
      <w:r>
        <w:t>3.3.53.159 Gegenmodell ohne minimale Erweiterung</w:t>
      </w:r>
    </w:p>
    <w:p w:rsidR="00B520CF" w:rsidRDefault="00B520CF" w:rsidP="00B520CF">
      <w:pPr>
        <w:pStyle w:val="StandardWeb"/>
      </w:pPr>
      <w:r>
        <w:t>Eine Erweiterungsordnung kann eine streng absteigende Folge besitzen:</w:t>
      </w:r>
    </w:p>
    <w:p w:rsidR="00B520CF" w:rsidRDefault="00B520CF" w:rsidP="00B520CF">
      <w:pPr>
        <w:pStyle w:val="StandardWeb"/>
      </w:pPr>
      <w:r>
        <w:t>[</w:t>
      </w:r>
      <w:r>
        <w:br/>
        <w:t>E_{F,1}</w:t>
      </w:r>
      <w:r>
        <w:br/>
        <w:t>\succ_{\mathrm{ext}}</w:t>
      </w:r>
      <w:r>
        <w:br/>
        <w:t>E_{F,2}</w:t>
      </w:r>
      <w:r>
        <w:br/>
        <w:t>\succ_{\mathrm{ext}}</w:t>
      </w:r>
      <w:r>
        <w:br/>
        <w:t>E_{F,3}</w:t>
      </w:r>
      <w:r>
        <w:br/>
        <w:t>\succ_{\mathrm{ext}}</w:t>
      </w:r>
      <w:r>
        <w:br/>
        <w:t>\cdots.</w:t>
      </w:r>
      <w:r>
        <w:br/>
        <w:t>\tag{3.14117}</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E_{F,1}\succ_{\mathrm{ext}}E_{F,2}\succ_{\mathrm{ext}}E_{F,3}\succ_{\mathrm{ext}}\cdots</w:t>
      </w:r>
    </w:p>
    <w:p w:rsidR="00B520CF" w:rsidRDefault="00B520CF" w:rsidP="00B520CF">
      <w:pPr>
        <w:pStyle w:val="StandardWeb"/>
      </w:pPr>
      <w:r>
        <w:t>Dabei kann für jedes Element ein kleineres existieren:</w:t>
      </w:r>
    </w:p>
    <w:p w:rsidR="00B520CF" w:rsidRDefault="00B520CF" w:rsidP="00B520CF">
      <w:pPr>
        <w:pStyle w:val="StandardWeb"/>
      </w:pPr>
      <w:r>
        <w:t>[</w:t>
      </w:r>
      <w:r>
        <w:br/>
        <w:t>\forall n</w:t>
      </w:r>
      <w:r>
        <w:br/>
        <w:t>\quad</w:t>
      </w:r>
      <w:r>
        <w:br/>
        <w:t>\exists E_{F,n+1}</w:t>
      </w:r>
      <w:r>
        <w:br/>
        <w:t>:</w:t>
      </w:r>
      <w:r>
        <w:br/>
        <w:t>E_{F,n+1}</w:t>
      </w:r>
      <w:r>
        <w:br/>
        <w:t>\prec_{\mathrm{ext}}</w:t>
      </w:r>
      <w:r>
        <w:br/>
        <w:t>E_{F,n}.</w:t>
      </w:r>
      <w:r>
        <w:br/>
        <w:t>\tag{3.14118}</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\forall n\quad\exists E_{F,n+1}:E_{F,n+1}\prec_{\mathrm{ext}}E_{F,n}</w:t>
      </w:r>
    </w:p>
    <w:p w:rsidR="00B520CF" w:rsidRDefault="00B520CF" w:rsidP="00B520CF">
      <w:r>
        <w:pict>
          <v:rect id="_x0000_i6361" style="width:0;height:1.5pt" o:hralign="center" o:hrstd="t" o:hr="t" fillcolor="#a0a0a0" stroked="f"/>
        </w:pict>
      </w:r>
    </w:p>
    <w:p w:rsidR="00B520CF" w:rsidRDefault="00B520CF" w:rsidP="00B520CF">
      <w:pPr>
        <w:pStyle w:val="berschrift1"/>
      </w:pPr>
      <w:r>
        <w:lastRenderedPageBreak/>
        <w:t>3.3.53.160 Axiomentscheidung zur minimalen Erweiterung</w:t>
      </w:r>
    </w:p>
    <w:p w:rsidR="00B520CF" w:rsidRDefault="00B520CF" w:rsidP="00B520CF">
      <w:pPr>
        <w:pStyle w:val="StandardWeb"/>
      </w:pPr>
      <w:r>
        <w:t>Damit gilt</w:t>
      </w:r>
    </w:p>
    <w:p w:rsidR="00B520CF" w:rsidRDefault="00B520CF" w:rsidP="00B520CF">
      <w:pPr>
        <w:pStyle w:val="berschrift1"/>
      </w:pPr>
      <w:r>
        <w:t>[</w:t>
      </w:r>
      <w:r>
        <w:br/>
        <w:t>\boxed{</w:t>
      </w:r>
      <w:r>
        <w:br/>
        <w:t>U_{\mathrm{Ax}}</w:t>
      </w:r>
      <w:r>
        <w:br/>
        <w:t>(A_{\mathrm{ext-min}})</w:t>
      </w:r>
    </w:p>
    <w:p w:rsidR="00B520CF" w:rsidRDefault="00B520CF" w:rsidP="009F7790">
      <w:pPr>
        <w:numPr>
          <w:ilvl w:val="0"/>
          <w:numId w:val="770"/>
        </w:numPr>
        <w:spacing w:before="100" w:beforeAutospacing="1" w:after="100" w:afterAutospacing="1"/>
      </w:pPr>
    </w:p>
    <w:p w:rsidR="00B520CF" w:rsidRDefault="00B520CF" w:rsidP="00B520CF">
      <w:pPr>
        <w:pStyle w:val="StandardWeb"/>
      </w:pPr>
      <w:r>
        <w:t>}</w:t>
      </w:r>
      <w:r>
        <w:br/>
        <w:t>\tag{3.14119}</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\boxed{U_{\mathrm{Ax}}(A_{\mathrm{ext-min}})=0.}</w:t>
      </w:r>
    </w:p>
    <w:p w:rsidR="00B520CF" w:rsidRDefault="00B520CF" w:rsidP="00B520CF">
      <w:r>
        <w:pict>
          <v:rect id="_x0000_i6362" style="width:0;height:1.5pt" o:hralign="center" o:hrstd="t" o:hr="t" fillcolor="#a0a0a0" stroked="f"/>
        </w:pict>
      </w:r>
    </w:p>
    <w:p w:rsidR="00B520CF" w:rsidRDefault="00B520CF" w:rsidP="00B520CF">
      <w:pPr>
        <w:pStyle w:val="berschrift1"/>
      </w:pPr>
      <w:r>
        <w:t>3.3.53.161 Satz 3.3.268 – Die Existenz einer minimalen Erweiterung ist kein Primäraxiom</w:t>
      </w:r>
    </w:p>
    <w:p w:rsidR="00B520CF" w:rsidRDefault="00B520CF" w:rsidP="00B520CF">
      <w:pPr>
        <w:pStyle w:val="berschrift3"/>
      </w:pPr>
      <w:r>
        <w:t>Satz 3.3.268</w:t>
      </w:r>
    </w:p>
    <w:p w:rsidR="00B520CF" w:rsidRDefault="00B520CF" w:rsidP="00B520CF">
      <w:pPr>
        <w:pStyle w:val="StandardWeb"/>
      </w:pPr>
      <w:r>
        <w:t>Die Forderung, jede zulässige Menge funktionaler Erweiterungen müsse bezüglich einer Erweiterungsordnung ein minimales Element besitzen, ist keine universell notwendige Voraussetzung des allgemeinen FRZK.</w:t>
      </w:r>
    </w:p>
    <w:p w:rsidR="00B520CF" w:rsidRDefault="00B520CF" w:rsidP="00B520CF">
      <w:pPr>
        <w:pStyle w:val="berschrift1"/>
      </w:pPr>
      <w:r>
        <w:t>[</w:t>
      </w:r>
      <w:r>
        <w:br/>
        <w:t>\boxed{</w:t>
      </w:r>
      <w:r>
        <w:br/>
        <w:t>U_{\mathrm{Ax}}</w:t>
      </w:r>
      <w:r>
        <w:br/>
        <w:t>(A_{\mathrm{ext-min}})</w:t>
      </w:r>
    </w:p>
    <w:p w:rsidR="00B520CF" w:rsidRDefault="00B520CF" w:rsidP="009F7790">
      <w:pPr>
        <w:numPr>
          <w:ilvl w:val="0"/>
          <w:numId w:val="771"/>
        </w:numPr>
        <w:spacing w:before="100" w:beforeAutospacing="1" w:after="100" w:afterAutospacing="1"/>
      </w:pPr>
    </w:p>
    <w:p w:rsidR="00B520CF" w:rsidRDefault="00B520CF" w:rsidP="00B520CF">
      <w:pPr>
        <w:pStyle w:val="StandardWeb"/>
      </w:pPr>
      <w:r>
        <w:t>}</w:t>
      </w:r>
      <w:r>
        <w:br/>
        <w:t>\tag{3.14120}</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lastRenderedPageBreak/>
        <w:t>\boxed{U_{\mathrm{Ax}}(A_{\mathrm{ext-min}})=0.}</w:t>
      </w:r>
    </w:p>
    <w:p w:rsidR="00B520CF" w:rsidRDefault="00B520CF" w:rsidP="00B520CF">
      <w:r>
        <w:pict>
          <v:rect id="_x0000_i6363" style="width:0;height:1.5pt" o:hralign="center" o:hrstd="t" o:hr="t" fillcolor="#a0a0a0" stroked="f"/>
        </w:pict>
      </w:r>
    </w:p>
    <w:p w:rsidR="00B520CF" w:rsidRDefault="00B520CF" w:rsidP="00B520CF">
      <w:pPr>
        <w:pStyle w:val="berschrift1"/>
      </w:pPr>
      <w:r>
        <w:t>3.3.53.162 Maximale funktionale Erweiterung</w:t>
      </w:r>
    </w:p>
    <w:p w:rsidR="00B520CF" w:rsidRDefault="00B520CF" w:rsidP="00B520CF">
      <w:pPr>
        <w:pStyle w:val="StandardWeb"/>
      </w:pPr>
      <w:r>
        <w:t>Analog kann ein maximales Element definiert werden:</w:t>
      </w:r>
    </w:p>
    <w:p w:rsidR="00B520CF" w:rsidRDefault="00B520CF" w:rsidP="00B520CF">
      <w:pPr>
        <w:pStyle w:val="StandardWeb"/>
      </w:pPr>
      <w:r>
        <w:t>[</w:t>
      </w:r>
      <w:r>
        <w:br/>
        <w:t>E_F</w:t>
      </w:r>
      <w:r>
        <w:br/>
        <w:t>\preceq_{\mathrm{ext}}</w:t>
      </w:r>
      <w:r>
        <w:br/>
        <w:t>E_F^{\max}</w:t>
      </w:r>
      <w:r>
        <w:br/>
        <w:t>\qquad</w:t>
      </w:r>
      <w:r>
        <w:br/>
        <w:t>\forall E_F\in\mathcal E_F.</w:t>
      </w:r>
      <w:r>
        <w:br/>
        <w:t>\tag{3.14121}</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E_F\preceq_{\mathrm{ext}}E_F^{\max}\qquad\forall E_F\in\mathcal E_F</w:t>
      </w:r>
    </w:p>
    <w:p w:rsidR="00B520CF" w:rsidRDefault="00B520CF" w:rsidP="00B520CF">
      <w:r>
        <w:pict>
          <v:rect id="_x0000_i6364" style="width:0;height:1.5pt" o:hralign="center" o:hrstd="t" o:hr="t" fillcolor="#a0a0a0" stroked="f"/>
        </w:pict>
      </w:r>
    </w:p>
    <w:p w:rsidR="00B520CF" w:rsidRDefault="00B520CF" w:rsidP="00B520CF">
      <w:pPr>
        <w:pStyle w:val="berschrift2"/>
      </w:pPr>
      <w:r>
        <w:t>3.3.53.163 Definition 3.3.659 – Maximale funktionale Erweiterung</w:t>
      </w:r>
    </w:p>
    <w:p w:rsidR="00B520CF" w:rsidRDefault="00B520CF" w:rsidP="00B520CF">
      <w:pPr>
        <w:pStyle w:val="berschrift3"/>
      </w:pPr>
      <w:r>
        <w:t>Definition 3.3.659</w:t>
      </w:r>
    </w:p>
    <w:p w:rsidR="00B520CF" w:rsidRDefault="00B520CF" w:rsidP="00B520CF">
      <w:pPr>
        <w:pStyle w:val="StandardWeb"/>
      </w:pPr>
      <w:r>
        <w:t xml:space="preserve">Eine Erweiterung (E_F^{\max}) heißt </w:t>
      </w:r>
      <w:r>
        <w:rPr>
          <w:rStyle w:val="Fett"/>
        </w:rPr>
        <w:t>maximal bezüglich (\preceq_{\mathrm{ext}})</w:t>
      </w:r>
      <w:r>
        <w:t>, wenn</w:t>
      </w:r>
    </w:p>
    <w:p w:rsidR="00B520CF" w:rsidRDefault="00B520CF" w:rsidP="00B520CF">
      <w:pPr>
        <w:pStyle w:val="StandardWeb"/>
      </w:pPr>
      <w:r>
        <w:t>[</w:t>
      </w:r>
      <w:r>
        <w:br/>
        <w:t>\boxed{</w:t>
      </w:r>
      <w:r>
        <w:br/>
        <w:t>E_F</w:t>
      </w:r>
      <w:r>
        <w:br/>
        <w:t>\preceq_{\mathrm{ext}}</w:t>
      </w:r>
      <w:r>
        <w:br/>
        <w:t>E_F^{\max}</w:t>
      </w:r>
      <w:r>
        <w:br/>
        <w:t>\qquad</w:t>
      </w:r>
      <w:r>
        <w:br/>
        <w:t>\forall E_F\in\mathcal E_F.</w:t>
      </w:r>
      <w:r>
        <w:br/>
        <w:t>}</w:t>
      </w:r>
      <w:r>
        <w:br/>
        <w:t>\tag{3.14122}</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\boxed{E_F\preceq_{\mathrm{ext}}E_F^{\max}\qquad\forall E_F\in\mathcal E_F.}</w:t>
      </w:r>
    </w:p>
    <w:p w:rsidR="00B520CF" w:rsidRDefault="00B520CF" w:rsidP="00B520CF">
      <w:r>
        <w:pict>
          <v:rect id="_x0000_i6365" style="width:0;height:1.5pt" o:hralign="center" o:hrstd="t" o:hr="t" fillcolor="#a0a0a0" stroked="f"/>
        </w:pict>
      </w:r>
    </w:p>
    <w:p w:rsidR="00B520CF" w:rsidRDefault="00B520CF" w:rsidP="00B520CF">
      <w:pPr>
        <w:pStyle w:val="berschrift1"/>
      </w:pPr>
      <w:r>
        <w:t>3.3.53.164 Existenz einer maximalen Erweiterung als Primäraxiomkandidat</w:t>
      </w:r>
    </w:p>
    <w:p w:rsidR="00B520CF" w:rsidRDefault="00B520CF" w:rsidP="00B520CF">
      <w:pPr>
        <w:pStyle w:val="StandardWeb"/>
      </w:pPr>
      <w:r>
        <w:t>Der Kandidat lautet</w:t>
      </w:r>
    </w:p>
    <w:p w:rsidR="00B520CF" w:rsidRDefault="00B520CF" w:rsidP="00B520CF">
      <w:pPr>
        <w:pStyle w:val="StandardWeb"/>
      </w:pPr>
      <w:r>
        <w:lastRenderedPageBreak/>
        <w:t>[</w:t>
      </w:r>
      <w:r>
        <w:br/>
        <w:t>A_{\mathrm{ext-max}}</w:t>
      </w:r>
      <w:r>
        <w:br/>
        <w:t>:</w:t>
      </w:r>
      <w:r>
        <w:br/>
        <w:t>\exists E_F^{\max}.</w:t>
      </w:r>
      <w:r>
        <w:br/>
        <w:t>\tag{3.14123}</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A_{\mathrm{ext-max}}:\exists E_F^{\max}</w:t>
      </w:r>
    </w:p>
    <w:p w:rsidR="00B520CF" w:rsidRDefault="00B520CF" w:rsidP="00B520CF">
      <w:r>
        <w:pict>
          <v:rect id="_x0000_i6366" style="width:0;height:1.5pt" o:hralign="center" o:hrstd="t" o:hr="t" fillcolor="#a0a0a0" stroked="f"/>
        </w:pict>
      </w:r>
    </w:p>
    <w:p w:rsidR="00B520CF" w:rsidRDefault="00B520CF" w:rsidP="00B520CF">
      <w:pPr>
        <w:pStyle w:val="berschrift1"/>
      </w:pPr>
      <w:r>
        <w:t>3.3.53.165 Gegenmodell ohne maximale Erweiterung</w:t>
      </w:r>
    </w:p>
    <w:p w:rsidR="00B520CF" w:rsidRDefault="00B520CF" w:rsidP="00B520CF">
      <w:pPr>
        <w:pStyle w:val="StandardWeb"/>
      </w:pPr>
      <w:r>
        <w:t>Eine Erweiterungsordnung kann eine streng aufsteigende Folge besitzen:</w:t>
      </w:r>
    </w:p>
    <w:p w:rsidR="00B520CF" w:rsidRDefault="00B520CF" w:rsidP="00B520CF">
      <w:pPr>
        <w:pStyle w:val="StandardWeb"/>
      </w:pPr>
      <w:r>
        <w:t>[</w:t>
      </w:r>
      <w:r>
        <w:br/>
        <w:t>E_{F,1}</w:t>
      </w:r>
      <w:r>
        <w:br/>
        <w:t>\prec_{\mathrm{ext}}</w:t>
      </w:r>
      <w:r>
        <w:br/>
        <w:t>E_{F,2}</w:t>
      </w:r>
      <w:r>
        <w:br/>
        <w:t>\prec_{\mathrm{ext}}</w:t>
      </w:r>
      <w:r>
        <w:br/>
        <w:t>E_{F,3}</w:t>
      </w:r>
      <w:r>
        <w:br/>
        <w:t>\prec_{\mathrm{ext}}</w:t>
      </w:r>
      <w:r>
        <w:br/>
        <w:t>\cdots.</w:t>
      </w:r>
      <w:r>
        <w:br/>
        <w:t>\tag{3.14124}</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E_{F,1}\prec_{\mathrm{ext}}E_{F,2}\prec_{\mathrm{ext}}E_{F,3}\prec_{\mathrm{ext}}\cdots</w:t>
      </w:r>
    </w:p>
    <w:p w:rsidR="00B520CF" w:rsidRDefault="00B520CF" w:rsidP="00B520CF">
      <w:pPr>
        <w:pStyle w:val="StandardWeb"/>
      </w:pPr>
      <w:r>
        <w:t>Dann kann für jedes Element ein größeres existieren:</w:t>
      </w:r>
    </w:p>
    <w:p w:rsidR="00B520CF" w:rsidRDefault="00B520CF" w:rsidP="00B520CF">
      <w:pPr>
        <w:pStyle w:val="StandardWeb"/>
      </w:pPr>
      <w:r>
        <w:t>[</w:t>
      </w:r>
      <w:r>
        <w:br/>
        <w:t>\forall n</w:t>
      </w:r>
      <w:r>
        <w:br/>
        <w:t>\quad</w:t>
      </w:r>
      <w:r>
        <w:br/>
        <w:t>\exists E_{F,n+1}</w:t>
      </w:r>
      <w:r>
        <w:br/>
        <w:t>:</w:t>
      </w:r>
      <w:r>
        <w:br/>
        <w:t>E_{F,n}</w:t>
      </w:r>
      <w:r>
        <w:br/>
        <w:t>\prec_{\mathrm{ext}}</w:t>
      </w:r>
      <w:r>
        <w:br/>
        <w:t>E_{F,n+1}.</w:t>
      </w:r>
      <w:r>
        <w:br/>
        <w:t>\tag{3.14125}</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\forall n\quad\exists E_{F,n+1}:E_{F,n}\prec_{\mathrm{ext}}E_{F,n+1}</w:t>
      </w:r>
    </w:p>
    <w:p w:rsidR="00B520CF" w:rsidRDefault="00B520CF" w:rsidP="00B520CF">
      <w:r>
        <w:pict>
          <v:rect id="_x0000_i6367" style="width:0;height:1.5pt" o:hralign="center" o:hrstd="t" o:hr="t" fillcolor="#a0a0a0" stroked="f"/>
        </w:pict>
      </w:r>
    </w:p>
    <w:p w:rsidR="00B520CF" w:rsidRDefault="00B520CF" w:rsidP="00B520CF">
      <w:pPr>
        <w:pStyle w:val="berschrift1"/>
      </w:pPr>
      <w:r>
        <w:lastRenderedPageBreak/>
        <w:t>3.3.53.166 Axiomentscheidung zur maximalen Erweiterung</w:t>
      </w:r>
    </w:p>
    <w:p w:rsidR="00B520CF" w:rsidRDefault="00B520CF" w:rsidP="00B520CF">
      <w:pPr>
        <w:pStyle w:val="StandardWeb"/>
      </w:pPr>
      <w:r>
        <w:t>Daraus folgt</w:t>
      </w:r>
    </w:p>
    <w:p w:rsidR="00B520CF" w:rsidRDefault="00B520CF" w:rsidP="00B520CF">
      <w:pPr>
        <w:pStyle w:val="berschrift1"/>
      </w:pPr>
      <w:r>
        <w:t>[</w:t>
      </w:r>
      <w:r>
        <w:br/>
        <w:t>\boxed{</w:t>
      </w:r>
      <w:r>
        <w:br/>
        <w:t>U_{\mathrm{Ax}}</w:t>
      </w:r>
      <w:r>
        <w:br/>
        <w:t>(A_{\mathrm{ext-max}})</w:t>
      </w:r>
    </w:p>
    <w:p w:rsidR="00B520CF" w:rsidRDefault="00B520CF" w:rsidP="009F7790">
      <w:pPr>
        <w:numPr>
          <w:ilvl w:val="0"/>
          <w:numId w:val="772"/>
        </w:numPr>
        <w:spacing w:before="100" w:beforeAutospacing="1" w:after="100" w:afterAutospacing="1"/>
      </w:pPr>
    </w:p>
    <w:p w:rsidR="00B520CF" w:rsidRDefault="00B520CF" w:rsidP="00B520CF">
      <w:pPr>
        <w:pStyle w:val="StandardWeb"/>
      </w:pPr>
      <w:r>
        <w:t>}</w:t>
      </w:r>
      <w:r>
        <w:br/>
        <w:t>\tag{3.14126}</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\boxed{U_{\mathrm{Ax}}(A_{\mathrm{ext-max}})=0.}</w:t>
      </w:r>
    </w:p>
    <w:p w:rsidR="00B520CF" w:rsidRDefault="00B520CF" w:rsidP="00B520CF">
      <w:r>
        <w:pict>
          <v:rect id="_x0000_i6368" style="width:0;height:1.5pt" o:hralign="center" o:hrstd="t" o:hr="t" fillcolor="#a0a0a0" stroked="f"/>
        </w:pict>
      </w:r>
    </w:p>
    <w:p w:rsidR="00B520CF" w:rsidRDefault="00B520CF" w:rsidP="00B520CF">
      <w:pPr>
        <w:pStyle w:val="berschrift1"/>
      </w:pPr>
      <w:r>
        <w:t>3.3.53.167 Satz 3.3.269 – Die Existenz einer maximalen Erweiterung ist kein Primäraxiom</w:t>
      </w:r>
    </w:p>
    <w:p w:rsidR="00B520CF" w:rsidRDefault="00B520CF" w:rsidP="00B520CF">
      <w:pPr>
        <w:pStyle w:val="berschrift3"/>
      </w:pPr>
      <w:r>
        <w:t>Satz 3.3.269</w:t>
      </w:r>
    </w:p>
    <w:p w:rsidR="00B520CF" w:rsidRDefault="00B520CF" w:rsidP="00B520CF">
      <w:pPr>
        <w:pStyle w:val="StandardWeb"/>
      </w:pPr>
      <w:r>
        <w:t>Die Forderung, jede zulässige Menge funktionaler Erweiterungen müsse bezüglich einer Erweiterungsordnung ein maximales Element besitzen, ist keine universell notwendige Voraussetzung des allgemeinen FRZK.</w:t>
      </w:r>
    </w:p>
    <w:p w:rsidR="00B520CF" w:rsidRDefault="00B520CF" w:rsidP="00B520CF">
      <w:pPr>
        <w:pStyle w:val="berschrift1"/>
      </w:pPr>
      <w:r>
        <w:t>[</w:t>
      </w:r>
      <w:r>
        <w:br/>
        <w:t>\boxed{</w:t>
      </w:r>
      <w:r>
        <w:br/>
        <w:t>U_{\mathrm{Ax}}</w:t>
      </w:r>
      <w:r>
        <w:br/>
        <w:t>(A_{\mathrm{ext-max}})</w:t>
      </w:r>
    </w:p>
    <w:p w:rsidR="00B520CF" w:rsidRDefault="00B520CF" w:rsidP="009F7790">
      <w:pPr>
        <w:numPr>
          <w:ilvl w:val="0"/>
          <w:numId w:val="773"/>
        </w:numPr>
        <w:spacing w:before="100" w:beforeAutospacing="1" w:after="100" w:afterAutospacing="1"/>
      </w:pPr>
    </w:p>
    <w:p w:rsidR="00B520CF" w:rsidRDefault="00B520CF" w:rsidP="00B520CF">
      <w:pPr>
        <w:pStyle w:val="StandardWeb"/>
      </w:pPr>
      <w:r>
        <w:t>}</w:t>
      </w:r>
      <w:r>
        <w:br/>
        <w:t>\tag{3.14127}</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lastRenderedPageBreak/>
        <w:t>\boxed{U_{\mathrm{Ax}}(A_{\mathrm{ext-max}})=0.}</w:t>
      </w:r>
    </w:p>
    <w:p w:rsidR="00B520CF" w:rsidRDefault="00B520CF" w:rsidP="00B520CF">
      <w:r>
        <w:pict>
          <v:rect id="_x0000_i6369" style="width:0;height:1.5pt" o:hralign="center" o:hrstd="t" o:hr="t" fillcolor="#a0a0a0" stroked="f"/>
        </w:pict>
      </w:r>
    </w:p>
    <w:p w:rsidR="00B520CF" w:rsidRDefault="00B520CF" w:rsidP="00B520CF">
      <w:pPr>
        <w:pStyle w:val="berschrift1"/>
      </w:pPr>
      <w:r>
        <w:t>3.3.53.168 Korollar 3.3.76 – Extremale Erweiterungsstrukturen sind modellabhängig</w:t>
      </w:r>
    </w:p>
    <w:p w:rsidR="00B520CF" w:rsidRDefault="00B520CF" w:rsidP="00B520CF">
      <w:pPr>
        <w:pStyle w:val="berschrift3"/>
      </w:pPr>
      <w:r>
        <w:t>Korollar 3.3.76</w:t>
      </w:r>
    </w:p>
    <w:p w:rsidR="00B520CF" w:rsidRDefault="00B520CF" w:rsidP="00B520CF">
      <w:pPr>
        <w:pStyle w:val="StandardWeb"/>
      </w:pPr>
      <w:r>
        <w:t>Aus den Sätzen 3.3.268 und 3.3.269 folgt</w:t>
      </w:r>
    </w:p>
    <w:p w:rsidR="00B520CF" w:rsidRDefault="00B520CF" w:rsidP="00B520CF">
      <w:pPr>
        <w:pStyle w:val="berschrift1"/>
      </w:pPr>
      <w:r>
        <w:t>[</w:t>
      </w:r>
      <w:r>
        <w:br/>
        <w:t>\boxed{</w:t>
      </w:r>
      <w:r>
        <w:br/>
        <w:t>\operatorname{Stat}</w:t>
      </w:r>
      <w:r>
        <w:br/>
        <w:t>(E_F^\star,E_F^{\max})</w:t>
      </w:r>
    </w:p>
    <w:p w:rsidR="00B520CF" w:rsidRDefault="00B520CF" w:rsidP="00B520CF">
      <w:pPr>
        <w:pStyle w:val="StandardWeb"/>
      </w:pPr>
      <w:r>
        <w:t>\mathrm{Def/Mod/Op}.</w:t>
      </w:r>
      <w:r>
        <w:br/>
        <w:t>}</w:t>
      </w:r>
      <w:r>
        <w:br/>
        <w:t>\tag{3.14128}</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\boxed{\operatorname{Stat}(E_F^\star,E_F^{\max})=\mathrm{Def/Mod/Op}.}</w:t>
      </w:r>
    </w:p>
    <w:p w:rsidR="00B520CF" w:rsidRDefault="00B520CF" w:rsidP="00B520CF">
      <w:r>
        <w:pict>
          <v:rect id="_x0000_i6370" style="width:0;height:1.5pt" o:hralign="center" o:hrstd="t" o:hr="t" fillcolor="#a0a0a0" stroked="f"/>
        </w:pict>
      </w:r>
    </w:p>
    <w:p w:rsidR="00B520CF" w:rsidRDefault="00B520CF" w:rsidP="00B520CF">
      <w:pPr>
        <w:pStyle w:val="berschrift1"/>
      </w:pPr>
      <w:r>
        <w:t>3.3.53.169 Iterierte Erweiterung</w:t>
      </w:r>
    </w:p>
    <w:p w:rsidR="00B520CF" w:rsidRDefault="00B520CF" w:rsidP="00B520CF">
      <w:pPr>
        <w:pStyle w:val="StandardWeb"/>
      </w:pPr>
      <w:r>
        <w:t>Eine Erweiterungsabbildung kann wiederholt angewendet werden:</w:t>
      </w:r>
    </w:p>
    <w:p w:rsidR="00B520CF" w:rsidRDefault="00B520CF" w:rsidP="00B520CF">
      <w:pPr>
        <w:pStyle w:val="StandardWeb"/>
      </w:pPr>
      <w:r>
        <w:t>[</w:t>
      </w:r>
      <w:r>
        <w:br/>
        <w:t>E_F^{,n}(X).</w:t>
      </w:r>
      <w:r>
        <w:br/>
        <w:t>\tag{3.14129}</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E_F^{\,n}(X)</w:t>
      </w:r>
    </w:p>
    <w:p w:rsidR="00B520CF" w:rsidRDefault="00B520CF" w:rsidP="00B520CF">
      <w:r>
        <w:pict>
          <v:rect id="_x0000_i6371" style="width:0;height:1.5pt" o:hralign="center" o:hrstd="t" o:hr="t" fillcolor="#a0a0a0" stroked="f"/>
        </w:pict>
      </w:r>
    </w:p>
    <w:p w:rsidR="00B520CF" w:rsidRDefault="00B520CF" w:rsidP="00B520CF">
      <w:pPr>
        <w:pStyle w:val="berschrift2"/>
      </w:pPr>
      <w:r>
        <w:t>3.3.53.170 Definition 3.3.660 – Funktionale Erweiterungsiteration</w:t>
      </w:r>
    </w:p>
    <w:p w:rsidR="00B520CF" w:rsidRDefault="00B520CF" w:rsidP="00B520CF">
      <w:pPr>
        <w:pStyle w:val="berschrift3"/>
      </w:pPr>
      <w:r>
        <w:t>Definition 3.3.660</w:t>
      </w:r>
    </w:p>
    <w:p w:rsidR="00B520CF" w:rsidRDefault="00B520CF" w:rsidP="00B520CF">
      <w:pPr>
        <w:pStyle w:val="StandardWeb"/>
      </w:pPr>
      <w:r>
        <w:t xml:space="preserve">Die </w:t>
      </w:r>
      <w:r>
        <w:rPr>
          <w:rStyle w:val="Fett"/>
        </w:rPr>
        <w:t>(n)-fache funktionale Erweiterungsiteration</w:t>
      </w:r>
      <w:r>
        <w:t xml:space="preserve"> ist rekursiv definiert durch</w:t>
      </w:r>
    </w:p>
    <w:p w:rsidR="00B520CF" w:rsidRDefault="00B520CF" w:rsidP="00B520CF">
      <w:pPr>
        <w:pStyle w:val="berschrift1"/>
      </w:pPr>
      <w:r>
        <w:lastRenderedPageBreak/>
        <w:t>[</w:t>
      </w:r>
      <w:r>
        <w:br/>
        <w:t>\boxed{</w:t>
      </w:r>
      <w:r>
        <w:br/>
        <w:t>E_F^{,0}</w:t>
      </w:r>
    </w:p>
    <w:p w:rsidR="00B520CF" w:rsidRDefault="00B520CF" w:rsidP="00B520CF">
      <w:pPr>
        <w:pStyle w:val="berschrift1"/>
      </w:pPr>
      <w:r>
        <w:t>\operatorname{id},</w:t>
      </w:r>
      <w:r>
        <w:br/>
        <w:t>\qquad</w:t>
      </w:r>
      <w:r>
        <w:br/>
        <w:t>E_F^{,n+1}</w:t>
      </w:r>
    </w:p>
    <w:p w:rsidR="00B520CF" w:rsidRDefault="00B520CF" w:rsidP="00B520CF">
      <w:pPr>
        <w:pStyle w:val="StandardWeb"/>
      </w:pPr>
      <w:r>
        <w:t>E_F</w:t>
      </w:r>
      <w:r>
        <w:br/>
        <w:t>\circ</w:t>
      </w:r>
      <w:r>
        <w:br/>
        <w:t>E_F^{,n}.</w:t>
      </w:r>
      <w:r>
        <w:br/>
        <w:t>}</w:t>
      </w:r>
      <w:r>
        <w:br/>
        <w:t>\tag{3.14130}</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\boxed{E_F^{\,0}=\operatorname{id},\qquad E_F^{\,n+1}=E_F\circ E_F^{\,n}.}</w:t>
      </w:r>
    </w:p>
    <w:p w:rsidR="00B520CF" w:rsidRDefault="00B520CF" w:rsidP="00B520CF">
      <w:r>
        <w:pict>
          <v:rect id="_x0000_i6372" style="width:0;height:1.5pt" o:hralign="center" o:hrstd="t" o:hr="t" fillcolor="#a0a0a0" stroked="f"/>
        </w:pict>
      </w:r>
    </w:p>
    <w:p w:rsidR="00B520CF" w:rsidRDefault="00B520CF" w:rsidP="00B520CF">
      <w:pPr>
        <w:pStyle w:val="berschrift1"/>
      </w:pPr>
      <w:r>
        <w:t>3.3.53.171 Erweiterungsfixpunkt</w:t>
      </w:r>
    </w:p>
    <w:p w:rsidR="00B520CF" w:rsidRDefault="00B520CF" w:rsidP="00B520CF">
      <w:pPr>
        <w:pStyle w:val="StandardWeb"/>
      </w:pPr>
      <w:r>
        <w:t>Ein Objekt kann unter der Erweiterung unverändert bleiben:</w:t>
      </w:r>
    </w:p>
    <w:p w:rsidR="00B520CF" w:rsidRDefault="00B520CF" w:rsidP="00B520CF">
      <w:pPr>
        <w:pStyle w:val="berschrift1"/>
      </w:pPr>
      <w:r>
        <w:t>[</w:t>
      </w:r>
      <w:r>
        <w:br/>
        <w:t>E_F(X^\star)</w:t>
      </w:r>
    </w:p>
    <w:p w:rsidR="00B520CF" w:rsidRDefault="00B520CF" w:rsidP="00B520CF">
      <w:pPr>
        <w:pStyle w:val="StandardWeb"/>
      </w:pPr>
      <w:r>
        <w:t>X^\star.</w:t>
      </w:r>
      <w:r>
        <w:br/>
        <w:t>\tag{3.14131}</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E_F(X^\star)=X^\star</w:t>
      </w:r>
    </w:p>
    <w:p w:rsidR="00B520CF" w:rsidRDefault="00B520CF" w:rsidP="00B520CF">
      <w:r>
        <w:pict>
          <v:rect id="_x0000_i6373" style="width:0;height:1.5pt" o:hralign="center" o:hrstd="t" o:hr="t" fillcolor="#a0a0a0" stroked="f"/>
        </w:pict>
      </w:r>
    </w:p>
    <w:p w:rsidR="00B520CF" w:rsidRDefault="00B520CF" w:rsidP="00B520CF">
      <w:pPr>
        <w:pStyle w:val="berschrift2"/>
      </w:pPr>
      <w:r>
        <w:t>3.3.53.172 Definition 3.3.661 – Funktionaler Erweiterungsfixpunkt</w:t>
      </w:r>
    </w:p>
    <w:p w:rsidR="00B520CF" w:rsidRDefault="00B520CF" w:rsidP="00B520CF">
      <w:pPr>
        <w:pStyle w:val="berschrift3"/>
      </w:pPr>
      <w:r>
        <w:t>Definition 3.3.661</w:t>
      </w:r>
    </w:p>
    <w:p w:rsidR="00B520CF" w:rsidRDefault="00B520CF" w:rsidP="00B520CF">
      <w:pPr>
        <w:pStyle w:val="StandardWeb"/>
      </w:pPr>
      <w:r>
        <w:t xml:space="preserve">Ein Objekt (X^\star) heißt </w:t>
      </w:r>
      <w:r>
        <w:rPr>
          <w:rStyle w:val="Fett"/>
        </w:rPr>
        <w:t>funktionaler Erweiterungsfixpunkt</w:t>
      </w:r>
      <w:r>
        <w:t>, wenn</w:t>
      </w:r>
    </w:p>
    <w:p w:rsidR="00B520CF" w:rsidRDefault="00B520CF" w:rsidP="00B520CF">
      <w:pPr>
        <w:pStyle w:val="berschrift1"/>
      </w:pPr>
      <w:r>
        <w:lastRenderedPageBreak/>
        <w:t>[</w:t>
      </w:r>
      <w:r>
        <w:br/>
        <w:t>\boxed{</w:t>
      </w:r>
      <w:r>
        <w:br/>
        <w:t>E_F(X^\star)</w:t>
      </w:r>
    </w:p>
    <w:p w:rsidR="00B520CF" w:rsidRDefault="00B520CF" w:rsidP="00B520CF">
      <w:pPr>
        <w:pStyle w:val="StandardWeb"/>
      </w:pPr>
      <w:r>
        <w:t>X^\star.</w:t>
      </w:r>
      <w:r>
        <w:br/>
        <w:t>}</w:t>
      </w:r>
      <w:r>
        <w:br/>
        <w:t>\tag{3.14132}</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\boxed{E_F(X^\star)=X^\star.}</w:t>
      </w:r>
    </w:p>
    <w:p w:rsidR="00B520CF" w:rsidRDefault="00B520CF" w:rsidP="00B520CF">
      <w:r>
        <w:pict>
          <v:rect id="_x0000_i6374" style="width:0;height:1.5pt" o:hralign="center" o:hrstd="t" o:hr="t" fillcolor="#a0a0a0" stroked="f"/>
        </w:pict>
      </w:r>
    </w:p>
    <w:p w:rsidR="00B520CF" w:rsidRDefault="00B520CF" w:rsidP="00B520CF">
      <w:pPr>
        <w:pStyle w:val="berschrift1"/>
      </w:pPr>
      <w:r>
        <w:t>3.3.53.173 Endlich stabilisierende Erweiterung</w:t>
      </w:r>
    </w:p>
    <w:p w:rsidR="00B520CF" w:rsidRDefault="00B520CF" w:rsidP="00B520CF">
      <w:pPr>
        <w:pStyle w:val="StandardWeb"/>
      </w:pPr>
      <w:r>
        <w:t>Eine Erweiterung kann nach endlich vielen Iterationen einen Fixpunkt erreichen:</w:t>
      </w:r>
    </w:p>
    <w:p w:rsidR="00B520CF" w:rsidRDefault="00B520CF" w:rsidP="00B520CF">
      <w:pPr>
        <w:pStyle w:val="berschrift1"/>
      </w:pPr>
      <w:r>
        <w:t>[</w:t>
      </w:r>
      <w:r>
        <w:br/>
        <w:t>\exists n^\star\in\mathbb N_0</w:t>
      </w:r>
      <w:r>
        <w:br/>
        <w:t>:</w:t>
      </w:r>
      <w:r>
        <w:br/>
        <w:t>E_F^{,n^\star+1}(X)</w:t>
      </w:r>
    </w:p>
    <w:p w:rsidR="00B520CF" w:rsidRDefault="00B520CF" w:rsidP="00B520CF">
      <w:pPr>
        <w:pStyle w:val="StandardWeb"/>
      </w:pPr>
      <w:r>
        <w:t>E_F^{,n^\star}(X).</w:t>
      </w:r>
      <w:r>
        <w:br/>
        <w:t>\tag{3.14133}</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\exists n^\star\in\mathbb N_0:E_F^{\,n^\star+1}(X)=E_F^{\,n^\star}(X)</w:t>
      </w:r>
    </w:p>
    <w:p w:rsidR="00B520CF" w:rsidRDefault="00B520CF" w:rsidP="00B520CF">
      <w:r>
        <w:pict>
          <v:rect id="_x0000_i6375" style="width:0;height:1.5pt" o:hralign="center" o:hrstd="t" o:hr="t" fillcolor="#a0a0a0" stroked="f"/>
        </w:pict>
      </w:r>
    </w:p>
    <w:p w:rsidR="00B520CF" w:rsidRDefault="00B520CF" w:rsidP="00B520CF">
      <w:pPr>
        <w:pStyle w:val="berschrift2"/>
      </w:pPr>
      <w:r>
        <w:t>3.3.53.174 Definition 3.3.662 – Endlich stabilisierende funktionale Erweiterung</w:t>
      </w:r>
    </w:p>
    <w:p w:rsidR="00B520CF" w:rsidRDefault="00B520CF" w:rsidP="00B520CF">
      <w:pPr>
        <w:pStyle w:val="berschrift3"/>
      </w:pPr>
      <w:r>
        <w:t>Definition 3.3.662</w:t>
      </w:r>
    </w:p>
    <w:p w:rsidR="00B520CF" w:rsidRDefault="00B520CF" w:rsidP="00B520CF">
      <w:pPr>
        <w:pStyle w:val="StandardWeb"/>
      </w:pPr>
      <w:r>
        <w:t xml:space="preserve">Eine Erweiterung heißt </w:t>
      </w:r>
      <w:r>
        <w:rPr>
          <w:rStyle w:val="Fett"/>
        </w:rPr>
        <w:t>endlich stabilisierend für (X)</w:t>
      </w:r>
      <w:r>
        <w:t>, wenn</w:t>
      </w:r>
    </w:p>
    <w:p w:rsidR="00B520CF" w:rsidRDefault="00B520CF" w:rsidP="00B520CF">
      <w:pPr>
        <w:pStyle w:val="berschrift1"/>
      </w:pPr>
      <w:r>
        <w:t>[</w:t>
      </w:r>
      <w:r>
        <w:br/>
        <w:t>\boxed{</w:t>
      </w:r>
      <w:r>
        <w:br/>
      </w:r>
      <w:r>
        <w:lastRenderedPageBreak/>
        <w:t>\exists n^\star\in\mathbb N_0:</w:t>
      </w:r>
      <w:r>
        <w:br/>
        <w:t>E_F^{,n^\star+1}(X)</w:t>
      </w:r>
    </w:p>
    <w:p w:rsidR="00B520CF" w:rsidRDefault="00B520CF" w:rsidP="00B520CF">
      <w:pPr>
        <w:pStyle w:val="StandardWeb"/>
      </w:pPr>
      <w:r>
        <w:t>E_F^{,n^\star}(X).</w:t>
      </w:r>
      <w:r>
        <w:br/>
        <w:t>}</w:t>
      </w:r>
      <w:r>
        <w:br/>
        <w:t>\tag{3.14134}</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\boxed{\exists n^\star\in\mathbb N_0:E_F^{\,n^\star+1}(X)=E_F^{\,n^\star}(X).}</w:t>
      </w:r>
    </w:p>
    <w:p w:rsidR="00B520CF" w:rsidRDefault="00B520CF" w:rsidP="00B520CF">
      <w:r>
        <w:pict>
          <v:rect id="_x0000_i6376" style="width:0;height:1.5pt" o:hralign="center" o:hrstd="t" o:hr="t" fillcolor="#a0a0a0" stroked="f"/>
        </w:pict>
      </w:r>
    </w:p>
    <w:p w:rsidR="00B520CF" w:rsidRDefault="00B520CF" w:rsidP="00B520CF">
      <w:pPr>
        <w:pStyle w:val="berschrift1"/>
      </w:pPr>
      <w:r>
        <w:t>3.3.53.175 Nichtstabilisierende Erweiterung</w:t>
      </w:r>
    </w:p>
    <w:p w:rsidR="00B520CF" w:rsidRDefault="00B520CF" w:rsidP="00B520CF">
      <w:pPr>
        <w:pStyle w:val="StandardWeb"/>
      </w:pPr>
      <w:r>
        <w:t>Eine Erweiterung kann dagegen für alle endlichen Iterationen weitere Veränderungen erzeugen:</w:t>
      </w:r>
    </w:p>
    <w:p w:rsidR="00B520CF" w:rsidRDefault="00B520CF" w:rsidP="00B520CF">
      <w:pPr>
        <w:pStyle w:val="StandardWeb"/>
      </w:pPr>
      <w:r>
        <w:t>[</w:t>
      </w:r>
      <w:r>
        <w:br/>
        <w:t>E_F^{,n+1}(X)</w:t>
      </w:r>
      <w:r>
        <w:br/>
        <w:t>\neq</w:t>
      </w:r>
      <w:r>
        <w:br/>
        <w:t>E_F^{,n}(X)</w:t>
      </w:r>
      <w:r>
        <w:br/>
        <w:t>\qquad</w:t>
      </w:r>
      <w:r>
        <w:br/>
        <w:t>\forall n\in\mathbb N_0.</w:t>
      </w:r>
      <w:r>
        <w:br/>
        <w:t>\tag{3.14135}</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E_F^{\,n+1}(X)\neq E_F^{\,n}(X)\qquad\forall n\in\mathbb N_0</w:t>
      </w:r>
    </w:p>
    <w:p w:rsidR="00B520CF" w:rsidRDefault="00B520CF" w:rsidP="00B520CF">
      <w:r>
        <w:pict>
          <v:rect id="_x0000_i6377" style="width:0;height:1.5pt" o:hralign="center" o:hrstd="t" o:hr="t" fillcolor="#a0a0a0" stroked="f"/>
        </w:pict>
      </w:r>
    </w:p>
    <w:p w:rsidR="00B520CF" w:rsidRDefault="00B520CF" w:rsidP="00B520CF">
      <w:pPr>
        <w:pStyle w:val="berschrift1"/>
      </w:pPr>
      <w:r>
        <w:t>3.3.53.176 Endliche Erweiterungsstabilisierung als Primäraxiomkandidat</w:t>
      </w:r>
    </w:p>
    <w:p w:rsidR="00B520CF" w:rsidRDefault="00B520CF" w:rsidP="00B520CF">
      <w:pPr>
        <w:pStyle w:val="StandardWeb"/>
      </w:pPr>
      <w:r>
        <w:t>Der Kandidat lautet</w:t>
      </w:r>
    </w:p>
    <w:p w:rsidR="00B520CF" w:rsidRDefault="00B520CF" w:rsidP="00B520CF">
      <w:pPr>
        <w:pStyle w:val="berschrift1"/>
      </w:pPr>
      <w:r>
        <w:t>[</w:t>
      </w:r>
      <w:r>
        <w:br/>
        <w:t>A_{\mathrm{ext-stab}}</w:t>
      </w:r>
      <w:r>
        <w:br/>
        <w:t>:</w:t>
      </w:r>
      <w:r>
        <w:br/>
        <w:t>\forall X</w:t>
      </w:r>
      <w:r>
        <w:br/>
        <w:t>\quad</w:t>
      </w:r>
      <w:r>
        <w:br/>
      </w:r>
      <w:r>
        <w:lastRenderedPageBreak/>
        <w:t>\exists n^\star&lt;\infty</w:t>
      </w:r>
      <w:r>
        <w:br/>
        <w:t>:</w:t>
      </w:r>
      <w:r>
        <w:br/>
        <w:t>E_F^{,n^\star+1}(X)</w:t>
      </w:r>
    </w:p>
    <w:p w:rsidR="00B520CF" w:rsidRDefault="00B520CF" w:rsidP="00B520CF">
      <w:pPr>
        <w:pStyle w:val="StandardWeb"/>
      </w:pPr>
      <w:r>
        <w:t>E_F^{,n^\star}(X).</w:t>
      </w:r>
      <w:r>
        <w:br/>
        <w:t>\tag{3.14136}</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A_{\mathrm{ext-stab}}:\forall X\quad\exists n^\star&lt;\infty:E_F^{\,n^\star+1}(X)=E_F^{\,n^\star}(X)</w:t>
      </w:r>
    </w:p>
    <w:p w:rsidR="00B520CF" w:rsidRDefault="00B520CF" w:rsidP="00B520CF">
      <w:r>
        <w:pict>
          <v:rect id="_x0000_i6378" style="width:0;height:1.5pt" o:hralign="center" o:hrstd="t" o:hr="t" fillcolor="#a0a0a0" stroked="f"/>
        </w:pict>
      </w:r>
    </w:p>
    <w:p w:rsidR="00B520CF" w:rsidRDefault="00B520CF" w:rsidP="00B520CF">
      <w:pPr>
        <w:pStyle w:val="berschrift1"/>
      </w:pPr>
      <w:r>
        <w:t>3.3.53.177 Gegenmodell zur endlichen Stabilisierung</w:t>
      </w:r>
    </w:p>
    <w:p w:rsidR="00B520CF" w:rsidRDefault="00B520CF" w:rsidP="00B520CF">
      <w:pPr>
        <w:pStyle w:val="StandardWeb"/>
      </w:pPr>
      <w:r>
        <w:t>Eine zulässige Erweiterungsabbildung kann eine unendliche Folge verschiedener Erweiterungszustände erzeugen:</w:t>
      </w:r>
    </w:p>
    <w:p w:rsidR="00B520CF" w:rsidRDefault="00B520CF" w:rsidP="00B520CF">
      <w:pPr>
        <w:pStyle w:val="StandardWeb"/>
      </w:pPr>
      <w:r>
        <w:t>[</w:t>
      </w:r>
      <w:r>
        <w:br/>
        <w:t>X,</w:t>
      </w:r>
      <w:r>
        <w:br/>
        <w:t>E_F(X),</w:t>
      </w:r>
      <w:r>
        <w:br/>
        <w:t>E_F^2(X),</w:t>
      </w:r>
      <w:r>
        <w:br/>
        <w:t>E_F^3(X),</w:t>
      </w:r>
      <w:r>
        <w:br/>
        <w:t>\ldots</w:t>
      </w:r>
      <w:r>
        <w:br/>
        <w:t>\tag{3.14137}</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X,E_F(X),E_F^2(X),E_F^3(X),\ldots</w:t>
      </w:r>
    </w:p>
    <w:p w:rsidR="00B520CF" w:rsidRDefault="00B520CF" w:rsidP="00B520CF">
      <w:pPr>
        <w:pStyle w:val="StandardWeb"/>
      </w:pPr>
      <w:r>
        <w:t>mit</w:t>
      </w:r>
    </w:p>
    <w:p w:rsidR="00B520CF" w:rsidRDefault="00B520CF" w:rsidP="00B520CF">
      <w:pPr>
        <w:pStyle w:val="StandardWeb"/>
      </w:pPr>
      <w:r>
        <w:t>[</w:t>
      </w:r>
      <w:r>
        <w:br/>
        <w:t>E_F^{,n+1}(X)</w:t>
      </w:r>
      <w:r>
        <w:br/>
        <w:t>\neq</w:t>
      </w:r>
      <w:r>
        <w:br/>
        <w:t>E_F^{,n}(X)</w:t>
      </w:r>
      <w:r>
        <w:br/>
        <w:t>\qquad</w:t>
      </w:r>
      <w:r>
        <w:br/>
        <w:t>\forall n.</w:t>
      </w:r>
      <w:r>
        <w:br/>
        <w:t>\tag{3.14138}</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E_F^{\,n+1}(X)\neq E_F^{\,n}(X)\qquad\forall n</w:t>
      </w:r>
    </w:p>
    <w:p w:rsidR="00B520CF" w:rsidRDefault="00B520CF" w:rsidP="00B520CF">
      <w:r>
        <w:pict>
          <v:rect id="_x0000_i6379" style="width:0;height:1.5pt" o:hralign="center" o:hrstd="t" o:hr="t" fillcolor="#a0a0a0" stroked="f"/>
        </w:pict>
      </w:r>
    </w:p>
    <w:p w:rsidR="00B520CF" w:rsidRDefault="00B520CF" w:rsidP="00B520CF">
      <w:pPr>
        <w:pStyle w:val="berschrift1"/>
      </w:pPr>
      <w:r>
        <w:lastRenderedPageBreak/>
        <w:t>3.3.53.178 Axiomentscheidung zur Erweiterungsstabilität</w:t>
      </w:r>
    </w:p>
    <w:p w:rsidR="00B520CF" w:rsidRDefault="00B520CF" w:rsidP="00B520CF">
      <w:pPr>
        <w:pStyle w:val="StandardWeb"/>
      </w:pPr>
      <w:r>
        <w:t>Damit gilt</w:t>
      </w:r>
    </w:p>
    <w:p w:rsidR="00B520CF" w:rsidRDefault="00B520CF" w:rsidP="00B520CF">
      <w:pPr>
        <w:pStyle w:val="berschrift1"/>
      </w:pPr>
      <w:r>
        <w:t>[</w:t>
      </w:r>
      <w:r>
        <w:br/>
        <w:t>\boxed{</w:t>
      </w:r>
      <w:r>
        <w:br/>
        <w:t>U_{\mathrm{Ax}}</w:t>
      </w:r>
      <w:r>
        <w:br/>
        <w:t>(A_{\mathrm{ext-stab}})</w:t>
      </w:r>
    </w:p>
    <w:p w:rsidR="00B520CF" w:rsidRDefault="00B520CF" w:rsidP="009F7790">
      <w:pPr>
        <w:numPr>
          <w:ilvl w:val="0"/>
          <w:numId w:val="774"/>
        </w:numPr>
        <w:spacing w:before="100" w:beforeAutospacing="1" w:after="100" w:afterAutospacing="1"/>
      </w:pPr>
    </w:p>
    <w:p w:rsidR="00B520CF" w:rsidRDefault="00B520CF" w:rsidP="00B520CF">
      <w:pPr>
        <w:pStyle w:val="StandardWeb"/>
      </w:pPr>
      <w:r>
        <w:t>}</w:t>
      </w:r>
      <w:r>
        <w:br/>
        <w:t>\tag{3.14139}</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\boxed{U_{\mathrm{Ax}}(A_{\mathrm{ext-stab}})=0.}</w:t>
      </w:r>
    </w:p>
    <w:p w:rsidR="00B520CF" w:rsidRDefault="00B520CF" w:rsidP="00B520CF">
      <w:r>
        <w:pict>
          <v:rect id="_x0000_i6380" style="width:0;height:1.5pt" o:hralign="center" o:hrstd="t" o:hr="t" fillcolor="#a0a0a0" stroked="f"/>
        </w:pict>
      </w:r>
    </w:p>
    <w:p w:rsidR="00B520CF" w:rsidRDefault="00B520CF" w:rsidP="00B520CF">
      <w:pPr>
        <w:pStyle w:val="berschrift1"/>
      </w:pPr>
      <w:r>
        <w:t>3.3.53.179 Satz 3.3.270 – Endliche Erweiterungsstabilisierung ist kein Primäraxiom</w:t>
      </w:r>
    </w:p>
    <w:p w:rsidR="00B520CF" w:rsidRDefault="00B520CF" w:rsidP="00B520CF">
      <w:pPr>
        <w:pStyle w:val="berschrift3"/>
      </w:pPr>
      <w:r>
        <w:t>Satz 3.3.270</w:t>
      </w:r>
    </w:p>
    <w:p w:rsidR="00B520CF" w:rsidRDefault="00B520CF" w:rsidP="00B520CF">
      <w:pPr>
        <w:pStyle w:val="StandardWeb"/>
      </w:pPr>
      <w:r>
        <w:t>Die Forderung, jede wiederholt angewandte funktionale Erweiterung müsse nach endlich vielen Schritten einen Fixpunkt erreichen, ist keine universell notwendige Voraussetzung des allgemeinen FRZK.</w:t>
      </w:r>
    </w:p>
    <w:p w:rsidR="00B520CF" w:rsidRDefault="00B520CF" w:rsidP="00B520CF">
      <w:pPr>
        <w:pStyle w:val="berschrift1"/>
      </w:pPr>
      <w:r>
        <w:t>[</w:t>
      </w:r>
      <w:r>
        <w:br/>
        <w:t>\boxed{</w:t>
      </w:r>
      <w:r>
        <w:br/>
        <w:t>U_{\mathrm{Ax}}</w:t>
      </w:r>
      <w:r>
        <w:br/>
        <w:t>(A_{\mathrm{ext-stab}})</w:t>
      </w:r>
    </w:p>
    <w:p w:rsidR="00B520CF" w:rsidRDefault="00B520CF" w:rsidP="009F7790">
      <w:pPr>
        <w:numPr>
          <w:ilvl w:val="0"/>
          <w:numId w:val="775"/>
        </w:numPr>
        <w:spacing w:before="100" w:beforeAutospacing="1" w:after="100" w:afterAutospacing="1"/>
      </w:pPr>
    </w:p>
    <w:p w:rsidR="00B520CF" w:rsidRDefault="00B520CF" w:rsidP="00B520CF">
      <w:pPr>
        <w:pStyle w:val="StandardWeb"/>
      </w:pPr>
      <w:r>
        <w:t>}</w:t>
      </w:r>
      <w:r>
        <w:br/>
        <w:t>\tag{3.14140}</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lastRenderedPageBreak/>
        <w:t>\boxed{U_{\mathrm{Ax}}(A_{\mathrm{ext-stab}})=0.}</w:t>
      </w:r>
    </w:p>
    <w:p w:rsidR="00B520CF" w:rsidRDefault="00B520CF" w:rsidP="00B520CF">
      <w:r>
        <w:pict>
          <v:rect id="_x0000_i6381" style="width:0;height:1.5pt" o:hralign="center" o:hrstd="t" o:hr="t" fillcolor="#a0a0a0" stroked="f"/>
        </w:pict>
      </w:r>
    </w:p>
    <w:p w:rsidR="00B520CF" w:rsidRDefault="00B520CF" w:rsidP="00B520CF">
      <w:pPr>
        <w:pStyle w:val="berschrift1"/>
      </w:pPr>
      <w:r>
        <w:t>3.3.53.180 Relationserhaltende Rekonstruktion</w:t>
      </w:r>
    </w:p>
    <w:p w:rsidR="00B520CF" w:rsidRDefault="00B520CF" w:rsidP="00B520CF">
      <w:pPr>
        <w:pStyle w:val="StandardWeb"/>
      </w:pPr>
      <w:r>
        <w:t>Ich untersuche nun, ob eine Relation einer Ausgangsstruktur nach Reduktion und Rekonstruktion erhalten bleiben muss.</w:t>
      </w:r>
    </w:p>
    <w:p w:rsidR="00B520CF" w:rsidRDefault="00B520CF" w:rsidP="00B520CF">
      <w:pPr>
        <w:pStyle w:val="StandardWeb"/>
      </w:pPr>
      <w:r>
        <w:t>Sei</w:t>
      </w:r>
    </w:p>
    <w:p w:rsidR="00B520CF" w:rsidRDefault="00B520CF" w:rsidP="00B520CF">
      <w:pPr>
        <w:pStyle w:val="StandardWeb"/>
      </w:pPr>
      <w:r>
        <w:t>[</w:t>
      </w:r>
      <w:r>
        <w:br/>
        <w:t>\mathcal R_F</w:t>
      </w:r>
      <w:r>
        <w:br/>
        <w:t>\subseteq</w:t>
      </w:r>
      <w:r>
        <w:br/>
        <w:t>\mathcal X_F\times\mathcal X_F.</w:t>
      </w:r>
      <w:r>
        <w:br/>
        <w:t>\tag{3.14141}</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\mathcal R_F\subseteq\mathcal X_F\times\mathcal X_F</w:t>
      </w:r>
    </w:p>
    <w:p w:rsidR="00B520CF" w:rsidRDefault="00B520CF" w:rsidP="00B520CF">
      <w:pPr>
        <w:pStyle w:val="StandardWeb"/>
      </w:pPr>
      <w:r>
        <w:t>Eine rekonstruierte Relation sei</w:t>
      </w:r>
    </w:p>
    <w:p w:rsidR="00B520CF" w:rsidRDefault="00B520CF" w:rsidP="00B520CF">
      <w:pPr>
        <w:pStyle w:val="StandardWeb"/>
      </w:pPr>
      <w:r>
        <w:t>[</w:t>
      </w:r>
      <w:r>
        <w:br/>
        <w:t>\mathcal R_F^{\mathrm{rec}}</w:t>
      </w:r>
      <w:r>
        <w:br/>
        <w:t>\subseteq</w:t>
      </w:r>
      <w:r>
        <w:br/>
        <w:t>\mathcal X_F\times\mathcal X_F.</w:t>
      </w:r>
      <w:r>
        <w:br/>
        <w:t>\tag{3.14142}</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\mathcal R_F^{\mathrm{rec}}\subseteq\mathcal X_F\times\mathcal X_F</w:t>
      </w:r>
    </w:p>
    <w:p w:rsidR="00B520CF" w:rsidRDefault="00B520CF" w:rsidP="00B520CF">
      <w:r>
        <w:pict>
          <v:rect id="_x0000_i6382" style="width:0;height:1.5pt" o:hralign="center" o:hrstd="t" o:hr="t" fillcolor="#a0a0a0" stroked="f"/>
        </w:pict>
      </w:r>
    </w:p>
    <w:p w:rsidR="00B520CF" w:rsidRDefault="00B520CF" w:rsidP="00B520CF">
      <w:pPr>
        <w:pStyle w:val="berschrift2"/>
      </w:pPr>
      <w:r>
        <w:t>3.3.53.181 Definition 3.3.663 – Relationserhaltende funktionale Rekonstruktion</w:t>
      </w:r>
    </w:p>
    <w:p w:rsidR="00B520CF" w:rsidRDefault="00B520CF" w:rsidP="00B520CF">
      <w:pPr>
        <w:pStyle w:val="berschrift3"/>
      </w:pPr>
      <w:r>
        <w:t>Definition 3.3.663</w:t>
      </w:r>
    </w:p>
    <w:p w:rsidR="00B520CF" w:rsidRDefault="00B520CF" w:rsidP="00B520CF">
      <w:pPr>
        <w:pStyle w:val="StandardWeb"/>
      </w:pPr>
      <w:r>
        <w:t xml:space="preserve">Eine funktionale Rekonstruktion heißt </w:t>
      </w:r>
      <w:r>
        <w:rPr>
          <w:rStyle w:val="Fett"/>
        </w:rPr>
        <w:t>relationserhaltend</w:t>
      </w:r>
      <w:r>
        <w:t>, wenn</w:t>
      </w:r>
    </w:p>
    <w:p w:rsidR="00B520CF" w:rsidRDefault="00B520CF" w:rsidP="00B520CF">
      <w:pPr>
        <w:pStyle w:val="StandardWeb"/>
      </w:pPr>
      <w:r>
        <w:t>[</w:t>
      </w:r>
      <w:r>
        <w:br/>
        <w:t>\boxed{</w:t>
      </w:r>
      <w:r>
        <w:br/>
        <w:t>X,\mathcal R_F,Y</w:t>
      </w:r>
      <w:r>
        <w:br/>
        <w:t>\Rightarrow</w:t>
      </w:r>
      <w:r>
        <w:br/>
        <w:t>C_F(R_F(X))</w:t>
      </w:r>
      <w:r>
        <w:br/>
        <w:t>,</w:t>
      </w:r>
      <w:r>
        <w:br/>
        <w:t>\mathcal R_F^{\mathrm{rec}}</w:t>
      </w:r>
      <w:r>
        <w:br/>
        <w:t>,</w:t>
      </w:r>
      <w:r>
        <w:br/>
      </w:r>
      <w:r>
        <w:lastRenderedPageBreak/>
        <w:t>C_F(R_F(Y)).</w:t>
      </w:r>
      <w:r>
        <w:br/>
        <w:t>}</w:t>
      </w:r>
      <w:r>
        <w:br/>
        <w:t>\tag{3.14143}</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\boxed{X\,\mathcal R_F\,Y\Rightarrow C_F(R_F(X))\,\mathcal R_F^{\mathrm{rec}}\,C_F(R_F(Y)).}</w:t>
      </w:r>
    </w:p>
    <w:p w:rsidR="00B520CF" w:rsidRDefault="00B520CF" w:rsidP="00B520CF">
      <w:r>
        <w:pict>
          <v:rect id="_x0000_i6383" style="width:0;height:1.5pt" o:hralign="center" o:hrstd="t" o:hr="t" fillcolor="#a0a0a0" stroked="f"/>
        </w:pict>
      </w:r>
    </w:p>
    <w:p w:rsidR="00B520CF" w:rsidRDefault="00B520CF" w:rsidP="00B520CF">
      <w:pPr>
        <w:pStyle w:val="berschrift1"/>
      </w:pPr>
      <w:r>
        <w:t>3.3.53.182 Relationsbruch nach Rekonstruktion</w:t>
      </w:r>
    </w:p>
    <w:p w:rsidR="00B520CF" w:rsidRDefault="00B520CF" w:rsidP="00B520CF">
      <w:pPr>
        <w:pStyle w:val="StandardWeb"/>
      </w:pPr>
      <w:r>
        <w:t>Es kann gelten</w:t>
      </w:r>
    </w:p>
    <w:p w:rsidR="00B520CF" w:rsidRDefault="00B520CF" w:rsidP="00B520CF">
      <w:pPr>
        <w:pStyle w:val="StandardWeb"/>
      </w:pPr>
      <w:r>
        <w:t>[</w:t>
      </w:r>
      <w:r>
        <w:br/>
        <w:t>X,\mathcal R_F,Y</w:t>
      </w:r>
      <w:r>
        <w:br/>
        <w:t>\tag{3.14144}</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X\,\mathcal R_F\,Y</w:t>
      </w:r>
    </w:p>
    <w:p w:rsidR="00B520CF" w:rsidRDefault="00B520CF" w:rsidP="00B520CF">
      <w:pPr>
        <w:pStyle w:val="StandardWeb"/>
      </w:pPr>
      <w:r>
        <w:t>aber</w:t>
      </w:r>
    </w:p>
    <w:p w:rsidR="00B520CF" w:rsidRDefault="00B520CF" w:rsidP="00B520CF">
      <w:pPr>
        <w:pStyle w:val="StandardWeb"/>
      </w:pPr>
      <w:r>
        <w:t>[</w:t>
      </w:r>
      <w:r>
        <w:br/>
        <w:t>C_F(R_F(X))</w:t>
      </w:r>
      <w:r>
        <w:br/>
        <w:t>\not\mathcal R_F^{\mathrm{rec}}</w:t>
      </w:r>
      <w:r>
        <w:br/>
        <w:t>C_F(R_F(Y)).</w:t>
      </w:r>
      <w:r>
        <w:br/>
        <w:t>\tag{3.14145}</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C_F(R_F(X))\not\mathcal R_F^{\mathrm{rec}}C_F(R_F(Y))</w:t>
      </w:r>
    </w:p>
    <w:p w:rsidR="00B520CF" w:rsidRDefault="00B520CF" w:rsidP="00B520CF">
      <w:r>
        <w:pict>
          <v:rect id="_x0000_i6384" style="width:0;height:1.5pt" o:hralign="center" o:hrstd="t" o:hr="t" fillcolor="#a0a0a0" stroked="f"/>
        </w:pict>
      </w:r>
    </w:p>
    <w:p w:rsidR="00B520CF" w:rsidRDefault="00B520CF" w:rsidP="00B520CF">
      <w:pPr>
        <w:pStyle w:val="berschrift1"/>
      </w:pPr>
      <w:r>
        <w:t>3.3.53.183 Relationserhaltung der Rekonstruktion als Primäraxiomkandidat</w:t>
      </w:r>
    </w:p>
    <w:p w:rsidR="00B520CF" w:rsidRDefault="00B520CF" w:rsidP="00B520CF">
      <w:pPr>
        <w:pStyle w:val="StandardWeb"/>
      </w:pPr>
      <w:r>
        <w:t>Der Kandidat lautet</w:t>
      </w:r>
    </w:p>
    <w:p w:rsidR="00B520CF" w:rsidRDefault="00B520CF" w:rsidP="00B520CF">
      <w:pPr>
        <w:pStyle w:val="StandardWeb"/>
      </w:pPr>
      <w:r>
        <w:t>[</w:t>
      </w:r>
      <w:r>
        <w:br/>
        <w:t>A_{\mathrm{rec-rel}}</w:t>
      </w:r>
      <w:r>
        <w:br/>
        <w:t>:</w:t>
      </w:r>
      <w:r>
        <w:br/>
        <w:t>X,\mathcal R_F,Y</w:t>
      </w:r>
      <w:r>
        <w:br/>
        <w:t>\Rightarrow</w:t>
      </w:r>
      <w:r>
        <w:br/>
        <w:t>C_F(R_F(X))</w:t>
      </w:r>
      <w:r>
        <w:br/>
        <w:t>\mathcal R_F^{\mathrm{rec}}</w:t>
      </w:r>
      <w:r>
        <w:br/>
      </w:r>
      <w:r>
        <w:lastRenderedPageBreak/>
        <w:t>C_F(R_F(Y)).</w:t>
      </w:r>
      <w:r>
        <w:br/>
        <w:t>\tag{3.14146}</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A_{\mathrm{rec-rel}}:X\,\mathcal R_F\,Y\Rightarrow C_F(R_F(X))\mathcal R_F^{\mathrm{rec}}C_F(R_F(Y))</w:t>
      </w:r>
    </w:p>
    <w:p w:rsidR="00B520CF" w:rsidRDefault="00B520CF" w:rsidP="00B520CF">
      <w:r>
        <w:pict>
          <v:rect id="_x0000_i6385" style="width:0;height:1.5pt" o:hralign="center" o:hrstd="t" o:hr="t" fillcolor="#a0a0a0" stroked="f"/>
        </w:pict>
      </w:r>
    </w:p>
    <w:p w:rsidR="00B520CF" w:rsidRDefault="00B520CF" w:rsidP="00B520CF">
      <w:pPr>
        <w:pStyle w:val="berschrift1"/>
      </w:pPr>
      <w:r>
        <w:t>3.3.53.184 Gegenmodell</w:t>
      </w:r>
    </w:p>
    <w:p w:rsidR="00B520CF" w:rsidRDefault="00B520CF" w:rsidP="00B520CF">
      <w:pPr>
        <w:pStyle w:val="StandardWeb"/>
      </w:pPr>
      <w:r>
        <w:t>Die Reduktion kann relationstragende Information entfernen. Eine Rekonstruktion aus dieser reduzierten Darstellung kann diese Information nicht zwingend wiederherstellen.</w:t>
      </w:r>
    </w:p>
    <w:p w:rsidR="00B520CF" w:rsidRDefault="00B520CF" w:rsidP="00B520CF">
      <w:pPr>
        <w:pStyle w:val="StandardWeb"/>
      </w:pPr>
      <w:r>
        <w:t>Daher kann</w:t>
      </w:r>
    </w:p>
    <w:p w:rsidR="00B520CF" w:rsidRDefault="00B520CF" w:rsidP="00B520CF">
      <w:pPr>
        <w:pStyle w:val="StandardWeb"/>
      </w:pPr>
      <w:r>
        <w:t>[</w:t>
      </w:r>
      <w:r>
        <w:br/>
        <w:t>X,\mathcal R_F,Y</w:t>
      </w:r>
      <w:r>
        <w:br/>
        <w:t>\land</w:t>
      </w:r>
      <w:r>
        <w:br/>
        <w:t>C_F(R_F(X))</w:t>
      </w:r>
      <w:r>
        <w:br/>
        <w:t>\not\mathcal R_F^{\mathrm{rec}}</w:t>
      </w:r>
      <w:r>
        <w:br/>
        <w:t>C_F(R_F(Y))</w:t>
      </w:r>
      <w:r>
        <w:br/>
        <w:t>\tag{3.14147}</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X\,\mathcal R_F\,Y\land C_F(R_F(X))\not\mathcal R_F^{\mathrm{rec}}C_F(R_F(Y))</w:t>
      </w:r>
    </w:p>
    <w:p w:rsidR="00B520CF" w:rsidRDefault="00B520CF" w:rsidP="00B520CF">
      <w:pPr>
        <w:pStyle w:val="StandardWeb"/>
      </w:pPr>
      <w:r>
        <w:t>gelten.</w:t>
      </w:r>
    </w:p>
    <w:p w:rsidR="00B520CF" w:rsidRDefault="00B520CF" w:rsidP="00B520CF">
      <w:r>
        <w:pict>
          <v:rect id="_x0000_i6386" style="width:0;height:1.5pt" o:hralign="center" o:hrstd="t" o:hr="t" fillcolor="#a0a0a0" stroked="f"/>
        </w:pict>
      </w:r>
    </w:p>
    <w:p w:rsidR="00B520CF" w:rsidRDefault="00B520CF" w:rsidP="00B520CF">
      <w:pPr>
        <w:pStyle w:val="berschrift1"/>
      </w:pPr>
      <w:r>
        <w:t>3.3.53.185 Axiomentscheidung zur Rekonstruktionsrelation</w:t>
      </w:r>
    </w:p>
    <w:p w:rsidR="00B520CF" w:rsidRDefault="00B520CF" w:rsidP="00B520CF">
      <w:pPr>
        <w:pStyle w:val="StandardWeb"/>
      </w:pPr>
      <w:r>
        <w:t>Damit folgt</w:t>
      </w:r>
    </w:p>
    <w:p w:rsidR="00B520CF" w:rsidRDefault="00B520CF" w:rsidP="00B520CF">
      <w:pPr>
        <w:pStyle w:val="berschrift1"/>
      </w:pPr>
      <w:r>
        <w:t>[</w:t>
      </w:r>
      <w:r>
        <w:br/>
        <w:t>\boxed{</w:t>
      </w:r>
      <w:r>
        <w:br/>
        <w:t>U_{\mathrm{Ax}}</w:t>
      </w:r>
      <w:r>
        <w:br/>
        <w:t>(A_{\mathrm{rec-rel}})</w:t>
      </w:r>
    </w:p>
    <w:p w:rsidR="00B520CF" w:rsidRDefault="00B520CF" w:rsidP="009F7790">
      <w:pPr>
        <w:numPr>
          <w:ilvl w:val="0"/>
          <w:numId w:val="776"/>
        </w:numPr>
        <w:spacing w:before="100" w:beforeAutospacing="1" w:after="100" w:afterAutospacing="1"/>
      </w:pPr>
    </w:p>
    <w:p w:rsidR="00B520CF" w:rsidRDefault="00B520CF" w:rsidP="00B520CF">
      <w:pPr>
        <w:pStyle w:val="StandardWeb"/>
      </w:pPr>
      <w:r>
        <w:lastRenderedPageBreak/>
        <w:t>}</w:t>
      </w:r>
      <w:r>
        <w:br/>
        <w:t>\tag{3.14148}</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\boxed{U_{\mathrm{Ax}}(A_{\mathrm{rec-rel}})=0.}</w:t>
      </w:r>
    </w:p>
    <w:p w:rsidR="00B520CF" w:rsidRDefault="00B520CF" w:rsidP="00B520CF">
      <w:r>
        <w:pict>
          <v:rect id="_x0000_i6387" style="width:0;height:1.5pt" o:hralign="center" o:hrstd="t" o:hr="t" fillcolor="#a0a0a0" stroked="f"/>
        </w:pict>
      </w:r>
    </w:p>
    <w:p w:rsidR="00B520CF" w:rsidRDefault="00B520CF" w:rsidP="00B520CF">
      <w:pPr>
        <w:pStyle w:val="berschrift1"/>
      </w:pPr>
      <w:r>
        <w:t>3.3.53.186 Satz 3.3.271 – Relationserhaltung funktionaler Rekonstruktionen ist kein Primäraxiom</w:t>
      </w:r>
    </w:p>
    <w:p w:rsidR="00B520CF" w:rsidRDefault="00B520CF" w:rsidP="00B520CF">
      <w:pPr>
        <w:pStyle w:val="berschrift3"/>
      </w:pPr>
      <w:r>
        <w:t>Satz 3.3.271</w:t>
      </w:r>
    </w:p>
    <w:p w:rsidR="00B520CF" w:rsidRDefault="00B520CF" w:rsidP="00B520CF">
      <w:pPr>
        <w:pStyle w:val="StandardWeb"/>
      </w:pPr>
      <w:r>
        <w:t>Die Forderung, eine funktionale Rekonstruktion müsse jede Ausgangsrelation nach vorheriger Reduktion wiederherstellen, ist keine universell notwendige Voraussetzung des allgemeinen FRZK.</w:t>
      </w:r>
    </w:p>
    <w:p w:rsidR="00B520CF" w:rsidRDefault="00B520CF" w:rsidP="00B520CF">
      <w:pPr>
        <w:pStyle w:val="berschrift1"/>
      </w:pPr>
      <w:r>
        <w:t>[</w:t>
      </w:r>
      <w:r>
        <w:br/>
        <w:t>\boxed{</w:t>
      </w:r>
      <w:r>
        <w:br/>
        <w:t>U_{\mathrm{Ax}}</w:t>
      </w:r>
      <w:r>
        <w:br/>
        <w:t>(A_{\mathrm{rec-rel}})</w:t>
      </w:r>
    </w:p>
    <w:p w:rsidR="00B520CF" w:rsidRDefault="00B520CF" w:rsidP="009F7790">
      <w:pPr>
        <w:numPr>
          <w:ilvl w:val="0"/>
          <w:numId w:val="777"/>
        </w:numPr>
        <w:spacing w:before="100" w:beforeAutospacing="1" w:after="100" w:afterAutospacing="1"/>
      </w:pPr>
    </w:p>
    <w:p w:rsidR="00B520CF" w:rsidRDefault="00B520CF" w:rsidP="00B520CF">
      <w:pPr>
        <w:pStyle w:val="StandardWeb"/>
      </w:pPr>
      <w:r>
        <w:t>}</w:t>
      </w:r>
      <w:r>
        <w:br/>
        <w:t>\tag{3.14149}</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\boxed{U_{\mathrm{Ax}}(A_{\mathrm{rec-rel}})=0.}</w:t>
      </w:r>
    </w:p>
    <w:p w:rsidR="00B520CF" w:rsidRDefault="00B520CF" w:rsidP="00B520CF">
      <w:r>
        <w:pict>
          <v:rect id="_x0000_i6388" style="width:0;height:1.5pt" o:hralign="center" o:hrstd="t" o:hr="t" fillcolor="#a0a0a0" stroked="f"/>
        </w:pict>
      </w:r>
    </w:p>
    <w:p w:rsidR="00B520CF" w:rsidRDefault="00B520CF" w:rsidP="00B520CF">
      <w:pPr>
        <w:pStyle w:val="berschrift1"/>
      </w:pPr>
      <w:r>
        <w:t>3.3.53.187 Korollar 3.3.77 – Rekonstruktionsrelationen sind modellabhängig</w:t>
      </w:r>
    </w:p>
    <w:p w:rsidR="00B520CF" w:rsidRDefault="00B520CF" w:rsidP="00B520CF">
      <w:pPr>
        <w:pStyle w:val="berschrift3"/>
      </w:pPr>
      <w:r>
        <w:t>Korollar 3.3.77</w:t>
      </w:r>
    </w:p>
    <w:p w:rsidR="00B520CF" w:rsidRDefault="00B520CF" w:rsidP="00B520CF">
      <w:pPr>
        <w:pStyle w:val="StandardWeb"/>
      </w:pPr>
      <w:r>
        <w:t>Aus Satz 3.3.271 folgt</w:t>
      </w:r>
    </w:p>
    <w:p w:rsidR="00B520CF" w:rsidRDefault="00B520CF" w:rsidP="00B520CF">
      <w:pPr>
        <w:pStyle w:val="berschrift1"/>
      </w:pPr>
      <w:r>
        <w:t>[</w:t>
      </w:r>
      <w:r>
        <w:br/>
        <w:t>\boxed{</w:t>
      </w:r>
      <w:r>
        <w:br/>
      </w:r>
      <w:r>
        <w:lastRenderedPageBreak/>
        <w:t>\operatorname{Stat}</w:t>
      </w:r>
      <w:r>
        <w:br/>
        <w:t>(\mathcal R_F^{\mathrm{rec}})</w:t>
      </w:r>
    </w:p>
    <w:p w:rsidR="00B520CF" w:rsidRDefault="00B520CF" w:rsidP="00B520CF">
      <w:pPr>
        <w:pStyle w:val="StandardWeb"/>
      </w:pPr>
      <w:r>
        <w:t>\mathrm{Def/Mod/Op}.</w:t>
      </w:r>
      <w:r>
        <w:br/>
        <w:t>}</w:t>
      </w:r>
      <w:r>
        <w:br/>
        <w:t>\tag{3.14150}</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\boxed{\operatorname{Stat}(\mathcal R_F^{\mathrm{rec}})=\mathrm{Def/Mod/Op}.}</w:t>
      </w:r>
    </w:p>
    <w:p w:rsidR="00B520CF" w:rsidRDefault="00B520CF" w:rsidP="00B520CF">
      <w:r>
        <w:pict>
          <v:rect id="_x0000_i6389" style="width:0;height:1.5pt" o:hralign="center" o:hrstd="t" o:hr="t" fillcolor="#a0a0a0" stroked="f"/>
        </w:pict>
      </w:r>
    </w:p>
    <w:p w:rsidR="00B520CF" w:rsidRDefault="00B520CF" w:rsidP="00B520CF">
      <w:pPr>
        <w:pStyle w:val="berschrift1"/>
      </w:pPr>
      <w:r>
        <w:t>3.3.53.188 Kohärenzverträgliche Rekonstruktion</w:t>
      </w:r>
    </w:p>
    <w:p w:rsidR="00B520CF" w:rsidRDefault="00B520CF" w:rsidP="00B520CF">
      <w:pPr>
        <w:pStyle w:val="StandardWeb"/>
      </w:pPr>
      <w:r>
        <w:t>Sei eine Kohärenzbewertung</w:t>
      </w:r>
    </w:p>
    <w:p w:rsidR="00B520CF" w:rsidRDefault="00B520CF" w:rsidP="00B520CF">
      <w:pPr>
        <w:pStyle w:val="StandardWeb"/>
      </w:pPr>
      <w:r>
        <w:t>[</w:t>
      </w:r>
      <w:r>
        <w:br/>
        <w:t>\kappa_F</w:t>
      </w:r>
      <w:r>
        <w:br/>
        <w:t>:</w:t>
      </w:r>
      <w:r>
        <w:br/>
        <w:t>\mathcal X_F</w:t>
      </w:r>
      <w:r>
        <w:br/>
        <w:t>\rightarrow</w:t>
      </w:r>
      <w:r>
        <w:br/>
        <w:t>\mathcal K_F</w:t>
      </w:r>
      <w:r>
        <w:br/>
        <w:t>\tag{3.14151}</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\kappa_F:\mathcal X_F\rightarrow\mathcal K_F</w:t>
      </w:r>
    </w:p>
    <w:p w:rsidR="00B520CF" w:rsidRDefault="00B520CF" w:rsidP="00B520CF">
      <w:pPr>
        <w:pStyle w:val="StandardWeb"/>
      </w:pPr>
      <w:r>
        <w:t>und eine Rekonstruktionskohärenz</w:t>
      </w:r>
    </w:p>
    <w:p w:rsidR="00B520CF" w:rsidRDefault="00B520CF" w:rsidP="00B520CF">
      <w:pPr>
        <w:pStyle w:val="StandardWeb"/>
      </w:pPr>
      <w:r>
        <w:t>[</w:t>
      </w:r>
      <w:r>
        <w:br/>
        <w:t>\kappa_F^{\mathrm{rec}}</w:t>
      </w:r>
      <w:r>
        <w:br/>
        <w:t>:</w:t>
      </w:r>
      <w:r>
        <w:br/>
        <w:t>\mathcal X_F</w:t>
      </w:r>
      <w:r>
        <w:br/>
        <w:t>\rightarrow</w:t>
      </w:r>
      <w:r>
        <w:br/>
        <w:t>\mathcal K_F^{\mathrm{rec}}.</w:t>
      </w:r>
      <w:r>
        <w:br/>
        <w:t>\tag{3.14152}</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\kappa_F^{\mathrm{rec}}:\mathcal X_F\rightarrow\mathcal K_F^{\mathrm{rec}}</w:t>
      </w:r>
    </w:p>
    <w:p w:rsidR="00B520CF" w:rsidRDefault="00B520CF" w:rsidP="00B520CF">
      <w:pPr>
        <w:pStyle w:val="StandardWeb"/>
      </w:pPr>
      <w:r>
        <w:t>Eine Übertragungsabbildung sei</w:t>
      </w:r>
    </w:p>
    <w:p w:rsidR="00B520CF" w:rsidRDefault="00B520CF" w:rsidP="00B520CF">
      <w:pPr>
        <w:pStyle w:val="StandardWeb"/>
      </w:pPr>
      <w:r>
        <w:t>[</w:t>
      </w:r>
      <w:r>
        <w:br/>
        <w:t>\Theta_\kappa^{\mathrm{rec}}</w:t>
      </w:r>
      <w:r>
        <w:br/>
      </w:r>
      <w:r>
        <w:lastRenderedPageBreak/>
        <w:t>:</w:t>
      </w:r>
      <w:r>
        <w:br/>
        <w:t>\mathcal K_F</w:t>
      </w:r>
      <w:r>
        <w:br/>
        <w:t>\rightarrow</w:t>
      </w:r>
      <w:r>
        <w:br/>
        <w:t>\mathcal K_F^{\mathrm{rec}}.</w:t>
      </w:r>
      <w:r>
        <w:br/>
        <w:t>\tag{3.14153}</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\Theta_\kappa^{\mathrm{rec}}:\mathcal K_F\rightarrow\mathcal K_F^{\mathrm{rec}}</w:t>
      </w:r>
    </w:p>
    <w:p w:rsidR="00B520CF" w:rsidRDefault="00B520CF" w:rsidP="00B520CF">
      <w:r>
        <w:pict>
          <v:rect id="_x0000_i6390" style="width:0;height:1.5pt" o:hralign="center" o:hrstd="t" o:hr="t" fillcolor="#a0a0a0" stroked="f"/>
        </w:pict>
      </w:r>
    </w:p>
    <w:p w:rsidR="00B520CF" w:rsidRDefault="00B520CF" w:rsidP="00B520CF">
      <w:pPr>
        <w:pStyle w:val="berschrift2"/>
      </w:pPr>
      <w:r>
        <w:t>3.3.53.189 Definition 3.3.664 – Kohärenzverträgliche funktionale Rekonstruktion</w:t>
      </w:r>
    </w:p>
    <w:p w:rsidR="00B520CF" w:rsidRDefault="00B520CF" w:rsidP="00B520CF">
      <w:pPr>
        <w:pStyle w:val="berschrift3"/>
      </w:pPr>
      <w:r>
        <w:t>Definition 3.3.664</w:t>
      </w:r>
    </w:p>
    <w:p w:rsidR="00B520CF" w:rsidRDefault="00B520CF" w:rsidP="00B520CF">
      <w:pPr>
        <w:pStyle w:val="StandardWeb"/>
      </w:pPr>
      <w:r>
        <w:t xml:space="preserve">Eine funktionale Rekonstruktion heißt </w:t>
      </w:r>
      <w:r>
        <w:rPr>
          <w:rStyle w:val="Fett"/>
        </w:rPr>
        <w:t>kohärenzverträglich</w:t>
      </w:r>
      <w:r>
        <w:t>, wenn</w:t>
      </w:r>
    </w:p>
    <w:p w:rsidR="00B520CF" w:rsidRDefault="00B520CF" w:rsidP="00B520CF">
      <w:pPr>
        <w:pStyle w:val="berschrift1"/>
      </w:pPr>
      <w:r>
        <w:t>[</w:t>
      </w:r>
      <w:r>
        <w:br/>
        <w:t>\boxed{</w:t>
      </w:r>
      <w:r>
        <w:br/>
        <w:t>\kappa_F^{\mathrm{rec}}</w:t>
      </w:r>
      <w:r>
        <w:br/>
        <w:t>\bigl(</w:t>
      </w:r>
      <w:r>
        <w:br/>
        <w:t>C_F(R_F(X))</w:t>
      </w:r>
      <w:r>
        <w:br/>
        <w:t>\bigr)</w:t>
      </w:r>
    </w:p>
    <w:p w:rsidR="00B520CF" w:rsidRDefault="00B520CF" w:rsidP="00B520CF">
      <w:pPr>
        <w:pStyle w:val="StandardWeb"/>
      </w:pPr>
      <w:r>
        <w:t>\Theta_\kappa^{\mathrm{rec}}</w:t>
      </w:r>
      <w:r>
        <w:br/>
        <w:t>\bigl(</w:t>
      </w:r>
      <w:r>
        <w:br/>
        <w:t>\kappa_F(X)</w:t>
      </w:r>
      <w:r>
        <w:br/>
        <w:t>\bigr).</w:t>
      </w:r>
      <w:r>
        <w:br/>
        <w:t>}</w:t>
      </w:r>
      <w:r>
        <w:br/>
        <w:t>\tag{3.14154}</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\boxed{\kappa_F^{\mathrm{rec}}\bigl(C_F(R_F(X))\bigr)=\Theta_\kappa^{\mathrm{rec}}\bigl(\kappa_F(X)\bigr).}</w:t>
      </w:r>
    </w:p>
    <w:p w:rsidR="00B520CF" w:rsidRDefault="00B520CF" w:rsidP="00B520CF">
      <w:r>
        <w:pict>
          <v:rect id="_x0000_i6391" style="width:0;height:1.5pt" o:hralign="center" o:hrstd="t" o:hr="t" fillcolor="#a0a0a0" stroked="f"/>
        </w:pict>
      </w:r>
    </w:p>
    <w:p w:rsidR="00B520CF" w:rsidRDefault="00B520CF" w:rsidP="00B520CF">
      <w:pPr>
        <w:pStyle w:val="berschrift1"/>
      </w:pPr>
      <w:r>
        <w:t>3.3.53.190 Kohärenzbruch der Rekonstruktion</w:t>
      </w:r>
    </w:p>
    <w:p w:rsidR="00B520CF" w:rsidRDefault="00B520CF" w:rsidP="00B520CF">
      <w:pPr>
        <w:pStyle w:val="StandardWeb"/>
      </w:pPr>
      <w:r>
        <w:t>Es kann dagegen gelten</w:t>
      </w:r>
    </w:p>
    <w:p w:rsidR="00B520CF" w:rsidRDefault="00B520CF" w:rsidP="00B520CF">
      <w:pPr>
        <w:pStyle w:val="StandardWeb"/>
      </w:pPr>
      <w:r>
        <w:lastRenderedPageBreak/>
        <w:t>[</w:t>
      </w:r>
      <w:r>
        <w:br/>
        <w:t>\kappa_F^{\mathrm{rec}}</w:t>
      </w:r>
      <w:r>
        <w:br/>
        <w:t>(C_F(R_F(X)))</w:t>
      </w:r>
      <w:r>
        <w:br/>
        <w:t>\neq</w:t>
      </w:r>
      <w:r>
        <w:br/>
        <w:t>\Theta_\kappa^{\mathrm{rec}}</w:t>
      </w:r>
      <w:r>
        <w:br/>
        <w:t>(\kappa_F(X)).</w:t>
      </w:r>
      <w:r>
        <w:br/>
        <w:t>\tag{3.14155}</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\kappa_F^{\mathrm{rec}}(C_F(R_F(X)))\neq\Theta_\kappa^{\mathrm{rec}}(\kappa_F(X))</w:t>
      </w:r>
    </w:p>
    <w:p w:rsidR="00B520CF" w:rsidRDefault="00B520CF" w:rsidP="00B520CF">
      <w:r>
        <w:pict>
          <v:rect id="_x0000_i6392" style="width:0;height:1.5pt" o:hralign="center" o:hrstd="t" o:hr="t" fillcolor="#a0a0a0" stroked="f"/>
        </w:pict>
      </w:r>
    </w:p>
    <w:p w:rsidR="00B520CF" w:rsidRDefault="00B520CF" w:rsidP="00B520CF">
      <w:pPr>
        <w:pStyle w:val="berschrift1"/>
      </w:pPr>
      <w:r>
        <w:t>3.3.53.191 Kohärenzverträglichkeit der Rekonstruktion als Primäraxiomkandidat</w:t>
      </w:r>
    </w:p>
    <w:p w:rsidR="00B520CF" w:rsidRDefault="00B520CF" w:rsidP="00B520CF">
      <w:pPr>
        <w:pStyle w:val="StandardWeb"/>
      </w:pPr>
      <w:r>
        <w:t>Der Kandidat lautet</w:t>
      </w:r>
    </w:p>
    <w:p w:rsidR="00B520CF" w:rsidRDefault="00B520CF" w:rsidP="00B520CF">
      <w:pPr>
        <w:pStyle w:val="berschrift1"/>
      </w:pPr>
      <w:r>
        <w:t>[</w:t>
      </w:r>
      <w:r>
        <w:br/>
        <w:t>A_{\mathrm{rec-coh}}</w:t>
      </w:r>
      <w:r>
        <w:br/>
        <w:t>:</w:t>
      </w:r>
      <w:r>
        <w:br/>
        <w:t>\kappa_F^{\mathrm{rec}}</w:t>
      </w:r>
      <w:r>
        <w:br/>
        <w:t>\circ</w:t>
      </w:r>
      <w:r>
        <w:br/>
        <w:t>C_F</w:t>
      </w:r>
      <w:r>
        <w:br/>
        <w:t>\circ</w:t>
      </w:r>
      <w:r>
        <w:br/>
        <w:t>R_F</w:t>
      </w:r>
    </w:p>
    <w:p w:rsidR="00B520CF" w:rsidRDefault="00B520CF" w:rsidP="00B520CF">
      <w:pPr>
        <w:pStyle w:val="StandardWeb"/>
      </w:pPr>
      <w:r>
        <w:t>\Theta_\kappa^{\mathrm{rec}}</w:t>
      </w:r>
      <w:r>
        <w:br/>
        <w:t>\circ</w:t>
      </w:r>
      <w:r>
        <w:br/>
        <w:t>\kappa_F.</w:t>
      </w:r>
      <w:r>
        <w:br/>
        <w:t>\tag{3.14156}</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A_{\mathrm{rec-coh}}:\kappa_F^{\mathrm{rec}}\circ C_F\circ R_F=\Theta_\kappa^{\mathrm{rec}}\circ\kappa_F</w:t>
      </w:r>
    </w:p>
    <w:p w:rsidR="00B520CF" w:rsidRDefault="00B520CF" w:rsidP="00B520CF">
      <w:r>
        <w:pict>
          <v:rect id="_x0000_i6393" style="width:0;height:1.5pt" o:hralign="center" o:hrstd="t" o:hr="t" fillcolor="#a0a0a0" stroked="f"/>
        </w:pict>
      </w:r>
    </w:p>
    <w:p w:rsidR="00B520CF" w:rsidRDefault="00B520CF" w:rsidP="00B520CF">
      <w:pPr>
        <w:pStyle w:val="berschrift1"/>
      </w:pPr>
      <w:r>
        <w:t>3.3.53.192 Gegenmodell</w:t>
      </w:r>
    </w:p>
    <w:p w:rsidR="00B520CF" w:rsidRDefault="00B520CF" w:rsidP="00B520CF">
      <w:pPr>
        <w:pStyle w:val="StandardWeb"/>
      </w:pPr>
      <w:r>
        <w:t>Die Reduktions- und Rekonstruktionskette kann kohärenzrelevante Information verändern.</w:t>
      </w:r>
    </w:p>
    <w:p w:rsidR="00B520CF" w:rsidRDefault="00B520CF" w:rsidP="00B520CF">
      <w:pPr>
        <w:pStyle w:val="StandardWeb"/>
      </w:pPr>
      <w:r>
        <w:lastRenderedPageBreak/>
        <w:t>Dann ist möglich:</w:t>
      </w:r>
    </w:p>
    <w:p w:rsidR="00B520CF" w:rsidRDefault="00B520CF" w:rsidP="00B520CF">
      <w:pPr>
        <w:pStyle w:val="StandardWeb"/>
      </w:pPr>
      <w:r>
        <w:t>[</w:t>
      </w:r>
      <w:r>
        <w:br/>
        <w:t>\kappa_F^{\mathrm{rec}}</w:t>
      </w:r>
      <w:r>
        <w:br/>
        <w:t>(C_F(R_F(X)))</w:t>
      </w:r>
      <w:r>
        <w:br/>
        <w:t>\neq</w:t>
      </w:r>
      <w:r>
        <w:br/>
        <w:t>\Theta_\kappa^{\mathrm{rec}}</w:t>
      </w:r>
      <w:r>
        <w:br/>
        <w:t>(\kappa_F(X)).</w:t>
      </w:r>
      <w:r>
        <w:br/>
        <w:t>\tag{3.14157}</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\kappa_F^{\mathrm{rec}}(C_F(R_F(X)))\neq\Theta_\kappa^{\mathrm{rec}}(\kappa_F(X))</w:t>
      </w:r>
    </w:p>
    <w:p w:rsidR="00B520CF" w:rsidRDefault="00B520CF" w:rsidP="00B520CF">
      <w:r>
        <w:pict>
          <v:rect id="_x0000_i6394" style="width:0;height:1.5pt" o:hralign="center" o:hrstd="t" o:hr="t" fillcolor="#a0a0a0" stroked="f"/>
        </w:pict>
      </w:r>
    </w:p>
    <w:p w:rsidR="00B520CF" w:rsidRDefault="00B520CF" w:rsidP="00B520CF">
      <w:pPr>
        <w:pStyle w:val="berschrift1"/>
      </w:pPr>
      <w:r>
        <w:t>3.3.53.193 Axiomentscheidung zur Rekonstruktionskohärenz</w:t>
      </w:r>
    </w:p>
    <w:p w:rsidR="00B520CF" w:rsidRDefault="00B520CF" w:rsidP="00B520CF">
      <w:pPr>
        <w:pStyle w:val="StandardWeb"/>
      </w:pPr>
      <w:r>
        <w:t>Damit gilt</w:t>
      </w:r>
    </w:p>
    <w:p w:rsidR="00B520CF" w:rsidRDefault="00B520CF" w:rsidP="00B520CF">
      <w:pPr>
        <w:pStyle w:val="berschrift1"/>
      </w:pPr>
      <w:r>
        <w:t>[</w:t>
      </w:r>
      <w:r>
        <w:br/>
        <w:t>\boxed{</w:t>
      </w:r>
      <w:r>
        <w:br/>
        <w:t>U_{\mathrm{Ax}}</w:t>
      </w:r>
      <w:r>
        <w:br/>
        <w:t>(A_{\mathrm{rec-coh}})</w:t>
      </w:r>
    </w:p>
    <w:p w:rsidR="00B520CF" w:rsidRDefault="00B520CF" w:rsidP="009F7790">
      <w:pPr>
        <w:numPr>
          <w:ilvl w:val="0"/>
          <w:numId w:val="778"/>
        </w:numPr>
        <w:spacing w:before="100" w:beforeAutospacing="1" w:after="100" w:afterAutospacing="1"/>
      </w:pPr>
    </w:p>
    <w:p w:rsidR="00B520CF" w:rsidRDefault="00B520CF" w:rsidP="00B520CF">
      <w:pPr>
        <w:pStyle w:val="StandardWeb"/>
      </w:pPr>
      <w:r>
        <w:t>}</w:t>
      </w:r>
      <w:r>
        <w:br/>
        <w:t>\tag{3.14158}</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\boxed{U_{\mathrm{Ax}}(A_{\mathrm{rec-coh}})=0.}</w:t>
      </w:r>
    </w:p>
    <w:p w:rsidR="00B520CF" w:rsidRDefault="00B520CF" w:rsidP="00B520CF">
      <w:r>
        <w:pict>
          <v:rect id="_x0000_i6395" style="width:0;height:1.5pt" o:hralign="center" o:hrstd="t" o:hr="t" fillcolor="#a0a0a0" stroked="f"/>
        </w:pict>
      </w:r>
    </w:p>
    <w:p w:rsidR="00B520CF" w:rsidRDefault="00B520CF" w:rsidP="00B520CF">
      <w:pPr>
        <w:pStyle w:val="berschrift1"/>
      </w:pPr>
      <w:r>
        <w:t>3.3.53.194 Satz 3.3.272 – Kohärenzverträglichkeit funktionaler Rekonstruktionen ist kein Primäraxiom</w:t>
      </w:r>
    </w:p>
    <w:p w:rsidR="00B520CF" w:rsidRDefault="00B520CF" w:rsidP="00B520CF">
      <w:pPr>
        <w:pStyle w:val="berschrift3"/>
      </w:pPr>
      <w:r>
        <w:t>Satz 3.3.272</w:t>
      </w:r>
    </w:p>
    <w:p w:rsidR="00B520CF" w:rsidRDefault="00B520CF" w:rsidP="00B520CF">
      <w:pPr>
        <w:pStyle w:val="StandardWeb"/>
      </w:pPr>
      <w:r>
        <w:t>Die Forderung, eine funktionale Rekonstruktion müsse eine ursprüngliche Kohärenzbewertung nach Reduktion über eine festgelegte Übertragungsabbildung wiederherstellen, ist keine universell notwendige Voraussetzung des allgemeinen FRZK.</w:t>
      </w:r>
    </w:p>
    <w:p w:rsidR="00B520CF" w:rsidRDefault="00B520CF" w:rsidP="00B520CF">
      <w:pPr>
        <w:pStyle w:val="berschrift1"/>
      </w:pPr>
      <w:r>
        <w:lastRenderedPageBreak/>
        <w:t>[</w:t>
      </w:r>
      <w:r>
        <w:br/>
        <w:t>\boxed{</w:t>
      </w:r>
      <w:r>
        <w:br/>
        <w:t>U_{\mathrm{Ax}}</w:t>
      </w:r>
      <w:r>
        <w:br/>
        <w:t>(A_{\mathrm{rec-coh}})</w:t>
      </w:r>
    </w:p>
    <w:p w:rsidR="00B520CF" w:rsidRDefault="00B520CF" w:rsidP="009F7790">
      <w:pPr>
        <w:numPr>
          <w:ilvl w:val="0"/>
          <w:numId w:val="779"/>
        </w:numPr>
        <w:spacing w:before="100" w:beforeAutospacing="1" w:after="100" w:afterAutospacing="1"/>
      </w:pPr>
    </w:p>
    <w:p w:rsidR="00B520CF" w:rsidRDefault="00B520CF" w:rsidP="00B520CF">
      <w:pPr>
        <w:pStyle w:val="StandardWeb"/>
      </w:pPr>
      <w:r>
        <w:t>}</w:t>
      </w:r>
      <w:r>
        <w:br/>
        <w:t>\tag{3.14159}</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\boxed{U_{\mathrm{Ax}}(A_{\mathrm{rec-coh}})=0.}</w:t>
      </w:r>
    </w:p>
    <w:p w:rsidR="00B520CF" w:rsidRDefault="00B520CF" w:rsidP="00B520CF">
      <w:r>
        <w:pict>
          <v:rect id="_x0000_i6396" style="width:0;height:1.5pt" o:hralign="center" o:hrstd="t" o:hr="t" fillcolor="#a0a0a0" stroked="f"/>
        </w:pict>
      </w:r>
    </w:p>
    <w:p w:rsidR="00B520CF" w:rsidRDefault="00B520CF" w:rsidP="00B520CF">
      <w:pPr>
        <w:pStyle w:val="berschrift1"/>
      </w:pPr>
      <w:r>
        <w:t>3.3.53.195 Übergangsverträgliches Lifting</w:t>
      </w:r>
    </w:p>
    <w:p w:rsidR="00B520CF" w:rsidRDefault="00B520CF" w:rsidP="00B520CF">
      <w:pPr>
        <w:pStyle w:val="StandardWeb"/>
      </w:pPr>
      <w:r>
        <w:t>Für ein Lifting (L_F) und eine Übergangsabbildung (T_F) kann ich eine gehobene Dynamik</w:t>
      </w:r>
    </w:p>
    <w:p w:rsidR="00B520CF" w:rsidRDefault="00B520CF" w:rsidP="00B520CF">
      <w:pPr>
        <w:pStyle w:val="StandardWeb"/>
      </w:pPr>
      <w:r>
        <w:t>[</w:t>
      </w:r>
      <w:r>
        <w:br/>
        <w:t>\widetilde T_F</w:t>
      </w:r>
      <w:r>
        <w:br/>
        <w:t>:</w:t>
      </w:r>
      <w:r>
        <w:br/>
        <w:t>\widetilde{\mathcal X}_F</w:t>
      </w:r>
      <w:r>
        <w:br/>
        <w:t>\rightarrow</w:t>
      </w:r>
      <w:r>
        <w:br/>
        <w:t>\widetilde{\mathcal X}_F</w:t>
      </w:r>
      <w:r>
        <w:br/>
        <w:t>\tag{3.14160}</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\widetilde T_F:\widetilde{\mathcal X}_F\rightarrow\widetilde{\mathcal X}_F</w:t>
      </w:r>
    </w:p>
    <w:p w:rsidR="00B520CF" w:rsidRDefault="00B520CF" w:rsidP="00B520CF">
      <w:pPr>
        <w:pStyle w:val="StandardWeb"/>
      </w:pPr>
      <w:r>
        <w:t>einführen.</w:t>
      </w:r>
    </w:p>
    <w:p w:rsidR="00B520CF" w:rsidRDefault="00B520CF" w:rsidP="00B520CF">
      <w:pPr>
        <w:pStyle w:val="StandardWeb"/>
      </w:pPr>
      <w:r>
        <w:t>Eine mögliche Verträglichkeitsbedingung lautet</w:t>
      </w:r>
    </w:p>
    <w:p w:rsidR="00B520CF" w:rsidRDefault="00B520CF" w:rsidP="00B520CF">
      <w:pPr>
        <w:pStyle w:val="berschrift1"/>
      </w:pPr>
      <w:r>
        <w:t>[</w:t>
      </w:r>
      <w:r>
        <w:br/>
        <w:t>L_F</w:t>
      </w:r>
      <w:r>
        <w:br/>
        <w:t>\circ</w:t>
      </w:r>
      <w:r>
        <w:br/>
        <w:t>T_F</w:t>
      </w:r>
    </w:p>
    <w:p w:rsidR="00B520CF" w:rsidRDefault="00B520CF" w:rsidP="00B520CF">
      <w:pPr>
        <w:pStyle w:val="StandardWeb"/>
      </w:pPr>
      <w:r>
        <w:t>\widetilde T_F</w:t>
      </w:r>
      <w:r>
        <w:br/>
        <w:t>\circ</w:t>
      </w:r>
      <w:r>
        <w:br/>
        <w:t>L_F.</w:t>
      </w:r>
      <w:r>
        <w:br/>
      </w:r>
      <w:r>
        <w:lastRenderedPageBreak/>
        <w:t>\tag{3.14161}</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L_F\circ T_F=\widetilde T_F\circ L_F</w:t>
      </w:r>
    </w:p>
    <w:p w:rsidR="00B520CF" w:rsidRDefault="00B520CF" w:rsidP="00B520CF">
      <w:r>
        <w:pict>
          <v:rect id="_x0000_i6397" style="width:0;height:1.5pt" o:hralign="center" o:hrstd="t" o:hr="t" fillcolor="#a0a0a0" stroked="f"/>
        </w:pict>
      </w:r>
    </w:p>
    <w:p w:rsidR="00B520CF" w:rsidRDefault="00B520CF" w:rsidP="00B520CF">
      <w:pPr>
        <w:pStyle w:val="berschrift2"/>
      </w:pPr>
      <w:r>
        <w:t>3.3.53.196 Definition 3.3.665 – Übergangsverträgliches funktionales Lifting</w:t>
      </w:r>
    </w:p>
    <w:p w:rsidR="00B520CF" w:rsidRDefault="00B520CF" w:rsidP="00B520CF">
      <w:pPr>
        <w:pStyle w:val="berschrift3"/>
      </w:pPr>
      <w:r>
        <w:t>Definition 3.3.665</w:t>
      </w:r>
    </w:p>
    <w:p w:rsidR="00B520CF" w:rsidRDefault="00B520CF" w:rsidP="00B520CF">
      <w:pPr>
        <w:pStyle w:val="StandardWeb"/>
      </w:pPr>
      <w:r>
        <w:t xml:space="preserve">Ein funktionales Lifting heißt </w:t>
      </w:r>
      <w:r>
        <w:rPr>
          <w:rStyle w:val="Fett"/>
        </w:rPr>
        <w:t>übergangsverträglich</w:t>
      </w:r>
      <w:r>
        <w:t>, wenn</w:t>
      </w:r>
    </w:p>
    <w:p w:rsidR="00B520CF" w:rsidRDefault="00B520CF" w:rsidP="00B520CF">
      <w:pPr>
        <w:pStyle w:val="berschrift1"/>
      </w:pPr>
      <w:r>
        <w:t>[</w:t>
      </w:r>
      <w:r>
        <w:br/>
        <w:t>\boxed{</w:t>
      </w:r>
      <w:r>
        <w:br/>
        <w:t>L_F</w:t>
      </w:r>
      <w:r>
        <w:br/>
        <w:t>\circ</w:t>
      </w:r>
      <w:r>
        <w:br/>
        <w:t>T_F</w:t>
      </w:r>
    </w:p>
    <w:p w:rsidR="00B520CF" w:rsidRDefault="00B520CF" w:rsidP="00B520CF">
      <w:pPr>
        <w:pStyle w:val="StandardWeb"/>
      </w:pPr>
      <w:r>
        <w:t>\widetilde T_F</w:t>
      </w:r>
      <w:r>
        <w:br/>
        <w:t>\circ</w:t>
      </w:r>
      <w:r>
        <w:br/>
        <w:t>L_F.</w:t>
      </w:r>
      <w:r>
        <w:br/>
        <w:t>}</w:t>
      </w:r>
      <w:r>
        <w:br/>
        <w:t>\tag{3.14162}</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\boxed{L_F\circ T_F=\widetilde T_F\circ L_F.}</w:t>
      </w:r>
    </w:p>
    <w:p w:rsidR="00B520CF" w:rsidRDefault="00B520CF" w:rsidP="00B520CF">
      <w:r>
        <w:pict>
          <v:rect id="_x0000_i6398" style="width:0;height:1.5pt" o:hralign="center" o:hrstd="t" o:hr="t" fillcolor="#a0a0a0" stroked="f"/>
        </w:pict>
      </w:r>
    </w:p>
    <w:p w:rsidR="00B520CF" w:rsidRDefault="00B520CF" w:rsidP="00B520CF">
      <w:pPr>
        <w:pStyle w:val="berschrift1"/>
      </w:pPr>
      <w:r>
        <w:t>3.3.53.197 Nicht übergangsverträgliches Lifting</w:t>
      </w:r>
    </w:p>
    <w:p w:rsidR="00B520CF" w:rsidRDefault="00B520CF" w:rsidP="00B520CF">
      <w:pPr>
        <w:pStyle w:val="StandardWeb"/>
      </w:pPr>
      <w:r>
        <w:t>Es kann gelten</w:t>
      </w:r>
    </w:p>
    <w:p w:rsidR="00B520CF" w:rsidRDefault="00B520CF" w:rsidP="00B520CF">
      <w:pPr>
        <w:pStyle w:val="StandardWeb"/>
      </w:pPr>
      <w:r>
        <w:t>[</w:t>
      </w:r>
      <w:r>
        <w:br/>
        <w:t>L_F(T_F(X))</w:t>
      </w:r>
      <w:r>
        <w:br/>
        <w:t>\neq</w:t>
      </w:r>
      <w:r>
        <w:br/>
        <w:t>\widetilde T_F(L_F(X)).</w:t>
      </w:r>
      <w:r>
        <w:br/>
        <w:t>\tag{3.14163}</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lastRenderedPageBreak/>
        <w:t>L_F(T_F(X))\neq\widetilde T_F(L_F(X))</w:t>
      </w:r>
    </w:p>
    <w:p w:rsidR="00B520CF" w:rsidRDefault="00B520CF" w:rsidP="00B520CF">
      <w:r>
        <w:pict>
          <v:rect id="_x0000_i6399" style="width:0;height:1.5pt" o:hralign="center" o:hrstd="t" o:hr="t" fillcolor="#a0a0a0" stroked="f"/>
        </w:pict>
      </w:r>
    </w:p>
    <w:p w:rsidR="00B520CF" w:rsidRDefault="00B520CF" w:rsidP="00B520CF">
      <w:pPr>
        <w:pStyle w:val="berschrift1"/>
      </w:pPr>
      <w:r>
        <w:t>3.3.53.198 Übergangsverträglichkeit als Primäraxiomkandidat</w:t>
      </w:r>
    </w:p>
    <w:p w:rsidR="00B520CF" w:rsidRDefault="00B520CF" w:rsidP="00B520CF">
      <w:pPr>
        <w:pStyle w:val="StandardWeb"/>
      </w:pPr>
      <w:r>
        <w:t>Der Kandidat lautet</w:t>
      </w:r>
    </w:p>
    <w:p w:rsidR="00B520CF" w:rsidRDefault="00B520CF" w:rsidP="00B520CF">
      <w:pPr>
        <w:pStyle w:val="berschrift1"/>
      </w:pPr>
      <w:r>
        <w:t>[</w:t>
      </w:r>
      <w:r>
        <w:br/>
        <w:t>A_{\mathrm{lift-dyn}}</w:t>
      </w:r>
      <w:r>
        <w:br/>
        <w:t>:</w:t>
      </w:r>
      <w:r>
        <w:br/>
        <w:t>L_F</w:t>
      </w:r>
      <w:r>
        <w:br/>
        <w:t>\circ</w:t>
      </w:r>
      <w:r>
        <w:br/>
        <w:t>T_F</w:t>
      </w:r>
    </w:p>
    <w:p w:rsidR="00B520CF" w:rsidRDefault="00B520CF" w:rsidP="00B520CF">
      <w:pPr>
        <w:pStyle w:val="StandardWeb"/>
      </w:pPr>
      <w:r>
        <w:t>\widetilde T_F</w:t>
      </w:r>
      <w:r>
        <w:br/>
        <w:t>\circ</w:t>
      </w:r>
      <w:r>
        <w:br/>
        <w:t>L_F.</w:t>
      </w:r>
      <w:r>
        <w:br/>
        <w:t>\tag{3.14164}</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A_{\mathrm{lift-dyn}}:L_F\circ T_F=\widetilde T_F\circ L_F</w:t>
      </w:r>
    </w:p>
    <w:p w:rsidR="00B520CF" w:rsidRDefault="00B520CF" w:rsidP="00B520CF">
      <w:r>
        <w:pict>
          <v:rect id="_x0000_i6400" style="width:0;height:1.5pt" o:hralign="center" o:hrstd="t" o:hr="t" fillcolor="#a0a0a0" stroked="f"/>
        </w:pict>
      </w:r>
    </w:p>
    <w:p w:rsidR="00B520CF" w:rsidRDefault="00B520CF" w:rsidP="00B520CF">
      <w:pPr>
        <w:pStyle w:val="berschrift1"/>
      </w:pPr>
      <w:r>
        <w:t>3.3.53.199 Gegenmodell</w:t>
      </w:r>
    </w:p>
    <w:p w:rsidR="00B520CF" w:rsidRDefault="00B520CF" w:rsidP="00B520CF">
      <w:pPr>
        <w:pStyle w:val="StandardWeb"/>
      </w:pPr>
      <w:r>
        <w:t>Ein Lifting kann zusätzliche Freiheitsgrade oder Repräsentationsmerkmale einführen, deren Entwicklung nicht vollständig durch (T_F) bestimmt wird.</w:t>
      </w:r>
    </w:p>
    <w:p w:rsidR="00B520CF" w:rsidRDefault="00B520CF" w:rsidP="00B520CF">
      <w:pPr>
        <w:pStyle w:val="StandardWeb"/>
      </w:pPr>
      <w:r>
        <w:t>Dann kann</w:t>
      </w:r>
    </w:p>
    <w:p w:rsidR="00B520CF" w:rsidRDefault="00B520CF" w:rsidP="00B520CF">
      <w:pPr>
        <w:pStyle w:val="berschrift1"/>
      </w:pPr>
      <w:r>
        <w:t>[</w:t>
      </w:r>
      <w:r>
        <w:br/>
        <w:t>L_F(T_F(X))</w:t>
      </w:r>
    </w:p>
    <w:p w:rsidR="00B520CF" w:rsidRDefault="00B520CF" w:rsidP="00B520CF">
      <w:pPr>
        <w:pStyle w:val="StandardWeb"/>
      </w:pPr>
      <w:r>
        <w:t>Y_1</w:t>
      </w:r>
      <w:r>
        <w:br/>
        <w:t>\tag{3.14165}</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L_F(T_F(X))=Y_1</w:t>
      </w:r>
    </w:p>
    <w:p w:rsidR="00B520CF" w:rsidRDefault="00B520CF" w:rsidP="00B520CF">
      <w:pPr>
        <w:pStyle w:val="StandardWeb"/>
      </w:pPr>
      <w:r>
        <w:lastRenderedPageBreak/>
        <w:t>und</w:t>
      </w:r>
    </w:p>
    <w:p w:rsidR="00B520CF" w:rsidRDefault="00B520CF" w:rsidP="00B520CF">
      <w:pPr>
        <w:pStyle w:val="berschrift1"/>
      </w:pPr>
      <w:r>
        <w:t>[</w:t>
      </w:r>
      <w:r>
        <w:br/>
        <w:t>\widetilde T_F(L_F(X))</w:t>
      </w:r>
    </w:p>
    <w:p w:rsidR="00B520CF" w:rsidRDefault="00B520CF" w:rsidP="00B520CF">
      <w:pPr>
        <w:pStyle w:val="StandardWeb"/>
      </w:pPr>
      <w:r>
        <w:t>Y_2</w:t>
      </w:r>
      <w:r>
        <w:br/>
        <w:t>\tag{3.14166}</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\widetilde T_F(L_F(X))=Y_2</w:t>
      </w:r>
    </w:p>
    <w:p w:rsidR="00B520CF" w:rsidRDefault="00B520CF" w:rsidP="00B520CF">
      <w:pPr>
        <w:pStyle w:val="StandardWeb"/>
      </w:pPr>
      <w:r>
        <w:t>mit</w:t>
      </w:r>
    </w:p>
    <w:p w:rsidR="00B520CF" w:rsidRDefault="00B520CF" w:rsidP="00B520CF">
      <w:pPr>
        <w:pStyle w:val="StandardWeb"/>
      </w:pPr>
      <w:r>
        <w:t>[</w:t>
      </w:r>
      <w:r>
        <w:br/>
        <w:t>Y_1</w:t>
      </w:r>
      <w:r>
        <w:br/>
        <w:t>\neq</w:t>
      </w:r>
      <w:r>
        <w:br/>
        <w:t>Y_2</w:t>
      </w:r>
      <w:r>
        <w:br/>
        <w:t>\tag{3.14167}</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Y_1\neq Y_2</w:t>
      </w:r>
    </w:p>
    <w:p w:rsidR="00B520CF" w:rsidRDefault="00B520CF" w:rsidP="00B520CF">
      <w:pPr>
        <w:pStyle w:val="StandardWeb"/>
      </w:pPr>
      <w:r>
        <w:t>gelten.</w:t>
      </w:r>
    </w:p>
    <w:p w:rsidR="00B520CF" w:rsidRDefault="00B520CF" w:rsidP="00B520CF">
      <w:r>
        <w:pict>
          <v:rect id="_x0000_i6401" style="width:0;height:1.5pt" o:hralign="center" o:hrstd="t" o:hr="t" fillcolor="#a0a0a0" stroked="f"/>
        </w:pict>
      </w:r>
    </w:p>
    <w:p w:rsidR="00B520CF" w:rsidRDefault="00B520CF" w:rsidP="00B520CF">
      <w:pPr>
        <w:pStyle w:val="berschrift1"/>
      </w:pPr>
      <w:r>
        <w:t>3.3.53.200 Axiomentscheidung zur Liftingdynamik</w:t>
      </w:r>
    </w:p>
    <w:p w:rsidR="00B520CF" w:rsidRDefault="00B520CF" w:rsidP="00B520CF">
      <w:pPr>
        <w:pStyle w:val="StandardWeb"/>
      </w:pPr>
      <w:r>
        <w:t>Daraus folgt</w:t>
      </w:r>
    </w:p>
    <w:p w:rsidR="00B520CF" w:rsidRDefault="00B520CF" w:rsidP="00B520CF">
      <w:pPr>
        <w:pStyle w:val="berschrift1"/>
      </w:pPr>
      <w:r>
        <w:t>[</w:t>
      </w:r>
      <w:r>
        <w:br/>
        <w:t>\boxed{</w:t>
      </w:r>
      <w:r>
        <w:br/>
        <w:t>U_{\mathrm{Ax}}</w:t>
      </w:r>
      <w:r>
        <w:br/>
        <w:t>(A_{\mathrm{lift-dyn}})</w:t>
      </w:r>
    </w:p>
    <w:p w:rsidR="00B520CF" w:rsidRDefault="00B520CF" w:rsidP="009F7790">
      <w:pPr>
        <w:numPr>
          <w:ilvl w:val="0"/>
          <w:numId w:val="780"/>
        </w:numPr>
        <w:spacing w:before="100" w:beforeAutospacing="1" w:after="100" w:afterAutospacing="1"/>
      </w:pPr>
    </w:p>
    <w:p w:rsidR="00B520CF" w:rsidRDefault="00B520CF" w:rsidP="00B520CF">
      <w:pPr>
        <w:pStyle w:val="StandardWeb"/>
      </w:pPr>
      <w:r>
        <w:t>}</w:t>
      </w:r>
      <w:r>
        <w:br/>
        <w:t>\tag{3.14168}</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lastRenderedPageBreak/>
        <w:t>\boxed{U_{\mathrm{Ax}}(A_{\mathrm{lift-dyn}})=0.}</w:t>
      </w:r>
    </w:p>
    <w:p w:rsidR="00B520CF" w:rsidRDefault="00B520CF" w:rsidP="00B520CF">
      <w:r>
        <w:pict>
          <v:rect id="_x0000_i6402" style="width:0;height:1.5pt" o:hralign="center" o:hrstd="t" o:hr="t" fillcolor="#a0a0a0" stroked="f"/>
        </w:pict>
      </w:r>
    </w:p>
    <w:p w:rsidR="00B520CF" w:rsidRDefault="00B520CF" w:rsidP="00B520CF">
      <w:pPr>
        <w:pStyle w:val="berschrift1"/>
      </w:pPr>
      <w:r>
        <w:t>3.3.53.201 Satz 3.3.273 – Übergangsverträglichkeit funktionaler Liftings ist kein Primäraxiom</w:t>
      </w:r>
    </w:p>
    <w:p w:rsidR="00B520CF" w:rsidRDefault="00B520CF" w:rsidP="00B520CF">
      <w:pPr>
        <w:pStyle w:val="berschrift3"/>
      </w:pPr>
      <w:r>
        <w:t>Satz 3.3.273</w:t>
      </w:r>
    </w:p>
    <w:p w:rsidR="00B520CF" w:rsidRDefault="00B520CF" w:rsidP="00B520CF">
      <w:pPr>
        <w:pStyle w:val="StandardWeb"/>
      </w:pPr>
      <w:r>
        <w:t>Die Forderung, jedes funktionale Lifting müsse mit der Ausgangsdynamik durch eine eindeutig festgelegte gehobene Dynamik verträglich sein, ist keine universell notwendige Voraussetzung des allgemeinen FRZK.</w:t>
      </w:r>
    </w:p>
    <w:p w:rsidR="00B520CF" w:rsidRDefault="00B520CF" w:rsidP="00B520CF">
      <w:pPr>
        <w:pStyle w:val="berschrift1"/>
      </w:pPr>
      <w:r>
        <w:t>[</w:t>
      </w:r>
      <w:r>
        <w:br/>
        <w:t>\boxed{</w:t>
      </w:r>
      <w:r>
        <w:br/>
        <w:t>U_{\mathrm{Ax}}</w:t>
      </w:r>
      <w:r>
        <w:br/>
        <w:t>(A_{\mathrm{lift-dyn}})</w:t>
      </w:r>
    </w:p>
    <w:p w:rsidR="00B520CF" w:rsidRDefault="00B520CF" w:rsidP="009F7790">
      <w:pPr>
        <w:numPr>
          <w:ilvl w:val="0"/>
          <w:numId w:val="781"/>
        </w:numPr>
        <w:spacing w:before="100" w:beforeAutospacing="1" w:after="100" w:afterAutospacing="1"/>
      </w:pPr>
    </w:p>
    <w:p w:rsidR="00B520CF" w:rsidRDefault="00B520CF" w:rsidP="00B520CF">
      <w:pPr>
        <w:pStyle w:val="StandardWeb"/>
      </w:pPr>
      <w:r>
        <w:t>}</w:t>
      </w:r>
      <w:r>
        <w:br/>
        <w:t>\tag{3.14169}</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\boxed{U_{\mathrm{Ax}}(A_{\mathrm{lift-dyn}})=0.}</w:t>
      </w:r>
    </w:p>
    <w:p w:rsidR="00B520CF" w:rsidRDefault="00B520CF" w:rsidP="00B520CF">
      <w:r>
        <w:pict>
          <v:rect id="_x0000_i6403" style="width:0;height:1.5pt" o:hralign="center" o:hrstd="t" o:hr="t" fillcolor="#a0a0a0" stroked="f"/>
        </w:pict>
      </w:r>
    </w:p>
    <w:p w:rsidR="00B520CF" w:rsidRDefault="00B520CF" w:rsidP="00B520CF">
      <w:pPr>
        <w:pStyle w:val="berschrift1"/>
      </w:pPr>
      <w:r>
        <w:t>3.3.53.202 Existenz einer Einbettung als Primäraxiomkandidat</w:t>
      </w:r>
    </w:p>
    <w:p w:rsidR="00B520CF" w:rsidRDefault="00B520CF" w:rsidP="00B520CF">
      <w:pPr>
        <w:pStyle w:val="StandardWeb"/>
      </w:pPr>
      <w:r>
        <w:t>Nun beginne ich die abschließende Minimalitätsprüfung des Abschnitts.</w:t>
      </w:r>
    </w:p>
    <w:p w:rsidR="00B520CF" w:rsidRDefault="00B520CF" w:rsidP="00B520CF">
      <w:pPr>
        <w:pStyle w:val="StandardWeb"/>
      </w:pPr>
      <w:r>
        <w:t>Der erste Kandidat lautet</w:t>
      </w:r>
    </w:p>
    <w:p w:rsidR="00B520CF" w:rsidRDefault="00B520CF" w:rsidP="00B520CF">
      <w:pPr>
        <w:pStyle w:val="StandardWeb"/>
      </w:pPr>
      <w:r>
        <w:t>[</w:t>
      </w:r>
      <w:r>
        <w:br/>
        <w:t>A_{\mathrm{emb-ex}}</w:t>
      </w:r>
      <w:r>
        <w:br/>
        <w:t>:</w:t>
      </w:r>
      <w:r>
        <w:br/>
        <w:t>\exists</w:t>
      </w:r>
      <w:r>
        <w:br/>
        <w:t>\iota_F.</w:t>
      </w:r>
      <w:r>
        <w:br/>
        <w:t>\tag{3.14170}</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A_{\mathrm{emb-ex}}:\exists\iota_F</w:t>
      </w:r>
    </w:p>
    <w:p w:rsidR="00B520CF" w:rsidRDefault="00B520CF" w:rsidP="00B520CF">
      <w:r>
        <w:lastRenderedPageBreak/>
        <w:pict>
          <v:rect id="_x0000_i6404" style="width:0;height:1.5pt" o:hralign="center" o:hrstd="t" o:hr="t" fillcolor="#a0a0a0" stroked="f"/>
        </w:pict>
      </w:r>
    </w:p>
    <w:p w:rsidR="00B520CF" w:rsidRDefault="00B520CF" w:rsidP="00B520CF">
      <w:pPr>
        <w:pStyle w:val="berschrift1"/>
      </w:pPr>
      <w:r>
        <w:t>3.3.53.203 Gegenmodell ohne Einbettung</w:t>
      </w:r>
    </w:p>
    <w:p w:rsidR="00B520CF" w:rsidRDefault="00B520CF" w:rsidP="00B520CF">
      <w:pPr>
        <w:pStyle w:val="StandardWeb"/>
      </w:pPr>
      <w:r>
        <w:t>Eine zulässige FRZK-Modellklasse kann ohne ausgezeichnete Einbettungsabbildung formuliert werden:</w:t>
      </w:r>
    </w:p>
    <w:p w:rsidR="00B520CF" w:rsidRDefault="00B520CF" w:rsidP="00B520CF">
      <w:pPr>
        <w:pStyle w:val="StandardWeb"/>
      </w:pPr>
      <w:r>
        <w:t>[</w:t>
      </w:r>
      <w:r>
        <w:br/>
        <w:t>\iota_F</w:t>
      </w:r>
      <w:r>
        <w:br/>
        <w:t>\notin</w:t>
      </w:r>
      <w:r>
        <w:br/>
        <w:t>\mathfrak E_{\mathrm{model}}.</w:t>
      </w:r>
      <w:r>
        <w:br/>
        <w:t>\tag{3.14171}</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\iota_F\notin\mathfrak E_{\mathrm{model}}</w:t>
      </w:r>
    </w:p>
    <w:p w:rsidR="00B520CF" w:rsidRDefault="00B520CF" w:rsidP="00B520CF">
      <w:r>
        <w:pict>
          <v:rect id="_x0000_i6405" style="width:0;height:1.5pt" o:hralign="center" o:hrstd="t" o:hr="t" fillcolor="#a0a0a0" stroked="f"/>
        </w:pict>
      </w:r>
    </w:p>
    <w:p w:rsidR="00B520CF" w:rsidRDefault="00B520CF" w:rsidP="00B520CF">
      <w:pPr>
        <w:pStyle w:val="berschrift1"/>
      </w:pPr>
      <w:r>
        <w:t>3.3.53.204 Existenz einer Erweiterung als Primäraxiomkandidat</w:t>
      </w:r>
    </w:p>
    <w:p w:rsidR="00B520CF" w:rsidRDefault="00B520CF" w:rsidP="00B520CF">
      <w:pPr>
        <w:pStyle w:val="StandardWeb"/>
      </w:pPr>
      <w:r>
        <w:t>Analog prüfe ich</w:t>
      </w:r>
    </w:p>
    <w:p w:rsidR="00B520CF" w:rsidRDefault="00B520CF" w:rsidP="00B520CF">
      <w:pPr>
        <w:pStyle w:val="StandardWeb"/>
      </w:pPr>
      <w:r>
        <w:t>[</w:t>
      </w:r>
      <w:r>
        <w:br/>
        <w:t>A_{\mathrm{ext-ex}}</w:t>
      </w:r>
      <w:r>
        <w:br/>
        <w:t>:</w:t>
      </w:r>
      <w:r>
        <w:br/>
        <w:t>\exists</w:t>
      </w:r>
      <w:r>
        <w:br/>
        <w:t>E_F.</w:t>
      </w:r>
      <w:r>
        <w:br/>
        <w:t>\tag{3.14172}</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A_{\mathrm{ext-ex}}:\exists E_F</w:t>
      </w:r>
    </w:p>
    <w:p w:rsidR="00B520CF" w:rsidRDefault="00B520CF" w:rsidP="00B520CF">
      <w:r>
        <w:pict>
          <v:rect id="_x0000_i6406" style="width:0;height:1.5pt" o:hralign="center" o:hrstd="t" o:hr="t" fillcolor="#a0a0a0" stroked="f"/>
        </w:pict>
      </w:r>
    </w:p>
    <w:p w:rsidR="00B520CF" w:rsidRDefault="00B520CF" w:rsidP="00B520CF">
      <w:pPr>
        <w:pStyle w:val="berschrift1"/>
      </w:pPr>
      <w:r>
        <w:t>3.3.53.205 Gegenmodell ohne Erweiterung</w:t>
      </w:r>
    </w:p>
    <w:p w:rsidR="00B520CF" w:rsidRDefault="00B520CF" w:rsidP="00B520CF">
      <w:pPr>
        <w:pStyle w:val="StandardWeb"/>
      </w:pPr>
      <w:r>
        <w:t>Eine Modellklasse kann ausschließlich mit ihren vorhandenen funktionalen Objekten arbeiten:</w:t>
      </w:r>
    </w:p>
    <w:p w:rsidR="00B520CF" w:rsidRDefault="00B520CF" w:rsidP="00B520CF">
      <w:pPr>
        <w:pStyle w:val="StandardWeb"/>
      </w:pPr>
      <w:r>
        <w:t>[</w:t>
      </w:r>
      <w:r>
        <w:br/>
        <w:t>E_F</w:t>
      </w:r>
      <w:r>
        <w:br/>
        <w:t>\notin</w:t>
      </w:r>
      <w:r>
        <w:br/>
        <w:t>\mathfrak E_{\mathrm{model}}.</w:t>
      </w:r>
      <w:r>
        <w:br/>
        <w:t>\tag{3.14173}</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lastRenderedPageBreak/>
        <w:t>E_F\notin\mathfrak E_{\mathrm{model}}</w:t>
      </w:r>
    </w:p>
    <w:p w:rsidR="00B520CF" w:rsidRDefault="00B520CF" w:rsidP="00B520CF">
      <w:r>
        <w:pict>
          <v:rect id="_x0000_i6407" style="width:0;height:1.5pt" o:hralign="center" o:hrstd="t" o:hr="t" fillcolor="#a0a0a0" stroked="f"/>
        </w:pict>
      </w:r>
    </w:p>
    <w:p w:rsidR="00B520CF" w:rsidRDefault="00B520CF" w:rsidP="00B520CF">
      <w:pPr>
        <w:pStyle w:val="berschrift1"/>
      </w:pPr>
      <w:r>
        <w:t>3.3.53.206 Existenz eines Liftings als Primäraxiomkandidat</w:t>
      </w:r>
    </w:p>
    <w:p w:rsidR="00B520CF" w:rsidRDefault="00B520CF" w:rsidP="00B520CF">
      <w:pPr>
        <w:pStyle w:val="StandardWeb"/>
      </w:pPr>
      <w:r>
        <w:t>Der nächste Kandidat lautet</w:t>
      </w:r>
    </w:p>
    <w:p w:rsidR="00B520CF" w:rsidRDefault="00B520CF" w:rsidP="00B520CF">
      <w:pPr>
        <w:pStyle w:val="StandardWeb"/>
      </w:pPr>
      <w:r>
        <w:t>[</w:t>
      </w:r>
      <w:r>
        <w:br/>
        <w:t>A_{\mathrm{lift-ex}}</w:t>
      </w:r>
      <w:r>
        <w:br/>
        <w:t>:</w:t>
      </w:r>
      <w:r>
        <w:br/>
        <w:t>\exists</w:t>
      </w:r>
      <w:r>
        <w:br/>
        <w:t>L_F.</w:t>
      </w:r>
      <w:r>
        <w:br/>
        <w:t>\tag{3.14174}</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A_{\mathrm{lift-ex}}:\exists L_F</w:t>
      </w:r>
    </w:p>
    <w:p w:rsidR="00B520CF" w:rsidRDefault="00B520CF" w:rsidP="00B520CF">
      <w:r>
        <w:pict>
          <v:rect id="_x0000_i6408" style="width:0;height:1.5pt" o:hralign="center" o:hrstd="t" o:hr="t" fillcolor="#a0a0a0" stroked="f"/>
        </w:pict>
      </w:r>
    </w:p>
    <w:p w:rsidR="00B520CF" w:rsidRDefault="00B520CF" w:rsidP="00B520CF">
      <w:pPr>
        <w:pStyle w:val="berschrift1"/>
      </w:pPr>
      <w:r>
        <w:t>3.3.53.207 Gegenmodell ohne Lifting</w:t>
      </w:r>
    </w:p>
    <w:p w:rsidR="00B520CF" w:rsidRDefault="00B520CF" w:rsidP="00B520CF">
      <w:pPr>
        <w:pStyle w:val="StandardWeb"/>
      </w:pPr>
      <w:r>
        <w:t>Eine Modellklasse kann ohne gehobene Repräsentationsebene formuliert sein:</w:t>
      </w:r>
    </w:p>
    <w:p w:rsidR="00B520CF" w:rsidRDefault="00B520CF" w:rsidP="00B520CF">
      <w:pPr>
        <w:pStyle w:val="StandardWeb"/>
      </w:pPr>
      <w:r>
        <w:t>[</w:t>
      </w:r>
      <w:r>
        <w:br/>
        <w:t>L_F</w:t>
      </w:r>
      <w:r>
        <w:br/>
        <w:t>\notin</w:t>
      </w:r>
      <w:r>
        <w:br/>
        <w:t>\mathfrak E_{\mathrm{model}}.</w:t>
      </w:r>
      <w:r>
        <w:br/>
        <w:t>\tag{3.14175}</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L_F\notin\mathfrak E_{\mathrm{model}}</w:t>
      </w:r>
    </w:p>
    <w:p w:rsidR="00B520CF" w:rsidRDefault="00B520CF" w:rsidP="00B520CF">
      <w:r>
        <w:pict>
          <v:rect id="_x0000_i6409" style="width:0;height:1.5pt" o:hralign="center" o:hrstd="t" o:hr="t" fillcolor="#a0a0a0" stroked="f"/>
        </w:pict>
      </w:r>
    </w:p>
    <w:p w:rsidR="00B520CF" w:rsidRDefault="00B520CF" w:rsidP="00B520CF">
      <w:pPr>
        <w:pStyle w:val="berschrift1"/>
      </w:pPr>
      <w:r>
        <w:t>3.3.53.208 Existenz einer Rekonstruktion als Primäraxiomkandidat</w:t>
      </w:r>
    </w:p>
    <w:p w:rsidR="00B520CF" w:rsidRDefault="00B520CF" w:rsidP="00B520CF">
      <w:pPr>
        <w:pStyle w:val="StandardWeb"/>
      </w:pPr>
      <w:r>
        <w:t>Der vierte Kandidat lautet</w:t>
      </w:r>
    </w:p>
    <w:p w:rsidR="00B520CF" w:rsidRDefault="00B520CF" w:rsidP="00B520CF">
      <w:pPr>
        <w:pStyle w:val="StandardWeb"/>
      </w:pPr>
      <w:r>
        <w:t>[</w:t>
      </w:r>
      <w:r>
        <w:br/>
        <w:t>A_{\mathrm{rec-ex}}</w:t>
      </w:r>
      <w:r>
        <w:br/>
        <w:t>:</w:t>
      </w:r>
      <w:r>
        <w:br/>
        <w:t>\exists</w:t>
      </w:r>
      <w:r>
        <w:br/>
        <w:t>C_F.</w:t>
      </w:r>
      <w:r>
        <w:br/>
      </w:r>
      <w:r>
        <w:lastRenderedPageBreak/>
        <w:t>\tag{3.14176}</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A_{\mathrm{rec-ex}}:\exists C_F</w:t>
      </w:r>
    </w:p>
    <w:p w:rsidR="00B520CF" w:rsidRDefault="00B520CF" w:rsidP="00B520CF">
      <w:r>
        <w:pict>
          <v:rect id="_x0000_i6410" style="width:0;height:1.5pt" o:hralign="center" o:hrstd="t" o:hr="t" fillcolor="#a0a0a0" stroked="f"/>
        </w:pict>
      </w:r>
    </w:p>
    <w:p w:rsidR="00B520CF" w:rsidRDefault="00B520CF" w:rsidP="00B520CF">
      <w:pPr>
        <w:pStyle w:val="berschrift1"/>
      </w:pPr>
      <w:r>
        <w:t>3.3.53.209 Gegenmodell ohne Rekonstruktion</w:t>
      </w:r>
    </w:p>
    <w:p w:rsidR="00B520CF" w:rsidRDefault="00B520CF" w:rsidP="00B520CF">
      <w:pPr>
        <w:pStyle w:val="StandardWeb"/>
      </w:pPr>
      <w:r>
        <w:t>Eine Modellklasse kann ohne Rekonstruktionsabbildung formuliert werden:</w:t>
      </w:r>
    </w:p>
    <w:p w:rsidR="00B520CF" w:rsidRDefault="00B520CF" w:rsidP="00B520CF">
      <w:pPr>
        <w:pStyle w:val="StandardWeb"/>
      </w:pPr>
      <w:r>
        <w:t>[</w:t>
      </w:r>
      <w:r>
        <w:br/>
        <w:t>C_F</w:t>
      </w:r>
      <w:r>
        <w:br/>
        <w:t>\notin</w:t>
      </w:r>
      <w:r>
        <w:br/>
        <w:t>\mathfrak E_{\mathrm{model}}.</w:t>
      </w:r>
      <w:r>
        <w:br/>
        <w:t>\tag{3.14177}</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C_F\notin\mathfrak E_{\mathrm{model}}</w:t>
      </w:r>
    </w:p>
    <w:p w:rsidR="00B520CF" w:rsidRDefault="00B520CF" w:rsidP="00B520CF">
      <w:r>
        <w:pict>
          <v:rect id="_x0000_i6411" style="width:0;height:1.5pt" o:hralign="center" o:hrstd="t" o:hr="t" fillcolor="#a0a0a0" stroked="f"/>
        </w:pict>
      </w:r>
    </w:p>
    <w:p w:rsidR="00B520CF" w:rsidRDefault="00B520CF" w:rsidP="00B520CF">
      <w:pPr>
        <w:pStyle w:val="berschrift1"/>
      </w:pPr>
      <w:r>
        <w:t>3.3.53.210 Gemeinsames Gegenmodell</w:t>
      </w:r>
    </w:p>
    <w:p w:rsidR="00B520CF" w:rsidRDefault="00B520CF" w:rsidP="00B520CF">
      <w:pPr>
        <w:pStyle w:val="StandardWeb"/>
      </w:pPr>
      <w:r>
        <w:t>Ich kann eine zulässige Modellstruktur betrachten mit</w:t>
      </w:r>
    </w:p>
    <w:p w:rsidR="00B520CF" w:rsidRDefault="00B520CF" w:rsidP="00B520CF">
      <w:pPr>
        <w:pStyle w:val="StandardWeb"/>
      </w:pPr>
      <w:r>
        <w:t>[</w:t>
      </w:r>
      <w:r>
        <w:br/>
        <w:t>\mathcal X_F</w:t>
      </w:r>
      <w:r>
        <w:br/>
        <w:t>\neq</w:t>
      </w:r>
      <w:r>
        <w:br/>
        <w:t>\varnothing</w:t>
      </w:r>
      <w:r>
        <w:br/>
        <w:t>\tag{3.14178}</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\mathcal X_F\neq\varnothing</w:t>
      </w:r>
    </w:p>
    <w:p w:rsidR="00B520CF" w:rsidRDefault="00B520CF" w:rsidP="00B520CF">
      <w:pPr>
        <w:pStyle w:val="StandardWeb"/>
      </w:pPr>
      <w:r>
        <w:t>und</w:t>
      </w:r>
    </w:p>
    <w:p w:rsidR="00B520CF" w:rsidRDefault="00B520CF" w:rsidP="00B520CF">
      <w:pPr>
        <w:pStyle w:val="StandardWeb"/>
      </w:pPr>
      <w:r>
        <w:t>[</w:t>
      </w:r>
      <w:r>
        <w:br/>
        <w:t>\iota_F,</w:t>
      </w:r>
      <w:r>
        <w:br/>
        <w:t>E_F,</w:t>
      </w:r>
      <w:r>
        <w:br/>
        <w:t>L_F,</w:t>
      </w:r>
      <w:r>
        <w:br/>
        <w:t>C_F</w:t>
      </w:r>
      <w:r>
        <w:br/>
        <w:t>\notin</w:t>
      </w:r>
      <w:r>
        <w:br/>
        <w:t>\mathfrak E_{\mathrm{model}}.</w:t>
      </w:r>
      <w:r>
        <w:br/>
        <w:t>\tag{3.14179}</w:t>
      </w:r>
      <w:r>
        <w:br/>
        <w:t>]</w:t>
      </w:r>
    </w:p>
    <w:p w:rsidR="00B520CF" w:rsidRDefault="00B520CF" w:rsidP="00B520CF">
      <w:pPr>
        <w:pStyle w:val="StandardWeb"/>
      </w:pPr>
      <w:r>
        <w:rPr>
          <w:rStyle w:val="Fett"/>
        </w:rPr>
        <w:lastRenderedPageBreak/>
        <w:t>Word-LaTeX</w:t>
      </w:r>
    </w:p>
    <w:p w:rsidR="00B520CF" w:rsidRDefault="00B520CF" w:rsidP="00B520CF">
      <w:pPr>
        <w:pStyle w:val="HTMLVorformatiert"/>
        <w:rPr>
          <w:rStyle w:val="HTMLCode"/>
        </w:rPr>
      </w:pPr>
      <w:r>
        <w:rPr>
          <w:rStyle w:val="HTMLCode"/>
        </w:rPr>
        <w:t>\iota_F,E_F,L_F,C_F\notin\mathfrak E_{\mathrm{model}}</w:t>
      </w:r>
    </w:p>
    <w:p w:rsidR="00B520CF" w:rsidRDefault="00B520CF" w:rsidP="00B520CF">
      <w:pPr>
        <w:pStyle w:val="StandardWeb"/>
      </w:pPr>
      <w:r>
        <w:t>Die funktionale Grundstruktur bleibt dadurch weiterhin formulierbar.</w:t>
      </w:r>
    </w:p>
    <w:p w:rsidR="00B520CF" w:rsidRDefault="00B520CF" w:rsidP="00B520CF">
      <w:r>
        <w:pict>
          <v:rect id="_x0000_i6412" style="width:0;height:1.5pt" o:hralign="center" o:hrstd="t" o:hr="t" fillcolor="#a0a0a0" stroked="f"/>
        </w:pict>
      </w:r>
    </w:p>
    <w:p w:rsidR="00B520CF" w:rsidRDefault="00B520CF" w:rsidP="00B520CF">
      <w:pPr>
        <w:pStyle w:val="berschrift1"/>
      </w:pPr>
      <w:r>
        <w:t>3.3.53.211 Gemeinsame Axiomentscheidung</w:t>
      </w:r>
    </w:p>
    <w:p w:rsidR="00B520CF" w:rsidRDefault="00B520CF" w:rsidP="00B520CF">
      <w:pPr>
        <w:pStyle w:val="StandardWeb"/>
      </w:pPr>
      <w:r>
        <w:t>Damit gilt</w:t>
      </w:r>
    </w:p>
    <w:p w:rsidR="00B520CF" w:rsidRDefault="00B520CF" w:rsidP="00B520CF">
      <w:pPr>
        <w:pStyle w:val="berschrift1"/>
      </w:pPr>
      <w:r>
        <w:t>[</w:t>
      </w:r>
      <w:r>
        <w:br/>
        <w:t>\boxed{</w:t>
      </w:r>
      <w:r>
        <w:br/>
        <w:t>U_{\mathrm{Ax}}</w:t>
      </w:r>
      <w:r>
        <w:br/>
        <w:t>(A_{\mathrm{emb-ex}})</w:t>
      </w:r>
    </w:p>
    <w:p w:rsidR="00B520CF" w:rsidRDefault="00B520CF" w:rsidP="00B520CF">
      <w:pPr>
        <w:pStyle w:val="StandardWeb"/>
      </w:pPr>
      <w:r>
        <w:t>0,</w:t>
      </w:r>
      <w:r>
        <w:br/>
        <w:t>}</w:t>
      </w:r>
      <w:r>
        <w:br/>
        <w:t>\tag{3.14180}</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\boxed{U_{\mathrm{Ax}}(A_{\mathrm{emb-ex}})=0,}</w:t>
      </w:r>
    </w:p>
    <w:p w:rsidR="00B520CF" w:rsidRDefault="00B520CF" w:rsidP="00B520CF">
      <w:pPr>
        <w:pStyle w:val="berschrift1"/>
      </w:pPr>
      <w:r>
        <w:t>[</w:t>
      </w:r>
      <w:r>
        <w:br/>
        <w:t>\boxed{</w:t>
      </w:r>
      <w:r>
        <w:br/>
        <w:t>U_{\mathrm{Ax}}</w:t>
      </w:r>
      <w:r>
        <w:br/>
        <w:t>(A_{\mathrm{ext-ex}})</w:t>
      </w:r>
    </w:p>
    <w:p w:rsidR="00B520CF" w:rsidRDefault="00B520CF" w:rsidP="00B520CF">
      <w:pPr>
        <w:pStyle w:val="StandardWeb"/>
      </w:pPr>
      <w:r>
        <w:t>0,</w:t>
      </w:r>
      <w:r>
        <w:br/>
        <w:t>}</w:t>
      </w:r>
      <w:r>
        <w:br/>
        <w:t>\tag{3.14181}</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\boxed{U_{\mathrm{Ax}}(A_{\mathrm{ext-ex}})=0,}</w:t>
      </w:r>
    </w:p>
    <w:p w:rsidR="00B520CF" w:rsidRDefault="00B520CF" w:rsidP="00B520CF">
      <w:pPr>
        <w:pStyle w:val="berschrift1"/>
      </w:pPr>
      <w:r>
        <w:t>[</w:t>
      </w:r>
      <w:r>
        <w:br/>
        <w:t>\boxed{</w:t>
      </w:r>
      <w:r>
        <w:br/>
      </w:r>
      <w:r>
        <w:lastRenderedPageBreak/>
        <w:t>U_{\mathrm{Ax}}</w:t>
      </w:r>
      <w:r>
        <w:br/>
        <w:t>(A_{\mathrm{lift-ex}})</w:t>
      </w:r>
    </w:p>
    <w:p w:rsidR="00B520CF" w:rsidRDefault="00B520CF" w:rsidP="00B520CF">
      <w:pPr>
        <w:pStyle w:val="StandardWeb"/>
      </w:pPr>
      <w:r>
        <w:t>0,</w:t>
      </w:r>
      <w:r>
        <w:br/>
        <w:t>}</w:t>
      </w:r>
      <w:r>
        <w:br/>
        <w:t>\tag{3.14182}</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\boxed{U_{\mathrm{Ax}}(A_{\mathrm{lift-ex}})=0,}</w:t>
      </w:r>
    </w:p>
    <w:p w:rsidR="00B520CF" w:rsidRDefault="00B520CF" w:rsidP="00B520CF">
      <w:pPr>
        <w:pStyle w:val="StandardWeb"/>
      </w:pPr>
      <w:r>
        <w:t>und</w:t>
      </w:r>
    </w:p>
    <w:p w:rsidR="00B520CF" w:rsidRDefault="00B520CF" w:rsidP="00B520CF">
      <w:pPr>
        <w:pStyle w:val="berschrift1"/>
      </w:pPr>
      <w:r>
        <w:t>[</w:t>
      </w:r>
      <w:r>
        <w:br/>
        <w:t>\boxed{</w:t>
      </w:r>
      <w:r>
        <w:br/>
        <w:t>U_{\mathrm{Ax}}</w:t>
      </w:r>
      <w:r>
        <w:br/>
        <w:t>(A_{\mathrm{rec-ex}})</w:t>
      </w:r>
    </w:p>
    <w:p w:rsidR="00B520CF" w:rsidRDefault="00B520CF" w:rsidP="009F7790">
      <w:pPr>
        <w:numPr>
          <w:ilvl w:val="0"/>
          <w:numId w:val="782"/>
        </w:numPr>
        <w:spacing w:before="100" w:beforeAutospacing="1" w:after="100" w:afterAutospacing="1"/>
      </w:pPr>
    </w:p>
    <w:p w:rsidR="00B520CF" w:rsidRDefault="00B520CF" w:rsidP="00B520CF">
      <w:pPr>
        <w:pStyle w:val="StandardWeb"/>
      </w:pPr>
      <w:r>
        <w:t>}</w:t>
      </w:r>
      <w:r>
        <w:br/>
        <w:t>\tag{3.14183}</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\boxed{U_{\mathrm{Ax}}(A_{\mathrm{rec-ex}})=0.}</w:t>
      </w:r>
    </w:p>
    <w:p w:rsidR="00B520CF" w:rsidRDefault="00B520CF" w:rsidP="00B520CF">
      <w:r>
        <w:pict>
          <v:rect id="_x0000_i6413" style="width:0;height:1.5pt" o:hralign="center" o:hrstd="t" o:hr="t" fillcolor="#a0a0a0" stroked="f"/>
        </w:pict>
      </w:r>
    </w:p>
    <w:p w:rsidR="00B520CF" w:rsidRDefault="00B520CF" w:rsidP="00B520CF">
      <w:pPr>
        <w:pStyle w:val="berschrift1"/>
      </w:pPr>
      <w:r>
        <w:t>3.3.53.212 Satz 3.3.274 – Einbettung, Erweiterung, Lifting und Rekonstruktion sind keine Primäraxiome</w:t>
      </w:r>
    </w:p>
    <w:p w:rsidR="00B520CF" w:rsidRDefault="00B520CF" w:rsidP="00B520CF">
      <w:pPr>
        <w:pStyle w:val="berschrift3"/>
      </w:pPr>
      <w:r>
        <w:t>Satz 3.3.274</w:t>
      </w:r>
    </w:p>
    <w:p w:rsidR="00B520CF" w:rsidRDefault="00B520CF" w:rsidP="00B520CF">
      <w:pPr>
        <w:pStyle w:val="StandardWeb"/>
      </w:pPr>
      <w:r>
        <w:t>Die Forderung, jedes zulässige FRZK-Modell müsse mindestens eine Einbettungs-, Erweiterungs-, Lifting- oder Rekonstruktionsstruktur besitzen, ist keine universell notwendige Voraussetzung des allgemeinen FRZK.</w:t>
      </w:r>
    </w:p>
    <w:p w:rsidR="00B520CF" w:rsidRDefault="00B520CF" w:rsidP="00B520CF">
      <w:pPr>
        <w:pStyle w:val="StandardWeb"/>
      </w:pPr>
      <w:r>
        <w:t>Formal gilt</w:t>
      </w:r>
    </w:p>
    <w:p w:rsidR="00B520CF" w:rsidRDefault="00B520CF" w:rsidP="00B520CF">
      <w:pPr>
        <w:pStyle w:val="berschrift1"/>
      </w:pPr>
      <w:r>
        <w:t>[</w:t>
      </w:r>
      <w:r>
        <w:br/>
        <w:t>\boxed{</w:t>
      </w:r>
      <w:r>
        <w:br/>
      </w:r>
      <w:r>
        <w:lastRenderedPageBreak/>
        <w:t>U_{\mathrm{Ax}}</w:t>
      </w:r>
      <w:r>
        <w:br/>
        <w:t>(A_{\mathrm{emb-ex}})</w:t>
      </w:r>
    </w:p>
    <w:p w:rsidR="00B520CF" w:rsidRDefault="00B520CF" w:rsidP="00B520CF">
      <w:pPr>
        <w:pStyle w:val="berschrift1"/>
      </w:pPr>
      <w:r>
        <w:t>U_{\mathrm{Ax}}</w:t>
      </w:r>
      <w:r>
        <w:br/>
        <w:t>(A_{\mathrm{ext-ex}})</w:t>
      </w:r>
    </w:p>
    <w:p w:rsidR="00B520CF" w:rsidRDefault="00B520CF" w:rsidP="00B520CF">
      <w:pPr>
        <w:pStyle w:val="berschrift1"/>
      </w:pPr>
      <w:r>
        <w:t>U_{\mathrm{Ax}}</w:t>
      </w:r>
      <w:r>
        <w:br/>
        <w:t>(A_{\mathrm{lift-ex}})</w:t>
      </w:r>
    </w:p>
    <w:p w:rsidR="00B520CF" w:rsidRDefault="00B520CF" w:rsidP="00B520CF">
      <w:pPr>
        <w:pStyle w:val="berschrift1"/>
      </w:pPr>
      <w:r>
        <w:t>U_{\mathrm{Ax}}</w:t>
      </w:r>
      <w:r>
        <w:br/>
        <w:t>(A_{\mathrm{rec-ex}})</w:t>
      </w:r>
    </w:p>
    <w:p w:rsidR="00B520CF" w:rsidRDefault="00B520CF" w:rsidP="009F7790">
      <w:pPr>
        <w:numPr>
          <w:ilvl w:val="0"/>
          <w:numId w:val="783"/>
        </w:numPr>
        <w:spacing w:before="100" w:beforeAutospacing="1" w:after="100" w:afterAutospacing="1"/>
      </w:pPr>
    </w:p>
    <w:p w:rsidR="00B520CF" w:rsidRDefault="00B520CF" w:rsidP="00B520CF">
      <w:pPr>
        <w:pStyle w:val="StandardWeb"/>
      </w:pPr>
      <w:r>
        <w:t>}</w:t>
      </w:r>
      <w:r>
        <w:br/>
        <w:t>\tag{3.14184}</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\boxed{U_{\mathrm{Ax}}(A_{\mathrm{emb-ex}})=U_{\mathrm{Ax}}(A_{\mathrm{ext-ex}})=U_{\mathrm{Ax}}(A_{\mathrm{lift-ex}})=U_{\mathrm{Ax}}(A_{\mathrm{rec-ex}})=0.}</w:t>
      </w:r>
    </w:p>
    <w:p w:rsidR="00B520CF" w:rsidRDefault="00B520CF" w:rsidP="00B520CF">
      <w:r>
        <w:pict>
          <v:rect id="_x0000_i6414" style="width:0;height:1.5pt" o:hralign="center" o:hrstd="t" o:hr="t" fillcolor="#a0a0a0" stroked="f"/>
        </w:pict>
      </w:r>
    </w:p>
    <w:p w:rsidR="00B520CF" w:rsidRDefault="00B520CF" w:rsidP="00B520CF">
      <w:pPr>
        <w:pStyle w:val="berschrift1"/>
      </w:pPr>
      <w:r>
        <w:t>3.3.53.213 Korollar 3.3.78 – Einbettungs- und Erweiterungsarchitektur ist optional</w:t>
      </w:r>
    </w:p>
    <w:p w:rsidR="00B520CF" w:rsidRDefault="00B520CF" w:rsidP="00B520CF">
      <w:pPr>
        <w:pStyle w:val="berschrift3"/>
      </w:pPr>
      <w:r>
        <w:t>Korollar 3.3.78</w:t>
      </w:r>
    </w:p>
    <w:p w:rsidR="00B520CF" w:rsidRDefault="00B520CF" w:rsidP="00B520CF">
      <w:pPr>
        <w:pStyle w:val="StandardWeb"/>
      </w:pPr>
      <w:r>
        <w:t>Aus Satz 3.3.274 folgt</w:t>
      </w:r>
    </w:p>
    <w:p w:rsidR="00B520CF" w:rsidRDefault="00B520CF" w:rsidP="00B520CF">
      <w:pPr>
        <w:pStyle w:val="StandardWeb"/>
      </w:pPr>
      <w:r>
        <w:t>[</w:t>
      </w:r>
      <w:r>
        <w:br/>
        <w:t>\boxed{</w:t>
      </w:r>
      <w:r>
        <w:br/>
        <w:t>\mathfrak E_{\mathrm{ext}}</w:t>
      </w:r>
      <w:r>
        <w:br/>
        <w:t>\subseteq</w:t>
      </w:r>
      <w:r>
        <w:br/>
        <w:t>\mathfrak E_{\mathrm{FRZK}}^{\mathrm{opt}}.</w:t>
      </w:r>
      <w:r>
        <w:br/>
        <w:t>}</w:t>
      </w:r>
      <w:r>
        <w:br/>
        <w:t>\tag{3.14185}</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\boxed{\mathfrak E_{\mathrm{ext}}\subseteq\mathfrak E_{\mathrm{FRZK}}^{\mathrm{opt}}.}</w:t>
      </w:r>
    </w:p>
    <w:p w:rsidR="00B520CF" w:rsidRDefault="00B520CF" w:rsidP="00B520CF">
      <w:r>
        <w:pict>
          <v:rect id="_x0000_i6415" style="width:0;height:1.5pt" o:hralign="center" o:hrstd="t" o:hr="t" fillcolor="#a0a0a0" stroked="f"/>
        </w:pict>
      </w:r>
    </w:p>
    <w:p w:rsidR="00B520CF" w:rsidRDefault="00B520CF" w:rsidP="00B520CF">
      <w:pPr>
        <w:pStyle w:val="berschrift1"/>
      </w:pPr>
      <w:r>
        <w:lastRenderedPageBreak/>
        <w:t>3.3.53.214 Erweiterte Primäraxiomkandidatenmenge</w:t>
      </w:r>
    </w:p>
    <w:p w:rsidR="00B520CF" w:rsidRDefault="00B520CF" w:rsidP="00B520CF">
      <w:pPr>
        <w:pStyle w:val="StandardWeb"/>
      </w:pPr>
      <w:r>
        <w:t>Die Kandidatenmenge erweitert sich zu</w:t>
      </w:r>
    </w:p>
    <w:p w:rsidR="00B520CF" w:rsidRDefault="00B520CF" w:rsidP="00B520CF">
      <w:pPr>
        <w:pStyle w:val="berschrift1"/>
      </w:pPr>
      <w:r>
        <w:t>[</w:t>
      </w:r>
      <w:r>
        <w:br/>
        <w:t>\mathcal A_{\mathrm{ext}}^{\mathrm{cand},3}</w:t>
      </w:r>
    </w:p>
    <w:p w:rsidR="00B520CF" w:rsidRDefault="00B520CF" w:rsidP="00B520CF">
      <w:pPr>
        <w:pStyle w:val="StandardWeb"/>
      </w:pPr>
      <w:r>
        <w:t>\mathcal A_{\mathrm{ext}}^{\mathrm{cand},2}</w:t>
      </w:r>
      <w:r>
        <w:br/>
        <w:t>\cup</w:t>
      </w:r>
      <w:r>
        <w:br/>
        <w:t>{</w:t>
      </w:r>
      <w:r>
        <w:br/>
        <w:t>A_{\mathrm{ext-min}},</w:t>
      </w:r>
      <w:r>
        <w:br/>
        <w:t>A_{\mathrm{ext-max}},</w:t>
      </w:r>
      <w:r>
        <w:br/>
        <w:t>A_{\mathrm{ext-stab}},</w:t>
      </w:r>
      <w:r>
        <w:br/>
        <w:t>A_{\mathrm{rec-rel}},</w:t>
      </w:r>
      <w:r>
        <w:br/>
        <w:t>A_{\mathrm{rec-coh}},</w:t>
      </w:r>
      <w:r>
        <w:br/>
        <w:t>A_{\mathrm{lift-dyn}},</w:t>
      </w:r>
      <w:r>
        <w:br/>
        <w:t>A_{\mathrm{emb-ex}},</w:t>
      </w:r>
      <w:r>
        <w:br/>
        <w:t>A_{\mathrm{ext-ex}},</w:t>
      </w:r>
      <w:r>
        <w:br/>
        <w:t>A_{\mathrm{lift-ex}},</w:t>
      </w:r>
      <w:r>
        <w:br/>
        <w:t>A_{\mathrm{rec-ex}}</w:t>
      </w:r>
      <w:r>
        <w:br/>
        <w:t>}.</w:t>
      </w:r>
      <w:r>
        <w:br/>
        <w:t>\tag{3.14186}</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\mathcal A_{\mathrm{ext}}^{\mathrm{cand},3}=\mathcal A_{\mathrm{ext}}^{\mathrm{cand},2}\cup\{A_{\mathrm{ext-min}},A_{\mathrm{ext-max}},A_{\mathrm{ext-stab}},A_{\mathrm{rec-rel}},A_{\mathrm{rec-coh}},A_{\mathrm{lift-dyn}},A_{\mathrm{emb-ex}},A_{\mathrm{ext-ex}},A_{\mathrm{lift-ex}},A_{\mathrm{rec-ex}}\}</w:t>
      </w:r>
    </w:p>
    <w:p w:rsidR="00B520CF" w:rsidRDefault="00B520CF" w:rsidP="00B520CF">
      <w:pPr>
        <w:pStyle w:val="StandardWeb"/>
      </w:pPr>
      <w:r>
        <w:t>Für sämtliche geprüften Kandidaten gilt</w:t>
      </w:r>
    </w:p>
    <w:p w:rsidR="00B520CF" w:rsidRDefault="00B520CF" w:rsidP="00B520CF">
      <w:pPr>
        <w:pStyle w:val="berschrift1"/>
      </w:pPr>
      <w:r>
        <w:t>[</w:t>
      </w:r>
      <w:r>
        <w:br/>
        <w:t>\boxed{</w:t>
      </w:r>
      <w:r>
        <w:br/>
        <w:t>U_{\mathrm{Ax}}(A)</w:t>
      </w:r>
    </w:p>
    <w:p w:rsidR="00B520CF" w:rsidRDefault="00B520CF" w:rsidP="00B520CF">
      <w:pPr>
        <w:pStyle w:val="StandardWeb"/>
      </w:pPr>
      <w:r>
        <w:t>0</w:t>
      </w:r>
      <w:r>
        <w:br/>
        <w:t>\qquad</w:t>
      </w:r>
      <w:r>
        <w:br/>
        <w:t>\forall</w:t>
      </w:r>
      <w:r>
        <w:br/>
        <w:t>A</w:t>
      </w:r>
      <w:r>
        <w:br/>
        <w:t>\in</w:t>
      </w:r>
      <w:r>
        <w:br/>
        <w:t>\mathcal A_{\mathrm{ext}}^{\mathrm{cand},3}.</w:t>
      </w:r>
      <w:r>
        <w:br/>
        <w:t>}</w:t>
      </w:r>
      <w:r>
        <w:br/>
        <w:t>\tag{3.14187}</w:t>
      </w:r>
      <w:r>
        <w:br/>
        <w:t>]</w:t>
      </w:r>
    </w:p>
    <w:p w:rsidR="00B520CF" w:rsidRDefault="00B520CF" w:rsidP="00B520CF">
      <w:pPr>
        <w:pStyle w:val="StandardWeb"/>
      </w:pPr>
      <w:r>
        <w:rPr>
          <w:rStyle w:val="Fett"/>
        </w:rPr>
        <w:lastRenderedPageBreak/>
        <w:t>Word-LaTeX</w:t>
      </w:r>
    </w:p>
    <w:p w:rsidR="00B520CF" w:rsidRDefault="00B520CF" w:rsidP="00B520CF">
      <w:pPr>
        <w:pStyle w:val="HTMLVorformatiert"/>
        <w:rPr>
          <w:rStyle w:val="HTMLCode"/>
        </w:rPr>
      </w:pPr>
      <w:r>
        <w:rPr>
          <w:rStyle w:val="HTMLCode"/>
        </w:rPr>
        <w:t>\boxed{U_{\mathrm{Ax}}(A)=0\qquad\forall A\in\mathcal A_{\mathrm{ext}}^{\mathrm{cand},3}.}</w:t>
      </w:r>
    </w:p>
    <w:p w:rsidR="00B520CF" w:rsidRDefault="00B520CF" w:rsidP="00B520CF">
      <w:r>
        <w:pict>
          <v:rect id="_x0000_i6416" style="width:0;height:1.5pt" o:hralign="center" o:hrstd="t" o:hr="t" fillcolor="#a0a0a0" stroked="f"/>
        </w:pict>
      </w:r>
    </w:p>
    <w:p w:rsidR="00B520CF" w:rsidRDefault="00B520CF" w:rsidP="00B520CF">
      <w:pPr>
        <w:pStyle w:val="berschrift1"/>
      </w:pPr>
      <w:r>
        <w:t>3.3.53.215 Satz 3.3.275 – Abschnitt 3.3.53 erzeugt kein neues Primäraxiom</w:t>
      </w:r>
    </w:p>
    <w:p w:rsidR="00B520CF" w:rsidRDefault="00B520CF" w:rsidP="00B520CF">
      <w:pPr>
        <w:pStyle w:val="berschrift3"/>
      </w:pPr>
      <w:r>
        <w:t>Satz 3.3.275</w:t>
      </w:r>
    </w:p>
    <w:p w:rsidR="00B520CF" w:rsidRDefault="00B520CF" w:rsidP="00B520CF">
      <w:pPr>
        <w:pStyle w:val="StandardWeb"/>
      </w:pPr>
      <w:r>
        <w:t>Keine der in Abschnitt 3.3.53 eingeführten Einbettungs-, Erweiterungs-, Lifting-, Rekonstruktions-, Fehler-, Ordnungs-, Zeit-, Übergangs-, Kohärenz-, Dimensions- oder Relationsstrukturen ist für die minimale Existenz des allgemeinen FRZK universell notwendig.</w:t>
      </w:r>
    </w:p>
    <w:p w:rsidR="00B520CF" w:rsidRDefault="00B520CF" w:rsidP="00B520CF">
      <w:pPr>
        <w:pStyle w:val="StandardWeb"/>
      </w:pPr>
      <w:r>
        <w:t>Formal gilt</w:t>
      </w:r>
    </w:p>
    <w:p w:rsidR="00B520CF" w:rsidRDefault="00B520CF" w:rsidP="00B520CF">
      <w:pPr>
        <w:pStyle w:val="berschrift1"/>
      </w:pPr>
      <w:r>
        <w:t>[</w:t>
      </w:r>
      <w:r>
        <w:br/>
        <w:t>\boxed{</w:t>
      </w:r>
      <w:r>
        <w:br/>
        <w:t>\mathcal A_{3.3.53}^{\mathrm{new}}</w:t>
      </w:r>
    </w:p>
    <w:p w:rsidR="00B520CF" w:rsidRDefault="00B520CF" w:rsidP="00B520CF">
      <w:pPr>
        <w:pStyle w:val="StandardWeb"/>
      </w:pPr>
      <w:r>
        <w:t>\varnothing.</w:t>
      </w:r>
      <w:r>
        <w:br/>
        <w:t>}</w:t>
      </w:r>
      <w:r>
        <w:br/>
        <w:t>\tag{3.14188}</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\boxed{\mathcal A_{3.3.53}^{\mathrm{new}}=\varnothing.}</w:t>
      </w:r>
    </w:p>
    <w:p w:rsidR="00B520CF" w:rsidRDefault="00B520CF" w:rsidP="00B520CF">
      <w:r>
        <w:pict>
          <v:rect id="_x0000_i6417" style="width:0;height:1.5pt" o:hralign="center" o:hrstd="t" o:hr="t" fillcolor="#a0a0a0" stroked="f"/>
        </w:pict>
      </w:r>
    </w:p>
    <w:p w:rsidR="00B520CF" w:rsidRDefault="00B520CF" w:rsidP="00B520CF">
      <w:pPr>
        <w:pStyle w:val="berschrift1"/>
      </w:pPr>
      <w:r>
        <w:t>3.3.53.216 Korollar 3.3.79 – Der FRZK-Primäraxiomkern bleibt unverändert</w:t>
      </w:r>
    </w:p>
    <w:p w:rsidR="00B520CF" w:rsidRDefault="00B520CF" w:rsidP="00B520CF">
      <w:pPr>
        <w:pStyle w:val="berschrift3"/>
      </w:pPr>
      <w:r>
        <w:t>Korollar 3.3.79</w:t>
      </w:r>
    </w:p>
    <w:p w:rsidR="00B520CF" w:rsidRDefault="00B520CF" w:rsidP="00B520CF">
      <w:pPr>
        <w:pStyle w:val="StandardWeb"/>
      </w:pPr>
      <w:r>
        <w:t>Aus Satz 3.3.275 folgt</w:t>
      </w:r>
    </w:p>
    <w:p w:rsidR="00B520CF" w:rsidRDefault="00B520CF" w:rsidP="00B520CF">
      <w:pPr>
        <w:pStyle w:val="berschrift1"/>
      </w:pPr>
      <w:r>
        <w:t>[</w:t>
      </w:r>
      <w:r>
        <w:br/>
        <w:t>\boxed{</w:t>
      </w:r>
      <w:r>
        <w:br/>
        <w:t>\mathcal A_{\mathrm{FRZK}}^{\mathrm{nach},3.3.53}</w:t>
      </w:r>
    </w:p>
    <w:p w:rsidR="00B520CF" w:rsidRDefault="00B520CF" w:rsidP="00B520CF">
      <w:pPr>
        <w:pStyle w:val="StandardWeb"/>
      </w:pPr>
      <w:r>
        <w:lastRenderedPageBreak/>
        <w:t>\mathcal A_{\mathrm{FRZK}}^{\mathrm{vor},3.3.53}.</w:t>
      </w:r>
      <w:r>
        <w:br/>
        <w:t>}</w:t>
      </w:r>
      <w:r>
        <w:br/>
        <w:t>\tag{3.14189}</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\boxed{\mathcal A_{\mathrm{FRZK}}^{\mathrm{nach}\,3.3.53}=\mathcal A_{\mathrm{FRZK}}^{\mathrm{vor}\,3.3.53}.}</w:t>
      </w:r>
    </w:p>
    <w:p w:rsidR="00B520CF" w:rsidRDefault="00B520CF" w:rsidP="00B520CF">
      <w:r>
        <w:pict>
          <v:rect id="_x0000_i6418" style="width:0;height:1.5pt" o:hralign="center" o:hrstd="t" o:hr="t" fillcolor="#a0a0a0" stroked="f"/>
        </w:pict>
      </w:r>
    </w:p>
    <w:p w:rsidR="00B520CF" w:rsidRDefault="00B520CF" w:rsidP="00B520CF">
      <w:pPr>
        <w:pStyle w:val="berschrift1"/>
      </w:pPr>
      <w:r>
        <w:t>3.3.53.217 Status der Einbettung</w:t>
      </w:r>
    </w:p>
    <w:p w:rsidR="00B520CF" w:rsidRDefault="00B520CF" w:rsidP="00B520CF">
      <w:pPr>
        <w:pStyle w:val="StandardWeb"/>
      </w:pPr>
      <w:r>
        <w:t>Für die funktionale Einbettung gilt</w:t>
      </w:r>
    </w:p>
    <w:p w:rsidR="00B520CF" w:rsidRDefault="00B520CF" w:rsidP="00B520CF">
      <w:pPr>
        <w:pStyle w:val="berschrift1"/>
      </w:pPr>
      <w:r>
        <w:t>[</w:t>
      </w:r>
      <w:r>
        <w:br/>
        <w:t>\operatorname{Stat}</w:t>
      </w:r>
      <w:r>
        <w:br/>
        <w:t>(\iota_F)</w:t>
      </w:r>
    </w:p>
    <w:p w:rsidR="00B520CF" w:rsidRDefault="00B520CF" w:rsidP="00B520CF">
      <w:pPr>
        <w:pStyle w:val="StandardWeb"/>
      </w:pPr>
      <w:r>
        <w:t>\mathrm{Def/Mod/Op}.</w:t>
      </w:r>
      <w:r>
        <w:br/>
        <w:t>\tag{3.14190}</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\operatorname{Stat}(\iota_F)=\mathrm{Def/Mod/Op}</w:t>
      </w:r>
    </w:p>
    <w:p w:rsidR="00B520CF" w:rsidRDefault="00B520CF" w:rsidP="00B520CF">
      <w:r>
        <w:pict>
          <v:rect id="_x0000_i6419" style="width:0;height:1.5pt" o:hralign="center" o:hrstd="t" o:hr="t" fillcolor="#a0a0a0" stroked="f"/>
        </w:pict>
      </w:r>
    </w:p>
    <w:p w:rsidR="00B520CF" w:rsidRDefault="00B520CF" w:rsidP="00B520CF">
      <w:pPr>
        <w:pStyle w:val="berschrift1"/>
      </w:pPr>
      <w:r>
        <w:t>3.3.53.218 Status der Erweiterung</w:t>
      </w:r>
    </w:p>
    <w:p w:rsidR="00B520CF" w:rsidRDefault="00B520CF" w:rsidP="00B520CF">
      <w:pPr>
        <w:pStyle w:val="StandardWeb"/>
      </w:pPr>
      <w:r>
        <w:t>Für die funktionale Erweiterung gilt</w:t>
      </w:r>
    </w:p>
    <w:p w:rsidR="00B520CF" w:rsidRDefault="00B520CF" w:rsidP="00B520CF">
      <w:pPr>
        <w:pStyle w:val="berschrift1"/>
      </w:pPr>
      <w:r>
        <w:t>[</w:t>
      </w:r>
      <w:r>
        <w:br/>
        <w:t>\operatorname{Stat}</w:t>
      </w:r>
      <w:r>
        <w:br/>
        <w:t>(E_F)</w:t>
      </w:r>
    </w:p>
    <w:p w:rsidR="00B520CF" w:rsidRDefault="00B520CF" w:rsidP="00B520CF">
      <w:pPr>
        <w:pStyle w:val="StandardWeb"/>
      </w:pPr>
      <w:r>
        <w:t>\mathrm{Def/Mod/Op}.</w:t>
      </w:r>
      <w:r>
        <w:br/>
        <w:t>\tag{3.14191}</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\operatorname{Stat}(E_F)=\mathrm{Def/Mod/Op}</w:t>
      </w:r>
    </w:p>
    <w:p w:rsidR="00B520CF" w:rsidRDefault="00B520CF" w:rsidP="00B520CF">
      <w:r>
        <w:pict>
          <v:rect id="_x0000_i6420" style="width:0;height:1.5pt" o:hralign="center" o:hrstd="t" o:hr="t" fillcolor="#a0a0a0" stroked="f"/>
        </w:pict>
      </w:r>
    </w:p>
    <w:p w:rsidR="00B520CF" w:rsidRDefault="00B520CF" w:rsidP="00B520CF">
      <w:pPr>
        <w:pStyle w:val="berschrift1"/>
      </w:pPr>
      <w:r>
        <w:lastRenderedPageBreak/>
        <w:t>3.3.53.219 Status des Liftings</w:t>
      </w:r>
    </w:p>
    <w:p w:rsidR="00B520CF" w:rsidRDefault="00B520CF" w:rsidP="00B520CF">
      <w:pPr>
        <w:pStyle w:val="StandardWeb"/>
      </w:pPr>
      <w:r>
        <w:t>Für das funktionale Lifting gilt</w:t>
      </w:r>
    </w:p>
    <w:p w:rsidR="00B520CF" w:rsidRDefault="00B520CF" w:rsidP="00B520CF">
      <w:pPr>
        <w:pStyle w:val="berschrift1"/>
      </w:pPr>
      <w:r>
        <w:t>[</w:t>
      </w:r>
      <w:r>
        <w:br/>
        <w:t>\operatorname{Stat}</w:t>
      </w:r>
      <w:r>
        <w:br/>
        <w:t>(L_F)</w:t>
      </w:r>
    </w:p>
    <w:p w:rsidR="00B520CF" w:rsidRDefault="00B520CF" w:rsidP="00B520CF">
      <w:pPr>
        <w:pStyle w:val="StandardWeb"/>
      </w:pPr>
      <w:r>
        <w:t>\mathrm{Def/Mod/Op}.</w:t>
      </w:r>
      <w:r>
        <w:br/>
        <w:t>\tag{3.14192}</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\operatorname{Stat}(L_F)=\mathrm{Def/Mod/Op}</w:t>
      </w:r>
    </w:p>
    <w:p w:rsidR="00B520CF" w:rsidRDefault="00B520CF" w:rsidP="00B520CF">
      <w:r>
        <w:pict>
          <v:rect id="_x0000_i6421" style="width:0;height:1.5pt" o:hralign="center" o:hrstd="t" o:hr="t" fillcolor="#a0a0a0" stroked="f"/>
        </w:pict>
      </w:r>
    </w:p>
    <w:p w:rsidR="00B520CF" w:rsidRDefault="00B520CF" w:rsidP="00B520CF">
      <w:pPr>
        <w:pStyle w:val="berschrift1"/>
      </w:pPr>
      <w:r>
        <w:t>3.3.53.220 Status der Rekonstruktion</w:t>
      </w:r>
    </w:p>
    <w:p w:rsidR="00B520CF" w:rsidRDefault="00B520CF" w:rsidP="00B520CF">
      <w:pPr>
        <w:pStyle w:val="StandardWeb"/>
      </w:pPr>
      <w:r>
        <w:t>Für die funktionale Rekonstruktion gilt</w:t>
      </w:r>
    </w:p>
    <w:p w:rsidR="00B520CF" w:rsidRDefault="00B520CF" w:rsidP="00B520CF">
      <w:pPr>
        <w:pStyle w:val="berschrift1"/>
      </w:pPr>
      <w:r>
        <w:t>[</w:t>
      </w:r>
      <w:r>
        <w:br/>
        <w:t>\operatorname{Stat}</w:t>
      </w:r>
      <w:r>
        <w:br/>
        <w:t>(C_F)</w:t>
      </w:r>
    </w:p>
    <w:p w:rsidR="00B520CF" w:rsidRDefault="00B520CF" w:rsidP="00B520CF">
      <w:pPr>
        <w:pStyle w:val="StandardWeb"/>
      </w:pPr>
      <w:r>
        <w:t>\mathrm{Def/Mod/Op}.</w:t>
      </w:r>
      <w:r>
        <w:br/>
        <w:t>\tag{3.14193}</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\operatorname{Stat}(C_F)=\mathrm{Def/Mod/Op}</w:t>
      </w:r>
    </w:p>
    <w:p w:rsidR="00B520CF" w:rsidRDefault="00B520CF" w:rsidP="00B520CF">
      <w:r>
        <w:pict>
          <v:rect id="_x0000_i6422" style="width:0;height:1.5pt" o:hralign="center" o:hrstd="t" o:hr="t" fillcolor="#a0a0a0" stroked="f"/>
        </w:pict>
      </w:r>
    </w:p>
    <w:p w:rsidR="00B520CF" w:rsidRDefault="00B520CF" w:rsidP="00B520CF">
      <w:pPr>
        <w:pStyle w:val="berschrift1"/>
      </w:pPr>
      <w:r>
        <w:t>3.3.53.221 Definition 3.3.666 – Endgültige Statusabbildung von Abschnitt 3.3.53</w:t>
      </w:r>
    </w:p>
    <w:p w:rsidR="00B520CF" w:rsidRDefault="00B520CF" w:rsidP="00B520CF">
      <w:pPr>
        <w:pStyle w:val="berschrift3"/>
      </w:pPr>
      <w:r>
        <w:t>Definition 3.3.666</w:t>
      </w:r>
    </w:p>
    <w:p w:rsidR="00B520CF" w:rsidRDefault="00B520CF" w:rsidP="00B520CF">
      <w:pPr>
        <w:pStyle w:val="StandardWeb"/>
      </w:pPr>
      <w:r>
        <w:t>Die endgültige Statusabbildung von Abschnitt 3.3.53 ist</w:t>
      </w:r>
    </w:p>
    <w:p w:rsidR="00B520CF" w:rsidRDefault="00B520CF" w:rsidP="00B520CF">
      <w:pPr>
        <w:pStyle w:val="StandardWeb"/>
      </w:pPr>
      <w:r>
        <w:t>[</w:t>
      </w:r>
      <w:r>
        <w:br/>
        <w:t>\boxed{</w:t>
      </w:r>
      <w:r>
        <w:br/>
        <w:t>\mathfrak M_{3.3.53}</w:t>
      </w:r>
      <w:r>
        <w:br/>
      </w:r>
      <w:r>
        <w:lastRenderedPageBreak/>
        <w:t>:</w:t>
      </w:r>
      <w:r>
        <w:br/>
        <w:t>\mathcal O_{3.3.53}</w:t>
      </w:r>
      <w:r>
        <w:br/>
        <w:t>\rightarrow</w:t>
      </w:r>
      <w:r>
        <w:br/>
        <w:t>\mathcal P</w:t>
      </w:r>
      <w:r>
        <w:br/>
        <w:t>\left(</w:t>
      </w:r>
      <w:r>
        <w:br/>
        <w:t>{</w:t>
      </w:r>
      <w:r>
        <w:br/>
        <w:t>\mathrm{Def},</w:t>
      </w:r>
      <w:r>
        <w:br/>
        <w:t>\mathrm{Der},</w:t>
      </w:r>
      <w:r>
        <w:br/>
        <w:t>\mathrm{Mod},</w:t>
      </w:r>
      <w:r>
        <w:br/>
        <w:t>\mathrm{Op},</w:t>
      </w:r>
      <w:r>
        <w:br/>
        <w:t>\mathrm{Ax}</w:t>
      </w:r>
      <w:r>
        <w:br/>
        <w:t>}</w:t>
      </w:r>
      <w:r>
        <w:br/>
        <w:t>\right).</w:t>
      </w:r>
      <w:r>
        <w:br/>
        <w:t>}</w:t>
      </w:r>
      <w:r>
        <w:br/>
        <w:t>\tag{3.14194}</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\boxed{\mathfrak M_{3.3.53}:\mathcal O_{3.3.53}\rightarrow\mathcal P\left(\{\mathrm{Def},\mathrm{Der},\mathrm{Mod},\mathrm{Op},\mathrm{Ax}\}\right).}</w:t>
      </w:r>
    </w:p>
    <w:p w:rsidR="00B520CF" w:rsidRDefault="00B520CF" w:rsidP="00B520CF">
      <w:pPr>
        <w:pStyle w:val="StandardWeb"/>
      </w:pPr>
      <w:r>
        <w:t>Für keine der in diesem Abschnitt neu eingeführten Strukturen wird aufgrund universeller Notwendigkeit der Status (\mathrm{Ax}) vergeben.</w:t>
      </w:r>
    </w:p>
    <w:p w:rsidR="00B520CF" w:rsidRDefault="00B520CF" w:rsidP="00B520CF">
      <w:r>
        <w:pict>
          <v:rect id="_x0000_i6423" style="width:0;height:1.5pt" o:hralign="center" o:hrstd="t" o:hr="t" fillcolor="#a0a0a0" stroked="f"/>
        </w:pict>
      </w:r>
    </w:p>
    <w:p w:rsidR="00B520CF" w:rsidRDefault="00B520CF" w:rsidP="00B520CF">
      <w:pPr>
        <w:pStyle w:val="berschrift1"/>
      </w:pPr>
      <w:r>
        <w:t>3.3.53.222 Gesamtklassifikation</w:t>
      </w:r>
    </w:p>
    <w:p w:rsidR="00B520CF" w:rsidRDefault="00B520CF" w:rsidP="00B520CF">
      <w:pPr>
        <w:pStyle w:val="StandardWeb"/>
      </w:pPr>
      <w:r>
        <w:t>Ich fasse die entwickelte Architektur zusammen als</w:t>
      </w:r>
    </w:p>
    <w:p w:rsidR="00B520CF" w:rsidRDefault="00B520CF" w:rsidP="00B520CF">
      <w:pPr>
        <w:pStyle w:val="berschrift1"/>
      </w:pPr>
      <w:r>
        <w:t>[</w:t>
      </w:r>
      <w:r>
        <w:br/>
        <w:t>\mathfrak C_{3.3.53}</w:t>
      </w:r>
    </w:p>
    <w:p w:rsidR="00B520CF" w:rsidRDefault="00B520CF" w:rsidP="00B520CF">
      <w:pPr>
        <w:pStyle w:val="StandardWeb"/>
      </w:pPr>
      <w:r>
        <w:t>\left(</w:t>
      </w:r>
      <w:r>
        <w:br/>
        <w:t>\mathfrak D_{\mathrm{ext}},</w:t>
      </w:r>
      <w:r>
        <w:br/>
        <w:t>\mathfrak R_{\mathrm{ext}},</w:t>
      </w:r>
      <w:r>
        <w:br/>
        <w:t>\mathfrak M_{\mathrm{ext}},</w:t>
      </w:r>
      <w:r>
        <w:br/>
        <w:t>\mathfrak O_{\mathrm{ext}}</w:t>
      </w:r>
      <w:r>
        <w:br/>
        <w:t>\right).</w:t>
      </w:r>
      <w:r>
        <w:br/>
        <w:t>\tag{3.14195}</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\mathfrak C_{3.3.53}=\left(\mathfrak D_{\mathrm{ext}},\mathfrak R_{\mathrm{ext}},\mathfrak M_{\mathrm{ext}},\mathfrak O_{\mathrm{ext}}\right)</w:t>
      </w:r>
    </w:p>
    <w:p w:rsidR="00B520CF" w:rsidRDefault="00B520CF" w:rsidP="00B520CF">
      <w:r>
        <w:pict>
          <v:rect id="_x0000_i6424" style="width:0;height:1.5pt" o:hralign="center" o:hrstd="t" o:hr="t" fillcolor="#a0a0a0" stroked="f"/>
        </w:pict>
      </w:r>
    </w:p>
    <w:p w:rsidR="00B520CF" w:rsidRDefault="00B520CF" w:rsidP="00B520CF">
      <w:pPr>
        <w:pStyle w:val="berschrift2"/>
      </w:pPr>
      <w:r>
        <w:lastRenderedPageBreak/>
        <w:t>3.3.53.223 Definition 3.3.667 – Gesamtklassifikation der Einbettungs-, Erweiterungs-, Lifting- und Rekonstruktionsarchitektur</w:t>
      </w:r>
    </w:p>
    <w:p w:rsidR="00B520CF" w:rsidRDefault="00B520CF" w:rsidP="00B520CF">
      <w:pPr>
        <w:pStyle w:val="berschrift3"/>
      </w:pPr>
      <w:r>
        <w:t>Definition 3.3.667</w:t>
      </w:r>
    </w:p>
    <w:p w:rsidR="00B520CF" w:rsidRDefault="00B520CF" w:rsidP="00B520CF">
      <w:pPr>
        <w:pStyle w:val="StandardWeb"/>
      </w:pPr>
      <w:r>
        <w:t xml:space="preserve">Die </w:t>
      </w:r>
      <w:r>
        <w:rPr>
          <w:rStyle w:val="Fett"/>
        </w:rPr>
        <w:t>Gesamtklassifikation der Einbettungs-, Erweiterungs-, Lifting- und Rekonstruktionsarchitektur</w:t>
      </w:r>
      <w:r>
        <w:t xml:space="preserve"> ist</w:t>
      </w:r>
    </w:p>
    <w:p w:rsidR="00B520CF" w:rsidRDefault="00B520CF" w:rsidP="00B520CF">
      <w:pPr>
        <w:pStyle w:val="berschrift1"/>
      </w:pPr>
      <w:r>
        <w:t>[</w:t>
      </w:r>
      <w:r>
        <w:br/>
        <w:t>\boxed{</w:t>
      </w:r>
      <w:r>
        <w:br/>
        <w:t>\mathfrak C_{3.3.53}</w:t>
      </w:r>
    </w:p>
    <w:p w:rsidR="00B520CF" w:rsidRDefault="00B520CF" w:rsidP="00B520CF">
      <w:pPr>
        <w:pStyle w:val="StandardWeb"/>
      </w:pPr>
      <w:r>
        <w:t>\left(</w:t>
      </w:r>
      <w:r>
        <w:br/>
        <w:t>\mathfrak D_{\mathrm{ext}},</w:t>
      </w:r>
      <w:r>
        <w:br/>
        <w:t>\mathfrak R_{\mathrm{ext}},</w:t>
      </w:r>
      <w:r>
        <w:br/>
        <w:t>\mathfrak M_{\mathrm{ext}},</w:t>
      </w:r>
      <w:r>
        <w:br/>
        <w:t>\mathfrak O_{\mathrm{ext}}</w:t>
      </w:r>
      <w:r>
        <w:br/>
        <w:t>\right).</w:t>
      </w:r>
      <w:r>
        <w:br/>
        <w:t>}</w:t>
      </w:r>
      <w:r>
        <w:br/>
        <w:t>\tag{3.14196}</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\boxed{\mathfrak C_{3.3.53}=\left(\mathfrak D_{\mathrm{ext}},\mathfrak R_{\mathrm{ext}},\mathfrak M_{\mathrm{ext}},\mathfrak O_{\mathrm{ext}}\right).}</w:t>
      </w:r>
    </w:p>
    <w:p w:rsidR="00B520CF" w:rsidRDefault="00B520CF" w:rsidP="00B520CF">
      <w:pPr>
        <w:pStyle w:val="StandardWeb"/>
      </w:pPr>
      <w:r>
        <w:t>Die Primäraxiomkomponente lautet</w:t>
      </w:r>
    </w:p>
    <w:p w:rsidR="00B520CF" w:rsidRDefault="00B520CF" w:rsidP="00B520CF">
      <w:pPr>
        <w:pStyle w:val="berschrift1"/>
      </w:pPr>
      <w:r>
        <w:t>[</w:t>
      </w:r>
      <w:r>
        <w:br/>
        <w:t>\boxed{</w:t>
      </w:r>
      <w:r>
        <w:br/>
        <w:t>\mathfrak A_{\mathrm{ext}}</w:t>
      </w:r>
    </w:p>
    <w:p w:rsidR="00B520CF" w:rsidRDefault="00B520CF" w:rsidP="00B520CF">
      <w:pPr>
        <w:pStyle w:val="StandardWeb"/>
      </w:pPr>
      <w:r>
        <w:t>\varnothing.</w:t>
      </w:r>
      <w:r>
        <w:br/>
        <w:t>}</w:t>
      </w:r>
      <w:r>
        <w:br/>
        <w:t>\tag{3.14197}</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\boxed{\mathfrak A_{\mathrm{ext}}=\varnothing.}</w:t>
      </w:r>
    </w:p>
    <w:p w:rsidR="00B520CF" w:rsidRDefault="00B520CF" w:rsidP="00B520CF">
      <w:r>
        <w:pict>
          <v:rect id="_x0000_i6425" style="width:0;height:1.5pt" o:hralign="center" o:hrstd="t" o:hr="t" fillcolor="#a0a0a0" stroked="f"/>
        </w:pict>
      </w:r>
    </w:p>
    <w:p w:rsidR="00B520CF" w:rsidRDefault="00B520CF" w:rsidP="00B520CF">
      <w:pPr>
        <w:pStyle w:val="berschrift1"/>
      </w:pPr>
      <w:r>
        <w:lastRenderedPageBreak/>
        <w:t>3.3.53.224 Methodologische Betrachtungen</w:t>
      </w:r>
    </w:p>
    <w:p w:rsidR="00B520CF" w:rsidRDefault="00B520CF" w:rsidP="00B520CF">
      <w:pPr>
        <w:pStyle w:val="StandardWeb"/>
      </w:pPr>
      <w:r>
        <w:t>Methodologisch ist für mich entscheidend, die vier Grundoperationen dieses Abschnitts begrifflich klar auseinanderzuhalten:</w:t>
      </w:r>
    </w:p>
    <w:p w:rsidR="00B520CF" w:rsidRDefault="00B520CF" w:rsidP="00B520CF">
      <w:pPr>
        <w:pStyle w:val="StandardWeb"/>
      </w:pPr>
      <w:r>
        <w:t>[</w:t>
      </w:r>
      <w:r>
        <w:br/>
        <w:t>\iota_F,</w:t>
      </w:r>
      <w:r>
        <w:br/>
        <w:t>\qquad</w:t>
      </w:r>
      <w:r>
        <w:br/>
        <w:t>E_F,</w:t>
      </w:r>
      <w:r>
        <w:br/>
        <w:t>\qquad</w:t>
      </w:r>
      <w:r>
        <w:br/>
        <w:t>L_F,</w:t>
      </w:r>
      <w:r>
        <w:br/>
        <w:t>\qquad</w:t>
      </w:r>
      <w:r>
        <w:br/>
        <w:t>C_F.</w:t>
      </w:r>
      <w:r>
        <w:br/>
        <w:t>\tag{3.14198}</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\iota_F,\qquad E_F,\qquad L_F,\qquad C_F</w:t>
      </w:r>
    </w:p>
    <w:p w:rsidR="00B520CF" w:rsidRDefault="00B520CF" w:rsidP="00B520CF">
      <w:pPr>
        <w:pStyle w:val="StandardWeb"/>
      </w:pPr>
      <w:r>
        <w:t>Eine Einbettung ordnet ein Objekt einem größeren Strukturraum zu. Eine Erweiterung fügt zusätzliche Struktur hinzu. Ein Lifting überführt ein Objekt auf eine andere Repräsentationsebene. Eine Rekonstruktion versucht, aus einer abgeleiteten oder reduzierten Darstellung wieder eine Ausgangsstruktur zu erzeugen.</w:t>
      </w:r>
    </w:p>
    <w:p w:rsidR="00B520CF" w:rsidRDefault="00B520CF" w:rsidP="00B520CF">
      <w:pPr>
        <w:pStyle w:val="StandardWeb"/>
      </w:pPr>
      <w:r>
        <w:t>Daher halte ich fest:</w:t>
      </w:r>
    </w:p>
    <w:p w:rsidR="00B520CF" w:rsidRDefault="00B520CF" w:rsidP="00B520CF">
      <w:pPr>
        <w:pStyle w:val="StandardWeb"/>
      </w:pPr>
      <w:r>
        <w:t>[</w:t>
      </w:r>
      <w:r>
        <w:br/>
        <w:t>\boxed{</w:t>
      </w:r>
      <w:r>
        <w:br/>
        <w:t>\iota_F</w:t>
      </w:r>
      <w:r>
        <w:br/>
        <w:t>\not\equiv</w:t>
      </w:r>
      <w:r>
        <w:br/>
        <w:t>E_F</w:t>
      </w:r>
      <w:r>
        <w:br/>
        <w:t>\not\equiv</w:t>
      </w:r>
      <w:r>
        <w:br/>
        <w:t>L_F</w:t>
      </w:r>
      <w:r>
        <w:br/>
        <w:t>\not\equiv</w:t>
      </w:r>
      <w:r>
        <w:br/>
        <w:t>C_F.</w:t>
      </w:r>
      <w:r>
        <w:br/>
        <w:t>}</w:t>
      </w:r>
      <w:r>
        <w:br/>
        <w:t>\tag{3.14199}</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\boxed{\iota_F\not\equiv E_F\not\equiv L_F\not\equiv C_F.}</w:t>
      </w:r>
    </w:p>
    <w:p w:rsidR="00B520CF" w:rsidRDefault="00B520CF" w:rsidP="00B520CF">
      <w:pPr>
        <w:pStyle w:val="StandardWeb"/>
      </w:pPr>
      <w:r>
        <w:t>Auch hier darf ich eine mathematische Erweiterung nicht unmittelbar ontologisch interpretieren. Aus</w:t>
      </w:r>
    </w:p>
    <w:p w:rsidR="00B520CF" w:rsidRDefault="00B520CF" w:rsidP="00B520CF">
      <w:pPr>
        <w:pStyle w:val="berschrift1"/>
      </w:pPr>
      <w:r>
        <w:t>[</w:t>
      </w:r>
      <w:r>
        <w:br/>
        <w:t>E_F(X)</w:t>
      </w:r>
    </w:p>
    <w:p w:rsidR="00B520CF" w:rsidRDefault="00B520CF" w:rsidP="00B520CF">
      <w:pPr>
        <w:pStyle w:val="StandardWeb"/>
      </w:pPr>
      <w:r>
        <w:lastRenderedPageBreak/>
        <w:t>X^{\mathrm{ext}}</w:t>
      </w:r>
      <w:r>
        <w:br/>
        <w:t>\tag{3.14200}</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E_F(X)=X^{\mathrm{ext}}</w:t>
      </w:r>
    </w:p>
    <w:p w:rsidR="00B520CF" w:rsidRDefault="00B520CF" w:rsidP="00B520CF">
      <w:pPr>
        <w:pStyle w:val="StandardWeb"/>
      </w:pPr>
      <w:r>
        <w:t>folgt nicht automatisch</w:t>
      </w:r>
    </w:p>
    <w:p w:rsidR="00B520CF" w:rsidRDefault="00B520CF" w:rsidP="00B520CF">
      <w:pPr>
        <w:pStyle w:val="StandardWeb"/>
      </w:pPr>
      <w:r>
        <w:t>[</w:t>
      </w:r>
      <w:r>
        <w:br/>
        <w:t>X^{\mathrm{ext}}</w:t>
      </w:r>
      <w:r>
        <w:br/>
        <w:t>\text{ ist physikalisch fundamentaler als }X.</w:t>
      </w:r>
      <w:r>
        <w:br/>
        <w:t>\tag{3.14201}</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X^{\mathrm{ext}}\text{ ist physikalisch fundamentaler als }X</w:t>
      </w:r>
    </w:p>
    <w:p w:rsidR="00B520CF" w:rsidRDefault="00B520CF" w:rsidP="00B520CF">
      <w:pPr>
        <w:pStyle w:val="StandardWeb"/>
      </w:pPr>
      <w:r>
        <w:t>Ebenso folgt aus einer erfolgreichen Rekonstruktion</w:t>
      </w:r>
    </w:p>
    <w:p w:rsidR="00B520CF" w:rsidRDefault="00B520CF" w:rsidP="00B520CF">
      <w:pPr>
        <w:pStyle w:val="berschrift1"/>
      </w:pPr>
      <w:r>
        <w:t>[</w:t>
      </w:r>
      <w:r>
        <w:br/>
        <w:t>C_F(X^{\mathrm{red}})</w:t>
      </w:r>
    </w:p>
    <w:p w:rsidR="00B520CF" w:rsidRDefault="00B520CF" w:rsidP="00B520CF">
      <w:pPr>
        <w:pStyle w:val="StandardWeb"/>
      </w:pPr>
      <w:r>
        <w:t>X</w:t>
      </w:r>
      <w:r>
        <w:br/>
        <w:t>\tag{3.14202}</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C_F(X^{\mathrm{red}})=X</w:t>
      </w:r>
    </w:p>
    <w:p w:rsidR="00B520CF" w:rsidRDefault="00B520CF" w:rsidP="00B520CF">
      <w:pPr>
        <w:pStyle w:val="StandardWeb"/>
      </w:pPr>
      <w:r>
        <w:t>nicht automatisch, dass die rekonstruierte Struktur historisch, kausal oder ontologisch identisch mit einer ursprünglichen realen Struktur ist.</w:t>
      </w:r>
    </w:p>
    <w:p w:rsidR="00B520CF" w:rsidRDefault="00B520CF" w:rsidP="00B520CF">
      <w:pPr>
        <w:pStyle w:val="StandardWeb"/>
      </w:pPr>
      <w:r>
        <w:t>Ich halte daher methodologisch fest:</w:t>
      </w:r>
    </w:p>
    <w:p w:rsidR="00B520CF" w:rsidRDefault="00B520CF" w:rsidP="00B520CF">
      <w:pPr>
        <w:pStyle w:val="StandardWeb"/>
      </w:pPr>
      <w:r>
        <w:t>[</w:t>
      </w:r>
      <w:r>
        <w:br/>
        <w:t>\boxed{</w:t>
      </w:r>
      <w:r>
        <w:br/>
        <w:t>\text{mathematische Rekonstruktion}</w:t>
      </w:r>
      <w:r>
        <w:br/>
        <w:t>\not\Rightarrow</w:t>
      </w:r>
      <w:r>
        <w:br/>
        <w:t>\text{ontologische Wiederherstellung}.</w:t>
      </w:r>
      <w:r>
        <w:br/>
        <w:t>}</w:t>
      </w:r>
      <w:r>
        <w:br/>
        <w:t>\tag{3.14203}</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lastRenderedPageBreak/>
        <w:t>\boxed{\text{mathematische Rekonstruktion}\not\Rightarrow\text{ontologische Wiederherstellung}.}</w:t>
      </w:r>
    </w:p>
    <w:p w:rsidR="00B520CF" w:rsidRDefault="00B520CF" w:rsidP="00B520CF">
      <w:r>
        <w:pict>
          <v:rect id="_x0000_i6426" style="width:0;height:1.5pt" o:hralign="center" o:hrstd="t" o:hr="t" fillcolor="#a0a0a0" stroked="f"/>
        </w:pict>
      </w:r>
    </w:p>
    <w:p w:rsidR="00B520CF" w:rsidRDefault="00B520CF" w:rsidP="00B520CF">
      <w:pPr>
        <w:pStyle w:val="berschrift1"/>
      </w:pPr>
      <w:r>
        <w:t>3.3.53.225 Didaktische Betrachtungen</w:t>
      </w:r>
    </w:p>
    <w:p w:rsidR="00B520CF" w:rsidRDefault="00B520CF" w:rsidP="00B520CF">
      <w:pPr>
        <w:pStyle w:val="StandardWeb"/>
      </w:pPr>
      <w:r>
        <w:t>Didaktisch ordne ich die Strukturen von der einfacheren räumlichen Einordnung bis zur anspruchsvolleren Rückgewinnung.</w:t>
      </w:r>
    </w:p>
    <w:p w:rsidR="00B520CF" w:rsidRDefault="00B520CF" w:rsidP="00B520CF">
      <w:pPr>
        <w:pStyle w:val="StandardWeb"/>
      </w:pPr>
      <w:r>
        <w:t>Ich beginne mit</w:t>
      </w:r>
    </w:p>
    <w:p w:rsidR="00B520CF" w:rsidRDefault="00B520CF" w:rsidP="00B520CF">
      <w:pPr>
        <w:pStyle w:val="StandardWeb"/>
      </w:pPr>
      <w:r>
        <w:t>[</w:t>
      </w:r>
      <w:r>
        <w:br/>
        <w:t>X</w:t>
      </w:r>
      <w:r>
        <w:br/>
        <w:t>\mapsto</w:t>
      </w:r>
      <w:r>
        <w:br/>
        <w:t>\iota_F(X),</w:t>
      </w:r>
      <w:r>
        <w:br/>
        <w:t>\tag{3.14204}</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X\mapsto\iota_F(X)</w:t>
      </w:r>
    </w:p>
    <w:p w:rsidR="00B520CF" w:rsidRDefault="00B520CF" w:rsidP="00B520CF">
      <w:pPr>
        <w:pStyle w:val="StandardWeb"/>
      </w:pPr>
      <w:r>
        <w:t>gehe zur Erweiterung</w:t>
      </w:r>
    </w:p>
    <w:p w:rsidR="00B520CF" w:rsidRDefault="00B520CF" w:rsidP="00B520CF">
      <w:pPr>
        <w:pStyle w:val="StandardWeb"/>
      </w:pPr>
      <w:r>
        <w:t>[</w:t>
      </w:r>
      <w:r>
        <w:br/>
        <w:t>X</w:t>
      </w:r>
      <w:r>
        <w:br/>
        <w:t>\mapsto</w:t>
      </w:r>
      <w:r>
        <w:br/>
        <w:t>E_F(X),</w:t>
      </w:r>
      <w:r>
        <w:br/>
        <w:t>\tag{3.14205}</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X\mapsto E_F(X)</w:t>
      </w:r>
    </w:p>
    <w:p w:rsidR="00B520CF" w:rsidRDefault="00B520CF" w:rsidP="00B520CF">
      <w:pPr>
        <w:pStyle w:val="StandardWeb"/>
      </w:pPr>
      <w:r>
        <w:t>anschließend zum Lifting</w:t>
      </w:r>
    </w:p>
    <w:p w:rsidR="00B520CF" w:rsidRDefault="00B520CF" w:rsidP="00B520CF">
      <w:pPr>
        <w:pStyle w:val="StandardWeb"/>
      </w:pPr>
      <w:r>
        <w:t>[</w:t>
      </w:r>
      <w:r>
        <w:br/>
        <w:t>X</w:t>
      </w:r>
      <w:r>
        <w:br/>
        <w:t>\mapsto</w:t>
      </w:r>
      <w:r>
        <w:br/>
        <w:t>L_F(X)</w:t>
      </w:r>
      <w:r>
        <w:br/>
        <w:t>\tag{3.14206}</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X\mapsto L_F(X)</w:t>
      </w:r>
    </w:p>
    <w:p w:rsidR="00B520CF" w:rsidRDefault="00B520CF" w:rsidP="00B520CF">
      <w:pPr>
        <w:pStyle w:val="StandardWeb"/>
      </w:pPr>
      <w:r>
        <w:t>und danach zur Rekonstruktion</w:t>
      </w:r>
    </w:p>
    <w:p w:rsidR="00B520CF" w:rsidRDefault="00B520CF" w:rsidP="00B520CF">
      <w:pPr>
        <w:pStyle w:val="StandardWeb"/>
      </w:pPr>
      <w:r>
        <w:lastRenderedPageBreak/>
        <w:t>[</w:t>
      </w:r>
      <w:r>
        <w:br/>
        <w:t>X^{\mathrm{red}}</w:t>
      </w:r>
      <w:r>
        <w:br/>
        <w:t>\mapsto</w:t>
      </w:r>
      <w:r>
        <w:br/>
        <w:t>C_F(X^{\mathrm{red}}).</w:t>
      </w:r>
      <w:r>
        <w:br/>
        <w:t>\tag{3.14207}</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X^{\mathrm{red}}\mapsto C_F(X^{\mathrm{red}})</w:t>
      </w:r>
    </w:p>
    <w:p w:rsidR="00B520CF" w:rsidRDefault="00B520CF" w:rsidP="00B520CF">
      <w:pPr>
        <w:pStyle w:val="StandardWeb"/>
      </w:pPr>
      <w:r>
        <w:t>Die didaktische Entwicklungsfolge lautet damit</w:t>
      </w:r>
    </w:p>
    <w:p w:rsidR="00B520CF" w:rsidRDefault="00B520CF" w:rsidP="00B520CF">
      <w:pPr>
        <w:pStyle w:val="StandardWeb"/>
      </w:pPr>
      <w:r>
        <w:t>[</w:t>
      </w:r>
      <w:r>
        <w:br/>
        <w:t>\boxed{</w:t>
      </w:r>
      <w:r>
        <w:br/>
        <w:t>\text{Objekt}</w:t>
      </w:r>
      <w:r>
        <w:br/>
        <w:t>\rightarrow</w:t>
      </w:r>
      <w:r>
        <w:br/>
        <w:t>\text{Einbettung}</w:t>
      </w:r>
      <w:r>
        <w:br/>
        <w:t>\rightarrow</w:t>
      </w:r>
      <w:r>
        <w:br/>
        <w:t>\text{Erweiterung}</w:t>
      </w:r>
      <w:r>
        <w:br/>
        <w:t>\rightarrow</w:t>
      </w:r>
      <w:r>
        <w:br/>
        <w:t>\text{Lifting}</w:t>
      </w:r>
      <w:r>
        <w:br/>
        <w:t>\rightarrow</w:t>
      </w:r>
      <w:r>
        <w:br/>
        <w:t>\text{Reduktion}</w:t>
      </w:r>
      <w:r>
        <w:br/>
        <w:t>\rightarrow</w:t>
      </w:r>
      <w:r>
        <w:br/>
        <w:t>\text{Rekonstruktion}</w:t>
      </w:r>
      <w:r>
        <w:br/>
        <w:t>\rightarrow</w:t>
      </w:r>
      <w:r>
        <w:br/>
        <w:t>\text{Verträglichkeitsprüfung}</w:t>
      </w:r>
      <w:r>
        <w:br/>
        <w:t>\rightarrow</w:t>
      </w:r>
      <w:r>
        <w:br/>
        <w:t>\text{Axiomprüfung}.</w:t>
      </w:r>
      <w:r>
        <w:br/>
        <w:t>}</w:t>
      </w:r>
      <w:r>
        <w:br/>
        <w:t>\tag{3.14208}</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\boxed{\text{Objekt}\rightarrow\text{Einbettung}\rightarrow\text{Erweiterung}\rightarrow\text{Lifting}\rightarrow\text{Reduktion}\rightarrow\text{Rekonstruktion}\rightarrow\text{Verträglichkeitsprüfung}\rightarrow\text{Axiomprüfung}.}</w:t>
      </w:r>
    </w:p>
    <w:p w:rsidR="00B520CF" w:rsidRDefault="00B520CF" w:rsidP="00B520CF">
      <w:r>
        <w:pict>
          <v:rect id="_x0000_i6427" style="width:0;height:1.5pt" o:hralign="center" o:hrstd="t" o:hr="t" fillcolor="#a0a0a0" stroked="f"/>
        </w:pict>
      </w:r>
    </w:p>
    <w:p w:rsidR="00B520CF" w:rsidRDefault="00B520CF" w:rsidP="00B520CF">
      <w:pPr>
        <w:pStyle w:val="berschrift1"/>
      </w:pPr>
      <w:r>
        <w:t>3.3.53.226 Gesamtstruktur des Abschnitts</w:t>
      </w:r>
    </w:p>
    <w:p w:rsidR="00B520CF" w:rsidRDefault="00B520CF" w:rsidP="00B520CF">
      <w:pPr>
        <w:pStyle w:val="StandardWeb"/>
      </w:pPr>
      <w:r>
        <w:t>Die vollständige Einbettungs- und Erweiterungsarchitektur fasse ich zusammen als</w:t>
      </w:r>
    </w:p>
    <w:p w:rsidR="00B520CF" w:rsidRDefault="00B520CF" w:rsidP="00B520CF">
      <w:pPr>
        <w:pStyle w:val="berschrift1"/>
      </w:pPr>
      <w:r>
        <w:t>[</w:t>
      </w:r>
      <w:r>
        <w:br/>
        <w:t>\mathfrak E_{\mathrm{ext}}</w:t>
      </w:r>
    </w:p>
    <w:p w:rsidR="00B520CF" w:rsidRDefault="00B520CF" w:rsidP="00B520CF">
      <w:pPr>
        <w:pStyle w:val="StandardWeb"/>
      </w:pPr>
      <w:r>
        <w:lastRenderedPageBreak/>
        <w:t>\left(</w:t>
      </w:r>
      <w:r>
        <w:br/>
        <w:t>\iota_F,</w:t>
      </w:r>
      <w:r>
        <w:br/>
        <w:t>E_F,</w:t>
      </w:r>
      <w:r>
        <w:br/>
        <w:t>E_F^{\mathrm{stoch}},</w:t>
      </w:r>
      <w:r>
        <w:br/>
        <w:t>\eta_F,</w:t>
      </w:r>
      <w:r>
        <w:br/>
        <w:t>P_F,</w:t>
      </w:r>
      <w:r>
        <w:br/>
        <w:t>L_F,</w:t>
      </w:r>
      <w:r>
        <w:br/>
        <w:t>L_F(z,c),</w:t>
      </w:r>
      <w:r>
        <w:br/>
        <w:t>C_F,</w:t>
      </w:r>
      <w:r>
        <w:br/>
        <w:t>C_F^{\mathrm{stoch}},</w:t>
      </w:r>
      <w:r>
        <w:br/>
        <w:t>d_F^{\mathrm{rec}},</w:t>
      </w:r>
      <w:r>
        <w:br/>
        <w:t>\varepsilon_{\mathrm{rec}},</w:t>
      </w:r>
      <w:r>
        <w:br/>
        <w:t>Q_{\mathrm{rec}},</w:t>
      </w:r>
      <w:r>
        <w:br/>
        <w:t>h_{\mathrm{ext}},</w:t>
      </w:r>
      <w:r>
        <w:br/>
        <w:t>T_F^{\mathrm{ext}},</w:t>
      </w:r>
      <w:r>
        <w:br/>
        <w:t>\widetilde T_F,</w:t>
      </w:r>
      <w:r>
        <w:br/>
        <w:t>\preceq_{\mathrm{emb}},</w:t>
      </w:r>
      <w:r>
        <w:br/>
        <w:t>\preceq_{\mathrm{ext}},</w:t>
      </w:r>
      <w:r>
        <w:br/>
        <w:t>\iota_F^\star,</w:t>
      </w:r>
      <w:r>
        <w:br/>
        <w:t>\iota_F^{\max},</w:t>
      </w:r>
      <w:r>
        <w:br/>
        <w:t>E_F^\star,</w:t>
      </w:r>
      <w:r>
        <w:br/>
        <w:t>E_F^{\max}</w:t>
      </w:r>
      <w:r>
        <w:br/>
        <w:t>\right).</w:t>
      </w:r>
      <w:r>
        <w:br/>
        <w:t>\tag{3.14209}</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\mathfrak E_{\mathrm{ext}}=\left(\iota_F,E_F,E_F^{\mathrm{stoch}},\eta_F,P_F,L_F,L_F(z,c),C_F,C_F^{\mathrm{stoch}},d_F^{\mathrm{rec}},\varepsilon_{\mathrm{rec}},Q_{\mathrm{rec}},h_{\mathrm{ext}},T_F^{\mathrm{ext}},\widetilde T_F,\preceq_{\mathrm{emb}},\preceq_{\mathrm{ext}},\iota_F^\star,\iota_F^{\max},E_F^\star,E_F^{\max}\right)</w:t>
      </w:r>
    </w:p>
    <w:p w:rsidR="00B520CF" w:rsidRDefault="00B520CF" w:rsidP="00B520CF">
      <w:pPr>
        <w:pStyle w:val="StandardWeb"/>
      </w:pPr>
      <w:r>
        <w:t>Die Primäraxiomkomponente bleibt</w:t>
      </w:r>
    </w:p>
    <w:p w:rsidR="00B520CF" w:rsidRDefault="00B520CF" w:rsidP="00B520CF">
      <w:pPr>
        <w:pStyle w:val="berschrift1"/>
      </w:pPr>
      <w:r>
        <w:t>[</w:t>
      </w:r>
      <w:r>
        <w:br/>
        <w:t>\boxed{</w:t>
      </w:r>
      <w:r>
        <w:br/>
        <w:t>\mathfrak A_{\mathrm{ext}}</w:t>
      </w:r>
    </w:p>
    <w:p w:rsidR="00B520CF" w:rsidRDefault="00B520CF" w:rsidP="00B520CF">
      <w:pPr>
        <w:pStyle w:val="StandardWeb"/>
      </w:pPr>
      <w:r>
        <w:t>\varnothing.</w:t>
      </w:r>
      <w:r>
        <w:br/>
        <w:t>}</w:t>
      </w:r>
      <w:r>
        <w:br/>
        <w:t>\tag{3.14210}</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\boxed{\mathfrak A_{\mathrm{ext}}=\varnothing.}</w:t>
      </w:r>
    </w:p>
    <w:p w:rsidR="00B520CF" w:rsidRDefault="00B520CF" w:rsidP="00B520CF">
      <w:r>
        <w:pict>
          <v:rect id="_x0000_i6428" style="width:0;height:1.5pt" o:hralign="center" o:hrstd="t" o:hr="t" fillcolor="#a0a0a0" stroked="f"/>
        </w:pict>
      </w:r>
    </w:p>
    <w:p w:rsidR="00B520CF" w:rsidRDefault="00B520CF" w:rsidP="00B520CF">
      <w:pPr>
        <w:pStyle w:val="berschrift1"/>
      </w:pPr>
      <w:r>
        <w:lastRenderedPageBreak/>
        <w:t>3.3.53.227 Gesamtabschluss</w:t>
      </w:r>
    </w:p>
    <w:p w:rsidR="00B520CF" w:rsidRDefault="00B520CF" w:rsidP="00B520CF">
      <w:pPr>
        <w:pStyle w:val="StandardWeb"/>
      </w:pPr>
      <w:r>
        <w:t>Damit folgt für den vollständigen Abschnitt</w:t>
      </w:r>
    </w:p>
    <w:p w:rsidR="00B520CF" w:rsidRDefault="00B520CF" w:rsidP="00B520CF">
      <w:pPr>
        <w:pStyle w:val="berschrift1"/>
      </w:pPr>
      <w:r>
        <w:t>[</w:t>
      </w:r>
      <w:r>
        <w:br/>
        <w:t>\boxed{</w:t>
      </w:r>
      <w:r>
        <w:br/>
        <w:t>\mathcal A_{3.3.53}^{\mathrm{new}}</w:t>
      </w:r>
    </w:p>
    <w:p w:rsidR="00B520CF" w:rsidRDefault="00B520CF" w:rsidP="00B520CF">
      <w:pPr>
        <w:pStyle w:val="StandardWeb"/>
      </w:pPr>
      <w:r>
        <w:t>\varnothing.</w:t>
      </w:r>
      <w:r>
        <w:br/>
        <w:t>}</w:t>
      </w:r>
      <w:r>
        <w:br/>
        <w:t>\tag{3.14211}</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\boxed{\mathcal A_{3.3.53}^{\mathrm{new}}=\varnothing.}</w:t>
      </w:r>
    </w:p>
    <w:p w:rsidR="00B520CF" w:rsidRDefault="00B520CF" w:rsidP="00B520CF">
      <w:pPr>
        <w:pStyle w:val="StandardWeb"/>
      </w:pPr>
      <w:r>
        <w:t>Gleichzeitig bleiben sämtliche eingeführten Strukturen für konkrete spätere FRZK-Modellklassen verfügbar:</w:t>
      </w:r>
    </w:p>
    <w:p w:rsidR="00B520CF" w:rsidRDefault="00B520CF" w:rsidP="00B520CF">
      <w:pPr>
        <w:pStyle w:val="StandardWeb"/>
      </w:pPr>
      <w:r>
        <w:t>[</w:t>
      </w:r>
      <w:r>
        <w:br/>
        <w:t>\boxed{</w:t>
      </w:r>
      <w:r>
        <w:br/>
        <w:t>\mathfrak E_{\mathrm{ext}}</w:t>
      </w:r>
      <w:r>
        <w:br/>
        <w:t>\subseteq</w:t>
      </w:r>
      <w:r>
        <w:br/>
        <w:t>\mathfrak E_{\mathrm{FRZK}}^{\mathrm{opt}}.</w:t>
      </w:r>
      <w:r>
        <w:br/>
        <w:t>}</w:t>
      </w:r>
      <w:r>
        <w:br/>
        <w:t>\tag{3.14212}</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\boxed{\mathfrak E_{\mathrm{ext}}\subseteq\mathfrak E_{\mathrm{FRZK}}^{\mathrm{opt}}.}</w:t>
      </w:r>
    </w:p>
    <w:p w:rsidR="00B520CF" w:rsidRDefault="00B520CF" w:rsidP="00B520CF">
      <w:r>
        <w:pict>
          <v:rect id="_x0000_i6429" style="width:0;height:1.5pt" o:hralign="center" o:hrstd="t" o:hr="t" fillcolor="#a0a0a0" stroked="f"/>
        </w:pict>
      </w:r>
    </w:p>
    <w:p w:rsidR="00B520CF" w:rsidRDefault="00B520CF" w:rsidP="00B520CF">
      <w:pPr>
        <w:pStyle w:val="berschrift1"/>
      </w:pPr>
      <w:r>
        <w:t>3.3.53.228 Endstand und Übergabepunkt</w:t>
      </w:r>
    </w:p>
    <w:p w:rsidR="00B520CF" w:rsidRDefault="00B520CF" w:rsidP="00B520CF">
      <w:pPr>
        <w:pStyle w:val="StandardWeb"/>
      </w:pPr>
      <w:r>
        <w:t xml:space="preserve">Abschnitt </w:t>
      </w:r>
      <w:r>
        <w:rPr>
          <w:rStyle w:val="Fett"/>
        </w:rPr>
        <w:t>3.3.53 ist damit vollständig abgeschlossen</w:t>
      </w:r>
      <w:r>
        <w:t>.</w:t>
      </w:r>
    </w:p>
    <w:p w:rsidR="00B520CF" w:rsidRDefault="00B520CF" w:rsidP="00B520CF">
      <w:pPr>
        <w:pStyle w:val="StandardWeb"/>
      </w:pPr>
      <w:r>
        <w:t>Der letzte Textpunkt ist</w:t>
      </w:r>
    </w:p>
    <w:p w:rsidR="00B520CF" w:rsidRDefault="00B520CF" w:rsidP="00B520CF">
      <w:pPr>
        <w:pStyle w:val="berschrift1"/>
      </w:pPr>
      <w:r>
        <w:t>[</w:t>
      </w:r>
      <w:r>
        <w:br/>
        <w:t>\boxed{</w:t>
      </w:r>
      <w:r>
        <w:br/>
        <w:t>\text{letzter Textpunkt}</w:t>
      </w:r>
    </w:p>
    <w:p w:rsidR="00B520CF" w:rsidRDefault="00B520CF" w:rsidP="00B520CF">
      <w:pPr>
        <w:pStyle w:val="StandardWeb"/>
      </w:pPr>
      <w:r>
        <w:lastRenderedPageBreak/>
        <w:t>3.3.53.228.</w:t>
      </w:r>
      <w:r>
        <w:br/>
        <w:t>}</w:t>
      </w:r>
      <w:r>
        <w:br/>
        <w:t>\tag{3.14213}</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\boxed{\text{letzter Textpunkt}=3.3.53.228.}</w:t>
      </w:r>
    </w:p>
    <w:p w:rsidR="00B520CF" w:rsidRDefault="00B520CF" w:rsidP="00B520CF">
      <w:pPr>
        <w:pStyle w:val="StandardWeb"/>
      </w:pPr>
      <w:r>
        <w:t>Die letzte Gleichung des Abschnitts ist</w:t>
      </w:r>
    </w:p>
    <w:p w:rsidR="00B520CF" w:rsidRDefault="00B520CF" w:rsidP="00B520CF">
      <w:pPr>
        <w:pStyle w:val="berschrift1"/>
      </w:pPr>
      <w:r>
        <w:t>[</w:t>
      </w:r>
      <w:r>
        <w:br/>
        <w:t>\boxed{</w:t>
      </w:r>
      <w:r>
        <w:br/>
        <w:t>\text{letzte Gleichung}</w:t>
      </w:r>
    </w:p>
    <w:p w:rsidR="00B520CF" w:rsidRDefault="00B520CF" w:rsidP="00B520CF">
      <w:pPr>
        <w:pStyle w:val="StandardWeb"/>
      </w:pPr>
      <w:r>
        <w:t>(3.14213).</w:t>
      </w:r>
      <w:r>
        <w:br/>
        <w:t>}</w:t>
      </w:r>
      <w:r>
        <w:br/>
        <w:t>\tag{3.14214}</w:t>
      </w:r>
      <w:r>
        <w:br/>
        <w:t>]</w:t>
      </w:r>
    </w:p>
    <w:p w:rsidR="00B520CF" w:rsidRDefault="00B520CF" w:rsidP="00B520CF">
      <w:pPr>
        <w:pStyle w:val="StandardWeb"/>
      </w:pPr>
      <w:r>
        <w:rPr>
          <w:rStyle w:val="Fett"/>
        </w:rPr>
        <w:t>Word-LaTeX</w:t>
      </w:r>
    </w:p>
    <w:p w:rsidR="00B520CF" w:rsidRDefault="00B520CF" w:rsidP="00B520CF">
      <w:pPr>
        <w:pStyle w:val="HTMLVorformatiert"/>
        <w:rPr>
          <w:rStyle w:val="HTMLCode"/>
        </w:rPr>
      </w:pPr>
      <w:r>
        <w:rPr>
          <w:rStyle w:val="HTMLCode"/>
        </w:rPr>
        <w:t>\boxed{\text{letzte Gleichung}=(3.14213).}</w:t>
      </w:r>
    </w:p>
    <w:p w:rsidR="00B520CF" w:rsidRDefault="00B520CF" w:rsidP="00B520CF">
      <w:pPr>
        <w:pStyle w:val="StandardWeb"/>
      </w:pPr>
      <w:r>
        <w:t xml:space="preserve">Damit ist der nächste Übergabepunkt </w:t>
      </w:r>
      <w:r>
        <w:rPr>
          <w:rStyle w:val="Fett"/>
        </w:rPr>
        <w:t>3.3.54.0</w:t>
      </w:r>
      <w:r>
        <w:t xml:space="preserve">, nächste Gleichung </w:t>
      </w:r>
      <w:r>
        <w:rPr>
          <w:rStyle w:val="Fett"/>
        </w:rPr>
        <w:t>(3.14215)</w:t>
      </w:r>
      <w:r>
        <w:t xml:space="preserve">, nächste Definition </w:t>
      </w:r>
      <w:r>
        <w:rPr>
          <w:rStyle w:val="Fett"/>
        </w:rPr>
        <w:t>3.3.668</w:t>
      </w:r>
      <w:r>
        <w:t xml:space="preserve">, nächster Satz </w:t>
      </w:r>
      <w:r>
        <w:rPr>
          <w:rStyle w:val="Fett"/>
        </w:rPr>
        <w:t>3.3.276</w:t>
      </w:r>
      <w:r>
        <w:t xml:space="preserve"> und nächstes Korollar </w:t>
      </w:r>
      <w:r>
        <w:rPr>
          <w:rStyle w:val="Fett"/>
        </w:rPr>
        <w:t>3.3.80</w:t>
      </w:r>
      <w:r>
        <w:t>.</w:t>
      </w:r>
    </w:p>
    <w:p w:rsidR="00CE77C4" w:rsidRDefault="00CE77C4" w:rsidP="00CE77C4">
      <w:pPr>
        <w:pStyle w:val="berschrift1"/>
        <w:rPr>
          <w:rFonts w:cs="Times New Roman"/>
          <w:sz w:val="48"/>
          <w:szCs w:val="48"/>
        </w:rPr>
      </w:pPr>
      <w:r>
        <w:t>3.3.54 Funktionale Kopplung, Entkopplung, Komposition und modulare Struktur</w:t>
      </w:r>
    </w:p>
    <w:p w:rsidR="00CE77C4" w:rsidRDefault="00CE77C4" w:rsidP="00CE77C4">
      <w:pPr>
        <w:pStyle w:val="berschrift2"/>
      </w:pPr>
      <w:r>
        <w:t>3.3.54.0 Ausgangspunkt und Zielsetzung</w:t>
      </w:r>
    </w:p>
    <w:p w:rsidR="00CE77C4" w:rsidRDefault="00CE77C4" w:rsidP="00CE77C4">
      <w:pPr>
        <w:pStyle w:val="StandardWeb"/>
      </w:pPr>
      <w:r>
        <w:t>Nachdem ich in Abschnitt 3.3.53 Einbettungs-, Erweiterungs-, Lifting- und Rekonstruktionsstrukturen untersucht habe, richte ich den Blick nun auf die Frage, wie mehrere funktionale Teilsysteme miteinander verbunden oder voneinander getrennt werden können. Dabei interessieren mich insbesondere Kopplung, Entkopplung, Komposition und modulare Zerlegung.</w:t>
      </w:r>
    </w:p>
    <w:p w:rsidR="00CE77C4" w:rsidRDefault="00CE77C4" w:rsidP="00CE77C4">
      <w:pPr>
        <w:pStyle w:val="StandardWeb"/>
      </w:pPr>
      <w:r>
        <w:t>Ich unterscheide zunächst die vier Strukturbegriffe</w:t>
      </w:r>
    </w:p>
    <w:p w:rsidR="00CE77C4" w:rsidRDefault="00CE77C4" w:rsidP="00CE77C4">
      <w:pPr>
        <w:pStyle w:val="StandardWeb"/>
      </w:pPr>
      <w:r>
        <w:t>[</w:t>
      </w:r>
      <w:r>
        <w:br/>
        <w:t>\text{Kopplung},</w:t>
      </w:r>
      <w:r>
        <w:br/>
        <w:t>\qquad</w:t>
      </w:r>
      <w:r>
        <w:br/>
        <w:t>\text{Entkopplung},</w:t>
      </w:r>
      <w:r>
        <w:br/>
        <w:t>\qquad</w:t>
      </w:r>
      <w:r>
        <w:br/>
        <w:t>\text{Komposition},</w:t>
      </w:r>
      <w:r>
        <w:br/>
        <w:t>\qquad</w:t>
      </w:r>
      <w:r>
        <w:br/>
        <w:t>\text{Modularisierung}.</w:t>
      </w:r>
      <w:r>
        <w:br/>
      </w:r>
      <w:r>
        <w:lastRenderedPageBreak/>
        <w:t>\tag{3.14215}</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\text{Kopplung},\qquad\text{Entkopplung},\qquad\text{Komposition},\qquad\text{Modularisierung}</w:t>
      </w:r>
    </w:p>
    <w:p w:rsidR="00CE77C4" w:rsidRDefault="00CE77C4" w:rsidP="00CE77C4">
      <w:pPr>
        <w:pStyle w:val="StandardWeb"/>
      </w:pPr>
      <w:r>
        <w:t>Diese Begriffe verwende ich nicht synonym. Eine Kopplung beschreibt eine funktionale Verbindung zwischen Teilsystemen, eine Entkopplung deren Aufhebung oder Vernachlässigung, eine Komposition die Bildung einer zusammengesetzten Struktur und eine Modularisierung die Gliederung eines Systems in funktional unterscheidbare Komponenten.</w:t>
      </w:r>
    </w:p>
    <w:p w:rsidR="00CE77C4" w:rsidRDefault="00CE77C4" w:rsidP="00CE77C4">
      <w:r>
        <w:pict>
          <v:rect id="_x0000_i6502" style="width:0;height:1.5pt" o:hralign="center" o:hrstd="t" o:hr="t" fillcolor="#a0a0a0" stroked="f"/>
        </w:pict>
      </w:r>
    </w:p>
    <w:p w:rsidR="00CE77C4" w:rsidRDefault="00CE77C4" w:rsidP="00CE77C4">
      <w:pPr>
        <w:pStyle w:val="berschrift2"/>
      </w:pPr>
      <w:r>
        <w:t>3.3.54.1 Funktionale Teilsysteme</w:t>
      </w:r>
    </w:p>
    <w:p w:rsidR="00CE77C4" w:rsidRDefault="00CE77C4" w:rsidP="00CE77C4">
      <w:pPr>
        <w:pStyle w:val="StandardWeb"/>
      </w:pPr>
      <w:r>
        <w:t>Seien zwei funktionale Teilsysteme gegeben:</w:t>
      </w:r>
    </w:p>
    <w:p w:rsidR="00CE77C4" w:rsidRDefault="00CE77C4" w:rsidP="00CE77C4">
      <w:pPr>
        <w:pStyle w:val="StandardWeb"/>
      </w:pPr>
      <w:r>
        <w:t>[</w:t>
      </w:r>
      <w:r>
        <w:br/>
        <w:t>\mathcal X_{F,1}</w:t>
      </w:r>
      <w:r>
        <w:br/>
        <w:t>\quad\text{und}\quad</w:t>
      </w:r>
      <w:r>
        <w:br/>
        <w:t>\mathcal X_{F,2}.</w:t>
      </w:r>
      <w:r>
        <w:br/>
        <w:t>\tag{3.14216}</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\mathcal X_{F,1}\quad\text{und}\quad\mathcal X_{F,2}</w:t>
      </w:r>
    </w:p>
    <w:p w:rsidR="00CE77C4" w:rsidRDefault="00CE77C4" w:rsidP="00CE77C4">
      <w:pPr>
        <w:pStyle w:val="StandardWeb"/>
      </w:pPr>
      <w:r>
        <w:t>Ihre gemeinsame Struktur kann zunächst durch das Produkt</w:t>
      </w:r>
    </w:p>
    <w:p w:rsidR="00CE77C4" w:rsidRDefault="00CE77C4" w:rsidP="00CE77C4">
      <w:pPr>
        <w:pStyle w:val="StandardWeb"/>
      </w:pPr>
      <w:r>
        <w:t>[</w:t>
      </w:r>
      <w:r>
        <w:br/>
        <w:t>\mathcal X_{F,1}</w:t>
      </w:r>
      <w:r>
        <w:br/>
        <w:t>\times</w:t>
      </w:r>
      <w:r>
        <w:br/>
        <w:t>\mathcal X_{F,2}</w:t>
      </w:r>
      <w:r>
        <w:br/>
        <w:t>\tag{3.14217}</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\mathcal X_{F,1}\times\mathcal X_{F,2}</w:t>
      </w:r>
    </w:p>
    <w:p w:rsidR="00CE77C4" w:rsidRDefault="00CE77C4" w:rsidP="00CE77C4">
      <w:pPr>
        <w:pStyle w:val="StandardWeb"/>
      </w:pPr>
      <w:r>
        <w:t>beschrieben werden.</w:t>
      </w:r>
    </w:p>
    <w:p w:rsidR="00CE77C4" w:rsidRDefault="00CE77C4" w:rsidP="00CE77C4">
      <w:r>
        <w:pict>
          <v:rect id="_x0000_i6503" style="width:0;height:1.5pt" o:hralign="center" o:hrstd="t" o:hr="t" fillcolor="#a0a0a0" stroked="f"/>
        </w:pict>
      </w:r>
    </w:p>
    <w:p w:rsidR="00CE77C4" w:rsidRDefault="00CE77C4" w:rsidP="00CE77C4">
      <w:pPr>
        <w:pStyle w:val="berschrift2"/>
      </w:pPr>
      <w:r>
        <w:t>3.3.54.2 Definition 3.3.668 – Funktionales Teilsystempaar</w:t>
      </w:r>
    </w:p>
    <w:p w:rsidR="00CE77C4" w:rsidRDefault="00CE77C4" w:rsidP="00CE77C4">
      <w:pPr>
        <w:pStyle w:val="berschrift3"/>
      </w:pPr>
      <w:r>
        <w:t>Definition 3.3.668</w:t>
      </w:r>
    </w:p>
    <w:p w:rsidR="00CE77C4" w:rsidRDefault="00CE77C4" w:rsidP="00CE77C4">
      <w:pPr>
        <w:pStyle w:val="StandardWeb"/>
      </w:pPr>
      <w:r>
        <w:t xml:space="preserve">Ein </w:t>
      </w:r>
      <w:r>
        <w:rPr>
          <w:rStyle w:val="Fett"/>
        </w:rPr>
        <w:t>funktionales Teilsystempaar</w:t>
      </w:r>
      <w:r>
        <w:t xml:space="preserve"> ist ein geordnetes Paar</w:t>
      </w:r>
    </w:p>
    <w:p w:rsidR="00CE77C4" w:rsidRDefault="00CE77C4" w:rsidP="00CE77C4">
      <w:pPr>
        <w:pStyle w:val="berschrift1"/>
      </w:pPr>
      <w:r>
        <w:lastRenderedPageBreak/>
        <w:t>[</w:t>
      </w:r>
      <w:r>
        <w:br/>
        <w:t>\boxed{</w:t>
      </w:r>
      <w:r>
        <w:br/>
        <w:t>\mathfrak S_{12}</w:t>
      </w:r>
    </w:p>
    <w:p w:rsidR="00CE77C4" w:rsidRDefault="00CE77C4" w:rsidP="00CE77C4">
      <w:pPr>
        <w:pStyle w:val="StandardWeb"/>
      </w:pPr>
      <w:r>
        <w:t>\left(</w:t>
      </w:r>
      <w:r>
        <w:br/>
        <w:t>\mathcal X_{F,1},</w:t>
      </w:r>
      <w:r>
        <w:br/>
        <w:t>\mathcal X_{F,2}</w:t>
      </w:r>
      <w:r>
        <w:br/>
        <w:t>\right).</w:t>
      </w:r>
      <w:r>
        <w:br/>
        <w:t>}</w:t>
      </w:r>
      <w:r>
        <w:br/>
        <w:t>\tag{3.14218}</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\boxed{\mathfrak S_{12}=\left(\mathcal X_{F,1},\mathcal X_{F,2}\right).}</w:t>
      </w:r>
    </w:p>
    <w:p w:rsidR="00CE77C4" w:rsidRDefault="00CE77C4" w:rsidP="00CE77C4">
      <w:r>
        <w:pict>
          <v:rect id="_x0000_i6504" style="width:0;height:1.5pt" o:hralign="center" o:hrstd="t" o:hr="t" fillcolor="#a0a0a0" stroked="f"/>
        </w:pict>
      </w:r>
    </w:p>
    <w:p w:rsidR="00CE77C4" w:rsidRDefault="00CE77C4" w:rsidP="00CE77C4">
      <w:pPr>
        <w:pStyle w:val="berschrift2"/>
      </w:pPr>
      <w:r>
        <w:t>3.3.54.3 Funktionale Kopplung</w:t>
      </w:r>
    </w:p>
    <w:p w:rsidR="00CE77C4" w:rsidRDefault="00CE77C4" w:rsidP="00CE77C4">
      <w:pPr>
        <w:pStyle w:val="StandardWeb"/>
      </w:pPr>
      <w:r>
        <w:t>Eine Kopplung zwischen zwei Teilsystemen beschreibe ich allgemein durch eine Abbildung</w:t>
      </w:r>
    </w:p>
    <w:p w:rsidR="00CE77C4" w:rsidRDefault="00CE77C4" w:rsidP="00CE77C4">
      <w:pPr>
        <w:pStyle w:val="StandardWeb"/>
      </w:pPr>
      <w:r>
        <w:t>[</w:t>
      </w:r>
      <w:r>
        <w:br/>
        <w:t>K_F</w:t>
      </w:r>
      <w:r>
        <w:br/>
        <w:t>:</w:t>
      </w:r>
      <w:r>
        <w:br/>
        <w:t>\mathcal X_{F,1}</w:t>
      </w:r>
      <w:r>
        <w:br/>
        <w:t>\times</w:t>
      </w:r>
      <w:r>
        <w:br/>
        <w:t>\mathcal X_{F,2}</w:t>
      </w:r>
      <w:r>
        <w:br/>
        <w:t>\rightarrow</w:t>
      </w:r>
      <w:r>
        <w:br/>
        <w:t>\mathcal Y_F.</w:t>
      </w:r>
      <w:r>
        <w:br/>
        <w:t>\tag{3.14219}</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K_F:\mathcal X_{F,1}\times\mathcal X_{F,2}\rightarrow\mathcal Y_F</w:t>
      </w:r>
    </w:p>
    <w:p w:rsidR="00CE77C4" w:rsidRDefault="00CE77C4" w:rsidP="00CE77C4">
      <w:r>
        <w:pict>
          <v:rect id="_x0000_i6505" style="width:0;height:1.5pt" o:hralign="center" o:hrstd="t" o:hr="t" fillcolor="#a0a0a0" stroked="f"/>
        </w:pict>
      </w:r>
    </w:p>
    <w:p w:rsidR="00CE77C4" w:rsidRDefault="00CE77C4" w:rsidP="00CE77C4">
      <w:pPr>
        <w:pStyle w:val="berschrift2"/>
      </w:pPr>
      <w:r>
        <w:t>3.3.54.4 Definition 3.3.669 – Funktionale Kopplung</w:t>
      </w:r>
    </w:p>
    <w:p w:rsidR="00CE77C4" w:rsidRDefault="00CE77C4" w:rsidP="00CE77C4">
      <w:pPr>
        <w:pStyle w:val="berschrift3"/>
      </w:pPr>
      <w:r>
        <w:t>Definition 3.3.669</w:t>
      </w:r>
    </w:p>
    <w:p w:rsidR="00CE77C4" w:rsidRDefault="00CE77C4" w:rsidP="00CE77C4">
      <w:pPr>
        <w:pStyle w:val="StandardWeb"/>
      </w:pPr>
      <w:r>
        <w:t xml:space="preserve">Eine </w:t>
      </w:r>
      <w:r>
        <w:rPr>
          <w:rStyle w:val="Fett"/>
        </w:rPr>
        <w:t>funktionale Kopplung</w:t>
      </w:r>
      <w:r>
        <w:t xml:space="preserve"> ist eine modellabhängig definierte Abbildung</w:t>
      </w:r>
    </w:p>
    <w:p w:rsidR="00CE77C4" w:rsidRDefault="00CE77C4" w:rsidP="00CE77C4">
      <w:pPr>
        <w:pStyle w:val="StandardWeb"/>
      </w:pPr>
      <w:r>
        <w:t>[</w:t>
      </w:r>
      <w:r>
        <w:br/>
        <w:t>\boxed{</w:t>
      </w:r>
      <w:r>
        <w:br/>
        <w:t>K_F</w:t>
      </w:r>
      <w:r>
        <w:br/>
        <w:t>:</w:t>
      </w:r>
      <w:r>
        <w:br/>
        <w:t>\mathcal X_{F,1}</w:t>
      </w:r>
      <w:r>
        <w:br/>
      </w:r>
      <w:r>
        <w:lastRenderedPageBreak/>
        <w:t>\times</w:t>
      </w:r>
      <w:r>
        <w:br/>
        <w:t>\mathcal X_{F,2}</w:t>
      </w:r>
      <w:r>
        <w:br/>
        <w:t>\rightarrow</w:t>
      </w:r>
      <w:r>
        <w:br/>
        <w:t>\mathcal Y_F,</w:t>
      </w:r>
      <w:r>
        <w:br/>
        <w:t>}</w:t>
      </w:r>
      <w:r>
        <w:br/>
        <w:t>\tag{3.14220}</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\boxed{K_F:\mathcal X_{F,1}\times\mathcal X_{F,2}\rightarrow\mathcal Y_F,}</w:t>
      </w:r>
    </w:p>
    <w:p w:rsidR="00CE77C4" w:rsidRDefault="00CE77C4" w:rsidP="00CE77C4">
      <w:pPr>
        <w:pStyle w:val="StandardWeb"/>
      </w:pPr>
      <w:r>
        <w:t>durch die Zustände oder Strukturen zweier funktionaler Teilsysteme gemeinsam verarbeitet werden.</w:t>
      </w:r>
    </w:p>
    <w:p w:rsidR="00CE77C4" w:rsidRDefault="00CE77C4" w:rsidP="00CE77C4">
      <w:r>
        <w:pict>
          <v:rect id="_x0000_i6506" style="width:0;height:1.5pt" o:hralign="center" o:hrstd="t" o:hr="t" fillcolor="#a0a0a0" stroked="f"/>
        </w:pict>
      </w:r>
    </w:p>
    <w:p w:rsidR="00CE77C4" w:rsidRDefault="00CE77C4" w:rsidP="00CE77C4">
      <w:pPr>
        <w:pStyle w:val="berschrift2"/>
      </w:pPr>
      <w:r>
        <w:t>3.3.54.5 Ungekoppelte Struktur</w:t>
      </w:r>
    </w:p>
    <w:p w:rsidR="00CE77C4" w:rsidRDefault="00CE77C4" w:rsidP="00CE77C4">
      <w:pPr>
        <w:pStyle w:val="StandardWeb"/>
      </w:pPr>
      <w:r>
        <w:t>Eine ungekoppelte Darstellung kann dagegen durch getrennte Abbildungen</w:t>
      </w:r>
    </w:p>
    <w:p w:rsidR="00CE77C4" w:rsidRDefault="00CE77C4" w:rsidP="00CE77C4">
      <w:pPr>
        <w:pStyle w:val="StandardWeb"/>
      </w:pPr>
      <w:r>
        <w:t>[</w:t>
      </w:r>
      <w:r>
        <w:br/>
        <w:t>F_1</w:t>
      </w:r>
      <w:r>
        <w:br/>
        <w:t>:</w:t>
      </w:r>
      <w:r>
        <w:br/>
        <w:t>\mathcal X_{F,1}</w:t>
      </w:r>
      <w:r>
        <w:br/>
        <w:t>\rightarrow</w:t>
      </w:r>
      <w:r>
        <w:br/>
        <w:t>\mathcal Y_{F,1}</w:t>
      </w:r>
      <w:r>
        <w:br/>
        <w:t>\tag{3.14221}</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F_1:\mathcal X_{F,1}\rightarrow\mathcal Y_{F,1}</w:t>
      </w:r>
    </w:p>
    <w:p w:rsidR="00CE77C4" w:rsidRDefault="00CE77C4" w:rsidP="00CE77C4">
      <w:pPr>
        <w:pStyle w:val="StandardWeb"/>
      </w:pPr>
      <w:r>
        <w:t>und</w:t>
      </w:r>
    </w:p>
    <w:p w:rsidR="00CE77C4" w:rsidRDefault="00CE77C4" w:rsidP="00CE77C4">
      <w:pPr>
        <w:pStyle w:val="StandardWeb"/>
      </w:pPr>
      <w:r>
        <w:t>[</w:t>
      </w:r>
      <w:r>
        <w:br/>
        <w:t>F_2</w:t>
      </w:r>
      <w:r>
        <w:br/>
        <w:t>:</w:t>
      </w:r>
      <w:r>
        <w:br/>
        <w:t>\mathcal X_{F,2}</w:t>
      </w:r>
      <w:r>
        <w:br/>
        <w:t>\rightarrow</w:t>
      </w:r>
      <w:r>
        <w:br/>
        <w:t>\mathcal Y_{F,2}</w:t>
      </w:r>
      <w:r>
        <w:br/>
        <w:t>\tag{3.14222}</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F_2:\mathcal X_{F,2}\rightarrow\mathcal Y_{F,2}</w:t>
      </w:r>
    </w:p>
    <w:p w:rsidR="00CE77C4" w:rsidRDefault="00CE77C4" w:rsidP="00CE77C4">
      <w:pPr>
        <w:pStyle w:val="StandardWeb"/>
      </w:pPr>
      <w:r>
        <w:t>beschrieben werden.</w:t>
      </w:r>
    </w:p>
    <w:p w:rsidR="00CE77C4" w:rsidRDefault="00CE77C4" w:rsidP="00CE77C4">
      <w:r>
        <w:lastRenderedPageBreak/>
        <w:pict>
          <v:rect id="_x0000_i6507" style="width:0;height:1.5pt" o:hralign="center" o:hrstd="t" o:hr="t" fillcolor="#a0a0a0" stroked="f"/>
        </w:pict>
      </w:r>
    </w:p>
    <w:p w:rsidR="00CE77C4" w:rsidRDefault="00CE77C4" w:rsidP="00CE77C4">
      <w:pPr>
        <w:pStyle w:val="berschrift2"/>
      </w:pPr>
      <w:r>
        <w:t>3.3.54.6 Definition 3.3.670 – Funktional ungekoppelte Darstellung</w:t>
      </w:r>
    </w:p>
    <w:p w:rsidR="00CE77C4" w:rsidRDefault="00CE77C4" w:rsidP="00CE77C4">
      <w:pPr>
        <w:pStyle w:val="berschrift3"/>
      </w:pPr>
      <w:r>
        <w:t>Definition 3.3.670</w:t>
      </w:r>
    </w:p>
    <w:p w:rsidR="00CE77C4" w:rsidRDefault="00CE77C4" w:rsidP="00CE77C4">
      <w:pPr>
        <w:pStyle w:val="StandardWeb"/>
      </w:pPr>
      <w:r>
        <w:t xml:space="preserve">Zwei funktionale Teilsysteme heißen bezüglich einer betrachteten Modelloperation </w:t>
      </w:r>
      <w:r>
        <w:rPr>
          <w:rStyle w:val="Fett"/>
        </w:rPr>
        <w:t>ungekoppelt</w:t>
      </w:r>
      <w:r>
        <w:t>, wenn ihre Verarbeitung getrennt erfolgen kann:</w:t>
      </w:r>
    </w:p>
    <w:p w:rsidR="00CE77C4" w:rsidRDefault="00CE77C4" w:rsidP="00CE77C4">
      <w:pPr>
        <w:pStyle w:val="berschrift1"/>
      </w:pPr>
      <w:r>
        <w:t>[</w:t>
      </w:r>
      <w:r>
        <w:br/>
        <w:t>\boxed{</w:t>
      </w:r>
      <w:r>
        <w:br/>
        <w:t>F_{12}</w:t>
      </w:r>
    </w:p>
    <w:p w:rsidR="00CE77C4" w:rsidRDefault="00CE77C4" w:rsidP="00CE77C4">
      <w:pPr>
        <w:pStyle w:val="StandardWeb"/>
      </w:pPr>
      <w:r>
        <w:t>F_1</w:t>
      </w:r>
      <w:r>
        <w:br/>
        <w:t>\times</w:t>
      </w:r>
      <w:r>
        <w:br/>
        <w:t>F_2.</w:t>
      </w:r>
      <w:r>
        <w:br/>
        <w:t>}</w:t>
      </w:r>
      <w:r>
        <w:br/>
        <w:t>\tag{3.14223}</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\boxed{F_{12}=F_1\times F_2.}</w:t>
      </w:r>
    </w:p>
    <w:p w:rsidR="00CE77C4" w:rsidRDefault="00CE77C4" w:rsidP="00CE77C4">
      <w:r>
        <w:pict>
          <v:rect id="_x0000_i6508" style="width:0;height:1.5pt" o:hralign="center" o:hrstd="t" o:hr="t" fillcolor="#a0a0a0" stroked="f"/>
        </w:pict>
      </w:r>
    </w:p>
    <w:p w:rsidR="00CE77C4" w:rsidRDefault="00CE77C4" w:rsidP="00CE77C4">
      <w:pPr>
        <w:pStyle w:val="berschrift2"/>
      </w:pPr>
      <w:r>
        <w:t>3.3.54.7 Nichttriviale Kopplung</w:t>
      </w:r>
    </w:p>
    <w:p w:rsidR="00CE77C4" w:rsidRDefault="00CE77C4" w:rsidP="00CE77C4">
      <w:pPr>
        <w:pStyle w:val="StandardWeb"/>
      </w:pPr>
      <w:r>
        <w:t>Eine Kopplung ist nichttrivial, wenn sie nicht vollständig in unabhängige Teilabbildungen zerfällt:</w:t>
      </w:r>
    </w:p>
    <w:p w:rsidR="00CE77C4" w:rsidRDefault="00CE77C4" w:rsidP="00CE77C4">
      <w:pPr>
        <w:pStyle w:val="StandardWeb"/>
      </w:pPr>
      <w:r>
        <w:t>[</w:t>
      </w:r>
      <w:r>
        <w:br/>
        <w:t>K_F</w:t>
      </w:r>
      <w:r>
        <w:br/>
        <w:t>\neq</w:t>
      </w:r>
      <w:r>
        <w:br/>
        <w:t>F_1</w:t>
      </w:r>
      <w:r>
        <w:br/>
        <w:t>\times</w:t>
      </w:r>
      <w:r>
        <w:br/>
        <w:t>F_2.</w:t>
      </w:r>
      <w:r>
        <w:br/>
        <w:t>\tag{3.14224}</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K_F\neq F_1\times F_2</w:t>
      </w:r>
    </w:p>
    <w:p w:rsidR="00CE77C4" w:rsidRDefault="00CE77C4" w:rsidP="00CE77C4">
      <w:r>
        <w:pict>
          <v:rect id="_x0000_i6509" style="width:0;height:1.5pt" o:hralign="center" o:hrstd="t" o:hr="t" fillcolor="#a0a0a0" stroked="f"/>
        </w:pict>
      </w:r>
    </w:p>
    <w:p w:rsidR="00CE77C4" w:rsidRDefault="00CE77C4" w:rsidP="00CE77C4">
      <w:pPr>
        <w:pStyle w:val="berschrift2"/>
      </w:pPr>
      <w:r>
        <w:t>3.3.54.8 Definition 3.3.671 – Nichttriviale funktionale Kopplung</w:t>
      </w:r>
    </w:p>
    <w:p w:rsidR="00CE77C4" w:rsidRDefault="00CE77C4" w:rsidP="00CE77C4">
      <w:pPr>
        <w:pStyle w:val="berschrift3"/>
      </w:pPr>
      <w:r>
        <w:lastRenderedPageBreak/>
        <w:t>Definition 3.3.671</w:t>
      </w:r>
    </w:p>
    <w:p w:rsidR="00CE77C4" w:rsidRDefault="00CE77C4" w:rsidP="00CE77C4">
      <w:pPr>
        <w:pStyle w:val="StandardWeb"/>
      </w:pPr>
      <w:r>
        <w:t xml:space="preserve">Eine funktionale Kopplung heißt </w:t>
      </w:r>
      <w:r>
        <w:rPr>
          <w:rStyle w:val="Fett"/>
        </w:rPr>
        <w:t>nichttrivial</w:t>
      </w:r>
      <w:r>
        <w:t>, wenn</w:t>
      </w:r>
    </w:p>
    <w:p w:rsidR="00CE77C4" w:rsidRDefault="00CE77C4" w:rsidP="00CE77C4">
      <w:pPr>
        <w:pStyle w:val="StandardWeb"/>
      </w:pPr>
      <w:r>
        <w:t>[</w:t>
      </w:r>
      <w:r>
        <w:br/>
        <w:t>\boxed{</w:t>
      </w:r>
      <w:r>
        <w:br/>
        <w:t>K_F</w:t>
      </w:r>
      <w:r>
        <w:br/>
        <w:t>\neq</w:t>
      </w:r>
      <w:r>
        <w:br/>
        <w:t>F_1</w:t>
      </w:r>
      <w:r>
        <w:br/>
        <w:t>\times</w:t>
      </w:r>
      <w:r>
        <w:br/>
        <w:t>F_2.</w:t>
      </w:r>
      <w:r>
        <w:br/>
        <w:t>}</w:t>
      </w:r>
      <w:r>
        <w:br/>
        <w:t>\tag{3.14225}</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\boxed{K_F\neq F_1\times F_2.}</w:t>
      </w:r>
    </w:p>
    <w:p w:rsidR="00CE77C4" w:rsidRDefault="00CE77C4" w:rsidP="00CE77C4">
      <w:r>
        <w:pict>
          <v:rect id="_x0000_i6510" style="width:0;height:1.5pt" o:hralign="center" o:hrstd="t" o:hr="t" fillcolor="#a0a0a0" stroked="f"/>
        </w:pict>
      </w:r>
    </w:p>
    <w:p w:rsidR="00CE77C4" w:rsidRDefault="00CE77C4" w:rsidP="00CE77C4">
      <w:pPr>
        <w:pStyle w:val="berschrift2"/>
      </w:pPr>
      <w:r>
        <w:t>3.3.54.9 Existenz einer Kopplung als Primäraxiomkandidat</w:t>
      </w:r>
    </w:p>
    <w:p w:rsidR="00CE77C4" w:rsidRDefault="00CE77C4" w:rsidP="00CE77C4">
      <w:pPr>
        <w:pStyle w:val="StandardWeb"/>
      </w:pPr>
      <w:r>
        <w:t>Ein möglicher Primäraxiomkandidat lautet</w:t>
      </w:r>
    </w:p>
    <w:p w:rsidR="00CE77C4" w:rsidRDefault="00CE77C4" w:rsidP="00CE77C4">
      <w:pPr>
        <w:pStyle w:val="StandardWeb"/>
      </w:pPr>
      <w:r>
        <w:t>[</w:t>
      </w:r>
      <w:r>
        <w:br/>
        <w:t>A_{\mathrm{cpl-ex}}</w:t>
      </w:r>
      <w:r>
        <w:br/>
        <w:t>:</w:t>
      </w:r>
      <w:r>
        <w:br/>
        <w:t>\exists K_F.</w:t>
      </w:r>
      <w:r>
        <w:br/>
        <w:t>\tag{3.14226}</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A_{\mathrm{cpl-ex}}:\exists K_F</w:t>
      </w:r>
    </w:p>
    <w:p w:rsidR="00CE77C4" w:rsidRDefault="00CE77C4" w:rsidP="00CE77C4">
      <w:r>
        <w:pict>
          <v:rect id="_x0000_i6511" style="width:0;height:1.5pt" o:hralign="center" o:hrstd="t" o:hr="t" fillcolor="#a0a0a0" stroked="f"/>
        </w:pict>
      </w:r>
    </w:p>
    <w:p w:rsidR="00CE77C4" w:rsidRDefault="00CE77C4" w:rsidP="00CE77C4">
      <w:pPr>
        <w:pStyle w:val="berschrift2"/>
      </w:pPr>
      <w:r>
        <w:t>3.3.54.10 Gegenmodell ohne Kopplung</w:t>
      </w:r>
    </w:p>
    <w:p w:rsidR="00CE77C4" w:rsidRDefault="00CE77C4" w:rsidP="00CE77C4">
      <w:pPr>
        <w:pStyle w:val="StandardWeb"/>
      </w:pPr>
      <w:r>
        <w:t>Eine zulässige funktionale Modellklasse kann ausschließlich aus unabhängigen Teilsystemen bestehen:</w:t>
      </w:r>
    </w:p>
    <w:p w:rsidR="00CE77C4" w:rsidRDefault="00CE77C4" w:rsidP="00CE77C4">
      <w:pPr>
        <w:pStyle w:val="StandardWeb"/>
      </w:pPr>
      <w:r>
        <w:t>[</w:t>
      </w:r>
      <w:r>
        <w:br/>
        <w:t>K_F</w:t>
      </w:r>
      <w:r>
        <w:br/>
        <w:t>\notin</w:t>
      </w:r>
      <w:r>
        <w:br/>
        <w:t>\mathfrak E_{\mathrm{model}}.</w:t>
      </w:r>
      <w:r>
        <w:br/>
        <w:t>\tag{3.14227}</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lastRenderedPageBreak/>
        <w:t>K_F\notin\mathfrak E_{\mathrm{model}}</w:t>
      </w:r>
    </w:p>
    <w:p w:rsidR="00CE77C4" w:rsidRDefault="00CE77C4" w:rsidP="00CE77C4">
      <w:pPr>
        <w:pStyle w:val="StandardWeb"/>
      </w:pPr>
      <w:r>
        <w:t>Die Teilsysteme bleiben dennoch wohldefiniert.</w:t>
      </w:r>
    </w:p>
    <w:p w:rsidR="00CE77C4" w:rsidRDefault="00CE77C4" w:rsidP="00CE77C4">
      <w:r>
        <w:pict>
          <v:rect id="_x0000_i6512" style="width:0;height:1.5pt" o:hralign="center" o:hrstd="t" o:hr="t" fillcolor="#a0a0a0" stroked="f"/>
        </w:pict>
      </w:r>
    </w:p>
    <w:p w:rsidR="00CE77C4" w:rsidRDefault="00CE77C4" w:rsidP="00CE77C4">
      <w:pPr>
        <w:pStyle w:val="berschrift2"/>
      </w:pPr>
      <w:r>
        <w:t>3.3.54.11 Axiomentscheidung zur Existenz einer Kopplung</w:t>
      </w:r>
    </w:p>
    <w:p w:rsidR="00CE77C4" w:rsidRDefault="00CE77C4" w:rsidP="00CE77C4">
      <w:pPr>
        <w:pStyle w:val="StandardWeb"/>
      </w:pPr>
      <w:r>
        <w:t>Damit gilt</w:t>
      </w:r>
    </w:p>
    <w:p w:rsidR="00CE77C4" w:rsidRDefault="00CE77C4" w:rsidP="00CE77C4">
      <w:pPr>
        <w:pStyle w:val="berschrift1"/>
      </w:pPr>
      <w:r>
        <w:t>[</w:t>
      </w:r>
      <w:r>
        <w:br/>
        <w:t>\boxed{</w:t>
      </w:r>
      <w:r>
        <w:br/>
        <w:t>U_{\mathrm{Ax}}</w:t>
      </w:r>
      <w:r>
        <w:br/>
        <w:t>(A_{\mathrm{cpl-ex}})</w:t>
      </w:r>
    </w:p>
    <w:p w:rsidR="00CE77C4" w:rsidRDefault="00CE77C4" w:rsidP="009F7790">
      <w:pPr>
        <w:numPr>
          <w:ilvl w:val="0"/>
          <w:numId w:val="784"/>
        </w:numPr>
        <w:spacing w:before="100" w:beforeAutospacing="1" w:after="100" w:afterAutospacing="1"/>
      </w:pPr>
    </w:p>
    <w:p w:rsidR="00CE77C4" w:rsidRDefault="00CE77C4" w:rsidP="00CE77C4">
      <w:pPr>
        <w:pStyle w:val="StandardWeb"/>
      </w:pPr>
      <w:r>
        <w:t>}</w:t>
      </w:r>
      <w:r>
        <w:br/>
        <w:t>\tag{3.14228}</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\boxed{U_{\mathrm{Ax}}(A_{\mathrm{cpl-ex}})=0.}</w:t>
      </w:r>
    </w:p>
    <w:p w:rsidR="00CE77C4" w:rsidRDefault="00CE77C4" w:rsidP="00CE77C4">
      <w:r>
        <w:pict>
          <v:rect id="_x0000_i6513" style="width:0;height:1.5pt" o:hralign="center" o:hrstd="t" o:hr="t" fillcolor="#a0a0a0" stroked="f"/>
        </w:pict>
      </w:r>
    </w:p>
    <w:p w:rsidR="00CE77C4" w:rsidRDefault="00CE77C4" w:rsidP="00CE77C4">
      <w:pPr>
        <w:pStyle w:val="berschrift1"/>
      </w:pPr>
      <w:r>
        <w:t>3.3.54.12 Satz 3.3.276 – Die Existenz funktionaler Kopplung ist kein Primäraxiom</w:t>
      </w:r>
    </w:p>
    <w:p w:rsidR="00CE77C4" w:rsidRDefault="00CE77C4" w:rsidP="00CE77C4">
      <w:pPr>
        <w:pStyle w:val="berschrift3"/>
      </w:pPr>
      <w:r>
        <w:t>Satz 3.3.276</w:t>
      </w:r>
    </w:p>
    <w:p w:rsidR="00CE77C4" w:rsidRDefault="00CE77C4" w:rsidP="00CE77C4">
      <w:pPr>
        <w:pStyle w:val="StandardWeb"/>
      </w:pPr>
      <w:r>
        <w:t>Die Forderung, jedes zulässige FRZK-Modell müsse mindestens zwei funktionale Teilsysteme durch eine nichttriviale Kopplung verbinden, ist keine universell notwendige Voraussetzung des allgemeinen FRZK.</w:t>
      </w:r>
    </w:p>
    <w:p w:rsidR="00CE77C4" w:rsidRDefault="00CE77C4" w:rsidP="00CE77C4">
      <w:pPr>
        <w:pStyle w:val="StandardWeb"/>
      </w:pPr>
      <w:r>
        <w:t>Formal gilt</w:t>
      </w:r>
    </w:p>
    <w:p w:rsidR="00CE77C4" w:rsidRDefault="00CE77C4" w:rsidP="00CE77C4">
      <w:pPr>
        <w:pStyle w:val="berschrift1"/>
      </w:pPr>
      <w:r>
        <w:t>[</w:t>
      </w:r>
      <w:r>
        <w:br/>
        <w:t>\boxed{</w:t>
      </w:r>
      <w:r>
        <w:br/>
        <w:t>U_{\mathrm{Ax}}</w:t>
      </w:r>
      <w:r>
        <w:br/>
        <w:t>(A_{\mathrm{cpl-ex}})</w:t>
      </w:r>
    </w:p>
    <w:p w:rsidR="00CE77C4" w:rsidRDefault="00CE77C4" w:rsidP="009F7790">
      <w:pPr>
        <w:numPr>
          <w:ilvl w:val="0"/>
          <w:numId w:val="785"/>
        </w:numPr>
        <w:spacing w:before="100" w:beforeAutospacing="1" w:after="100" w:afterAutospacing="1"/>
      </w:pPr>
    </w:p>
    <w:p w:rsidR="00CE77C4" w:rsidRDefault="00CE77C4" w:rsidP="00CE77C4">
      <w:pPr>
        <w:pStyle w:val="StandardWeb"/>
      </w:pPr>
      <w:r>
        <w:lastRenderedPageBreak/>
        <w:t>}</w:t>
      </w:r>
      <w:r>
        <w:br/>
        <w:t>\tag{3.14229}</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\boxed{U_{\mathrm{Ax}}(A_{\mathrm{cpl-ex}})=0.}</w:t>
      </w:r>
    </w:p>
    <w:p w:rsidR="00CE77C4" w:rsidRDefault="00CE77C4" w:rsidP="00CE77C4">
      <w:pPr>
        <w:pStyle w:val="berschrift3"/>
      </w:pPr>
      <w:r>
        <w:t>Beweis</w:t>
      </w:r>
    </w:p>
    <w:p w:rsidR="00CE77C4" w:rsidRDefault="00CE77C4" w:rsidP="00CE77C4">
      <w:pPr>
        <w:pStyle w:val="StandardWeb"/>
      </w:pPr>
      <w:r>
        <w:t>Ich betrachte eine funktionale Modellstruktur mit zwei Teilsystemen</w:t>
      </w:r>
    </w:p>
    <w:p w:rsidR="00CE77C4" w:rsidRDefault="00CE77C4" w:rsidP="00CE77C4">
      <w:pPr>
        <w:pStyle w:val="StandardWeb"/>
      </w:pPr>
      <w:r>
        <w:t>[</w:t>
      </w:r>
      <w:r>
        <w:br/>
        <w:t>\mathcal X_{F,1}</w:t>
      </w:r>
      <w:r>
        <w:br/>
        <w:t>\neq</w:t>
      </w:r>
      <w:r>
        <w:br/>
        <w:t>\varnothing,</w:t>
      </w:r>
      <w:r>
        <w:br/>
        <w:t>\qquad</w:t>
      </w:r>
      <w:r>
        <w:br/>
        <w:t>\mathcal X_{F,2}</w:t>
      </w:r>
      <w:r>
        <w:br/>
        <w:t>\neq</w:t>
      </w:r>
      <w:r>
        <w:br/>
        <w:t>\varnothing,</w:t>
      </w:r>
      <w:r>
        <w:br/>
        <w:t>\tag{3.14230}</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\mathcal X_{F,1}\neq\varnothing,\qquad\mathcal X_{F,2}\neq\varnothing</w:t>
      </w:r>
    </w:p>
    <w:p w:rsidR="00CE77C4" w:rsidRDefault="00CE77C4" w:rsidP="00CE77C4">
      <w:pPr>
        <w:pStyle w:val="StandardWeb"/>
      </w:pPr>
      <w:r>
        <w:t>deren Verarbeitung vollständig getrennt erfolgt:</w:t>
      </w:r>
    </w:p>
    <w:p w:rsidR="00CE77C4" w:rsidRDefault="00CE77C4" w:rsidP="00CE77C4">
      <w:pPr>
        <w:pStyle w:val="berschrift1"/>
      </w:pPr>
      <w:r>
        <w:t>[</w:t>
      </w:r>
      <w:r>
        <w:br/>
        <w:t>F_{12}</w:t>
      </w:r>
    </w:p>
    <w:p w:rsidR="00CE77C4" w:rsidRDefault="00CE77C4" w:rsidP="00CE77C4">
      <w:pPr>
        <w:pStyle w:val="StandardWeb"/>
      </w:pPr>
      <w:r>
        <w:t>F_1</w:t>
      </w:r>
      <w:r>
        <w:br/>
        <w:t>\times</w:t>
      </w:r>
      <w:r>
        <w:br/>
        <w:t>F_2.</w:t>
      </w:r>
      <w:r>
        <w:br/>
        <w:t>\tag{3.14231}</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F_{12}=F_1\times F_2</w:t>
      </w:r>
    </w:p>
    <w:p w:rsidR="00CE77C4" w:rsidRDefault="00CE77C4" w:rsidP="00CE77C4">
      <w:pPr>
        <w:pStyle w:val="StandardWeb"/>
      </w:pPr>
      <w:r>
        <w:t>Eine nichttriviale Kopplung ist in diesem Modell nicht erforderlich. Damit kann eine zulässige FRZK-Struktur ohne (K_F) formuliert werden. Die Existenz einer Kopplung ist daher nicht universell notwendig. (\square)</w:t>
      </w:r>
    </w:p>
    <w:p w:rsidR="00CE77C4" w:rsidRDefault="00CE77C4" w:rsidP="00CE77C4">
      <w:r>
        <w:pict>
          <v:rect id="_x0000_i6514" style="width:0;height:1.5pt" o:hralign="center" o:hrstd="t" o:hr="t" fillcolor="#a0a0a0" stroked="f"/>
        </w:pict>
      </w:r>
    </w:p>
    <w:p w:rsidR="00CE77C4" w:rsidRDefault="00CE77C4" w:rsidP="00CE77C4">
      <w:pPr>
        <w:pStyle w:val="berschrift1"/>
      </w:pPr>
      <w:r>
        <w:lastRenderedPageBreak/>
        <w:t>3.3.54.13 Korollar 3.3.80 – Funktionale Kopplung ist modellabhängig</w:t>
      </w:r>
    </w:p>
    <w:p w:rsidR="00CE77C4" w:rsidRDefault="00CE77C4" w:rsidP="00CE77C4">
      <w:pPr>
        <w:pStyle w:val="berschrift3"/>
      </w:pPr>
      <w:r>
        <w:t>Korollar 3.3.80</w:t>
      </w:r>
    </w:p>
    <w:p w:rsidR="00CE77C4" w:rsidRDefault="00CE77C4" w:rsidP="00CE77C4">
      <w:pPr>
        <w:pStyle w:val="StandardWeb"/>
      </w:pPr>
      <w:r>
        <w:t>Aus Satz 3.3.276 folgt</w:t>
      </w:r>
    </w:p>
    <w:p w:rsidR="00CE77C4" w:rsidRDefault="00CE77C4" w:rsidP="00CE77C4">
      <w:pPr>
        <w:pStyle w:val="berschrift1"/>
      </w:pPr>
      <w:r>
        <w:t>[</w:t>
      </w:r>
      <w:r>
        <w:br/>
        <w:t>\boxed{</w:t>
      </w:r>
      <w:r>
        <w:br/>
        <w:t>\operatorname{Stat}</w:t>
      </w:r>
      <w:r>
        <w:br/>
        <w:t>(K_F)</w:t>
      </w:r>
    </w:p>
    <w:p w:rsidR="00CE77C4" w:rsidRDefault="00CE77C4" w:rsidP="00CE77C4">
      <w:pPr>
        <w:pStyle w:val="StandardWeb"/>
      </w:pPr>
      <w:r>
        <w:t>\mathrm{Def/Mod/Op}.</w:t>
      </w:r>
      <w:r>
        <w:br/>
        <w:t>}</w:t>
      </w:r>
      <w:r>
        <w:br/>
        <w:t>\tag{3.14232}</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\boxed{\operatorname{Stat}(K_F)=\mathrm{Def/Mod/Op}.}</w:t>
      </w:r>
    </w:p>
    <w:p w:rsidR="00CE77C4" w:rsidRDefault="00CE77C4" w:rsidP="00CE77C4">
      <w:r>
        <w:pict>
          <v:rect id="_x0000_i6515" style="width:0;height:1.5pt" o:hralign="center" o:hrstd="t" o:hr="t" fillcolor="#a0a0a0" stroked="f"/>
        </w:pict>
      </w:r>
    </w:p>
    <w:p w:rsidR="00CE77C4" w:rsidRDefault="00CE77C4" w:rsidP="00CE77C4">
      <w:pPr>
        <w:pStyle w:val="berschrift1"/>
      </w:pPr>
      <w:r>
        <w:t>3.3.54.14 Gerichtete Kopplung</w:t>
      </w:r>
    </w:p>
    <w:p w:rsidR="00CE77C4" w:rsidRDefault="00CE77C4" w:rsidP="00CE77C4">
      <w:pPr>
        <w:pStyle w:val="StandardWeb"/>
      </w:pPr>
      <w:r>
        <w:t>Eine Kopplung kann gerichtet sein. Ich schreibe dafür</w:t>
      </w:r>
    </w:p>
    <w:p w:rsidR="00CE77C4" w:rsidRDefault="00CE77C4" w:rsidP="00CE77C4">
      <w:pPr>
        <w:pStyle w:val="StandardWeb"/>
      </w:pPr>
      <w:r>
        <w:t>[</w:t>
      </w:r>
      <w:r>
        <w:br/>
        <w:t>K_{1\rightarrow2}.</w:t>
      </w:r>
      <w:r>
        <w:br/>
        <w:t>\tag{3.14233}</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K_{1\rightarrow2}</w:t>
      </w:r>
    </w:p>
    <w:p w:rsidR="00CE77C4" w:rsidRDefault="00CE77C4" w:rsidP="00CE77C4">
      <w:r>
        <w:pict>
          <v:rect id="_x0000_i6516" style="width:0;height:1.5pt" o:hralign="center" o:hrstd="t" o:hr="t" fillcolor="#a0a0a0" stroked="f"/>
        </w:pict>
      </w:r>
    </w:p>
    <w:p w:rsidR="00CE77C4" w:rsidRDefault="00CE77C4" w:rsidP="00CE77C4">
      <w:pPr>
        <w:pStyle w:val="berschrift2"/>
      </w:pPr>
      <w:r>
        <w:t>3.3.54.15 Definition 3.3.672 – Gerichtete funktionale Kopplung</w:t>
      </w:r>
    </w:p>
    <w:p w:rsidR="00CE77C4" w:rsidRDefault="00CE77C4" w:rsidP="00CE77C4">
      <w:pPr>
        <w:pStyle w:val="berschrift3"/>
      </w:pPr>
      <w:r>
        <w:t>Definition 3.3.672</w:t>
      </w:r>
    </w:p>
    <w:p w:rsidR="00CE77C4" w:rsidRDefault="00CE77C4" w:rsidP="00CE77C4">
      <w:pPr>
        <w:pStyle w:val="StandardWeb"/>
      </w:pPr>
      <w:r>
        <w:t xml:space="preserve">Eine </w:t>
      </w:r>
      <w:r>
        <w:rPr>
          <w:rStyle w:val="Fett"/>
        </w:rPr>
        <w:t>gerichtete funktionale Kopplung</w:t>
      </w:r>
      <w:r>
        <w:t xml:space="preserve"> von Teilsystem (1) nach Teilsystem (2) ist eine modellabhängige Abbildung</w:t>
      </w:r>
    </w:p>
    <w:p w:rsidR="00CE77C4" w:rsidRDefault="00CE77C4" w:rsidP="00CE77C4">
      <w:pPr>
        <w:pStyle w:val="StandardWeb"/>
      </w:pPr>
      <w:r>
        <w:lastRenderedPageBreak/>
        <w:t>[</w:t>
      </w:r>
      <w:r>
        <w:br/>
        <w:t>\boxed{</w:t>
      </w:r>
      <w:r>
        <w:br/>
        <w:t>K_{1\rightarrow2}</w:t>
      </w:r>
      <w:r>
        <w:br/>
        <w:t>:</w:t>
      </w:r>
      <w:r>
        <w:br/>
        <w:t>\mathcal X_{F,1}</w:t>
      </w:r>
      <w:r>
        <w:br/>
        <w:t>\times</w:t>
      </w:r>
      <w:r>
        <w:br/>
        <w:t>\mathcal X_{F,2}</w:t>
      </w:r>
      <w:r>
        <w:br/>
        <w:t>\rightarrow</w:t>
      </w:r>
      <w:r>
        <w:br/>
        <w:t>\mathcal X_{F,2},</w:t>
      </w:r>
      <w:r>
        <w:br/>
        <w:t>}</w:t>
      </w:r>
      <w:r>
        <w:br/>
        <w:t>\tag{3.14234}</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\boxed{K_{1\rightarrow2}:\mathcal X_{F,1}\times\mathcal X_{F,2}\rightarrow\mathcal X_{F,2},}</w:t>
      </w:r>
    </w:p>
    <w:p w:rsidR="00CE77C4" w:rsidRDefault="00CE77C4" w:rsidP="00CE77C4">
      <w:pPr>
        <w:pStyle w:val="StandardWeb"/>
      </w:pPr>
      <w:r>
        <w:t>bei der der Zustand des ersten Teilsystems in die Verarbeitung des zweiten Teilsystems eingeht.</w:t>
      </w:r>
    </w:p>
    <w:p w:rsidR="00CE77C4" w:rsidRDefault="00CE77C4" w:rsidP="00CE77C4">
      <w:r>
        <w:pict>
          <v:rect id="_x0000_i6517" style="width:0;height:1.5pt" o:hralign="center" o:hrstd="t" o:hr="t" fillcolor="#a0a0a0" stroked="f"/>
        </w:pict>
      </w:r>
    </w:p>
    <w:p w:rsidR="00CE77C4" w:rsidRDefault="00CE77C4" w:rsidP="00CE77C4">
      <w:pPr>
        <w:pStyle w:val="berschrift1"/>
      </w:pPr>
      <w:r>
        <w:t>3.3.54.16 Rückkopplung</w:t>
      </w:r>
    </w:p>
    <w:p w:rsidR="00CE77C4" w:rsidRDefault="00CE77C4" w:rsidP="00CE77C4">
      <w:pPr>
        <w:pStyle w:val="StandardWeb"/>
      </w:pPr>
      <w:r>
        <w:t>Zusätzlich kann eine Gegenrichtung existieren:</w:t>
      </w:r>
    </w:p>
    <w:p w:rsidR="00CE77C4" w:rsidRDefault="00CE77C4" w:rsidP="00CE77C4">
      <w:pPr>
        <w:pStyle w:val="StandardWeb"/>
      </w:pPr>
      <w:r>
        <w:t>[</w:t>
      </w:r>
      <w:r>
        <w:br/>
        <w:t>K_{2\rightarrow1}.</w:t>
      </w:r>
      <w:r>
        <w:br/>
        <w:t>\tag{3.14235}</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K_{2\rightarrow1}</w:t>
      </w:r>
    </w:p>
    <w:p w:rsidR="00CE77C4" w:rsidRDefault="00CE77C4" w:rsidP="00CE77C4">
      <w:pPr>
        <w:pStyle w:val="StandardWeb"/>
      </w:pPr>
      <w:r>
        <w:t>Sind beide Richtungen vorhanden, entsteht eine Rückkopplungsstruktur.</w:t>
      </w:r>
    </w:p>
    <w:p w:rsidR="00CE77C4" w:rsidRDefault="00CE77C4" w:rsidP="00CE77C4">
      <w:r>
        <w:pict>
          <v:rect id="_x0000_i6518" style="width:0;height:1.5pt" o:hralign="center" o:hrstd="t" o:hr="t" fillcolor="#a0a0a0" stroked="f"/>
        </w:pict>
      </w:r>
    </w:p>
    <w:p w:rsidR="00CE77C4" w:rsidRDefault="00CE77C4" w:rsidP="00CE77C4">
      <w:pPr>
        <w:pStyle w:val="berschrift2"/>
      </w:pPr>
      <w:r>
        <w:t>3.3.54.17 Definition 3.3.673 – Funktionale Rückkopplung</w:t>
      </w:r>
    </w:p>
    <w:p w:rsidR="00CE77C4" w:rsidRDefault="00CE77C4" w:rsidP="00CE77C4">
      <w:pPr>
        <w:pStyle w:val="berschrift3"/>
      </w:pPr>
      <w:r>
        <w:t>Definition 3.3.673</w:t>
      </w:r>
    </w:p>
    <w:p w:rsidR="00CE77C4" w:rsidRDefault="00CE77C4" w:rsidP="00CE77C4">
      <w:pPr>
        <w:pStyle w:val="StandardWeb"/>
      </w:pPr>
      <w:r>
        <w:t xml:space="preserve">Eine </w:t>
      </w:r>
      <w:r>
        <w:rPr>
          <w:rStyle w:val="Fett"/>
        </w:rPr>
        <w:t>funktionale Rückkopplung</w:t>
      </w:r>
      <w:r>
        <w:t xml:space="preserve"> zwischen zwei Teilsystemen liegt vor, wenn</w:t>
      </w:r>
    </w:p>
    <w:p w:rsidR="00CE77C4" w:rsidRDefault="00CE77C4" w:rsidP="00CE77C4">
      <w:pPr>
        <w:pStyle w:val="StandardWeb"/>
      </w:pPr>
      <w:r>
        <w:t>[</w:t>
      </w:r>
      <w:r>
        <w:br/>
        <w:t>\boxed{</w:t>
      </w:r>
      <w:r>
        <w:br/>
        <w:t>K_{1\rightarrow2}</w:t>
      </w:r>
      <w:r>
        <w:br/>
        <w:t>\neq</w:t>
      </w:r>
      <w:r>
        <w:br/>
        <w:t>\varnothing</w:t>
      </w:r>
      <w:r>
        <w:br/>
      </w:r>
      <w:r>
        <w:lastRenderedPageBreak/>
        <w:t>\quad\land\quad</w:t>
      </w:r>
      <w:r>
        <w:br/>
        <w:t>K_{2\rightarrow1}</w:t>
      </w:r>
      <w:r>
        <w:br/>
        <w:t>\neq</w:t>
      </w:r>
      <w:r>
        <w:br/>
        <w:t>\varnothing.</w:t>
      </w:r>
      <w:r>
        <w:br/>
        <w:t>}</w:t>
      </w:r>
      <w:r>
        <w:br/>
        <w:t>\tag{3.14236}</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\boxed{K_{1\rightarrow2}\neq\varnothing\quad\land\quad K_{2\rightarrow1}\neq\varnothing.}</w:t>
      </w:r>
    </w:p>
    <w:p w:rsidR="00CE77C4" w:rsidRDefault="00CE77C4" w:rsidP="00CE77C4">
      <w:r>
        <w:pict>
          <v:rect id="_x0000_i6519" style="width:0;height:1.5pt" o:hralign="center" o:hrstd="t" o:hr="t" fillcolor="#a0a0a0" stroked="f"/>
        </w:pict>
      </w:r>
    </w:p>
    <w:p w:rsidR="00CE77C4" w:rsidRDefault="00CE77C4" w:rsidP="00CE77C4">
      <w:pPr>
        <w:pStyle w:val="berschrift1"/>
      </w:pPr>
      <w:r>
        <w:t>3.3.54.18 Symmetrische Kopplung</w:t>
      </w:r>
    </w:p>
    <w:p w:rsidR="00CE77C4" w:rsidRDefault="00CE77C4" w:rsidP="00CE77C4">
      <w:pPr>
        <w:pStyle w:val="StandardWeb"/>
      </w:pPr>
      <w:r>
        <w:t>Eine Kopplungsstruktur kann symmetrisch sein:</w:t>
      </w:r>
    </w:p>
    <w:p w:rsidR="00CE77C4" w:rsidRDefault="00CE77C4" w:rsidP="00CE77C4">
      <w:pPr>
        <w:pStyle w:val="StandardWeb"/>
      </w:pPr>
      <w:r>
        <w:t>[</w:t>
      </w:r>
      <w:r>
        <w:br/>
        <w:t>K_{1\rightarrow2}</w:t>
      </w:r>
      <w:r>
        <w:br/>
        <w:t>\equiv</w:t>
      </w:r>
      <w:r>
        <w:br/>
        <w:t>K_{2\rightarrow1}.</w:t>
      </w:r>
      <w:r>
        <w:br/>
        <w:t>\tag{3.14237}</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K_{1\rightarrow2}\equiv K_{2\rightarrow1}</w:t>
      </w:r>
    </w:p>
    <w:p w:rsidR="00CE77C4" w:rsidRDefault="00CE77C4" w:rsidP="00CE77C4">
      <w:r>
        <w:pict>
          <v:rect id="_x0000_i6520" style="width:0;height:1.5pt" o:hralign="center" o:hrstd="t" o:hr="t" fillcolor="#a0a0a0" stroked="f"/>
        </w:pict>
      </w:r>
    </w:p>
    <w:p w:rsidR="00CE77C4" w:rsidRDefault="00CE77C4" w:rsidP="00CE77C4">
      <w:pPr>
        <w:pStyle w:val="berschrift2"/>
      </w:pPr>
      <w:r>
        <w:t>3.3.54.19 Definition 3.3.674 – Symmetrische funktionale Kopplung</w:t>
      </w:r>
    </w:p>
    <w:p w:rsidR="00CE77C4" w:rsidRDefault="00CE77C4" w:rsidP="00CE77C4">
      <w:pPr>
        <w:pStyle w:val="berschrift3"/>
      </w:pPr>
      <w:r>
        <w:t>Definition 3.3.674</w:t>
      </w:r>
    </w:p>
    <w:p w:rsidR="00CE77C4" w:rsidRDefault="00CE77C4" w:rsidP="00CE77C4">
      <w:pPr>
        <w:pStyle w:val="StandardWeb"/>
      </w:pPr>
      <w:r>
        <w:t xml:space="preserve">Eine funktionale Kopplung heißt </w:t>
      </w:r>
      <w:r>
        <w:rPr>
          <w:rStyle w:val="Fett"/>
        </w:rPr>
        <w:t>symmetrisch</w:t>
      </w:r>
      <w:r>
        <w:t>, wenn die Kopplungswirkungen beider Richtungen bezüglich des festgelegten Vergleichskriteriums äquivalent sind:</w:t>
      </w:r>
    </w:p>
    <w:p w:rsidR="00CE77C4" w:rsidRDefault="00CE77C4" w:rsidP="00CE77C4">
      <w:pPr>
        <w:pStyle w:val="StandardWeb"/>
      </w:pPr>
      <w:r>
        <w:t>[</w:t>
      </w:r>
      <w:r>
        <w:br/>
        <w:t>\boxed{</w:t>
      </w:r>
      <w:r>
        <w:br/>
        <w:t>K_{1\rightarrow2}</w:t>
      </w:r>
      <w:r>
        <w:br/>
        <w:t>\equiv</w:t>
      </w:r>
      <w:r>
        <w:br/>
        <w:t>K_{2\rightarrow1}.</w:t>
      </w:r>
      <w:r>
        <w:br/>
        <w:t>}</w:t>
      </w:r>
      <w:r>
        <w:br/>
        <w:t>\tag{3.14238}</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\boxed{K_{1\rightarrow2}\equiv K_{2\rightarrow1}.}</w:t>
      </w:r>
    </w:p>
    <w:p w:rsidR="00CE77C4" w:rsidRDefault="00CE77C4" w:rsidP="00CE77C4">
      <w:r>
        <w:lastRenderedPageBreak/>
        <w:pict>
          <v:rect id="_x0000_i6521" style="width:0;height:1.5pt" o:hralign="center" o:hrstd="t" o:hr="t" fillcolor="#a0a0a0" stroked="f"/>
        </w:pict>
      </w:r>
    </w:p>
    <w:p w:rsidR="00CE77C4" w:rsidRDefault="00CE77C4" w:rsidP="00CE77C4">
      <w:pPr>
        <w:pStyle w:val="berschrift1"/>
      </w:pPr>
      <w:r>
        <w:t>3.3.54.20 Asymmetrische Kopplung</w:t>
      </w:r>
    </w:p>
    <w:p w:rsidR="00CE77C4" w:rsidRDefault="00CE77C4" w:rsidP="00CE77C4">
      <w:pPr>
        <w:pStyle w:val="StandardWeb"/>
      </w:pPr>
      <w:r>
        <w:t>Es kann dagegen gelten</w:t>
      </w:r>
    </w:p>
    <w:p w:rsidR="00CE77C4" w:rsidRDefault="00CE77C4" w:rsidP="00CE77C4">
      <w:pPr>
        <w:pStyle w:val="StandardWeb"/>
      </w:pPr>
      <w:r>
        <w:t>[</w:t>
      </w:r>
      <w:r>
        <w:br/>
        <w:t>K_{1\rightarrow2}</w:t>
      </w:r>
      <w:r>
        <w:br/>
        <w:t>\not\equiv</w:t>
      </w:r>
      <w:r>
        <w:br/>
        <w:t>K_{2\rightarrow1}.</w:t>
      </w:r>
      <w:r>
        <w:br/>
        <w:t>\tag{3.14239}</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K_{1\rightarrow2}\not\equiv K_{2\rightarrow1}</w:t>
      </w:r>
    </w:p>
    <w:p w:rsidR="00CE77C4" w:rsidRDefault="00CE77C4" w:rsidP="00CE77C4">
      <w:r>
        <w:pict>
          <v:rect id="_x0000_i6522" style="width:0;height:1.5pt" o:hralign="center" o:hrstd="t" o:hr="t" fillcolor="#a0a0a0" stroked="f"/>
        </w:pict>
      </w:r>
    </w:p>
    <w:p w:rsidR="00CE77C4" w:rsidRDefault="00CE77C4" w:rsidP="00CE77C4">
      <w:pPr>
        <w:pStyle w:val="berschrift1"/>
      </w:pPr>
      <w:r>
        <w:t>3.3.54.21 Kopplungssymmetrie als Primäraxiomkandidat</w:t>
      </w:r>
    </w:p>
    <w:p w:rsidR="00CE77C4" w:rsidRDefault="00CE77C4" w:rsidP="00CE77C4">
      <w:pPr>
        <w:pStyle w:val="StandardWeb"/>
      </w:pPr>
      <w:r>
        <w:t>Ein Kandidat lautet</w:t>
      </w:r>
    </w:p>
    <w:p w:rsidR="00CE77C4" w:rsidRDefault="00CE77C4" w:rsidP="00CE77C4">
      <w:pPr>
        <w:pStyle w:val="StandardWeb"/>
      </w:pPr>
      <w:r>
        <w:t>[</w:t>
      </w:r>
      <w:r>
        <w:br/>
        <w:t>A_{\mathrm{cpl-sym}}</w:t>
      </w:r>
      <w:r>
        <w:br/>
        <w:t>:</w:t>
      </w:r>
      <w:r>
        <w:br/>
        <w:t>K_{1\rightarrow2}</w:t>
      </w:r>
      <w:r>
        <w:br/>
        <w:t>\equiv</w:t>
      </w:r>
      <w:r>
        <w:br/>
        <w:t>K_{2\rightarrow1}.</w:t>
      </w:r>
      <w:r>
        <w:br/>
        <w:t>\tag{3.14240}</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A_{\mathrm{cpl-sym}}:K_{1\rightarrow2}\equiv K_{2\rightarrow1}</w:t>
      </w:r>
    </w:p>
    <w:p w:rsidR="00CE77C4" w:rsidRDefault="00CE77C4" w:rsidP="00CE77C4">
      <w:r>
        <w:pict>
          <v:rect id="_x0000_i6523" style="width:0;height:1.5pt" o:hralign="center" o:hrstd="t" o:hr="t" fillcolor="#a0a0a0" stroked="f"/>
        </w:pict>
      </w:r>
    </w:p>
    <w:p w:rsidR="00CE77C4" w:rsidRDefault="00CE77C4" w:rsidP="00CE77C4">
      <w:pPr>
        <w:pStyle w:val="berschrift1"/>
      </w:pPr>
      <w:r>
        <w:t>3.3.54.22 Gegenmodell zur universellen Kopplungssymmetrie</w:t>
      </w:r>
    </w:p>
    <w:p w:rsidR="00CE77C4" w:rsidRDefault="00CE77C4" w:rsidP="00CE77C4">
      <w:pPr>
        <w:pStyle w:val="StandardWeb"/>
      </w:pPr>
      <w:r>
        <w:t>Eine zulässige Kopplung kann einseitig sein:</w:t>
      </w:r>
    </w:p>
    <w:p w:rsidR="00CE77C4" w:rsidRDefault="00CE77C4" w:rsidP="00CE77C4">
      <w:pPr>
        <w:pStyle w:val="StandardWeb"/>
      </w:pPr>
      <w:r>
        <w:t>[</w:t>
      </w:r>
      <w:r>
        <w:br/>
        <w:t>K_{1\rightarrow2}</w:t>
      </w:r>
      <w:r>
        <w:br/>
        <w:t>\neq</w:t>
      </w:r>
      <w:r>
        <w:br/>
        <w:t>\varnothing</w:t>
      </w:r>
      <w:r>
        <w:br/>
        <w:t>\tag{3.14241}</w:t>
      </w:r>
      <w:r>
        <w:br/>
        <w:t>]</w:t>
      </w:r>
    </w:p>
    <w:p w:rsidR="00CE77C4" w:rsidRDefault="00CE77C4" w:rsidP="00CE77C4">
      <w:pPr>
        <w:pStyle w:val="StandardWeb"/>
      </w:pPr>
      <w:r>
        <w:rPr>
          <w:rStyle w:val="Fett"/>
        </w:rPr>
        <w:lastRenderedPageBreak/>
        <w:t>Word-LaTeX</w:t>
      </w:r>
    </w:p>
    <w:p w:rsidR="00CE77C4" w:rsidRDefault="00CE77C4" w:rsidP="00CE77C4">
      <w:pPr>
        <w:pStyle w:val="HTMLVorformatiert"/>
        <w:rPr>
          <w:rStyle w:val="HTMLCode"/>
        </w:rPr>
      </w:pPr>
      <w:r>
        <w:rPr>
          <w:rStyle w:val="HTMLCode"/>
        </w:rPr>
        <w:t>K_{1\rightarrow2}\neq\varnothing</w:t>
      </w:r>
    </w:p>
    <w:p w:rsidR="00CE77C4" w:rsidRDefault="00CE77C4" w:rsidP="00CE77C4">
      <w:pPr>
        <w:pStyle w:val="StandardWeb"/>
      </w:pPr>
      <w:r>
        <w:t>und</w:t>
      </w:r>
    </w:p>
    <w:p w:rsidR="00CE77C4" w:rsidRDefault="00CE77C4" w:rsidP="00CE77C4">
      <w:pPr>
        <w:pStyle w:val="berschrift1"/>
      </w:pPr>
      <w:r>
        <w:t>[</w:t>
      </w:r>
      <w:r>
        <w:br/>
        <w:t>K_{2\rightarrow1}</w:t>
      </w:r>
    </w:p>
    <w:p w:rsidR="00CE77C4" w:rsidRDefault="00CE77C4" w:rsidP="00CE77C4">
      <w:pPr>
        <w:pStyle w:val="StandardWeb"/>
      </w:pPr>
      <w:r>
        <w:t>\varnothing.</w:t>
      </w:r>
      <w:r>
        <w:br/>
        <w:t>\tag{3.14242}</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K_{2\rightarrow1}=\varnothing</w:t>
      </w:r>
    </w:p>
    <w:p w:rsidR="00CE77C4" w:rsidRDefault="00CE77C4" w:rsidP="00CE77C4">
      <w:r>
        <w:pict>
          <v:rect id="_x0000_i6524" style="width:0;height:1.5pt" o:hralign="center" o:hrstd="t" o:hr="t" fillcolor="#a0a0a0" stroked="f"/>
        </w:pict>
      </w:r>
    </w:p>
    <w:p w:rsidR="00CE77C4" w:rsidRDefault="00CE77C4" w:rsidP="00CE77C4">
      <w:pPr>
        <w:pStyle w:val="berschrift1"/>
      </w:pPr>
      <w:r>
        <w:t>3.3.54.23 Axiomentscheidung zur Kopplungssymmetrie</w:t>
      </w:r>
    </w:p>
    <w:p w:rsidR="00CE77C4" w:rsidRDefault="00CE77C4" w:rsidP="00CE77C4">
      <w:pPr>
        <w:pStyle w:val="StandardWeb"/>
      </w:pPr>
      <w:r>
        <w:t>Damit gilt</w:t>
      </w:r>
    </w:p>
    <w:p w:rsidR="00CE77C4" w:rsidRDefault="00CE77C4" w:rsidP="00CE77C4">
      <w:pPr>
        <w:pStyle w:val="berschrift1"/>
      </w:pPr>
      <w:r>
        <w:t>[</w:t>
      </w:r>
      <w:r>
        <w:br/>
        <w:t>\boxed{</w:t>
      </w:r>
      <w:r>
        <w:br/>
        <w:t>U_{\mathrm{Ax}}</w:t>
      </w:r>
      <w:r>
        <w:br/>
        <w:t>(A_{\mathrm{cpl-sym}})</w:t>
      </w:r>
    </w:p>
    <w:p w:rsidR="00CE77C4" w:rsidRDefault="00CE77C4" w:rsidP="009F7790">
      <w:pPr>
        <w:numPr>
          <w:ilvl w:val="0"/>
          <w:numId w:val="786"/>
        </w:numPr>
        <w:spacing w:before="100" w:beforeAutospacing="1" w:after="100" w:afterAutospacing="1"/>
      </w:pPr>
    </w:p>
    <w:p w:rsidR="00CE77C4" w:rsidRDefault="00CE77C4" w:rsidP="00CE77C4">
      <w:pPr>
        <w:pStyle w:val="StandardWeb"/>
      </w:pPr>
      <w:r>
        <w:t>}</w:t>
      </w:r>
      <w:r>
        <w:br/>
        <w:t>\tag{3.14243}</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\boxed{U_{\mathrm{Ax}}(A_{\mathrm{cpl-sym}})=0.}</w:t>
      </w:r>
    </w:p>
    <w:p w:rsidR="00CE77C4" w:rsidRDefault="00CE77C4" w:rsidP="00CE77C4">
      <w:r>
        <w:pict>
          <v:rect id="_x0000_i6525" style="width:0;height:1.5pt" o:hralign="center" o:hrstd="t" o:hr="t" fillcolor="#a0a0a0" stroked="f"/>
        </w:pict>
      </w:r>
    </w:p>
    <w:p w:rsidR="00CE77C4" w:rsidRDefault="00CE77C4" w:rsidP="00CE77C4">
      <w:pPr>
        <w:pStyle w:val="berschrift1"/>
      </w:pPr>
      <w:r>
        <w:t>3.3.54.24 Satz 3.3.277 – Symmetrie funktionaler Kopplung ist kein Primäraxiom</w:t>
      </w:r>
    </w:p>
    <w:p w:rsidR="00CE77C4" w:rsidRDefault="00CE77C4" w:rsidP="00CE77C4">
      <w:pPr>
        <w:pStyle w:val="berschrift3"/>
      </w:pPr>
      <w:r>
        <w:t>Satz 3.3.277</w:t>
      </w:r>
    </w:p>
    <w:p w:rsidR="00CE77C4" w:rsidRDefault="00CE77C4" w:rsidP="00CE77C4">
      <w:pPr>
        <w:pStyle w:val="StandardWeb"/>
      </w:pPr>
      <w:r>
        <w:lastRenderedPageBreak/>
        <w:t>Die Forderung, jede funktionale Kopplung zwischen zwei Teilsystemen müsse in beiden Richtungen äquivalent wirken, ist keine universell notwendige Voraussetzung des allgemeinen FRZK.</w:t>
      </w:r>
    </w:p>
    <w:p w:rsidR="00CE77C4" w:rsidRDefault="00CE77C4" w:rsidP="00CE77C4">
      <w:pPr>
        <w:pStyle w:val="berschrift1"/>
      </w:pPr>
      <w:r>
        <w:t>[</w:t>
      </w:r>
      <w:r>
        <w:br/>
        <w:t>\boxed{</w:t>
      </w:r>
      <w:r>
        <w:br/>
        <w:t>U_{\mathrm{Ax}}</w:t>
      </w:r>
      <w:r>
        <w:br/>
        <w:t>(A_{\mathrm{cpl-sym}})</w:t>
      </w:r>
    </w:p>
    <w:p w:rsidR="00CE77C4" w:rsidRDefault="00CE77C4" w:rsidP="009F7790">
      <w:pPr>
        <w:numPr>
          <w:ilvl w:val="0"/>
          <w:numId w:val="787"/>
        </w:numPr>
        <w:spacing w:before="100" w:beforeAutospacing="1" w:after="100" w:afterAutospacing="1"/>
      </w:pPr>
    </w:p>
    <w:p w:rsidR="00CE77C4" w:rsidRDefault="00CE77C4" w:rsidP="00CE77C4">
      <w:pPr>
        <w:pStyle w:val="StandardWeb"/>
      </w:pPr>
      <w:r>
        <w:t>}</w:t>
      </w:r>
      <w:r>
        <w:br/>
        <w:t>\tag{3.14244}</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\boxed{U_{\mathrm{Ax}}(A_{\mathrm{cpl-sym}})=0.}</w:t>
      </w:r>
    </w:p>
    <w:p w:rsidR="00CE77C4" w:rsidRDefault="00CE77C4" w:rsidP="00CE77C4">
      <w:r>
        <w:pict>
          <v:rect id="_x0000_i6526" style="width:0;height:1.5pt" o:hralign="center" o:hrstd="t" o:hr="t" fillcolor="#a0a0a0" stroked="f"/>
        </w:pict>
      </w:r>
    </w:p>
    <w:p w:rsidR="00CE77C4" w:rsidRDefault="00CE77C4" w:rsidP="00CE77C4">
      <w:pPr>
        <w:pStyle w:val="berschrift1"/>
      </w:pPr>
      <w:r>
        <w:t>3.3.54.25 Korollar 3.3.81 – Kopplungsrichtung ist modellabhängig</w:t>
      </w:r>
    </w:p>
    <w:p w:rsidR="00CE77C4" w:rsidRDefault="00CE77C4" w:rsidP="00CE77C4">
      <w:pPr>
        <w:pStyle w:val="berschrift3"/>
      </w:pPr>
      <w:r>
        <w:t>Korollar 3.3.81</w:t>
      </w:r>
    </w:p>
    <w:p w:rsidR="00CE77C4" w:rsidRDefault="00CE77C4" w:rsidP="00CE77C4">
      <w:pPr>
        <w:pStyle w:val="StandardWeb"/>
      </w:pPr>
      <w:r>
        <w:t>Aus Satz 3.3.277 folgt</w:t>
      </w:r>
    </w:p>
    <w:p w:rsidR="00CE77C4" w:rsidRDefault="00CE77C4" w:rsidP="00CE77C4">
      <w:pPr>
        <w:pStyle w:val="berschrift1"/>
      </w:pPr>
      <w:r>
        <w:t>[</w:t>
      </w:r>
      <w:r>
        <w:br/>
        <w:t>\boxed{</w:t>
      </w:r>
      <w:r>
        <w:br/>
        <w:t>\operatorname{Stat}</w:t>
      </w:r>
      <w:r>
        <w:br/>
        <w:t>(K_{i\rightarrow j})</w:t>
      </w:r>
    </w:p>
    <w:p w:rsidR="00CE77C4" w:rsidRDefault="00CE77C4" w:rsidP="00CE77C4">
      <w:pPr>
        <w:pStyle w:val="StandardWeb"/>
      </w:pPr>
      <w:r>
        <w:t>\mathrm{Def/Mod/Op}.</w:t>
      </w:r>
      <w:r>
        <w:br/>
        <w:t>}</w:t>
      </w:r>
      <w:r>
        <w:br/>
        <w:t>\tag{3.14245}</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\boxed{\operatorname{Stat}(K_{i\rightarrow j})=\mathrm{Def/Mod/Op}.}</w:t>
      </w:r>
    </w:p>
    <w:p w:rsidR="00CE77C4" w:rsidRDefault="00CE77C4" w:rsidP="00CE77C4">
      <w:r>
        <w:pict>
          <v:rect id="_x0000_i6527" style="width:0;height:1.5pt" o:hralign="center" o:hrstd="t" o:hr="t" fillcolor="#a0a0a0" stroked="f"/>
        </w:pict>
      </w:r>
    </w:p>
    <w:p w:rsidR="00CE77C4" w:rsidRDefault="00CE77C4" w:rsidP="00CE77C4">
      <w:pPr>
        <w:pStyle w:val="berschrift1"/>
      </w:pPr>
      <w:r>
        <w:t>3.3.54.26 Kopplungsstärke</w:t>
      </w:r>
    </w:p>
    <w:p w:rsidR="00CE77C4" w:rsidRDefault="00CE77C4" w:rsidP="00CE77C4">
      <w:pPr>
        <w:pStyle w:val="StandardWeb"/>
      </w:pPr>
      <w:r>
        <w:lastRenderedPageBreak/>
        <w:t>Eine Kopplung kann zusätzlich mit einer modellabhängigen Stärke charakterisiert werden.</w:t>
      </w:r>
    </w:p>
    <w:p w:rsidR="00CE77C4" w:rsidRDefault="00CE77C4" w:rsidP="00CE77C4">
      <w:pPr>
        <w:pStyle w:val="StandardWeb"/>
      </w:pPr>
      <w:r>
        <w:t>Ich führe dazu</w:t>
      </w:r>
    </w:p>
    <w:p w:rsidR="00CE77C4" w:rsidRDefault="00CE77C4" w:rsidP="00CE77C4">
      <w:pPr>
        <w:pStyle w:val="StandardWeb"/>
      </w:pPr>
      <w:r>
        <w:t>[</w:t>
      </w:r>
      <w:r>
        <w:br/>
        <w:t>\gamma_{ij}</w:t>
      </w:r>
      <w:r>
        <w:br/>
        <w:t>\in</w:t>
      </w:r>
      <w:r>
        <w:br/>
        <w:t>\Gamma_F</w:t>
      </w:r>
      <w:r>
        <w:br/>
        <w:t>\tag{3.14246}</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\gamma_{ij}\in\Gamma_F</w:t>
      </w:r>
    </w:p>
    <w:p w:rsidR="00CE77C4" w:rsidRDefault="00CE77C4" w:rsidP="00CE77C4">
      <w:pPr>
        <w:pStyle w:val="StandardWeb"/>
      </w:pPr>
      <w:r>
        <w:t>ein.</w:t>
      </w:r>
    </w:p>
    <w:p w:rsidR="00CE77C4" w:rsidRDefault="00CE77C4" w:rsidP="00CE77C4">
      <w:r>
        <w:pict>
          <v:rect id="_x0000_i6528" style="width:0;height:1.5pt" o:hralign="center" o:hrstd="t" o:hr="t" fillcolor="#a0a0a0" stroked="f"/>
        </w:pict>
      </w:r>
    </w:p>
    <w:p w:rsidR="00CE77C4" w:rsidRDefault="00CE77C4" w:rsidP="00CE77C4">
      <w:pPr>
        <w:pStyle w:val="berschrift2"/>
      </w:pPr>
      <w:r>
        <w:t>3.3.54.27 Definition 3.3.675 – Funktionale Kopplungsstärke</w:t>
      </w:r>
    </w:p>
    <w:p w:rsidR="00CE77C4" w:rsidRDefault="00CE77C4" w:rsidP="00CE77C4">
      <w:pPr>
        <w:pStyle w:val="berschrift3"/>
      </w:pPr>
      <w:r>
        <w:t>Definition 3.3.675</w:t>
      </w:r>
    </w:p>
    <w:p w:rsidR="00CE77C4" w:rsidRDefault="00CE77C4" w:rsidP="00CE77C4">
      <w:pPr>
        <w:pStyle w:val="StandardWeb"/>
      </w:pPr>
      <w:r>
        <w:t xml:space="preserve">Eine </w:t>
      </w:r>
      <w:r>
        <w:rPr>
          <w:rStyle w:val="Fett"/>
        </w:rPr>
        <w:t>funktionale Kopplungsstärke</w:t>
      </w:r>
      <w:r>
        <w:t xml:space="preserve"> ist eine modellabhängige Größe</w:t>
      </w:r>
    </w:p>
    <w:p w:rsidR="00CE77C4" w:rsidRDefault="00CE77C4" w:rsidP="00CE77C4">
      <w:pPr>
        <w:pStyle w:val="StandardWeb"/>
      </w:pPr>
      <w:r>
        <w:t>[</w:t>
      </w:r>
      <w:r>
        <w:br/>
        <w:t>\boxed{</w:t>
      </w:r>
      <w:r>
        <w:br/>
        <w:t>\gamma_{ij}</w:t>
      </w:r>
      <w:r>
        <w:br/>
        <w:t>\in</w:t>
      </w:r>
      <w:r>
        <w:br/>
        <w:t>\Gamma_F,</w:t>
      </w:r>
      <w:r>
        <w:br/>
        <w:t>}</w:t>
      </w:r>
      <w:r>
        <w:br/>
        <w:t>\tag{3.14247}</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\boxed{\gamma_{ij}\in\Gamma_F,}</w:t>
      </w:r>
    </w:p>
    <w:p w:rsidR="00CE77C4" w:rsidRDefault="00CE77C4" w:rsidP="00CE77C4">
      <w:pPr>
        <w:pStyle w:val="StandardWeb"/>
      </w:pPr>
      <w:r>
        <w:t>durch die die Stärke einer Kopplungswirkung zwischen zwei funktionalen Teilsystemen charakterisiert wird.</w:t>
      </w:r>
    </w:p>
    <w:p w:rsidR="00CE77C4" w:rsidRDefault="00CE77C4" w:rsidP="00CE77C4">
      <w:r>
        <w:pict>
          <v:rect id="_x0000_i6529" style="width:0;height:1.5pt" o:hralign="center" o:hrstd="t" o:hr="t" fillcolor="#a0a0a0" stroked="f"/>
        </w:pict>
      </w:r>
    </w:p>
    <w:p w:rsidR="00CE77C4" w:rsidRDefault="00CE77C4" w:rsidP="00CE77C4">
      <w:pPr>
        <w:pStyle w:val="berschrift1"/>
      </w:pPr>
      <w:r>
        <w:t>3.3.54.28 Ungekoppelter Spezialfall</w:t>
      </w:r>
    </w:p>
    <w:p w:rsidR="00CE77C4" w:rsidRDefault="00CE77C4" w:rsidP="00CE77C4">
      <w:pPr>
        <w:pStyle w:val="StandardWeb"/>
      </w:pPr>
      <w:r>
        <w:t>Falls ein numerischer Nullwert im Kopplungsstärkemodell definiert ist, kann</w:t>
      </w:r>
    </w:p>
    <w:p w:rsidR="00CE77C4" w:rsidRDefault="00CE77C4" w:rsidP="00CE77C4">
      <w:pPr>
        <w:pStyle w:val="berschrift1"/>
      </w:pPr>
      <w:r>
        <w:t>[</w:t>
      </w:r>
      <w:r>
        <w:br/>
        <w:t>\gamma_{ij}</w:t>
      </w:r>
    </w:p>
    <w:p w:rsidR="00CE77C4" w:rsidRDefault="00CE77C4" w:rsidP="00CE77C4">
      <w:pPr>
        <w:pStyle w:val="StandardWeb"/>
      </w:pPr>
      <w:r>
        <w:lastRenderedPageBreak/>
        <w:t>0</w:t>
      </w:r>
      <w:r>
        <w:br/>
        <w:t>\tag{3.14248}</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\gamma_{ij}=0</w:t>
      </w:r>
    </w:p>
    <w:p w:rsidR="00CE77C4" w:rsidRDefault="00CE77C4" w:rsidP="00CE77C4">
      <w:pPr>
        <w:pStyle w:val="StandardWeb"/>
      </w:pPr>
      <w:r>
        <w:t>als ungekoppelter Spezialfall interpretiert werden.</w:t>
      </w:r>
    </w:p>
    <w:p w:rsidR="00CE77C4" w:rsidRDefault="00CE77C4" w:rsidP="00CE77C4">
      <w:pPr>
        <w:pStyle w:val="StandardWeb"/>
      </w:pPr>
      <w:r>
        <w:t>Diese Interpretation ist jedoch bereits modellabhängig.</w:t>
      </w:r>
    </w:p>
    <w:p w:rsidR="00CE77C4" w:rsidRDefault="00CE77C4" w:rsidP="00CE77C4">
      <w:r>
        <w:pict>
          <v:rect id="_x0000_i6530" style="width:0;height:1.5pt" o:hralign="center" o:hrstd="t" o:hr="t" fillcolor="#a0a0a0" stroked="f"/>
        </w:pict>
      </w:r>
    </w:p>
    <w:p w:rsidR="00CE77C4" w:rsidRDefault="00CE77C4" w:rsidP="00CE77C4">
      <w:pPr>
        <w:pStyle w:val="berschrift1"/>
      </w:pPr>
      <w:r>
        <w:t>3.3.54.29 Normierte Kopplungsstärke</w:t>
      </w:r>
    </w:p>
    <w:p w:rsidR="00CE77C4" w:rsidRDefault="00CE77C4" w:rsidP="00CE77C4">
      <w:pPr>
        <w:pStyle w:val="StandardWeb"/>
      </w:pPr>
      <w:r>
        <w:t>Eine Modellklasse kann beispielsweise verwenden</w:t>
      </w:r>
    </w:p>
    <w:p w:rsidR="00CE77C4" w:rsidRDefault="00CE77C4" w:rsidP="00CE77C4">
      <w:pPr>
        <w:pStyle w:val="StandardWeb"/>
      </w:pPr>
      <w:r>
        <w:t>[</w:t>
      </w:r>
      <w:r>
        <w:br/>
        <w:t>\gamma_{ij}</w:t>
      </w:r>
      <w:r>
        <w:br/>
        <w:t>\in</w:t>
      </w:r>
      <w:r>
        <w:br/>
        <w:t>[0,1].</w:t>
      </w:r>
      <w:r>
        <w:br/>
        <w:t>\tag{3.14249}</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\gamma_{ij}\in[0,1]</w:t>
      </w:r>
    </w:p>
    <w:p w:rsidR="00CE77C4" w:rsidRDefault="00CE77C4" w:rsidP="00CE77C4">
      <w:r>
        <w:pict>
          <v:rect id="_x0000_i6531" style="width:0;height:1.5pt" o:hralign="center" o:hrstd="t" o:hr="t" fillcolor="#a0a0a0" stroked="f"/>
        </w:pict>
      </w:r>
    </w:p>
    <w:p w:rsidR="00CE77C4" w:rsidRDefault="00CE77C4" w:rsidP="00CE77C4">
      <w:pPr>
        <w:pStyle w:val="berschrift1"/>
      </w:pPr>
      <w:r>
        <w:t>3.3.54.30 Numerische Normierung als Primäraxiomkandidat</w:t>
      </w:r>
    </w:p>
    <w:p w:rsidR="00CE77C4" w:rsidRDefault="00CE77C4" w:rsidP="00CE77C4">
      <w:pPr>
        <w:pStyle w:val="StandardWeb"/>
      </w:pPr>
      <w:r>
        <w:t>Ein möglicher Kandidat lautet</w:t>
      </w:r>
    </w:p>
    <w:p w:rsidR="00CE77C4" w:rsidRDefault="00CE77C4" w:rsidP="00CE77C4">
      <w:pPr>
        <w:pStyle w:val="StandardWeb"/>
      </w:pPr>
      <w:r>
        <w:t>[</w:t>
      </w:r>
      <w:r>
        <w:br/>
        <w:t>A_{\mathrm{cpl-norm}}</w:t>
      </w:r>
      <w:r>
        <w:br/>
        <w:t>:</w:t>
      </w:r>
      <w:r>
        <w:br/>
        <w:t>\gamma_{ij}</w:t>
      </w:r>
      <w:r>
        <w:br/>
        <w:t>\in</w:t>
      </w:r>
      <w:r>
        <w:br/>
        <w:t>[0,1].</w:t>
      </w:r>
      <w:r>
        <w:br/>
        <w:t>\tag{3.14250}</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A_{\mathrm{cpl-norm}}:\gamma_{ij}\in[0,1]</w:t>
      </w:r>
    </w:p>
    <w:p w:rsidR="00CE77C4" w:rsidRDefault="00CE77C4" w:rsidP="00CE77C4">
      <w:r>
        <w:pict>
          <v:rect id="_x0000_i6532" style="width:0;height:1.5pt" o:hralign="center" o:hrstd="t" o:hr="t" fillcolor="#a0a0a0" stroked="f"/>
        </w:pict>
      </w:r>
    </w:p>
    <w:p w:rsidR="00CE77C4" w:rsidRDefault="00CE77C4" w:rsidP="00CE77C4">
      <w:pPr>
        <w:pStyle w:val="berschrift1"/>
      </w:pPr>
      <w:r>
        <w:lastRenderedPageBreak/>
        <w:t>3.3.54.31 Gegenmodell zur normierten Kopplungsstärke</w:t>
      </w:r>
    </w:p>
    <w:p w:rsidR="00CE77C4" w:rsidRDefault="00CE77C4" w:rsidP="00CE77C4">
      <w:pPr>
        <w:pStyle w:val="StandardWeb"/>
      </w:pPr>
      <w:r>
        <w:t>Eine Kopplungsstärke kann qualitativ definiert sein:</w:t>
      </w:r>
    </w:p>
    <w:p w:rsidR="00CE77C4" w:rsidRDefault="00CE77C4" w:rsidP="00CE77C4">
      <w:pPr>
        <w:pStyle w:val="berschrift1"/>
      </w:pPr>
      <w:r>
        <w:t>[</w:t>
      </w:r>
      <w:r>
        <w:br/>
        <w:t>\Gamma_F</w:t>
      </w:r>
    </w:p>
    <w:p w:rsidR="00CE77C4" w:rsidRDefault="00CE77C4" w:rsidP="00CE77C4">
      <w:pPr>
        <w:pStyle w:val="StandardWeb"/>
      </w:pPr>
      <w:r>
        <w:t>{</w:t>
      </w:r>
      <w:r>
        <w:br/>
        <w:t>\mathrm{schwach},</w:t>
      </w:r>
      <w:r>
        <w:br/>
        <w:t>\mathrm{mittel},</w:t>
      </w:r>
      <w:r>
        <w:br/>
        <w:t>\mathrm{stark}</w:t>
      </w:r>
      <w:r>
        <w:br/>
        <w:t>}.</w:t>
      </w:r>
      <w:r>
        <w:br/>
        <w:t>\tag{3.14251}</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\Gamma_F=\{\mathrm{schwach},\mathrm{mittel},\mathrm{stark}\}</w:t>
      </w:r>
    </w:p>
    <w:p w:rsidR="00CE77C4" w:rsidRDefault="00CE77C4" w:rsidP="00CE77C4">
      <w:r>
        <w:pict>
          <v:rect id="_x0000_i6533" style="width:0;height:1.5pt" o:hralign="center" o:hrstd="t" o:hr="t" fillcolor="#a0a0a0" stroked="f"/>
        </w:pict>
      </w:r>
    </w:p>
    <w:p w:rsidR="00CE77C4" w:rsidRDefault="00CE77C4" w:rsidP="00CE77C4">
      <w:pPr>
        <w:pStyle w:val="berschrift1"/>
      </w:pPr>
      <w:r>
        <w:t>3.3.54.32 Axiomentscheidung zur numerischen Normierung</w:t>
      </w:r>
    </w:p>
    <w:p w:rsidR="00CE77C4" w:rsidRDefault="00CE77C4" w:rsidP="00CE77C4">
      <w:pPr>
        <w:pStyle w:val="StandardWeb"/>
      </w:pPr>
      <w:r>
        <w:t>Damit folgt</w:t>
      </w:r>
    </w:p>
    <w:p w:rsidR="00CE77C4" w:rsidRDefault="00CE77C4" w:rsidP="00CE77C4">
      <w:pPr>
        <w:pStyle w:val="berschrift1"/>
      </w:pPr>
      <w:r>
        <w:t>[</w:t>
      </w:r>
      <w:r>
        <w:br/>
        <w:t>\boxed{</w:t>
      </w:r>
      <w:r>
        <w:br/>
        <w:t>U_{\mathrm{Ax}}</w:t>
      </w:r>
      <w:r>
        <w:br/>
        <w:t>(A_{\mathrm{cpl-norm}})</w:t>
      </w:r>
    </w:p>
    <w:p w:rsidR="00CE77C4" w:rsidRDefault="00CE77C4" w:rsidP="009F7790">
      <w:pPr>
        <w:numPr>
          <w:ilvl w:val="0"/>
          <w:numId w:val="788"/>
        </w:numPr>
        <w:spacing w:before="100" w:beforeAutospacing="1" w:after="100" w:afterAutospacing="1"/>
      </w:pPr>
    </w:p>
    <w:p w:rsidR="00CE77C4" w:rsidRDefault="00CE77C4" w:rsidP="00CE77C4">
      <w:pPr>
        <w:pStyle w:val="StandardWeb"/>
      </w:pPr>
      <w:r>
        <w:t>}</w:t>
      </w:r>
      <w:r>
        <w:br/>
        <w:t>\tag{3.14252}</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\boxed{U_{\mathrm{Ax}}(A_{\mathrm{cpl-norm}})=0.}</w:t>
      </w:r>
    </w:p>
    <w:p w:rsidR="00CE77C4" w:rsidRDefault="00CE77C4" w:rsidP="00CE77C4">
      <w:r>
        <w:pict>
          <v:rect id="_x0000_i6534" style="width:0;height:1.5pt" o:hralign="center" o:hrstd="t" o:hr="t" fillcolor="#a0a0a0" stroked="f"/>
        </w:pict>
      </w:r>
    </w:p>
    <w:p w:rsidR="00CE77C4" w:rsidRDefault="00CE77C4" w:rsidP="00CE77C4">
      <w:pPr>
        <w:pStyle w:val="berschrift1"/>
      </w:pPr>
      <w:r>
        <w:lastRenderedPageBreak/>
        <w:t>3.3.54.33 Satz 3.3.278 – Eine normierte numerische Kopplungsstärke ist kein Primäraxiom</w:t>
      </w:r>
    </w:p>
    <w:p w:rsidR="00CE77C4" w:rsidRDefault="00CE77C4" w:rsidP="00CE77C4">
      <w:pPr>
        <w:pStyle w:val="berschrift3"/>
      </w:pPr>
      <w:r>
        <w:t>Satz 3.3.278</w:t>
      </w:r>
    </w:p>
    <w:p w:rsidR="00CE77C4" w:rsidRDefault="00CE77C4" w:rsidP="00CE77C4">
      <w:pPr>
        <w:pStyle w:val="StandardWeb"/>
      </w:pPr>
      <w:r>
        <w:t>Die Forderung, jede funktionale Kopplungsstärke müsse durch einen normierten reellen Wert dargestellt werden, ist keine universell notwendige Voraussetzung des allgemeinen FRZK.</w:t>
      </w:r>
    </w:p>
    <w:p w:rsidR="00CE77C4" w:rsidRDefault="00CE77C4" w:rsidP="00CE77C4">
      <w:pPr>
        <w:pStyle w:val="berschrift1"/>
      </w:pPr>
      <w:r>
        <w:t>[</w:t>
      </w:r>
      <w:r>
        <w:br/>
        <w:t>\boxed{</w:t>
      </w:r>
      <w:r>
        <w:br/>
        <w:t>U_{\mathrm{Ax}}</w:t>
      </w:r>
      <w:r>
        <w:br/>
        <w:t>(A_{\mathrm{cpl-norm}})</w:t>
      </w:r>
    </w:p>
    <w:p w:rsidR="00CE77C4" w:rsidRDefault="00CE77C4" w:rsidP="009F7790">
      <w:pPr>
        <w:numPr>
          <w:ilvl w:val="0"/>
          <w:numId w:val="789"/>
        </w:numPr>
        <w:spacing w:before="100" w:beforeAutospacing="1" w:after="100" w:afterAutospacing="1"/>
      </w:pPr>
    </w:p>
    <w:p w:rsidR="00CE77C4" w:rsidRDefault="00CE77C4" w:rsidP="00CE77C4">
      <w:pPr>
        <w:pStyle w:val="StandardWeb"/>
      </w:pPr>
      <w:r>
        <w:t>}</w:t>
      </w:r>
      <w:r>
        <w:br/>
        <w:t>\tag{3.14253}</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\boxed{U_{\mathrm{Ax}}(A_{\mathrm{cpl-norm}})=0.}</w:t>
      </w:r>
    </w:p>
    <w:p w:rsidR="00CE77C4" w:rsidRDefault="00CE77C4" w:rsidP="00CE77C4">
      <w:r>
        <w:pict>
          <v:rect id="_x0000_i6535" style="width:0;height:1.5pt" o:hralign="center" o:hrstd="t" o:hr="t" fillcolor="#a0a0a0" stroked="f"/>
        </w:pict>
      </w:r>
    </w:p>
    <w:p w:rsidR="00CE77C4" w:rsidRDefault="00CE77C4" w:rsidP="00CE77C4">
      <w:pPr>
        <w:pStyle w:val="berschrift1"/>
      </w:pPr>
      <w:r>
        <w:t>3.3.54.34 Zeitabhängige Kopplung</w:t>
      </w:r>
    </w:p>
    <w:p w:rsidR="00CE77C4" w:rsidRDefault="00CE77C4" w:rsidP="00CE77C4">
      <w:pPr>
        <w:pStyle w:val="StandardWeb"/>
      </w:pPr>
      <w:r>
        <w:t>Eine funktionale Kopplung kann zeitabhängig sein:</w:t>
      </w:r>
    </w:p>
    <w:p w:rsidR="00CE77C4" w:rsidRDefault="00CE77C4" w:rsidP="00CE77C4">
      <w:pPr>
        <w:pStyle w:val="berschrift1"/>
      </w:pPr>
      <w:r>
        <w:t>[</w:t>
      </w:r>
      <w:r>
        <w:br/>
        <w:t>K_F</w:t>
      </w:r>
    </w:p>
    <w:p w:rsidR="00CE77C4" w:rsidRDefault="00CE77C4" w:rsidP="00CE77C4">
      <w:pPr>
        <w:pStyle w:val="StandardWeb"/>
      </w:pPr>
      <w:r>
        <w:t>K_F(t).</w:t>
      </w:r>
      <w:r>
        <w:br/>
        <w:t>\tag{3.14254}</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K_F=K_F(t)</w:t>
      </w:r>
    </w:p>
    <w:p w:rsidR="00CE77C4" w:rsidRDefault="00CE77C4" w:rsidP="00CE77C4">
      <w:r>
        <w:pict>
          <v:rect id="_x0000_i6536" style="width:0;height:1.5pt" o:hralign="center" o:hrstd="t" o:hr="t" fillcolor="#a0a0a0" stroked="f"/>
        </w:pict>
      </w:r>
    </w:p>
    <w:p w:rsidR="00CE77C4" w:rsidRDefault="00CE77C4" w:rsidP="00CE77C4">
      <w:pPr>
        <w:pStyle w:val="berschrift2"/>
      </w:pPr>
      <w:r>
        <w:t>3.3.54.35 Definition 3.3.676 – Zeitabhängige funktionale Kopplung</w:t>
      </w:r>
    </w:p>
    <w:p w:rsidR="00CE77C4" w:rsidRDefault="00CE77C4" w:rsidP="00CE77C4">
      <w:pPr>
        <w:pStyle w:val="berschrift3"/>
      </w:pPr>
      <w:r>
        <w:t>Definition 3.3.676</w:t>
      </w:r>
    </w:p>
    <w:p w:rsidR="00CE77C4" w:rsidRDefault="00CE77C4" w:rsidP="00CE77C4">
      <w:pPr>
        <w:pStyle w:val="StandardWeb"/>
      </w:pPr>
      <w:r>
        <w:lastRenderedPageBreak/>
        <w:t xml:space="preserve">Eine funktionale Kopplung heißt </w:t>
      </w:r>
      <w:r>
        <w:rPr>
          <w:rStyle w:val="Fett"/>
        </w:rPr>
        <w:t>zeitabhängig</w:t>
      </w:r>
      <w:r>
        <w:t>, wenn</w:t>
      </w:r>
    </w:p>
    <w:p w:rsidR="00CE77C4" w:rsidRDefault="00CE77C4" w:rsidP="00CE77C4">
      <w:pPr>
        <w:pStyle w:val="berschrift1"/>
      </w:pPr>
      <w:r>
        <w:t>[</w:t>
      </w:r>
      <w:r>
        <w:br/>
        <w:t>\boxed{</w:t>
      </w:r>
      <w:r>
        <w:br/>
        <w:t>K_F</w:t>
      </w:r>
    </w:p>
    <w:p w:rsidR="00CE77C4" w:rsidRDefault="00CE77C4" w:rsidP="00CE77C4">
      <w:pPr>
        <w:pStyle w:val="StandardWeb"/>
      </w:pPr>
      <w:r>
        <w:t>K_F(t).</w:t>
      </w:r>
      <w:r>
        <w:br/>
        <w:t>}</w:t>
      </w:r>
      <w:r>
        <w:br/>
        <w:t>\tag{3.14255}</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\boxed{K_F=K_F(t).}</w:t>
      </w:r>
    </w:p>
    <w:p w:rsidR="00CE77C4" w:rsidRDefault="00CE77C4" w:rsidP="00CE77C4">
      <w:r>
        <w:pict>
          <v:rect id="_x0000_i6537" style="width:0;height:1.5pt" o:hralign="center" o:hrstd="t" o:hr="t" fillcolor="#a0a0a0" stroked="f"/>
        </w:pict>
      </w:r>
    </w:p>
    <w:p w:rsidR="00CE77C4" w:rsidRDefault="00CE77C4" w:rsidP="00CE77C4">
      <w:pPr>
        <w:pStyle w:val="berschrift1"/>
      </w:pPr>
      <w:r>
        <w:t>3.3.54.36 Zeitlicher Kopplungswechsel</w:t>
      </w:r>
    </w:p>
    <w:p w:rsidR="00CE77C4" w:rsidRDefault="00CE77C4" w:rsidP="00CE77C4">
      <w:pPr>
        <w:pStyle w:val="StandardWeb"/>
      </w:pPr>
      <w:r>
        <w:t>Für zwei Zeitpunkte kann gelten</w:t>
      </w:r>
    </w:p>
    <w:p w:rsidR="00CE77C4" w:rsidRDefault="00CE77C4" w:rsidP="00CE77C4">
      <w:pPr>
        <w:pStyle w:val="StandardWeb"/>
      </w:pPr>
      <w:r>
        <w:t>[</w:t>
      </w:r>
      <w:r>
        <w:br/>
        <w:t>K_F^{(t_1)}</w:t>
      </w:r>
      <w:r>
        <w:br/>
        <w:t>\neq</w:t>
      </w:r>
      <w:r>
        <w:br/>
        <w:t>K_F^{(t_2)}.</w:t>
      </w:r>
      <w:r>
        <w:br/>
        <w:t>\tag{3.14256}</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K_F^{(t_1)}\neq K_F^{(t_2)}</w:t>
      </w:r>
    </w:p>
    <w:p w:rsidR="00CE77C4" w:rsidRDefault="00CE77C4" w:rsidP="00CE77C4">
      <w:r>
        <w:pict>
          <v:rect id="_x0000_i6538" style="width:0;height:1.5pt" o:hralign="center" o:hrstd="t" o:hr="t" fillcolor="#a0a0a0" stroked="f"/>
        </w:pict>
      </w:r>
    </w:p>
    <w:p w:rsidR="00CE77C4" w:rsidRDefault="00CE77C4" w:rsidP="00CE77C4">
      <w:pPr>
        <w:pStyle w:val="berschrift2"/>
      </w:pPr>
      <w:r>
        <w:t>3.3.54.37 Definition 3.3.677 – Zeitlicher funktionaler Kopplungswechsel</w:t>
      </w:r>
    </w:p>
    <w:p w:rsidR="00CE77C4" w:rsidRDefault="00CE77C4" w:rsidP="00CE77C4">
      <w:pPr>
        <w:pStyle w:val="berschrift3"/>
      </w:pPr>
      <w:r>
        <w:t>Definition 3.3.677</w:t>
      </w:r>
    </w:p>
    <w:p w:rsidR="00CE77C4" w:rsidRDefault="00CE77C4" w:rsidP="00CE77C4">
      <w:pPr>
        <w:pStyle w:val="StandardWeb"/>
      </w:pPr>
      <w:r>
        <w:t xml:space="preserve">Ein </w:t>
      </w:r>
      <w:r>
        <w:rPr>
          <w:rStyle w:val="Fett"/>
        </w:rPr>
        <w:t>zeitlicher funktionaler Kopplungswechsel</w:t>
      </w:r>
      <w:r>
        <w:t xml:space="preserve"> liegt vor, wenn</w:t>
      </w:r>
    </w:p>
    <w:p w:rsidR="00CE77C4" w:rsidRDefault="00CE77C4" w:rsidP="00CE77C4">
      <w:pPr>
        <w:pStyle w:val="StandardWeb"/>
      </w:pPr>
      <w:r>
        <w:t>[</w:t>
      </w:r>
      <w:r>
        <w:br/>
        <w:t>\boxed{</w:t>
      </w:r>
      <w:r>
        <w:br/>
        <w:t>t_1</w:t>
      </w:r>
      <w:r>
        <w:br/>
        <w:t>\neq</w:t>
      </w:r>
      <w:r>
        <w:br/>
        <w:t>t_2</w:t>
      </w:r>
      <w:r>
        <w:br/>
        <w:t>\land</w:t>
      </w:r>
      <w:r>
        <w:br/>
        <w:t>K_F^{(t_1)}</w:t>
      </w:r>
      <w:r>
        <w:br/>
        <w:t>\neq</w:t>
      </w:r>
      <w:r>
        <w:br/>
        <w:t>K_F^{(t_2)}.</w:t>
      </w:r>
      <w:r>
        <w:br/>
      </w:r>
      <w:r>
        <w:lastRenderedPageBreak/>
        <w:t>}</w:t>
      </w:r>
      <w:r>
        <w:br/>
        <w:t>\tag{3.14257}</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\boxed{t_1\neq t_2\land K_F^{(t_1)}\neq K_F^{(t_2)}.}</w:t>
      </w:r>
    </w:p>
    <w:p w:rsidR="00CE77C4" w:rsidRDefault="00CE77C4" w:rsidP="00CE77C4">
      <w:r>
        <w:pict>
          <v:rect id="_x0000_i6539" style="width:0;height:1.5pt" o:hralign="center" o:hrstd="t" o:hr="t" fillcolor="#a0a0a0" stroked="f"/>
        </w:pict>
      </w:r>
    </w:p>
    <w:p w:rsidR="00CE77C4" w:rsidRDefault="00CE77C4" w:rsidP="00CE77C4">
      <w:pPr>
        <w:pStyle w:val="berschrift1"/>
      </w:pPr>
      <w:r>
        <w:t>3.3.54.38 Zeitinvarianz als Primäraxiomkandidat</w:t>
      </w:r>
    </w:p>
    <w:p w:rsidR="00CE77C4" w:rsidRDefault="00CE77C4" w:rsidP="00CE77C4">
      <w:pPr>
        <w:pStyle w:val="StandardWeb"/>
      </w:pPr>
      <w:r>
        <w:t>Ein Kandidat lautet</w:t>
      </w:r>
    </w:p>
    <w:p w:rsidR="00CE77C4" w:rsidRDefault="00CE77C4" w:rsidP="00CE77C4">
      <w:pPr>
        <w:pStyle w:val="berschrift1"/>
      </w:pPr>
      <w:r>
        <w:t>[</w:t>
      </w:r>
      <w:r>
        <w:br/>
        <w:t>A_{\mathrm{cpl-time}}</w:t>
      </w:r>
      <w:r>
        <w:br/>
        <w:t>:</w:t>
      </w:r>
      <w:r>
        <w:br/>
        <w:t>K_F^{(t_1)}</w:t>
      </w:r>
    </w:p>
    <w:p w:rsidR="00CE77C4" w:rsidRDefault="00CE77C4" w:rsidP="00CE77C4">
      <w:pPr>
        <w:pStyle w:val="StandardWeb"/>
      </w:pPr>
      <w:r>
        <w:t>K_F^{(t_2)}</w:t>
      </w:r>
      <w:r>
        <w:br/>
        <w:t>\qquad</w:t>
      </w:r>
      <w:r>
        <w:br/>
        <w:t>\forall t_1,t_2.</w:t>
      </w:r>
      <w:r>
        <w:br/>
        <w:t>\tag{3.14258}</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A_{\mathrm{cpl-time}}:K_F^{(t_1)}=K_F^{(t_2)}\qquad\forall t_1,t_2</w:t>
      </w:r>
    </w:p>
    <w:p w:rsidR="00CE77C4" w:rsidRDefault="00CE77C4" w:rsidP="00CE77C4">
      <w:r>
        <w:pict>
          <v:rect id="_x0000_i6540" style="width:0;height:1.5pt" o:hralign="center" o:hrstd="t" o:hr="t" fillcolor="#a0a0a0" stroked="f"/>
        </w:pict>
      </w:r>
    </w:p>
    <w:p w:rsidR="00CE77C4" w:rsidRDefault="00CE77C4" w:rsidP="00CE77C4">
      <w:pPr>
        <w:pStyle w:val="berschrift1"/>
      </w:pPr>
      <w:r>
        <w:t>3.3.54.39 Gegenmodell</w:t>
      </w:r>
    </w:p>
    <w:p w:rsidR="00CE77C4" w:rsidRDefault="00CE77C4" w:rsidP="00CE77C4">
      <w:pPr>
        <w:pStyle w:val="StandardWeb"/>
      </w:pPr>
      <w:r>
        <w:t>Eine Kopplung kann von einem zeitabhängigen Parameter abhängen:</w:t>
      </w:r>
    </w:p>
    <w:p w:rsidR="00CE77C4" w:rsidRDefault="00CE77C4" w:rsidP="00CE77C4">
      <w:pPr>
        <w:pStyle w:val="berschrift1"/>
      </w:pPr>
      <w:r>
        <w:t>[</w:t>
      </w:r>
      <w:r>
        <w:br/>
        <w:t>K_F^{(t)}</w:t>
      </w:r>
    </w:p>
    <w:p w:rsidR="00CE77C4" w:rsidRDefault="00CE77C4" w:rsidP="00CE77C4">
      <w:pPr>
        <w:pStyle w:val="StandardWeb"/>
      </w:pPr>
      <w:r>
        <w:t>K_F</w:t>
      </w:r>
      <w:r>
        <w:br/>
        <w:t>\bigl(</w:t>
      </w:r>
      <w:r>
        <w:br/>
        <w:t>\theta(t)</w:t>
      </w:r>
      <w:r>
        <w:br/>
        <w:t>\bigr).</w:t>
      </w:r>
      <w:r>
        <w:br/>
        <w:t>\tag{3.14259}</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K_F^{(t)}=K_F\bigl(\theta(t)\bigr)</w:t>
      </w:r>
    </w:p>
    <w:p w:rsidR="00CE77C4" w:rsidRDefault="00CE77C4" w:rsidP="00CE77C4">
      <w:pPr>
        <w:pStyle w:val="StandardWeb"/>
      </w:pPr>
      <w:r>
        <w:lastRenderedPageBreak/>
        <w:t>Für</w:t>
      </w:r>
    </w:p>
    <w:p w:rsidR="00CE77C4" w:rsidRDefault="00CE77C4" w:rsidP="00CE77C4">
      <w:pPr>
        <w:pStyle w:val="StandardWeb"/>
      </w:pPr>
      <w:r>
        <w:t>[</w:t>
      </w:r>
      <w:r>
        <w:br/>
        <w:t>\theta(t_1)</w:t>
      </w:r>
      <w:r>
        <w:br/>
        <w:t>\neq</w:t>
      </w:r>
      <w:r>
        <w:br/>
        <w:t>\theta(t_2)</w:t>
      </w:r>
      <w:r>
        <w:br/>
        <w:t>\tag{3.14260}</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\theta(t_1)\neq\theta(t_2)</w:t>
      </w:r>
    </w:p>
    <w:p w:rsidR="00CE77C4" w:rsidRDefault="00CE77C4" w:rsidP="00CE77C4">
      <w:pPr>
        <w:pStyle w:val="StandardWeb"/>
      </w:pPr>
      <w:r>
        <w:t>kann daraus</w:t>
      </w:r>
    </w:p>
    <w:p w:rsidR="00CE77C4" w:rsidRDefault="00CE77C4" w:rsidP="00CE77C4">
      <w:pPr>
        <w:pStyle w:val="StandardWeb"/>
      </w:pPr>
      <w:r>
        <w:t>[</w:t>
      </w:r>
      <w:r>
        <w:br/>
        <w:t>K_F^{(t_1)}</w:t>
      </w:r>
      <w:r>
        <w:br/>
        <w:t>\neq</w:t>
      </w:r>
      <w:r>
        <w:br/>
        <w:t>K_F^{(t_2)}</w:t>
      </w:r>
      <w:r>
        <w:br/>
        <w:t>\tag{3.14261}</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K_F^{(t_1)}\neq K_F^{(t_2)}</w:t>
      </w:r>
    </w:p>
    <w:p w:rsidR="00CE77C4" w:rsidRDefault="00CE77C4" w:rsidP="00CE77C4">
      <w:pPr>
        <w:pStyle w:val="StandardWeb"/>
      </w:pPr>
      <w:r>
        <w:t>folgen.</w:t>
      </w:r>
    </w:p>
    <w:p w:rsidR="00CE77C4" w:rsidRDefault="00CE77C4" w:rsidP="00CE77C4">
      <w:r>
        <w:pict>
          <v:rect id="_x0000_i6541" style="width:0;height:1.5pt" o:hralign="center" o:hrstd="t" o:hr="t" fillcolor="#a0a0a0" stroked="f"/>
        </w:pict>
      </w:r>
    </w:p>
    <w:p w:rsidR="00CE77C4" w:rsidRDefault="00CE77C4" w:rsidP="00CE77C4">
      <w:pPr>
        <w:pStyle w:val="berschrift1"/>
      </w:pPr>
      <w:r>
        <w:t>3.3.54.40 Axiomentscheidung zur Zeitinvarianz</w:t>
      </w:r>
    </w:p>
    <w:p w:rsidR="00CE77C4" w:rsidRDefault="00CE77C4" w:rsidP="00CE77C4">
      <w:pPr>
        <w:pStyle w:val="StandardWeb"/>
      </w:pPr>
      <w:r>
        <w:t>Damit gilt</w:t>
      </w:r>
    </w:p>
    <w:p w:rsidR="00CE77C4" w:rsidRDefault="00CE77C4" w:rsidP="00CE77C4">
      <w:pPr>
        <w:pStyle w:val="berschrift1"/>
      </w:pPr>
      <w:r>
        <w:t>[</w:t>
      </w:r>
      <w:r>
        <w:br/>
        <w:t>\boxed{</w:t>
      </w:r>
      <w:r>
        <w:br/>
        <w:t>U_{\mathrm{Ax}}</w:t>
      </w:r>
      <w:r>
        <w:br/>
        <w:t>(A_{\mathrm{cpl-time}})</w:t>
      </w:r>
    </w:p>
    <w:p w:rsidR="00CE77C4" w:rsidRDefault="00CE77C4" w:rsidP="009F7790">
      <w:pPr>
        <w:numPr>
          <w:ilvl w:val="0"/>
          <w:numId w:val="790"/>
        </w:numPr>
        <w:spacing w:before="100" w:beforeAutospacing="1" w:after="100" w:afterAutospacing="1"/>
      </w:pPr>
    </w:p>
    <w:p w:rsidR="00CE77C4" w:rsidRDefault="00CE77C4" w:rsidP="00CE77C4">
      <w:pPr>
        <w:pStyle w:val="StandardWeb"/>
      </w:pPr>
      <w:r>
        <w:t>}</w:t>
      </w:r>
      <w:r>
        <w:br/>
        <w:t>\tag{3.14262}</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\boxed{U_{\mathrm{Ax}}(A_{\mathrm{cpl-time}})=0.}</w:t>
      </w:r>
    </w:p>
    <w:p w:rsidR="00CE77C4" w:rsidRDefault="00CE77C4" w:rsidP="00CE77C4">
      <w:r>
        <w:lastRenderedPageBreak/>
        <w:pict>
          <v:rect id="_x0000_i6542" style="width:0;height:1.5pt" o:hralign="center" o:hrstd="t" o:hr="t" fillcolor="#a0a0a0" stroked="f"/>
        </w:pict>
      </w:r>
    </w:p>
    <w:p w:rsidR="00CE77C4" w:rsidRDefault="00CE77C4" w:rsidP="00CE77C4">
      <w:pPr>
        <w:pStyle w:val="berschrift1"/>
      </w:pPr>
      <w:r>
        <w:t>3.3.54.41 Satz 3.3.279 – Zeitinvarianz funktionaler Kopplung ist kein Primäraxiom</w:t>
      </w:r>
    </w:p>
    <w:p w:rsidR="00CE77C4" w:rsidRDefault="00CE77C4" w:rsidP="00CE77C4">
      <w:pPr>
        <w:pStyle w:val="berschrift3"/>
      </w:pPr>
      <w:r>
        <w:t>Satz 3.3.279</w:t>
      </w:r>
    </w:p>
    <w:p w:rsidR="00CE77C4" w:rsidRDefault="00CE77C4" w:rsidP="00CE77C4">
      <w:pPr>
        <w:pStyle w:val="StandardWeb"/>
      </w:pPr>
      <w:r>
        <w:t>Die Forderung, eine funktionale Kopplung müsse zu allen Zeitpunkten unverändert bleiben, ist keine universell notwendige Voraussetzung des allgemeinen FRZK.</w:t>
      </w:r>
    </w:p>
    <w:p w:rsidR="00CE77C4" w:rsidRDefault="00CE77C4" w:rsidP="00CE77C4">
      <w:pPr>
        <w:pStyle w:val="berschrift1"/>
      </w:pPr>
      <w:r>
        <w:t>[</w:t>
      </w:r>
      <w:r>
        <w:br/>
        <w:t>\boxed{</w:t>
      </w:r>
      <w:r>
        <w:br/>
        <w:t>U_{\mathrm{Ax}}</w:t>
      </w:r>
      <w:r>
        <w:br/>
        <w:t>(A_{\mathrm{cpl-time}})</w:t>
      </w:r>
    </w:p>
    <w:p w:rsidR="00CE77C4" w:rsidRDefault="00CE77C4" w:rsidP="009F7790">
      <w:pPr>
        <w:numPr>
          <w:ilvl w:val="0"/>
          <w:numId w:val="791"/>
        </w:numPr>
        <w:spacing w:before="100" w:beforeAutospacing="1" w:after="100" w:afterAutospacing="1"/>
      </w:pPr>
    </w:p>
    <w:p w:rsidR="00CE77C4" w:rsidRDefault="00CE77C4" w:rsidP="00CE77C4">
      <w:pPr>
        <w:pStyle w:val="StandardWeb"/>
      </w:pPr>
      <w:r>
        <w:t>}</w:t>
      </w:r>
      <w:r>
        <w:br/>
        <w:t>\tag{3.14263}</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\boxed{U_{\mathrm{Ax}}(A_{\mathrm{cpl-time}})=0.}</w:t>
      </w:r>
    </w:p>
    <w:p w:rsidR="00CE77C4" w:rsidRDefault="00CE77C4" w:rsidP="00CE77C4">
      <w:r>
        <w:pict>
          <v:rect id="_x0000_i6543" style="width:0;height:1.5pt" o:hralign="center" o:hrstd="t" o:hr="t" fillcolor="#a0a0a0" stroked="f"/>
        </w:pict>
      </w:r>
    </w:p>
    <w:p w:rsidR="00CE77C4" w:rsidRDefault="00CE77C4" w:rsidP="00CE77C4">
      <w:pPr>
        <w:pStyle w:val="berschrift1"/>
      </w:pPr>
      <w:r>
        <w:t>3.3.54.42 Korollar 3.3.82 – Zeitabhängige Kopplung ist modellabhängig</w:t>
      </w:r>
    </w:p>
    <w:p w:rsidR="00CE77C4" w:rsidRDefault="00CE77C4" w:rsidP="00CE77C4">
      <w:pPr>
        <w:pStyle w:val="berschrift3"/>
      </w:pPr>
      <w:r>
        <w:t>Korollar 3.3.82</w:t>
      </w:r>
    </w:p>
    <w:p w:rsidR="00CE77C4" w:rsidRDefault="00CE77C4" w:rsidP="00CE77C4">
      <w:pPr>
        <w:pStyle w:val="StandardWeb"/>
      </w:pPr>
      <w:r>
        <w:t>Aus Satz 3.3.279 folgt</w:t>
      </w:r>
    </w:p>
    <w:p w:rsidR="00CE77C4" w:rsidRDefault="00CE77C4" w:rsidP="00CE77C4">
      <w:pPr>
        <w:pStyle w:val="berschrift1"/>
      </w:pPr>
      <w:r>
        <w:t>[</w:t>
      </w:r>
      <w:r>
        <w:br/>
        <w:t>\boxed{</w:t>
      </w:r>
      <w:r>
        <w:br/>
        <w:t>\operatorname{Stat}</w:t>
      </w:r>
      <w:r>
        <w:br/>
        <w:t>(K_F(t))</w:t>
      </w:r>
    </w:p>
    <w:p w:rsidR="00CE77C4" w:rsidRDefault="00CE77C4" w:rsidP="00CE77C4">
      <w:pPr>
        <w:pStyle w:val="StandardWeb"/>
      </w:pPr>
      <w:r>
        <w:t>\mathrm{Def/Mod/Op}.</w:t>
      </w:r>
      <w:r>
        <w:br/>
        <w:t>}</w:t>
      </w:r>
      <w:r>
        <w:br/>
        <w:t>\tag{3.14264}</w:t>
      </w:r>
      <w:r>
        <w:br/>
        <w:t>]</w:t>
      </w:r>
    </w:p>
    <w:p w:rsidR="00CE77C4" w:rsidRDefault="00CE77C4" w:rsidP="00CE77C4">
      <w:pPr>
        <w:pStyle w:val="StandardWeb"/>
      </w:pPr>
      <w:r>
        <w:rPr>
          <w:rStyle w:val="Fett"/>
        </w:rPr>
        <w:lastRenderedPageBreak/>
        <w:t>Word-LaTeX</w:t>
      </w:r>
    </w:p>
    <w:p w:rsidR="00CE77C4" w:rsidRDefault="00CE77C4" w:rsidP="00CE77C4">
      <w:pPr>
        <w:pStyle w:val="HTMLVorformatiert"/>
        <w:rPr>
          <w:rStyle w:val="HTMLCode"/>
        </w:rPr>
      </w:pPr>
      <w:r>
        <w:rPr>
          <w:rStyle w:val="HTMLCode"/>
        </w:rPr>
        <w:t>\boxed{\operatorname{Stat}(K_F(t))=\mathrm{Def/Mod/Op}.}</w:t>
      </w:r>
    </w:p>
    <w:p w:rsidR="00CE77C4" w:rsidRDefault="00CE77C4" w:rsidP="00CE77C4">
      <w:r>
        <w:pict>
          <v:rect id="_x0000_i6544" style="width:0;height:1.5pt" o:hralign="center" o:hrstd="t" o:hr="t" fillcolor="#a0a0a0" stroked="f"/>
        </w:pict>
      </w:r>
    </w:p>
    <w:p w:rsidR="00CE77C4" w:rsidRDefault="00CE77C4" w:rsidP="00CE77C4">
      <w:pPr>
        <w:pStyle w:val="berschrift1"/>
      </w:pPr>
      <w:r>
        <w:t>3.3.54.43 Zustandsabhängige Kopplung</w:t>
      </w:r>
    </w:p>
    <w:p w:rsidR="00CE77C4" w:rsidRDefault="00CE77C4" w:rsidP="00CE77C4">
      <w:pPr>
        <w:pStyle w:val="StandardWeb"/>
      </w:pPr>
      <w:r>
        <w:t>Eine Kopplung kann zusätzlich vom aktuellen Zustand abhängen:</w:t>
      </w:r>
    </w:p>
    <w:p w:rsidR="00CE77C4" w:rsidRDefault="00CE77C4" w:rsidP="00CE77C4">
      <w:pPr>
        <w:pStyle w:val="berschrift1"/>
      </w:pPr>
      <w:r>
        <w:t>[</w:t>
      </w:r>
      <w:r>
        <w:br/>
        <w:t>K_F</w:t>
      </w:r>
    </w:p>
    <w:p w:rsidR="00CE77C4" w:rsidRDefault="00CE77C4" w:rsidP="00CE77C4">
      <w:pPr>
        <w:pStyle w:val="StandardWeb"/>
      </w:pPr>
      <w:r>
        <w:t>K_F(X_1,X_2).</w:t>
      </w:r>
      <w:r>
        <w:br/>
        <w:t>\tag{3.14265}</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K_F=K_F(X_1,X_2)</w:t>
      </w:r>
    </w:p>
    <w:p w:rsidR="00CE77C4" w:rsidRDefault="00CE77C4" w:rsidP="00CE77C4">
      <w:r>
        <w:pict>
          <v:rect id="_x0000_i6545" style="width:0;height:1.5pt" o:hralign="center" o:hrstd="t" o:hr="t" fillcolor="#a0a0a0" stroked="f"/>
        </w:pict>
      </w:r>
    </w:p>
    <w:p w:rsidR="00CE77C4" w:rsidRDefault="00CE77C4" w:rsidP="00CE77C4">
      <w:pPr>
        <w:pStyle w:val="berschrift2"/>
      </w:pPr>
      <w:r>
        <w:t>3.3.54.44 Definition 3.3.678 – Zustandsabhängige funktionale Kopplung</w:t>
      </w:r>
    </w:p>
    <w:p w:rsidR="00CE77C4" w:rsidRDefault="00CE77C4" w:rsidP="00CE77C4">
      <w:pPr>
        <w:pStyle w:val="berschrift3"/>
      </w:pPr>
      <w:r>
        <w:t>Definition 3.3.678</w:t>
      </w:r>
    </w:p>
    <w:p w:rsidR="00CE77C4" w:rsidRDefault="00CE77C4" w:rsidP="00CE77C4">
      <w:pPr>
        <w:pStyle w:val="StandardWeb"/>
      </w:pPr>
      <w:r>
        <w:t xml:space="preserve">Eine funktionale Kopplung heißt </w:t>
      </w:r>
      <w:r>
        <w:rPr>
          <w:rStyle w:val="Fett"/>
        </w:rPr>
        <w:t>zustandsabhängig</w:t>
      </w:r>
      <w:r>
        <w:t>, wenn ihre Kopplungsvorschrift explizit vom Zustand der beteiligten Teilsysteme abhängt:</w:t>
      </w:r>
    </w:p>
    <w:p w:rsidR="00CE77C4" w:rsidRDefault="00CE77C4" w:rsidP="00CE77C4">
      <w:pPr>
        <w:pStyle w:val="berschrift1"/>
      </w:pPr>
      <w:r>
        <w:t>[</w:t>
      </w:r>
      <w:r>
        <w:br/>
        <w:t>\boxed{</w:t>
      </w:r>
      <w:r>
        <w:br/>
        <w:t>K_F</w:t>
      </w:r>
    </w:p>
    <w:p w:rsidR="00CE77C4" w:rsidRDefault="00CE77C4" w:rsidP="00CE77C4">
      <w:pPr>
        <w:pStyle w:val="StandardWeb"/>
      </w:pPr>
      <w:r>
        <w:t>K_F(X_1,X_2).</w:t>
      </w:r>
      <w:r>
        <w:br/>
        <w:t>}</w:t>
      </w:r>
      <w:r>
        <w:br/>
        <w:t>\tag{3.14266}</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\boxed{K_F=K_F(X_1,X_2).}</w:t>
      </w:r>
    </w:p>
    <w:p w:rsidR="00CE77C4" w:rsidRDefault="00CE77C4" w:rsidP="00CE77C4">
      <w:r>
        <w:pict>
          <v:rect id="_x0000_i6546" style="width:0;height:1.5pt" o:hralign="center" o:hrstd="t" o:hr="t" fillcolor="#a0a0a0" stroked="f"/>
        </w:pict>
      </w:r>
    </w:p>
    <w:p w:rsidR="00CE77C4" w:rsidRDefault="00CE77C4" w:rsidP="00CE77C4">
      <w:pPr>
        <w:pStyle w:val="berschrift1"/>
      </w:pPr>
      <w:r>
        <w:t>3.3.54.45 Kontextabhängige Kopplung</w:t>
      </w:r>
    </w:p>
    <w:p w:rsidR="00CE77C4" w:rsidRDefault="00CE77C4" w:rsidP="00CE77C4">
      <w:pPr>
        <w:pStyle w:val="StandardWeb"/>
      </w:pPr>
      <w:r>
        <w:lastRenderedPageBreak/>
        <w:t>Zusätzlich kann ein Kontext (c) eingehen:</w:t>
      </w:r>
    </w:p>
    <w:p w:rsidR="00CE77C4" w:rsidRDefault="00CE77C4" w:rsidP="00CE77C4">
      <w:pPr>
        <w:pStyle w:val="berschrift1"/>
      </w:pPr>
      <w:r>
        <w:t>[</w:t>
      </w:r>
      <w:r>
        <w:br/>
        <w:t>K_F</w:t>
      </w:r>
    </w:p>
    <w:p w:rsidR="00CE77C4" w:rsidRDefault="00CE77C4" w:rsidP="00CE77C4">
      <w:pPr>
        <w:pStyle w:val="StandardWeb"/>
      </w:pPr>
      <w:r>
        <w:t>K_F(X_1,X_2,c).</w:t>
      </w:r>
      <w:r>
        <w:br/>
        <w:t>\tag{3.14267}</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K_F=K_F(X_1,X_2,c)</w:t>
      </w:r>
    </w:p>
    <w:p w:rsidR="00CE77C4" w:rsidRDefault="00CE77C4" w:rsidP="00CE77C4">
      <w:r>
        <w:pict>
          <v:rect id="_x0000_i6547" style="width:0;height:1.5pt" o:hralign="center" o:hrstd="t" o:hr="t" fillcolor="#a0a0a0" stroked="f"/>
        </w:pict>
      </w:r>
    </w:p>
    <w:p w:rsidR="00CE77C4" w:rsidRDefault="00CE77C4" w:rsidP="00CE77C4">
      <w:pPr>
        <w:pStyle w:val="berschrift2"/>
      </w:pPr>
      <w:r>
        <w:t>3.3.54.46 Definition 3.3.679 – Kontextabhängige funktionale Kopplung</w:t>
      </w:r>
    </w:p>
    <w:p w:rsidR="00CE77C4" w:rsidRDefault="00CE77C4" w:rsidP="00CE77C4">
      <w:pPr>
        <w:pStyle w:val="berschrift3"/>
      </w:pPr>
      <w:r>
        <w:t>Definition 3.3.679</w:t>
      </w:r>
    </w:p>
    <w:p w:rsidR="00CE77C4" w:rsidRDefault="00CE77C4" w:rsidP="00CE77C4">
      <w:pPr>
        <w:pStyle w:val="StandardWeb"/>
      </w:pPr>
      <w:r>
        <w:t xml:space="preserve">Eine funktionale Kopplung heißt </w:t>
      </w:r>
      <w:r>
        <w:rPr>
          <w:rStyle w:val="Fett"/>
        </w:rPr>
        <w:t>kontextabhängig</w:t>
      </w:r>
      <w:r>
        <w:t>, wenn</w:t>
      </w:r>
    </w:p>
    <w:p w:rsidR="00CE77C4" w:rsidRDefault="00CE77C4" w:rsidP="00CE77C4">
      <w:pPr>
        <w:pStyle w:val="berschrift1"/>
      </w:pPr>
      <w:r>
        <w:t>[</w:t>
      </w:r>
      <w:r>
        <w:br/>
        <w:t>\boxed{</w:t>
      </w:r>
      <w:r>
        <w:br/>
        <w:t>K_F</w:t>
      </w:r>
    </w:p>
    <w:p w:rsidR="00CE77C4" w:rsidRDefault="00CE77C4" w:rsidP="00CE77C4">
      <w:pPr>
        <w:pStyle w:val="StandardWeb"/>
      </w:pPr>
      <w:r>
        <w:t>K_F(X_1,X_2,c).</w:t>
      </w:r>
      <w:r>
        <w:br/>
        <w:t>}</w:t>
      </w:r>
      <w:r>
        <w:br/>
        <w:t>\tag{3.14268}</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\boxed{K_F=K_F(X_1,X_2,c).}</w:t>
      </w:r>
    </w:p>
    <w:p w:rsidR="00CE77C4" w:rsidRDefault="00CE77C4" w:rsidP="00CE77C4">
      <w:r>
        <w:pict>
          <v:rect id="_x0000_i6548" style="width:0;height:1.5pt" o:hralign="center" o:hrstd="t" o:hr="t" fillcolor="#a0a0a0" stroked="f"/>
        </w:pict>
      </w:r>
    </w:p>
    <w:p w:rsidR="00CE77C4" w:rsidRDefault="00CE77C4" w:rsidP="00CE77C4">
      <w:pPr>
        <w:pStyle w:val="berschrift1"/>
      </w:pPr>
      <w:r>
        <w:t>3.3.54.47 Kontextunabhängigkeit als Primäraxiomkandidat</w:t>
      </w:r>
    </w:p>
    <w:p w:rsidR="00CE77C4" w:rsidRDefault="00CE77C4" w:rsidP="00CE77C4">
      <w:pPr>
        <w:pStyle w:val="StandardWeb"/>
      </w:pPr>
      <w:r>
        <w:t>Ein möglicher Kandidat wäre</w:t>
      </w:r>
    </w:p>
    <w:p w:rsidR="00CE77C4" w:rsidRDefault="00CE77C4" w:rsidP="00CE77C4">
      <w:pPr>
        <w:pStyle w:val="berschrift1"/>
      </w:pPr>
      <w:r>
        <w:t>[</w:t>
      </w:r>
      <w:r>
        <w:br/>
        <w:t>A_{\mathrm{cpl-stat}}</w:t>
      </w:r>
      <w:r>
        <w:br/>
      </w:r>
      <w:r>
        <w:lastRenderedPageBreak/>
        <w:t>:</w:t>
      </w:r>
      <w:r>
        <w:br/>
        <w:t>K_F^{(c_1)}</w:t>
      </w:r>
    </w:p>
    <w:p w:rsidR="00CE77C4" w:rsidRDefault="00CE77C4" w:rsidP="00CE77C4">
      <w:pPr>
        <w:pStyle w:val="StandardWeb"/>
      </w:pPr>
      <w:r>
        <w:t>K_F^{(c_2)}</w:t>
      </w:r>
      <w:r>
        <w:br/>
        <w:t>\qquad</w:t>
      </w:r>
      <w:r>
        <w:br/>
        <w:t>\forall c_1,c_2.</w:t>
      </w:r>
      <w:r>
        <w:br/>
        <w:t>\tag{3.14269}</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A_{\mathrm{cpl-stat}}:K_F^{(c_1)}=K_F^{(c_2)}\qquad\forall c_1,c_2</w:t>
      </w:r>
    </w:p>
    <w:p w:rsidR="00CE77C4" w:rsidRDefault="00CE77C4" w:rsidP="00CE77C4">
      <w:r>
        <w:pict>
          <v:rect id="_x0000_i6549" style="width:0;height:1.5pt" o:hralign="center" o:hrstd="t" o:hr="t" fillcolor="#a0a0a0" stroked="f"/>
        </w:pict>
      </w:r>
    </w:p>
    <w:p w:rsidR="00CE77C4" w:rsidRDefault="00CE77C4" w:rsidP="00CE77C4">
      <w:pPr>
        <w:pStyle w:val="berschrift1"/>
      </w:pPr>
      <w:r>
        <w:t>3.3.54.48 Gegenmodell</w:t>
      </w:r>
    </w:p>
    <w:p w:rsidR="00CE77C4" w:rsidRDefault="00CE77C4" w:rsidP="00CE77C4">
      <w:pPr>
        <w:pStyle w:val="StandardWeb"/>
      </w:pPr>
      <w:r>
        <w:t>Eine zulässige Kopplung kann in zwei Kontexten unterschiedlich sein:</w:t>
      </w:r>
    </w:p>
    <w:p w:rsidR="00CE77C4" w:rsidRDefault="00CE77C4" w:rsidP="00CE77C4">
      <w:pPr>
        <w:pStyle w:val="StandardWeb"/>
      </w:pPr>
      <w:r>
        <w:t>[</w:t>
      </w:r>
      <w:r>
        <w:br/>
        <w:t>c_1</w:t>
      </w:r>
      <w:r>
        <w:br/>
        <w:t>\neq</w:t>
      </w:r>
      <w:r>
        <w:br/>
        <w:t>c_2</w:t>
      </w:r>
      <w:r>
        <w:br/>
        <w:t>\tag{3.14270}</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c_1\neq c_2</w:t>
      </w:r>
    </w:p>
    <w:p w:rsidR="00CE77C4" w:rsidRDefault="00CE77C4" w:rsidP="00CE77C4">
      <w:pPr>
        <w:pStyle w:val="StandardWeb"/>
      </w:pPr>
      <w:r>
        <w:t>und</w:t>
      </w:r>
    </w:p>
    <w:p w:rsidR="00CE77C4" w:rsidRDefault="00CE77C4" w:rsidP="00CE77C4">
      <w:pPr>
        <w:pStyle w:val="StandardWeb"/>
      </w:pPr>
      <w:r>
        <w:t>[</w:t>
      </w:r>
      <w:r>
        <w:br/>
        <w:t>K_F^{(c_1)}</w:t>
      </w:r>
      <w:r>
        <w:br/>
        <w:t>\neq</w:t>
      </w:r>
      <w:r>
        <w:br/>
        <w:t>K_F^{(c_2)}.</w:t>
      </w:r>
      <w:r>
        <w:br/>
        <w:t>\tag{3.14271}</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K_F^{(c_1)}\neq K_F^{(c_2)}</w:t>
      </w:r>
    </w:p>
    <w:p w:rsidR="00CE77C4" w:rsidRDefault="00CE77C4" w:rsidP="00CE77C4">
      <w:r>
        <w:pict>
          <v:rect id="_x0000_i6550" style="width:0;height:1.5pt" o:hralign="center" o:hrstd="t" o:hr="t" fillcolor="#a0a0a0" stroked="f"/>
        </w:pict>
      </w:r>
    </w:p>
    <w:p w:rsidR="00CE77C4" w:rsidRDefault="00CE77C4" w:rsidP="00CE77C4">
      <w:pPr>
        <w:pStyle w:val="berschrift1"/>
      </w:pPr>
      <w:r>
        <w:t>3.3.54.49 Axiomentscheidung zur Kontextunabhängigkeit</w:t>
      </w:r>
    </w:p>
    <w:p w:rsidR="00CE77C4" w:rsidRDefault="00CE77C4" w:rsidP="00CE77C4">
      <w:pPr>
        <w:pStyle w:val="StandardWeb"/>
      </w:pPr>
      <w:r>
        <w:t>Damit folgt</w:t>
      </w:r>
    </w:p>
    <w:p w:rsidR="00CE77C4" w:rsidRDefault="00CE77C4" w:rsidP="00CE77C4">
      <w:pPr>
        <w:pStyle w:val="berschrift1"/>
      </w:pPr>
      <w:r>
        <w:lastRenderedPageBreak/>
        <w:t>[</w:t>
      </w:r>
      <w:r>
        <w:br/>
        <w:t>\boxed{</w:t>
      </w:r>
      <w:r>
        <w:br/>
        <w:t>U_{\mathrm{Ax}}</w:t>
      </w:r>
      <w:r>
        <w:br/>
        <w:t>(A_{\mathrm{cpl-stat}})</w:t>
      </w:r>
    </w:p>
    <w:p w:rsidR="00CE77C4" w:rsidRDefault="00CE77C4" w:rsidP="009F7790">
      <w:pPr>
        <w:numPr>
          <w:ilvl w:val="0"/>
          <w:numId w:val="792"/>
        </w:numPr>
        <w:spacing w:before="100" w:beforeAutospacing="1" w:after="100" w:afterAutospacing="1"/>
      </w:pPr>
    </w:p>
    <w:p w:rsidR="00CE77C4" w:rsidRDefault="00CE77C4" w:rsidP="00CE77C4">
      <w:pPr>
        <w:pStyle w:val="StandardWeb"/>
      </w:pPr>
      <w:r>
        <w:t>}</w:t>
      </w:r>
      <w:r>
        <w:br/>
        <w:t>\tag{3.14272}</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\boxed{U_{\mathrm{Ax}}(A_{\mathrm{cpl-stat}})=0.}</w:t>
      </w:r>
    </w:p>
    <w:p w:rsidR="00CE77C4" w:rsidRDefault="00CE77C4" w:rsidP="00CE77C4">
      <w:r>
        <w:pict>
          <v:rect id="_x0000_i6551" style="width:0;height:1.5pt" o:hralign="center" o:hrstd="t" o:hr="t" fillcolor="#a0a0a0" stroked="f"/>
        </w:pict>
      </w:r>
    </w:p>
    <w:p w:rsidR="00CE77C4" w:rsidRDefault="00CE77C4" w:rsidP="00CE77C4">
      <w:pPr>
        <w:pStyle w:val="berschrift1"/>
      </w:pPr>
      <w:r>
        <w:t>3.3.54.50 Satz 3.3.280 – Kontextunabhängigkeit funktionaler Kopplung ist kein Primäraxiom</w:t>
      </w:r>
    </w:p>
    <w:p w:rsidR="00CE77C4" w:rsidRDefault="00CE77C4" w:rsidP="00CE77C4">
      <w:pPr>
        <w:pStyle w:val="berschrift3"/>
      </w:pPr>
      <w:r>
        <w:t>Satz 3.3.280</w:t>
      </w:r>
    </w:p>
    <w:p w:rsidR="00CE77C4" w:rsidRDefault="00CE77C4" w:rsidP="00CE77C4">
      <w:pPr>
        <w:pStyle w:val="StandardWeb"/>
      </w:pPr>
      <w:r>
        <w:t>Die Forderung, eine funktionale Kopplung müsse unabhängig vom Zustand und Kontext stets identisch sein, ist keine universell notwendige Voraussetzung des allgemeinen FRZK.</w:t>
      </w:r>
    </w:p>
    <w:p w:rsidR="00CE77C4" w:rsidRDefault="00CE77C4" w:rsidP="00CE77C4">
      <w:pPr>
        <w:pStyle w:val="berschrift1"/>
      </w:pPr>
      <w:r>
        <w:t>[</w:t>
      </w:r>
      <w:r>
        <w:br/>
        <w:t>\boxed{</w:t>
      </w:r>
      <w:r>
        <w:br/>
        <w:t>U_{\mathrm{Ax}}</w:t>
      </w:r>
      <w:r>
        <w:br/>
        <w:t>(A_{\mathrm{cpl-stat}})</w:t>
      </w:r>
    </w:p>
    <w:p w:rsidR="00CE77C4" w:rsidRDefault="00CE77C4" w:rsidP="009F7790">
      <w:pPr>
        <w:numPr>
          <w:ilvl w:val="0"/>
          <w:numId w:val="793"/>
        </w:numPr>
        <w:spacing w:before="100" w:beforeAutospacing="1" w:after="100" w:afterAutospacing="1"/>
      </w:pPr>
    </w:p>
    <w:p w:rsidR="00CE77C4" w:rsidRDefault="00CE77C4" w:rsidP="00CE77C4">
      <w:pPr>
        <w:pStyle w:val="StandardWeb"/>
      </w:pPr>
      <w:r>
        <w:t>}</w:t>
      </w:r>
      <w:r>
        <w:br/>
        <w:t>\tag{3.14273}</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\boxed{U_{\mathrm{Ax}}(A_{\mathrm{cpl-stat}})=0.}</w:t>
      </w:r>
    </w:p>
    <w:p w:rsidR="00CE77C4" w:rsidRDefault="00CE77C4" w:rsidP="00CE77C4">
      <w:r>
        <w:pict>
          <v:rect id="_x0000_i6552" style="width:0;height:1.5pt" o:hralign="center" o:hrstd="t" o:hr="t" fillcolor="#a0a0a0" stroked="f"/>
        </w:pict>
      </w:r>
    </w:p>
    <w:p w:rsidR="00CE77C4" w:rsidRDefault="00CE77C4" w:rsidP="00CE77C4">
      <w:pPr>
        <w:pStyle w:val="berschrift1"/>
      </w:pPr>
      <w:r>
        <w:t>3.3.54.51 Funktionale Entkopplung</w:t>
      </w:r>
    </w:p>
    <w:p w:rsidR="00CE77C4" w:rsidRDefault="00CE77C4" w:rsidP="00CE77C4">
      <w:pPr>
        <w:pStyle w:val="StandardWeb"/>
      </w:pPr>
      <w:r>
        <w:lastRenderedPageBreak/>
        <w:t>Eine vorhandene Kopplung kann durch eine Entkopplungsabbildung verändert oder aufgehoben werden.</w:t>
      </w:r>
    </w:p>
    <w:p w:rsidR="00CE77C4" w:rsidRDefault="00CE77C4" w:rsidP="00CE77C4">
      <w:pPr>
        <w:pStyle w:val="StandardWeb"/>
      </w:pPr>
      <w:r>
        <w:t>Ich schreibe</w:t>
      </w:r>
    </w:p>
    <w:p w:rsidR="00CE77C4" w:rsidRDefault="00CE77C4" w:rsidP="00CE77C4">
      <w:pPr>
        <w:pStyle w:val="StandardWeb"/>
      </w:pPr>
      <w:r>
        <w:t>[</w:t>
      </w:r>
      <w:r>
        <w:br/>
        <w:t>D_F</w:t>
      </w:r>
      <w:r>
        <w:br/>
        <w:t>:</w:t>
      </w:r>
      <w:r>
        <w:br/>
        <w:t>\mathfrak K_F</w:t>
      </w:r>
      <w:r>
        <w:br/>
        <w:t>\rightarrow</w:t>
      </w:r>
      <w:r>
        <w:br/>
        <w:t>\mathfrak K_F^{\mathrm{dec}},</w:t>
      </w:r>
      <w:r>
        <w:br/>
        <w:t>\tag{3.14274}</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D_F:\mathfrak K_F\rightarrow\mathfrak K_F^{\mathrm{dec}}</w:t>
      </w:r>
    </w:p>
    <w:p w:rsidR="00CE77C4" w:rsidRDefault="00CE77C4" w:rsidP="00CE77C4">
      <w:pPr>
        <w:pStyle w:val="StandardWeb"/>
      </w:pPr>
      <w:r>
        <w:t>wobei (\mathfrak K_F) eine Kopplungsstruktur bezeichnet.</w:t>
      </w:r>
    </w:p>
    <w:p w:rsidR="00CE77C4" w:rsidRDefault="00CE77C4" w:rsidP="00CE77C4">
      <w:r>
        <w:pict>
          <v:rect id="_x0000_i6553" style="width:0;height:1.5pt" o:hralign="center" o:hrstd="t" o:hr="t" fillcolor="#a0a0a0" stroked="f"/>
        </w:pict>
      </w:r>
    </w:p>
    <w:p w:rsidR="00CE77C4" w:rsidRDefault="00CE77C4" w:rsidP="00CE77C4">
      <w:pPr>
        <w:pStyle w:val="berschrift2"/>
      </w:pPr>
      <w:r>
        <w:t>3.3.54.52 Definition 3.3.680 – Funktionale Entkopplung</w:t>
      </w:r>
    </w:p>
    <w:p w:rsidR="00CE77C4" w:rsidRDefault="00CE77C4" w:rsidP="00CE77C4">
      <w:pPr>
        <w:pStyle w:val="berschrift3"/>
      </w:pPr>
      <w:r>
        <w:t>Definition 3.3.680</w:t>
      </w:r>
    </w:p>
    <w:p w:rsidR="00CE77C4" w:rsidRDefault="00CE77C4" w:rsidP="00CE77C4">
      <w:pPr>
        <w:pStyle w:val="StandardWeb"/>
      </w:pPr>
      <w:r>
        <w:t xml:space="preserve">Eine </w:t>
      </w:r>
      <w:r>
        <w:rPr>
          <w:rStyle w:val="Fett"/>
        </w:rPr>
        <w:t>funktionale Entkopplung</w:t>
      </w:r>
      <w:r>
        <w:t xml:space="preserve"> ist eine modellabhängige Operation</w:t>
      </w:r>
    </w:p>
    <w:p w:rsidR="00CE77C4" w:rsidRDefault="00CE77C4" w:rsidP="00CE77C4">
      <w:pPr>
        <w:pStyle w:val="StandardWeb"/>
      </w:pPr>
      <w:r>
        <w:t>[</w:t>
      </w:r>
      <w:r>
        <w:br/>
        <w:t>\boxed{</w:t>
      </w:r>
      <w:r>
        <w:br/>
        <w:t>D_F</w:t>
      </w:r>
      <w:r>
        <w:br/>
        <w:t>:</w:t>
      </w:r>
      <w:r>
        <w:br/>
        <w:t>\mathfrak K_F</w:t>
      </w:r>
      <w:r>
        <w:br/>
        <w:t>\rightarrow</w:t>
      </w:r>
      <w:r>
        <w:br/>
        <w:t>\mathfrak K_F^{\mathrm{dec}},</w:t>
      </w:r>
      <w:r>
        <w:br/>
        <w:t>}</w:t>
      </w:r>
      <w:r>
        <w:br/>
        <w:t>\tag{3.14275}</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\boxed{D_F:\mathfrak K_F\rightarrow\mathfrak K_F^{\mathrm{dec}},}</w:t>
      </w:r>
    </w:p>
    <w:p w:rsidR="00CE77C4" w:rsidRDefault="00CE77C4" w:rsidP="00CE77C4">
      <w:pPr>
        <w:pStyle w:val="StandardWeb"/>
      </w:pPr>
      <w:r>
        <w:t>durch die eine bestehende Kopplungsstruktur reduziert, verändert oder vollständig aufgehoben wird.</w:t>
      </w:r>
    </w:p>
    <w:p w:rsidR="00CE77C4" w:rsidRDefault="00CE77C4" w:rsidP="00CE77C4">
      <w:r>
        <w:pict>
          <v:rect id="_x0000_i6554" style="width:0;height:1.5pt" o:hralign="center" o:hrstd="t" o:hr="t" fillcolor="#a0a0a0" stroked="f"/>
        </w:pict>
      </w:r>
    </w:p>
    <w:p w:rsidR="00CE77C4" w:rsidRDefault="00CE77C4" w:rsidP="00CE77C4">
      <w:pPr>
        <w:pStyle w:val="berschrift1"/>
      </w:pPr>
      <w:r>
        <w:t>3.3.54.53 Vollständige Entkopplung</w:t>
      </w:r>
    </w:p>
    <w:p w:rsidR="00CE77C4" w:rsidRDefault="00CE77C4" w:rsidP="00CE77C4">
      <w:pPr>
        <w:pStyle w:val="StandardWeb"/>
      </w:pPr>
      <w:r>
        <w:t>Eine vollständige Entkopplung kann schematisch geschrieben werden als</w:t>
      </w:r>
    </w:p>
    <w:p w:rsidR="00CE77C4" w:rsidRDefault="00CE77C4" w:rsidP="00CE77C4">
      <w:pPr>
        <w:pStyle w:val="berschrift1"/>
      </w:pPr>
      <w:r>
        <w:lastRenderedPageBreak/>
        <w:t>[</w:t>
      </w:r>
      <w:r>
        <w:br/>
        <w:t>D_F(K_F)</w:t>
      </w:r>
    </w:p>
    <w:p w:rsidR="00CE77C4" w:rsidRDefault="00CE77C4" w:rsidP="00CE77C4">
      <w:pPr>
        <w:pStyle w:val="StandardWeb"/>
      </w:pPr>
      <w:r>
        <w:t>0_F^{\mathrm{cpl}}.</w:t>
      </w:r>
      <w:r>
        <w:br/>
        <w:t>\tag{3.14276}</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D_F(K_F)=0_F^{\mathrm{cpl}}</w:t>
      </w:r>
    </w:p>
    <w:p w:rsidR="00CE77C4" w:rsidRDefault="00CE77C4" w:rsidP="00CE77C4">
      <w:pPr>
        <w:pStyle w:val="StandardWeb"/>
      </w:pPr>
      <w:r>
        <w:t>Dabei bezeichnet (0_F^{\mathrm{cpl}}) ein modellabhängig definiertes Nullkopplungselement.</w:t>
      </w:r>
    </w:p>
    <w:p w:rsidR="00CE77C4" w:rsidRDefault="00CE77C4" w:rsidP="00CE77C4">
      <w:r>
        <w:pict>
          <v:rect id="_x0000_i6555" style="width:0;height:1.5pt" o:hralign="center" o:hrstd="t" o:hr="t" fillcolor="#a0a0a0" stroked="f"/>
        </w:pict>
      </w:r>
    </w:p>
    <w:p w:rsidR="00CE77C4" w:rsidRDefault="00CE77C4" w:rsidP="00CE77C4">
      <w:pPr>
        <w:pStyle w:val="berschrift2"/>
      </w:pPr>
      <w:r>
        <w:t>3.3.54.54 Definition 3.3.681 – Vollständige funktionale Entkopplung</w:t>
      </w:r>
    </w:p>
    <w:p w:rsidR="00CE77C4" w:rsidRDefault="00CE77C4" w:rsidP="00CE77C4">
      <w:pPr>
        <w:pStyle w:val="berschrift3"/>
      </w:pPr>
      <w:r>
        <w:t>Definition 3.3.681</w:t>
      </w:r>
    </w:p>
    <w:p w:rsidR="00CE77C4" w:rsidRDefault="00CE77C4" w:rsidP="00CE77C4">
      <w:pPr>
        <w:pStyle w:val="StandardWeb"/>
      </w:pPr>
      <w:r>
        <w:t xml:space="preserve">Eine funktionale Entkopplung heißt </w:t>
      </w:r>
      <w:r>
        <w:rPr>
          <w:rStyle w:val="Fett"/>
        </w:rPr>
        <w:t>vollständig</w:t>
      </w:r>
      <w:r>
        <w:t>, wenn</w:t>
      </w:r>
    </w:p>
    <w:p w:rsidR="00CE77C4" w:rsidRDefault="00CE77C4" w:rsidP="00CE77C4">
      <w:pPr>
        <w:pStyle w:val="berschrift1"/>
      </w:pPr>
      <w:r>
        <w:t>[</w:t>
      </w:r>
      <w:r>
        <w:br/>
        <w:t>\boxed{</w:t>
      </w:r>
      <w:r>
        <w:br/>
        <w:t>D_F(K_F)</w:t>
      </w:r>
    </w:p>
    <w:p w:rsidR="00CE77C4" w:rsidRDefault="00CE77C4" w:rsidP="00CE77C4">
      <w:pPr>
        <w:pStyle w:val="StandardWeb"/>
      </w:pPr>
      <w:r>
        <w:t>0_F^{\mathrm{cpl}}.</w:t>
      </w:r>
      <w:r>
        <w:br/>
        <w:t>}</w:t>
      </w:r>
      <w:r>
        <w:br/>
        <w:t>\tag{3.14277}</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\boxed{D_F(K_F)=0_F^{\mathrm{cpl}}.}</w:t>
      </w:r>
    </w:p>
    <w:p w:rsidR="00CE77C4" w:rsidRDefault="00CE77C4" w:rsidP="00CE77C4">
      <w:r>
        <w:pict>
          <v:rect id="_x0000_i6556" style="width:0;height:1.5pt" o:hralign="center" o:hrstd="t" o:hr="t" fillcolor="#a0a0a0" stroked="f"/>
        </w:pict>
      </w:r>
    </w:p>
    <w:p w:rsidR="00CE77C4" w:rsidRDefault="00CE77C4" w:rsidP="00CE77C4">
      <w:pPr>
        <w:pStyle w:val="berschrift1"/>
      </w:pPr>
      <w:r>
        <w:t>3.3.54.55 Partielle Entkopplung</w:t>
      </w:r>
    </w:p>
    <w:p w:rsidR="00CE77C4" w:rsidRDefault="00CE77C4" w:rsidP="00CE77C4">
      <w:pPr>
        <w:pStyle w:val="StandardWeb"/>
      </w:pPr>
      <w:r>
        <w:t>Eine Entkopplung kann auch nur einen Teil der Kopplungsstruktur entfernen:</w:t>
      </w:r>
    </w:p>
    <w:p w:rsidR="00CE77C4" w:rsidRDefault="00CE77C4" w:rsidP="00CE77C4">
      <w:pPr>
        <w:pStyle w:val="berschrift1"/>
      </w:pPr>
      <w:r>
        <w:t>[</w:t>
      </w:r>
      <w:r>
        <w:br/>
        <w:t>D_F(K_F)</w:t>
      </w:r>
    </w:p>
    <w:p w:rsidR="00CE77C4" w:rsidRDefault="00CE77C4" w:rsidP="00CE77C4">
      <w:pPr>
        <w:pStyle w:val="StandardWeb"/>
      </w:pPr>
      <w:r>
        <w:lastRenderedPageBreak/>
        <w:t>K_F'</w:t>
      </w:r>
      <w:r>
        <w:br/>
        <w:t>\tag{3.14278}</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D_F(K_F)=K_F'</w:t>
      </w:r>
    </w:p>
    <w:p w:rsidR="00CE77C4" w:rsidRDefault="00CE77C4" w:rsidP="00CE77C4">
      <w:pPr>
        <w:pStyle w:val="StandardWeb"/>
      </w:pPr>
      <w:r>
        <w:t>mit</w:t>
      </w:r>
    </w:p>
    <w:p w:rsidR="00CE77C4" w:rsidRDefault="00CE77C4" w:rsidP="00CE77C4">
      <w:pPr>
        <w:pStyle w:val="StandardWeb"/>
      </w:pPr>
      <w:r>
        <w:t>[</w:t>
      </w:r>
      <w:r>
        <w:br/>
        <w:t>K_F'</w:t>
      </w:r>
      <w:r>
        <w:br/>
        <w:t>\neq</w:t>
      </w:r>
      <w:r>
        <w:br/>
        <w:t>K_F</w:t>
      </w:r>
      <w:r>
        <w:br/>
        <w:t>\tag{3.14279}</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K_F'\neq K_F</w:t>
      </w:r>
    </w:p>
    <w:p w:rsidR="00CE77C4" w:rsidRDefault="00CE77C4" w:rsidP="00CE77C4">
      <w:pPr>
        <w:pStyle w:val="StandardWeb"/>
      </w:pPr>
      <w:r>
        <w:t>und</w:t>
      </w:r>
    </w:p>
    <w:p w:rsidR="00CE77C4" w:rsidRDefault="00CE77C4" w:rsidP="00CE77C4">
      <w:pPr>
        <w:pStyle w:val="StandardWeb"/>
      </w:pPr>
      <w:r>
        <w:t>[</w:t>
      </w:r>
      <w:r>
        <w:br/>
        <w:t>K_F'</w:t>
      </w:r>
      <w:r>
        <w:br/>
        <w:t>\neq</w:t>
      </w:r>
      <w:r>
        <w:br/>
        <w:t>0_F^{\mathrm{cpl}}.</w:t>
      </w:r>
      <w:r>
        <w:br/>
        <w:t>\tag{3.14280}</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K_F'\neq 0_F^{\mathrm{cpl}}</w:t>
      </w:r>
    </w:p>
    <w:p w:rsidR="00CE77C4" w:rsidRDefault="00CE77C4" w:rsidP="00CE77C4">
      <w:r>
        <w:pict>
          <v:rect id="_x0000_i6557" style="width:0;height:1.5pt" o:hralign="center" o:hrstd="t" o:hr="t" fillcolor="#a0a0a0" stroked="f"/>
        </w:pict>
      </w:r>
    </w:p>
    <w:p w:rsidR="00CE77C4" w:rsidRDefault="00CE77C4" w:rsidP="00CE77C4">
      <w:pPr>
        <w:pStyle w:val="berschrift2"/>
      </w:pPr>
      <w:r>
        <w:t>3.3.54.56 Definition 3.3.682 – Partielle funktionale Entkopplung</w:t>
      </w:r>
    </w:p>
    <w:p w:rsidR="00CE77C4" w:rsidRDefault="00CE77C4" w:rsidP="00CE77C4">
      <w:pPr>
        <w:pStyle w:val="berschrift3"/>
      </w:pPr>
      <w:r>
        <w:t>Definition 3.3.682</w:t>
      </w:r>
    </w:p>
    <w:p w:rsidR="00CE77C4" w:rsidRDefault="00CE77C4" w:rsidP="00CE77C4">
      <w:pPr>
        <w:pStyle w:val="StandardWeb"/>
      </w:pPr>
      <w:r>
        <w:t xml:space="preserve">Eine funktionale Entkopplung heißt </w:t>
      </w:r>
      <w:r>
        <w:rPr>
          <w:rStyle w:val="Fett"/>
        </w:rPr>
        <w:t>partiell</w:t>
      </w:r>
      <w:r>
        <w:t>, wenn</w:t>
      </w:r>
    </w:p>
    <w:p w:rsidR="00CE77C4" w:rsidRDefault="00CE77C4" w:rsidP="00CE77C4">
      <w:pPr>
        <w:pStyle w:val="berschrift1"/>
      </w:pPr>
      <w:r>
        <w:t>[</w:t>
      </w:r>
      <w:r>
        <w:br/>
        <w:t>\boxed{</w:t>
      </w:r>
      <w:r>
        <w:br/>
        <w:t>D_F(K_F)</w:t>
      </w:r>
    </w:p>
    <w:p w:rsidR="00CE77C4" w:rsidRDefault="00CE77C4" w:rsidP="00CE77C4">
      <w:pPr>
        <w:pStyle w:val="StandardWeb"/>
      </w:pPr>
      <w:r>
        <w:t>K_F',</w:t>
      </w:r>
      <w:r>
        <w:br/>
        <w:t>\qquad</w:t>
      </w:r>
      <w:r>
        <w:br/>
      </w:r>
      <w:r>
        <w:lastRenderedPageBreak/>
        <w:t>K_F'</w:t>
      </w:r>
      <w:r>
        <w:br/>
        <w:t>\neq</w:t>
      </w:r>
      <w:r>
        <w:br/>
        <w:t>K_F,</w:t>
      </w:r>
      <w:r>
        <w:br/>
        <w:t>\qquad</w:t>
      </w:r>
      <w:r>
        <w:br/>
        <w:t>K_F'</w:t>
      </w:r>
      <w:r>
        <w:br/>
        <w:t>\neq</w:t>
      </w:r>
      <w:r>
        <w:br/>
        <w:t>0_F^{\mathrm{cpl}}.</w:t>
      </w:r>
      <w:r>
        <w:br/>
        <w:t>}</w:t>
      </w:r>
      <w:r>
        <w:br/>
        <w:t>\tag{3.14281}</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\boxed{D_F(K_F)=K_F',\qquad K_F'\neq K_F,\qquad K_F'\neq 0_F^{\mathrm{cpl}}.}</w:t>
      </w:r>
    </w:p>
    <w:p w:rsidR="00CE77C4" w:rsidRDefault="00CE77C4" w:rsidP="00CE77C4">
      <w:r>
        <w:pict>
          <v:rect id="_x0000_i6558" style="width:0;height:1.5pt" o:hralign="center" o:hrstd="t" o:hr="t" fillcolor="#a0a0a0" stroked="f"/>
        </w:pict>
      </w:r>
    </w:p>
    <w:p w:rsidR="00CE77C4" w:rsidRDefault="00CE77C4" w:rsidP="00CE77C4">
      <w:pPr>
        <w:pStyle w:val="berschrift1"/>
      </w:pPr>
      <w:r>
        <w:t>3.3.54.57 Existenz einer Entkopplung als Primäraxiomkandidat</w:t>
      </w:r>
    </w:p>
    <w:p w:rsidR="00CE77C4" w:rsidRDefault="00CE77C4" w:rsidP="00CE77C4">
      <w:pPr>
        <w:pStyle w:val="StandardWeb"/>
      </w:pPr>
      <w:r>
        <w:t>Ein Kandidat wäre</w:t>
      </w:r>
    </w:p>
    <w:p w:rsidR="00CE77C4" w:rsidRDefault="00CE77C4" w:rsidP="00CE77C4">
      <w:pPr>
        <w:pStyle w:val="StandardWeb"/>
      </w:pPr>
      <w:r>
        <w:t>[</w:t>
      </w:r>
      <w:r>
        <w:br/>
        <w:t>A_{\mathrm{dec-ex}}</w:t>
      </w:r>
      <w:r>
        <w:br/>
        <w:t>:</w:t>
      </w:r>
      <w:r>
        <w:br/>
        <w:t>\exists</w:t>
      </w:r>
      <w:r>
        <w:br/>
        <w:t>D_F.</w:t>
      </w:r>
      <w:r>
        <w:br/>
        <w:t>\tag{3.14282}</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A_{\mathrm{dec-ex}}:\exists D_F</w:t>
      </w:r>
    </w:p>
    <w:p w:rsidR="00CE77C4" w:rsidRDefault="00CE77C4" w:rsidP="00CE77C4">
      <w:r>
        <w:pict>
          <v:rect id="_x0000_i6559" style="width:0;height:1.5pt" o:hralign="center" o:hrstd="t" o:hr="t" fillcolor="#a0a0a0" stroked="f"/>
        </w:pict>
      </w:r>
    </w:p>
    <w:p w:rsidR="00CE77C4" w:rsidRDefault="00CE77C4" w:rsidP="00CE77C4">
      <w:pPr>
        <w:pStyle w:val="berschrift1"/>
      </w:pPr>
      <w:r>
        <w:t>3.3.54.58 Gegenmodell ohne Entkopplungsstruktur</w:t>
      </w:r>
    </w:p>
    <w:p w:rsidR="00CE77C4" w:rsidRDefault="00CE77C4" w:rsidP="00CE77C4">
      <w:pPr>
        <w:pStyle w:val="StandardWeb"/>
      </w:pPr>
      <w:r>
        <w:t>Eine zulässige Modellklasse kann eine Kopplung verwenden, ohne eine explizite Entkopplungsoperation zu definieren:</w:t>
      </w:r>
    </w:p>
    <w:p w:rsidR="00CE77C4" w:rsidRDefault="00CE77C4" w:rsidP="00CE77C4">
      <w:pPr>
        <w:pStyle w:val="StandardWeb"/>
      </w:pPr>
      <w:r>
        <w:t>[</w:t>
      </w:r>
      <w:r>
        <w:br/>
        <w:t>D_F</w:t>
      </w:r>
      <w:r>
        <w:br/>
        <w:t>\notin</w:t>
      </w:r>
      <w:r>
        <w:br/>
        <w:t>\mathfrak E_{\mathrm{model}}.</w:t>
      </w:r>
      <w:r>
        <w:br/>
        <w:t>\tag{3.14283}</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D_F\notin\mathfrak E_{\mathrm{model}}</w:t>
      </w:r>
    </w:p>
    <w:p w:rsidR="00CE77C4" w:rsidRDefault="00CE77C4" w:rsidP="00CE77C4">
      <w:r>
        <w:lastRenderedPageBreak/>
        <w:pict>
          <v:rect id="_x0000_i6560" style="width:0;height:1.5pt" o:hralign="center" o:hrstd="t" o:hr="t" fillcolor="#a0a0a0" stroked="f"/>
        </w:pict>
      </w:r>
    </w:p>
    <w:p w:rsidR="00CE77C4" w:rsidRDefault="00CE77C4" w:rsidP="00CE77C4">
      <w:pPr>
        <w:pStyle w:val="berschrift1"/>
      </w:pPr>
      <w:r>
        <w:t>3.3.54.59 Axiomentscheidung zur Entkopplungsexistenz</w:t>
      </w:r>
    </w:p>
    <w:p w:rsidR="00CE77C4" w:rsidRDefault="00CE77C4" w:rsidP="00CE77C4">
      <w:pPr>
        <w:pStyle w:val="StandardWeb"/>
      </w:pPr>
      <w:r>
        <w:t>Daher gilt</w:t>
      </w:r>
    </w:p>
    <w:p w:rsidR="00CE77C4" w:rsidRDefault="00CE77C4" w:rsidP="00CE77C4">
      <w:pPr>
        <w:pStyle w:val="berschrift1"/>
      </w:pPr>
      <w:r>
        <w:t>[</w:t>
      </w:r>
      <w:r>
        <w:br/>
        <w:t>\boxed{</w:t>
      </w:r>
      <w:r>
        <w:br/>
        <w:t>U_{\mathrm{Ax}}</w:t>
      </w:r>
      <w:r>
        <w:br/>
        <w:t>(A_{\mathrm{dec-ex}})</w:t>
      </w:r>
    </w:p>
    <w:p w:rsidR="00CE77C4" w:rsidRDefault="00CE77C4" w:rsidP="009F7790">
      <w:pPr>
        <w:numPr>
          <w:ilvl w:val="0"/>
          <w:numId w:val="794"/>
        </w:numPr>
        <w:spacing w:before="100" w:beforeAutospacing="1" w:after="100" w:afterAutospacing="1"/>
      </w:pPr>
    </w:p>
    <w:p w:rsidR="00CE77C4" w:rsidRDefault="00CE77C4" w:rsidP="00CE77C4">
      <w:pPr>
        <w:pStyle w:val="StandardWeb"/>
      </w:pPr>
      <w:r>
        <w:t>}</w:t>
      </w:r>
      <w:r>
        <w:br/>
        <w:t>\tag{3.14284}</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\boxed{U_{\mathrm{Ax}}(A_{\mathrm{dec-ex}})=0.}</w:t>
      </w:r>
    </w:p>
    <w:p w:rsidR="00CE77C4" w:rsidRDefault="00CE77C4" w:rsidP="00CE77C4">
      <w:r>
        <w:pict>
          <v:rect id="_x0000_i6561" style="width:0;height:1.5pt" o:hralign="center" o:hrstd="t" o:hr="t" fillcolor="#a0a0a0" stroked="f"/>
        </w:pict>
      </w:r>
    </w:p>
    <w:p w:rsidR="00CE77C4" w:rsidRDefault="00CE77C4" w:rsidP="00CE77C4">
      <w:pPr>
        <w:pStyle w:val="berschrift1"/>
      </w:pPr>
      <w:r>
        <w:t>3.3.54.60 Satz 3.3.281 – Die Existenz einer funktionalen Entkopplung ist kein Primäraxiom</w:t>
      </w:r>
    </w:p>
    <w:p w:rsidR="00CE77C4" w:rsidRDefault="00CE77C4" w:rsidP="00CE77C4">
      <w:pPr>
        <w:pStyle w:val="berschrift3"/>
      </w:pPr>
      <w:r>
        <w:t>Satz 3.3.281</w:t>
      </w:r>
    </w:p>
    <w:p w:rsidR="00CE77C4" w:rsidRDefault="00CE77C4" w:rsidP="00CE77C4">
      <w:pPr>
        <w:pStyle w:val="StandardWeb"/>
      </w:pPr>
      <w:r>
        <w:t>Die Forderung, jede funktionale Kopplungsstruktur müsse durch eine ausdrücklich definierte Entkopplungsoperation aufhebbar sein, ist keine universell notwendige Voraussetzung des allgemeinen FRZK.</w:t>
      </w:r>
    </w:p>
    <w:p w:rsidR="00CE77C4" w:rsidRDefault="00CE77C4" w:rsidP="00CE77C4">
      <w:pPr>
        <w:pStyle w:val="berschrift1"/>
      </w:pPr>
      <w:r>
        <w:t>[</w:t>
      </w:r>
      <w:r>
        <w:br/>
        <w:t>\boxed{</w:t>
      </w:r>
      <w:r>
        <w:br/>
        <w:t>U_{\mathrm{Ax}}</w:t>
      </w:r>
      <w:r>
        <w:br/>
        <w:t>(A_{\mathrm{dec-ex}})</w:t>
      </w:r>
    </w:p>
    <w:p w:rsidR="00CE77C4" w:rsidRDefault="00CE77C4" w:rsidP="009F7790">
      <w:pPr>
        <w:numPr>
          <w:ilvl w:val="0"/>
          <w:numId w:val="795"/>
        </w:numPr>
        <w:spacing w:before="100" w:beforeAutospacing="1" w:after="100" w:afterAutospacing="1"/>
      </w:pPr>
    </w:p>
    <w:p w:rsidR="00CE77C4" w:rsidRDefault="00CE77C4" w:rsidP="00CE77C4">
      <w:pPr>
        <w:pStyle w:val="StandardWeb"/>
      </w:pPr>
      <w:r>
        <w:t>}</w:t>
      </w:r>
      <w:r>
        <w:br/>
        <w:t>\tag{3.14285}</w:t>
      </w:r>
      <w:r>
        <w:br/>
        <w:t>]</w:t>
      </w:r>
    </w:p>
    <w:p w:rsidR="00CE77C4" w:rsidRDefault="00CE77C4" w:rsidP="00CE77C4">
      <w:pPr>
        <w:pStyle w:val="StandardWeb"/>
      </w:pPr>
      <w:r>
        <w:rPr>
          <w:rStyle w:val="Fett"/>
        </w:rPr>
        <w:lastRenderedPageBreak/>
        <w:t>Word-LaTeX</w:t>
      </w:r>
    </w:p>
    <w:p w:rsidR="00CE77C4" w:rsidRDefault="00CE77C4" w:rsidP="00CE77C4">
      <w:pPr>
        <w:pStyle w:val="HTMLVorformatiert"/>
        <w:rPr>
          <w:rStyle w:val="HTMLCode"/>
        </w:rPr>
      </w:pPr>
      <w:r>
        <w:rPr>
          <w:rStyle w:val="HTMLCode"/>
        </w:rPr>
        <w:t>\boxed{U_{\mathrm{Ax}}(A_{\mathrm{dec-ex}})=0.}</w:t>
      </w:r>
    </w:p>
    <w:p w:rsidR="00CE77C4" w:rsidRDefault="00CE77C4" w:rsidP="00CE77C4">
      <w:r>
        <w:pict>
          <v:rect id="_x0000_i6562" style="width:0;height:1.5pt" o:hralign="center" o:hrstd="t" o:hr="t" fillcolor="#a0a0a0" stroked="f"/>
        </w:pict>
      </w:r>
    </w:p>
    <w:p w:rsidR="00CE77C4" w:rsidRDefault="00CE77C4" w:rsidP="00CE77C4">
      <w:pPr>
        <w:pStyle w:val="berschrift1"/>
      </w:pPr>
      <w:r>
        <w:t>3.3.54.61 Korollar 3.3.83 – Entkopplungsstrukturen sind modellabhängig</w:t>
      </w:r>
    </w:p>
    <w:p w:rsidR="00CE77C4" w:rsidRDefault="00CE77C4" w:rsidP="00CE77C4">
      <w:pPr>
        <w:pStyle w:val="berschrift3"/>
      </w:pPr>
      <w:r>
        <w:t>Korollar 3.3.83</w:t>
      </w:r>
    </w:p>
    <w:p w:rsidR="00CE77C4" w:rsidRDefault="00CE77C4" w:rsidP="00CE77C4">
      <w:pPr>
        <w:pStyle w:val="StandardWeb"/>
      </w:pPr>
      <w:r>
        <w:t>Aus Satz 3.3.281 folgt</w:t>
      </w:r>
    </w:p>
    <w:p w:rsidR="00CE77C4" w:rsidRDefault="00CE77C4" w:rsidP="00CE77C4">
      <w:pPr>
        <w:pStyle w:val="berschrift1"/>
      </w:pPr>
      <w:r>
        <w:t>[</w:t>
      </w:r>
      <w:r>
        <w:br/>
        <w:t>\boxed{</w:t>
      </w:r>
      <w:r>
        <w:br/>
        <w:t>\operatorname{Stat}</w:t>
      </w:r>
      <w:r>
        <w:br/>
        <w:t>(D_F)</w:t>
      </w:r>
    </w:p>
    <w:p w:rsidR="00CE77C4" w:rsidRDefault="00CE77C4" w:rsidP="00CE77C4">
      <w:pPr>
        <w:pStyle w:val="StandardWeb"/>
      </w:pPr>
      <w:r>
        <w:t>\mathrm{Def/Mod/Op}.</w:t>
      </w:r>
      <w:r>
        <w:br/>
        <w:t>}</w:t>
      </w:r>
      <w:r>
        <w:br/>
        <w:t>\tag{3.14286}</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\boxed{\operatorname{Stat}(D_F)=\mathrm{Def/Mod/Op}.}</w:t>
      </w:r>
    </w:p>
    <w:p w:rsidR="00CE77C4" w:rsidRDefault="00CE77C4" w:rsidP="00CE77C4">
      <w:r>
        <w:pict>
          <v:rect id="_x0000_i6563" style="width:0;height:1.5pt" o:hralign="center" o:hrstd="t" o:hr="t" fillcolor="#a0a0a0" stroked="f"/>
        </w:pict>
      </w:r>
    </w:p>
    <w:p w:rsidR="00CE77C4" w:rsidRDefault="00CE77C4" w:rsidP="00CE77C4">
      <w:pPr>
        <w:pStyle w:val="berschrift1"/>
      </w:pPr>
      <w:r>
        <w:t>3.3.54.62 Funktionale Komposition</w:t>
      </w:r>
    </w:p>
    <w:p w:rsidR="00CE77C4" w:rsidRDefault="00CE77C4" w:rsidP="00CE77C4">
      <w:pPr>
        <w:pStyle w:val="StandardWeb"/>
      </w:pPr>
      <w:r>
        <w:t>Neben Kopplungen zwischen Teilsystemen untersuche ich die Hintereinanderausführung funktionaler Abbildungen.</w:t>
      </w:r>
    </w:p>
    <w:p w:rsidR="00CE77C4" w:rsidRDefault="00CE77C4" w:rsidP="00CE77C4">
      <w:pPr>
        <w:pStyle w:val="StandardWeb"/>
      </w:pPr>
      <w:r>
        <w:t>Seien</w:t>
      </w:r>
    </w:p>
    <w:p w:rsidR="00CE77C4" w:rsidRDefault="00CE77C4" w:rsidP="00CE77C4">
      <w:pPr>
        <w:pStyle w:val="StandardWeb"/>
      </w:pPr>
      <w:r>
        <w:t>[</w:t>
      </w:r>
      <w:r>
        <w:br/>
        <w:t>F</w:t>
      </w:r>
      <w:r>
        <w:br/>
        <w:t>:</w:t>
      </w:r>
      <w:r>
        <w:br/>
        <w:t>\mathcal X_F</w:t>
      </w:r>
      <w:r>
        <w:br/>
        <w:t>\rightarrow</w:t>
      </w:r>
      <w:r>
        <w:br/>
        <w:t>\mathcal Y_F</w:t>
      </w:r>
      <w:r>
        <w:br/>
        <w:t>\tag{3.14287}</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F:\mathcal X_F\rightarrow\mathcal Y_F</w:t>
      </w:r>
    </w:p>
    <w:p w:rsidR="00CE77C4" w:rsidRDefault="00CE77C4" w:rsidP="00CE77C4">
      <w:pPr>
        <w:pStyle w:val="StandardWeb"/>
      </w:pPr>
      <w:r>
        <w:lastRenderedPageBreak/>
        <w:t>und</w:t>
      </w:r>
    </w:p>
    <w:p w:rsidR="00CE77C4" w:rsidRDefault="00CE77C4" w:rsidP="00CE77C4">
      <w:pPr>
        <w:pStyle w:val="StandardWeb"/>
      </w:pPr>
      <w:r>
        <w:t>[</w:t>
      </w:r>
      <w:r>
        <w:br/>
        <w:t>G</w:t>
      </w:r>
      <w:r>
        <w:br/>
        <w:t>:</w:t>
      </w:r>
      <w:r>
        <w:br/>
        <w:t>\mathcal Y_F</w:t>
      </w:r>
      <w:r>
        <w:br/>
        <w:t>\rightarrow</w:t>
      </w:r>
      <w:r>
        <w:br/>
        <w:t>\mathcal Z_F.</w:t>
      </w:r>
      <w:r>
        <w:br/>
        <w:t>\tag{3.14288}</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G:\mathcal Y_F\rightarrow\mathcal Z_F</w:t>
      </w:r>
    </w:p>
    <w:p w:rsidR="00CE77C4" w:rsidRDefault="00CE77C4" w:rsidP="00CE77C4">
      <w:r>
        <w:pict>
          <v:rect id="_x0000_i6564" style="width:0;height:1.5pt" o:hralign="center" o:hrstd="t" o:hr="t" fillcolor="#a0a0a0" stroked="f"/>
        </w:pict>
      </w:r>
    </w:p>
    <w:p w:rsidR="00CE77C4" w:rsidRDefault="00CE77C4" w:rsidP="00CE77C4">
      <w:pPr>
        <w:pStyle w:val="berschrift2"/>
      </w:pPr>
      <w:r>
        <w:t>3.3.54.63 Definition 3.3.683 – Funktionale Komposition</w:t>
      </w:r>
    </w:p>
    <w:p w:rsidR="00CE77C4" w:rsidRDefault="00CE77C4" w:rsidP="00CE77C4">
      <w:pPr>
        <w:pStyle w:val="berschrift3"/>
      </w:pPr>
      <w:r>
        <w:t>Definition 3.3.683</w:t>
      </w:r>
    </w:p>
    <w:p w:rsidR="00CE77C4" w:rsidRDefault="00CE77C4" w:rsidP="00CE77C4">
      <w:pPr>
        <w:pStyle w:val="StandardWeb"/>
      </w:pPr>
      <w:r>
        <w:t xml:space="preserve">Die </w:t>
      </w:r>
      <w:r>
        <w:rPr>
          <w:rStyle w:val="Fett"/>
        </w:rPr>
        <w:t>funktionale Komposition</w:t>
      </w:r>
      <w:r>
        <w:t xml:space="preserve"> von (F) und (G) ist</w:t>
      </w:r>
    </w:p>
    <w:p w:rsidR="00CE77C4" w:rsidRDefault="00CE77C4" w:rsidP="00CE77C4">
      <w:pPr>
        <w:pStyle w:val="StandardWeb"/>
      </w:pPr>
      <w:r>
        <w:t>[</w:t>
      </w:r>
      <w:r>
        <w:br/>
        <w:t>\boxed{</w:t>
      </w:r>
      <w:r>
        <w:br/>
        <w:t>G\circ F</w:t>
      </w:r>
      <w:r>
        <w:br/>
        <w:t>:</w:t>
      </w:r>
      <w:r>
        <w:br/>
        <w:t>\mathcal X_F</w:t>
      </w:r>
      <w:r>
        <w:br/>
        <w:t>\rightarrow</w:t>
      </w:r>
      <w:r>
        <w:br/>
        <w:t>\mathcal Z_F,</w:t>
      </w:r>
      <w:r>
        <w:br/>
        <w:t>}</w:t>
      </w:r>
      <w:r>
        <w:br/>
        <w:t>\tag{3.14289}</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\boxed{G\circ F:\mathcal X_F\rightarrow\mathcal Z_F,}</w:t>
      </w:r>
    </w:p>
    <w:p w:rsidR="00CE77C4" w:rsidRDefault="00CE77C4" w:rsidP="00CE77C4">
      <w:pPr>
        <w:pStyle w:val="StandardWeb"/>
      </w:pPr>
      <w:r>
        <w:t>mit</w:t>
      </w:r>
    </w:p>
    <w:p w:rsidR="00CE77C4" w:rsidRDefault="00CE77C4" w:rsidP="00CE77C4">
      <w:pPr>
        <w:pStyle w:val="berschrift1"/>
      </w:pPr>
      <w:r>
        <w:t>[</w:t>
      </w:r>
      <w:r>
        <w:br/>
        <w:t>(G\circ F)(X)</w:t>
      </w:r>
    </w:p>
    <w:p w:rsidR="00CE77C4" w:rsidRDefault="00CE77C4" w:rsidP="00CE77C4">
      <w:pPr>
        <w:pStyle w:val="StandardWeb"/>
      </w:pPr>
      <w:r>
        <w:t>G(F(X)).</w:t>
      </w:r>
      <w:r>
        <w:br/>
        <w:t>\tag{3.14290}</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(G\circ F)(X)=G(F(X))</w:t>
      </w:r>
    </w:p>
    <w:p w:rsidR="00CE77C4" w:rsidRDefault="00CE77C4" w:rsidP="00CE77C4">
      <w:r>
        <w:lastRenderedPageBreak/>
        <w:pict>
          <v:rect id="_x0000_i6565" style="width:0;height:1.5pt" o:hralign="center" o:hrstd="t" o:hr="t" fillcolor="#a0a0a0" stroked="f"/>
        </w:pict>
      </w:r>
    </w:p>
    <w:p w:rsidR="00CE77C4" w:rsidRDefault="00CE77C4" w:rsidP="00CE77C4">
      <w:pPr>
        <w:pStyle w:val="berschrift1"/>
      </w:pPr>
      <w:r>
        <w:t>3.3.54.64 Kompositionsfähigkeit</w:t>
      </w:r>
    </w:p>
    <w:p w:rsidR="00CE77C4" w:rsidRDefault="00CE77C4" w:rsidP="00CE77C4">
      <w:pPr>
        <w:pStyle w:val="StandardWeb"/>
      </w:pPr>
      <w:r>
        <w:t>Nicht beliebige funktionale Abbildungen müssen miteinander komponierbar sein. Voraussetzung ist zumindest eine geeignete Anschlussstruktur zwischen Ziel- und Definitionsbereich.</w:t>
      </w:r>
    </w:p>
    <w:p w:rsidR="00CE77C4" w:rsidRDefault="00CE77C4" w:rsidP="00CE77C4">
      <w:pPr>
        <w:pStyle w:val="StandardWeb"/>
      </w:pPr>
      <w:r>
        <w:t>Ich schreibe symbolisch</w:t>
      </w:r>
    </w:p>
    <w:p w:rsidR="00CE77C4" w:rsidRDefault="00CE77C4" w:rsidP="00CE77C4">
      <w:pPr>
        <w:pStyle w:val="StandardWeb"/>
      </w:pPr>
      <w:r>
        <w:t>[</w:t>
      </w:r>
      <w:r>
        <w:br/>
        <w:t>\operatorname{cod}(F)</w:t>
      </w:r>
      <w:r>
        <w:br/>
        <w:t>\sim_{\mathrm{comp}}</w:t>
      </w:r>
      <w:r>
        <w:br/>
        <w:t>\operatorname{dom}(G).</w:t>
      </w:r>
      <w:r>
        <w:br/>
        <w:t>\tag{3.14291}</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\operatorname{cod}(F)\sim_{\mathrm{comp}}\operatorname{dom}(G)</w:t>
      </w:r>
    </w:p>
    <w:p w:rsidR="00CE77C4" w:rsidRDefault="00CE77C4" w:rsidP="00CE77C4">
      <w:r>
        <w:pict>
          <v:rect id="_x0000_i6566" style="width:0;height:1.5pt" o:hralign="center" o:hrstd="t" o:hr="t" fillcolor="#a0a0a0" stroked="f"/>
        </w:pict>
      </w:r>
    </w:p>
    <w:p w:rsidR="00CE77C4" w:rsidRDefault="00CE77C4" w:rsidP="00CE77C4">
      <w:pPr>
        <w:pStyle w:val="berschrift2"/>
      </w:pPr>
      <w:r>
        <w:t>3.3.54.65 Definition 3.3.684 – Funktionale Kompositionsverträglichkeit</w:t>
      </w:r>
    </w:p>
    <w:p w:rsidR="00CE77C4" w:rsidRDefault="00CE77C4" w:rsidP="00CE77C4">
      <w:pPr>
        <w:pStyle w:val="berschrift3"/>
      </w:pPr>
      <w:r>
        <w:t>Definition 3.3.684</w:t>
      </w:r>
    </w:p>
    <w:p w:rsidR="00CE77C4" w:rsidRDefault="00CE77C4" w:rsidP="00CE77C4">
      <w:pPr>
        <w:pStyle w:val="StandardWeb"/>
      </w:pPr>
      <w:r>
        <w:t xml:space="preserve">Zwei funktionale Abbildungen (F) und (G) heißen </w:t>
      </w:r>
      <w:r>
        <w:rPr>
          <w:rStyle w:val="Fett"/>
        </w:rPr>
        <w:t>kompositionsverträglich</w:t>
      </w:r>
      <w:r>
        <w:t>, wenn</w:t>
      </w:r>
    </w:p>
    <w:p w:rsidR="00CE77C4" w:rsidRDefault="00CE77C4" w:rsidP="00CE77C4">
      <w:pPr>
        <w:pStyle w:val="StandardWeb"/>
      </w:pPr>
      <w:r>
        <w:t>[</w:t>
      </w:r>
      <w:r>
        <w:br/>
        <w:t>\boxed{</w:t>
      </w:r>
      <w:r>
        <w:br/>
        <w:t>\operatorname{cod}(F)</w:t>
      </w:r>
      <w:r>
        <w:br/>
        <w:t>\sim_{\mathrm{comp}}</w:t>
      </w:r>
      <w:r>
        <w:br/>
        <w:t>\operatorname{dom}(G).</w:t>
      </w:r>
      <w:r>
        <w:br/>
        <w:t>}</w:t>
      </w:r>
      <w:r>
        <w:br/>
        <w:t>\tag{3.14292}</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\boxed{\operatorname{cod}(F)\sim_{\mathrm{comp}}\operatorname{dom}(G).}</w:t>
      </w:r>
    </w:p>
    <w:p w:rsidR="00CE77C4" w:rsidRDefault="00CE77C4" w:rsidP="00CE77C4">
      <w:r>
        <w:pict>
          <v:rect id="_x0000_i6567" style="width:0;height:1.5pt" o:hralign="center" o:hrstd="t" o:hr="t" fillcolor="#a0a0a0" stroked="f"/>
        </w:pict>
      </w:r>
    </w:p>
    <w:p w:rsidR="00CE77C4" w:rsidRDefault="00CE77C4" w:rsidP="00CE77C4">
      <w:pPr>
        <w:pStyle w:val="berschrift1"/>
      </w:pPr>
      <w:r>
        <w:t>3.3.54.66 Universelle Komponierbarkeit als Primäraxiomkandidat</w:t>
      </w:r>
    </w:p>
    <w:p w:rsidR="00CE77C4" w:rsidRDefault="00CE77C4" w:rsidP="00CE77C4">
      <w:pPr>
        <w:pStyle w:val="StandardWeb"/>
      </w:pPr>
      <w:r>
        <w:t>Ein möglicher Kandidat wäre</w:t>
      </w:r>
    </w:p>
    <w:p w:rsidR="00CE77C4" w:rsidRDefault="00CE77C4" w:rsidP="00CE77C4">
      <w:pPr>
        <w:pStyle w:val="StandardWeb"/>
      </w:pPr>
      <w:r>
        <w:lastRenderedPageBreak/>
        <w:t>[</w:t>
      </w:r>
      <w:r>
        <w:br/>
        <w:t>A_{\mathrm{comp-all}}</w:t>
      </w:r>
      <w:r>
        <w:br/>
        <w:t>:</w:t>
      </w:r>
      <w:r>
        <w:br/>
        <w:t>\forall F,G</w:t>
      </w:r>
      <w:r>
        <w:br/>
        <w:t>:</w:t>
      </w:r>
      <w:r>
        <w:br/>
        <w:t>G\circ F</w:t>
      </w:r>
      <w:r>
        <w:br/>
        <w:t>\text{ ist definiert}.</w:t>
      </w:r>
      <w:r>
        <w:br/>
        <w:t>\tag{3.14293}</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A_{\mathrm{comp-all}}:\forall F,G:G\circ F\text{ ist definiert}</w:t>
      </w:r>
    </w:p>
    <w:p w:rsidR="00CE77C4" w:rsidRDefault="00CE77C4" w:rsidP="00CE77C4">
      <w:r>
        <w:pict>
          <v:rect id="_x0000_i6568" style="width:0;height:1.5pt" o:hralign="center" o:hrstd="t" o:hr="t" fillcolor="#a0a0a0" stroked="f"/>
        </w:pict>
      </w:r>
    </w:p>
    <w:p w:rsidR="00CE77C4" w:rsidRDefault="00CE77C4" w:rsidP="00CE77C4">
      <w:pPr>
        <w:pStyle w:val="berschrift1"/>
      </w:pPr>
      <w:r>
        <w:t>3.3.54.67 Gegenmodell zur universellen Komponierbarkeit</w:t>
      </w:r>
    </w:p>
    <w:p w:rsidR="00CE77C4" w:rsidRDefault="00CE77C4" w:rsidP="00CE77C4">
      <w:pPr>
        <w:pStyle w:val="StandardWeb"/>
      </w:pPr>
      <w:r>
        <w:t>Es können zwei Abbildungen existieren mit</w:t>
      </w:r>
    </w:p>
    <w:p w:rsidR="00CE77C4" w:rsidRDefault="00CE77C4" w:rsidP="00CE77C4">
      <w:pPr>
        <w:pStyle w:val="StandardWeb"/>
      </w:pPr>
      <w:r>
        <w:t>[</w:t>
      </w:r>
      <w:r>
        <w:br/>
        <w:t>F</w:t>
      </w:r>
      <w:r>
        <w:br/>
        <w:t>:</w:t>
      </w:r>
      <w:r>
        <w:br/>
        <w:t>\mathcal X_F</w:t>
      </w:r>
      <w:r>
        <w:br/>
        <w:t>\rightarrow</w:t>
      </w:r>
      <w:r>
        <w:br/>
        <w:t>\mathcal Y_F</w:t>
      </w:r>
      <w:r>
        <w:br/>
        <w:t>\tag{3.14294}</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F:\mathcal X_F\rightarrow\mathcal Y_F</w:t>
      </w:r>
    </w:p>
    <w:p w:rsidR="00CE77C4" w:rsidRDefault="00CE77C4" w:rsidP="00CE77C4">
      <w:pPr>
        <w:pStyle w:val="StandardWeb"/>
      </w:pPr>
      <w:r>
        <w:t>und</w:t>
      </w:r>
    </w:p>
    <w:p w:rsidR="00CE77C4" w:rsidRDefault="00CE77C4" w:rsidP="00CE77C4">
      <w:pPr>
        <w:pStyle w:val="StandardWeb"/>
      </w:pPr>
      <w:r>
        <w:t>[</w:t>
      </w:r>
      <w:r>
        <w:br/>
        <w:t>G</w:t>
      </w:r>
      <w:r>
        <w:br/>
        <w:t>:</w:t>
      </w:r>
      <w:r>
        <w:br/>
        <w:t>\mathcal Z_F</w:t>
      </w:r>
      <w:r>
        <w:br/>
        <w:t>\rightarrow</w:t>
      </w:r>
      <w:r>
        <w:br/>
        <w:t>\mathcal W_F</w:t>
      </w:r>
      <w:r>
        <w:br/>
        <w:t>\tag{3.14295}</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G:\mathcal Z_F\rightarrow\mathcal W_F</w:t>
      </w:r>
    </w:p>
    <w:p w:rsidR="00CE77C4" w:rsidRDefault="00CE77C4" w:rsidP="00CE77C4">
      <w:pPr>
        <w:pStyle w:val="StandardWeb"/>
      </w:pPr>
      <w:r>
        <w:t>wobei keine geeignete Anschlussbeziehung zwischen (\mathcal Y_F) und (\mathcal Z_F) definiert ist.</w:t>
      </w:r>
    </w:p>
    <w:p w:rsidR="00CE77C4" w:rsidRDefault="00CE77C4" w:rsidP="00CE77C4">
      <w:pPr>
        <w:pStyle w:val="StandardWeb"/>
      </w:pPr>
      <w:r>
        <w:lastRenderedPageBreak/>
        <w:t>Dann ist</w:t>
      </w:r>
    </w:p>
    <w:p w:rsidR="00CE77C4" w:rsidRDefault="00CE77C4" w:rsidP="00CE77C4">
      <w:pPr>
        <w:pStyle w:val="StandardWeb"/>
      </w:pPr>
      <w:r>
        <w:t>[</w:t>
      </w:r>
      <w:r>
        <w:br/>
        <w:t>G\circ F</w:t>
      </w:r>
      <w:r>
        <w:br/>
        <w:t>\tag{3.14296}</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G\circ F</w:t>
      </w:r>
    </w:p>
    <w:p w:rsidR="00CE77C4" w:rsidRDefault="00CE77C4" w:rsidP="00CE77C4">
      <w:pPr>
        <w:pStyle w:val="StandardWeb"/>
      </w:pPr>
      <w:r>
        <w:t>nicht notwendig definiert.</w:t>
      </w:r>
    </w:p>
    <w:p w:rsidR="00CE77C4" w:rsidRDefault="00CE77C4" w:rsidP="00CE77C4">
      <w:r>
        <w:pict>
          <v:rect id="_x0000_i6569" style="width:0;height:1.5pt" o:hralign="center" o:hrstd="t" o:hr="t" fillcolor="#a0a0a0" stroked="f"/>
        </w:pict>
      </w:r>
    </w:p>
    <w:p w:rsidR="00CE77C4" w:rsidRDefault="00CE77C4" w:rsidP="00CE77C4">
      <w:pPr>
        <w:pStyle w:val="berschrift1"/>
      </w:pPr>
      <w:r>
        <w:t>3.3.54.68 Axiomentscheidung zur universellen Komponierbarkeit</w:t>
      </w:r>
    </w:p>
    <w:p w:rsidR="00CE77C4" w:rsidRDefault="00CE77C4" w:rsidP="00CE77C4">
      <w:pPr>
        <w:pStyle w:val="StandardWeb"/>
      </w:pPr>
      <w:r>
        <w:t>Damit gilt</w:t>
      </w:r>
    </w:p>
    <w:p w:rsidR="00CE77C4" w:rsidRDefault="00CE77C4" w:rsidP="00CE77C4">
      <w:pPr>
        <w:pStyle w:val="berschrift1"/>
      </w:pPr>
      <w:r>
        <w:t>[</w:t>
      </w:r>
      <w:r>
        <w:br/>
        <w:t>\boxed{</w:t>
      </w:r>
      <w:r>
        <w:br/>
        <w:t>U_{\mathrm{Ax}}</w:t>
      </w:r>
      <w:r>
        <w:br/>
        <w:t>(A_{\mathrm{comp-all}})</w:t>
      </w:r>
    </w:p>
    <w:p w:rsidR="00CE77C4" w:rsidRDefault="00CE77C4" w:rsidP="009F7790">
      <w:pPr>
        <w:numPr>
          <w:ilvl w:val="0"/>
          <w:numId w:val="796"/>
        </w:numPr>
        <w:spacing w:before="100" w:beforeAutospacing="1" w:after="100" w:afterAutospacing="1"/>
      </w:pPr>
    </w:p>
    <w:p w:rsidR="00CE77C4" w:rsidRDefault="00CE77C4" w:rsidP="00CE77C4">
      <w:pPr>
        <w:pStyle w:val="StandardWeb"/>
      </w:pPr>
      <w:r>
        <w:t>}</w:t>
      </w:r>
      <w:r>
        <w:br/>
        <w:t>\tag{3.14297}</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\boxed{U_{\mathrm{Ax}}(A_{\mathrm{comp-all}})=0.}</w:t>
      </w:r>
    </w:p>
    <w:p w:rsidR="00CE77C4" w:rsidRDefault="00CE77C4" w:rsidP="00CE77C4">
      <w:r>
        <w:pict>
          <v:rect id="_x0000_i6570" style="width:0;height:1.5pt" o:hralign="center" o:hrstd="t" o:hr="t" fillcolor="#a0a0a0" stroked="f"/>
        </w:pict>
      </w:r>
    </w:p>
    <w:p w:rsidR="00CE77C4" w:rsidRDefault="00CE77C4" w:rsidP="00CE77C4">
      <w:pPr>
        <w:pStyle w:val="berschrift1"/>
      </w:pPr>
      <w:r>
        <w:t>3.3.54.69 Satz 3.3.282 – Universelle Komponierbarkeit funktionaler Abbildungen ist kein Primäraxiom</w:t>
      </w:r>
    </w:p>
    <w:p w:rsidR="00CE77C4" w:rsidRDefault="00CE77C4" w:rsidP="00CE77C4">
      <w:pPr>
        <w:pStyle w:val="berschrift3"/>
      </w:pPr>
      <w:r>
        <w:t>Satz 3.3.282</w:t>
      </w:r>
    </w:p>
    <w:p w:rsidR="00CE77C4" w:rsidRDefault="00CE77C4" w:rsidP="00CE77C4">
      <w:pPr>
        <w:pStyle w:val="StandardWeb"/>
      </w:pPr>
      <w:r>
        <w:t>Die Forderung, beliebige funktionale Abbildungen eines FRZK-Modells müssten ohne weitere Anschlussbedingungen miteinander komponierbar sein, ist keine universell notwendige Voraussetzung des allgemeinen FRZK.</w:t>
      </w:r>
    </w:p>
    <w:p w:rsidR="00CE77C4" w:rsidRDefault="00CE77C4" w:rsidP="00CE77C4">
      <w:pPr>
        <w:pStyle w:val="berschrift1"/>
      </w:pPr>
      <w:r>
        <w:lastRenderedPageBreak/>
        <w:t>[</w:t>
      </w:r>
      <w:r>
        <w:br/>
        <w:t>\boxed{</w:t>
      </w:r>
      <w:r>
        <w:br/>
        <w:t>U_{\mathrm{Ax}}</w:t>
      </w:r>
      <w:r>
        <w:br/>
        <w:t>(A_{\mathrm{comp-all}})</w:t>
      </w:r>
    </w:p>
    <w:p w:rsidR="00CE77C4" w:rsidRDefault="00CE77C4" w:rsidP="009F7790">
      <w:pPr>
        <w:numPr>
          <w:ilvl w:val="0"/>
          <w:numId w:val="797"/>
        </w:numPr>
        <w:spacing w:before="100" w:beforeAutospacing="1" w:after="100" w:afterAutospacing="1"/>
      </w:pPr>
    </w:p>
    <w:p w:rsidR="00CE77C4" w:rsidRDefault="00CE77C4" w:rsidP="00CE77C4">
      <w:pPr>
        <w:pStyle w:val="StandardWeb"/>
      </w:pPr>
      <w:r>
        <w:t>}</w:t>
      </w:r>
      <w:r>
        <w:br/>
        <w:t>\tag{3.14298}</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\boxed{U_{\mathrm{Ax}}(A_{\mathrm{comp-all}})=0.}</w:t>
      </w:r>
    </w:p>
    <w:p w:rsidR="00CE77C4" w:rsidRDefault="00CE77C4" w:rsidP="00CE77C4">
      <w:r>
        <w:pict>
          <v:rect id="_x0000_i6571" style="width:0;height:1.5pt" o:hralign="center" o:hrstd="t" o:hr="t" fillcolor="#a0a0a0" stroked="f"/>
        </w:pict>
      </w:r>
    </w:p>
    <w:p w:rsidR="00CE77C4" w:rsidRDefault="00CE77C4" w:rsidP="00CE77C4">
      <w:pPr>
        <w:pStyle w:val="berschrift1"/>
      </w:pPr>
      <w:r>
        <w:t>3.3.54.70 Assoziativität der Komposition</w:t>
      </w:r>
    </w:p>
    <w:p w:rsidR="00CE77C4" w:rsidRDefault="00CE77C4" w:rsidP="00CE77C4">
      <w:pPr>
        <w:pStyle w:val="StandardWeb"/>
      </w:pPr>
      <w:r>
        <w:t>Für drei kompatible Abbildungen kann die klassische Assoziativitätsbedingung betrachtet werden:</w:t>
      </w:r>
    </w:p>
    <w:p w:rsidR="00CE77C4" w:rsidRDefault="00CE77C4" w:rsidP="00CE77C4">
      <w:pPr>
        <w:pStyle w:val="berschrift1"/>
      </w:pPr>
      <w:r>
        <w:t>[</w:t>
      </w:r>
      <w:r>
        <w:br/>
        <w:t>H\circ(G\circ F)</w:t>
      </w:r>
    </w:p>
    <w:p w:rsidR="00CE77C4" w:rsidRDefault="00CE77C4" w:rsidP="00CE77C4">
      <w:pPr>
        <w:pStyle w:val="StandardWeb"/>
      </w:pPr>
      <w:r>
        <w:t>(H\circ G)\circ F.</w:t>
      </w:r>
      <w:r>
        <w:br/>
        <w:t>\tag{3.14299}</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H\circ(G\circ F)=(H\circ G)\circ F</w:t>
      </w:r>
    </w:p>
    <w:p w:rsidR="00CE77C4" w:rsidRDefault="00CE77C4" w:rsidP="00CE77C4">
      <w:r>
        <w:pict>
          <v:rect id="_x0000_i6572" style="width:0;height:1.5pt" o:hralign="center" o:hrstd="t" o:hr="t" fillcolor="#a0a0a0" stroked="f"/>
        </w:pict>
      </w:r>
    </w:p>
    <w:p w:rsidR="00CE77C4" w:rsidRDefault="00CE77C4" w:rsidP="00CE77C4">
      <w:pPr>
        <w:pStyle w:val="berschrift2"/>
      </w:pPr>
      <w:r>
        <w:t>3.3.54.71 Definition 3.3.685 – Assoziative funktionale Komposition</w:t>
      </w:r>
    </w:p>
    <w:p w:rsidR="00CE77C4" w:rsidRDefault="00CE77C4" w:rsidP="00CE77C4">
      <w:pPr>
        <w:pStyle w:val="berschrift3"/>
      </w:pPr>
      <w:r>
        <w:t>Definition 3.3.685</w:t>
      </w:r>
    </w:p>
    <w:p w:rsidR="00CE77C4" w:rsidRDefault="00CE77C4" w:rsidP="00CE77C4">
      <w:pPr>
        <w:pStyle w:val="StandardWeb"/>
      </w:pPr>
      <w:r>
        <w:t xml:space="preserve">Eine funktionale Kompositionsstruktur heißt </w:t>
      </w:r>
      <w:r>
        <w:rPr>
          <w:rStyle w:val="Fett"/>
        </w:rPr>
        <w:t>assoziativ</w:t>
      </w:r>
      <w:r>
        <w:t>, wenn</w:t>
      </w:r>
    </w:p>
    <w:p w:rsidR="00CE77C4" w:rsidRDefault="00CE77C4" w:rsidP="00CE77C4">
      <w:pPr>
        <w:pStyle w:val="berschrift1"/>
      </w:pPr>
      <w:r>
        <w:t>[</w:t>
      </w:r>
      <w:r>
        <w:br/>
        <w:t>\boxed{</w:t>
      </w:r>
      <w:r>
        <w:br/>
        <w:t>H\circ(G\circ F)</w:t>
      </w:r>
    </w:p>
    <w:p w:rsidR="00CE77C4" w:rsidRDefault="00CE77C4" w:rsidP="00CE77C4">
      <w:pPr>
        <w:pStyle w:val="StandardWeb"/>
      </w:pPr>
      <w:r>
        <w:lastRenderedPageBreak/>
        <w:t>(H\circ G)\circ F</w:t>
      </w:r>
      <w:r>
        <w:br/>
        <w:t>}</w:t>
      </w:r>
      <w:r>
        <w:br/>
        <w:t>\tag{3.14300}</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\boxed{H\circ(G\circ F)=(H\circ G)\circ F}</w:t>
      </w:r>
    </w:p>
    <w:p w:rsidR="00CE77C4" w:rsidRDefault="00CE77C4" w:rsidP="00CE77C4">
      <w:pPr>
        <w:pStyle w:val="StandardWeb"/>
      </w:pPr>
      <w:r>
        <w:t>für alle zulässigen kompatiblen Tripel gilt.</w:t>
      </w:r>
    </w:p>
    <w:p w:rsidR="00CE77C4" w:rsidRDefault="00CE77C4" w:rsidP="00CE77C4">
      <w:r>
        <w:pict>
          <v:rect id="_x0000_i6573" style="width:0;height:1.5pt" o:hralign="center" o:hrstd="t" o:hr="t" fillcolor="#a0a0a0" stroked="f"/>
        </w:pict>
      </w:r>
    </w:p>
    <w:p w:rsidR="00CE77C4" w:rsidRDefault="00CE77C4" w:rsidP="00CE77C4">
      <w:pPr>
        <w:pStyle w:val="berschrift1"/>
      </w:pPr>
      <w:r>
        <w:t>3.3.54.72 Assoziativität als Primäraxiomkandidat</w:t>
      </w:r>
    </w:p>
    <w:p w:rsidR="00CE77C4" w:rsidRDefault="00CE77C4" w:rsidP="00CE77C4">
      <w:pPr>
        <w:pStyle w:val="StandardWeb"/>
      </w:pPr>
      <w:r>
        <w:t>Der Kandidat lautet</w:t>
      </w:r>
    </w:p>
    <w:p w:rsidR="00CE77C4" w:rsidRDefault="00CE77C4" w:rsidP="00CE77C4">
      <w:pPr>
        <w:pStyle w:val="berschrift1"/>
      </w:pPr>
      <w:r>
        <w:t>[</w:t>
      </w:r>
      <w:r>
        <w:br/>
        <w:t>A_{\mathrm{comp-assoc}}</w:t>
      </w:r>
      <w:r>
        <w:br/>
        <w:t>:</w:t>
      </w:r>
      <w:r>
        <w:br/>
        <w:t>H\circ(G\circ F)</w:t>
      </w:r>
    </w:p>
    <w:p w:rsidR="00CE77C4" w:rsidRDefault="00CE77C4" w:rsidP="00CE77C4">
      <w:pPr>
        <w:pStyle w:val="StandardWeb"/>
      </w:pPr>
      <w:r>
        <w:t>(H\circ G)\circ F.</w:t>
      </w:r>
      <w:r>
        <w:br/>
        <w:t>\tag{3.14301}</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A_{\mathrm{comp-assoc}}:H\circ(G\circ F)=(H\circ G)\circ F</w:t>
      </w:r>
    </w:p>
    <w:p w:rsidR="00CE77C4" w:rsidRDefault="00CE77C4" w:rsidP="00CE77C4">
      <w:r>
        <w:pict>
          <v:rect id="_x0000_i6574" style="width:0;height:1.5pt" o:hralign="center" o:hrstd="t" o:hr="t" fillcolor="#a0a0a0" stroked="f"/>
        </w:pict>
      </w:r>
    </w:p>
    <w:p w:rsidR="00CE77C4" w:rsidRDefault="00CE77C4" w:rsidP="00CE77C4">
      <w:pPr>
        <w:pStyle w:val="berschrift1"/>
      </w:pPr>
      <w:r>
        <w:t>3.3.54.73 Verallgemeinerte nichtassoziative Verknüpfung</w:t>
      </w:r>
    </w:p>
    <w:p w:rsidR="00CE77C4" w:rsidRDefault="00CE77C4" w:rsidP="00CE77C4">
      <w:pPr>
        <w:pStyle w:val="StandardWeb"/>
      </w:pPr>
      <w:r>
        <w:t>Das allgemeine FRZK muss jedoch nicht jede modellabhängige Verknüpfungsoperation als klassische Funktionskomposition definieren.</w:t>
      </w:r>
    </w:p>
    <w:p w:rsidR="00CE77C4" w:rsidRDefault="00CE77C4" w:rsidP="00CE77C4">
      <w:pPr>
        <w:pStyle w:val="StandardWeb"/>
      </w:pPr>
      <w:r>
        <w:t>Eine verallgemeinerte Operation</w:t>
      </w:r>
    </w:p>
    <w:p w:rsidR="00CE77C4" w:rsidRDefault="00CE77C4" w:rsidP="00CE77C4">
      <w:pPr>
        <w:pStyle w:val="StandardWeb"/>
      </w:pPr>
      <w:r>
        <w:t>[</w:t>
      </w:r>
      <w:r>
        <w:br/>
        <w:t>\star_F</w:t>
      </w:r>
      <w:r>
        <w:br/>
        <w:t>\tag{3.14302}</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\star_F</w:t>
      </w:r>
    </w:p>
    <w:p w:rsidR="00CE77C4" w:rsidRDefault="00CE77C4" w:rsidP="00CE77C4">
      <w:pPr>
        <w:pStyle w:val="StandardWeb"/>
      </w:pPr>
      <w:r>
        <w:lastRenderedPageBreak/>
        <w:t>kann erfüllen</w:t>
      </w:r>
    </w:p>
    <w:p w:rsidR="00CE77C4" w:rsidRDefault="00CE77C4" w:rsidP="00CE77C4">
      <w:pPr>
        <w:pStyle w:val="StandardWeb"/>
      </w:pPr>
      <w:r>
        <w:t>[</w:t>
      </w:r>
      <w:r>
        <w:br/>
        <w:t>H\star_F(G\star_F F)</w:t>
      </w:r>
      <w:r>
        <w:br/>
        <w:t>\neq</w:t>
      </w:r>
      <w:r>
        <w:br/>
        <w:t>(H\star_F G)\star_F F.</w:t>
      </w:r>
      <w:r>
        <w:br/>
        <w:t>\tag{3.14303}</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H\star_F(G\star_F F)\neq(H\star_F G)\star_F F</w:t>
      </w:r>
    </w:p>
    <w:p w:rsidR="00CE77C4" w:rsidRDefault="00CE77C4" w:rsidP="00CE77C4">
      <w:r>
        <w:pict>
          <v:rect id="_x0000_i6575" style="width:0;height:1.5pt" o:hralign="center" o:hrstd="t" o:hr="t" fillcolor="#a0a0a0" stroked="f"/>
        </w:pict>
      </w:r>
    </w:p>
    <w:p w:rsidR="00CE77C4" w:rsidRDefault="00CE77C4" w:rsidP="00CE77C4">
      <w:pPr>
        <w:pStyle w:val="berschrift1"/>
      </w:pPr>
      <w:r>
        <w:t>3.3.54.74 Axiomentscheidung zur universellen Assoziativität</w:t>
      </w:r>
    </w:p>
    <w:p w:rsidR="00CE77C4" w:rsidRDefault="00CE77C4" w:rsidP="00CE77C4">
      <w:pPr>
        <w:pStyle w:val="StandardWeb"/>
      </w:pPr>
      <w:r>
        <w:t>Daher gilt für eine universelle Assoziativitätsforderung aller funktionalen Verknüpfungsstrukturen</w:t>
      </w:r>
    </w:p>
    <w:p w:rsidR="00CE77C4" w:rsidRDefault="00CE77C4" w:rsidP="00CE77C4">
      <w:pPr>
        <w:pStyle w:val="berschrift1"/>
      </w:pPr>
      <w:r>
        <w:t>[</w:t>
      </w:r>
      <w:r>
        <w:br/>
        <w:t>\boxed{</w:t>
      </w:r>
      <w:r>
        <w:br/>
        <w:t>U_{\mathrm{Ax}}</w:t>
      </w:r>
      <w:r>
        <w:br/>
        <w:t>(A_{\mathrm{comp-assoc}})</w:t>
      </w:r>
    </w:p>
    <w:p w:rsidR="00CE77C4" w:rsidRDefault="00CE77C4" w:rsidP="009F7790">
      <w:pPr>
        <w:numPr>
          <w:ilvl w:val="0"/>
          <w:numId w:val="798"/>
        </w:numPr>
        <w:spacing w:before="100" w:beforeAutospacing="1" w:after="100" w:afterAutospacing="1"/>
      </w:pPr>
    </w:p>
    <w:p w:rsidR="00CE77C4" w:rsidRDefault="00CE77C4" w:rsidP="00CE77C4">
      <w:pPr>
        <w:pStyle w:val="StandardWeb"/>
      </w:pPr>
      <w:r>
        <w:t>}</w:t>
      </w:r>
      <w:r>
        <w:br/>
        <w:t>\tag{3.14304}</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\boxed{U_{\mathrm{Ax}}(A_{\mathrm{comp-assoc}})=0.}</w:t>
      </w:r>
    </w:p>
    <w:p w:rsidR="00CE77C4" w:rsidRDefault="00CE77C4" w:rsidP="00CE77C4">
      <w:r>
        <w:pict>
          <v:rect id="_x0000_i6576" style="width:0;height:1.5pt" o:hralign="center" o:hrstd="t" o:hr="t" fillcolor="#a0a0a0" stroked="f"/>
        </w:pict>
      </w:r>
    </w:p>
    <w:p w:rsidR="00CE77C4" w:rsidRDefault="00CE77C4" w:rsidP="00CE77C4">
      <w:pPr>
        <w:pStyle w:val="berschrift1"/>
      </w:pPr>
      <w:r>
        <w:t>3.3.54.75 Satz 3.3.283 – Universelle Assoziativität funktionaler Verknüpfungen ist kein Primäraxiom</w:t>
      </w:r>
    </w:p>
    <w:p w:rsidR="00CE77C4" w:rsidRDefault="00CE77C4" w:rsidP="00CE77C4">
      <w:pPr>
        <w:pStyle w:val="berschrift3"/>
      </w:pPr>
      <w:r>
        <w:t>Satz 3.3.283</w:t>
      </w:r>
    </w:p>
    <w:p w:rsidR="00CE77C4" w:rsidRDefault="00CE77C4" w:rsidP="00CE77C4">
      <w:pPr>
        <w:pStyle w:val="StandardWeb"/>
      </w:pPr>
      <w:r>
        <w:t>Die Forderung, jede zulässige funktionale Verknüpfungsstruktur müsse assoziativ sein, ist keine universell notwendige Voraussetzung des allgemeinen FRZK.</w:t>
      </w:r>
    </w:p>
    <w:p w:rsidR="00CE77C4" w:rsidRDefault="00CE77C4" w:rsidP="00CE77C4">
      <w:pPr>
        <w:pStyle w:val="berschrift1"/>
      </w:pPr>
      <w:r>
        <w:lastRenderedPageBreak/>
        <w:t>[</w:t>
      </w:r>
      <w:r>
        <w:br/>
        <w:t>\boxed{</w:t>
      </w:r>
      <w:r>
        <w:br/>
        <w:t>U_{\mathrm{Ax}}</w:t>
      </w:r>
      <w:r>
        <w:br/>
        <w:t>(A_{\mathrm{comp-assoc}})</w:t>
      </w:r>
    </w:p>
    <w:p w:rsidR="00CE77C4" w:rsidRDefault="00CE77C4" w:rsidP="009F7790">
      <w:pPr>
        <w:numPr>
          <w:ilvl w:val="0"/>
          <w:numId w:val="799"/>
        </w:numPr>
        <w:spacing w:before="100" w:beforeAutospacing="1" w:after="100" w:afterAutospacing="1"/>
      </w:pPr>
    </w:p>
    <w:p w:rsidR="00CE77C4" w:rsidRDefault="00CE77C4" w:rsidP="00CE77C4">
      <w:pPr>
        <w:pStyle w:val="StandardWeb"/>
      </w:pPr>
      <w:r>
        <w:t>}</w:t>
      </w:r>
      <w:r>
        <w:br/>
        <w:t>\tag{3.14305}</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\boxed{U_{\mathrm{Ax}}(A_{\mathrm{comp-assoc}})=0.}</w:t>
      </w:r>
    </w:p>
    <w:p w:rsidR="00CE77C4" w:rsidRDefault="00CE77C4" w:rsidP="00CE77C4">
      <w:pPr>
        <w:pStyle w:val="StandardWeb"/>
      </w:pPr>
      <w:r>
        <w:t xml:space="preserve">Dabei bleibt die gewöhnliche Funktionskomposition selbstverständlich assoziativ, sofern sie im mathematisch üblichen Sinn definiert ist. Verworfen wird ausschließlich die Forderung, </w:t>
      </w:r>
      <w:r>
        <w:rPr>
          <w:rStyle w:val="Fett"/>
        </w:rPr>
        <w:t>jede</w:t>
      </w:r>
      <w:r>
        <w:t xml:space="preserve"> mögliche FRZK-Verknüpfungsstruktur müsse diese Eigenschaft besitzen.</w:t>
      </w:r>
    </w:p>
    <w:p w:rsidR="00CE77C4" w:rsidRDefault="00CE77C4" w:rsidP="00CE77C4">
      <w:r>
        <w:pict>
          <v:rect id="_x0000_i6577" style="width:0;height:1.5pt" o:hralign="center" o:hrstd="t" o:hr="t" fillcolor="#a0a0a0" stroked="f"/>
        </w:pict>
      </w:r>
    </w:p>
    <w:p w:rsidR="00CE77C4" w:rsidRDefault="00CE77C4" w:rsidP="00CE77C4">
      <w:pPr>
        <w:pStyle w:val="berschrift1"/>
      </w:pPr>
      <w:r>
        <w:t>3.3.54.76 Kommutativität der Komposition</w:t>
      </w:r>
    </w:p>
    <w:p w:rsidR="00CE77C4" w:rsidRDefault="00CE77C4" w:rsidP="00CE77C4">
      <w:pPr>
        <w:pStyle w:val="StandardWeb"/>
      </w:pPr>
      <w:r>
        <w:t>Eine stärkere Bedingung wäre</w:t>
      </w:r>
    </w:p>
    <w:p w:rsidR="00CE77C4" w:rsidRDefault="00CE77C4" w:rsidP="00CE77C4">
      <w:pPr>
        <w:pStyle w:val="berschrift1"/>
      </w:pPr>
      <w:r>
        <w:t>[</w:t>
      </w:r>
      <w:r>
        <w:br/>
        <w:t>G\circ F</w:t>
      </w:r>
    </w:p>
    <w:p w:rsidR="00CE77C4" w:rsidRDefault="00CE77C4" w:rsidP="00CE77C4">
      <w:pPr>
        <w:pStyle w:val="StandardWeb"/>
      </w:pPr>
      <w:r>
        <w:t>F\circ G.</w:t>
      </w:r>
      <w:r>
        <w:br/>
        <w:t>\tag{3.14306}</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G\circ F=F\circ G</w:t>
      </w:r>
    </w:p>
    <w:p w:rsidR="00CE77C4" w:rsidRDefault="00CE77C4" w:rsidP="00CE77C4">
      <w:r>
        <w:pict>
          <v:rect id="_x0000_i6578" style="width:0;height:1.5pt" o:hralign="center" o:hrstd="t" o:hr="t" fillcolor="#a0a0a0" stroked="f"/>
        </w:pict>
      </w:r>
    </w:p>
    <w:p w:rsidR="00CE77C4" w:rsidRDefault="00CE77C4" w:rsidP="00CE77C4">
      <w:pPr>
        <w:pStyle w:val="berschrift1"/>
      </w:pPr>
      <w:r>
        <w:t>3.3.54.77 Kommutativität als Primäraxiomkandidat</w:t>
      </w:r>
    </w:p>
    <w:p w:rsidR="00CE77C4" w:rsidRDefault="00CE77C4" w:rsidP="00CE77C4">
      <w:pPr>
        <w:pStyle w:val="StandardWeb"/>
      </w:pPr>
      <w:r>
        <w:t>Ich prüfe</w:t>
      </w:r>
    </w:p>
    <w:p w:rsidR="00CE77C4" w:rsidRDefault="00CE77C4" w:rsidP="00CE77C4">
      <w:pPr>
        <w:pStyle w:val="berschrift1"/>
      </w:pPr>
      <w:r>
        <w:t>[</w:t>
      </w:r>
      <w:r>
        <w:br/>
        <w:t>A_{\mathrm{comp-comm}}</w:t>
      </w:r>
      <w:r>
        <w:br/>
      </w:r>
      <w:r>
        <w:lastRenderedPageBreak/>
        <w:t>:</w:t>
      </w:r>
      <w:r>
        <w:br/>
        <w:t>G\circ F</w:t>
      </w:r>
    </w:p>
    <w:p w:rsidR="00CE77C4" w:rsidRDefault="00CE77C4" w:rsidP="00CE77C4">
      <w:pPr>
        <w:pStyle w:val="StandardWeb"/>
      </w:pPr>
      <w:r>
        <w:t>F\circ G.</w:t>
      </w:r>
      <w:r>
        <w:br/>
        <w:t>\tag{3.14307}</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A_{\mathrm{comp-comm}}:G\circ F=F\circ G</w:t>
      </w:r>
    </w:p>
    <w:p w:rsidR="00CE77C4" w:rsidRDefault="00CE77C4" w:rsidP="00CE77C4">
      <w:r>
        <w:pict>
          <v:rect id="_x0000_i6579" style="width:0;height:1.5pt" o:hralign="center" o:hrstd="t" o:hr="t" fillcolor="#a0a0a0" stroked="f"/>
        </w:pict>
      </w:r>
    </w:p>
    <w:p w:rsidR="00CE77C4" w:rsidRDefault="00CE77C4" w:rsidP="00CE77C4">
      <w:pPr>
        <w:pStyle w:val="berschrift1"/>
      </w:pPr>
      <w:r>
        <w:t>3.3.54.78 Gegenmodell</w:t>
      </w:r>
    </w:p>
    <w:p w:rsidR="00CE77C4" w:rsidRDefault="00CE77C4" w:rsidP="00CE77C4">
      <w:pPr>
        <w:pStyle w:val="StandardWeb"/>
      </w:pPr>
      <w:r>
        <w:t>Zwei zulässige Operationen können reihenfolgeabhängig sein:</w:t>
      </w:r>
    </w:p>
    <w:p w:rsidR="00CE77C4" w:rsidRDefault="00CE77C4" w:rsidP="00CE77C4">
      <w:pPr>
        <w:pStyle w:val="berschrift1"/>
      </w:pPr>
      <w:r>
        <w:t>[</w:t>
      </w:r>
      <w:r>
        <w:br/>
        <w:t>G(F(X))</w:t>
      </w:r>
    </w:p>
    <w:p w:rsidR="00CE77C4" w:rsidRDefault="00CE77C4" w:rsidP="00CE77C4">
      <w:pPr>
        <w:pStyle w:val="StandardWeb"/>
      </w:pPr>
      <w:r>
        <w:t>Y_1</w:t>
      </w:r>
      <w:r>
        <w:br/>
        <w:t>\tag{3.14308}</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G(F(X))=Y_1</w:t>
      </w:r>
    </w:p>
    <w:p w:rsidR="00CE77C4" w:rsidRDefault="00CE77C4" w:rsidP="00CE77C4">
      <w:pPr>
        <w:pStyle w:val="StandardWeb"/>
      </w:pPr>
      <w:r>
        <w:t>und</w:t>
      </w:r>
    </w:p>
    <w:p w:rsidR="00CE77C4" w:rsidRDefault="00CE77C4" w:rsidP="00CE77C4">
      <w:pPr>
        <w:pStyle w:val="berschrift1"/>
      </w:pPr>
      <w:r>
        <w:t>[</w:t>
      </w:r>
      <w:r>
        <w:br/>
        <w:t>F(G(X))</w:t>
      </w:r>
    </w:p>
    <w:p w:rsidR="00CE77C4" w:rsidRDefault="00CE77C4" w:rsidP="00CE77C4">
      <w:pPr>
        <w:pStyle w:val="StandardWeb"/>
      </w:pPr>
      <w:r>
        <w:t>Y_2</w:t>
      </w:r>
      <w:r>
        <w:br/>
        <w:t>\tag{3.14309}</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F(G(X))=Y_2</w:t>
      </w:r>
    </w:p>
    <w:p w:rsidR="00CE77C4" w:rsidRDefault="00CE77C4" w:rsidP="00CE77C4">
      <w:pPr>
        <w:pStyle w:val="StandardWeb"/>
      </w:pPr>
      <w:r>
        <w:t>mit</w:t>
      </w:r>
    </w:p>
    <w:p w:rsidR="00CE77C4" w:rsidRDefault="00CE77C4" w:rsidP="00CE77C4">
      <w:pPr>
        <w:pStyle w:val="StandardWeb"/>
      </w:pPr>
      <w:r>
        <w:t>[</w:t>
      </w:r>
      <w:r>
        <w:br/>
        <w:t>Y_1</w:t>
      </w:r>
      <w:r>
        <w:br/>
        <w:t>\neq</w:t>
      </w:r>
      <w:r>
        <w:br/>
        <w:t>Y_2.</w:t>
      </w:r>
      <w:r>
        <w:br/>
      </w:r>
      <w:r>
        <w:lastRenderedPageBreak/>
        <w:t>\tag{3.14310}</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Y_1\neq Y_2</w:t>
      </w:r>
    </w:p>
    <w:p w:rsidR="00CE77C4" w:rsidRDefault="00CE77C4" w:rsidP="00CE77C4">
      <w:r>
        <w:pict>
          <v:rect id="_x0000_i6580" style="width:0;height:1.5pt" o:hralign="center" o:hrstd="t" o:hr="t" fillcolor="#a0a0a0" stroked="f"/>
        </w:pict>
      </w:r>
    </w:p>
    <w:p w:rsidR="00CE77C4" w:rsidRDefault="00CE77C4" w:rsidP="00CE77C4">
      <w:pPr>
        <w:pStyle w:val="berschrift1"/>
      </w:pPr>
      <w:r>
        <w:t>3.3.54.79 Axiomentscheidung zur Kommutativität</w:t>
      </w:r>
    </w:p>
    <w:p w:rsidR="00CE77C4" w:rsidRDefault="00CE77C4" w:rsidP="00CE77C4">
      <w:pPr>
        <w:pStyle w:val="StandardWeb"/>
      </w:pPr>
      <w:r>
        <w:t>Damit folgt</w:t>
      </w:r>
    </w:p>
    <w:p w:rsidR="00CE77C4" w:rsidRDefault="00CE77C4" w:rsidP="00CE77C4">
      <w:pPr>
        <w:pStyle w:val="berschrift1"/>
      </w:pPr>
      <w:r>
        <w:t>[</w:t>
      </w:r>
      <w:r>
        <w:br/>
        <w:t>\boxed{</w:t>
      </w:r>
      <w:r>
        <w:br/>
        <w:t>U_{\mathrm{Ax}}</w:t>
      </w:r>
      <w:r>
        <w:br/>
        <w:t>(A_{\mathrm{comp-comm}})</w:t>
      </w:r>
    </w:p>
    <w:p w:rsidR="00CE77C4" w:rsidRDefault="00CE77C4" w:rsidP="009F7790">
      <w:pPr>
        <w:numPr>
          <w:ilvl w:val="0"/>
          <w:numId w:val="800"/>
        </w:numPr>
        <w:spacing w:before="100" w:beforeAutospacing="1" w:after="100" w:afterAutospacing="1"/>
      </w:pPr>
    </w:p>
    <w:p w:rsidR="00CE77C4" w:rsidRDefault="00CE77C4" w:rsidP="00CE77C4">
      <w:pPr>
        <w:pStyle w:val="StandardWeb"/>
      </w:pPr>
      <w:r>
        <w:t>}</w:t>
      </w:r>
      <w:r>
        <w:br/>
        <w:t>\tag{3.14311}</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\boxed{U_{\mathrm{Ax}}(A_{\mathrm{comp-comm}})=0.}</w:t>
      </w:r>
    </w:p>
    <w:p w:rsidR="00CE77C4" w:rsidRDefault="00CE77C4" w:rsidP="00CE77C4">
      <w:r>
        <w:pict>
          <v:rect id="_x0000_i6581" style="width:0;height:1.5pt" o:hralign="center" o:hrstd="t" o:hr="t" fillcolor="#a0a0a0" stroked="f"/>
        </w:pict>
      </w:r>
    </w:p>
    <w:p w:rsidR="00CE77C4" w:rsidRDefault="00CE77C4" w:rsidP="00CE77C4">
      <w:pPr>
        <w:pStyle w:val="berschrift1"/>
      </w:pPr>
      <w:r>
        <w:t>3.3.54.80 Satz 3.3.284 – Kommutativität funktionaler Komposition ist kein Primäraxiom</w:t>
      </w:r>
    </w:p>
    <w:p w:rsidR="00CE77C4" w:rsidRDefault="00CE77C4" w:rsidP="00CE77C4">
      <w:pPr>
        <w:pStyle w:val="berschrift3"/>
      </w:pPr>
      <w:r>
        <w:t>Satz 3.3.284</w:t>
      </w:r>
    </w:p>
    <w:p w:rsidR="00CE77C4" w:rsidRDefault="00CE77C4" w:rsidP="00CE77C4">
      <w:pPr>
        <w:pStyle w:val="StandardWeb"/>
      </w:pPr>
      <w:r>
        <w:t>Die Forderung, beliebige funktionale Kompositionen müssten unabhängig von ihrer Reihenfolge dasselbe Ergebnis erzeugen, ist keine universell notwendige Voraussetzung des allgemeinen FRZK.</w:t>
      </w:r>
    </w:p>
    <w:p w:rsidR="00CE77C4" w:rsidRDefault="00CE77C4" w:rsidP="00CE77C4">
      <w:pPr>
        <w:pStyle w:val="berschrift1"/>
      </w:pPr>
      <w:r>
        <w:t>[</w:t>
      </w:r>
      <w:r>
        <w:br/>
        <w:t>\boxed{</w:t>
      </w:r>
      <w:r>
        <w:br/>
        <w:t>U_{\mathrm{Ax}}</w:t>
      </w:r>
      <w:r>
        <w:br/>
        <w:t>(A_{\mathrm{comp-comm}})</w:t>
      </w:r>
    </w:p>
    <w:p w:rsidR="00CE77C4" w:rsidRDefault="00CE77C4" w:rsidP="009F7790">
      <w:pPr>
        <w:numPr>
          <w:ilvl w:val="0"/>
          <w:numId w:val="801"/>
        </w:numPr>
        <w:spacing w:before="100" w:beforeAutospacing="1" w:after="100" w:afterAutospacing="1"/>
      </w:pPr>
    </w:p>
    <w:p w:rsidR="00CE77C4" w:rsidRDefault="00CE77C4" w:rsidP="00CE77C4">
      <w:pPr>
        <w:pStyle w:val="StandardWeb"/>
      </w:pPr>
      <w:r>
        <w:lastRenderedPageBreak/>
        <w:t>}</w:t>
      </w:r>
      <w:r>
        <w:br/>
        <w:t>\tag{3.14312}</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\boxed{U_{\mathrm{Ax}}(A_{\mathrm{comp-comm}})=0.}</w:t>
      </w:r>
    </w:p>
    <w:p w:rsidR="00CE77C4" w:rsidRDefault="00CE77C4" w:rsidP="00CE77C4">
      <w:r>
        <w:pict>
          <v:rect id="_x0000_i6582" style="width:0;height:1.5pt" o:hralign="center" o:hrstd="t" o:hr="t" fillcolor="#a0a0a0" stroked="f"/>
        </w:pict>
      </w:r>
    </w:p>
    <w:p w:rsidR="00CE77C4" w:rsidRDefault="00CE77C4" w:rsidP="00CE77C4">
      <w:pPr>
        <w:pStyle w:val="berschrift1"/>
      </w:pPr>
      <w:r>
        <w:t>3.3.54.81 Korollar 3.3.84 – Kompositionsreihenfolge kann funktional relevant sein</w:t>
      </w:r>
    </w:p>
    <w:p w:rsidR="00CE77C4" w:rsidRDefault="00CE77C4" w:rsidP="00CE77C4">
      <w:pPr>
        <w:pStyle w:val="berschrift3"/>
      </w:pPr>
      <w:r>
        <w:t>Korollar 3.3.84</w:t>
      </w:r>
    </w:p>
    <w:p w:rsidR="00CE77C4" w:rsidRDefault="00CE77C4" w:rsidP="00CE77C4">
      <w:pPr>
        <w:pStyle w:val="StandardWeb"/>
      </w:pPr>
      <w:r>
        <w:t>Aus Satz 3.3.284 folgt</w:t>
      </w:r>
    </w:p>
    <w:p w:rsidR="00CE77C4" w:rsidRDefault="00CE77C4" w:rsidP="00CE77C4">
      <w:pPr>
        <w:pStyle w:val="StandardWeb"/>
      </w:pPr>
      <w:r>
        <w:t>[</w:t>
      </w:r>
      <w:r>
        <w:br/>
        <w:t>\boxed{</w:t>
      </w:r>
      <w:r>
        <w:br/>
        <w:t>G\circ F</w:t>
      </w:r>
      <w:r>
        <w:br/>
        <w:t>\not\equiv</w:t>
      </w:r>
      <w:r>
        <w:br/>
        <w:t>F\circ G.</w:t>
      </w:r>
      <w:r>
        <w:br/>
        <w:t>}</w:t>
      </w:r>
      <w:r>
        <w:br/>
        <w:t>\tag{3.14313}</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\boxed{G\circ F\not\equiv F\circ G.}</w:t>
      </w:r>
    </w:p>
    <w:p w:rsidR="00CE77C4" w:rsidRDefault="00CE77C4" w:rsidP="00CE77C4">
      <w:r>
        <w:pict>
          <v:rect id="_x0000_i6583" style="width:0;height:1.5pt" o:hralign="center" o:hrstd="t" o:hr="t" fillcolor="#a0a0a0" stroked="f"/>
        </w:pict>
      </w:r>
    </w:p>
    <w:p w:rsidR="00CE77C4" w:rsidRDefault="00CE77C4" w:rsidP="00CE77C4">
      <w:pPr>
        <w:pStyle w:val="berschrift1"/>
      </w:pPr>
      <w:r>
        <w:t>3.3.54.82 Funktionales Modul</w:t>
      </w:r>
    </w:p>
    <w:p w:rsidR="00CE77C4" w:rsidRDefault="00CE77C4" w:rsidP="00CE77C4">
      <w:pPr>
        <w:pStyle w:val="StandardWeb"/>
      </w:pPr>
      <w:r>
        <w:t>Ich führe nun den Begriff eines funktionalen Moduls ein.</w:t>
      </w:r>
    </w:p>
    <w:p w:rsidR="00CE77C4" w:rsidRDefault="00CE77C4" w:rsidP="00CE77C4">
      <w:pPr>
        <w:pStyle w:val="StandardWeb"/>
      </w:pPr>
      <w:r>
        <w:t>Ein Modul soll einen Teil einer größeren funktionalen Struktur beschreiben, der durch eine eigene Objektmenge und interne Operationen charakterisiert werden kann.</w:t>
      </w:r>
    </w:p>
    <w:p w:rsidR="00CE77C4" w:rsidRDefault="00CE77C4" w:rsidP="00CE77C4">
      <w:r>
        <w:pict>
          <v:rect id="_x0000_i6584" style="width:0;height:1.5pt" o:hralign="center" o:hrstd="t" o:hr="t" fillcolor="#a0a0a0" stroked="f"/>
        </w:pict>
      </w:r>
    </w:p>
    <w:p w:rsidR="00CE77C4" w:rsidRDefault="00CE77C4" w:rsidP="00CE77C4">
      <w:pPr>
        <w:pStyle w:val="berschrift2"/>
      </w:pPr>
      <w:r>
        <w:t>3.3.54.83 Definition 3.3.686 – Funktionales Modul</w:t>
      </w:r>
    </w:p>
    <w:p w:rsidR="00CE77C4" w:rsidRDefault="00CE77C4" w:rsidP="00CE77C4">
      <w:pPr>
        <w:pStyle w:val="berschrift3"/>
      </w:pPr>
      <w:r>
        <w:t>Definition 3.3.686</w:t>
      </w:r>
    </w:p>
    <w:p w:rsidR="00CE77C4" w:rsidRDefault="00CE77C4" w:rsidP="00CE77C4">
      <w:pPr>
        <w:pStyle w:val="StandardWeb"/>
      </w:pPr>
      <w:r>
        <w:t xml:space="preserve">Ein </w:t>
      </w:r>
      <w:r>
        <w:rPr>
          <w:rStyle w:val="Fett"/>
        </w:rPr>
        <w:t>funktionales Modul</w:t>
      </w:r>
      <w:r>
        <w:t xml:space="preserve"> ist eine modellabhängig definierte Struktur</w:t>
      </w:r>
    </w:p>
    <w:p w:rsidR="00CE77C4" w:rsidRDefault="00CE77C4" w:rsidP="00CE77C4">
      <w:pPr>
        <w:pStyle w:val="berschrift1"/>
      </w:pPr>
      <w:r>
        <w:lastRenderedPageBreak/>
        <w:t>[</w:t>
      </w:r>
      <w:r>
        <w:br/>
        <w:t>\boxed{</w:t>
      </w:r>
      <w:r>
        <w:br/>
        <w:t>\mathfrak M_{F,i}</w:t>
      </w:r>
    </w:p>
    <w:p w:rsidR="00CE77C4" w:rsidRDefault="00CE77C4" w:rsidP="00CE77C4">
      <w:pPr>
        <w:pStyle w:val="StandardWeb"/>
      </w:pPr>
      <w:r>
        <w:t>\left(</w:t>
      </w:r>
      <w:r>
        <w:br/>
        <w:t>\mathcal X_{F,i},</w:t>
      </w:r>
      <w:r>
        <w:br/>
        <w:t>\mathcal O_{F,i}</w:t>
      </w:r>
      <w:r>
        <w:br/>
        <w:t>\right),</w:t>
      </w:r>
      <w:r>
        <w:br/>
        <w:t>}</w:t>
      </w:r>
      <w:r>
        <w:br/>
        <w:t>\tag{3.14314}</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\boxed{\mathfrak M_{F,i}=\left(\mathcal X_{F,i},\mathcal O_{F,i}\right),}</w:t>
      </w:r>
    </w:p>
    <w:p w:rsidR="00CE77C4" w:rsidRDefault="00CE77C4" w:rsidP="00CE77C4">
      <w:pPr>
        <w:pStyle w:val="StandardWeb"/>
      </w:pPr>
      <w:r>
        <w:t>wobei (\mathcal X_{F,i}) die dem Modul zugeordneten funktionalen Objekte und (\mathcal O_{F,i}) seine internen Operationen bezeichnet.</w:t>
      </w:r>
    </w:p>
    <w:p w:rsidR="00CE77C4" w:rsidRDefault="00CE77C4" w:rsidP="00CE77C4">
      <w:r>
        <w:pict>
          <v:rect id="_x0000_i6585" style="width:0;height:1.5pt" o:hralign="center" o:hrstd="t" o:hr="t" fillcolor="#a0a0a0" stroked="f"/>
        </w:pict>
      </w:r>
    </w:p>
    <w:p w:rsidR="00CE77C4" w:rsidRDefault="00CE77C4" w:rsidP="00CE77C4">
      <w:pPr>
        <w:pStyle w:val="berschrift1"/>
      </w:pPr>
      <w:r>
        <w:t>3.3.54.84 Modulmenge</w:t>
      </w:r>
    </w:p>
    <w:p w:rsidR="00CE77C4" w:rsidRDefault="00CE77C4" w:rsidP="00CE77C4">
      <w:pPr>
        <w:pStyle w:val="StandardWeb"/>
      </w:pPr>
      <w:r>
        <w:t>Eine Modellstruktur kann mehrere Module enthalten:</w:t>
      </w:r>
    </w:p>
    <w:p w:rsidR="00CE77C4" w:rsidRDefault="00CE77C4" w:rsidP="00CE77C4">
      <w:pPr>
        <w:pStyle w:val="berschrift1"/>
      </w:pPr>
      <w:r>
        <w:t>[</w:t>
      </w:r>
      <w:r>
        <w:br/>
        <w:t>\mathfrak M_F</w:t>
      </w:r>
    </w:p>
    <w:p w:rsidR="00CE77C4" w:rsidRDefault="00CE77C4" w:rsidP="00CE77C4">
      <w:pPr>
        <w:pStyle w:val="StandardWeb"/>
      </w:pPr>
      <w:r>
        <w:t>{</w:t>
      </w:r>
      <w:r>
        <w:br/>
        <w:t>\mathfrak M_{F,1},</w:t>
      </w:r>
      <w:r>
        <w:br/>
        <w:t>\ldots,</w:t>
      </w:r>
      <w:r>
        <w:br/>
        <w:t>\mathfrak M_{F,n}</w:t>
      </w:r>
      <w:r>
        <w:br/>
        <w:t>}.</w:t>
      </w:r>
      <w:r>
        <w:br/>
        <w:t>\tag{3.14315}</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\mathfrak M_F=\{\mathfrak M_{F,1},\ldots,\mathfrak M_{F,n}\}</w:t>
      </w:r>
    </w:p>
    <w:p w:rsidR="00CE77C4" w:rsidRDefault="00CE77C4" w:rsidP="00CE77C4">
      <w:r>
        <w:pict>
          <v:rect id="_x0000_i6586" style="width:0;height:1.5pt" o:hralign="center" o:hrstd="t" o:hr="t" fillcolor="#a0a0a0" stroked="f"/>
        </w:pict>
      </w:r>
    </w:p>
    <w:p w:rsidR="00CE77C4" w:rsidRDefault="00CE77C4" w:rsidP="00CE77C4">
      <w:pPr>
        <w:pStyle w:val="berschrift2"/>
      </w:pPr>
      <w:r>
        <w:t>3.3.54.85 Definition 3.3.687 – Funktionale Modulmenge</w:t>
      </w:r>
    </w:p>
    <w:p w:rsidR="00CE77C4" w:rsidRDefault="00CE77C4" w:rsidP="00CE77C4">
      <w:pPr>
        <w:pStyle w:val="berschrift3"/>
      </w:pPr>
      <w:r>
        <w:t>Definition 3.3.687</w:t>
      </w:r>
    </w:p>
    <w:p w:rsidR="00CE77C4" w:rsidRDefault="00CE77C4" w:rsidP="00CE77C4">
      <w:pPr>
        <w:pStyle w:val="StandardWeb"/>
      </w:pPr>
      <w:r>
        <w:t xml:space="preserve">Eine </w:t>
      </w:r>
      <w:r>
        <w:rPr>
          <w:rStyle w:val="Fett"/>
        </w:rPr>
        <w:t>funktionale Modulmenge</w:t>
      </w:r>
      <w:r>
        <w:t xml:space="preserve"> ist</w:t>
      </w:r>
    </w:p>
    <w:p w:rsidR="00CE77C4" w:rsidRDefault="00CE77C4" w:rsidP="00CE77C4">
      <w:pPr>
        <w:pStyle w:val="berschrift1"/>
      </w:pPr>
      <w:r>
        <w:lastRenderedPageBreak/>
        <w:t>[</w:t>
      </w:r>
      <w:r>
        <w:br/>
        <w:t>\boxed{</w:t>
      </w:r>
      <w:r>
        <w:br/>
        <w:t>\mathfrak M_F</w:t>
      </w:r>
    </w:p>
    <w:p w:rsidR="00CE77C4" w:rsidRDefault="00CE77C4" w:rsidP="00CE77C4">
      <w:pPr>
        <w:pStyle w:val="StandardWeb"/>
      </w:pPr>
      <w:r>
        <w:t>{</w:t>
      </w:r>
      <w:r>
        <w:br/>
        <w:t>\mathfrak M_{F,i}</w:t>
      </w:r>
      <w:r>
        <w:br/>
        <w:t>}_{i\in I}.</w:t>
      </w:r>
      <w:r>
        <w:br/>
        <w:t>}</w:t>
      </w:r>
      <w:r>
        <w:br/>
        <w:t>\tag{3.14316}</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\boxed{\mathfrak M_F=\{\mathfrak M_{F,i}\}_{i\in I}.}</w:t>
      </w:r>
    </w:p>
    <w:p w:rsidR="00CE77C4" w:rsidRDefault="00CE77C4" w:rsidP="00CE77C4">
      <w:r>
        <w:pict>
          <v:rect id="_x0000_i6587" style="width:0;height:1.5pt" o:hralign="center" o:hrstd="t" o:hr="t" fillcolor="#a0a0a0" stroked="f"/>
        </w:pict>
      </w:r>
    </w:p>
    <w:p w:rsidR="00CE77C4" w:rsidRDefault="00CE77C4" w:rsidP="00CE77C4">
      <w:pPr>
        <w:pStyle w:val="berschrift1"/>
      </w:pPr>
      <w:r>
        <w:t>3.3.54.86 Intermodulare Kopplung</w:t>
      </w:r>
    </w:p>
    <w:p w:rsidR="00CE77C4" w:rsidRDefault="00CE77C4" w:rsidP="00CE77C4">
      <w:pPr>
        <w:pStyle w:val="StandardWeb"/>
      </w:pPr>
      <w:r>
        <w:t>Zwischen zwei Modulen kann eine Kopplung bestehen:</w:t>
      </w:r>
    </w:p>
    <w:p w:rsidR="00CE77C4" w:rsidRDefault="00CE77C4" w:rsidP="00CE77C4">
      <w:pPr>
        <w:pStyle w:val="StandardWeb"/>
      </w:pPr>
      <w:r>
        <w:t>[</w:t>
      </w:r>
      <w:r>
        <w:br/>
        <w:t>K_{ij}</w:t>
      </w:r>
      <w:r>
        <w:br/>
        <w:t>:</w:t>
      </w:r>
      <w:r>
        <w:br/>
        <w:t>\mathfrak M_{F,i}</w:t>
      </w:r>
      <w:r>
        <w:br/>
        <w:t>\times</w:t>
      </w:r>
      <w:r>
        <w:br/>
        <w:t>\mathfrak M_{F,j}</w:t>
      </w:r>
      <w:r>
        <w:br/>
        <w:t>\rightarrow</w:t>
      </w:r>
      <w:r>
        <w:br/>
        <w:t>\mathfrak C_{F,ij}.</w:t>
      </w:r>
      <w:r>
        <w:br/>
        <w:t>\tag{3.14317}</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K_{ij}:\mathfrak M_{F,i}\times\mathfrak M_{F,j}\rightarrow\mathfrak C_{F,ij}</w:t>
      </w:r>
    </w:p>
    <w:p w:rsidR="00CE77C4" w:rsidRDefault="00CE77C4" w:rsidP="00CE77C4">
      <w:r>
        <w:pict>
          <v:rect id="_x0000_i6588" style="width:0;height:1.5pt" o:hralign="center" o:hrstd="t" o:hr="t" fillcolor="#a0a0a0" stroked="f"/>
        </w:pict>
      </w:r>
    </w:p>
    <w:p w:rsidR="00CE77C4" w:rsidRDefault="00CE77C4" w:rsidP="00CE77C4">
      <w:pPr>
        <w:pStyle w:val="berschrift2"/>
      </w:pPr>
      <w:r>
        <w:t>3.3.54.87 Definition 3.3.688 – Intermodulare funktionale Kopplung</w:t>
      </w:r>
    </w:p>
    <w:p w:rsidR="00CE77C4" w:rsidRDefault="00CE77C4" w:rsidP="00CE77C4">
      <w:pPr>
        <w:pStyle w:val="berschrift3"/>
      </w:pPr>
      <w:r>
        <w:t>Definition 3.3.688</w:t>
      </w:r>
    </w:p>
    <w:p w:rsidR="00CE77C4" w:rsidRDefault="00CE77C4" w:rsidP="00CE77C4">
      <w:pPr>
        <w:pStyle w:val="StandardWeb"/>
      </w:pPr>
      <w:r>
        <w:t xml:space="preserve">Eine </w:t>
      </w:r>
      <w:r>
        <w:rPr>
          <w:rStyle w:val="Fett"/>
        </w:rPr>
        <w:t>intermodulare funktionale Kopplung</w:t>
      </w:r>
      <w:r>
        <w:t xml:space="preserve"> ist eine Abbildung</w:t>
      </w:r>
    </w:p>
    <w:p w:rsidR="00CE77C4" w:rsidRDefault="00CE77C4" w:rsidP="00CE77C4">
      <w:pPr>
        <w:pStyle w:val="StandardWeb"/>
      </w:pPr>
      <w:r>
        <w:t>[</w:t>
      </w:r>
      <w:r>
        <w:br/>
        <w:t>\boxed{</w:t>
      </w:r>
      <w:r>
        <w:br/>
        <w:t>K_{ij}</w:t>
      </w:r>
      <w:r>
        <w:br/>
        <w:t>:</w:t>
      </w:r>
      <w:r>
        <w:br/>
      </w:r>
      <w:r>
        <w:lastRenderedPageBreak/>
        <w:t>\mathfrak M_{F,i}</w:t>
      </w:r>
      <w:r>
        <w:br/>
        <w:t>\times</w:t>
      </w:r>
      <w:r>
        <w:br/>
        <w:t>\mathfrak M_{F,j}</w:t>
      </w:r>
      <w:r>
        <w:br/>
        <w:t>\rightarrow</w:t>
      </w:r>
      <w:r>
        <w:br/>
        <w:t>\mathfrak C_{F,ij},</w:t>
      </w:r>
      <w:r>
        <w:br/>
        <w:t>}</w:t>
      </w:r>
      <w:r>
        <w:br/>
        <w:t>\tag{3.14318}</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\boxed{K_{ij}:\mathfrak M_{F,i}\times\mathfrak M_{F,j}\rightarrow\mathfrak C_{F,ij},}</w:t>
      </w:r>
    </w:p>
    <w:p w:rsidR="00CE77C4" w:rsidRDefault="00CE77C4" w:rsidP="00CE77C4">
      <w:pPr>
        <w:pStyle w:val="StandardWeb"/>
      </w:pPr>
      <w:r>
        <w:t>die eine funktionale Verbindung zwischen zwei Modulen beschreibt.</w:t>
      </w:r>
    </w:p>
    <w:p w:rsidR="00CE77C4" w:rsidRDefault="00CE77C4" w:rsidP="00CE77C4">
      <w:r>
        <w:pict>
          <v:rect id="_x0000_i6589" style="width:0;height:1.5pt" o:hralign="center" o:hrstd="t" o:hr="t" fillcolor="#a0a0a0" stroked="f"/>
        </w:pict>
      </w:r>
    </w:p>
    <w:p w:rsidR="00CE77C4" w:rsidRDefault="00CE77C4" w:rsidP="00CE77C4">
      <w:pPr>
        <w:pStyle w:val="berschrift1"/>
      </w:pPr>
      <w:r>
        <w:t>3.3.54.88 Vollständige Modularität</w:t>
      </w:r>
    </w:p>
    <w:p w:rsidR="00CE77C4" w:rsidRDefault="00CE77C4" w:rsidP="00CE77C4">
      <w:pPr>
        <w:pStyle w:val="StandardWeb"/>
      </w:pPr>
      <w:r>
        <w:t>Eine besonders starke Modularitätsforderung wäre, dass alle Module intern geschlossen und nur über explizite Schnittstellen gekoppelt sind.</w:t>
      </w:r>
    </w:p>
    <w:p w:rsidR="00CE77C4" w:rsidRDefault="00CE77C4" w:rsidP="00CE77C4">
      <w:pPr>
        <w:pStyle w:val="StandardWeb"/>
      </w:pPr>
      <w:r>
        <w:t>Ich bezeichne die Schnittstelle zwischen zwei Modulen mit</w:t>
      </w:r>
    </w:p>
    <w:p w:rsidR="00CE77C4" w:rsidRDefault="00CE77C4" w:rsidP="00CE77C4">
      <w:pPr>
        <w:pStyle w:val="StandardWeb"/>
      </w:pPr>
      <w:r>
        <w:t>[</w:t>
      </w:r>
      <w:r>
        <w:br/>
        <w:t>I_{ij}.</w:t>
      </w:r>
      <w:r>
        <w:br/>
        <w:t>\tag{3.14319}</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I_{ij}</w:t>
      </w:r>
    </w:p>
    <w:p w:rsidR="00CE77C4" w:rsidRDefault="00CE77C4" w:rsidP="00CE77C4">
      <w:r>
        <w:pict>
          <v:rect id="_x0000_i6590" style="width:0;height:1.5pt" o:hralign="center" o:hrstd="t" o:hr="t" fillcolor="#a0a0a0" stroked="f"/>
        </w:pict>
      </w:r>
    </w:p>
    <w:p w:rsidR="00CE77C4" w:rsidRDefault="00CE77C4" w:rsidP="00CE77C4">
      <w:pPr>
        <w:pStyle w:val="berschrift2"/>
      </w:pPr>
      <w:r>
        <w:t>3.3.54.89 Definition 3.3.689 – Funktionale Modulschnittstelle</w:t>
      </w:r>
    </w:p>
    <w:p w:rsidR="00CE77C4" w:rsidRDefault="00CE77C4" w:rsidP="00CE77C4">
      <w:pPr>
        <w:pStyle w:val="berschrift3"/>
      </w:pPr>
      <w:r>
        <w:t>Definition 3.3.689</w:t>
      </w:r>
    </w:p>
    <w:p w:rsidR="00CE77C4" w:rsidRDefault="00CE77C4" w:rsidP="00CE77C4">
      <w:pPr>
        <w:pStyle w:val="StandardWeb"/>
      </w:pPr>
      <w:r>
        <w:t xml:space="preserve">Eine </w:t>
      </w:r>
      <w:r>
        <w:rPr>
          <w:rStyle w:val="Fett"/>
        </w:rPr>
        <w:t>funktionale Modulschnittstelle</w:t>
      </w:r>
      <w:r>
        <w:t xml:space="preserve"> ist eine modellabhängige Struktur</w:t>
      </w:r>
    </w:p>
    <w:p w:rsidR="00CE77C4" w:rsidRDefault="00CE77C4" w:rsidP="00CE77C4">
      <w:pPr>
        <w:pStyle w:val="StandardWeb"/>
      </w:pPr>
      <w:r>
        <w:t>[</w:t>
      </w:r>
      <w:r>
        <w:br/>
        <w:t>\boxed{</w:t>
      </w:r>
      <w:r>
        <w:br/>
        <w:t>I_{ij}</w:t>
      </w:r>
      <w:r>
        <w:br/>
        <w:t>:</w:t>
      </w:r>
      <w:r>
        <w:br/>
        <w:t>\mathfrak M_{F,i}</w:t>
      </w:r>
      <w:r>
        <w:br/>
        <w:t>\leftrightarrow</w:t>
      </w:r>
      <w:r>
        <w:br/>
        <w:t>\mathfrak M_{F,j},</w:t>
      </w:r>
      <w:r>
        <w:br/>
        <w:t>}</w:t>
      </w:r>
      <w:r>
        <w:br/>
      </w:r>
      <w:r>
        <w:lastRenderedPageBreak/>
        <w:t>\tag{3.14320}</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\boxed{I_{ij}:\mathfrak M_{F,i}\leftrightarrow\mathfrak M_{F,j},}</w:t>
      </w:r>
    </w:p>
    <w:p w:rsidR="00CE77C4" w:rsidRDefault="00CE77C4" w:rsidP="00CE77C4">
      <w:pPr>
        <w:pStyle w:val="StandardWeb"/>
      </w:pPr>
      <w:r>
        <w:t>über die definierte intermodulare Wechselwirkungen abgewickelt werden.</w:t>
      </w:r>
    </w:p>
    <w:p w:rsidR="00CE77C4" w:rsidRDefault="00CE77C4" w:rsidP="00CE77C4">
      <w:r>
        <w:pict>
          <v:rect id="_x0000_i6591" style="width:0;height:1.5pt" o:hralign="center" o:hrstd="t" o:hr="t" fillcolor="#a0a0a0" stroked="f"/>
        </w:pict>
      </w:r>
    </w:p>
    <w:p w:rsidR="00CE77C4" w:rsidRDefault="00CE77C4" w:rsidP="00CE77C4">
      <w:pPr>
        <w:pStyle w:val="berschrift1"/>
      </w:pPr>
      <w:r>
        <w:t>3.3.54.90 Schnittstellenexklusivität</w:t>
      </w:r>
    </w:p>
    <w:p w:rsidR="00CE77C4" w:rsidRDefault="00CE77C4" w:rsidP="00CE77C4">
      <w:pPr>
        <w:pStyle w:val="StandardWeb"/>
      </w:pPr>
      <w:r>
        <w:t>Eine starke Modularitätsforderung wäre</w:t>
      </w:r>
    </w:p>
    <w:p w:rsidR="00CE77C4" w:rsidRDefault="00CE77C4" w:rsidP="00CE77C4">
      <w:pPr>
        <w:pStyle w:val="StandardWeb"/>
      </w:pPr>
      <w:r>
        <w:t>[</w:t>
      </w:r>
      <w:r>
        <w:br/>
        <w:t>\text{intermodulare Wirkung}</w:t>
      </w:r>
      <w:r>
        <w:br/>
        <w:t>\Rightarrow</w:t>
      </w:r>
      <w:r>
        <w:br/>
        <w:t>\text{Wirkung über }I_{ij}.</w:t>
      </w:r>
      <w:r>
        <w:br/>
        <w:t>\tag{3.14321}</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\text{intermodulare Wirkung}\Rightarrow\text{Wirkung über }I_{ij}</w:t>
      </w:r>
    </w:p>
    <w:p w:rsidR="00CE77C4" w:rsidRDefault="00CE77C4" w:rsidP="00CE77C4">
      <w:r>
        <w:pict>
          <v:rect id="_x0000_i6592" style="width:0;height:1.5pt" o:hralign="center" o:hrstd="t" o:hr="t" fillcolor="#a0a0a0" stroked="f"/>
        </w:pict>
      </w:r>
    </w:p>
    <w:p w:rsidR="00CE77C4" w:rsidRDefault="00CE77C4" w:rsidP="00CE77C4">
      <w:pPr>
        <w:pStyle w:val="berschrift1"/>
      </w:pPr>
      <w:r>
        <w:t>3.3.54.91 Definition 3.3.690 – Schnittstellenexklusive funktionale Modularität</w:t>
      </w:r>
    </w:p>
    <w:p w:rsidR="00CE77C4" w:rsidRDefault="00CE77C4" w:rsidP="00CE77C4">
      <w:pPr>
        <w:pStyle w:val="berschrift3"/>
      </w:pPr>
      <w:r>
        <w:t>Definition 3.3.690</w:t>
      </w:r>
    </w:p>
    <w:p w:rsidR="00CE77C4" w:rsidRDefault="00CE77C4" w:rsidP="00CE77C4">
      <w:pPr>
        <w:pStyle w:val="StandardWeb"/>
      </w:pPr>
      <w:r>
        <w:t xml:space="preserve">Eine funktionale Modulstruktur heißt </w:t>
      </w:r>
      <w:r>
        <w:rPr>
          <w:rStyle w:val="Fett"/>
        </w:rPr>
        <w:t>schnittstellenexklusiv</w:t>
      </w:r>
      <w:r>
        <w:t>, wenn</w:t>
      </w:r>
    </w:p>
    <w:p w:rsidR="00CE77C4" w:rsidRDefault="00CE77C4" w:rsidP="00CE77C4">
      <w:pPr>
        <w:pStyle w:val="StandardWeb"/>
      </w:pPr>
      <w:r>
        <w:t>[</w:t>
      </w:r>
      <w:r>
        <w:br/>
        <w:t>\boxed{</w:t>
      </w:r>
      <w:r>
        <w:br/>
        <w:t>K_{ij}</w:t>
      </w:r>
      <w:r>
        <w:br/>
        <w:t>\neq</w:t>
      </w:r>
      <w:r>
        <w:br/>
        <w:t>\varnothing</w:t>
      </w:r>
      <w:r>
        <w:br/>
        <w:t>\Rightarrow</w:t>
      </w:r>
      <w:r>
        <w:br/>
        <w:t>K_{ij}</w:t>
      </w:r>
      <w:r>
        <w:br/>
        <w:t>\text{ wird vollständig durch }I_{ij}\text{ beschrieben}.</w:t>
      </w:r>
      <w:r>
        <w:br/>
        <w:t>}</w:t>
      </w:r>
      <w:r>
        <w:br/>
        <w:t>\tag{3.14322}</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\boxed{K_{ij}\neq\varnothing\Rightarrow K_{ij}\text{ wird vollständig durch }I_{ij}\text{ beschrieben}.}</w:t>
      </w:r>
    </w:p>
    <w:p w:rsidR="00CE77C4" w:rsidRDefault="00CE77C4" w:rsidP="00CE77C4">
      <w:r>
        <w:lastRenderedPageBreak/>
        <w:pict>
          <v:rect id="_x0000_i6593" style="width:0;height:1.5pt" o:hralign="center" o:hrstd="t" o:hr="t" fillcolor="#a0a0a0" stroked="f"/>
        </w:pict>
      </w:r>
    </w:p>
    <w:p w:rsidR="00CE77C4" w:rsidRDefault="00CE77C4" w:rsidP="00CE77C4">
      <w:pPr>
        <w:pStyle w:val="berschrift1"/>
      </w:pPr>
      <w:r>
        <w:t>3.3.54.92 Schnittstellenexklusivität als Primäraxiomkandidat</w:t>
      </w:r>
    </w:p>
    <w:p w:rsidR="00CE77C4" w:rsidRDefault="00CE77C4" w:rsidP="00CE77C4">
      <w:pPr>
        <w:pStyle w:val="StandardWeb"/>
      </w:pPr>
      <w:r>
        <w:t>Ein Kandidat lautet</w:t>
      </w:r>
    </w:p>
    <w:p w:rsidR="00CE77C4" w:rsidRDefault="00CE77C4" w:rsidP="00CE77C4">
      <w:pPr>
        <w:pStyle w:val="StandardWeb"/>
      </w:pPr>
      <w:r>
        <w:t>[</w:t>
      </w:r>
      <w:r>
        <w:br/>
        <w:t>A_{\mathrm{mod-int}}</w:t>
      </w:r>
      <w:r>
        <w:br/>
        <w:t>:</w:t>
      </w:r>
      <w:r>
        <w:br/>
        <w:t>\forall i,j</w:t>
      </w:r>
      <w:r>
        <w:br/>
        <w:t>:</w:t>
      </w:r>
      <w:r>
        <w:br/>
        <w:t>K_{ij}</w:t>
      </w:r>
      <w:r>
        <w:br/>
        <w:t>\text{ ist schnittstellenexklusiv}.</w:t>
      </w:r>
      <w:r>
        <w:br/>
        <w:t>\tag{3.14323}</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A_{\mathrm{mod-int}}:\forall i,j:K_{ij}\text{ ist schnittstellenexklusiv}</w:t>
      </w:r>
    </w:p>
    <w:p w:rsidR="00CE77C4" w:rsidRDefault="00CE77C4" w:rsidP="00CE77C4">
      <w:r>
        <w:pict>
          <v:rect id="_x0000_i6594" style="width:0;height:1.5pt" o:hralign="center" o:hrstd="t" o:hr="t" fillcolor="#a0a0a0" stroked="f"/>
        </w:pict>
      </w:r>
    </w:p>
    <w:p w:rsidR="00CE77C4" w:rsidRDefault="00CE77C4" w:rsidP="00CE77C4">
      <w:pPr>
        <w:pStyle w:val="berschrift1"/>
      </w:pPr>
      <w:r>
        <w:t>3.3.54.93 Gegenmodell zur Schnittstellenexklusivität</w:t>
      </w:r>
    </w:p>
    <w:p w:rsidR="00CE77C4" w:rsidRDefault="00CE77C4" w:rsidP="00CE77C4">
      <w:pPr>
        <w:pStyle w:val="StandardWeb"/>
      </w:pPr>
      <w:r>
        <w:t>Eine Modellstruktur kann überlappende Module enthalten:</w:t>
      </w:r>
    </w:p>
    <w:p w:rsidR="00CE77C4" w:rsidRDefault="00CE77C4" w:rsidP="00CE77C4">
      <w:pPr>
        <w:pStyle w:val="StandardWeb"/>
      </w:pPr>
      <w:r>
        <w:t>[</w:t>
      </w:r>
      <w:r>
        <w:br/>
        <w:t>\mathcal X_{F,i}</w:t>
      </w:r>
      <w:r>
        <w:br/>
        <w:t>\cap</w:t>
      </w:r>
      <w:r>
        <w:br/>
        <w:t>\mathcal X_{F,j}</w:t>
      </w:r>
      <w:r>
        <w:br/>
        <w:t>\neq</w:t>
      </w:r>
      <w:r>
        <w:br/>
        <w:t>\varnothing.</w:t>
      </w:r>
      <w:r>
        <w:br/>
        <w:t>\tag{3.14324}</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\mathcal X_{F,i}\cap\mathcal X_{F,j}\neq\varnothing</w:t>
      </w:r>
    </w:p>
    <w:p w:rsidR="00CE77C4" w:rsidRDefault="00CE77C4" w:rsidP="00CE77C4">
      <w:pPr>
        <w:pStyle w:val="StandardWeb"/>
      </w:pPr>
      <w:r>
        <w:t>Dann kann ein gemeinsames Objekt gleichzeitig Bestandteil mehrerer Module sein, ohne dass jede funktionale Wechselwirkung über eine ausgezeichnete Schnittstelle vermittelt werden muss.</w:t>
      </w:r>
    </w:p>
    <w:p w:rsidR="00CE77C4" w:rsidRDefault="00CE77C4" w:rsidP="00CE77C4">
      <w:r>
        <w:pict>
          <v:rect id="_x0000_i6595" style="width:0;height:1.5pt" o:hralign="center" o:hrstd="t" o:hr="t" fillcolor="#a0a0a0" stroked="f"/>
        </w:pict>
      </w:r>
    </w:p>
    <w:p w:rsidR="00CE77C4" w:rsidRDefault="00CE77C4" w:rsidP="00CE77C4">
      <w:pPr>
        <w:pStyle w:val="berschrift1"/>
      </w:pPr>
      <w:r>
        <w:t>3.3.54.94 Axiomentscheidung zur Schnittstellenexklusivität</w:t>
      </w:r>
    </w:p>
    <w:p w:rsidR="00CE77C4" w:rsidRDefault="00CE77C4" w:rsidP="00CE77C4">
      <w:pPr>
        <w:pStyle w:val="StandardWeb"/>
      </w:pPr>
      <w:r>
        <w:t>Damit gilt</w:t>
      </w:r>
    </w:p>
    <w:p w:rsidR="00CE77C4" w:rsidRDefault="00CE77C4" w:rsidP="00CE77C4">
      <w:pPr>
        <w:pStyle w:val="berschrift1"/>
      </w:pPr>
      <w:r>
        <w:lastRenderedPageBreak/>
        <w:t>[</w:t>
      </w:r>
      <w:r>
        <w:br/>
        <w:t>\boxed{</w:t>
      </w:r>
      <w:r>
        <w:br/>
        <w:t>U_{\mathrm{Ax}}</w:t>
      </w:r>
      <w:r>
        <w:br/>
        <w:t>(A_{\mathrm{mod-int}})</w:t>
      </w:r>
    </w:p>
    <w:p w:rsidR="00CE77C4" w:rsidRDefault="00CE77C4" w:rsidP="009F7790">
      <w:pPr>
        <w:numPr>
          <w:ilvl w:val="0"/>
          <w:numId w:val="802"/>
        </w:numPr>
        <w:spacing w:before="100" w:beforeAutospacing="1" w:after="100" w:afterAutospacing="1"/>
      </w:pPr>
    </w:p>
    <w:p w:rsidR="00CE77C4" w:rsidRDefault="00CE77C4" w:rsidP="00CE77C4">
      <w:pPr>
        <w:pStyle w:val="StandardWeb"/>
      </w:pPr>
      <w:r>
        <w:t>}</w:t>
      </w:r>
      <w:r>
        <w:br/>
        <w:t>\tag{3.14325}</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\boxed{U_{\mathrm{Ax}}(A_{\mathrm{mod-int}})=0.}</w:t>
      </w:r>
    </w:p>
    <w:p w:rsidR="00CE77C4" w:rsidRDefault="00CE77C4" w:rsidP="00CE77C4">
      <w:r>
        <w:pict>
          <v:rect id="_x0000_i6596" style="width:0;height:1.5pt" o:hralign="center" o:hrstd="t" o:hr="t" fillcolor="#a0a0a0" stroked="f"/>
        </w:pict>
      </w:r>
    </w:p>
    <w:p w:rsidR="00CE77C4" w:rsidRDefault="00CE77C4" w:rsidP="00CE77C4">
      <w:pPr>
        <w:pStyle w:val="berschrift1"/>
      </w:pPr>
      <w:r>
        <w:t>3.3.54.95 Satz 3.3.285 – Schnittstellenexklusive Modularität ist kein Primäraxiom</w:t>
      </w:r>
    </w:p>
    <w:p w:rsidR="00CE77C4" w:rsidRDefault="00CE77C4" w:rsidP="00CE77C4">
      <w:pPr>
        <w:pStyle w:val="berschrift3"/>
      </w:pPr>
      <w:r>
        <w:t>Satz 3.3.285</w:t>
      </w:r>
    </w:p>
    <w:p w:rsidR="00CE77C4" w:rsidRDefault="00CE77C4" w:rsidP="00CE77C4">
      <w:pPr>
        <w:pStyle w:val="StandardWeb"/>
      </w:pPr>
      <w:r>
        <w:t>Die Forderung, sämtliche funktionalen Wechselwirkungen zwischen Modulen müssten ausschließlich über explizit definierte Modulschnittstellen erfolgen, ist keine universell notwendige Voraussetzung des allgemeinen FRZK.</w:t>
      </w:r>
    </w:p>
    <w:p w:rsidR="00CE77C4" w:rsidRDefault="00CE77C4" w:rsidP="00CE77C4">
      <w:pPr>
        <w:pStyle w:val="berschrift1"/>
      </w:pPr>
      <w:r>
        <w:t>[</w:t>
      </w:r>
      <w:r>
        <w:br/>
        <w:t>\boxed{</w:t>
      </w:r>
      <w:r>
        <w:br/>
        <w:t>U_{\mathrm{Ax}}</w:t>
      </w:r>
      <w:r>
        <w:br/>
        <w:t>(A_{\mathrm{mod-int}})</w:t>
      </w:r>
    </w:p>
    <w:p w:rsidR="00CE77C4" w:rsidRDefault="00CE77C4" w:rsidP="009F7790">
      <w:pPr>
        <w:numPr>
          <w:ilvl w:val="0"/>
          <w:numId w:val="803"/>
        </w:numPr>
        <w:spacing w:before="100" w:beforeAutospacing="1" w:after="100" w:afterAutospacing="1"/>
      </w:pPr>
    </w:p>
    <w:p w:rsidR="00CE77C4" w:rsidRDefault="00CE77C4" w:rsidP="00CE77C4">
      <w:pPr>
        <w:pStyle w:val="StandardWeb"/>
      </w:pPr>
      <w:r>
        <w:t>}</w:t>
      </w:r>
      <w:r>
        <w:br/>
        <w:t>\tag{3.14326}</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\boxed{U_{\mathrm{Ax}}(A_{\mathrm{mod-int}})=0.}</w:t>
      </w:r>
    </w:p>
    <w:p w:rsidR="00CE77C4" w:rsidRDefault="00CE77C4" w:rsidP="00CE77C4">
      <w:r>
        <w:pict>
          <v:rect id="_x0000_i6597" style="width:0;height:1.5pt" o:hralign="center" o:hrstd="t" o:hr="t" fillcolor="#a0a0a0" stroked="f"/>
        </w:pict>
      </w:r>
    </w:p>
    <w:p w:rsidR="00CE77C4" w:rsidRDefault="00CE77C4" w:rsidP="00CE77C4">
      <w:pPr>
        <w:pStyle w:val="berschrift1"/>
      </w:pPr>
      <w:r>
        <w:t>3.3.54.96 Überlappende Module</w:t>
      </w:r>
    </w:p>
    <w:p w:rsidR="00CE77C4" w:rsidRDefault="00CE77C4" w:rsidP="00CE77C4">
      <w:pPr>
        <w:pStyle w:val="StandardWeb"/>
      </w:pPr>
      <w:r>
        <w:lastRenderedPageBreak/>
        <w:t>Zwei Module können gemeinsame funktionale Objekte besitzen:</w:t>
      </w:r>
    </w:p>
    <w:p w:rsidR="00CE77C4" w:rsidRDefault="00CE77C4" w:rsidP="00CE77C4">
      <w:pPr>
        <w:pStyle w:val="StandardWeb"/>
      </w:pPr>
      <w:r>
        <w:t>[</w:t>
      </w:r>
      <w:r>
        <w:br/>
        <w:t>\mathcal X_{F,i}</w:t>
      </w:r>
      <w:r>
        <w:br/>
        <w:t>\cap</w:t>
      </w:r>
      <w:r>
        <w:br/>
        <w:t>\mathcal X_{F,j}</w:t>
      </w:r>
      <w:r>
        <w:br/>
        <w:t>\neq</w:t>
      </w:r>
      <w:r>
        <w:br/>
        <w:t>\varnothing.</w:t>
      </w:r>
      <w:r>
        <w:br/>
        <w:t>\tag{3.14327}</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\mathcal X_{F,i}\cap\mathcal X_{F,j}\neq\varnothing</w:t>
      </w:r>
    </w:p>
    <w:p w:rsidR="00CE77C4" w:rsidRDefault="00CE77C4" w:rsidP="00CE77C4">
      <w:r>
        <w:pict>
          <v:rect id="_x0000_i6598" style="width:0;height:1.5pt" o:hralign="center" o:hrstd="t" o:hr="t" fillcolor="#a0a0a0" stroked="f"/>
        </w:pict>
      </w:r>
    </w:p>
    <w:p w:rsidR="00CE77C4" w:rsidRDefault="00CE77C4" w:rsidP="00CE77C4">
      <w:pPr>
        <w:pStyle w:val="berschrift2"/>
      </w:pPr>
      <w:r>
        <w:t>3.3.54.97 Definition 3.3.691 – Überlappende funktionale Module</w:t>
      </w:r>
    </w:p>
    <w:p w:rsidR="00CE77C4" w:rsidRDefault="00CE77C4" w:rsidP="00CE77C4">
      <w:pPr>
        <w:pStyle w:val="berschrift3"/>
      </w:pPr>
      <w:r>
        <w:t>Definition 3.3.691</w:t>
      </w:r>
    </w:p>
    <w:p w:rsidR="00CE77C4" w:rsidRDefault="00CE77C4" w:rsidP="00CE77C4">
      <w:pPr>
        <w:pStyle w:val="StandardWeb"/>
      </w:pPr>
      <w:r>
        <w:t xml:space="preserve">Zwei funktionale Module heißen </w:t>
      </w:r>
      <w:r>
        <w:rPr>
          <w:rStyle w:val="Fett"/>
        </w:rPr>
        <w:t>überlappend</w:t>
      </w:r>
      <w:r>
        <w:t>, wenn</w:t>
      </w:r>
    </w:p>
    <w:p w:rsidR="00CE77C4" w:rsidRDefault="00CE77C4" w:rsidP="00CE77C4">
      <w:pPr>
        <w:pStyle w:val="StandardWeb"/>
      </w:pPr>
      <w:r>
        <w:t>[</w:t>
      </w:r>
      <w:r>
        <w:br/>
        <w:t>\boxed{</w:t>
      </w:r>
      <w:r>
        <w:br/>
        <w:t>\mathcal X_{F,i}</w:t>
      </w:r>
      <w:r>
        <w:br/>
        <w:t>\cap</w:t>
      </w:r>
      <w:r>
        <w:br/>
        <w:t>\mathcal X_{F,j}</w:t>
      </w:r>
      <w:r>
        <w:br/>
        <w:t>\neq</w:t>
      </w:r>
      <w:r>
        <w:br/>
        <w:t>\varnothing.</w:t>
      </w:r>
      <w:r>
        <w:br/>
        <w:t>}</w:t>
      </w:r>
      <w:r>
        <w:br/>
        <w:t>\tag{3.14328}</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\boxed{\mathcal X_{F,i}\cap\mathcal X_{F,j}\neq\varnothing.}</w:t>
      </w:r>
    </w:p>
    <w:p w:rsidR="00CE77C4" w:rsidRDefault="00CE77C4" w:rsidP="00CE77C4">
      <w:r>
        <w:pict>
          <v:rect id="_x0000_i6599" style="width:0;height:1.5pt" o:hralign="center" o:hrstd="t" o:hr="t" fillcolor="#a0a0a0" stroked="f"/>
        </w:pict>
      </w:r>
    </w:p>
    <w:p w:rsidR="00CE77C4" w:rsidRDefault="00CE77C4" w:rsidP="00CE77C4">
      <w:pPr>
        <w:pStyle w:val="berschrift1"/>
      </w:pPr>
      <w:r>
        <w:t>3.3.54.98 Disjunkte Modularität als Primäraxiomkandidat</w:t>
      </w:r>
    </w:p>
    <w:p w:rsidR="00CE77C4" w:rsidRDefault="00CE77C4" w:rsidP="00CE77C4">
      <w:pPr>
        <w:pStyle w:val="StandardWeb"/>
      </w:pPr>
      <w:r>
        <w:t>Ein möglicher Kandidat wäre</w:t>
      </w:r>
    </w:p>
    <w:p w:rsidR="00CE77C4" w:rsidRDefault="00CE77C4" w:rsidP="00CE77C4">
      <w:pPr>
        <w:pStyle w:val="berschrift1"/>
      </w:pPr>
      <w:r>
        <w:t>[</w:t>
      </w:r>
      <w:r>
        <w:br/>
        <w:t>A_{\mathrm{mod-disj}}</w:t>
      </w:r>
      <w:r>
        <w:br/>
        <w:t>:</w:t>
      </w:r>
      <w:r>
        <w:br/>
      </w:r>
      <w:r>
        <w:lastRenderedPageBreak/>
        <w:t>\mathcal X_{F,i}</w:t>
      </w:r>
      <w:r>
        <w:br/>
        <w:t>\cap</w:t>
      </w:r>
      <w:r>
        <w:br/>
        <w:t>\mathcal X_{F,j}</w:t>
      </w:r>
    </w:p>
    <w:p w:rsidR="00CE77C4" w:rsidRDefault="00CE77C4" w:rsidP="00CE77C4">
      <w:pPr>
        <w:pStyle w:val="StandardWeb"/>
      </w:pPr>
      <w:r>
        <w:t>\varnothing</w:t>
      </w:r>
      <w:r>
        <w:br/>
        <w:t>\qquad</w:t>
      </w:r>
      <w:r>
        <w:br/>
        <w:t>\forall i\neq j.</w:t>
      </w:r>
      <w:r>
        <w:br/>
        <w:t>\tag{3.14329}</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A_{\mathrm{mod-disj}}:\mathcal X_{F,i}\cap\mathcal X_{F,j}=\varnothing\qquad\forall i\neq j</w:t>
      </w:r>
    </w:p>
    <w:p w:rsidR="00CE77C4" w:rsidRDefault="00CE77C4" w:rsidP="00CE77C4">
      <w:r>
        <w:pict>
          <v:rect id="_x0000_i6600" style="width:0;height:1.5pt" o:hralign="center" o:hrstd="t" o:hr="t" fillcolor="#a0a0a0" stroked="f"/>
        </w:pict>
      </w:r>
    </w:p>
    <w:p w:rsidR="00CE77C4" w:rsidRDefault="00CE77C4" w:rsidP="00CE77C4">
      <w:pPr>
        <w:pStyle w:val="berschrift1"/>
      </w:pPr>
      <w:r>
        <w:t>3.3.54.99 Zwischenbilanz</w:t>
      </w:r>
    </w:p>
    <w:p w:rsidR="00CE77C4" w:rsidRDefault="00CE77C4" w:rsidP="00CE77C4">
      <w:pPr>
        <w:pStyle w:val="StandardWeb"/>
      </w:pPr>
      <w:r>
        <w:t>Eine Modellstruktur mit überlappenden Modulen liefert bereits ein Gegenmodell zur universellen Disjunktheit:</w:t>
      </w:r>
    </w:p>
    <w:p w:rsidR="00CE77C4" w:rsidRDefault="00CE77C4" w:rsidP="00CE77C4">
      <w:pPr>
        <w:pStyle w:val="StandardWeb"/>
      </w:pPr>
      <w:r>
        <w:t>[</w:t>
      </w:r>
      <w:r>
        <w:br/>
        <w:t>\exists i\neq j</w:t>
      </w:r>
      <w:r>
        <w:br/>
        <w:t>:</w:t>
      </w:r>
      <w:r>
        <w:br/>
        <w:t>\mathcal X_{F,i}</w:t>
      </w:r>
      <w:r>
        <w:br/>
        <w:t>\cap</w:t>
      </w:r>
      <w:r>
        <w:br/>
        <w:t>\mathcal X_{F,j}</w:t>
      </w:r>
      <w:r>
        <w:br/>
        <w:t>\neq</w:t>
      </w:r>
      <w:r>
        <w:br/>
        <w:t>\varnothing.</w:t>
      </w:r>
      <w:r>
        <w:br/>
        <w:t>\tag{3.14330}</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\exists i\neq j:\mathcal X_{F,i}\cap\mathcal X_{F,j}\neq\varnothing</w:t>
      </w:r>
    </w:p>
    <w:p w:rsidR="00CE77C4" w:rsidRDefault="00CE77C4" w:rsidP="00CE77C4">
      <w:pPr>
        <w:pStyle w:val="StandardWeb"/>
      </w:pPr>
      <w:r>
        <w:t>Damit zeichnet sich auch für</w:t>
      </w:r>
    </w:p>
    <w:p w:rsidR="00CE77C4" w:rsidRDefault="00CE77C4" w:rsidP="00CE77C4">
      <w:pPr>
        <w:pStyle w:val="StandardWeb"/>
      </w:pPr>
      <w:r>
        <w:t>[</w:t>
      </w:r>
      <w:r>
        <w:br/>
        <w:t>A_{\mathrm{mod-disj}}</w:t>
      </w:r>
      <w:r>
        <w:br/>
        <w:t>\tag{3.14331}</w:t>
      </w:r>
      <w:r>
        <w:br/>
        <w:t>]</w:t>
      </w:r>
    </w:p>
    <w:p w:rsidR="00CE77C4" w:rsidRDefault="00CE77C4" w:rsidP="00CE77C4">
      <w:pPr>
        <w:pStyle w:val="StandardWeb"/>
      </w:pPr>
      <w:r>
        <w:rPr>
          <w:rStyle w:val="Fett"/>
        </w:rPr>
        <w:t>Word-LaTeX</w:t>
      </w:r>
    </w:p>
    <w:p w:rsidR="00CE77C4" w:rsidRDefault="00CE77C4" w:rsidP="00CE77C4">
      <w:pPr>
        <w:pStyle w:val="HTMLVorformatiert"/>
        <w:rPr>
          <w:rStyle w:val="HTMLCode"/>
        </w:rPr>
      </w:pPr>
      <w:r>
        <w:rPr>
          <w:rStyle w:val="HTMLCode"/>
        </w:rPr>
        <w:t>A_{\mathrm{mod-disj}}</w:t>
      </w:r>
    </w:p>
    <w:p w:rsidR="00CE77C4" w:rsidRDefault="00CE77C4" w:rsidP="00CE77C4">
      <w:pPr>
        <w:pStyle w:val="StandardWeb"/>
      </w:pPr>
      <w:r>
        <w:t>bereits die Verwerfung als Primäraxiomkandidat ab. Die formale Axiomentscheidung führe ich im nächsten Block aus.</w:t>
      </w:r>
    </w:p>
    <w:p w:rsidR="00CE77C4" w:rsidRDefault="00CE77C4" w:rsidP="00CE77C4">
      <w:pPr>
        <w:pStyle w:val="StandardWeb"/>
      </w:pPr>
      <w:r>
        <w:lastRenderedPageBreak/>
        <w:t xml:space="preserve">Abschnitt </w:t>
      </w:r>
      <w:r>
        <w:rPr>
          <w:rStyle w:val="Fett"/>
        </w:rPr>
        <w:t>3.3.54 ist noch nicht abgeschlossen</w:t>
      </w:r>
      <w:r>
        <w:t xml:space="preserve">. Im nächsten Teil untersuche ich insbesondere </w:t>
      </w:r>
      <w:r>
        <w:rPr>
          <w:rStyle w:val="Fett"/>
        </w:rPr>
        <w:t>disjunkte und überlappende Modularität, modulare Zerlegungen, Eindeutigkeit von Zerlegungen, Kopplungsgraphen, zyklische und azyklische Kopplung, Hierarchien, Stabilität und Dynamikverträglichkeit gekoppelter Systeme sowie schließlich die Minimalitätsfrage, ob Kopplung, Entkopplung, Komposition oder Modularisierung überhaupt Bestandteil des minimalen FRZK sein müssen</w:t>
      </w:r>
      <w:r>
        <w:t>.</w:t>
      </w:r>
    </w:p>
    <w:p w:rsidR="00CE77C4" w:rsidRDefault="00CE77C4" w:rsidP="00CE77C4">
      <w:pPr>
        <w:pStyle w:val="StandardWeb"/>
      </w:pPr>
      <w:r>
        <w:t xml:space="preserve">Der nächste Startpunkt ist </w:t>
      </w:r>
      <w:r>
        <w:rPr>
          <w:rStyle w:val="Fett"/>
        </w:rPr>
        <w:t>3.3.54.100 / Gleichung (3.14332)</w:t>
      </w:r>
      <w:r>
        <w:t xml:space="preserve">, nächste Definition </w:t>
      </w:r>
      <w:r>
        <w:rPr>
          <w:rStyle w:val="Fett"/>
        </w:rPr>
        <w:t>3.3.692</w:t>
      </w:r>
      <w:r>
        <w:t xml:space="preserve">, nächster Satz </w:t>
      </w:r>
      <w:r>
        <w:rPr>
          <w:rStyle w:val="Fett"/>
        </w:rPr>
        <w:t>3.3.286</w:t>
      </w:r>
      <w:r>
        <w:t xml:space="preserve">, nächstes Korollar </w:t>
      </w:r>
      <w:r>
        <w:rPr>
          <w:rStyle w:val="Fett"/>
        </w:rPr>
        <w:t>3.3.85</w:t>
      </w:r>
      <w:r>
        <w:t>.</w:t>
      </w:r>
    </w:p>
    <w:p w:rsidR="00780140" w:rsidRDefault="00780140" w:rsidP="00780140">
      <w:pPr>
        <w:pStyle w:val="berschrift1"/>
        <w:rPr>
          <w:rFonts w:cs="Times New Roman"/>
          <w:sz w:val="48"/>
          <w:szCs w:val="48"/>
        </w:rPr>
      </w:pPr>
      <w:r>
        <w:t>3.3.54.100 Axiomentscheidung zur disjunkten Modularität</w:t>
      </w:r>
    </w:p>
    <w:p w:rsidR="00780140" w:rsidRDefault="00780140" w:rsidP="00780140">
      <w:pPr>
        <w:pStyle w:val="StandardWeb"/>
      </w:pPr>
      <w:r>
        <w:t>Aus dem bereits konstruierten Gegenmodell mit überlappenden Modulen folgt unmittelbar, dass die Forderung paarweise disjunkter Modulobjektmengen nicht universell notwendig ist.</w:t>
      </w:r>
    </w:p>
    <w:p w:rsidR="00780140" w:rsidRDefault="00780140" w:rsidP="00780140">
      <w:pPr>
        <w:pStyle w:val="StandardWeb"/>
      </w:pPr>
      <w:r>
        <w:t>Damit gilt</w:t>
      </w:r>
    </w:p>
    <w:p w:rsidR="00780140" w:rsidRDefault="00780140" w:rsidP="00780140">
      <w:pPr>
        <w:pStyle w:val="berschrift1"/>
      </w:pPr>
      <w:r>
        <w:t>[</w:t>
      </w:r>
      <w:r>
        <w:br/>
        <w:t>\boxed{</w:t>
      </w:r>
      <w:r>
        <w:br/>
        <w:t>U_{\mathrm{Ax}}</w:t>
      </w:r>
      <w:r>
        <w:br/>
        <w:t>(A_{\mathrm{mod-disj}})</w:t>
      </w:r>
    </w:p>
    <w:p w:rsidR="00780140" w:rsidRDefault="00780140" w:rsidP="009F7790">
      <w:pPr>
        <w:numPr>
          <w:ilvl w:val="0"/>
          <w:numId w:val="804"/>
        </w:numPr>
        <w:spacing w:before="100" w:beforeAutospacing="1" w:after="100" w:afterAutospacing="1"/>
      </w:pPr>
    </w:p>
    <w:p w:rsidR="00780140" w:rsidRDefault="00780140" w:rsidP="00780140">
      <w:pPr>
        <w:pStyle w:val="StandardWeb"/>
      </w:pPr>
      <w:r>
        <w:t>}</w:t>
      </w:r>
      <w:r>
        <w:br/>
        <w:t>\tag{3.14332}</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\boxed{U_{\mathrm{Ax}}(A_{\mathrm{mod-disj}})=0.}</w:t>
      </w:r>
    </w:p>
    <w:p w:rsidR="00780140" w:rsidRDefault="00780140" w:rsidP="00780140">
      <w:pPr>
        <w:pStyle w:val="berschrift1"/>
      </w:pPr>
      <w:r>
        <w:t>3.3.54.101 Satz 3.3.286 – Disjunkte Modularität ist kein Primäraxiom</w:t>
      </w:r>
    </w:p>
    <w:p w:rsidR="00780140" w:rsidRDefault="00780140" w:rsidP="00780140">
      <w:pPr>
        <w:pStyle w:val="berschrift3"/>
      </w:pPr>
      <w:r>
        <w:t>Satz 3.3.286</w:t>
      </w:r>
    </w:p>
    <w:p w:rsidR="00780140" w:rsidRDefault="00780140" w:rsidP="00780140">
      <w:pPr>
        <w:pStyle w:val="StandardWeb"/>
      </w:pPr>
      <w:r>
        <w:t>Die Forderung, verschiedene funktionale Module müssten paarweise disjunkte Objektmengen besitzen, ist keine universell notwendige Voraussetzung des allgemeinen FRZK.</w:t>
      </w:r>
    </w:p>
    <w:p w:rsidR="00780140" w:rsidRDefault="00780140" w:rsidP="00780140">
      <w:pPr>
        <w:pStyle w:val="StandardWeb"/>
      </w:pPr>
      <w:r>
        <w:t>Formal gilt</w:t>
      </w:r>
    </w:p>
    <w:p w:rsidR="00780140" w:rsidRDefault="00780140" w:rsidP="00780140">
      <w:pPr>
        <w:pStyle w:val="berschrift1"/>
      </w:pPr>
      <w:r>
        <w:lastRenderedPageBreak/>
        <w:t>[</w:t>
      </w:r>
      <w:r>
        <w:br/>
        <w:t>\boxed{</w:t>
      </w:r>
      <w:r>
        <w:br/>
        <w:t>U_{\mathrm{Ax}}</w:t>
      </w:r>
      <w:r>
        <w:br/>
        <w:t>(A_{\mathrm{mod-disj}})</w:t>
      </w:r>
    </w:p>
    <w:p w:rsidR="00780140" w:rsidRDefault="00780140" w:rsidP="009F7790">
      <w:pPr>
        <w:numPr>
          <w:ilvl w:val="0"/>
          <w:numId w:val="805"/>
        </w:numPr>
        <w:spacing w:before="100" w:beforeAutospacing="1" w:after="100" w:afterAutospacing="1"/>
      </w:pPr>
    </w:p>
    <w:p w:rsidR="00780140" w:rsidRDefault="00780140" w:rsidP="00780140">
      <w:pPr>
        <w:pStyle w:val="StandardWeb"/>
      </w:pPr>
      <w:r>
        <w:t>}</w:t>
      </w:r>
      <w:r>
        <w:br/>
        <w:t>\tag{3.14333}</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\boxed{U_{\mathrm{Ax}}(A_{\mathrm{mod-disj}})=0.}</w:t>
      </w:r>
    </w:p>
    <w:p w:rsidR="00780140" w:rsidRDefault="00780140" w:rsidP="00780140">
      <w:r>
        <w:pict>
          <v:rect id="_x0000_i6700" style="width:0;height:1.5pt" o:hralign="center" o:hrstd="t" o:hr="t" fillcolor="#a0a0a0" stroked="f"/>
        </w:pict>
      </w:r>
    </w:p>
    <w:p w:rsidR="00780140" w:rsidRDefault="00780140" w:rsidP="00780140">
      <w:pPr>
        <w:pStyle w:val="berschrift1"/>
      </w:pPr>
      <w:r>
        <w:t>3.3.54.102 Korollar 3.3.85 – Modulüberlappung ist modellabhängig</w:t>
      </w:r>
    </w:p>
    <w:p w:rsidR="00780140" w:rsidRDefault="00780140" w:rsidP="00780140">
      <w:pPr>
        <w:pStyle w:val="berschrift3"/>
      </w:pPr>
      <w:r>
        <w:t>Korollar 3.3.85</w:t>
      </w:r>
    </w:p>
    <w:p w:rsidR="00780140" w:rsidRDefault="00780140" w:rsidP="00780140">
      <w:pPr>
        <w:pStyle w:val="StandardWeb"/>
      </w:pPr>
      <w:r>
        <w:t>Aus Satz 3.3.286 folgt, dass die Überlappungsstruktur funktionaler Module modellabhängig festgelegt werden kann:</w:t>
      </w:r>
    </w:p>
    <w:p w:rsidR="00780140" w:rsidRDefault="00780140" w:rsidP="00780140">
      <w:pPr>
        <w:pStyle w:val="berschrift1"/>
      </w:pPr>
      <w:r>
        <w:t>[</w:t>
      </w:r>
      <w:r>
        <w:br/>
        <w:t>\boxed{</w:t>
      </w:r>
      <w:r>
        <w:br/>
        <w:t>\operatorname{Stat}</w:t>
      </w:r>
      <w:r>
        <w:br/>
        <w:t>\left(</w:t>
      </w:r>
      <w:r>
        <w:br/>
        <w:t>\mathcal X_{F,i}</w:t>
      </w:r>
      <w:r>
        <w:br/>
        <w:t>\cap</w:t>
      </w:r>
      <w:r>
        <w:br/>
        <w:t>\mathcal X_{F,j}</w:t>
      </w:r>
      <w:r>
        <w:br/>
        <w:t>\right)</w:t>
      </w:r>
    </w:p>
    <w:p w:rsidR="00780140" w:rsidRDefault="00780140" w:rsidP="00780140">
      <w:pPr>
        <w:pStyle w:val="StandardWeb"/>
      </w:pPr>
      <w:r>
        <w:t>\mathrm{Def/Mod/Op}.</w:t>
      </w:r>
      <w:r>
        <w:br/>
        <w:t>}</w:t>
      </w:r>
      <w:r>
        <w:br/>
        <w:t>\tag{3.14334}</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lastRenderedPageBreak/>
        <w:t>\boxed{\operatorname{Stat}\left(\mathcal X_{F,i}\cap\mathcal X_{F,j}\right)=\mathrm{Def/Mod/Op}.}</w:t>
      </w:r>
    </w:p>
    <w:p w:rsidR="00780140" w:rsidRDefault="00780140" w:rsidP="00780140">
      <w:r>
        <w:pict>
          <v:rect id="_x0000_i6701" style="width:0;height:1.5pt" o:hralign="center" o:hrstd="t" o:hr="t" fillcolor="#a0a0a0" stroked="f"/>
        </w:pict>
      </w:r>
    </w:p>
    <w:p w:rsidR="00780140" w:rsidRDefault="00780140" w:rsidP="00780140">
      <w:pPr>
        <w:pStyle w:val="berschrift1"/>
      </w:pPr>
      <w:r>
        <w:t>3.3.54.103 Funktionale modulare Zerlegung</w:t>
      </w:r>
    </w:p>
    <w:p w:rsidR="00780140" w:rsidRDefault="00780140" w:rsidP="00780140">
      <w:pPr>
        <w:pStyle w:val="StandardWeb"/>
      </w:pPr>
      <w:r>
        <w:t>Nun untersuche ich die umgekehrte Frage: Kann eine funktionale Gesamtstruktur in mehrere Module zerlegt werden?</w:t>
      </w:r>
    </w:p>
    <w:p w:rsidR="00780140" w:rsidRDefault="00780140" w:rsidP="00780140">
      <w:pPr>
        <w:pStyle w:val="StandardWeb"/>
      </w:pPr>
      <w:r>
        <w:t>Sei</w:t>
      </w:r>
    </w:p>
    <w:p w:rsidR="00780140" w:rsidRDefault="00780140" w:rsidP="00780140">
      <w:pPr>
        <w:pStyle w:val="StandardWeb"/>
      </w:pPr>
      <w:r>
        <w:t>[</w:t>
      </w:r>
      <w:r>
        <w:br/>
        <w:t>\mathfrak S_F</w:t>
      </w:r>
      <w:r>
        <w:br/>
        <w:t>\tag{3.14335}</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\mathfrak S_F</w:t>
      </w:r>
    </w:p>
    <w:p w:rsidR="00780140" w:rsidRDefault="00780140" w:rsidP="00780140">
      <w:pPr>
        <w:pStyle w:val="StandardWeb"/>
      </w:pPr>
      <w:r>
        <w:t>eine funktionale Gesamtstruktur.</w:t>
      </w:r>
    </w:p>
    <w:p w:rsidR="00780140" w:rsidRDefault="00780140" w:rsidP="00780140">
      <w:pPr>
        <w:pStyle w:val="StandardWeb"/>
      </w:pPr>
      <w:r>
        <w:t>Eine modulare Zerlegung kann schematisch geschrieben werden als</w:t>
      </w:r>
    </w:p>
    <w:p w:rsidR="00780140" w:rsidRDefault="00780140" w:rsidP="00780140">
      <w:pPr>
        <w:pStyle w:val="StandardWeb"/>
      </w:pPr>
      <w:r>
        <w:t>[</w:t>
      </w:r>
      <w:r>
        <w:br/>
        <w:t>\mathfrak S_F</w:t>
      </w:r>
      <w:r>
        <w:br/>
        <w:t>\longmapsto</w:t>
      </w:r>
      <w:r>
        <w:br/>
        <w:t>{</w:t>
      </w:r>
      <w:r>
        <w:br/>
        <w:t>\mathfrak M_{F,1},</w:t>
      </w:r>
      <w:r>
        <w:br/>
        <w:t>\ldots,</w:t>
      </w:r>
      <w:r>
        <w:br/>
        <w:t>\mathfrak M_{F,n}</w:t>
      </w:r>
      <w:r>
        <w:br/>
        <w:t>}.</w:t>
      </w:r>
      <w:r>
        <w:br/>
        <w:t>\tag{3.14336}</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\mathfrak S_F\longmapsto\{\mathfrak M_{F,1},\ldots,\mathfrak M_{F,n}\}</w:t>
      </w:r>
    </w:p>
    <w:p w:rsidR="00780140" w:rsidRDefault="00780140" w:rsidP="00780140">
      <w:r>
        <w:pict>
          <v:rect id="_x0000_i6702" style="width:0;height:1.5pt" o:hralign="center" o:hrstd="t" o:hr="t" fillcolor="#a0a0a0" stroked="f"/>
        </w:pict>
      </w:r>
    </w:p>
    <w:p w:rsidR="00780140" w:rsidRDefault="00780140" w:rsidP="00780140">
      <w:pPr>
        <w:pStyle w:val="berschrift2"/>
      </w:pPr>
      <w:r>
        <w:t>3.3.54.104 Definition 3.3.692 – Funktionale modulare Zerlegung</w:t>
      </w:r>
    </w:p>
    <w:p w:rsidR="00780140" w:rsidRDefault="00780140" w:rsidP="00780140">
      <w:pPr>
        <w:pStyle w:val="berschrift3"/>
      </w:pPr>
      <w:r>
        <w:t>Definition 3.3.692</w:t>
      </w:r>
    </w:p>
    <w:p w:rsidR="00780140" w:rsidRDefault="00780140" w:rsidP="00780140">
      <w:pPr>
        <w:pStyle w:val="StandardWeb"/>
      </w:pPr>
      <w:r>
        <w:t xml:space="preserve">Eine </w:t>
      </w:r>
      <w:r>
        <w:rPr>
          <w:rStyle w:val="Fett"/>
        </w:rPr>
        <w:t>funktionale modulare Zerlegung</w:t>
      </w:r>
      <w:r>
        <w:t xml:space="preserve"> ist eine modellabhängige Zuordnung</w:t>
      </w:r>
    </w:p>
    <w:p w:rsidR="00780140" w:rsidRDefault="00780140" w:rsidP="00780140">
      <w:pPr>
        <w:pStyle w:val="StandardWeb"/>
      </w:pPr>
      <w:r>
        <w:t>[</w:t>
      </w:r>
      <w:r>
        <w:br/>
        <w:t>\boxed{</w:t>
      </w:r>
      <w:r>
        <w:br/>
        <w:t>Z_F</w:t>
      </w:r>
      <w:r>
        <w:br/>
      </w:r>
      <w:r>
        <w:lastRenderedPageBreak/>
        <w:t>:</w:t>
      </w:r>
      <w:r>
        <w:br/>
        <w:t>\mathfrak S_F</w:t>
      </w:r>
      <w:r>
        <w:br/>
        <w:t>\rightarrow</w:t>
      </w:r>
      <w:r>
        <w:br/>
        <w:t>{</w:t>
      </w:r>
      <w:r>
        <w:br/>
        <w:t>\mathfrak M_{F,i}</w:t>
      </w:r>
      <w:r>
        <w:br/>
        <w:t>}_{i\in I}.</w:t>
      </w:r>
      <w:r>
        <w:br/>
        <w:t>}</w:t>
      </w:r>
      <w:r>
        <w:br/>
        <w:t>\tag{3.14337}</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\boxed{Z_F:\mathfrak S_F\rightarrow\{\mathfrak M_{F,i}\}_{i\in I}.}</w:t>
      </w:r>
    </w:p>
    <w:p w:rsidR="00780140" w:rsidRDefault="00780140" w:rsidP="00780140">
      <w:pPr>
        <w:pStyle w:val="StandardWeb"/>
      </w:pPr>
      <w:r>
        <w:t>Dabei legt (Z_F) fest, welche funktionalen Objekte und Operationen welchen Modulen zugeordnet werden.</w:t>
      </w:r>
    </w:p>
    <w:p w:rsidR="00780140" w:rsidRDefault="00780140" w:rsidP="00780140">
      <w:r>
        <w:pict>
          <v:rect id="_x0000_i6703" style="width:0;height:1.5pt" o:hralign="center" o:hrstd="t" o:hr="t" fillcolor="#a0a0a0" stroked="f"/>
        </w:pict>
      </w:r>
    </w:p>
    <w:p w:rsidR="00780140" w:rsidRDefault="00780140" w:rsidP="00780140">
      <w:pPr>
        <w:pStyle w:val="berschrift1"/>
      </w:pPr>
      <w:r>
        <w:t>3.3.54.105 Vollständige modulare Zerlegung</w:t>
      </w:r>
    </w:p>
    <w:p w:rsidR="00780140" w:rsidRDefault="00780140" w:rsidP="00780140">
      <w:pPr>
        <w:pStyle w:val="StandardWeb"/>
      </w:pPr>
      <w:r>
        <w:t>Eine Zerlegung kann so definiert sein, dass sämtliche betrachteten funktionalen Objekte mindestens einem Modul zugeordnet werden:</w:t>
      </w:r>
    </w:p>
    <w:p w:rsidR="00780140" w:rsidRDefault="00780140" w:rsidP="00780140">
      <w:pPr>
        <w:pStyle w:val="berschrift1"/>
      </w:pPr>
      <w:r>
        <w:t>[</w:t>
      </w:r>
      <w:r>
        <w:br/>
        <w:t>\mathcal X_F</w:t>
      </w:r>
    </w:p>
    <w:p w:rsidR="00780140" w:rsidRDefault="00780140" w:rsidP="00780140">
      <w:pPr>
        <w:pStyle w:val="StandardWeb"/>
      </w:pPr>
      <w:r>
        <w:t>\bigcup_{i\in I}</w:t>
      </w:r>
      <w:r>
        <w:br/>
        <w:t>\mathcal X_{F,i}.</w:t>
      </w:r>
      <w:r>
        <w:br/>
        <w:t>\tag{3.14338}</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\mathcal X_F=\bigcup_{i\in I}\mathcal X_{F,i}</w:t>
      </w:r>
    </w:p>
    <w:p w:rsidR="00780140" w:rsidRDefault="00780140" w:rsidP="00780140">
      <w:r>
        <w:pict>
          <v:rect id="_x0000_i6704" style="width:0;height:1.5pt" o:hralign="center" o:hrstd="t" o:hr="t" fillcolor="#a0a0a0" stroked="f"/>
        </w:pict>
      </w:r>
    </w:p>
    <w:p w:rsidR="00780140" w:rsidRDefault="00780140" w:rsidP="00780140">
      <w:pPr>
        <w:pStyle w:val="berschrift2"/>
      </w:pPr>
      <w:r>
        <w:t>3.3.54.106 Definition 3.3.693 – Vollständige funktionale Modulabdeckung</w:t>
      </w:r>
    </w:p>
    <w:p w:rsidR="00780140" w:rsidRDefault="00780140" w:rsidP="00780140">
      <w:pPr>
        <w:pStyle w:val="berschrift3"/>
      </w:pPr>
      <w:r>
        <w:t>Definition 3.3.693</w:t>
      </w:r>
    </w:p>
    <w:p w:rsidR="00780140" w:rsidRDefault="00780140" w:rsidP="00780140">
      <w:pPr>
        <w:pStyle w:val="StandardWeb"/>
      </w:pPr>
      <w:r>
        <w:t xml:space="preserve">Eine modulare Zerlegung heißt </w:t>
      </w:r>
      <w:r>
        <w:rPr>
          <w:rStyle w:val="Fett"/>
        </w:rPr>
        <w:t>vollständig bezüglich der Objektmenge</w:t>
      </w:r>
      <w:r>
        <w:t>, wenn</w:t>
      </w:r>
    </w:p>
    <w:p w:rsidR="00780140" w:rsidRDefault="00780140" w:rsidP="00780140">
      <w:pPr>
        <w:pStyle w:val="berschrift1"/>
      </w:pPr>
      <w:r>
        <w:lastRenderedPageBreak/>
        <w:t>[</w:t>
      </w:r>
      <w:r>
        <w:br/>
        <w:t>\boxed{</w:t>
      </w:r>
      <w:r>
        <w:br/>
        <w:t>\mathcal X_F</w:t>
      </w:r>
    </w:p>
    <w:p w:rsidR="00780140" w:rsidRDefault="00780140" w:rsidP="00780140">
      <w:pPr>
        <w:pStyle w:val="StandardWeb"/>
      </w:pPr>
      <w:r>
        <w:t>\bigcup_{i\in I}</w:t>
      </w:r>
      <w:r>
        <w:br/>
        <w:t>\mathcal X_{F,i}.</w:t>
      </w:r>
      <w:r>
        <w:br/>
        <w:t>}</w:t>
      </w:r>
      <w:r>
        <w:br/>
        <w:t>\tag{3.14339}</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\boxed{\mathcal X_F=\bigcup_{i\in I}\mathcal X_{F,i}.}</w:t>
      </w:r>
    </w:p>
    <w:p w:rsidR="00780140" w:rsidRDefault="00780140" w:rsidP="00780140">
      <w:r>
        <w:pict>
          <v:rect id="_x0000_i6705" style="width:0;height:1.5pt" o:hralign="center" o:hrstd="t" o:hr="t" fillcolor="#a0a0a0" stroked="f"/>
        </w:pict>
      </w:r>
    </w:p>
    <w:p w:rsidR="00780140" w:rsidRDefault="00780140" w:rsidP="00780140">
      <w:pPr>
        <w:pStyle w:val="berschrift1"/>
      </w:pPr>
      <w:r>
        <w:t>3.3.54.107 Unvollständige Modulabdeckung</w:t>
      </w:r>
    </w:p>
    <w:p w:rsidR="00780140" w:rsidRDefault="00780140" w:rsidP="00780140">
      <w:pPr>
        <w:pStyle w:val="StandardWeb"/>
      </w:pPr>
      <w:r>
        <w:t>Eine modellabhängige Modularisierung kann dagegen nur einen Teil der Gesamtstruktur erfassen:</w:t>
      </w:r>
    </w:p>
    <w:p w:rsidR="00780140" w:rsidRDefault="00780140" w:rsidP="00780140">
      <w:pPr>
        <w:pStyle w:val="StandardWeb"/>
      </w:pPr>
      <w:r>
        <w:t>[</w:t>
      </w:r>
      <w:r>
        <w:br/>
        <w:t>\bigcup_{i\in I}</w:t>
      </w:r>
      <w:r>
        <w:br/>
        <w:t>\mathcal X_{F,i}</w:t>
      </w:r>
      <w:r>
        <w:br/>
        <w:t>\subsetneq</w:t>
      </w:r>
      <w:r>
        <w:br/>
        <w:t>\mathcal X_F.</w:t>
      </w:r>
      <w:r>
        <w:br/>
        <w:t>\tag{3.14340}</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\bigcup_{i\in I}\mathcal X_{F,i}\subsetneq\mathcal X_F</w:t>
      </w:r>
    </w:p>
    <w:p w:rsidR="00780140" w:rsidRDefault="00780140" w:rsidP="00780140">
      <w:r>
        <w:pict>
          <v:rect id="_x0000_i6706" style="width:0;height:1.5pt" o:hralign="center" o:hrstd="t" o:hr="t" fillcolor="#a0a0a0" stroked="f"/>
        </w:pict>
      </w:r>
    </w:p>
    <w:p w:rsidR="00780140" w:rsidRDefault="00780140" w:rsidP="00780140">
      <w:pPr>
        <w:pStyle w:val="berschrift1"/>
      </w:pPr>
      <w:r>
        <w:t>3.3.54.108 Vollständige Modulabdeckung als Primäraxiomkandidat</w:t>
      </w:r>
    </w:p>
    <w:p w:rsidR="00780140" w:rsidRDefault="00780140" w:rsidP="00780140">
      <w:pPr>
        <w:pStyle w:val="StandardWeb"/>
      </w:pPr>
      <w:r>
        <w:t>Ich prüfe daher den Kandidaten</w:t>
      </w:r>
    </w:p>
    <w:p w:rsidR="00780140" w:rsidRDefault="00780140" w:rsidP="00780140">
      <w:pPr>
        <w:pStyle w:val="berschrift1"/>
      </w:pPr>
      <w:r>
        <w:t>[</w:t>
      </w:r>
      <w:r>
        <w:br/>
        <w:t>A_{\mathrm{mod-cover}}</w:t>
      </w:r>
      <w:r>
        <w:br/>
        <w:t>:</w:t>
      </w:r>
      <w:r>
        <w:br/>
        <w:t>\mathcal X_F</w:t>
      </w:r>
    </w:p>
    <w:p w:rsidR="00780140" w:rsidRDefault="00780140" w:rsidP="00780140">
      <w:pPr>
        <w:pStyle w:val="StandardWeb"/>
      </w:pPr>
      <w:r>
        <w:lastRenderedPageBreak/>
        <w:t>\bigcup_{i\in I}</w:t>
      </w:r>
      <w:r>
        <w:br/>
        <w:t>\mathcal X_{F,i}.</w:t>
      </w:r>
      <w:r>
        <w:br/>
        <w:t>\tag{3.14341}</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A_{\mathrm{mod-cover}}:\mathcal X_F=\bigcup_{i\in I}\mathcal X_{F,i}</w:t>
      </w:r>
    </w:p>
    <w:p w:rsidR="00780140" w:rsidRDefault="00780140" w:rsidP="00780140">
      <w:r>
        <w:pict>
          <v:rect id="_x0000_i6707" style="width:0;height:1.5pt" o:hralign="center" o:hrstd="t" o:hr="t" fillcolor="#a0a0a0" stroked="f"/>
        </w:pict>
      </w:r>
    </w:p>
    <w:p w:rsidR="00780140" w:rsidRDefault="00780140" w:rsidP="00780140">
      <w:pPr>
        <w:pStyle w:val="berschrift1"/>
      </w:pPr>
      <w:r>
        <w:t>3.3.54.109 Gegenmodell</w:t>
      </w:r>
    </w:p>
    <w:p w:rsidR="00780140" w:rsidRDefault="00780140" w:rsidP="00780140">
      <w:pPr>
        <w:pStyle w:val="StandardWeb"/>
      </w:pPr>
      <w:r>
        <w:t>Eine funktionale Modellstruktur kann neben modularisierten Bereichen einen nicht modular zugeordneten Restbereich enthalten:</w:t>
      </w:r>
    </w:p>
    <w:p w:rsidR="00780140" w:rsidRDefault="00780140" w:rsidP="00780140">
      <w:pPr>
        <w:pStyle w:val="berschrift1"/>
      </w:pPr>
      <w:r>
        <w:t>[</w:t>
      </w:r>
      <w:r>
        <w:br/>
        <w:t>\mathcal X_F</w:t>
      </w:r>
    </w:p>
    <w:p w:rsidR="00780140" w:rsidRDefault="00780140" w:rsidP="00780140">
      <w:pPr>
        <w:pStyle w:val="StandardWeb"/>
      </w:pPr>
      <w:r>
        <w:t>\left(</w:t>
      </w:r>
      <w:r>
        <w:br/>
        <w:t>\bigcup_{i\in I}</w:t>
      </w:r>
      <w:r>
        <w:br/>
        <w:t>\mathcal X_{F,i}</w:t>
      </w:r>
      <w:r>
        <w:br/>
        <w:t>\right)</w:t>
      </w:r>
      <w:r>
        <w:br/>
        <w:t>\cup</w:t>
      </w:r>
      <w:r>
        <w:br/>
        <w:t>\mathcal X_F^{\mathrm{rest}}</w:t>
      </w:r>
      <w:r>
        <w:br/>
        <w:t>\tag{3.14342}</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\mathcal X_F=\left(\bigcup_{i\in I}\mathcal X_{F,i}\right)\cup\mathcal X_F^{\mathrm{rest}}</w:t>
      </w:r>
    </w:p>
    <w:p w:rsidR="00780140" w:rsidRDefault="00780140" w:rsidP="00780140">
      <w:pPr>
        <w:pStyle w:val="StandardWeb"/>
      </w:pPr>
      <w:r>
        <w:t>mit</w:t>
      </w:r>
    </w:p>
    <w:p w:rsidR="00780140" w:rsidRDefault="00780140" w:rsidP="00780140">
      <w:pPr>
        <w:pStyle w:val="StandardWeb"/>
      </w:pPr>
      <w:r>
        <w:t>[</w:t>
      </w:r>
      <w:r>
        <w:br/>
        <w:t>\mathcal X_F^{\mathrm{rest}}</w:t>
      </w:r>
      <w:r>
        <w:br/>
        <w:t>\neq</w:t>
      </w:r>
      <w:r>
        <w:br/>
        <w:t>\varnothing.</w:t>
      </w:r>
      <w:r>
        <w:br/>
        <w:t>\tag{3.14343}</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\mathcal X_F^{\mathrm{rest}}\neq\varnothing</w:t>
      </w:r>
    </w:p>
    <w:p w:rsidR="00780140" w:rsidRDefault="00780140" w:rsidP="00780140">
      <w:pPr>
        <w:pStyle w:val="StandardWeb"/>
      </w:pPr>
      <w:r>
        <w:t>Damit ist eine vollständige Modulabdeckung nicht zwingend erforderlich.</w:t>
      </w:r>
    </w:p>
    <w:p w:rsidR="00780140" w:rsidRDefault="00780140" w:rsidP="00780140">
      <w:r>
        <w:pict>
          <v:rect id="_x0000_i6708" style="width:0;height:1.5pt" o:hralign="center" o:hrstd="t" o:hr="t" fillcolor="#a0a0a0" stroked="f"/>
        </w:pict>
      </w:r>
    </w:p>
    <w:p w:rsidR="00780140" w:rsidRDefault="00780140" w:rsidP="00780140">
      <w:pPr>
        <w:pStyle w:val="berschrift1"/>
      </w:pPr>
      <w:r>
        <w:lastRenderedPageBreak/>
        <w:t>3.3.54.110 Axiomentscheidung zur vollständigen Modulabdeckung</w:t>
      </w:r>
    </w:p>
    <w:p w:rsidR="00780140" w:rsidRDefault="00780140" w:rsidP="00780140">
      <w:pPr>
        <w:pStyle w:val="StandardWeb"/>
      </w:pPr>
      <w:r>
        <w:t>Es folgt</w:t>
      </w:r>
    </w:p>
    <w:p w:rsidR="00780140" w:rsidRDefault="00780140" w:rsidP="00780140">
      <w:pPr>
        <w:pStyle w:val="berschrift1"/>
      </w:pPr>
      <w:r>
        <w:t>[</w:t>
      </w:r>
      <w:r>
        <w:br/>
        <w:t>\boxed{</w:t>
      </w:r>
      <w:r>
        <w:br/>
        <w:t>U_{\mathrm{Ax}}</w:t>
      </w:r>
      <w:r>
        <w:br/>
        <w:t>(A_{\mathrm{mod-cover}})</w:t>
      </w:r>
    </w:p>
    <w:p w:rsidR="00780140" w:rsidRDefault="00780140" w:rsidP="009F7790">
      <w:pPr>
        <w:numPr>
          <w:ilvl w:val="0"/>
          <w:numId w:val="806"/>
        </w:numPr>
        <w:spacing w:before="100" w:beforeAutospacing="1" w:after="100" w:afterAutospacing="1"/>
      </w:pPr>
    </w:p>
    <w:p w:rsidR="00780140" w:rsidRDefault="00780140" w:rsidP="00780140">
      <w:pPr>
        <w:pStyle w:val="StandardWeb"/>
      </w:pPr>
      <w:r>
        <w:t>}</w:t>
      </w:r>
      <w:r>
        <w:br/>
        <w:t>\tag{3.14344}</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\boxed{U_{\mathrm{Ax}}(A_{\mathrm{mod-cover}})=0.}</w:t>
      </w:r>
    </w:p>
    <w:p w:rsidR="00780140" w:rsidRDefault="00780140" w:rsidP="00780140">
      <w:r>
        <w:pict>
          <v:rect id="_x0000_i6709" style="width:0;height:1.5pt" o:hralign="center" o:hrstd="t" o:hr="t" fillcolor="#a0a0a0" stroked="f"/>
        </w:pict>
      </w:r>
    </w:p>
    <w:p w:rsidR="00780140" w:rsidRDefault="00780140" w:rsidP="00780140">
      <w:pPr>
        <w:pStyle w:val="berschrift1"/>
      </w:pPr>
      <w:r>
        <w:t>3.3.54.111 Satz 3.3.287 – Vollständige modulare Abdeckung ist kein Primäraxiom</w:t>
      </w:r>
    </w:p>
    <w:p w:rsidR="00780140" w:rsidRDefault="00780140" w:rsidP="00780140">
      <w:pPr>
        <w:pStyle w:val="berschrift3"/>
      </w:pPr>
      <w:r>
        <w:t>Satz 3.3.287</w:t>
      </w:r>
    </w:p>
    <w:p w:rsidR="00780140" w:rsidRDefault="00780140" w:rsidP="00780140">
      <w:pPr>
        <w:pStyle w:val="StandardWeb"/>
      </w:pPr>
      <w:r>
        <w:t>Die Forderung, jede funktionale Gesamtstruktur müsse vollständig durch eine Menge funktionaler Module überdeckt werden, ist keine universell notwendige Voraussetzung des allgemeinen FRZK.</w:t>
      </w:r>
    </w:p>
    <w:p w:rsidR="00780140" w:rsidRDefault="00780140" w:rsidP="00780140">
      <w:pPr>
        <w:pStyle w:val="berschrift1"/>
      </w:pPr>
      <w:r>
        <w:t>[</w:t>
      </w:r>
      <w:r>
        <w:br/>
        <w:t>\boxed{</w:t>
      </w:r>
      <w:r>
        <w:br/>
        <w:t>U_{\mathrm{Ax}}</w:t>
      </w:r>
      <w:r>
        <w:br/>
        <w:t>(A_{\mathrm{mod-cover}})</w:t>
      </w:r>
    </w:p>
    <w:p w:rsidR="00780140" w:rsidRDefault="00780140" w:rsidP="009F7790">
      <w:pPr>
        <w:numPr>
          <w:ilvl w:val="0"/>
          <w:numId w:val="807"/>
        </w:numPr>
        <w:spacing w:before="100" w:beforeAutospacing="1" w:after="100" w:afterAutospacing="1"/>
      </w:pPr>
    </w:p>
    <w:p w:rsidR="00780140" w:rsidRDefault="00780140" w:rsidP="00780140">
      <w:pPr>
        <w:pStyle w:val="StandardWeb"/>
      </w:pPr>
      <w:r>
        <w:t>}</w:t>
      </w:r>
      <w:r>
        <w:br/>
        <w:t>\tag{3.14345}</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lastRenderedPageBreak/>
        <w:t>\boxed{U_{\mathrm{Ax}}(A_{\mathrm{mod-cover}})=0.}</w:t>
      </w:r>
    </w:p>
    <w:p w:rsidR="00780140" w:rsidRDefault="00780140" w:rsidP="00780140">
      <w:r>
        <w:pict>
          <v:rect id="_x0000_i6710" style="width:0;height:1.5pt" o:hralign="center" o:hrstd="t" o:hr="t" fillcolor="#a0a0a0" stroked="f"/>
        </w:pict>
      </w:r>
    </w:p>
    <w:p w:rsidR="00780140" w:rsidRDefault="00780140" w:rsidP="00780140">
      <w:pPr>
        <w:pStyle w:val="berschrift1"/>
      </w:pPr>
      <w:r>
        <w:t>3.3.54.112 Eindeutigkeit einer modularen Zerlegung</w:t>
      </w:r>
    </w:p>
    <w:p w:rsidR="00780140" w:rsidRDefault="00780140" w:rsidP="00780140">
      <w:pPr>
        <w:pStyle w:val="StandardWeb"/>
      </w:pPr>
      <w:r>
        <w:t>Eine weitere mögliche Forderung besteht darin, dass eine Gesamtstruktur genau eine zulässige modulare Zerlegung besitzt.</w:t>
      </w:r>
    </w:p>
    <w:p w:rsidR="00780140" w:rsidRDefault="00780140" w:rsidP="00780140">
      <w:pPr>
        <w:pStyle w:val="StandardWeb"/>
      </w:pPr>
      <w:r>
        <w:t>Ich schreibe zwei Zerlegungen als</w:t>
      </w:r>
    </w:p>
    <w:p w:rsidR="00780140" w:rsidRDefault="00780140" w:rsidP="00780140">
      <w:pPr>
        <w:pStyle w:val="StandardWeb"/>
      </w:pPr>
      <w:r>
        <w:t>[</w:t>
      </w:r>
      <w:r>
        <w:br/>
        <w:t>Z_F^{(1)}</w:t>
      </w:r>
      <w:r>
        <w:br/>
        <w:t>(\mathfrak S_F)</w:t>
      </w:r>
      <w:r>
        <w:br/>
        <w:t>\tag{3.14346}</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Z_F^{(1)}(\mathfrak S_F)</w:t>
      </w:r>
    </w:p>
    <w:p w:rsidR="00780140" w:rsidRDefault="00780140" w:rsidP="00780140">
      <w:pPr>
        <w:pStyle w:val="StandardWeb"/>
      </w:pPr>
      <w:r>
        <w:t>und</w:t>
      </w:r>
    </w:p>
    <w:p w:rsidR="00780140" w:rsidRDefault="00780140" w:rsidP="00780140">
      <w:pPr>
        <w:pStyle w:val="StandardWeb"/>
      </w:pPr>
      <w:r>
        <w:t>[</w:t>
      </w:r>
      <w:r>
        <w:br/>
        <w:t>Z_F^{(2)}</w:t>
      </w:r>
      <w:r>
        <w:br/>
        <w:t>(\mathfrak S_F).</w:t>
      </w:r>
      <w:r>
        <w:br/>
        <w:t>\tag{3.14347}</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Z_F^{(2)}(\mathfrak S_F)</w:t>
      </w:r>
    </w:p>
    <w:p w:rsidR="00780140" w:rsidRDefault="00780140" w:rsidP="00780140">
      <w:r>
        <w:pict>
          <v:rect id="_x0000_i6711" style="width:0;height:1.5pt" o:hralign="center" o:hrstd="t" o:hr="t" fillcolor="#a0a0a0" stroked="f"/>
        </w:pict>
      </w:r>
    </w:p>
    <w:p w:rsidR="00780140" w:rsidRDefault="00780140" w:rsidP="00780140">
      <w:pPr>
        <w:pStyle w:val="berschrift2"/>
      </w:pPr>
      <w:r>
        <w:t>3.3.54.113 Definition 3.3.694 – Eindeutige funktionale Modulzerlegung</w:t>
      </w:r>
    </w:p>
    <w:p w:rsidR="00780140" w:rsidRDefault="00780140" w:rsidP="00780140">
      <w:pPr>
        <w:pStyle w:val="berschrift3"/>
      </w:pPr>
      <w:r>
        <w:t>Definition 3.3.694</w:t>
      </w:r>
    </w:p>
    <w:p w:rsidR="00780140" w:rsidRDefault="00780140" w:rsidP="00780140">
      <w:pPr>
        <w:pStyle w:val="StandardWeb"/>
      </w:pPr>
      <w:r>
        <w:t xml:space="preserve">Eine funktionale Modulzerlegung heißt </w:t>
      </w:r>
      <w:r>
        <w:rPr>
          <w:rStyle w:val="Fett"/>
        </w:rPr>
        <w:t>eindeutig</w:t>
      </w:r>
      <w:r>
        <w:t>, wenn für alle zulässigen Zerlegungen derselben Gesamtstruktur gilt</w:t>
      </w:r>
    </w:p>
    <w:p w:rsidR="00780140" w:rsidRDefault="00780140" w:rsidP="00780140">
      <w:pPr>
        <w:pStyle w:val="berschrift1"/>
      </w:pPr>
      <w:r>
        <w:t>[</w:t>
      </w:r>
      <w:r>
        <w:br/>
        <w:t>\boxed{</w:t>
      </w:r>
      <w:r>
        <w:br/>
        <w:t>Z_F^{(1)}</w:t>
      </w:r>
      <w:r>
        <w:br/>
        <w:t>(\mathfrak S_F)</w:t>
      </w:r>
    </w:p>
    <w:p w:rsidR="00780140" w:rsidRDefault="00780140" w:rsidP="00780140">
      <w:pPr>
        <w:pStyle w:val="StandardWeb"/>
      </w:pPr>
      <w:r>
        <w:lastRenderedPageBreak/>
        <w:t>Z_F^{(2)}</w:t>
      </w:r>
      <w:r>
        <w:br/>
        <w:t>(\mathfrak S_F).</w:t>
      </w:r>
      <w:r>
        <w:br/>
        <w:t>}</w:t>
      </w:r>
      <w:r>
        <w:br/>
        <w:t>\tag{3.14348}</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\boxed{Z_F^{(1)}(\mathfrak S_F)=Z_F^{(2)}(\mathfrak S_F).}</w:t>
      </w:r>
    </w:p>
    <w:p w:rsidR="00780140" w:rsidRDefault="00780140" w:rsidP="00780140">
      <w:r>
        <w:pict>
          <v:rect id="_x0000_i6712" style="width:0;height:1.5pt" o:hralign="center" o:hrstd="t" o:hr="t" fillcolor="#a0a0a0" stroked="f"/>
        </w:pict>
      </w:r>
    </w:p>
    <w:p w:rsidR="00780140" w:rsidRDefault="00780140" w:rsidP="00780140">
      <w:pPr>
        <w:pStyle w:val="berschrift1"/>
      </w:pPr>
      <w:r>
        <w:t>3.3.54.114 Nicht eindeutige Modularisierung</w:t>
      </w:r>
    </w:p>
    <w:p w:rsidR="00780140" w:rsidRDefault="00780140" w:rsidP="00780140">
      <w:pPr>
        <w:pStyle w:val="StandardWeb"/>
      </w:pPr>
      <w:r>
        <w:t>Dieselbe funktionale Gesamtstruktur kann nach verschiedenen Kriterien modularisiert werden.</w:t>
      </w:r>
    </w:p>
    <w:p w:rsidR="00780140" w:rsidRDefault="00780140" w:rsidP="00780140">
      <w:pPr>
        <w:pStyle w:val="StandardWeb"/>
      </w:pPr>
      <w:r>
        <w:t>Es kann gelten</w:t>
      </w:r>
    </w:p>
    <w:p w:rsidR="00780140" w:rsidRDefault="00780140" w:rsidP="00780140">
      <w:pPr>
        <w:pStyle w:val="StandardWeb"/>
      </w:pPr>
      <w:r>
        <w:t>[</w:t>
      </w:r>
      <w:r>
        <w:br/>
        <w:t>Z_F^{(1)}</w:t>
      </w:r>
      <w:r>
        <w:br/>
        <w:t>(\mathfrak S_F)</w:t>
      </w:r>
      <w:r>
        <w:br/>
        <w:t>\neq</w:t>
      </w:r>
      <w:r>
        <w:br/>
        <w:t>Z_F^{(2)}</w:t>
      </w:r>
      <w:r>
        <w:br/>
        <w:t>(\mathfrak S_F).</w:t>
      </w:r>
      <w:r>
        <w:br/>
        <w:t>\tag{3.14349}</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Z_F^{(1)}(\mathfrak S_F)\neq Z_F^{(2)}(\mathfrak S_F)</w:t>
      </w:r>
    </w:p>
    <w:p w:rsidR="00780140" w:rsidRDefault="00780140" w:rsidP="00780140">
      <w:r>
        <w:pict>
          <v:rect id="_x0000_i6713" style="width:0;height:1.5pt" o:hralign="center" o:hrstd="t" o:hr="t" fillcolor="#a0a0a0" stroked="f"/>
        </w:pict>
      </w:r>
    </w:p>
    <w:p w:rsidR="00780140" w:rsidRDefault="00780140" w:rsidP="00780140">
      <w:pPr>
        <w:pStyle w:val="berschrift1"/>
      </w:pPr>
      <w:r>
        <w:t>3.3.54.115 Eindeutigkeit als Primäraxiomkandidat</w:t>
      </w:r>
    </w:p>
    <w:p w:rsidR="00780140" w:rsidRDefault="00780140" w:rsidP="00780140">
      <w:pPr>
        <w:pStyle w:val="StandardWeb"/>
      </w:pPr>
      <w:r>
        <w:t>Der Kandidat lautet</w:t>
      </w:r>
    </w:p>
    <w:p w:rsidR="00780140" w:rsidRDefault="00780140" w:rsidP="00780140">
      <w:pPr>
        <w:pStyle w:val="berschrift1"/>
      </w:pPr>
      <w:r>
        <w:t>[</w:t>
      </w:r>
      <w:r>
        <w:br/>
        <w:t>A_{\mathrm{mod-uniq}}</w:t>
      </w:r>
      <w:r>
        <w:br/>
        <w:t>:</w:t>
      </w:r>
      <w:r>
        <w:br/>
        <w:t>\forall</w:t>
      </w:r>
      <w:r>
        <w:br/>
        <w:t>Z_F^{(1)},Z_F^{(2)}</w:t>
      </w:r>
      <w:r>
        <w:br/>
        <w:t>:</w:t>
      </w:r>
      <w:r>
        <w:br/>
        <w:t>Z_F^{(1)}(\mathfrak S_F)</w:t>
      </w:r>
    </w:p>
    <w:p w:rsidR="00780140" w:rsidRDefault="00780140" w:rsidP="00780140">
      <w:pPr>
        <w:pStyle w:val="StandardWeb"/>
      </w:pPr>
      <w:r>
        <w:lastRenderedPageBreak/>
        <w:t>Z_F^{(2)}(\mathfrak S_F).</w:t>
      </w:r>
      <w:r>
        <w:br/>
        <w:t>\tag{3.14350}</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A_{\mathrm{mod-uniq}}:\forall Z_F^{(1)},Z_F^{(2)}:Z_F^{(1)}(\mathfrak S_F)=Z_F^{(2)}(\mathfrak S_F)</w:t>
      </w:r>
    </w:p>
    <w:p w:rsidR="00780140" w:rsidRDefault="00780140" w:rsidP="00780140">
      <w:r>
        <w:pict>
          <v:rect id="_x0000_i6714" style="width:0;height:1.5pt" o:hralign="center" o:hrstd="t" o:hr="t" fillcolor="#a0a0a0" stroked="f"/>
        </w:pict>
      </w:r>
    </w:p>
    <w:p w:rsidR="00780140" w:rsidRDefault="00780140" w:rsidP="00780140">
      <w:pPr>
        <w:pStyle w:val="berschrift1"/>
      </w:pPr>
      <w:r>
        <w:t>3.3.54.116 Gegenmodell zur Eindeutigkeit</w:t>
      </w:r>
    </w:p>
    <w:p w:rsidR="00780140" w:rsidRDefault="00780140" w:rsidP="00780140">
      <w:pPr>
        <w:pStyle w:val="StandardWeb"/>
      </w:pPr>
      <w:r>
        <w:t>Ich kann dieselbe Gesamtstruktur beispielsweise einmal nach funktionalen Aufgaben und einmal nach Kopplungsbereichen zerlegen:</w:t>
      </w:r>
    </w:p>
    <w:p w:rsidR="00780140" w:rsidRDefault="00780140" w:rsidP="00780140">
      <w:pPr>
        <w:pStyle w:val="StandardWeb"/>
      </w:pPr>
      <w:r>
        <w:t>[</w:t>
      </w:r>
      <w:r>
        <w:br/>
        <w:t>Z_F^{(\mathrm{fun})}</w:t>
      </w:r>
      <w:r>
        <w:br/>
        <w:t>(\mathfrak S_F)</w:t>
      </w:r>
      <w:r>
        <w:br/>
        <w:t>\neq</w:t>
      </w:r>
      <w:r>
        <w:br/>
        <w:t>Z_F^{(\mathrm{cpl})}</w:t>
      </w:r>
      <w:r>
        <w:br/>
        <w:t>(\mathfrak S_F).</w:t>
      </w:r>
      <w:r>
        <w:br/>
        <w:t>\tag{3.14351}</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Z_F^{(\mathrm{fun})}(\mathfrak S_F)\neq Z_F^{(\mathrm{cpl})}(\mathfrak S_F)</w:t>
      </w:r>
    </w:p>
    <w:p w:rsidR="00780140" w:rsidRDefault="00780140" w:rsidP="00780140">
      <w:pPr>
        <w:pStyle w:val="StandardWeb"/>
      </w:pPr>
      <w:r>
        <w:t>Beide Zerlegungen können für unterschiedliche Modellzwecke zulässig sein.</w:t>
      </w:r>
    </w:p>
    <w:p w:rsidR="00780140" w:rsidRDefault="00780140" w:rsidP="00780140">
      <w:r>
        <w:pict>
          <v:rect id="_x0000_i6715" style="width:0;height:1.5pt" o:hralign="center" o:hrstd="t" o:hr="t" fillcolor="#a0a0a0" stroked="f"/>
        </w:pict>
      </w:r>
    </w:p>
    <w:p w:rsidR="00780140" w:rsidRDefault="00780140" w:rsidP="00780140">
      <w:pPr>
        <w:pStyle w:val="berschrift1"/>
      </w:pPr>
      <w:r>
        <w:t>3.3.54.117 Axiomentscheidung zur Zerlegungseindeutigkeit</w:t>
      </w:r>
    </w:p>
    <w:p w:rsidR="00780140" w:rsidRDefault="00780140" w:rsidP="00780140">
      <w:pPr>
        <w:pStyle w:val="StandardWeb"/>
      </w:pPr>
      <w:r>
        <w:t>Damit gilt</w:t>
      </w:r>
    </w:p>
    <w:p w:rsidR="00780140" w:rsidRDefault="00780140" w:rsidP="00780140">
      <w:pPr>
        <w:pStyle w:val="berschrift1"/>
      </w:pPr>
      <w:r>
        <w:t>[</w:t>
      </w:r>
      <w:r>
        <w:br/>
        <w:t>\boxed{</w:t>
      </w:r>
      <w:r>
        <w:br/>
        <w:t>U_{\mathrm{Ax}}</w:t>
      </w:r>
      <w:r>
        <w:br/>
        <w:t>(A_{\mathrm{mod-uniq}})</w:t>
      </w:r>
    </w:p>
    <w:p w:rsidR="00780140" w:rsidRDefault="00780140" w:rsidP="009F7790">
      <w:pPr>
        <w:numPr>
          <w:ilvl w:val="0"/>
          <w:numId w:val="808"/>
        </w:numPr>
        <w:spacing w:before="100" w:beforeAutospacing="1" w:after="100" w:afterAutospacing="1"/>
      </w:pPr>
    </w:p>
    <w:p w:rsidR="00780140" w:rsidRDefault="00780140" w:rsidP="00780140">
      <w:pPr>
        <w:pStyle w:val="StandardWeb"/>
      </w:pPr>
      <w:r>
        <w:t>}</w:t>
      </w:r>
      <w:r>
        <w:br/>
        <w:t>\tag{3.14352}</w:t>
      </w:r>
      <w:r>
        <w:br/>
        <w:t>]</w:t>
      </w:r>
    </w:p>
    <w:p w:rsidR="00780140" w:rsidRDefault="00780140" w:rsidP="00780140">
      <w:pPr>
        <w:pStyle w:val="StandardWeb"/>
      </w:pPr>
      <w:r>
        <w:rPr>
          <w:rStyle w:val="Fett"/>
        </w:rPr>
        <w:lastRenderedPageBreak/>
        <w:t>Word-LaTeX</w:t>
      </w:r>
    </w:p>
    <w:p w:rsidR="00780140" w:rsidRDefault="00780140" w:rsidP="00780140">
      <w:pPr>
        <w:pStyle w:val="HTMLVorformatiert"/>
        <w:rPr>
          <w:rStyle w:val="HTMLCode"/>
        </w:rPr>
      </w:pPr>
      <w:r>
        <w:rPr>
          <w:rStyle w:val="HTMLCode"/>
        </w:rPr>
        <w:t>\boxed{U_{\mathrm{Ax}}(A_{\mathrm{mod-uniq}})=0.}</w:t>
      </w:r>
    </w:p>
    <w:p w:rsidR="00780140" w:rsidRDefault="00780140" w:rsidP="00780140">
      <w:r>
        <w:pict>
          <v:rect id="_x0000_i6716" style="width:0;height:1.5pt" o:hralign="center" o:hrstd="t" o:hr="t" fillcolor="#a0a0a0" stroked="f"/>
        </w:pict>
      </w:r>
    </w:p>
    <w:p w:rsidR="00780140" w:rsidRDefault="00780140" w:rsidP="00780140">
      <w:pPr>
        <w:pStyle w:val="berschrift1"/>
      </w:pPr>
      <w:r>
        <w:t>3.3.54.118 Satz 3.3.288 – Eindeutigkeit modularer Zerlegung ist kein Primäraxiom</w:t>
      </w:r>
    </w:p>
    <w:p w:rsidR="00780140" w:rsidRDefault="00780140" w:rsidP="00780140">
      <w:pPr>
        <w:pStyle w:val="berschrift3"/>
      </w:pPr>
      <w:r>
        <w:t>Satz 3.3.288</w:t>
      </w:r>
    </w:p>
    <w:p w:rsidR="00780140" w:rsidRDefault="00780140" w:rsidP="00780140">
      <w:pPr>
        <w:pStyle w:val="StandardWeb"/>
      </w:pPr>
      <w:r>
        <w:t>Die Forderung, jede funktionale Gesamtstruktur müsse genau eine zulässige modulare Zerlegung besitzen, ist keine universell notwendige Voraussetzung des allgemeinen FRZK.</w:t>
      </w:r>
    </w:p>
    <w:p w:rsidR="00780140" w:rsidRDefault="00780140" w:rsidP="00780140">
      <w:pPr>
        <w:pStyle w:val="berschrift1"/>
      </w:pPr>
      <w:r>
        <w:t>[</w:t>
      </w:r>
      <w:r>
        <w:br/>
        <w:t>\boxed{</w:t>
      </w:r>
      <w:r>
        <w:br/>
        <w:t>U_{\mathrm{Ax}}</w:t>
      </w:r>
      <w:r>
        <w:br/>
        <w:t>(A_{\mathrm{mod-uniq}})</w:t>
      </w:r>
    </w:p>
    <w:p w:rsidR="00780140" w:rsidRDefault="00780140" w:rsidP="009F7790">
      <w:pPr>
        <w:numPr>
          <w:ilvl w:val="0"/>
          <w:numId w:val="809"/>
        </w:numPr>
        <w:spacing w:before="100" w:beforeAutospacing="1" w:after="100" w:afterAutospacing="1"/>
      </w:pPr>
    </w:p>
    <w:p w:rsidR="00780140" w:rsidRDefault="00780140" w:rsidP="00780140">
      <w:pPr>
        <w:pStyle w:val="StandardWeb"/>
      </w:pPr>
      <w:r>
        <w:t>}</w:t>
      </w:r>
      <w:r>
        <w:br/>
        <w:t>\tag{3.14353}</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\boxed{U_{\mathrm{Ax}}(A_{\mathrm{mod-uniq}})=0.}</w:t>
      </w:r>
    </w:p>
    <w:p w:rsidR="00780140" w:rsidRDefault="00780140" w:rsidP="00780140">
      <w:r>
        <w:pict>
          <v:rect id="_x0000_i6717" style="width:0;height:1.5pt" o:hralign="center" o:hrstd="t" o:hr="t" fillcolor="#a0a0a0" stroked="f"/>
        </w:pict>
      </w:r>
    </w:p>
    <w:p w:rsidR="00780140" w:rsidRDefault="00780140" w:rsidP="00780140">
      <w:pPr>
        <w:pStyle w:val="berschrift1"/>
      </w:pPr>
      <w:r>
        <w:t>3.3.54.119 Korollar 3.3.86 – Modulzerlegung ist modell- und zweckabhängig</w:t>
      </w:r>
    </w:p>
    <w:p w:rsidR="00780140" w:rsidRDefault="00780140" w:rsidP="00780140">
      <w:pPr>
        <w:pStyle w:val="berschrift3"/>
      </w:pPr>
      <w:r>
        <w:t>Korollar 3.3.86</w:t>
      </w:r>
    </w:p>
    <w:p w:rsidR="00780140" w:rsidRDefault="00780140" w:rsidP="00780140">
      <w:pPr>
        <w:pStyle w:val="StandardWeb"/>
      </w:pPr>
      <w:r>
        <w:t>Aus Satz 3.3.288 folgt</w:t>
      </w:r>
    </w:p>
    <w:p w:rsidR="00780140" w:rsidRDefault="00780140" w:rsidP="00780140">
      <w:pPr>
        <w:pStyle w:val="berschrift1"/>
      </w:pPr>
      <w:r>
        <w:t>[</w:t>
      </w:r>
      <w:r>
        <w:br/>
        <w:t>\boxed{</w:t>
      </w:r>
      <w:r>
        <w:br/>
        <w:t>\operatorname{Stat}</w:t>
      </w:r>
      <w:r>
        <w:br/>
        <w:t>(Z_F)</w:t>
      </w:r>
    </w:p>
    <w:p w:rsidR="00780140" w:rsidRDefault="00780140" w:rsidP="00780140">
      <w:pPr>
        <w:pStyle w:val="StandardWeb"/>
      </w:pPr>
      <w:r>
        <w:t>\mathrm{Def/Mod/Op}.</w:t>
      </w:r>
      <w:r>
        <w:br/>
        <w:t>}</w:t>
      </w:r>
      <w:r>
        <w:br/>
      </w:r>
      <w:r>
        <w:lastRenderedPageBreak/>
        <w:t>\tag{3.14354}</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\boxed{\operatorname{Stat}(Z_F)=\mathrm{Def/Mod/Op}.}</w:t>
      </w:r>
    </w:p>
    <w:p w:rsidR="00780140" w:rsidRDefault="00780140" w:rsidP="00780140">
      <w:r>
        <w:pict>
          <v:rect id="_x0000_i6718" style="width:0;height:1.5pt" o:hralign="center" o:hrstd="t" o:hr="t" fillcolor="#a0a0a0" stroked="f"/>
        </w:pict>
      </w:r>
    </w:p>
    <w:p w:rsidR="00780140" w:rsidRDefault="00780140" w:rsidP="00780140">
      <w:pPr>
        <w:pStyle w:val="berschrift1"/>
      </w:pPr>
      <w:r>
        <w:t>3.3.54.120 Funktionaler Kopplungsgraph</w:t>
      </w:r>
    </w:p>
    <w:p w:rsidR="00780140" w:rsidRDefault="00780140" w:rsidP="00780140">
      <w:pPr>
        <w:pStyle w:val="StandardWeb"/>
      </w:pPr>
      <w:r>
        <w:t>Für mehrere Module kann ich die Kopplungsstruktur graphenartig darstellen.</w:t>
      </w:r>
    </w:p>
    <w:p w:rsidR="00780140" w:rsidRDefault="00780140" w:rsidP="00780140">
      <w:pPr>
        <w:pStyle w:val="StandardWeb"/>
      </w:pPr>
      <w:r>
        <w:t>Sei</w:t>
      </w:r>
    </w:p>
    <w:p w:rsidR="00780140" w:rsidRDefault="00780140" w:rsidP="00780140">
      <w:pPr>
        <w:pStyle w:val="berschrift1"/>
      </w:pPr>
      <w:r>
        <w:t>[</w:t>
      </w:r>
      <w:r>
        <w:br/>
        <w:t>V_F</w:t>
      </w:r>
    </w:p>
    <w:p w:rsidR="00780140" w:rsidRDefault="00780140" w:rsidP="00780140">
      <w:pPr>
        <w:pStyle w:val="StandardWeb"/>
      </w:pPr>
      <w:r>
        <w:t>{</w:t>
      </w:r>
      <w:r>
        <w:br/>
        <w:t>\mathfrak M_{F,i}</w:t>
      </w:r>
      <w:r>
        <w:br/>
        <w:t>}_{i\in I}</w:t>
      </w:r>
      <w:r>
        <w:br/>
        <w:t>\tag{3.14355}</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V_F=\{\mathfrak M_{F,i}\}_{i\in I}</w:t>
      </w:r>
    </w:p>
    <w:p w:rsidR="00780140" w:rsidRDefault="00780140" w:rsidP="00780140">
      <w:pPr>
        <w:pStyle w:val="StandardWeb"/>
      </w:pPr>
      <w:r>
        <w:t>die Menge der Module und</w:t>
      </w:r>
    </w:p>
    <w:p w:rsidR="00780140" w:rsidRDefault="00780140" w:rsidP="00780140">
      <w:pPr>
        <w:pStyle w:val="StandardWeb"/>
      </w:pPr>
      <w:r>
        <w:t>[</w:t>
      </w:r>
      <w:r>
        <w:br/>
        <w:t>E_F^{\mathrm{cpl}}</w:t>
      </w:r>
      <w:r>
        <w:br/>
        <w:t>\subseteq</w:t>
      </w:r>
      <w:r>
        <w:br/>
        <w:t>V_F\times V_F</w:t>
      </w:r>
      <w:r>
        <w:br/>
        <w:t>\tag{3.14356}</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E_F^{\mathrm{cpl}}\subseteq V_F\times V_F</w:t>
      </w:r>
    </w:p>
    <w:p w:rsidR="00780140" w:rsidRDefault="00780140" w:rsidP="00780140">
      <w:pPr>
        <w:pStyle w:val="StandardWeb"/>
      </w:pPr>
      <w:r>
        <w:t>die Menge gerichteter Kopplungsbeziehungen.</w:t>
      </w:r>
    </w:p>
    <w:p w:rsidR="00780140" w:rsidRDefault="00780140" w:rsidP="00780140">
      <w:r>
        <w:pict>
          <v:rect id="_x0000_i6719" style="width:0;height:1.5pt" o:hralign="center" o:hrstd="t" o:hr="t" fillcolor="#a0a0a0" stroked="f"/>
        </w:pict>
      </w:r>
    </w:p>
    <w:p w:rsidR="00780140" w:rsidRDefault="00780140" w:rsidP="00780140">
      <w:pPr>
        <w:pStyle w:val="berschrift2"/>
      </w:pPr>
      <w:r>
        <w:t>3.3.54.121 Definition 3.3.695 – Funktionaler Kopplungsgraph</w:t>
      </w:r>
    </w:p>
    <w:p w:rsidR="00780140" w:rsidRDefault="00780140" w:rsidP="00780140">
      <w:pPr>
        <w:pStyle w:val="berschrift3"/>
      </w:pPr>
      <w:r>
        <w:t>Definition 3.3.695</w:t>
      </w:r>
    </w:p>
    <w:p w:rsidR="00780140" w:rsidRDefault="00780140" w:rsidP="00780140">
      <w:pPr>
        <w:pStyle w:val="StandardWeb"/>
      </w:pPr>
      <w:r>
        <w:lastRenderedPageBreak/>
        <w:t xml:space="preserve">Ein </w:t>
      </w:r>
      <w:r>
        <w:rPr>
          <w:rStyle w:val="Fett"/>
        </w:rPr>
        <w:t>funktionaler Kopplungsgraph</w:t>
      </w:r>
      <w:r>
        <w:t xml:space="preserve"> ist die modellabhängige Struktur</w:t>
      </w:r>
    </w:p>
    <w:p w:rsidR="00780140" w:rsidRDefault="00780140" w:rsidP="00780140">
      <w:pPr>
        <w:pStyle w:val="berschrift1"/>
      </w:pPr>
      <w:r>
        <w:t>[</w:t>
      </w:r>
      <w:r>
        <w:br/>
        <w:t>\boxed{</w:t>
      </w:r>
      <w:r>
        <w:br/>
        <w:t>G_F^{\mathrm{cpl}}</w:t>
      </w:r>
    </w:p>
    <w:p w:rsidR="00780140" w:rsidRDefault="00780140" w:rsidP="00780140">
      <w:pPr>
        <w:pStyle w:val="StandardWeb"/>
      </w:pPr>
      <w:r>
        <w:t>\left(</w:t>
      </w:r>
      <w:r>
        <w:br/>
        <w:t>V_F,</w:t>
      </w:r>
      <w:r>
        <w:br/>
        <w:t>E_F^{\mathrm{cpl}}</w:t>
      </w:r>
      <w:r>
        <w:br/>
        <w:t>\right).</w:t>
      </w:r>
      <w:r>
        <w:br/>
        <w:t>}</w:t>
      </w:r>
      <w:r>
        <w:br/>
        <w:t>\tag{3.14357}</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\boxed{G_F^{\mathrm{cpl}}=\left(V_F,E_F^{\mathrm{cpl}}\right).}</w:t>
      </w:r>
    </w:p>
    <w:p w:rsidR="00780140" w:rsidRDefault="00780140" w:rsidP="00780140">
      <w:r>
        <w:pict>
          <v:rect id="_x0000_i6720" style="width:0;height:1.5pt" o:hralign="center" o:hrstd="t" o:hr="t" fillcolor="#a0a0a0" stroked="f"/>
        </w:pict>
      </w:r>
    </w:p>
    <w:p w:rsidR="00780140" w:rsidRDefault="00780140" w:rsidP="00780140">
      <w:pPr>
        <w:pStyle w:val="berschrift1"/>
      </w:pPr>
      <w:r>
        <w:t>3.3.54.122 Gerichtete Kante</w:t>
      </w:r>
    </w:p>
    <w:p w:rsidR="00780140" w:rsidRDefault="00780140" w:rsidP="00780140">
      <w:pPr>
        <w:pStyle w:val="StandardWeb"/>
      </w:pPr>
      <w:r>
        <w:t>Eine gerichtete Kopplung zwischen Modul (i) und Modul (j) kann durch</w:t>
      </w:r>
    </w:p>
    <w:p w:rsidR="00780140" w:rsidRDefault="00780140" w:rsidP="00780140">
      <w:pPr>
        <w:pStyle w:val="StandardWeb"/>
      </w:pPr>
      <w:r>
        <w:t>[</w:t>
      </w:r>
      <w:r>
        <w:br/>
        <w:t>(\mathfrak M_{F,i},</w:t>
      </w:r>
      <w:r>
        <w:br/>
        <w:t>\mathfrak M_{F,j})</w:t>
      </w:r>
      <w:r>
        <w:br/>
        <w:t>\in</w:t>
      </w:r>
      <w:r>
        <w:br/>
        <w:t>E_F^{\mathrm{cpl}}</w:t>
      </w:r>
      <w:r>
        <w:br/>
        <w:t>\tag{3.14358}</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(\mathfrak M_{F,i},\mathfrak M_{F,j})\in E_F^{\mathrm{cpl}}</w:t>
      </w:r>
    </w:p>
    <w:p w:rsidR="00780140" w:rsidRDefault="00780140" w:rsidP="00780140">
      <w:pPr>
        <w:pStyle w:val="StandardWeb"/>
      </w:pPr>
      <w:r>
        <w:t>dargestellt werden.</w:t>
      </w:r>
    </w:p>
    <w:p w:rsidR="00780140" w:rsidRDefault="00780140" w:rsidP="00780140">
      <w:r>
        <w:pict>
          <v:rect id="_x0000_i6721" style="width:0;height:1.5pt" o:hralign="center" o:hrstd="t" o:hr="t" fillcolor="#a0a0a0" stroked="f"/>
        </w:pict>
      </w:r>
    </w:p>
    <w:p w:rsidR="00780140" w:rsidRDefault="00780140" w:rsidP="00780140">
      <w:pPr>
        <w:pStyle w:val="berschrift2"/>
      </w:pPr>
      <w:r>
        <w:t>3.3.54.123 Definition 3.3.696 – Funktionale Kopplungskante</w:t>
      </w:r>
    </w:p>
    <w:p w:rsidR="00780140" w:rsidRDefault="00780140" w:rsidP="00780140">
      <w:pPr>
        <w:pStyle w:val="berschrift3"/>
      </w:pPr>
      <w:r>
        <w:t>Definition 3.3.696</w:t>
      </w:r>
    </w:p>
    <w:p w:rsidR="00780140" w:rsidRDefault="00780140" w:rsidP="00780140">
      <w:pPr>
        <w:pStyle w:val="StandardWeb"/>
      </w:pPr>
      <w:r>
        <w:t xml:space="preserve">Eine </w:t>
      </w:r>
      <w:r>
        <w:rPr>
          <w:rStyle w:val="Fett"/>
        </w:rPr>
        <w:t>funktionale Kopplungskante</w:t>
      </w:r>
      <w:r>
        <w:t xml:space="preserve"> ist ein geordnetes Paar</w:t>
      </w:r>
    </w:p>
    <w:p w:rsidR="00780140" w:rsidRDefault="00780140" w:rsidP="00780140">
      <w:pPr>
        <w:pStyle w:val="berschrift1"/>
      </w:pPr>
      <w:r>
        <w:lastRenderedPageBreak/>
        <w:t>[</w:t>
      </w:r>
      <w:r>
        <w:br/>
        <w:t>\boxed{</w:t>
      </w:r>
      <w:r>
        <w:br/>
        <w:t>e_{ij}</w:t>
      </w:r>
    </w:p>
    <w:p w:rsidR="00780140" w:rsidRDefault="00780140" w:rsidP="00780140">
      <w:pPr>
        <w:pStyle w:val="StandardWeb"/>
      </w:pPr>
      <w:r>
        <w:t>(</w:t>
      </w:r>
      <w:r>
        <w:br/>
        <w:t>\mathfrak M_{F,i},</w:t>
      </w:r>
      <w:r>
        <w:br/>
        <w:t>\mathfrak M_{F,j}</w:t>
      </w:r>
      <w:r>
        <w:br/>
        <w:t>)</w:t>
      </w:r>
      <w:r>
        <w:br/>
        <w:t>\in</w:t>
      </w:r>
      <w:r>
        <w:br/>
        <w:t>E_F^{\mathrm{cpl}}.</w:t>
      </w:r>
      <w:r>
        <w:br/>
        <w:t>}</w:t>
      </w:r>
      <w:r>
        <w:br/>
        <w:t>\tag{3.14359}</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\boxed{e_{ij}=(\mathfrak M_{F,i},\mathfrak M_{F,j})\in E_F^{\mathrm{cpl}}.}</w:t>
      </w:r>
    </w:p>
    <w:p w:rsidR="00780140" w:rsidRDefault="00780140" w:rsidP="00780140">
      <w:r>
        <w:pict>
          <v:rect id="_x0000_i6722" style="width:0;height:1.5pt" o:hralign="center" o:hrstd="t" o:hr="t" fillcolor="#a0a0a0" stroked="f"/>
        </w:pict>
      </w:r>
    </w:p>
    <w:p w:rsidR="00780140" w:rsidRDefault="00780140" w:rsidP="00780140">
      <w:pPr>
        <w:pStyle w:val="berschrift1"/>
      </w:pPr>
      <w:r>
        <w:t>3.3.54.124 Zyklische Kopplung</w:t>
      </w:r>
    </w:p>
    <w:p w:rsidR="00780140" w:rsidRDefault="00780140" w:rsidP="00780140">
      <w:pPr>
        <w:pStyle w:val="StandardWeb"/>
      </w:pPr>
      <w:r>
        <w:t>Ein Kopplungsgraph kann einen gerichteten Zyklus enthalten:</w:t>
      </w:r>
    </w:p>
    <w:p w:rsidR="00780140" w:rsidRDefault="00780140" w:rsidP="00780140">
      <w:pPr>
        <w:pStyle w:val="StandardWeb"/>
      </w:pPr>
      <w:r>
        <w:t>[</w:t>
      </w:r>
      <w:r>
        <w:br/>
        <w:t>\mathfrak M_{F,1}</w:t>
      </w:r>
      <w:r>
        <w:br/>
        <w:t>\rightarrow</w:t>
      </w:r>
      <w:r>
        <w:br/>
        <w:t>\mathfrak M_{F,2}</w:t>
      </w:r>
      <w:r>
        <w:br/>
        <w:t>\rightarrow</w:t>
      </w:r>
      <w:r>
        <w:br/>
        <w:t>\cdots</w:t>
      </w:r>
      <w:r>
        <w:br/>
        <w:t>\rightarrow</w:t>
      </w:r>
      <w:r>
        <w:br/>
        <w:t>\mathfrak M_{F,n}</w:t>
      </w:r>
      <w:r>
        <w:br/>
        <w:t>\rightarrow</w:t>
      </w:r>
      <w:r>
        <w:br/>
        <w:t>\mathfrak M_{F,1}.</w:t>
      </w:r>
      <w:r>
        <w:br/>
        <w:t>\tag{3.14360}</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\mathfrak M_{F,1}\rightarrow\mathfrak M_{F,2}\rightarrow\cdots\rightarrow\mathfrak M_{F,n}\rightarrow\mathfrak M_{F,1}</w:t>
      </w:r>
    </w:p>
    <w:p w:rsidR="00780140" w:rsidRDefault="00780140" w:rsidP="00780140">
      <w:r>
        <w:pict>
          <v:rect id="_x0000_i6723" style="width:0;height:1.5pt" o:hralign="center" o:hrstd="t" o:hr="t" fillcolor="#a0a0a0" stroked="f"/>
        </w:pict>
      </w:r>
    </w:p>
    <w:p w:rsidR="00780140" w:rsidRDefault="00780140" w:rsidP="00780140">
      <w:pPr>
        <w:pStyle w:val="berschrift2"/>
      </w:pPr>
      <w:r>
        <w:t>3.3.54.125 Definition 3.3.697 – Funktionaler Kopplungszyklus</w:t>
      </w:r>
    </w:p>
    <w:p w:rsidR="00780140" w:rsidRDefault="00780140" w:rsidP="00780140">
      <w:pPr>
        <w:pStyle w:val="berschrift3"/>
      </w:pPr>
      <w:r>
        <w:t>Definition 3.3.697</w:t>
      </w:r>
    </w:p>
    <w:p w:rsidR="00780140" w:rsidRDefault="00780140" w:rsidP="00780140">
      <w:pPr>
        <w:pStyle w:val="StandardWeb"/>
      </w:pPr>
      <w:r>
        <w:lastRenderedPageBreak/>
        <w:t xml:space="preserve">Ein </w:t>
      </w:r>
      <w:r>
        <w:rPr>
          <w:rStyle w:val="Fett"/>
        </w:rPr>
        <w:t>funktionaler Kopplungszyklus</w:t>
      </w:r>
      <w:r>
        <w:t xml:space="preserve"> ist eine Folge von Modulen</w:t>
      </w:r>
    </w:p>
    <w:p w:rsidR="00780140" w:rsidRDefault="00780140" w:rsidP="00780140">
      <w:pPr>
        <w:pStyle w:val="StandardWeb"/>
      </w:pPr>
      <w:r>
        <w:t>[</w:t>
      </w:r>
      <w:r>
        <w:br/>
        <w:t>\boxed{</w:t>
      </w:r>
      <w:r>
        <w:br/>
        <w:t>\mathfrak M_{F,i_1}</w:t>
      </w:r>
      <w:r>
        <w:br/>
        <w:t>\rightarrow</w:t>
      </w:r>
      <w:r>
        <w:br/>
        <w:t>\mathfrak M_{F,i_2}</w:t>
      </w:r>
      <w:r>
        <w:br/>
        <w:t>\rightarrow</w:t>
      </w:r>
      <w:r>
        <w:br/>
        <w:t>\cdots</w:t>
      </w:r>
      <w:r>
        <w:br/>
        <w:t>\rightarrow</w:t>
      </w:r>
      <w:r>
        <w:br/>
        <w:t>\mathfrak M_{F,i_n}</w:t>
      </w:r>
      <w:r>
        <w:br/>
        <w:t>\rightarrow</w:t>
      </w:r>
      <w:r>
        <w:br/>
        <w:t>\mathfrak M_{F,i_1}.</w:t>
      </w:r>
      <w:r>
        <w:br/>
        <w:t>}</w:t>
      </w:r>
      <w:r>
        <w:br/>
        <w:t>\tag{3.14361}</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\boxed{\mathfrak M_{F,i_1}\rightarrow\mathfrak M_{F,i_2}\rightarrow\cdots\rightarrow\mathfrak M_{F,i_n}\rightarrow\mathfrak M_{F,i_1}.}</w:t>
      </w:r>
    </w:p>
    <w:p w:rsidR="00780140" w:rsidRDefault="00780140" w:rsidP="00780140">
      <w:r>
        <w:pict>
          <v:rect id="_x0000_i6724" style="width:0;height:1.5pt" o:hralign="center" o:hrstd="t" o:hr="t" fillcolor="#a0a0a0" stroked="f"/>
        </w:pict>
      </w:r>
    </w:p>
    <w:p w:rsidR="00780140" w:rsidRDefault="00780140" w:rsidP="00780140">
      <w:pPr>
        <w:pStyle w:val="berschrift1"/>
      </w:pPr>
      <w:r>
        <w:t>3.3.54.126 Azyklische Kopplungsstruktur</w:t>
      </w:r>
    </w:p>
    <w:p w:rsidR="00780140" w:rsidRDefault="00780140" w:rsidP="00780140">
      <w:pPr>
        <w:pStyle w:val="StandardWeb"/>
      </w:pPr>
      <w:r>
        <w:t>Ein Kopplungsgraph heißt azyklisch, wenn kein solcher gerichteter Zyklus existiert:</w:t>
      </w:r>
    </w:p>
    <w:p w:rsidR="00780140" w:rsidRDefault="00780140" w:rsidP="00780140">
      <w:pPr>
        <w:pStyle w:val="StandardWeb"/>
      </w:pPr>
      <w:r>
        <w:t>[</w:t>
      </w:r>
      <w:r>
        <w:br/>
        <w:t>\nexists</w:t>
      </w:r>
      <w:r>
        <w:br/>
        <w:t>\text{ gerichteter Kopplungszyklus}.</w:t>
      </w:r>
      <w:r>
        <w:br/>
        <w:t>\tag{3.14362}</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\nexists\text{ gerichteter Kopplungszyklus}</w:t>
      </w:r>
    </w:p>
    <w:p w:rsidR="00780140" w:rsidRDefault="00780140" w:rsidP="00780140">
      <w:r>
        <w:pict>
          <v:rect id="_x0000_i6725" style="width:0;height:1.5pt" o:hralign="center" o:hrstd="t" o:hr="t" fillcolor="#a0a0a0" stroked="f"/>
        </w:pict>
      </w:r>
    </w:p>
    <w:p w:rsidR="00780140" w:rsidRDefault="00780140" w:rsidP="00780140">
      <w:pPr>
        <w:pStyle w:val="berschrift2"/>
      </w:pPr>
      <w:r>
        <w:t>3.3.54.127 Definition 3.3.698 – Azyklischer funktionaler Kopplungsgraph</w:t>
      </w:r>
    </w:p>
    <w:p w:rsidR="00780140" w:rsidRDefault="00780140" w:rsidP="00780140">
      <w:pPr>
        <w:pStyle w:val="berschrift3"/>
      </w:pPr>
      <w:r>
        <w:t>Definition 3.3.698</w:t>
      </w:r>
    </w:p>
    <w:p w:rsidR="00780140" w:rsidRDefault="00780140" w:rsidP="00780140">
      <w:pPr>
        <w:pStyle w:val="StandardWeb"/>
      </w:pPr>
      <w:r>
        <w:t xml:space="preserve">Ein funktionaler Kopplungsgraph heißt </w:t>
      </w:r>
      <w:r>
        <w:rPr>
          <w:rStyle w:val="Fett"/>
        </w:rPr>
        <w:t>azyklisch</w:t>
      </w:r>
      <w:r>
        <w:t>, wenn</w:t>
      </w:r>
    </w:p>
    <w:p w:rsidR="00780140" w:rsidRDefault="00780140" w:rsidP="00780140">
      <w:pPr>
        <w:pStyle w:val="StandardWeb"/>
      </w:pPr>
      <w:r>
        <w:t>[</w:t>
      </w:r>
      <w:r>
        <w:br/>
        <w:t>\boxed{</w:t>
      </w:r>
      <w:r>
        <w:br/>
        <w:t>G_F^{\mathrm{cpl}}</w:t>
      </w:r>
      <w:r>
        <w:br/>
        <w:t>\text{ enthält keinen gerichteten Zyklus}.</w:t>
      </w:r>
      <w:r>
        <w:br/>
      </w:r>
      <w:r>
        <w:lastRenderedPageBreak/>
        <w:t>}</w:t>
      </w:r>
      <w:r>
        <w:br/>
        <w:t>\tag{3.14363}</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\boxed{G_F^{\mathrm{cpl}}\text{ enthält keinen gerichteten Zyklus}.}</w:t>
      </w:r>
    </w:p>
    <w:p w:rsidR="00780140" w:rsidRDefault="00780140" w:rsidP="00780140">
      <w:r>
        <w:pict>
          <v:rect id="_x0000_i6726" style="width:0;height:1.5pt" o:hralign="center" o:hrstd="t" o:hr="t" fillcolor="#a0a0a0" stroked="f"/>
        </w:pict>
      </w:r>
    </w:p>
    <w:p w:rsidR="00780140" w:rsidRDefault="00780140" w:rsidP="00780140">
      <w:pPr>
        <w:pStyle w:val="berschrift1"/>
      </w:pPr>
      <w:r>
        <w:t>3.3.54.128 Azyklizität als Primäraxiomkandidat</w:t>
      </w:r>
    </w:p>
    <w:p w:rsidR="00780140" w:rsidRDefault="00780140" w:rsidP="00780140">
      <w:pPr>
        <w:pStyle w:val="StandardWeb"/>
      </w:pPr>
      <w:r>
        <w:t>Ein möglicher Kandidat lautet</w:t>
      </w:r>
    </w:p>
    <w:p w:rsidR="00780140" w:rsidRDefault="00780140" w:rsidP="00780140">
      <w:pPr>
        <w:pStyle w:val="StandardWeb"/>
      </w:pPr>
      <w:r>
        <w:t>[</w:t>
      </w:r>
      <w:r>
        <w:br/>
        <w:t>A_{\mathrm{cpl-acyc}}</w:t>
      </w:r>
      <w:r>
        <w:br/>
        <w:t>:</w:t>
      </w:r>
      <w:r>
        <w:br/>
        <w:t>G_F^{\mathrm{cpl}}</w:t>
      </w:r>
      <w:r>
        <w:br/>
        <w:t>\text{ ist azyklisch}.</w:t>
      </w:r>
      <w:r>
        <w:br/>
        <w:t>\tag{3.14364}</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A_{\mathrm{cpl-acyc}}:G_F^{\mathrm{cpl}}\text{ ist azyklisch}</w:t>
      </w:r>
    </w:p>
    <w:p w:rsidR="00780140" w:rsidRDefault="00780140" w:rsidP="00780140">
      <w:r>
        <w:pict>
          <v:rect id="_x0000_i6727" style="width:0;height:1.5pt" o:hralign="center" o:hrstd="t" o:hr="t" fillcolor="#a0a0a0" stroked="f"/>
        </w:pict>
      </w:r>
    </w:p>
    <w:p w:rsidR="00780140" w:rsidRDefault="00780140" w:rsidP="00780140">
      <w:pPr>
        <w:pStyle w:val="berschrift1"/>
      </w:pPr>
      <w:r>
        <w:t>3.3.54.129 Gegenmodell mit Rückkopplungszyklus</w:t>
      </w:r>
    </w:p>
    <w:p w:rsidR="00780140" w:rsidRDefault="00780140" w:rsidP="00780140">
      <w:pPr>
        <w:pStyle w:val="StandardWeb"/>
      </w:pPr>
      <w:r>
        <w:t>Bereits zwei gegenseitig gekoppelte Module können einen Zyklus bilden:</w:t>
      </w:r>
    </w:p>
    <w:p w:rsidR="00780140" w:rsidRDefault="00780140" w:rsidP="00780140">
      <w:pPr>
        <w:pStyle w:val="StandardWeb"/>
      </w:pPr>
      <w:r>
        <w:t>[</w:t>
      </w:r>
      <w:r>
        <w:br/>
        <w:t>\mathfrak M_{F,1}</w:t>
      </w:r>
      <w:r>
        <w:br/>
        <w:t>\rightarrow</w:t>
      </w:r>
      <w:r>
        <w:br/>
        <w:t>\mathfrak M_{F,2}</w:t>
      </w:r>
      <w:r>
        <w:br/>
        <w:t>\rightarrow</w:t>
      </w:r>
      <w:r>
        <w:br/>
        <w:t>\mathfrak M_{F,1}.</w:t>
      </w:r>
      <w:r>
        <w:br/>
        <w:t>\tag{3.14365}</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\mathfrak M_{F,1}\rightarrow\mathfrak M_{F,2}\rightarrow\mathfrak M_{F,1}</w:t>
      </w:r>
    </w:p>
    <w:p w:rsidR="00780140" w:rsidRDefault="00780140" w:rsidP="00780140">
      <w:pPr>
        <w:pStyle w:val="StandardWeb"/>
      </w:pPr>
      <w:r>
        <w:t>Eine solche Rückkopplung ist als funktionale Modellstruktur zulässig.</w:t>
      </w:r>
    </w:p>
    <w:p w:rsidR="00780140" w:rsidRDefault="00780140" w:rsidP="00780140">
      <w:r>
        <w:pict>
          <v:rect id="_x0000_i6728" style="width:0;height:1.5pt" o:hralign="center" o:hrstd="t" o:hr="t" fillcolor="#a0a0a0" stroked="f"/>
        </w:pict>
      </w:r>
    </w:p>
    <w:p w:rsidR="00780140" w:rsidRDefault="00780140" w:rsidP="00780140">
      <w:pPr>
        <w:pStyle w:val="berschrift1"/>
      </w:pPr>
      <w:r>
        <w:t>3.3.54.130 Axiomentscheidung zur Azyklizität</w:t>
      </w:r>
    </w:p>
    <w:p w:rsidR="00780140" w:rsidRDefault="00780140" w:rsidP="00780140">
      <w:pPr>
        <w:pStyle w:val="StandardWeb"/>
      </w:pPr>
      <w:r>
        <w:t>Damit folgt</w:t>
      </w:r>
    </w:p>
    <w:p w:rsidR="00780140" w:rsidRDefault="00780140" w:rsidP="00780140">
      <w:pPr>
        <w:pStyle w:val="berschrift1"/>
      </w:pPr>
      <w:r>
        <w:lastRenderedPageBreak/>
        <w:t>[</w:t>
      </w:r>
      <w:r>
        <w:br/>
        <w:t>\boxed{</w:t>
      </w:r>
      <w:r>
        <w:br/>
        <w:t>U_{\mathrm{Ax}}</w:t>
      </w:r>
      <w:r>
        <w:br/>
        <w:t>(A_{\mathrm{cpl-acyc}})</w:t>
      </w:r>
    </w:p>
    <w:p w:rsidR="00780140" w:rsidRDefault="00780140" w:rsidP="009F7790">
      <w:pPr>
        <w:numPr>
          <w:ilvl w:val="0"/>
          <w:numId w:val="810"/>
        </w:numPr>
        <w:spacing w:before="100" w:beforeAutospacing="1" w:after="100" w:afterAutospacing="1"/>
      </w:pPr>
    </w:p>
    <w:p w:rsidR="00780140" w:rsidRDefault="00780140" w:rsidP="00780140">
      <w:pPr>
        <w:pStyle w:val="StandardWeb"/>
      </w:pPr>
      <w:r>
        <w:t>}</w:t>
      </w:r>
      <w:r>
        <w:br/>
        <w:t>\tag{3.14366}</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\boxed{U_{\mathrm{Ax}}(A_{\mathrm{cpl-acyc}})=0.}</w:t>
      </w:r>
    </w:p>
    <w:p w:rsidR="00780140" w:rsidRDefault="00780140" w:rsidP="00780140">
      <w:r>
        <w:pict>
          <v:rect id="_x0000_i6729" style="width:0;height:1.5pt" o:hralign="center" o:hrstd="t" o:hr="t" fillcolor="#a0a0a0" stroked="f"/>
        </w:pict>
      </w:r>
    </w:p>
    <w:p w:rsidR="00780140" w:rsidRDefault="00780140" w:rsidP="00780140">
      <w:pPr>
        <w:pStyle w:val="berschrift1"/>
      </w:pPr>
      <w:r>
        <w:t>3.3.54.131 Satz 3.3.289 – Azyklizität funktionaler Kopplung ist kein Primäraxiom</w:t>
      </w:r>
    </w:p>
    <w:p w:rsidR="00780140" w:rsidRDefault="00780140" w:rsidP="00780140">
      <w:pPr>
        <w:pStyle w:val="berschrift3"/>
      </w:pPr>
      <w:r>
        <w:t>Satz 3.3.289</w:t>
      </w:r>
    </w:p>
    <w:p w:rsidR="00780140" w:rsidRDefault="00780140" w:rsidP="00780140">
      <w:pPr>
        <w:pStyle w:val="StandardWeb"/>
      </w:pPr>
      <w:r>
        <w:t>Die Forderung, der funktionale Kopplungsgraph eines zulässigen FRZK-Modells müsse frei von gerichteten Zyklen sein, ist keine universell notwendige Voraussetzung des allgemeinen FRZK.</w:t>
      </w:r>
    </w:p>
    <w:p w:rsidR="00780140" w:rsidRDefault="00780140" w:rsidP="00780140">
      <w:pPr>
        <w:pStyle w:val="berschrift1"/>
      </w:pPr>
      <w:r>
        <w:t>[</w:t>
      </w:r>
      <w:r>
        <w:br/>
        <w:t>\boxed{</w:t>
      </w:r>
      <w:r>
        <w:br/>
        <w:t>U_{\mathrm{Ax}}</w:t>
      </w:r>
      <w:r>
        <w:br/>
        <w:t>(A_{\mathrm{cpl-acyc}})</w:t>
      </w:r>
    </w:p>
    <w:p w:rsidR="00780140" w:rsidRDefault="00780140" w:rsidP="009F7790">
      <w:pPr>
        <w:numPr>
          <w:ilvl w:val="0"/>
          <w:numId w:val="811"/>
        </w:numPr>
        <w:spacing w:before="100" w:beforeAutospacing="1" w:after="100" w:afterAutospacing="1"/>
      </w:pPr>
    </w:p>
    <w:p w:rsidR="00780140" w:rsidRDefault="00780140" w:rsidP="00780140">
      <w:pPr>
        <w:pStyle w:val="StandardWeb"/>
      </w:pPr>
      <w:r>
        <w:t>}</w:t>
      </w:r>
      <w:r>
        <w:br/>
        <w:t>\tag{3.14367}</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\boxed{U_{\mathrm{Ax}}(A_{\mathrm{cpl-acyc}})=0.}</w:t>
      </w:r>
    </w:p>
    <w:p w:rsidR="00780140" w:rsidRDefault="00780140" w:rsidP="00780140">
      <w:r>
        <w:pict>
          <v:rect id="_x0000_i6730" style="width:0;height:1.5pt" o:hralign="center" o:hrstd="t" o:hr="t" fillcolor="#a0a0a0" stroked="f"/>
        </w:pict>
      </w:r>
    </w:p>
    <w:p w:rsidR="00780140" w:rsidRDefault="00780140" w:rsidP="00780140">
      <w:pPr>
        <w:pStyle w:val="berschrift1"/>
      </w:pPr>
      <w:r>
        <w:lastRenderedPageBreak/>
        <w:t>3.3.54.132 Korollar 3.3.87 – Rückkopplungszyklen sind zulässige Modellstrukturen</w:t>
      </w:r>
    </w:p>
    <w:p w:rsidR="00780140" w:rsidRDefault="00780140" w:rsidP="00780140">
      <w:pPr>
        <w:pStyle w:val="berschrift3"/>
      </w:pPr>
      <w:r>
        <w:t>Korollar 3.3.87</w:t>
      </w:r>
    </w:p>
    <w:p w:rsidR="00780140" w:rsidRDefault="00780140" w:rsidP="00780140">
      <w:pPr>
        <w:pStyle w:val="StandardWeb"/>
      </w:pPr>
      <w:r>
        <w:t>Aus Satz 3.3.289 folgt</w:t>
      </w:r>
    </w:p>
    <w:p w:rsidR="00780140" w:rsidRDefault="00780140" w:rsidP="00780140">
      <w:pPr>
        <w:pStyle w:val="berschrift1"/>
      </w:pPr>
      <w:r>
        <w:t>[</w:t>
      </w:r>
      <w:r>
        <w:br/>
        <w:t>\boxed{</w:t>
      </w:r>
      <w:r>
        <w:br/>
        <w:t>\operatorname{Stat}</w:t>
      </w:r>
      <w:r>
        <w:br/>
        <w:t>(G_F^{\mathrm{cpl}})</w:t>
      </w:r>
    </w:p>
    <w:p w:rsidR="00780140" w:rsidRDefault="00780140" w:rsidP="00780140">
      <w:pPr>
        <w:pStyle w:val="StandardWeb"/>
      </w:pPr>
      <w:r>
        <w:t>\mathrm{Def/Mod/Op}.</w:t>
      </w:r>
      <w:r>
        <w:br/>
        <w:t>}</w:t>
      </w:r>
      <w:r>
        <w:br/>
        <w:t>\tag{3.14368}</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\boxed{\operatorname{Stat}(G_F^{\mathrm{cpl}})=\mathrm{Def/Mod/Op}.}</w:t>
      </w:r>
    </w:p>
    <w:p w:rsidR="00780140" w:rsidRDefault="00780140" w:rsidP="00780140">
      <w:r>
        <w:pict>
          <v:rect id="_x0000_i6731" style="width:0;height:1.5pt" o:hralign="center" o:hrstd="t" o:hr="t" fillcolor="#a0a0a0" stroked="f"/>
        </w:pict>
      </w:r>
    </w:p>
    <w:p w:rsidR="00780140" w:rsidRDefault="00780140" w:rsidP="00780140">
      <w:pPr>
        <w:pStyle w:val="berschrift1"/>
      </w:pPr>
      <w:r>
        <w:t>3.3.54.133 Gewichteter Kopplungsgraph</w:t>
      </w:r>
    </w:p>
    <w:p w:rsidR="00780140" w:rsidRDefault="00780140" w:rsidP="00780140">
      <w:pPr>
        <w:pStyle w:val="StandardWeb"/>
      </w:pPr>
      <w:r>
        <w:t>Kopplungskanten können zusätzlich mit Kopplungsstärken versehen werden.</w:t>
      </w:r>
    </w:p>
    <w:p w:rsidR="00780140" w:rsidRDefault="00780140" w:rsidP="00780140">
      <w:pPr>
        <w:pStyle w:val="StandardWeb"/>
      </w:pPr>
      <w:r>
        <w:t>Dazu führe ich eine Gewichtsfunktion ein:</w:t>
      </w:r>
    </w:p>
    <w:p w:rsidR="00780140" w:rsidRDefault="00780140" w:rsidP="00780140">
      <w:pPr>
        <w:pStyle w:val="StandardWeb"/>
      </w:pPr>
      <w:r>
        <w:t>[</w:t>
      </w:r>
      <w:r>
        <w:br/>
        <w:t>w_F</w:t>
      </w:r>
      <w:r>
        <w:br/>
        <w:t>:</w:t>
      </w:r>
      <w:r>
        <w:br/>
        <w:t>E_F^{\mathrm{cpl}}</w:t>
      </w:r>
      <w:r>
        <w:br/>
        <w:t>\rightarrow</w:t>
      </w:r>
      <w:r>
        <w:br/>
        <w:t>\Gamma_F.</w:t>
      </w:r>
      <w:r>
        <w:br/>
        <w:t>\tag{3.14369}</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w_F:E_F^{\mathrm{cpl}}\rightarrow\Gamma_F</w:t>
      </w:r>
    </w:p>
    <w:p w:rsidR="00780140" w:rsidRDefault="00780140" w:rsidP="00780140">
      <w:r>
        <w:pict>
          <v:rect id="_x0000_i6732" style="width:0;height:1.5pt" o:hralign="center" o:hrstd="t" o:hr="t" fillcolor="#a0a0a0" stroked="f"/>
        </w:pict>
      </w:r>
    </w:p>
    <w:p w:rsidR="00780140" w:rsidRDefault="00780140" w:rsidP="00780140">
      <w:pPr>
        <w:pStyle w:val="berschrift2"/>
      </w:pPr>
      <w:r>
        <w:t>3.3.54.134 Definition 3.3.699 – Gewichteter funktionaler Kopplungsgraph</w:t>
      </w:r>
    </w:p>
    <w:p w:rsidR="00780140" w:rsidRDefault="00780140" w:rsidP="00780140">
      <w:pPr>
        <w:pStyle w:val="berschrift3"/>
      </w:pPr>
      <w:r>
        <w:lastRenderedPageBreak/>
        <w:t>Definition 3.3.699</w:t>
      </w:r>
    </w:p>
    <w:p w:rsidR="00780140" w:rsidRDefault="00780140" w:rsidP="00780140">
      <w:pPr>
        <w:pStyle w:val="StandardWeb"/>
      </w:pPr>
      <w:r>
        <w:t xml:space="preserve">Ein </w:t>
      </w:r>
      <w:r>
        <w:rPr>
          <w:rStyle w:val="Fett"/>
        </w:rPr>
        <w:t>gewichteter funktionaler Kopplungsgraph</w:t>
      </w:r>
      <w:r>
        <w:t xml:space="preserve"> ist</w:t>
      </w:r>
    </w:p>
    <w:p w:rsidR="00780140" w:rsidRDefault="00780140" w:rsidP="00780140">
      <w:pPr>
        <w:pStyle w:val="berschrift1"/>
      </w:pPr>
      <w:r>
        <w:t>[</w:t>
      </w:r>
      <w:r>
        <w:br/>
        <w:t>\boxed{</w:t>
      </w:r>
      <w:r>
        <w:br/>
        <w:t>G_{F,w}^{\mathrm{cpl}}</w:t>
      </w:r>
    </w:p>
    <w:p w:rsidR="00780140" w:rsidRDefault="00780140" w:rsidP="00780140">
      <w:pPr>
        <w:pStyle w:val="StandardWeb"/>
      </w:pPr>
      <w:r>
        <w:t>\left(</w:t>
      </w:r>
      <w:r>
        <w:br/>
        <w:t>V_F,</w:t>
      </w:r>
      <w:r>
        <w:br/>
        <w:t>E_F^{\mathrm{cpl}},</w:t>
      </w:r>
      <w:r>
        <w:br/>
        <w:t>w_F</w:t>
      </w:r>
      <w:r>
        <w:br/>
        <w:t>\right).</w:t>
      </w:r>
      <w:r>
        <w:br/>
        <w:t>}</w:t>
      </w:r>
      <w:r>
        <w:br/>
        <w:t>\tag{3.14370}</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\boxed{G_{F,w}^{\mathrm{cpl}}=\left(V_F,E_F^{\mathrm{cpl}},w_F\right).}</w:t>
      </w:r>
    </w:p>
    <w:p w:rsidR="00780140" w:rsidRDefault="00780140" w:rsidP="00780140">
      <w:r>
        <w:pict>
          <v:rect id="_x0000_i6733" style="width:0;height:1.5pt" o:hralign="center" o:hrstd="t" o:hr="t" fillcolor="#a0a0a0" stroked="f"/>
        </w:pict>
      </w:r>
    </w:p>
    <w:p w:rsidR="00780140" w:rsidRDefault="00780140" w:rsidP="00780140">
      <w:pPr>
        <w:pStyle w:val="berschrift1"/>
      </w:pPr>
      <w:r>
        <w:t>3.3.54.135 Zeitabhängiger Kopplungsgraph</w:t>
      </w:r>
    </w:p>
    <w:p w:rsidR="00780140" w:rsidRDefault="00780140" w:rsidP="00780140">
      <w:pPr>
        <w:pStyle w:val="StandardWeb"/>
      </w:pPr>
      <w:r>
        <w:t>Da Kopplungen zeitabhängig sein können, kann auch der gesamte Kopplungsgraph zeitabhängig werden:</w:t>
      </w:r>
    </w:p>
    <w:p w:rsidR="00780140" w:rsidRDefault="00780140" w:rsidP="00780140">
      <w:pPr>
        <w:pStyle w:val="berschrift1"/>
      </w:pPr>
      <w:r>
        <w:t>[</w:t>
      </w:r>
      <w:r>
        <w:br/>
        <w:t>G_F^{\mathrm{cpl}}</w:t>
      </w:r>
    </w:p>
    <w:p w:rsidR="00780140" w:rsidRDefault="00780140" w:rsidP="00780140">
      <w:pPr>
        <w:pStyle w:val="StandardWeb"/>
      </w:pPr>
      <w:r>
        <w:t>G_F^{\mathrm{cpl}}(t).</w:t>
      </w:r>
      <w:r>
        <w:br/>
        <w:t>\tag{3.14371}</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G_F^{\mathrm{cpl}}=G_F^{\mathrm{cpl}}(t)</w:t>
      </w:r>
    </w:p>
    <w:p w:rsidR="00780140" w:rsidRDefault="00780140" w:rsidP="00780140">
      <w:r>
        <w:pict>
          <v:rect id="_x0000_i6734" style="width:0;height:1.5pt" o:hralign="center" o:hrstd="t" o:hr="t" fillcolor="#a0a0a0" stroked="f"/>
        </w:pict>
      </w:r>
    </w:p>
    <w:p w:rsidR="00780140" w:rsidRDefault="00780140" w:rsidP="00780140">
      <w:pPr>
        <w:pStyle w:val="berschrift2"/>
      </w:pPr>
      <w:r>
        <w:t>3.3.54.136 Definition 3.3.700 – Zeitabhängiger funktionaler Kopplungsgraph</w:t>
      </w:r>
    </w:p>
    <w:p w:rsidR="00780140" w:rsidRDefault="00780140" w:rsidP="00780140">
      <w:pPr>
        <w:pStyle w:val="berschrift3"/>
      </w:pPr>
      <w:r>
        <w:t>Definition 3.3.700</w:t>
      </w:r>
    </w:p>
    <w:p w:rsidR="00780140" w:rsidRDefault="00780140" w:rsidP="00780140">
      <w:pPr>
        <w:pStyle w:val="StandardWeb"/>
      </w:pPr>
      <w:r>
        <w:t xml:space="preserve">Ein funktionaler Kopplungsgraph heißt </w:t>
      </w:r>
      <w:r>
        <w:rPr>
          <w:rStyle w:val="Fett"/>
        </w:rPr>
        <w:t>zeitabhängig</w:t>
      </w:r>
      <w:r>
        <w:t>, wenn</w:t>
      </w:r>
    </w:p>
    <w:p w:rsidR="00780140" w:rsidRDefault="00780140" w:rsidP="00780140">
      <w:pPr>
        <w:pStyle w:val="berschrift1"/>
      </w:pPr>
      <w:r>
        <w:lastRenderedPageBreak/>
        <w:t>[</w:t>
      </w:r>
      <w:r>
        <w:br/>
        <w:t>\boxed{</w:t>
      </w:r>
      <w:r>
        <w:br/>
        <w:t>G_F^{\mathrm{cpl}}</w:t>
      </w:r>
    </w:p>
    <w:p w:rsidR="00780140" w:rsidRDefault="00780140" w:rsidP="00780140">
      <w:pPr>
        <w:pStyle w:val="StandardWeb"/>
      </w:pPr>
      <w:r>
        <w:t>G_F^{\mathrm{cpl}}(t).</w:t>
      </w:r>
      <w:r>
        <w:br/>
        <w:t>}</w:t>
      </w:r>
      <w:r>
        <w:br/>
        <w:t>\tag{3.14372}</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\boxed{G_F^{\mathrm{cpl}}=G_F^{\mathrm{cpl}}(t).}</w:t>
      </w:r>
    </w:p>
    <w:p w:rsidR="00780140" w:rsidRDefault="00780140" w:rsidP="00780140">
      <w:r>
        <w:pict>
          <v:rect id="_x0000_i6735" style="width:0;height:1.5pt" o:hralign="center" o:hrstd="t" o:hr="t" fillcolor="#a0a0a0" stroked="f"/>
        </w:pict>
      </w:r>
    </w:p>
    <w:p w:rsidR="00780140" w:rsidRDefault="00780140" w:rsidP="00780140">
      <w:pPr>
        <w:pStyle w:val="berschrift1"/>
      </w:pPr>
      <w:r>
        <w:t>3.3.54.137 Kopplungskanten können entstehen und verschwinden</w:t>
      </w:r>
    </w:p>
    <w:p w:rsidR="00780140" w:rsidRDefault="00780140" w:rsidP="00780140">
      <w:pPr>
        <w:pStyle w:val="StandardWeb"/>
      </w:pPr>
      <w:r>
        <w:t>Für eine Kopplungskante (e_{ij}) kann gelten</w:t>
      </w:r>
    </w:p>
    <w:p w:rsidR="00780140" w:rsidRDefault="00780140" w:rsidP="00780140">
      <w:pPr>
        <w:pStyle w:val="StandardWeb"/>
      </w:pPr>
      <w:r>
        <w:t>[</w:t>
      </w:r>
      <w:r>
        <w:br/>
        <w:t>e_{ij}</w:t>
      </w:r>
      <w:r>
        <w:br/>
        <w:t>\notin</w:t>
      </w:r>
      <w:r>
        <w:br/>
        <w:t>E_F^{\mathrm{cpl}}(t_1)</w:t>
      </w:r>
      <w:r>
        <w:br/>
        <w:t>\tag{3.14373}</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e_{ij}\notin E_F^{\mathrm{cpl}}(t_1)</w:t>
      </w:r>
    </w:p>
    <w:p w:rsidR="00780140" w:rsidRDefault="00780140" w:rsidP="00780140">
      <w:pPr>
        <w:pStyle w:val="StandardWeb"/>
      </w:pPr>
      <w:r>
        <w:t>und</w:t>
      </w:r>
    </w:p>
    <w:p w:rsidR="00780140" w:rsidRDefault="00780140" w:rsidP="00780140">
      <w:pPr>
        <w:pStyle w:val="StandardWeb"/>
      </w:pPr>
      <w:r>
        <w:t>[</w:t>
      </w:r>
      <w:r>
        <w:br/>
        <w:t>e_{ij}</w:t>
      </w:r>
      <w:r>
        <w:br/>
        <w:t>\in</w:t>
      </w:r>
      <w:r>
        <w:br/>
        <w:t>E_F^{\mathrm{cpl}}(t_2).</w:t>
      </w:r>
      <w:r>
        <w:br/>
        <w:t>\tag{3.14374}</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e_{ij}\in E_F^{\mathrm{cpl}}(t_2)</w:t>
      </w:r>
    </w:p>
    <w:p w:rsidR="00780140" w:rsidRDefault="00780140" w:rsidP="00780140">
      <w:r>
        <w:pict>
          <v:rect id="_x0000_i6736" style="width:0;height:1.5pt" o:hralign="center" o:hrstd="t" o:hr="t" fillcolor="#a0a0a0" stroked="f"/>
        </w:pict>
      </w:r>
    </w:p>
    <w:p w:rsidR="00780140" w:rsidRDefault="00780140" w:rsidP="00780140">
      <w:pPr>
        <w:pStyle w:val="berschrift2"/>
      </w:pPr>
      <w:r>
        <w:t>3.3.54.138 Definition 3.3.701 – Funktionaler Kopplungsstrukturwechsel</w:t>
      </w:r>
    </w:p>
    <w:p w:rsidR="00780140" w:rsidRDefault="00780140" w:rsidP="00780140">
      <w:pPr>
        <w:pStyle w:val="berschrift3"/>
      </w:pPr>
      <w:r>
        <w:lastRenderedPageBreak/>
        <w:t>Definition 3.3.701</w:t>
      </w:r>
    </w:p>
    <w:p w:rsidR="00780140" w:rsidRDefault="00780140" w:rsidP="00780140">
      <w:pPr>
        <w:pStyle w:val="StandardWeb"/>
      </w:pPr>
      <w:r>
        <w:t xml:space="preserve">Ein </w:t>
      </w:r>
      <w:r>
        <w:rPr>
          <w:rStyle w:val="Fett"/>
        </w:rPr>
        <w:t>funktionaler Kopplungsstrukturwechsel</w:t>
      </w:r>
      <w:r>
        <w:t xml:space="preserve"> liegt vor, wenn</w:t>
      </w:r>
    </w:p>
    <w:p w:rsidR="00780140" w:rsidRDefault="00780140" w:rsidP="00780140">
      <w:pPr>
        <w:pStyle w:val="StandardWeb"/>
      </w:pPr>
      <w:r>
        <w:t>[</w:t>
      </w:r>
      <w:r>
        <w:br/>
        <w:t>\boxed{</w:t>
      </w:r>
      <w:r>
        <w:br/>
        <w:t>E_F^{\mathrm{cpl}}(t_1)</w:t>
      </w:r>
      <w:r>
        <w:br/>
        <w:t>\neq</w:t>
      </w:r>
      <w:r>
        <w:br/>
        <w:t>E_F^{\mathrm{cpl}}(t_2).</w:t>
      </w:r>
      <w:r>
        <w:br/>
        <w:t>}</w:t>
      </w:r>
      <w:r>
        <w:br/>
        <w:t>\tag{3.14375}</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\boxed{E_F^{\mathrm{cpl}}(t_1)\neq E_F^{\mathrm{cpl}}(t_2).}</w:t>
      </w:r>
    </w:p>
    <w:p w:rsidR="00780140" w:rsidRDefault="00780140" w:rsidP="00780140">
      <w:r>
        <w:pict>
          <v:rect id="_x0000_i6737" style="width:0;height:1.5pt" o:hralign="center" o:hrstd="t" o:hr="t" fillcolor="#a0a0a0" stroked="f"/>
        </w:pict>
      </w:r>
    </w:p>
    <w:p w:rsidR="00780140" w:rsidRDefault="00780140" w:rsidP="00780140">
      <w:pPr>
        <w:pStyle w:val="berschrift1"/>
      </w:pPr>
      <w:r>
        <w:t>3.3.54.139 Statischer Kopplungsgraph als Primäraxiomkandidat</w:t>
      </w:r>
    </w:p>
    <w:p w:rsidR="00780140" w:rsidRDefault="00780140" w:rsidP="00780140">
      <w:pPr>
        <w:pStyle w:val="StandardWeb"/>
      </w:pPr>
      <w:r>
        <w:t>Ein Kandidat wäre</w:t>
      </w:r>
    </w:p>
    <w:p w:rsidR="00780140" w:rsidRDefault="00780140" w:rsidP="00780140">
      <w:pPr>
        <w:pStyle w:val="berschrift1"/>
      </w:pPr>
      <w:r>
        <w:t>[</w:t>
      </w:r>
      <w:r>
        <w:br/>
        <w:t>A_{\mathrm{graph-stat}}</w:t>
      </w:r>
      <w:r>
        <w:br/>
        <w:t>:</w:t>
      </w:r>
      <w:r>
        <w:br/>
        <w:t>G_F^{\mathrm{cpl}}(t_1)</w:t>
      </w:r>
    </w:p>
    <w:p w:rsidR="00780140" w:rsidRDefault="00780140" w:rsidP="00780140">
      <w:pPr>
        <w:pStyle w:val="StandardWeb"/>
      </w:pPr>
      <w:r>
        <w:t>G_F^{\mathrm{cpl}}(t_2)</w:t>
      </w:r>
      <w:r>
        <w:br/>
        <w:t>\qquad</w:t>
      </w:r>
      <w:r>
        <w:br/>
        <w:t>\forall t_1,t_2.</w:t>
      </w:r>
      <w:r>
        <w:br/>
        <w:t>\tag{3.14376}</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A_{\mathrm{graph-stat}}:G_F^{\mathrm{cpl}}(t_1)=G_F^{\mathrm{cpl}}(t_2)\qquad\forall t_1,t_2</w:t>
      </w:r>
    </w:p>
    <w:p w:rsidR="00780140" w:rsidRDefault="00780140" w:rsidP="00780140">
      <w:r>
        <w:pict>
          <v:rect id="_x0000_i6738" style="width:0;height:1.5pt" o:hralign="center" o:hrstd="t" o:hr="t" fillcolor="#a0a0a0" stroked="f"/>
        </w:pict>
      </w:r>
    </w:p>
    <w:p w:rsidR="00780140" w:rsidRDefault="00780140" w:rsidP="00780140">
      <w:pPr>
        <w:pStyle w:val="berschrift1"/>
      </w:pPr>
      <w:r>
        <w:t>3.3.54.140 Gegenmodell</w:t>
      </w:r>
    </w:p>
    <w:p w:rsidR="00780140" w:rsidRDefault="00780140" w:rsidP="00780140">
      <w:pPr>
        <w:pStyle w:val="StandardWeb"/>
      </w:pPr>
      <w:r>
        <w:t>Eine Kopplung kann zu einem Zeitpunkt entstehen oder verschwinden. Dann kann beispielsweise gelten</w:t>
      </w:r>
    </w:p>
    <w:p w:rsidR="00780140" w:rsidRDefault="00780140" w:rsidP="00780140">
      <w:pPr>
        <w:pStyle w:val="StandardWeb"/>
      </w:pPr>
      <w:r>
        <w:lastRenderedPageBreak/>
        <w:t>[</w:t>
      </w:r>
      <w:r>
        <w:br/>
        <w:t>E_F^{\mathrm{cpl}}(t_1)</w:t>
      </w:r>
      <w:r>
        <w:br/>
        <w:t>\subsetneq</w:t>
      </w:r>
      <w:r>
        <w:br/>
        <w:t>E_F^{\mathrm{cpl}}(t_2).</w:t>
      </w:r>
      <w:r>
        <w:br/>
        <w:t>\tag{3.14377}</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E_F^{\mathrm{cpl}}(t_1)\subsetneq E_F^{\mathrm{cpl}}(t_2)</w:t>
      </w:r>
    </w:p>
    <w:p w:rsidR="00780140" w:rsidRDefault="00780140" w:rsidP="00780140">
      <w:r>
        <w:pict>
          <v:rect id="_x0000_i6739" style="width:0;height:1.5pt" o:hralign="center" o:hrstd="t" o:hr="t" fillcolor="#a0a0a0" stroked="f"/>
        </w:pict>
      </w:r>
    </w:p>
    <w:p w:rsidR="00780140" w:rsidRDefault="00780140" w:rsidP="00780140">
      <w:pPr>
        <w:pStyle w:val="berschrift1"/>
      </w:pPr>
      <w:r>
        <w:t>3.3.54.141 Axiomentscheidung zur statischen Graphstruktur</w:t>
      </w:r>
    </w:p>
    <w:p w:rsidR="00780140" w:rsidRDefault="00780140" w:rsidP="00780140">
      <w:pPr>
        <w:pStyle w:val="StandardWeb"/>
      </w:pPr>
      <w:r>
        <w:t>Damit gilt</w:t>
      </w:r>
    </w:p>
    <w:p w:rsidR="00780140" w:rsidRDefault="00780140" w:rsidP="00780140">
      <w:pPr>
        <w:pStyle w:val="berschrift1"/>
      </w:pPr>
      <w:r>
        <w:t>[</w:t>
      </w:r>
      <w:r>
        <w:br/>
        <w:t>\boxed{</w:t>
      </w:r>
      <w:r>
        <w:br/>
        <w:t>U_{\mathrm{Ax}}</w:t>
      </w:r>
      <w:r>
        <w:br/>
        <w:t>(A_{\mathrm{graph-stat}})</w:t>
      </w:r>
    </w:p>
    <w:p w:rsidR="00780140" w:rsidRDefault="00780140" w:rsidP="009F7790">
      <w:pPr>
        <w:numPr>
          <w:ilvl w:val="0"/>
          <w:numId w:val="812"/>
        </w:numPr>
        <w:spacing w:before="100" w:beforeAutospacing="1" w:after="100" w:afterAutospacing="1"/>
      </w:pPr>
    </w:p>
    <w:p w:rsidR="00780140" w:rsidRDefault="00780140" w:rsidP="00780140">
      <w:pPr>
        <w:pStyle w:val="StandardWeb"/>
      </w:pPr>
      <w:r>
        <w:t>}</w:t>
      </w:r>
      <w:r>
        <w:br/>
        <w:t>\tag{3.14378}</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\boxed{U_{\mathrm{Ax}}(A_{\mathrm{graph-stat}})=0.}</w:t>
      </w:r>
    </w:p>
    <w:p w:rsidR="00780140" w:rsidRDefault="00780140" w:rsidP="00780140">
      <w:r>
        <w:pict>
          <v:rect id="_x0000_i6740" style="width:0;height:1.5pt" o:hralign="center" o:hrstd="t" o:hr="t" fillcolor="#a0a0a0" stroked="f"/>
        </w:pict>
      </w:r>
    </w:p>
    <w:p w:rsidR="00780140" w:rsidRDefault="00780140" w:rsidP="00780140">
      <w:pPr>
        <w:pStyle w:val="berschrift1"/>
      </w:pPr>
      <w:r>
        <w:t>3.3.54.142 Satz 3.3.290 – Zeitinvarianz des Kopplungsgraphen ist kein Primäraxiom</w:t>
      </w:r>
    </w:p>
    <w:p w:rsidR="00780140" w:rsidRDefault="00780140" w:rsidP="00780140">
      <w:pPr>
        <w:pStyle w:val="berschrift3"/>
      </w:pPr>
      <w:r>
        <w:t>Satz 3.3.290</w:t>
      </w:r>
    </w:p>
    <w:p w:rsidR="00780140" w:rsidRDefault="00780140" w:rsidP="00780140">
      <w:pPr>
        <w:pStyle w:val="StandardWeb"/>
      </w:pPr>
      <w:r>
        <w:t>Die Forderung, die Menge funktionaler Kopplungen zwischen Modulen müsse über die Zeit unverändert bleiben, ist keine universell notwendige Voraussetzung des allgemeinen FRZK.</w:t>
      </w:r>
    </w:p>
    <w:p w:rsidR="00780140" w:rsidRDefault="00780140" w:rsidP="00780140">
      <w:pPr>
        <w:pStyle w:val="berschrift1"/>
      </w:pPr>
      <w:r>
        <w:t>[</w:t>
      </w:r>
      <w:r>
        <w:br/>
        <w:t>\boxed{</w:t>
      </w:r>
      <w:r>
        <w:br/>
      </w:r>
      <w:r>
        <w:lastRenderedPageBreak/>
        <w:t>U_{\mathrm{Ax}}</w:t>
      </w:r>
      <w:r>
        <w:br/>
        <w:t>(A_{\mathrm{graph-stat}})</w:t>
      </w:r>
    </w:p>
    <w:p w:rsidR="00780140" w:rsidRDefault="00780140" w:rsidP="009F7790">
      <w:pPr>
        <w:numPr>
          <w:ilvl w:val="0"/>
          <w:numId w:val="813"/>
        </w:numPr>
        <w:spacing w:before="100" w:beforeAutospacing="1" w:after="100" w:afterAutospacing="1"/>
      </w:pPr>
    </w:p>
    <w:p w:rsidR="00780140" w:rsidRDefault="00780140" w:rsidP="00780140">
      <w:pPr>
        <w:pStyle w:val="StandardWeb"/>
      </w:pPr>
      <w:r>
        <w:t>}</w:t>
      </w:r>
      <w:r>
        <w:br/>
        <w:t>\tag{3.14379}</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\boxed{U_{\mathrm{Ax}}(A_{\mathrm{graph-stat}})=0.}</w:t>
      </w:r>
    </w:p>
    <w:p w:rsidR="00780140" w:rsidRDefault="00780140" w:rsidP="00780140">
      <w:r>
        <w:pict>
          <v:rect id="_x0000_i6741" style="width:0;height:1.5pt" o:hralign="center" o:hrstd="t" o:hr="t" fillcolor="#a0a0a0" stroked="f"/>
        </w:pict>
      </w:r>
    </w:p>
    <w:p w:rsidR="00780140" w:rsidRDefault="00780140" w:rsidP="00780140">
      <w:pPr>
        <w:pStyle w:val="berschrift1"/>
      </w:pPr>
      <w:r>
        <w:t>3.3.54.143 Hierarchische Modulstruktur</w:t>
      </w:r>
    </w:p>
    <w:p w:rsidR="00780140" w:rsidRDefault="00780140" w:rsidP="00780140">
      <w:pPr>
        <w:pStyle w:val="StandardWeb"/>
      </w:pPr>
      <w:r>
        <w:t>Module können hierarchisch organisiert werden.</w:t>
      </w:r>
    </w:p>
    <w:p w:rsidR="00780140" w:rsidRDefault="00780140" w:rsidP="00780140">
      <w:pPr>
        <w:pStyle w:val="StandardWeb"/>
      </w:pPr>
      <w:r>
        <w:t>Ich führe eine Ordnungsrelation</w:t>
      </w:r>
    </w:p>
    <w:p w:rsidR="00780140" w:rsidRDefault="00780140" w:rsidP="00780140">
      <w:pPr>
        <w:pStyle w:val="StandardWeb"/>
      </w:pPr>
      <w:r>
        <w:t>[</w:t>
      </w:r>
      <w:r>
        <w:br/>
        <w:t>\preceq_{\mathrm{mod}}</w:t>
      </w:r>
      <w:r>
        <w:br/>
        <w:t>\tag{3.14380}</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\preceq_{\mathrm{mod}}</w:t>
      </w:r>
    </w:p>
    <w:p w:rsidR="00780140" w:rsidRDefault="00780140" w:rsidP="00780140">
      <w:pPr>
        <w:pStyle w:val="StandardWeb"/>
      </w:pPr>
      <w:r>
        <w:t>auf der Modulmenge ein.</w:t>
      </w:r>
    </w:p>
    <w:p w:rsidR="00780140" w:rsidRDefault="00780140" w:rsidP="00780140">
      <w:r>
        <w:pict>
          <v:rect id="_x0000_i6742" style="width:0;height:1.5pt" o:hralign="center" o:hrstd="t" o:hr="t" fillcolor="#a0a0a0" stroked="f"/>
        </w:pict>
      </w:r>
    </w:p>
    <w:p w:rsidR="00780140" w:rsidRDefault="00780140" w:rsidP="00780140">
      <w:pPr>
        <w:pStyle w:val="berschrift2"/>
      </w:pPr>
      <w:r>
        <w:t>3.3.54.144 Definition 3.3.702 – Funktionale Modulordnung</w:t>
      </w:r>
    </w:p>
    <w:p w:rsidR="00780140" w:rsidRDefault="00780140" w:rsidP="00780140">
      <w:pPr>
        <w:pStyle w:val="berschrift3"/>
      </w:pPr>
      <w:r>
        <w:t>Definition 3.3.702</w:t>
      </w:r>
    </w:p>
    <w:p w:rsidR="00780140" w:rsidRDefault="00780140" w:rsidP="00780140">
      <w:pPr>
        <w:pStyle w:val="StandardWeb"/>
      </w:pPr>
      <w:r>
        <w:t xml:space="preserve">Eine </w:t>
      </w:r>
      <w:r>
        <w:rPr>
          <w:rStyle w:val="Fett"/>
        </w:rPr>
        <w:t>funktionale Modulordnung</w:t>
      </w:r>
      <w:r>
        <w:t xml:space="preserve"> ist eine modellabhängig definierte Relation</w:t>
      </w:r>
    </w:p>
    <w:p w:rsidR="00780140" w:rsidRDefault="00780140" w:rsidP="00780140">
      <w:pPr>
        <w:pStyle w:val="StandardWeb"/>
      </w:pPr>
      <w:r>
        <w:t>[</w:t>
      </w:r>
      <w:r>
        <w:br/>
        <w:t>\boxed{</w:t>
      </w:r>
      <w:r>
        <w:br/>
        <w:t>\preceq_{\mathrm{mod}}</w:t>
      </w:r>
      <w:r>
        <w:br/>
        <w:t>\subseteq</w:t>
      </w:r>
      <w:r>
        <w:br/>
        <w:t>\mathfrak M_F</w:t>
      </w:r>
      <w:r>
        <w:br/>
        <w:t>\times</w:t>
      </w:r>
      <w:r>
        <w:br/>
        <w:t>\mathfrak M_F.</w:t>
      </w:r>
      <w:r>
        <w:br/>
        <w:t>}</w:t>
      </w:r>
      <w:r>
        <w:br/>
        <w:t>\tag{3.14381}</w:t>
      </w:r>
      <w:r>
        <w:br/>
        <w:t>]</w:t>
      </w:r>
    </w:p>
    <w:p w:rsidR="00780140" w:rsidRDefault="00780140" w:rsidP="00780140">
      <w:pPr>
        <w:pStyle w:val="StandardWeb"/>
      </w:pPr>
      <w:r>
        <w:rPr>
          <w:rStyle w:val="Fett"/>
        </w:rPr>
        <w:lastRenderedPageBreak/>
        <w:t>Word-LaTeX</w:t>
      </w:r>
    </w:p>
    <w:p w:rsidR="00780140" w:rsidRDefault="00780140" w:rsidP="00780140">
      <w:pPr>
        <w:pStyle w:val="HTMLVorformatiert"/>
        <w:rPr>
          <w:rStyle w:val="HTMLCode"/>
        </w:rPr>
      </w:pPr>
      <w:r>
        <w:rPr>
          <w:rStyle w:val="HTMLCode"/>
        </w:rPr>
        <w:t>\boxed{\preceq_{\mathrm{mod}}\subseteq\mathfrak M_F\times\mathfrak M_F.}</w:t>
      </w:r>
    </w:p>
    <w:p w:rsidR="00780140" w:rsidRDefault="00780140" w:rsidP="00780140">
      <w:r>
        <w:pict>
          <v:rect id="_x0000_i6743" style="width:0;height:1.5pt" o:hralign="center" o:hrstd="t" o:hr="t" fillcolor="#a0a0a0" stroked="f"/>
        </w:pict>
      </w:r>
    </w:p>
    <w:p w:rsidR="00780140" w:rsidRDefault="00780140" w:rsidP="00780140">
      <w:pPr>
        <w:pStyle w:val="berschrift1"/>
      </w:pPr>
      <w:r>
        <w:t>3.3.54.145 Übergeordnetes Modul</w:t>
      </w:r>
    </w:p>
    <w:p w:rsidR="00780140" w:rsidRDefault="00780140" w:rsidP="00780140">
      <w:pPr>
        <w:pStyle w:val="StandardWeb"/>
      </w:pPr>
      <w:r>
        <w:t>Für zwei Module kann gelten</w:t>
      </w:r>
    </w:p>
    <w:p w:rsidR="00780140" w:rsidRDefault="00780140" w:rsidP="00780140">
      <w:pPr>
        <w:pStyle w:val="StandardWeb"/>
      </w:pPr>
      <w:r>
        <w:t>[</w:t>
      </w:r>
      <w:r>
        <w:br/>
        <w:t>\mathfrak M_{F,i}</w:t>
      </w:r>
      <w:r>
        <w:br/>
        <w:t>\preceq_{\mathrm{mod}}</w:t>
      </w:r>
      <w:r>
        <w:br/>
        <w:t>\mathfrak M_{F,j}.</w:t>
      </w:r>
      <w:r>
        <w:br/>
        <w:t>\tag{3.14382}</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\mathfrak M_{F,i}\preceq_{\mathrm{mod}}\mathfrak M_{F,j}</w:t>
      </w:r>
    </w:p>
    <w:p w:rsidR="00780140" w:rsidRDefault="00780140" w:rsidP="00780140">
      <w:pPr>
        <w:pStyle w:val="StandardWeb"/>
      </w:pPr>
      <w:r>
        <w:t>Die Bedeutung dieser Ordnung ist vollständig modellabhängig. Sie kann beispielsweise funktionale Einbettung, Steuerungsabhängigkeit oder Aggregation ausdrücken.</w:t>
      </w:r>
    </w:p>
    <w:p w:rsidR="00780140" w:rsidRDefault="00780140" w:rsidP="00780140">
      <w:r>
        <w:pict>
          <v:rect id="_x0000_i6744" style="width:0;height:1.5pt" o:hralign="center" o:hrstd="t" o:hr="t" fillcolor="#a0a0a0" stroked="f"/>
        </w:pict>
      </w:r>
    </w:p>
    <w:p w:rsidR="00780140" w:rsidRDefault="00780140" w:rsidP="00780140">
      <w:pPr>
        <w:pStyle w:val="berschrift2"/>
      </w:pPr>
      <w:r>
        <w:t>3.3.54.146 Definition 3.3.703 – Funktionale Modulhierarchie</w:t>
      </w:r>
    </w:p>
    <w:p w:rsidR="00780140" w:rsidRDefault="00780140" w:rsidP="00780140">
      <w:pPr>
        <w:pStyle w:val="berschrift3"/>
      </w:pPr>
      <w:r>
        <w:t>Definition 3.3.703</w:t>
      </w:r>
    </w:p>
    <w:p w:rsidR="00780140" w:rsidRDefault="00780140" w:rsidP="00780140">
      <w:pPr>
        <w:pStyle w:val="StandardWeb"/>
      </w:pPr>
      <w:r>
        <w:t xml:space="preserve">Eine </w:t>
      </w:r>
      <w:r>
        <w:rPr>
          <w:rStyle w:val="Fett"/>
        </w:rPr>
        <w:t>funktionale Modulhierarchie</w:t>
      </w:r>
      <w:r>
        <w:t xml:space="preserve"> ist ein geordnetes Paar</w:t>
      </w:r>
    </w:p>
    <w:p w:rsidR="00780140" w:rsidRDefault="00780140" w:rsidP="00780140">
      <w:pPr>
        <w:pStyle w:val="berschrift1"/>
      </w:pPr>
      <w:r>
        <w:t>[</w:t>
      </w:r>
      <w:r>
        <w:br/>
        <w:t>\boxed{</w:t>
      </w:r>
      <w:r>
        <w:br/>
        <w:t>\mathfrak H_F^{\mathrm{mod}}</w:t>
      </w:r>
    </w:p>
    <w:p w:rsidR="00780140" w:rsidRDefault="00780140" w:rsidP="00780140">
      <w:pPr>
        <w:pStyle w:val="StandardWeb"/>
      </w:pPr>
      <w:r>
        <w:t>\left(</w:t>
      </w:r>
      <w:r>
        <w:br/>
        <w:t>\mathfrak M_F,</w:t>
      </w:r>
      <w:r>
        <w:br/>
        <w:t>\preceq_{\mathrm{mod}}</w:t>
      </w:r>
      <w:r>
        <w:br/>
        <w:t>\right).</w:t>
      </w:r>
      <w:r>
        <w:br/>
        <w:t>}</w:t>
      </w:r>
      <w:r>
        <w:br/>
        <w:t>\tag{3.14383}</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\boxed{\mathfrak H_F^{\mathrm{mod}}=\left(\mathfrak M_F,\preceq_{\mathrm{mod}}\right).}</w:t>
      </w:r>
    </w:p>
    <w:p w:rsidR="00780140" w:rsidRDefault="00780140" w:rsidP="00780140">
      <w:r>
        <w:pict>
          <v:rect id="_x0000_i6745" style="width:0;height:1.5pt" o:hralign="center" o:hrstd="t" o:hr="t" fillcolor="#a0a0a0" stroked="f"/>
        </w:pict>
      </w:r>
    </w:p>
    <w:p w:rsidR="00780140" w:rsidRDefault="00780140" w:rsidP="00780140">
      <w:pPr>
        <w:pStyle w:val="berschrift1"/>
      </w:pPr>
      <w:r>
        <w:lastRenderedPageBreak/>
        <w:t>3.3.54.147 Totale Modulordnung als Primäraxiomkandidat</w:t>
      </w:r>
    </w:p>
    <w:p w:rsidR="00780140" w:rsidRDefault="00780140" w:rsidP="00780140">
      <w:pPr>
        <w:pStyle w:val="StandardWeb"/>
      </w:pPr>
      <w:r>
        <w:t>Eine besonders starke Forderung wäre, dass je zwei Module vergleichbar sind:</w:t>
      </w:r>
    </w:p>
    <w:p w:rsidR="00780140" w:rsidRDefault="00780140" w:rsidP="00780140">
      <w:pPr>
        <w:pStyle w:val="StandardWeb"/>
      </w:pPr>
      <w:r>
        <w:t>[</w:t>
      </w:r>
      <w:r>
        <w:br/>
        <w:t>A_{\mathrm{mod-total}}</w:t>
      </w:r>
      <w:r>
        <w:br/>
        <w:t>:</w:t>
      </w:r>
      <w:r>
        <w:br/>
        <w:t>\forall</w:t>
      </w:r>
      <w:r>
        <w:br/>
        <w:t>\mathfrak M_{F,i},</w:t>
      </w:r>
      <w:r>
        <w:br/>
        <w:t>\mathfrak M_{F,j}</w:t>
      </w:r>
      <w:r>
        <w:br/>
        <w:t>:</w:t>
      </w:r>
      <w:r>
        <w:br/>
        <w:t>\mathfrak M_{F,i}</w:t>
      </w:r>
      <w:r>
        <w:br/>
        <w:t>\preceq_{\mathrm{mod}}</w:t>
      </w:r>
      <w:r>
        <w:br/>
        <w:t>\mathfrak M_{F,j}</w:t>
      </w:r>
      <w:r>
        <w:br/>
        <w:t>\vee</w:t>
      </w:r>
      <w:r>
        <w:br/>
        <w:t>\mathfrak M_{F,j}</w:t>
      </w:r>
      <w:r>
        <w:br/>
        <w:t>\preceq_{\mathrm{mod}}</w:t>
      </w:r>
      <w:r>
        <w:br/>
        <w:t>\mathfrak M_{F,i}.</w:t>
      </w:r>
      <w:r>
        <w:br/>
        <w:t>\tag{3.14384}</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A_{\mathrm{mod-total}}:\forall\mathfrak M_{F,i},\mathfrak M_{F,j}:\mathfrak M_{F,i}\preceq_{\mathrm{mod}}\mathfrak M_{F,j}\vee\mathfrak M_{F,j}\preceq_{\mathrm{mod}}\mathfrak M_{F,i}</w:t>
      </w:r>
    </w:p>
    <w:p w:rsidR="00780140" w:rsidRDefault="00780140" w:rsidP="00780140">
      <w:r>
        <w:pict>
          <v:rect id="_x0000_i6746" style="width:0;height:1.5pt" o:hralign="center" o:hrstd="t" o:hr="t" fillcolor="#a0a0a0" stroked="f"/>
        </w:pict>
      </w:r>
    </w:p>
    <w:p w:rsidR="00780140" w:rsidRDefault="00780140" w:rsidP="00780140">
      <w:pPr>
        <w:pStyle w:val="berschrift1"/>
      </w:pPr>
      <w:r>
        <w:t>3.3.54.148 Gegenmodell mit unvergleichbaren Modulen</w:t>
      </w:r>
    </w:p>
    <w:p w:rsidR="00780140" w:rsidRDefault="00780140" w:rsidP="00780140">
      <w:pPr>
        <w:pStyle w:val="StandardWeb"/>
      </w:pPr>
      <w:r>
        <w:t>Zwei funktional unabhängige Module können bezüglich der gewählten Modulordnung unvergleichbar sein:</w:t>
      </w:r>
    </w:p>
    <w:p w:rsidR="00780140" w:rsidRDefault="00780140" w:rsidP="00780140">
      <w:pPr>
        <w:pStyle w:val="StandardWeb"/>
      </w:pPr>
      <w:r>
        <w:t>[</w:t>
      </w:r>
      <w:r>
        <w:br/>
        <w:t>\mathfrak M_{F,1}</w:t>
      </w:r>
      <w:r>
        <w:br/>
        <w:t>\not\preceq_{\mathrm{mod}}</w:t>
      </w:r>
      <w:r>
        <w:br/>
        <w:t>\mathfrak M_{F,2}</w:t>
      </w:r>
      <w:r>
        <w:br/>
        <w:t>\tag{3.14385}</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\mathfrak M_{F,1}\not\preceq_{\mathrm{mod}}\mathfrak M_{F,2}</w:t>
      </w:r>
    </w:p>
    <w:p w:rsidR="00780140" w:rsidRDefault="00780140" w:rsidP="00780140">
      <w:pPr>
        <w:pStyle w:val="StandardWeb"/>
      </w:pPr>
      <w:r>
        <w:t>und</w:t>
      </w:r>
    </w:p>
    <w:p w:rsidR="00780140" w:rsidRDefault="00780140" w:rsidP="00780140">
      <w:pPr>
        <w:pStyle w:val="StandardWeb"/>
      </w:pPr>
      <w:r>
        <w:lastRenderedPageBreak/>
        <w:t>[</w:t>
      </w:r>
      <w:r>
        <w:br/>
        <w:t>\mathfrak M_{F,2}</w:t>
      </w:r>
      <w:r>
        <w:br/>
        <w:t>\not\preceq_{\mathrm{mod}}</w:t>
      </w:r>
      <w:r>
        <w:br/>
        <w:t>\mathfrak M_{F,1}.</w:t>
      </w:r>
      <w:r>
        <w:br/>
        <w:t>\tag{3.14386}</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\mathfrak M_{F,2}\not\preceq_{\mathrm{mod}}\mathfrak M_{F,1}</w:t>
      </w:r>
    </w:p>
    <w:p w:rsidR="00780140" w:rsidRDefault="00780140" w:rsidP="00780140">
      <w:r>
        <w:pict>
          <v:rect id="_x0000_i6747" style="width:0;height:1.5pt" o:hralign="center" o:hrstd="t" o:hr="t" fillcolor="#a0a0a0" stroked="f"/>
        </w:pict>
      </w:r>
    </w:p>
    <w:p w:rsidR="00780140" w:rsidRDefault="00780140" w:rsidP="00780140">
      <w:pPr>
        <w:pStyle w:val="berschrift1"/>
      </w:pPr>
      <w:r>
        <w:t>3.3.54.149 Axiomentscheidung zur Totalordnung</w:t>
      </w:r>
    </w:p>
    <w:p w:rsidR="00780140" w:rsidRDefault="00780140" w:rsidP="00780140">
      <w:pPr>
        <w:pStyle w:val="StandardWeb"/>
      </w:pPr>
      <w:r>
        <w:t>Damit gilt</w:t>
      </w:r>
    </w:p>
    <w:p w:rsidR="00780140" w:rsidRDefault="00780140" w:rsidP="00780140">
      <w:pPr>
        <w:pStyle w:val="berschrift1"/>
      </w:pPr>
      <w:r>
        <w:t>[</w:t>
      </w:r>
      <w:r>
        <w:br/>
        <w:t>\boxed{</w:t>
      </w:r>
      <w:r>
        <w:br/>
        <w:t>U_{\mathrm{Ax}}</w:t>
      </w:r>
      <w:r>
        <w:br/>
        <w:t>(A_{\mathrm{mod-total}})</w:t>
      </w:r>
    </w:p>
    <w:p w:rsidR="00780140" w:rsidRDefault="00780140" w:rsidP="009F7790">
      <w:pPr>
        <w:numPr>
          <w:ilvl w:val="0"/>
          <w:numId w:val="814"/>
        </w:numPr>
        <w:spacing w:before="100" w:beforeAutospacing="1" w:after="100" w:afterAutospacing="1"/>
      </w:pPr>
    </w:p>
    <w:p w:rsidR="00780140" w:rsidRDefault="00780140" w:rsidP="00780140">
      <w:pPr>
        <w:pStyle w:val="StandardWeb"/>
      </w:pPr>
      <w:r>
        <w:t>}</w:t>
      </w:r>
      <w:r>
        <w:br/>
        <w:t>\tag{3.14387}</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\boxed{U_{\mathrm{Ax}}(A_{\mathrm{mod-total}})=0.}</w:t>
      </w:r>
    </w:p>
    <w:p w:rsidR="00780140" w:rsidRDefault="00780140" w:rsidP="00780140">
      <w:r>
        <w:pict>
          <v:rect id="_x0000_i6748" style="width:0;height:1.5pt" o:hralign="center" o:hrstd="t" o:hr="t" fillcolor="#a0a0a0" stroked="f"/>
        </w:pict>
      </w:r>
    </w:p>
    <w:p w:rsidR="00780140" w:rsidRDefault="00780140" w:rsidP="00780140">
      <w:pPr>
        <w:pStyle w:val="berschrift1"/>
      </w:pPr>
      <w:r>
        <w:t>3.3.54.150 Satz 3.3.291 – Totale hierarchische Modulordnung ist kein Primäraxiom</w:t>
      </w:r>
    </w:p>
    <w:p w:rsidR="00780140" w:rsidRDefault="00780140" w:rsidP="00780140">
      <w:pPr>
        <w:pStyle w:val="berschrift3"/>
      </w:pPr>
      <w:r>
        <w:t>Satz 3.3.291</w:t>
      </w:r>
    </w:p>
    <w:p w:rsidR="00780140" w:rsidRDefault="00780140" w:rsidP="00780140">
      <w:pPr>
        <w:pStyle w:val="StandardWeb"/>
      </w:pPr>
      <w:r>
        <w:t>Die Forderung, sämtliche funktionalen Module eines zulässigen FRZK-Modells müssten durch eine totale Hierarchie vergleichbar sein, ist keine universell notwendige Voraussetzung des allgemeinen FRZK.</w:t>
      </w:r>
    </w:p>
    <w:p w:rsidR="00780140" w:rsidRDefault="00780140" w:rsidP="00780140">
      <w:pPr>
        <w:pStyle w:val="berschrift1"/>
      </w:pPr>
      <w:r>
        <w:t>[</w:t>
      </w:r>
      <w:r>
        <w:br/>
        <w:t>\boxed{</w:t>
      </w:r>
      <w:r>
        <w:br/>
      </w:r>
      <w:r>
        <w:lastRenderedPageBreak/>
        <w:t>U_{\mathrm{Ax}}</w:t>
      </w:r>
      <w:r>
        <w:br/>
        <w:t>(A_{\mathrm{mod-total}})</w:t>
      </w:r>
    </w:p>
    <w:p w:rsidR="00780140" w:rsidRDefault="00780140" w:rsidP="009F7790">
      <w:pPr>
        <w:numPr>
          <w:ilvl w:val="0"/>
          <w:numId w:val="815"/>
        </w:numPr>
        <w:spacing w:before="100" w:beforeAutospacing="1" w:after="100" w:afterAutospacing="1"/>
      </w:pPr>
    </w:p>
    <w:p w:rsidR="00780140" w:rsidRDefault="00780140" w:rsidP="00780140">
      <w:pPr>
        <w:pStyle w:val="StandardWeb"/>
      </w:pPr>
      <w:r>
        <w:t>}</w:t>
      </w:r>
      <w:r>
        <w:br/>
        <w:t>\tag{3.14388}</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\boxed{U_{\mathrm{Ax}}(A_{\mathrm{mod-total}})=0.}</w:t>
      </w:r>
    </w:p>
    <w:p w:rsidR="00780140" w:rsidRDefault="00780140" w:rsidP="00780140">
      <w:r>
        <w:pict>
          <v:rect id="_x0000_i6749" style="width:0;height:1.5pt" o:hralign="center" o:hrstd="t" o:hr="t" fillcolor="#a0a0a0" stroked="f"/>
        </w:pict>
      </w:r>
    </w:p>
    <w:p w:rsidR="00780140" w:rsidRDefault="00780140" w:rsidP="00780140">
      <w:pPr>
        <w:pStyle w:val="berschrift1"/>
      </w:pPr>
      <w:r>
        <w:t>3.3.54.151 Korollar 3.3.88 – Modulhierarchien sind modellabhängig</w:t>
      </w:r>
    </w:p>
    <w:p w:rsidR="00780140" w:rsidRDefault="00780140" w:rsidP="00780140">
      <w:pPr>
        <w:pStyle w:val="berschrift3"/>
      </w:pPr>
      <w:r>
        <w:t>Korollar 3.3.88</w:t>
      </w:r>
    </w:p>
    <w:p w:rsidR="00780140" w:rsidRDefault="00780140" w:rsidP="00780140">
      <w:pPr>
        <w:pStyle w:val="StandardWeb"/>
      </w:pPr>
      <w:r>
        <w:t>Aus Satz 3.3.291 folgt</w:t>
      </w:r>
    </w:p>
    <w:p w:rsidR="00780140" w:rsidRDefault="00780140" w:rsidP="00780140">
      <w:pPr>
        <w:pStyle w:val="berschrift1"/>
      </w:pPr>
      <w:r>
        <w:t>[</w:t>
      </w:r>
      <w:r>
        <w:br/>
        <w:t>\boxed{</w:t>
      </w:r>
      <w:r>
        <w:br/>
        <w:t>\operatorname{Stat}</w:t>
      </w:r>
      <w:r>
        <w:br/>
        <w:t>(</w:t>
      </w:r>
      <w:r>
        <w:br/>
        <w:t>\mathfrak H_F^{\mathrm{mod}}</w:t>
      </w:r>
      <w:r>
        <w:br/>
        <w:t>)</w:t>
      </w:r>
    </w:p>
    <w:p w:rsidR="00780140" w:rsidRDefault="00780140" w:rsidP="00780140">
      <w:pPr>
        <w:pStyle w:val="StandardWeb"/>
      </w:pPr>
      <w:r>
        <w:t>\mathrm{Def/Mod/Op}.</w:t>
      </w:r>
      <w:r>
        <w:br/>
        <w:t>}</w:t>
      </w:r>
      <w:r>
        <w:br/>
        <w:t>\tag{3.14389}</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\boxed{\operatorname{Stat}(\mathfrak H_F^{\mathrm{mod}})=\mathrm{Def/Mod/Op}.}</w:t>
      </w:r>
    </w:p>
    <w:p w:rsidR="00780140" w:rsidRDefault="00780140" w:rsidP="00780140">
      <w:r>
        <w:pict>
          <v:rect id="_x0000_i6750" style="width:0;height:1.5pt" o:hralign="center" o:hrstd="t" o:hr="t" fillcolor="#a0a0a0" stroked="f"/>
        </w:pict>
      </w:r>
    </w:p>
    <w:p w:rsidR="00780140" w:rsidRDefault="00780140" w:rsidP="00780140">
      <w:pPr>
        <w:pStyle w:val="berschrift1"/>
      </w:pPr>
      <w:r>
        <w:t>3.3.54.152 Zwischenstruktur</w:t>
      </w:r>
    </w:p>
    <w:p w:rsidR="00780140" w:rsidRDefault="00780140" w:rsidP="00780140">
      <w:pPr>
        <w:pStyle w:val="StandardWeb"/>
      </w:pPr>
      <w:r>
        <w:t>Die bisher entwickelte Kopplungs- und Modularitätsarchitektur fasse ich zusammen als</w:t>
      </w:r>
    </w:p>
    <w:p w:rsidR="00780140" w:rsidRDefault="00780140" w:rsidP="00780140">
      <w:pPr>
        <w:pStyle w:val="berschrift1"/>
      </w:pPr>
      <w:r>
        <w:lastRenderedPageBreak/>
        <w:t>[</w:t>
      </w:r>
      <w:r>
        <w:br/>
        <w:t>\mathfrak E_{\mathrm{cpl}}^{(2)}</w:t>
      </w:r>
    </w:p>
    <w:p w:rsidR="00780140" w:rsidRDefault="00780140" w:rsidP="00780140">
      <w:pPr>
        <w:pStyle w:val="StandardWeb"/>
      </w:pPr>
      <w:r>
        <w:t>\left(</w:t>
      </w:r>
      <w:r>
        <w:br/>
        <w:t>K_F,</w:t>
      </w:r>
      <w:r>
        <w:br/>
        <w:t>D_F,</w:t>
      </w:r>
      <w:r>
        <w:br/>
        <w:t>\gamma_{ij},</w:t>
      </w:r>
      <w:r>
        <w:br/>
        <w:t>G_F^{\mathrm{cpl}},</w:t>
      </w:r>
      <w:r>
        <w:br/>
        <w:t>G_{F,w}^{\mathrm{cpl}},</w:t>
      </w:r>
      <w:r>
        <w:br/>
        <w:t>Z_F,</w:t>
      </w:r>
      <w:r>
        <w:br/>
        <w:t>\mathfrak M_F,</w:t>
      </w:r>
      <w:r>
        <w:br/>
        <w:t>I_{ij},</w:t>
      </w:r>
      <w:r>
        <w:br/>
        <w:t>\preceq_{\mathrm{mod}},</w:t>
      </w:r>
      <w:r>
        <w:br/>
        <w:t>\mathfrak H_F^{\mathrm{mod}}</w:t>
      </w:r>
      <w:r>
        <w:br/>
        <w:t>\right).</w:t>
      </w:r>
      <w:r>
        <w:br/>
        <w:t>\tag{3.14390}</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\mathfrak E_{\mathrm{cpl}}^{(2)}=\left(K_F,D_F,\gamma_{ij},G_F^{\mathrm{cpl}},G_{F,w}^{\mathrm{cpl}},Z_F,\mathfrak M_F,I_{ij},\preceq_{\mathrm{mod}},\mathfrak H_F^{\mathrm{mod}}\right)</w:t>
      </w:r>
    </w:p>
    <w:p w:rsidR="00780140" w:rsidRDefault="00780140" w:rsidP="00780140">
      <w:r>
        <w:pict>
          <v:rect id="_x0000_i6751" style="width:0;height:1.5pt" o:hralign="center" o:hrstd="t" o:hr="t" fillcolor="#a0a0a0" stroked="f"/>
        </w:pict>
      </w:r>
    </w:p>
    <w:p w:rsidR="00780140" w:rsidRDefault="00780140" w:rsidP="00780140">
      <w:pPr>
        <w:pStyle w:val="berschrift1"/>
      </w:pPr>
      <w:r>
        <w:t>3.3.54.153 Erweiterte Primäraxiomkandidatenmenge</w:t>
      </w:r>
    </w:p>
    <w:p w:rsidR="00780140" w:rsidRDefault="00780140" w:rsidP="00780140">
      <w:pPr>
        <w:pStyle w:val="StandardWeb"/>
      </w:pPr>
      <w:r>
        <w:t>Die Kandidatenmenge erweitert sich zu</w:t>
      </w:r>
    </w:p>
    <w:p w:rsidR="00780140" w:rsidRDefault="00780140" w:rsidP="00780140">
      <w:pPr>
        <w:pStyle w:val="berschrift1"/>
      </w:pPr>
      <w:r>
        <w:t>[</w:t>
      </w:r>
      <w:r>
        <w:br/>
        <w:t>\mathcal A_{\mathrm{cpl}}^{\mathrm{cand},2}</w:t>
      </w:r>
    </w:p>
    <w:p w:rsidR="00780140" w:rsidRDefault="00780140" w:rsidP="00780140">
      <w:pPr>
        <w:pStyle w:val="StandardWeb"/>
      </w:pPr>
      <w:r>
        <w:t>\mathcal A_{\mathrm{cpl}}^{\mathrm{cand},1}</w:t>
      </w:r>
      <w:r>
        <w:br/>
        <w:t>\cup</w:t>
      </w:r>
      <w:r>
        <w:br/>
        <w:t>{</w:t>
      </w:r>
      <w:r>
        <w:br/>
        <w:t>A_{\mathrm{mod-disj}},</w:t>
      </w:r>
      <w:r>
        <w:br/>
        <w:t>A_{\mathrm{mod-cover}},</w:t>
      </w:r>
      <w:r>
        <w:br/>
        <w:t>A_{\mathrm{mod-uniq}},</w:t>
      </w:r>
      <w:r>
        <w:br/>
        <w:t>A_{\mathrm{cpl-acyc}},</w:t>
      </w:r>
      <w:r>
        <w:br/>
        <w:t>A_{\mathrm{graph-stat}},</w:t>
      </w:r>
      <w:r>
        <w:br/>
        <w:t>A_{\mathrm{mod-total}}</w:t>
      </w:r>
      <w:r>
        <w:br/>
        <w:t>}.</w:t>
      </w:r>
      <w:r>
        <w:br/>
        <w:t>\tag{3.14391}</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lastRenderedPageBreak/>
        <w:t>\mathcal A_{\mathrm{cpl}}^{\mathrm{cand},2}=\mathcal A_{\mathrm{cpl}}^{\mathrm{cand},1}\cup\{A_{\mathrm{mod-disj}},A_{\mathrm{mod-cover}},A_{\mathrm{mod-uniq}},A_{\mathrm{cpl-acyc}},A_{\mathrm{graph-stat}},A_{\mathrm{mod-total}}\}</w:t>
      </w:r>
    </w:p>
    <w:p w:rsidR="00780140" w:rsidRDefault="00780140" w:rsidP="00780140">
      <w:r>
        <w:pict>
          <v:rect id="_x0000_i6752" style="width:0;height:1.5pt" o:hralign="center" o:hrstd="t" o:hr="t" fillcolor="#a0a0a0" stroked="f"/>
        </w:pict>
      </w:r>
    </w:p>
    <w:p w:rsidR="00780140" w:rsidRDefault="00780140" w:rsidP="00780140">
      <w:pPr>
        <w:pStyle w:val="berschrift1"/>
      </w:pPr>
      <w:r>
        <w:t>3.3.54.154 Zwischenbilanz der Axiomprüfung</w:t>
      </w:r>
    </w:p>
    <w:p w:rsidR="00780140" w:rsidRDefault="00780140" w:rsidP="00780140">
      <w:pPr>
        <w:pStyle w:val="StandardWeb"/>
      </w:pPr>
      <w:r>
        <w:t>Für sämtliche bis hierher geprüften Kandidaten gilt</w:t>
      </w:r>
    </w:p>
    <w:p w:rsidR="00780140" w:rsidRDefault="00780140" w:rsidP="00780140">
      <w:pPr>
        <w:pStyle w:val="berschrift1"/>
      </w:pPr>
      <w:r>
        <w:t>[</w:t>
      </w:r>
      <w:r>
        <w:br/>
        <w:t>\boxed{</w:t>
      </w:r>
      <w:r>
        <w:br/>
        <w:t>U_{\mathrm{Ax}}(A)</w:t>
      </w:r>
    </w:p>
    <w:p w:rsidR="00780140" w:rsidRDefault="00780140" w:rsidP="00780140">
      <w:pPr>
        <w:pStyle w:val="StandardWeb"/>
      </w:pPr>
      <w:r>
        <w:t>0</w:t>
      </w:r>
      <w:r>
        <w:br/>
        <w:t>\qquad</w:t>
      </w:r>
      <w:r>
        <w:br/>
        <w:t>\forall</w:t>
      </w:r>
      <w:r>
        <w:br/>
        <w:t>A</w:t>
      </w:r>
      <w:r>
        <w:br/>
        <w:t>\in</w:t>
      </w:r>
      <w:r>
        <w:br/>
        <w:t>\mathcal A_{\mathrm{cpl}}^{\mathrm{cand},2}.</w:t>
      </w:r>
      <w:r>
        <w:br/>
        <w:t>}</w:t>
      </w:r>
      <w:r>
        <w:br/>
        <w:t>\tag{3.14392}</w:t>
      </w:r>
      <w:r>
        <w:br/>
        <w:t>]</w:t>
      </w:r>
    </w:p>
    <w:p w:rsidR="00780140" w:rsidRDefault="00780140" w:rsidP="00780140">
      <w:pPr>
        <w:pStyle w:val="StandardWeb"/>
      </w:pPr>
      <w:r>
        <w:rPr>
          <w:rStyle w:val="Fett"/>
        </w:rPr>
        <w:t>Word-LaTeX</w:t>
      </w:r>
    </w:p>
    <w:p w:rsidR="00780140" w:rsidRDefault="00780140" w:rsidP="00780140">
      <w:pPr>
        <w:pStyle w:val="HTMLVorformatiert"/>
        <w:rPr>
          <w:rStyle w:val="HTMLCode"/>
        </w:rPr>
      </w:pPr>
      <w:r>
        <w:rPr>
          <w:rStyle w:val="HTMLCode"/>
        </w:rPr>
        <w:t>\boxed{U_{\mathrm{Ax}}(A)=0\qquad\forall A\in\mathcal A_{\mathrm{cpl}}^{\mathrm{cand},2}.}</w:t>
      </w:r>
    </w:p>
    <w:p w:rsidR="00780140" w:rsidRDefault="00780140" w:rsidP="00780140">
      <w:r>
        <w:pict>
          <v:rect id="_x0000_i6753" style="width:0;height:1.5pt" o:hralign="center" o:hrstd="t" o:hr="t" fillcolor="#a0a0a0" stroked="f"/>
        </w:pict>
      </w:r>
    </w:p>
    <w:p w:rsidR="00780140" w:rsidRDefault="00780140" w:rsidP="00780140">
      <w:pPr>
        <w:pStyle w:val="berschrift1"/>
      </w:pPr>
      <w:r>
        <w:t>3.3.54.155 Fortsetzung</w:t>
      </w:r>
    </w:p>
    <w:p w:rsidR="00780140" w:rsidRDefault="00780140" w:rsidP="00780140">
      <w:pPr>
        <w:pStyle w:val="StandardWeb"/>
      </w:pPr>
      <w:r>
        <w:t xml:space="preserve">Abschnitt </w:t>
      </w:r>
      <w:r>
        <w:rPr>
          <w:rStyle w:val="Fett"/>
        </w:rPr>
        <w:t>3.3.54 ist weiterhin nicht abgeschlossen</w:t>
      </w:r>
      <w:r>
        <w:t xml:space="preserve">. Im nächsten Block untersuche ich insbesondere </w:t>
      </w:r>
      <w:r>
        <w:rPr>
          <w:rStyle w:val="Fett"/>
        </w:rPr>
        <w:t>Kopplungshierarchien, maximale und minimale Kopplungen, Stabilität iterierter Kopplungsstrukturen, Dynamikverträglichkeit gekoppelter Systeme, modulare Rekonstruktion, Kopplungs- und Entkopplungsfehler sowie schließlich die Minimalitätsfrage, ob Kopplung, Entkopplung, Komposition oder Modularisierung überhaupt Bestandteil des minimalen FRZK sein müssen</w:t>
      </w:r>
      <w:r>
        <w:t>.</w:t>
      </w:r>
    </w:p>
    <w:p w:rsidR="00780140" w:rsidRDefault="00780140" w:rsidP="00780140">
      <w:pPr>
        <w:pStyle w:val="StandardWeb"/>
      </w:pPr>
      <w:r>
        <w:t xml:space="preserve">Der nächste Startpunkt ist </w:t>
      </w:r>
      <w:r>
        <w:rPr>
          <w:rStyle w:val="Fett"/>
        </w:rPr>
        <w:t>3.3.54.156 / Gleichung (3.14393)</w:t>
      </w:r>
      <w:r>
        <w:t xml:space="preserve">, nächste Definition </w:t>
      </w:r>
      <w:r>
        <w:rPr>
          <w:rStyle w:val="Fett"/>
        </w:rPr>
        <w:t>3.3.704</w:t>
      </w:r>
      <w:r>
        <w:t xml:space="preserve">, nächster Satz </w:t>
      </w:r>
      <w:r>
        <w:rPr>
          <w:rStyle w:val="Fett"/>
        </w:rPr>
        <w:t>3.3.292</w:t>
      </w:r>
      <w:r>
        <w:t xml:space="preserve">, nächstes Korollar </w:t>
      </w:r>
      <w:r>
        <w:rPr>
          <w:rStyle w:val="Fett"/>
        </w:rPr>
        <w:t>3.3.89</w:t>
      </w:r>
      <w:r>
        <w:t>.</w:t>
      </w:r>
    </w:p>
    <w:p w:rsidR="00257957" w:rsidRDefault="00257957" w:rsidP="00257957">
      <w:pPr>
        <w:pStyle w:val="StandardWeb"/>
        <w:rPr>
          <w:rFonts w:cs="Times New Roman"/>
          <w:bCs w:val="0"/>
        </w:rPr>
      </w:pPr>
      <w:r>
        <w:t xml:space="preserve">Ja. Ab jetzt kommt der Abschnittstext </w:t>
      </w:r>
      <w:r>
        <w:rPr>
          <w:rStyle w:val="Fett"/>
        </w:rPr>
        <w:t>vollständig als normaler Chattext</w:t>
      </w:r>
      <w:r>
        <w:t xml:space="preserve">, ohne Schreibblock, Canvas-Ersatz oder ausgelagertes Dokument. Ich gebe </w:t>
      </w:r>
      <w:r>
        <w:rPr>
          <w:rStyle w:val="Fett"/>
        </w:rPr>
        <w:t>3.3.54.156 vollständig neu</w:t>
      </w:r>
      <w:r>
        <w:t xml:space="preserve"> aus und halte die Gleichungs-/Word-LaTeX-Regel unmittelbar ein.</w:t>
      </w:r>
    </w:p>
    <w:p w:rsidR="00257957" w:rsidRDefault="00257957" w:rsidP="00257957">
      <w:pPr>
        <w:pStyle w:val="berschrift1"/>
      </w:pPr>
      <w:r>
        <w:t>3.3.54.156 Funktionale Kopplungsordnung</w:t>
      </w:r>
    </w:p>
    <w:p w:rsidR="00257957" w:rsidRDefault="00257957" w:rsidP="00257957">
      <w:pPr>
        <w:pStyle w:val="StandardWeb"/>
      </w:pPr>
      <w:r>
        <w:lastRenderedPageBreak/>
        <w:t>Nachdem ich bereits Kopplungsgraphen und Modulhierarchien eingeführt habe, untersuche ich nun, ob unterschiedliche Kopplungsstrukturen selbst miteinander verglichen werden können.</w:t>
      </w:r>
    </w:p>
    <w:p w:rsidR="00257957" w:rsidRDefault="00257957" w:rsidP="00257957">
      <w:pPr>
        <w:pStyle w:val="StandardWeb"/>
      </w:pPr>
      <w:r>
        <w:t>Ich führe dazu eine modellabhängige Relation</w:t>
      </w:r>
    </w:p>
    <w:p w:rsidR="00257957" w:rsidRDefault="00257957" w:rsidP="00257957">
      <w:pPr>
        <w:pStyle w:val="StandardWeb"/>
      </w:pPr>
      <w:r>
        <w:t>[</w:t>
      </w:r>
      <w:r>
        <w:br/>
        <w:t>\preceq_{\mathrm{cpl}}</w:t>
      </w:r>
      <w:r>
        <w:br/>
        <w:t>\tag{3.14393}</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\preceq_{\mathrm{cpl}}</w:t>
      </w:r>
    </w:p>
    <w:p w:rsidR="00257957" w:rsidRDefault="00257957" w:rsidP="00257957">
      <w:pPr>
        <w:pStyle w:val="StandardWeb"/>
      </w:pPr>
      <w:r>
        <w:t>auf einer Menge zulässiger Kopplungsstrukturen (\mathcal K_F) ein.</w:t>
      </w:r>
    </w:p>
    <w:p w:rsidR="00257957" w:rsidRDefault="00257957" w:rsidP="00257957">
      <w:r>
        <w:pict>
          <v:rect id="_x0000_i6808" style="width:0;height:1.5pt" o:hralign="center" o:hrstd="t" o:hr="t" fillcolor="#a0a0a0" stroked="f"/>
        </w:pict>
      </w:r>
    </w:p>
    <w:p w:rsidR="00257957" w:rsidRDefault="00257957" w:rsidP="00257957">
      <w:pPr>
        <w:pStyle w:val="berschrift2"/>
      </w:pPr>
      <w:r>
        <w:t>3.3.54.157 Definition 3.3.704 – Funktionale Kopplungsordnung</w:t>
      </w:r>
    </w:p>
    <w:p w:rsidR="00257957" w:rsidRDefault="00257957" w:rsidP="00257957">
      <w:pPr>
        <w:pStyle w:val="berschrift3"/>
      </w:pPr>
      <w:r>
        <w:t>Definition 3.3.704</w:t>
      </w:r>
    </w:p>
    <w:p w:rsidR="00257957" w:rsidRDefault="00257957" w:rsidP="00257957">
      <w:pPr>
        <w:pStyle w:val="StandardWeb"/>
      </w:pPr>
      <w:r>
        <w:t xml:space="preserve">Eine </w:t>
      </w:r>
      <w:r>
        <w:rPr>
          <w:rStyle w:val="Fett"/>
        </w:rPr>
        <w:t>funktionale Kopplungsordnung</w:t>
      </w:r>
      <w:r>
        <w:t xml:space="preserve"> ist eine modellabhängig definierte Relation</w:t>
      </w:r>
    </w:p>
    <w:p w:rsidR="00257957" w:rsidRDefault="00257957" w:rsidP="00257957">
      <w:pPr>
        <w:pStyle w:val="StandardWeb"/>
      </w:pPr>
      <w:r>
        <w:t>[</w:t>
      </w:r>
      <w:r>
        <w:br/>
        <w:t>\boxed{</w:t>
      </w:r>
      <w:r>
        <w:br/>
        <w:t>\preceq_{\mathrm{cpl}}</w:t>
      </w:r>
      <w:r>
        <w:br/>
        <w:t>\subseteq</w:t>
      </w:r>
      <w:r>
        <w:br/>
        <w:t>\mathcal K_F</w:t>
      </w:r>
      <w:r>
        <w:br/>
        <w:t>\times</w:t>
      </w:r>
      <w:r>
        <w:br/>
        <w:t>\mathcal K_F.</w:t>
      </w:r>
      <w:r>
        <w:br/>
        <w:t>}</w:t>
      </w:r>
      <w:r>
        <w:br/>
        <w:t>\tag{3.14394}</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\boxed{\preceq_{\mathrm{cpl}}\subseteq\mathcal K_F\times\mathcal K_F.}</w:t>
      </w:r>
    </w:p>
    <w:p w:rsidR="00257957" w:rsidRDefault="00257957" w:rsidP="00257957">
      <w:r>
        <w:pict>
          <v:rect id="_x0000_i6809" style="width:0;height:1.5pt" o:hralign="center" o:hrstd="t" o:hr="t" fillcolor="#a0a0a0" stroked="f"/>
        </w:pict>
      </w:r>
    </w:p>
    <w:p w:rsidR="00257957" w:rsidRDefault="00257957" w:rsidP="00257957">
      <w:pPr>
        <w:pStyle w:val="berschrift1"/>
      </w:pPr>
      <w:r>
        <w:t>3.3.54.158 Minimale funktionale Kopplung</w:t>
      </w:r>
    </w:p>
    <w:p w:rsidR="00257957" w:rsidRDefault="00257957" w:rsidP="00257957">
      <w:pPr>
        <w:pStyle w:val="StandardWeb"/>
      </w:pPr>
      <w:r>
        <w:t>Eine Kopplungsstruktur (K_F^\star) heißt bezüglich dieser Ordnung minimal, wenn</w:t>
      </w:r>
    </w:p>
    <w:p w:rsidR="00257957" w:rsidRDefault="00257957" w:rsidP="00257957">
      <w:pPr>
        <w:pStyle w:val="StandardWeb"/>
      </w:pPr>
      <w:r>
        <w:t>[</w:t>
      </w:r>
      <w:r>
        <w:br/>
        <w:t>K_F^\star</w:t>
      </w:r>
      <w:r>
        <w:br/>
        <w:t>\preceq_{\mathrm{cpl}}</w:t>
      </w:r>
      <w:r>
        <w:br/>
        <w:t>K_F</w:t>
      </w:r>
      <w:r>
        <w:br/>
      </w:r>
      <w:r>
        <w:lastRenderedPageBreak/>
        <w:t>\qquad</w:t>
      </w:r>
      <w:r>
        <w:br/>
        <w:t>\forall K_F\in\mathcal K_F.</w:t>
      </w:r>
      <w:r>
        <w:br/>
        <w:t>\tag{3.14395}</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K_F^\star\preceq_{\mathrm{cpl}}K_F\qquad\forall K_F\in\mathcal K_F</w:t>
      </w:r>
    </w:p>
    <w:p w:rsidR="00257957" w:rsidRDefault="00257957" w:rsidP="00257957">
      <w:r>
        <w:pict>
          <v:rect id="_x0000_i6810" style="width:0;height:1.5pt" o:hralign="center" o:hrstd="t" o:hr="t" fillcolor="#a0a0a0" stroked="f"/>
        </w:pict>
      </w:r>
    </w:p>
    <w:p w:rsidR="00257957" w:rsidRDefault="00257957" w:rsidP="00257957">
      <w:pPr>
        <w:pStyle w:val="berschrift2"/>
      </w:pPr>
      <w:r>
        <w:t>3.3.54.159 Definition 3.3.705 – Minimale funktionale Kopplung</w:t>
      </w:r>
    </w:p>
    <w:p w:rsidR="00257957" w:rsidRDefault="00257957" w:rsidP="00257957">
      <w:pPr>
        <w:pStyle w:val="berschrift3"/>
      </w:pPr>
      <w:r>
        <w:t>Definition 3.3.705</w:t>
      </w:r>
    </w:p>
    <w:p w:rsidR="00257957" w:rsidRDefault="00257957" w:rsidP="00257957">
      <w:pPr>
        <w:pStyle w:val="StandardWeb"/>
      </w:pPr>
      <w:r>
        <w:t xml:space="preserve">Eine Kopplungsstruktur (K_F^\star) heißt </w:t>
      </w:r>
      <w:r>
        <w:rPr>
          <w:rStyle w:val="Fett"/>
        </w:rPr>
        <w:t>minimal bezüglich (\preceq_{\mathrm{cpl}})</w:t>
      </w:r>
      <w:r>
        <w:t>, wenn</w:t>
      </w:r>
    </w:p>
    <w:p w:rsidR="00257957" w:rsidRDefault="00257957" w:rsidP="00257957">
      <w:pPr>
        <w:pStyle w:val="StandardWeb"/>
      </w:pPr>
      <w:r>
        <w:t>[</w:t>
      </w:r>
      <w:r>
        <w:br/>
        <w:t>\boxed{</w:t>
      </w:r>
      <w:r>
        <w:br/>
        <w:t>K_F^\star</w:t>
      </w:r>
      <w:r>
        <w:br/>
        <w:t>\preceq_{\mathrm{cpl}}</w:t>
      </w:r>
      <w:r>
        <w:br/>
        <w:t>K_F</w:t>
      </w:r>
      <w:r>
        <w:br/>
        <w:t>\qquad</w:t>
      </w:r>
      <w:r>
        <w:br/>
        <w:t>\forall K_F\in\mathcal K_F.</w:t>
      </w:r>
      <w:r>
        <w:br/>
        <w:t>}</w:t>
      </w:r>
      <w:r>
        <w:br/>
        <w:t>\tag{3.14396}</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\boxed{K_F^\star\preceq_{\mathrm{cpl}}K_F\qquad\forall K_F\in\mathcal K_F.}</w:t>
      </w:r>
    </w:p>
    <w:p w:rsidR="00257957" w:rsidRDefault="00257957" w:rsidP="00257957">
      <w:r>
        <w:pict>
          <v:rect id="_x0000_i6811" style="width:0;height:1.5pt" o:hralign="center" o:hrstd="t" o:hr="t" fillcolor="#a0a0a0" stroked="f"/>
        </w:pict>
      </w:r>
    </w:p>
    <w:p w:rsidR="00257957" w:rsidRDefault="00257957" w:rsidP="00257957">
      <w:pPr>
        <w:pStyle w:val="berschrift1"/>
      </w:pPr>
      <w:r>
        <w:t>3.3.54.160 Existenz einer minimalen Kopplung als Primäraxiomkandidat</w:t>
      </w:r>
    </w:p>
    <w:p w:rsidR="00257957" w:rsidRDefault="00257957" w:rsidP="00257957">
      <w:pPr>
        <w:pStyle w:val="StandardWeb"/>
      </w:pPr>
      <w:r>
        <w:t>Der Kandidat lautet</w:t>
      </w:r>
    </w:p>
    <w:p w:rsidR="00257957" w:rsidRDefault="00257957" w:rsidP="00257957">
      <w:pPr>
        <w:pStyle w:val="StandardWeb"/>
      </w:pPr>
      <w:r>
        <w:t>[</w:t>
      </w:r>
      <w:r>
        <w:br/>
        <w:t>A_{\mathrm{cpl-min}}</w:t>
      </w:r>
      <w:r>
        <w:br/>
        <w:t>:</w:t>
      </w:r>
      <w:r>
        <w:br/>
        <w:t>\exists K_F^\star.</w:t>
      </w:r>
      <w:r>
        <w:br/>
        <w:t>\tag{3.14397}</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A_{\mathrm{cpl-min}}:\exists K_F^\star</w:t>
      </w:r>
    </w:p>
    <w:p w:rsidR="00257957" w:rsidRDefault="00257957" w:rsidP="00257957">
      <w:r>
        <w:lastRenderedPageBreak/>
        <w:pict>
          <v:rect id="_x0000_i6812" style="width:0;height:1.5pt" o:hralign="center" o:hrstd="t" o:hr="t" fillcolor="#a0a0a0" stroked="f"/>
        </w:pict>
      </w:r>
    </w:p>
    <w:p w:rsidR="00257957" w:rsidRDefault="00257957" w:rsidP="00257957">
      <w:pPr>
        <w:pStyle w:val="berschrift1"/>
      </w:pPr>
      <w:r>
        <w:t>3.3.54.161 Gegenmodell ohne minimale Kopplung</w:t>
      </w:r>
    </w:p>
    <w:p w:rsidR="00257957" w:rsidRDefault="00257957" w:rsidP="00257957">
      <w:pPr>
        <w:pStyle w:val="StandardWeb"/>
      </w:pPr>
      <w:r>
        <w:t>Eine Kopplungsordnung kann eine streng absteigende Folge besitzen:</w:t>
      </w:r>
    </w:p>
    <w:p w:rsidR="00257957" w:rsidRDefault="00257957" w:rsidP="00257957">
      <w:pPr>
        <w:pStyle w:val="StandardWeb"/>
      </w:pPr>
      <w:r>
        <w:t>[</w:t>
      </w:r>
      <w:r>
        <w:br/>
        <w:t>K_{F,1}</w:t>
      </w:r>
      <w:r>
        <w:br/>
        <w:t>\succ_{\mathrm{cpl}}</w:t>
      </w:r>
      <w:r>
        <w:br/>
        <w:t>K_{F,2}</w:t>
      </w:r>
      <w:r>
        <w:br/>
        <w:t>\succ_{\mathrm{cpl}}</w:t>
      </w:r>
      <w:r>
        <w:br/>
        <w:t>K_{F,3}</w:t>
      </w:r>
      <w:r>
        <w:br/>
        <w:t>\succ_{\mathrm{cpl}}</w:t>
      </w:r>
      <w:r>
        <w:br/>
        <w:t>\cdots.</w:t>
      </w:r>
      <w:r>
        <w:br/>
        <w:t>\tag{3.14398}</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K_{F,1}\succ_{\mathrm{cpl}}K_{F,2}\succ_{\mathrm{cpl}}K_{F,3}\succ_{\mathrm{cpl}}\cdots</w:t>
      </w:r>
    </w:p>
    <w:p w:rsidR="00257957" w:rsidRDefault="00257957" w:rsidP="00257957">
      <w:pPr>
        <w:pStyle w:val="StandardWeb"/>
      </w:pPr>
      <w:r>
        <w:t>Dabei kann für jedes Element eine kleinere Kopplungsstruktur existieren:</w:t>
      </w:r>
    </w:p>
    <w:p w:rsidR="00257957" w:rsidRDefault="00257957" w:rsidP="00257957">
      <w:pPr>
        <w:pStyle w:val="StandardWeb"/>
      </w:pPr>
      <w:r>
        <w:t>[</w:t>
      </w:r>
      <w:r>
        <w:br/>
        <w:t>\forall n</w:t>
      </w:r>
      <w:r>
        <w:br/>
        <w:t>\quad</w:t>
      </w:r>
      <w:r>
        <w:br/>
        <w:t>\exists K_{F,n+1}</w:t>
      </w:r>
      <w:r>
        <w:br/>
        <w:t>:</w:t>
      </w:r>
      <w:r>
        <w:br/>
        <w:t>K_{F,n+1}</w:t>
      </w:r>
      <w:r>
        <w:br/>
        <w:t>\prec_{\mathrm{cpl}}</w:t>
      </w:r>
      <w:r>
        <w:br/>
        <w:t>K_{F,n}.</w:t>
      </w:r>
      <w:r>
        <w:br/>
        <w:t>\tag{3.14399}</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\forall n\quad\exists K_{F,n+1}:K_{F,n+1}\prec_{\mathrm{cpl}}K_{F,n}</w:t>
      </w:r>
    </w:p>
    <w:p w:rsidR="00257957" w:rsidRDefault="00257957" w:rsidP="00257957">
      <w:r>
        <w:pict>
          <v:rect id="_x0000_i6813" style="width:0;height:1.5pt" o:hralign="center" o:hrstd="t" o:hr="t" fillcolor="#a0a0a0" stroked="f"/>
        </w:pict>
      </w:r>
    </w:p>
    <w:p w:rsidR="00257957" w:rsidRDefault="00257957" w:rsidP="00257957">
      <w:pPr>
        <w:pStyle w:val="berschrift1"/>
      </w:pPr>
      <w:r>
        <w:t>3.3.54.162 Axiomentscheidung zur minimalen Kopplung</w:t>
      </w:r>
    </w:p>
    <w:p w:rsidR="00257957" w:rsidRDefault="00257957" w:rsidP="00257957">
      <w:pPr>
        <w:pStyle w:val="StandardWeb"/>
      </w:pPr>
      <w:r>
        <w:t>Damit folgt</w:t>
      </w:r>
    </w:p>
    <w:p w:rsidR="00257957" w:rsidRDefault="00257957" w:rsidP="00257957">
      <w:pPr>
        <w:pStyle w:val="berschrift1"/>
      </w:pPr>
      <w:r>
        <w:t>[</w:t>
      </w:r>
      <w:r>
        <w:br/>
        <w:t>\boxed{</w:t>
      </w:r>
      <w:r>
        <w:br/>
      </w:r>
      <w:r>
        <w:lastRenderedPageBreak/>
        <w:t>U_{\mathrm{Ax}}</w:t>
      </w:r>
      <w:r>
        <w:br/>
        <w:t>(A_{\mathrm{cpl-min}})</w:t>
      </w:r>
    </w:p>
    <w:p w:rsidR="00257957" w:rsidRDefault="00257957" w:rsidP="009F7790">
      <w:pPr>
        <w:numPr>
          <w:ilvl w:val="0"/>
          <w:numId w:val="816"/>
        </w:numPr>
        <w:spacing w:before="100" w:beforeAutospacing="1" w:after="100" w:afterAutospacing="1"/>
      </w:pPr>
    </w:p>
    <w:p w:rsidR="00257957" w:rsidRDefault="00257957" w:rsidP="00257957">
      <w:pPr>
        <w:pStyle w:val="StandardWeb"/>
      </w:pPr>
      <w:r>
        <w:t>}</w:t>
      </w:r>
      <w:r>
        <w:br/>
        <w:t>\tag{3.14400}</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\boxed{U_{\mathrm{Ax}}(A_{\mathrm{cpl-min}})=0.}</w:t>
      </w:r>
    </w:p>
    <w:p w:rsidR="00257957" w:rsidRDefault="00257957" w:rsidP="00257957">
      <w:r>
        <w:pict>
          <v:rect id="_x0000_i6814" style="width:0;height:1.5pt" o:hralign="center" o:hrstd="t" o:hr="t" fillcolor="#a0a0a0" stroked="f"/>
        </w:pict>
      </w:r>
    </w:p>
    <w:p w:rsidR="00257957" w:rsidRDefault="00257957" w:rsidP="00257957">
      <w:pPr>
        <w:pStyle w:val="berschrift1"/>
      </w:pPr>
      <w:r>
        <w:t>3.3.54.163 Satz 3.3.292 – Die Existenz einer minimalen Kopplung ist kein Primäraxiom</w:t>
      </w:r>
    </w:p>
    <w:p w:rsidR="00257957" w:rsidRDefault="00257957" w:rsidP="00257957">
      <w:pPr>
        <w:pStyle w:val="berschrift3"/>
      </w:pPr>
      <w:r>
        <w:t>Satz 3.3.292</w:t>
      </w:r>
    </w:p>
    <w:p w:rsidR="00257957" w:rsidRDefault="00257957" w:rsidP="00257957">
      <w:pPr>
        <w:pStyle w:val="StandardWeb"/>
      </w:pPr>
      <w:r>
        <w:t>Die Forderung, jede zulässige Menge funktionaler Kopplungsstrukturen müsse bezüglich einer Kopplungsordnung ein minimales Element besitzen, ist keine universell notwendige Voraussetzung des allgemeinen FRZK.</w:t>
      </w:r>
    </w:p>
    <w:p w:rsidR="00257957" w:rsidRDefault="00257957" w:rsidP="00257957">
      <w:pPr>
        <w:pStyle w:val="berschrift1"/>
      </w:pPr>
      <w:r>
        <w:t>[</w:t>
      </w:r>
      <w:r>
        <w:br/>
        <w:t>\boxed{</w:t>
      </w:r>
      <w:r>
        <w:br/>
        <w:t>U_{\mathrm{Ax}}</w:t>
      </w:r>
      <w:r>
        <w:br/>
        <w:t>(A_{\mathrm{cpl-min}})</w:t>
      </w:r>
    </w:p>
    <w:p w:rsidR="00257957" w:rsidRDefault="00257957" w:rsidP="009F7790">
      <w:pPr>
        <w:numPr>
          <w:ilvl w:val="0"/>
          <w:numId w:val="817"/>
        </w:numPr>
        <w:spacing w:before="100" w:beforeAutospacing="1" w:after="100" w:afterAutospacing="1"/>
      </w:pPr>
    </w:p>
    <w:p w:rsidR="00257957" w:rsidRDefault="00257957" w:rsidP="00257957">
      <w:pPr>
        <w:pStyle w:val="StandardWeb"/>
      </w:pPr>
      <w:r>
        <w:t>}</w:t>
      </w:r>
      <w:r>
        <w:br/>
        <w:t>\tag{3.14401}</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\boxed{U_{\mathrm{Ax}}(A_{\mathrm{cpl-min}})=0.}</w:t>
      </w:r>
    </w:p>
    <w:p w:rsidR="00257957" w:rsidRDefault="00257957" w:rsidP="00257957">
      <w:r>
        <w:pict>
          <v:rect id="_x0000_i6815" style="width:0;height:1.5pt" o:hralign="center" o:hrstd="t" o:hr="t" fillcolor="#a0a0a0" stroked="f"/>
        </w:pict>
      </w:r>
    </w:p>
    <w:p w:rsidR="00257957" w:rsidRDefault="00257957" w:rsidP="00257957">
      <w:pPr>
        <w:pStyle w:val="berschrift1"/>
      </w:pPr>
      <w:r>
        <w:t>3.3.54.164 Maximale funktionale Kopplung</w:t>
      </w:r>
    </w:p>
    <w:p w:rsidR="00257957" w:rsidRDefault="00257957" w:rsidP="00257957">
      <w:pPr>
        <w:pStyle w:val="StandardWeb"/>
      </w:pPr>
      <w:r>
        <w:t>Analog kann eine maximale Kopplungsstruktur definiert werden:</w:t>
      </w:r>
    </w:p>
    <w:p w:rsidR="00257957" w:rsidRDefault="00257957" w:rsidP="00257957">
      <w:pPr>
        <w:pStyle w:val="StandardWeb"/>
      </w:pPr>
      <w:r>
        <w:t>[</w:t>
      </w:r>
      <w:r>
        <w:br/>
        <w:t>K_F</w:t>
      </w:r>
      <w:r>
        <w:br/>
      </w:r>
      <w:r>
        <w:lastRenderedPageBreak/>
        <w:t>\preceq_{\mathrm{cpl}}</w:t>
      </w:r>
      <w:r>
        <w:br/>
        <w:t>K_F^{\max}</w:t>
      </w:r>
      <w:r>
        <w:br/>
        <w:t>\qquad</w:t>
      </w:r>
      <w:r>
        <w:br/>
        <w:t>\forall K_F\in\mathcal K_F.</w:t>
      </w:r>
      <w:r>
        <w:br/>
        <w:t>\tag{3.14402}</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K_F\preceq_{\mathrm{cpl}}K_F^{\max}\qquad\forall K_F\in\mathcal K_F</w:t>
      </w:r>
    </w:p>
    <w:p w:rsidR="00257957" w:rsidRDefault="00257957" w:rsidP="00257957">
      <w:r>
        <w:pict>
          <v:rect id="_x0000_i6816" style="width:0;height:1.5pt" o:hralign="center" o:hrstd="t" o:hr="t" fillcolor="#a0a0a0" stroked="f"/>
        </w:pict>
      </w:r>
    </w:p>
    <w:p w:rsidR="00257957" w:rsidRDefault="00257957" w:rsidP="00257957">
      <w:pPr>
        <w:pStyle w:val="berschrift2"/>
      </w:pPr>
      <w:r>
        <w:t>3.3.54.165 Definition 3.3.706 – Maximale funktionale Kopplung</w:t>
      </w:r>
    </w:p>
    <w:p w:rsidR="00257957" w:rsidRDefault="00257957" w:rsidP="00257957">
      <w:pPr>
        <w:pStyle w:val="berschrift3"/>
      </w:pPr>
      <w:r>
        <w:t>Definition 3.3.706</w:t>
      </w:r>
    </w:p>
    <w:p w:rsidR="00257957" w:rsidRDefault="00257957" w:rsidP="00257957">
      <w:pPr>
        <w:pStyle w:val="StandardWeb"/>
      </w:pPr>
      <w:r>
        <w:t xml:space="preserve">Eine Kopplungsstruktur (K_F^{\max}) heißt </w:t>
      </w:r>
      <w:r>
        <w:rPr>
          <w:rStyle w:val="Fett"/>
        </w:rPr>
        <w:t>maximal bezüglich (\preceq_{\mathrm{cpl}})</w:t>
      </w:r>
      <w:r>
        <w:t>, wenn</w:t>
      </w:r>
    </w:p>
    <w:p w:rsidR="00257957" w:rsidRDefault="00257957" w:rsidP="00257957">
      <w:pPr>
        <w:pStyle w:val="StandardWeb"/>
      </w:pPr>
      <w:r>
        <w:t>[</w:t>
      </w:r>
      <w:r>
        <w:br/>
        <w:t>\boxed{</w:t>
      </w:r>
      <w:r>
        <w:br/>
        <w:t>K_F</w:t>
      </w:r>
      <w:r>
        <w:br/>
        <w:t>\preceq_{\mathrm{cpl}}</w:t>
      </w:r>
      <w:r>
        <w:br/>
        <w:t>K_F^{\max}</w:t>
      </w:r>
      <w:r>
        <w:br/>
        <w:t>\qquad</w:t>
      </w:r>
      <w:r>
        <w:br/>
        <w:t>\forall K_F\in\mathcal K_F.</w:t>
      </w:r>
      <w:r>
        <w:br/>
        <w:t>}</w:t>
      </w:r>
      <w:r>
        <w:br/>
        <w:t>\tag{3.14403}</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\boxed{K_F\preceq_{\mathrm{cpl}}K_F^{\max}\qquad\forall K_F\in\mathcal K_F.}</w:t>
      </w:r>
    </w:p>
    <w:p w:rsidR="00257957" w:rsidRDefault="00257957" w:rsidP="00257957">
      <w:r>
        <w:pict>
          <v:rect id="_x0000_i6817" style="width:0;height:1.5pt" o:hralign="center" o:hrstd="t" o:hr="t" fillcolor="#a0a0a0" stroked="f"/>
        </w:pict>
      </w:r>
    </w:p>
    <w:p w:rsidR="00257957" w:rsidRDefault="00257957" w:rsidP="00257957">
      <w:pPr>
        <w:pStyle w:val="berschrift1"/>
      </w:pPr>
      <w:r>
        <w:t>3.3.54.166 Existenz einer maximalen Kopplung als Primäraxiomkandidat</w:t>
      </w:r>
    </w:p>
    <w:p w:rsidR="00257957" w:rsidRDefault="00257957" w:rsidP="00257957">
      <w:pPr>
        <w:pStyle w:val="StandardWeb"/>
      </w:pPr>
      <w:r>
        <w:t>Ich prüfe</w:t>
      </w:r>
    </w:p>
    <w:p w:rsidR="00257957" w:rsidRDefault="00257957" w:rsidP="00257957">
      <w:pPr>
        <w:pStyle w:val="StandardWeb"/>
      </w:pPr>
      <w:r>
        <w:t>[</w:t>
      </w:r>
      <w:r>
        <w:br/>
        <w:t>A_{\mathrm{cpl-max}}</w:t>
      </w:r>
      <w:r>
        <w:br/>
        <w:t>:</w:t>
      </w:r>
      <w:r>
        <w:br/>
        <w:t>\exists K_F^{\max}.</w:t>
      </w:r>
      <w:r>
        <w:br/>
        <w:t>\tag{3.14404}</w:t>
      </w:r>
      <w:r>
        <w:br/>
        <w:t>]</w:t>
      </w:r>
    </w:p>
    <w:p w:rsidR="00257957" w:rsidRDefault="00257957" w:rsidP="00257957">
      <w:pPr>
        <w:pStyle w:val="StandardWeb"/>
      </w:pPr>
      <w:r>
        <w:rPr>
          <w:rStyle w:val="Fett"/>
        </w:rPr>
        <w:lastRenderedPageBreak/>
        <w:t>Word-LaTeX</w:t>
      </w:r>
    </w:p>
    <w:p w:rsidR="00257957" w:rsidRDefault="00257957" w:rsidP="00257957">
      <w:pPr>
        <w:pStyle w:val="HTMLVorformatiert"/>
        <w:rPr>
          <w:rStyle w:val="HTMLCode"/>
        </w:rPr>
      </w:pPr>
      <w:r>
        <w:rPr>
          <w:rStyle w:val="HTMLCode"/>
        </w:rPr>
        <w:t>A_{\mathrm{cpl-max}}:\exists K_F^{\max}</w:t>
      </w:r>
    </w:p>
    <w:p w:rsidR="00257957" w:rsidRDefault="00257957" w:rsidP="00257957">
      <w:r>
        <w:pict>
          <v:rect id="_x0000_i6818" style="width:0;height:1.5pt" o:hralign="center" o:hrstd="t" o:hr="t" fillcolor="#a0a0a0" stroked="f"/>
        </w:pict>
      </w:r>
    </w:p>
    <w:p w:rsidR="00257957" w:rsidRDefault="00257957" w:rsidP="00257957">
      <w:pPr>
        <w:pStyle w:val="berschrift1"/>
      </w:pPr>
      <w:r>
        <w:t>3.3.54.167 Gegenmodell ohne maximale Kopplung</w:t>
      </w:r>
    </w:p>
    <w:p w:rsidR="00257957" w:rsidRDefault="00257957" w:rsidP="00257957">
      <w:pPr>
        <w:pStyle w:val="StandardWeb"/>
      </w:pPr>
      <w:r>
        <w:t>Eine Kopplungsordnung kann eine streng aufsteigende Folge besitzen:</w:t>
      </w:r>
    </w:p>
    <w:p w:rsidR="00257957" w:rsidRDefault="00257957" w:rsidP="00257957">
      <w:pPr>
        <w:pStyle w:val="StandardWeb"/>
      </w:pPr>
      <w:r>
        <w:t>[</w:t>
      </w:r>
      <w:r>
        <w:br/>
        <w:t>K_{F,1}</w:t>
      </w:r>
      <w:r>
        <w:br/>
        <w:t>\prec_{\mathrm{cpl}}</w:t>
      </w:r>
      <w:r>
        <w:br/>
        <w:t>K_{F,2}</w:t>
      </w:r>
      <w:r>
        <w:br/>
        <w:t>\prec_{\mathrm{cpl}}</w:t>
      </w:r>
      <w:r>
        <w:br/>
        <w:t>K_{F,3}</w:t>
      </w:r>
      <w:r>
        <w:br/>
        <w:t>\prec_{\mathrm{cpl}}</w:t>
      </w:r>
      <w:r>
        <w:br/>
        <w:t>\cdots.</w:t>
      </w:r>
      <w:r>
        <w:br/>
        <w:t>\tag{3.14405}</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K_{F,1}\prec_{\mathrm{cpl}}K_{F,2}\prec_{\mathrm{cpl}}K_{F,3}\prec_{\mathrm{cpl}}\cdots</w:t>
      </w:r>
    </w:p>
    <w:p w:rsidR="00257957" w:rsidRDefault="00257957" w:rsidP="00257957">
      <w:pPr>
        <w:pStyle w:val="StandardWeb"/>
      </w:pPr>
      <w:r>
        <w:t>Damit existiert nicht notwendig ein maximales Element.</w:t>
      </w:r>
    </w:p>
    <w:p w:rsidR="00257957" w:rsidRDefault="00257957" w:rsidP="00257957">
      <w:r>
        <w:pict>
          <v:rect id="_x0000_i6819" style="width:0;height:1.5pt" o:hralign="center" o:hrstd="t" o:hr="t" fillcolor="#a0a0a0" stroked="f"/>
        </w:pict>
      </w:r>
    </w:p>
    <w:p w:rsidR="00257957" w:rsidRDefault="00257957" w:rsidP="00257957">
      <w:pPr>
        <w:pStyle w:val="berschrift1"/>
      </w:pPr>
      <w:r>
        <w:t>3.3.54.168 Axiomentscheidung zur maximalen Kopplung</w:t>
      </w:r>
    </w:p>
    <w:p w:rsidR="00257957" w:rsidRDefault="00257957" w:rsidP="00257957">
      <w:pPr>
        <w:pStyle w:val="StandardWeb"/>
      </w:pPr>
      <w:r>
        <w:t>Es folgt</w:t>
      </w:r>
    </w:p>
    <w:p w:rsidR="00257957" w:rsidRDefault="00257957" w:rsidP="00257957">
      <w:pPr>
        <w:pStyle w:val="berschrift1"/>
      </w:pPr>
      <w:r>
        <w:t>[</w:t>
      </w:r>
      <w:r>
        <w:br/>
        <w:t>\boxed{</w:t>
      </w:r>
      <w:r>
        <w:br/>
        <w:t>U_{\mathrm{Ax}}</w:t>
      </w:r>
      <w:r>
        <w:br/>
        <w:t>(A_{\mathrm{cpl-max}})</w:t>
      </w:r>
    </w:p>
    <w:p w:rsidR="00257957" w:rsidRDefault="00257957" w:rsidP="009F7790">
      <w:pPr>
        <w:numPr>
          <w:ilvl w:val="0"/>
          <w:numId w:val="818"/>
        </w:numPr>
        <w:spacing w:before="100" w:beforeAutospacing="1" w:after="100" w:afterAutospacing="1"/>
      </w:pPr>
    </w:p>
    <w:p w:rsidR="00257957" w:rsidRDefault="00257957" w:rsidP="00257957">
      <w:pPr>
        <w:pStyle w:val="StandardWeb"/>
      </w:pPr>
      <w:r>
        <w:t>}</w:t>
      </w:r>
      <w:r>
        <w:br/>
        <w:t>\tag{3.14406}</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lastRenderedPageBreak/>
        <w:t>\boxed{U_{\mathrm{Ax}}(A_{\mathrm{cpl-max}})=0.}</w:t>
      </w:r>
    </w:p>
    <w:p w:rsidR="00257957" w:rsidRDefault="00257957" w:rsidP="00257957">
      <w:r>
        <w:pict>
          <v:rect id="_x0000_i6820" style="width:0;height:1.5pt" o:hralign="center" o:hrstd="t" o:hr="t" fillcolor="#a0a0a0" stroked="f"/>
        </w:pict>
      </w:r>
    </w:p>
    <w:p w:rsidR="00257957" w:rsidRDefault="00257957" w:rsidP="00257957">
      <w:pPr>
        <w:pStyle w:val="berschrift1"/>
      </w:pPr>
      <w:r>
        <w:t>3.3.54.169 Satz 3.3.293 – Die Existenz einer maximalen Kopplung ist kein Primäraxiom</w:t>
      </w:r>
    </w:p>
    <w:p w:rsidR="00257957" w:rsidRDefault="00257957" w:rsidP="00257957">
      <w:pPr>
        <w:pStyle w:val="berschrift3"/>
      </w:pPr>
      <w:r>
        <w:t>Satz 3.3.293</w:t>
      </w:r>
    </w:p>
    <w:p w:rsidR="00257957" w:rsidRDefault="00257957" w:rsidP="00257957">
      <w:pPr>
        <w:pStyle w:val="StandardWeb"/>
      </w:pPr>
      <w:r>
        <w:t>Die Forderung, jede zulässige Menge funktionaler Kopplungsstrukturen müsse bezüglich einer Kopplungsordnung ein maximales Element besitzen, ist keine universell notwendige Voraussetzung des allgemeinen FRZK.</w:t>
      </w:r>
    </w:p>
    <w:p w:rsidR="00257957" w:rsidRDefault="00257957" w:rsidP="00257957">
      <w:pPr>
        <w:pStyle w:val="berschrift1"/>
      </w:pPr>
      <w:r>
        <w:t>[</w:t>
      </w:r>
      <w:r>
        <w:br/>
        <w:t>\boxed{</w:t>
      </w:r>
      <w:r>
        <w:br/>
        <w:t>U_{\mathrm{Ax}}</w:t>
      </w:r>
      <w:r>
        <w:br/>
        <w:t>(A_{\mathrm{cpl-max}})</w:t>
      </w:r>
    </w:p>
    <w:p w:rsidR="00257957" w:rsidRDefault="00257957" w:rsidP="009F7790">
      <w:pPr>
        <w:numPr>
          <w:ilvl w:val="0"/>
          <w:numId w:val="819"/>
        </w:numPr>
        <w:spacing w:before="100" w:beforeAutospacing="1" w:after="100" w:afterAutospacing="1"/>
      </w:pPr>
    </w:p>
    <w:p w:rsidR="00257957" w:rsidRDefault="00257957" w:rsidP="00257957">
      <w:pPr>
        <w:pStyle w:val="StandardWeb"/>
      </w:pPr>
      <w:r>
        <w:t>}</w:t>
      </w:r>
      <w:r>
        <w:br/>
        <w:t>\tag{3.14407}</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\boxed{U_{\mathrm{Ax}}(A_{\mathrm{cpl-max}})=0.}</w:t>
      </w:r>
    </w:p>
    <w:p w:rsidR="00257957" w:rsidRDefault="00257957" w:rsidP="00257957">
      <w:r>
        <w:pict>
          <v:rect id="_x0000_i6821" style="width:0;height:1.5pt" o:hralign="center" o:hrstd="t" o:hr="t" fillcolor="#a0a0a0" stroked="f"/>
        </w:pict>
      </w:r>
    </w:p>
    <w:p w:rsidR="00257957" w:rsidRDefault="00257957" w:rsidP="00257957">
      <w:pPr>
        <w:pStyle w:val="berschrift1"/>
      </w:pPr>
      <w:r>
        <w:t>3.3.54.170 Korollar 3.3.89 – Extremale Kopplungsstrukturen sind modellabhängig</w:t>
      </w:r>
    </w:p>
    <w:p w:rsidR="00257957" w:rsidRDefault="00257957" w:rsidP="00257957">
      <w:pPr>
        <w:pStyle w:val="berschrift3"/>
      </w:pPr>
      <w:r>
        <w:t>Korollar 3.3.89</w:t>
      </w:r>
    </w:p>
    <w:p w:rsidR="00257957" w:rsidRDefault="00257957" w:rsidP="00257957">
      <w:pPr>
        <w:pStyle w:val="StandardWeb"/>
      </w:pPr>
      <w:r>
        <w:t>Aus den Sätzen 3.3.292 und 3.3.293 folgt</w:t>
      </w:r>
    </w:p>
    <w:p w:rsidR="00257957" w:rsidRDefault="00257957" w:rsidP="00257957">
      <w:pPr>
        <w:pStyle w:val="berschrift1"/>
      </w:pPr>
      <w:r>
        <w:t>[</w:t>
      </w:r>
      <w:r>
        <w:br/>
        <w:t>\boxed{</w:t>
      </w:r>
      <w:r>
        <w:br/>
        <w:t>\operatorname{Stat}</w:t>
      </w:r>
      <w:r>
        <w:br/>
        <w:t>(K_F^\star,K_F^{\max})</w:t>
      </w:r>
    </w:p>
    <w:p w:rsidR="00257957" w:rsidRDefault="00257957" w:rsidP="00257957">
      <w:pPr>
        <w:pStyle w:val="StandardWeb"/>
      </w:pPr>
      <w:r>
        <w:t>\mathrm{Def/Mod/Op}.</w:t>
      </w:r>
      <w:r>
        <w:br/>
        <w:t>}</w:t>
      </w:r>
      <w:r>
        <w:br/>
      </w:r>
      <w:r>
        <w:lastRenderedPageBreak/>
        <w:t>\tag{3.14408}</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\boxed{\operatorname{Stat}(K_F^\star,K_F^{\max})=\mathrm{Def/Mod/Op}.}</w:t>
      </w:r>
    </w:p>
    <w:p w:rsidR="00257957" w:rsidRDefault="00257957" w:rsidP="00257957">
      <w:r>
        <w:pict>
          <v:rect id="_x0000_i6822" style="width:0;height:1.5pt" o:hralign="center" o:hrstd="t" o:hr="t" fillcolor="#a0a0a0" stroked="f"/>
        </w:pict>
      </w:r>
    </w:p>
    <w:p w:rsidR="00257957" w:rsidRDefault="00257957" w:rsidP="00257957">
      <w:pPr>
        <w:pStyle w:val="berschrift1"/>
      </w:pPr>
      <w:r>
        <w:t>3.3.54.171 Iterierte Kopplungsänderung</w:t>
      </w:r>
    </w:p>
    <w:p w:rsidR="00257957" w:rsidRDefault="00257957" w:rsidP="00257957">
      <w:pPr>
        <w:pStyle w:val="StandardWeb"/>
      </w:pPr>
      <w:r>
        <w:t>Eine Kopplungsstruktur kann durch wiederholte Kopplungsoperationen verändert werden.</w:t>
      </w:r>
    </w:p>
    <w:p w:rsidR="00257957" w:rsidRDefault="00257957" w:rsidP="00257957">
      <w:pPr>
        <w:pStyle w:val="StandardWeb"/>
      </w:pPr>
      <w:r>
        <w:t>Ich schreibe</w:t>
      </w:r>
    </w:p>
    <w:p w:rsidR="00257957" w:rsidRDefault="00257957" w:rsidP="00257957">
      <w:pPr>
        <w:pStyle w:val="StandardWeb"/>
      </w:pPr>
      <w:r>
        <w:t>[</w:t>
      </w:r>
      <w:r>
        <w:br/>
        <w:t>\mathcal C_F^{,n}(K_F)</w:t>
      </w:r>
      <w:r>
        <w:br/>
        <w:t>\tag{3.14409}</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\mathcal C_F^{\,n}(K_F)</w:t>
      </w:r>
    </w:p>
    <w:p w:rsidR="00257957" w:rsidRDefault="00257957" w:rsidP="00257957">
      <w:pPr>
        <w:pStyle w:val="StandardWeb"/>
      </w:pPr>
      <w:r>
        <w:t>für die (n)-fache Anwendung einer Kopplungsänderungsoperation (\mathcal C_F).</w:t>
      </w:r>
    </w:p>
    <w:p w:rsidR="00257957" w:rsidRDefault="00257957" w:rsidP="00257957">
      <w:r>
        <w:pict>
          <v:rect id="_x0000_i6823" style="width:0;height:1.5pt" o:hralign="center" o:hrstd="t" o:hr="t" fillcolor="#a0a0a0" stroked="f"/>
        </w:pict>
      </w:r>
    </w:p>
    <w:p w:rsidR="00257957" w:rsidRDefault="00257957" w:rsidP="00257957">
      <w:pPr>
        <w:pStyle w:val="berschrift2"/>
      </w:pPr>
      <w:r>
        <w:t>3.3.54.172 Definition 3.3.707 – Funktionale Kopplungsiteration</w:t>
      </w:r>
    </w:p>
    <w:p w:rsidR="00257957" w:rsidRDefault="00257957" w:rsidP="00257957">
      <w:pPr>
        <w:pStyle w:val="berschrift3"/>
      </w:pPr>
      <w:r>
        <w:t>Definition 3.3.707</w:t>
      </w:r>
    </w:p>
    <w:p w:rsidR="00257957" w:rsidRDefault="00257957" w:rsidP="00257957">
      <w:pPr>
        <w:pStyle w:val="StandardWeb"/>
      </w:pPr>
      <w:r>
        <w:t xml:space="preserve">Eine </w:t>
      </w:r>
      <w:r>
        <w:rPr>
          <w:rStyle w:val="Fett"/>
        </w:rPr>
        <w:t>funktionale Kopplungsiteration</w:t>
      </w:r>
      <w:r>
        <w:t xml:space="preserve"> ist rekursiv definiert durch</w:t>
      </w:r>
    </w:p>
    <w:p w:rsidR="00257957" w:rsidRDefault="00257957" w:rsidP="00257957">
      <w:pPr>
        <w:pStyle w:val="berschrift1"/>
      </w:pPr>
      <w:r>
        <w:t>[</w:t>
      </w:r>
      <w:r>
        <w:br/>
        <w:t>\boxed{</w:t>
      </w:r>
      <w:r>
        <w:br/>
        <w:t>\mathcal C_F^{,0}</w:t>
      </w:r>
    </w:p>
    <w:p w:rsidR="00257957" w:rsidRDefault="00257957" w:rsidP="00257957">
      <w:pPr>
        <w:pStyle w:val="berschrift1"/>
      </w:pPr>
      <w:r>
        <w:t>\operatorname{id},</w:t>
      </w:r>
      <w:r>
        <w:br/>
        <w:t>\qquad</w:t>
      </w:r>
      <w:r>
        <w:br/>
        <w:t>\mathcal C_F^{,n+1}</w:t>
      </w:r>
    </w:p>
    <w:p w:rsidR="00257957" w:rsidRDefault="00257957" w:rsidP="00257957">
      <w:pPr>
        <w:pStyle w:val="StandardWeb"/>
      </w:pPr>
      <w:r>
        <w:t>\mathcal C_F</w:t>
      </w:r>
      <w:r>
        <w:br/>
        <w:t>\circ</w:t>
      </w:r>
      <w:r>
        <w:br/>
        <w:t>\mathcal C_F^{,n}.</w:t>
      </w:r>
      <w:r>
        <w:br/>
        <w:t>}</w:t>
      </w:r>
      <w:r>
        <w:br/>
      </w:r>
      <w:r>
        <w:lastRenderedPageBreak/>
        <w:t>\tag{3.14410}</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\boxed{\mathcal C_F^{\,0}=\operatorname{id},\qquad\mathcal C_F^{\,n+1}=\mathcal C_F\circ\mathcal C_F^{\,n}.}</w:t>
      </w:r>
    </w:p>
    <w:p w:rsidR="00257957" w:rsidRDefault="00257957" w:rsidP="00257957">
      <w:r>
        <w:pict>
          <v:rect id="_x0000_i6824" style="width:0;height:1.5pt" o:hralign="center" o:hrstd="t" o:hr="t" fillcolor="#a0a0a0" stroked="f"/>
        </w:pict>
      </w:r>
    </w:p>
    <w:p w:rsidR="00257957" w:rsidRDefault="00257957" w:rsidP="00257957">
      <w:pPr>
        <w:pStyle w:val="berschrift1"/>
      </w:pPr>
      <w:r>
        <w:t>3.3.54.173 Kopplungsfixpunkt</w:t>
      </w:r>
    </w:p>
    <w:p w:rsidR="00257957" w:rsidRDefault="00257957" w:rsidP="00257957">
      <w:pPr>
        <w:pStyle w:val="StandardWeb"/>
      </w:pPr>
      <w:r>
        <w:t>Eine Kopplungsstruktur (K_F^\dagger) kann unter der Kopplungsänderung unverändert bleiben:</w:t>
      </w:r>
    </w:p>
    <w:p w:rsidR="00257957" w:rsidRDefault="00257957" w:rsidP="00257957">
      <w:pPr>
        <w:pStyle w:val="berschrift1"/>
      </w:pPr>
      <w:r>
        <w:t>[</w:t>
      </w:r>
      <w:r>
        <w:br/>
        <w:t>\mathcal C_F(K_F^\dagger)</w:t>
      </w:r>
    </w:p>
    <w:p w:rsidR="00257957" w:rsidRDefault="00257957" w:rsidP="00257957">
      <w:pPr>
        <w:pStyle w:val="StandardWeb"/>
      </w:pPr>
      <w:r>
        <w:t>K_F^\dagger.</w:t>
      </w:r>
      <w:r>
        <w:br/>
        <w:t>\tag{3.14411}</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\mathcal C_F(K_F^\dagger)=K_F^\dagger</w:t>
      </w:r>
    </w:p>
    <w:p w:rsidR="00257957" w:rsidRDefault="00257957" w:rsidP="00257957">
      <w:r>
        <w:pict>
          <v:rect id="_x0000_i6825" style="width:0;height:1.5pt" o:hralign="center" o:hrstd="t" o:hr="t" fillcolor="#a0a0a0" stroked="f"/>
        </w:pict>
      </w:r>
    </w:p>
    <w:p w:rsidR="00257957" w:rsidRDefault="00257957" w:rsidP="00257957">
      <w:pPr>
        <w:pStyle w:val="berschrift2"/>
      </w:pPr>
      <w:r>
        <w:t>3.3.54.174 Definition 3.3.708 – Funktionaler Kopplungsfixpunkt</w:t>
      </w:r>
    </w:p>
    <w:p w:rsidR="00257957" w:rsidRDefault="00257957" w:rsidP="00257957">
      <w:pPr>
        <w:pStyle w:val="berschrift3"/>
      </w:pPr>
      <w:r>
        <w:t>Definition 3.3.708</w:t>
      </w:r>
    </w:p>
    <w:p w:rsidR="00257957" w:rsidRDefault="00257957" w:rsidP="00257957">
      <w:pPr>
        <w:pStyle w:val="StandardWeb"/>
      </w:pPr>
      <w:r>
        <w:t xml:space="preserve">Eine Kopplungsstruktur (K_F^\dagger) heißt </w:t>
      </w:r>
      <w:r>
        <w:rPr>
          <w:rStyle w:val="Fett"/>
        </w:rPr>
        <w:t>funktionaler Kopplungsfixpunkt</w:t>
      </w:r>
      <w:r>
        <w:t>, wenn</w:t>
      </w:r>
    </w:p>
    <w:p w:rsidR="00257957" w:rsidRDefault="00257957" w:rsidP="00257957">
      <w:pPr>
        <w:pStyle w:val="berschrift1"/>
      </w:pPr>
      <w:r>
        <w:t>[</w:t>
      </w:r>
      <w:r>
        <w:br/>
        <w:t>\boxed{</w:t>
      </w:r>
      <w:r>
        <w:br/>
        <w:t>\mathcal C_F(K_F^\dagger)</w:t>
      </w:r>
    </w:p>
    <w:p w:rsidR="00257957" w:rsidRDefault="00257957" w:rsidP="00257957">
      <w:pPr>
        <w:pStyle w:val="StandardWeb"/>
      </w:pPr>
      <w:r>
        <w:t>K_F^\dagger.</w:t>
      </w:r>
      <w:r>
        <w:br/>
        <w:t>}</w:t>
      </w:r>
      <w:r>
        <w:br/>
        <w:t>\tag{3.14412}</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\boxed{\mathcal C_F(K_F^\dagger)=K_F^\dagger.}</w:t>
      </w:r>
    </w:p>
    <w:p w:rsidR="00257957" w:rsidRDefault="00257957" w:rsidP="00257957">
      <w:r>
        <w:pict>
          <v:rect id="_x0000_i6826" style="width:0;height:1.5pt" o:hralign="center" o:hrstd="t" o:hr="t" fillcolor="#a0a0a0" stroked="f"/>
        </w:pict>
      </w:r>
    </w:p>
    <w:p w:rsidR="00257957" w:rsidRDefault="00257957" w:rsidP="00257957">
      <w:pPr>
        <w:pStyle w:val="berschrift1"/>
      </w:pPr>
      <w:r>
        <w:lastRenderedPageBreak/>
        <w:t>3.3.54.175 Endliche Stabilisierung einer Kopplungsstruktur</w:t>
      </w:r>
    </w:p>
    <w:p w:rsidR="00257957" w:rsidRDefault="00257957" w:rsidP="00257957">
      <w:pPr>
        <w:pStyle w:val="StandardWeb"/>
      </w:pPr>
      <w:r>
        <w:t>Eine Kopplungsstruktur kann nach endlich vielen Änderungen stabil werden:</w:t>
      </w:r>
    </w:p>
    <w:p w:rsidR="00257957" w:rsidRDefault="00257957" w:rsidP="00257957">
      <w:pPr>
        <w:pStyle w:val="berschrift1"/>
      </w:pPr>
      <w:r>
        <w:t>[</w:t>
      </w:r>
      <w:r>
        <w:br/>
        <w:t>\exists n^\star\in\mathbb N_0</w:t>
      </w:r>
      <w:r>
        <w:br/>
        <w:t>:</w:t>
      </w:r>
      <w:r>
        <w:br/>
        <w:t>\mathcal C_F^{,n^\star+1}(K_F)</w:t>
      </w:r>
    </w:p>
    <w:p w:rsidR="00257957" w:rsidRDefault="00257957" w:rsidP="00257957">
      <w:pPr>
        <w:pStyle w:val="StandardWeb"/>
      </w:pPr>
      <w:r>
        <w:t>\mathcal C_F^{,n^\star}(K_F).</w:t>
      </w:r>
      <w:r>
        <w:br/>
        <w:t>\tag{3.14413}</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\exists n^\star\in\mathbb N_0:\mathcal C_F^{\,n^\star+1}(K_F)=\mathcal C_F^{\,n^\star}(K_F)</w:t>
      </w:r>
    </w:p>
    <w:p w:rsidR="00257957" w:rsidRDefault="00257957" w:rsidP="00257957">
      <w:r>
        <w:pict>
          <v:rect id="_x0000_i6827" style="width:0;height:1.5pt" o:hralign="center" o:hrstd="t" o:hr="t" fillcolor="#a0a0a0" stroked="f"/>
        </w:pict>
      </w:r>
    </w:p>
    <w:p w:rsidR="00257957" w:rsidRDefault="00257957" w:rsidP="00257957">
      <w:pPr>
        <w:pStyle w:val="berschrift2"/>
      </w:pPr>
      <w:r>
        <w:t>3.3.54.176 Definition 3.3.709 – Endlich stabilisierende Kopplungsstruktur</w:t>
      </w:r>
    </w:p>
    <w:p w:rsidR="00257957" w:rsidRDefault="00257957" w:rsidP="00257957">
      <w:pPr>
        <w:pStyle w:val="berschrift3"/>
      </w:pPr>
      <w:r>
        <w:t>Definition 3.3.709</w:t>
      </w:r>
    </w:p>
    <w:p w:rsidR="00257957" w:rsidRDefault="00257957" w:rsidP="00257957">
      <w:pPr>
        <w:pStyle w:val="StandardWeb"/>
      </w:pPr>
      <w:r>
        <w:t xml:space="preserve">Eine Kopplungsiteration heißt </w:t>
      </w:r>
      <w:r>
        <w:rPr>
          <w:rStyle w:val="Fett"/>
        </w:rPr>
        <w:t>endlich stabilisierend</w:t>
      </w:r>
      <w:r>
        <w:t>, wenn</w:t>
      </w:r>
    </w:p>
    <w:p w:rsidR="00257957" w:rsidRDefault="00257957" w:rsidP="00257957">
      <w:pPr>
        <w:pStyle w:val="berschrift1"/>
      </w:pPr>
      <w:r>
        <w:t>[</w:t>
      </w:r>
      <w:r>
        <w:br/>
        <w:t>\boxed{</w:t>
      </w:r>
      <w:r>
        <w:br/>
        <w:t>\exists n^\star\in\mathbb N_0:</w:t>
      </w:r>
      <w:r>
        <w:br/>
        <w:t>\mathcal C_F^{,n^\star+1}(K_F)</w:t>
      </w:r>
    </w:p>
    <w:p w:rsidR="00257957" w:rsidRDefault="00257957" w:rsidP="00257957">
      <w:pPr>
        <w:pStyle w:val="StandardWeb"/>
      </w:pPr>
      <w:r>
        <w:t>\mathcal C_F^{,n^\star}(K_F).</w:t>
      </w:r>
      <w:r>
        <w:br/>
        <w:t>}</w:t>
      </w:r>
      <w:r>
        <w:br/>
        <w:t>\tag{3.14414}</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\boxed{\exists n^\star\in\mathbb N_0:\mathcal C_F^{\,n^\star+1}(K_F)=\mathcal C_F^{\,n^\star}(K_F).}</w:t>
      </w:r>
    </w:p>
    <w:p w:rsidR="00257957" w:rsidRDefault="00257957" w:rsidP="00257957">
      <w:r>
        <w:pict>
          <v:rect id="_x0000_i6828" style="width:0;height:1.5pt" o:hralign="center" o:hrstd="t" o:hr="t" fillcolor="#a0a0a0" stroked="f"/>
        </w:pict>
      </w:r>
    </w:p>
    <w:p w:rsidR="00257957" w:rsidRDefault="00257957" w:rsidP="00257957">
      <w:pPr>
        <w:pStyle w:val="berschrift1"/>
      </w:pPr>
      <w:r>
        <w:lastRenderedPageBreak/>
        <w:t>3.3.54.177 Nichtstabilisierende Kopplungsiteration</w:t>
      </w:r>
    </w:p>
    <w:p w:rsidR="00257957" w:rsidRDefault="00257957" w:rsidP="00257957">
      <w:pPr>
        <w:pStyle w:val="StandardWeb"/>
      </w:pPr>
      <w:r>
        <w:t>Es kann dagegen gelten</w:t>
      </w:r>
    </w:p>
    <w:p w:rsidR="00257957" w:rsidRDefault="00257957" w:rsidP="00257957">
      <w:pPr>
        <w:pStyle w:val="StandardWeb"/>
      </w:pPr>
      <w:r>
        <w:t>[</w:t>
      </w:r>
      <w:r>
        <w:br/>
        <w:t>\mathcal C_F^{,n+1}(K_F)</w:t>
      </w:r>
      <w:r>
        <w:br/>
        <w:t>\neq</w:t>
      </w:r>
      <w:r>
        <w:br/>
        <w:t>\mathcal C_F^{,n}(K_F)</w:t>
      </w:r>
      <w:r>
        <w:br/>
        <w:t>\qquad</w:t>
      </w:r>
      <w:r>
        <w:br/>
        <w:t>\forall n\in\mathbb N_0.</w:t>
      </w:r>
      <w:r>
        <w:br/>
        <w:t>\tag{3.14415}</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\mathcal C_F^{\,n+1}(K_F)\neq\mathcal C_F^{\,n}(K_F)\qquad\forall n\in\mathbb N_0</w:t>
      </w:r>
    </w:p>
    <w:p w:rsidR="00257957" w:rsidRDefault="00257957" w:rsidP="00257957">
      <w:r>
        <w:pict>
          <v:rect id="_x0000_i6829" style="width:0;height:1.5pt" o:hralign="center" o:hrstd="t" o:hr="t" fillcolor="#a0a0a0" stroked="f"/>
        </w:pict>
      </w:r>
    </w:p>
    <w:p w:rsidR="00257957" w:rsidRDefault="00257957" w:rsidP="00257957">
      <w:pPr>
        <w:pStyle w:val="berschrift1"/>
      </w:pPr>
      <w:r>
        <w:t>3.3.54.178 Endliche Kopplungsstabilisierung als Primäraxiomkandidat</w:t>
      </w:r>
    </w:p>
    <w:p w:rsidR="00257957" w:rsidRDefault="00257957" w:rsidP="00257957">
      <w:pPr>
        <w:pStyle w:val="StandardWeb"/>
      </w:pPr>
      <w:r>
        <w:t>Der Kandidat lautet</w:t>
      </w:r>
    </w:p>
    <w:p w:rsidR="00257957" w:rsidRDefault="00257957" w:rsidP="00257957">
      <w:pPr>
        <w:pStyle w:val="berschrift1"/>
      </w:pPr>
      <w:r>
        <w:t>[</w:t>
      </w:r>
      <w:r>
        <w:br/>
        <w:t>A_{\mathrm{cpl-stab}}</w:t>
      </w:r>
      <w:r>
        <w:br/>
        <w:t>:</w:t>
      </w:r>
      <w:r>
        <w:br/>
        <w:t>\forall K_F</w:t>
      </w:r>
      <w:r>
        <w:br/>
        <w:t>\quad</w:t>
      </w:r>
      <w:r>
        <w:br/>
        <w:t>\exists n^\star&lt;\infty</w:t>
      </w:r>
      <w:r>
        <w:br/>
        <w:t>:</w:t>
      </w:r>
      <w:r>
        <w:br/>
        <w:t>\mathcal C_F^{,n^\star+1}(K_F)</w:t>
      </w:r>
    </w:p>
    <w:p w:rsidR="00257957" w:rsidRDefault="00257957" w:rsidP="00257957">
      <w:pPr>
        <w:pStyle w:val="StandardWeb"/>
      </w:pPr>
      <w:r>
        <w:t>\mathcal C_F^{,n^\star}(K_F).</w:t>
      </w:r>
      <w:r>
        <w:br/>
        <w:t>\tag{3.14416}</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A_{\mathrm{cpl-stab}}:\forall K_F\quad\exists n^\star&lt;\infty:\mathcal C_F^{\,n^\star+1}(K_F)=\mathcal C_F^{\,n^\star}(K_F)</w:t>
      </w:r>
    </w:p>
    <w:p w:rsidR="00257957" w:rsidRDefault="00257957" w:rsidP="00257957">
      <w:r>
        <w:pict>
          <v:rect id="_x0000_i6830" style="width:0;height:1.5pt" o:hralign="center" o:hrstd="t" o:hr="t" fillcolor="#a0a0a0" stroked="f"/>
        </w:pict>
      </w:r>
    </w:p>
    <w:p w:rsidR="00257957" w:rsidRDefault="00257957" w:rsidP="00257957">
      <w:pPr>
        <w:pStyle w:val="berschrift1"/>
      </w:pPr>
      <w:r>
        <w:lastRenderedPageBreak/>
        <w:t>3.3.54.179 Gegenmodell zur endlichen Stabilisierung</w:t>
      </w:r>
    </w:p>
    <w:p w:rsidR="00257957" w:rsidRDefault="00257957" w:rsidP="00257957">
      <w:pPr>
        <w:pStyle w:val="StandardWeb"/>
      </w:pPr>
      <w:r>
        <w:t>Eine zulässige Kopplungsstruktur kann sich unbegrenzt weiter verändern:</w:t>
      </w:r>
    </w:p>
    <w:p w:rsidR="00257957" w:rsidRDefault="00257957" w:rsidP="00257957">
      <w:pPr>
        <w:pStyle w:val="StandardWeb"/>
      </w:pPr>
      <w:r>
        <w:t>[</w:t>
      </w:r>
      <w:r>
        <w:br/>
        <w:t>K_F,</w:t>
      </w:r>
      <w:r>
        <w:br/>
        <w:t>\mathcal C_F(K_F),</w:t>
      </w:r>
      <w:r>
        <w:br/>
        <w:t>\mathcal C_F^2(K_F),</w:t>
      </w:r>
      <w:r>
        <w:br/>
        <w:t>\ldots</w:t>
      </w:r>
      <w:r>
        <w:br/>
        <w:t>\tag{3.14417}</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K_F,\mathcal C_F(K_F),\mathcal C_F^2(K_F),\ldots</w:t>
      </w:r>
    </w:p>
    <w:p w:rsidR="00257957" w:rsidRDefault="00257957" w:rsidP="00257957">
      <w:pPr>
        <w:pStyle w:val="StandardWeb"/>
      </w:pPr>
      <w:r>
        <w:t>mit</w:t>
      </w:r>
    </w:p>
    <w:p w:rsidR="00257957" w:rsidRDefault="00257957" w:rsidP="00257957">
      <w:pPr>
        <w:pStyle w:val="StandardWeb"/>
      </w:pPr>
      <w:r>
        <w:t>[</w:t>
      </w:r>
      <w:r>
        <w:br/>
        <w:t>\mathcal C_F^{,n+1}(K_F)</w:t>
      </w:r>
      <w:r>
        <w:br/>
        <w:t>\neq</w:t>
      </w:r>
      <w:r>
        <w:br/>
        <w:t>\mathcal C_F^{,n}(K_F)</w:t>
      </w:r>
      <w:r>
        <w:br/>
        <w:t>\qquad</w:t>
      </w:r>
      <w:r>
        <w:br/>
        <w:t>\forall n.</w:t>
      </w:r>
      <w:r>
        <w:br/>
        <w:t>\tag{3.14418}</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\mathcal C_F^{\,n+1}(K_F)\neq\mathcal C_F^{\,n}(K_F)\qquad\forall n</w:t>
      </w:r>
    </w:p>
    <w:p w:rsidR="00257957" w:rsidRDefault="00257957" w:rsidP="00257957">
      <w:r>
        <w:pict>
          <v:rect id="_x0000_i6831" style="width:0;height:1.5pt" o:hralign="center" o:hrstd="t" o:hr="t" fillcolor="#a0a0a0" stroked="f"/>
        </w:pict>
      </w:r>
    </w:p>
    <w:p w:rsidR="00257957" w:rsidRDefault="00257957" w:rsidP="00257957">
      <w:pPr>
        <w:pStyle w:val="berschrift1"/>
      </w:pPr>
      <w:r>
        <w:t>3.3.54.180 Axiomentscheidung zur Kopplungsstabilisierung</w:t>
      </w:r>
    </w:p>
    <w:p w:rsidR="00257957" w:rsidRDefault="00257957" w:rsidP="00257957">
      <w:pPr>
        <w:pStyle w:val="StandardWeb"/>
      </w:pPr>
      <w:r>
        <w:t>Damit gilt</w:t>
      </w:r>
    </w:p>
    <w:p w:rsidR="00257957" w:rsidRDefault="00257957" w:rsidP="00257957">
      <w:pPr>
        <w:pStyle w:val="berschrift1"/>
      </w:pPr>
      <w:r>
        <w:t>[</w:t>
      </w:r>
      <w:r>
        <w:br/>
        <w:t>\boxed{</w:t>
      </w:r>
      <w:r>
        <w:br/>
        <w:t>U_{\mathrm{Ax}}</w:t>
      </w:r>
      <w:r>
        <w:br/>
        <w:t>(A_{\mathrm{cpl-stab}})</w:t>
      </w:r>
    </w:p>
    <w:p w:rsidR="00257957" w:rsidRDefault="00257957" w:rsidP="009F7790">
      <w:pPr>
        <w:numPr>
          <w:ilvl w:val="0"/>
          <w:numId w:val="820"/>
        </w:numPr>
        <w:spacing w:before="100" w:beforeAutospacing="1" w:after="100" w:afterAutospacing="1"/>
      </w:pPr>
    </w:p>
    <w:p w:rsidR="00257957" w:rsidRDefault="00257957" w:rsidP="00257957">
      <w:pPr>
        <w:pStyle w:val="StandardWeb"/>
      </w:pPr>
      <w:r>
        <w:lastRenderedPageBreak/>
        <w:t>}</w:t>
      </w:r>
      <w:r>
        <w:br/>
        <w:t>\tag{3.14419}</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\boxed{U_{\mathrm{Ax}}(A_{\mathrm{cpl-stab}})=0.}</w:t>
      </w:r>
    </w:p>
    <w:p w:rsidR="00257957" w:rsidRDefault="00257957" w:rsidP="00257957">
      <w:r>
        <w:pict>
          <v:rect id="_x0000_i6832" style="width:0;height:1.5pt" o:hralign="center" o:hrstd="t" o:hr="t" fillcolor="#a0a0a0" stroked="f"/>
        </w:pict>
      </w:r>
    </w:p>
    <w:p w:rsidR="00257957" w:rsidRDefault="00257957" w:rsidP="00257957">
      <w:pPr>
        <w:pStyle w:val="berschrift1"/>
      </w:pPr>
      <w:r>
        <w:t>3.3.54.181 Satz 3.3.294 – Endliche Stabilisierung von Kopplungsstrukturen ist kein Primäraxiom</w:t>
      </w:r>
    </w:p>
    <w:p w:rsidR="00257957" w:rsidRDefault="00257957" w:rsidP="00257957">
      <w:pPr>
        <w:pStyle w:val="berschrift3"/>
      </w:pPr>
      <w:r>
        <w:t>Satz 3.3.294</w:t>
      </w:r>
    </w:p>
    <w:p w:rsidR="00257957" w:rsidRDefault="00257957" w:rsidP="00257957">
      <w:pPr>
        <w:pStyle w:val="StandardWeb"/>
      </w:pPr>
      <w:r>
        <w:t>Die Forderung, jede iterativ veränderte funktionale Kopplungsstruktur müsse nach endlich vielen Schritten einen Fixpunkt erreichen, ist keine universell notwendige Voraussetzung des allgemeinen FRZK.</w:t>
      </w:r>
    </w:p>
    <w:p w:rsidR="00257957" w:rsidRDefault="00257957" w:rsidP="00257957">
      <w:pPr>
        <w:pStyle w:val="berschrift1"/>
      </w:pPr>
      <w:r>
        <w:t>[</w:t>
      </w:r>
      <w:r>
        <w:br/>
        <w:t>\boxed{</w:t>
      </w:r>
      <w:r>
        <w:br/>
        <w:t>U_{\mathrm{Ax}}</w:t>
      </w:r>
      <w:r>
        <w:br/>
        <w:t>(A_{\mathrm{cpl-stab}})</w:t>
      </w:r>
    </w:p>
    <w:p w:rsidR="00257957" w:rsidRDefault="00257957" w:rsidP="009F7790">
      <w:pPr>
        <w:numPr>
          <w:ilvl w:val="0"/>
          <w:numId w:val="821"/>
        </w:numPr>
        <w:spacing w:before="100" w:beforeAutospacing="1" w:after="100" w:afterAutospacing="1"/>
      </w:pPr>
    </w:p>
    <w:p w:rsidR="00257957" w:rsidRDefault="00257957" w:rsidP="00257957">
      <w:pPr>
        <w:pStyle w:val="StandardWeb"/>
      </w:pPr>
      <w:r>
        <w:t>}</w:t>
      </w:r>
      <w:r>
        <w:br/>
        <w:t>\tag{3.14420}</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\boxed{U_{\mathrm{Ax}}(A_{\mathrm{cpl-stab}})=0.}</w:t>
      </w:r>
    </w:p>
    <w:p w:rsidR="00257957" w:rsidRDefault="00257957" w:rsidP="00257957">
      <w:r>
        <w:pict>
          <v:rect id="_x0000_i6833" style="width:0;height:1.5pt" o:hralign="center" o:hrstd="t" o:hr="t" fillcolor="#a0a0a0" stroked="f"/>
        </w:pict>
      </w:r>
    </w:p>
    <w:p w:rsidR="00257957" w:rsidRDefault="00257957" w:rsidP="00257957">
      <w:pPr>
        <w:pStyle w:val="berschrift1"/>
      </w:pPr>
      <w:r>
        <w:t>3.3.54.182 Dynamik gekoppelter Teilsysteme</w:t>
      </w:r>
    </w:p>
    <w:p w:rsidR="00257957" w:rsidRDefault="00257957" w:rsidP="00257957">
      <w:pPr>
        <w:pStyle w:val="StandardWeb"/>
      </w:pPr>
      <w:r>
        <w:t>Seien zwei lokale Übergangsabbildungen</w:t>
      </w:r>
    </w:p>
    <w:p w:rsidR="00257957" w:rsidRDefault="00257957" w:rsidP="00257957">
      <w:pPr>
        <w:pStyle w:val="StandardWeb"/>
      </w:pPr>
      <w:r>
        <w:t>[</w:t>
      </w:r>
      <w:r>
        <w:br/>
        <w:t>T_{F,1}</w:t>
      </w:r>
      <w:r>
        <w:br/>
        <w:t>:</w:t>
      </w:r>
      <w:r>
        <w:br/>
        <w:t>\mathcal X_{F,1}</w:t>
      </w:r>
      <w:r>
        <w:br/>
        <w:t>\rightarrow</w:t>
      </w:r>
      <w:r>
        <w:br/>
        <w:t>\mathcal X_{F,1}</w:t>
      </w:r>
      <w:r>
        <w:br/>
        <w:t>\tag{3.14421}</w:t>
      </w:r>
      <w:r>
        <w:br/>
        <w:t>]</w:t>
      </w:r>
    </w:p>
    <w:p w:rsidR="00257957" w:rsidRDefault="00257957" w:rsidP="00257957">
      <w:pPr>
        <w:pStyle w:val="StandardWeb"/>
      </w:pPr>
      <w:r>
        <w:rPr>
          <w:rStyle w:val="Fett"/>
        </w:rPr>
        <w:lastRenderedPageBreak/>
        <w:t>Word-LaTeX</w:t>
      </w:r>
    </w:p>
    <w:p w:rsidR="00257957" w:rsidRDefault="00257957" w:rsidP="00257957">
      <w:pPr>
        <w:pStyle w:val="HTMLVorformatiert"/>
        <w:rPr>
          <w:rStyle w:val="HTMLCode"/>
        </w:rPr>
      </w:pPr>
      <w:r>
        <w:rPr>
          <w:rStyle w:val="HTMLCode"/>
        </w:rPr>
        <w:t>T_{F,1}:\mathcal X_{F,1}\rightarrow\mathcal X_{F,1}</w:t>
      </w:r>
    </w:p>
    <w:p w:rsidR="00257957" w:rsidRDefault="00257957" w:rsidP="00257957">
      <w:pPr>
        <w:pStyle w:val="StandardWeb"/>
      </w:pPr>
      <w:r>
        <w:t>und</w:t>
      </w:r>
    </w:p>
    <w:p w:rsidR="00257957" w:rsidRDefault="00257957" w:rsidP="00257957">
      <w:pPr>
        <w:pStyle w:val="StandardWeb"/>
      </w:pPr>
      <w:r>
        <w:t>[</w:t>
      </w:r>
      <w:r>
        <w:br/>
        <w:t>T_{F,2}</w:t>
      </w:r>
      <w:r>
        <w:br/>
        <w:t>:</w:t>
      </w:r>
      <w:r>
        <w:br/>
        <w:t>\mathcal X_{F,2}</w:t>
      </w:r>
      <w:r>
        <w:br/>
        <w:t>\rightarrow</w:t>
      </w:r>
      <w:r>
        <w:br/>
        <w:t>\mathcal X_{F,2}.</w:t>
      </w:r>
      <w:r>
        <w:br/>
        <w:t>\tag{3.14422}</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T_{F,2}:\mathcal X_{F,2}\rightarrow\mathcal X_{F,2}</w:t>
      </w:r>
    </w:p>
    <w:p w:rsidR="00257957" w:rsidRDefault="00257957" w:rsidP="00257957">
      <w:pPr>
        <w:pStyle w:val="StandardWeb"/>
      </w:pPr>
      <w:r>
        <w:t>Eine gekoppelte Dynamik kann ich allgemein durch</w:t>
      </w:r>
    </w:p>
    <w:p w:rsidR="00257957" w:rsidRDefault="00257957" w:rsidP="00257957">
      <w:pPr>
        <w:pStyle w:val="StandardWeb"/>
      </w:pPr>
      <w:r>
        <w:t>[</w:t>
      </w:r>
      <w:r>
        <w:br/>
        <w:t>T_F^{\mathrm{cpl}}</w:t>
      </w:r>
      <w:r>
        <w:br/>
        <w:t>:</w:t>
      </w:r>
      <w:r>
        <w:br/>
        <w:t>\mathcal X_{F,1}</w:t>
      </w:r>
      <w:r>
        <w:br/>
        <w:t>\times</w:t>
      </w:r>
      <w:r>
        <w:br/>
        <w:t>\mathcal X_{F,2}</w:t>
      </w:r>
      <w:r>
        <w:br/>
        <w:t>\rightarrow</w:t>
      </w:r>
      <w:r>
        <w:br/>
        <w:t>\mathcal X_{F,1}</w:t>
      </w:r>
      <w:r>
        <w:br/>
        <w:t>\times</w:t>
      </w:r>
      <w:r>
        <w:br/>
        <w:t>\mathcal X_{F,2}</w:t>
      </w:r>
      <w:r>
        <w:br/>
        <w:t>\tag{3.14423}</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T_F^{\mathrm{cpl}}:\mathcal X_{F,1}\times\mathcal X_{F,2}\rightarrow\mathcal X_{F,1}\times\mathcal X_{F,2}</w:t>
      </w:r>
    </w:p>
    <w:p w:rsidR="00257957" w:rsidRDefault="00257957" w:rsidP="00257957">
      <w:pPr>
        <w:pStyle w:val="StandardWeb"/>
      </w:pPr>
      <w:r>
        <w:t>beschreiben.</w:t>
      </w:r>
    </w:p>
    <w:p w:rsidR="00257957" w:rsidRDefault="00257957" w:rsidP="00257957">
      <w:r>
        <w:pict>
          <v:rect id="_x0000_i6834" style="width:0;height:1.5pt" o:hralign="center" o:hrstd="t" o:hr="t" fillcolor="#a0a0a0" stroked="f"/>
        </w:pict>
      </w:r>
    </w:p>
    <w:p w:rsidR="00257957" w:rsidRDefault="00257957" w:rsidP="00257957">
      <w:pPr>
        <w:pStyle w:val="berschrift2"/>
      </w:pPr>
      <w:r>
        <w:t>3.3.54.183 Definition 3.3.710 – Gekoppelte funktionale Dynamik</w:t>
      </w:r>
    </w:p>
    <w:p w:rsidR="00257957" w:rsidRDefault="00257957" w:rsidP="00257957">
      <w:pPr>
        <w:pStyle w:val="berschrift3"/>
      </w:pPr>
      <w:r>
        <w:t>Definition 3.3.710</w:t>
      </w:r>
    </w:p>
    <w:p w:rsidR="00257957" w:rsidRDefault="00257957" w:rsidP="00257957">
      <w:pPr>
        <w:pStyle w:val="StandardWeb"/>
      </w:pPr>
      <w:r>
        <w:t xml:space="preserve">Eine </w:t>
      </w:r>
      <w:r>
        <w:rPr>
          <w:rStyle w:val="Fett"/>
        </w:rPr>
        <w:t>gekoppelte funktionale Dynamik</w:t>
      </w:r>
      <w:r>
        <w:t xml:space="preserve"> ist eine modellabhängig definierte Übergangsabbildung</w:t>
      </w:r>
    </w:p>
    <w:p w:rsidR="00257957" w:rsidRDefault="00257957" w:rsidP="00257957">
      <w:pPr>
        <w:pStyle w:val="StandardWeb"/>
      </w:pPr>
      <w:r>
        <w:lastRenderedPageBreak/>
        <w:t>[</w:t>
      </w:r>
      <w:r>
        <w:br/>
        <w:t>\boxed{</w:t>
      </w:r>
      <w:r>
        <w:br/>
        <w:t>T_F^{\mathrm{cpl}}</w:t>
      </w:r>
      <w:r>
        <w:br/>
        <w:t>:</w:t>
      </w:r>
      <w:r>
        <w:br/>
        <w:t>\mathcal X_{F,1}</w:t>
      </w:r>
      <w:r>
        <w:br/>
        <w:t>\times</w:t>
      </w:r>
      <w:r>
        <w:br/>
        <w:t>\mathcal X_{F,2}</w:t>
      </w:r>
      <w:r>
        <w:br/>
        <w:t>\rightarrow</w:t>
      </w:r>
      <w:r>
        <w:br/>
        <w:t>\mathcal X_{F,1}</w:t>
      </w:r>
      <w:r>
        <w:br/>
        <w:t>\times</w:t>
      </w:r>
      <w:r>
        <w:br/>
        <w:t>\mathcal X_{F,2}.</w:t>
      </w:r>
      <w:r>
        <w:br/>
        <w:t>}</w:t>
      </w:r>
      <w:r>
        <w:br/>
        <w:t>\tag{3.14424}</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\boxed{T_F^{\mathrm{cpl}}:\mathcal X_{F,1}\times\mathcal X_{F,2}\rightarrow\mathcal X_{F,1}\times\mathcal X_{F,2}.}</w:t>
      </w:r>
    </w:p>
    <w:p w:rsidR="00257957" w:rsidRDefault="00257957" w:rsidP="00257957">
      <w:r>
        <w:pict>
          <v:rect id="_x0000_i6835" style="width:0;height:1.5pt" o:hralign="center" o:hrstd="t" o:hr="t" fillcolor="#a0a0a0" stroked="f"/>
        </w:pict>
      </w:r>
    </w:p>
    <w:p w:rsidR="00257957" w:rsidRDefault="00257957" w:rsidP="00257957">
      <w:pPr>
        <w:pStyle w:val="berschrift1"/>
      </w:pPr>
      <w:r>
        <w:t>3.3.54.184 Produktdynamik als Spezialfall</w:t>
      </w:r>
    </w:p>
    <w:p w:rsidR="00257957" w:rsidRDefault="00257957" w:rsidP="00257957">
      <w:pPr>
        <w:pStyle w:val="StandardWeb"/>
      </w:pPr>
      <w:r>
        <w:t>Bei vollständig unabhängiger Entwicklung kann gelten</w:t>
      </w:r>
    </w:p>
    <w:p w:rsidR="00257957" w:rsidRDefault="00257957" w:rsidP="00257957">
      <w:pPr>
        <w:pStyle w:val="berschrift1"/>
      </w:pPr>
      <w:r>
        <w:t>[</w:t>
      </w:r>
      <w:r>
        <w:br/>
        <w:t>T_F^{\mathrm{cpl}}</w:t>
      </w:r>
    </w:p>
    <w:p w:rsidR="00257957" w:rsidRDefault="00257957" w:rsidP="00257957">
      <w:pPr>
        <w:pStyle w:val="StandardWeb"/>
      </w:pPr>
      <w:r>
        <w:t>T_{F,1}</w:t>
      </w:r>
      <w:r>
        <w:br/>
        <w:t>\times</w:t>
      </w:r>
      <w:r>
        <w:br/>
        <w:t>T_{F,2}.</w:t>
      </w:r>
      <w:r>
        <w:br/>
        <w:t>\tag{3.14425}</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T_F^{\mathrm{cpl}}=T_{F,1}\times T_{F,2}</w:t>
      </w:r>
    </w:p>
    <w:p w:rsidR="00257957" w:rsidRDefault="00257957" w:rsidP="00257957">
      <w:pPr>
        <w:pStyle w:val="StandardWeb"/>
      </w:pPr>
      <w:r>
        <w:t>Eine nichttriviale gekoppelte Dynamik erfüllt dagegen allgemein</w:t>
      </w:r>
    </w:p>
    <w:p w:rsidR="00257957" w:rsidRDefault="00257957" w:rsidP="00257957">
      <w:pPr>
        <w:pStyle w:val="StandardWeb"/>
      </w:pPr>
      <w:r>
        <w:t>[</w:t>
      </w:r>
      <w:r>
        <w:br/>
        <w:t>T_F^{\mathrm{cpl}}</w:t>
      </w:r>
      <w:r>
        <w:br/>
        <w:t>\neq</w:t>
      </w:r>
      <w:r>
        <w:br/>
        <w:t>T_{F,1}</w:t>
      </w:r>
      <w:r>
        <w:br/>
        <w:t>\times</w:t>
      </w:r>
      <w:r>
        <w:br/>
        <w:t>T_{F,2}.</w:t>
      </w:r>
      <w:r>
        <w:br/>
        <w:t>\tag{3.14426}</w:t>
      </w:r>
      <w:r>
        <w:br/>
        <w:t>]</w:t>
      </w:r>
    </w:p>
    <w:p w:rsidR="00257957" w:rsidRDefault="00257957" w:rsidP="00257957">
      <w:pPr>
        <w:pStyle w:val="StandardWeb"/>
      </w:pPr>
      <w:r>
        <w:rPr>
          <w:rStyle w:val="Fett"/>
        </w:rPr>
        <w:lastRenderedPageBreak/>
        <w:t>Word-LaTeX</w:t>
      </w:r>
    </w:p>
    <w:p w:rsidR="00257957" w:rsidRDefault="00257957" w:rsidP="00257957">
      <w:pPr>
        <w:pStyle w:val="HTMLVorformatiert"/>
        <w:rPr>
          <w:rStyle w:val="HTMLCode"/>
        </w:rPr>
      </w:pPr>
      <w:r>
        <w:rPr>
          <w:rStyle w:val="HTMLCode"/>
        </w:rPr>
        <w:t>T_F^{\mathrm{cpl}}\neq T_{F,1}\times T_{F,2}</w:t>
      </w:r>
    </w:p>
    <w:p w:rsidR="00257957" w:rsidRDefault="00257957" w:rsidP="00257957">
      <w:r>
        <w:pict>
          <v:rect id="_x0000_i6836" style="width:0;height:1.5pt" o:hralign="center" o:hrstd="t" o:hr="t" fillcolor="#a0a0a0" stroked="f"/>
        </w:pict>
      </w:r>
    </w:p>
    <w:p w:rsidR="00257957" w:rsidRDefault="00257957" w:rsidP="00257957">
      <w:pPr>
        <w:pStyle w:val="berschrift1"/>
      </w:pPr>
      <w:r>
        <w:t>3.3.54.185 Dynamikverträglichkeit der Kopplung</w:t>
      </w:r>
    </w:p>
    <w:p w:rsidR="00257957" w:rsidRDefault="00257957" w:rsidP="00257957">
      <w:pPr>
        <w:pStyle w:val="StandardWeb"/>
      </w:pPr>
      <w:r>
        <w:t>Eine mögliche Verträglichkeitsforderung lautet schematisch</w:t>
      </w:r>
    </w:p>
    <w:p w:rsidR="00257957" w:rsidRDefault="00257957" w:rsidP="00257957">
      <w:pPr>
        <w:pStyle w:val="berschrift1"/>
      </w:pPr>
      <w:r>
        <w:t>[</w:t>
      </w:r>
      <w:r>
        <w:br/>
        <w:t>T_F^{\mathrm{cpl}}</w:t>
      </w:r>
      <w:r>
        <w:br/>
        <w:t>\circ</w:t>
      </w:r>
      <w:r>
        <w:br/>
        <w:t>K_F</w:t>
      </w:r>
    </w:p>
    <w:p w:rsidR="00257957" w:rsidRDefault="00257957" w:rsidP="00257957">
      <w:pPr>
        <w:pStyle w:val="StandardWeb"/>
      </w:pPr>
      <w:r>
        <w:t>K_F</w:t>
      </w:r>
      <w:r>
        <w:br/>
        <w:t>\circ</w:t>
      </w:r>
      <w:r>
        <w:br/>
        <w:t>(T_{F,1}\times T_{F,2}).</w:t>
      </w:r>
      <w:r>
        <w:br/>
        <w:t>\tag{3.14427}</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T_F^{\mathrm{cpl}}\circ K_F=K_F\circ(T_{F,1}\times T_{F,2})</w:t>
      </w:r>
    </w:p>
    <w:p w:rsidR="00257957" w:rsidRDefault="00257957" w:rsidP="00257957">
      <w:r>
        <w:pict>
          <v:rect id="_x0000_i6837" style="width:0;height:1.5pt" o:hralign="center" o:hrstd="t" o:hr="t" fillcolor="#a0a0a0" stroked="f"/>
        </w:pict>
      </w:r>
    </w:p>
    <w:p w:rsidR="00257957" w:rsidRDefault="00257957" w:rsidP="00257957">
      <w:pPr>
        <w:pStyle w:val="berschrift2"/>
      </w:pPr>
      <w:r>
        <w:t>3.3.54.186 Definition 3.3.711 – Dynamikverträgliche funktionale Kopplung</w:t>
      </w:r>
    </w:p>
    <w:p w:rsidR="00257957" w:rsidRDefault="00257957" w:rsidP="00257957">
      <w:pPr>
        <w:pStyle w:val="berschrift3"/>
      </w:pPr>
      <w:r>
        <w:t>Definition 3.3.711</w:t>
      </w:r>
    </w:p>
    <w:p w:rsidR="00257957" w:rsidRDefault="00257957" w:rsidP="00257957">
      <w:pPr>
        <w:pStyle w:val="StandardWeb"/>
      </w:pPr>
      <w:r>
        <w:t xml:space="preserve">Eine funktionale Kopplung heißt </w:t>
      </w:r>
      <w:r>
        <w:rPr>
          <w:rStyle w:val="Fett"/>
        </w:rPr>
        <w:t>dynamikverträglich</w:t>
      </w:r>
      <w:r>
        <w:t>, wenn</w:t>
      </w:r>
    </w:p>
    <w:p w:rsidR="00257957" w:rsidRDefault="00257957" w:rsidP="00257957">
      <w:pPr>
        <w:pStyle w:val="berschrift1"/>
      </w:pPr>
      <w:r>
        <w:t>[</w:t>
      </w:r>
      <w:r>
        <w:br/>
        <w:t>\boxed{</w:t>
      </w:r>
      <w:r>
        <w:br/>
        <w:t>T_F^{\mathrm{cpl}}</w:t>
      </w:r>
      <w:r>
        <w:br/>
        <w:t>\circ</w:t>
      </w:r>
      <w:r>
        <w:br/>
        <w:t>K_F</w:t>
      </w:r>
    </w:p>
    <w:p w:rsidR="00257957" w:rsidRDefault="00257957" w:rsidP="00257957">
      <w:pPr>
        <w:pStyle w:val="StandardWeb"/>
      </w:pPr>
      <w:r>
        <w:t>K_F</w:t>
      </w:r>
      <w:r>
        <w:br/>
        <w:t>\circ</w:t>
      </w:r>
      <w:r>
        <w:br/>
        <w:t>(T_{F,1}\times T_{F,2}).</w:t>
      </w:r>
      <w:r>
        <w:br/>
        <w:t>}</w:t>
      </w:r>
      <w:r>
        <w:br/>
      </w:r>
      <w:r>
        <w:lastRenderedPageBreak/>
        <w:t>\tag{3.14428}</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\boxed{T_F^{\mathrm{cpl}}\circ K_F=K_F\circ(T_{F,1}\times T_{F,2}).}</w:t>
      </w:r>
    </w:p>
    <w:p w:rsidR="00257957" w:rsidRDefault="00257957" w:rsidP="00257957">
      <w:r>
        <w:pict>
          <v:rect id="_x0000_i6838" style="width:0;height:1.5pt" o:hralign="center" o:hrstd="t" o:hr="t" fillcolor="#a0a0a0" stroked="f"/>
        </w:pict>
      </w:r>
    </w:p>
    <w:p w:rsidR="00257957" w:rsidRDefault="00257957" w:rsidP="00257957">
      <w:pPr>
        <w:pStyle w:val="berschrift1"/>
      </w:pPr>
      <w:r>
        <w:t>3.3.54.187 Dynamikbruch unter Kopplung</w:t>
      </w:r>
    </w:p>
    <w:p w:rsidR="00257957" w:rsidRDefault="00257957" w:rsidP="00257957">
      <w:pPr>
        <w:pStyle w:val="StandardWeb"/>
      </w:pPr>
      <w:r>
        <w:t>Es kann jedoch gelten</w:t>
      </w:r>
    </w:p>
    <w:p w:rsidR="00257957" w:rsidRDefault="00257957" w:rsidP="00257957">
      <w:pPr>
        <w:pStyle w:val="StandardWeb"/>
      </w:pPr>
      <w:r>
        <w:t>[</w:t>
      </w:r>
      <w:r>
        <w:br/>
        <w:t>T_F^{\mathrm{cpl}}</w:t>
      </w:r>
      <w:r>
        <w:br/>
        <w:t>\bigl(</w:t>
      </w:r>
      <w:r>
        <w:br/>
        <w:t>K_F(X_1,X_2)</w:t>
      </w:r>
      <w:r>
        <w:br/>
        <w:t>\bigr)</w:t>
      </w:r>
      <w:r>
        <w:br/>
        <w:t>\neq</w:t>
      </w:r>
      <w:r>
        <w:br/>
        <w:t>K_F</w:t>
      </w:r>
      <w:r>
        <w:br/>
        <w:t>\bigl(</w:t>
      </w:r>
      <w:r>
        <w:br/>
        <w:t>T_{F,1}(X_1),</w:t>
      </w:r>
      <w:r>
        <w:br/>
        <w:t>T_{F,2}(X_2)</w:t>
      </w:r>
      <w:r>
        <w:br/>
        <w:t>\bigr).</w:t>
      </w:r>
      <w:r>
        <w:br/>
        <w:t>\tag{3.14429}</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T_F^{\mathrm{cpl}}\bigl(K_F(X_1,X_2)\bigr)\neq K_F\bigl(T_{F,1}(X_1),T_{F,2}(X_2)\bigr)</w:t>
      </w:r>
    </w:p>
    <w:p w:rsidR="00257957" w:rsidRDefault="00257957" w:rsidP="00257957">
      <w:r>
        <w:pict>
          <v:rect id="_x0000_i6839" style="width:0;height:1.5pt" o:hralign="center" o:hrstd="t" o:hr="t" fillcolor="#a0a0a0" stroked="f"/>
        </w:pict>
      </w:r>
    </w:p>
    <w:p w:rsidR="00257957" w:rsidRDefault="00257957" w:rsidP="00257957">
      <w:pPr>
        <w:pStyle w:val="berschrift1"/>
      </w:pPr>
      <w:r>
        <w:t>3.3.54.188 Dynamikverträglichkeit als Primäraxiomkandidat</w:t>
      </w:r>
    </w:p>
    <w:p w:rsidR="00257957" w:rsidRDefault="00257957" w:rsidP="00257957">
      <w:pPr>
        <w:pStyle w:val="StandardWeb"/>
      </w:pPr>
      <w:r>
        <w:t>Ich prüfe</w:t>
      </w:r>
    </w:p>
    <w:p w:rsidR="00257957" w:rsidRDefault="00257957" w:rsidP="00257957">
      <w:pPr>
        <w:pStyle w:val="berschrift1"/>
      </w:pPr>
      <w:r>
        <w:t>[</w:t>
      </w:r>
      <w:r>
        <w:br/>
        <w:t>A_{\mathrm{cpl-dyn}}</w:t>
      </w:r>
      <w:r>
        <w:br/>
        <w:t>:</w:t>
      </w:r>
      <w:r>
        <w:br/>
        <w:t>T_F^{\mathrm{cpl}}</w:t>
      </w:r>
      <w:r>
        <w:br/>
        <w:t>\circ</w:t>
      </w:r>
      <w:r>
        <w:br/>
        <w:t>K_F</w:t>
      </w:r>
    </w:p>
    <w:p w:rsidR="00257957" w:rsidRDefault="00257957" w:rsidP="00257957">
      <w:pPr>
        <w:pStyle w:val="StandardWeb"/>
      </w:pPr>
      <w:r>
        <w:lastRenderedPageBreak/>
        <w:t>K_F</w:t>
      </w:r>
      <w:r>
        <w:br/>
        <w:t>\circ</w:t>
      </w:r>
      <w:r>
        <w:br/>
        <w:t>(T_{F,1}\times T_{F,2}).</w:t>
      </w:r>
      <w:r>
        <w:br/>
        <w:t>\tag{3.14430}</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A_{\mathrm{cpl-dyn}}:T_F^{\mathrm{cpl}}\circ K_F=K_F\circ(T_{F,1}\times T_{F,2})</w:t>
      </w:r>
    </w:p>
    <w:p w:rsidR="00257957" w:rsidRDefault="00257957" w:rsidP="00257957">
      <w:r>
        <w:pict>
          <v:rect id="_x0000_i6840" style="width:0;height:1.5pt" o:hralign="center" o:hrstd="t" o:hr="t" fillcolor="#a0a0a0" stroked="f"/>
        </w:pict>
      </w:r>
    </w:p>
    <w:p w:rsidR="00257957" w:rsidRDefault="00257957" w:rsidP="00257957">
      <w:pPr>
        <w:pStyle w:val="berschrift1"/>
      </w:pPr>
      <w:r>
        <w:t>3.3.54.189 Gegenmodell</w:t>
      </w:r>
    </w:p>
    <w:p w:rsidR="00257957" w:rsidRDefault="00257957" w:rsidP="00257957">
      <w:pPr>
        <w:pStyle w:val="StandardWeb"/>
      </w:pPr>
      <w:r>
        <w:t>Eine Kopplung kann eine neue gemeinsame Dynamik erzeugen, die nicht aus den getrennten Teilübergängen rekonstruiert werden kann:</w:t>
      </w:r>
    </w:p>
    <w:p w:rsidR="00257957" w:rsidRDefault="00257957" w:rsidP="00257957">
      <w:pPr>
        <w:pStyle w:val="berschrift1"/>
      </w:pPr>
      <w:r>
        <w:t>[</w:t>
      </w:r>
      <w:r>
        <w:br/>
        <w:t>T_F^{\mathrm{cpl}}</w:t>
      </w:r>
      <w:r>
        <w:br/>
        <w:t>\bigl(</w:t>
      </w:r>
      <w:r>
        <w:br/>
        <w:t>K_F(X_1,X_2)</w:t>
      </w:r>
      <w:r>
        <w:br/>
        <w:t>\bigr)</w:t>
      </w:r>
    </w:p>
    <w:p w:rsidR="00257957" w:rsidRDefault="00257957" w:rsidP="00257957">
      <w:pPr>
        <w:pStyle w:val="StandardWeb"/>
      </w:pPr>
      <w:r>
        <w:t>Y_1</w:t>
      </w:r>
      <w:r>
        <w:br/>
        <w:t>\tag{3.14431}</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T_F^{\mathrm{cpl}}\bigl(K_F(X_1,X_2)\bigr)=Y_1</w:t>
      </w:r>
    </w:p>
    <w:p w:rsidR="00257957" w:rsidRDefault="00257957" w:rsidP="00257957">
      <w:pPr>
        <w:pStyle w:val="StandardWeb"/>
      </w:pPr>
      <w:r>
        <w:t>und</w:t>
      </w:r>
    </w:p>
    <w:p w:rsidR="00257957" w:rsidRDefault="00257957" w:rsidP="00257957">
      <w:pPr>
        <w:pStyle w:val="berschrift1"/>
      </w:pPr>
      <w:r>
        <w:t>[</w:t>
      </w:r>
      <w:r>
        <w:br/>
        <w:t>K_F</w:t>
      </w:r>
      <w:r>
        <w:br/>
        <w:t>\bigl(</w:t>
      </w:r>
      <w:r>
        <w:br/>
        <w:t>T_{F,1}(X_1),</w:t>
      </w:r>
      <w:r>
        <w:br/>
        <w:t>T_{F,2}(X_2)</w:t>
      </w:r>
      <w:r>
        <w:br/>
        <w:t>\bigr)</w:t>
      </w:r>
    </w:p>
    <w:p w:rsidR="00257957" w:rsidRDefault="00257957" w:rsidP="00257957">
      <w:pPr>
        <w:pStyle w:val="StandardWeb"/>
      </w:pPr>
      <w:r>
        <w:lastRenderedPageBreak/>
        <w:t>Y_2</w:t>
      </w:r>
      <w:r>
        <w:br/>
        <w:t>\tag{3.14432}</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K_F\bigl(T_{F,1}(X_1),T_{F,2}(X_2)\bigr)=Y_2</w:t>
      </w:r>
    </w:p>
    <w:p w:rsidR="00257957" w:rsidRDefault="00257957" w:rsidP="00257957">
      <w:pPr>
        <w:pStyle w:val="StandardWeb"/>
      </w:pPr>
      <w:r>
        <w:t>mit</w:t>
      </w:r>
    </w:p>
    <w:p w:rsidR="00257957" w:rsidRDefault="00257957" w:rsidP="00257957">
      <w:pPr>
        <w:pStyle w:val="StandardWeb"/>
      </w:pPr>
      <w:r>
        <w:t>[</w:t>
      </w:r>
      <w:r>
        <w:br/>
        <w:t>Y_1</w:t>
      </w:r>
      <w:r>
        <w:br/>
        <w:t>\neq</w:t>
      </w:r>
      <w:r>
        <w:br/>
        <w:t>Y_2.</w:t>
      </w:r>
      <w:r>
        <w:br/>
        <w:t>\tag{3.14433}</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Y_1\neq Y_2</w:t>
      </w:r>
    </w:p>
    <w:p w:rsidR="00257957" w:rsidRDefault="00257957" w:rsidP="00257957">
      <w:r>
        <w:pict>
          <v:rect id="_x0000_i6841" style="width:0;height:1.5pt" o:hralign="center" o:hrstd="t" o:hr="t" fillcolor="#a0a0a0" stroked="f"/>
        </w:pict>
      </w:r>
    </w:p>
    <w:p w:rsidR="00257957" w:rsidRDefault="00257957" w:rsidP="00257957">
      <w:pPr>
        <w:pStyle w:val="berschrift1"/>
      </w:pPr>
      <w:r>
        <w:t>3.3.54.190 Axiomentscheidung zur Dynamikverträglichkeit</w:t>
      </w:r>
    </w:p>
    <w:p w:rsidR="00257957" w:rsidRDefault="00257957" w:rsidP="00257957">
      <w:pPr>
        <w:pStyle w:val="StandardWeb"/>
      </w:pPr>
      <w:r>
        <w:t>Damit folgt</w:t>
      </w:r>
    </w:p>
    <w:p w:rsidR="00257957" w:rsidRDefault="00257957" w:rsidP="00257957">
      <w:pPr>
        <w:pStyle w:val="berschrift1"/>
      </w:pPr>
      <w:r>
        <w:t>[</w:t>
      </w:r>
      <w:r>
        <w:br/>
        <w:t>\boxed{</w:t>
      </w:r>
      <w:r>
        <w:br/>
        <w:t>U_{\mathrm{Ax}}</w:t>
      </w:r>
      <w:r>
        <w:br/>
        <w:t>(A_{\mathrm{cpl-dyn}})</w:t>
      </w:r>
    </w:p>
    <w:p w:rsidR="00257957" w:rsidRDefault="00257957" w:rsidP="009F7790">
      <w:pPr>
        <w:numPr>
          <w:ilvl w:val="0"/>
          <w:numId w:val="822"/>
        </w:numPr>
        <w:spacing w:before="100" w:beforeAutospacing="1" w:after="100" w:afterAutospacing="1"/>
      </w:pPr>
    </w:p>
    <w:p w:rsidR="00257957" w:rsidRDefault="00257957" w:rsidP="00257957">
      <w:pPr>
        <w:pStyle w:val="StandardWeb"/>
      </w:pPr>
      <w:r>
        <w:t>}</w:t>
      </w:r>
      <w:r>
        <w:br/>
        <w:t>\tag{3.14434}</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\boxed{U_{\mathrm{Ax}}(A_{\mathrm{cpl-dyn}})=0.}</w:t>
      </w:r>
    </w:p>
    <w:p w:rsidR="00257957" w:rsidRDefault="00257957" w:rsidP="00257957">
      <w:r>
        <w:pict>
          <v:rect id="_x0000_i6842" style="width:0;height:1.5pt" o:hralign="center" o:hrstd="t" o:hr="t" fillcolor="#a0a0a0" stroked="f"/>
        </w:pict>
      </w:r>
    </w:p>
    <w:p w:rsidR="00257957" w:rsidRDefault="00257957" w:rsidP="00257957">
      <w:pPr>
        <w:pStyle w:val="berschrift1"/>
      </w:pPr>
      <w:r>
        <w:t>3.3.54.191 Satz 3.3.295 – Dynamikverträglichkeit funktionaler Kopplung ist kein Primäraxiom</w:t>
      </w:r>
    </w:p>
    <w:p w:rsidR="00257957" w:rsidRDefault="00257957" w:rsidP="00257957">
      <w:pPr>
        <w:pStyle w:val="berschrift3"/>
      </w:pPr>
      <w:r>
        <w:lastRenderedPageBreak/>
        <w:t>Satz 3.3.295</w:t>
      </w:r>
    </w:p>
    <w:p w:rsidR="00257957" w:rsidRDefault="00257957" w:rsidP="00257957">
      <w:pPr>
        <w:pStyle w:val="StandardWeb"/>
      </w:pPr>
      <w:r>
        <w:t>Die Forderung, jede funktionale Kopplung müsse mit den lokalen Übergangsdynamiken durch eine festgelegte gekoppelte Dynamik verträglich sein, ist keine universell notwendige Voraussetzung des allgemeinen FRZK.</w:t>
      </w:r>
    </w:p>
    <w:p w:rsidR="00257957" w:rsidRDefault="00257957" w:rsidP="00257957">
      <w:pPr>
        <w:pStyle w:val="berschrift1"/>
      </w:pPr>
      <w:r>
        <w:t>[</w:t>
      </w:r>
      <w:r>
        <w:br/>
        <w:t>\boxed{</w:t>
      </w:r>
      <w:r>
        <w:br/>
        <w:t>U_{\mathrm{Ax}}</w:t>
      </w:r>
      <w:r>
        <w:br/>
        <w:t>(A_{\mathrm{cpl-dyn}})</w:t>
      </w:r>
    </w:p>
    <w:p w:rsidR="00257957" w:rsidRDefault="00257957" w:rsidP="009F7790">
      <w:pPr>
        <w:numPr>
          <w:ilvl w:val="0"/>
          <w:numId w:val="823"/>
        </w:numPr>
        <w:spacing w:before="100" w:beforeAutospacing="1" w:after="100" w:afterAutospacing="1"/>
      </w:pPr>
    </w:p>
    <w:p w:rsidR="00257957" w:rsidRDefault="00257957" w:rsidP="00257957">
      <w:pPr>
        <w:pStyle w:val="StandardWeb"/>
      </w:pPr>
      <w:r>
        <w:t>}</w:t>
      </w:r>
      <w:r>
        <w:br/>
        <w:t>\tag{3.14435}</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\boxed{U_{\mathrm{Ax}}(A_{\mathrm{cpl-dyn}})=0.}</w:t>
      </w:r>
    </w:p>
    <w:p w:rsidR="00257957" w:rsidRDefault="00257957" w:rsidP="00257957">
      <w:r>
        <w:pict>
          <v:rect id="_x0000_i6843" style="width:0;height:1.5pt" o:hralign="center" o:hrstd="t" o:hr="t" fillcolor="#a0a0a0" stroked="f"/>
        </w:pict>
      </w:r>
    </w:p>
    <w:p w:rsidR="00257957" w:rsidRDefault="00257957" w:rsidP="00257957">
      <w:pPr>
        <w:pStyle w:val="berschrift1"/>
      </w:pPr>
      <w:r>
        <w:t>3.3.54.192 Korollar 3.3.90 – Gekoppelte Dynamik ist modellabhängig</w:t>
      </w:r>
    </w:p>
    <w:p w:rsidR="00257957" w:rsidRDefault="00257957" w:rsidP="00257957">
      <w:pPr>
        <w:pStyle w:val="berschrift3"/>
      </w:pPr>
      <w:r>
        <w:t>Korollar 3.3.90</w:t>
      </w:r>
    </w:p>
    <w:p w:rsidR="00257957" w:rsidRDefault="00257957" w:rsidP="00257957">
      <w:pPr>
        <w:pStyle w:val="StandardWeb"/>
      </w:pPr>
      <w:r>
        <w:t>Aus Satz 3.3.295 folgt</w:t>
      </w:r>
    </w:p>
    <w:p w:rsidR="00257957" w:rsidRDefault="00257957" w:rsidP="00257957">
      <w:pPr>
        <w:pStyle w:val="berschrift1"/>
      </w:pPr>
      <w:r>
        <w:t>[</w:t>
      </w:r>
      <w:r>
        <w:br/>
        <w:t>\boxed{</w:t>
      </w:r>
      <w:r>
        <w:br/>
        <w:t>\operatorname{Stat}</w:t>
      </w:r>
      <w:r>
        <w:br/>
        <w:t>(T_F^{\mathrm{cpl}})</w:t>
      </w:r>
    </w:p>
    <w:p w:rsidR="00257957" w:rsidRDefault="00257957" w:rsidP="00257957">
      <w:pPr>
        <w:pStyle w:val="StandardWeb"/>
      </w:pPr>
      <w:r>
        <w:t>\mathrm{Def/Mod/Op}.</w:t>
      </w:r>
      <w:r>
        <w:br/>
        <w:t>}</w:t>
      </w:r>
      <w:r>
        <w:br/>
        <w:t>\tag{3.14436}</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\boxed{\operatorname{Stat}(T_F^{\mathrm{cpl}})=\mathrm{Def/Mod/Op}.}</w:t>
      </w:r>
    </w:p>
    <w:p w:rsidR="00257957" w:rsidRDefault="00257957" w:rsidP="00257957">
      <w:r>
        <w:pict>
          <v:rect id="_x0000_i6844" style="width:0;height:1.5pt" o:hralign="center" o:hrstd="t" o:hr="t" fillcolor="#a0a0a0" stroked="f"/>
        </w:pict>
      </w:r>
    </w:p>
    <w:p w:rsidR="00257957" w:rsidRDefault="00257957" w:rsidP="00257957">
      <w:pPr>
        <w:pStyle w:val="berschrift1"/>
      </w:pPr>
      <w:r>
        <w:lastRenderedPageBreak/>
        <w:t>3.3.54.193 Modulare Rekonstruktion</w:t>
      </w:r>
    </w:p>
    <w:p w:rsidR="00257957" w:rsidRDefault="00257957" w:rsidP="00257957">
      <w:pPr>
        <w:pStyle w:val="StandardWeb"/>
      </w:pPr>
      <w:r>
        <w:t>Eine modulare Zerlegung kann mit einer Rekonstruktionsabbildung verbunden werden.</w:t>
      </w:r>
    </w:p>
    <w:p w:rsidR="00257957" w:rsidRDefault="00257957" w:rsidP="00257957">
      <w:pPr>
        <w:pStyle w:val="StandardWeb"/>
      </w:pPr>
      <w:r>
        <w:t>Ich schreibe</w:t>
      </w:r>
    </w:p>
    <w:p w:rsidR="00257957" w:rsidRDefault="00257957" w:rsidP="00257957">
      <w:pPr>
        <w:pStyle w:val="StandardWeb"/>
      </w:pPr>
      <w:r>
        <w:t>[</w:t>
      </w:r>
      <w:r>
        <w:br/>
        <w:t>R_F^{\mathrm{mod}}</w:t>
      </w:r>
      <w:r>
        <w:br/>
        <w:t>:</w:t>
      </w:r>
      <w:r>
        <w:br/>
        <w:t>{</w:t>
      </w:r>
      <w:r>
        <w:br/>
        <w:t>\mathfrak M_{F,i}</w:t>
      </w:r>
      <w:r>
        <w:br/>
        <w:t>}_{i\in I}</w:t>
      </w:r>
      <w:r>
        <w:br/>
        <w:t>\rightarrow</w:t>
      </w:r>
      <w:r>
        <w:br/>
        <w:t>\mathfrak S_F.</w:t>
      </w:r>
      <w:r>
        <w:br/>
        <w:t>\tag{3.14437}</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R_F^{\mathrm{mod}}:\{\mathfrak M_{F,i}\}_{i\in I}\rightarrow\mathfrak S_F</w:t>
      </w:r>
    </w:p>
    <w:p w:rsidR="00257957" w:rsidRDefault="00257957" w:rsidP="00257957">
      <w:r>
        <w:pict>
          <v:rect id="_x0000_i6845" style="width:0;height:1.5pt" o:hralign="center" o:hrstd="t" o:hr="t" fillcolor="#a0a0a0" stroked="f"/>
        </w:pict>
      </w:r>
    </w:p>
    <w:p w:rsidR="00257957" w:rsidRDefault="00257957" w:rsidP="00257957">
      <w:pPr>
        <w:pStyle w:val="berschrift2"/>
      </w:pPr>
      <w:r>
        <w:t>3.3.54.194 Definition 3.3.712 – Funktionale modulare Rekonstruktion</w:t>
      </w:r>
    </w:p>
    <w:p w:rsidR="00257957" w:rsidRDefault="00257957" w:rsidP="00257957">
      <w:pPr>
        <w:pStyle w:val="berschrift3"/>
      </w:pPr>
      <w:r>
        <w:t>Definition 3.3.712</w:t>
      </w:r>
    </w:p>
    <w:p w:rsidR="00257957" w:rsidRDefault="00257957" w:rsidP="00257957">
      <w:pPr>
        <w:pStyle w:val="StandardWeb"/>
      </w:pPr>
      <w:r>
        <w:t xml:space="preserve">Eine </w:t>
      </w:r>
      <w:r>
        <w:rPr>
          <w:rStyle w:val="Fett"/>
        </w:rPr>
        <w:t>funktionale modulare Rekonstruktion</w:t>
      </w:r>
      <w:r>
        <w:t xml:space="preserve"> ist eine modellabhängige Abbildung</w:t>
      </w:r>
    </w:p>
    <w:p w:rsidR="00257957" w:rsidRDefault="00257957" w:rsidP="00257957">
      <w:pPr>
        <w:pStyle w:val="StandardWeb"/>
      </w:pPr>
      <w:r>
        <w:t>[</w:t>
      </w:r>
      <w:r>
        <w:br/>
        <w:t>\boxed{</w:t>
      </w:r>
      <w:r>
        <w:br/>
        <w:t>R_F^{\mathrm{mod}}</w:t>
      </w:r>
      <w:r>
        <w:br/>
        <w:t>:</w:t>
      </w:r>
      <w:r>
        <w:br/>
        <w:t>{</w:t>
      </w:r>
      <w:r>
        <w:br/>
        <w:t>\mathfrak M_{F,i}</w:t>
      </w:r>
      <w:r>
        <w:br/>
        <w:t>}_{i\in I}</w:t>
      </w:r>
      <w:r>
        <w:br/>
        <w:t>\rightarrow</w:t>
      </w:r>
      <w:r>
        <w:br/>
        <w:t>\mathfrak S_F.</w:t>
      </w:r>
      <w:r>
        <w:br/>
        <w:t>}</w:t>
      </w:r>
      <w:r>
        <w:br/>
        <w:t>\tag{3.14438}</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\boxed{R_F^{\mathrm{mod}}:\{\mathfrak M_{F,i}\}_{i\in I}\rightarrow\mathfrak S_F.}</w:t>
      </w:r>
    </w:p>
    <w:p w:rsidR="00257957" w:rsidRDefault="00257957" w:rsidP="00257957">
      <w:r>
        <w:pict>
          <v:rect id="_x0000_i6846" style="width:0;height:1.5pt" o:hralign="center" o:hrstd="t" o:hr="t" fillcolor="#a0a0a0" stroked="f"/>
        </w:pict>
      </w:r>
    </w:p>
    <w:p w:rsidR="00257957" w:rsidRDefault="00257957" w:rsidP="00257957">
      <w:pPr>
        <w:pStyle w:val="berschrift1"/>
      </w:pPr>
      <w:r>
        <w:t>3.3.54.195 Exakte modulare Rekonstruktion</w:t>
      </w:r>
    </w:p>
    <w:p w:rsidR="00257957" w:rsidRDefault="00257957" w:rsidP="00257957">
      <w:pPr>
        <w:pStyle w:val="StandardWeb"/>
      </w:pPr>
      <w:r>
        <w:lastRenderedPageBreak/>
        <w:t>Eine besonders starke Bedingung wäre</w:t>
      </w:r>
    </w:p>
    <w:p w:rsidR="00257957" w:rsidRDefault="00257957" w:rsidP="00257957">
      <w:pPr>
        <w:pStyle w:val="berschrift1"/>
      </w:pPr>
      <w:r>
        <w:t>[</w:t>
      </w:r>
      <w:r>
        <w:br/>
        <w:t>R_F^{\mathrm{mod}}</w:t>
      </w:r>
      <w:r>
        <w:br/>
        <w:t>\circ</w:t>
      </w:r>
      <w:r>
        <w:br/>
        <w:t>Z_F</w:t>
      </w:r>
    </w:p>
    <w:p w:rsidR="00257957" w:rsidRDefault="00257957" w:rsidP="00257957">
      <w:pPr>
        <w:pStyle w:val="StandardWeb"/>
      </w:pPr>
      <w:r>
        <w:t>\operatorname{id}_{\mathfrak S_F}.</w:t>
      </w:r>
      <w:r>
        <w:br/>
        <w:t>\tag{3.14439}</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R_F^{\mathrm{mod}}\circ Z_F=\operatorname{id}_{\mathfrak S_F}</w:t>
      </w:r>
    </w:p>
    <w:p w:rsidR="00257957" w:rsidRDefault="00257957" w:rsidP="00257957">
      <w:r>
        <w:pict>
          <v:rect id="_x0000_i6847" style="width:0;height:1.5pt" o:hralign="center" o:hrstd="t" o:hr="t" fillcolor="#a0a0a0" stroked="f"/>
        </w:pict>
      </w:r>
    </w:p>
    <w:p w:rsidR="00257957" w:rsidRDefault="00257957" w:rsidP="00257957">
      <w:pPr>
        <w:pStyle w:val="berschrift2"/>
      </w:pPr>
      <w:r>
        <w:t>3.3.54.196 Definition 3.3.713 – Exakte funktionale modulare Rekonstruktion</w:t>
      </w:r>
    </w:p>
    <w:p w:rsidR="00257957" w:rsidRDefault="00257957" w:rsidP="00257957">
      <w:pPr>
        <w:pStyle w:val="berschrift3"/>
      </w:pPr>
      <w:r>
        <w:t>Definition 3.3.713</w:t>
      </w:r>
    </w:p>
    <w:p w:rsidR="00257957" w:rsidRDefault="00257957" w:rsidP="00257957">
      <w:pPr>
        <w:pStyle w:val="StandardWeb"/>
      </w:pPr>
      <w:r>
        <w:t xml:space="preserve">Eine modulare Rekonstruktion heißt </w:t>
      </w:r>
      <w:r>
        <w:rPr>
          <w:rStyle w:val="Fett"/>
        </w:rPr>
        <w:t>exakt</w:t>
      </w:r>
      <w:r>
        <w:t>, wenn</w:t>
      </w:r>
    </w:p>
    <w:p w:rsidR="00257957" w:rsidRDefault="00257957" w:rsidP="00257957">
      <w:pPr>
        <w:pStyle w:val="berschrift1"/>
      </w:pPr>
      <w:r>
        <w:t>[</w:t>
      </w:r>
      <w:r>
        <w:br/>
        <w:t>\boxed{</w:t>
      </w:r>
      <w:r>
        <w:br/>
        <w:t>R_F^{\mathrm{mod}}</w:t>
      </w:r>
      <w:r>
        <w:br/>
        <w:t>\circ</w:t>
      </w:r>
      <w:r>
        <w:br/>
        <w:t>Z_F</w:t>
      </w:r>
    </w:p>
    <w:p w:rsidR="00257957" w:rsidRDefault="00257957" w:rsidP="00257957">
      <w:pPr>
        <w:pStyle w:val="StandardWeb"/>
      </w:pPr>
      <w:r>
        <w:t>\operatorname{id}_{\mathfrak S_F}.</w:t>
      </w:r>
      <w:r>
        <w:br/>
        <w:t>}</w:t>
      </w:r>
      <w:r>
        <w:br/>
        <w:t>\tag{3.14440}</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\boxed{R_F^{\mathrm{mod}}\circ Z_F=\operatorname{id}_{\mathfrak S_F}.}</w:t>
      </w:r>
    </w:p>
    <w:p w:rsidR="00257957" w:rsidRDefault="00257957" w:rsidP="00257957">
      <w:r>
        <w:pict>
          <v:rect id="_x0000_i6848" style="width:0;height:1.5pt" o:hralign="center" o:hrstd="t" o:hr="t" fillcolor="#a0a0a0" stroked="f"/>
        </w:pict>
      </w:r>
    </w:p>
    <w:p w:rsidR="00257957" w:rsidRDefault="00257957" w:rsidP="00257957">
      <w:pPr>
        <w:pStyle w:val="berschrift1"/>
      </w:pPr>
      <w:r>
        <w:t>3.3.54.197 Informationsverlust durch Modularisierung</w:t>
      </w:r>
    </w:p>
    <w:p w:rsidR="00257957" w:rsidRDefault="00257957" w:rsidP="00257957">
      <w:pPr>
        <w:pStyle w:val="StandardWeb"/>
      </w:pPr>
      <w:r>
        <w:t>Eine modulare Zerlegung kann strukturrelevante Information nicht vollständig in den Modulen oder Schnittstellen abbilden.</w:t>
      </w:r>
    </w:p>
    <w:p w:rsidR="00257957" w:rsidRDefault="00257957" w:rsidP="00257957">
      <w:pPr>
        <w:pStyle w:val="StandardWeb"/>
      </w:pPr>
      <w:r>
        <w:lastRenderedPageBreak/>
        <w:t>Dann kann gelten</w:t>
      </w:r>
    </w:p>
    <w:p w:rsidR="00257957" w:rsidRDefault="00257957" w:rsidP="00257957">
      <w:pPr>
        <w:pStyle w:val="StandardWeb"/>
      </w:pPr>
      <w:r>
        <w:t>[</w:t>
      </w:r>
      <w:r>
        <w:br/>
        <w:t>R_F^{\mathrm{mod}}</w:t>
      </w:r>
      <w:r>
        <w:br/>
        <w:t>\bigl(</w:t>
      </w:r>
      <w:r>
        <w:br/>
        <w:t>Z_F(\mathfrak S_F)</w:t>
      </w:r>
      <w:r>
        <w:br/>
        <w:t>\bigr)</w:t>
      </w:r>
      <w:r>
        <w:br/>
        <w:t>\neq</w:t>
      </w:r>
      <w:r>
        <w:br/>
        <w:t>\mathfrak S_F.</w:t>
      </w:r>
      <w:r>
        <w:br/>
        <w:t>\tag{3.14441}</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R_F^{\mathrm{mod}}\bigl(Z_F(\mathfrak S_F)\bigr)\neq\mathfrak S_F</w:t>
      </w:r>
    </w:p>
    <w:p w:rsidR="00257957" w:rsidRDefault="00257957" w:rsidP="00257957">
      <w:r>
        <w:pict>
          <v:rect id="_x0000_i6849" style="width:0;height:1.5pt" o:hralign="center" o:hrstd="t" o:hr="t" fillcolor="#a0a0a0" stroked="f"/>
        </w:pict>
      </w:r>
    </w:p>
    <w:p w:rsidR="00257957" w:rsidRDefault="00257957" w:rsidP="00257957">
      <w:pPr>
        <w:pStyle w:val="berschrift1"/>
      </w:pPr>
      <w:r>
        <w:t>3.3.54.198 Exakte modulare Rekonstruktion als Primäraxiomkandidat</w:t>
      </w:r>
    </w:p>
    <w:p w:rsidR="00257957" w:rsidRDefault="00257957" w:rsidP="00257957">
      <w:pPr>
        <w:pStyle w:val="StandardWeb"/>
      </w:pPr>
      <w:r>
        <w:t>Der Kandidat lautet</w:t>
      </w:r>
    </w:p>
    <w:p w:rsidR="00257957" w:rsidRDefault="00257957" w:rsidP="00257957">
      <w:pPr>
        <w:pStyle w:val="berschrift1"/>
      </w:pPr>
      <w:r>
        <w:t>[</w:t>
      </w:r>
      <w:r>
        <w:br/>
        <w:t>A_{\mathrm{mod-rec}}</w:t>
      </w:r>
      <w:r>
        <w:br/>
        <w:t>:</w:t>
      </w:r>
      <w:r>
        <w:br/>
        <w:t>R_F^{\mathrm{mod}}</w:t>
      </w:r>
      <w:r>
        <w:br/>
        <w:t>\circ</w:t>
      </w:r>
      <w:r>
        <w:br/>
        <w:t>Z_F</w:t>
      </w:r>
    </w:p>
    <w:p w:rsidR="00257957" w:rsidRDefault="00257957" w:rsidP="00257957">
      <w:pPr>
        <w:pStyle w:val="StandardWeb"/>
      </w:pPr>
      <w:r>
        <w:t>\operatorname{id}_{\mathfrak S_F}.</w:t>
      </w:r>
      <w:r>
        <w:br/>
        <w:t>\tag{3.14442}</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A_{\mathrm{mod-rec}}:R_F^{\mathrm{mod}}\circ Z_F=\operatorname{id}_{\mathfrak S_F}</w:t>
      </w:r>
    </w:p>
    <w:p w:rsidR="00257957" w:rsidRDefault="00257957" w:rsidP="00257957">
      <w:r>
        <w:pict>
          <v:rect id="_x0000_i6850" style="width:0;height:1.5pt" o:hralign="center" o:hrstd="t" o:hr="t" fillcolor="#a0a0a0" stroked="f"/>
        </w:pict>
      </w:r>
    </w:p>
    <w:p w:rsidR="00257957" w:rsidRDefault="00257957" w:rsidP="00257957">
      <w:pPr>
        <w:pStyle w:val="berschrift1"/>
      </w:pPr>
      <w:r>
        <w:t>3.3.54.199 Gegenmodell</w:t>
      </w:r>
    </w:p>
    <w:p w:rsidR="00257957" w:rsidRDefault="00257957" w:rsidP="00257957">
      <w:pPr>
        <w:pStyle w:val="StandardWeb"/>
      </w:pPr>
      <w:r>
        <w:t>Sind zwei verschiedene Gesamtstrukturen unter derselben Modularisierung nicht unterscheidbar,</w:t>
      </w:r>
    </w:p>
    <w:p w:rsidR="00257957" w:rsidRDefault="00257957" w:rsidP="00257957">
      <w:pPr>
        <w:pStyle w:val="berschrift1"/>
      </w:pPr>
      <w:r>
        <w:lastRenderedPageBreak/>
        <w:t>[</w:t>
      </w:r>
      <w:r>
        <w:br/>
        <w:t>Z_F(\mathfrak S_{F,1})</w:t>
      </w:r>
    </w:p>
    <w:p w:rsidR="00257957" w:rsidRDefault="00257957" w:rsidP="00257957">
      <w:pPr>
        <w:pStyle w:val="StandardWeb"/>
      </w:pPr>
      <w:r>
        <w:t>Z_F(\mathfrak S_{F,2})</w:t>
      </w:r>
      <w:r>
        <w:br/>
        <w:t>\tag{3.14443}</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Z_F(\mathfrak S_{F,1})=Z_F(\mathfrak S_{F,2})</w:t>
      </w:r>
    </w:p>
    <w:p w:rsidR="00257957" w:rsidRDefault="00257957" w:rsidP="00257957">
      <w:pPr>
        <w:pStyle w:val="StandardWeb"/>
      </w:pPr>
      <w:r>
        <w:t>bei</w:t>
      </w:r>
    </w:p>
    <w:p w:rsidR="00257957" w:rsidRDefault="00257957" w:rsidP="00257957">
      <w:pPr>
        <w:pStyle w:val="StandardWeb"/>
      </w:pPr>
      <w:r>
        <w:t>[</w:t>
      </w:r>
      <w:r>
        <w:br/>
        <w:t>\mathfrak S_{F,1}</w:t>
      </w:r>
      <w:r>
        <w:br/>
        <w:t>\neq</w:t>
      </w:r>
      <w:r>
        <w:br/>
        <w:t>\mathfrak S_{F,2},</w:t>
      </w:r>
      <w:r>
        <w:br/>
        <w:t>\tag{3.14444}</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\mathfrak S_{F,1}\neq\mathfrak S_{F,2}</w:t>
      </w:r>
    </w:p>
    <w:p w:rsidR="00257957" w:rsidRDefault="00257957" w:rsidP="00257957">
      <w:pPr>
        <w:pStyle w:val="StandardWeb"/>
      </w:pPr>
      <w:r>
        <w:t>kann eine Rekonstruktionsabbildung aus demselben modularen Bild nicht beide Ausgangsstrukturen eindeutig wiederherstellen.</w:t>
      </w:r>
    </w:p>
    <w:p w:rsidR="00257957" w:rsidRDefault="00257957" w:rsidP="00257957">
      <w:r>
        <w:pict>
          <v:rect id="_x0000_i6851" style="width:0;height:1.5pt" o:hralign="center" o:hrstd="t" o:hr="t" fillcolor="#a0a0a0" stroked="f"/>
        </w:pict>
      </w:r>
    </w:p>
    <w:p w:rsidR="00257957" w:rsidRDefault="00257957" w:rsidP="00257957">
      <w:pPr>
        <w:pStyle w:val="berschrift1"/>
      </w:pPr>
      <w:r>
        <w:t>3.3.54.200 Axiomentscheidung zur modularen Rekonstruktion</w:t>
      </w:r>
    </w:p>
    <w:p w:rsidR="00257957" w:rsidRDefault="00257957" w:rsidP="00257957">
      <w:pPr>
        <w:pStyle w:val="StandardWeb"/>
      </w:pPr>
      <w:r>
        <w:t>Damit gilt</w:t>
      </w:r>
    </w:p>
    <w:p w:rsidR="00257957" w:rsidRDefault="00257957" w:rsidP="00257957">
      <w:pPr>
        <w:pStyle w:val="berschrift1"/>
      </w:pPr>
      <w:r>
        <w:t>[</w:t>
      </w:r>
      <w:r>
        <w:br/>
        <w:t>\boxed{</w:t>
      </w:r>
      <w:r>
        <w:br/>
        <w:t>U_{\mathrm{Ax}}</w:t>
      </w:r>
      <w:r>
        <w:br/>
        <w:t>(A_{\mathrm{mod-rec}})</w:t>
      </w:r>
    </w:p>
    <w:p w:rsidR="00257957" w:rsidRDefault="00257957" w:rsidP="009F7790">
      <w:pPr>
        <w:numPr>
          <w:ilvl w:val="0"/>
          <w:numId w:val="824"/>
        </w:numPr>
        <w:spacing w:before="100" w:beforeAutospacing="1" w:after="100" w:afterAutospacing="1"/>
      </w:pPr>
    </w:p>
    <w:p w:rsidR="00257957" w:rsidRDefault="00257957" w:rsidP="00257957">
      <w:pPr>
        <w:pStyle w:val="StandardWeb"/>
      </w:pPr>
      <w:r>
        <w:t>}</w:t>
      </w:r>
      <w:r>
        <w:br/>
        <w:t>\tag{3.14445}</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lastRenderedPageBreak/>
        <w:t>\boxed{U_{\mathrm{Ax}}(A_{\mathrm{mod-rec}})=0.}</w:t>
      </w:r>
    </w:p>
    <w:p w:rsidR="00257957" w:rsidRDefault="00257957" w:rsidP="00257957">
      <w:r>
        <w:pict>
          <v:rect id="_x0000_i6852" style="width:0;height:1.5pt" o:hralign="center" o:hrstd="t" o:hr="t" fillcolor="#a0a0a0" stroked="f"/>
        </w:pict>
      </w:r>
    </w:p>
    <w:p w:rsidR="00257957" w:rsidRDefault="00257957" w:rsidP="00257957">
      <w:pPr>
        <w:pStyle w:val="berschrift1"/>
      </w:pPr>
      <w:r>
        <w:t>3.3.54.201 Satz 3.3.296 – Exakte modulare Rekonstruktion ist kein Primäraxiom</w:t>
      </w:r>
    </w:p>
    <w:p w:rsidR="00257957" w:rsidRDefault="00257957" w:rsidP="00257957">
      <w:pPr>
        <w:pStyle w:val="berschrift3"/>
      </w:pPr>
      <w:r>
        <w:t>Satz 3.3.296</w:t>
      </w:r>
    </w:p>
    <w:p w:rsidR="00257957" w:rsidRDefault="00257957" w:rsidP="00257957">
      <w:pPr>
        <w:pStyle w:val="StandardWeb"/>
      </w:pPr>
      <w:r>
        <w:t>Die Forderung, jede funktionale Modulzerlegung müsse eine exakte Rekonstruktion der ursprünglichen Gesamtstruktur ermöglichen, ist keine universell notwendige Voraussetzung des allgemeinen FRZK.</w:t>
      </w:r>
    </w:p>
    <w:p w:rsidR="00257957" w:rsidRDefault="00257957" w:rsidP="00257957">
      <w:pPr>
        <w:pStyle w:val="berschrift1"/>
      </w:pPr>
      <w:r>
        <w:t>[</w:t>
      </w:r>
      <w:r>
        <w:br/>
        <w:t>\boxed{</w:t>
      </w:r>
      <w:r>
        <w:br/>
        <w:t>U_{\mathrm{Ax}}</w:t>
      </w:r>
      <w:r>
        <w:br/>
        <w:t>(A_{\mathrm{mod-rec}})</w:t>
      </w:r>
    </w:p>
    <w:p w:rsidR="00257957" w:rsidRDefault="00257957" w:rsidP="009F7790">
      <w:pPr>
        <w:numPr>
          <w:ilvl w:val="0"/>
          <w:numId w:val="825"/>
        </w:numPr>
        <w:spacing w:before="100" w:beforeAutospacing="1" w:after="100" w:afterAutospacing="1"/>
      </w:pPr>
    </w:p>
    <w:p w:rsidR="00257957" w:rsidRDefault="00257957" w:rsidP="00257957">
      <w:pPr>
        <w:pStyle w:val="StandardWeb"/>
      </w:pPr>
      <w:r>
        <w:t>}</w:t>
      </w:r>
      <w:r>
        <w:br/>
        <w:t>\tag{3.14446}</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\boxed{U_{\mathrm{Ax}}(A_{\mathrm{mod-rec}})=0.}</w:t>
      </w:r>
    </w:p>
    <w:p w:rsidR="00257957" w:rsidRDefault="00257957" w:rsidP="00257957">
      <w:r>
        <w:pict>
          <v:rect id="_x0000_i6853" style="width:0;height:1.5pt" o:hralign="center" o:hrstd="t" o:hr="t" fillcolor="#a0a0a0" stroked="f"/>
        </w:pict>
      </w:r>
    </w:p>
    <w:p w:rsidR="00257957" w:rsidRDefault="00257957" w:rsidP="00257957">
      <w:pPr>
        <w:pStyle w:val="berschrift1"/>
      </w:pPr>
      <w:r>
        <w:t>3.3.54.202 Kopplungsabweichung</w:t>
      </w:r>
    </w:p>
    <w:p w:rsidR="00257957" w:rsidRDefault="00257957" w:rsidP="00257957">
      <w:pPr>
        <w:pStyle w:val="StandardWeb"/>
      </w:pPr>
      <w:r>
        <w:t>Für zwei Kopplungsstrukturen kann ich ein modellabhängiges Abweichungsmaß definieren:</w:t>
      </w:r>
    </w:p>
    <w:p w:rsidR="00257957" w:rsidRDefault="00257957" w:rsidP="00257957">
      <w:pPr>
        <w:pStyle w:val="StandardWeb"/>
      </w:pPr>
      <w:r>
        <w:t>[</w:t>
      </w:r>
      <w:r>
        <w:br/>
        <w:t>d_F^{\mathrm{cpl}}</w:t>
      </w:r>
      <w:r>
        <w:br/>
        <w:t>:</w:t>
      </w:r>
      <w:r>
        <w:br/>
        <w:t>\mathcal K_F</w:t>
      </w:r>
      <w:r>
        <w:br/>
        <w:t>\times</w:t>
      </w:r>
      <w:r>
        <w:br/>
        <w:t>\mathcal K_F</w:t>
      </w:r>
      <w:r>
        <w:br/>
        <w:t>\rightarrow</w:t>
      </w:r>
      <w:r>
        <w:br/>
        <w:t>\mathbb R_{\geq0}.</w:t>
      </w:r>
      <w:r>
        <w:br/>
        <w:t>\tag{3.14447}</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d_F^{\mathrm{cpl}}:\mathcal K_F\times\mathcal K_F\rightarrow\mathbb R_{\geq0}</w:t>
      </w:r>
    </w:p>
    <w:p w:rsidR="00257957" w:rsidRDefault="00257957" w:rsidP="00257957">
      <w:r>
        <w:lastRenderedPageBreak/>
        <w:pict>
          <v:rect id="_x0000_i6854" style="width:0;height:1.5pt" o:hralign="center" o:hrstd="t" o:hr="t" fillcolor="#a0a0a0" stroked="f"/>
        </w:pict>
      </w:r>
    </w:p>
    <w:p w:rsidR="00257957" w:rsidRDefault="00257957" w:rsidP="00257957">
      <w:pPr>
        <w:pStyle w:val="berschrift2"/>
      </w:pPr>
      <w:r>
        <w:t>3.3.54.203 Definition 3.3.714 – Funktionales Kopplungsabweichungsmaß</w:t>
      </w:r>
    </w:p>
    <w:p w:rsidR="00257957" w:rsidRDefault="00257957" w:rsidP="00257957">
      <w:pPr>
        <w:pStyle w:val="berschrift3"/>
      </w:pPr>
      <w:r>
        <w:t>Definition 3.3.714</w:t>
      </w:r>
    </w:p>
    <w:p w:rsidR="00257957" w:rsidRDefault="00257957" w:rsidP="00257957">
      <w:pPr>
        <w:pStyle w:val="StandardWeb"/>
      </w:pPr>
      <w:r>
        <w:t xml:space="preserve">Ein </w:t>
      </w:r>
      <w:r>
        <w:rPr>
          <w:rStyle w:val="Fett"/>
        </w:rPr>
        <w:t>funktionales Kopplungsabweichungsmaß</w:t>
      </w:r>
      <w:r>
        <w:t xml:space="preserve"> ist eine modellabhängige Abbildung</w:t>
      </w:r>
    </w:p>
    <w:p w:rsidR="00257957" w:rsidRDefault="00257957" w:rsidP="00257957">
      <w:pPr>
        <w:pStyle w:val="StandardWeb"/>
      </w:pPr>
      <w:r>
        <w:t>[</w:t>
      </w:r>
      <w:r>
        <w:br/>
        <w:t>\boxed{</w:t>
      </w:r>
      <w:r>
        <w:br/>
        <w:t>d_F^{\mathrm{cpl}}</w:t>
      </w:r>
      <w:r>
        <w:br/>
        <w:t>:</w:t>
      </w:r>
      <w:r>
        <w:br/>
        <w:t>\mathcal K_F</w:t>
      </w:r>
      <w:r>
        <w:br/>
        <w:t>\times</w:t>
      </w:r>
      <w:r>
        <w:br/>
        <w:t>\mathcal K_F</w:t>
      </w:r>
      <w:r>
        <w:br/>
        <w:t>\rightarrow</w:t>
      </w:r>
      <w:r>
        <w:br/>
        <w:t>\mathbb R_{\geq0}.</w:t>
      </w:r>
      <w:r>
        <w:br/>
        <w:t>}</w:t>
      </w:r>
      <w:r>
        <w:br/>
        <w:t>\tag{3.14448}</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\boxed{d_F^{\mathrm{cpl}}:\mathcal K_F\times\mathcal K_F\rightarrow\mathbb R_{\geq0}.}</w:t>
      </w:r>
    </w:p>
    <w:p w:rsidR="00257957" w:rsidRDefault="00257957" w:rsidP="00257957">
      <w:r>
        <w:pict>
          <v:rect id="_x0000_i6855" style="width:0;height:1.5pt" o:hralign="center" o:hrstd="t" o:hr="t" fillcolor="#a0a0a0" stroked="f"/>
        </w:pict>
      </w:r>
    </w:p>
    <w:p w:rsidR="00257957" w:rsidRDefault="00257957" w:rsidP="00257957">
      <w:pPr>
        <w:pStyle w:val="berschrift1"/>
      </w:pPr>
      <w:r>
        <w:t>3.3.54.204 Entkopplungsfehler</w:t>
      </w:r>
    </w:p>
    <w:p w:rsidR="00257957" w:rsidRDefault="00257957" w:rsidP="00257957">
      <w:pPr>
        <w:pStyle w:val="StandardWeb"/>
      </w:pPr>
      <w:r>
        <w:t>Eine Entkopplung kann hinsichtlich eines Zielzustandes (K_F^{\mathrm{target}}) bewertet werden:</w:t>
      </w:r>
    </w:p>
    <w:p w:rsidR="00257957" w:rsidRDefault="00257957" w:rsidP="00257957">
      <w:pPr>
        <w:pStyle w:val="berschrift1"/>
      </w:pPr>
      <w:r>
        <w:t>[</w:t>
      </w:r>
      <w:r>
        <w:br/>
        <w:t>\varepsilon_{\mathrm{dec}}</w:t>
      </w:r>
      <w:r>
        <w:br/>
        <w:t>(K_F)</w:t>
      </w:r>
    </w:p>
    <w:p w:rsidR="00257957" w:rsidRDefault="00257957" w:rsidP="00257957">
      <w:pPr>
        <w:pStyle w:val="StandardWeb"/>
      </w:pPr>
      <w:r>
        <w:t>d_F^{\mathrm{cpl}}</w:t>
      </w:r>
      <w:r>
        <w:br/>
        <w:t>\left(</w:t>
      </w:r>
      <w:r>
        <w:br/>
        <w:t>D_F(K_F),</w:t>
      </w:r>
      <w:r>
        <w:br/>
        <w:t>K_F^{\mathrm{target}}</w:t>
      </w:r>
      <w:r>
        <w:br/>
        <w:t>\right).</w:t>
      </w:r>
      <w:r>
        <w:br/>
        <w:t>\tag{3.14449}</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lastRenderedPageBreak/>
        <w:t>\varepsilon_{\mathrm{dec}}(K_F)=d_F^{\mathrm{cpl}}\left(D_F(K_F),K_F^{\mathrm{target}}\right)</w:t>
      </w:r>
    </w:p>
    <w:p w:rsidR="00257957" w:rsidRDefault="00257957" w:rsidP="00257957">
      <w:r>
        <w:pict>
          <v:rect id="_x0000_i6856" style="width:0;height:1.5pt" o:hralign="center" o:hrstd="t" o:hr="t" fillcolor="#a0a0a0" stroked="f"/>
        </w:pict>
      </w:r>
    </w:p>
    <w:p w:rsidR="00257957" w:rsidRDefault="00257957" w:rsidP="00257957">
      <w:pPr>
        <w:pStyle w:val="berschrift2"/>
      </w:pPr>
      <w:r>
        <w:t>3.3.54.205 Definition 3.3.715 – Funktionaler Entkopplungsfehler</w:t>
      </w:r>
    </w:p>
    <w:p w:rsidR="00257957" w:rsidRDefault="00257957" w:rsidP="00257957">
      <w:pPr>
        <w:pStyle w:val="berschrift3"/>
      </w:pPr>
      <w:r>
        <w:t>Definition 3.3.715</w:t>
      </w:r>
    </w:p>
    <w:p w:rsidR="00257957" w:rsidRDefault="00257957" w:rsidP="00257957">
      <w:pPr>
        <w:pStyle w:val="StandardWeb"/>
      </w:pPr>
      <w:r>
        <w:t xml:space="preserve">Der </w:t>
      </w:r>
      <w:r>
        <w:rPr>
          <w:rStyle w:val="Fett"/>
        </w:rPr>
        <w:t>funktionale Entkopplungsfehler</w:t>
      </w:r>
      <w:r>
        <w:t xml:space="preserve"> ist</w:t>
      </w:r>
    </w:p>
    <w:p w:rsidR="00257957" w:rsidRDefault="00257957" w:rsidP="00257957">
      <w:pPr>
        <w:pStyle w:val="StandardWeb"/>
      </w:pPr>
      <w:r>
        <w:t>[</w:t>
      </w:r>
      <w:r>
        <w:br/>
        <w:t>\boxed{</w:t>
      </w:r>
      <w:r>
        <w:br/>
        <w:t>\varepsilon_{\mathrm{dec}}</w:t>
      </w:r>
      <w:r>
        <w:br/>
        <w:t>(K_F)</w:t>
      </w:r>
      <w:r>
        <w:br/>
        <w:t>:=</w:t>
      </w:r>
      <w:r>
        <w:br/>
        <w:t>d_F^{\mathrm{cpl}}</w:t>
      </w:r>
      <w:r>
        <w:br/>
        <w:t>\left(</w:t>
      </w:r>
      <w:r>
        <w:br/>
        <w:t>D_F(K_F),</w:t>
      </w:r>
      <w:r>
        <w:br/>
        <w:t>K_F^{\mathrm{target}}</w:t>
      </w:r>
      <w:r>
        <w:br/>
        <w:t>\right).</w:t>
      </w:r>
      <w:r>
        <w:br/>
        <w:t>}</w:t>
      </w:r>
      <w:r>
        <w:br/>
        <w:t>\tag{3.14450}</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\boxed{\varepsilon_{\mathrm{dec}}(K_F):=d_F^{\mathrm{cpl}}\left(D_F(K_F),K_F^{\mathrm{target}}\right).}</w:t>
      </w:r>
    </w:p>
    <w:p w:rsidR="00257957" w:rsidRDefault="00257957" w:rsidP="00257957">
      <w:r>
        <w:pict>
          <v:rect id="_x0000_i6857" style="width:0;height:1.5pt" o:hralign="center" o:hrstd="t" o:hr="t" fillcolor="#a0a0a0" stroked="f"/>
        </w:pict>
      </w:r>
    </w:p>
    <w:p w:rsidR="00257957" w:rsidRDefault="00257957" w:rsidP="00257957">
      <w:pPr>
        <w:pStyle w:val="berschrift1"/>
      </w:pPr>
      <w:r>
        <w:t>3.3.54.206 Fehlerfreie Entkopplung als Primäraxiomkandidat</w:t>
      </w:r>
    </w:p>
    <w:p w:rsidR="00257957" w:rsidRDefault="00257957" w:rsidP="00257957">
      <w:pPr>
        <w:pStyle w:val="StandardWeb"/>
      </w:pPr>
      <w:r>
        <w:t>Ein möglicher Kandidat wäre</w:t>
      </w:r>
    </w:p>
    <w:p w:rsidR="00257957" w:rsidRDefault="00257957" w:rsidP="00257957">
      <w:pPr>
        <w:pStyle w:val="berschrift1"/>
      </w:pPr>
      <w:r>
        <w:t>[</w:t>
      </w:r>
      <w:r>
        <w:br/>
        <w:t>A_{\mathrm{dec-zero}}</w:t>
      </w:r>
      <w:r>
        <w:br/>
        <w:t>:</w:t>
      </w:r>
      <w:r>
        <w:br/>
        <w:t>\varepsilon_{\mathrm{dec}}</w:t>
      </w:r>
      <w:r>
        <w:br/>
        <w:t>(K_F)</w:t>
      </w:r>
    </w:p>
    <w:p w:rsidR="00257957" w:rsidRDefault="00257957" w:rsidP="00257957">
      <w:pPr>
        <w:pStyle w:val="StandardWeb"/>
      </w:pPr>
      <w:r>
        <w:t>0</w:t>
      </w:r>
      <w:r>
        <w:br/>
        <w:t>\qquad</w:t>
      </w:r>
      <w:r>
        <w:br/>
        <w:t>\forall K_F.</w:t>
      </w:r>
      <w:r>
        <w:br/>
      </w:r>
      <w:r>
        <w:lastRenderedPageBreak/>
        <w:t>\tag{3.14451}</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A_{\mathrm{dec-zero}}:\varepsilon_{\mathrm{dec}}(K_F)=0\qquad\forall K_F</w:t>
      </w:r>
    </w:p>
    <w:p w:rsidR="00257957" w:rsidRDefault="00257957" w:rsidP="00257957">
      <w:r>
        <w:pict>
          <v:rect id="_x0000_i6858" style="width:0;height:1.5pt" o:hralign="center" o:hrstd="t" o:hr="t" fillcolor="#a0a0a0" stroked="f"/>
        </w:pict>
      </w:r>
    </w:p>
    <w:p w:rsidR="00257957" w:rsidRDefault="00257957" w:rsidP="00257957">
      <w:pPr>
        <w:pStyle w:val="berschrift1"/>
      </w:pPr>
      <w:r>
        <w:t>3.3.54.207 Gegenmodell zur fehlerfreien Entkopplung</w:t>
      </w:r>
    </w:p>
    <w:p w:rsidR="00257957" w:rsidRDefault="00257957" w:rsidP="00257957">
      <w:pPr>
        <w:pStyle w:val="StandardWeb"/>
      </w:pPr>
      <w:r>
        <w:t>Eine Entkopplung kann nur näherungsweise einen gewünschten Zielzustand erreichen:</w:t>
      </w:r>
    </w:p>
    <w:p w:rsidR="00257957" w:rsidRDefault="00257957" w:rsidP="00257957">
      <w:pPr>
        <w:pStyle w:val="StandardWeb"/>
      </w:pPr>
      <w:r>
        <w:t>[</w:t>
      </w:r>
      <w:r>
        <w:br/>
        <w:t>D_F(K_F)</w:t>
      </w:r>
      <w:r>
        <w:br/>
        <w:t>\neq</w:t>
      </w:r>
      <w:r>
        <w:br/>
        <w:t>K_F^{\mathrm{target}}.</w:t>
      </w:r>
      <w:r>
        <w:br/>
        <w:t>\tag{3.14452}</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D_F(K_F)\neq K_F^{\mathrm{target}}</w:t>
      </w:r>
    </w:p>
    <w:p w:rsidR="00257957" w:rsidRDefault="00257957" w:rsidP="00257957">
      <w:pPr>
        <w:pStyle w:val="StandardWeb"/>
      </w:pPr>
      <w:r>
        <w:t>Dann kann</w:t>
      </w:r>
    </w:p>
    <w:p w:rsidR="00257957" w:rsidRDefault="00257957" w:rsidP="00257957">
      <w:pPr>
        <w:pStyle w:val="StandardWeb"/>
      </w:pPr>
      <w:r>
        <w:t>[</w:t>
      </w:r>
      <w:r>
        <w:br/>
        <w:t>\varepsilon_{\mathrm{dec}}</w:t>
      </w:r>
      <w:r>
        <w:br/>
        <w:t>(K_F)</w:t>
      </w:r>
    </w:p>
    <w:p w:rsidR="00257957" w:rsidRDefault="00257957" w:rsidP="00257957">
      <w:pPr>
        <w:pStyle w:val="StandardWeb"/>
      </w:pPr>
      <w:r>
        <w:t>0</w:t>
      </w:r>
      <w:r>
        <w:br/>
        <w:t>\tag{3.14453}</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\varepsilon_{\mathrm{dec}}(K_F)&gt;0</w:t>
      </w:r>
    </w:p>
    <w:p w:rsidR="00257957" w:rsidRDefault="00257957" w:rsidP="00257957">
      <w:pPr>
        <w:pStyle w:val="StandardWeb"/>
      </w:pPr>
      <w:r>
        <w:t>gelten.</w:t>
      </w:r>
    </w:p>
    <w:p w:rsidR="00257957" w:rsidRDefault="00257957" w:rsidP="00257957">
      <w:r>
        <w:pict>
          <v:rect id="_x0000_i6859" style="width:0;height:1.5pt" o:hralign="center" o:hrstd="t" o:hr="t" fillcolor="#a0a0a0" stroked="f"/>
        </w:pict>
      </w:r>
    </w:p>
    <w:p w:rsidR="00257957" w:rsidRDefault="00257957" w:rsidP="00257957">
      <w:pPr>
        <w:pStyle w:val="berschrift1"/>
      </w:pPr>
      <w:r>
        <w:t>3.3.54.208 Axiomentscheidung zur fehlerfreien Entkopplung</w:t>
      </w:r>
    </w:p>
    <w:p w:rsidR="00257957" w:rsidRDefault="00257957" w:rsidP="00257957">
      <w:pPr>
        <w:pStyle w:val="StandardWeb"/>
      </w:pPr>
      <w:r>
        <w:t>Damit folgt</w:t>
      </w:r>
    </w:p>
    <w:p w:rsidR="00257957" w:rsidRDefault="00257957" w:rsidP="00257957">
      <w:pPr>
        <w:pStyle w:val="berschrift1"/>
      </w:pPr>
      <w:r>
        <w:t>[</w:t>
      </w:r>
      <w:r>
        <w:br/>
        <w:t>\boxed{</w:t>
      </w:r>
      <w:r>
        <w:br/>
      </w:r>
      <w:r>
        <w:lastRenderedPageBreak/>
        <w:t>U_{\mathrm{Ax}}</w:t>
      </w:r>
      <w:r>
        <w:br/>
        <w:t>(A_{\mathrm{dec-zero}})</w:t>
      </w:r>
    </w:p>
    <w:p w:rsidR="00257957" w:rsidRDefault="00257957" w:rsidP="009F7790">
      <w:pPr>
        <w:numPr>
          <w:ilvl w:val="0"/>
          <w:numId w:val="826"/>
        </w:numPr>
        <w:spacing w:before="100" w:beforeAutospacing="1" w:after="100" w:afterAutospacing="1"/>
      </w:pPr>
    </w:p>
    <w:p w:rsidR="00257957" w:rsidRDefault="00257957" w:rsidP="00257957">
      <w:pPr>
        <w:pStyle w:val="StandardWeb"/>
      </w:pPr>
      <w:r>
        <w:t>}</w:t>
      </w:r>
      <w:r>
        <w:br/>
        <w:t>\tag{3.14454}</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\boxed{U_{\mathrm{Ax}}(A_{\mathrm{dec-zero}})=0.}</w:t>
      </w:r>
    </w:p>
    <w:p w:rsidR="00257957" w:rsidRDefault="00257957" w:rsidP="00257957">
      <w:r>
        <w:pict>
          <v:rect id="_x0000_i6860" style="width:0;height:1.5pt" o:hralign="center" o:hrstd="t" o:hr="t" fillcolor="#a0a0a0" stroked="f"/>
        </w:pict>
      </w:r>
    </w:p>
    <w:p w:rsidR="00257957" w:rsidRDefault="00257957" w:rsidP="00257957">
      <w:pPr>
        <w:pStyle w:val="berschrift1"/>
      </w:pPr>
      <w:r>
        <w:t>3.3.54.209 Satz 3.3.297 – Fehlerfreie Entkopplung ist kein Primäraxiom</w:t>
      </w:r>
    </w:p>
    <w:p w:rsidR="00257957" w:rsidRDefault="00257957" w:rsidP="00257957">
      <w:pPr>
        <w:pStyle w:val="berschrift3"/>
      </w:pPr>
      <w:r>
        <w:t>Satz 3.3.297</w:t>
      </w:r>
    </w:p>
    <w:p w:rsidR="00257957" w:rsidRDefault="00257957" w:rsidP="00257957">
      <w:pPr>
        <w:pStyle w:val="StandardWeb"/>
      </w:pPr>
      <w:r>
        <w:t>Die Forderung, jede funktionale Entkopplung müsse einen vorgegebenen Zielzustand ohne Abweichung erreichen, ist keine universell notwendige Voraussetzung des allgemeinen FRZK.</w:t>
      </w:r>
    </w:p>
    <w:p w:rsidR="00257957" w:rsidRDefault="00257957" w:rsidP="00257957">
      <w:pPr>
        <w:pStyle w:val="berschrift1"/>
      </w:pPr>
      <w:r>
        <w:t>[</w:t>
      </w:r>
      <w:r>
        <w:br/>
        <w:t>\boxed{</w:t>
      </w:r>
      <w:r>
        <w:br/>
        <w:t>U_{\mathrm{Ax}}</w:t>
      </w:r>
      <w:r>
        <w:br/>
        <w:t>(A_{\mathrm{dec-zero}})</w:t>
      </w:r>
    </w:p>
    <w:p w:rsidR="00257957" w:rsidRDefault="00257957" w:rsidP="009F7790">
      <w:pPr>
        <w:numPr>
          <w:ilvl w:val="0"/>
          <w:numId w:val="827"/>
        </w:numPr>
        <w:spacing w:before="100" w:beforeAutospacing="1" w:after="100" w:afterAutospacing="1"/>
      </w:pPr>
    </w:p>
    <w:p w:rsidR="00257957" w:rsidRDefault="00257957" w:rsidP="00257957">
      <w:pPr>
        <w:pStyle w:val="StandardWeb"/>
      </w:pPr>
      <w:r>
        <w:t>}</w:t>
      </w:r>
      <w:r>
        <w:br/>
        <w:t>\tag{3.14455}</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\boxed{U_{\mathrm{Ax}}(A_{\mathrm{dec-zero}})=0.}</w:t>
      </w:r>
    </w:p>
    <w:p w:rsidR="00257957" w:rsidRDefault="00257957" w:rsidP="00257957">
      <w:r>
        <w:pict>
          <v:rect id="_x0000_i6861" style="width:0;height:1.5pt" o:hralign="center" o:hrstd="t" o:hr="t" fillcolor="#a0a0a0" stroked="f"/>
        </w:pict>
      </w:r>
    </w:p>
    <w:p w:rsidR="00257957" w:rsidRDefault="00257957" w:rsidP="00257957">
      <w:pPr>
        <w:pStyle w:val="berschrift1"/>
      </w:pPr>
      <w:r>
        <w:t>3.3.54.210 Korollar 3.3.91 – Entkopplungsfehler ist modellabhängig</w:t>
      </w:r>
    </w:p>
    <w:p w:rsidR="00257957" w:rsidRDefault="00257957" w:rsidP="00257957">
      <w:pPr>
        <w:pStyle w:val="berschrift3"/>
      </w:pPr>
      <w:r>
        <w:t>Korollar 3.3.91</w:t>
      </w:r>
    </w:p>
    <w:p w:rsidR="00257957" w:rsidRDefault="00257957" w:rsidP="00257957">
      <w:pPr>
        <w:pStyle w:val="StandardWeb"/>
      </w:pPr>
      <w:r>
        <w:lastRenderedPageBreak/>
        <w:t>Aus Satz 3.3.297 folgt</w:t>
      </w:r>
    </w:p>
    <w:p w:rsidR="00257957" w:rsidRDefault="00257957" w:rsidP="00257957">
      <w:pPr>
        <w:pStyle w:val="berschrift1"/>
      </w:pPr>
      <w:r>
        <w:t>[</w:t>
      </w:r>
      <w:r>
        <w:br/>
        <w:t>\boxed{</w:t>
      </w:r>
      <w:r>
        <w:br/>
        <w:t>\operatorname{Stat}</w:t>
      </w:r>
      <w:r>
        <w:br/>
        <w:t>(</w:t>
      </w:r>
      <w:r>
        <w:br/>
        <w:t>\varepsilon_{\mathrm{dec}}</w:t>
      </w:r>
      <w:r>
        <w:br/>
        <w:t>)</w:t>
      </w:r>
    </w:p>
    <w:p w:rsidR="00257957" w:rsidRDefault="00257957" w:rsidP="00257957">
      <w:pPr>
        <w:pStyle w:val="StandardWeb"/>
      </w:pPr>
      <w:r>
        <w:t>\mathrm{Def/Mod/Op}.</w:t>
      </w:r>
      <w:r>
        <w:br/>
        <w:t>}</w:t>
      </w:r>
      <w:r>
        <w:br/>
        <w:t>\tag{3.14456}</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\boxed{\operatorname{Stat}(\varepsilon_{\mathrm{dec}})=\mathrm{Def/Mod/Op}.}</w:t>
      </w:r>
    </w:p>
    <w:p w:rsidR="00257957" w:rsidRDefault="00257957" w:rsidP="00257957">
      <w:r>
        <w:pict>
          <v:rect id="_x0000_i6862" style="width:0;height:1.5pt" o:hralign="center" o:hrstd="t" o:hr="t" fillcolor="#a0a0a0" stroked="f"/>
        </w:pict>
      </w:r>
    </w:p>
    <w:p w:rsidR="00257957" w:rsidRDefault="00257957" w:rsidP="00257957">
      <w:pPr>
        <w:pStyle w:val="berschrift1"/>
      </w:pPr>
      <w:r>
        <w:t>3.3.54.211 Existenz funktionaler Kopplung als Minimalitätsfrage</w:t>
      </w:r>
    </w:p>
    <w:p w:rsidR="00257957" w:rsidRDefault="00257957" w:rsidP="00257957">
      <w:pPr>
        <w:pStyle w:val="StandardWeb"/>
      </w:pPr>
      <w:r>
        <w:t>Nun führe ich die abschließende Minimalitätsprüfung des Abschnitts durch.</w:t>
      </w:r>
    </w:p>
    <w:p w:rsidR="00257957" w:rsidRDefault="00257957" w:rsidP="00257957">
      <w:pPr>
        <w:pStyle w:val="StandardWeb"/>
      </w:pPr>
      <w:r>
        <w:t>Bereits Satz 3.3.276 hat gezeigt:</w:t>
      </w:r>
    </w:p>
    <w:p w:rsidR="00257957" w:rsidRDefault="00257957" w:rsidP="00257957">
      <w:pPr>
        <w:pStyle w:val="berschrift1"/>
      </w:pPr>
      <w:r>
        <w:t>[</w:t>
      </w:r>
      <w:r>
        <w:br/>
        <w:t>U_{\mathrm{Ax}}</w:t>
      </w:r>
      <w:r>
        <w:br/>
        <w:t>(A_{\mathrm{cpl-ex}})</w:t>
      </w:r>
    </w:p>
    <w:p w:rsidR="00257957" w:rsidRDefault="00257957" w:rsidP="009F7790">
      <w:pPr>
        <w:numPr>
          <w:ilvl w:val="0"/>
          <w:numId w:val="828"/>
        </w:numPr>
        <w:spacing w:before="100" w:beforeAutospacing="1" w:after="100" w:afterAutospacing="1"/>
      </w:pPr>
    </w:p>
    <w:p w:rsidR="00257957" w:rsidRDefault="00257957" w:rsidP="00257957">
      <w:pPr>
        <w:pStyle w:val="StandardWeb"/>
      </w:pPr>
      <w:r>
        <w:t>\tag{3.14457}</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U_{\mathrm{Ax}}(A_{\mathrm{cpl-ex}})=0</w:t>
      </w:r>
    </w:p>
    <w:p w:rsidR="00257957" w:rsidRDefault="00257957" w:rsidP="00257957">
      <w:pPr>
        <w:pStyle w:val="StandardWeb"/>
      </w:pPr>
      <w:r>
        <w:t>Eine Kopplungsstruktur gehört daher nicht notwendig zum minimalen FRZK.</w:t>
      </w:r>
    </w:p>
    <w:p w:rsidR="00257957" w:rsidRDefault="00257957" w:rsidP="00257957">
      <w:r>
        <w:pict>
          <v:rect id="_x0000_i6863" style="width:0;height:1.5pt" o:hralign="center" o:hrstd="t" o:hr="t" fillcolor="#a0a0a0" stroked="f"/>
        </w:pict>
      </w:r>
    </w:p>
    <w:p w:rsidR="00257957" w:rsidRDefault="00257957" w:rsidP="00257957">
      <w:pPr>
        <w:pStyle w:val="berschrift1"/>
      </w:pPr>
      <w:r>
        <w:lastRenderedPageBreak/>
        <w:t>3.3.54.212 Existenz funktionaler Entkopplung als Minimalitätsfrage</w:t>
      </w:r>
    </w:p>
    <w:p w:rsidR="00257957" w:rsidRDefault="00257957" w:rsidP="00257957">
      <w:pPr>
        <w:pStyle w:val="StandardWeb"/>
      </w:pPr>
      <w:r>
        <w:t>Für Entkopplung gilt entsprechend</w:t>
      </w:r>
    </w:p>
    <w:p w:rsidR="00257957" w:rsidRDefault="00257957" w:rsidP="00257957">
      <w:pPr>
        <w:pStyle w:val="berschrift1"/>
      </w:pPr>
      <w:r>
        <w:t>[</w:t>
      </w:r>
      <w:r>
        <w:br/>
        <w:t>U_{\mathrm{Ax}}</w:t>
      </w:r>
      <w:r>
        <w:br/>
        <w:t>(A_{\mathrm{dec-ex}})</w:t>
      </w:r>
    </w:p>
    <w:p w:rsidR="00257957" w:rsidRDefault="00257957" w:rsidP="009F7790">
      <w:pPr>
        <w:numPr>
          <w:ilvl w:val="0"/>
          <w:numId w:val="829"/>
        </w:numPr>
        <w:spacing w:before="100" w:beforeAutospacing="1" w:after="100" w:afterAutospacing="1"/>
      </w:pPr>
    </w:p>
    <w:p w:rsidR="00257957" w:rsidRDefault="00257957" w:rsidP="00257957">
      <w:pPr>
        <w:pStyle w:val="StandardWeb"/>
      </w:pPr>
      <w:r>
        <w:t>\tag{3.14458}</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U_{\mathrm{Ax}}(A_{\mathrm{dec-ex}})=0</w:t>
      </w:r>
    </w:p>
    <w:p w:rsidR="00257957" w:rsidRDefault="00257957" w:rsidP="00257957">
      <w:pPr>
        <w:pStyle w:val="StandardWeb"/>
      </w:pPr>
      <w:r>
        <w:t>Auch eine Entkopplungsoperation ist nicht universell notwendig.</w:t>
      </w:r>
    </w:p>
    <w:p w:rsidR="00257957" w:rsidRDefault="00257957" w:rsidP="00257957">
      <w:r>
        <w:pict>
          <v:rect id="_x0000_i6864" style="width:0;height:1.5pt" o:hralign="center" o:hrstd="t" o:hr="t" fillcolor="#a0a0a0" stroked="f"/>
        </w:pict>
      </w:r>
    </w:p>
    <w:p w:rsidR="00257957" w:rsidRDefault="00257957" w:rsidP="00257957">
      <w:pPr>
        <w:pStyle w:val="berschrift1"/>
      </w:pPr>
      <w:r>
        <w:t>3.3.54.213 Existenz einer Kompositionsstruktur als Primäraxiomkandidat</w:t>
      </w:r>
    </w:p>
    <w:p w:rsidR="00257957" w:rsidRDefault="00257957" w:rsidP="00257957">
      <w:pPr>
        <w:pStyle w:val="StandardWeb"/>
      </w:pPr>
      <w:r>
        <w:t>Ich prüfe nun ausdrücklich</w:t>
      </w:r>
    </w:p>
    <w:p w:rsidR="00257957" w:rsidRDefault="00257957" w:rsidP="00257957">
      <w:pPr>
        <w:pStyle w:val="StandardWeb"/>
      </w:pPr>
      <w:r>
        <w:t>[</w:t>
      </w:r>
      <w:r>
        <w:br/>
        <w:t>A_{\mathrm{comp-ex}}</w:t>
      </w:r>
      <w:r>
        <w:br/>
        <w:t>:</w:t>
      </w:r>
      <w:r>
        <w:br/>
        <w:t>\exists\circ_F.</w:t>
      </w:r>
      <w:r>
        <w:br/>
        <w:t>\tag{3.14459}</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A_{\mathrm{comp-ex}}:\exists\circ_F</w:t>
      </w:r>
    </w:p>
    <w:p w:rsidR="00257957" w:rsidRDefault="00257957" w:rsidP="00257957">
      <w:pPr>
        <w:pStyle w:val="StandardWeb"/>
      </w:pPr>
      <w:r>
        <w:t>Dabei bezeichnet (\circ_F) eine ausgezeichnete funktionale Kompositionsstruktur innerhalb des Modells.</w:t>
      </w:r>
    </w:p>
    <w:p w:rsidR="00257957" w:rsidRDefault="00257957" w:rsidP="00257957">
      <w:r>
        <w:pict>
          <v:rect id="_x0000_i6865" style="width:0;height:1.5pt" o:hralign="center" o:hrstd="t" o:hr="t" fillcolor="#a0a0a0" stroked="f"/>
        </w:pict>
      </w:r>
    </w:p>
    <w:p w:rsidR="00257957" w:rsidRDefault="00257957" w:rsidP="00257957">
      <w:pPr>
        <w:pStyle w:val="berschrift1"/>
      </w:pPr>
      <w:r>
        <w:t>3.3.54.214 Gegenmodell ohne ausgezeichnete Kompositionsstruktur</w:t>
      </w:r>
    </w:p>
    <w:p w:rsidR="00257957" w:rsidRDefault="00257957" w:rsidP="00257957">
      <w:pPr>
        <w:pStyle w:val="StandardWeb"/>
      </w:pPr>
      <w:r>
        <w:lastRenderedPageBreak/>
        <w:t>Ein FRZK-Modell kann durch Zustände, Relationen und Übergänge beschrieben werden, ohne dass eine eigenständige Kompositionsoperation als Modellobjekt eingeführt wird:</w:t>
      </w:r>
    </w:p>
    <w:p w:rsidR="00257957" w:rsidRDefault="00257957" w:rsidP="00257957">
      <w:pPr>
        <w:pStyle w:val="StandardWeb"/>
      </w:pPr>
      <w:r>
        <w:t>[</w:t>
      </w:r>
      <w:r>
        <w:br/>
        <w:t>\circ_F</w:t>
      </w:r>
      <w:r>
        <w:br/>
        <w:t>\notin</w:t>
      </w:r>
      <w:r>
        <w:br/>
        <w:t>\mathfrak E_{\mathrm{model}}.</w:t>
      </w:r>
      <w:r>
        <w:br/>
        <w:t>\tag{3.14460}</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\circ_F\notin\mathfrak E_{\mathrm{model}}</w:t>
      </w:r>
    </w:p>
    <w:p w:rsidR="00257957" w:rsidRDefault="00257957" w:rsidP="00257957">
      <w:r>
        <w:pict>
          <v:rect id="_x0000_i6866" style="width:0;height:1.5pt" o:hralign="center" o:hrstd="t" o:hr="t" fillcolor="#a0a0a0" stroked="f"/>
        </w:pict>
      </w:r>
    </w:p>
    <w:p w:rsidR="00257957" w:rsidRDefault="00257957" w:rsidP="00257957">
      <w:pPr>
        <w:pStyle w:val="berschrift1"/>
      </w:pPr>
      <w:r>
        <w:t>3.3.54.215 Axiomentscheidung zur Kompositionsexistenz</w:t>
      </w:r>
    </w:p>
    <w:p w:rsidR="00257957" w:rsidRDefault="00257957" w:rsidP="00257957">
      <w:pPr>
        <w:pStyle w:val="StandardWeb"/>
      </w:pPr>
      <w:r>
        <w:t>Damit gilt</w:t>
      </w:r>
    </w:p>
    <w:p w:rsidR="00257957" w:rsidRDefault="00257957" w:rsidP="00257957">
      <w:pPr>
        <w:pStyle w:val="berschrift1"/>
      </w:pPr>
      <w:r>
        <w:t>[</w:t>
      </w:r>
      <w:r>
        <w:br/>
        <w:t>\boxed{</w:t>
      </w:r>
      <w:r>
        <w:br/>
        <w:t>U_{\mathrm{Ax}}</w:t>
      </w:r>
      <w:r>
        <w:br/>
        <w:t>(A_{\mathrm{comp-ex}})</w:t>
      </w:r>
    </w:p>
    <w:p w:rsidR="00257957" w:rsidRDefault="00257957" w:rsidP="009F7790">
      <w:pPr>
        <w:numPr>
          <w:ilvl w:val="0"/>
          <w:numId w:val="830"/>
        </w:numPr>
        <w:spacing w:before="100" w:beforeAutospacing="1" w:after="100" w:afterAutospacing="1"/>
      </w:pPr>
    </w:p>
    <w:p w:rsidR="00257957" w:rsidRDefault="00257957" w:rsidP="00257957">
      <w:pPr>
        <w:pStyle w:val="StandardWeb"/>
      </w:pPr>
      <w:r>
        <w:t>}</w:t>
      </w:r>
      <w:r>
        <w:br/>
        <w:t>\tag{3.14461}</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\boxed{U_{\mathrm{Ax}}(A_{\mathrm{comp-ex}})=0.}</w:t>
      </w:r>
    </w:p>
    <w:p w:rsidR="00257957" w:rsidRDefault="00257957" w:rsidP="00257957">
      <w:r>
        <w:pict>
          <v:rect id="_x0000_i6867" style="width:0;height:1.5pt" o:hralign="center" o:hrstd="t" o:hr="t" fillcolor="#a0a0a0" stroked="f"/>
        </w:pict>
      </w:r>
    </w:p>
    <w:p w:rsidR="00257957" w:rsidRDefault="00257957" w:rsidP="00257957">
      <w:pPr>
        <w:pStyle w:val="berschrift1"/>
      </w:pPr>
      <w:r>
        <w:t>3.3.54.216 Existenz einer Modularisierung als Primäraxiomkandidat</w:t>
      </w:r>
    </w:p>
    <w:p w:rsidR="00257957" w:rsidRDefault="00257957" w:rsidP="00257957">
      <w:pPr>
        <w:pStyle w:val="StandardWeb"/>
      </w:pPr>
      <w:r>
        <w:t>Analog prüfe ich</w:t>
      </w:r>
    </w:p>
    <w:p w:rsidR="00257957" w:rsidRDefault="00257957" w:rsidP="00257957">
      <w:pPr>
        <w:pStyle w:val="StandardWeb"/>
      </w:pPr>
      <w:r>
        <w:t>[</w:t>
      </w:r>
      <w:r>
        <w:br/>
        <w:t>A_{\mathrm{mod-ex}}</w:t>
      </w:r>
      <w:r>
        <w:br/>
        <w:t>:</w:t>
      </w:r>
      <w:r>
        <w:br/>
        <w:t>\exists Z_F.</w:t>
      </w:r>
      <w:r>
        <w:br/>
      </w:r>
      <w:r>
        <w:lastRenderedPageBreak/>
        <w:t>\tag{3.14462}</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A_{\mathrm{mod-ex}}:\exists Z_F</w:t>
      </w:r>
    </w:p>
    <w:p w:rsidR="00257957" w:rsidRDefault="00257957" w:rsidP="00257957">
      <w:r>
        <w:pict>
          <v:rect id="_x0000_i6868" style="width:0;height:1.5pt" o:hralign="center" o:hrstd="t" o:hr="t" fillcolor="#a0a0a0" stroked="f"/>
        </w:pict>
      </w:r>
    </w:p>
    <w:p w:rsidR="00257957" w:rsidRDefault="00257957" w:rsidP="00257957">
      <w:pPr>
        <w:pStyle w:val="berschrift1"/>
      </w:pPr>
      <w:r>
        <w:t>3.3.54.217 Gegenmodell ohne Modularisierung</w:t>
      </w:r>
    </w:p>
    <w:p w:rsidR="00257957" w:rsidRDefault="00257957" w:rsidP="00257957">
      <w:pPr>
        <w:pStyle w:val="StandardWeb"/>
      </w:pPr>
      <w:r>
        <w:t>Eine funktionale Gesamtstruktur kann ohne ausgezeichnete modulare Zerlegung beschrieben werden:</w:t>
      </w:r>
    </w:p>
    <w:p w:rsidR="00257957" w:rsidRDefault="00257957" w:rsidP="00257957">
      <w:pPr>
        <w:pStyle w:val="StandardWeb"/>
      </w:pPr>
      <w:r>
        <w:t>[</w:t>
      </w:r>
      <w:r>
        <w:br/>
        <w:t>Z_F</w:t>
      </w:r>
      <w:r>
        <w:br/>
        <w:t>\notin</w:t>
      </w:r>
      <w:r>
        <w:br/>
        <w:t>\mathfrak E_{\mathrm{model}}.</w:t>
      </w:r>
      <w:r>
        <w:br/>
        <w:t>\tag{3.14463}</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Z_F\notin\mathfrak E_{\mathrm{model}}</w:t>
      </w:r>
    </w:p>
    <w:p w:rsidR="00257957" w:rsidRDefault="00257957" w:rsidP="00257957">
      <w:r>
        <w:pict>
          <v:rect id="_x0000_i6869" style="width:0;height:1.5pt" o:hralign="center" o:hrstd="t" o:hr="t" fillcolor="#a0a0a0" stroked="f"/>
        </w:pict>
      </w:r>
    </w:p>
    <w:p w:rsidR="00257957" w:rsidRDefault="00257957" w:rsidP="00257957">
      <w:pPr>
        <w:pStyle w:val="berschrift1"/>
      </w:pPr>
      <w:r>
        <w:t>3.3.54.218 Axiomentscheidung zur Modularisierungsexistenz</w:t>
      </w:r>
    </w:p>
    <w:p w:rsidR="00257957" w:rsidRDefault="00257957" w:rsidP="00257957">
      <w:pPr>
        <w:pStyle w:val="StandardWeb"/>
      </w:pPr>
      <w:r>
        <w:t>Damit folgt</w:t>
      </w:r>
    </w:p>
    <w:p w:rsidR="00257957" w:rsidRDefault="00257957" w:rsidP="00257957">
      <w:pPr>
        <w:pStyle w:val="berschrift1"/>
      </w:pPr>
      <w:r>
        <w:t>[</w:t>
      </w:r>
      <w:r>
        <w:br/>
        <w:t>\boxed{</w:t>
      </w:r>
      <w:r>
        <w:br/>
        <w:t>U_{\mathrm{Ax}}</w:t>
      </w:r>
      <w:r>
        <w:br/>
        <w:t>(A_{\mathrm{mod-ex}})</w:t>
      </w:r>
    </w:p>
    <w:p w:rsidR="00257957" w:rsidRDefault="00257957" w:rsidP="009F7790">
      <w:pPr>
        <w:numPr>
          <w:ilvl w:val="0"/>
          <w:numId w:val="831"/>
        </w:numPr>
        <w:spacing w:before="100" w:beforeAutospacing="1" w:after="100" w:afterAutospacing="1"/>
      </w:pPr>
    </w:p>
    <w:p w:rsidR="00257957" w:rsidRDefault="00257957" w:rsidP="00257957">
      <w:pPr>
        <w:pStyle w:val="StandardWeb"/>
      </w:pPr>
      <w:r>
        <w:t>}</w:t>
      </w:r>
      <w:r>
        <w:br/>
        <w:t>\tag{3.14464}</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\boxed{U_{\mathrm{Ax}}(A_{\mathrm{mod-ex}})=0.}</w:t>
      </w:r>
    </w:p>
    <w:p w:rsidR="00257957" w:rsidRDefault="00257957" w:rsidP="00257957">
      <w:r>
        <w:pict>
          <v:rect id="_x0000_i6870" style="width:0;height:1.5pt" o:hralign="center" o:hrstd="t" o:hr="t" fillcolor="#a0a0a0" stroked="f"/>
        </w:pict>
      </w:r>
    </w:p>
    <w:p w:rsidR="00257957" w:rsidRDefault="00257957" w:rsidP="00257957">
      <w:pPr>
        <w:pStyle w:val="berschrift1"/>
      </w:pPr>
      <w:r>
        <w:lastRenderedPageBreak/>
        <w:t>3.3.54.219 Gemeinsames Minimalitätsgegenmodell</w:t>
      </w:r>
    </w:p>
    <w:p w:rsidR="00257957" w:rsidRDefault="00257957" w:rsidP="00257957">
      <w:pPr>
        <w:pStyle w:val="StandardWeb"/>
      </w:pPr>
      <w:r>
        <w:t>Ich kann eine zulässige funktionale Grundstruktur betrachten, in der</w:t>
      </w:r>
    </w:p>
    <w:p w:rsidR="00257957" w:rsidRDefault="00257957" w:rsidP="00257957">
      <w:pPr>
        <w:pStyle w:val="StandardWeb"/>
      </w:pPr>
      <w:r>
        <w:t>[</w:t>
      </w:r>
      <w:r>
        <w:br/>
        <w:t>K_F,</w:t>
      </w:r>
      <w:r>
        <w:br/>
        <w:t>D_F,</w:t>
      </w:r>
      <w:r>
        <w:br/>
        <w:t>\circ_F,</w:t>
      </w:r>
      <w:r>
        <w:br/>
        <w:t>Z_F</w:t>
      </w:r>
      <w:r>
        <w:br/>
        <w:t>\notin</w:t>
      </w:r>
      <w:r>
        <w:br/>
        <w:t>\mathfrak E_{\mathrm{model}}</w:t>
      </w:r>
      <w:r>
        <w:br/>
        <w:t>\tag{3.14465}</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K_F,D_F,\circ_F,Z_F\notin\mathfrak E_{\mathrm{model}}</w:t>
      </w:r>
    </w:p>
    <w:p w:rsidR="00257957" w:rsidRDefault="00257957" w:rsidP="00257957">
      <w:pPr>
        <w:pStyle w:val="StandardWeb"/>
      </w:pPr>
      <w:r>
        <w:t>gilt.</w:t>
      </w:r>
    </w:p>
    <w:p w:rsidR="00257957" w:rsidRDefault="00257957" w:rsidP="00257957">
      <w:pPr>
        <w:pStyle w:val="StandardWeb"/>
      </w:pPr>
      <w:r>
        <w:t>Gleichzeitig kann ein nichtleerer funktionaler Zustandsraum vorhanden sein:</w:t>
      </w:r>
    </w:p>
    <w:p w:rsidR="00257957" w:rsidRDefault="00257957" w:rsidP="00257957">
      <w:pPr>
        <w:pStyle w:val="StandardWeb"/>
      </w:pPr>
      <w:r>
        <w:t>[</w:t>
      </w:r>
      <w:r>
        <w:br/>
        <w:t>\mathcal X_F</w:t>
      </w:r>
      <w:r>
        <w:br/>
        <w:t>\neq</w:t>
      </w:r>
      <w:r>
        <w:br/>
        <w:t>\varnothing.</w:t>
      </w:r>
      <w:r>
        <w:br/>
        <w:t>\tag{3.14466}</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\mathcal X_F\neq\varnothing</w:t>
      </w:r>
    </w:p>
    <w:p w:rsidR="00257957" w:rsidRDefault="00257957" w:rsidP="00257957">
      <w:pPr>
        <w:pStyle w:val="StandardWeb"/>
      </w:pPr>
      <w:r>
        <w:t>Damit bleibt die minimale funktionale Grundstruktur formulierbar, ohne dass Kopplung, Entkopplung, Komposition oder Modularisierung vorausgesetzt werden.</w:t>
      </w:r>
    </w:p>
    <w:p w:rsidR="00257957" w:rsidRDefault="00257957" w:rsidP="00257957">
      <w:r>
        <w:pict>
          <v:rect id="_x0000_i6871" style="width:0;height:1.5pt" o:hralign="center" o:hrstd="t" o:hr="t" fillcolor="#a0a0a0" stroked="f"/>
        </w:pict>
      </w:r>
    </w:p>
    <w:p w:rsidR="00257957" w:rsidRDefault="00257957" w:rsidP="00257957">
      <w:pPr>
        <w:pStyle w:val="berschrift1"/>
      </w:pPr>
      <w:r>
        <w:t>3.3.54.220 Gemeinsame Axiomentscheidung</w:t>
      </w:r>
    </w:p>
    <w:p w:rsidR="00257957" w:rsidRDefault="00257957" w:rsidP="00257957">
      <w:pPr>
        <w:pStyle w:val="StandardWeb"/>
      </w:pPr>
      <w:r>
        <w:t>Es gilt daher</w:t>
      </w:r>
    </w:p>
    <w:p w:rsidR="00257957" w:rsidRDefault="00257957" w:rsidP="00257957">
      <w:pPr>
        <w:pStyle w:val="berschrift1"/>
      </w:pPr>
      <w:r>
        <w:t>[</w:t>
      </w:r>
      <w:r>
        <w:br/>
        <w:t>\boxed{</w:t>
      </w:r>
      <w:r>
        <w:br/>
        <w:t>U_{\mathrm{Ax}}</w:t>
      </w:r>
      <w:r>
        <w:br/>
        <w:t>(A_{\mathrm{cpl-ex}})</w:t>
      </w:r>
    </w:p>
    <w:p w:rsidR="00257957" w:rsidRDefault="00257957" w:rsidP="00257957">
      <w:pPr>
        <w:pStyle w:val="berschrift1"/>
      </w:pPr>
      <w:r>
        <w:lastRenderedPageBreak/>
        <w:t>U_{\mathrm{Ax}}</w:t>
      </w:r>
      <w:r>
        <w:br/>
        <w:t>(A_{\mathrm{dec-ex}})</w:t>
      </w:r>
    </w:p>
    <w:p w:rsidR="00257957" w:rsidRDefault="00257957" w:rsidP="00257957">
      <w:pPr>
        <w:pStyle w:val="berschrift1"/>
      </w:pPr>
      <w:r>
        <w:t>U_{\mathrm{Ax}}</w:t>
      </w:r>
      <w:r>
        <w:br/>
        <w:t>(A_{\mathrm{comp-ex}})</w:t>
      </w:r>
    </w:p>
    <w:p w:rsidR="00257957" w:rsidRDefault="00257957" w:rsidP="00257957">
      <w:pPr>
        <w:pStyle w:val="berschrift1"/>
      </w:pPr>
      <w:r>
        <w:t>U_{\mathrm{Ax}}</w:t>
      </w:r>
      <w:r>
        <w:br/>
        <w:t>(A_{\mathrm{mod-ex}})</w:t>
      </w:r>
    </w:p>
    <w:p w:rsidR="00257957" w:rsidRDefault="00257957" w:rsidP="009F7790">
      <w:pPr>
        <w:numPr>
          <w:ilvl w:val="0"/>
          <w:numId w:val="832"/>
        </w:numPr>
        <w:spacing w:before="100" w:beforeAutospacing="1" w:after="100" w:afterAutospacing="1"/>
      </w:pPr>
    </w:p>
    <w:p w:rsidR="00257957" w:rsidRDefault="00257957" w:rsidP="00257957">
      <w:pPr>
        <w:pStyle w:val="StandardWeb"/>
      </w:pPr>
      <w:r>
        <w:t>}</w:t>
      </w:r>
      <w:r>
        <w:br/>
        <w:t>\tag{3.14467}</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\boxed{U_{\mathrm{Ax}}(A_{\mathrm{cpl-ex}})=U_{\mathrm{Ax}}(A_{\mathrm{dec-ex}})=U_{\mathrm{Ax}}(A_{\mathrm{comp-ex}})=U_{\mathrm{Ax}}(A_{\mathrm{mod-ex}})=0.}</w:t>
      </w:r>
    </w:p>
    <w:p w:rsidR="00257957" w:rsidRDefault="00257957" w:rsidP="00257957">
      <w:r>
        <w:pict>
          <v:rect id="_x0000_i6872" style="width:0;height:1.5pt" o:hralign="center" o:hrstd="t" o:hr="t" fillcolor="#a0a0a0" stroked="f"/>
        </w:pict>
      </w:r>
    </w:p>
    <w:p w:rsidR="00257957" w:rsidRDefault="00257957" w:rsidP="00257957">
      <w:pPr>
        <w:pStyle w:val="berschrift1"/>
      </w:pPr>
      <w:r>
        <w:t>3.3.54.221 Satz 3.3.298 – Kopplung, Entkopplung, Komposition und Modularisierung sind keine Primäraxiome</w:t>
      </w:r>
    </w:p>
    <w:p w:rsidR="00257957" w:rsidRDefault="00257957" w:rsidP="00257957">
      <w:pPr>
        <w:pStyle w:val="berschrift3"/>
      </w:pPr>
      <w:r>
        <w:t>Satz 3.3.298</w:t>
      </w:r>
    </w:p>
    <w:p w:rsidR="00257957" w:rsidRDefault="00257957" w:rsidP="00257957">
      <w:pPr>
        <w:pStyle w:val="StandardWeb"/>
      </w:pPr>
      <w:r>
        <w:t>Die Forderung, jedes zulässige FRZK-Modell müsse über eine funktionale Kopplungs-, Entkopplungs-, Kompositions- oder Modularisierungsstruktur verfügen, ist keine universell notwendige Voraussetzung des allgemeinen FRZK.</w:t>
      </w:r>
    </w:p>
    <w:p w:rsidR="00257957" w:rsidRDefault="00257957" w:rsidP="00257957">
      <w:pPr>
        <w:pStyle w:val="berschrift1"/>
      </w:pPr>
      <w:r>
        <w:t>[</w:t>
      </w:r>
      <w:r>
        <w:br/>
        <w:t>\boxed{</w:t>
      </w:r>
      <w:r>
        <w:br/>
        <w:t>U_{\mathrm{Ax}}</w:t>
      </w:r>
      <w:r>
        <w:br/>
        <w:t>(A_{\mathrm{cpl-ex}})</w:t>
      </w:r>
    </w:p>
    <w:p w:rsidR="00257957" w:rsidRDefault="00257957" w:rsidP="00257957">
      <w:pPr>
        <w:pStyle w:val="berschrift1"/>
      </w:pPr>
      <w:r>
        <w:t>U_{\mathrm{Ax}}</w:t>
      </w:r>
      <w:r>
        <w:br/>
        <w:t>(A_{\mathrm{dec-ex}})</w:t>
      </w:r>
    </w:p>
    <w:p w:rsidR="00257957" w:rsidRDefault="00257957" w:rsidP="00257957">
      <w:pPr>
        <w:pStyle w:val="berschrift1"/>
      </w:pPr>
      <w:r>
        <w:lastRenderedPageBreak/>
        <w:t>U_{\mathrm{Ax}}</w:t>
      </w:r>
      <w:r>
        <w:br/>
        <w:t>(A_{\mathrm{comp-ex}})</w:t>
      </w:r>
    </w:p>
    <w:p w:rsidR="00257957" w:rsidRDefault="00257957" w:rsidP="00257957">
      <w:pPr>
        <w:pStyle w:val="berschrift1"/>
      </w:pPr>
      <w:r>
        <w:t>U_{\mathrm{Ax}}</w:t>
      </w:r>
      <w:r>
        <w:br/>
        <w:t>(A_{\mathrm{mod-ex}})</w:t>
      </w:r>
    </w:p>
    <w:p w:rsidR="00257957" w:rsidRDefault="00257957" w:rsidP="009F7790">
      <w:pPr>
        <w:numPr>
          <w:ilvl w:val="0"/>
          <w:numId w:val="833"/>
        </w:numPr>
        <w:spacing w:before="100" w:beforeAutospacing="1" w:after="100" w:afterAutospacing="1"/>
      </w:pPr>
    </w:p>
    <w:p w:rsidR="00257957" w:rsidRDefault="00257957" w:rsidP="00257957">
      <w:pPr>
        <w:pStyle w:val="StandardWeb"/>
      </w:pPr>
      <w:r>
        <w:t>}</w:t>
      </w:r>
      <w:r>
        <w:br/>
        <w:t>\tag{3.14468}</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\boxed{U_{\mathrm{Ax}}(A_{\mathrm{cpl-ex}})=U_{\mathrm{Ax}}(A_{\mathrm{dec-ex}})=U_{\mathrm{Ax}}(A_{\mathrm{comp-ex}})=U_{\mathrm{Ax}}(A_{\mathrm{mod-ex}})=0.}</w:t>
      </w:r>
    </w:p>
    <w:p w:rsidR="00257957" w:rsidRDefault="00257957" w:rsidP="00257957">
      <w:r>
        <w:pict>
          <v:rect id="_x0000_i6873" style="width:0;height:1.5pt" o:hralign="center" o:hrstd="t" o:hr="t" fillcolor="#a0a0a0" stroked="f"/>
        </w:pict>
      </w:r>
    </w:p>
    <w:p w:rsidR="00257957" w:rsidRDefault="00257957" w:rsidP="00257957">
      <w:pPr>
        <w:pStyle w:val="berschrift1"/>
      </w:pPr>
      <w:r>
        <w:t>3.3.54.222 Korollar 3.3.92 – Kopplungs- und Modularitätsarchitektur ist optional</w:t>
      </w:r>
    </w:p>
    <w:p w:rsidR="00257957" w:rsidRDefault="00257957" w:rsidP="00257957">
      <w:pPr>
        <w:pStyle w:val="berschrift3"/>
      </w:pPr>
      <w:r>
        <w:t>Korollar 3.3.92</w:t>
      </w:r>
    </w:p>
    <w:p w:rsidR="00257957" w:rsidRDefault="00257957" w:rsidP="00257957">
      <w:pPr>
        <w:pStyle w:val="StandardWeb"/>
      </w:pPr>
      <w:r>
        <w:t>Aus Satz 3.3.298 folgt</w:t>
      </w:r>
    </w:p>
    <w:p w:rsidR="00257957" w:rsidRDefault="00257957" w:rsidP="00257957">
      <w:pPr>
        <w:pStyle w:val="StandardWeb"/>
      </w:pPr>
      <w:r>
        <w:t>[</w:t>
      </w:r>
      <w:r>
        <w:br/>
        <w:t>\boxed{</w:t>
      </w:r>
      <w:r>
        <w:br/>
        <w:t>\mathfrak E_{\mathrm{cpl}}</w:t>
      </w:r>
      <w:r>
        <w:br/>
        <w:t>\subseteq</w:t>
      </w:r>
      <w:r>
        <w:br/>
        <w:t>\mathfrak E_{\mathrm{FRZK}}^{\mathrm{opt}}.</w:t>
      </w:r>
      <w:r>
        <w:br/>
        <w:t>}</w:t>
      </w:r>
      <w:r>
        <w:br/>
        <w:t>\tag{3.14469}</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\boxed{\mathfrak E_{\mathrm{cpl}}\subseteq\mathfrak E_{\mathrm{FRZK}}^{\mathrm{opt}}.}</w:t>
      </w:r>
    </w:p>
    <w:p w:rsidR="00257957" w:rsidRDefault="00257957" w:rsidP="00257957">
      <w:r>
        <w:pict>
          <v:rect id="_x0000_i6874" style="width:0;height:1.5pt" o:hralign="center" o:hrstd="t" o:hr="t" fillcolor="#a0a0a0" stroked="f"/>
        </w:pict>
      </w:r>
    </w:p>
    <w:p w:rsidR="00257957" w:rsidRDefault="00257957" w:rsidP="00257957">
      <w:pPr>
        <w:pStyle w:val="berschrift1"/>
      </w:pPr>
      <w:r>
        <w:t>3.3.54.223 Erweiterte Primäraxiomkandidatenmenge</w:t>
      </w:r>
    </w:p>
    <w:p w:rsidR="00257957" w:rsidRDefault="00257957" w:rsidP="00257957">
      <w:pPr>
        <w:pStyle w:val="StandardWeb"/>
      </w:pPr>
      <w:r>
        <w:t>Ich fasse die zuletzt geprüften Kandidaten zusammen:</w:t>
      </w:r>
    </w:p>
    <w:p w:rsidR="00257957" w:rsidRDefault="00257957" w:rsidP="00257957">
      <w:pPr>
        <w:pStyle w:val="berschrift1"/>
      </w:pPr>
      <w:r>
        <w:lastRenderedPageBreak/>
        <w:t>[</w:t>
      </w:r>
      <w:r>
        <w:br/>
        <w:t>\mathcal A_{\mathrm{cpl}}^{\mathrm{cand},3}</w:t>
      </w:r>
    </w:p>
    <w:p w:rsidR="00257957" w:rsidRDefault="00257957" w:rsidP="00257957">
      <w:pPr>
        <w:pStyle w:val="StandardWeb"/>
      </w:pPr>
      <w:r>
        <w:t>\mathcal A_{\mathrm{cpl}}^{\mathrm{cand},2}</w:t>
      </w:r>
      <w:r>
        <w:br/>
        <w:t>\cup</w:t>
      </w:r>
      <w:r>
        <w:br/>
        <w:t>{</w:t>
      </w:r>
      <w:r>
        <w:br/>
        <w:t>A_{\mathrm{cpl-min}},</w:t>
      </w:r>
      <w:r>
        <w:br/>
        <w:t>A_{\mathrm{cpl-max}},</w:t>
      </w:r>
      <w:r>
        <w:br/>
        <w:t>A_{\mathrm{cpl-stab}},</w:t>
      </w:r>
      <w:r>
        <w:br/>
        <w:t>A_{\mathrm{cpl-dyn}},</w:t>
      </w:r>
      <w:r>
        <w:br/>
        <w:t>A_{\mathrm{mod-rec}},</w:t>
      </w:r>
      <w:r>
        <w:br/>
        <w:t>A_{\mathrm{dec-zero}},</w:t>
      </w:r>
      <w:r>
        <w:br/>
        <w:t>A_{\mathrm{comp-ex}},</w:t>
      </w:r>
      <w:r>
        <w:br/>
        <w:t>A_{\mathrm{mod-ex}}</w:t>
      </w:r>
      <w:r>
        <w:br/>
        <w:t>}.</w:t>
      </w:r>
      <w:r>
        <w:br/>
        <w:t>\tag{3.14470}</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\mathcal A_{\mathrm{cpl}}^{\mathrm{cand},3}=\mathcal A_{\mathrm{cpl}}^{\mathrm{cand},2}\cup\{A_{\mathrm{cpl-min}},A_{\mathrm{cpl-max}},A_{\mathrm{cpl-stab}},A_{\mathrm{cpl-dyn}},A_{\mathrm{mod-rec}},A_{\mathrm{dec-zero}},A_{\mathrm{comp-ex}},A_{\mathrm{mod-ex}}\}</w:t>
      </w:r>
    </w:p>
    <w:p w:rsidR="00257957" w:rsidRDefault="00257957" w:rsidP="00257957">
      <w:pPr>
        <w:pStyle w:val="StandardWeb"/>
      </w:pPr>
      <w:r>
        <w:t>Für sämtliche geprüften Kandidaten gilt</w:t>
      </w:r>
    </w:p>
    <w:p w:rsidR="00257957" w:rsidRDefault="00257957" w:rsidP="00257957">
      <w:pPr>
        <w:pStyle w:val="berschrift1"/>
      </w:pPr>
      <w:r>
        <w:t>[</w:t>
      </w:r>
      <w:r>
        <w:br/>
        <w:t>\boxed{</w:t>
      </w:r>
      <w:r>
        <w:br/>
        <w:t>U_{\mathrm{Ax}}(A)</w:t>
      </w:r>
    </w:p>
    <w:p w:rsidR="00257957" w:rsidRDefault="00257957" w:rsidP="00257957">
      <w:pPr>
        <w:pStyle w:val="StandardWeb"/>
      </w:pPr>
      <w:r>
        <w:t>0</w:t>
      </w:r>
      <w:r>
        <w:br/>
        <w:t>\qquad</w:t>
      </w:r>
      <w:r>
        <w:br/>
        <w:t>\forall A</w:t>
      </w:r>
      <w:r>
        <w:br/>
        <w:t>\in</w:t>
      </w:r>
      <w:r>
        <w:br/>
        <w:t>\mathcal A_{\mathrm{cpl}}^{\mathrm{cand},3}.</w:t>
      </w:r>
      <w:r>
        <w:br/>
        <w:t>}</w:t>
      </w:r>
      <w:r>
        <w:br/>
        <w:t>\tag{3.14471}</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\boxed{U_{\mathrm{Ax}}(A)=0\qquad\forall A\in\mathcal A_{\mathrm{cpl}}^{\mathrm{cand},3}.}</w:t>
      </w:r>
    </w:p>
    <w:p w:rsidR="00257957" w:rsidRDefault="00257957" w:rsidP="00257957">
      <w:r>
        <w:pict>
          <v:rect id="_x0000_i6875" style="width:0;height:1.5pt" o:hralign="center" o:hrstd="t" o:hr="t" fillcolor="#a0a0a0" stroked="f"/>
        </w:pict>
      </w:r>
    </w:p>
    <w:p w:rsidR="00257957" w:rsidRDefault="00257957" w:rsidP="00257957">
      <w:pPr>
        <w:pStyle w:val="berschrift1"/>
      </w:pPr>
      <w:r>
        <w:lastRenderedPageBreak/>
        <w:t>3.3.54.224 Satz 3.3.299 – Abschnitt 3.3.54 erzeugt kein neues Primäraxiom</w:t>
      </w:r>
    </w:p>
    <w:p w:rsidR="00257957" w:rsidRDefault="00257957" w:rsidP="00257957">
      <w:pPr>
        <w:pStyle w:val="berschrift3"/>
      </w:pPr>
      <w:r>
        <w:t>Satz 3.3.299</w:t>
      </w:r>
    </w:p>
    <w:p w:rsidR="00257957" w:rsidRDefault="00257957" w:rsidP="00257957">
      <w:pPr>
        <w:pStyle w:val="StandardWeb"/>
      </w:pPr>
      <w:r>
        <w:t>Keine der in Abschnitt 3.3.54 eingeführten Kopplungs-, Entkopplungs-, Kompositions-, Modularisierungs-, Graph-, Hierarchie-, Stabilitäts-, Rekonstruktions- oder Fehlerstrukturen ist für die minimale Existenz des allgemeinen FRZK universell notwendig.</w:t>
      </w:r>
    </w:p>
    <w:p w:rsidR="00257957" w:rsidRDefault="00257957" w:rsidP="00257957">
      <w:pPr>
        <w:pStyle w:val="StandardWeb"/>
      </w:pPr>
      <w:r>
        <w:t>Formal gilt</w:t>
      </w:r>
    </w:p>
    <w:p w:rsidR="00257957" w:rsidRDefault="00257957" w:rsidP="00257957">
      <w:pPr>
        <w:pStyle w:val="berschrift1"/>
      </w:pPr>
      <w:r>
        <w:t>[</w:t>
      </w:r>
      <w:r>
        <w:br/>
        <w:t>\boxed{</w:t>
      </w:r>
      <w:r>
        <w:br/>
        <w:t>\mathcal A_{3.3.54}^{\mathrm{new}}</w:t>
      </w:r>
    </w:p>
    <w:p w:rsidR="00257957" w:rsidRDefault="00257957" w:rsidP="00257957">
      <w:pPr>
        <w:pStyle w:val="StandardWeb"/>
      </w:pPr>
      <w:r>
        <w:t>\varnothing.</w:t>
      </w:r>
      <w:r>
        <w:br/>
        <w:t>}</w:t>
      </w:r>
      <w:r>
        <w:br/>
        <w:t>\tag{3.14472}</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\boxed{\mathcal A_{3.3.54}^{\mathrm{new}}=\varnothing.}</w:t>
      </w:r>
    </w:p>
    <w:p w:rsidR="00257957" w:rsidRDefault="00257957" w:rsidP="00257957">
      <w:r>
        <w:pict>
          <v:rect id="_x0000_i6876" style="width:0;height:1.5pt" o:hralign="center" o:hrstd="t" o:hr="t" fillcolor="#a0a0a0" stroked="f"/>
        </w:pict>
      </w:r>
    </w:p>
    <w:p w:rsidR="00257957" w:rsidRDefault="00257957" w:rsidP="00257957">
      <w:pPr>
        <w:pStyle w:val="berschrift1"/>
      </w:pPr>
      <w:r>
        <w:t>3.3.54.225 Korollar 3.3.93 – Der FRZK-Primäraxiomkern bleibt unverändert</w:t>
      </w:r>
    </w:p>
    <w:p w:rsidR="00257957" w:rsidRDefault="00257957" w:rsidP="00257957">
      <w:pPr>
        <w:pStyle w:val="berschrift3"/>
      </w:pPr>
      <w:r>
        <w:t>Korollar 3.3.93</w:t>
      </w:r>
    </w:p>
    <w:p w:rsidR="00257957" w:rsidRDefault="00257957" w:rsidP="00257957">
      <w:pPr>
        <w:pStyle w:val="StandardWeb"/>
      </w:pPr>
      <w:r>
        <w:t>Aus Satz 3.3.299 folgt</w:t>
      </w:r>
    </w:p>
    <w:p w:rsidR="00257957" w:rsidRDefault="00257957" w:rsidP="00257957">
      <w:pPr>
        <w:pStyle w:val="berschrift1"/>
      </w:pPr>
      <w:r>
        <w:t>[</w:t>
      </w:r>
      <w:r>
        <w:br/>
        <w:t>\boxed{</w:t>
      </w:r>
      <w:r>
        <w:br/>
        <w:t>\mathcal A_{\mathrm{FRZK}}^{\mathrm{nach},3.3.54}</w:t>
      </w:r>
    </w:p>
    <w:p w:rsidR="00257957" w:rsidRDefault="00257957" w:rsidP="00257957">
      <w:pPr>
        <w:pStyle w:val="StandardWeb"/>
      </w:pPr>
      <w:r>
        <w:t>\mathcal A_{\mathrm{FRZK}}^{\mathrm{vor},3.3.54}.</w:t>
      </w:r>
      <w:r>
        <w:br/>
        <w:t>}</w:t>
      </w:r>
      <w:r>
        <w:br/>
        <w:t>\tag{3.14473}</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lastRenderedPageBreak/>
        <w:t>\boxed{\mathcal A_{\mathrm{FRZK}}^{\mathrm{nach}\,3.3.54}=\mathcal A_{\mathrm{FRZK}}^{\mathrm{vor}\,3.3.54}.}</w:t>
      </w:r>
    </w:p>
    <w:p w:rsidR="00257957" w:rsidRDefault="00257957" w:rsidP="00257957">
      <w:r>
        <w:pict>
          <v:rect id="_x0000_i6877" style="width:0;height:1.5pt" o:hralign="center" o:hrstd="t" o:hr="t" fillcolor="#a0a0a0" stroked="f"/>
        </w:pict>
      </w:r>
    </w:p>
    <w:p w:rsidR="00257957" w:rsidRDefault="00257957" w:rsidP="00257957">
      <w:pPr>
        <w:pStyle w:val="berschrift1"/>
      </w:pPr>
      <w:r>
        <w:t>3.3.54.226 Endgültige Statusklassifikation</w:t>
      </w:r>
    </w:p>
    <w:p w:rsidR="00257957" w:rsidRDefault="00257957" w:rsidP="00257957">
      <w:pPr>
        <w:pStyle w:val="StandardWeb"/>
      </w:pPr>
      <w:r>
        <w:t>Für die vier Leitstrukturen des Abschnitts halte ich fest:</w:t>
      </w:r>
    </w:p>
    <w:p w:rsidR="00257957" w:rsidRDefault="00257957" w:rsidP="00257957">
      <w:pPr>
        <w:pStyle w:val="berschrift1"/>
      </w:pPr>
      <w:r>
        <w:t>[</w:t>
      </w:r>
      <w:r>
        <w:br/>
        <w:t>\operatorname{Stat}(K_F)</w:t>
      </w:r>
    </w:p>
    <w:p w:rsidR="00257957" w:rsidRDefault="00257957" w:rsidP="00257957">
      <w:pPr>
        <w:pStyle w:val="StandardWeb"/>
      </w:pPr>
      <w:r>
        <w:t>\mathrm{Def/Mod/Op},</w:t>
      </w:r>
      <w:r>
        <w:br/>
        <w:t>\tag{3.14474}</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\operatorname{Stat}(K_F)=\mathrm{Def/Mod/Op}</w:t>
      </w:r>
    </w:p>
    <w:p w:rsidR="00257957" w:rsidRDefault="00257957" w:rsidP="00257957">
      <w:pPr>
        <w:pStyle w:val="berschrift1"/>
      </w:pPr>
      <w:r>
        <w:t>[</w:t>
      </w:r>
      <w:r>
        <w:br/>
        <w:t>\operatorname{Stat}(D_F)</w:t>
      </w:r>
    </w:p>
    <w:p w:rsidR="00257957" w:rsidRDefault="00257957" w:rsidP="00257957">
      <w:pPr>
        <w:pStyle w:val="StandardWeb"/>
      </w:pPr>
      <w:r>
        <w:t>\mathrm{Def/Mod/Op},</w:t>
      </w:r>
      <w:r>
        <w:br/>
        <w:t>\tag{3.14475}</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\operatorname{Stat}(D_F)=\mathrm{Def/Mod/Op}</w:t>
      </w:r>
    </w:p>
    <w:p w:rsidR="00257957" w:rsidRDefault="00257957" w:rsidP="00257957">
      <w:pPr>
        <w:pStyle w:val="berschrift1"/>
      </w:pPr>
      <w:r>
        <w:t>[</w:t>
      </w:r>
      <w:r>
        <w:br/>
        <w:t>\operatorname{Stat}(\circ_F)</w:t>
      </w:r>
    </w:p>
    <w:p w:rsidR="00257957" w:rsidRDefault="00257957" w:rsidP="00257957">
      <w:pPr>
        <w:pStyle w:val="StandardWeb"/>
      </w:pPr>
      <w:r>
        <w:t>\mathrm{Def/Mod/Op},</w:t>
      </w:r>
      <w:r>
        <w:br/>
        <w:t>\tag{3.14476}</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\operatorname{Stat}(\circ_F)=\mathrm{Def/Mod/Op}</w:t>
      </w:r>
    </w:p>
    <w:p w:rsidR="00257957" w:rsidRDefault="00257957" w:rsidP="00257957">
      <w:pPr>
        <w:pStyle w:val="StandardWeb"/>
      </w:pPr>
      <w:r>
        <w:t>und</w:t>
      </w:r>
    </w:p>
    <w:p w:rsidR="00257957" w:rsidRDefault="00257957" w:rsidP="00257957">
      <w:pPr>
        <w:pStyle w:val="berschrift1"/>
      </w:pPr>
      <w:r>
        <w:t>[</w:t>
      </w:r>
      <w:r>
        <w:br/>
        <w:t>\operatorname{Stat}(Z_F)</w:t>
      </w:r>
    </w:p>
    <w:p w:rsidR="00257957" w:rsidRDefault="00257957" w:rsidP="00257957">
      <w:pPr>
        <w:pStyle w:val="StandardWeb"/>
      </w:pPr>
      <w:r>
        <w:lastRenderedPageBreak/>
        <w:t>\mathrm{Def/Mod/Op}.</w:t>
      </w:r>
      <w:r>
        <w:br/>
        <w:t>\tag{3.14477}</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\operatorname{Stat}(Z_F)=\mathrm{Def/Mod/Op}</w:t>
      </w:r>
    </w:p>
    <w:p w:rsidR="00257957" w:rsidRDefault="00257957" w:rsidP="00257957">
      <w:r>
        <w:pict>
          <v:rect id="_x0000_i6878" style="width:0;height:1.5pt" o:hralign="center" o:hrstd="t" o:hr="t" fillcolor="#a0a0a0" stroked="f"/>
        </w:pict>
      </w:r>
    </w:p>
    <w:p w:rsidR="00257957" w:rsidRDefault="00257957" w:rsidP="00257957">
      <w:pPr>
        <w:pStyle w:val="berschrift2"/>
      </w:pPr>
      <w:r>
        <w:t>3.3.54.227 Definition 3.3.716 – Endgültige Statusabbildung von Abschnitt 3.3.54</w:t>
      </w:r>
    </w:p>
    <w:p w:rsidR="00257957" w:rsidRDefault="00257957" w:rsidP="00257957">
      <w:pPr>
        <w:pStyle w:val="berschrift3"/>
      </w:pPr>
      <w:r>
        <w:t>Definition 3.3.716</w:t>
      </w:r>
    </w:p>
    <w:p w:rsidR="00257957" w:rsidRDefault="00257957" w:rsidP="00257957">
      <w:pPr>
        <w:pStyle w:val="StandardWeb"/>
      </w:pPr>
      <w:r>
        <w:t>Die endgültige Statusabbildung von Abschnitt 3.3.54 ist</w:t>
      </w:r>
    </w:p>
    <w:p w:rsidR="00257957" w:rsidRDefault="00257957" w:rsidP="00257957">
      <w:pPr>
        <w:pStyle w:val="StandardWeb"/>
      </w:pPr>
      <w:r>
        <w:t>[</w:t>
      </w:r>
      <w:r>
        <w:br/>
        <w:t>\boxed{</w:t>
      </w:r>
      <w:r>
        <w:br/>
        <w:t>\mathfrak M_{3.3.54}</w:t>
      </w:r>
      <w:r>
        <w:br/>
        <w:t>:</w:t>
      </w:r>
      <w:r>
        <w:br/>
        <w:t>\mathcal O_{3.3.54}</w:t>
      </w:r>
      <w:r>
        <w:br/>
        <w:t>\rightarrow</w:t>
      </w:r>
      <w:r>
        <w:br/>
        <w:t>\mathcal P</w:t>
      </w:r>
      <w:r>
        <w:br/>
        <w:t>\left(</w:t>
      </w:r>
      <w:r>
        <w:br/>
        <w:t>{</w:t>
      </w:r>
      <w:r>
        <w:br/>
        <w:t>\mathrm{Def},</w:t>
      </w:r>
      <w:r>
        <w:br/>
        <w:t>\mathrm{Der},</w:t>
      </w:r>
      <w:r>
        <w:br/>
        <w:t>\mathrm{Mod},</w:t>
      </w:r>
      <w:r>
        <w:br/>
        <w:t>\mathrm{Op},</w:t>
      </w:r>
      <w:r>
        <w:br/>
        <w:t>\mathrm{Ax}</w:t>
      </w:r>
      <w:r>
        <w:br/>
        <w:t>}</w:t>
      </w:r>
      <w:r>
        <w:br/>
        <w:t>\right).</w:t>
      </w:r>
      <w:r>
        <w:br/>
        <w:t>}</w:t>
      </w:r>
      <w:r>
        <w:br/>
        <w:t>\tag{3.14478}</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\boxed{\mathfrak M_{3.3.54}:\mathcal O_{3.3.54}\rightarrow\mathcal P\left(\{\mathrm{Def},\mathrm{Der},\mathrm{Mod},\mathrm{Op},\mathrm{Ax}\}\right).}</w:t>
      </w:r>
    </w:p>
    <w:p w:rsidR="00257957" w:rsidRDefault="00257957" w:rsidP="00257957">
      <w:pPr>
        <w:pStyle w:val="StandardWeb"/>
      </w:pPr>
      <w:r>
        <w:t>Für keine der in Abschnitt 3.3.54 neu eingeführten Strukturen vergebe ich aufgrund universeller Notwendigkeit den Status (\mathrm{Ax}).</w:t>
      </w:r>
    </w:p>
    <w:p w:rsidR="00257957" w:rsidRDefault="00257957" w:rsidP="00257957">
      <w:r>
        <w:pict>
          <v:rect id="_x0000_i6879" style="width:0;height:1.5pt" o:hralign="center" o:hrstd="t" o:hr="t" fillcolor="#a0a0a0" stroked="f"/>
        </w:pict>
      </w:r>
    </w:p>
    <w:p w:rsidR="00257957" w:rsidRDefault="00257957" w:rsidP="00257957">
      <w:pPr>
        <w:pStyle w:val="berschrift1"/>
      </w:pPr>
      <w:r>
        <w:t>3.3.54.228 Gesamtklassifikation</w:t>
      </w:r>
    </w:p>
    <w:p w:rsidR="00257957" w:rsidRDefault="00257957" w:rsidP="00257957">
      <w:pPr>
        <w:pStyle w:val="StandardWeb"/>
      </w:pPr>
      <w:r>
        <w:t>Ich fasse die entwickelte Kopplungs- und Modularitätsarchitektur zusammen als</w:t>
      </w:r>
    </w:p>
    <w:p w:rsidR="00257957" w:rsidRDefault="00257957" w:rsidP="00257957">
      <w:pPr>
        <w:pStyle w:val="berschrift1"/>
      </w:pPr>
      <w:r>
        <w:lastRenderedPageBreak/>
        <w:t>[</w:t>
      </w:r>
      <w:r>
        <w:br/>
        <w:t>\mathfrak C_{3.3.54}</w:t>
      </w:r>
    </w:p>
    <w:p w:rsidR="00257957" w:rsidRDefault="00257957" w:rsidP="00257957">
      <w:pPr>
        <w:pStyle w:val="StandardWeb"/>
      </w:pPr>
      <w:r>
        <w:t>\left(</w:t>
      </w:r>
      <w:r>
        <w:br/>
        <w:t>\mathfrak D_{\mathrm{cpl}},</w:t>
      </w:r>
      <w:r>
        <w:br/>
        <w:t>\mathfrak R_{\mathrm{cpl}},</w:t>
      </w:r>
      <w:r>
        <w:br/>
        <w:t>\mathfrak M_{\mathrm{cpl}},</w:t>
      </w:r>
      <w:r>
        <w:br/>
        <w:t>\mathfrak O_{\mathrm{cpl}}</w:t>
      </w:r>
      <w:r>
        <w:br/>
        <w:t>\right).</w:t>
      </w:r>
      <w:r>
        <w:br/>
        <w:t>\tag{3.14479}</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\mathfrak C_{3.3.54}=\left(\mathfrak D_{\mathrm{cpl}},\mathfrak R_{\mathrm{cpl}},\mathfrak M_{\mathrm{cpl}},\mathfrak O_{\mathrm{cpl}}\right)</w:t>
      </w:r>
    </w:p>
    <w:p w:rsidR="00257957" w:rsidRDefault="00257957" w:rsidP="00257957">
      <w:r>
        <w:pict>
          <v:rect id="_x0000_i6880" style="width:0;height:1.5pt" o:hralign="center" o:hrstd="t" o:hr="t" fillcolor="#a0a0a0" stroked="f"/>
        </w:pict>
      </w:r>
    </w:p>
    <w:p w:rsidR="00257957" w:rsidRDefault="00257957" w:rsidP="00257957">
      <w:pPr>
        <w:pStyle w:val="berschrift2"/>
      </w:pPr>
      <w:r>
        <w:t>3.3.54.229 Definition 3.3.717 – Gesamtklassifikation der Kopplungs- und Modularitätsarchitektur</w:t>
      </w:r>
    </w:p>
    <w:p w:rsidR="00257957" w:rsidRDefault="00257957" w:rsidP="00257957">
      <w:pPr>
        <w:pStyle w:val="berschrift3"/>
      </w:pPr>
      <w:r>
        <w:t>Definition 3.3.717</w:t>
      </w:r>
    </w:p>
    <w:p w:rsidR="00257957" w:rsidRDefault="00257957" w:rsidP="00257957">
      <w:pPr>
        <w:pStyle w:val="StandardWeb"/>
      </w:pPr>
      <w:r>
        <w:t xml:space="preserve">Die </w:t>
      </w:r>
      <w:r>
        <w:rPr>
          <w:rStyle w:val="Fett"/>
        </w:rPr>
        <w:t>Gesamtklassifikation der Kopplungs-, Entkopplungs-, Kompositions- und Modularitätsarchitektur</w:t>
      </w:r>
      <w:r>
        <w:t xml:space="preserve"> ist</w:t>
      </w:r>
    </w:p>
    <w:p w:rsidR="00257957" w:rsidRDefault="00257957" w:rsidP="00257957">
      <w:pPr>
        <w:pStyle w:val="berschrift1"/>
      </w:pPr>
      <w:r>
        <w:t>[</w:t>
      </w:r>
      <w:r>
        <w:br/>
        <w:t>\boxed{</w:t>
      </w:r>
      <w:r>
        <w:br/>
        <w:t>\mathfrak C_{3.3.54}</w:t>
      </w:r>
    </w:p>
    <w:p w:rsidR="00257957" w:rsidRDefault="00257957" w:rsidP="00257957">
      <w:pPr>
        <w:pStyle w:val="StandardWeb"/>
      </w:pPr>
      <w:r>
        <w:t>\left(</w:t>
      </w:r>
      <w:r>
        <w:br/>
        <w:t>\mathfrak D_{\mathrm{cpl}},</w:t>
      </w:r>
      <w:r>
        <w:br/>
        <w:t>\mathfrak R_{\mathrm{cpl}},</w:t>
      </w:r>
      <w:r>
        <w:br/>
        <w:t>\mathfrak M_{\mathrm{cpl}},</w:t>
      </w:r>
      <w:r>
        <w:br/>
        <w:t>\mathfrak O_{\mathrm{cpl}}</w:t>
      </w:r>
      <w:r>
        <w:br/>
        <w:t>\right).</w:t>
      </w:r>
      <w:r>
        <w:br/>
        <w:t>}</w:t>
      </w:r>
      <w:r>
        <w:br/>
        <w:t>\tag{3.14480}</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\boxed{\mathfrak C_{3.3.54}=\left(\mathfrak D_{\mathrm{cpl}},\mathfrak R_{\mathrm{cpl}},\mathfrak M_{\mathrm{cpl}},\mathfrak O_{\mathrm{cpl}}\right).}</w:t>
      </w:r>
    </w:p>
    <w:p w:rsidR="00257957" w:rsidRDefault="00257957" w:rsidP="00257957">
      <w:pPr>
        <w:pStyle w:val="StandardWeb"/>
      </w:pPr>
      <w:r>
        <w:lastRenderedPageBreak/>
        <w:t>Die Primäraxiomkomponente lautet</w:t>
      </w:r>
    </w:p>
    <w:p w:rsidR="00257957" w:rsidRDefault="00257957" w:rsidP="00257957">
      <w:pPr>
        <w:pStyle w:val="berschrift1"/>
      </w:pPr>
      <w:r>
        <w:t>[</w:t>
      </w:r>
      <w:r>
        <w:br/>
        <w:t>\boxed{</w:t>
      </w:r>
      <w:r>
        <w:br/>
        <w:t>\mathfrak A_{\mathrm{cpl}}</w:t>
      </w:r>
    </w:p>
    <w:p w:rsidR="00257957" w:rsidRDefault="00257957" w:rsidP="00257957">
      <w:pPr>
        <w:pStyle w:val="StandardWeb"/>
      </w:pPr>
      <w:r>
        <w:t>\varnothing.</w:t>
      </w:r>
      <w:r>
        <w:br/>
        <w:t>}</w:t>
      </w:r>
      <w:r>
        <w:br/>
        <w:t>\tag{3.14481}</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\boxed{\mathfrak A_{\mathrm{cpl}}=\varnothing.}</w:t>
      </w:r>
    </w:p>
    <w:p w:rsidR="00257957" w:rsidRDefault="00257957" w:rsidP="00257957">
      <w:r>
        <w:pict>
          <v:rect id="_x0000_i6881" style="width:0;height:1.5pt" o:hralign="center" o:hrstd="t" o:hr="t" fillcolor="#a0a0a0" stroked="f"/>
        </w:pict>
      </w:r>
    </w:p>
    <w:p w:rsidR="00257957" w:rsidRDefault="00257957" w:rsidP="00257957">
      <w:pPr>
        <w:pStyle w:val="berschrift1"/>
      </w:pPr>
      <w:r>
        <w:t>3.3.54.230 Methodologische Betrachtungen</w:t>
      </w:r>
    </w:p>
    <w:p w:rsidR="00257957" w:rsidRDefault="00257957" w:rsidP="00257957">
      <w:pPr>
        <w:pStyle w:val="StandardWeb"/>
      </w:pPr>
      <w:r>
        <w:t xml:space="preserve">Methodologisch ist für mich entscheidend, zwischen einer </w:t>
      </w:r>
      <w:r>
        <w:rPr>
          <w:rStyle w:val="Fett"/>
        </w:rPr>
        <w:t>vorhandenen funktionalen Beziehung</w:t>
      </w:r>
      <w:r>
        <w:t xml:space="preserve"> und einer </w:t>
      </w:r>
      <w:r>
        <w:rPr>
          <w:rStyle w:val="Fett"/>
        </w:rPr>
        <w:t>zusätzlich eingeführten Kopplungsstruktur</w:t>
      </w:r>
      <w:r>
        <w:t xml:space="preserve"> zu unterscheiden. Aus der Tatsache, dass zwei Objekte im selben Modell vorkommen, folgt nicht automatisch, dass zwischen ihnen eine ausgezeichnete Kopplungsabbildung existiert.</w:t>
      </w:r>
    </w:p>
    <w:p w:rsidR="00257957" w:rsidRDefault="00257957" w:rsidP="00257957">
      <w:pPr>
        <w:pStyle w:val="StandardWeb"/>
      </w:pPr>
      <w:r>
        <w:t>Ich halte deshalb fest:</w:t>
      </w:r>
    </w:p>
    <w:p w:rsidR="00257957" w:rsidRDefault="00257957" w:rsidP="00257957">
      <w:pPr>
        <w:pStyle w:val="StandardWeb"/>
      </w:pPr>
      <w:r>
        <w:t>[</w:t>
      </w:r>
      <w:r>
        <w:br/>
        <w:t>\boxed{</w:t>
      </w:r>
      <w:r>
        <w:br/>
        <w:t>\text{Koexistenz}</w:t>
      </w:r>
      <w:r>
        <w:br/>
        <w:t>\not\Rightarrow</w:t>
      </w:r>
      <w:r>
        <w:br/>
        <w:t>\text{Kopplung}.</w:t>
      </w:r>
      <w:r>
        <w:br/>
        <w:t>}</w:t>
      </w:r>
      <w:r>
        <w:br/>
        <w:t>\tag{3.14482}</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\boxed{\text{Koexistenz}\not\Rightarrow\text{Kopplung}.}</w:t>
      </w:r>
    </w:p>
    <w:p w:rsidR="00257957" w:rsidRDefault="00257957" w:rsidP="00257957">
      <w:pPr>
        <w:pStyle w:val="StandardWeb"/>
      </w:pPr>
      <w:r>
        <w:t>Ebenso darf ich aus einer mathematischen Modulzerlegung nicht schließen, dass die Natur selbst aus genau diesen Modulen zusammengesetzt ist.</w:t>
      </w:r>
    </w:p>
    <w:p w:rsidR="00257957" w:rsidRDefault="00257957" w:rsidP="00257957">
      <w:pPr>
        <w:pStyle w:val="StandardWeb"/>
      </w:pPr>
      <w:r>
        <w:t>[</w:t>
      </w:r>
      <w:r>
        <w:br/>
        <w:t>\boxed{</w:t>
      </w:r>
      <w:r>
        <w:br/>
        <w:t>\text{mathematische Modularisierung}</w:t>
      </w:r>
      <w:r>
        <w:br/>
        <w:t>\not\Rightarrow</w:t>
      </w:r>
      <w:r>
        <w:br/>
        <w:t>\text{ontologische Modularität}.</w:t>
      </w:r>
      <w:r>
        <w:br/>
        <w:t>}</w:t>
      </w:r>
      <w:r>
        <w:br/>
      </w:r>
      <w:r>
        <w:lastRenderedPageBreak/>
        <w:t>\tag{3.14483}</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\boxed{\text{mathematische Modularisierung}\not\Rightarrow\text{ontologische Modularität}.}</w:t>
      </w:r>
    </w:p>
    <w:p w:rsidR="00257957" w:rsidRDefault="00257957" w:rsidP="00257957">
      <w:pPr>
        <w:pStyle w:val="StandardWeb"/>
      </w:pPr>
      <w:r>
        <w:t>Eine Zerlegung kann ein Analysewerkzeug sein, ohne eine fundamentale Zerlegung des untersuchten Gegenstandes zu behaupten.</w:t>
      </w:r>
    </w:p>
    <w:p w:rsidR="00257957" w:rsidRDefault="00257957" w:rsidP="00257957">
      <w:pPr>
        <w:pStyle w:val="StandardWeb"/>
      </w:pPr>
      <w:r>
        <w:t>Auch eine Kopplungsstärke</w:t>
      </w:r>
    </w:p>
    <w:p w:rsidR="00257957" w:rsidRDefault="00257957" w:rsidP="00257957">
      <w:pPr>
        <w:pStyle w:val="StandardWeb"/>
      </w:pPr>
      <w:r>
        <w:t>[</w:t>
      </w:r>
      <w:r>
        <w:br/>
        <w:t>\gamma_{ij}</w:t>
      </w:r>
      <w:r>
        <w:br/>
        <w:t>\tag{3.14484}</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\gamma_{ij}</w:t>
      </w:r>
    </w:p>
    <w:p w:rsidR="00257957" w:rsidRDefault="00257957" w:rsidP="00257957">
      <w:pPr>
        <w:pStyle w:val="StandardWeb"/>
      </w:pPr>
      <w:r>
        <w:t>ist zunächst nur eine modellabhängige Charakterisierung. Ihre physikalische, informationstheoretische oder empirische Bedeutung muss jeweils separat operationalisiert und begründet werden.</w:t>
      </w:r>
    </w:p>
    <w:p w:rsidR="00257957" w:rsidRDefault="00257957" w:rsidP="00257957">
      <w:pPr>
        <w:pStyle w:val="StandardWeb"/>
      </w:pPr>
      <w:r>
        <w:t>Schließlich unterscheide ich strikt zwischen gewöhnlicher mathematischer Funktionskomposition und verallgemeinerten FRZK-Verknüpfungsstrukturen. Für gewöhnliche Funktionskomposition bleibt die mathematische Assoziativität erhalten; aus ihr folgt jedoch nicht die Assoziativität jeder denkbaren funktionalen FRZK-Verknüpfung.</w:t>
      </w:r>
    </w:p>
    <w:p w:rsidR="00257957" w:rsidRDefault="00257957" w:rsidP="00257957">
      <w:r>
        <w:pict>
          <v:rect id="_x0000_i6882" style="width:0;height:1.5pt" o:hralign="center" o:hrstd="t" o:hr="t" fillcolor="#a0a0a0" stroked="f"/>
        </w:pict>
      </w:r>
    </w:p>
    <w:p w:rsidR="00257957" w:rsidRDefault="00257957" w:rsidP="00257957">
      <w:pPr>
        <w:pStyle w:val="berschrift1"/>
      </w:pPr>
      <w:r>
        <w:t>3.3.54.231 Didaktische Betrachtungen</w:t>
      </w:r>
    </w:p>
    <w:p w:rsidR="00257957" w:rsidRDefault="00257957" w:rsidP="00257957">
      <w:pPr>
        <w:pStyle w:val="StandardWeb"/>
      </w:pPr>
      <w:r>
        <w:t>Didaktisch beginne ich mit zwei zunächst getrennten Teilsystemen:</w:t>
      </w:r>
    </w:p>
    <w:p w:rsidR="00257957" w:rsidRDefault="00257957" w:rsidP="00257957">
      <w:pPr>
        <w:pStyle w:val="StandardWeb"/>
      </w:pPr>
      <w:r>
        <w:t>[</w:t>
      </w:r>
      <w:r>
        <w:br/>
        <w:t>\mathcal X_{F,1}</w:t>
      </w:r>
      <w:r>
        <w:br/>
        <w:t>\qquad\text{und}\qquad</w:t>
      </w:r>
      <w:r>
        <w:br/>
        <w:t>\mathcal X_{F,2}.</w:t>
      </w:r>
      <w:r>
        <w:br/>
        <w:t>\tag{3.14485}</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\mathcal X_{F,1}\qquad\text{und}\qquad\mathcal X_{F,2}</w:t>
      </w:r>
    </w:p>
    <w:p w:rsidR="00257957" w:rsidRDefault="00257957" w:rsidP="00257957">
      <w:pPr>
        <w:pStyle w:val="StandardWeb"/>
      </w:pPr>
      <w:r>
        <w:t>Erst danach führe ich eine Kopplung ein:</w:t>
      </w:r>
    </w:p>
    <w:p w:rsidR="00257957" w:rsidRDefault="00257957" w:rsidP="00257957">
      <w:pPr>
        <w:pStyle w:val="StandardWeb"/>
      </w:pPr>
      <w:r>
        <w:lastRenderedPageBreak/>
        <w:t>[</w:t>
      </w:r>
      <w:r>
        <w:br/>
        <w:t>(\mathcal X_{F,1},\mathcal X_{F,2})</w:t>
      </w:r>
      <w:r>
        <w:br/>
        <w:t>\longrightarrow</w:t>
      </w:r>
      <w:r>
        <w:br/>
        <w:t>K_F.</w:t>
      </w:r>
      <w:r>
        <w:br/>
        <w:t>\tag{3.14486}</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(\mathcal X_{F,1},\mathcal X_{F,2})\longrightarrow K_F</w:t>
      </w:r>
    </w:p>
    <w:p w:rsidR="00257957" w:rsidRDefault="00257957" w:rsidP="00257957">
      <w:pPr>
        <w:pStyle w:val="StandardWeb"/>
      </w:pPr>
      <w:r>
        <w:t>Anschließend erweitere ich die Betrachtung auf mehrere Module und erhalte</w:t>
      </w:r>
    </w:p>
    <w:p w:rsidR="00257957" w:rsidRDefault="00257957" w:rsidP="00257957">
      <w:pPr>
        <w:pStyle w:val="StandardWeb"/>
      </w:pPr>
      <w:r>
        <w:t>[</w:t>
      </w:r>
      <w:r>
        <w:br/>
        <w:t>\mathfrak M_F</w:t>
      </w:r>
      <w:r>
        <w:br/>
        <w:t>\longrightarrow</w:t>
      </w:r>
      <w:r>
        <w:br/>
        <w:t>G_F^{\mathrm{cpl}}.</w:t>
      </w:r>
      <w:r>
        <w:br/>
        <w:t>\tag{3.14487}</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\mathfrak M_F\longrightarrow G_F^{\mathrm{cpl}}</w:t>
      </w:r>
    </w:p>
    <w:p w:rsidR="00257957" w:rsidRDefault="00257957" w:rsidP="00257957">
      <w:pPr>
        <w:pStyle w:val="StandardWeb"/>
      </w:pPr>
      <w:r>
        <w:t>Dadurch entsteht für mich eine nachvollziehbare didaktische Reihenfolge:</w:t>
      </w:r>
    </w:p>
    <w:p w:rsidR="00257957" w:rsidRDefault="00257957" w:rsidP="00257957">
      <w:pPr>
        <w:pStyle w:val="StandardWeb"/>
      </w:pPr>
      <w:r>
        <w:t>[</w:t>
      </w:r>
      <w:r>
        <w:br/>
        <w:t>\boxed{</w:t>
      </w:r>
      <w:r>
        <w:br/>
        <w:t>\text{Teilsysteme}</w:t>
      </w:r>
      <w:r>
        <w:br/>
        <w:t>\rightarrow</w:t>
      </w:r>
      <w:r>
        <w:br/>
        <w:t>\text{Kopplung}</w:t>
      </w:r>
      <w:r>
        <w:br/>
        <w:t>\rightarrow</w:t>
      </w:r>
      <w:r>
        <w:br/>
        <w:t>\text{Rückkopplung}</w:t>
      </w:r>
      <w:r>
        <w:br/>
        <w:t>\rightarrow</w:t>
      </w:r>
      <w:r>
        <w:br/>
        <w:t>\text{Entkopplung}</w:t>
      </w:r>
      <w:r>
        <w:br/>
        <w:t>\rightarrow</w:t>
      </w:r>
      <w:r>
        <w:br/>
        <w:t>\text{Komposition}</w:t>
      </w:r>
      <w:r>
        <w:br/>
        <w:t>\rightarrow</w:t>
      </w:r>
      <w:r>
        <w:br/>
        <w:t>\text{Module}</w:t>
      </w:r>
      <w:r>
        <w:br/>
        <w:t>\rightarrow</w:t>
      </w:r>
      <w:r>
        <w:br/>
        <w:t>\text{Kopplungsgraph}</w:t>
      </w:r>
      <w:r>
        <w:br/>
        <w:t>\rightarrow</w:t>
      </w:r>
      <w:r>
        <w:br/>
        <w:t>\text{Hierarchie}</w:t>
      </w:r>
      <w:r>
        <w:br/>
        <w:t>\rightarrow</w:t>
      </w:r>
      <w:r>
        <w:br/>
        <w:t>\text{Stabilität}</w:t>
      </w:r>
      <w:r>
        <w:br/>
        <w:t>\rightarrow</w:t>
      </w:r>
      <w:r>
        <w:br/>
        <w:t>\text{Axiomprüfung}.</w:t>
      </w:r>
      <w:r>
        <w:br/>
        <w:t>}</w:t>
      </w:r>
      <w:r>
        <w:br/>
        <w:t>\tag{3.14488}</w:t>
      </w:r>
      <w:r>
        <w:br/>
        <w:t>]</w:t>
      </w:r>
    </w:p>
    <w:p w:rsidR="00257957" w:rsidRDefault="00257957" w:rsidP="00257957">
      <w:pPr>
        <w:pStyle w:val="StandardWeb"/>
      </w:pPr>
      <w:r>
        <w:rPr>
          <w:rStyle w:val="Fett"/>
        </w:rPr>
        <w:lastRenderedPageBreak/>
        <w:t>Word-LaTeX</w:t>
      </w:r>
    </w:p>
    <w:p w:rsidR="00257957" w:rsidRDefault="00257957" w:rsidP="00257957">
      <w:pPr>
        <w:pStyle w:val="HTMLVorformatiert"/>
        <w:rPr>
          <w:rStyle w:val="HTMLCode"/>
        </w:rPr>
      </w:pPr>
      <w:r>
        <w:rPr>
          <w:rStyle w:val="HTMLCode"/>
        </w:rPr>
        <w:t>\boxed{\text{Teilsysteme}\rightarrow\text{Kopplung}\rightarrow\text{Rückkopplung}\rightarrow\text{Entkopplung}\rightarrow\text{Komposition}\rightarrow\text{Module}\rightarrow\text{Kopplungsgraph}\rightarrow\text{Hierarchie}\rightarrow\text{Stabilität}\rightarrow\text{Axiomprüfung}.}</w:t>
      </w:r>
    </w:p>
    <w:p w:rsidR="00257957" w:rsidRDefault="00257957" w:rsidP="00257957">
      <w:pPr>
        <w:pStyle w:val="StandardWeb"/>
      </w:pPr>
      <w:r>
        <w:t>Diese Reihenfolge verhindert, dass komplexe Graph- oder Hierarchiestrukturen bereits vorausgesetzt werden, bevor die einfacheren Kopplungsbegriffe geklärt sind.</w:t>
      </w:r>
    </w:p>
    <w:p w:rsidR="00257957" w:rsidRDefault="00257957" w:rsidP="00257957">
      <w:r>
        <w:pict>
          <v:rect id="_x0000_i6883" style="width:0;height:1.5pt" o:hralign="center" o:hrstd="t" o:hr="t" fillcolor="#a0a0a0" stroked="f"/>
        </w:pict>
      </w:r>
    </w:p>
    <w:p w:rsidR="00257957" w:rsidRDefault="00257957" w:rsidP="00257957">
      <w:pPr>
        <w:pStyle w:val="berschrift1"/>
      </w:pPr>
      <w:r>
        <w:t>3.3.54.232 Gesamtstruktur des Abschnitts</w:t>
      </w:r>
    </w:p>
    <w:p w:rsidR="00257957" w:rsidRDefault="00257957" w:rsidP="00257957">
      <w:pPr>
        <w:pStyle w:val="StandardWeb"/>
      </w:pPr>
      <w:r>
        <w:t>Die vollständige Kopplungs- und Modularitätsarchitektur fasse ich zusammen als</w:t>
      </w:r>
    </w:p>
    <w:p w:rsidR="00257957" w:rsidRDefault="00257957" w:rsidP="00257957">
      <w:pPr>
        <w:pStyle w:val="berschrift1"/>
      </w:pPr>
      <w:r>
        <w:t>[</w:t>
      </w:r>
      <w:r>
        <w:br/>
        <w:t>\mathfrak E_{\mathrm{cpl}}</w:t>
      </w:r>
    </w:p>
    <w:p w:rsidR="00257957" w:rsidRDefault="00257957" w:rsidP="00257957">
      <w:pPr>
        <w:pStyle w:val="StandardWeb"/>
      </w:pPr>
      <w:r>
        <w:t>\left(</w:t>
      </w:r>
      <w:r>
        <w:br/>
        <w:t>K_F,</w:t>
      </w:r>
      <w:r>
        <w:br/>
        <w:t>K_{i\rightarrow j},</w:t>
      </w:r>
      <w:r>
        <w:br/>
        <w:t>D_F,</w:t>
      </w:r>
      <w:r>
        <w:br/>
        <w:t>\gamma_{ij},</w:t>
      </w:r>
      <w:r>
        <w:br/>
        <w:t>\circ_F,</w:t>
      </w:r>
      <w:r>
        <w:br/>
        <w:t>\star_F,</w:t>
      </w:r>
      <w:r>
        <w:br/>
        <w:t>\mathfrak M_F,</w:t>
      </w:r>
      <w:r>
        <w:br/>
        <w:t>I_{ij},</w:t>
      </w:r>
      <w:r>
        <w:br/>
        <w:t>Z_F,</w:t>
      </w:r>
      <w:r>
        <w:br/>
        <w:t>R_F^{\mathrm{mod}},</w:t>
      </w:r>
      <w:r>
        <w:br/>
        <w:t>G_F^{\mathrm{cpl}},</w:t>
      </w:r>
      <w:r>
        <w:br/>
        <w:t>G_{F,w}^{\mathrm{cpl}},</w:t>
      </w:r>
      <w:r>
        <w:br/>
        <w:t>w_F,</w:t>
      </w:r>
      <w:r>
        <w:br/>
        <w:t>\preceq_{\mathrm{mod}},</w:t>
      </w:r>
      <w:r>
        <w:br/>
        <w:t>\mathfrak H_F^{\mathrm{mod}},</w:t>
      </w:r>
      <w:r>
        <w:br/>
        <w:t>\preceq_{\mathrm{cpl}},</w:t>
      </w:r>
      <w:r>
        <w:br/>
        <w:t>K_F^\star,</w:t>
      </w:r>
      <w:r>
        <w:br/>
        <w:t>K_F^{\max},</w:t>
      </w:r>
      <w:r>
        <w:br/>
        <w:t>\mathcal C_F,</w:t>
      </w:r>
      <w:r>
        <w:br/>
        <w:t>T_F^{\mathrm{cpl}},</w:t>
      </w:r>
      <w:r>
        <w:br/>
        <w:t>d_F^{\mathrm{cpl}},</w:t>
      </w:r>
      <w:r>
        <w:br/>
        <w:t>\varepsilon_{\mathrm{dec}}</w:t>
      </w:r>
      <w:r>
        <w:br/>
        <w:t>\right).</w:t>
      </w:r>
      <w:r>
        <w:br/>
        <w:t>\tag{3.14489}</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\mathfrak E_{\mathrm{cpl}}=\left(K_F,K_{i\rightarrow j},D_F,\gamma_{ij},\circ_F,\star_F,\mathfrak M_F,I_{ij},Z_F,R_F^{\mathrm{mod}},G_F^{\mathrm{cpl}},G_{F,w}^{\mathrm{cpl}}</w:t>
      </w:r>
      <w:r>
        <w:rPr>
          <w:rStyle w:val="HTMLCode"/>
        </w:rPr>
        <w:lastRenderedPageBreak/>
        <w:t>,w_F,\preceq_{\mathrm{mod}},\mathfrak H_F^{\mathrm{mod}},\preceq_{\mathrm{cpl}},K_F^\star,K_F^{\max},\mathcal C_F,T_F^{\mathrm{cpl}},d_F^{\mathrm{cpl}},\varepsilon_{\mathrm{dec}}\right)</w:t>
      </w:r>
    </w:p>
    <w:p w:rsidR="00257957" w:rsidRDefault="00257957" w:rsidP="00257957">
      <w:pPr>
        <w:pStyle w:val="StandardWeb"/>
      </w:pPr>
      <w:r>
        <w:t>Die Primäraxiomkomponente bleibt</w:t>
      </w:r>
    </w:p>
    <w:p w:rsidR="00257957" w:rsidRDefault="00257957" w:rsidP="00257957">
      <w:pPr>
        <w:pStyle w:val="berschrift1"/>
      </w:pPr>
      <w:r>
        <w:t>[</w:t>
      </w:r>
      <w:r>
        <w:br/>
        <w:t>\boxed{</w:t>
      </w:r>
      <w:r>
        <w:br/>
        <w:t>\mathfrak A_{\mathrm{cpl}}</w:t>
      </w:r>
    </w:p>
    <w:p w:rsidR="00257957" w:rsidRDefault="00257957" w:rsidP="00257957">
      <w:pPr>
        <w:pStyle w:val="StandardWeb"/>
      </w:pPr>
      <w:r>
        <w:t>\varnothing.</w:t>
      </w:r>
      <w:r>
        <w:br/>
        <w:t>}</w:t>
      </w:r>
      <w:r>
        <w:br/>
        <w:t>\tag{3.14490}</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\boxed{\mathfrak A_{\mathrm{cpl}}=\varnothing.}</w:t>
      </w:r>
    </w:p>
    <w:p w:rsidR="00257957" w:rsidRDefault="00257957" w:rsidP="00257957">
      <w:r>
        <w:pict>
          <v:rect id="_x0000_i6884" style="width:0;height:1.5pt" o:hralign="center" o:hrstd="t" o:hr="t" fillcolor="#a0a0a0" stroked="f"/>
        </w:pict>
      </w:r>
    </w:p>
    <w:p w:rsidR="00257957" w:rsidRDefault="00257957" w:rsidP="00257957">
      <w:pPr>
        <w:pStyle w:val="berschrift1"/>
      </w:pPr>
      <w:r>
        <w:t>3.3.54.233 Gesamtabschluss</w:t>
      </w:r>
    </w:p>
    <w:p w:rsidR="00257957" w:rsidRDefault="00257957" w:rsidP="00257957">
      <w:pPr>
        <w:pStyle w:val="StandardWeb"/>
      </w:pPr>
      <w:r>
        <w:t>Damit gilt für den vollständigen Abschnitt</w:t>
      </w:r>
    </w:p>
    <w:p w:rsidR="00257957" w:rsidRDefault="00257957" w:rsidP="00257957">
      <w:pPr>
        <w:pStyle w:val="berschrift1"/>
      </w:pPr>
      <w:r>
        <w:t>[</w:t>
      </w:r>
      <w:r>
        <w:br/>
        <w:t>\boxed{</w:t>
      </w:r>
      <w:r>
        <w:br/>
        <w:t>\mathcal A_{3.3.54}^{\mathrm{new}}</w:t>
      </w:r>
    </w:p>
    <w:p w:rsidR="00257957" w:rsidRDefault="00257957" w:rsidP="00257957">
      <w:pPr>
        <w:pStyle w:val="StandardWeb"/>
      </w:pPr>
      <w:r>
        <w:t>\varnothing.</w:t>
      </w:r>
      <w:r>
        <w:br/>
        <w:t>}</w:t>
      </w:r>
      <w:r>
        <w:br/>
        <w:t>\tag{3.14491}</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\boxed{\mathcal A_{3.3.54}^{\mathrm{new}}=\varnothing.}</w:t>
      </w:r>
    </w:p>
    <w:p w:rsidR="00257957" w:rsidRDefault="00257957" w:rsidP="00257957">
      <w:pPr>
        <w:pStyle w:val="StandardWeb"/>
      </w:pPr>
      <w:r>
        <w:t>Sämtliche entwickelten Strukturen bleiben jedoch für konkrete spätere FRZK-Modellklassen verfügbar:</w:t>
      </w:r>
    </w:p>
    <w:p w:rsidR="00257957" w:rsidRDefault="00257957" w:rsidP="00257957">
      <w:pPr>
        <w:pStyle w:val="StandardWeb"/>
      </w:pPr>
      <w:r>
        <w:t>[</w:t>
      </w:r>
      <w:r>
        <w:br/>
        <w:t>\boxed{</w:t>
      </w:r>
      <w:r>
        <w:br/>
        <w:t>\mathfrak E_{\mathrm{cpl}}</w:t>
      </w:r>
      <w:r>
        <w:br/>
        <w:t>\subseteq</w:t>
      </w:r>
      <w:r>
        <w:br/>
        <w:t>\mathfrak E_{\mathrm{FRZK}}^{\mathrm{opt}}.</w:t>
      </w:r>
      <w:r>
        <w:br/>
        <w:t>}</w:t>
      </w:r>
      <w:r>
        <w:br/>
      </w:r>
      <w:r>
        <w:lastRenderedPageBreak/>
        <w:t>\tag{3.14492}</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\boxed{\mathfrak E_{\mathrm{cpl}}\subseteq\mathfrak E_{\mathrm{FRZK}}^{\mathrm{opt}}.}</w:t>
      </w:r>
    </w:p>
    <w:p w:rsidR="00257957" w:rsidRDefault="00257957" w:rsidP="00257957">
      <w:r>
        <w:pict>
          <v:rect id="_x0000_i6885" style="width:0;height:1.5pt" o:hralign="center" o:hrstd="t" o:hr="t" fillcolor="#a0a0a0" stroked="f"/>
        </w:pict>
      </w:r>
    </w:p>
    <w:p w:rsidR="00257957" w:rsidRDefault="00257957" w:rsidP="00257957">
      <w:pPr>
        <w:pStyle w:val="berschrift1"/>
      </w:pPr>
      <w:r>
        <w:t>3.3.54.234 Endstand und Übergabepunkt</w:t>
      </w:r>
    </w:p>
    <w:p w:rsidR="00257957" w:rsidRDefault="00257957" w:rsidP="00257957">
      <w:pPr>
        <w:pStyle w:val="StandardWeb"/>
      </w:pPr>
      <w:r>
        <w:t xml:space="preserve">Abschnitt </w:t>
      </w:r>
      <w:r>
        <w:rPr>
          <w:rStyle w:val="Fett"/>
        </w:rPr>
        <w:t>3.3.54 ist damit vollständig abgeschlossen</w:t>
      </w:r>
      <w:r>
        <w:t>.</w:t>
      </w:r>
    </w:p>
    <w:p w:rsidR="00257957" w:rsidRDefault="00257957" w:rsidP="00257957">
      <w:pPr>
        <w:pStyle w:val="StandardWeb"/>
      </w:pPr>
      <w:r>
        <w:t>Der letzte Textpunkt ist</w:t>
      </w:r>
    </w:p>
    <w:p w:rsidR="00257957" w:rsidRDefault="00257957" w:rsidP="00257957">
      <w:pPr>
        <w:pStyle w:val="berschrift1"/>
      </w:pPr>
      <w:r>
        <w:t>[</w:t>
      </w:r>
      <w:r>
        <w:br/>
        <w:t>\boxed{</w:t>
      </w:r>
      <w:r>
        <w:br/>
        <w:t>\text{letzter Textpunkt}</w:t>
      </w:r>
    </w:p>
    <w:p w:rsidR="00257957" w:rsidRDefault="00257957" w:rsidP="00257957">
      <w:pPr>
        <w:pStyle w:val="StandardWeb"/>
      </w:pPr>
      <w:r>
        <w:t>3.3.54.234.</w:t>
      </w:r>
      <w:r>
        <w:br/>
        <w:t>}</w:t>
      </w:r>
      <w:r>
        <w:br/>
        <w:t>\tag{3.14493}</w:t>
      </w:r>
      <w:r>
        <w:br/>
        <w:t>]</w:t>
      </w:r>
    </w:p>
    <w:p w:rsidR="00257957" w:rsidRDefault="00257957" w:rsidP="00257957">
      <w:pPr>
        <w:pStyle w:val="StandardWeb"/>
      </w:pPr>
      <w:r>
        <w:rPr>
          <w:rStyle w:val="Fett"/>
        </w:rPr>
        <w:t>Word-LaTeX</w:t>
      </w:r>
    </w:p>
    <w:p w:rsidR="00257957" w:rsidRDefault="00257957" w:rsidP="00257957">
      <w:pPr>
        <w:pStyle w:val="HTMLVorformatiert"/>
        <w:rPr>
          <w:rStyle w:val="HTMLCode"/>
        </w:rPr>
      </w:pPr>
      <w:r>
        <w:rPr>
          <w:rStyle w:val="HTMLCode"/>
        </w:rPr>
        <w:t>\boxed{\text{letzter Textpunkt}=3.3.54.234.}</w:t>
      </w:r>
    </w:p>
    <w:p w:rsidR="00257957" w:rsidRDefault="00257957" w:rsidP="00257957">
      <w:pPr>
        <w:pStyle w:val="StandardWeb"/>
      </w:pPr>
      <w:r>
        <w:t xml:space="preserve">Damit ist </w:t>
      </w:r>
      <w:r>
        <w:rPr>
          <w:rStyle w:val="Fett"/>
        </w:rPr>
        <w:t>(3.14493)</w:t>
      </w:r>
      <w:r>
        <w:t xml:space="preserve"> die letzte Gleichung von Abschnitt 3.3.54.</w:t>
      </w:r>
    </w:p>
    <w:p w:rsidR="00257957" w:rsidRDefault="00257957" w:rsidP="00257957">
      <w:pPr>
        <w:pStyle w:val="StandardWeb"/>
      </w:pPr>
      <w:r>
        <w:t>Der nächste Übergabepunkt lautet daher eindeutig:</w:t>
      </w:r>
    </w:p>
    <w:p w:rsidR="00257957" w:rsidRDefault="00257957" w:rsidP="00257957">
      <w:pPr>
        <w:pStyle w:val="StandardWeb"/>
      </w:pPr>
      <w:r>
        <w:rPr>
          <w:rStyle w:val="Fett"/>
        </w:rPr>
        <w:t>Nächster Abschnitt:</w:t>
      </w:r>
      <w:r>
        <w:t xml:space="preserve"> 3.3.55.0</w:t>
      </w:r>
      <w:r>
        <w:br/>
      </w:r>
      <w:r>
        <w:rPr>
          <w:rStyle w:val="Fett"/>
        </w:rPr>
        <w:t>Nächste Gleichung:</w:t>
      </w:r>
      <w:r>
        <w:t xml:space="preserve"> (3.14494)</w:t>
      </w:r>
      <w:r>
        <w:br/>
      </w:r>
      <w:r>
        <w:rPr>
          <w:rStyle w:val="Fett"/>
        </w:rPr>
        <w:t>Nächste Definition:</w:t>
      </w:r>
      <w:r>
        <w:t xml:space="preserve"> 3.3.718</w:t>
      </w:r>
      <w:r>
        <w:br/>
      </w:r>
      <w:r>
        <w:rPr>
          <w:rStyle w:val="Fett"/>
        </w:rPr>
        <w:t>Nächster Satz:</w:t>
      </w:r>
      <w:r>
        <w:t xml:space="preserve"> 3.3.300</w:t>
      </w:r>
      <w:r>
        <w:br/>
      </w:r>
      <w:r>
        <w:rPr>
          <w:rStyle w:val="Fett"/>
        </w:rPr>
        <w:t>Nächstes Korollar:</w:t>
      </w:r>
      <w:r>
        <w:t xml:space="preserve"> 3.3.94</w:t>
      </w:r>
    </w:p>
    <w:p w:rsidR="00257957" w:rsidRDefault="00257957" w:rsidP="00257957">
      <w:pPr>
        <w:pStyle w:val="StandardWeb"/>
      </w:pPr>
      <w:r>
        <w:t xml:space="preserve">Damit ist die vorherige unnötige zusätzliche „Übergabegleichung“ entfernt; die Nummerierung bleibt ohne Sprung bei </w:t>
      </w:r>
      <w:r>
        <w:rPr>
          <w:rStyle w:val="Fett"/>
        </w:rPr>
        <w:t>(3.14494)</w:t>
      </w:r>
      <w:r>
        <w:t xml:space="preserve"> für den Beginn von 3.3.55.0.</w:t>
      </w:r>
    </w:p>
    <w:p w:rsidR="00985957" w:rsidRPr="0068392E" w:rsidRDefault="00985957" w:rsidP="0068392E">
      <w:pPr>
        <w:spacing w:after="0"/>
      </w:pPr>
      <w:bookmarkStart w:id="0" w:name="_GoBack"/>
      <w:bookmarkEnd w:id="0"/>
    </w:p>
    <w:sectPr w:rsidR="00985957" w:rsidRPr="0068392E">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790" w:rsidRDefault="009F7790" w:rsidP="00203600">
      <w:pPr>
        <w:spacing w:after="0"/>
      </w:pPr>
      <w:r>
        <w:separator/>
      </w:r>
    </w:p>
  </w:endnote>
  <w:endnote w:type="continuationSeparator" w:id="0">
    <w:p w:rsidR="009F7790" w:rsidRDefault="009F7790" w:rsidP="002036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790" w:rsidRDefault="009F7790" w:rsidP="00203600">
      <w:pPr>
        <w:spacing w:after="0"/>
      </w:pPr>
      <w:r>
        <w:separator/>
      </w:r>
    </w:p>
  </w:footnote>
  <w:footnote w:type="continuationSeparator" w:id="0">
    <w:p w:rsidR="009F7790" w:rsidRDefault="009F7790" w:rsidP="002036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F4768"/>
    <w:multiLevelType w:val="multilevel"/>
    <w:tmpl w:val="33E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46A98"/>
    <w:multiLevelType w:val="multilevel"/>
    <w:tmpl w:val="54CC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57493"/>
    <w:multiLevelType w:val="multilevel"/>
    <w:tmpl w:val="E432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5C0587"/>
    <w:multiLevelType w:val="multilevel"/>
    <w:tmpl w:val="8694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846A6E"/>
    <w:multiLevelType w:val="multilevel"/>
    <w:tmpl w:val="AA70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851AD4"/>
    <w:multiLevelType w:val="multilevel"/>
    <w:tmpl w:val="B4E68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1E0A20"/>
    <w:multiLevelType w:val="multilevel"/>
    <w:tmpl w:val="17B6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80024"/>
    <w:multiLevelType w:val="multilevel"/>
    <w:tmpl w:val="086C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6F267D"/>
    <w:multiLevelType w:val="multilevel"/>
    <w:tmpl w:val="A056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BD692F"/>
    <w:multiLevelType w:val="multilevel"/>
    <w:tmpl w:val="10C2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90D9A"/>
    <w:multiLevelType w:val="multilevel"/>
    <w:tmpl w:val="1C58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0282F"/>
    <w:multiLevelType w:val="multilevel"/>
    <w:tmpl w:val="7D246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371AB0"/>
    <w:multiLevelType w:val="multilevel"/>
    <w:tmpl w:val="F1CA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4C4126"/>
    <w:multiLevelType w:val="multilevel"/>
    <w:tmpl w:val="0DF6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9362CD"/>
    <w:multiLevelType w:val="multilevel"/>
    <w:tmpl w:val="41ACC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CD12CB"/>
    <w:multiLevelType w:val="multilevel"/>
    <w:tmpl w:val="74F6A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E40BB9"/>
    <w:multiLevelType w:val="multilevel"/>
    <w:tmpl w:val="E748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09307D"/>
    <w:multiLevelType w:val="multilevel"/>
    <w:tmpl w:val="E2C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132260"/>
    <w:multiLevelType w:val="multilevel"/>
    <w:tmpl w:val="FB5C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243627"/>
    <w:multiLevelType w:val="multilevel"/>
    <w:tmpl w:val="63B48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4C353E"/>
    <w:multiLevelType w:val="multilevel"/>
    <w:tmpl w:val="7A24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3917591"/>
    <w:multiLevelType w:val="multilevel"/>
    <w:tmpl w:val="25FA4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3E51C07"/>
    <w:multiLevelType w:val="multilevel"/>
    <w:tmpl w:val="C31A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415406F"/>
    <w:multiLevelType w:val="multilevel"/>
    <w:tmpl w:val="2394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45969AD"/>
    <w:multiLevelType w:val="multilevel"/>
    <w:tmpl w:val="A686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887AED"/>
    <w:multiLevelType w:val="multilevel"/>
    <w:tmpl w:val="76D6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4A90191"/>
    <w:multiLevelType w:val="multilevel"/>
    <w:tmpl w:val="99724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4DC0F30"/>
    <w:multiLevelType w:val="multilevel"/>
    <w:tmpl w:val="8A0A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141146"/>
    <w:multiLevelType w:val="multilevel"/>
    <w:tmpl w:val="D354F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54431F6"/>
    <w:multiLevelType w:val="multilevel"/>
    <w:tmpl w:val="F06E4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54C5F6D"/>
    <w:multiLevelType w:val="multilevel"/>
    <w:tmpl w:val="5FAC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55B2525"/>
    <w:multiLevelType w:val="multilevel"/>
    <w:tmpl w:val="7886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787951"/>
    <w:multiLevelType w:val="multilevel"/>
    <w:tmpl w:val="E7C6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E551DD"/>
    <w:multiLevelType w:val="multilevel"/>
    <w:tmpl w:val="94CE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5FA725B"/>
    <w:multiLevelType w:val="multilevel"/>
    <w:tmpl w:val="DB5A9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6065118"/>
    <w:multiLevelType w:val="multilevel"/>
    <w:tmpl w:val="A70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D66445"/>
    <w:multiLevelType w:val="multilevel"/>
    <w:tmpl w:val="CD22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6DB28E1"/>
    <w:multiLevelType w:val="multilevel"/>
    <w:tmpl w:val="034A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072669D0"/>
    <w:multiLevelType w:val="multilevel"/>
    <w:tmpl w:val="3676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601567"/>
    <w:multiLevelType w:val="multilevel"/>
    <w:tmpl w:val="6868C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7627793"/>
    <w:multiLevelType w:val="multilevel"/>
    <w:tmpl w:val="487A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656F6D"/>
    <w:multiLevelType w:val="multilevel"/>
    <w:tmpl w:val="F24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DD6BB0"/>
    <w:multiLevelType w:val="multilevel"/>
    <w:tmpl w:val="335E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803114B"/>
    <w:multiLevelType w:val="multilevel"/>
    <w:tmpl w:val="3E12C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8234E7D"/>
    <w:multiLevelType w:val="multilevel"/>
    <w:tmpl w:val="AD6C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29467D"/>
    <w:multiLevelType w:val="multilevel"/>
    <w:tmpl w:val="E68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A66713"/>
    <w:multiLevelType w:val="multilevel"/>
    <w:tmpl w:val="0ED2C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9094454"/>
    <w:multiLevelType w:val="multilevel"/>
    <w:tmpl w:val="2CF2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2E54EE"/>
    <w:multiLevelType w:val="multilevel"/>
    <w:tmpl w:val="CAE2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94D069E"/>
    <w:multiLevelType w:val="multilevel"/>
    <w:tmpl w:val="FEA2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9510B32"/>
    <w:multiLevelType w:val="multilevel"/>
    <w:tmpl w:val="4082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9704D41"/>
    <w:multiLevelType w:val="multilevel"/>
    <w:tmpl w:val="113E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9757F13"/>
    <w:multiLevelType w:val="multilevel"/>
    <w:tmpl w:val="B7A4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991258E"/>
    <w:multiLevelType w:val="multilevel"/>
    <w:tmpl w:val="03B6D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99C4DBB"/>
    <w:multiLevelType w:val="multilevel"/>
    <w:tmpl w:val="6F60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9AA7C0D"/>
    <w:multiLevelType w:val="multilevel"/>
    <w:tmpl w:val="C6A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C161EB"/>
    <w:multiLevelType w:val="multilevel"/>
    <w:tmpl w:val="9E78C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9D855E8"/>
    <w:multiLevelType w:val="multilevel"/>
    <w:tmpl w:val="F484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A5B710D"/>
    <w:multiLevelType w:val="multilevel"/>
    <w:tmpl w:val="94B6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6506D4"/>
    <w:multiLevelType w:val="multilevel"/>
    <w:tmpl w:val="436AC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AB8710E"/>
    <w:multiLevelType w:val="multilevel"/>
    <w:tmpl w:val="07E64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B0312F2"/>
    <w:multiLevelType w:val="multilevel"/>
    <w:tmpl w:val="156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340C50"/>
    <w:multiLevelType w:val="multilevel"/>
    <w:tmpl w:val="05F8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B6A1BE9"/>
    <w:multiLevelType w:val="multilevel"/>
    <w:tmpl w:val="FE1E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95139F"/>
    <w:multiLevelType w:val="multilevel"/>
    <w:tmpl w:val="FD3A5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BD929EB"/>
    <w:multiLevelType w:val="multilevel"/>
    <w:tmpl w:val="894E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DF2278"/>
    <w:multiLevelType w:val="multilevel"/>
    <w:tmpl w:val="099A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C007F07"/>
    <w:multiLevelType w:val="multilevel"/>
    <w:tmpl w:val="25D8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C195023"/>
    <w:multiLevelType w:val="multilevel"/>
    <w:tmpl w:val="32F2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555955"/>
    <w:multiLevelType w:val="multilevel"/>
    <w:tmpl w:val="9C2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9D02C3"/>
    <w:multiLevelType w:val="multilevel"/>
    <w:tmpl w:val="67CA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B066BE"/>
    <w:multiLevelType w:val="multilevel"/>
    <w:tmpl w:val="BE123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CC22205"/>
    <w:multiLevelType w:val="multilevel"/>
    <w:tmpl w:val="89C27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CD91DC3"/>
    <w:multiLevelType w:val="multilevel"/>
    <w:tmpl w:val="04DE3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D077749"/>
    <w:multiLevelType w:val="multilevel"/>
    <w:tmpl w:val="1346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D407777"/>
    <w:multiLevelType w:val="multilevel"/>
    <w:tmpl w:val="CBCE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D825A97"/>
    <w:multiLevelType w:val="multilevel"/>
    <w:tmpl w:val="1E423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D8A257E"/>
    <w:multiLevelType w:val="multilevel"/>
    <w:tmpl w:val="02DCF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D9D7F04"/>
    <w:multiLevelType w:val="multilevel"/>
    <w:tmpl w:val="FBF2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DC02D3B"/>
    <w:multiLevelType w:val="multilevel"/>
    <w:tmpl w:val="F064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CC7FF6"/>
    <w:multiLevelType w:val="multilevel"/>
    <w:tmpl w:val="B9A0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DF10B10"/>
    <w:multiLevelType w:val="multilevel"/>
    <w:tmpl w:val="4B2A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0048AE"/>
    <w:multiLevelType w:val="multilevel"/>
    <w:tmpl w:val="02A0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144AA0"/>
    <w:multiLevelType w:val="multilevel"/>
    <w:tmpl w:val="2FDC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E145135"/>
    <w:multiLevelType w:val="multilevel"/>
    <w:tmpl w:val="6A6E5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E200CDE"/>
    <w:multiLevelType w:val="multilevel"/>
    <w:tmpl w:val="90CC4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E4362D2"/>
    <w:multiLevelType w:val="multilevel"/>
    <w:tmpl w:val="A3441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E4D488E"/>
    <w:multiLevelType w:val="multilevel"/>
    <w:tmpl w:val="4DDC6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E7F433A"/>
    <w:multiLevelType w:val="multilevel"/>
    <w:tmpl w:val="6FE4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E52A3B"/>
    <w:multiLevelType w:val="multilevel"/>
    <w:tmpl w:val="B852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EF20320"/>
    <w:multiLevelType w:val="multilevel"/>
    <w:tmpl w:val="338A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F461146"/>
    <w:multiLevelType w:val="multilevel"/>
    <w:tmpl w:val="C24A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F4A459F"/>
    <w:multiLevelType w:val="multilevel"/>
    <w:tmpl w:val="3692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B00660"/>
    <w:multiLevelType w:val="multilevel"/>
    <w:tmpl w:val="9BCA2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FB5542D"/>
    <w:multiLevelType w:val="multilevel"/>
    <w:tmpl w:val="2FB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E75035"/>
    <w:multiLevelType w:val="multilevel"/>
    <w:tmpl w:val="A73A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FFB30EF"/>
    <w:multiLevelType w:val="multilevel"/>
    <w:tmpl w:val="F30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3212E6"/>
    <w:multiLevelType w:val="multilevel"/>
    <w:tmpl w:val="47FE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68063F"/>
    <w:multiLevelType w:val="multilevel"/>
    <w:tmpl w:val="7EE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B22258"/>
    <w:multiLevelType w:val="multilevel"/>
    <w:tmpl w:val="8EBA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0EC64F9"/>
    <w:multiLevelType w:val="multilevel"/>
    <w:tmpl w:val="D888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0F8296A"/>
    <w:multiLevelType w:val="multilevel"/>
    <w:tmpl w:val="00A8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1312C65"/>
    <w:multiLevelType w:val="multilevel"/>
    <w:tmpl w:val="B282D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14F4432"/>
    <w:multiLevelType w:val="multilevel"/>
    <w:tmpl w:val="DF44D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1756452"/>
    <w:multiLevelType w:val="multilevel"/>
    <w:tmpl w:val="F53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B04683"/>
    <w:multiLevelType w:val="multilevel"/>
    <w:tmpl w:val="C2781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22C63CD"/>
    <w:multiLevelType w:val="multilevel"/>
    <w:tmpl w:val="0AF0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4E5C15"/>
    <w:multiLevelType w:val="multilevel"/>
    <w:tmpl w:val="B1E4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25163C0"/>
    <w:multiLevelType w:val="multilevel"/>
    <w:tmpl w:val="133E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2544A2D"/>
    <w:multiLevelType w:val="multilevel"/>
    <w:tmpl w:val="D608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B71C60"/>
    <w:multiLevelType w:val="multilevel"/>
    <w:tmpl w:val="7AE0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E22AA5"/>
    <w:multiLevelType w:val="multilevel"/>
    <w:tmpl w:val="7400A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3031420"/>
    <w:multiLevelType w:val="multilevel"/>
    <w:tmpl w:val="9A4E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3207730"/>
    <w:multiLevelType w:val="multilevel"/>
    <w:tmpl w:val="9376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3211F41"/>
    <w:multiLevelType w:val="multilevel"/>
    <w:tmpl w:val="7E946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32648E4"/>
    <w:multiLevelType w:val="multilevel"/>
    <w:tmpl w:val="2944A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3753597"/>
    <w:multiLevelType w:val="multilevel"/>
    <w:tmpl w:val="354A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3C63924"/>
    <w:multiLevelType w:val="multilevel"/>
    <w:tmpl w:val="CDD86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3F67D3E"/>
    <w:multiLevelType w:val="multilevel"/>
    <w:tmpl w:val="039E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417792C"/>
    <w:multiLevelType w:val="multilevel"/>
    <w:tmpl w:val="B70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4617CFB"/>
    <w:multiLevelType w:val="multilevel"/>
    <w:tmpl w:val="DF9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72009E"/>
    <w:multiLevelType w:val="multilevel"/>
    <w:tmpl w:val="DA745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4942CCA"/>
    <w:multiLevelType w:val="multilevel"/>
    <w:tmpl w:val="0C9A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54B1D7D"/>
    <w:multiLevelType w:val="multilevel"/>
    <w:tmpl w:val="D4AE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5509C2"/>
    <w:multiLevelType w:val="multilevel"/>
    <w:tmpl w:val="12AC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5614C11"/>
    <w:multiLevelType w:val="multilevel"/>
    <w:tmpl w:val="CFEC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58F36AD"/>
    <w:multiLevelType w:val="multilevel"/>
    <w:tmpl w:val="B3D8E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5C54DDD"/>
    <w:multiLevelType w:val="multilevel"/>
    <w:tmpl w:val="B69E8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5FA4F9D"/>
    <w:multiLevelType w:val="multilevel"/>
    <w:tmpl w:val="F3D4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6920A29"/>
    <w:multiLevelType w:val="multilevel"/>
    <w:tmpl w:val="E3E69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6B1498E"/>
    <w:multiLevelType w:val="multilevel"/>
    <w:tmpl w:val="0CB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E20090"/>
    <w:multiLevelType w:val="multilevel"/>
    <w:tmpl w:val="7454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000DC8"/>
    <w:multiLevelType w:val="multilevel"/>
    <w:tmpl w:val="B61E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04233C"/>
    <w:multiLevelType w:val="multilevel"/>
    <w:tmpl w:val="E13EB1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7097C14"/>
    <w:multiLevelType w:val="multilevel"/>
    <w:tmpl w:val="A7DE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70E29F0"/>
    <w:multiLevelType w:val="multilevel"/>
    <w:tmpl w:val="27D2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2646C3"/>
    <w:multiLevelType w:val="multilevel"/>
    <w:tmpl w:val="D8D01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7E01A41"/>
    <w:multiLevelType w:val="multilevel"/>
    <w:tmpl w:val="BC76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8180559"/>
    <w:multiLevelType w:val="multilevel"/>
    <w:tmpl w:val="BC5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2157CE"/>
    <w:multiLevelType w:val="multilevel"/>
    <w:tmpl w:val="8CBA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4831C0"/>
    <w:multiLevelType w:val="multilevel"/>
    <w:tmpl w:val="90885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8936FBF"/>
    <w:multiLevelType w:val="multilevel"/>
    <w:tmpl w:val="A8B0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89D6DA1"/>
    <w:multiLevelType w:val="multilevel"/>
    <w:tmpl w:val="F4DC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8A4043C"/>
    <w:multiLevelType w:val="multilevel"/>
    <w:tmpl w:val="3C4A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C909DA"/>
    <w:multiLevelType w:val="multilevel"/>
    <w:tmpl w:val="5928B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8D61204"/>
    <w:multiLevelType w:val="multilevel"/>
    <w:tmpl w:val="CBF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690813"/>
    <w:multiLevelType w:val="multilevel"/>
    <w:tmpl w:val="CE9A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917CFC"/>
    <w:multiLevelType w:val="multilevel"/>
    <w:tmpl w:val="508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9F45D7E"/>
    <w:multiLevelType w:val="multilevel"/>
    <w:tmpl w:val="E7CE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143285"/>
    <w:multiLevelType w:val="multilevel"/>
    <w:tmpl w:val="A0CE9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A3B7D33"/>
    <w:multiLevelType w:val="multilevel"/>
    <w:tmpl w:val="BB2C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A4B55FF"/>
    <w:multiLevelType w:val="multilevel"/>
    <w:tmpl w:val="BC5A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6F3FF7"/>
    <w:multiLevelType w:val="multilevel"/>
    <w:tmpl w:val="7666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D3353D"/>
    <w:multiLevelType w:val="multilevel"/>
    <w:tmpl w:val="43407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B1949DB"/>
    <w:multiLevelType w:val="multilevel"/>
    <w:tmpl w:val="1A8A7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B442BA8"/>
    <w:multiLevelType w:val="multilevel"/>
    <w:tmpl w:val="F17A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B83311D"/>
    <w:multiLevelType w:val="multilevel"/>
    <w:tmpl w:val="D99C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B9266BA"/>
    <w:multiLevelType w:val="multilevel"/>
    <w:tmpl w:val="8922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B990630"/>
    <w:multiLevelType w:val="multilevel"/>
    <w:tmpl w:val="3F4CB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BB23025"/>
    <w:multiLevelType w:val="multilevel"/>
    <w:tmpl w:val="5F10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C7E41B7"/>
    <w:multiLevelType w:val="multilevel"/>
    <w:tmpl w:val="978C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C9E1E30"/>
    <w:multiLevelType w:val="multilevel"/>
    <w:tmpl w:val="B642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CBB56B4"/>
    <w:multiLevelType w:val="multilevel"/>
    <w:tmpl w:val="E43ED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CCC78C9"/>
    <w:multiLevelType w:val="multilevel"/>
    <w:tmpl w:val="EE9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CCF6879"/>
    <w:multiLevelType w:val="multilevel"/>
    <w:tmpl w:val="90B0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CF06378"/>
    <w:multiLevelType w:val="multilevel"/>
    <w:tmpl w:val="86CCD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D087FFB"/>
    <w:multiLevelType w:val="multilevel"/>
    <w:tmpl w:val="3BBE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D1A3631"/>
    <w:multiLevelType w:val="multilevel"/>
    <w:tmpl w:val="4A44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D5F6A1E"/>
    <w:multiLevelType w:val="multilevel"/>
    <w:tmpl w:val="B276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D8C473C"/>
    <w:multiLevelType w:val="multilevel"/>
    <w:tmpl w:val="22C2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DCC58E8"/>
    <w:multiLevelType w:val="multilevel"/>
    <w:tmpl w:val="185A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DF15A66"/>
    <w:multiLevelType w:val="multilevel"/>
    <w:tmpl w:val="AA3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E002394"/>
    <w:multiLevelType w:val="multilevel"/>
    <w:tmpl w:val="3AD4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E4A44BC"/>
    <w:multiLevelType w:val="multilevel"/>
    <w:tmpl w:val="4CC6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E6A0586"/>
    <w:multiLevelType w:val="multilevel"/>
    <w:tmpl w:val="3F5C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CD49B9"/>
    <w:multiLevelType w:val="multilevel"/>
    <w:tmpl w:val="003C6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F151411"/>
    <w:multiLevelType w:val="multilevel"/>
    <w:tmpl w:val="208AA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F4677CD"/>
    <w:multiLevelType w:val="multilevel"/>
    <w:tmpl w:val="A1F60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F547F51"/>
    <w:multiLevelType w:val="multilevel"/>
    <w:tmpl w:val="3064E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F967256"/>
    <w:multiLevelType w:val="multilevel"/>
    <w:tmpl w:val="55EC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F985217"/>
    <w:multiLevelType w:val="multilevel"/>
    <w:tmpl w:val="0F6C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02020E6"/>
    <w:multiLevelType w:val="multilevel"/>
    <w:tmpl w:val="8286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02E3EE3"/>
    <w:multiLevelType w:val="multilevel"/>
    <w:tmpl w:val="9988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06E4299"/>
    <w:multiLevelType w:val="multilevel"/>
    <w:tmpl w:val="5B7E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0836673"/>
    <w:multiLevelType w:val="multilevel"/>
    <w:tmpl w:val="2084E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0924024"/>
    <w:multiLevelType w:val="multilevel"/>
    <w:tmpl w:val="EFBA4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09A5A32"/>
    <w:multiLevelType w:val="multilevel"/>
    <w:tmpl w:val="D64C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0D11DAF"/>
    <w:multiLevelType w:val="multilevel"/>
    <w:tmpl w:val="FF145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11549C1"/>
    <w:multiLevelType w:val="multilevel"/>
    <w:tmpl w:val="704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11F61E6"/>
    <w:multiLevelType w:val="multilevel"/>
    <w:tmpl w:val="25B2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12B274D"/>
    <w:multiLevelType w:val="multilevel"/>
    <w:tmpl w:val="C664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16F585F"/>
    <w:multiLevelType w:val="multilevel"/>
    <w:tmpl w:val="1A569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1D802B9"/>
    <w:multiLevelType w:val="multilevel"/>
    <w:tmpl w:val="5510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2123DA5"/>
    <w:multiLevelType w:val="multilevel"/>
    <w:tmpl w:val="34423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21C40AA"/>
    <w:multiLevelType w:val="multilevel"/>
    <w:tmpl w:val="0DB8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2292EB4"/>
    <w:multiLevelType w:val="multilevel"/>
    <w:tmpl w:val="E844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2693FC6"/>
    <w:multiLevelType w:val="multilevel"/>
    <w:tmpl w:val="8820A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2C640BD"/>
    <w:multiLevelType w:val="multilevel"/>
    <w:tmpl w:val="B4A80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2E438CF"/>
    <w:multiLevelType w:val="multilevel"/>
    <w:tmpl w:val="3C5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31B7F98"/>
    <w:multiLevelType w:val="multilevel"/>
    <w:tmpl w:val="85FA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35B2464"/>
    <w:multiLevelType w:val="multilevel"/>
    <w:tmpl w:val="7DB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3AD5D76"/>
    <w:multiLevelType w:val="multilevel"/>
    <w:tmpl w:val="A56A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3F23225"/>
    <w:multiLevelType w:val="multilevel"/>
    <w:tmpl w:val="C7D2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3F513F2"/>
    <w:multiLevelType w:val="multilevel"/>
    <w:tmpl w:val="9E44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4242A94"/>
    <w:multiLevelType w:val="multilevel"/>
    <w:tmpl w:val="3B1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4340CDD"/>
    <w:multiLevelType w:val="multilevel"/>
    <w:tmpl w:val="54E6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443688B"/>
    <w:multiLevelType w:val="multilevel"/>
    <w:tmpl w:val="CFD47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44511CC"/>
    <w:multiLevelType w:val="multilevel"/>
    <w:tmpl w:val="FE5C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45D490C"/>
    <w:multiLevelType w:val="multilevel"/>
    <w:tmpl w:val="1CEA8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46D260C"/>
    <w:multiLevelType w:val="multilevel"/>
    <w:tmpl w:val="9534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46E4938"/>
    <w:multiLevelType w:val="multilevel"/>
    <w:tmpl w:val="39F2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478363E"/>
    <w:multiLevelType w:val="multilevel"/>
    <w:tmpl w:val="6772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47C5466"/>
    <w:multiLevelType w:val="multilevel"/>
    <w:tmpl w:val="23A4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49060EE"/>
    <w:multiLevelType w:val="multilevel"/>
    <w:tmpl w:val="A360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24F054F4"/>
    <w:multiLevelType w:val="multilevel"/>
    <w:tmpl w:val="9A60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4F46C31"/>
    <w:multiLevelType w:val="multilevel"/>
    <w:tmpl w:val="E7D6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4FB77E4"/>
    <w:multiLevelType w:val="multilevel"/>
    <w:tmpl w:val="91C0E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52414B3"/>
    <w:multiLevelType w:val="multilevel"/>
    <w:tmpl w:val="87AC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254C153A"/>
    <w:multiLevelType w:val="multilevel"/>
    <w:tmpl w:val="F390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5833942"/>
    <w:multiLevelType w:val="multilevel"/>
    <w:tmpl w:val="BFB8A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5847926"/>
    <w:multiLevelType w:val="multilevel"/>
    <w:tmpl w:val="E0DA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25927D17"/>
    <w:multiLevelType w:val="multilevel"/>
    <w:tmpl w:val="5D82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5C70908"/>
    <w:multiLevelType w:val="multilevel"/>
    <w:tmpl w:val="379CA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64C5843"/>
    <w:multiLevelType w:val="multilevel"/>
    <w:tmpl w:val="B81EF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67227FC"/>
    <w:multiLevelType w:val="multilevel"/>
    <w:tmpl w:val="2C60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67A62D6"/>
    <w:multiLevelType w:val="multilevel"/>
    <w:tmpl w:val="DF1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6814A9E"/>
    <w:multiLevelType w:val="multilevel"/>
    <w:tmpl w:val="B3E4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687478A"/>
    <w:multiLevelType w:val="multilevel"/>
    <w:tmpl w:val="8874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68A3E94"/>
    <w:multiLevelType w:val="multilevel"/>
    <w:tmpl w:val="EFAE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6A257D5"/>
    <w:multiLevelType w:val="multilevel"/>
    <w:tmpl w:val="77FC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6BE7277"/>
    <w:multiLevelType w:val="multilevel"/>
    <w:tmpl w:val="34A4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275636E2"/>
    <w:multiLevelType w:val="multilevel"/>
    <w:tmpl w:val="5E0A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7941179"/>
    <w:multiLevelType w:val="multilevel"/>
    <w:tmpl w:val="0650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7D71547"/>
    <w:multiLevelType w:val="multilevel"/>
    <w:tmpl w:val="13E0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27E35E53"/>
    <w:multiLevelType w:val="multilevel"/>
    <w:tmpl w:val="D842E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27E53477"/>
    <w:multiLevelType w:val="multilevel"/>
    <w:tmpl w:val="E4A2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7EF37A5"/>
    <w:multiLevelType w:val="multilevel"/>
    <w:tmpl w:val="C92C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82372EF"/>
    <w:multiLevelType w:val="multilevel"/>
    <w:tmpl w:val="1BD4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8241594"/>
    <w:multiLevelType w:val="multilevel"/>
    <w:tmpl w:val="F49A6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8475E39"/>
    <w:multiLevelType w:val="multilevel"/>
    <w:tmpl w:val="1954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85C1E60"/>
    <w:multiLevelType w:val="multilevel"/>
    <w:tmpl w:val="FF7E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85D31FA"/>
    <w:multiLevelType w:val="multilevel"/>
    <w:tmpl w:val="1E74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8627A78"/>
    <w:multiLevelType w:val="multilevel"/>
    <w:tmpl w:val="5E36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8836614"/>
    <w:multiLevelType w:val="multilevel"/>
    <w:tmpl w:val="B2607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8CB1DB6"/>
    <w:multiLevelType w:val="multilevel"/>
    <w:tmpl w:val="E928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94754A2"/>
    <w:multiLevelType w:val="multilevel"/>
    <w:tmpl w:val="1258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2984701C"/>
    <w:multiLevelType w:val="multilevel"/>
    <w:tmpl w:val="6C50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98E5B88"/>
    <w:multiLevelType w:val="multilevel"/>
    <w:tmpl w:val="8CC4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9903C56"/>
    <w:multiLevelType w:val="multilevel"/>
    <w:tmpl w:val="CF9A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99C7635"/>
    <w:multiLevelType w:val="multilevel"/>
    <w:tmpl w:val="3546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9C81AFF"/>
    <w:multiLevelType w:val="multilevel"/>
    <w:tmpl w:val="C3366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9D629BB"/>
    <w:multiLevelType w:val="multilevel"/>
    <w:tmpl w:val="6316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9DC1238"/>
    <w:multiLevelType w:val="multilevel"/>
    <w:tmpl w:val="5F00E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29E74B20"/>
    <w:multiLevelType w:val="multilevel"/>
    <w:tmpl w:val="B002D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A5A7EE3"/>
    <w:multiLevelType w:val="multilevel"/>
    <w:tmpl w:val="3A2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A6F26DF"/>
    <w:multiLevelType w:val="multilevel"/>
    <w:tmpl w:val="ED46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A983456"/>
    <w:multiLevelType w:val="multilevel"/>
    <w:tmpl w:val="0CEC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2AA70842"/>
    <w:multiLevelType w:val="multilevel"/>
    <w:tmpl w:val="E904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AAF4634"/>
    <w:multiLevelType w:val="multilevel"/>
    <w:tmpl w:val="DEB4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2AEE2A0D"/>
    <w:multiLevelType w:val="multilevel"/>
    <w:tmpl w:val="CDE6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B562DCC"/>
    <w:multiLevelType w:val="multilevel"/>
    <w:tmpl w:val="6DA6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B870659"/>
    <w:multiLevelType w:val="multilevel"/>
    <w:tmpl w:val="470C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B9D6599"/>
    <w:multiLevelType w:val="multilevel"/>
    <w:tmpl w:val="C5E2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2C050A4D"/>
    <w:multiLevelType w:val="multilevel"/>
    <w:tmpl w:val="9BB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C2015E6"/>
    <w:multiLevelType w:val="multilevel"/>
    <w:tmpl w:val="BFA4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C311614"/>
    <w:multiLevelType w:val="multilevel"/>
    <w:tmpl w:val="80584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2C6276C7"/>
    <w:multiLevelType w:val="multilevel"/>
    <w:tmpl w:val="F98A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C724808"/>
    <w:multiLevelType w:val="multilevel"/>
    <w:tmpl w:val="2A80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2DA13862"/>
    <w:multiLevelType w:val="multilevel"/>
    <w:tmpl w:val="7DC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DE90F55"/>
    <w:multiLevelType w:val="multilevel"/>
    <w:tmpl w:val="C64E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E023690"/>
    <w:multiLevelType w:val="multilevel"/>
    <w:tmpl w:val="C7CC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2E0F3D30"/>
    <w:multiLevelType w:val="multilevel"/>
    <w:tmpl w:val="4DF4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E122AE2"/>
    <w:multiLevelType w:val="multilevel"/>
    <w:tmpl w:val="B6A6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EA775C0"/>
    <w:multiLevelType w:val="multilevel"/>
    <w:tmpl w:val="0C12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EC74E06"/>
    <w:multiLevelType w:val="multilevel"/>
    <w:tmpl w:val="2092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EE5388E"/>
    <w:multiLevelType w:val="multilevel"/>
    <w:tmpl w:val="DCF6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EF4085B"/>
    <w:multiLevelType w:val="multilevel"/>
    <w:tmpl w:val="7CC6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2F200A60"/>
    <w:multiLevelType w:val="multilevel"/>
    <w:tmpl w:val="6C625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2F8241F1"/>
    <w:multiLevelType w:val="multilevel"/>
    <w:tmpl w:val="E9224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FAF105C"/>
    <w:multiLevelType w:val="multilevel"/>
    <w:tmpl w:val="97ECC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2FDE109D"/>
    <w:multiLevelType w:val="multilevel"/>
    <w:tmpl w:val="1240A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00910A0"/>
    <w:multiLevelType w:val="multilevel"/>
    <w:tmpl w:val="F0B02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3041670E"/>
    <w:multiLevelType w:val="multilevel"/>
    <w:tmpl w:val="8A4E4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06439E5"/>
    <w:multiLevelType w:val="multilevel"/>
    <w:tmpl w:val="8F4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06665DC"/>
    <w:multiLevelType w:val="multilevel"/>
    <w:tmpl w:val="DA2C7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0F60F11"/>
    <w:multiLevelType w:val="multilevel"/>
    <w:tmpl w:val="6E229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314B42DA"/>
    <w:multiLevelType w:val="multilevel"/>
    <w:tmpl w:val="EC04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1B40C9A"/>
    <w:multiLevelType w:val="multilevel"/>
    <w:tmpl w:val="366C4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2436F1B"/>
    <w:multiLevelType w:val="multilevel"/>
    <w:tmpl w:val="57AE1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327C6ABA"/>
    <w:multiLevelType w:val="multilevel"/>
    <w:tmpl w:val="8540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2981B8F"/>
    <w:multiLevelType w:val="multilevel"/>
    <w:tmpl w:val="E31A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2F51966"/>
    <w:multiLevelType w:val="multilevel"/>
    <w:tmpl w:val="208E4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32FD6019"/>
    <w:multiLevelType w:val="multilevel"/>
    <w:tmpl w:val="F140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335B740C"/>
    <w:multiLevelType w:val="multilevel"/>
    <w:tmpl w:val="600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393564D"/>
    <w:multiLevelType w:val="multilevel"/>
    <w:tmpl w:val="138C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3A163B0"/>
    <w:multiLevelType w:val="multilevel"/>
    <w:tmpl w:val="5420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3A913D5"/>
    <w:multiLevelType w:val="multilevel"/>
    <w:tmpl w:val="F654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3BD1FDF"/>
    <w:multiLevelType w:val="multilevel"/>
    <w:tmpl w:val="C412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3E45F8D"/>
    <w:multiLevelType w:val="multilevel"/>
    <w:tmpl w:val="CD5C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33F03764"/>
    <w:multiLevelType w:val="multilevel"/>
    <w:tmpl w:val="5DCE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340D20D2"/>
    <w:multiLevelType w:val="multilevel"/>
    <w:tmpl w:val="9FDEB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4427AEC"/>
    <w:multiLevelType w:val="multilevel"/>
    <w:tmpl w:val="2302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34666C81"/>
    <w:multiLevelType w:val="multilevel"/>
    <w:tmpl w:val="ADB0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3491682A"/>
    <w:multiLevelType w:val="multilevel"/>
    <w:tmpl w:val="B834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4CC3552"/>
    <w:multiLevelType w:val="multilevel"/>
    <w:tmpl w:val="7436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526325C"/>
    <w:multiLevelType w:val="multilevel"/>
    <w:tmpl w:val="3C46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5A66E98"/>
    <w:multiLevelType w:val="multilevel"/>
    <w:tmpl w:val="0598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5BD3F70"/>
    <w:multiLevelType w:val="multilevel"/>
    <w:tmpl w:val="BFF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603411D"/>
    <w:multiLevelType w:val="multilevel"/>
    <w:tmpl w:val="89C2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62B41D0"/>
    <w:multiLevelType w:val="multilevel"/>
    <w:tmpl w:val="07BAA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367F6725"/>
    <w:multiLevelType w:val="multilevel"/>
    <w:tmpl w:val="6B0C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368428AF"/>
    <w:multiLevelType w:val="multilevel"/>
    <w:tmpl w:val="F2C8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69D5DF7"/>
    <w:multiLevelType w:val="multilevel"/>
    <w:tmpl w:val="490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6B27EB0"/>
    <w:multiLevelType w:val="multilevel"/>
    <w:tmpl w:val="036EE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70A3FC9"/>
    <w:multiLevelType w:val="multilevel"/>
    <w:tmpl w:val="A558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767252F"/>
    <w:multiLevelType w:val="multilevel"/>
    <w:tmpl w:val="7468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37A92018"/>
    <w:multiLevelType w:val="multilevel"/>
    <w:tmpl w:val="E92AA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37D81052"/>
    <w:multiLevelType w:val="multilevel"/>
    <w:tmpl w:val="9BC09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37F448F3"/>
    <w:multiLevelType w:val="multilevel"/>
    <w:tmpl w:val="890A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87E6E84"/>
    <w:multiLevelType w:val="multilevel"/>
    <w:tmpl w:val="186A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8A67F1D"/>
    <w:multiLevelType w:val="multilevel"/>
    <w:tmpl w:val="7B981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8B714F5"/>
    <w:multiLevelType w:val="multilevel"/>
    <w:tmpl w:val="3F08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8D20AE9"/>
    <w:multiLevelType w:val="multilevel"/>
    <w:tmpl w:val="9E16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395D5655"/>
    <w:multiLevelType w:val="multilevel"/>
    <w:tmpl w:val="8E6C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9A8244D"/>
    <w:multiLevelType w:val="multilevel"/>
    <w:tmpl w:val="8BCC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39C877D3"/>
    <w:multiLevelType w:val="multilevel"/>
    <w:tmpl w:val="709E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39DE4A2B"/>
    <w:multiLevelType w:val="multilevel"/>
    <w:tmpl w:val="25A8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3A1C795D"/>
    <w:multiLevelType w:val="multilevel"/>
    <w:tmpl w:val="5114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A1D334A"/>
    <w:multiLevelType w:val="multilevel"/>
    <w:tmpl w:val="A0B25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A354CF5"/>
    <w:multiLevelType w:val="multilevel"/>
    <w:tmpl w:val="1B68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A520C49"/>
    <w:multiLevelType w:val="multilevel"/>
    <w:tmpl w:val="F462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A5F0018"/>
    <w:multiLevelType w:val="multilevel"/>
    <w:tmpl w:val="924A8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A6609E7"/>
    <w:multiLevelType w:val="multilevel"/>
    <w:tmpl w:val="4AC8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3AC00F07"/>
    <w:multiLevelType w:val="multilevel"/>
    <w:tmpl w:val="46F69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AD12510"/>
    <w:multiLevelType w:val="multilevel"/>
    <w:tmpl w:val="3B88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3AFB5E76"/>
    <w:multiLevelType w:val="multilevel"/>
    <w:tmpl w:val="326E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3B0D1253"/>
    <w:multiLevelType w:val="multilevel"/>
    <w:tmpl w:val="37A4F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B3B07AF"/>
    <w:multiLevelType w:val="multilevel"/>
    <w:tmpl w:val="D1D4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B5624E4"/>
    <w:multiLevelType w:val="multilevel"/>
    <w:tmpl w:val="08FA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3B58539B"/>
    <w:multiLevelType w:val="multilevel"/>
    <w:tmpl w:val="51E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B6C4F9F"/>
    <w:multiLevelType w:val="multilevel"/>
    <w:tmpl w:val="78A27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3B7242B3"/>
    <w:multiLevelType w:val="multilevel"/>
    <w:tmpl w:val="3DE8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3BE57043"/>
    <w:multiLevelType w:val="multilevel"/>
    <w:tmpl w:val="1FEAC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3C140E31"/>
    <w:multiLevelType w:val="multilevel"/>
    <w:tmpl w:val="4BEAB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3C2B77AE"/>
    <w:multiLevelType w:val="multilevel"/>
    <w:tmpl w:val="2C48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C92746A"/>
    <w:multiLevelType w:val="multilevel"/>
    <w:tmpl w:val="97FC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3CC92EDE"/>
    <w:multiLevelType w:val="multilevel"/>
    <w:tmpl w:val="5938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3CF96722"/>
    <w:multiLevelType w:val="multilevel"/>
    <w:tmpl w:val="98EC0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D1B74BF"/>
    <w:multiLevelType w:val="multilevel"/>
    <w:tmpl w:val="3FAC1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3D3E2C78"/>
    <w:multiLevelType w:val="multilevel"/>
    <w:tmpl w:val="6D76D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D6C22D1"/>
    <w:multiLevelType w:val="multilevel"/>
    <w:tmpl w:val="EC80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3DA64608"/>
    <w:multiLevelType w:val="multilevel"/>
    <w:tmpl w:val="C69E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3DB17BC7"/>
    <w:multiLevelType w:val="multilevel"/>
    <w:tmpl w:val="CE74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DD83841"/>
    <w:multiLevelType w:val="multilevel"/>
    <w:tmpl w:val="8B92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DF63B37"/>
    <w:multiLevelType w:val="multilevel"/>
    <w:tmpl w:val="D824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E241F33"/>
    <w:multiLevelType w:val="multilevel"/>
    <w:tmpl w:val="349EF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3E2D7993"/>
    <w:multiLevelType w:val="multilevel"/>
    <w:tmpl w:val="C4743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3E6C6374"/>
    <w:multiLevelType w:val="multilevel"/>
    <w:tmpl w:val="642C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E6C7A28"/>
    <w:multiLevelType w:val="multilevel"/>
    <w:tmpl w:val="4E2C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3E980CCD"/>
    <w:multiLevelType w:val="multilevel"/>
    <w:tmpl w:val="7E82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EB32972"/>
    <w:multiLevelType w:val="multilevel"/>
    <w:tmpl w:val="5EDC9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3EB617E2"/>
    <w:multiLevelType w:val="multilevel"/>
    <w:tmpl w:val="E81C2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3EBB418D"/>
    <w:multiLevelType w:val="multilevel"/>
    <w:tmpl w:val="DBBC7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3EC70E88"/>
    <w:multiLevelType w:val="multilevel"/>
    <w:tmpl w:val="40A0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F0E444C"/>
    <w:multiLevelType w:val="multilevel"/>
    <w:tmpl w:val="D520C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3F1C43DB"/>
    <w:multiLevelType w:val="multilevel"/>
    <w:tmpl w:val="F1587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3F3C2117"/>
    <w:multiLevelType w:val="multilevel"/>
    <w:tmpl w:val="2A86B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3F4C0A43"/>
    <w:multiLevelType w:val="multilevel"/>
    <w:tmpl w:val="97E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F5430CC"/>
    <w:multiLevelType w:val="multilevel"/>
    <w:tmpl w:val="9652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F5F5926"/>
    <w:multiLevelType w:val="multilevel"/>
    <w:tmpl w:val="BB4E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F637B64"/>
    <w:multiLevelType w:val="multilevel"/>
    <w:tmpl w:val="1F32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3F711454"/>
    <w:multiLevelType w:val="multilevel"/>
    <w:tmpl w:val="1F42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3FE7496C"/>
    <w:multiLevelType w:val="multilevel"/>
    <w:tmpl w:val="0B3C6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3FEE5B7A"/>
    <w:multiLevelType w:val="multilevel"/>
    <w:tmpl w:val="450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0374DCF"/>
    <w:multiLevelType w:val="multilevel"/>
    <w:tmpl w:val="AAA0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404E3DC7"/>
    <w:multiLevelType w:val="multilevel"/>
    <w:tmpl w:val="7280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05952BF"/>
    <w:multiLevelType w:val="multilevel"/>
    <w:tmpl w:val="3CAE4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408621B1"/>
    <w:multiLevelType w:val="multilevel"/>
    <w:tmpl w:val="5266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4086258B"/>
    <w:multiLevelType w:val="multilevel"/>
    <w:tmpl w:val="12F46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0D74CE4"/>
    <w:multiLevelType w:val="multilevel"/>
    <w:tmpl w:val="FE5A4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412A2855"/>
    <w:multiLevelType w:val="multilevel"/>
    <w:tmpl w:val="212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138499B"/>
    <w:multiLevelType w:val="multilevel"/>
    <w:tmpl w:val="F90C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13F4DB2"/>
    <w:multiLevelType w:val="multilevel"/>
    <w:tmpl w:val="C9E0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15946AA"/>
    <w:multiLevelType w:val="multilevel"/>
    <w:tmpl w:val="56F8E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41A934DE"/>
    <w:multiLevelType w:val="multilevel"/>
    <w:tmpl w:val="CDDAA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41B5110E"/>
    <w:multiLevelType w:val="multilevel"/>
    <w:tmpl w:val="D708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41C01381"/>
    <w:multiLevelType w:val="multilevel"/>
    <w:tmpl w:val="EEC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2062B59"/>
    <w:multiLevelType w:val="multilevel"/>
    <w:tmpl w:val="72A6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21A2119"/>
    <w:multiLevelType w:val="multilevel"/>
    <w:tmpl w:val="FF8C5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4227221C"/>
    <w:multiLevelType w:val="multilevel"/>
    <w:tmpl w:val="75D4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2447D46"/>
    <w:multiLevelType w:val="multilevel"/>
    <w:tmpl w:val="51E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2520FE7"/>
    <w:multiLevelType w:val="multilevel"/>
    <w:tmpl w:val="974A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2895054"/>
    <w:multiLevelType w:val="multilevel"/>
    <w:tmpl w:val="DF30B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42A0353F"/>
    <w:multiLevelType w:val="multilevel"/>
    <w:tmpl w:val="DE2C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2D53486"/>
    <w:multiLevelType w:val="multilevel"/>
    <w:tmpl w:val="55029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42F44CAD"/>
    <w:multiLevelType w:val="multilevel"/>
    <w:tmpl w:val="B48E1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433B6D29"/>
    <w:multiLevelType w:val="multilevel"/>
    <w:tmpl w:val="2646A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43705082"/>
    <w:multiLevelType w:val="multilevel"/>
    <w:tmpl w:val="857A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43C94431"/>
    <w:multiLevelType w:val="multilevel"/>
    <w:tmpl w:val="ACA49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43CD54FF"/>
    <w:multiLevelType w:val="multilevel"/>
    <w:tmpl w:val="04C0A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43F250FC"/>
    <w:multiLevelType w:val="multilevel"/>
    <w:tmpl w:val="2B747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440B293E"/>
    <w:multiLevelType w:val="multilevel"/>
    <w:tmpl w:val="F124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412231D"/>
    <w:multiLevelType w:val="multilevel"/>
    <w:tmpl w:val="8C6C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43F650F"/>
    <w:multiLevelType w:val="multilevel"/>
    <w:tmpl w:val="5CD48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4453781D"/>
    <w:multiLevelType w:val="multilevel"/>
    <w:tmpl w:val="938E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449C6152"/>
    <w:multiLevelType w:val="multilevel"/>
    <w:tmpl w:val="AC30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4D03062"/>
    <w:multiLevelType w:val="multilevel"/>
    <w:tmpl w:val="CBEE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4D72A85"/>
    <w:multiLevelType w:val="multilevel"/>
    <w:tmpl w:val="C0A0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5440EC6"/>
    <w:multiLevelType w:val="multilevel"/>
    <w:tmpl w:val="F63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55C120B"/>
    <w:multiLevelType w:val="multilevel"/>
    <w:tmpl w:val="B226F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565761B"/>
    <w:multiLevelType w:val="multilevel"/>
    <w:tmpl w:val="5218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5896187"/>
    <w:multiLevelType w:val="multilevel"/>
    <w:tmpl w:val="86584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5982A32"/>
    <w:multiLevelType w:val="multilevel"/>
    <w:tmpl w:val="D87E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45C43CCC"/>
    <w:multiLevelType w:val="multilevel"/>
    <w:tmpl w:val="551CA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45D0708B"/>
    <w:multiLevelType w:val="multilevel"/>
    <w:tmpl w:val="AAD0A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462D62CE"/>
    <w:multiLevelType w:val="multilevel"/>
    <w:tmpl w:val="9844F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67A6FBA"/>
    <w:multiLevelType w:val="multilevel"/>
    <w:tmpl w:val="1AE4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467F3ECA"/>
    <w:multiLevelType w:val="multilevel"/>
    <w:tmpl w:val="F366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468B7F46"/>
    <w:multiLevelType w:val="multilevel"/>
    <w:tmpl w:val="F192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6F44004"/>
    <w:multiLevelType w:val="multilevel"/>
    <w:tmpl w:val="1C66E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471666ED"/>
    <w:multiLevelType w:val="multilevel"/>
    <w:tmpl w:val="D910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76C3FF8"/>
    <w:multiLevelType w:val="multilevel"/>
    <w:tmpl w:val="9776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47722E29"/>
    <w:multiLevelType w:val="multilevel"/>
    <w:tmpl w:val="291C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47A370F3"/>
    <w:multiLevelType w:val="multilevel"/>
    <w:tmpl w:val="C804C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47F017E1"/>
    <w:multiLevelType w:val="multilevel"/>
    <w:tmpl w:val="B594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480113ED"/>
    <w:multiLevelType w:val="multilevel"/>
    <w:tmpl w:val="41F23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48012299"/>
    <w:multiLevelType w:val="multilevel"/>
    <w:tmpl w:val="13BA4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480656A5"/>
    <w:multiLevelType w:val="multilevel"/>
    <w:tmpl w:val="85603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481336CC"/>
    <w:multiLevelType w:val="multilevel"/>
    <w:tmpl w:val="BE38F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481C18E9"/>
    <w:multiLevelType w:val="multilevel"/>
    <w:tmpl w:val="ACD4D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482156A3"/>
    <w:multiLevelType w:val="multilevel"/>
    <w:tmpl w:val="D234D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4891317B"/>
    <w:multiLevelType w:val="multilevel"/>
    <w:tmpl w:val="F53E0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48E2384C"/>
    <w:multiLevelType w:val="multilevel"/>
    <w:tmpl w:val="D7FE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8EE1F50"/>
    <w:multiLevelType w:val="multilevel"/>
    <w:tmpl w:val="D152B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493A723C"/>
    <w:multiLevelType w:val="multilevel"/>
    <w:tmpl w:val="7B0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951646C"/>
    <w:multiLevelType w:val="multilevel"/>
    <w:tmpl w:val="B8FA0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496028C2"/>
    <w:multiLevelType w:val="multilevel"/>
    <w:tmpl w:val="83C21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499A6D7A"/>
    <w:multiLevelType w:val="multilevel"/>
    <w:tmpl w:val="5C64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49B72B07"/>
    <w:multiLevelType w:val="multilevel"/>
    <w:tmpl w:val="C9288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49C54657"/>
    <w:multiLevelType w:val="multilevel"/>
    <w:tmpl w:val="5BAA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49D93B59"/>
    <w:multiLevelType w:val="multilevel"/>
    <w:tmpl w:val="1300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49DC4EEC"/>
    <w:multiLevelType w:val="multilevel"/>
    <w:tmpl w:val="CD9C6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49E47735"/>
    <w:multiLevelType w:val="multilevel"/>
    <w:tmpl w:val="0B1A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49E800C1"/>
    <w:multiLevelType w:val="multilevel"/>
    <w:tmpl w:val="504AA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4A1254AF"/>
    <w:multiLevelType w:val="multilevel"/>
    <w:tmpl w:val="E6C6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A282BA9"/>
    <w:multiLevelType w:val="multilevel"/>
    <w:tmpl w:val="7098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4A5A2685"/>
    <w:multiLevelType w:val="multilevel"/>
    <w:tmpl w:val="0D32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4ACB06B6"/>
    <w:multiLevelType w:val="multilevel"/>
    <w:tmpl w:val="2CE84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4AE02C80"/>
    <w:multiLevelType w:val="multilevel"/>
    <w:tmpl w:val="C39C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4AEC0D4B"/>
    <w:multiLevelType w:val="multilevel"/>
    <w:tmpl w:val="59A8F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4B105B9B"/>
    <w:multiLevelType w:val="multilevel"/>
    <w:tmpl w:val="2782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4B55334C"/>
    <w:multiLevelType w:val="multilevel"/>
    <w:tmpl w:val="4E300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4B5A023A"/>
    <w:multiLevelType w:val="multilevel"/>
    <w:tmpl w:val="0E82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B6D5B27"/>
    <w:multiLevelType w:val="multilevel"/>
    <w:tmpl w:val="7FD8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4BAF353C"/>
    <w:multiLevelType w:val="multilevel"/>
    <w:tmpl w:val="12BC1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4BE43828"/>
    <w:multiLevelType w:val="multilevel"/>
    <w:tmpl w:val="28D83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4BF4137D"/>
    <w:multiLevelType w:val="multilevel"/>
    <w:tmpl w:val="A2807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4C256962"/>
    <w:multiLevelType w:val="multilevel"/>
    <w:tmpl w:val="5A5AB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4C2737D6"/>
    <w:multiLevelType w:val="multilevel"/>
    <w:tmpl w:val="9A12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4C3F62B4"/>
    <w:multiLevelType w:val="multilevel"/>
    <w:tmpl w:val="D3F63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4C616D64"/>
    <w:multiLevelType w:val="multilevel"/>
    <w:tmpl w:val="CCF20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4C6E5085"/>
    <w:multiLevelType w:val="multilevel"/>
    <w:tmpl w:val="747A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4C772778"/>
    <w:multiLevelType w:val="multilevel"/>
    <w:tmpl w:val="A458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4C7F6BE3"/>
    <w:multiLevelType w:val="multilevel"/>
    <w:tmpl w:val="77C0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4C940B56"/>
    <w:multiLevelType w:val="multilevel"/>
    <w:tmpl w:val="349A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4CA932E2"/>
    <w:multiLevelType w:val="multilevel"/>
    <w:tmpl w:val="7CFA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4CCE3D05"/>
    <w:multiLevelType w:val="multilevel"/>
    <w:tmpl w:val="3828B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4CCF70B1"/>
    <w:multiLevelType w:val="multilevel"/>
    <w:tmpl w:val="2646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4CD00802"/>
    <w:multiLevelType w:val="multilevel"/>
    <w:tmpl w:val="E74E4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CD963CC"/>
    <w:multiLevelType w:val="multilevel"/>
    <w:tmpl w:val="CB82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CDD7C59"/>
    <w:multiLevelType w:val="multilevel"/>
    <w:tmpl w:val="6082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4CE76D41"/>
    <w:multiLevelType w:val="multilevel"/>
    <w:tmpl w:val="67048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4D1725A5"/>
    <w:multiLevelType w:val="multilevel"/>
    <w:tmpl w:val="B630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4D3B0989"/>
    <w:multiLevelType w:val="multilevel"/>
    <w:tmpl w:val="EB42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D503DC8"/>
    <w:multiLevelType w:val="multilevel"/>
    <w:tmpl w:val="B8182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4D771316"/>
    <w:multiLevelType w:val="multilevel"/>
    <w:tmpl w:val="D8BA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4DE63DC1"/>
    <w:multiLevelType w:val="multilevel"/>
    <w:tmpl w:val="8EBA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4DFD1D5D"/>
    <w:multiLevelType w:val="multilevel"/>
    <w:tmpl w:val="7328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E0567A0"/>
    <w:multiLevelType w:val="multilevel"/>
    <w:tmpl w:val="88D02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4E3D4F22"/>
    <w:multiLevelType w:val="multilevel"/>
    <w:tmpl w:val="11A66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4E7225D7"/>
    <w:multiLevelType w:val="multilevel"/>
    <w:tmpl w:val="E52E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E7367E5"/>
    <w:multiLevelType w:val="multilevel"/>
    <w:tmpl w:val="0BF2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4EDC0F88"/>
    <w:multiLevelType w:val="multilevel"/>
    <w:tmpl w:val="2FAE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EE850E7"/>
    <w:multiLevelType w:val="multilevel"/>
    <w:tmpl w:val="FC16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4EF00C53"/>
    <w:multiLevelType w:val="multilevel"/>
    <w:tmpl w:val="021C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4EFC6938"/>
    <w:multiLevelType w:val="multilevel"/>
    <w:tmpl w:val="D1763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4F0C436F"/>
    <w:multiLevelType w:val="multilevel"/>
    <w:tmpl w:val="7E3C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F3D1A9D"/>
    <w:multiLevelType w:val="multilevel"/>
    <w:tmpl w:val="6C9E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F6466E8"/>
    <w:multiLevelType w:val="multilevel"/>
    <w:tmpl w:val="4042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F76234E"/>
    <w:multiLevelType w:val="multilevel"/>
    <w:tmpl w:val="32E0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F9D720D"/>
    <w:multiLevelType w:val="multilevel"/>
    <w:tmpl w:val="71AE9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4FC87959"/>
    <w:multiLevelType w:val="multilevel"/>
    <w:tmpl w:val="4DE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FD97290"/>
    <w:multiLevelType w:val="multilevel"/>
    <w:tmpl w:val="C112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FDF59B2"/>
    <w:multiLevelType w:val="multilevel"/>
    <w:tmpl w:val="79F8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4FF66051"/>
    <w:multiLevelType w:val="multilevel"/>
    <w:tmpl w:val="BC127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508D726E"/>
    <w:multiLevelType w:val="multilevel"/>
    <w:tmpl w:val="68D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0ED6AD5"/>
    <w:multiLevelType w:val="multilevel"/>
    <w:tmpl w:val="9BBA9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510160BF"/>
    <w:multiLevelType w:val="multilevel"/>
    <w:tmpl w:val="87AC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1433CF6"/>
    <w:multiLevelType w:val="multilevel"/>
    <w:tmpl w:val="EC72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51451AC0"/>
    <w:multiLevelType w:val="multilevel"/>
    <w:tmpl w:val="B7F0E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51574E87"/>
    <w:multiLevelType w:val="multilevel"/>
    <w:tmpl w:val="CB0E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51740B0D"/>
    <w:multiLevelType w:val="multilevel"/>
    <w:tmpl w:val="5C280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519B5AE0"/>
    <w:multiLevelType w:val="multilevel"/>
    <w:tmpl w:val="2E40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523E628C"/>
    <w:multiLevelType w:val="multilevel"/>
    <w:tmpl w:val="9AF0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524E5273"/>
    <w:multiLevelType w:val="multilevel"/>
    <w:tmpl w:val="A420D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52821E7F"/>
    <w:multiLevelType w:val="multilevel"/>
    <w:tmpl w:val="58EA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528F0708"/>
    <w:multiLevelType w:val="multilevel"/>
    <w:tmpl w:val="C67A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5290369A"/>
    <w:multiLevelType w:val="multilevel"/>
    <w:tmpl w:val="BCD6F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529B5B4C"/>
    <w:multiLevelType w:val="multilevel"/>
    <w:tmpl w:val="64C4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52A95430"/>
    <w:multiLevelType w:val="multilevel"/>
    <w:tmpl w:val="E970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52EF6EF5"/>
    <w:multiLevelType w:val="multilevel"/>
    <w:tmpl w:val="0B7A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530B1E0A"/>
    <w:multiLevelType w:val="multilevel"/>
    <w:tmpl w:val="26063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53117BBA"/>
    <w:multiLevelType w:val="multilevel"/>
    <w:tmpl w:val="9EB6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53787A59"/>
    <w:multiLevelType w:val="multilevel"/>
    <w:tmpl w:val="D4E4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53A056E3"/>
    <w:multiLevelType w:val="multilevel"/>
    <w:tmpl w:val="340A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3A816BE"/>
    <w:multiLevelType w:val="multilevel"/>
    <w:tmpl w:val="4FB2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541020EE"/>
    <w:multiLevelType w:val="multilevel"/>
    <w:tmpl w:val="0422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54743CE0"/>
    <w:multiLevelType w:val="multilevel"/>
    <w:tmpl w:val="5C4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47723FA"/>
    <w:multiLevelType w:val="multilevel"/>
    <w:tmpl w:val="B706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4980D48"/>
    <w:multiLevelType w:val="multilevel"/>
    <w:tmpl w:val="45E2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49C3C4D"/>
    <w:multiLevelType w:val="multilevel"/>
    <w:tmpl w:val="2D3EE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54D41012"/>
    <w:multiLevelType w:val="multilevel"/>
    <w:tmpl w:val="6F56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54E77B8E"/>
    <w:multiLevelType w:val="multilevel"/>
    <w:tmpl w:val="861E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555C7B23"/>
    <w:multiLevelType w:val="multilevel"/>
    <w:tmpl w:val="861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5672AEA"/>
    <w:multiLevelType w:val="multilevel"/>
    <w:tmpl w:val="397CB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55707CFC"/>
    <w:multiLevelType w:val="multilevel"/>
    <w:tmpl w:val="29529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55752487"/>
    <w:multiLevelType w:val="multilevel"/>
    <w:tmpl w:val="02D8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55915DAE"/>
    <w:multiLevelType w:val="multilevel"/>
    <w:tmpl w:val="71E4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5DA4288"/>
    <w:multiLevelType w:val="multilevel"/>
    <w:tmpl w:val="55B8F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55E33365"/>
    <w:multiLevelType w:val="multilevel"/>
    <w:tmpl w:val="E4D4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55F6069E"/>
    <w:multiLevelType w:val="multilevel"/>
    <w:tmpl w:val="29B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6234B2C"/>
    <w:multiLevelType w:val="multilevel"/>
    <w:tmpl w:val="4560C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56605D43"/>
    <w:multiLevelType w:val="multilevel"/>
    <w:tmpl w:val="20E07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56856B45"/>
    <w:multiLevelType w:val="multilevel"/>
    <w:tmpl w:val="16D2F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5761755E"/>
    <w:multiLevelType w:val="multilevel"/>
    <w:tmpl w:val="CF74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57647057"/>
    <w:multiLevelType w:val="multilevel"/>
    <w:tmpl w:val="2E861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57BD4626"/>
    <w:multiLevelType w:val="multilevel"/>
    <w:tmpl w:val="AE64D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580468B8"/>
    <w:multiLevelType w:val="multilevel"/>
    <w:tmpl w:val="3F94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83B158A"/>
    <w:multiLevelType w:val="multilevel"/>
    <w:tmpl w:val="EA5C4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58450888"/>
    <w:multiLevelType w:val="multilevel"/>
    <w:tmpl w:val="0AA6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587C4A98"/>
    <w:multiLevelType w:val="multilevel"/>
    <w:tmpl w:val="FACA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589C2768"/>
    <w:multiLevelType w:val="multilevel"/>
    <w:tmpl w:val="1190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58C0038D"/>
    <w:multiLevelType w:val="multilevel"/>
    <w:tmpl w:val="ECB4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8D77BED"/>
    <w:multiLevelType w:val="multilevel"/>
    <w:tmpl w:val="07EA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59096EDC"/>
    <w:multiLevelType w:val="multilevel"/>
    <w:tmpl w:val="9888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591B29E2"/>
    <w:multiLevelType w:val="multilevel"/>
    <w:tmpl w:val="D604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595E428B"/>
    <w:multiLevelType w:val="multilevel"/>
    <w:tmpl w:val="4270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596249AE"/>
    <w:multiLevelType w:val="multilevel"/>
    <w:tmpl w:val="CE92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96656EA"/>
    <w:multiLevelType w:val="multilevel"/>
    <w:tmpl w:val="1906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597704DF"/>
    <w:multiLevelType w:val="multilevel"/>
    <w:tmpl w:val="32F2D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5A18228D"/>
    <w:multiLevelType w:val="multilevel"/>
    <w:tmpl w:val="78CA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A217BE4"/>
    <w:multiLevelType w:val="multilevel"/>
    <w:tmpl w:val="5B7C1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5A2D3035"/>
    <w:multiLevelType w:val="multilevel"/>
    <w:tmpl w:val="2D0ED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5A401C3D"/>
    <w:multiLevelType w:val="multilevel"/>
    <w:tmpl w:val="EF10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5A4C6231"/>
    <w:multiLevelType w:val="multilevel"/>
    <w:tmpl w:val="82380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5A4F46F3"/>
    <w:multiLevelType w:val="multilevel"/>
    <w:tmpl w:val="20860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5A74696C"/>
    <w:multiLevelType w:val="multilevel"/>
    <w:tmpl w:val="506E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5A7C1DC1"/>
    <w:multiLevelType w:val="multilevel"/>
    <w:tmpl w:val="4556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5A813D64"/>
    <w:multiLevelType w:val="multilevel"/>
    <w:tmpl w:val="E19A5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5AAC4132"/>
    <w:multiLevelType w:val="multilevel"/>
    <w:tmpl w:val="9C2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AB10C75"/>
    <w:multiLevelType w:val="multilevel"/>
    <w:tmpl w:val="32EAB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5AB5245A"/>
    <w:multiLevelType w:val="multilevel"/>
    <w:tmpl w:val="934E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5AFF22BC"/>
    <w:multiLevelType w:val="multilevel"/>
    <w:tmpl w:val="579A0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5B2A1501"/>
    <w:multiLevelType w:val="multilevel"/>
    <w:tmpl w:val="FA3A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5B355889"/>
    <w:multiLevelType w:val="multilevel"/>
    <w:tmpl w:val="86B07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5B5B77BD"/>
    <w:multiLevelType w:val="multilevel"/>
    <w:tmpl w:val="B370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5B8A0A6F"/>
    <w:multiLevelType w:val="multilevel"/>
    <w:tmpl w:val="DB6AF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5BAF15C5"/>
    <w:multiLevelType w:val="multilevel"/>
    <w:tmpl w:val="C2DE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BC5576C"/>
    <w:multiLevelType w:val="multilevel"/>
    <w:tmpl w:val="41A8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C01550C"/>
    <w:multiLevelType w:val="multilevel"/>
    <w:tmpl w:val="CFEE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5C032133"/>
    <w:multiLevelType w:val="multilevel"/>
    <w:tmpl w:val="A93E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5C0D2154"/>
    <w:multiLevelType w:val="multilevel"/>
    <w:tmpl w:val="730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C1272C3"/>
    <w:multiLevelType w:val="multilevel"/>
    <w:tmpl w:val="E968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5C155CC2"/>
    <w:multiLevelType w:val="multilevel"/>
    <w:tmpl w:val="70A4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5C5C029E"/>
    <w:multiLevelType w:val="multilevel"/>
    <w:tmpl w:val="160E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C932CB6"/>
    <w:multiLevelType w:val="multilevel"/>
    <w:tmpl w:val="154A2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5CCF2A44"/>
    <w:multiLevelType w:val="multilevel"/>
    <w:tmpl w:val="4BBA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5CD351EA"/>
    <w:multiLevelType w:val="multilevel"/>
    <w:tmpl w:val="A20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CF3191F"/>
    <w:multiLevelType w:val="multilevel"/>
    <w:tmpl w:val="F514B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5D056176"/>
    <w:multiLevelType w:val="multilevel"/>
    <w:tmpl w:val="8AA8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5D3B59FF"/>
    <w:multiLevelType w:val="multilevel"/>
    <w:tmpl w:val="869EE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5D9723DA"/>
    <w:multiLevelType w:val="multilevel"/>
    <w:tmpl w:val="16DEA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5DA66CE4"/>
    <w:multiLevelType w:val="multilevel"/>
    <w:tmpl w:val="5F70D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5DDA3CAE"/>
    <w:multiLevelType w:val="multilevel"/>
    <w:tmpl w:val="332C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5E122C4A"/>
    <w:multiLevelType w:val="multilevel"/>
    <w:tmpl w:val="9EA8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5E180473"/>
    <w:multiLevelType w:val="multilevel"/>
    <w:tmpl w:val="E0DCF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5E2E55AE"/>
    <w:multiLevelType w:val="multilevel"/>
    <w:tmpl w:val="6AEC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5E2E56AA"/>
    <w:multiLevelType w:val="multilevel"/>
    <w:tmpl w:val="16309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5E454BA0"/>
    <w:multiLevelType w:val="multilevel"/>
    <w:tmpl w:val="E1B4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E467647"/>
    <w:multiLevelType w:val="multilevel"/>
    <w:tmpl w:val="BE84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5E4B2DD1"/>
    <w:multiLevelType w:val="multilevel"/>
    <w:tmpl w:val="D8B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E51146B"/>
    <w:multiLevelType w:val="multilevel"/>
    <w:tmpl w:val="ED2C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E785C61"/>
    <w:multiLevelType w:val="multilevel"/>
    <w:tmpl w:val="5F08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EEF5405"/>
    <w:multiLevelType w:val="multilevel"/>
    <w:tmpl w:val="211A4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5EF521B5"/>
    <w:multiLevelType w:val="multilevel"/>
    <w:tmpl w:val="8EC0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F477836"/>
    <w:multiLevelType w:val="multilevel"/>
    <w:tmpl w:val="ECCCE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5F8251B3"/>
    <w:multiLevelType w:val="multilevel"/>
    <w:tmpl w:val="2B06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FA63588"/>
    <w:multiLevelType w:val="multilevel"/>
    <w:tmpl w:val="B7BC4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5FED59BD"/>
    <w:multiLevelType w:val="multilevel"/>
    <w:tmpl w:val="F848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60183FBB"/>
    <w:multiLevelType w:val="multilevel"/>
    <w:tmpl w:val="5D3E6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604C1FF7"/>
    <w:multiLevelType w:val="multilevel"/>
    <w:tmpl w:val="1BD0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604F77AF"/>
    <w:multiLevelType w:val="multilevel"/>
    <w:tmpl w:val="AFB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07A6081"/>
    <w:multiLevelType w:val="multilevel"/>
    <w:tmpl w:val="EE5AB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608B0C17"/>
    <w:multiLevelType w:val="multilevel"/>
    <w:tmpl w:val="126E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09C790D"/>
    <w:multiLevelType w:val="multilevel"/>
    <w:tmpl w:val="7D72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612F060D"/>
    <w:multiLevelType w:val="multilevel"/>
    <w:tmpl w:val="9DAC3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616A6ADF"/>
    <w:multiLevelType w:val="multilevel"/>
    <w:tmpl w:val="64D6F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617C27C3"/>
    <w:multiLevelType w:val="multilevel"/>
    <w:tmpl w:val="6124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19561B4"/>
    <w:multiLevelType w:val="multilevel"/>
    <w:tmpl w:val="FC94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1960A8A"/>
    <w:multiLevelType w:val="multilevel"/>
    <w:tmpl w:val="ECB8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1CA58B5"/>
    <w:multiLevelType w:val="multilevel"/>
    <w:tmpl w:val="C784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61D56A32"/>
    <w:multiLevelType w:val="multilevel"/>
    <w:tmpl w:val="AA32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62191C62"/>
    <w:multiLevelType w:val="multilevel"/>
    <w:tmpl w:val="3CBEC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621B6CDB"/>
    <w:multiLevelType w:val="multilevel"/>
    <w:tmpl w:val="BD56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2406AC9"/>
    <w:multiLevelType w:val="multilevel"/>
    <w:tmpl w:val="D928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62406B2C"/>
    <w:multiLevelType w:val="multilevel"/>
    <w:tmpl w:val="A45CF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62406BAD"/>
    <w:multiLevelType w:val="multilevel"/>
    <w:tmpl w:val="51A6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627F7300"/>
    <w:multiLevelType w:val="multilevel"/>
    <w:tmpl w:val="1A00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2CE3B58"/>
    <w:multiLevelType w:val="multilevel"/>
    <w:tmpl w:val="A6BAC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62F8112A"/>
    <w:multiLevelType w:val="multilevel"/>
    <w:tmpl w:val="7284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630F746E"/>
    <w:multiLevelType w:val="multilevel"/>
    <w:tmpl w:val="FCFC0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631B471D"/>
    <w:multiLevelType w:val="multilevel"/>
    <w:tmpl w:val="ED02F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63213675"/>
    <w:multiLevelType w:val="multilevel"/>
    <w:tmpl w:val="B808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3336951"/>
    <w:multiLevelType w:val="multilevel"/>
    <w:tmpl w:val="1E80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33D5B59"/>
    <w:multiLevelType w:val="multilevel"/>
    <w:tmpl w:val="60BE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635F1072"/>
    <w:multiLevelType w:val="multilevel"/>
    <w:tmpl w:val="499A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6374197A"/>
    <w:multiLevelType w:val="multilevel"/>
    <w:tmpl w:val="39F4B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63AB7272"/>
    <w:multiLevelType w:val="multilevel"/>
    <w:tmpl w:val="C496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3CC445A"/>
    <w:multiLevelType w:val="multilevel"/>
    <w:tmpl w:val="04407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63DA001F"/>
    <w:multiLevelType w:val="multilevel"/>
    <w:tmpl w:val="A7B65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640864EA"/>
    <w:multiLevelType w:val="multilevel"/>
    <w:tmpl w:val="8040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40B4422"/>
    <w:multiLevelType w:val="multilevel"/>
    <w:tmpl w:val="3BAC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64171241"/>
    <w:multiLevelType w:val="multilevel"/>
    <w:tmpl w:val="120C9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64362C95"/>
    <w:multiLevelType w:val="multilevel"/>
    <w:tmpl w:val="2ACE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64654BC3"/>
    <w:multiLevelType w:val="multilevel"/>
    <w:tmpl w:val="62FCE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647B054A"/>
    <w:multiLevelType w:val="multilevel"/>
    <w:tmpl w:val="3C167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64AE3B61"/>
    <w:multiLevelType w:val="multilevel"/>
    <w:tmpl w:val="5F9A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64C534BC"/>
    <w:multiLevelType w:val="multilevel"/>
    <w:tmpl w:val="AA8E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64E74ADA"/>
    <w:multiLevelType w:val="multilevel"/>
    <w:tmpl w:val="869A6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64F902E4"/>
    <w:multiLevelType w:val="multilevel"/>
    <w:tmpl w:val="39E8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655702FA"/>
    <w:multiLevelType w:val="multilevel"/>
    <w:tmpl w:val="B7BE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65675E0D"/>
    <w:multiLevelType w:val="multilevel"/>
    <w:tmpl w:val="BEDE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65925323"/>
    <w:multiLevelType w:val="multilevel"/>
    <w:tmpl w:val="42B4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59E2491"/>
    <w:multiLevelType w:val="multilevel"/>
    <w:tmpl w:val="06B2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65B64A38"/>
    <w:multiLevelType w:val="multilevel"/>
    <w:tmpl w:val="F8DCB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65B9428B"/>
    <w:multiLevelType w:val="multilevel"/>
    <w:tmpl w:val="3C96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62437C4"/>
    <w:multiLevelType w:val="multilevel"/>
    <w:tmpl w:val="1C64A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66272CB4"/>
    <w:multiLevelType w:val="multilevel"/>
    <w:tmpl w:val="4848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676079B"/>
    <w:multiLevelType w:val="multilevel"/>
    <w:tmpl w:val="F836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667D10F5"/>
    <w:multiLevelType w:val="multilevel"/>
    <w:tmpl w:val="97EA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66AE5F6B"/>
    <w:multiLevelType w:val="multilevel"/>
    <w:tmpl w:val="D2A8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66CA310E"/>
    <w:multiLevelType w:val="multilevel"/>
    <w:tmpl w:val="669A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66EE146C"/>
    <w:multiLevelType w:val="multilevel"/>
    <w:tmpl w:val="622C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7144837"/>
    <w:multiLevelType w:val="multilevel"/>
    <w:tmpl w:val="5D8C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678B7D36"/>
    <w:multiLevelType w:val="multilevel"/>
    <w:tmpl w:val="9C0E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7D34460"/>
    <w:multiLevelType w:val="multilevel"/>
    <w:tmpl w:val="C150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67D76D6D"/>
    <w:multiLevelType w:val="multilevel"/>
    <w:tmpl w:val="8102C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67FD1AE1"/>
    <w:multiLevelType w:val="multilevel"/>
    <w:tmpl w:val="A9FE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681F3E9C"/>
    <w:multiLevelType w:val="multilevel"/>
    <w:tmpl w:val="3778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83B65D3"/>
    <w:multiLevelType w:val="multilevel"/>
    <w:tmpl w:val="566E5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68485DEC"/>
    <w:multiLevelType w:val="multilevel"/>
    <w:tmpl w:val="CC28C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68486F65"/>
    <w:multiLevelType w:val="multilevel"/>
    <w:tmpl w:val="84AE7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686A07E3"/>
    <w:multiLevelType w:val="multilevel"/>
    <w:tmpl w:val="781E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686E022A"/>
    <w:multiLevelType w:val="multilevel"/>
    <w:tmpl w:val="869C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884526E"/>
    <w:multiLevelType w:val="multilevel"/>
    <w:tmpl w:val="33F4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688D280C"/>
    <w:multiLevelType w:val="multilevel"/>
    <w:tmpl w:val="1F14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68B53458"/>
    <w:multiLevelType w:val="multilevel"/>
    <w:tmpl w:val="C040C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68E26163"/>
    <w:multiLevelType w:val="multilevel"/>
    <w:tmpl w:val="DB5E2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68EC6D30"/>
    <w:multiLevelType w:val="multilevel"/>
    <w:tmpl w:val="4B0EC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68F97562"/>
    <w:multiLevelType w:val="multilevel"/>
    <w:tmpl w:val="E81AD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691E7833"/>
    <w:multiLevelType w:val="multilevel"/>
    <w:tmpl w:val="227E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9454311"/>
    <w:multiLevelType w:val="multilevel"/>
    <w:tmpl w:val="4508B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69645E18"/>
    <w:multiLevelType w:val="multilevel"/>
    <w:tmpl w:val="02F2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698272C8"/>
    <w:multiLevelType w:val="multilevel"/>
    <w:tmpl w:val="5328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69912768"/>
    <w:multiLevelType w:val="multilevel"/>
    <w:tmpl w:val="1862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997073D"/>
    <w:multiLevelType w:val="multilevel"/>
    <w:tmpl w:val="CC24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9B93380"/>
    <w:multiLevelType w:val="multilevel"/>
    <w:tmpl w:val="04488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69CD27F8"/>
    <w:multiLevelType w:val="multilevel"/>
    <w:tmpl w:val="39FA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69DE2ECE"/>
    <w:multiLevelType w:val="multilevel"/>
    <w:tmpl w:val="C308C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6A132092"/>
    <w:multiLevelType w:val="multilevel"/>
    <w:tmpl w:val="9626D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6A1E57D7"/>
    <w:multiLevelType w:val="multilevel"/>
    <w:tmpl w:val="39D8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83" w15:restartNumberingAfterBreak="0">
    <w:nsid w:val="6A29738C"/>
    <w:multiLevelType w:val="multilevel"/>
    <w:tmpl w:val="3534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6A3B1974"/>
    <w:multiLevelType w:val="multilevel"/>
    <w:tmpl w:val="559A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6A4D485E"/>
    <w:multiLevelType w:val="multilevel"/>
    <w:tmpl w:val="E130A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6A7A0871"/>
    <w:multiLevelType w:val="multilevel"/>
    <w:tmpl w:val="2F7E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AA34047"/>
    <w:multiLevelType w:val="multilevel"/>
    <w:tmpl w:val="2C2A8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6AAA3BC4"/>
    <w:multiLevelType w:val="multilevel"/>
    <w:tmpl w:val="F6C2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AE80772"/>
    <w:multiLevelType w:val="multilevel"/>
    <w:tmpl w:val="8C8C7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6B9E590A"/>
    <w:multiLevelType w:val="multilevel"/>
    <w:tmpl w:val="22A6A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6BAC61EA"/>
    <w:multiLevelType w:val="multilevel"/>
    <w:tmpl w:val="4630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BBE30D0"/>
    <w:multiLevelType w:val="multilevel"/>
    <w:tmpl w:val="918E9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6BFA1C99"/>
    <w:multiLevelType w:val="multilevel"/>
    <w:tmpl w:val="8BB29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6BFE48FE"/>
    <w:multiLevelType w:val="multilevel"/>
    <w:tmpl w:val="1DA0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C013328"/>
    <w:multiLevelType w:val="multilevel"/>
    <w:tmpl w:val="8DD4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C0B2873"/>
    <w:multiLevelType w:val="multilevel"/>
    <w:tmpl w:val="15828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6C1954B6"/>
    <w:multiLevelType w:val="multilevel"/>
    <w:tmpl w:val="14D23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6C281AAB"/>
    <w:multiLevelType w:val="multilevel"/>
    <w:tmpl w:val="958ED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6C334144"/>
    <w:multiLevelType w:val="multilevel"/>
    <w:tmpl w:val="24E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C63564D"/>
    <w:multiLevelType w:val="multilevel"/>
    <w:tmpl w:val="FE56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C891149"/>
    <w:multiLevelType w:val="multilevel"/>
    <w:tmpl w:val="C3D67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6CCD485D"/>
    <w:multiLevelType w:val="multilevel"/>
    <w:tmpl w:val="A008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CF53BF0"/>
    <w:multiLevelType w:val="multilevel"/>
    <w:tmpl w:val="62D6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6CFC4A7E"/>
    <w:multiLevelType w:val="multilevel"/>
    <w:tmpl w:val="1E56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6D6F7985"/>
    <w:multiLevelType w:val="multilevel"/>
    <w:tmpl w:val="714A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6DA04F27"/>
    <w:multiLevelType w:val="multilevel"/>
    <w:tmpl w:val="C6C8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6DCE57FA"/>
    <w:multiLevelType w:val="multilevel"/>
    <w:tmpl w:val="9A60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6E04576C"/>
    <w:multiLevelType w:val="multilevel"/>
    <w:tmpl w:val="370AD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6E690FBA"/>
    <w:multiLevelType w:val="multilevel"/>
    <w:tmpl w:val="F7D4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6E9471FF"/>
    <w:multiLevelType w:val="multilevel"/>
    <w:tmpl w:val="066C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6EB01BBB"/>
    <w:multiLevelType w:val="multilevel"/>
    <w:tmpl w:val="01322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6EE772E1"/>
    <w:multiLevelType w:val="multilevel"/>
    <w:tmpl w:val="BF06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6EEC1149"/>
    <w:multiLevelType w:val="multilevel"/>
    <w:tmpl w:val="908A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EFE6393"/>
    <w:multiLevelType w:val="multilevel"/>
    <w:tmpl w:val="9062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F26512F"/>
    <w:multiLevelType w:val="multilevel"/>
    <w:tmpl w:val="91981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6F6C5194"/>
    <w:multiLevelType w:val="multilevel"/>
    <w:tmpl w:val="D3AAA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6F810655"/>
    <w:multiLevelType w:val="multilevel"/>
    <w:tmpl w:val="5BE6E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6F862728"/>
    <w:multiLevelType w:val="multilevel"/>
    <w:tmpl w:val="B9EC0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6F9744BB"/>
    <w:multiLevelType w:val="multilevel"/>
    <w:tmpl w:val="F5A8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6F9E4759"/>
    <w:multiLevelType w:val="multilevel"/>
    <w:tmpl w:val="E0FA7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6FA5522A"/>
    <w:multiLevelType w:val="multilevel"/>
    <w:tmpl w:val="A6801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6FAF4D9A"/>
    <w:multiLevelType w:val="multilevel"/>
    <w:tmpl w:val="BB04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FBF478D"/>
    <w:multiLevelType w:val="multilevel"/>
    <w:tmpl w:val="5082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FC65344"/>
    <w:multiLevelType w:val="multilevel"/>
    <w:tmpl w:val="30243842"/>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700D6261"/>
    <w:multiLevelType w:val="multilevel"/>
    <w:tmpl w:val="F608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707165A4"/>
    <w:multiLevelType w:val="multilevel"/>
    <w:tmpl w:val="1038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70751499"/>
    <w:multiLevelType w:val="multilevel"/>
    <w:tmpl w:val="D4485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70814CF9"/>
    <w:multiLevelType w:val="multilevel"/>
    <w:tmpl w:val="405C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70C16D6E"/>
    <w:multiLevelType w:val="multilevel"/>
    <w:tmpl w:val="A2A8B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70DB4C7B"/>
    <w:multiLevelType w:val="multilevel"/>
    <w:tmpl w:val="8596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1AA4448"/>
    <w:multiLevelType w:val="multilevel"/>
    <w:tmpl w:val="694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1B02FAC"/>
    <w:multiLevelType w:val="multilevel"/>
    <w:tmpl w:val="16F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1D84E37"/>
    <w:multiLevelType w:val="multilevel"/>
    <w:tmpl w:val="9FAC0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72626AEB"/>
    <w:multiLevelType w:val="multilevel"/>
    <w:tmpl w:val="32A6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2D11AB5"/>
    <w:multiLevelType w:val="multilevel"/>
    <w:tmpl w:val="AEE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2D8122F"/>
    <w:multiLevelType w:val="multilevel"/>
    <w:tmpl w:val="88769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730A0554"/>
    <w:multiLevelType w:val="multilevel"/>
    <w:tmpl w:val="33F6D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730E1F16"/>
    <w:multiLevelType w:val="multilevel"/>
    <w:tmpl w:val="83C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33A458C"/>
    <w:multiLevelType w:val="multilevel"/>
    <w:tmpl w:val="BF304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734C0BD2"/>
    <w:multiLevelType w:val="multilevel"/>
    <w:tmpl w:val="5D9E0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73512F85"/>
    <w:multiLevelType w:val="multilevel"/>
    <w:tmpl w:val="628CF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737F2C37"/>
    <w:multiLevelType w:val="multilevel"/>
    <w:tmpl w:val="E910C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73961DF0"/>
    <w:multiLevelType w:val="multilevel"/>
    <w:tmpl w:val="8B40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73A3001A"/>
    <w:multiLevelType w:val="multilevel"/>
    <w:tmpl w:val="2526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3B36FA0"/>
    <w:multiLevelType w:val="multilevel"/>
    <w:tmpl w:val="22F0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3D219DA"/>
    <w:multiLevelType w:val="multilevel"/>
    <w:tmpl w:val="C6C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3D5099B"/>
    <w:multiLevelType w:val="multilevel"/>
    <w:tmpl w:val="4BC2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74193865"/>
    <w:multiLevelType w:val="multilevel"/>
    <w:tmpl w:val="644E7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74680F64"/>
    <w:multiLevelType w:val="multilevel"/>
    <w:tmpl w:val="5636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4750F04"/>
    <w:multiLevelType w:val="multilevel"/>
    <w:tmpl w:val="79AA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7485766D"/>
    <w:multiLevelType w:val="multilevel"/>
    <w:tmpl w:val="0ECC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48A2B0C"/>
    <w:multiLevelType w:val="multilevel"/>
    <w:tmpl w:val="6ABA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49F4F0E"/>
    <w:multiLevelType w:val="multilevel"/>
    <w:tmpl w:val="2BC8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74B17B24"/>
    <w:multiLevelType w:val="multilevel"/>
    <w:tmpl w:val="CC545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74E07E6F"/>
    <w:multiLevelType w:val="multilevel"/>
    <w:tmpl w:val="52B0A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750E6904"/>
    <w:multiLevelType w:val="multilevel"/>
    <w:tmpl w:val="F234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56B4C6E"/>
    <w:multiLevelType w:val="multilevel"/>
    <w:tmpl w:val="D354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59C2212"/>
    <w:multiLevelType w:val="multilevel"/>
    <w:tmpl w:val="A4A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5B33697"/>
    <w:multiLevelType w:val="multilevel"/>
    <w:tmpl w:val="0406D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75BF7A2C"/>
    <w:multiLevelType w:val="multilevel"/>
    <w:tmpl w:val="74B8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75E40616"/>
    <w:multiLevelType w:val="multilevel"/>
    <w:tmpl w:val="5D40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75E513EA"/>
    <w:multiLevelType w:val="multilevel"/>
    <w:tmpl w:val="55C4D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75F74343"/>
    <w:multiLevelType w:val="multilevel"/>
    <w:tmpl w:val="4CBC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760D2602"/>
    <w:multiLevelType w:val="multilevel"/>
    <w:tmpl w:val="AAA4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76101004"/>
    <w:multiLevelType w:val="multilevel"/>
    <w:tmpl w:val="33FE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76795DCE"/>
    <w:multiLevelType w:val="multilevel"/>
    <w:tmpl w:val="F79C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768A6499"/>
    <w:multiLevelType w:val="multilevel"/>
    <w:tmpl w:val="20AC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76C11F1E"/>
    <w:multiLevelType w:val="multilevel"/>
    <w:tmpl w:val="03927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76DB767B"/>
    <w:multiLevelType w:val="multilevel"/>
    <w:tmpl w:val="5D98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743091E"/>
    <w:multiLevelType w:val="multilevel"/>
    <w:tmpl w:val="015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77E6797C"/>
    <w:multiLevelType w:val="multilevel"/>
    <w:tmpl w:val="A734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77F551EF"/>
    <w:multiLevelType w:val="multilevel"/>
    <w:tmpl w:val="0AA0F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77F96D79"/>
    <w:multiLevelType w:val="multilevel"/>
    <w:tmpl w:val="F2FE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80648D6"/>
    <w:multiLevelType w:val="multilevel"/>
    <w:tmpl w:val="1CF2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780C3B69"/>
    <w:multiLevelType w:val="multilevel"/>
    <w:tmpl w:val="C4100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784C494C"/>
    <w:multiLevelType w:val="multilevel"/>
    <w:tmpl w:val="5C7A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785350A5"/>
    <w:multiLevelType w:val="multilevel"/>
    <w:tmpl w:val="465ED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7854035B"/>
    <w:multiLevelType w:val="multilevel"/>
    <w:tmpl w:val="F1109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7862131B"/>
    <w:multiLevelType w:val="multilevel"/>
    <w:tmpl w:val="6736F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78942898"/>
    <w:multiLevelType w:val="multilevel"/>
    <w:tmpl w:val="1FCC1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78A367B8"/>
    <w:multiLevelType w:val="multilevel"/>
    <w:tmpl w:val="848A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8B87AE7"/>
    <w:multiLevelType w:val="multilevel"/>
    <w:tmpl w:val="72DC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8F53193"/>
    <w:multiLevelType w:val="multilevel"/>
    <w:tmpl w:val="41C6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79366E98"/>
    <w:multiLevelType w:val="multilevel"/>
    <w:tmpl w:val="3E82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79383792"/>
    <w:multiLevelType w:val="multilevel"/>
    <w:tmpl w:val="18D40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796C7E31"/>
    <w:multiLevelType w:val="multilevel"/>
    <w:tmpl w:val="DBA87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79B61DC1"/>
    <w:multiLevelType w:val="multilevel"/>
    <w:tmpl w:val="476A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79E92218"/>
    <w:multiLevelType w:val="multilevel"/>
    <w:tmpl w:val="3DD6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A03055D"/>
    <w:multiLevelType w:val="multilevel"/>
    <w:tmpl w:val="D9EE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7A1E253D"/>
    <w:multiLevelType w:val="multilevel"/>
    <w:tmpl w:val="AB822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7A503279"/>
    <w:multiLevelType w:val="multilevel"/>
    <w:tmpl w:val="16A8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7A5601C4"/>
    <w:multiLevelType w:val="multilevel"/>
    <w:tmpl w:val="FA7A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7A63009D"/>
    <w:multiLevelType w:val="multilevel"/>
    <w:tmpl w:val="546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A6424C6"/>
    <w:multiLevelType w:val="multilevel"/>
    <w:tmpl w:val="079E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7AA01F5C"/>
    <w:multiLevelType w:val="multilevel"/>
    <w:tmpl w:val="805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AAE2842"/>
    <w:multiLevelType w:val="multilevel"/>
    <w:tmpl w:val="46744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7" w15:restartNumberingAfterBreak="0">
    <w:nsid w:val="7ACF1EFD"/>
    <w:multiLevelType w:val="multilevel"/>
    <w:tmpl w:val="2E1A0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7AEB4973"/>
    <w:multiLevelType w:val="multilevel"/>
    <w:tmpl w:val="173A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7B500F24"/>
    <w:multiLevelType w:val="multilevel"/>
    <w:tmpl w:val="1102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7B5425A0"/>
    <w:multiLevelType w:val="multilevel"/>
    <w:tmpl w:val="41B42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7B610F3B"/>
    <w:multiLevelType w:val="multilevel"/>
    <w:tmpl w:val="1320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7B6A67B5"/>
    <w:multiLevelType w:val="multilevel"/>
    <w:tmpl w:val="AB80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7C397088"/>
    <w:multiLevelType w:val="multilevel"/>
    <w:tmpl w:val="B59C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7C5E638E"/>
    <w:multiLevelType w:val="multilevel"/>
    <w:tmpl w:val="39DA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7C9C474F"/>
    <w:multiLevelType w:val="multilevel"/>
    <w:tmpl w:val="D0DA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CCA2A84"/>
    <w:multiLevelType w:val="multilevel"/>
    <w:tmpl w:val="9B301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7D236B33"/>
    <w:multiLevelType w:val="multilevel"/>
    <w:tmpl w:val="9AF6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D2D7768"/>
    <w:multiLevelType w:val="multilevel"/>
    <w:tmpl w:val="4BA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D3942EF"/>
    <w:multiLevelType w:val="multilevel"/>
    <w:tmpl w:val="35B23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7D9D387E"/>
    <w:multiLevelType w:val="multilevel"/>
    <w:tmpl w:val="0F94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DD64A0A"/>
    <w:multiLevelType w:val="multilevel"/>
    <w:tmpl w:val="5A68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DD650CC"/>
    <w:multiLevelType w:val="multilevel"/>
    <w:tmpl w:val="B404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7E0D06D4"/>
    <w:multiLevelType w:val="multilevel"/>
    <w:tmpl w:val="3B42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E265EB5"/>
    <w:multiLevelType w:val="multilevel"/>
    <w:tmpl w:val="3F1E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7E584EE6"/>
    <w:multiLevelType w:val="multilevel"/>
    <w:tmpl w:val="1EF8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7E6D7D93"/>
    <w:multiLevelType w:val="multilevel"/>
    <w:tmpl w:val="7FE4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7E7E0937"/>
    <w:multiLevelType w:val="multilevel"/>
    <w:tmpl w:val="6D8AB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7E891132"/>
    <w:multiLevelType w:val="multilevel"/>
    <w:tmpl w:val="BC32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E9E4FED"/>
    <w:multiLevelType w:val="multilevel"/>
    <w:tmpl w:val="DB98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7EB11235"/>
    <w:multiLevelType w:val="multilevel"/>
    <w:tmpl w:val="7C16B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7EC76AEC"/>
    <w:multiLevelType w:val="multilevel"/>
    <w:tmpl w:val="4582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EC77CEC"/>
    <w:multiLevelType w:val="multilevel"/>
    <w:tmpl w:val="704C6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7EEA3336"/>
    <w:multiLevelType w:val="multilevel"/>
    <w:tmpl w:val="AE78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EEA38D4"/>
    <w:multiLevelType w:val="multilevel"/>
    <w:tmpl w:val="CF42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7F194059"/>
    <w:multiLevelType w:val="multilevel"/>
    <w:tmpl w:val="BD56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7F4A7DE8"/>
    <w:multiLevelType w:val="multilevel"/>
    <w:tmpl w:val="25B8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7F50001A"/>
    <w:multiLevelType w:val="multilevel"/>
    <w:tmpl w:val="335CA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7F552AAD"/>
    <w:multiLevelType w:val="multilevel"/>
    <w:tmpl w:val="F84C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7FA377D9"/>
    <w:multiLevelType w:val="multilevel"/>
    <w:tmpl w:val="11A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7FC15E19"/>
    <w:multiLevelType w:val="multilevel"/>
    <w:tmpl w:val="4CC0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7FEC597A"/>
    <w:multiLevelType w:val="multilevel"/>
    <w:tmpl w:val="DFD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FED7FF9"/>
    <w:multiLevelType w:val="multilevel"/>
    <w:tmpl w:val="6C6AA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8"/>
  </w:num>
  <w:num w:numId="2">
    <w:abstractNumId w:val="6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30"/>
  </w:num>
  <w:num w:numId="4">
    <w:abstractNumId w:val="241"/>
  </w:num>
  <w:num w:numId="5">
    <w:abstractNumId w:val="741"/>
  </w:num>
  <w:num w:numId="6">
    <w:abstractNumId w:val="813"/>
  </w:num>
  <w:num w:numId="7">
    <w:abstractNumId w:val="496"/>
  </w:num>
  <w:num w:numId="8">
    <w:abstractNumId w:val="117"/>
  </w:num>
  <w:num w:numId="9">
    <w:abstractNumId w:val="149"/>
  </w:num>
  <w:num w:numId="10">
    <w:abstractNumId w:val="129"/>
  </w:num>
  <w:num w:numId="11">
    <w:abstractNumId w:val="81"/>
  </w:num>
  <w:num w:numId="12">
    <w:abstractNumId w:val="788"/>
  </w:num>
  <w:num w:numId="13">
    <w:abstractNumId w:val="514"/>
  </w:num>
  <w:num w:numId="14">
    <w:abstractNumId w:val="80"/>
  </w:num>
  <w:num w:numId="15">
    <w:abstractNumId w:val="207"/>
  </w:num>
  <w:num w:numId="16">
    <w:abstractNumId w:val="324"/>
  </w:num>
  <w:num w:numId="17">
    <w:abstractNumId w:val="805"/>
  </w:num>
  <w:num w:numId="18">
    <w:abstractNumId w:val="199"/>
  </w:num>
  <w:num w:numId="19">
    <w:abstractNumId w:val="260"/>
  </w:num>
  <w:num w:numId="20">
    <w:abstractNumId w:val="16"/>
  </w:num>
  <w:num w:numId="21">
    <w:abstractNumId w:val="172"/>
  </w:num>
  <w:num w:numId="22">
    <w:abstractNumId w:val="76"/>
  </w:num>
  <w:num w:numId="23">
    <w:abstractNumId w:val="82"/>
  </w:num>
  <w:num w:numId="24">
    <w:abstractNumId w:val="528"/>
  </w:num>
  <w:num w:numId="25">
    <w:abstractNumId w:val="132"/>
  </w:num>
  <w:num w:numId="26">
    <w:abstractNumId w:val="284"/>
  </w:num>
  <w:num w:numId="27">
    <w:abstractNumId w:val="631"/>
  </w:num>
  <w:num w:numId="28">
    <w:abstractNumId w:val="269"/>
  </w:num>
  <w:num w:numId="29">
    <w:abstractNumId w:val="190"/>
  </w:num>
  <w:num w:numId="30">
    <w:abstractNumId w:val="71"/>
  </w:num>
  <w:num w:numId="31">
    <w:abstractNumId w:val="305"/>
  </w:num>
  <w:num w:numId="32">
    <w:abstractNumId w:val="392"/>
  </w:num>
  <w:num w:numId="33">
    <w:abstractNumId w:val="524"/>
  </w:num>
  <w:num w:numId="34">
    <w:abstractNumId w:val="201"/>
  </w:num>
  <w:num w:numId="35">
    <w:abstractNumId w:val="93"/>
  </w:num>
  <w:num w:numId="36">
    <w:abstractNumId w:val="749"/>
  </w:num>
  <w:num w:numId="37">
    <w:abstractNumId w:val="609"/>
  </w:num>
  <w:num w:numId="38">
    <w:abstractNumId w:val="69"/>
  </w:num>
  <w:num w:numId="39">
    <w:abstractNumId w:val="308"/>
  </w:num>
  <w:num w:numId="40">
    <w:abstractNumId w:val="227"/>
  </w:num>
  <w:num w:numId="41">
    <w:abstractNumId w:val="593"/>
  </w:num>
  <w:num w:numId="42">
    <w:abstractNumId w:val="519"/>
  </w:num>
  <w:num w:numId="43">
    <w:abstractNumId w:val="319"/>
  </w:num>
  <w:num w:numId="44">
    <w:abstractNumId w:val="589"/>
  </w:num>
  <w:num w:numId="45">
    <w:abstractNumId w:val="745"/>
  </w:num>
  <w:num w:numId="46">
    <w:abstractNumId w:val="551"/>
  </w:num>
  <w:num w:numId="47">
    <w:abstractNumId w:val="32"/>
  </w:num>
  <w:num w:numId="48">
    <w:abstractNumId w:val="793"/>
  </w:num>
  <w:num w:numId="49">
    <w:abstractNumId w:val="811"/>
  </w:num>
  <w:num w:numId="50">
    <w:abstractNumId w:val="610"/>
  </w:num>
  <w:num w:numId="51">
    <w:abstractNumId w:val="89"/>
  </w:num>
  <w:num w:numId="52">
    <w:abstractNumId w:val="196"/>
  </w:num>
  <w:num w:numId="53">
    <w:abstractNumId w:val="417"/>
  </w:num>
  <w:num w:numId="54">
    <w:abstractNumId w:val="53"/>
  </w:num>
  <w:num w:numId="55">
    <w:abstractNumId w:val="278"/>
  </w:num>
  <w:num w:numId="56">
    <w:abstractNumId w:val="83"/>
  </w:num>
  <w:num w:numId="57">
    <w:abstractNumId w:val="273"/>
  </w:num>
  <w:num w:numId="58">
    <w:abstractNumId w:val="387"/>
  </w:num>
  <w:num w:numId="59">
    <w:abstractNumId w:val="476"/>
  </w:num>
  <w:num w:numId="60">
    <w:abstractNumId w:val="247"/>
  </w:num>
  <w:num w:numId="61">
    <w:abstractNumId w:val="457"/>
  </w:num>
  <w:num w:numId="62">
    <w:abstractNumId w:val="497"/>
  </w:num>
  <w:num w:numId="63">
    <w:abstractNumId w:val="340"/>
  </w:num>
  <w:num w:numId="64">
    <w:abstractNumId w:val="367"/>
  </w:num>
  <w:num w:numId="65">
    <w:abstractNumId w:val="688"/>
  </w:num>
  <w:num w:numId="66">
    <w:abstractNumId w:val="382"/>
  </w:num>
  <w:num w:numId="67">
    <w:abstractNumId w:val="515"/>
  </w:num>
  <w:num w:numId="68">
    <w:abstractNumId w:val="769"/>
  </w:num>
  <w:num w:numId="69">
    <w:abstractNumId w:val="445"/>
  </w:num>
  <w:num w:numId="70">
    <w:abstractNumId w:val="799"/>
  </w:num>
  <w:num w:numId="71">
    <w:abstractNumId w:val="22"/>
  </w:num>
  <w:num w:numId="72">
    <w:abstractNumId w:val="218"/>
  </w:num>
  <w:num w:numId="73">
    <w:abstractNumId w:val="315"/>
  </w:num>
  <w:num w:numId="74">
    <w:abstractNumId w:val="802"/>
  </w:num>
  <w:num w:numId="75">
    <w:abstractNumId w:val="695"/>
  </w:num>
  <w:num w:numId="76">
    <w:abstractNumId w:val="426"/>
  </w:num>
  <w:num w:numId="77">
    <w:abstractNumId w:val="355"/>
  </w:num>
  <w:num w:numId="78">
    <w:abstractNumId w:val="95"/>
  </w:num>
  <w:num w:numId="79">
    <w:abstractNumId w:val="383"/>
  </w:num>
  <w:num w:numId="80">
    <w:abstractNumId w:val="465"/>
  </w:num>
  <w:num w:numId="81">
    <w:abstractNumId w:val="27"/>
  </w:num>
  <w:num w:numId="82">
    <w:abstractNumId w:val="194"/>
  </w:num>
  <w:num w:numId="83">
    <w:abstractNumId w:val="744"/>
  </w:num>
  <w:num w:numId="84">
    <w:abstractNumId w:val="573"/>
  </w:num>
  <w:num w:numId="85">
    <w:abstractNumId w:val="659"/>
  </w:num>
  <w:num w:numId="86">
    <w:abstractNumId w:val="157"/>
  </w:num>
  <w:num w:numId="87">
    <w:abstractNumId w:val="135"/>
  </w:num>
  <w:num w:numId="88">
    <w:abstractNumId w:val="264"/>
  </w:num>
  <w:num w:numId="89">
    <w:abstractNumId w:val="501"/>
  </w:num>
  <w:num w:numId="90">
    <w:abstractNumId w:val="109"/>
  </w:num>
  <w:num w:numId="91">
    <w:abstractNumId w:val="270"/>
  </w:num>
  <w:num w:numId="92">
    <w:abstractNumId w:val="75"/>
  </w:num>
  <w:num w:numId="93">
    <w:abstractNumId w:val="357"/>
  </w:num>
  <w:num w:numId="94">
    <w:abstractNumId w:val="714"/>
  </w:num>
  <w:num w:numId="95">
    <w:abstractNumId w:val="604"/>
  </w:num>
  <w:num w:numId="96">
    <w:abstractNumId w:val="446"/>
  </w:num>
  <w:num w:numId="97">
    <w:abstractNumId w:val="722"/>
  </w:num>
  <w:num w:numId="98">
    <w:abstractNumId w:val="831"/>
  </w:num>
  <w:num w:numId="99">
    <w:abstractNumId w:val="41"/>
  </w:num>
  <w:num w:numId="100">
    <w:abstractNumId w:val="204"/>
  </w:num>
  <w:num w:numId="101">
    <w:abstractNumId w:val="318"/>
  </w:num>
  <w:num w:numId="102">
    <w:abstractNumId w:val="758"/>
  </w:num>
  <w:num w:numId="103">
    <w:abstractNumId w:val="653"/>
  </w:num>
  <w:num w:numId="104">
    <w:abstractNumId w:val="807"/>
  </w:num>
  <w:num w:numId="105">
    <w:abstractNumId w:val="752"/>
  </w:num>
  <w:num w:numId="106">
    <w:abstractNumId w:val="164"/>
  </w:num>
  <w:num w:numId="107">
    <w:abstractNumId w:val="712"/>
  </w:num>
  <w:num w:numId="108">
    <w:abstractNumId w:val="485"/>
  </w:num>
  <w:num w:numId="109">
    <w:abstractNumId w:val="673"/>
  </w:num>
  <w:num w:numId="110">
    <w:abstractNumId w:val="667"/>
  </w:num>
  <w:num w:numId="111">
    <w:abstractNumId w:val="121"/>
  </w:num>
  <w:num w:numId="112">
    <w:abstractNumId w:val="702"/>
  </w:num>
  <w:num w:numId="113">
    <w:abstractNumId w:val="818"/>
  </w:num>
  <w:num w:numId="114">
    <w:abstractNumId w:val="612"/>
  </w:num>
  <w:num w:numId="115">
    <w:abstractNumId w:val="358"/>
  </w:num>
  <w:num w:numId="116">
    <w:abstractNumId w:val="267"/>
  </w:num>
  <w:num w:numId="117">
    <w:abstractNumId w:val="311"/>
  </w:num>
  <w:num w:numId="118">
    <w:abstractNumId w:val="285"/>
  </w:num>
  <w:num w:numId="119">
    <w:abstractNumId w:val="664"/>
  </w:num>
  <w:num w:numId="120">
    <w:abstractNumId w:val="56"/>
  </w:num>
  <w:num w:numId="121">
    <w:abstractNumId w:val="35"/>
  </w:num>
  <w:num w:numId="122">
    <w:abstractNumId w:val="381"/>
  </w:num>
  <w:num w:numId="123">
    <w:abstractNumId w:val="265"/>
  </w:num>
  <w:num w:numId="124">
    <w:abstractNumId w:val="359"/>
  </w:num>
  <w:num w:numId="125">
    <w:abstractNumId w:val="320"/>
  </w:num>
  <w:num w:numId="126">
    <w:abstractNumId w:val="390"/>
  </w:num>
  <w:num w:numId="127">
    <w:abstractNumId w:val="74"/>
  </w:num>
  <w:num w:numId="128">
    <w:abstractNumId w:val="240"/>
  </w:num>
  <w:num w:numId="129">
    <w:abstractNumId w:val="302"/>
  </w:num>
  <w:num w:numId="130">
    <w:abstractNumId w:val="558"/>
  </w:num>
  <w:num w:numId="131">
    <w:abstractNumId w:val="364"/>
  </w:num>
  <w:num w:numId="132">
    <w:abstractNumId w:val="136"/>
  </w:num>
  <w:num w:numId="133">
    <w:abstractNumId w:val="700"/>
  </w:num>
  <w:num w:numId="134">
    <w:abstractNumId w:val="546"/>
  </w:num>
  <w:num w:numId="135">
    <w:abstractNumId w:val="286"/>
  </w:num>
  <w:num w:numId="136">
    <w:abstractNumId w:val="398"/>
  </w:num>
  <w:num w:numId="137">
    <w:abstractNumId w:val="250"/>
  </w:num>
  <w:num w:numId="138">
    <w:abstractNumId w:val="569"/>
  </w:num>
  <w:num w:numId="139">
    <w:abstractNumId w:val="205"/>
  </w:num>
  <w:num w:numId="140">
    <w:abstractNumId w:val="409"/>
  </w:num>
  <w:num w:numId="141">
    <w:abstractNumId w:val="683"/>
  </w:num>
  <w:num w:numId="142">
    <w:abstractNumId w:val="162"/>
  </w:num>
  <w:num w:numId="143">
    <w:abstractNumId w:val="45"/>
  </w:num>
  <w:num w:numId="144">
    <w:abstractNumId w:val="511"/>
  </w:num>
  <w:num w:numId="145">
    <w:abstractNumId w:val="577"/>
  </w:num>
  <w:num w:numId="146">
    <w:abstractNumId w:val="734"/>
  </w:num>
  <w:num w:numId="147">
    <w:abstractNumId w:val="740"/>
  </w:num>
  <w:num w:numId="148">
    <w:abstractNumId w:val="107"/>
  </w:num>
  <w:num w:numId="149">
    <w:abstractNumId w:val="487"/>
  </w:num>
  <w:num w:numId="150">
    <w:abstractNumId w:val="478"/>
  </w:num>
  <w:num w:numId="151">
    <w:abstractNumId w:val="724"/>
  </w:num>
  <w:num w:numId="152">
    <w:abstractNumId w:val="508"/>
  </w:num>
  <w:num w:numId="153">
    <w:abstractNumId w:val="583"/>
  </w:num>
  <w:num w:numId="154">
    <w:abstractNumId w:val="225"/>
  </w:num>
  <w:num w:numId="155">
    <w:abstractNumId w:val="331"/>
  </w:num>
  <w:num w:numId="156">
    <w:abstractNumId w:val="782"/>
  </w:num>
  <w:num w:numId="157">
    <w:abstractNumId w:val="643"/>
  </w:num>
  <w:num w:numId="158">
    <w:abstractNumId w:val="291"/>
  </w:num>
  <w:num w:numId="159">
    <w:abstractNumId w:val="641"/>
  </w:num>
  <w:num w:numId="160">
    <w:abstractNumId w:val="684"/>
  </w:num>
  <w:num w:numId="161">
    <w:abstractNumId w:val="329"/>
  </w:num>
  <w:num w:numId="162">
    <w:abstractNumId w:val="715"/>
  </w:num>
  <w:num w:numId="163">
    <w:abstractNumId w:val="772"/>
  </w:num>
  <w:num w:numId="164">
    <w:abstractNumId w:val="408"/>
  </w:num>
  <w:num w:numId="165">
    <w:abstractNumId w:val="614"/>
  </w:num>
  <w:num w:numId="166">
    <w:abstractNumId w:val="184"/>
  </w:num>
  <w:num w:numId="167">
    <w:abstractNumId w:val="738"/>
  </w:num>
  <w:num w:numId="168">
    <w:abstractNumId w:val="10"/>
  </w:num>
  <w:num w:numId="169">
    <w:abstractNumId w:val="602"/>
  </w:num>
  <w:num w:numId="170">
    <w:abstractNumId w:val="735"/>
  </w:num>
  <w:num w:numId="171">
    <w:abstractNumId w:val="548"/>
  </w:num>
  <w:num w:numId="172">
    <w:abstractNumId w:val="458"/>
  </w:num>
  <w:num w:numId="173">
    <w:abstractNumId w:val="655"/>
  </w:num>
  <w:num w:numId="174">
    <w:abstractNumId w:val="624"/>
  </w:num>
  <w:num w:numId="175">
    <w:abstractNumId w:val="403"/>
  </w:num>
  <w:num w:numId="176">
    <w:abstractNumId w:val="411"/>
  </w:num>
  <w:num w:numId="177">
    <w:abstractNumId w:val="297"/>
  </w:num>
  <w:num w:numId="178">
    <w:abstractNumId w:val="374"/>
  </w:num>
  <w:num w:numId="179">
    <w:abstractNumId w:val="306"/>
  </w:num>
  <w:num w:numId="180">
    <w:abstractNumId w:val="281"/>
  </w:num>
  <w:num w:numId="181">
    <w:abstractNumId w:val="187"/>
  </w:num>
  <w:num w:numId="182">
    <w:abstractNumId w:val="488"/>
  </w:num>
  <w:num w:numId="183">
    <w:abstractNumId w:val="354"/>
  </w:num>
  <w:num w:numId="184">
    <w:abstractNumId w:val="592"/>
  </w:num>
  <w:num w:numId="185">
    <w:abstractNumId w:val="773"/>
  </w:num>
  <w:num w:numId="186">
    <w:abstractNumId w:val="483"/>
  </w:num>
  <w:num w:numId="187">
    <w:abstractNumId w:val="105"/>
  </w:num>
  <w:num w:numId="188">
    <w:abstractNumId w:val="122"/>
  </w:num>
  <w:num w:numId="189">
    <w:abstractNumId w:val="716"/>
  </w:num>
  <w:num w:numId="190">
    <w:abstractNumId w:val="245"/>
  </w:num>
  <w:num w:numId="191">
    <w:abstractNumId w:val="718"/>
  </w:num>
  <w:num w:numId="192">
    <w:abstractNumId w:val="816"/>
  </w:num>
  <w:num w:numId="193">
    <w:abstractNumId w:val="276"/>
  </w:num>
  <w:num w:numId="194">
    <w:abstractNumId w:val="178"/>
  </w:num>
  <w:num w:numId="195">
    <w:abstractNumId w:val="676"/>
  </w:num>
  <w:num w:numId="196">
    <w:abstractNumId w:val="48"/>
  </w:num>
  <w:num w:numId="197">
    <w:abstractNumId w:val="110"/>
  </w:num>
  <w:num w:numId="198">
    <w:abstractNumId w:val="153"/>
  </w:num>
  <w:num w:numId="199">
    <w:abstractNumId w:val="167"/>
  </w:num>
  <w:num w:numId="200">
    <w:abstractNumId w:val="421"/>
  </w:num>
  <w:num w:numId="201">
    <w:abstractNumId w:val="531"/>
  </w:num>
  <w:num w:numId="202">
    <w:abstractNumId w:val="513"/>
  </w:num>
  <w:num w:numId="203">
    <w:abstractNumId w:val="51"/>
  </w:num>
  <w:num w:numId="204">
    <w:abstractNumId w:val="143"/>
  </w:num>
  <w:num w:numId="205">
    <w:abstractNumId w:val="131"/>
  </w:num>
  <w:num w:numId="206">
    <w:abstractNumId w:val="721"/>
  </w:num>
  <w:num w:numId="207">
    <w:abstractNumId w:val="493"/>
  </w:num>
  <w:num w:numId="208">
    <w:abstractNumId w:val="24"/>
  </w:num>
  <w:num w:numId="209">
    <w:abstractNumId w:val="591"/>
  </w:num>
  <w:num w:numId="210">
    <w:abstractNumId w:val="694"/>
  </w:num>
  <w:num w:numId="211">
    <w:abstractNumId w:val="294"/>
  </w:num>
  <w:num w:numId="212">
    <w:abstractNumId w:val="406"/>
  </w:num>
  <w:num w:numId="213">
    <w:abstractNumId w:val="608"/>
  </w:num>
  <w:num w:numId="214">
    <w:abstractNumId w:val="794"/>
  </w:num>
  <w:num w:numId="215">
    <w:abstractNumId w:val="94"/>
  </w:num>
  <w:num w:numId="216">
    <w:abstractNumId w:val="298"/>
  </w:num>
  <w:num w:numId="217">
    <w:abstractNumId w:val="821"/>
  </w:num>
  <w:num w:numId="218">
    <w:abstractNumId w:val="100"/>
  </w:num>
  <w:num w:numId="219">
    <w:abstractNumId w:val="473"/>
  </w:num>
  <w:num w:numId="220">
    <w:abstractNumId w:val="594"/>
  </w:num>
  <w:num w:numId="221">
    <w:abstractNumId w:val="328"/>
  </w:num>
  <w:num w:numId="222">
    <w:abstractNumId w:val="39"/>
  </w:num>
  <w:num w:numId="223">
    <w:abstractNumId w:val="484"/>
  </w:num>
  <w:num w:numId="224">
    <w:abstractNumId w:val="675"/>
  </w:num>
  <w:num w:numId="225">
    <w:abstractNumId w:val="120"/>
  </w:num>
  <w:num w:numId="226">
    <w:abstractNumId w:val="368"/>
  </w:num>
  <w:num w:numId="227">
    <w:abstractNumId w:val="402"/>
  </w:num>
  <w:num w:numId="228">
    <w:abstractNumId w:val="46"/>
  </w:num>
  <w:num w:numId="229">
    <w:abstractNumId w:val="570"/>
  </w:num>
  <w:num w:numId="230">
    <w:abstractNumId w:val="248"/>
  </w:num>
  <w:num w:numId="231">
    <w:abstractNumId w:val="31"/>
  </w:num>
  <w:num w:numId="232">
    <w:abstractNumId w:val="301"/>
  </w:num>
  <w:num w:numId="233">
    <w:abstractNumId w:val="376"/>
  </w:num>
  <w:num w:numId="234">
    <w:abstractNumId w:val="795"/>
  </w:num>
  <w:num w:numId="235">
    <w:abstractNumId w:val="63"/>
  </w:num>
  <w:num w:numId="236">
    <w:abstractNumId w:val="746"/>
  </w:num>
  <w:num w:numId="237">
    <w:abstractNumId w:val="147"/>
  </w:num>
  <w:num w:numId="238">
    <w:abstractNumId w:val="124"/>
  </w:num>
  <w:num w:numId="239">
    <w:abstractNumId w:val="597"/>
  </w:num>
  <w:num w:numId="240">
    <w:abstractNumId w:val="313"/>
  </w:num>
  <w:num w:numId="241">
    <w:abstractNumId w:val="111"/>
  </w:num>
  <w:num w:numId="242">
    <w:abstractNumId w:val="580"/>
  </w:num>
  <w:num w:numId="243">
    <w:abstractNumId w:val="170"/>
  </w:num>
  <w:num w:numId="244">
    <w:abstractNumId w:val="146"/>
  </w:num>
  <w:num w:numId="245">
    <w:abstractNumId w:val="115"/>
  </w:num>
  <w:num w:numId="246">
    <w:abstractNumId w:val="97"/>
  </w:num>
  <w:num w:numId="247">
    <w:abstractNumId w:val="68"/>
  </w:num>
  <w:num w:numId="248">
    <w:abstractNumId w:val="98"/>
  </w:num>
  <w:num w:numId="249">
    <w:abstractNumId w:val="70"/>
  </w:num>
  <w:num w:numId="250">
    <w:abstractNumId w:val="275"/>
  </w:num>
  <w:num w:numId="251">
    <w:abstractNumId w:val="757"/>
  </w:num>
  <w:num w:numId="252">
    <w:abstractNumId w:val="224"/>
  </w:num>
  <w:num w:numId="253">
    <w:abstractNumId w:val="99"/>
  </w:num>
  <w:num w:numId="254">
    <w:abstractNumId w:val="554"/>
  </w:num>
  <w:num w:numId="255">
    <w:abstractNumId w:val="618"/>
  </w:num>
  <w:num w:numId="256">
    <w:abstractNumId w:val="17"/>
  </w:num>
  <w:num w:numId="257">
    <w:abstractNumId w:val="751"/>
  </w:num>
  <w:num w:numId="258">
    <w:abstractNumId w:val="595"/>
  </w:num>
  <w:num w:numId="259">
    <w:abstractNumId w:val="555"/>
  </w:num>
  <w:num w:numId="260">
    <w:abstractNumId w:val="173"/>
  </w:num>
  <w:num w:numId="261">
    <w:abstractNumId w:val="388"/>
  </w:num>
  <w:num w:numId="262">
    <w:abstractNumId w:val="139"/>
  </w:num>
  <w:num w:numId="263">
    <w:abstractNumId w:val="681"/>
  </w:num>
  <w:num w:numId="264">
    <w:abstractNumId w:val="481"/>
  </w:num>
  <w:num w:numId="265">
    <w:abstractNumId w:val="353"/>
  </w:num>
  <w:num w:numId="266">
    <w:abstractNumId w:val="671"/>
  </w:num>
  <w:num w:numId="267">
    <w:abstractNumId w:val="815"/>
  </w:num>
  <w:num w:numId="268">
    <w:abstractNumId w:val="156"/>
  </w:num>
  <w:num w:numId="269">
    <w:abstractNumId w:val="474"/>
  </w:num>
  <w:num w:numId="270">
    <w:abstractNumId w:val="283"/>
  </w:num>
  <w:num w:numId="271">
    <w:abstractNumId w:val="0"/>
  </w:num>
  <w:num w:numId="272">
    <w:abstractNumId w:val="255"/>
  </w:num>
  <w:num w:numId="273">
    <w:abstractNumId w:val="492"/>
  </w:num>
  <w:num w:numId="274">
    <w:abstractNumId w:val="498"/>
  </w:num>
  <w:num w:numId="275">
    <w:abstractNumId w:val="261"/>
  </w:num>
  <w:num w:numId="276">
    <w:abstractNumId w:val="213"/>
  </w:num>
  <w:num w:numId="277">
    <w:abstractNumId w:val="512"/>
  </w:num>
  <w:num w:numId="278">
    <w:abstractNumId w:val="342"/>
  </w:num>
  <w:num w:numId="279">
    <w:abstractNumId w:val="750"/>
  </w:num>
  <w:num w:numId="280">
    <w:abstractNumId w:val="642"/>
  </w:num>
  <w:num w:numId="281">
    <w:abstractNumId w:val="7"/>
  </w:num>
  <w:num w:numId="282">
    <w:abstractNumId w:val="433"/>
  </w:num>
  <w:num w:numId="283">
    <w:abstractNumId w:val="781"/>
  </w:num>
  <w:num w:numId="284">
    <w:abstractNumId w:val="623"/>
  </w:num>
  <w:num w:numId="285">
    <w:abstractNumId w:val="337"/>
  </w:num>
  <w:num w:numId="286">
    <w:abstractNumId w:val="200"/>
  </w:num>
  <w:num w:numId="287">
    <w:abstractNumId w:val="6"/>
  </w:num>
  <w:num w:numId="288">
    <w:abstractNumId w:val="435"/>
  </w:num>
  <w:num w:numId="289">
    <w:abstractNumId w:val="727"/>
  </w:num>
  <w:num w:numId="290">
    <w:abstractNumId w:val="14"/>
  </w:num>
  <w:num w:numId="291">
    <w:abstractNumId w:val="711"/>
  </w:num>
  <w:num w:numId="292">
    <w:abstractNumId w:val="719"/>
  </w:num>
  <w:num w:numId="293">
    <w:abstractNumId w:val="9"/>
  </w:num>
  <w:num w:numId="294">
    <w:abstractNumId w:val="730"/>
  </w:num>
  <w:num w:numId="295">
    <w:abstractNumId w:val="295"/>
  </w:num>
  <w:num w:numId="296">
    <w:abstractNumId w:val="538"/>
  </w:num>
  <w:num w:numId="297">
    <w:abstractNumId w:val="434"/>
  </w:num>
  <w:num w:numId="298">
    <w:abstractNumId w:val="571"/>
  </w:num>
  <w:num w:numId="299">
    <w:abstractNumId w:val="644"/>
  </w:num>
  <w:num w:numId="300">
    <w:abstractNumId w:val="475"/>
  </w:num>
  <w:num w:numId="301">
    <w:abstractNumId w:val="443"/>
  </w:num>
  <w:num w:numId="302">
    <w:abstractNumId w:val="62"/>
  </w:num>
  <w:num w:numId="303">
    <w:abstractNumId w:val="598"/>
  </w:num>
  <w:num w:numId="304">
    <w:abstractNumId w:val="507"/>
  </w:num>
  <w:num w:numId="305">
    <w:abstractNumId w:val="489"/>
  </w:num>
  <w:num w:numId="306">
    <w:abstractNumId w:val="277"/>
  </w:num>
  <w:num w:numId="307">
    <w:abstractNumId w:val="237"/>
  </w:num>
  <w:num w:numId="308">
    <w:abstractNumId w:val="691"/>
  </w:num>
  <w:num w:numId="309">
    <w:abstractNumId w:val="399"/>
  </w:num>
  <w:num w:numId="310">
    <w:abstractNumId w:val="552"/>
  </w:num>
  <w:num w:numId="311">
    <w:abstractNumId w:val="790"/>
  </w:num>
  <w:num w:numId="312">
    <w:abstractNumId w:val="615"/>
  </w:num>
  <w:num w:numId="313">
    <w:abstractNumId w:val="567"/>
  </w:num>
  <w:num w:numId="314">
    <w:abstractNumId w:val="215"/>
  </w:num>
  <w:num w:numId="315">
    <w:abstractNumId w:val="556"/>
  </w:num>
  <w:num w:numId="316">
    <w:abstractNumId w:val="231"/>
  </w:num>
  <w:num w:numId="317">
    <w:abstractNumId w:val="629"/>
  </w:num>
  <w:num w:numId="318">
    <w:abstractNumId w:val="828"/>
  </w:num>
  <w:num w:numId="319">
    <w:abstractNumId w:val="617"/>
  </w:num>
  <w:num w:numId="320">
    <w:abstractNumId w:val="243"/>
  </w:num>
  <w:num w:numId="321">
    <w:abstractNumId w:val="779"/>
  </w:num>
  <w:num w:numId="322">
    <w:abstractNumId w:val="287"/>
  </w:num>
  <w:num w:numId="323">
    <w:abstractNumId w:val="568"/>
  </w:num>
  <w:num w:numId="324">
    <w:abstractNumId w:val="391"/>
  </w:num>
  <w:num w:numId="325">
    <w:abstractNumId w:val="252"/>
  </w:num>
  <w:num w:numId="326">
    <w:abstractNumId w:val="687"/>
  </w:num>
  <w:num w:numId="327">
    <w:abstractNumId w:val="581"/>
  </w:num>
  <w:num w:numId="328">
    <w:abstractNumId w:val="66"/>
  </w:num>
  <w:num w:numId="329">
    <w:abstractNumId w:val="73"/>
  </w:num>
  <w:num w:numId="330">
    <w:abstractNumId w:val="652"/>
  </w:num>
  <w:num w:numId="331">
    <w:abstractNumId w:val="543"/>
  </w:num>
  <w:num w:numId="332">
    <w:abstractNumId w:val="385"/>
  </w:num>
  <w:num w:numId="333">
    <w:abstractNumId w:val="189"/>
  </w:num>
  <w:num w:numId="334">
    <w:abstractNumId w:val="360"/>
  </w:num>
  <w:num w:numId="335">
    <w:abstractNumId w:val="756"/>
  </w:num>
  <w:num w:numId="336">
    <w:abstractNumId w:val="600"/>
  </w:num>
  <w:num w:numId="337">
    <w:abstractNumId w:val="86"/>
  </w:num>
  <w:num w:numId="338">
    <w:abstractNumId w:val="764"/>
  </w:num>
  <w:num w:numId="339">
    <w:abstractNumId w:val="765"/>
  </w:num>
  <w:num w:numId="340">
    <w:abstractNumId w:val="233"/>
  </w:num>
  <w:num w:numId="341">
    <w:abstractNumId w:val="647"/>
  </w:num>
  <w:num w:numId="342">
    <w:abstractNumId w:val="28"/>
  </w:num>
  <w:num w:numId="343">
    <w:abstractNumId w:val="784"/>
  </w:num>
  <w:num w:numId="344">
    <w:abstractNumId w:val="490"/>
  </w:num>
  <w:num w:numId="345">
    <w:abstractNumId w:val="646"/>
  </w:num>
  <w:num w:numId="346">
    <w:abstractNumId w:val="42"/>
  </w:num>
  <w:num w:numId="347">
    <w:abstractNumId w:val="304"/>
  </w:num>
  <w:num w:numId="348">
    <w:abstractNumId w:val="654"/>
  </w:num>
  <w:num w:numId="349">
    <w:abstractNumId w:val="785"/>
  </w:num>
  <w:num w:numId="350">
    <w:abstractNumId w:val="729"/>
  </w:num>
  <w:num w:numId="351">
    <w:abstractNumId w:val="394"/>
  </w:num>
  <w:num w:numId="352">
    <w:abstractNumId w:val="290"/>
  </w:num>
  <w:num w:numId="353">
    <w:abstractNumId w:val="441"/>
  </w:num>
  <w:num w:numId="354">
    <w:abstractNumId w:val="214"/>
  </w:num>
  <w:num w:numId="355">
    <w:abstractNumId w:val="420"/>
  </w:num>
  <w:num w:numId="356">
    <w:abstractNumId w:val="680"/>
  </w:num>
  <w:num w:numId="357">
    <w:abstractNumId w:val="621"/>
  </w:num>
  <w:num w:numId="358">
    <w:abstractNumId w:val="180"/>
  </w:num>
  <w:num w:numId="359">
    <w:abstractNumId w:val="396"/>
  </w:num>
  <w:num w:numId="360">
    <w:abstractNumId w:val="627"/>
  </w:num>
  <w:num w:numId="361">
    <w:abstractNumId w:val="370"/>
  </w:num>
  <w:num w:numId="362">
    <w:abstractNumId w:val="356"/>
  </w:num>
  <w:num w:numId="363">
    <w:abstractNumId w:val="792"/>
  </w:num>
  <w:num w:numId="364">
    <w:abstractNumId w:val="152"/>
  </w:num>
  <w:num w:numId="365">
    <w:abstractNumId w:val="419"/>
  </w:num>
  <w:num w:numId="366">
    <w:abstractNumId w:val="810"/>
  </w:num>
  <w:num w:numId="367">
    <w:abstractNumId w:val="732"/>
  </w:num>
  <w:num w:numId="368">
    <w:abstractNumId w:val="64"/>
  </w:num>
  <w:num w:numId="369">
    <w:abstractNumId w:val="723"/>
  </w:num>
  <w:num w:numId="370">
    <w:abstractNumId w:val="470"/>
  </w:num>
  <w:num w:numId="371">
    <w:abstractNumId w:val="256"/>
  </w:num>
  <w:num w:numId="372">
    <w:abstractNumId w:val="520"/>
  </w:num>
  <w:num w:numId="373">
    <w:abstractNumId w:val="211"/>
  </w:num>
  <w:num w:numId="374">
    <w:abstractNumId w:val="369"/>
  </w:num>
  <w:num w:numId="375">
    <w:abstractNumId w:val="560"/>
  </w:num>
  <w:num w:numId="376">
    <w:abstractNumId w:val="628"/>
  </w:num>
  <w:num w:numId="377">
    <w:abstractNumId w:val="186"/>
  </w:num>
  <w:num w:numId="378">
    <w:abstractNumId w:val="195"/>
  </w:num>
  <w:num w:numId="379">
    <w:abstractNumId w:val="249"/>
  </w:num>
  <w:num w:numId="380">
    <w:abstractNumId w:val="182"/>
  </w:num>
  <w:num w:numId="381">
    <w:abstractNumId w:val="633"/>
  </w:num>
  <w:num w:numId="382">
    <w:abstractNumId w:val="669"/>
  </w:num>
  <w:num w:numId="383">
    <w:abstractNumId w:val="778"/>
  </w:num>
  <w:num w:numId="384">
    <w:abstractNumId w:val="572"/>
  </w:num>
  <w:num w:numId="385">
    <w:abstractNumId w:val="59"/>
  </w:num>
  <w:num w:numId="386">
    <w:abstractNumId w:val="575"/>
  </w:num>
  <w:num w:numId="387">
    <w:abstractNumId w:val="372"/>
  </w:num>
  <w:num w:numId="388">
    <w:abstractNumId w:val="518"/>
  </w:num>
  <w:num w:numId="389">
    <w:abstractNumId w:val="175"/>
  </w:num>
  <w:num w:numId="390">
    <w:abstractNumId w:val="208"/>
  </w:num>
  <w:num w:numId="391">
    <w:abstractNumId w:val="5"/>
  </w:num>
  <w:num w:numId="392">
    <w:abstractNumId w:val="808"/>
  </w:num>
  <w:num w:numId="393">
    <w:abstractNumId w:val="23"/>
  </w:num>
  <w:num w:numId="394">
    <w:abstractNumId w:val="262"/>
  </w:num>
  <w:num w:numId="395">
    <w:abstractNumId w:val="202"/>
  </w:num>
  <w:num w:numId="396">
    <w:abstractNumId w:val="823"/>
  </w:num>
  <w:num w:numId="397">
    <w:abstractNumId w:val="699"/>
  </w:num>
  <w:num w:numId="398">
    <w:abstractNumId w:val="713"/>
  </w:num>
  <w:num w:numId="399">
    <w:abstractNumId w:val="648"/>
  </w:num>
  <w:num w:numId="400">
    <w:abstractNumId w:val="578"/>
  </w:num>
  <w:num w:numId="401">
    <w:abstractNumId w:val="731"/>
  </w:num>
  <w:num w:numId="402">
    <w:abstractNumId w:val="480"/>
  </w:num>
  <w:num w:numId="403">
    <w:abstractNumId w:val="335"/>
  </w:num>
  <w:num w:numId="404">
    <w:abstractNumId w:val="453"/>
  </w:num>
  <w:num w:numId="405">
    <w:abstractNumId w:val="760"/>
  </w:num>
  <w:num w:numId="406">
    <w:abstractNumId w:val="144"/>
  </w:num>
  <w:num w:numId="407">
    <w:abstractNumId w:val="686"/>
  </w:num>
  <w:num w:numId="408">
    <w:abstractNumId w:val="140"/>
  </w:num>
  <w:num w:numId="409">
    <w:abstractNumId w:val="407"/>
  </w:num>
  <w:num w:numId="410">
    <w:abstractNumId w:val="133"/>
  </w:num>
  <w:num w:numId="411">
    <w:abstractNumId w:val="58"/>
  </w:num>
  <w:num w:numId="412">
    <w:abstractNumId w:val="584"/>
  </w:num>
  <w:num w:numId="413">
    <w:abstractNumId w:val="113"/>
  </w:num>
  <w:num w:numId="414">
    <w:abstractNumId w:val="666"/>
  </w:num>
  <w:num w:numId="415">
    <w:abstractNumId w:val="557"/>
  </w:num>
  <w:num w:numId="416">
    <w:abstractNumId w:val="191"/>
  </w:num>
  <w:num w:numId="417">
    <w:abstractNumId w:val="742"/>
  </w:num>
  <w:num w:numId="418">
    <w:abstractNumId w:val="321"/>
  </w:num>
  <w:num w:numId="419">
    <w:abstractNumId w:val="87"/>
  </w:num>
  <w:num w:numId="420">
    <w:abstractNumId w:val="307"/>
  </w:num>
  <w:num w:numId="421">
    <w:abstractNumId w:val="415"/>
  </w:num>
  <w:num w:numId="422">
    <w:abstractNumId w:val="685"/>
  </w:num>
  <w:num w:numId="423">
    <w:abstractNumId w:val="150"/>
  </w:num>
  <w:num w:numId="424">
    <w:abstractNumId w:val="771"/>
  </w:num>
  <w:num w:numId="425">
    <w:abstractNumId w:val="432"/>
  </w:num>
  <w:num w:numId="426">
    <w:abstractNumId w:val="226"/>
  </w:num>
  <w:num w:numId="427">
    <w:abstractNumId w:val="522"/>
  </w:num>
  <w:num w:numId="428">
    <w:abstractNumId w:val="220"/>
  </w:num>
  <w:num w:numId="429">
    <w:abstractNumId w:val="12"/>
  </w:num>
  <w:num w:numId="430">
    <w:abstractNumId w:val="118"/>
  </w:num>
  <w:num w:numId="431">
    <w:abstractNumId w:val="166"/>
  </w:num>
  <w:num w:numId="432">
    <w:abstractNumId w:val="19"/>
  </w:num>
  <w:num w:numId="433">
    <w:abstractNumId w:val="77"/>
  </w:num>
  <w:num w:numId="434">
    <w:abstractNumId w:val="37"/>
  </w:num>
  <w:num w:numId="435">
    <w:abstractNumId w:val="57"/>
  </w:num>
  <w:num w:numId="436">
    <w:abstractNumId w:val="232"/>
  </w:num>
  <w:num w:numId="437">
    <w:abstractNumId w:val="725"/>
  </w:num>
  <w:num w:numId="438">
    <w:abstractNumId w:val="439"/>
  </w:num>
  <w:num w:numId="439">
    <w:abstractNumId w:val="2"/>
  </w:num>
  <w:num w:numId="440">
    <w:abstractNumId w:val="665"/>
  </w:num>
  <w:num w:numId="441">
    <w:abstractNumId w:val="547"/>
  </w:num>
  <w:num w:numId="442">
    <w:abstractNumId w:val="566"/>
  </w:num>
  <w:num w:numId="443">
    <w:abstractNumId w:val="309"/>
  </w:num>
  <w:num w:numId="444">
    <w:abstractNumId w:val="418"/>
  </w:num>
  <w:num w:numId="445">
    <w:abstractNumId w:val="423"/>
  </w:num>
  <w:num w:numId="446">
    <w:abstractNumId w:val="259"/>
  </w:num>
  <w:num w:numId="447">
    <w:abstractNumId w:val="292"/>
  </w:num>
  <w:num w:numId="448">
    <w:abstractNumId w:val="412"/>
  </w:num>
  <w:num w:numId="449">
    <w:abstractNumId w:val="536"/>
  </w:num>
  <w:num w:numId="450">
    <w:abstractNumId w:val="650"/>
  </w:num>
  <w:num w:numId="451">
    <w:abstractNumId w:val="622"/>
  </w:num>
  <w:num w:numId="452">
    <w:abstractNumId w:val="510"/>
  </w:num>
  <w:num w:numId="453">
    <w:abstractNumId w:val="49"/>
  </w:num>
  <w:num w:numId="454">
    <w:abstractNumId w:val="422"/>
  </w:num>
  <w:num w:numId="455">
    <w:abstractNumId w:val="761"/>
  </w:num>
  <w:num w:numId="456">
    <w:abstractNumId w:val="400"/>
  </w:num>
  <w:num w:numId="457">
    <w:abstractNumId w:val="333"/>
  </w:num>
  <w:num w:numId="458">
    <w:abstractNumId w:val="611"/>
  </w:num>
  <w:num w:numId="459">
    <w:abstractNumId w:val="626"/>
  </w:num>
  <w:num w:numId="460">
    <w:abstractNumId w:val="787"/>
  </w:num>
  <w:num w:numId="461">
    <w:abstractNumId w:val="506"/>
  </w:num>
  <w:num w:numId="462">
    <w:abstractNumId w:val="582"/>
  </w:num>
  <w:num w:numId="463">
    <w:abstractNumId w:val="79"/>
  </w:num>
  <w:num w:numId="464">
    <w:abstractNumId w:val="253"/>
  </w:num>
  <w:num w:numId="465">
    <w:abstractNumId w:val="599"/>
  </w:num>
  <w:num w:numId="466">
    <w:abstractNumId w:val="634"/>
  </w:num>
  <w:num w:numId="467">
    <w:abstractNumId w:val="96"/>
  </w:num>
  <w:num w:numId="468">
    <w:abstractNumId w:val="428"/>
  </w:num>
  <w:num w:numId="469">
    <w:abstractNumId w:val="579"/>
  </w:num>
  <w:num w:numId="470">
    <w:abstractNumId w:val="829"/>
  </w:num>
  <w:num w:numId="471">
    <w:abstractNumId w:val="223"/>
  </w:num>
  <w:num w:numId="472">
    <w:abstractNumId w:val="137"/>
  </w:num>
  <w:num w:numId="473">
    <w:abstractNumId w:val="378"/>
  </w:num>
  <w:num w:numId="474">
    <w:abstractNumId w:val="350"/>
  </w:num>
  <w:num w:numId="475">
    <w:abstractNumId w:val="91"/>
  </w:num>
  <w:num w:numId="476">
    <w:abstractNumId w:val="125"/>
  </w:num>
  <w:num w:numId="477">
    <w:abstractNumId w:val="819"/>
  </w:num>
  <w:num w:numId="478">
    <w:abstractNumId w:val="322"/>
  </w:num>
  <w:num w:numId="479">
    <w:abstractNumId w:val="532"/>
  </w:num>
  <w:num w:numId="480">
    <w:abstractNumId w:val="179"/>
  </w:num>
  <w:num w:numId="481">
    <w:abstractNumId w:val="504"/>
  </w:num>
  <w:num w:numId="482">
    <w:abstractNumId w:val="61"/>
  </w:num>
  <w:num w:numId="483">
    <w:abstractNumId w:val="206"/>
  </w:num>
  <w:num w:numId="484">
    <w:abstractNumId w:val="209"/>
  </w:num>
  <w:num w:numId="485">
    <w:abstractNumId w:val="244"/>
  </w:num>
  <w:num w:numId="486">
    <w:abstractNumId w:val="365"/>
  </w:num>
  <w:num w:numId="487">
    <w:abstractNumId w:val="613"/>
  </w:num>
  <w:num w:numId="488">
    <w:abstractNumId w:val="482"/>
  </w:num>
  <w:num w:numId="489">
    <w:abstractNumId w:val="251"/>
  </w:num>
  <w:num w:numId="490">
    <w:abstractNumId w:val="736"/>
  </w:num>
  <w:num w:numId="491">
    <w:abstractNumId w:val="351"/>
  </w:num>
  <w:num w:numId="492">
    <w:abstractNumId w:val="193"/>
  </w:num>
  <w:num w:numId="493">
    <w:abstractNumId w:val="586"/>
  </w:num>
  <w:num w:numId="494">
    <w:abstractNumId w:val="176"/>
  </w:num>
  <w:num w:numId="495">
    <w:abstractNumId w:val="20"/>
  </w:num>
  <w:num w:numId="496">
    <w:abstractNumId w:val="50"/>
  </w:num>
  <w:num w:numId="497">
    <w:abstractNumId w:val="616"/>
  </w:num>
  <w:num w:numId="498">
    <w:abstractNumId w:val="753"/>
  </w:num>
  <w:num w:numId="499">
    <w:abstractNumId w:val="30"/>
  </w:num>
  <w:num w:numId="500">
    <w:abstractNumId w:val="491"/>
  </w:num>
  <w:num w:numId="501">
    <w:abstractNumId w:val="65"/>
  </w:num>
  <w:num w:numId="502">
    <w:abstractNumId w:val="416"/>
  </w:num>
  <w:num w:numId="503">
    <w:abstractNumId w:val="796"/>
  </w:num>
  <w:num w:numId="504">
    <w:abstractNumId w:val="737"/>
  </w:num>
  <w:num w:numId="505">
    <w:abstractNumId w:val="239"/>
  </w:num>
  <w:num w:numId="506">
    <w:abstractNumId w:val="656"/>
  </w:num>
  <w:num w:numId="507">
    <w:abstractNumId w:val="148"/>
  </w:num>
  <w:num w:numId="508">
    <w:abstractNumId w:val="462"/>
  </w:num>
  <w:num w:numId="509">
    <w:abstractNumId w:val="692"/>
  </w:num>
  <w:num w:numId="510">
    <w:abstractNumId w:val="565"/>
  </w:num>
  <w:num w:numId="511">
    <w:abstractNumId w:val="424"/>
  </w:num>
  <w:num w:numId="512">
    <w:abstractNumId w:val="101"/>
  </w:num>
  <w:num w:numId="513">
    <w:abstractNumId w:val="25"/>
  </w:num>
  <w:num w:numId="514">
    <w:abstractNumId w:val="138"/>
  </w:num>
  <w:num w:numId="515">
    <w:abstractNumId w:val="553"/>
  </w:num>
  <w:num w:numId="516">
    <w:abstractNumId w:val="230"/>
  </w:num>
  <w:num w:numId="517">
    <w:abstractNumId w:val="672"/>
  </w:num>
  <w:num w:numId="518">
    <w:abstractNumId w:val="429"/>
  </w:num>
  <w:num w:numId="519">
    <w:abstractNumId w:val="18"/>
  </w:num>
  <w:num w:numId="520">
    <w:abstractNumId w:val="762"/>
  </w:num>
  <w:num w:numId="521">
    <w:abstractNumId w:val="668"/>
  </w:num>
  <w:num w:numId="522">
    <w:abstractNumId w:val="540"/>
  </w:num>
  <w:num w:numId="523">
    <w:abstractNumId w:val="780"/>
  </w:num>
  <w:num w:numId="524">
    <w:abstractNumId w:val="438"/>
  </w:num>
  <w:num w:numId="525">
    <w:abstractNumId w:val="216"/>
  </w:num>
  <w:num w:numId="526">
    <w:abstractNumId w:val="60"/>
  </w:num>
  <w:num w:numId="527">
    <w:abstractNumId w:val="389"/>
  </w:num>
  <w:num w:numId="528">
    <w:abstractNumId w:val="126"/>
  </w:num>
  <w:num w:numId="529">
    <w:abstractNumId w:val="414"/>
  </w:num>
  <w:num w:numId="530">
    <w:abstractNumId w:val="460"/>
  </w:num>
  <w:num w:numId="531">
    <w:abstractNumId w:val="545"/>
  </w:num>
  <w:num w:numId="532">
    <w:abstractNumId w:val="809"/>
  </w:num>
  <w:num w:numId="533">
    <w:abstractNumId w:val="106"/>
  </w:num>
  <w:num w:numId="534">
    <w:abstractNumId w:val="461"/>
  </w:num>
  <w:num w:numId="535">
    <w:abstractNumId w:val="521"/>
  </w:num>
  <w:num w:numId="536">
    <w:abstractNumId w:val="701"/>
  </w:num>
  <w:num w:numId="537">
    <w:abstractNumId w:val="770"/>
  </w:num>
  <w:num w:numId="538">
    <w:abstractNumId w:val="235"/>
  </w:num>
  <w:num w:numId="539">
    <w:abstractNumId w:val="814"/>
  </w:num>
  <w:num w:numId="540">
    <w:abstractNumId w:val="588"/>
  </w:num>
  <w:num w:numId="541">
    <w:abstractNumId w:val="210"/>
  </w:num>
  <w:num w:numId="542">
    <w:abstractNumId w:val="698"/>
  </w:num>
  <w:num w:numId="543">
    <w:abstractNumId w:val="754"/>
  </w:num>
  <w:num w:numId="544">
    <w:abstractNumId w:val="263"/>
  </w:num>
  <w:num w:numId="545">
    <w:abstractNumId w:val="347"/>
  </w:num>
  <w:num w:numId="546">
    <w:abstractNumId w:val="314"/>
  </w:num>
  <w:num w:numId="547">
    <w:abstractNumId w:val="229"/>
  </w:num>
  <w:num w:numId="548">
    <w:abstractNumId w:val="800"/>
  </w:num>
  <w:num w:numId="549">
    <w:abstractNumId w:val="830"/>
  </w:num>
  <w:num w:numId="550">
    <w:abstractNumId w:val="804"/>
  </w:num>
  <w:num w:numId="551">
    <w:abstractNumId w:val="733"/>
  </w:num>
  <w:num w:numId="552">
    <w:abstractNumId w:val="401"/>
  </w:num>
  <w:num w:numId="553">
    <w:abstractNumId w:val="177"/>
  </w:num>
  <w:num w:numId="554">
    <w:abstractNumId w:val="222"/>
  </w:num>
  <w:num w:numId="555">
    <w:abstractNumId w:val="338"/>
  </w:num>
  <w:num w:numId="556">
    <w:abstractNumId w:val="85"/>
  </w:num>
  <w:num w:numId="557">
    <w:abstractNumId w:val="516"/>
  </w:num>
  <w:num w:numId="558">
    <w:abstractNumId w:val="710"/>
  </w:num>
  <w:num w:numId="559">
    <w:abstractNumId w:val="128"/>
  </w:num>
  <w:num w:numId="560">
    <w:abstractNumId w:val="183"/>
  </w:num>
  <w:num w:numId="561">
    <w:abstractNumId w:val="161"/>
  </w:num>
  <w:num w:numId="562">
    <w:abstractNumId w:val="371"/>
  </w:num>
  <w:num w:numId="563">
    <w:abstractNumId w:val="21"/>
  </w:num>
  <w:num w:numId="564">
    <w:abstractNumId w:val="596"/>
  </w:num>
  <w:num w:numId="565">
    <w:abstractNumId w:val="169"/>
  </w:num>
  <w:num w:numId="566">
    <w:abstractNumId w:val="92"/>
  </w:num>
  <w:num w:numId="567">
    <w:abstractNumId w:val="471"/>
  </w:num>
  <w:num w:numId="568">
    <w:abstractNumId w:val="477"/>
  </w:num>
  <w:num w:numId="569">
    <w:abstractNumId w:val="395"/>
  </w:num>
  <w:num w:numId="570">
    <w:abstractNumId w:val="343"/>
  </w:num>
  <w:num w:numId="571">
    <w:abstractNumId w:val="663"/>
  </w:num>
  <w:num w:numId="572">
    <w:abstractNumId w:val="585"/>
  </w:num>
  <w:num w:numId="573">
    <w:abstractNumId w:val="197"/>
  </w:num>
  <w:num w:numId="574">
    <w:abstractNumId w:val="530"/>
  </w:num>
  <w:num w:numId="575">
    <w:abstractNumId w:val="820"/>
  </w:num>
  <w:num w:numId="576">
    <w:abstractNumId w:val="561"/>
  </w:num>
  <w:num w:numId="577">
    <w:abstractNumId w:val="459"/>
  </w:num>
  <w:num w:numId="578">
    <w:abstractNumId w:val="386"/>
  </w:num>
  <w:num w:numId="579">
    <w:abstractNumId w:val="505"/>
  </w:num>
  <w:num w:numId="580">
    <w:abstractNumId w:val="541"/>
  </w:num>
  <w:num w:numId="581">
    <w:abstractNumId w:val="154"/>
  </w:num>
  <w:num w:numId="582">
    <w:abstractNumId w:val="282"/>
  </w:num>
  <w:num w:numId="583">
    <w:abstractNumId w:val="455"/>
  </w:num>
  <w:num w:numId="584">
    <w:abstractNumId w:val="549"/>
  </w:num>
  <w:num w:numId="585">
    <w:abstractNumId w:val="636"/>
  </w:num>
  <w:num w:numId="586">
    <w:abstractNumId w:val="341"/>
  </w:num>
  <w:num w:numId="587">
    <w:abstractNumId w:val="288"/>
  </w:num>
  <w:num w:numId="588">
    <w:abstractNumId w:val="373"/>
  </w:num>
  <w:num w:numId="589">
    <w:abstractNumId w:val="529"/>
  </w:num>
  <w:num w:numId="590">
    <w:abstractNumId w:val="747"/>
  </w:num>
  <w:num w:numId="591">
    <w:abstractNumId w:val="638"/>
  </w:num>
  <w:num w:numId="592">
    <w:abstractNumId w:val="145"/>
  </w:num>
  <w:num w:numId="593">
    <w:abstractNumId w:val="574"/>
  </w:num>
  <w:num w:numId="594">
    <w:abstractNumId w:val="134"/>
  </w:num>
  <w:num w:numId="595">
    <w:abstractNumId w:val="238"/>
  </w:num>
  <w:num w:numId="596">
    <w:abstractNumId w:val="499"/>
  </w:num>
  <w:num w:numId="597">
    <w:abstractNumId w:val="791"/>
  </w:num>
  <w:num w:numId="598">
    <w:abstractNumId w:val="661"/>
  </w:num>
  <w:num w:numId="599">
    <w:abstractNumId w:val="163"/>
  </w:num>
  <w:num w:numId="600">
    <w:abstractNumId w:val="449"/>
  </w:num>
  <w:num w:numId="601">
    <w:abstractNumId w:val="228"/>
  </w:num>
  <w:num w:numId="602">
    <w:abstractNumId w:val="635"/>
  </w:num>
  <w:num w:numId="603">
    <w:abstractNumId w:val="739"/>
  </w:num>
  <w:num w:numId="604">
    <w:abstractNumId w:val="114"/>
  </w:num>
  <w:num w:numId="605">
    <w:abstractNumId w:val="806"/>
  </w:num>
  <w:num w:numId="606">
    <w:abstractNumId w:val="576"/>
  </w:num>
  <w:num w:numId="607">
    <w:abstractNumId w:val="258"/>
  </w:num>
  <w:num w:numId="608">
    <w:abstractNumId w:val="257"/>
  </w:num>
  <w:num w:numId="609">
    <w:abstractNumId w:val="605"/>
  </w:num>
  <w:num w:numId="610">
    <w:abstractNumId w:val="300"/>
  </w:num>
  <w:num w:numId="611">
    <w:abstractNumId w:val="8"/>
  </w:num>
  <w:num w:numId="612">
    <w:abstractNumId w:val="822"/>
  </w:num>
  <w:num w:numId="613">
    <w:abstractNumId w:val="539"/>
  </w:num>
  <w:num w:numId="614">
    <w:abstractNumId w:val="817"/>
  </w:num>
  <w:num w:numId="615">
    <w:abstractNumId w:val="768"/>
  </w:num>
  <w:num w:numId="616">
    <w:abstractNumId w:val="509"/>
  </w:num>
  <w:num w:numId="617">
    <w:abstractNumId w:val="645"/>
  </w:num>
  <w:num w:numId="618">
    <w:abstractNumId w:val="130"/>
  </w:num>
  <w:num w:numId="619">
    <w:abstractNumId w:val="832"/>
  </w:num>
  <w:num w:numId="620">
    <w:abstractNumId w:val="375"/>
  </w:num>
  <w:num w:numId="621">
    <w:abstractNumId w:val="352"/>
  </w:num>
  <w:num w:numId="622">
    <w:abstractNumId w:val="279"/>
  </w:num>
  <w:num w:numId="623">
    <w:abstractNumId w:val="678"/>
  </w:num>
  <w:num w:numId="624">
    <w:abstractNumId w:val="334"/>
  </w:num>
  <w:num w:numId="625">
    <w:abstractNumId w:val="774"/>
  </w:num>
  <w:num w:numId="626">
    <w:abstractNumId w:val="78"/>
  </w:num>
  <w:num w:numId="627">
    <w:abstractNumId w:val="797"/>
  </w:num>
  <w:num w:numId="628">
    <w:abstractNumId w:val="620"/>
  </w:num>
  <w:num w:numId="629">
    <w:abstractNumId w:val="29"/>
  </w:num>
  <w:num w:numId="630">
    <w:abstractNumId w:val="693"/>
  </w:num>
  <w:num w:numId="631">
    <w:abstractNumId w:val="533"/>
  </w:num>
  <w:num w:numId="632">
    <w:abstractNumId w:val="246"/>
  </w:num>
  <w:num w:numId="633">
    <w:abstractNumId w:val="679"/>
  </w:num>
  <w:num w:numId="634">
    <w:abstractNumId w:val="346"/>
  </w:num>
  <w:num w:numId="635">
    <w:abstractNumId w:val="706"/>
  </w:num>
  <w:num w:numId="636">
    <w:abstractNumId w:val="674"/>
  </w:num>
  <w:num w:numId="637">
    <w:abstractNumId w:val="345"/>
  </w:num>
  <w:num w:numId="638">
    <w:abstractNumId w:val="639"/>
  </w:num>
  <w:num w:numId="639">
    <w:abstractNumId w:val="242"/>
  </w:num>
  <w:num w:numId="640">
    <w:abstractNumId w:val="649"/>
  </w:num>
  <w:num w:numId="641">
    <w:abstractNumId w:val="704"/>
  </w:num>
  <w:num w:numId="642">
    <w:abstractNumId w:val="168"/>
  </w:num>
  <w:num w:numId="643">
    <w:abstractNumId w:val="185"/>
  </w:num>
  <w:num w:numId="644">
    <w:abstractNumId w:val="310"/>
  </w:num>
  <w:num w:numId="645">
    <w:abstractNumId w:val="442"/>
  </w:num>
  <w:num w:numId="646">
    <w:abstractNumId w:val="755"/>
  </w:num>
  <w:num w:numId="647">
    <w:abstractNumId w:val="468"/>
  </w:num>
  <w:num w:numId="648">
    <w:abstractNumId w:val="479"/>
  </w:num>
  <w:num w:numId="649">
    <w:abstractNumId w:val="384"/>
  </w:num>
  <w:num w:numId="650">
    <w:abstractNumId w:val="174"/>
  </w:num>
  <w:num w:numId="651">
    <w:abstractNumId w:val="783"/>
  </w:num>
  <w:num w:numId="652">
    <w:abstractNumId w:val="104"/>
  </w:num>
  <w:num w:numId="653">
    <w:abstractNumId w:val="789"/>
  </w:num>
  <w:num w:numId="654">
    <w:abstractNumId w:val="40"/>
  </w:num>
  <w:num w:numId="655">
    <w:abstractNumId w:val="339"/>
  </w:num>
  <w:num w:numId="656">
    <w:abstractNumId w:val="447"/>
  </w:num>
  <w:num w:numId="657">
    <w:abstractNumId w:val="112"/>
  </w:num>
  <w:num w:numId="658">
    <w:abstractNumId w:val="559"/>
  </w:num>
  <w:num w:numId="659">
    <w:abstractNumId w:val="289"/>
  </w:num>
  <w:num w:numId="660">
    <w:abstractNumId w:val="542"/>
  </w:num>
  <w:num w:numId="661">
    <w:abstractNumId w:val="404"/>
  </w:num>
  <w:num w:numId="662">
    <w:abstractNumId w:val="467"/>
  </w:num>
  <w:num w:numId="663">
    <w:abstractNumId w:val="254"/>
  </w:num>
  <w:num w:numId="664">
    <w:abstractNumId w:val="15"/>
  </w:num>
  <w:num w:numId="665">
    <w:abstractNumId w:val="440"/>
  </w:num>
  <w:num w:numId="666">
    <w:abstractNumId w:val="827"/>
  </w:num>
  <w:num w:numId="667">
    <w:abstractNumId w:val="777"/>
  </w:num>
  <w:num w:numId="668">
    <w:abstractNumId w:val="495"/>
  </w:num>
  <w:num w:numId="669">
    <w:abstractNumId w:val="786"/>
  </w:num>
  <w:num w:numId="670">
    <w:abstractNumId w:val="801"/>
  </w:num>
  <w:num w:numId="671">
    <w:abstractNumId w:val="803"/>
  </w:num>
  <w:num w:numId="672">
    <w:abstractNumId w:val="203"/>
  </w:num>
  <w:num w:numId="673">
    <w:abstractNumId w:val="562"/>
  </w:num>
  <w:num w:numId="674">
    <w:abstractNumId w:val="525"/>
  </w:num>
  <w:num w:numId="675">
    <w:abstractNumId w:val="763"/>
  </w:num>
  <w:num w:numId="676">
    <w:abstractNumId w:val="825"/>
  </w:num>
  <w:num w:numId="677">
    <w:abstractNumId w:val="705"/>
  </w:num>
  <w:num w:numId="678">
    <w:abstractNumId w:val="116"/>
  </w:num>
  <w:num w:numId="679">
    <w:abstractNumId w:val="192"/>
  </w:num>
  <w:num w:numId="680">
    <w:abstractNumId w:val="425"/>
  </w:num>
  <w:num w:numId="681">
    <w:abstractNumId w:val="517"/>
  </w:num>
  <w:num w:numId="682">
    <w:abstractNumId w:val="296"/>
  </w:num>
  <w:num w:numId="683">
    <w:abstractNumId w:val="689"/>
  </w:num>
  <w:num w:numId="684">
    <w:abstractNumId w:val="625"/>
  </w:num>
  <w:num w:numId="685">
    <w:abstractNumId w:val="590"/>
  </w:num>
  <w:num w:numId="686">
    <w:abstractNumId w:val="363"/>
  </w:num>
  <w:num w:numId="687">
    <w:abstractNumId w:val="44"/>
  </w:num>
  <w:num w:numId="688">
    <w:abstractNumId w:val="348"/>
  </w:num>
  <w:num w:numId="689">
    <w:abstractNumId w:val="1"/>
  </w:num>
  <w:num w:numId="690">
    <w:abstractNumId w:val="486"/>
  </w:num>
  <w:num w:numId="691">
    <w:abstractNumId w:val="619"/>
  </w:num>
  <w:num w:numId="692">
    <w:abstractNumId w:val="500"/>
  </w:num>
  <w:num w:numId="693">
    <w:abstractNumId w:val="431"/>
  </w:num>
  <w:num w:numId="694">
    <w:abstractNumId w:val="316"/>
  </w:num>
  <w:num w:numId="695">
    <w:abstractNumId w:val="709"/>
  </w:num>
  <w:num w:numId="696">
    <w:abstractNumId w:val="717"/>
  </w:num>
  <w:num w:numId="697">
    <w:abstractNumId w:val="330"/>
  </w:num>
  <w:num w:numId="698">
    <w:abstractNumId w:val="271"/>
  </w:num>
  <w:num w:numId="699">
    <w:abstractNumId w:val="54"/>
  </w:num>
  <w:num w:numId="700">
    <w:abstractNumId w:val="272"/>
  </w:num>
  <w:num w:numId="701">
    <w:abstractNumId w:val="34"/>
  </w:num>
  <w:num w:numId="702">
    <w:abstractNumId w:val="527"/>
  </w:num>
  <w:num w:numId="703">
    <w:abstractNumId w:val="323"/>
  </w:num>
  <w:num w:numId="704">
    <w:abstractNumId w:val="165"/>
  </w:num>
  <w:num w:numId="705">
    <w:abstractNumId w:val="158"/>
  </w:num>
  <w:num w:numId="706">
    <w:abstractNumId w:val="102"/>
  </w:num>
  <w:num w:numId="707">
    <w:abstractNumId w:val="377"/>
  </w:num>
  <w:num w:numId="708">
    <w:abstractNumId w:val="198"/>
  </w:num>
  <w:num w:numId="709">
    <w:abstractNumId w:val="728"/>
  </w:num>
  <w:num w:numId="710">
    <w:abstractNumId w:val="33"/>
  </w:num>
  <w:num w:numId="711">
    <w:abstractNumId w:val="466"/>
  </w:num>
  <w:num w:numId="712">
    <w:abstractNumId w:val="534"/>
  </w:num>
  <w:num w:numId="713">
    <w:abstractNumId w:val="336"/>
  </w:num>
  <w:num w:numId="714">
    <w:abstractNumId w:val="464"/>
  </w:num>
  <w:num w:numId="715">
    <w:abstractNumId w:val="550"/>
  </w:num>
  <w:num w:numId="716">
    <w:abstractNumId w:val="103"/>
  </w:num>
  <w:num w:numId="717">
    <w:abstractNumId w:val="451"/>
  </w:num>
  <w:num w:numId="718">
    <w:abstractNumId w:val="123"/>
  </w:num>
  <w:num w:numId="719">
    <w:abstractNumId w:val="826"/>
  </w:num>
  <w:num w:numId="720">
    <w:abstractNumId w:val="502"/>
  </w:num>
  <w:num w:numId="721">
    <w:abstractNumId w:val="472"/>
  </w:num>
  <w:num w:numId="722">
    <w:abstractNumId w:val="280"/>
  </w:num>
  <w:num w:numId="723">
    <w:abstractNumId w:val="748"/>
  </w:num>
  <w:num w:numId="724">
    <w:abstractNumId w:val="219"/>
  </w:num>
  <w:num w:numId="725">
    <w:abstractNumId w:val="217"/>
  </w:num>
  <w:num w:numId="726">
    <w:abstractNumId w:val="776"/>
  </w:num>
  <w:num w:numId="727">
    <w:abstractNumId w:val="268"/>
  </w:num>
  <w:num w:numId="728">
    <w:abstractNumId w:val="436"/>
  </w:num>
  <w:num w:numId="729">
    <w:abstractNumId w:val="151"/>
  </w:num>
  <w:num w:numId="730">
    <w:abstractNumId w:val="159"/>
  </w:num>
  <w:num w:numId="731">
    <w:abstractNumId w:val="523"/>
  </w:num>
  <w:num w:numId="732">
    <w:abstractNumId w:val="410"/>
  </w:num>
  <w:num w:numId="733">
    <w:abstractNumId w:val="413"/>
  </w:num>
  <w:num w:numId="734">
    <w:abstractNumId w:val="824"/>
  </w:num>
  <w:num w:numId="735">
    <w:abstractNumId w:val="349"/>
  </w:num>
  <w:num w:numId="736">
    <w:abstractNumId w:val="759"/>
  </w:num>
  <w:num w:numId="737">
    <w:abstractNumId w:val="171"/>
  </w:num>
  <w:num w:numId="738">
    <w:abstractNumId w:val="52"/>
  </w:num>
  <w:num w:numId="739">
    <w:abstractNumId w:val="657"/>
  </w:num>
  <w:num w:numId="740">
    <w:abstractNumId w:val="632"/>
  </w:num>
  <w:num w:numId="741">
    <w:abstractNumId w:val="726"/>
  </w:num>
  <w:num w:numId="742">
    <w:abstractNumId w:val="503"/>
  </w:num>
  <w:num w:numId="743">
    <w:abstractNumId w:val="293"/>
  </w:num>
  <w:num w:numId="744">
    <w:abstractNumId w:val="452"/>
  </w:num>
  <w:num w:numId="745">
    <w:abstractNumId w:val="327"/>
  </w:num>
  <w:num w:numId="746">
    <w:abstractNumId w:val="427"/>
  </w:num>
  <w:num w:numId="747">
    <w:abstractNumId w:val="563"/>
  </w:num>
  <w:num w:numId="748">
    <w:abstractNumId w:val="36"/>
  </w:num>
  <w:num w:numId="749">
    <w:abstractNumId w:val="494"/>
  </w:num>
  <w:num w:numId="750">
    <w:abstractNumId w:val="651"/>
  </w:num>
  <w:num w:numId="751">
    <w:abstractNumId w:val="444"/>
  </w:num>
  <w:num w:numId="752">
    <w:abstractNumId w:val="690"/>
  </w:num>
  <w:num w:numId="753">
    <w:abstractNumId w:val="4"/>
  </w:num>
  <w:num w:numId="754">
    <w:abstractNumId w:val="55"/>
  </w:num>
  <w:num w:numId="755">
    <w:abstractNumId w:val="43"/>
  </w:num>
  <w:num w:numId="756">
    <w:abstractNumId w:val="606"/>
  </w:num>
  <w:num w:numId="757">
    <w:abstractNumId w:val="637"/>
  </w:num>
  <w:num w:numId="758">
    <w:abstractNumId w:val="437"/>
  </w:num>
  <w:num w:numId="759">
    <w:abstractNumId w:val="703"/>
  </w:num>
  <w:num w:numId="760">
    <w:abstractNumId w:val="766"/>
  </w:num>
  <w:num w:numId="761">
    <w:abstractNumId w:val="660"/>
  </w:num>
  <w:num w:numId="762">
    <w:abstractNumId w:val="274"/>
  </w:num>
  <w:num w:numId="763">
    <w:abstractNumId w:val="221"/>
  </w:num>
  <w:num w:numId="764">
    <w:abstractNumId w:val="743"/>
  </w:num>
  <w:num w:numId="765">
    <w:abstractNumId w:val="88"/>
  </w:num>
  <w:num w:numId="766">
    <w:abstractNumId w:val="299"/>
  </w:num>
  <w:num w:numId="767">
    <w:abstractNumId w:val="707"/>
  </w:num>
  <w:num w:numId="768">
    <w:abstractNumId w:val="317"/>
  </w:num>
  <w:num w:numId="769">
    <w:abstractNumId w:val="607"/>
  </w:num>
  <w:num w:numId="770">
    <w:abstractNumId w:val="181"/>
  </w:num>
  <w:num w:numId="771">
    <w:abstractNumId w:val="67"/>
  </w:num>
  <w:num w:numId="772">
    <w:abstractNumId w:val="234"/>
  </w:num>
  <w:num w:numId="773">
    <w:abstractNumId w:val="13"/>
  </w:num>
  <w:num w:numId="774">
    <w:abstractNumId w:val="564"/>
  </w:num>
  <w:num w:numId="775">
    <w:abstractNumId w:val="456"/>
  </w:num>
  <w:num w:numId="776">
    <w:abstractNumId w:val="11"/>
  </w:num>
  <w:num w:numId="777">
    <w:abstractNumId w:val="798"/>
  </w:num>
  <w:num w:numId="778">
    <w:abstractNumId w:val="720"/>
  </w:num>
  <w:num w:numId="779">
    <w:abstractNumId w:val="303"/>
  </w:num>
  <w:num w:numId="780">
    <w:abstractNumId w:val="236"/>
  </w:num>
  <w:num w:numId="781">
    <w:abstractNumId w:val="3"/>
  </w:num>
  <w:num w:numId="782">
    <w:abstractNumId w:val="696"/>
  </w:num>
  <w:num w:numId="783">
    <w:abstractNumId w:val="90"/>
  </w:num>
  <w:num w:numId="784">
    <w:abstractNumId w:val="448"/>
  </w:num>
  <w:num w:numId="785">
    <w:abstractNumId w:val="630"/>
  </w:num>
  <w:num w:numId="786">
    <w:abstractNumId w:val="535"/>
  </w:num>
  <w:num w:numId="787">
    <w:abstractNumId w:val="188"/>
  </w:num>
  <w:num w:numId="788">
    <w:abstractNumId w:val="812"/>
  </w:num>
  <w:num w:numId="789">
    <w:abstractNumId w:val="379"/>
  </w:num>
  <w:num w:numId="790">
    <w:abstractNumId w:val="393"/>
  </w:num>
  <w:num w:numId="791">
    <w:abstractNumId w:val="127"/>
  </w:num>
  <w:num w:numId="792">
    <w:abstractNumId w:val="361"/>
  </w:num>
  <w:num w:numId="793">
    <w:abstractNumId w:val="469"/>
  </w:num>
  <w:num w:numId="794">
    <w:abstractNumId w:val="677"/>
  </w:num>
  <w:num w:numId="795">
    <w:abstractNumId w:val="526"/>
  </w:num>
  <w:num w:numId="796">
    <w:abstractNumId w:val="312"/>
  </w:num>
  <w:num w:numId="797">
    <w:abstractNumId w:val="405"/>
  </w:num>
  <w:num w:numId="798">
    <w:abstractNumId w:val="26"/>
  </w:num>
  <w:num w:numId="799">
    <w:abstractNumId w:val="142"/>
  </w:num>
  <w:num w:numId="800">
    <w:abstractNumId w:val="670"/>
  </w:num>
  <w:num w:numId="801">
    <w:abstractNumId w:val="212"/>
  </w:num>
  <w:num w:numId="802">
    <w:abstractNumId w:val="141"/>
  </w:num>
  <w:num w:numId="803">
    <w:abstractNumId w:val="450"/>
  </w:num>
  <w:num w:numId="804">
    <w:abstractNumId w:val="344"/>
  </w:num>
  <w:num w:numId="805">
    <w:abstractNumId w:val="775"/>
  </w:num>
  <w:num w:numId="806">
    <w:abstractNumId w:val="708"/>
  </w:num>
  <w:num w:numId="807">
    <w:abstractNumId w:val="155"/>
  </w:num>
  <w:num w:numId="808">
    <w:abstractNumId w:val="362"/>
  </w:num>
  <w:num w:numId="809">
    <w:abstractNumId w:val="640"/>
  </w:num>
  <w:num w:numId="810">
    <w:abstractNumId w:val="537"/>
  </w:num>
  <w:num w:numId="811">
    <w:abstractNumId w:val="119"/>
  </w:num>
  <w:num w:numId="812">
    <w:abstractNumId w:val="767"/>
  </w:num>
  <w:num w:numId="813">
    <w:abstractNumId w:val="454"/>
  </w:num>
  <w:num w:numId="814">
    <w:abstractNumId w:val="397"/>
  </w:num>
  <w:num w:numId="815">
    <w:abstractNumId w:val="601"/>
  </w:num>
  <w:num w:numId="816">
    <w:abstractNumId w:val="697"/>
  </w:num>
  <w:num w:numId="817">
    <w:abstractNumId w:val="366"/>
  </w:num>
  <w:num w:numId="818">
    <w:abstractNumId w:val="662"/>
  </w:num>
  <w:num w:numId="819">
    <w:abstractNumId w:val="380"/>
  </w:num>
  <w:num w:numId="820">
    <w:abstractNumId w:val="108"/>
  </w:num>
  <w:num w:numId="821">
    <w:abstractNumId w:val="658"/>
  </w:num>
  <w:num w:numId="822">
    <w:abstractNumId w:val="72"/>
  </w:num>
  <w:num w:numId="823">
    <w:abstractNumId w:val="325"/>
  </w:num>
  <w:num w:numId="824">
    <w:abstractNumId w:val="160"/>
  </w:num>
  <w:num w:numId="825">
    <w:abstractNumId w:val="47"/>
  </w:num>
  <w:num w:numId="826">
    <w:abstractNumId w:val="463"/>
  </w:num>
  <w:num w:numId="827">
    <w:abstractNumId w:val="603"/>
  </w:num>
  <w:num w:numId="828">
    <w:abstractNumId w:val="544"/>
  </w:num>
  <w:num w:numId="829">
    <w:abstractNumId w:val="587"/>
  </w:num>
  <w:num w:numId="830">
    <w:abstractNumId w:val="266"/>
  </w:num>
  <w:num w:numId="831">
    <w:abstractNumId w:val="326"/>
  </w:num>
  <w:num w:numId="832">
    <w:abstractNumId w:val="332"/>
  </w:num>
  <w:num w:numId="833">
    <w:abstractNumId w:val="84"/>
  </w:num>
  <w:numIdMacAtCleanup w:val="8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01F"/>
    <w:rsid w:val="00003048"/>
    <w:rsid w:val="00003527"/>
    <w:rsid w:val="00021B43"/>
    <w:rsid w:val="00027411"/>
    <w:rsid w:val="000467F2"/>
    <w:rsid w:val="00060460"/>
    <w:rsid w:val="0006156C"/>
    <w:rsid w:val="0006269C"/>
    <w:rsid w:val="00071888"/>
    <w:rsid w:val="00072F8B"/>
    <w:rsid w:val="00082214"/>
    <w:rsid w:val="000862CC"/>
    <w:rsid w:val="000A01E3"/>
    <w:rsid w:val="000B0C44"/>
    <w:rsid w:val="000B0EB7"/>
    <w:rsid w:val="000C2FC6"/>
    <w:rsid w:val="000C2FCA"/>
    <w:rsid w:val="000D17F7"/>
    <w:rsid w:val="000D28F9"/>
    <w:rsid w:val="000D397A"/>
    <w:rsid w:val="000D70EA"/>
    <w:rsid w:val="000E42A8"/>
    <w:rsid w:val="000E5C2A"/>
    <w:rsid w:val="00103784"/>
    <w:rsid w:val="00105178"/>
    <w:rsid w:val="00106528"/>
    <w:rsid w:val="00133E8D"/>
    <w:rsid w:val="00135380"/>
    <w:rsid w:val="00150475"/>
    <w:rsid w:val="00152216"/>
    <w:rsid w:val="001523A6"/>
    <w:rsid w:val="00153E4B"/>
    <w:rsid w:val="00156BE1"/>
    <w:rsid w:val="00161B88"/>
    <w:rsid w:val="001830F2"/>
    <w:rsid w:val="0019229D"/>
    <w:rsid w:val="00197EC9"/>
    <w:rsid w:val="001D06D1"/>
    <w:rsid w:val="001E3C2A"/>
    <w:rsid w:val="00203600"/>
    <w:rsid w:val="00224F82"/>
    <w:rsid w:val="0022501F"/>
    <w:rsid w:val="002301EB"/>
    <w:rsid w:val="00231D66"/>
    <w:rsid w:val="00257957"/>
    <w:rsid w:val="00291C6A"/>
    <w:rsid w:val="002A21B9"/>
    <w:rsid w:val="002A3124"/>
    <w:rsid w:val="002B03D4"/>
    <w:rsid w:val="002C1CB2"/>
    <w:rsid w:val="002C1E33"/>
    <w:rsid w:val="002D20FA"/>
    <w:rsid w:val="002D4202"/>
    <w:rsid w:val="00324306"/>
    <w:rsid w:val="00341905"/>
    <w:rsid w:val="00355D35"/>
    <w:rsid w:val="003736B0"/>
    <w:rsid w:val="00375909"/>
    <w:rsid w:val="003861FB"/>
    <w:rsid w:val="00394DB2"/>
    <w:rsid w:val="003C5881"/>
    <w:rsid w:val="003D75D0"/>
    <w:rsid w:val="003E2D8E"/>
    <w:rsid w:val="0041055D"/>
    <w:rsid w:val="00412061"/>
    <w:rsid w:val="00414AE3"/>
    <w:rsid w:val="00415DED"/>
    <w:rsid w:val="004172F0"/>
    <w:rsid w:val="00427882"/>
    <w:rsid w:val="00433ECB"/>
    <w:rsid w:val="00436FC4"/>
    <w:rsid w:val="0044266C"/>
    <w:rsid w:val="00446557"/>
    <w:rsid w:val="00453A3F"/>
    <w:rsid w:val="00461C7A"/>
    <w:rsid w:val="00465CBF"/>
    <w:rsid w:val="0047791C"/>
    <w:rsid w:val="00483AB8"/>
    <w:rsid w:val="0048591B"/>
    <w:rsid w:val="004A7CC4"/>
    <w:rsid w:val="004C5510"/>
    <w:rsid w:val="004D08C2"/>
    <w:rsid w:val="004E3C3C"/>
    <w:rsid w:val="00500020"/>
    <w:rsid w:val="005002EF"/>
    <w:rsid w:val="00506BE4"/>
    <w:rsid w:val="00507ABD"/>
    <w:rsid w:val="005454E6"/>
    <w:rsid w:val="005469D0"/>
    <w:rsid w:val="00551443"/>
    <w:rsid w:val="00560B17"/>
    <w:rsid w:val="00563F88"/>
    <w:rsid w:val="0056629F"/>
    <w:rsid w:val="005735BA"/>
    <w:rsid w:val="0057454C"/>
    <w:rsid w:val="005B5EFD"/>
    <w:rsid w:val="005E4CED"/>
    <w:rsid w:val="005E6418"/>
    <w:rsid w:val="006016DC"/>
    <w:rsid w:val="00626CEA"/>
    <w:rsid w:val="00632D23"/>
    <w:rsid w:val="00643580"/>
    <w:rsid w:val="006435FF"/>
    <w:rsid w:val="00643E65"/>
    <w:rsid w:val="00653D5C"/>
    <w:rsid w:val="0068392E"/>
    <w:rsid w:val="0068496A"/>
    <w:rsid w:val="00687548"/>
    <w:rsid w:val="006B3395"/>
    <w:rsid w:val="006C5EBA"/>
    <w:rsid w:val="006F70A0"/>
    <w:rsid w:val="00706409"/>
    <w:rsid w:val="007115B7"/>
    <w:rsid w:val="007201F4"/>
    <w:rsid w:val="0075517D"/>
    <w:rsid w:val="00775A3B"/>
    <w:rsid w:val="00777036"/>
    <w:rsid w:val="00780140"/>
    <w:rsid w:val="007835CF"/>
    <w:rsid w:val="00795695"/>
    <w:rsid w:val="007968C6"/>
    <w:rsid w:val="007A3369"/>
    <w:rsid w:val="007B100B"/>
    <w:rsid w:val="007B7DE7"/>
    <w:rsid w:val="007E333F"/>
    <w:rsid w:val="007E47AB"/>
    <w:rsid w:val="00802A54"/>
    <w:rsid w:val="00827127"/>
    <w:rsid w:val="00835ADB"/>
    <w:rsid w:val="008530F8"/>
    <w:rsid w:val="0085669D"/>
    <w:rsid w:val="00874AA7"/>
    <w:rsid w:val="008871CF"/>
    <w:rsid w:val="008B0C43"/>
    <w:rsid w:val="008B203A"/>
    <w:rsid w:val="008B59F4"/>
    <w:rsid w:val="008C4935"/>
    <w:rsid w:val="008C5E65"/>
    <w:rsid w:val="008D6044"/>
    <w:rsid w:val="008F6699"/>
    <w:rsid w:val="009032D7"/>
    <w:rsid w:val="00937413"/>
    <w:rsid w:val="00940E2B"/>
    <w:rsid w:val="0097736D"/>
    <w:rsid w:val="00980458"/>
    <w:rsid w:val="00980AEC"/>
    <w:rsid w:val="00983335"/>
    <w:rsid w:val="00985957"/>
    <w:rsid w:val="00997246"/>
    <w:rsid w:val="009A2130"/>
    <w:rsid w:val="009A595B"/>
    <w:rsid w:val="009B3D5C"/>
    <w:rsid w:val="009D04D3"/>
    <w:rsid w:val="009E4854"/>
    <w:rsid w:val="009F7790"/>
    <w:rsid w:val="00A307C9"/>
    <w:rsid w:val="00A35CE0"/>
    <w:rsid w:val="00A40459"/>
    <w:rsid w:val="00A6587C"/>
    <w:rsid w:val="00A8325A"/>
    <w:rsid w:val="00AA4222"/>
    <w:rsid w:val="00AC1440"/>
    <w:rsid w:val="00AD04D9"/>
    <w:rsid w:val="00AD46B5"/>
    <w:rsid w:val="00AE0E77"/>
    <w:rsid w:val="00AE408D"/>
    <w:rsid w:val="00AE4311"/>
    <w:rsid w:val="00AE6461"/>
    <w:rsid w:val="00AF32B2"/>
    <w:rsid w:val="00AF6392"/>
    <w:rsid w:val="00AF744E"/>
    <w:rsid w:val="00B04313"/>
    <w:rsid w:val="00B16B66"/>
    <w:rsid w:val="00B520CF"/>
    <w:rsid w:val="00B53EE0"/>
    <w:rsid w:val="00B555C2"/>
    <w:rsid w:val="00B67F4C"/>
    <w:rsid w:val="00B816C2"/>
    <w:rsid w:val="00B81800"/>
    <w:rsid w:val="00B84F52"/>
    <w:rsid w:val="00B873C2"/>
    <w:rsid w:val="00B90A2E"/>
    <w:rsid w:val="00BA384C"/>
    <w:rsid w:val="00BA5790"/>
    <w:rsid w:val="00BA5935"/>
    <w:rsid w:val="00BA664A"/>
    <w:rsid w:val="00BB30C9"/>
    <w:rsid w:val="00BB73F4"/>
    <w:rsid w:val="00BB7EEF"/>
    <w:rsid w:val="00BE1A99"/>
    <w:rsid w:val="00C2343F"/>
    <w:rsid w:val="00C32603"/>
    <w:rsid w:val="00C3404B"/>
    <w:rsid w:val="00C341A5"/>
    <w:rsid w:val="00C4040D"/>
    <w:rsid w:val="00C6537C"/>
    <w:rsid w:val="00C67E76"/>
    <w:rsid w:val="00C90B7A"/>
    <w:rsid w:val="00C9163A"/>
    <w:rsid w:val="00C961E8"/>
    <w:rsid w:val="00CB6E1D"/>
    <w:rsid w:val="00CD2089"/>
    <w:rsid w:val="00CE027E"/>
    <w:rsid w:val="00CE77C4"/>
    <w:rsid w:val="00CF1387"/>
    <w:rsid w:val="00CF7C35"/>
    <w:rsid w:val="00D000D1"/>
    <w:rsid w:val="00D0549E"/>
    <w:rsid w:val="00D313FE"/>
    <w:rsid w:val="00D33BDA"/>
    <w:rsid w:val="00D44893"/>
    <w:rsid w:val="00D44FE7"/>
    <w:rsid w:val="00D52394"/>
    <w:rsid w:val="00D542C6"/>
    <w:rsid w:val="00D67542"/>
    <w:rsid w:val="00D80CC8"/>
    <w:rsid w:val="00DA3A8D"/>
    <w:rsid w:val="00DB7CF0"/>
    <w:rsid w:val="00DB7E2F"/>
    <w:rsid w:val="00DD6AFB"/>
    <w:rsid w:val="00DD6BA1"/>
    <w:rsid w:val="00E172C5"/>
    <w:rsid w:val="00E31D2E"/>
    <w:rsid w:val="00E50336"/>
    <w:rsid w:val="00E6450A"/>
    <w:rsid w:val="00E865EA"/>
    <w:rsid w:val="00E92997"/>
    <w:rsid w:val="00E950C8"/>
    <w:rsid w:val="00EA00D8"/>
    <w:rsid w:val="00EA1CC2"/>
    <w:rsid w:val="00EC35D8"/>
    <w:rsid w:val="00ED1D54"/>
    <w:rsid w:val="00EE1062"/>
    <w:rsid w:val="00EE2879"/>
    <w:rsid w:val="00EE70E6"/>
    <w:rsid w:val="00F023ED"/>
    <w:rsid w:val="00F20C56"/>
    <w:rsid w:val="00F40666"/>
    <w:rsid w:val="00F46CF6"/>
    <w:rsid w:val="00F51628"/>
    <w:rsid w:val="00F533EC"/>
    <w:rsid w:val="00F63881"/>
    <w:rsid w:val="00F74A0F"/>
    <w:rsid w:val="00FC487B"/>
    <w:rsid w:val="00FE0098"/>
    <w:rsid w:val="00FF4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547A7C-898D-4A8A-ACBA-C2C08667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E50336"/>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E50336"/>
    <w:pPr>
      <w:outlineLvl w:val="0"/>
    </w:pPr>
    <w:rPr>
      <w:b/>
      <w:sz w:val="40"/>
      <w:szCs w:val="40"/>
    </w:rPr>
  </w:style>
  <w:style w:type="paragraph" w:styleId="berschrift2">
    <w:name w:val="heading 2"/>
    <w:basedOn w:val="Standard"/>
    <w:next w:val="Standard"/>
    <w:link w:val="berschrift2Zchn"/>
    <w:uiPriority w:val="9"/>
    <w:unhideWhenUsed/>
    <w:qFormat/>
    <w:rsid w:val="00E50336"/>
    <w:pPr>
      <w:outlineLvl w:val="1"/>
    </w:pPr>
    <w:rPr>
      <w:b/>
      <w:sz w:val="36"/>
      <w:szCs w:val="36"/>
    </w:rPr>
  </w:style>
  <w:style w:type="paragraph" w:styleId="berschrift3">
    <w:name w:val="heading 3"/>
    <w:basedOn w:val="Standard"/>
    <w:next w:val="Standard"/>
    <w:link w:val="berschrift3Zchn"/>
    <w:uiPriority w:val="9"/>
    <w:unhideWhenUsed/>
    <w:qFormat/>
    <w:rsid w:val="00E50336"/>
    <w:pPr>
      <w:outlineLvl w:val="2"/>
    </w:pPr>
    <w:rPr>
      <w:b/>
      <w:sz w:val="32"/>
      <w:szCs w:val="32"/>
    </w:rPr>
  </w:style>
  <w:style w:type="paragraph" w:styleId="berschrift4">
    <w:name w:val="heading 4"/>
    <w:basedOn w:val="Standard"/>
    <w:next w:val="Standard"/>
    <w:link w:val="berschrift4Zchn"/>
    <w:uiPriority w:val="9"/>
    <w:unhideWhenUsed/>
    <w:qFormat/>
    <w:rsid w:val="00E50336"/>
    <w:pPr>
      <w:outlineLvl w:val="3"/>
    </w:pPr>
    <w:rPr>
      <w:b/>
      <w:sz w:val="26"/>
      <w:szCs w:val="28"/>
    </w:rPr>
  </w:style>
  <w:style w:type="paragraph" w:styleId="berschrift5">
    <w:name w:val="heading 5"/>
    <w:basedOn w:val="Standard"/>
    <w:next w:val="Standard"/>
    <w:link w:val="berschrift5Zchn"/>
    <w:uiPriority w:val="9"/>
    <w:unhideWhenUsed/>
    <w:qFormat/>
    <w:rsid w:val="00E50336"/>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unhideWhenUsed/>
    <w:qFormat/>
    <w:rsid w:val="00E50336"/>
    <w:pPr>
      <w:keepNext/>
      <w:keepLines/>
      <w:spacing w:before="200" w:after="40"/>
      <w:outlineLvl w:val="5"/>
    </w:pPr>
    <w:rPr>
      <w:rFonts w:eastAsia="Calibri"/>
      <w:b/>
      <w:sz w:val="20"/>
      <w:szCs w:val="20"/>
    </w:rPr>
  </w:style>
  <w:style w:type="paragraph" w:styleId="berschrift8">
    <w:name w:val="heading 8"/>
    <w:basedOn w:val="Standard"/>
    <w:next w:val="Standard"/>
    <w:link w:val="berschrift8Zchn"/>
    <w:uiPriority w:val="9"/>
    <w:semiHidden/>
    <w:unhideWhenUsed/>
    <w:qFormat/>
    <w:rsid w:val="00E50336"/>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bsatz-Standardschriftart">
    <w:name w:val="Default Paragraph Font"/>
    <w:uiPriority w:val="1"/>
    <w:semiHidden/>
    <w:unhideWhenUsed/>
    <w:rsid w:val="00E50336"/>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E50336"/>
  </w:style>
  <w:style w:type="paragraph" w:customStyle="1" w:styleId="Code">
    <w:name w:val="Code"/>
    <w:basedOn w:val="Standard"/>
    <w:link w:val="CodeZchn"/>
    <w:qFormat/>
    <w:rsid w:val="00E50336"/>
    <w:rPr>
      <w:rFonts w:ascii="Courier New" w:hAnsi="Courier New"/>
    </w:rPr>
  </w:style>
  <w:style w:type="character" w:customStyle="1" w:styleId="CodeZchn">
    <w:name w:val="Code Zchn"/>
    <w:link w:val="Code"/>
    <w:rsid w:val="00E50336"/>
    <w:rPr>
      <w:rFonts w:ascii="Courier New" w:eastAsia="Times New Roman" w:hAnsi="Courier New" w:cs="Calibri"/>
      <w:bCs/>
      <w:sz w:val="24"/>
      <w:szCs w:val="24"/>
    </w:rPr>
  </w:style>
  <w:style w:type="character" w:styleId="IntensiveHervorhebung">
    <w:name w:val="Intense Emphasis"/>
    <w:uiPriority w:val="21"/>
    <w:rsid w:val="00E50336"/>
    <w:rPr>
      <w:i/>
      <w:iCs/>
      <w:color w:val="4472C4"/>
    </w:rPr>
  </w:style>
  <w:style w:type="character" w:customStyle="1" w:styleId="berschrift2Zchn">
    <w:name w:val="Überschrift 2 Zchn"/>
    <w:link w:val="berschrift2"/>
    <w:uiPriority w:val="9"/>
    <w:rsid w:val="00E50336"/>
    <w:rPr>
      <w:rFonts w:eastAsia="Times New Roman" w:cs="Calibri"/>
      <w:b/>
      <w:bCs/>
      <w:sz w:val="36"/>
      <w:szCs w:val="36"/>
    </w:rPr>
  </w:style>
  <w:style w:type="character" w:customStyle="1" w:styleId="berschrift1Zchn">
    <w:name w:val="Überschrift 1 Zchn"/>
    <w:link w:val="berschrift1"/>
    <w:uiPriority w:val="9"/>
    <w:rsid w:val="00E50336"/>
    <w:rPr>
      <w:rFonts w:eastAsia="Times New Roman" w:cs="Calibri"/>
      <w:b/>
      <w:bCs/>
      <w:sz w:val="40"/>
      <w:szCs w:val="40"/>
    </w:rPr>
  </w:style>
  <w:style w:type="character" w:customStyle="1" w:styleId="berschrift3Zchn">
    <w:name w:val="Überschrift 3 Zchn"/>
    <w:link w:val="berschrift3"/>
    <w:uiPriority w:val="9"/>
    <w:rsid w:val="00E50336"/>
    <w:rPr>
      <w:rFonts w:eastAsia="Times New Roman" w:cs="Calibri"/>
      <w:b/>
      <w:bCs/>
      <w:sz w:val="32"/>
      <w:szCs w:val="32"/>
    </w:rPr>
  </w:style>
  <w:style w:type="character" w:customStyle="1" w:styleId="berschrift4Zchn">
    <w:name w:val="Überschrift 4 Zchn"/>
    <w:link w:val="berschrift4"/>
    <w:uiPriority w:val="9"/>
    <w:rsid w:val="00E50336"/>
    <w:rPr>
      <w:rFonts w:eastAsia="Times New Roman" w:cs="Calibri"/>
      <w:b/>
      <w:bCs/>
      <w:sz w:val="26"/>
      <w:szCs w:val="28"/>
    </w:rPr>
  </w:style>
  <w:style w:type="character" w:customStyle="1" w:styleId="berschrift5Zchn">
    <w:name w:val="Überschrift 5 Zchn"/>
    <w:link w:val="berschrift5"/>
    <w:uiPriority w:val="9"/>
    <w:rsid w:val="00E50336"/>
    <w:rPr>
      <w:rFonts w:cs="Calibri"/>
      <w:b/>
      <w:bCs/>
      <w:sz w:val="22"/>
      <w:szCs w:val="24"/>
    </w:rPr>
  </w:style>
  <w:style w:type="character" w:customStyle="1" w:styleId="berschrift6Zchn">
    <w:name w:val="Überschrift 6 Zchn"/>
    <w:link w:val="berschrift6"/>
    <w:uiPriority w:val="9"/>
    <w:rsid w:val="00E50336"/>
    <w:rPr>
      <w:rFonts w:cs="Calibri"/>
      <w:b/>
      <w:bCs/>
    </w:rPr>
  </w:style>
  <w:style w:type="table" w:customStyle="1" w:styleId="TableNormal">
    <w:name w:val="TableNormal"/>
    <w:rsid w:val="00E50336"/>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E50336"/>
    <w:pPr>
      <w:keepNext/>
      <w:keepLines/>
      <w:spacing w:before="480" w:line="259" w:lineRule="auto"/>
    </w:pPr>
    <w:rPr>
      <w:rFonts w:eastAsia="Calibri"/>
      <w:b/>
      <w:sz w:val="44"/>
      <w:szCs w:val="72"/>
    </w:rPr>
  </w:style>
  <w:style w:type="character" w:customStyle="1" w:styleId="TitelZchn">
    <w:name w:val="Titel Zchn"/>
    <w:link w:val="Titel"/>
    <w:uiPriority w:val="10"/>
    <w:rsid w:val="00E50336"/>
    <w:rPr>
      <w:rFonts w:cs="Calibri"/>
      <w:b/>
      <w:bCs/>
      <w:sz w:val="44"/>
      <w:szCs w:val="72"/>
    </w:rPr>
  </w:style>
  <w:style w:type="paragraph" w:styleId="Untertitel">
    <w:name w:val="Subtitle"/>
    <w:basedOn w:val="Standard"/>
    <w:next w:val="Standard"/>
    <w:link w:val="UntertitelZchn"/>
    <w:uiPriority w:val="11"/>
    <w:qFormat/>
    <w:rsid w:val="00E50336"/>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E50336"/>
    <w:rPr>
      <w:rFonts w:ascii="Georgia" w:eastAsia="Georgia" w:hAnsi="Georgia" w:cs="Georgia"/>
      <w:bCs/>
      <w:i/>
      <w:color w:val="666666"/>
      <w:sz w:val="48"/>
      <w:szCs w:val="48"/>
    </w:rPr>
  </w:style>
  <w:style w:type="paragraph" w:customStyle="1" w:styleId="Aufzhlung">
    <w:name w:val="Aufzählung"/>
    <w:basedOn w:val="Standard"/>
    <w:link w:val="AufzhlungZchn"/>
    <w:qFormat/>
    <w:rsid w:val="00E50336"/>
    <w:pPr>
      <w:numPr>
        <w:numId w:val="1"/>
      </w:numPr>
      <w:ind w:left="714" w:hanging="357"/>
    </w:pPr>
    <w:rPr>
      <w:rFonts w:eastAsia="Calibri"/>
    </w:rPr>
  </w:style>
  <w:style w:type="character" w:customStyle="1" w:styleId="AufzhlungZchn">
    <w:name w:val="Aufzählung Zchn"/>
    <w:link w:val="Aufzhlung"/>
    <w:rsid w:val="00E50336"/>
    <w:rPr>
      <w:rFonts w:cs="Calibri"/>
      <w:bCs/>
      <w:sz w:val="24"/>
      <w:szCs w:val="24"/>
    </w:rPr>
  </w:style>
  <w:style w:type="paragraph" w:styleId="Zitat">
    <w:name w:val="Quote"/>
    <w:basedOn w:val="Standard"/>
    <w:next w:val="Standard"/>
    <w:link w:val="ZitatZchn"/>
    <w:autoRedefine/>
    <w:uiPriority w:val="29"/>
    <w:qFormat/>
    <w:rsid w:val="00E50336"/>
    <w:pPr>
      <w:tabs>
        <w:tab w:val="left" w:pos="1134"/>
      </w:tabs>
      <w:spacing w:before="240" w:after="240"/>
      <w:ind w:left="1134" w:right="1134"/>
    </w:pPr>
    <w:rPr>
      <w:i/>
      <w:iCs/>
      <w:color w:val="404040"/>
    </w:rPr>
  </w:style>
  <w:style w:type="character" w:customStyle="1" w:styleId="ZitatZchn">
    <w:name w:val="Zitat Zchn"/>
    <w:link w:val="Zitat"/>
    <w:uiPriority w:val="29"/>
    <w:rsid w:val="00E50336"/>
    <w:rPr>
      <w:rFonts w:eastAsia="Times New Roman" w:cs="Calibri"/>
      <w:bCs/>
      <w:i/>
      <w:iCs/>
      <w:color w:val="404040"/>
      <w:sz w:val="24"/>
      <w:szCs w:val="24"/>
    </w:rPr>
  </w:style>
  <w:style w:type="paragraph" w:customStyle="1" w:styleId="Abbildungsname">
    <w:name w:val="Abbildungsname"/>
    <w:basedOn w:val="Standard"/>
    <w:link w:val="AbbildungsnameZchn"/>
    <w:qFormat/>
    <w:rsid w:val="00E50336"/>
    <w:pPr>
      <w:spacing w:after="240" w:line="259" w:lineRule="auto"/>
      <w:jc w:val="center"/>
    </w:pPr>
    <w:rPr>
      <w:i/>
      <w:sz w:val="22"/>
    </w:rPr>
  </w:style>
  <w:style w:type="paragraph" w:customStyle="1" w:styleId="Tabelleninhalt">
    <w:name w:val="Tabelleninhalt"/>
    <w:basedOn w:val="Standard"/>
    <w:link w:val="TabelleninhaltZchn"/>
    <w:qFormat/>
    <w:rsid w:val="00E50336"/>
    <w:pPr>
      <w:spacing w:after="0" w:line="360" w:lineRule="auto"/>
    </w:pPr>
  </w:style>
  <w:style w:type="character" w:customStyle="1" w:styleId="AbbildungsnameZchn">
    <w:name w:val="Abbildungsname Zchn"/>
    <w:link w:val="Abbildungsname"/>
    <w:rsid w:val="00E50336"/>
    <w:rPr>
      <w:rFonts w:eastAsia="Times New Roman" w:cs="Calibri"/>
      <w:bCs/>
      <w:i/>
      <w:sz w:val="22"/>
      <w:szCs w:val="24"/>
    </w:rPr>
  </w:style>
  <w:style w:type="paragraph" w:styleId="StandardWeb">
    <w:name w:val="Normal (Web)"/>
    <w:basedOn w:val="Standard"/>
    <w:uiPriority w:val="99"/>
    <w:unhideWhenUsed/>
    <w:rsid w:val="00E50336"/>
    <w:pPr>
      <w:spacing w:before="100" w:beforeAutospacing="1" w:after="100" w:afterAutospacing="1"/>
    </w:pPr>
    <w:rPr>
      <w:rFonts w:ascii="Times New Roman" w:hAnsi="Times New Roman"/>
    </w:rPr>
  </w:style>
  <w:style w:type="character" w:customStyle="1" w:styleId="TabelleninhaltZchn">
    <w:name w:val="Tabelleninhalt Zchn"/>
    <w:link w:val="Tabelleninhalt"/>
    <w:rsid w:val="00E50336"/>
    <w:rPr>
      <w:rFonts w:eastAsia="Times New Roman" w:cs="Calibri"/>
      <w:bCs/>
      <w:sz w:val="24"/>
      <w:szCs w:val="24"/>
    </w:rPr>
  </w:style>
  <w:style w:type="character" w:styleId="Fett">
    <w:name w:val="Strong"/>
    <w:uiPriority w:val="22"/>
    <w:qFormat/>
    <w:rsid w:val="00E50336"/>
    <w:rPr>
      <w:b/>
      <w:bCs/>
    </w:rPr>
  </w:style>
  <w:style w:type="paragraph" w:styleId="Listenabsatz">
    <w:name w:val="List Paragraph"/>
    <w:basedOn w:val="Standard"/>
    <w:uiPriority w:val="34"/>
    <w:rsid w:val="00E50336"/>
    <w:pPr>
      <w:ind w:left="720"/>
      <w:contextualSpacing/>
    </w:pPr>
  </w:style>
  <w:style w:type="character" w:styleId="Platzhaltertext">
    <w:name w:val="Placeholder Text"/>
    <w:uiPriority w:val="99"/>
    <w:semiHidden/>
    <w:rsid w:val="00E50336"/>
    <w:rPr>
      <w:color w:val="808080"/>
    </w:rPr>
  </w:style>
  <w:style w:type="paragraph" w:customStyle="1" w:styleId="Formel">
    <w:name w:val="Formel"/>
    <w:basedOn w:val="Standard"/>
    <w:link w:val="FormelZchn"/>
    <w:autoRedefine/>
    <w:qFormat/>
    <w:rsid w:val="00E50336"/>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E50336"/>
    <w:rPr>
      <w:rFonts w:ascii="Cambria Math" w:hAnsi="Cambria Math" w:cs="Calibri"/>
      <w:bCs/>
      <w:i/>
      <w:iCs/>
      <w:sz w:val="24"/>
      <w:szCs w:val="24"/>
    </w:rPr>
  </w:style>
  <w:style w:type="paragraph" w:customStyle="1" w:styleId="Zahlenliste">
    <w:name w:val="Zahlenliste"/>
    <w:basedOn w:val="Listenabsatz"/>
    <w:link w:val="ZahlenlisteZchn"/>
    <w:autoRedefine/>
    <w:qFormat/>
    <w:rsid w:val="00E50336"/>
    <w:pPr>
      <w:numPr>
        <w:numId w:val="2"/>
      </w:numPr>
      <w:spacing w:line="360" w:lineRule="auto"/>
      <w:ind w:left="1077" w:hanging="357"/>
    </w:pPr>
  </w:style>
  <w:style w:type="character" w:customStyle="1" w:styleId="ZahlenlisteZchn">
    <w:name w:val="Zahlenliste Zchn"/>
    <w:link w:val="Zahlenliste"/>
    <w:rsid w:val="00E50336"/>
    <w:rPr>
      <w:rFonts w:eastAsia="Times New Roman" w:cs="Calibri"/>
      <w:bCs/>
      <w:sz w:val="24"/>
      <w:szCs w:val="24"/>
    </w:rPr>
  </w:style>
  <w:style w:type="paragraph" w:customStyle="1" w:styleId="Tiefgestellt">
    <w:name w:val="Tiefgestellt"/>
    <w:link w:val="TiefgestelltZchn"/>
    <w:autoRedefine/>
    <w:qFormat/>
    <w:rsid w:val="00E50336"/>
    <w:rPr>
      <w:rFonts w:eastAsia="Times New Roman"/>
      <w:sz w:val="24"/>
      <w:szCs w:val="24"/>
      <w:vertAlign w:val="subscript"/>
    </w:rPr>
  </w:style>
  <w:style w:type="character" w:customStyle="1" w:styleId="TiefgestelltZchn">
    <w:name w:val="Tiefgestellt Zchn"/>
    <w:link w:val="Tiefgestellt"/>
    <w:rsid w:val="00E50336"/>
    <w:rPr>
      <w:rFonts w:eastAsia="Times New Roman"/>
      <w:sz w:val="24"/>
      <w:szCs w:val="24"/>
      <w:vertAlign w:val="subscript"/>
    </w:rPr>
  </w:style>
  <w:style w:type="paragraph" w:customStyle="1" w:styleId="Quellenverzeichnis">
    <w:name w:val="Quellenverzeichnis"/>
    <w:link w:val="QuellenverzeichnisZchn"/>
    <w:autoRedefine/>
    <w:qFormat/>
    <w:rsid w:val="00E50336"/>
    <w:pPr>
      <w:tabs>
        <w:tab w:val="num" w:pos="720"/>
      </w:tabs>
      <w:ind w:left="720" w:hanging="360"/>
    </w:pPr>
    <w:rPr>
      <w:i/>
      <w:sz w:val="22"/>
      <w:szCs w:val="22"/>
      <w:lang w:eastAsia="en-US"/>
    </w:rPr>
  </w:style>
  <w:style w:type="character" w:customStyle="1" w:styleId="QuellenverzeichnisZchn">
    <w:name w:val="Quellenverzeichnis Zchn"/>
    <w:link w:val="Quellenverzeichnis"/>
    <w:rsid w:val="00E50336"/>
    <w:rPr>
      <w:i/>
      <w:sz w:val="22"/>
      <w:szCs w:val="22"/>
      <w:lang w:eastAsia="en-US"/>
    </w:rPr>
  </w:style>
  <w:style w:type="paragraph" w:customStyle="1" w:styleId="FormelEinzeln">
    <w:name w:val="FormelEinzeln"/>
    <w:basedOn w:val="Formel"/>
    <w:link w:val="FormelEinzelnZchn"/>
    <w:qFormat/>
    <w:rsid w:val="00E50336"/>
    <w:pPr>
      <w:ind w:left="0" w:firstLine="0"/>
    </w:pPr>
    <w:rPr>
      <w:i w:val="0"/>
      <w:sz w:val="36"/>
      <w:szCs w:val="36"/>
    </w:rPr>
  </w:style>
  <w:style w:type="character" w:customStyle="1" w:styleId="FormelEinzelnZchn">
    <w:name w:val="FormelEinzeln Zchn"/>
    <w:link w:val="FormelEinzeln"/>
    <w:rsid w:val="00E50336"/>
    <w:rPr>
      <w:rFonts w:ascii="Cambria Math" w:hAnsi="Cambria Math" w:cs="Calibri"/>
      <w:bCs/>
      <w:iCs/>
      <w:sz w:val="36"/>
      <w:szCs w:val="36"/>
    </w:rPr>
  </w:style>
  <w:style w:type="paragraph" w:customStyle="1" w:styleId="SQLTabellennamen">
    <w:name w:val="SQLTabellennamen"/>
    <w:link w:val="SQLTabellennamenZchn"/>
    <w:qFormat/>
    <w:rsid w:val="00E50336"/>
    <w:rPr>
      <w:rFonts w:ascii="Courier New" w:eastAsia="Times New Roman" w:hAnsi="Courier New"/>
      <w:b/>
      <w:sz w:val="22"/>
      <w:szCs w:val="24"/>
    </w:rPr>
  </w:style>
  <w:style w:type="character" w:customStyle="1" w:styleId="SQLTabellennamenZchn">
    <w:name w:val="SQLTabellennamen Zchn"/>
    <w:link w:val="SQLTabellennamen"/>
    <w:rsid w:val="00E50336"/>
    <w:rPr>
      <w:rFonts w:ascii="Courier New" w:eastAsia="Times New Roman" w:hAnsi="Courier New"/>
      <w:b/>
      <w:sz w:val="22"/>
      <w:szCs w:val="24"/>
    </w:rPr>
  </w:style>
  <w:style w:type="character" w:customStyle="1" w:styleId="SQLTabellen">
    <w:name w:val="SQLTabellen"/>
    <w:uiPriority w:val="1"/>
    <w:rsid w:val="00E50336"/>
    <w:rPr>
      <w:rFonts w:ascii="Courier New" w:hAnsi="Courier New"/>
      <w:b/>
      <w:sz w:val="22"/>
    </w:rPr>
  </w:style>
  <w:style w:type="character" w:customStyle="1" w:styleId="berschrift8Zchn">
    <w:name w:val="Überschrift 8 Zchn"/>
    <w:basedOn w:val="Absatz-Standardschriftart"/>
    <w:link w:val="berschrift8"/>
    <w:uiPriority w:val="9"/>
    <w:semiHidden/>
    <w:rsid w:val="00E50336"/>
    <w:rPr>
      <w:rFonts w:asciiTheme="majorHAnsi" w:eastAsiaTheme="majorEastAsia" w:hAnsiTheme="majorHAnsi" w:cstheme="majorBidi"/>
      <w:bCs/>
      <w:color w:val="272727" w:themeColor="text1" w:themeTint="D8"/>
      <w:sz w:val="21"/>
      <w:szCs w:val="21"/>
    </w:rPr>
  </w:style>
  <w:style w:type="character" w:customStyle="1" w:styleId="katex-mathml">
    <w:name w:val="katex-mathml"/>
    <w:basedOn w:val="Absatz-Standardschriftart"/>
    <w:rsid w:val="00E50336"/>
  </w:style>
  <w:style w:type="character" w:customStyle="1" w:styleId="mord">
    <w:name w:val="mord"/>
    <w:basedOn w:val="Absatz-Standardschriftart"/>
    <w:rsid w:val="00E50336"/>
  </w:style>
  <w:style w:type="character" w:customStyle="1" w:styleId="mrel">
    <w:name w:val="mrel"/>
    <w:basedOn w:val="Absatz-Standardschriftart"/>
    <w:rsid w:val="00E50336"/>
  </w:style>
  <w:style w:type="character" w:customStyle="1" w:styleId="mopen">
    <w:name w:val="mopen"/>
    <w:basedOn w:val="Absatz-Standardschriftart"/>
    <w:rsid w:val="00E50336"/>
  </w:style>
  <w:style w:type="character" w:customStyle="1" w:styleId="vlist-s">
    <w:name w:val="vlist-s"/>
    <w:basedOn w:val="Absatz-Standardschriftart"/>
    <w:rsid w:val="00E50336"/>
  </w:style>
  <w:style w:type="character" w:customStyle="1" w:styleId="mpunct">
    <w:name w:val="mpunct"/>
    <w:basedOn w:val="Absatz-Standardschriftart"/>
    <w:rsid w:val="00E50336"/>
  </w:style>
  <w:style w:type="character" w:customStyle="1" w:styleId="minner">
    <w:name w:val="minner"/>
    <w:basedOn w:val="Absatz-Standardschriftart"/>
    <w:rsid w:val="00E50336"/>
  </w:style>
  <w:style w:type="character" w:customStyle="1" w:styleId="mclose">
    <w:name w:val="mclose"/>
    <w:basedOn w:val="Absatz-Standardschriftart"/>
    <w:rsid w:val="00E50336"/>
  </w:style>
  <w:style w:type="paragraph" w:styleId="HTMLVorformatiert">
    <w:name w:val="HTML Preformatted"/>
    <w:basedOn w:val="Standard"/>
    <w:link w:val="HTMLVorformatiertZchn"/>
    <w:uiPriority w:val="99"/>
    <w:semiHidden/>
    <w:unhideWhenUsed/>
    <w:rsid w:val="00E50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E50336"/>
    <w:rPr>
      <w:rFonts w:ascii="Courier New" w:eastAsia="Times New Roman" w:hAnsi="Courier New" w:cs="Courier New"/>
      <w:bCs/>
    </w:rPr>
  </w:style>
  <w:style w:type="character" w:styleId="HTMLCode">
    <w:name w:val="HTML Code"/>
    <w:basedOn w:val="Absatz-Standardschriftart"/>
    <w:uiPriority w:val="99"/>
    <w:semiHidden/>
    <w:unhideWhenUsed/>
    <w:rsid w:val="00E50336"/>
    <w:rPr>
      <w:rFonts w:ascii="Courier New" w:eastAsia="Times New Roman" w:hAnsi="Courier New" w:cs="Courier New"/>
      <w:sz w:val="20"/>
      <w:szCs w:val="20"/>
    </w:rPr>
  </w:style>
  <w:style w:type="character" w:styleId="Hervorhebung">
    <w:name w:val="Emphasis"/>
    <w:basedOn w:val="Absatz-Standardschriftart"/>
    <w:uiPriority w:val="20"/>
    <w:qFormat/>
    <w:rsid w:val="00E50336"/>
    <w:rPr>
      <w:i/>
      <w:iCs/>
    </w:rPr>
  </w:style>
  <w:style w:type="paragraph" w:customStyle="1" w:styleId="Definition">
    <w:name w:val="Definition"/>
    <w:basedOn w:val="berschrift5"/>
    <w:link w:val="DefinitionZchn"/>
    <w:autoRedefine/>
    <w:qFormat/>
    <w:rsid w:val="00E50336"/>
    <w:rPr>
      <w:rFonts w:eastAsia="Times New Roman"/>
      <w:sz w:val="26"/>
    </w:rPr>
  </w:style>
  <w:style w:type="paragraph" w:customStyle="1" w:styleId="Satz">
    <w:name w:val="Satz"/>
    <w:basedOn w:val="berschrift5"/>
    <w:link w:val="SatzZchn"/>
    <w:autoRedefine/>
    <w:qFormat/>
    <w:rsid w:val="00E50336"/>
    <w:pPr>
      <w:spacing w:before="100" w:beforeAutospacing="1" w:after="100" w:afterAutospacing="1"/>
      <w:outlineLvl w:val="2"/>
    </w:pPr>
    <w:rPr>
      <w:sz w:val="26"/>
      <w:szCs w:val="27"/>
    </w:rPr>
  </w:style>
  <w:style w:type="character" w:customStyle="1" w:styleId="DefinitionZchn">
    <w:name w:val="Definition Zchn"/>
    <w:basedOn w:val="berschrift3Zchn"/>
    <w:link w:val="Definition"/>
    <w:rsid w:val="00E50336"/>
    <w:rPr>
      <w:rFonts w:eastAsia="Times New Roman" w:cs="Calibri"/>
      <w:b/>
      <w:bCs/>
      <w:sz w:val="26"/>
      <w:szCs w:val="24"/>
    </w:rPr>
  </w:style>
  <w:style w:type="character" w:customStyle="1" w:styleId="SatzZchn">
    <w:name w:val="Satz Zchn"/>
    <w:basedOn w:val="berschrift5Zchn"/>
    <w:link w:val="Satz"/>
    <w:rsid w:val="00E50336"/>
    <w:rPr>
      <w:rFonts w:cs="Calibri"/>
      <w:b/>
      <w:bCs/>
      <w:sz w:val="26"/>
      <w:szCs w:val="27"/>
    </w:rPr>
  </w:style>
  <w:style w:type="paragraph" w:customStyle="1" w:styleId="pdq2pgselectionanchorcontainer">
    <w:name w:val="pdq2pg_selectionanchorcontainer"/>
    <w:basedOn w:val="Standard"/>
    <w:rsid w:val="00E50336"/>
    <w:pPr>
      <w:spacing w:before="100" w:beforeAutospacing="1" w:after="100" w:afterAutospacing="1"/>
    </w:pPr>
    <w:rPr>
      <w:rFonts w:ascii="Times New Roman" w:hAnsi="Times New Roman" w:cs="Times New Roman"/>
      <w:bCs w:val="0"/>
    </w:rPr>
  </w:style>
  <w:style w:type="character" w:customStyle="1" w:styleId="mop">
    <w:name w:val="mop"/>
    <w:basedOn w:val="Absatz-Standardschriftart"/>
    <w:rsid w:val="00E50336"/>
  </w:style>
  <w:style w:type="character" w:customStyle="1" w:styleId="mbin">
    <w:name w:val="mbin"/>
    <w:basedOn w:val="Absatz-Standardschriftart"/>
    <w:rsid w:val="00E50336"/>
  </w:style>
  <w:style w:type="paragraph" w:customStyle="1" w:styleId="berbegriff">
    <w:name w:val="Überbegriff"/>
    <w:basedOn w:val="berschrift8"/>
    <w:link w:val="berbegriffZchn"/>
    <w:autoRedefine/>
    <w:qFormat/>
    <w:rsid w:val="00E50336"/>
    <w:pPr>
      <w:spacing w:before="100" w:beforeAutospacing="1" w:after="100" w:afterAutospacing="1"/>
      <w:outlineLvl w:val="1"/>
    </w:pPr>
    <w:rPr>
      <w:b/>
      <w:sz w:val="28"/>
    </w:rPr>
  </w:style>
  <w:style w:type="character" w:customStyle="1" w:styleId="berbegriffZchn">
    <w:name w:val="Überbegriff Zchn"/>
    <w:basedOn w:val="Absatz-Standardschriftart"/>
    <w:link w:val="berbegriff"/>
    <w:rsid w:val="00E50336"/>
    <w:rPr>
      <w:rFonts w:asciiTheme="majorHAnsi" w:eastAsiaTheme="majorEastAsia" w:hAnsiTheme="majorHAnsi" w:cstheme="majorBidi"/>
      <w:b/>
      <w:bCs/>
      <w:color w:val="272727" w:themeColor="text1" w:themeTint="D8"/>
      <w:sz w:val="28"/>
      <w:szCs w:val="21"/>
    </w:rPr>
  </w:style>
  <w:style w:type="paragraph" w:styleId="Kopfzeile">
    <w:name w:val="header"/>
    <w:basedOn w:val="Standard"/>
    <w:link w:val="KopfzeileZchn"/>
    <w:uiPriority w:val="99"/>
    <w:unhideWhenUsed/>
    <w:rsid w:val="00E50336"/>
    <w:pPr>
      <w:tabs>
        <w:tab w:val="center" w:pos="4536"/>
        <w:tab w:val="right" w:pos="9072"/>
      </w:tabs>
      <w:spacing w:after="0"/>
    </w:pPr>
  </w:style>
  <w:style w:type="character" w:customStyle="1" w:styleId="KopfzeileZchn">
    <w:name w:val="Kopfzeile Zchn"/>
    <w:basedOn w:val="Absatz-Standardschriftart"/>
    <w:link w:val="Kopfzeile"/>
    <w:uiPriority w:val="99"/>
    <w:rsid w:val="00E50336"/>
    <w:rPr>
      <w:rFonts w:eastAsia="Times New Roman" w:cs="Calibri"/>
      <w:bCs/>
      <w:sz w:val="24"/>
      <w:szCs w:val="24"/>
    </w:rPr>
  </w:style>
  <w:style w:type="paragraph" w:styleId="Fuzeile">
    <w:name w:val="footer"/>
    <w:basedOn w:val="Standard"/>
    <w:link w:val="FuzeileZchn"/>
    <w:uiPriority w:val="99"/>
    <w:unhideWhenUsed/>
    <w:rsid w:val="00E50336"/>
    <w:pPr>
      <w:tabs>
        <w:tab w:val="center" w:pos="4536"/>
        <w:tab w:val="right" w:pos="9072"/>
      </w:tabs>
      <w:spacing w:after="0"/>
    </w:pPr>
  </w:style>
  <w:style w:type="character" w:customStyle="1" w:styleId="FuzeileZchn">
    <w:name w:val="Fußzeile Zchn"/>
    <w:basedOn w:val="Absatz-Standardschriftart"/>
    <w:link w:val="Fuzeile"/>
    <w:uiPriority w:val="99"/>
    <w:rsid w:val="00E50336"/>
    <w:rPr>
      <w:rFonts w:eastAsia="Times New Roman" w:cs="Calibri"/>
      <w:bCs/>
      <w:sz w:val="24"/>
      <w:szCs w:val="24"/>
    </w:rPr>
  </w:style>
  <w:style w:type="paragraph" w:customStyle="1" w:styleId="Eigenleistung">
    <w:name w:val="Eigenleistung"/>
    <w:basedOn w:val="berschrift5"/>
    <w:link w:val="EigenleistungZchn"/>
    <w:qFormat/>
    <w:rsid w:val="004172F0"/>
  </w:style>
  <w:style w:type="character" w:customStyle="1" w:styleId="EigenleistungZchn">
    <w:name w:val="Eigenleistung Zchn"/>
    <w:basedOn w:val="berschrift5Zchn"/>
    <w:link w:val="Eigenleistung"/>
    <w:rsid w:val="004172F0"/>
    <w:rPr>
      <w:rFonts w:cs="Calibri"/>
      <w:b/>
      <w:bCs/>
      <w:sz w:val="22"/>
      <w:szCs w:val="24"/>
    </w:rPr>
  </w:style>
  <w:style w:type="paragraph" w:customStyle="1" w:styleId="msonormal0">
    <w:name w:val="msonormal"/>
    <w:basedOn w:val="Standard"/>
    <w:rsid w:val="00105178"/>
    <w:pPr>
      <w:spacing w:before="100" w:beforeAutospacing="1" w:after="100" w:afterAutospacing="1"/>
    </w:pPr>
    <w:rPr>
      <w:rFonts w:ascii="Times New Roman" w:hAnsi="Times New Roman" w:cs="Times New Roman"/>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254708">
      <w:bodyDiv w:val="1"/>
      <w:marLeft w:val="0"/>
      <w:marRight w:val="0"/>
      <w:marTop w:val="0"/>
      <w:marBottom w:val="0"/>
      <w:divBdr>
        <w:top w:val="none" w:sz="0" w:space="0" w:color="auto"/>
        <w:left w:val="none" w:sz="0" w:space="0" w:color="auto"/>
        <w:bottom w:val="none" w:sz="0" w:space="0" w:color="auto"/>
        <w:right w:val="none" w:sz="0" w:space="0" w:color="auto"/>
      </w:divBdr>
    </w:div>
    <w:div w:id="58525906">
      <w:bodyDiv w:val="1"/>
      <w:marLeft w:val="0"/>
      <w:marRight w:val="0"/>
      <w:marTop w:val="0"/>
      <w:marBottom w:val="0"/>
      <w:divBdr>
        <w:top w:val="none" w:sz="0" w:space="0" w:color="auto"/>
        <w:left w:val="none" w:sz="0" w:space="0" w:color="auto"/>
        <w:bottom w:val="none" w:sz="0" w:space="0" w:color="auto"/>
        <w:right w:val="none" w:sz="0" w:space="0" w:color="auto"/>
      </w:divBdr>
    </w:div>
    <w:div w:id="71708942">
      <w:bodyDiv w:val="1"/>
      <w:marLeft w:val="0"/>
      <w:marRight w:val="0"/>
      <w:marTop w:val="0"/>
      <w:marBottom w:val="0"/>
      <w:divBdr>
        <w:top w:val="none" w:sz="0" w:space="0" w:color="auto"/>
        <w:left w:val="none" w:sz="0" w:space="0" w:color="auto"/>
        <w:bottom w:val="none" w:sz="0" w:space="0" w:color="auto"/>
        <w:right w:val="none" w:sz="0" w:space="0" w:color="auto"/>
      </w:divBdr>
    </w:div>
    <w:div w:id="77559684">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97454561">
      <w:bodyDiv w:val="1"/>
      <w:marLeft w:val="0"/>
      <w:marRight w:val="0"/>
      <w:marTop w:val="0"/>
      <w:marBottom w:val="0"/>
      <w:divBdr>
        <w:top w:val="none" w:sz="0" w:space="0" w:color="auto"/>
        <w:left w:val="none" w:sz="0" w:space="0" w:color="auto"/>
        <w:bottom w:val="none" w:sz="0" w:space="0" w:color="auto"/>
        <w:right w:val="none" w:sz="0" w:space="0" w:color="auto"/>
      </w:divBdr>
    </w:div>
    <w:div w:id="112526805">
      <w:bodyDiv w:val="1"/>
      <w:marLeft w:val="0"/>
      <w:marRight w:val="0"/>
      <w:marTop w:val="0"/>
      <w:marBottom w:val="0"/>
      <w:divBdr>
        <w:top w:val="none" w:sz="0" w:space="0" w:color="auto"/>
        <w:left w:val="none" w:sz="0" w:space="0" w:color="auto"/>
        <w:bottom w:val="none" w:sz="0" w:space="0" w:color="auto"/>
        <w:right w:val="none" w:sz="0" w:space="0" w:color="auto"/>
      </w:divBdr>
    </w:div>
    <w:div w:id="113795339">
      <w:bodyDiv w:val="1"/>
      <w:marLeft w:val="0"/>
      <w:marRight w:val="0"/>
      <w:marTop w:val="0"/>
      <w:marBottom w:val="0"/>
      <w:divBdr>
        <w:top w:val="none" w:sz="0" w:space="0" w:color="auto"/>
        <w:left w:val="none" w:sz="0" w:space="0" w:color="auto"/>
        <w:bottom w:val="none" w:sz="0" w:space="0" w:color="auto"/>
        <w:right w:val="none" w:sz="0" w:space="0" w:color="auto"/>
      </w:divBdr>
      <w:divsChild>
        <w:div w:id="118786547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6504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704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3380">
      <w:bodyDiv w:val="1"/>
      <w:marLeft w:val="0"/>
      <w:marRight w:val="0"/>
      <w:marTop w:val="0"/>
      <w:marBottom w:val="0"/>
      <w:divBdr>
        <w:top w:val="none" w:sz="0" w:space="0" w:color="auto"/>
        <w:left w:val="none" w:sz="0" w:space="0" w:color="auto"/>
        <w:bottom w:val="none" w:sz="0" w:space="0" w:color="auto"/>
        <w:right w:val="none" w:sz="0" w:space="0" w:color="auto"/>
      </w:divBdr>
    </w:div>
    <w:div w:id="121267736">
      <w:bodyDiv w:val="1"/>
      <w:marLeft w:val="0"/>
      <w:marRight w:val="0"/>
      <w:marTop w:val="0"/>
      <w:marBottom w:val="0"/>
      <w:divBdr>
        <w:top w:val="none" w:sz="0" w:space="0" w:color="auto"/>
        <w:left w:val="none" w:sz="0" w:space="0" w:color="auto"/>
        <w:bottom w:val="none" w:sz="0" w:space="0" w:color="auto"/>
        <w:right w:val="none" w:sz="0" w:space="0" w:color="auto"/>
      </w:divBdr>
      <w:divsChild>
        <w:div w:id="1036928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093560">
          <w:blockQuote w:val="1"/>
          <w:marLeft w:val="720"/>
          <w:marRight w:val="720"/>
          <w:marTop w:val="100"/>
          <w:marBottom w:val="100"/>
          <w:divBdr>
            <w:top w:val="none" w:sz="0" w:space="0" w:color="auto"/>
            <w:left w:val="none" w:sz="0" w:space="0" w:color="auto"/>
            <w:bottom w:val="none" w:sz="0" w:space="0" w:color="auto"/>
            <w:right w:val="none" w:sz="0" w:space="0" w:color="auto"/>
          </w:divBdr>
        </w:div>
        <w:div w:id="3963942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44477">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46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12778">
      <w:bodyDiv w:val="1"/>
      <w:marLeft w:val="0"/>
      <w:marRight w:val="0"/>
      <w:marTop w:val="0"/>
      <w:marBottom w:val="0"/>
      <w:divBdr>
        <w:top w:val="none" w:sz="0" w:space="0" w:color="auto"/>
        <w:left w:val="none" w:sz="0" w:space="0" w:color="auto"/>
        <w:bottom w:val="none" w:sz="0" w:space="0" w:color="auto"/>
        <w:right w:val="none" w:sz="0" w:space="0" w:color="auto"/>
      </w:divBdr>
    </w:div>
    <w:div w:id="125205078">
      <w:bodyDiv w:val="1"/>
      <w:marLeft w:val="0"/>
      <w:marRight w:val="0"/>
      <w:marTop w:val="0"/>
      <w:marBottom w:val="0"/>
      <w:divBdr>
        <w:top w:val="none" w:sz="0" w:space="0" w:color="auto"/>
        <w:left w:val="none" w:sz="0" w:space="0" w:color="auto"/>
        <w:bottom w:val="none" w:sz="0" w:space="0" w:color="auto"/>
        <w:right w:val="none" w:sz="0" w:space="0" w:color="auto"/>
      </w:divBdr>
      <w:divsChild>
        <w:div w:id="1210536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11170">
      <w:bodyDiv w:val="1"/>
      <w:marLeft w:val="0"/>
      <w:marRight w:val="0"/>
      <w:marTop w:val="0"/>
      <w:marBottom w:val="0"/>
      <w:divBdr>
        <w:top w:val="none" w:sz="0" w:space="0" w:color="auto"/>
        <w:left w:val="none" w:sz="0" w:space="0" w:color="auto"/>
        <w:bottom w:val="none" w:sz="0" w:space="0" w:color="auto"/>
        <w:right w:val="none" w:sz="0" w:space="0" w:color="auto"/>
      </w:divBdr>
    </w:div>
    <w:div w:id="203099706">
      <w:bodyDiv w:val="1"/>
      <w:marLeft w:val="0"/>
      <w:marRight w:val="0"/>
      <w:marTop w:val="0"/>
      <w:marBottom w:val="0"/>
      <w:divBdr>
        <w:top w:val="none" w:sz="0" w:space="0" w:color="auto"/>
        <w:left w:val="none" w:sz="0" w:space="0" w:color="auto"/>
        <w:bottom w:val="none" w:sz="0" w:space="0" w:color="auto"/>
        <w:right w:val="none" w:sz="0" w:space="0" w:color="auto"/>
      </w:divBdr>
    </w:div>
    <w:div w:id="235675802">
      <w:bodyDiv w:val="1"/>
      <w:marLeft w:val="0"/>
      <w:marRight w:val="0"/>
      <w:marTop w:val="0"/>
      <w:marBottom w:val="0"/>
      <w:divBdr>
        <w:top w:val="none" w:sz="0" w:space="0" w:color="auto"/>
        <w:left w:val="none" w:sz="0" w:space="0" w:color="auto"/>
        <w:bottom w:val="none" w:sz="0" w:space="0" w:color="auto"/>
        <w:right w:val="none" w:sz="0" w:space="0" w:color="auto"/>
      </w:divBdr>
    </w:div>
    <w:div w:id="237055593">
      <w:bodyDiv w:val="1"/>
      <w:marLeft w:val="0"/>
      <w:marRight w:val="0"/>
      <w:marTop w:val="0"/>
      <w:marBottom w:val="0"/>
      <w:divBdr>
        <w:top w:val="none" w:sz="0" w:space="0" w:color="auto"/>
        <w:left w:val="none" w:sz="0" w:space="0" w:color="auto"/>
        <w:bottom w:val="none" w:sz="0" w:space="0" w:color="auto"/>
        <w:right w:val="none" w:sz="0" w:space="0" w:color="auto"/>
      </w:divBdr>
    </w:div>
    <w:div w:id="263457999">
      <w:bodyDiv w:val="1"/>
      <w:marLeft w:val="0"/>
      <w:marRight w:val="0"/>
      <w:marTop w:val="0"/>
      <w:marBottom w:val="0"/>
      <w:divBdr>
        <w:top w:val="none" w:sz="0" w:space="0" w:color="auto"/>
        <w:left w:val="none" w:sz="0" w:space="0" w:color="auto"/>
        <w:bottom w:val="none" w:sz="0" w:space="0" w:color="auto"/>
        <w:right w:val="none" w:sz="0" w:space="0" w:color="auto"/>
      </w:divBdr>
    </w:div>
    <w:div w:id="267003120">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1208723">
      <w:bodyDiv w:val="1"/>
      <w:marLeft w:val="0"/>
      <w:marRight w:val="0"/>
      <w:marTop w:val="0"/>
      <w:marBottom w:val="0"/>
      <w:divBdr>
        <w:top w:val="none" w:sz="0" w:space="0" w:color="auto"/>
        <w:left w:val="none" w:sz="0" w:space="0" w:color="auto"/>
        <w:bottom w:val="none" w:sz="0" w:space="0" w:color="auto"/>
        <w:right w:val="none" w:sz="0" w:space="0" w:color="auto"/>
      </w:divBdr>
    </w:div>
    <w:div w:id="338703805">
      <w:bodyDiv w:val="1"/>
      <w:marLeft w:val="0"/>
      <w:marRight w:val="0"/>
      <w:marTop w:val="0"/>
      <w:marBottom w:val="0"/>
      <w:divBdr>
        <w:top w:val="none" w:sz="0" w:space="0" w:color="auto"/>
        <w:left w:val="none" w:sz="0" w:space="0" w:color="auto"/>
        <w:bottom w:val="none" w:sz="0" w:space="0" w:color="auto"/>
        <w:right w:val="none" w:sz="0" w:space="0" w:color="auto"/>
      </w:divBdr>
    </w:div>
    <w:div w:id="357900598">
      <w:bodyDiv w:val="1"/>
      <w:marLeft w:val="0"/>
      <w:marRight w:val="0"/>
      <w:marTop w:val="0"/>
      <w:marBottom w:val="0"/>
      <w:divBdr>
        <w:top w:val="none" w:sz="0" w:space="0" w:color="auto"/>
        <w:left w:val="none" w:sz="0" w:space="0" w:color="auto"/>
        <w:bottom w:val="none" w:sz="0" w:space="0" w:color="auto"/>
        <w:right w:val="none" w:sz="0" w:space="0" w:color="auto"/>
      </w:divBdr>
    </w:div>
    <w:div w:id="364258176">
      <w:bodyDiv w:val="1"/>
      <w:marLeft w:val="0"/>
      <w:marRight w:val="0"/>
      <w:marTop w:val="0"/>
      <w:marBottom w:val="0"/>
      <w:divBdr>
        <w:top w:val="none" w:sz="0" w:space="0" w:color="auto"/>
        <w:left w:val="none" w:sz="0" w:space="0" w:color="auto"/>
        <w:bottom w:val="none" w:sz="0" w:space="0" w:color="auto"/>
        <w:right w:val="none" w:sz="0" w:space="0" w:color="auto"/>
      </w:divBdr>
    </w:div>
    <w:div w:id="397169471">
      <w:bodyDiv w:val="1"/>
      <w:marLeft w:val="0"/>
      <w:marRight w:val="0"/>
      <w:marTop w:val="0"/>
      <w:marBottom w:val="0"/>
      <w:divBdr>
        <w:top w:val="none" w:sz="0" w:space="0" w:color="auto"/>
        <w:left w:val="none" w:sz="0" w:space="0" w:color="auto"/>
        <w:bottom w:val="none" w:sz="0" w:space="0" w:color="auto"/>
        <w:right w:val="none" w:sz="0" w:space="0" w:color="auto"/>
      </w:divBdr>
    </w:div>
    <w:div w:id="414592672">
      <w:bodyDiv w:val="1"/>
      <w:marLeft w:val="0"/>
      <w:marRight w:val="0"/>
      <w:marTop w:val="0"/>
      <w:marBottom w:val="0"/>
      <w:divBdr>
        <w:top w:val="none" w:sz="0" w:space="0" w:color="auto"/>
        <w:left w:val="none" w:sz="0" w:space="0" w:color="auto"/>
        <w:bottom w:val="none" w:sz="0" w:space="0" w:color="auto"/>
        <w:right w:val="none" w:sz="0" w:space="0" w:color="auto"/>
      </w:divBdr>
    </w:div>
    <w:div w:id="442893176">
      <w:bodyDiv w:val="1"/>
      <w:marLeft w:val="0"/>
      <w:marRight w:val="0"/>
      <w:marTop w:val="0"/>
      <w:marBottom w:val="0"/>
      <w:divBdr>
        <w:top w:val="none" w:sz="0" w:space="0" w:color="auto"/>
        <w:left w:val="none" w:sz="0" w:space="0" w:color="auto"/>
        <w:bottom w:val="none" w:sz="0" w:space="0" w:color="auto"/>
        <w:right w:val="none" w:sz="0" w:space="0" w:color="auto"/>
      </w:divBdr>
    </w:div>
    <w:div w:id="455488178">
      <w:bodyDiv w:val="1"/>
      <w:marLeft w:val="0"/>
      <w:marRight w:val="0"/>
      <w:marTop w:val="0"/>
      <w:marBottom w:val="0"/>
      <w:divBdr>
        <w:top w:val="none" w:sz="0" w:space="0" w:color="auto"/>
        <w:left w:val="none" w:sz="0" w:space="0" w:color="auto"/>
        <w:bottom w:val="none" w:sz="0" w:space="0" w:color="auto"/>
        <w:right w:val="none" w:sz="0" w:space="0" w:color="auto"/>
      </w:divBdr>
    </w:div>
    <w:div w:id="471825858">
      <w:bodyDiv w:val="1"/>
      <w:marLeft w:val="0"/>
      <w:marRight w:val="0"/>
      <w:marTop w:val="0"/>
      <w:marBottom w:val="0"/>
      <w:divBdr>
        <w:top w:val="none" w:sz="0" w:space="0" w:color="auto"/>
        <w:left w:val="none" w:sz="0" w:space="0" w:color="auto"/>
        <w:bottom w:val="none" w:sz="0" w:space="0" w:color="auto"/>
        <w:right w:val="none" w:sz="0" w:space="0" w:color="auto"/>
      </w:divBdr>
    </w:div>
    <w:div w:id="475221054">
      <w:bodyDiv w:val="1"/>
      <w:marLeft w:val="0"/>
      <w:marRight w:val="0"/>
      <w:marTop w:val="0"/>
      <w:marBottom w:val="0"/>
      <w:divBdr>
        <w:top w:val="none" w:sz="0" w:space="0" w:color="auto"/>
        <w:left w:val="none" w:sz="0" w:space="0" w:color="auto"/>
        <w:bottom w:val="none" w:sz="0" w:space="0" w:color="auto"/>
        <w:right w:val="none" w:sz="0" w:space="0" w:color="auto"/>
      </w:divBdr>
    </w:div>
    <w:div w:id="475495766">
      <w:bodyDiv w:val="1"/>
      <w:marLeft w:val="0"/>
      <w:marRight w:val="0"/>
      <w:marTop w:val="0"/>
      <w:marBottom w:val="0"/>
      <w:divBdr>
        <w:top w:val="none" w:sz="0" w:space="0" w:color="auto"/>
        <w:left w:val="none" w:sz="0" w:space="0" w:color="auto"/>
        <w:bottom w:val="none" w:sz="0" w:space="0" w:color="auto"/>
        <w:right w:val="none" w:sz="0" w:space="0" w:color="auto"/>
      </w:divBdr>
    </w:div>
    <w:div w:id="510222100">
      <w:bodyDiv w:val="1"/>
      <w:marLeft w:val="0"/>
      <w:marRight w:val="0"/>
      <w:marTop w:val="0"/>
      <w:marBottom w:val="0"/>
      <w:divBdr>
        <w:top w:val="none" w:sz="0" w:space="0" w:color="auto"/>
        <w:left w:val="none" w:sz="0" w:space="0" w:color="auto"/>
        <w:bottom w:val="none" w:sz="0" w:space="0" w:color="auto"/>
        <w:right w:val="none" w:sz="0" w:space="0" w:color="auto"/>
      </w:divBdr>
    </w:div>
    <w:div w:id="517626527">
      <w:bodyDiv w:val="1"/>
      <w:marLeft w:val="0"/>
      <w:marRight w:val="0"/>
      <w:marTop w:val="0"/>
      <w:marBottom w:val="0"/>
      <w:divBdr>
        <w:top w:val="none" w:sz="0" w:space="0" w:color="auto"/>
        <w:left w:val="none" w:sz="0" w:space="0" w:color="auto"/>
        <w:bottom w:val="none" w:sz="0" w:space="0" w:color="auto"/>
        <w:right w:val="none" w:sz="0" w:space="0" w:color="auto"/>
      </w:divBdr>
    </w:div>
    <w:div w:id="554124579">
      <w:bodyDiv w:val="1"/>
      <w:marLeft w:val="0"/>
      <w:marRight w:val="0"/>
      <w:marTop w:val="0"/>
      <w:marBottom w:val="0"/>
      <w:divBdr>
        <w:top w:val="none" w:sz="0" w:space="0" w:color="auto"/>
        <w:left w:val="none" w:sz="0" w:space="0" w:color="auto"/>
        <w:bottom w:val="none" w:sz="0" w:space="0" w:color="auto"/>
        <w:right w:val="none" w:sz="0" w:space="0" w:color="auto"/>
      </w:divBdr>
    </w:div>
    <w:div w:id="562327015">
      <w:bodyDiv w:val="1"/>
      <w:marLeft w:val="0"/>
      <w:marRight w:val="0"/>
      <w:marTop w:val="0"/>
      <w:marBottom w:val="0"/>
      <w:divBdr>
        <w:top w:val="none" w:sz="0" w:space="0" w:color="auto"/>
        <w:left w:val="none" w:sz="0" w:space="0" w:color="auto"/>
        <w:bottom w:val="none" w:sz="0" w:space="0" w:color="auto"/>
        <w:right w:val="none" w:sz="0" w:space="0" w:color="auto"/>
      </w:divBdr>
    </w:div>
    <w:div w:id="577790766">
      <w:bodyDiv w:val="1"/>
      <w:marLeft w:val="0"/>
      <w:marRight w:val="0"/>
      <w:marTop w:val="0"/>
      <w:marBottom w:val="0"/>
      <w:divBdr>
        <w:top w:val="none" w:sz="0" w:space="0" w:color="auto"/>
        <w:left w:val="none" w:sz="0" w:space="0" w:color="auto"/>
        <w:bottom w:val="none" w:sz="0" w:space="0" w:color="auto"/>
        <w:right w:val="none" w:sz="0" w:space="0" w:color="auto"/>
      </w:divBdr>
    </w:div>
    <w:div w:id="580407674">
      <w:bodyDiv w:val="1"/>
      <w:marLeft w:val="0"/>
      <w:marRight w:val="0"/>
      <w:marTop w:val="0"/>
      <w:marBottom w:val="0"/>
      <w:divBdr>
        <w:top w:val="none" w:sz="0" w:space="0" w:color="auto"/>
        <w:left w:val="none" w:sz="0" w:space="0" w:color="auto"/>
        <w:bottom w:val="none" w:sz="0" w:space="0" w:color="auto"/>
        <w:right w:val="none" w:sz="0" w:space="0" w:color="auto"/>
      </w:divBdr>
    </w:div>
    <w:div w:id="588465354">
      <w:bodyDiv w:val="1"/>
      <w:marLeft w:val="0"/>
      <w:marRight w:val="0"/>
      <w:marTop w:val="0"/>
      <w:marBottom w:val="0"/>
      <w:divBdr>
        <w:top w:val="none" w:sz="0" w:space="0" w:color="auto"/>
        <w:left w:val="none" w:sz="0" w:space="0" w:color="auto"/>
        <w:bottom w:val="none" w:sz="0" w:space="0" w:color="auto"/>
        <w:right w:val="none" w:sz="0" w:space="0" w:color="auto"/>
      </w:divBdr>
    </w:div>
    <w:div w:id="595138542">
      <w:bodyDiv w:val="1"/>
      <w:marLeft w:val="0"/>
      <w:marRight w:val="0"/>
      <w:marTop w:val="0"/>
      <w:marBottom w:val="0"/>
      <w:divBdr>
        <w:top w:val="none" w:sz="0" w:space="0" w:color="auto"/>
        <w:left w:val="none" w:sz="0" w:space="0" w:color="auto"/>
        <w:bottom w:val="none" w:sz="0" w:space="0" w:color="auto"/>
        <w:right w:val="none" w:sz="0" w:space="0" w:color="auto"/>
      </w:divBdr>
    </w:div>
    <w:div w:id="598947746">
      <w:bodyDiv w:val="1"/>
      <w:marLeft w:val="0"/>
      <w:marRight w:val="0"/>
      <w:marTop w:val="0"/>
      <w:marBottom w:val="0"/>
      <w:divBdr>
        <w:top w:val="none" w:sz="0" w:space="0" w:color="auto"/>
        <w:left w:val="none" w:sz="0" w:space="0" w:color="auto"/>
        <w:bottom w:val="none" w:sz="0" w:space="0" w:color="auto"/>
        <w:right w:val="none" w:sz="0" w:space="0" w:color="auto"/>
      </w:divBdr>
    </w:div>
    <w:div w:id="614218615">
      <w:bodyDiv w:val="1"/>
      <w:marLeft w:val="0"/>
      <w:marRight w:val="0"/>
      <w:marTop w:val="0"/>
      <w:marBottom w:val="0"/>
      <w:divBdr>
        <w:top w:val="none" w:sz="0" w:space="0" w:color="auto"/>
        <w:left w:val="none" w:sz="0" w:space="0" w:color="auto"/>
        <w:bottom w:val="none" w:sz="0" w:space="0" w:color="auto"/>
        <w:right w:val="none" w:sz="0" w:space="0" w:color="auto"/>
      </w:divBdr>
    </w:div>
    <w:div w:id="645596745">
      <w:bodyDiv w:val="1"/>
      <w:marLeft w:val="0"/>
      <w:marRight w:val="0"/>
      <w:marTop w:val="0"/>
      <w:marBottom w:val="0"/>
      <w:divBdr>
        <w:top w:val="none" w:sz="0" w:space="0" w:color="auto"/>
        <w:left w:val="none" w:sz="0" w:space="0" w:color="auto"/>
        <w:bottom w:val="none" w:sz="0" w:space="0" w:color="auto"/>
        <w:right w:val="none" w:sz="0" w:space="0" w:color="auto"/>
      </w:divBdr>
    </w:div>
    <w:div w:id="647516092">
      <w:bodyDiv w:val="1"/>
      <w:marLeft w:val="0"/>
      <w:marRight w:val="0"/>
      <w:marTop w:val="0"/>
      <w:marBottom w:val="0"/>
      <w:divBdr>
        <w:top w:val="none" w:sz="0" w:space="0" w:color="auto"/>
        <w:left w:val="none" w:sz="0" w:space="0" w:color="auto"/>
        <w:bottom w:val="none" w:sz="0" w:space="0" w:color="auto"/>
        <w:right w:val="none" w:sz="0" w:space="0" w:color="auto"/>
      </w:divBdr>
    </w:div>
    <w:div w:id="662856469">
      <w:bodyDiv w:val="1"/>
      <w:marLeft w:val="0"/>
      <w:marRight w:val="0"/>
      <w:marTop w:val="0"/>
      <w:marBottom w:val="0"/>
      <w:divBdr>
        <w:top w:val="none" w:sz="0" w:space="0" w:color="auto"/>
        <w:left w:val="none" w:sz="0" w:space="0" w:color="auto"/>
        <w:bottom w:val="none" w:sz="0" w:space="0" w:color="auto"/>
        <w:right w:val="none" w:sz="0" w:space="0" w:color="auto"/>
      </w:divBdr>
    </w:div>
    <w:div w:id="664283758">
      <w:bodyDiv w:val="1"/>
      <w:marLeft w:val="0"/>
      <w:marRight w:val="0"/>
      <w:marTop w:val="0"/>
      <w:marBottom w:val="0"/>
      <w:divBdr>
        <w:top w:val="none" w:sz="0" w:space="0" w:color="auto"/>
        <w:left w:val="none" w:sz="0" w:space="0" w:color="auto"/>
        <w:bottom w:val="none" w:sz="0" w:space="0" w:color="auto"/>
        <w:right w:val="none" w:sz="0" w:space="0" w:color="auto"/>
      </w:divBdr>
    </w:div>
    <w:div w:id="676618168">
      <w:bodyDiv w:val="1"/>
      <w:marLeft w:val="0"/>
      <w:marRight w:val="0"/>
      <w:marTop w:val="0"/>
      <w:marBottom w:val="0"/>
      <w:divBdr>
        <w:top w:val="none" w:sz="0" w:space="0" w:color="auto"/>
        <w:left w:val="none" w:sz="0" w:space="0" w:color="auto"/>
        <w:bottom w:val="none" w:sz="0" w:space="0" w:color="auto"/>
        <w:right w:val="none" w:sz="0" w:space="0" w:color="auto"/>
      </w:divBdr>
      <w:divsChild>
        <w:div w:id="1949922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906530">
      <w:bodyDiv w:val="1"/>
      <w:marLeft w:val="0"/>
      <w:marRight w:val="0"/>
      <w:marTop w:val="0"/>
      <w:marBottom w:val="0"/>
      <w:divBdr>
        <w:top w:val="none" w:sz="0" w:space="0" w:color="auto"/>
        <w:left w:val="none" w:sz="0" w:space="0" w:color="auto"/>
        <w:bottom w:val="none" w:sz="0" w:space="0" w:color="auto"/>
        <w:right w:val="none" w:sz="0" w:space="0" w:color="auto"/>
      </w:divBdr>
    </w:div>
    <w:div w:id="703216264">
      <w:bodyDiv w:val="1"/>
      <w:marLeft w:val="0"/>
      <w:marRight w:val="0"/>
      <w:marTop w:val="0"/>
      <w:marBottom w:val="0"/>
      <w:divBdr>
        <w:top w:val="none" w:sz="0" w:space="0" w:color="auto"/>
        <w:left w:val="none" w:sz="0" w:space="0" w:color="auto"/>
        <w:bottom w:val="none" w:sz="0" w:space="0" w:color="auto"/>
        <w:right w:val="none" w:sz="0" w:space="0" w:color="auto"/>
      </w:divBdr>
    </w:div>
    <w:div w:id="707343005">
      <w:bodyDiv w:val="1"/>
      <w:marLeft w:val="0"/>
      <w:marRight w:val="0"/>
      <w:marTop w:val="0"/>
      <w:marBottom w:val="0"/>
      <w:divBdr>
        <w:top w:val="none" w:sz="0" w:space="0" w:color="auto"/>
        <w:left w:val="none" w:sz="0" w:space="0" w:color="auto"/>
        <w:bottom w:val="none" w:sz="0" w:space="0" w:color="auto"/>
        <w:right w:val="none" w:sz="0" w:space="0" w:color="auto"/>
      </w:divBdr>
    </w:div>
    <w:div w:id="743602065">
      <w:bodyDiv w:val="1"/>
      <w:marLeft w:val="0"/>
      <w:marRight w:val="0"/>
      <w:marTop w:val="0"/>
      <w:marBottom w:val="0"/>
      <w:divBdr>
        <w:top w:val="none" w:sz="0" w:space="0" w:color="auto"/>
        <w:left w:val="none" w:sz="0" w:space="0" w:color="auto"/>
        <w:bottom w:val="none" w:sz="0" w:space="0" w:color="auto"/>
        <w:right w:val="none" w:sz="0" w:space="0" w:color="auto"/>
      </w:divBdr>
    </w:div>
    <w:div w:id="770469525">
      <w:bodyDiv w:val="1"/>
      <w:marLeft w:val="0"/>
      <w:marRight w:val="0"/>
      <w:marTop w:val="0"/>
      <w:marBottom w:val="0"/>
      <w:divBdr>
        <w:top w:val="none" w:sz="0" w:space="0" w:color="auto"/>
        <w:left w:val="none" w:sz="0" w:space="0" w:color="auto"/>
        <w:bottom w:val="none" w:sz="0" w:space="0" w:color="auto"/>
        <w:right w:val="none" w:sz="0" w:space="0" w:color="auto"/>
      </w:divBdr>
    </w:div>
    <w:div w:id="772938879">
      <w:bodyDiv w:val="1"/>
      <w:marLeft w:val="0"/>
      <w:marRight w:val="0"/>
      <w:marTop w:val="0"/>
      <w:marBottom w:val="0"/>
      <w:divBdr>
        <w:top w:val="none" w:sz="0" w:space="0" w:color="auto"/>
        <w:left w:val="none" w:sz="0" w:space="0" w:color="auto"/>
        <w:bottom w:val="none" w:sz="0" w:space="0" w:color="auto"/>
        <w:right w:val="none" w:sz="0" w:space="0" w:color="auto"/>
      </w:divBdr>
      <w:divsChild>
        <w:div w:id="2137990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430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22686863">
      <w:bodyDiv w:val="1"/>
      <w:marLeft w:val="0"/>
      <w:marRight w:val="0"/>
      <w:marTop w:val="0"/>
      <w:marBottom w:val="0"/>
      <w:divBdr>
        <w:top w:val="none" w:sz="0" w:space="0" w:color="auto"/>
        <w:left w:val="none" w:sz="0" w:space="0" w:color="auto"/>
        <w:bottom w:val="none" w:sz="0" w:space="0" w:color="auto"/>
        <w:right w:val="none" w:sz="0" w:space="0" w:color="auto"/>
      </w:divBdr>
    </w:div>
    <w:div w:id="934169568">
      <w:bodyDiv w:val="1"/>
      <w:marLeft w:val="0"/>
      <w:marRight w:val="0"/>
      <w:marTop w:val="0"/>
      <w:marBottom w:val="0"/>
      <w:divBdr>
        <w:top w:val="none" w:sz="0" w:space="0" w:color="auto"/>
        <w:left w:val="none" w:sz="0" w:space="0" w:color="auto"/>
        <w:bottom w:val="none" w:sz="0" w:space="0" w:color="auto"/>
        <w:right w:val="none" w:sz="0" w:space="0" w:color="auto"/>
      </w:divBdr>
    </w:div>
    <w:div w:id="938490535">
      <w:bodyDiv w:val="1"/>
      <w:marLeft w:val="0"/>
      <w:marRight w:val="0"/>
      <w:marTop w:val="0"/>
      <w:marBottom w:val="0"/>
      <w:divBdr>
        <w:top w:val="none" w:sz="0" w:space="0" w:color="auto"/>
        <w:left w:val="none" w:sz="0" w:space="0" w:color="auto"/>
        <w:bottom w:val="none" w:sz="0" w:space="0" w:color="auto"/>
        <w:right w:val="none" w:sz="0" w:space="0" w:color="auto"/>
      </w:divBdr>
    </w:div>
    <w:div w:id="943077019">
      <w:bodyDiv w:val="1"/>
      <w:marLeft w:val="0"/>
      <w:marRight w:val="0"/>
      <w:marTop w:val="0"/>
      <w:marBottom w:val="0"/>
      <w:divBdr>
        <w:top w:val="none" w:sz="0" w:space="0" w:color="auto"/>
        <w:left w:val="none" w:sz="0" w:space="0" w:color="auto"/>
        <w:bottom w:val="none" w:sz="0" w:space="0" w:color="auto"/>
        <w:right w:val="none" w:sz="0" w:space="0" w:color="auto"/>
      </w:divBdr>
    </w:div>
    <w:div w:id="980230421">
      <w:bodyDiv w:val="1"/>
      <w:marLeft w:val="0"/>
      <w:marRight w:val="0"/>
      <w:marTop w:val="0"/>
      <w:marBottom w:val="0"/>
      <w:divBdr>
        <w:top w:val="none" w:sz="0" w:space="0" w:color="auto"/>
        <w:left w:val="none" w:sz="0" w:space="0" w:color="auto"/>
        <w:bottom w:val="none" w:sz="0" w:space="0" w:color="auto"/>
        <w:right w:val="none" w:sz="0" w:space="0" w:color="auto"/>
      </w:divBdr>
    </w:div>
    <w:div w:id="986013992">
      <w:bodyDiv w:val="1"/>
      <w:marLeft w:val="0"/>
      <w:marRight w:val="0"/>
      <w:marTop w:val="0"/>
      <w:marBottom w:val="0"/>
      <w:divBdr>
        <w:top w:val="none" w:sz="0" w:space="0" w:color="auto"/>
        <w:left w:val="none" w:sz="0" w:space="0" w:color="auto"/>
        <w:bottom w:val="none" w:sz="0" w:space="0" w:color="auto"/>
        <w:right w:val="none" w:sz="0" w:space="0" w:color="auto"/>
      </w:divBdr>
    </w:div>
    <w:div w:id="993483601">
      <w:bodyDiv w:val="1"/>
      <w:marLeft w:val="0"/>
      <w:marRight w:val="0"/>
      <w:marTop w:val="0"/>
      <w:marBottom w:val="0"/>
      <w:divBdr>
        <w:top w:val="none" w:sz="0" w:space="0" w:color="auto"/>
        <w:left w:val="none" w:sz="0" w:space="0" w:color="auto"/>
        <w:bottom w:val="none" w:sz="0" w:space="0" w:color="auto"/>
        <w:right w:val="none" w:sz="0" w:space="0" w:color="auto"/>
      </w:divBdr>
    </w:div>
    <w:div w:id="994145155">
      <w:bodyDiv w:val="1"/>
      <w:marLeft w:val="0"/>
      <w:marRight w:val="0"/>
      <w:marTop w:val="0"/>
      <w:marBottom w:val="0"/>
      <w:divBdr>
        <w:top w:val="none" w:sz="0" w:space="0" w:color="auto"/>
        <w:left w:val="none" w:sz="0" w:space="0" w:color="auto"/>
        <w:bottom w:val="none" w:sz="0" w:space="0" w:color="auto"/>
        <w:right w:val="none" w:sz="0" w:space="0" w:color="auto"/>
      </w:divBdr>
    </w:div>
    <w:div w:id="997684108">
      <w:bodyDiv w:val="1"/>
      <w:marLeft w:val="0"/>
      <w:marRight w:val="0"/>
      <w:marTop w:val="0"/>
      <w:marBottom w:val="0"/>
      <w:divBdr>
        <w:top w:val="none" w:sz="0" w:space="0" w:color="auto"/>
        <w:left w:val="none" w:sz="0" w:space="0" w:color="auto"/>
        <w:bottom w:val="none" w:sz="0" w:space="0" w:color="auto"/>
        <w:right w:val="none" w:sz="0" w:space="0" w:color="auto"/>
      </w:divBdr>
    </w:div>
    <w:div w:id="1001472909">
      <w:bodyDiv w:val="1"/>
      <w:marLeft w:val="0"/>
      <w:marRight w:val="0"/>
      <w:marTop w:val="0"/>
      <w:marBottom w:val="0"/>
      <w:divBdr>
        <w:top w:val="none" w:sz="0" w:space="0" w:color="auto"/>
        <w:left w:val="none" w:sz="0" w:space="0" w:color="auto"/>
        <w:bottom w:val="none" w:sz="0" w:space="0" w:color="auto"/>
        <w:right w:val="none" w:sz="0" w:space="0" w:color="auto"/>
      </w:divBdr>
      <w:divsChild>
        <w:div w:id="467741906">
          <w:blockQuote w:val="1"/>
          <w:marLeft w:val="720"/>
          <w:marRight w:val="720"/>
          <w:marTop w:val="100"/>
          <w:marBottom w:val="100"/>
          <w:divBdr>
            <w:top w:val="none" w:sz="0" w:space="0" w:color="auto"/>
            <w:left w:val="none" w:sz="0" w:space="0" w:color="auto"/>
            <w:bottom w:val="none" w:sz="0" w:space="0" w:color="auto"/>
            <w:right w:val="none" w:sz="0" w:space="0" w:color="auto"/>
          </w:divBdr>
        </w:div>
        <w:div w:id="266621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686205">
          <w:blockQuote w:val="1"/>
          <w:marLeft w:val="720"/>
          <w:marRight w:val="720"/>
          <w:marTop w:val="100"/>
          <w:marBottom w:val="100"/>
          <w:divBdr>
            <w:top w:val="none" w:sz="0" w:space="0" w:color="auto"/>
            <w:left w:val="none" w:sz="0" w:space="0" w:color="auto"/>
            <w:bottom w:val="none" w:sz="0" w:space="0" w:color="auto"/>
            <w:right w:val="none" w:sz="0" w:space="0" w:color="auto"/>
          </w:divBdr>
        </w:div>
        <w:div w:id="76712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064445">
      <w:bodyDiv w:val="1"/>
      <w:marLeft w:val="0"/>
      <w:marRight w:val="0"/>
      <w:marTop w:val="0"/>
      <w:marBottom w:val="0"/>
      <w:divBdr>
        <w:top w:val="none" w:sz="0" w:space="0" w:color="auto"/>
        <w:left w:val="none" w:sz="0" w:space="0" w:color="auto"/>
        <w:bottom w:val="none" w:sz="0" w:space="0" w:color="auto"/>
        <w:right w:val="none" w:sz="0" w:space="0" w:color="auto"/>
      </w:divBdr>
    </w:div>
    <w:div w:id="1064570288">
      <w:bodyDiv w:val="1"/>
      <w:marLeft w:val="0"/>
      <w:marRight w:val="0"/>
      <w:marTop w:val="0"/>
      <w:marBottom w:val="0"/>
      <w:divBdr>
        <w:top w:val="none" w:sz="0" w:space="0" w:color="auto"/>
        <w:left w:val="none" w:sz="0" w:space="0" w:color="auto"/>
        <w:bottom w:val="none" w:sz="0" w:space="0" w:color="auto"/>
        <w:right w:val="none" w:sz="0" w:space="0" w:color="auto"/>
      </w:divBdr>
    </w:div>
    <w:div w:id="1094205953">
      <w:bodyDiv w:val="1"/>
      <w:marLeft w:val="0"/>
      <w:marRight w:val="0"/>
      <w:marTop w:val="0"/>
      <w:marBottom w:val="0"/>
      <w:divBdr>
        <w:top w:val="none" w:sz="0" w:space="0" w:color="auto"/>
        <w:left w:val="none" w:sz="0" w:space="0" w:color="auto"/>
        <w:bottom w:val="none" w:sz="0" w:space="0" w:color="auto"/>
        <w:right w:val="none" w:sz="0" w:space="0" w:color="auto"/>
      </w:divBdr>
      <w:divsChild>
        <w:div w:id="1466510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5521008">
      <w:bodyDiv w:val="1"/>
      <w:marLeft w:val="0"/>
      <w:marRight w:val="0"/>
      <w:marTop w:val="0"/>
      <w:marBottom w:val="0"/>
      <w:divBdr>
        <w:top w:val="none" w:sz="0" w:space="0" w:color="auto"/>
        <w:left w:val="none" w:sz="0" w:space="0" w:color="auto"/>
        <w:bottom w:val="none" w:sz="0" w:space="0" w:color="auto"/>
        <w:right w:val="none" w:sz="0" w:space="0" w:color="auto"/>
      </w:divBdr>
    </w:div>
    <w:div w:id="1107040333">
      <w:bodyDiv w:val="1"/>
      <w:marLeft w:val="0"/>
      <w:marRight w:val="0"/>
      <w:marTop w:val="0"/>
      <w:marBottom w:val="0"/>
      <w:divBdr>
        <w:top w:val="none" w:sz="0" w:space="0" w:color="auto"/>
        <w:left w:val="none" w:sz="0" w:space="0" w:color="auto"/>
        <w:bottom w:val="none" w:sz="0" w:space="0" w:color="auto"/>
        <w:right w:val="none" w:sz="0" w:space="0" w:color="auto"/>
      </w:divBdr>
    </w:div>
    <w:div w:id="1115831358">
      <w:bodyDiv w:val="1"/>
      <w:marLeft w:val="0"/>
      <w:marRight w:val="0"/>
      <w:marTop w:val="0"/>
      <w:marBottom w:val="0"/>
      <w:divBdr>
        <w:top w:val="none" w:sz="0" w:space="0" w:color="auto"/>
        <w:left w:val="none" w:sz="0" w:space="0" w:color="auto"/>
        <w:bottom w:val="none" w:sz="0" w:space="0" w:color="auto"/>
        <w:right w:val="none" w:sz="0" w:space="0" w:color="auto"/>
      </w:divBdr>
    </w:div>
    <w:div w:id="1131166171">
      <w:bodyDiv w:val="1"/>
      <w:marLeft w:val="0"/>
      <w:marRight w:val="0"/>
      <w:marTop w:val="0"/>
      <w:marBottom w:val="0"/>
      <w:divBdr>
        <w:top w:val="none" w:sz="0" w:space="0" w:color="auto"/>
        <w:left w:val="none" w:sz="0" w:space="0" w:color="auto"/>
        <w:bottom w:val="none" w:sz="0" w:space="0" w:color="auto"/>
        <w:right w:val="none" w:sz="0" w:space="0" w:color="auto"/>
      </w:divBdr>
    </w:div>
    <w:div w:id="1154763594">
      <w:bodyDiv w:val="1"/>
      <w:marLeft w:val="0"/>
      <w:marRight w:val="0"/>
      <w:marTop w:val="0"/>
      <w:marBottom w:val="0"/>
      <w:divBdr>
        <w:top w:val="none" w:sz="0" w:space="0" w:color="auto"/>
        <w:left w:val="none" w:sz="0" w:space="0" w:color="auto"/>
        <w:bottom w:val="none" w:sz="0" w:space="0" w:color="auto"/>
        <w:right w:val="none" w:sz="0" w:space="0" w:color="auto"/>
      </w:divBdr>
    </w:div>
    <w:div w:id="1213690328">
      <w:bodyDiv w:val="1"/>
      <w:marLeft w:val="0"/>
      <w:marRight w:val="0"/>
      <w:marTop w:val="0"/>
      <w:marBottom w:val="0"/>
      <w:divBdr>
        <w:top w:val="none" w:sz="0" w:space="0" w:color="auto"/>
        <w:left w:val="none" w:sz="0" w:space="0" w:color="auto"/>
        <w:bottom w:val="none" w:sz="0" w:space="0" w:color="auto"/>
        <w:right w:val="none" w:sz="0" w:space="0" w:color="auto"/>
      </w:divBdr>
    </w:div>
    <w:div w:id="1231693819">
      <w:bodyDiv w:val="1"/>
      <w:marLeft w:val="0"/>
      <w:marRight w:val="0"/>
      <w:marTop w:val="0"/>
      <w:marBottom w:val="0"/>
      <w:divBdr>
        <w:top w:val="none" w:sz="0" w:space="0" w:color="auto"/>
        <w:left w:val="none" w:sz="0" w:space="0" w:color="auto"/>
        <w:bottom w:val="none" w:sz="0" w:space="0" w:color="auto"/>
        <w:right w:val="none" w:sz="0" w:space="0" w:color="auto"/>
      </w:divBdr>
    </w:div>
    <w:div w:id="1274745818">
      <w:bodyDiv w:val="1"/>
      <w:marLeft w:val="0"/>
      <w:marRight w:val="0"/>
      <w:marTop w:val="0"/>
      <w:marBottom w:val="0"/>
      <w:divBdr>
        <w:top w:val="none" w:sz="0" w:space="0" w:color="auto"/>
        <w:left w:val="none" w:sz="0" w:space="0" w:color="auto"/>
        <w:bottom w:val="none" w:sz="0" w:space="0" w:color="auto"/>
        <w:right w:val="none" w:sz="0" w:space="0" w:color="auto"/>
      </w:divBdr>
      <w:divsChild>
        <w:div w:id="208360445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94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8807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235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82860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6910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8192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690686">
      <w:bodyDiv w:val="1"/>
      <w:marLeft w:val="0"/>
      <w:marRight w:val="0"/>
      <w:marTop w:val="0"/>
      <w:marBottom w:val="0"/>
      <w:divBdr>
        <w:top w:val="none" w:sz="0" w:space="0" w:color="auto"/>
        <w:left w:val="none" w:sz="0" w:space="0" w:color="auto"/>
        <w:bottom w:val="none" w:sz="0" w:space="0" w:color="auto"/>
        <w:right w:val="none" w:sz="0" w:space="0" w:color="auto"/>
      </w:divBdr>
      <w:divsChild>
        <w:div w:id="1927768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725926">
      <w:bodyDiv w:val="1"/>
      <w:marLeft w:val="0"/>
      <w:marRight w:val="0"/>
      <w:marTop w:val="0"/>
      <w:marBottom w:val="0"/>
      <w:divBdr>
        <w:top w:val="none" w:sz="0" w:space="0" w:color="auto"/>
        <w:left w:val="none" w:sz="0" w:space="0" w:color="auto"/>
        <w:bottom w:val="none" w:sz="0" w:space="0" w:color="auto"/>
        <w:right w:val="none" w:sz="0" w:space="0" w:color="auto"/>
      </w:divBdr>
    </w:div>
    <w:div w:id="1303736007">
      <w:bodyDiv w:val="1"/>
      <w:marLeft w:val="0"/>
      <w:marRight w:val="0"/>
      <w:marTop w:val="0"/>
      <w:marBottom w:val="0"/>
      <w:divBdr>
        <w:top w:val="none" w:sz="0" w:space="0" w:color="auto"/>
        <w:left w:val="none" w:sz="0" w:space="0" w:color="auto"/>
        <w:bottom w:val="none" w:sz="0" w:space="0" w:color="auto"/>
        <w:right w:val="none" w:sz="0" w:space="0" w:color="auto"/>
      </w:divBdr>
    </w:div>
    <w:div w:id="1308510340">
      <w:bodyDiv w:val="1"/>
      <w:marLeft w:val="0"/>
      <w:marRight w:val="0"/>
      <w:marTop w:val="0"/>
      <w:marBottom w:val="0"/>
      <w:divBdr>
        <w:top w:val="none" w:sz="0" w:space="0" w:color="auto"/>
        <w:left w:val="none" w:sz="0" w:space="0" w:color="auto"/>
        <w:bottom w:val="none" w:sz="0" w:space="0" w:color="auto"/>
        <w:right w:val="none" w:sz="0" w:space="0" w:color="auto"/>
      </w:divBdr>
    </w:div>
    <w:div w:id="1333490487">
      <w:bodyDiv w:val="1"/>
      <w:marLeft w:val="0"/>
      <w:marRight w:val="0"/>
      <w:marTop w:val="0"/>
      <w:marBottom w:val="0"/>
      <w:divBdr>
        <w:top w:val="none" w:sz="0" w:space="0" w:color="auto"/>
        <w:left w:val="none" w:sz="0" w:space="0" w:color="auto"/>
        <w:bottom w:val="none" w:sz="0" w:space="0" w:color="auto"/>
        <w:right w:val="none" w:sz="0" w:space="0" w:color="auto"/>
      </w:divBdr>
    </w:div>
    <w:div w:id="1345865467">
      <w:bodyDiv w:val="1"/>
      <w:marLeft w:val="0"/>
      <w:marRight w:val="0"/>
      <w:marTop w:val="0"/>
      <w:marBottom w:val="0"/>
      <w:divBdr>
        <w:top w:val="none" w:sz="0" w:space="0" w:color="auto"/>
        <w:left w:val="none" w:sz="0" w:space="0" w:color="auto"/>
        <w:bottom w:val="none" w:sz="0" w:space="0" w:color="auto"/>
        <w:right w:val="none" w:sz="0" w:space="0" w:color="auto"/>
      </w:divBdr>
    </w:div>
    <w:div w:id="1360742029">
      <w:bodyDiv w:val="1"/>
      <w:marLeft w:val="0"/>
      <w:marRight w:val="0"/>
      <w:marTop w:val="0"/>
      <w:marBottom w:val="0"/>
      <w:divBdr>
        <w:top w:val="none" w:sz="0" w:space="0" w:color="auto"/>
        <w:left w:val="none" w:sz="0" w:space="0" w:color="auto"/>
        <w:bottom w:val="none" w:sz="0" w:space="0" w:color="auto"/>
        <w:right w:val="none" w:sz="0" w:space="0" w:color="auto"/>
      </w:divBdr>
    </w:div>
    <w:div w:id="1370882651">
      <w:bodyDiv w:val="1"/>
      <w:marLeft w:val="0"/>
      <w:marRight w:val="0"/>
      <w:marTop w:val="0"/>
      <w:marBottom w:val="0"/>
      <w:divBdr>
        <w:top w:val="none" w:sz="0" w:space="0" w:color="auto"/>
        <w:left w:val="none" w:sz="0" w:space="0" w:color="auto"/>
        <w:bottom w:val="none" w:sz="0" w:space="0" w:color="auto"/>
        <w:right w:val="none" w:sz="0" w:space="0" w:color="auto"/>
      </w:divBdr>
      <w:divsChild>
        <w:div w:id="238565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830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893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6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150734">
      <w:bodyDiv w:val="1"/>
      <w:marLeft w:val="0"/>
      <w:marRight w:val="0"/>
      <w:marTop w:val="0"/>
      <w:marBottom w:val="0"/>
      <w:divBdr>
        <w:top w:val="none" w:sz="0" w:space="0" w:color="auto"/>
        <w:left w:val="none" w:sz="0" w:space="0" w:color="auto"/>
        <w:bottom w:val="none" w:sz="0" w:space="0" w:color="auto"/>
        <w:right w:val="none" w:sz="0" w:space="0" w:color="auto"/>
      </w:divBdr>
    </w:div>
    <w:div w:id="1381904463">
      <w:bodyDiv w:val="1"/>
      <w:marLeft w:val="0"/>
      <w:marRight w:val="0"/>
      <w:marTop w:val="0"/>
      <w:marBottom w:val="0"/>
      <w:divBdr>
        <w:top w:val="none" w:sz="0" w:space="0" w:color="auto"/>
        <w:left w:val="none" w:sz="0" w:space="0" w:color="auto"/>
        <w:bottom w:val="none" w:sz="0" w:space="0" w:color="auto"/>
        <w:right w:val="none" w:sz="0" w:space="0" w:color="auto"/>
      </w:divBdr>
    </w:div>
    <w:div w:id="1389841162">
      <w:bodyDiv w:val="1"/>
      <w:marLeft w:val="0"/>
      <w:marRight w:val="0"/>
      <w:marTop w:val="0"/>
      <w:marBottom w:val="0"/>
      <w:divBdr>
        <w:top w:val="none" w:sz="0" w:space="0" w:color="auto"/>
        <w:left w:val="none" w:sz="0" w:space="0" w:color="auto"/>
        <w:bottom w:val="none" w:sz="0" w:space="0" w:color="auto"/>
        <w:right w:val="none" w:sz="0" w:space="0" w:color="auto"/>
      </w:divBdr>
    </w:div>
    <w:div w:id="1403410992">
      <w:bodyDiv w:val="1"/>
      <w:marLeft w:val="0"/>
      <w:marRight w:val="0"/>
      <w:marTop w:val="0"/>
      <w:marBottom w:val="0"/>
      <w:divBdr>
        <w:top w:val="none" w:sz="0" w:space="0" w:color="auto"/>
        <w:left w:val="none" w:sz="0" w:space="0" w:color="auto"/>
        <w:bottom w:val="none" w:sz="0" w:space="0" w:color="auto"/>
        <w:right w:val="none" w:sz="0" w:space="0" w:color="auto"/>
      </w:divBdr>
    </w:div>
    <w:div w:id="1405883183">
      <w:bodyDiv w:val="1"/>
      <w:marLeft w:val="0"/>
      <w:marRight w:val="0"/>
      <w:marTop w:val="0"/>
      <w:marBottom w:val="0"/>
      <w:divBdr>
        <w:top w:val="none" w:sz="0" w:space="0" w:color="auto"/>
        <w:left w:val="none" w:sz="0" w:space="0" w:color="auto"/>
        <w:bottom w:val="none" w:sz="0" w:space="0" w:color="auto"/>
        <w:right w:val="none" w:sz="0" w:space="0" w:color="auto"/>
      </w:divBdr>
    </w:div>
    <w:div w:id="1407000497">
      <w:bodyDiv w:val="1"/>
      <w:marLeft w:val="0"/>
      <w:marRight w:val="0"/>
      <w:marTop w:val="0"/>
      <w:marBottom w:val="0"/>
      <w:divBdr>
        <w:top w:val="none" w:sz="0" w:space="0" w:color="auto"/>
        <w:left w:val="none" w:sz="0" w:space="0" w:color="auto"/>
        <w:bottom w:val="none" w:sz="0" w:space="0" w:color="auto"/>
        <w:right w:val="none" w:sz="0" w:space="0" w:color="auto"/>
      </w:divBdr>
    </w:div>
    <w:div w:id="1514107101">
      <w:bodyDiv w:val="1"/>
      <w:marLeft w:val="0"/>
      <w:marRight w:val="0"/>
      <w:marTop w:val="0"/>
      <w:marBottom w:val="0"/>
      <w:divBdr>
        <w:top w:val="none" w:sz="0" w:space="0" w:color="auto"/>
        <w:left w:val="none" w:sz="0" w:space="0" w:color="auto"/>
        <w:bottom w:val="none" w:sz="0" w:space="0" w:color="auto"/>
        <w:right w:val="none" w:sz="0" w:space="0" w:color="auto"/>
      </w:divBdr>
    </w:div>
    <w:div w:id="1580140960">
      <w:bodyDiv w:val="1"/>
      <w:marLeft w:val="0"/>
      <w:marRight w:val="0"/>
      <w:marTop w:val="0"/>
      <w:marBottom w:val="0"/>
      <w:divBdr>
        <w:top w:val="none" w:sz="0" w:space="0" w:color="auto"/>
        <w:left w:val="none" w:sz="0" w:space="0" w:color="auto"/>
        <w:bottom w:val="none" w:sz="0" w:space="0" w:color="auto"/>
        <w:right w:val="none" w:sz="0" w:space="0" w:color="auto"/>
      </w:divBdr>
    </w:div>
    <w:div w:id="1604725192">
      <w:bodyDiv w:val="1"/>
      <w:marLeft w:val="0"/>
      <w:marRight w:val="0"/>
      <w:marTop w:val="0"/>
      <w:marBottom w:val="0"/>
      <w:divBdr>
        <w:top w:val="none" w:sz="0" w:space="0" w:color="auto"/>
        <w:left w:val="none" w:sz="0" w:space="0" w:color="auto"/>
        <w:bottom w:val="none" w:sz="0" w:space="0" w:color="auto"/>
        <w:right w:val="none" w:sz="0" w:space="0" w:color="auto"/>
      </w:divBdr>
    </w:div>
    <w:div w:id="1618608465">
      <w:bodyDiv w:val="1"/>
      <w:marLeft w:val="0"/>
      <w:marRight w:val="0"/>
      <w:marTop w:val="0"/>
      <w:marBottom w:val="0"/>
      <w:divBdr>
        <w:top w:val="none" w:sz="0" w:space="0" w:color="auto"/>
        <w:left w:val="none" w:sz="0" w:space="0" w:color="auto"/>
        <w:bottom w:val="none" w:sz="0" w:space="0" w:color="auto"/>
        <w:right w:val="none" w:sz="0" w:space="0" w:color="auto"/>
      </w:divBdr>
    </w:div>
    <w:div w:id="1648902699">
      <w:bodyDiv w:val="1"/>
      <w:marLeft w:val="0"/>
      <w:marRight w:val="0"/>
      <w:marTop w:val="0"/>
      <w:marBottom w:val="0"/>
      <w:divBdr>
        <w:top w:val="none" w:sz="0" w:space="0" w:color="auto"/>
        <w:left w:val="none" w:sz="0" w:space="0" w:color="auto"/>
        <w:bottom w:val="none" w:sz="0" w:space="0" w:color="auto"/>
        <w:right w:val="none" w:sz="0" w:space="0" w:color="auto"/>
      </w:divBdr>
    </w:div>
    <w:div w:id="1666858329">
      <w:bodyDiv w:val="1"/>
      <w:marLeft w:val="0"/>
      <w:marRight w:val="0"/>
      <w:marTop w:val="0"/>
      <w:marBottom w:val="0"/>
      <w:divBdr>
        <w:top w:val="none" w:sz="0" w:space="0" w:color="auto"/>
        <w:left w:val="none" w:sz="0" w:space="0" w:color="auto"/>
        <w:bottom w:val="none" w:sz="0" w:space="0" w:color="auto"/>
        <w:right w:val="none" w:sz="0" w:space="0" w:color="auto"/>
      </w:divBdr>
      <w:divsChild>
        <w:div w:id="840848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591909">
      <w:bodyDiv w:val="1"/>
      <w:marLeft w:val="0"/>
      <w:marRight w:val="0"/>
      <w:marTop w:val="0"/>
      <w:marBottom w:val="0"/>
      <w:divBdr>
        <w:top w:val="none" w:sz="0" w:space="0" w:color="auto"/>
        <w:left w:val="none" w:sz="0" w:space="0" w:color="auto"/>
        <w:bottom w:val="none" w:sz="0" w:space="0" w:color="auto"/>
        <w:right w:val="none" w:sz="0" w:space="0" w:color="auto"/>
      </w:divBdr>
    </w:div>
    <w:div w:id="1669794201">
      <w:bodyDiv w:val="1"/>
      <w:marLeft w:val="0"/>
      <w:marRight w:val="0"/>
      <w:marTop w:val="0"/>
      <w:marBottom w:val="0"/>
      <w:divBdr>
        <w:top w:val="none" w:sz="0" w:space="0" w:color="auto"/>
        <w:left w:val="none" w:sz="0" w:space="0" w:color="auto"/>
        <w:bottom w:val="none" w:sz="0" w:space="0" w:color="auto"/>
        <w:right w:val="none" w:sz="0" w:space="0" w:color="auto"/>
      </w:divBdr>
    </w:div>
    <w:div w:id="1669942195">
      <w:bodyDiv w:val="1"/>
      <w:marLeft w:val="0"/>
      <w:marRight w:val="0"/>
      <w:marTop w:val="0"/>
      <w:marBottom w:val="0"/>
      <w:divBdr>
        <w:top w:val="none" w:sz="0" w:space="0" w:color="auto"/>
        <w:left w:val="none" w:sz="0" w:space="0" w:color="auto"/>
        <w:bottom w:val="none" w:sz="0" w:space="0" w:color="auto"/>
        <w:right w:val="none" w:sz="0" w:space="0" w:color="auto"/>
      </w:divBdr>
      <w:divsChild>
        <w:div w:id="1077551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774022">
      <w:bodyDiv w:val="1"/>
      <w:marLeft w:val="0"/>
      <w:marRight w:val="0"/>
      <w:marTop w:val="0"/>
      <w:marBottom w:val="0"/>
      <w:divBdr>
        <w:top w:val="none" w:sz="0" w:space="0" w:color="auto"/>
        <w:left w:val="none" w:sz="0" w:space="0" w:color="auto"/>
        <w:bottom w:val="none" w:sz="0" w:space="0" w:color="auto"/>
        <w:right w:val="none" w:sz="0" w:space="0" w:color="auto"/>
      </w:divBdr>
    </w:div>
    <w:div w:id="1716926310">
      <w:bodyDiv w:val="1"/>
      <w:marLeft w:val="0"/>
      <w:marRight w:val="0"/>
      <w:marTop w:val="0"/>
      <w:marBottom w:val="0"/>
      <w:divBdr>
        <w:top w:val="none" w:sz="0" w:space="0" w:color="auto"/>
        <w:left w:val="none" w:sz="0" w:space="0" w:color="auto"/>
        <w:bottom w:val="none" w:sz="0" w:space="0" w:color="auto"/>
        <w:right w:val="none" w:sz="0" w:space="0" w:color="auto"/>
      </w:divBdr>
    </w:div>
    <w:div w:id="1735854950">
      <w:bodyDiv w:val="1"/>
      <w:marLeft w:val="0"/>
      <w:marRight w:val="0"/>
      <w:marTop w:val="0"/>
      <w:marBottom w:val="0"/>
      <w:divBdr>
        <w:top w:val="none" w:sz="0" w:space="0" w:color="auto"/>
        <w:left w:val="none" w:sz="0" w:space="0" w:color="auto"/>
        <w:bottom w:val="none" w:sz="0" w:space="0" w:color="auto"/>
        <w:right w:val="none" w:sz="0" w:space="0" w:color="auto"/>
      </w:divBdr>
    </w:div>
    <w:div w:id="1748069810">
      <w:bodyDiv w:val="1"/>
      <w:marLeft w:val="0"/>
      <w:marRight w:val="0"/>
      <w:marTop w:val="0"/>
      <w:marBottom w:val="0"/>
      <w:divBdr>
        <w:top w:val="none" w:sz="0" w:space="0" w:color="auto"/>
        <w:left w:val="none" w:sz="0" w:space="0" w:color="auto"/>
        <w:bottom w:val="none" w:sz="0" w:space="0" w:color="auto"/>
        <w:right w:val="none" w:sz="0" w:space="0" w:color="auto"/>
      </w:divBdr>
    </w:div>
    <w:div w:id="1766145737">
      <w:bodyDiv w:val="1"/>
      <w:marLeft w:val="0"/>
      <w:marRight w:val="0"/>
      <w:marTop w:val="0"/>
      <w:marBottom w:val="0"/>
      <w:divBdr>
        <w:top w:val="none" w:sz="0" w:space="0" w:color="auto"/>
        <w:left w:val="none" w:sz="0" w:space="0" w:color="auto"/>
        <w:bottom w:val="none" w:sz="0" w:space="0" w:color="auto"/>
        <w:right w:val="none" w:sz="0" w:space="0" w:color="auto"/>
      </w:divBdr>
    </w:div>
    <w:div w:id="1766537638">
      <w:bodyDiv w:val="1"/>
      <w:marLeft w:val="0"/>
      <w:marRight w:val="0"/>
      <w:marTop w:val="0"/>
      <w:marBottom w:val="0"/>
      <w:divBdr>
        <w:top w:val="none" w:sz="0" w:space="0" w:color="auto"/>
        <w:left w:val="none" w:sz="0" w:space="0" w:color="auto"/>
        <w:bottom w:val="none" w:sz="0" w:space="0" w:color="auto"/>
        <w:right w:val="none" w:sz="0" w:space="0" w:color="auto"/>
      </w:divBdr>
    </w:div>
    <w:div w:id="1771122322">
      <w:bodyDiv w:val="1"/>
      <w:marLeft w:val="0"/>
      <w:marRight w:val="0"/>
      <w:marTop w:val="0"/>
      <w:marBottom w:val="0"/>
      <w:divBdr>
        <w:top w:val="none" w:sz="0" w:space="0" w:color="auto"/>
        <w:left w:val="none" w:sz="0" w:space="0" w:color="auto"/>
        <w:bottom w:val="none" w:sz="0" w:space="0" w:color="auto"/>
        <w:right w:val="none" w:sz="0" w:space="0" w:color="auto"/>
      </w:divBdr>
    </w:div>
    <w:div w:id="1771312273">
      <w:bodyDiv w:val="1"/>
      <w:marLeft w:val="0"/>
      <w:marRight w:val="0"/>
      <w:marTop w:val="0"/>
      <w:marBottom w:val="0"/>
      <w:divBdr>
        <w:top w:val="none" w:sz="0" w:space="0" w:color="auto"/>
        <w:left w:val="none" w:sz="0" w:space="0" w:color="auto"/>
        <w:bottom w:val="none" w:sz="0" w:space="0" w:color="auto"/>
        <w:right w:val="none" w:sz="0" w:space="0" w:color="auto"/>
      </w:divBdr>
    </w:div>
    <w:div w:id="1772049292">
      <w:bodyDiv w:val="1"/>
      <w:marLeft w:val="0"/>
      <w:marRight w:val="0"/>
      <w:marTop w:val="0"/>
      <w:marBottom w:val="0"/>
      <w:divBdr>
        <w:top w:val="none" w:sz="0" w:space="0" w:color="auto"/>
        <w:left w:val="none" w:sz="0" w:space="0" w:color="auto"/>
        <w:bottom w:val="none" w:sz="0" w:space="0" w:color="auto"/>
        <w:right w:val="none" w:sz="0" w:space="0" w:color="auto"/>
      </w:divBdr>
    </w:div>
    <w:div w:id="1787120771">
      <w:bodyDiv w:val="1"/>
      <w:marLeft w:val="0"/>
      <w:marRight w:val="0"/>
      <w:marTop w:val="0"/>
      <w:marBottom w:val="0"/>
      <w:divBdr>
        <w:top w:val="none" w:sz="0" w:space="0" w:color="auto"/>
        <w:left w:val="none" w:sz="0" w:space="0" w:color="auto"/>
        <w:bottom w:val="none" w:sz="0" w:space="0" w:color="auto"/>
        <w:right w:val="none" w:sz="0" w:space="0" w:color="auto"/>
      </w:divBdr>
    </w:div>
    <w:div w:id="1798256219">
      <w:bodyDiv w:val="1"/>
      <w:marLeft w:val="0"/>
      <w:marRight w:val="0"/>
      <w:marTop w:val="0"/>
      <w:marBottom w:val="0"/>
      <w:divBdr>
        <w:top w:val="none" w:sz="0" w:space="0" w:color="auto"/>
        <w:left w:val="none" w:sz="0" w:space="0" w:color="auto"/>
        <w:bottom w:val="none" w:sz="0" w:space="0" w:color="auto"/>
        <w:right w:val="none" w:sz="0" w:space="0" w:color="auto"/>
      </w:divBdr>
    </w:div>
    <w:div w:id="1840803531">
      <w:bodyDiv w:val="1"/>
      <w:marLeft w:val="0"/>
      <w:marRight w:val="0"/>
      <w:marTop w:val="0"/>
      <w:marBottom w:val="0"/>
      <w:divBdr>
        <w:top w:val="none" w:sz="0" w:space="0" w:color="auto"/>
        <w:left w:val="none" w:sz="0" w:space="0" w:color="auto"/>
        <w:bottom w:val="none" w:sz="0" w:space="0" w:color="auto"/>
        <w:right w:val="none" w:sz="0" w:space="0" w:color="auto"/>
      </w:divBdr>
    </w:div>
    <w:div w:id="1847281745">
      <w:bodyDiv w:val="1"/>
      <w:marLeft w:val="0"/>
      <w:marRight w:val="0"/>
      <w:marTop w:val="0"/>
      <w:marBottom w:val="0"/>
      <w:divBdr>
        <w:top w:val="none" w:sz="0" w:space="0" w:color="auto"/>
        <w:left w:val="none" w:sz="0" w:space="0" w:color="auto"/>
        <w:bottom w:val="none" w:sz="0" w:space="0" w:color="auto"/>
        <w:right w:val="none" w:sz="0" w:space="0" w:color="auto"/>
      </w:divBdr>
    </w:div>
    <w:div w:id="1853569812">
      <w:bodyDiv w:val="1"/>
      <w:marLeft w:val="0"/>
      <w:marRight w:val="0"/>
      <w:marTop w:val="0"/>
      <w:marBottom w:val="0"/>
      <w:divBdr>
        <w:top w:val="none" w:sz="0" w:space="0" w:color="auto"/>
        <w:left w:val="none" w:sz="0" w:space="0" w:color="auto"/>
        <w:bottom w:val="none" w:sz="0" w:space="0" w:color="auto"/>
        <w:right w:val="none" w:sz="0" w:space="0" w:color="auto"/>
      </w:divBdr>
    </w:div>
    <w:div w:id="1858543808">
      <w:bodyDiv w:val="1"/>
      <w:marLeft w:val="0"/>
      <w:marRight w:val="0"/>
      <w:marTop w:val="0"/>
      <w:marBottom w:val="0"/>
      <w:divBdr>
        <w:top w:val="none" w:sz="0" w:space="0" w:color="auto"/>
        <w:left w:val="none" w:sz="0" w:space="0" w:color="auto"/>
        <w:bottom w:val="none" w:sz="0" w:space="0" w:color="auto"/>
        <w:right w:val="none" w:sz="0" w:space="0" w:color="auto"/>
      </w:divBdr>
    </w:div>
    <w:div w:id="1861891248">
      <w:bodyDiv w:val="1"/>
      <w:marLeft w:val="0"/>
      <w:marRight w:val="0"/>
      <w:marTop w:val="0"/>
      <w:marBottom w:val="0"/>
      <w:divBdr>
        <w:top w:val="none" w:sz="0" w:space="0" w:color="auto"/>
        <w:left w:val="none" w:sz="0" w:space="0" w:color="auto"/>
        <w:bottom w:val="none" w:sz="0" w:space="0" w:color="auto"/>
        <w:right w:val="none" w:sz="0" w:space="0" w:color="auto"/>
      </w:divBdr>
    </w:div>
    <w:div w:id="1864202942">
      <w:bodyDiv w:val="1"/>
      <w:marLeft w:val="0"/>
      <w:marRight w:val="0"/>
      <w:marTop w:val="0"/>
      <w:marBottom w:val="0"/>
      <w:divBdr>
        <w:top w:val="none" w:sz="0" w:space="0" w:color="auto"/>
        <w:left w:val="none" w:sz="0" w:space="0" w:color="auto"/>
        <w:bottom w:val="none" w:sz="0" w:space="0" w:color="auto"/>
        <w:right w:val="none" w:sz="0" w:space="0" w:color="auto"/>
      </w:divBdr>
    </w:div>
    <w:div w:id="1877425853">
      <w:bodyDiv w:val="1"/>
      <w:marLeft w:val="0"/>
      <w:marRight w:val="0"/>
      <w:marTop w:val="0"/>
      <w:marBottom w:val="0"/>
      <w:divBdr>
        <w:top w:val="none" w:sz="0" w:space="0" w:color="auto"/>
        <w:left w:val="none" w:sz="0" w:space="0" w:color="auto"/>
        <w:bottom w:val="none" w:sz="0" w:space="0" w:color="auto"/>
        <w:right w:val="none" w:sz="0" w:space="0" w:color="auto"/>
      </w:divBdr>
    </w:div>
    <w:div w:id="1887376906">
      <w:bodyDiv w:val="1"/>
      <w:marLeft w:val="0"/>
      <w:marRight w:val="0"/>
      <w:marTop w:val="0"/>
      <w:marBottom w:val="0"/>
      <w:divBdr>
        <w:top w:val="none" w:sz="0" w:space="0" w:color="auto"/>
        <w:left w:val="none" w:sz="0" w:space="0" w:color="auto"/>
        <w:bottom w:val="none" w:sz="0" w:space="0" w:color="auto"/>
        <w:right w:val="none" w:sz="0" w:space="0" w:color="auto"/>
      </w:divBdr>
    </w:div>
    <w:div w:id="1894537026">
      <w:bodyDiv w:val="1"/>
      <w:marLeft w:val="0"/>
      <w:marRight w:val="0"/>
      <w:marTop w:val="0"/>
      <w:marBottom w:val="0"/>
      <w:divBdr>
        <w:top w:val="none" w:sz="0" w:space="0" w:color="auto"/>
        <w:left w:val="none" w:sz="0" w:space="0" w:color="auto"/>
        <w:bottom w:val="none" w:sz="0" w:space="0" w:color="auto"/>
        <w:right w:val="none" w:sz="0" w:space="0" w:color="auto"/>
      </w:divBdr>
    </w:div>
    <w:div w:id="1900626097">
      <w:bodyDiv w:val="1"/>
      <w:marLeft w:val="0"/>
      <w:marRight w:val="0"/>
      <w:marTop w:val="0"/>
      <w:marBottom w:val="0"/>
      <w:divBdr>
        <w:top w:val="none" w:sz="0" w:space="0" w:color="auto"/>
        <w:left w:val="none" w:sz="0" w:space="0" w:color="auto"/>
        <w:bottom w:val="none" w:sz="0" w:space="0" w:color="auto"/>
        <w:right w:val="none" w:sz="0" w:space="0" w:color="auto"/>
      </w:divBdr>
    </w:div>
    <w:div w:id="1908414899">
      <w:bodyDiv w:val="1"/>
      <w:marLeft w:val="0"/>
      <w:marRight w:val="0"/>
      <w:marTop w:val="0"/>
      <w:marBottom w:val="0"/>
      <w:divBdr>
        <w:top w:val="none" w:sz="0" w:space="0" w:color="auto"/>
        <w:left w:val="none" w:sz="0" w:space="0" w:color="auto"/>
        <w:bottom w:val="none" w:sz="0" w:space="0" w:color="auto"/>
        <w:right w:val="none" w:sz="0" w:space="0" w:color="auto"/>
      </w:divBdr>
    </w:div>
    <w:div w:id="1937327409">
      <w:bodyDiv w:val="1"/>
      <w:marLeft w:val="0"/>
      <w:marRight w:val="0"/>
      <w:marTop w:val="0"/>
      <w:marBottom w:val="0"/>
      <w:divBdr>
        <w:top w:val="none" w:sz="0" w:space="0" w:color="auto"/>
        <w:left w:val="none" w:sz="0" w:space="0" w:color="auto"/>
        <w:bottom w:val="none" w:sz="0" w:space="0" w:color="auto"/>
        <w:right w:val="none" w:sz="0" w:space="0" w:color="auto"/>
      </w:divBdr>
    </w:div>
    <w:div w:id="1947272197">
      <w:bodyDiv w:val="1"/>
      <w:marLeft w:val="0"/>
      <w:marRight w:val="0"/>
      <w:marTop w:val="0"/>
      <w:marBottom w:val="0"/>
      <w:divBdr>
        <w:top w:val="none" w:sz="0" w:space="0" w:color="auto"/>
        <w:left w:val="none" w:sz="0" w:space="0" w:color="auto"/>
        <w:bottom w:val="none" w:sz="0" w:space="0" w:color="auto"/>
        <w:right w:val="none" w:sz="0" w:space="0" w:color="auto"/>
      </w:divBdr>
    </w:div>
    <w:div w:id="1971936549">
      <w:bodyDiv w:val="1"/>
      <w:marLeft w:val="0"/>
      <w:marRight w:val="0"/>
      <w:marTop w:val="0"/>
      <w:marBottom w:val="0"/>
      <w:divBdr>
        <w:top w:val="none" w:sz="0" w:space="0" w:color="auto"/>
        <w:left w:val="none" w:sz="0" w:space="0" w:color="auto"/>
        <w:bottom w:val="none" w:sz="0" w:space="0" w:color="auto"/>
        <w:right w:val="none" w:sz="0" w:space="0" w:color="auto"/>
      </w:divBdr>
    </w:div>
    <w:div w:id="1972056512">
      <w:bodyDiv w:val="1"/>
      <w:marLeft w:val="0"/>
      <w:marRight w:val="0"/>
      <w:marTop w:val="0"/>
      <w:marBottom w:val="0"/>
      <w:divBdr>
        <w:top w:val="none" w:sz="0" w:space="0" w:color="auto"/>
        <w:left w:val="none" w:sz="0" w:space="0" w:color="auto"/>
        <w:bottom w:val="none" w:sz="0" w:space="0" w:color="auto"/>
        <w:right w:val="none" w:sz="0" w:space="0" w:color="auto"/>
      </w:divBdr>
    </w:div>
    <w:div w:id="1986818325">
      <w:bodyDiv w:val="1"/>
      <w:marLeft w:val="0"/>
      <w:marRight w:val="0"/>
      <w:marTop w:val="0"/>
      <w:marBottom w:val="0"/>
      <w:divBdr>
        <w:top w:val="none" w:sz="0" w:space="0" w:color="auto"/>
        <w:left w:val="none" w:sz="0" w:space="0" w:color="auto"/>
        <w:bottom w:val="none" w:sz="0" w:space="0" w:color="auto"/>
        <w:right w:val="none" w:sz="0" w:space="0" w:color="auto"/>
      </w:divBdr>
    </w:div>
    <w:div w:id="1987736323">
      <w:bodyDiv w:val="1"/>
      <w:marLeft w:val="0"/>
      <w:marRight w:val="0"/>
      <w:marTop w:val="0"/>
      <w:marBottom w:val="0"/>
      <w:divBdr>
        <w:top w:val="none" w:sz="0" w:space="0" w:color="auto"/>
        <w:left w:val="none" w:sz="0" w:space="0" w:color="auto"/>
        <w:bottom w:val="none" w:sz="0" w:space="0" w:color="auto"/>
        <w:right w:val="none" w:sz="0" w:space="0" w:color="auto"/>
      </w:divBdr>
      <w:divsChild>
        <w:div w:id="158958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17556">
      <w:bodyDiv w:val="1"/>
      <w:marLeft w:val="0"/>
      <w:marRight w:val="0"/>
      <w:marTop w:val="0"/>
      <w:marBottom w:val="0"/>
      <w:divBdr>
        <w:top w:val="none" w:sz="0" w:space="0" w:color="auto"/>
        <w:left w:val="none" w:sz="0" w:space="0" w:color="auto"/>
        <w:bottom w:val="none" w:sz="0" w:space="0" w:color="auto"/>
        <w:right w:val="none" w:sz="0" w:space="0" w:color="auto"/>
      </w:divBdr>
    </w:div>
    <w:div w:id="2010716777">
      <w:bodyDiv w:val="1"/>
      <w:marLeft w:val="0"/>
      <w:marRight w:val="0"/>
      <w:marTop w:val="0"/>
      <w:marBottom w:val="0"/>
      <w:divBdr>
        <w:top w:val="none" w:sz="0" w:space="0" w:color="auto"/>
        <w:left w:val="none" w:sz="0" w:space="0" w:color="auto"/>
        <w:bottom w:val="none" w:sz="0" w:space="0" w:color="auto"/>
        <w:right w:val="none" w:sz="0" w:space="0" w:color="auto"/>
      </w:divBdr>
    </w:div>
    <w:div w:id="2056075539">
      <w:bodyDiv w:val="1"/>
      <w:marLeft w:val="0"/>
      <w:marRight w:val="0"/>
      <w:marTop w:val="0"/>
      <w:marBottom w:val="0"/>
      <w:divBdr>
        <w:top w:val="none" w:sz="0" w:space="0" w:color="auto"/>
        <w:left w:val="none" w:sz="0" w:space="0" w:color="auto"/>
        <w:bottom w:val="none" w:sz="0" w:space="0" w:color="auto"/>
        <w:right w:val="none" w:sz="0" w:space="0" w:color="auto"/>
      </w:divBdr>
    </w:div>
    <w:div w:id="2076001416">
      <w:bodyDiv w:val="1"/>
      <w:marLeft w:val="0"/>
      <w:marRight w:val="0"/>
      <w:marTop w:val="0"/>
      <w:marBottom w:val="0"/>
      <w:divBdr>
        <w:top w:val="none" w:sz="0" w:space="0" w:color="auto"/>
        <w:left w:val="none" w:sz="0" w:space="0" w:color="auto"/>
        <w:bottom w:val="none" w:sz="0" w:space="0" w:color="auto"/>
        <w:right w:val="none" w:sz="0" w:space="0" w:color="auto"/>
      </w:divBdr>
    </w:div>
    <w:div w:id="2078938163">
      <w:bodyDiv w:val="1"/>
      <w:marLeft w:val="0"/>
      <w:marRight w:val="0"/>
      <w:marTop w:val="0"/>
      <w:marBottom w:val="0"/>
      <w:divBdr>
        <w:top w:val="none" w:sz="0" w:space="0" w:color="auto"/>
        <w:left w:val="none" w:sz="0" w:space="0" w:color="auto"/>
        <w:bottom w:val="none" w:sz="0" w:space="0" w:color="auto"/>
        <w:right w:val="none" w:sz="0" w:space="0" w:color="auto"/>
      </w:divBdr>
    </w:div>
    <w:div w:id="2115125166">
      <w:bodyDiv w:val="1"/>
      <w:marLeft w:val="0"/>
      <w:marRight w:val="0"/>
      <w:marTop w:val="0"/>
      <w:marBottom w:val="0"/>
      <w:divBdr>
        <w:top w:val="none" w:sz="0" w:space="0" w:color="auto"/>
        <w:left w:val="none" w:sz="0" w:space="0" w:color="auto"/>
        <w:bottom w:val="none" w:sz="0" w:space="0" w:color="auto"/>
        <w:right w:val="none" w:sz="0" w:space="0" w:color="auto"/>
      </w:divBdr>
    </w:div>
    <w:div w:id="2129469367">
      <w:bodyDiv w:val="1"/>
      <w:marLeft w:val="0"/>
      <w:marRight w:val="0"/>
      <w:marTop w:val="0"/>
      <w:marBottom w:val="0"/>
      <w:divBdr>
        <w:top w:val="none" w:sz="0" w:space="0" w:color="auto"/>
        <w:left w:val="none" w:sz="0" w:space="0" w:color="auto"/>
        <w:bottom w:val="none" w:sz="0" w:space="0" w:color="auto"/>
        <w:right w:val="none" w:sz="0" w:space="0" w:color="auto"/>
      </w:divBdr>
      <w:divsChild>
        <w:div w:id="671222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019545">
      <w:bodyDiv w:val="1"/>
      <w:marLeft w:val="0"/>
      <w:marRight w:val="0"/>
      <w:marTop w:val="0"/>
      <w:marBottom w:val="0"/>
      <w:divBdr>
        <w:top w:val="none" w:sz="0" w:space="0" w:color="auto"/>
        <w:left w:val="none" w:sz="0" w:space="0" w:color="auto"/>
        <w:bottom w:val="none" w:sz="0" w:space="0" w:color="auto"/>
        <w:right w:val="none" w:sz="0" w:space="0" w:color="auto"/>
      </w:divBdr>
    </w:div>
    <w:div w:id="213891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Kapitel2_Vorlag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Kapitel2_Vorlage.dotx</Template>
  <TotalTime>0</TotalTime>
  <Pages>4504</Pages>
  <Words>502742</Words>
  <Characters>3167278</Characters>
  <Application>Microsoft Office Word</Application>
  <DocSecurity>0</DocSecurity>
  <Lines>26393</Lines>
  <Paragraphs>7325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3662695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98</cp:revision>
  <dcterms:created xsi:type="dcterms:W3CDTF">2026-08-05T15:02:00Z</dcterms:created>
  <dcterms:modified xsi:type="dcterms:W3CDTF">2026-08-09T14:21:00Z</dcterms:modified>
</cp:coreProperties>
</file>